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CAE09" w14:textId="77777777" w:rsidR="00BE1D1C" w:rsidRPr="00012502" w:rsidRDefault="00000000" w:rsidP="00012502">
      <w:pPr>
        <w:pStyle w:val="a9"/>
        <w:bidi/>
        <w:rPr>
          <w:rFonts w:ascii="Narkisim" w:hAnsi="Narkisim"/>
        </w:rPr>
      </w:pPr>
      <w:r w:rsidRPr="00012502">
        <w:rPr>
          <w:rFonts w:ascii="Narkisim" w:hAnsi="Narkisim"/>
          <w:rtl/>
        </w:rPr>
        <w:t>בס"ד</w:t>
      </w:r>
    </w:p>
    <w:p w14:paraId="42ED7579" w14:textId="77777777" w:rsidR="00BE1D1C" w:rsidRPr="00012502" w:rsidRDefault="00000000" w:rsidP="00012502">
      <w:pPr>
        <w:pStyle w:val="1"/>
        <w:bidi/>
        <w:rPr>
          <w:rFonts w:ascii="Narkisim" w:hAnsi="Narkisim"/>
        </w:rPr>
      </w:pPr>
      <w:r w:rsidRPr="00012502">
        <w:rPr>
          <w:rFonts w:ascii="Narkisim" w:hAnsi="Narkisim"/>
          <w:rtl/>
        </w:rPr>
        <w:t>פרק ט"ו נשים</w:t>
      </w:r>
    </w:p>
    <w:p w14:paraId="2AC07382" w14:textId="77777777" w:rsidR="00BE1D1C" w:rsidRPr="00012502" w:rsidRDefault="00000000" w:rsidP="00012502">
      <w:pPr>
        <w:pStyle w:val="3"/>
        <w:bidi/>
        <w:rPr>
          <w:rFonts w:ascii="Narkisim" w:hAnsi="Narkisim"/>
        </w:rPr>
      </w:pPr>
      <w:r w:rsidRPr="00012502">
        <w:rPr>
          <w:rFonts w:ascii="Narkisim" w:hAnsi="Narkisim"/>
          <w:rtl/>
        </w:rPr>
        <w:t>דף ב.</w:t>
      </w:r>
    </w:p>
    <w:p w14:paraId="341BFFD2" w14:textId="77777777" w:rsidR="00BE1D1C" w:rsidRPr="00012502" w:rsidRDefault="00000000" w:rsidP="00012502">
      <w:pPr>
        <w:bidi/>
        <w:rPr>
          <w:rFonts w:ascii="Narkisim" w:hAnsi="Narkisim" w:cs="Narkisim"/>
        </w:rPr>
      </w:pPr>
      <w:r w:rsidRPr="00012502">
        <w:rPr>
          <w:rFonts w:ascii="Narkisim" w:hAnsi="Narkisim" w:cs="Narkisim"/>
          <w:sz w:val="20"/>
          <w:szCs w:val="20"/>
          <w:u w:val="single"/>
          <w:rtl/>
        </w:rPr>
        <w:t>ט"ו נשים וכו'</w:t>
      </w:r>
      <w:r w:rsidRPr="00012502">
        <w:rPr>
          <w:rFonts w:ascii="Narkisim" w:hAnsi="Narkisim" w:cs="Narkisim"/>
          <w:sz w:val="20"/>
          <w:szCs w:val="20"/>
          <w:rtl/>
        </w:rPr>
        <w:t>. ה</w:t>
      </w:r>
      <w:r w:rsidRPr="00012502">
        <w:rPr>
          <w:rFonts w:ascii="Narkisim" w:hAnsi="Narkisim" w:cs="Narkisim"/>
          <w:b/>
          <w:bCs/>
          <w:sz w:val="20"/>
          <w:szCs w:val="20"/>
          <w:rtl/>
        </w:rPr>
        <w:t>ראשונים</w:t>
      </w:r>
      <w:r w:rsidRPr="00012502">
        <w:rPr>
          <w:rFonts w:ascii="Narkisim" w:hAnsi="Narkisim" w:cs="Narkisim"/>
          <w:sz w:val="20"/>
          <w:szCs w:val="20"/>
          <w:rtl/>
        </w:rPr>
        <w:t xml:space="preserve"> (ע' </w:t>
      </w:r>
      <w:r w:rsidRPr="00012502">
        <w:rPr>
          <w:rFonts w:ascii="Narkisim" w:hAnsi="Narkisim" w:cs="Narkisim"/>
          <w:b/>
          <w:bCs/>
          <w:sz w:val="20"/>
          <w:szCs w:val="20"/>
          <w:rtl/>
        </w:rPr>
        <w:t>תוס' ישנים</w:t>
      </w:r>
      <w:r w:rsidRPr="00012502">
        <w:rPr>
          <w:rFonts w:ascii="Narkisim" w:hAnsi="Narkisim" w:cs="Narkisim"/>
          <w:sz w:val="20"/>
          <w:szCs w:val="20"/>
          <w:rtl/>
        </w:rPr>
        <w:t xml:space="preserve"> ו</w:t>
      </w:r>
      <w:r w:rsidRPr="00012502">
        <w:rPr>
          <w:rFonts w:ascii="Narkisim" w:hAnsi="Narkisim" w:cs="Narkisim"/>
          <w:b/>
          <w:bCs/>
          <w:sz w:val="20"/>
          <w:szCs w:val="20"/>
          <w:rtl/>
        </w:rPr>
        <w:t>תוס' הרא"ש</w:t>
      </w:r>
      <w:r w:rsidRPr="00012502">
        <w:rPr>
          <w:rFonts w:ascii="Narkisim" w:hAnsi="Narkisim" w:cs="Narkisim"/>
          <w:sz w:val="20"/>
          <w:szCs w:val="20"/>
          <w:rtl/>
        </w:rPr>
        <w:t xml:space="preserve"> ועוד) הק' אמאי פתח סדר נשים ביבמות, הא לא מתחילין בפורענות [כדאי' ב"ב יד:]. ובחד תי' כת' דיבום הוה המצוה הראשונה שאירעה בנשים, דכתיב (בראשית לח ח) בא אל אשת אחיך ויבם אותה, והקם זרע לאחיך.</w:t>
      </w:r>
    </w:p>
    <w:p w14:paraId="3131DA9B"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(עה"ת שם) ביאר דקודם מתן תורה היה נוהג יבום, כי יש בו תועלת גדולה, וכן שאר קרובים הראוי לירש. וכאשר באתה התורה ואסרה אשת קצת הקרובים, התיר הקב"ה איסור אשת האח מפני היבום</w:t>
      </w:r>
      <w:r w:rsidRPr="00012502">
        <w:rPr>
          <w:rStyle w:val="ac"/>
          <w:rFonts w:ascii="Narkisim" w:hAnsi="Narkisim"/>
          <w:rtl/>
        </w:rPr>
        <w:footnoteReference w:id="1"/>
      </w:r>
      <w:r w:rsidRPr="00012502">
        <w:rPr>
          <w:rFonts w:ascii="Narkisim" w:hAnsi="Narkisim"/>
          <w:rtl/>
        </w:rPr>
        <w:t>. [אבל שאר קרובים לא התיר]. [וע"ע ריטב"א לקמן ה:].</w:t>
      </w:r>
    </w:p>
    <w:p w14:paraId="609C3271"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העמידו דנח' הראשונים בגדר היתר איסור אשת אח ליבום, דב</w:t>
      </w:r>
      <w:r w:rsidRPr="00012502">
        <w:rPr>
          <w:rFonts w:ascii="Narkisim" w:hAnsi="Narkisim"/>
          <w:b/>
          <w:bCs/>
          <w:rtl/>
        </w:rPr>
        <w:t>תוס</w:t>
      </w:r>
      <w:r w:rsidRPr="00012502">
        <w:rPr>
          <w:rFonts w:ascii="Narkisim" w:hAnsi="Narkisim"/>
          <w:rtl/>
        </w:rPr>
        <w:t xml:space="preserve">' (ג: ד"ה לא, ונד:) מבואר דהוה משום עשה דוחה ל"ת. אבל בכמה </w:t>
      </w:r>
      <w:r w:rsidRPr="00012502">
        <w:rPr>
          <w:rFonts w:ascii="Narkisim" w:hAnsi="Narkisim"/>
          <w:b/>
          <w:bCs/>
          <w:rtl/>
        </w:rPr>
        <w:t>ראשונים</w:t>
      </w:r>
      <w:r w:rsidRPr="00012502">
        <w:rPr>
          <w:rStyle w:val="ac"/>
          <w:rFonts w:ascii="Narkisim" w:hAnsi="Narkisim"/>
          <w:rtl/>
        </w:rPr>
        <w:footnoteReference w:id="2"/>
      </w:r>
      <w:r w:rsidRPr="00012502">
        <w:rPr>
          <w:rFonts w:ascii="Narkisim" w:hAnsi="Narkisim"/>
          <w:rtl/>
        </w:rPr>
        <w:t xml:space="preserve"> מבואר דהותר לגמרי במקום יבום. ויתבאר בהמשך הסוגיות.</w:t>
      </w:r>
    </w:p>
    <w:p w14:paraId="6347F37D" w14:textId="77777777" w:rsidR="00BE1D1C" w:rsidRPr="00012502" w:rsidRDefault="00000000" w:rsidP="00012502">
      <w:pPr>
        <w:pStyle w:val="aa"/>
        <w:bidi/>
        <w:rPr>
          <w:rFonts w:ascii="Narkisim" w:hAnsi="Narkisim"/>
        </w:rPr>
      </w:pPr>
      <w:r w:rsidRPr="00012502">
        <w:rPr>
          <w:rFonts w:ascii="Narkisim" w:hAnsi="Narkisim"/>
          <w:rtl/>
        </w:rPr>
        <w:t>והאחרונים חקרו בגדר האיסור של היבמה לשוק, אי הוה מחמת הבעל הראשון, ואף דמת לא הותר האיסור. או דהוה איסור מחודש מחמת היבם. וע"ע בסוגיות 'זיקה' ליבם (לקמן יז:).</w:t>
      </w:r>
    </w:p>
    <w:p w14:paraId="5A54E577" w14:textId="77777777" w:rsidR="00BE1D1C" w:rsidRPr="00012502" w:rsidRDefault="00000000" w:rsidP="00012502">
      <w:pPr>
        <w:pStyle w:val="2"/>
        <w:bidi/>
        <w:rPr>
          <w:rFonts w:ascii="Narkisim" w:hAnsi="Narkisim"/>
        </w:rPr>
      </w:pPr>
      <w:r w:rsidRPr="00012502">
        <w:rPr>
          <w:rFonts w:ascii="Narkisim" w:hAnsi="Narkisim"/>
          <w:rtl/>
        </w:rPr>
        <w:t>פטור צרת ערוה צרת צרה</w:t>
      </w:r>
    </w:p>
    <w:p w14:paraId="05F3E505" w14:textId="77777777" w:rsidR="00BE1D1C" w:rsidRPr="00012502" w:rsidRDefault="00000000" w:rsidP="00012502">
      <w:pPr>
        <w:bidi/>
        <w:rPr>
          <w:rFonts w:ascii="Narkisim" w:hAnsi="Narkisim" w:cs="Narkisim"/>
        </w:rPr>
      </w:pPr>
      <w:r w:rsidRPr="00012502">
        <w:rPr>
          <w:rFonts w:ascii="Narkisim" w:hAnsi="Narkisim" w:cs="Narkisim"/>
          <w:u w:val="single"/>
          <w:rtl/>
        </w:rPr>
        <w:t>פוטרות צרותיהן.</w:t>
      </w:r>
      <w:r w:rsidRPr="00012502">
        <w:rPr>
          <w:rFonts w:ascii="Narkisim" w:hAnsi="Narkisim" w:cs="Narkisim"/>
          <w:rtl/>
        </w:rPr>
        <w:t xml:space="preserve"> בברייתא </w:t>
      </w:r>
      <w:r w:rsidRPr="00012502">
        <w:rPr>
          <w:rFonts w:ascii="Narkisim" w:hAnsi="Narkisim" w:cs="Narkisim"/>
          <w:szCs w:val="20"/>
          <w:rtl/>
        </w:rPr>
        <w:t>(לקמן ג:)</w:t>
      </w:r>
      <w:r w:rsidRPr="00012502">
        <w:rPr>
          <w:rFonts w:ascii="Narkisim" w:hAnsi="Narkisim" w:cs="Narkisim"/>
          <w:rtl/>
        </w:rPr>
        <w:t xml:space="preserve"> ילפי' לאסור צרת ערוה מקרא דלצרור </w:t>
      </w:r>
      <w:r w:rsidRPr="00012502">
        <w:rPr>
          <w:rFonts w:ascii="Narkisim" w:hAnsi="Narkisim" w:cs="Narkisim"/>
          <w:sz w:val="20"/>
          <w:szCs w:val="20"/>
          <w:rtl/>
        </w:rPr>
        <w:t>[דכתיב גבי אחות אשה]. ודעת רבי [בברייתא דף ח] דילפי' מקרא דולקח ולקחה</w:t>
      </w:r>
      <w:r w:rsidRPr="00012502">
        <w:rPr>
          <w:rStyle w:val="ac"/>
          <w:rFonts w:ascii="Narkisim" w:hAnsi="Narkisim" w:cs="Narkisim"/>
          <w:sz w:val="20"/>
          <w:szCs w:val="20"/>
          <w:rtl/>
        </w:rPr>
        <w:footnoteReference w:id="3"/>
      </w:r>
      <w:r w:rsidRPr="00012502">
        <w:rPr>
          <w:rFonts w:ascii="Narkisim" w:hAnsi="Narkisim" w:cs="Narkisim"/>
          <w:rtl/>
        </w:rPr>
        <w:t>.</w:t>
      </w:r>
    </w:p>
    <w:p w14:paraId="78A59BAC" w14:textId="77777777" w:rsidR="00BE1D1C" w:rsidRPr="00012502" w:rsidRDefault="00000000" w:rsidP="00012502">
      <w:pPr>
        <w:pStyle w:val="a7"/>
        <w:bidi/>
        <w:rPr>
          <w:rFonts w:ascii="Narkisim" w:hAnsi="Narkisim"/>
        </w:rPr>
      </w:pPr>
      <w:r w:rsidRPr="00012502">
        <w:rPr>
          <w:rFonts w:ascii="Narkisim" w:hAnsi="Narkisim"/>
          <w:rtl/>
        </w:rPr>
        <w:t>ובפשוטו גדר הדין דהערוה 'פוטרת' [ומבטלת דין יבום] אף מהצרה [ואינו איסור בפנ"ע]. וכ"ה לשון</w:t>
      </w:r>
      <w:r w:rsidRPr="00012502">
        <w:rPr>
          <w:rFonts w:ascii="Narkisim" w:hAnsi="Narkisim"/>
          <w:b/>
          <w:bCs/>
          <w:rtl/>
        </w:rPr>
        <w:t xml:space="preserve"> רש"י</w:t>
      </w:r>
      <w:r w:rsidRPr="00012502">
        <w:rPr>
          <w:rFonts w:ascii="Narkisim" w:hAnsi="Narkisim"/>
          <w:rtl/>
        </w:rPr>
        <w:t xml:space="preserve"> בכ"מ (ב: ג.) </w:t>
      </w:r>
      <w:r w:rsidRPr="00012502">
        <w:rPr>
          <w:rFonts w:ascii="Narkisim" w:hAnsi="Narkisim"/>
          <w:sz w:val="20"/>
          <w:szCs w:val="20"/>
          <w:rtl/>
        </w:rPr>
        <w:t>[וכן פשטות לשון הגמ' ג.]</w:t>
      </w:r>
      <w:r w:rsidRPr="00012502">
        <w:rPr>
          <w:rFonts w:ascii="Narkisim" w:hAnsi="Narkisim"/>
          <w:rtl/>
        </w:rPr>
        <w:t>.</w:t>
      </w:r>
    </w:p>
    <w:p w14:paraId="045211CB" w14:textId="77777777" w:rsidR="00BE1D1C" w:rsidRPr="00012502" w:rsidRDefault="00000000" w:rsidP="00012502">
      <w:pPr>
        <w:pStyle w:val="a7"/>
        <w:bidi/>
        <w:rPr>
          <w:rFonts w:ascii="Narkisim" w:hAnsi="Narkisim"/>
        </w:rPr>
      </w:pPr>
      <w:r w:rsidRPr="00012502">
        <w:rPr>
          <w:rFonts w:ascii="Narkisim" w:hAnsi="Narkisim"/>
          <w:rtl/>
        </w:rPr>
        <w:t>אבל בגמ' (ג:) אי' אזהרה שמענו עונש מנין, דילפי' דיש עונש כרת לצרת ערוה</w:t>
      </w:r>
      <w:r w:rsidRPr="00012502">
        <w:rPr>
          <w:rStyle w:val="ac"/>
          <w:rFonts w:ascii="Narkisim" w:hAnsi="Narkisim"/>
          <w:rtl/>
        </w:rPr>
        <w:footnoteReference w:id="4"/>
      </w:r>
      <w:r w:rsidRPr="00012502">
        <w:rPr>
          <w:rFonts w:ascii="Narkisim" w:hAnsi="Narkisim"/>
          <w:rtl/>
        </w:rPr>
        <w:t>. וב</w:t>
      </w:r>
      <w:r w:rsidRPr="00012502">
        <w:rPr>
          <w:rFonts w:ascii="Narkisim" w:hAnsi="Narkisim"/>
          <w:b/>
          <w:bCs/>
          <w:rtl/>
        </w:rPr>
        <w:t>גמ'</w:t>
      </w:r>
      <w:r w:rsidRPr="00012502">
        <w:rPr>
          <w:rFonts w:ascii="Narkisim" w:hAnsi="Narkisim"/>
          <w:rtl/>
        </w:rPr>
        <w:t xml:space="preserve"> (ג:, וח.) היה ס"ד דיש איסור בצרת ערוה שנשואה לאיש אחר, ואף שהוא לא במקום יבום. קמ"ל קרא דאין צרה אלא במקום יבום. ובס' </w:t>
      </w:r>
      <w:r w:rsidRPr="00012502">
        <w:rPr>
          <w:rFonts w:ascii="Narkisim" w:hAnsi="Narkisim"/>
          <w:b/>
          <w:bCs/>
          <w:rtl/>
        </w:rPr>
        <w:t>פורת יוסף</w:t>
      </w:r>
      <w:r w:rsidRPr="00012502">
        <w:rPr>
          <w:rFonts w:ascii="Narkisim" w:hAnsi="Narkisim"/>
          <w:rtl/>
        </w:rPr>
        <w:t xml:space="preserve"> </w:t>
      </w:r>
      <w:r w:rsidRPr="00012502">
        <w:rPr>
          <w:rFonts w:ascii="Narkisim" w:hAnsi="Narkisim"/>
          <w:sz w:val="20"/>
          <w:szCs w:val="20"/>
          <w:rtl/>
        </w:rPr>
        <w:t>(לבעל הפרמ"ג ג:)</w:t>
      </w:r>
      <w:r w:rsidRPr="00012502">
        <w:rPr>
          <w:rFonts w:ascii="Narkisim" w:hAnsi="Narkisim"/>
          <w:rtl/>
        </w:rPr>
        <w:t xml:space="preserve"> כתב דהבא על צרת ערוה [במקום יבום] חייב ב', משום אשת אח ומשום איסור צרה. דהתורה חידשה איסור כרת בצרת ערוה</w:t>
      </w:r>
      <w:r w:rsidRPr="00012502">
        <w:rPr>
          <w:rStyle w:val="ac"/>
          <w:rFonts w:ascii="Narkisim" w:hAnsi="Narkisim"/>
          <w:rtl/>
        </w:rPr>
        <w:footnoteReference w:id="5"/>
      </w:r>
      <w:r w:rsidRPr="00012502">
        <w:rPr>
          <w:rFonts w:ascii="Narkisim" w:hAnsi="Narkisim"/>
          <w:rtl/>
        </w:rPr>
        <w:t xml:space="preserve"> [במקום נפילת יבום</w:t>
      </w:r>
      <w:r w:rsidRPr="00012502">
        <w:rPr>
          <w:rStyle w:val="ac"/>
          <w:rFonts w:ascii="Narkisim" w:hAnsi="Narkisim"/>
          <w:rtl/>
        </w:rPr>
        <w:footnoteReference w:id="6"/>
      </w:r>
      <w:r w:rsidRPr="00012502">
        <w:rPr>
          <w:rFonts w:ascii="Narkisim" w:hAnsi="Narkisim"/>
          <w:rtl/>
        </w:rPr>
        <w:t>].</w:t>
      </w:r>
    </w:p>
    <w:p w14:paraId="5B815968"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גרי"ז</w:t>
      </w:r>
      <w:r w:rsidRPr="00012502">
        <w:rPr>
          <w:rFonts w:ascii="Narkisim" w:hAnsi="Narkisim"/>
          <w:rtl/>
        </w:rPr>
        <w:t xml:space="preserve"> (הל' יבום) כתב דיסוד ועיקר הדין שהערוה אוסרת צרתה, ומשויא לה ערוה כמותה. ואינו גדר </w:t>
      </w:r>
      <w:r w:rsidRPr="00012502">
        <w:rPr>
          <w:rFonts w:ascii="Narkisim" w:hAnsi="Narkisim"/>
          <w:i/>
          <w:iCs/>
          <w:rtl/>
        </w:rPr>
        <w:t>פטור</w:t>
      </w:r>
      <w:r w:rsidRPr="00012502">
        <w:rPr>
          <w:rStyle w:val="ac"/>
          <w:rFonts w:ascii="Narkisim" w:hAnsi="Narkisim"/>
          <w:rtl/>
        </w:rPr>
        <w:footnoteReference w:id="7"/>
      </w:r>
      <w:r w:rsidRPr="00012502">
        <w:rPr>
          <w:rFonts w:ascii="Narkisim" w:hAnsi="Narkisim"/>
          <w:rtl/>
        </w:rPr>
        <w:t xml:space="preserve">, אלא איסור. </w:t>
      </w:r>
      <w:r w:rsidRPr="00012502">
        <w:rPr>
          <w:rFonts w:ascii="Narkisim" w:hAnsi="Narkisim"/>
          <w:sz w:val="20"/>
          <w:szCs w:val="20"/>
          <w:rtl/>
        </w:rPr>
        <w:t>[ובפשוטו היינו מ'שם צרת ערוה', וע"ד הפור"י. אבל ה</w:t>
      </w:r>
      <w:r w:rsidRPr="00012502">
        <w:rPr>
          <w:rFonts w:ascii="Narkisim" w:hAnsi="Narkisim"/>
          <w:b/>
          <w:bCs/>
          <w:sz w:val="20"/>
          <w:szCs w:val="20"/>
          <w:rtl/>
        </w:rPr>
        <w:t>אחרונים</w:t>
      </w:r>
      <w:r w:rsidRPr="00012502">
        <w:rPr>
          <w:rFonts w:ascii="Narkisim" w:hAnsi="Narkisim"/>
          <w:sz w:val="20"/>
          <w:szCs w:val="20"/>
          <w:rtl/>
        </w:rPr>
        <w:t xml:space="preserve"> כתבו דיל"פ דמשוי לאיסור אשת אח דידה להחשב ערוה ליבום].</w:t>
      </w:r>
    </w:p>
    <w:p w14:paraId="0C4FE19F" w14:textId="77777777" w:rsidR="00BE1D1C" w:rsidRPr="00012502" w:rsidRDefault="00000000" w:rsidP="00012502">
      <w:pPr>
        <w:bidi/>
        <w:rPr>
          <w:rFonts w:ascii="Narkisim" w:hAnsi="Narkisim" w:cs="Narkisim"/>
        </w:rPr>
      </w:pPr>
      <w:r w:rsidRPr="00012502">
        <w:rPr>
          <w:rFonts w:ascii="Narkisim" w:hAnsi="Narkisim" w:cs="Narkisim"/>
          <w:u w:val="single"/>
          <w:rtl/>
        </w:rPr>
        <w:t>וצרות צרותיהן.</w:t>
      </w:r>
      <w:r w:rsidRPr="00012502">
        <w:rPr>
          <w:rFonts w:ascii="Narkisim" w:hAnsi="Narkisim" w:cs="Narkisim"/>
          <w:rtl/>
        </w:rPr>
        <w:t xml:space="preserve"> </w:t>
      </w:r>
      <w:r w:rsidRPr="00012502">
        <w:rPr>
          <w:rFonts w:ascii="Narkisim" w:hAnsi="Narkisim" w:cs="Narkisim"/>
          <w:sz w:val="20"/>
          <w:szCs w:val="20"/>
          <w:rtl/>
        </w:rPr>
        <w:t>כשאחיו יבם את הצרה</w:t>
      </w:r>
      <w:r w:rsidRPr="00012502">
        <w:rPr>
          <w:rStyle w:val="ac"/>
          <w:rFonts w:ascii="Narkisim" w:hAnsi="Narkisim" w:cs="Narkisim"/>
          <w:sz w:val="20"/>
          <w:szCs w:val="20"/>
          <w:rtl/>
        </w:rPr>
        <w:footnoteReference w:id="8"/>
      </w:r>
      <w:r w:rsidRPr="00012502">
        <w:rPr>
          <w:rFonts w:ascii="Narkisim" w:hAnsi="Narkisim" w:cs="Narkisim"/>
          <w:sz w:val="20"/>
          <w:szCs w:val="20"/>
          <w:rtl/>
        </w:rPr>
        <w:t xml:space="preserve"> ומת, צרת הערוה פטורה אף בנפילה שניה [ואף דכבר אינה צרה לערוה]. וכשם שצרת בתו אסורה כך צרתה פטורה [וכדאיתא בע"ב במשנה].</w:t>
      </w:r>
    </w:p>
    <w:p w14:paraId="6F8F4762" w14:textId="77777777" w:rsidR="00BE1D1C" w:rsidRPr="00012502" w:rsidRDefault="00000000" w:rsidP="00012502">
      <w:pPr>
        <w:pStyle w:val="a8"/>
        <w:bidi/>
        <w:rPr>
          <w:rFonts w:ascii="Narkisim" w:hAnsi="Narkisim"/>
        </w:rPr>
      </w:pPr>
      <w:r w:rsidRPr="00012502">
        <w:rPr>
          <w:rFonts w:ascii="Narkisim" w:hAnsi="Narkisim"/>
          <w:rtl/>
        </w:rPr>
        <w:t>אך בעלמא [היכא דליכא ערוה] אף שאחיו ייבם בנפילה ראשונה, כשמת אחיו חוזרת ונופלת לפניו בנפילה שניה. וה</w:t>
      </w:r>
      <w:r w:rsidRPr="00012502">
        <w:rPr>
          <w:rFonts w:ascii="Narkisim" w:hAnsi="Narkisim"/>
          <w:b/>
          <w:bCs/>
          <w:rtl/>
        </w:rPr>
        <w:t>אחרונים</w:t>
      </w:r>
      <w:r w:rsidRPr="00012502">
        <w:rPr>
          <w:rFonts w:ascii="Narkisim" w:hAnsi="Narkisim"/>
          <w:rtl/>
        </w:rPr>
        <w:t xml:space="preserve"> דנו בגדר היתר איסור אשת אח מחמת הראשון. דכיון דעכשיו אינה נופלת ליבום מחמת </w:t>
      </w:r>
      <w:r w:rsidRPr="00012502">
        <w:rPr>
          <w:rFonts w:ascii="Narkisim" w:hAnsi="Narkisim"/>
          <w:rtl/>
        </w:rPr>
        <w:lastRenderedPageBreak/>
        <w:t>הראשון, אמאי לא תאסר מחמתו. [אך לדעת הרשב"א לקמן מא. כבר הותר איסור אשת אח בנפילה</w:t>
      </w:r>
      <w:r w:rsidRPr="00012502">
        <w:rPr>
          <w:rStyle w:val="ac"/>
          <w:rFonts w:ascii="Narkisim" w:hAnsi="Narkisim"/>
          <w:rtl/>
        </w:rPr>
        <w:footnoteReference w:id="9"/>
      </w:r>
      <w:r w:rsidRPr="00012502">
        <w:rPr>
          <w:rFonts w:ascii="Narkisim" w:hAnsi="Narkisim"/>
          <w:rtl/>
        </w:rPr>
        <w:t>].</w:t>
      </w:r>
    </w:p>
    <w:p w14:paraId="66B26466" w14:textId="77777777" w:rsidR="00BE1D1C" w:rsidRPr="00012502" w:rsidRDefault="00000000" w:rsidP="00012502">
      <w:pPr>
        <w:pStyle w:val="a8"/>
        <w:bidi/>
        <w:rPr>
          <w:rFonts w:ascii="Narkisim" w:hAnsi="Narkisim"/>
        </w:rPr>
      </w:pPr>
      <w:r w:rsidRPr="00012502">
        <w:rPr>
          <w:rFonts w:ascii="Narkisim" w:hAnsi="Narkisim"/>
          <w:rtl/>
        </w:rPr>
        <w:t>ובפשוטו נקטו ה</w:t>
      </w:r>
      <w:r w:rsidRPr="00012502">
        <w:rPr>
          <w:rFonts w:ascii="Narkisim" w:hAnsi="Narkisim"/>
          <w:b/>
          <w:bCs/>
          <w:rtl/>
        </w:rPr>
        <w:t>אחרונים</w:t>
      </w:r>
      <w:r w:rsidRPr="00012502">
        <w:rPr>
          <w:rFonts w:ascii="Narkisim" w:hAnsi="Narkisim"/>
          <w:rtl/>
        </w:rPr>
        <w:t xml:space="preserve"> דכיון דאמרי' (לקמן ח: ובמשנה לח.) דע"י היבום הרי היא כאשתו [של היבם] לכל דבר, שוב אינה אסורה מחמת הראשון</w:t>
      </w:r>
      <w:r w:rsidRPr="00012502">
        <w:rPr>
          <w:rStyle w:val="ac"/>
          <w:rFonts w:ascii="Narkisim" w:hAnsi="Narkisim"/>
          <w:rtl/>
        </w:rPr>
        <w:footnoteReference w:id="10"/>
      </w:r>
      <w:r w:rsidRPr="00012502">
        <w:rPr>
          <w:rFonts w:ascii="Narkisim" w:hAnsi="Narkisim"/>
          <w:rtl/>
        </w:rPr>
        <w:t>. [וע' בסוגיא יט: בסוה"ע וכ.]. וה</w:t>
      </w:r>
      <w:r w:rsidRPr="00012502">
        <w:rPr>
          <w:rFonts w:ascii="Narkisim" w:hAnsi="Narkisim"/>
          <w:b/>
          <w:bCs/>
          <w:rtl/>
        </w:rPr>
        <w:t>חזו"א</w:t>
      </w:r>
      <w:r w:rsidRPr="00012502">
        <w:rPr>
          <w:rFonts w:ascii="Narkisim" w:hAnsi="Narkisim"/>
          <w:rtl/>
        </w:rPr>
        <w:t xml:space="preserve"> (קל ט) כת' דע"י היבום כקם במקום המת ומשלים אישות דמת, ולכן חשיב היבם כמו אחיו משעה ראשונה. [והאחרונים ביארו דעפ"ז נחשב שביבום הב' מייבם אף את אישות האח הראשון]. ועפ"ז כ"ז היכא דהיה יכול ליבם בנפילה ראשונה משא"כ צרת ערוה דא"י ליבם בנפילה ראשונה. ובנפילה זו אין בה חסרון בעצמה ואינה פוטרת צרה.</w:t>
      </w:r>
    </w:p>
    <w:p w14:paraId="64C2892D"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אחרונים</w:t>
      </w:r>
      <w:r w:rsidRPr="00012502">
        <w:rPr>
          <w:rFonts w:ascii="Narkisim" w:hAnsi="Narkisim" w:cs="Narkisim"/>
          <w:rtl/>
        </w:rPr>
        <w:t xml:space="preserve"> דנו דבנפילה שניה כבר אינה צרה לערוה, ואמאי פטורה. ו</w:t>
      </w:r>
      <w:r w:rsidRPr="00012502">
        <w:rPr>
          <w:rFonts w:ascii="Narkisim" w:hAnsi="Narkisim" w:cs="Narkisim"/>
          <w:b/>
          <w:bCs/>
          <w:rtl/>
        </w:rPr>
        <w:t>רש"י</w:t>
      </w:r>
      <w:r w:rsidRPr="00012502">
        <w:rPr>
          <w:rFonts w:ascii="Narkisim" w:hAnsi="Narkisim" w:cs="Narkisim"/>
          <w:rtl/>
        </w:rPr>
        <w:t xml:space="preserve"> </w:t>
      </w:r>
      <w:r w:rsidRPr="00012502">
        <w:rPr>
          <w:rFonts w:ascii="Narkisim" w:hAnsi="Narkisim" w:cs="Narkisim"/>
          <w:sz w:val="20"/>
          <w:szCs w:val="20"/>
          <w:rtl/>
        </w:rPr>
        <w:t>(בע"ב ד"ה כשם שצרת בתו פטורה)</w:t>
      </w:r>
      <w:r w:rsidRPr="00012502">
        <w:rPr>
          <w:rFonts w:ascii="Narkisim" w:hAnsi="Narkisim" w:cs="Narkisim"/>
          <w:rtl/>
        </w:rPr>
        <w:t xml:space="preserve"> כת' שנאסרה עליו בשעת נפילה ראשונה, והוה כאשת אח שיש לה בנים ואסורה לעולם. ומשמע דבנפילה שניה הצרה עצמה פטורה מדין </w:t>
      </w:r>
      <w:r w:rsidRPr="00012502">
        <w:rPr>
          <w:rFonts w:ascii="Narkisim" w:hAnsi="Narkisim" w:cs="Narkisim"/>
          <w:i/>
          <w:iCs/>
          <w:rtl/>
        </w:rPr>
        <w:t>נאסרה</w:t>
      </w:r>
      <w:r w:rsidRPr="00012502">
        <w:rPr>
          <w:rStyle w:val="ac"/>
          <w:rFonts w:ascii="Narkisim" w:hAnsi="Narkisim" w:cs="Narkisim"/>
          <w:i/>
          <w:iCs/>
          <w:rtl/>
        </w:rPr>
        <w:footnoteReference w:id="11"/>
      </w:r>
      <w:r w:rsidRPr="00012502">
        <w:rPr>
          <w:rFonts w:ascii="Narkisim" w:hAnsi="Narkisim" w:cs="Narkisim"/>
          <w:rtl/>
        </w:rPr>
        <w:t>, וכמו אחות אשתו שמתה אשתו לפני נפילה שניה, דאמרי' (לקמן ל.) דנאסרה עליו עולמית.</w:t>
      </w:r>
      <w:r w:rsidRPr="00012502">
        <w:rPr>
          <w:rFonts w:ascii="Narkisim" w:hAnsi="Narkisim" w:cs="Narkisim"/>
          <w:sz w:val="20"/>
          <w:szCs w:val="20"/>
          <w:rtl/>
        </w:rPr>
        <w:t xml:space="preserve"> [וה</w:t>
      </w:r>
      <w:r w:rsidRPr="00012502">
        <w:rPr>
          <w:rFonts w:ascii="Narkisim" w:hAnsi="Narkisim" w:cs="Narkisim"/>
          <w:b/>
          <w:bCs/>
          <w:sz w:val="20"/>
          <w:szCs w:val="20"/>
          <w:rtl/>
        </w:rPr>
        <w:t>אחרונים</w:t>
      </w:r>
      <w:r w:rsidRPr="00012502">
        <w:rPr>
          <w:rFonts w:ascii="Narkisim" w:hAnsi="Narkisim" w:cs="Narkisim"/>
          <w:sz w:val="20"/>
          <w:szCs w:val="20"/>
          <w:rtl/>
        </w:rPr>
        <w:t xml:space="preserve"> הקשו א"כ מאי קמ"ל מתני' (לקמן ל)</w:t>
      </w:r>
      <w:r w:rsidRPr="00012502">
        <w:rPr>
          <w:rStyle w:val="ac"/>
          <w:rFonts w:ascii="Narkisim" w:hAnsi="Narkisim" w:cs="Narkisim"/>
          <w:sz w:val="20"/>
          <w:szCs w:val="20"/>
          <w:rtl/>
        </w:rPr>
        <w:footnoteReference w:id="12"/>
      </w:r>
      <w:r w:rsidRPr="00012502">
        <w:rPr>
          <w:rFonts w:ascii="Narkisim" w:hAnsi="Narkisim" w:cs="Narkisim"/>
          <w:sz w:val="20"/>
          <w:szCs w:val="20"/>
          <w:rtl/>
        </w:rPr>
        <w:t>, הא מוכח כן בכל צרת צרה</w:t>
      </w:r>
      <w:r w:rsidRPr="00012502">
        <w:rPr>
          <w:rStyle w:val="ac"/>
          <w:rFonts w:ascii="Narkisim" w:hAnsi="Narkisim" w:cs="Narkisim"/>
          <w:sz w:val="20"/>
          <w:szCs w:val="20"/>
          <w:rtl/>
        </w:rPr>
        <w:footnoteReference w:id="13"/>
      </w:r>
      <w:r w:rsidRPr="00012502">
        <w:rPr>
          <w:rFonts w:ascii="Narkisim" w:hAnsi="Narkisim" w:cs="Narkisim"/>
          <w:sz w:val="20"/>
          <w:szCs w:val="20"/>
          <w:rtl/>
        </w:rPr>
        <w:t>. ומוכח דהיה אפ"ל דיש שם צרת ערוה אף בנפילה שניה]</w:t>
      </w:r>
      <w:r w:rsidRPr="00012502">
        <w:rPr>
          <w:rFonts w:ascii="Narkisim" w:hAnsi="Narkisim" w:cs="Narkisim"/>
          <w:rtl/>
        </w:rPr>
        <w:t>. ולפ"ז פטור צרת צרה אינה מכח הערוה, אלא דיש כח בצרת ערוה לפטור צרתה</w:t>
      </w:r>
      <w:r w:rsidRPr="00012502">
        <w:rPr>
          <w:rStyle w:val="ac"/>
          <w:rFonts w:ascii="Narkisim" w:hAnsi="Narkisim" w:cs="Narkisim"/>
          <w:rtl/>
        </w:rPr>
        <w:footnoteReference w:id="14"/>
      </w:r>
      <w:r w:rsidRPr="00012502">
        <w:rPr>
          <w:rFonts w:ascii="Narkisim" w:hAnsi="Narkisim" w:cs="Narkisim"/>
          <w:rtl/>
        </w:rPr>
        <w:t>.</w:t>
      </w:r>
    </w:p>
    <w:p w14:paraId="16156150" w14:textId="77777777" w:rsidR="00BE1D1C" w:rsidRPr="00012502" w:rsidRDefault="00000000" w:rsidP="00012502">
      <w:pPr>
        <w:pStyle w:val="a7"/>
        <w:bidi/>
        <w:rPr>
          <w:rFonts w:ascii="Narkisim" w:hAnsi="Narkisim"/>
        </w:rPr>
      </w:pPr>
      <w:r w:rsidRPr="00012502">
        <w:rPr>
          <w:rFonts w:ascii="Narkisim" w:hAnsi="Narkisim"/>
          <w:rtl/>
        </w:rPr>
        <w:t xml:space="preserve">אבל </w:t>
      </w:r>
      <w:r w:rsidRPr="00012502">
        <w:rPr>
          <w:rFonts w:ascii="Narkisim" w:hAnsi="Narkisim"/>
          <w:b/>
          <w:bCs/>
          <w:rtl/>
        </w:rPr>
        <w:t>תוס'</w:t>
      </w:r>
      <w:r w:rsidRPr="00012502">
        <w:rPr>
          <w:rFonts w:ascii="Narkisim" w:hAnsi="Narkisim"/>
          <w:sz w:val="20"/>
          <w:szCs w:val="20"/>
          <w:rtl/>
        </w:rPr>
        <w:t xml:space="preserve"> (ד"ה עד סוף העולם)</w:t>
      </w:r>
      <w:r w:rsidRPr="00012502">
        <w:rPr>
          <w:rFonts w:ascii="Narkisim" w:hAnsi="Narkisim"/>
          <w:rtl/>
        </w:rPr>
        <w:t xml:space="preserve"> כתבו דצרה נמי אוסרת צרתה ד'במקום ערוה קיימא'. וה</w:t>
      </w:r>
      <w:r w:rsidRPr="00012502">
        <w:rPr>
          <w:rFonts w:ascii="Narkisim" w:hAnsi="Narkisim"/>
          <w:b/>
          <w:bCs/>
          <w:rtl/>
        </w:rPr>
        <w:t xml:space="preserve">קובה"ע </w:t>
      </w:r>
      <w:r w:rsidRPr="00012502">
        <w:rPr>
          <w:rFonts w:ascii="Narkisim" w:hAnsi="Narkisim"/>
          <w:rtl/>
        </w:rPr>
        <w:t xml:space="preserve">(ג טו) ביאר דיש על הצרה שם 'צרת הבת', ונחשב שם ערוה. </w:t>
      </w:r>
      <w:r w:rsidRPr="00012502">
        <w:rPr>
          <w:rFonts w:ascii="Narkisim" w:hAnsi="Narkisim"/>
          <w:sz w:val="20"/>
          <w:szCs w:val="20"/>
          <w:rtl/>
        </w:rPr>
        <w:t>[וכן מבואר מדברי ה</w:t>
      </w:r>
      <w:r w:rsidRPr="00012502">
        <w:rPr>
          <w:rFonts w:ascii="Narkisim" w:hAnsi="Narkisim"/>
          <w:b/>
          <w:bCs/>
          <w:sz w:val="20"/>
          <w:szCs w:val="20"/>
          <w:rtl/>
        </w:rPr>
        <w:t>תוס</w:t>
      </w:r>
      <w:r w:rsidRPr="00012502">
        <w:rPr>
          <w:rFonts w:ascii="Narkisim" w:hAnsi="Narkisim"/>
          <w:sz w:val="20"/>
          <w:szCs w:val="20"/>
          <w:rtl/>
        </w:rPr>
        <w:t>' (ג: ד"ה לפי) דהפטור צרת צרה הוה מכח הערוה].</w:t>
      </w:r>
      <w:r w:rsidRPr="00012502">
        <w:rPr>
          <w:rFonts w:ascii="Narkisim" w:hAnsi="Narkisim"/>
          <w:rtl/>
        </w:rPr>
        <w:t xml:space="preserve"> והקובה"ע כת' דמבואר דיש עליה שם 'בתו' אף בנפילה שניה, כיון שהיתה צרת בתו שעה אחת</w:t>
      </w:r>
      <w:r w:rsidRPr="00012502">
        <w:rPr>
          <w:rStyle w:val="ac"/>
          <w:rFonts w:ascii="Narkisim" w:hAnsi="Narkisim"/>
          <w:rtl/>
        </w:rPr>
        <w:footnoteReference w:id="15"/>
      </w:r>
      <w:r w:rsidRPr="00012502">
        <w:rPr>
          <w:rFonts w:ascii="Narkisim" w:hAnsi="Narkisim"/>
          <w:rtl/>
        </w:rPr>
        <w:t xml:space="preserve"> </w:t>
      </w:r>
      <w:r w:rsidRPr="00012502">
        <w:rPr>
          <w:rFonts w:ascii="Narkisim" w:hAnsi="Narkisim"/>
          <w:sz w:val="20"/>
          <w:szCs w:val="20"/>
          <w:rtl/>
        </w:rPr>
        <w:t>[בשעת נפילה ראשונה]</w:t>
      </w:r>
      <w:r w:rsidRPr="00012502">
        <w:rPr>
          <w:rFonts w:ascii="Narkisim" w:hAnsi="Narkisim"/>
          <w:rtl/>
        </w:rPr>
        <w:t>. ובזה כתב התוס' דסברת רב אשי דכיון דצרת הבת הוה כ"כ כמו בתו, א"כ סברא הוא דאף צרת צרתה</w:t>
      </w:r>
      <w:r w:rsidRPr="00012502">
        <w:rPr>
          <w:rStyle w:val="ac"/>
          <w:rFonts w:ascii="Narkisim" w:hAnsi="Narkisim"/>
          <w:rtl/>
        </w:rPr>
        <w:footnoteReference w:id="16"/>
      </w:r>
      <w:r w:rsidRPr="00012502">
        <w:rPr>
          <w:rFonts w:ascii="Narkisim" w:hAnsi="Narkisim"/>
          <w:rtl/>
        </w:rPr>
        <w:t>.</w:t>
      </w:r>
    </w:p>
    <w:p w14:paraId="4D42E4FF" w14:textId="77777777" w:rsidR="00BE1D1C" w:rsidRPr="00012502" w:rsidRDefault="00000000" w:rsidP="00012502">
      <w:pPr>
        <w:pStyle w:val="a8"/>
        <w:bidi/>
        <w:rPr>
          <w:rFonts w:ascii="Narkisim" w:hAnsi="Narkisim"/>
        </w:rPr>
      </w:pPr>
      <w:r w:rsidRPr="00012502">
        <w:rPr>
          <w:rFonts w:ascii="Narkisim" w:hAnsi="Narkisim"/>
          <w:rtl/>
        </w:rPr>
        <w:t xml:space="preserve">ויש </w:t>
      </w:r>
      <w:r w:rsidRPr="00012502">
        <w:rPr>
          <w:rFonts w:ascii="Narkisim" w:hAnsi="Narkisim"/>
          <w:b/>
          <w:bCs/>
          <w:rtl/>
        </w:rPr>
        <w:t>אחרונים</w:t>
      </w:r>
      <w:r w:rsidRPr="00012502">
        <w:rPr>
          <w:rFonts w:ascii="Narkisim" w:hAnsi="Narkisim"/>
          <w:rtl/>
        </w:rPr>
        <w:t xml:space="preserve"> (ע' בקובה"ע ג יד) דביארו כוונת התוס' דהצרה אוסרת צרתה משום איסור אשת אח</w:t>
      </w:r>
      <w:r w:rsidRPr="00012502">
        <w:rPr>
          <w:rStyle w:val="ac"/>
          <w:rFonts w:ascii="Narkisim" w:hAnsi="Narkisim"/>
          <w:rtl/>
        </w:rPr>
        <w:footnoteReference w:id="17"/>
      </w:r>
      <w:r w:rsidRPr="00012502">
        <w:rPr>
          <w:rFonts w:ascii="Narkisim" w:hAnsi="Narkisim"/>
          <w:rtl/>
        </w:rPr>
        <w:t xml:space="preserve"> [וע"ד מש"כ לרש"י], וה</w:t>
      </w:r>
      <w:r w:rsidRPr="00012502">
        <w:rPr>
          <w:rFonts w:ascii="Narkisim" w:hAnsi="Narkisim"/>
          <w:b/>
          <w:bCs/>
          <w:rtl/>
        </w:rPr>
        <w:t>קובה"ע</w:t>
      </w:r>
      <w:r w:rsidRPr="00012502">
        <w:rPr>
          <w:rFonts w:ascii="Narkisim" w:hAnsi="Narkisim"/>
          <w:rtl/>
        </w:rPr>
        <w:t xml:space="preserve"> הקשה דלשון הגמ' 'במקום ערוה' אינו מתיישב לפ"ז, דעיקר הטעם משום דהיא עצמה ערוה.</w:t>
      </w:r>
    </w:p>
    <w:p w14:paraId="1A57E78D" w14:textId="77777777" w:rsidR="00BE1D1C" w:rsidRPr="00012502" w:rsidRDefault="00000000" w:rsidP="00012502">
      <w:pPr>
        <w:bidi/>
        <w:rPr>
          <w:rFonts w:ascii="Narkisim" w:hAnsi="Narkisim" w:cs="Narkisim"/>
        </w:rPr>
      </w:pPr>
      <w:r w:rsidRPr="00012502">
        <w:rPr>
          <w:rFonts w:ascii="Narkisim" w:hAnsi="Narkisim" w:cs="Narkisim"/>
          <w:i/>
          <w:iCs/>
          <w:sz w:val="21"/>
          <w:szCs w:val="21"/>
          <w:rtl/>
        </w:rPr>
        <w:t xml:space="preserve">קושיית רע"א </w:t>
      </w:r>
      <w:r w:rsidRPr="00012502">
        <w:rPr>
          <w:rFonts w:ascii="Narkisim" w:hAnsi="Narkisim" w:cs="Narkisim"/>
          <w:rtl/>
        </w:rPr>
        <w:t xml:space="preserve">- </w:t>
      </w:r>
      <w:r w:rsidRPr="00012502">
        <w:rPr>
          <w:rFonts w:ascii="Narkisim" w:hAnsi="Narkisim" w:cs="Narkisim"/>
          <w:b/>
          <w:bCs/>
          <w:rtl/>
        </w:rPr>
        <w:t>רע"א</w:t>
      </w:r>
      <w:r w:rsidRPr="00012502">
        <w:rPr>
          <w:rFonts w:ascii="Narkisim" w:hAnsi="Narkisim" w:cs="Narkisim"/>
          <w:rtl/>
        </w:rPr>
        <w:t xml:space="preserve"> (במשניות, ובחי' ג:) הקשה [</w:t>
      </w:r>
      <w:r w:rsidRPr="00012502">
        <w:rPr>
          <w:rFonts w:ascii="Narkisim" w:hAnsi="Narkisim" w:cs="Narkisim"/>
          <w:sz w:val="20"/>
          <w:szCs w:val="20"/>
          <w:rtl/>
        </w:rPr>
        <w:t>ע"פ הא דמבואר ב</w:t>
      </w:r>
      <w:r w:rsidRPr="00012502">
        <w:rPr>
          <w:rFonts w:ascii="Narkisim" w:hAnsi="Narkisim" w:cs="Narkisim"/>
          <w:b/>
          <w:bCs/>
          <w:sz w:val="20"/>
          <w:szCs w:val="20"/>
          <w:rtl/>
        </w:rPr>
        <w:t>תוס'</w:t>
      </w:r>
      <w:r w:rsidRPr="00012502">
        <w:rPr>
          <w:rFonts w:ascii="Narkisim" w:hAnsi="Narkisim" w:cs="Narkisim"/>
          <w:sz w:val="20"/>
          <w:szCs w:val="20"/>
          <w:rtl/>
        </w:rPr>
        <w:t xml:space="preserve"> (לקמן לב. ד"ה לא) דיש אופנים דפוטרת צרתה משום ערות אשת אח</w:t>
      </w:r>
      <w:r w:rsidRPr="00012502">
        <w:rPr>
          <w:rFonts w:ascii="Narkisim" w:hAnsi="Narkisim" w:cs="Narkisim"/>
          <w:rtl/>
        </w:rPr>
        <w:t xml:space="preserve">] אמאי איצטריך קרא לפטור צרת צרה, דכיון דהצרה פטורה מיבום א"כ נשאר עליה איסור אשת אח. ובנפילה השניה תפטור צרתה מדין אשת אח </w:t>
      </w:r>
      <w:r w:rsidRPr="00012502">
        <w:rPr>
          <w:rFonts w:ascii="Narkisim" w:hAnsi="Narkisim" w:cs="Narkisim"/>
          <w:sz w:val="20"/>
          <w:szCs w:val="20"/>
          <w:rtl/>
        </w:rPr>
        <w:t>[דנאסרה בנפילה ראשונה].</w:t>
      </w:r>
    </w:p>
    <w:p w14:paraId="395AC8B1" w14:textId="77777777" w:rsidR="00BE1D1C" w:rsidRPr="00012502" w:rsidRDefault="00000000" w:rsidP="00012502">
      <w:pPr>
        <w:pStyle w:val="a8"/>
        <w:bidi/>
        <w:rPr>
          <w:rFonts w:ascii="Narkisim" w:hAnsi="Narkisim"/>
        </w:rPr>
      </w:pPr>
      <w:r w:rsidRPr="00012502">
        <w:rPr>
          <w:rFonts w:ascii="Narkisim" w:hAnsi="Narkisim"/>
          <w:rtl/>
        </w:rPr>
        <w:t xml:space="preserve">ומדברי </w:t>
      </w:r>
      <w:r w:rsidRPr="00012502">
        <w:rPr>
          <w:rFonts w:ascii="Narkisim" w:hAnsi="Narkisim"/>
          <w:b/>
          <w:bCs/>
          <w:rtl/>
        </w:rPr>
        <w:t>רש"י</w:t>
      </w:r>
      <w:r w:rsidRPr="00012502">
        <w:rPr>
          <w:rFonts w:ascii="Narkisim" w:hAnsi="Narkisim"/>
          <w:rtl/>
        </w:rPr>
        <w:t xml:space="preserve"> (ב: הו' לעיל) מבואר דבאמת זהו גדר פטור צרת צרה</w:t>
      </w:r>
      <w:r w:rsidRPr="00012502">
        <w:rPr>
          <w:rStyle w:val="ac"/>
          <w:rFonts w:ascii="Narkisim" w:hAnsi="Narkisim"/>
          <w:rtl/>
        </w:rPr>
        <w:footnoteReference w:id="18"/>
      </w:r>
      <w:r w:rsidRPr="00012502">
        <w:rPr>
          <w:rFonts w:ascii="Narkisim" w:hAnsi="Narkisim"/>
          <w:rtl/>
        </w:rPr>
        <w:t>, ומ"מ רע"א הקשה אמאי בעי קרא. ולדעת תוס' גדר פטור צרת ערוה הוא מחמת הערוה. [ובזה הקושיה אמאי בעי פטור זה, תיפו"ל משום ערות אשת אח].</w:t>
      </w:r>
    </w:p>
    <w:p w14:paraId="6AD1F82E" w14:textId="77777777" w:rsidR="00BE1D1C" w:rsidRPr="00012502" w:rsidRDefault="00000000" w:rsidP="00012502">
      <w:pPr>
        <w:pStyle w:val="a7"/>
        <w:bidi/>
        <w:rPr>
          <w:rFonts w:ascii="Narkisim" w:hAnsi="Narkisim"/>
        </w:rPr>
      </w:pPr>
      <w:r w:rsidRPr="00012502">
        <w:rPr>
          <w:rFonts w:ascii="Narkisim" w:hAnsi="Narkisim"/>
          <w:rtl/>
        </w:rPr>
        <w:t xml:space="preserve">ורע"א הביא שכ"כ </w:t>
      </w:r>
      <w:r w:rsidRPr="00012502">
        <w:rPr>
          <w:rFonts w:ascii="Narkisim" w:hAnsi="Narkisim"/>
          <w:b/>
          <w:bCs/>
          <w:rtl/>
        </w:rPr>
        <w:t>רש"י</w:t>
      </w:r>
      <w:r w:rsidRPr="00012502">
        <w:rPr>
          <w:rFonts w:ascii="Narkisim" w:hAnsi="Narkisim"/>
          <w:rtl/>
        </w:rPr>
        <w:t xml:space="preserve"> (לקמן ח: ד"ה א"כ) דלרבי ילפי' צרת צרה משום שנדחית בנפילה ראשונה, ונאסרה עליו עולמית משום אשת אח. [וקשה מ"ט דלרבנן צריך קרא].</w:t>
      </w:r>
    </w:p>
    <w:p w14:paraId="142ADA4D"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אחרונים</w:t>
      </w:r>
      <w:r w:rsidRPr="00012502">
        <w:rPr>
          <w:rFonts w:ascii="Narkisim" w:hAnsi="Narkisim" w:cs="Narkisim"/>
          <w:rtl/>
        </w:rPr>
        <w:t xml:space="preserve"> (ברכ"ש ב, וע' קה"י ו) הביאו בשם ה</w:t>
      </w:r>
      <w:r w:rsidRPr="00012502">
        <w:rPr>
          <w:rFonts w:ascii="Narkisim" w:hAnsi="Narkisim" w:cs="Narkisim"/>
          <w:b/>
          <w:bCs/>
          <w:rtl/>
        </w:rPr>
        <w:t>גר"ח</w:t>
      </w:r>
      <w:r w:rsidRPr="00012502">
        <w:rPr>
          <w:rFonts w:ascii="Narkisim" w:hAnsi="Narkisim" w:cs="Narkisim"/>
          <w:rtl/>
        </w:rPr>
        <w:t xml:space="preserve"> (</w:t>
      </w:r>
      <w:r w:rsidRPr="00012502">
        <w:rPr>
          <w:rFonts w:ascii="Narkisim" w:hAnsi="Narkisim" w:cs="Narkisim"/>
          <w:szCs w:val="20"/>
          <w:rtl/>
        </w:rPr>
        <w:t>סטנסל לקמן לו.)</w:t>
      </w:r>
      <w:r w:rsidRPr="00012502">
        <w:rPr>
          <w:rFonts w:ascii="Narkisim" w:hAnsi="Narkisim" w:cs="Narkisim"/>
          <w:rtl/>
        </w:rPr>
        <w:t xml:space="preserve"> יסוד דאיסור אשת אח דנפילה זו אינה פוטרת צרה</w:t>
      </w:r>
      <w:r w:rsidRPr="00012502">
        <w:rPr>
          <w:rStyle w:val="ac"/>
          <w:rFonts w:ascii="Narkisim" w:hAnsi="Narkisim" w:cs="Narkisim"/>
          <w:rtl/>
        </w:rPr>
        <w:footnoteReference w:id="19"/>
      </w:r>
      <w:r w:rsidRPr="00012502">
        <w:rPr>
          <w:rFonts w:ascii="Narkisim" w:hAnsi="Narkisim" w:cs="Narkisim"/>
          <w:rtl/>
        </w:rPr>
        <w:t xml:space="preserve">. </w:t>
      </w:r>
      <w:r w:rsidRPr="00012502">
        <w:rPr>
          <w:rFonts w:ascii="Narkisim" w:hAnsi="Narkisim" w:cs="Narkisim"/>
          <w:sz w:val="20"/>
          <w:szCs w:val="20"/>
          <w:rtl/>
        </w:rPr>
        <w:t>ולכן בעלת התנאי (בתוס' לקמן י.) וצרת סוטה (לקמן יא) ועוד אופנים</w:t>
      </w:r>
      <w:r w:rsidRPr="00012502">
        <w:rPr>
          <w:rStyle w:val="ac"/>
          <w:rFonts w:ascii="Narkisim" w:hAnsi="Narkisim" w:cs="Narkisim"/>
          <w:sz w:val="20"/>
          <w:szCs w:val="20"/>
          <w:rtl/>
        </w:rPr>
        <w:footnoteReference w:id="20"/>
      </w:r>
      <w:r w:rsidRPr="00012502">
        <w:rPr>
          <w:rFonts w:ascii="Narkisim" w:hAnsi="Narkisim" w:cs="Narkisim"/>
          <w:sz w:val="20"/>
          <w:szCs w:val="20"/>
          <w:rtl/>
        </w:rPr>
        <w:t>, דלא הותרו ליבום ולכן לא פקע מהם איסור אשת אח, ולא אמרי' דאיסור אשת אח יפטור צרה.</w:t>
      </w:r>
      <w:r w:rsidRPr="00012502">
        <w:rPr>
          <w:rFonts w:ascii="Narkisim" w:hAnsi="Narkisim" w:cs="Narkisim"/>
          <w:rtl/>
        </w:rPr>
        <w:t xml:space="preserve"> וה</w:t>
      </w:r>
      <w:r w:rsidRPr="00012502">
        <w:rPr>
          <w:rFonts w:ascii="Narkisim" w:hAnsi="Narkisim" w:cs="Narkisim"/>
          <w:b/>
          <w:bCs/>
          <w:rtl/>
        </w:rPr>
        <w:t xml:space="preserve">אחרונים </w:t>
      </w:r>
      <w:r w:rsidRPr="00012502">
        <w:rPr>
          <w:rFonts w:ascii="Narkisim" w:hAnsi="Narkisim" w:cs="Narkisim"/>
          <w:rtl/>
        </w:rPr>
        <w:t>ביארו</w:t>
      </w:r>
      <w:r w:rsidRPr="00012502">
        <w:rPr>
          <w:rFonts w:ascii="Narkisim" w:hAnsi="Narkisim" w:cs="Narkisim"/>
          <w:b/>
          <w:bCs/>
          <w:rtl/>
        </w:rPr>
        <w:t xml:space="preserve"> </w:t>
      </w:r>
      <w:r w:rsidRPr="00012502">
        <w:rPr>
          <w:rFonts w:ascii="Narkisim" w:hAnsi="Narkisim" w:cs="Narkisim"/>
          <w:rtl/>
        </w:rPr>
        <w:t xml:space="preserve">דהאיסור אשת אח היה ראוי ליפקע שתתייבם, ואינו סיבה למנוע דין יבום </w:t>
      </w:r>
      <w:r w:rsidRPr="00012502">
        <w:rPr>
          <w:rFonts w:ascii="Narkisim" w:hAnsi="Narkisim" w:cs="Narkisim"/>
          <w:rtl/>
        </w:rPr>
        <w:lastRenderedPageBreak/>
        <w:t>אף שבפועל אין לה דין יבום. ורק במקום דהאיסור אשת אח יש בו סיבה למנוע יבום נחשב ערוה לפטור מיבום</w:t>
      </w:r>
      <w:r w:rsidRPr="00012502">
        <w:rPr>
          <w:rStyle w:val="ac"/>
          <w:rFonts w:ascii="Narkisim" w:hAnsi="Narkisim" w:cs="Narkisim"/>
          <w:rtl/>
        </w:rPr>
        <w:footnoteReference w:id="21"/>
      </w:r>
      <w:r w:rsidRPr="00012502">
        <w:rPr>
          <w:rFonts w:ascii="Narkisim" w:hAnsi="Narkisim" w:cs="Narkisim"/>
          <w:rtl/>
        </w:rPr>
        <w:t>. [אך ה</w:t>
      </w:r>
      <w:r w:rsidRPr="00012502">
        <w:rPr>
          <w:rFonts w:ascii="Narkisim" w:hAnsi="Narkisim" w:cs="Narkisim"/>
          <w:b/>
          <w:bCs/>
          <w:rtl/>
        </w:rPr>
        <w:t>אמר"מ</w:t>
      </w:r>
      <w:r w:rsidRPr="00012502">
        <w:rPr>
          <w:rFonts w:ascii="Narkisim" w:hAnsi="Narkisim" w:cs="Narkisim"/>
          <w:rtl/>
        </w:rPr>
        <w:t xml:space="preserve"> (ז) האריך לחלוק על יסוד זה</w:t>
      </w:r>
      <w:r w:rsidRPr="00012502">
        <w:rPr>
          <w:rStyle w:val="ac"/>
          <w:rFonts w:ascii="Narkisim" w:hAnsi="Narkisim" w:cs="Narkisim"/>
          <w:rtl/>
        </w:rPr>
        <w:footnoteReference w:id="22"/>
      </w:r>
      <w:r w:rsidRPr="00012502">
        <w:rPr>
          <w:rFonts w:ascii="Narkisim" w:hAnsi="Narkisim" w:cs="Narkisim"/>
          <w:rtl/>
        </w:rPr>
        <w:t>].</w:t>
      </w:r>
    </w:p>
    <w:p w14:paraId="4B056A81" w14:textId="77777777" w:rsidR="00BE1D1C" w:rsidRPr="00012502" w:rsidRDefault="00000000" w:rsidP="00012502">
      <w:pPr>
        <w:bidi/>
        <w:rPr>
          <w:rFonts w:ascii="Narkisim" w:hAnsi="Narkisim" w:cs="Narkisim"/>
        </w:rPr>
      </w:pPr>
      <w:r w:rsidRPr="00012502">
        <w:rPr>
          <w:rFonts w:ascii="Narkisim" w:hAnsi="Narkisim" w:cs="Narkisim"/>
          <w:rtl/>
        </w:rPr>
        <w:t>ו</w:t>
      </w:r>
      <w:r w:rsidRPr="00012502">
        <w:rPr>
          <w:rFonts w:ascii="Narkisim" w:hAnsi="Narkisim" w:cs="Narkisim"/>
          <w:b/>
          <w:bCs/>
          <w:rtl/>
        </w:rPr>
        <w:t>רע"א</w:t>
      </w:r>
      <w:r w:rsidRPr="00012502">
        <w:rPr>
          <w:rFonts w:ascii="Narkisim" w:hAnsi="Narkisim" w:cs="Narkisim"/>
          <w:rtl/>
        </w:rPr>
        <w:t xml:space="preserve"> העמיד קושייתו ע"פ מש"כ </w:t>
      </w:r>
      <w:r w:rsidRPr="00012502">
        <w:rPr>
          <w:rFonts w:ascii="Narkisim" w:hAnsi="Narkisim" w:cs="Narkisim"/>
          <w:b/>
          <w:bCs/>
          <w:rtl/>
        </w:rPr>
        <w:t>תוס</w:t>
      </w:r>
      <w:r w:rsidRPr="00012502">
        <w:rPr>
          <w:rFonts w:ascii="Narkisim" w:hAnsi="Narkisim" w:cs="Narkisim"/>
          <w:rtl/>
        </w:rPr>
        <w:t xml:space="preserve">' (לב.) דאשת אח פוטרת מיבום במקום דא"א חל על איסור </w:t>
      </w:r>
      <w:r w:rsidRPr="00012502">
        <w:rPr>
          <w:rFonts w:ascii="Narkisim" w:hAnsi="Narkisim" w:cs="Narkisim"/>
          <w:sz w:val="20"/>
          <w:szCs w:val="20"/>
          <w:rtl/>
        </w:rPr>
        <w:t>[ואיסור אחות אשה מיתלא תליא. ע' לקמן שם ויג:</w:t>
      </w:r>
      <w:r w:rsidRPr="00012502">
        <w:rPr>
          <w:rFonts w:ascii="Narkisim" w:hAnsi="Narkisim" w:cs="Narkisim"/>
          <w:rtl/>
        </w:rPr>
        <w:t>]. וביארו ה</w:t>
      </w:r>
      <w:r w:rsidRPr="00012502">
        <w:rPr>
          <w:rFonts w:ascii="Narkisim" w:hAnsi="Narkisim" w:cs="Narkisim"/>
          <w:b/>
          <w:bCs/>
          <w:rtl/>
        </w:rPr>
        <w:t>אחרונים</w:t>
      </w:r>
      <w:r w:rsidRPr="00012502">
        <w:rPr>
          <w:rFonts w:ascii="Narkisim" w:hAnsi="Narkisim" w:cs="Narkisim"/>
          <w:rtl/>
        </w:rPr>
        <w:t xml:space="preserve"> דכיון במקום ערוה אמרי' דאף איסור אשת אח מהני לפוטר צרה. וכן אי' (לקמן ל.) דכשנאסרה בשעת נפילה, הו' כאשת אח שיש לה בנים, ואף ששוב מתה אחותה. ועוד הביאו מאשת אחיו שלא היה בעולמו, וכן איילונית דהוה גדר אשת אח שיש לו בנים, דהוה ככל העריות שאינו ראוי כלל להיתר יבום, ופוטרת מיבום.</w:t>
      </w:r>
    </w:p>
    <w:p w14:paraId="29D3A8FD"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(חי' ר' שלמה א ועוד) כתבו דצ"ל דלולי פטור צרת צרה, הוה ס"ד דצרת ערוה מצד עצמה ראויה ליבום, אלא דצרתה אוסרתה. ולכן אמרי' דאיסור אשת אח שלה אינה בגדר ערוה כלפי יבום</w:t>
      </w:r>
      <w:r w:rsidRPr="00012502">
        <w:rPr>
          <w:rStyle w:val="ac"/>
          <w:rFonts w:ascii="Narkisim" w:hAnsi="Narkisim"/>
          <w:rtl/>
        </w:rPr>
        <w:footnoteReference w:id="23"/>
      </w:r>
      <w:r w:rsidRPr="00012502">
        <w:rPr>
          <w:rFonts w:ascii="Narkisim" w:hAnsi="Narkisim"/>
          <w:rtl/>
        </w:rPr>
        <w:t xml:space="preserve">. </w:t>
      </w:r>
      <w:r w:rsidRPr="00012502">
        <w:rPr>
          <w:rFonts w:ascii="Narkisim" w:hAnsi="Narkisim"/>
          <w:sz w:val="20"/>
          <w:szCs w:val="20"/>
          <w:rtl/>
        </w:rPr>
        <w:t>[וב</w:t>
      </w:r>
      <w:r w:rsidRPr="00012502">
        <w:rPr>
          <w:rFonts w:ascii="Narkisim" w:hAnsi="Narkisim"/>
          <w:b/>
          <w:bCs/>
          <w:sz w:val="20"/>
          <w:szCs w:val="20"/>
          <w:rtl/>
        </w:rPr>
        <w:t>חי' ר' שמעון</w:t>
      </w:r>
      <w:r w:rsidRPr="00012502">
        <w:rPr>
          <w:rFonts w:ascii="Narkisim" w:hAnsi="Narkisim"/>
          <w:sz w:val="20"/>
          <w:szCs w:val="20"/>
          <w:rtl/>
        </w:rPr>
        <w:t xml:space="preserve"> (טו) הוסיף דלולי פטור צרת צרה ס"ד דהצרה בעי חליצה].</w:t>
      </w:r>
    </w:p>
    <w:p w14:paraId="3806A862"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(ב ד) תי' דהצרה פטורה מחמת שם צרת ערוה שלה, ונחשב כלפי הערוות אשת אח שלא במקום מצוה. ורק במקום דמהני הערוה לפטור את עצמה נחשב מקום מצוה לפטור צרה</w:t>
      </w:r>
      <w:r w:rsidRPr="00012502">
        <w:rPr>
          <w:rStyle w:val="ac"/>
          <w:rFonts w:ascii="Narkisim" w:hAnsi="Narkisim"/>
          <w:rtl/>
        </w:rPr>
        <w:footnoteReference w:id="24"/>
      </w:r>
      <w:r w:rsidRPr="00012502">
        <w:rPr>
          <w:rFonts w:ascii="Narkisim" w:hAnsi="Narkisim"/>
          <w:rtl/>
        </w:rPr>
        <w:t>. אבל במקום שהיא עצמה פטורה מצד אחר ל"מ</w:t>
      </w:r>
      <w:r w:rsidRPr="00012502">
        <w:rPr>
          <w:rStyle w:val="ac"/>
          <w:rFonts w:ascii="Narkisim" w:hAnsi="Narkisim"/>
          <w:rtl/>
        </w:rPr>
        <w:footnoteReference w:id="25"/>
      </w:r>
      <w:r w:rsidRPr="00012502">
        <w:rPr>
          <w:rFonts w:ascii="Narkisim" w:hAnsi="Narkisim"/>
          <w:rtl/>
        </w:rPr>
        <w:t xml:space="preserve">. </w:t>
      </w:r>
      <w:r w:rsidRPr="00012502">
        <w:rPr>
          <w:rFonts w:ascii="Narkisim" w:hAnsi="Narkisim"/>
          <w:sz w:val="20"/>
          <w:szCs w:val="20"/>
          <w:rtl/>
        </w:rPr>
        <w:t>ודמיא לאילונית לחד מ"ד (לקמן יב:), דאינה פוטרת צרה משום דנחשב שאינו במקום מצוה.</w:t>
      </w:r>
    </w:p>
    <w:p w14:paraId="72769376" w14:textId="77777777" w:rsidR="00BE1D1C" w:rsidRPr="00012502" w:rsidRDefault="00000000" w:rsidP="00012502">
      <w:pPr>
        <w:pStyle w:val="aa"/>
        <w:bidi/>
        <w:rPr>
          <w:rFonts w:ascii="Narkisim" w:hAnsi="Narkisim"/>
        </w:rPr>
      </w:pPr>
      <w:r w:rsidRPr="00012502">
        <w:rPr>
          <w:rFonts w:ascii="Narkisim" w:hAnsi="Narkisim"/>
          <w:u w:val="single"/>
          <w:rtl/>
        </w:rPr>
        <w:t>תוד"ה עד</w:t>
      </w:r>
      <w:r w:rsidRPr="00012502">
        <w:rPr>
          <w:rFonts w:ascii="Narkisim" w:hAnsi="Narkisim"/>
          <w:rtl/>
        </w:rPr>
        <w:t>. עד סוף העולם ל"ל, דהכי דייק בתמורה וכו'. וה</w:t>
      </w:r>
      <w:r w:rsidRPr="00012502">
        <w:rPr>
          <w:rFonts w:ascii="Narkisim" w:hAnsi="Narkisim"/>
          <w:b/>
          <w:bCs/>
          <w:rtl/>
        </w:rPr>
        <w:t>רמב"ן</w:t>
      </w:r>
      <w:r w:rsidRPr="00012502">
        <w:rPr>
          <w:rFonts w:ascii="Narkisim" w:hAnsi="Narkisim"/>
          <w:rtl/>
        </w:rPr>
        <w:t xml:space="preserve"> דחה דדרך התנא לנקוט עד סוף העולם, אלא דהגמ' בתמורה שואלת דבכ"מ אי' ולדות שלמים, ולא הוזכר ולד ולדות. ומ"ש שבמקום א' הוזכר ולד ולדות.</w:t>
      </w:r>
    </w:p>
    <w:p w14:paraId="4A040A3B" w14:textId="77777777" w:rsidR="00BE1D1C" w:rsidRPr="00012502" w:rsidRDefault="00000000" w:rsidP="00012502">
      <w:pPr>
        <w:pStyle w:val="aa"/>
        <w:bidi/>
        <w:rPr>
          <w:rFonts w:ascii="Narkisim" w:hAnsi="Narkisim"/>
        </w:rPr>
      </w:pPr>
      <w:r w:rsidRPr="00012502">
        <w:rPr>
          <w:rFonts w:ascii="Narkisim" w:hAnsi="Narkisim"/>
          <w:u w:val="single"/>
          <w:rtl/>
        </w:rPr>
        <w:t>בא"ד ס"ד דצרות צרותיהן אסירי טפי דמלצרור דרשי'</w:t>
      </w:r>
      <w:r w:rsidRPr="00012502">
        <w:rPr>
          <w:rStyle w:val="ac"/>
          <w:rFonts w:ascii="Narkisim" w:hAnsi="Narkisim"/>
          <w:u w:val="single"/>
          <w:rtl/>
        </w:rPr>
        <w:footnoteReference w:id="26"/>
      </w:r>
      <w:r w:rsidRPr="00012502">
        <w:rPr>
          <w:rFonts w:ascii="Narkisim" w:hAnsi="Narkisim"/>
          <w:u w:val="single"/>
          <w:rtl/>
        </w:rPr>
        <w:t xml:space="preserve"> וכו'</w:t>
      </w:r>
      <w:r w:rsidRPr="00012502">
        <w:rPr>
          <w:rFonts w:ascii="Narkisim" w:hAnsi="Narkisim"/>
          <w:rtl/>
        </w:rPr>
        <w:t>. משמע דתוס' דילפי' גדר צרת צרה, וס"ד דהוה רק בב' צרות, וכדילפי' (בברייתא ג:) מלצרור. [דדיינו למשוך שם צרת ערוה לב']. ולרב יהודה (לקמן יג.) קמ"ל דלצרור משמע כולהו צרות. ולרב אשי [שם] כיון דצרה אסורה כל כך, ובמקום ערוה. מש"ה אין לחלק בזה.</w:t>
      </w:r>
    </w:p>
    <w:p w14:paraId="180956B9" w14:textId="77777777" w:rsidR="00BE1D1C" w:rsidRPr="00012502" w:rsidRDefault="00000000" w:rsidP="00012502">
      <w:pPr>
        <w:pStyle w:val="a8"/>
        <w:bidi/>
        <w:rPr>
          <w:rFonts w:ascii="Narkisim" w:hAnsi="Narkisim"/>
        </w:rPr>
      </w:pPr>
      <w:r w:rsidRPr="00012502">
        <w:rPr>
          <w:rFonts w:ascii="Narkisim" w:hAnsi="Narkisim"/>
          <w:rtl/>
        </w:rPr>
        <w:t>[ומשמע בתוס' דכל זה משום גדר 'צרת הערוה', ולא משום גדר אשת אח. וע' מש"כ לעיל ולקמן יג.].</w:t>
      </w:r>
    </w:p>
    <w:p w14:paraId="3950B027" w14:textId="77777777" w:rsidR="00BE1D1C" w:rsidRPr="00012502" w:rsidRDefault="00000000" w:rsidP="00012502">
      <w:pPr>
        <w:pStyle w:val="aa"/>
        <w:bidi/>
        <w:rPr>
          <w:rFonts w:ascii="Narkisim" w:hAnsi="Narkisim"/>
        </w:rPr>
      </w:pPr>
      <w:r w:rsidRPr="00012502">
        <w:rPr>
          <w:rFonts w:ascii="Narkisim" w:hAnsi="Narkisim"/>
          <w:u w:val="single"/>
          <w:rtl/>
        </w:rPr>
        <w:t>בא"ד ואפי' לרב אשי דנפק"ל צרת צרה מסברא וכו' ועוד אמרי' דלרב אשי נמי צ"צ נפקא מלצרור וכו'</w:t>
      </w:r>
      <w:r w:rsidRPr="00012502">
        <w:rPr>
          <w:rFonts w:ascii="Narkisim" w:hAnsi="Narkisim"/>
          <w:rtl/>
        </w:rPr>
        <w:t xml:space="preserve">. דס"ד דתוס' דהנידון בגמ' (יג.) מנ"ל לפטור צרת צרה [וכמ"ש </w:t>
      </w:r>
      <w:r w:rsidRPr="00012502">
        <w:rPr>
          <w:rFonts w:ascii="Narkisim" w:hAnsi="Narkisim"/>
          <w:b/>
          <w:bCs/>
          <w:rtl/>
        </w:rPr>
        <w:t>רש"י</w:t>
      </w:r>
      <w:r w:rsidRPr="00012502">
        <w:rPr>
          <w:rFonts w:ascii="Narkisim" w:hAnsi="Narkisim"/>
          <w:rtl/>
        </w:rPr>
        <w:t xml:space="preserve"> יג.], ולרב אשי הוה מסברא דבמקום ערוה קיימא. ותוס' דחו דמפורש בברייתא (ג:) דילפי' צרת צרה מלצרור, אלא דסוגיית הגמ' (יג.) איירי בצרה הג' [וכדאי' במתני' עד סוף העולם, ובע"ב אפי' הן מאה].</w:t>
      </w:r>
    </w:p>
    <w:p w14:paraId="6782A3CE" w14:textId="77777777" w:rsidR="00BE1D1C" w:rsidRPr="00012502" w:rsidRDefault="00000000" w:rsidP="00012502">
      <w:pPr>
        <w:pStyle w:val="a8"/>
        <w:bidi/>
        <w:rPr>
          <w:rFonts w:ascii="Narkisim" w:hAnsi="Narkisim"/>
        </w:rPr>
      </w:pPr>
      <w:r w:rsidRPr="00012502">
        <w:rPr>
          <w:rFonts w:ascii="Narkisim" w:hAnsi="Narkisim"/>
          <w:rtl/>
        </w:rPr>
        <w:t>אך ה</w:t>
      </w:r>
      <w:r w:rsidRPr="00012502">
        <w:rPr>
          <w:rFonts w:ascii="Narkisim" w:hAnsi="Narkisim"/>
          <w:b/>
          <w:bCs/>
          <w:rtl/>
        </w:rPr>
        <w:t>גר"א</w:t>
      </w:r>
      <w:r w:rsidRPr="00012502">
        <w:rPr>
          <w:rFonts w:ascii="Narkisim" w:hAnsi="Narkisim"/>
          <w:rtl/>
        </w:rPr>
        <w:t xml:space="preserve"> (עה"ג ג:) הביא [בשם ס' הישר והרמב"ן] דל"ג כן בברייתא</w:t>
      </w:r>
      <w:r w:rsidRPr="00012502">
        <w:rPr>
          <w:rStyle w:val="ac"/>
          <w:rFonts w:ascii="Narkisim" w:hAnsi="Narkisim"/>
          <w:rtl/>
        </w:rPr>
        <w:footnoteReference w:id="27"/>
      </w:r>
      <w:r w:rsidRPr="00012502">
        <w:rPr>
          <w:rFonts w:ascii="Narkisim" w:hAnsi="Narkisim"/>
          <w:rtl/>
        </w:rPr>
        <w:t>. והביא דכ"מ ברש"י (יג. הנ"ל) דקו' הגמ' מה"מ על צרת צרה</w:t>
      </w:r>
      <w:r w:rsidRPr="00012502">
        <w:rPr>
          <w:rStyle w:val="ac"/>
          <w:rFonts w:ascii="Narkisim" w:hAnsi="Narkisim"/>
          <w:rtl/>
        </w:rPr>
        <w:footnoteReference w:id="28"/>
      </w:r>
      <w:r w:rsidRPr="00012502">
        <w:rPr>
          <w:rFonts w:ascii="Narkisim" w:hAnsi="Narkisim"/>
          <w:rtl/>
        </w:rPr>
        <w:t>.</w:t>
      </w:r>
    </w:p>
    <w:p w14:paraId="19D2F54C" w14:textId="77777777" w:rsidR="00BE1D1C" w:rsidRPr="00012502" w:rsidRDefault="00000000" w:rsidP="00012502">
      <w:pPr>
        <w:pStyle w:val="aa"/>
        <w:bidi/>
        <w:rPr>
          <w:rFonts w:ascii="Narkisim" w:hAnsi="Narkisim"/>
        </w:rPr>
      </w:pPr>
      <w:r w:rsidRPr="00012502">
        <w:rPr>
          <w:rFonts w:ascii="Narkisim" w:hAnsi="Narkisim"/>
          <w:u w:val="single"/>
          <w:rtl/>
        </w:rPr>
        <w:t>ואשת אחיו מאמו</w:t>
      </w:r>
      <w:r w:rsidRPr="00012502">
        <w:rPr>
          <w:rFonts w:ascii="Narkisim" w:hAnsi="Narkisim"/>
          <w:rtl/>
        </w:rPr>
        <w:t>. פ</w:t>
      </w:r>
      <w:r w:rsidRPr="00012502">
        <w:rPr>
          <w:rFonts w:ascii="Narkisim" w:hAnsi="Narkisim"/>
          <w:b/>
          <w:bCs/>
          <w:rtl/>
        </w:rPr>
        <w:t>רש"י</w:t>
      </w:r>
      <w:r w:rsidRPr="00012502">
        <w:rPr>
          <w:rFonts w:ascii="Narkisim" w:hAnsi="Narkisim"/>
          <w:rtl/>
        </w:rPr>
        <w:t xml:space="preserve"> שהיתה נשואה לאחיו מאמו ומת, ונשאת לאחיו מאביו, ונפלה לפניו ליבום. ה</w:t>
      </w:r>
      <w:r w:rsidRPr="00012502">
        <w:rPr>
          <w:rFonts w:ascii="Narkisim" w:hAnsi="Narkisim"/>
          <w:b/>
          <w:bCs/>
          <w:rtl/>
        </w:rPr>
        <w:t>אחרונים</w:t>
      </w:r>
      <w:r w:rsidRPr="00012502">
        <w:rPr>
          <w:rFonts w:ascii="Narkisim" w:hAnsi="Narkisim"/>
          <w:rtl/>
        </w:rPr>
        <w:t xml:space="preserve"> הק' דאח שהוא גם מאב וגם מאם נופלת ליבום, והותר אף ערות אשת אח מאם. ומ"ש היכא דהוה מחמת ב' אנשים. וצ"ל דאיסור אשת אח מאם לבד שאני מאח משניהם. וערות אשת אח לחוד אינו ראוי ליבום. וע' חי' הגר"נ. א"נ גדר יבום הוה כלפי אישות הבעל, והכא ל"ש יבום כלל כלפי הראשון, ומש"ה אוסר</w:t>
      </w:r>
      <w:r w:rsidRPr="00012502">
        <w:rPr>
          <w:rStyle w:val="ac"/>
          <w:rFonts w:ascii="Narkisim" w:hAnsi="Narkisim"/>
          <w:rtl/>
        </w:rPr>
        <w:footnoteReference w:id="29"/>
      </w:r>
      <w:r w:rsidRPr="00012502">
        <w:rPr>
          <w:rFonts w:ascii="Narkisim" w:hAnsi="Narkisim"/>
          <w:rtl/>
        </w:rPr>
        <w:t xml:space="preserve"> [וע"ד מש"כ החזו"א].</w:t>
      </w:r>
    </w:p>
    <w:p w14:paraId="4D1927D2" w14:textId="77777777" w:rsidR="00BE1D1C" w:rsidRPr="00012502" w:rsidRDefault="00000000" w:rsidP="00012502">
      <w:pPr>
        <w:pStyle w:val="aa"/>
        <w:bidi/>
        <w:rPr>
          <w:rFonts w:ascii="Narkisim" w:hAnsi="Narkisim"/>
        </w:rPr>
      </w:pPr>
      <w:r w:rsidRPr="00012502">
        <w:rPr>
          <w:rFonts w:ascii="Narkisim" w:hAnsi="Narkisim"/>
          <w:u w:val="single"/>
          <w:rtl/>
        </w:rPr>
        <w:lastRenderedPageBreak/>
        <w:t>רש"י ד"ה חמותו.</w:t>
      </w:r>
      <w:r w:rsidRPr="00012502">
        <w:rPr>
          <w:rFonts w:ascii="Narkisim" w:hAnsi="Narkisim"/>
          <w:rtl/>
        </w:rPr>
        <w:t xml:space="preserve"> ונשאה אחיו וכו'. ה</w:t>
      </w:r>
      <w:r w:rsidRPr="00012502">
        <w:rPr>
          <w:rFonts w:ascii="Narkisim" w:hAnsi="Narkisim"/>
          <w:b/>
          <w:bCs/>
          <w:rtl/>
        </w:rPr>
        <w:t>מהר"ם</w:t>
      </w:r>
      <w:r w:rsidRPr="00012502">
        <w:rPr>
          <w:rFonts w:ascii="Narkisim" w:hAnsi="Narkisim"/>
          <w:rtl/>
        </w:rPr>
        <w:t xml:space="preserve"> הקשה דהול"ל שנשא בת אחיו [ועי"ז אשת אחיו הוה חמותו], ושוב מתה אשתו [דבחיי הבת ל"ש יבום, דיש לו בנים]. וכה"ק ה</w:t>
      </w:r>
      <w:r w:rsidRPr="00012502">
        <w:rPr>
          <w:rFonts w:ascii="Narkisim" w:hAnsi="Narkisim"/>
          <w:b/>
          <w:bCs/>
          <w:rtl/>
        </w:rPr>
        <w:t>ריב"ש</w:t>
      </w:r>
      <w:r w:rsidRPr="00012502">
        <w:rPr>
          <w:rFonts w:ascii="Narkisim" w:hAnsi="Narkisim"/>
          <w:rtl/>
        </w:rPr>
        <w:t xml:space="preserve"> (שעד).</w:t>
      </w:r>
    </w:p>
    <w:p w14:paraId="59197A81"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ריב"ש</w:t>
      </w:r>
      <w:r w:rsidRPr="00012502">
        <w:rPr>
          <w:rFonts w:ascii="Narkisim" w:hAnsi="Narkisim"/>
          <w:rtl/>
        </w:rPr>
        <w:t xml:space="preserve"> (וכ"כ </w:t>
      </w:r>
      <w:r w:rsidRPr="00012502">
        <w:rPr>
          <w:rFonts w:ascii="Narkisim" w:hAnsi="Narkisim"/>
          <w:b/>
          <w:bCs/>
          <w:rtl/>
        </w:rPr>
        <w:t>רע"א</w:t>
      </w:r>
      <w:r w:rsidRPr="00012502">
        <w:rPr>
          <w:rFonts w:ascii="Narkisim" w:hAnsi="Narkisim"/>
          <w:rtl/>
        </w:rPr>
        <w:t xml:space="preserve"> וה</w:t>
      </w:r>
      <w:r w:rsidRPr="00012502">
        <w:rPr>
          <w:rFonts w:ascii="Narkisim" w:hAnsi="Narkisim"/>
          <w:b/>
          <w:bCs/>
          <w:rtl/>
        </w:rPr>
        <w:t>ערוך לנר</w:t>
      </w:r>
      <w:r w:rsidRPr="00012502">
        <w:rPr>
          <w:rFonts w:ascii="Narkisim" w:hAnsi="Narkisim"/>
          <w:rtl/>
        </w:rPr>
        <w:t>) תי' ד</w:t>
      </w:r>
      <w:r w:rsidRPr="00012502">
        <w:rPr>
          <w:rFonts w:ascii="Narkisim" w:hAnsi="Narkisim"/>
          <w:b/>
          <w:bCs/>
          <w:rtl/>
        </w:rPr>
        <w:t>רש"י</w:t>
      </w:r>
      <w:r w:rsidRPr="00012502">
        <w:rPr>
          <w:rFonts w:ascii="Narkisim" w:hAnsi="Narkisim"/>
          <w:rtl/>
        </w:rPr>
        <w:t xml:space="preserve"> (סנהדרין עו: ד"ה ר"ע) ס"ל דלר' עקיבא חמותו לאחר מיתת אשתו אינה בשריפה, הוה בארור בעלמא</w:t>
      </w:r>
      <w:r w:rsidRPr="00012502">
        <w:rPr>
          <w:rStyle w:val="ac"/>
          <w:rFonts w:ascii="Narkisim" w:hAnsi="Narkisim"/>
          <w:rtl/>
        </w:rPr>
        <w:footnoteReference w:id="30"/>
      </w:r>
      <w:r w:rsidRPr="00012502">
        <w:rPr>
          <w:rFonts w:ascii="Narkisim" w:hAnsi="Narkisim"/>
          <w:rtl/>
        </w:rPr>
        <w:t xml:space="preserve">. ולא הוה ערוה דחייבי כריתות לפטור צרה [ומש"ה רש"י צייר דאשתו קיימת]. אבל דעת </w:t>
      </w:r>
      <w:r w:rsidRPr="00012502">
        <w:rPr>
          <w:rFonts w:ascii="Narkisim" w:hAnsi="Narkisim"/>
          <w:b/>
          <w:bCs/>
          <w:rtl/>
        </w:rPr>
        <w:t>תוס</w:t>
      </w:r>
      <w:r w:rsidRPr="00012502">
        <w:rPr>
          <w:rFonts w:ascii="Narkisim" w:hAnsi="Narkisim"/>
          <w:rtl/>
        </w:rPr>
        <w:t>' (לקמן צד: וה</w:t>
      </w:r>
      <w:r w:rsidRPr="00012502">
        <w:rPr>
          <w:rFonts w:ascii="Narkisim" w:hAnsi="Narkisim"/>
          <w:b/>
          <w:bCs/>
          <w:rtl/>
        </w:rPr>
        <w:t>ראשונים</w:t>
      </w:r>
      <w:r w:rsidRPr="00012502">
        <w:rPr>
          <w:rFonts w:ascii="Narkisim" w:hAnsi="Narkisim"/>
          <w:rtl/>
        </w:rPr>
        <w:t xml:space="preserve"> שם, והרמב"ם איסו"ב ב ח) דיש חיוב כרת אף לאחר מיתה, ונתמעט רק משריפה.</w:t>
      </w:r>
    </w:p>
    <w:p w14:paraId="417D9130" w14:textId="77777777" w:rsidR="00BE1D1C" w:rsidRPr="00012502" w:rsidRDefault="00000000" w:rsidP="00012502">
      <w:pPr>
        <w:pStyle w:val="aa"/>
        <w:bidi/>
        <w:rPr>
          <w:rFonts w:ascii="Narkisim" w:hAnsi="Narkisim"/>
        </w:rPr>
      </w:pPr>
      <w:r w:rsidRPr="00012502">
        <w:rPr>
          <w:rFonts w:ascii="Narkisim" w:hAnsi="Narkisim"/>
          <w:u w:val="single"/>
          <w:rtl/>
        </w:rPr>
        <w:t>תוד"ה בתו.</w:t>
      </w:r>
      <w:r w:rsidRPr="00012502">
        <w:rPr>
          <w:rFonts w:ascii="Narkisim" w:hAnsi="Narkisim"/>
          <w:rtl/>
        </w:rPr>
        <w:t xml:space="preserve"> אלא אר"י דהך בתו איירי בין מאונסין ובין מן הנשואין. בפשוטו משמע בתוס' ד'שם בתו' כולל היכא דהוה בתו לחוד, ואף היכא נמי בת אשתו. וע"ע מש"כ בתוס' (ב: ד"ה בתו).</w:t>
      </w:r>
    </w:p>
    <w:p w14:paraId="0937AE9D" w14:textId="77777777" w:rsidR="00BE1D1C" w:rsidRPr="00012502" w:rsidRDefault="00000000" w:rsidP="00012502">
      <w:pPr>
        <w:pStyle w:val="aa"/>
        <w:bidi/>
        <w:rPr>
          <w:rFonts w:ascii="Narkisim" w:hAnsi="Narkisim"/>
        </w:rPr>
      </w:pPr>
      <w:r w:rsidRPr="00012502">
        <w:rPr>
          <w:rFonts w:ascii="Narkisim" w:hAnsi="Narkisim"/>
          <w:u w:val="single"/>
          <w:rtl/>
        </w:rPr>
        <w:t>תוד"ה אשת אחיו מאמו.</w:t>
      </w:r>
      <w:r w:rsidRPr="00012502">
        <w:rPr>
          <w:rFonts w:ascii="Narkisim" w:hAnsi="Narkisim"/>
          <w:rtl/>
        </w:rPr>
        <w:t xml:space="preserve"> משמע הכא דבאשת אחיו מאמו יש בו כרת וכו' והק' ר"ש דבת"כ (קדושים פרשתא י ח) וכו' או אינו אלא אשת אח מאמו וכו'</w:t>
      </w:r>
      <w:r w:rsidRPr="00012502">
        <w:rPr>
          <w:rStyle w:val="ac"/>
          <w:rFonts w:ascii="Narkisim" w:hAnsi="Narkisim"/>
          <w:rtl/>
        </w:rPr>
        <w:footnoteReference w:id="31"/>
      </w:r>
      <w:r w:rsidRPr="00012502">
        <w:rPr>
          <w:rFonts w:ascii="Narkisim" w:hAnsi="Narkisim"/>
          <w:rtl/>
        </w:rPr>
        <w:t>. וה</w:t>
      </w:r>
      <w:r w:rsidRPr="00012502">
        <w:rPr>
          <w:rFonts w:ascii="Narkisim" w:hAnsi="Narkisim"/>
          <w:b/>
          <w:bCs/>
          <w:rtl/>
        </w:rPr>
        <w:t>ראב"ד</w:t>
      </w:r>
      <w:r w:rsidRPr="00012502">
        <w:rPr>
          <w:rFonts w:ascii="Narkisim" w:hAnsi="Narkisim"/>
          <w:rtl/>
        </w:rPr>
        <w:t xml:space="preserve"> (בתו"כ שם) כת' דתרי תנאי הוה. ועוד כת' די"ל דלמסקנא ילפי' עונש בכולהו ממקו"א, והוה ס"ד. וה</w:t>
      </w:r>
      <w:r w:rsidRPr="00012502">
        <w:rPr>
          <w:rFonts w:ascii="Narkisim" w:hAnsi="Narkisim"/>
          <w:b/>
          <w:bCs/>
          <w:rtl/>
        </w:rPr>
        <w:t>גר"א</w:t>
      </w:r>
      <w:r w:rsidRPr="00012502">
        <w:rPr>
          <w:rFonts w:ascii="Narkisim" w:hAnsi="Narkisim"/>
          <w:rtl/>
        </w:rPr>
        <w:t xml:space="preserve"> (בתו"כ) הגיה את כל הברייתא, דלמסקנא הוה בין מהאב ובין מהאם. [ע"פ הגמ' נד:</w:t>
      </w:r>
      <w:r w:rsidRPr="00012502">
        <w:rPr>
          <w:rStyle w:val="ac"/>
          <w:rFonts w:ascii="Narkisim" w:hAnsi="Narkisim"/>
          <w:rtl/>
        </w:rPr>
        <w:footnoteReference w:id="32"/>
      </w:r>
      <w:r w:rsidRPr="00012502">
        <w:rPr>
          <w:rFonts w:ascii="Narkisim" w:hAnsi="Narkisim"/>
          <w:rtl/>
        </w:rPr>
        <w:t>].</w:t>
      </w:r>
    </w:p>
    <w:p w14:paraId="38327E26"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ותוס' הק' דלפרש"י אין לפרש דיש חילוק בין כרת לערירי [וקשה מהתו"כ]. ובס' </w:t>
      </w:r>
      <w:r w:rsidRPr="00012502">
        <w:rPr>
          <w:rFonts w:ascii="Narkisim" w:hAnsi="Narkisim"/>
          <w:b/>
          <w:bCs/>
          <w:rtl/>
        </w:rPr>
        <w:t>חוסן ישועות</w:t>
      </w:r>
      <w:r w:rsidRPr="00012502">
        <w:rPr>
          <w:rFonts w:ascii="Narkisim" w:hAnsi="Narkisim"/>
          <w:rtl/>
        </w:rPr>
        <w:t xml:space="preserve"> (ו</w:t>
      </w:r>
      <w:r w:rsidRPr="00012502">
        <w:rPr>
          <w:rFonts w:ascii="Narkisim" w:hAnsi="Narkisim"/>
          <w:b/>
          <w:bCs/>
          <w:rtl/>
        </w:rPr>
        <w:t>אבי עזרי</w:t>
      </w:r>
      <w:r w:rsidRPr="00012502">
        <w:rPr>
          <w:rFonts w:ascii="Narkisim" w:hAnsi="Narkisim"/>
          <w:rtl/>
        </w:rPr>
        <w:t xml:space="preserve"> אסו"ב ב) כתב דאף דנתמעט מחיוב כרת</w:t>
      </w:r>
      <w:r w:rsidRPr="00012502">
        <w:rPr>
          <w:rStyle w:val="ac"/>
          <w:rFonts w:ascii="Narkisim" w:hAnsi="Narkisim"/>
          <w:rtl/>
        </w:rPr>
        <w:footnoteReference w:id="33"/>
      </w:r>
      <w:r w:rsidRPr="00012502">
        <w:rPr>
          <w:rFonts w:ascii="Narkisim" w:hAnsi="Narkisim"/>
          <w:rtl/>
        </w:rPr>
        <w:t>, מ"מ לא תפסי קידושין. דהוה בכלל היקש דעריות, ולא גרע מסוטה (לקמן יא) דפוטרת צרה כיון דכתיב טומאה כעריות. [ולפ"ז אף חמותו לאחר מיתה לרש"י הוה בכלל עריות. ואף דהוה ארור בעלמא</w:t>
      </w:r>
      <w:r w:rsidRPr="00012502">
        <w:rPr>
          <w:rStyle w:val="ac"/>
          <w:rFonts w:ascii="Narkisim" w:hAnsi="Narkisim"/>
          <w:rtl/>
        </w:rPr>
        <w:footnoteReference w:id="34"/>
      </w:r>
      <w:r w:rsidRPr="00012502">
        <w:rPr>
          <w:rFonts w:ascii="Narkisim" w:hAnsi="Narkisim"/>
          <w:rtl/>
        </w:rPr>
        <w:t>]. וב</w:t>
      </w:r>
      <w:r w:rsidRPr="00012502">
        <w:rPr>
          <w:rFonts w:ascii="Narkisim" w:hAnsi="Narkisim"/>
          <w:b/>
          <w:bCs/>
          <w:rtl/>
        </w:rPr>
        <w:t>חי' ר' נחום</w:t>
      </w:r>
      <w:r w:rsidRPr="00012502">
        <w:rPr>
          <w:rFonts w:ascii="Narkisim" w:hAnsi="Narkisim"/>
          <w:rtl/>
        </w:rPr>
        <w:t xml:space="preserve"> הקשה דבגמ' (ג:) איתא דכולהו עריות הוה חייב כרת.</w:t>
      </w:r>
    </w:p>
    <w:p w14:paraId="041E4BBA" w14:textId="77777777" w:rsidR="00BE1D1C" w:rsidRPr="00012502" w:rsidRDefault="00000000" w:rsidP="00012502">
      <w:pPr>
        <w:pStyle w:val="2"/>
        <w:bidi/>
        <w:rPr>
          <w:rFonts w:ascii="Narkisim" w:hAnsi="Narkisim"/>
        </w:rPr>
      </w:pPr>
      <w:r w:rsidRPr="00012502">
        <w:rPr>
          <w:rFonts w:ascii="Narkisim" w:hAnsi="Narkisim"/>
          <w:rtl/>
        </w:rPr>
        <w:t>נאסרה</w:t>
      </w:r>
    </w:p>
    <w:p w14:paraId="194BE2D5" w14:textId="77777777" w:rsidR="00BE1D1C" w:rsidRPr="00012502" w:rsidRDefault="00000000" w:rsidP="00012502">
      <w:pPr>
        <w:bidi/>
        <w:rPr>
          <w:rFonts w:ascii="Narkisim" w:hAnsi="Narkisim" w:cs="Narkisim"/>
        </w:rPr>
      </w:pPr>
      <w:r w:rsidRPr="00012502">
        <w:rPr>
          <w:rFonts w:ascii="Narkisim" w:hAnsi="Narkisim" w:cs="Narkisim"/>
          <w:u w:val="single"/>
          <w:rtl/>
        </w:rPr>
        <w:t>תוד"ה ואחות.</w:t>
      </w:r>
      <w:r w:rsidRPr="00012502">
        <w:rPr>
          <w:rFonts w:ascii="Narkisim" w:hAnsi="Narkisim" w:cs="Narkisim"/>
          <w:rtl/>
        </w:rPr>
        <w:t xml:space="preserve"> דנדה תאסר לייבם, אע"פ שמטהרה אח"כ, כמו אחות אשתו וכו' אפי' מתה אשתו וכו'. תוס' הק' דכיון דאסורה בשעת נפילה, נימא 'נאסרה' ושוב לא תותר לייבום </w:t>
      </w:r>
      <w:r w:rsidRPr="00012502">
        <w:rPr>
          <w:rFonts w:ascii="Narkisim" w:hAnsi="Narkisim" w:cs="Narkisim"/>
          <w:sz w:val="20"/>
          <w:szCs w:val="20"/>
          <w:rtl/>
        </w:rPr>
        <w:t>[כמו שאר עריות שמתו אח"כ, שצרותיהם אינן חוזרת להזדקק ליבום, וכדאיתא לקמן מא., וע"ע לקמן ל.</w:t>
      </w:r>
      <w:r w:rsidRPr="00012502">
        <w:rPr>
          <w:rStyle w:val="ac"/>
          <w:rFonts w:ascii="Narkisim" w:hAnsi="Narkisim" w:cs="Narkisim"/>
          <w:sz w:val="20"/>
          <w:szCs w:val="20"/>
          <w:rtl/>
        </w:rPr>
        <w:footnoteReference w:id="35"/>
      </w:r>
      <w:r w:rsidRPr="00012502">
        <w:rPr>
          <w:rFonts w:ascii="Narkisim" w:hAnsi="Narkisim" w:cs="Narkisim"/>
          <w:sz w:val="20"/>
          <w:szCs w:val="20"/>
          <w:rtl/>
        </w:rPr>
        <w:t>].</w:t>
      </w:r>
      <w:r w:rsidRPr="00012502">
        <w:rPr>
          <w:rFonts w:ascii="Narkisim" w:hAnsi="Narkisim" w:cs="Narkisim"/>
          <w:rtl/>
        </w:rPr>
        <w:t xml:space="preserve"> וכן משמע ב</w:t>
      </w:r>
      <w:r w:rsidRPr="00012502">
        <w:rPr>
          <w:rFonts w:ascii="Narkisim" w:hAnsi="Narkisim" w:cs="Narkisim"/>
          <w:b/>
          <w:bCs/>
          <w:rtl/>
        </w:rPr>
        <w:t>רא"ש</w:t>
      </w:r>
      <w:r w:rsidRPr="00012502">
        <w:rPr>
          <w:rFonts w:ascii="Narkisim" w:hAnsi="Narkisim" w:cs="Narkisim"/>
          <w:rtl/>
        </w:rPr>
        <w:t xml:space="preserve"> (ב).</w:t>
      </w:r>
    </w:p>
    <w:p w14:paraId="0F49CB11"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תרומת הדשן</w:t>
      </w:r>
      <w:r w:rsidRPr="00012502">
        <w:rPr>
          <w:rFonts w:ascii="Narkisim" w:hAnsi="Narkisim"/>
          <w:rtl/>
        </w:rPr>
        <w:t xml:space="preserve"> (ריט) הביא קושיית התוס' דנדה תפטור צרתה</w:t>
      </w:r>
      <w:r w:rsidRPr="00012502">
        <w:rPr>
          <w:rStyle w:val="ac"/>
          <w:rFonts w:ascii="Narkisim" w:hAnsi="Narkisim"/>
          <w:rtl/>
        </w:rPr>
        <w:footnoteReference w:id="36"/>
      </w:r>
      <w:r w:rsidRPr="00012502">
        <w:rPr>
          <w:rFonts w:ascii="Narkisim" w:hAnsi="Narkisim"/>
          <w:rtl/>
        </w:rPr>
        <w:t>.</w:t>
      </w:r>
    </w:p>
    <w:p w14:paraId="1CFFFBCF" w14:textId="77777777" w:rsidR="00BE1D1C" w:rsidRPr="00012502" w:rsidRDefault="00000000" w:rsidP="00012502">
      <w:pPr>
        <w:pStyle w:val="aa"/>
        <w:bidi/>
        <w:rPr>
          <w:rFonts w:ascii="Narkisim" w:hAnsi="Narkisim"/>
        </w:rPr>
      </w:pPr>
      <w:r w:rsidRPr="00012502">
        <w:rPr>
          <w:rFonts w:ascii="Narkisim" w:hAnsi="Narkisim"/>
          <w:u w:val="single"/>
          <w:rtl/>
        </w:rPr>
        <w:t>שם. תאסר לייבם</w:t>
      </w:r>
      <w:r w:rsidRPr="00012502">
        <w:rPr>
          <w:rFonts w:ascii="Narkisim" w:hAnsi="Narkisim"/>
          <w:rtl/>
        </w:rPr>
        <w:t>. ה</w:t>
      </w:r>
      <w:r w:rsidRPr="00012502">
        <w:rPr>
          <w:rFonts w:ascii="Narkisim" w:hAnsi="Narkisim"/>
          <w:b/>
          <w:bCs/>
          <w:rtl/>
        </w:rPr>
        <w:t>ברכ"ש</w:t>
      </w:r>
      <w:r w:rsidRPr="00012502">
        <w:rPr>
          <w:rFonts w:ascii="Narkisim" w:hAnsi="Narkisim"/>
          <w:rtl/>
        </w:rPr>
        <w:t xml:space="preserve"> (א) נקט דכוונת התוס' דהנדה עצמה תפטר בלא חליצה [וכשאר עריות], דאם אינה נפטרת ל"ש נאסרה. אבל </w:t>
      </w:r>
      <w:r w:rsidRPr="00012502">
        <w:rPr>
          <w:rFonts w:ascii="Narkisim" w:hAnsi="Narkisim"/>
          <w:b/>
          <w:bCs/>
          <w:rtl/>
        </w:rPr>
        <w:t>הגרנ"ט</w:t>
      </w:r>
      <w:r w:rsidRPr="00012502">
        <w:rPr>
          <w:rFonts w:ascii="Narkisim" w:hAnsi="Narkisim"/>
          <w:rtl/>
        </w:rPr>
        <w:t xml:space="preserve"> כת' דבעי חליצה דהא תפסי קידושין בנדה. דמבואר [לקמן כ] דזיקה לחליצה תליא בתפיסת קידושין. ועפ"ז הגרנ"ט הביא מתוס' דשייך נאסרה כשזקוקה לחליצה</w:t>
      </w:r>
      <w:r w:rsidRPr="00012502">
        <w:rPr>
          <w:rStyle w:val="ac"/>
          <w:rFonts w:ascii="Narkisim" w:hAnsi="Narkisim"/>
          <w:rtl/>
        </w:rPr>
        <w:footnoteReference w:id="37"/>
      </w:r>
      <w:r w:rsidRPr="00012502">
        <w:rPr>
          <w:rFonts w:ascii="Narkisim" w:hAnsi="Narkisim"/>
          <w:rtl/>
        </w:rPr>
        <w:t>.</w:t>
      </w:r>
    </w:p>
    <w:p w14:paraId="236BE342"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מנח"ח</w:t>
      </w:r>
      <w:r w:rsidRPr="00012502">
        <w:rPr>
          <w:rFonts w:ascii="Narkisim" w:hAnsi="Narkisim"/>
          <w:rtl/>
        </w:rPr>
        <w:t xml:space="preserve"> (רעג ד) נסתפק האם יש נאסרה בחייבי לאו ועשה, היכא דבשעת נפילה אינה ראויה ליבום. וכתב דתליא בספיקו של ה</w:t>
      </w:r>
      <w:r w:rsidRPr="00012502">
        <w:rPr>
          <w:rFonts w:ascii="Narkisim" w:hAnsi="Narkisim"/>
          <w:b/>
          <w:bCs/>
          <w:rtl/>
        </w:rPr>
        <w:t>פרשת דרכים</w:t>
      </w:r>
      <w:r w:rsidRPr="00012502">
        <w:rPr>
          <w:rFonts w:ascii="Narkisim" w:hAnsi="Narkisim"/>
          <w:rtl/>
        </w:rPr>
        <w:t xml:space="preserve"> (למשנ"ל דרך מצוותיך ג</w:t>
      </w:r>
      <w:r w:rsidRPr="00012502">
        <w:rPr>
          <w:rStyle w:val="ac"/>
          <w:rFonts w:ascii="Narkisim" w:hAnsi="Narkisim"/>
          <w:rtl/>
        </w:rPr>
        <w:footnoteReference w:id="38"/>
      </w:r>
      <w:r w:rsidRPr="00012502">
        <w:rPr>
          <w:rFonts w:ascii="Narkisim" w:hAnsi="Narkisim"/>
          <w:rtl/>
        </w:rPr>
        <w:t>, הו' בשעה"מ יבום ו. ויתבאר לקמן) האם בחייבי לו"ע יש איסור אשת אח אם בעלה</w:t>
      </w:r>
      <w:r w:rsidRPr="00012502">
        <w:rPr>
          <w:rStyle w:val="ac"/>
          <w:rFonts w:ascii="Narkisim" w:hAnsi="Narkisim"/>
          <w:rtl/>
        </w:rPr>
        <w:footnoteReference w:id="39"/>
      </w:r>
      <w:r w:rsidRPr="00012502">
        <w:rPr>
          <w:rFonts w:ascii="Narkisim" w:hAnsi="Narkisim"/>
          <w:rtl/>
        </w:rPr>
        <w:t>.</w:t>
      </w:r>
    </w:p>
    <w:p w14:paraId="7CFA1125" w14:textId="77777777" w:rsidR="00BE1D1C" w:rsidRPr="00012502" w:rsidRDefault="00000000" w:rsidP="00012502">
      <w:pPr>
        <w:pStyle w:val="aa"/>
        <w:bidi/>
        <w:rPr>
          <w:rFonts w:ascii="Narkisim" w:hAnsi="Narkisim"/>
        </w:rPr>
      </w:pPr>
      <w:r w:rsidRPr="00012502">
        <w:rPr>
          <w:rFonts w:ascii="Narkisim" w:hAnsi="Narkisim"/>
          <w:rtl/>
        </w:rPr>
        <w:lastRenderedPageBreak/>
        <w:t>וה</w:t>
      </w:r>
      <w:r w:rsidRPr="00012502">
        <w:rPr>
          <w:rFonts w:ascii="Narkisim" w:hAnsi="Narkisim"/>
          <w:b/>
          <w:bCs/>
          <w:rtl/>
        </w:rPr>
        <w:t>חכ"צ</w:t>
      </w:r>
      <w:r w:rsidRPr="00012502">
        <w:rPr>
          <w:rFonts w:ascii="Narkisim" w:hAnsi="Narkisim"/>
          <w:rtl/>
        </w:rPr>
        <w:t xml:space="preserve"> (א ד"ה תמיה לי) הביא צד לדון דכל נשים נאסרה ליבום, דבשעת מיתת בעליהם אסורים משום אונן</w:t>
      </w:r>
      <w:r w:rsidRPr="00012502">
        <w:rPr>
          <w:rStyle w:val="ac"/>
          <w:rFonts w:ascii="Narkisim" w:hAnsi="Narkisim"/>
          <w:rtl/>
        </w:rPr>
        <w:footnoteReference w:id="40"/>
      </w:r>
      <w:r w:rsidRPr="00012502">
        <w:rPr>
          <w:rFonts w:ascii="Narkisim" w:hAnsi="Narkisim"/>
          <w:rtl/>
        </w:rPr>
        <w:t>, ועי"ז תאסר לעולם</w:t>
      </w:r>
      <w:r w:rsidRPr="00012502">
        <w:rPr>
          <w:rStyle w:val="ac"/>
          <w:rFonts w:ascii="Narkisim" w:hAnsi="Narkisim"/>
          <w:rtl/>
        </w:rPr>
        <w:footnoteReference w:id="41"/>
      </w:r>
      <w:r w:rsidRPr="00012502">
        <w:rPr>
          <w:rFonts w:ascii="Narkisim" w:hAnsi="Narkisim"/>
          <w:rtl/>
        </w:rPr>
        <w:t>.</w:t>
      </w:r>
    </w:p>
    <w:p w14:paraId="2070C529"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וה</w:t>
      </w:r>
      <w:r w:rsidRPr="00012502">
        <w:rPr>
          <w:rFonts w:ascii="Narkisim" w:hAnsi="Narkisim"/>
          <w:b/>
          <w:bCs/>
          <w:rtl/>
        </w:rPr>
        <w:t>תו"י</w:t>
      </w:r>
      <w:r w:rsidRPr="00012502">
        <w:rPr>
          <w:rFonts w:ascii="Narkisim" w:hAnsi="Narkisim"/>
          <w:rtl/>
        </w:rPr>
        <w:t xml:space="preserve"> (ד) תי' דכיון שיש לה היתר ע"י טבילה</w:t>
      </w:r>
      <w:r w:rsidRPr="00012502">
        <w:rPr>
          <w:rStyle w:val="ac"/>
          <w:rFonts w:ascii="Narkisim" w:hAnsi="Narkisim"/>
          <w:rtl/>
        </w:rPr>
        <w:footnoteReference w:id="42"/>
      </w:r>
      <w:r w:rsidRPr="00012502">
        <w:rPr>
          <w:rFonts w:ascii="Narkisim" w:hAnsi="Narkisim"/>
          <w:rtl/>
        </w:rPr>
        <w:t xml:space="preserve"> [דמעכשיו עומדת ליטהר], מקרי 'יבמה יבא עליה', והני אין להם היתר</w:t>
      </w:r>
      <w:r w:rsidRPr="00012502">
        <w:rPr>
          <w:rStyle w:val="ac"/>
          <w:rFonts w:ascii="Narkisim" w:hAnsi="Narkisim"/>
          <w:rtl/>
        </w:rPr>
        <w:footnoteReference w:id="43"/>
      </w:r>
      <w:r w:rsidRPr="00012502">
        <w:rPr>
          <w:rFonts w:ascii="Narkisim" w:hAnsi="Narkisim"/>
          <w:rtl/>
        </w:rPr>
        <w:t>. וה</w:t>
      </w:r>
      <w:r w:rsidRPr="00012502">
        <w:rPr>
          <w:rFonts w:ascii="Narkisim" w:hAnsi="Narkisim"/>
          <w:b/>
          <w:bCs/>
          <w:rtl/>
        </w:rPr>
        <w:t xml:space="preserve">יש"ש </w:t>
      </w:r>
      <w:r w:rsidRPr="00012502">
        <w:rPr>
          <w:rFonts w:ascii="Narkisim" w:hAnsi="Narkisim"/>
          <w:rtl/>
        </w:rPr>
        <w:t>דחה סברא זו דמי לא עסקי' במקולקלת שלא תטהר לעולם. [ועכ"פ כה"ג יהא דין נאסרה].</w:t>
      </w:r>
    </w:p>
    <w:p w14:paraId="21486E2B"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הק' דאף אחות אשתו, במקום שאשתו גוססת ועומדת למות פטורה ונאסרה עולמית. ולא אמרי' דעומד להיתר].</w:t>
      </w:r>
    </w:p>
    <w:p w14:paraId="72B72AE7"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(א ג) כתב [לפרש תי' התוס' ע' בסמוך] דנדה יש לה מעכשיו היתר על להבא [שמוגדר מצב זמני, אף אילו לעולם לא תטהר ממנו], ולכן נופלת ליבום [מעכשיו, כלפי להבא]. אבל כל דין נאסרה הוא במקום דנתחדש היתר אח"כ.</w:t>
      </w:r>
    </w:p>
    <w:p w14:paraId="77F5E477" w14:textId="77777777" w:rsidR="00BE1D1C" w:rsidRPr="00012502" w:rsidRDefault="00000000" w:rsidP="00012502">
      <w:pPr>
        <w:bidi/>
        <w:rPr>
          <w:rFonts w:ascii="Narkisim" w:hAnsi="Narkisim" w:cs="Narkisim"/>
        </w:rPr>
      </w:pPr>
      <w:r w:rsidRPr="00012502">
        <w:rPr>
          <w:rFonts w:ascii="Narkisim" w:hAnsi="Narkisim" w:cs="Narkisim"/>
          <w:u w:val="single"/>
          <w:rtl/>
        </w:rPr>
        <w:t>בא"ד דל"ד לאחות אשה, אבל נדה לכו"ע אסירא</w:t>
      </w:r>
      <w:r w:rsidRPr="00012502">
        <w:rPr>
          <w:rStyle w:val="ac"/>
          <w:rFonts w:ascii="Narkisim" w:hAnsi="Narkisim" w:cs="Narkisim"/>
          <w:rtl/>
        </w:rPr>
        <w:footnoteReference w:id="44"/>
      </w:r>
      <w:r w:rsidRPr="00012502">
        <w:rPr>
          <w:rFonts w:ascii="Narkisim" w:hAnsi="Narkisim" w:cs="Narkisim"/>
          <w:rtl/>
        </w:rPr>
        <w:t>. ה</w:t>
      </w:r>
      <w:r w:rsidRPr="00012502">
        <w:rPr>
          <w:rFonts w:ascii="Narkisim" w:hAnsi="Narkisim" w:cs="Narkisim"/>
          <w:b/>
          <w:bCs/>
          <w:rtl/>
        </w:rPr>
        <w:t>קובה"ע</w:t>
      </w:r>
      <w:r w:rsidRPr="00012502">
        <w:rPr>
          <w:rFonts w:ascii="Narkisim" w:hAnsi="Narkisim" w:cs="Narkisim"/>
          <w:rtl/>
        </w:rPr>
        <w:t xml:space="preserve"> (ה י וחי' ר' שלמה) כת' דתי' התוס' דכיון דאין 'פטור' מיבום ל"ש נאסרה</w:t>
      </w:r>
      <w:r w:rsidRPr="00012502">
        <w:rPr>
          <w:rStyle w:val="ac"/>
          <w:rFonts w:ascii="Narkisim" w:hAnsi="Narkisim" w:cs="Narkisim"/>
          <w:rtl/>
        </w:rPr>
        <w:footnoteReference w:id="45"/>
      </w:r>
      <w:r w:rsidRPr="00012502">
        <w:rPr>
          <w:rFonts w:ascii="Narkisim" w:hAnsi="Narkisim" w:cs="Narkisim"/>
          <w:rtl/>
        </w:rPr>
        <w:t xml:space="preserve">. </w:t>
      </w:r>
      <w:r w:rsidRPr="00012502">
        <w:rPr>
          <w:rFonts w:ascii="Narkisim" w:hAnsi="Narkisim" w:cs="Narkisim"/>
          <w:sz w:val="20"/>
          <w:szCs w:val="20"/>
          <w:rtl/>
        </w:rPr>
        <w:t>[ואינו בכלל עריות דיש 'פטור' מיבום]</w:t>
      </w:r>
      <w:r w:rsidRPr="00012502">
        <w:rPr>
          <w:rFonts w:ascii="Narkisim" w:hAnsi="Narkisim" w:cs="Narkisim"/>
          <w:rtl/>
        </w:rPr>
        <w:t>.</w:t>
      </w:r>
    </w:p>
    <w:p w14:paraId="2F4A8F82" w14:textId="77777777" w:rsidR="00BE1D1C" w:rsidRPr="00012502" w:rsidRDefault="00000000" w:rsidP="00012502">
      <w:pPr>
        <w:pStyle w:val="a8"/>
        <w:bidi/>
        <w:rPr>
          <w:rFonts w:ascii="Narkisim" w:hAnsi="Narkisim"/>
        </w:rPr>
      </w:pPr>
      <w:r w:rsidRPr="00012502">
        <w:rPr>
          <w:rFonts w:ascii="Narkisim" w:hAnsi="Narkisim"/>
          <w:rtl/>
        </w:rPr>
        <w:t>ותוס' המשיכו דאפי' בנדתה אם בעלו קנו, והאחרונים דנו אי הוה הוכחה דאין כאן פטור ערוה. או דהוה תי' בפנ"ע, דלתי' הא' יש כאן 'פטור', אלא דל"ד לאחות אשתו. ולתי' הב' בנדה ליכא 'פטור' מיבום כלל, דאף בשעת נדתה בעלו קנו.</w:t>
      </w:r>
    </w:p>
    <w:p w14:paraId="5A7045D1" w14:textId="77777777" w:rsidR="00BE1D1C" w:rsidRPr="00012502" w:rsidRDefault="00000000" w:rsidP="00012502">
      <w:pPr>
        <w:bidi/>
        <w:rPr>
          <w:rFonts w:ascii="Narkisim" w:hAnsi="Narkisim" w:cs="Narkisim"/>
        </w:rPr>
      </w:pPr>
      <w:r w:rsidRPr="00012502">
        <w:rPr>
          <w:rFonts w:ascii="Narkisim" w:hAnsi="Narkisim" w:cs="Narkisim"/>
          <w:u w:val="single"/>
          <w:rtl/>
        </w:rPr>
        <w:t>שם. לכו"ע אסירא.</w:t>
      </w:r>
      <w:r w:rsidRPr="00012502">
        <w:rPr>
          <w:rFonts w:ascii="Narkisim" w:hAnsi="Narkisim" w:cs="Narkisim"/>
          <w:rtl/>
        </w:rPr>
        <w:t xml:space="preserve"> ה</w:t>
      </w:r>
      <w:r w:rsidRPr="00012502">
        <w:rPr>
          <w:rFonts w:ascii="Narkisim" w:hAnsi="Narkisim" w:cs="Narkisim"/>
          <w:b/>
          <w:bCs/>
          <w:rtl/>
        </w:rPr>
        <w:t xml:space="preserve">אבנ"מ </w:t>
      </w:r>
      <w:r w:rsidRPr="00012502">
        <w:rPr>
          <w:rFonts w:ascii="Narkisim" w:hAnsi="Narkisim" w:cs="Narkisim"/>
          <w:rtl/>
        </w:rPr>
        <w:t>(קעד ב) כת' דה"ה בכל אופן שאסורה לכו"ע</w:t>
      </w:r>
      <w:r w:rsidRPr="00012502">
        <w:rPr>
          <w:rStyle w:val="ac"/>
          <w:rFonts w:ascii="Narkisim" w:hAnsi="Narkisim" w:cs="Narkisim"/>
          <w:rtl/>
        </w:rPr>
        <w:footnoteReference w:id="46"/>
      </w:r>
      <w:r w:rsidRPr="00012502">
        <w:rPr>
          <w:rFonts w:ascii="Narkisim" w:hAnsi="Narkisim" w:cs="Narkisim"/>
          <w:rtl/>
        </w:rPr>
        <w:t>, וכגון משום איסור א"א [שקידשו חוץ מפלוני, והוא קידשה</w:t>
      </w:r>
      <w:r w:rsidRPr="00012502">
        <w:rPr>
          <w:rStyle w:val="ac"/>
          <w:rFonts w:ascii="Narkisim" w:hAnsi="Narkisim" w:cs="Narkisim"/>
          <w:rtl/>
        </w:rPr>
        <w:footnoteReference w:id="47"/>
      </w:r>
      <w:r w:rsidRPr="00012502">
        <w:rPr>
          <w:rFonts w:ascii="Narkisim" w:hAnsi="Narkisim" w:cs="Narkisim"/>
          <w:rtl/>
        </w:rPr>
        <w:t>], לא אמרי' דנאסרה עולמית</w:t>
      </w:r>
      <w:r w:rsidRPr="00012502">
        <w:rPr>
          <w:rStyle w:val="ac"/>
          <w:rFonts w:ascii="Narkisim" w:hAnsi="Narkisim" w:cs="Narkisim"/>
          <w:rtl/>
        </w:rPr>
        <w:footnoteReference w:id="48"/>
      </w:r>
      <w:r w:rsidRPr="00012502">
        <w:rPr>
          <w:rFonts w:ascii="Narkisim" w:hAnsi="Narkisim" w:cs="Narkisim"/>
          <w:rtl/>
        </w:rPr>
        <w:t>.</w:t>
      </w:r>
    </w:p>
    <w:p w14:paraId="203349BB"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רא"ש</w:t>
      </w:r>
      <w:r w:rsidRPr="00012502">
        <w:rPr>
          <w:rFonts w:ascii="Narkisim" w:hAnsi="Narkisim"/>
          <w:rtl/>
        </w:rPr>
        <w:t xml:space="preserve"> הוסיף [בתי' התוס'] דלא דמי לשאר עריות דאסורות לזה משום קורבא</w:t>
      </w:r>
      <w:r w:rsidRPr="00012502">
        <w:rPr>
          <w:rStyle w:val="ac"/>
          <w:rFonts w:ascii="Narkisim" w:hAnsi="Narkisim"/>
          <w:rtl/>
        </w:rPr>
        <w:footnoteReference w:id="49"/>
      </w:r>
      <w:r w:rsidRPr="00012502">
        <w:rPr>
          <w:rFonts w:ascii="Narkisim" w:hAnsi="Narkisim"/>
          <w:rtl/>
        </w:rPr>
        <w:t xml:space="preserve">. ומשמע מדבריו דהוה סברא בילפותא, דלא ילפי' נדה מאחות אשה, דאסורה לכו"ע. </w:t>
      </w:r>
      <w:r w:rsidRPr="00012502">
        <w:rPr>
          <w:rFonts w:ascii="Narkisim" w:hAnsi="Narkisim"/>
          <w:szCs w:val="20"/>
          <w:rtl/>
        </w:rPr>
        <w:t>וה</w:t>
      </w:r>
      <w:r w:rsidRPr="00012502">
        <w:rPr>
          <w:rFonts w:ascii="Narkisim" w:hAnsi="Narkisim"/>
          <w:b/>
          <w:bCs/>
          <w:szCs w:val="20"/>
          <w:rtl/>
        </w:rPr>
        <w:t>אחרונים</w:t>
      </w:r>
      <w:r w:rsidRPr="00012502">
        <w:rPr>
          <w:rFonts w:ascii="Narkisim" w:hAnsi="Narkisim"/>
          <w:szCs w:val="20"/>
          <w:rtl/>
        </w:rPr>
        <w:t xml:space="preserve"> (אחיעזר א ב, קובה"ע א א) הק' דאין משיבין על ההיקש</w:t>
      </w:r>
      <w:r w:rsidRPr="00012502">
        <w:rPr>
          <w:rFonts w:ascii="Narkisim" w:hAnsi="Narkisim"/>
          <w:rtl/>
        </w:rPr>
        <w:t>.</w:t>
      </w:r>
    </w:p>
    <w:p w14:paraId="6AA04680" w14:textId="77777777" w:rsidR="00BE1D1C" w:rsidRPr="00012502" w:rsidRDefault="00000000" w:rsidP="00012502">
      <w:pPr>
        <w:bidi/>
        <w:rPr>
          <w:rFonts w:ascii="Narkisim" w:hAnsi="Narkisim" w:cs="Narkisim"/>
        </w:rPr>
      </w:pPr>
      <w:r w:rsidRPr="00012502">
        <w:rPr>
          <w:rFonts w:ascii="Narkisim" w:hAnsi="Narkisim" w:cs="Narkisim"/>
          <w:u w:val="single"/>
          <w:rtl/>
        </w:rPr>
        <w:t>בא"ד אם בעלו קנו.</w:t>
      </w:r>
      <w:r w:rsidRPr="00012502">
        <w:rPr>
          <w:rFonts w:ascii="Narkisim" w:hAnsi="Narkisim" w:cs="Narkisim"/>
          <w:rtl/>
        </w:rPr>
        <w:t xml:space="preserve"> בגמ' (לקמן כ:) מבואר דבחייבי לאו ועשה </w:t>
      </w:r>
      <w:r w:rsidRPr="00012502">
        <w:rPr>
          <w:rFonts w:ascii="Narkisim" w:hAnsi="Narkisim" w:cs="Narkisim"/>
          <w:sz w:val="20"/>
          <w:szCs w:val="20"/>
          <w:rtl/>
        </w:rPr>
        <w:t>[אלמנה מהנישואין לכה"ג ואין עשה דוחה ל"ת ועשה]</w:t>
      </w:r>
      <w:r w:rsidRPr="00012502">
        <w:rPr>
          <w:rFonts w:ascii="Narkisim" w:hAnsi="Narkisim" w:cs="Narkisim"/>
          <w:rtl/>
        </w:rPr>
        <w:t>, אם בעלו לא קנו. כיון דאסורה להתייבם אמרי' דאשה זו לא רמי ליבום, ואף דהוה איסור חיצוני. ובזה מבואר בתוס' דנדה עדיף, וצ"ב הטעם.</w:t>
      </w:r>
    </w:p>
    <w:p w14:paraId="21BD85DA"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נקטו דכוונת התוס' דחל מצוות יבום בנדה, כיון דהאשה עומדת להיתר מש"ה חל המצווה כלפי העתיד. וה</w:t>
      </w:r>
      <w:r w:rsidRPr="00012502">
        <w:rPr>
          <w:rFonts w:ascii="Narkisim" w:hAnsi="Narkisim"/>
          <w:b/>
          <w:bCs/>
          <w:rtl/>
        </w:rPr>
        <w:t xml:space="preserve">גרי"ז </w:t>
      </w:r>
      <w:r w:rsidRPr="00012502">
        <w:rPr>
          <w:rFonts w:ascii="Narkisim" w:hAnsi="Narkisim"/>
          <w:sz w:val="20"/>
          <w:szCs w:val="20"/>
          <w:rtl/>
        </w:rPr>
        <w:t xml:space="preserve">(במכתב בסה"ס עמ' האחרון) </w:t>
      </w:r>
      <w:r w:rsidRPr="00012502">
        <w:rPr>
          <w:rFonts w:ascii="Narkisim" w:hAnsi="Narkisim"/>
          <w:rtl/>
        </w:rPr>
        <w:t>ביאר דבנדה ליכא גריעותא כלל בדין יבום [דאינו דין בעצם האשה], דהוה איסור רק במעשה הביאה בשעתה. אבל שאר חיי"ל איסורן סותר למצות יבום, ובלא עשה דוחה ל"ת אף דהזיקה לא פקע, מ"מ ל"ק קנין גמור. וביאר דנדה אין איסורה שייך כלל לליקוחין</w:t>
      </w:r>
      <w:r w:rsidRPr="00012502">
        <w:rPr>
          <w:rStyle w:val="ac"/>
          <w:rFonts w:ascii="Narkisim" w:hAnsi="Narkisim"/>
          <w:rtl/>
        </w:rPr>
        <w:footnoteReference w:id="50"/>
      </w:r>
      <w:r w:rsidRPr="00012502">
        <w:rPr>
          <w:rFonts w:ascii="Narkisim" w:hAnsi="Narkisim"/>
          <w:rtl/>
        </w:rPr>
        <w:t>.</w:t>
      </w:r>
    </w:p>
    <w:p w14:paraId="7EC4BE81"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שם.</w:t>
      </w:r>
      <w:r w:rsidRPr="00012502">
        <w:rPr>
          <w:rFonts w:ascii="Narkisim" w:hAnsi="Narkisim" w:cs="Narkisim"/>
          <w:rtl/>
        </w:rPr>
        <w:t xml:space="preserve"> וה</w:t>
      </w:r>
      <w:r w:rsidRPr="00012502">
        <w:rPr>
          <w:rFonts w:ascii="Narkisim" w:hAnsi="Narkisim" w:cs="Narkisim"/>
          <w:b/>
          <w:bCs/>
          <w:rtl/>
        </w:rPr>
        <w:t>אחרונים</w:t>
      </w:r>
      <w:r w:rsidRPr="00012502">
        <w:rPr>
          <w:rFonts w:ascii="Narkisim" w:hAnsi="Narkisim" w:cs="Narkisim"/>
          <w:rtl/>
        </w:rPr>
        <w:t xml:space="preserve"> הק' דמ"מ אמאי אם בעלו קנו, ותיפו"ל מדין מצוה הבא בעבירה. וה</w:t>
      </w:r>
      <w:r w:rsidRPr="00012502">
        <w:rPr>
          <w:rFonts w:ascii="Narkisim" w:hAnsi="Narkisim" w:cs="Narkisim"/>
          <w:b/>
          <w:bCs/>
          <w:rtl/>
        </w:rPr>
        <w:t>אחרונים</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ברכ"ש ב, חי' ר' שמעון ב, קובה"ע יא א)</w:t>
      </w:r>
      <w:r w:rsidRPr="00012502">
        <w:rPr>
          <w:rFonts w:ascii="Narkisim" w:hAnsi="Narkisim" w:cs="Narkisim"/>
          <w:rtl/>
        </w:rPr>
        <w:t xml:space="preserve"> דמצות יבום מתקיים ע"י הקנין, והתוצאה [הקנין] אינה מתבטלת מחמת שהוא באיסור, וממילא קיים המצוה. </w:t>
      </w:r>
      <w:r w:rsidRPr="00012502">
        <w:rPr>
          <w:rFonts w:ascii="Narkisim" w:hAnsi="Narkisim" w:cs="Narkisim"/>
          <w:sz w:val="20"/>
          <w:szCs w:val="20"/>
          <w:rtl/>
        </w:rPr>
        <w:t>דמצוה הבא בעבירה שייך לגבי עצם המצוה, ולא במה שנפעל ע"י, והכא העשיה הוה הכשר כמו מילה.</w:t>
      </w:r>
    </w:p>
    <w:p w14:paraId="5CCD518C" w14:textId="77777777" w:rsidR="00BE1D1C" w:rsidRPr="00012502" w:rsidRDefault="00000000" w:rsidP="00012502">
      <w:pPr>
        <w:bidi/>
        <w:rPr>
          <w:rFonts w:ascii="Narkisim" w:hAnsi="Narkisim" w:cs="Narkisim"/>
        </w:rPr>
      </w:pPr>
      <w:r w:rsidRPr="00012502">
        <w:rPr>
          <w:rFonts w:ascii="Narkisim" w:hAnsi="Narkisim" w:cs="Narkisim"/>
          <w:u w:val="single"/>
          <w:rtl/>
        </w:rPr>
        <w:t>בא"ד ועוד נראה לחלק, משום דרכי נועם, אם יש לה להזדקק לזה שנפטרה ממנו</w:t>
      </w:r>
      <w:r w:rsidRPr="00012502">
        <w:rPr>
          <w:rStyle w:val="ac"/>
          <w:rFonts w:ascii="Narkisim" w:hAnsi="Narkisim" w:cs="Narkisim"/>
          <w:rtl/>
        </w:rPr>
        <w:footnoteReference w:id="51"/>
      </w:r>
      <w:r w:rsidRPr="00012502">
        <w:rPr>
          <w:rFonts w:ascii="Narkisim" w:hAnsi="Narkisim" w:cs="Narkisim"/>
          <w:rtl/>
        </w:rPr>
        <w:t xml:space="preserve">. </w:t>
      </w:r>
      <w:r w:rsidRPr="00012502">
        <w:rPr>
          <w:rFonts w:ascii="Narkisim" w:hAnsi="Narkisim" w:cs="Narkisim"/>
          <w:sz w:val="20"/>
          <w:szCs w:val="20"/>
          <w:rtl/>
        </w:rPr>
        <w:t>[ואף במקום שזקוקה לאח אחר שייך סברת דרכי נועם</w:t>
      </w:r>
      <w:r w:rsidRPr="00012502">
        <w:rPr>
          <w:rStyle w:val="ac"/>
          <w:rFonts w:ascii="Narkisim" w:hAnsi="Narkisim" w:cs="Narkisim"/>
          <w:sz w:val="20"/>
          <w:szCs w:val="20"/>
          <w:rtl/>
        </w:rPr>
        <w:footnoteReference w:id="52"/>
      </w:r>
      <w:r w:rsidRPr="00012502">
        <w:rPr>
          <w:rFonts w:ascii="Narkisim" w:hAnsi="Narkisim" w:cs="Narkisim"/>
          <w:sz w:val="20"/>
          <w:szCs w:val="20"/>
          <w:rtl/>
        </w:rPr>
        <w:t>. ובפשוטו ה</w:t>
      </w:r>
      <w:r w:rsidRPr="00012502">
        <w:rPr>
          <w:rFonts w:ascii="Narkisim" w:hAnsi="Narkisim" w:cs="Narkisim"/>
          <w:b/>
          <w:bCs/>
          <w:sz w:val="20"/>
          <w:szCs w:val="20"/>
          <w:rtl/>
        </w:rPr>
        <w:t>רשב"א</w:t>
      </w:r>
      <w:r w:rsidRPr="00012502">
        <w:rPr>
          <w:rFonts w:ascii="Narkisim" w:hAnsi="Narkisim" w:cs="Narkisim"/>
          <w:sz w:val="20"/>
          <w:szCs w:val="20"/>
          <w:rtl/>
        </w:rPr>
        <w:t xml:space="preserve"> ושא"ר (לקמן יז) פליגי בזה. וע"ע </w:t>
      </w:r>
      <w:r w:rsidRPr="00012502">
        <w:rPr>
          <w:rFonts w:ascii="Narkisim" w:hAnsi="Narkisim" w:cs="Narkisim"/>
          <w:b/>
          <w:bCs/>
          <w:sz w:val="20"/>
          <w:szCs w:val="20"/>
          <w:rtl/>
        </w:rPr>
        <w:t>רע"א</w:t>
      </w:r>
      <w:r w:rsidRPr="00012502">
        <w:rPr>
          <w:rFonts w:ascii="Narkisim" w:hAnsi="Narkisim" w:cs="Narkisim"/>
          <w:sz w:val="20"/>
          <w:szCs w:val="20"/>
          <w:rtl/>
        </w:rPr>
        <w:t xml:space="preserve"> לקמן שם</w:t>
      </w:r>
      <w:r w:rsidRPr="00012502">
        <w:rPr>
          <w:rFonts w:ascii="Narkisim" w:hAnsi="Narkisim" w:cs="Narkisim"/>
          <w:rtl/>
        </w:rPr>
        <w:t>].</w:t>
      </w:r>
    </w:p>
    <w:p w14:paraId="4BBE5D46" w14:textId="77777777" w:rsidR="00BE1D1C" w:rsidRPr="00012502" w:rsidRDefault="00000000" w:rsidP="00012502">
      <w:pPr>
        <w:pStyle w:val="a7"/>
        <w:bidi/>
        <w:rPr>
          <w:rFonts w:ascii="Narkisim" w:hAnsi="Narkisim"/>
        </w:rPr>
      </w:pPr>
      <w:r w:rsidRPr="00012502">
        <w:rPr>
          <w:rFonts w:ascii="Narkisim" w:hAnsi="Narkisim"/>
          <w:rtl/>
        </w:rPr>
        <w:t xml:space="preserve">ולתי' הזה בתוס' מבואר דכל הדין 'נאסרה' [שאין אני קורא בא בשעת נפילה וכו' הוה כאשת אח שיש לה בנים (כדאי' לקמן ל. מא. ועוד)] הוא משום דרכי נועם </w:t>
      </w:r>
      <w:r w:rsidRPr="00012502">
        <w:rPr>
          <w:rFonts w:ascii="Narkisim" w:hAnsi="Narkisim"/>
          <w:szCs w:val="20"/>
          <w:rtl/>
        </w:rPr>
        <w:t>[דילפי' (לקמן פז:) דהיכא דהיה לה בן ומת לאחר זמן, לא אמרי' שתחזור להזקק ליבום. ותוס' נקטו דמטעם זה ה"ה שאר פטור מיבום כלפי יבם זה, אינו ראוי שתחזור ותזקק</w:t>
      </w:r>
      <w:r w:rsidRPr="00012502">
        <w:rPr>
          <w:rFonts w:ascii="Narkisim" w:hAnsi="Narkisim"/>
          <w:rtl/>
        </w:rPr>
        <w:t>].</w:t>
      </w:r>
    </w:p>
    <w:p w14:paraId="610D121B"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אחרונים</w:t>
      </w:r>
      <w:r w:rsidRPr="00012502">
        <w:rPr>
          <w:rFonts w:ascii="Narkisim" w:hAnsi="Narkisim" w:cs="Narkisim"/>
          <w:rtl/>
        </w:rPr>
        <w:t xml:space="preserve"> (קובה"ע ו, חי' ר' ראובן א) חקרו האם דרכי נועם הוה </w:t>
      </w:r>
      <w:r w:rsidRPr="00012502">
        <w:rPr>
          <w:rFonts w:ascii="Narkisim" w:hAnsi="Narkisim" w:cs="Narkisim"/>
          <w:i/>
          <w:iCs/>
          <w:rtl/>
        </w:rPr>
        <w:t>סיבה</w:t>
      </w:r>
      <w:r w:rsidRPr="00012502">
        <w:rPr>
          <w:rFonts w:ascii="Narkisim" w:hAnsi="Narkisim" w:cs="Narkisim"/>
          <w:rtl/>
        </w:rPr>
        <w:t xml:space="preserve"> לפטור [וכדמשמע בפשטות מתוס'], או דהוה </w:t>
      </w:r>
      <w:r w:rsidRPr="00012502">
        <w:rPr>
          <w:rFonts w:ascii="Narkisim" w:hAnsi="Narkisim" w:cs="Narkisim"/>
          <w:i/>
          <w:iCs/>
          <w:rtl/>
        </w:rPr>
        <w:t>סימן</w:t>
      </w:r>
      <w:r w:rsidRPr="00012502">
        <w:rPr>
          <w:rFonts w:ascii="Narkisim" w:hAnsi="Narkisim" w:cs="Narkisim"/>
          <w:rtl/>
        </w:rPr>
        <w:t xml:space="preserve"> דלא חל זיקה אח"כ, וכלשון </w:t>
      </w:r>
      <w:r w:rsidRPr="00012502">
        <w:rPr>
          <w:rFonts w:ascii="Narkisim" w:hAnsi="Narkisim" w:cs="Narkisim"/>
          <w:b/>
          <w:bCs/>
          <w:rtl/>
        </w:rPr>
        <w:t>רש"י</w:t>
      </w:r>
      <w:r w:rsidRPr="00012502">
        <w:rPr>
          <w:rFonts w:ascii="Narkisim" w:hAnsi="Narkisim" w:cs="Narkisim"/>
          <w:rtl/>
        </w:rPr>
        <w:t xml:space="preserve"> (לקמן פז:) דע"כ בן אין לו בשעת מיתה קאמר</w:t>
      </w:r>
      <w:r w:rsidRPr="00012502">
        <w:rPr>
          <w:rStyle w:val="ac"/>
          <w:rFonts w:ascii="Narkisim" w:hAnsi="Narkisim" w:cs="Narkisim"/>
          <w:rtl/>
        </w:rPr>
        <w:footnoteReference w:id="53"/>
      </w:r>
      <w:r w:rsidRPr="00012502">
        <w:rPr>
          <w:rFonts w:ascii="Narkisim" w:hAnsi="Narkisim" w:cs="Narkisim"/>
          <w:rtl/>
        </w:rPr>
        <w:t xml:space="preserve">. וכ"כ </w:t>
      </w:r>
      <w:r w:rsidRPr="00012502">
        <w:rPr>
          <w:rFonts w:ascii="Narkisim" w:hAnsi="Narkisim" w:cs="Narkisim"/>
          <w:b/>
          <w:bCs/>
          <w:rtl/>
        </w:rPr>
        <w:t>רע"א</w:t>
      </w:r>
      <w:r w:rsidRPr="00012502">
        <w:rPr>
          <w:rFonts w:ascii="Narkisim" w:hAnsi="Narkisim" w:cs="Narkisim"/>
          <w:rtl/>
        </w:rPr>
        <w:t xml:space="preserve"> (הו' לקמן יז:) דמכח דרכי נועם נפרש לקרא, דדין יבום תליא רק כשנזקקה בשעת נפילה, ולא יחול זיקה אח"כ.</w:t>
      </w:r>
    </w:p>
    <w:p w14:paraId="4D7C812E"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קובה"ע</w:t>
      </w:r>
      <w:r w:rsidRPr="00012502">
        <w:rPr>
          <w:rFonts w:ascii="Narkisim" w:hAnsi="Narkisim" w:cs="Narkisim"/>
          <w:rtl/>
        </w:rPr>
        <w:t xml:space="preserve"> (א ד, ועוד אחרונים) העיר דבנפילה שניה ל"ש סברת דרכי נועם. וע"כ בנפילה שניה הוה גדר [פטור] 'נאסרה'. או משום דלא הותר בנפילה ראשונה</w:t>
      </w:r>
      <w:r w:rsidRPr="00012502">
        <w:rPr>
          <w:rStyle w:val="ac"/>
          <w:rFonts w:ascii="Narkisim" w:hAnsi="Narkisim" w:cs="Narkisim"/>
          <w:rtl/>
        </w:rPr>
        <w:footnoteReference w:id="54"/>
      </w:r>
      <w:r w:rsidRPr="00012502">
        <w:rPr>
          <w:rFonts w:ascii="Narkisim" w:hAnsi="Narkisim" w:cs="Narkisim"/>
          <w:rtl/>
        </w:rPr>
        <w:t>.</w:t>
      </w:r>
    </w:p>
    <w:p w14:paraId="3C74A6B7" w14:textId="77777777" w:rsidR="00BE1D1C" w:rsidRPr="00012502" w:rsidRDefault="00000000" w:rsidP="00012502">
      <w:pPr>
        <w:pStyle w:val="a7"/>
        <w:bidi/>
        <w:rPr>
          <w:rFonts w:ascii="Narkisim" w:hAnsi="Narkisim"/>
        </w:rPr>
      </w:pPr>
      <w:r w:rsidRPr="00012502">
        <w:rPr>
          <w:rFonts w:ascii="Narkisim" w:hAnsi="Narkisim"/>
          <w:rtl/>
        </w:rPr>
        <w:t xml:space="preserve">והקשה דבגמ' (לקמן ל.) עבדינן צריכותא שאינה חוזרת להיתר באותו נפילה, ובנפילה שניה. [ומשמע דאליבא דאמת שייך לאותו גדר]. </w:t>
      </w:r>
      <w:r w:rsidRPr="00012502">
        <w:rPr>
          <w:rFonts w:ascii="Narkisim" w:hAnsi="Narkisim"/>
          <w:sz w:val="20"/>
          <w:szCs w:val="20"/>
          <w:rtl/>
        </w:rPr>
        <w:t>ועוד הקשו ה</w:t>
      </w:r>
      <w:r w:rsidRPr="00012502">
        <w:rPr>
          <w:rFonts w:ascii="Narkisim" w:hAnsi="Narkisim"/>
          <w:b/>
          <w:bCs/>
          <w:sz w:val="20"/>
          <w:szCs w:val="20"/>
          <w:rtl/>
        </w:rPr>
        <w:t>אחרונים</w:t>
      </w:r>
      <w:r w:rsidRPr="00012502">
        <w:rPr>
          <w:rFonts w:ascii="Narkisim" w:hAnsi="Narkisim"/>
          <w:sz w:val="20"/>
          <w:szCs w:val="20"/>
          <w:rtl/>
        </w:rPr>
        <w:t xml:space="preserve"> דלמ"ד (לקמן יג. וקט.) נישואין מפילים אמרי' נאסרה מחיים, ובזה ל"ש דרכי נועם</w:t>
      </w:r>
      <w:r w:rsidRPr="00012502">
        <w:rPr>
          <w:rStyle w:val="ac"/>
          <w:rFonts w:ascii="Narkisim" w:hAnsi="Narkisim"/>
          <w:sz w:val="20"/>
          <w:szCs w:val="20"/>
          <w:rtl/>
        </w:rPr>
        <w:footnoteReference w:id="55"/>
      </w:r>
      <w:r w:rsidRPr="00012502">
        <w:rPr>
          <w:rFonts w:ascii="Narkisim" w:hAnsi="Narkisim"/>
          <w:sz w:val="20"/>
          <w:szCs w:val="20"/>
          <w:rtl/>
        </w:rPr>
        <w:t>.</w:t>
      </w:r>
    </w:p>
    <w:p w14:paraId="622C8EA0" w14:textId="77777777" w:rsidR="00BE1D1C" w:rsidRPr="00012502" w:rsidRDefault="00000000" w:rsidP="00012502">
      <w:pPr>
        <w:pStyle w:val="aa"/>
        <w:bidi/>
        <w:rPr>
          <w:rFonts w:ascii="Narkisim" w:hAnsi="Narkisim"/>
        </w:rPr>
      </w:pPr>
      <w:r w:rsidRPr="00012502">
        <w:rPr>
          <w:rFonts w:ascii="Narkisim" w:hAnsi="Narkisim"/>
          <w:u w:val="single"/>
          <w:rtl/>
        </w:rPr>
        <w:t>בא"ד אבל נדה דרכי נועם היא, דלבעלה נמי צריכה להמתין</w:t>
      </w:r>
      <w:r w:rsidRPr="00012502">
        <w:rPr>
          <w:rStyle w:val="ac"/>
          <w:rFonts w:ascii="Narkisim" w:hAnsi="Narkisim"/>
          <w:rtl/>
        </w:rPr>
        <w:footnoteReference w:id="56"/>
      </w:r>
      <w:r w:rsidRPr="00012502">
        <w:rPr>
          <w:rFonts w:ascii="Narkisim" w:hAnsi="Narkisim"/>
          <w:rtl/>
        </w:rPr>
        <w:t>. לכאורה כוונת התוס' דדרכי נועם הוה סיבה, ובנדה אין את הטעם של דרכי נועם.</w:t>
      </w:r>
    </w:p>
    <w:p w14:paraId="6268694A" w14:textId="77777777" w:rsidR="00BE1D1C" w:rsidRPr="00012502" w:rsidRDefault="00000000" w:rsidP="00012502">
      <w:pPr>
        <w:pStyle w:val="3"/>
        <w:bidi/>
        <w:rPr>
          <w:rFonts w:ascii="Narkisim" w:hAnsi="Narkisim"/>
        </w:rPr>
      </w:pPr>
      <w:r w:rsidRPr="00012502">
        <w:rPr>
          <w:rFonts w:ascii="Narkisim" w:hAnsi="Narkisim"/>
          <w:rtl/>
        </w:rPr>
        <w:t>דף ב:</w:t>
      </w:r>
    </w:p>
    <w:p w14:paraId="5A9C1B91" w14:textId="77777777" w:rsidR="00BE1D1C" w:rsidRPr="00012502" w:rsidRDefault="00000000" w:rsidP="00012502">
      <w:pPr>
        <w:bidi/>
        <w:rPr>
          <w:rFonts w:ascii="Narkisim" w:hAnsi="Narkisim" w:cs="Narkisim"/>
        </w:rPr>
      </w:pPr>
      <w:r w:rsidRPr="00012502">
        <w:rPr>
          <w:rFonts w:ascii="Narkisim" w:hAnsi="Narkisim" w:cs="Narkisim"/>
          <w:u w:val="single"/>
          <w:rtl/>
        </w:rPr>
        <w:t>אשת אחיו שלא היה בעולמו.</w:t>
      </w:r>
      <w:r w:rsidRPr="00012502">
        <w:rPr>
          <w:rFonts w:ascii="Narkisim" w:hAnsi="Narkisim" w:cs="Narkisim"/>
          <w:rtl/>
        </w:rPr>
        <w:t xml:space="preserve"> פ</w:t>
      </w:r>
      <w:r w:rsidRPr="00012502">
        <w:rPr>
          <w:rFonts w:ascii="Narkisim" w:hAnsi="Narkisim" w:cs="Narkisim"/>
          <w:b/>
          <w:bCs/>
          <w:rtl/>
        </w:rPr>
        <w:t xml:space="preserve">רש"י </w:t>
      </w:r>
      <w:r w:rsidRPr="00012502">
        <w:rPr>
          <w:rFonts w:ascii="Narkisim" w:hAnsi="Narkisim" w:cs="Narkisim"/>
          <w:sz w:val="20"/>
          <w:szCs w:val="20"/>
          <w:rtl/>
        </w:rPr>
        <w:t xml:space="preserve">(ד"ה ואא"ח שלא היה בעולמו) </w:t>
      </w:r>
      <w:r w:rsidRPr="00012502">
        <w:rPr>
          <w:rFonts w:ascii="Narkisim" w:hAnsi="Narkisim" w:cs="Narkisim"/>
          <w:rtl/>
        </w:rPr>
        <w:t>לא שרי ליה דכתיב 'יחדיו', ונאסרה כאשת אח שיש לה בנים וכו', ואפי' עכשיו נפלה לפניו מכח נשואי שמעון, אסורה לו בשביל ראובן וכו'. ה</w:t>
      </w:r>
      <w:r w:rsidRPr="00012502">
        <w:rPr>
          <w:rFonts w:ascii="Narkisim" w:hAnsi="Narkisim" w:cs="Narkisim"/>
          <w:b/>
          <w:bCs/>
          <w:rtl/>
        </w:rPr>
        <w:t>קובה"ע</w:t>
      </w:r>
      <w:r w:rsidRPr="00012502">
        <w:rPr>
          <w:rFonts w:ascii="Narkisim" w:hAnsi="Narkisim" w:cs="Narkisim"/>
          <w:rtl/>
        </w:rPr>
        <w:t xml:space="preserve"> (א ב) הביא מדברי רש"י דדין אשת אחיו שלא היה בעולמו הוה מדין נאסרה</w:t>
      </w:r>
      <w:r w:rsidRPr="00012502">
        <w:rPr>
          <w:rStyle w:val="ac"/>
          <w:rFonts w:ascii="Narkisim" w:hAnsi="Narkisim" w:cs="Narkisim"/>
          <w:rtl/>
        </w:rPr>
        <w:footnoteReference w:id="57"/>
      </w:r>
      <w:r w:rsidRPr="00012502">
        <w:rPr>
          <w:rFonts w:ascii="Narkisim" w:hAnsi="Narkisim" w:cs="Narkisim"/>
          <w:rtl/>
        </w:rPr>
        <w:t>.</w:t>
      </w:r>
    </w:p>
    <w:p w14:paraId="31DA61CB"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חזו"א</w:t>
      </w:r>
      <w:r w:rsidRPr="00012502">
        <w:rPr>
          <w:rFonts w:ascii="Narkisim" w:hAnsi="Narkisim"/>
          <w:rtl/>
        </w:rPr>
        <w:t xml:space="preserve"> (קלא ה) ביאר הטעם דבכל נפילה שניה מתייחס היבום אף כלפי האח הראשון, ואל"כ אסורה מחמתו.</w:t>
      </w:r>
    </w:p>
    <w:p w14:paraId="21E6739A" w14:textId="77777777" w:rsidR="00BE1D1C" w:rsidRPr="00012502" w:rsidRDefault="00000000" w:rsidP="00012502">
      <w:pPr>
        <w:pStyle w:val="aa"/>
        <w:bidi/>
        <w:rPr>
          <w:rFonts w:ascii="Narkisim" w:hAnsi="Narkisim"/>
        </w:rPr>
      </w:pPr>
      <w:r w:rsidRPr="00012502">
        <w:rPr>
          <w:rFonts w:ascii="Narkisim" w:hAnsi="Narkisim"/>
          <w:u w:val="single"/>
          <w:rtl/>
        </w:rPr>
        <w:t>רש"י ד"ה ואשת.</w:t>
      </w:r>
      <w:r w:rsidRPr="00012502">
        <w:rPr>
          <w:rFonts w:ascii="Narkisim" w:hAnsi="Narkisim"/>
          <w:rtl/>
        </w:rPr>
        <w:t xml:space="preserve"> ונולד לו אח לאחר מיתה וכו' ועמד לוי וייבם אשתו וכו'. רש"י הביא מקרה שנולד קודם ששמעון ייבם, ובזה כו"ע מודו דאסור. והיכא דלוי נולד לאחר ששמעון יבם [ייבם ואח"כ נולד] נח' רבנן ור"ש. דדעת ר' שמעון (לקמן יח:, ט: ועוד) ס"ל דייבם ולבסוף נולד מותרת, דבא ומצאה בהיתר [כדאיתא לקמן כ., ויתבאר במקומו]. והראשונים דנו אמאי רש"י נקט כר"ש. [וע' ריטב"א].</w:t>
      </w:r>
    </w:p>
    <w:p w14:paraId="20EDA008" w14:textId="77777777" w:rsidR="00BE1D1C" w:rsidRPr="00012502" w:rsidRDefault="00000000" w:rsidP="00012502">
      <w:pPr>
        <w:bidi/>
        <w:rPr>
          <w:rFonts w:ascii="Narkisim" w:hAnsi="Narkisim" w:cs="Narkisim"/>
        </w:rPr>
      </w:pPr>
      <w:r w:rsidRPr="00012502">
        <w:rPr>
          <w:rFonts w:ascii="Narkisim" w:hAnsi="Narkisim" w:cs="Narkisim"/>
          <w:u w:val="single"/>
          <w:rtl/>
        </w:rPr>
        <w:t>תוד"ה או.</w:t>
      </w:r>
      <w:r w:rsidRPr="00012502">
        <w:rPr>
          <w:rFonts w:ascii="Narkisim" w:hAnsi="Narkisim" w:cs="Narkisim"/>
          <w:rtl/>
        </w:rPr>
        <w:t xml:space="preserve"> דאילונית קידושי טעות הן. [וכ"כ </w:t>
      </w:r>
      <w:r w:rsidRPr="00012502">
        <w:rPr>
          <w:rFonts w:ascii="Narkisim" w:hAnsi="Narkisim" w:cs="Narkisim"/>
          <w:b/>
          <w:bCs/>
          <w:rtl/>
        </w:rPr>
        <w:t>רש"י</w:t>
      </w:r>
      <w:r w:rsidRPr="00012502">
        <w:rPr>
          <w:rFonts w:ascii="Narkisim" w:hAnsi="Narkisim" w:cs="Narkisim"/>
          <w:rtl/>
        </w:rPr>
        <w:t>]. וכדאיתא בגמ' (לקמן יב.) אליבא דרב אסי. אבל לרבא (יב.) אפי' הכיר בה מותרת, מגזיה"כ.</w:t>
      </w:r>
    </w:p>
    <w:p w14:paraId="57211883"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ראשונים</w:t>
      </w:r>
      <w:r w:rsidRPr="00012502">
        <w:rPr>
          <w:rFonts w:ascii="Narkisim" w:hAnsi="Narkisim"/>
          <w:rtl/>
        </w:rPr>
        <w:t xml:space="preserve"> (רמב"ן ועוד) הביאו בשם </w:t>
      </w:r>
      <w:r w:rsidRPr="00012502">
        <w:rPr>
          <w:rFonts w:ascii="Narkisim" w:hAnsi="Narkisim"/>
          <w:b/>
          <w:bCs/>
          <w:rtl/>
        </w:rPr>
        <w:t>ר"ת</w:t>
      </w:r>
      <w:r w:rsidRPr="00012502">
        <w:rPr>
          <w:rFonts w:ascii="Narkisim" w:hAnsi="Narkisim"/>
          <w:rtl/>
        </w:rPr>
        <w:t xml:space="preserve"> (ס' הישר קעה) דדוקא לרב אסי מוכח דאילונית </w:t>
      </w:r>
      <w:r w:rsidRPr="00012502">
        <w:rPr>
          <w:rFonts w:ascii="Narkisim" w:hAnsi="Narkisim"/>
          <w:rtl/>
        </w:rPr>
        <w:lastRenderedPageBreak/>
        <w:t>הוה מקח טעות. אבל לרבא איילונית בעי גט אף בלא קיבלה עליה</w:t>
      </w:r>
      <w:r w:rsidRPr="00012502">
        <w:rPr>
          <w:rStyle w:val="ac"/>
          <w:rFonts w:ascii="Narkisim" w:hAnsi="Narkisim"/>
          <w:rtl/>
        </w:rPr>
        <w:footnoteReference w:id="58"/>
      </w:r>
      <w:r w:rsidRPr="00012502">
        <w:rPr>
          <w:rFonts w:ascii="Narkisim" w:hAnsi="Narkisim"/>
          <w:rtl/>
        </w:rPr>
        <w:t xml:space="preserve">. </w:t>
      </w:r>
      <w:r w:rsidRPr="00012502">
        <w:rPr>
          <w:rFonts w:ascii="Narkisim" w:hAnsi="Narkisim"/>
          <w:sz w:val="20"/>
          <w:szCs w:val="20"/>
          <w:rtl/>
        </w:rPr>
        <w:t>ו</w:t>
      </w:r>
      <w:r w:rsidRPr="00012502">
        <w:rPr>
          <w:rFonts w:ascii="Narkisim" w:hAnsi="Narkisim"/>
          <w:b/>
          <w:bCs/>
          <w:sz w:val="20"/>
          <w:szCs w:val="20"/>
          <w:rtl/>
        </w:rPr>
        <w:t>תוס' חד מקמאי</w:t>
      </w:r>
      <w:r w:rsidRPr="00012502">
        <w:rPr>
          <w:rFonts w:ascii="Narkisim" w:hAnsi="Narkisim"/>
          <w:sz w:val="20"/>
          <w:szCs w:val="20"/>
          <w:rtl/>
        </w:rPr>
        <w:t xml:space="preserve"> (עה"ג לקמן יב.) נסתפק האם היינו מדרבנן או מדאורייתא מספק</w:t>
      </w:r>
      <w:r w:rsidRPr="00012502">
        <w:rPr>
          <w:rStyle w:val="ac"/>
          <w:rFonts w:ascii="Narkisim" w:hAnsi="Narkisim"/>
          <w:sz w:val="20"/>
          <w:szCs w:val="20"/>
          <w:rtl/>
        </w:rPr>
        <w:footnoteReference w:id="59"/>
      </w:r>
      <w:r w:rsidRPr="00012502">
        <w:rPr>
          <w:rFonts w:ascii="Narkisim" w:hAnsi="Narkisim"/>
          <w:sz w:val="20"/>
          <w:szCs w:val="20"/>
          <w:rtl/>
        </w:rPr>
        <w:t>. [וע' בראשונים כאן].</w:t>
      </w:r>
    </w:p>
    <w:p w14:paraId="2BB64FFA" w14:textId="77777777" w:rsidR="00BE1D1C" w:rsidRPr="00012502" w:rsidRDefault="00000000" w:rsidP="00012502">
      <w:pPr>
        <w:bidi/>
        <w:rPr>
          <w:rFonts w:ascii="Narkisim" w:hAnsi="Narkisim" w:cs="Narkisim"/>
        </w:rPr>
      </w:pPr>
      <w:r w:rsidRPr="00012502">
        <w:rPr>
          <w:rFonts w:ascii="Narkisim" w:hAnsi="Narkisim" w:cs="Narkisim"/>
          <w:u w:val="single"/>
          <w:rtl/>
        </w:rPr>
        <w:t>בא"ד ואר"ת דההיא בקבלה עלויה.</w:t>
      </w:r>
      <w:r w:rsidRPr="00012502">
        <w:rPr>
          <w:rFonts w:ascii="Narkisim" w:hAnsi="Narkisim" w:cs="Narkisim"/>
          <w:rtl/>
        </w:rPr>
        <w:t xml:space="preserve"> </w:t>
      </w:r>
      <w:r w:rsidRPr="00012502">
        <w:rPr>
          <w:rFonts w:ascii="Narkisim" w:hAnsi="Narkisim" w:cs="Narkisim"/>
          <w:b/>
          <w:bCs/>
          <w:rtl/>
        </w:rPr>
        <w:t>רע"א</w:t>
      </w:r>
      <w:r w:rsidRPr="00012502">
        <w:rPr>
          <w:rFonts w:ascii="Narkisim" w:hAnsi="Narkisim" w:cs="Narkisim"/>
          <w:rtl/>
        </w:rPr>
        <w:t xml:space="preserve"> הקשה דבברייתא (לקמן סא:) אי' דקטנה מתייבמת, ובגמ' איתא דהוה דלא כר' מאיר. והול"ל דאיירי בלא קיבלה עליה. וה</w:t>
      </w:r>
      <w:r w:rsidRPr="00012502">
        <w:rPr>
          <w:rFonts w:ascii="Narkisim" w:hAnsi="Narkisim" w:cs="Narkisim"/>
          <w:b/>
          <w:bCs/>
          <w:rtl/>
        </w:rPr>
        <w:t>רש"ש</w:t>
      </w:r>
      <w:r w:rsidRPr="00012502">
        <w:rPr>
          <w:rFonts w:ascii="Narkisim" w:hAnsi="Narkisim" w:cs="Narkisim"/>
          <w:rtl/>
        </w:rPr>
        <w:t xml:space="preserve"> כת' דלדעת </w:t>
      </w:r>
      <w:r w:rsidRPr="00012502">
        <w:rPr>
          <w:rFonts w:ascii="Narkisim" w:hAnsi="Narkisim" w:cs="Narkisim"/>
          <w:b/>
          <w:bCs/>
          <w:rtl/>
        </w:rPr>
        <w:t>ר"ת</w:t>
      </w:r>
      <w:r w:rsidRPr="00012502">
        <w:rPr>
          <w:rFonts w:ascii="Narkisim" w:hAnsi="Narkisim" w:cs="Narkisim"/>
          <w:rtl/>
        </w:rPr>
        <w:t xml:space="preserve"> לרבא בעי גט, ולא אמרי' ממ"נ, י"ל דהגמ' לקמן ס"ל כרבא</w:t>
      </w:r>
      <w:r w:rsidRPr="00012502">
        <w:rPr>
          <w:rStyle w:val="ac"/>
          <w:rFonts w:ascii="Narkisim" w:hAnsi="Narkisim" w:cs="Narkisim"/>
          <w:rtl/>
        </w:rPr>
        <w:footnoteReference w:id="60"/>
      </w:r>
      <w:r w:rsidRPr="00012502">
        <w:rPr>
          <w:rFonts w:ascii="Narkisim" w:hAnsi="Narkisim" w:cs="Narkisim"/>
          <w:rtl/>
        </w:rPr>
        <w:t>. ועוד תי' ה</w:t>
      </w:r>
      <w:r w:rsidRPr="00012502">
        <w:rPr>
          <w:rFonts w:ascii="Narkisim" w:hAnsi="Narkisim" w:cs="Narkisim"/>
          <w:b/>
          <w:bCs/>
          <w:rtl/>
        </w:rPr>
        <w:t>אחרונים</w:t>
      </w:r>
      <w:r w:rsidRPr="00012502">
        <w:rPr>
          <w:rFonts w:ascii="Narkisim" w:hAnsi="Narkisim" w:cs="Narkisim"/>
          <w:rtl/>
        </w:rPr>
        <w:t xml:space="preserve"> דקושית הגמ' דמשמע דפוטרת צרתה, ובזה ל"ש ממ"נ [וכ"כ ב</w:t>
      </w:r>
      <w:r w:rsidRPr="00012502">
        <w:rPr>
          <w:rFonts w:ascii="Narkisim" w:hAnsi="Narkisim" w:cs="Narkisim"/>
          <w:b/>
          <w:bCs/>
          <w:rtl/>
        </w:rPr>
        <w:t>תו"י</w:t>
      </w:r>
      <w:r w:rsidRPr="00012502">
        <w:rPr>
          <w:rFonts w:ascii="Narkisim" w:hAnsi="Narkisim" w:cs="Narkisim"/>
          <w:rtl/>
        </w:rPr>
        <w:t xml:space="preserve"> בועי"ל].</w:t>
      </w:r>
    </w:p>
    <w:p w14:paraId="0C27035D" w14:textId="77777777" w:rsidR="00BE1D1C" w:rsidRPr="00012502" w:rsidRDefault="00000000" w:rsidP="00012502">
      <w:pPr>
        <w:bidi/>
        <w:rPr>
          <w:rFonts w:ascii="Narkisim" w:hAnsi="Narkisim" w:cs="Narkisim"/>
        </w:rPr>
      </w:pPr>
      <w:r w:rsidRPr="00012502">
        <w:rPr>
          <w:rFonts w:ascii="Narkisim" w:hAnsi="Narkisim" w:cs="Narkisim"/>
          <w:u w:val="single"/>
          <w:rtl/>
        </w:rPr>
        <w:t>בא"ד והר"א מבורגיילה תי' בנמצאת אילונית בחיי האח והקפיד וכו'.</w:t>
      </w:r>
      <w:r w:rsidRPr="00012502">
        <w:rPr>
          <w:rFonts w:ascii="Narkisim" w:hAnsi="Narkisim" w:cs="Narkisim"/>
          <w:rtl/>
        </w:rPr>
        <w:t xml:space="preserve"> מבואר בתוס' דגדר המקח טעות תליא בידיעתו </w:t>
      </w:r>
      <w:r w:rsidRPr="00012502">
        <w:rPr>
          <w:rFonts w:ascii="Narkisim" w:hAnsi="Narkisim" w:cs="Narkisim"/>
          <w:sz w:val="20"/>
          <w:szCs w:val="20"/>
          <w:rtl/>
        </w:rPr>
        <w:t>[וע' סו"ד התוס']</w:t>
      </w:r>
      <w:r w:rsidRPr="00012502">
        <w:rPr>
          <w:rFonts w:ascii="Narkisim" w:hAnsi="Narkisim" w:cs="Narkisim"/>
          <w:rtl/>
        </w:rPr>
        <w:t>. וה</w:t>
      </w:r>
      <w:r w:rsidRPr="00012502">
        <w:rPr>
          <w:rFonts w:ascii="Narkisim" w:hAnsi="Narkisim" w:cs="Narkisim"/>
          <w:b/>
          <w:bCs/>
          <w:rtl/>
        </w:rPr>
        <w:t>אחרונים</w:t>
      </w:r>
      <w:r w:rsidRPr="00012502">
        <w:rPr>
          <w:rFonts w:ascii="Narkisim" w:hAnsi="Narkisim" w:cs="Narkisim"/>
          <w:rtl/>
        </w:rPr>
        <w:t xml:space="preserve"> הביאו דכ"כ </w:t>
      </w:r>
      <w:r w:rsidRPr="00012502">
        <w:rPr>
          <w:rFonts w:ascii="Narkisim" w:hAnsi="Narkisim" w:cs="Narkisim"/>
          <w:b/>
          <w:bCs/>
          <w:rtl/>
        </w:rPr>
        <w:t>תוס</w:t>
      </w:r>
      <w:r w:rsidRPr="00012502">
        <w:rPr>
          <w:rFonts w:ascii="Narkisim" w:hAnsi="Narkisim" w:cs="Narkisim"/>
          <w:rtl/>
        </w:rPr>
        <w:t>' (לקמן נו. ד"ה מת) דאם לא יתגלה המום לא יחשב סמפון [מקח טעות]. ומשמע דגדר המקח טעות בנמצא מום הוא משום דתליא בקפידתו, ולכן מהני שימחול אח"כ</w:t>
      </w:r>
      <w:r w:rsidRPr="00012502">
        <w:rPr>
          <w:rStyle w:val="ac"/>
          <w:rFonts w:ascii="Narkisim" w:hAnsi="Narkisim" w:cs="Narkisim"/>
          <w:rtl/>
        </w:rPr>
        <w:footnoteReference w:id="61"/>
      </w:r>
      <w:r w:rsidRPr="00012502">
        <w:rPr>
          <w:rFonts w:ascii="Narkisim" w:hAnsi="Narkisim" w:cs="Narkisim"/>
          <w:rtl/>
        </w:rPr>
        <w:t>.</w:t>
      </w:r>
    </w:p>
    <w:p w14:paraId="4FB8BC95"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אבנ"מ</w:t>
      </w:r>
      <w:r w:rsidRPr="00012502">
        <w:rPr>
          <w:rFonts w:ascii="Narkisim" w:hAnsi="Narkisim"/>
          <w:rtl/>
        </w:rPr>
        <w:t xml:space="preserve"> (לט ג) כת' דדעת התוס' [דידן] דאיילונית לא תליא בידיעתו, דאינו מטעם תנאי אלא מסתמא מקח טעות. וב</w:t>
      </w:r>
      <w:r w:rsidRPr="00012502">
        <w:rPr>
          <w:rFonts w:ascii="Narkisim" w:hAnsi="Narkisim"/>
          <w:b/>
          <w:bCs/>
          <w:rtl/>
        </w:rPr>
        <w:t>חי' ר' שמעון</w:t>
      </w:r>
      <w:r w:rsidRPr="00012502">
        <w:rPr>
          <w:rFonts w:ascii="Narkisim" w:hAnsi="Narkisim"/>
          <w:rtl/>
        </w:rPr>
        <w:t xml:space="preserve"> (ג) הביא דבגמ' (ב"מ סז.) משמע דאיילונית נחשב חפץ אחר, ולא תליא בקפידא.</w:t>
      </w:r>
    </w:p>
    <w:p w14:paraId="7D278A00" w14:textId="77777777" w:rsidR="00BE1D1C" w:rsidRPr="00012502" w:rsidRDefault="00000000" w:rsidP="00012502">
      <w:pPr>
        <w:pStyle w:val="aa"/>
        <w:bidi/>
        <w:rPr>
          <w:rFonts w:ascii="Narkisim" w:hAnsi="Narkisim"/>
        </w:rPr>
      </w:pPr>
      <w:r w:rsidRPr="00012502">
        <w:rPr>
          <w:rFonts w:ascii="Narkisim" w:hAnsi="Narkisim"/>
          <w:u w:val="single"/>
          <w:rtl/>
        </w:rPr>
        <w:t>בא"ד דילמא אם היה קיים לא היה מקפיד</w:t>
      </w:r>
      <w:r w:rsidRPr="00012502">
        <w:rPr>
          <w:rFonts w:ascii="Narkisim" w:hAnsi="Narkisim"/>
          <w:rtl/>
        </w:rPr>
        <w:t>. ה</w:t>
      </w:r>
      <w:r w:rsidRPr="00012502">
        <w:rPr>
          <w:rFonts w:ascii="Narkisim" w:hAnsi="Narkisim"/>
          <w:b/>
          <w:bCs/>
          <w:rtl/>
        </w:rPr>
        <w:t>שעה"מ</w:t>
      </w:r>
      <w:r w:rsidRPr="00012502">
        <w:rPr>
          <w:rFonts w:ascii="Narkisim" w:hAnsi="Narkisim"/>
          <w:rtl/>
        </w:rPr>
        <w:t xml:space="preserve"> (מקואות י כלל ג) הביא דב</w:t>
      </w:r>
      <w:r w:rsidRPr="00012502">
        <w:rPr>
          <w:rFonts w:ascii="Narkisim" w:hAnsi="Narkisim"/>
          <w:b/>
          <w:bCs/>
          <w:rtl/>
        </w:rPr>
        <w:t>שיטמ"ק כת"י</w:t>
      </w:r>
      <w:r w:rsidRPr="00012502">
        <w:rPr>
          <w:rFonts w:ascii="Narkisim" w:hAnsi="Narkisim"/>
          <w:rtl/>
        </w:rPr>
        <w:t xml:space="preserve"> הק' עפ"ז בהא דאיתא דקטנה לא תתייבם חיישינן שמא תמצא אילונית, כיון דהוה רק ספק יש להתיר משום ספק ספיקא. ותי' דהחמירו בכרת כמו שהחמירו במים שאין להם סוף</w:t>
      </w:r>
      <w:r w:rsidRPr="00012502">
        <w:rPr>
          <w:rStyle w:val="ac"/>
          <w:rFonts w:ascii="Narkisim" w:hAnsi="Narkisim"/>
          <w:rtl/>
        </w:rPr>
        <w:footnoteReference w:id="62"/>
      </w:r>
      <w:r w:rsidRPr="00012502">
        <w:rPr>
          <w:rFonts w:ascii="Narkisim" w:hAnsi="Narkisim"/>
          <w:rtl/>
        </w:rPr>
        <w:t xml:space="preserve"> [ע' תוס' ב"מ כ:]. והשעה"מ תי' דחששו משום דאפשר שיבא לידי בירור.</w:t>
      </w:r>
    </w:p>
    <w:p w14:paraId="70E61516" w14:textId="77777777" w:rsidR="00BE1D1C" w:rsidRPr="00012502" w:rsidRDefault="00000000" w:rsidP="00012502">
      <w:pPr>
        <w:bidi/>
        <w:rPr>
          <w:rFonts w:ascii="Narkisim" w:hAnsi="Narkisim" w:cs="Narkisim"/>
        </w:rPr>
      </w:pPr>
      <w:r w:rsidRPr="00012502">
        <w:rPr>
          <w:rFonts w:ascii="Narkisim" w:hAnsi="Narkisim" w:cs="Narkisim"/>
          <w:u w:val="single"/>
          <w:rtl/>
        </w:rPr>
        <w:t>בא"ד אבל לאחר מיתה דילמא וכו' ולא נהירא דבהדיא קתני בתוספתא וכו'.</w:t>
      </w:r>
      <w:r w:rsidRPr="00012502">
        <w:rPr>
          <w:rFonts w:ascii="Narkisim" w:hAnsi="Narkisim" w:cs="Narkisim"/>
          <w:rtl/>
        </w:rPr>
        <w:t xml:space="preserve"> </w:t>
      </w:r>
      <w:r w:rsidRPr="00012502">
        <w:rPr>
          <w:rFonts w:ascii="Narkisim" w:hAnsi="Narkisim" w:cs="Narkisim"/>
          <w:b/>
          <w:bCs/>
          <w:rtl/>
        </w:rPr>
        <w:t>רע"א</w:t>
      </w:r>
      <w:r w:rsidRPr="00012502">
        <w:rPr>
          <w:rFonts w:ascii="Narkisim" w:hAnsi="Narkisim" w:cs="Narkisim"/>
          <w:rtl/>
        </w:rPr>
        <w:t xml:space="preserve"> כתב ליישב דסברת 'דילמא' היינו שיש מיעוט שמקפידים, ורק לר' מאיר חיישינן להכי. אבל לרבנן סמכינן ארובא.</w:t>
      </w:r>
    </w:p>
    <w:p w14:paraId="45C3ED32"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 חד מקמאי</w:t>
      </w:r>
      <w:r w:rsidRPr="00012502">
        <w:rPr>
          <w:rFonts w:ascii="Narkisim" w:hAnsi="Narkisim"/>
          <w:rtl/>
        </w:rPr>
        <w:t xml:space="preserve"> (יב.) תי' דאיירי שהאח גילה דעתו ואמר מחיים שיקפיד אילו תמצא איילונית, ולכן אי"צ גט אף שנמצאה רק לאחר מיתתו.</w:t>
      </w:r>
    </w:p>
    <w:p w14:paraId="086F68EA"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תו"י</w:t>
      </w:r>
      <w:r w:rsidRPr="00012502">
        <w:rPr>
          <w:rFonts w:ascii="Narkisim" w:hAnsi="Narkisim" w:cs="Narkisim"/>
          <w:rtl/>
        </w:rPr>
        <w:t xml:space="preserve"> תי' בשם ה</w:t>
      </w:r>
      <w:r w:rsidRPr="00012502">
        <w:rPr>
          <w:rFonts w:ascii="Narkisim" w:hAnsi="Narkisim" w:cs="Narkisim"/>
          <w:b/>
          <w:bCs/>
          <w:rtl/>
        </w:rPr>
        <w:t>ר"י מקורביל</w:t>
      </w:r>
      <w:r w:rsidRPr="00012502">
        <w:rPr>
          <w:rFonts w:ascii="Narkisim" w:hAnsi="Narkisim" w:cs="Narkisim"/>
          <w:rtl/>
        </w:rPr>
        <w:t xml:space="preserve"> דכשמת כשהיא קטנה אמרי' שלא יקפיד על זמן מועט</w:t>
      </w:r>
      <w:r w:rsidRPr="00012502">
        <w:rPr>
          <w:rStyle w:val="ac"/>
          <w:rFonts w:ascii="Narkisim" w:hAnsi="Narkisim" w:cs="Narkisim"/>
          <w:rtl/>
        </w:rPr>
        <w:footnoteReference w:id="63"/>
      </w:r>
      <w:r w:rsidRPr="00012502">
        <w:rPr>
          <w:rFonts w:ascii="Narkisim" w:hAnsi="Narkisim" w:cs="Narkisim"/>
          <w:rtl/>
        </w:rPr>
        <w:t>. אבל במשנה איירי שנודע לו והקפיד.</w:t>
      </w:r>
    </w:p>
    <w:p w14:paraId="35189301" w14:textId="77777777" w:rsidR="00BE1D1C" w:rsidRPr="00012502" w:rsidRDefault="00000000" w:rsidP="00012502">
      <w:pPr>
        <w:bidi/>
        <w:rPr>
          <w:rFonts w:ascii="Narkisim" w:hAnsi="Narkisim" w:cs="Narkisim"/>
        </w:rPr>
      </w:pPr>
      <w:r w:rsidRPr="00012502">
        <w:rPr>
          <w:rFonts w:ascii="Narkisim" w:hAnsi="Narkisim" w:cs="Narkisim"/>
          <w:u w:val="single"/>
          <w:rtl/>
        </w:rPr>
        <w:t>בא"ד וא"ת דהכא משמע דאיילונית ל"ב גט אפי' מדרבנן [לרב אסי</w:t>
      </w:r>
      <w:r w:rsidRPr="00012502">
        <w:rPr>
          <w:rStyle w:val="ac"/>
          <w:rFonts w:ascii="Narkisim" w:hAnsi="Narkisim" w:cs="Narkisim"/>
          <w:u w:val="single"/>
          <w:rtl/>
        </w:rPr>
        <w:footnoteReference w:id="64"/>
      </w:r>
      <w:r w:rsidRPr="00012502">
        <w:rPr>
          <w:rFonts w:ascii="Narkisim" w:hAnsi="Narkisim" w:cs="Narkisim"/>
          <w:u w:val="single"/>
          <w:rtl/>
        </w:rPr>
        <w:t>], דאי בעיא היתה צרתה חולצת וכו'.</w:t>
      </w:r>
      <w:r w:rsidRPr="00012502">
        <w:rPr>
          <w:rFonts w:ascii="Narkisim" w:hAnsi="Narkisim" w:cs="Narkisim"/>
          <w:rtl/>
        </w:rPr>
        <w:t xml:space="preserve"> </w:t>
      </w:r>
      <w:r w:rsidRPr="00012502">
        <w:rPr>
          <w:rFonts w:ascii="Narkisim" w:hAnsi="Narkisim" w:cs="Narkisim"/>
          <w:sz w:val="20"/>
          <w:szCs w:val="20"/>
          <w:rtl/>
        </w:rPr>
        <w:t>[דאילו בעי גט נחשב שיש אישות מדרבנן</w:t>
      </w:r>
      <w:r w:rsidRPr="00012502">
        <w:rPr>
          <w:rStyle w:val="ac"/>
          <w:rFonts w:ascii="Narkisim" w:hAnsi="Narkisim" w:cs="Narkisim"/>
          <w:sz w:val="20"/>
          <w:szCs w:val="20"/>
          <w:rtl/>
        </w:rPr>
        <w:footnoteReference w:id="65"/>
      </w:r>
      <w:r w:rsidRPr="00012502">
        <w:rPr>
          <w:rFonts w:ascii="Narkisim" w:hAnsi="Narkisim" w:cs="Narkisim"/>
          <w:sz w:val="20"/>
          <w:szCs w:val="20"/>
          <w:rtl/>
        </w:rPr>
        <w:t>, וחולצת</w:t>
      </w:r>
      <w:r w:rsidRPr="00012502">
        <w:rPr>
          <w:rStyle w:val="ac"/>
          <w:rFonts w:ascii="Narkisim" w:hAnsi="Narkisim" w:cs="Narkisim"/>
          <w:sz w:val="20"/>
          <w:szCs w:val="20"/>
          <w:rtl/>
        </w:rPr>
        <w:footnoteReference w:id="66"/>
      </w:r>
      <w:r w:rsidRPr="00012502">
        <w:rPr>
          <w:rFonts w:ascii="Narkisim" w:hAnsi="Narkisim" w:cs="Narkisim"/>
          <w:sz w:val="20"/>
          <w:szCs w:val="20"/>
          <w:rtl/>
        </w:rPr>
        <w:t>].</w:t>
      </w:r>
      <w:r w:rsidRPr="00012502">
        <w:rPr>
          <w:rFonts w:ascii="Narkisim" w:hAnsi="Narkisim" w:cs="Narkisim"/>
          <w:rtl/>
        </w:rPr>
        <w:t xml:space="preserve"> אבל דעת </w:t>
      </w:r>
      <w:r w:rsidRPr="00012502">
        <w:rPr>
          <w:rFonts w:ascii="Narkisim" w:hAnsi="Narkisim" w:cs="Narkisim"/>
          <w:b/>
          <w:bCs/>
          <w:rtl/>
        </w:rPr>
        <w:t>רש"י</w:t>
      </w:r>
      <w:r w:rsidRPr="00012502">
        <w:rPr>
          <w:rFonts w:ascii="Narkisim" w:hAnsi="Narkisim" w:cs="Narkisim"/>
          <w:rtl/>
        </w:rPr>
        <w:t xml:space="preserve"> (גיטין מו:) דאף באיילונית צריך גט, דאינו עושה בעילתו זנות. וה</w:t>
      </w:r>
      <w:r w:rsidRPr="00012502">
        <w:rPr>
          <w:rFonts w:ascii="Narkisim" w:hAnsi="Narkisim" w:cs="Narkisim"/>
          <w:b/>
          <w:bCs/>
          <w:rtl/>
        </w:rPr>
        <w:t xml:space="preserve">רש"ש </w:t>
      </w:r>
      <w:r w:rsidRPr="00012502">
        <w:rPr>
          <w:rFonts w:ascii="Narkisim" w:hAnsi="Narkisim" w:cs="Narkisim"/>
          <w:rtl/>
        </w:rPr>
        <w:t>כתב ליישב דמתני' דהכא איירי בארוסה דל"ש בעילת זנות.</w:t>
      </w:r>
      <w:r w:rsidRPr="00012502">
        <w:rPr>
          <w:rFonts w:ascii="Narkisim" w:hAnsi="Narkisim" w:cs="Narkisim"/>
          <w:sz w:val="20"/>
          <w:szCs w:val="20"/>
          <w:rtl/>
        </w:rPr>
        <w:t xml:space="preserve"> וה</w:t>
      </w:r>
      <w:r w:rsidRPr="00012502">
        <w:rPr>
          <w:rFonts w:ascii="Narkisim" w:hAnsi="Narkisim" w:cs="Narkisim"/>
          <w:b/>
          <w:bCs/>
          <w:sz w:val="20"/>
          <w:szCs w:val="20"/>
          <w:rtl/>
        </w:rPr>
        <w:t>פנ"י</w:t>
      </w:r>
      <w:r w:rsidRPr="00012502">
        <w:rPr>
          <w:rFonts w:ascii="Narkisim" w:hAnsi="Narkisim" w:cs="Narkisim"/>
          <w:sz w:val="20"/>
          <w:szCs w:val="20"/>
          <w:rtl/>
        </w:rPr>
        <w:t xml:space="preserve"> (גיטין שם) העמיד דתליא במח' הסוגיות בדין אא"ע בעילתו זנות. ורב אסי לא ס"ל כן, ורש"י התם קאי כרבא</w:t>
      </w:r>
      <w:r w:rsidRPr="00012502">
        <w:rPr>
          <w:rFonts w:ascii="Narkisim" w:hAnsi="Narkisim" w:cs="Narkisim"/>
          <w:rtl/>
        </w:rPr>
        <w:t>.</w:t>
      </w:r>
    </w:p>
    <w:p w14:paraId="0ACC5779"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העלה צד דהכא איירי שנשאה קטנה, אבל כשנשאה גדולה צריכה גט, דהיה לו לבודקה בסימנים.</w:t>
      </w:r>
    </w:p>
    <w:p w14:paraId="5C4462B8" w14:textId="77777777" w:rsidR="00BE1D1C" w:rsidRPr="00012502" w:rsidRDefault="00000000" w:rsidP="00012502">
      <w:pPr>
        <w:pStyle w:val="aa"/>
        <w:bidi/>
        <w:rPr>
          <w:rFonts w:ascii="Narkisim" w:hAnsi="Narkisim"/>
        </w:rPr>
      </w:pPr>
      <w:r w:rsidRPr="00012502">
        <w:rPr>
          <w:rFonts w:ascii="Narkisim" w:hAnsi="Narkisim"/>
          <w:u w:val="single"/>
          <w:rtl/>
        </w:rPr>
        <w:t>בא"ד משום ספק אילונית וכו' תדע וכו' ואילו ודאי איילונית אין לה רפואה</w:t>
      </w:r>
      <w:r w:rsidRPr="00012502">
        <w:rPr>
          <w:rFonts w:ascii="Narkisim" w:hAnsi="Narkisim"/>
          <w:rtl/>
        </w:rPr>
        <w:t>. אך פשטות דברי ה</w:t>
      </w:r>
      <w:r w:rsidRPr="00012502">
        <w:rPr>
          <w:rFonts w:ascii="Narkisim" w:hAnsi="Narkisim"/>
          <w:b/>
          <w:bCs/>
          <w:rtl/>
        </w:rPr>
        <w:t>רי"ף</w:t>
      </w:r>
      <w:r w:rsidRPr="00012502">
        <w:rPr>
          <w:rFonts w:ascii="Narkisim" w:hAnsi="Narkisim"/>
          <w:rtl/>
        </w:rPr>
        <w:t xml:space="preserve"> (גיטין שם כד: בדה"ס) דבאילונית גמור שייך שתתרפא. וה</w:t>
      </w:r>
      <w:r w:rsidRPr="00012502">
        <w:rPr>
          <w:rFonts w:ascii="Narkisim" w:hAnsi="Narkisim"/>
          <w:b/>
          <w:bCs/>
          <w:rtl/>
        </w:rPr>
        <w:t>בעה"מ</w:t>
      </w:r>
      <w:r w:rsidRPr="00012502">
        <w:rPr>
          <w:rFonts w:ascii="Narkisim" w:hAnsi="Narkisim"/>
          <w:rtl/>
        </w:rPr>
        <w:t xml:space="preserve"> תמה בזה, וה</w:t>
      </w:r>
      <w:r w:rsidRPr="00012502">
        <w:rPr>
          <w:rFonts w:ascii="Narkisim" w:hAnsi="Narkisim"/>
          <w:b/>
          <w:bCs/>
          <w:rtl/>
        </w:rPr>
        <w:t>מלחמות</w:t>
      </w:r>
      <w:r w:rsidRPr="00012502">
        <w:rPr>
          <w:rFonts w:ascii="Narkisim" w:hAnsi="Narkisim"/>
          <w:rtl/>
        </w:rPr>
        <w:t xml:space="preserve"> ביאר דלכשנתרפאית אמרי' דנתברר דלא היתה אילונית אלא חולי אחר.</w:t>
      </w:r>
    </w:p>
    <w:p w14:paraId="468C1BAA"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פנ"י</w:t>
      </w:r>
      <w:r w:rsidRPr="00012502">
        <w:rPr>
          <w:rFonts w:ascii="Narkisim" w:hAnsi="Narkisim"/>
          <w:rtl/>
        </w:rPr>
        <w:t xml:space="preserve"> (שם) כתב דדעת רש"י והרי"ף רוב איילונית אין לה רפואה, ולכן אי"צ חליצה. אבל זימנין יש רפואה.</w:t>
      </w:r>
    </w:p>
    <w:p w14:paraId="080E150A"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תוד"ה ואי.</w:t>
      </w:r>
      <w:r w:rsidRPr="00012502">
        <w:rPr>
          <w:rFonts w:ascii="Narkisim" w:hAnsi="Narkisim" w:cs="Narkisim"/>
          <w:rtl/>
        </w:rPr>
        <w:t xml:space="preserve"> מיאון בקדושי טעות. ו</w:t>
      </w:r>
      <w:r w:rsidRPr="00012502">
        <w:rPr>
          <w:rFonts w:ascii="Narkisim" w:hAnsi="Narkisim" w:cs="Narkisim"/>
          <w:b/>
          <w:bCs/>
          <w:rtl/>
        </w:rPr>
        <w:t>ר"י</w:t>
      </w:r>
      <w:r w:rsidRPr="00012502">
        <w:rPr>
          <w:rFonts w:ascii="Narkisim" w:hAnsi="Narkisim" w:cs="Narkisim"/>
          <w:rtl/>
        </w:rPr>
        <w:t xml:space="preserve"> תי' דאי"צ מיאון. </w:t>
      </w:r>
      <w:r w:rsidRPr="00012502">
        <w:rPr>
          <w:rFonts w:ascii="Narkisim" w:hAnsi="Narkisim" w:cs="Narkisim"/>
          <w:sz w:val="20"/>
          <w:szCs w:val="20"/>
          <w:rtl/>
        </w:rPr>
        <w:t>ו</w:t>
      </w:r>
      <w:r w:rsidRPr="00012502">
        <w:rPr>
          <w:rFonts w:ascii="Narkisim" w:hAnsi="Narkisim" w:cs="Narkisim"/>
          <w:b/>
          <w:bCs/>
          <w:sz w:val="20"/>
          <w:szCs w:val="20"/>
          <w:rtl/>
        </w:rPr>
        <w:t xml:space="preserve">תוס' </w:t>
      </w:r>
      <w:r w:rsidRPr="00012502">
        <w:rPr>
          <w:rFonts w:ascii="Narkisim" w:hAnsi="Narkisim" w:cs="Narkisim"/>
          <w:sz w:val="20"/>
          <w:szCs w:val="20"/>
          <w:rtl/>
        </w:rPr>
        <w:t>(כתובות עד:) תי' עוד דבעי מיאון, דאם תשאר אצלו כשנודע הטעות, דאם עמדה אצלו ולא מיאנה מחלה התנאי</w:t>
      </w:r>
      <w:r w:rsidRPr="00012502">
        <w:rPr>
          <w:rStyle w:val="ac"/>
          <w:rFonts w:ascii="Narkisim" w:hAnsi="Narkisim" w:cs="Narkisim"/>
          <w:sz w:val="20"/>
          <w:szCs w:val="20"/>
          <w:rtl/>
        </w:rPr>
        <w:footnoteReference w:id="67"/>
      </w:r>
      <w:r w:rsidRPr="00012502">
        <w:rPr>
          <w:rFonts w:ascii="Narkisim" w:hAnsi="Narkisim" w:cs="Narkisim"/>
          <w:sz w:val="20"/>
          <w:szCs w:val="20"/>
          <w:rtl/>
        </w:rPr>
        <w:t>. [ולפ"ז לא הוה גדר מיאון לעקור אישות דמעיקרא, אלא גילוי דעת מכאן ולהבא].</w:t>
      </w:r>
    </w:p>
    <w:p w14:paraId="1F49D0AA" w14:textId="77777777" w:rsidR="00BE1D1C" w:rsidRPr="00012502" w:rsidRDefault="00000000" w:rsidP="00012502">
      <w:pPr>
        <w:pStyle w:val="a7"/>
        <w:bidi/>
        <w:rPr>
          <w:rFonts w:ascii="Narkisim" w:hAnsi="Narkisim"/>
        </w:rPr>
      </w:pPr>
      <w:r w:rsidRPr="00012502">
        <w:rPr>
          <w:rFonts w:ascii="Narkisim" w:hAnsi="Narkisim"/>
          <w:rtl/>
        </w:rPr>
        <w:t>ומבואר דתוס' בקו' ו</w:t>
      </w:r>
      <w:r w:rsidRPr="00012502">
        <w:rPr>
          <w:rFonts w:ascii="Narkisim" w:hAnsi="Narkisim"/>
          <w:b/>
          <w:bCs/>
          <w:rtl/>
        </w:rPr>
        <w:t>ריב"ן</w:t>
      </w:r>
      <w:r w:rsidRPr="00012502">
        <w:rPr>
          <w:rFonts w:ascii="Narkisim" w:hAnsi="Narkisim"/>
          <w:rtl/>
        </w:rPr>
        <w:t xml:space="preserve"> נקטו דקידושי טעות בעי מיאון. ומשמע דדינה כמקודשת עד שתעשה 'מעשה מיאון'</w:t>
      </w:r>
      <w:r w:rsidRPr="00012502">
        <w:rPr>
          <w:rStyle w:val="ac"/>
          <w:rFonts w:ascii="Narkisim" w:hAnsi="Narkisim"/>
          <w:rtl/>
        </w:rPr>
        <w:footnoteReference w:id="68"/>
      </w:r>
      <w:r w:rsidRPr="00012502">
        <w:rPr>
          <w:rFonts w:ascii="Narkisim" w:hAnsi="Narkisim"/>
          <w:rtl/>
        </w:rPr>
        <w:t>.</w:t>
      </w:r>
    </w:p>
    <w:p w14:paraId="6DD6CDCA" w14:textId="77777777" w:rsidR="00BE1D1C" w:rsidRPr="00012502" w:rsidRDefault="00000000" w:rsidP="00012502">
      <w:pPr>
        <w:bidi/>
        <w:rPr>
          <w:rFonts w:ascii="Narkisim" w:hAnsi="Narkisim" w:cs="Narkisim"/>
        </w:rPr>
      </w:pPr>
      <w:r w:rsidRPr="00012502">
        <w:rPr>
          <w:rFonts w:ascii="Narkisim" w:hAnsi="Narkisim" w:cs="Narkisim"/>
          <w:u w:val="single"/>
          <w:rtl/>
        </w:rPr>
        <w:t>רש"י ד"ה כשם שצרת בתו פטורה.</w:t>
      </w:r>
      <w:r w:rsidRPr="00012502">
        <w:rPr>
          <w:rFonts w:ascii="Narkisim" w:hAnsi="Narkisim" w:cs="Narkisim"/>
          <w:rtl/>
        </w:rPr>
        <w:t xml:space="preserve"> שנאסרה עליו משעת נפילה ראשונה וכו' והרי היא כאא"ח שיש לו בנים ואסורה לו עולמית. מבואר ברש"י דהפטור של צרת ערוה בנפילה שניה הוא רק מדין </w:t>
      </w:r>
      <w:r w:rsidRPr="00012502">
        <w:rPr>
          <w:rFonts w:ascii="Narkisim" w:hAnsi="Narkisim" w:cs="Narkisim"/>
          <w:i/>
          <w:iCs/>
          <w:rtl/>
        </w:rPr>
        <w:t>נאסרה</w:t>
      </w:r>
      <w:r w:rsidRPr="00012502">
        <w:rPr>
          <w:rFonts w:ascii="Narkisim" w:hAnsi="Narkisim" w:cs="Narkisim"/>
          <w:rtl/>
        </w:rPr>
        <w:t xml:space="preserve"> ואיסור אשת אח. </w:t>
      </w:r>
      <w:r w:rsidRPr="00012502">
        <w:rPr>
          <w:rFonts w:ascii="Narkisim" w:hAnsi="Narkisim" w:cs="Narkisim"/>
          <w:sz w:val="20"/>
          <w:szCs w:val="20"/>
          <w:rtl/>
        </w:rPr>
        <w:t>[דבנפילה שניה כבר אינה צרה של הערוה, וכ"כ בקובה"ע ו ח בשם</w:t>
      </w:r>
      <w:r w:rsidRPr="00012502">
        <w:rPr>
          <w:rFonts w:ascii="Narkisim" w:hAnsi="Narkisim" w:cs="Narkisim"/>
          <w:b/>
          <w:bCs/>
          <w:sz w:val="20"/>
          <w:szCs w:val="20"/>
          <w:rtl/>
        </w:rPr>
        <w:t xml:space="preserve"> ר' לייב</w:t>
      </w:r>
      <w:r w:rsidRPr="00012502">
        <w:rPr>
          <w:rFonts w:ascii="Narkisim" w:hAnsi="Narkisim" w:cs="Narkisim"/>
          <w:sz w:val="20"/>
          <w:szCs w:val="20"/>
          <w:rtl/>
        </w:rPr>
        <w:t>].</w:t>
      </w:r>
      <w:r w:rsidRPr="00012502">
        <w:rPr>
          <w:rFonts w:ascii="Narkisim" w:hAnsi="Narkisim" w:cs="Narkisim"/>
          <w:rtl/>
        </w:rPr>
        <w:t xml:space="preserve"> ולפ"ז כל פטור צרת צרה הוה מחמת צרת אשת אח דנאסרה </w:t>
      </w:r>
      <w:r w:rsidRPr="00012502">
        <w:rPr>
          <w:rFonts w:ascii="Narkisim" w:hAnsi="Narkisim" w:cs="Narkisim"/>
          <w:sz w:val="20"/>
          <w:szCs w:val="20"/>
          <w:rtl/>
        </w:rPr>
        <w:t>[וע' מה שהו' לעיל]</w:t>
      </w:r>
      <w:r w:rsidRPr="00012502">
        <w:rPr>
          <w:rFonts w:ascii="Narkisim" w:hAnsi="Narkisim" w:cs="Narkisim"/>
          <w:rtl/>
        </w:rPr>
        <w:t>.</w:t>
      </w:r>
    </w:p>
    <w:p w14:paraId="64A1BBE3" w14:textId="77777777" w:rsidR="00BE1D1C" w:rsidRPr="00012502" w:rsidRDefault="00000000" w:rsidP="00012502">
      <w:pPr>
        <w:bidi/>
        <w:rPr>
          <w:rFonts w:ascii="Narkisim" w:hAnsi="Narkisim" w:cs="Narkisim"/>
        </w:rPr>
      </w:pPr>
      <w:r w:rsidRPr="00012502">
        <w:rPr>
          <w:rFonts w:ascii="Narkisim" w:hAnsi="Narkisim" w:cs="Narkisim"/>
          <w:u w:val="single"/>
          <w:rtl/>
        </w:rPr>
        <w:t>מכדי כולהו מאחות אשה נפקא.</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מה שפטורות מיבום. וה</w:t>
      </w:r>
      <w:r w:rsidRPr="00012502">
        <w:rPr>
          <w:rFonts w:ascii="Narkisim" w:hAnsi="Narkisim" w:cs="Narkisim"/>
          <w:b/>
          <w:bCs/>
          <w:rtl/>
        </w:rPr>
        <w:t>רשב"א</w:t>
      </w:r>
      <w:r w:rsidRPr="00012502">
        <w:rPr>
          <w:rFonts w:ascii="Narkisim" w:hAnsi="Narkisim" w:cs="Narkisim"/>
          <w:rtl/>
        </w:rPr>
        <w:t xml:space="preserve"> הק' דבמסקנא (לקמן ח.) אי' ערוה גופיה ל"צ קרא. ותי' דקאי להו"א</w:t>
      </w:r>
      <w:r w:rsidRPr="00012502">
        <w:rPr>
          <w:rFonts w:ascii="Narkisim" w:hAnsi="Narkisim" w:cs="Narkisim"/>
          <w:sz w:val="20"/>
          <w:szCs w:val="20"/>
          <w:rtl/>
        </w:rPr>
        <w:t>.</w:t>
      </w:r>
      <w:r w:rsidRPr="00012502">
        <w:rPr>
          <w:rFonts w:ascii="Narkisim" w:hAnsi="Narkisim" w:cs="Narkisim"/>
          <w:rtl/>
        </w:rPr>
        <w:t xml:space="preserve"> א"נ אף למסקנא עיקר איסורא דצרות מאחות אשה נפקא, מדכתיב לצרור במקום מצוה.</w:t>
      </w:r>
    </w:p>
    <w:p w14:paraId="2BB1D6E5" w14:textId="77777777" w:rsidR="00BE1D1C" w:rsidRPr="00012502" w:rsidRDefault="00000000" w:rsidP="00012502">
      <w:pPr>
        <w:pStyle w:val="2"/>
        <w:bidi/>
        <w:rPr>
          <w:rFonts w:ascii="Narkisim" w:hAnsi="Narkisim"/>
        </w:rPr>
      </w:pPr>
      <w:r w:rsidRPr="00012502">
        <w:rPr>
          <w:rFonts w:ascii="Narkisim" w:hAnsi="Narkisim"/>
          <w:rtl/>
        </w:rPr>
        <w:t>בת אשתו ובתו</w:t>
      </w:r>
    </w:p>
    <w:p w14:paraId="608DEA74" w14:textId="77777777" w:rsidR="00BE1D1C" w:rsidRPr="00012502" w:rsidRDefault="00000000" w:rsidP="00012502">
      <w:pPr>
        <w:bidi/>
        <w:rPr>
          <w:rFonts w:ascii="Narkisim" w:hAnsi="Narkisim" w:cs="Narkisim"/>
        </w:rPr>
      </w:pPr>
      <w:r w:rsidRPr="00012502">
        <w:rPr>
          <w:rFonts w:ascii="Narkisim" w:hAnsi="Narkisim" w:cs="Narkisim"/>
          <w:u w:val="single"/>
          <w:rtl/>
        </w:rPr>
        <w:t>תוד"ה בתו.</w:t>
      </w:r>
      <w:r w:rsidRPr="00012502">
        <w:rPr>
          <w:rFonts w:ascii="Narkisim" w:hAnsi="Narkisim" w:cs="Narkisim"/>
          <w:rtl/>
        </w:rPr>
        <w:t xml:space="preserve"> אבל בתו מנשואתו מערות אשה ובתה נפקא. ה</w:t>
      </w:r>
      <w:r w:rsidRPr="00012502">
        <w:rPr>
          <w:rFonts w:ascii="Narkisim" w:hAnsi="Narkisim" w:cs="Narkisim"/>
          <w:b/>
          <w:bCs/>
          <w:rtl/>
        </w:rPr>
        <w:t>רמב"ם</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 xml:space="preserve">איסו"ב ב ו) </w:t>
      </w:r>
      <w:r w:rsidRPr="00012502">
        <w:rPr>
          <w:rFonts w:ascii="Narkisim" w:hAnsi="Narkisim" w:cs="Narkisim"/>
          <w:rtl/>
        </w:rPr>
        <w:t>פסק דהבא על בתו מנשואתו חייב ב', משום בתו ומשום ערות אשה ובתה. דהוה ב' שמות איסור נפרדים. וה</w:t>
      </w:r>
      <w:r w:rsidRPr="00012502">
        <w:rPr>
          <w:rFonts w:ascii="Narkisim" w:hAnsi="Narkisim" w:cs="Narkisim"/>
          <w:b/>
          <w:bCs/>
          <w:rtl/>
        </w:rPr>
        <w:t>ראב"ד</w:t>
      </w:r>
      <w:r w:rsidRPr="00012502">
        <w:rPr>
          <w:rFonts w:ascii="Narkisim" w:hAnsi="Narkisim" w:cs="Narkisim"/>
          <w:rtl/>
        </w:rPr>
        <w:t xml:space="preserve"> השיג דאינו אלא לענין לקוברו בין רשעים גמורים. </w:t>
      </w:r>
      <w:r w:rsidRPr="00012502">
        <w:rPr>
          <w:rFonts w:ascii="Narkisim" w:hAnsi="Narkisim" w:cs="Narkisim"/>
          <w:sz w:val="20"/>
          <w:szCs w:val="20"/>
          <w:rtl/>
        </w:rPr>
        <w:t>[וכדאי' לקמן לב: דאין איסור חל על איסור, ואפי' הכי מהני לקוברו בין רשעים גמורים</w:t>
      </w:r>
      <w:r w:rsidRPr="00012502">
        <w:rPr>
          <w:rStyle w:val="ac"/>
          <w:rFonts w:ascii="Narkisim" w:hAnsi="Narkisim" w:cs="Narkisim"/>
          <w:sz w:val="20"/>
          <w:szCs w:val="20"/>
          <w:rtl/>
        </w:rPr>
        <w:footnoteReference w:id="69"/>
      </w:r>
      <w:r w:rsidRPr="00012502">
        <w:rPr>
          <w:rFonts w:ascii="Narkisim" w:hAnsi="Narkisim" w:cs="Narkisim"/>
          <w:sz w:val="20"/>
          <w:szCs w:val="20"/>
          <w:rtl/>
        </w:rPr>
        <w:t>]. וה</w:t>
      </w:r>
      <w:r w:rsidRPr="00012502">
        <w:rPr>
          <w:rFonts w:ascii="Narkisim" w:hAnsi="Narkisim" w:cs="Narkisim"/>
          <w:b/>
          <w:bCs/>
          <w:sz w:val="20"/>
          <w:szCs w:val="20"/>
          <w:rtl/>
        </w:rPr>
        <w:t>אחרונים</w:t>
      </w:r>
      <w:r w:rsidRPr="00012502">
        <w:rPr>
          <w:rFonts w:ascii="Narkisim" w:hAnsi="Narkisim" w:cs="Narkisim"/>
          <w:sz w:val="20"/>
          <w:szCs w:val="20"/>
          <w:rtl/>
        </w:rPr>
        <w:t xml:space="preserve"> הקשו דהכא מתחייב ב' חטאות, דקי"ל דב' איסורין בבת אחת חלין.</w:t>
      </w:r>
    </w:p>
    <w:p w14:paraId="3F68471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לח"מ</w:t>
      </w:r>
      <w:r w:rsidRPr="00012502">
        <w:rPr>
          <w:rFonts w:ascii="Narkisim" w:hAnsi="Narkisim"/>
          <w:rtl/>
        </w:rPr>
        <w:t xml:space="preserve"> ביאר דכוונת הראב"ד דבתו מאשתו אסורה משום בת אשתו. ומרבינן רק 'בתו מאנוסתו' לשם איסור נוסף. ובבתו מאשתו אין ב' שמות איסור. </w:t>
      </w:r>
      <w:r w:rsidRPr="00012502">
        <w:rPr>
          <w:rFonts w:ascii="Narkisim" w:hAnsi="Narkisim"/>
          <w:sz w:val="20"/>
          <w:szCs w:val="20"/>
          <w:rtl/>
        </w:rPr>
        <w:t>והלח"מ ביאר דכוונת הראב"ד דמשכחת ב' איסורין נפרדים, באופן דאנס אשה, ונולדה לו בת, ושוב נשאה</w:t>
      </w:r>
      <w:r w:rsidRPr="00012502">
        <w:rPr>
          <w:rStyle w:val="ac"/>
          <w:rFonts w:ascii="Narkisim" w:hAnsi="Narkisim"/>
          <w:sz w:val="20"/>
          <w:szCs w:val="20"/>
          <w:rtl/>
        </w:rPr>
        <w:footnoteReference w:id="70"/>
      </w:r>
      <w:r w:rsidRPr="00012502">
        <w:rPr>
          <w:rFonts w:ascii="Narkisim" w:hAnsi="Narkisim"/>
          <w:sz w:val="20"/>
          <w:szCs w:val="20"/>
          <w:rtl/>
        </w:rPr>
        <w:t>. דכה"ג איסור בת אשתו לא חל על איסור בתו</w:t>
      </w:r>
      <w:r w:rsidRPr="00012502">
        <w:rPr>
          <w:rFonts w:ascii="Narkisim" w:hAnsi="Narkisim"/>
          <w:rtl/>
        </w:rPr>
        <w:t>.</w:t>
      </w:r>
    </w:p>
    <w:p w14:paraId="1E7D4814"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הביאו דכ"מ ב</w:t>
      </w:r>
      <w:r w:rsidRPr="00012502">
        <w:rPr>
          <w:rFonts w:ascii="Narkisim" w:hAnsi="Narkisim"/>
          <w:b/>
          <w:bCs/>
          <w:rtl/>
        </w:rPr>
        <w:t>תוס</w:t>
      </w:r>
      <w:r w:rsidRPr="00012502">
        <w:rPr>
          <w:rFonts w:ascii="Narkisim" w:hAnsi="Narkisim"/>
          <w:rtl/>
        </w:rPr>
        <w:t>' (בע"א ד"ה בתו) שפירשו בתו דמתני' איירי בבתו מנשואתו, מבואר ד'בתו' בלשון המשנה כולל בת אשתו מנשואתו, וע"כ דנכלל בשם ערוה ד'בתו' דקרא.</w:t>
      </w:r>
    </w:p>
    <w:p w14:paraId="4742FC9C" w14:textId="77777777" w:rsidR="00BE1D1C" w:rsidRPr="00012502" w:rsidRDefault="00000000" w:rsidP="00012502">
      <w:pPr>
        <w:bidi/>
        <w:rPr>
          <w:rFonts w:ascii="Narkisim" w:hAnsi="Narkisim" w:cs="Narkisim"/>
        </w:rPr>
      </w:pPr>
      <w:r w:rsidRPr="00012502">
        <w:rPr>
          <w:rFonts w:ascii="Narkisim" w:hAnsi="Narkisim" w:cs="Narkisim"/>
          <w:u w:val="single"/>
          <w:rtl/>
        </w:rPr>
        <w:t>בא"ד וא"ת והיכי נפקא, והא אין מזהירין מן הדין.</w:t>
      </w:r>
      <w:r w:rsidRPr="00012502">
        <w:rPr>
          <w:rFonts w:ascii="Narkisim" w:hAnsi="Narkisim" w:cs="Narkisim"/>
          <w:rtl/>
        </w:rPr>
        <w:t xml:space="preserve"> ה</w:t>
      </w:r>
      <w:r w:rsidRPr="00012502">
        <w:rPr>
          <w:rFonts w:ascii="Narkisim" w:hAnsi="Narkisim" w:cs="Narkisim"/>
          <w:b/>
          <w:bCs/>
          <w:rtl/>
        </w:rPr>
        <w:t>קובה"ע</w:t>
      </w:r>
      <w:r w:rsidRPr="00012502">
        <w:rPr>
          <w:rFonts w:ascii="Narkisim" w:hAnsi="Narkisim" w:cs="Narkisim"/>
          <w:rtl/>
        </w:rPr>
        <w:t xml:space="preserve"> (יא ז) הקשה דלדעת ה</w:t>
      </w:r>
      <w:r w:rsidRPr="00012502">
        <w:rPr>
          <w:rFonts w:ascii="Narkisim" w:hAnsi="Narkisim" w:cs="Narkisim"/>
          <w:b/>
          <w:bCs/>
          <w:rtl/>
        </w:rPr>
        <w:t>רמב"ם</w:t>
      </w:r>
      <w:r w:rsidRPr="00012502">
        <w:rPr>
          <w:rFonts w:ascii="Narkisim" w:hAnsi="Narkisim" w:cs="Narkisim"/>
          <w:rtl/>
        </w:rPr>
        <w:t xml:space="preserve"> (הנ"ל) הוה ב' איסורים נפרדים [והביא דכן מבואר בסוף דברי התוס'</w:t>
      </w:r>
      <w:r w:rsidRPr="00012502">
        <w:rPr>
          <w:rStyle w:val="ac"/>
          <w:rFonts w:ascii="Narkisim" w:hAnsi="Narkisim" w:cs="Narkisim"/>
          <w:rtl/>
        </w:rPr>
        <w:footnoteReference w:id="71"/>
      </w:r>
      <w:r w:rsidRPr="00012502">
        <w:rPr>
          <w:rFonts w:ascii="Narkisim" w:hAnsi="Narkisim" w:cs="Narkisim"/>
          <w:rtl/>
        </w:rPr>
        <w:t>], א"כ ל"ש לומר אין עונשים מהדין משום דהוה גם בתו וגן בת אשתו</w:t>
      </w:r>
      <w:r w:rsidRPr="00012502">
        <w:rPr>
          <w:rStyle w:val="ac"/>
          <w:rFonts w:ascii="Narkisim" w:hAnsi="Narkisim" w:cs="Narkisim"/>
          <w:rtl/>
        </w:rPr>
        <w:footnoteReference w:id="72"/>
      </w:r>
      <w:r w:rsidRPr="00012502">
        <w:rPr>
          <w:rFonts w:ascii="Narkisim" w:hAnsi="Narkisim" w:cs="Narkisim"/>
          <w:rtl/>
        </w:rPr>
        <w:t xml:space="preserve"> [וכמ"ש </w:t>
      </w:r>
      <w:r w:rsidRPr="00012502">
        <w:rPr>
          <w:rFonts w:ascii="Narkisim" w:hAnsi="Narkisim" w:cs="Narkisim"/>
          <w:b/>
          <w:bCs/>
          <w:rtl/>
        </w:rPr>
        <w:t>תוס</w:t>
      </w:r>
      <w:r w:rsidRPr="00012502">
        <w:rPr>
          <w:rFonts w:ascii="Narkisim" w:hAnsi="Narkisim" w:cs="Narkisim"/>
          <w:rtl/>
        </w:rPr>
        <w:t>' כריתות ג. דל"ש אין מזהירין בב' איסורין, עי"ש].</w:t>
      </w:r>
    </w:p>
    <w:p w14:paraId="6FE1C23D" w14:textId="77777777" w:rsidR="00BE1D1C" w:rsidRPr="00012502" w:rsidRDefault="00000000" w:rsidP="00012502">
      <w:pPr>
        <w:pStyle w:val="aa"/>
        <w:bidi/>
        <w:rPr>
          <w:rFonts w:ascii="Narkisim" w:hAnsi="Narkisim"/>
        </w:rPr>
      </w:pPr>
      <w:r w:rsidRPr="00012502">
        <w:rPr>
          <w:rFonts w:ascii="Narkisim" w:hAnsi="Narkisim"/>
          <w:u w:val="single"/>
          <w:rtl/>
        </w:rPr>
        <w:t>בא"ד ואור"י וכו' [המשך ג.] אבל בכלל אשה ובתה הוה שפיר בת שהיא בת אשתו.</w:t>
      </w:r>
      <w:r w:rsidRPr="00012502">
        <w:rPr>
          <w:rFonts w:ascii="Narkisim" w:hAnsi="Narkisim"/>
          <w:rtl/>
        </w:rPr>
        <w:t xml:space="preserve"> בפשוטו כוונת התוס' דיש חילוק בלשונות, דאחותו בת אביו אינו כולל אחות שהיא בת אביו ואמו.</w:t>
      </w:r>
    </w:p>
    <w:p w14:paraId="42E588A2" w14:textId="77777777" w:rsidR="00BE1D1C" w:rsidRPr="00012502" w:rsidRDefault="00000000" w:rsidP="00012502">
      <w:pPr>
        <w:pStyle w:val="a8"/>
        <w:bidi/>
        <w:rPr>
          <w:rFonts w:ascii="Narkisim" w:hAnsi="Narkisim"/>
        </w:rPr>
      </w:pPr>
      <w:r w:rsidRPr="00012502">
        <w:rPr>
          <w:rFonts w:ascii="Narkisim" w:hAnsi="Narkisim"/>
          <w:rtl/>
        </w:rPr>
        <w:t>ועוד פי' ה</w:t>
      </w:r>
      <w:r w:rsidRPr="00012502">
        <w:rPr>
          <w:rFonts w:ascii="Narkisim" w:hAnsi="Narkisim"/>
          <w:b/>
          <w:bCs/>
          <w:rtl/>
        </w:rPr>
        <w:t>אחרונים</w:t>
      </w:r>
      <w:r w:rsidRPr="00012502">
        <w:rPr>
          <w:rFonts w:ascii="Narkisim" w:hAnsi="Narkisim"/>
          <w:rtl/>
        </w:rPr>
        <w:t xml:space="preserve"> ע"פ הצד דגדר האיסור בת אשתו הוא שם קורבה דאשתו</w:t>
      </w:r>
      <w:r w:rsidRPr="00012502">
        <w:rPr>
          <w:rStyle w:val="ac"/>
          <w:rFonts w:ascii="Narkisim" w:hAnsi="Narkisim"/>
          <w:rtl/>
        </w:rPr>
        <w:footnoteReference w:id="73"/>
      </w:r>
      <w:r w:rsidRPr="00012502">
        <w:rPr>
          <w:rFonts w:ascii="Narkisim" w:hAnsi="Narkisim"/>
          <w:rtl/>
        </w:rPr>
        <w:t>. ומש"ה בתו ובת אשתו הוה ב' סיבות איסור, ולא דמי לאחותו בת אביו ובת אמו דהוה קורבא יותר גדול.</w:t>
      </w:r>
    </w:p>
    <w:p w14:paraId="7AB78D08" w14:textId="77777777" w:rsidR="00BE1D1C" w:rsidRPr="00012502" w:rsidRDefault="00000000" w:rsidP="00012502">
      <w:pPr>
        <w:bidi/>
        <w:rPr>
          <w:rFonts w:ascii="Narkisim" w:hAnsi="Narkisim" w:cs="Narkisim"/>
        </w:rPr>
      </w:pPr>
      <w:r w:rsidRPr="00012502">
        <w:rPr>
          <w:rFonts w:ascii="Narkisim" w:hAnsi="Narkisim" w:cs="Narkisim"/>
          <w:u w:val="single"/>
          <w:rtl/>
        </w:rPr>
        <w:t>בא"ד [ג.] היכא דנכנסה לחופה.</w:t>
      </w:r>
      <w:r w:rsidRPr="00012502">
        <w:rPr>
          <w:rFonts w:ascii="Narkisim" w:hAnsi="Narkisim" w:cs="Narkisim"/>
          <w:rtl/>
        </w:rPr>
        <w:t xml:space="preserve"> ועד"ז כת' </w:t>
      </w:r>
      <w:r w:rsidRPr="00012502">
        <w:rPr>
          <w:rFonts w:ascii="Narkisim" w:hAnsi="Narkisim" w:cs="Narkisim"/>
          <w:b/>
          <w:bCs/>
          <w:rtl/>
        </w:rPr>
        <w:t>תוס</w:t>
      </w:r>
      <w:r w:rsidRPr="00012502">
        <w:rPr>
          <w:rFonts w:ascii="Narkisim" w:hAnsi="Narkisim" w:cs="Narkisim"/>
          <w:rtl/>
        </w:rPr>
        <w:t>' (לקמן צז. ד"ה עריות) דכתיב שאר בקרא, וע"י נישואין בא השארות</w:t>
      </w:r>
      <w:r w:rsidRPr="00012502">
        <w:rPr>
          <w:rStyle w:val="ac"/>
          <w:rFonts w:ascii="Narkisim" w:hAnsi="Narkisim" w:cs="Narkisim"/>
          <w:rtl/>
        </w:rPr>
        <w:footnoteReference w:id="74"/>
      </w:r>
      <w:r w:rsidRPr="00012502">
        <w:rPr>
          <w:rFonts w:ascii="Narkisim" w:hAnsi="Narkisim" w:cs="Narkisim"/>
          <w:rtl/>
        </w:rPr>
        <w:t>.</w:t>
      </w:r>
    </w:p>
    <w:p w14:paraId="6EAA7878" w14:textId="77777777" w:rsidR="00BE1D1C" w:rsidRPr="00012502" w:rsidRDefault="00000000" w:rsidP="00012502">
      <w:pPr>
        <w:pStyle w:val="a7"/>
        <w:bidi/>
        <w:rPr>
          <w:rFonts w:ascii="Narkisim" w:hAnsi="Narkisim"/>
        </w:rPr>
      </w:pPr>
      <w:r w:rsidRPr="00012502">
        <w:rPr>
          <w:rFonts w:ascii="Narkisim" w:hAnsi="Narkisim"/>
          <w:rtl/>
        </w:rPr>
        <w:lastRenderedPageBreak/>
        <w:t>וה</w:t>
      </w:r>
      <w:r w:rsidRPr="00012502">
        <w:rPr>
          <w:rFonts w:ascii="Narkisim" w:hAnsi="Narkisim"/>
          <w:b/>
          <w:bCs/>
          <w:rtl/>
        </w:rPr>
        <w:t>שעה"מ</w:t>
      </w:r>
      <w:r w:rsidRPr="00012502">
        <w:rPr>
          <w:rFonts w:ascii="Narkisim" w:hAnsi="Narkisim"/>
          <w:rtl/>
        </w:rPr>
        <w:t xml:space="preserve"> </w:t>
      </w:r>
      <w:r w:rsidRPr="00012502">
        <w:rPr>
          <w:rFonts w:ascii="Narkisim" w:hAnsi="Narkisim"/>
          <w:szCs w:val="20"/>
          <w:rtl/>
        </w:rPr>
        <w:t>(</w:t>
      </w:r>
      <w:r w:rsidRPr="00012502">
        <w:rPr>
          <w:rFonts w:ascii="Narkisim" w:hAnsi="Narkisim"/>
          <w:sz w:val="20"/>
          <w:szCs w:val="20"/>
          <w:rtl/>
        </w:rPr>
        <w:t>חופת חתנים ה הו' בפתח"ת טו ה)</w:t>
      </w:r>
      <w:r w:rsidRPr="00012502">
        <w:rPr>
          <w:rFonts w:ascii="Narkisim" w:hAnsi="Narkisim"/>
          <w:rtl/>
        </w:rPr>
        <w:t xml:space="preserve"> דייק מדברי התוס' דאם קידש אשה אינו נאסר בבתה</w:t>
      </w:r>
      <w:r w:rsidRPr="00012502">
        <w:rPr>
          <w:rStyle w:val="ac"/>
          <w:rFonts w:ascii="Narkisim" w:hAnsi="Narkisim"/>
          <w:rtl/>
        </w:rPr>
        <w:footnoteReference w:id="75"/>
      </w:r>
      <w:r w:rsidRPr="00012502">
        <w:rPr>
          <w:rFonts w:ascii="Narkisim" w:hAnsi="Narkisim"/>
          <w:rtl/>
        </w:rPr>
        <w:t>. דגדר 'שאר' בא ע"י נישואין, וכמו לענין הפרת נדרים וכו'</w:t>
      </w:r>
      <w:r w:rsidRPr="00012502">
        <w:rPr>
          <w:rFonts w:ascii="Narkisim" w:hAnsi="Narkisim"/>
          <w:sz w:val="20"/>
          <w:szCs w:val="20"/>
          <w:rtl/>
        </w:rPr>
        <w:t xml:space="preserve"> [וכדלקמן כט:]</w:t>
      </w:r>
      <w:r w:rsidRPr="00012502">
        <w:rPr>
          <w:rFonts w:ascii="Narkisim" w:hAnsi="Narkisim"/>
          <w:rtl/>
        </w:rPr>
        <w:t>. אבל ה</w:t>
      </w:r>
      <w:r w:rsidRPr="00012502">
        <w:rPr>
          <w:rFonts w:ascii="Narkisim" w:hAnsi="Narkisim"/>
          <w:b/>
          <w:bCs/>
          <w:rtl/>
        </w:rPr>
        <w:t>רמב"ם</w:t>
      </w:r>
      <w:r w:rsidRPr="00012502">
        <w:rPr>
          <w:rFonts w:ascii="Narkisim" w:hAnsi="Narkisim"/>
          <w:rtl/>
        </w:rPr>
        <w:t xml:space="preserve"> (ב ז) כת' להדיא דכיון דקידש אשה נאסר בקרובתיה. </w:t>
      </w:r>
      <w:r w:rsidRPr="00012502">
        <w:rPr>
          <w:rFonts w:ascii="Narkisim" w:hAnsi="Narkisim"/>
          <w:sz w:val="20"/>
          <w:szCs w:val="20"/>
          <w:rtl/>
        </w:rPr>
        <w:t>[וב</w:t>
      </w:r>
      <w:r w:rsidRPr="00012502">
        <w:rPr>
          <w:rFonts w:ascii="Narkisim" w:hAnsi="Narkisim"/>
          <w:b/>
          <w:bCs/>
          <w:sz w:val="20"/>
          <w:szCs w:val="20"/>
          <w:rtl/>
        </w:rPr>
        <w:t>פתח"ת</w:t>
      </w:r>
      <w:r w:rsidRPr="00012502">
        <w:rPr>
          <w:rFonts w:ascii="Narkisim" w:hAnsi="Narkisim"/>
          <w:sz w:val="20"/>
          <w:szCs w:val="20"/>
          <w:rtl/>
        </w:rPr>
        <w:t xml:space="preserve"> שם הביא לדחוק דאף כוונת התוס' משעת קידושין</w:t>
      </w:r>
      <w:r w:rsidRPr="00012502">
        <w:rPr>
          <w:rStyle w:val="ac"/>
          <w:rFonts w:ascii="Narkisim" w:hAnsi="Narkisim"/>
          <w:sz w:val="20"/>
          <w:szCs w:val="20"/>
          <w:rtl/>
        </w:rPr>
        <w:footnoteReference w:id="76"/>
      </w:r>
      <w:r w:rsidRPr="00012502">
        <w:rPr>
          <w:rFonts w:ascii="Narkisim" w:hAnsi="Narkisim"/>
          <w:rtl/>
        </w:rPr>
        <w:t>].</w:t>
      </w:r>
    </w:p>
    <w:p w14:paraId="1CDC8A82"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w:t>
      </w:r>
      <w:r w:rsidRPr="00012502">
        <w:rPr>
          <w:rFonts w:ascii="Narkisim" w:hAnsi="Narkisim"/>
          <w:sz w:val="20"/>
          <w:szCs w:val="20"/>
          <w:rtl/>
        </w:rPr>
        <w:t xml:space="preserve">(בי"מ טו יג) </w:t>
      </w:r>
      <w:r w:rsidRPr="00012502">
        <w:rPr>
          <w:rFonts w:ascii="Narkisim" w:hAnsi="Narkisim"/>
          <w:rtl/>
        </w:rPr>
        <w:t>הביאו דמבואר בכמה מקומות דאחרי קידושין אסור בבתה</w:t>
      </w:r>
      <w:r w:rsidRPr="00012502">
        <w:rPr>
          <w:rStyle w:val="ac"/>
          <w:rFonts w:ascii="Narkisim" w:hAnsi="Narkisim"/>
          <w:rtl/>
        </w:rPr>
        <w:footnoteReference w:id="77"/>
      </w:r>
      <w:r w:rsidRPr="00012502">
        <w:rPr>
          <w:rFonts w:ascii="Narkisim" w:hAnsi="Narkisim"/>
          <w:rtl/>
        </w:rPr>
        <w:t>. ובגמ' (קידושין נ) מבואר דמקדש תרוייהו בב"א אמרי' כל שאינו בזה אחר זה, ומבואר דאחרי שקידש האשה לא תפסי קידושי בתה</w:t>
      </w:r>
      <w:r w:rsidRPr="00012502">
        <w:rPr>
          <w:rStyle w:val="ac"/>
          <w:rFonts w:ascii="Narkisim" w:hAnsi="Narkisim"/>
          <w:rtl/>
        </w:rPr>
        <w:footnoteReference w:id="78"/>
      </w:r>
      <w:r w:rsidRPr="00012502">
        <w:rPr>
          <w:rFonts w:ascii="Narkisim" w:hAnsi="Narkisim"/>
          <w:rtl/>
        </w:rPr>
        <w:t>, משעת קידושין</w:t>
      </w:r>
      <w:r w:rsidRPr="00012502">
        <w:rPr>
          <w:rStyle w:val="ac"/>
          <w:rFonts w:ascii="Narkisim" w:hAnsi="Narkisim"/>
          <w:rtl/>
        </w:rPr>
        <w:footnoteReference w:id="79"/>
      </w:r>
      <w:r w:rsidRPr="00012502">
        <w:rPr>
          <w:rFonts w:ascii="Narkisim" w:hAnsi="Narkisim"/>
          <w:rtl/>
        </w:rPr>
        <w:t>. וה</w:t>
      </w:r>
      <w:r w:rsidRPr="00012502">
        <w:rPr>
          <w:rFonts w:ascii="Narkisim" w:hAnsi="Narkisim"/>
          <w:b/>
          <w:bCs/>
          <w:rtl/>
        </w:rPr>
        <w:t>אחרונים</w:t>
      </w:r>
      <w:r w:rsidRPr="00012502">
        <w:rPr>
          <w:rFonts w:ascii="Narkisim" w:hAnsi="Narkisim"/>
          <w:rtl/>
        </w:rPr>
        <w:t xml:space="preserve"> כתבו דאף דאין חיוב כרת, עכ"פ יש בזה איסור</w:t>
      </w:r>
      <w:r w:rsidRPr="00012502">
        <w:rPr>
          <w:rStyle w:val="ac"/>
          <w:rFonts w:ascii="Narkisim" w:hAnsi="Narkisim"/>
          <w:rtl/>
        </w:rPr>
        <w:footnoteReference w:id="80"/>
      </w:r>
      <w:r w:rsidRPr="00012502">
        <w:rPr>
          <w:rFonts w:ascii="Narkisim" w:hAnsi="Narkisim"/>
          <w:rtl/>
        </w:rPr>
        <w:t>. וה</w:t>
      </w:r>
      <w:r w:rsidRPr="00012502">
        <w:rPr>
          <w:rFonts w:ascii="Narkisim" w:hAnsi="Narkisim"/>
          <w:b/>
          <w:bCs/>
          <w:rtl/>
        </w:rPr>
        <w:t>קה"י</w:t>
      </w:r>
      <w:r w:rsidRPr="00012502">
        <w:rPr>
          <w:rFonts w:ascii="Narkisim" w:hAnsi="Narkisim"/>
          <w:rtl/>
        </w:rPr>
        <w:t xml:space="preserve"> </w:t>
      </w:r>
      <w:r w:rsidRPr="00012502">
        <w:rPr>
          <w:rFonts w:ascii="Narkisim" w:hAnsi="Narkisim"/>
          <w:sz w:val="20"/>
          <w:szCs w:val="20"/>
          <w:rtl/>
        </w:rPr>
        <w:t>(ב, וכ"כ בחי' הגר"נ בשם הגר"ח שמואלביץ)</w:t>
      </w:r>
      <w:r w:rsidRPr="00012502">
        <w:rPr>
          <w:rFonts w:ascii="Narkisim" w:hAnsi="Narkisim"/>
          <w:rtl/>
        </w:rPr>
        <w:t xml:space="preserve"> כתב דכיון דקידש האשה נחשב שעומדת לנישואין, ולכן לא תפסי קידושי בבת דל"ש קידושין כשאינה ראויה ליחד לנישואין, ואף שעדיין אינה אסורה עליו</w:t>
      </w:r>
      <w:r w:rsidRPr="00012502">
        <w:rPr>
          <w:rStyle w:val="ac"/>
          <w:rFonts w:ascii="Narkisim" w:hAnsi="Narkisim"/>
          <w:rtl/>
        </w:rPr>
        <w:footnoteReference w:id="81"/>
      </w:r>
      <w:r w:rsidRPr="00012502">
        <w:rPr>
          <w:rFonts w:ascii="Narkisim" w:hAnsi="Narkisim"/>
          <w:rtl/>
        </w:rPr>
        <w:t xml:space="preserve"> </w:t>
      </w:r>
      <w:r w:rsidRPr="00012502">
        <w:rPr>
          <w:rFonts w:ascii="Narkisim" w:hAnsi="Narkisim"/>
          <w:sz w:val="20"/>
          <w:szCs w:val="20"/>
          <w:rtl/>
        </w:rPr>
        <w:t>[אלא באיסור פנויה].</w:t>
      </w:r>
    </w:p>
    <w:p w14:paraId="53BA5AE4" w14:textId="77777777" w:rsidR="00BE1D1C" w:rsidRPr="00012502" w:rsidRDefault="00000000" w:rsidP="00012502">
      <w:pPr>
        <w:pStyle w:val="3"/>
        <w:bidi/>
        <w:rPr>
          <w:rFonts w:ascii="Narkisim" w:hAnsi="Narkisim"/>
        </w:rPr>
      </w:pPr>
      <w:r w:rsidRPr="00012502">
        <w:rPr>
          <w:rFonts w:ascii="Narkisim" w:hAnsi="Narkisim"/>
          <w:rtl/>
        </w:rPr>
        <w:t>דף ג.</w:t>
      </w:r>
    </w:p>
    <w:p w14:paraId="2F3DC97A" w14:textId="77777777" w:rsidR="00BE1D1C" w:rsidRPr="00012502" w:rsidRDefault="00000000" w:rsidP="00012502">
      <w:pPr>
        <w:bidi/>
        <w:rPr>
          <w:rFonts w:ascii="Narkisim" w:hAnsi="Narkisim" w:cs="Narkisim"/>
        </w:rPr>
      </w:pPr>
      <w:r w:rsidRPr="00012502">
        <w:rPr>
          <w:rFonts w:ascii="Narkisim" w:hAnsi="Narkisim" w:cs="Narkisim"/>
          <w:u w:val="single"/>
          <w:rtl/>
        </w:rPr>
        <w:t>ובדין הוא דלקדמה לכלתו וכו'.</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w:t>
      </w:r>
      <w:r w:rsidRPr="00012502">
        <w:rPr>
          <w:rFonts w:ascii="Narkisim" w:hAnsi="Narkisim" w:cs="Narkisim"/>
          <w:i/>
          <w:iCs/>
          <w:rtl/>
        </w:rPr>
        <w:t>כלומר</w:t>
      </w:r>
      <w:r w:rsidRPr="00012502">
        <w:rPr>
          <w:rFonts w:ascii="Narkisim" w:hAnsi="Narkisim" w:cs="Narkisim"/>
          <w:rtl/>
        </w:rPr>
        <w:t xml:space="preserve"> דחמירא טפי. ו</w:t>
      </w:r>
      <w:r w:rsidRPr="00012502">
        <w:rPr>
          <w:rFonts w:ascii="Narkisim" w:hAnsi="Narkisim" w:cs="Narkisim"/>
          <w:b/>
          <w:bCs/>
          <w:rtl/>
        </w:rPr>
        <w:t>תוס</w:t>
      </w:r>
      <w:r w:rsidRPr="00012502">
        <w:rPr>
          <w:rFonts w:ascii="Narkisim" w:hAnsi="Narkisim" w:cs="Narkisim"/>
          <w:rtl/>
        </w:rPr>
        <w:t>' (ד"ה מקמי) כת' דכוונת הגמ' דכלתו קרובה טפי מאשת אח. [דאשת אח 'לאו משום קורבא' דעצמו</w:t>
      </w:r>
      <w:r w:rsidRPr="00012502">
        <w:rPr>
          <w:rStyle w:val="ac"/>
          <w:rFonts w:ascii="Narkisim" w:hAnsi="Narkisim" w:cs="Narkisim"/>
          <w:rtl/>
        </w:rPr>
        <w:footnoteReference w:id="82"/>
      </w:r>
      <w:r w:rsidRPr="00012502">
        <w:rPr>
          <w:rFonts w:ascii="Narkisim" w:hAnsi="Narkisim" w:cs="Narkisim"/>
          <w:rtl/>
        </w:rPr>
        <w:t>, ואילו אשת בנו הוה קורבא].</w:t>
      </w:r>
    </w:p>
    <w:p w14:paraId="70670F54"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ריטב"א</w:t>
      </w:r>
      <w:r w:rsidRPr="00012502">
        <w:rPr>
          <w:rFonts w:ascii="Narkisim" w:hAnsi="Narkisim"/>
          <w:rtl/>
        </w:rPr>
        <w:t xml:space="preserve"> כת' דאשת אח שלא היה בעולמו 'אינה קורבת אח גמורה' כיון שלא היה בעולמו. וה</w:t>
      </w:r>
      <w:r w:rsidRPr="00012502">
        <w:rPr>
          <w:rFonts w:ascii="Narkisim" w:hAnsi="Narkisim"/>
          <w:b/>
          <w:bCs/>
          <w:rtl/>
        </w:rPr>
        <w:t>רמב"ן</w:t>
      </w:r>
      <w:r w:rsidRPr="00012502">
        <w:rPr>
          <w:rFonts w:ascii="Narkisim" w:hAnsi="Narkisim"/>
          <w:rtl/>
        </w:rPr>
        <w:t xml:space="preserve"> כת' דאשת אח שלא היה בעולמו אינה הנאסרת משום קורבא, דאשת אח בעולמו קרובה יותר ומתייבמת</w:t>
      </w:r>
      <w:r w:rsidRPr="00012502">
        <w:rPr>
          <w:rFonts w:ascii="Narkisim" w:hAnsi="Narkisim"/>
          <w:sz w:val="20"/>
          <w:szCs w:val="20"/>
          <w:rtl/>
        </w:rPr>
        <w:t xml:space="preserve"> [והפטור מיבום אינה משום קורבה</w:t>
      </w:r>
      <w:r w:rsidRPr="00012502">
        <w:rPr>
          <w:rStyle w:val="ac"/>
          <w:rFonts w:ascii="Narkisim" w:hAnsi="Narkisim"/>
          <w:sz w:val="20"/>
          <w:szCs w:val="20"/>
          <w:rtl/>
        </w:rPr>
        <w:footnoteReference w:id="83"/>
      </w:r>
      <w:r w:rsidRPr="00012502">
        <w:rPr>
          <w:rFonts w:ascii="Narkisim" w:hAnsi="Narkisim"/>
          <w:sz w:val="20"/>
          <w:szCs w:val="20"/>
          <w:rtl/>
        </w:rPr>
        <w:t>]</w:t>
      </w:r>
      <w:r w:rsidRPr="00012502">
        <w:rPr>
          <w:rFonts w:ascii="Narkisim" w:hAnsi="Narkisim"/>
          <w:rtl/>
        </w:rPr>
        <w:t>.</w:t>
      </w:r>
    </w:p>
    <w:p w14:paraId="3CC40AB1" w14:textId="77777777" w:rsidR="00BE1D1C" w:rsidRPr="00012502" w:rsidRDefault="00000000" w:rsidP="00012502">
      <w:pPr>
        <w:bidi/>
        <w:rPr>
          <w:rFonts w:ascii="Narkisim" w:hAnsi="Narkisim" w:cs="Narkisim"/>
        </w:rPr>
      </w:pPr>
      <w:r w:rsidRPr="00012502">
        <w:rPr>
          <w:rFonts w:ascii="Narkisim" w:hAnsi="Narkisim" w:cs="Narkisim"/>
          <w:u w:val="single"/>
          <w:rtl/>
        </w:rPr>
        <w:t>רש"י ד"ה ליתני אסורות</w:t>
      </w:r>
      <w:r w:rsidRPr="00012502">
        <w:rPr>
          <w:rStyle w:val="ac"/>
          <w:rFonts w:ascii="Narkisim" w:hAnsi="Narkisim" w:cs="Narkisim"/>
          <w:u w:val="single"/>
          <w:rtl/>
        </w:rPr>
        <w:footnoteReference w:id="84"/>
      </w:r>
      <w:r w:rsidRPr="00012502">
        <w:rPr>
          <w:rFonts w:ascii="Narkisim" w:hAnsi="Narkisim" w:cs="Narkisim"/>
          <w:u w:val="single"/>
          <w:rtl/>
        </w:rPr>
        <w:t>.</w:t>
      </w:r>
      <w:r w:rsidRPr="00012502">
        <w:rPr>
          <w:rFonts w:ascii="Narkisim" w:hAnsi="Narkisim" w:cs="Narkisim"/>
          <w:rtl/>
        </w:rPr>
        <w:t xml:space="preserve"> דהא ודאי אסורות</w:t>
      </w:r>
      <w:r w:rsidRPr="00012502">
        <w:rPr>
          <w:rStyle w:val="ac"/>
          <w:rFonts w:ascii="Narkisim" w:hAnsi="Narkisim" w:cs="Narkisim"/>
          <w:rtl/>
        </w:rPr>
        <w:footnoteReference w:id="85"/>
      </w:r>
      <w:r w:rsidRPr="00012502">
        <w:rPr>
          <w:rFonts w:ascii="Narkisim" w:hAnsi="Narkisim" w:cs="Narkisim"/>
          <w:rtl/>
        </w:rPr>
        <w:t xml:space="preserve"> וכו' וקיימי באיסור אשת אח</w:t>
      </w:r>
      <w:r w:rsidRPr="00012502">
        <w:rPr>
          <w:rStyle w:val="ac"/>
          <w:rFonts w:ascii="Narkisim" w:hAnsi="Narkisim" w:cs="Narkisim"/>
          <w:rtl/>
        </w:rPr>
        <w:footnoteReference w:id="86"/>
      </w:r>
      <w:r w:rsidRPr="00012502">
        <w:rPr>
          <w:rFonts w:ascii="Narkisim" w:hAnsi="Narkisim" w:cs="Narkisim"/>
          <w:rtl/>
        </w:rPr>
        <w:t xml:space="preserve">. [כיון שפטורה מיבום]. משמע דגדר האיסור לצרת ערוה [אף לפי האמת] הוה משום איסור אשת אח, ולא איסור צרת ערוה. וכ"כ </w:t>
      </w:r>
      <w:r w:rsidRPr="00012502">
        <w:rPr>
          <w:rFonts w:ascii="Narkisim" w:hAnsi="Narkisim" w:cs="Narkisim"/>
          <w:b/>
          <w:bCs/>
          <w:rtl/>
        </w:rPr>
        <w:t>רש"י</w:t>
      </w:r>
      <w:r w:rsidRPr="00012502">
        <w:rPr>
          <w:rFonts w:ascii="Narkisim" w:hAnsi="Narkisim" w:cs="Narkisim"/>
          <w:rtl/>
        </w:rPr>
        <w:t xml:space="preserve"> (ד"ה משום הכי) דאיסורא שכיב ממילא דהויא באיסור אא"ח שיש לה בנים. </w:t>
      </w:r>
      <w:r w:rsidRPr="00012502">
        <w:rPr>
          <w:rFonts w:ascii="Narkisim" w:hAnsi="Narkisim" w:cs="Narkisim"/>
          <w:sz w:val="20"/>
          <w:szCs w:val="20"/>
          <w:rtl/>
        </w:rPr>
        <w:t>[וע' מש"כ במשנה].</w:t>
      </w:r>
      <w:r w:rsidRPr="00012502">
        <w:rPr>
          <w:rFonts w:ascii="Narkisim" w:hAnsi="Narkisim" w:cs="Narkisim"/>
          <w:rtl/>
        </w:rPr>
        <w:t xml:space="preserve"> וכ"כ ה</w:t>
      </w:r>
      <w:r w:rsidRPr="00012502">
        <w:rPr>
          <w:rFonts w:ascii="Narkisim" w:hAnsi="Narkisim" w:cs="Narkisim"/>
          <w:b/>
          <w:bCs/>
          <w:rtl/>
        </w:rPr>
        <w:t>רשב"א</w:t>
      </w:r>
      <w:r w:rsidRPr="00012502">
        <w:rPr>
          <w:rFonts w:ascii="Narkisim" w:hAnsi="Narkisim" w:cs="Narkisim"/>
          <w:rtl/>
        </w:rPr>
        <w:t xml:space="preserve"> (ג:) שאין הערוה נותנת איסור לצרתה, אלא מסלקת זיקת היבום מכל אותו בית. וממילא צרה באיסור אא"ח כדקיימא קיימא</w:t>
      </w:r>
      <w:r w:rsidRPr="00012502">
        <w:rPr>
          <w:rFonts w:ascii="Narkisim" w:hAnsi="Narkisim" w:cs="Narkisim"/>
          <w:szCs w:val="20"/>
          <w:rtl/>
        </w:rPr>
        <w:t xml:space="preserve"> [וכ"כ ה</w:t>
      </w:r>
      <w:r w:rsidRPr="00012502">
        <w:rPr>
          <w:rFonts w:ascii="Narkisim" w:hAnsi="Narkisim" w:cs="Narkisim"/>
          <w:b/>
          <w:bCs/>
          <w:szCs w:val="20"/>
          <w:rtl/>
        </w:rPr>
        <w:t>מאירי</w:t>
      </w:r>
      <w:r w:rsidRPr="00012502">
        <w:rPr>
          <w:rFonts w:ascii="Narkisim" w:hAnsi="Narkisim" w:cs="Narkisim"/>
          <w:szCs w:val="20"/>
          <w:rtl/>
        </w:rPr>
        <w:t xml:space="preserve"> ו</w:t>
      </w:r>
      <w:r w:rsidRPr="00012502">
        <w:rPr>
          <w:rFonts w:ascii="Narkisim" w:hAnsi="Narkisim" w:cs="Narkisim"/>
          <w:b/>
          <w:bCs/>
          <w:szCs w:val="20"/>
          <w:rtl/>
        </w:rPr>
        <w:t>תוס' הרא"ש</w:t>
      </w:r>
      <w:r w:rsidRPr="00012502">
        <w:rPr>
          <w:rFonts w:ascii="Narkisim" w:hAnsi="Narkisim" w:cs="Narkisim"/>
          <w:szCs w:val="20"/>
          <w:rtl/>
        </w:rPr>
        <w:t>]</w:t>
      </w:r>
      <w:r w:rsidRPr="00012502">
        <w:rPr>
          <w:rFonts w:ascii="Narkisim" w:hAnsi="Narkisim" w:cs="Narkisim"/>
          <w:rtl/>
        </w:rPr>
        <w:t>.</w:t>
      </w:r>
    </w:p>
    <w:p w14:paraId="47DB07D6" w14:textId="77777777" w:rsidR="00BE1D1C" w:rsidRPr="00012502" w:rsidRDefault="00000000" w:rsidP="00012502">
      <w:pPr>
        <w:pStyle w:val="aa"/>
        <w:bidi/>
        <w:rPr>
          <w:rFonts w:ascii="Narkisim" w:hAnsi="Narkisim"/>
        </w:rPr>
      </w:pPr>
      <w:r w:rsidRPr="00012502">
        <w:rPr>
          <w:rFonts w:ascii="Narkisim" w:hAnsi="Narkisim"/>
          <w:u w:val="single"/>
          <w:rtl/>
        </w:rPr>
        <w:t>אם אתה אומר חולצת מתייבמת וכו'</w:t>
      </w:r>
      <w:r w:rsidRPr="00012502">
        <w:rPr>
          <w:rFonts w:ascii="Narkisim" w:hAnsi="Narkisim"/>
          <w:rtl/>
        </w:rPr>
        <w:t>. דיש איסור מדרבנן לחלוץ</w:t>
      </w:r>
      <w:r w:rsidRPr="00012502">
        <w:rPr>
          <w:rStyle w:val="ac"/>
          <w:rFonts w:ascii="Narkisim" w:hAnsi="Narkisim"/>
          <w:rtl/>
        </w:rPr>
        <w:footnoteReference w:id="87"/>
      </w:r>
      <w:r w:rsidRPr="00012502">
        <w:rPr>
          <w:rFonts w:ascii="Narkisim" w:hAnsi="Narkisim"/>
          <w:rtl/>
        </w:rPr>
        <w:t xml:space="preserve">, גזירה שמא ילמדו שמותרת להתייבם. </w:t>
      </w:r>
      <w:r w:rsidRPr="00012502">
        <w:rPr>
          <w:rFonts w:ascii="Narkisim" w:hAnsi="Narkisim"/>
          <w:rtl/>
        </w:rPr>
        <w:lastRenderedPageBreak/>
        <w:t>[וב</w:t>
      </w:r>
      <w:r w:rsidRPr="00012502">
        <w:rPr>
          <w:rFonts w:ascii="Narkisim" w:hAnsi="Narkisim"/>
          <w:b/>
          <w:bCs/>
          <w:rtl/>
        </w:rPr>
        <w:t>גהש"ס</w:t>
      </w:r>
      <w:r w:rsidRPr="00012502">
        <w:rPr>
          <w:rFonts w:ascii="Narkisim" w:hAnsi="Narkisim"/>
          <w:rtl/>
        </w:rPr>
        <w:t xml:space="preserve"> ציין דמצאנו גזירה זו לקמן לא. וקידושין ס.]. ויל"ד בחייבי ל"ת ועשה אמאי לא גזרו שמא תתייבם</w:t>
      </w:r>
      <w:r w:rsidRPr="00012502">
        <w:rPr>
          <w:rStyle w:val="ac"/>
          <w:rFonts w:ascii="Narkisim" w:hAnsi="Narkisim"/>
          <w:rtl/>
        </w:rPr>
        <w:footnoteReference w:id="88"/>
      </w:r>
      <w:r w:rsidRPr="00012502">
        <w:rPr>
          <w:rFonts w:ascii="Narkisim" w:hAnsi="Narkisim"/>
          <w:rtl/>
        </w:rPr>
        <w:t>.</w:t>
      </w:r>
    </w:p>
    <w:p w14:paraId="38C866EC" w14:textId="77777777" w:rsidR="00BE1D1C" w:rsidRPr="00012502" w:rsidRDefault="00000000" w:rsidP="00012502">
      <w:pPr>
        <w:bidi/>
        <w:rPr>
          <w:rFonts w:ascii="Narkisim" w:hAnsi="Narkisim" w:cs="Narkisim"/>
        </w:rPr>
      </w:pPr>
      <w:r w:rsidRPr="00012502">
        <w:rPr>
          <w:rFonts w:ascii="Narkisim" w:hAnsi="Narkisim" w:cs="Narkisim"/>
          <w:u w:val="single"/>
          <w:rtl/>
        </w:rPr>
        <w:t>הו"א מיחלץ חלצה וכו' קמ"ל כל העולה ליבום וכו'.</w:t>
      </w:r>
      <w:r w:rsidRPr="00012502">
        <w:rPr>
          <w:rFonts w:ascii="Narkisim" w:hAnsi="Narkisim" w:cs="Narkisim"/>
          <w:rtl/>
        </w:rPr>
        <w:t xml:space="preserve"> בפשוטו הך ס"ד קאי בכל העריות, דאף דילפי' גזיה"כ לפטור מיבום עדיין ס"ד דזקוקות לחליצה. וכמו חייבי לאו ועשה (ע' לקמן כ.) [דחליצה לא תלי בחיוב יבום].</w:t>
      </w:r>
    </w:p>
    <w:p w14:paraId="7B213ED4" w14:textId="77777777" w:rsidR="00BE1D1C" w:rsidRPr="00012502" w:rsidRDefault="00000000" w:rsidP="00012502">
      <w:pPr>
        <w:pStyle w:val="a8"/>
        <w:bidi/>
        <w:rPr>
          <w:rFonts w:ascii="Narkisim" w:hAnsi="Narkisim"/>
        </w:rPr>
      </w:pPr>
      <w:r w:rsidRPr="00012502">
        <w:rPr>
          <w:rFonts w:ascii="Narkisim" w:hAnsi="Narkisim"/>
          <w:rtl/>
        </w:rPr>
        <w:t>ויש שדחו דס"ד דחולצת מדרבנן</w:t>
      </w:r>
      <w:r w:rsidRPr="00012502">
        <w:rPr>
          <w:rStyle w:val="ac"/>
          <w:rFonts w:ascii="Narkisim" w:hAnsi="Narkisim"/>
          <w:rtl/>
        </w:rPr>
        <w:footnoteReference w:id="89"/>
      </w:r>
      <w:r w:rsidRPr="00012502">
        <w:rPr>
          <w:rFonts w:ascii="Narkisim" w:hAnsi="Narkisim"/>
          <w:rtl/>
        </w:rPr>
        <w:t>.</w:t>
      </w:r>
    </w:p>
    <w:p w14:paraId="457435B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כת' צרת ערוה מיהא. [משמע דהערוה עצמה פטורה לגמרי מקרא ד'עליה', ואינה זקוקה לחליצה. אלא ס"ד דצרת ערוה הוה איסור ליבום לחוד</w:t>
      </w:r>
      <w:r w:rsidRPr="00012502">
        <w:rPr>
          <w:rStyle w:val="ac"/>
          <w:rFonts w:ascii="Narkisim" w:hAnsi="Narkisim"/>
          <w:rtl/>
        </w:rPr>
        <w:footnoteReference w:id="90"/>
      </w:r>
      <w:r w:rsidRPr="00012502">
        <w:rPr>
          <w:rFonts w:ascii="Narkisim" w:hAnsi="Narkisim"/>
          <w:rtl/>
        </w:rPr>
        <w:t>. קמ"ל 'כל העולה ליבום'].</w:t>
      </w:r>
    </w:p>
    <w:p w14:paraId="163D7A23" w14:textId="77777777" w:rsidR="00BE1D1C" w:rsidRPr="00012502" w:rsidRDefault="00000000" w:rsidP="00012502">
      <w:pPr>
        <w:pStyle w:val="a8"/>
        <w:bidi/>
        <w:rPr>
          <w:rFonts w:ascii="Narkisim" w:hAnsi="Narkisim"/>
        </w:rPr>
      </w:pPr>
      <w:r w:rsidRPr="00012502">
        <w:rPr>
          <w:rFonts w:ascii="Narkisim" w:hAnsi="Narkisim"/>
          <w:rtl/>
        </w:rPr>
        <w:t xml:space="preserve">ועד"ז יש שדייקו מדברי </w:t>
      </w:r>
      <w:r w:rsidRPr="00012502">
        <w:rPr>
          <w:rFonts w:ascii="Narkisim" w:hAnsi="Narkisim"/>
          <w:b/>
          <w:bCs/>
          <w:rtl/>
        </w:rPr>
        <w:t>רש"י</w:t>
      </w:r>
      <w:r w:rsidRPr="00012502">
        <w:rPr>
          <w:rFonts w:ascii="Narkisim" w:hAnsi="Narkisim"/>
          <w:rtl/>
        </w:rPr>
        <w:t xml:space="preserve"> (י: ד"ה וחייבי) דילפי' מאחות אשה לפטור חליצה בחייבי כריתות</w:t>
      </w:r>
      <w:r w:rsidRPr="00012502">
        <w:rPr>
          <w:rStyle w:val="ac"/>
          <w:rFonts w:ascii="Narkisim" w:hAnsi="Narkisim"/>
          <w:rtl/>
        </w:rPr>
        <w:footnoteReference w:id="91"/>
      </w:r>
      <w:r w:rsidRPr="00012502">
        <w:rPr>
          <w:rFonts w:ascii="Narkisim" w:hAnsi="Narkisim"/>
          <w:rtl/>
        </w:rPr>
        <w:t>. דהו' ילפותא לפטור חליצה, ולא מ'כל העולה'</w:t>
      </w:r>
      <w:r w:rsidRPr="00012502">
        <w:rPr>
          <w:rStyle w:val="ac"/>
          <w:rFonts w:ascii="Narkisim" w:hAnsi="Narkisim"/>
          <w:rtl/>
        </w:rPr>
        <w:footnoteReference w:id="92"/>
      </w:r>
      <w:r w:rsidRPr="00012502">
        <w:rPr>
          <w:rFonts w:ascii="Narkisim" w:hAnsi="Narkisim"/>
          <w:rtl/>
        </w:rPr>
        <w:t>.</w:t>
      </w:r>
    </w:p>
    <w:p w14:paraId="4F833D39" w14:textId="77777777" w:rsidR="00BE1D1C" w:rsidRPr="00012502" w:rsidRDefault="00000000" w:rsidP="00012502">
      <w:pPr>
        <w:bidi/>
        <w:rPr>
          <w:rFonts w:ascii="Narkisim" w:hAnsi="Narkisim" w:cs="Narkisim"/>
        </w:rPr>
      </w:pPr>
      <w:r w:rsidRPr="00012502">
        <w:rPr>
          <w:rFonts w:ascii="Narkisim" w:hAnsi="Narkisim" w:cs="Narkisim"/>
          <w:rtl/>
        </w:rPr>
        <w:t>אבל ה</w:t>
      </w:r>
      <w:r w:rsidRPr="00012502">
        <w:rPr>
          <w:rFonts w:ascii="Narkisim" w:hAnsi="Narkisim" w:cs="Narkisim"/>
          <w:b/>
          <w:bCs/>
          <w:rtl/>
        </w:rPr>
        <w:t>תו"י</w:t>
      </w:r>
      <w:r w:rsidRPr="00012502">
        <w:rPr>
          <w:rFonts w:ascii="Narkisim" w:hAnsi="Narkisim" w:cs="Narkisim"/>
          <w:rtl/>
        </w:rPr>
        <w:t xml:space="preserve"> פי' כוונת הגמ' דהו"א דחולצת אם היא רוצה, קמ"ל דבי"ד אינן נזקקין לכך</w:t>
      </w:r>
      <w:r w:rsidRPr="00012502">
        <w:rPr>
          <w:rStyle w:val="ac"/>
          <w:rFonts w:ascii="Narkisim" w:hAnsi="Narkisim" w:cs="Narkisim"/>
          <w:rtl/>
        </w:rPr>
        <w:footnoteReference w:id="93"/>
      </w:r>
      <w:r w:rsidRPr="00012502">
        <w:rPr>
          <w:rFonts w:ascii="Narkisim" w:hAnsi="Narkisim" w:cs="Narkisim"/>
          <w:rtl/>
        </w:rPr>
        <w:t>. ומשמע דאף לס"ד רשאית לינשא בלא חליצה, אלא דרשאית לחלוץ. וה</w:t>
      </w:r>
      <w:r w:rsidRPr="00012502">
        <w:rPr>
          <w:rFonts w:ascii="Narkisim" w:hAnsi="Narkisim" w:cs="Narkisim"/>
          <w:b/>
          <w:bCs/>
          <w:rtl/>
        </w:rPr>
        <w:t>אחרונים</w:t>
      </w:r>
      <w:r w:rsidRPr="00012502">
        <w:rPr>
          <w:rFonts w:ascii="Narkisim" w:hAnsi="Narkisim" w:cs="Narkisim"/>
          <w:rtl/>
        </w:rPr>
        <w:t xml:space="preserve"> ביארו דלס"ד יש לבי"ד ליזקק לכך, ואף דמותרת לשוק בלא חליצה, מ"מ שייך לקיים מצות חליצה [</w:t>
      </w:r>
      <w:r w:rsidRPr="00012502">
        <w:rPr>
          <w:rFonts w:ascii="Narkisim" w:hAnsi="Narkisim" w:cs="Narkisim"/>
          <w:sz w:val="20"/>
          <w:szCs w:val="20"/>
          <w:rtl/>
        </w:rPr>
        <w:t>ולכאורה קמ"ל דצרת ערוה פטורה, ואין זיקה, ול"ש לקיים מצות חליצה</w:t>
      </w:r>
      <w:r w:rsidRPr="00012502">
        <w:rPr>
          <w:rFonts w:ascii="Narkisim" w:hAnsi="Narkisim" w:cs="Narkisim"/>
          <w:rtl/>
        </w:rPr>
        <w:t xml:space="preserve">]. דיש מצוה בחליצה מלבד מה שמתיר מהזיקה להתיר להנשא. </w:t>
      </w:r>
      <w:r w:rsidRPr="00012502">
        <w:rPr>
          <w:rFonts w:ascii="Narkisim" w:hAnsi="Narkisim" w:cs="Narkisim"/>
          <w:sz w:val="20"/>
          <w:szCs w:val="20"/>
          <w:rtl/>
        </w:rPr>
        <w:t>וכמ"ש ה</w:t>
      </w:r>
      <w:r w:rsidRPr="00012502">
        <w:rPr>
          <w:rFonts w:ascii="Narkisim" w:hAnsi="Narkisim" w:cs="Narkisim"/>
          <w:b/>
          <w:bCs/>
          <w:sz w:val="20"/>
          <w:szCs w:val="20"/>
          <w:rtl/>
        </w:rPr>
        <w:t>בית שמואל</w:t>
      </w:r>
      <w:r w:rsidRPr="00012502">
        <w:rPr>
          <w:rFonts w:ascii="Narkisim" w:hAnsi="Narkisim" w:cs="Narkisim"/>
          <w:sz w:val="20"/>
          <w:szCs w:val="20"/>
          <w:rtl/>
        </w:rPr>
        <w:t xml:space="preserve"> (קסה ט) בשם ה</w:t>
      </w:r>
      <w:r w:rsidRPr="00012502">
        <w:rPr>
          <w:rFonts w:ascii="Narkisim" w:hAnsi="Narkisim" w:cs="Narkisim"/>
          <w:b/>
          <w:bCs/>
          <w:sz w:val="20"/>
          <w:szCs w:val="20"/>
          <w:rtl/>
        </w:rPr>
        <w:t>זוהר</w:t>
      </w:r>
      <w:r w:rsidRPr="00012502">
        <w:rPr>
          <w:rFonts w:ascii="Narkisim" w:hAnsi="Narkisim" w:cs="Narkisim"/>
          <w:sz w:val="20"/>
          <w:szCs w:val="20"/>
          <w:rtl/>
        </w:rPr>
        <w:t xml:space="preserve"> דיש מצוה לחלוץ [והחליצה הוה לא רק להתיר. והאחרונים האריכו בזה</w:t>
      </w:r>
      <w:r w:rsidRPr="00012502">
        <w:rPr>
          <w:rStyle w:val="ac"/>
          <w:rFonts w:ascii="Narkisim" w:hAnsi="Narkisim" w:cs="Narkisim"/>
          <w:sz w:val="20"/>
          <w:szCs w:val="20"/>
          <w:rtl/>
        </w:rPr>
        <w:footnoteReference w:id="94"/>
      </w:r>
      <w:r w:rsidRPr="00012502">
        <w:rPr>
          <w:rFonts w:ascii="Narkisim" w:hAnsi="Narkisim" w:cs="Narkisim"/>
          <w:sz w:val="20"/>
          <w:szCs w:val="20"/>
          <w:rtl/>
        </w:rPr>
        <w:t>]</w:t>
      </w:r>
      <w:r w:rsidRPr="00012502">
        <w:rPr>
          <w:rFonts w:ascii="Narkisim" w:hAnsi="Narkisim" w:cs="Narkisim"/>
          <w:rtl/>
        </w:rPr>
        <w:t>.</w:t>
      </w:r>
    </w:p>
    <w:p w14:paraId="78D0897F" w14:textId="77777777" w:rsidR="00BE1D1C" w:rsidRPr="00012502" w:rsidRDefault="00000000" w:rsidP="00012502">
      <w:pPr>
        <w:pStyle w:val="aa"/>
        <w:bidi/>
        <w:rPr>
          <w:rFonts w:ascii="Narkisim" w:hAnsi="Narkisim"/>
        </w:rPr>
      </w:pPr>
      <w:r w:rsidRPr="00012502">
        <w:rPr>
          <w:rFonts w:ascii="Narkisim" w:hAnsi="Narkisim"/>
          <w:u w:val="single"/>
          <w:rtl/>
        </w:rPr>
        <w:t>תוד"ה אבל</w:t>
      </w:r>
      <w:r w:rsidRPr="00012502">
        <w:rPr>
          <w:rFonts w:ascii="Narkisim" w:hAnsi="Narkisim"/>
          <w:rtl/>
        </w:rPr>
        <w:t xml:space="preserve">. אע"ג דמסיפא שמעינן וכו'. וכ"כ </w:t>
      </w:r>
      <w:r w:rsidRPr="00012502">
        <w:rPr>
          <w:rFonts w:ascii="Narkisim" w:hAnsi="Narkisim"/>
          <w:b/>
          <w:bCs/>
          <w:rtl/>
        </w:rPr>
        <w:t>תוס</w:t>
      </w:r>
      <w:r w:rsidRPr="00012502">
        <w:rPr>
          <w:rFonts w:ascii="Narkisim" w:hAnsi="Narkisim"/>
          <w:rtl/>
        </w:rPr>
        <w:t>' (מנחות צג.) דאף דשמעינן מכמה מתני' דאי"צ חליצה, כדקתני כל היכולה למאן וכו' צרתה חולצת, אלמא דאינך לא בעו אפי' חליצה. וכן (לקמן יג:) דלבי"ה כשירה לכהונה, ואי צריך חליצה אפי' מדרבנן פסולה לכהונה. אלא דאורחיה דתנא הכי, לשנות תיבה אחת אגב אורחיה, אף דשמעינן ממקום אחר.</w:t>
      </w:r>
    </w:p>
    <w:p w14:paraId="7337CC83" w14:textId="77777777" w:rsidR="00BE1D1C" w:rsidRPr="00012502" w:rsidRDefault="00000000" w:rsidP="00012502">
      <w:pPr>
        <w:pStyle w:val="a8"/>
        <w:bidi/>
        <w:rPr>
          <w:rFonts w:ascii="Narkisim" w:hAnsi="Narkisim"/>
        </w:rPr>
      </w:pPr>
      <w:r w:rsidRPr="00012502">
        <w:rPr>
          <w:rFonts w:ascii="Narkisim" w:hAnsi="Narkisim"/>
          <w:rtl/>
        </w:rPr>
        <w:t>והאחרונים דנו דלדברי התו"י מתיישב קו' התוס', דס"ד דברישא יש עכ"פ מצווה.</w:t>
      </w:r>
    </w:p>
    <w:p w14:paraId="3EADB5B3" w14:textId="77777777" w:rsidR="00BE1D1C" w:rsidRPr="00012502" w:rsidRDefault="00000000" w:rsidP="00012502">
      <w:pPr>
        <w:bidi/>
        <w:rPr>
          <w:rFonts w:ascii="Narkisim" w:hAnsi="Narkisim" w:cs="Narkisim"/>
        </w:rPr>
      </w:pPr>
      <w:r w:rsidRPr="00012502">
        <w:rPr>
          <w:rFonts w:ascii="Narkisim" w:hAnsi="Narkisim" w:cs="Narkisim"/>
          <w:u w:val="single"/>
          <w:rtl/>
        </w:rPr>
        <w:t>כל העולה ליבום וכו'.</w:t>
      </w:r>
      <w:r w:rsidRPr="00012502">
        <w:rPr>
          <w:rFonts w:ascii="Narkisim" w:hAnsi="Narkisim" w:cs="Narkisim"/>
          <w:rtl/>
        </w:rPr>
        <w:t xml:space="preserve"> ה</w:t>
      </w:r>
      <w:r w:rsidRPr="00012502">
        <w:rPr>
          <w:rFonts w:ascii="Narkisim" w:hAnsi="Narkisim" w:cs="Narkisim"/>
          <w:b/>
          <w:bCs/>
          <w:rtl/>
        </w:rPr>
        <w:t>אחרונים</w:t>
      </w:r>
      <w:r w:rsidRPr="00012502">
        <w:rPr>
          <w:rFonts w:ascii="Narkisim" w:hAnsi="Narkisim" w:cs="Narkisim"/>
          <w:rtl/>
        </w:rPr>
        <w:t xml:space="preserve"> האריכו דיש כמה הגדרות שונות בדין כל העולה ליבום (ע' לקמן כ ולו.), ובסוגיין כוונת הגמ' דבמקום דאין זיקה ליבום, אין דין זיקה לחליצה.</w:t>
      </w:r>
    </w:p>
    <w:p w14:paraId="29207476" w14:textId="77777777" w:rsidR="00BE1D1C" w:rsidRPr="00012502" w:rsidRDefault="00000000" w:rsidP="00012502">
      <w:pPr>
        <w:bidi/>
        <w:rPr>
          <w:rFonts w:ascii="Narkisim" w:hAnsi="Narkisim" w:cs="Narkisim"/>
        </w:rPr>
      </w:pPr>
      <w:r w:rsidRPr="00012502">
        <w:rPr>
          <w:rFonts w:ascii="Narkisim" w:hAnsi="Narkisim" w:cs="Narkisim"/>
          <w:u w:val="single"/>
          <w:rtl/>
        </w:rPr>
        <w:t>רש"י ד"ה ה"א מיחלץ.</w:t>
      </w:r>
      <w:r w:rsidRPr="00012502">
        <w:rPr>
          <w:rFonts w:ascii="Narkisim" w:hAnsi="Narkisim" w:cs="Narkisim"/>
          <w:rtl/>
        </w:rPr>
        <w:t xml:space="preserve"> וכל היכא דאמרי' חולצת ולא מתייבמת מחמת ספיקא היא</w:t>
      </w:r>
      <w:r w:rsidRPr="00012502">
        <w:rPr>
          <w:rStyle w:val="ac"/>
          <w:rFonts w:ascii="Narkisim" w:hAnsi="Narkisim" w:cs="Narkisim"/>
          <w:rtl/>
        </w:rPr>
        <w:footnoteReference w:id="95"/>
      </w:r>
      <w:r w:rsidRPr="00012502">
        <w:rPr>
          <w:rFonts w:ascii="Narkisim" w:hAnsi="Narkisim" w:cs="Narkisim"/>
          <w:rtl/>
        </w:rPr>
        <w:t>. וב</w:t>
      </w:r>
      <w:r w:rsidRPr="00012502">
        <w:rPr>
          <w:rFonts w:ascii="Narkisim" w:hAnsi="Narkisim" w:cs="Narkisim"/>
          <w:b/>
          <w:bCs/>
          <w:rtl/>
        </w:rPr>
        <w:t>גהש"ס</w:t>
      </w:r>
      <w:r w:rsidRPr="00012502">
        <w:rPr>
          <w:rFonts w:ascii="Narkisim" w:hAnsi="Narkisim" w:cs="Narkisim"/>
          <w:rtl/>
        </w:rPr>
        <w:t xml:space="preserve"> תמה דחייבי לאו ועשה חולצת ולא מתיבמת, דאין עשה דוחה ל"ת ועשה, ואם בעלו ל"ק. ומבואר דמדאורייתא יש זיקה, ודינה לחליצה ולא ליבום. וה</w:t>
      </w:r>
      <w:r w:rsidRPr="00012502">
        <w:rPr>
          <w:rFonts w:ascii="Narkisim" w:hAnsi="Narkisim" w:cs="Narkisim"/>
          <w:b/>
          <w:bCs/>
          <w:rtl/>
        </w:rPr>
        <w:t>אחרונים</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חי' הגר"נ, וחי' הגר"ש)</w:t>
      </w:r>
      <w:r w:rsidRPr="00012502">
        <w:rPr>
          <w:rFonts w:ascii="Narkisim" w:hAnsi="Narkisim" w:cs="Narkisim"/>
          <w:rtl/>
        </w:rPr>
        <w:t xml:space="preserve"> תי' דהתם יש זיקה אף ליבום, אלא דאינה ראויה למצוות יבום</w:t>
      </w:r>
      <w:r w:rsidRPr="00012502">
        <w:rPr>
          <w:rFonts w:ascii="Narkisim" w:hAnsi="Narkisim" w:cs="Narkisim"/>
          <w:sz w:val="20"/>
          <w:szCs w:val="20"/>
          <w:rtl/>
        </w:rPr>
        <w:t xml:space="preserve"> [וע"ע פרק ב' בגדר זיקה לחליצה].</w:t>
      </w:r>
      <w:r w:rsidRPr="00012502">
        <w:rPr>
          <w:rFonts w:ascii="Narkisim" w:hAnsi="Narkisim" w:cs="Narkisim"/>
          <w:rtl/>
        </w:rPr>
        <w:t xml:space="preserve"> וכוונת רש"י דדוקא חייבי כריתות דאין זיקה ליבום, אמרי' כל העולה ליבום וכו', ואי"צ חליצה. ודוחק.</w:t>
      </w:r>
    </w:p>
    <w:p w14:paraId="5D20A3F0" w14:textId="77777777" w:rsidR="00BE1D1C" w:rsidRPr="00012502" w:rsidRDefault="00000000" w:rsidP="00012502">
      <w:pPr>
        <w:bidi/>
        <w:rPr>
          <w:rFonts w:ascii="Narkisim" w:hAnsi="Narkisim" w:cs="Narkisim"/>
        </w:rPr>
      </w:pPr>
      <w:r w:rsidRPr="00012502">
        <w:rPr>
          <w:rFonts w:ascii="Narkisim" w:hAnsi="Narkisim" w:cs="Narkisim"/>
          <w:u w:val="single"/>
          <w:rtl/>
        </w:rPr>
        <w:t>רש"י ד"ה אבא שאול.</w:t>
      </w:r>
      <w:r w:rsidRPr="00012502">
        <w:rPr>
          <w:rFonts w:ascii="Narkisim" w:hAnsi="Narkisim" w:cs="Narkisim"/>
          <w:rtl/>
        </w:rPr>
        <w:t xml:space="preserve"> כאילו פוגע בערוה וכו'. מבואר דאבא שאול חידש דהיכא דהוה שלא לשמה אינו נחשב קיום המצוה</w:t>
      </w:r>
      <w:r w:rsidRPr="00012502">
        <w:rPr>
          <w:rStyle w:val="ac"/>
          <w:rFonts w:ascii="Narkisim" w:hAnsi="Narkisim" w:cs="Narkisim"/>
          <w:rtl/>
        </w:rPr>
        <w:footnoteReference w:id="96"/>
      </w:r>
      <w:r w:rsidRPr="00012502">
        <w:rPr>
          <w:rFonts w:ascii="Narkisim" w:hAnsi="Narkisim" w:cs="Narkisim"/>
          <w:rtl/>
        </w:rPr>
        <w:t xml:space="preserve">. </w:t>
      </w:r>
      <w:r w:rsidRPr="00012502">
        <w:rPr>
          <w:rFonts w:ascii="Narkisim" w:hAnsi="Narkisim" w:cs="Narkisim"/>
          <w:sz w:val="20"/>
          <w:szCs w:val="20"/>
          <w:rtl/>
        </w:rPr>
        <w:t>[ומש"ה תקנו דמצוות חליצה קודמת, דחששו שלא יכוון למצווה</w:t>
      </w:r>
      <w:r w:rsidRPr="00012502">
        <w:rPr>
          <w:rStyle w:val="ac"/>
          <w:rFonts w:ascii="Narkisim" w:hAnsi="Narkisim" w:cs="Narkisim"/>
          <w:sz w:val="20"/>
          <w:szCs w:val="20"/>
          <w:rtl/>
        </w:rPr>
        <w:footnoteReference w:id="97"/>
      </w:r>
      <w:r w:rsidRPr="00012502">
        <w:rPr>
          <w:rFonts w:ascii="Narkisim" w:hAnsi="Narkisim" w:cs="Narkisim"/>
          <w:sz w:val="20"/>
          <w:szCs w:val="20"/>
          <w:rtl/>
        </w:rPr>
        <w:t>]</w:t>
      </w:r>
      <w:r w:rsidRPr="00012502">
        <w:rPr>
          <w:rFonts w:ascii="Narkisim" w:hAnsi="Narkisim" w:cs="Narkisim"/>
          <w:rtl/>
        </w:rPr>
        <w:t>. ועוד מבואר דבמקום שאינו מקיים את המצוה [בביאה זו] נחשב שפוגע בערוה. [ונח' הראשונים (ע' לקמן לט: ונג:) אי הוה מדרבנן או מדאורייתא].</w:t>
      </w:r>
    </w:p>
    <w:p w14:paraId="483E1C8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הקשו דמצאנו (בכ"מ) דבמקום מצות יבום הותר האיסור אשת אח, ואף אילו אינו קונה בביאה זו, וכגון קטן בן ט'. (ע' לקמן ג: י: לה: ועוד). וה</w:t>
      </w:r>
      <w:r w:rsidRPr="00012502">
        <w:rPr>
          <w:rFonts w:ascii="Narkisim" w:hAnsi="Narkisim"/>
          <w:b/>
          <w:bCs/>
          <w:rtl/>
        </w:rPr>
        <w:t>קובה"ע</w:t>
      </w:r>
      <w:r w:rsidRPr="00012502">
        <w:rPr>
          <w:rFonts w:ascii="Narkisim" w:hAnsi="Narkisim"/>
          <w:rtl/>
        </w:rPr>
        <w:t xml:space="preserve"> (לו בהשמטות) </w:t>
      </w:r>
      <w:r w:rsidRPr="00012502">
        <w:rPr>
          <w:rFonts w:ascii="Narkisim" w:hAnsi="Narkisim"/>
          <w:rtl/>
        </w:rPr>
        <w:lastRenderedPageBreak/>
        <w:t>הביא דמבואר ב</w:t>
      </w:r>
      <w:r w:rsidRPr="00012502">
        <w:rPr>
          <w:rFonts w:ascii="Narkisim" w:hAnsi="Narkisim"/>
          <w:b/>
          <w:bCs/>
          <w:rtl/>
        </w:rPr>
        <w:t>שו"ת הרמב"ם</w:t>
      </w:r>
      <w:r w:rsidRPr="00012502">
        <w:rPr>
          <w:rFonts w:ascii="Narkisim" w:hAnsi="Narkisim"/>
          <w:rtl/>
        </w:rPr>
        <w:t xml:space="preserve"> (ס"ס ריח) דבכל הנך תלי במח' אבא שאול ורבנן.</w:t>
      </w:r>
    </w:p>
    <w:p w14:paraId="11DA62C8" w14:textId="77777777" w:rsidR="00BE1D1C" w:rsidRPr="00012502" w:rsidRDefault="00000000" w:rsidP="00012502">
      <w:pPr>
        <w:pStyle w:val="a7"/>
        <w:bidi/>
        <w:rPr>
          <w:rFonts w:ascii="Narkisim" w:hAnsi="Narkisim"/>
        </w:rPr>
      </w:pPr>
      <w:r w:rsidRPr="00012502">
        <w:rPr>
          <w:rFonts w:ascii="Narkisim" w:hAnsi="Narkisim"/>
          <w:rtl/>
        </w:rPr>
        <w:t>דהרמב"ם כת' דקי"ל כרבנן</w:t>
      </w:r>
      <w:r w:rsidRPr="00012502">
        <w:rPr>
          <w:rStyle w:val="ac"/>
          <w:rFonts w:ascii="Narkisim" w:hAnsi="Narkisim"/>
          <w:rtl/>
        </w:rPr>
        <w:footnoteReference w:id="98"/>
      </w:r>
      <w:r w:rsidRPr="00012502">
        <w:rPr>
          <w:rFonts w:ascii="Narkisim" w:hAnsi="Narkisim"/>
          <w:rtl/>
        </w:rPr>
        <w:t xml:space="preserve"> דמצוות יבום קודמת, ואפי' אינו מתכוין לשם מצווה. דמשעה שמת אחיו בלא בנים הותרה, ונסתלק איסור הערוה כלל. אבל אבא שאול ס"ל שאיסור אשת אח דחויה מפני היבום, ומש"ה מצוות חליצה קודמת. דאם נתכוונו לדבר אחר כאילו פוגע בערוה</w:t>
      </w:r>
      <w:r w:rsidRPr="00012502">
        <w:rPr>
          <w:rStyle w:val="ac"/>
          <w:rFonts w:ascii="Narkisim" w:hAnsi="Narkisim"/>
          <w:rtl/>
        </w:rPr>
        <w:footnoteReference w:id="99"/>
      </w:r>
      <w:r w:rsidRPr="00012502">
        <w:rPr>
          <w:rFonts w:ascii="Narkisim" w:hAnsi="Narkisim"/>
          <w:rtl/>
        </w:rPr>
        <w:t>.</w:t>
      </w:r>
    </w:p>
    <w:p w14:paraId="020C5B6A" w14:textId="77777777" w:rsidR="00BE1D1C" w:rsidRPr="00012502" w:rsidRDefault="00000000" w:rsidP="00012502">
      <w:pPr>
        <w:pStyle w:val="3"/>
        <w:bidi/>
        <w:rPr>
          <w:rFonts w:ascii="Narkisim" w:hAnsi="Narkisim"/>
        </w:rPr>
      </w:pPr>
      <w:r w:rsidRPr="00012502">
        <w:rPr>
          <w:rFonts w:ascii="Narkisim" w:hAnsi="Narkisim"/>
          <w:rtl/>
        </w:rPr>
        <w:t>דף ג:</w:t>
      </w:r>
    </w:p>
    <w:p w14:paraId="2F1BB34C" w14:textId="77777777" w:rsidR="00BE1D1C" w:rsidRPr="00012502" w:rsidRDefault="00000000" w:rsidP="00012502">
      <w:pPr>
        <w:bidi/>
        <w:rPr>
          <w:rFonts w:ascii="Narkisim" w:hAnsi="Narkisim" w:cs="Narkisim"/>
        </w:rPr>
      </w:pPr>
      <w:r w:rsidRPr="00012502">
        <w:rPr>
          <w:rFonts w:ascii="Narkisim" w:hAnsi="Narkisim" w:cs="Narkisim"/>
          <w:u w:val="single"/>
          <w:rtl/>
        </w:rPr>
        <w:t>למעוטי דרב ורב אסי וכו'</w:t>
      </w:r>
      <w:r w:rsidRPr="00012502">
        <w:rPr>
          <w:rFonts w:ascii="Narkisim" w:hAnsi="Narkisim" w:cs="Narkisim"/>
          <w:rtl/>
        </w:rPr>
        <w:t>.</w:t>
      </w:r>
      <w:r w:rsidRPr="00012502">
        <w:rPr>
          <w:rFonts w:ascii="Narkisim" w:hAnsi="Narkisim" w:cs="Narkisim"/>
          <w:sz w:val="20"/>
          <w:szCs w:val="20"/>
          <w:rtl/>
        </w:rPr>
        <w:t xml:space="preserve"> [בעזה"י יתבארו לקמן במקומם</w:t>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w:t>
      </w:r>
      <w:r w:rsidRPr="00012502">
        <w:rPr>
          <w:rFonts w:ascii="Narkisim" w:hAnsi="Narkisim" w:cs="Narkisim"/>
          <w:sz w:val="20"/>
          <w:szCs w:val="20"/>
          <w:rtl/>
        </w:rPr>
        <w:t>(ד"ה צרת ממאנת)</w:t>
      </w:r>
      <w:r w:rsidRPr="00012502">
        <w:rPr>
          <w:rFonts w:ascii="Narkisim" w:hAnsi="Narkisim" w:cs="Narkisim"/>
          <w:rtl/>
        </w:rPr>
        <w:t xml:space="preserve"> דאע"ג דאסירה עליה לא מיפטר מחליצה. אבל ה</w:t>
      </w:r>
      <w:r w:rsidRPr="00012502">
        <w:rPr>
          <w:rFonts w:ascii="Narkisim" w:hAnsi="Narkisim" w:cs="Narkisim"/>
          <w:b/>
          <w:bCs/>
          <w:rtl/>
        </w:rPr>
        <w:t>רמב"ן</w:t>
      </w:r>
      <w:r w:rsidRPr="00012502">
        <w:rPr>
          <w:rFonts w:ascii="Narkisim" w:hAnsi="Narkisim" w:cs="Narkisim"/>
          <w:rtl/>
        </w:rPr>
        <w:t xml:space="preserve"> וה</w:t>
      </w:r>
      <w:r w:rsidRPr="00012502">
        <w:rPr>
          <w:rFonts w:ascii="Narkisim" w:hAnsi="Narkisim" w:cs="Narkisim"/>
          <w:b/>
          <w:bCs/>
          <w:rtl/>
        </w:rPr>
        <w:t xml:space="preserve">רשב"א </w:t>
      </w:r>
      <w:r w:rsidRPr="00012502">
        <w:rPr>
          <w:rFonts w:ascii="Narkisim" w:hAnsi="Narkisim" w:cs="Narkisim"/>
          <w:rtl/>
        </w:rPr>
        <w:t>כת' דמיעוטא אתא לאשמועינן דמותרות אפי' להתייבם.</w:t>
      </w:r>
    </w:p>
    <w:p w14:paraId="54BA3085" w14:textId="77777777" w:rsidR="00BE1D1C" w:rsidRPr="00012502" w:rsidRDefault="00000000" w:rsidP="00012502">
      <w:pPr>
        <w:pStyle w:val="a8"/>
        <w:bidi/>
        <w:rPr>
          <w:rFonts w:ascii="Narkisim" w:hAnsi="Narkisim"/>
        </w:rPr>
      </w:pPr>
      <w:r w:rsidRPr="00012502">
        <w:rPr>
          <w:rFonts w:ascii="Narkisim" w:hAnsi="Narkisim"/>
          <w:rtl/>
        </w:rPr>
        <w:t>ופ</w:t>
      </w:r>
      <w:r w:rsidRPr="00012502">
        <w:rPr>
          <w:rFonts w:ascii="Narkisim" w:hAnsi="Narkisim"/>
          <w:b/>
          <w:bCs/>
          <w:rtl/>
        </w:rPr>
        <w:t>רש"י</w:t>
      </w:r>
      <w:r w:rsidRPr="00012502">
        <w:rPr>
          <w:rFonts w:ascii="Narkisim" w:hAnsi="Narkisim"/>
          <w:rtl/>
        </w:rPr>
        <w:t xml:space="preserve"> (לקמן יא.) דרב ס"ל דצרת סוטה פטורה אף מהחליצה, וה</w:t>
      </w:r>
      <w:r w:rsidRPr="00012502">
        <w:rPr>
          <w:rFonts w:ascii="Narkisim" w:hAnsi="Narkisim"/>
          <w:b/>
          <w:bCs/>
          <w:rtl/>
        </w:rPr>
        <w:t>ריטב"א</w:t>
      </w:r>
      <w:r w:rsidRPr="00012502">
        <w:rPr>
          <w:rFonts w:ascii="Narkisim" w:hAnsi="Narkisim"/>
          <w:rtl/>
        </w:rPr>
        <w:t xml:space="preserve"> (לקמן שם) הוכיח כן מקושית הגמ' (כאן) 'ליתנינהו'. אבל דעת ה</w:t>
      </w:r>
      <w:r w:rsidRPr="00012502">
        <w:rPr>
          <w:rFonts w:ascii="Narkisim" w:hAnsi="Narkisim"/>
          <w:b/>
          <w:bCs/>
          <w:rtl/>
        </w:rPr>
        <w:t>ראב"ד</w:t>
      </w:r>
      <w:r w:rsidRPr="00012502">
        <w:rPr>
          <w:rFonts w:ascii="Narkisim" w:hAnsi="Narkisim"/>
          <w:rtl/>
        </w:rPr>
        <w:t xml:space="preserve"> (בראשונים לקמן יא.) דאף שצרת סוטה אסורה להתייבם, אבל צריכה חליצה, וע"פ הסוגיא (סוטה ה:) [ויתבאר לקמן]. והריטב"א פי' דקו' הגמ' ליתנינהו על דברי רב, אגב דנקט כן לרב אסי.</w:t>
      </w:r>
    </w:p>
    <w:p w14:paraId="05E43ADB"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ה</w:t>
      </w:r>
      <w:r w:rsidRPr="00012502">
        <w:rPr>
          <w:rFonts w:ascii="Narkisim" w:hAnsi="Narkisim"/>
          <w:b/>
          <w:bCs/>
          <w:rtl/>
        </w:rPr>
        <w:t>תוס' רא"ש</w:t>
      </w:r>
      <w:r w:rsidRPr="00012502">
        <w:rPr>
          <w:rFonts w:ascii="Narkisim" w:hAnsi="Narkisim"/>
          <w:rtl/>
        </w:rPr>
        <w:t xml:space="preserve"> הק' דלרב אסי דאילונית כיון דנתמעטה מיבום פוטרת צרתה, א"כ אף חייבי עשה יפטרו צרה, כאילונית דכיון דאינה מתייבמת הויא לה כאשת אח שלא במקום מצוה ואית בה כרת. [ומשמע דפשיט"ל דאף חייבי עשה יש כרת דאשת אח, דליכא מצוות יבום</w:t>
      </w:r>
      <w:r w:rsidRPr="00012502">
        <w:rPr>
          <w:rStyle w:val="ac"/>
          <w:rFonts w:ascii="Narkisim" w:hAnsi="Narkisim"/>
          <w:rtl/>
        </w:rPr>
        <w:footnoteReference w:id="100"/>
      </w:r>
      <w:r w:rsidRPr="00012502">
        <w:rPr>
          <w:rFonts w:ascii="Narkisim" w:hAnsi="Narkisim"/>
          <w:rtl/>
        </w:rPr>
        <w:t>. וה</w:t>
      </w:r>
      <w:r w:rsidRPr="00012502">
        <w:rPr>
          <w:rFonts w:ascii="Narkisim" w:hAnsi="Narkisim"/>
          <w:b/>
          <w:bCs/>
          <w:rtl/>
        </w:rPr>
        <w:t>פרשת דרכים</w:t>
      </w:r>
      <w:r w:rsidRPr="00012502">
        <w:rPr>
          <w:rFonts w:ascii="Narkisim" w:hAnsi="Narkisim"/>
          <w:rtl/>
        </w:rPr>
        <w:t xml:space="preserve"> למשנ"ל חקר בזה, וע"ע שעה"מ ו ואבנ"מ קעד א].</w:t>
      </w:r>
    </w:p>
    <w:p w14:paraId="1FB2A38D" w14:textId="77777777" w:rsidR="00BE1D1C" w:rsidRPr="00012502" w:rsidRDefault="00000000" w:rsidP="00012502">
      <w:pPr>
        <w:pStyle w:val="a8"/>
        <w:bidi/>
        <w:rPr>
          <w:rFonts w:ascii="Narkisim" w:hAnsi="Narkisim"/>
        </w:rPr>
      </w:pPr>
      <w:r w:rsidRPr="00012502">
        <w:rPr>
          <w:rFonts w:ascii="Narkisim" w:hAnsi="Narkisim"/>
          <w:rtl/>
        </w:rPr>
        <w:t>ותי' דחייבי עשה בעו חליצה [כדמרבינן לקמן כ. מיבמתו], הלכך לא דמי לאחות אשה דאינה זקוקה כלל. [ועד"ז הק' ותי' תוס' לקמן ח:].</w:t>
      </w:r>
    </w:p>
    <w:p w14:paraId="23391059" w14:textId="77777777" w:rsidR="00BE1D1C" w:rsidRPr="00012502" w:rsidRDefault="00000000" w:rsidP="00012502">
      <w:pPr>
        <w:pStyle w:val="aa"/>
        <w:bidi/>
        <w:rPr>
          <w:rFonts w:ascii="Narkisim" w:hAnsi="Narkisim"/>
        </w:rPr>
      </w:pPr>
      <w:r w:rsidRPr="00012502">
        <w:rPr>
          <w:rFonts w:ascii="Narkisim" w:hAnsi="Narkisim"/>
          <w:u w:val="single"/>
          <w:rtl/>
        </w:rPr>
        <w:t>לפי שאינה בצרת צרה</w:t>
      </w:r>
      <w:r w:rsidRPr="00012502">
        <w:rPr>
          <w:rFonts w:ascii="Narkisim" w:hAnsi="Narkisim"/>
          <w:rtl/>
        </w:rPr>
        <w:t>. [פ</w:t>
      </w:r>
      <w:r w:rsidRPr="00012502">
        <w:rPr>
          <w:rFonts w:ascii="Narkisim" w:hAnsi="Narkisim"/>
          <w:b/>
          <w:bCs/>
          <w:rtl/>
        </w:rPr>
        <w:t>רש"י</w:t>
      </w:r>
      <w:r w:rsidRPr="00012502">
        <w:rPr>
          <w:rFonts w:ascii="Narkisim" w:hAnsi="Narkisim"/>
          <w:rtl/>
        </w:rPr>
        <w:t xml:space="preserve"> דאסורים על כל האחים בשווה]. </w:t>
      </w:r>
      <w:r w:rsidRPr="00012502">
        <w:rPr>
          <w:rFonts w:ascii="Narkisim" w:hAnsi="Narkisim"/>
          <w:b/>
          <w:bCs/>
          <w:rtl/>
        </w:rPr>
        <w:t>רע"א</w:t>
      </w:r>
      <w:r w:rsidRPr="00012502">
        <w:rPr>
          <w:rFonts w:ascii="Narkisim" w:hAnsi="Narkisim"/>
          <w:rtl/>
        </w:rPr>
        <w:t xml:space="preserve"> הק' האיך אמרי' מנינא למעוטי, דהא במשנה לא היה יכול לשנותו, דליתא בצרת צרה</w:t>
      </w:r>
      <w:r w:rsidRPr="00012502">
        <w:rPr>
          <w:rStyle w:val="ac"/>
          <w:rFonts w:ascii="Narkisim" w:hAnsi="Narkisim"/>
          <w:rtl/>
        </w:rPr>
        <w:footnoteReference w:id="101"/>
      </w:r>
      <w:r w:rsidRPr="00012502">
        <w:rPr>
          <w:rFonts w:ascii="Narkisim" w:hAnsi="Narkisim"/>
          <w:rtl/>
        </w:rPr>
        <w:t>.</w:t>
      </w:r>
    </w:p>
    <w:p w14:paraId="5F34DBAE" w14:textId="77777777" w:rsidR="00BE1D1C" w:rsidRPr="00012502" w:rsidRDefault="00000000" w:rsidP="00012502">
      <w:pPr>
        <w:bidi/>
        <w:rPr>
          <w:rFonts w:ascii="Narkisim" w:hAnsi="Narkisim" w:cs="Narkisim"/>
        </w:rPr>
      </w:pPr>
      <w:r w:rsidRPr="00012502">
        <w:rPr>
          <w:rFonts w:ascii="Narkisim" w:hAnsi="Narkisim" w:cs="Narkisim"/>
          <w:u w:val="single"/>
          <w:rtl/>
        </w:rPr>
        <w:t>תוד"ה לפי.</w:t>
      </w:r>
      <w:r w:rsidRPr="00012502">
        <w:rPr>
          <w:rFonts w:ascii="Narkisim" w:hAnsi="Narkisim" w:cs="Narkisim"/>
          <w:rtl/>
        </w:rPr>
        <w:t xml:space="preserve"> אין לנו להחמיר בטומאה גבי בועל יותר מגבי בעל. ה</w:t>
      </w:r>
      <w:r w:rsidRPr="00012502">
        <w:rPr>
          <w:rFonts w:ascii="Narkisim" w:hAnsi="Narkisim" w:cs="Narkisim"/>
          <w:b/>
          <w:bCs/>
          <w:rtl/>
        </w:rPr>
        <w:t>אחרונים</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קרן אורה, קובה"ע יב ו)</w:t>
      </w:r>
      <w:r w:rsidRPr="00012502">
        <w:rPr>
          <w:rFonts w:ascii="Narkisim" w:hAnsi="Narkisim" w:cs="Narkisim"/>
          <w:rtl/>
        </w:rPr>
        <w:t xml:space="preserve"> תמהו דהוה חסרון בהיכי תמצי, ואילו משכחת לה גבי בעל היה פוטר צרה. ומבואר ב</w:t>
      </w:r>
      <w:r w:rsidRPr="00012502">
        <w:rPr>
          <w:rFonts w:ascii="Narkisim" w:hAnsi="Narkisim" w:cs="Narkisim"/>
          <w:b/>
          <w:bCs/>
          <w:rtl/>
        </w:rPr>
        <w:t>תוס'</w:t>
      </w:r>
      <w:r w:rsidRPr="00012502">
        <w:rPr>
          <w:rFonts w:ascii="Narkisim" w:hAnsi="Narkisim" w:cs="Narkisim"/>
          <w:rtl/>
        </w:rPr>
        <w:t xml:space="preserve"> דאפ"ה אמרי' דדיו לבועל להיות כבעל, ובילפו' דטומאה כעריות לא נתחדש פטור צרת צרה.</w:t>
      </w:r>
    </w:p>
    <w:p w14:paraId="09DC88A4" w14:textId="77777777" w:rsidR="00BE1D1C" w:rsidRPr="00012502" w:rsidRDefault="00000000" w:rsidP="00012502">
      <w:pPr>
        <w:pStyle w:val="a8"/>
        <w:bidi/>
        <w:rPr>
          <w:rFonts w:ascii="Narkisim" w:hAnsi="Narkisim"/>
        </w:rPr>
      </w:pPr>
      <w:r w:rsidRPr="00012502">
        <w:rPr>
          <w:rFonts w:ascii="Narkisim" w:hAnsi="Narkisim"/>
          <w:rtl/>
        </w:rPr>
        <w:t xml:space="preserve">ובס' </w:t>
      </w:r>
      <w:r w:rsidRPr="00012502">
        <w:rPr>
          <w:rFonts w:ascii="Narkisim" w:hAnsi="Narkisim"/>
          <w:b/>
          <w:bCs/>
          <w:rtl/>
        </w:rPr>
        <w:t>דברי אליעזר</w:t>
      </w:r>
      <w:r w:rsidRPr="00012502">
        <w:rPr>
          <w:rFonts w:ascii="Narkisim" w:hAnsi="Narkisim"/>
          <w:rtl/>
        </w:rPr>
        <w:t xml:space="preserve"> (א) חידש דגדר הילפותא דסוטה טומאה כעריות אינה כפטור ערוה. אלא דנאמר דיש בזה דין כמו ערוה.</w:t>
      </w:r>
    </w:p>
    <w:p w14:paraId="6C72BAAA"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אחרונים</w:t>
      </w:r>
      <w:r w:rsidRPr="00012502">
        <w:rPr>
          <w:rFonts w:ascii="Narkisim" w:hAnsi="Narkisim" w:cs="Narkisim"/>
          <w:rtl/>
        </w:rPr>
        <w:t xml:space="preserve"> הביאו דמבואר בזה דהנידון דה'שם ערוה' של הסוטה יפטור את צרת הצרה [ובזה אמרי' דיו]. ודלא כמשמעות </w:t>
      </w:r>
      <w:r w:rsidRPr="00012502">
        <w:rPr>
          <w:rFonts w:ascii="Narkisim" w:hAnsi="Narkisim" w:cs="Narkisim"/>
          <w:b/>
          <w:bCs/>
          <w:rtl/>
        </w:rPr>
        <w:t>רש"י</w:t>
      </w:r>
      <w:r w:rsidRPr="00012502">
        <w:rPr>
          <w:rFonts w:ascii="Narkisim" w:hAnsi="Narkisim" w:cs="Narkisim"/>
          <w:rtl/>
        </w:rPr>
        <w:t xml:space="preserve"> (ב: וג.) דכיון דהצרת ערוה פטורה ונאסרה, וקיימא באיסור אשת אח, היא פוטרת צרתה.</w:t>
      </w:r>
    </w:p>
    <w:p w14:paraId="087009B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הקשו אמאי אינה נפטרת משום שהיא צרת אשת אח דעריות, וכקושיית </w:t>
      </w:r>
      <w:r w:rsidRPr="00012502">
        <w:rPr>
          <w:rFonts w:ascii="Narkisim" w:hAnsi="Narkisim"/>
          <w:b/>
          <w:bCs/>
          <w:rtl/>
        </w:rPr>
        <w:t>רע"א</w:t>
      </w:r>
      <w:r w:rsidRPr="00012502">
        <w:rPr>
          <w:rFonts w:ascii="Narkisim" w:hAnsi="Narkisim"/>
          <w:sz w:val="20"/>
          <w:szCs w:val="20"/>
          <w:rtl/>
        </w:rPr>
        <w:t xml:space="preserve"> (הו' לעיל ב.) </w:t>
      </w:r>
      <w:r w:rsidRPr="00012502">
        <w:rPr>
          <w:rFonts w:ascii="Narkisim" w:hAnsi="Narkisim"/>
          <w:rtl/>
        </w:rPr>
        <w:t>דכל צרת צרה הוה צרת אשת אח. ומבואר בתוס' דאף אחרי הילפותא ד'פטור' צ"צ, אין פטור מחמת האשת אח. [ודלא כמ"ש ה</w:t>
      </w:r>
      <w:r w:rsidRPr="00012502">
        <w:rPr>
          <w:rFonts w:ascii="Narkisim" w:hAnsi="Narkisim"/>
          <w:b/>
          <w:bCs/>
          <w:rtl/>
        </w:rPr>
        <w:t>אחרונים</w:t>
      </w:r>
      <w:r w:rsidRPr="00012502">
        <w:rPr>
          <w:rFonts w:ascii="Narkisim" w:hAnsi="Narkisim"/>
          <w:rtl/>
        </w:rPr>
        <w:t xml:space="preserve"> </w:t>
      </w:r>
      <w:r w:rsidRPr="00012502">
        <w:rPr>
          <w:rFonts w:ascii="Narkisim" w:hAnsi="Narkisim"/>
          <w:szCs w:val="20"/>
          <w:rtl/>
        </w:rPr>
        <w:t>[ליישב קושיית רע"א]</w:t>
      </w:r>
      <w:r w:rsidRPr="00012502">
        <w:rPr>
          <w:rFonts w:ascii="Narkisim" w:hAnsi="Narkisim"/>
          <w:rtl/>
        </w:rPr>
        <w:t xml:space="preserve"> דרק לולי קרא הו"א דצרה אינו גדר פטור עריות, אבל למסקנא יש סיבת פטור אף משום ערות אא"ח].</w:t>
      </w:r>
    </w:p>
    <w:p w14:paraId="4D3171FE"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ערוך לנר</w:t>
      </w:r>
      <w:r w:rsidRPr="00012502">
        <w:rPr>
          <w:rFonts w:ascii="Narkisim" w:hAnsi="Narkisim"/>
          <w:rtl/>
        </w:rPr>
        <w:t xml:space="preserve"> הקשה דמשכחת צרת צרה בבעל, כשקידש הצרה 'חוץ מפלוני', וכלפי האח אינה צרת צרה. וע"ע ב</w:t>
      </w:r>
      <w:r w:rsidRPr="00012502">
        <w:rPr>
          <w:rFonts w:ascii="Narkisim" w:hAnsi="Narkisim"/>
          <w:b/>
          <w:bCs/>
          <w:rtl/>
        </w:rPr>
        <w:t>אמר"מ</w:t>
      </w:r>
      <w:r w:rsidRPr="00012502">
        <w:rPr>
          <w:rFonts w:ascii="Narkisim" w:hAnsi="Narkisim"/>
          <w:rtl/>
        </w:rPr>
        <w:t xml:space="preserve"> (י ט) דדן בזה, ועוד הקשה האמר"מ משכחת לה דקידושי הסוטה גופה הוה חוץ מאחיו].</w:t>
      </w:r>
    </w:p>
    <w:p w14:paraId="7CEF062B" w14:textId="77777777" w:rsidR="00BE1D1C" w:rsidRPr="00012502" w:rsidRDefault="00000000" w:rsidP="00012502">
      <w:pPr>
        <w:pStyle w:val="aa"/>
        <w:bidi/>
        <w:rPr>
          <w:rFonts w:ascii="Narkisim" w:hAnsi="Narkisim"/>
        </w:rPr>
      </w:pPr>
      <w:r w:rsidRPr="00012502">
        <w:rPr>
          <w:rFonts w:ascii="Narkisim" w:hAnsi="Narkisim"/>
          <w:u w:val="single"/>
          <w:rtl/>
        </w:rPr>
        <w:t>יכול שאני מרבה אף שש עריות וכו'.</w:t>
      </w:r>
      <w:r w:rsidRPr="00012502">
        <w:rPr>
          <w:rFonts w:ascii="Narkisim" w:hAnsi="Narkisim"/>
          <w:rtl/>
        </w:rPr>
        <w:t xml:space="preserve"> פי' ב</w:t>
      </w:r>
      <w:r w:rsidRPr="00012502">
        <w:rPr>
          <w:rFonts w:ascii="Narkisim" w:hAnsi="Narkisim"/>
          <w:b/>
          <w:bCs/>
          <w:rtl/>
        </w:rPr>
        <w:t>תוס'</w:t>
      </w:r>
      <w:r w:rsidRPr="00012502">
        <w:rPr>
          <w:rFonts w:ascii="Narkisim" w:hAnsi="Narkisim"/>
          <w:rtl/>
        </w:rPr>
        <w:t xml:space="preserve"> דהמ"ל שלא במקום מצוה. וכ"כ ה</w:t>
      </w:r>
      <w:r w:rsidRPr="00012502">
        <w:rPr>
          <w:rFonts w:ascii="Narkisim" w:hAnsi="Narkisim"/>
          <w:b/>
          <w:bCs/>
          <w:rtl/>
        </w:rPr>
        <w:t>ראשונים</w:t>
      </w:r>
      <w:r w:rsidRPr="00012502">
        <w:rPr>
          <w:rFonts w:ascii="Narkisim" w:hAnsi="Narkisim"/>
          <w:rtl/>
        </w:rPr>
        <w:t xml:space="preserve"> דמילתא דפסיקה נקט</w:t>
      </w:r>
      <w:r w:rsidRPr="00012502">
        <w:rPr>
          <w:rStyle w:val="ac"/>
          <w:rFonts w:ascii="Narkisim" w:hAnsi="Narkisim"/>
          <w:rtl/>
        </w:rPr>
        <w:footnoteReference w:id="102"/>
      </w:r>
      <w:r w:rsidRPr="00012502">
        <w:rPr>
          <w:rFonts w:ascii="Narkisim" w:hAnsi="Narkisim"/>
          <w:rtl/>
        </w:rPr>
        <w:t>. וה</w:t>
      </w:r>
      <w:r w:rsidRPr="00012502">
        <w:rPr>
          <w:rFonts w:ascii="Narkisim" w:hAnsi="Narkisim"/>
          <w:b/>
          <w:bCs/>
          <w:rtl/>
        </w:rPr>
        <w:t xml:space="preserve">רשב"א </w:t>
      </w:r>
      <w:r w:rsidRPr="00012502">
        <w:rPr>
          <w:rFonts w:ascii="Narkisim" w:hAnsi="Narkisim"/>
          <w:rtl/>
        </w:rPr>
        <w:t>כתב דהלשון 'שאין צרה אלא מאח' הוה תוספת נתינת טעם דצרה נפטרת וממילא קאי באיסור אשת אח</w:t>
      </w:r>
      <w:r w:rsidRPr="00012502">
        <w:rPr>
          <w:rStyle w:val="ac"/>
          <w:rFonts w:ascii="Narkisim" w:hAnsi="Narkisim"/>
          <w:rtl/>
        </w:rPr>
        <w:footnoteReference w:id="103"/>
      </w:r>
      <w:r w:rsidRPr="00012502">
        <w:rPr>
          <w:rFonts w:ascii="Narkisim" w:hAnsi="Narkisim"/>
          <w:rtl/>
        </w:rPr>
        <w:t>.</w:t>
      </w:r>
    </w:p>
    <w:p w14:paraId="78CCAB36"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אזהרה שמענו עונש מנין</w:t>
      </w:r>
      <w:r w:rsidRPr="00012502">
        <w:rPr>
          <w:rStyle w:val="ac"/>
          <w:rFonts w:ascii="Narkisim" w:hAnsi="Narkisim" w:cs="Narkisim"/>
          <w:rtl/>
        </w:rPr>
        <w:footnoteReference w:id="104"/>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אם ייבם ערוה או צרתה. וכ"מ ב</w:t>
      </w:r>
      <w:r w:rsidRPr="00012502">
        <w:rPr>
          <w:rFonts w:ascii="Narkisim" w:hAnsi="Narkisim" w:cs="Narkisim"/>
          <w:b/>
          <w:bCs/>
          <w:rtl/>
        </w:rPr>
        <w:t>ריטב"א</w:t>
      </w:r>
      <w:r w:rsidRPr="00012502">
        <w:rPr>
          <w:rFonts w:ascii="Narkisim" w:hAnsi="Narkisim" w:cs="Narkisim"/>
          <w:rtl/>
        </w:rPr>
        <w:t xml:space="preserve"> דקאי בין בעריות ובין בצרות. ולולי קרא דעונש פטור מיבום, אלא דליכא חיוב כרת. ומשמע דליכא כרת דאחות אשה, וצ"ב טובא מנ"ל דפקע כרת דאחות אשה</w:t>
      </w:r>
      <w:r w:rsidRPr="00012502">
        <w:rPr>
          <w:rStyle w:val="ac"/>
          <w:rFonts w:ascii="Narkisim" w:hAnsi="Narkisim" w:cs="Narkisim"/>
          <w:sz w:val="20"/>
          <w:szCs w:val="20"/>
          <w:rtl/>
        </w:rPr>
        <w:footnoteReference w:id="105"/>
      </w:r>
      <w:r w:rsidRPr="00012502">
        <w:rPr>
          <w:rFonts w:ascii="Narkisim" w:hAnsi="Narkisim" w:cs="Narkisim"/>
          <w:rtl/>
        </w:rPr>
        <w:t>.</w:t>
      </w:r>
    </w:p>
    <w:p w14:paraId="5ED11FBD"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דנו דכוונת הגמ' משום אשת אח, דודאי חייב כרת משום אחות אשה. אלא דס"ד דכלפי איסור אשת אח נחשב אשת אח שאין לו בנים. אך בחי' </w:t>
      </w:r>
      <w:r w:rsidRPr="00012502">
        <w:rPr>
          <w:rFonts w:ascii="Narkisim" w:hAnsi="Narkisim"/>
          <w:b/>
          <w:bCs/>
          <w:rtl/>
        </w:rPr>
        <w:t>פורת יוסף</w:t>
      </w:r>
      <w:r w:rsidRPr="00012502">
        <w:rPr>
          <w:rFonts w:ascii="Narkisim" w:hAnsi="Narkisim"/>
          <w:rtl/>
        </w:rPr>
        <w:t xml:space="preserve"> </w:t>
      </w:r>
      <w:r w:rsidRPr="00012502">
        <w:rPr>
          <w:rFonts w:ascii="Narkisim" w:hAnsi="Narkisim"/>
          <w:szCs w:val="20"/>
          <w:rtl/>
        </w:rPr>
        <w:t>(לבעל הפרמ"ג כאן)</w:t>
      </w:r>
      <w:r w:rsidRPr="00012502">
        <w:rPr>
          <w:rFonts w:ascii="Narkisim" w:hAnsi="Narkisim"/>
          <w:rtl/>
        </w:rPr>
        <w:t xml:space="preserve"> הק' דכיון דפטורה מיבום, ממילא יש לה כרת דאשת אח.</w:t>
      </w:r>
    </w:p>
    <w:p w14:paraId="17BB8FDF" w14:textId="77777777" w:rsidR="00BE1D1C" w:rsidRPr="00012502" w:rsidRDefault="00000000" w:rsidP="00012502">
      <w:pPr>
        <w:pStyle w:val="a7"/>
        <w:bidi/>
        <w:rPr>
          <w:rFonts w:ascii="Narkisim" w:hAnsi="Narkisim"/>
        </w:rPr>
      </w:pPr>
      <w:r w:rsidRPr="00012502">
        <w:rPr>
          <w:rFonts w:ascii="Narkisim" w:hAnsi="Narkisim"/>
          <w:rtl/>
        </w:rPr>
        <w:t>ובפשוטו מבואר דס"ד דאסרי' רק מקרא ד'לצרור' ו'עליה', וילפי' אזהרה שלא תתייבם</w:t>
      </w:r>
      <w:r w:rsidRPr="00012502">
        <w:rPr>
          <w:rStyle w:val="ac"/>
          <w:rFonts w:ascii="Narkisim" w:hAnsi="Narkisim"/>
          <w:rtl/>
        </w:rPr>
        <w:footnoteReference w:id="106"/>
      </w:r>
      <w:r w:rsidRPr="00012502">
        <w:rPr>
          <w:rFonts w:ascii="Narkisim" w:hAnsi="Narkisim"/>
          <w:rtl/>
        </w:rPr>
        <w:t>. ואילו כלפי חיוב כרת ס"ד דהוה כאשת אח שאין לה בנים</w:t>
      </w:r>
      <w:r w:rsidRPr="00012502">
        <w:rPr>
          <w:rStyle w:val="ac"/>
          <w:rFonts w:ascii="Narkisim" w:hAnsi="Narkisim"/>
          <w:rtl/>
        </w:rPr>
        <w:footnoteReference w:id="107"/>
      </w:r>
      <w:r w:rsidRPr="00012502">
        <w:rPr>
          <w:rFonts w:ascii="Narkisim" w:hAnsi="Narkisim"/>
          <w:rtl/>
        </w:rPr>
        <w:t xml:space="preserve">. </w:t>
      </w:r>
      <w:r w:rsidRPr="00012502">
        <w:rPr>
          <w:rFonts w:ascii="Narkisim" w:hAnsi="Narkisim"/>
          <w:szCs w:val="20"/>
          <w:rtl/>
        </w:rPr>
        <w:t>וכיון דגלי קרא 'עונש' מכל התועבות, חייב כרת משום אשת אח, והוה כאשת אח שיש לה בנים</w:t>
      </w:r>
      <w:r w:rsidRPr="00012502">
        <w:rPr>
          <w:rStyle w:val="ac"/>
          <w:rFonts w:ascii="Narkisim" w:hAnsi="Narkisim"/>
          <w:szCs w:val="20"/>
          <w:rtl/>
        </w:rPr>
        <w:footnoteReference w:id="108"/>
      </w:r>
      <w:r w:rsidRPr="00012502">
        <w:rPr>
          <w:rFonts w:ascii="Narkisim" w:hAnsi="Narkisim"/>
          <w:szCs w:val="20"/>
          <w:rtl/>
        </w:rPr>
        <w:t>.</w:t>
      </w:r>
    </w:p>
    <w:p w14:paraId="118B1B4E"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הק' דמבואר גבי אילונית דכיון שנתמעטה מיבום הוה ערוה דאשת אח</w:t>
      </w:r>
      <w:r w:rsidRPr="00012502">
        <w:rPr>
          <w:rStyle w:val="ac"/>
          <w:rFonts w:ascii="Narkisim" w:hAnsi="Narkisim"/>
          <w:rtl/>
        </w:rPr>
        <w:footnoteReference w:id="109"/>
      </w:r>
      <w:r w:rsidRPr="00012502">
        <w:rPr>
          <w:rFonts w:ascii="Narkisim" w:hAnsi="Narkisim"/>
          <w:rtl/>
        </w:rPr>
        <w:t>, דלא הותר איסור אשת אח, משום שאינה נופלת ליבום. וצ"ל דהיינו לאחר מסקנא דהכא</w:t>
      </w:r>
      <w:r w:rsidRPr="00012502">
        <w:rPr>
          <w:rStyle w:val="ac"/>
          <w:rFonts w:ascii="Narkisim" w:hAnsi="Narkisim"/>
          <w:rtl/>
        </w:rPr>
        <w:footnoteReference w:id="110"/>
      </w:r>
      <w:r w:rsidRPr="00012502">
        <w:rPr>
          <w:rFonts w:ascii="Narkisim" w:hAnsi="Narkisim"/>
          <w:rtl/>
        </w:rPr>
        <w:t>.</w:t>
      </w:r>
    </w:p>
    <w:p w14:paraId="20A34924" w14:textId="77777777" w:rsidR="00BE1D1C" w:rsidRPr="00012502" w:rsidRDefault="00000000" w:rsidP="00012502">
      <w:pPr>
        <w:bidi/>
        <w:rPr>
          <w:rFonts w:ascii="Narkisim" w:hAnsi="Narkisim" w:cs="Narkisim"/>
        </w:rPr>
      </w:pPr>
      <w:r w:rsidRPr="00012502">
        <w:rPr>
          <w:rFonts w:ascii="Narkisim" w:hAnsi="Narkisim" w:cs="Narkisim"/>
          <w:rtl/>
        </w:rPr>
        <w:t>אבל ה</w:t>
      </w:r>
      <w:r w:rsidRPr="00012502">
        <w:rPr>
          <w:rFonts w:ascii="Narkisim" w:hAnsi="Narkisim" w:cs="Narkisim"/>
          <w:b/>
          <w:bCs/>
          <w:rtl/>
        </w:rPr>
        <w:t>מאירי</w:t>
      </w:r>
      <w:r w:rsidRPr="00012502">
        <w:rPr>
          <w:rFonts w:ascii="Narkisim" w:hAnsi="Narkisim" w:cs="Narkisim"/>
          <w:rtl/>
        </w:rPr>
        <w:t xml:space="preserve"> משמע דקושיית הגמ' קאי אצרת ערוה. וה</w:t>
      </w:r>
      <w:r w:rsidRPr="00012502">
        <w:rPr>
          <w:rFonts w:ascii="Narkisim" w:hAnsi="Narkisim" w:cs="Narkisim"/>
          <w:b/>
          <w:bCs/>
          <w:rtl/>
        </w:rPr>
        <w:t>אחרונים</w:t>
      </w:r>
      <w:r w:rsidRPr="00012502">
        <w:rPr>
          <w:rFonts w:ascii="Narkisim" w:hAnsi="Narkisim" w:cs="Narkisim"/>
          <w:rtl/>
        </w:rPr>
        <w:t xml:space="preserve"> כתבו דכ"מ ב</w:t>
      </w:r>
      <w:r w:rsidRPr="00012502">
        <w:rPr>
          <w:rFonts w:ascii="Narkisim" w:hAnsi="Narkisim" w:cs="Narkisim"/>
          <w:b/>
          <w:bCs/>
          <w:rtl/>
        </w:rPr>
        <w:t>תוס'</w:t>
      </w:r>
      <w:r w:rsidRPr="00012502">
        <w:rPr>
          <w:rFonts w:ascii="Narkisim" w:hAnsi="Narkisim" w:cs="Narkisim"/>
          <w:rtl/>
        </w:rPr>
        <w:t xml:space="preserve"> (ח: ד"ה כל), דדנו דלרבי צרת ערוה הוה כאיסור עשה, ולא חיוב כרת.</w:t>
      </w:r>
      <w:r w:rsidRPr="00012502">
        <w:rPr>
          <w:rFonts w:ascii="Narkisim" w:hAnsi="Narkisim" w:cs="Narkisim"/>
          <w:sz w:val="20"/>
          <w:szCs w:val="20"/>
          <w:rtl/>
        </w:rPr>
        <w:t xml:space="preserve"> [ותוס' שם הקשו דא"כ תחלוץ. עי"ש].</w:t>
      </w:r>
    </w:p>
    <w:p w14:paraId="3339C0B2" w14:textId="77777777" w:rsidR="00BE1D1C" w:rsidRPr="00012502" w:rsidRDefault="00000000" w:rsidP="00012502">
      <w:pPr>
        <w:pStyle w:val="a7"/>
        <w:bidi/>
        <w:rPr>
          <w:rFonts w:ascii="Narkisim" w:hAnsi="Narkisim"/>
        </w:rPr>
      </w:pPr>
      <w:r w:rsidRPr="00012502">
        <w:rPr>
          <w:rFonts w:ascii="Narkisim" w:hAnsi="Narkisim"/>
          <w:rtl/>
        </w:rPr>
        <w:t>ובפשוטו אף לפ"ז הנידון משום איסור אשת אח [וכנ"ל]. אבל ה</w:t>
      </w:r>
      <w:r w:rsidRPr="00012502">
        <w:rPr>
          <w:rFonts w:ascii="Narkisim" w:hAnsi="Narkisim"/>
          <w:b/>
          <w:bCs/>
          <w:rtl/>
        </w:rPr>
        <w:t>פורת יוסף</w:t>
      </w:r>
      <w:r w:rsidRPr="00012502">
        <w:rPr>
          <w:rFonts w:ascii="Narkisim" w:hAnsi="Narkisim"/>
          <w:rtl/>
        </w:rPr>
        <w:t xml:space="preserve"> ביאר דכוונת הגמ' דילפי' דיש חיוב כרת משום 'שם צרת ערוה', מלבד איסור אשת אח. והבא על צרת ערוה חייב ב' חטאות</w:t>
      </w:r>
      <w:r w:rsidRPr="00012502">
        <w:rPr>
          <w:rStyle w:val="ac"/>
          <w:rFonts w:ascii="Narkisim" w:hAnsi="Narkisim"/>
          <w:rtl/>
        </w:rPr>
        <w:footnoteReference w:id="111"/>
      </w:r>
      <w:r w:rsidRPr="00012502">
        <w:rPr>
          <w:rFonts w:ascii="Narkisim" w:hAnsi="Narkisim"/>
          <w:rtl/>
        </w:rPr>
        <w:t xml:space="preserve">. </w:t>
      </w:r>
      <w:r w:rsidRPr="00012502">
        <w:rPr>
          <w:rFonts w:ascii="Narkisim" w:hAnsi="Narkisim"/>
          <w:sz w:val="20"/>
          <w:szCs w:val="20"/>
          <w:rtl/>
        </w:rPr>
        <w:t>[וע' מש"כ בזה לעיל ב.]. וה</w:t>
      </w:r>
      <w:r w:rsidRPr="00012502">
        <w:rPr>
          <w:rFonts w:ascii="Narkisim" w:hAnsi="Narkisim"/>
          <w:b/>
          <w:bCs/>
          <w:sz w:val="20"/>
          <w:szCs w:val="20"/>
          <w:rtl/>
        </w:rPr>
        <w:t>אחרונים</w:t>
      </w:r>
      <w:r w:rsidRPr="00012502">
        <w:rPr>
          <w:rFonts w:ascii="Narkisim" w:hAnsi="Narkisim"/>
          <w:sz w:val="20"/>
          <w:szCs w:val="20"/>
          <w:rtl/>
        </w:rPr>
        <w:t xml:space="preserve"> העירו דזה יתכן רק לגבי צרת ערוה וכדברי המאירי, אבל לרש"י וריטב"א הגמ' איירי אף באחות אשתו.</w:t>
      </w:r>
    </w:p>
    <w:p w14:paraId="49A2459B" w14:textId="77777777" w:rsidR="00BE1D1C" w:rsidRPr="00012502" w:rsidRDefault="00000000" w:rsidP="00012502">
      <w:pPr>
        <w:bidi/>
        <w:rPr>
          <w:rFonts w:ascii="Narkisim" w:hAnsi="Narkisim" w:cs="Narkisim"/>
        </w:rPr>
      </w:pPr>
      <w:r w:rsidRPr="00012502">
        <w:rPr>
          <w:rFonts w:ascii="Narkisim" w:hAnsi="Narkisim" w:cs="Narkisim"/>
          <w:u w:val="single"/>
          <w:rtl/>
        </w:rPr>
        <w:t>טעמא דכתב רחמנא עליה וכו'.</w:t>
      </w:r>
      <w:r w:rsidRPr="00012502">
        <w:rPr>
          <w:rFonts w:ascii="Narkisim" w:hAnsi="Narkisim" w:cs="Narkisim"/>
          <w:rtl/>
        </w:rPr>
        <w:t xml:space="preserve"> </w:t>
      </w:r>
      <w:r w:rsidRPr="00012502">
        <w:rPr>
          <w:rFonts w:ascii="Narkisim" w:hAnsi="Narkisim" w:cs="Narkisim"/>
          <w:sz w:val="20"/>
          <w:szCs w:val="20"/>
          <w:rtl/>
        </w:rPr>
        <w:t xml:space="preserve">[וכן היא מסקנת </w:t>
      </w:r>
      <w:r w:rsidRPr="00012502">
        <w:rPr>
          <w:rFonts w:ascii="Narkisim" w:hAnsi="Narkisim" w:cs="Narkisim"/>
          <w:b/>
          <w:bCs/>
          <w:sz w:val="20"/>
          <w:szCs w:val="20"/>
          <w:rtl/>
        </w:rPr>
        <w:t>רבא</w:t>
      </w:r>
      <w:r w:rsidRPr="00012502">
        <w:rPr>
          <w:rFonts w:ascii="Narkisim" w:hAnsi="Narkisim" w:cs="Narkisim"/>
          <w:sz w:val="20"/>
          <w:szCs w:val="20"/>
          <w:rtl/>
        </w:rPr>
        <w:t xml:space="preserve"> (לקמן ח.) דערוה גופה לא בעי קרא]</w:t>
      </w:r>
      <w:r w:rsidRPr="00012502">
        <w:rPr>
          <w:rFonts w:ascii="Narkisim" w:hAnsi="Narkisim" w:cs="Narkisim"/>
          <w:rtl/>
        </w:rPr>
        <w:t>.</w:t>
      </w:r>
    </w:p>
    <w:p w14:paraId="71551616"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(ה י) כת' דלולי 'עליה' לא היתה מתייבמת מחמת האיסור, אבל לא היה בזה גדר 'פטור' ולכן ל"ש לומר ד'נאסרה שעה אחת'. </w:t>
      </w:r>
      <w:r w:rsidRPr="00012502">
        <w:rPr>
          <w:rFonts w:ascii="Narkisim" w:hAnsi="Narkisim"/>
          <w:szCs w:val="20"/>
          <w:rtl/>
        </w:rPr>
        <w:t xml:space="preserve">[וכמ"ש </w:t>
      </w:r>
      <w:r w:rsidRPr="00012502">
        <w:rPr>
          <w:rFonts w:ascii="Narkisim" w:hAnsi="Narkisim"/>
          <w:b/>
          <w:bCs/>
          <w:szCs w:val="20"/>
          <w:rtl/>
        </w:rPr>
        <w:t>תוס</w:t>
      </w:r>
      <w:r w:rsidRPr="00012502">
        <w:rPr>
          <w:rFonts w:ascii="Narkisim" w:hAnsi="Narkisim"/>
          <w:szCs w:val="20"/>
          <w:rtl/>
        </w:rPr>
        <w:t>' (ב.) גבי נדה דלא ילפי' מאחות אשה, ואין דין נאסרה]</w:t>
      </w:r>
      <w:r w:rsidRPr="00012502">
        <w:rPr>
          <w:rFonts w:ascii="Narkisim" w:hAnsi="Narkisim"/>
          <w:rtl/>
        </w:rPr>
        <w:t>. אלא דינה כבעלת התנאי (ע' תוס' י. וראשונים ב.) דאינה יכולה להתייבם בפועל, אבל אין בה גדר 'פטור'</w:t>
      </w:r>
      <w:r w:rsidRPr="00012502">
        <w:rPr>
          <w:rStyle w:val="ac"/>
          <w:rFonts w:ascii="Narkisim" w:hAnsi="Narkisim"/>
          <w:rtl/>
        </w:rPr>
        <w:footnoteReference w:id="112"/>
      </w:r>
      <w:r w:rsidRPr="00012502">
        <w:rPr>
          <w:rFonts w:ascii="Narkisim" w:hAnsi="Narkisim"/>
          <w:rtl/>
        </w:rPr>
        <w:t>.</w:t>
      </w:r>
    </w:p>
    <w:p w14:paraId="683D2E78" w14:textId="77777777" w:rsidR="00BE1D1C" w:rsidRPr="00012502" w:rsidRDefault="00000000" w:rsidP="00012502">
      <w:pPr>
        <w:pStyle w:val="2"/>
        <w:bidi/>
        <w:rPr>
          <w:rFonts w:ascii="Narkisim" w:hAnsi="Narkisim"/>
        </w:rPr>
      </w:pPr>
      <w:r w:rsidRPr="00012502">
        <w:rPr>
          <w:rFonts w:ascii="Narkisim" w:hAnsi="Narkisim"/>
          <w:sz w:val="21"/>
          <w:rtl/>
        </w:rPr>
        <w:t>יבום בעריות מדין עשה דוחה ל"ת</w:t>
      </w:r>
    </w:p>
    <w:p w14:paraId="0E2CA1C4" w14:textId="77777777" w:rsidR="00BE1D1C" w:rsidRPr="00012502" w:rsidRDefault="00000000" w:rsidP="00012502">
      <w:pPr>
        <w:bidi/>
        <w:rPr>
          <w:rFonts w:ascii="Narkisim" w:hAnsi="Narkisim" w:cs="Narkisim"/>
        </w:rPr>
      </w:pPr>
      <w:r w:rsidRPr="00012502">
        <w:rPr>
          <w:rFonts w:ascii="Narkisim" w:hAnsi="Narkisim" w:cs="Narkisim"/>
          <w:u w:val="single"/>
          <w:rtl/>
        </w:rPr>
        <w:t>אתי עשה ודחי ל"ת.</w:t>
      </w:r>
      <w:r w:rsidRPr="00012502">
        <w:rPr>
          <w:rFonts w:ascii="Narkisim" w:hAnsi="Narkisim" w:cs="Narkisim"/>
          <w:rtl/>
        </w:rPr>
        <w:t xml:space="preserve"> ומבואר דס"ד דע"י הדחיה הותר ליבום.</w:t>
      </w:r>
      <w:r w:rsidRPr="00012502">
        <w:rPr>
          <w:rFonts w:ascii="Narkisim" w:hAnsi="Narkisim" w:cs="Narkisim"/>
          <w:sz w:val="20"/>
          <w:szCs w:val="20"/>
          <w:rtl/>
        </w:rPr>
        <w:t xml:space="preserve"> וכן אי' בגמ' (לקמן כ:) לגבי חייבי לאוין, דע"י עשה דוחה ל"ת הותר ביאה ראשונה אלא דגזרו ביאה שניה אטו ביאה ראשונה. ו</w:t>
      </w:r>
      <w:r w:rsidRPr="00012502">
        <w:rPr>
          <w:rFonts w:ascii="Narkisim" w:hAnsi="Narkisim" w:cs="Narkisim"/>
          <w:b/>
          <w:bCs/>
          <w:sz w:val="20"/>
          <w:szCs w:val="20"/>
          <w:rtl/>
        </w:rPr>
        <w:t>רע"א</w:t>
      </w:r>
      <w:r w:rsidRPr="00012502">
        <w:rPr>
          <w:rFonts w:ascii="Narkisim" w:hAnsi="Narkisim" w:cs="Narkisim"/>
          <w:sz w:val="20"/>
          <w:szCs w:val="20"/>
          <w:rtl/>
        </w:rPr>
        <w:t xml:space="preserve"> הקשה דה"נ איצטריך קרא להתיר ביאה שניה. (וע"ע לקמן ח: וכ:).</w:t>
      </w:r>
    </w:p>
    <w:p w14:paraId="61468C75"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אחרונים</w:t>
      </w:r>
      <w:r w:rsidRPr="00012502">
        <w:rPr>
          <w:rFonts w:ascii="Narkisim" w:hAnsi="Narkisim" w:cs="Narkisim"/>
          <w:sz w:val="20"/>
          <w:szCs w:val="20"/>
          <w:rtl/>
        </w:rPr>
        <w:t xml:space="preserve"> (גר"ח סטנסל פב, אפיק"י א ז אות טז, חי' ר' שמעון, גרנ"ט) </w:t>
      </w:r>
      <w:r w:rsidRPr="00012502">
        <w:rPr>
          <w:rFonts w:ascii="Narkisim" w:hAnsi="Narkisim" w:cs="Narkisim"/>
          <w:rtl/>
        </w:rPr>
        <w:t>הקשו דאף דמעשה היבום הותר, מ"מ קידושין לא תופסים בעריות, א"כ היאך תפיס קנין היבום</w:t>
      </w:r>
      <w:r w:rsidRPr="00012502">
        <w:rPr>
          <w:rStyle w:val="ac"/>
          <w:rFonts w:ascii="Narkisim" w:hAnsi="Narkisim" w:cs="Narkisim"/>
          <w:rtl/>
        </w:rPr>
        <w:footnoteReference w:id="113"/>
      </w:r>
      <w:r w:rsidRPr="00012502">
        <w:rPr>
          <w:rFonts w:ascii="Narkisim" w:hAnsi="Narkisim" w:cs="Narkisim"/>
          <w:rtl/>
        </w:rPr>
        <w:t xml:space="preserve">. ועיקר מצוות יבום </w:t>
      </w:r>
      <w:r w:rsidRPr="00012502">
        <w:rPr>
          <w:rFonts w:ascii="Narkisim" w:hAnsi="Narkisim" w:cs="Narkisim"/>
          <w:rtl/>
        </w:rPr>
        <w:lastRenderedPageBreak/>
        <w:t xml:space="preserve">הוא הקנין, ולא מעשה הביאה </w:t>
      </w:r>
      <w:r w:rsidRPr="00012502">
        <w:rPr>
          <w:rFonts w:ascii="Narkisim" w:hAnsi="Narkisim" w:cs="Narkisim"/>
          <w:szCs w:val="20"/>
          <w:rtl/>
        </w:rPr>
        <w:t>[וכמו שהוכיחו האחרונים מכ"מ</w:t>
      </w:r>
      <w:r w:rsidRPr="00012502">
        <w:rPr>
          <w:rStyle w:val="ac"/>
          <w:rFonts w:ascii="Narkisim" w:hAnsi="Narkisim" w:cs="Narkisim"/>
          <w:szCs w:val="20"/>
          <w:rtl/>
        </w:rPr>
        <w:footnoteReference w:id="114"/>
      </w:r>
      <w:r w:rsidRPr="00012502">
        <w:rPr>
          <w:rFonts w:ascii="Narkisim" w:hAnsi="Narkisim" w:cs="Narkisim"/>
          <w:szCs w:val="20"/>
          <w:rtl/>
        </w:rPr>
        <w:t>]</w:t>
      </w:r>
      <w:r w:rsidRPr="00012502">
        <w:rPr>
          <w:rFonts w:ascii="Narkisim" w:hAnsi="Narkisim" w:cs="Narkisim"/>
          <w:rtl/>
        </w:rPr>
        <w:t>.</w:t>
      </w:r>
    </w:p>
    <w:p w14:paraId="6A873D71"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הוסיפו דאין לומר דע"י עשה דוחה ל"ת קידושין תופסים, דהא גדר עשה דוחה ל"ת בעלמא הוה גדר </w:t>
      </w:r>
      <w:r w:rsidRPr="00012502">
        <w:rPr>
          <w:rFonts w:ascii="Narkisim" w:hAnsi="Narkisim"/>
          <w:i/>
          <w:iCs/>
          <w:rtl/>
        </w:rPr>
        <w:t>דחויה</w:t>
      </w:r>
      <w:r w:rsidRPr="00012502">
        <w:rPr>
          <w:rFonts w:ascii="Narkisim" w:hAnsi="Narkisim"/>
          <w:rtl/>
        </w:rPr>
        <w:t>, דאמר ר"ל (לקמן כ:) היכא במקום דאפשר לקיים שניהם אינו דוחה, א"כ סיבת האיסור קיים. וב</w:t>
      </w:r>
      <w:r w:rsidRPr="00012502">
        <w:rPr>
          <w:rFonts w:ascii="Narkisim" w:hAnsi="Narkisim"/>
          <w:b/>
          <w:bCs/>
          <w:rtl/>
        </w:rPr>
        <w:t>חי' ר' שמעון</w:t>
      </w:r>
      <w:r w:rsidRPr="00012502">
        <w:rPr>
          <w:rFonts w:ascii="Narkisim" w:hAnsi="Narkisim"/>
          <w:rtl/>
        </w:rPr>
        <w:t xml:space="preserve"> </w:t>
      </w:r>
      <w:r w:rsidRPr="00012502">
        <w:rPr>
          <w:rFonts w:ascii="Narkisim" w:hAnsi="Narkisim"/>
          <w:szCs w:val="20"/>
          <w:rtl/>
        </w:rPr>
        <w:t>(</w:t>
      </w:r>
      <w:r w:rsidRPr="00012502">
        <w:rPr>
          <w:rFonts w:ascii="Narkisim" w:hAnsi="Narkisim"/>
          <w:sz w:val="20"/>
          <w:szCs w:val="20"/>
          <w:rtl/>
        </w:rPr>
        <w:t>א וכן בשער"י א יא, וכ"כ בקובה"ע ג)</w:t>
      </w:r>
      <w:r w:rsidRPr="00012502">
        <w:rPr>
          <w:rFonts w:ascii="Narkisim" w:hAnsi="Narkisim"/>
          <w:rtl/>
        </w:rPr>
        <w:t xml:space="preserve"> ייסד דתפיסת קידושין תליא ב'סיבת האיסור', ואף במקום שהותר האיסור בפועל</w:t>
      </w:r>
      <w:r w:rsidRPr="00012502">
        <w:rPr>
          <w:rStyle w:val="ac"/>
          <w:rFonts w:ascii="Narkisim" w:hAnsi="Narkisim"/>
          <w:rtl/>
        </w:rPr>
        <w:footnoteReference w:id="115"/>
      </w:r>
      <w:r w:rsidRPr="00012502">
        <w:rPr>
          <w:rFonts w:ascii="Narkisim" w:hAnsi="Narkisim"/>
          <w:rtl/>
        </w:rPr>
        <w:t xml:space="preserve"> לא תפסי קידושין דהוה ערוה בעצם.</w:t>
      </w:r>
      <w:r w:rsidRPr="00012502">
        <w:rPr>
          <w:rFonts w:ascii="Narkisim" w:hAnsi="Narkisim"/>
          <w:sz w:val="20"/>
          <w:szCs w:val="20"/>
          <w:rtl/>
        </w:rPr>
        <w:t xml:space="preserve"> וה</w:t>
      </w:r>
      <w:r w:rsidRPr="00012502">
        <w:rPr>
          <w:rFonts w:ascii="Narkisim" w:hAnsi="Narkisim"/>
          <w:b/>
          <w:bCs/>
          <w:sz w:val="20"/>
          <w:szCs w:val="20"/>
          <w:rtl/>
        </w:rPr>
        <w:t>קה"י</w:t>
      </w:r>
      <w:r w:rsidRPr="00012502">
        <w:rPr>
          <w:rFonts w:ascii="Narkisim" w:hAnsi="Narkisim"/>
          <w:sz w:val="20"/>
          <w:szCs w:val="20"/>
          <w:rtl/>
        </w:rPr>
        <w:t xml:space="preserve"> כתב ליישב דסוגיין ס"ל דכל גדר עשה דוחה ל"ת הוה מדין 'הותרה', ומש"ה נחשב שהאשה בת קידושין, ולא ס"ל כר"ל. אבל אליבא דאמת לא יתכן דין עדל"ת בעריות ליבום.</w:t>
      </w:r>
    </w:p>
    <w:p w14:paraId="614D0931"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ר' שמעון</w:t>
      </w:r>
      <w:r w:rsidRPr="00012502">
        <w:rPr>
          <w:rFonts w:ascii="Narkisim" w:hAnsi="Narkisim"/>
          <w:rtl/>
        </w:rPr>
        <w:t xml:space="preserve"> יישב דלגבי יבום הדין עשה דוחה ל"ת גורם לסלק אף את סיבת האיסור, כיון דאל"כ לא יתפס הקנין. ואף זה נדחה משום עדל"ת. </w:t>
      </w:r>
      <w:r w:rsidRPr="00012502">
        <w:rPr>
          <w:rFonts w:ascii="Narkisim" w:hAnsi="Narkisim"/>
          <w:sz w:val="20"/>
          <w:szCs w:val="20"/>
          <w:rtl/>
        </w:rPr>
        <w:t>וע"ע בחי' הגר"נ עד"ז.</w:t>
      </w:r>
    </w:p>
    <w:p w14:paraId="6366814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(ג י) תי' דקנין יבום לא תלי בתפיסת קידושין, ולענין יבום תלי אי יש איסור בפועל. וכ"כ ה</w:t>
      </w:r>
      <w:r w:rsidRPr="00012502">
        <w:rPr>
          <w:rFonts w:ascii="Narkisim" w:hAnsi="Narkisim"/>
          <w:b/>
          <w:bCs/>
          <w:rtl/>
        </w:rPr>
        <w:t>אבי עזרי</w:t>
      </w:r>
      <w:r w:rsidRPr="00012502">
        <w:rPr>
          <w:rFonts w:ascii="Narkisim" w:hAnsi="Narkisim"/>
          <w:rtl/>
        </w:rPr>
        <w:t xml:space="preserve"> </w:t>
      </w:r>
      <w:r w:rsidRPr="00012502">
        <w:rPr>
          <w:rFonts w:ascii="Narkisim" w:hAnsi="Narkisim"/>
          <w:szCs w:val="20"/>
          <w:rtl/>
        </w:rPr>
        <w:t>(סוף הל' יבום)</w:t>
      </w:r>
      <w:r w:rsidRPr="00012502">
        <w:rPr>
          <w:rFonts w:ascii="Narkisim" w:hAnsi="Narkisim"/>
          <w:rtl/>
        </w:rPr>
        <w:t xml:space="preserve"> דמצוות יבום קונה אותה</w:t>
      </w:r>
      <w:r w:rsidRPr="00012502">
        <w:rPr>
          <w:rStyle w:val="ac"/>
          <w:rFonts w:ascii="Narkisim" w:hAnsi="Narkisim"/>
          <w:rtl/>
        </w:rPr>
        <w:footnoteReference w:id="116"/>
      </w:r>
      <w:r w:rsidRPr="00012502">
        <w:rPr>
          <w:rFonts w:ascii="Narkisim" w:hAnsi="Narkisim"/>
          <w:rtl/>
        </w:rPr>
        <w:t xml:space="preserve">, ואינו קידושין. </w:t>
      </w:r>
      <w:r w:rsidRPr="00012502">
        <w:rPr>
          <w:rFonts w:ascii="Narkisim" w:hAnsi="Narkisim"/>
          <w:sz w:val="20"/>
          <w:szCs w:val="20"/>
          <w:rtl/>
        </w:rPr>
        <w:t xml:space="preserve">והביאו כן מלשון </w:t>
      </w:r>
      <w:r w:rsidRPr="00012502">
        <w:rPr>
          <w:rFonts w:ascii="Narkisim" w:hAnsi="Narkisim"/>
          <w:b/>
          <w:bCs/>
          <w:sz w:val="20"/>
          <w:szCs w:val="20"/>
          <w:rtl/>
        </w:rPr>
        <w:t>רש"י</w:t>
      </w:r>
      <w:r w:rsidRPr="00012502">
        <w:rPr>
          <w:rFonts w:ascii="Narkisim" w:hAnsi="Narkisim"/>
          <w:sz w:val="20"/>
          <w:szCs w:val="20"/>
          <w:rtl/>
        </w:rPr>
        <w:t xml:space="preserve"> (נב. הו' בסמוך) דלא תפסי קידושין ביבמה</w:t>
      </w:r>
      <w:r w:rsidRPr="00012502">
        <w:rPr>
          <w:rStyle w:val="ac"/>
          <w:rFonts w:ascii="Narkisim" w:hAnsi="Narkisim"/>
          <w:sz w:val="20"/>
          <w:szCs w:val="20"/>
          <w:rtl/>
        </w:rPr>
        <w:footnoteReference w:id="117"/>
      </w:r>
      <w:r w:rsidRPr="00012502">
        <w:rPr>
          <w:rFonts w:ascii="Narkisim" w:hAnsi="Narkisim"/>
          <w:sz w:val="20"/>
          <w:szCs w:val="20"/>
          <w:rtl/>
        </w:rPr>
        <w:t>, והתורה התיר רק כסדר המצוה</w:t>
      </w:r>
      <w:r w:rsidRPr="00012502">
        <w:rPr>
          <w:rStyle w:val="ac"/>
          <w:rFonts w:ascii="Narkisim" w:hAnsi="Narkisim"/>
          <w:sz w:val="20"/>
          <w:szCs w:val="20"/>
          <w:rtl/>
        </w:rPr>
        <w:footnoteReference w:id="118"/>
      </w:r>
      <w:r w:rsidRPr="00012502">
        <w:rPr>
          <w:rFonts w:ascii="Narkisim" w:hAnsi="Narkisim"/>
          <w:sz w:val="20"/>
          <w:szCs w:val="20"/>
          <w:rtl/>
        </w:rPr>
        <w:t>.</w:t>
      </w:r>
    </w:p>
    <w:p w14:paraId="6E7A70E2"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דנו עוד כעי"ז דאיתא (לקמן כ:) דבעריות דלא תפסי קידושין אין זיקה לחליצה</w:t>
      </w:r>
      <w:r w:rsidRPr="00012502">
        <w:rPr>
          <w:rStyle w:val="ac"/>
          <w:rFonts w:ascii="Narkisim" w:hAnsi="Narkisim"/>
          <w:rtl/>
        </w:rPr>
        <w:footnoteReference w:id="119"/>
      </w:r>
      <w:r w:rsidRPr="00012502">
        <w:rPr>
          <w:rFonts w:ascii="Narkisim" w:hAnsi="Narkisim"/>
          <w:rtl/>
        </w:rPr>
        <w:t>, א"כ היאך תפיס ה'זיקה'. וע' לקמן שם.</w:t>
      </w:r>
    </w:p>
    <w:p w14:paraId="6A49841D"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דנו אילו עשה דוחה ל"ת [שיש בו כרת]</w:t>
      </w:r>
      <w:r w:rsidRPr="00012502">
        <w:rPr>
          <w:rStyle w:val="ac"/>
          <w:rFonts w:ascii="Narkisim" w:hAnsi="Narkisim"/>
          <w:rtl/>
        </w:rPr>
        <w:footnoteReference w:id="120"/>
      </w:r>
      <w:r w:rsidRPr="00012502">
        <w:rPr>
          <w:rFonts w:ascii="Narkisim" w:hAnsi="Narkisim"/>
          <w:rtl/>
        </w:rPr>
        <w:t>, האם הולד [מביאה ראשונה] הוה ממזר</w:t>
      </w:r>
      <w:r w:rsidRPr="00012502">
        <w:rPr>
          <w:rStyle w:val="ac"/>
          <w:rFonts w:ascii="Narkisim" w:hAnsi="Narkisim"/>
          <w:rtl/>
        </w:rPr>
        <w:footnoteReference w:id="121"/>
      </w:r>
      <w:r w:rsidRPr="00012502">
        <w:rPr>
          <w:rFonts w:ascii="Narkisim" w:hAnsi="Narkisim"/>
          <w:rtl/>
        </w:rPr>
        <w:t>. האם אמרי' דכיון דהוה ביאת היתר לא הוה ממזר</w:t>
      </w:r>
      <w:r w:rsidRPr="00012502">
        <w:rPr>
          <w:rStyle w:val="ac"/>
          <w:rFonts w:ascii="Narkisim" w:hAnsi="Narkisim"/>
          <w:rtl/>
        </w:rPr>
        <w:footnoteReference w:id="122"/>
      </w:r>
      <w:r w:rsidRPr="00012502">
        <w:rPr>
          <w:rFonts w:ascii="Narkisim" w:hAnsi="Narkisim"/>
          <w:rtl/>
        </w:rPr>
        <w:t>. [ויתבאר עוד בסוגיות דממזרות ע' לקמן מה: ומט.].</w:t>
      </w:r>
    </w:p>
    <w:p w14:paraId="215E29AC" w14:textId="77777777" w:rsidR="00BE1D1C" w:rsidRPr="00012502" w:rsidRDefault="00000000" w:rsidP="00012502">
      <w:pPr>
        <w:bidi/>
        <w:rPr>
          <w:rFonts w:ascii="Narkisim" w:hAnsi="Narkisim" w:cs="Narkisim"/>
        </w:rPr>
      </w:pPr>
      <w:r w:rsidRPr="00012502">
        <w:rPr>
          <w:rFonts w:ascii="Narkisim" w:hAnsi="Narkisim" w:cs="Narkisim"/>
          <w:i/>
          <w:iCs/>
          <w:sz w:val="21"/>
          <w:szCs w:val="21"/>
          <w:rtl/>
        </w:rPr>
        <w:t xml:space="preserve">היאך מותר לאשה </w:t>
      </w:r>
      <w:r w:rsidRPr="00012502">
        <w:rPr>
          <w:rFonts w:ascii="Narkisim" w:hAnsi="Narkisim" w:cs="Narkisim"/>
          <w:rtl/>
        </w:rPr>
        <w:t>- ה</w:t>
      </w:r>
      <w:r w:rsidRPr="00012502">
        <w:rPr>
          <w:rFonts w:ascii="Narkisim" w:hAnsi="Narkisim" w:cs="Narkisim"/>
          <w:b/>
          <w:bCs/>
          <w:rtl/>
        </w:rPr>
        <w:t>אחרונים</w:t>
      </w:r>
      <w:r w:rsidRPr="00012502">
        <w:rPr>
          <w:rFonts w:ascii="Narkisim" w:hAnsi="Narkisim" w:cs="Narkisim"/>
          <w:sz w:val="20"/>
          <w:szCs w:val="20"/>
          <w:rtl/>
        </w:rPr>
        <w:t xml:space="preserve"> (</w:t>
      </w:r>
      <w:r w:rsidRPr="00012502">
        <w:rPr>
          <w:rFonts w:ascii="Narkisim" w:hAnsi="Narkisim" w:cs="Narkisim"/>
          <w:b/>
          <w:bCs/>
          <w:sz w:val="20"/>
          <w:szCs w:val="20"/>
          <w:rtl/>
        </w:rPr>
        <w:t xml:space="preserve">תוספת יוה"כ </w:t>
      </w:r>
      <w:r w:rsidRPr="00012502">
        <w:rPr>
          <w:rFonts w:ascii="Narkisim" w:hAnsi="Narkisim" w:cs="Narkisim"/>
          <w:sz w:val="20"/>
          <w:szCs w:val="20"/>
          <w:rtl/>
        </w:rPr>
        <w:t xml:space="preserve">למהר"ם חביב יומא פו., והו' במנח"ח א טו) </w:t>
      </w:r>
      <w:r w:rsidRPr="00012502">
        <w:rPr>
          <w:rFonts w:ascii="Narkisim" w:hAnsi="Narkisim" w:cs="Narkisim"/>
          <w:rtl/>
        </w:rPr>
        <w:t>הקשו דמצוות יבום הוא עשה על האיש, וכדמשמע ב</w:t>
      </w:r>
      <w:r w:rsidRPr="00012502">
        <w:rPr>
          <w:rFonts w:ascii="Narkisim" w:hAnsi="Narkisim" w:cs="Narkisim"/>
          <w:b/>
          <w:bCs/>
          <w:rtl/>
        </w:rPr>
        <w:t>ראשונים</w:t>
      </w:r>
      <w:r w:rsidRPr="00012502">
        <w:rPr>
          <w:rStyle w:val="ac"/>
          <w:rFonts w:ascii="Narkisim" w:hAnsi="Narkisim" w:cs="Narkisim"/>
          <w:rtl/>
        </w:rPr>
        <w:footnoteReference w:id="123"/>
      </w:r>
      <w:r w:rsidRPr="00012502">
        <w:rPr>
          <w:rFonts w:ascii="Narkisim" w:hAnsi="Narkisim" w:cs="Narkisim"/>
          <w:rtl/>
        </w:rPr>
        <w:t>, א"כ היאך ידחה ל"ת של האשה</w:t>
      </w:r>
      <w:r w:rsidRPr="00012502">
        <w:rPr>
          <w:rStyle w:val="ac"/>
          <w:rFonts w:ascii="Narkisim" w:hAnsi="Narkisim" w:cs="Narkisim"/>
          <w:rtl/>
        </w:rPr>
        <w:footnoteReference w:id="124"/>
      </w:r>
      <w:r w:rsidRPr="00012502">
        <w:rPr>
          <w:rFonts w:ascii="Narkisim" w:hAnsi="Narkisim" w:cs="Narkisim"/>
          <w:rtl/>
        </w:rPr>
        <w:t>.</w:t>
      </w:r>
    </w:p>
    <w:p w14:paraId="34717CDC"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תו"י</w:t>
      </w:r>
      <w:r w:rsidRPr="00012502">
        <w:rPr>
          <w:rFonts w:ascii="Narkisim" w:hAnsi="Narkisim"/>
          <w:rtl/>
        </w:rPr>
        <w:t xml:space="preserve"> (כתובות מ.) פי' דזה כוונת הגמ' (שם) דל"א דעשה ד'ולו תהא לאשה' ידחה ל"ת, דאי אמרה לא בעינא ליתא לעשה כלל, ופי' התו"י [בחד תי'] דאף היא מצווה בל"ת כמותו, וגבי דידה ליתא לעשה</w:t>
      </w:r>
      <w:r w:rsidRPr="00012502">
        <w:rPr>
          <w:rStyle w:val="ac"/>
          <w:rFonts w:ascii="Narkisim" w:hAnsi="Narkisim"/>
          <w:rtl/>
        </w:rPr>
        <w:footnoteReference w:id="125"/>
      </w:r>
      <w:r w:rsidRPr="00012502">
        <w:rPr>
          <w:rFonts w:ascii="Narkisim" w:hAnsi="Narkisim"/>
          <w:rtl/>
        </w:rPr>
        <w:t>.</w:t>
      </w:r>
    </w:p>
    <w:p w14:paraId="00CFC171"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מהר"ם חביב</w:t>
      </w:r>
      <w:r w:rsidRPr="00012502">
        <w:rPr>
          <w:rFonts w:ascii="Narkisim" w:hAnsi="Narkisim"/>
          <w:rtl/>
        </w:rPr>
        <w:t xml:space="preserve"> (שם) הוכיח דכיון דהמצווה מוטל עליו בחברת האחר דוחה לל"ת, אף דליכא עשה כלפי השני</w:t>
      </w:r>
      <w:r w:rsidRPr="00012502">
        <w:rPr>
          <w:rStyle w:val="ac"/>
          <w:rFonts w:ascii="Narkisim" w:hAnsi="Narkisim"/>
          <w:rtl/>
        </w:rPr>
        <w:footnoteReference w:id="126"/>
      </w:r>
      <w:r w:rsidRPr="00012502">
        <w:rPr>
          <w:rFonts w:ascii="Narkisim" w:hAnsi="Narkisim"/>
          <w:rtl/>
        </w:rPr>
        <w:t>.</w:t>
      </w:r>
    </w:p>
    <w:p w14:paraId="3D3CC466"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פנ"י</w:t>
      </w:r>
      <w:r w:rsidRPr="00012502">
        <w:rPr>
          <w:rFonts w:ascii="Narkisim" w:hAnsi="Narkisim"/>
          <w:rtl/>
        </w:rPr>
        <w:t xml:space="preserve"> (כתובות מ.) תי' דאף על האשה רמי מצוות יבום.</w:t>
      </w:r>
    </w:p>
    <w:p w14:paraId="5F47474F" w14:textId="77777777" w:rsidR="00BE1D1C" w:rsidRPr="00012502" w:rsidRDefault="00000000" w:rsidP="00012502">
      <w:pPr>
        <w:pStyle w:val="a7"/>
        <w:bidi/>
        <w:rPr>
          <w:rFonts w:ascii="Narkisim" w:hAnsi="Narkisim"/>
        </w:rPr>
      </w:pPr>
      <w:r w:rsidRPr="00012502">
        <w:rPr>
          <w:rFonts w:ascii="Narkisim" w:hAnsi="Narkisim"/>
          <w:rtl/>
        </w:rPr>
        <w:lastRenderedPageBreak/>
        <w:t>וה</w:t>
      </w:r>
      <w:r w:rsidRPr="00012502">
        <w:rPr>
          <w:rFonts w:ascii="Narkisim" w:hAnsi="Narkisim"/>
          <w:b/>
          <w:bCs/>
          <w:rtl/>
        </w:rPr>
        <w:t>מנח"ח</w:t>
      </w:r>
      <w:r w:rsidRPr="00012502">
        <w:rPr>
          <w:rFonts w:ascii="Narkisim" w:hAnsi="Narkisim"/>
          <w:rtl/>
        </w:rPr>
        <w:t xml:space="preserve"> תי' דעיקר האיסור בעריות קאי אאיש, אלא דדרשי' דכל מקום שהוא מוזהר האשה ג"כ מוזהרת </w:t>
      </w:r>
      <w:r w:rsidRPr="00012502">
        <w:rPr>
          <w:rFonts w:ascii="Narkisim" w:hAnsi="Narkisim"/>
          <w:sz w:val="20"/>
          <w:szCs w:val="20"/>
          <w:rtl/>
        </w:rPr>
        <w:t>[וכדאיתא לקמן פד:]</w:t>
      </w:r>
      <w:r w:rsidRPr="00012502">
        <w:rPr>
          <w:rFonts w:ascii="Narkisim" w:hAnsi="Narkisim"/>
          <w:rtl/>
        </w:rPr>
        <w:t>, ולכן במקום דנדחה האיסור דידיה אף היא מותרת, דדיו לבא מהדין להיות כנידון</w:t>
      </w:r>
      <w:r w:rsidRPr="00012502">
        <w:rPr>
          <w:rStyle w:val="ac"/>
          <w:rFonts w:ascii="Narkisim" w:hAnsi="Narkisim"/>
          <w:rtl/>
        </w:rPr>
        <w:footnoteReference w:id="127"/>
      </w:r>
      <w:r w:rsidRPr="00012502">
        <w:rPr>
          <w:rFonts w:ascii="Narkisim" w:hAnsi="Narkisim"/>
          <w:rtl/>
        </w:rPr>
        <w:t>, ואף דעדל"ת הוה גדר דחויה.</w:t>
      </w:r>
    </w:p>
    <w:p w14:paraId="4C87873A"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(אמר"מ יב ד וקובה"ע יד ח) דנו דהיכא דיש לה צרה [במקום דאין פטור צרה] לא אמרי' עדל"ת, דאפשר לקיים שניהם. דהמצוה יכול להתקיים, ואף דחפץ באופן קיום הזה.</w:t>
      </w:r>
    </w:p>
    <w:p w14:paraId="065B9AA2" w14:textId="77777777" w:rsidR="00BE1D1C" w:rsidRPr="00012502" w:rsidRDefault="00000000" w:rsidP="00012502">
      <w:pPr>
        <w:pStyle w:val="a8"/>
        <w:bidi/>
        <w:rPr>
          <w:rFonts w:ascii="Narkisim" w:hAnsi="Narkisim"/>
        </w:rPr>
      </w:pPr>
      <w:r w:rsidRPr="00012502">
        <w:rPr>
          <w:rFonts w:ascii="Narkisim" w:hAnsi="Narkisim"/>
          <w:rtl/>
        </w:rPr>
        <w:t>אבל ה</w:t>
      </w:r>
      <w:r w:rsidRPr="00012502">
        <w:rPr>
          <w:rFonts w:ascii="Narkisim" w:hAnsi="Narkisim"/>
          <w:b/>
          <w:bCs/>
          <w:rtl/>
        </w:rPr>
        <w:t>קובה"ע</w:t>
      </w:r>
      <w:r w:rsidRPr="00012502">
        <w:rPr>
          <w:rFonts w:ascii="Narkisim" w:hAnsi="Narkisim"/>
          <w:rtl/>
        </w:rPr>
        <w:t xml:space="preserve"> נסתפק כשיש לו אח, האם אמרי' דמצות רמי עליו, ואמר אנא בעינא לקיומי מצוה, והמצוה המוטלת עליו לא יקיים אחיו [דעל כל אח הוה מצוה בפנ"ע, וע' לקמן י:]. או דאפשר לקיים ע"י אחיו [וע' לקמן ה. דדנו האחרונים בדין אפשר לקיים ע"י אחר]. וה</w:t>
      </w:r>
      <w:r w:rsidRPr="00012502">
        <w:rPr>
          <w:rFonts w:ascii="Narkisim" w:hAnsi="Narkisim"/>
          <w:b/>
          <w:bCs/>
          <w:rtl/>
        </w:rPr>
        <w:t>אמר"מ</w:t>
      </w:r>
      <w:r w:rsidRPr="00012502">
        <w:rPr>
          <w:rFonts w:ascii="Narkisim" w:hAnsi="Narkisim"/>
          <w:rtl/>
        </w:rPr>
        <w:t xml:space="preserve"> כתב דרק במקום דאחיו ליתא קמן אמרי' עדל"ת.</w:t>
      </w:r>
    </w:p>
    <w:p w14:paraId="0347F52C" w14:textId="77777777" w:rsidR="00BE1D1C" w:rsidRPr="00012502" w:rsidRDefault="00000000" w:rsidP="00012502">
      <w:pPr>
        <w:bidi/>
        <w:rPr>
          <w:rFonts w:ascii="Narkisim" w:hAnsi="Narkisim" w:cs="Narkisim"/>
        </w:rPr>
      </w:pPr>
      <w:r w:rsidRPr="00012502">
        <w:rPr>
          <w:rFonts w:ascii="Narkisim" w:hAnsi="Narkisim" w:cs="Narkisim"/>
          <w:u w:val="single"/>
          <w:rtl/>
        </w:rPr>
        <w:t>תוד"ה לא תעשה.</w:t>
      </w:r>
      <w:r w:rsidRPr="00012502">
        <w:rPr>
          <w:rFonts w:ascii="Narkisim" w:hAnsi="Narkisim" w:cs="Narkisim"/>
          <w:rtl/>
        </w:rPr>
        <w:t xml:space="preserve"> וא"ת וכו' מעשה דיבום דדחי ל"ת דכרת דאשת אח. מבואר בקושיית התוס' דכל יבום הוה מדין עשה דוחה ל"ת, לדחות איסור אשת אח</w:t>
      </w:r>
      <w:r w:rsidRPr="00012502">
        <w:rPr>
          <w:rStyle w:val="ac"/>
          <w:rFonts w:ascii="Narkisim" w:hAnsi="Narkisim" w:cs="Narkisim"/>
          <w:rtl/>
        </w:rPr>
        <w:footnoteReference w:id="128"/>
      </w:r>
      <w:r w:rsidRPr="00012502">
        <w:rPr>
          <w:rFonts w:ascii="Narkisim" w:hAnsi="Narkisim" w:cs="Narkisim"/>
          <w:rtl/>
        </w:rPr>
        <w:t>.</w:t>
      </w:r>
      <w:r w:rsidRPr="00012502">
        <w:rPr>
          <w:rFonts w:ascii="Narkisim" w:hAnsi="Narkisim" w:cs="Narkisim"/>
          <w:sz w:val="20"/>
          <w:szCs w:val="20"/>
          <w:rtl/>
        </w:rPr>
        <w:t xml:space="preserve"> [ובפשוטו בתי' לא חזרו בזה, ע' בסמוך]</w:t>
      </w:r>
      <w:r w:rsidRPr="00012502">
        <w:rPr>
          <w:rFonts w:ascii="Narkisim" w:hAnsi="Narkisim" w:cs="Narkisim"/>
          <w:rtl/>
        </w:rPr>
        <w:t xml:space="preserve">. וכ"מ לשון </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Cs w:val="20"/>
          <w:rtl/>
        </w:rPr>
        <w:t>(נד: ד"ה אלא)</w:t>
      </w:r>
      <w:r w:rsidRPr="00012502">
        <w:rPr>
          <w:rStyle w:val="ac"/>
          <w:rFonts w:ascii="Narkisim" w:hAnsi="Narkisim" w:cs="Narkisim"/>
          <w:rtl/>
        </w:rPr>
        <w:footnoteReference w:id="129"/>
      </w:r>
      <w:r w:rsidRPr="00012502">
        <w:rPr>
          <w:rFonts w:ascii="Narkisim" w:hAnsi="Narkisim" w:cs="Narkisim"/>
          <w:rtl/>
        </w:rPr>
        <w:t xml:space="preserve">. </w:t>
      </w:r>
      <w:r w:rsidRPr="00012502">
        <w:rPr>
          <w:rFonts w:ascii="Narkisim" w:hAnsi="Narkisim" w:cs="Narkisim"/>
          <w:sz w:val="20"/>
          <w:szCs w:val="20"/>
          <w:rtl/>
        </w:rPr>
        <w:t xml:space="preserve">[וזה דלא כפשטות הגמ' נה. דמשמע דס"ד למילף מיניה ולהתיר אף יש לה בנים וכדו']. </w:t>
      </w:r>
      <w:r w:rsidRPr="00012502">
        <w:rPr>
          <w:rFonts w:ascii="Narkisim" w:hAnsi="Narkisim" w:cs="Narkisim"/>
          <w:rtl/>
        </w:rPr>
        <w:t xml:space="preserve">אבל </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Cs w:val="20"/>
          <w:rtl/>
        </w:rPr>
        <w:t>(לקמן כ:)</w:t>
      </w:r>
      <w:r w:rsidRPr="00012502">
        <w:rPr>
          <w:rFonts w:ascii="Narkisim" w:hAnsi="Narkisim" w:cs="Narkisim"/>
          <w:rtl/>
        </w:rPr>
        <w:t xml:space="preserve"> נקטו דכל יבום שרי בלא שום דחיה</w:t>
      </w:r>
      <w:r w:rsidRPr="00012502">
        <w:rPr>
          <w:rStyle w:val="ac"/>
          <w:rFonts w:ascii="Narkisim" w:hAnsi="Narkisim" w:cs="Narkisim"/>
          <w:rtl/>
        </w:rPr>
        <w:footnoteReference w:id="130"/>
      </w:r>
      <w:r w:rsidRPr="00012502">
        <w:rPr>
          <w:rFonts w:ascii="Narkisim" w:hAnsi="Narkisim" w:cs="Narkisim"/>
          <w:sz w:val="20"/>
          <w:szCs w:val="20"/>
          <w:rtl/>
        </w:rPr>
        <w:t>,</w:t>
      </w:r>
      <w:r w:rsidRPr="00012502">
        <w:rPr>
          <w:rFonts w:ascii="Narkisim" w:hAnsi="Narkisim" w:cs="Narkisim"/>
          <w:rtl/>
        </w:rPr>
        <w:t xml:space="preserve"> ורק בחייבי לאוין דהותר מדין עשה דוחה ל"ת הותר בגדר דחויה.</w:t>
      </w:r>
    </w:p>
    <w:p w14:paraId="7A9554EC"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(אמר"מ ה ועוד) האריכו לחקור האם הנפילה ליבום מתיר לאיסור אשת אח, או עצם הזיקה מתיר, או קיום מצוות היבום.</w:t>
      </w:r>
    </w:p>
    <w:p w14:paraId="4DE7EDED" w14:textId="77777777" w:rsidR="00BE1D1C" w:rsidRPr="00012502" w:rsidRDefault="00000000" w:rsidP="00012502">
      <w:pPr>
        <w:pStyle w:val="a8"/>
        <w:bidi/>
        <w:rPr>
          <w:rFonts w:ascii="Narkisim" w:hAnsi="Narkisim"/>
        </w:rPr>
      </w:pPr>
      <w:r w:rsidRPr="00012502">
        <w:rPr>
          <w:rFonts w:ascii="Narkisim" w:hAnsi="Narkisim"/>
          <w:rtl/>
        </w:rPr>
        <w:t>ובדעת אבא שאול (ע' לקמן לט:) משמע דדוקא באופן שמקיים מצוות יבום דחי. ועוד הביאו ה</w:t>
      </w:r>
      <w:r w:rsidRPr="00012502">
        <w:rPr>
          <w:rFonts w:ascii="Narkisim" w:hAnsi="Narkisim"/>
          <w:b/>
          <w:bCs/>
          <w:rtl/>
        </w:rPr>
        <w:t>אחרונים</w:t>
      </w:r>
      <w:r w:rsidRPr="00012502">
        <w:rPr>
          <w:rFonts w:ascii="Narkisim" w:hAnsi="Narkisim"/>
          <w:rtl/>
        </w:rPr>
        <w:t xml:space="preserve"> מדברי </w:t>
      </w:r>
      <w:r w:rsidRPr="00012502">
        <w:rPr>
          <w:rFonts w:ascii="Narkisim" w:hAnsi="Narkisim"/>
          <w:b/>
          <w:bCs/>
          <w:rtl/>
        </w:rPr>
        <w:t>רש"י</w:t>
      </w:r>
      <w:r w:rsidRPr="00012502">
        <w:rPr>
          <w:rFonts w:ascii="Narkisim" w:hAnsi="Narkisim"/>
          <w:rtl/>
        </w:rPr>
        <w:t xml:space="preserve"> (נב. ד"ה נתן) דל"מ קידושי כסף ביבמה, דאין קידוש' תופסין באשת אח, והתורה לא התירתה לו אלא כסדר המצוה, בביאה. [ומבואר דהותר איסור אשת אח רק כלפי ביאת יבום</w:t>
      </w:r>
      <w:r w:rsidRPr="00012502">
        <w:rPr>
          <w:rStyle w:val="ac"/>
          <w:rFonts w:ascii="Narkisim" w:hAnsi="Narkisim"/>
          <w:rtl/>
        </w:rPr>
        <w:footnoteReference w:id="131"/>
      </w:r>
      <w:r w:rsidRPr="00012502">
        <w:rPr>
          <w:rFonts w:ascii="Narkisim" w:hAnsi="Narkisim"/>
          <w:rtl/>
        </w:rPr>
        <w:t>].</w:t>
      </w:r>
    </w:p>
    <w:p w14:paraId="559F882B" w14:textId="77777777" w:rsidR="00BE1D1C" w:rsidRPr="00012502" w:rsidRDefault="00000000" w:rsidP="00012502">
      <w:pPr>
        <w:pStyle w:val="a8"/>
        <w:bidi/>
        <w:rPr>
          <w:rFonts w:ascii="Narkisim" w:hAnsi="Narkisim"/>
        </w:rPr>
      </w:pPr>
      <w:r w:rsidRPr="00012502">
        <w:rPr>
          <w:rFonts w:ascii="Narkisim" w:hAnsi="Narkisim"/>
          <w:rtl/>
        </w:rPr>
        <w:t>אבל מבואר בכ"מ דהותר איסור אשת האח [במקום יבום], ואף כשאינו מקיים את המצוה ולא קנאה במעשה זו. וכדאיתא (לקמן קיא.) דיבם קטן מותר לבא על יבמתו 'תגדלנו', ואף דל"ק עד שתגדל, ו</w:t>
      </w:r>
      <w:r w:rsidRPr="00012502">
        <w:rPr>
          <w:rFonts w:ascii="Narkisim" w:hAnsi="Narkisim"/>
          <w:b/>
          <w:bCs/>
          <w:rtl/>
        </w:rPr>
        <w:t>תוס'</w:t>
      </w:r>
      <w:r w:rsidRPr="00012502">
        <w:rPr>
          <w:rFonts w:ascii="Narkisim" w:hAnsi="Narkisim"/>
          <w:rtl/>
        </w:rPr>
        <w:t xml:space="preserve"> (לה: ד"ה תגלי) למד משם דה"ה לר"ל בביאת מעוברת, אין חיוב אא"ח ואף דל"ק.</w:t>
      </w:r>
    </w:p>
    <w:p w14:paraId="6437C91D" w14:textId="77777777" w:rsidR="00BE1D1C" w:rsidRPr="00012502" w:rsidRDefault="00000000" w:rsidP="00012502">
      <w:pPr>
        <w:pStyle w:val="a8"/>
        <w:bidi/>
        <w:rPr>
          <w:rFonts w:ascii="Narkisim" w:hAnsi="Narkisim"/>
        </w:rPr>
      </w:pPr>
      <w:r w:rsidRPr="00012502">
        <w:rPr>
          <w:rFonts w:ascii="Narkisim" w:hAnsi="Narkisim"/>
          <w:rtl/>
        </w:rPr>
        <w:t>ודעת ה</w:t>
      </w:r>
      <w:r w:rsidRPr="00012502">
        <w:rPr>
          <w:rFonts w:ascii="Narkisim" w:hAnsi="Narkisim"/>
          <w:b/>
          <w:bCs/>
          <w:rtl/>
        </w:rPr>
        <w:t>רשב"א</w:t>
      </w:r>
      <w:r w:rsidRPr="00012502">
        <w:rPr>
          <w:rFonts w:ascii="Narkisim" w:hAnsi="Narkisim"/>
          <w:rtl/>
        </w:rPr>
        <w:t xml:space="preserve"> (לקמן מא., יתבאר לקמן י:) דבמקום שחל היתר, ושוב נאסר וחזרה והותרה, אין איסור אשת אח [אף למ"ד דאינה זקוקה ליבום].</w:t>
      </w:r>
    </w:p>
    <w:p w14:paraId="4B2B422A"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כתבו דצ"ל דהא דחל היתר הוה מכח דין עשה דוחה ל"ת [לתוס'], אלא שהכא אמרי' דהדין עשה דוחה ל"ת גורם לגדר הותרה. דכיון דא"א להתיר בענין אחר, ובכל מקום התירה התורה מדין עדל"ת מה שצריך להתיר.</w:t>
      </w:r>
    </w:p>
    <w:p w14:paraId="55961CEC" w14:textId="77777777" w:rsidR="00BE1D1C" w:rsidRPr="00012502" w:rsidRDefault="00000000" w:rsidP="00012502">
      <w:pPr>
        <w:bidi/>
        <w:rPr>
          <w:rFonts w:ascii="Narkisim" w:hAnsi="Narkisim" w:cs="Narkisim"/>
        </w:rPr>
      </w:pPr>
      <w:r w:rsidRPr="00012502">
        <w:rPr>
          <w:rFonts w:ascii="Narkisim" w:hAnsi="Narkisim" w:cs="Narkisim"/>
          <w:u w:val="single"/>
          <w:rtl/>
        </w:rPr>
        <w:t>שם. דדחי ל"ת דכרת דאשת אח וכו'</w:t>
      </w:r>
      <w:r w:rsidRPr="00012502">
        <w:rPr>
          <w:rFonts w:ascii="Narkisim" w:hAnsi="Narkisim" w:cs="Narkisim"/>
          <w:rtl/>
        </w:rPr>
        <w:t>. ותוס' תי' דשאני אשת אח דמצוותו בכך וא"א בענין אחר, אך ה</w:t>
      </w:r>
      <w:r w:rsidRPr="00012502">
        <w:rPr>
          <w:rFonts w:ascii="Narkisim" w:hAnsi="Narkisim" w:cs="Narkisim"/>
          <w:b/>
          <w:bCs/>
          <w:rtl/>
        </w:rPr>
        <w:t>אחרונים</w:t>
      </w:r>
      <w:r w:rsidRPr="00012502">
        <w:rPr>
          <w:rFonts w:ascii="Narkisim" w:hAnsi="Narkisim" w:cs="Narkisim"/>
          <w:rtl/>
        </w:rPr>
        <w:t xml:space="preserve"> (הו' בסמוך) דייקו דאף זה הוה גדר היתר עשה דוחה ל"ת.</w:t>
      </w:r>
    </w:p>
    <w:p w14:paraId="7AE07780"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רמב"ן</w:t>
      </w:r>
      <w:r w:rsidRPr="00012502">
        <w:rPr>
          <w:rFonts w:ascii="Narkisim" w:hAnsi="Narkisim"/>
          <w:rtl/>
        </w:rPr>
        <w:t xml:space="preserve"> </w:t>
      </w:r>
      <w:r w:rsidRPr="00012502">
        <w:rPr>
          <w:rFonts w:ascii="Narkisim" w:hAnsi="Narkisim"/>
          <w:sz w:val="20"/>
          <w:szCs w:val="20"/>
          <w:rtl/>
        </w:rPr>
        <w:t>(תוה"א הו' בחי' ברכות יט:)</w:t>
      </w:r>
      <w:r w:rsidRPr="00012502">
        <w:rPr>
          <w:rFonts w:ascii="Narkisim" w:hAnsi="Narkisim"/>
          <w:rtl/>
        </w:rPr>
        <w:t xml:space="preserve"> כתב דלאו דאשת אח לא מקרי דיחוי</w:t>
      </w:r>
      <w:r w:rsidRPr="00012502">
        <w:rPr>
          <w:rStyle w:val="ac"/>
          <w:rFonts w:ascii="Narkisim" w:hAnsi="Narkisim"/>
          <w:rtl/>
        </w:rPr>
        <w:footnoteReference w:id="132"/>
      </w:r>
      <w:r w:rsidRPr="00012502">
        <w:rPr>
          <w:rFonts w:ascii="Narkisim" w:hAnsi="Narkisim"/>
          <w:rtl/>
        </w:rPr>
        <w:t>, כיון דליתא אלא בהכי, וערות אחיך לא תגלה אינו אלא במקום שאין בנים ליבום</w:t>
      </w:r>
      <w:r w:rsidRPr="00012502">
        <w:rPr>
          <w:rStyle w:val="ac"/>
          <w:rFonts w:ascii="Narkisim" w:hAnsi="Narkisim"/>
          <w:rtl/>
        </w:rPr>
        <w:footnoteReference w:id="133"/>
      </w:r>
      <w:r w:rsidRPr="00012502">
        <w:rPr>
          <w:rFonts w:ascii="Narkisim" w:hAnsi="Narkisim"/>
          <w:rtl/>
        </w:rPr>
        <w:t xml:space="preserve">. </w:t>
      </w:r>
      <w:r w:rsidRPr="00012502">
        <w:rPr>
          <w:rFonts w:ascii="Narkisim" w:hAnsi="Narkisim"/>
          <w:sz w:val="20"/>
          <w:szCs w:val="20"/>
          <w:rtl/>
        </w:rPr>
        <w:t xml:space="preserve">והרמב"ן ביאר עד"ז את דברי </w:t>
      </w:r>
      <w:r w:rsidRPr="00012502">
        <w:rPr>
          <w:rFonts w:ascii="Narkisim" w:hAnsi="Narkisim"/>
          <w:b/>
          <w:bCs/>
          <w:sz w:val="20"/>
          <w:szCs w:val="20"/>
          <w:rtl/>
        </w:rPr>
        <w:t xml:space="preserve">רש"י </w:t>
      </w:r>
      <w:r w:rsidRPr="00012502">
        <w:rPr>
          <w:rFonts w:ascii="Narkisim" w:hAnsi="Narkisim"/>
          <w:sz w:val="20"/>
          <w:szCs w:val="20"/>
          <w:rtl/>
        </w:rPr>
        <w:t>(ברכות כ. ד"ה שב) דהא דכהן מטמא למת מצוה משום דמעיקרא לא נכתב לאו דטומאת כהנים על מת מצוה</w:t>
      </w:r>
      <w:r w:rsidRPr="00012502">
        <w:rPr>
          <w:rStyle w:val="ac"/>
          <w:rFonts w:ascii="Narkisim" w:hAnsi="Narkisim"/>
          <w:sz w:val="20"/>
          <w:szCs w:val="20"/>
          <w:rtl/>
        </w:rPr>
        <w:footnoteReference w:id="134"/>
      </w:r>
      <w:r w:rsidRPr="00012502">
        <w:rPr>
          <w:rFonts w:ascii="Narkisim" w:hAnsi="Narkisim"/>
          <w:sz w:val="20"/>
          <w:szCs w:val="20"/>
          <w:rtl/>
        </w:rPr>
        <w:t>, כשם שלא נכתב על קרוביו של כהן. והרמב"ן ביאר דלא נחשב 'דיחוי', דחד שמא הוא. ולא מקיים האי אלא בשעבר על האי. ולא דמי לסדין בציצית דהוה מצוה אחרת ואתי ודחי, והוה דיחוי. וכה"ג עבודה דחי שבת, ולא גמרי' מיניה דליתא ללאו בהכי.</w:t>
      </w:r>
    </w:p>
    <w:p w14:paraId="10556DAD" w14:textId="77777777" w:rsidR="00BE1D1C" w:rsidRPr="00012502" w:rsidRDefault="00000000" w:rsidP="00012502">
      <w:pPr>
        <w:pStyle w:val="a7"/>
        <w:bidi/>
        <w:rPr>
          <w:rFonts w:ascii="Narkisim" w:hAnsi="Narkisim"/>
        </w:rPr>
      </w:pPr>
      <w:r w:rsidRPr="00012502">
        <w:rPr>
          <w:rFonts w:ascii="Narkisim" w:hAnsi="Narkisim"/>
          <w:rtl/>
        </w:rPr>
        <w:t>וכ"כ ה</w:t>
      </w:r>
      <w:r w:rsidRPr="00012502">
        <w:rPr>
          <w:rFonts w:ascii="Narkisim" w:hAnsi="Narkisim"/>
          <w:b/>
          <w:bCs/>
          <w:rtl/>
        </w:rPr>
        <w:t>רמ"ה</w:t>
      </w:r>
      <w:r w:rsidRPr="00012502">
        <w:rPr>
          <w:rFonts w:ascii="Narkisim" w:hAnsi="Narkisim"/>
          <w:rtl/>
        </w:rPr>
        <w:t xml:space="preserve"> (סנהדרין נג:) דיבום לאו משום עשה דוחה ל"ת הוא דמידחי</w:t>
      </w:r>
      <w:r w:rsidRPr="00012502">
        <w:rPr>
          <w:rStyle w:val="ac"/>
          <w:rFonts w:ascii="Narkisim" w:hAnsi="Narkisim"/>
          <w:rtl/>
        </w:rPr>
        <w:footnoteReference w:id="135"/>
      </w:r>
      <w:r w:rsidRPr="00012502">
        <w:rPr>
          <w:rFonts w:ascii="Narkisim" w:hAnsi="Narkisim"/>
          <w:rtl/>
        </w:rPr>
        <w:t xml:space="preserve">, אלא משום דכיון </w:t>
      </w:r>
      <w:r w:rsidRPr="00012502">
        <w:rPr>
          <w:rFonts w:ascii="Narkisim" w:hAnsi="Narkisim"/>
          <w:rtl/>
        </w:rPr>
        <w:lastRenderedPageBreak/>
        <w:t>דלא משכחת יבום אלא גבי אשת אח ממילא שמעת דלא אסר רחמנא אשת אח אלא שלא במקום יבום, כגון היכא דיש לו זרע. ולא אסרה תורה כשמת בלא בנים</w:t>
      </w:r>
      <w:r w:rsidRPr="00012502">
        <w:rPr>
          <w:rStyle w:val="ac"/>
          <w:rFonts w:ascii="Narkisim" w:hAnsi="Narkisim"/>
          <w:rtl/>
        </w:rPr>
        <w:footnoteReference w:id="136"/>
      </w:r>
      <w:r w:rsidRPr="00012502">
        <w:rPr>
          <w:rFonts w:ascii="Narkisim" w:hAnsi="Narkisim"/>
          <w:rtl/>
        </w:rPr>
        <w:t>.</w:t>
      </w:r>
    </w:p>
    <w:p w14:paraId="385D4936"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(ט) כתב דכוונתם הוה בגדר 'היתר' מכח המצוה, וכדאמרי' (לקמן ז:) הואיל ואשתרי. אבל אין צד שאינו בכלל האיסור כלל וכמו חלב חיה [דהותר מכללו ואינו איסור כלל]. [וע' לקמן ח.].</w:t>
      </w:r>
    </w:p>
    <w:p w14:paraId="6DCE5B68" w14:textId="77777777" w:rsidR="00BE1D1C" w:rsidRPr="00012502" w:rsidRDefault="00000000" w:rsidP="00012502">
      <w:pPr>
        <w:bidi/>
        <w:rPr>
          <w:rFonts w:ascii="Narkisim" w:hAnsi="Narkisim" w:cs="Narkisim"/>
        </w:rPr>
      </w:pPr>
      <w:r w:rsidRPr="00012502">
        <w:rPr>
          <w:rFonts w:ascii="Narkisim" w:hAnsi="Narkisim" w:cs="Narkisim"/>
          <w:u w:val="single"/>
          <w:rtl/>
        </w:rPr>
        <w:t>בא"ד וכ"ת וכו' הכא תרי איסורי</w:t>
      </w:r>
      <w:r w:rsidRPr="00012502">
        <w:rPr>
          <w:rStyle w:val="ac"/>
          <w:rFonts w:ascii="Narkisim" w:hAnsi="Narkisim" w:cs="Narkisim"/>
          <w:rtl/>
        </w:rPr>
        <w:footnoteReference w:id="137"/>
      </w:r>
      <w:r w:rsidRPr="00012502">
        <w:rPr>
          <w:rFonts w:ascii="Narkisim" w:hAnsi="Narkisim" w:cs="Narkisim"/>
          <w:rtl/>
        </w:rPr>
        <w:t>, הא לא מפלגינן בשום מקום וילפי' אפי' תרי איסורי. וה</w:t>
      </w:r>
      <w:r w:rsidRPr="00012502">
        <w:rPr>
          <w:rFonts w:ascii="Narkisim" w:hAnsi="Narkisim" w:cs="Narkisim"/>
          <w:b/>
          <w:bCs/>
          <w:rtl/>
        </w:rPr>
        <w:t>אחרונים</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קובה"ע ח יד)</w:t>
      </w:r>
      <w:r w:rsidRPr="00012502">
        <w:rPr>
          <w:rFonts w:ascii="Narkisim" w:hAnsi="Narkisim" w:cs="Narkisim"/>
          <w:rtl/>
        </w:rPr>
        <w:t xml:space="preserve"> ציינו דב</w:t>
      </w:r>
      <w:r w:rsidRPr="00012502">
        <w:rPr>
          <w:rFonts w:ascii="Narkisim" w:hAnsi="Narkisim" w:cs="Narkisim"/>
          <w:b/>
          <w:bCs/>
          <w:rtl/>
        </w:rPr>
        <w:t>ראשונים</w:t>
      </w:r>
      <w:r w:rsidRPr="00012502">
        <w:rPr>
          <w:rFonts w:ascii="Narkisim" w:hAnsi="Narkisim" w:cs="Narkisim"/>
          <w:sz w:val="20"/>
          <w:szCs w:val="20"/>
          <w:rtl/>
        </w:rPr>
        <w:t xml:space="preserve"> (</w:t>
      </w:r>
      <w:r w:rsidRPr="00012502">
        <w:rPr>
          <w:rFonts w:ascii="Narkisim" w:hAnsi="Narkisim" w:cs="Narkisim"/>
          <w:b/>
          <w:bCs/>
          <w:sz w:val="20"/>
          <w:szCs w:val="20"/>
          <w:rtl/>
        </w:rPr>
        <w:t>רש"י</w:t>
      </w:r>
      <w:r w:rsidRPr="00012502">
        <w:rPr>
          <w:rFonts w:ascii="Narkisim" w:hAnsi="Narkisim" w:cs="Narkisim"/>
          <w:sz w:val="20"/>
          <w:szCs w:val="20"/>
          <w:rtl/>
        </w:rPr>
        <w:t xml:space="preserve"> ח. ד"ה ואבעי"א, </w:t>
      </w:r>
      <w:r w:rsidRPr="00012502">
        <w:rPr>
          <w:rFonts w:ascii="Narkisim" w:hAnsi="Narkisim" w:cs="Narkisim"/>
          <w:b/>
          <w:bCs/>
          <w:sz w:val="20"/>
          <w:szCs w:val="20"/>
          <w:rtl/>
        </w:rPr>
        <w:t>רמב"ן</w:t>
      </w:r>
      <w:r w:rsidRPr="00012502">
        <w:rPr>
          <w:rFonts w:ascii="Narkisim" w:hAnsi="Narkisim" w:cs="Narkisim"/>
          <w:sz w:val="20"/>
          <w:szCs w:val="20"/>
          <w:rtl/>
        </w:rPr>
        <w:t xml:space="preserve"> ו</w:t>
      </w:r>
      <w:r w:rsidRPr="00012502">
        <w:rPr>
          <w:rFonts w:ascii="Narkisim" w:hAnsi="Narkisim" w:cs="Narkisim"/>
          <w:b/>
          <w:bCs/>
          <w:sz w:val="20"/>
          <w:szCs w:val="20"/>
          <w:rtl/>
        </w:rPr>
        <w:t>רשב"א</w:t>
      </w:r>
      <w:r w:rsidRPr="00012502">
        <w:rPr>
          <w:rFonts w:ascii="Narkisim" w:hAnsi="Narkisim" w:cs="Narkisim"/>
          <w:sz w:val="20"/>
          <w:szCs w:val="20"/>
          <w:rtl/>
        </w:rPr>
        <w:t xml:space="preserve"> ז:, ו</w:t>
      </w:r>
      <w:r w:rsidRPr="00012502">
        <w:rPr>
          <w:rFonts w:ascii="Narkisim" w:hAnsi="Narkisim" w:cs="Narkisim"/>
          <w:b/>
          <w:bCs/>
          <w:sz w:val="20"/>
          <w:szCs w:val="20"/>
          <w:rtl/>
        </w:rPr>
        <w:t>ריטב"א</w:t>
      </w:r>
      <w:r w:rsidRPr="00012502">
        <w:rPr>
          <w:rFonts w:ascii="Narkisim" w:hAnsi="Narkisim" w:cs="Narkisim"/>
          <w:sz w:val="20"/>
          <w:szCs w:val="20"/>
          <w:rtl/>
        </w:rPr>
        <w:t xml:space="preserve"> ה:)</w:t>
      </w:r>
      <w:r w:rsidRPr="00012502">
        <w:rPr>
          <w:rFonts w:ascii="Narkisim" w:hAnsi="Narkisim" w:cs="Narkisim"/>
          <w:rtl/>
        </w:rPr>
        <w:t xml:space="preserve"> מבואר דפירשו דקושיית הגמ' (ז:) ללמוד מאשת אח לעלמא, שידחה עשה לל"ת [שיש בו כרת]. ובזה דחי הגמ' תרי איסורא, ועשה לא דחי ב' לאוין</w:t>
      </w:r>
      <w:r w:rsidRPr="00012502">
        <w:rPr>
          <w:rStyle w:val="ac"/>
          <w:rFonts w:ascii="Narkisim" w:hAnsi="Narkisim" w:cs="Narkisim"/>
          <w:rtl/>
        </w:rPr>
        <w:footnoteReference w:id="138"/>
      </w:r>
      <w:r w:rsidRPr="00012502">
        <w:rPr>
          <w:rFonts w:ascii="Narkisim" w:hAnsi="Narkisim" w:cs="Narkisim"/>
          <w:rtl/>
        </w:rPr>
        <w:t>. וה</w:t>
      </w:r>
      <w:r w:rsidRPr="00012502">
        <w:rPr>
          <w:rFonts w:ascii="Narkisim" w:hAnsi="Narkisim" w:cs="Narkisim"/>
          <w:b/>
          <w:bCs/>
          <w:rtl/>
        </w:rPr>
        <w:t>אחרונים</w:t>
      </w:r>
      <w:r w:rsidRPr="00012502">
        <w:rPr>
          <w:rFonts w:ascii="Narkisim" w:hAnsi="Narkisim" w:cs="Narkisim"/>
          <w:rtl/>
        </w:rPr>
        <w:t xml:space="preserve"> (שדה חמד מערכת ע כלל מ) האריכו בזה, והביאו שכ"כ ה</w:t>
      </w:r>
      <w:r w:rsidRPr="00012502">
        <w:rPr>
          <w:rFonts w:ascii="Narkisim" w:hAnsi="Narkisim" w:cs="Narkisim"/>
          <w:b/>
          <w:bCs/>
          <w:rtl/>
        </w:rPr>
        <w:t>ר"ש מקינון</w:t>
      </w:r>
      <w:r w:rsidRPr="00012502">
        <w:rPr>
          <w:rFonts w:ascii="Narkisim" w:hAnsi="Narkisim" w:cs="Narkisim"/>
          <w:rtl/>
        </w:rPr>
        <w:t xml:space="preserve"> (ס' הכריתות ג קסד</w:t>
      </w:r>
      <w:r w:rsidRPr="00012502">
        <w:rPr>
          <w:rStyle w:val="ac"/>
          <w:rFonts w:ascii="Narkisim" w:hAnsi="Narkisim" w:cs="Narkisim"/>
          <w:rtl/>
        </w:rPr>
        <w:footnoteReference w:id="139"/>
      </w:r>
      <w:r w:rsidRPr="00012502">
        <w:rPr>
          <w:rFonts w:ascii="Narkisim" w:hAnsi="Narkisim" w:cs="Narkisim"/>
          <w:rtl/>
        </w:rPr>
        <w:t>) דעשה לא דחי ב' ל"ת</w:t>
      </w:r>
      <w:r w:rsidRPr="00012502">
        <w:rPr>
          <w:rStyle w:val="ac"/>
          <w:rFonts w:ascii="Narkisim" w:hAnsi="Narkisim" w:cs="Narkisim"/>
          <w:rtl/>
        </w:rPr>
        <w:footnoteReference w:id="140"/>
      </w:r>
      <w:r w:rsidRPr="00012502">
        <w:rPr>
          <w:rFonts w:ascii="Narkisim" w:hAnsi="Narkisim" w:cs="Narkisim"/>
          <w:rtl/>
        </w:rPr>
        <w:t>.</w:t>
      </w:r>
    </w:p>
    <w:p w14:paraId="209586DD" w14:textId="77777777" w:rsidR="00BE1D1C" w:rsidRPr="00012502" w:rsidRDefault="00000000" w:rsidP="00012502">
      <w:pPr>
        <w:pStyle w:val="a8"/>
        <w:bidi/>
        <w:rPr>
          <w:rFonts w:ascii="Narkisim" w:hAnsi="Narkisim"/>
        </w:rPr>
      </w:pPr>
      <w:r w:rsidRPr="00012502">
        <w:rPr>
          <w:rFonts w:ascii="Narkisim" w:hAnsi="Narkisim"/>
          <w:rtl/>
        </w:rPr>
        <w:t xml:space="preserve">אבל </w:t>
      </w:r>
      <w:r w:rsidRPr="00012502">
        <w:rPr>
          <w:rFonts w:ascii="Narkisim" w:hAnsi="Narkisim"/>
          <w:b/>
          <w:bCs/>
          <w:rtl/>
        </w:rPr>
        <w:t>תוס</w:t>
      </w:r>
      <w:r w:rsidRPr="00012502">
        <w:rPr>
          <w:rFonts w:ascii="Narkisim" w:hAnsi="Narkisim"/>
          <w:rtl/>
        </w:rPr>
        <w:t>' נקטו מסברא דאין לחלק בזה, ודנים על כל לאו שנדחה בפנ"ע. וה</w:t>
      </w:r>
      <w:r w:rsidRPr="00012502">
        <w:rPr>
          <w:rFonts w:ascii="Narkisim" w:hAnsi="Narkisim"/>
          <w:b/>
          <w:bCs/>
          <w:rtl/>
        </w:rPr>
        <w:t>קובה"ע</w:t>
      </w:r>
      <w:r w:rsidRPr="00012502">
        <w:rPr>
          <w:rFonts w:ascii="Narkisim" w:hAnsi="Narkisim"/>
          <w:rtl/>
        </w:rPr>
        <w:t xml:space="preserve"> (ח יג) כת' דלפ"ז אף בל"ת ועשה דנים על כל א' בפנ"ע, והעשה לא דחי לעשה דמאי אולמי, אבל הל"ת נדחה</w:t>
      </w:r>
      <w:r w:rsidRPr="00012502">
        <w:rPr>
          <w:rStyle w:val="ac"/>
          <w:rFonts w:ascii="Narkisim" w:hAnsi="Narkisim"/>
          <w:rtl/>
        </w:rPr>
        <w:footnoteReference w:id="141"/>
      </w:r>
      <w:r w:rsidRPr="00012502">
        <w:rPr>
          <w:rFonts w:ascii="Narkisim" w:hAnsi="Narkisim"/>
          <w:rtl/>
        </w:rPr>
        <w:t>.</w:t>
      </w:r>
    </w:p>
    <w:p w14:paraId="23639D49" w14:textId="77777777" w:rsidR="00BE1D1C" w:rsidRPr="00012502" w:rsidRDefault="00000000" w:rsidP="00012502">
      <w:pPr>
        <w:pStyle w:val="a8"/>
        <w:bidi/>
        <w:rPr>
          <w:rFonts w:ascii="Narkisim" w:hAnsi="Narkisim"/>
        </w:rPr>
      </w:pPr>
      <w:r w:rsidRPr="00012502">
        <w:rPr>
          <w:rFonts w:ascii="Narkisim" w:hAnsi="Narkisim"/>
          <w:rtl/>
        </w:rPr>
        <w:t>וב</w:t>
      </w:r>
      <w:r w:rsidRPr="00012502">
        <w:rPr>
          <w:rFonts w:ascii="Narkisim" w:hAnsi="Narkisim"/>
          <w:b/>
          <w:bCs/>
          <w:rtl/>
        </w:rPr>
        <w:t>חי' הגר"נ</w:t>
      </w:r>
      <w:r w:rsidRPr="00012502">
        <w:rPr>
          <w:rFonts w:ascii="Narkisim" w:hAnsi="Narkisim"/>
          <w:rtl/>
        </w:rPr>
        <w:t xml:space="preserve"> ביאר דפליגי הראשונים בגדר עשה דוחה ל"ת, דתוס' ס"ל דלא נאמרה הל"ת במקום העשה [וכדברי רב' נסים גאון ע' בסמוך], ולא תליא בכח דחייתו. ולכן מה לי א' ומה לי ב'. אבל שאר ראשונים ס"ל דל"ת 'נדחה' מפני העשה, דהעשה אלים. אבל אינו אלים מב' לאוין (וע' בסמוך).</w:t>
      </w:r>
    </w:p>
    <w:p w14:paraId="3F95BA8F" w14:textId="77777777" w:rsidR="00BE1D1C" w:rsidRPr="00012502" w:rsidRDefault="00000000" w:rsidP="00012502">
      <w:pPr>
        <w:pStyle w:val="aa"/>
        <w:bidi/>
        <w:rPr>
          <w:rFonts w:ascii="Narkisim" w:hAnsi="Narkisim"/>
        </w:rPr>
      </w:pPr>
      <w:r w:rsidRPr="00012502">
        <w:rPr>
          <w:rFonts w:ascii="Narkisim" w:hAnsi="Narkisim"/>
          <w:u w:val="single"/>
          <w:rtl/>
        </w:rPr>
        <w:t>בא"ד אלא ע"כ וכו' אלא דוקא אחות אשה</w:t>
      </w:r>
      <w:r w:rsidRPr="00012502">
        <w:rPr>
          <w:rFonts w:ascii="Narkisim" w:hAnsi="Narkisim"/>
          <w:rtl/>
        </w:rPr>
        <w:t>. דהגמ' (לקמן ז) הוה ילפותא בפנ"ע לאיסור אחות אשה. (ויתבאר לקמן בעזה"י).</w:t>
      </w:r>
    </w:p>
    <w:p w14:paraId="6E22CCE6" w14:textId="77777777" w:rsidR="00BE1D1C" w:rsidRPr="00012502" w:rsidRDefault="00000000" w:rsidP="00012502">
      <w:pPr>
        <w:bidi/>
        <w:rPr>
          <w:rFonts w:ascii="Narkisim" w:hAnsi="Narkisim" w:cs="Narkisim"/>
        </w:rPr>
      </w:pPr>
      <w:r w:rsidRPr="00012502">
        <w:rPr>
          <w:rFonts w:ascii="Narkisim" w:hAnsi="Narkisim" w:cs="Narkisim"/>
          <w:u w:val="single"/>
          <w:rtl/>
        </w:rPr>
        <w:t>בא"ד (ד.) ואור"י דמאשת אח ל"מ למילף וכו' דמצותו בכך וא"א בענין אחר</w:t>
      </w:r>
      <w:r w:rsidRPr="00012502">
        <w:rPr>
          <w:rFonts w:ascii="Narkisim" w:hAnsi="Narkisim" w:cs="Narkisim"/>
          <w:rtl/>
        </w:rPr>
        <w:t xml:space="preserve">. יש </w:t>
      </w:r>
      <w:r w:rsidRPr="00012502">
        <w:rPr>
          <w:rFonts w:ascii="Narkisim" w:hAnsi="Narkisim" w:cs="Narkisim"/>
          <w:b/>
          <w:bCs/>
          <w:rtl/>
        </w:rPr>
        <w:t>אחרונים</w:t>
      </w:r>
      <w:r w:rsidRPr="00012502">
        <w:rPr>
          <w:rFonts w:ascii="Narkisim" w:hAnsi="Narkisim" w:cs="Narkisim"/>
          <w:rtl/>
        </w:rPr>
        <w:t xml:space="preserve"> (מנח"ח רסד ח, ביה"ל א לח) שהביאו דכוונת התוס' דחשיב 'הותרה' כיון דמצותו בכך. וכדברי הרמב"ן והרמ"ה (הנ"ל)</w:t>
      </w:r>
      <w:r w:rsidRPr="00012502">
        <w:rPr>
          <w:rStyle w:val="ac"/>
          <w:rFonts w:ascii="Narkisim" w:hAnsi="Narkisim" w:cs="Narkisim"/>
          <w:rtl/>
        </w:rPr>
        <w:footnoteReference w:id="142"/>
      </w:r>
      <w:r w:rsidRPr="00012502">
        <w:rPr>
          <w:rFonts w:ascii="Narkisim" w:hAnsi="Narkisim" w:cs="Narkisim"/>
          <w:rtl/>
        </w:rPr>
        <w:t>.</w:t>
      </w:r>
    </w:p>
    <w:p w14:paraId="481B824C" w14:textId="77777777" w:rsidR="00BE1D1C" w:rsidRPr="00012502" w:rsidRDefault="00000000" w:rsidP="00012502">
      <w:pPr>
        <w:pStyle w:val="a7"/>
        <w:bidi/>
        <w:rPr>
          <w:rFonts w:ascii="Narkisim" w:hAnsi="Narkisim"/>
        </w:rPr>
      </w:pPr>
      <w:r w:rsidRPr="00012502">
        <w:rPr>
          <w:rFonts w:ascii="Narkisim" w:hAnsi="Narkisim"/>
          <w:rtl/>
        </w:rPr>
        <w:t>אבל לשון ה</w:t>
      </w:r>
      <w:r w:rsidRPr="00012502">
        <w:rPr>
          <w:rFonts w:ascii="Narkisim" w:hAnsi="Narkisim"/>
          <w:b/>
          <w:bCs/>
          <w:rtl/>
        </w:rPr>
        <w:t>תוס'</w:t>
      </w:r>
      <w:r w:rsidRPr="00012502">
        <w:rPr>
          <w:rFonts w:ascii="Narkisim" w:hAnsi="Narkisim"/>
          <w:rtl/>
        </w:rPr>
        <w:t xml:space="preserve"> משמע דאף אחרי התי' יבום [וכן בגדי כהונה] הוה בגדר עשה דוחה ל"ת, אלא דלא ילפי' מיניה כיון דמצותו בכך. וה</w:t>
      </w:r>
      <w:r w:rsidRPr="00012502">
        <w:rPr>
          <w:rFonts w:ascii="Narkisim" w:hAnsi="Narkisim"/>
          <w:b/>
          <w:bCs/>
          <w:rtl/>
        </w:rPr>
        <w:t>אחרונים</w:t>
      </w:r>
      <w:r w:rsidRPr="00012502">
        <w:rPr>
          <w:rFonts w:ascii="Narkisim" w:hAnsi="Narkisim"/>
          <w:rtl/>
        </w:rPr>
        <w:t xml:space="preserve"> (אפיק"י א ז אות יד) הביאו דכן מבואר ב</w:t>
      </w:r>
      <w:r w:rsidRPr="00012502">
        <w:rPr>
          <w:rFonts w:ascii="Narkisim" w:hAnsi="Narkisim"/>
          <w:b/>
          <w:bCs/>
          <w:rtl/>
        </w:rPr>
        <w:t>תוס</w:t>
      </w:r>
      <w:r w:rsidRPr="00012502">
        <w:rPr>
          <w:rFonts w:ascii="Narkisim" w:hAnsi="Narkisim"/>
          <w:rtl/>
        </w:rPr>
        <w:t>' (ה: ד"ה כולה) דכת' מצוותו בכך וא"א בענין אחר לענין דלא ילפי' מיניה לעלמא. אך כתבו דגדר ההיתר [</w:t>
      </w:r>
      <w:r w:rsidRPr="00012502">
        <w:rPr>
          <w:rFonts w:ascii="Narkisim" w:hAnsi="Narkisim"/>
          <w:sz w:val="20"/>
          <w:szCs w:val="20"/>
          <w:rtl/>
        </w:rPr>
        <w:t xml:space="preserve">דכלאים בבגדי כהונה] </w:t>
      </w:r>
      <w:r w:rsidRPr="00012502">
        <w:rPr>
          <w:rFonts w:ascii="Narkisim" w:hAnsi="Narkisim"/>
          <w:rtl/>
        </w:rPr>
        <w:t>משום עשה דוחה ל"ת, ולא חשיב הותר מכללו</w:t>
      </w:r>
      <w:r w:rsidRPr="00012502">
        <w:rPr>
          <w:rStyle w:val="ac"/>
          <w:rFonts w:ascii="Narkisim" w:hAnsi="Narkisim"/>
          <w:rtl/>
        </w:rPr>
        <w:footnoteReference w:id="143"/>
      </w:r>
      <w:r w:rsidRPr="00012502">
        <w:rPr>
          <w:rFonts w:ascii="Narkisim" w:hAnsi="Narkisim"/>
          <w:rtl/>
        </w:rPr>
        <w:t>. [אך ה</w:t>
      </w:r>
      <w:r w:rsidRPr="00012502">
        <w:rPr>
          <w:rFonts w:ascii="Narkisim" w:hAnsi="Narkisim"/>
          <w:b/>
          <w:bCs/>
          <w:rtl/>
        </w:rPr>
        <w:t>אחרונים</w:t>
      </w:r>
      <w:r w:rsidRPr="00012502">
        <w:rPr>
          <w:rFonts w:ascii="Narkisim" w:hAnsi="Narkisim"/>
          <w:rtl/>
        </w:rPr>
        <w:t xml:space="preserve"> כת' דלעולם י"ל דהך עשה דוחה ל"ת הוה דחויה ולא הותרה].</w:t>
      </w:r>
    </w:p>
    <w:p w14:paraId="6262896E" w14:textId="77777777" w:rsidR="00BE1D1C" w:rsidRPr="00012502" w:rsidRDefault="00000000" w:rsidP="00012502">
      <w:pPr>
        <w:bidi/>
        <w:rPr>
          <w:rFonts w:ascii="Narkisim" w:hAnsi="Narkisim" w:cs="Narkisim"/>
        </w:rPr>
      </w:pPr>
      <w:r w:rsidRPr="00012502">
        <w:rPr>
          <w:rFonts w:ascii="Narkisim" w:hAnsi="Narkisim" w:cs="Narkisim"/>
          <w:u w:val="single"/>
          <w:rtl/>
        </w:rPr>
        <w:t>בא"ד וכן וגילח וכו' מקיים בשער דהיתר.</w:t>
      </w:r>
      <w:r w:rsidRPr="00012502">
        <w:rPr>
          <w:rFonts w:ascii="Narkisim" w:hAnsi="Narkisim" w:cs="Narkisim"/>
          <w:rtl/>
        </w:rPr>
        <w:t xml:space="preserve"> ה</w:t>
      </w:r>
      <w:r w:rsidRPr="00012502">
        <w:rPr>
          <w:rFonts w:ascii="Narkisim" w:hAnsi="Narkisim" w:cs="Narkisim"/>
          <w:b/>
          <w:bCs/>
          <w:rtl/>
        </w:rPr>
        <w:t>אחרונים</w:t>
      </w:r>
      <w:r w:rsidRPr="00012502">
        <w:rPr>
          <w:rFonts w:ascii="Narkisim" w:hAnsi="Narkisim" w:cs="Narkisim"/>
          <w:rtl/>
        </w:rPr>
        <w:t xml:space="preserve"> הקשו דאם גילח ושייר ב' שערות לא עשה כלום [וכדאי' ב"ק קה.]. וה</w:t>
      </w:r>
      <w:r w:rsidRPr="00012502">
        <w:rPr>
          <w:rFonts w:ascii="Narkisim" w:hAnsi="Narkisim" w:cs="Narkisim"/>
          <w:b/>
          <w:bCs/>
          <w:rtl/>
        </w:rPr>
        <w:t>אמר"מ</w:t>
      </w:r>
      <w:r w:rsidRPr="00012502">
        <w:rPr>
          <w:rFonts w:ascii="Narkisim" w:hAnsi="Narkisim" w:cs="Narkisim"/>
          <w:rtl/>
        </w:rPr>
        <w:t xml:space="preserve"> (יב ג) הביא דמבואר בתוס' דמצוות גילוח הוה רק בב' שערות האחרונות</w:t>
      </w:r>
      <w:r w:rsidRPr="00012502">
        <w:rPr>
          <w:rStyle w:val="ac"/>
          <w:rFonts w:ascii="Narkisim" w:hAnsi="Narkisim" w:cs="Narkisim"/>
          <w:rtl/>
        </w:rPr>
        <w:footnoteReference w:id="144"/>
      </w:r>
      <w:r w:rsidRPr="00012502">
        <w:rPr>
          <w:rFonts w:ascii="Narkisim" w:hAnsi="Narkisim" w:cs="Narkisim"/>
          <w:rtl/>
        </w:rPr>
        <w:t>, וכוונת התוס' דיכול לסלק פאת הראש ע"י סם</w:t>
      </w:r>
      <w:r w:rsidRPr="00012502">
        <w:rPr>
          <w:rStyle w:val="ac"/>
          <w:rFonts w:ascii="Narkisim" w:hAnsi="Narkisim" w:cs="Narkisim"/>
          <w:rtl/>
        </w:rPr>
        <w:footnoteReference w:id="145"/>
      </w:r>
      <w:r w:rsidRPr="00012502">
        <w:rPr>
          <w:rFonts w:ascii="Narkisim" w:hAnsi="Narkisim" w:cs="Narkisim"/>
          <w:rtl/>
        </w:rPr>
        <w:t xml:space="preserve">, ויניח ב' שערות </w:t>
      </w:r>
      <w:r w:rsidRPr="00012502">
        <w:rPr>
          <w:rFonts w:ascii="Narkisim" w:hAnsi="Narkisim" w:cs="Narkisim"/>
          <w:rtl/>
        </w:rPr>
        <w:lastRenderedPageBreak/>
        <w:t>[שלא בפאות] לגלח בתער.</w:t>
      </w:r>
    </w:p>
    <w:p w14:paraId="793F2968" w14:textId="77777777" w:rsidR="00BE1D1C" w:rsidRPr="00012502" w:rsidRDefault="00000000" w:rsidP="00012502">
      <w:pPr>
        <w:pStyle w:val="a7"/>
        <w:bidi/>
        <w:rPr>
          <w:rFonts w:ascii="Narkisim" w:hAnsi="Narkisim"/>
        </w:rPr>
      </w:pPr>
      <w:r w:rsidRPr="00012502">
        <w:rPr>
          <w:rFonts w:ascii="Narkisim" w:hAnsi="Narkisim"/>
          <w:rtl/>
        </w:rPr>
        <w:t>וב</w:t>
      </w:r>
      <w:r w:rsidRPr="00012502">
        <w:rPr>
          <w:rFonts w:ascii="Narkisim" w:hAnsi="Narkisim"/>
          <w:b/>
          <w:bCs/>
          <w:rtl/>
        </w:rPr>
        <w:t>חי' ר' שלמה</w:t>
      </w:r>
      <w:r w:rsidRPr="00012502">
        <w:rPr>
          <w:rFonts w:ascii="Narkisim" w:hAnsi="Narkisim"/>
          <w:rtl/>
        </w:rPr>
        <w:t xml:space="preserve"> </w:t>
      </w:r>
      <w:r w:rsidRPr="00012502">
        <w:rPr>
          <w:rFonts w:ascii="Narkisim" w:hAnsi="Narkisim"/>
          <w:szCs w:val="20"/>
          <w:rtl/>
        </w:rPr>
        <w:t>(</w:t>
      </w:r>
      <w:r w:rsidRPr="00012502">
        <w:rPr>
          <w:rFonts w:ascii="Narkisim" w:hAnsi="Narkisim"/>
          <w:sz w:val="20"/>
          <w:szCs w:val="20"/>
          <w:rtl/>
        </w:rPr>
        <w:t>ג וכעי"ז בחי' ר' שמעון ו)</w:t>
      </w:r>
      <w:r w:rsidRPr="00012502">
        <w:rPr>
          <w:rFonts w:ascii="Narkisim" w:hAnsi="Narkisim"/>
          <w:rtl/>
        </w:rPr>
        <w:t xml:space="preserve"> כת' דכוונת התוס' דאילו לא היה דוחה ל"ת אינו בכלל מצוות גילוח. אבל השתא דהדין עשה דוחה ל"ת הוה בכלל מצות גילוח, ואם לא יגלח אסור לביתו. ולכן שייך סברת גדול השלום. </w:t>
      </w:r>
      <w:r w:rsidRPr="00012502">
        <w:rPr>
          <w:rFonts w:ascii="Narkisim" w:hAnsi="Narkisim"/>
          <w:sz w:val="20"/>
          <w:szCs w:val="20"/>
          <w:rtl/>
        </w:rPr>
        <w:t>[וצ"ב דלולי הא דגדול השלום, לא דחי. ומתקיים בזה גילוח].</w:t>
      </w:r>
    </w:p>
    <w:p w14:paraId="072482EE" w14:textId="77777777" w:rsidR="00BE1D1C" w:rsidRPr="00012502" w:rsidRDefault="00000000" w:rsidP="00012502">
      <w:pPr>
        <w:pStyle w:val="3"/>
        <w:bidi/>
        <w:rPr>
          <w:rFonts w:ascii="Narkisim" w:hAnsi="Narkisim"/>
        </w:rPr>
      </w:pPr>
      <w:r w:rsidRPr="00012502">
        <w:rPr>
          <w:rFonts w:ascii="Narkisim" w:hAnsi="Narkisim"/>
          <w:rtl/>
        </w:rPr>
        <w:t>דף ד.</w:t>
      </w:r>
    </w:p>
    <w:p w14:paraId="1EBF9996" w14:textId="77777777" w:rsidR="00BE1D1C" w:rsidRPr="00012502" w:rsidRDefault="00000000" w:rsidP="00012502">
      <w:pPr>
        <w:pStyle w:val="2"/>
        <w:bidi/>
        <w:rPr>
          <w:rFonts w:ascii="Narkisim" w:hAnsi="Narkisim"/>
          <w:sz w:val="21"/>
        </w:rPr>
      </w:pPr>
      <w:r w:rsidRPr="00012502">
        <w:rPr>
          <w:rFonts w:ascii="Narkisim" w:hAnsi="Narkisim"/>
          <w:sz w:val="21"/>
          <w:rtl/>
        </w:rPr>
        <w:t>עשה דוחה ל"ת</w:t>
      </w:r>
    </w:p>
    <w:p w14:paraId="3773E104" w14:textId="77777777" w:rsidR="00BE1D1C" w:rsidRPr="00012502" w:rsidRDefault="00000000" w:rsidP="00012502">
      <w:pPr>
        <w:bidi/>
        <w:rPr>
          <w:rFonts w:ascii="Narkisim" w:hAnsi="Narkisim" w:cs="Narkisim"/>
        </w:rPr>
      </w:pPr>
      <w:r w:rsidRPr="00012502">
        <w:rPr>
          <w:rFonts w:ascii="Narkisim" w:hAnsi="Narkisim" w:cs="Narkisim"/>
          <w:u w:val="single"/>
          <w:rtl/>
        </w:rPr>
        <w:t>[ג:] ל"ת גרידא מנלן דדחי, דכתיב לא תלבש שעטנז גדילים תעשה לך וכו'</w:t>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ושרינן כלאים בציצית, אלמא אתי עשה ודחי לל"ת.</w:t>
      </w:r>
    </w:p>
    <w:p w14:paraId="738C21E7" w14:textId="77777777" w:rsidR="00BE1D1C" w:rsidRPr="00012502" w:rsidRDefault="00000000" w:rsidP="00012502">
      <w:pPr>
        <w:pStyle w:val="a7"/>
        <w:bidi/>
        <w:rPr>
          <w:rFonts w:ascii="Narkisim" w:hAnsi="Narkisim"/>
        </w:rPr>
      </w:pPr>
      <w:r w:rsidRPr="00012502">
        <w:rPr>
          <w:rFonts w:ascii="Narkisim" w:hAnsi="Narkisim"/>
          <w:b/>
          <w:bCs/>
          <w:rtl/>
        </w:rPr>
        <w:t>רבינו נסים גאון</w:t>
      </w:r>
      <w:r w:rsidRPr="00012502">
        <w:rPr>
          <w:rFonts w:ascii="Narkisim" w:hAnsi="Narkisim"/>
          <w:rtl/>
        </w:rPr>
        <w:t xml:space="preserve"> (עה"ג שבת קלג.) הביא שיש ששואלים דאזהרת לאו חמור ממצות עשה</w:t>
      </w:r>
      <w:r w:rsidRPr="00012502">
        <w:rPr>
          <w:rStyle w:val="ac"/>
          <w:rFonts w:ascii="Narkisim" w:hAnsi="Narkisim"/>
          <w:rtl/>
        </w:rPr>
        <w:footnoteReference w:id="146"/>
      </w:r>
      <w:r w:rsidRPr="00012502">
        <w:rPr>
          <w:rFonts w:ascii="Narkisim" w:hAnsi="Narkisim"/>
          <w:rtl/>
        </w:rPr>
        <w:t>, א"כ האיך יבא עשה וידחה לל"ת</w:t>
      </w:r>
      <w:r w:rsidRPr="00012502">
        <w:rPr>
          <w:rStyle w:val="ac"/>
          <w:rFonts w:ascii="Narkisim" w:hAnsi="Narkisim"/>
          <w:rtl/>
        </w:rPr>
        <w:footnoteReference w:id="147"/>
      </w:r>
      <w:r w:rsidRPr="00012502">
        <w:rPr>
          <w:rFonts w:ascii="Narkisim" w:hAnsi="Narkisim"/>
          <w:rtl/>
        </w:rPr>
        <w:t>. ור' נסים (שם קלג:) ביאר דעשה דוחה ל"ת משום דאזהרת הלאו כך נאמרה על התנאי. דכל לאו [שאין בו כרת] נאמרה באופן דהיכא דאירע מצות עשה נדחית הלאו [ולא נחוש לאזהרת הלאו], דהלאו נאמר על תנאי</w:t>
      </w:r>
      <w:r w:rsidRPr="00012502">
        <w:rPr>
          <w:rStyle w:val="ac"/>
          <w:rFonts w:ascii="Narkisim" w:hAnsi="Narkisim"/>
          <w:rtl/>
        </w:rPr>
        <w:footnoteReference w:id="148"/>
      </w:r>
      <w:r w:rsidRPr="00012502">
        <w:rPr>
          <w:rFonts w:ascii="Narkisim" w:hAnsi="Narkisim"/>
          <w:rtl/>
        </w:rPr>
        <w:t xml:space="preserve">. </w:t>
      </w:r>
      <w:r w:rsidRPr="00012502">
        <w:rPr>
          <w:rFonts w:ascii="Narkisim" w:hAnsi="Narkisim"/>
          <w:sz w:val="20"/>
          <w:szCs w:val="20"/>
          <w:rtl/>
        </w:rPr>
        <w:t>וכ"כ ה</w:t>
      </w:r>
      <w:r w:rsidRPr="00012502">
        <w:rPr>
          <w:rFonts w:ascii="Narkisim" w:hAnsi="Narkisim"/>
          <w:b/>
          <w:bCs/>
          <w:sz w:val="20"/>
          <w:szCs w:val="20"/>
          <w:rtl/>
        </w:rPr>
        <w:t>שואל</w:t>
      </w:r>
      <w:r w:rsidRPr="00012502">
        <w:rPr>
          <w:rFonts w:ascii="Narkisim" w:hAnsi="Narkisim"/>
          <w:sz w:val="20"/>
          <w:szCs w:val="20"/>
          <w:rtl/>
        </w:rPr>
        <w:t xml:space="preserve"> ב</w:t>
      </w:r>
      <w:r w:rsidRPr="00012502">
        <w:rPr>
          <w:rFonts w:ascii="Narkisim" w:hAnsi="Narkisim"/>
          <w:b/>
          <w:bCs/>
          <w:sz w:val="20"/>
          <w:szCs w:val="20"/>
          <w:rtl/>
        </w:rPr>
        <w:t>מהרי"ק</w:t>
      </w:r>
      <w:r w:rsidRPr="00012502">
        <w:rPr>
          <w:rFonts w:ascii="Narkisim" w:hAnsi="Narkisim"/>
          <w:sz w:val="20"/>
          <w:szCs w:val="20"/>
          <w:rtl/>
        </w:rPr>
        <w:t xml:space="preserve"> (קלט), והמהרי"ק הקשה דהלשון 'דוחה' לא משמע כן.</w:t>
      </w:r>
    </w:p>
    <w:p w14:paraId="61FD97BF" w14:textId="77777777" w:rsidR="00BE1D1C" w:rsidRPr="00012502" w:rsidRDefault="00000000" w:rsidP="00012502">
      <w:pPr>
        <w:pStyle w:val="a8"/>
        <w:bidi/>
        <w:rPr>
          <w:rFonts w:ascii="Narkisim" w:hAnsi="Narkisim"/>
        </w:rPr>
      </w:pPr>
      <w:r w:rsidRPr="00012502">
        <w:rPr>
          <w:rFonts w:ascii="Narkisim" w:hAnsi="Narkisim"/>
          <w:rtl/>
        </w:rPr>
        <w:t xml:space="preserve">וכעי"ז כתב </w:t>
      </w:r>
      <w:r w:rsidRPr="00012502">
        <w:rPr>
          <w:rFonts w:ascii="Narkisim" w:hAnsi="Narkisim"/>
          <w:b/>
          <w:bCs/>
          <w:rtl/>
        </w:rPr>
        <w:t>החינוך</w:t>
      </w:r>
      <w:r w:rsidRPr="00012502">
        <w:rPr>
          <w:rFonts w:ascii="Narkisim" w:hAnsi="Narkisim"/>
          <w:rtl/>
        </w:rPr>
        <w:t xml:space="preserve"> (תקפד) דבכל עשה דוחה ל"ת הוה כאילו התורה אמרה לא מנעתיך במקום עשה זה. אבל ל"ת שהחמיר בו הכתוב שחייב כרת, הו"ל כאילו אמרה תורה עשה דבר פלוני כל זמן שלא יצטרך לעבור בלאו פלוני</w:t>
      </w:r>
      <w:r w:rsidRPr="00012502">
        <w:rPr>
          <w:rStyle w:val="ac"/>
          <w:rFonts w:ascii="Narkisim" w:hAnsi="Narkisim"/>
          <w:rtl/>
        </w:rPr>
        <w:footnoteReference w:id="149"/>
      </w:r>
      <w:r w:rsidRPr="00012502">
        <w:rPr>
          <w:rFonts w:ascii="Narkisim" w:hAnsi="Narkisim"/>
          <w:rtl/>
        </w:rPr>
        <w:t>.</w:t>
      </w:r>
    </w:p>
    <w:p w14:paraId="58B36BE7"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רמב"ן</w:t>
      </w:r>
      <w:r w:rsidRPr="00012502">
        <w:rPr>
          <w:rFonts w:ascii="Narkisim" w:hAnsi="Narkisim"/>
          <w:rtl/>
        </w:rPr>
        <w:t xml:space="preserve"> עה"ת</w:t>
      </w:r>
      <w:r w:rsidRPr="00012502">
        <w:rPr>
          <w:rFonts w:ascii="Narkisim" w:hAnsi="Narkisim"/>
          <w:sz w:val="20"/>
          <w:szCs w:val="20"/>
          <w:rtl/>
        </w:rPr>
        <w:t xml:space="preserve"> (שמות כ ח, וכעי"ז בס' החרדים הקדמה למ"ע סו)</w:t>
      </w:r>
      <w:r w:rsidRPr="00012502">
        <w:rPr>
          <w:rFonts w:ascii="Narkisim" w:hAnsi="Narkisim"/>
          <w:rtl/>
        </w:rPr>
        <w:t xml:space="preserve"> כתב דמצוות עשה גדולה ממצות ל"ת, דמצוות עשה הוא ממידת האהבה, ואהבה גדולה מהיראה. אבל עונש הל"ת חמור מהעשה. [והאחרונים הק' מהגמ' לקמן ז., ויתבאר לקמן].</w:t>
      </w:r>
    </w:p>
    <w:p w14:paraId="763F5DDF" w14:textId="77777777" w:rsidR="00BE1D1C" w:rsidRPr="00012502" w:rsidRDefault="00000000" w:rsidP="00012502">
      <w:pPr>
        <w:pStyle w:val="aa"/>
        <w:bidi/>
        <w:rPr>
          <w:rFonts w:ascii="Narkisim" w:hAnsi="Narkisim"/>
        </w:rPr>
      </w:pPr>
      <w:r w:rsidRPr="00012502">
        <w:rPr>
          <w:rFonts w:ascii="Narkisim" w:hAnsi="Narkisim"/>
          <w:rtl/>
        </w:rPr>
        <w:t>וריש לקיש (לקמן כ:, מנחות מ. וכ"מ) אמר דבכל מקום שאפשר לקיים שניהם לא אמרי' דעשה דוחה ל"ת</w:t>
      </w:r>
      <w:r w:rsidRPr="00012502">
        <w:rPr>
          <w:rStyle w:val="ac"/>
          <w:rFonts w:ascii="Narkisim" w:hAnsi="Narkisim"/>
          <w:rtl/>
        </w:rPr>
        <w:footnoteReference w:id="150"/>
      </w:r>
      <w:r w:rsidRPr="00012502">
        <w:rPr>
          <w:rFonts w:ascii="Narkisim" w:hAnsi="Narkisim"/>
          <w:rtl/>
        </w:rPr>
        <w:t>. ובפשוטו מבואר דגדר עשה דוחה ל"ת דהוה 'דחויה', דכל היכא דאפשר מהדרינן לעשות בהיתר</w:t>
      </w:r>
      <w:r w:rsidRPr="00012502">
        <w:rPr>
          <w:rStyle w:val="ac"/>
          <w:rFonts w:ascii="Narkisim" w:hAnsi="Narkisim"/>
          <w:rtl/>
        </w:rPr>
        <w:footnoteReference w:id="151"/>
      </w:r>
      <w:r w:rsidRPr="00012502">
        <w:rPr>
          <w:rFonts w:ascii="Narkisim" w:hAnsi="Narkisim"/>
          <w:rtl/>
        </w:rPr>
        <w:t>.</w:t>
      </w:r>
    </w:p>
    <w:p w14:paraId="780135DC" w14:textId="77777777" w:rsidR="00BE1D1C" w:rsidRPr="00012502" w:rsidRDefault="00000000" w:rsidP="00012502">
      <w:pPr>
        <w:bidi/>
        <w:rPr>
          <w:rFonts w:ascii="Narkisim" w:hAnsi="Narkisim" w:cs="Narkisim"/>
        </w:rPr>
      </w:pPr>
      <w:r w:rsidRPr="00012502">
        <w:rPr>
          <w:rFonts w:ascii="Narkisim" w:hAnsi="Narkisim" w:cs="Narkisim"/>
          <w:u w:val="single"/>
          <w:rtl/>
        </w:rPr>
        <w:t>שם. דכתיב לא תלבש, גדילים תעשה לך.</w:t>
      </w:r>
      <w:r w:rsidRPr="00012502">
        <w:rPr>
          <w:rFonts w:ascii="Narkisim" w:hAnsi="Narkisim" w:cs="Narkisim"/>
          <w:rtl/>
        </w:rPr>
        <w:t xml:space="preserve"> דילפי' דעשה דציצית דחי לל"ת דכלאים.</w:t>
      </w:r>
    </w:p>
    <w:p w14:paraId="617C30E1" w14:textId="77777777" w:rsidR="00BE1D1C" w:rsidRPr="00012502" w:rsidRDefault="00000000" w:rsidP="00012502">
      <w:pPr>
        <w:pStyle w:val="a7"/>
        <w:bidi/>
        <w:rPr>
          <w:rFonts w:ascii="Narkisim" w:hAnsi="Narkisim"/>
        </w:rPr>
      </w:pPr>
      <w:r w:rsidRPr="00012502">
        <w:rPr>
          <w:rFonts w:ascii="Narkisim" w:hAnsi="Narkisim"/>
          <w:rtl/>
        </w:rPr>
        <w:t xml:space="preserve">אך דעת </w:t>
      </w:r>
      <w:r w:rsidRPr="00012502">
        <w:rPr>
          <w:rFonts w:ascii="Narkisim" w:hAnsi="Narkisim"/>
          <w:b/>
          <w:bCs/>
          <w:rtl/>
        </w:rPr>
        <w:t>ר"ת</w:t>
      </w:r>
      <w:r w:rsidRPr="00012502">
        <w:rPr>
          <w:rFonts w:ascii="Narkisim" w:hAnsi="Narkisim"/>
          <w:rtl/>
        </w:rPr>
        <w:t xml:space="preserve"> (</w:t>
      </w:r>
      <w:r w:rsidRPr="00012502">
        <w:rPr>
          <w:rFonts w:ascii="Narkisim" w:hAnsi="Narkisim"/>
          <w:sz w:val="20"/>
          <w:szCs w:val="20"/>
          <w:rtl/>
        </w:rPr>
        <w:t xml:space="preserve">בתוס' מנחות מא.) </w:t>
      </w:r>
      <w:r w:rsidRPr="00012502">
        <w:rPr>
          <w:rFonts w:ascii="Narkisim" w:hAnsi="Narkisim"/>
          <w:rtl/>
        </w:rPr>
        <w:t xml:space="preserve">דכלאים בציצית הותר אף שלא במקום מצוה. ולכאו' כוונתו דהוה בגדר הותרה, ולא שנדחית איסור כלאים מפני העשה. </w:t>
      </w:r>
      <w:r w:rsidRPr="00012502">
        <w:rPr>
          <w:rFonts w:ascii="Narkisim" w:hAnsi="Narkisim"/>
          <w:szCs w:val="20"/>
          <w:rtl/>
        </w:rPr>
        <w:t>(ע' בע"ב).</w:t>
      </w:r>
      <w:r w:rsidRPr="00012502">
        <w:rPr>
          <w:rFonts w:ascii="Narkisim" w:hAnsi="Narkisim"/>
          <w:rtl/>
        </w:rPr>
        <w:t xml:space="preserve"> </w:t>
      </w:r>
      <w:r w:rsidRPr="00012502">
        <w:rPr>
          <w:rFonts w:ascii="Narkisim" w:hAnsi="Narkisim"/>
          <w:sz w:val="20"/>
          <w:szCs w:val="20"/>
          <w:rtl/>
        </w:rPr>
        <w:t>וכ"כ ה</w:t>
      </w:r>
      <w:r w:rsidRPr="00012502">
        <w:rPr>
          <w:rFonts w:ascii="Narkisim" w:hAnsi="Narkisim"/>
          <w:b/>
          <w:bCs/>
          <w:sz w:val="20"/>
          <w:szCs w:val="20"/>
          <w:rtl/>
        </w:rPr>
        <w:t>רמב"ן</w:t>
      </w:r>
      <w:r w:rsidRPr="00012502">
        <w:rPr>
          <w:rFonts w:ascii="Narkisim" w:hAnsi="Narkisim"/>
          <w:sz w:val="20"/>
          <w:szCs w:val="20"/>
          <w:rtl/>
        </w:rPr>
        <w:t xml:space="preserve"> (שבת קלב:, והרמב"ן ד: בשם </w:t>
      </w:r>
      <w:r w:rsidRPr="00012502">
        <w:rPr>
          <w:rFonts w:ascii="Narkisim" w:hAnsi="Narkisim"/>
          <w:b/>
          <w:bCs/>
          <w:sz w:val="20"/>
          <w:szCs w:val="20"/>
          <w:rtl/>
        </w:rPr>
        <w:t>י"מ</w:t>
      </w:r>
      <w:r w:rsidRPr="00012502">
        <w:rPr>
          <w:rFonts w:ascii="Narkisim" w:hAnsi="Narkisim"/>
          <w:sz w:val="20"/>
          <w:szCs w:val="20"/>
          <w:rtl/>
        </w:rPr>
        <w:t>, ע' מש"כ בע"ב) דכלאים בציצית ילפי' משום סמוכים, ולא אתינן עלה משום עשה דוחה ל"ת</w:t>
      </w:r>
      <w:r w:rsidRPr="00012502">
        <w:rPr>
          <w:rFonts w:ascii="Narkisim" w:hAnsi="Narkisim"/>
          <w:rtl/>
        </w:rPr>
        <w:t>.</w:t>
      </w:r>
    </w:p>
    <w:p w14:paraId="746C2098"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(ד:) דחה</w:t>
      </w:r>
      <w:r w:rsidRPr="00012502">
        <w:rPr>
          <w:rStyle w:val="ac"/>
          <w:rFonts w:ascii="Narkisim" w:hAnsi="Narkisim"/>
          <w:rtl/>
        </w:rPr>
        <w:footnoteReference w:id="152"/>
      </w:r>
      <w:r w:rsidRPr="00012502">
        <w:rPr>
          <w:rFonts w:ascii="Narkisim" w:hAnsi="Narkisim"/>
          <w:rtl/>
        </w:rPr>
        <w:t xml:space="preserve"> דילפינן מציצית לכה"ת דעדל"ת, ונילף אפי' אפשר לקיים שניהם.</w:t>
      </w:r>
    </w:p>
    <w:p w14:paraId="732B66E5"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(ט ג) כת' דמבואר [בדעת ר"ת והרמב"ן שבת] דאפשר ללמוד גדר דחויה מהותרה, דיסוד ההיתר משום מצות ציצית. ויש ללמוד עדל"ת. </w:t>
      </w:r>
      <w:r w:rsidRPr="00012502">
        <w:rPr>
          <w:rFonts w:ascii="Narkisim" w:hAnsi="Narkisim"/>
          <w:sz w:val="20"/>
          <w:szCs w:val="20"/>
          <w:rtl/>
        </w:rPr>
        <w:t>[אלא דהקשה אמאי לא נילף גדר הותרה בכל עדל"ת, ואף במקום דאפשר לקיים שניהם].</w:t>
      </w:r>
      <w:r w:rsidRPr="00012502">
        <w:rPr>
          <w:rFonts w:ascii="Narkisim" w:hAnsi="Narkisim"/>
          <w:rtl/>
        </w:rPr>
        <w:t xml:space="preserve"> וה</w:t>
      </w:r>
      <w:r w:rsidRPr="00012502">
        <w:rPr>
          <w:rFonts w:ascii="Narkisim" w:hAnsi="Narkisim"/>
          <w:b/>
          <w:bCs/>
          <w:rtl/>
        </w:rPr>
        <w:t>אחרונים</w:t>
      </w:r>
      <w:r w:rsidRPr="00012502">
        <w:rPr>
          <w:rFonts w:ascii="Narkisim" w:hAnsi="Narkisim"/>
          <w:rtl/>
        </w:rPr>
        <w:t xml:space="preserve"> </w:t>
      </w:r>
      <w:r w:rsidRPr="00012502">
        <w:rPr>
          <w:rFonts w:ascii="Narkisim" w:hAnsi="Narkisim"/>
          <w:szCs w:val="20"/>
          <w:rtl/>
        </w:rPr>
        <w:t>(חי' ר' שמעון ור' נחום)</w:t>
      </w:r>
      <w:r w:rsidRPr="00012502">
        <w:rPr>
          <w:rFonts w:ascii="Narkisim" w:hAnsi="Narkisim"/>
          <w:rtl/>
        </w:rPr>
        <w:t xml:space="preserve"> ביארו דהיסוד עשה דוחה ל"ת שהתורה התירה כדי לקיים המצוה, ובמקום דסגי בדין דיחוי הוה דחויה. אבל במקום שכדי לקיים מצוות העשה בעינן להתיר לגמרי הוה גדר הותרה. </w:t>
      </w:r>
      <w:r w:rsidRPr="00012502">
        <w:rPr>
          <w:rFonts w:ascii="Narkisim" w:hAnsi="Narkisim"/>
          <w:sz w:val="20"/>
          <w:szCs w:val="20"/>
          <w:rtl/>
        </w:rPr>
        <w:t>וה</w:t>
      </w:r>
      <w:r w:rsidRPr="00012502">
        <w:rPr>
          <w:rFonts w:ascii="Narkisim" w:hAnsi="Narkisim"/>
          <w:b/>
          <w:bCs/>
          <w:sz w:val="20"/>
          <w:szCs w:val="20"/>
          <w:rtl/>
        </w:rPr>
        <w:t>אחרונים</w:t>
      </w:r>
      <w:r w:rsidRPr="00012502">
        <w:rPr>
          <w:rFonts w:ascii="Narkisim" w:hAnsi="Narkisim"/>
          <w:sz w:val="20"/>
          <w:szCs w:val="20"/>
          <w:rtl/>
        </w:rPr>
        <w:t xml:space="preserve"> ביארו דבכלאים בציצית אין חיוב ללבוש הבגד, ואילו היה דחויה הדין דמהדרינן שלא לעבור, ולהוריד את הבגד [וע' </w:t>
      </w:r>
      <w:r w:rsidRPr="00012502">
        <w:rPr>
          <w:rFonts w:ascii="Narkisim" w:hAnsi="Narkisim"/>
          <w:sz w:val="20"/>
          <w:szCs w:val="20"/>
          <w:rtl/>
        </w:rPr>
        <w:lastRenderedPageBreak/>
        <w:t>מש"כ בזה בע"ב].</w:t>
      </w:r>
    </w:p>
    <w:p w14:paraId="63174CCF"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רמב"ן</w:t>
      </w:r>
      <w:r w:rsidRPr="00012502">
        <w:rPr>
          <w:rFonts w:ascii="Narkisim" w:hAnsi="Narkisim" w:cs="Narkisim"/>
          <w:rtl/>
        </w:rPr>
        <w:t xml:space="preserve"> (ג:) הק' היכי ילפי' מציצית לכה"ת, דשאני ציצית דשקולה כנגד כל המצוות</w:t>
      </w:r>
      <w:r w:rsidRPr="00012502">
        <w:rPr>
          <w:rFonts w:ascii="Narkisim" w:hAnsi="Narkisim" w:cs="Narkisim"/>
          <w:sz w:val="20"/>
          <w:szCs w:val="20"/>
          <w:rtl/>
        </w:rPr>
        <w:t xml:space="preserve"> (מנחות מג:)</w:t>
      </w:r>
      <w:r w:rsidRPr="00012502">
        <w:rPr>
          <w:rFonts w:ascii="Narkisim" w:hAnsi="Narkisim" w:cs="Narkisim"/>
          <w:rtl/>
        </w:rPr>
        <w:t>. והרמב"ן תי' דלא דייקינן הכי בשכרן של מצוות, ואי אתה יודע שכרן של מצוות.</w:t>
      </w:r>
      <w:r w:rsidRPr="00012502">
        <w:rPr>
          <w:rFonts w:ascii="Narkisim" w:hAnsi="Narkisim" w:cs="Narkisim"/>
          <w:sz w:val="20"/>
          <w:szCs w:val="20"/>
          <w:rtl/>
        </w:rPr>
        <w:t xml:space="preserve"> ומסקינן (לקמן ו.) דתנא לא פריך דלאוי דשבת חמירי.</w:t>
      </w:r>
    </w:p>
    <w:p w14:paraId="0FEA9784" w14:textId="77777777" w:rsidR="00BE1D1C" w:rsidRPr="00012502" w:rsidRDefault="00000000" w:rsidP="00012502">
      <w:pPr>
        <w:bidi/>
        <w:rPr>
          <w:rFonts w:ascii="Narkisim" w:hAnsi="Narkisim" w:cs="Narkisim"/>
        </w:rPr>
      </w:pPr>
      <w:r w:rsidRPr="00012502">
        <w:rPr>
          <w:rFonts w:ascii="Narkisim" w:hAnsi="Narkisim" w:cs="Narkisim"/>
          <w:u w:val="single"/>
          <w:rtl/>
        </w:rPr>
        <w:t>מנין ליבמה שנפלה לפני מוכת שחין שאין חוסמין</w:t>
      </w:r>
      <w:r w:rsidRPr="00012502">
        <w:rPr>
          <w:rStyle w:val="ac"/>
          <w:rFonts w:ascii="Narkisim" w:hAnsi="Narkisim" w:cs="Narkisim"/>
          <w:u w:val="single"/>
          <w:rtl/>
        </w:rPr>
        <w:footnoteReference w:id="153"/>
      </w:r>
      <w:r w:rsidRPr="00012502">
        <w:rPr>
          <w:rFonts w:ascii="Narkisim" w:hAnsi="Narkisim" w:cs="Narkisim"/>
          <w:u w:val="single"/>
          <w:rtl/>
        </w:rPr>
        <w:t xml:space="preserve"> וכו'.</w:t>
      </w:r>
      <w:r w:rsidRPr="00012502">
        <w:rPr>
          <w:rFonts w:ascii="Narkisim" w:hAnsi="Narkisim" w:cs="Narkisim"/>
          <w:rtl/>
        </w:rPr>
        <w:t xml:space="preserve"> פ</w:t>
      </w:r>
      <w:r w:rsidRPr="00012502">
        <w:rPr>
          <w:rFonts w:ascii="Narkisim" w:hAnsi="Narkisim" w:cs="Narkisim"/>
          <w:b/>
          <w:bCs/>
          <w:rtl/>
        </w:rPr>
        <w:t xml:space="preserve">רש"י </w:t>
      </w:r>
      <w:r w:rsidRPr="00012502">
        <w:rPr>
          <w:rFonts w:ascii="Narkisim" w:hAnsi="Narkisim" w:cs="Narkisim"/>
          <w:rtl/>
        </w:rPr>
        <w:t>אלא כופין אותו לחלוץ. וה</w:t>
      </w:r>
      <w:r w:rsidRPr="00012502">
        <w:rPr>
          <w:rFonts w:ascii="Narkisim" w:hAnsi="Narkisim" w:cs="Narkisim"/>
          <w:b/>
          <w:bCs/>
          <w:rtl/>
        </w:rPr>
        <w:t>ראשונים</w:t>
      </w:r>
      <w:r w:rsidRPr="00012502">
        <w:rPr>
          <w:rFonts w:ascii="Narkisim" w:hAnsi="Narkisim" w:cs="Narkisim"/>
          <w:rtl/>
        </w:rPr>
        <w:t xml:space="preserve"> (לקמן לט:) חלקו דמבואר הכא דאין כופין אותה לייבם. אבל אין מקור דכופין אותו לחלוץ.</w:t>
      </w:r>
    </w:p>
    <w:p w14:paraId="35C34F29" w14:textId="77777777" w:rsidR="00BE1D1C" w:rsidRPr="00012502" w:rsidRDefault="00000000" w:rsidP="00012502">
      <w:pPr>
        <w:pStyle w:val="a8"/>
        <w:bidi/>
        <w:rPr>
          <w:rFonts w:ascii="Narkisim" w:hAnsi="Narkisim"/>
        </w:rPr>
      </w:pPr>
      <w:r w:rsidRPr="00012502">
        <w:rPr>
          <w:rFonts w:ascii="Narkisim" w:hAnsi="Narkisim"/>
          <w:rtl/>
        </w:rPr>
        <w:t>ו</w:t>
      </w:r>
      <w:r w:rsidRPr="00012502">
        <w:rPr>
          <w:rFonts w:ascii="Narkisim" w:hAnsi="Narkisim"/>
          <w:b/>
          <w:bCs/>
          <w:rtl/>
        </w:rPr>
        <w:t>רש"י</w:t>
      </w:r>
      <w:r w:rsidRPr="00012502">
        <w:rPr>
          <w:rFonts w:ascii="Narkisim" w:hAnsi="Narkisim"/>
          <w:rtl/>
        </w:rPr>
        <w:t xml:space="preserve"> (לקמן לט:) למד מכאן דכל יבמה שאינה רוצה להתייבם ונותנת אמתלא, כופין לחלוץ. ולאו דוקא מוכה שחין. והאריכו בזה ה</w:t>
      </w:r>
      <w:r w:rsidRPr="00012502">
        <w:rPr>
          <w:rFonts w:ascii="Narkisim" w:hAnsi="Narkisim"/>
          <w:b/>
          <w:bCs/>
          <w:rtl/>
        </w:rPr>
        <w:t>ראשונים</w:t>
      </w:r>
      <w:r w:rsidRPr="00012502">
        <w:rPr>
          <w:rFonts w:ascii="Narkisim" w:hAnsi="Narkisim"/>
          <w:rtl/>
        </w:rPr>
        <w:t xml:space="preserve"> שם.</w:t>
      </w:r>
    </w:p>
    <w:p w14:paraId="20C0B82E"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רשב"א</w:t>
      </w:r>
      <w:r w:rsidRPr="00012502">
        <w:rPr>
          <w:rFonts w:ascii="Narkisim" w:hAnsi="Narkisim" w:cs="Narkisim"/>
          <w:rtl/>
        </w:rPr>
        <w:t xml:space="preserve"> כתב דס"ד דכופין לייבם, ושוב יכפוה לגרש</w:t>
      </w:r>
      <w:r w:rsidRPr="00012502">
        <w:rPr>
          <w:rStyle w:val="ac"/>
          <w:rFonts w:ascii="Narkisim" w:hAnsi="Narkisim" w:cs="Narkisim"/>
          <w:rtl/>
        </w:rPr>
        <w:footnoteReference w:id="154"/>
      </w:r>
      <w:r w:rsidRPr="00012502">
        <w:rPr>
          <w:rFonts w:ascii="Narkisim" w:hAnsi="Narkisim" w:cs="Narkisim"/>
          <w:rtl/>
        </w:rPr>
        <w:t>, קמ"ל דאין חוסמין.</w:t>
      </w:r>
    </w:p>
    <w:p w14:paraId="1C667FD9" w14:textId="77777777" w:rsidR="00BE1D1C" w:rsidRPr="00012502" w:rsidRDefault="00000000" w:rsidP="00012502">
      <w:pPr>
        <w:bidi/>
        <w:rPr>
          <w:rFonts w:ascii="Narkisim" w:hAnsi="Narkisim" w:cs="Narkisim"/>
        </w:rPr>
      </w:pPr>
      <w:r w:rsidRPr="00012502">
        <w:rPr>
          <w:rFonts w:ascii="Narkisim" w:hAnsi="Narkisim" w:cs="Narkisim"/>
          <w:u w:val="single"/>
          <w:rtl/>
        </w:rPr>
        <w:t>תוד"ה דכתיב.</w:t>
      </w:r>
      <w:r w:rsidRPr="00012502">
        <w:rPr>
          <w:rFonts w:ascii="Narkisim" w:hAnsi="Narkisim" w:cs="Narkisim"/>
          <w:rtl/>
        </w:rPr>
        <w:t xml:space="preserve"> דלחייבו נשים בציצית וכו' כל שישנו וכו'. [ותוס' תי' דהיקש עדיף מסמוכין]. וה</w:t>
      </w:r>
      <w:r w:rsidRPr="00012502">
        <w:rPr>
          <w:rFonts w:ascii="Narkisim" w:hAnsi="Narkisim" w:cs="Narkisim"/>
          <w:b/>
          <w:bCs/>
          <w:rtl/>
        </w:rPr>
        <w:t>רמב"ן</w:t>
      </w:r>
      <w:r w:rsidRPr="00012502">
        <w:rPr>
          <w:rFonts w:ascii="Narkisim" w:hAnsi="Narkisim" w:cs="Narkisim"/>
          <w:rtl/>
        </w:rPr>
        <w:t xml:space="preserve"> ו</w:t>
      </w:r>
      <w:r w:rsidRPr="00012502">
        <w:rPr>
          <w:rFonts w:ascii="Narkisim" w:hAnsi="Narkisim" w:cs="Narkisim"/>
          <w:b/>
          <w:bCs/>
          <w:rtl/>
        </w:rPr>
        <w:t xml:space="preserve">ר"ן </w:t>
      </w:r>
      <w:r w:rsidRPr="00012502">
        <w:rPr>
          <w:rFonts w:ascii="Narkisim" w:hAnsi="Narkisim" w:cs="Narkisim"/>
          <w:rtl/>
        </w:rPr>
        <w:t>(קידושין לד:) תי' דכיון דאיצטריך סמוכין למילף לכלאים בציצית אינו מיותר ללמוד 'כל שישנו'</w:t>
      </w:r>
      <w:r w:rsidRPr="00012502">
        <w:rPr>
          <w:rStyle w:val="ac"/>
          <w:rFonts w:ascii="Narkisim" w:hAnsi="Narkisim" w:cs="Narkisim"/>
          <w:rtl/>
        </w:rPr>
        <w:footnoteReference w:id="155"/>
      </w:r>
      <w:r w:rsidRPr="00012502">
        <w:rPr>
          <w:rFonts w:ascii="Narkisim" w:hAnsi="Narkisim" w:cs="Narkisim"/>
          <w:rtl/>
        </w:rPr>
        <w:t>. וסמוכין אינו היקש דנימא אין היקש למחצה.</w:t>
      </w:r>
    </w:p>
    <w:p w14:paraId="23437815"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 xml:space="preserve">תוס' </w:t>
      </w:r>
      <w:r w:rsidRPr="00012502">
        <w:rPr>
          <w:rFonts w:ascii="Narkisim" w:hAnsi="Narkisim"/>
          <w:rtl/>
        </w:rPr>
        <w:t xml:space="preserve">(ערכין ג: ד"ה הני) תי' דהשוה הכתוב אשה לאיש לכה"ת. </w:t>
      </w:r>
      <w:r w:rsidRPr="00012502">
        <w:rPr>
          <w:rFonts w:ascii="Narkisim" w:hAnsi="Narkisim"/>
          <w:sz w:val="20"/>
          <w:szCs w:val="20"/>
          <w:rtl/>
        </w:rPr>
        <w:t>והא דס"ד דלא נאסרו בחמץ, דכל שישנו במצה (פסחים מג:), ולא אמרי' השווה הכתוב. סמיך אהא דהוקש לסוכה דהאזרח ממעט נשים</w:t>
      </w:r>
      <w:r w:rsidRPr="00012502">
        <w:rPr>
          <w:rFonts w:ascii="Narkisim" w:hAnsi="Narkisim"/>
          <w:rtl/>
        </w:rPr>
        <w:t>. וה</w:t>
      </w:r>
      <w:r w:rsidRPr="00012502">
        <w:rPr>
          <w:rFonts w:ascii="Narkisim" w:hAnsi="Narkisim"/>
          <w:b/>
          <w:bCs/>
          <w:rtl/>
        </w:rPr>
        <w:t>קובה"ע</w:t>
      </w:r>
      <w:r w:rsidRPr="00012502">
        <w:rPr>
          <w:rFonts w:ascii="Narkisim" w:hAnsi="Narkisim"/>
          <w:rtl/>
        </w:rPr>
        <w:t xml:space="preserve"> (יא ג) כתב דתוס' דידן לא תרצו כן, דבמקום שילפינן 'פטור', וכה"ג לא שייך ההיקש לאיש, דאף באיש כשיש פטור ל"מ.</w:t>
      </w:r>
    </w:p>
    <w:p w14:paraId="6E6285B5" w14:textId="77777777" w:rsidR="00BE1D1C" w:rsidRPr="00012502" w:rsidRDefault="00000000" w:rsidP="00012502">
      <w:pPr>
        <w:pStyle w:val="aa"/>
        <w:bidi/>
        <w:rPr>
          <w:rFonts w:ascii="Narkisim" w:hAnsi="Narkisim"/>
        </w:rPr>
      </w:pPr>
      <w:r w:rsidRPr="00012502">
        <w:rPr>
          <w:rFonts w:ascii="Narkisim" w:hAnsi="Narkisim"/>
          <w:u w:val="single"/>
          <w:rtl/>
        </w:rPr>
        <w:t>נוציא את זה לסקילה.</w:t>
      </w:r>
      <w:r w:rsidRPr="00012502">
        <w:rPr>
          <w:rFonts w:ascii="Narkisim" w:hAnsi="Narkisim"/>
          <w:rtl/>
        </w:rPr>
        <w:t xml:space="preserve"> בסוגיין מבואר דר' יהודה לא דרש סמוכין כלל [ע' תוס']. אבל ה</w:t>
      </w:r>
      <w:r w:rsidRPr="00012502">
        <w:rPr>
          <w:rFonts w:ascii="Narkisim" w:hAnsi="Narkisim"/>
          <w:b/>
          <w:bCs/>
          <w:rtl/>
        </w:rPr>
        <w:t>יפ"ע</w:t>
      </w:r>
      <w:r w:rsidRPr="00012502">
        <w:rPr>
          <w:rFonts w:ascii="Narkisim" w:hAnsi="Narkisim"/>
          <w:rtl/>
        </w:rPr>
        <w:t xml:space="preserve"> כתב דל</w:t>
      </w:r>
      <w:r w:rsidRPr="00012502">
        <w:rPr>
          <w:rFonts w:ascii="Narkisim" w:hAnsi="Narkisim"/>
          <w:b/>
          <w:bCs/>
          <w:rtl/>
        </w:rPr>
        <w:t>ירושלמי</w:t>
      </w:r>
      <w:r w:rsidRPr="00012502">
        <w:rPr>
          <w:rFonts w:ascii="Narkisim" w:hAnsi="Narkisim"/>
          <w:rtl/>
        </w:rPr>
        <w:t xml:space="preserve"> ר' יהודה ס"ל דסמוכים הוה כמה מצינו [ולא כהיקש], ול"מ לחייב סקילה, דאין עונשין מהדין. [ואין חילוק בין מופנה ומוכח].</w:t>
      </w:r>
    </w:p>
    <w:p w14:paraId="54B066EA" w14:textId="77777777" w:rsidR="00BE1D1C" w:rsidRPr="00012502" w:rsidRDefault="00000000" w:rsidP="00012502">
      <w:pPr>
        <w:pStyle w:val="aa"/>
        <w:bidi/>
        <w:rPr>
          <w:rFonts w:ascii="Narkisim" w:hAnsi="Narkisim"/>
        </w:rPr>
      </w:pPr>
      <w:r w:rsidRPr="00012502">
        <w:rPr>
          <w:rFonts w:ascii="Narkisim" w:hAnsi="Narkisim"/>
          <w:u w:val="single"/>
          <w:rtl/>
        </w:rPr>
        <w:t>אוב וידעוני בכלל מכשפים היו וכו', אף מכשפה בסקילה.</w:t>
      </w:r>
      <w:r w:rsidRPr="00012502">
        <w:rPr>
          <w:rFonts w:ascii="Narkisim" w:hAnsi="Narkisim"/>
          <w:rtl/>
        </w:rPr>
        <w:t xml:space="preserve"> </w:t>
      </w:r>
      <w:r w:rsidRPr="00012502">
        <w:rPr>
          <w:rFonts w:ascii="Narkisim" w:hAnsi="Narkisim"/>
          <w:b/>
          <w:bCs/>
          <w:rtl/>
        </w:rPr>
        <w:t>תוס</w:t>
      </w:r>
      <w:r w:rsidRPr="00012502">
        <w:rPr>
          <w:rFonts w:ascii="Narkisim" w:hAnsi="Narkisim"/>
          <w:rtl/>
        </w:rPr>
        <w:t>' (זבחים מט. ד"ה לפי) נקטו דבאוב וידעוני יש כרת וחיוב חטאת [כדתנן כריתות ב.]. ואילו שאר מכשף ליכא כרת. ודוקא לענין סקילה הוקשו להדדי</w:t>
      </w:r>
      <w:r w:rsidRPr="00012502">
        <w:rPr>
          <w:rStyle w:val="ac"/>
          <w:rFonts w:ascii="Narkisim" w:hAnsi="Narkisim"/>
          <w:rtl/>
        </w:rPr>
        <w:footnoteReference w:id="156"/>
      </w:r>
      <w:r w:rsidRPr="00012502">
        <w:rPr>
          <w:rFonts w:ascii="Narkisim" w:hAnsi="Narkisim"/>
          <w:rtl/>
        </w:rPr>
        <w:t>.</w:t>
      </w:r>
    </w:p>
    <w:p w14:paraId="0E690A15" w14:textId="77777777" w:rsidR="00BE1D1C" w:rsidRPr="00012502" w:rsidRDefault="00000000" w:rsidP="00012502">
      <w:pPr>
        <w:pStyle w:val="a8"/>
        <w:bidi/>
        <w:rPr>
          <w:rFonts w:ascii="Narkisim" w:hAnsi="Narkisim"/>
        </w:rPr>
      </w:pPr>
      <w:r w:rsidRPr="00012502">
        <w:rPr>
          <w:rFonts w:ascii="Narkisim" w:hAnsi="Narkisim"/>
          <w:rtl/>
        </w:rPr>
        <w:t>אבל ה</w:t>
      </w:r>
      <w:r w:rsidRPr="00012502">
        <w:rPr>
          <w:rFonts w:ascii="Narkisim" w:hAnsi="Narkisim"/>
          <w:b/>
          <w:bCs/>
          <w:rtl/>
        </w:rPr>
        <w:t>רמב"ם</w:t>
      </w:r>
      <w:r w:rsidRPr="00012502">
        <w:rPr>
          <w:rFonts w:ascii="Narkisim" w:hAnsi="Narkisim"/>
          <w:rtl/>
        </w:rPr>
        <w:t xml:space="preserve"> (סה"מ לד) כתב דמכשף חייב חטאת. וכ"כ ב</w:t>
      </w:r>
      <w:r w:rsidRPr="00012502">
        <w:rPr>
          <w:rFonts w:ascii="Narkisim" w:hAnsi="Narkisim"/>
          <w:b/>
          <w:bCs/>
          <w:rtl/>
        </w:rPr>
        <w:t>ספר החינוך</w:t>
      </w:r>
      <w:r w:rsidRPr="00012502">
        <w:rPr>
          <w:rFonts w:ascii="Narkisim" w:hAnsi="Narkisim"/>
          <w:rtl/>
        </w:rPr>
        <w:t xml:space="preserve"> (תקיא). וה</w:t>
      </w:r>
      <w:r w:rsidRPr="00012502">
        <w:rPr>
          <w:rFonts w:ascii="Narkisim" w:hAnsi="Narkisim"/>
          <w:b/>
          <w:bCs/>
          <w:rtl/>
        </w:rPr>
        <w:t>מנח"ח</w:t>
      </w:r>
      <w:r w:rsidRPr="00012502">
        <w:rPr>
          <w:rFonts w:ascii="Narkisim" w:hAnsi="Narkisim"/>
          <w:rtl/>
        </w:rPr>
        <w:t xml:space="preserve"> כת' דלפ"ז חייב כרת, דאין חטאת בלא כרת [וכדאיתא לקמן ט.]. אבל ה</w:t>
      </w:r>
      <w:r w:rsidRPr="00012502">
        <w:rPr>
          <w:rFonts w:ascii="Narkisim" w:hAnsi="Narkisim"/>
          <w:b/>
          <w:bCs/>
          <w:rtl/>
        </w:rPr>
        <w:t>רמב"ם</w:t>
      </w:r>
      <w:r w:rsidRPr="00012502">
        <w:rPr>
          <w:rFonts w:ascii="Narkisim" w:hAnsi="Narkisim"/>
          <w:rtl/>
        </w:rPr>
        <w:t xml:space="preserve"> (שגגות א ב,ד) לא מנאו בכלל מ"ג עבירות שיש בהם חטאת. וה</w:t>
      </w:r>
      <w:r w:rsidRPr="00012502">
        <w:rPr>
          <w:rFonts w:ascii="Narkisim" w:hAnsi="Narkisim"/>
          <w:b/>
          <w:bCs/>
          <w:rtl/>
        </w:rPr>
        <w:t>משנ"ל</w:t>
      </w:r>
      <w:r w:rsidRPr="00012502">
        <w:rPr>
          <w:rFonts w:ascii="Narkisim" w:hAnsi="Narkisim"/>
          <w:rtl/>
        </w:rPr>
        <w:t xml:space="preserve"> תמה בסתירת הרמב"ם בזה, ועוד הביא דב</w:t>
      </w:r>
      <w:r w:rsidRPr="00012502">
        <w:rPr>
          <w:rFonts w:ascii="Narkisim" w:hAnsi="Narkisim"/>
          <w:b/>
          <w:bCs/>
          <w:rtl/>
        </w:rPr>
        <w:t>תו"כ</w:t>
      </w:r>
      <w:r w:rsidRPr="00012502">
        <w:rPr>
          <w:rFonts w:ascii="Narkisim" w:hAnsi="Narkisim"/>
          <w:rtl/>
        </w:rPr>
        <w:t xml:space="preserve"> מבואר דאין חיוב כרת.</w:t>
      </w:r>
    </w:p>
    <w:p w14:paraId="6EB490C2" w14:textId="77777777" w:rsidR="00BE1D1C" w:rsidRPr="00012502" w:rsidRDefault="00000000" w:rsidP="00012502">
      <w:pPr>
        <w:pStyle w:val="aa"/>
        <w:bidi/>
        <w:rPr>
          <w:rFonts w:ascii="Narkisim" w:hAnsi="Narkisim"/>
        </w:rPr>
      </w:pPr>
      <w:r w:rsidRPr="00012502">
        <w:rPr>
          <w:rFonts w:ascii="Narkisim" w:hAnsi="Narkisim"/>
          <w:u w:val="single"/>
          <w:rtl/>
        </w:rPr>
        <w:t>בשומרת יבם הכתוב מדבר, ולעבור בב' לאוין וכו'.</w:t>
      </w:r>
      <w:r w:rsidRPr="00012502">
        <w:rPr>
          <w:rFonts w:ascii="Narkisim" w:hAnsi="Narkisim"/>
          <w:rtl/>
        </w:rPr>
        <w:t xml:space="preserve"> [ע' בסוגיא לקמן צז.</w:t>
      </w:r>
      <w:r w:rsidRPr="00012502">
        <w:rPr>
          <w:rStyle w:val="ac"/>
          <w:rFonts w:ascii="Narkisim" w:hAnsi="Narkisim"/>
          <w:rtl/>
        </w:rPr>
        <w:footnoteReference w:id="157"/>
      </w:r>
      <w:r w:rsidRPr="00012502">
        <w:rPr>
          <w:rFonts w:ascii="Narkisim" w:hAnsi="Narkisim"/>
          <w:rtl/>
        </w:rPr>
        <w:t xml:space="preserve">]. </w:t>
      </w:r>
      <w:r w:rsidRPr="00012502">
        <w:rPr>
          <w:rFonts w:ascii="Narkisim" w:hAnsi="Narkisim"/>
          <w:b/>
          <w:bCs/>
          <w:rtl/>
        </w:rPr>
        <w:t>תוס</w:t>
      </w:r>
      <w:r w:rsidRPr="00012502">
        <w:rPr>
          <w:rFonts w:ascii="Narkisim" w:hAnsi="Narkisim"/>
          <w:rtl/>
        </w:rPr>
        <w:t>' (חגיגה י:) הק' דבעלמא אמרי' דיש לדרוש ולא להעמיד בלאו יתירא. ותי' דאין לנו להעמיד איסור חדש דלא מצאנו במקום אחר בתורה.</w:t>
      </w:r>
    </w:p>
    <w:p w14:paraId="2022471C" w14:textId="77777777" w:rsidR="00BE1D1C" w:rsidRPr="00012502" w:rsidRDefault="00000000" w:rsidP="00012502">
      <w:pPr>
        <w:bidi/>
        <w:rPr>
          <w:rFonts w:ascii="Narkisim" w:hAnsi="Narkisim" w:cs="Narkisim"/>
        </w:rPr>
      </w:pPr>
      <w:r w:rsidRPr="00012502">
        <w:rPr>
          <w:rFonts w:ascii="Narkisim" w:hAnsi="Narkisim" w:cs="Narkisim"/>
          <w:u w:val="single"/>
          <w:rtl/>
        </w:rPr>
        <w:t>תוד"ה וכי.</w:t>
      </w:r>
      <w:r w:rsidRPr="00012502">
        <w:rPr>
          <w:rFonts w:ascii="Narkisim" w:hAnsi="Narkisim" w:cs="Narkisim"/>
          <w:rtl/>
        </w:rPr>
        <w:t xml:space="preserve"> והא דקאמר במשנה תורה, ה"ה בעלמא וכו'. וב</w:t>
      </w:r>
      <w:r w:rsidRPr="00012502">
        <w:rPr>
          <w:rFonts w:ascii="Narkisim" w:hAnsi="Narkisim" w:cs="Narkisim"/>
          <w:b/>
          <w:bCs/>
          <w:rtl/>
        </w:rPr>
        <w:t>הג' מהר"ב רנשבורג</w:t>
      </w:r>
      <w:r w:rsidRPr="00012502">
        <w:rPr>
          <w:rFonts w:ascii="Narkisim" w:hAnsi="Narkisim" w:cs="Narkisim"/>
          <w:rtl/>
        </w:rPr>
        <w:t xml:space="preserve"> (עה"ג) הביא </w:t>
      </w:r>
      <w:r w:rsidRPr="00012502">
        <w:rPr>
          <w:rFonts w:ascii="Narkisim" w:hAnsi="Narkisim" w:cs="Narkisim"/>
          <w:b/>
          <w:bCs/>
          <w:rtl/>
        </w:rPr>
        <w:t>ראב"ן</w:t>
      </w:r>
      <w:r w:rsidRPr="00012502">
        <w:rPr>
          <w:rFonts w:ascii="Narkisim" w:hAnsi="Narkisim" w:cs="Narkisim"/>
          <w:rtl/>
        </w:rPr>
        <w:t xml:space="preserve"> (שו"ת לד) דדוקא ספר דברים דמשה סידר, אבל כה"ת אין מוקדם ומאוחר</w:t>
      </w:r>
      <w:r w:rsidRPr="00012502">
        <w:rPr>
          <w:rStyle w:val="ac"/>
          <w:rFonts w:ascii="Narkisim" w:hAnsi="Narkisim" w:cs="Narkisim"/>
          <w:rtl/>
        </w:rPr>
        <w:footnoteReference w:id="158"/>
      </w:r>
      <w:r w:rsidRPr="00012502">
        <w:rPr>
          <w:rFonts w:ascii="Narkisim" w:hAnsi="Narkisim" w:cs="Narkisim"/>
          <w:rtl/>
        </w:rPr>
        <w:t>. וה</w:t>
      </w:r>
      <w:r w:rsidRPr="00012502">
        <w:rPr>
          <w:rFonts w:ascii="Narkisim" w:hAnsi="Narkisim" w:cs="Narkisim"/>
          <w:b/>
          <w:bCs/>
          <w:rtl/>
        </w:rPr>
        <w:t>ריטב"א</w:t>
      </w:r>
      <w:r w:rsidRPr="00012502">
        <w:rPr>
          <w:rFonts w:ascii="Narkisim" w:hAnsi="Narkisim" w:cs="Narkisim"/>
          <w:rtl/>
        </w:rPr>
        <w:t xml:space="preserve"> (ורמב"ן) כת' דבכה"ת ל"ש מוכח, דכולה כחדא פרשתא דמי, ואין מוקדם ומאוחר. ודוקא במשנה תורה נחשב מוכח, דנכתב על הסדר.</w:t>
      </w:r>
    </w:p>
    <w:p w14:paraId="5E0EAE8C" w14:textId="77777777" w:rsidR="00BE1D1C" w:rsidRPr="00012502" w:rsidRDefault="00000000" w:rsidP="00012502">
      <w:pPr>
        <w:pStyle w:val="aa"/>
        <w:bidi/>
        <w:rPr>
          <w:rFonts w:ascii="Narkisim" w:hAnsi="Narkisim"/>
        </w:rPr>
      </w:pPr>
      <w:r w:rsidRPr="00012502">
        <w:rPr>
          <w:rFonts w:ascii="Narkisim" w:hAnsi="Narkisim"/>
          <w:u w:val="single"/>
          <w:rtl/>
        </w:rPr>
        <w:t>משום דמוכח.</w:t>
      </w:r>
      <w:r w:rsidRPr="00012502">
        <w:rPr>
          <w:rFonts w:ascii="Narkisim" w:hAnsi="Narkisim"/>
          <w:rtl/>
        </w:rPr>
        <w:t xml:space="preserve"> ה</w:t>
      </w:r>
      <w:r w:rsidRPr="00012502">
        <w:rPr>
          <w:rFonts w:ascii="Narkisim" w:hAnsi="Narkisim"/>
          <w:b/>
          <w:bCs/>
          <w:rtl/>
        </w:rPr>
        <w:t>רמב"ן</w:t>
      </w:r>
      <w:r w:rsidRPr="00012502">
        <w:rPr>
          <w:rFonts w:ascii="Narkisim" w:hAnsi="Narkisim"/>
          <w:rtl/>
        </w:rPr>
        <w:t xml:space="preserve"> (ושא"ר) כ' דלא תחסום לא נחשב מוכח</w:t>
      </w:r>
      <w:r w:rsidRPr="00012502">
        <w:rPr>
          <w:rStyle w:val="ac"/>
          <w:rFonts w:ascii="Narkisim" w:hAnsi="Narkisim"/>
          <w:rtl/>
        </w:rPr>
        <w:footnoteReference w:id="159"/>
      </w:r>
      <w:r w:rsidRPr="00012502">
        <w:rPr>
          <w:rFonts w:ascii="Narkisim" w:hAnsi="Narkisim"/>
          <w:rtl/>
        </w:rPr>
        <w:t>, דסמך יבום ללא תחסום ולא אצל איסור אשת אח. דלא אשכחן בכל התורה לכתוב הדוחה אצל הנדחה. דתמיד ופסח ומילה אינם כתובים אצל שבת.</w:t>
      </w:r>
    </w:p>
    <w:p w14:paraId="744B2598" w14:textId="77777777" w:rsidR="00BE1D1C" w:rsidRPr="00012502" w:rsidRDefault="00000000" w:rsidP="00012502">
      <w:pPr>
        <w:pStyle w:val="3"/>
        <w:bidi/>
        <w:rPr>
          <w:rFonts w:ascii="Narkisim" w:hAnsi="Narkisim"/>
        </w:rPr>
      </w:pPr>
      <w:r w:rsidRPr="00012502">
        <w:rPr>
          <w:rFonts w:ascii="Narkisim" w:hAnsi="Narkisim"/>
          <w:rtl/>
        </w:rPr>
        <w:t>דף ד:</w:t>
      </w:r>
    </w:p>
    <w:p w14:paraId="01EE3846" w14:textId="77777777" w:rsidR="00BE1D1C" w:rsidRPr="00012502" w:rsidRDefault="00000000" w:rsidP="00012502">
      <w:pPr>
        <w:bidi/>
        <w:rPr>
          <w:rFonts w:ascii="Narkisim" w:hAnsi="Narkisim" w:cs="Narkisim"/>
        </w:rPr>
      </w:pPr>
      <w:r w:rsidRPr="00012502">
        <w:rPr>
          <w:rFonts w:ascii="Narkisim" w:hAnsi="Narkisim" w:cs="Narkisim"/>
          <w:u w:val="single"/>
          <w:rtl/>
        </w:rPr>
        <w:t>איבעי"א משום דמופנה וכו'.</w:t>
      </w:r>
      <w:r w:rsidRPr="00012502">
        <w:rPr>
          <w:rFonts w:ascii="Narkisim" w:hAnsi="Narkisim" w:cs="Narkisim"/>
          <w:rtl/>
        </w:rPr>
        <w:t xml:space="preserve"> בפשוטו </w:t>
      </w:r>
      <w:r w:rsidRPr="00012502">
        <w:rPr>
          <w:rFonts w:ascii="Narkisim" w:hAnsi="Narkisim" w:cs="Narkisim"/>
          <w:sz w:val="20"/>
          <w:szCs w:val="20"/>
          <w:rtl/>
        </w:rPr>
        <w:t>[וכ"כ ה</w:t>
      </w:r>
      <w:r w:rsidRPr="00012502">
        <w:rPr>
          <w:rFonts w:ascii="Narkisim" w:hAnsi="Narkisim" w:cs="Narkisim"/>
          <w:b/>
          <w:bCs/>
          <w:sz w:val="20"/>
          <w:szCs w:val="20"/>
          <w:rtl/>
        </w:rPr>
        <w:t>ראשונים</w:t>
      </w:r>
      <w:r w:rsidRPr="00012502">
        <w:rPr>
          <w:rFonts w:ascii="Narkisim" w:hAnsi="Narkisim" w:cs="Narkisim"/>
          <w:sz w:val="20"/>
          <w:szCs w:val="20"/>
          <w:rtl/>
        </w:rPr>
        <w:t xml:space="preserve"> בשם </w:t>
      </w:r>
      <w:r w:rsidRPr="00012502">
        <w:rPr>
          <w:rFonts w:ascii="Narkisim" w:hAnsi="Narkisim" w:cs="Narkisim"/>
          <w:b/>
          <w:bCs/>
          <w:sz w:val="20"/>
          <w:szCs w:val="20"/>
          <w:rtl/>
        </w:rPr>
        <w:t>י"מ</w:t>
      </w:r>
      <w:r w:rsidRPr="00012502">
        <w:rPr>
          <w:rFonts w:ascii="Narkisim" w:hAnsi="Narkisim" w:cs="Narkisim"/>
          <w:sz w:val="20"/>
          <w:szCs w:val="20"/>
          <w:rtl/>
        </w:rPr>
        <w:t>]</w:t>
      </w:r>
      <w:r w:rsidRPr="00012502">
        <w:rPr>
          <w:rFonts w:ascii="Narkisim" w:hAnsi="Narkisim" w:cs="Narkisim"/>
          <w:rtl/>
        </w:rPr>
        <w:t xml:space="preserve"> כ"ז לפי ר' יהודה, אבל רבנן דרשי סמוכין אף בלאו מופנה. וכ"מ ב</w:t>
      </w:r>
      <w:r w:rsidRPr="00012502">
        <w:rPr>
          <w:rFonts w:ascii="Narkisim" w:hAnsi="Narkisim" w:cs="Narkisim"/>
          <w:b/>
          <w:bCs/>
          <w:rtl/>
        </w:rPr>
        <w:t>תוס</w:t>
      </w:r>
      <w:r w:rsidRPr="00012502">
        <w:rPr>
          <w:rFonts w:ascii="Narkisim" w:hAnsi="Narkisim" w:cs="Narkisim"/>
          <w:rtl/>
        </w:rPr>
        <w:t>' (ה. ד"ה לרבנן) וה</w:t>
      </w:r>
      <w:r w:rsidRPr="00012502">
        <w:rPr>
          <w:rFonts w:ascii="Narkisim" w:hAnsi="Narkisim" w:cs="Narkisim"/>
          <w:b/>
          <w:bCs/>
          <w:rtl/>
        </w:rPr>
        <w:t>תו"י</w:t>
      </w:r>
      <w:r w:rsidRPr="00012502">
        <w:rPr>
          <w:rFonts w:ascii="Narkisim" w:hAnsi="Narkisim" w:cs="Narkisim"/>
          <w:rtl/>
        </w:rPr>
        <w:t>. אבל ה</w:t>
      </w:r>
      <w:r w:rsidRPr="00012502">
        <w:rPr>
          <w:rFonts w:ascii="Narkisim" w:hAnsi="Narkisim" w:cs="Narkisim"/>
          <w:b/>
          <w:bCs/>
          <w:rtl/>
        </w:rPr>
        <w:t>רמב"ן</w:t>
      </w:r>
      <w:r w:rsidRPr="00012502">
        <w:rPr>
          <w:rFonts w:ascii="Narkisim" w:hAnsi="Narkisim" w:cs="Narkisim"/>
          <w:rtl/>
        </w:rPr>
        <w:t xml:space="preserve"> (ושא"ר) כת' דבסוגיין ילפי' בנין אב מכלאים בציצית לכל התורה, ואף לרבנן בעינן שיהא מופנה או מוכח.</w:t>
      </w:r>
    </w:p>
    <w:p w14:paraId="2AF1993E"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הו"א כל דרך העלאה וכו' אפי' מוכרי כסות וכו'.</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שאינן מתכוונים להנאת חימום. ולפ"ז קאי לר' שמעון דדבר שאינו מתכוון מותר, וכדאיתא (שבת כט:)</w:t>
      </w:r>
      <w:r w:rsidRPr="00012502">
        <w:rPr>
          <w:rStyle w:val="ac"/>
          <w:rFonts w:ascii="Narkisim" w:hAnsi="Narkisim" w:cs="Narkisim"/>
          <w:rtl/>
        </w:rPr>
        <w:footnoteReference w:id="160"/>
      </w:r>
      <w:r w:rsidRPr="00012502">
        <w:rPr>
          <w:rFonts w:ascii="Narkisim" w:hAnsi="Narkisim" w:cs="Narkisim"/>
          <w:rtl/>
        </w:rPr>
        <w:t>. וה</w:t>
      </w:r>
      <w:r w:rsidRPr="00012502">
        <w:rPr>
          <w:rFonts w:ascii="Narkisim" w:hAnsi="Narkisim" w:cs="Narkisim"/>
          <w:b/>
          <w:bCs/>
          <w:rtl/>
        </w:rPr>
        <w:t>רמב"ן</w:t>
      </w:r>
      <w:r w:rsidRPr="00012502">
        <w:rPr>
          <w:rFonts w:ascii="Narkisim" w:hAnsi="Narkisim" w:cs="Narkisim"/>
          <w:rtl/>
        </w:rPr>
        <w:t xml:space="preserve"> (ותו"י ושא"ר) הקשה דסוגיין כר' יהודה, ועוד לר' שמעון דבר שאינו מתכוון מותר בכה"ת, ולא בעי קרא.</w:t>
      </w:r>
    </w:p>
    <w:p w14:paraId="1190A1C4" w14:textId="77777777" w:rsidR="00BE1D1C" w:rsidRPr="00012502" w:rsidRDefault="00000000" w:rsidP="00012502">
      <w:pPr>
        <w:pStyle w:val="a7"/>
        <w:bidi/>
        <w:rPr>
          <w:rFonts w:ascii="Narkisim" w:hAnsi="Narkisim"/>
        </w:rPr>
      </w:pPr>
      <w:r w:rsidRPr="00012502">
        <w:rPr>
          <w:rFonts w:ascii="Narkisim" w:hAnsi="Narkisim"/>
          <w:rtl/>
        </w:rPr>
        <w:t>והרמב"ן כתב דאיירי שבאמת אינו נהנה אלא מצטער, וס"ד דמ"מ העלה עליו. אבל כשנהנה ואינו מתכוון תליא במח' ר' יהודה ור' שמעון. וה</w:t>
      </w:r>
      <w:r w:rsidRPr="00012502">
        <w:rPr>
          <w:rFonts w:ascii="Narkisim" w:hAnsi="Narkisim"/>
          <w:b/>
          <w:bCs/>
          <w:rtl/>
        </w:rPr>
        <w:t>אחרונים</w:t>
      </w:r>
      <w:r w:rsidRPr="00012502">
        <w:rPr>
          <w:rFonts w:ascii="Narkisim" w:hAnsi="Narkisim"/>
          <w:rtl/>
        </w:rPr>
        <w:t xml:space="preserve"> (</w:t>
      </w:r>
      <w:r w:rsidRPr="00012502">
        <w:rPr>
          <w:rFonts w:ascii="Narkisim" w:hAnsi="Narkisim"/>
          <w:sz w:val="20"/>
          <w:szCs w:val="20"/>
          <w:rtl/>
        </w:rPr>
        <w:t>בית הלוי א א ה וחי' ר' שלמה)</w:t>
      </w:r>
      <w:r w:rsidRPr="00012502">
        <w:rPr>
          <w:rFonts w:ascii="Narkisim" w:hAnsi="Narkisim"/>
          <w:rtl/>
        </w:rPr>
        <w:t xml:space="preserve"> כתבו דאף לרש"י ילפי' מהדרשא דאין איסור בעצם הלבישה, במקום שאינו נהנה כלל. ואילו אסרה תורה עצם ההעלאה, א"כ ודאי אסור אף שאינו מתכוון, דהרי לובש. אלא כיון דהתורה תלתה האיסור בהנאת לבישה, לר' שמעון הותר כשאינו מתכוון. </w:t>
      </w:r>
      <w:r w:rsidRPr="00012502">
        <w:rPr>
          <w:rFonts w:ascii="Narkisim" w:hAnsi="Narkisim"/>
          <w:sz w:val="20"/>
          <w:szCs w:val="20"/>
          <w:rtl/>
        </w:rPr>
        <w:t>[אבל עדיין קשה דסוגיין לר' יהודה, והיאך נקטו דין דר' יהודה ס"ל דאסור, שהרי יהנה, וע' אחרונים].</w:t>
      </w:r>
    </w:p>
    <w:p w14:paraId="749A9632"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בית הלוי</w:t>
      </w:r>
      <w:r w:rsidRPr="00012502">
        <w:rPr>
          <w:rFonts w:ascii="Narkisim" w:hAnsi="Narkisim"/>
          <w:rtl/>
        </w:rPr>
        <w:t xml:space="preserve"> (שם) חקר האם התורה אסרה לבישה, והנאה הוא תנאי להחשב לבישה</w:t>
      </w:r>
      <w:r w:rsidRPr="00012502">
        <w:rPr>
          <w:rStyle w:val="ac"/>
          <w:rFonts w:ascii="Narkisim" w:hAnsi="Narkisim"/>
          <w:rtl/>
        </w:rPr>
        <w:footnoteReference w:id="161"/>
      </w:r>
      <w:r w:rsidRPr="00012502">
        <w:rPr>
          <w:rFonts w:ascii="Narkisim" w:hAnsi="Narkisim"/>
          <w:rtl/>
        </w:rPr>
        <w:t xml:space="preserve"> או דהתורה אסרה עצם ההנאה בכלאים</w:t>
      </w:r>
      <w:r w:rsidRPr="00012502">
        <w:rPr>
          <w:rStyle w:val="ac"/>
          <w:rFonts w:ascii="Narkisim" w:hAnsi="Narkisim"/>
          <w:rtl/>
        </w:rPr>
        <w:footnoteReference w:id="162"/>
      </w:r>
      <w:r w:rsidRPr="00012502">
        <w:rPr>
          <w:rFonts w:ascii="Narkisim" w:hAnsi="Narkisim"/>
          <w:rtl/>
        </w:rPr>
        <w:t>. [ודן היאך מהני שאינו מתכוון להנאה, הרי נהנה בפועל והוה לבישה. וע' אחרונים, ואכ"מ].</w:t>
      </w:r>
    </w:p>
    <w:p w14:paraId="6980ECA1"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(בית הלוי, חי' ר' שמואל ה ב ועוד) חקרו בהא דאי' [בירושלמי] דאסור ללבוש בגד שיש במקצתו כלאים, האם עי"ז נחשב שכל הבגד חפצא דאיסורא, וכל מקצת ממנו אסור בלבישה והעלאה. או דרק חוטי הצמר ופשתן הוה כלאים, אלא כשלובש מקצת מהבגד נחשב שלובש את כל הבגד</w:t>
      </w:r>
      <w:r w:rsidRPr="00012502">
        <w:rPr>
          <w:rStyle w:val="ac"/>
          <w:rFonts w:ascii="Narkisim" w:hAnsi="Narkisim"/>
          <w:rtl/>
        </w:rPr>
        <w:footnoteReference w:id="163"/>
      </w:r>
      <w:r w:rsidRPr="00012502">
        <w:rPr>
          <w:rFonts w:ascii="Narkisim" w:hAnsi="Narkisim"/>
          <w:rtl/>
        </w:rPr>
        <w:t>.</w:t>
      </w:r>
    </w:p>
    <w:p w14:paraId="1202CF0F"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רמב"ם</w:t>
      </w:r>
      <w:r w:rsidRPr="00012502">
        <w:rPr>
          <w:rFonts w:ascii="Narkisim" w:hAnsi="Narkisim" w:cs="Narkisim"/>
          <w:rtl/>
        </w:rPr>
        <w:t xml:space="preserve"> (כלאים י יח) פסק דאסור ללבוש כלאים כדי להבריח המכס [ע"פ המשנה כלאים ט ב]. אבל ב</w:t>
      </w:r>
      <w:r w:rsidRPr="00012502">
        <w:rPr>
          <w:rFonts w:ascii="Narkisim" w:hAnsi="Narkisim" w:cs="Narkisim"/>
          <w:b/>
          <w:bCs/>
          <w:rtl/>
        </w:rPr>
        <w:t>גמ'</w:t>
      </w:r>
      <w:r w:rsidRPr="00012502">
        <w:rPr>
          <w:rFonts w:ascii="Narkisim" w:hAnsi="Narkisim" w:cs="Narkisim"/>
          <w:rtl/>
        </w:rPr>
        <w:t xml:space="preserve"> (ב"ק קיג.) איתא דמ"ד דאסור להבריח את המכס ס"ל דבר שאינו מתכוון אסור</w:t>
      </w:r>
      <w:r w:rsidRPr="00012502">
        <w:rPr>
          <w:rStyle w:val="ac"/>
          <w:rFonts w:ascii="Narkisim" w:hAnsi="Narkisim" w:cs="Narkisim"/>
          <w:rtl/>
        </w:rPr>
        <w:footnoteReference w:id="164"/>
      </w:r>
      <w:r w:rsidRPr="00012502">
        <w:rPr>
          <w:rFonts w:ascii="Narkisim" w:hAnsi="Narkisim" w:cs="Narkisim"/>
          <w:rtl/>
        </w:rPr>
        <w:t>.</w:t>
      </w:r>
    </w:p>
    <w:p w14:paraId="10CE1B83" w14:textId="77777777" w:rsidR="00BE1D1C" w:rsidRPr="00012502" w:rsidRDefault="00000000" w:rsidP="00012502">
      <w:pPr>
        <w:pStyle w:val="a7"/>
        <w:bidi/>
        <w:rPr>
          <w:rFonts w:ascii="Narkisim" w:hAnsi="Narkisim"/>
        </w:rPr>
      </w:pPr>
      <w:r w:rsidRPr="00012502">
        <w:rPr>
          <w:rFonts w:ascii="Narkisim" w:hAnsi="Narkisim"/>
          <w:rtl/>
        </w:rPr>
        <w:t>וקשה דהרמב"ם פסק כר' שמעון, וכ"פ הרמב"ם (שם טז) דמוכרי כסות מוכרין כדרכן, ומ"ש להבריח מכס. וה</w:t>
      </w:r>
      <w:r w:rsidRPr="00012502">
        <w:rPr>
          <w:rFonts w:ascii="Narkisim" w:hAnsi="Narkisim"/>
          <w:b/>
          <w:bCs/>
          <w:rtl/>
        </w:rPr>
        <w:t>כס"מ</w:t>
      </w:r>
      <w:r w:rsidRPr="00012502">
        <w:rPr>
          <w:rFonts w:ascii="Narkisim" w:hAnsi="Narkisim"/>
          <w:rtl/>
        </w:rPr>
        <w:t xml:space="preserve"> ו</w:t>
      </w:r>
      <w:r w:rsidRPr="00012502">
        <w:rPr>
          <w:rFonts w:ascii="Narkisim" w:hAnsi="Narkisim"/>
          <w:b/>
          <w:bCs/>
          <w:rtl/>
        </w:rPr>
        <w:t>מהר"י קורקוס</w:t>
      </w:r>
      <w:r w:rsidRPr="00012502">
        <w:rPr>
          <w:rFonts w:ascii="Narkisim" w:hAnsi="Narkisim"/>
          <w:rtl/>
        </w:rPr>
        <w:t xml:space="preserve"> כת' דהרמב"ם ס"ל דכשלובש לגנוב את המכס אסור אף לר"ש, כיון שהוא לבוש ממש. ודוקא מוכרי כסות דהוה רק העלאה הותר כשאינו מתכוון.</w:t>
      </w:r>
      <w:r w:rsidRPr="00012502">
        <w:rPr>
          <w:rFonts w:ascii="Narkisim" w:hAnsi="Narkisim"/>
          <w:sz w:val="20"/>
          <w:szCs w:val="20"/>
          <w:rtl/>
        </w:rPr>
        <w:t xml:space="preserve"> ובס' </w:t>
      </w:r>
      <w:r w:rsidRPr="00012502">
        <w:rPr>
          <w:rFonts w:ascii="Narkisim" w:hAnsi="Narkisim"/>
          <w:b/>
          <w:bCs/>
          <w:sz w:val="20"/>
          <w:szCs w:val="20"/>
          <w:rtl/>
        </w:rPr>
        <w:t>שנות אליהו</w:t>
      </w:r>
      <w:r w:rsidRPr="00012502">
        <w:rPr>
          <w:rFonts w:ascii="Narkisim" w:hAnsi="Narkisim"/>
          <w:sz w:val="20"/>
          <w:szCs w:val="20"/>
          <w:rtl/>
        </w:rPr>
        <w:t xml:space="preserve"> (כלאים ט ב) ביאר דלבישה ממש אסור, דכשעושה מעשה האיסור חייב אף אם אינו מתכוון, ואף לר' שמעון. ודוקא העלאה תליא אם נתכוון, ולא נחשב לבישה כשאינו מתכוון.</w:t>
      </w:r>
    </w:p>
    <w:p w14:paraId="4E0238B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ש"ך</w:t>
      </w:r>
      <w:r w:rsidRPr="00012502">
        <w:rPr>
          <w:rFonts w:ascii="Narkisim" w:hAnsi="Narkisim"/>
          <w:rtl/>
        </w:rPr>
        <w:t xml:space="preserve"> (יו"ד שא ח) כת' דאיירי שנתכוין דרך מלבוש, דעי"ז במתכוון להפטר מהמכס דאין נותנין מכס ממלבושין. וכיון דעיקר כוונתו למלבוש, והוה מתכוון.</w:t>
      </w:r>
    </w:p>
    <w:p w14:paraId="4647CE27" w14:textId="77777777" w:rsidR="00BE1D1C" w:rsidRPr="00012502" w:rsidRDefault="00000000" w:rsidP="00012502">
      <w:pPr>
        <w:pStyle w:val="aa"/>
        <w:bidi/>
        <w:rPr>
          <w:rFonts w:ascii="Narkisim" w:hAnsi="Narkisim"/>
        </w:rPr>
      </w:pPr>
      <w:r w:rsidRPr="00012502">
        <w:rPr>
          <w:rFonts w:ascii="Narkisim" w:hAnsi="Narkisim"/>
          <w:u w:val="single"/>
          <w:rtl/>
        </w:rPr>
        <w:t>איצטריך סד"א בהעלאה וכו' אבל לבישה כל ב' מיני.</w:t>
      </w:r>
      <w:r w:rsidRPr="00012502">
        <w:rPr>
          <w:rFonts w:ascii="Narkisim" w:hAnsi="Narkisim"/>
          <w:rtl/>
        </w:rPr>
        <w:t xml:space="preserve"> לפ"ז נאמרו ב' איסורי כלאים. לבישת ב' מינים, והעלאת כלאים צמר ופשתן.</w:t>
      </w:r>
    </w:p>
    <w:p w14:paraId="4BBC950B"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מג"א</w:t>
      </w:r>
      <w:r w:rsidRPr="00012502">
        <w:rPr>
          <w:rFonts w:ascii="Narkisim" w:hAnsi="Narkisim"/>
          <w:rtl/>
        </w:rPr>
        <w:t xml:space="preserve"> (יח ג) הביא דנח' ה</w:t>
      </w:r>
      <w:r w:rsidRPr="00012502">
        <w:rPr>
          <w:rFonts w:ascii="Narkisim" w:hAnsi="Narkisim"/>
          <w:b/>
          <w:bCs/>
          <w:rtl/>
        </w:rPr>
        <w:t>ראשונים</w:t>
      </w:r>
      <w:r w:rsidRPr="00012502">
        <w:rPr>
          <w:rFonts w:ascii="Narkisim" w:hAnsi="Narkisim"/>
          <w:rtl/>
        </w:rPr>
        <w:t xml:space="preserve"> (מרדכי מנחות הלק"ט תתקמא ותוס' מנחות מא) לענין מצוות ציצית, האם הוה דוקא בבגד דרך לבישה, או כל דרך העלאה.</w:t>
      </w:r>
    </w:p>
    <w:p w14:paraId="1CAEAFE6" w14:textId="77777777" w:rsidR="00BE1D1C" w:rsidRPr="00012502" w:rsidRDefault="00000000" w:rsidP="00012502">
      <w:pPr>
        <w:pStyle w:val="2"/>
        <w:bidi/>
        <w:rPr>
          <w:rFonts w:ascii="Narkisim" w:hAnsi="Narkisim"/>
        </w:rPr>
      </w:pPr>
      <w:r w:rsidRPr="00012502">
        <w:rPr>
          <w:rFonts w:ascii="Narkisim" w:hAnsi="Narkisim"/>
          <w:rtl/>
        </w:rPr>
        <w:t>עדל"ת – כלאים בציצית</w:t>
      </w:r>
    </w:p>
    <w:p w14:paraId="749EC96B" w14:textId="77777777" w:rsidR="00BE1D1C" w:rsidRPr="00012502" w:rsidRDefault="00000000" w:rsidP="00012502">
      <w:pPr>
        <w:pStyle w:val="aa"/>
        <w:bidi/>
        <w:rPr>
          <w:rFonts w:ascii="Narkisim" w:hAnsi="Narkisim"/>
        </w:rPr>
      </w:pPr>
      <w:r w:rsidRPr="00012502">
        <w:rPr>
          <w:rFonts w:ascii="Narkisim" w:hAnsi="Narkisim"/>
          <w:u w:val="single"/>
          <w:rtl/>
        </w:rPr>
        <w:t>תוד"ה ואמר.</w:t>
      </w:r>
      <w:r w:rsidRPr="00012502">
        <w:rPr>
          <w:rFonts w:ascii="Narkisim" w:hAnsi="Narkisim"/>
          <w:rtl/>
        </w:rPr>
        <w:t xml:space="preserve"> אבל אכתי קשה וכו' ובמנחות דקדק דקשר עליון דאורייתא</w:t>
      </w:r>
      <w:r w:rsidRPr="00012502">
        <w:rPr>
          <w:rStyle w:val="ac"/>
          <w:rFonts w:ascii="Narkisim" w:hAnsi="Narkisim"/>
          <w:rtl/>
        </w:rPr>
        <w:footnoteReference w:id="165"/>
      </w:r>
      <w:r w:rsidRPr="00012502">
        <w:rPr>
          <w:rFonts w:ascii="Narkisim" w:hAnsi="Narkisim"/>
          <w:rtl/>
        </w:rPr>
        <w:t xml:space="preserve"> וכו' א"כ לישתק קרא מיחדיו</w:t>
      </w:r>
      <w:r w:rsidRPr="00012502">
        <w:rPr>
          <w:rStyle w:val="ac"/>
          <w:rFonts w:ascii="Narkisim" w:hAnsi="Narkisim"/>
          <w:rtl/>
        </w:rPr>
        <w:footnoteReference w:id="166"/>
      </w:r>
      <w:r w:rsidRPr="00012502">
        <w:rPr>
          <w:rFonts w:ascii="Narkisim" w:hAnsi="Narkisim"/>
          <w:rtl/>
        </w:rPr>
        <w:t>. (ע' משנ"ל ציצית ג ו). וה</w:t>
      </w:r>
      <w:r w:rsidRPr="00012502">
        <w:rPr>
          <w:rFonts w:ascii="Narkisim" w:hAnsi="Narkisim"/>
          <w:b/>
          <w:bCs/>
          <w:rtl/>
        </w:rPr>
        <w:t>תו"י</w:t>
      </w:r>
      <w:r w:rsidRPr="00012502">
        <w:rPr>
          <w:rFonts w:ascii="Narkisim" w:hAnsi="Narkisim"/>
          <w:rtl/>
        </w:rPr>
        <w:t xml:space="preserve"> תי' דקשר עליון דאורייתא מהללמ"ס</w:t>
      </w:r>
      <w:r w:rsidRPr="00012502">
        <w:rPr>
          <w:rStyle w:val="ac"/>
          <w:rFonts w:ascii="Narkisim" w:hAnsi="Narkisim"/>
          <w:rtl/>
        </w:rPr>
        <w:footnoteReference w:id="167"/>
      </w:r>
      <w:r w:rsidRPr="00012502">
        <w:rPr>
          <w:rFonts w:ascii="Narkisim" w:hAnsi="Narkisim"/>
          <w:rtl/>
        </w:rPr>
        <w:t>, וכוונת הגמ' דמוכח כן מהמשניות [דהותר כלאים בציצית].</w:t>
      </w:r>
    </w:p>
    <w:p w14:paraId="0AA1F6ED"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רע"א</w:t>
      </w:r>
      <w:r w:rsidRPr="00012502">
        <w:rPr>
          <w:rFonts w:ascii="Narkisim" w:hAnsi="Narkisim"/>
          <w:rtl/>
        </w:rPr>
        <w:t xml:space="preserve"> </w:t>
      </w:r>
      <w:r w:rsidRPr="00012502">
        <w:rPr>
          <w:rFonts w:ascii="Narkisim" w:hAnsi="Narkisim"/>
          <w:szCs w:val="20"/>
          <w:rtl/>
        </w:rPr>
        <w:t>(</w:t>
      </w:r>
      <w:r w:rsidRPr="00012502">
        <w:rPr>
          <w:rFonts w:ascii="Narkisim" w:hAnsi="Narkisim"/>
          <w:sz w:val="20"/>
          <w:szCs w:val="20"/>
          <w:rtl/>
        </w:rPr>
        <w:t xml:space="preserve">או"ח יא למג"א יג) </w:t>
      </w:r>
      <w:r w:rsidRPr="00012502">
        <w:rPr>
          <w:rFonts w:ascii="Narkisim" w:hAnsi="Narkisim"/>
          <w:rtl/>
        </w:rPr>
        <w:t xml:space="preserve">הק' </w:t>
      </w:r>
      <w:r w:rsidRPr="00012502">
        <w:rPr>
          <w:rFonts w:ascii="Narkisim" w:hAnsi="Narkisim"/>
          <w:sz w:val="20"/>
          <w:szCs w:val="20"/>
          <w:rtl/>
        </w:rPr>
        <w:t>[על הגמ' מנחות שם]</w:t>
      </w:r>
      <w:r w:rsidRPr="00012502">
        <w:rPr>
          <w:rFonts w:ascii="Narkisim" w:hAnsi="Narkisim"/>
          <w:rtl/>
        </w:rPr>
        <w:t xml:space="preserve"> דילמא איצטריך קרא להתיר כלאים היכא </w:t>
      </w:r>
      <w:r w:rsidRPr="00012502">
        <w:rPr>
          <w:rFonts w:ascii="Narkisim" w:hAnsi="Narkisim"/>
          <w:rtl/>
        </w:rPr>
        <w:lastRenderedPageBreak/>
        <w:t>דכבר נקשר הכלאים לבגד, וא"א להתירו כגון בשבת. ורע"א כת' דכה"ג הבגד מצד עצמו הוה כלאים. ובגד שיש בו כלאים לא אמרי' שיטיל בו ציצית, ועי"ז מותר ללובשו משום עשה דוחה ל"ת. דאין חיוב ללבוש בגד שיש בו ציצית. ול"ד לעשה בעלמא דמחוייב לעשותו, אבל הכא אי"צ ללבוש את הבגד.</w:t>
      </w:r>
    </w:p>
    <w:p w14:paraId="028A88B1" w14:textId="77777777" w:rsidR="00BE1D1C" w:rsidRPr="00012502" w:rsidRDefault="00000000" w:rsidP="00012502">
      <w:pPr>
        <w:pStyle w:val="a7"/>
        <w:bidi/>
        <w:rPr>
          <w:rFonts w:ascii="Narkisim" w:hAnsi="Narkisim"/>
        </w:rPr>
      </w:pPr>
      <w:r w:rsidRPr="00012502">
        <w:rPr>
          <w:rFonts w:ascii="Narkisim" w:hAnsi="Narkisim"/>
          <w:rtl/>
        </w:rPr>
        <w:t>ורע"א ביאר דהותר כשחוטי הציצית הוה כלאים, ע"פ מש"כ ה</w:t>
      </w:r>
      <w:r w:rsidRPr="00012502">
        <w:rPr>
          <w:rFonts w:ascii="Narkisim" w:hAnsi="Narkisim"/>
          <w:b/>
          <w:bCs/>
          <w:rtl/>
        </w:rPr>
        <w:t>מרדכי</w:t>
      </w:r>
      <w:r w:rsidRPr="00012502">
        <w:rPr>
          <w:rFonts w:ascii="Narkisim" w:hAnsi="Narkisim"/>
          <w:rtl/>
        </w:rPr>
        <w:t xml:space="preserve"> (הל' ציצית תתקמד) דאין איסור ללבוש טלית בלא ציצית, אלא דע"י שלובש את הבגד מתחייב להטיל בו ציצית</w:t>
      </w:r>
      <w:r w:rsidRPr="00012502">
        <w:rPr>
          <w:rStyle w:val="ac"/>
          <w:rFonts w:ascii="Narkisim" w:hAnsi="Narkisim"/>
          <w:rtl/>
        </w:rPr>
        <w:footnoteReference w:id="168"/>
      </w:r>
      <w:r w:rsidRPr="00012502">
        <w:rPr>
          <w:rFonts w:ascii="Narkisim" w:hAnsi="Narkisim"/>
          <w:rtl/>
        </w:rPr>
        <w:t xml:space="preserve"> [וע"ע </w:t>
      </w:r>
      <w:r w:rsidRPr="00012502">
        <w:rPr>
          <w:rFonts w:ascii="Narkisim" w:hAnsi="Narkisim"/>
          <w:b/>
          <w:bCs/>
          <w:rtl/>
        </w:rPr>
        <w:t>תוס</w:t>
      </w:r>
      <w:r w:rsidRPr="00012502">
        <w:rPr>
          <w:rFonts w:ascii="Narkisim" w:hAnsi="Narkisim"/>
          <w:rtl/>
        </w:rPr>
        <w:t>' לקמן צ:]. וה"נ אילו לא היה עשה דציצית דוחה ל"ת דכלאים היה לובש הבגד בלא ציצית, כיון דאנוס ואינו יכול להטיל בו ציצית. וכיון דלובשו חל חיוב מצוות עשה שדוחה לל"ת דכלאים. אבל במקום דהבגד בעצמותו כלאים</w:t>
      </w:r>
      <w:r w:rsidRPr="00012502">
        <w:rPr>
          <w:rStyle w:val="ac"/>
          <w:rFonts w:ascii="Narkisim" w:hAnsi="Narkisim"/>
          <w:rtl/>
        </w:rPr>
        <w:footnoteReference w:id="169"/>
      </w:r>
      <w:r w:rsidRPr="00012502">
        <w:rPr>
          <w:rFonts w:ascii="Narkisim" w:hAnsi="Narkisim"/>
          <w:rtl/>
        </w:rPr>
        <w:t xml:space="preserve"> לא חל ההיתר כלל.</w:t>
      </w:r>
    </w:p>
    <w:p w14:paraId="17AA9052" w14:textId="77777777" w:rsidR="00BE1D1C" w:rsidRPr="00012502" w:rsidRDefault="00000000" w:rsidP="00012502">
      <w:pPr>
        <w:pStyle w:val="aa"/>
        <w:bidi/>
        <w:rPr>
          <w:rFonts w:ascii="Narkisim" w:hAnsi="Narkisim"/>
        </w:rPr>
      </w:pPr>
      <w:r w:rsidRPr="00012502">
        <w:rPr>
          <w:rFonts w:ascii="Narkisim" w:hAnsi="Narkisim"/>
          <w:rtl/>
        </w:rPr>
        <w:t>ורע"א נקט דגדר עשה דוחה ל"ת הוה דוקא במקום שמבטל מצוות עשה. אבל ה</w:t>
      </w:r>
      <w:r w:rsidRPr="00012502">
        <w:rPr>
          <w:rFonts w:ascii="Narkisim" w:hAnsi="Narkisim"/>
          <w:b/>
          <w:bCs/>
          <w:rtl/>
        </w:rPr>
        <w:t>אחרונים</w:t>
      </w:r>
      <w:r w:rsidRPr="00012502">
        <w:rPr>
          <w:rFonts w:ascii="Narkisim" w:hAnsi="Narkisim"/>
          <w:rtl/>
        </w:rPr>
        <w:t xml:space="preserve"> חלקו דקיום העשה דוחה לל"ת, ואף דאין כאן ביטול עשה, ואינו חייב ללבוש את הבגד.</w:t>
      </w:r>
    </w:p>
    <w:p w14:paraId="056F5F1B" w14:textId="77777777" w:rsidR="00BE1D1C" w:rsidRPr="00012502" w:rsidRDefault="00000000" w:rsidP="00012502">
      <w:pPr>
        <w:pStyle w:val="a8"/>
        <w:bidi/>
        <w:rPr>
          <w:rFonts w:ascii="Narkisim" w:hAnsi="Narkisim"/>
        </w:rPr>
      </w:pPr>
      <w:r w:rsidRPr="00012502">
        <w:rPr>
          <w:rFonts w:ascii="Narkisim" w:hAnsi="Narkisim"/>
          <w:rtl/>
        </w:rPr>
        <w:t>והא דאמר ר"ל (לקמן כ: וכ"מ) דהיכא שאפשר לקיים שניהם לא דחי, היינו כשמקיים את העשה באופן אחר. אבל במה שיכול לפטור עצמו לא חשיב אפשר לקיים שניהם. [והל"ת נדחה כדי לקיים מצוה, ואף דיכול להפטר</w:t>
      </w:r>
      <w:r w:rsidRPr="00012502">
        <w:rPr>
          <w:rStyle w:val="ac"/>
          <w:rFonts w:ascii="Narkisim" w:hAnsi="Narkisim"/>
          <w:rtl/>
        </w:rPr>
        <w:footnoteReference w:id="170"/>
      </w:r>
      <w:r w:rsidRPr="00012502">
        <w:rPr>
          <w:rFonts w:ascii="Narkisim" w:hAnsi="Narkisim"/>
          <w:rtl/>
        </w:rPr>
        <w:t>].</w:t>
      </w:r>
    </w:p>
    <w:p w14:paraId="1CA0339A" w14:textId="77777777" w:rsidR="00BE1D1C" w:rsidRPr="00012502" w:rsidRDefault="00000000" w:rsidP="00012502">
      <w:pPr>
        <w:pStyle w:val="a8"/>
        <w:bidi/>
        <w:rPr>
          <w:rFonts w:ascii="Narkisim" w:hAnsi="Narkisim"/>
        </w:rPr>
      </w:pPr>
      <w:r w:rsidRPr="00012502">
        <w:rPr>
          <w:rFonts w:ascii="Narkisim" w:hAnsi="Narkisim"/>
          <w:rtl/>
        </w:rPr>
        <w:t>ומקור לזה מדברי ה</w:t>
      </w:r>
      <w:r w:rsidRPr="00012502">
        <w:rPr>
          <w:rFonts w:ascii="Narkisim" w:hAnsi="Narkisim"/>
          <w:b/>
          <w:bCs/>
          <w:rtl/>
        </w:rPr>
        <w:t>רמב"ן</w:t>
      </w:r>
      <w:r w:rsidRPr="00012502">
        <w:rPr>
          <w:rFonts w:ascii="Narkisim" w:hAnsi="Narkisim"/>
          <w:rtl/>
        </w:rPr>
        <w:t xml:space="preserve"> (ב"מ ל.) שהקשה דבגמ' מבואר דס"ד דעשה דוחה ל"ת דכהנים וכיבוד אב, הא קודם שהגיע האבידה לידו לא חל מצוות השבה [וכדאיתא ב"מ כו:], אלא לאו דלא תוכל להתעלם. ודוחק דהגמ' איירי באופן שהגביה.</w:t>
      </w:r>
    </w:p>
    <w:p w14:paraId="48E8558A"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חידש דכיון שאם החזירה יקיים מצוות עשה של השבת אבידה, שאם בטל טומאת כהנים קיים עשה דהשבה. ולכן דחי, אע"ג דאם לא החזיר לא יבטל לעשה. וכן בכיבוד אב. וה</w:t>
      </w:r>
      <w:r w:rsidRPr="00012502">
        <w:rPr>
          <w:rFonts w:ascii="Narkisim" w:hAnsi="Narkisim"/>
          <w:b/>
          <w:bCs/>
          <w:rtl/>
        </w:rPr>
        <w:t>קובה"ע</w:t>
      </w:r>
      <w:r w:rsidRPr="00012502">
        <w:rPr>
          <w:rFonts w:ascii="Narkisim" w:hAnsi="Narkisim"/>
          <w:rtl/>
        </w:rPr>
        <w:t xml:space="preserve"> (יד א,ג) הביא מדברי הרמב"ן דקיום המצוה דחי ללא תעשה, ולא סברת ביטול המצוה. [אבל הרמב"ן חזר אבל אינו נכון שכיון דלא חל מצוות השבה</w:t>
      </w:r>
      <w:r w:rsidRPr="00012502">
        <w:rPr>
          <w:rStyle w:val="ac"/>
          <w:rFonts w:ascii="Narkisim" w:hAnsi="Narkisim"/>
          <w:rtl/>
        </w:rPr>
        <w:footnoteReference w:id="171"/>
      </w:r>
      <w:r w:rsidRPr="00012502">
        <w:rPr>
          <w:rFonts w:ascii="Narkisim" w:hAnsi="Narkisim"/>
          <w:rtl/>
        </w:rPr>
        <w:t>, של אב קודם, אי לאו קרא דכולכם חייבים בכבודי].</w:t>
      </w:r>
    </w:p>
    <w:p w14:paraId="14266AA0"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 xml:space="preserve">קובה"ע </w:t>
      </w:r>
      <w:r w:rsidRPr="00012502">
        <w:rPr>
          <w:rFonts w:ascii="Narkisim" w:hAnsi="Narkisim" w:cs="Narkisim"/>
          <w:rtl/>
        </w:rPr>
        <w:t>(סט ח,ט) הביא דה</w:t>
      </w:r>
      <w:r w:rsidRPr="00012502">
        <w:rPr>
          <w:rFonts w:ascii="Narkisim" w:hAnsi="Narkisim" w:cs="Narkisim"/>
          <w:b/>
          <w:bCs/>
          <w:rtl/>
        </w:rPr>
        <w:t>אשכול</w:t>
      </w:r>
      <w:r w:rsidRPr="00012502">
        <w:rPr>
          <w:rFonts w:ascii="Narkisim" w:hAnsi="Narkisim" w:cs="Narkisim"/>
          <w:rtl/>
        </w:rPr>
        <w:t xml:space="preserve"> (מהד' נחל אשכול, הל' ציצית לב) הביא מח'</w:t>
      </w:r>
      <w:r w:rsidRPr="00012502">
        <w:rPr>
          <w:rStyle w:val="ac"/>
          <w:rFonts w:ascii="Narkisim" w:hAnsi="Narkisim" w:cs="Narkisim"/>
          <w:rtl/>
        </w:rPr>
        <w:footnoteReference w:id="172"/>
      </w:r>
      <w:r w:rsidRPr="00012502">
        <w:rPr>
          <w:rFonts w:ascii="Narkisim" w:hAnsi="Narkisim" w:cs="Narkisim"/>
          <w:rtl/>
        </w:rPr>
        <w:t xml:space="preserve"> דכיון דחכמים פטרו סדין בציצית מדרבנן [כדאי' מנחות מ], האם מתחייב משום כלאים מדאורייתא</w:t>
      </w:r>
      <w:r w:rsidRPr="00012502">
        <w:rPr>
          <w:rStyle w:val="ac"/>
          <w:rFonts w:ascii="Narkisim" w:hAnsi="Narkisim" w:cs="Narkisim"/>
          <w:rtl/>
        </w:rPr>
        <w:footnoteReference w:id="173"/>
      </w:r>
      <w:r w:rsidRPr="00012502">
        <w:rPr>
          <w:rFonts w:ascii="Narkisim" w:hAnsi="Narkisim" w:cs="Narkisim"/>
          <w:rtl/>
        </w:rPr>
        <w:t>. וביאר דכיון דחכמים אסרו לעשות ציצית שוב אינו מצווה בעשה, ואינו דוחה לל"ת. והביא בשם ה</w:t>
      </w:r>
      <w:r w:rsidRPr="00012502">
        <w:rPr>
          <w:rFonts w:ascii="Narkisim" w:hAnsi="Narkisim" w:cs="Narkisim"/>
          <w:b/>
          <w:bCs/>
          <w:rtl/>
        </w:rPr>
        <w:t>גר"ח</w:t>
      </w:r>
      <w:r w:rsidRPr="00012502">
        <w:rPr>
          <w:rFonts w:ascii="Narkisim" w:hAnsi="Narkisim" w:cs="Narkisim"/>
          <w:rtl/>
        </w:rPr>
        <w:t xml:space="preserve"> דסברת המ"ד דלוקה, דלא אמרי' עשה דוחה ל"ת כיון דאינו חייב </w:t>
      </w:r>
      <w:r w:rsidRPr="00012502">
        <w:rPr>
          <w:rFonts w:ascii="Narkisim" w:hAnsi="Narkisim" w:cs="Narkisim"/>
          <w:i/>
          <w:iCs/>
          <w:rtl/>
        </w:rPr>
        <w:t>בפועל</w:t>
      </w:r>
      <w:r w:rsidRPr="00012502">
        <w:rPr>
          <w:rFonts w:ascii="Narkisim" w:hAnsi="Narkisim" w:cs="Narkisim"/>
          <w:rtl/>
        </w:rPr>
        <w:t xml:space="preserve"> לקיים המצוה</w:t>
      </w:r>
      <w:r w:rsidRPr="00012502">
        <w:rPr>
          <w:rStyle w:val="ac"/>
          <w:rFonts w:ascii="Narkisim" w:hAnsi="Narkisim" w:cs="Narkisim"/>
          <w:rtl/>
        </w:rPr>
        <w:footnoteReference w:id="174"/>
      </w:r>
      <w:r w:rsidRPr="00012502">
        <w:rPr>
          <w:rFonts w:ascii="Narkisim" w:hAnsi="Narkisim" w:cs="Narkisim"/>
          <w:rtl/>
        </w:rPr>
        <w:t>, ואף שיש 'קיום' לעשה</w:t>
      </w:r>
      <w:r w:rsidRPr="00012502">
        <w:rPr>
          <w:rStyle w:val="ac"/>
          <w:rFonts w:ascii="Narkisim" w:hAnsi="Narkisim" w:cs="Narkisim"/>
          <w:rtl/>
        </w:rPr>
        <w:footnoteReference w:id="175"/>
      </w:r>
      <w:r w:rsidRPr="00012502">
        <w:rPr>
          <w:rFonts w:ascii="Narkisim" w:hAnsi="Narkisim" w:cs="Narkisim"/>
          <w:rtl/>
        </w:rPr>
        <w:t>. והקובה"ע כתב דס"ל חכמים 'עקרו' לעשה, ולכן ל"ש עדל"ת, וחייב על הל"ת</w:t>
      </w:r>
      <w:r w:rsidRPr="00012502">
        <w:rPr>
          <w:rStyle w:val="ac"/>
          <w:rFonts w:ascii="Narkisim" w:hAnsi="Narkisim" w:cs="Narkisim"/>
          <w:rtl/>
        </w:rPr>
        <w:footnoteReference w:id="176"/>
      </w:r>
      <w:r w:rsidRPr="00012502">
        <w:rPr>
          <w:rFonts w:ascii="Narkisim" w:hAnsi="Narkisim" w:cs="Narkisim"/>
          <w:rtl/>
        </w:rPr>
        <w:t>.</w:t>
      </w:r>
    </w:p>
    <w:p w14:paraId="20D52749"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xml:space="preserve">' (חולין קי:, ומנחות מא.) הביאו </w:t>
      </w:r>
      <w:r w:rsidRPr="00012502">
        <w:rPr>
          <w:rFonts w:ascii="Narkisim" w:hAnsi="Narkisim" w:cs="Narkisim"/>
          <w:b/>
          <w:bCs/>
          <w:rtl/>
        </w:rPr>
        <w:t>י"מ</w:t>
      </w:r>
      <w:r w:rsidRPr="00012502">
        <w:rPr>
          <w:rFonts w:ascii="Narkisim" w:hAnsi="Narkisim" w:cs="Narkisim"/>
          <w:rtl/>
        </w:rPr>
        <w:t xml:space="preserve"> דבטלית שאולה דחייב בציצית רק מדרבנן לא הותר כלאים. דאין כאן מצוות עשה מדאורייתא לדחות. ו</w:t>
      </w:r>
      <w:r w:rsidRPr="00012502">
        <w:rPr>
          <w:rFonts w:ascii="Narkisim" w:hAnsi="Narkisim" w:cs="Narkisim"/>
          <w:b/>
          <w:bCs/>
          <w:rtl/>
        </w:rPr>
        <w:t>ר"ת</w:t>
      </w:r>
      <w:r w:rsidRPr="00012502">
        <w:rPr>
          <w:rFonts w:ascii="Narkisim" w:hAnsi="Narkisim" w:cs="Narkisim"/>
          <w:rtl/>
        </w:rPr>
        <w:t xml:space="preserve"> חלק דהותר תכלת של צמר בכל טלית, אפי' טלית פטורה</w:t>
      </w:r>
      <w:r w:rsidRPr="00012502">
        <w:rPr>
          <w:rStyle w:val="ac"/>
          <w:rFonts w:ascii="Narkisim" w:hAnsi="Narkisim" w:cs="Narkisim"/>
          <w:rtl/>
        </w:rPr>
        <w:footnoteReference w:id="177"/>
      </w:r>
      <w:r w:rsidRPr="00012502">
        <w:rPr>
          <w:rFonts w:ascii="Narkisim" w:hAnsi="Narkisim" w:cs="Narkisim"/>
          <w:rtl/>
        </w:rPr>
        <w:t>. ואף בלילה דחי לאיסור כלאים</w:t>
      </w:r>
      <w:r w:rsidRPr="00012502">
        <w:rPr>
          <w:rStyle w:val="ac"/>
          <w:rFonts w:ascii="Narkisim" w:hAnsi="Narkisim" w:cs="Narkisim"/>
          <w:rtl/>
        </w:rPr>
        <w:footnoteReference w:id="178"/>
      </w:r>
      <w:r w:rsidRPr="00012502">
        <w:rPr>
          <w:rFonts w:ascii="Narkisim" w:hAnsi="Narkisim" w:cs="Narkisim"/>
          <w:rtl/>
        </w:rPr>
        <w:t>.</w:t>
      </w:r>
    </w:p>
    <w:p w14:paraId="2C50E6F9" w14:textId="77777777" w:rsidR="00BE1D1C" w:rsidRPr="00012502" w:rsidRDefault="00000000" w:rsidP="00012502">
      <w:pPr>
        <w:pStyle w:val="a8"/>
        <w:bidi/>
        <w:rPr>
          <w:rFonts w:ascii="Narkisim" w:hAnsi="Narkisim"/>
        </w:rPr>
      </w:pPr>
      <w:r w:rsidRPr="00012502">
        <w:rPr>
          <w:rFonts w:ascii="Narkisim" w:hAnsi="Narkisim"/>
          <w:rtl/>
        </w:rPr>
        <w:lastRenderedPageBreak/>
        <w:t>ו</w:t>
      </w:r>
      <w:r w:rsidRPr="00012502">
        <w:rPr>
          <w:rFonts w:ascii="Narkisim" w:hAnsi="Narkisim"/>
          <w:b/>
          <w:bCs/>
          <w:rtl/>
        </w:rPr>
        <w:t>תוס</w:t>
      </w:r>
      <w:r w:rsidRPr="00012502">
        <w:rPr>
          <w:rFonts w:ascii="Narkisim" w:hAnsi="Narkisim"/>
          <w:rtl/>
        </w:rPr>
        <w:t>' (חולין) הביאו דה</w:t>
      </w:r>
      <w:r w:rsidRPr="00012502">
        <w:rPr>
          <w:rFonts w:ascii="Narkisim" w:hAnsi="Narkisim"/>
          <w:b/>
          <w:bCs/>
          <w:rtl/>
        </w:rPr>
        <w:t>ר"א מיץ</w:t>
      </w:r>
      <w:r w:rsidRPr="00012502">
        <w:rPr>
          <w:rFonts w:ascii="Narkisim" w:hAnsi="Narkisim"/>
          <w:rtl/>
        </w:rPr>
        <w:t xml:space="preserve"> הק' דא"כ אף בגדי כהונה נימא דהותר [איסור כלאים], אף שלא במקום מצווה. ותוס' הביאו ד</w:t>
      </w:r>
      <w:r w:rsidRPr="00012502">
        <w:rPr>
          <w:rFonts w:ascii="Narkisim" w:hAnsi="Narkisim"/>
          <w:b/>
          <w:bCs/>
          <w:rtl/>
        </w:rPr>
        <w:t>ר"ת</w:t>
      </w:r>
      <w:r w:rsidRPr="00012502">
        <w:rPr>
          <w:rFonts w:ascii="Narkisim" w:hAnsi="Narkisim"/>
          <w:rtl/>
        </w:rPr>
        <w:t xml:space="preserve"> תי' דאה"נ [וע' לקמן ה:]. אבל </w:t>
      </w:r>
      <w:r w:rsidRPr="00012502">
        <w:rPr>
          <w:rFonts w:ascii="Narkisim" w:hAnsi="Narkisim"/>
          <w:b/>
          <w:bCs/>
          <w:rtl/>
        </w:rPr>
        <w:t>תוס</w:t>
      </w:r>
      <w:r w:rsidRPr="00012502">
        <w:rPr>
          <w:rFonts w:ascii="Narkisim" w:hAnsi="Narkisim"/>
          <w:rtl/>
        </w:rPr>
        <w:t>' (מנחות שם בחד תי', והתו"י יומא) חילק דשאני ציצית דהתירה תורה בגדו ללובשו כן. ול"ד לבגדי כהונה דלובש למצוותו.</w:t>
      </w:r>
    </w:p>
    <w:p w14:paraId="36B9B4ED"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 xml:space="preserve">ראב"ד </w:t>
      </w:r>
      <w:r w:rsidRPr="00012502">
        <w:rPr>
          <w:rFonts w:ascii="Narkisim" w:hAnsi="Narkisim"/>
          <w:rtl/>
        </w:rPr>
        <w:t>(תמיד עה"ג לב.) חלק על ר"ת דכלאים בציצית הוה משום עשה דוחה ל"ת, ולא אמרי' דאישתרי אף בטלית פטורה</w:t>
      </w:r>
      <w:r w:rsidRPr="00012502">
        <w:rPr>
          <w:rStyle w:val="ac"/>
          <w:rFonts w:ascii="Narkisim" w:hAnsi="Narkisim"/>
          <w:rtl/>
        </w:rPr>
        <w:footnoteReference w:id="179"/>
      </w:r>
      <w:r w:rsidRPr="00012502">
        <w:rPr>
          <w:rFonts w:ascii="Narkisim" w:hAnsi="Narkisim"/>
          <w:rtl/>
        </w:rPr>
        <w:t>. וה</w:t>
      </w:r>
      <w:r w:rsidRPr="00012502">
        <w:rPr>
          <w:rFonts w:ascii="Narkisim" w:hAnsi="Narkisim"/>
          <w:b/>
          <w:bCs/>
          <w:rtl/>
        </w:rPr>
        <w:t>ראב"ד</w:t>
      </w:r>
      <w:r w:rsidRPr="00012502">
        <w:rPr>
          <w:rFonts w:ascii="Narkisim" w:hAnsi="Narkisim"/>
          <w:rtl/>
        </w:rPr>
        <w:t xml:space="preserve"> (ציצית ג ט) כתב דנשים ועבדים וקטנים מותרים רק בציצית שאין בה כלאים</w:t>
      </w:r>
      <w:r w:rsidRPr="00012502">
        <w:rPr>
          <w:rStyle w:val="ac"/>
          <w:rFonts w:ascii="Narkisim" w:hAnsi="Narkisim"/>
          <w:rtl/>
        </w:rPr>
        <w:footnoteReference w:id="180"/>
      </w:r>
      <w:r w:rsidRPr="00012502">
        <w:rPr>
          <w:rFonts w:ascii="Narkisim" w:hAnsi="Narkisim"/>
          <w:rtl/>
        </w:rPr>
        <w:t>.</w:t>
      </w:r>
    </w:p>
    <w:p w14:paraId="0D5EB31B"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מנח"ח</w:t>
      </w:r>
      <w:r w:rsidRPr="00012502">
        <w:rPr>
          <w:rFonts w:ascii="Narkisim" w:hAnsi="Narkisim"/>
          <w:rtl/>
        </w:rPr>
        <w:t xml:space="preserve"> (תקנא ד) נקט דלצד דהוה דחויה, בכל מקום דאינו מקיים המצוות עשה דציצית, עובר שוב בל"ת [אבל למ"ד הותרה הוה כחלק ממעשה המצוה]</w:t>
      </w:r>
      <w:r w:rsidRPr="00012502">
        <w:rPr>
          <w:rStyle w:val="ac"/>
          <w:rFonts w:ascii="Narkisim" w:hAnsi="Narkisim"/>
          <w:rtl/>
        </w:rPr>
        <w:footnoteReference w:id="181"/>
      </w:r>
      <w:r w:rsidRPr="00012502">
        <w:rPr>
          <w:rFonts w:ascii="Narkisim" w:hAnsi="Narkisim"/>
          <w:rtl/>
        </w:rPr>
        <w:t>.</w:t>
      </w:r>
      <w:r w:rsidRPr="00012502">
        <w:rPr>
          <w:rStyle w:val="ac"/>
          <w:rFonts w:ascii="Narkisim" w:hAnsi="Narkisim"/>
          <w:rtl/>
        </w:rPr>
        <w:footnoteReference w:id="182"/>
      </w:r>
      <w:r w:rsidRPr="00012502">
        <w:rPr>
          <w:rFonts w:ascii="Narkisim" w:hAnsi="Narkisim"/>
          <w:rtl/>
        </w:rPr>
        <w:t xml:space="preserve"> והאחרונים דנו בזה. [וה</w:t>
      </w:r>
      <w:r w:rsidRPr="00012502">
        <w:rPr>
          <w:rFonts w:ascii="Narkisim" w:hAnsi="Narkisim"/>
          <w:b/>
          <w:bCs/>
          <w:rtl/>
        </w:rPr>
        <w:t>ראב"ד</w:t>
      </w:r>
      <w:r w:rsidRPr="00012502">
        <w:rPr>
          <w:rFonts w:ascii="Narkisim" w:hAnsi="Narkisim"/>
          <w:rtl/>
        </w:rPr>
        <w:t xml:space="preserve"> (תמיד שם) הודה לדברי ר"ת בטלית שאולה, דאף דכלפי הלובש הוה שאול [ואינו מקיים מצוה] מ"מ כלפי בעל הטלית יש חיוב</w:t>
      </w:r>
      <w:r w:rsidRPr="00012502">
        <w:rPr>
          <w:rStyle w:val="ac"/>
          <w:rFonts w:ascii="Narkisim" w:hAnsi="Narkisim"/>
          <w:rtl/>
        </w:rPr>
        <w:footnoteReference w:id="183"/>
      </w:r>
      <w:r w:rsidRPr="00012502">
        <w:rPr>
          <w:rFonts w:ascii="Narkisim" w:hAnsi="Narkisim"/>
          <w:rtl/>
        </w:rPr>
        <w:t>.</w:t>
      </w:r>
    </w:p>
    <w:p w14:paraId="0509BF78" w14:textId="77777777" w:rsidR="00BE1D1C" w:rsidRPr="00012502" w:rsidRDefault="00000000" w:rsidP="00012502">
      <w:pPr>
        <w:bidi/>
        <w:rPr>
          <w:rFonts w:ascii="Narkisim" w:hAnsi="Narkisim" w:cs="Narkisim"/>
        </w:rPr>
      </w:pPr>
      <w:r w:rsidRPr="00012502">
        <w:rPr>
          <w:rFonts w:ascii="Narkisim" w:hAnsi="Narkisim" w:cs="Narkisim"/>
          <w:rtl/>
        </w:rPr>
        <w:t>ובפשוטו נקטו ה</w:t>
      </w:r>
      <w:r w:rsidRPr="00012502">
        <w:rPr>
          <w:rFonts w:ascii="Narkisim" w:hAnsi="Narkisim" w:cs="Narkisim"/>
          <w:b/>
          <w:bCs/>
          <w:rtl/>
        </w:rPr>
        <w:t>אחרונים</w:t>
      </w:r>
      <w:r w:rsidRPr="00012502">
        <w:rPr>
          <w:rFonts w:ascii="Narkisim" w:hAnsi="Narkisim" w:cs="Narkisim"/>
          <w:rtl/>
        </w:rPr>
        <w:t xml:space="preserve"> דכוונת ר"ת דכלאים בציצית הותר לגמרי [בגדר הותרה], ולא בגדר עשה דוחה ל"ת</w:t>
      </w:r>
      <w:r w:rsidRPr="00012502">
        <w:rPr>
          <w:rStyle w:val="ac"/>
          <w:rFonts w:ascii="Narkisim" w:hAnsi="Narkisim" w:cs="Narkisim"/>
          <w:rtl/>
        </w:rPr>
        <w:footnoteReference w:id="184"/>
      </w:r>
      <w:r w:rsidRPr="00012502">
        <w:rPr>
          <w:rFonts w:ascii="Narkisim" w:hAnsi="Narkisim" w:cs="Narkisim"/>
          <w:rtl/>
        </w:rPr>
        <w:t>. אבל ה</w:t>
      </w:r>
      <w:r w:rsidRPr="00012502">
        <w:rPr>
          <w:rFonts w:ascii="Narkisim" w:hAnsi="Narkisim" w:cs="Narkisim"/>
          <w:b/>
          <w:bCs/>
          <w:rtl/>
        </w:rPr>
        <w:t>רא"ש</w:t>
      </w:r>
      <w:r w:rsidRPr="00012502">
        <w:rPr>
          <w:rFonts w:ascii="Narkisim" w:hAnsi="Narkisim" w:cs="Narkisim"/>
          <w:rtl/>
        </w:rPr>
        <w:t xml:space="preserve"> (ציצית ב, ועד"ז התו"י יומא סט.) כת' דדרשי' גדילים תעשה לך, לא תלבש שעטנז. משמע דהתורה התירה ללבוש טלית זה בין ביום ובין בלילה, כל זמן עיקר הנאתם</w:t>
      </w:r>
      <w:r w:rsidRPr="00012502">
        <w:rPr>
          <w:rStyle w:val="ac"/>
          <w:rFonts w:ascii="Narkisim" w:hAnsi="Narkisim" w:cs="Narkisim"/>
          <w:rtl/>
        </w:rPr>
        <w:footnoteReference w:id="185"/>
      </w:r>
      <w:r w:rsidRPr="00012502">
        <w:rPr>
          <w:rFonts w:ascii="Narkisim" w:hAnsi="Narkisim" w:cs="Narkisim"/>
          <w:rtl/>
        </w:rPr>
        <w:t>.</w:t>
      </w:r>
    </w:p>
    <w:p w14:paraId="62031BF5"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ביארו דלעולם הוה גדר היתר עשה דוחה ל"ת. אלא דגדר ההיתר שיהא בגדו, וצוותה תורה להטיל בו צמר. ומותר שיהא טליתו עם צמר אף שלא בשעת קיום המצווה [דאל"כ לא יחשב 'בגדו'].</w:t>
      </w:r>
    </w:p>
    <w:p w14:paraId="2C547D24" w14:textId="77777777" w:rsidR="00BE1D1C" w:rsidRPr="00012502" w:rsidRDefault="00000000" w:rsidP="00012502">
      <w:pPr>
        <w:bidi/>
        <w:rPr>
          <w:rFonts w:ascii="Narkisim" w:hAnsi="Narkisim" w:cs="Narkisim"/>
        </w:rPr>
      </w:pPr>
      <w:r w:rsidRPr="00012502">
        <w:rPr>
          <w:rFonts w:ascii="Narkisim" w:hAnsi="Narkisim" w:cs="Narkisim"/>
          <w:u w:val="single"/>
          <w:rtl/>
        </w:rPr>
        <w:t>כתב רחמנא צמר ופשתים דאפי' צמר לפשתים.</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(כתובות מ.) הקשו דכלאים בציצית אפשר לקיים שניהם, שיעשה חוטי צמר בבגד צמר. [</w:t>
      </w:r>
      <w:r w:rsidRPr="00012502">
        <w:rPr>
          <w:rFonts w:ascii="Narkisim" w:hAnsi="Narkisim" w:cs="Narkisim"/>
          <w:sz w:val="20"/>
          <w:szCs w:val="20"/>
          <w:rtl/>
        </w:rPr>
        <w:t xml:space="preserve">וכ"כ </w:t>
      </w:r>
      <w:r w:rsidRPr="00012502">
        <w:rPr>
          <w:rFonts w:ascii="Narkisim" w:hAnsi="Narkisim" w:cs="Narkisim"/>
          <w:b/>
          <w:bCs/>
          <w:sz w:val="20"/>
          <w:szCs w:val="20"/>
          <w:rtl/>
        </w:rPr>
        <w:t>תוס</w:t>
      </w:r>
      <w:r w:rsidRPr="00012502">
        <w:rPr>
          <w:rFonts w:ascii="Narkisim" w:hAnsi="Narkisim" w:cs="Narkisim"/>
          <w:sz w:val="20"/>
          <w:szCs w:val="20"/>
          <w:rtl/>
        </w:rPr>
        <w:t>' (מנחות מ. ד"ה סדין) בחד תי', דלדעת בית שמאי לא שרי כלאים בציצית</w:t>
      </w:r>
      <w:r w:rsidRPr="00012502">
        <w:rPr>
          <w:rStyle w:val="ac"/>
          <w:rFonts w:ascii="Narkisim" w:hAnsi="Narkisim" w:cs="Narkisim"/>
          <w:sz w:val="20"/>
          <w:szCs w:val="20"/>
          <w:rtl/>
        </w:rPr>
        <w:footnoteReference w:id="186"/>
      </w:r>
      <w:r w:rsidRPr="00012502">
        <w:rPr>
          <w:rFonts w:ascii="Narkisim" w:hAnsi="Narkisim" w:cs="Narkisim"/>
          <w:sz w:val="20"/>
          <w:szCs w:val="20"/>
          <w:rtl/>
        </w:rPr>
        <w:t>, דהא אפשר במינו ועיקר מצות תכלת לא יהא אלא בצמר</w:t>
      </w:r>
      <w:r w:rsidRPr="00012502">
        <w:rPr>
          <w:rFonts w:ascii="Narkisim" w:hAnsi="Narkisim" w:cs="Narkisim"/>
          <w:rtl/>
        </w:rPr>
        <w:t>].</w:t>
      </w:r>
    </w:p>
    <w:p w14:paraId="4051A093" w14:textId="77777777" w:rsidR="00BE1D1C" w:rsidRPr="00012502" w:rsidRDefault="00000000" w:rsidP="00012502">
      <w:pPr>
        <w:pStyle w:val="a7"/>
        <w:bidi/>
        <w:rPr>
          <w:rFonts w:ascii="Narkisim" w:hAnsi="Narkisim"/>
        </w:rPr>
      </w:pPr>
      <w:r w:rsidRPr="00012502">
        <w:rPr>
          <w:rFonts w:ascii="Narkisim" w:hAnsi="Narkisim"/>
          <w:rtl/>
        </w:rPr>
        <w:t>ותוס' (כתובות) תי' דבבגד של פשתן אי אפשר לקיים מצוות תכלת, וזה אין לנו לומר שיהא אסור ללבוש טלית של פשתן משום דאפשר בשל צמר, דאי"ז חשוב אפשר. וה</w:t>
      </w:r>
      <w:r w:rsidRPr="00012502">
        <w:rPr>
          <w:rFonts w:ascii="Narkisim" w:hAnsi="Narkisim"/>
          <w:b/>
          <w:bCs/>
          <w:rtl/>
        </w:rPr>
        <w:t>אחרונים</w:t>
      </w:r>
      <w:r w:rsidRPr="00012502">
        <w:rPr>
          <w:rFonts w:ascii="Narkisim" w:hAnsi="Narkisim"/>
          <w:rtl/>
        </w:rPr>
        <w:t xml:space="preserve"> ביארו דכוונתם דלבישת הבגד גורם לחיוב הציצית, א"כ מה שיכול ללבוש בגד אחר אינו שייך לבגד זה.</w:t>
      </w:r>
      <w:r w:rsidRPr="00012502">
        <w:rPr>
          <w:rFonts w:ascii="Narkisim" w:hAnsi="Narkisim"/>
          <w:sz w:val="20"/>
          <w:szCs w:val="20"/>
          <w:rtl/>
        </w:rPr>
        <w:t xml:space="preserve"> וה</w:t>
      </w:r>
      <w:r w:rsidRPr="00012502">
        <w:rPr>
          <w:rFonts w:ascii="Narkisim" w:hAnsi="Narkisim"/>
          <w:b/>
          <w:bCs/>
          <w:sz w:val="20"/>
          <w:szCs w:val="20"/>
          <w:rtl/>
        </w:rPr>
        <w:t>קובה"ע</w:t>
      </w:r>
      <w:r w:rsidRPr="00012502">
        <w:rPr>
          <w:rFonts w:ascii="Narkisim" w:hAnsi="Narkisim"/>
          <w:sz w:val="20"/>
          <w:szCs w:val="20"/>
          <w:rtl/>
        </w:rPr>
        <w:t xml:space="preserve"> (יד ח) הוסיף דכשיש לו ב' בגדים חייב על כל א' בפנ"ע. ועוד פי' דהתורה חייבה כשלובש הבגד להנאתו, וה"נ יש לבישה בפנ"ע.</w:t>
      </w:r>
    </w:p>
    <w:p w14:paraId="168A00B8"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פנ"י</w:t>
      </w:r>
      <w:r w:rsidRPr="00012502">
        <w:rPr>
          <w:rFonts w:ascii="Narkisim" w:hAnsi="Narkisim"/>
          <w:rtl/>
        </w:rPr>
        <w:t xml:space="preserve"> ביאר כוונת התוס' ע"פ דברי ה</w:t>
      </w:r>
      <w:r w:rsidRPr="00012502">
        <w:rPr>
          <w:rFonts w:ascii="Narkisim" w:hAnsi="Narkisim"/>
          <w:b/>
          <w:bCs/>
          <w:rtl/>
        </w:rPr>
        <w:t>מרדכי</w:t>
      </w:r>
      <w:r w:rsidRPr="00012502">
        <w:rPr>
          <w:rFonts w:ascii="Narkisim" w:hAnsi="Narkisim"/>
          <w:rtl/>
        </w:rPr>
        <w:t xml:space="preserve"> דכשאינו יכול להטיל ציצית מותר ללבוש את הבגד דהוה אונס</w:t>
      </w:r>
      <w:r w:rsidRPr="00012502">
        <w:rPr>
          <w:rStyle w:val="ac"/>
          <w:rFonts w:ascii="Narkisim" w:hAnsi="Narkisim"/>
          <w:rtl/>
        </w:rPr>
        <w:footnoteReference w:id="187"/>
      </w:r>
      <w:r w:rsidRPr="00012502">
        <w:rPr>
          <w:rFonts w:ascii="Narkisim" w:hAnsi="Narkisim"/>
          <w:rtl/>
        </w:rPr>
        <w:t>.</w:t>
      </w:r>
    </w:p>
    <w:p w14:paraId="474A5A1A" w14:textId="77777777" w:rsidR="00BE1D1C" w:rsidRPr="00012502" w:rsidRDefault="00000000" w:rsidP="00012502">
      <w:pPr>
        <w:bidi/>
        <w:rPr>
          <w:rFonts w:ascii="Narkisim" w:hAnsi="Narkisim" w:cs="Narkisim"/>
        </w:rPr>
      </w:pPr>
      <w:r w:rsidRPr="00012502">
        <w:rPr>
          <w:rFonts w:ascii="Narkisim" w:hAnsi="Narkisim" w:cs="Narkisim"/>
          <w:u w:val="single"/>
          <w:rtl/>
        </w:rPr>
        <w:t>ופשתים לצמר.</w:t>
      </w:r>
      <w:r w:rsidRPr="00012502">
        <w:rPr>
          <w:rFonts w:ascii="Narkisim" w:hAnsi="Narkisim" w:cs="Narkisim"/>
          <w:rtl/>
        </w:rPr>
        <w:t xml:space="preserve"> מבואר דאף כה"ג אמרי' דעשה דוחה ל"ת, ומטיל חוטי לבן של פשתן בבגד צמר. וה</w:t>
      </w:r>
      <w:r w:rsidRPr="00012502">
        <w:rPr>
          <w:rFonts w:ascii="Narkisim" w:hAnsi="Narkisim" w:cs="Narkisim"/>
          <w:b/>
          <w:bCs/>
          <w:rtl/>
        </w:rPr>
        <w:t>ראשונים</w:t>
      </w:r>
      <w:r w:rsidRPr="00012502">
        <w:rPr>
          <w:rFonts w:ascii="Narkisim" w:hAnsi="Narkisim" w:cs="Narkisim"/>
          <w:rtl/>
        </w:rPr>
        <w:t xml:space="preserve"> הק' אמאי לא יטיל חוטי צמר, דאמר </w:t>
      </w:r>
      <w:r w:rsidRPr="00012502">
        <w:rPr>
          <w:rFonts w:ascii="Narkisim" w:hAnsi="Narkisim" w:cs="Narkisim"/>
          <w:b/>
          <w:bCs/>
          <w:rtl/>
        </w:rPr>
        <w:t>ר"ל</w:t>
      </w:r>
      <w:r w:rsidRPr="00012502">
        <w:rPr>
          <w:rFonts w:ascii="Narkisim" w:hAnsi="Narkisim" w:cs="Narkisim"/>
          <w:rtl/>
        </w:rPr>
        <w:t xml:space="preserve"> (לקמן כ:) דבמקום דאפשר לקיים שניהם לא אמרי' עדל"ת. ה</w:t>
      </w:r>
      <w:r w:rsidRPr="00012502">
        <w:rPr>
          <w:rFonts w:ascii="Narkisim" w:hAnsi="Narkisim" w:cs="Narkisim"/>
          <w:b/>
          <w:bCs/>
          <w:rtl/>
        </w:rPr>
        <w:t>רמב"ן</w:t>
      </w:r>
      <w:r w:rsidRPr="00012502">
        <w:rPr>
          <w:rFonts w:ascii="Narkisim" w:hAnsi="Narkisim" w:cs="Narkisim"/>
          <w:rtl/>
        </w:rPr>
        <w:t xml:space="preserve"> כתב דהא דאיתא דחוטי פשתן פוטרין בשל צמר פליג אר"ל, וס"ל דאמרי' עדל"ת אפי' במקום דאפשר לקיים שניהם.</w:t>
      </w:r>
    </w:p>
    <w:p w14:paraId="0A6F6753" w14:textId="77777777" w:rsidR="00BE1D1C" w:rsidRPr="00012502" w:rsidRDefault="00000000" w:rsidP="00012502">
      <w:pPr>
        <w:pStyle w:val="a7"/>
        <w:bidi/>
        <w:rPr>
          <w:rFonts w:ascii="Narkisim" w:hAnsi="Narkisim"/>
        </w:rPr>
      </w:pPr>
      <w:r w:rsidRPr="00012502">
        <w:rPr>
          <w:rFonts w:ascii="Narkisim" w:hAnsi="Narkisim"/>
          <w:rtl/>
        </w:rPr>
        <w:lastRenderedPageBreak/>
        <w:t>וה</w:t>
      </w:r>
      <w:r w:rsidRPr="00012502">
        <w:rPr>
          <w:rFonts w:ascii="Narkisim" w:hAnsi="Narkisim"/>
          <w:b/>
          <w:bCs/>
          <w:rtl/>
        </w:rPr>
        <w:t xml:space="preserve">רשב"א </w:t>
      </w:r>
      <w:r w:rsidRPr="00012502">
        <w:rPr>
          <w:rFonts w:ascii="Narkisim" w:hAnsi="Narkisim"/>
          <w:rtl/>
        </w:rPr>
        <w:t>כת' דאיירי דאין לו חוטין אחרים. ואינו חייב לקרוע את הכנף [להוציא חוטין</w:t>
      </w:r>
      <w:r w:rsidRPr="00012502">
        <w:rPr>
          <w:rStyle w:val="ac"/>
          <w:rFonts w:ascii="Narkisim" w:hAnsi="Narkisim"/>
          <w:rtl/>
        </w:rPr>
        <w:footnoteReference w:id="188"/>
      </w:r>
      <w:r w:rsidRPr="00012502">
        <w:rPr>
          <w:rFonts w:ascii="Narkisim" w:hAnsi="Narkisim"/>
          <w:rtl/>
        </w:rPr>
        <w:t>] והוה כמי שאין לו חוט ממינו</w:t>
      </w:r>
      <w:r w:rsidRPr="00012502">
        <w:rPr>
          <w:rStyle w:val="ac"/>
          <w:rFonts w:ascii="Narkisim" w:hAnsi="Narkisim"/>
          <w:rtl/>
        </w:rPr>
        <w:footnoteReference w:id="189"/>
      </w:r>
      <w:r w:rsidRPr="00012502">
        <w:rPr>
          <w:rFonts w:ascii="Narkisim" w:hAnsi="Narkisim"/>
          <w:rtl/>
        </w:rPr>
        <w:t xml:space="preserve">. </w:t>
      </w:r>
      <w:r w:rsidRPr="00012502">
        <w:rPr>
          <w:rFonts w:ascii="Narkisim" w:hAnsi="Narkisim"/>
          <w:szCs w:val="20"/>
          <w:rtl/>
        </w:rPr>
        <w:t>[וכ"כ ר' ירוחם הו' בב"י או"ח יא]</w:t>
      </w:r>
      <w:r w:rsidRPr="00012502">
        <w:rPr>
          <w:rFonts w:ascii="Narkisim" w:hAnsi="Narkisim"/>
          <w:rtl/>
        </w:rPr>
        <w:t>.</w:t>
      </w:r>
      <w:r w:rsidRPr="00012502">
        <w:rPr>
          <w:rFonts w:ascii="Narkisim" w:hAnsi="Narkisim"/>
          <w:sz w:val="20"/>
          <w:szCs w:val="20"/>
          <w:rtl/>
        </w:rPr>
        <w:t xml:space="preserve"> וה</w:t>
      </w:r>
      <w:r w:rsidRPr="00012502">
        <w:rPr>
          <w:rFonts w:ascii="Narkisim" w:hAnsi="Narkisim"/>
          <w:b/>
          <w:bCs/>
          <w:sz w:val="20"/>
          <w:szCs w:val="20"/>
          <w:rtl/>
        </w:rPr>
        <w:t>קובה"ע</w:t>
      </w:r>
      <w:r w:rsidRPr="00012502">
        <w:rPr>
          <w:rFonts w:ascii="Narkisim" w:hAnsi="Narkisim"/>
          <w:sz w:val="20"/>
          <w:szCs w:val="20"/>
          <w:rtl/>
        </w:rPr>
        <w:t xml:space="preserve"> (יד ז) הק' אמאי אינו חייב, הרי אינו יותר מחומש נכסיו</w:t>
      </w:r>
      <w:r w:rsidRPr="00012502">
        <w:rPr>
          <w:rStyle w:val="ac"/>
          <w:rFonts w:ascii="Narkisim" w:hAnsi="Narkisim"/>
          <w:sz w:val="20"/>
          <w:szCs w:val="20"/>
          <w:rtl/>
        </w:rPr>
        <w:footnoteReference w:id="190"/>
      </w:r>
      <w:r w:rsidRPr="00012502">
        <w:rPr>
          <w:rFonts w:ascii="Narkisim" w:hAnsi="Narkisim"/>
          <w:sz w:val="20"/>
          <w:szCs w:val="20"/>
          <w:rtl/>
        </w:rPr>
        <w:t>. וב</w:t>
      </w:r>
      <w:r w:rsidRPr="00012502">
        <w:rPr>
          <w:rFonts w:ascii="Narkisim" w:hAnsi="Narkisim"/>
          <w:b/>
          <w:bCs/>
          <w:sz w:val="20"/>
          <w:szCs w:val="20"/>
          <w:rtl/>
        </w:rPr>
        <w:t>חי' ר' ראובן</w:t>
      </w:r>
      <w:r w:rsidRPr="00012502">
        <w:rPr>
          <w:rFonts w:ascii="Narkisim" w:hAnsi="Narkisim"/>
          <w:sz w:val="20"/>
          <w:szCs w:val="20"/>
          <w:rtl/>
        </w:rPr>
        <w:t xml:space="preserve"> ביאר דחיוב ציצית הוא על כל הבגד, ובבגד הזה [כולל חוטים אלו] א"א בענין אחר</w:t>
      </w:r>
      <w:r w:rsidRPr="00012502">
        <w:rPr>
          <w:rFonts w:ascii="Narkisim" w:hAnsi="Narkisim"/>
          <w:rtl/>
        </w:rPr>
        <w:t>.</w:t>
      </w:r>
    </w:p>
    <w:p w14:paraId="6EDB8064"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ב"י</w:t>
      </w:r>
      <w:r w:rsidRPr="00012502">
        <w:rPr>
          <w:rFonts w:ascii="Narkisim" w:hAnsi="Narkisim"/>
          <w:rtl/>
        </w:rPr>
        <w:t xml:space="preserve"> (או"ח יא) חלק דאף כשאין לו חוטין אחרים לא דחינן ל"ת, מאחר דאילו היה מצוי היה אפשר לקיים שניהם</w:t>
      </w:r>
      <w:r w:rsidRPr="00012502">
        <w:rPr>
          <w:rStyle w:val="ac"/>
          <w:rFonts w:ascii="Narkisim" w:hAnsi="Narkisim"/>
          <w:rtl/>
        </w:rPr>
        <w:footnoteReference w:id="191"/>
      </w:r>
      <w:r w:rsidRPr="00012502">
        <w:rPr>
          <w:rFonts w:ascii="Narkisim" w:hAnsi="Narkisim"/>
          <w:rtl/>
        </w:rPr>
        <w:t>. וכעין סברא זו כת' ה</w:t>
      </w:r>
      <w:r w:rsidRPr="00012502">
        <w:rPr>
          <w:rFonts w:ascii="Narkisim" w:hAnsi="Narkisim"/>
          <w:b/>
          <w:bCs/>
          <w:rtl/>
        </w:rPr>
        <w:t xml:space="preserve">שאג"א </w:t>
      </w:r>
      <w:r w:rsidRPr="00012502">
        <w:rPr>
          <w:rFonts w:ascii="Narkisim" w:hAnsi="Narkisim"/>
          <w:sz w:val="20"/>
          <w:szCs w:val="20"/>
          <w:rtl/>
        </w:rPr>
        <w:t>(צו, באופן הד')</w:t>
      </w:r>
      <w:r w:rsidRPr="00012502">
        <w:rPr>
          <w:rFonts w:ascii="Narkisim" w:hAnsi="Narkisim"/>
          <w:rtl/>
        </w:rPr>
        <w:t xml:space="preserve"> דלא אמרי' עשה דוחה ל"ת אלא היכא דלעולם בעי לדחיה. </w:t>
      </w:r>
      <w:r w:rsidRPr="00012502">
        <w:rPr>
          <w:rFonts w:ascii="Narkisim" w:hAnsi="Narkisim"/>
          <w:sz w:val="20"/>
          <w:szCs w:val="20"/>
          <w:rtl/>
        </w:rPr>
        <w:t>וה</w:t>
      </w:r>
      <w:r w:rsidRPr="00012502">
        <w:rPr>
          <w:rFonts w:ascii="Narkisim" w:hAnsi="Narkisim"/>
          <w:b/>
          <w:bCs/>
          <w:sz w:val="20"/>
          <w:szCs w:val="20"/>
          <w:rtl/>
        </w:rPr>
        <w:t>קובה"ע</w:t>
      </w:r>
      <w:r w:rsidRPr="00012502">
        <w:rPr>
          <w:rFonts w:ascii="Narkisim" w:hAnsi="Narkisim"/>
          <w:sz w:val="20"/>
          <w:szCs w:val="20"/>
          <w:rtl/>
        </w:rPr>
        <w:t xml:space="preserve"> (ז א) ביאר דרק במקום שקיום המצוה מחייב לעבור על האיסור, אמרי' עדל"ת דדלא נאמרה במקום ל"ת זו [ע"פ לשון ר' נסים גאון, הו' בע"א]. אבל במה שנזדמן אח"כ לא דחי.</w:t>
      </w:r>
    </w:p>
    <w:p w14:paraId="75D960BB"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שאג"א</w:t>
      </w:r>
      <w:r w:rsidRPr="00012502">
        <w:rPr>
          <w:rFonts w:ascii="Narkisim" w:hAnsi="Narkisim"/>
          <w:rtl/>
        </w:rPr>
        <w:t xml:space="preserve"> הקשה ע"ז דמבואר גבי מילה בצרעת (שבת קלג.), דאי ליכא אחר [דאינו מתכוון להורדת הבהרת] מותר באב</w:t>
      </w:r>
      <w:r w:rsidRPr="00012502">
        <w:rPr>
          <w:rStyle w:val="ac"/>
          <w:rFonts w:ascii="Narkisim" w:hAnsi="Narkisim"/>
          <w:rtl/>
        </w:rPr>
        <w:footnoteReference w:id="192"/>
      </w:r>
      <w:r w:rsidRPr="00012502">
        <w:rPr>
          <w:rFonts w:ascii="Narkisim" w:hAnsi="Narkisim"/>
          <w:rtl/>
        </w:rPr>
        <w:t>. ועוד הקשו ה</w:t>
      </w:r>
      <w:r w:rsidRPr="00012502">
        <w:rPr>
          <w:rFonts w:ascii="Narkisim" w:hAnsi="Narkisim"/>
          <w:b/>
          <w:bCs/>
          <w:rtl/>
        </w:rPr>
        <w:t>אחרונים</w:t>
      </w:r>
      <w:r w:rsidRPr="00012502">
        <w:rPr>
          <w:rFonts w:ascii="Narkisim" w:hAnsi="Narkisim"/>
          <w:rtl/>
        </w:rPr>
        <w:t xml:space="preserve"> דבגמ' (ביצה ח:) אי' דכשאין לו עפר לכיסוי, דנו דדוחה יו"ט.</w:t>
      </w:r>
    </w:p>
    <w:p w14:paraId="2F60CF0F" w14:textId="77777777" w:rsidR="00BE1D1C" w:rsidRPr="00012502" w:rsidRDefault="00000000" w:rsidP="00012502">
      <w:pPr>
        <w:pStyle w:val="a7"/>
        <w:bidi/>
        <w:rPr>
          <w:rFonts w:ascii="Narkisim" w:hAnsi="Narkisim"/>
        </w:rPr>
      </w:pPr>
      <w:r w:rsidRPr="00012502">
        <w:rPr>
          <w:rFonts w:ascii="Narkisim" w:hAnsi="Narkisim"/>
          <w:rtl/>
        </w:rPr>
        <w:t xml:space="preserve">אבל </w:t>
      </w:r>
      <w:r w:rsidRPr="00012502">
        <w:rPr>
          <w:rFonts w:ascii="Narkisim" w:hAnsi="Narkisim"/>
          <w:b/>
          <w:bCs/>
          <w:rtl/>
        </w:rPr>
        <w:t>תוס</w:t>
      </w:r>
      <w:r w:rsidRPr="00012502">
        <w:rPr>
          <w:rFonts w:ascii="Narkisim" w:hAnsi="Narkisim"/>
          <w:rtl/>
        </w:rPr>
        <w:t xml:space="preserve">' (ד"ה דאפילו) כת' דהוה מדין 'מיגו' דכלאים של פשתן פוטר. </w:t>
      </w:r>
      <w:r w:rsidRPr="00012502">
        <w:rPr>
          <w:rFonts w:ascii="Narkisim" w:hAnsi="Narkisim"/>
          <w:sz w:val="20"/>
          <w:szCs w:val="20"/>
          <w:rtl/>
        </w:rPr>
        <w:t>[ו</w:t>
      </w:r>
      <w:r w:rsidRPr="00012502">
        <w:rPr>
          <w:rFonts w:ascii="Narkisim" w:hAnsi="Narkisim"/>
          <w:b/>
          <w:bCs/>
          <w:sz w:val="20"/>
          <w:szCs w:val="20"/>
          <w:rtl/>
        </w:rPr>
        <w:t>תוס</w:t>
      </w:r>
      <w:r w:rsidRPr="00012502">
        <w:rPr>
          <w:rFonts w:ascii="Narkisim" w:hAnsi="Narkisim"/>
          <w:sz w:val="20"/>
          <w:szCs w:val="20"/>
          <w:rtl/>
        </w:rPr>
        <w:t>' (מנחות מ. ד"ה כיון, בתי' הא') פי' עד"ז דברי הגמ' שם לט:</w:t>
      </w:r>
      <w:r w:rsidRPr="00012502">
        <w:rPr>
          <w:rStyle w:val="ac"/>
          <w:rFonts w:ascii="Narkisim" w:hAnsi="Narkisim"/>
          <w:sz w:val="20"/>
          <w:szCs w:val="20"/>
          <w:rtl/>
        </w:rPr>
        <w:footnoteReference w:id="193"/>
      </w:r>
      <w:r w:rsidRPr="00012502">
        <w:rPr>
          <w:rFonts w:ascii="Narkisim" w:hAnsi="Narkisim"/>
          <w:rtl/>
        </w:rPr>
        <w:t>]. וה</w:t>
      </w:r>
      <w:r w:rsidRPr="00012502">
        <w:rPr>
          <w:rFonts w:ascii="Narkisim" w:hAnsi="Narkisim"/>
          <w:b/>
          <w:bCs/>
          <w:rtl/>
        </w:rPr>
        <w:t>אחרונים</w:t>
      </w:r>
      <w:r w:rsidRPr="00012502">
        <w:rPr>
          <w:rFonts w:ascii="Narkisim" w:hAnsi="Narkisim"/>
          <w:rtl/>
        </w:rPr>
        <w:t xml:space="preserve"> ביארו דקאי כדעת </w:t>
      </w:r>
      <w:r w:rsidRPr="00012502">
        <w:rPr>
          <w:rFonts w:ascii="Narkisim" w:hAnsi="Narkisim"/>
          <w:b/>
          <w:bCs/>
          <w:rtl/>
        </w:rPr>
        <w:t>ר"ת</w:t>
      </w:r>
      <w:r w:rsidRPr="00012502">
        <w:rPr>
          <w:rFonts w:ascii="Narkisim" w:hAnsi="Narkisim"/>
          <w:rtl/>
        </w:rPr>
        <w:t xml:space="preserve"> (הנ"ל) דכלאים בציצית הותרה, ובזה לא בעינן אפשר לקיים שניהם</w:t>
      </w:r>
      <w:r w:rsidRPr="00012502">
        <w:rPr>
          <w:rStyle w:val="ac"/>
          <w:rFonts w:ascii="Narkisim" w:hAnsi="Narkisim"/>
          <w:rtl/>
        </w:rPr>
        <w:footnoteReference w:id="194"/>
      </w:r>
      <w:r w:rsidRPr="00012502">
        <w:rPr>
          <w:rFonts w:ascii="Narkisim" w:hAnsi="Narkisim"/>
          <w:rtl/>
        </w:rPr>
        <w:t>. וכ"כ ה</w:t>
      </w:r>
      <w:r w:rsidRPr="00012502">
        <w:rPr>
          <w:rFonts w:ascii="Narkisim" w:hAnsi="Narkisim"/>
          <w:b/>
          <w:bCs/>
          <w:rtl/>
        </w:rPr>
        <w:t>רמב"ן</w:t>
      </w:r>
      <w:r w:rsidRPr="00012502">
        <w:rPr>
          <w:rFonts w:ascii="Narkisim" w:hAnsi="Narkisim"/>
          <w:rtl/>
        </w:rPr>
        <w:t xml:space="preserve"> (שבת קלב:) דסדין בציצית הותר מהיקש</w:t>
      </w:r>
      <w:r w:rsidRPr="00012502">
        <w:rPr>
          <w:rStyle w:val="ac"/>
          <w:rFonts w:ascii="Narkisim" w:hAnsi="Narkisim"/>
          <w:rtl/>
        </w:rPr>
        <w:footnoteReference w:id="195"/>
      </w:r>
      <w:r w:rsidRPr="00012502">
        <w:rPr>
          <w:rFonts w:ascii="Narkisim" w:hAnsi="Narkisim"/>
          <w:rtl/>
        </w:rPr>
        <w:t>, ואינו בתורת עשה דוחה ל"ת, דא"כ הדין דאפשר לקיים שניהם לא דחי, ובמנחות</w:t>
      </w:r>
      <w:r w:rsidRPr="00012502">
        <w:rPr>
          <w:rFonts w:ascii="Narkisim" w:hAnsi="Narkisim"/>
          <w:sz w:val="20"/>
          <w:szCs w:val="20"/>
          <w:rtl/>
        </w:rPr>
        <w:t xml:space="preserve"> [וכן בסוגיין]</w:t>
      </w:r>
      <w:r w:rsidRPr="00012502">
        <w:rPr>
          <w:rFonts w:ascii="Narkisim" w:hAnsi="Narkisim"/>
          <w:rtl/>
        </w:rPr>
        <w:t xml:space="preserve"> אמרי' דאפי' בטלית צמר מהני בחוטי פשתן. </w:t>
      </w:r>
      <w:r w:rsidRPr="00012502">
        <w:rPr>
          <w:rFonts w:ascii="Narkisim" w:hAnsi="Narkisim"/>
          <w:sz w:val="20"/>
          <w:szCs w:val="20"/>
          <w:rtl/>
        </w:rPr>
        <w:t>וכ"כ ה</w:t>
      </w:r>
      <w:r w:rsidRPr="00012502">
        <w:rPr>
          <w:rFonts w:ascii="Narkisim" w:hAnsi="Narkisim"/>
          <w:b/>
          <w:bCs/>
          <w:sz w:val="20"/>
          <w:szCs w:val="20"/>
          <w:rtl/>
        </w:rPr>
        <w:t>רמב"ן</w:t>
      </w:r>
      <w:r w:rsidRPr="00012502">
        <w:rPr>
          <w:rFonts w:ascii="Narkisim" w:hAnsi="Narkisim"/>
          <w:sz w:val="20"/>
          <w:szCs w:val="20"/>
          <w:rtl/>
        </w:rPr>
        <w:t xml:space="preserve"> (כאן) בשם </w:t>
      </w:r>
      <w:r w:rsidRPr="00012502">
        <w:rPr>
          <w:rFonts w:ascii="Narkisim" w:hAnsi="Narkisim"/>
          <w:b/>
          <w:bCs/>
          <w:sz w:val="20"/>
          <w:szCs w:val="20"/>
          <w:rtl/>
        </w:rPr>
        <w:t>י"מ</w:t>
      </w:r>
      <w:r w:rsidRPr="00012502">
        <w:rPr>
          <w:rFonts w:ascii="Narkisim" w:hAnsi="Narkisim"/>
          <w:sz w:val="20"/>
          <w:szCs w:val="20"/>
          <w:rtl/>
        </w:rPr>
        <w:t xml:space="preserve"> דר"ל דאפשר לקיים שניהם בעלמא איתמר, אבל כלאים בציצית הותר לגמרי מסמוכין. [וברמב"ן כאן חלק, דילפי' ממנו לעשה דוחה ל"ת דעלמא, הו' בע"א].</w:t>
      </w:r>
    </w:p>
    <w:p w14:paraId="2FF4464C"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ביארו דאף תכלת בפשתן בעי לגדר הותרה, דאילו היה דחויה [כשאר דין עדל"ת] היה צריך להוריד את הבגד, דמהדרינן אהיתר.</w:t>
      </w:r>
      <w:r w:rsidRPr="00012502">
        <w:rPr>
          <w:rFonts w:ascii="Narkisim" w:hAnsi="Narkisim"/>
          <w:sz w:val="20"/>
          <w:szCs w:val="20"/>
          <w:rtl/>
        </w:rPr>
        <w:t xml:space="preserve"> וה</w:t>
      </w:r>
      <w:r w:rsidRPr="00012502">
        <w:rPr>
          <w:rFonts w:ascii="Narkisim" w:hAnsi="Narkisim"/>
          <w:b/>
          <w:bCs/>
          <w:sz w:val="20"/>
          <w:szCs w:val="20"/>
          <w:rtl/>
        </w:rPr>
        <w:t>עונג יו"ט</w:t>
      </w:r>
      <w:r w:rsidRPr="00012502">
        <w:rPr>
          <w:rFonts w:ascii="Narkisim" w:hAnsi="Narkisim"/>
          <w:sz w:val="20"/>
          <w:szCs w:val="20"/>
          <w:rtl/>
        </w:rPr>
        <w:t xml:space="preserve"> (א) כתב דלמ"ד [מנחות מא] דציצית חובת מנא, ויש חיוב ציצית אף בשעה שאינו לובש את הבגד, ע"כ הוה בגדר הותרה. דאל"כ מתקיים מצות ציצית בבגד, ואין לו היתר ללובשו.</w:t>
      </w:r>
    </w:p>
    <w:p w14:paraId="49398EE7" w14:textId="77777777" w:rsidR="00BE1D1C" w:rsidRPr="00012502" w:rsidRDefault="00000000" w:rsidP="00012502">
      <w:pPr>
        <w:bidi/>
        <w:rPr>
          <w:rFonts w:ascii="Narkisim" w:hAnsi="Narkisim" w:cs="Narkisim"/>
        </w:rPr>
      </w:pPr>
      <w:r w:rsidRPr="00012502">
        <w:rPr>
          <w:rFonts w:ascii="Narkisim" w:hAnsi="Narkisim" w:cs="Narkisim"/>
          <w:u w:val="single"/>
          <w:rtl/>
        </w:rPr>
        <w:t>תוד"ה דאפילו.</w:t>
      </w:r>
      <w:r w:rsidRPr="00012502">
        <w:rPr>
          <w:rFonts w:ascii="Narkisim" w:hAnsi="Narkisim" w:cs="Narkisim"/>
          <w:rtl/>
        </w:rPr>
        <w:t xml:space="preserve"> נראה דאפי' חוטי לבן (מנחות לט:) וכו', מיגו דתכלת פטרה לבן נמי פוטר. ו</w:t>
      </w:r>
      <w:r w:rsidRPr="00012502">
        <w:rPr>
          <w:rFonts w:ascii="Narkisim" w:hAnsi="Narkisim" w:cs="Narkisim"/>
          <w:b/>
          <w:bCs/>
          <w:rtl/>
        </w:rPr>
        <w:t xml:space="preserve">תוס' </w:t>
      </w:r>
      <w:r w:rsidRPr="00012502">
        <w:rPr>
          <w:rFonts w:ascii="Narkisim" w:hAnsi="Narkisim" w:cs="Narkisim"/>
          <w:rtl/>
        </w:rPr>
        <w:t>(כתובות</w:t>
      </w:r>
      <w:r w:rsidRPr="00012502">
        <w:rPr>
          <w:rFonts w:ascii="Narkisim" w:hAnsi="Narkisim" w:cs="Narkisim"/>
          <w:b/>
          <w:bCs/>
          <w:rtl/>
        </w:rPr>
        <w:t xml:space="preserve"> </w:t>
      </w:r>
      <w:r w:rsidRPr="00012502">
        <w:rPr>
          <w:rFonts w:ascii="Narkisim" w:hAnsi="Narkisim" w:cs="Narkisim"/>
          <w:rtl/>
        </w:rPr>
        <w:t>מ. ד"ה כגון) ביארו מיגו דתכלת, שכבר</w:t>
      </w:r>
      <w:r w:rsidRPr="00012502">
        <w:rPr>
          <w:rFonts w:ascii="Narkisim" w:hAnsi="Narkisim" w:cs="Narkisim"/>
          <w:i/>
          <w:iCs/>
          <w:rtl/>
        </w:rPr>
        <w:t xml:space="preserve"> </w:t>
      </w:r>
      <w:r w:rsidRPr="00012502">
        <w:rPr>
          <w:rFonts w:ascii="Narkisim" w:hAnsi="Narkisim" w:cs="Narkisim"/>
          <w:rtl/>
        </w:rPr>
        <w:t>נעשית</w:t>
      </w:r>
      <w:r w:rsidRPr="00012502">
        <w:rPr>
          <w:rFonts w:ascii="Narkisim" w:hAnsi="Narkisim" w:cs="Narkisim"/>
          <w:i/>
          <w:iCs/>
          <w:rtl/>
        </w:rPr>
        <w:t xml:space="preserve"> </w:t>
      </w:r>
      <w:r w:rsidRPr="00012502">
        <w:rPr>
          <w:rFonts w:ascii="Narkisim" w:hAnsi="Narkisim" w:cs="Narkisim"/>
          <w:rtl/>
        </w:rPr>
        <w:t>כלאים ע"י תכלת שבו, מש"ה אפשר להוסיף אף חוטי לבן של צמר. ומשמע דהבגד אינו נעשית יותר כלאים ע"י תוספת החוטים.</w:t>
      </w:r>
    </w:p>
    <w:p w14:paraId="402BFDB9" w14:textId="77777777" w:rsidR="00BE1D1C" w:rsidRPr="00012502" w:rsidRDefault="00000000" w:rsidP="00012502">
      <w:pPr>
        <w:pStyle w:val="a7"/>
        <w:bidi/>
        <w:rPr>
          <w:rFonts w:ascii="Narkisim" w:hAnsi="Narkisim"/>
        </w:rPr>
      </w:pPr>
      <w:r w:rsidRPr="00012502">
        <w:rPr>
          <w:rFonts w:ascii="Narkisim" w:hAnsi="Narkisim"/>
          <w:rtl/>
        </w:rPr>
        <w:t>אך מבואר ב</w:t>
      </w:r>
      <w:r w:rsidRPr="00012502">
        <w:rPr>
          <w:rFonts w:ascii="Narkisim" w:hAnsi="Narkisim"/>
          <w:b/>
          <w:bCs/>
          <w:rtl/>
        </w:rPr>
        <w:t>תוס'</w:t>
      </w:r>
      <w:r w:rsidRPr="00012502">
        <w:rPr>
          <w:rFonts w:ascii="Narkisim" w:hAnsi="Narkisim"/>
          <w:rtl/>
        </w:rPr>
        <w:t xml:space="preserve"> (שם, וכן כאן) דבעינן למיגו. ומבואר דבלא מיגו אסור, שנעשית יותר בתוספת החוטים. </w:t>
      </w:r>
      <w:r w:rsidRPr="00012502">
        <w:rPr>
          <w:rFonts w:ascii="Narkisim" w:hAnsi="Narkisim"/>
          <w:sz w:val="20"/>
          <w:szCs w:val="20"/>
          <w:rtl/>
        </w:rPr>
        <w:t>וכן מבואר ב</w:t>
      </w:r>
      <w:r w:rsidRPr="00012502">
        <w:rPr>
          <w:rFonts w:ascii="Narkisim" w:hAnsi="Narkisim"/>
          <w:b/>
          <w:bCs/>
          <w:sz w:val="20"/>
          <w:szCs w:val="20"/>
          <w:rtl/>
        </w:rPr>
        <w:t>רשב"א</w:t>
      </w:r>
      <w:r w:rsidRPr="00012502">
        <w:rPr>
          <w:rFonts w:ascii="Narkisim" w:hAnsi="Narkisim"/>
          <w:sz w:val="20"/>
          <w:szCs w:val="20"/>
          <w:rtl/>
        </w:rPr>
        <w:t xml:space="preserve"> שכתב דלא הותר ד' חוטי לבן דצמר בבגד פשתן</w:t>
      </w:r>
      <w:r w:rsidRPr="00012502">
        <w:rPr>
          <w:rStyle w:val="ac"/>
          <w:rFonts w:ascii="Narkisim" w:hAnsi="Narkisim"/>
          <w:sz w:val="20"/>
          <w:szCs w:val="20"/>
          <w:rtl/>
        </w:rPr>
        <w:footnoteReference w:id="196"/>
      </w:r>
      <w:r w:rsidRPr="00012502">
        <w:rPr>
          <w:rFonts w:ascii="Narkisim" w:hAnsi="Narkisim"/>
          <w:sz w:val="20"/>
          <w:szCs w:val="20"/>
          <w:rtl/>
        </w:rPr>
        <w:t>, דאידך ב' חוטי צמר אינן במקום תכלת או במקום לבן</w:t>
      </w:r>
      <w:r w:rsidRPr="00012502">
        <w:rPr>
          <w:rStyle w:val="ac"/>
          <w:rFonts w:ascii="Narkisim" w:hAnsi="Narkisim"/>
          <w:sz w:val="20"/>
          <w:szCs w:val="20"/>
          <w:rtl/>
        </w:rPr>
        <w:footnoteReference w:id="197"/>
      </w:r>
      <w:r w:rsidRPr="00012502">
        <w:rPr>
          <w:rFonts w:ascii="Narkisim" w:hAnsi="Narkisim"/>
          <w:sz w:val="20"/>
          <w:szCs w:val="20"/>
          <w:rtl/>
        </w:rPr>
        <w:t xml:space="preserve">. </w:t>
      </w: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(ז ד) הק' דהוה רק תוספת בסיבת איסור </w:t>
      </w:r>
      <w:r w:rsidRPr="00012502">
        <w:rPr>
          <w:rFonts w:ascii="Narkisim" w:hAnsi="Narkisim"/>
          <w:sz w:val="20"/>
          <w:szCs w:val="20"/>
          <w:rtl/>
        </w:rPr>
        <w:t>[וכריבוי בישעורין],</w:t>
      </w:r>
      <w:r w:rsidRPr="00012502">
        <w:rPr>
          <w:rFonts w:ascii="Narkisim" w:hAnsi="Narkisim"/>
          <w:rtl/>
        </w:rPr>
        <w:t xml:space="preserve"> דהבגד כולו כבר כלאים</w:t>
      </w:r>
      <w:r w:rsidRPr="00012502">
        <w:rPr>
          <w:rStyle w:val="ac"/>
          <w:rFonts w:ascii="Narkisim" w:hAnsi="Narkisim"/>
          <w:rtl/>
        </w:rPr>
        <w:footnoteReference w:id="198"/>
      </w:r>
      <w:r w:rsidRPr="00012502">
        <w:rPr>
          <w:rFonts w:ascii="Narkisim" w:hAnsi="Narkisim"/>
          <w:rtl/>
        </w:rPr>
        <w:t xml:space="preserve">. וכתב דמ"מ עושה סיבה נוספת, שיהא כלאים ב' פעמים. ואף דהכלאים הראשון הותר מחמת עשה הכלאים הב' לא הותר. </w:t>
      </w:r>
      <w:r w:rsidRPr="00012502">
        <w:rPr>
          <w:rFonts w:ascii="Narkisim" w:hAnsi="Narkisim"/>
          <w:sz w:val="20"/>
          <w:szCs w:val="20"/>
          <w:rtl/>
        </w:rPr>
        <w:t>[וה</w:t>
      </w:r>
      <w:r w:rsidRPr="00012502">
        <w:rPr>
          <w:rFonts w:ascii="Narkisim" w:hAnsi="Narkisim"/>
          <w:b/>
          <w:bCs/>
          <w:sz w:val="20"/>
          <w:szCs w:val="20"/>
          <w:rtl/>
        </w:rPr>
        <w:t>אחרונים</w:t>
      </w:r>
      <w:r w:rsidRPr="00012502">
        <w:rPr>
          <w:rFonts w:ascii="Narkisim" w:hAnsi="Narkisim"/>
          <w:sz w:val="20"/>
          <w:szCs w:val="20"/>
          <w:rtl/>
        </w:rPr>
        <w:t xml:space="preserve"> דנו בגדר ההיתר, האם אמרי' דהתורה החשיבה דחוטים אלו אינם עושים כלאים, או דהותר האיסור].</w:t>
      </w:r>
    </w:p>
    <w:p w14:paraId="72B178D2" w14:textId="77777777" w:rsidR="00BE1D1C" w:rsidRPr="00012502" w:rsidRDefault="00000000" w:rsidP="00012502">
      <w:pPr>
        <w:pStyle w:val="a7"/>
        <w:bidi/>
        <w:rPr>
          <w:rFonts w:ascii="Narkisim" w:hAnsi="Narkisim"/>
        </w:rPr>
      </w:pPr>
      <w:r w:rsidRPr="00012502">
        <w:rPr>
          <w:rFonts w:ascii="Narkisim" w:hAnsi="Narkisim"/>
          <w:rtl/>
        </w:rPr>
        <w:t>ועוד הקשה ב</w:t>
      </w:r>
      <w:r w:rsidRPr="00012502">
        <w:rPr>
          <w:rFonts w:ascii="Narkisim" w:hAnsi="Narkisim"/>
          <w:b/>
          <w:bCs/>
          <w:rtl/>
        </w:rPr>
        <w:t>קובה"ע</w:t>
      </w:r>
      <w:r w:rsidRPr="00012502">
        <w:rPr>
          <w:rFonts w:ascii="Narkisim" w:hAnsi="Narkisim"/>
          <w:rtl/>
        </w:rPr>
        <w:t xml:space="preserve"> דאף אם יטיל חוטי פשתן הרי נעשין כלאים מחמת חוטי הציצית, </w:t>
      </w:r>
      <w:r w:rsidRPr="00012502">
        <w:rPr>
          <w:rFonts w:ascii="Narkisim" w:hAnsi="Narkisim"/>
          <w:rtl/>
        </w:rPr>
        <w:lastRenderedPageBreak/>
        <w:t>ואמאי עדיף שיעשה כלאים ליתר החוטין ולא בשאר הבגד. וע"ע ב</w:t>
      </w:r>
      <w:r w:rsidRPr="00012502">
        <w:rPr>
          <w:rFonts w:ascii="Narkisim" w:hAnsi="Narkisim"/>
          <w:b/>
          <w:bCs/>
          <w:rtl/>
        </w:rPr>
        <w:t xml:space="preserve">חי' ר' ראובן </w:t>
      </w:r>
      <w:r w:rsidRPr="00012502">
        <w:rPr>
          <w:rFonts w:ascii="Narkisim" w:hAnsi="Narkisim"/>
          <w:rtl/>
        </w:rPr>
        <w:t>(ג).</w:t>
      </w:r>
      <w:r w:rsidRPr="00012502">
        <w:rPr>
          <w:rFonts w:ascii="Narkisim" w:hAnsi="Narkisim"/>
          <w:sz w:val="20"/>
          <w:szCs w:val="20"/>
          <w:rtl/>
        </w:rPr>
        <w:t xml:space="preserve"> [וה</w:t>
      </w:r>
      <w:r w:rsidRPr="00012502">
        <w:rPr>
          <w:rFonts w:ascii="Narkisim" w:hAnsi="Narkisim"/>
          <w:b/>
          <w:bCs/>
          <w:sz w:val="20"/>
          <w:szCs w:val="20"/>
          <w:rtl/>
        </w:rPr>
        <w:t>אחרונים</w:t>
      </w:r>
      <w:r w:rsidRPr="00012502">
        <w:rPr>
          <w:rFonts w:ascii="Narkisim" w:hAnsi="Narkisim"/>
          <w:sz w:val="20"/>
          <w:szCs w:val="20"/>
          <w:rtl/>
        </w:rPr>
        <w:t xml:space="preserve"> דנו לפרש גדר המיגו עד"ז. וצ"ב].</w:t>
      </w:r>
    </w:p>
    <w:p w14:paraId="1D750F98" w14:textId="77777777" w:rsidR="00BE1D1C" w:rsidRPr="00012502" w:rsidRDefault="00000000" w:rsidP="00012502">
      <w:pPr>
        <w:pStyle w:val="aa"/>
        <w:bidi/>
        <w:rPr>
          <w:rFonts w:ascii="Narkisim" w:hAnsi="Narkisim"/>
        </w:rPr>
      </w:pPr>
      <w:r w:rsidRPr="00012502">
        <w:rPr>
          <w:rFonts w:ascii="Narkisim" w:hAnsi="Narkisim"/>
          <w:u w:val="single"/>
          <w:rtl/>
        </w:rPr>
        <w:t>שם. מיגו</w:t>
      </w:r>
      <w:r w:rsidRPr="00012502">
        <w:rPr>
          <w:rFonts w:ascii="Narkisim" w:hAnsi="Narkisim"/>
          <w:rtl/>
        </w:rPr>
        <w:t>. ו</w:t>
      </w:r>
      <w:r w:rsidRPr="00012502">
        <w:rPr>
          <w:rFonts w:ascii="Narkisim" w:hAnsi="Narkisim"/>
          <w:b/>
          <w:bCs/>
          <w:rtl/>
        </w:rPr>
        <w:t>תוס'</w:t>
      </w:r>
      <w:r w:rsidRPr="00012502">
        <w:rPr>
          <w:rFonts w:ascii="Narkisim" w:hAnsi="Narkisim"/>
          <w:rtl/>
        </w:rPr>
        <w:t xml:space="preserve"> (מנחות מ. ד"ה כיון) פי' דמדאורייתא שרי חוטי לבן של צמר בפשתן, דכלאים ממש הותר אצל ציצית [ע' מה שהו' לעיל</w:t>
      </w:r>
      <w:r w:rsidRPr="00012502">
        <w:rPr>
          <w:rStyle w:val="ac"/>
          <w:rFonts w:ascii="Narkisim" w:hAnsi="Narkisim"/>
          <w:rtl/>
        </w:rPr>
        <w:footnoteReference w:id="199"/>
      </w:r>
      <w:r w:rsidRPr="00012502">
        <w:rPr>
          <w:rFonts w:ascii="Narkisim" w:hAnsi="Narkisim"/>
          <w:rtl/>
        </w:rPr>
        <w:t>], ולאו משום דחייה. וכן הוכיחו ה</w:t>
      </w:r>
      <w:r w:rsidRPr="00012502">
        <w:rPr>
          <w:rFonts w:ascii="Narkisim" w:hAnsi="Narkisim"/>
          <w:b/>
          <w:bCs/>
          <w:rtl/>
        </w:rPr>
        <w:t>אחרונים</w:t>
      </w:r>
      <w:r w:rsidRPr="00012502">
        <w:rPr>
          <w:rFonts w:ascii="Narkisim" w:hAnsi="Narkisim"/>
          <w:rtl/>
        </w:rPr>
        <w:t xml:space="preserve"> דכל הנך מיגו צ"ל דכלאים בציצית הוה גדר הותרה, דאל"כ מה שייך דין מיגו, הא אף בתכלת עצמו מהדרינן אהיתר דאפשר לקיים ב'.</w:t>
      </w:r>
    </w:p>
    <w:p w14:paraId="2EE40513" w14:textId="77777777" w:rsidR="00BE1D1C" w:rsidRPr="00012502" w:rsidRDefault="00000000" w:rsidP="00012502">
      <w:pPr>
        <w:pStyle w:val="aa"/>
        <w:bidi/>
        <w:rPr>
          <w:rFonts w:ascii="Narkisim" w:hAnsi="Narkisim"/>
        </w:rPr>
      </w:pPr>
      <w:r w:rsidRPr="00012502">
        <w:rPr>
          <w:rFonts w:ascii="Narkisim" w:hAnsi="Narkisim"/>
          <w:u w:val="single"/>
          <w:rtl/>
        </w:rPr>
        <w:t>בא"ד (המשך ה.) ודוקא במקום תכלת וכו'</w:t>
      </w:r>
      <w:r w:rsidRPr="00012502">
        <w:rPr>
          <w:rStyle w:val="ac"/>
          <w:rFonts w:ascii="Narkisim" w:hAnsi="Narkisim"/>
          <w:rtl/>
        </w:rPr>
        <w:footnoteReference w:id="200"/>
      </w:r>
      <w:r w:rsidRPr="00012502">
        <w:rPr>
          <w:rFonts w:ascii="Narkisim" w:hAnsi="Narkisim"/>
          <w:rtl/>
        </w:rPr>
        <w:t>. [משמע דהוה תנאי בהיתר 'מיגו' דכלאים בציצית. וה</w:t>
      </w:r>
      <w:r w:rsidRPr="00012502">
        <w:rPr>
          <w:rFonts w:ascii="Narkisim" w:hAnsi="Narkisim"/>
          <w:b/>
          <w:bCs/>
          <w:rtl/>
        </w:rPr>
        <w:t>חזו"א</w:t>
      </w:r>
      <w:r w:rsidRPr="00012502">
        <w:rPr>
          <w:rFonts w:ascii="Narkisim" w:hAnsi="Narkisim"/>
          <w:rtl/>
        </w:rPr>
        <w:t xml:space="preserve"> (או"ח ב ב) פי' דכשמטיל חוטי פשתן בבגד צמר, נחשב חלק מהבגד. והותר להטיל בבגד זה תכלת. ועי"ז הותר כל הכלאים</w:t>
      </w:r>
      <w:r w:rsidRPr="00012502">
        <w:rPr>
          <w:rStyle w:val="ac"/>
          <w:rFonts w:ascii="Narkisim" w:hAnsi="Narkisim"/>
          <w:rtl/>
        </w:rPr>
        <w:footnoteReference w:id="201"/>
      </w:r>
      <w:r w:rsidRPr="00012502">
        <w:rPr>
          <w:rFonts w:ascii="Narkisim" w:hAnsi="Narkisim"/>
          <w:rtl/>
        </w:rPr>
        <w:t>].</w:t>
      </w:r>
    </w:p>
    <w:p w14:paraId="7CA36EFC" w14:textId="77777777" w:rsidR="00BE1D1C" w:rsidRPr="00012502" w:rsidRDefault="00000000" w:rsidP="00012502">
      <w:pPr>
        <w:pStyle w:val="aa"/>
        <w:bidi/>
        <w:rPr>
          <w:rFonts w:ascii="Narkisim" w:hAnsi="Narkisim"/>
        </w:rPr>
      </w:pPr>
      <w:r w:rsidRPr="00012502">
        <w:rPr>
          <w:rFonts w:ascii="Narkisim" w:hAnsi="Narkisim"/>
          <w:rtl/>
        </w:rPr>
        <w:t>ו</w:t>
      </w:r>
      <w:r w:rsidRPr="00012502">
        <w:rPr>
          <w:rFonts w:ascii="Narkisim" w:hAnsi="Narkisim"/>
          <w:b/>
          <w:bCs/>
          <w:rtl/>
        </w:rPr>
        <w:t xml:space="preserve">תוס' </w:t>
      </w:r>
      <w:r w:rsidRPr="00012502">
        <w:rPr>
          <w:rFonts w:ascii="Narkisim" w:hAnsi="Narkisim"/>
          <w:rtl/>
        </w:rPr>
        <w:t>(כתובות שם) נסתפקו האם אף היכא דלא קיום מצוות תכלתה, אפ"ה מותר ב' חוטים של צמר וב' של פשתן. ותוס' כת' דמ"מ כל ד' חוטין כלאים ודאי אסור [וכדמוכח במנחות גבי קלא אילן], ואזלי לשיטתם דס"ל דלא הותרו ד' חוטים אלא כשנעשית כלאים עי"ז.</w:t>
      </w:r>
    </w:p>
    <w:p w14:paraId="24E5A585" w14:textId="77777777" w:rsidR="00BE1D1C" w:rsidRPr="00012502" w:rsidRDefault="00000000" w:rsidP="00012502">
      <w:pPr>
        <w:pStyle w:val="3"/>
        <w:bidi/>
        <w:rPr>
          <w:rFonts w:ascii="Narkisim" w:hAnsi="Narkisim"/>
        </w:rPr>
      </w:pPr>
      <w:r w:rsidRPr="00012502">
        <w:rPr>
          <w:rFonts w:ascii="Narkisim" w:hAnsi="Narkisim"/>
          <w:rtl/>
        </w:rPr>
        <w:t>דף ה.</w:t>
      </w:r>
    </w:p>
    <w:p w14:paraId="190BAF6B" w14:textId="77777777" w:rsidR="00BE1D1C" w:rsidRPr="00012502" w:rsidRDefault="00000000" w:rsidP="00012502">
      <w:pPr>
        <w:pStyle w:val="aa"/>
        <w:bidi/>
        <w:rPr>
          <w:rFonts w:ascii="Narkisim" w:hAnsi="Narkisim"/>
        </w:rPr>
      </w:pPr>
      <w:r w:rsidRPr="00012502">
        <w:rPr>
          <w:rFonts w:ascii="Narkisim" w:hAnsi="Narkisim"/>
          <w:u w:val="single"/>
          <w:rtl/>
        </w:rPr>
        <w:t>לרבנן מנ"ל.</w:t>
      </w:r>
      <w:r w:rsidRPr="00012502">
        <w:rPr>
          <w:rFonts w:ascii="Narkisim" w:hAnsi="Narkisim"/>
          <w:rtl/>
        </w:rPr>
        <w:t xml:space="preserve"> דרבנן ל"ל סתם בגדים צמר ופשתן. וכל בגדים חייבים בציצית מדאורייתא, וכדרשת רבא דצמר ופשתן פוטרין אף שלא במינן. וכן פסקו </w:t>
      </w:r>
      <w:r w:rsidRPr="00012502">
        <w:rPr>
          <w:rFonts w:ascii="Narkisim" w:hAnsi="Narkisim"/>
          <w:b/>
          <w:bCs/>
          <w:rtl/>
        </w:rPr>
        <w:t>תוס</w:t>
      </w:r>
      <w:r w:rsidRPr="00012502">
        <w:rPr>
          <w:rFonts w:ascii="Narkisim" w:hAnsi="Narkisim"/>
          <w:rtl/>
        </w:rPr>
        <w:t>' (מנחות לט: ד"ה ורב נחמן) וה</w:t>
      </w:r>
      <w:r w:rsidRPr="00012502">
        <w:rPr>
          <w:rFonts w:ascii="Narkisim" w:hAnsi="Narkisim"/>
          <w:b/>
          <w:bCs/>
          <w:rtl/>
        </w:rPr>
        <w:t>רא"ש</w:t>
      </w:r>
      <w:r w:rsidRPr="00012502">
        <w:rPr>
          <w:rFonts w:ascii="Narkisim" w:hAnsi="Narkisim"/>
          <w:rtl/>
        </w:rPr>
        <w:t xml:space="preserve"> וה</w:t>
      </w:r>
      <w:r w:rsidRPr="00012502">
        <w:rPr>
          <w:rFonts w:ascii="Narkisim" w:hAnsi="Narkisim"/>
          <w:b/>
          <w:bCs/>
          <w:rtl/>
        </w:rPr>
        <w:t>רמ"א</w:t>
      </w:r>
      <w:r w:rsidRPr="00012502">
        <w:rPr>
          <w:rFonts w:ascii="Narkisim" w:hAnsi="Narkisim"/>
          <w:rtl/>
        </w:rPr>
        <w:t xml:space="preserve"> (או"ח ט א). אבל ה</w:t>
      </w:r>
      <w:r w:rsidRPr="00012502">
        <w:rPr>
          <w:rFonts w:ascii="Narkisim" w:hAnsi="Narkisim"/>
          <w:b/>
          <w:bCs/>
          <w:rtl/>
        </w:rPr>
        <w:t>רי"ף</w:t>
      </w:r>
      <w:r w:rsidRPr="00012502">
        <w:rPr>
          <w:rFonts w:ascii="Narkisim" w:hAnsi="Narkisim"/>
          <w:rtl/>
        </w:rPr>
        <w:t xml:space="preserve"> (הל' ציצית) וה</w:t>
      </w:r>
      <w:r w:rsidRPr="00012502">
        <w:rPr>
          <w:rFonts w:ascii="Narkisim" w:hAnsi="Narkisim"/>
          <w:b/>
          <w:bCs/>
          <w:rtl/>
        </w:rPr>
        <w:t>רמב"ם</w:t>
      </w:r>
      <w:r w:rsidRPr="00012502">
        <w:rPr>
          <w:rFonts w:ascii="Narkisim" w:hAnsi="Narkisim"/>
          <w:rtl/>
        </w:rPr>
        <w:t xml:space="preserve"> (ציצית ג ב) ו</w:t>
      </w:r>
      <w:r w:rsidRPr="00012502">
        <w:rPr>
          <w:rFonts w:ascii="Narkisim" w:hAnsi="Narkisim"/>
          <w:b/>
          <w:bCs/>
          <w:rtl/>
        </w:rPr>
        <w:t>שו"ע</w:t>
      </w:r>
      <w:r w:rsidRPr="00012502">
        <w:rPr>
          <w:rFonts w:ascii="Narkisim" w:hAnsi="Narkisim"/>
          <w:rtl/>
        </w:rPr>
        <w:t xml:space="preserve"> (ט א) פסקו כתנא דבי ר' ישמעאל דשאר מינים מדרבנן.</w:t>
      </w:r>
    </w:p>
    <w:p w14:paraId="70555603" w14:textId="77777777" w:rsidR="00BE1D1C" w:rsidRPr="00012502" w:rsidRDefault="00000000" w:rsidP="00012502">
      <w:pPr>
        <w:bidi/>
        <w:rPr>
          <w:rFonts w:ascii="Narkisim" w:hAnsi="Narkisim" w:cs="Narkisim"/>
        </w:rPr>
      </w:pPr>
      <w:r w:rsidRPr="00012502">
        <w:rPr>
          <w:rFonts w:ascii="Narkisim" w:hAnsi="Narkisim" w:cs="Narkisim"/>
          <w:u w:val="single"/>
          <w:rtl/>
        </w:rPr>
        <w:t>לא תקיפו וכו' ת"ל ראשו.</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(נזיר נז: ושבועות ג. ד"ה ועל) הוכיחו מכאן דאסור לאשה ונכרי לעשות הקפת הראש</w:t>
      </w:r>
      <w:r w:rsidRPr="00012502">
        <w:rPr>
          <w:rFonts w:ascii="Narkisim" w:hAnsi="Narkisim" w:cs="Narkisim"/>
          <w:sz w:val="20"/>
          <w:szCs w:val="20"/>
          <w:rtl/>
        </w:rPr>
        <w:t xml:space="preserve"> [דיש איסור על הניקף</w:t>
      </w:r>
      <w:r w:rsidRPr="00012502">
        <w:rPr>
          <w:rStyle w:val="ac"/>
          <w:rFonts w:ascii="Narkisim" w:hAnsi="Narkisim" w:cs="Narkisim"/>
          <w:sz w:val="20"/>
          <w:szCs w:val="20"/>
          <w:rtl/>
        </w:rPr>
        <w:footnoteReference w:id="202"/>
      </w:r>
      <w:r w:rsidRPr="00012502">
        <w:rPr>
          <w:rFonts w:ascii="Narkisim" w:hAnsi="Narkisim" w:cs="Narkisim"/>
          <w:sz w:val="20"/>
          <w:szCs w:val="20"/>
          <w:rtl/>
        </w:rPr>
        <w:t>].</w:t>
      </w:r>
      <w:r w:rsidRPr="00012502">
        <w:rPr>
          <w:rFonts w:ascii="Narkisim" w:hAnsi="Narkisim" w:cs="Narkisim"/>
          <w:rtl/>
        </w:rPr>
        <w:t xml:space="preserve"> דא"כ אפשר לקיים שניהם שיגלחנו אשה ונכרי</w:t>
      </w:r>
      <w:r w:rsidRPr="00012502">
        <w:rPr>
          <w:rStyle w:val="ac"/>
          <w:rFonts w:ascii="Narkisim" w:hAnsi="Narkisim" w:cs="Narkisim"/>
          <w:rtl/>
        </w:rPr>
        <w:footnoteReference w:id="203"/>
      </w:r>
      <w:r w:rsidRPr="00012502">
        <w:rPr>
          <w:rFonts w:ascii="Narkisim" w:hAnsi="Narkisim" w:cs="Narkisim"/>
          <w:rtl/>
        </w:rPr>
        <w:t>, ואמאי דחי. ו</w:t>
      </w:r>
      <w:r w:rsidRPr="00012502">
        <w:rPr>
          <w:rFonts w:ascii="Narkisim" w:hAnsi="Narkisim" w:cs="Narkisim"/>
          <w:b/>
          <w:bCs/>
          <w:rtl/>
        </w:rPr>
        <w:t xml:space="preserve">תוס' </w:t>
      </w:r>
      <w:r w:rsidRPr="00012502">
        <w:rPr>
          <w:rFonts w:ascii="Narkisim" w:hAnsi="Narkisim" w:cs="Narkisim"/>
          <w:rtl/>
        </w:rPr>
        <w:t xml:space="preserve">(שבועות) דחו דאיצטריך היכא דאין שם אשה ונכרי. ותוס' הוסיפו דלא אמרי' ימתין עד שיהא אשה או נכרי, וכדמוכח (חולין קמא.) דעשה דמצורע דוחה שילוח הקן, ולא אמרי' שימתין עד שימצא אחר. </w:t>
      </w:r>
      <w:r w:rsidRPr="00012502">
        <w:rPr>
          <w:rFonts w:ascii="Narkisim" w:hAnsi="Narkisim" w:cs="Narkisim"/>
          <w:szCs w:val="20"/>
          <w:rtl/>
        </w:rPr>
        <w:t>[כיון דעכשיו אי אפשר לקיים שניהם, וע' בתוס' בע"ב</w:t>
      </w:r>
      <w:r w:rsidRPr="00012502">
        <w:rPr>
          <w:rStyle w:val="ac"/>
          <w:rFonts w:ascii="Narkisim" w:hAnsi="Narkisim" w:cs="Narkisim"/>
          <w:szCs w:val="20"/>
          <w:rtl/>
        </w:rPr>
        <w:footnoteReference w:id="204"/>
      </w:r>
      <w:r w:rsidRPr="00012502">
        <w:rPr>
          <w:rFonts w:ascii="Narkisim" w:hAnsi="Narkisim" w:cs="Narkisim"/>
          <w:szCs w:val="20"/>
          <w:rtl/>
        </w:rPr>
        <w:t>]</w:t>
      </w:r>
      <w:r w:rsidRPr="00012502">
        <w:rPr>
          <w:rFonts w:ascii="Narkisim" w:hAnsi="Narkisim" w:cs="Narkisim"/>
          <w:rtl/>
        </w:rPr>
        <w:t>.</w:t>
      </w:r>
    </w:p>
    <w:p w14:paraId="14D1AF7F"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ט"ז</w:t>
      </w:r>
      <w:r w:rsidRPr="00012502">
        <w:rPr>
          <w:rFonts w:ascii="Narkisim" w:hAnsi="Narkisim"/>
          <w:rtl/>
        </w:rPr>
        <w:t xml:space="preserve"> (תרנה ב בשם המהרש"ל) הביא דה</w:t>
      </w:r>
      <w:r w:rsidRPr="00012502">
        <w:rPr>
          <w:rFonts w:ascii="Narkisim" w:hAnsi="Narkisim"/>
          <w:b/>
          <w:bCs/>
          <w:rtl/>
        </w:rPr>
        <w:t xml:space="preserve">סמ"ג </w:t>
      </w:r>
      <w:r w:rsidRPr="00012502">
        <w:rPr>
          <w:rFonts w:ascii="Narkisim" w:hAnsi="Narkisim"/>
          <w:rtl/>
        </w:rPr>
        <w:t>כת' דמדרבנן אסור להקיף ע"י נכרי, ולכן לא נחשב אפשר לקיים שניהם [ואין עוברים איסור דרבנן כדי לקיים מצוה דאורייתא]. ו</w:t>
      </w:r>
      <w:r w:rsidRPr="00012502">
        <w:rPr>
          <w:rFonts w:ascii="Narkisim" w:hAnsi="Narkisim"/>
          <w:b/>
          <w:bCs/>
          <w:rtl/>
        </w:rPr>
        <w:t>רע"א</w:t>
      </w:r>
      <w:r w:rsidRPr="00012502">
        <w:rPr>
          <w:rFonts w:ascii="Narkisim" w:hAnsi="Narkisim"/>
          <w:rtl/>
        </w:rPr>
        <w:t xml:space="preserve"> (עה"ג שם) תמה דמ"מ מדאורייתא הוה אפשר לקיים שניהם, ולא דחי ל"ת</w:t>
      </w:r>
      <w:r w:rsidRPr="00012502">
        <w:rPr>
          <w:rStyle w:val="ac"/>
          <w:rFonts w:ascii="Narkisim" w:hAnsi="Narkisim"/>
          <w:rtl/>
        </w:rPr>
        <w:footnoteReference w:id="205"/>
      </w:r>
      <w:r w:rsidRPr="00012502">
        <w:rPr>
          <w:rFonts w:ascii="Narkisim" w:hAnsi="Narkisim"/>
          <w:rtl/>
        </w:rPr>
        <w:t>, ו</w:t>
      </w:r>
      <w:r w:rsidRPr="00012502">
        <w:rPr>
          <w:rFonts w:ascii="Narkisim" w:hAnsi="Narkisim"/>
          <w:b/>
          <w:bCs/>
          <w:rtl/>
        </w:rPr>
        <w:t>רע"א</w:t>
      </w:r>
      <w:r w:rsidRPr="00012502">
        <w:rPr>
          <w:rFonts w:ascii="Narkisim" w:hAnsi="Narkisim"/>
          <w:rtl/>
        </w:rPr>
        <w:t xml:space="preserve"> פי' דכוונת הסמ"ג דמדאורייתא אסור ע"י נכרי, אלא דאינו לוקה.</w:t>
      </w:r>
    </w:p>
    <w:p w14:paraId="4B465F19" w14:textId="77777777" w:rsidR="00BE1D1C" w:rsidRPr="00012502" w:rsidRDefault="00000000" w:rsidP="00012502">
      <w:pPr>
        <w:bidi/>
        <w:rPr>
          <w:rFonts w:ascii="Narkisim" w:hAnsi="Narkisim" w:cs="Narkisim"/>
        </w:rPr>
      </w:pPr>
      <w:r w:rsidRPr="00012502">
        <w:rPr>
          <w:rFonts w:ascii="Narkisim" w:hAnsi="Narkisim" w:cs="Narkisim"/>
          <w:rtl/>
        </w:rPr>
        <w:t>וצ"ב אמאי חשיב אפשר ע"י אחר בגילוח נכרי, דהנכרי אינו עושה מצוות גילוח</w:t>
      </w:r>
      <w:r w:rsidRPr="00012502">
        <w:rPr>
          <w:rStyle w:val="ac"/>
          <w:rFonts w:ascii="Narkisim" w:hAnsi="Narkisim" w:cs="Narkisim"/>
          <w:rtl/>
        </w:rPr>
        <w:footnoteReference w:id="206"/>
      </w:r>
      <w:r w:rsidRPr="00012502">
        <w:rPr>
          <w:rFonts w:ascii="Narkisim" w:hAnsi="Narkisim" w:cs="Narkisim"/>
          <w:rtl/>
        </w:rPr>
        <w:t>. ב</w:t>
      </w:r>
      <w:r w:rsidRPr="00012502">
        <w:rPr>
          <w:rFonts w:ascii="Narkisim" w:hAnsi="Narkisim" w:cs="Narkisim"/>
          <w:b/>
          <w:bCs/>
          <w:rtl/>
        </w:rPr>
        <w:t>ס' אהל דוד</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שבועות, הו' במנח"ח שעג)</w:t>
      </w:r>
      <w:r w:rsidRPr="00012502">
        <w:rPr>
          <w:rFonts w:ascii="Narkisim" w:hAnsi="Narkisim" w:cs="Narkisim"/>
          <w:rtl/>
        </w:rPr>
        <w:t xml:space="preserve"> הביא בשם </w:t>
      </w:r>
      <w:r w:rsidRPr="00012502">
        <w:rPr>
          <w:rFonts w:ascii="Narkisim" w:hAnsi="Narkisim" w:cs="Narkisim"/>
          <w:b/>
          <w:bCs/>
          <w:rtl/>
        </w:rPr>
        <w:t xml:space="preserve">ר' משולם איגרא </w:t>
      </w:r>
      <w:r w:rsidRPr="00012502">
        <w:rPr>
          <w:rFonts w:ascii="Narkisim" w:hAnsi="Narkisim" w:cs="Narkisim"/>
          <w:rtl/>
        </w:rPr>
        <w:t>דכוונת התוס' בשבועות להקשות דיגלח את כל שערות ראשו ע"י אשה ונכרי. ורק ב' שערות אחרונות יקיים מצוות תגלחת ע"י כהן. [וע' מש"כ בזה בתוס' ג:]. [ותוס' מבואר דהיכא דליכא אשה ונכרי לפנינו שפיר דחי לל"ת, אף בשערות הראשונים, דאינם צריכים דין תגלחת. ע' בסמוך].</w:t>
      </w:r>
    </w:p>
    <w:p w14:paraId="65BB1241"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וה</w:t>
      </w:r>
      <w:r w:rsidRPr="00012502">
        <w:rPr>
          <w:rFonts w:ascii="Narkisim" w:hAnsi="Narkisim"/>
          <w:b/>
          <w:bCs/>
          <w:rtl/>
        </w:rPr>
        <w:t xml:space="preserve">אחרונים </w:t>
      </w:r>
      <w:r w:rsidRPr="00012502">
        <w:rPr>
          <w:rFonts w:ascii="Narkisim" w:hAnsi="Narkisim"/>
          <w:rtl/>
        </w:rPr>
        <w:t>הקשו דאף למסקנת התוס' דהניקף עובר ע"י אשה ונכרי, מ"מ היכא דישראל גילחו יש איסור נוסף ל'מקיף'. והאיך נדחית איסורו של מקיף, ונימא דאפשר ע"י עכו"ם. ומש"ה כת' ה</w:t>
      </w:r>
      <w:r w:rsidRPr="00012502">
        <w:rPr>
          <w:rFonts w:ascii="Narkisim" w:hAnsi="Narkisim"/>
          <w:b/>
          <w:bCs/>
          <w:rtl/>
        </w:rPr>
        <w:t>מנח"ח</w:t>
      </w:r>
      <w:r w:rsidRPr="00012502">
        <w:rPr>
          <w:rFonts w:ascii="Narkisim" w:hAnsi="Narkisim"/>
          <w:rtl/>
        </w:rPr>
        <w:t xml:space="preserve"> דצריך לגלח ע"י נכרי או אשה [וע"ד מש"כ תוס' שבועות ג.]. אבל ה</w:t>
      </w:r>
      <w:r w:rsidRPr="00012502">
        <w:rPr>
          <w:rFonts w:ascii="Narkisim" w:hAnsi="Narkisim"/>
          <w:b/>
          <w:bCs/>
          <w:rtl/>
        </w:rPr>
        <w:t>קובה"ע</w:t>
      </w:r>
      <w:r w:rsidRPr="00012502">
        <w:rPr>
          <w:rFonts w:ascii="Narkisim" w:hAnsi="Narkisim"/>
          <w:rtl/>
        </w:rPr>
        <w:t xml:space="preserve"> (ח ח) כת' דע"כ צ"ל דיש מצות עשה על המגלח, או מדין ערבות, ומקרי מחוייב בדבר. [ודחי לל"ת]. וה</w:t>
      </w:r>
      <w:r w:rsidRPr="00012502">
        <w:rPr>
          <w:rFonts w:ascii="Narkisim" w:hAnsi="Narkisim"/>
          <w:b/>
          <w:bCs/>
          <w:rtl/>
        </w:rPr>
        <w:t>אמר"מ</w:t>
      </w:r>
      <w:r w:rsidRPr="00012502">
        <w:rPr>
          <w:rFonts w:ascii="Narkisim" w:hAnsi="Narkisim"/>
          <w:rtl/>
        </w:rPr>
        <w:t xml:space="preserve"> (יב) חידש דאין איסור במקיף כשאין איסור כלל </w:t>
      </w:r>
      <w:r w:rsidRPr="00012502">
        <w:rPr>
          <w:rFonts w:ascii="Narkisim" w:hAnsi="Narkisim"/>
          <w:rtl/>
        </w:rPr>
        <w:lastRenderedPageBreak/>
        <w:t>לניקף</w:t>
      </w:r>
      <w:r w:rsidRPr="00012502">
        <w:rPr>
          <w:rStyle w:val="ac"/>
          <w:rFonts w:ascii="Narkisim" w:hAnsi="Narkisim"/>
          <w:rtl/>
        </w:rPr>
        <w:footnoteReference w:id="207"/>
      </w:r>
      <w:r w:rsidRPr="00012502">
        <w:rPr>
          <w:rFonts w:ascii="Narkisim" w:hAnsi="Narkisim"/>
          <w:rtl/>
        </w:rPr>
        <w:t>, וה"נ ע"י עדל"ת הותר לניקף</w:t>
      </w:r>
      <w:r w:rsidRPr="00012502">
        <w:rPr>
          <w:rStyle w:val="ac"/>
          <w:rFonts w:ascii="Narkisim" w:hAnsi="Narkisim"/>
          <w:rtl/>
        </w:rPr>
        <w:footnoteReference w:id="208"/>
      </w:r>
      <w:r w:rsidRPr="00012502">
        <w:rPr>
          <w:rFonts w:ascii="Narkisim" w:hAnsi="Narkisim"/>
          <w:rtl/>
        </w:rPr>
        <w:t>.</w:t>
      </w:r>
    </w:p>
    <w:p w14:paraId="54B82F17"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אחרונים</w:t>
      </w:r>
      <w:r w:rsidRPr="00012502">
        <w:rPr>
          <w:rFonts w:ascii="Narkisim" w:hAnsi="Narkisim" w:cs="Narkisim"/>
          <w:rtl/>
        </w:rPr>
        <w:t xml:space="preserve"> הקשו עוד דלא הוה בעידנא, דמשעת תגלחת ב' שערות עובר משום מקיף, ואינו מקיים מצוות תגלחת עד שיסיים את ב' שערות האחרונות</w:t>
      </w:r>
      <w:r w:rsidRPr="00012502">
        <w:rPr>
          <w:rStyle w:val="ac"/>
          <w:rFonts w:ascii="Narkisim" w:hAnsi="Narkisim" w:cs="Narkisim"/>
          <w:rtl/>
        </w:rPr>
        <w:footnoteReference w:id="209"/>
      </w:r>
      <w:r w:rsidRPr="00012502">
        <w:rPr>
          <w:rFonts w:ascii="Narkisim" w:hAnsi="Narkisim" w:cs="Narkisim"/>
          <w:rtl/>
        </w:rPr>
        <w:t>. ו</w:t>
      </w:r>
      <w:r w:rsidRPr="00012502">
        <w:rPr>
          <w:rFonts w:ascii="Narkisim" w:hAnsi="Narkisim" w:cs="Narkisim"/>
          <w:b/>
          <w:bCs/>
          <w:rtl/>
        </w:rPr>
        <w:t>רע"א</w:t>
      </w:r>
      <w:r w:rsidRPr="00012502">
        <w:rPr>
          <w:rFonts w:ascii="Narkisim" w:hAnsi="Narkisim" w:cs="Narkisim"/>
          <w:rtl/>
        </w:rPr>
        <w:t xml:space="preserve"> (הו' בשו"ת חת"ס קמ, וכ"כ במנח"ח רנא יב) תי' ע"פ דברי ה</w:t>
      </w:r>
      <w:r w:rsidRPr="00012502">
        <w:rPr>
          <w:rFonts w:ascii="Narkisim" w:hAnsi="Narkisim" w:cs="Narkisim"/>
          <w:b/>
          <w:bCs/>
          <w:rtl/>
        </w:rPr>
        <w:t>פסקי תוס'</w:t>
      </w:r>
      <w:r w:rsidRPr="00012502">
        <w:rPr>
          <w:rFonts w:ascii="Narkisim" w:hAnsi="Narkisim" w:cs="Narkisim"/>
          <w:rtl/>
        </w:rPr>
        <w:t xml:space="preserve"> (זבחים צז, סט) דהיכא דא"א בענין אחר לא בעי בעידנא</w:t>
      </w:r>
      <w:r w:rsidRPr="00012502">
        <w:rPr>
          <w:rStyle w:val="ac"/>
          <w:rFonts w:ascii="Narkisim" w:hAnsi="Narkisim" w:cs="Narkisim"/>
          <w:rtl/>
        </w:rPr>
        <w:footnoteReference w:id="210"/>
      </w:r>
      <w:r w:rsidRPr="00012502">
        <w:rPr>
          <w:rFonts w:ascii="Narkisim" w:hAnsi="Narkisim" w:cs="Narkisim"/>
          <w:rtl/>
        </w:rPr>
        <w:t xml:space="preserve">. </w:t>
      </w:r>
      <w:r w:rsidRPr="00012502">
        <w:rPr>
          <w:rFonts w:ascii="Narkisim" w:hAnsi="Narkisim" w:cs="Narkisim"/>
          <w:sz w:val="20"/>
          <w:szCs w:val="20"/>
          <w:rtl/>
        </w:rPr>
        <w:t>וה</w:t>
      </w:r>
      <w:r w:rsidRPr="00012502">
        <w:rPr>
          <w:rFonts w:ascii="Narkisim" w:hAnsi="Narkisim" w:cs="Narkisim"/>
          <w:b/>
          <w:bCs/>
          <w:sz w:val="20"/>
          <w:szCs w:val="20"/>
          <w:rtl/>
        </w:rPr>
        <w:t>חת"ס</w:t>
      </w:r>
      <w:r w:rsidRPr="00012502">
        <w:rPr>
          <w:rFonts w:ascii="Narkisim" w:hAnsi="Narkisim" w:cs="Narkisim"/>
          <w:sz w:val="20"/>
          <w:szCs w:val="20"/>
          <w:rtl/>
        </w:rPr>
        <w:t xml:space="preserve"> תמה דהרי אפשר במלקט ומספריים.</w:t>
      </w:r>
      <w:r w:rsidRPr="00012502">
        <w:rPr>
          <w:rFonts w:ascii="Narkisim" w:hAnsi="Narkisim" w:cs="Narkisim"/>
          <w:rtl/>
        </w:rPr>
        <w:t xml:space="preserve"> [וע' </w:t>
      </w:r>
      <w:r w:rsidRPr="00012502">
        <w:rPr>
          <w:rFonts w:ascii="Narkisim" w:hAnsi="Narkisim" w:cs="Narkisim"/>
          <w:b/>
          <w:bCs/>
          <w:rtl/>
        </w:rPr>
        <w:t>קובה"ע</w:t>
      </w:r>
      <w:r w:rsidRPr="00012502">
        <w:rPr>
          <w:rFonts w:ascii="Narkisim" w:hAnsi="Narkisim" w:cs="Narkisim"/>
          <w:rtl/>
        </w:rPr>
        <w:t xml:space="preserve"> יד ג].</w:t>
      </w:r>
    </w:p>
    <w:p w14:paraId="38F35947" w14:textId="77777777" w:rsidR="00BE1D1C" w:rsidRPr="00012502" w:rsidRDefault="00000000" w:rsidP="00012502">
      <w:pPr>
        <w:pStyle w:val="a7"/>
        <w:bidi/>
        <w:rPr>
          <w:rFonts w:ascii="Narkisim" w:hAnsi="Narkisim"/>
        </w:rPr>
      </w:pPr>
      <w:r w:rsidRPr="00012502">
        <w:rPr>
          <w:rFonts w:ascii="Narkisim" w:hAnsi="Narkisim"/>
          <w:rtl/>
        </w:rPr>
        <w:t>וכעי"ז הקשו ה</w:t>
      </w:r>
      <w:r w:rsidRPr="00012502">
        <w:rPr>
          <w:rFonts w:ascii="Narkisim" w:hAnsi="Narkisim"/>
          <w:b/>
          <w:bCs/>
          <w:rtl/>
        </w:rPr>
        <w:t>אחרונים</w:t>
      </w:r>
      <w:r w:rsidRPr="00012502">
        <w:rPr>
          <w:rFonts w:ascii="Narkisim" w:hAnsi="Narkisim"/>
          <w:rtl/>
        </w:rPr>
        <w:t xml:space="preserve"> אמאי דחי עשה דהקפה, הרי אפשר ע"י מלקט ומספריים, וכן סם. [וצריך לדחוק דאיירי כשאין לו סם]. וה</w:t>
      </w:r>
      <w:r w:rsidRPr="00012502">
        <w:rPr>
          <w:rFonts w:ascii="Narkisim" w:hAnsi="Narkisim"/>
          <w:b/>
          <w:bCs/>
          <w:rtl/>
        </w:rPr>
        <w:t>אמר"מ</w:t>
      </w:r>
      <w:r w:rsidRPr="00012502">
        <w:rPr>
          <w:rFonts w:ascii="Narkisim" w:hAnsi="Narkisim"/>
          <w:rtl/>
        </w:rPr>
        <w:t xml:space="preserve"> (יב ועוד אחרונים) הוכיח דיש מצוות תגלחת על כל שערה. וב</w:t>
      </w:r>
      <w:r w:rsidRPr="00012502">
        <w:rPr>
          <w:rFonts w:ascii="Narkisim" w:hAnsi="Narkisim"/>
          <w:b/>
          <w:bCs/>
          <w:rtl/>
        </w:rPr>
        <w:t>חי' הגר"נ</w:t>
      </w:r>
      <w:r w:rsidRPr="00012502">
        <w:rPr>
          <w:rFonts w:ascii="Narkisim" w:hAnsi="Narkisim"/>
          <w:rtl/>
        </w:rPr>
        <w:t xml:space="preserve"> כת' דכשבא לפנינו עם הרבה שערות הוה הכל מצוה, ולא אמרי' שיעשה תחבולה שיהא לו פחות שערות. </w:t>
      </w:r>
      <w:r w:rsidRPr="00012502">
        <w:rPr>
          <w:rFonts w:ascii="Narkisim" w:hAnsi="Narkisim"/>
          <w:sz w:val="20"/>
          <w:szCs w:val="20"/>
          <w:rtl/>
        </w:rPr>
        <w:t>וה</w:t>
      </w:r>
      <w:r w:rsidRPr="00012502">
        <w:rPr>
          <w:rFonts w:ascii="Narkisim" w:hAnsi="Narkisim"/>
          <w:b/>
          <w:bCs/>
          <w:sz w:val="20"/>
          <w:szCs w:val="20"/>
          <w:rtl/>
        </w:rPr>
        <w:t>אחרונים</w:t>
      </w:r>
      <w:r w:rsidRPr="00012502">
        <w:rPr>
          <w:rFonts w:ascii="Narkisim" w:hAnsi="Narkisim"/>
          <w:sz w:val="20"/>
          <w:szCs w:val="20"/>
          <w:rtl/>
        </w:rPr>
        <w:t xml:space="preserve"> הוכיחו מזה דקיום העשה דוחה לל"ת, ואף במקום שלא יהא ביטול עשה.</w:t>
      </w:r>
      <w:r w:rsidRPr="00012502">
        <w:rPr>
          <w:rFonts w:ascii="Narkisim" w:hAnsi="Narkisim"/>
          <w:rtl/>
        </w:rPr>
        <w:t xml:space="preserve"> </w:t>
      </w:r>
      <w:r w:rsidRPr="00012502">
        <w:rPr>
          <w:rFonts w:ascii="Narkisim" w:hAnsi="Narkisim"/>
          <w:sz w:val="20"/>
          <w:szCs w:val="20"/>
          <w:rtl/>
        </w:rPr>
        <w:t>[וע' מש"כ לעיל בזה].</w:t>
      </w:r>
    </w:p>
    <w:p w14:paraId="6AB4BD0D" w14:textId="77777777" w:rsidR="00BE1D1C" w:rsidRPr="00012502" w:rsidRDefault="00000000" w:rsidP="00012502">
      <w:pPr>
        <w:pStyle w:val="aa"/>
        <w:bidi/>
        <w:rPr>
          <w:rFonts w:ascii="Narkisim" w:hAnsi="Narkisim"/>
        </w:rPr>
      </w:pPr>
      <w:r w:rsidRPr="00012502">
        <w:rPr>
          <w:rFonts w:ascii="Narkisim" w:hAnsi="Narkisim"/>
          <w:u w:val="single"/>
          <w:rtl/>
        </w:rPr>
        <w:t>וקא סבר האי תנא הקפת כל הראש שמה הקפה.</w:t>
      </w:r>
      <w:r w:rsidRPr="00012502">
        <w:rPr>
          <w:rFonts w:ascii="Narkisim" w:hAnsi="Narkisim"/>
          <w:rtl/>
        </w:rPr>
        <w:t xml:space="preserve"> [ומבואר דנח' בזה התנאים בסברא זו, וכן נח' בזה תנאים נזיר נח.</w:t>
      </w:r>
      <w:r w:rsidRPr="00012502">
        <w:rPr>
          <w:rStyle w:val="ac"/>
          <w:rFonts w:ascii="Narkisim" w:hAnsi="Narkisim"/>
          <w:rtl/>
        </w:rPr>
        <w:footnoteReference w:id="211"/>
      </w:r>
      <w:r w:rsidRPr="00012502">
        <w:rPr>
          <w:rFonts w:ascii="Narkisim" w:hAnsi="Narkisim"/>
          <w:rtl/>
        </w:rPr>
        <w:t>]. ופ</w:t>
      </w:r>
      <w:r w:rsidRPr="00012502">
        <w:rPr>
          <w:rFonts w:ascii="Narkisim" w:hAnsi="Narkisim"/>
          <w:b/>
          <w:bCs/>
          <w:rtl/>
        </w:rPr>
        <w:t>רש"י</w:t>
      </w:r>
      <w:r w:rsidRPr="00012502">
        <w:rPr>
          <w:rFonts w:ascii="Narkisim" w:hAnsi="Narkisim"/>
          <w:rtl/>
        </w:rPr>
        <w:t xml:space="preserve"> דהצד דלא שמה הקפה, דפאת כתיב. ואיסור הקפת הראש הוא לעגל הפיאות. ומש"ה היכא דמגלח כל ראשו לא נחשב שמעגל הפאה. [ולכאורה אידך מ"ד ס"ל דהקפידה תורה על מקום הפיאות דוקא].</w:t>
      </w:r>
    </w:p>
    <w:p w14:paraId="32C587C5" w14:textId="77777777" w:rsidR="00BE1D1C" w:rsidRPr="00012502" w:rsidRDefault="00000000" w:rsidP="00012502">
      <w:pPr>
        <w:pStyle w:val="a8"/>
        <w:bidi/>
        <w:rPr>
          <w:rFonts w:ascii="Narkisim" w:hAnsi="Narkisim"/>
        </w:rPr>
      </w:pPr>
      <w:r w:rsidRPr="00012502">
        <w:rPr>
          <w:rFonts w:ascii="Narkisim" w:hAnsi="Narkisim"/>
          <w:rtl/>
        </w:rPr>
        <w:t>וב</w:t>
      </w:r>
      <w:r w:rsidRPr="00012502">
        <w:rPr>
          <w:rFonts w:ascii="Narkisim" w:hAnsi="Narkisim"/>
          <w:b/>
          <w:bCs/>
          <w:rtl/>
        </w:rPr>
        <w:t>ס' החינוך</w:t>
      </w:r>
      <w:r w:rsidRPr="00012502">
        <w:rPr>
          <w:rFonts w:ascii="Narkisim" w:hAnsi="Narkisim"/>
          <w:rtl/>
        </w:rPr>
        <w:t xml:space="preserve"> (רנא) כתב דאע"ג דהתורה אסרה הקפת הראש משום חוקת הגויים, דעובדי ע"ז נהגו להקיף ראשם. ואף הקפת כל הראש בכלל הלאו, ואף דהם לא גילחו כל הראש, דהתורה אסרה הכל משום דומה לדומה.</w:t>
      </w:r>
    </w:p>
    <w:p w14:paraId="5EF6678E" w14:textId="77777777" w:rsidR="00BE1D1C" w:rsidRPr="00012502" w:rsidRDefault="00000000" w:rsidP="00012502">
      <w:pPr>
        <w:bidi/>
        <w:rPr>
          <w:rFonts w:ascii="Narkisim" w:hAnsi="Narkisim" w:cs="Narkisim"/>
        </w:rPr>
      </w:pPr>
      <w:r w:rsidRPr="00012502">
        <w:rPr>
          <w:rFonts w:ascii="Narkisim" w:hAnsi="Narkisim" w:cs="Narkisim"/>
          <w:u w:val="single"/>
          <w:rtl/>
        </w:rPr>
        <w:t>רש"י ד"ה וקסבר.</w:t>
      </w:r>
      <w:r w:rsidRPr="00012502">
        <w:rPr>
          <w:rFonts w:ascii="Narkisim" w:hAnsi="Narkisim" w:cs="Narkisim"/>
          <w:rtl/>
        </w:rPr>
        <w:t xml:space="preserve"> אלמא אשמעינן עדל"ת, הילכך איצטריך עליה למיסר ערוה ליבום. ה</w:t>
      </w:r>
      <w:r w:rsidRPr="00012502">
        <w:rPr>
          <w:rFonts w:ascii="Narkisim" w:hAnsi="Narkisim" w:cs="Narkisim"/>
          <w:b/>
          <w:bCs/>
          <w:rtl/>
        </w:rPr>
        <w:t>אחרונים</w:t>
      </w:r>
      <w:r w:rsidRPr="00012502">
        <w:rPr>
          <w:rFonts w:ascii="Narkisim" w:hAnsi="Narkisim" w:cs="Narkisim"/>
          <w:rtl/>
        </w:rPr>
        <w:t xml:space="preserve"> הקשו אמאי רש"י כתב כן כאן, ולעיל גבי ציצית לא הזכיר כן. וה</w:t>
      </w:r>
      <w:r w:rsidRPr="00012502">
        <w:rPr>
          <w:rFonts w:ascii="Narkisim" w:hAnsi="Narkisim" w:cs="Narkisim"/>
          <w:b/>
          <w:bCs/>
          <w:rtl/>
        </w:rPr>
        <w:t>מנח"ח</w:t>
      </w:r>
      <w:r w:rsidRPr="00012502">
        <w:rPr>
          <w:rFonts w:ascii="Narkisim" w:hAnsi="Narkisim" w:cs="Narkisim"/>
          <w:sz w:val="20"/>
          <w:szCs w:val="20"/>
          <w:rtl/>
        </w:rPr>
        <w:t xml:space="preserve"> (רנא יא)</w:t>
      </w:r>
      <w:r w:rsidRPr="00012502">
        <w:rPr>
          <w:rFonts w:ascii="Narkisim" w:hAnsi="Narkisim" w:cs="Narkisim"/>
          <w:rtl/>
        </w:rPr>
        <w:t xml:space="preserve"> כתב דכשמגלח ראשו עובר בב' לאוין, א' על כל צד</w:t>
      </w:r>
      <w:r w:rsidRPr="00012502">
        <w:rPr>
          <w:rStyle w:val="ac"/>
          <w:rFonts w:ascii="Narkisim" w:hAnsi="Narkisim" w:cs="Narkisim"/>
          <w:rtl/>
        </w:rPr>
        <w:footnoteReference w:id="212"/>
      </w:r>
      <w:r w:rsidRPr="00012502">
        <w:rPr>
          <w:rFonts w:ascii="Narkisim" w:hAnsi="Narkisim" w:cs="Narkisim"/>
          <w:rtl/>
        </w:rPr>
        <w:t>, ומבואר דעשה דוחה ב' לאוין. והמנח"ח הביא דברי ה</w:t>
      </w:r>
      <w:r w:rsidRPr="00012502">
        <w:rPr>
          <w:rFonts w:ascii="Narkisim" w:hAnsi="Narkisim" w:cs="Narkisim"/>
          <w:b/>
          <w:bCs/>
          <w:rtl/>
        </w:rPr>
        <w:t>ר"ן</w:t>
      </w:r>
      <w:r w:rsidRPr="00012502">
        <w:rPr>
          <w:rFonts w:ascii="Narkisim" w:hAnsi="Narkisim" w:cs="Narkisim"/>
          <w:rtl/>
        </w:rPr>
        <w:t xml:space="preserve"> </w:t>
      </w:r>
      <w:r w:rsidRPr="00012502">
        <w:rPr>
          <w:rFonts w:ascii="Narkisim" w:hAnsi="Narkisim" w:cs="Narkisim"/>
          <w:sz w:val="20"/>
          <w:szCs w:val="20"/>
          <w:rtl/>
        </w:rPr>
        <w:t>(יומא ד: בדה"ר)</w:t>
      </w:r>
      <w:r w:rsidRPr="00012502">
        <w:rPr>
          <w:rFonts w:ascii="Narkisim" w:hAnsi="Narkisim" w:cs="Narkisim"/>
          <w:rtl/>
        </w:rPr>
        <w:t xml:space="preserve"> דב' לאוין חמור מכרת</w:t>
      </w:r>
      <w:r w:rsidRPr="00012502">
        <w:rPr>
          <w:rStyle w:val="ac"/>
          <w:rFonts w:ascii="Narkisim" w:hAnsi="Narkisim" w:cs="Narkisim"/>
          <w:rtl/>
        </w:rPr>
        <w:footnoteReference w:id="213"/>
      </w:r>
      <w:r w:rsidRPr="00012502">
        <w:rPr>
          <w:rFonts w:ascii="Narkisim" w:hAnsi="Narkisim" w:cs="Narkisim"/>
          <w:rtl/>
        </w:rPr>
        <w:t>, ומש"ה למד רש"י דאי עשה דוחה ב' לאוין, ה"ה דדוחה ל"ת שיש בו כרת</w:t>
      </w:r>
      <w:r w:rsidRPr="00012502">
        <w:rPr>
          <w:rStyle w:val="ac"/>
          <w:rFonts w:ascii="Narkisim" w:hAnsi="Narkisim" w:cs="Narkisim"/>
          <w:rtl/>
        </w:rPr>
        <w:footnoteReference w:id="214"/>
      </w:r>
      <w:r w:rsidRPr="00012502">
        <w:rPr>
          <w:rFonts w:ascii="Narkisim" w:hAnsi="Narkisim" w:cs="Narkisim"/>
          <w:rtl/>
        </w:rPr>
        <w:t>. וה</w:t>
      </w:r>
      <w:r w:rsidRPr="00012502">
        <w:rPr>
          <w:rFonts w:ascii="Narkisim" w:hAnsi="Narkisim" w:cs="Narkisim"/>
          <w:b/>
          <w:bCs/>
          <w:rtl/>
        </w:rPr>
        <w:t xml:space="preserve">אמר"מ </w:t>
      </w:r>
      <w:r w:rsidRPr="00012502">
        <w:rPr>
          <w:rFonts w:ascii="Narkisim" w:hAnsi="Narkisim" w:cs="Narkisim"/>
          <w:rtl/>
        </w:rPr>
        <w:t xml:space="preserve">(יב) כתב דבתגלחת נזיר נתחדש דמותר למקיף לעבור על לאו משום עשה של המתגלח, ומזה למד רש"י אף לענין יבום דמצוה שלו דוחה ל"ת דידה. </w:t>
      </w:r>
      <w:r w:rsidRPr="00012502">
        <w:rPr>
          <w:rFonts w:ascii="Narkisim" w:hAnsi="Narkisim" w:cs="Narkisim"/>
          <w:sz w:val="20"/>
          <w:szCs w:val="20"/>
          <w:rtl/>
        </w:rPr>
        <w:t>[ואף למסקנא דלא ילפי' מהכא, מ“מ לעינן זה יש גילוי מכאן].</w:t>
      </w:r>
    </w:p>
    <w:p w14:paraId="2DEFAE5E" w14:textId="77777777" w:rsidR="00BE1D1C" w:rsidRPr="00012502" w:rsidRDefault="00000000" w:rsidP="00012502">
      <w:pPr>
        <w:bidi/>
        <w:rPr>
          <w:rFonts w:ascii="Narkisim" w:hAnsi="Narkisim" w:cs="Narkisim"/>
        </w:rPr>
      </w:pPr>
      <w:r w:rsidRPr="00012502">
        <w:rPr>
          <w:rFonts w:ascii="Narkisim" w:hAnsi="Narkisim" w:cs="Narkisim"/>
          <w:u w:val="single"/>
          <w:rtl/>
        </w:rPr>
        <w:t>איכא למיפרך וכו' שכן לאו שאין שוה בכל וכו'.</w:t>
      </w:r>
      <w:r w:rsidRPr="00012502">
        <w:rPr>
          <w:rFonts w:ascii="Narkisim" w:hAnsi="Narkisim" w:cs="Narkisim"/>
          <w:rtl/>
        </w:rPr>
        <w:t xml:space="preserve"> ה</w:t>
      </w:r>
      <w:r w:rsidRPr="00012502">
        <w:rPr>
          <w:rFonts w:ascii="Narkisim" w:hAnsi="Narkisim" w:cs="Narkisim"/>
          <w:b/>
          <w:bCs/>
          <w:rtl/>
        </w:rPr>
        <w:t xml:space="preserve">מהרש"א </w:t>
      </w:r>
      <w:r w:rsidRPr="00012502">
        <w:rPr>
          <w:rFonts w:ascii="Narkisim" w:hAnsi="Narkisim" w:cs="Narkisim"/>
          <w:sz w:val="20"/>
          <w:szCs w:val="20"/>
          <w:rtl/>
        </w:rPr>
        <w:t xml:space="preserve">(ד.) </w:t>
      </w:r>
      <w:r w:rsidRPr="00012502">
        <w:rPr>
          <w:rFonts w:ascii="Narkisim" w:hAnsi="Narkisim" w:cs="Narkisim"/>
          <w:rtl/>
        </w:rPr>
        <w:t>נסתפק אי עשה</w:t>
      </w:r>
      <w:r w:rsidRPr="00012502">
        <w:rPr>
          <w:rFonts w:ascii="Narkisim" w:hAnsi="Narkisim" w:cs="Narkisim"/>
          <w:sz w:val="20"/>
          <w:szCs w:val="20"/>
          <w:rtl/>
        </w:rPr>
        <w:t xml:space="preserve"> [דציצית] </w:t>
      </w:r>
      <w:r w:rsidRPr="00012502">
        <w:rPr>
          <w:rFonts w:ascii="Narkisim" w:hAnsi="Narkisim" w:cs="Narkisim"/>
          <w:rtl/>
        </w:rPr>
        <w:t>שאינו שווה בכל דוחה ל"ת ועשה דאינו שווה בכל</w:t>
      </w:r>
      <w:r w:rsidRPr="00012502">
        <w:rPr>
          <w:rStyle w:val="ac"/>
          <w:rFonts w:ascii="Narkisim" w:hAnsi="Narkisim" w:cs="Narkisim"/>
          <w:rtl/>
        </w:rPr>
        <w:footnoteReference w:id="215"/>
      </w:r>
      <w:r w:rsidRPr="00012502">
        <w:rPr>
          <w:rFonts w:ascii="Narkisim" w:hAnsi="Narkisim" w:cs="Narkisim"/>
          <w:rtl/>
        </w:rPr>
        <w:t>.</w:t>
      </w:r>
    </w:p>
    <w:p w14:paraId="5F0128AF" w14:textId="77777777" w:rsidR="00BE1D1C" w:rsidRPr="00012502" w:rsidRDefault="00000000" w:rsidP="00012502">
      <w:pPr>
        <w:bidi/>
        <w:rPr>
          <w:rFonts w:ascii="Narkisim" w:hAnsi="Narkisim" w:cs="Narkisim"/>
        </w:rPr>
      </w:pPr>
      <w:r w:rsidRPr="00012502">
        <w:rPr>
          <w:rFonts w:ascii="Narkisim" w:hAnsi="Narkisim" w:cs="Narkisim"/>
          <w:u w:val="single"/>
          <w:rtl/>
        </w:rPr>
        <w:t>תוד"ה ואכתי.</w:t>
      </w:r>
      <w:r w:rsidRPr="00012502">
        <w:rPr>
          <w:rFonts w:ascii="Narkisim" w:hAnsi="Narkisim" w:cs="Narkisim"/>
          <w:rtl/>
        </w:rPr>
        <w:t xml:space="preserve"> אבל גבי אלמנה לכה"ג האשה עושה איסור. וצ"ב דמ"מ אינו שווה בשאר אנשים, ומה מהני מה דשווה בנשים. וה</w:t>
      </w:r>
      <w:r w:rsidRPr="00012502">
        <w:rPr>
          <w:rFonts w:ascii="Narkisim" w:hAnsi="Narkisim" w:cs="Narkisim"/>
          <w:b/>
          <w:bCs/>
          <w:rtl/>
        </w:rPr>
        <w:t>ערול"נ</w:t>
      </w:r>
      <w:r w:rsidRPr="00012502">
        <w:rPr>
          <w:rFonts w:ascii="Narkisim" w:hAnsi="Narkisim" w:cs="Narkisim"/>
          <w:rtl/>
        </w:rPr>
        <w:t xml:space="preserve"> כת' דכיון דשייך ברוב</w:t>
      </w:r>
      <w:r w:rsidRPr="00012502">
        <w:rPr>
          <w:rStyle w:val="ac"/>
          <w:rFonts w:ascii="Narkisim" w:hAnsi="Narkisim" w:cs="Narkisim"/>
          <w:rtl/>
        </w:rPr>
        <w:footnoteReference w:id="216"/>
      </w:r>
      <w:r w:rsidRPr="00012502">
        <w:rPr>
          <w:rFonts w:ascii="Narkisim" w:hAnsi="Narkisim" w:cs="Narkisim"/>
          <w:rtl/>
        </w:rPr>
        <w:t xml:space="preserve"> נחשב שווה בכל</w:t>
      </w:r>
      <w:r w:rsidRPr="00012502">
        <w:rPr>
          <w:rStyle w:val="ac"/>
          <w:rFonts w:ascii="Narkisim" w:hAnsi="Narkisim" w:cs="Narkisim"/>
          <w:rtl/>
        </w:rPr>
        <w:footnoteReference w:id="217"/>
      </w:r>
      <w:r w:rsidRPr="00012502">
        <w:rPr>
          <w:rFonts w:ascii="Narkisim" w:hAnsi="Narkisim" w:cs="Narkisim"/>
          <w:rtl/>
        </w:rPr>
        <w:t>. אבל ה</w:t>
      </w:r>
      <w:r w:rsidRPr="00012502">
        <w:rPr>
          <w:rFonts w:ascii="Narkisim" w:hAnsi="Narkisim" w:cs="Narkisim"/>
          <w:b/>
          <w:bCs/>
          <w:rtl/>
        </w:rPr>
        <w:t>קובה"ע</w:t>
      </w:r>
      <w:r w:rsidRPr="00012502">
        <w:rPr>
          <w:rFonts w:ascii="Narkisim" w:hAnsi="Narkisim" w:cs="Narkisim"/>
          <w:sz w:val="20"/>
          <w:szCs w:val="20"/>
          <w:rtl/>
        </w:rPr>
        <w:t xml:space="preserve"> (מח ט בהשמטה) </w:t>
      </w:r>
      <w:r w:rsidRPr="00012502">
        <w:rPr>
          <w:rFonts w:ascii="Narkisim" w:hAnsi="Narkisim" w:cs="Narkisim"/>
          <w:rtl/>
        </w:rPr>
        <w:t>ביאר דמהא שהאשה מוזהרת מוכח דכל ישראל מוזהרין בלאו זה, רק דבכל ישראל לא משכחת לה מעשה האיסור. והחפצא של האיסור הוה רק בכה"ג.</w:t>
      </w:r>
    </w:p>
    <w:p w14:paraId="4A82A7ED" w14:textId="77777777" w:rsidR="00BE1D1C" w:rsidRPr="00012502" w:rsidRDefault="00000000" w:rsidP="00012502">
      <w:pPr>
        <w:pStyle w:val="a8"/>
        <w:bidi/>
        <w:rPr>
          <w:rFonts w:ascii="Narkisim" w:hAnsi="Narkisim"/>
        </w:rPr>
      </w:pPr>
      <w:r w:rsidRPr="00012502">
        <w:rPr>
          <w:rFonts w:ascii="Narkisim" w:hAnsi="Narkisim"/>
          <w:rtl/>
        </w:rPr>
        <w:t>ב</w:t>
      </w:r>
      <w:r w:rsidRPr="00012502">
        <w:rPr>
          <w:rFonts w:ascii="Narkisim" w:hAnsi="Narkisim"/>
          <w:b/>
          <w:bCs/>
          <w:rtl/>
        </w:rPr>
        <w:t xml:space="preserve">גמ' </w:t>
      </w:r>
      <w:r w:rsidRPr="00012502">
        <w:rPr>
          <w:rFonts w:ascii="Narkisim" w:hAnsi="Narkisim"/>
          <w:rtl/>
        </w:rPr>
        <w:t>(כתובות ל.) אי' דבעולה לכה"ג לאו שאינו שווה בכל, ולכן לכו"ע תפסי קידושין. וקשה למש"כ בתוס'. [ודנו די"ל דמ"מ הוה יותר שווה בכל]. ו</w:t>
      </w:r>
      <w:r w:rsidRPr="00012502">
        <w:rPr>
          <w:rFonts w:ascii="Narkisim" w:hAnsi="Narkisim"/>
          <w:b/>
          <w:bCs/>
          <w:rtl/>
        </w:rPr>
        <w:t>רע"א</w:t>
      </w:r>
      <w:r w:rsidRPr="00012502">
        <w:rPr>
          <w:rFonts w:ascii="Narkisim" w:hAnsi="Narkisim"/>
          <w:rtl/>
        </w:rPr>
        <w:t xml:space="preserve"> (שם) יישב דהעשה [דבתולה] קאי רק עליו ולא עליה, ובסוגיין רק לענין הלאו נחשב שווה בכל, ואף בנשים. [ומבואר בדברי רע"א דסגי שהל"ת שווה בכל שלא ידחה מפני עשה, ואף שהעשה אינו שווה בכל</w:t>
      </w:r>
      <w:r w:rsidRPr="00012502">
        <w:rPr>
          <w:rStyle w:val="ac"/>
          <w:rFonts w:ascii="Narkisim" w:hAnsi="Narkisim"/>
          <w:rtl/>
        </w:rPr>
        <w:footnoteReference w:id="218"/>
      </w:r>
      <w:r w:rsidRPr="00012502">
        <w:rPr>
          <w:rFonts w:ascii="Narkisim" w:hAnsi="Narkisim"/>
          <w:rtl/>
        </w:rPr>
        <w:t>]. [אבל ב</w:t>
      </w:r>
      <w:r w:rsidRPr="00012502">
        <w:rPr>
          <w:rFonts w:ascii="Narkisim" w:hAnsi="Narkisim"/>
          <w:b/>
          <w:bCs/>
          <w:rtl/>
        </w:rPr>
        <w:t xml:space="preserve">תוס' שאנ"ץ </w:t>
      </w:r>
      <w:r w:rsidRPr="00012502">
        <w:rPr>
          <w:rFonts w:ascii="Narkisim" w:hAnsi="Narkisim"/>
          <w:rtl/>
        </w:rPr>
        <w:t>(בשיטמ"ק ב"מ ל) כתב דהעשה שווה בכל].</w:t>
      </w:r>
    </w:p>
    <w:p w14:paraId="11710D96" w14:textId="77777777" w:rsidR="00BE1D1C" w:rsidRPr="00012502" w:rsidRDefault="00000000" w:rsidP="00012502">
      <w:pPr>
        <w:pStyle w:val="aa"/>
        <w:bidi/>
        <w:rPr>
          <w:rFonts w:ascii="Narkisim" w:hAnsi="Narkisim"/>
        </w:rPr>
      </w:pPr>
      <w:r w:rsidRPr="00012502">
        <w:rPr>
          <w:rFonts w:ascii="Narkisim" w:hAnsi="Narkisim"/>
          <w:u w:val="single"/>
          <w:rtl/>
        </w:rPr>
        <w:lastRenderedPageBreak/>
        <w:t>בא"ד כדאמרי' בשילוח הקן וכו' דגדול השלום</w:t>
      </w:r>
      <w:r w:rsidRPr="00012502">
        <w:rPr>
          <w:rStyle w:val="ac"/>
          <w:rFonts w:ascii="Narkisim" w:hAnsi="Narkisim"/>
          <w:rtl/>
        </w:rPr>
        <w:footnoteReference w:id="219"/>
      </w:r>
      <w:r w:rsidRPr="00012502">
        <w:rPr>
          <w:rFonts w:ascii="Narkisim" w:hAnsi="Narkisim"/>
          <w:rtl/>
        </w:rPr>
        <w:t>. [ונח' ב' תי' התוס' (כאן, וב"מ ל) האם עשה דוחה ל"ת ועשה דאינו שוה, או דוקא עשה דאלים דחי].</w:t>
      </w:r>
    </w:p>
    <w:p w14:paraId="3922E8D8" w14:textId="77777777" w:rsidR="00BE1D1C" w:rsidRPr="00012502" w:rsidRDefault="00000000" w:rsidP="00012502">
      <w:pPr>
        <w:pStyle w:val="aa"/>
        <w:bidi/>
        <w:rPr>
          <w:rFonts w:ascii="Narkisim" w:hAnsi="Narkisim"/>
        </w:rPr>
      </w:pPr>
      <w:r w:rsidRPr="00012502">
        <w:rPr>
          <w:rFonts w:ascii="Narkisim" w:hAnsi="Narkisim"/>
          <w:u w:val="single"/>
          <w:rtl/>
        </w:rPr>
        <w:t>בא"ד ומיהו לא יתיישב טעם זה למאן דשרי וכו'</w:t>
      </w:r>
      <w:r w:rsidRPr="00012502">
        <w:rPr>
          <w:rStyle w:val="ac"/>
          <w:rFonts w:ascii="Narkisim" w:hAnsi="Narkisim"/>
          <w:rtl/>
        </w:rPr>
        <w:footnoteReference w:id="220"/>
      </w:r>
      <w:r w:rsidRPr="00012502">
        <w:rPr>
          <w:rFonts w:ascii="Narkisim" w:hAnsi="Narkisim"/>
          <w:rtl/>
        </w:rPr>
        <w:t>. [דלהך מ"ד ל"ש גדול השלום]. אך ה</w:t>
      </w:r>
      <w:r w:rsidRPr="00012502">
        <w:rPr>
          <w:rFonts w:ascii="Narkisim" w:hAnsi="Narkisim"/>
          <w:b/>
          <w:bCs/>
          <w:rtl/>
        </w:rPr>
        <w:t>שיטמ"ק</w:t>
      </w:r>
      <w:r w:rsidRPr="00012502">
        <w:rPr>
          <w:rFonts w:ascii="Narkisim" w:hAnsi="Narkisim"/>
          <w:rtl/>
        </w:rPr>
        <w:t xml:space="preserve"> (ב"מ ל) כת' דאף להך מ"ד אינו מתקבל אצל אשתו מחמת צרעתו.</w:t>
      </w:r>
    </w:p>
    <w:p w14:paraId="0B4B6689" w14:textId="77777777" w:rsidR="00BE1D1C" w:rsidRPr="00012502" w:rsidRDefault="00000000" w:rsidP="00012502">
      <w:pPr>
        <w:bidi/>
        <w:rPr>
          <w:rFonts w:ascii="Narkisim" w:hAnsi="Narkisim" w:cs="Narkisim"/>
        </w:rPr>
      </w:pPr>
      <w:r w:rsidRPr="00012502">
        <w:rPr>
          <w:rFonts w:ascii="Narkisim" w:hAnsi="Narkisim" w:cs="Narkisim"/>
          <w:u w:val="single"/>
          <w:rtl/>
        </w:rPr>
        <w:t>רש"י ד"ה ת"ל ראש.</w:t>
      </w:r>
      <w:r w:rsidRPr="00012502">
        <w:rPr>
          <w:rFonts w:ascii="Narkisim" w:hAnsi="Narkisim" w:cs="Narkisim"/>
          <w:rtl/>
        </w:rPr>
        <w:t xml:space="preserve"> ואע"ג דלאו [דנזיר] אינו שווה בכל, אם אינו ענין וכו'. וה</w:t>
      </w:r>
      <w:r w:rsidRPr="00012502">
        <w:rPr>
          <w:rFonts w:ascii="Narkisim" w:hAnsi="Narkisim" w:cs="Narkisim"/>
          <w:b/>
          <w:bCs/>
          <w:rtl/>
        </w:rPr>
        <w:t>ריטב"א</w:t>
      </w:r>
      <w:r w:rsidRPr="00012502">
        <w:rPr>
          <w:rFonts w:ascii="Narkisim" w:hAnsi="Narkisim" w:cs="Narkisim"/>
          <w:rtl/>
        </w:rPr>
        <w:t xml:space="preserve"> חלק דנזיר נחשב שווה בכל, דהכל ראויין להיות נזיר. וה</w:t>
      </w:r>
      <w:r w:rsidRPr="00012502">
        <w:rPr>
          <w:rFonts w:ascii="Narkisim" w:hAnsi="Narkisim" w:cs="Narkisim"/>
          <w:b/>
          <w:bCs/>
          <w:rtl/>
        </w:rPr>
        <w:t>מהרש"ל</w:t>
      </w:r>
      <w:r w:rsidRPr="00012502">
        <w:rPr>
          <w:rFonts w:ascii="Narkisim" w:hAnsi="Narkisim" w:cs="Narkisim"/>
          <w:rtl/>
        </w:rPr>
        <w:t xml:space="preserve"> הביא דהקשו כן ע"פ המבואר בגמ' </w:t>
      </w:r>
      <w:r w:rsidRPr="00012502">
        <w:rPr>
          <w:rFonts w:ascii="Narkisim" w:hAnsi="Narkisim" w:cs="Narkisim"/>
          <w:szCs w:val="20"/>
          <w:rtl/>
        </w:rPr>
        <w:t>(נזיר נח)</w:t>
      </w:r>
      <w:r w:rsidRPr="00012502">
        <w:rPr>
          <w:rFonts w:ascii="Narkisim" w:hAnsi="Narkisim" w:cs="Narkisim"/>
          <w:rtl/>
        </w:rPr>
        <w:t xml:space="preserve"> דנחשב שווה בכל</w:t>
      </w:r>
      <w:r w:rsidRPr="00012502">
        <w:rPr>
          <w:rStyle w:val="ac"/>
          <w:rFonts w:ascii="Narkisim" w:hAnsi="Narkisim" w:cs="Narkisim"/>
          <w:rtl/>
        </w:rPr>
        <w:footnoteReference w:id="221"/>
      </w:r>
      <w:r w:rsidRPr="00012502">
        <w:rPr>
          <w:rFonts w:ascii="Narkisim" w:hAnsi="Narkisim" w:cs="Narkisim"/>
          <w:rtl/>
        </w:rPr>
        <w:t xml:space="preserve">. </w:t>
      </w:r>
      <w:r w:rsidRPr="00012502">
        <w:rPr>
          <w:rFonts w:ascii="Narkisim" w:hAnsi="Narkisim" w:cs="Narkisim"/>
          <w:sz w:val="20"/>
          <w:szCs w:val="20"/>
          <w:rtl/>
        </w:rPr>
        <w:t>והמהרש"ל כת' דכוונת הגמ' (שם) דביחס ללאו דכהנים נחשב יותר שווה בכל, אבל לעולם אינו שווה בכל, וכמ"ש רש"י.</w:t>
      </w:r>
      <w:r w:rsidRPr="00012502">
        <w:rPr>
          <w:rFonts w:ascii="Narkisim" w:hAnsi="Narkisim" w:cs="Narkisim"/>
          <w:rtl/>
        </w:rPr>
        <w:t xml:space="preserve"> ו</w:t>
      </w:r>
      <w:r w:rsidRPr="00012502">
        <w:rPr>
          <w:rFonts w:ascii="Narkisim" w:hAnsi="Narkisim" w:cs="Narkisim"/>
          <w:b/>
          <w:bCs/>
          <w:rtl/>
        </w:rPr>
        <w:t xml:space="preserve">תוס' </w:t>
      </w:r>
      <w:r w:rsidRPr="00012502">
        <w:rPr>
          <w:rFonts w:ascii="Narkisim" w:hAnsi="Narkisim" w:cs="Narkisim"/>
          <w:szCs w:val="20"/>
          <w:rtl/>
        </w:rPr>
        <w:t>(נזיר מא: ד"ה ואי)</w:t>
      </w:r>
      <w:r w:rsidRPr="00012502">
        <w:rPr>
          <w:rFonts w:ascii="Narkisim" w:hAnsi="Narkisim" w:cs="Narkisim"/>
          <w:rtl/>
        </w:rPr>
        <w:t xml:space="preserve"> נקטו דנח' בזה התנאים, ולברייתא </w:t>
      </w:r>
      <w:r w:rsidRPr="00012502">
        <w:rPr>
          <w:rFonts w:ascii="Narkisim" w:hAnsi="Narkisim" w:cs="Narkisim"/>
          <w:szCs w:val="20"/>
          <w:rtl/>
        </w:rPr>
        <w:t>(נזיר נח)</w:t>
      </w:r>
      <w:r w:rsidRPr="00012502">
        <w:rPr>
          <w:rFonts w:ascii="Narkisim" w:hAnsi="Narkisim" w:cs="Narkisim"/>
          <w:rtl/>
        </w:rPr>
        <w:t xml:space="preserve"> נחשב שוה בכל </w:t>
      </w:r>
      <w:r w:rsidRPr="00012502">
        <w:rPr>
          <w:rFonts w:ascii="Narkisim" w:hAnsi="Narkisim" w:cs="Narkisim"/>
          <w:szCs w:val="20"/>
          <w:rtl/>
        </w:rPr>
        <w:t>[וכדאיתא שם נח:]</w:t>
      </w:r>
      <w:r w:rsidRPr="00012502">
        <w:rPr>
          <w:rFonts w:ascii="Narkisim" w:hAnsi="Narkisim" w:cs="Narkisim"/>
          <w:rtl/>
        </w:rPr>
        <w:t>.</w:t>
      </w:r>
    </w:p>
    <w:p w14:paraId="66A954DB"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אבנ"מ</w:t>
      </w:r>
      <w:r w:rsidRPr="00012502">
        <w:rPr>
          <w:rFonts w:ascii="Narkisim" w:hAnsi="Narkisim"/>
          <w:rtl/>
        </w:rPr>
        <w:t xml:space="preserve"> </w:t>
      </w:r>
      <w:r w:rsidRPr="00012502">
        <w:rPr>
          <w:rFonts w:ascii="Narkisim" w:hAnsi="Narkisim"/>
          <w:szCs w:val="20"/>
          <w:rtl/>
        </w:rPr>
        <w:t>(שו"ת כב)</w:t>
      </w:r>
      <w:r w:rsidRPr="00012502">
        <w:rPr>
          <w:rFonts w:ascii="Narkisim" w:hAnsi="Narkisim"/>
          <w:rtl/>
        </w:rPr>
        <w:t xml:space="preserve"> כתב דתליא במח' שהו' ב</w:t>
      </w:r>
      <w:r w:rsidRPr="00012502">
        <w:rPr>
          <w:rFonts w:ascii="Narkisim" w:hAnsi="Narkisim"/>
          <w:b/>
          <w:bCs/>
          <w:rtl/>
        </w:rPr>
        <w:t>מהרי"ט</w:t>
      </w:r>
      <w:r w:rsidRPr="00012502">
        <w:rPr>
          <w:rFonts w:ascii="Narkisim" w:hAnsi="Narkisim"/>
          <w:rtl/>
        </w:rPr>
        <w:t xml:space="preserve"> (א נג,נד) במהות נזירות, האם הוא איסור </w:t>
      </w:r>
      <w:r w:rsidRPr="00012502">
        <w:rPr>
          <w:rFonts w:ascii="Narkisim" w:hAnsi="Narkisim"/>
          <w:i/>
          <w:iCs/>
          <w:rtl/>
        </w:rPr>
        <w:t>גברא</w:t>
      </w:r>
      <w:r w:rsidRPr="00012502">
        <w:rPr>
          <w:rFonts w:ascii="Narkisim" w:hAnsi="Narkisim"/>
          <w:rtl/>
        </w:rPr>
        <w:t xml:space="preserve"> </w:t>
      </w:r>
      <w:r w:rsidRPr="00012502">
        <w:rPr>
          <w:rFonts w:ascii="Narkisim" w:hAnsi="Narkisim"/>
          <w:sz w:val="20"/>
          <w:szCs w:val="20"/>
          <w:rtl/>
        </w:rPr>
        <w:t>[שאוסר על עצמו לשתות יין וכו', וכמו שבועה</w:t>
      </w:r>
      <w:r w:rsidRPr="00012502">
        <w:rPr>
          <w:rFonts w:ascii="Narkisim" w:hAnsi="Narkisim"/>
          <w:rtl/>
        </w:rPr>
        <w:t xml:space="preserve">], או איסור </w:t>
      </w:r>
      <w:r w:rsidRPr="00012502">
        <w:rPr>
          <w:rFonts w:ascii="Narkisim" w:hAnsi="Narkisim"/>
          <w:i/>
          <w:iCs/>
          <w:rtl/>
        </w:rPr>
        <w:t>חפצא</w:t>
      </w:r>
      <w:r w:rsidRPr="00012502">
        <w:rPr>
          <w:rFonts w:ascii="Narkisim" w:hAnsi="Narkisim"/>
          <w:sz w:val="20"/>
          <w:szCs w:val="20"/>
          <w:rtl/>
        </w:rPr>
        <w:t xml:space="preserve"> [שאוסר על עצמו מין יין וכו', וכמו נדר</w:t>
      </w:r>
      <w:r w:rsidRPr="00012502">
        <w:rPr>
          <w:rFonts w:ascii="Narkisim" w:hAnsi="Narkisim"/>
          <w:rtl/>
        </w:rPr>
        <w:t>], או שמחיל על עצמו קדושת נזיר, וממילא התורה אסרה למי שנתקדש בתואר נזירות</w:t>
      </w:r>
      <w:r w:rsidRPr="00012502">
        <w:rPr>
          <w:rStyle w:val="ac"/>
          <w:rFonts w:ascii="Narkisim" w:hAnsi="Narkisim"/>
          <w:rtl/>
        </w:rPr>
        <w:footnoteReference w:id="222"/>
      </w:r>
      <w:r w:rsidRPr="00012502">
        <w:rPr>
          <w:rFonts w:ascii="Narkisim" w:hAnsi="Narkisim"/>
          <w:sz w:val="20"/>
          <w:szCs w:val="20"/>
          <w:rtl/>
        </w:rPr>
        <w:t>.</w:t>
      </w:r>
    </w:p>
    <w:p w14:paraId="09295384"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אבנ"מ</w:t>
      </w:r>
      <w:r w:rsidRPr="00012502">
        <w:rPr>
          <w:rFonts w:ascii="Narkisim" w:hAnsi="Narkisim"/>
          <w:rtl/>
        </w:rPr>
        <w:t xml:space="preserve"> כת' די"ל דתליא במח' הסוגיות הנ"ל, דלצד דהוא אוסר על עצמו, ודאי נחשב שווה בכל, ואיתא בשאלה. אבל לסברת המהרי"ט דהוה מדיני הנזירות, וכמו שרמי על כהן מצוות יתרות, א"כ הוה איסור מיוחד לנזירים ואינו שווה בכל</w:t>
      </w:r>
      <w:r w:rsidRPr="00012502">
        <w:rPr>
          <w:rStyle w:val="ac"/>
          <w:rFonts w:ascii="Narkisim" w:hAnsi="Narkisim"/>
          <w:rtl/>
        </w:rPr>
        <w:footnoteReference w:id="223"/>
      </w:r>
      <w:r w:rsidRPr="00012502">
        <w:rPr>
          <w:rFonts w:ascii="Narkisim" w:hAnsi="Narkisim"/>
          <w:rtl/>
        </w:rPr>
        <w:t xml:space="preserve">. </w:t>
      </w:r>
      <w:r w:rsidRPr="00012502">
        <w:rPr>
          <w:rFonts w:ascii="Narkisim" w:hAnsi="Narkisim"/>
          <w:sz w:val="20"/>
          <w:szCs w:val="20"/>
          <w:rtl/>
        </w:rPr>
        <w:t>[וכתב דאף מה שאמרו דקיל משום שישנו בשאלה לא שייך לצד הזה, דא"א לישאל על איסורים אלו, אלא דיכול לישאל על עצם נזירותו, וע' בסמוך].</w:t>
      </w:r>
    </w:p>
    <w:p w14:paraId="1175AF65" w14:textId="77777777" w:rsidR="00BE1D1C" w:rsidRPr="00012502" w:rsidRDefault="00000000" w:rsidP="00012502">
      <w:pPr>
        <w:bidi/>
        <w:rPr>
          <w:rFonts w:ascii="Narkisim" w:hAnsi="Narkisim" w:cs="Narkisim"/>
        </w:rPr>
      </w:pPr>
      <w:r w:rsidRPr="00012502">
        <w:rPr>
          <w:rFonts w:ascii="Narkisim" w:hAnsi="Narkisim" w:cs="Narkisim"/>
          <w:u w:val="single"/>
          <w:rtl/>
        </w:rPr>
        <w:t>שכן ישנו בשאלה.</w:t>
      </w:r>
      <w:r w:rsidRPr="00012502">
        <w:rPr>
          <w:rFonts w:ascii="Narkisim" w:hAnsi="Narkisim" w:cs="Narkisim"/>
          <w:rtl/>
        </w:rPr>
        <w:t xml:space="preserve"> </w:t>
      </w:r>
      <w:r w:rsidRPr="00012502">
        <w:rPr>
          <w:rFonts w:ascii="Narkisim" w:hAnsi="Narkisim" w:cs="Narkisim"/>
          <w:sz w:val="20"/>
          <w:szCs w:val="20"/>
          <w:rtl/>
        </w:rPr>
        <w:t xml:space="preserve">[מבואר דלאו דראוי להפקיעו, נחשב </w:t>
      </w:r>
      <w:r w:rsidRPr="00012502">
        <w:rPr>
          <w:rFonts w:ascii="Narkisim" w:hAnsi="Narkisim" w:cs="Narkisim"/>
          <w:i/>
          <w:iCs/>
          <w:sz w:val="20"/>
          <w:szCs w:val="20"/>
          <w:rtl/>
        </w:rPr>
        <w:t>קיל</w:t>
      </w:r>
      <w:r w:rsidRPr="00012502">
        <w:rPr>
          <w:rFonts w:ascii="Narkisim" w:hAnsi="Narkisim" w:cs="Narkisim"/>
          <w:sz w:val="20"/>
          <w:szCs w:val="20"/>
          <w:rtl/>
        </w:rPr>
        <w:t xml:space="preserve"> ונדחה מפני העשה. ולא אמרי' שצריך לישאל</w:t>
      </w:r>
      <w:r w:rsidRPr="00012502">
        <w:rPr>
          <w:rStyle w:val="ac"/>
          <w:rFonts w:ascii="Narkisim" w:hAnsi="Narkisim" w:cs="Narkisim"/>
          <w:sz w:val="20"/>
          <w:szCs w:val="20"/>
          <w:rtl/>
        </w:rPr>
        <w:footnoteReference w:id="224"/>
      </w:r>
      <w:r w:rsidRPr="00012502">
        <w:rPr>
          <w:rFonts w:ascii="Narkisim" w:hAnsi="Narkisim" w:cs="Narkisim"/>
          <w:sz w:val="20"/>
          <w:szCs w:val="20"/>
          <w:rtl/>
        </w:rPr>
        <w:t>]</w:t>
      </w:r>
      <w:r w:rsidRPr="00012502">
        <w:rPr>
          <w:rFonts w:ascii="Narkisim" w:hAnsi="Narkisim" w:cs="Narkisim"/>
          <w:rtl/>
        </w:rPr>
        <w:t>. ה</w:t>
      </w:r>
      <w:r w:rsidRPr="00012502">
        <w:rPr>
          <w:rFonts w:ascii="Narkisim" w:hAnsi="Narkisim" w:cs="Narkisim"/>
          <w:b/>
          <w:bCs/>
          <w:rtl/>
        </w:rPr>
        <w:t>שואל</w:t>
      </w:r>
      <w:r w:rsidRPr="00012502">
        <w:rPr>
          <w:rFonts w:ascii="Narkisim" w:hAnsi="Narkisim" w:cs="Narkisim"/>
          <w:rtl/>
        </w:rPr>
        <w:t xml:space="preserve"> בשו"ת הרשב"א</w:t>
      </w:r>
      <w:r w:rsidRPr="00012502">
        <w:rPr>
          <w:rFonts w:ascii="Narkisim" w:hAnsi="Narkisim" w:cs="Narkisim"/>
          <w:sz w:val="20"/>
          <w:szCs w:val="20"/>
          <w:rtl/>
        </w:rPr>
        <w:t xml:space="preserve"> (ג שמג הודפס בקובה"ע)</w:t>
      </w:r>
      <w:r w:rsidRPr="00012502">
        <w:rPr>
          <w:rFonts w:ascii="Narkisim" w:hAnsi="Narkisim" w:cs="Narkisim"/>
          <w:rtl/>
        </w:rPr>
        <w:t xml:space="preserve"> הקשה דבגמ' (נדרים טז:) איתא דישיבת הסוכה עלי אסור בו, ולא אמרי' עשה דוחה, כיון דהוה ל"ת ועשה.</w:t>
      </w:r>
      <w:r w:rsidRPr="00012502">
        <w:rPr>
          <w:rFonts w:ascii="Narkisim" w:hAnsi="Narkisim" w:cs="Narkisim"/>
          <w:sz w:val="20"/>
          <w:szCs w:val="20"/>
          <w:rtl/>
        </w:rPr>
        <w:t xml:space="preserve"> [וכ"כ ה</w:t>
      </w:r>
      <w:r w:rsidRPr="00012502">
        <w:rPr>
          <w:rFonts w:ascii="Narkisim" w:hAnsi="Narkisim" w:cs="Narkisim"/>
          <w:b/>
          <w:bCs/>
          <w:sz w:val="20"/>
          <w:szCs w:val="20"/>
          <w:rtl/>
        </w:rPr>
        <w:t>רשב"א</w:t>
      </w:r>
      <w:r w:rsidRPr="00012502">
        <w:rPr>
          <w:rFonts w:ascii="Narkisim" w:hAnsi="Narkisim" w:cs="Narkisim"/>
          <w:sz w:val="20"/>
          <w:szCs w:val="20"/>
          <w:rtl/>
        </w:rPr>
        <w:t xml:space="preserve"> נדרים שם, ובס' החינוך ל</w:t>
      </w:r>
      <w:r w:rsidRPr="00012502">
        <w:rPr>
          <w:rFonts w:ascii="Narkisim" w:hAnsi="Narkisim" w:cs="Narkisim"/>
          <w:rtl/>
        </w:rPr>
        <w:t>]. והרי עשה דוחה ל"ת ועשה באיתא בשאלה. וכה"ק ה</w:t>
      </w:r>
      <w:r w:rsidRPr="00012502">
        <w:rPr>
          <w:rFonts w:ascii="Narkisim" w:hAnsi="Narkisim" w:cs="Narkisim"/>
          <w:b/>
          <w:bCs/>
          <w:rtl/>
        </w:rPr>
        <w:t>משנ"ל</w:t>
      </w:r>
      <w:r w:rsidRPr="00012502">
        <w:rPr>
          <w:rFonts w:ascii="Narkisim" w:hAnsi="Narkisim" w:cs="Narkisim"/>
          <w:rtl/>
        </w:rPr>
        <w:t xml:space="preserve"> </w:t>
      </w:r>
      <w:r w:rsidRPr="00012502">
        <w:rPr>
          <w:rFonts w:ascii="Narkisim" w:hAnsi="Narkisim" w:cs="Narkisim"/>
          <w:sz w:val="20"/>
          <w:szCs w:val="20"/>
          <w:rtl/>
        </w:rPr>
        <w:t>(בהגהות לחינוך שם).</w:t>
      </w:r>
      <w:r w:rsidRPr="00012502">
        <w:rPr>
          <w:rFonts w:ascii="Narkisim" w:hAnsi="Narkisim" w:cs="Narkisim"/>
          <w:rtl/>
        </w:rPr>
        <w:t xml:space="preserve"> וכתב דאולי ה</w:t>
      </w:r>
      <w:r w:rsidRPr="00012502">
        <w:rPr>
          <w:rFonts w:ascii="Narkisim" w:hAnsi="Narkisim" w:cs="Narkisim"/>
          <w:b/>
          <w:bCs/>
          <w:rtl/>
        </w:rPr>
        <w:t>חינוך</w:t>
      </w:r>
      <w:r w:rsidRPr="00012502">
        <w:rPr>
          <w:rFonts w:ascii="Narkisim" w:hAnsi="Narkisim" w:cs="Narkisim"/>
          <w:rtl/>
        </w:rPr>
        <w:t xml:space="preserve"> גרס באופן אחר בסוגיין (ע' בסמוך)</w:t>
      </w:r>
      <w:r w:rsidRPr="00012502">
        <w:rPr>
          <w:rStyle w:val="ac"/>
          <w:rFonts w:ascii="Narkisim" w:hAnsi="Narkisim" w:cs="Narkisim"/>
          <w:rtl/>
        </w:rPr>
        <w:footnoteReference w:id="225"/>
      </w:r>
      <w:r w:rsidRPr="00012502">
        <w:rPr>
          <w:rFonts w:ascii="Narkisim" w:hAnsi="Narkisim" w:cs="Narkisim"/>
          <w:rtl/>
        </w:rPr>
        <w:t>. וה</w:t>
      </w:r>
      <w:r w:rsidRPr="00012502">
        <w:rPr>
          <w:rFonts w:ascii="Narkisim" w:hAnsi="Narkisim" w:cs="Narkisim"/>
          <w:b/>
          <w:bCs/>
          <w:rtl/>
        </w:rPr>
        <w:t>רשב"א</w:t>
      </w:r>
      <w:r w:rsidRPr="00012502">
        <w:rPr>
          <w:rFonts w:ascii="Narkisim" w:hAnsi="Narkisim" w:cs="Narkisim"/>
          <w:rtl/>
        </w:rPr>
        <w:t xml:space="preserve"> תי' דהכא נאמר בגמ' בדרך דיחוי. ודילמא עשה דמצורע חמיר משום שלום בית</w:t>
      </w:r>
      <w:r w:rsidRPr="00012502">
        <w:rPr>
          <w:rStyle w:val="ac"/>
          <w:rFonts w:ascii="Narkisim" w:hAnsi="Narkisim" w:cs="Narkisim"/>
          <w:rtl/>
        </w:rPr>
        <w:footnoteReference w:id="226"/>
      </w:r>
      <w:r w:rsidRPr="00012502">
        <w:rPr>
          <w:rFonts w:ascii="Narkisim" w:hAnsi="Narkisim" w:cs="Narkisim"/>
          <w:rtl/>
        </w:rPr>
        <w:t>.</w:t>
      </w:r>
    </w:p>
    <w:p w14:paraId="6AD67142"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ה</w:t>
      </w:r>
      <w:r w:rsidRPr="00012502">
        <w:rPr>
          <w:rFonts w:ascii="Narkisim" w:hAnsi="Narkisim"/>
          <w:b/>
          <w:bCs/>
          <w:rtl/>
        </w:rPr>
        <w:t>טור"א</w:t>
      </w:r>
      <w:r w:rsidRPr="00012502">
        <w:rPr>
          <w:rFonts w:ascii="Narkisim" w:hAnsi="Narkisim"/>
          <w:rtl/>
        </w:rPr>
        <w:t xml:space="preserve"> (ר"ה כח: ד"ה ולא) כת' דאף באופן דעכשיו ל"ש לישאל, מ"מ שם איסור זו ישנו בשאלה.</w:t>
      </w:r>
    </w:p>
    <w:p w14:paraId="3FC3DA53"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ה</w:t>
      </w:r>
      <w:r w:rsidRPr="00012502">
        <w:rPr>
          <w:rFonts w:ascii="Narkisim" w:hAnsi="Narkisim" w:cs="Narkisim"/>
          <w:b/>
          <w:bCs/>
          <w:rtl/>
        </w:rPr>
        <w:t>רמב"ם</w:t>
      </w:r>
      <w:r w:rsidRPr="00012502">
        <w:rPr>
          <w:rFonts w:ascii="Narkisim" w:hAnsi="Narkisim" w:cs="Narkisim"/>
          <w:sz w:val="20"/>
          <w:szCs w:val="20"/>
          <w:rtl/>
        </w:rPr>
        <w:t xml:space="preserve"> (נזירות ז טו) </w:t>
      </w:r>
      <w:r w:rsidRPr="00012502">
        <w:rPr>
          <w:rFonts w:ascii="Narkisim" w:hAnsi="Narkisim" w:cs="Narkisim"/>
          <w:rtl/>
        </w:rPr>
        <w:t xml:space="preserve">ביאר למה דוחה עשה דתגלחת הנגע לל"ת ועשה דנזיר, מפני שכבר נטמא הנזיר בצרעת וימים אלו אינן עולים לו. </w:t>
      </w:r>
      <w:r w:rsidRPr="00012502">
        <w:rPr>
          <w:rFonts w:ascii="Narkisim" w:hAnsi="Narkisim" w:cs="Narkisim"/>
          <w:sz w:val="20"/>
          <w:szCs w:val="20"/>
          <w:rtl/>
        </w:rPr>
        <w:t>[דהעשה דנזיר שייך רק במה ששומר נזירותו, והימים עולים לו</w:t>
      </w:r>
      <w:r w:rsidRPr="00012502">
        <w:rPr>
          <w:rStyle w:val="ac"/>
          <w:rFonts w:ascii="Narkisim" w:hAnsi="Narkisim" w:cs="Narkisim"/>
          <w:sz w:val="20"/>
          <w:szCs w:val="20"/>
          <w:rtl/>
        </w:rPr>
        <w:footnoteReference w:id="227"/>
      </w:r>
      <w:r w:rsidRPr="00012502">
        <w:rPr>
          <w:rFonts w:ascii="Narkisim" w:hAnsi="Narkisim" w:cs="Narkisim"/>
          <w:sz w:val="20"/>
          <w:szCs w:val="20"/>
          <w:rtl/>
        </w:rPr>
        <w:t>]</w:t>
      </w:r>
      <w:r w:rsidRPr="00012502">
        <w:rPr>
          <w:rFonts w:ascii="Narkisim" w:hAnsi="Narkisim" w:cs="Narkisim"/>
          <w:rtl/>
        </w:rPr>
        <w:t>. וה</w:t>
      </w:r>
      <w:r w:rsidRPr="00012502">
        <w:rPr>
          <w:rFonts w:ascii="Narkisim" w:hAnsi="Narkisim" w:cs="Narkisim"/>
          <w:b/>
          <w:bCs/>
          <w:rtl/>
        </w:rPr>
        <w:t>ראב"ד</w:t>
      </w:r>
      <w:r w:rsidRPr="00012502">
        <w:rPr>
          <w:rFonts w:ascii="Narkisim" w:hAnsi="Narkisim" w:cs="Narkisim"/>
          <w:rtl/>
        </w:rPr>
        <w:t xml:space="preserve"> השיג דבסוגיין אמרי' משום דקילי, דישנו בשאלה. וה</w:t>
      </w:r>
      <w:r w:rsidRPr="00012502">
        <w:rPr>
          <w:rFonts w:ascii="Narkisim" w:hAnsi="Narkisim" w:cs="Narkisim"/>
          <w:b/>
          <w:bCs/>
          <w:rtl/>
        </w:rPr>
        <w:t>כס"מ</w:t>
      </w:r>
      <w:r w:rsidRPr="00012502">
        <w:rPr>
          <w:rFonts w:ascii="Narkisim" w:hAnsi="Narkisim" w:cs="Narkisim"/>
          <w:rtl/>
        </w:rPr>
        <w:t xml:space="preserve"> כת' דתרי טעמי איכא, והגמ' נקט חדא מינייהו</w:t>
      </w:r>
      <w:r w:rsidRPr="00012502">
        <w:rPr>
          <w:rStyle w:val="ac"/>
          <w:rFonts w:ascii="Narkisim" w:hAnsi="Narkisim" w:cs="Narkisim"/>
          <w:rtl/>
        </w:rPr>
        <w:footnoteReference w:id="228"/>
      </w:r>
      <w:r w:rsidRPr="00012502">
        <w:rPr>
          <w:rFonts w:ascii="Narkisim" w:hAnsi="Narkisim" w:cs="Narkisim"/>
          <w:rtl/>
        </w:rPr>
        <w:t>.</w:t>
      </w:r>
      <w:r w:rsidRPr="00012502">
        <w:rPr>
          <w:rFonts w:ascii="Narkisim" w:hAnsi="Narkisim" w:cs="Narkisim"/>
          <w:sz w:val="20"/>
          <w:szCs w:val="20"/>
          <w:rtl/>
        </w:rPr>
        <w:t xml:space="preserve"> [וה</w:t>
      </w:r>
      <w:r w:rsidRPr="00012502">
        <w:rPr>
          <w:rFonts w:ascii="Narkisim" w:hAnsi="Narkisim" w:cs="Narkisim"/>
          <w:b/>
          <w:bCs/>
          <w:sz w:val="20"/>
          <w:szCs w:val="20"/>
          <w:rtl/>
        </w:rPr>
        <w:t>מנח"ח</w:t>
      </w:r>
      <w:r w:rsidRPr="00012502">
        <w:rPr>
          <w:rFonts w:ascii="Narkisim" w:hAnsi="Narkisim" w:cs="Narkisim"/>
          <w:sz w:val="20"/>
          <w:szCs w:val="20"/>
          <w:rtl/>
        </w:rPr>
        <w:t xml:space="preserve"> (שעג ד) תמה דבגמ' מפורש דיש לאו]. וה</w:t>
      </w:r>
      <w:r w:rsidRPr="00012502">
        <w:rPr>
          <w:rFonts w:ascii="Narkisim" w:hAnsi="Narkisim" w:cs="Narkisim"/>
          <w:b/>
          <w:bCs/>
          <w:sz w:val="20"/>
          <w:szCs w:val="20"/>
          <w:rtl/>
        </w:rPr>
        <w:t>חזו"א</w:t>
      </w:r>
      <w:r w:rsidRPr="00012502">
        <w:rPr>
          <w:rFonts w:ascii="Narkisim" w:hAnsi="Narkisim" w:cs="Narkisim"/>
          <w:sz w:val="20"/>
          <w:szCs w:val="20"/>
          <w:rtl/>
        </w:rPr>
        <w:t xml:space="preserve"> (ומשנ"ל, הו' לעיל) כת' דאפשר דהרמב"ם גרס בסוגיין 'שכן אינו עולה', וכדברי הרמב"ם. ול"ג שאלה כלל</w:t>
      </w:r>
      <w:r w:rsidRPr="00012502">
        <w:rPr>
          <w:rFonts w:ascii="Narkisim" w:hAnsi="Narkisim" w:cs="Narkisim"/>
          <w:rtl/>
        </w:rPr>
        <w:t>.</w:t>
      </w:r>
    </w:p>
    <w:p w14:paraId="579B8AFA"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גר"ח</w:t>
      </w:r>
      <w:r w:rsidRPr="00012502">
        <w:rPr>
          <w:rFonts w:ascii="Narkisim" w:hAnsi="Narkisim"/>
          <w:rtl/>
        </w:rPr>
        <w:t xml:space="preserve"> (סטנסל) כתב ליישב דסברת הרמב"ם, דכיון דהימים אינן עולים, מהני רק לענין שאין כאן </w:t>
      </w:r>
      <w:r w:rsidRPr="00012502">
        <w:rPr>
          <w:rFonts w:ascii="Narkisim" w:hAnsi="Narkisim"/>
          <w:i/>
          <w:iCs/>
          <w:rtl/>
        </w:rPr>
        <w:t>קיום</w:t>
      </w:r>
      <w:r w:rsidRPr="00012502">
        <w:rPr>
          <w:rFonts w:ascii="Narkisim" w:hAnsi="Narkisim"/>
          <w:rtl/>
        </w:rPr>
        <w:t xml:space="preserve"> </w:t>
      </w:r>
      <w:r w:rsidRPr="00012502">
        <w:rPr>
          <w:rFonts w:ascii="Narkisim" w:hAnsi="Narkisim"/>
          <w:i/>
          <w:iCs/>
          <w:rtl/>
        </w:rPr>
        <w:t>עשה</w:t>
      </w:r>
      <w:r w:rsidRPr="00012502">
        <w:rPr>
          <w:rFonts w:ascii="Narkisim" w:hAnsi="Narkisim"/>
          <w:rtl/>
        </w:rPr>
        <w:t xml:space="preserve"> בנזירותו, אבל מ"מ יש בזה </w:t>
      </w:r>
      <w:r w:rsidRPr="00012502">
        <w:rPr>
          <w:rFonts w:ascii="Narkisim" w:hAnsi="Narkisim"/>
          <w:i/>
          <w:iCs/>
          <w:rtl/>
        </w:rPr>
        <w:t>איסור</w:t>
      </w:r>
      <w:r w:rsidRPr="00012502">
        <w:rPr>
          <w:rFonts w:ascii="Narkisim" w:hAnsi="Narkisim"/>
          <w:rtl/>
        </w:rPr>
        <w:t xml:space="preserve"> לאו הבא מכלל עשה. ובזה נידון הגמ' דכיון דישנו בשאלה דחי עשה לל"ת ועשה </w:t>
      </w:r>
      <w:r w:rsidRPr="00012502">
        <w:rPr>
          <w:rFonts w:ascii="Narkisim" w:hAnsi="Narkisim"/>
          <w:sz w:val="20"/>
          <w:szCs w:val="20"/>
          <w:rtl/>
        </w:rPr>
        <w:t>[לאו הבא מכלל עשה]</w:t>
      </w:r>
      <w:r w:rsidRPr="00012502">
        <w:rPr>
          <w:rFonts w:ascii="Narkisim" w:hAnsi="Narkisim"/>
          <w:rtl/>
        </w:rPr>
        <w:t xml:space="preserve">. ומ"מ בעינן לטעם הרמב"ם דאילו </w:t>
      </w:r>
      <w:r w:rsidRPr="00012502">
        <w:rPr>
          <w:rFonts w:ascii="Narkisim" w:hAnsi="Narkisim"/>
          <w:rtl/>
        </w:rPr>
        <w:lastRenderedPageBreak/>
        <w:t xml:space="preserve">יש חיוב קיום מצות עשה אמרי' מאי אולמיה אף דאיתא בשאלה, דל"מ מה דאיתא בשאלה לענין קדימה. </w:t>
      </w:r>
      <w:r w:rsidRPr="00012502">
        <w:rPr>
          <w:rFonts w:ascii="Narkisim" w:hAnsi="Narkisim"/>
          <w:sz w:val="20"/>
          <w:szCs w:val="20"/>
          <w:rtl/>
        </w:rPr>
        <w:t xml:space="preserve">וכ"כ </w:t>
      </w:r>
      <w:r w:rsidRPr="00012502">
        <w:rPr>
          <w:rFonts w:ascii="Narkisim" w:hAnsi="Narkisim"/>
          <w:b/>
          <w:bCs/>
          <w:sz w:val="20"/>
          <w:szCs w:val="20"/>
          <w:rtl/>
        </w:rPr>
        <w:t>רע"א</w:t>
      </w:r>
      <w:r w:rsidRPr="00012502">
        <w:rPr>
          <w:rFonts w:ascii="Narkisim" w:hAnsi="Narkisim"/>
          <w:sz w:val="20"/>
          <w:szCs w:val="20"/>
          <w:rtl/>
        </w:rPr>
        <w:t xml:space="preserve"> (קמא ט) דבקיום עשה אין קדימה לעשה השוה בכל על פני עשה שאינו שווה בכל</w:t>
      </w:r>
      <w:r w:rsidRPr="00012502">
        <w:rPr>
          <w:rStyle w:val="ac"/>
          <w:rFonts w:ascii="Narkisim" w:hAnsi="Narkisim"/>
          <w:sz w:val="20"/>
          <w:szCs w:val="20"/>
          <w:rtl/>
        </w:rPr>
        <w:footnoteReference w:id="229"/>
      </w:r>
      <w:r w:rsidRPr="00012502">
        <w:rPr>
          <w:rFonts w:ascii="Narkisim" w:hAnsi="Narkisim"/>
          <w:sz w:val="20"/>
          <w:szCs w:val="20"/>
          <w:rtl/>
        </w:rPr>
        <w:t>.</w:t>
      </w:r>
    </w:p>
    <w:p w14:paraId="052F7716"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אור גדול</w:t>
      </w:r>
      <w:r w:rsidRPr="00012502">
        <w:rPr>
          <w:rFonts w:ascii="Narkisim" w:hAnsi="Narkisim"/>
          <w:rtl/>
        </w:rPr>
        <w:t xml:space="preserve"> (במשניות נזיר ה ו, וכ"כ בקוב"ש קו' ד"ס א לח) תי' דבהא דאין עשה דוחה ל"ת ועשה, יש לדון מצד עצם העשה דמאי אולמי. ובזה בעינן לסברת הרמב"ם דבימים שאינן עולים לו אין עשה. אבל מ"מ העשה מהני לתת אלימות ללאו, שהעשה לא ידחה את הל"ת, ומהני אלימות זו אף במקום דהעשה ל"ש [וכמ"ש תוס' בקידושין לד הו' בסמוך]. ובזה תירוץ הגמ' דישנו בשאלה.</w:t>
      </w:r>
    </w:p>
    <w:p w14:paraId="08F82771"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אבנ"מ</w:t>
      </w:r>
      <w:r w:rsidRPr="00012502">
        <w:rPr>
          <w:rFonts w:ascii="Narkisim" w:hAnsi="Narkisim" w:cs="Narkisim"/>
          <w:rtl/>
        </w:rPr>
        <w:t xml:space="preserve"> (שו"ת כב) יישב דסוגיין סבר דגדר נזירות הוה כמו שבועה, שצריך לקיים דבריו, ואינו 'תואר' על האדם, ולכן נחשב ישנו בשאלה. ואילו ה</w:t>
      </w:r>
      <w:r w:rsidRPr="00012502">
        <w:rPr>
          <w:rFonts w:ascii="Narkisim" w:hAnsi="Narkisim" w:cs="Narkisim"/>
          <w:b/>
          <w:bCs/>
          <w:rtl/>
        </w:rPr>
        <w:t>רמב"ם</w:t>
      </w:r>
      <w:r w:rsidRPr="00012502">
        <w:rPr>
          <w:rFonts w:ascii="Narkisim" w:hAnsi="Narkisim" w:cs="Narkisim"/>
          <w:rtl/>
        </w:rPr>
        <w:t xml:space="preserve"> פסק דגדר נזירות הוה תואר על האדם, ונחשב שווה בכל דכל א' ראוי להיות נזיר </w:t>
      </w:r>
      <w:r w:rsidRPr="00012502">
        <w:rPr>
          <w:rFonts w:ascii="Narkisim" w:hAnsi="Narkisim" w:cs="Narkisim"/>
          <w:sz w:val="20"/>
          <w:szCs w:val="20"/>
          <w:rtl/>
        </w:rPr>
        <w:t>[והוה מח' הסוגיות, הו' לעיל]</w:t>
      </w:r>
      <w:r w:rsidRPr="00012502">
        <w:rPr>
          <w:rFonts w:ascii="Narkisim" w:hAnsi="Narkisim" w:cs="Narkisim"/>
          <w:rtl/>
        </w:rPr>
        <w:t xml:space="preserve">. ודינו של נזיר שאסור בתגלחת, אבל אינו נחשב איתא בשאלה במה שיכול לסלק מעליו הנזירות. ולכן לרמב"ם ל"מ סברת ישנו בשאלה. וביאר דסוגיין קאי מצד עשה דכל היוצא מפיו יעשה, ובזה לא תליא האם הימים עולים לו. והרמב"ם קאי דהעשה דנזירות אין בימים שאין עולים. </w:t>
      </w:r>
      <w:r w:rsidRPr="00012502">
        <w:rPr>
          <w:rFonts w:ascii="Narkisim" w:hAnsi="Narkisim" w:cs="Narkisim"/>
          <w:sz w:val="20"/>
          <w:szCs w:val="20"/>
          <w:rtl/>
        </w:rPr>
        <w:t>וה</w:t>
      </w:r>
      <w:r w:rsidRPr="00012502">
        <w:rPr>
          <w:rFonts w:ascii="Narkisim" w:hAnsi="Narkisim" w:cs="Narkisim"/>
          <w:b/>
          <w:bCs/>
          <w:sz w:val="20"/>
          <w:szCs w:val="20"/>
          <w:rtl/>
        </w:rPr>
        <w:t>מנח"ח</w:t>
      </w:r>
      <w:r w:rsidRPr="00012502">
        <w:rPr>
          <w:rFonts w:ascii="Narkisim" w:hAnsi="Narkisim" w:cs="Narkisim"/>
          <w:sz w:val="20"/>
          <w:szCs w:val="20"/>
          <w:rtl/>
        </w:rPr>
        <w:t xml:space="preserve"> (שעג ד) חלק דכיון דעשה דוחה ל"ת אין כאן ל"ת דכל היוצא מפיו, שהרי אינו סותר לנזירותו</w:t>
      </w:r>
      <w:r w:rsidRPr="00012502">
        <w:rPr>
          <w:rStyle w:val="ac"/>
          <w:rFonts w:ascii="Narkisim" w:hAnsi="Narkisim" w:cs="Narkisim"/>
          <w:sz w:val="20"/>
          <w:szCs w:val="20"/>
          <w:rtl/>
        </w:rPr>
        <w:footnoteReference w:id="230"/>
      </w:r>
      <w:r w:rsidRPr="00012502">
        <w:rPr>
          <w:rFonts w:ascii="Narkisim" w:hAnsi="Narkisim" w:cs="Narkisim"/>
          <w:sz w:val="20"/>
          <w:szCs w:val="20"/>
          <w:rtl/>
        </w:rPr>
        <w:t>.</w:t>
      </w:r>
    </w:p>
    <w:p w14:paraId="330DC01E" w14:textId="77777777" w:rsidR="00BE1D1C" w:rsidRPr="00012502" w:rsidRDefault="00000000" w:rsidP="00012502">
      <w:pPr>
        <w:pStyle w:val="2"/>
        <w:bidi/>
        <w:rPr>
          <w:rFonts w:ascii="Narkisim" w:hAnsi="Narkisim"/>
        </w:rPr>
      </w:pPr>
      <w:r w:rsidRPr="00012502">
        <w:rPr>
          <w:rFonts w:ascii="Narkisim" w:hAnsi="Narkisim"/>
          <w:rtl/>
        </w:rPr>
        <w:t>אין עשה דוחה ל"ת ועשה</w:t>
      </w:r>
    </w:p>
    <w:p w14:paraId="318FFCDE" w14:textId="77777777" w:rsidR="00BE1D1C" w:rsidRPr="00012502" w:rsidRDefault="00000000" w:rsidP="00012502">
      <w:pPr>
        <w:bidi/>
        <w:rPr>
          <w:rFonts w:ascii="Narkisim" w:hAnsi="Narkisim" w:cs="Narkisim"/>
        </w:rPr>
      </w:pPr>
      <w:r w:rsidRPr="00012502">
        <w:rPr>
          <w:rFonts w:ascii="Narkisim" w:hAnsi="Narkisim" w:cs="Narkisim"/>
          <w:u w:val="single"/>
          <w:rtl/>
        </w:rPr>
        <w:t>אלא הא דקי"ל דאין עשה דוחה ל"ת ועשה, ליגמר וכו'.</w:t>
      </w:r>
      <w:r w:rsidRPr="00012502">
        <w:rPr>
          <w:rFonts w:ascii="Narkisim" w:hAnsi="Narkisim" w:cs="Narkisim"/>
          <w:rtl/>
        </w:rPr>
        <w:t xml:space="preserve"> הראשונים נחלקו בהא דל"ת ועשה לא נדחה, דדעת</w:t>
      </w:r>
      <w:r w:rsidRPr="00012502">
        <w:rPr>
          <w:rFonts w:ascii="Narkisim" w:hAnsi="Narkisim" w:cs="Narkisim"/>
          <w:b/>
          <w:bCs/>
          <w:rtl/>
        </w:rPr>
        <w:t xml:space="preserve"> ריב"א</w:t>
      </w:r>
      <w:r w:rsidRPr="00012502">
        <w:rPr>
          <w:rFonts w:ascii="Narkisim" w:hAnsi="Narkisim" w:cs="Narkisim"/>
          <w:rtl/>
        </w:rPr>
        <w:t xml:space="preserve"> (בתוס' חולין קמא.) דהלאו נדחה וכמאן דליתיה, אלא שהעשה אינו נדחה. </w:t>
      </w:r>
      <w:r w:rsidRPr="00012502">
        <w:rPr>
          <w:rFonts w:ascii="Narkisim" w:hAnsi="Narkisim" w:cs="Narkisim"/>
          <w:sz w:val="20"/>
          <w:szCs w:val="20"/>
          <w:rtl/>
        </w:rPr>
        <w:t>ו</w:t>
      </w:r>
      <w:r w:rsidRPr="00012502">
        <w:rPr>
          <w:rFonts w:ascii="Narkisim" w:hAnsi="Narkisim" w:cs="Narkisim"/>
          <w:b/>
          <w:bCs/>
          <w:sz w:val="20"/>
          <w:szCs w:val="20"/>
          <w:rtl/>
        </w:rPr>
        <w:t>תוס'</w:t>
      </w:r>
      <w:r w:rsidRPr="00012502">
        <w:rPr>
          <w:rFonts w:ascii="Narkisim" w:hAnsi="Narkisim" w:cs="Narkisim"/>
          <w:sz w:val="20"/>
          <w:szCs w:val="20"/>
          <w:rtl/>
        </w:rPr>
        <w:t xml:space="preserve"> (חולין, וכן התוס' שאנץ פסחים מז:) הקשו דבגמ' (חולין שם) איתא 'דעבר אלאו'. וכתבו דשמא אינו לוקה, אבל הלאו אינו נדחה לגמרי</w:t>
      </w:r>
      <w:r w:rsidRPr="00012502">
        <w:rPr>
          <w:rFonts w:ascii="Narkisim" w:hAnsi="Narkisim" w:cs="Narkisim"/>
          <w:rtl/>
        </w:rPr>
        <w:t>.</w:t>
      </w:r>
    </w:p>
    <w:p w14:paraId="7BE48C70" w14:textId="77777777" w:rsidR="00BE1D1C" w:rsidRPr="00012502" w:rsidRDefault="00000000" w:rsidP="00012502">
      <w:pPr>
        <w:pStyle w:val="a7"/>
        <w:bidi/>
        <w:rPr>
          <w:rFonts w:ascii="Narkisim" w:hAnsi="Narkisim"/>
        </w:rPr>
      </w:pPr>
      <w:r w:rsidRPr="00012502">
        <w:rPr>
          <w:rFonts w:ascii="Narkisim" w:hAnsi="Narkisim"/>
          <w:rtl/>
        </w:rPr>
        <w:t xml:space="preserve">אבל דעת </w:t>
      </w:r>
      <w:r w:rsidRPr="00012502">
        <w:rPr>
          <w:rFonts w:ascii="Narkisim" w:hAnsi="Narkisim"/>
          <w:b/>
          <w:bCs/>
          <w:rtl/>
        </w:rPr>
        <w:t>תוס</w:t>
      </w:r>
      <w:r w:rsidRPr="00012502">
        <w:rPr>
          <w:rFonts w:ascii="Narkisim" w:hAnsi="Narkisim"/>
          <w:rtl/>
        </w:rPr>
        <w:t>' (קידושין לד. סוד"ה מעקה) דבל"ת ועשה, אף כלפי נשים הל"ת אינו נדחה, דע"י העשה אף הלאו אלים ואינו נדחה</w:t>
      </w:r>
      <w:r w:rsidRPr="00012502">
        <w:rPr>
          <w:rStyle w:val="ac"/>
          <w:rFonts w:ascii="Narkisim" w:hAnsi="Narkisim"/>
          <w:rtl/>
        </w:rPr>
        <w:footnoteReference w:id="231"/>
      </w:r>
      <w:r w:rsidRPr="00012502">
        <w:rPr>
          <w:rFonts w:ascii="Narkisim" w:hAnsi="Narkisim"/>
          <w:rtl/>
        </w:rPr>
        <w:t>.</w:t>
      </w:r>
    </w:p>
    <w:p w14:paraId="09ECA2F2"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xml:space="preserve"> (פסחים מז:) בשם </w:t>
      </w:r>
      <w:r w:rsidRPr="00012502">
        <w:rPr>
          <w:rFonts w:ascii="Narkisim" w:hAnsi="Narkisim"/>
          <w:b/>
          <w:bCs/>
          <w:rtl/>
        </w:rPr>
        <w:t>ר"ת</w:t>
      </w:r>
      <w:r w:rsidRPr="00012502">
        <w:rPr>
          <w:rFonts w:ascii="Narkisim" w:hAnsi="Narkisim"/>
          <w:rtl/>
        </w:rPr>
        <w:t xml:space="preserve"> מבואר דהחופר בכלאים ביו"ט לכיסוי הדם לוקה אף משום כלאים</w:t>
      </w:r>
      <w:r w:rsidRPr="00012502">
        <w:rPr>
          <w:rStyle w:val="ac"/>
          <w:rFonts w:ascii="Narkisim" w:hAnsi="Narkisim"/>
          <w:rtl/>
        </w:rPr>
        <w:footnoteReference w:id="232"/>
      </w:r>
      <w:r w:rsidRPr="00012502">
        <w:rPr>
          <w:rFonts w:ascii="Narkisim" w:hAnsi="Narkisim"/>
          <w:rtl/>
        </w:rPr>
        <w:t xml:space="preserve">. דכיון דיש עשה משום יו"ט, אף איסור כלאים אינו נדחה </w:t>
      </w:r>
      <w:r w:rsidRPr="00012502">
        <w:rPr>
          <w:rFonts w:ascii="Narkisim" w:hAnsi="Narkisim"/>
          <w:sz w:val="20"/>
          <w:szCs w:val="20"/>
          <w:rtl/>
        </w:rPr>
        <w:t>[ואף שהעשה אינו עושה אלימות בלאו דכלאים, מ"מ מעשה שיש בו ל"ת ועשה לא הותר מדין עדל"ת. וה</w:t>
      </w:r>
      <w:r w:rsidRPr="00012502">
        <w:rPr>
          <w:rFonts w:ascii="Narkisim" w:hAnsi="Narkisim"/>
          <w:b/>
          <w:bCs/>
          <w:sz w:val="20"/>
          <w:szCs w:val="20"/>
          <w:rtl/>
        </w:rPr>
        <w:t>קובה"ע</w:t>
      </w:r>
      <w:r w:rsidRPr="00012502">
        <w:rPr>
          <w:rFonts w:ascii="Narkisim" w:hAnsi="Narkisim"/>
          <w:sz w:val="20"/>
          <w:szCs w:val="20"/>
          <w:rtl/>
        </w:rPr>
        <w:t xml:space="preserve"> (סט ט) ביאר דכיון דבפועל אינו חייב בעשה</w:t>
      </w:r>
      <w:r w:rsidRPr="00012502">
        <w:rPr>
          <w:rStyle w:val="ac"/>
          <w:rFonts w:ascii="Narkisim" w:hAnsi="Narkisim"/>
          <w:sz w:val="20"/>
          <w:szCs w:val="20"/>
          <w:rtl/>
        </w:rPr>
        <w:footnoteReference w:id="233"/>
      </w:r>
      <w:r w:rsidRPr="00012502">
        <w:rPr>
          <w:rFonts w:ascii="Narkisim" w:hAnsi="Narkisim"/>
          <w:sz w:val="20"/>
          <w:szCs w:val="20"/>
          <w:rtl/>
        </w:rPr>
        <w:t>]</w:t>
      </w:r>
      <w:r w:rsidRPr="00012502">
        <w:rPr>
          <w:rFonts w:ascii="Narkisim" w:hAnsi="Narkisim"/>
          <w:rtl/>
        </w:rPr>
        <w:t>.</w:t>
      </w:r>
    </w:p>
    <w:p w14:paraId="5633D3F0" w14:textId="77777777" w:rsidR="00BE1D1C" w:rsidRPr="00012502" w:rsidRDefault="00000000" w:rsidP="00012502">
      <w:pPr>
        <w:bidi/>
        <w:rPr>
          <w:rFonts w:ascii="Narkisim" w:hAnsi="Narkisim" w:cs="Narkisim"/>
        </w:rPr>
      </w:pPr>
      <w:r w:rsidRPr="00012502">
        <w:rPr>
          <w:rFonts w:ascii="Narkisim" w:hAnsi="Narkisim" w:cs="Narkisim"/>
          <w:u w:val="single"/>
          <w:rtl/>
        </w:rPr>
        <w:t>שם. אלא הא דקי"ל דאין עשה דוחה ל"ת ועשה, ליגמר וכו'.</w:t>
      </w:r>
      <w:r w:rsidRPr="00012502">
        <w:rPr>
          <w:rFonts w:ascii="Narkisim" w:hAnsi="Narkisim" w:cs="Narkisim"/>
          <w:rtl/>
        </w:rPr>
        <w:t xml:space="preserve"> ה</w:t>
      </w:r>
      <w:r w:rsidRPr="00012502">
        <w:rPr>
          <w:rFonts w:ascii="Narkisim" w:hAnsi="Narkisim" w:cs="Narkisim"/>
          <w:b/>
          <w:bCs/>
          <w:rtl/>
        </w:rPr>
        <w:t>אחרונים</w:t>
      </w:r>
      <w:r w:rsidRPr="00012502">
        <w:rPr>
          <w:rFonts w:ascii="Narkisim" w:hAnsi="Narkisim" w:cs="Narkisim"/>
          <w:rtl/>
        </w:rPr>
        <w:t xml:space="preserve"> הקשו מה ס"ד דעשה ידחה ל"ת עשה, דמאי אולמא האי עשה מהאי עשה [וכמ"ש בתוס' ו.].</w:t>
      </w:r>
    </w:p>
    <w:p w14:paraId="1D56769B" w14:textId="77777777" w:rsidR="00BE1D1C" w:rsidRPr="00012502" w:rsidRDefault="00000000" w:rsidP="00012502">
      <w:pPr>
        <w:pStyle w:val="a7"/>
        <w:bidi/>
        <w:rPr>
          <w:rFonts w:ascii="Narkisim" w:hAnsi="Narkisim"/>
        </w:rPr>
      </w:pPr>
      <w:r w:rsidRPr="00012502">
        <w:rPr>
          <w:rFonts w:ascii="Narkisim" w:hAnsi="Narkisim"/>
          <w:rtl/>
        </w:rPr>
        <w:t>[ולדעת תוס' קידושין י"ל דהנידון האם הלאו נדחה, אבל ודאי לכתחילה אמרי' מאי אולמי].</w:t>
      </w:r>
    </w:p>
    <w:p w14:paraId="1910D8AD"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(קובה"ע יח ד) הביאו דעת ה</w:t>
      </w:r>
      <w:r w:rsidRPr="00012502">
        <w:rPr>
          <w:rFonts w:ascii="Narkisim" w:hAnsi="Narkisim"/>
          <w:b/>
          <w:bCs/>
          <w:rtl/>
        </w:rPr>
        <w:t>רשב"א</w:t>
      </w:r>
      <w:r w:rsidRPr="00012502">
        <w:rPr>
          <w:rFonts w:ascii="Narkisim" w:hAnsi="Narkisim"/>
          <w:rtl/>
        </w:rPr>
        <w:t xml:space="preserve"> (כתובות מ.) דלאו הבא מכלל עשה 'אינו עשה גמור' ונדחה מפני עשה, דלא עדיף מלאו גמור. ועפ"ז י"ל דעשה ידחה ל"ת ולאו הבא מכלל עשה. </w:t>
      </w:r>
      <w:r w:rsidRPr="00012502">
        <w:rPr>
          <w:rFonts w:ascii="Narkisim" w:hAnsi="Narkisim"/>
          <w:sz w:val="20"/>
          <w:szCs w:val="20"/>
          <w:rtl/>
        </w:rPr>
        <w:t>ולמסקנא לא דחי, משום דל"ת ועשה אלים, ודמי לב' לאוין. וה</w:t>
      </w:r>
      <w:r w:rsidRPr="00012502">
        <w:rPr>
          <w:rFonts w:ascii="Narkisim" w:hAnsi="Narkisim"/>
          <w:b/>
          <w:bCs/>
          <w:sz w:val="20"/>
          <w:szCs w:val="20"/>
          <w:rtl/>
        </w:rPr>
        <w:t>אחרונים</w:t>
      </w:r>
      <w:r w:rsidRPr="00012502">
        <w:rPr>
          <w:rFonts w:ascii="Narkisim" w:hAnsi="Narkisim"/>
          <w:sz w:val="20"/>
          <w:szCs w:val="20"/>
          <w:rtl/>
        </w:rPr>
        <w:t xml:space="preserve"> הביאו דצ"ל דס"ל כדעת הראשונים דעשה לא דחי ב' לאוין</w:t>
      </w:r>
      <w:r w:rsidRPr="00012502">
        <w:rPr>
          <w:rStyle w:val="ac"/>
          <w:rFonts w:ascii="Narkisim" w:hAnsi="Narkisim"/>
          <w:sz w:val="20"/>
          <w:szCs w:val="20"/>
          <w:rtl/>
        </w:rPr>
        <w:footnoteReference w:id="234"/>
      </w:r>
      <w:r w:rsidRPr="00012502">
        <w:rPr>
          <w:rFonts w:ascii="Narkisim" w:hAnsi="Narkisim"/>
          <w:sz w:val="20"/>
          <w:szCs w:val="20"/>
          <w:rtl/>
        </w:rPr>
        <w:t xml:space="preserve"> [ודלא כתוס' ג:].</w:t>
      </w:r>
    </w:p>
    <w:p w14:paraId="36551973"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ריטב"א</w:t>
      </w:r>
      <w:r w:rsidRPr="00012502">
        <w:rPr>
          <w:rFonts w:ascii="Narkisim" w:hAnsi="Narkisim" w:cs="Narkisim"/>
          <w:sz w:val="20"/>
          <w:szCs w:val="20"/>
          <w:rtl/>
        </w:rPr>
        <w:t xml:space="preserve"> (ב"מ ל)</w:t>
      </w:r>
      <w:r w:rsidRPr="00012502">
        <w:rPr>
          <w:rFonts w:ascii="Narkisim" w:hAnsi="Narkisim" w:cs="Narkisim"/>
          <w:rtl/>
        </w:rPr>
        <w:t xml:space="preserve"> הק' אמאי אמרי' בכ"מ אין עשה דוחה ל"ת ועשה, והא אף עשה לחוד אינו נדחה בפני עשה, דמאי אולמי </w:t>
      </w:r>
      <w:r w:rsidRPr="00012502">
        <w:rPr>
          <w:rFonts w:ascii="Narkisim" w:hAnsi="Narkisim" w:cs="Narkisim"/>
          <w:sz w:val="20"/>
          <w:szCs w:val="20"/>
          <w:rtl/>
        </w:rPr>
        <w:t>[וכדאיתא בחולין קמא.</w:t>
      </w:r>
      <w:r w:rsidRPr="00012502">
        <w:rPr>
          <w:rFonts w:ascii="Narkisim" w:hAnsi="Narkisim" w:cs="Narkisim"/>
          <w:rtl/>
        </w:rPr>
        <w:t>]</w:t>
      </w:r>
      <w:r w:rsidRPr="00012502">
        <w:rPr>
          <w:rStyle w:val="ac"/>
          <w:rFonts w:ascii="Narkisim" w:hAnsi="Narkisim" w:cs="Narkisim"/>
          <w:rtl/>
        </w:rPr>
        <w:footnoteReference w:id="235"/>
      </w:r>
      <w:r w:rsidRPr="00012502">
        <w:rPr>
          <w:rFonts w:ascii="Narkisim" w:hAnsi="Narkisim" w:cs="Narkisim"/>
          <w:rtl/>
        </w:rPr>
        <w:t>. ותי' דלרווחא דמילתא נקט.</w:t>
      </w:r>
      <w:r w:rsidRPr="00012502">
        <w:rPr>
          <w:rFonts w:ascii="Narkisim" w:hAnsi="Narkisim" w:cs="Narkisim"/>
          <w:i/>
          <w:iCs/>
          <w:rtl/>
        </w:rPr>
        <w:t xml:space="preserve"> </w:t>
      </w:r>
      <w:r w:rsidRPr="00012502">
        <w:rPr>
          <w:rFonts w:ascii="Narkisim" w:hAnsi="Narkisim" w:cs="Narkisim"/>
          <w:rtl/>
        </w:rPr>
        <w:t xml:space="preserve">ועוד תי' </w:t>
      </w:r>
      <w:r w:rsidRPr="00012502">
        <w:rPr>
          <w:rFonts w:ascii="Narkisim" w:hAnsi="Narkisim" w:cs="Narkisim"/>
          <w:sz w:val="20"/>
          <w:szCs w:val="20"/>
          <w:rtl/>
        </w:rPr>
        <w:t>[בסוגיא שם]</w:t>
      </w:r>
      <w:r w:rsidRPr="00012502">
        <w:rPr>
          <w:rFonts w:ascii="Narkisim" w:hAnsi="Narkisim" w:cs="Narkisim"/>
          <w:rtl/>
        </w:rPr>
        <w:t xml:space="preserve"> דהשבת אבידה שווה בכל</w:t>
      </w:r>
      <w:r w:rsidRPr="00012502">
        <w:rPr>
          <w:rStyle w:val="ac"/>
          <w:rFonts w:ascii="Narkisim" w:hAnsi="Narkisim" w:cs="Narkisim"/>
          <w:rtl/>
        </w:rPr>
        <w:footnoteReference w:id="236"/>
      </w:r>
      <w:r w:rsidRPr="00012502">
        <w:rPr>
          <w:rFonts w:ascii="Narkisim" w:hAnsi="Narkisim" w:cs="Narkisim"/>
          <w:rtl/>
        </w:rPr>
        <w:t xml:space="preserve">, ועדיף מעשה דטומאת כהנים דאינו שווה בכל, </w:t>
      </w:r>
      <w:r w:rsidRPr="00012502">
        <w:rPr>
          <w:rFonts w:ascii="Narkisim" w:hAnsi="Narkisim" w:cs="Narkisim"/>
          <w:rtl/>
        </w:rPr>
        <w:lastRenderedPageBreak/>
        <w:t>לולי הא דהוה ל"ת ועשה</w:t>
      </w:r>
      <w:r w:rsidRPr="00012502">
        <w:rPr>
          <w:rFonts w:ascii="Narkisim" w:hAnsi="Narkisim" w:cs="Narkisim"/>
          <w:sz w:val="20"/>
          <w:szCs w:val="20"/>
          <w:rtl/>
        </w:rPr>
        <w:t xml:space="preserve"> [וכצד בתוס' דאף באינו שווה בכל אמרי' דאין עדל"ת ועשה].</w:t>
      </w:r>
    </w:p>
    <w:p w14:paraId="79BE17E2"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רמב"ם</w:t>
      </w:r>
      <w:r w:rsidRPr="00012502">
        <w:rPr>
          <w:rFonts w:ascii="Narkisim" w:hAnsi="Narkisim"/>
          <w:rtl/>
        </w:rPr>
        <w:t xml:space="preserve"> (ו יא) כת' דיבמה חייבי עשה אם בעלו קנו, וה</w:t>
      </w:r>
      <w:r w:rsidRPr="00012502">
        <w:rPr>
          <w:rFonts w:ascii="Narkisim" w:hAnsi="Narkisim"/>
          <w:b/>
          <w:bCs/>
          <w:rtl/>
        </w:rPr>
        <w:t>אחרונים</w:t>
      </w:r>
      <w:r w:rsidRPr="00012502">
        <w:rPr>
          <w:rFonts w:ascii="Narkisim" w:hAnsi="Narkisim"/>
          <w:rtl/>
        </w:rPr>
        <w:t xml:space="preserve"> הקשו מ"ש מהא דאי' (לקמן כ:) דאלמנה לכה"ג דהוה ל"ת ועשה בעלו לא קנו, כיון דלא רמי עליה מצוות יבום</w:t>
      </w:r>
      <w:r w:rsidRPr="00012502">
        <w:rPr>
          <w:rStyle w:val="ac"/>
          <w:rFonts w:ascii="Narkisim" w:hAnsi="Narkisim"/>
          <w:rtl/>
        </w:rPr>
        <w:footnoteReference w:id="237"/>
      </w:r>
      <w:r w:rsidRPr="00012502">
        <w:rPr>
          <w:rFonts w:ascii="Narkisim" w:hAnsi="Narkisim"/>
          <w:rtl/>
        </w:rPr>
        <w:t>. [וע"ע לקמן כ:].</w:t>
      </w:r>
    </w:p>
    <w:p w14:paraId="0CA72168"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 xml:space="preserve">נוב"י </w:t>
      </w:r>
      <w:r w:rsidRPr="00012502">
        <w:rPr>
          <w:rFonts w:ascii="Narkisim" w:hAnsi="Narkisim"/>
          <w:rtl/>
        </w:rPr>
        <w:t>(ח"א בחתימת הספר) כתב דעשה נגד עשה אמרי' מאי אולמי, ושב ואל תעשה. אבל אם קיים לעשה בדיעבד אמרי' מאי אולמי ודחי</w:t>
      </w:r>
      <w:r w:rsidRPr="00012502">
        <w:rPr>
          <w:rStyle w:val="ac"/>
          <w:rFonts w:ascii="Narkisim" w:hAnsi="Narkisim"/>
          <w:rtl/>
        </w:rPr>
        <w:footnoteReference w:id="238"/>
      </w:r>
      <w:r w:rsidRPr="00012502">
        <w:rPr>
          <w:rFonts w:ascii="Narkisim" w:hAnsi="Narkisim"/>
          <w:rtl/>
        </w:rPr>
        <w:t>. והוסיף דאפשר דמדאורייתא יעשה מה שרוצה והוה רשות. ו</w:t>
      </w:r>
      <w:r w:rsidRPr="00012502">
        <w:rPr>
          <w:rFonts w:ascii="Narkisim" w:hAnsi="Narkisim"/>
          <w:b/>
          <w:bCs/>
          <w:rtl/>
        </w:rPr>
        <w:t>רע"א</w:t>
      </w:r>
      <w:r w:rsidRPr="00012502">
        <w:rPr>
          <w:rFonts w:ascii="Narkisim" w:hAnsi="Narkisim"/>
          <w:rtl/>
        </w:rPr>
        <w:t xml:space="preserve"> הקשה ע"ז דבגמ' (חולין קמא.) קאי בדאורייתא דלא איצטריך קרא לעשה נגד עשה.</w:t>
      </w:r>
    </w:p>
    <w:p w14:paraId="02B94044" w14:textId="77777777" w:rsidR="00BE1D1C" w:rsidRPr="00012502" w:rsidRDefault="00000000" w:rsidP="00012502">
      <w:pPr>
        <w:pStyle w:val="a8"/>
        <w:bidi/>
        <w:rPr>
          <w:rFonts w:ascii="Narkisim" w:hAnsi="Narkisim"/>
        </w:rPr>
      </w:pPr>
      <w:r w:rsidRPr="00012502">
        <w:rPr>
          <w:rFonts w:ascii="Narkisim" w:hAnsi="Narkisim"/>
          <w:rtl/>
        </w:rPr>
        <w:t>ו</w:t>
      </w:r>
      <w:r w:rsidRPr="00012502">
        <w:rPr>
          <w:rFonts w:ascii="Narkisim" w:hAnsi="Narkisim"/>
          <w:b/>
          <w:bCs/>
          <w:rtl/>
        </w:rPr>
        <w:t>רע"א</w:t>
      </w:r>
      <w:r w:rsidRPr="00012502">
        <w:rPr>
          <w:rFonts w:ascii="Narkisim" w:hAnsi="Narkisim"/>
          <w:rtl/>
        </w:rPr>
        <w:t xml:space="preserve"> (ועוד אחרונים) תי' דדעת הרמב"ם דעשה דוחה לאו הבא מכלל עשה, וכדעת הרשב"א.</w:t>
      </w:r>
    </w:p>
    <w:p w14:paraId="17E32DFF" w14:textId="77777777" w:rsidR="00BE1D1C" w:rsidRPr="00012502" w:rsidRDefault="00000000" w:rsidP="00012502">
      <w:pPr>
        <w:pStyle w:val="3"/>
        <w:bidi/>
        <w:rPr>
          <w:rFonts w:ascii="Narkisim" w:hAnsi="Narkisim"/>
        </w:rPr>
      </w:pPr>
      <w:r w:rsidRPr="00012502">
        <w:rPr>
          <w:rFonts w:ascii="Narkisim" w:hAnsi="Narkisim"/>
          <w:rtl/>
        </w:rPr>
        <w:t>דף ה:</w:t>
      </w:r>
    </w:p>
    <w:p w14:paraId="01685973" w14:textId="77777777" w:rsidR="00BE1D1C" w:rsidRPr="00012502" w:rsidRDefault="00000000" w:rsidP="00012502">
      <w:pPr>
        <w:bidi/>
        <w:rPr>
          <w:rFonts w:ascii="Narkisim" w:hAnsi="Narkisim" w:cs="Narkisim"/>
        </w:rPr>
      </w:pPr>
      <w:r w:rsidRPr="00012502">
        <w:rPr>
          <w:rFonts w:ascii="Narkisim" w:hAnsi="Narkisim" w:cs="Narkisim"/>
          <w:u w:val="single"/>
          <w:rtl/>
        </w:rPr>
        <w:t>האי לשיעורא וכו'.</w:t>
      </w:r>
      <w:r w:rsidRPr="00012502">
        <w:rPr>
          <w:rFonts w:ascii="Narkisim" w:hAnsi="Narkisim" w:cs="Narkisim"/>
          <w:rtl/>
        </w:rPr>
        <w:t xml:space="preserve"> ה</w:t>
      </w:r>
      <w:r w:rsidRPr="00012502">
        <w:rPr>
          <w:rFonts w:ascii="Narkisim" w:hAnsi="Narkisim" w:cs="Narkisim"/>
          <w:b/>
          <w:bCs/>
          <w:rtl/>
        </w:rPr>
        <w:t>רמב"ם</w:t>
      </w:r>
      <w:r w:rsidRPr="00012502">
        <w:rPr>
          <w:rFonts w:ascii="Narkisim" w:hAnsi="Narkisim" w:cs="Narkisim"/>
          <w:rtl/>
        </w:rPr>
        <w:t xml:space="preserve"> (ציצית א א) פסק דאין לחוטי הענף מנין מה"ת. וה</w:t>
      </w:r>
      <w:r w:rsidRPr="00012502">
        <w:rPr>
          <w:rFonts w:ascii="Narkisim" w:hAnsi="Narkisim" w:cs="Narkisim"/>
          <w:b/>
          <w:bCs/>
          <w:rtl/>
        </w:rPr>
        <w:t>כס"מ</w:t>
      </w:r>
      <w:r w:rsidRPr="00012502">
        <w:rPr>
          <w:rFonts w:ascii="Narkisim" w:hAnsi="Narkisim" w:cs="Narkisim"/>
          <w:rtl/>
        </w:rPr>
        <w:t xml:space="preserve"> כתב דיש להם מנין מדרבנן, אלא שהק' מסוגיין. </w:t>
      </w:r>
      <w:r w:rsidRPr="00012502">
        <w:rPr>
          <w:rFonts w:ascii="Narkisim" w:hAnsi="Narkisim" w:cs="Narkisim"/>
          <w:sz w:val="20"/>
          <w:szCs w:val="20"/>
          <w:rtl/>
        </w:rPr>
        <w:t>[וה</w:t>
      </w:r>
      <w:r w:rsidRPr="00012502">
        <w:rPr>
          <w:rFonts w:ascii="Narkisim" w:hAnsi="Narkisim" w:cs="Narkisim"/>
          <w:b/>
          <w:bCs/>
          <w:sz w:val="20"/>
          <w:szCs w:val="20"/>
          <w:rtl/>
        </w:rPr>
        <w:t>אחרונים</w:t>
      </w:r>
      <w:r w:rsidRPr="00012502">
        <w:rPr>
          <w:rFonts w:ascii="Narkisim" w:hAnsi="Narkisim" w:cs="Narkisim"/>
          <w:sz w:val="20"/>
          <w:szCs w:val="20"/>
          <w:rtl/>
        </w:rPr>
        <w:t xml:space="preserve"> כתבו דכוונת הרמב"ם דאינו מפורש בקרא, ולכן כתב דאינו מדאורייתא].</w:t>
      </w:r>
      <w:r w:rsidRPr="00012502">
        <w:rPr>
          <w:rFonts w:ascii="Narkisim" w:hAnsi="Narkisim" w:cs="Narkisim"/>
          <w:rtl/>
        </w:rPr>
        <w:t xml:space="preserve"> ובהל' יח כתב דאם נפסק אפי' חוט א' מעיקרו פסול. וה</w:t>
      </w:r>
      <w:r w:rsidRPr="00012502">
        <w:rPr>
          <w:rFonts w:ascii="Narkisim" w:hAnsi="Narkisim" w:cs="Narkisim"/>
          <w:b/>
          <w:bCs/>
          <w:rtl/>
        </w:rPr>
        <w:t>גר"ח</w:t>
      </w:r>
      <w:r w:rsidRPr="00012502">
        <w:rPr>
          <w:rFonts w:ascii="Narkisim" w:hAnsi="Narkisim" w:cs="Narkisim"/>
          <w:rtl/>
        </w:rPr>
        <w:t xml:space="preserve"> (סטנסל שמ) כתב דכוונת הרמב"ם דבעי ח' חוטים דצורת הציצית שיהא גדיל, ובלא ח' חוטים לא נחשב גדיל. אבל אינו דין שיעורין ומנין.</w:t>
      </w:r>
    </w:p>
    <w:p w14:paraId="1B3C31AC" w14:textId="77777777" w:rsidR="00BE1D1C" w:rsidRPr="00012502" w:rsidRDefault="00000000" w:rsidP="00012502">
      <w:pPr>
        <w:bidi/>
        <w:rPr>
          <w:rFonts w:ascii="Narkisim" w:hAnsi="Narkisim" w:cs="Narkisim"/>
        </w:rPr>
      </w:pPr>
      <w:r w:rsidRPr="00012502">
        <w:rPr>
          <w:rFonts w:ascii="Narkisim" w:hAnsi="Narkisim" w:cs="Narkisim"/>
          <w:u w:val="single"/>
          <w:rtl/>
        </w:rPr>
        <w:t>תוד"ה עד.</w:t>
      </w:r>
      <w:r w:rsidRPr="00012502">
        <w:rPr>
          <w:rFonts w:ascii="Narkisim" w:hAnsi="Narkisim" w:cs="Narkisim"/>
          <w:rtl/>
        </w:rPr>
        <w:t xml:space="preserve"> אין לפרש כמו שפי' ריב"ן שוע וטווי יחד. וכ"כ </w:t>
      </w:r>
      <w:r w:rsidRPr="00012502">
        <w:rPr>
          <w:rFonts w:ascii="Narkisim" w:hAnsi="Narkisim" w:cs="Narkisim"/>
          <w:b/>
          <w:bCs/>
          <w:rtl/>
        </w:rPr>
        <w:t>רש"י</w:t>
      </w:r>
      <w:r w:rsidRPr="00012502">
        <w:rPr>
          <w:rFonts w:ascii="Narkisim" w:hAnsi="Narkisim" w:cs="Narkisim"/>
          <w:rtl/>
        </w:rPr>
        <w:t xml:space="preserve"> (נדה סא:). וכ"מ ב</w:t>
      </w:r>
      <w:r w:rsidRPr="00012502">
        <w:rPr>
          <w:rFonts w:ascii="Narkisim" w:hAnsi="Narkisim" w:cs="Narkisim"/>
          <w:b/>
          <w:bCs/>
          <w:rtl/>
        </w:rPr>
        <w:t>רמב"ם</w:t>
      </w:r>
      <w:r w:rsidRPr="00012502">
        <w:rPr>
          <w:rFonts w:ascii="Narkisim" w:hAnsi="Narkisim" w:cs="Narkisim"/>
          <w:rtl/>
        </w:rPr>
        <w:t xml:space="preserve"> (כלאים י ב) דשוע הוה יחד. </w:t>
      </w:r>
      <w:r w:rsidRPr="00012502">
        <w:rPr>
          <w:rFonts w:ascii="Narkisim" w:hAnsi="Narkisim" w:cs="Narkisim"/>
          <w:sz w:val="20"/>
          <w:szCs w:val="20"/>
          <w:rtl/>
        </w:rPr>
        <w:t>[וה</w:t>
      </w:r>
      <w:r w:rsidRPr="00012502">
        <w:rPr>
          <w:rFonts w:ascii="Narkisim" w:hAnsi="Narkisim" w:cs="Narkisim"/>
          <w:b/>
          <w:bCs/>
          <w:sz w:val="20"/>
          <w:szCs w:val="20"/>
          <w:rtl/>
        </w:rPr>
        <w:t>פוסקים</w:t>
      </w:r>
      <w:r w:rsidRPr="00012502">
        <w:rPr>
          <w:rFonts w:ascii="Narkisim" w:hAnsi="Narkisim" w:cs="Narkisim"/>
          <w:sz w:val="20"/>
          <w:szCs w:val="20"/>
          <w:rtl/>
        </w:rPr>
        <w:t xml:space="preserve"> (כס"מ וב"י, וע' ט"ז יו"ד ש א) דנו דפסק כמ"ד (נדה שם) שוע 'או' טווי, ומש"ה חייב אף על לבדים</w:t>
      </w:r>
      <w:r w:rsidRPr="00012502">
        <w:rPr>
          <w:rStyle w:val="ac"/>
          <w:rFonts w:ascii="Narkisim" w:hAnsi="Narkisim" w:cs="Narkisim"/>
          <w:sz w:val="20"/>
          <w:szCs w:val="20"/>
          <w:rtl/>
        </w:rPr>
        <w:footnoteReference w:id="239"/>
      </w:r>
      <w:r w:rsidRPr="00012502">
        <w:rPr>
          <w:rFonts w:ascii="Narkisim" w:hAnsi="Narkisim" w:cs="Narkisim"/>
          <w:sz w:val="20"/>
          <w:szCs w:val="20"/>
          <w:rtl/>
        </w:rPr>
        <w:t>. וע' גר"א רחצ א]</w:t>
      </w:r>
      <w:r w:rsidRPr="00012502">
        <w:rPr>
          <w:rFonts w:ascii="Narkisim" w:hAnsi="Narkisim" w:cs="Narkisim"/>
          <w:rtl/>
        </w:rPr>
        <w:t>. ו</w:t>
      </w:r>
      <w:r w:rsidRPr="00012502">
        <w:rPr>
          <w:rFonts w:ascii="Narkisim" w:hAnsi="Narkisim" w:cs="Narkisim"/>
          <w:b/>
          <w:bCs/>
          <w:rtl/>
        </w:rPr>
        <w:t>תוס'</w:t>
      </w:r>
      <w:r w:rsidRPr="00012502">
        <w:rPr>
          <w:rFonts w:ascii="Narkisim" w:hAnsi="Narkisim" w:cs="Narkisim"/>
          <w:rtl/>
        </w:rPr>
        <w:t xml:space="preserve"> ו</w:t>
      </w:r>
      <w:r w:rsidRPr="00012502">
        <w:rPr>
          <w:rFonts w:ascii="Narkisim" w:hAnsi="Narkisim" w:cs="Narkisim"/>
          <w:b/>
          <w:bCs/>
          <w:rtl/>
        </w:rPr>
        <w:t>שא"ר</w:t>
      </w:r>
      <w:r w:rsidRPr="00012502">
        <w:rPr>
          <w:rFonts w:ascii="Narkisim" w:hAnsi="Narkisim" w:cs="Narkisim"/>
          <w:rtl/>
        </w:rPr>
        <w:t xml:space="preserve"> האריכו להקשות ע"ז מציצית, ועוד הקשה ה</w:t>
      </w:r>
      <w:r w:rsidRPr="00012502">
        <w:rPr>
          <w:rFonts w:ascii="Narkisim" w:hAnsi="Narkisim" w:cs="Narkisim"/>
          <w:b/>
          <w:bCs/>
          <w:rtl/>
        </w:rPr>
        <w:t>רשב"א</w:t>
      </w:r>
      <w:r w:rsidRPr="00012502">
        <w:rPr>
          <w:rFonts w:ascii="Narkisim" w:hAnsi="Narkisim" w:cs="Narkisim"/>
          <w:rtl/>
        </w:rPr>
        <w:t xml:space="preserve"> דבגדי כהונה ארוג איכא שוע יחד ליכא</w:t>
      </w:r>
      <w:r w:rsidRPr="00012502">
        <w:rPr>
          <w:rStyle w:val="ac"/>
          <w:rFonts w:ascii="Narkisim" w:hAnsi="Narkisim" w:cs="Narkisim"/>
          <w:rtl/>
        </w:rPr>
        <w:footnoteReference w:id="240"/>
      </w:r>
      <w:r w:rsidRPr="00012502">
        <w:rPr>
          <w:rFonts w:ascii="Narkisim" w:hAnsi="Narkisim" w:cs="Narkisim"/>
          <w:rtl/>
        </w:rPr>
        <w:t>.</w:t>
      </w:r>
    </w:p>
    <w:p w14:paraId="6F4A635B"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מאירי</w:t>
      </w:r>
      <w:r w:rsidRPr="00012502">
        <w:rPr>
          <w:rFonts w:ascii="Narkisim" w:hAnsi="Narkisim"/>
          <w:rtl/>
        </w:rPr>
        <w:t xml:space="preserve"> כת' דלרש"י ב' תכיפות הוה חיבור איירי כשמחבר חוט שהוא עצמו כלאים לבגד, וע"י התפירה הוה כארוג לתוכו</w:t>
      </w:r>
      <w:r w:rsidRPr="00012502">
        <w:rPr>
          <w:rStyle w:val="ac"/>
          <w:rFonts w:ascii="Narkisim" w:hAnsi="Narkisim"/>
          <w:rtl/>
        </w:rPr>
        <w:footnoteReference w:id="241"/>
      </w:r>
      <w:r w:rsidRPr="00012502">
        <w:rPr>
          <w:rFonts w:ascii="Narkisim" w:hAnsi="Narkisim"/>
          <w:rtl/>
        </w:rPr>
        <w:t>.</w:t>
      </w:r>
    </w:p>
    <w:p w14:paraId="13D29787"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מאירי</w:t>
      </w:r>
      <w:r w:rsidRPr="00012502">
        <w:rPr>
          <w:rFonts w:ascii="Narkisim" w:hAnsi="Narkisim"/>
          <w:rtl/>
        </w:rPr>
        <w:t xml:space="preserve"> הביא</w:t>
      </w:r>
      <w:r w:rsidRPr="00012502">
        <w:rPr>
          <w:rFonts w:ascii="Narkisim" w:hAnsi="Narkisim"/>
          <w:b/>
          <w:bCs/>
          <w:rtl/>
        </w:rPr>
        <w:t xml:space="preserve"> י"מ</w:t>
      </w:r>
      <w:r w:rsidRPr="00012502">
        <w:rPr>
          <w:rFonts w:ascii="Narkisim" w:hAnsi="Narkisim"/>
          <w:rtl/>
        </w:rPr>
        <w:t xml:space="preserve"> </w:t>
      </w:r>
      <w:r w:rsidRPr="00012502">
        <w:rPr>
          <w:rFonts w:ascii="Narkisim" w:hAnsi="Narkisim"/>
          <w:sz w:val="20"/>
          <w:szCs w:val="20"/>
          <w:rtl/>
        </w:rPr>
        <w:t>[וכ"כ ה</w:t>
      </w:r>
      <w:r w:rsidRPr="00012502">
        <w:rPr>
          <w:rFonts w:ascii="Narkisim" w:hAnsi="Narkisim"/>
          <w:b/>
          <w:bCs/>
          <w:sz w:val="20"/>
          <w:szCs w:val="20"/>
          <w:rtl/>
        </w:rPr>
        <w:t>ראב"ד</w:t>
      </w:r>
      <w:r w:rsidRPr="00012502">
        <w:rPr>
          <w:rFonts w:ascii="Narkisim" w:hAnsi="Narkisim"/>
          <w:sz w:val="20"/>
          <w:szCs w:val="20"/>
          <w:rtl/>
        </w:rPr>
        <w:t xml:space="preserve"> בתו"כ קדושים פרשתא ב פרק ד יח] </w:t>
      </w:r>
      <w:r w:rsidRPr="00012502">
        <w:rPr>
          <w:rFonts w:ascii="Narkisim" w:hAnsi="Narkisim"/>
          <w:rtl/>
        </w:rPr>
        <w:t>דקשר חמור מאריג, ואף דהוה שוע וטווי כ"א לחודיה, ע"י הקשר א"א להפרידם זה מזה, והוה כאילו הוה שוע וטווי מעיקרא ביחד.</w:t>
      </w:r>
    </w:p>
    <w:p w14:paraId="110BE2D9"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גר"ח</w:t>
      </w:r>
      <w:r w:rsidRPr="00012502">
        <w:rPr>
          <w:rFonts w:ascii="Narkisim" w:hAnsi="Narkisim" w:cs="Narkisim"/>
          <w:rtl/>
        </w:rPr>
        <w:t xml:space="preserve"> (סטנסל עד, נדה סא:</w:t>
      </w:r>
      <w:r w:rsidRPr="00012502">
        <w:rPr>
          <w:rStyle w:val="ac"/>
          <w:rFonts w:ascii="Narkisim" w:hAnsi="Narkisim" w:cs="Narkisim"/>
          <w:rtl/>
        </w:rPr>
        <w:footnoteReference w:id="242"/>
      </w:r>
      <w:r w:rsidRPr="00012502">
        <w:rPr>
          <w:rFonts w:ascii="Narkisim" w:hAnsi="Narkisim" w:cs="Narkisim"/>
          <w:rtl/>
        </w:rPr>
        <w:t xml:space="preserve">) תי' דיש ב' אופנים שנאסרו בכלאים, לא תלבש שעטנז אסרה התורה תערובת צמר ופשתים, וע"י שוע וטווי יחד הוה נעשה חפצא של איסור. ועוד יש אסרה התורה צמר בפני עצמה ופשתים בפנ"ע, ללובשם ביחד ע"י חיבור ב' תכיפות. </w:t>
      </w:r>
      <w:r w:rsidRPr="00012502">
        <w:rPr>
          <w:rFonts w:ascii="Narkisim" w:hAnsi="Narkisim" w:cs="Narkisim"/>
          <w:szCs w:val="20"/>
          <w:rtl/>
        </w:rPr>
        <w:t>וה</w:t>
      </w:r>
      <w:r w:rsidRPr="00012502">
        <w:rPr>
          <w:rFonts w:ascii="Narkisim" w:hAnsi="Narkisim" w:cs="Narkisim"/>
          <w:b/>
          <w:bCs/>
          <w:szCs w:val="20"/>
          <w:rtl/>
        </w:rPr>
        <w:t>גר"ח</w:t>
      </w:r>
      <w:r w:rsidRPr="00012502">
        <w:rPr>
          <w:rFonts w:ascii="Narkisim" w:hAnsi="Narkisim" w:cs="Narkisim"/>
          <w:szCs w:val="20"/>
          <w:rtl/>
        </w:rPr>
        <w:t xml:space="preserve"> כת' דמדין 'יחדיו' אם נאבד החוט יתבטל ברוב, ולכן בעינן לגדר 'שעטנז' דהוה חפצא דאיסורא [ע"י שוע וטווי], וכמש"כ תוס' (נדה שם) דהתורה אסרה לתערובת הכלאים ולכן ל"ש ביטול</w:t>
      </w:r>
      <w:r w:rsidRPr="00012502">
        <w:rPr>
          <w:rStyle w:val="ac"/>
          <w:rFonts w:ascii="Narkisim" w:hAnsi="Narkisim" w:cs="Narkisim"/>
          <w:szCs w:val="20"/>
          <w:rtl/>
        </w:rPr>
        <w:footnoteReference w:id="243"/>
      </w:r>
      <w:r w:rsidRPr="00012502">
        <w:rPr>
          <w:rFonts w:ascii="Narkisim" w:hAnsi="Narkisim" w:cs="Narkisim"/>
          <w:rtl/>
        </w:rPr>
        <w:t>.</w:t>
      </w:r>
    </w:p>
    <w:p w14:paraId="100A5948" w14:textId="77777777" w:rsidR="00BE1D1C" w:rsidRPr="00012502" w:rsidRDefault="00000000" w:rsidP="00012502">
      <w:pPr>
        <w:pStyle w:val="aa"/>
        <w:bidi/>
        <w:rPr>
          <w:rFonts w:ascii="Narkisim" w:hAnsi="Narkisim"/>
        </w:rPr>
      </w:pPr>
      <w:r w:rsidRPr="00012502">
        <w:rPr>
          <w:rFonts w:ascii="Narkisim" w:hAnsi="Narkisim"/>
          <w:u w:val="single"/>
          <w:rtl/>
        </w:rPr>
        <w:t>אלא כולה משעטנז נפקא וכו'</w:t>
      </w:r>
      <w:r w:rsidRPr="00012502">
        <w:rPr>
          <w:rFonts w:ascii="Narkisim" w:hAnsi="Narkisim"/>
          <w:rtl/>
        </w:rPr>
        <w:t>. פ</w:t>
      </w:r>
      <w:r w:rsidRPr="00012502">
        <w:rPr>
          <w:rFonts w:ascii="Narkisim" w:hAnsi="Narkisim"/>
          <w:b/>
          <w:bCs/>
          <w:rtl/>
        </w:rPr>
        <w:t>רש"י</w:t>
      </w:r>
      <w:r w:rsidRPr="00012502">
        <w:rPr>
          <w:rFonts w:ascii="Narkisim" w:hAnsi="Narkisim"/>
          <w:rtl/>
        </w:rPr>
        <w:t xml:space="preserve"> דאיצטריך לאפנויי, ואפ"ה מדאפיק בלשון זה ילפי' שוע טווי ונוז</w:t>
      </w:r>
      <w:r w:rsidRPr="00012502">
        <w:rPr>
          <w:rStyle w:val="ac"/>
          <w:rFonts w:ascii="Narkisim" w:hAnsi="Narkisim"/>
          <w:rtl/>
        </w:rPr>
        <w:footnoteReference w:id="244"/>
      </w:r>
      <w:r w:rsidRPr="00012502">
        <w:rPr>
          <w:rFonts w:ascii="Narkisim" w:hAnsi="Narkisim"/>
          <w:rtl/>
        </w:rPr>
        <w:t>. וצ"ב דכיון דאיצטריך לשוע טווי ונוז א"כ אינו מיותר. ותוס' תי' דהול"ל שוע טווי ונוז להדיא.</w:t>
      </w:r>
    </w:p>
    <w:p w14:paraId="780FC657"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תוד"ה כולה.</w:t>
      </w:r>
      <w:r w:rsidRPr="00012502">
        <w:rPr>
          <w:rFonts w:ascii="Narkisim" w:hAnsi="Narkisim" w:cs="Narkisim"/>
          <w:rtl/>
        </w:rPr>
        <w:t xml:space="preserve"> וא"ת וכו' שאני כלאים דהותר מכללו אצל בגדי כהונה</w:t>
      </w:r>
      <w:r w:rsidRPr="00012502">
        <w:rPr>
          <w:rStyle w:val="ac"/>
          <w:rFonts w:ascii="Narkisim" w:hAnsi="Narkisim" w:cs="Narkisim"/>
          <w:rtl/>
        </w:rPr>
        <w:footnoteReference w:id="245"/>
      </w:r>
      <w:r w:rsidRPr="00012502">
        <w:rPr>
          <w:rFonts w:ascii="Narkisim" w:hAnsi="Narkisim" w:cs="Narkisim"/>
          <w:rtl/>
        </w:rPr>
        <w:t>. ס"ד דתוס' דכלאים בבגדי כהונה הוה בגדר 'הותרה', ואמרי' דהותר מכללו</w:t>
      </w:r>
      <w:r w:rsidRPr="00012502">
        <w:rPr>
          <w:rStyle w:val="ac"/>
          <w:rFonts w:ascii="Narkisim" w:hAnsi="Narkisim" w:cs="Narkisim"/>
          <w:rtl/>
        </w:rPr>
        <w:footnoteReference w:id="246"/>
      </w:r>
      <w:r w:rsidRPr="00012502">
        <w:rPr>
          <w:rFonts w:ascii="Narkisim" w:hAnsi="Narkisim" w:cs="Narkisim"/>
          <w:rtl/>
        </w:rPr>
        <w:t>. [ותוס' דחו דהוה גדר עשה דוחה ל"ת, ומה שנדחית במקום אחר לא נחשב 'צד היתר' להק' דהותר מכללו במקום אחר].</w:t>
      </w:r>
    </w:p>
    <w:p w14:paraId="1038F7BC" w14:textId="77777777" w:rsidR="00BE1D1C" w:rsidRPr="00012502" w:rsidRDefault="00000000" w:rsidP="00012502">
      <w:pPr>
        <w:bidi/>
        <w:rPr>
          <w:rFonts w:ascii="Narkisim" w:hAnsi="Narkisim" w:cs="Narkisim"/>
        </w:rPr>
      </w:pPr>
      <w:r w:rsidRPr="00012502">
        <w:rPr>
          <w:rFonts w:ascii="Narkisim" w:hAnsi="Narkisim" w:cs="Narkisim"/>
          <w:rtl/>
        </w:rPr>
        <w:t>וב</w:t>
      </w:r>
      <w:r w:rsidRPr="00012502">
        <w:rPr>
          <w:rFonts w:ascii="Narkisim" w:hAnsi="Narkisim" w:cs="Narkisim"/>
          <w:b/>
          <w:bCs/>
          <w:rtl/>
        </w:rPr>
        <w:t xml:space="preserve">גמ' </w:t>
      </w:r>
      <w:r w:rsidRPr="00012502">
        <w:rPr>
          <w:rFonts w:ascii="Narkisim" w:hAnsi="Narkisim" w:cs="Narkisim"/>
          <w:rtl/>
        </w:rPr>
        <w:t>(מנחות מג. וערכין ג:) ס"ד דהותר אצל כהנים איסור כלאים</w:t>
      </w:r>
      <w:r w:rsidRPr="00012502">
        <w:rPr>
          <w:rStyle w:val="ac"/>
          <w:rFonts w:ascii="Narkisim" w:hAnsi="Narkisim" w:cs="Narkisim"/>
          <w:rtl/>
        </w:rPr>
        <w:footnoteReference w:id="247"/>
      </w:r>
      <w:r w:rsidRPr="00012502">
        <w:rPr>
          <w:rFonts w:ascii="Narkisim" w:hAnsi="Narkisim" w:cs="Narkisim"/>
          <w:rtl/>
        </w:rPr>
        <w:t xml:space="preserve">. והגמ' דוחה נהי דאישתרי בעידן עבודה, בלא עידן עבודה לא אישתרי. ומשמע בגמ' דאסור ללבוש בגדי כהונה שלא בשעת עבודה. </w:t>
      </w:r>
      <w:r w:rsidRPr="00012502">
        <w:rPr>
          <w:rFonts w:ascii="Narkisim" w:hAnsi="Narkisim" w:cs="Narkisim"/>
          <w:szCs w:val="20"/>
          <w:rtl/>
        </w:rPr>
        <w:t xml:space="preserve">אך </w:t>
      </w:r>
      <w:r w:rsidRPr="00012502">
        <w:rPr>
          <w:rFonts w:ascii="Narkisim" w:hAnsi="Narkisim" w:cs="Narkisim"/>
          <w:b/>
          <w:bCs/>
          <w:szCs w:val="20"/>
          <w:rtl/>
        </w:rPr>
        <w:t>תוס</w:t>
      </w:r>
      <w:r w:rsidRPr="00012502">
        <w:rPr>
          <w:rFonts w:ascii="Narkisim" w:hAnsi="Narkisim" w:cs="Narkisim"/>
          <w:szCs w:val="20"/>
          <w:rtl/>
        </w:rPr>
        <w:t>' (מנחות מא., והתו"י יומא סט.) העלו צד לדחות דכוונת הגמ' לבגדי חול, שאינם ראויין לעבודה</w:t>
      </w:r>
      <w:r w:rsidRPr="00012502">
        <w:rPr>
          <w:rFonts w:ascii="Narkisim" w:hAnsi="Narkisim" w:cs="Narkisim"/>
          <w:rtl/>
        </w:rPr>
        <w:t>.</w:t>
      </w:r>
    </w:p>
    <w:p w14:paraId="7484B226"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(מנחות מא., חולין קי: הו' לעיל ד:) דנו דלדעת ר"ת דכלאים בציצית הותר אף שלא בשעת לבישה, א"כ אף בגדי כהונה הותר איסור כלאים, ואף שלא בשעת עבודה. ובחד תי' כת' דשאני ציצית שהותר לכל לבישה. ועוד תי' ר"ת דבגד המיוחד לעבודה מותר בכל אופן</w:t>
      </w:r>
      <w:r w:rsidRPr="00012502">
        <w:rPr>
          <w:rFonts w:ascii="Narkisim" w:hAnsi="Narkisim"/>
          <w:sz w:val="20"/>
          <w:szCs w:val="20"/>
          <w:rtl/>
        </w:rPr>
        <w:t xml:space="preserve"> [וכוונת הגמ' לבגד דאינו מיוחד לעבודה לא אישתרי]</w:t>
      </w:r>
      <w:r w:rsidRPr="00012502">
        <w:rPr>
          <w:rFonts w:ascii="Narkisim" w:hAnsi="Narkisim"/>
          <w:rtl/>
        </w:rPr>
        <w:t>.</w:t>
      </w:r>
    </w:p>
    <w:p w14:paraId="21B34741"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גמ</w:t>
      </w:r>
      <w:r w:rsidRPr="00012502">
        <w:rPr>
          <w:rFonts w:ascii="Narkisim" w:hAnsi="Narkisim" w:cs="Narkisim"/>
          <w:rtl/>
        </w:rPr>
        <w:t>' (יומא סט., ותמיד כז:) תי' רב אשי [דהיו מניחים בגדי כהונה תחת ראשיהם</w:t>
      </w:r>
      <w:r w:rsidRPr="00012502">
        <w:rPr>
          <w:rStyle w:val="ac"/>
          <w:rFonts w:ascii="Narkisim" w:hAnsi="Narkisim" w:cs="Narkisim"/>
          <w:rtl/>
        </w:rPr>
        <w:footnoteReference w:id="248"/>
      </w:r>
      <w:r w:rsidRPr="00012502">
        <w:rPr>
          <w:rFonts w:ascii="Narkisim" w:hAnsi="Narkisim" w:cs="Narkisim"/>
          <w:rtl/>
        </w:rPr>
        <w:t>, דכתנן בתמיד] דבגדי כהונה היו קשים</w:t>
      </w:r>
      <w:r w:rsidRPr="00012502">
        <w:rPr>
          <w:rStyle w:val="ac"/>
          <w:rFonts w:ascii="Narkisim" w:hAnsi="Narkisim" w:cs="Narkisim"/>
          <w:rtl/>
        </w:rPr>
        <w:footnoteReference w:id="249"/>
      </w:r>
      <w:r w:rsidRPr="00012502">
        <w:rPr>
          <w:rFonts w:ascii="Narkisim" w:hAnsi="Narkisim" w:cs="Narkisim"/>
          <w:rtl/>
        </w:rPr>
        <w:t xml:space="preserve">, ומש"ה אין איסור כלאים. </w:t>
      </w:r>
      <w:r w:rsidRPr="00012502">
        <w:rPr>
          <w:rFonts w:ascii="Narkisim" w:hAnsi="Narkisim" w:cs="Narkisim"/>
          <w:szCs w:val="20"/>
          <w:rtl/>
        </w:rPr>
        <w:t>ו</w:t>
      </w:r>
      <w:r w:rsidRPr="00012502">
        <w:rPr>
          <w:rFonts w:ascii="Narkisim" w:hAnsi="Narkisim" w:cs="Narkisim"/>
          <w:b/>
          <w:bCs/>
          <w:szCs w:val="20"/>
          <w:rtl/>
        </w:rPr>
        <w:t>תוס</w:t>
      </w:r>
      <w:r w:rsidRPr="00012502">
        <w:rPr>
          <w:rFonts w:ascii="Narkisim" w:hAnsi="Narkisim" w:cs="Narkisim"/>
          <w:szCs w:val="20"/>
          <w:rtl/>
        </w:rPr>
        <w:t xml:space="preserve">' (יומא שם) הביאו דדעת </w:t>
      </w:r>
      <w:r w:rsidRPr="00012502">
        <w:rPr>
          <w:rFonts w:ascii="Narkisim" w:hAnsi="Narkisim" w:cs="Narkisim"/>
          <w:b/>
          <w:bCs/>
          <w:szCs w:val="20"/>
          <w:rtl/>
        </w:rPr>
        <w:t>רש"י</w:t>
      </w:r>
      <w:r w:rsidRPr="00012502">
        <w:rPr>
          <w:rFonts w:ascii="Narkisim" w:hAnsi="Narkisim" w:cs="Narkisim"/>
          <w:szCs w:val="20"/>
          <w:rtl/>
        </w:rPr>
        <w:t xml:space="preserve"> דכיון דקשים מותר ללובשם, ולפ"ז טעם ההיתר בבגדי כהונה משום דהיו קשים, ותוס' הק' מהגמ' (ערכין הנ"ל)</w:t>
      </w:r>
      <w:r w:rsidRPr="00012502">
        <w:rPr>
          <w:rStyle w:val="ac"/>
          <w:rFonts w:ascii="Narkisim" w:hAnsi="Narkisim" w:cs="Narkisim"/>
          <w:szCs w:val="20"/>
          <w:rtl/>
        </w:rPr>
        <w:footnoteReference w:id="250"/>
      </w:r>
      <w:r w:rsidRPr="00012502">
        <w:rPr>
          <w:rFonts w:ascii="Narkisim" w:hAnsi="Narkisim" w:cs="Narkisim"/>
          <w:szCs w:val="20"/>
          <w:rtl/>
        </w:rPr>
        <w:t xml:space="preserve">. ודעת </w:t>
      </w:r>
      <w:r w:rsidRPr="00012502">
        <w:rPr>
          <w:rFonts w:ascii="Narkisim" w:hAnsi="Narkisim" w:cs="Narkisim"/>
          <w:b/>
          <w:bCs/>
          <w:szCs w:val="20"/>
          <w:rtl/>
        </w:rPr>
        <w:t>ר"ת</w:t>
      </w:r>
      <w:r w:rsidRPr="00012502">
        <w:rPr>
          <w:rFonts w:ascii="Narkisim" w:hAnsi="Narkisim" w:cs="Narkisim"/>
          <w:szCs w:val="20"/>
          <w:rtl/>
        </w:rPr>
        <w:t xml:space="preserve"> דהותר רק להציע תחתיו</w:t>
      </w:r>
      <w:r w:rsidRPr="00012502">
        <w:rPr>
          <w:rStyle w:val="ac"/>
          <w:rFonts w:ascii="Narkisim" w:hAnsi="Narkisim" w:cs="Narkisim"/>
          <w:szCs w:val="20"/>
          <w:rtl/>
        </w:rPr>
        <w:footnoteReference w:id="251"/>
      </w:r>
      <w:r w:rsidRPr="00012502">
        <w:rPr>
          <w:rFonts w:ascii="Narkisim" w:hAnsi="Narkisim" w:cs="Narkisim"/>
          <w:szCs w:val="20"/>
          <w:rtl/>
        </w:rPr>
        <w:t>.</w:t>
      </w:r>
    </w:p>
    <w:p w14:paraId="75C14E5E" w14:textId="77777777" w:rsidR="00BE1D1C" w:rsidRPr="00012502" w:rsidRDefault="00000000" w:rsidP="00012502">
      <w:pPr>
        <w:pStyle w:val="a7"/>
        <w:bidi/>
        <w:rPr>
          <w:rFonts w:ascii="Narkisim" w:hAnsi="Narkisim"/>
        </w:rPr>
      </w:pPr>
      <w:r w:rsidRPr="00012502">
        <w:rPr>
          <w:rFonts w:ascii="Narkisim" w:hAnsi="Narkisim"/>
          <w:rtl/>
        </w:rPr>
        <w:t>והגמ' הביאה ברייתא דבמקדש מותר בבגדי כהונה אף שלא בשעת עבודה, ולצאת בהם למדינה אסור</w:t>
      </w:r>
      <w:r w:rsidRPr="00012502">
        <w:rPr>
          <w:rStyle w:val="ac"/>
          <w:rFonts w:ascii="Narkisim" w:hAnsi="Narkisim"/>
          <w:rtl/>
        </w:rPr>
        <w:footnoteReference w:id="252"/>
      </w:r>
      <w:r w:rsidRPr="00012502">
        <w:rPr>
          <w:rFonts w:ascii="Narkisim" w:hAnsi="Narkisim"/>
          <w:rtl/>
        </w:rPr>
        <w:t>. ו</w:t>
      </w:r>
      <w:r w:rsidRPr="00012502">
        <w:rPr>
          <w:rFonts w:ascii="Narkisim" w:hAnsi="Narkisim"/>
          <w:b/>
          <w:bCs/>
          <w:rtl/>
        </w:rPr>
        <w:t>רש"י</w:t>
      </w:r>
      <w:r w:rsidRPr="00012502">
        <w:rPr>
          <w:rFonts w:ascii="Narkisim" w:hAnsi="Narkisim"/>
          <w:rtl/>
        </w:rPr>
        <w:t xml:space="preserve"> ו</w:t>
      </w:r>
      <w:r w:rsidRPr="00012502">
        <w:rPr>
          <w:rFonts w:ascii="Narkisim" w:hAnsi="Narkisim"/>
          <w:b/>
          <w:bCs/>
          <w:rtl/>
        </w:rPr>
        <w:t>תוס'</w:t>
      </w:r>
      <w:r w:rsidRPr="00012502">
        <w:rPr>
          <w:rFonts w:ascii="Narkisim" w:hAnsi="Narkisim"/>
          <w:rtl/>
        </w:rPr>
        <w:t xml:space="preserve"> (יומא) מבואר דבמדינה אסור משום איסור הקדש</w:t>
      </w:r>
      <w:r w:rsidRPr="00012502">
        <w:rPr>
          <w:rStyle w:val="ac"/>
          <w:rFonts w:ascii="Narkisim" w:hAnsi="Narkisim"/>
          <w:rtl/>
        </w:rPr>
        <w:footnoteReference w:id="253"/>
      </w:r>
      <w:r w:rsidRPr="00012502">
        <w:rPr>
          <w:rFonts w:ascii="Narkisim" w:hAnsi="Narkisim"/>
          <w:rtl/>
        </w:rPr>
        <w:t>, דהוה מעילה</w:t>
      </w:r>
      <w:r w:rsidRPr="00012502">
        <w:rPr>
          <w:rStyle w:val="ac"/>
          <w:rFonts w:ascii="Narkisim" w:hAnsi="Narkisim"/>
          <w:rtl/>
        </w:rPr>
        <w:footnoteReference w:id="254"/>
      </w:r>
      <w:r w:rsidRPr="00012502">
        <w:rPr>
          <w:rFonts w:ascii="Narkisim" w:hAnsi="Narkisim"/>
          <w:rtl/>
        </w:rPr>
        <w:t xml:space="preserve">. אבל יש </w:t>
      </w:r>
      <w:r w:rsidRPr="00012502">
        <w:rPr>
          <w:rFonts w:ascii="Narkisim" w:hAnsi="Narkisim"/>
          <w:b/>
          <w:bCs/>
          <w:rtl/>
        </w:rPr>
        <w:t>ראשונים</w:t>
      </w:r>
      <w:r w:rsidRPr="00012502">
        <w:rPr>
          <w:rFonts w:ascii="Narkisim" w:hAnsi="Narkisim"/>
          <w:rtl/>
        </w:rPr>
        <w:t xml:space="preserve"> דמשמע דמחוץ למקדש אסור משום איסור כלאים</w:t>
      </w:r>
      <w:r w:rsidRPr="00012502">
        <w:rPr>
          <w:rStyle w:val="ac"/>
          <w:rFonts w:ascii="Narkisim" w:hAnsi="Narkisim"/>
          <w:rtl/>
        </w:rPr>
        <w:footnoteReference w:id="255"/>
      </w:r>
      <w:r w:rsidRPr="00012502">
        <w:rPr>
          <w:rFonts w:ascii="Narkisim" w:hAnsi="Narkisim"/>
          <w:rtl/>
        </w:rPr>
        <w:t xml:space="preserve"> [וה</w:t>
      </w:r>
      <w:r w:rsidRPr="00012502">
        <w:rPr>
          <w:rFonts w:ascii="Narkisim" w:hAnsi="Narkisim"/>
          <w:b/>
          <w:bCs/>
          <w:rtl/>
        </w:rPr>
        <w:t>בעה"מ</w:t>
      </w:r>
      <w:r w:rsidRPr="00012502">
        <w:rPr>
          <w:rFonts w:ascii="Narkisim" w:hAnsi="Narkisim"/>
          <w:rtl/>
        </w:rPr>
        <w:t xml:space="preserve"> (ביצה ז. בדה"ר) נסתפק בזה</w:t>
      </w:r>
      <w:r w:rsidRPr="00012502">
        <w:rPr>
          <w:rStyle w:val="ac"/>
          <w:rFonts w:ascii="Narkisim" w:hAnsi="Narkisim"/>
          <w:rtl/>
        </w:rPr>
        <w:footnoteReference w:id="256"/>
      </w:r>
      <w:r w:rsidRPr="00012502">
        <w:rPr>
          <w:rFonts w:ascii="Narkisim" w:hAnsi="Narkisim"/>
          <w:rtl/>
        </w:rPr>
        <w:t>].</w:t>
      </w:r>
    </w:p>
    <w:p w14:paraId="13E8707A"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גרי"ז</w:t>
      </w:r>
      <w:r w:rsidRPr="00012502">
        <w:rPr>
          <w:rFonts w:ascii="Narkisim" w:hAnsi="Narkisim"/>
          <w:rtl/>
        </w:rPr>
        <w:t xml:space="preserve"> (יומא שם) הביא בשם ה</w:t>
      </w:r>
      <w:r w:rsidRPr="00012502">
        <w:rPr>
          <w:rFonts w:ascii="Narkisim" w:hAnsi="Narkisim"/>
          <w:b/>
          <w:bCs/>
          <w:rtl/>
        </w:rPr>
        <w:t>גר"ח</w:t>
      </w:r>
      <w:r w:rsidRPr="00012502">
        <w:rPr>
          <w:rFonts w:ascii="Narkisim" w:hAnsi="Narkisim"/>
          <w:rtl/>
        </w:rPr>
        <w:t xml:space="preserve"> דבמקדש היינו בעזרה, דמצוות לבישת בגדי כהונה הוא דוקא בעזרה. אבל במדינה [ואף בהר הבית] ליכא עשה שידחה איסור כלאים.</w:t>
      </w:r>
    </w:p>
    <w:p w14:paraId="572FA367"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רמב"ם</w:t>
      </w:r>
      <w:r w:rsidRPr="00012502">
        <w:rPr>
          <w:rFonts w:ascii="Narkisim" w:hAnsi="Narkisim" w:cs="Narkisim"/>
          <w:rtl/>
        </w:rPr>
        <w:t xml:space="preserve"> (כלאים י לב, וכלי המקדש ח יב) פסק דלא הותרו כלאים בבגדי כהונה</w:t>
      </w:r>
      <w:r w:rsidRPr="00012502">
        <w:rPr>
          <w:rStyle w:val="ac"/>
          <w:rFonts w:ascii="Narkisim" w:hAnsi="Narkisim" w:cs="Narkisim"/>
          <w:rtl/>
        </w:rPr>
        <w:footnoteReference w:id="257"/>
      </w:r>
      <w:r w:rsidRPr="00012502">
        <w:rPr>
          <w:rFonts w:ascii="Narkisim" w:hAnsi="Narkisim" w:cs="Narkisim"/>
          <w:rtl/>
        </w:rPr>
        <w:t xml:space="preserve"> אלא בשעת עבודה. משמע דשלא בשעת עבודה עובר משום כלאים [וכגמ' מנחות וערכין הנ"ל]. וה</w:t>
      </w:r>
      <w:r w:rsidRPr="00012502">
        <w:rPr>
          <w:rFonts w:ascii="Narkisim" w:hAnsi="Narkisim" w:cs="Narkisim"/>
          <w:b/>
          <w:bCs/>
          <w:rtl/>
        </w:rPr>
        <w:t>ראב"ד</w:t>
      </w:r>
      <w:r w:rsidRPr="00012502">
        <w:rPr>
          <w:rFonts w:ascii="Narkisim" w:hAnsi="Narkisim" w:cs="Narkisim"/>
          <w:rtl/>
        </w:rPr>
        <w:t xml:space="preserve"> חלק דאיתא (יומא שם) דאפי' שלא בעידן עבודה הותר</w:t>
      </w:r>
      <w:r w:rsidRPr="00012502">
        <w:rPr>
          <w:rStyle w:val="ac"/>
          <w:rFonts w:ascii="Narkisim" w:hAnsi="Narkisim" w:cs="Narkisim"/>
          <w:rtl/>
        </w:rPr>
        <w:footnoteReference w:id="258"/>
      </w:r>
      <w:r w:rsidRPr="00012502">
        <w:rPr>
          <w:rFonts w:ascii="Narkisim" w:hAnsi="Narkisim" w:cs="Narkisim"/>
          <w:rtl/>
        </w:rPr>
        <w:t>.</w:t>
      </w:r>
    </w:p>
    <w:p w14:paraId="599C9144" w14:textId="77777777" w:rsidR="00BE1D1C" w:rsidRPr="00012502" w:rsidRDefault="00000000" w:rsidP="00012502">
      <w:pPr>
        <w:pStyle w:val="a7"/>
        <w:bidi/>
        <w:rPr>
          <w:rFonts w:ascii="Narkisim" w:hAnsi="Narkisim"/>
        </w:rPr>
      </w:pPr>
      <w:r w:rsidRPr="00012502">
        <w:rPr>
          <w:rFonts w:ascii="Narkisim" w:hAnsi="Narkisim"/>
          <w:rtl/>
        </w:rPr>
        <w:lastRenderedPageBreak/>
        <w:t>וה</w:t>
      </w:r>
      <w:r w:rsidRPr="00012502">
        <w:rPr>
          <w:rFonts w:ascii="Narkisim" w:hAnsi="Narkisim"/>
          <w:b/>
          <w:bCs/>
          <w:rtl/>
        </w:rPr>
        <w:t>אחרונים</w:t>
      </w:r>
      <w:r w:rsidRPr="00012502">
        <w:rPr>
          <w:rFonts w:ascii="Narkisim" w:hAnsi="Narkisim"/>
          <w:rtl/>
        </w:rPr>
        <w:t xml:space="preserve"> </w:t>
      </w:r>
      <w:r w:rsidRPr="00012502">
        <w:rPr>
          <w:rFonts w:ascii="Narkisim" w:hAnsi="Narkisim"/>
          <w:szCs w:val="20"/>
          <w:rtl/>
        </w:rPr>
        <w:t>(ע' שאג"א ל, וביה"ל א א ועוד)</w:t>
      </w:r>
      <w:r w:rsidRPr="00012502">
        <w:rPr>
          <w:rFonts w:ascii="Narkisim" w:hAnsi="Narkisim"/>
          <w:rtl/>
        </w:rPr>
        <w:t xml:space="preserve"> דנו האם דעת הראב"ד דבגדי כהונה הוה בגדר הותרה, והקשו מ"ש מציצית דפליג על ר"ת. </w:t>
      </w:r>
      <w:r w:rsidRPr="00012502">
        <w:rPr>
          <w:rFonts w:ascii="Narkisim" w:hAnsi="Narkisim"/>
          <w:szCs w:val="20"/>
          <w:rtl/>
        </w:rPr>
        <w:t>והאריכו בזה.</w:t>
      </w:r>
    </w:p>
    <w:p w14:paraId="667DB84A" w14:textId="77777777" w:rsidR="00BE1D1C" w:rsidRPr="00012502" w:rsidRDefault="00000000" w:rsidP="00012502">
      <w:pPr>
        <w:pStyle w:val="a7"/>
        <w:bidi/>
        <w:rPr>
          <w:rFonts w:ascii="Narkisim" w:hAnsi="Narkisim"/>
        </w:rPr>
      </w:pPr>
      <w:r w:rsidRPr="00012502">
        <w:rPr>
          <w:rFonts w:ascii="Narkisim" w:hAnsi="Narkisim"/>
          <w:rtl/>
        </w:rPr>
        <w:t>ועוד פי' ה</w:t>
      </w:r>
      <w:r w:rsidRPr="00012502">
        <w:rPr>
          <w:rFonts w:ascii="Narkisim" w:hAnsi="Narkisim"/>
          <w:b/>
          <w:bCs/>
          <w:rtl/>
        </w:rPr>
        <w:t>אחרונים</w:t>
      </w:r>
      <w:r w:rsidRPr="00012502">
        <w:rPr>
          <w:rFonts w:ascii="Narkisim" w:hAnsi="Narkisim"/>
          <w:rtl/>
        </w:rPr>
        <w:t xml:space="preserve"> דכוונת הראב"ד דמקיים מצוות לבישת בגדי כהונה, ולא תליא בזמן העבודה.</w:t>
      </w:r>
    </w:p>
    <w:p w14:paraId="0013DFE1" w14:textId="77777777" w:rsidR="00BE1D1C" w:rsidRPr="00012502" w:rsidRDefault="00000000" w:rsidP="00012502">
      <w:pPr>
        <w:bidi/>
        <w:rPr>
          <w:rFonts w:ascii="Narkisim" w:hAnsi="Narkisim" w:cs="Narkisim"/>
        </w:rPr>
      </w:pPr>
      <w:r w:rsidRPr="00012502">
        <w:rPr>
          <w:rFonts w:ascii="Narkisim" w:hAnsi="Narkisim" w:cs="Narkisim"/>
          <w:u w:val="single"/>
          <w:rtl/>
        </w:rPr>
        <w:t>בא"ד ואור"י דהתם משום דאתי עשה דבגדי כהונה ודחי לל"ת דכלאים</w:t>
      </w:r>
      <w:r w:rsidRPr="00012502">
        <w:rPr>
          <w:rFonts w:ascii="Narkisim" w:hAnsi="Narkisim" w:cs="Narkisim"/>
          <w:rtl/>
        </w:rPr>
        <w:t>. ה</w:t>
      </w:r>
      <w:r w:rsidRPr="00012502">
        <w:rPr>
          <w:rFonts w:ascii="Narkisim" w:hAnsi="Narkisim" w:cs="Narkisim"/>
          <w:b/>
          <w:bCs/>
          <w:rtl/>
        </w:rPr>
        <w:t xml:space="preserve">טור"א </w:t>
      </w:r>
      <w:r w:rsidRPr="00012502">
        <w:rPr>
          <w:rFonts w:ascii="Narkisim" w:hAnsi="Narkisim" w:cs="Narkisim"/>
          <w:sz w:val="20"/>
          <w:szCs w:val="20"/>
          <w:rtl/>
        </w:rPr>
        <w:t>(חגיגה ב: ושאג"א כט)</w:t>
      </w:r>
      <w:r w:rsidRPr="00012502">
        <w:rPr>
          <w:rFonts w:ascii="Narkisim" w:hAnsi="Narkisim" w:cs="Narkisim"/>
          <w:rtl/>
        </w:rPr>
        <w:t xml:space="preserve"> נקט דכוונת התוס' לעשה דעבודה. והטור"א הקשה דאינו בעידנא, ועובר בלאו משעת לבישה ואינו מקיים לעשה עד שעת עבודה. </w:t>
      </w:r>
      <w:r w:rsidRPr="00012502">
        <w:rPr>
          <w:rFonts w:ascii="Narkisim" w:hAnsi="Narkisim" w:cs="Narkisim"/>
          <w:sz w:val="20"/>
          <w:szCs w:val="20"/>
          <w:rtl/>
        </w:rPr>
        <w:t>וב</w:t>
      </w:r>
      <w:r w:rsidRPr="00012502">
        <w:rPr>
          <w:rFonts w:ascii="Narkisim" w:hAnsi="Narkisim" w:cs="Narkisim"/>
          <w:b/>
          <w:bCs/>
          <w:sz w:val="20"/>
          <w:szCs w:val="20"/>
          <w:rtl/>
        </w:rPr>
        <w:t>טור"א</w:t>
      </w:r>
      <w:r w:rsidRPr="00012502">
        <w:rPr>
          <w:rFonts w:ascii="Narkisim" w:hAnsi="Narkisim" w:cs="Narkisim"/>
          <w:sz w:val="20"/>
          <w:szCs w:val="20"/>
          <w:rtl/>
        </w:rPr>
        <w:t xml:space="preserve"> הביא מזה דכיון דא"א בענין אחר ההכשר מצוה נחשב בעידנא</w:t>
      </w:r>
      <w:r w:rsidRPr="00012502">
        <w:rPr>
          <w:rStyle w:val="ac"/>
          <w:rFonts w:ascii="Narkisim" w:hAnsi="Narkisim" w:cs="Narkisim"/>
          <w:sz w:val="20"/>
          <w:szCs w:val="20"/>
          <w:rtl/>
        </w:rPr>
        <w:footnoteReference w:id="259"/>
      </w:r>
      <w:r w:rsidRPr="00012502">
        <w:rPr>
          <w:rFonts w:ascii="Narkisim" w:hAnsi="Narkisim" w:cs="Narkisim"/>
          <w:sz w:val="20"/>
          <w:szCs w:val="20"/>
          <w:rtl/>
        </w:rPr>
        <w:t xml:space="preserve"> [וכמ"ש בפסקי תוס' זבחים סט, הו' לעיל].</w:t>
      </w:r>
      <w:r w:rsidRPr="00012502">
        <w:rPr>
          <w:rFonts w:ascii="Narkisim" w:hAnsi="Narkisim" w:cs="Narkisim"/>
          <w:rtl/>
        </w:rPr>
        <w:t xml:space="preserve"> וב</w:t>
      </w:r>
      <w:r w:rsidRPr="00012502">
        <w:rPr>
          <w:rFonts w:ascii="Narkisim" w:hAnsi="Narkisim" w:cs="Narkisim"/>
          <w:b/>
          <w:bCs/>
          <w:rtl/>
        </w:rPr>
        <w:t>הג' אמרי ברוך</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שם, וכן בקו"א לשאג"א וערול"נ)</w:t>
      </w:r>
      <w:r w:rsidRPr="00012502">
        <w:rPr>
          <w:rFonts w:ascii="Narkisim" w:hAnsi="Narkisim" w:cs="Narkisim"/>
          <w:rtl/>
        </w:rPr>
        <w:t xml:space="preserve"> חלק דלבישת בגדי כהונה הוה מצוות עשה, ונמנה במנין המצוות, ולא תליא בעבודה.</w:t>
      </w:r>
    </w:p>
    <w:p w14:paraId="15806AEC" w14:textId="77777777" w:rsidR="00BE1D1C" w:rsidRPr="00012502" w:rsidRDefault="00000000" w:rsidP="00012502">
      <w:pPr>
        <w:pStyle w:val="aa"/>
        <w:bidi/>
        <w:rPr>
          <w:rFonts w:ascii="Narkisim" w:hAnsi="Narkisim"/>
        </w:rPr>
      </w:pPr>
      <w:r w:rsidRPr="00012502">
        <w:rPr>
          <w:rFonts w:ascii="Narkisim" w:hAnsi="Narkisim"/>
          <w:u w:val="single"/>
          <w:rtl/>
        </w:rPr>
        <w:t>בא"ד לא הו"מ למילף בעלמא, משום דמצוותו בכך ובענין אחר א"א לקיים מצוותו, כמו שפי' (לעיל ג:) דלא ילפי' מאשת אח וכו'</w:t>
      </w:r>
      <w:r w:rsidRPr="00012502">
        <w:rPr>
          <w:rFonts w:ascii="Narkisim" w:hAnsi="Narkisim"/>
          <w:rtl/>
        </w:rPr>
        <w:t>. ה</w:t>
      </w:r>
      <w:r w:rsidRPr="00012502">
        <w:rPr>
          <w:rFonts w:ascii="Narkisim" w:hAnsi="Narkisim"/>
          <w:b/>
          <w:bCs/>
          <w:rtl/>
        </w:rPr>
        <w:t>אחרונים</w:t>
      </w:r>
      <w:r w:rsidRPr="00012502">
        <w:rPr>
          <w:rFonts w:ascii="Narkisim" w:hAnsi="Narkisim"/>
          <w:rtl/>
        </w:rPr>
        <w:t xml:space="preserve"> הביאו דמבואר בתוס' דטעם ההיתר בבגדי כהונה ואשת אח מדין עדל"ת [ולא נחשב הותר מכללו]. ואף דיש סברא דמצוותו בכך, דמש"ה לא ילפי' מינה לבעלמא, מ"מ עיקר ההיתר משום גדר עשה דוחה ל"ת בעלמא. וגבי אשת אח גלי קרא דדחי אף ל"ת שיש בו כרת. [וע' מש"כ בזה לעיל ג:].</w:t>
      </w:r>
    </w:p>
    <w:p w14:paraId="7A928B57" w14:textId="77777777" w:rsidR="00BE1D1C" w:rsidRPr="00012502" w:rsidRDefault="00000000" w:rsidP="00012502">
      <w:pPr>
        <w:pStyle w:val="aa"/>
        <w:bidi/>
        <w:rPr>
          <w:rFonts w:ascii="Narkisim" w:hAnsi="Narkisim"/>
        </w:rPr>
      </w:pPr>
      <w:r w:rsidRPr="00012502">
        <w:rPr>
          <w:rFonts w:ascii="Narkisim" w:hAnsi="Narkisim"/>
          <w:u w:val="single"/>
          <w:rtl/>
        </w:rPr>
        <w:t>בא"ד וא"ת וכו' משריפת קדשים דלא דחי [פסחים פג:] וכו' מוהנותר וכו'</w:t>
      </w:r>
      <w:r w:rsidRPr="00012502">
        <w:rPr>
          <w:rFonts w:ascii="Narkisim" w:hAnsi="Narkisim"/>
          <w:rtl/>
        </w:rPr>
        <w:t>. תוס' הק' מדברי חזקיה [בגמ' פסחים], אבל רב אשי (שם ושבת כד:) תי' דיו"ט הוה ל"ת ועשה ומש"ה לא דחי. [וקו' התוס' לחזקיה דס"ל דיו"ט לא הוה ל"ת ועשה, וכ"ה בתוס' ישנים שבת כה.].</w:t>
      </w:r>
    </w:p>
    <w:p w14:paraId="62F88B86" w14:textId="77777777" w:rsidR="00BE1D1C" w:rsidRPr="00012502" w:rsidRDefault="00000000" w:rsidP="00012502">
      <w:pPr>
        <w:bidi/>
        <w:rPr>
          <w:rFonts w:ascii="Narkisim" w:hAnsi="Narkisim" w:cs="Narkisim"/>
        </w:rPr>
      </w:pPr>
      <w:r w:rsidRPr="00012502">
        <w:rPr>
          <w:rFonts w:ascii="Narkisim" w:hAnsi="Narkisim" w:cs="Narkisim"/>
          <w:u w:val="single"/>
          <w:rtl/>
        </w:rPr>
        <w:t>בא"ד דשאני התם דלא בטלה מצוותו בכך, ויכול לשרפו אחר היו"ט וכו'.</w:t>
      </w:r>
      <w:r w:rsidRPr="00012502">
        <w:rPr>
          <w:rFonts w:ascii="Narkisim" w:hAnsi="Narkisim" w:cs="Narkisim"/>
          <w:rtl/>
        </w:rPr>
        <w:t xml:space="preserve"> וילפי' מקרא דמה דאפשר למחר נחשב אפשר לקיים שניהם</w:t>
      </w:r>
      <w:r w:rsidRPr="00012502">
        <w:rPr>
          <w:rStyle w:val="ac"/>
          <w:rFonts w:ascii="Narkisim" w:hAnsi="Narkisim" w:cs="Narkisim"/>
          <w:rtl/>
        </w:rPr>
        <w:footnoteReference w:id="260"/>
      </w:r>
      <w:r w:rsidRPr="00012502">
        <w:rPr>
          <w:rFonts w:ascii="Narkisim" w:hAnsi="Narkisim" w:cs="Narkisim"/>
          <w:rtl/>
        </w:rPr>
        <w:t xml:space="preserve">. </w:t>
      </w:r>
      <w:r w:rsidRPr="00012502">
        <w:rPr>
          <w:rFonts w:ascii="Narkisim" w:hAnsi="Narkisim" w:cs="Narkisim"/>
          <w:sz w:val="20"/>
          <w:szCs w:val="20"/>
          <w:rtl/>
        </w:rPr>
        <w:t>[וכ"מ בתוס' (פסחים מז: ד"ה אחרישה) דכת' דלא אמרי' להמתין, דאם היה מבקש עפר אחר ינגב הדם או יתטשטש].</w:t>
      </w:r>
      <w:r w:rsidRPr="00012502">
        <w:rPr>
          <w:rFonts w:ascii="Narkisim" w:hAnsi="Narkisim" w:cs="Narkisim"/>
          <w:rtl/>
        </w:rPr>
        <w:t xml:space="preserve"> ו</w:t>
      </w:r>
      <w:r w:rsidRPr="00012502">
        <w:rPr>
          <w:rFonts w:ascii="Narkisim" w:hAnsi="Narkisim" w:cs="Narkisim"/>
          <w:b/>
          <w:bCs/>
          <w:rtl/>
        </w:rPr>
        <w:t>רע"א</w:t>
      </w:r>
      <w:r w:rsidRPr="00012502">
        <w:rPr>
          <w:rFonts w:ascii="Narkisim" w:hAnsi="Narkisim" w:cs="Narkisim"/>
          <w:rtl/>
        </w:rPr>
        <w:t xml:space="preserve"> בגהש"ס ציין לדברי </w:t>
      </w:r>
      <w:r w:rsidRPr="00012502">
        <w:rPr>
          <w:rFonts w:ascii="Narkisim" w:hAnsi="Narkisim" w:cs="Narkisim"/>
          <w:b/>
          <w:bCs/>
          <w:rtl/>
        </w:rPr>
        <w:t>תוס</w:t>
      </w:r>
      <w:r w:rsidRPr="00012502">
        <w:rPr>
          <w:rFonts w:ascii="Narkisim" w:hAnsi="Narkisim" w:cs="Narkisim"/>
          <w:rtl/>
        </w:rPr>
        <w:t>' (שבועות ג. הו' בע"א) דלא אמרי' ימתין למחר. וה</w:t>
      </w:r>
      <w:r w:rsidRPr="00012502">
        <w:rPr>
          <w:rFonts w:ascii="Narkisim" w:hAnsi="Narkisim" w:cs="Narkisim"/>
          <w:b/>
          <w:bCs/>
          <w:rtl/>
        </w:rPr>
        <w:t>קובה"ע</w:t>
      </w:r>
      <w:r w:rsidRPr="00012502">
        <w:rPr>
          <w:rFonts w:ascii="Narkisim" w:hAnsi="Narkisim" w:cs="Narkisim"/>
          <w:rtl/>
        </w:rPr>
        <w:t xml:space="preserve"> (יא ה) תי' דהתם אין קצבה להמתנה.</w:t>
      </w:r>
    </w:p>
    <w:p w14:paraId="740D7250"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רמב"ן</w:t>
      </w:r>
      <w:r w:rsidRPr="00012502">
        <w:rPr>
          <w:rFonts w:ascii="Narkisim" w:hAnsi="Narkisim"/>
          <w:rtl/>
        </w:rPr>
        <w:t xml:space="preserve"> ו</w:t>
      </w:r>
      <w:r w:rsidRPr="00012502">
        <w:rPr>
          <w:rFonts w:ascii="Narkisim" w:hAnsi="Narkisim"/>
          <w:b/>
          <w:bCs/>
          <w:rtl/>
        </w:rPr>
        <w:t>רשב"א</w:t>
      </w:r>
      <w:r w:rsidRPr="00012502">
        <w:rPr>
          <w:rFonts w:ascii="Narkisim" w:hAnsi="Narkisim"/>
          <w:rtl/>
        </w:rPr>
        <w:t xml:space="preserve"> </w:t>
      </w:r>
      <w:r w:rsidRPr="00012502">
        <w:rPr>
          <w:rFonts w:ascii="Narkisim" w:hAnsi="Narkisim"/>
          <w:sz w:val="20"/>
          <w:szCs w:val="20"/>
          <w:rtl/>
        </w:rPr>
        <w:t>(שבת כד:, וכ"כ הרשב"א ביצה ח:)</w:t>
      </w:r>
      <w:r w:rsidRPr="00012502">
        <w:rPr>
          <w:rFonts w:ascii="Narkisim" w:hAnsi="Narkisim"/>
          <w:rtl/>
        </w:rPr>
        <w:t xml:space="preserve"> כתבו דכיון דהיום א"א לקיים שניהם, אמרי' חביבה מצוה בשעתה, ואע"פ שאפשר למחר כל מחוסר זמן כמחוסר הכל דמי. וכן ה</w:t>
      </w:r>
      <w:r w:rsidRPr="00012502">
        <w:rPr>
          <w:rFonts w:ascii="Narkisim" w:hAnsi="Narkisim"/>
          <w:b/>
          <w:bCs/>
          <w:rtl/>
        </w:rPr>
        <w:t>רמב"ן</w:t>
      </w:r>
      <w:r w:rsidRPr="00012502">
        <w:rPr>
          <w:rFonts w:ascii="Narkisim" w:hAnsi="Narkisim"/>
          <w:rtl/>
        </w:rPr>
        <w:t xml:space="preserve"> ו</w:t>
      </w:r>
      <w:r w:rsidRPr="00012502">
        <w:rPr>
          <w:rFonts w:ascii="Narkisim" w:hAnsi="Narkisim"/>
          <w:b/>
          <w:bCs/>
          <w:rtl/>
        </w:rPr>
        <w:t>רשב"א</w:t>
      </w:r>
      <w:r w:rsidRPr="00012502">
        <w:rPr>
          <w:rFonts w:ascii="Narkisim" w:hAnsi="Narkisim"/>
          <w:sz w:val="20"/>
          <w:szCs w:val="20"/>
          <w:rtl/>
        </w:rPr>
        <w:t xml:space="preserve"> (ו.)</w:t>
      </w:r>
      <w:r w:rsidRPr="00012502">
        <w:rPr>
          <w:rFonts w:ascii="Narkisim" w:hAnsi="Narkisim"/>
          <w:rtl/>
        </w:rPr>
        <w:t xml:space="preserve"> כ' דעשה דמילה דחי שבת, אע"ג דאפשר למחר</w:t>
      </w:r>
      <w:r w:rsidRPr="00012502">
        <w:rPr>
          <w:rStyle w:val="ac"/>
          <w:rFonts w:ascii="Narkisim" w:hAnsi="Narkisim"/>
          <w:rtl/>
        </w:rPr>
        <w:footnoteReference w:id="261"/>
      </w:r>
      <w:r w:rsidRPr="00012502">
        <w:rPr>
          <w:rFonts w:ascii="Narkisim" w:hAnsi="Narkisim"/>
          <w:rtl/>
        </w:rPr>
        <w:t>, וכן מיתת בי"ד ובנין ביהמ"ק דהגמ' מדמה לעדל"ת.</w:t>
      </w:r>
    </w:p>
    <w:p w14:paraId="42E750B6"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w:t>
      </w:r>
      <w:r w:rsidRPr="00012502">
        <w:rPr>
          <w:rFonts w:ascii="Narkisim" w:hAnsi="Narkisim"/>
          <w:szCs w:val="20"/>
          <w:rtl/>
        </w:rPr>
        <w:t>(</w:t>
      </w:r>
      <w:r w:rsidRPr="00012502">
        <w:rPr>
          <w:rFonts w:ascii="Narkisim" w:hAnsi="Narkisim"/>
          <w:sz w:val="20"/>
          <w:szCs w:val="20"/>
          <w:rtl/>
        </w:rPr>
        <w:t xml:space="preserve">קוב"ש ב"ב כא, </w:t>
      </w:r>
      <w:r w:rsidRPr="00012502">
        <w:rPr>
          <w:rFonts w:ascii="Narkisim" w:hAnsi="Narkisim"/>
          <w:b/>
          <w:bCs/>
          <w:sz w:val="20"/>
          <w:szCs w:val="20"/>
          <w:rtl/>
        </w:rPr>
        <w:t>קה"י</w:t>
      </w:r>
      <w:r w:rsidRPr="00012502">
        <w:rPr>
          <w:rFonts w:ascii="Narkisim" w:hAnsi="Narkisim"/>
          <w:sz w:val="20"/>
          <w:szCs w:val="20"/>
          <w:rtl/>
        </w:rPr>
        <w:t xml:space="preserve"> ה)</w:t>
      </w:r>
      <w:r w:rsidRPr="00012502">
        <w:rPr>
          <w:rFonts w:ascii="Narkisim" w:hAnsi="Narkisim"/>
          <w:rtl/>
        </w:rPr>
        <w:t xml:space="preserve"> תי' דדעת תוס' דמצוות בנין ביהמ"ק אינו מעשה הבנין, אלא שיהא בנוי. ובזה לא אפשר למחר. דמה שבונה למחר הוה קיום חדש, ולא מהני שהיום יהא בנוי. </w:t>
      </w:r>
      <w:r w:rsidRPr="00012502">
        <w:rPr>
          <w:rFonts w:ascii="Narkisim" w:hAnsi="Narkisim"/>
          <w:sz w:val="20"/>
          <w:szCs w:val="20"/>
          <w:rtl/>
        </w:rPr>
        <w:t>ועוד כתבו ה</w:t>
      </w:r>
      <w:r w:rsidRPr="00012502">
        <w:rPr>
          <w:rFonts w:ascii="Narkisim" w:hAnsi="Narkisim"/>
          <w:b/>
          <w:bCs/>
          <w:sz w:val="20"/>
          <w:szCs w:val="20"/>
          <w:rtl/>
        </w:rPr>
        <w:t>אחרונים</w:t>
      </w:r>
      <w:r w:rsidRPr="00012502">
        <w:rPr>
          <w:rFonts w:ascii="Narkisim" w:hAnsi="Narkisim"/>
          <w:sz w:val="20"/>
          <w:szCs w:val="20"/>
          <w:rtl/>
        </w:rPr>
        <w:t xml:space="preserve"> דיש מצווה לבנות משום קרבנות דהיום, ובזה לא מהני למחר.</w:t>
      </w:r>
    </w:p>
    <w:p w14:paraId="3F103474" w14:textId="77777777" w:rsidR="00BE1D1C" w:rsidRPr="00012502" w:rsidRDefault="00000000" w:rsidP="00012502">
      <w:pPr>
        <w:bidi/>
        <w:rPr>
          <w:rFonts w:ascii="Narkisim" w:hAnsi="Narkisim" w:cs="Narkisim"/>
        </w:rPr>
      </w:pPr>
      <w:r w:rsidRPr="00012502">
        <w:rPr>
          <w:rFonts w:ascii="Narkisim" w:hAnsi="Narkisim" w:cs="Narkisim"/>
          <w:u w:val="single"/>
          <w:rtl/>
        </w:rPr>
        <w:t>שכן נכרתו עליה י"ג בריתות.</w:t>
      </w:r>
      <w:r w:rsidRPr="00012502">
        <w:rPr>
          <w:rFonts w:ascii="Narkisim" w:hAnsi="Narkisim" w:cs="Narkisim"/>
          <w:rtl/>
        </w:rPr>
        <w:t xml:space="preserve"> ה</w:t>
      </w:r>
      <w:r w:rsidRPr="00012502">
        <w:rPr>
          <w:rFonts w:ascii="Narkisim" w:hAnsi="Narkisim" w:cs="Narkisim"/>
          <w:b/>
          <w:bCs/>
          <w:rtl/>
        </w:rPr>
        <w:t>ריטב"א</w:t>
      </w:r>
      <w:r w:rsidRPr="00012502">
        <w:rPr>
          <w:rFonts w:ascii="Narkisim" w:hAnsi="Narkisim" w:cs="Narkisim"/>
          <w:rtl/>
        </w:rPr>
        <w:t xml:space="preserve"> כתב דהוה כאילו יש לו כמה מצוות עשה.</w:t>
      </w:r>
      <w:r w:rsidRPr="00012502">
        <w:rPr>
          <w:rFonts w:ascii="Narkisim" w:hAnsi="Narkisim" w:cs="Narkisim"/>
          <w:sz w:val="20"/>
          <w:szCs w:val="20"/>
          <w:rtl/>
        </w:rPr>
        <w:t xml:space="preserve"> ומשמע דיש סברא דע"י כמה מצוות דוחה יותר</w:t>
      </w:r>
      <w:r w:rsidRPr="00012502">
        <w:rPr>
          <w:rStyle w:val="ac"/>
          <w:rFonts w:ascii="Narkisim" w:hAnsi="Narkisim" w:cs="Narkisim"/>
          <w:sz w:val="20"/>
          <w:szCs w:val="20"/>
          <w:rtl/>
        </w:rPr>
        <w:footnoteReference w:id="262"/>
      </w:r>
      <w:r w:rsidRPr="00012502">
        <w:rPr>
          <w:rFonts w:ascii="Narkisim" w:hAnsi="Narkisim" w:cs="Narkisim"/>
          <w:sz w:val="20"/>
          <w:szCs w:val="20"/>
          <w:rtl/>
        </w:rPr>
        <w:t>. וה</w:t>
      </w:r>
      <w:r w:rsidRPr="00012502">
        <w:rPr>
          <w:rFonts w:ascii="Narkisim" w:hAnsi="Narkisim" w:cs="Narkisim"/>
          <w:b/>
          <w:bCs/>
          <w:sz w:val="20"/>
          <w:szCs w:val="20"/>
          <w:rtl/>
        </w:rPr>
        <w:t>ריטב"א ישנים</w:t>
      </w:r>
      <w:r w:rsidRPr="00012502">
        <w:rPr>
          <w:rFonts w:ascii="Narkisim" w:hAnsi="Narkisim" w:cs="Narkisim"/>
          <w:sz w:val="20"/>
          <w:szCs w:val="20"/>
          <w:rtl/>
        </w:rPr>
        <w:t xml:space="preserve"> (ב"מ לא.) כתב דב' מצוות עשה דוחים ל"ת ועשה.</w:t>
      </w:r>
    </w:p>
    <w:p w14:paraId="6BB913EA" w14:textId="77777777" w:rsidR="00BE1D1C" w:rsidRPr="00012502" w:rsidRDefault="00000000" w:rsidP="00012502">
      <w:pPr>
        <w:bidi/>
        <w:rPr>
          <w:rFonts w:ascii="Narkisim" w:hAnsi="Narkisim" w:cs="Narkisim"/>
        </w:rPr>
      </w:pPr>
      <w:r w:rsidRPr="00012502">
        <w:rPr>
          <w:rFonts w:ascii="Narkisim" w:hAnsi="Narkisim" w:cs="Narkisim"/>
          <w:u w:val="single"/>
          <w:rtl/>
        </w:rPr>
        <w:t>מתמיד וכו'.</w:t>
      </w:r>
      <w:r w:rsidRPr="00012502">
        <w:rPr>
          <w:rFonts w:ascii="Narkisim" w:hAnsi="Narkisim" w:cs="Narkisim"/>
          <w:rtl/>
        </w:rPr>
        <w:t xml:space="preserve"> ה</w:t>
      </w:r>
      <w:r w:rsidRPr="00012502">
        <w:rPr>
          <w:rFonts w:ascii="Narkisim" w:hAnsi="Narkisim" w:cs="Narkisim"/>
          <w:b/>
          <w:bCs/>
          <w:rtl/>
        </w:rPr>
        <w:t>בית הלוי</w:t>
      </w:r>
      <w:r w:rsidRPr="00012502">
        <w:rPr>
          <w:rFonts w:ascii="Narkisim" w:hAnsi="Narkisim" w:cs="Narkisim"/>
          <w:rtl/>
        </w:rPr>
        <w:t xml:space="preserve"> (א לח ג) הקשה דמבואר בגמ' (יומא מו:) דשבת הותרה אצל קרבנות ציבור. וכמו דהותרה מלאכת אוכל נפש ביו"ט, והיאך אפשר ללמוד ממנו לשאר איסורין שיהא עשה דוחה ל"ת.</w:t>
      </w:r>
    </w:p>
    <w:p w14:paraId="363DE6AE" w14:textId="77777777" w:rsidR="00BE1D1C" w:rsidRPr="00012502" w:rsidRDefault="00000000" w:rsidP="00012502">
      <w:pPr>
        <w:pStyle w:val="a7"/>
        <w:bidi/>
        <w:rPr>
          <w:rFonts w:ascii="Narkisim" w:hAnsi="Narkisim"/>
        </w:rPr>
      </w:pPr>
      <w:r w:rsidRPr="00012502">
        <w:rPr>
          <w:rFonts w:ascii="Narkisim" w:hAnsi="Narkisim"/>
          <w:rtl/>
        </w:rPr>
        <w:t>וכתב דהטעם דאמרי' דהותרה הוא משום דמצוותו בכך וא"א בענין אחר. א"כ י"ל דה"מ בשחיטה דמצוותו ביום, ואילו הכא קאי בהקרבה דאפשר למוצ"ש, אלא משום חביבה מצוה בשעתה. ומש"ה הוה דחויה. וה</w:t>
      </w:r>
      <w:r w:rsidRPr="00012502">
        <w:rPr>
          <w:rFonts w:ascii="Narkisim" w:hAnsi="Narkisim"/>
          <w:b/>
          <w:bCs/>
          <w:rtl/>
        </w:rPr>
        <w:t>מצפ"א</w:t>
      </w:r>
      <w:r w:rsidRPr="00012502">
        <w:rPr>
          <w:rFonts w:ascii="Narkisim" w:hAnsi="Narkisim"/>
          <w:rtl/>
        </w:rPr>
        <w:t xml:space="preserve"> כת' דנח' בזה הסוגיות, וסוגיין ס"ל דשבת דחויה אצל עבודה</w:t>
      </w:r>
      <w:r w:rsidRPr="00012502">
        <w:rPr>
          <w:rStyle w:val="ac"/>
          <w:rFonts w:ascii="Narkisim" w:hAnsi="Narkisim"/>
          <w:rtl/>
        </w:rPr>
        <w:footnoteReference w:id="263"/>
      </w:r>
      <w:r w:rsidRPr="00012502">
        <w:rPr>
          <w:rFonts w:ascii="Narkisim" w:hAnsi="Narkisim"/>
          <w:rtl/>
        </w:rPr>
        <w:t xml:space="preserve">. </w:t>
      </w:r>
      <w:r w:rsidRPr="00012502">
        <w:rPr>
          <w:rFonts w:ascii="Narkisim" w:hAnsi="Narkisim"/>
          <w:szCs w:val="20"/>
          <w:rtl/>
        </w:rPr>
        <w:t>[וה</w:t>
      </w:r>
      <w:r w:rsidRPr="00012502">
        <w:rPr>
          <w:rFonts w:ascii="Narkisim" w:hAnsi="Narkisim"/>
          <w:b/>
          <w:bCs/>
          <w:szCs w:val="20"/>
          <w:rtl/>
        </w:rPr>
        <w:t>מצפ"א</w:t>
      </w:r>
      <w:r w:rsidRPr="00012502">
        <w:rPr>
          <w:rFonts w:ascii="Narkisim" w:hAnsi="Narkisim"/>
          <w:szCs w:val="20"/>
          <w:rtl/>
        </w:rPr>
        <w:t xml:space="preserve"> הביא דה</w:t>
      </w:r>
      <w:r w:rsidRPr="00012502">
        <w:rPr>
          <w:rFonts w:ascii="Narkisim" w:hAnsi="Narkisim"/>
          <w:b/>
          <w:bCs/>
          <w:szCs w:val="20"/>
          <w:rtl/>
        </w:rPr>
        <w:t>שעה"מ</w:t>
      </w:r>
      <w:r w:rsidRPr="00012502">
        <w:rPr>
          <w:rFonts w:ascii="Narkisim" w:hAnsi="Narkisim"/>
          <w:szCs w:val="20"/>
          <w:rtl/>
        </w:rPr>
        <w:t xml:space="preserve"> (ע"ז ו) דן האם מילה נחשב הותרה בשבת או דחויה]</w:t>
      </w:r>
      <w:r w:rsidRPr="00012502">
        <w:rPr>
          <w:rFonts w:ascii="Narkisim" w:hAnsi="Narkisim"/>
          <w:rtl/>
        </w:rPr>
        <w:t>.</w:t>
      </w:r>
    </w:p>
    <w:p w14:paraId="7FC75F9F"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מה למילה שכן כרת</w:t>
      </w:r>
      <w:r w:rsidRPr="00012502">
        <w:rPr>
          <w:rStyle w:val="ac"/>
          <w:rFonts w:ascii="Narkisim" w:hAnsi="Narkisim" w:cs="Narkisim"/>
          <w:rtl/>
        </w:rPr>
        <w:footnoteReference w:id="264"/>
      </w:r>
      <w:r w:rsidRPr="00012502">
        <w:rPr>
          <w:rFonts w:ascii="Narkisim" w:hAnsi="Narkisim" w:cs="Narkisim"/>
          <w:rtl/>
        </w:rPr>
        <w:t>. ה</w:t>
      </w:r>
      <w:r w:rsidRPr="00012502">
        <w:rPr>
          <w:rFonts w:ascii="Narkisim" w:hAnsi="Narkisim" w:cs="Narkisim"/>
          <w:b/>
          <w:bCs/>
          <w:rtl/>
        </w:rPr>
        <w:t>ריטב"א</w:t>
      </w:r>
      <w:r w:rsidRPr="00012502">
        <w:rPr>
          <w:rFonts w:ascii="Narkisim" w:hAnsi="Narkisim" w:cs="Narkisim"/>
          <w:rtl/>
        </w:rPr>
        <w:t xml:space="preserve"> הקשה דבמילה בזמנה אין כרת. ומילה שלא בזמנה לא דחי שבת</w:t>
      </w:r>
      <w:r w:rsidRPr="00012502">
        <w:rPr>
          <w:rStyle w:val="ac"/>
          <w:rFonts w:ascii="Narkisim" w:hAnsi="Narkisim" w:cs="Narkisim"/>
          <w:rtl/>
        </w:rPr>
        <w:footnoteReference w:id="265"/>
      </w:r>
      <w:r w:rsidRPr="00012502">
        <w:rPr>
          <w:rFonts w:ascii="Narkisim" w:hAnsi="Narkisim" w:cs="Narkisim"/>
          <w:rtl/>
        </w:rPr>
        <w:t xml:space="preserve">. ותי' דמ"מ יש כרת במצוות זו לגבי גדול. </w:t>
      </w:r>
      <w:r w:rsidRPr="00012502">
        <w:rPr>
          <w:rFonts w:ascii="Narkisim" w:hAnsi="Narkisim" w:cs="Narkisim"/>
          <w:sz w:val="20"/>
          <w:szCs w:val="20"/>
          <w:rtl/>
        </w:rPr>
        <w:t>וב</w:t>
      </w:r>
      <w:r w:rsidRPr="00012502">
        <w:rPr>
          <w:rFonts w:ascii="Narkisim" w:hAnsi="Narkisim" w:cs="Narkisim"/>
          <w:b/>
          <w:bCs/>
          <w:sz w:val="20"/>
          <w:szCs w:val="20"/>
          <w:rtl/>
        </w:rPr>
        <w:t>תוס' מהר"ם ור"פ</w:t>
      </w:r>
      <w:r w:rsidRPr="00012502">
        <w:rPr>
          <w:rFonts w:ascii="Narkisim" w:hAnsi="Narkisim" w:cs="Narkisim"/>
          <w:sz w:val="20"/>
          <w:szCs w:val="20"/>
          <w:rtl/>
        </w:rPr>
        <w:t xml:space="preserve"> כת' דהגמ' מתחילה לא הקשה משום כך, דהוה פירכא כל דהוא, ורק בצד השוה דוחה כן.</w:t>
      </w:r>
    </w:p>
    <w:p w14:paraId="1EAC62BB" w14:textId="77777777" w:rsidR="00BE1D1C" w:rsidRPr="00012502" w:rsidRDefault="00000000" w:rsidP="00012502">
      <w:pPr>
        <w:bidi/>
        <w:rPr>
          <w:rFonts w:ascii="Narkisim" w:hAnsi="Narkisim" w:cs="Narkisim"/>
        </w:rPr>
      </w:pPr>
      <w:r w:rsidRPr="00012502">
        <w:rPr>
          <w:rFonts w:ascii="Narkisim" w:hAnsi="Narkisim" w:cs="Narkisim"/>
          <w:u w:val="single"/>
          <w:rtl/>
        </w:rPr>
        <w:t>ישנו לפני הדיבור.</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(ד"ה שכן) משא"כ ביבום דליתא לכל הני. וה</w:t>
      </w:r>
      <w:r w:rsidRPr="00012502">
        <w:rPr>
          <w:rFonts w:ascii="Narkisim" w:hAnsi="Narkisim" w:cs="Narkisim"/>
          <w:b/>
          <w:bCs/>
          <w:rtl/>
        </w:rPr>
        <w:t>ריטב"א</w:t>
      </w:r>
      <w:r w:rsidRPr="00012502">
        <w:rPr>
          <w:rFonts w:ascii="Narkisim" w:hAnsi="Narkisim" w:cs="Narkisim"/>
          <w:rtl/>
        </w:rPr>
        <w:t xml:space="preserve"> הק'</w:t>
      </w:r>
      <w:r w:rsidRPr="00012502">
        <w:rPr>
          <w:rFonts w:ascii="Narkisim" w:hAnsi="Narkisim" w:cs="Narkisim"/>
          <w:b/>
          <w:bCs/>
          <w:rtl/>
        </w:rPr>
        <w:t xml:space="preserve"> </w:t>
      </w:r>
      <w:r w:rsidRPr="00012502">
        <w:rPr>
          <w:rFonts w:ascii="Narkisim" w:hAnsi="Narkisim" w:cs="Narkisim"/>
          <w:rtl/>
        </w:rPr>
        <w:t xml:space="preserve">דיבום נהג אצל יהודה [לפני מתן תורה. ותי' דלאו בתורת מצוה היא אלא כדרך שקיים אברהם עירוב תבשילין. </w:t>
      </w:r>
      <w:r w:rsidRPr="00012502">
        <w:rPr>
          <w:rFonts w:ascii="Narkisim" w:hAnsi="Narkisim" w:cs="Narkisim"/>
          <w:sz w:val="20"/>
          <w:szCs w:val="20"/>
          <w:rtl/>
        </w:rPr>
        <w:t>אבל ב</w:t>
      </w:r>
      <w:r w:rsidRPr="00012502">
        <w:rPr>
          <w:rFonts w:ascii="Narkisim" w:hAnsi="Narkisim" w:cs="Narkisim"/>
          <w:b/>
          <w:bCs/>
          <w:sz w:val="20"/>
          <w:szCs w:val="20"/>
          <w:rtl/>
        </w:rPr>
        <w:t>מהרי"ץ חיות</w:t>
      </w:r>
      <w:r w:rsidRPr="00012502">
        <w:rPr>
          <w:rFonts w:ascii="Narkisim" w:hAnsi="Narkisim" w:cs="Narkisim"/>
          <w:sz w:val="20"/>
          <w:szCs w:val="20"/>
          <w:rtl/>
        </w:rPr>
        <w:t xml:space="preserve"> הביא מהמדרש [</w:t>
      </w:r>
      <w:r w:rsidRPr="00012502">
        <w:rPr>
          <w:rFonts w:ascii="Narkisim" w:hAnsi="Narkisim" w:cs="Narkisim"/>
          <w:b/>
          <w:bCs/>
          <w:sz w:val="20"/>
          <w:szCs w:val="20"/>
          <w:rtl/>
        </w:rPr>
        <w:t>ילקוט</w:t>
      </w:r>
      <w:r w:rsidRPr="00012502">
        <w:rPr>
          <w:rFonts w:ascii="Narkisim" w:hAnsi="Narkisim" w:cs="Narkisim"/>
          <w:sz w:val="20"/>
          <w:szCs w:val="20"/>
          <w:rtl/>
        </w:rPr>
        <w:t xml:space="preserve"> משלי] דאברהם נצטווה על המילה וכו' ויהודה על היבום</w:t>
      </w:r>
      <w:r w:rsidRPr="00012502">
        <w:rPr>
          <w:rStyle w:val="ac"/>
          <w:rFonts w:ascii="Narkisim" w:hAnsi="Narkisim" w:cs="Narkisim"/>
          <w:sz w:val="20"/>
          <w:szCs w:val="20"/>
          <w:rtl/>
        </w:rPr>
        <w:footnoteReference w:id="266"/>
      </w:r>
      <w:r w:rsidRPr="00012502">
        <w:rPr>
          <w:rFonts w:ascii="Narkisim" w:hAnsi="Narkisim" w:cs="Narkisim"/>
          <w:sz w:val="20"/>
          <w:szCs w:val="20"/>
          <w:rtl/>
        </w:rPr>
        <w:t>. והקשה ע"ז מסוגיין. עי"ש.</w:t>
      </w:r>
    </w:p>
    <w:p w14:paraId="56545F19"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שאג"א</w:t>
      </w:r>
      <w:r w:rsidRPr="00012502">
        <w:rPr>
          <w:rFonts w:ascii="Narkisim" w:hAnsi="Narkisim" w:cs="Narkisim"/>
          <w:rtl/>
        </w:rPr>
        <w:t xml:space="preserve"> </w:t>
      </w:r>
      <w:r w:rsidRPr="00012502">
        <w:rPr>
          <w:rFonts w:ascii="Narkisim" w:hAnsi="Narkisim" w:cs="Narkisim"/>
          <w:sz w:val="20"/>
          <w:szCs w:val="20"/>
          <w:rtl/>
        </w:rPr>
        <w:t xml:space="preserve">(צו) </w:t>
      </w:r>
      <w:r w:rsidRPr="00012502">
        <w:rPr>
          <w:rFonts w:ascii="Narkisim" w:hAnsi="Narkisim" w:cs="Narkisim"/>
          <w:rtl/>
        </w:rPr>
        <w:t>הק' דב</w:t>
      </w:r>
      <w:r w:rsidRPr="00012502">
        <w:rPr>
          <w:rFonts w:ascii="Narkisim" w:hAnsi="Narkisim" w:cs="Narkisim"/>
          <w:b/>
          <w:bCs/>
          <w:rtl/>
        </w:rPr>
        <w:t>ירושלמי</w:t>
      </w:r>
      <w:r w:rsidRPr="00012502">
        <w:rPr>
          <w:rFonts w:ascii="Narkisim" w:hAnsi="Narkisim" w:cs="Narkisim"/>
          <w:rtl/>
        </w:rPr>
        <w:t xml:space="preserve"> </w:t>
      </w:r>
      <w:r w:rsidRPr="00012502">
        <w:rPr>
          <w:rFonts w:ascii="Narkisim" w:hAnsi="Narkisim" w:cs="Narkisim"/>
          <w:sz w:val="20"/>
          <w:szCs w:val="20"/>
          <w:rtl/>
        </w:rPr>
        <w:t>(הו' ב</w:t>
      </w:r>
      <w:r w:rsidRPr="00012502">
        <w:rPr>
          <w:rFonts w:ascii="Narkisim" w:hAnsi="Narkisim" w:cs="Narkisim"/>
          <w:b/>
          <w:bCs/>
          <w:sz w:val="20"/>
          <w:szCs w:val="20"/>
          <w:rtl/>
        </w:rPr>
        <w:t>תוס'</w:t>
      </w:r>
      <w:r w:rsidRPr="00012502">
        <w:rPr>
          <w:rFonts w:ascii="Narkisim" w:hAnsi="Narkisim" w:cs="Narkisim"/>
          <w:sz w:val="20"/>
          <w:szCs w:val="20"/>
          <w:rtl/>
        </w:rPr>
        <w:t xml:space="preserve"> קידושין לח.)</w:t>
      </w:r>
      <w:r w:rsidRPr="00012502">
        <w:rPr>
          <w:rFonts w:ascii="Narkisim" w:hAnsi="Narkisim" w:cs="Narkisim"/>
          <w:rtl/>
        </w:rPr>
        <w:t xml:space="preserve"> איתא דאין עשה שקודם הדיבור דוחה ל"ת דאחר הדיבור</w:t>
      </w:r>
      <w:r w:rsidRPr="00012502">
        <w:rPr>
          <w:rStyle w:val="ac"/>
          <w:rFonts w:ascii="Narkisim" w:hAnsi="Narkisim" w:cs="Narkisim"/>
          <w:rtl/>
        </w:rPr>
        <w:footnoteReference w:id="267"/>
      </w:r>
      <w:r w:rsidRPr="00012502">
        <w:rPr>
          <w:rFonts w:ascii="Narkisim" w:hAnsi="Narkisim" w:cs="Narkisim"/>
          <w:rtl/>
        </w:rPr>
        <w:t>. ומבואר דאחר הדיבור אלים.</w:t>
      </w:r>
      <w:r w:rsidRPr="00012502">
        <w:rPr>
          <w:rFonts w:ascii="Narkisim" w:hAnsi="Narkisim" w:cs="Narkisim"/>
          <w:sz w:val="20"/>
          <w:szCs w:val="20"/>
          <w:rtl/>
        </w:rPr>
        <w:t xml:space="preserve"> וכתב דהכא נשנית שוב אחר הדיבור</w:t>
      </w:r>
      <w:r w:rsidRPr="00012502">
        <w:rPr>
          <w:rStyle w:val="ac"/>
          <w:rFonts w:ascii="Narkisim" w:hAnsi="Narkisim" w:cs="Narkisim"/>
          <w:sz w:val="20"/>
          <w:szCs w:val="20"/>
          <w:rtl/>
        </w:rPr>
        <w:footnoteReference w:id="268"/>
      </w:r>
      <w:r w:rsidRPr="00012502">
        <w:rPr>
          <w:rFonts w:ascii="Narkisim" w:hAnsi="Narkisim" w:cs="Narkisim"/>
          <w:sz w:val="20"/>
          <w:szCs w:val="20"/>
          <w:rtl/>
        </w:rPr>
        <w:t>. וכ"כ ה</w:t>
      </w:r>
      <w:r w:rsidRPr="00012502">
        <w:rPr>
          <w:rFonts w:ascii="Narkisim" w:hAnsi="Narkisim" w:cs="Narkisim"/>
          <w:b/>
          <w:bCs/>
          <w:sz w:val="20"/>
          <w:szCs w:val="20"/>
          <w:rtl/>
        </w:rPr>
        <w:t>פנ"י</w:t>
      </w:r>
      <w:r w:rsidRPr="00012502">
        <w:rPr>
          <w:rFonts w:ascii="Narkisim" w:hAnsi="Narkisim" w:cs="Narkisim"/>
          <w:sz w:val="20"/>
          <w:szCs w:val="20"/>
          <w:rtl/>
        </w:rPr>
        <w:t xml:space="preserve"> (קידושין שם) דבהני נהי דיש עשה קודם הדיבור, יש ג"כ עשה אח"כ.</w:t>
      </w:r>
    </w:p>
    <w:p w14:paraId="7DD120A3" w14:textId="77777777" w:rsidR="00BE1D1C" w:rsidRPr="00012502" w:rsidRDefault="00000000" w:rsidP="00012502">
      <w:pPr>
        <w:pStyle w:val="aa"/>
        <w:bidi/>
        <w:rPr>
          <w:rFonts w:ascii="Narkisim" w:hAnsi="Narkisim"/>
        </w:rPr>
      </w:pPr>
      <w:r w:rsidRPr="00012502">
        <w:rPr>
          <w:rFonts w:ascii="Narkisim" w:hAnsi="Narkisim"/>
          <w:u w:val="single"/>
          <w:rtl/>
        </w:rPr>
        <w:t>ואליבא דמ"ד עולה שהקריבו וכו' עולת תמיד הוה</w:t>
      </w:r>
      <w:r w:rsidRPr="00012502">
        <w:rPr>
          <w:rFonts w:ascii="Narkisim" w:hAnsi="Narkisim"/>
          <w:rtl/>
        </w:rPr>
        <w:t>. ו</w:t>
      </w:r>
      <w:r w:rsidRPr="00012502">
        <w:rPr>
          <w:rFonts w:ascii="Narkisim" w:hAnsi="Narkisim"/>
          <w:b/>
          <w:bCs/>
          <w:rtl/>
        </w:rPr>
        <w:t>תוס'</w:t>
      </w:r>
      <w:r w:rsidRPr="00012502">
        <w:rPr>
          <w:rFonts w:ascii="Narkisim" w:hAnsi="Narkisim"/>
          <w:rtl/>
        </w:rPr>
        <w:t xml:space="preserve"> (ד"ה ומכולהו) כת' דהש"ס לא חש לדקדק ליישב למ"ד דבמדבר היה עולת ראייה. [ותמיד לא היה לפני הדיבור, א"כ שפיר יש ללמוד מתמיד].</w:t>
      </w:r>
    </w:p>
    <w:p w14:paraId="5ADE1642"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גר"א</w:t>
      </w:r>
      <w:r w:rsidRPr="00012502">
        <w:rPr>
          <w:rFonts w:ascii="Narkisim" w:hAnsi="Narkisim"/>
          <w:rtl/>
        </w:rPr>
        <w:t xml:space="preserve"> (עה"ג) כת' דבגמ' (חגיגה ו.) מבואר דבית הלל ס"ל דעולת תמיד היה, ובי"ש ס"ל דעולת חגיגה היה</w:t>
      </w:r>
      <w:r w:rsidRPr="00012502">
        <w:rPr>
          <w:rStyle w:val="ac"/>
          <w:rFonts w:ascii="Narkisim" w:hAnsi="Narkisim"/>
          <w:rtl/>
        </w:rPr>
        <w:footnoteReference w:id="269"/>
      </w:r>
      <w:r w:rsidRPr="00012502">
        <w:rPr>
          <w:rFonts w:ascii="Narkisim" w:hAnsi="Narkisim"/>
          <w:rtl/>
        </w:rPr>
        <w:t>. ואילו דעת בי"ש (לקמן יג.) דליכא פטור צרה. ומש"ה ברייתא דידן [לעיל ג: דפוטרין צרות] ע"כ כבי"ה.</w:t>
      </w:r>
    </w:p>
    <w:p w14:paraId="1508C45C" w14:textId="77777777" w:rsidR="00BE1D1C" w:rsidRPr="00012502" w:rsidRDefault="00000000" w:rsidP="00012502">
      <w:pPr>
        <w:pStyle w:val="aa"/>
        <w:bidi/>
        <w:rPr>
          <w:rFonts w:ascii="Narkisim" w:hAnsi="Narkisim"/>
        </w:rPr>
      </w:pPr>
      <w:r w:rsidRPr="00012502">
        <w:rPr>
          <w:rFonts w:ascii="Narkisim" w:hAnsi="Narkisim"/>
          <w:u w:val="single"/>
          <w:rtl/>
        </w:rPr>
        <w:t>תוד"ה ומכולהו.</w:t>
      </w:r>
      <w:r w:rsidRPr="00012502">
        <w:rPr>
          <w:rFonts w:ascii="Narkisim" w:hAnsi="Narkisim"/>
          <w:rtl/>
        </w:rPr>
        <w:t xml:space="preserve"> ואור"י דחשיבי תדיר, כיון דהוי בכל שנה</w:t>
      </w:r>
      <w:r w:rsidRPr="00012502">
        <w:rPr>
          <w:rStyle w:val="ac"/>
          <w:rFonts w:ascii="Narkisim" w:hAnsi="Narkisim"/>
          <w:rtl/>
        </w:rPr>
        <w:footnoteReference w:id="270"/>
      </w:r>
      <w:r w:rsidRPr="00012502">
        <w:rPr>
          <w:rFonts w:ascii="Narkisim" w:hAnsi="Narkisim"/>
          <w:rtl/>
        </w:rPr>
        <w:t>. ה</w:t>
      </w:r>
      <w:r w:rsidRPr="00012502">
        <w:rPr>
          <w:rFonts w:ascii="Narkisim" w:hAnsi="Narkisim"/>
          <w:b/>
          <w:bCs/>
          <w:rtl/>
        </w:rPr>
        <w:t xml:space="preserve">תה"ד </w:t>
      </w:r>
      <w:r w:rsidRPr="00012502">
        <w:rPr>
          <w:rFonts w:ascii="Narkisim" w:hAnsi="Narkisim"/>
          <w:rtl/>
        </w:rPr>
        <w:t>(רסו) הביא מכאן דכל דבר שזמנו קבוע נחשב תדיר</w:t>
      </w:r>
      <w:r w:rsidRPr="00012502">
        <w:rPr>
          <w:rStyle w:val="ac"/>
          <w:rFonts w:ascii="Narkisim" w:hAnsi="Narkisim"/>
          <w:rtl/>
        </w:rPr>
        <w:footnoteReference w:id="271"/>
      </w:r>
      <w:r w:rsidRPr="00012502">
        <w:rPr>
          <w:rFonts w:ascii="Narkisim" w:hAnsi="Narkisim"/>
          <w:rtl/>
        </w:rPr>
        <w:t>.</w:t>
      </w:r>
    </w:p>
    <w:p w14:paraId="0C61C3DC" w14:textId="77777777" w:rsidR="00BE1D1C" w:rsidRPr="00012502" w:rsidRDefault="00000000" w:rsidP="00012502">
      <w:pPr>
        <w:bidi/>
        <w:rPr>
          <w:rFonts w:ascii="Narkisim" w:hAnsi="Narkisim" w:cs="Narkisim"/>
        </w:rPr>
      </w:pPr>
      <w:r w:rsidRPr="00012502">
        <w:rPr>
          <w:rFonts w:ascii="Narkisim" w:hAnsi="Narkisim" w:cs="Narkisim"/>
          <w:u w:val="single"/>
          <w:rtl/>
        </w:rPr>
        <w:t>תוד"ה כולכם.</w:t>
      </w:r>
      <w:r w:rsidRPr="00012502">
        <w:rPr>
          <w:rFonts w:ascii="Narkisim" w:hAnsi="Narkisim" w:cs="Narkisim"/>
          <w:rtl/>
        </w:rPr>
        <w:t xml:space="preserve"> וא"ת ול"ל קרא וכו' שהוא ואביו מוזהרין וכו'. [וע"ד הא דאי' קידושין לא.]. וה</w:t>
      </w:r>
      <w:r w:rsidRPr="00012502">
        <w:rPr>
          <w:rFonts w:ascii="Narkisim" w:hAnsi="Narkisim" w:cs="Narkisim"/>
          <w:b/>
          <w:bCs/>
          <w:rtl/>
        </w:rPr>
        <w:t>תוס' הרא"ש</w:t>
      </w:r>
      <w:r w:rsidRPr="00012502">
        <w:rPr>
          <w:rFonts w:ascii="Narkisim" w:hAnsi="Narkisim" w:cs="Narkisim"/>
          <w:rtl/>
        </w:rPr>
        <w:t xml:space="preserve"> תי' דהאב אינו מצווה על חילול שבת של בנו, וכן באבידה איירי דהאב זקן ואינו לפי כבודו. ובזה ל"ש סברת כולכם חייבים בכבודי דהאב אינו מצווה. </w:t>
      </w:r>
      <w:r w:rsidRPr="00012502">
        <w:rPr>
          <w:rFonts w:ascii="Narkisim" w:hAnsi="Narkisim" w:cs="Narkisim"/>
          <w:sz w:val="20"/>
          <w:szCs w:val="20"/>
          <w:rtl/>
        </w:rPr>
        <w:t>וה</w:t>
      </w:r>
      <w:r w:rsidRPr="00012502">
        <w:rPr>
          <w:rFonts w:ascii="Narkisim" w:hAnsi="Narkisim" w:cs="Narkisim"/>
          <w:b/>
          <w:bCs/>
          <w:sz w:val="20"/>
          <w:szCs w:val="20"/>
          <w:rtl/>
        </w:rPr>
        <w:t xml:space="preserve">פתח"ת </w:t>
      </w:r>
      <w:r w:rsidRPr="00012502">
        <w:rPr>
          <w:rFonts w:ascii="Narkisim" w:hAnsi="Narkisim" w:cs="Narkisim"/>
          <w:sz w:val="20"/>
          <w:szCs w:val="20"/>
          <w:rtl/>
        </w:rPr>
        <w:t>(רמ ט) נסתפק האם אף במלאכה שאין האשה חייבת לבעלה אמרי' שיעשה כיבוד האב.</w:t>
      </w:r>
      <w:r w:rsidRPr="00012502">
        <w:rPr>
          <w:rFonts w:ascii="Narkisim" w:hAnsi="Narkisim" w:cs="Narkisim"/>
          <w:rtl/>
        </w:rPr>
        <w:t xml:space="preserve"> [וה</w:t>
      </w:r>
      <w:r w:rsidRPr="00012502">
        <w:rPr>
          <w:rFonts w:ascii="Narkisim" w:hAnsi="Narkisim" w:cs="Narkisim"/>
          <w:b/>
          <w:bCs/>
          <w:rtl/>
        </w:rPr>
        <w:t>אחרונים</w:t>
      </w:r>
      <w:r w:rsidRPr="00012502">
        <w:rPr>
          <w:rFonts w:ascii="Narkisim" w:hAnsi="Narkisim" w:cs="Narkisim"/>
          <w:rtl/>
        </w:rPr>
        <w:t xml:space="preserve"> דנו האם סברת 'כולכם חייבים בכבודי' הוא סברא דמצוה זו אלים [בכ"ש], או דבכלל כיבוד האב שיעשה המצוה].</w:t>
      </w:r>
    </w:p>
    <w:p w14:paraId="1DA37882" w14:textId="77777777" w:rsidR="00BE1D1C" w:rsidRPr="00012502" w:rsidRDefault="00000000" w:rsidP="00012502">
      <w:pPr>
        <w:pStyle w:val="a7"/>
        <w:bidi/>
        <w:rPr>
          <w:rFonts w:ascii="Narkisim" w:hAnsi="Narkisim"/>
        </w:rPr>
      </w:pPr>
      <w:r w:rsidRPr="00012502">
        <w:rPr>
          <w:rFonts w:ascii="Narkisim" w:hAnsi="Narkisim"/>
          <w:rtl/>
        </w:rPr>
        <w:t>וב</w:t>
      </w:r>
      <w:r w:rsidRPr="00012502">
        <w:rPr>
          <w:rFonts w:ascii="Narkisim" w:hAnsi="Narkisim"/>
          <w:b/>
          <w:bCs/>
          <w:rtl/>
        </w:rPr>
        <w:t>חי' ר' ראובן</w:t>
      </w:r>
      <w:r w:rsidRPr="00012502">
        <w:rPr>
          <w:rFonts w:ascii="Narkisim" w:hAnsi="Narkisim"/>
          <w:rtl/>
        </w:rPr>
        <w:t xml:space="preserve"> (ד) ביאר דנחשב חסרון בעצם הצווי לכיבוד אב, דהא דאף אביו מצווה למצוה זו</w:t>
      </w:r>
      <w:r w:rsidRPr="00012502">
        <w:rPr>
          <w:rStyle w:val="ac"/>
          <w:rFonts w:ascii="Narkisim" w:hAnsi="Narkisim"/>
          <w:rtl/>
        </w:rPr>
        <w:footnoteReference w:id="272"/>
      </w:r>
      <w:r w:rsidRPr="00012502">
        <w:rPr>
          <w:rFonts w:ascii="Narkisim" w:hAnsi="Narkisim"/>
          <w:rtl/>
        </w:rPr>
        <w:t>.</w:t>
      </w:r>
    </w:p>
    <w:p w14:paraId="2352E5CD"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(אמר"מ יד ב, קובה"ע יח) הק' דאדרבה כיון דעדל"ת אין בזה איסור, ול"ש סברת אתה ואביך</w:t>
      </w:r>
      <w:r w:rsidRPr="00012502">
        <w:rPr>
          <w:rStyle w:val="ac"/>
          <w:rFonts w:ascii="Narkisim" w:hAnsi="Narkisim"/>
          <w:rtl/>
        </w:rPr>
        <w:footnoteReference w:id="273"/>
      </w:r>
      <w:r w:rsidRPr="00012502">
        <w:rPr>
          <w:rFonts w:ascii="Narkisim" w:hAnsi="Narkisim"/>
          <w:rtl/>
        </w:rPr>
        <w:t>. [וע' מש"כ בזה בסמוך].</w:t>
      </w:r>
    </w:p>
    <w:p w14:paraId="3E46A365" w14:textId="77777777" w:rsidR="00BE1D1C" w:rsidRPr="00012502" w:rsidRDefault="00000000" w:rsidP="00012502">
      <w:pPr>
        <w:pStyle w:val="aa"/>
        <w:bidi/>
        <w:rPr>
          <w:rFonts w:ascii="Narkisim" w:hAnsi="Narkisim"/>
        </w:rPr>
      </w:pPr>
      <w:r w:rsidRPr="00012502">
        <w:rPr>
          <w:rFonts w:ascii="Narkisim" w:hAnsi="Narkisim"/>
          <w:u w:val="single"/>
          <w:rtl/>
        </w:rPr>
        <w:t>תוד"ה טעמא וכו'</w:t>
      </w:r>
      <w:r w:rsidRPr="00012502">
        <w:rPr>
          <w:rFonts w:ascii="Narkisim" w:hAnsi="Narkisim"/>
          <w:rtl/>
        </w:rPr>
        <w:t>. דמה לכיבוד אב שכן הכשר מצווה. [דהוה מכשיר למצווה ולא גוף המצווה, כפי' תוס' ו.]. ה</w:t>
      </w:r>
      <w:r w:rsidRPr="00012502">
        <w:rPr>
          <w:rFonts w:ascii="Narkisim" w:hAnsi="Narkisim"/>
          <w:b/>
          <w:bCs/>
          <w:rtl/>
        </w:rPr>
        <w:t>מהרש"א</w:t>
      </w:r>
      <w:r w:rsidRPr="00012502">
        <w:rPr>
          <w:rFonts w:ascii="Narkisim" w:hAnsi="Narkisim"/>
          <w:rtl/>
        </w:rPr>
        <w:t xml:space="preserve"> כת' דלא נקטו דהני ישנו לפני הדיבור, דאף כיבוד אב נצטוו לפני הדיבור, וכדאי' (סנהד' נו:) דנצטוו במרה.</w:t>
      </w:r>
    </w:p>
    <w:p w14:paraId="36F71CD4" w14:textId="77777777" w:rsidR="00BE1D1C" w:rsidRPr="00012502" w:rsidRDefault="00000000" w:rsidP="00012502">
      <w:pPr>
        <w:pStyle w:val="aa"/>
        <w:bidi/>
        <w:rPr>
          <w:rFonts w:ascii="Narkisim" w:hAnsi="Narkisim"/>
        </w:rPr>
      </w:pPr>
      <w:r w:rsidRPr="00012502">
        <w:rPr>
          <w:rFonts w:ascii="Narkisim" w:hAnsi="Narkisim"/>
          <w:u w:val="single"/>
          <w:rtl/>
        </w:rPr>
        <w:lastRenderedPageBreak/>
        <w:t>בא"ד וא"ת וכו' ואיצטריך עליה למיסר וכו' נימא עליה להתירא וכו'</w:t>
      </w:r>
      <w:r w:rsidRPr="00012502">
        <w:rPr>
          <w:rFonts w:ascii="Narkisim" w:hAnsi="Narkisim"/>
          <w:rtl/>
        </w:rPr>
        <w:t>. וה</w:t>
      </w:r>
      <w:r w:rsidRPr="00012502">
        <w:rPr>
          <w:rFonts w:ascii="Narkisim" w:hAnsi="Narkisim"/>
          <w:b/>
          <w:bCs/>
          <w:rtl/>
        </w:rPr>
        <w:t>רמב"ן</w:t>
      </w:r>
      <w:r w:rsidRPr="00012502">
        <w:rPr>
          <w:rFonts w:ascii="Narkisim" w:hAnsi="Narkisim"/>
          <w:rtl/>
        </w:rPr>
        <w:t xml:space="preserve"> תי' ע"פ מש"כ (לעיל ד:) דל"ש ללמוד בנין אב לכל התורה אלא סמוכין דמוכח</w:t>
      </w:r>
      <w:r w:rsidRPr="00012502">
        <w:rPr>
          <w:rStyle w:val="ac"/>
          <w:rFonts w:ascii="Narkisim" w:hAnsi="Narkisim"/>
          <w:rtl/>
        </w:rPr>
        <w:footnoteReference w:id="274"/>
      </w:r>
      <w:r w:rsidRPr="00012502">
        <w:rPr>
          <w:rFonts w:ascii="Narkisim" w:hAnsi="Narkisim"/>
          <w:rtl/>
        </w:rPr>
        <w:t>.</w:t>
      </w:r>
    </w:p>
    <w:p w14:paraId="4119C144" w14:textId="77777777" w:rsidR="00BE1D1C" w:rsidRPr="00012502" w:rsidRDefault="00000000" w:rsidP="00012502">
      <w:pPr>
        <w:pStyle w:val="a8"/>
        <w:bidi/>
        <w:rPr>
          <w:rFonts w:ascii="Narkisim" w:hAnsi="Narkisim"/>
        </w:rPr>
      </w:pPr>
      <w:r w:rsidRPr="00012502">
        <w:rPr>
          <w:rFonts w:ascii="Narkisim" w:hAnsi="Narkisim"/>
          <w:rtl/>
        </w:rPr>
        <w:t xml:space="preserve">ועוד הביא בשם </w:t>
      </w:r>
      <w:r w:rsidRPr="00012502">
        <w:rPr>
          <w:rFonts w:ascii="Narkisim" w:hAnsi="Narkisim"/>
          <w:b/>
          <w:bCs/>
          <w:rtl/>
        </w:rPr>
        <w:t>תוס</w:t>
      </w:r>
      <w:r w:rsidRPr="00012502">
        <w:rPr>
          <w:rFonts w:ascii="Narkisim" w:hAnsi="Narkisim"/>
          <w:rtl/>
        </w:rPr>
        <w:t>' דהו"מ ללמוד מ'עליה', הא בעלמא דחי. [כדגמר בשבת]. אלא דכל הסוגיא על הברייתא (ג:) דקתני שומע אני אפילו באחת מכל העריות, ומשמע דמקמי דתיתי עליה ידעינן הכי ועליה למיסר איצטריך. [ורבא (ח.) דחה דלאו דוקא].</w:t>
      </w:r>
    </w:p>
    <w:p w14:paraId="141815CA" w14:textId="77777777" w:rsidR="00BE1D1C" w:rsidRPr="00012502" w:rsidRDefault="00000000" w:rsidP="00012502">
      <w:pPr>
        <w:pStyle w:val="aa"/>
        <w:bidi/>
        <w:rPr>
          <w:rFonts w:ascii="Narkisim" w:hAnsi="Narkisim"/>
        </w:rPr>
      </w:pPr>
      <w:r w:rsidRPr="00012502">
        <w:rPr>
          <w:rFonts w:ascii="Narkisim" w:hAnsi="Narkisim"/>
          <w:u w:val="single"/>
          <w:rtl/>
        </w:rPr>
        <w:t>בא"ד דסד"א דהואיל והוקש כבודם וכו'</w:t>
      </w:r>
      <w:r w:rsidRPr="00012502">
        <w:rPr>
          <w:rFonts w:ascii="Narkisim" w:hAnsi="Narkisim"/>
          <w:rtl/>
        </w:rPr>
        <w:t>. [כדאי' ב"מ לב. דאיצטריך לאשמוע' דלא נימא דדחי, אף דהוה עשה ול"ת]. וה</w:t>
      </w:r>
      <w:r w:rsidRPr="00012502">
        <w:rPr>
          <w:rFonts w:ascii="Narkisim" w:hAnsi="Narkisim"/>
          <w:b/>
          <w:bCs/>
          <w:rtl/>
        </w:rPr>
        <w:t>רמב"ן</w:t>
      </w:r>
      <w:r w:rsidRPr="00012502">
        <w:rPr>
          <w:rFonts w:ascii="Narkisim" w:hAnsi="Narkisim"/>
          <w:rtl/>
        </w:rPr>
        <w:t xml:space="preserve"> כת' דהו"מ לדחות, וחדא מתרתי נקט.</w:t>
      </w:r>
    </w:p>
    <w:p w14:paraId="7B088FD1" w14:textId="77777777" w:rsidR="00BE1D1C" w:rsidRPr="00012502" w:rsidRDefault="00000000" w:rsidP="00012502">
      <w:pPr>
        <w:bidi/>
        <w:rPr>
          <w:rFonts w:ascii="Narkisim" w:hAnsi="Narkisim" w:cs="Narkisim"/>
        </w:rPr>
      </w:pPr>
      <w:r w:rsidRPr="00012502">
        <w:rPr>
          <w:rFonts w:ascii="Narkisim" w:hAnsi="Narkisim" w:cs="Narkisim"/>
          <w:u w:val="single"/>
          <w:rtl/>
        </w:rPr>
        <w:t>בא"ד [בע"א] וי"ל דעשה ול"ת דקיל הו"א דלידחי</w:t>
      </w:r>
      <w:r w:rsidRPr="00012502">
        <w:rPr>
          <w:rFonts w:ascii="Narkisim" w:hAnsi="Narkisim" w:cs="Narkisim"/>
          <w:rtl/>
        </w:rPr>
        <w:t>. ה</w:t>
      </w:r>
      <w:r w:rsidRPr="00012502">
        <w:rPr>
          <w:rFonts w:ascii="Narkisim" w:hAnsi="Narkisim" w:cs="Narkisim"/>
          <w:b/>
          <w:bCs/>
          <w:rtl/>
        </w:rPr>
        <w:t>רשב"א</w:t>
      </w:r>
      <w:r w:rsidRPr="00012502">
        <w:rPr>
          <w:rFonts w:ascii="Narkisim" w:hAnsi="Narkisim" w:cs="Narkisim"/>
          <w:rtl/>
        </w:rPr>
        <w:t xml:space="preserve"> (ועוד ראשונים) ביארו דסברת 'הוקש כבודם' מהני בעשה כנגד עשה, במקום סברת 'מאי אולמיה'</w:t>
      </w:r>
      <w:r w:rsidRPr="00012502">
        <w:rPr>
          <w:rStyle w:val="ac"/>
          <w:rFonts w:ascii="Narkisim" w:hAnsi="Narkisim" w:cs="Narkisim"/>
          <w:rtl/>
        </w:rPr>
        <w:footnoteReference w:id="275"/>
      </w:r>
      <w:r w:rsidRPr="00012502">
        <w:rPr>
          <w:rFonts w:ascii="Narkisim" w:hAnsi="Narkisim" w:cs="Narkisim"/>
          <w:rtl/>
        </w:rPr>
        <w:t>, אבל אינו סברא לדחות ל"ת שיש בו כרת.</w:t>
      </w:r>
    </w:p>
    <w:p w14:paraId="12822FED" w14:textId="77777777" w:rsidR="00BE1D1C" w:rsidRPr="00012502" w:rsidRDefault="00000000" w:rsidP="00012502">
      <w:pPr>
        <w:pStyle w:val="aa"/>
        <w:bidi/>
        <w:rPr>
          <w:rFonts w:ascii="Narkisim" w:hAnsi="Narkisim"/>
        </w:rPr>
      </w:pPr>
      <w:r w:rsidRPr="00012502">
        <w:rPr>
          <w:rFonts w:ascii="Narkisim" w:hAnsi="Narkisim"/>
          <w:u w:val="single"/>
          <w:rtl/>
        </w:rPr>
        <w:t>בא"ד אי בעלמא דחי, א"כ קרא דכלאים בציצית למה לי וכו'</w:t>
      </w:r>
      <w:r w:rsidRPr="00012502">
        <w:rPr>
          <w:rFonts w:ascii="Narkisim" w:hAnsi="Narkisim"/>
          <w:rtl/>
        </w:rPr>
        <w:t>. והעירו דלדעת ר"ת (הו' לעיל) איצטריך להתיר אף שלא בשעת קיום המצווה.</w:t>
      </w:r>
    </w:p>
    <w:p w14:paraId="27755943" w14:textId="77777777" w:rsidR="00BE1D1C" w:rsidRPr="00012502" w:rsidRDefault="00000000" w:rsidP="00012502">
      <w:pPr>
        <w:bidi/>
        <w:rPr>
          <w:rFonts w:ascii="Narkisim" w:hAnsi="Narkisim" w:cs="Narkisim"/>
        </w:rPr>
      </w:pPr>
      <w:r w:rsidRPr="00012502">
        <w:rPr>
          <w:rFonts w:ascii="Narkisim" w:hAnsi="Narkisim" w:cs="Narkisim"/>
          <w:u w:val="single"/>
          <w:rtl/>
        </w:rPr>
        <w:t>בא"ד ס"ד דלא לידחי ציצית, אין שוה בנשים.</w:t>
      </w:r>
      <w:r w:rsidRPr="00012502">
        <w:rPr>
          <w:rFonts w:ascii="Narkisim" w:hAnsi="Narkisim" w:cs="Narkisim"/>
          <w:sz w:val="20"/>
          <w:szCs w:val="20"/>
          <w:rtl/>
        </w:rPr>
        <w:t xml:space="preserve"> ה</w:t>
      </w:r>
      <w:r w:rsidRPr="00012502">
        <w:rPr>
          <w:rFonts w:ascii="Narkisim" w:hAnsi="Narkisim" w:cs="Narkisim"/>
          <w:b/>
          <w:bCs/>
          <w:sz w:val="20"/>
          <w:szCs w:val="20"/>
          <w:rtl/>
        </w:rPr>
        <w:t>חמד"ש</w:t>
      </w:r>
      <w:r w:rsidRPr="00012502">
        <w:rPr>
          <w:rFonts w:ascii="Narkisim" w:hAnsi="Narkisim" w:cs="Narkisim"/>
          <w:sz w:val="20"/>
          <w:szCs w:val="20"/>
          <w:rtl/>
        </w:rPr>
        <w:t xml:space="preserve"> דייק מתוס' דמצוות יבום נחשב שווה בכל, והוכיח מזה דאף האשה מצווה במצוות יבום [ע' מש"כ לעיל ג:]. ודחה דמצוות יבום משום הקמת שם, וזה לא שייך לגוף האשה ולא נחשב אינו שווה בכל.</w:t>
      </w:r>
    </w:p>
    <w:p w14:paraId="5BEE21BA" w14:textId="77777777" w:rsidR="00BE1D1C" w:rsidRPr="00012502" w:rsidRDefault="00000000" w:rsidP="00012502">
      <w:pPr>
        <w:pStyle w:val="a7"/>
        <w:bidi/>
        <w:rPr>
          <w:rFonts w:ascii="Narkisim" w:hAnsi="Narkisim"/>
        </w:rPr>
      </w:pPr>
      <w:r w:rsidRPr="00012502">
        <w:rPr>
          <w:rFonts w:ascii="Narkisim" w:hAnsi="Narkisim"/>
          <w:rtl/>
        </w:rPr>
        <w:t>ומבואר בתוס' דלפי האמת עשה שאינו שווה בכל דוחה ל"ת. אבל ב</w:t>
      </w:r>
      <w:r w:rsidRPr="00012502">
        <w:rPr>
          <w:rFonts w:ascii="Narkisim" w:hAnsi="Narkisim"/>
          <w:b/>
          <w:bCs/>
          <w:rtl/>
        </w:rPr>
        <w:t>רמב"ן</w:t>
      </w:r>
      <w:r w:rsidRPr="00012502">
        <w:rPr>
          <w:rFonts w:ascii="Narkisim" w:hAnsi="Narkisim"/>
          <w:rtl/>
        </w:rPr>
        <w:t xml:space="preserve"> (כתובות מ.) מבואר דעשה דאינו שווה בכל קיל ואינו דוחה ל"ת</w:t>
      </w:r>
      <w:r w:rsidRPr="00012502">
        <w:rPr>
          <w:rStyle w:val="ac"/>
          <w:rFonts w:ascii="Narkisim" w:hAnsi="Narkisim"/>
          <w:rtl/>
        </w:rPr>
        <w:footnoteReference w:id="276"/>
      </w:r>
      <w:r w:rsidRPr="00012502">
        <w:rPr>
          <w:rFonts w:ascii="Narkisim" w:hAnsi="Narkisim"/>
          <w:rtl/>
        </w:rPr>
        <w:t xml:space="preserve">. </w:t>
      </w:r>
      <w:r w:rsidRPr="00012502">
        <w:rPr>
          <w:rFonts w:ascii="Narkisim" w:hAnsi="Narkisim"/>
          <w:sz w:val="20"/>
          <w:szCs w:val="20"/>
          <w:rtl/>
        </w:rPr>
        <w:t>וה</w:t>
      </w:r>
      <w:r w:rsidRPr="00012502">
        <w:rPr>
          <w:rFonts w:ascii="Narkisim" w:hAnsi="Narkisim"/>
          <w:b/>
          <w:bCs/>
          <w:sz w:val="20"/>
          <w:szCs w:val="20"/>
          <w:rtl/>
        </w:rPr>
        <w:t>דבר"י</w:t>
      </w:r>
      <w:r w:rsidRPr="00012502">
        <w:rPr>
          <w:rFonts w:ascii="Narkisim" w:hAnsi="Narkisim"/>
          <w:sz w:val="20"/>
          <w:szCs w:val="20"/>
          <w:rtl/>
        </w:rPr>
        <w:t xml:space="preserve"> (כח) כת' דלפ"ז ציצית נחשב שווה בכל, דנשים יכולים לקיימו, אף שפטורים.</w:t>
      </w:r>
    </w:p>
    <w:p w14:paraId="5990B3DC" w14:textId="77777777" w:rsidR="00BE1D1C" w:rsidRPr="00012502" w:rsidRDefault="00000000" w:rsidP="00012502">
      <w:pPr>
        <w:pStyle w:val="aa"/>
        <w:bidi/>
        <w:rPr>
          <w:rFonts w:ascii="Narkisim" w:hAnsi="Narkisim"/>
        </w:rPr>
      </w:pPr>
      <w:r w:rsidRPr="00012502">
        <w:rPr>
          <w:rFonts w:ascii="Narkisim" w:hAnsi="Narkisim"/>
          <w:u w:val="single"/>
          <w:rtl/>
        </w:rPr>
        <w:t>בא"ד [סו"ד] ומפסח ומילה ותמיד לק"מ וכו'.</w:t>
      </w:r>
      <w:r w:rsidRPr="00012502">
        <w:rPr>
          <w:rFonts w:ascii="Narkisim" w:hAnsi="Narkisim"/>
          <w:rtl/>
        </w:rPr>
        <w:t xml:space="preserve"> </w:t>
      </w:r>
      <w:r w:rsidRPr="00012502">
        <w:rPr>
          <w:rFonts w:ascii="Narkisim" w:hAnsi="Narkisim"/>
          <w:b/>
          <w:bCs/>
          <w:rtl/>
        </w:rPr>
        <w:t>רע"א</w:t>
      </w:r>
      <w:r w:rsidRPr="00012502">
        <w:rPr>
          <w:rFonts w:ascii="Narkisim" w:hAnsi="Narkisim"/>
          <w:rtl/>
        </w:rPr>
        <w:t xml:space="preserve"> הק' תיפו"ל דהוה ל"ת ועשה, ולכן לא דחי. ושאני כיבוד אב דהוקש כבודם [וכמ"ש תוס' לעיל]. אבל בהני הדר קושיא מאי אולמיה דהאי עשה. [ודנו דהוה עשה שיש בו כרת. אלא דאף עשה דשבת יש בו כרת].</w:t>
      </w:r>
    </w:p>
    <w:p w14:paraId="1F50F037" w14:textId="77777777" w:rsidR="00BE1D1C" w:rsidRPr="00012502" w:rsidRDefault="00000000" w:rsidP="00012502">
      <w:pPr>
        <w:pStyle w:val="3"/>
        <w:bidi/>
        <w:rPr>
          <w:rFonts w:ascii="Narkisim" w:hAnsi="Narkisim"/>
        </w:rPr>
      </w:pPr>
      <w:r w:rsidRPr="00012502">
        <w:rPr>
          <w:rFonts w:ascii="Narkisim" w:hAnsi="Narkisim"/>
          <w:rtl/>
        </w:rPr>
        <w:t>דף ו.</w:t>
      </w:r>
    </w:p>
    <w:p w14:paraId="7F1C3A07" w14:textId="77777777" w:rsidR="00BE1D1C" w:rsidRPr="00012502" w:rsidRDefault="00000000" w:rsidP="00012502">
      <w:pPr>
        <w:pStyle w:val="aa"/>
        <w:bidi/>
        <w:rPr>
          <w:rFonts w:ascii="Narkisim" w:hAnsi="Narkisim"/>
        </w:rPr>
      </w:pPr>
      <w:r w:rsidRPr="00012502">
        <w:rPr>
          <w:rFonts w:ascii="Narkisim" w:hAnsi="Narkisim"/>
          <w:u w:val="single"/>
          <w:rtl/>
        </w:rPr>
        <w:t>לאו דמחמר.</w:t>
      </w:r>
      <w:r w:rsidRPr="00012502">
        <w:rPr>
          <w:rFonts w:ascii="Narkisim" w:hAnsi="Narkisim"/>
          <w:rtl/>
        </w:rPr>
        <w:t xml:space="preserve"> ה</w:t>
      </w:r>
      <w:r w:rsidRPr="00012502">
        <w:rPr>
          <w:rFonts w:ascii="Narkisim" w:hAnsi="Narkisim"/>
          <w:b/>
          <w:bCs/>
          <w:rtl/>
        </w:rPr>
        <w:t>קובה"ע</w:t>
      </w:r>
      <w:r w:rsidRPr="00012502">
        <w:rPr>
          <w:rFonts w:ascii="Narkisim" w:hAnsi="Narkisim"/>
          <w:rtl/>
        </w:rPr>
        <w:t xml:space="preserve"> (יד ה) הקשה בשם חמיו ה</w:t>
      </w:r>
      <w:r w:rsidRPr="00012502">
        <w:rPr>
          <w:rFonts w:ascii="Narkisim" w:hAnsi="Narkisim"/>
          <w:b/>
          <w:bCs/>
          <w:rtl/>
        </w:rPr>
        <w:t>גר"מ אטלס</w:t>
      </w:r>
      <w:r w:rsidRPr="00012502">
        <w:rPr>
          <w:rFonts w:ascii="Narkisim" w:hAnsi="Narkisim"/>
          <w:rtl/>
        </w:rPr>
        <w:t xml:space="preserve"> דאפשר לקיים שניהם, שיפקיר הבהמה [למ"ד דלאו דמחמר קאי בבהמה שלו</w:t>
      </w:r>
      <w:r w:rsidRPr="00012502">
        <w:rPr>
          <w:rStyle w:val="ac"/>
          <w:rFonts w:ascii="Narkisim" w:hAnsi="Narkisim"/>
          <w:rtl/>
        </w:rPr>
        <w:footnoteReference w:id="277"/>
      </w:r>
      <w:r w:rsidRPr="00012502">
        <w:rPr>
          <w:rFonts w:ascii="Narkisim" w:hAnsi="Narkisim"/>
          <w:rtl/>
        </w:rPr>
        <w:t>], ומה ס"ד דידחה לל"ת. ותי' דכיון דמצוות כיבוד אינו מחייב שיפקיר את בהמתו, ולכן אף כלפי הלא תעשה אינו נחשב אפשר לקיים שניהם. ולמד מכאן דה"ה במקום דאפשר לקיים ע"י שיוציא יותר מחומש נכסיו, דנדחה הלאו, כיון דהעשה אינו מחייב לעבור. ואף דלמצוות ל"ת צריך ליתן כל נכסיו, כלפי העשה אינו מחוייב כה"ג. [ויש שדנו דלתנאי דאפשר לקיים לא בעי אפי' חומש נכסיו, אלא כל שאינו עומד לפניו אפשרות לקיים שניהם דחי לל"ת. ואין כאן נידון ביטול עשה</w:t>
      </w:r>
      <w:r w:rsidRPr="00012502">
        <w:rPr>
          <w:rStyle w:val="ac"/>
          <w:rFonts w:ascii="Narkisim" w:hAnsi="Narkisim"/>
          <w:rtl/>
        </w:rPr>
        <w:footnoteReference w:id="278"/>
      </w:r>
      <w:r w:rsidRPr="00012502">
        <w:rPr>
          <w:rFonts w:ascii="Narkisim" w:hAnsi="Narkisim"/>
          <w:rtl/>
        </w:rPr>
        <w:t>].</w:t>
      </w:r>
    </w:p>
    <w:p w14:paraId="78EB2CC1" w14:textId="77777777" w:rsidR="00BE1D1C" w:rsidRPr="00012502" w:rsidRDefault="00000000" w:rsidP="00012502">
      <w:pPr>
        <w:pStyle w:val="aa"/>
        <w:bidi/>
        <w:rPr>
          <w:rFonts w:ascii="Narkisim" w:hAnsi="Narkisim"/>
        </w:rPr>
      </w:pPr>
      <w:r w:rsidRPr="00012502">
        <w:rPr>
          <w:rFonts w:ascii="Narkisim" w:hAnsi="Narkisim"/>
          <w:u w:val="single"/>
          <w:rtl/>
        </w:rPr>
        <w:t>רש"י ד"ה לאו</w:t>
      </w:r>
      <w:r w:rsidRPr="00012502">
        <w:rPr>
          <w:rFonts w:ascii="Narkisim" w:hAnsi="Narkisim"/>
          <w:rtl/>
        </w:rPr>
        <w:t>. ובהאי לאו ליכא כרת, דלא עבד מעשה בגופיה, וכמ"ד (שבת קנד.) וכו'. דדעת רמי בר חמא (שם קנג:) דמחמר חייב חטאת וסקילה</w:t>
      </w:r>
      <w:r w:rsidRPr="00012502">
        <w:rPr>
          <w:rStyle w:val="ac"/>
          <w:rFonts w:ascii="Narkisim" w:hAnsi="Narkisim"/>
          <w:rtl/>
        </w:rPr>
        <w:footnoteReference w:id="279"/>
      </w:r>
      <w:r w:rsidRPr="00012502">
        <w:rPr>
          <w:rFonts w:ascii="Narkisim" w:hAnsi="Narkisim"/>
          <w:rtl/>
        </w:rPr>
        <w:t>. ורבא חלק עד דעביד מעשה בגופיה. [וכ"ד ר' יוחנן שם קנד.].</w:t>
      </w:r>
    </w:p>
    <w:p w14:paraId="7120DF06" w14:textId="77777777" w:rsidR="00BE1D1C" w:rsidRPr="00012502" w:rsidRDefault="00000000" w:rsidP="00012502">
      <w:pPr>
        <w:bidi/>
        <w:rPr>
          <w:rFonts w:ascii="Narkisim" w:hAnsi="Narkisim" w:cs="Narkisim"/>
        </w:rPr>
      </w:pPr>
      <w:r w:rsidRPr="00012502">
        <w:rPr>
          <w:rFonts w:ascii="Narkisim" w:hAnsi="Narkisim" w:cs="Narkisim"/>
          <w:u w:val="single"/>
          <w:rtl/>
        </w:rPr>
        <w:t>ניגמר מהכא דלא דחי וכו'.</w:t>
      </w:r>
      <w:r w:rsidRPr="00012502">
        <w:rPr>
          <w:rFonts w:ascii="Narkisim" w:hAnsi="Narkisim" w:cs="Narkisim"/>
          <w:rtl/>
        </w:rPr>
        <w:t xml:space="preserve"> וכמו דכיבוד אב לא דחי איסור מחמר</w:t>
      </w:r>
      <w:r w:rsidRPr="00012502">
        <w:rPr>
          <w:rFonts w:ascii="Narkisim" w:hAnsi="Narkisim" w:cs="Narkisim"/>
          <w:sz w:val="20"/>
          <w:szCs w:val="20"/>
          <w:rtl/>
        </w:rPr>
        <w:t xml:space="preserve"> [ובמסקנא דחינן דדוקא כיבוד אב דהוה הכשר מצוה]</w:t>
      </w:r>
      <w:r w:rsidRPr="00012502">
        <w:rPr>
          <w:rFonts w:ascii="Narkisim" w:hAnsi="Narkisim" w:cs="Narkisim"/>
          <w:rtl/>
        </w:rPr>
        <w:t>. וה</w:t>
      </w:r>
      <w:r w:rsidRPr="00012502">
        <w:rPr>
          <w:rFonts w:ascii="Narkisim" w:hAnsi="Narkisim" w:cs="Narkisim"/>
          <w:b/>
          <w:bCs/>
          <w:rtl/>
        </w:rPr>
        <w:t>אחרונים</w:t>
      </w:r>
      <w:r w:rsidRPr="00012502">
        <w:rPr>
          <w:rFonts w:ascii="Narkisim" w:hAnsi="Narkisim" w:cs="Narkisim"/>
          <w:rtl/>
        </w:rPr>
        <w:t xml:space="preserve"> הק' ד</w:t>
      </w:r>
      <w:r w:rsidRPr="00012502">
        <w:rPr>
          <w:rFonts w:ascii="Narkisim" w:hAnsi="Narkisim" w:cs="Narkisim"/>
          <w:b/>
          <w:bCs/>
          <w:rtl/>
        </w:rPr>
        <w:t>תוס'</w:t>
      </w:r>
      <w:r w:rsidRPr="00012502">
        <w:rPr>
          <w:rFonts w:ascii="Narkisim" w:hAnsi="Narkisim" w:cs="Narkisim"/>
          <w:rtl/>
        </w:rPr>
        <w:t xml:space="preserve"> (ה: ד"ה כולכם) כת' דהטעם דכיבוד אב לא דחי הוא משום דאביו ג"כ חייב במצוות, א"כ היאך נילף מיניה לכה"ת דעשה לא ידחה</w:t>
      </w:r>
      <w:r w:rsidRPr="00012502">
        <w:rPr>
          <w:rStyle w:val="ac"/>
          <w:rFonts w:ascii="Narkisim" w:hAnsi="Narkisim" w:cs="Narkisim"/>
          <w:sz w:val="20"/>
          <w:szCs w:val="20"/>
          <w:rtl/>
        </w:rPr>
        <w:footnoteReference w:id="280"/>
      </w:r>
      <w:r w:rsidRPr="00012502">
        <w:rPr>
          <w:rFonts w:ascii="Narkisim" w:hAnsi="Narkisim" w:cs="Narkisim"/>
          <w:rtl/>
        </w:rPr>
        <w:t xml:space="preserve">. </w:t>
      </w:r>
      <w:r w:rsidRPr="00012502">
        <w:rPr>
          <w:rFonts w:ascii="Narkisim" w:hAnsi="Narkisim" w:cs="Narkisim"/>
          <w:sz w:val="20"/>
          <w:szCs w:val="20"/>
          <w:rtl/>
        </w:rPr>
        <w:t>[ויש שדנו דמ"מ שייך ללמוד במה מצינו, ע' לשון הרמב"ן].</w:t>
      </w:r>
    </w:p>
    <w:p w14:paraId="1518CD36"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(יח א) כת' דבעי ב' הטעמים, דאילו עשה דוחה ל"ת, א"כ זהו כבוד המקום. ולא שייך סברת כולכם חייבים בכבודי. וע"כ הטעם משום דהכשר מצווה לא דחי ל"ת. אלא דלטעם הזה אם עבר וכיבד אביו קיים העשה, ולזה אהני סברת כולכם חייבים בכבודי דלא קיים מצוות כיבוד אב. </w:t>
      </w:r>
      <w:r w:rsidRPr="00012502">
        <w:rPr>
          <w:rFonts w:ascii="Narkisim" w:hAnsi="Narkisim"/>
          <w:sz w:val="20"/>
          <w:szCs w:val="20"/>
          <w:rtl/>
        </w:rPr>
        <w:t>[ונפק"מ אף במצוה דרבנן</w:t>
      </w:r>
      <w:r w:rsidRPr="00012502">
        <w:rPr>
          <w:rStyle w:val="ac"/>
          <w:rFonts w:ascii="Narkisim" w:hAnsi="Narkisim"/>
          <w:sz w:val="20"/>
          <w:szCs w:val="20"/>
          <w:rtl/>
        </w:rPr>
        <w:footnoteReference w:id="281"/>
      </w:r>
      <w:r w:rsidRPr="00012502">
        <w:rPr>
          <w:rFonts w:ascii="Narkisim" w:hAnsi="Narkisim"/>
          <w:sz w:val="20"/>
          <w:szCs w:val="20"/>
          <w:rtl/>
        </w:rPr>
        <w:t>, ע' בסמוך].</w:t>
      </w:r>
    </w:p>
    <w:p w14:paraId="738556F9"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דתניא יכול אמר לו אביו היטמא</w:t>
      </w:r>
      <w:r w:rsidRPr="00012502">
        <w:rPr>
          <w:rStyle w:val="ac"/>
          <w:rFonts w:ascii="Narkisim" w:hAnsi="Narkisim" w:cs="Narkisim"/>
          <w:u w:val="single"/>
          <w:rtl/>
        </w:rPr>
        <w:footnoteReference w:id="282"/>
      </w:r>
      <w:r w:rsidRPr="00012502">
        <w:rPr>
          <w:rFonts w:ascii="Narkisim" w:hAnsi="Narkisim" w:cs="Narkisim"/>
          <w:u w:val="single"/>
          <w:rtl/>
        </w:rPr>
        <w:t>, יכול ישמע לו וכו'.</w:t>
      </w:r>
      <w:r w:rsidRPr="00012502">
        <w:rPr>
          <w:rFonts w:ascii="Narkisim" w:hAnsi="Narkisim" w:cs="Narkisim"/>
          <w:rtl/>
        </w:rPr>
        <w:t xml:space="preserve"> ה</w:t>
      </w:r>
      <w:r w:rsidRPr="00012502">
        <w:rPr>
          <w:rFonts w:ascii="Narkisim" w:hAnsi="Narkisim" w:cs="Narkisim"/>
          <w:b/>
          <w:bCs/>
          <w:rtl/>
        </w:rPr>
        <w:t>ריטב"א</w:t>
      </w:r>
      <w:r w:rsidRPr="00012502">
        <w:rPr>
          <w:rFonts w:ascii="Narkisim" w:hAnsi="Narkisim" w:cs="Narkisim"/>
          <w:rtl/>
        </w:rPr>
        <w:t xml:space="preserve"> הביא בשם רש"י שהאב אמר כן לבטלה. וה</w:t>
      </w:r>
      <w:r w:rsidRPr="00012502">
        <w:rPr>
          <w:rFonts w:ascii="Narkisim" w:hAnsi="Narkisim" w:cs="Narkisim"/>
          <w:b/>
          <w:bCs/>
          <w:rtl/>
        </w:rPr>
        <w:t>ריטב"א</w:t>
      </w:r>
      <w:r w:rsidRPr="00012502">
        <w:rPr>
          <w:rFonts w:ascii="Narkisim" w:hAnsi="Narkisim" w:cs="Narkisim"/>
          <w:rtl/>
        </w:rPr>
        <w:t xml:space="preserve"> חלק דאינו חייב לשמוע לאביו אפי' בדברים של רשות, וכ"ש לעשות עבירה או לדחות מצוה. שאין עושה כבוד אלא בעושה דבר להנאתו</w:t>
      </w:r>
      <w:r w:rsidRPr="00012502">
        <w:rPr>
          <w:rStyle w:val="ac"/>
          <w:rFonts w:ascii="Narkisim" w:hAnsi="Narkisim" w:cs="Narkisim"/>
          <w:rtl/>
        </w:rPr>
        <w:footnoteReference w:id="283"/>
      </w:r>
      <w:r w:rsidRPr="00012502">
        <w:rPr>
          <w:rFonts w:ascii="Narkisim" w:hAnsi="Narkisim" w:cs="Narkisim"/>
          <w:rtl/>
        </w:rPr>
        <w:t xml:space="preserve">. והביא בשם ר"ת ור"י דאיירי שאמר הטמא לכבודי, לבשל לי במקום טומאה [כשא"א באופן אחר]. וכ"כ </w:t>
      </w:r>
      <w:r w:rsidRPr="00012502">
        <w:rPr>
          <w:rFonts w:ascii="Narkisim" w:hAnsi="Narkisim" w:cs="Narkisim"/>
          <w:b/>
          <w:bCs/>
          <w:rtl/>
        </w:rPr>
        <w:t>תוס</w:t>
      </w:r>
      <w:r w:rsidRPr="00012502">
        <w:rPr>
          <w:rFonts w:ascii="Narkisim" w:hAnsi="Narkisim" w:cs="Narkisim"/>
          <w:rtl/>
        </w:rPr>
        <w:t>' (קידושין לב., וכן תוס' ב"מ לג.) דאל תחזיר היינו שאומר לו עסוק בכבודי.</w:t>
      </w:r>
    </w:p>
    <w:p w14:paraId="5D667DCD" w14:textId="77777777" w:rsidR="00BE1D1C" w:rsidRPr="00012502" w:rsidRDefault="00000000" w:rsidP="00012502">
      <w:pPr>
        <w:pStyle w:val="a7"/>
        <w:bidi/>
        <w:rPr>
          <w:rFonts w:ascii="Narkisim" w:hAnsi="Narkisim"/>
        </w:rPr>
      </w:pPr>
      <w:r w:rsidRPr="00012502">
        <w:rPr>
          <w:rFonts w:ascii="Narkisim" w:hAnsi="Narkisim"/>
          <w:rtl/>
        </w:rPr>
        <w:t>ועד"ז כת' הרמב"ן והרשב"א (ע' בסמוך) דאין זה עיקר כיבוד. [אך יש דייקו מדבריהם דיש בזה קצת כיבוד].</w:t>
      </w:r>
    </w:p>
    <w:p w14:paraId="3FF4F851" w14:textId="77777777" w:rsidR="00BE1D1C" w:rsidRPr="00012502" w:rsidRDefault="00000000" w:rsidP="00012502">
      <w:pPr>
        <w:bidi/>
        <w:rPr>
          <w:rFonts w:ascii="Narkisim" w:hAnsi="Narkisim" w:cs="Narkisim"/>
        </w:rPr>
      </w:pPr>
      <w:r w:rsidRPr="00012502">
        <w:rPr>
          <w:rFonts w:ascii="Narkisim" w:hAnsi="Narkisim" w:cs="Narkisim"/>
          <w:u w:val="single"/>
          <w:rtl/>
        </w:rPr>
        <w:t>שם. אמר לו אביו היטמא</w:t>
      </w:r>
      <w:r w:rsidRPr="00012502">
        <w:rPr>
          <w:rFonts w:ascii="Narkisim" w:hAnsi="Narkisim" w:cs="Narkisim"/>
          <w:rtl/>
        </w:rPr>
        <w:t>. ה</w:t>
      </w:r>
      <w:r w:rsidRPr="00012502">
        <w:rPr>
          <w:rFonts w:ascii="Narkisim" w:hAnsi="Narkisim" w:cs="Narkisim"/>
          <w:b/>
          <w:bCs/>
          <w:rtl/>
        </w:rPr>
        <w:t>הג"מ</w:t>
      </w:r>
      <w:r w:rsidRPr="00012502">
        <w:rPr>
          <w:rFonts w:ascii="Narkisim" w:hAnsi="Narkisim" w:cs="Narkisim"/>
          <w:rtl/>
        </w:rPr>
        <w:t xml:space="preserve"> </w:t>
      </w:r>
      <w:r w:rsidRPr="00012502">
        <w:rPr>
          <w:rFonts w:ascii="Narkisim" w:hAnsi="Narkisim" w:cs="Narkisim"/>
          <w:szCs w:val="20"/>
          <w:rtl/>
        </w:rPr>
        <w:t>(ממרים ו ח)</w:t>
      </w:r>
      <w:r w:rsidRPr="00012502">
        <w:rPr>
          <w:rFonts w:ascii="Narkisim" w:hAnsi="Narkisim" w:cs="Narkisim"/>
          <w:rtl/>
        </w:rPr>
        <w:t xml:space="preserve"> בשם ה</w:t>
      </w:r>
      <w:r w:rsidRPr="00012502">
        <w:rPr>
          <w:rFonts w:ascii="Narkisim" w:hAnsi="Narkisim" w:cs="Narkisim"/>
          <w:b/>
          <w:bCs/>
          <w:rtl/>
        </w:rPr>
        <w:t>סמ"ג</w:t>
      </w:r>
      <w:r w:rsidRPr="00012502">
        <w:rPr>
          <w:rFonts w:ascii="Narkisim" w:hAnsi="Narkisim" w:cs="Narkisim"/>
          <w:rtl/>
        </w:rPr>
        <w:t xml:space="preserve"> הק' דהיכא דצווה לעשות נגד התורה הוה רשע</w:t>
      </w:r>
      <w:r w:rsidRPr="00012502">
        <w:rPr>
          <w:rStyle w:val="ac"/>
          <w:rFonts w:ascii="Narkisim" w:hAnsi="Narkisim" w:cs="Narkisim"/>
          <w:rtl/>
        </w:rPr>
        <w:footnoteReference w:id="284"/>
      </w:r>
      <w:r w:rsidRPr="00012502">
        <w:rPr>
          <w:rFonts w:ascii="Narkisim" w:hAnsi="Narkisim" w:cs="Narkisim"/>
          <w:rtl/>
        </w:rPr>
        <w:t>, ופשיטא שלא ישמע לו. והוכיח דאינו נעשה רשע בדיבור.</w:t>
      </w:r>
    </w:p>
    <w:p w14:paraId="33E702E9"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משנ"ל</w:t>
      </w:r>
      <w:r w:rsidRPr="00012502">
        <w:rPr>
          <w:rFonts w:ascii="Narkisim" w:hAnsi="Narkisim"/>
          <w:rtl/>
        </w:rPr>
        <w:t xml:space="preserve"> (גזילה יא יט) כת' דאיירי דאמר לו לעסוק בכבודו [וממילא לא יחזיר אבידה], אבל היכא דאמר לו לא להחזיר כדי לעבור על דין התורה פשיטא דלא ישמע, דדרשי' בעושה מעשה עמך.</w:t>
      </w:r>
    </w:p>
    <w:p w14:paraId="4067630F"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רע"א</w:t>
      </w:r>
      <w:r w:rsidRPr="00012502">
        <w:rPr>
          <w:rFonts w:ascii="Narkisim" w:hAnsi="Narkisim"/>
          <w:rtl/>
        </w:rPr>
        <w:t xml:space="preserve"> תמה דאדרבה אילו היה הדין דעדל"ת, א"כ אינו עובר על דברי התורה. </w:t>
      </w:r>
      <w:r w:rsidRPr="00012502">
        <w:rPr>
          <w:rFonts w:ascii="Narkisim" w:hAnsi="Narkisim"/>
          <w:sz w:val="20"/>
          <w:szCs w:val="20"/>
          <w:rtl/>
        </w:rPr>
        <w:t>וב</w:t>
      </w:r>
      <w:r w:rsidRPr="00012502">
        <w:rPr>
          <w:rFonts w:ascii="Narkisim" w:hAnsi="Narkisim"/>
          <w:b/>
          <w:bCs/>
          <w:sz w:val="20"/>
          <w:szCs w:val="20"/>
          <w:rtl/>
        </w:rPr>
        <w:t>חי' ר' נחום</w:t>
      </w:r>
      <w:r w:rsidRPr="00012502">
        <w:rPr>
          <w:rFonts w:ascii="Narkisim" w:hAnsi="Narkisim"/>
          <w:sz w:val="20"/>
          <w:szCs w:val="20"/>
          <w:rtl/>
        </w:rPr>
        <w:t xml:space="preserve"> כת' דלצד דילפי' מהכא עדל"ת, גדר הדין דחיוב כיבוד אב מחייב לעבור על מצווה אחרת, ולא הוה כדין עדל"ת דהאיסור נדחה.</w:t>
      </w:r>
    </w:p>
    <w:p w14:paraId="59501C0D" w14:textId="77777777" w:rsidR="00BE1D1C" w:rsidRPr="00012502" w:rsidRDefault="00000000" w:rsidP="00012502">
      <w:pPr>
        <w:bidi/>
        <w:rPr>
          <w:rFonts w:ascii="Narkisim" w:hAnsi="Narkisim" w:cs="Narkisim"/>
        </w:rPr>
      </w:pPr>
      <w:r w:rsidRPr="00012502">
        <w:rPr>
          <w:rFonts w:ascii="Narkisim" w:hAnsi="Narkisim" w:cs="Narkisim"/>
          <w:u w:val="single"/>
          <w:rtl/>
        </w:rPr>
        <w:t>ת"ל וכו' כולכם חייבין בכבודי</w:t>
      </w:r>
      <w:r w:rsidRPr="00012502">
        <w:rPr>
          <w:rFonts w:ascii="Narkisim" w:hAnsi="Narkisim" w:cs="Narkisim"/>
          <w:rtl/>
        </w:rPr>
        <w:t>. ה</w:t>
      </w:r>
      <w:r w:rsidRPr="00012502">
        <w:rPr>
          <w:rFonts w:ascii="Narkisim" w:hAnsi="Narkisim" w:cs="Narkisim"/>
          <w:b/>
          <w:bCs/>
          <w:rtl/>
        </w:rPr>
        <w:t>רמב"ם</w:t>
      </w:r>
      <w:r w:rsidRPr="00012502">
        <w:rPr>
          <w:rFonts w:ascii="Narkisim" w:hAnsi="Narkisim" w:cs="Narkisim"/>
          <w:rtl/>
        </w:rPr>
        <w:t xml:space="preserve"> </w:t>
      </w:r>
      <w:r w:rsidRPr="00012502">
        <w:rPr>
          <w:rFonts w:ascii="Narkisim" w:hAnsi="Narkisim" w:cs="Narkisim"/>
          <w:sz w:val="20"/>
          <w:szCs w:val="20"/>
          <w:rtl/>
        </w:rPr>
        <w:t>(ממרים ו יב, ו</w:t>
      </w:r>
      <w:r w:rsidRPr="00012502">
        <w:rPr>
          <w:rFonts w:ascii="Narkisim" w:hAnsi="Narkisim" w:cs="Narkisim"/>
          <w:b/>
          <w:bCs/>
          <w:sz w:val="20"/>
          <w:szCs w:val="20"/>
          <w:rtl/>
        </w:rPr>
        <w:t>שו"ע</w:t>
      </w:r>
      <w:r w:rsidRPr="00012502">
        <w:rPr>
          <w:rFonts w:ascii="Narkisim" w:hAnsi="Narkisim" w:cs="Narkisim"/>
          <w:sz w:val="20"/>
          <w:szCs w:val="20"/>
          <w:rtl/>
        </w:rPr>
        <w:t xml:space="preserve"> יו"ד רמ יד)</w:t>
      </w:r>
      <w:r w:rsidRPr="00012502">
        <w:rPr>
          <w:rFonts w:ascii="Narkisim" w:hAnsi="Narkisim" w:cs="Narkisim"/>
          <w:rtl/>
        </w:rPr>
        <w:t xml:space="preserve"> כת' דלא ישמע לו אפי' באיסור דרבנן.</w:t>
      </w:r>
      <w:r w:rsidRPr="00012502">
        <w:rPr>
          <w:rFonts w:ascii="Narkisim" w:hAnsi="Narkisim" w:cs="Narkisim"/>
          <w:sz w:val="20"/>
          <w:szCs w:val="20"/>
          <w:rtl/>
        </w:rPr>
        <w:t xml:space="preserve"> וה</w:t>
      </w:r>
      <w:r w:rsidRPr="00012502">
        <w:rPr>
          <w:rFonts w:ascii="Narkisim" w:hAnsi="Narkisim" w:cs="Narkisim"/>
          <w:b/>
          <w:bCs/>
          <w:sz w:val="20"/>
          <w:szCs w:val="20"/>
          <w:rtl/>
        </w:rPr>
        <w:t>רמב"ם</w:t>
      </w:r>
      <w:r w:rsidRPr="00012502">
        <w:rPr>
          <w:rFonts w:ascii="Narkisim" w:hAnsi="Narkisim" w:cs="Narkisim"/>
          <w:sz w:val="20"/>
          <w:szCs w:val="20"/>
          <w:rtl/>
        </w:rPr>
        <w:t xml:space="preserve"> (שם יג) הוסיף אמר לו אביו השקיני מים, ויש מצוה לעשות יתעסק במצוה, שאתה ואביך חייבים במצוה. </w:t>
      </w:r>
      <w:r w:rsidRPr="00012502">
        <w:rPr>
          <w:rFonts w:ascii="Narkisim" w:hAnsi="Narkisim" w:cs="Narkisim"/>
          <w:rtl/>
        </w:rPr>
        <w:t>וה</w:t>
      </w:r>
      <w:r w:rsidRPr="00012502">
        <w:rPr>
          <w:rFonts w:ascii="Narkisim" w:hAnsi="Narkisim" w:cs="Narkisim"/>
          <w:b/>
          <w:bCs/>
          <w:rtl/>
        </w:rPr>
        <w:t>כס"מ</w:t>
      </w:r>
      <w:r w:rsidRPr="00012502">
        <w:rPr>
          <w:rFonts w:ascii="Narkisim" w:hAnsi="Narkisim" w:cs="Narkisim"/>
          <w:rtl/>
        </w:rPr>
        <w:t xml:space="preserve"> ביאר שהסמיכו איסור דרבנן ללאו דלא תסור</w:t>
      </w:r>
      <w:r w:rsidRPr="00012502">
        <w:rPr>
          <w:rStyle w:val="ac"/>
          <w:rFonts w:ascii="Narkisim" w:hAnsi="Narkisim" w:cs="Narkisim"/>
          <w:rtl/>
        </w:rPr>
        <w:footnoteReference w:id="285"/>
      </w:r>
      <w:r w:rsidRPr="00012502">
        <w:rPr>
          <w:rFonts w:ascii="Narkisim" w:hAnsi="Narkisim" w:cs="Narkisim"/>
          <w:rtl/>
        </w:rPr>
        <w:t>.</w:t>
      </w:r>
    </w:p>
    <w:p w14:paraId="7151043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גר"א</w:t>
      </w:r>
      <w:r w:rsidRPr="00012502">
        <w:rPr>
          <w:rFonts w:ascii="Narkisim" w:hAnsi="Narkisim"/>
          <w:rtl/>
        </w:rPr>
        <w:t xml:space="preserve"> (רמ כו) הק' דבסוגיין אמרו דוקא ל"ת שיש בו כרת. ותי' שהרמב"ם סמך על המדרש (רבה נשא ו) יכול אפי' אמר לך לעבור על דברי המקום. וביאר דס"ל דאביו לא עדיף ממלך שאין שומעים לו לעבור אפי' באיסור דרבנן</w:t>
      </w:r>
      <w:r w:rsidRPr="00012502">
        <w:rPr>
          <w:rStyle w:val="ac"/>
          <w:rFonts w:ascii="Narkisim" w:hAnsi="Narkisim"/>
          <w:rtl/>
        </w:rPr>
        <w:footnoteReference w:id="286"/>
      </w:r>
      <w:r w:rsidRPr="00012502">
        <w:rPr>
          <w:rFonts w:ascii="Narkisim" w:hAnsi="Narkisim"/>
          <w:rtl/>
        </w:rPr>
        <w:t xml:space="preserve">. </w:t>
      </w:r>
      <w:r w:rsidRPr="00012502">
        <w:rPr>
          <w:rFonts w:ascii="Narkisim" w:hAnsi="Narkisim"/>
          <w:sz w:val="20"/>
          <w:szCs w:val="20"/>
          <w:rtl/>
        </w:rPr>
        <w:t>[ויל"ד ע"ד סברת התוס' ה: כולכם חייבים בכבודי]</w:t>
      </w:r>
      <w:r w:rsidRPr="00012502">
        <w:rPr>
          <w:rStyle w:val="ac"/>
          <w:rFonts w:ascii="Narkisim" w:hAnsi="Narkisim"/>
          <w:sz w:val="20"/>
          <w:szCs w:val="20"/>
          <w:rtl/>
        </w:rPr>
        <w:footnoteReference w:id="287"/>
      </w:r>
      <w:r w:rsidRPr="00012502">
        <w:rPr>
          <w:rFonts w:ascii="Narkisim" w:hAnsi="Narkisim"/>
          <w:sz w:val="20"/>
          <w:szCs w:val="20"/>
          <w:rtl/>
        </w:rPr>
        <w:t>.</w:t>
      </w:r>
    </w:p>
    <w:p w14:paraId="4C1CE9CF" w14:textId="77777777" w:rsidR="00BE1D1C" w:rsidRPr="00012502" w:rsidRDefault="00000000" w:rsidP="00012502">
      <w:pPr>
        <w:pStyle w:val="aa"/>
        <w:bidi/>
        <w:rPr>
          <w:rFonts w:ascii="Narkisim" w:hAnsi="Narkisim"/>
        </w:rPr>
      </w:pPr>
      <w:r w:rsidRPr="00012502">
        <w:rPr>
          <w:rFonts w:ascii="Narkisim" w:hAnsi="Narkisim"/>
          <w:rtl/>
        </w:rPr>
        <w:t>אבל ה</w:t>
      </w:r>
      <w:r w:rsidRPr="00012502">
        <w:rPr>
          <w:rFonts w:ascii="Narkisim" w:hAnsi="Narkisim"/>
          <w:b/>
          <w:bCs/>
          <w:rtl/>
        </w:rPr>
        <w:t>רמב"ם</w:t>
      </w:r>
      <w:r w:rsidRPr="00012502">
        <w:rPr>
          <w:rFonts w:ascii="Narkisim" w:hAnsi="Narkisim"/>
          <w:rtl/>
        </w:rPr>
        <w:t xml:space="preserve"> (גזילה יא יט) כת' גבי השבת אבידה, דכשאביו אמר לא להחזיר אבידה לא ישמע לו, דאל"כ ביטל עשה דהשבה ועבר על לא תוכל להתעלם. [משמע דוקא לאו ועשה]. וה</w:t>
      </w:r>
      <w:r w:rsidRPr="00012502">
        <w:rPr>
          <w:rFonts w:ascii="Narkisim" w:hAnsi="Narkisim"/>
          <w:b/>
          <w:bCs/>
          <w:rtl/>
        </w:rPr>
        <w:t>אחרונים</w:t>
      </w:r>
      <w:r w:rsidRPr="00012502">
        <w:rPr>
          <w:rFonts w:ascii="Narkisim" w:hAnsi="Narkisim"/>
          <w:rtl/>
        </w:rPr>
        <w:t xml:space="preserve"> הקשו תיפו"ל דאפי' איסור דרבנן לא ישמע לו. וה</w:t>
      </w:r>
      <w:r w:rsidRPr="00012502">
        <w:rPr>
          <w:rFonts w:ascii="Narkisim" w:hAnsi="Narkisim"/>
          <w:b/>
          <w:bCs/>
          <w:rtl/>
        </w:rPr>
        <w:t>דרישה</w:t>
      </w:r>
      <w:r w:rsidRPr="00012502">
        <w:rPr>
          <w:rFonts w:ascii="Narkisim" w:hAnsi="Narkisim"/>
          <w:rtl/>
        </w:rPr>
        <w:t xml:space="preserve"> (חו"מ רסו ז, ומנח"ח תקלח ג) כתב דאיירי דאמר לו לעסוק בכבודו וממילא לא יחזיר, ובזה אינו מצווה לעבור על מצוה, ולא שייך כולכם חייבים בכבודי. ואילו בסוגיין איירי שצווה לעבור על דברי תורה. [וה</w:t>
      </w:r>
      <w:r w:rsidRPr="00012502">
        <w:rPr>
          <w:rFonts w:ascii="Narkisim" w:hAnsi="Narkisim"/>
          <w:b/>
          <w:bCs/>
          <w:rtl/>
        </w:rPr>
        <w:t>אחרונים</w:t>
      </w:r>
      <w:r w:rsidRPr="00012502">
        <w:rPr>
          <w:rFonts w:ascii="Narkisim" w:hAnsi="Narkisim"/>
          <w:rtl/>
        </w:rPr>
        <w:t xml:space="preserve"> הקשו דמשמע דאף במקום מצוות כיבוד אב לא ישמע בשאר מצוות].</w:t>
      </w:r>
    </w:p>
    <w:p w14:paraId="0C428D08" w14:textId="77777777" w:rsidR="00BE1D1C" w:rsidRPr="00012502" w:rsidRDefault="00000000" w:rsidP="00012502">
      <w:pPr>
        <w:bidi/>
        <w:rPr>
          <w:rFonts w:ascii="Narkisim" w:hAnsi="Narkisim" w:cs="Narkisim"/>
        </w:rPr>
      </w:pPr>
      <w:r w:rsidRPr="00012502">
        <w:rPr>
          <w:rFonts w:ascii="Narkisim" w:hAnsi="Narkisim" w:cs="Narkisim"/>
          <w:u w:val="single"/>
          <w:rtl/>
        </w:rPr>
        <w:t>תוד"ה ניגמר.</w:t>
      </w:r>
      <w:r w:rsidRPr="00012502">
        <w:rPr>
          <w:rFonts w:ascii="Narkisim" w:hAnsi="Narkisim" w:cs="Narkisim"/>
          <w:rtl/>
        </w:rPr>
        <w:t xml:space="preserve"> וא"ת וכו' שאני הכא דהוי עשה ול"ת וכו'</w:t>
      </w:r>
      <w:r w:rsidRPr="00012502">
        <w:rPr>
          <w:rStyle w:val="ac"/>
          <w:rFonts w:ascii="Narkisim" w:hAnsi="Narkisim" w:cs="Narkisim"/>
          <w:rtl/>
        </w:rPr>
        <w:footnoteReference w:id="288"/>
      </w:r>
      <w:r w:rsidRPr="00012502">
        <w:rPr>
          <w:rFonts w:ascii="Narkisim" w:hAnsi="Narkisim" w:cs="Narkisim"/>
          <w:rtl/>
        </w:rPr>
        <w:t>. וה</w:t>
      </w:r>
      <w:r w:rsidRPr="00012502">
        <w:rPr>
          <w:rFonts w:ascii="Narkisim" w:hAnsi="Narkisim" w:cs="Narkisim"/>
          <w:b/>
          <w:bCs/>
          <w:rtl/>
        </w:rPr>
        <w:t>רשב"א</w:t>
      </w:r>
      <w:r w:rsidRPr="00012502">
        <w:rPr>
          <w:rFonts w:ascii="Narkisim" w:hAnsi="Narkisim" w:cs="Narkisim"/>
          <w:rtl/>
        </w:rPr>
        <w:t xml:space="preserve"> כ' בשם מורי הרב </w:t>
      </w:r>
      <w:r w:rsidRPr="00012502">
        <w:rPr>
          <w:rFonts w:ascii="Narkisim" w:hAnsi="Narkisim" w:cs="Narkisim"/>
          <w:sz w:val="20"/>
          <w:szCs w:val="20"/>
          <w:rtl/>
        </w:rPr>
        <w:t>[</w:t>
      </w:r>
      <w:r w:rsidRPr="00012502">
        <w:rPr>
          <w:rFonts w:ascii="Narkisim" w:hAnsi="Narkisim" w:cs="Narkisim"/>
          <w:b/>
          <w:bCs/>
          <w:sz w:val="20"/>
          <w:szCs w:val="20"/>
          <w:rtl/>
        </w:rPr>
        <w:t>רבינו יונה</w:t>
      </w:r>
      <w:r w:rsidRPr="00012502">
        <w:rPr>
          <w:rFonts w:ascii="Narkisim" w:hAnsi="Narkisim" w:cs="Narkisim"/>
          <w:sz w:val="20"/>
          <w:szCs w:val="20"/>
          <w:rtl/>
        </w:rPr>
        <w:t>]</w:t>
      </w:r>
      <w:r w:rsidRPr="00012502">
        <w:rPr>
          <w:rFonts w:ascii="Narkisim" w:hAnsi="Narkisim" w:cs="Narkisim"/>
          <w:rtl/>
        </w:rPr>
        <w:t xml:space="preserve"> דבמחמר ליכא עשה, דקרא דתשבות קאי אאבות מלאכות</w:t>
      </w:r>
      <w:r w:rsidRPr="00012502">
        <w:rPr>
          <w:rStyle w:val="ac"/>
          <w:rFonts w:ascii="Narkisim" w:hAnsi="Narkisim" w:cs="Narkisim"/>
          <w:rtl/>
        </w:rPr>
        <w:footnoteReference w:id="289"/>
      </w:r>
      <w:r w:rsidRPr="00012502">
        <w:rPr>
          <w:rFonts w:ascii="Narkisim" w:hAnsi="Narkisim" w:cs="Narkisim"/>
          <w:rtl/>
        </w:rPr>
        <w:t>. וה</w:t>
      </w:r>
      <w:r w:rsidRPr="00012502">
        <w:rPr>
          <w:rFonts w:ascii="Narkisim" w:hAnsi="Narkisim" w:cs="Narkisim"/>
          <w:b/>
          <w:bCs/>
          <w:rtl/>
        </w:rPr>
        <w:t>מנח"ח</w:t>
      </w:r>
      <w:r w:rsidRPr="00012502">
        <w:rPr>
          <w:rFonts w:ascii="Narkisim" w:hAnsi="Narkisim" w:cs="Narkisim"/>
          <w:rtl/>
        </w:rPr>
        <w:t xml:space="preserve"> </w:t>
      </w:r>
      <w:r w:rsidRPr="00012502">
        <w:rPr>
          <w:rFonts w:ascii="Narkisim" w:hAnsi="Narkisim" w:cs="Narkisim"/>
          <w:sz w:val="20"/>
          <w:szCs w:val="20"/>
          <w:rtl/>
        </w:rPr>
        <w:t xml:space="preserve">(כד א) </w:t>
      </w:r>
      <w:r w:rsidRPr="00012502">
        <w:rPr>
          <w:rFonts w:ascii="Narkisim" w:hAnsi="Narkisim" w:cs="Narkisim"/>
          <w:rtl/>
        </w:rPr>
        <w:t>כת' דלפ"ז אף תחומין</w:t>
      </w:r>
      <w:r w:rsidRPr="00012502">
        <w:rPr>
          <w:rFonts w:ascii="Narkisim" w:hAnsi="Narkisim" w:cs="Narkisim"/>
          <w:sz w:val="20"/>
          <w:szCs w:val="20"/>
          <w:rtl/>
        </w:rPr>
        <w:t xml:space="preserve"> [למ"ד תחומין דאורייתא]</w:t>
      </w:r>
      <w:r w:rsidRPr="00012502">
        <w:rPr>
          <w:rFonts w:ascii="Narkisim" w:hAnsi="Narkisim" w:cs="Narkisim"/>
          <w:rtl/>
        </w:rPr>
        <w:t xml:space="preserve"> אינו נכלל בעשה ד'תשבות'</w:t>
      </w:r>
      <w:r w:rsidRPr="00012502">
        <w:rPr>
          <w:rStyle w:val="ac"/>
          <w:rFonts w:ascii="Narkisim" w:hAnsi="Narkisim" w:cs="Narkisim"/>
          <w:rtl/>
        </w:rPr>
        <w:footnoteReference w:id="290"/>
      </w:r>
      <w:r w:rsidRPr="00012502">
        <w:rPr>
          <w:rFonts w:ascii="Narkisim" w:hAnsi="Narkisim" w:cs="Narkisim"/>
          <w:rtl/>
        </w:rPr>
        <w:t>.</w:t>
      </w:r>
    </w:p>
    <w:p w14:paraId="702935C8" w14:textId="77777777" w:rsidR="00BE1D1C" w:rsidRPr="00012502" w:rsidRDefault="00000000" w:rsidP="00012502">
      <w:pPr>
        <w:pStyle w:val="a8"/>
        <w:bidi/>
        <w:rPr>
          <w:rFonts w:ascii="Narkisim" w:hAnsi="Narkisim"/>
        </w:rPr>
      </w:pPr>
      <w:r w:rsidRPr="00012502">
        <w:rPr>
          <w:rFonts w:ascii="Narkisim" w:hAnsi="Narkisim"/>
          <w:rtl/>
        </w:rPr>
        <w:t>אך בגמ' (ר"ה לב:) אי' דעשה דשופר לא דחי איסור תחומין, דהוה ל"ת ועשה. ואף למ"ד תחומין דרבנן עשו חיזוק לדבריהם כשל תורה. והמנח"ח כתב דלמ"ד תחומין דרבנן א"ש דחכמים עשוה כמלאכה, ויש ל"ת ועשה. אבל למ"ד תחומין דאורייתא אמאי לא דחי עשה לל"ת</w:t>
      </w:r>
      <w:r w:rsidRPr="00012502">
        <w:rPr>
          <w:rStyle w:val="ac"/>
          <w:rFonts w:ascii="Narkisim" w:hAnsi="Narkisim"/>
          <w:rtl/>
        </w:rPr>
        <w:footnoteReference w:id="291"/>
      </w:r>
      <w:r w:rsidRPr="00012502">
        <w:rPr>
          <w:rFonts w:ascii="Narkisim" w:hAnsi="Narkisim"/>
          <w:rtl/>
        </w:rPr>
        <w:t>.</w:t>
      </w:r>
    </w:p>
    <w:p w14:paraId="78013D9A" w14:textId="77777777" w:rsidR="00BE1D1C" w:rsidRPr="00012502" w:rsidRDefault="00000000" w:rsidP="00012502">
      <w:pPr>
        <w:pStyle w:val="2"/>
        <w:bidi/>
        <w:rPr>
          <w:rFonts w:ascii="Narkisim" w:hAnsi="Narkisim"/>
        </w:rPr>
      </w:pPr>
      <w:r w:rsidRPr="00012502">
        <w:rPr>
          <w:rFonts w:ascii="Narkisim" w:hAnsi="Narkisim"/>
          <w:rtl/>
        </w:rPr>
        <w:t>הכשר מצווה</w:t>
      </w:r>
    </w:p>
    <w:p w14:paraId="62A53833" w14:textId="77777777" w:rsidR="00BE1D1C" w:rsidRPr="00012502" w:rsidRDefault="00000000" w:rsidP="00012502">
      <w:pPr>
        <w:bidi/>
        <w:rPr>
          <w:rFonts w:ascii="Narkisim" w:hAnsi="Narkisim" w:cs="Narkisim"/>
        </w:rPr>
      </w:pPr>
      <w:r w:rsidRPr="00012502">
        <w:rPr>
          <w:rFonts w:ascii="Narkisim" w:hAnsi="Narkisim" w:cs="Narkisim"/>
          <w:u w:val="single"/>
          <w:rtl/>
        </w:rPr>
        <w:t>מה להנך שכן הכשר מצווה</w:t>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דגבי כיבוד אב הכשר קיומו בשחיטה ובישול ועקירת </w:t>
      </w:r>
      <w:r w:rsidRPr="00012502">
        <w:rPr>
          <w:rFonts w:ascii="Narkisim" w:hAnsi="Narkisim" w:cs="Narkisim"/>
          <w:rtl/>
        </w:rPr>
        <w:lastRenderedPageBreak/>
        <w:t>הל"ת, ואי אפשר לקיימו בלאו הכי</w:t>
      </w:r>
      <w:r w:rsidRPr="00012502">
        <w:rPr>
          <w:rStyle w:val="ac"/>
          <w:rFonts w:ascii="Narkisim" w:hAnsi="Narkisim" w:cs="Narkisim"/>
          <w:rtl/>
        </w:rPr>
        <w:footnoteReference w:id="292"/>
      </w:r>
      <w:r w:rsidRPr="00012502">
        <w:rPr>
          <w:rFonts w:ascii="Narkisim" w:hAnsi="Narkisim" w:cs="Narkisim"/>
          <w:rtl/>
        </w:rPr>
        <w:t>. [ומש"ה נחשב מגוף המצווה</w:t>
      </w:r>
      <w:r w:rsidRPr="00012502">
        <w:rPr>
          <w:rStyle w:val="ac"/>
          <w:rFonts w:ascii="Narkisim" w:hAnsi="Narkisim" w:cs="Narkisim"/>
          <w:rtl/>
        </w:rPr>
        <w:footnoteReference w:id="293"/>
      </w:r>
      <w:r w:rsidRPr="00012502">
        <w:rPr>
          <w:rFonts w:ascii="Narkisim" w:hAnsi="Narkisim" w:cs="Narkisim"/>
          <w:rtl/>
        </w:rPr>
        <w:t>]. ולא ילפי' גבי יבום</w:t>
      </w:r>
      <w:r w:rsidRPr="00012502">
        <w:rPr>
          <w:rStyle w:val="ac"/>
          <w:rFonts w:ascii="Narkisim" w:hAnsi="Narkisim" w:cs="Narkisim"/>
          <w:rtl/>
        </w:rPr>
        <w:footnoteReference w:id="294"/>
      </w:r>
      <w:r w:rsidRPr="00012502">
        <w:rPr>
          <w:rFonts w:ascii="Narkisim" w:hAnsi="Narkisim" w:cs="Narkisim"/>
          <w:rtl/>
        </w:rPr>
        <w:t xml:space="preserve"> דאפשר בחליצה. ומש"ה ליכא ס"ד דעשה ידחה ל"ת [שיש בו כרת], ומש"ה אף לולי 'עליה' לא תתייבם הערוה. </w:t>
      </w:r>
      <w:r w:rsidRPr="00012502">
        <w:rPr>
          <w:rFonts w:ascii="Narkisim" w:hAnsi="Narkisim" w:cs="Narkisim"/>
          <w:szCs w:val="20"/>
          <w:rtl/>
        </w:rPr>
        <w:t>[ולולי דדרשי' 'עליה' היתה חולצת</w:t>
      </w:r>
      <w:r w:rsidRPr="00012502">
        <w:rPr>
          <w:rStyle w:val="ac"/>
          <w:rFonts w:ascii="Narkisim" w:hAnsi="Narkisim" w:cs="Narkisim"/>
          <w:szCs w:val="20"/>
          <w:rtl/>
        </w:rPr>
        <w:footnoteReference w:id="295"/>
      </w:r>
      <w:r w:rsidRPr="00012502">
        <w:rPr>
          <w:rFonts w:ascii="Narkisim" w:hAnsi="Narkisim" w:cs="Narkisim"/>
          <w:szCs w:val="20"/>
          <w:rtl/>
        </w:rPr>
        <w:t>. ותוס' ושא"ר הק' בזה, ע' בסמוך</w:t>
      </w:r>
      <w:r w:rsidRPr="00012502">
        <w:rPr>
          <w:rFonts w:ascii="Narkisim" w:hAnsi="Narkisim" w:cs="Narkisim"/>
          <w:rtl/>
        </w:rPr>
        <w:t>].</w:t>
      </w:r>
    </w:p>
    <w:p w14:paraId="7769F515"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נקטו דכוונת רש"י משום גדרי אפשר לקיים שניהם, וכדר"ל (לקמן כ: ושבת קלג.), ותוס' הק' דמסקנת הגמ' (לקמן כא.) דחליצה במקום יבום לאו מצוה. ולא נחשב אפשר לקיים שניהם.</w:t>
      </w:r>
    </w:p>
    <w:p w14:paraId="36EC30CC"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דייקו מדברי </w:t>
      </w:r>
      <w:r w:rsidRPr="00012502">
        <w:rPr>
          <w:rFonts w:ascii="Narkisim" w:hAnsi="Narkisim"/>
          <w:b/>
          <w:bCs/>
          <w:rtl/>
        </w:rPr>
        <w:t>רש"י</w:t>
      </w:r>
      <w:r w:rsidRPr="00012502">
        <w:rPr>
          <w:rFonts w:ascii="Narkisim" w:hAnsi="Narkisim"/>
          <w:rtl/>
        </w:rPr>
        <w:t xml:space="preserve"> דהכא הוה סברא אחרת בגדרי דחייה, דהיכא דלא תתבטל העשה לגמרי לא דחי.</w:t>
      </w:r>
    </w:p>
    <w:p w14:paraId="1E18D9DA" w14:textId="77777777" w:rsidR="00BE1D1C" w:rsidRPr="00012502" w:rsidRDefault="00000000" w:rsidP="00012502">
      <w:pPr>
        <w:pStyle w:val="a8"/>
        <w:bidi/>
        <w:rPr>
          <w:rFonts w:ascii="Narkisim" w:hAnsi="Narkisim"/>
        </w:rPr>
      </w:pPr>
      <w:r w:rsidRPr="00012502">
        <w:rPr>
          <w:rFonts w:ascii="Narkisim" w:hAnsi="Narkisim"/>
          <w:rtl/>
        </w:rPr>
        <w:t>ועוה"ק ה</w:t>
      </w:r>
      <w:r w:rsidRPr="00012502">
        <w:rPr>
          <w:rFonts w:ascii="Narkisim" w:hAnsi="Narkisim"/>
          <w:b/>
          <w:bCs/>
          <w:rtl/>
        </w:rPr>
        <w:t>רמב"ן</w:t>
      </w:r>
      <w:r w:rsidRPr="00012502">
        <w:rPr>
          <w:rFonts w:ascii="Narkisim" w:hAnsi="Narkisim"/>
          <w:rtl/>
        </w:rPr>
        <w:t xml:space="preserve"> דאמרי' עדל"ת אף כשאפשר למחר (ע' לעיל ה:), והרי לא הוה הכשר מצווה לרש"י</w:t>
      </w:r>
      <w:r w:rsidRPr="00012502">
        <w:rPr>
          <w:rStyle w:val="ac"/>
          <w:rFonts w:ascii="Narkisim" w:hAnsi="Narkisim"/>
          <w:rtl/>
        </w:rPr>
        <w:footnoteReference w:id="296"/>
      </w:r>
      <w:r w:rsidRPr="00012502">
        <w:rPr>
          <w:rFonts w:ascii="Narkisim" w:hAnsi="Narkisim"/>
          <w:rtl/>
        </w:rPr>
        <w:t>.</w:t>
      </w:r>
    </w:p>
    <w:p w14:paraId="3A6A4E92" w14:textId="77777777" w:rsidR="00BE1D1C" w:rsidRPr="00012502" w:rsidRDefault="00000000" w:rsidP="00012502">
      <w:pPr>
        <w:pStyle w:val="a7"/>
        <w:bidi/>
        <w:rPr>
          <w:rFonts w:ascii="Narkisim" w:hAnsi="Narkisim"/>
        </w:rPr>
      </w:pPr>
      <w:r w:rsidRPr="00012502">
        <w:rPr>
          <w:rFonts w:ascii="Narkisim" w:hAnsi="Narkisim"/>
          <w:rtl/>
        </w:rPr>
        <w:t>ולדעת רש"י 'הכשר מצווה' הוה גריעותא לגבי יבום, ולפ"ז אמרי' דעשה דוחה ל"ת שיש בו כרת, מלבד ביבום</w:t>
      </w:r>
      <w:r w:rsidRPr="00012502">
        <w:rPr>
          <w:rStyle w:val="ac"/>
          <w:rFonts w:ascii="Narkisim" w:hAnsi="Narkisim"/>
          <w:rtl/>
        </w:rPr>
        <w:footnoteReference w:id="297"/>
      </w:r>
      <w:r w:rsidRPr="00012502">
        <w:rPr>
          <w:rFonts w:ascii="Narkisim" w:hAnsi="Narkisim"/>
          <w:rtl/>
        </w:rPr>
        <w:t>.</w:t>
      </w:r>
    </w:p>
    <w:p w14:paraId="1B5510BB" w14:textId="77777777" w:rsidR="00BE1D1C" w:rsidRPr="00012502" w:rsidRDefault="00000000" w:rsidP="00012502">
      <w:pPr>
        <w:bidi/>
        <w:rPr>
          <w:rFonts w:ascii="Narkisim" w:hAnsi="Narkisim" w:cs="Narkisim"/>
        </w:rPr>
      </w:pPr>
      <w:r w:rsidRPr="00012502">
        <w:rPr>
          <w:rFonts w:ascii="Narkisim" w:hAnsi="Narkisim" w:cs="Narkisim"/>
          <w:rtl/>
        </w:rPr>
        <w:t>ו</w:t>
      </w:r>
      <w:r w:rsidRPr="00012502">
        <w:rPr>
          <w:rFonts w:ascii="Narkisim" w:hAnsi="Narkisim" w:cs="Narkisim"/>
          <w:b/>
          <w:bCs/>
          <w:rtl/>
        </w:rPr>
        <w:t>תוס</w:t>
      </w:r>
      <w:r w:rsidRPr="00012502">
        <w:rPr>
          <w:rFonts w:ascii="Narkisim" w:hAnsi="Narkisim" w:cs="Narkisim"/>
          <w:rtl/>
        </w:rPr>
        <w:t>' ו</w:t>
      </w:r>
      <w:r w:rsidRPr="00012502">
        <w:rPr>
          <w:rFonts w:ascii="Narkisim" w:hAnsi="Narkisim" w:cs="Narkisim"/>
          <w:b/>
          <w:bCs/>
          <w:rtl/>
        </w:rPr>
        <w:t>שא"ר</w:t>
      </w:r>
      <w:r w:rsidRPr="00012502">
        <w:rPr>
          <w:rFonts w:ascii="Narkisim" w:hAnsi="Narkisim" w:cs="Narkisim"/>
          <w:rtl/>
        </w:rPr>
        <w:t xml:space="preserve"> פי' כוונת הגמ' דהעיסוק עבור הכיבוד הוה רק מכשירין, ולא הוה גוף המצווה. ולא הוה בשעה שמכבדו, ומש"ה אינו דוחה לל"ת.</w:t>
      </w:r>
    </w:p>
    <w:p w14:paraId="296F99AC"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דנו בכ"מ בגדר מכשירי מצווה, האם נחשב עשיית מצווה או היכי תמצי בעלמא</w:t>
      </w:r>
      <w:r w:rsidRPr="00012502">
        <w:rPr>
          <w:rStyle w:val="ac"/>
          <w:rFonts w:ascii="Narkisim" w:hAnsi="Narkisim"/>
          <w:rtl/>
        </w:rPr>
        <w:footnoteReference w:id="298"/>
      </w:r>
      <w:r w:rsidRPr="00012502">
        <w:rPr>
          <w:rFonts w:ascii="Narkisim" w:hAnsi="Narkisim"/>
          <w:rtl/>
        </w:rPr>
        <w:t>.</w:t>
      </w:r>
    </w:p>
    <w:p w14:paraId="396716C1" w14:textId="77777777" w:rsidR="00BE1D1C" w:rsidRPr="00012502" w:rsidRDefault="00000000" w:rsidP="00012502">
      <w:pPr>
        <w:bidi/>
        <w:rPr>
          <w:rFonts w:ascii="Narkisim" w:hAnsi="Narkisim" w:cs="Narkisim"/>
        </w:rPr>
      </w:pPr>
      <w:r w:rsidRPr="00012502">
        <w:rPr>
          <w:rFonts w:ascii="Narkisim" w:hAnsi="Narkisim" w:cs="Narkisim"/>
          <w:u w:val="single"/>
          <w:rtl/>
        </w:rPr>
        <w:t>תוד"ה שכן.</w:t>
      </w:r>
      <w:r w:rsidRPr="00012502">
        <w:rPr>
          <w:rFonts w:ascii="Narkisim" w:hAnsi="Narkisim" w:cs="Narkisim"/>
          <w:rtl/>
        </w:rPr>
        <w:t xml:space="preserve"> וקשה לר"י דאין זה אפשר וכו' חליצה נמי לא בעי דכל שאין עולה ליבום וכו'. [וכדאי' לקמן כ.</w:t>
      </w:r>
      <w:r w:rsidRPr="00012502">
        <w:rPr>
          <w:rStyle w:val="ac"/>
          <w:rFonts w:ascii="Narkisim" w:hAnsi="Narkisim" w:cs="Narkisim"/>
          <w:rtl/>
        </w:rPr>
        <w:footnoteReference w:id="299"/>
      </w:r>
      <w:r w:rsidRPr="00012502">
        <w:rPr>
          <w:rFonts w:ascii="Narkisim" w:hAnsi="Narkisim" w:cs="Narkisim"/>
          <w:rtl/>
        </w:rPr>
        <w:t>]. וה</w:t>
      </w:r>
      <w:r w:rsidRPr="00012502">
        <w:rPr>
          <w:rFonts w:ascii="Narkisim" w:hAnsi="Narkisim" w:cs="Narkisim"/>
          <w:b/>
          <w:bCs/>
          <w:rtl/>
        </w:rPr>
        <w:t>ברכ"ש</w:t>
      </w:r>
      <w:r w:rsidRPr="00012502">
        <w:rPr>
          <w:rFonts w:ascii="Narkisim" w:hAnsi="Narkisim" w:cs="Narkisim"/>
          <w:rtl/>
        </w:rPr>
        <w:t xml:space="preserve"> (ג א) הק' א"כ הדין נותן שידחה לאיסור ערוה, ויעלה ליבום ולחליצה. וע"כ הותר אף לייבם [דאל"כ תפטר מחליצה]. ומ"מ צריך לחלוץ כדי שלא לפגוע באיסור כרת. </w:t>
      </w:r>
      <w:r w:rsidRPr="00012502">
        <w:rPr>
          <w:rFonts w:ascii="Narkisim" w:hAnsi="Narkisim" w:cs="Narkisim"/>
          <w:sz w:val="20"/>
          <w:szCs w:val="20"/>
          <w:rtl/>
        </w:rPr>
        <w:t>[וה</w:t>
      </w:r>
      <w:r w:rsidRPr="00012502">
        <w:rPr>
          <w:rFonts w:ascii="Narkisim" w:hAnsi="Narkisim" w:cs="Narkisim"/>
          <w:b/>
          <w:bCs/>
          <w:sz w:val="20"/>
          <w:szCs w:val="20"/>
          <w:rtl/>
        </w:rPr>
        <w:t>ערוך לנר</w:t>
      </w:r>
      <w:r w:rsidRPr="00012502">
        <w:rPr>
          <w:rFonts w:ascii="Narkisim" w:hAnsi="Narkisim" w:cs="Narkisim"/>
          <w:sz w:val="20"/>
          <w:szCs w:val="20"/>
          <w:rtl/>
        </w:rPr>
        <w:t xml:space="preserve"> יישב דעת רש"י עד"ז]</w:t>
      </w:r>
      <w:r w:rsidRPr="00012502">
        <w:rPr>
          <w:rFonts w:ascii="Narkisim" w:hAnsi="Narkisim" w:cs="Narkisim"/>
          <w:rtl/>
        </w:rPr>
        <w:t>. והברכ"ש הביא דה</w:t>
      </w:r>
      <w:r w:rsidRPr="00012502">
        <w:rPr>
          <w:rFonts w:ascii="Narkisim" w:hAnsi="Narkisim" w:cs="Narkisim"/>
          <w:b/>
          <w:bCs/>
          <w:rtl/>
        </w:rPr>
        <w:t>גר"ח</w:t>
      </w:r>
      <w:r w:rsidRPr="00012502">
        <w:rPr>
          <w:rFonts w:ascii="Narkisim" w:hAnsi="Narkisim" w:cs="Narkisim"/>
          <w:rtl/>
        </w:rPr>
        <w:t xml:space="preserve"> תי' דדחייה </w:t>
      </w:r>
      <w:r w:rsidRPr="00012502">
        <w:rPr>
          <w:rFonts w:ascii="Narkisim" w:hAnsi="Narkisim" w:cs="Narkisim"/>
          <w:i/>
          <w:iCs/>
          <w:rtl/>
        </w:rPr>
        <w:t xml:space="preserve">בכח </w:t>
      </w:r>
      <w:r w:rsidRPr="00012502">
        <w:rPr>
          <w:rFonts w:ascii="Narkisim" w:hAnsi="Narkisim" w:cs="Narkisim"/>
          <w:rtl/>
        </w:rPr>
        <w:t>לא אמרינן</w:t>
      </w:r>
      <w:r w:rsidRPr="00012502">
        <w:rPr>
          <w:rStyle w:val="ac"/>
          <w:rFonts w:ascii="Narkisim" w:hAnsi="Narkisim" w:cs="Narkisim"/>
          <w:rtl/>
        </w:rPr>
        <w:footnoteReference w:id="300"/>
      </w:r>
      <w:r w:rsidRPr="00012502">
        <w:rPr>
          <w:rFonts w:ascii="Narkisim" w:hAnsi="Narkisim" w:cs="Narkisim"/>
          <w:rtl/>
        </w:rPr>
        <w:t>. דכל זמן שלא נדחה בפועל אין זה עולה ליבום</w:t>
      </w:r>
      <w:r w:rsidRPr="00012502">
        <w:rPr>
          <w:rFonts w:ascii="Narkisim" w:hAnsi="Narkisim" w:cs="Narkisim"/>
          <w:i/>
          <w:iCs/>
          <w:rtl/>
        </w:rPr>
        <w:t xml:space="preserve">. </w:t>
      </w:r>
      <w:r w:rsidRPr="00012502">
        <w:rPr>
          <w:rFonts w:ascii="Narkisim" w:hAnsi="Narkisim" w:cs="Narkisim"/>
          <w:rtl/>
        </w:rPr>
        <w:t>וע"ע גרנ"ט.</w:t>
      </w:r>
    </w:p>
    <w:p w14:paraId="42E0B797" w14:textId="77777777" w:rsidR="00BE1D1C" w:rsidRPr="00012502" w:rsidRDefault="00000000" w:rsidP="00012502">
      <w:pPr>
        <w:bidi/>
        <w:rPr>
          <w:rFonts w:ascii="Narkisim" w:hAnsi="Narkisim" w:cs="Narkisim"/>
        </w:rPr>
      </w:pPr>
      <w:r w:rsidRPr="00012502">
        <w:rPr>
          <w:rFonts w:ascii="Narkisim" w:hAnsi="Narkisim" w:cs="Narkisim"/>
          <w:u w:val="single"/>
          <w:rtl/>
        </w:rPr>
        <w:t>בא"ד ועוד וכו' דלא חשבינן גבי יבום אפשר לקיים ע"י חליצה, משום דחליצה במקום יבום לאו מצוה היא</w:t>
      </w:r>
      <w:r w:rsidRPr="00012502">
        <w:rPr>
          <w:rStyle w:val="ac"/>
          <w:rFonts w:ascii="Narkisim" w:hAnsi="Narkisim" w:cs="Narkisim"/>
          <w:rtl/>
        </w:rPr>
        <w:footnoteReference w:id="301"/>
      </w:r>
      <w:r w:rsidRPr="00012502">
        <w:rPr>
          <w:rFonts w:ascii="Narkisim" w:hAnsi="Narkisim" w:cs="Narkisim"/>
          <w:rtl/>
        </w:rPr>
        <w:t>. [וכדאי' לקמן כא.]. ו</w:t>
      </w:r>
      <w:r w:rsidRPr="00012502">
        <w:rPr>
          <w:rFonts w:ascii="Narkisim" w:hAnsi="Narkisim" w:cs="Narkisim"/>
          <w:b/>
          <w:bCs/>
          <w:rtl/>
        </w:rPr>
        <w:t>האחרונים</w:t>
      </w:r>
      <w:r w:rsidRPr="00012502">
        <w:rPr>
          <w:rFonts w:ascii="Narkisim" w:hAnsi="Narkisim" w:cs="Narkisim"/>
          <w:rtl/>
        </w:rPr>
        <w:t xml:space="preserve"> תי' דה"מ בגדרי אפשר לקיים שניהם. אבל הכא [לדעת רש"י] לא תליא בגדר אפשר לקיים שניהם. וה</w:t>
      </w:r>
      <w:r w:rsidRPr="00012502">
        <w:rPr>
          <w:rFonts w:ascii="Narkisim" w:hAnsi="Narkisim" w:cs="Narkisim"/>
          <w:b/>
          <w:bCs/>
          <w:rtl/>
        </w:rPr>
        <w:t>קובה"ע</w:t>
      </w:r>
      <w:r w:rsidRPr="00012502">
        <w:rPr>
          <w:rFonts w:ascii="Narkisim" w:hAnsi="Narkisim" w:cs="Narkisim"/>
          <w:rtl/>
        </w:rPr>
        <w:t xml:space="preserve"> (ח יא) ביאר דעשה דוחה ל"ת גרידא כדי לקיים המצוה, ולא תליא בביטול העשה. וחליצה במקום יבום אינו קיום מצוה, ואף דבדידיה תליא רחמנא ואין בזה ביטול מצוה. אבל דחיית ל"ת שיש בו כרת הוה רק במקום ביטול הל"ת.</w:t>
      </w:r>
    </w:p>
    <w:p w14:paraId="41EFEEA7" w14:textId="77777777" w:rsidR="00BE1D1C" w:rsidRPr="00012502" w:rsidRDefault="00000000" w:rsidP="00012502">
      <w:pPr>
        <w:bidi/>
        <w:rPr>
          <w:rFonts w:ascii="Narkisim" w:hAnsi="Narkisim" w:cs="Narkisim"/>
        </w:rPr>
      </w:pPr>
      <w:r w:rsidRPr="00012502">
        <w:rPr>
          <w:rFonts w:ascii="Narkisim" w:hAnsi="Narkisim" w:cs="Narkisim"/>
          <w:u w:val="single"/>
          <w:rtl/>
        </w:rPr>
        <w:t>בא"ד ועוד דמסקינן דבשום מקום אין עשה דוחה ל"ת שיש בו כרת וכו'</w:t>
      </w:r>
      <w:r w:rsidRPr="00012502">
        <w:rPr>
          <w:rFonts w:ascii="Narkisim" w:hAnsi="Narkisim" w:cs="Narkisim"/>
          <w:rtl/>
        </w:rPr>
        <w:t xml:space="preserve">. ואילו לפרש"י </w:t>
      </w:r>
      <w:r w:rsidRPr="00012502">
        <w:rPr>
          <w:rFonts w:ascii="Narkisim" w:hAnsi="Narkisim" w:cs="Narkisim"/>
          <w:rtl/>
        </w:rPr>
        <w:lastRenderedPageBreak/>
        <w:t>הכשר מצווה דחי לל"ת שיש בו כרת. וב</w:t>
      </w:r>
      <w:r w:rsidRPr="00012502">
        <w:rPr>
          <w:rFonts w:ascii="Narkisim" w:hAnsi="Narkisim" w:cs="Narkisim"/>
          <w:b/>
          <w:bCs/>
          <w:rtl/>
        </w:rPr>
        <w:t xml:space="preserve">תוס' </w:t>
      </w:r>
      <w:r w:rsidRPr="00012502">
        <w:rPr>
          <w:rFonts w:ascii="Narkisim" w:hAnsi="Narkisim" w:cs="Narkisim"/>
          <w:rtl/>
        </w:rPr>
        <w:t>ה</w:t>
      </w:r>
      <w:r w:rsidRPr="00012502">
        <w:rPr>
          <w:rFonts w:ascii="Narkisim" w:hAnsi="Narkisim" w:cs="Narkisim"/>
          <w:b/>
          <w:bCs/>
          <w:rtl/>
        </w:rPr>
        <w:t>מהר"ם והר"פ</w:t>
      </w:r>
      <w:r w:rsidRPr="00012502">
        <w:rPr>
          <w:rFonts w:ascii="Narkisim" w:hAnsi="Narkisim" w:cs="Narkisim"/>
          <w:rtl/>
        </w:rPr>
        <w:t xml:space="preserve"> תי' דקאי רק לס"ד [סוגיא דלעיל ג:] דערוה צריכה קרא, וס"ד דעשה דוחה לאו דכרת, וגדילים מוקמינן לכדרבא</w:t>
      </w:r>
      <w:r w:rsidRPr="00012502">
        <w:rPr>
          <w:rStyle w:val="ac"/>
          <w:rFonts w:ascii="Narkisim" w:hAnsi="Narkisim" w:cs="Narkisim"/>
          <w:rtl/>
        </w:rPr>
        <w:footnoteReference w:id="302"/>
      </w:r>
      <w:r w:rsidRPr="00012502">
        <w:rPr>
          <w:rFonts w:ascii="Narkisim" w:hAnsi="Narkisim" w:cs="Narkisim"/>
          <w:rtl/>
        </w:rPr>
        <w:t>. אבל מסקנת רבא (לקמן ח.) דערוה לא צריכה קרא, אז ודאי לא ידחה כלל.</w:t>
      </w:r>
    </w:p>
    <w:p w14:paraId="2CA34B7E" w14:textId="77777777" w:rsidR="00BE1D1C" w:rsidRPr="00012502" w:rsidRDefault="00000000" w:rsidP="00012502">
      <w:pPr>
        <w:bidi/>
        <w:rPr>
          <w:rFonts w:ascii="Narkisim" w:hAnsi="Narkisim" w:cs="Narkisim"/>
        </w:rPr>
      </w:pPr>
      <w:r w:rsidRPr="00012502">
        <w:rPr>
          <w:rFonts w:ascii="Narkisim" w:hAnsi="Narkisim" w:cs="Narkisim"/>
          <w:u w:val="single"/>
          <w:rtl/>
        </w:rPr>
        <w:t>בא"ד ונראה לר"י וכ"פ ר"ח [וכ"כ שא"ר] וכו'.</w:t>
      </w:r>
      <w:r w:rsidRPr="00012502">
        <w:rPr>
          <w:rFonts w:ascii="Narkisim" w:hAnsi="Narkisim" w:cs="Narkisim"/>
          <w:rtl/>
        </w:rPr>
        <w:t xml:space="preserve"> דמחמר בכיבוד אב הוה 'הכשר מצוה' ולא עיקר המצוה. ועשה דוחה ל"ת אמרי' רק בגוף המצוה. וכשמחמר אחר בהמתו להביא גוזלות אין זה כיבוד אלא הכשר כיבוד. </w:t>
      </w:r>
      <w:r w:rsidRPr="00012502">
        <w:rPr>
          <w:rFonts w:ascii="Narkisim" w:hAnsi="Narkisim" w:cs="Narkisim"/>
          <w:sz w:val="20"/>
          <w:szCs w:val="20"/>
          <w:rtl/>
        </w:rPr>
        <w:t>[כ"כ ה</w:t>
      </w:r>
      <w:r w:rsidRPr="00012502">
        <w:rPr>
          <w:rFonts w:ascii="Narkisim" w:hAnsi="Narkisim" w:cs="Narkisim"/>
          <w:b/>
          <w:bCs/>
          <w:sz w:val="20"/>
          <w:szCs w:val="20"/>
          <w:rtl/>
        </w:rPr>
        <w:t>רמב"ן</w:t>
      </w:r>
      <w:r w:rsidRPr="00012502">
        <w:rPr>
          <w:rFonts w:ascii="Narkisim" w:hAnsi="Narkisim" w:cs="Narkisim"/>
          <w:sz w:val="20"/>
          <w:szCs w:val="20"/>
          <w:rtl/>
        </w:rPr>
        <w:t xml:space="preserve"> ושאר ראשונים].</w:t>
      </w:r>
    </w:p>
    <w:p w14:paraId="0F93FDEA" w14:textId="77777777" w:rsidR="00BE1D1C" w:rsidRPr="00012502" w:rsidRDefault="00000000" w:rsidP="00012502">
      <w:pPr>
        <w:bidi/>
        <w:rPr>
          <w:rFonts w:ascii="Narkisim" w:hAnsi="Narkisim" w:cs="Narkisim"/>
        </w:rPr>
      </w:pPr>
      <w:r w:rsidRPr="00012502">
        <w:rPr>
          <w:rFonts w:ascii="Narkisim" w:hAnsi="Narkisim" w:cs="Narkisim"/>
          <w:rtl/>
        </w:rPr>
        <w:t>ועפ"ז אף בשאר מצוות דוקא בגוף המצווה אמרי' עשה דוחה ל"ת, אבל מכשירי מצווה לא דחי לל"ת. ועד"ז ה</w:t>
      </w:r>
      <w:r w:rsidRPr="00012502">
        <w:rPr>
          <w:rFonts w:ascii="Narkisim" w:hAnsi="Narkisim" w:cs="Narkisim"/>
          <w:b/>
          <w:bCs/>
          <w:rtl/>
        </w:rPr>
        <w:t>רמב"ן</w:t>
      </w:r>
      <w:r w:rsidRPr="00012502">
        <w:rPr>
          <w:rFonts w:ascii="Narkisim" w:hAnsi="Narkisim" w:cs="Narkisim"/>
          <w:rtl/>
        </w:rPr>
        <w:t xml:space="preserve"> (ב"מ ל.) הק' בהא דדנו בהשבת אבידה לכהן והיא בבית הקברות, הא נטמא בשעה שנוטל האבידה. ואינו מקיים עשה עד שיחזיר לבעליו</w:t>
      </w:r>
      <w:r w:rsidRPr="00012502">
        <w:rPr>
          <w:rStyle w:val="ac"/>
          <w:rFonts w:ascii="Narkisim" w:hAnsi="Narkisim" w:cs="Narkisim"/>
          <w:rtl/>
        </w:rPr>
        <w:footnoteReference w:id="303"/>
      </w:r>
      <w:r w:rsidRPr="00012502">
        <w:rPr>
          <w:rFonts w:ascii="Narkisim" w:hAnsi="Narkisim" w:cs="Narkisim"/>
          <w:rtl/>
        </w:rPr>
        <w:t>. ובחי' ה</w:t>
      </w:r>
      <w:r w:rsidRPr="00012502">
        <w:rPr>
          <w:rFonts w:ascii="Narkisim" w:hAnsi="Narkisim" w:cs="Narkisim"/>
          <w:b/>
          <w:bCs/>
          <w:rtl/>
        </w:rPr>
        <w:t>ר"ן</w:t>
      </w:r>
      <w:r w:rsidRPr="00012502">
        <w:rPr>
          <w:rFonts w:ascii="Narkisim" w:hAnsi="Narkisim" w:cs="Narkisim"/>
          <w:rtl/>
        </w:rPr>
        <w:t xml:space="preserve"> (שם) כת' דנטילת האבידה מתעסק בגוף המצווה</w:t>
      </w:r>
      <w:r w:rsidRPr="00012502">
        <w:rPr>
          <w:rStyle w:val="ac"/>
          <w:rFonts w:ascii="Narkisim" w:hAnsi="Narkisim" w:cs="Narkisim"/>
          <w:rtl/>
        </w:rPr>
        <w:footnoteReference w:id="304"/>
      </w:r>
      <w:r w:rsidRPr="00012502">
        <w:rPr>
          <w:rFonts w:ascii="Narkisim" w:hAnsi="Narkisim" w:cs="Narkisim"/>
          <w:rtl/>
        </w:rPr>
        <w:t>, ולא הוה מכשירין בעלמא. [אבל מכשירין בעלמא מודה דדחי].</w:t>
      </w:r>
    </w:p>
    <w:p w14:paraId="3B80A504" w14:textId="77777777" w:rsidR="00BE1D1C" w:rsidRPr="00012502" w:rsidRDefault="00000000" w:rsidP="00012502">
      <w:pPr>
        <w:pStyle w:val="a7"/>
        <w:bidi/>
        <w:rPr>
          <w:rFonts w:ascii="Narkisim" w:hAnsi="Narkisim"/>
        </w:rPr>
      </w:pPr>
      <w:r w:rsidRPr="00012502">
        <w:rPr>
          <w:rFonts w:ascii="Narkisim" w:hAnsi="Narkisim"/>
          <w:rtl/>
        </w:rPr>
        <w:t>אך ה</w:t>
      </w:r>
      <w:r w:rsidRPr="00012502">
        <w:rPr>
          <w:rFonts w:ascii="Narkisim" w:hAnsi="Narkisim"/>
          <w:b/>
          <w:bCs/>
          <w:rtl/>
        </w:rPr>
        <w:t>טורי אבן</w:t>
      </w:r>
      <w:r w:rsidRPr="00012502">
        <w:rPr>
          <w:rFonts w:ascii="Narkisim" w:hAnsi="Narkisim"/>
          <w:rtl/>
        </w:rPr>
        <w:t xml:space="preserve"> (חגיגה ב:) כת' דמכשירי מצווה באופן דלעולם אי אפשר בלאו הכי שפיר מקרי בעידנא</w:t>
      </w:r>
      <w:r w:rsidRPr="00012502">
        <w:rPr>
          <w:rStyle w:val="ac"/>
          <w:rFonts w:ascii="Narkisim" w:hAnsi="Narkisim"/>
          <w:rtl/>
        </w:rPr>
        <w:footnoteReference w:id="305"/>
      </w:r>
      <w:r w:rsidRPr="00012502">
        <w:rPr>
          <w:rFonts w:ascii="Narkisim" w:hAnsi="Narkisim"/>
          <w:rtl/>
        </w:rPr>
        <w:t>, ונחשב אתחלתא דמצווה. ודוקא במקום דאפשר באופן אחר בעינן שיהא בעידנא דמעקר</w:t>
      </w:r>
      <w:r w:rsidRPr="00012502">
        <w:rPr>
          <w:rStyle w:val="ac"/>
          <w:rFonts w:ascii="Narkisim" w:hAnsi="Narkisim"/>
          <w:rtl/>
        </w:rPr>
        <w:footnoteReference w:id="306"/>
      </w:r>
      <w:r w:rsidRPr="00012502">
        <w:rPr>
          <w:rFonts w:ascii="Narkisim" w:hAnsi="Narkisim"/>
          <w:rtl/>
        </w:rPr>
        <w:t>.</w:t>
      </w:r>
    </w:p>
    <w:p w14:paraId="51476E55" w14:textId="77777777" w:rsidR="00BE1D1C" w:rsidRPr="00012502" w:rsidRDefault="00000000" w:rsidP="00012502">
      <w:pPr>
        <w:bidi/>
        <w:rPr>
          <w:rFonts w:ascii="Narkisim" w:hAnsi="Narkisim" w:cs="Narkisim"/>
        </w:rPr>
      </w:pPr>
      <w:r w:rsidRPr="00012502">
        <w:rPr>
          <w:rFonts w:ascii="Narkisim" w:hAnsi="Narkisim" w:cs="Narkisim"/>
          <w:u w:val="single"/>
          <w:rtl/>
        </w:rPr>
        <w:t>בא"ד דבשעת דחיית הלאו אין מאכילו ומלבישו</w:t>
      </w:r>
      <w:r w:rsidRPr="00012502">
        <w:rPr>
          <w:rFonts w:ascii="Narkisim" w:hAnsi="Narkisim" w:cs="Narkisim"/>
          <w:rtl/>
        </w:rPr>
        <w:t xml:space="preserve">. ובפשוטו משמע דדוקא בשעה שמאכילו נחשב גוף המצוה, ולא בשעת בישול וכדו'. </w:t>
      </w:r>
      <w:r w:rsidRPr="00012502">
        <w:rPr>
          <w:rFonts w:ascii="Narkisim" w:hAnsi="Narkisim" w:cs="Narkisim"/>
          <w:sz w:val="20"/>
          <w:szCs w:val="20"/>
          <w:rtl/>
        </w:rPr>
        <w:t>[ותוס' כתבו דרוב עניני כיבוד ע"י הכשר, ומש"ה אף אי משכח"ל גוף המצוה בכל ענין לא דחי. וצ"ב היכא דהוה גוף המצוה אמאי נגרר בתר אופן</w:t>
      </w:r>
      <w:r w:rsidRPr="00012502">
        <w:rPr>
          <w:rStyle w:val="ac"/>
          <w:rFonts w:ascii="Narkisim" w:hAnsi="Narkisim" w:cs="Narkisim"/>
          <w:sz w:val="20"/>
          <w:szCs w:val="20"/>
          <w:rtl/>
        </w:rPr>
        <w:footnoteReference w:id="307"/>
      </w:r>
      <w:r w:rsidRPr="00012502">
        <w:rPr>
          <w:rFonts w:ascii="Narkisim" w:hAnsi="Narkisim" w:cs="Narkisim"/>
          <w:sz w:val="20"/>
          <w:szCs w:val="20"/>
          <w:rtl/>
        </w:rPr>
        <w:t xml:space="preserve"> דלא הוה גוף המצווה</w:t>
      </w:r>
      <w:r w:rsidRPr="00012502">
        <w:rPr>
          <w:rStyle w:val="ac"/>
          <w:rFonts w:ascii="Narkisim" w:hAnsi="Narkisim" w:cs="Narkisim"/>
          <w:sz w:val="20"/>
          <w:szCs w:val="20"/>
          <w:rtl/>
        </w:rPr>
        <w:footnoteReference w:id="308"/>
      </w:r>
      <w:r w:rsidRPr="00012502">
        <w:rPr>
          <w:rFonts w:ascii="Narkisim" w:hAnsi="Narkisim" w:cs="Narkisim"/>
          <w:sz w:val="20"/>
          <w:szCs w:val="20"/>
          <w:rtl/>
        </w:rPr>
        <w:t xml:space="preserve">]. </w:t>
      </w:r>
      <w:r w:rsidRPr="00012502">
        <w:rPr>
          <w:rFonts w:ascii="Narkisim" w:hAnsi="Narkisim" w:cs="Narkisim"/>
          <w:rtl/>
        </w:rPr>
        <w:t>אבל ה</w:t>
      </w:r>
      <w:r w:rsidRPr="00012502">
        <w:rPr>
          <w:rFonts w:ascii="Narkisim" w:hAnsi="Narkisim" w:cs="Narkisim"/>
          <w:b/>
          <w:bCs/>
          <w:rtl/>
        </w:rPr>
        <w:t>ריטב"א</w:t>
      </w:r>
      <w:r w:rsidRPr="00012502">
        <w:rPr>
          <w:rFonts w:ascii="Narkisim" w:hAnsi="Narkisim" w:cs="Narkisim"/>
          <w:rtl/>
        </w:rPr>
        <w:t xml:space="preserve"> כת' דאיירי בהבאת גוזלין באופן שיכול להביא מכאן. אבל אילו איירי בבישול ושחיטה באופן שאי אפשר בלא"ה, חשיבא כגופיה דהאכלה והשקאה [ולא הוה הכשר מצווה].</w:t>
      </w:r>
      <w:r w:rsidRPr="00012502">
        <w:rPr>
          <w:rFonts w:ascii="Narkisim" w:hAnsi="Narkisim" w:cs="Narkisim"/>
          <w:sz w:val="20"/>
          <w:szCs w:val="20"/>
          <w:rtl/>
        </w:rPr>
        <w:t xml:space="preserve"> (וע' בסמוך).</w:t>
      </w:r>
    </w:p>
    <w:p w14:paraId="3C60919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קר"א</w:t>
      </w:r>
      <w:r w:rsidRPr="00012502">
        <w:rPr>
          <w:rFonts w:ascii="Narkisim" w:hAnsi="Narkisim"/>
          <w:rtl/>
        </w:rPr>
        <w:t xml:space="preserve"> כת' [לחלוק על תוס'] דאף בשעה שמלבישו, המעשה שעושה אינו גוף המצוה, אלא במה שמכבדו עי"ז.</w:t>
      </w:r>
    </w:p>
    <w:p w14:paraId="5FBE181C"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w:t>
      </w:r>
      <w:r w:rsidRPr="00012502">
        <w:rPr>
          <w:rFonts w:ascii="Narkisim" w:hAnsi="Narkisim"/>
          <w:b/>
          <w:bCs/>
          <w:rtl/>
        </w:rPr>
        <w:t>תוס</w:t>
      </w:r>
      <w:r w:rsidRPr="00012502">
        <w:rPr>
          <w:rFonts w:ascii="Narkisim" w:hAnsi="Narkisim"/>
          <w:rtl/>
        </w:rPr>
        <w:t>' (שבת קלא. ד"ה שוין) הק' לדעת ר' אליעזר דמכשירי מילה [ושאר מצוות] דחו שבת, דנילף מכיבוד אב ואם ומבנין ביהמ"ק דלא דחו שבת [אף דהו' מכשירי מצווה]. ותוס' תי' דכיבוד הוה המצוה עצמה, דשחוט לי בשל לי שמתקן לו מאכלו הוה כיבוד עצמו. ובנין ביהמ"ק נמי הוה מצוה לבנות ביהמ"ק.</w:t>
      </w:r>
    </w:p>
    <w:p w14:paraId="1AAFC43D"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הקשו דבפשוטו זה סותר למש"כ תוס' ושא"ר כאן דכיבוד אב הוה הכשר מצוה, ועיקר המצוה הוא בכיבוד. וה</w:t>
      </w:r>
      <w:r w:rsidRPr="00012502">
        <w:rPr>
          <w:rFonts w:ascii="Narkisim" w:hAnsi="Narkisim"/>
          <w:b/>
          <w:bCs/>
          <w:rtl/>
        </w:rPr>
        <w:t>קובה"ע</w:t>
      </w:r>
      <w:r w:rsidRPr="00012502">
        <w:rPr>
          <w:rFonts w:ascii="Narkisim" w:hAnsi="Narkisim"/>
          <w:rtl/>
        </w:rPr>
        <w:t xml:space="preserve"> (יג ד) ביאר דכוונת התוס' (שם) דהוה 'מעשה המצוה' ולא מכשירי מצוה. ואף ד'קיום המצוה' הוא במה שמתכבד, ומש"ה נחשב רק 'הכשר', מ"מ הוה עצם המעשה המצוה</w:t>
      </w:r>
      <w:r w:rsidRPr="00012502">
        <w:rPr>
          <w:rStyle w:val="ac"/>
          <w:rFonts w:ascii="Narkisim" w:hAnsi="Narkisim"/>
          <w:rtl/>
        </w:rPr>
        <w:footnoteReference w:id="309"/>
      </w:r>
      <w:r w:rsidRPr="00012502">
        <w:rPr>
          <w:rFonts w:ascii="Narkisim" w:hAnsi="Narkisim"/>
          <w:rtl/>
        </w:rPr>
        <w:t>.</w:t>
      </w:r>
    </w:p>
    <w:p w14:paraId="6408185F" w14:textId="77777777" w:rsidR="00BE1D1C" w:rsidRPr="00012502" w:rsidRDefault="00000000" w:rsidP="00012502">
      <w:pPr>
        <w:pStyle w:val="a8"/>
        <w:bidi/>
        <w:rPr>
          <w:rFonts w:ascii="Narkisim" w:hAnsi="Narkisim"/>
        </w:rPr>
      </w:pPr>
      <w:r w:rsidRPr="00012502">
        <w:rPr>
          <w:rFonts w:ascii="Narkisim" w:hAnsi="Narkisim"/>
          <w:rtl/>
        </w:rPr>
        <w:t xml:space="preserve">אך </w:t>
      </w:r>
      <w:r w:rsidRPr="00012502">
        <w:rPr>
          <w:rFonts w:ascii="Narkisim" w:hAnsi="Narkisim"/>
          <w:b/>
          <w:bCs/>
          <w:rtl/>
        </w:rPr>
        <w:t>תוס</w:t>
      </w:r>
      <w:r w:rsidRPr="00012502">
        <w:rPr>
          <w:rFonts w:ascii="Narkisim" w:hAnsi="Narkisim"/>
          <w:rtl/>
        </w:rPr>
        <w:t>' (לקמן בע"ב סוד"ה טעמא) משמע דהכשר מצוה הוה מכשירי מצווה. [ועי"ש. והקובה"ע נדחק דכוונת התוס' מכ"ש].</w:t>
      </w:r>
    </w:p>
    <w:p w14:paraId="259BE7E7"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שם.</w:t>
      </w:r>
      <w:r w:rsidRPr="00012502">
        <w:rPr>
          <w:rFonts w:ascii="Narkisim" w:hAnsi="Narkisim" w:cs="Narkisim"/>
          <w:rtl/>
        </w:rPr>
        <w:t xml:space="preserve"> ה</w:t>
      </w:r>
      <w:r w:rsidRPr="00012502">
        <w:rPr>
          <w:rFonts w:ascii="Narkisim" w:hAnsi="Narkisim" w:cs="Narkisim"/>
          <w:b/>
          <w:bCs/>
          <w:rtl/>
        </w:rPr>
        <w:t>תה"ד</w:t>
      </w:r>
      <w:r w:rsidRPr="00012502">
        <w:rPr>
          <w:rFonts w:ascii="Narkisim" w:hAnsi="Narkisim" w:cs="Narkisim"/>
          <w:rtl/>
        </w:rPr>
        <w:t xml:space="preserve"> (קב) למד מסוגיין דמי שהדליק נר חנוכה בע"ש וכבתה [לפני השקיעה], אינו זקוק לה. מדמברכינן על ההדלקה אף דעדיין לא הגיע זמן המצווה, ע"כ דכיון דא"א בענין אחר נחשב 'הכשר מצוה'. [ומברכים על הכשר המצווה]. והביא מדברי </w:t>
      </w:r>
      <w:r w:rsidRPr="00012502">
        <w:rPr>
          <w:rFonts w:ascii="Narkisim" w:hAnsi="Narkisim" w:cs="Narkisim"/>
          <w:b/>
          <w:bCs/>
          <w:rtl/>
        </w:rPr>
        <w:t>תוס</w:t>
      </w:r>
      <w:r w:rsidRPr="00012502">
        <w:rPr>
          <w:rFonts w:ascii="Narkisim" w:hAnsi="Narkisim" w:cs="Narkisim"/>
          <w:rtl/>
        </w:rPr>
        <w:t>' דידן דאף דמאכיל אביו לאחר זמן, נחשב ההכשר מצוה מגוף המצווה. ולכן אם כבתה אין זקוק לה כיון שהתחיל הכשר המצוה</w:t>
      </w:r>
      <w:r w:rsidRPr="00012502">
        <w:rPr>
          <w:rStyle w:val="ac"/>
          <w:rFonts w:ascii="Narkisim" w:hAnsi="Narkisim" w:cs="Narkisim"/>
          <w:rtl/>
        </w:rPr>
        <w:footnoteReference w:id="310"/>
      </w:r>
      <w:r w:rsidRPr="00012502">
        <w:rPr>
          <w:rFonts w:ascii="Narkisim" w:hAnsi="Narkisim" w:cs="Narkisim"/>
          <w:rtl/>
        </w:rPr>
        <w:t>.</w:t>
      </w:r>
      <w:r w:rsidRPr="00012502">
        <w:rPr>
          <w:rFonts w:ascii="Narkisim" w:hAnsi="Narkisim" w:cs="Narkisim"/>
          <w:sz w:val="20"/>
          <w:szCs w:val="20"/>
          <w:rtl/>
        </w:rPr>
        <w:t xml:space="preserve"> [ולפ"ז מי שבישל לאביו ונאבד המאכל קיים מצוות כיבוד ע"י ההכשר. אלא דמ"מ מצוות כיבוד רמי עליה ולכן חייב לבשל שוב</w:t>
      </w:r>
      <w:r w:rsidRPr="00012502">
        <w:rPr>
          <w:rStyle w:val="ac"/>
          <w:rFonts w:ascii="Narkisim" w:hAnsi="Narkisim" w:cs="Narkisim"/>
          <w:sz w:val="20"/>
          <w:szCs w:val="20"/>
          <w:rtl/>
        </w:rPr>
        <w:footnoteReference w:id="311"/>
      </w:r>
      <w:r w:rsidRPr="00012502">
        <w:rPr>
          <w:rFonts w:ascii="Narkisim" w:hAnsi="Narkisim" w:cs="Narkisim"/>
          <w:sz w:val="20"/>
          <w:szCs w:val="20"/>
          <w:rtl/>
        </w:rPr>
        <w:t>, וכ"כ בקובה"ע יג ג]</w:t>
      </w:r>
      <w:r w:rsidRPr="00012502">
        <w:rPr>
          <w:rFonts w:ascii="Narkisim" w:hAnsi="Narkisim" w:cs="Narkisim"/>
          <w:rtl/>
        </w:rPr>
        <w:t>.</w:t>
      </w:r>
    </w:p>
    <w:p w14:paraId="691C5844"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תמהו דאדרבה כוונת הגמ' כאן דהכשר מצוה אינו גוף המצוה. וב</w:t>
      </w:r>
      <w:r w:rsidRPr="00012502">
        <w:rPr>
          <w:rFonts w:ascii="Narkisim" w:hAnsi="Narkisim"/>
          <w:b/>
          <w:bCs/>
          <w:rtl/>
        </w:rPr>
        <w:t>קובה"ע</w:t>
      </w:r>
      <w:r w:rsidRPr="00012502">
        <w:rPr>
          <w:rFonts w:ascii="Narkisim" w:hAnsi="Narkisim"/>
          <w:rtl/>
        </w:rPr>
        <w:t xml:space="preserve"> כת' דהתה"ד ס"ל דלתוס' הגמ' איירי דוקא במחמר דהוה הכשר דהכשר, וכמ"ש ה</w:t>
      </w:r>
      <w:r w:rsidRPr="00012502">
        <w:rPr>
          <w:rFonts w:ascii="Narkisim" w:hAnsi="Narkisim"/>
          <w:b/>
          <w:bCs/>
          <w:rtl/>
        </w:rPr>
        <w:t>ריטב"א</w:t>
      </w:r>
      <w:r w:rsidRPr="00012502">
        <w:rPr>
          <w:rFonts w:ascii="Narkisim" w:hAnsi="Narkisim"/>
          <w:rtl/>
        </w:rPr>
        <w:t xml:space="preserve"> דבשל לי הוה כמו האכלה גופא. ובזה למד דדוחה ל"ת</w:t>
      </w:r>
      <w:r w:rsidRPr="00012502">
        <w:rPr>
          <w:rStyle w:val="ac"/>
          <w:rFonts w:ascii="Narkisim" w:hAnsi="Narkisim"/>
          <w:rtl/>
        </w:rPr>
        <w:footnoteReference w:id="312"/>
      </w:r>
      <w:r w:rsidRPr="00012502">
        <w:rPr>
          <w:rFonts w:ascii="Narkisim" w:hAnsi="Narkisim"/>
          <w:rtl/>
        </w:rPr>
        <w:t xml:space="preserve">. </w:t>
      </w:r>
      <w:r w:rsidRPr="00012502">
        <w:rPr>
          <w:rFonts w:ascii="Narkisim" w:hAnsi="Narkisim"/>
          <w:sz w:val="20"/>
          <w:szCs w:val="20"/>
          <w:rtl/>
        </w:rPr>
        <w:t>ועוד פי' ה</w:t>
      </w:r>
      <w:r w:rsidRPr="00012502">
        <w:rPr>
          <w:rFonts w:ascii="Narkisim" w:hAnsi="Narkisim"/>
          <w:b/>
          <w:bCs/>
          <w:sz w:val="20"/>
          <w:szCs w:val="20"/>
          <w:rtl/>
        </w:rPr>
        <w:t>אחרונים</w:t>
      </w:r>
      <w:r w:rsidRPr="00012502">
        <w:rPr>
          <w:rFonts w:ascii="Narkisim" w:hAnsi="Narkisim"/>
          <w:sz w:val="20"/>
          <w:szCs w:val="20"/>
          <w:rtl/>
        </w:rPr>
        <w:t xml:space="preserve"> דהתה"ד למד דנחשב מעשה המצוה, וס"ד דגמ' שידחה ל"ת, אלא דילפי' גזיה"כ דכיבוד אב לא דחי. ולענין עדל"ת בעי גוף המצוה. ומ"מ לענין שאר דינים תליא במעשה המצוה [וע' הערה לעיל].</w:t>
      </w:r>
    </w:p>
    <w:p w14:paraId="7F731040" w14:textId="77777777" w:rsidR="00BE1D1C" w:rsidRPr="00012502" w:rsidRDefault="00000000" w:rsidP="00012502">
      <w:pPr>
        <w:bidi/>
        <w:rPr>
          <w:rFonts w:ascii="Narkisim" w:hAnsi="Narkisim" w:cs="Narkisim"/>
        </w:rPr>
      </w:pPr>
      <w:r w:rsidRPr="00012502">
        <w:rPr>
          <w:rFonts w:ascii="Narkisim" w:hAnsi="Narkisim" w:cs="Narkisim"/>
          <w:u w:val="single"/>
          <w:rtl/>
        </w:rPr>
        <w:t>שם. כשמחמר ומניח מלהחזיר אבדה כדי להביא גוזלות לאביו.</w:t>
      </w:r>
      <w:r w:rsidRPr="00012502">
        <w:rPr>
          <w:rFonts w:ascii="Narkisim" w:hAnsi="Narkisim" w:cs="Narkisim"/>
          <w:rtl/>
        </w:rPr>
        <w:t xml:space="preserve"> ה</w:t>
      </w:r>
      <w:r w:rsidRPr="00012502">
        <w:rPr>
          <w:rFonts w:ascii="Narkisim" w:hAnsi="Narkisim" w:cs="Narkisim"/>
          <w:b/>
          <w:bCs/>
          <w:rtl/>
        </w:rPr>
        <w:t>רמב"ן</w:t>
      </w:r>
      <w:r w:rsidRPr="00012502">
        <w:rPr>
          <w:rFonts w:ascii="Narkisim" w:hAnsi="Narkisim" w:cs="Narkisim"/>
          <w:rtl/>
        </w:rPr>
        <w:t xml:space="preserve"> כת' ואפי' אמר לו אביו חמר אחר הבהמה אין זה עיקר כיבוד </w:t>
      </w:r>
      <w:r w:rsidRPr="00012502">
        <w:rPr>
          <w:rFonts w:ascii="Narkisim" w:hAnsi="Narkisim" w:cs="Narkisim"/>
          <w:sz w:val="20"/>
          <w:szCs w:val="20"/>
          <w:rtl/>
        </w:rPr>
        <w:t>[ולשון ה</w:t>
      </w:r>
      <w:r w:rsidRPr="00012502">
        <w:rPr>
          <w:rFonts w:ascii="Narkisim" w:hAnsi="Narkisim" w:cs="Narkisim"/>
          <w:b/>
          <w:bCs/>
          <w:sz w:val="20"/>
          <w:szCs w:val="20"/>
          <w:rtl/>
        </w:rPr>
        <w:t>רשב"א</w:t>
      </w:r>
      <w:r w:rsidRPr="00012502">
        <w:rPr>
          <w:rFonts w:ascii="Narkisim" w:hAnsi="Narkisim" w:cs="Narkisim"/>
          <w:sz w:val="20"/>
          <w:szCs w:val="20"/>
          <w:rtl/>
        </w:rPr>
        <w:t xml:space="preserve"> אין בו עשה של תורה]</w:t>
      </w:r>
      <w:r w:rsidRPr="00012502">
        <w:rPr>
          <w:rFonts w:ascii="Narkisim" w:hAnsi="Narkisim" w:cs="Narkisim"/>
          <w:rtl/>
        </w:rPr>
        <w:t>, דמצוות כיבוד הוא במה שיש לו הנאה ממנו. אבל אי"צ לומר שלא ישמע להטמא בחנם</w:t>
      </w:r>
      <w:r w:rsidRPr="00012502">
        <w:rPr>
          <w:rStyle w:val="ac"/>
          <w:rFonts w:ascii="Narkisim" w:hAnsi="Narkisim" w:cs="Narkisim"/>
          <w:rtl/>
        </w:rPr>
        <w:footnoteReference w:id="313"/>
      </w:r>
      <w:r w:rsidRPr="00012502">
        <w:rPr>
          <w:rFonts w:ascii="Narkisim" w:hAnsi="Narkisim" w:cs="Narkisim"/>
          <w:rtl/>
        </w:rPr>
        <w:t>.</w:t>
      </w:r>
    </w:p>
    <w:p w14:paraId="7C43687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כתב דאם אמר כן לבטלה לא ישמע לו. משמע דאינו חייב לשמוע לדברי אביו כלל בדבר שאינו נוגע עליו. [וכ"כ ה</w:t>
      </w:r>
      <w:r w:rsidRPr="00012502">
        <w:rPr>
          <w:rFonts w:ascii="Narkisim" w:hAnsi="Narkisim"/>
          <w:b/>
          <w:bCs/>
          <w:rtl/>
        </w:rPr>
        <w:t>מהרי"ק</w:t>
      </w:r>
      <w:r w:rsidRPr="00012502">
        <w:rPr>
          <w:rStyle w:val="ac"/>
          <w:rFonts w:ascii="Narkisim" w:hAnsi="Narkisim"/>
          <w:rtl/>
        </w:rPr>
        <w:footnoteReference w:id="314"/>
      </w:r>
      <w:r w:rsidRPr="00012502">
        <w:rPr>
          <w:rFonts w:ascii="Narkisim" w:hAnsi="Narkisim"/>
          <w:rtl/>
        </w:rPr>
        <w:t>]. אבל ה</w:t>
      </w:r>
      <w:r w:rsidRPr="00012502">
        <w:rPr>
          <w:rFonts w:ascii="Narkisim" w:hAnsi="Narkisim"/>
          <w:b/>
          <w:bCs/>
          <w:rtl/>
        </w:rPr>
        <w:t>גר"א</w:t>
      </w:r>
      <w:r w:rsidRPr="00012502">
        <w:rPr>
          <w:rFonts w:ascii="Narkisim" w:hAnsi="Narkisim"/>
          <w:rtl/>
        </w:rPr>
        <w:t xml:space="preserve"> (רמ לו) הביא שב</w:t>
      </w:r>
      <w:r w:rsidRPr="00012502">
        <w:rPr>
          <w:rFonts w:ascii="Narkisim" w:hAnsi="Narkisim"/>
          <w:b/>
          <w:bCs/>
          <w:rtl/>
        </w:rPr>
        <w:t>רשב"א</w:t>
      </w:r>
      <w:r w:rsidRPr="00012502">
        <w:rPr>
          <w:rFonts w:ascii="Narkisim" w:hAnsi="Narkisim"/>
          <w:rtl/>
        </w:rPr>
        <w:t xml:space="preserve"> כתב דרק לדחות לאו לא מהני, הא לאו הכי חייב.</w:t>
      </w:r>
    </w:p>
    <w:p w14:paraId="410CDD14"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ברכ"ש</w:t>
      </w:r>
      <w:r w:rsidRPr="00012502">
        <w:rPr>
          <w:rFonts w:ascii="Narkisim" w:hAnsi="Narkisim"/>
          <w:rtl/>
        </w:rPr>
        <w:t xml:space="preserve"> (ג) כת' דבמקום שאין לאב הנאה אינו עיקר כיבוד, ואינו ביטול מצווה. ויש מצוה בעלמא בכיבוד שאין לו הנאה, ואינו דוחה ל"ת</w:t>
      </w:r>
      <w:r w:rsidRPr="00012502">
        <w:rPr>
          <w:rStyle w:val="ac"/>
          <w:rFonts w:ascii="Narkisim" w:hAnsi="Narkisim"/>
          <w:rtl/>
        </w:rPr>
        <w:footnoteReference w:id="315"/>
      </w:r>
      <w:r w:rsidRPr="00012502">
        <w:rPr>
          <w:rFonts w:ascii="Narkisim" w:hAnsi="Narkisim"/>
          <w:rtl/>
        </w:rPr>
        <w:t>. וה</w:t>
      </w:r>
      <w:r w:rsidRPr="00012502">
        <w:rPr>
          <w:rFonts w:ascii="Narkisim" w:hAnsi="Narkisim"/>
          <w:b/>
          <w:bCs/>
          <w:rtl/>
        </w:rPr>
        <w:t>חזו"א</w:t>
      </w:r>
      <w:r w:rsidRPr="00012502">
        <w:rPr>
          <w:rFonts w:ascii="Narkisim" w:hAnsi="Narkisim"/>
          <w:rtl/>
        </w:rPr>
        <w:t xml:space="preserve"> </w:t>
      </w:r>
      <w:r w:rsidRPr="00012502">
        <w:rPr>
          <w:rFonts w:ascii="Narkisim" w:hAnsi="Narkisim"/>
          <w:sz w:val="20"/>
          <w:szCs w:val="20"/>
          <w:rtl/>
        </w:rPr>
        <w:t>(קמח לקיד' לב.)</w:t>
      </w:r>
      <w:r w:rsidRPr="00012502">
        <w:rPr>
          <w:rFonts w:ascii="Narkisim" w:hAnsi="Narkisim"/>
          <w:rtl/>
        </w:rPr>
        <w:t xml:space="preserve"> כתב דאפשר דהוה חיוב דאורייתא שהרי רצון התורה בכיבוד ובמוראו, אלא דאינו עשה גמור ומעין חצי שיעור</w:t>
      </w:r>
      <w:r w:rsidRPr="00012502">
        <w:rPr>
          <w:rStyle w:val="ac"/>
          <w:rFonts w:ascii="Narkisim" w:hAnsi="Narkisim"/>
          <w:rtl/>
        </w:rPr>
        <w:footnoteReference w:id="316"/>
      </w:r>
      <w:r w:rsidRPr="00012502">
        <w:rPr>
          <w:rFonts w:ascii="Narkisim" w:hAnsi="Narkisim"/>
          <w:rtl/>
        </w:rPr>
        <w:t>. וב</w:t>
      </w:r>
      <w:r w:rsidRPr="00012502">
        <w:rPr>
          <w:rFonts w:ascii="Narkisim" w:hAnsi="Narkisim"/>
          <w:b/>
          <w:bCs/>
          <w:rtl/>
        </w:rPr>
        <w:t>חי' ר' ראובן</w:t>
      </w:r>
      <w:r w:rsidRPr="00012502">
        <w:rPr>
          <w:rFonts w:ascii="Narkisim" w:hAnsi="Narkisim"/>
          <w:rtl/>
        </w:rPr>
        <w:t xml:space="preserve"> (ה) כתב עוד </w:t>
      </w:r>
      <w:r w:rsidRPr="00012502">
        <w:rPr>
          <w:rFonts w:ascii="Narkisim" w:hAnsi="Narkisim"/>
          <w:sz w:val="20"/>
          <w:szCs w:val="20"/>
          <w:rtl/>
        </w:rPr>
        <w:t>[ע"פ דברי ה</w:t>
      </w:r>
      <w:r w:rsidRPr="00012502">
        <w:rPr>
          <w:rFonts w:ascii="Narkisim" w:hAnsi="Narkisim"/>
          <w:b/>
          <w:bCs/>
          <w:sz w:val="20"/>
          <w:szCs w:val="20"/>
          <w:rtl/>
        </w:rPr>
        <w:t>מקנה</w:t>
      </w:r>
      <w:r w:rsidRPr="00012502">
        <w:rPr>
          <w:rFonts w:ascii="Narkisim" w:hAnsi="Narkisim"/>
          <w:sz w:val="20"/>
          <w:szCs w:val="20"/>
          <w:rtl/>
        </w:rPr>
        <w:t xml:space="preserve"> קידושין שם]</w:t>
      </w:r>
      <w:r w:rsidRPr="00012502">
        <w:rPr>
          <w:rFonts w:ascii="Narkisim" w:hAnsi="Narkisim"/>
          <w:rtl/>
        </w:rPr>
        <w:t xml:space="preserve"> דחייב מדין 'מורא', שלא יסתור את דבריו</w:t>
      </w:r>
      <w:r w:rsidRPr="00012502">
        <w:rPr>
          <w:rStyle w:val="ac"/>
          <w:rFonts w:ascii="Narkisim" w:hAnsi="Narkisim"/>
          <w:rtl/>
        </w:rPr>
        <w:footnoteReference w:id="317"/>
      </w:r>
      <w:r w:rsidRPr="00012502">
        <w:rPr>
          <w:rFonts w:ascii="Narkisim" w:hAnsi="Narkisim"/>
          <w:rtl/>
        </w:rPr>
        <w:t xml:space="preserve">. </w:t>
      </w:r>
      <w:r w:rsidRPr="00012502">
        <w:rPr>
          <w:rFonts w:ascii="Narkisim" w:hAnsi="Narkisim"/>
          <w:szCs w:val="20"/>
          <w:rtl/>
        </w:rPr>
        <w:t>אלא דמשום מורא לא נחשב שעצם המעשה הוא מצווה</w:t>
      </w:r>
      <w:r w:rsidRPr="00012502">
        <w:rPr>
          <w:rFonts w:ascii="Narkisim" w:hAnsi="Narkisim"/>
          <w:rtl/>
        </w:rPr>
        <w:t>.</w:t>
      </w:r>
    </w:p>
    <w:p w14:paraId="258A155E" w14:textId="77777777" w:rsidR="00BE1D1C" w:rsidRPr="00012502" w:rsidRDefault="00000000" w:rsidP="00012502">
      <w:pPr>
        <w:bidi/>
        <w:rPr>
          <w:rFonts w:ascii="Narkisim" w:hAnsi="Narkisim" w:cs="Narkisim"/>
        </w:rPr>
      </w:pPr>
      <w:r w:rsidRPr="00012502">
        <w:rPr>
          <w:rFonts w:ascii="Narkisim" w:hAnsi="Narkisim" w:cs="Narkisim"/>
          <w:u w:val="single"/>
          <w:rtl/>
        </w:rPr>
        <w:t>אלא סד"א תיתי מבנין ביהמ"ק, דתניא יכול יהא בנין ביהמ"ק דוחה שבת וכו'</w:t>
      </w:r>
      <w:r w:rsidRPr="00012502">
        <w:rPr>
          <w:rFonts w:ascii="Narkisim" w:hAnsi="Narkisim" w:cs="Narkisim"/>
          <w:rtl/>
        </w:rPr>
        <w:t>. [דילפי' דבעלמא דחי, מדאיצטריך דרשא לאסור]. ובגמ' (שבועות טו:) אי' דאין בנין בית המקדש דוחה יו"ט. ופ</w:t>
      </w:r>
      <w:r w:rsidRPr="00012502">
        <w:rPr>
          <w:rFonts w:ascii="Narkisim" w:hAnsi="Narkisim" w:cs="Narkisim"/>
          <w:b/>
          <w:bCs/>
          <w:rtl/>
        </w:rPr>
        <w:t>רש"י</w:t>
      </w:r>
      <w:r w:rsidRPr="00012502">
        <w:rPr>
          <w:rFonts w:ascii="Narkisim" w:hAnsi="Narkisim" w:cs="Narkisim"/>
          <w:rtl/>
        </w:rPr>
        <w:t xml:space="preserve"> (שם) דילפי' בסוגיין את שבתותי תשמורו וכו' כולכם חייבין בכבודי, אתם והמקדש חייבין בכבודי</w:t>
      </w:r>
      <w:r w:rsidRPr="00012502">
        <w:rPr>
          <w:rStyle w:val="ac"/>
          <w:rFonts w:ascii="Narkisim" w:hAnsi="Narkisim" w:cs="Narkisim"/>
          <w:rtl/>
        </w:rPr>
        <w:footnoteReference w:id="318"/>
      </w:r>
      <w:r w:rsidRPr="00012502">
        <w:rPr>
          <w:rFonts w:ascii="Narkisim" w:hAnsi="Narkisim" w:cs="Narkisim"/>
          <w:rtl/>
        </w:rPr>
        <w:t>. שהזהרתי על השבת, וימים טובים נמי שבתות איקרו</w:t>
      </w:r>
      <w:r w:rsidRPr="00012502">
        <w:rPr>
          <w:rStyle w:val="ac"/>
          <w:rFonts w:ascii="Narkisim" w:hAnsi="Narkisim" w:cs="Narkisim"/>
          <w:rtl/>
        </w:rPr>
        <w:footnoteReference w:id="319"/>
      </w:r>
      <w:r w:rsidRPr="00012502">
        <w:rPr>
          <w:rFonts w:ascii="Narkisim" w:hAnsi="Narkisim" w:cs="Narkisim"/>
          <w:rtl/>
        </w:rPr>
        <w:t>. [אך בסוגיין נקטו דהך ברייתא איצטריך אף על שבת. ולא רק על יו"ט דהוה ל"ת ועשה לחוד].</w:t>
      </w:r>
    </w:p>
    <w:p w14:paraId="3D628D77" w14:textId="77777777" w:rsidR="00BE1D1C" w:rsidRPr="00012502" w:rsidRDefault="00000000" w:rsidP="00012502">
      <w:pPr>
        <w:pStyle w:val="a8"/>
        <w:bidi/>
        <w:rPr>
          <w:rFonts w:ascii="Narkisim" w:hAnsi="Narkisim"/>
        </w:rPr>
      </w:pPr>
      <w:r w:rsidRPr="00012502">
        <w:rPr>
          <w:rFonts w:ascii="Narkisim" w:hAnsi="Narkisim"/>
          <w:rtl/>
        </w:rPr>
        <w:t>ועוד צ"ב דלמסקנא לא ילפי' מהך קרא.</w:t>
      </w:r>
    </w:p>
    <w:p w14:paraId="08D9F1AA" w14:textId="77777777" w:rsidR="00BE1D1C" w:rsidRPr="00012502" w:rsidRDefault="00000000" w:rsidP="00012502">
      <w:pPr>
        <w:pStyle w:val="3"/>
        <w:bidi/>
        <w:rPr>
          <w:rFonts w:ascii="Narkisim" w:hAnsi="Narkisim"/>
        </w:rPr>
      </w:pPr>
      <w:r w:rsidRPr="00012502">
        <w:rPr>
          <w:rFonts w:ascii="Narkisim" w:hAnsi="Narkisim"/>
          <w:rtl/>
        </w:rPr>
        <w:t>דף ו:</w:t>
      </w:r>
    </w:p>
    <w:p w14:paraId="2C18BBA9" w14:textId="77777777" w:rsidR="00BE1D1C" w:rsidRPr="00012502" w:rsidRDefault="00000000" w:rsidP="00012502">
      <w:pPr>
        <w:bidi/>
        <w:rPr>
          <w:rFonts w:ascii="Narkisim" w:hAnsi="Narkisim" w:cs="Narkisim"/>
        </w:rPr>
      </w:pPr>
      <w:r w:rsidRPr="00012502">
        <w:rPr>
          <w:rFonts w:ascii="Narkisim" w:hAnsi="Narkisim" w:cs="Narkisim"/>
          <w:u w:val="single"/>
          <w:rtl/>
        </w:rPr>
        <w:t>בזמן שאין ביהמ"ק קיים מנין וכו'.</w:t>
      </w:r>
      <w:r w:rsidRPr="00012502">
        <w:rPr>
          <w:rFonts w:ascii="Narkisim" w:hAnsi="Narkisim" w:cs="Narkisim"/>
          <w:rtl/>
        </w:rPr>
        <w:t xml:space="preserve"> </w:t>
      </w:r>
      <w:r w:rsidRPr="00012502">
        <w:rPr>
          <w:rFonts w:ascii="Narkisim" w:hAnsi="Narkisim" w:cs="Narkisim"/>
          <w:sz w:val="20"/>
          <w:szCs w:val="20"/>
          <w:rtl/>
        </w:rPr>
        <w:t>[וב</w:t>
      </w:r>
      <w:r w:rsidRPr="00012502">
        <w:rPr>
          <w:rFonts w:ascii="Narkisim" w:hAnsi="Narkisim" w:cs="Narkisim"/>
          <w:b/>
          <w:bCs/>
          <w:sz w:val="20"/>
          <w:szCs w:val="20"/>
          <w:rtl/>
        </w:rPr>
        <w:t xml:space="preserve">גמ' </w:t>
      </w:r>
      <w:r w:rsidRPr="00012502">
        <w:rPr>
          <w:rFonts w:ascii="Narkisim" w:hAnsi="Narkisim" w:cs="Narkisim"/>
          <w:sz w:val="20"/>
          <w:szCs w:val="20"/>
          <w:rtl/>
        </w:rPr>
        <w:t xml:space="preserve">(מגילה כח.) דרשי' מדכתיב והשמותי את מקדשיכם, אף </w:t>
      </w:r>
      <w:r w:rsidRPr="00012502">
        <w:rPr>
          <w:rFonts w:ascii="Narkisim" w:hAnsi="Narkisim" w:cs="Narkisim"/>
          <w:sz w:val="20"/>
          <w:szCs w:val="20"/>
          <w:rtl/>
        </w:rPr>
        <w:lastRenderedPageBreak/>
        <w:t>בזמן שהם שוממים</w:t>
      </w:r>
      <w:r w:rsidRPr="00012502">
        <w:rPr>
          <w:rStyle w:val="ac"/>
          <w:rFonts w:ascii="Narkisim" w:hAnsi="Narkisim" w:cs="Narkisim"/>
          <w:sz w:val="20"/>
          <w:szCs w:val="20"/>
          <w:rtl/>
        </w:rPr>
        <w:footnoteReference w:id="320"/>
      </w:r>
      <w:r w:rsidRPr="00012502">
        <w:rPr>
          <w:rFonts w:ascii="Narkisim" w:hAnsi="Narkisim" w:cs="Narkisim"/>
          <w:sz w:val="20"/>
          <w:szCs w:val="20"/>
          <w:rtl/>
        </w:rPr>
        <w:t>].</w:t>
      </w:r>
      <w:r w:rsidRPr="00012502">
        <w:rPr>
          <w:rFonts w:ascii="Narkisim" w:hAnsi="Narkisim" w:cs="Narkisim"/>
          <w:rtl/>
        </w:rPr>
        <w:t xml:space="preserve"> ה</w:t>
      </w:r>
      <w:r w:rsidRPr="00012502">
        <w:rPr>
          <w:rFonts w:ascii="Narkisim" w:hAnsi="Narkisim" w:cs="Narkisim"/>
          <w:b/>
          <w:bCs/>
          <w:rtl/>
        </w:rPr>
        <w:t>טור"א</w:t>
      </w:r>
      <w:r w:rsidRPr="00012502">
        <w:rPr>
          <w:rFonts w:ascii="Narkisim" w:hAnsi="Narkisim" w:cs="Narkisim"/>
          <w:rtl/>
        </w:rPr>
        <w:t xml:space="preserve"> (מגילה כח.) כת' דהיינו למ"ד</w:t>
      </w:r>
      <w:r w:rsidRPr="00012502">
        <w:rPr>
          <w:rStyle w:val="ac"/>
          <w:rFonts w:ascii="Narkisim" w:hAnsi="Narkisim" w:cs="Narkisim"/>
          <w:rtl/>
        </w:rPr>
        <w:footnoteReference w:id="321"/>
      </w:r>
      <w:r w:rsidRPr="00012502">
        <w:rPr>
          <w:rFonts w:ascii="Narkisim" w:hAnsi="Narkisim" w:cs="Narkisim"/>
          <w:rtl/>
        </w:rPr>
        <w:t xml:space="preserve"> קדושה ראשונה קידשה לעתיד לבא. אבל למ"ד דבטלה קדושת המקדש אין איסור מורא מקדש מדאורייתא אחרי שנחרב. אבל ה</w:t>
      </w:r>
      <w:r w:rsidRPr="00012502">
        <w:rPr>
          <w:rFonts w:ascii="Narkisim" w:hAnsi="Narkisim" w:cs="Narkisim"/>
          <w:b/>
          <w:bCs/>
          <w:rtl/>
        </w:rPr>
        <w:t>מנח"ח</w:t>
      </w:r>
      <w:r w:rsidRPr="00012502">
        <w:rPr>
          <w:rFonts w:ascii="Narkisim" w:hAnsi="Narkisim" w:cs="Narkisim"/>
          <w:rtl/>
        </w:rPr>
        <w:t xml:space="preserve"> (רנד בסופו) דן דאף למ"ד דהקדושה בטלה, מ"מ נוהג דין מורא מדאורייתא בזה"ז, ועכ"פ מדרבנן</w:t>
      </w:r>
      <w:r w:rsidRPr="00012502">
        <w:rPr>
          <w:rStyle w:val="ac"/>
          <w:rFonts w:ascii="Narkisim" w:hAnsi="Narkisim" w:cs="Narkisim"/>
          <w:rtl/>
        </w:rPr>
        <w:footnoteReference w:id="322"/>
      </w:r>
      <w:r w:rsidRPr="00012502">
        <w:rPr>
          <w:rFonts w:ascii="Narkisim" w:hAnsi="Narkisim" w:cs="Narkisim"/>
          <w:rtl/>
        </w:rPr>
        <w:t>. וע' ערוך לנר דהאריך בזה.</w:t>
      </w:r>
    </w:p>
    <w:p w14:paraId="4BE3FF03" w14:textId="77777777" w:rsidR="00BE1D1C" w:rsidRPr="00012502" w:rsidRDefault="00000000" w:rsidP="00012502">
      <w:pPr>
        <w:pStyle w:val="aa"/>
        <w:bidi/>
        <w:rPr>
          <w:rFonts w:ascii="Narkisim" w:hAnsi="Narkisim"/>
        </w:rPr>
      </w:pPr>
      <w:r w:rsidRPr="00012502">
        <w:rPr>
          <w:rFonts w:ascii="Narkisim" w:hAnsi="Narkisim"/>
          <w:u w:val="single"/>
          <w:rtl/>
        </w:rPr>
        <w:t>דתנא דבי ר"י לא תבערו וכו' מה ת"ל וכו'</w:t>
      </w:r>
      <w:r w:rsidRPr="00012502">
        <w:rPr>
          <w:rFonts w:ascii="Narkisim" w:hAnsi="Narkisim"/>
          <w:rtl/>
        </w:rPr>
        <w:t>. והמשך הברייתא דשבת חובת הגוף, אלא דס"ד דמיתת בי"ד דוחה שבת מק"ו. והגמ' מק' בתוך דברי הברייתא (כ"כ ה</w:t>
      </w:r>
      <w:r w:rsidRPr="00012502">
        <w:rPr>
          <w:rFonts w:ascii="Narkisim" w:hAnsi="Narkisim"/>
          <w:b/>
          <w:bCs/>
          <w:rtl/>
        </w:rPr>
        <w:t>ריטב"א</w:t>
      </w:r>
      <w:r w:rsidRPr="00012502">
        <w:rPr>
          <w:rFonts w:ascii="Narkisim" w:hAnsi="Narkisim"/>
          <w:rtl/>
        </w:rPr>
        <w:t>).</w:t>
      </w:r>
    </w:p>
    <w:p w14:paraId="04BAEDE9" w14:textId="77777777" w:rsidR="00BE1D1C" w:rsidRPr="00012502" w:rsidRDefault="00000000" w:rsidP="00012502">
      <w:pPr>
        <w:pStyle w:val="aa"/>
        <w:bidi/>
        <w:rPr>
          <w:rFonts w:ascii="Narkisim" w:hAnsi="Narkisim"/>
        </w:rPr>
      </w:pPr>
      <w:r w:rsidRPr="00012502">
        <w:rPr>
          <w:rFonts w:ascii="Narkisim" w:hAnsi="Narkisim"/>
          <w:u w:val="single"/>
          <w:rtl/>
        </w:rPr>
        <w:t>אי לר' יוסי ללאו וכו</w:t>
      </w:r>
      <w:r w:rsidRPr="00012502">
        <w:rPr>
          <w:rFonts w:ascii="Narkisim" w:hAnsi="Narkisim"/>
          <w:rtl/>
        </w:rPr>
        <w:t>'. פ</w:t>
      </w:r>
      <w:r w:rsidRPr="00012502">
        <w:rPr>
          <w:rFonts w:ascii="Narkisim" w:hAnsi="Narkisim"/>
          <w:b/>
          <w:bCs/>
          <w:rtl/>
        </w:rPr>
        <w:t xml:space="preserve">רש"י </w:t>
      </w:r>
      <w:r w:rsidRPr="00012502">
        <w:rPr>
          <w:rFonts w:ascii="Narkisim" w:hAnsi="Narkisim"/>
          <w:rtl/>
        </w:rPr>
        <w:t>לומר שאין חייבין עליה כרת וסקילה, אלא לאו בעלמא. אבל ה</w:t>
      </w:r>
      <w:r w:rsidRPr="00012502">
        <w:rPr>
          <w:rFonts w:ascii="Narkisim" w:hAnsi="Narkisim"/>
          <w:b/>
          <w:bCs/>
          <w:rtl/>
        </w:rPr>
        <w:t>או"ש</w:t>
      </w:r>
      <w:r w:rsidRPr="00012502">
        <w:rPr>
          <w:rFonts w:ascii="Narkisim" w:hAnsi="Narkisim"/>
          <w:rtl/>
        </w:rPr>
        <w:t xml:space="preserve"> (סנהדרין יח ב) העלה צד דיש חיוב מיתה בהבערה [אף לר' יוסי], ונתמעט רק מכרת וחטאת. [דהא לא אשתמט תנא דלוקה אהבערה כר' יוסי].</w:t>
      </w:r>
    </w:p>
    <w:p w14:paraId="1245B2A1" w14:textId="77777777" w:rsidR="00BE1D1C" w:rsidRPr="00012502" w:rsidRDefault="00000000" w:rsidP="00012502">
      <w:pPr>
        <w:pStyle w:val="aa"/>
        <w:bidi/>
        <w:rPr>
          <w:rFonts w:ascii="Narkisim" w:hAnsi="Narkisim"/>
        </w:rPr>
      </w:pPr>
      <w:r w:rsidRPr="00012502">
        <w:rPr>
          <w:rFonts w:ascii="Narkisim" w:hAnsi="Narkisim"/>
          <w:u w:val="single"/>
          <w:rtl/>
        </w:rPr>
        <w:t>רש"י ד"ה לחלק</w:t>
      </w:r>
      <w:r w:rsidRPr="00012502">
        <w:rPr>
          <w:rFonts w:ascii="Narkisim" w:hAnsi="Narkisim"/>
          <w:rtl/>
        </w:rPr>
        <w:t xml:space="preserve">. שלא תאמר אינו חייב סקילה עד שיחלל שבת בכל המלאכות וכו'. והבערה גלי דחייב עליה בפנ"ע. אבל </w:t>
      </w:r>
      <w:r w:rsidRPr="00012502">
        <w:rPr>
          <w:rFonts w:ascii="Narkisim" w:hAnsi="Narkisim"/>
          <w:b/>
          <w:bCs/>
          <w:rtl/>
        </w:rPr>
        <w:t>רש"י</w:t>
      </w:r>
      <w:r w:rsidRPr="00012502">
        <w:rPr>
          <w:rFonts w:ascii="Narkisim" w:hAnsi="Narkisim"/>
          <w:rtl/>
        </w:rPr>
        <w:t xml:space="preserve"> (פסחים ה:) ביאר דלר' נתן לחלק יצאת, שלא תאמר העושה ד' או ה' אבות מלאכות אינו חייב אלא א' וכו'. [וע' סוגיא שבת ע.].</w:t>
      </w:r>
    </w:p>
    <w:p w14:paraId="16E279B2" w14:textId="77777777" w:rsidR="00BE1D1C" w:rsidRPr="00012502" w:rsidRDefault="00000000" w:rsidP="00012502">
      <w:pPr>
        <w:pStyle w:val="aa"/>
        <w:bidi/>
        <w:rPr>
          <w:rFonts w:ascii="Narkisim" w:hAnsi="Narkisim"/>
        </w:rPr>
      </w:pPr>
      <w:r w:rsidRPr="00012502">
        <w:rPr>
          <w:rFonts w:ascii="Narkisim" w:hAnsi="Narkisim"/>
          <w:u w:val="single"/>
          <w:rtl/>
        </w:rPr>
        <w:t>תוד"ה או.</w:t>
      </w:r>
      <w:r w:rsidRPr="00012502">
        <w:rPr>
          <w:rFonts w:ascii="Narkisim" w:hAnsi="Narkisim"/>
          <w:rtl/>
        </w:rPr>
        <w:t xml:space="preserve"> והא דבפ"ק וכו' אלמא בהבערה [לר' ישמעאל] יש כרת. ה</w:t>
      </w:r>
      <w:r w:rsidRPr="00012502">
        <w:rPr>
          <w:rFonts w:ascii="Narkisim" w:hAnsi="Narkisim"/>
          <w:b/>
          <w:bCs/>
          <w:rtl/>
        </w:rPr>
        <w:t>אחרונים</w:t>
      </w:r>
      <w:r w:rsidRPr="00012502">
        <w:rPr>
          <w:rFonts w:ascii="Narkisim" w:hAnsi="Narkisim"/>
          <w:rtl/>
        </w:rPr>
        <w:t xml:space="preserve"> דנו די"ל דתרי ר' ישמעאל הוה, וכמ"ש </w:t>
      </w:r>
      <w:r w:rsidRPr="00012502">
        <w:rPr>
          <w:rFonts w:ascii="Narkisim" w:hAnsi="Narkisim"/>
          <w:b/>
          <w:bCs/>
          <w:rtl/>
        </w:rPr>
        <w:t>תוס</w:t>
      </w:r>
      <w:r w:rsidRPr="00012502">
        <w:rPr>
          <w:rFonts w:ascii="Narkisim" w:hAnsi="Narkisim"/>
          <w:rtl/>
        </w:rPr>
        <w:t>' (לקמן קד.). וה</w:t>
      </w:r>
      <w:r w:rsidRPr="00012502">
        <w:rPr>
          <w:rFonts w:ascii="Narkisim" w:hAnsi="Narkisim"/>
          <w:b/>
          <w:bCs/>
          <w:rtl/>
        </w:rPr>
        <w:t>תוס' רא"ש</w:t>
      </w:r>
      <w:r w:rsidRPr="00012502">
        <w:rPr>
          <w:rFonts w:ascii="Narkisim" w:hAnsi="Narkisim"/>
          <w:rtl/>
        </w:rPr>
        <w:t xml:space="preserve"> תי' דאיתא הכא ד'משום' ר' ישמעאל אמרו, ולא ר"י גופיה. ועוד תי' בשם </w:t>
      </w:r>
      <w:r w:rsidRPr="00012502">
        <w:rPr>
          <w:rFonts w:ascii="Narkisim" w:hAnsi="Narkisim"/>
          <w:b/>
          <w:bCs/>
          <w:rtl/>
        </w:rPr>
        <w:t>רבינו</w:t>
      </w:r>
      <w:r w:rsidRPr="00012502">
        <w:rPr>
          <w:rFonts w:ascii="Narkisim" w:hAnsi="Narkisim"/>
          <w:rtl/>
        </w:rPr>
        <w:t xml:space="preserve"> </w:t>
      </w:r>
      <w:r w:rsidRPr="00012502">
        <w:rPr>
          <w:rFonts w:ascii="Narkisim" w:hAnsi="Narkisim"/>
          <w:b/>
          <w:bCs/>
          <w:rtl/>
        </w:rPr>
        <w:t>מאיר</w:t>
      </w:r>
      <w:r w:rsidRPr="00012502">
        <w:rPr>
          <w:rFonts w:ascii="Narkisim" w:hAnsi="Narkisim"/>
          <w:rtl/>
        </w:rPr>
        <w:t xml:space="preserve"> דכשקרא והטה נתבשל השמן, וכת' דמלאכה הצריכה לגופה היא [וצ"ב, ואכ"מ], א"נ סבר כר' יהודה דמחייב במלאכה שאיצל"ג. וה</w:t>
      </w:r>
      <w:r w:rsidRPr="00012502">
        <w:rPr>
          <w:rFonts w:ascii="Narkisim" w:hAnsi="Narkisim"/>
          <w:b/>
          <w:bCs/>
          <w:rtl/>
        </w:rPr>
        <w:t>ביה"ל</w:t>
      </w:r>
      <w:r w:rsidRPr="00012502">
        <w:rPr>
          <w:rFonts w:ascii="Narkisim" w:hAnsi="Narkisim"/>
          <w:rtl/>
        </w:rPr>
        <w:t xml:space="preserve"> (א טז י) כת' דבהטיה יש ג"כ כיבוי.</w:t>
      </w:r>
    </w:p>
    <w:p w14:paraId="096365C7" w14:textId="77777777" w:rsidR="00BE1D1C" w:rsidRPr="00012502" w:rsidRDefault="00000000" w:rsidP="00012502">
      <w:pPr>
        <w:pStyle w:val="aa"/>
        <w:bidi/>
        <w:rPr>
          <w:rFonts w:ascii="Narkisim" w:hAnsi="Narkisim"/>
        </w:rPr>
      </w:pPr>
      <w:r w:rsidRPr="00012502">
        <w:rPr>
          <w:rFonts w:ascii="Narkisim" w:hAnsi="Narkisim"/>
          <w:u w:val="single"/>
          <w:rtl/>
        </w:rPr>
        <w:t>מאי לאו ר"נ היא וכו' הא לאו הכי דחי וכו'</w:t>
      </w:r>
      <w:r w:rsidRPr="00012502">
        <w:rPr>
          <w:rFonts w:ascii="Narkisim" w:hAnsi="Narkisim"/>
          <w:rtl/>
        </w:rPr>
        <w:t>. [משום עדל"ת, ודחיה אף ל"ת שיש בו כרת ומשום מה לי חומרא רבה, וכדאי' בגמ' ז.].</w:t>
      </w:r>
    </w:p>
    <w:p w14:paraId="45443B0A" w14:textId="77777777" w:rsidR="00BE1D1C" w:rsidRPr="00012502" w:rsidRDefault="00000000" w:rsidP="00012502">
      <w:pPr>
        <w:bidi/>
        <w:rPr>
          <w:rFonts w:ascii="Narkisim" w:hAnsi="Narkisim" w:cs="Narkisim"/>
        </w:rPr>
      </w:pPr>
      <w:r w:rsidRPr="00012502">
        <w:rPr>
          <w:rFonts w:ascii="Narkisim" w:hAnsi="Narkisim" w:cs="Narkisim"/>
          <w:u w:val="single"/>
          <w:rtl/>
        </w:rPr>
        <w:t>לא ר' יוסי וכו'</w:t>
      </w:r>
      <w:r w:rsidRPr="00012502">
        <w:rPr>
          <w:rFonts w:ascii="Narkisim" w:hAnsi="Narkisim" w:cs="Narkisim"/>
          <w:rtl/>
        </w:rPr>
        <w:t>. [דהוה לאו בעלמא ונדחית]. והשואל ב</w:t>
      </w:r>
      <w:r w:rsidRPr="00012502">
        <w:rPr>
          <w:rFonts w:ascii="Narkisim" w:hAnsi="Narkisim" w:cs="Narkisim"/>
          <w:b/>
          <w:bCs/>
          <w:rtl/>
        </w:rPr>
        <w:t>שו"ת הרשב"א</w:t>
      </w:r>
      <w:r w:rsidRPr="00012502">
        <w:rPr>
          <w:rFonts w:ascii="Narkisim" w:hAnsi="Narkisim" w:cs="Narkisim"/>
          <w:rtl/>
        </w:rPr>
        <w:t xml:space="preserve"> (א שנז) הק' מה ס"ד דידחה [לר' יוסי], הא איכא מעשה הריגה. ו</w:t>
      </w:r>
      <w:r w:rsidRPr="00012502">
        <w:rPr>
          <w:rFonts w:ascii="Narkisim" w:hAnsi="Narkisim" w:cs="Narkisim"/>
          <w:b/>
          <w:bCs/>
          <w:rtl/>
        </w:rPr>
        <w:t xml:space="preserve">תוס' </w:t>
      </w:r>
      <w:r w:rsidRPr="00012502">
        <w:rPr>
          <w:rFonts w:ascii="Narkisim" w:hAnsi="Narkisim" w:cs="Narkisim"/>
          <w:rtl/>
        </w:rPr>
        <w:t>(סוד"ה או) מבואר דס"ד דאף מעשה ההריגה הותר מדין עדל"ת</w:t>
      </w:r>
      <w:r w:rsidRPr="00012502">
        <w:rPr>
          <w:rStyle w:val="ac"/>
          <w:rFonts w:ascii="Narkisim" w:hAnsi="Narkisim" w:cs="Narkisim"/>
          <w:rtl/>
        </w:rPr>
        <w:footnoteReference w:id="323"/>
      </w:r>
      <w:r w:rsidRPr="00012502">
        <w:rPr>
          <w:rFonts w:ascii="Narkisim" w:hAnsi="Narkisim" w:cs="Narkisim"/>
          <w:rtl/>
        </w:rPr>
        <w:t>, והו"מ להקשות לר' יוסי. וה</w:t>
      </w:r>
      <w:r w:rsidRPr="00012502">
        <w:rPr>
          <w:rFonts w:ascii="Narkisim" w:hAnsi="Narkisim" w:cs="Narkisim"/>
          <w:b/>
          <w:bCs/>
          <w:rtl/>
        </w:rPr>
        <w:t>רשב"א</w:t>
      </w:r>
      <w:r w:rsidRPr="00012502">
        <w:rPr>
          <w:rFonts w:ascii="Narkisim" w:hAnsi="Narkisim" w:cs="Narkisim"/>
          <w:rtl/>
        </w:rPr>
        <w:t xml:space="preserve"> כת' דנקטו בהבערה כפשטה דקרא דהזהיר בלשון לא תבערו. וה"מ להק' תיפו"ל משום רציחה. </w:t>
      </w:r>
      <w:r w:rsidRPr="00012502">
        <w:rPr>
          <w:rFonts w:ascii="Narkisim" w:hAnsi="Narkisim" w:cs="Narkisim"/>
          <w:sz w:val="20"/>
          <w:szCs w:val="20"/>
          <w:rtl/>
        </w:rPr>
        <w:t>[וע' מה שהק' רע"א].</w:t>
      </w:r>
    </w:p>
    <w:p w14:paraId="6599CDDD"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שואל</w:t>
      </w:r>
      <w:r w:rsidRPr="00012502">
        <w:rPr>
          <w:rFonts w:ascii="Narkisim" w:hAnsi="Narkisim"/>
          <w:rtl/>
        </w:rPr>
        <w:t xml:space="preserve"> (ברשב"א) העלה צד שיעשו את הרציחה ע"י גויים</w:t>
      </w:r>
      <w:r w:rsidRPr="00012502">
        <w:rPr>
          <w:rStyle w:val="ac"/>
          <w:rFonts w:ascii="Narkisim" w:hAnsi="Narkisim"/>
          <w:rtl/>
        </w:rPr>
        <w:footnoteReference w:id="324"/>
      </w:r>
      <w:r w:rsidRPr="00012502">
        <w:rPr>
          <w:rFonts w:ascii="Narkisim" w:hAnsi="Narkisim"/>
          <w:rtl/>
        </w:rPr>
        <w:t>, והקשה דהיכן מצינו קיום מצוות עשה ע"י גוי</w:t>
      </w:r>
      <w:r w:rsidRPr="00012502">
        <w:rPr>
          <w:rStyle w:val="ac"/>
          <w:rFonts w:ascii="Narkisim" w:hAnsi="Narkisim"/>
          <w:rtl/>
        </w:rPr>
        <w:footnoteReference w:id="325"/>
      </w:r>
      <w:r w:rsidRPr="00012502">
        <w:rPr>
          <w:rFonts w:ascii="Narkisim" w:hAnsi="Narkisim"/>
          <w:rtl/>
        </w:rPr>
        <w:t>. וה</w:t>
      </w:r>
      <w:r w:rsidRPr="00012502">
        <w:rPr>
          <w:rFonts w:ascii="Narkisim" w:hAnsi="Narkisim"/>
          <w:b/>
          <w:bCs/>
          <w:rtl/>
        </w:rPr>
        <w:t>רשב"א</w:t>
      </w:r>
      <w:r w:rsidRPr="00012502">
        <w:rPr>
          <w:rFonts w:ascii="Narkisim" w:hAnsi="Narkisim"/>
          <w:rtl/>
        </w:rPr>
        <w:t xml:space="preserve"> השיב דהגוי הוה שלוחו של בי"ד, ומיתת בי"ד לא בעי גופו של בי"ד. </w:t>
      </w:r>
      <w:r w:rsidRPr="00012502">
        <w:rPr>
          <w:rFonts w:ascii="Narkisim" w:hAnsi="Narkisim"/>
          <w:sz w:val="20"/>
          <w:szCs w:val="20"/>
          <w:rtl/>
        </w:rPr>
        <w:t>וכמו שמצינו גט מעושה (גיטין פח:) דהעכו"ם כופה בשליחות הבי"ד, ונחשב מעשה הבי"ד</w:t>
      </w:r>
      <w:r w:rsidRPr="00012502">
        <w:rPr>
          <w:rStyle w:val="ac"/>
          <w:rFonts w:ascii="Narkisim" w:hAnsi="Narkisim"/>
          <w:sz w:val="20"/>
          <w:szCs w:val="20"/>
          <w:rtl/>
        </w:rPr>
        <w:footnoteReference w:id="326"/>
      </w:r>
      <w:r w:rsidRPr="00012502">
        <w:rPr>
          <w:rFonts w:ascii="Narkisim" w:hAnsi="Narkisim"/>
          <w:sz w:val="20"/>
          <w:szCs w:val="20"/>
          <w:rtl/>
        </w:rPr>
        <w:t>.</w:t>
      </w:r>
    </w:p>
    <w:p w14:paraId="587B9251" w14:textId="77777777" w:rsidR="00BE1D1C" w:rsidRPr="00012502" w:rsidRDefault="00000000" w:rsidP="00012502">
      <w:pPr>
        <w:bidi/>
        <w:rPr>
          <w:rFonts w:ascii="Narkisim" w:hAnsi="Narkisim" w:cs="Narkisim"/>
        </w:rPr>
      </w:pPr>
      <w:r w:rsidRPr="00012502">
        <w:rPr>
          <w:rFonts w:ascii="Narkisim" w:hAnsi="Narkisim" w:cs="Narkisim"/>
          <w:u w:val="single"/>
          <w:rtl/>
        </w:rPr>
        <w:t>הבערה דבי"ד בישול פתילה הוא וכו'.</w:t>
      </w:r>
      <w:r w:rsidRPr="00012502">
        <w:rPr>
          <w:rFonts w:ascii="Narkisim" w:hAnsi="Narkisim" w:cs="Narkisim"/>
          <w:rtl/>
        </w:rPr>
        <w:t xml:space="preserve"> ה</w:t>
      </w:r>
      <w:r w:rsidRPr="00012502">
        <w:rPr>
          <w:rFonts w:ascii="Narkisim" w:hAnsi="Narkisim" w:cs="Narkisim"/>
          <w:b/>
          <w:bCs/>
          <w:rtl/>
        </w:rPr>
        <w:t>רמב"ן</w:t>
      </w:r>
      <w:r w:rsidRPr="00012502">
        <w:rPr>
          <w:rFonts w:ascii="Narkisim" w:hAnsi="Narkisim" w:cs="Narkisim"/>
          <w:rtl/>
        </w:rPr>
        <w:t xml:space="preserve"> הק' היאך משכח"ל עדל"ת בהבערה ובישול פתילה, הא בעידנא דעבר על הלאו [ומבשל הפתילה] לא מקיים לעשה. ותי' משכחת שפותח פיו, ונותן האור תחת הפתילה, והיא נתכית לתוך פיו [וכ"כ ה</w:t>
      </w:r>
      <w:r w:rsidRPr="00012502">
        <w:rPr>
          <w:rFonts w:ascii="Narkisim" w:hAnsi="Narkisim" w:cs="Narkisim"/>
          <w:b/>
          <w:bCs/>
          <w:rtl/>
        </w:rPr>
        <w:t>ריטב"א</w:t>
      </w:r>
      <w:r w:rsidRPr="00012502">
        <w:rPr>
          <w:rFonts w:ascii="Narkisim" w:hAnsi="Narkisim" w:cs="Narkisim"/>
          <w:rtl/>
        </w:rPr>
        <w:t xml:space="preserve"> בשם ר"ת]. וה</w:t>
      </w:r>
      <w:r w:rsidRPr="00012502">
        <w:rPr>
          <w:rFonts w:ascii="Narkisim" w:hAnsi="Narkisim" w:cs="Narkisim"/>
          <w:b/>
          <w:bCs/>
          <w:rtl/>
        </w:rPr>
        <w:t>רשב"א</w:t>
      </w:r>
      <w:r w:rsidRPr="00012502">
        <w:rPr>
          <w:rFonts w:ascii="Narkisim" w:hAnsi="Narkisim" w:cs="Narkisim"/>
          <w:rtl/>
        </w:rPr>
        <w:t xml:space="preserve"> חלק דלא נהירא דא"א שלא יהא קודם</w:t>
      </w:r>
      <w:r w:rsidRPr="00012502">
        <w:rPr>
          <w:rStyle w:val="ac"/>
          <w:rFonts w:ascii="Narkisim" w:hAnsi="Narkisim" w:cs="Narkisim"/>
          <w:rtl/>
        </w:rPr>
        <w:footnoteReference w:id="327"/>
      </w:r>
      <w:r w:rsidRPr="00012502">
        <w:rPr>
          <w:rFonts w:ascii="Narkisim" w:hAnsi="Narkisim" w:cs="Narkisim"/>
          <w:rtl/>
        </w:rPr>
        <w:t>. וה</w:t>
      </w:r>
      <w:r w:rsidRPr="00012502">
        <w:rPr>
          <w:rFonts w:ascii="Narkisim" w:hAnsi="Narkisim" w:cs="Narkisim"/>
          <w:b/>
          <w:bCs/>
          <w:rtl/>
        </w:rPr>
        <w:t>רשב"א</w:t>
      </w:r>
      <w:r w:rsidRPr="00012502">
        <w:rPr>
          <w:rFonts w:ascii="Narkisim" w:hAnsi="Narkisim" w:cs="Narkisim"/>
          <w:rtl/>
        </w:rPr>
        <w:t xml:space="preserve"> כת' דהמ"ל ולטעמיך, ועדיפא מיניה קאמר.</w:t>
      </w:r>
    </w:p>
    <w:p w14:paraId="17A91102" w14:textId="77777777" w:rsidR="00BE1D1C" w:rsidRPr="00012502" w:rsidRDefault="00000000" w:rsidP="00012502">
      <w:pPr>
        <w:bidi/>
        <w:rPr>
          <w:rFonts w:ascii="Narkisim" w:hAnsi="Narkisim" w:cs="Narkisim"/>
        </w:rPr>
      </w:pPr>
      <w:r w:rsidRPr="00012502">
        <w:rPr>
          <w:rFonts w:ascii="Narkisim" w:hAnsi="Narkisim" w:cs="Narkisim"/>
          <w:u w:val="single"/>
          <w:rtl/>
        </w:rPr>
        <w:t>תוד"ה טעמא.</w:t>
      </w:r>
      <w:r w:rsidRPr="00012502">
        <w:rPr>
          <w:rFonts w:ascii="Narkisim" w:hAnsi="Narkisim" w:cs="Narkisim"/>
          <w:rtl/>
        </w:rPr>
        <w:t xml:space="preserve"> [סו"ד] וי"ל דבכל דוכתא משוינן מכשירין שא"א לעשותם מע"ש למצוה עצמה. </w:t>
      </w:r>
      <w:r w:rsidRPr="00012502">
        <w:rPr>
          <w:rFonts w:ascii="Narkisim" w:hAnsi="Narkisim" w:cs="Narkisim"/>
          <w:sz w:val="20"/>
          <w:szCs w:val="20"/>
          <w:rtl/>
        </w:rPr>
        <w:t>[ה</w:t>
      </w:r>
      <w:r w:rsidRPr="00012502">
        <w:rPr>
          <w:rFonts w:ascii="Narkisim" w:hAnsi="Narkisim" w:cs="Narkisim"/>
          <w:b/>
          <w:bCs/>
          <w:sz w:val="20"/>
          <w:szCs w:val="20"/>
          <w:rtl/>
        </w:rPr>
        <w:t>אחרונים</w:t>
      </w:r>
      <w:r w:rsidRPr="00012502">
        <w:rPr>
          <w:rFonts w:ascii="Narkisim" w:hAnsi="Narkisim" w:cs="Narkisim"/>
          <w:sz w:val="20"/>
          <w:szCs w:val="20"/>
          <w:rtl/>
        </w:rPr>
        <w:t xml:space="preserve"> ביארו דכוונת התוס' דלא מצאנו חילוק בסוגיות, ולא שאין מקום לחלק מסברא].</w:t>
      </w:r>
      <w:r w:rsidRPr="00012502">
        <w:rPr>
          <w:rFonts w:ascii="Narkisim" w:hAnsi="Narkisim" w:cs="Narkisim"/>
          <w:rtl/>
        </w:rPr>
        <w:t xml:space="preserve"> ה</w:t>
      </w:r>
      <w:r w:rsidRPr="00012502">
        <w:rPr>
          <w:rFonts w:ascii="Narkisim" w:hAnsi="Narkisim" w:cs="Narkisim"/>
          <w:b/>
          <w:bCs/>
          <w:rtl/>
        </w:rPr>
        <w:t xml:space="preserve">אחרונים </w:t>
      </w:r>
      <w:r w:rsidRPr="00012502">
        <w:rPr>
          <w:rFonts w:ascii="Narkisim" w:hAnsi="Narkisim" w:cs="Narkisim"/>
          <w:rtl/>
        </w:rPr>
        <w:t>תמהו דתוס' (בע"א) כתבו דכיבוד אב לא דחי ל"ת כיון דהוא מכשירין.</w:t>
      </w:r>
    </w:p>
    <w:p w14:paraId="4BFE3C90" w14:textId="77777777" w:rsidR="00BE1D1C" w:rsidRPr="00012502" w:rsidRDefault="00000000" w:rsidP="00012502">
      <w:pPr>
        <w:pStyle w:val="a7"/>
        <w:bidi/>
        <w:rPr>
          <w:rFonts w:ascii="Narkisim" w:hAnsi="Narkisim"/>
        </w:rPr>
      </w:pPr>
      <w:r w:rsidRPr="00012502">
        <w:rPr>
          <w:rFonts w:ascii="Narkisim" w:hAnsi="Narkisim"/>
          <w:rtl/>
        </w:rPr>
        <w:lastRenderedPageBreak/>
        <w:t>וה</w:t>
      </w:r>
      <w:r w:rsidRPr="00012502">
        <w:rPr>
          <w:rFonts w:ascii="Narkisim" w:hAnsi="Narkisim"/>
          <w:b/>
          <w:bCs/>
          <w:rtl/>
        </w:rPr>
        <w:t>קובה"ע</w:t>
      </w:r>
      <w:r w:rsidRPr="00012502">
        <w:rPr>
          <w:rFonts w:ascii="Narkisim" w:hAnsi="Narkisim"/>
          <w:rtl/>
        </w:rPr>
        <w:t xml:space="preserve"> (יג ה) העלה צד לחלק בין הותרה לדחויה, דהיכא דהוה בגדר הותרה, אף מכשירין הוה בכלל ההיתר, דהוה כגוף המצוה. אבל עדל"ת הוה בגדר דחויה, ומש"ה כת' התוס' דהמכשירין אינן דוחין. דאינו בעידנא דקיום גוף המצוה.</w:t>
      </w:r>
    </w:p>
    <w:p w14:paraId="73663B0C" w14:textId="77777777" w:rsidR="00BE1D1C" w:rsidRPr="00012502" w:rsidRDefault="00000000" w:rsidP="00012502">
      <w:pPr>
        <w:pStyle w:val="a7"/>
        <w:bidi/>
        <w:rPr>
          <w:rFonts w:ascii="Narkisim" w:hAnsi="Narkisim"/>
        </w:rPr>
      </w:pPr>
      <w:r w:rsidRPr="00012502">
        <w:rPr>
          <w:rFonts w:ascii="Narkisim" w:hAnsi="Narkisim"/>
          <w:rtl/>
        </w:rPr>
        <w:t>אבל הקשה דבסוגיין ס"ד משום מה לי חומרא רבה, דהוה בגדר עדל"ת ודחויה.</w:t>
      </w:r>
      <w:r w:rsidRPr="00012502">
        <w:rPr>
          <w:rFonts w:ascii="Narkisim" w:hAnsi="Narkisim"/>
          <w:sz w:val="20"/>
          <w:szCs w:val="20"/>
          <w:rtl/>
        </w:rPr>
        <w:t xml:space="preserve"> וה</w:t>
      </w:r>
      <w:r w:rsidRPr="00012502">
        <w:rPr>
          <w:rFonts w:ascii="Narkisim" w:hAnsi="Narkisim"/>
          <w:b/>
          <w:bCs/>
          <w:sz w:val="20"/>
          <w:szCs w:val="20"/>
          <w:rtl/>
        </w:rPr>
        <w:t>קובה"ע</w:t>
      </w:r>
      <w:r w:rsidRPr="00012502">
        <w:rPr>
          <w:rFonts w:ascii="Narkisim" w:hAnsi="Narkisim"/>
          <w:sz w:val="20"/>
          <w:szCs w:val="20"/>
          <w:rtl/>
        </w:rPr>
        <w:t xml:space="preserve"> תי' דהכא מכשירין חשיבי חלק ממעשה המצוה, ותוס' לעיל איירי שאינו חלק ממעשה המצוה [וע"ד מש"כ בדעת הריטב"א ותה"ד, הו' לעיל]. וב</w:t>
      </w:r>
      <w:r w:rsidRPr="00012502">
        <w:rPr>
          <w:rFonts w:ascii="Narkisim" w:hAnsi="Narkisim"/>
          <w:b/>
          <w:bCs/>
          <w:sz w:val="20"/>
          <w:szCs w:val="20"/>
          <w:rtl/>
        </w:rPr>
        <w:t>חי' הגר"נ</w:t>
      </w:r>
      <w:r w:rsidRPr="00012502">
        <w:rPr>
          <w:rFonts w:ascii="Narkisim" w:hAnsi="Narkisim"/>
          <w:sz w:val="20"/>
          <w:szCs w:val="20"/>
          <w:rtl/>
        </w:rPr>
        <w:t xml:space="preserve"> כת' דבמקום דגוף המצוה דחי, ה"ה מכשירים דידיה. ולעיל איירי דכיבוד אב לא דחי, ולכן לא יתכן דמכשירין ידחו.</w:t>
      </w:r>
    </w:p>
    <w:p w14:paraId="33F43A4A" w14:textId="77777777" w:rsidR="00BE1D1C" w:rsidRPr="00012502" w:rsidRDefault="00000000" w:rsidP="00012502">
      <w:pPr>
        <w:bidi/>
        <w:rPr>
          <w:rFonts w:ascii="Narkisim" w:hAnsi="Narkisim" w:cs="Narkisim"/>
        </w:rPr>
      </w:pPr>
      <w:r w:rsidRPr="00012502">
        <w:rPr>
          <w:rFonts w:ascii="Narkisim" w:hAnsi="Narkisim" w:cs="Narkisim"/>
          <w:u w:val="single"/>
          <w:rtl/>
        </w:rPr>
        <w:t>וה"ק וכו' בשאר מלאכות חוץ ממיתת בי"ד.</w:t>
      </w:r>
      <w:r w:rsidRPr="00012502">
        <w:rPr>
          <w:rFonts w:ascii="Narkisim" w:hAnsi="Narkisim" w:cs="Narkisim"/>
          <w:rtl/>
        </w:rPr>
        <w:t xml:space="preserve"> </w:t>
      </w:r>
      <w:r w:rsidRPr="00012502">
        <w:rPr>
          <w:rFonts w:ascii="Narkisim" w:hAnsi="Narkisim" w:cs="Narkisim"/>
          <w:sz w:val="20"/>
          <w:szCs w:val="20"/>
          <w:rtl/>
        </w:rPr>
        <w:t>בסוגיין מבואר דאיירי בהריגת בי"ד שיש בו מלאכה, ובזה הנידון דנילף שדוחה שבת.</w:t>
      </w:r>
      <w:r w:rsidRPr="00012502">
        <w:rPr>
          <w:rFonts w:ascii="Narkisim" w:hAnsi="Narkisim" w:cs="Narkisim"/>
          <w:rtl/>
        </w:rPr>
        <w:t xml:space="preserve"> אבל ה</w:t>
      </w:r>
      <w:r w:rsidRPr="00012502">
        <w:rPr>
          <w:rFonts w:ascii="Narkisim" w:hAnsi="Narkisim" w:cs="Narkisim"/>
          <w:b/>
          <w:bCs/>
          <w:rtl/>
        </w:rPr>
        <w:t>רמב"ם</w:t>
      </w:r>
      <w:r w:rsidRPr="00012502">
        <w:rPr>
          <w:rFonts w:ascii="Narkisim" w:hAnsi="Narkisim" w:cs="Narkisim"/>
          <w:rtl/>
        </w:rPr>
        <w:t xml:space="preserve"> </w:t>
      </w:r>
      <w:r w:rsidRPr="00012502">
        <w:rPr>
          <w:rFonts w:ascii="Narkisim" w:hAnsi="Narkisim" w:cs="Narkisim"/>
          <w:szCs w:val="20"/>
          <w:rtl/>
        </w:rPr>
        <w:t>(שבת</w:t>
      </w:r>
      <w:r w:rsidRPr="00012502">
        <w:rPr>
          <w:rFonts w:ascii="Narkisim" w:hAnsi="Narkisim" w:cs="Narkisim"/>
          <w:rtl/>
        </w:rPr>
        <w:t xml:space="preserve"> </w:t>
      </w:r>
      <w:r w:rsidRPr="00012502">
        <w:rPr>
          <w:rFonts w:ascii="Narkisim" w:hAnsi="Narkisim" w:cs="Narkisim"/>
          <w:sz w:val="20"/>
          <w:szCs w:val="20"/>
          <w:rtl/>
        </w:rPr>
        <w:t>כד ז וכן סה"מ ל"ת שכב</w:t>
      </w:r>
      <w:r w:rsidRPr="00012502">
        <w:rPr>
          <w:rStyle w:val="ac"/>
          <w:rFonts w:ascii="Narkisim" w:hAnsi="Narkisim" w:cs="Narkisim"/>
          <w:sz w:val="20"/>
          <w:szCs w:val="20"/>
          <w:rtl/>
        </w:rPr>
        <w:footnoteReference w:id="328"/>
      </w:r>
      <w:r w:rsidRPr="00012502">
        <w:rPr>
          <w:rFonts w:ascii="Narkisim" w:hAnsi="Narkisim" w:cs="Narkisim"/>
          <w:sz w:val="20"/>
          <w:szCs w:val="20"/>
          <w:rtl/>
        </w:rPr>
        <w:t>)</w:t>
      </w:r>
      <w:r w:rsidRPr="00012502">
        <w:rPr>
          <w:rFonts w:ascii="Narkisim" w:hAnsi="Narkisim" w:cs="Narkisim"/>
          <w:rtl/>
        </w:rPr>
        <w:t xml:space="preserve"> פסק דאין עונשין בשבת</w:t>
      </w:r>
      <w:r w:rsidRPr="00012502">
        <w:rPr>
          <w:rStyle w:val="ac"/>
          <w:rFonts w:ascii="Narkisim" w:hAnsi="Narkisim" w:cs="Narkisim"/>
          <w:rtl/>
        </w:rPr>
        <w:footnoteReference w:id="329"/>
      </w:r>
      <w:r w:rsidRPr="00012502">
        <w:rPr>
          <w:rFonts w:ascii="Narkisim" w:hAnsi="Narkisim" w:cs="Narkisim"/>
          <w:rtl/>
        </w:rPr>
        <w:t xml:space="preserve">, ואין מלקין בשבת. דילפי' וכו' אזהרה לבי"ד שלא ישרפו בשבת, וה"ה שאר </w:t>
      </w:r>
      <w:r w:rsidRPr="00012502">
        <w:rPr>
          <w:rFonts w:ascii="Narkisim" w:hAnsi="Narkisim" w:cs="Narkisim"/>
          <w:i/>
          <w:iCs/>
          <w:rtl/>
        </w:rPr>
        <w:t>עונשים.</w:t>
      </w:r>
      <w:r w:rsidRPr="00012502">
        <w:rPr>
          <w:rFonts w:ascii="Narkisim" w:hAnsi="Narkisim" w:cs="Narkisim"/>
          <w:rtl/>
        </w:rPr>
        <w:t xml:space="preserve"> וה</w:t>
      </w:r>
      <w:r w:rsidRPr="00012502">
        <w:rPr>
          <w:rFonts w:ascii="Narkisim" w:hAnsi="Narkisim" w:cs="Narkisim"/>
          <w:b/>
          <w:bCs/>
          <w:rtl/>
        </w:rPr>
        <w:t>מג"א</w:t>
      </w:r>
      <w:r w:rsidRPr="00012502">
        <w:rPr>
          <w:rFonts w:ascii="Narkisim" w:hAnsi="Narkisim" w:cs="Narkisim"/>
          <w:rtl/>
        </w:rPr>
        <w:t xml:space="preserve"> (שלט ג) הביא דהרמב"ם במנין המצוות כתב 'ה"ה שאר מיתות' (</w:t>
      </w:r>
      <w:r w:rsidRPr="00012502">
        <w:rPr>
          <w:rFonts w:ascii="Narkisim" w:hAnsi="Narkisim" w:cs="Narkisim"/>
          <w:sz w:val="20"/>
          <w:szCs w:val="20"/>
          <w:rtl/>
        </w:rPr>
        <w:t>וכ"כ ב</w:t>
      </w:r>
      <w:r w:rsidRPr="00012502">
        <w:rPr>
          <w:rFonts w:ascii="Narkisim" w:hAnsi="Narkisim" w:cs="Narkisim"/>
          <w:b/>
          <w:bCs/>
          <w:sz w:val="20"/>
          <w:szCs w:val="20"/>
          <w:rtl/>
        </w:rPr>
        <w:t>ס'</w:t>
      </w:r>
      <w:r w:rsidRPr="00012502">
        <w:rPr>
          <w:rFonts w:ascii="Narkisim" w:hAnsi="Narkisim" w:cs="Narkisim"/>
          <w:sz w:val="20"/>
          <w:szCs w:val="20"/>
          <w:rtl/>
        </w:rPr>
        <w:t xml:space="preserve"> </w:t>
      </w:r>
      <w:r w:rsidRPr="00012502">
        <w:rPr>
          <w:rFonts w:ascii="Narkisim" w:hAnsi="Narkisim" w:cs="Narkisim"/>
          <w:b/>
          <w:bCs/>
          <w:sz w:val="20"/>
          <w:szCs w:val="20"/>
          <w:rtl/>
        </w:rPr>
        <w:t>החינוך</w:t>
      </w:r>
      <w:r w:rsidRPr="00012502">
        <w:rPr>
          <w:rFonts w:ascii="Narkisim" w:hAnsi="Narkisim" w:cs="Narkisim"/>
          <w:sz w:val="20"/>
          <w:szCs w:val="20"/>
          <w:rtl/>
        </w:rPr>
        <w:t xml:space="preserve"> קיד)</w:t>
      </w:r>
      <w:r w:rsidRPr="00012502">
        <w:rPr>
          <w:rFonts w:ascii="Narkisim" w:hAnsi="Narkisim" w:cs="Narkisim"/>
          <w:rtl/>
        </w:rPr>
        <w:t xml:space="preserve">, ומשמע דוקא בדבר שיש בו חיוב חילול שבת, והביא דכ"מ מהגמ' [בסנהדרין, ובסוגיין]. </w:t>
      </w:r>
      <w:r w:rsidRPr="00012502">
        <w:rPr>
          <w:rFonts w:ascii="Narkisim" w:hAnsi="Narkisim" w:cs="Narkisim"/>
          <w:sz w:val="20"/>
          <w:szCs w:val="20"/>
          <w:rtl/>
        </w:rPr>
        <w:t>וכתב דאפשר דאף מלקות איירי כשעושה חבורה</w:t>
      </w:r>
      <w:r w:rsidRPr="00012502">
        <w:rPr>
          <w:rStyle w:val="ac"/>
          <w:rFonts w:ascii="Narkisim" w:hAnsi="Narkisim" w:cs="Narkisim"/>
          <w:sz w:val="20"/>
          <w:szCs w:val="20"/>
          <w:rtl/>
        </w:rPr>
        <w:footnoteReference w:id="330"/>
      </w:r>
      <w:r w:rsidRPr="00012502">
        <w:rPr>
          <w:rFonts w:ascii="Narkisim" w:hAnsi="Narkisim" w:cs="Narkisim"/>
          <w:sz w:val="20"/>
          <w:szCs w:val="20"/>
          <w:rtl/>
        </w:rPr>
        <w:t>, וצ"ע.</w:t>
      </w:r>
      <w:r w:rsidRPr="00012502">
        <w:rPr>
          <w:rFonts w:ascii="Narkisim" w:hAnsi="Narkisim" w:cs="Narkisim"/>
          <w:rtl/>
        </w:rPr>
        <w:t xml:space="preserve"> ואפשר דמריבוי דכל מושבותיכם נפקא דאין דנים כלל</w:t>
      </w:r>
      <w:r w:rsidRPr="00012502">
        <w:rPr>
          <w:rStyle w:val="ac"/>
          <w:rFonts w:ascii="Narkisim" w:hAnsi="Narkisim" w:cs="Narkisim"/>
          <w:rtl/>
        </w:rPr>
        <w:footnoteReference w:id="331"/>
      </w:r>
      <w:r w:rsidRPr="00012502">
        <w:rPr>
          <w:rFonts w:ascii="Narkisim" w:hAnsi="Narkisim" w:cs="Narkisim"/>
          <w:rtl/>
        </w:rPr>
        <w:t xml:space="preserve">. </w:t>
      </w:r>
      <w:r w:rsidRPr="00012502">
        <w:rPr>
          <w:rFonts w:ascii="Narkisim" w:hAnsi="Narkisim" w:cs="Narkisim"/>
          <w:sz w:val="20"/>
          <w:szCs w:val="20"/>
          <w:rtl/>
        </w:rPr>
        <w:t>[וה</w:t>
      </w:r>
      <w:r w:rsidRPr="00012502">
        <w:rPr>
          <w:rFonts w:ascii="Narkisim" w:hAnsi="Narkisim" w:cs="Narkisim"/>
          <w:b/>
          <w:bCs/>
          <w:sz w:val="20"/>
          <w:szCs w:val="20"/>
          <w:rtl/>
        </w:rPr>
        <w:t>אחרונים</w:t>
      </w:r>
      <w:r w:rsidRPr="00012502">
        <w:rPr>
          <w:rFonts w:ascii="Narkisim" w:hAnsi="Narkisim" w:cs="Narkisim"/>
          <w:sz w:val="20"/>
          <w:szCs w:val="20"/>
          <w:rtl/>
        </w:rPr>
        <w:t xml:space="preserve"> הביאו דכ"מ בירושלמי דילפי' איסור על 'עונשין' בשבת. וע' אבנ"נ (או"ח רכח)].</w:t>
      </w:r>
    </w:p>
    <w:p w14:paraId="3B6CF755" w14:textId="77777777" w:rsidR="00BE1D1C" w:rsidRPr="00012502" w:rsidRDefault="00000000" w:rsidP="00012502">
      <w:pPr>
        <w:pStyle w:val="3"/>
        <w:bidi/>
        <w:rPr>
          <w:rFonts w:ascii="Narkisim" w:hAnsi="Narkisim"/>
        </w:rPr>
      </w:pPr>
      <w:r w:rsidRPr="00012502">
        <w:rPr>
          <w:rFonts w:ascii="Narkisim" w:hAnsi="Narkisim"/>
          <w:rtl/>
        </w:rPr>
        <w:t>דף ז.</w:t>
      </w:r>
    </w:p>
    <w:p w14:paraId="5E595889" w14:textId="77777777" w:rsidR="00BE1D1C" w:rsidRPr="00012502" w:rsidRDefault="00000000" w:rsidP="00012502">
      <w:pPr>
        <w:bidi/>
        <w:rPr>
          <w:rFonts w:ascii="Narkisim" w:hAnsi="Narkisim" w:cs="Narkisim"/>
        </w:rPr>
      </w:pPr>
      <w:r w:rsidRPr="00012502">
        <w:rPr>
          <w:rFonts w:ascii="Narkisim" w:hAnsi="Narkisim" w:cs="Narkisim"/>
          <w:u w:val="single"/>
          <w:rtl/>
        </w:rPr>
        <w:t>רש"י ד"ה רציחה.</w:t>
      </w:r>
      <w:r w:rsidRPr="00012502">
        <w:rPr>
          <w:rFonts w:ascii="Narkisim" w:hAnsi="Narkisim" w:cs="Narkisim"/>
          <w:rtl/>
        </w:rPr>
        <w:t xml:space="preserve"> אא"כ היה ע"ג מזבח. וכדאיתא (יומא פה.) ברייתא דר' עקיבא. וב</w:t>
      </w:r>
      <w:r w:rsidRPr="00012502">
        <w:rPr>
          <w:rFonts w:ascii="Narkisim" w:hAnsi="Narkisim" w:cs="Narkisim"/>
          <w:b/>
          <w:bCs/>
          <w:rtl/>
        </w:rPr>
        <w:t>תוס' מהר"ם והר"פ</w:t>
      </w:r>
      <w:r w:rsidRPr="00012502">
        <w:rPr>
          <w:rFonts w:ascii="Narkisim" w:hAnsi="Narkisim" w:cs="Narkisim"/>
          <w:rtl/>
        </w:rPr>
        <w:t xml:space="preserve"> הקשה בשם ה</w:t>
      </w:r>
      <w:r w:rsidRPr="00012502">
        <w:rPr>
          <w:rFonts w:ascii="Narkisim" w:hAnsi="Narkisim" w:cs="Narkisim"/>
          <w:b/>
          <w:bCs/>
          <w:rtl/>
        </w:rPr>
        <w:t>ר"מ</w:t>
      </w:r>
      <w:r w:rsidRPr="00012502">
        <w:rPr>
          <w:rStyle w:val="ac"/>
          <w:rFonts w:ascii="Narkisim" w:hAnsi="Narkisim" w:cs="Narkisim"/>
          <w:rtl/>
        </w:rPr>
        <w:footnoteReference w:id="332"/>
      </w:r>
      <w:r w:rsidRPr="00012502">
        <w:rPr>
          <w:rFonts w:ascii="Narkisim" w:hAnsi="Narkisim" w:cs="Narkisim"/>
          <w:rtl/>
        </w:rPr>
        <w:t xml:space="preserve"> היאך ילפי' מיניה שידחה רציחה שבת, שהרי כבר בא. ורציחה דוחה רק לפני שהתחיל. </w:t>
      </w:r>
      <w:r w:rsidRPr="00012502">
        <w:rPr>
          <w:rFonts w:ascii="Narkisim" w:hAnsi="Narkisim" w:cs="Narkisim"/>
          <w:sz w:val="20"/>
          <w:szCs w:val="20"/>
          <w:rtl/>
        </w:rPr>
        <w:t>[וכעי"ז הקשו ה</w:t>
      </w:r>
      <w:r w:rsidRPr="00012502">
        <w:rPr>
          <w:rFonts w:ascii="Narkisim" w:hAnsi="Narkisim" w:cs="Narkisim"/>
          <w:b/>
          <w:bCs/>
          <w:sz w:val="20"/>
          <w:szCs w:val="20"/>
          <w:rtl/>
        </w:rPr>
        <w:t>אחרונים</w:t>
      </w:r>
      <w:r w:rsidRPr="00012502">
        <w:rPr>
          <w:rStyle w:val="ac"/>
          <w:rFonts w:ascii="Narkisim" w:hAnsi="Narkisim" w:cs="Narkisim"/>
          <w:sz w:val="20"/>
          <w:szCs w:val="20"/>
          <w:rtl/>
        </w:rPr>
        <w:footnoteReference w:id="333"/>
      </w:r>
      <w:r w:rsidRPr="00012502">
        <w:rPr>
          <w:rFonts w:ascii="Narkisim" w:hAnsi="Narkisim" w:cs="Narkisim"/>
          <w:sz w:val="20"/>
          <w:szCs w:val="20"/>
          <w:rtl/>
        </w:rPr>
        <w:t>].</w:t>
      </w:r>
      <w:r w:rsidRPr="00012502">
        <w:rPr>
          <w:rFonts w:ascii="Narkisim" w:hAnsi="Narkisim" w:cs="Narkisim"/>
          <w:rtl/>
        </w:rPr>
        <w:t xml:space="preserve"> </w:t>
      </w:r>
      <w:r w:rsidRPr="00012502">
        <w:rPr>
          <w:rFonts w:ascii="Narkisim" w:hAnsi="Narkisim" w:cs="Narkisim"/>
          <w:sz w:val="20"/>
          <w:szCs w:val="20"/>
          <w:rtl/>
        </w:rPr>
        <w:t>ותי' כיון דרציחה דוחה גוף העבודה עדיף, ועבודה דחי שבת אפי' שכבר בא [ע' תוס'].</w:t>
      </w:r>
    </w:p>
    <w:p w14:paraId="24A665C0"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רמב"ם</w:t>
      </w:r>
      <w:r w:rsidRPr="00012502">
        <w:rPr>
          <w:rFonts w:ascii="Narkisim" w:hAnsi="Narkisim"/>
          <w:rtl/>
        </w:rPr>
        <w:t xml:space="preserve"> (רוצח ה יב) מבואר דרוצח במזיד אין מניחין אותו לגמור העבודה. וה</w:t>
      </w:r>
      <w:r w:rsidRPr="00012502">
        <w:rPr>
          <w:rFonts w:ascii="Narkisim" w:hAnsi="Narkisim"/>
          <w:b/>
          <w:bCs/>
          <w:rtl/>
        </w:rPr>
        <w:t xml:space="preserve">משנ"ל </w:t>
      </w:r>
      <w:r w:rsidRPr="00012502">
        <w:rPr>
          <w:rFonts w:ascii="Narkisim" w:hAnsi="Narkisim"/>
          <w:rtl/>
        </w:rPr>
        <w:t>הק' אמאי לא פסק כגמ' ביומא. וכתב דאפשר דמסוגיין מבואר דרציחה דוחה עבודה, וא"כ דעוד העבודה בידו אמרי' דעבודה דוחה רציחה. וה</w:t>
      </w:r>
      <w:r w:rsidRPr="00012502">
        <w:rPr>
          <w:rFonts w:ascii="Narkisim" w:hAnsi="Narkisim"/>
          <w:b/>
          <w:bCs/>
          <w:rtl/>
        </w:rPr>
        <w:t>קר"א</w:t>
      </w:r>
      <w:r w:rsidRPr="00012502">
        <w:rPr>
          <w:rFonts w:ascii="Narkisim" w:hAnsi="Narkisim"/>
          <w:rtl/>
        </w:rPr>
        <w:t xml:space="preserve"> הביא דב</w:t>
      </w:r>
      <w:r w:rsidRPr="00012502">
        <w:rPr>
          <w:rFonts w:ascii="Narkisim" w:hAnsi="Narkisim"/>
          <w:b/>
          <w:bCs/>
          <w:rtl/>
        </w:rPr>
        <w:t>מכילתא</w:t>
      </w:r>
      <w:r w:rsidRPr="00012502">
        <w:rPr>
          <w:rFonts w:ascii="Narkisim" w:hAnsi="Narkisim"/>
          <w:rtl/>
        </w:rPr>
        <w:t xml:space="preserve"> נח' בזה על ר' עקיבא מק"ו זו.</w:t>
      </w:r>
    </w:p>
    <w:p w14:paraId="1E9A3265" w14:textId="77777777" w:rsidR="00BE1D1C" w:rsidRPr="00012502" w:rsidRDefault="00000000" w:rsidP="00012502">
      <w:pPr>
        <w:pStyle w:val="aa"/>
        <w:bidi/>
        <w:rPr>
          <w:rFonts w:ascii="Narkisim" w:hAnsi="Narkisim"/>
        </w:rPr>
      </w:pPr>
      <w:r w:rsidRPr="00012502">
        <w:rPr>
          <w:rFonts w:ascii="Narkisim" w:hAnsi="Narkisim"/>
          <w:u w:val="single"/>
          <w:rtl/>
        </w:rPr>
        <w:t>ולמאי דסליק אדעתיה מעיקרא וכו' הדר אמר אימר דאמרי' וכו' ל"ת גרידא, ל"ת שיש בו כרת מי שמעת ליה דדחי וכו'</w:t>
      </w:r>
      <w:r w:rsidRPr="00012502">
        <w:rPr>
          <w:rFonts w:ascii="Narkisim" w:hAnsi="Narkisim"/>
          <w:rtl/>
        </w:rPr>
        <w:t>. [להך אוקימתא הנידון בברייתא מסברא האם עשה דוחה ל"ת שיש בו כרת. אבל לדחיית הגמ' (לעיל) פשיט"ל דעשה אינו דוחה ל"ת שיש בו כרת].</w:t>
      </w:r>
    </w:p>
    <w:p w14:paraId="1C8C16A6" w14:textId="77777777" w:rsidR="00BE1D1C" w:rsidRPr="00012502" w:rsidRDefault="00000000" w:rsidP="00012502">
      <w:pPr>
        <w:bidi/>
        <w:rPr>
          <w:rFonts w:ascii="Narkisim" w:hAnsi="Narkisim" w:cs="Narkisim"/>
        </w:rPr>
      </w:pPr>
      <w:r w:rsidRPr="00012502">
        <w:rPr>
          <w:rFonts w:ascii="Narkisim" w:hAnsi="Narkisim" w:cs="Narkisim"/>
          <w:u w:val="single"/>
          <w:rtl/>
        </w:rPr>
        <w:t>אטו עדל"ת לאו לא תעשה חמור ממנו וכו'</w:t>
      </w:r>
      <w:r w:rsidRPr="00012502">
        <w:rPr>
          <w:rFonts w:ascii="Narkisim" w:hAnsi="Narkisim" w:cs="Narkisim"/>
          <w:rtl/>
        </w:rPr>
        <w:t>.</w:t>
      </w:r>
      <w:r w:rsidRPr="00012502">
        <w:rPr>
          <w:rFonts w:ascii="Narkisim" w:hAnsi="Narkisim" w:cs="Narkisim"/>
          <w:b/>
          <w:bCs/>
          <w:rtl/>
        </w:rPr>
        <w:t xml:space="preserve"> רע"א</w:t>
      </w:r>
      <w:r w:rsidRPr="00012502">
        <w:rPr>
          <w:rFonts w:ascii="Narkisim" w:hAnsi="Narkisim" w:cs="Narkisim"/>
          <w:rtl/>
        </w:rPr>
        <w:t xml:space="preserve"> (בגהש"ס) ציין לדברי ה</w:t>
      </w:r>
      <w:r w:rsidRPr="00012502">
        <w:rPr>
          <w:rFonts w:ascii="Narkisim" w:hAnsi="Narkisim" w:cs="Narkisim"/>
          <w:b/>
          <w:bCs/>
          <w:rtl/>
        </w:rPr>
        <w:t>רמב"ן</w:t>
      </w:r>
      <w:r w:rsidRPr="00012502">
        <w:rPr>
          <w:rFonts w:ascii="Narkisim" w:hAnsi="Narkisim" w:cs="Narkisim"/>
          <w:b/>
          <w:bCs/>
          <w:sz w:val="20"/>
          <w:szCs w:val="20"/>
          <w:rtl/>
        </w:rPr>
        <w:t xml:space="preserve"> </w:t>
      </w:r>
      <w:r w:rsidRPr="00012502">
        <w:rPr>
          <w:rFonts w:ascii="Narkisim" w:hAnsi="Narkisim" w:cs="Narkisim"/>
          <w:sz w:val="20"/>
          <w:szCs w:val="20"/>
          <w:rtl/>
        </w:rPr>
        <w:t>(עה"ת שמות כ ח, הו' לעיל ד.)</w:t>
      </w:r>
      <w:r w:rsidRPr="00012502">
        <w:rPr>
          <w:rFonts w:ascii="Narkisim" w:hAnsi="Narkisim" w:cs="Narkisim"/>
          <w:rtl/>
        </w:rPr>
        <w:t xml:space="preserve"> דמצות עשה גדול מלא תעשה, כיון דהוה מאהבה. והאחרונים ביארו דכוונתו להק' דבסוגיין מבואר דל"ת חמור יותר</w:t>
      </w:r>
      <w:r w:rsidRPr="00012502">
        <w:rPr>
          <w:rStyle w:val="ac"/>
          <w:rFonts w:ascii="Narkisim" w:hAnsi="Narkisim" w:cs="Narkisim"/>
          <w:rtl/>
        </w:rPr>
        <w:footnoteReference w:id="334"/>
      </w:r>
      <w:r w:rsidRPr="00012502">
        <w:rPr>
          <w:rFonts w:ascii="Narkisim" w:hAnsi="Narkisim" w:cs="Narkisim"/>
          <w:rtl/>
        </w:rPr>
        <w:t>.</w:t>
      </w:r>
    </w:p>
    <w:p w14:paraId="454D9C7F"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(שם) ביאר דמי שעובר על ל"ת [באיסור] חמור יותר, שעובר בידים על דברי התורה. משא"כ מבטל עשה בשב ואל תעשה</w:t>
      </w:r>
      <w:r w:rsidRPr="00012502">
        <w:rPr>
          <w:rStyle w:val="ac"/>
          <w:rFonts w:ascii="Narkisim" w:hAnsi="Narkisim"/>
          <w:rtl/>
        </w:rPr>
        <w:footnoteReference w:id="335"/>
      </w:r>
      <w:r w:rsidRPr="00012502">
        <w:rPr>
          <w:rFonts w:ascii="Narkisim" w:hAnsi="Narkisim"/>
          <w:rtl/>
        </w:rPr>
        <w:t>. ואילו לענין עשה דוחה ל"ת, הותרה הל"ת, דקיום העשה עדיפא טפי. ואינו מרידה בהקב"ה</w:t>
      </w:r>
      <w:r w:rsidRPr="00012502">
        <w:rPr>
          <w:rStyle w:val="ac"/>
          <w:rFonts w:ascii="Narkisim" w:hAnsi="Narkisim"/>
          <w:rtl/>
        </w:rPr>
        <w:footnoteReference w:id="336"/>
      </w:r>
      <w:r w:rsidRPr="00012502">
        <w:rPr>
          <w:rFonts w:ascii="Narkisim" w:hAnsi="Narkisim"/>
          <w:rtl/>
        </w:rPr>
        <w:t>.</w:t>
      </w:r>
    </w:p>
    <w:p w14:paraId="4D7984D6"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מהר"ם חביב</w:t>
      </w:r>
      <w:r w:rsidRPr="00012502">
        <w:rPr>
          <w:rFonts w:ascii="Narkisim" w:hAnsi="Narkisim" w:cs="Narkisim"/>
          <w:rtl/>
        </w:rPr>
        <w:t xml:space="preserve"> (תוספת יוה"כ יומא פג.) דן בהא שמאכילין הקל קל במקום פיקו"נ, האם לאו נחשב קל או עשה. ודייק מדברי הרמב"ם דכשיש נבילה ואיסור [עשה] שביעית, מאכילים </w:t>
      </w:r>
      <w:r w:rsidRPr="00012502">
        <w:rPr>
          <w:rFonts w:ascii="Narkisim" w:hAnsi="Narkisim" w:cs="Narkisim"/>
          <w:rtl/>
        </w:rPr>
        <w:lastRenderedPageBreak/>
        <w:t>נבילה. וביאר דבריו ע"פ דברי הרמב"ן (הנ"ל). וסיים דסוגיא</w:t>
      </w:r>
      <w:r w:rsidRPr="00012502">
        <w:rPr>
          <w:rFonts w:ascii="Narkisim" w:hAnsi="Narkisim" w:cs="Narkisim"/>
          <w:i/>
          <w:iCs/>
          <w:rtl/>
        </w:rPr>
        <w:t xml:space="preserve"> </w:t>
      </w:r>
      <w:r w:rsidRPr="00012502">
        <w:rPr>
          <w:rFonts w:ascii="Narkisim" w:hAnsi="Narkisim" w:cs="Narkisim"/>
          <w:rtl/>
        </w:rPr>
        <w:t>דעלמא לא משמע כן. ו</w:t>
      </w:r>
      <w:r w:rsidRPr="00012502">
        <w:rPr>
          <w:rFonts w:ascii="Narkisim" w:hAnsi="Narkisim" w:cs="Narkisim"/>
          <w:b/>
          <w:bCs/>
          <w:rtl/>
        </w:rPr>
        <w:t>רע"א</w:t>
      </w:r>
      <w:r w:rsidRPr="00012502">
        <w:rPr>
          <w:rFonts w:ascii="Narkisim" w:hAnsi="Narkisim" w:cs="Narkisim"/>
          <w:rtl/>
        </w:rPr>
        <w:t xml:space="preserve"> (בגליון שם) תמה על דבריו דבסוגיין מפורש דל"ת חמור מעשה, ואף דעשה דחי לל"ת.</w:t>
      </w:r>
    </w:p>
    <w:p w14:paraId="49E9D145"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w:t>
      </w:r>
      <w:r w:rsidRPr="00012502">
        <w:rPr>
          <w:rFonts w:ascii="Narkisim" w:hAnsi="Narkisim" w:cs="Narkisim"/>
          <w:b/>
          <w:bCs/>
          <w:rtl/>
        </w:rPr>
        <w:t xml:space="preserve">תוס' </w:t>
      </w:r>
      <w:r w:rsidRPr="00012502">
        <w:rPr>
          <w:rFonts w:ascii="Narkisim" w:hAnsi="Narkisim" w:cs="Narkisim"/>
          <w:szCs w:val="20"/>
          <w:rtl/>
        </w:rPr>
        <w:t>(פסחים</w:t>
      </w:r>
      <w:r w:rsidRPr="00012502">
        <w:rPr>
          <w:rFonts w:ascii="Narkisim" w:hAnsi="Narkisim" w:cs="Narkisim"/>
          <w:rtl/>
        </w:rPr>
        <w:t xml:space="preserve"> </w:t>
      </w:r>
      <w:r w:rsidRPr="00012502">
        <w:rPr>
          <w:rFonts w:ascii="Narkisim" w:hAnsi="Narkisim" w:cs="Narkisim"/>
          <w:sz w:val="20"/>
          <w:szCs w:val="20"/>
          <w:rtl/>
        </w:rPr>
        <w:t xml:space="preserve">נט. ד"ה אתי) </w:t>
      </w:r>
      <w:r w:rsidRPr="00012502">
        <w:rPr>
          <w:rFonts w:ascii="Narkisim" w:hAnsi="Narkisim" w:cs="Narkisim"/>
          <w:rtl/>
        </w:rPr>
        <w:t>כת' בשם</w:t>
      </w:r>
      <w:r w:rsidRPr="00012502">
        <w:rPr>
          <w:rFonts w:ascii="Narkisim" w:hAnsi="Narkisim" w:cs="Narkisim"/>
          <w:b/>
          <w:bCs/>
          <w:rtl/>
        </w:rPr>
        <w:t xml:space="preserve"> ר"י</w:t>
      </w:r>
      <w:r w:rsidRPr="00012502">
        <w:rPr>
          <w:rFonts w:ascii="Narkisim" w:hAnsi="Narkisim" w:cs="Narkisim"/>
          <w:rtl/>
        </w:rPr>
        <w:t xml:space="preserve"> דהא דבעינן שיהא בעידנא בעשה דוחה ל"ת, ה"מ לדחות ל"ת דחמיר [מהעשה]. אבל הא דעשה חמור דוחה עשה קל לא בעינן בעידנא. </w:t>
      </w:r>
      <w:r w:rsidRPr="00012502">
        <w:rPr>
          <w:rFonts w:ascii="Narkisim" w:hAnsi="Narkisim" w:cs="Narkisim"/>
          <w:sz w:val="20"/>
          <w:szCs w:val="20"/>
          <w:rtl/>
        </w:rPr>
        <w:t>ו</w:t>
      </w:r>
      <w:r w:rsidRPr="00012502">
        <w:rPr>
          <w:rFonts w:ascii="Narkisim" w:hAnsi="Narkisim" w:cs="Narkisim"/>
          <w:b/>
          <w:bCs/>
          <w:sz w:val="20"/>
          <w:szCs w:val="20"/>
          <w:rtl/>
        </w:rPr>
        <w:t>רע"א</w:t>
      </w:r>
      <w:r w:rsidRPr="00012502">
        <w:rPr>
          <w:rFonts w:ascii="Narkisim" w:hAnsi="Narkisim" w:cs="Narkisim"/>
          <w:sz w:val="20"/>
          <w:szCs w:val="20"/>
          <w:rtl/>
        </w:rPr>
        <w:t xml:space="preserve"> (ב קמג) ציין דכוונת התוס' ע"פ סוגי', דעדל"ת אף דחמיר מיניה.</w:t>
      </w:r>
      <w:r w:rsidRPr="00012502">
        <w:rPr>
          <w:rFonts w:ascii="Narkisim" w:hAnsi="Narkisim" w:cs="Narkisim"/>
          <w:rtl/>
        </w:rPr>
        <w:t xml:space="preserve"> </w:t>
      </w:r>
      <w:r w:rsidRPr="00012502">
        <w:rPr>
          <w:rFonts w:ascii="Narkisim" w:hAnsi="Narkisim" w:cs="Narkisim"/>
          <w:szCs w:val="20"/>
          <w:rtl/>
        </w:rPr>
        <w:t>ואילו עשה החמור דוחה עשה הקל אף בלא גדרי דחייה.</w:t>
      </w:r>
    </w:p>
    <w:p w14:paraId="2A0E2181"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מג"א</w:t>
      </w:r>
      <w:r w:rsidRPr="00012502">
        <w:rPr>
          <w:rFonts w:ascii="Narkisim" w:hAnsi="Narkisim"/>
          <w:rtl/>
        </w:rPr>
        <w:t xml:space="preserve"> (תמו ב) הביא דה</w:t>
      </w:r>
      <w:r w:rsidRPr="00012502">
        <w:rPr>
          <w:rFonts w:ascii="Narkisim" w:hAnsi="Narkisim"/>
          <w:b/>
          <w:bCs/>
          <w:rtl/>
        </w:rPr>
        <w:t xml:space="preserve">שבלי הלקט </w:t>
      </w:r>
      <w:r w:rsidRPr="00012502">
        <w:rPr>
          <w:rFonts w:ascii="Narkisim" w:hAnsi="Narkisim"/>
          <w:rtl/>
        </w:rPr>
        <w:t xml:space="preserve">למד עד"ז דה"ה דעשה דרבים [הבאת שופר] דוחה ל"ת, ואף שלא בעידנא. </w:t>
      </w:r>
      <w:r w:rsidRPr="00012502">
        <w:rPr>
          <w:rFonts w:ascii="Narkisim" w:hAnsi="Narkisim"/>
          <w:sz w:val="20"/>
          <w:szCs w:val="20"/>
          <w:rtl/>
        </w:rPr>
        <w:t>וה</w:t>
      </w:r>
      <w:r w:rsidRPr="00012502">
        <w:rPr>
          <w:rFonts w:ascii="Narkisim" w:hAnsi="Narkisim"/>
          <w:b/>
          <w:bCs/>
          <w:sz w:val="20"/>
          <w:szCs w:val="20"/>
          <w:rtl/>
        </w:rPr>
        <w:t>אחרונים</w:t>
      </w:r>
      <w:r w:rsidRPr="00012502">
        <w:rPr>
          <w:rFonts w:ascii="Narkisim" w:hAnsi="Narkisim"/>
          <w:sz w:val="20"/>
          <w:szCs w:val="20"/>
          <w:rtl/>
        </w:rPr>
        <w:t xml:space="preserve"> העירו א"כ היאך ס"ד (לעיל ה:) ללמוד עדל"ת שיש בו כרת מקרא דפסח ותמיד, הא עשה דרבים חמיר ודוחה ל"ת מצד חומרתו [ונפק"מ דלא בעי בעידנא], והיאך נילף ממנו לעלמא.</w:t>
      </w:r>
    </w:p>
    <w:p w14:paraId="7B2818BE" w14:textId="77777777" w:rsidR="00BE1D1C" w:rsidRPr="00012502" w:rsidRDefault="00000000" w:rsidP="00012502">
      <w:pPr>
        <w:bidi/>
        <w:rPr>
          <w:rFonts w:ascii="Narkisim" w:hAnsi="Narkisim" w:cs="Narkisim"/>
        </w:rPr>
      </w:pPr>
      <w:r w:rsidRPr="00012502">
        <w:rPr>
          <w:rFonts w:ascii="Narkisim" w:hAnsi="Narkisim" w:cs="Narkisim"/>
          <w:u w:val="single"/>
          <w:rtl/>
        </w:rPr>
        <w:t>וקאתי עשה ודחי ליה, מה לי חומרא זוטא ומ"ל חומרא רבה</w:t>
      </w:r>
      <w:r w:rsidRPr="00012502">
        <w:rPr>
          <w:rFonts w:ascii="Narkisim" w:hAnsi="Narkisim" w:cs="Narkisim"/>
          <w:rtl/>
        </w:rPr>
        <w:t>. ה</w:t>
      </w:r>
      <w:r w:rsidRPr="00012502">
        <w:rPr>
          <w:rFonts w:ascii="Narkisim" w:hAnsi="Narkisim" w:cs="Narkisim"/>
          <w:b/>
          <w:bCs/>
          <w:rtl/>
        </w:rPr>
        <w:t xml:space="preserve">ריטב"א </w:t>
      </w:r>
      <w:r w:rsidRPr="00012502">
        <w:rPr>
          <w:rFonts w:ascii="Narkisim" w:hAnsi="Narkisim" w:cs="Narkisim"/>
          <w:rtl/>
        </w:rPr>
        <w:t>כת' [דכל זה להך ס"ד] אבל אנן סברינן דיש הפרש בין חומרא רבה לחומרא זוטא, וכדדחי לה.</w:t>
      </w:r>
      <w:r w:rsidRPr="00012502">
        <w:rPr>
          <w:rFonts w:ascii="Narkisim" w:hAnsi="Narkisim" w:cs="Narkisim"/>
          <w:sz w:val="20"/>
          <w:szCs w:val="20"/>
          <w:rtl/>
        </w:rPr>
        <w:t xml:space="preserve"> אבל ה</w:t>
      </w:r>
      <w:r w:rsidRPr="00012502">
        <w:rPr>
          <w:rFonts w:ascii="Narkisim" w:hAnsi="Narkisim" w:cs="Narkisim"/>
          <w:b/>
          <w:bCs/>
          <w:sz w:val="20"/>
          <w:szCs w:val="20"/>
          <w:rtl/>
        </w:rPr>
        <w:t>רשב"א</w:t>
      </w:r>
      <w:r w:rsidRPr="00012502">
        <w:rPr>
          <w:rFonts w:ascii="Narkisim" w:hAnsi="Narkisim" w:cs="Narkisim"/>
          <w:sz w:val="20"/>
          <w:szCs w:val="20"/>
          <w:rtl/>
        </w:rPr>
        <w:t xml:space="preserve"> ו</w:t>
      </w:r>
      <w:r w:rsidRPr="00012502">
        <w:rPr>
          <w:rFonts w:ascii="Narkisim" w:hAnsi="Narkisim" w:cs="Narkisim"/>
          <w:b/>
          <w:bCs/>
          <w:sz w:val="20"/>
          <w:szCs w:val="20"/>
          <w:rtl/>
        </w:rPr>
        <w:t>ריטב"א</w:t>
      </w:r>
      <w:r w:rsidRPr="00012502">
        <w:rPr>
          <w:rFonts w:ascii="Narkisim" w:hAnsi="Narkisim" w:cs="Narkisim"/>
          <w:sz w:val="20"/>
          <w:szCs w:val="20"/>
          <w:rtl/>
        </w:rPr>
        <w:t xml:space="preserve"> (בע"ב) העתיקו סברת מה לי איסורא רבה. [וצ"ע</w:t>
      </w:r>
      <w:r w:rsidRPr="00012502">
        <w:rPr>
          <w:rStyle w:val="ac"/>
          <w:rFonts w:ascii="Narkisim" w:hAnsi="Narkisim" w:cs="Narkisim"/>
          <w:sz w:val="20"/>
          <w:szCs w:val="20"/>
          <w:rtl/>
        </w:rPr>
        <w:footnoteReference w:id="337"/>
      </w:r>
      <w:r w:rsidRPr="00012502">
        <w:rPr>
          <w:rFonts w:ascii="Narkisim" w:hAnsi="Narkisim" w:cs="Narkisim"/>
          <w:sz w:val="20"/>
          <w:szCs w:val="20"/>
          <w:rtl/>
        </w:rPr>
        <w:t>].</w:t>
      </w:r>
    </w:p>
    <w:p w14:paraId="4C4A2AC8" w14:textId="77777777" w:rsidR="00BE1D1C" w:rsidRPr="00012502" w:rsidRDefault="00000000" w:rsidP="00012502">
      <w:pPr>
        <w:pStyle w:val="a7"/>
        <w:bidi/>
        <w:rPr>
          <w:rFonts w:ascii="Narkisim" w:hAnsi="Narkisim"/>
        </w:rPr>
      </w:pPr>
      <w:r w:rsidRPr="00012502">
        <w:rPr>
          <w:rFonts w:ascii="Narkisim" w:hAnsi="Narkisim"/>
          <w:rtl/>
        </w:rPr>
        <w:t>אבל ב</w:t>
      </w:r>
      <w:r w:rsidRPr="00012502">
        <w:rPr>
          <w:rFonts w:ascii="Narkisim" w:hAnsi="Narkisim"/>
          <w:b/>
          <w:bCs/>
          <w:rtl/>
        </w:rPr>
        <w:t>ס' הכריתות</w:t>
      </w:r>
      <w:r w:rsidRPr="00012502">
        <w:rPr>
          <w:rFonts w:ascii="Narkisim" w:hAnsi="Narkisim"/>
          <w:rtl/>
        </w:rPr>
        <w:t xml:space="preserve"> </w:t>
      </w:r>
      <w:r w:rsidRPr="00012502">
        <w:rPr>
          <w:rFonts w:ascii="Narkisim" w:hAnsi="Narkisim"/>
          <w:szCs w:val="20"/>
          <w:rtl/>
        </w:rPr>
        <w:t>(ה</w:t>
      </w:r>
      <w:r w:rsidRPr="00012502">
        <w:rPr>
          <w:rFonts w:ascii="Narkisim" w:hAnsi="Narkisim"/>
          <w:b/>
          <w:bCs/>
          <w:szCs w:val="20"/>
          <w:rtl/>
        </w:rPr>
        <w:t>ר"ש מקינון</w:t>
      </w:r>
      <w:r w:rsidRPr="00012502">
        <w:rPr>
          <w:rFonts w:ascii="Narkisim" w:hAnsi="Narkisim"/>
          <w:szCs w:val="20"/>
          <w:rtl/>
        </w:rPr>
        <w:t xml:space="preserve"> לשון לימודים ג קסג)</w:t>
      </w:r>
      <w:r w:rsidRPr="00012502">
        <w:rPr>
          <w:rFonts w:ascii="Narkisim" w:hAnsi="Narkisim"/>
          <w:rtl/>
        </w:rPr>
        <w:t xml:space="preserve"> הביא דמסקנת סוגיין דעדל"ת שיש בו כרת, דאמרי' מה לי חומרא רבה מה לי חומרא זוטרא</w:t>
      </w:r>
      <w:r w:rsidRPr="00012502">
        <w:rPr>
          <w:rStyle w:val="ac"/>
          <w:rFonts w:ascii="Narkisim" w:hAnsi="Narkisim"/>
          <w:rtl/>
        </w:rPr>
        <w:footnoteReference w:id="338"/>
      </w:r>
      <w:r w:rsidRPr="00012502">
        <w:rPr>
          <w:rFonts w:ascii="Narkisim" w:hAnsi="Narkisim"/>
          <w:rtl/>
        </w:rPr>
        <w:t>. [וצ"ב דמפורש בגמ' דכ"ז למאי דסליק אדעתיה מעיקרא].</w:t>
      </w:r>
    </w:p>
    <w:p w14:paraId="54581AF0" w14:textId="77777777" w:rsidR="00BE1D1C" w:rsidRPr="00012502" w:rsidRDefault="00000000" w:rsidP="00012502">
      <w:pPr>
        <w:bidi/>
        <w:rPr>
          <w:rFonts w:ascii="Narkisim" w:hAnsi="Narkisim" w:cs="Narkisim"/>
        </w:rPr>
      </w:pPr>
      <w:r w:rsidRPr="00012502">
        <w:rPr>
          <w:rFonts w:ascii="Narkisim" w:hAnsi="Narkisim" w:cs="Narkisim"/>
          <w:rtl/>
        </w:rPr>
        <w:t>וכן ה</w:t>
      </w:r>
      <w:r w:rsidRPr="00012502">
        <w:rPr>
          <w:rFonts w:ascii="Narkisim" w:hAnsi="Narkisim" w:cs="Narkisim"/>
          <w:b/>
          <w:bCs/>
          <w:rtl/>
        </w:rPr>
        <w:t>מהרש"ל</w:t>
      </w:r>
      <w:r w:rsidRPr="00012502">
        <w:rPr>
          <w:rFonts w:ascii="Narkisim" w:hAnsi="Narkisim" w:cs="Narkisim"/>
          <w:rtl/>
        </w:rPr>
        <w:t xml:space="preserve"> (ד.) הביא דלמסקנא עשה דוחה ל"ת שיש בו כרת</w:t>
      </w:r>
      <w:r w:rsidRPr="00012502">
        <w:rPr>
          <w:rStyle w:val="ac"/>
          <w:rFonts w:ascii="Narkisim" w:hAnsi="Narkisim" w:cs="Narkisim"/>
          <w:rtl/>
        </w:rPr>
        <w:footnoteReference w:id="339"/>
      </w:r>
      <w:r w:rsidRPr="00012502">
        <w:rPr>
          <w:rFonts w:ascii="Narkisim" w:hAnsi="Narkisim" w:cs="Narkisim"/>
          <w:rtl/>
        </w:rPr>
        <w:t xml:space="preserve"> [מלבד לתי' דרבא (ח.) דערוה ל"צ קרא]. ולכאו' כוונתו לסוגיין. וה</w:t>
      </w:r>
      <w:r w:rsidRPr="00012502">
        <w:rPr>
          <w:rFonts w:ascii="Narkisim" w:hAnsi="Narkisim" w:cs="Narkisim"/>
          <w:b/>
          <w:bCs/>
          <w:rtl/>
        </w:rPr>
        <w:t>מהרש"א</w:t>
      </w:r>
      <w:r w:rsidRPr="00012502">
        <w:rPr>
          <w:rFonts w:ascii="Narkisim" w:hAnsi="Narkisim" w:cs="Narkisim"/>
          <w:rtl/>
        </w:rPr>
        <w:t xml:space="preserve"> (ג:) ביאר כוונתו דדוקא ב' איסורי לא דחי </w:t>
      </w:r>
      <w:r w:rsidRPr="00012502">
        <w:rPr>
          <w:rFonts w:ascii="Narkisim" w:hAnsi="Narkisim" w:cs="Narkisim"/>
          <w:szCs w:val="20"/>
          <w:rtl/>
        </w:rPr>
        <w:t>[וכדאי' בגמ' בע"ב]</w:t>
      </w:r>
      <w:r w:rsidRPr="00012502">
        <w:rPr>
          <w:rStyle w:val="ac"/>
          <w:rFonts w:ascii="Narkisim" w:hAnsi="Narkisim" w:cs="Narkisim"/>
          <w:rtl/>
        </w:rPr>
        <w:footnoteReference w:id="340"/>
      </w:r>
      <w:r w:rsidRPr="00012502">
        <w:rPr>
          <w:rFonts w:ascii="Narkisim" w:hAnsi="Narkisim" w:cs="Narkisim"/>
          <w:rtl/>
        </w:rPr>
        <w:t>, אבל חדא איסורא דחי.</w:t>
      </w:r>
    </w:p>
    <w:p w14:paraId="530E52B0"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מהרש"א</w:t>
      </w:r>
      <w:r w:rsidRPr="00012502">
        <w:rPr>
          <w:rFonts w:ascii="Narkisim" w:hAnsi="Narkisim"/>
          <w:rtl/>
        </w:rPr>
        <w:t xml:space="preserve"> דחה ד</w:t>
      </w:r>
      <w:r w:rsidRPr="00012502">
        <w:rPr>
          <w:rFonts w:ascii="Narkisim" w:hAnsi="Narkisim"/>
          <w:b/>
          <w:bCs/>
          <w:rtl/>
        </w:rPr>
        <w:t>תוס</w:t>
      </w:r>
      <w:r w:rsidRPr="00012502">
        <w:rPr>
          <w:rFonts w:ascii="Narkisim" w:hAnsi="Narkisim"/>
          <w:rtl/>
        </w:rPr>
        <w:t>' (ג:) כת' להדיא דאינו דוחה ל"ת שיש בו כרת, ואף בחדא איסורא</w:t>
      </w:r>
      <w:r w:rsidRPr="00012502">
        <w:rPr>
          <w:rStyle w:val="ac"/>
          <w:rFonts w:ascii="Narkisim" w:hAnsi="Narkisim"/>
          <w:rtl/>
        </w:rPr>
        <w:footnoteReference w:id="341"/>
      </w:r>
      <w:r w:rsidRPr="00012502">
        <w:rPr>
          <w:rFonts w:ascii="Narkisim" w:hAnsi="Narkisim"/>
          <w:rtl/>
        </w:rPr>
        <w:t xml:space="preserve">. וע"כ דלא ילפי' מאשת אח [וכמ"ש תוס' ג: וה: דמצוותו בכך]. </w:t>
      </w:r>
      <w:r w:rsidRPr="00012502">
        <w:rPr>
          <w:rFonts w:ascii="Narkisim" w:hAnsi="Narkisim"/>
          <w:szCs w:val="20"/>
          <w:rtl/>
        </w:rPr>
        <w:t>ואף ללישנא (ח.) דילפי' הקישא דר' יונה, הוה ילפותא דוקא לעריות. ולא לשאר ל"ת שיש בו כרת</w:t>
      </w:r>
      <w:r w:rsidRPr="00012502">
        <w:rPr>
          <w:rStyle w:val="ac"/>
          <w:rFonts w:ascii="Narkisim" w:hAnsi="Narkisim"/>
          <w:szCs w:val="20"/>
          <w:rtl/>
        </w:rPr>
        <w:footnoteReference w:id="342"/>
      </w:r>
      <w:r w:rsidRPr="00012502">
        <w:rPr>
          <w:rFonts w:ascii="Narkisim" w:hAnsi="Narkisim"/>
          <w:rtl/>
        </w:rPr>
        <w:t>.</w:t>
      </w:r>
    </w:p>
    <w:p w14:paraId="6786FA2F"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ה</w:t>
      </w:r>
      <w:r w:rsidRPr="00012502">
        <w:rPr>
          <w:rFonts w:ascii="Narkisim" w:hAnsi="Narkisim"/>
          <w:b/>
          <w:bCs/>
          <w:rtl/>
        </w:rPr>
        <w:t>ט"ז</w:t>
      </w:r>
      <w:r w:rsidRPr="00012502">
        <w:rPr>
          <w:rFonts w:ascii="Narkisim" w:hAnsi="Narkisim"/>
          <w:rtl/>
        </w:rPr>
        <w:t xml:space="preserve"> (קסד ז ולבוש שם) כת' דלא ייבם נדה לפני שנטהרה [כדמוכח פסחים עב:, הו' בתוס' ב.], ולא אמרי' עדל"ת [שיש בו כרת</w:t>
      </w:r>
      <w:r w:rsidRPr="00012502">
        <w:rPr>
          <w:rStyle w:val="ac"/>
          <w:rFonts w:ascii="Narkisim" w:hAnsi="Narkisim"/>
          <w:rtl/>
        </w:rPr>
        <w:footnoteReference w:id="343"/>
      </w:r>
      <w:r w:rsidRPr="00012502">
        <w:rPr>
          <w:rFonts w:ascii="Narkisim" w:hAnsi="Narkisim"/>
          <w:rtl/>
        </w:rPr>
        <w:t>], דאפשר לקיים שניהם כשתטהר</w:t>
      </w:r>
      <w:r w:rsidRPr="00012502">
        <w:rPr>
          <w:rStyle w:val="ac"/>
          <w:rFonts w:ascii="Narkisim" w:hAnsi="Narkisim"/>
          <w:rtl/>
        </w:rPr>
        <w:footnoteReference w:id="344"/>
      </w:r>
      <w:r w:rsidRPr="00012502">
        <w:rPr>
          <w:rFonts w:ascii="Narkisim" w:hAnsi="Narkisim"/>
          <w:rtl/>
        </w:rPr>
        <w:t>.</w:t>
      </w:r>
    </w:p>
    <w:p w14:paraId="4038CB85"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ה</w:t>
      </w:r>
      <w:r w:rsidRPr="00012502">
        <w:rPr>
          <w:rFonts w:ascii="Narkisim" w:hAnsi="Narkisim"/>
          <w:b/>
          <w:bCs/>
          <w:rtl/>
        </w:rPr>
        <w:t>או"ש</w:t>
      </w:r>
      <w:r w:rsidRPr="00012502">
        <w:rPr>
          <w:rFonts w:ascii="Narkisim" w:hAnsi="Narkisim"/>
          <w:rtl/>
        </w:rPr>
        <w:t xml:space="preserve"> (סנהדרין יח ב) חידש דאף דעשה דוחה ל"ת שיש בו כרת להתיר לכתחילה. אפ"ה מהני לדחות את הלאו [ואינו לוקה]. ונשאר כרת בלא לאו</w:t>
      </w:r>
      <w:r w:rsidRPr="00012502">
        <w:rPr>
          <w:rStyle w:val="ac"/>
          <w:rFonts w:ascii="Narkisim" w:hAnsi="Narkisim"/>
          <w:rtl/>
        </w:rPr>
        <w:footnoteReference w:id="345"/>
      </w:r>
      <w:r w:rsidRPr="00012502">
        <w:rPr>
          <w:rFonts w:ascii="Narkisim" w:hAnsi="Narkisim"/>
          <w:rtl/>
        </w:rPr>
        <w:t>. ולמ"ד דקרבן צריך אזהרה, אף אינו חייב קרבן. וביאר עד"ז דברי ה</w:t>
      </w:r>
      <w:r w:rsidRPr="00012502">
        <w:rPr>
          <w:rFonts w:ascii="Narkisim" w:hAnsi="Narkisim"/>
          <w:b/>
          <w:bCs/>
          <w:rtl/>
        </w:rPr>
        <w:t>ירושלמי</w:t>
      </w:r>
      <w:r w:rsidRPr="00012502">
        <w:rPr>
          <w:rFonts w:ascii="Narkisim" w:hAnsi="Narkisim"/>
          <w:rtl/>
        </w:rPr>
        <w:t xml:space="preserve"> (סוכה ג יא) דהמוציא לולב ברשות הרבים פטור מחטאת, שעשה דוחה ל"ת. וצ"ב דודאי אינו דוחה איסור שבת. והאו"ש פי' דמ"מ נדחית הלאו, ודעת הירושלמי דקרבן בעי אזהרה, וכיון שהלאו נדחה תו פטור מחטאת.</w:t>
      </w:r>
    </w:p>
    <w:p w14:paraId="5DE47D1D" w14:textId="77777777" w:rsidR="00BE1D1C" w:rsidRPr="00012502" w:rsidRDefault="00000000" w:rsidP="00012502">
      <w:pPr>
        <w:pStyle w:val="3"/>
        <w:bidi/>
        <w:rPr>
          <w:rFonts w:ascii="Narkisim" w:hAnsi="Narkisim"/>
        </w:rPr>
      </w:pPr>
      <w:r w:rsidRPr="00012502">
        <w:rPr>
          <w:rFonts w:ascii="Narkisim" w:hAnsi="Narkisim"/>
          <w:rtl/>
        </w:rPr>
        <w:t>דף ז:</w:t>
      </w:r>
    </w:p>
    <w:p w14:paraId="21A0AC89" w14:textId="77777777" w:rsidR="00BE1D1C" w:rsidRPr="00012502" w:rsidRDefault="00000000" w:rsidP="00012502">
      <w:pPr>
        <w:pStyle w:val="aa"/>
        <w:bidi/>
        <w:rPr>
          <w:rFonts w:ascii="Narkisim" w:hAnsi="Narkisim"/>
        </w:rPr>
      </w:pPr>
      <w:r w:rsidRPr="00012502">
        <w:rPr>
          <w:rFonts w:ascii="Narkisim" w:hAnsi="Narkisim"/>
          <w:u w:val="single"/>
          <w:rtl/>
        </w:rPr>
        <w:t>ואי לא אהדריה קרא הו"א וכו' ולמאי דלא נפק לא נפק</w:t>
      </w:r>
      <w:r w:rsidRPr="00012502">
        <w:rPr>
          <w:rFonts w:ascii="Narkisim" w:hAnsi="Narkisim"/>
          <w:rtl/>
        </w:rPr>
        <w:t>. הלשון צ"ב, דמשמע דלמה דלא נפק, עדיין עומד בכללו. ותוס' פי' דמה שלא נתחדש לא נתחדש</w:t>
      </w:r>
      <w:r w:rsidRPr="00012502">
        <w:rPr>
          <w:rStyle w:val="ac"/>
          <w:rFonts w:ascii="Narkisim" w:hAnsi="Narkisim"/>
          <w:rtl/>
        </w:rPr>
        <w:footnoteReference w:id="346"/>
      </w:r>
      <w:r w:rsidRPr="00012502">
        <w:rPr>
          <w:rFonts w:ascii="Narkisim" w:hAnsi="Narkisim"/>
          <w:rtl/>
        </w:rPr>
        <w:t>.</w:t>
      </w:r>
    </w:p>
    <w:p w14:paraId="2C07C5EF"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הק' דבסוגיין הנידון האם הכלל לומדת ממנו. [ולא האם אשת אח דינו כשאר עריות לדיניו]. וכת' </w:t>
      </w:r>
      <w:r w:rsidRPr="00012502">
        <w:rPr>
          <w:rFonts w:ascii="Narkisim" w:hAnsi="Narkisim"/>
          <w:rtl/>
        </w:rPr>
        <w:lastRenderedPageBreak/>
        <w:t>דנקט כן לרבותא, דאפי' דברים בכללו לא ילפינן. (וע"ע בסמוך).</w:t>
      </w:r>
    </w:p>
    <w:p w14:paraId="41412436" w14:textId="77777777" w:rsidR="00BE1D1C" w:rsidRPr="00012502" w:rsidRDefault="00000000" w:rsidP="00012502">
      <w:pPr>
        <w:bidi/>
        <w:rPr>
          <w:rFonts w:ascii="Narkisim" w:hAnsi="Narkisim" w:cs="Narkisim"/>
        </w:rPr>
      </w:pPr>
      <w:r w:rsidRPr="00012502">
        <w:rPr>
          <w:rFonts w:ascii="Narkisim" w:hAnsi="Narkisim" w:cs="Narkisim"/>
          <w:u w:val="single"/>
          <w:rtl/>
        </w:rPr>
        <w:t>אלא ס"ד תיתי במה מצינו מאשת אח וכו'</w:t>
      </w:r>
      <w:r w:rsidRPr="00012502">
        <w:rPr>
          <w:rFonts w:ascii="Narkisim" w:hAnsi="Narkisim" w:cs="Narkisim"/>
          <w:rtl/>
        </w:rPr>
        <w:t xml:space="preserve">. בפשטות כוונת הגמ' דילפי' דאיסור עריות נדחו מפני עשה דיבום, דומיא דאיסור אשת אח שנדחה. וכן דייקו מדברי </w:t>
      </w:r>
      <w:r w:rsidRPr="00012502">
        <w:rPr>
          <w:rFonts w:ascii="Narkisim" w:hAnsi="Narkisim" w:cs="Narkisim"/>
          <w:b/>
          <w:bCs/>
          <w:rtl/>
        </w:rPr>
        <w:t>רש"י</w:t>
      </w:r>
      <w:r w:rsidRPr="00012502">
        <w:rPr>
          <w:rFonts w:ascii="Narkisim" w:hAnsi="Narkisim" w:cs="Narkisim"/>
          <w:rtl/>
        </w:rPr>
        <w:t xml:space="preserve"> </w:t>
      </w:r>
      <w:r w:rsidRPr="00012502">
        <w:rPr>
          <w:rFonts w:ascii="Narkisim" w:hAnsi="Narkisim" w:cs="Narkisim"/>
          <w:szCs w:val="20"/>
          <w:rtl/>
        </w:rPr>
        <w:t>(ח. ד"ה ואיבעית אימא</w:t>
      </w:r>
      <w:r w:rsidRPr="00012502">
        <w:rPr>
          <w:rFonts w:ascii="Narkisim" w:hAnsi="Narkisim" w:cs="Narkisim"/>
          <w:rtl/>
        </w:rPr>
        <w:t>)</w:t>
      </w:r>
      <w:r w:rsidRPr="00012502">
        <w:rPr>
          <w:rStyle w:val="ac"/>
          <w:rFonts w:ascii="Narkisim" w:hAnsi="Narkisim" w:cs="Narkisim"/>
          <w:rtl/>
        </w:rPr>
        <w:footnoteReference w:id="347"/>
      </w:r>
      <w:r w:rsidRPr="00012502">
        <w:rPr>
          <w:rFonts w:ascii="Narkisim" w:hAnsi="Narkisim" w:cs="Narkisim"/>
          <w:rtl/>
        </w:rPr>
        <w:t>. וכ"מ ב</w:t>
      </w:r>
      <w:r w:rsidRPr="00012502">
        <w:rPr>
          <w:rFonts w:ascii="Narkisim" w:hAnsi="Narkisim" w:cs="Narkisim"/>
          <w:b/>
          <w:bCs/>
          <w:rtl/>
        </w:rPr>
        <w:t>רמב"ן</w:t>
      </w:r>
      <w:r w:rsidRPr="00012502">
        <w:rPr>
          <w:rFonts w:ascii="Narkisim" w:hAnsi="Narkisim" w:cs="Narkisim"/>
          <w:rtl/>
        </w:rPr>
        <w:t xml:space="preserve"> </w:t>
      </w:r>
      <w:r w:rsidRPr="00012502">
        <w:rPr>
          <w:rFonts w:ascii="Narkisim" w:hAnsi="Narkisim" w:cs="Narkisim"/>
          <w:szCs w:val="20"/>
          <w:rtl/>
        </w:rPr>
        <w:t>(ו</w:t>
      </w:r>
      <w:r w:rsidRPr="00012502">
        <w:rPr>
          <w:rFonts w:ascii="Narkisim" w:hAnsi="Narkisim" w:cs="Narkisim"/>
          <w:b/>
          <w:bCs/>
          <w:szCs w:val="20"/>
          <w:rtl/>
        </w:rPr>
        <w:t>רשב"א ריטב"א</w:t>
      </w:r>
      <w:r w:rsidRPr="00012502">
        <w:rPr>
          <w:rFonts w:ascii="Narkisim" w:hAnsi="Narkisim" w:cs="Narkisim"/>
          <w:szCs w:val="20"/>
          <w:rtl/>
        </w:rPr>
        <w:t xml:space="preserve"> בסוגיין</w:t>
      </w:r>
      <w:r w:rsidRPr="00012502">
        <w:rPr>
          <w:rFonts w:ascii="Narkisim" w:hAnsi="Narkisim" w:cs="Narkisim"/>
          <w:rtl/>
        </w:rPr>
        <w:t>) דילפי' במה מצינו שידחה ללא תעשה, דאחות אשה מתייבמת. ו</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Cs w:val="20"/>
          <w:rtl/>
        </w:rPr>
        <w:t xml:space="preserve">(לעיל ג: </w:t>
      </w:r>
      <w:r w:rsidRPr="00012502">
        <w:rPr>
          <w:rFonts w:ascii="Narkisim" w:hAnsi="Narkisim" w:cs="Narkisim"/>
          <w:sz w:val="20"/>
          <w:szCs w:val="20"/>
          <w:rtl/>
        </w:rPr>
        <w:t xml:space="preserve">ד"ה לא) </w:t>
      </w:r>
      <w:r w:rsidRPr="00012502">
        <w:rPr>
          <w:rFonts w:ascii="Narkisim" w:hAnsi="Narkisim" w:cs="Narkisim"/>
          <w:rtl/>
        </w:rPr>
        <w:t>הביאו עד"ז</w:t>
      </w:r>
      <w:r w:rsidRPr="00012502">
        <w:rPr>
          <w:rStyle w:val="ac"/>
          <w:rFonts w:ascii="Narkisim" w:hAnsi="Narkisim" w:cs="Narkisim"/>
          <w:rtl/>
        </w:rPr>
        <w:footnoteReference w:id="348"/>
      </w:r>
      <w:r w:rsidRPr="00012502">
        <w:rPr>
          <w:rFonts w:ascii="Narkisim" w:hAnsi="Narkisim" w:cs="Narkisim"/>
          <w:rtl/>
        </w:rPr>
        <w:t xml:space="preserve"> דכוונת הגמ' ללמוד [במה מצינו] לעלמא</w:t>
      </w:r>
      <w:r w:rsidRPr="00012502">
        <w:rPr>
          <w:rStyle w:val="ac"/>
          <w:rFonts w:ascii="Narkisim" w:hAnsi="Narkisim" w:cs="Narkisim"/>
          <w:rtl/>
        </w:rPr>
        <w:footnoteReference w:id="349"/>
      </w:r>
      <w:r w:rsidRPr="00012502">
        <w:rPr>
          <w:rFonts w:ascii="Narkisim" w:hAnsi="Narkisim" w:cs="Narkisim"/>
          <w:rtl/>
        </w:rPr>
        <w:t xml:space="preserve"> דעשה דוחה ל"ת שיש בו כרת</w:t>
      </w:r>
      <w:r w:rsidRPr="00012502">
        <w:rPr>
          <w:rStyle w:val="ac"/>
          <w:rFonts w:ascii="Narkisim" w:hAnsi="Narkisim" w:cs="Narkisim"/>
          <w:rtl/>
        </w:rPr>
        <w:footnoteReference w:id="350"/>
      </w:r>
      <w:r w:rsidRPr="00012502">
        <w:rPr>
          <w:rFonts w:ascii="Narkisim" w:hAnsi="Narkisim" w:cs="Narkisim"/>
          <w:rtl/>
        </w:rPr>
        <w:t>.</w:t>
      </w:r>
    </w:p>
    <w:p w14:paraId="7B1702E8"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דחו דא"כ ליכא חילוק בין חד איסור לב' איסורי</w:t>
      </w:r>
      <w:r w:rsidRPr="00012502">
        <w:rPr>
          <w:rStyle w:val="ac"/>
          <w:rFonts w:ascii="Narkisim" w:hAnsi="Narkisim"/>
          <w:rtl/>
        </w:rPr>
        <w:footnoteReference w:id="351"/>
      </w:r>
      <w:r w:rsidRPr="00012502">
        <w:rPr>
          <w:rFonts w:ascii="Narkisim" w:hAnsi="Narkisim"/>
          <w:rtl/>
        </w:rPr>
        <w:t xml:space="preserve"> </w:t>
      </w:r>
      <w:r w:rsidRPr="00012502">
        <w:rPr>
          <w:rFonts w:ascii="Narkisim" w:hAnsi="Narkisim"/>
          <w:szCs w:val="20"/>
          <w:rtl/>
        </w:rPr>
        <w:t>(ע' בסמוך).</w:t>
      </w:r>
      <w:r w:rsidRPr="00012502">
        <w:rPr>
          <w:rFonts w:ascii="Narkisim" w:hAnsi="Narkisim"/>
          <w:rtl/>
        </w:rPr>
        <w:t xml:space="preserve"> ו</w:t>
      </w:r>
      <w:r w:rsidRPr="00012502">
        <w:rPr>
          <w:rFonts w:ascii="Narkisim" w:hAnsi="Narkisim"/>
          <w:b/>
          <w:bCs/>
          <w:rtl/>
        </w:rPr>
        <w:t>תוס'</w:t>
      </w:r>
      <w:r w:rsidRPr="00012502">
        <w:rPr>
          <w:rFonts w:ascii="Narkisim" w:hAnsi="Narkisim"/>
          <w:rtl/>
        </w:rPr>
        <w:t xml:space="preserve"> פי' דקו' הגמ' דנילף דהואיל ואישתרי איסור אשת אח, אף איסור אחות אשה הותר עמו. </w:t>
      </w:r>
      <w:r w:rsidRPr="00012502">
        <w:rPr>
          <w:rFonts w:ascii="Narkisim" w:hAnsi="Narkisim"/>
          <w:szCs w:val="20"/>
          <w:rtl/>
        </w:rPr>
        <w:t>[וכדאי' בגמ' בסמוך הואיל ואישתרי</w:t>
      </w:r>
      <w:r w:rsidRPr="00012502">
        <w:rPr>
          <w:rStyle w:val="ac"/>
          <w:rFonts w:ascii="Narkisim" w:hAnsi="Narkisim"/>
          <w:szCs w:val="20"/>
          <w:rtl/>
        </w:rPr>
        <w:footnoteReference w:id="352"/>
      </w:r>
      <w:r w:rsidRPr="00012502">
        <w:rPr>
          <w:rFonts w:ascii="Narkisim" w:hAnsi="Narkisim"/>
          <w:rtl/>
        </w:rPr>
        <w:t>].</w:t>
      </w:r>
      <w:r w:rsidRPr="00012502">
        <w:rPr>
          <w:rFonts w:ascii="Narkisim" w:hAnsi="Narkisim"/>
          <w:sz w:val="20"/>
          <w:szCs w:val="20"/>
          <w:rtl/>
        </w:rPr>
        <w:t xml:space="preserve"> אך אי המקשן סמך על סברת הואיל ואישתרי</w:t>
      </w:r>
      <w:r w:rsidRPr="00012502">
        <w:rPr>
          <w:rStyle w:val="ac"/>
          <w:rFonts w:ascii="Narkisim" w:hAnsi="Narkisim"/>
          <w:sz w:val="20"/>
          <w:szCs w:val="20"/>
          <w:rtl/>
        </w:rPr>
        <w:footnoteReference w:id="353"/>
      </w:r>
      <w:r w:rsidRPr="00012502">
        <w:rPr>
          <w:rFonts w:ascii="Narkisim" w:hAnsi="Narkisim"/>
          <w:sz w:val="20"/>
          <w:szCs w:val="20"/>
          <w:rtl/>
        </w:rPr>
        <w:t>, א"כ צ"ב מה דחה התרצן דתרי איסורא. ובפשוטו התרצן קיצר, ואח"כ הק' לפרש דבריו</w:t>
      </w:r>
      <w:r w:rsidRPr="00012502">
        <w:rPr>
          <w:rStyle w:val="ac"/>
          <w:rFonts w:ascii="Narkisim" w:hAnsi="Narkisim"/>
          <w:sz w:val="20"/>
          <w:szCs w:val="20"/>
          <w:rtl/>
        </w:rPr>
        <w:footnoteReference w:id="354"/>
      </w:r>
      <w:r w:rsidRPr="00012502">
        <w:rPr>
          <w:rFonts w:ascii="Narkisim" w:hAnsi="Narkisim"/>
          <w:sz w:val="20"/>
          <w:szCs w:val="20"/>
          <w:rtl/>
        </w:rPr>
        <w:t>. וה</w:t>
      </w:r>
      <w:r w:rsidRPr="00012502">
        <w:rPr>
          <w:rFonts w:ascii="Narkisim" w:hAnsi="Narkisim"/>
          <w:b/>
          <w:bCs/>
          <w:sz w:val="20"/>
          <w:szCs w:val="20"/>
          <w:rtl/>
        </w:rPr>
        <w:t>מהד"ב למהרש"א</w:t>
      </w:r>
      <w:r w:rsidRPr="00012502">
        <w:rPr>
          <w:rFonts w:ascii="Narkisim" w:hAnsi="Narkisim"/>
          <w:sz w:val="20"/>
          <w:szCs w:val="20"/>
          <w:rtl/>
        </w:rPr>
        <w:t xml:space="preserve"> כ' דכוונת הגמ' להק' דאין סברא לחלק משום הואיל ואישתרי, ומש"ה הביא מנא תימרא וכו'</w:t>
      </w:r>
      <w:r w:rsidRPr="00012502">
        <w:rPr>
          <w:rFonts w:ascii="Narkisim" w:hAnsi="Narkisim"/>
          <w:rtl/>
        </w:rPr>
        <w:t>.</w:t>
      </w:r>
    </w:p>
    <w:p w14:paraId="3CD76F93" w14:textId="77777777" w:rsidR="00BE1D1C" w:rsidRPr="00012502" w:rsidRDefault="00000000" w:rsidP="00012502">
      <w:pPr>
        <w:bidi/>
        <w:rPr>
          <w:rFonts w:ascii="Narkisim" w:hAnsi="Narkisim" w:cs="Narkisim"/>
        </w:rPr>
      </w:pPr>
      <w:r w:rsidRPr="00012502">
        <w:rPr>
          <w:rFonts w:ascii="Narkisim" w:hAnsi="Narkisim" w:cs="Narkisim"/>
          <w:u w:val="single"/>
          <w:rtl/>
        </w:rPr>
        <w:t>שם. במה מצינו מאשת אח וכו'</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Cs w:val="20"/>
          <w:rtl/>
        </w:rPr>
        <w:t>(יומא מ: ד"ה מה, ותוס' מהר"ם כאן)</w:t>
      </w:r>
      <w:r w:rsidRPr="00012502">
        <w:rPr>
          <w:rFonts w:ascii="Narkisim" w:hAnsi="Narkisim" w:cs="Narkisim"/>
          <w:rtl/>
        </w:rPr>
        <w:t xml:space="preserve"> וה</w:t>
      </w:r>
      <w:r w:rsidRPr="00012502">
        <w:rPr>
          <w:rFonts w:ascii="Narkisim" w:hAnsi="Narkisim" w:cs="Narkisim"/>
          <w:b/>
          <w:bCs/>
          <w:rtl/>
        </w:rPr>
        <w:t>ראשונים</w:t>
      </w:r>
      <w:r w:rsidRPr="00012502">
        <w:rPr>
          <w:rFonts w:ascii="Narkisim" w:hAnsi="Narkisim" w:cs="Narkisim"/>
          <w:rtl/>
        </w:rPr>
        <w:t xml:space="preserve"> הק' דאמרו דיצא ללמוד דבר חדש, ואין למידין ממנו. א"כ האיך נילף במה מצינו.</w:t>
      </w:r>
    </w:p>
    <w:p w14:paraId="2FE02675"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xml:space="preserve">' </w:t>
      </w:r>
      <w:r w:rsidRPr="00012502">
        <w:rPr>
          <w:rFonts w:ascii="Narkisim" w:hAnsi="Narkisim"/>
          <w:szCs w:val="20"/>
          <w:rtl/>
        </w:rPr>
        <w:t>(הנ"ל)</w:t>
      </w:r>
      <w:r w:rsidRPr="00012502">
        <w:rPr>
          <w:rFonts w:ascii="Narkisim" w:hAnsi="Narkisim"/>
          <w:rtl/>
        </w:rPr>
        <w:t xml:space="preserve"> תי' דהא דאמרי' דכיון דיצא לדבר חדש אין למידין, היינו דאם יש להשיב משיבין. אבל אפשר ללמוד ממנו מדין 'מה מצינו'. ולהכי פריך התם חדא איסורא. אבל אם יצא מהכלל ללמד על הכלל, א"כ דינו כגז"ש והיקש דאין משיבים. [עי"ש שדן בסוגיא שם].</w:t>
      </w:r>
    </w:p>
    <w:p w14:paraId="453017FE"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ר"א אב"ד</w:t>
      </w:r>
      <w:r w:rsidRPr="00012502">
        <w:rPr>
          <w:rFonts w:ascii="Narkisim" w:hAnsi="Narkisim"/>
          <w:rtl/>
        </w:rPr>
        <w:t xml:space="preserve"> (הו' ברמב"ן ושא"ר) נקט דלא ילפי' מיניה אף במה מצינו. ותי' דכוונת הגמ' דלא דמי לדבר שהיה בכלל ויצא לידון דבר חדש, והגמ' לעיל דחויה בעלמא קאמר, דאי דמי אדרבה להא דמי.</w:t>
      </w:r>
    </w:p>
    <w:p w14:paraId="61153BAB"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רשב"א</w:t>
      </w:r>
      <w:r w:rsidRPr="00012502">
        <w:rPr>
          <w:rFonts w:ascii="Narkisim" w:hAnsi="Narkisim"/>
          <w:rtl/>
        </w:rPr>
        <w:t xml:space="preserve"> ביאר בשם </w:t>
      </w:r>
      <w:r w:rsidRPr="00012502">
        <w:rPr>
          <w:rFonts w:ascii="Narkisim" w:hAnsi="Narkisim"/>
          <w:b/>
          <w:bCs/>
          <w:rtl/>
        </w:rPr>
        <w:t>רבינו יונה</w:t>
      </w:r>
      <w:r w:rsidRPr="00012502">
        <w:rPr>
          <w:rFonts w:ascii="Narkisim" w:hAnsi="Narkisim"/>
          <w:rtl/>
        </w:rPr>
        <w:t xml:space="preserve"> דלא נחשב יצא לידון בדבר חדש, כיון דא"א ליבם בלא אשת אח. אבל ה</w:t>
      </w:r>
      <w:r w:rsidRPr="00012502">
        <w:rPr>
          <w:rFonts w:ascii="Narkisim" w:hAnsi="Narkisim"/>
          <w:b/>
          <w:bCs/>
          <w:rtl/>
        </w:rPr>
        <w:t>רמב"ן</w:t>
      </w:r>
      <w:r w:rsidRPr="00012502">
        <w:rPr>
          <w:rFonts w:ascii="Narkisim" w:hAnsi="Narkisim"/>
          <w:rtl/>
        </w:rPr>
        <w:t xml:space="preserve"> פי' דברי הראב"ד דדבר שהיה בכלל ויצא, לא גמיר איהו מכלליה, אבל כללא יליף מיניה במה מצינו</w:t>
      </w:r>
      <w:r w:rsidRPr="00012502">
        <w:rPr>
          <w:rStyle w:val="ac"/>
          <w:rFonts w:ascii="Narkisim" w:hAnsi="Narkisim"/>
          <w:rtl/>
        </w:rPr>
        <w:footnoteReference w:id="355"/>
      </w:r>
      <w:r w:rsidRPr="00012502">
        <w:rPr>
          <w:rFonts w:ascii="Narkisim" w:hAnsi="Narkisim"/>
          <w:rtl/>
        </w:rPr>
        <w:t xml:space="preserve"> [היכא דליכא למיפרך]</w:t>
      </w:r>
      <w:r w:rsidRPr="00012502">
        <w:rPr>
          <w:rStyle w:val="ac"/>
          <w:rFonts w:ascii="Narkisim" w:hAnsi="Narkisim"/>
          <w:rtl/>
        </w:rPr>
        <w:footnoteReference w:id="356"/>
      </w:r>
      <w:r w:rsidRPr="00012502">
        <w:rPr>
          <w:rFonts w:ascii="Narkisim" w:hAnsi="Narkisim"/>
          <w:rtl/>
        </w:rPr>
        <w:t>.</w:t>
      </w:r>
    </w:p>
    <w:p w14:paraId="069F0B82"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כת' דכיון דכל העריות נכתב הלאו בפנ"ע, לא נחשב דבר שהיה בכלל. ואף דהוקש יחד לכמה דינים, </w:t>
      </w:r>
      <w:r w:rsidRPr="00012502">
        <w:rPr>
          <w:rFonts w:ascii="Narkisim" w:hAnsi="Narkisim"/>
          <w:rtl/>
        </w:rPr>
        <w:lastRenderedPageBreak/>
        <w:t>מ"מ איסוריה העיקרי לא היה בכלל [אלא שנפרט כל פרט לעצמו], ואנן הוא דאתינן למימר שאף זה דמי לדבר שהיה בכלל כיון שבכלל עריות הוא.</w:t>
      </w:r>
    </w:p>
    <w:p w14:paraId="1E891B6C" w14:textId="77777777" w:rsidR="00BE1D1C" w:rsidRPr="00012502" w:rsidRDefault="00000000" w:rsidP="00012502">
      <w:pPr>
        <w:bidi/>
        <w:rPr>
          <w:rFonts w:ascii="Narkisim" w:hAnsi="Narkisim" w:cs="Narkisim"/>
        </w:rPr>
      </w:pPr>
      <w:r w:rsidRPr="00012502">
        <w:rPr>
          <w:rFonts w:ascii="Narkisim" w:hAnsi="Narkisim" w:cs="Narkisim"/>
          <w:u w:val="single"/>
          <w:rtl/>
        </w:rPr>
        <w:t>מי דמי וכו' הכא תרי איסורי וכו'</w:t>
      </w:r>
      <w:r w:rsidRPr="00012502">
        <w:rPr>
          <w:rFonts w:ascii="Narkisim" w:hAnsi="Narkisim" w:cs="Narkisim"/>
          <w:rtl/>
        </w:rPr>
        <w:t>. ולא ילפי' להתיר ב' איסורין</w:t>
      </w:r>
      <w:r w:rsidRPr="00012502">
        <w:rPr>
          <w:rStyle w:val="ac"/>
          <w:rFonts w:ascii="Narkisim" w:hAnsi="Narkisim" w:cs="Narkisim"/>
          <w:rtl/>
        </w:rPr>
        <w:footnoteReference w:id="357"/>
      </w:r>
      <w:r w:rsidRPr="00012502">
        <w:rPr>
          <w:rFonts w:ascii="Narkisim" w:hAnsi="Narkisim" w:cs="Narkisim"/>
          <w:rtl/>
        </w:rPr>
        <w:t>. וה</w:t>
      </w:r>
      <w:r w:rsidRPr="00012502">
        <w:rPr>
          <w:rFonts w:ascii="Narkisim" w:hAnsi="Narkisim" w:cs="Narkisim"/>
          <w:b/>
          <w:bCs/>
          <w:rtl/>
        </w:rPr>
        <w:t>רשב"א</w:t>
      </w:r>
      <w:r w:rsidRPr="00012502">
        <w:rPr>
          <w:rFonts w:ascii="Narkisim" w:hAnsi="Narkisim" w:cs="Narkisim"/>
          <w:rtl/>
        </w:rPr>
        <w:t xml:space="preserve"> ו</w:t>
      </w:r>
      <w:r w:rsidRPr="00012502">
        <w:rPr>
          <w:rFonts w:ascii="Narkisim" w:hAnsi="Narkisim" w:cs="Narkisim"/>
          <w:b/>
          <w:bCs/>
          <w:rtl/>
        </w:rPr>
        <w:t>ריטב"א</w:t>
      </w:r>
      <w:r w:rsidRPr="00012502">
        <w:rPr>
          <w:rFonts w:ascii="Narkisim" w:hAnsi="Narkisim" w:cs="Narkisim"/>
          <w:rtl/>
        </w:rPr>
        <w:t xml:space="preserve"> כת' דאף דאמרי' (בע"א) מה לי חומרא רבה</w:t>
      </w:r>
      <w:r w:rsidRPr="00012502">
        <w:rPr>
          <w:rStyle w:val="ac"/>
          <w:rFonts w:ascii="Narkisim" w:hAnsi="Narkisim" w:cs="Narkisim"/>
          <w:rtl/>
        </w:rPr>
        <w:footnoteReference w:id="358"/>
      </w:r>
      <w:r w:rsidRPr="00012502">
        <w:rPr>
          <w:rFonts w:ascii="Narkisim" w:hAnsi="Narkisim" w:cs="Narkisim"/>
          <w:rtl/>
        </w:rPr>
        <w:t>, שאני הכא דהוה איסורין מחולקין</w:t>
      </w:r>
      <w:r w:rsidRPr="00012502">
        <w:rPr>
          <w:rStyle w:val="ac"/>
          <w:rFonts w:ascii="Narkisim" w:hAnsi="Narkisim" w:cs="Narkisim"/>
          <w:rtl/>
        </w:rPr>
        <w:footnoteReference w:id="359"/>
      </w:r>
      <w:r w:rsidRPr="00012502">
        <w:rPr>
          <w:rFonts w:ascii="Narkisim" w:hAnsi="Narkisim" w:cs="Narkisim"/>
          <w:rtl/>
        </w:rPr>
        <w:t xml:space="preserve">. אבל </w:t>
      </w:r>
      <w:r w:rsidRPr="00012502">
        <w:rPr>
          <w:rFonts w:ascii="Narkisim" w:hAnsi="Narkisim" w:cs="Narkisim"/>
          <w:b/>
          <w:bCs/>
          <w:rtl/>
        </w:rPr>
        <w:t>תוס</w:t>
      </w:r>
      <w:r w:rsidRPr="00012502">
        <w:rPr>
          <w:rFonts w:ascii="Narkisim" w:hAnsi="Narkisim" w:cs="Narkisim"/>
          <w:rtl/>
        </w:rPr>
        <w:t>' (לעיל ג: הנ"ל) הק' דקי"ל בכ"מ דעשה דוחה אף ב' איסורי</w:t>
      </w:r>
      <w:r w:rsidRPr="00012502">
        <w:rPr>
          <w:rStyle w:val="ac"/>
          <w:rFonts w:ascii="Narkisim" w:hAnsi="Narkisim" w:cs="Narkisim"/>
          <w:rtl/>
        </w:rPr>
        <w:footnoteReference w:id="360"/>
      </w:r>
      <w:r w:rsidRPr="00012502">
        <w:rPr>
          <w:rFonts w:ascii="Narkisim" w:hAnsi="Narkisim" w:cs="Narkisim"/>
          <w:rtl/>
        </w:rPr>
        <w:t>. והוכיחו דכוונת הגמ' דנלמד מכאן היתר לאחות אשה [הואיל ואישתרי, וכנ"ל].</w:t>
      </w:r>
    </w:p>
    <w:p w14:paraId="0CEDC39F" w14:textId="77777777" w:rsidR="00BE1D1C" w:rsidRPr="00012502" w:rsidRDefault="00000000" w:rsidP="00012502">
      <w:pPr>
        <w:pStyle w:val="2"/>
        <w:bidi/>
        <w:rPr>
          <w:rFonts w:ascii="Narkisim" w:hAnsi="Narkisim"/>
        </w:rPr>
      </w:pPr>
      <w:r w:rsidRPr="00012502">
        <w:rPr>
          <w:rFonts w:ascii="Narkisim" w:hAnsi="Narkisim"/>
          <w:rtl/>
        </w:rPr>
        <w:t>הואיל ואישתרי אישתרי</w:t>
      </w:r>
    </w:p>
    <w:p w14:paraId="187665E2" w14:textId="77777777" w:rsidR="00BE1D1C" w:rsidRPr="00012502" w:rsidRDefault="00000000" w:rsidP="00012502">
      <w:pPr>
        <w:bidi/>
        <w:rPr>
          <w:rFonts w:ascii="Narkisim" w:hAnsi="Narkisim" w:cs="Narkisim"/>
        </w:rPr>
      </w:pPr>
      <w:r w:rsidRPr="00012502">
        <w:rPr>
          <w:rFonts w:ascii="Narkisim" w:hAnsi="Narkisim" w:cs="Narkisim"/>
          <w:u w:val="single"/>
          <w:rtl/>
        </w:rPr>
        <w:t>מהו דתימא הואיל ואישתרי</w:t>
      </w:r>
      <w:r w:rsidRPr="00012502">
        <w:rPr>
          <w:rFonts w:ascii="Narkisim" w:hAnsi="Narkisim" w:cs="Narkisim"/>
          <w:rtl/>
        </w:rPr>
        <w:t>. אשת אח, פ</w:t>
      </w:r>
      <w:r w:rsidRPr="00012502">
        <w:rPr>
          <w:rFonts w:ascii="Narkisim" w:hAnsi="Narkisim" w:cs="Narkisim"/>
          <w:b/>
          <w:bCs/>
          <w:rtl/>
        </w:rPr>
        <w:t>רש"י</w:t>
      </w:r>
      <w:r w:rsidRPr="00012502">
        <w:rPr>
          <w:rFonts w:ascii="Narkisim" w:hAnsi="Narkisim" w:cs="Narkisim"/>
          <w:rtl/>
        </w:rPr>
        <w:t xml:space="preserve"> כשמת בלא בנים. אישתרי נמי איסור אחות אשה. והגמ' מביאה עד"ז מהא דמצורע מכניס ידיו למקדש, והותר אף משום טומאת קרי. פ</w:t>
      </w:r>
      <w:r w:rsidRPr="00012502">
        <w:rPr>
          <w:rFonts w:ascii="Narkisim" w:hAnsi="Narkisim" w:cs="Narkisim"/>
          <w:b/>
          <w:bCs/>
          <w:rtl/>
        </w:rPr>
        <w:t>רש"י</w:t>
      </w:r>
      <w:r w:rsidRPr="00012502">
        <w:rPr>
          <w:rFonts w:ascii="Narkisim" w:hAnsi="Narkisim" w:cs="Narkisim"/>
          <w:rtl/>
        </w:rPr>
        <w:t xml:space="preserve"> דהואיל ואישתרי חדא איסורא, אישתרי נמי אידך דהוה גביה.</w:t>
      </w:r>
    </w:p>
    <w:p w14:paraId="112F4EA5" w14:textId="77777777" w:rsidR="00BE1D1C" w:rsidRPr="00012502" w:rsidRDefault="00000000" w:rsidP="00012502">
      <w:pPr>
        <w:bidi/>
        <w:rPr>
          <w:rFonts w:ascii="Narkisim" w:hAnsi="Narkisim" w:cs="Narkisim"/>
        </w:rPr>
      </w:pPr>
      <w:r w:rsidRPr="00012502">
        <w:rPr>
          <w:rFonts w:ascii="Narkisim" w:hAnsi="Narkisim" w:cs="Narkisim"/>
          <w:rtl/>
        </w:rPr>
        <w:t>ופ</w:t>
      </w:r>
      <w:r w:rsidRPr="00012502">
        <w:rPr>
          <w:rFonts w:ascii="Narkisim" w:hAnsi="Narkisim" w:cs="Narkisim"/>
          <w:b/>
          <w:bCs/>
          <w:rtl/>
        </w:rPr>
        <w:t>רש"י</w:t>
      </w:r>
      <w:r w:rsidRPr="00012502">
        <w:rPr>
          <w:rFonts w:ascii="Narkisim" w:hAnsi="Narkisim" w:cs="Narkisim"/>
          <w:rtl/>
        </w:rPr>
        <w:t xml:space="preserve"> (זבחים לב: ד"ה טומאה) מיגו דקמייתא לא הוי אסירא ליה, בתרייתא לא חמירא לך מקמייתא שהרי טמא היה ומותר.</w:t>
      </w:r>
    </w:p>
    <w:p w14:paraId="5EE8C49D" w14:textId="77777777" w:rsidR="00BE1D1C" w:rsidRPr="00012502" w:rsidRDefault="00000000" w:rsidP="00012502">
      <w:pPr>
        <w:pStyle w:val="a7"/>
        <w:bidi/>
        <w:rPr>
          <w:rFonts w:ascii="Narkisim" w:hAnsi="Narkisim"/>
        </w:rPr>
      </w:pPr>
      <w:r w:rsidRPr="00012502">
        <w:rPr>
          <w:rFonts w:ascii="Narkisim" w:hAnsi="Narkisim"/>
          <w:rtl/>
        </w:rPr>
        <w:t>ובפשוטו משמע דהוה סברא</w:t>
      </w:r>
      <w:r w:rsidRPr="00012502">
        <w:rPr>
          <w:rStyle w:val="ac"/>
          <w:rFonts w:ascii="Narkisim" w:hAnsi="Narkisim"/>
          <w:rtl/>
        </w:rPr>
        <w:footnoteReference w:id="361"/>
      </w:r>
      <w:r w:rsidRPr="00012502">
        <w:rPr>
          <w:rFonts w:ascii="Narkisim" w:hAnsi="Narkisim"/>
          <w:rtl/>
        </w:rPr>
        <w:t>, מיגו דחל 'היתר' לאיסור זה [לחפצא זו], הותר אף כשיש צד איסור נוסף.</w:t>
      </w:r>
    </w:p>
    <w:p w14:paraId="22CBAF7A"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הקשו לדעת ה</w:t>
      </w:r>
      <w:r w:rsidRPr="00012502">
        <w:rPr>
          <w:rFonts w:ascii="Narkisim" w:hAnsi="Narkisim"/>
          <w:b/>
          <w:bCs/>
          <w:rtl/>
        </w:rPr>
        <w:t>רשב"א</w:t>
      </w:r>
      <w:r w:rsidRPr="00012502">
        <w:rPr>
          <w:rFonts w:ascii="Narkisim" w:hAnsi="Narkisim"/>
          <w:rtl/>
        </w:rPr>
        <w:t xml:space="preserve"> (לקמן מא.) דהיתר אשת אח חל בשעת נפילה (ע' לעיל ג: ולקמן י:), א"כ אין 'מתיר' אח"כ כשנעשית אחות אשתו. והאיך נימא הואיל ואישתרי. והביאו דמבואר דדעת הגמ' בסוגיין דההיתר הוה כל רגע</w:t>
      </w:r>
      <w:r w:rsidRPr="00012502">
        <w:rPr>
          <w:rStyle w:val="ac"/>
          <w:rFonts w:ascii="Narkisim" w:hAnsi="Narkisim"/>
          <w:rtl/>
        </w:rPr>
        <w:footnoteReference w:id="362"/>
      </w:r>
      <w:r w:rsidRPr="00012502">
        <w:rPr>
          <w:rFonts w:ascii="Narkisim" w:hAnsi="Narkisim"/>
          <w:rtl/>
        </w:rPr>
        <w:t>. [ואפשר דתלי במחלוקת אמוראים</w:t>
      </w:r>
      <w:r w:rsidRPr="00012502">
        <w:rPr>
          <w:rStyle w:val="ac"/>
          <w:rFonts w:ascii="Narkisim" w:hAnsi="Narkisim"/>
          <w:rtl/>
        </w:rPr>
        <w:footnoteReference w:id="363"/>
      </w:r>
      <w:r w:rsidRPr="00012502">
        <w:rPr>
          <w:rFonts w:ascii="Narkisim" w:hAnsi="Narkisim"/>
          <w:rtl/>
        </w:rPr>
        <w:t>]. וה</w:t>
      </w:r>
      <w:r w:rsidRPr="00012502">
        <w:rPr>
          <w:rFonts w:ascii="Narkisim" w:hAnsi="Narkisim"/>
          <w:b/>
          <w:bCs/>
          <w:rtl/>
        </w:rPr>
        <w:t>אמר"מ</w:t>
      </w:r>
      <w:r w:rsidRPr="00012502">
        <w:rPr>
          <w:rFonts w:ascii="Narkisim" w:hAnsi="Narkisim"/>
          <w:rtl/>
        </w:rPr>
        <w:t xml:space="preserve"> (ה כד) כת' דזה כוונת הגמ' ללמוד אף ממצורע דלא אמרי' דחל ההיתר בתחילת הלילה אלא דנחשב שכל רגע של הנפילה מתיר.</w:t>
      </w:r>
    </w:p>
    <w:p w14:paraId="7B179922"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בית מאיר</w:t>
      </w:r>
      <w:r w:rsidRPr="00012502">
        <w:rPr>
          <w:rFonts w:ascii="Narkisim" w:hAnsi="Narkisim" w:cs="Narkisim"/>
          <w:rtl/>
        </w:rPr>
        <w:t xml:space="preserve"> (קעד) הק' דמבואר (לקמן סא.) דהיכא שנתמנה להיות כה"ג אחרי שנפלה לפניו חולצת. והק' נימא הואיל ואשתרי אשת אח, אישתרי איסור אלמנה לכה"ג</w:t>
      </w:r>
      <w:r w:rsidRPr="00012502">
        <w:rPr>
          <w:rFonts w:ascii="Narkisim" w:hAnsi="Narkisim" w:cs="Narkisim"/>
          <w:sz w:val="20"/>
          <w:szCs w:val="20"/>
          <w:rtl/>
        </w:rPr>
        <w:t xml:space="preserve"> [לצד דאישתרי אף בב' שמות].</w:t>
      </w:r>
      <w:r w:rsidRPr="00012502">
        <w:rPr>
          <w:rFonts w:ascii="Narkisim" w:hAnsi="Narkisim" w:cs="Narkisim"/>
          <w:rtl/>
        </w:rPr>
        <w:t xml:space="preserve"> </w:t>
      </w:r>
      <w:r w:rsidRPr="00012502">
        <w:rPr>
          <w:rFonts w:ascii="Narkisim" w:hAnsi="Narkisim" w:cs="Narkisim"/>
          <w:szCs w:val="20"/>
          <w:rtl/>
        </w:rPr>
        <w:t>וה</w:t>
      </w:r>
      <w:r w:rsidRPr="00012502">
        <w:rPr>
          <w:rFonts w:ascii="Narkisim" w:hAnsi="Narkisim" w:cs="Narkisim"/>
          <w:b/>
          <w:bCs/>
          <w:szCs w:val="20"/>
          <w:rtl/>
        </w:rPr>
        <w:t>אחרונים</w:t>
      </w:r>
      <w:r w:rsidRPr="00012502">
        <w:rPr>
          <w:rFonts w:ascii="Narkisim" w:hAnsi="Narkisim" w:cs="Narkisim"/>
          <w:szCs w:val="20"/>
          <w:rtl/>
        </w:rPr>
        <w:t xml:space="preserve"> חילקו בכמה אופנים</w:t>
      </w:r>
      <w:r w:rsidRPr="00012502">
        <w:rPr>
          <w:rStyle w:val="ac"/>
          <w:rFonts w:ascii="Narkisim" w:hAnsi="Narkisim" w:cs="Narkisim"/>
          <w:szCs w:val="20"/>
          <w:rtl/>
        </w:rPr>
        <w:footnoteReference w:id="364"/>
      </w:r>
      <w:r w:rsidRPr="00012502">
        <w:rPr>
          <w:rFonts w:ascii="Narkisim" w:hAnsi="Narkisim" w:cs="Narkisim"/>
          <w:rtl/>
        </w:rPr>
        <w:t>.</w:t>
      </w:r>
    </w:p>
    <w:p w14:paraId="535AA7E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בית מאיר</w:t>
      </w:r>
      <w:r w:rsidRPr="00012502">
        <w:rPr>
          <w:rFonts w:ascii="Narkisim" w:hAnsi="Narkisim"/>
          <w:rtl/>
        </w:rPr>
        <w:t xml:space="preserve"> כת' דאה"נ, אלא משום הואיל ואישתרי הותר רק ביאה ראשונה. וגזרינן ביאה ראשונה אטו שניה [וכמו דגזרו בעשה דוחה לא תעשה, לקמן כ:]. וה</w:t>
      </w:r>
      <w:r w:rsidRPr="00012502">
        <w:rPr>
          <w:rFonts w:ascii="Narkisim" w:hAnsi="Narkisim"/>
          <w:b/>
          <w:bCs/>
          <w:rtl/>
        </w:rPr>
        <w:t>אחיעזר</w:t>
      </w:r>
      <w:r w:rsidRPr="00012502">
        <w:rPr>
          <w:rFonts w:ascii="Narkisim" w:hAnsi="Narkisim"/>
          <w:rtl/>
        </w:rPr>
        <w:t xml:space="preserve"> (ד א) חלק דהואיל ואישתרי הוה בגדר 'היתר', וכמו שהיתר אשת אח הותר לגמרי</w:t>
      </w:r>
      <w:r w:rsidRPr="00012502">
        <w:rPr>
          <w:rStyle w:val="ac"/>
          <w:rFonts w:ascii="Narkisim" w:hAnsi="Narkisim"/>
          <w:rtl/>
        </w:rPr>
        <w:footnoteReference w:id="365"/>
      </w:r>
      <w:r w:rsidRPr="00012502">
        <w:rPr>
          <w:rFonts w:ascii="Narkisim" w:hAnsi="Narkisim"/>
          <w:rtl/>
        </w:rPr>
        <w:t xml:space="preserve">, ה"נ הואיל ואישתרי. </w:t>
      </w:r>
      <w:r w:rsidRPr="00012502">
        <w:rPr>
          <w:rFonts w:ascii="Narkisim" w:hAnsi="Narkisim"/>
          <w:sz w:val="20"/>
          <w:szCs w:val="20"/>
          <w:rtl/>
        </w:rPr>
        <w:t>[וכן לס"ד דהותר אחות אשה</w:t>
      </w:r>
      <w:r w:rsidRPr="00012502">
        <w:rPr>
          <w:rFonts w:ascii="Narkisim" w:hAnsi="Narkisim"/>
          <w:rtl/>
        </w:rPr>
        <w:t>].</w:t>
      </w:r>
    </w:p>
    <w:p w14:paraId="57E95BF5" w14:textId="77777777" w:rsidR="00BE1D1C" w:rsidRPr="00012502" w:rsidRDefault="00000000" w:rsidP="00012502">
      <w:pPr>
        <w:pStyle w:val="a7"/>
        <w:bidi/>
        <w:rPr>
          <w:rFonts w:ascii="Narkisim" w:hAnsi="Narkisim"/>
        </w:rPr>
      </w:pPr>
      <w:r w:rsidRPr="00012502">
        <w:rPr>
          <w:rFonts w:ascii="Narkisim" w:hAnsi="Narkisim"/>
          <w:rtl/>
        </w:rPr>
        <w:lastRenderedPageBreak/>
        <w:t>והביאו דנח' האם הואיל ואישתרי הוה גדר 'הותרה'</w:t>
      </w:r>
      <w:r w:rsidRPr="00012502">
        <w:rPr>
          <w:rStyle w:val="ac"/>
          <w:rFonts w:ascii="Narkisim" w:hAnsi="Narkisim"/>
          <w:rtl/>
        </w:rPr>
        <w:footnoteReference w:id="366"/>
      </w:r>
      <w:r w:rsidRPr="00012502">
        <w:rPr>
          <w:rFonts w:ascii="Narkisim" w:hAnsi="Narkisim"/>
          <w:rtl/>
        </w:rPr>
        <w:t xml:space="preserve"> או גדר דחויה [כעשה דוחה ל"ת]</w:t>
      </w:r>
      <w:r w:rsidRPr="00012502">
        <w:rPr>
          <w:rStyle w:val="ac"/>
          <w:rFonts w:ascii="Narkisim" w:hAnsi="Narkisim"/>
          <w:rtl/>
        </w:rPr>
        <w:footnoteReference w:id="367"/>
      </w:r>
      <w:r w:rsidRPr="00012502">
        <w:rPr>
          <w:rFonts w:ascii="Narkisim" w:hAnsi="Narkisim"/>
          <w:rtl/>
        </w:rPr>
        <w:t>.</w:t>
      </w:r>
    </w:p>
    <w:p w14:paraId="2E79A191" w14:textId="77777777" w:rsidR="00BE1D1C" w:rsidRPr="00012502" w:rsidRDefault="00000000" w:rsidP="00012502">
      <w:pPr>
        <w:pStyle w:val="a7"/>
        <w:bidi/>
        <w:rPr>
          <w:rFonts w:ascii="Narkisim" w:hAnsi="Narkisim"/>
        </w:rPr>
      </w:pPr>
      <w:r w:rsidRPr="00012502">
        <w:rPr>
          <w:rFonts w:ascii="Narkisim" w:hAnsi="Narkisim"/>
          <w:sz w:val="20"/>
          <w:szCs w:val="20"/>
          <w:rtl/>
        </w:rPr>
        <w:t>[וה</w:t>
      </w:r>
      <w:r w:rsidRPr="00012502">
        <w:rPr>
          <w:rFonts w:ascii="Narkisim" w:hAnsi="Narkisim"/>
          <w:b/>
          <w:bCs/>
          <w:sz w:val="20"/>
          <w:szCs w:val="20"/>
          <w:rtl/>
        </w:rPr>
        <w:t>אחרונים</w:t>
      </w:r>
      <w:r w:rsidRPr="00012502">
        <w:rPr>
          <w:rFonts w:ascii="Narkisim" w:hAnsi="Narkisim"/>
          <w:sz w:val="20"/>
          <w:szCs w:val="20"/>
          <w:rtl/>
        </w:rPr>
        <w:t xml:space="preserve"> דנו האם אף הגדר בזה דנחשב 'מעשה היתר', ומש"ה הותר אף מב' שמות איסור. או דילפי' מהא דיש התיר על איסור א', דה"ה שהתירה התורה</w:t>
      </w:r>
      <w:r w:rsidRPr="00012502">
        <w:rPr>
          <w:rStyle w:val="ac"/>
          <w:rFonts w:ascii="Narkisim" w:hAnsi="Narkisim"/>
          <w:sz w:val="20"/>
          <w:szCs w:val="20"/>
          <w:rtl/>
        </w:rPr>
        <w:footnoteReference w:id="368"/>
      </w:r>
      <w:r w:rsidRPr="00012502">
        <w:rPr>
          <w:rFonts w:ascii="Narkisim" w:hAnsi="Narkisim"/>
          <w:sz w:val="20"/>
          <w:szCs w:val="20"/>
          <w:rtl/>
        </w:rPr>
        <w:t xml:space="preserve"> לאיסור הב'</w:t>
      </w:r>
      <w:r w:rsidRPr="00012502">
        <w:rPr>
          <w:rStyle w:val="ac"/>
          <w:rFonts w:ascii="Narkisim" w:hAnsi="Narkisim"/>
          <w:sz w:val="20"/>
          <w:szCs w:val="20"/>
          <w:rtl/>
        </w:rPr>
        <w:footnoteReference w:id="369"/>
      </w:r>
      <w:r w:rsidRPr="00012502">
        <w:rPr>
          <w:rFonts w:ascii="Narkisim" w:hAnsi="Narkisim"/>
          <w:sz w:val="20"/>
          <w:szCs w:val="20"/>
          <w:rtl/>
        </w:rPr>
        <w:t>]</w:t>
      </w:r>
      <w:r w:rsidRPr="00012502">
        <w:rPr>
          <w:rFonts w:ascii="Narkisim" w:hAnsi="Narkisim"/>
          <w:rtl/>
        </w:rPr>
        <w:t>.</w:t>
      </w:r>
    </w:p>
    <w:p w14:paraId="0B38102B"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וב</w:t>
      </w:r>
      <w:r w:rsidRPr="00012502">
        <w:rPr>
          <w:rFonts w:ascii="Narkisim" w:hAnsi="Narkisim" w:cs="Narkisim"/>
          <w:b/>
          <w:bCs/>
          <w:rtl/>
        </w:rPr>
        <w:t>גמ'</w:t>
      </w:r>
      <w:r w:rsidRPr="00012502">
        <w:rPr>
          <w:rFonts w:ascii="Narkisim" w:hAnsi="Narkisim" w:cs="Narkisim"/>
          <w:rtl/>
        </w:rPr>
        <w:t xml:space="preserve"> (זבחים לב:) רב יוסף למד מהכא [מצורע] לענין טמאים ונעשו זבין בפסח הבא בטומאה. דאמרי' הואיל ואישתרי טומאת מת לפסח, הותר אף שאח"כ נעשו זבים. ואביי הק' דטומאה דחויה בציבור, ולזה נדחה וזה לא נדחה. ול"ש הואיל ואישתרי אלא במצורע דהוה הותרה.</w:t>
      </w:r>
    </w:p>
    <w:p w14:paraId="00D108F5" w14:textId="77777777" w:rsidR="00BE1D1C" w:rsidRPr="00012502" w:rsidRDefault="00000000" w:rsidP="00012502">
      <w:pPr>
        <w:pStyle w:val="a7"/>
        <w:bidi/>
        <w:rPr>
          <w:rFonts w:ascii="Narkisim" w:hAnsi="Narkisim"/>
        </w:rPr>
      </w:pPr>
      <w:r w:rsidRPr="00012502">
        <w:rPr>
          <w:rFonts w:ascii="Narkisim" w:hAnsi="Narkisim"/>
          <w:rtl/>
        </w:rPr>
        <w:t>א"ל רבא אדרבה מצורע היתירא, [י"ל] להא אישתראי ולהא לא אישתראי. אבל התם טומאה דחויה הוא, מה לי חד דחויא מה לי ב' דחיות.</w:t>
      </w:r>
    </w:p>
    <w:p w14:paraId="6E514F7B"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טור"א</w:t>
      </w:r>
      <w:r w:rsidRPr="00012502">
        <w:rPr>
          <w:rFonts w:ascii="Narkisim" w:hAnsi="Narkisim"/>
          <w:rtl/>
        </w:rPr>
        <w:t xml:space="preserve"> </w:t>
      </w:r>
      <w:r w:rsidRPr="00012502">
        <w:rPr>
          <w:rFonts w:ascii="Narkisim" w:hAnsi="Narkisim"/>
          <w:sz w:val="20"/>
          <w:szCs w:val="20"/>
          <w:rtl/>
        </w:rPr>
        <w:t>(מגילה ג: וגבו"א יומא ל:)</w:t>
      </w:r>
      <w:r w:rsidRPr="00012502">
        <w:rPr>
          <w:rFonts w:ascii="Narkisim" w:hAnsi="Narkisim"/>
          <w:rtl/>
        </w:rPr>
        <w:t xml:space="preserve"> הביא דלדעת רבא בסוגיין לא שייך אישתרי, כיון דאשת אח </w:t>
      </w:r>
      <w:r w:rsidRPr="00012502">
        <w:rPr>
          <w:rFonts w:ascii="Narkisim" w:hAnsi="Narkisim"/>
          <w:i/>
          <w:iCs/>
          <w:rtl/>
        </w:rPr>
        <w:t>הותרה</w:t>
      </w:r>
      <w:r w:rsidRPr="00012502">
        <w:rPr>
          <w:rFonts w:ascii="Narkisim" w:hAnsi="Narkisim"/>
          <w:rtl/>
        </w:rPr>
        <w:t xml:space="preserve"> ליבום. ורבא ס"ל דבהותרה לא אמרי' הואיל ואישתרי</w:t>
      </w:r>
      <w:r w:rsidRPr="00012502">
        <w:rPr>
          <w:rStyle w:val="ac"/>
          <w:rFonts w:ascii="Narkisim" w:hAnsi="Narkisim"/>
          <w:rtl/>
        </w:rPr>
        <w:footnoteReference w:id="370"/>
      </w:r>
      <w:r w:rsidRPr="00012502">
        <w:rPr>
          <w:rFonts w:ascii="Narkisim" w:hAnsi="Narkisim"/>
          <w:rtl/>
        </w:rPr>
        <w:t xml:space="preserve">. </w:t>
      </w:r>
      <w:r w:rsidRPr="00012502">
        <w:rPr>
          <w:rFonts w:ascii="Narkisim" w:hAnsi="Narkisim"/>
          <w:sz w:val="20"/>
          <w:szCs w:val="20"/>
          <w:rtl/>
        </w:rPr>
        <w:t>[אך ה</w:t>
      </w:r>
      <w:r w:rsidRPr="00012502">
        <w:rPr>
          <w:rFonts w:ascii="Narkisim" w:hAnsi="Narkisim"/>
          <w:b/>
          <w:bCs/>
          <w:sz w:val="20"/>
          <w:szCs w:val="20"/>
          <w:rtl/>
        </w:rPr>
        <w:t>אחרונים</w:t>
      </w:r>
      <w:r w:rsidRPr="00012502">
        <w:rPr>
          <w:rFonts w:ascii="Narkisim" w:hAnsi="Narkisim"/>
          <w:sz w:val="20"/>
          <w:szCs w:val="20"/>
          <w:rtl/>
        </w:rPr>
        <w:t xml:space="preserve"> ציינו דבפשוטו דעת תוס' ג: דהוה דחויה]</w:t>
      </w:r>
      <w:r w:rsidRPr="00012502">
        <w:rPr>
          <w:rFonts w:ascii="Narkisim" w:hAnsi="Narkisim"/>
          <w:rtl/>
        </w:rPr>
        <w:t>. ו</w:t>
      </w:r>
      <w:r w:rsidRPr="00012502">
        <w:rPr>
          <w:rFonts w:ascii="Narkisim" w:hAnsi="Narkisim"/>
          <w:b/>
          <w:bCs/>
          <w:rtl/>
        </w:rPr>
        <w:t>רע"א</w:t>
      </w:r>
      <w:r w:rsidRPr="00012502">
        <w:rPr>
          <w:rFonts w:ascii="Narkisim" w:hAnsi="Narkisim"/>
          <w:rtl/>
        </w:rPr>
        <w:t xml:space="preserve"> חלק דרבא הק' ['אדרבה'] דיש יותר סברא בזה לומר אישתרי, אבל גבי מצורע לעולם מודה דאמרי' אישתרי, אף דהוה הותרה</w:t>
      </w:r>
      <w:r w:rsidRPr="00012502">
        <w:rPr>
          <w:rStyle w:val="ac"/>
          <w:rFonts w:ascii="Narkisim" w:hAnsi="Narkisim"/>
          <w:rtl/>
        </w:rPr>
        <w:footnoteReference w:id="371"/>
      </w:r>
      <w:r w:rsidRPr="00012502">
        <w:rPr>
          <w:rFonts w:ascii="Narkisim" w:hAnsi="Narkisim"/>
          <w:rtl/>
        </w:rPr>
        <w:t xml:space="preserve">. </w:t>
      </w:r>
      <w:r w:rsidRPr="00012502">
        <w:rPr>
          <w:rFonts w:ascii="Narkisim" w:hAnsi="Narkisim"/>
          <w:sz w:val="20"/>
          <w:szCs w:val="20"/>
          <w:rtl/>
        </w:rPr>
        <w:t>[אילו ס"ל דביאה במקצת שמה ביאה</w:t>
      </w:r>
      <w:r w:rsidRPr="00012502">
        <w:rPr>
          <w:rStyle w:val="ac"/>
          <w:rFonts w:ascii="Narkisim" w:hAnsi="Narkisim"/>
          <w:sz w:val="20"/>
          <w:szCs w:val="20"/>
          <w:rtl/>
        </w:rPr>
        <w:footnoteReference w:id="372"/>
      </w:r>
      <w:r w:rsidRPr="00012502">
        <w:rPr>
          <w:rFonts w:ascii="Narkisim" w:hAnsi="Narkisim"/>
          <w:sz w:val="20"/>
          <w:szCs w:val="20"/>
          <w:rtl/>
        </w:rPr>
        <w:t>]</w:t>
      </w:r>
      <w:r w:rsidRPr="00012502">
        <w:rPr>
          <w:rFonts w:ascii="Narkisim" w:hAnsi="Narkisim"/>
          <w:rtl/>
        </w:rPr>
        <w:t>.</w:t>
      </w:r>
    </w:p>
    <w:p w14:paraId="40630F88"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(ט) כת' דאף למ"ד דאמרי' אישתרי בהותרה, ה"מ היכא שהותר משום המצוה. אבל יש מקומות שהגדר הותר מכלל, דאינו בכלל האיסור [כחלב חיה] לא שייך לדון הואיל ואישתרי.</w:t>
      </w:r>
    </w:p>
    <w:p w14:paraId="33579E5D" w14:textId="77777777" w:rsidR="00BE1D1C" w:rsidRPr="00012502" w:rsidRDefault="00000000" w:rsidP="00012502">
      <w:pPr>
        <w:bidi/>
        <w:rPr>
          <w:rFonts w:ascii="Narkisim" w:hAnsi="Narkisim" w:cs="Narkisim"/>
        </w:rPr>
      </w:pPr>
      <w:r w:rsidRPr="00012502">
        <w:rPr>
          <w:rFonts w:ascii="Narkisim" w:hAnsi="Narkisim" w:cs="Narkisim"/>
          <w:u w:val="single"/>
          <w:rtl/>
        </w:rPr>
        <w:t>שם. הואיל ואשתרי אשתרי</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(ח. ד"ה רבא) העמידו דרבא פליג איסוד הואיל ואישתרי. ו</w:t>
      </w:r>
      <w:r w:rsidRPr="00012502">
        <w:rPr>
          <w:rFonts w:ascii="Narkisim" w:hAnsi="Narkisim" w:cs="Narkisim"/>
          <w:b/>
          <w:bCs/>
          <w:rtl/>
        </w:rPr>
        <w:t>תוס'</w:t>
      </w:r>
      <w:r w:rsidRPr="00012502">
        <w:rPr>
          <w:rFonts w:ascii="Narkisim" w:hAnsi="Narkisim" w:cs="Narkisim"/>
          <w:rtl/>
        </w:rPr>
        <w:t xml:space="preserve"> (בתי' הב') ביארו דדעת רבא דדוקא גבי בעל קרי אמרי' הואיל ואישתרי, דחד לאו הוא</w:t>
      </w:r>
      <w:r w:rsidRPr="00012502">
        <w:rPr>
          <w:rStyle w:val="ac"/>
          <w:rFonts w:ascii="Narkisim" w:hAnsi="Narkisim" w:cs="Narkisim"/>
          <w:rtl/>
        </w:rPr>
        <w:footnoteReference w:id="373"/>
      </w:r>
      <w:r w:rsidRPr="00012502">
        <w:rPr>
          <w:rFonts w:ascii="Narkisim" w:hAnsi="Narkisim" w:cs="Narkisim"/>
          <w:rtl/>
        </w:rPr>
        <w:t>. וס"ל לרבא דלא אמרי' אישתרי גבי אחות אשה כיון דהוה ב' שמות.</w:t>
      </w:r>
    </w:p>
    <w:p w14:paraId="436313FA" w14:textId="77777777" w:rsidR="00BE1D1C" w:rsidRPr="00012502" w:rsidRDefault="00000000" w:rsidP="00012502">
      <w:pPr>
        <w:pStyle w:val="a8"/>
        <w:bidi/>
        <w:rPr>
          <w:rFonts w:ascii="Narkisim" w:hAnsi="Narkisim"/>
        </w:rPr>
      </w:pPr>
      <w:r w:rsidRPr="00012502">
        <w:rPr>
          <w:rFonts w:ascii="Narkisim" w:hAnsi="Narkisim"/>
          <w:rtl/>
        </w:rPr>
        <w:t>[ובפשוטו הוה סברא דיותר קל להתיר אותו שם איסור, ולא ילפי' מיניה לעלמא. ועוד יש שפי' הטעם דכה"ג אין תוספת איסור. אלא דהוה ב' סיבות לאיש זה ליכנס למקדש. וסגי במה שחל היתר ע"פ סיבה א'].</w:t>
      </w:r>
    </w:p>
    <w:p w14:paraId="4B022E85"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טור"א</w:t>
      </w:r>
      <w:r w:rsidRPr="00012502">
        <w:rPr>
          <w:rFonts w:ascii="Narkisim" w:hAnsi="Narkisim"/>
          <w:rtl/>
        </w:rPr>
        <w:t xml:space="preserve"> (הנ"ל) תי' דרבא לשיטתו (בזבחים שם) דלא אמרי' הואיל ואישתרי היכא דהוה גדר הותרה. וה"נ אשת אח ליבום הוה גדר הותרה</w:t>
      </w:r>
      <w:r w:rsidRPr="00012502">
        <w:rPr>
          <w:rStyle w:val="ac"/>
          <w:rFonts w:ascii="Narkisim" w:hAnsi="Narkisim"/>
          <w:rtl/>
        </w:rPr>
        <w:footnoteReference w:id="374"/>
      </w:r>
      <w:r w:rsidRPr="00012502">
        <w:rPr>
          <w:rFonts w:ascii="Narkisim" w:hAnsi="Narkisim"/>
          <w:rtl/>
        </w:rPr>
        <w:t>.</w:t>
      </w:r>
    </w:p>
    <w:p w14:paraId="2DBF6FD8"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טור"א</w:t>
      </w:r>
      <w:r w:rsidRPr="00012502">
        <w:rPr>
          <w:rFonts w:ascii="Narkisim" w:hAnsi="Narkisim" w:cs="Narkisim"/>
          <w:sz w:val="20"/>
          <w:szCs w:val="20"/>
          <w:rtl/>
        </w:rPr>
        <w:t xml:space="preserve"> (מגילה ג:) </w:t>
      </w:r>
      <w:r w:rsidRPr="00012502">
        <w:rPr>
          <w:rFonts w:ascii="Narkisim" w:hAnsi="Narkisim" w:cs="Narkisim"/>
          <w:rtl/>
        </w:rPr>
        <w:t>הק' דכהן שהוא נזיר, נימא דמותר לטמא לקרובים, הואיל ואישתרי טומאת קרובים לכהונה</w:t>
      </w:r>
      <w:r w:rsidRPr="00012502">
        <w:rPr>
          <w:rFonts w:ascii="Narkisim" w:hAnsi="Narkisim" w:cs="Narkisim"/>
          <w:sz w:val="20"/>
          <w:szCs w:val="20"/>
          <w:rtl/>
        </w:rPr>
        <w:t xml:space="preserve"> [לאביי דאמרי' אישתרי אף בהותרה, ולצד בסוגיי' אף בב' איסורין</w:t>
      </w:r>
      <w:r w:rsidRPr="00012502">
        <w:rPr>
          <w:rFonts w:ascii="Narkisim" w:hAnsi="Narkisim" w:cs="Narkisim"/>
          <w:rtl/>
        </w:rPr>
        <w:t>]. ו</w:t>
      </w:r>
      <w:r w:rsidRPr="00012502">
        <w:rPr>
          <w:rFonts w:ascii="Narkisim" w:hAnsi="Narkisim" w:cs="Narkisim"/>
          <w:b/>
          <w:bCs/>
          <w:rtl/>
        </w:rPr>
        <w:t>רע"א</w:t>
      </w:r>
      <w:r w:rsidRPr="00012502">
        <w:rPr>
          <w:rFonts w:ascii="Narkisim" w:hAnsi="Narkisim" w:cs="Narkisim"/>
          <w:rtl/>
        </w:rPr>
        <w:t xml:space="preserve"> (ח.) כתב דבב' עניינים ממש ודאי לא אמרי' הואיל ואישתרי, אלא דלענין עריות כיון דכללינהו קרא לענין כרת, הותר ב'שם עריות'</w:t>
      </w:r>
      <w:r w:rsidRPr="00012502">
        <w:rPr>
          <w:rStyle w:val="ac"/>
          <w:rFonts w:ascii="Narkisim" w:hAnsi="Narkisim" w:cs="Narkisim"/>
          <w:rtl/>
        </w:rPr>
        <w:footnoteReference w:id="375"/>
      </w:r>
      <w:r w:rsidRPr="00012502">
        <w:rPr>
          <w:rFonts w:ascii="Narkisim" w:hAnsi="Narkisim" w:cs="Narkisim"/>
          <w:rtl/>
        </w:rPr>
        <w:t>.</w:t>
      </w:r>
    </w:p>
    <w:p w14:paraId="24328EE8" w14:textId="77777777" w:rsidR="00BE1D1C" w:rsidRPr="00012502" w:rsidRDefault="00000000" w:rsidP="00012502">
      <w:pPr>
        <w:pStyle w:val="aa"/>
        <w:bidi/>
        <w:rPr>
          <w:rFonts w:ascii="Narkisim" w:hAnsi="Narkisim"/>
        </w:rPr>
      </w:pPr>
      <w:r w:rsidRPr="00012502">
        <w:rPr>
          <w:rFonts w:ascii="Narkisim" w:hAnsi="Narkisim"/>
          <w:u w:val="single"/>
          <w:rtl/>
        </w:rPr>
        <w:t>שם. מהד"ת הואיל ואישתרי אישתרי</w:t>
      </w:r>
      <w:r w:rsidRPr="00012502">
        <w:rPr>
          <w:rFonts w:ascii="Narkisim" w:hAnsi="Narkisim"/>
          <w:rtl/>
        </w:rPr>
        <w:t xml:space="preserve">. קמ"ל 'עליה' דאסורה. ויש </w:t>
      </w:r>
      <w:r w:rsidRPr="00012502">
        <w:rPr>
          <w:rFonts w:ascii="Narkisim" w:hAnsi="Narkisim"/>
          <w:b/>
          <w:bCs/>
          <w:rtl/>
        </w:rPr>
        <w:t>אחרונים</w:t>
      </w:r>
      <w:r w:rsidRPr="00012502">
        <w:rPr>
          <w:rFonts w:ascii="Narkisim" w:hAnsi="Narkisim"/>
          <w:rtl/>
        </w:rPr>
        <w:t xml:space="preserve"> (</w:t>
      </w:r>
      <w:r w:rsidRPr="00012502">
        <w:rPr>
          <w:rFonts w:ascii="Narkisim" w:hAnsi="Narkisim"/>
          <w:b/>
          <w:bCs/>
          <w:rtl/>
        </w:rPr>
        <w:t>חוסן ישועות</w:t>
      </w:r>
      <w:r w:rsidRPr="00012502">
        <w:rPr>
          <w:rFonts w:ascii="Narkisim" w:hAnsi="Narkisim"/>
          <w:rtl/>
        </w:rPr>
        <w:t xml:space="preserve"> ו</w:t>
      </w:r>
      <w:r w:rsidRPr="00012502">
        <w:rPr>
          <w:rFonts w:ascii="Narkisim" w:hAnsi="Narkisim"/>
          <w:b/>
          <w:bCs/>
          <w:rtl/>
        </w:rPr>
        <w:t>חמד"ש</w:t>
      </w:r>
      <w:r w:rsidRPr="00012502">
        <w:rPr>
          <w:rFonts w:ascii="Narkisim" w:hAnsi="Narkisim"/>
          <w:rtl/>
        </w:rPr>
        <w:t>) שהביאו דגלי קרא דלא אמרי' הואיל ואישתרי, ומש"ה אף בכל התורה לא אמרי' אישתרי למסקנא. אבל בפשוטו ילפי' מ'עליה' פטור ערוה, דאין כאן מצוות יבום וחליצה כלל. וליכא גילוי לכל התורה לדין אישתרי.</w:t>
      </w:r>
    </w:p>
    <w:p w14:paraId="42A1212A" w14:textId="77777777" w:rsidR="00BE1D1C" w:rsidRPr="00012502" w:rsidRDefault="00000000" w:rsidP="00012502">
      <w:pPr>
        <w:pStyle w:val="aa"/>
        <w:bidi/>
        <w:rPr>
          <w:rFonts w:ascii="Narkisim" w:hAnsi="Narkisim"/>
        </w:rPr>
      </w:pPr>
      <w:r w:rsidRPr="00012502">
        <w:rPr>
          <w:rFonts w:ascii="Narkisim" w:hAnsi="Narkisim"/>
          <w:u w:val="single"/>
          <w:rtl/>
        </w:rPr>
        <w:t>שם. הואיל ואשתרי</w:t>
      </w:r>
      <w:r w:rsidRPr="00012502">
        <w:rPr>
          <w:rFonts w:ascii="Narkisim" w:hAnsi="Narkisim"/>
          <w:rtl/>
        </w:rPr>
        <w:t>. ה</w:t>
      </w:r>
      <w:r w:rsidRPr="00012502">
        <w:rPr>
          <w:rFonts w:ascii="Narkisim" w:hAnsi="Narkisim"/>
          <w:b/>
          <w:bCs/>
          <w:rtl/>
        </w:rPr>
        <w:t>אחרונים</w:t>
      </w:r>
      <w:r w:rsidRPr="00012502">
        <w:rPr>
          <w:rFonts w:ascii="Narkisim" w:hAnsi="Narkisim"/>
          <w:rtl/>
        </w:rPr>
        <w:t xml:space="preserve"> הביאו דהגמ' (בכ"מ) דנו כעין לשון זה, ודנו אי שייכי להדדי.</w:t>
      </w:r>
    </w:p>
    <w:p w14:paraId="3A821BA7" w14:textId="77777777" w:rsidR="00BE1D1C" w:rsidRPr="00012502" w:rsidRDefault="00000000" w:rsidP="00012502">
      <w:pPr>
        <w:pStyle w:val="a8"/>
        <w:bidi/>
        <w:rPr>
          <w:rFonts w:ascii="Narkisim" w:hAnsi="Narkisim"/>
        </w:rPr>
      </w:pPr>
      <w:r w:rsidRPr="00012502">
        <w:rPr>
          <w:rFonts w:ascii="Narkisim" w:hAnsi="Narkisim"/>
          <w:rtl/>
        </w:rPr>
        <w:t>ובגמ' (קידושין כא:) נח' רב ושמואל אי כהן מותר ביפת תואר</w:t>
      </w:r>
      <w:r w:rsidRPr="00012502">
        <w:rPr>
          <w:rStyle w:val="ac"/>
          <w:rFonts w:ascii="Narkisim" w:hAnsi="Narkisim"/>
          <w:rtl/>
        </w:rPr>
        <w:footnoteReference w:id="376"/>
      </w:r>
      <w:r w:rsidRPr="00012502">
        <w:rPr>
          <w:rFonts w:ascii="Narkisim" w:hAnsi="Narkisim"/>
          <w:rtl/>
        </w:rPr>
        <w:t xml:space="preserve"> בביאה שניה [ללישנא בתרא], הואיל ואישתרי </w:t>
      </w:r>
      <w:r w:rsidRPr="00012502">
        <w:rPr>
          <w:rFonts w:ascii="Narkisim" w:hAnsi="Narkisim"/>
          <w:rtl/>
        </w:rPr>
        <w:lastRenderedPageBreak/>
        <w:t>[ביאה ראשונה], אישתרי אף ביאה שניה</w:t>
      </w:r>
      <w:r w:rsidRPr="00012502">
        <w:rPr>
          <w:rStyle w:val="ac"/>
          <w:rFonts w:ascii="Narkisim" w:hAnsi="Narkisim"/>
          <w:rtl/>
        </w:rPr>
        <w:footnoteReference w:id="377"/>
      </w:r>
      <w:r w:rsidRPr="00012502">
        <w:rPr>
          <w:rFonts w:ascii="Narkisim" w:hAnsi="Narkisim"/>
          <w:rtl/>
        </w:rPr>
        <w:t xml:space="preserve"> [כיון דהתורה נתנה היתר למעשה הראשון, אף למעשה הב']</w:t>
      </w:r>
      <w:r w:rsidRPr="00012502">
        <w:rPr>
          <w:rStyle w:val="ac"/>
          <w:rFonts w:ascii="Narkisim" w:hAnsi="Narkisim"/>
          <w:rtl/>
        </w:rPr>
        <w:footnoteReference w:id="378"/>
      </w:r>
      <w:r w:rsidRPr="00012502">
        <w:rPr>
          <w:rFonts w:ascii="Narkisim" w:hAnsi="Narkisim"/>
          <w:rtl/>
        </w:rPr>
        <w:t>.</w:t>
      </w:r>
    </w:p>
    <w:p w14:paraId="2C6BB5E1"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גמ'</w:t>
      </w:r>
      <w:r w:rsidRPr="00012502">
        <w:rPr>
          <w:rFonts w:ascii="Narkisim" w:hAnsi="Narkisim"/>
          <w:rtl/>
        </w:rPr>
        <w:t xml:space="preserve"> (פסחים צה: צו.) מסתפקת בפסח הבא בטומאה, ונכנסו טמאים להיכל. האם אמרי' מדאשתרי טומאת עזרה אישתרי טומאת היכל, או דילמא מאי דאישתרי אישתרי, ומאי דלא אישתרי לא אישתרי. [ולא אמרי' הותרה ממקום למקום]. ועוד דנו (שם) היכא דטמאים אכלו אימורי הפסח דבא בטומאה, האם אמרי' אשתרי.</w:t>
      </w:r>
    </w:p>
    <w:p w14:paraId="3B2D34E8" w14:textId="77777777" w:rsidR="00BE1D1C" w:rsidRPr="00012502" w:rsidRDefault="00000000" w:rsidP="00012502">
      <w:pPr>
        <w:pStyle w:val="a8"/>
        <w:bidi/>
        <w:rPr>
          <w:rFonts w:ascii="Narkisim" w:hAnsi="Narkisim"/>
        </w:rPr>
      </w:pPr>
      <w:r w:rsidRPr="00012502">
        <w:rPr>
          <w:rFonts w:ascii="Narkisim" w:hAnsi="Narkisim"/>
          <w:rtl/>
        </w:rPr>
        <w:t>וב</w:t>
      </w:r>
      <w:r w:rsidRPr="00012502">
        <w:rPr>
          <w:rFonts w:ascii="Narkisim" w:hAnsi="Narkisim"/>
          <w:b/>
          <w:bCs/>
          <w:rtl/>
        </w:rPr>
        <w:t>גמ'</w:t>
      </w:r>
      <w:r w:rsidRPr="00012502">
        <w:rPr>
          <w:rFonts w:ascii="Narkisim" w:hAnsi="Narkisim"/>
          <w:rtl/>
        </w:rPr>
        <w:t xml:space="preserve"> (בכורות ו:) איצטריך קרא לאסור חלב בהמה טמאה, כיון דחלב טהורה הוה חידוש להתיר</w:t>
      </w:r>
      <w:r w:rsidRPr="00012502">
        <w:rPr>
          <w:rStyle w:val="ac"/>
          <w:rFonts w:ascii="Narkisim" w:hAnsi="Narkisim"/>
          <w:rtl/>
        </w:rPr>
        <w:footnoteReference w:id="379"/>
      </w:r>
      <w:r w:rsidRPr="00012502">
        <w:rPr>
          <w:rFonts w:ascii="Narkisim" w:hAnsi="Narkisim"/>
          <w:rtl/>
        </w:rPr>
        <w:t>, ס"ד דהותר אף חלב חיה.</w:t>
      </w:r>
    </w:p>
    <w:p w14:paraId="50537CA6"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(שושנת העמקים ה) דנו דבכל הנהו הוה גדר שונה, דילפי' להתיר מעשה נוסף בפנ"ע. ואילו בסוגיין איירי באותו מעשה. ומבואר (בסמוך) דדוקא משום דכבר חל במעשה זו היתר, ואח"כ נתחדש איסור נוסף, דאמרי' דאף האיסור הב' נכלל בהיתר</w:t>
      </w:r>
      <w:r w:rsidRPr="00012502">
        <w:rPr>
          <w:rStyle w:val="ac"/>
          <w:rFonts w:ascii="Narkisim" w:hAnsi="Narkisim"/>
          <w:rtl/>
        </w:rPr>
        <w:footnoteReference w:id="380"/>
      </w:r>
      <w:r w:rsidRPr="00012502">
        <w:rPr>
          <w:rFonts w:ascii="Narkisim" w:hAnsi="Narkisim"/>
          <w:rtl/>
        </w:rPr>
        <w:t>.</w:t>
      </w:r>
    </w:p>
    <w:p w14:paraId="2DE1DA60" w14:textId="77777777" w:rsidR="00BE1D1C" w:rsidRPr="00012502" w:rsidRDefault="00000000" w:rsidP="00012502">
      <w:pPr>
        <w:pStyle w:val="aa"/>
        <w:bidi/>
        <w:rPr>
          <w:rFonts w:ascii="Narkisim" w:hAnsi="Narkisim"/>
        </w:rPr>
      </w:pPr>
      <w:r w:rsidRPr="00012502">
        <w:rPr>
          <w:rFonts w:ascii="Narkisim" w:hAnsi="Narkisim"/>
          <w:u w:val="single"/>
          <w:rtl/>
        </w:rPr>
        <w:t>מוטב שיבא וכו' וידחה עשה שאין בו כרת, וא"ר יוחנן וכו' טבול יום לא יכנס למחנה לויה, ואמר עולא מה טעם הואיל והותר לצרעתו וכו'</w:t>
      </w:r>
      <w:r w:rsidRPr="00012502">
        <w:rPr>
          <w:rFonts w:ascii="Narkisim" w:hAnsi="Narkisim"/>
          <w:rtl/>
        </w:rPr>
        <w:t>. פ</w:t>
      </w:r>
      <w:r w:rsidRPr="00012502">
        <w:rPr>
          <w:rFonts w:ascii="Narkisim" w:hAnsi="Narkisim"/>
          <w:b/>
          <w:bCs/>
          <w:rtl/>
        </w:rPr>
        <w:t>רש"י</w:t>
      </w:r>
      <w:r w:rsidRPr="00012502">
        <w:rPr>
          <w:rFonts w:ascii="Narkisim" w:hAnsi="Narkisim"/>
          <w:rtl/>
        </w:rPr>
        <w:t xml:space="preserve"> נהי דנכנס להר הבית משום דהוה עשה שאין בו כרת, אבל להכניס ידיו לעזרה יש בו כרת [למ"ד ביאה במקצת שמה ביאה]. [מבואר דיש כאן ב' נידונים, ליכנס להר הבית</w:t>
      </w:r>
      <w:r w:rsidRPr="00012502">
        <w:rPr>
          <w:rStyle w:val="ac"/>
          <w:rFonts w:ascii="Narkisim" w:hAnsi="Narkisim"/>
          <w:rtl/>
        </w:rPr>
        <w:footnoteReference w:id="381"/>
      </w:r>
      <w:r w:rsidRPr="00012502">
        <w:rPr>
          <w:rFonts w:ascii="Narkisim" w:hAnsi="Narkisim"/>
          <w:rtl/>
        </w:rPr>
        <w:t>, ולעזרה</w:t>
      </w:r>
      <w:r w:rsidRPr="00012502">
        <w:rPr>
          <w:rStyle w:val="ac"/>
          <w:rFonts w:ascii="Narkisim" w:hAnsi="Narkisim"/>
          <w:rtl/>
        </w:rPr>
        <w:footnoteReference w:id="382"/>
      </w:r>
      <w:r w:rsidRPr="00012502">
        <w:rPr>
          <w:rFonts w:ascii="Narkisim" w:hAnsi="Narkisim"/>
          <w:rtl/>
        </w:rPr>
        <w:t>].</w:t>
      </w:r>
    </w:p>
    <w:p w14:paraId="4C836832" w14:textId="77777777" w:rsidR="00BE1D1C" w:rsidRPr="00012502" w:rsidRDefault="00000000" w:rsidP="00012502">
      <w:pPr>
        <w:pStyle w:val="a8"/>
        <w:bidi/>
        <w:rPr>
          <w:rFonts w:ascii="Narkisim" w:hAnsi="Narkisim"/>
        </w:rPr>
      </w:pPr>
      <w:r w:rsidRPr="00012502">
        <w:rPr>
          <w:rFonts w:ascii="Narkisim" w:hAnsi="Narkisim"/>
          <w:rtl/>
        </w:rPr>
        <w:t>ומבואר דמהדין אף כל מצורע אינו רשאי להכניס ידיו לעזרה [למ"ד ביאה במקצת שמה ביאה], דהוה מחוסר כיפורים. וע"כ דהתירה תורה לצורך הזאתו. וכיון דהותר כשהוא טמא משום מצורע, הותר אף כשהוא טבול יום מחמת הקרי.</w:t>
      </w:r>
    </w:p>
    <w:p w14:paraId="68411F67" w14:textId="77777777" w:rsidR="00BE1D1C" w:rsidRPr="00012502" w:rsidRDefault="00000000" w:rsidP="00012502">
      <w:pPr>
        <w:pStyle w:val="aa"/>
        <w:bidi/>
        <w:rPr>
          <w:rFonts w:ascii="Narkisim" w:hAnsi="Narkisim"/>
        </w:rPr>
      </w:pPr>
      <w:r w:rsidRPr="00012502">
        <w:rPr>
          <w:rFonts w:ascii="Narkisim" w:hAnsi="Narkisim"/>
          <w:u w:val="single"/>
          <w:rtl/>
        </w:rPr>
        <w:t>תוד"ה וראה.</w:t>
      </w:r>
      <w:r w:rsidRPr="00012502">
        <w:rPr>
          <w:rFonts w:ascii="Narkisim" w:hAnsi="Narkisim"/>
          <w:rtl/>
        </w:rPr>
        <w:t xml:space="preserve"> פ"ה דטמא שרץ וכו' נכנסין במחנה לויה. [ואילו ברייתא אי' דהכא אסורין ליכנס, אלא דעשה דפסח דחי]. ותוס' הק' דעכ"פ מדרבנן אסורין, והך ברייתא קאי מדרבנן [ע' תוס' ד"ה ר' יוחנן</w:t>
      </w:r>
      <w:r w:rsidRPr="00012502">
        <w:rPr>
          <w:rStyle w:val="ac"/>
          <w:rFonts w:ascii="Narkisim" w:hAnsi="Narkisim"/>
          <w:rtl/>
        </w:rPr>
        <w:footnoteReference w:id="383"/>
      </w:r>
      <w:r w:rsidRPr="00012502">
        <w:rPr>
          <w:rFonts w:ascii="Narkisim" w:hAnsi="Narkisim"/>
          <w:rtl/>
        </w:rPr>
        <w:t>].</w:t>
      </w:r>
    </w:p>
    <w:p w14:paraId="255E9912"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תי' דשאר טמאין שטבלו אף מדרבנן נכנסין. ולא אסרו אלא טבול יום דזב וקרי וכדו'.</w:t>
      </w:r>
    </w:p>
    <w:p w14:paraId="39231B89" w14:textId="77777777" w:rsidR="00BE1D1C" w:rsidRPr="00012502" w:rsidRDefault="00000000" w:rsidP="00012502">
      <w:pPr>
        <w:pStyle w:val="aa"/>
        <w:bidi/>
        <w:rPr>
          <w:rFonts w:ascii="Narkisim" w:hAnsi="Narkisim"/>
        </w:rPr>
      </w:pPr>
      <w:r w:rsidRPr="00012502">
        <w:rPr>
          <w:rFonts w:ascii="Narkisim" w:hAnsi="Narkisim"/>
          <w:u w:val="single"/>
          <w:rtl/>
        </w:rPr>
        <w:t>בא"ד ואור"י דנקט בעל קרי לרבותא, דאע"ג דאשתלח חוץ לב' מחנות וכו</w:t>
      </w:r>
      <w:r w:rsidRPr="00012502">
        <w:rPr>
          <w:rFonts w:ascii="Narkisim" w:hAnsi="Narkisim"/>
          <w:rtl/>
        </w:rPr>
        <w:t>'. דקודם טבילה נשלח מכל מחנה לויה, וס"ד דאף אחר שטבל לא יתירו ליכנס. [ויעמידו דבריהם מדרבנן].</w:t>
      </w:r>
    </w:p>
    <w:p w14:paraId="12E42200" w14:textId="77777777" w:rsidR="00BE1D1C" w:rsidRPr="00012502" w:rsidRDefault="00000000" w:rsidP="00012502">
      <w:pPr>
        <w:pStyle w:val="aa"/>
        <w:bidi/>
        <w:rPr>
          <w:rFonts w:ascii="Narkisim" w:hAnsi="Narkisim"/>
        </w:rPr>
      </w:pPr>
      <w:r w:rsidRPr="00012502">
        <w:rPr>
          <w:rFonts w:ascii="Narkisim" w:hAnsi="Narkisim"/>
          <w:u w:val="single"/>
          <w:rtl/>
        </w:rPr>
        <w:t>בא"ד ותי' ר"ת שלא גזרו אלא שלא יכנס, אבל לא גזרו שיצא וכו' ודקדק וכו' ממיתין אותו בעזרת נשים, כיון שכבר היה שם</w:t>
      </w:r>
      <w:r w:rsidRPr="00012502">
        <w:rPr>
          <w:rStyle w:val="ac"/>
          <w:rFonts w:ascii="Narkisim" w:hAnsi="Narkisim"/>
          <w:rtl/>
        </w:rPr>
        <w:footnoteReference w:id="384"/>
      </w:r>
      <w:r w:rsidRPr="00012502">
        <w:rPr>
          <w:rFonts w:ascii="Narkisim" w:hAnsi="Narkisim"/>
          <w:rtl/>
        </w:rPr>
        <w:t>. בפשוטו הטעם דכשהטומאה כבר היתה במקום קדוש לא נחשב תוספת טומאה לעזרה. ויש שהק' דהתם איירי לגרום טומאה חדשה בעזרה</w:t>
      </w:r>
      <w:r w:rsidRPr="00012502">
        <w:rPr>
          <w:rStyle w:val="ac"/>
          <w:rFonts w:ascii="Narkisim" w:hAnsi="Narkisim"/>
          <w:rtl/>
        </w:rPr>
        <w:footnoteReference w:id="385"/>
      </w:r>
      <w:r w:rsidRPr="00012502">
        <w:rPr>
          <w:rFonts w:ascii="Narkisim" w:hAnsi="Narkisim"/>
          <w:rtl/>
        </w:rPr>
        <w:t>. ומבואר דעיקר סברת ר"ת דתליא ב'מעשה כניסה'</w:t>
      </w:r>
      <w:r w:rsidRPr="00012502">
        <w:rPr>
          <w:rStyle w:val="ac"/>
          <w:rFonts w:ascii="Narkisim" w:hAnsi="Narkisim"/>
          <w:rtl/>
        </w:rPr>
        <w:footnoteReference w:id="386"/>
      </w:r>
      <w:r w:rsidRPr="00012502">
        <w:rPr>
          <w:rFonts w:ascii="Narkisim" w:hAnsi="Narkisim"/>
          <w:rtl/>
        </w:rPr>
        <w:t>.</w:t>
      </w:r>
    </w:p>
    <w:p w14:paraId="54F91B90" w14:textId="77777777" w:rsidR="00BE1D1C" w:rsidRPr="00012502" w:rsidRDefault="00000000" w:rsidP="00012502">
      <w:pPr>
        <w:pStyle w:val="aa"/>
        <w:bidi/>
        <w:rPr>
          <w:rFonts w:ascii="Narkisim" w:hAnsi="Narkisim"/>
        </w:rPr>
      </w:pPr>
      <w:r w:rsidRPr="00012502">
        <w:rPr>
          <w:rFonts w:ascii="Narkisim" w:hAnsi="Narkisim"/>
          <w:u w:val="single"/>
          <w:rtl/>
        </w:rPr>
        <w:t>בא"ד ור"י מפרש וכו' אי לאו דאיסור דאורייתא לא היו ממהרים כ"כ</w:t>
      </w:r>
      <w:r w:rsidRPr="00012502">
        <w:rPr>
          <w:rFonts w:ascii="Narkisim" w:hAnsi="Narkisim"/>
          <w:rtl/>
        </w:rPr>
        <w:t>. ה</w:t>
      </w:r>
      <w:r w:rsidRPr="00012502">
        <w:rPr>
          <w:rFonts w:ascii="Narkisim" w:hAnsi="Narkisim"/>
          <w:b/>
          <w:bCs/>
          <w:rtl/>
        </w:rPr>
        <w:t>קובה"ע</w:t>
      </w:r>
      <w:r w:rsidRPr="00012502">
        <w:rPr>
          <w:rFonts w:ascii="Narkisim" w:hAnsi="Narkisim"/>
          <w:rtl/>
        </w:rPr>
        <w:t xml:space="preserve"> (ח טו) ביאר דבאיסור דאורייתא צריך למהר</w:t>
      </w:r>
      <w:r w:rsidRPr="00012502">
        <w:rPr>
          <w:rStyle w:val="ac"/>
          <w:rFonts w:ascii="Narkisim" w:hAnsi="Narkisim"/>
          <w:rtl/>
        </w:rPr>
        <w:footnoteReference w:id="387"/>
      </w:r>
      <w:r w:rsidRPr="00012502">
        <w:rPr>
          <w:rFonts w:ascii="Narkisim" w:hAnsi="Narkisim"/>
          <w:rtl/>
        </w:rPr>
        <w:t>, דהמעשה מצד עצמו אסור [בחפצא], ולא משום שדעתו לעבור. משא"כ איסור דרבנן המעשה למש"כ ה</w:t>
      </w:r>
      <w:r w:rsidRPr="00012502">
        <w:rPr>
          <w:rFonts w:ascii="Narkisim" w:hAnsi="Narkisim"/>
          <w:b/>
          <w:bCs/>
          <w:rtl/>
        </w:rPr>
        <w:t>נתיבות</w:t>
      </w:r>
      <w:r w:rsidRPr="00012502">
        <w:rPr>
          <w:rFonts w:ascii="Narkisim" w:hAnsi="Narkisim"/>
          <w:rtl/>
        </w:rPr>
        <w:t xml:space="preserve"> (רלד ג) דאיסור דרבנן בשוגג אי"צ כפרה</w:t>
      </w:r>
      <w:r w:rsidRPr="00012502">
        <w:rPr>
          <w:rStyle w:val="ac"/>
          <w:rFonts w:ascii="Narkisim" w:hAnsi="Narkisim"/>
          <w:rtl/>
        </w:rPr>
        <w:footnoteReference w:id="388"/>
      </w:r>
      <w:r w:rsidRPr="00012502">
        <w:rPr>
          <w:rFonts w:ascii="Narkisim" w:hAnsi="Narkisim"/>
          <w:rtl/>
        </w:rPr>
        <w:t>. ואסור רק משום דמתכוון לעבור על דברי חכמים, ובזה אי"צ למהר כ"כ</w:t>
      </w:r>
      <w:r w:rsidRPr="00012502">
        <w:rPr>
          <w:rStyle w:val="ac"/>
          <w:rFonts w:ascii="Narkisim" w:hAnsi="Narkisim"/>
          <w:rtl/>
        </w:rPr>
        <w:footnoteReference w:id="389"/>
      </w:r>
      <w:r w:rsidRPr="00012502">
        <w:rPr>
          <w:rFonts w:ascii="Narkisim" w:hAnsi="Narkisim"/>
          <w:rtl/>
        </w:rPr>
        <w:t>.</w:t>
      </w:r>
    </w:p>
    <w:p w14:paraId="73A33AAD" w14:textId="77777777" w:rsidR="00BE1D1C" w:rsidRPr="00012502" w:rsidRDefault="00000000" w:rsidP="00012502">
      <w:pPr>
        <w:pStyle w:val="aa"/>
        <w:bidi/>
        <w:rPr>
          <w:rFonts w:ascii="Narkisim" w:hAnsi="Narkisim"/>
        </w:rPr>
      </w:pPr>
      <w:r w:rsidRPr="00012502">
        <w:rPr>
          <w:rFonts w:ascii="Narkisim" w:hAnsi="Narkisim"/>
          <w:u w:val="single"/>
          <w:rtl/>
        </w:rPr>
        <w:lastRenderedPageBreak/>
        <w:t>תוד"ה זה.</w:t>
      </w:r>
      <w:r w:rsidRPr="00012502">
        <w:rPr>
          <w:rFonts w:ascii="Narkisim" w:hAnsi="Narkisim"/>
          <w:rtl/>
        </w:rPr>
        <w:t xml:space="preserve"> ופי' ריב"ן דאין זה לפני ד' וכו' ואין נראה וכו'. </w:t>
      </w:r>
      <w:r w:rsidRPr="00012502">
        <w:rPr>
          <w:rFonts w:ascii="Narkisim" w:hAnsi="Narkisim"/>
          <w:b/>
          <w:bCs/>
          <w:rtl/>
        </w:rPr>
        <w:t>תוס</w:t>
      </w:r>
      <w:r w:rsidRPr="00012502">
        <w:rPr>
          <w:rFonts w:ascii="Narkisim" w:hAnsi="Narkisim"/>
          <w:rtl/>
        </w:rPr>
        <w:t>' הקשו דכיון דיש קדושת עזרה נחשב לפני ה'. ובחי' ה</w:t>
      </w:r>
      <w:r w:rsidRPr="00012502">
        <w:rPr>
          <w:rFonts w:ascii="Narkisim" w:hAnsi="Narkisim"/>
          <w:b/>
          <w:bCs/>
          <w:rtl/>
        </w:rPr>
        <w:t>גרי"ז</w:t>
      </w:r>
      <w:r w:rsidRPr="00012502">
        <w:rPr>
          <w:rFonts w:ascii="Narkisim" w:hAnsi="Narkisim"/>
          <w:rtl/>
        </w:rPr>
        <w:t xml:space="preserve"> (הל' מחו"כ עמ' נז) כת' דיש דין שיהא לפני ה'. ולא רק משום פסול יוצא [דתלי בקדושת העזרה]. וריב"ן ס"ל דגדר לפני ד' לא סגי בקדושת העזרה, אלא בעינן אויר עזרה ממש. ושאר נקנור הוה מקום חלוק בפנ"ע.</w:t>
      </w:r>
    </w:p>
    <w:p w14:paraId="580EF71B" w14:textId="77777777" w:rsidR="00BE1D1C" w:rsidRPr="00012502" w:rsidRDefault="00000000" w:rsidP="00012502">
      <w:pPr>
        <w:pStyle w:val="a8"/>
        <w:bidi/>
        <w:rPr>
          <w:rFonts w:ascii="Narkisim" w:hAnsi="Narkisim"/>
        </w:rPr>
      </w:pPr>
      <w:r w:rsidRPr="00012502">
        <w:rPr>
          <w:rFonts w:ascii="Narkisim" w:hAnsi="Narkisim"/>
          <w:rtl/>
        </w:rPr>
        <w:t>והגרי"ז הביא דב</w:t>
      </w:r>
      <w:r w:rsidRPr="00012502">
        <w:rPr>
          <w:rFonts w:ascii="Narkisim" w:hAnsi="Narkisim"/>
          <w:b/>
          <w:bCs/>
          <w:rtl/>
        </w:rPr>
        <w:t>ספרי</w:t>
      </w:r>
      <w:r w:rsidRPr="00012502">
        <w:rPr>
          <w:rFonts w:ascii="Narkisim" w:hAnsi="Narkisim"/>
          <w:rtl/>
        </w:rPr>
        <w:t xml:space="preserve"> ו</w:t>
      </w:r>
      <w:r w:rsidRPr="00012502">
        <w:rPr>
          <w:rFonts w:ascii="Narkisim" w:hAnsi="Narkisim"/>
          <w:b/>
          <w:bCs/>
          <w:rtl/>
        </w:rPr>
        <w:t xml:space="preserve">ירושלמי </w:t>
      </w:r>
      <w:r w:rsidRPr="00012502">
        <w:rPr>
          <w:rFonts w:ascii="Narkisim" w:hAnsi="Narkisim"/>
          <w:rtl/>
        </w:rPr>
        <w:t>מבואר דבעינן להעמיד את המצורע לפני ד' [שיעמוד כולו, ולא שיכניס אצבעותיו]. וכמו סוטה. ומהני לזה שעומד בתוך השער [דהוה עובי המחיצות של העזרה], ואף דהמקום לא נתקדש.</w:t>
      </w:r>
    </w:p>
    <w:p w14:paraId="512AB52D" w14:textId="77777777" w:rsidR="00BE1D1C" w:rsidRPr="00012502" w:rsidRDefault="00000000" w:rsidP="00012502">
      <w:pPr>
        <w:bidi/>
        <w:rPr>
          <w:rFonts w:ascii="Narkisim" w:hAnsi="Narkisim" w:cs="Narkisim"/>
        </w:rPr>
      </w:pPr>
      <w:r w:rsidRPr="00012502">
        <w:rPr>
          <w:rFonts w:ascii="Narkisim" w:hAnsi="Narkisim" w:cs="Narkisim"/>
          <w:u w:val="single"/>
          <w:rtl/>
        </w:rPr>
        <w:t>תוד"ה מוטב.</w:t>
      </w:r>
      <w:r w:rsidRPr="00012502">
        <w:rPr>
          <w:rFonts w:ascii="Narkisim" w:hAnsi="Narkisim" w:cs="Narkisim"/>
          <w:rtl/>
        </w:rPr>
        <w:t xml:space="preserve"> דיש מקומות שהעמידו דבריהם וכו' אבל כאן לא היה נראה לחכמים להחמיר. </w:t>
      </w:r>
      <w:r w:rsidRPr="00012502">
        <w:rPr>
          <w:rFonts w:ascii="Narkisim" w:hAnsi="Narkisim" w:cs="Narkisim"/>
          <w:b/>
          <w:bCs/>
          <w:rtl/>
        </w:rPr>
        <w:t>רע"א</w:t>
      </w:r>
      <w:r w:rsidRPr="00012502">
        <w:rPr>
          <w:rFonts w:ascii="Narkisim" w:hAnsi="Narkisim" w:cs="Narkisim"/>
          <w:rtl/>
        </w:rPr>
        <w:t xml:space="preserve"> כתב דלא דמי לאינך, דהתם אילו היה מדאורייתא לא היה דוחה. אבל הכא אף בדאורייתא ליכא כרת אלא עשה. ועשה דפסח שיש בו כרת דוחה. </w:t>
      </w:r>
      <w:r w:rsidRPr="00012502">
        <w:rPr>
          <w:rFonts w:ascii="Narkisim" w:hAnsi="Narkisim" w:cs="Narkisim"/>
          <w:sz w:val="20"/>
          <w:szCs w:val="20"/>
          <w:rtl/>
        </w:rPr>
        <w:t>[וכן מבואר מהא דתוס' (ד"ה ר"י) העלו צד דלתנא דברייתא הוה איסור דאורייתא, ואפי' הכי דחי</w:t>
      </w:r>
      <w:r w:rsidRPr="00012502">
        <w:rPr>
          <w:rFonts w:ascii="Narkisim" w:hAnsi="Narkisim" w:cs="Narkisim"/>
          <w:rtl/>
        </w:rPr>
        <w:t>]. א"כ אף יעמידו דבריהם, אתי עשה דפסח ודחי.</w:t>
      </w:r>
    </w:p>
    <w:p w14:paraId="6E756E8A"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רע"א</w:t>
      </w:r>
      <w:r w:rsidRPr="00012502">
        <w:rPr>
          <w:rFonts w:ascii="Narkisim" w:hAnsi="Narkisim"/>
          <w:rtl/>
        </w:rPr>
        <w:t xml:space="preserve"> </w:t>
      </w:r>
      <w:r w:rsidRPr="00012502">
        <w:rPr>
          <w:rFonts w:ascii="Narkisim" w:hAnsi="Narkisim"/>
          <w:szCs w:val="20"/>
          <w:rtl/>
        </w:rPr>
        <w:t>(שו"ת ק' יג)</w:t>
      </w:r>
      <w:r w:rsidRPr="00012502">
        <w:rPr>
          <w:rFonts w:ascii="Narkisim" w:hAnsi="Narkisim"/>
          <w:rtl/>
        </w:rPr>
        <w:t xml:space="preserve"> תי' דבעל קרי [שלא טבל] יש עשה ול"ת, ואילו העמידו דבריהם אינו נדחה</w:t>
      </w:r>
      <w:r w:rsidRPr="00012502">
        <w:rPr>
          <w:rStyle w:val="ac"/>
          <w:rFonts w:ascii="Narkisim" w:hAnsi="Narkisim"/>
          <w:rtl/>
        </w:rPr>
        <w:footnoteReference w:id="390"/>
      </w:r>
      <w:r w:rsidRPr="00012502">
        <w:rPr>
          <w:rFonts w:ascii="Narkisim" w:hAnsi="Narkisim"/>
          <w:rtl/>
        </w:rPr>
        <w:t>. וה</w:t>
      </w:r>
      <w:r w:rsidRPr="00012502">
        <w:rPr>
          <w:rFonts w:ascii="Narkisim" w:hAnsi="Narkisim"/>
          <w:b/>
          <w:bCs/>
          <w:rtl/>
        </w:rPr>
        <w:t xml:space="preserve">חזו"א </w:t>
      </w:r>
      <w:r w:rsidRPr="00012502">
        <w:rPr>
          <w:rFonts w:ascii="Narkisim" w:hAnsi="Narkisim"/>
          <w:rtl/>
        </w:rPr>
        <w:t>(קכד צב.) תי' דגדר הגזירה דטבול יום לא יכנס הוא אטו מחנה שכינה</w:t>
      </w:r>
      <w:r w:rsidRPr="00012502">
        <w:rPr>
          <w:rStyle w:val="ac"/>
          <w:rFonts w:ascii="Narkisim" w:hAnsi="Narkisim"/>
          <w:rtl/>
        </w:rPr>
        <w:footnoteReference w:id="391"/>
      </w:r>
      <w:r w:rsidRPr="00012502">
        <w:rPr>
          <w:rFonts w:ascii="Narkisim" w:hAnsi="Narkisim"/>
          <w:rtl/>
        </w:rPr>
        <w:t>.</w:t>
      </w:r>
      <w:r w:rsidRPr="00012502">
        <w:rPr>
          <w:rFonts w:ascii="Narkisim" w:hAnsi="Narkisim"/>
          <w:sz w:val="20"/>
          <w:szCs w:val="20"/>
          <w:rtl/>
        </w:rPr>
        <w:t xml:space="preserve"> </w:t>
      </w:r>
      <w:r w:rsidRPr="00012502">
        <w:rPr>
          <w:rFonts w:ascii="Narkisim" w:hAnsi="Narkisim"/>
          <w:rtl/>
        </w:rPr>
        <w:t>ובמחנה שכינה יש כרת. ולכן אילו העמידו דבריהם אף עזרת נשים דינו כיש בו כרת.</w:t>
      </w:r>
    </w:p>
    <w:p w14:paraId="2A1E9341" w14:textId="77777777" w:rsidR="00BE1D1C" w:rsidRPr="00012502" w:rsidRDefault="00000000" w:rsidP="00012502">
      <w:pPr>
        <w:pStyle w:val="aa"/>
        <w:bidi/>
        <w:rPr>
          <w:rFonts w:ascii="Narkisim" w:hAnsi="Narkisim"/>
        </w:rPr>
      </w:pPr>
      <w:r w:rsidRPr="00012502">
        <w:rPr>
          <w:rFonts w:ascii="Narkisim" w:hAnsi="Narkisim"/>
          <w:u w:val="single"/>
          <w:rtl/>
        </w:rPr>
        <w:t>תוד"ה ר' יוחנן.</w:t>
      </w:r>
      <w:r w:rsidRPr="00012502">
        <w:rPr>
          <w:rFonts w:ascii="Narkisim" w:hAnsi="Narkisim"/>
          <w:rtl/>
        </w:rPr>
        <w:t xml:space="preserve"> אבל בהר הבית וחיל שרי, והיינו מדרבנן וכו'. והא דא"ר יוחנן דחידשו דברים לאסור במחנה לויה, היינו בעזרת נשים דוקא</w:t>
      </w:r>
      <w:r w:rsidRPr="00012502">
        <w:rPr>
          <w:rStyle w:val="ac"/>
          <w:rFonts w:ascii="Narkisim" w:hAnsi="Narkisim"/>
          <w:rtl/>
        </w:rPr>
        <w:footnoteReference w:id="392"/>
      </w:r>
      <w:r w:rsidRPr="00012502">
        <w:rPr>
          <w:rFonts w:ascii="Narkisim" w:hAnsi="Narkisim"/>
          <w:rtl/>
        </w:rPr>
        <w:t xml:space="preserve">. אבל </w:t>
      </w:r>
      <w:r w:rsidRPr="00012502">
        <w:rPr>
          <w:rFonts w:ascii="Narkisim" w:hAnsi="Narkisim"/>
          <w:b/>
          <w:bCs/>
          <w:rtl/>
        </w:rPr>
        <w:t>רש"י</w:t>
      </w:r>
      <w:r w:rsidRPr="00012502">
        <w:rPr>
          <w:rFonts w:ascii="Narkisim" w:hAnsi="Narkisim"/>
          <w:rtl/>
        </w:rPr>
        <w:t xml:space="preserve"> פי' למחנה לויה, הר הבית. משמע דטבול יום אסור ליכנס מדרבנן לכל הר הבית.</w:t>
      </w:r>
    </w:p>
    <w:p w14:paraId="7203E679" w14:textId="77777777" w:rsidR="00BE1D1C" w:rsidRPr="00012502" w:rsidRDefault="00000000" w:rsidP="00012502">
      <w:pPr>
        <w:pStyle w:val="a8"/>
        <w:bidi/>
        <w:rPr>
          <w:rFonts w:ascii="Narkisim" w:hAnsi="Narkisim"/>
        </w:rPr>
      </w:pPr>
      <w:r w:rsidRPr="00012502">
        <w:rPr>
          <w:rFonts w:ascii="Narkisim" w:hAnsi="Narkisim"/>
          <w:rtl/>
        </w:rPr>
        <w:t>ותוס' הק' מהמשנה בכלים, וה</w:t>
      </w:r>
      <w:r w:rsidRPr="00012502">
        <w:rPr>
          <w:rFonts w:ascii="Narkisim" w:hAnsi="Narkisim"/>
          <w:b/>
          <w:bCs/>
          <w:rtl/>
        </w:rPr>
        <w:t>אחרונים</w:t>
      </w:r>
      <w:r w:rsidRPr="00012502">
        <w:rPr>
          <w:rFonts w:ascii="Narkisim" w:hAnsi="Narkisim"/>
          <w:rtl/>
        </w:rPr>
        <w:t xml:space="preserve"> חילקו דלרש"י גזירת יהושפט איירי בטבול יום דזב, וגזרו כל הר הבית</w:t>
      </w:r>
      <w:r w:rsidRPr="00012502">
        <w:rPr>
          <w:rStyle w:val="ac"/>
          <w:rFonts w:ascii="Narkisim" w:hAnsi="Narkisim"/>
          <w:rtl/>
        </w:rPr>
        <w:footnoteReference w:id="393"/>
      </w:r>
      <w:r w:rsidRPr="00012502">
        <w:rPr>
          <w:rFonts w:ascii="Narkisim" w:hAnsi="Narkisim"/>
          <w:rtl/>
        </w:rPr>
        <w:t>. ואילו המשנה בכלים איירי בשאר טבול יום.</w:t>
      </w:r>
    </w:p>
    <w:p w14:paraId="1AADA333" w14:textId="77777777" w:rsidR="00BE1D1C" w:rsidRPr="00012502" w:rsidRDefault="00000000" w:rsidP="00012502">
      <w:pPr>
        <w:pStyle w:val="aa"/>
        <w:bidi/>
        <w:rPr>
          <w:rFonts w:ascii="Narkisim" w:hAnsi="Narkisim"/>
        </w:rPr>
      </w:pPr>
      <w:r w:rsidRPr="00012502">
        <w:rPr>
          <w:rFonts w:ascii="Narkisim" w:hAnsi="Narkisim"/>
          <w:u w:val="single"/>
          <w:rtl/>
        </w:rPr>
        <w:t>בא"ד דאי מדאורייתא אסור ליכנס במחנה לויה, א"כ בהר הבית נמי ליתסר וכו'</w:t>
      </w:r>
      <w:r w:rsidRPr="00012502">
        <w:rPr>
          <w:rFonts w:ascii="Narkisim" w:hAnsi="Narkisim"/>
          <w:rtl/>
        </w:rPr>
        <w:t xml:space="preserve">. וע"כ האיסור בעזרת נשים מדרבנן, וכר' יוחנן. אך </w:t>
      </w:r>
      <w:r w:rsidRPr="00012502">
        <w:rPr>
          <w:rFonts w:ascii="Narkisim" w:hAnsi="Narkisim"/>
          <w:b/>
          <w:bCs/>
          <w:rtl/>
        </w:rPr>
        <w:t>רש"י</w:t>
      </w:r>
      <w:r w:rsidRPr="00012502">
        <w:rPr>
          <w:rFonts w:ascii="Narkisim" w:hAnsi="Narkisim"/>
          <w:rtl/>
        </w:rPr>
        <w:t xml:space="preserve"> (יומא מד:) ביאר הא דנח' (שם) אי מעלות דרבנן או דאורייתא, האם כל הנך מעלות</w:t>
      </w:r>
      <w:r w:rsidRPr="00012502">
        <w:rPr>
          <w:rStyle w:val="ac"/>
          <w:rFonts w:ascii="Narkisim" w:hAnsi="Narkisim"/>
          <w:rtl/>
        </w:rPr>
        <w:footnoteReference w:id="394"/>
      </w:r>
      <w:r w:rsidRPr="00012502">
        <w:rPr>
          <w:rFonts w:ascii="Narkisim" w:hAnsi="Narkisim"/>
          <w:rtl/>
        </w:rPr>
        <w:t xml:space="preserve"> ילפינן מהלכה למשה מסיני מדאורייתא, או דהוה משום גזירה. וה</w:t>
      </w:r>
      <w:r w:rsidRPr="00012502">
        <w:rPr>
          <w:rFonts w:ascii="Narkisim" w:hAnsi="Narkisim"/>
          <w:b/>
          <w:bCs/>
          <w:rtl/>
        </w:rPr>
        <w:t>תו"י</w:t>
      </w:r>
      <w:r w:rsidRPr="00012502">
        <w:rPr>
          <w:rFonts w:ascii="Narkisim" w:hAnsi="Narkisim"/>
          <w:rtl/>
        </w:rPr>
        <w:t xml:space="preserve"> ו</w:t>
      </w:r>
      <w:r w:rsidRPr="00012502">
        <w:rPr>
          <w:rFonts w:ascii="Narkisim" w:hAnsi="Narkisim"/>
          <w:b/>
          <w:bCs/>
          <w:rtl/>
        </w:rPr>
        <w:t>תוס' רא"ש</w:t>
      </w:r>
      <w:r w:rsidRPr="00012502">
        <w:rPr>
          <w:rFonts w:ascii="Narkisim" w:hAnsi="Narkisim"/>
          <w:rtl/>
        </w:rPr>
        <w:t xml:space="preserve"> חלקו דקאי התם דוקא אבין אולם ולמזבח, אבל עזרת נשים ודאי הוה מדרבנן, כדמפרש ר' יוחנן בסוגיין</w:t>
      </w:r>
      <w:r w:rsidRPr="00012502">
        <w:rPr>
          <w:rStyle w:val="ac"/>
          <w:rFonts w:ascii="Narkisim" w:hAnsi="Narkisim"/>
          <w:rtl/>
        </w:rPr>
        <w:footnoteReference w:id="395"/>
      </w:r>
      <w:r w:rsidRPr="00012502">
        <w:rPr>
          <w:rFonts w:ascii="Narkisim" w:hAnsi="Narkisim"/>
          <w:rtl/>
        </w:rPr>
        <w:t>.</w:t>
      </w:r>
    </w:p>
    <w:p w14:paraId="125A9D18" w14:textId="77777777" w:rsidR="00BE1D1C" w:rsidRPr="00012502" w:rsidRDefault="00000000" w:rsidP="00012502">
      <w:pPr>
        <w:bidi/>
        <w:rPr>
          <w:rFonts w:ascii="Narkisim" w:hAnsi="Narkisim" w:cs="Narkisim"/>
        </w:rPr>
      </w:pPr>
      <w:r w:rsidRPr="00012502">
        <w:rPr>
          <w:rFonts w:ascii="Narkisim" w:hAnsi="Narkisim" w:cs="Narkisim"/>
          <w:u w:val="single"/>
          <w:rtl/>
        </w:rPr>
        <w:t>בא"ד ולאו משום דר' יוחנן סבר טבו"י דזב לאו כזב דמי וכו' אלא לענין ביאת מקדש לאו כזב דמי</w:t>
      </w:r>
      <w:r w:rsidRPr="00012502">
        <w:rPr>
          <w:rFonts w:ascii="Narkisim" w:hAnsi="Narkisim" w:cs="Narkisim"/>
          <w:rtl/>
        </w:rPr>
        <w:t xml:space="preserve">. אבל </w:t>
      </w:r>
      <w:r w:rsidRPr="00012502">
        <w:rPr>
          <w:rFonts w:ascii="Narkisim" w:hAnsi="Narkisim" w:cs="Narkisim"/>
          <w:b/>
          <w:bCs/>
          <w:rtl/>
        </w:rPr>
        <w:t>רש"י</w:t>
      </w:r>
      <w:r w:rsidRPr="00012502">
        <w:rPr>
          <w:rFonts w:ascii="Narkisim" w:hAnsi="Narkisim" w:cs="Narkisim"/>
          <w:rtl/>
        </w:rPr>
        <w:t xml:space="preserve"> (זבחים לב:) כת' דר' יוחנן ס"ל דטבול יום דזב לאו כזב דמי. ובזה פליג אברייתא דס"ל דטבו"י דזב כזב, ומדאורייתא טבול יום דזב אסור ליכנס למחנה לויה [כל הר הבית], משום איסור עשה</w:t>
      </w:r>
      <w:r w:rsidRPr="00012502">
        <w:rPr>
          <w:rStyle w:val="ac"/>
          <w:rFonts w:ascii="Narkisim" w:hAnsi="Narkisim" w:cs="Narkisim"/>
          <w:rtl/>
        </w:rPr>
        <w:footnoteReference w:id="396"/>
      </w:r>
      <w:r w:rsidRPr="00012502">
        <w:rPr>
          <w:rFonts w:ascii="Narkisim" w:hAnsi="Narkisim" w:cs="Narkisim"/>
          <w:rtl/>
        </w:rPr>
        <w:t>.</w:t>
      </w:r>
    </w:p>
    <w:p w14:paraId="394952B9" w14:textId="77777777" w:rsidR="00BE1D1C" w:rsidRPr="00012502" w:rsidRDefault="00000000" w:rsidP="00012502">
      <w:pPr>
        <w:pStyle w:val="a7"/>
        <w:bidi/>
        <w:rPr>
          <w:rFonts w:ascii="Narkisim" w:hAnsi="Narkisim"/>
        </w:rPr>
      </w:pPr>
      <w:r w:rsidRPr="00012502">
        <w:rPr>
          <w:rFonts w:ascii="Narkisim" w:hAnsi="Narkisim"/>
          <w:rtl/>
        </w:rPr>
        <w:t xml:space="preserve">ותליא במח' תנאים </w:t>
      </w:r>
      <w:r w:rsidRPr="00012502">
        <w:rPr>
          <w:rFonts w:ascii="Narkisim" w:hAnsi="Narkisim"/>
          <w:szCs w:val="20"/>
          <w:rtl/>
        </w:rPr>
        <w:t>(זבחים יז:)</w:t>
      </w:r>
      <w:r w:rsidRPr="00012502">
        <w:rPr>
          <w:rFonts w:ascii="Narkisim" w:hAnsi="Narkisim"/>
          <w:rtl/>
        </w:rPr>
        <w:t xml:space="preserve"> אי טבו"י דזב כזב, ו</w:t>
      </w:r>
      <w:r w:rsidRPr="00012502">
        <w:rPr>
          <w:rFonts w:ascii="Narkisim" w:hAnsi="Narkisim"/>
          <w:b/>
          <w:bCs/>
          <w:rtl/>
        </w:rPr>
        <w:t>תוס'</w:t>
      </w:r>
      <w:r w:rsidRPr="00012502">
        <w:rPr>
          <w:rFonts w:ascii="Narkisim" w:hAnsi="Narkisim"/>
          <w:rtl/>
        </w:rPr>
        <w:t xml:space="preserve"> </w:t>
      </w:r>
      <w:r w:rsidRPr="00012502">
        <w:rPr>
          <w:rFonts w:ascii="Narkisim" w:hAnsi="Narkisim"/>
          <w:szCs w:val="20"/>
          <w:rtl/>
        </w:rPr>
        <w:t>(זבחים לב:, וריטב"א כאן)</w:t>
      </w:r>
      <w:r w:rsidRPr="00012502">
        <w:rPr>
          <w:rFonts w:ascii="Narkisim" w:hAnsi="Narkisim"/>
          <w:rtl/>
        </w:rPr>
        <w:t xml:space="preserve"> כת' דלפ"ז מתיישב היאך ר' יוחנן פליג אברייתא.</w:t>
      </w:r>
    </w:p>
    <w:p w14:paraId="4CF7551A" w14:textId="77777777" w:rsidR="00BE1D1C" w:rsidRPr="00012502" w:rsidRDefault="00000000" w:rsidP="00012502">
      <w:pPr>
        <w:pStyle w:val="a8"/>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הק' מהמשנה (כלים א ח) דמותר לטבול יום בהר הבית. וה</w:t>
      </w:r>
      <w:r w:rsidRPr="00012502">
        <w:rPr>
          <w:rFonts w:ascii="Narkisim" w:hAnsi="Narkisim"/>
          <w:b/>
          <w:bCs/>
          <w:rtl/>
        </w:rPr>
        <w:t>ר"ש</w:t>
      </w:r>
      <w:r w:rsidRPr="00012502">
        <w:rPr>
          <w:rFonts w:ascii="Narkisim" w:hAnsi="Narkisim"/>
          <w:rtl/>
        </w:rPr>
        <w:t xml:space="preserve"> (כלים שם) נקט דהמשנה קאי אף בטבול יום דזב, וכמ"ד טבול יום דזב לאו כזב דמי. ולדעת רש"י צ"ל דהך משנה בטבול יום דשאר טומאות. אבל טבול יום דזב כזב</w:t>
      </w:r>
      <w:r w:rsidRPr="00012502">
        <w:rPr>
          <w:rStyle w:val="ac"/>
          <w:rFonts w:ascii="Narkisim" w:hAnsi="Narkisim"/>
          <w:rtl/>
        </w:rPr>
        <w:footnoteReference w:id="397"/>
      </w:r>
      <w:r w:rsidRPr="00012502">
        <w:rPr>
          <w:rFonts w:ascii="Narkisim" w:hAnsi="Narkisim"/>
          <w:rtl/>
        </w:rPr>
        <w:t>.</w:t>
      </w:r>
    </w:p>
    <w:p w14:paraId="4788B4BD" w14:textId="77777777" w:rsidR="00BE1D1C" w:rsidRPr="00012502" w:rsidRDefault="00000000" w:rsidP="00012502">
      <w:pPr>
        <w:pStyle w:val="a8"/>
        <w:bidi/>
        <w:rPr>
          <w:rFonts w:ascii="Narkisim" w:hAnsi="Narkisim"/>
        </w:rPr>
      </w:pPr>
      <w:r w:rsidRPr="00012502">
        <w:rPr>
          <w:rFonts w:ascii="Narkisim" w:hAnsi="Narkisim"/>
          <w:rtl/>
        </w:rPr>
        <w:t xml:space="preserve">אבל </w:t>
      </w:r>
      <w:r w:rsidRPr="00012502">
        <w:rPr>
          <w:rFonts w:ascii="Narkisim" w:hAnsi="Narkisim"/>
          <w:b/>
          <w:bCs/>
          <w:rtl/>
        </w:rPr>
        <w:t>רע"א</w:t>
      </w:r>
      <w:r w:rsidRPr="00012502">
        <w:rPr>
          <w:rFonts w:ascii="Narkisim" w:hAnsi="Narkisim"/>
          <w:rtl/>
        </w:rPr>
        <w:t xml:space="preserve"> (בגהש"ס, וכן הביא הריטב"א) הק' ממתני' דתמיד (א א) דבעל קרי טבל ובא לו אצל הכהנים, בעודו טבול יום ישב בהר הבית. [וצ"ל דמתני' ס"ל כמ"ד טבו"י דזב לאו כזב].</w:t>
      </w:r>
    </w:p>
    <w:p w14:paraId="628A9EE2"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xml:space="preserve">' (זבחים) הקשו דאי טבו"י דזב כזב א"כ יש גם לאו, והיאך עשה ידחה ל"ת ועשה. </w:t>
      </w:r>
      <w:r w:rsidRPr="00012502">
        <w:rPr>
          <w:rFonts w:ascii="Narkisim" w:hAnsi="Narkisim"/>
          <w:szCs w:val="20"/>
          <w:rtl/>
        </w:rPr>
        <w:t>ותוס' הביאו דילפי' דאין בזה חיוב כרת. אבל רע"א נקט דיש רק עשה</w:t>
      </w:r>
      <w:r w:rsidRPr="00012502">
        <w:rPr>
          <w:rFonts w:ascii="Narkisim" w:hAnsi="Narkisim"/>
          <w:rtl/>
        </w:rPr>
        <w:t>.</w:t>
      </w:r>
    </w:p>
    <w:p w14:paraId="7AFE3757" w14:textId="77777777" w:rsidR="00BE1D1C" w:rsidRPr="00012502" w:rsidRDefault="00000000" w:rsidP="00012502">
      <w:pPr>
        <w:pStyle w:val="a7"/>
        <w:bidi/>
        <w:rPr>
          <w:rFonts w:ascii="Narkisim" w:hAnsi="Narkisim"/>
        </w:rPr>
      </w:pPr>
      <w:r w:rsidRPr="00012502">
        <w:rPr>
          <w:rFonts w:ascii="Narkisim" w:hAnsi="Narkisim"/>
          <w:sz w:val="20"/>
          <w:szCs w:val="20"/>
          <w:rtl/>
        </w:rPr>
        <w:t>וה</w:t>
      </w:r>
      <w:r w:rsidRPr="00012502">
        <w:rPr>
          <w:rFonts w:ascii="Narkisim" w:hAnsi="Narkisim"/>
          <w:b/>
          <w:bCs/>
          <w:sz w:val="20"/>
          <w:szCs w:val="20"/>
          <w:rtl/>
        </w:rPr>
        <w:t>אחרונים</w:t>
      </w:r>
      <w:r w:rsidRPr="00012502">
        <w:rPr>
          <w:rFonts w:ascii="Narkisim" w:hAnsi="Narkisim"/>
          <w:sz w:val="20"/>
          <w:szCs w:val="20"/>
          <w:rtl/>
        </w:rPr>
        <w:t xml:space="preserve"> כתבו ליישב דהכא הותר משום פסח, ע"פ מש"כ </w:t>
      </w:r>
      <w:r w:rsidRPr="00012502">
        <w:rPr>
          <w:rFonts w:ascii="Narkisim" w:hAnsi="Narkisim"/>
          <w:b/>
          <w:bCs/>
          <w:sz w:val="20"/>
          <w:szCs w:val="20"/>
          <w:rtl/>
        </w:rPr>
        <w:t>תוס</w:t>
      </w:r>
      <w:r w:rsidRPr="00012502">
        <w:rPr>
          <w:rFonts w:ascii="Narkisim" w:hAnsi="Narkisim"/>
          <w:sz w:val="20"/>
          <w:szCs w:val="20"/>
          <w:rtl/>
        </w:rPr>
        <w:t xml:space="preserve">' (זבחים לג: ד"ה לענין) דעשה [דפסח] שיש </w:t>
      </w:r>
      <w:r w:rsidRPr="00012502">
        <w:rPr>
          <w:rFonts w:ascii="Narkisim" w:hAnsi="Narkisim"/>
          <w:sz w:val="20"/>
          <w:szCs w:val="20"/>
          <w:rtl/>
        </w:rPr>
        <w:lastRenderedPageBreak/>
        <w:t>בו כרת חמור ודחי ל"ת ועשה</w:t>
      </w:r>
      <w:r w:rsidRPr="00012502">
        <w:rPr>
          <w:rStyle w:val="ac"/>
          <w:rFonts w:ascii="Narkisim" w:hAnsi="Narkisim"/>
          <w:sz w:val="20"/>
          <w:szCs w:val="20"/>
          <w:rtl/>
        </w:rPr>
        <w:footnoteReference w:id="398"/>
      </w:r>
      <w:r w:rsidRPr="00012502">
        <w:rPr>
          <w:rFonts w:ascii="Narkisim" w:hAnsi="Narkisim"/>
          <w:sz w:val="20"/>
          <w:szCs w:val="20"/>
          <w:rtl/>
        </w:rPr>
        <w:t xml:space="preserve">. אבל </w:t>
      </w:r>
      <w:r w:rsidRPr="00012502">
        <w:rPr>
          <w:rFonts w:ascii="Narkisim" w:hAnsi="Narkisim"/>
          <w:b/>
          <w:bCs/>
          <w:sz w:val="20"/>
          <w:szCs w:val="20"/>
          <w:rtl/>
        </w:rPr>
        <w:t>תוס</w:t>
      </w:r>
      <w:r w:rsidRPr="00012502">
        <w:rPr>
          <w:rFonts w:ascii="Narkisim" w:hAnsi="Narkisim"/>
          <w:sz w:val="20"/>
          <w:szCs w:val="20"/>
          <w:rtl/>
        </w:rPr>
        <w:t>' (חולין עח.) מבואר דעשה דפסח לא דחי לל"ת ועשה דמחוסר זמן.</w:t>
      </w:r>
    </w:p>
    <w:p w14:paraId="059DEC63" w14:textId="77777777" w:rsidR="00BE1D1C" w:rsidRPr="00012502" w:rsidRDefault="00000000" w:rsidP="00012502">
      <w:pPr>
        <w:pStyle w:val="aa"/>
        <w:bidi/>
        <w:rPr>
          <w:rFonts w:ascii="Narkisim" w:hAnsi="Narkisim"/>
        </w:rPr>
      </w:pPr>
      <w:r w:rsidRPr="00012502">
        <w:rPr>
          <w:rFonts w:ascii="Narkisim" w:hAnsi="Narkisim"/>
          <w:u w:val="single"/>
          <w:rtl/>
        </w:rPr>
        <w:t>בא"ד אלא לענין ביאת מקדש וכו'</w:t>
      </w:r>
      <w:r w:rsidRPr="00012502">
        <w:rPr>
          <w:rFonts w:ascii="Narkisim" w:hAnsi="Narkisim"/>
          <w:rtl/>
        </w:rPr>
        <w:t>. יש שביארו ע"פ דברי ה</w:t>
      </w:r>
      <w:r w:rsidRPr="00012502">
        <w:rPr>
          <w:rFonts w:ascii="Narkisim" w:hAnsi="Narkisim"/>
          <w:b/>
          <w:bCs/>
          <w:rtl/>
        </w:rPr>
        <w:t xml:space="preserve">גרי"ז </w:t>
      </w:r>
      <w:r w:rsidRPr="00012502">
        <w:rPr>
          <w:rFonts w:ascii="Narkisim" w:hAnsi="Narkisim"/>
          <w:rtl/>
        </w:rPr>
        <w:t>(הל' פרה) דטבול יום דזב נחשב פסול הגוף כזב, אבל לענין ביאת מקדש תליא 'בטומאה', ולא בפסול הגוף.</w:t>
      </w:r>
    </w:p>
    <w:p w14:paraId="1682351C" w14:textId="77777777" w:rsidR="00BE1D1C" w:rsidRPr="00012502" w:rsidRDefault="00000000" w:rsidP="00012502">
      <w:pPr>
        <w:pStyle w:val="aa"/>
        <w:bidi/>
        <w:rPr>
          <w:rFonts w:ascii="Narkisim" w:hAnsi="Narkisim"/>
        </w:rPr>
      </w:pPr>
      <w:r w:rsidRPr="00012502">
        <w:rPr>
          <w:rFonts w:ascii="Narkisim" w:hAnsi="Narkisim"/>
          <w:u w:val="single"/>
          <w:rtl/>
        </w:rPr>
        <w:t>תוד"ה ואמר עולא.</w:t>
      </w:r>
      <w:r w:rsidRPr="00012502">
        <w:rPr>
          <w:rFonts w:ascii="Narkisim" w:hAnsi="Narkisim"/>
          <w:rtl/>
        </w:rPr>
        <w:t xml:space="preserve"> אבל ביאה במקצת לא כתיב בהדיא. ה</w:t>
      </w:r>
      <w:r w:rsidRPr="00012502">
        <w:rPr>
          <w:rFonts w:ascii="Narkisim" w:hAnsi="Narkisim"/>
          <w:b/>
          <w:bCs/>
          <w:rtl/>
        </w:rPr>
        <w:t>קוב"ש</w:t>
      </w:r>
      <w:r w:rsidRPr="00012502">
        <w:rPr>
          <w:rFonts w:ascii="Narkisim" w:hAnsi="Narkisim"/>
          <w:rtl/>
        </w:rPr>
        <w:t xml:space="preserve"> (קונ' ד"ס א יט) הביא מכאן דדבר שנלמד מדרשא קיל ממה שמפורש בתורה [דכיון שהתורה האריכה בזה אנו רואים שהוא חשוב יותר], אף דתרוייהו הוה מדאורייתא.</w:t>
      </w:r>
    </w:p>
    <w:p w14:paraId="1C3C2DEB" w14:textId="77777777" w:rsidR="00BE1D1C" w:rsidRPr="00012502" w:rsidRDefault="00000000" w:rsidP="00012502">
      <w:pPr>
        <w:bidi/>
        <w:rPr>
          <w:rFonts w:ascii="Narkisim" w:hAnsi="Narkisim" w:cs="Narkisim"/>
        </w:rPr>
      </w:pPr>
      <w:r w:rsidRPr="00012502">
        <w:rPr>
          <w:rFonts w:ascii="Narkisim" w:hAnsi="Narkisim" w:cs="Narkisim"/>
          <w:u w:val="single"/>
          <w:rtl/>
        </w:rPr>
        <w:t>בא"ד ועוי"ל כיון דאפשר ע"י ביאה במקצת אם יכנס כולו חייב.</w:t>
      </w:r>
      <w:r w:rsidRPr="00012502">
        <w:rPr>
          <w:rFonts w:ascii="Narkisim" w:hAnsi="Narkisim" w:cs="Narkisim"/>
          <w:rtl/>
        </w:rPr>
        <w:t xml:space="preserve"> ה</w:t>
      </w:r>
      <w:r w:rsidRPr="00012502">
        <w:rPr>
          <w:rFonts w:ascii="Narkisim" w:hAnsi="Narkisim" w:cs="Narkisim"/>
          <w:b/>
          <w:bCs/>
          <w:rtl/>
        </w:rPr>
        <w:t>קובה"ע</w:t>
      </w:r>
      <w:r w:rsidRPr="00012502">
        <w:rPr>
          <w:rFonts w:ascii="Narkisim" w:hAnsi="Narkisim" w:cs="Narkisim"/>
          <w:rtl/>
        </w:rPr>
        <w:t xml:space="preserve"> (יט א) חקר בגדר ביאה במקצת, האם חייב על מקצת גופו שנכנס [אפי' שאינו גוף שלם], או דנחשב כאילו כולו נכנס</w:t>
      </w:r>
      <w:r w:rsidRPr="00012502">
        <w:rPr>
          <w:rStyle w:val="ac"/>
          <w:rFonts w:ascii="Narkisim" w:hAnsi="Narkisim" w:cs="Narkisim"/>
          <w:rtl/>
        </w:rPr>
        <w:footnoteReference w:id="399"/>
      </w:r>
      <w:r w:rsidRPr="00012502">
        <w:rPr>
          <w:rFonts w:ascii="Narkisim" w:hAnsi="Narkisim" w:cs="Narkisim"/>
          <w:rtl/>
        </w:rPr>
        <w:t>.</w:t>
      </w:r>
    </w:p>
    <w:p w14:paraId="4BBA536E" w14:textId="77777777" w:rsidR="00BE1D1C" w:rsidRPr="00012502" w:rsidRDefault="00000000" w:rsidP="00012502">
      <w:pPr>
        <w:pStyle w:val="a7"/>
        <w:bidi/>
        <w:rPr>
          <w:rFonts w:ascii="Narkisim" w:hAnsi="Narkisim"/>
        </w:rPr>
      </w:pPr>
      <w:r w:rsidRPr="00012502">
        <w:rPr>
          <w:rFonts w:ascii="Narkisim" w:hAnsi="Narkisim"/>
          <w:rtl/>
        </w:rPr>
        <w:t>והקובה"ע דן דנח' בזה תי' התוס', דלתי' הב' יש תוספת כניסה בכל חלק, אבל לתי' הא' אחרי שנכנס מקצת, ככולו נכנס, ואין הבדל בין מכניס אצבע לה' אצבעות או כולו. וה</w:t>
      </w:r>
      <w:r w:rsidRPr="00012502">
        <w:rPr>
          <w:rFonts w:ascii="Narkisim" w:hAnsi="Narkisim"/>
          <w:b/>
          <w:bCs/>
          <w:rtl/>
        </w:rPr>
        <w:t>קה"י</w:t>
      </w:r>
      <w:r w:rsidRPr="00012502">
        <w:rPr>
          <w:rFonts w:ascii="Narkisim" w:hAnsi="Narkisim"/>
          <w:rtl/>
        </w:rPr>
        <w:t xml:space="preserve"> (זבחים כד) כתב דאף לתי' הב' של תוס' נחשב כאילו נכנס כולו, דאל"כ כל מה שמכניס הוה ככניסה מחודשת. ואפי' הכי נחשב מרבה בפסיעות.</w:t>
      </w:r>
    </w:p>
    <w:p w14:paraId="461F929B"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וה</w:t>
      </w:r>
      <w:r w:rsidRPr="00012502">
        <w:rPr>
          <w:rFonts w:ascii="Narkisim" w:hAnsi="Narkisim"/>
          <w:b/>
          <w:bCs/>
          <w:rtl/>
        </w:rPr>
        <w:t>רמב"ם</w:t>
      </w:r>
      <w:r w:rsidRPr="00012502">
        <w:rPr>
          <w:rFonts w:ascii="Narkisim" w:hAnsi="Narkisim"/>
          <w:rtl/>
        </w:rPr>
        <w:t xml:space="preserve"> (ביאמ"ק ג יח) פסק דטמא שהכניס ידיו למקדש הוה דרבנן. וה</w:t>
      </w:r>
      <w:r w:rsidRPr="00012502">
        <w:rPr>
          <w:rFonts w:ascii="Narkisim" w:hAnsi="Narkisim"/>
          <w:b/>
          <w:bCs/>
          <w:rtl/>
        </w:rPr>
        <w:t>ראב"ד</w:t>
      </w:r>
      <w:r w:rsidRPr="00012502">
        <w:rPr>
          <w:rFonts w:ascii="Narkisim" w:hAnsi="Narkisim"/>
          <w:rtl/>
        </w:rPr>
        <w:t xml:space="preserve"> השיג דבסוגיין מבואר דביאה במקצת שמה ביאה</w:t>
      </w:r>
      <w:r w:rsidRPr="00012502">
        <w:rPr>
          <w:rStyle w:val="ac"/>
          <w:rFonts w:ascii="Narkisim" w:hAnsi="Narkisim"/>
          <w:rtl/>
        </w:rPr>
        <w:footnoteReference w:id="400"/>
      </w:r>
      <w:r w:rsidRPr="00012502">
        <w:rPr>
          <w:rFonts w:ascii="Narkisim" w:hAnsi="Narkisim"/>
          <w:rtl/>
        </w:rPr>
        <w:t>. וה</w:t>
      </w:r>
      <w:r w:rsidRPr="00012502">
        <w:rPr>
          <w:rFonts w:ascii="Narkisim" w:hAnsi="Narkisim"/>
          <w:b/>
          <w:bCs/>
          <w:rtl/>
        </w:rPr>
        <w:t>אחרונים</w:t>
      </w:r>
      <w:r w:rsidRPr="00012502">
        <w:rPr>
          <w:rFonts w:ascii="Narkisim" w:hAnsi="Narkisim"/>
          <w:rtl/>
        </w:rPr>
        <w:t xml:space="preserve"> ביארו דהרמב"ם נקט דרבא ס"ל דביאה במקצת לאו שמה ביאה [וכמ"ש תוס' ח. בחד תי']. וה</w:t>
      </w:r>
      <w:r w:rsidRPr="00012502">
        <w:rPr>
          <w:rFonts w:ascii="Narkisim" w:hAnsi="Narkisim"/>
          <w:b/>
          <w:bCs/>
          <w:rtl/>
        </w:rPr>
        <w:t>מאירי</w:t>
      </w:r>
      <w:r w:rsidRPr="00012502">
        <w:rPr>
          <w:rFonts w:ascii="Narkisim" w:hAnsi="Narkisim"/>
          <w:rtl/>
        </w:rPr>
        <w:t xml:space="preserve"> הוסיף דכ"ד ר' יוחנן, ומש"ה ס"ל דהוה רק דרבנן</w:t>
      </w:r>
      <w:r w:rsidRPr="00012502">
        <w:rPr>
          <w:rStyle w:val="ac"/>
          <w:rFonts w:ascii="Narkisim" w:hAnsi="Narkisim"/>
          <w:rtl/>
        </w:rPr>
        <w:footnoteReference w:id="401"/>
      </w:r>
      <w:r w:rsidRPr="00012502">
        <w:rPr>
          <w:rFonts w:ascii="Narkisim" w:hAnsi="Narkisim"/>
          <w:rtl/>
        </w:rPr>
        <w:t>.</w:t>
      </w:r>
    </w:p>
    <w:p w14:paraId="44481083" w14:textId="77777777" w:rsidR="00BE1D1C" w:rsidRPr="00012502" w:rsidRDefault="00000000" w:rsidP="00012502">
      <w:pPr>
        <w:pStyle w:val="3"/>
        <w:bidi/>
        <w:rPr>
          <w:rFonts w:ascii="Narkisim" w:hAnsi="Narkisim"/>
        </w:rPr>
      </w:pPr>
      <w:r w:rsidRPr="00012502">
        <w:rPr>
          <w:rFonts w:ascii="Narkisim" w:hAnsi="Narkisim"/>
          <w:rtl/>
        </w:rPr>
        <w:t>דף ח.</w:t>
      </w:r>
    </w:p>
    <w:p w14:paraId="1BAE4104" w14:textId="77777777" w:rsidR="00BE1D1C" w:rsidRPr="00012502" w:rsidRDefault="00000000" w:rsidP="00012502">
      <w:pPr>
        <w:pStyle w:val="aa"/>
        <w:bidi/>
        <w:rPr>
          <w:rFonts w:ascii="Narkisim" w:hAnsi="Narkisim"/>
        </w:rPr>
      </w:pPr>
      <w:r w:rsidRPr="00012502">
        <w:rPr>
          <w:rFonts w:ascii="Narkisim" w:hAnsi="Narkisim"/>
          <w:u w:val="single"/>
          <w:rtl/>
        </w:rPr>
        <w:t>תינח היכא דנשא מת ואח"כ נשא חי וכו'.</w:t>
      </w:r>
      <w:r w:rsidRPr="00012502">
        <w:rPr>
          <w:rFonts w:ascii="Narkisim" w:hAnsi="Narkisim"/>
          <w:rtl/>
        </w:rPr>
        <w:t xml:space="preserve"> פ</w:t>
      </w:r>
      <w:r w:rsidRPr="00012502">
        <w:rPr>
          <w:rFonts w:ascii="Narkisim" w:hAnsi="Narkisim"/>
          <w:b/>
          <w:bCs/>
          <w:rtl/>
        </w:rPr>
        <w:t>רש"י</w:t>
      </w:r>
      <w:r w:rsidRPr="00012502">
        <w:rPr>
          <w:rFonts w:ascii="Narkisim" w:hAnsi="Narkisim"/>
          <w:rtl/>
        </w:rPr>
        <w:t xml:space="preserve"> ונתוספת איסור אחות אשה, וכשהותר המוקדם וכו'. אבל נשא חי קודם, וכשנשא אחיו ניתוסף איסור אשת אח, אע"ג דהותר האיסור האחרון, איסור הראשון עומד במקומו</w:t>
      </w:r>
      <w:r w:rsidRPr="00012502">
        <w:rPr>
          <w:rStyle w:val="ac"/>
          <w:rFonts w:ascii="Narkisim" w:hAnsi="Narkisim"/>
          <w:rtl/>
        </w:rPr>
        <w:footnoteReference w:id="402"/>
      </w:r>
      <w:r w:rsidRPr="00012502">
        <w:rPr>
          <w:rFonts w:ascii="Narkisim" w:hAnsi="Narkisim"/>
          <w:rtl/>
        </w:rPr>
        <w:t>. משמע דהסברא דהאיסור שקדם אלים, ומש"ה כשהותר, עי"ז הותר אף את האיסור השני. אבל לא מהני גדר 'הואיל ואשתרי' להתיר איסור שקדם</w:t>
      </w:r>
      <w:r w:rsidRPr="00012502">
        <w:rPr>
          <w:rStyle w:val="ac"/>
          <w:rFonts w:ascii="Narkisim" w:hAnsi="Narkisim"/>
          <w:rtl/>
        </w:rPr>
        <w:footnoteReference w:id="403"/>
      </w:r>
      <w:r w:rsidRPr="00012502">
        <w:rPr>
          <w:rFonts w:ascii="Narkisim" w:hAnsi="Narkisim"/>
          <w:rtl/>
        </w:rPr>
        <w:t>.</w:t>
      </w:r>
    </w:p>
    <w:p w14:paraId="0700FE9D" w14:textId="77777777" w:rsidR="00BE1D1C" w:rsidRPr="00012502" w:rsidRDefault="00000000" w:rsidP="00012502">
      <w:pPr>
        <w:bidi/>
        <w:rPr>
          <w:rFonts w:ascii="Narkisim" w:hAnsi="Narkisim" w:cs="Narkisim"/>
        </w:rPr>
      </w:pPr>
      <w:r w:rsidRPr="00012502">
        <w:rPr>
          <w:rFonts w:ascii="Narkisim" w:hAnsi="Narkisim" w:cs="Narkisim"/>
          <w:u w:val="single"/>
          <w:rtl/>
        </w:rPr>
        <w:t>תינח היכא דנשא מת ומת דחזי ליה ביני וביני וכו'.</w:t>
      </w:r>
      <w:r w:rsidRPr="00012502">
        <w:rPr>
          <w:rFonts w:ascii="Narkisim" w:hAnsi="Narkisim" w:cs="Narkisim"/>
          <w:rtl/>
        </w:rPr>
        <w:t xml:space="preserve"> פ</w:t>
      </w:r>
      <w:r w:rsidRPr="00012502">
        <w:rPr>
          <w:rFonts w:ascii="Narkisim" w:hAnsi="Narkisim" w:cs="Narkisim"/>
          <w:b/>
          <w:bCs/>
          <w:rtl/>
        </w:rPr>
        <w:t xml:space="preserve">רש"י </w:t>
      </w:r>
      <w:r w:rsidRPr="00012502">
        <w:rPr>
          <w:rFonts w:ascii="Narkisim" w:hAnsi="Narkisim" w:cs="Narkisim"/>
          <w:rtl/>
        </w:rPr>
        <w:t>שכבר היה מותר מאיסור הראשון קודם וכו'. ה</w:t>
      </w:r>
      <w:r w:rsidRPr="00012502">
        <w:rPr>
          <w:rFonts w:ascii="Narkisim" w:hAnsi="Narkisim" w:cs="Narkisim"/>
          <w:b/>
          <w:bCs/>
          <w:rtl/>
        </w:rPr>
        <w:t>קובה"ע</w:t>
      </w:r>
      <w:r w:rsidRPr="00012502">
        <w:rPr>
          <w:rFonts w:ascii="Narkisim" w:hAnsi="Narkisim" w:cs="Narkisim"/>
          <w:rtl/>
        </w:rPr>
        <w:t xml:space="preserve"> (יא ח) כת' דיל"פ דהואיל ואישתרי מהני רק לענין שהאיסור לא חל. אבל אם כבר חל איסור אינו נפקע אח"כ </w:t>
      </w:r>
      <w:r w:rsidRPr="00012502">
        <w:rPr>
          <w:rFonts w:ascii="Narkisim" w:hAnsi="Narkisim" w:cs="Narkisim"/>
          <w:sz w:val="20"/>
          <w:szCs w:val="20"/>
          <w:rtl/>
        </w:rPr>
        <w:t>[ולפ"ז ה"ה בבת אחת שייך הואיל ואישתרי]</w:t>
      </w:r>
      <w:r w:rsidRPr="00012502">
        <w:rPr>
          <w:rFonts w:ascii="Narkisim" w:hAnsi="Narkisim" w:cs="Narkisim"/>
          <w:rtl/>
        </w:rPr>
        <w:t xml:space="preserve">. א"נ יל"פ שיש סברא נגדי, מאי חזית דאזלת בתר היתירא, זיל בתר איסורא ולא להתיר כלל. </w:t>
      </w:r>
      <w:r w:rsidRPr="00012502">
        <w:rPr>
          <w:rFonts w:ascii="Narkisim" w:hAnsi="Narkisim" w:cs="Narkisim"/>
          <w:sz w:val="20"/>
          <w:szCs w:val="20"/>
          <w:rtl/>
        </w:rPr>
        <w:t>וכ"כ ה</w:t>
      </w:r>
      <w:r w:rsidRPr="00012502">
        <w:rPr>
          <w:rFonts w:ascii="Narkisim" w:hAnsi="Narkisim" w:cs="Narkisim"/>
          <w:b/>
          <w:bCs/>
          <w:sz w:val="20"/>
          <w:szCs w:val="20"/>
          <w:rtl/>
        </w:rPr>
        <w:t>אמר"מ</w:t>
      </w:r>
      <w:r w:rsidRPr="00012502">
        <w:rPr>
          <w:rFonts w:ascii="Narkisim" w:hAnsi="Narkisim" w:cs="Narkisim"/>
          <w:sz w:val="20"/>
          <w:szCs w:val="20"/>
          <w:rtl/>
        </w:rPr>
        <w:t xml:space="preserve"> (ה כב) וה</w:t>
      </w:r>
      <w:r w:rsidRPr="00012502">
        <w:rPr>
          <w:rFonts w:ascii="Narkisim" w:hAnsi="Narkisim" w:cs="Narkisim"/>
          <w:b/>
          <w:bCs/>
          <w:sz w:val="20"/>
          <w:szCs w:val="20"/>
          <w:rtl/>
        </w:rPr>
        <w:t>אחיעזר</w:t>
      </w:r>
      <w:r w:rsidRPr="00012502">
        <w:rPr>
          <w:rFonts w:ascii="Narkisim" w:hAnsi="Narkisim" w:cs="Narkisim"/>
          <w:sz w:val="20"/>
          <w:szCs w:val="20"/>
          <w:rtl/>
        </w:rPr>
        <w:t xml:space="preserve"> (ד ג).</w:t>
      </w:r>
      <w:r w:rsidRPr="00012502">
        <w:rPr>
          <w:rFonts w:ascii="Narkisim" w:hAnsi="Narkisim" w:cs="Narkisim"/>
          <w:rtl/>
        </w:rPr>
        <w:t xml:space="preserve"> וכ"כ ה</w:t>
      </w:r>
      <w:r w:rsidRPr="00012502">
        <w:rPr>
          <w:rFonts w:ascii="Narkisim" w:hAnsi="Narkisim" w:cs="Narkisim"/>
          <w:b/>
          <w:bCs/>
          <w:rtl/>
        </w:rPr>
        <w:t>ריטב"א</w:t>
      </w:r>
      <w:r w:rsidRPr="00012502">
        <w:rPr>
          <w:rFonts w:ascii="Narkisim" w:hAnsi="Narkisim" w:cs="Narkisim"/>
          <w:rtl/>
        </w:rPr>
        <w:t xml:space="preserve"> דאדרבה אמרי' כיון דנוסף ביה איסור קודם ההיתר הראשון, לא לישתרי כלל.</w:t>
      </w:r>
    </w:p>
    <w:p w14:paraId="4C347D70" w14:textId="77777777" w:rsidR="00BE1D1C" w:rsidRPr="00012502" w:rsidRDefault="00000000" w:rsidP="00012502">
      <w:pPr>
        <w:bidi/>
        <w:rPr>
          <w:rFonts w:ascii="Narkisim" w:hAnsi="Narkisim" w:cs="Narkisim"/>
        </w:rPr>
      </w:pPr>
      <w:r w:rsidRPr="00012502">
        <w:rPr>
          <w:rFonts w:ascii="Narkisim" w:hAnsi="Narkisim" w:cs="Narkisim"/>
          <w:u w:val="single"/>
          <w:rtl/>
        </w:rPr>
        <w:t>שם. דנשא מת ומת, ואח"כ נשא חי.</w:t>
      </w:r>
      <w:r w:rsidRPr="00012502">
        <w:rPr>
          <w:rFonts w:ascii="Narkisim" w:hAnsi="Narkisim" w:cs="Narkisim"/>
          <w:rtl/>
        </w:rPr>
        <w:t xml:space="preserve"> דמת אחיו ונפלה לפניו ליבום, ואח"כ נשא אחותה. ה</w:t>
      </w:r>
      <w:r w:rsidRPr="00012502">
        <w:rPr>
          <w:rFonts w:ascii="Narkisim" w:hAnsi="Narkisim" w:cs="Narkisim"/>
          <w:b/>
          <w:bCs/>
          <w:rtl/>
        </w:rPr>
        <w:t>תו"י</w:t>
      </w:r>
      <w:r w:rsidRPr="00012502">
        <w:rPr>
          <w:rFonts w:ascii="Narkisim" w:hAnsi="Narkisim" w:cs="Narkisim"/>
          <w:rtl/>
        </w:rPr>
        <w:t xml:space="preserve"> וה</w:t>
      </w:r>
      <w:r w:rsidRPr="00012502">
        <w:rPr>
          <w:rFonts w:ascii="Narkisim" w:hAnsi="Narkisim" w:cs="Narkisim"/>
          <w:b/>
          <w:bCs/>
          <w:rtl/>
        </w:rPr>
        <w:t>מאירי</w:t>
      </w:r>
      <w:r w:rsidRPr="00012502">
        <w:rPr>
          <w:rFonts w:ascii="Narkisim" w:hAnsi="Narkisim" w:cs="Narkisim"/>
          <w:rtl/>
        </w:rPr>
        <w:t xml:space="preserve"> (ג:) הק' האיך נשאה, הא הוה אחות זקוקתו. </w:t>
      </w:r>
      <w:r w:rsidRPr="00012502">
        <w:rPr>
          <w:rFonts w:ascii="Narkisim" w:hAnsi="Narkisim" w:cs="Narkisim"/>
          <w:szCs w:val="20"/>
          <w:rtl/>
        </w:rPr>
        <w:t>[ומבואר בסוגיות (לקמן יז: ועוד) דלמ"ד יש זיקה אסורה עליו כאחות אשתו</w:t>
      </w:r>
      <w:r w:rsidRPr="00012502">
        <w:rPr>
          <w:rStyle w:val="ac"/>
          <w:rFonts w:ascii="Narkisim" w:hAnsi="Narkisim" w:cs="Narkisim"/>
          <w:szCs w:val="20"/>
          <w:rtl/>
        </w:rPr>
        <w:footnoteReference w:id="404"/>
      </w:r>
      <w:r w:rsidRPr="00012502">
        <w:rPr>
          <w:rFonts w:ascii="Narkisim" w:hAnsi="Narkisim" w:cs="Narkisim"/>
          <w:rtl/>
        </w:rPr>
        <w:t>]. וה</w:t>
      </w:r>
      <w:r w:rsidRPr="00012502">
        <w:rPr>
          <w:rFonts w:ascii="Narkisim" w:hAnsi="Narkisim" w:cs="Narkisim"/>
          <w:b/>
          <w:bCs/>
          <w:rtl/>
        </w:rPr>
        <w:t>תו"י</w:t>
      </w:r>
      <w:r w:rsidRPr="00012502">
        <w:rPr>
          <w:rFonts w:ascii="Narkisim" w:hAnsi="Narkisim" w:cs="Narkisim"/>
          <w:rtl/>
        </w:rPr>
        <w:t xml:space="preserve"> תי' דאף שאסורה מדרבנן, מ"מ מדאורייתא בעי קרא.</w:t>
      </w:r>
    </w:p>
    <w:p w14:paraId="14BD1891" w14:textId="77777777" w:rsidR="00BE1D1C" w:rsidRPr="00012502" w:rsidRDefault="00000000" w:rsidP="00012502">
      <w:pPr>
        <w:pStyle w:val="a8"/>
        <w:bidi/>
        <w:rPr>
          <w:rFonts w:ascii="Narkisim" w:hAnsi="Narkisim"/>
        </w:rPr>
      </w:pPr>
      <w:r w:rsidRPr="00012502">
        <w:rPr>
          <w:rFonts w:ascii="Narkisim" w:hAnsi="Narkisim"/>
          <w:rtl/>
        </w:rPr>
        <w:t>אך המאירי לא תי' כן. ויש שדייקו מדבריו דלמ"ד יש זיקה אסורה מדאורייתא [וע' לקמן יז:].</w:t>
      </w:r>
    </w:p>
    <w:p w14:paraId="3564353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מאירי</w:t>
      </w:r>
      <w:r w:rsidRPr="00012502">
        <w:rPr>
          <w:rFonts w:ascii="Narkisim" w:hAnsi="Narkisim"/>
          <w:rtl/>
        </w:rPr>
        <w:t xml:space="preserve"> תי' דאיירי בג' אחים, ואיירי ששמעון אחיו יבם ואח"כ החי נשא אחותה, וכשמת שמעון שוב נופלת לפניו. וכיון דהותר איסור אשת אח קודם [בנפילה ראשונה] ואיתחזי ביני </w:t>
      </w:r>
      <w:r w:rsidRPr="00012502">
        <w:rPr>
          <w:rFonts w:ascii="Narkisim" w:hAnsi="Narkisim"/>
          <w:rtl/>
        </w:rPr>
        <w:lastRenderedPageBreak/>
        <w:t>וביני, מש"ה אמרי' הואיל ואישתרי, ומהני להתיר איסור אחות אשה.</w:t>
      </w:r>
    </w:p>
    <w:p w14:paraId="605A3DD8" w14:textId="77777777" w:rsidR="00BE1D1C" w:rsidRPr="00012502" w:rsidRDefault="00000000" w:rsidP="00012502">
      <w:pPr>
        <w:pStyle w:val="a8"/>
        <w:bidi/>
        <w:rPr>
          <w:rFonts w:ascii="Narkisim" w:hAnsi="Narkisim"/>
        </w:rPr>
      </w:pPr>
      <w:r w:rsidRPr="00012502">
        <w:rPr>
          <w:rFonts w:ascii="Narkisim" w:hAnsi="Narkisim"/>
          <w:rtl/>
        </w:rPr>
        <w:t>וצ"ב מה מהני שהותר ביני וביני, מ"מ כיון שאחיו ייבם, שוב אסורה עליו [דהוה אשת אחיו השני], ובשעה שמת האח כבר קיים איסור אחות אשה, ובשעה זו יש ב' איסורין, והאיך הותר. וצ"ע</w:t>
      </w:r>
      <w:r w:rsidRPr="00012502">
        <w:rPr>
          <w:rStyle w:val="ac"/>
          <w:rFonts w:ascii="Narkisim" w:hAnsi="Narkisim"/>
          <w:rtl/>
        </w:rPr>
        <w:footnoteReference w:id="405"/>
      </w:r>
      <w:r w:rsidRPr="00012502">
        <w:rPr>
          <w:rFonts w:ascii="Narkisim" w:hAnsi="Narkisim"/>
          <w:rtl/>
        </w:rPr>
        <w:t>.</w:t>
      </w:r>
    </w:p>
    <w:p w14:paraId="01037086" w14:textId="77777777" w:rsidR="00BE1D1C" w:rsidRPr="00012502" w:rsidRDefault="00000000" w:rsidP="00012502">
      <w:pPr>
        <w:bidi/>
        <w:rPr>
          <w:rFonts w:ascii="Narkisim" w:hAnsi="Narkisim" w:cs="Narkisim"/>
        </w:rPr>
      </w:pPr>
      <w:r w:rsidRPr="00012502">
        <w:rPr>
          <w:rFonts w:ascii="Narkisim" w:hAnsi="Narkisim" w:cs="Narkisim"/>
          <w:u w:val="single"/>
          <w:rtl/>
        </w:rPr>
        <w:t>אלא כי איצטריך עליה היכא דנשא מת ומת ואח"כ נשא חי וכו'.</w:t>
      </w:r>
      <w:r w:rsidRPr="00012502">
        <w:rPr>
          <w:rFonts w:ascii="Narkisim" w:hAnsi="Narkisim" w:cs="Narkisim"/>
          <w:rtl/>
        </w:rPr>
        <w:t xml:space="preserve"> לפי תי' זה מבואר דפטור 'עליה' הוה [אף] היכא דנעשית ערוה אחרי הנפילה</w:t>
      </w:r>
      <w:r w:rsidRPr="00012502">
        <w:rPr>
          <w:rStyle w:val="ac"/>
          <w:rFonts w:ascii="Narkisim" w:hAnsi="Narkisim" w:cs="Narkisim"/>
          <w:rtl/>
        </w:rPr>
        <w:footnoteReference w:id="406"/>
      </w:r>
      <w:r w:rsidRPr="00012502">
        <w:rPr>
          <w:rFonts w:ascii="Narkisim" w:hAnsi="Narkisim" w:cs="Narkisim"/>
          <w:rtl/>
        </w:rPr>
        <w:t>.</w:t>
      </w:r>
    </w:p>
    <w:p w14:paraId="7C006B1D"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שואל</w:t>
      </w:r>
      <w:r w:rsidRPr="00012502">
        <w:rPr>
          <w:rFonts w:ascii="Narkisim" w:hAnsi="Narkisim"/>
          <w:rtl/>
        </w:rPr>
        <w:t xml:space="preserve"> בשו"ת הרשב"א (א שנח) הק' דמבואר (לקמן מא. לר' יהודה בן בתירא) דכשקידש אחות יבמתו [ונעשית ערוה לאחר נפילה] צריכה חליצה</w:t>
      </w:r>
      <w:r w:rsidRPr="00012502">
        <w:rPr>
          <w:rStyle w:val="ac"/>
          <w:rFonts w:ascii="Narkisim" w:hAnsi="Narkisim"/>
          <w:rtl/>
        </w:rPr>
        <w:footnoteReference w:id="407"/>
      </w:r>
      <w:r w:rsidRPr="00012502">
        <w:rPr>
          <w:rFonts w:ascii="Narkisim" w:hAnsi="Narkisim"/>
          <w:rtl/>
        </w:rPr>
        <w:t>. ובפשוטו מבואר דאינה פטורה מדין ערוה</w:t>
      </w:r>
      <w:r w:rsidRPr="00012502">
        <w:rPr>
          <w:rStyle w:val="ac"/>
          <w:rFonts w:ascii="Narkisim" w:hAnsi="Narkisim"/>
          <w:rtl/>
        </w:rPr>
        <w:footnoteReference w:id="408"/>
      </w:r>
      <w:r w:rsidRPr="00012502">
        <w:rPr>
          <w:rFonts w:ascii="Narkisim" w:hAnsi="Narkisim"/>
          <w:rtl/>
        </w:rPr>
        <w:t xml:space="preserve"> אלא בשעת נפילה</w:t>
      </w:r>
      <w:r w:rsidRPr="00012502">
        <w:rPr>
          <w:rStyle w:val="ac"/>
          <w:rFonts w:ascii="Narkisim" w:hAnsi="Narkisim"/>
          <w:rtl/>
        </w:rPr>
        <w:footnoteReference w:id="409"/>
      </w:r>
      <w:r w:rsidRPr="00012502">
        <w:rPr>
          <w:rFonts w:ascii="Narkisim" w:hAnsi="Narkisim"/>
          <w:rtl/>
        </w:rPr>
        <w:t>. ואילו בסוגיין מבואר דדרשי' בזה עליה.</w:t>
      </w:r>
    </w:p>
    <w:p w14:paraId="371A3EB5"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ראשונים</w:t>
      </w:r>
      <w:r w:rsidRPr="00012502">
        <w:rPr>
          <w:rFonts w:ascii="Narkisim" w:hAnsi="Narkisim"/>
          <w:rtl/>
        </w:rPr>
        <w:t xml:space="preserve"> (לקמן יח. ומא. ועוד) האריכו בדין קידש אחותה, האם מפקיע לזיקה. ודעת הרמב"ן לחלק בין קידש לנשא, דאינו בדין שתוציא מקודשת מפני מקודשת. [ובעזה"י יתבאר לקמן].</w:t>
      </w:r>
    </w:p>
    <w:p w14:paraId="04E47ED9"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רשב"א</w:t>
      </w:r>
      <w:r w:rsidRPr="00012502">
        <w:rPr>
          <w:rFonts w:ascii="Narkisim" w:hAnsi="Narkisim"/>
          <w:rtl/>
        </w:rPr>
        <w:t xml:space="preserve"> (בשו"ת הנ"ל) תי' דבסוגיין קאי שפטורה מדאורייתא, אך מדרבנן צריכה חליצה. [והאריך בזה].</w:t>
      </w:r>
    </w:p>
    <w:p w14:paraId="4CE2FD2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(ד ה) כת' דסוגיין קאי כמ"ד (שמואל ורב אסי לקמן מא.) דאף הותרה ונאסרה אינה חוזרת להתירה. דפטור ערוה הוה אף לאחר נפילה, ואמרי' 'נאסרה' אף לאחר נפילה. ובזה פליג רב ורב חנינא (מא.) דכיון דהותרה בשעת נפילה, אף דנעשית ערוה אח"כ לא אמרי' 'נאסרה', כיון דאינו גדר 'פטור ערוה'.</w:t>
      </w:r>
    </w:p>
    <w:p w14:paraId="3B17D050" w14:textId="77777777" w:rsidR="00BE1D1C" w:rsidRPr="00012502" w:rsidRDefault="00000000" w:rsidP="00012502">
      <w:pPr>
        <w:pStyle w:val="a8"/>
        <w:bidi/>
        <w:rPr>
          <w:rFonts w:ascii="Narkisim" w:hAnsi="Narkisim"/>
        </w:rPr>
      </w:pPr>
      <w:r w:rsidRPr="00012502">
        <w:rPr>
          <w:rFonts w:ascii="Narkisim" w:hAnsi="Narkisim"/>
          <w:rtl/>
        </w:rPr>
        <w:t>והקובה"ע הביא דלמש"כ הרשב"א (מא.) דטעם רב ורב חנינא דהותר לעולם, ואיסור אשת אח אינו חוזר [ואף דאינה זקוקה ליבום. ע' לקמן י:], א"כ ערוה דלאחר נפילה אינה גדר 'פטור', אלא דכיון דא"א לייבם ולחלוץ פקע הזיקה</w:t>
      </w:r>
      <w:r w:rsidRPr="00012502">
        <w:rPr>
          <w:rStyle w:val="ac"/>
          <w:rFonts w:ascii="Narkisim" w:hAnsi="Narkisim"/>
          <w:rtl/>
        </w:rPr>
        <w:footnoteReference w:id="410"/>
      </w:r>
      <w:r w:rsidRPr="00012502">
        <w:rPr>
          <w:rFonts w:ascii="Narkisim" w:hAnsi="Narkisim"/>
          <w:rtl/>
        </w:rPr>
        <w:t>.</w:t>
      </w:r>
    </w:p>
    <w:p w14:paraId="1B9F578B" w14:textId="77777777" w:rsidR="00BE1D1C" w:rsidRPr="00012502" w:rsidRDefault="00000000" w:rsidP="00012502">
      <w:pPr>
        <w:bidi/>
        <w:rPr>
          <w:rFonts w:ascii="Narkisim" w:hAnsi="Narkisim" w:cs="Narkisim"/>
        </w:rPr>
      </w:pPr>
      <w:r w:rsidRPr="00012502">
        <w:rPr>
          <w:rFonts w:ascii="Narkisim" w:hAnsi="Narkisim" w:cs="Narkisim"/>
          <w:rtl/>
        </w:rPr>
        <w:t>ורבה</w:t>
      </w:r>
      <w:r w:rsidRPr="00012502">
        <w:rPr>
          <w:rFonts w:ascii="Narkisim" w:hAnsi="Narkisim" w:cs="Narkisim"/>
          <w:b/>
          <w:bCs/>
          <w:rtl/>
        </w:rPr>
        <w:t xml:space="preserve"> </w:t>
      </w:r>
      <w:r w:rsidRPr="00012502">
        <w:rPr>
          <w:rFonts w:ascii="Narkisim" w:hAnsi="Narkisim" w:cs="Narkisim"/>
          <w:rtl/>
        </w:rPr>
        <w:t>(</w:t>
      </w:r>
      <w:r w:rsidRPr="00012502">
        <w:rPr>
          <w:rFonts w:ascii="Narkisim" w:hAnsi="Narkisim" w:cs="Narkisim"/>
          <w:szCs w:val="20"/>
          <w:rtl/>
        </w:rPr>
        <w:t>לקמן עט:)</w:t>
      </w:r>
      <w:r w:rsidRPr="00012502">
        <w:rPr>
          <w:rFonts w:ascii="Narkisim" w:hAnsi="Narkisim" w:cs="Narkisim"/>
          <w:rtl/>
        </w:rPr>
        <w:t xml:space="preserve"> תי' גבי פצוע דכא [לר"ע דחייבי לאוין כעריות], דהיכא דנפלה ולבסוף נהיה פצוע דכא צריכה חליצה</w:t>
      </w:r>
      <w:r w:rsidRPr="00012502">
        <w:rPr>
          <w:rFonts w:ascii="Narkisim" w:hAnsi="Narkisim" w:cs="Narkisim"/>
          <w:szCs w:val="20"/>
          <w:rtl/>
        </w:rPr>
        <w:t xml:space="preserve"> [אף לר' עקיבא]</w:t>
      </w:r>
      <w:r w:rsidRPr="00012502">
        <w:rPr>
          <w:rFonts w:ascii="Narkisim" w:hAnsi="Narkisim" w:cs="Narkisim"/>
          <w:rtl/>
        </w:rPr>
        <w:t>.</w:t>
      </w:r>
    </w:p>
    <w:p w14:paraId="4AEE381A" w14:textId="77777777" w:rsidR="00BE1D1C" w:rsidRPr="00012502" w:rsidRDefault="00000000" w:rsidP="00012502">
      <w:pPr>
        <w:pStyle w:val="a7"/>
        <w:bidi/>
        <w:rPr>
          <w:rFonts w:ascii="Narkisim" w:hAnsi="Narkisim"/>
        </w:rPr>
      </w:pPr>
      <w:r w:rsidRPr="00012502">
        <w:rPr>
          <w:rFonts w:ascii="Narkisim" w:hAnsi="Narkisim"/>
          <w:rtl/>
        </w:rPr>
        <w:t>ואביי הקשה ליתי איסור פצוע דכא וידחי עשה דיבום, וכמו לרבן גמליאל כשקידש אחותה. ומבואר דאביי למד מדברי ר"ג דשייך פטור ערוה אחרי נפילה</w:t>
      </w:r>
      <w:r w:rsidRPr="00012502">
        <w:rPr>
          <w:rStyle w:val="ac"/>
          <w:rFonts w:ascii="Narkisim" w:hAnsi="Narkisim"/>
          <w:rtl/>
        </w:rPr>
        <w:footnoteReference w:id="411"/>
      </w:r>
      <w:r w:rsidRPr="00012502">
        <w:rPr>
          <w:rFonts w:ascii="Narkisim" w:hAnsi="Narkisim"/>
          <w:rtl/>
        </w:rPr>
        <w:t xml:space="preserve">. </w:t>
      </w:r>
      <w:r w:rsidRPr="00012502">
        <w:rPr>
          <w:rFonts w:ascii="Narkisim" w:hAnsi="Narkisim"/>
          <w:sz w:val="20"/>
          <w:szCs w:val="20"/>
          <w:rtl/>
        </w:rPr>
        <w:t>וב</w:t>
      </w:r>
      <w:r w:rsidRPr="00012502">
        <w:rPr>
          <w:rFonts w:ascii="Narkisim" w:hAnsi="Narkisim"/>
          <w:b/>
          <w:bCs/>
          <w:sz w:val="20"/>
          <w:szCs w:val="20"/>
          <w:rtl/>
        </w:rPr>
        <w:t>שו"ת הרשב"א</w:t>
      </w:r>
      <w:r w:rsidRPr="00012502">
        <w:rPr>
          <w:rFonts w:ascii="Narkisim" w:hAnsi="Narkisim"/>
          <w:sz w:val="20"/>
          <w:szCs w:val="20"/>
          <w:rtl/>
        </w:rPr>
        <w:t xml:space="preserve"> (א שנח) הביא מסוגיא דהתם דערוה לאחר נפילה נפטרת [והביא דמבואר התם דלא תלי במח' דיש זיקה</w:t>
      </w:r>
      <w:r w:rsidRPr="00012502">
        <w:rPr>
          <w:rStyle w:val="ac"/>
          <w:rFonts w:ascii="Narkisim" w:hAnsi="Narkisim"/>
          <w:sz w:val="20"/>
          <w:szCs w:val="20"/>
          <w:rtl/>
        </w:rPr>
        <w:footnoteReference w:id="412"/>
      </w:r>
      <w:r w:rsidRPr="00012502">
        <w:rPr>
          <w:rFonts w:ascii="Narkisim" w:hAnsi="Narkisim"/>
          <w:sz w:val="20"/>
          <w:szCs w:val="20"/>
          <w:rtl/>
        </w:rPr>
        <w:t>]. ומבואר דדעת רבה דאין פטור לאחר נפילה [עכ"פ בחייבי לאוין].</w:t>
      </w:r>
    </w:p>
    <w:p w14:paraId="2FEB17A9" w14:textId="77777777" w:rsidR="00BE1D1C" w:rsidRPr="00012502" w:rsidRDefault="00000000" w:rsidP="00012502">
      <w:pPr>
        <w:pStyle w:val="a8"/>
        <w:bidi/>
        <w:rPr>
          <w:rFonts w:ascii="Narkisim" w:hAnsi="Narkisim"/>
        </w:rPr>
      </w:pPr>
      <w:r w:rsidRPr="00012502">
        <w:rPr>
          <w:rFonts w:ascii="Narkisim" w:hAnsi="Narkisim"/>
          <w:rtl/>
        </w:rPr>
        <w:t>ואביי נקט הלשון דהאיסור 'דחי לעשה דיבום'. והאחרונים דנו האם כוונתו משום פטור 'עליה'.</w:t>
      </w:r>
    </w:p>
    <w:p w14:paraId="68F77C8B"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תו"י</w:t>
      </w:r>
      <w:r w:rsidRPr="00012502">
        <w:rPr>
          <w:rFonts w:ascii="Narkisim" w:hAnsi="Narkisim" w:cs="Narkisim"/>
          <w:rtl/>
        </w:rPr>
        <w:t xml:space="preserve"> הק' דעכ"פ כה"ג [דקידש אחות היבמה לאחר נפילה] לא שייך פטור צרה, כיון דלא היתה צרת ערוה [בשעת מיתה]. שהרי נשא אחותה אח"כ. וכיון דבשעת מיתה לא היתה צרה של ערוה, אף שאח"כ א' מהיבמות נעשית ערוה, צרתה מותרת. וכ"כ </w:t>
      </w:r>
      <w:r w:rsidRPr="00012502">
        <w:rPr>
          <w:rFonts w:ascii="Narkisim" w:hAnsi="Narkisim" w:cs="Narkisim"/>
          <w:b/>
          <w:bCs/>
          <w:rtl/>
        </w:rPr>
        <w:t>תוס</w:t>
      </w:r>
      <w:r w:rsidRPr="00012502">
        <w:rPr>
          <w:rFonts w:ascii="Narkisim" w:hAnsi="Narkisim" w:cs="Narkisim"/>
          <w:rtl/>
        </w:rPr>
        <w:t xml:space="preserve">' (כו: ד"ה וחליצה) דאינה צרת ערוה, כיון דכשמת בעלה לא היתה צרת ערוה. ואין פטור צרה לאחר מכן. </w:t>
      </w:r>
      <w:r w:rsidRPr="00012502">
        <w:rPr>
          <w:rFonts w:ascii="Narkisim" w:hAnsi="Narkisim" w:cs="Narkisim"/>
          <w:sz w:val="20"/>
          <w:szCs w:val="20"/>
          <w:rtl/>
        </w:rPr>
        <w:t>וכן הביא ב</w:t>
      </w:r>
      <w:r w:rsidRPr="00012502">
        <w:rPr>
          <w:rFonts w:ascii="Narkisim" w:hAnsi="Narkisim" w:cs="Narkisim"/>
          <w:b/>
          <w:bCs/>
          <w:sz w:val="20"/>
          <w:szCs w:val="20"/>
          <w:rtl/>
        </w:rPr>
        <w:t>שו"ת הרשב"א</w:t>
      </w:r>
      <w:r w:rsidRPr="00012502">
        <w:rPr>
          <w:rFonts w:ascii="Narkisim" w:hAnsi="Narkisim" w:cs="Narkisim"/>
          <w:sz w:val="20"/>
          <w:szCs w:val="20"/>
          <w:rtl/>
        </w:rPr>
        <w:t xml:space="preserve"> (ו כה, והראשונים לקמן ל:) בשם ה</w:t>
      </w:r>
      <w:r w:rsidRPr="00012502">
        <w:rPr>
          <w:rFonts w:ascii="Narkisim" w:hAnsi="Narkisim" w:cs="Narkisim"/>
          <w:b/>
          <w:bCs/>
          <w:sz w:val="20"/>
          <w:szCs w:val="20"/>
          <w:rtl/>
        </w:rPr>
        <w:t>ירושלמי</w:t>
      </w:r>
      <w:r w:rsidRPr="00012502">
        <w:rPr>
          <w:rStyle w:val="ac"/>
          <w:rFonts w:ascii="Narkisim" w:hAnsi="Narkisim" w:cs="Narkisim"/>
          <w:sz w:val="20"/>
          <w:szCs w:val="20"/>
          <w:rtl/>
        </w:rPr>
        <w:footnoteReference w:id="413"/>
      </w:r>
      <w:r w:rsidRPr="00012502">
        <w:rPr>
          <w:rFonts w:ascii="Narkisim" w:hAnsi="Narkisim" w:cs="Narkisim"/>
          <w:sz w:val="20"/>
          <w:szCs w:val="20"/>
          <w:rtl/>
        </w:rPr>
        <w:t>.</w:t>
      </w:r>
    </w:p>
    <w:p w14:paraId="7971CBA4" w14:textId="77777777" w:rsidR="00BE1D1C" w:rsidRPr="00012502" w:rsidRDefault="00000000" w:rsidP="00012502">
      <w:pPr>
        <w:pStyle w:val="a8"/>
        <w:bidi/>
        <w:rPr>
          <w:rFonts w:ascii="Narkisim" w:hAnsi="Narkisim"/>
        </w:rPr>
      </w:pPr>
      <w:r w:rsidRPr="00012502">
        <w:rPr>
          <w:rFonts w:ascii="Narkisim" w:hAnsi="Narkisim"/>
          <w:rtl/>
        </w:rPr>
        <w:lastRenderedPageBreak/>
        <w:t>ולצד (הנ"ל) דלא חל פטור 'ערוה' לאחר נפילה, פשיטא דל"ש גדר צרת ערוה. אך בסוגיין מבואר ד'עליה' הוה אף לאחר נפילה, וחל פטור ערוה. ואפ"ה אינה פוטרת צרתה</w:t>
      </w:r>
      <w:r w:rsidRPr="00012502">
        <w:rPr>
          <w:rStyle w:val="ac"/>
          <w:rFonts w:ascii="Narkisim" w:hAnsi="Narkisim"/>
          <w:rtl/>
        </w:rPr>
        <w:footnoteReference w:id="414"/>
      </w:r>
      <w:r w:rsidRPr="00012502">
        <w:rPr>
          <w:rFonts w:ascii="Narkisim" w:hAnsi="Narkisim"/>
          <w:rtl/>
        </w:rPr>
        <w:t>. וה</w:t>
      </w:r>
      <w:r w:rsidRPr="00012502">
        <w:rPr>
          <w:rFonts w:ascii="Narkisim" w:hAnsi="Narkisim"/>
          <w:b/>
          <w:bCs/>
          <w:rtl/>
        </w:rPr>
        <w:t>ברכ"ש</w:t>
      </w:r>
      <w:r w:rsidRPr="00012502">
        <w:rPr>
          <w:rFonts w:ascii="Narkisim" w:hAnsi="Narkisim"/>
          <w:rtl/>
        </w:rPr>
        <w:t xml:space="preserve"> (יד) ביאר דדין צרת ערוה שייך רק כשהיתה אסורה בחיי בעלה. אבל לאחר נפילה אין שייכות לצרה</w:t>
      </w:r>
      <w:r w:rsidRPr="00012502">
        <w:rPr>
          <w:rStyle w:val="ac"/>
          <w:rFonts w:ascii="Narkisim" w:hAnsi="Narkisim"/>
          <w:rtl/>
        </w:rPr>
        <w:footnoteReference w:id="415"/>
      </w:r>
      <w:r w:rsidRPr="00012502">
        <w:rPr>
          <w:rFonts w:ascii="Narkisim" w:hAnsi="Narkisim"/>
          <w:rtl/>
        </w:rPr>
        <w:t>. ועד"ז מבואר ב</w:t>
      </w:r>
      <w:r w:rsidRPr="00012502">
        <w:rPr>
          <w:rFonts w:ascii="Narkisim" w:hAnsi="Narkisim"/>
          <w:b/>
          <w:bCs/>
          <w:rtl/>
        </w:rPr>
        <w:t>רע"א</w:t>
      </w:r>
      <w:r w:rsidRPr="00012502">
        <w:rPr>
          <w:rFonts w:ascii="Narkisim" w:hAnsi="Narkisim"/>
          <w:rtl/>
        </w:rPr>
        <w:t>.</w:t>
      </w:r>
    </w:p>
    <w:p w14:paraId="1D9E490B" w14:textId="77777777" w:rsidR="00BE1D1C" w:rsidRPr="00012502" w:rsidRDefault="00000000" w:rsidP="00012502">
      <w:pPr>
        <w:pStyle w:val="aa"/>
        <w:bidi/>
        <w:rPr>
          <w:rFonts w:ascii="Narkisim" w:hAnsi="Narkisim"/>
        </w:rPr>
      </w:pPr>
      <w:r w:rsidRPr="00012502">
        <w:rPr>
          <w:rFonts w:ascii="Narkisim" w:hAnsi="Narkisim"/>
          <w:u w:val="single"/>
          <w:rtl/>
        </w:rPr>
        <w:t>ואיבע"א אתיא בהקישא מדר' יונה וכו' מה אשת אח שריא וכו'</w:t>
      </w:r>
      <w:r w:rsidRPr="00012502">
        <w:rPr>
          <w:rFonts w:ascii="Narkisim" w:hAnsi="Narkisim"/>
          <w:rtl/>
        </w:rPr>
        <w:t>. וס"ד דילפי' היתר יבום בכל העריות [ולכאו' להך ס"ד הוה גדר הותרה</w:t>
      </w:r>
      <w:r w:rsidRPr="00012502">
        <w:rPr>
          <w:rStyle w:val="ac"/>
          <w:rFonts w:ascii="Narkisim" w:hAnsi="Narkisim"/>
          <w:rtl/>
        </w:rPr>
        <w:footnoteReference w:id="416"/>
      </w:r>
      <w:r w:rsidRPr="00012502">
        <w:rPr>
          <w:rFonts w:ascii="Narkisim" w:hAnsi="Narkisim"/>
          <w:rtl/>
        </w:rPr>
        <w:t xml:space="preserve"> בכל העריות במקום מצווה. ולא שייכא לגדר עשה דוחה ל"ת</w:t>
      </w:r>
      <w:r w:rsidRPr="00012502">
        <w:rPr>
          <w:rStyle w:val="ac"/>
          <w:rFonts w:ascii="Narkisim" w:hAnsi="Narkisim"/>
          <w:rtl/>
        </w:rPr>
        <w:footnoteReference w:id="417"/>
      </w:r>
      <w:r w:rsidRPr="00012502">
        <w:rPr>
          <w:rFonts w:ascii="Narkisim" w:hAnsi="Narkisim"/>
          <w:rtl/>
        </w:rPr>
        <w:t>].</w:t>
      </w:r>
    </w:p>
    <w:p w14:paraId="5C64E537" w14:textId="77777777" w:rsidR="00BE1D1C" w:rsidRPr="00012502" w:rsidRDefault="00000000" w:rsidP="00012502">
      <w:pPr>
        <w:pStyle w:val="aa"/>
        <w:bidi/>
        <w:rPr>
          <w:rFonts w:ascii="Narkisim" w:hAnsi="Narkisim"/>
        </w:rPr>
      </w:pPr>
      <w:r w:rsidRPr="00012502">
        <w:rPr>
          <w:rFonts w:ascii="Narkisim" w:hAnsi="Narkisim"/>
          <w:u w:val="single"/>
          <w:rtl/>
        </w:rPr>
        <w:t>א"ל רב אחא מדפתי וכו' מאי חזית דאקשת לאחות אשה וכו'</w:t>
      </w:r>
      <w:r w:rsidRPr="00012502">
        <w:rPr>
          <w:rFonts w:ascii="Narkisim" w:hAnsi="Narkisim"/>
          <w:rtl/>
        </w:rPr>
        <w:t>. ה</w:t>
      </w:r>
      <w:r w:rsidRPr="00012502">
        <w:rPr>
          <w:rFonts w:ascii="Narkisim" w:hAnsi="Narkisim"/>
          <w:b/>
          <w:bCs/>
          <w:rtl/>
        </w:rPr>
        <w:t>רשב"א</w:t>
      </w:r>
      <w:r w:rsidRPr="00012502">
        <w:rPr>
          <w:rFonts w:ascii="Narkisim" w:hAnsi="Narkisim"/>
          <w:rtl/>
        </w:rPr>
        <w:t xml:space="preserve"> (סוד"ה רבא) הק' דנימא דשאני אשת אח דעיקר מצותה בדחיה [וע"ד מש"כ תוס' (לעיל ג: ד"ה לא) דלא ילפי' במה מצינו מאשת אח</w:t>
      </w:r>
      <w:r w:rsidRPr="00012502">
        <w:rPr>
          <w:rStyle w:val="ac"/>
          <w:rFonts w:ascii="Narkisim" w:hAnsi="Narkisim"/>
          <w:rtl/>
        </w:rPr>
        <w:footnoteReference w:id="418"/>
      </w:r>
      <w:r w:rsidRPr="00012502">
        <w:rPr>
          <w:rFonts w:ascii="Narkisim" w:hAnsi="Narkisim"/>
          <w:rtl/>
        </w:rPr>
        <w:t>]. ותי' דאה"נ, אלא דעדיפא מינה מתרץ.</w:t>
      </w:r>
    </w:p>
    <w:p w14:paraId="25BA4DFE" w14:textId="77777777" w:rsidR="00BE1D1C" w:rsidRPr="00012502" w:rsidRDefault="00000000" w:rsidP="00012502">
      <w:pPr>
        <w:bidi/>
        <w:rPr>
          <w:rFonts w:ascii="Narkisim" w:hAnsi="Narkisim" w:cs="Narkisim"/>
        </w:rPr>
      </w:pPr>
      <w:r w:rsidRPr="00012502">
        <w:rPr>
          <w:rFonts w:ascii="Narkisim" w:hAnsi="Narkisim" w:cs="Narkisim"/>
          <w:u w:val="single"/>
          <w:rtl/>
        </w:rPr>
        <w:t>איבע"א לקולא ולחומרא, לחומרא מקשינן</w:t>
      </w:r>
      <w:r w:rsidRPr="00012502">
        <w:rPr>
          <w:rFonts w:ascii="Narkisim" w:hAnsi="Narkisim" w:cs="Narkisim"/>
          <w:rtl/>
        </w:rPr>
        <w:t>. לאסור ליבום, ועי"ז מותרת לשוק. ה</w:t>
      </w:r>
      <w:r w:rsidRPr="00012502">
        <w:rPr>
          <w:rFonts w:ascii="Narkisim" w:hAnsi="Narkisim" w:cs="Narkisim"/>
          <w:b/>
          <w:bCs/>
          <w:rtl/>
        </w:rPr>
        <w:t>אחרונים</w:t>
      </w:r>
      <w:r w:rsidRPr="00012502">
        <w:rPr>
          <w:rFonts w:ascii="Narkisim" w:hAnsi="Narkisim" w:cs="Narkisim"/>
          <w:rtl/>
        </w:rPr>
        <w:t xml:space="preserve"> הביאו דמבואר בסוגיין דלחומרא מקשינן הוה בתורת ודאי</w:t>
      </w:r>
      <w:r w:rsidRPr="00012502">
        <w:rPr>
          <w:rStyle w:val="ac"/>
          <w:rFonts w:ascii="Narkisim" w:hAnsi="Narkisim" w:cs="Narkisim"/>
          <w:rtl/>
        </w:rPr>
        <w:footnoteReference w:id="419"/>
      </w:r>
      <w:r w:rsidRPr="00012502">
        <w:rPr>
          <w:rFonts w:ascii="Narkisim" w:hAnsi="Narkisim" w:cs="Narkisim"/>
          <w:rtl/>
        </w:rPr>
        <w:t>, ועי"ז ילפי' אף לקולא לפטור בלא חליצה, וכן לפטור צרתה.</w:t>
      </w:r>
    </w:p>
    <w:p w14:paraId="774EC909"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שיירי קרבן</w:t>
      </w:r>
      <w:r w:rsidRPr="00012502">
        <w:rPr>
          <w:rFonts w:ascii="Narkisim" w:hAnsi="Narkisim"/>
          <w:rtl/>
        </w:rPr>
        <w:t xml:space="preserve"> (לירושלמי כאן) הק' דאדרבה הוה חומרא טפי לומר דזקוקה ליבום, ואסורה לכל העולם. [ועד"ז כת' תוס' קידו' סח.]. והוה קולא להתיר ליבם. וכת' וכ"ת חייבי כריתות הוה חומרא טפי, ויבמה לשוק הוה רק איסור לאו. אך הק' דהגמ' (לקמן כ.) לא חילקה בזה.</w:t>
      </w:r>
    </w:p>
    <w:p w14:paraId="24834E37" w14:textId="77777777" w:rsidR="00BE1D1C" w:rsidRPr="00012502" w:rsidRDefault="00000000" w:rsidP="00012502">
      <w:pPr>
        <w:pStyle w:val="aa"/>
        <w:bidi/>
        <w:rPr>
          <w:rFonts w:ascii="Narkisim" w:hAnsi="Narkisim"/>
        </w:rPr>
      </w:pPr>
      <w:r w:rsidRPr="00012502">
        <w:rPr>
          <w:rFonts w:ascii="Narkisim" w:hAnsi="Narkisim"/>
          <w:u w:val="single"/>
          <w:rtl/>
        </w:rPr>
        <w:t>איבע"א הכא תרי איסורי וכו' ותרי מחד לא ילפי'</w:t>
      </w:r>
      <w:r w:rsidRPr="00012502">
        <w:rPr>
          <w:rFonts w:ascii="Narkisim" w:hAnsi="Narkisim"/>
          <w:rtl/>
        </w:rPr>
        <w:t>. מבואר ב</w:t>
      </w:r>
      <w:r w:rsidRPr="00012502">
        <w:rPr>
          <w:rFonts w:ascii="Narkisim" w:hAnsi="Narkisim"/>
          <w:b/>
          <w:bCs/>
          <w:rtl/>
        </w:rPr>
        <w:t xml:space="preserve">רש"י </w:t>
      </w:r>
      <w:r w:rsidRPr="00012502">
        <w:rPr>
          <w:rFonts w:ascii="Narkisim" w:hAnsi="Narkisim"/>
          <w:rtl/>
        </w:rPr>
        <w:t>(סוד"ה ואיבעית) דשפיר ילפי' בהיקש אף תרי איסורא. אלא דהכא אפשר ללמוד מאחות אשה או מאשת אח ומאי חזית, ועדיף ללמוד תרי מתרי.</w:t>
      </w:r>
    </w:p>
    <w:p w14:paraId="5C5C55D7" w14:textId="77777777" w:rsidR="00BE1D1C" w:rsidRPr="00012502" w:rsidRDefault="00000000" w:rsidP="00012502">
      <w:pPr>
        <w:bidi/>
        <w:rPr>
          <w:rFonts w:ascii="Narkisim" w:hAnsi="Narkisim" w:cs="Narkisim"/>
        </w:rPr>
      </w:pPr>
      <w:r w:rsidRPr="00012502">
        <w:rPr>
          <w:rFonts w:ascii="Narkisim" w:hAnsi="Narkisim" w:cs="Narkisim"/>
          <w:u w:val="single"/>
          <w:rtl/>
        </w:rPr>
        <w:t>תוד"ה תרי.</w:t>
      </w:r>
      <w:r w:rsidRPr="00012502">
        <w:rPr>
          <w:rFonts w:ascii="Narkisim" w:hAnsi="Narkisim" w:cs="Narkisim"/>
          <w:rtl/>
        </w:rPr>
        <w:t xml:space="preserve"> וא"ת ולר"א אמאי פוטרת איילונית צרתה, והא חד איסורא הוא וכו'. מבואר בתוס' דאף דאילונית פטורה </w:t>
      </w:r>
      <w:r w:rsidRPr="00012502">
        <w:rPr>
          <w:rFonts w:ascii="Narkisim" w:hAnsi="Narkisim" w:cs="Narkisim"/>
          <w:sz w:val="20"/>
          <w:szCs w:val="20"/>
          <w:rtl/>
        </w:rPr>
        <w:t>[מגזיה"כ ד'אשר תלד' לקמן עט:</w:t>
      </w:r>
      <w:r w:rsidRPr="00012502">
        <w:rPr>
          <w:rFonts w:ascii="Narkisim" w:hAnsi="Narkisim" w:cs="Narkisim"/>
          <w:rtl/>
        </w:rPr>
        <w:t>], מ"מ פוטרת צרתה משום איסור אשת אח.</w:t>
      </w:r>
      <w:r w:rsidRPr="00012502">
        <w:rPr>
          <w:rFonts w:ascii="Narkisim" w:hAnsi="Narkisim" w:cs="Narkisim"/>
          <w:sz w:val="20"/>
          <w:szCs w:val="20"/>
          <w:rtl/>
        </w:rPr>
        <w:t xml:space="preserve"> [וכ"כ </w:t>
      </w:r>
      <w:r w:rsidRPr="00012502">
        <w:rPr>
          <w:rFonts w:ascii="Narkisim" w:hAnsi="Narkisim" w:cs="Narkisim"/>
          <w:b/>
          <w:bCs/>
          <w:sz w:val="20"/>
          <w:szCs w:val="20"/>
          <w:rtl/>
        </w:rPr>
        <w:t>תוס</w:t>
      </w:r>
      <w:r w:rsidRPr="00012502">
        <w:rPr>
          <w:rFonts w:ascii="Narkisim" w:hAnsi="Narkisim" w:cs="Narkisim"/>
          <w:sz w:val="20"/>
          <w:szCs w:val="20"/>
          <w:rtl/>
        </w:rPr>
        <w:t>' (לב. ד"ה לא) דאילונית פוטרת צרה מחמת איסור אשת אח, וכן היא לשון הברייתא יב.</w:t>
      </w:r>
      <w:r w:rsidRPr="00012502">
        <w:rPr>
          <w:rFonts w:ascii="Narkisim" w:hAnsi="Narkisim" w:cs="Narkisim"/>
          <w:rtl/>
        </w:rPr>
        <w:t>].</w:t>
      </w:r>
    </w:p>
    <w:p w14:paraId="5D560C58"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ביארו דאשת אח דאילונית אינה בת יבום, ולאו בר הקמת שם. ומש"ה נחשב כאשת אח שיש לה בנים, ומש"ה פוטר. [ולא דמי לאשת אח דממילא, שחידש הגר"ח דאינו פוטר צרה].</w:t>
      </w:r>
    </w:p>
    <w:p w14:paraId="492473BF" w14:textId="77777777" w:rsidR="00BE1D1C" w:rsidRPr="00012502" w:rsidRDefault="00000000" w:rsidP="00012502">
      <w:pPr>
        <w:bidi/>
        <w:rPr>
          <w:rFonts w:ascii="Narkisim" w:hAnsi="Narkisim" w:cs="Narkisim"/>
        </w:rPr>
      </w:pPr>
      <w:r w:rsidRPr="00012502">
        <w:rPr>
          <w:rFonts w:ascii="Narkisim" w:hAnsi="Narkisim" w:cs="Narkisim"/>
          <w:rtl/>
        </w:rPr>
        <w:t>ותוס' הק' דמ"מ כלפי הצרה יש רק חדא איסורא, וא"א ללמוד מאחות אשה. ותוס' תי' כיון דהערוה אסורה, ממילא אף הצרה אסורה. וב</w:t>
      </w:r>
      <w:r w:rsidRPr="00012502">
        <w:rPr>
          <w:rFonts w:ascii="Narkisim" w:hAnsi="Narkisim" w:cs="Narkisim"/>
          <w:b/>
          <w:bCs/>
          <w:rtl/>
        </w:rPr>
        <w:t>חי' ר' שמעון</w:t>
      </w:r>
      <w:r w:rsidRPr="00012502">
        <w:rPr>
          <w:rFonts w:ascii="Narkisim" w:hAnsi="Narkisim" w:cs="Narkisim"/>
          <w:rtl/>
        </w:rPr>
        <w:t xml:space="preserve"> (א) ביאר דבקו' התוס' דאף כלפי הצרה תלי בגדר 'פטור', ואותו הסיבה הגורם לפטור אצל הערוה גורם פטור אצל הצרה. ובזה תוס' הק' דאצל בצרה נילף מאשת אח, דאין ראוי לפוטרה מחמת איסור א'. ותוס' תי' דפטור הצרה הוה בתולדה ממה שהיא עצמה אינה בת יבום.</w:t>
      </w:r>
    </w:p>
    <w:p w14:paraId="16792FD2" w14:textId="77777777" w:rsidR="00BE1D1C" w:rsidRPr="00012502" w:rsidRDefault="00000000" w:rsidP="00012502">
      <w:pPr>
        <w:pStyle w:val="aa"/>
        <w:bidi/>
        <w:rPr>
          <w:rFonts w:ascii="Narkisim" w:hAnsi="Narkisim"/>
        </w:rPr>
      </w:pPr>
      <w:r w:rsidRPr="00012502">
        <w:rPr>
          <w:rFonts w:ascii="Narkisim" w:hAnsi="Narkisim"/>
          <w:rtl/>
        </w:rPr>
        <w:t>וב</w:t>
      </w:r>
      <w:r w:rsidRPr="00012502">
        <w:rPr>
          <w:rFonts w:ascii="Narkisim" w:hAnsi="Narkisim"/>
          <w:b/>
          <w:bCs/>
          <w:rtl/>
        </w:rPr>
        <w:t>תוס' הרא"ש</w:t>
      </w:r>
      <w:r w:rsidRPr="00012502">
        <w:rPr>
          <w:rFonts w:ascii="Narkisim" w:hAnsi="Narkisim"/>
          <w:rtl/>
        </w:rPr>
        <w:t xml:space="preserve"> (ג:) מבואר דקושיית התוס' דכיון דאילונית הוה חדא איסורא אין להקישו לאחות אשה [פי' אף דהוה איסור אשת אח שיש לה בנים, מ"מ בחדא איסורא אין היקש דפוטרת צרה]. ותי' דכיון דע"כ אסורה, מש"ה יש להקישו לאחות אשה.</w:t>
      </w:r>
    </w:p>
    <w:p w14:paraId="422C3F11"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 xml:space="preserve">תוס' </w:t>
      </w:r>
      <w:r w:rsidRPr="00012502">
        <w:rPr>
          <w:rFonts w:ascii="Narkisim" w:hAnsi="Narkisim"/>
          <w:rtl/>
        </w:rPr>
        <w:t>ה</w:t>
      </w:r>
      <w:r w:rsidRPr="00012502">
        <w:rPr>
          <w:rFonts w:ascii="Narkisim" w:hAnsi="Narkisim"/>
          <w:b/>
          <w:bCs/>
          <w:rtl/>
        </w:rPr>
        <w:t>רא"ש</w:t>
      </w:r>
      <w:r w:rsidRPr="00012502">
        <w:rPr>
          <w:rFonts w:ascii="Narkisim" w:hAnsi="Narkisim"/>
          <w:rtl/>
        </w:rPr>
        <w:t xml:space="preserve"> (שם) [אחרי שהביא תי' התוס' דאיילונית ממ"נ אסירא] הק' א"כ אף חייבי לאו ועשה, דהיא ממ"נ פטורה וקיימא באיסור אשת אח [ויש להקישו לאחות אשה</w:t>
      </w:r>
      <w:r w:rsidRPr="00012502">
        <w:rPr>
          <w:rStyle w:val="ac"/>
          <w:rFonts w:ascii="Narkisim" w:hAnsi="Narkisim"/>
          <w:rtl/>
        </w:rPr>
        <w:footnoteReference w:id="420"/>
      </w:r>
      <w:r w:rsidRPr="00012502">
        <w:rPr>
          <w:rFonts w:ascii="Narkisim" w:hAnsi="Narkisim"/>
          <w:rtl/>
        </w:rPr>
        <w:t>, וכנ"ל]. והתורא"ש תי' דנתרבה לחליצה (לקמן כ:), לא דמי לאחות אשה דאינה זקוקה כלל.</w:t>
      </w:r>
    </w:p>
    <w:p w14:paraId="367C365C"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בא"ד וכן אשת אחיו שלא היה בעולמו.</w:t>
      </w:r>
      <w:r w:rsidRPr="00012502">
        <w:rPr>
          <w:rFonts w:ascii="Narkisim" w:hAnsi="Narkisim" w:cs="Narkisim"/>
          <w:rtl/>
        </w:rPr>
        <w:t xml:space="preserve"> </w:t>
      </w:r>
      <w:r w:rsidRPr="00012502">
        <w:rPr>
          <w:rFonts w:ascii="Narkisim" w:hAnsi="Narkisim" w:cs="Narkisim"/>
          <w:sz w:val="20"/>
          <w:szCs w:val="20"/>
          <w:rtl/>
        </w:rPr>
        <w:t>[תוס' הק' דהוה חדא איסורא. וע"ז התי' דהיא ממ"נ פטורה].</w:t>
      </w:r>
      <w:r w:rsidRPr="00012502">
        <w:rPr>
          <w:rFonts w:ascii="Narkisim" w:hAnsi="Narkisim" w:cs="Narkisim"/>
          <w:rtl/>
        </w:rPr>
        <w:t xml:space="preserve"> ומבואר בתוס' דאף דאף דאסורה מחמת ב' אחים [בנפילה שניה</w:t>
      </w:r>
      <w:r w:rsidRPr="00012502">
        <w:rPr>
          <w:rStyle w:val="ac"/>
          <w:rFonts w:ascii="Narkisim" w:hAnsi="Narkisim" w:cs="Narkisim"/>
          <w:rtl/>
        </w:rPr>
        <w:footnoteReference w:id="421"/>
      </w:r>
      <w:r w:rsidRPr="00012502">
        <w:rPr>
          <w:rFonts w:ascii="Narkisim" w:hAnsi="Narkisim" w:cs="Narkisim"/>
          <w:rtl/>
        </w:rPr>
        <w:t>], חשיב הכל חדא איסורא, דהכל שם אשת אח.</w:t>
      </w:r>
    </w:p>
    <w:p w14:paraId="563E3053"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(ד יג) הק' לס"ד דתוס' דחשיב חדא איסורא [דהכל שֵם איסור דאשת אח], א"כ בלאו הכי קשה דאיסור זה הותר ע"י נפילתה ותתייבם.</w:t>
      </w:r>
      <w:r w:rsidRPr="00012502">
        <w:rPr>
          <w:rFonts w:ascii="Narkisim" w:hAnsi="Narkisim"/>
          <w:szCs w:val="20"/>
          <w:rtl/>
        </w:rPr>
        <w:t xml:space="preserve"> וה</w:t>
      </w:r>
      <w:r w:rsidRPr="00012502">
        <w:rPr>
          <w:rFonts w:ascii="Narkisim" w:hAnsi="Narkisim"/>
          <w:b/>
          <w:bCs/>
          <w:szCs w:val="20"/>
          <w:rtl/>
        </w:rPr>
        <w:t>אחרונים</w:t>
      </w:r>
      <w:r w:rsidRPr="00012502">
        <w:rPr>
          <w:rFonts w:ascii="Narkisim" w:hAnsi="Narkisim"/>
          <w:szCs w:val="20"/>
          <w:rtl/>
        </w:rPr>
        <w:t xml:space="preserve"> דחו דודאי הוה ב' גדרי איסור, והאיסור מחמת אח הראשון לא הותר בנפילתו ליבום. אלא דגדר תרי איסורא תלי בשמות מחולקין, והכא הכל שם איסור א'</w:t>
      </w:r>
      <w:r w:rsidRPr="00012502">
        <w:rPr>
          <w:rFonts w:ascii="Narkisim" w:hAnsi="Narkisim"/>
          <w:rtl/>
        </w:rPr>
        <w:t>.</w:t>
      </w:r>
    </w:p>
    <w:p w14:paraId="2AD0D63E" w14:textId="77777777" w:rsidR="00BE1D1C" w:rsidRPr="00012502" w:rsidRDefault="00000000" w:rsidP="00012502">
      <w:pPr>
        <w:pStyle w:val="a7"/>
        <w:bidi/>
        <w:rPr>
          <w:rFonts w:ascii="Narkisim" w:hAnsi="Narkisim"/>
        </w:rPr>
      </w:pPr>
      <w:r w:rsidRPr="00012502">
        <w:rPr>
          <w:rFonts w:ascii="Narkisim" w:hAnsi="Narkisim"/>
          <w:rtl/>
        </w:rPr>
        <w:t>והקובה"ע ביאר דכוונת התוס' דבנפילה ראשונה הו' גדר נאסרה</w:t>
      </w:r>
      <w:r w:rsidRPr="00012502">
        <w:rPr>
          <w:rStyle w:val="ac"/>
          <w:rFonts w:ascii="Narkisim" w:hAnsi="Narkisim"/>
          <w:rtl/>
        </w:rPr>
        <w:footnoteReference w:id="422"/>
      </w:r>
      <w:r w:rsidRPr="00012502">
        <w:rPr>
          <w:rFonts w:ascii="Narkisim" w:hAnsi="Narkisim"/>
          <w:rtl/>
        </w:rPr>
        <w:t xml:space="preserve">, ועי"ז אמרי' דהיא ממ"נ אסורה </w:t>
      </w:r>
      <w:r w:rsidRPr="00012502">
        <w:rPr>
          <w:rFonts w:ascii="Narkisim" w:hAnsi="Narkisim"/>
          <w:szCs w:val="20"/>
          <w:rtl/>
        </w:rPr>
        <w:t>[משום נאסרה]</w:t>
      </w:r>
      <w:r w:rsidRPr="00012502">
        <w:rPr>
          <w:rStyle w:val="ac"/>
          <w:rFonts w:ascii="Narkisim" w:hAnsi="Narkisim"/>
          <w:rtl/>
        </w:rPr>
        <w:footnoteReference w:id="423"/>
      </w:r>
      <w:r w:rsidRPr="00012502">
        <w:rPr>
          <w:rFonts w:ascii="Narkisim" w:hAnsi="Narkisim"/>
          <w:rtl/>
        </w:rPr>
        <w:t>.</w:t>
      </w:r>
    </w:p>
    <w:p w14:paraId="28B7C631" w14:textId="77777777" w:rsidR="00BE1D1C" w:rsidRPr="00012502" w:rsidRDefault="00000000" w:rsidP="00012502">
      <w:pPr>
        <w:pStyle w:val="a7"/>
        <w:bidi/>
        <w:rPr>
          <w:rFonts w:ascii="Narkisim" w:hAnsi="Narkisim"/>
        </w:rPr>
      </w:pPr>
      <w:r w:rsidRPr="00012502">
        <w:rPr>
          <w:rFonts w:ascii="Narkisim" w:hAnsi="Narkisim"/>
          <w:rtl/>
        </w:rPr>
        <w:t>וב</w:t>
      </w:r>
      <w:r w:rsidRPr="00012502">
        <w:rPr>
          <w:rFonts w:ascii="Narkisim" w:hAnsi="Narkisim"/>
          <w:b/>
          <w:bCs/>
          <w:rtl/>
        </w:rPr>
        <w:t>חי' ר' שמעון</w:t>
      </w:r>
      <w:r w:rsidRPr="00012502">
        <w:rPr>
          <w:rFonts w:ascii="Narkisim" w:hAnsi="Narkisim"/>
          <w:sz w:val="20"/>
          <w:szCs w:val="20"/>
          <w:rtl/>
        </w:rPr>
        <w:t xml:space="preserve"> (א בהג"ה) </w:t>
      </w:r>
      <w:r w:rsidRPr="00012502">
        <w:rPr>
          <w:rFonts w:ascii="Narkisim" w:hAnsi="Narkisim"/>
          <w:rtl/>
        </w:rPr>
        <w:t xml:space="preserve">ביאר דקושית התוס' דכלפי הצרה הוה חדא איסורא </w:t>
      </w:r>
      <w:r w:rsidRPr="00012502">
        <w:rPr>
          <w:rFonts w:ascii="Narkisim" w:hAnsi="Narkisim"/>
          <w:sz w:val="20"/>
          <w:szCs w:val="20"/>
          <w:rtl/>
        </w:rPr>
        <w:t>[דהכל שם אשת אח]</w:t>
      </w:r>
      <w:r w:rsidRPr="00012502">
        <w:rPr>
          <w:rFonts w:ascii="Narkisim" w:hAnsi="Narkisim"/>
          <w:rtl/>
        </w:rPr>
        <w:t>, אבל כשבאין להתיר צריך להתיר כל סיבת איסור, והוה ב' איסורי, והיא ממ"נ אסורה.</w:t>
      </w:r>
      <w:r w:rsidRPr="00012502">
        <w:rPr>
          <w:rFonts w:ascii="Narkisim" w:hAnsi="Narkisim"/>
          <w:sz w:val="20"/>
          <w:szCs w:val="20"/>
          <w:rtl/>
        </w:rPr>
        <w:t xml:space="preserve"> [וכן אשת אח מאם לתוס' הרא"ש נחשב שם 'אשת אח' אחד. אבל אין היתר לסיבת אשת אח מאם]. </w:t>
      </w:r>
      <w:r w:rsidRPr="00012502">
        <w:rPr>
          <w:rFonts w:ascii="Narkisim" w:hAnsi="Narkisim"/>
          <w:rtl/>
        </w:rPr>
        <w:t>וע"ע חי' הגר"נ.</w:t>
      </w:r>
    </w:p>
    <w:p w14:paraId="2D3B0C16"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וה</w:t>
      </w:r>
      <w:r w:rsidRPr="00012502">
        <w:rPr>
          <w:rFonts w:ascii="Narkisim" w:hAnsi="Narkisim" w:cs="Narkisim"/>
          <w:b/>
          <w:bCs/>
          <w:rtl/>
        </w:rPr>
        <w:t xml:space="preserve">תוס' הרא"ש </w:t>
      </w:r>
      <w:r w:rsidRPr="00012502">
        <w:rPr>
          <w:rFonts w:ascii="Narkisim" w:hAnsi="Narkisim" w:cs="Narkisim"/>
          <w:rtl/>
        </w:rPr>
        <w:t xml:space="preserve">הוסיף 'וכן אשת אחיו מאמו'. </w:t>
      </w:r>
      <w:r w:rsidRPr="00012502">
        <w:rPr>
          <w:rFonts w:ascii="Narkisim" w:hAnsi="Narkisim" w:cs="Narkisim"/>
          <w:sz w:val="20"/>
          <w:szCs w:val="20"/>
          <w:rtl/>
        </w:rPr>
        <w:t>[ואף בזה הכל הוה שם אשת אח, וחדא איסורא. ולא אמרי' דאשת אח מאב ומאם הוה ב' איסורין]</w:t>
      </w:r>
      <w:r w:rsidRPr="00012502">
        <w:rPr>
          <w:rFonts w:ascii="Narkisim" w:hAnsi="Narkisim" w:cs="Narkisim"/>
          <w:rtl/>
        </w:rPr>
        <w:t>.</w:t>
      </w:r>
    </w:p>
    <w:p w14:paraId="4D4B6A01" w14:textId="77777777" w:rsidR="00BE1D1C" w:rsidRPr="00012502" w:rsidRDefault="00000000" w:rsidP="00012502">
      <w:pPr>
        <w:pStyle w:val="aa"/>
        <w:bidi/>
        <w:rPr>
          <w:rFonts w:ascii="Narkisim" w:hAnsi="Narkisim"/>
        </w:rPr>
      </w:pPr>
      <w:r w:rsidRPr="00012502">
        <w:rPr>
          <w:rFonts w:ascii="Narkisim" w:hAnsi="Narkisim"/>
          <w:u w:val="single"/>
          <w:rtl/>
        </w:rPr>
        <w:t>בא"ד כיון דאיילונית לאו בת יבום בשום מקום חשיבא צרתה וכו' שלא במקום מצוה וכו'</w:t>
      </w:r>
      <w:r w:rsidRPr="00012502">
        <w:rPr>
          <w:rFonts w:ascii="Narkisim" w:hAnsi="Narkisim"/>
          <w:rtl/>
        </w:rPr>
        <w:t xml:space="preserve">. וכ"כ </w:t>
      </w:r>
      <w:r w:rsidRPr="00012502">
        <w:rPr>
          <w:rFonts w:ascii="Narkisim" w:hAnsi="Narkisim"/>
          <w:b/>
          <w:bCs/>
          <w:rtl/>
        </w:rPr>
        <w:t>רש"י</w:t>
      </w:r>
      <w:r w:rsidRPr="00012502">
        <w:rPr>
          <w:rFonts w:ascii="Narkisim" w:hAnsi="Narkisim"/>
          <w:rtl/>
        </w:rPr>
        <w:t xml:space="preserve"> (יב:) בשם בה"ג, ותוס' הוסיפו הלשון ב'שום מקום'. [וע"ע לקמן].</w:t>
      </w:r>
    </w:p>
    <w:p w14:paraId="612E832D" w14:textId="77777777" w:rsidR="00BE1D1C" w:rsidRPr="00012502" w:rsidRDefault="00000000" w:rsidP="00012502">
      <w:pPr>
        <w:bidi/>
        <w:rPr>
          <w:rFonts w:ascii="Narkisim" w:hAnsi="Narkisim" w:cs="Narkisim"/>
        </w:rPr>
      </w:pPr>
      <w:r w:rsidRPr="00012502">
        <w:rPr>
          <w:rFonts w:ascii="Narkisim" w:hAnsi="Narkisim" w:cs="Narkisim"/>
          <w:u w:val="single"/>
          <w:rtl/>
        </w:rPr>
        <w:t>רבא אמר ערוה [גופה] ל"צ קרא וכו' כי איצטריך קרא למיסר צרה וכו'.</w:t>
      </w:r>
      <w:r w:rsidRPr="00012502">
        <w:rPr>
          <w:rFonts w:ascii="Narkisim" w:hAnsi="Narkisim" w:cs="Narkisim"/>
          <w:rtl/>
        </w:rPr>
        <w:t xml:space="preserve"> ה</w:t>
      </w:r>
      <w:r w:rsidRPr="00012502">
        <w:rPr>
          <w:rFonts w:ascii="Narkisim" w:hAnsi="Narkisim" w:cs="Narkisim"/>
          <w:b/>
          <w:bCs/>
          <w:rtl/>
        </w:rPr>
        <w:t>אחרונים</w:t>
      </w:r>
      <w:r w:rsidRPr="00012502">
        <w:rPr>
          <w:rFonts w:ascii="Narkisim" w:hAnsi="Narkisim" w:cs="Narkisim"/>
          <w:rtl/>
        </w:rPr>
        <w:t xml:space="preserve"> דנו דעכ"פ נימא דאיצטריך קרא דהוה גדר 'פטור', ואי"צ חליצה. וה</w:t>
      </w:r>
      <w:r w:rsidRPr="00012502">
        <w:rPr>
          <w:rFonts w:ascii="Narkisim" w:hAnsi="Narkisim" w:cs="Narkisim"/>
          <w:b/>
          <w:bCs/>
          <w:rtl/>
        </w:rPr>
        <w:t>אחרונים</w:t>
      </w:r>
      <w:r w:rsidRPr="00012502">
        <w:rPr>
          <w:rFonts w:ascii="Narkisim" w:hAnsi="Narkisim" w:cs="Narkisim"/>
          <w:rtl/>
        </w:rPr>
        <w:t xml:space="preserve"> דנו די"ל דאי"צ חליצה משום דין 'כל שאינו עולה ליבום'.</w:t>
      </w:r>
    </w:p>
    <w:p w14:paraId="506B34E1"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אחרונים</w:t>
      </w:r>
      <w:r w:rsidRPr="00012502">
        <w:rPr>
          <w:rFonts w:ascii="Narkisim" w:hAnsi="Narkisim"/>
          <w:rtl/>
        </w:rPr>
        <w:t xml:space="preserve"> (ברכ"ש ד, קובה"ע ה ט) ביארו דכוונת רבא דלולי קרא לא היתה מתייבמת. ומ"מ בתר קרא ד'עליה' ילפי' דהוה בגדר 'פטור'.</w:t>
      </w:r>
    </w:p>
    <w:p w14:paraId="3BD88C48"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(ו: בשם תוס') כת' דכוונת רבא לדחוק את דברי הברייתא (ג:), דהא דאי' שומע אני אפי' בא' מכל העריות [ומשמע דס"ד דערוה מתייבמת], לאו דוקא. ונקיט ליה משום שיטפא דצרות. ואילו הגמ' עד כאן באה ליישב את הברייתא דמשמע דס"ד דערוה מתייבמת</w:t>
      </w:r>
      <w:r w:rsidRPr="00012502">
        <w:rPr>
          <w:rStyle w:val="ac"/>
          <w:rFonts w:ascii="Narkisim" w:hAnsi="Narkisim"/>
          <w:rtl/>
        </w:rPr>
        <w:footnoteReference w:id="424"/>
      </w:r>
      <w:r w:rsidRPr="00012502">
        <w:rPr>
          <w:rFonts w:ascii="Narkisim" w:hAnsi="Narkisim"/>
          <w:rtl/>
        </w:rPr>
        <w:t>.</w:t>
      </w:r>
    </w:p>
    <w:p w14:paraId="7D8A7940"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רמב"ם</w:t>
      </w:r>
      <w:r w:rsidRPr="00012502">
        <w:rPr>
          <w:rFonts w:ascii="Narkisim" w:hAnsi="Narkisim" w:cs="Narkisim"/>
          <w:rtl/>
        </w:rPr>
        <w:t xml:space="preserve"> (ו ח,ט, וכן בפיה"מ) כת' ואלו שהן פטורות מן החליצה ומן היבום, ודרש 'ולקחה לו לאשה' פרט לערוה שאין לו בה ליקוחין</w:t>
      </w:r>
      <w:r w:rsidRPr="00012502">
        <w:rPr>
          <w:rStyle w:val="ac"/>
          <w:rFonts w:ascii="Narkisim" w:hAnsi="Narkisim" w:cs="Narkisim"/>
          <w:rtl/>
        </w:rPr>
        <w:footnoteReference w:id="425"/>
      </w:r>
      <w:r w:rsidRPr="00012502">
        <w:rPr>
          <w:rFonts w:ascii="Narkisim" w:hAnsi="Narkisim" w:cs="Narkisim"/>
          <w:rtl/>
        </w:rPr>
        <w:t>. ומבואר דערוה גופיה ילפי' מקרא. ו</w:t>
      </w:r>
      <w:r w:rsidRPr="00012502">
        <w:rPr>
          <w:rFonts w:ascii="Narkisim" w:hAnsi="Narkisim" w:cs="Narkisim"/>
          <w:b/>
          <w:bCs/>
          <w:rtl/>
        </w:rPr>
        <w:t>ה"ה</w:t>
      </w:r>
      <w:r w:rsidRPr="00012502">
        <w:rPr>
          <w:rFonts w:ascii="Narkisim" w:hAnsi="Narkisim" w:cs="Narkisim"/>
          <w:rtl/>
        </w:rPr>
        <w:t xml:space="preserve"> הק' דאמרי' כאן דערוה ל"צ קרא</w:t>
      </w:r>
      <w:r w:rsidRPr="00012502">
        <w:rPr>
          <w:rStyle w:val="ac"/>
          <w:rFonts w:ascii="Narkisim" w:hAnsi="Narkisim" w:cs="Narkisim"/>
          <w:rtl/>
        </w:rPr>
        <w:footnoteReference w:id="426"/>
      </w:r>
      <w:r w:rsidRPr="00012502">
        <w:rPr>
          <w:rFonts w:ascii="Narkisim" w:hAnsi="Narkisim" w:cs="Narkisim"/>
          <w:rtl/>
        </w:rPr>
        <w:t>, וכת' דמ"מ הרמב"ם נקט פשטא דברייתא</w:t>
      </w:r>
      <w:r w:rsidRPr="00012502">
        <w:rPr>
          <w:rStyle w:val="ac"/>
          <w:rFonts w:ascii="Narkisim" w:hAnsi="Narkisim" w:cs="Narkisim"/>
          <w:rtl/>
        </w:rPr>
        <w:footnoteReference w:id="427"/>
      </w:r>
      <w:r w:rsidRPr="00012502">
        <w:rPr>
          <w:rFonts w:ascii="Narkisim" w:hAnsi="Narkisim" w:cs="Narkisim"/>
          <w:rtl/>
        </w:rPr>
        <w:t>, וכסוגיא קמייתא. וכת' דהרמב"ם לא חשש למסקנא, דאין זה מעלה ומוריד לעיקר הדין. וע"ע ערול"נ.</w:t>
      </w:r>
    </w:p>
    <w:p w14:paraId="445A76F3" w14:textId="77777777" w:rsidR="00BE1D1C" w:rsidRPr="00012502" w:rsidRDefault="00000000" w:rsidP="00012502">
      <w:pPr>
        <w:pStyle w:val="a8"/>
        <w:bidi/>
        <w:rPr>
          <w:rFonts w:ascii="Narkisim" w:hAnsi="Narkisim"/>
        </w:rPr>
      </w:pPr>
      <w:r w:rsidRPr="00012502">
        <w:rPr>
          <w:rFonts w:ascii="Narkisim" w:hAnsi="Narkisim"/>
          <w:rtl/>
        </w:rPr>
        <w:t>ויש שביארו דכוונת הרמב"ם להביא דרשא דיש בה 'פטור' [ומש"ה אי"צ חליצה</w:t>
      </w:r>
      <w:r w:rsidRPr="00012502">
        <w:rPr>
          <w:rStyle w:val="ac"/>
          <w:rFonts w:ascii="Narkisim" w:hAnsi="Narkisim"/>
          <w:rtl/>
        </w:rPr>
        <w:footnoteReference w:id="428"/>
      </w:r>
      <w:r w:rsidRPr="00012502">
        <w:rPr>
          <w:rFonts w:ascii="Narkisim" w:hAnsi="Narkisim"/>
          <w:rtl/>
        </w:rPr>
        <w:t>]. אך מ"מ אף בלאו הכי פשוט שאינו דוחה לאיסור.</w:t>
      </w:r>
    </w:p>
    <w:p w14:paraId="5D9214ED" w14:textId="77777777" w:rsidR="00BE1D1C" w:rsidRPr="00012502" w:rsidRDefault="00000000" w:rsidP="00012502">
      <w:pPr>
        <w:pStyle w:val="aa"/>
        <w:bidi/>
        <w:rPr>
          <w:rFonts w:ascii="Narkisim" w:hAnsi="Narkisim"/>
        </w:rPr>
      </w:pPr>
      <w:r w:rsidRPr="00012502">
        <w:rPr>
          <w:rFonts w:ascii="Narkisim" w:hAnsi="Narkisim"/>
          <w:u w:val="single"/>
          <w:rtl/>
        </w:rPr>
        <w:t>תוד"ה כי</w:t>
      </w:r>
      <w:r w:rsidRPr="00012502">
        <w:rPr>
          <w:rFonts w:ascii="Narkisim" w:hAnsi="Narkisim"/>
          <w:rtl/>
        </w:rPr>
        <w:t>. תימה דהיכי טעי וכו' כיון דצרה מלצרור נפקא, ויש כרת בצרה כמו ערוה וכו'. [וכגמ' בסמוך]. ומבואר דתוס' תלו קו' בהא דיש כרת בצרה [כדאי' לעיל דילפי' עונש]. דאי ליכא כרת בצרה, ולצרור הוה איסור בעלמא</w:t>
      </w:r>
      <w:r w:rsidRPr="00012502">
        <w:rPr>
          <w:rStyle w:val="ac"/>
          <w:rFonts w:ascii="Narkisim" w:hAnsi="Narkisim"/>
          <w:rtl/>
        </w:rPr>
        <w:footnoteReference w:id="429"/>
      </w:r>
      <w:r w:rsidRPr="00012502">
        <w:rPr>
          <w:rFonts w:ascii="Narkisim" w:hAnsi="Narkisim"/>
          <w:rtl/>
        </w:rPr>
        <w:t>, א"כ ס"ד דמצוות יבום דחי</w:t>
      </w:r>
      <w:r w:rsidRPr="00012502">
        <w:rPr>
          <w:rStyle w:val="ac"/>
          <w:rFonts w:ascii="Narkisim" w:hAnsi="Narkisim"/>
          <w:rtl/>
        </w:rPr>
        <w:footnoteReference w:id="430"/>
      </w:r>
      <w:r w:rsidRPr="00012502">
        <w:rPr>
          <w:rFonts w:ascii="Narkisim" w:hAnsi="Narkisim"/>
          <w:rtl/>
        </w:rPr>
        <w:t>.</w:t>
      </w:r>
    </w:p>
    <w:p w14:paraId="4839C155"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צרה נמי לא תיבעי קרא וכו'.</w:t>
      </w:r>
      <w:r w:rsidRPr="00012502">
        <w:rPr>
          <w:rFonts w:ascii="Narkisim" w:hAnsi="Narkisim" w:cs="Narkisim"/>
          <w:rtl/>
        </w:rPr>
        <w:t xml:space="preserve"> פ</w:t>
      </w:r>
      <w:r w:rsidRPr="00012502">
        <w:rPr>
          <w:rFonts w:ascii="Narkisim" w:hAnsi="Narkisim" w:cs="Narkisim"/>
          <w:b/>
          <w:bCs/>
          <w:rtl/>
        </w:rPr>
        <w:t xml:space="preserve">רש"י </w:t>
      </w:r>
      <w:r w:rsidRPr="00012502">
        <w:rPr>
          <w:rFonts w:ascii="Narkisim" w:hAnsi="Narkisim" w:cs="Narkisim"/>
          <w:rtl/>
        </w:rPr>
        <w:t>קרא ד'עליה', כיון דכתיב 'לצרור', וכתיב כרת בסוף העריות [וכדילפי' לעיל ג: עונש בצרת ערוה]</w:t>
      </w:r>
      <w:r w:rsidRPr="00012502">
        <w:rPr>
          <w:rStyle w:val="ac"/>
          <w:rFonts w:ascii="Narkisim" w:hAnsi="Narkisim" w:cs="Narkisim"/>
          <w:rtl/>
        </w:rPr>
        <w:footnoteReference w:id="431"/>
      </w:r>
      <w:r w:rsidRPr="00012502">
        <w:rPr>
          <w:rFonts w:ascii="Narkisim" w:hAnsi="Narkisim" w:cs="Narkisim"/>
          <w:rtl/>
        </w:rPr>
        <w:t>. וכ"כ ה</w:t>
      </w:r>
      <w:r w:rsidRPr="00012502">
        <w:rPr>
          <w:rFonts w:ascii="Narkisim" w:hAnsi="Narkisim" w:cs="Narkisim"/>
          <w:b/>
          <w:bCs/>
          <w:rtl/>
        </w:rPr>
        <w:t>רמב"ן</w:t>
      </w:r>
      <w:r w:rsidRPr="00012502">
        <w:rPr>
          <w:rFonts w:ascii="Narkisim" w:hAnsi="Narkisim" w:cs="Narkisim"/>
          <w:rtl/>
        </w:rPr>
        <w:t xml:space="preserve"> (ושא"ר כאן ולעיל ב:) דודאי איצטריך 'לצרור'</w:t>
      </w:r>
      <w:r w:rsidRPr="00012502">
        <w:rPr>
          <w:rStyle w:val="ac"/>
          <w:rFonts w:ascii="Narkisim" w:hAnsi="Narkisim" w:cs="Narkisim"/>
          <w:rtl/>
        </w:rPr>
        <w:footnoteReference w:id="432"/>
      </w:r>
      <w:r w:rsidRPr="00012502">
        <w:rPr>
          <w:rFonts w:ascii="Narkisim" w:hAnsi="Narkisim" w:cs="Narkisim"/>
          <w:rtl/>
        </w:rPr>
        <w:t>, דאל"כ מנ"ל דיש צד איסור בצרה [דלא שמענו כן בכל התורה, אלא מלצרור].</w:t>
      </w:r>
    </w:p>
    <w:p w14:paraId="6ABAAFAB" w14:textId="77777777" w:rsidR="00BE1D1C" w:rsidRPr="00012502" w:rsidRDefault="00000000" w:rsidP="00012502">
      <w:pPr>
        <w:bidi/>
        <w:rPr>
          <w:rFonts w:ascii="Narkisim" w:hAnsi="Narkisim" w:cs="Narkisim"/>
        </w:rPr>
      </w:pPr>
      <w:r w:rsidRPr="00012502">
        <w:rPr>
          <w:rFonts w:ascii="Narkisim" w:hAnsi="Narkisim" w:cs="Narkisim"/>
          <w:u w:val="single"/>
          <w:rtl/>
        </w:rPr>
        <w:t>שם. צרה נמי, דאין עשה דוחה ל"ת שיש בו כרת.</w:t>
      </w:r>
      <w:r w:rsidRPr="00012502">
        <w:rPr>
          <w:rFonts w:ascii="Narkisim" w:hAnsi="Narkisim" w:cs="Narkisim"/>
          <w:rtl/>
        </w:rPr>
        <w:t xml:space="preserve"> לשון הגמ' מבואר דצרת ערוה הוה איסור ל"ת שיש בו כרת, ועי"ז ידעינן דאינה מתייבמת. וכן הביא ה</w:t>
      </w:r>
      <w:r w:rsidRPr="00012502">
        <w:rPr>
          <w:rFonts w:ascii="Narkisim" w:hAnsi="Narkisim" w:cs="Narkisim"/>
          <w:b/>
          <w:bCs/>
          <w:rtl/>
        </w:rPr>
        <w:t>גרי"ז</w:t>
      </w:r>
      <w:r w:rsidRPr="00012502">
        <w:rPr>
          <w:rFonts w:ascii="Narkisim" w:hAnsi="Narkisim" w:cs="Narkisim"/>
          <w:rtl/>
        </w:rPr>
        <w:t xml:space="preserve"> (הל' יבום) דמבואר כאן דגדר 'צרת ערוה' הוה איסור עריות, ולא רק פטור מיבום. וע"ד סברת ה</w:t>
      </w:r>
      <w:r w:rsidRPr="00012502">
        <w:rPr>
          <w:rFonts w:ascii="Narkisim" w:hAnsi="Narkisim" w:cs="Narkisim"/>
          <w:b/>
          <w:bCs/>
          <w:rtl/>
        </w:rPr>
        <w:t>פורת יוסף</w:t>
      </w:r>
      <w:r w:rsidRPr="00012502">
        <w:rPr>
          <w:rFonts w:ascii="Narkisim" w:hAnsi="Narkisim" w:cs="Narkisim"/>
          <w:rtl/>
        </w:rPr>
        <w:t xml:space="preserve"> </w:t>
      </w:r>
      <w:r w:rsidRPr="00012502">
        <w:rPr>
          <w:rFonts w:ascii="Narkisim" w:hAnsi="Narkisim" w:cs="Narkisim"/>
          <w:szCs w:val="20"/>
          <w:rtl/>
        </w:rPr>
        <w:t>(לעיל ג:, ע' מה שהו' לעיל ב. וג:)</w:t>
      </w:r>
      <w:r w:rsidRPr="00012502">
        <w:rPr>
          <w:rFonts w:ascii="Narkisim" w:hAnsi="Narkisim" w:cs="Narkisim"/>
          <w:rtl/>
        </w:rPr>
        <w:t xml:space="preserve"> דיש חיוב כרת בצרת ערוה [משום שם צרת ערוה</w:t>
      </w:r>
      <w:r w:rsidRPr="00012502">
        <w:rPr>
          <w:rStyle w:val="ac"/>
          <w:rFonts w:ascii="Narkisim" w:hAnsi="Narkisim" w:cs="Narkisim"/>
          <w:rtl/>
        </w:rPr>
        <w:footnoteReference w:id="433"/>
      </w:r>
      <w:r w:rsidRPr="00012502">
        <w:rPr>
          <w:rFonts w:ascii="Narkisim" w:hAnsi="Narkisim" w:cs="Narkisim"/>
          <w:rtl/>
        </w:rPr>
        <w:t>].</w:t>
      </w:r>
    </w:p>
    <w:p w14:paraId="16F23281"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מהר"ם</w:t>
      </w:r>
      <w:r w:rsidRPr="00012502">
        <w:rPr>
          <w:rFonts w:ascii="Narkisim" w:hAnsi="Narkisim"/>
          <w:rtl/>
        </w:rPr>
        <w:t xml:space="preserve"> כת' דהשתא ס"ד דצרה אסורה אף שלא במקום מצוה, ויש חיוב כרת בצרה כערוה עצמה. ואין עשה דוחה ל"ת שיש בו כרת. ומבואר מדבריו דלמסקנא דדין צרה הוה רק במקום מצוה, א"כ הוה גדר 'פטור' ולא איסור [וכמ"ש רש"י בכ"מ]. </w:t>
      </w:r>
      <w:r w:rsidRPr="00012502">
        <w:rPr>
          <w:rFonts w:ascii="Narkisim" w:hAnsi="Narkisim"/>
          <w:sz w:val="20"/>
          <w:szCs w:val="20"/>
          <w:rtl/>
        </w:rPr>
        <w:t>[וכ"כ האחרונים].</w:t>
      </w:r>
    </w:p>
    <w:p w14:paraId="64882A3F" w14:textId="77777777" w:rsidR="00BE1D1C" w:rsidRPr="00012502" w:rsidRDefault="00000000" w:rsidP="00012502">
      <w:pPr>
        <w:pStyle w:val="aa"/>
        <w:bidi/>
        <w:rPr>
          <w:rFonts w:ascii="Narkisim" w:hAnsi="Narkisim"/>
        </w:rPr>
      </w:pPr>
      <w:r w:rsidRPr="00012502">
        <w:rPr>
          <w:rFonts w:ascii="Narkisim" w:hAnsi="Narkisim"/>
          <w:u w:val="single"/>
          <w:rtl/>
        </w:rPr>
        <w:t>תוד"ה ואילו</w:t>
      </w:r>
      <w:r w:rsidRPr="00012502">
        <w:rPr>
          <w:rFonts w:ascii="Narkisim" w:hAnsi="Narkisim"/>
          <w:rtl/>
        </w:rPr>
        <w:t>. מ"מ תנא הוצרך להשמיענו איסור בצרה שעדיין לא השמיענו בשום מקום וכו'. וה</w:t>
      </w:r>
      <w:r w:rsidRPr="00012502">
        <w:rPr>
          <w:rFonts w:ascii="Narkisim" w:hAnsi="Narkisim"/>
          <w:b/>
          <w:bCs/>
          <w:rtl/>
        </w:rPr>
        <w:t>רמב"ן</w:t>
      </w:r>
      <w:r w:rsidRPr="00012502">
        <w:rPr>
          <w:rFonts w:ascii="Narkisim" w:hAnsi="Narkisim"/>
          <w:rtl/>
        </w:rPr>
        <w:t xml:space="preserve"> כת' דאף דלא איצטריך קרא ד'עליה', עכ"פ פוטרות ילפי' מדרשא דלצרור. [ואיצטריך לתנא לאשמועינן]</w:t>
      </w:r>
      <w:r w:rsidRPr="00012502">
        <w:rPr>
          <w:rStyle w:val="ac"/>
          <w:rFonts w:ascii="Narkisim" w:hAnsi="Narkisim"/>
          <w:rtl/>
        </w:rPr>
        <w:footnoteReference w:id="434"/>
      </w:r>
      <w:r w:rsidRPr="00012502">
        <w:rPr>
          <w:rFonts w:ascii="Narkisim" w:hAnsi="Narkisim"/>
          <w:rtl/>
        </w:rPr>
        <w:t>.</w:t>
      </w:r>
    </w:p>
    <w:p w14:paraId="56C9933E" w14:textId="77777777" w:rsidR="00BE1D1C" w:rsidRPr="00012502" w:rsidRDefault="00000000" w:rsidP="00012502">
      <w:pPr>
        <w:pStyle w:val="3"/>
        <w:bidi/>
        <w:rPr>
          <w:rFonts w:ascii="Narkisim" w:hAnsi="Narkisim"/>
        </w:rPr>
      </w:pPr>
      <w:r w:rsidRPr="00012502">
        <w:rPr>
          <w:rFonts w:ascii="Narkisim" w:hAnsi="Narkisim"/>
          <w:rtl/>
        </w:rPr>
        <w:t>דף ח:</w:t>
      </w:r>
    </w:p>
    <w:p w14:paraId="0E22A1FF" w14:textId="77777777" w:rsidR="00BE1D1C" w:rsidRPr="00012502" w:rsidRDefault="00000000" w:rsidP="00012502">
      <w:pPr>
        <w:bidi/>
        <w:rPr>
          <w:rFonts w:ascii="Narkisim" w:hAnsi="Narkisim" w:cs="Narkisim"/>
        </w:rPr>
      </w:pPr>
      <w:r w:rsidRPr="00012502">
        <w:rPr>
          <w:rFonts w:ascii="Narkisim" w:hAnsi="Narkisim" w:cs="Narkisim"/>
          <w:u w:val="single"/>
          <w:rtl/>
        </w:rPr>
        <w:t>למישרי צרה שלא במקום מצוה וכו'.</w:t>
      </w:r>
      <w:r w:rsidRPr="00012502">
        <w:rPr>
          <w:rFonts w:ascii="Narkisim" w:hAnsi="Narkisim" w:cs="Narkisim"/>
          <w:rtl/>
        </w:rPr>
        <w:t xml:space="preserve"> דס"ד דאיסור לצרור הוה אפי' שלא במקום מצווה, אפי' נשואה לאחרים</w:t>
      </w:r>
      <w:r w:rsidRPr="00012502">
        <w:rPr>
          <w:rStyle w:val="ac"/>
          <w:rFonts w:ascii="Narkisim" w:hAnsi="Narkisim" w:cs="Narkisim"/>
          <w:rtl/>
        </w:rPr>
        <w:footnoteReference w:id="435"/>
      </w:r>
      <w:r w:rsidRPr="00012502">
        <w:rPr>
          <w:rFonts w:ascii="Narkisim" w:hAnsi="Narkisim" w:cs="Narkisim"/>
          <w:rtl/>
        </w:rPr>
        <w:t>. ולהך ס"ד ודאי מוכח דצרת ערוה הוה 'שם ערוה', ואסורה מצד עצמה. [ולא משום פטור מיבום].</w:t>
      </w:r>
    </w:p>
    <w:p w14:paraId="61AD5966"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פורת יוסף</w:t>
      </w:r>
      <w:r w:rsidRPr="00012502">
        <w:rPr>
          <w:rFonts w:ascii="Narkisim" w:hAnsi="Narkisim"/>
          <w:rtl/>
        </w:rPr>
        <w:t xml:space="preserve"> (</w:t>
      </w:r>
      <w:r w:rsidRPr="00012502">
        <w:rPr>
          <w:rFonts w:ascii="Narkisim" w:hAnsi="Narkisim"/>
          <w:szCs w:val="20"/>
          <w:rtl/>
        </w:rPr>
        <w:t>לפרמ"ג לעיל ג:, ועד"ז כ' הגרי"ז הל' יבום</w:t>
      </w:r>
      <w:r w:rsidRPr="00012502">
        <w:rPr>
          <w:rFonts w:ascii="Narkisim" w:hAnsi="Narkisim"/>
          <w:rtl/>
        </w:rPr>
        <w:t>) נקט דאף למסקנא הוה איסור צרת ערוה, אלא דכל הך איסור דוקא במקום מצווה. אבל מסקנת הברייתא (שם) דאין צרה אלא מאח. ופ</w:t>
      </w:r>
      <w:r w:rsidRPr="00012502">
        <w:rPr>
          <w:rFonts w:ascii="Narkisim" w:hAnsi="Narkisim"/>
          <w:b/>
          <w:bCs/>
          <w:rtl/>
        </w:rPr>
        <w:t>רש"י</w:t>
      </w:r>
      <w:r w:rsidRPr="00012502">
        <w:rPr>
          <w:rFonts w:ascii="Narkisim" w:hAnsi="Narkisim"/>
          <w:rtl/>
        </w:rPr>
        <w:t xml:space="preserve"> (לעיל ג:) הואיל ופטרה הכתוב מזיקתו, הרי היא עליו באיסור אשת אח שיש לה בנים. אבל בעלמא [שלא במקום מצווה] לא רמי' איסור אשת אח עלה.</w:t>
      </w:r>
    </w:p>
    <w:p w14:paraId="524B8CDF" w14:textId="77777777" w:rsidR="00BE1D1C" w:rsidRPr="00012502" w:rsidRDefault="00000000" w:rsidP="00012502">
      <w:pPr>
        <w:pStyle w:val="a8"/>
        <w:bidi/>
        <w:rPr>
          <w:rFonts w:ascii="Narkisim" w:hAnsi="Narkisim"/>
        </w:rPr>
      </w:pPr>
      <w:r w:rsidRPr="00012502">
        <w:rPr>
          <w:rFonts w:ascii="Narkisim" w:hAnsi="Narkisim"/>
          <w:rtl/>
        </w:rPr>
        <w:t>דאין איסור מחודש דצרת ערוה, אלא דנשאר עליו איסור אשת אח. וה</w:t>
      </w:r>
      <w:r w:rsidRPr="00012502">
        <w:rPr>
          <w:rFonts w:ascii="Narkisim" w:hAnsi="Narkisim"/>
          <w:b/>
          <w:bCs/>
          <w:rtl/>
        </w:rPr>
        <w:t>אחרונים</w:t>
      </w:r>
      <w:r w:rsidRPr="00012502">
        <w:rPr>
          <w:rFonts w:ascii="Narkisim" w:hAnsi="Narkisim"/>
          <w:rtl/>
        </w:rPr>
        <w:t xml:space="preserve"> (חזו"א קלד) ביארו דלמסקנא דהוה דוקא במקום מצוה, מסתבר דאינו איסור חדש, אלא איסור אשת אח.</w:t>
      </w:r>
    </w:p>
    <w:p w14:paraId="376839A7" w14:textId="77777777" w:rsidR="00BE1D1C" w:rsidRPr="00012502" w:rsidRDefault="00000000" w:rsidP="00012502">
      <w:pPr>
        <w:bidi/>
        <w:rPr>
          <w:rFonts w:ascii="Narkisim" w:hAnsi="Narkisim" w:cs="Narkisim"/>
        </w:rPr>
      </w:pPr>
      <w:r w:rsidRPr="00012502">
        <w:rPr>
          <w:rFonts w:ascii="Narkisim" w:hAnsi="Narkisim" w:cs="Narkisim"/>
          <w:u w:val="single"/>
          <w:rtl/>
        </w:rPr>
        <w:t>אימא ערוה גופיה שלא במקום מצוה תשתרי וכו'.</w:t>
      </w:r>
      <w:r w:rsidRPr="00012502">
        <w:rPr>
          <w:rFonts w:ascii="Narkisim" w:hAnsi="Narkisim" w:cs="Narkisim"/>
          <w:rtl/>
        </w:rPr>
        <w:t xml:space="preserve"> ה</w:t>
      </w:r>
      <w:r w:rsidRPr="00012502">
        <w:rPr>
          <w:rFonts w:ascii="Narkisim" w:hAnsi="Narkisim" w:cs="Narkisim"/>
          <w:b/>
          <w:bCs/>
          <w:rtl/>
        </w:rPr>
        <w:t>ריטב"א</w:t>
      </w:r>
      <w:r w:rsidRPr="00012502">
        <w:rPr>
          <w:rFonts w:ascii="Narkisim" w:hAnsi="Narkisim" w:cs="Narkisim"/>
          <w:rtl/>
        </w:rPr>
        <w:t xml:space="preserve"> פי' דהקושיה רק מאחות אשה, דקרא קאי אאחות אשה. אבל שאר עריות ודאי קאו אף שלא במקום מצוה. </w:t>
      </w:r>
      <w:r w:rsidRPr="00012502">
        <w:rPr>
          <w:rFonts w:ascii="Narkisim" w:hAnsi="Narkisim" w:cs="Narkisim"/>
          <w:sz w:val="20"/>
          <w:szCs w:val="20"/>
          <w:rtl/>
        </w:rPr>
        <w:t>וה</w:t>
      </w:r>
      <w:r w:rsidRPr="00012502">
        <w:rPr>
          <w:rFonts w:ascii="Narkisim" w:hAnsi="Narkisim" w:cs="Narkisim"/>
          <w:b/>
          <w:bCs/>
          <w:sz w:val="20"/>
          <w:szCs w:val="20"/>
          <w:rtl/>
        </w:rPr>
        <w:t>ערול"נ</w:t>
      </w:r>
      <w:r w:rsidRPr="00012502">
        <w:rPr>
          <w:rFonts w:ascii="Narkisim" w:hAnsi="Narkisim" w:cs="Narkisim"/>
          <w:sz w:val="20"/>
          <w:szCs w:val="20"/>
          <w:rtl/>
        </w:rPr>
        <w:t xml:space="preserve"> הוכיח דומיא דאשת אח [דבמקום מצווה מותרת, ואסורה שלא במקום מצוה]. וה</w:t>
      </w:r>
      <w:r w:rsidRPr="00012502">
        <w:rPr>
          <w:rFonts w:ascii="Narkisim" w:hAnsi="Narkisim" w:cs="Narkisim"/>
          <w:b/>
          <w:bCs/>
          <w:sz w:val="20"/>
          <w:szCs w:val="20"/>
          <w:rtl/>
        </w:rPr>
        <w:t>אחרונים</w:t>
      </w:r>
      <w:r w:rsidRPr="00012502">
        <w:rPr>
          <w:rFonts w:ascii="Narkisim" w:hAnsi="Narkisim" w:cs="Narkisim"/>
          <w:sz w:val="20"/>
          <w:szCs w:val="20"/>
          <w:rtl/>
        </w:rPr>
        <w:t xml:space="preserve"> הוסיפו דו' עריות חמורות ע"כ אסורות בכל אופן, דלא שייך מקום מצוה.</w:t>
      </w:r>
    </w:p>
    <w:p w14:paraId="34789210" w14:textId="77777777" w:rsidR="00BE1D1C" w:rsidRPr="00012502" w:rsidRDefault="00000000" w:rsidP="00012502">
      <w:pPr>
        <w:pStyle w:val="aa"/>
        <w:bidi/>
        <w:rPr>
          <w:rFonts w:ascii="Narkisim" w:hAnsi="Narkisim"/>
        </w:rPr>
      </w:pPr>
      <w:r w:rsidRPr="00012502">
        <w:rPr>
          <w:rFonts w:ascii="Narkisim" w:hAnsi="Narkisim"/>
          <w:u w:val="single"/>
          <w:rtl/>
        </w:rPr>
        <w:t>ולאו ק"ו הוא וכו' א"ל צרה תוכיח דבמקום מצוה אסירא ושלא במקום מצוה שריא וכו'</w:t>
      </w:r>
      <w:r w:rsidRPr="00012502">
        <w:rPr>
          <w:rFonts w:ascii="Narkisim" w:hAnsi="Narkisim"/>
          <w:rtl/>
        </w:rPr>
        <w:t>. לדברי הפורת יוסף (הנ"ל) ניחא, דאיסור צרת ערוה הוה איסור דוקא במקום מצווה, ושלא במקום מצווה מותרת</w:t>
      </w:r>
      <w:r w:rsidRPr="00012502">
        <w:rPr>
          <w:rStyle w:val="ac"/>
          <w:rFonts w:ascii="Narkisim" w:hAnsi="Narkisim"/>
          <w:rtl/>
        </w:rPr>
        <w:footnoteReference w:id="436"/>
      </w:r>
      <w:r w:rsidRPr="00012502">
        <w:rPr>
          <w:rFonts w:ascii="Narkisim" w:hAnsi="Narkisim"/>
          <w:rtl/>
        </w:rPr>
        <w:t>. אבל לצד דצרת ערוה הוה גדר 'פטור' צ"ב הוכחת הגמ'. [וכן הוכיח הגרי"ז דהוה גדר 'איסור' לצרה]. ואפשר דאפ"ה שייך בזה פירכא לק"ו, אף שיש טעם אחר לדין זה. ועוד פי' ב</w:t>
      </w:r>
      <w:r w:rsidRPr="00012502">
        <w:rPr>
          <w:rFonts w:ascii="Narkisim" w:hAnsi="Narkisim"/>
          <w:b/>
          <w:bCs/>
          <w:rtl/>
        </w:rPr>
        <w:t>חי' ר' שמואל</w:t>
      </w:r>
      <w:r w:rsidRPr="00012502">
        <w:rPr>
          <w:rFonts w:ascii="Narkisim" w:hAnsi="Narkisim"/>
          <w:rtl/>
        </w:rPr>
        <w:t xml:space="preserve"> (ב) דס"ד דאחות אשה הוה גדר פטור מיבום, ולא איסור ערוה.</w:t>
      </w:r>
    </w:p>
    <w:p w14:paraId="108833DA" w14:textId="77777777" w:rsidR="00BE1D1C" w:rsidRPr="00012502" w:rsidRDefault="00000000" w:rsidP="00012502">
      <w:pPr>
        <w:pStyle w:val="a8"/>
        <w:bidi/>
        <w:rPr>
          <w:rFonts w:ascii="Narkisim" w:hAnsi="Narkisim"/>
        </w:rPr>
      </w:pPr>
      <w:r w:rsidRPr="00012502">
        <w:rPr>
          <w:rFonts w:ascii="Narkisim" w:hAnsi="Narkisim"/>
          <w:rtl/>
        </w:rPr>
        <w:t>א"נ לס"ד דהכא צרת ערוה הוה גדר איסור דוקא במקום מצוה, ודוקא למסקנא אמרי' [מכח ק"ו זה] דאינו שם איסור, אלא גדר פטור.</w:t>
      </w:r>
    </w:p>
    <w:p w14:paraId="5439E2F9" w14:textId="77777777" w:rsidR="00BE1D1C" w:rsidRPr="00012502" w:rsidRDefault="00000000" w:rsidP="00012502">
      <w:pPr>
        <w:pStyle w:val="aa"/>
        <w:bidi/>
        <w:rPr>
          <w:rFonts w:ascii="Narkisim" w:hAnsi="Narkisim"/>
        </w:rPr>
      </w:pPr>
      <w:r w:rsidRPr="00012502">
        <w:rPr>
          <w:rFonts w:ascii="Narkisim" w:hAnsi="Narkisim"/>
          <w:u w:val="single"/>
          <w:rtl/>
        </w:rPr>
        <w:t>ממאי דהאי עליה דאיסורא, דלמא להיתירא וכו'.</w:t>
      </w:r>
      <w:r w:rsidRPr="00012502">
        <w:rPr>
          <w:rFonts w:ascii="Narkisim" w:hAnsi="Narkisim"/>
          <w:rtl/>
        </w:rPr>
        <w:t xml:space="preserve"> </w:t>
      </w:r>
      <w:r w:rsidRPr="00012502">
        <w:rPr>
          <w:rFonts w:ascii="Narkisim" w:hAnsi="Narkisim"/>
          <w:b/>
          <w:bCs/>
          <w:rtl/>
        </w:rPr>
        <w:t>תוס</w:t>
      </w:r>
      <w:r w:rsidRPr="00012502">
        <w:rPr>
          <w:rFonts w:ascii="Narkisim" w:hAnsi="Narkisim"/>
          <w:rtl/>
        </w:rPr>
        <w:t>' (לעיל ג: ד"ה טעמא וה</w:t>
      </w:r>
      <w:r w:rsidRPr="00012502">
        <w:rPr>
          <w:rFonts w:ascii="Narkisim" w:hAnsi="Narkisim"/>
          <w:b/>
          <w:bCs/>
          <w:rtl/>
        </w:rPr>
        <w:t>תוס' הרא"ש</w:t>
      </w:r>
      <w:r w:rsidRPr="00012502">
        <w:rPr>
          <w:rFonts w:ascii="Narkisim" w:hAnsi="Narkisim"/>
          <w:rtl/>
        </w:rPr>
        <w:t xml:space="preserve"> כאן) ביארו </w:t>
      </w:r>
      <w:r w:rsidRPr="00012502">
        <w:rPr>
          <w:rFonts w:ascii="Narkisim" w:hAnsi="Narkisim"/>
          <w:rtl/>
        </w:rPr>
        <w:lastRenderedPageBreak/>
        <w:t>דמסתבר טפי לדרוש לגופה להיתירא. והוסיפו דקושיה זו קאי רק אליבא דרבא דערוה גופה לא צריך קרא ד'עליה' כלל</w:t>
      </w:r>
      <w:r w:rsidRPr="00012502">
        <w:rPr>
          <w:rStyle w:val="ac"/>
          <w:rFonts w:ascii="Narkisim" w:hAnsi="Narkisim"/>
          <w:rtl/>
        </w:rPr>
        <w:footnoteReference w:id="437"/>
      </w:r>
      <w:r w:rsidRPr="00012502">
        <w:rPr>
          <w:rFonts w:ascii="Narkisim" w:hAnsi="Narkisim"/>
          <w:rtl/>
        </w:rPr>
        <w:t>, אבל למ"ד עדל"ת שיש בו כרת לא צריך קרא להתיר.</w:t>
      </w:r>
    </w:p>
    <w:p w14:paraId="4BC54DD0"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קר"א</w:t>
      </w:r>
      <w:r w:rsidRPr="00012502">
        <w:rPr>
          <w:rFonts w:ascii="Narkisim" w:hAnsi="Narkisim"/>
          <w:rtl/>
        </w:rPr>
        <w:t xml:space="preserve"> ו</w:t>
      </w:r>
      <w:r w:rsidRPr="00012502">
        <w:rPr>
          <w:rFonts w:ascii="Narkisim" w:hAnsi="Narkisim"/>
          <w:b/>
          <w:bCs/>
          <w:rtl/>
        </w:rPr>
        <w:t>רע"א</w:t>
      </w:r>
      <w:r w:rsidRPr="00012502">
        <w:rPr>
          <w:rFonts w:ascii="Narkisim" w:hAnsi="Narkisim"/>
          <w:rtl/>
        </w:rPr>
        <w:t xml:space="preserve"> (לעיל) הקשו דאף לצד דעדל"ת דכרת, מ"מ י"ל דבעינן קרא ד'עליה' להתיר ביאה שניה.</w:t>
      </w:r>
    </w:p>
    <w:p w14:paraId="6B46F8DB" w14:textId="77777777" w:rsidR="00BE1D1C" w:rsidRPr="00012502" w:rsidRDefault="00000000" w:rsidP="00012502">
      <w:pPr>
        <w:bidi/>
        <w:rPr>
          <w:rFonts w:ascii="Narkisim" w:hAnsi="Narkisim" w:cs="Narkisim"/>
        </w:rPr>
      </w:pPr>
      <w:r w:rsidRPr="00012502">
        <w:rPr>
          <w:rFonts w:ascii="Narkisim" w:hAnsi="Narkisim" w:cs="Narkisim"/>
          <w:u w:val="single"/>
          <w:rtl/>
        </w:rPr>
        <w:t>תוד"ה מאי.</w:t>
      </w:r>
      <w:r w:rsidRPr="00012502">
        <w:rPr>
          <w:rFonts w:ascii="Narkisim" w:hAnsi="Narkisim" w:cs="Narkisim"/>
          <w:rtl/>
        </w:rPr>
        <w:t xml:space="preserve"> סו"ד ולמ"ד ערוה ל"צ קרא ניחא. ה</w:t>
      </w:r>
      <w:r w:rsidRPr="00012502">
        <w:rPr>
          <w:rFonts w:ascii="Narkisim" w:hAnsi="Narkisim" w:cs="Narkisim"/>
          <w:b/>
          <w:bCs/>
          <w:rtl/>
        </w:rPr>
        <w:t>תוס' הרא"ש</w:t>
      </w:r>
      <w:r w:rsidRPr="00012502">
        <w:rPr>
          <w:rFonts w:ascii="Narkisim" w:hAnsi="Narkisim" w:cs="Narkisim"/>
          <w:rtl/>
        </w:rPr>
        <w:t xml:space="preserve"> הוסיף דהכי סבר רבי, דדרש 'ולקחה' דאי בעי האי נסיב, ואת"ל ערוה שרי, א"כ אי בעי שניהם. </w:t>
      </w:r>
      <w:r w:rsidRPr="00012502">
        <w:rPr>
          <w:rFonts w:ascii="Narkisim" w:hAnsi="Narkisim" w:cs="Narkisim"/>
          <w:sz w:val="20"/>
          <w:szCs w:val="20"/>
          <w:rtl/>
        </w:rPr>
        <w:t>[וכ"כ הרש"ש, וע' ראמ"ה].</w:t>
      </w:r>
    </w:p>
    <w:p w14:paraId="1CC5D0AA" w14:textId="77777777" w:rsidR="00BE1D1C" w:rsidRPr="00012502" w:rsidRDefault="00000000" w:rsidP="00012502">
      <w:pPr>
        <w:bidi/>
        <w:rPr>
          <w:rFonts w:ascii="Narkisim" w:hAnsi="Narkisim" w:cs="Narkisim"/>
        </w:rPr>
      </w:pPr>
      <w:r w:rsidRPr="00012502">
        <w:rPr>
          <w:rFonts w:ascii="Narkisim" w:hAnsi="Narkisim" w:cs="Narkisim"/>
          <w:u w:val="single"/>
          <w:rtl/>
        </w:rPr>
        <w:t>גופא רבי אמר ולקח ולקחה וכו'.</w:t>
      </w:r>
      <w:r w:rsidRPr="00012502">
        <w:rPr>
          <w:rFonts w:ascii="Narkisim" w:hAnsi="Narkisim" w:cs="Narkisim"/>
          <w:rtl/>
        </w:rPr>
        <w:t xml:space="preserve"> </w:t>
      </w:r>
      <w:r w:rsidRPr="00012502">
        <w:rPr>
          <w:rFonts w:ascii="Narkisim" w:hAnsi="Narkisim" w:cs="Narkisim"/>
          <w:b/>
          <w:bCs/>
          <w:rtl/>
        </w:rPr>
        <w:t>רש"י</w:t>
      </w:r>
      <w:r w:rsidRPr="00012502">
        <w:rPr>
          <w:rFonts w:ascii="Narkisim" w:hAnsi="Narkisim" w:cs="Narkisim"/>
          <w:rtl/>
        </w:rPr>
        <w:t xml:space="preserve"> (ד"ה א"כ) כתב דצרות צרותיהם נמי, כיון דנפלה נדחית נאסרה לעולם</w:t>
      </w:r>
      <w:r w:rsidRPr="00012502">
        <w:rPr>
          <w:rStyle w:val="ac"/>
          <w:rFonts w:ascii="Narkisim" w:hAnsi="Narkisim" w:cs="Narkisim"/>
          <w:rtl/>
        </w:rPr>
        <w:footnoteReference w:id="438"/>
      </w:r>
      <w:r w:rsidRPr="00012502">
        <w:rPr>
          <w:rFonts w:ascii="Narkisim" w:hAnsi="Narkisim" w:cs="Narkisim"/>
          <w:rtl/>
        </w:rPr>
        <w:t xml:space="preserve"> וכו'. ו</w:t>
      </w:r>
      <w:r w:rsidRPr="00012502">
        <w:rPr>
          <w:rFonts w:ascii="Narkisim" w:hAnsi="Narkisim" w:cs="Narkisim"/>
          <w:b/>
          <w:bCs/>
          <w:rtl/>
        </w:rPr>
        <w:t>רע"א</w:t>
      </w:r>
      <w:r w:rsidRPr="00012502">
        <w:rPr>
          <w:rFonts w:ascii="Narkisim" w:hAnsi="Narkisim" w:cs="Narkisim"/>
          <w:rtl/>
        </w:rPr>
        <w:t xml:space="preserve"> (משניות ה) הביא דמבואר מדברי רש"י דאי"צ קרא לפטור צרת צרה, דבנפילה שניה הו"ל צרת אשת אח דנאסרה </w:t>
      </w:r>
      <w:r w:rsidRPr="00012502">
        <w:rPr>
          <w:rFonts w:ascii="Narkisim" w:hAnsi="Narkisim" w:cs="Narkisim"/>
          <w:sz w:val="20"/>
          <w:szCs w:val="20"/>
          <w:rtl/>
        </w:rPr>
        <w:t>ורע"א הקש' דאף לרבנן אמאי בעי קרא לצרת צרה, דכיון דהצרה פטורה יש ערות אשת אח [וכמ"ש תוס' לב. דאשת אח דעריות פוטרת]. [והו' לעיל ב.]</w:t>
      </w:r>
      <w:r w:rsidRPr="00012502">
        <w:rPr>
          <w:rFonts w:ascii="Narkisim" w:hAnsi="Narkisim" w:cs="Narkisim"/>
          <w:rtl/>
        </w:rPr>
        <w:t>.</w:t>
      </w:r>
    </w:p>
    <w:p w14:paraId="6BE2BAD5"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w:t>
      </w:r>
      <w:r w:rsidRPr="00012502">
        <w:rPr>
          <w:rFonts w:ascii="Narkisim" w:hAnsi="Narkisim"/>
          <w:szCs w:val="20"/>
          <w:rtl/>
        </w:rPr>
        <w:t>חי' ר' שמעון)</w:t>
      </w:r>
      <w:r w:rsidRPr="00012502">
        <w:rPr>
          <w:rFonts w:ascii="Narkisim" w:hAnsi="Narkisim"/>
          <w:rtl/>
        </w:rPr>
        <w:t xml:space="preserve"> תי' דכ"ז לרבי דגדר הפטור כיון דאין ב' ליקוחין בפועל, והיכא דליכא ב' ליקוחין פטר, ולא בעי דין ערוה [וע' תוס' ד"ה כל</w:t>
      </w:r>
      <w:r w:rsidRPr="00012502">
        <w:rPr>
          <w:rStyle w:val="ac"/>
          <w:rFonts w:ascii="Narkisim" w:hAnsi="Narkisim"/>
          <w:rtl/>
        </w:rPr>
        <w:footnoteReference w:id="439"/>
      </w:r>
      <w:r w:rsidRPr="00012502">
        <w:rPr>
          <w:rFonts w:ascii="Narkisim" w:hAnsi="Narkisim"/>
          <w:rtl/>
        </w:rPr>
        <w:t>].</w:t>
      </w:r>
      <w:r w:rsidRPr="00012502">
        <w:rPr>
          <w:rFonts w:ascii="Narkisim" w:hAnsi="Narkisim"/>
          <w:sz w:val="20"/>
          <w:szCs w:val="20"/>
          <w:rtl/>
        </w:rPr>
        <w:t xml:space="preserve"> והביאו עוד מתוס' (י. ד"ה לעולם) דלרבי בעלת התנאי פטרה לצרה, אע"ג דלא דמי לאחות אשה</w:t>
      </w:r>
      <w:r w:rsidRPr="00012502">
        <w:rPr>
          <w:rStyle w:val="ac"/>
          <w:rFonts w:ascii="Narkisim" w:hAnsi="Narkisim"/>
          <w:sz w:val="20"/>
          <w:szCs w:val="20"/>
          <w:rtl/>
        </w:rPr>
        <w:footnoteReference w:id="440"/>
      </w:r>
      <w:r w:rsidRPr="00012502">
        <w:rPr>
          <w:rFonts w:ascii="Narkisim" w:hAnsi="Narkisim"/>
          <w:sz w:val="20"/>
          <w:szCs w:val="20"/>
          <w:rtl/>
        </w:rPr>
        <w:t>.</w:t>
      </w:r>
    </w:p>
    <w:p w14:paraId="74267C9B" w14:textId="77777777" w:rsidR="00BE1D1C" w:rsidRPr="00012502" w:rsidRDefault="00000000" w:rsidP="00012502">
      <w:pPr>
        <w:bidi/>
        <w:rPr>
          <w:rFonts w:ascii="Narkisim" w:hAnsi="Narkisim" w:cs="Narkisim"/>
        </w:rPr>
      </w:pPr>
      <w:r w:rsidRPr="00012502">
        <w:rPr>
          <w:rFonts w:ascii="Narkisim" w:hAnsi="Narkisim" w:cs="Narkisim"/>
          <w:u w:val="single"/>
          <w:rtl/>
        </w:rPr>
        <w:t>שם. רבי אומר ולקח ולקחה וכו' כל היכא דאיכא ב' ליקוחין</w:t>
      </w:r>
      <w:r w:rsidRPr="00012502">
        <w:rPr>
          <w:rFonts w:ascii="Narkisim" w:hAnsi="Narkisim" w:cs="Narkisim"/>
          <w:rtl/>
        </w:rPr>
        <w:t>. ה</w:t>
      </w:r>
      <w:r w:rsidRPr="00012502">
        <w:rPr>
          <w:rFonts w:ascii="Narkisim" w:hAnsi="Narkisim" w:cs="Narkisim"/>
          <w:b/>
          <w:bCs/>
          <w:rtl/>
        </w:rPr>
        <w:t>גרי"ז</w:t>
      </w:r>
      <w:r w:rsidRPr="00012502">
        <w:rPr>
          <w:rFonts w:ascii="Narkisim" w:hAnsi="Narkisim" w:cs="Narkisim"/>
          <w:rtl/>
        </w:rPr>
        <w:t xml:space="preserve"> (הל' יבום ד"ה והנה בתוס') הביא דשאני גדר פטור צרה אליבא דרבי, מגדר דתנא דלצרור. והגרי"ז האריך לייסד דלמ"ד דילפי' לצרור הוה גדר 'איסור' על הצרה</w:t>
      </w:r>
      <w:r w:rsidRPr="00012502">
        <w:rPr>
          <w:rStyle w:val="ac"/>
          <w:rFonts w:ascii="Narkisim" w:hAnsi="Narkisim" w:cs="Narkisim"/>
          <w:rtl/>
        </w:rPr>
        <w:footnoteReference w:id="441"/>
      </w:r>
      <w:r w:rsidRPr="00012502">
        <w:rPr>
          <w:rFonts w:ascii="Narkisim" w:hAnsi="Narkisim" w:cs="Narkisim"/>
          <w:rtl/>
        </w:rPr>
        <w:t xml:space="preserve">, דהוה צרה לערוה. </w:t>
      </w:r>
      <w:r w:rsidRPr="00012502">
        <w:rPr>
          <w:rFonts w:ascii="Narkisim" w:hAnsi="Narkisim" w:cs="Narkisim"/>
          <w:szCs w:val="20"/>
          <w:rtl/>
        </w:rPr>
        <w:t>[ויתבאר עוד לקמן י.]</w:t>
      </w:r>
      <w:r w:rsidRPr="00012502">
        <w:rPr>
          <w:rFonts w:ascii="Narkisim" w:hAnsi="Narkisim" w:cs="Narkisim"/>
          <w:rtl/>
        </w:rPr>
        <w:t>. ואילו לרבי הוה גזיה"כ דפטור, דכל היכא דא' פטורה, אף חברתה פטורה.</w:t>
      </w:r>
    </w:p>
    <w:p w14:paraId="038730A3"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רמב"ם</w:t>
      </w:r>
      <w:r w:rsidRPr="00012502">
        <w:rPr>
          <w:rFonts w:ascii="Narkisim" w:hAnsi="Narkisim" w:cs="Narkisim"/>
          <w:rtl/>
        </w:rPr>
        <w:t xml:space="preserve"> (יבום ו יד) דרש פטור צרה באופן דומה, אשר לא יבנה את בית אחיו. בית שיש לו לקוחין באיזו מהן שירצה הוא שיש לו עליו זיקה, ובית שמקצתו אינו יכול לבנותו [שהרי אין לו בו לקוחין] אינו בונה אפי' מקצתו שהיה מותר. וכיון שאין עליה זיקה נמצאת צרת הערוה ערוה עליו משום אשת אחיו</w:t>
      </w:r>
      <w:r w:rsidRPr="00012502">
        <w:rPr>
          <w:rStyle w:val="ac"/>
          <w:rFonts w:ascii="Narkisim" w:hAnsi="Narkisim" w:cs="Narkisim"/>
          <w:rtl/>
        </w:rPr>
        <w:footnoteReference w:id="442"/>
      </w:r>
      <w:r w:rsidRPr="00012502">
        <w:rPr>
          <w:rFonts w:ascii="Narkisim" w:hAnsi="Narkisim" w:cs="Narkisim"/>
          <w:rtl/>
        </w:rPr>
        <w:t>. וה</w:t>
      </w:r>
      <w:r w:rsidRPr="00012502">
        <w:rPr>
          <w:rFonts w:ascii="Narkisim" w:hAnsi="Narkisim" w:cs="Narkisim"/>
          <w:b/>
          <w:bCs/>
          <w:rtl/>
        </w:rPr>
        <w:t>רמב"ם</w:t>
      </w:r>
      <w:r w:rsidRPr="00012502">
        <w:rPr>
          <w:rFonts w:ascii="Narkisim" w:hAnsi="Narkisim" w:cs="Narkisim"/>
          <w:rtl/>
        </w:rPr>
        <w:t xml:space="preserve"> (שם ח הו' לעיל) למד דערוה פטורה, שנאמר ולקחה לו לאשה ויבמה, מי שראויה ללקוחין וקידושין תופסין בה זקוקה ליבום.</w:t>
      </w:r>
    </w:p>
    <w:p w14:paraId="74618719"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יש"ש</w:t>
      </w:r>
      <w:r w:rsidRPr="00012502">
        <w:rPr>
          <w:rFonts w:ascii="Narkisim" w:hAnsi="Narkisim"/>
          <w:rtl/>
        </w:rPr>
        <w:t xml:space="preserve"> (א ב) הקשה אמאי שביק קרא דעליה ולצרור, וכן לא הביא את הדרשא כדברי רבי. </w:t>
      </w:r>
      <w:r w:rsidRPr="00012502">
        <w:rPr>
          <w:rFonts w:ascii="Narkisim" w:hAnsi="Narkisim"/>
          <w:sz w:val="20"/>
          <w:szCs w:val="20"/>
          <w:rtl/>
        </w:rPr>
        <w:t>וכתב דאפשר דסמך על דברי רב אשי (יג.) דצרת ערוה פטורה מסברא</w:t>
      </w:r>
      <w:r w:rsidRPr="00012502">
        <w:rPr>
          <w:rStyle w:val="ac"/>
          <w:rFonts w:ascii="Narkisim" w:hAnsi="Narkisim"/>
          <w:sz w:val="20"/>
          <w:szCs w:val="20"/>
          <w:rtl/>
        </w:rPr>
        <w:footnoteReference w:id="443"/>
      </w:r>
      <w:r w:rsidRPr="00012502">
        <w:rPr>
          <w:rFonts w:ascii="Narkisim" w:hAnsi="Narkisim"/>
          <w:sz w:val="20"/>
          <w:szCs w:val="20"/>
          <w:rtl/>
        </w:rPr>
        <w:t>.</w:t>
      </w:r>
      <w:r w:rsidRPr="00012502">
        <w:rPr>
          <w:rFonts w:ascii="Narkisim" w:hAnsi="Narkisim"/>
          <w:rtl/>
        </w:rPr>
        <w:t xml:space="preserve"> וה</w:t>
      </w:r>
      <w:r w:rsidRPr="00012502">
        <w:rPr>
          <w:rFonts w:ascii="Narkisim" w:hAnsi="Narkisim"/>
          <w:b/>
          <w:bCs/>
          <w:rtl/>
        </w:rPr>
        <w:t>אחרונים</w:t>
      </w:r>
      <w:r w:rsidRPr="00012502">
        <w:rPr>
          <w:rFonts w:ascii="Narkisim" w:hAnsi="Narkisim"/>
          <w:rtl/>
        </w:rPr>
        <w:t xml:space="preserve"> נקטו דהרמב"ם פסק כרבי בעיקר הדרשות, אך עדיין צ"ב אמאי שינה ללמוד באופן אחר.</w:t>
      </w:r>
    </w:p>
    <w:p w14:paraId="5C88B886" w14:textId="77777777" w:rsidR="00BE1D1C" w:rsidRPr="00012502" w:rsidRDefault="00000000" w:rsidP="00012502">
      <w:pPr>
        <w:pStyle w:val="aa"/>
        <w:bidi/>
        <w:rPr>
          <w:rFonts w:ascii="Narkisim" w:hAnsi="Narkisim"/>
        </w:rPr>
      </w:pPr>
      <w:r w:rsidRPr="00012502">
        <w:rPr>
          <w:rFonts w:ascii="Narkisim" w:hAnsi="Narkisim"/>
          <w:u w:val="single"/>
          <w:rtl/>
        </w:rPr>
        <w:t>ועוד צרות מלצרור נפקא, לצרור נפקא לכדר"ש וכו'</w:t>
      </w:r>
      <w:r w:rsidRPr="00012502">
        <w:rPr>
          <w:rFonts w:ascii="Narkisim" w:hAnsi="Narkisim"/>
          <w:rtl/>
        </w:rPr>
        <w:t xml:space="preserve">. בפשוטו משמע דאיצטריך לצרור לדר"ש, ומש"ה רבי דרש ולקחה. אבל </w:t>
      </w:r>
      <w:r w:rsidRPr="00012502">
        <w:rPr>
          <w:rFonts w:ascii="Narkisim" w:hAnsi="Narkisim"/>
          <w:b/>
          <w:bCs/>
          <w:rtl/>
        </w:rPr>
        <w:t>תוס</w:t>
      </w:r>
      <w:r w:rsidRPr="00012502">
        <w:rPr>
          <w:rFonts w:ascii="Narkisim" w:hAnsi="Narkisim"/>
          <w:rtl/>
        </w:rPr>
        <w:t>' (לקמן יג:) הק' דא"כ י"ל דבי"ש יסברו דערוה אינה פוטרת צרתה, דנימא דדרשי' לצרור כר"ש ו'ולקחה' כרבנן. ואור"י דמסתבר טפי לדרוש לצרור לפטור צרה. אלא דרבי דרש מ'ולקחה', ומש"ה אייתר ליה לצרור לכדר"ש.</w:t>
      </w:r>
    </w:p>
    <w:p w14:paraId="041BE2FF" w14:textId="77777777" w:rsidR="00BE1D1C" w:rsidRPr="00012502" w:rsidRDefault="00000000" w:rsidP="00012502">
      <w:pPr>
        <w:pStyle w:val="aa"/>
        <w:bidi/>
        <w:rPr>
          <w:rFonts w:ascii="Narkisim" w:hAnsi="Narkisim"/>
        </w:rPr>
      </w:pPr>
      <w:r w:rsidRPr="00012502">
        <w:rPr>
          <w:rFonts w:ascii="Narkisim" w:hAnsi="Narkisim"/>
          <w:u w:val="single"/>
          <w:rtl/>
        </w:rPr>
        <w:t>רש"י ד"ה לכדר' שמעון.</w:t>
      </w:r>
      <w:r w:rsidRPr="00012502">
        <w:rPr>
          <w:rFonts w:ascii="Narkisim" w:hAnsi="Narkisim"/>
          <w:rtl/>
        </w:rPr>
        <w:t xml:space="preserve"> זיקה הוי כקצת קידושין וכו' אבל חליצה בעיא דלא אלים</w:t>
      </w:r>
      <w:r w:rsidRPr="00012502">
        <w:rPr>
          <w:rStyle w:val="ac"/>
          <w:rFonts w:ascii="Narkisim" w:hAnsi="Narkisim"/>
          <w:rtl/>
        </w:rPr>
        <w:footnoteReference w:id="444"/>
      </w:r>
      <w:r w:rsidRPr="00012502">
        <w:rPr>
          <w:rFonts w:ascii="Narkisim" w:hAnsi="Narkisim"/>
          <w:rtl/>
        </w:rPr>
        <w:t xml:space="preserve"> וכו'. [לרבנן] [ע"ע לקמן יז: הגדר באיסור אחות זקוקה].</w:t>
      </w:r>
    </w:p>
    <w:p w14:paraId="3CDFFCD8" w14:textId="77777777" w:rsidR="00BE1D1C" w:rsidRPr="00012502" w:rsidRDefault="00000000" w:rsidP="00012502">
      <w:pPr>
        <w:pStyle w:val="aa"/>
        <w:bidi/>
        <w:rPr>
          <w:rFonts w:ascii="Narkisim" w:hAnsi="Narkisim"/>
        </w:rPr>
      </w:pPr>
      <w:r w:rsidRPr="00012502">
        <w:rPr>
          <w:rFonts w:ascii="Narkisim" w:hAnsi="Narkisim"/>
          <w:u w:val="single"/>
          <w:rtl/>
        </w:rPr>
        <w:t>בא"ד ר' שמעון פוטר וכו' בשעה שנעשין צרות זו לזו בזיקה, לא יהא לך ליקוחין אפי' בא' וכו'</w:t>
      </w:r>
      <w:r w:rsidRPr="00012502">
        <w:rPr>
          <w:rFonts w:ascii="Narkisim" w:hAnsi="Narkisim"/>
          <w:rtl/>
        </w:rPr>
        <w:t>. [וכדאי' לקמן כח:, ובעזה"י יתבאר לקמן]. ובפשוטו ר' שמעון איירי אף כשנפלו בזה אחר זה, ואפ"ה בשעת נפילה השניה הוה צרות זו לזו, והותרו שניהם מדין ערוה</w:t>
      </w:r>
      <w:r w:rsidRPr="00012502">
        <w:rPr>
          <w:rStyle w:val="ac"/>
          <w:rFonts w:ascii="Narkisim" w:hAnsi="Narkisim"/>
          <w:rtl/>
        </w:rPr>
        <w:footnoteReference w:id="445"/>
      </w:r>
      <w:r w:rsidRPr="00012502">
        <w:rPr>
          <w:rFonts w:ascii="Narkisim" w:hAnsi="Narkisim"/>
          <w:rtl/>
        </w:rPr>
        <w:t>. אך בגמ' (לקמן יט.) יש מ"ד דר' שמעון ס"ל דזיקה ככנוסה [ועי"ז אחות זקוקתו אסורה מדאורייתא כאחות אשתו], והגמ' תי' דלפ"ז ע"כ איירי דנפלו בבת א', וכר' יוסי הגלילי דאפשר לצמצם.</w:t>
      </w:r>
    </w:p>
    <w:p w14:paraId="77F3CAC0" w14:textId="77777777" w:rsidR="00BE1D1C" w:rsidRPr="00012502" w:rsidRDefault="00000000" w:rsidP="00012502">
      <w:pPr>
        <w:pStyle w:val="a8"/>
        <w:bidi/>
        <w:rPr>
          <w:rFonts w:ascii="Narkisim" w:hAnsi="Narkisim"/>
        </w:rPr>
      </w:pPr>
      <w:r w:rsidRPr="00012502">
        <w:rPr>
          <w:rFonts w:ascii="Narkisim" w:hAnsi="Narkisim"/>
          <w:rtl/>
        </w:rPr>
        <w:lastRenderedPageBreak/>
        <w:t>ו</w:t>
      </w:r>
      <w:r w:rsidRPr="00012502">
        <w:rPr>
          <w:rFonts w:ascii="Narkisim" w:hAnsi="Narkisim"/>
          <w:b/>
          <w:bCs/>
          <w:rtl/>
        </w:rPr>
        <w:t>תוס</w:t>
      </w:r>
      <w:r w:rsidRPr="00012502">
        <w:rPr>
          <w:rFonts w:ascii="Narkisim" w:hAnsi="Narkisim"/>
          <w:rtl/>
        </w:rPr>
        <w:t>' (קידושין נ:) הק' לר' שמעון האיך מתחייב כרת, הא לא תפסי זיקת אחותה</w:t>
      </w:r>
      <w:r w:rsidRPr="00012502">
        <w:rPr>
          <w:rStyle w:val="ac"/>
          <w:rFonts w:ascii="Narkisim" w:hAnsi="Narkisim"/>
          <w:rtl/>
        </w:rPr>
        <w:footnoteReference w:id="446"/>
      </w:r>
      <w:r w:rsidRPr="00012502">
        <w:rPr>
          <w:rFonts w:ascii="Narkisim" w:hAnsi="Narkisim"/>
          <w:rtl/>
        </w:rPr>
        <w:t>. ותי' דפגע באשת אחיו שלא במקום מצוה</w:t>
      </w:r>
      <w:r w:rsidRPr="00012502">
        <w:rPr>
          <w:rStyle w:val="ac"/>
          <w:rFonts w:ascii="Narkisim" w:hAnsi="Narkisim"/>
          <w:rtl/>
        </w:rPr>
        <w:footnoteReference w:id="447"/>
      </w:r>
      <w:r w:rsidRPr="00012502">
        <w:rPr>
          <w:rFonts w:ascii="Narkisim" w:hAnsi="Narkisim"/>
          <w:rtl/>
        </w:rPr>
        <w:t>.</w:t>
      </w:r>
    </w:p>
    <w:p w14:paraId="5EB6113F" w14:textId="77777777" w:rsidR="00BE1D1C" w:rsidRPr="00012502" w:rsidRDefault="00000000" w:rsidP="00012502">
      <w:pPr>
        <w:pStyle w:val="aa"/>
        <w:bidi/>
        <w:rPr>
          <w:rFonts w:ascii="Narkisim" w:hAnsi="Narkisim"/>
        </w:rPr>
      </w:pPr>
      <w:r w:rsidRPr="00012502">
        <w:rPr>
          <w:rFonts w:ascii="Narkisim" w:hAnsi="Narkisim"/>
          <w:rtl/>
        </w:rPr>
        <w:t>וב</w:t>
      </w:r>
      <w:r w:rsidRPr="00012502">
        <w:rPr>
          <w:rFonts w:ascii="Narkisim" w:hAnsi="Narkisim"/>
          <w:b/>
          <w:bCs/>
          <w:rtl/>
        </w:rPr>
        <w:t>שו"ת הרשב"א</w:t>
      </w:r>
      <w:r w:rsidRPr="00012502">
        <w:rPr>
          <w:rFonts w:ascii="Narkisim" w:hAnsi="Narkisim"/>
          <w:rtl/>
        </w:rPr>
        <w:t xml:space="preserve"> (ו כא) הקשה דלר' שמעון תפטור צרה, וליתני במתני'. [והאחרונים דנו דע"כ כוונתו דהשניה פוטרת צרתה, דכלפי הראשונה הוה ערוה לאחר נפילה</w:t>
      </w:r>
      <w:r w:rsidRPr="00012502">
        <w:rPr>
          <w:rStyle w:val="ac"/>
          <w:rFonts w:ascii="Narkisim" w:hAnsi="Narkisim"/>
          <w:rtl/>
        </w:rPr>
        <w:footnoteReference w:id="448"/>
      </w:r>
      <w:r w:rsidRPr="00012502">
        <w:rPr>
          <w:rFonts w:ascii="Narkisim" w:hAnsi="Narkisim"/>
          <w:rtl/>
        </w:rPr>
        <w:t>].</w:t>
      </w:r>
    </w:p>
    <w:p w14:paraId="09C09480" w14:textId="77777777" w:rsidR="00BE1D1C" w:rsidRPr="00012502" w:rsidRDefault="00000000" w:rsidP="00012502">
      <w:pPr>
        <w:pStyle w:val="aa"/>
        <w:bidi/>
        <w:rPr>
          <w:rFonts w:ascii="Narkisim" w:hAnsi="Narkisim"/>
        </w:rPr>
      </w:pPr>
      <w:r w:rsidRPr="00012502">
        <w:rPr>
          <w:rFonts w:ascii="Narkisim" w:hAnsi="Narkisim"/>
          <w:u w:val="single"/>
          <w:rtl/>
        </w:rPr>
        <w:t>תוד"ה כל.</w:t>
      </w:r>
      <w:r w:rsidRPr="00012502">
        <w:rPr>
          <w:rFonts w:ascii="Narkisim" w:hAnsi="Narkisim"/>
          <w:rtl/>
        </w:rPr>
        <w:t xml:space="preserve"> וא"ת חייבי עשה נמי ליתסרי לצרה, דליכא למימר דאי בעי האי נסיב. קצת משמע דתוס' נקטו דחייבי עשה מופקעין ממצוות יבום [אף דזקוקין לחליצה]. ולא רק שיש איסור חיצוני המונע. אך יש לדחות דתוס' הכא קאי אליבא דרבי דדרשי' אי בעי האי נסיב, ולא תלי בגדרי 'פטור'.</w:t>
      </w:r>
    </w:p>
    <w:p w14:paraId="3C0DBA95" w14:textId="77777777" w:rsidR="00BE1D1C" w:rsidRPr="00012502" w:rsidRDefault="00000000" w:rsidP="00012502">
      <w:pPr>
        <w:bidi/>
        <w:rPr>
          <w:rFonts w:ascii="Narkisim" w:hAnsi="Narkisim" w:cs="Narkisim"/>
        </w:rPr>
      </w:pPr>
      <w:r w:rsidRPr="00012502">
        <w:rPr>
          <w:rFonts w:ascii="Narkisim" w:hAnsi="Narkisim" w:cs="Narkisim"/>
          <w:u w:val="single"/>
          <w:rtl/>
        </w:rPr>
        <w:t>בא"ד ועוד דהשתא ליכא בצרת ערוה כרת וכו'</w:t>
      </w:r>
      <w:r w:rsidRPr="00012502">
        <w:rPr>
          <w:rFonts w:ascii="Narkisim" w:hAnsi="Narkisim" w:cs="Narkisim"/>
          <w:rtl/>
        </w:rPr>
        <w:t xml:space="preserve">. </w:t>
      </w:r>
      <w:r w:rsidRPr="00012502">
        <w:rPr>
          <w:rFonts w:ascii="Narkisim" w:hAnsi="Narkisim" w:cs="Narkisim"/>
          <w:sz w:val="20"/>
          <w:szCs w:val="20"/>
          <w:rtl/>
        </w:rPr>
        <w:t>וה</w:t>
      </w:r>
      <w:r w:rsidRPr="00012502">
        <w:rPr>
          <w:rFonts w:ascii="Narkisim" w:hAnsi="Narkisim" w:cs="Narkisim"/>
          <w:b/>
          <w:bCs/>
          <w:sz w:val="20"/>
          <w:szCs w:val="20"/>
          <w:rtl/>
        </w:rPr>
        <w:t>תוס' הרא"ש</w:t>
      </w:r>
      <w:r w:rsidRPr="00012502">
        <w:rPr>
          <w:rFonts w:ascii="Narkisim" w:hAnsi="Narkisim" w:cs="Narkisim"/>
          <w:sz w:val="20"/>
          <w:szCs w:val="20"/>
          <w:rtl/>
        </w:rPr>
        <w:t xml:space="preserve"> הוסיף דהא (לעיל ג:) מצרכינן קרא לעונש בצרה [למ"ד דילפי' מאחות אשה</w:t>
      </w:r>
      <w:r w:rsidRPr="00012502">
        <w:rPr>
          <w:rStyle w:val="ac"/>
          <w:rFonts w:ascii="Narkisim" w:hAnsi="Narkisim" w:cs="Narkisim"/>
          <w:sz w:val="20"/>
          <w:szCs w:val="20"/>
          <w:rtl/>
        </w:rPr>
        <w:footnoteReference w:id="449"/>
      </w:r>
      <w:r w:rsidRPr="00012502">
        <w:rPr>
          <w:rFonts w:ascii="Narkisim" w:hAnsi="Narkisim" w:cs="Narkisim"/>
          <w:sz w:val="20"/>
          <w:szCs w:val="20"/>
          <w:rtl/>
        </w:rPr>
        <w:t>. ולרבי ליכא ילפותא דבכרת</w:t>
      </w:r>
      <w:r w:rsidRPr="00012502">
        <w:rPr>
          <w:rStyle w:val="ac"/>
          <w:rFonts w:ascii="Narkisim" w:hAnsi="Narkisim" w:cs="Narkisim"/>
          <w:sz w:val="20"/>
          <w:szCs w:val="20"/>
          <w:rtl/>
        </w:rPr>
        <w:footnoteReference w:id="450"/>
      </w:r>
      <w:r w:rsidRPr="00012502">
        <w:rPr>
          <w:rFonts w:ascii="Narkisim" w:hAnsi="Narkisim" w:cs="Narkisim"/>
          <w:sz w:val="20"/>
          <w:szCs w:val="20"/>
          <w:rtl/>
        </w:rPr>
        <w:t>].</w:t>
      </w:r>
    </w:p>
    <w:p w14:paraId="75BBB5ED" w14:textId="77777777" w:rsidR="00BE1D1C" w:rsidRPr="00012502" w:rsidRDefault="00000000" w:rsidP="00012502">
      <w:pPr>
        <w:pStyle w:val="a7"/>
        <w:bidi/>
        <w:rPr>
          <w:rFonts w:ascii="Narkisim" w:hAnsi="Narkisim"/>
        </w:rPr>
      </w:pPr>
      <w:r w:rsidRPr="00012502">
        <w:rPr>
          <w:rFonts w:ascii="Narkisim" w:hAnsi="Narkisim"/>
          <w:rtl/>
        </w:rPr>
        <w:t>ותוס' תי' דדרשי' דלא תפסי קידושין. ובפשוטו אף לתי' התוס' הוה רק עשה. אלא דילפי' 'פטור' דלא בעי חליצה, שהרי נתמעט מליקוחין.</w:t>
      </w:r>
    </w:p>
    <w:p w14:paraId="3D3F3019"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ערול"נ</w:t>
      </w:r>
      <w:r w:rsidRPr="00012502">
        <w:rPr>
          <w:rFonts w:ascii="Narkisim" w:hAnsi="Narkisim"/>
          <w:rtl/>
        </w:rPr>
        <w:t xml:space="preserve"> תמה דמשמע (לקמן יד) דצרת ערוה יש חיוב כרת לכו"ע</w:t>
      </w:r>
      <w:r w:rsidRPr="00012502">
        <w:rPr>
          <w:rStyle w:val="ac"/>
          <w:rFonts w:ascii="Narkisim" w:hAnsi="Narkisim"/>
          <w:rtl/>
        </w:rPr>
        <w:footnoteReference w:id="451"/>
      </w:r>
      <w:r w:rsidRPr="00012502">
        <w:rPr>
          <w:rFonts w:ascii="Narkisim" w:hAnsi="Narkisim"/>
          <w:rtl/>
        </w:rPr>
        <w:t xml:space="preserve">. </w:t>
      </w:r>
      <w:r w:rsidRPr="00012502">
        <w:rPr>
          <w:rFonts w:ascii="Narkisim" w:hAnsi="Narkisim"/>
          <w:sz w:val="20"/>
          <w:szCs w:val="20"/>
          <w:rtl/>
        </w:rPr>
        <w:t>וה</w:t>
      </w:r>
      <w:r w:rsidRPr="00012502">
        <w:rPr>
          <w:rFonts w:ascii="Narkisim" w:hAnsi="Narkisim"/>
          <w:b/>
          <w:bCs/>
          <w:sz w:val="20"/>
          <w:szCs w:val="20"/>
          <w:rtl/>
        </w:rPr>
        <w:t>חזו"א</w:t>
      </w:r>
      <w:r w:rsidRPr="00012502">
        <w:rPr>
          <w:rFonts w:ascii="Narkisim" w:hAnsi="Narkisim"/>
          <w:sz w:val="20"/>
          <w:szCs w:val="20"/>
          <w:rtl/>
        </w:rPr>
        <w:t xml:space="preserve"> (קלד) ביאר דקושיית התוס' דלרבי הוה רק איסור עשה, ואין איסור אשת אח ונימא אם בעלו קנו. וכמו חייבי עשה. [והאחרונים פי' עפ"ז דלתי' התוס' בצרה כיון דאינה נופלת ליבום הוה בכלל איסור אשת אח].</w:t>
      </w:r>
    </w:p>
    <w:p w14:paraId="3C24F13F" w14:textId="77777777" w:rsidR="00BE1D1C" w:rsidRPr="00012502" w:rsidRDefault="00000000" w:rsidP="00012502">
      <w:pPr>
        <w:pStyle w:val="a7"/>
        <w:bidi/>
        <w:rPr>
          <w:rFonts w:ascii="Narkisim" w:hAnsi="Narkisim"/>
        </w:rPr>
      </w:pPr>
      <w:r w:rsidRPr="00012502">
        <w:rPr>
          <w:rFonts w:ascii="Narkisim" w:hAnsi="Narkisim"/>
          <w:rtl/>
        </w:rPr>
        <w:t>ועוד הקשו ה</w:t>
      </w:r>
      <w:r w:rsidRPr="00012502">
        <w:rPr>
          <w:rFonts w:ascii="Narkisim" w:hAnsi="Narkisim"/>
          <w:b/>
          <w:bCs/>
          <w:rtl/>
        </w:rPr>
        <w:t>אחרונים</w:t>
      </w:r>
      <w:r w:rsidRPr="00012502">
        <w:rPr>
          <w:rFonts w:ascii="Narkisim" w:hAnsi="Narkisim"/>
          <w:rtl/>
        </w:rPr>
        <w:t xml:space="preserve"> (גרנ"ט) דצרת ערוה גופה תתייבם בנפילה שניה. וע' אחרונים.</w:t>
      </w:r>
    </w:p>
    <w:p w14:paraId="7047C045" w14:textId="77777777" w:rsidR="00BE1D1C" w:rsidRPr="00012502" w:rsidRDefault="00000000" w:rsidP="00012502">
      <w:pPr>
        <w:bidi/>
        <w:rPr>
          <w:rFonts w:ascii="Narkisim" w:hAnsi="Narkisim" w:cs="Narkisim"/>
        </w:rPr>
      </w:pPr>
      <w:r w:rsidRPr="00012502">
        <w:rPr>
          <w:rFonts w:ascii="Narkisim" w:hAnsi="Narkisim" w:cs="Narkisim"/>
          <w:rtl/>
        </w:rPr>
        <w:t>אבל ב</w:t>
      </w:r>
      <w:r w:rsidRPr="00012502">
        <w:rPr>
          <w:rFonts w:ascii="Narkisim" w:hAnsi="Narkisim" w:cs="Narkisim"/>
          <w:b/>
          <w:bCs/>
          <w:rtl/>
        </w:rPr>
        <w:t>תוס' מהר"ם</w:t>
      </w:r>
      <w:r w:rsidRPr="00012502">
        <w:rPr>
          <w:rFonts w:ascii="Narkisim" w:hAnsi="Narkisim" w:cs="Narkisim"/>
          <w:rtl/>
        </w:rPr>
        <w:t xml:space="preserve"> הוסיף בקו' התוס' דאין לומר דאין בהם כרת, דא"כ תפסי קידושין ועולה לחליצה. ובתי' כת'</w:t>
      </w:r>
      <w:r w:rsidRPr="00012502">
        <w:rPr>
          <w:rStyle w:val="ac"/>
          <w:rFonts w:ascii="Narkisim" w:hAnsi="Narkisim" w:cs="Narkisim"/>
          <w:rtl/>
        </w:rPr>
        <w:footnoteReference w:id="452"/>
      </w:r>
      <w:r w:rsidRPr="00012502">
        <w:rPr>
          <w:rFonts w:ascii="Narkisim" w:hAnsi="Narkisim" w:cs="Narkisim"/>
          <w:rtl/>
        </w:rPr>
        <w:t xml:space="preserve"> דודאי לרבי אית בהו עונש, דהא ולקחה מוכיח דפטורה מחליצה</w:t>
      </w:r>
      <w:r w:rsidRPr="00012502">
        <w:rPr>
          <w:rStyle w:val="ac"/>
          <w:rFonts w:ascii="Narkisim" w:hAnsi="Narkisim" w:cs="Narkisim"/>
          <w:rtl/>
        </w:rPr>
        <w:footnoteReference w:id="453"/>
      </w:r>
      <w:r w:rsidRPr="00012502">
        <w:rPr>
          <w:rFonts w:ascii="Narkisim" w:hAnsi="Narkisim" w:cs="Narkisim"/>
          <w:rtl/>
        </w:rPr>
        <w:t>. ועד"ז כוונת התוס' דכיון דלא תפסי קידושין וזיקה, ממילא יש איסור אשת אח.</w:t>
      </w:r>
    </w:p>
    <w:p w14:paraId="0BA814BA"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ביארו דגדר 'ולקחה' הוה מיעוט דאינה נופלת ליבום, וממילא הוה אשת אח שלא במקום יבום. אבל למ"ד דדרשי' 'לצרור' ס"ד דהוה איסור, ולא 'פטור'.</w:t>
      </w:r>
    </w:p>
    <w:p w14:paraId="4A2FC836" w14:textId="77777777" w:rsidR="00BE1D1C" w:rsidRPr="00012502" w:rsidRDefault="00000000" w:rsidP="00012502">
      <w:pPr>
        <w:bidi/>
        <w:rPr>
          <w:rFonts w:ascii="Narkisim" w:hAnsi="Narkisim" w:cs="Narkisim"/>
        </w:rPr>
      </w:pPr>
      <w:r w:rsidRPr="00012502">
        <w:rPr>
          <w:rFonts w:ascii="Narkisim" w:hAnsi="Narkisim" w:cs="Narkisim"/>
          <w:u w:val="single"/>
          <w:rtl/>
        </w:rPr>
        <w:t>בא"ד חייבי עשה</w:t>
      </w:r>
      <w:r w:rsidRPr="00012502">
        <w:rPr>
          <w:rStyle w:val="ac"/>
          <w:rFonts w:ascii="Narkisim" w:hAnsi="Narkisim" w:cs="Narkisim"/>
          <w:u w:val="single"/>
          <w:rtl/>
        </w:rPr>
        <w:footnoteReference w:id="454"/>
      </w:r>
      <w:r w:rsidRPr="00012502">
        <w:rPr>
          <w:rFonts w:ascii="Narkisim" w:hAnsi="Narkisim" w:cs="Narkisim"/>
          <w:u w:val="single"/>
          <w:rtl/>
        </w:rPr>
        <w:t xml:space="preserve"> דתפסי בהו קידושין.</w:t>
      </w:r>
      <w:r w:rsidRPr="00012502">
        <w:rPr>
          <w:rFonts w:ascii="Narkisim" w:hAnsi="Narkisim" w:cs="Narkisim"/>
          <w:rtl/>
        </w:rPr>
        <w:t xml:space="preserve"> ה</w:t>
      </w:r>
      <w:r w:rsidRPr="00012502">
        <w:rPr>
          <w:rFonts w:ascii="Narkisim" w:hAnsi="Narkisim" w:cs="Narkisim"/>
          <w:b/>
          <w:bCs/>
          <w:rtl/>
        </w:rPr>
        <w:t>חזו"א</w:t>
      </w:r>
      <w:r w:rsidRPr="00012502">
        <w:rPr>
          <w:rFonts w:ascii="Narkisim" w:hAnsi="Narkisim" w:cs="Narkisim"/>
          <w:rtl/>
        </w:rPr>
        <w:t xml:space="preserve"> דייק מתוס' דאף חייבי לאו ועשה תפסי קידושין, ואין בהם איסור אשת אח</w:t>
      </w:r>
      <w:r w:rsidRPr="00012502">
        <w:rPr>
          <w:rStyle w:val="ac"/>
          <w:rFonts w:ascii="Narkisim" w:hAnsi="Narkisim" w:cs="Narkisim"/>
          <w:rtl/>
        </w:rPr>
        <w:footnoteReference w:id="455"/>
      </w:r>
      <w:r w:rsidRPr="00012502">
        <w:rPr>
          <w:rFonts w:ascii="Narkisim" w:hAnsi="Narkisim" w:cs="Narkisim"/>
          <w:rtl/>
        </w:rPr>
        <w:t>. אבל ב</w:t>
      </w:r>
      <w:r w:rsidRPr="00012502">
        <w:rPr>
          <w:rFonts w:ascii="Narkisim" w:hAnsi="Narkisim" w:cs="Narkisim"/>
          <w:b/>
          <w:bCs/>
          <w:rtl/>
        </w:rPr>
        <w:t>הג' חת"ס</w:t>
      </w:r>
      <w:r w:rsidRPr="00012502">
        <w:rPr>
          <w:rFonts w:ascii="Narkisim" w:hAnsi="Narkisim" w:cs="Narkisim"/>
          <w:rtl/>
        </w:rPr>
        <w:t xml:space="preserve"> ביאר דכוונת התוס' דבעלמא ליכא כרת ותופס קידושין. ולכן אינו 'פטור' במקום יבום, ובעי חליצה [אבל אם בעלו ל"ק].</w:t>
      </w:r>
    </w:p>
    <w:p w14:paraId="262092A4" w14:textId="77777777" w:rsidR="00BE1D1C" w:rsidRPr="00012502" w:rsidRDefault="00000000" w:rsidP="00012502">
      <w:pPr>
        <w:pStyle w:val="aa"/>
        <w:bidi/>
        <w:rPr>
          <w:rFonts w:ascii="Narkisim" w:hAnsi="Narkisim"/>
        </w:rPr>
      </w:pPr>
      <w:r w:rsidRPr="00012502">
        <w:rPr>
          <w:rFonts w:ascii="Narkisim" w:hAnsi="Narkisim"/>
          <w:u w:val="single"/>
          <w:rtl/>
        </w:rPr>
        <w:t>מלמד שמגרשה בגט, ומחזירה וכו'</w:t>
      </w:r>
      <w:r w:rsidRPr="00012502">
        <w:rPr>
          <w:rFonts w:ascii="Narkisim" w:hAnsi="Narkisim"/>
          <w:rtl/>
        </w:rPr>
        <w:t>. פ</w:t>
      </w:r>
      <w:r w:rsidRPr="00012502">
        <w:rPr>
          <w:rFonts w:ascii="Narkisim" w:hAnsi="Narkisim"/>
          <w:b/>
          <w:bCs/>
          <w:rtl/>
        </w:rPr>
        <w:t>רש"י</w:t>
      </w:r>
      <w:r w:rsidRPr="00012502">
        <w:rPr>
          <w:rFonts w:ascii="Narkisim" w:hAnsi="Narkisim"/>
          <w:rtl/>
        </w:rPr>
        <w:t xml:space="preserve"> דנעשית כאשתו, ואם רצה לגרשה מגרשה ואי"צ חליצה. דס"ד דאף דקיים מצוות יבום, עדיין יש לה 'שם יבמה', ואסורה לשוק בלא חליצה. ויש חידוש נוסף 'ומחזירה' דלא חזר איסור אשת אח. [ויש ראשונים דמשמע דהכל א'].</w:t>
      </w:r>
    </w:p>
    <w:p w14:paraId="4AA65AF2" w14:textId="77777777" w:rsidR="00BE1D1C" w:rsidRPr="00012502" w:rsidRDefault="00000000" w:rsidP="00012502">
      <w:pPr>
        <w:pStyle w:val="aa"/>
        <w:bidi/>
        <w:rPr>
          <w:rFonts w:ascii="Narkisim" w:hAnsi="Narkisim"/>
        </w:rPr>
      </w:pPr>
      <w:r w:rsidRPr="00012502">
        <w:rPr>
          <w:rFonts w:ascii="Narkisim" w:hAnsi="Narkisim"/>
          <w:u w:val="single"/>
          <w:rtl/>
        </w:rPr>
        <w:lastRenderedPageBreak/>
        <w:t>תוד"ה מלמד.</w:t>
      </w:r>
      <w:r w:rsidRPr="00012502">
        <w:rPr>
          <w:rFonts w:ascii="Narkisim" w:hAnsi="Narkisim"/>
          <w:rtl/>
        </w:rPr>
        <w:t xml:space="preserve"> בפ' החולץ (לקמן לט. וכתובות פב:) וכו' דס"ד מצוה דרמא רחמנא עליה עבדה, השתא תיקום עליה באיסור אשת אח. בפשוטו ס"ד דהותר רק מצוות יבום, ולא נסתלק שם 'אשת אח'</w:t>
      </w:r>
      <w:r w:rsidRPr="00012502">
        <w:rPr>
          <w:rStyle w:val="ac"/>
          <w:rFonts w:ascii="Narkisim" w:hAnsi="Narkisim"/>
          <w:rtl/>
        </w:rPr>
        <w:footnoteReference w:id="456"/>
      </w:r>
      <w:r w:rsidRPr="00012502">
        <w:rPr>
          <w:rFonts w:ascii="Narkisim" w:hAnsi="Narkisim"/>
          <w:rtl/>
        </w:rPr>
        <w:t xml:space="preserve"> אף כשהיא אשתו. [עכ"פ להך ס"ד]. אבל ה</w:t>
      </w:r>
      <w:r w:rsidRPr="00012502">
        <w:rPr>
          <w:rFonts w:ascii="Narkisim" w:hAnsi="Narkisim"/>
          <w:b/>
          <w:bCs/>
          <w:rtl/>
        </w:rPr>
        <w:t>אחרונים</w:t>
      </w:r>
      <w:r w:rsidRPr="00012502">
        <w:rPr>
          <w:rFonts w:ascii="Narkisim" w:hAnsi="Narkisim"/>
          <w:rtl/>
        </w:rPr>
        <w:t xml:space="preserve"> דייקו מדברי ה</w:t>
      </w:r>
      <w:r w:rsidRPr="00012502">
        <w:rPr>
          <w:rFonts w:ascii="Narkisim" w:hAnsi="Narkisim"/>
          <w:b/>
          <w:bCs/>
          <w:rtl/>
        </w:rPr>
        <w:t>רמב"ן</w:t>
      </w:r>
      <w:r w:rsidRPr="00012502">
        <w:rPr>
          <w:rFonts w:ascii="Narkisim" w:hAnsi="Narkisim"/>
          <w:rtl/>
        </w:rPr>
        <w:t xml:space="preserve"> (לקמן כ.) דקאי אהא דדרשי' (לקמן כ.) עדיין יבומין ראשונים עליה</w:t>
      </w:r>
      <w:r w:rsidRPr="00012502">
        <w:rPr>
          <w:rStyle w:val="ac"/>
          <w:rFonts w:ascii="Narkisim" w:hAnsi="Narkisim"/>
          <w:rtl/>
        </w:rPr>
        <w:footnoteReference w:id="457"/>
      </w:r>
      <w:r w:rsidRPr="00012502">
        <w:rPr>
          <w:rFonts w:ascii="Narkisim" w:hAnsi="Narkisim"/>
          <w:rtl/>
        </w:rPr>
        <w:t>.</w:t>
      </w:r>
    </w:p>
    <w:p w14:paraId="6AFBC6AF" w14:textId="77777777" w:rsidR="00BE1D1C" w:rsidRPr="00012502" w:rsidRDefault="00000000" w:rsidP="00012502">
      <w:pPr>
        <w:bidi/>
        <w:rPr>
          <w:rFonts w:ascii="Narkisim" w:hAnsi="Narkisim" w:cs="Narkisim"/>
        </w:rPr>
      </w:pPr>
      <w:r w:rsidRPr="00012502">
        <w:rPr>
          <w:rFonts w:ascii="Narkisim" w:hAnsi="Narkisim" w:cs="Narkisim"/>
          <w:u w:val="single"/>
          <w:rtl/>
        </w:rPr>
        <w:t>בא"ד וי"ל דביאה שניה לא בעי קרא דסברא הוא</w:t>
      </w:r>
      <w:r w:rsidRPr="00012502">
        <w:rPr>
          <w:rStyle w:val="ac"/>
          <w:rFonts w:ascii="Narkisim" w:hAnsi="Narkisim" w:cs="Narkisim"/>
          <w:u w:val="single"/>
          <w:rtl/>
        </w:rPr>
        <w:footnoteReference w:id="458"/>
      </w:r>
      <w:r w:rsidRPr="00012502">
        <w:rPr>
          <w:rFonts w:ascii="Narkisim" w:hAnsi="Narkisim" w:cs="Narkisim"/>
          <w:u w:val="single"/>
          <w:rtl/>
        </w:rPr>
        <w:t xml:space="preserve"> וכו'</w:t>
      </w:r>
      <w:r w:rsidRPr="00012502">
        <w:rPr>
          <w:rFonts w:ascii="Narkisim" w:hAnsi="Narkisim" w:cs="Narkisim"/>
          <w:rtl/>
        </w:rPr>
        <w:t>. בפשוטו כוונת התוס' דאין סברא דכל דין יבום ניתן שיגרש מיד</w:t>
      </w:r>
      <w:r w:rsidRPr="00012502">
        <w:rPr>
          <w:rStyle w:val="ac"/>
          <w:rFonts w:ascii="Narkisim" w:hAnsi="Narkisim" w:cs="Narkisim"/>
          <w:rtl/>
        </w:rPr>
        <w:footnoteReference w:id="459"/>
      </w:r>
      <w:r w:rsidRPr="00012502">
        <w:rPr>
          <w:rFonts w:ascii="Narkisim" w:hAnsi="Narkisim" w:cs="Narkisim"/>
          <w:rtl/>
        </w:rPr>
        <w:t>. ואילו מגדרי עדל"ת לא הותר ביאה שניה</w:t>
      </w:r>
      <w:r w:rsidRPr="00012502">
        <w:rPr>
          <w:rStyle w:val="ac"/>
          <w:rFonts w:ascii="Narkisim" w:hAnsi="Narkisim" w:cs="Narkisim"/>
          <w:rtl/>
        </w:rPr>
        <w:footnoteReference w:id="460"/>
      </w:r>
      <w:r w:rsidRPr="00012502">
        <w:rPr>
          <w:rFonts w:ascii="Narkisim" w:hAnsi="Narkisim" w:cs="Narkisim"/>
          <w:rtl/>
        </w:rPr>
        <w:t>. אלא דיש סברא דע"כ דין יבום נאמר באופן שמותר לכל האישות</w:t>
      </w:r>
      <w:r w:rsidRPr="00012502">
        <w:rPr>
          <w:rStyle w:val="ac"/>
          <w:rFonts w:ascii="Narkisim" w:hAnsi="Narkisim" w:cs="Narkisim"/>
          <w:rtl/>
        </w:rPr>
        <w:footnoteReference w:id="461"/>
      </w:r>
      <w:r w:rsidRPr="00012502">
        <w:rPr>
          <w:rFonts w:ascii="Narkisim" w:hAnsi="Narkisim" w:cs="Narkisim"/>
          <w:rtl/>
        </w:rPr>
        <w:t>.</w:t>
      </w:r>
    </w:p>
    <w:p w14:paraId="5802206F" w14:textId="77777777" w:rsidR="00BE1D1C" w:rsidRPr="00012502" w:rsidRDefault="00000000" w:rsidP="00012502">
      <w:pPr>
        <w:pStyle w:val="a7"/>
        <w:bidi/>
        <w:rPr>
          <w:rFonts w:ascii="Narkisim" w:hAnsi="Narkisim"/>
        </w:rPr>
      </w:pPr>
      <w:r w:rsidRPr="00012502">
        <w:rPr>
          <w:rFonts w:ascii="Narkisim" w:hAnsi="Narkisim"/>
          <w:rtl/>
        </w:rPr>
        <w:t>וסברת התוס' שייך רק בעיקר מצוות יבום, ואין ללמוד להיכא שנזדמן איסור אחר</w:t>
      </w:r>
      <w:r w:rsidRPr="00012502">
        <w:rPr>
          <w:rStyle w:val="ac"/>
          <w:rFonts w:ascii="Narkisim" w:hAnsi="Narkisim"/>
          <w:rtl/>
        </w:rPr>
        <w:footnoteReference w:id="462"/>
      </w:r>
      <w:r w:rsidRPr="00012502">
        <w:rPr>
          <w:rFonts w:ascii="Narkisim" w:hAnsi="Narkisim"/>
          <w:rtl/>
        </w:rPr>
        <w:t>.</w:t>
      </w:r>
    </w:p>
    <w:p w14:paraId="64A31BB6"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תו"י</w:t>
      </w:r>
      <w:r w:rsidRPr="00012502">
        <w:rPr>
          <w:rFonts w:ascii="Narkisim" w:hAnsi="Narkisim" w:cs="Narkisim"/>
          <w:rtl/>
        </w:rPr>
        <w:t xml:space="preserve"> [הוסיף על דברי התוס'</w:t>
      </w:r>
      <w:r w:rsidRPr="00012502">
        <w:rPr>
          <w:rStyle w:val="ac"/>
          <w:rFonts w:ascii="Narkisim" w:hAnsi="Narkisim" w:cs="Narkisim"/>
          <w:rtl/>
        </w:rPr>
        <w:footnoteReference w:id="463"/>
      </w:r>
      <w:r w:rsidRPr="00012502">
        <w:rPr>
          <w:rFonts w:ascii="Narkisim" w:hAnsi="Narkisim" w:cs="Narkisim"/>
          <w:rtl/>
        </w:rPr>
        <w:t xml:space="preserve">] דהכא ביאה ראשונה היתה בהיתר גמור. </w:t>
      </w:r>
      <w:r w:rsidRPr="00012502">
        <w:rPr>
          <w:rFonts w:ascii="Narkisim" w:hAnsi="Narkisim" w:cs="Narkisim"/>
          <w:sz w:val="20"/>
          <w:szCs w:val="20"/>
          <w:rtl/>
        </w:rPr>
        <w:t>[ולפ"ז עיקר החילוק בין הותרה לדחויה].</w:t>
      </w:r>
    </w:p>
    <w:p w14:paraId="606B09B4" w14:textId="77777777" w:rsidR="00BE1D1C" w:rsidRPr="00012502" w:rsidRDefault="00000000" w:rsidP="00012502">
      <w:pPr>
        <w:bidi/>
        <w:rPr>
          <w:rFonts w:ascii="Narkisim" w:hAnsi="Narkisim" w:cs="Narkisim"/>
        </w:rPr>
      </w:pPr>
      <w:r w:rsidRPr="00012502">
        <w:rPr>
          <w:rFonts w:ascii="Narkisim" w:hAnsi="Narkisim" w:cs="Narkisim"/>
          <w:rtl/>
        </w:rPr>
        <w:t>אך ה</w:t>
      </w:r>
      <w:r w:rsidRPr="00012502">
        <w:rPr>
          <w:rFonts w:ascii="Narkisim" w:hAnsi="Narkisim" w:cs="Narkisim"/>
          <w:b/>
          <w:bCs/>
          <w:rtl/>
        </w:rPr>
        <w:t xml:space="preserve">אחרונים </w:t>
      </w:r>
      <w:r w:rsidRPr="00012502">
        <w:rPr>
          <w:rFonts w:ascii="Narkisim" w:hAnsi="Narkisim" w:cs="Narkisim"/>
          <w:rtl/>
        </w:rPr>
        <w:t xml:space="preserve">דנו דדעת </w:t>
      </w:r>
      <w:r w:rsidRPr="00012502">
        <w:rPr>
          <w:rFonts w:ascii="Narkisim" w:hAnsi="Narkisim" w:cs="Narkisim"/>
          <w:b/>
          <w:bCs/>
          <w:rtl/>
        </w:rPr>
        <w:t>תוס</w:t>
      </w:r>
      <w:r w:rsidRPr="00012502">
        <w:rPr>
          <w:rFonts w:ascii="Narkisim" w:hAnsi="Narkisim" w:cs="Narkisim"/>
          <w:rtl/>
        </w:rPr>
        <w:t>' (לעיל ג: וה:) דהיתר אשת אח הוא מדין עדל"ת.</w:t>
      </w:r>
      <w:r w:rsidRPr="00012502">
        <w:rPr>
          <w:rFonts w:ascii="Narkisim" w:hAnsi="Narkisim" w:cs="Narkisim"/>
          <w:sz w:val="20"/>
          <w:szCs w:val="20"/>
          <w:rtl/>
        </w:rPr>
        <w:t xml:space="preserve"> [ובפשוטו הוה דחויה, אבל האחרונים דנו די"ל דע"י עדל"ת הוה הותרה. או דתליא במח' הסוגיות].</w:t>
      </w:r>
    </w:p>
    <w:p w14:paraId="05603083"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חמד"ש</w:t>
      </w:r>
      <w:r w:rsidRPr="00012502">
        <w:rPr>
          <w:rFonts w:ascii="Narkisim" w:hAnsi="Narkisim"/>
          <w:rtl/>
        </w:rPr>
        <w:t xml:space="preserve"> (ט. ד"ה אמנם) כת' דלס"ד (ג:) דעשה דוחה ל"ת שיש בו כרת, א"כ מוכח [מסברת התוס'] דע"י שנדחה אמרי' דנשאה בהיתר. ומותר אף ביאה שניה, וכן בחייבי לאוין וכן אחות אשה לצד דעדל"ת שיש בו כרת. אבל למסקנא דלא אמרי' עדל"ת שיש בו כרת, ע"כ גדר היתר אשת אח הוה מצותו בכך, ולא מדין עדל"ת</w:t>
      </w:r>
      <w:r w:rsidRPr="00012502">
        <w:rPr>
          <w:rStyle w:val="ac"/>
          <w:rFonts w:ascii="Narkisim" w:hAnsi="Narkisim"/>
          <w:rtl/>
        </w:rPr>
        <w:footnoteReference w:id="464"/>
      </w:r>
      <w:r w:rsidRPr="00012502">
        <w:rPr>
          <w:rFonts w:ascii="Narkisim" w:hAnsi="Narkisim"/>
          <w:rtl/>
        </w:rPr>
        <w:t>, וע"כ אמרי' דהותר משעת נפילה [ואין ללמוד ממנו דעדל"ת לביאה שניה].</w:t>
      </w:r>
    </w:p>
    <w:p w14:paraId="5631B734"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יד רמ"ה</w:t>
      </w:r>
      <w:r w:rsidRPr="00012502">
        <w:rPr>
          <w:rFonts w:ascii="Narkisim" w:hAnsi="Narkisim" w:cs="Narkisim"/>
          <w:rtl/>
        </w:rPr>
        <w:t xml:space="preserve"> (סנהדרין נג:) הקשה כקושיית התוס', אהא דחייבי לאוין אוסרין בביאה שניה, מ"ש מאיסור אשת אח דאמרי' עדל"ת שיש בו כרת</w:t>
      </w:r>
      <w:r w:rsidRPr="00012502">
        <w:rPr>
          <w:rStyle w:val="ac"/>
          <w:rFonts w:ascii="Narkisim" w:hAnsi="Narkisim" w:cs="Narkisim"/>
          <w:rtl/>
        </w:rPr>
        <w:footnoteReference w:id="465"/>
      </w:r>
      <w:r w:rsidRPr="00012502">
        <w:rPr>
          <w:rFonts w:ascii="Narkisim" w:hAnsi="Narkisim" w:cs="Narkisim"/>
          <w:rtl/>
        </w:rPr>
        <w:t xml:space="preserve"> אפי' בביאה שניה. ואפי' גירשה מותר להחזירה</w:t>
      </w:r>
      <w:r w:rsidRPr="00012502">
        <w:rPr>
          <w:rStyle w:val="ac"/>
          <w:rFonts w:ascii="Narkisim" w:hAnsi="Narkisim" w:cs="Narkisim"/>
          <w:rtl/>
        </w:rPr>
        <w:footnoteReference w:id="466"/>
      </w:r>
      <w:r w:rsidRPr="00012502">
        <w:rPr>
          <w:rFonts w:ascii="Narkisim" w:hAnsi="Narkisim" w:cs="Narkisim"/>
          <w:rtl/>
        </w:rPr>
        <w:t>.</w:t>
      </w:r>
    </w:p>
    <w:p w14:paraId="4C4E26C6"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רמ"ה</w:t>
      </w:r>
      <w:r w:rsidRPr="00012502">
        <w:rPr>
          <w:rFonts w:ascii="Narkisim" w:hAnsi="Narkisim"/>
          <w:rtl/>
        </w:rPr>
        <w:t xml:space="preserve"> תי' דהיתר יבום באשת אח אינו מדין עשה דוחה ל"ת, אלא דהתורה לא אסרה [והו' לעיל ג:]</w:t>
      </w:r>
      <w:r w:rsidRPr="00012502">
        <w:rPr>
          <w:rStyle w:val="ac"/>
          <w:rFonts w:ascii="Narkisim" w:hAnsi="Narkisim"/>
          <w:rtl/>
        </w:rPr>
        <w:footnoteReference w:id="467"/>
      </w:r>
      <w:r w:rsidRPr="00012502">
        <w:rPr>
          <w:rFonts w:ascii="Narkisim" w:hAnsi="Narkisim"/>
          <w:rtl/>
        </w:rPr>
        <w:t>.</w:t>
      </w:r>
    </w:p>
    <w:p w14:paraId="6D324E72"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ה</w:t>
      </w:r>
      <w:r w:rsidRPr="00012502">
        <w:rPr>
          <w:rFonts w:ascii="Narkisim" w:hAnsi="Narkisim"/>
          <w:b/>
          <w:bCs/>
          <w:rtl/>
        </w:rPr>
        <w:t>רשב"א</w:t>
      </w:r>
      <w:r w:rsidRPr="00012502">
        <w:rPr>
          <w:rFonts w:ascii="Narkisim" w:hAnsi="Narkisim"/>
          <w:rtl/>
        </w:rPr>
        <w:t xml:space="preserve"> (קידושין כא:) הק' מ"ש גבי כהן ביפת תואר דלדעת רב אמרי' דהותר אף ביאה שניה, הואיל ואשתרי אשתרי. ואילו יבום אלמנה מן האירוסין לכה"ג דעשה דוחה ל"ת [מדאורייתא] בביאה ראשונה, ואפ"ה בביאה שניה אסירא ולא אמרי' כיון דאשתרי אשתרי. ותי' דיפת תואר הפסוק התיר להדיא. אבל הכא לא שרי </w:t>
      </w:r>
      <w:r w:rsidRPr="00012502">
        <w:rPr>
          <w:rFonts w:ascii="Narkisim" w:hAnsi="Narkisim"/>
          <w:rtl/>
        </w:rPr>
        <w:lastRenderedPageBreak/>
        <w:t>קרא בהדיא, אלא דמדרש קא דרשי' משום דאתי עשה ודחי לא תעשה. ומש"ה אסורה בביאה שניה דליכא עשה.</w:t>
      </w:r>
    </w:p>
    <w:p w14:paraId="3DF8676C" w14:textId="77777777" w:rsidR="00BE1D1C" w:rsidRPr="00012502" w:rsidRDefault="00000000" w:rsidP="00012502">
      <w:pPr>
        <w:pStyle w:val="a8"/>
        <w:bidi/>
        <w:rPr>
          <w:rFonts w:ascii="Narkisim" w:hAnsi="Narkisim"/>
        </w:rPr>
      </w:pPr>
      <w:r w:rsidRPr="00012502">
        <w:rPr>
          <w:rFonts w:ascii="Narkisim" w:hAnsi="Narkisim"/>
          <w:rtl/>
        </w:rPr>
        <w:t>והרשב"א הביא דיפת תואר דמי לאיסור אשת אח דשרי בהדיא ולא אמרי' ביאה ראשונה שרי ושניה אסור. והרשב"א כת' דאף דשמואל [דפליג ביפת תואר] מודה באשת אח ליבום דמצוה רמיא עליה, ואין לומר דבביאה שניה חוזר לאיסורו. דיפת תואר לאו מצווה היא</w:t>
      </w:r>
      <w:r w:rsidRPr="00012502">
        <w:rPr>
          <w:rStyle w:val="ac"/>
          <w:rFonts w:ascii="Narkisim" w:hAnsi="Narkisim"/>
          <w:rtl/>
        </w:rPr>
        <w:footnoteReference w:id="468"/>
      </w:r>
      <w:r w:rsidRPr="00012502">
        <w:rPr>
          <w:rFonts w:ascii="Narkisim" w:hAnsi="Narkisim"/>
          <w:rtl/>
        </w:rPr>
        <w:t>, וחוזר לאיסורו.</w:t>
      </w:r>
    </w:p>
    <w:p w14:paraId="7DA46562" w14:textId="77777777" w:rsidR="00BE1D1C" w:rsidRPr="00012502" w:rsidRDefault="00000000" w:rsidP="00012502">
      <w:pPr>
        <w:pStyle w:val="3"/>
        <w:bidi/>
        <w:rPr>
          <w:rFonts w:ascii="Narkisim" w:hAnsi="Narkisim"/>
        </w:rPr>
      </w:pPr>
      <w:r w:rsidRPr="00012502">
        <w:rPr>
          <w:rFonts w:ascii="Narkisim" w:hAnsi="Narkisim"/>
          <w:rtl/>
        </w:rPr>
        <w:t>דף ט.</w:t>
      </w:r>
    </w:p>
    <w:p w14:paraId="26D267ED" w14:textId="77777777" w:rsidR="00BE1D1C" w:rsidRPr="00012502" w:rsidRDefault="00000000" w:rsidP="00012502">
      <w:pPr>
        <w:pStyle w:val="aa"/>
        <w:bidi/>
        <w:rPr>
          <w:rFonts w:ascii="Narkisim" w:hAnsi="Narkisim"/>
        </w:rPr>
      </w:pPr>
      <w:r w:rsidRPr="00012502">
        <w:rPr>
          <w:rFonts w:ascii="Narkisim" w:hAnsi="Narkisim"/>
          <w:u w:val="single"/>
          <w:rtl/>
        </w:rPr>
        <w:t>תוד"ה מה להלן.</w:t>
      </w:r>
      <w:r w:rsidRPr="00012502">
        <w:rPr>
          <w:rFonts w:ascii="Narkisim" w:hAnsi="Narkisim"/>
          <w:rtl/>
        </w:rPr>
        <w:t xml:space="preserve"> דשגגתו חטאת לא קים לן באחות אשה אלא מהכא. וה</w:t>
      </w:r>
      <w:r w:rsidRPr="00012502">
        <w:rPr>
          <w:rFonts w:ascii="Narkisim" w:hAnsi="Narkisim"/>
          <w:b/>
          <w:bCs/>
          <w:rtl/>
        </w:rPr>
        <w:t>תוס' הרא"ש</w:t>
      </w:r>
      <w:r w:rsidRPr="00012502">
        <w:rPr>
          <w:rFonts w:ascii="Narkisim" w:hAnsi="Narkisim"/>
          <w:rtl/>
        </w:rPr>
        <w:t xml:space="preserve"> (הוריות ח) כת' דאי לאו 'עליה' הו"א דעל כל חטא יביא חטאת. וגזי"ש למעוטי דלא חייב אלא על דבר שחייב כרת.</w:t>
      </w:r>
    </w:p>
    <w:p w14:paraId="70E9A45E" w14:textId="77777777" w:rsidR="00BE1D1C" w:rsidRPr="00012502" w:rsidRDefault="00000000" w:rsidP="00012502">
      <w:pPr>
        <w:pStyle w:val="aa"/>
        <w:bidi/>
        <w:rPr>
          <w:rFonts w:ascii="Narkisim" w:hAnsi="Narkisim"/>
        </w:rPr>
      </w:pPr>
      <w:r w:rsidRPr="00012502">
        <w:rPr>
          <w:rFonts w:ascii="Narkisim" w:hAnsi="Narkisim"/>
          <w:u w:val="single"/>
          <w:rtl/>
        </w:rPr>
        <w:t>תוד"ה וילמד</w:t>
      </w:r>
      <w:r w:rsidRPr="00012502">
        <w:rPr>
          <w:rFonts w:ascii="Narkisim" w:hAnsi="Narkisim"/>
          <w:rtl/>
        </w:rPr>
        <w:t>. אית ליה לרבי (פסחים צג:) מגדף היינו מברך את השם. וכאיסי בן יהודה (כריתות ז:), ודעת ר' אלעזר בן עזריה (שם) דמגדף הוה עובד ע"ז. [ע' תוס' בסמוך].</w:t>
      </w:r>
    </w:p>
    <w:p w14:paraId="4E53AFF8" w14:textId="77777777" w:rsidR="00BE1D1C" w:rsidRPr="00012502" w:rsidRDefault="00000000" w:rsidP="00012502">
      <w:pPr>
        <w:bidi/>
        <w:rPr>
          <w:rFonts w:ascii="Narkisim" w:hAnsi="Narkisim" w:cs="Narkisim"/>
        </w:rPr>
      </w:pPr>
      <w:r w:rsidRPr="00012502">
        <w:rPr>
          <w:rFonts w:ascii="Narkisim" w:hAnsi="Narkisim" w:cs="Narkisim"/>
          <w:u w:val="single"/>
          <w:rtl/>
        </w:rPr>
        <w:t>תוד"ה מה עבודת כוכבים.</w:t>
      </w:r>
      <w:r w:rsidRPr="00012502">
        <w:rPr>
          <w:rFonts w:ascii="Narkisim" w:hAnsi="Narkisim" w:cs="Narkisim"/>
          <w:rtl/>
        </w:rPr>
        <w:t xml:space="preserve"> וה"נ לרבנן וכו' ולא בעי לאו, דלא כתיב בההוא פרשה וכו' ומיהו לרבי וכו' בעי לאו וכרת וכו'</w:t>
      </w:r>
      <w:r w:rsidRPr="00012502">
        <w:rPr>
          <w:rStyle w:val="ac"/>
          <w:rFonts w:ascii="Narkisim" w:hAnsi="Narkisim" w:cs="Narkisim"/>
          <w:rtl/>
        </w:rPr>
        <w:footnoteReference w:id="469"/>
      </w:r>
      <w:r w:rsidRPr="00012502">
        <w:rPr>
          <w:rFonts w:ascii="Narkisim" w:hAnsi="Narkisim" w:cs="Narkisim"/>
          <w:rtl/>
        </w:rPr>
        <w:t>. תוס' העמידו דנח' רבי ורבנן האם יש חיוב חטאת במקום דליכא לאו</w:t>
      </w:r>
      <w:r w:rsidRPr="00012502">
        <w:rPr>
          <w:rStyle w:val="ac"/>
          <w:rFonts w:ascii="Narkisim" w:hAnsi="Narkisim" w:cs="Narkisim"/>
          <w:rtl/>
        </w:rPr>
        <w:footnoteReference w:id="470"/>
      </w:r>
      <w:r w:rsidRPr="00012502">
        <w:rPr>
          <w:rFonts w:ascii="Narkisim" w:hAnsi="Narkisim" w:cs="Narkisim"/>
          <w:rtl/>
        </w:rPr>
        <w:t xml:space="preserve"> [וכ"כ תוס' יומא פו.].</w:t>
      </w:r>
    </w:p>
    <w:p w14:paraId="7B92A6D0"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שואל</w:t>
      </w:r>
      <w:r w:rsidRPr="00012502">
        <w:rPr>
          <w:rFonts w:ascii="Narkisim" w:hAnsi="Narkisim"/>
          <w:rtl/>
        </w:rPr>
        <w:t xml:space="preserve"> בשו"ת רע"א (ת' קיח, והו' ברע"א מכות יג:) נקט דלדעת רבי בעינן 'אזהרה' לקרבן. </w:t>
      </w:r>
      <w:r w:rsidRPr="00012502">
        <w:rPr>
          <w:rFonts w:ascii="Narkisim" w:hAnsi="Narkisim"/>
          <w:sz w:val="20"/>
          <w:szCs w:val="20"/>
          <w:rtl/>
        </w:rPr>
        <w:t>וכמו שעונש בי"ד צריך אזהרה</w:t>
      </w:r>
      <w:r w:rsidRPr="00012502">
        <w:rPr>
          <w:rStyle w:val="ac"/>
          <w:rFonts w:ascii="Narkisim" w:hAnsi="Narkisim"/>
          <w:sz w:val="20"/>
          <w:szCs w:val="20"/>
          <w:rtl/>
        </w:rPr>
        <w:footnoteReference w:id="471"/>
      </w:r>
      <w:r w:rsidRPr="00012502">
        <w:rPr>
          <w:rFonts w:ascii="Narkisim" w:hAnsi="Narkisim"/>
          <w:sz w:val="20"/>
          <w:szCs w:val="20"/>
          <w:rtl/>
        </w:rPr>
        <w:t xml:space="preserve">. </w:t>
      </w:r>
      <w:r w:rsidRPr="00012502">
        <w:rPr>
          <w:rFonts w:ascii="Narkisim" w:hAnsi="Narkisim"/>
          <w:rtl/>
        </w:rPr>
        <w:t>ועפ"ז נקט דלרבי לאו שניתן לאזהרת קרבן אינו לוקה</w:t>
      </w:r>
      <w:r w:rsidRPr="00012502">
        <w:rPr>
          <w:rStyle w:val="ac"/>
          <w:rFonts w:ascii="Narkisim" w:hAnsi="Narkisim"/>
          <w:rtl/>
        </w:rPr>
        <w:footnoteReference w:id="472"/>
      </w:r>
      <w:r w:rsidRPr="00012502">
        <w:rPr>
          <w:rFonts w:ascii="Narkisim" w:hAnsi="Narkisim"/>
          <w:rtl/>
        </w:rPr>
        <w:t>. ו</w:t>
      </w:r>
      <w:r w:rsidRPr="00012502">
        <w:rPr>
          <w:rFonts w:ascii="Narkisim" w:hAnsi="Narkisim"/>
          <w:b/>
          <w:bCs/>
          <w:rtl/>
        </w:rPr>
        <w:t>רע"א</w:t>
      </w:r>
      <w:r w:rsidRPr="00012502">
        <w:rPr>
          <w:rFonts w:ascii="Narkisim" w:hAnsi="Narkisim"/>
          <w:rtl/>
        </w:rPr>
        <w:t xml:space="preserve"> חלק דאף לרבי אפשר לענוש קרבן בלא אזהרה. אלא דנמסר בגזי"ש סימן, דבמקום שיש לאו וכרת בעי קרבן.</w:t>
      </w:r>
    </w:p>
    <w:p w14:paraId="44168514" w14:textId="77777777" w:rsidR="00BE1D1C" w:rsidRPr="00012502" w:rsidRDefault="00000000" w:rsidP="00012502">
      <w:pPr>
        <w:pStyle w:val="aa"/>
        <w:bidi/>
        <w:rPr>
          <w:rFonts w:ascii="Narkisim" w:hAnsi="Narkisim"/>
        </w:rPr>
      </w:pPr>
      <w:r w:rsidRPr="00012502">
        <w:rPr>
          <w:rFonts w:ascii="Narkisim" w:hAnsi="Narkisim"/>
          <w:rtl/>
        </w:rPr>
        <w:t xml:space="preserve">ודעת </w:t>
      </w:r>
      <w:r w:rsidRPr="00012502">
        <w:rPr>
          <w:rFonts w:ascii="Narkisim" w:hAnsi="Narkisim"/>
          <w:b/>
          <w:bCs/>
          <w:rtl/>
        </w:rPr>
        <w:t>רש"י</w:t>
      </w:r>
      <w:r w:rsidRPr="00012502">
        <w:rPr>
          <w:rFonts w:ascii="Narkisim" w:hAnsi="Narkisim"/>
          <w:rtl/>
        </w:rPr>
        <w:t xml:space="preserve"> (זבחים קו. כריתות ב. וג.</w:t>
      </w:r>
      <w:r w:rsidRPr="00012502">
        <w:rPr>
          <w:rStyle w:val="ac"/>
          <w:rFonts w:ascii="Narkisim" w:hAnsi="Narkisim"/>
          <w:rtl/>
        </w:rPr>
        <w:footnoteReference w:id="473"/>
      </w:r>
      <w:r w:rsidRPr="00012502">
        <w:rPr>
          <w:rFonts w:ascii="Narkisim" w:hAnsi="Narkisim"/>
          <w:rtl/>
        </w:rPr>
        <w:t>) מבואר דקרבן צריך אזהרה</w:t>
      </w:r>
      <w:r w:rsidRPr="00012502">
        <w:rPr>
          <w:rStyle w:val="ac"/>
          <w:rFonts w:ascii="Narkisim" w:hAnsi="Narkisim"/>
          <w:rtl/>
        </w:rPr>
        <w:footnoteReference w:id="474"/>
      </w:r>
      <w:r w:rsidRPr="00012502">
        <w:rPr>
          <w:rFonts w:ascii="Narkisim" w:hAnsi="Narkisim"/>
          <w:rtl/>
        </w:rPr>
        <w:t>. [ואכמ"ל].</w:t>
      </w:r>
    </w:p>
    <w:p w14:paraId="2EFC327F" w14:textId="77777777" w:rsidR="00BE1D1C" w:rsidRPr="00012502" w:rsidRDefault="00000000" w:rsidP="00012502">
      <w:pPr>
        <w:pStyle w:val="aa"/>
        <w:bidi/>
        <w:rPr>
          <w:rFonts w:ascii="Narkisim" w:hAnsi="Narkisim"/>
        </w:rPr>
      </w:pPr>
      <w:r w:rsidRPr="00012502">
        <w:rPr>
          <w:rFonts w:ascii="Narkisim" w:hAnsi="Narkisim"/>
          <w:u w:val="single"/>
          <w:rtl/>
        </w:rPr>
        <w:t>תוד"ה מאי לייתו</w:t>
      </w:r>
      <w:r w:rsidRPr="00012502">
        <w:rPr>
          <w:rStyle w:val="ac"/>
          <w:rFonts w:ascii="Narkisim" w:hAnsi="Narkisim"/>
          <w:rtl/>
        </w:rPr>
        <w:footnoteReference w:id="475"/>
      </w:r>
      <w:r w:rsidRPr="00012502">
        <w:rPr>
          <w:rFonts w:ascii="Narkisim" w:hAnsi="Narkisim"/>
          <w:rtl/>
        </w:rPr>
        <w:t>. וקשיא דקליתו כבש או איל וכו'. וה</w:t>
      </w:r>
      <w:r w:rsidRPr="00012502">
        <w:rPr>
          <w:rFonts w:ascii="Narkisim" w:hAnsi="Narkisim"/>
          <w:b/>
          <w:bCs/>
          <w:rtl/>
        </w:rPr>
        <w:t>תוס' הרא"ש</w:t>
      </w:r>
      <w:r w:rsidRPr="00012502">
        <w:rPr>
          <w:rFonts w:ascii="Narkisim" w:hAnsi="Narkisim"/>
          <w:rtl/>
        </w:rPr>
        <w:t xml:space="preserve"> כתב דאין לנו לבדות מליבנו חטאת שלא מצינו בשום מקום</w:t>
      </w:r>
      <w:r w:rsidRPr="00012502">
        <w:rPr>
          <w:rStyle w:val="ac"/>
          <w:rFonts w:ascii="Narkisim" w:hAnsi="Narkisim"/>
          <w:rtl/>
        </w:rPr>
        <w:footnoteReference w:id="476"/>
      </w:r>
      <w:r w:rsidRPr="00012502">
        <w:rPr>
          <w:rFonts w:ascii="Narkisim" w:hAnsi="Narkisim"/>
          <w:rtl/>
        </w:rPr>
        <w:t>. אך הקשה דהגמ' היתה צריכה להקשות ממ"נ, אם יביא משאר מתכפרים, אין זה חלקם. ואל"כ אין לנו לבדות.</w:t>
      </w:r>
    </w:p>
    <w:p w14:paraId="1C2A1100" w14:textId="77777777" w:rsidR="00BE1D1C" w:rsidRPr="00012502" w:rsidRDefault="00000000" w:rsidP="00012502">
      <w:pPr>
        <w:pStyle w:val="2"/>
        <w:bidi/>
        <w:rPr>
          <w:rFonts w:ascii="Narkisim" w:hAnsi="Narkisim"/>
        </w:rPr>
      </w:pPr>
      <w:r w:rsidRPr="00012502">
        <w:rPr>
          <w:rFonts w:ascii="Narkisim" w:hAnsi="Narkisim"/>
          <w:rtl/>
        </w:rPr>
        <w:t>חייבי לאוין לר' עקיבא</w:t>
      </w:r>
    </w:p>
    <w:p w14:paraId="14DADED5" w14:textId="77777777" w:rsidR="00BE1D1C" w:rsidRPr="00012502" w:rsidRDefault="00000000" w:rsidP="00012502">
      <w:pPr>
        <w:pStyle w:val="aa"/>
        <w:bidi/>
        <w:rPr>
          <w:rFonts w:ascii="Narkisim" w:hAnsi="Narkisim"/>
        </w:rPr>
      </w:pPr>
      <w:r w:rsidRPr="00012502">
        <w:rPr>
          <w:rFonts w:ascii="Narkisim" w:hAnsi="Narkisim"/>
          <w:u w:val="single"/>
          <w:rtl/>
        </w:rPr>
        <w:t>א"ל לוי לרבי מאי איריא דתני ט"ו וכו'</w:t>
      </w:r>
      <w:r w:rsidRPr="00012502">
        <w:rPr>
          <w:rFonts w:ascii="Narkisim" w:hAnsi="Narkisim"/>
          <w:rtl/>
        </w:rPr>
        <w:t>. ב</w:t>
      </w:r>
      <w:r w:rsidRPr="00012502">
        <w:rPr>
          <w:rFonts w:ascii="Narkisim" w:hAnsi="Narkisim"/>
          <w:b/>
          <w:bCs/>
          <w:rtl/>
        </w:rPr>
        <w:t>ס' הכריתות</w:t>
      </w:r>
      <w:r w:rsidRPr="00012502">
        <w:rPr>
          <w:rFonts w:ascii="Narkisim" w:hAnsi="Narkisim"/>
          <w:rtl/>
        </w:rPr>
        <w:t xml:space="preserve"> (לשון לימודים ב נח) דייק דשאל את רבי על תנא קדום [דלא אמר לו ששנית</w:t>
      </w:r>
      <w:r w:rsidRPr="00012502">
        <w:rPr>
          <w:rStyle w:val="ac"/>
          <w:rFonts w:ascii="Narkisim" w:hAnsi="Narkisim"/>
          <w:rtl/>
        </w:rPr>
        <w:footnoteReference w:id="477"/>
      </w:r>
      <w:r w:rsidRPr="00012502">
        <w:rPr>
          <w:rFonts w:ascii="Narkisim" w:hAnsi="Narkisim"/>
          <w:rtl/>
        </w:rPr>
        <w:t>]. ואף דרבי סידר המשניות, עיקר המשניות היו קודם</w:t>
      </w:r>
      <w:r w:rsidRPr="00012502">
        <w:rPr>
          <w:rStyle w:val="ac"/>
          <w:rFonts w:ascii="Narkisim" w:hAnsi="Narkisim"/>
          <w:rtl/>
        </w:rPr>
        <w:footnoteReference w:id="478"/>
      </w:r>
      <w:r w:rsidRPr="00012502">
        <w:rPr>
          <w:rFonts w:ascii="Narkisim" w:hAnsi="Narkisim"/>
          <w:rtl/>
        </w:rPr>
        <w:t>. וה</w:t>
      </w:r>
      <w:r w:rsidRPr="00012502">
        <w:rPr>
          <w:rFonts w:ascii="Narkisim" w:hAnsi="Narkisim"/>
          <w:b/>
          <w:bCs/>
          <w:rtl/>
        </w:rPr>
        <w:t>מהרצ"ח</w:t>
      </w:r>
      <w:r w:rsidRPr="00012502">
        <w:rPr>
          <w:rFonts w:ascii="Narkisim" w:hAnsi="Narkisim"/>
          <w:rtl/>
        </w:rPr>
        <w:t xml:space="preserve"> ציין דהך משנה דמנין העריות קדום טובא, וכדאי' ב</w:t>
      </w:r>
      <w:r w:rsidRPr="00012502">
        <w:rPr>
          <w:rFonts w:ascii="Narkisim" w:hAnsi="Narkisim"/>
          <w:b/>
          <w:bCs/>
          <w:rtl/>
        </w:rPr>
        <w:t>ירושלמי</w:t>
      </w:r>
      <w:r w:rsidRPr="00012502">
        <w:rPr>
          <w:rFonts w:ascii="Narkisim" w:hAnsi="Narkisim"/>
          <w:rtl/>
        </w:rPr>
        <w:t xml:space="preserve"> (שקלים פ"ה ד"ו כא., והו' ברש"י תמורה טז.) ומשפחות סופרים יושבי יעבץ</w:t>
      </w:r>
      <w:r w:rsidRPr="00012502">
        <w:rPr>
          <w:rStyle w:val="ac"/>
          <w:rFonts w:ascii="Narkisim" w:hAnsi="Narkisim"/>
          <w:rtl/>
        </w:rPr>
        <w:footnoteReference w:id="479"/>
      </w:r>
      <w:r w:rsidRPr="00012502">
        <w:rPr>
          <w:rFonts w:ascii="Narkisim" w:hAnsi="Narkisim"/>
          <w:rtl/>
        </w:rPr>
        <w:t>, שעשו את התורה ספורות ספורות וכו' ט"ו נשים פוטרות צרותיהן.</w:t>
      </w:r>
    </w:p>
    <w:p w14:paraId="2BA33CD7" w14:textId="77777777" w:rsidR="00BE1D1C" w:rsidRPr="00012502" w:rsidRDefault="00000000" w:rsidP="00012502">
      <w:pPr>
        <w:bidi/>
        <w:rPr>
          <w:rFonts w:ascii="Narkisim" w:hAnsi="Narkisim" w:cs="Narkisim"/>
        </w:rPr>
      </w:pPr>
      <w:r w:rsidRPr="00012502">
        <w:rPr>
          <w:rFonts w:ascii="Narkisim" w:hAnsi="Narkisim" w:cs="Narkisim"/>
          <w:u w:val="single"/>
          <w:rtl/>
        </w:rPr>
        <w:t>רש"י ד"ה והרי.</w:t>
      </w:r>
      <w:r w:rsidRPr="00012502">
        <w:rPr>
          <w:rFonts w:ascii="Narkisim" w:hAnsi="Narkisim" w:cs="Narkisim"/>
          <w:rtl/>
        </w:rPr>
        <w:t xml:space="preserve"> דלא אלים איסור לאו בלא כרת לאפקועי יבום לגמרי. </w:t>
      </w:r>
      <w:r w:rsidRPr="00012502">
        <w:rPr>
          <w:rFonts w:ascii="Narkisim" w:hAnsi="Narkisim" w:cs="Narkisim"/>
          <w:sz w:val="20"/>
          <w:szCs w:val="20"/>
          <w:rtl/>
        </w:rPr>
        <w:t xml:space="preserve">משמע ד'אלים' איסור </w:t>
      </w:r>
      <w:r w:rsidRPr="00012502">
        <w:rPr>
          <w:rFonts w:ascii="Narkisim" w:hAnsi="Narkisim" w:cs="Narkisim"/>
          <w:sz w:val="20"/>
          <w:szCs w:val="20"/>
          <w:rtl/>
        </w:rPr>
        <w:lastRenderedPageBreak/>
        <w:t>לאו שלא תתייבם, אלא דלא אלים להפקיע בלא חליצה. וה</w:t>
      </w:r>
      <w:r w:rsidRPr="00012502">
        <w:rPr>
          <w:rFonts w:ascii="Narkisim" w:hAnsi="Narkisim" w:cs="Narkisim"/>
          <w:b/>
          <w:bCs/>
          <w:sz w:val="20"/>
          <w:szCs w:val="20"/>
          <w:rtl/>
        </w:rPr>
        <w:t>אחרונים</w:t>
      </w:r>
      <w:r w:rsidRPr="00012502">
        <w:rPr>
          <w:rFonts w:ascii="Narkisim" w:hAnsi="Narkisim" w:cs="Narkisim"/>
          <w:sz w:val="20"/>
          <w:szCs w:val="20"/>
          <w:rtl/>
        </w:rPr>
        <w:t xml:space="preserve"> הק' דקי"ל דחייבי לאוין אם בעלו קנו, דעשה דוחה ל"ת. ואפשר דרש"י קאי לרב גידל (לקמן כ.) דגזיה"כ דחייבי לאוין אינה מתייבמת. [וה</w:t>
      </w:r>
      <w:r w:rsidRPr="00012502">
        <w:rPr>
          <w:rFonts w:ascii="Narkisim" w:hAnsi="Narkisim" w:cs="Narkisim"/>
          <w:b/>
          <w:bCs/>
          <w:sz w:val="20"/>
          <w:szCs w:val="20"/>
          <w:rtl/>
        </w:rPr>
        <w:t xml:space="preserve">אחרונים </w:t>
      </w:r>
      <w:r w:rsidRPr="00012502">
        <w:rPr>
          <w:rFonts w:ascii="Narkisim" w:hAnsi="Narkisim" w:cs="Narkisim"/>
          <w:sz w:val="20"/>
          <w:szCs w:val="20"/>
          <w:rtl/>
        </w:rPr>
        <w:t>הקשו על סתימת רש"י].</w:t>
      </w:r>
    </w:p>
    <w:p w14:paraId="3061C512" w14:textId="77777777" w:rsidR="00BE1D1C" w:rsidRPr="00012502" w:rsidRDefault="00000000" w:rsidP="00012502">
      <w:pPr>
        <w:pStyle w:val="a7"/>
        <w:bidi/>
        <w:rPr>
          <w:rFonts w:ascii="Narkisim" w:hAnsi="Narkisim"/>
        </w:rPr>
      </w:pPr>
      <w:r w:rsidRPr="00012502">
        <w:rPr>
          <w:rFonts w:ascii="Narkisim" w:hAnsi="Narkisim"/>
          <w:rtl/>
        </w:rPr>
        <w:t>ומשמע מרש"י דבחייבי כריתות 'אלים' להפקיע דין יבום לגמרי, ומש"ה אינה חולצת</w:t>
      </w:r>
      <w:r w:rsidRPr="00012502">
        <w:rPr>
          <w:rStyle w:val="ac"/>
          <w:rFonts w:ascii="Narkisim" w:hAnsi="Narkisim"/>
          <w:rtl/>
        </w:rPr>
        <w:footnoteReference w:id="480"/>
      </w:r>
      <w:r w:rsidRPr="00012502">
        <w:rPr>
          <w:rFonts w:ascii="Narkisim" w:hAnsi="Narkisim"/>
          <w:rtl/>
        </w:rPr>
        <w:t>. אך בפשוטו מבואר (לקמן כ:) דהטעם דעריות אינם חולצות משום דלא תפסי בה קידושין. [וע"ע לקמן].</w:t>
      </w:r>
    </w:p>
    <w:p w14:paraId="31D20986" w14:textId="77777777" w:rsidR="00BE1D1C" w:rsidRPr="00012502" w:rsidRDefault="00000000" w:rsidP="00012502">
      <w:pPr>
        <w:pStyle w:val="aa"/>
        <w:bidi/>
        <w:rPr>
          <w:rFonts w:ascii="Narkisim" w:hAnsi="Narkisim"/>
        </w:rPr>
      </w:pPr>
      <w:r w:rsidRPr="00012502">
        <w:rPr>
          <w:rFonts w:ascii="Narkisim" w:hAnsi="Narkisim"/>
          <w:u w:val="single"/>
          <w:rtl/>
        </w:rPr>
        <w:t>בא"ד ופליג ר' עקיבא וכו' כל שאר בשר וכו'.</w:t>
      </w:r>
      <w:r w:rsidRPr="00012502">
        <w:rPr>
          <w:rFonts w:ascii="Narkisim" w:hAnsi="Narkisim"/>
          <w:rtl/>
        </w:rPr>
        <w:t xml:space="preserve"> לקמן [מט.] נח' התנאים האם ר' עקיבא קאי רק בחייבי לאו דשאר, או דמרבינן אף כל לאוין. וה</w:t>
      </w:r>
      <w:r w:rsidRPr="00012502">
        <w:rPr>
          <w:rFonts w:ascii="Narkisim" w:hAnsi="Narkisim"/>
          <w:b/>
          <w:bCs/>
          <w:rtl/>
        </w:rPr>
        <w:t>אחרונים</w:t>
      </w:r>
      <w:r w:rsidRPr="00012502">
        <w:rPr>
          <w:rFonts w:ascii="Narkisim" w:hAnsi="Narkisim"/>
          <w:rtl/>
        </w:rPr>
        <w:t xml:space="preserve"> הקשו דרש"י כאן קאי אממזרת ונתינה דלא הוה שאר בשר, ואפ"ה תפס לשון המשנה דדוקא שאר בשר. וצ"ע.</w:t>
      </w:r>
    </w:p>
    <w:p w14:paraId="61C4262E" w14:textId="77777777" w:rsidR="00BE1D1C" w:rsidRPr="00012502" w:rsidRDefault="00000000" w:rsidP="00012502">
      <w:pPr>
        <w:bidi/>
        <w:rPr>
          <w:rFonts w:ascii="Narkisim" w:hAnsi="Narkisim" w:cs="Narkisim"/>
        </w:rPr>
      </w:pPr>
      <w:r w:rsidRPr="00012502">
        <w:rPr>
          <w:rFonts w:ascii="Narkisim" w:hAnsi="Narkisim" w:cs="Narkisim"/>
          <w:u w:val="single"/>
          <w:rtl/>
        </w:rPr>
        <w:t>תוד"ה והרי.</w:t>
      </w:r>
      <w:r w:rsidRPr="00012502">
        <w:rPr>
          <w:rFonts w:ascii="Narkisim" w:hAnsi="Narkisim" w:cs="Narkisim"/>
          <w:rtl/>
        </w:rPr>
        <w:t xml:space="preserve"> בכל דוכתי פשיט"ל וכו' לאו בני חליצה ויבום</w:t>
      </w:r>
      <w:r w:rsidRPr="00012502">
        <w:rPr>
          <w:rStyle w:val="ac"/>
          <w:rFonts w:ascii="Narkisim" w:hAnsi="Narkisim" w:cs="Narkisim"/>
          <w:rtl/>
        </w:rPr>
        <w:footnoteReference w:id="481"/>
      </w:r>
      <w:r w:rsidRPr="00012502">
        <w:rPr>
          <w:rFonts w:ascii="Narkisim" w:hAnsi="Narkisim" w:cs="Narkisim"/>
          <w:rtl/>
        </w:rPr>
        <w:t xml:space="preserve"> וכו'. ומבואר ב</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 w:val="20"/>
          <w:szCs w:val="20"/>
          <w:rtl/>
        </w:rPr>
        <w:t xml:space="preserve">(י. ד"ה לעולם וד"ה לרבי) </w:t>
      </w:r>
      <w:r w:rsidRPr="00012502">
        <w:rPr>
          <w:rFonts w:ascii="Narkisim" w:hAnsi="Narkisim" w:cs="Narkisim"/>
          <w:rtl/>
        </w:rPr>
        <w:t>דפשיט"ל דלר' עקיבא חייבי לאוין פוטרין צרותיהן. ובפשוטו הטעם משום דחייבי לאוין כחייבי כריתות דמי, והוה בכלל ילפותא ד'עליה' ו'לצרור'</w:t>
      </w:r>
      <w:r w:rsidRPr="00012502">
        <w:rPr>
          <w:rStyle w:val="ac"/>
          <w:rFonts w:ascii="Narkisim" w:hAnsi="Narkisim" w:cs="Narkisim"/>
          <w:rtl/>
        </w:rPr>
        <w:footnoteReference w:id="482"/>
      </w:r>
      <w:r w:rsidRPr="00012502">
        <w:rPr>
          <w:rFonts w:ascii="Narkisim" w:hAnsi="Narkisim" w:cs="Narkisim"/>
          <w:rtl/>
        </w:rPr>
        <w:t>. [אלא דתוס' כאן הק' מנ"ל].</w:t>
      </w:r>
    </w:p>
    <w:p w14:paraId="3CF99E02"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גרי"ז</w:t>
      </w:r>
      <w:r w:rsidRPr="00012502">
        <w:rPr>
          <w:rFonts w:ascii="Narkisim" w:hAnsi="Narkisim"/>
          <w:rtl/>
        </w:rPr>
        <w:t xml:space="preserve"> (הל' יבום) הק' בשלמא 'פטור' בלא חליצה תלי בתפיסת קידושין. אבל פטור צרה ילפי' מקרא ד'לצרור' דקאי גבי עריות</w:t>
      </w:r>
      <w:r w:rsidRPr="00012502">
        <w:rPr>
          <w:rStyle w:val="ac"/>
          <w:rFonts w:ascii="Narkisim" w:hAnsi="Narkisim"/>
          <w:rtl/>
        </w:rPr>
        <w:footnoteReference w:id="483"/>
      </w:r>
      <w:r w:rsidRPr="00012502">
        <w:rPr>
          <w:rFonts w:ascii="Narkisim" w:hAnsi="Narkisim"/>
          <w:rtl/>
        </w:rPr>
        <w:t>, והאיך ילפי' לחייבי לאוין.</w:t>
      </w:r>
    </w:p>
    <w:p w14:paraId="4F2F90C3" w14:textId="77777777" w:rsidR="00BE1D1C" w:rsidRPr="00012502" w:rsidRDefault="00000000" w:rsidP="00012502">
      <w:pPr>
        <w:pStyle w:val="a7"/>
        <w:bidi/>
        <w:rPr>
          <w:rFonts w:ascii="Narkisim" w:hAnsi="Narkisim"/>
        </w:rPr>
      </w:pPr>
      <w:r w:rsidRPr="00012502">
        <w:rPr>
          <w:rFonts w:ascii="Narkisim" w:hAnsi="Narkisim"/>
          <w:rtl/>
        </w:rPr>
        <w:t>והגרי"ז תי' דחייבי לאוין לר"ע פוטרין צרותיהן משום איסור אשת אח. וכ"כ ה</w:t>
      </w:r>
      <w:r w:rsidRPr="00012502">
        <w:rPr>
          <w:rFonts w:ascii="Narkisim" w:hAnsi="Narkisim"/>
          <w:b/>
          <w:bCs/>
          <w:rtl/>
        </w:rPr>
        <w:t>אמר"מ</w:t>
      </w:r>
      <w:r w:rsidRPr="00012502">
        <w:rPr>
          <w:rFonts w:ascii="Narkisim" w:hAnsi="Narkisim"/>
          <w:rtl/>
        </w:rPr>
        <w:t xml:space="preserve"> (ז ו).</w:t>
      </w:r>
    </w:p>
    <w:p w14:paraId="6ED1611A" w14:textId="77777777" w:rsidR="00BE1D1C" w:rsidRPr="00012502" w:rsidRDefault="00000000" w:rsidP="00012502">
      <w:pPr>
        <w:bidi/>
        <w:rPr>
          <w:rFonts w:ascii="Narkisim" w:hAnsi="Narkisim" w:cs="Narkisim"/>
        </w:rPr>
      </w:pPr>
      <w:r w:rsidRPr="00012502">
        <w:rPr>
          <w:rFonts w:ascii="Narkisim" w:hAnsi="Narkisim" w:cs="Narkisim"/>
          <w:u w:val="single"/>
          <w:rtl/>
        </w:rPr>
        <w:t>בא"ד ותימה לר"י וכו' דליתי עשה ודוחה ל"ת</w:t>
      </w:r>
      <w:r w:rsidRPr="00012502">
        <w:rPr>
          <w:rFonts w:ascii="Narkisim" w:hAnsi="Narkisim" w:cs="Narkisim"/>
          <w:rtl/>
        </w:rPr>
        <w:t>. וה</w:t>
      </w:r>
      <w:r w:rsidRPr="00012502">
        <w:rPr>
          <w:rFonts w:ascii="Narkisim" w:hAnsi="Narkisim" w:cs="Narkisim"/>
          <w:b/>
          <w:bCs/>
          <w:rtl/>
        </w:rPr>
        <w:t>רמב"ן</w:t>
      </w:r>
      <w:r w:rsidRPr="00012502">
        <w:rPr>
          <w:rFonts w:ascii="Narkisim" w:hAnsi="Narkisim" w:cs="Narkisim"/>
          <w:rtl/>
        </w:rPr>
        <w:t xml:space="preserve"> תי' דלר' עקיבא גלי רחמנא בעריות וה"ה לחייבי לאוין, דכל דלא מתפסי קידושין מפקעי זיקה. אך הרמב"ן סיים דאכתי קשה היכא שמעי' דר"ע אמר סברא זו, דמקשינן מינה להדיא.</w:t>
      </w:r>
    </w:p>
    <w:p w14:paraId="71872199"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הוסיף דכיון דעיקר עריות וצרותיהן ילפי' מאחות אשה, והתם כתיב לא תקח, ה"ה כל שאין להם ליקוחין דינם כחייבי כריתות, דגלי רחמנא בחייבי כריתות, וה"ה כל דכוותיהו.</w:t>
      </w:r>
    </w:p>
    <w:p w14:paraId="6820CDDC"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תוס' הרא"ש</w:t>
      </w:r>
      <w:r w:rsidRPr="00012502">
        <w:rPr>
          <w:rFonts w:ascii="Narkisim" w:hAnsi="Narkisim"/>
          <w:rtl/>
        </w:rPr>
        <w:t xml:space="preserve"> הביא</w:t>
      </w:r>
      <w:r w:rsidRPr="00012502">
        <w:rPr>
          <w:rFonts w:ascii="Narkisim" w:hAnsi="Narkisim"/>
          <w:b/>
          <w:bCs/>
          <w:rtl/>
        </w:rPr>
        <w:t xml:space="preserve"> י"מ</w:t>
      </w:r>
      <w:r w:rsidRPr="00012502">
        <w:rPr>
          <w:rFonts w:ascii="Narkisim" w:hAnsi="Narkisim"/>
          <w:rtl/>
        </w:rPr>
        <w:t xml:space="preserve"> דקים לה לגמ' דר' עקיבא ס"ל כרבי, דדרש ולקחה, ותליא בתפיסת קידושין. ודחה דבגמ' (שבת סח:) מבואר דר"ע לא ס"ל כרבי</w:t>
      </w:r>
      <w:r w:rsidRPr="00012502">
        <w:rPr>
          <w:rStyle w:val="ac"/>
          <w:rFonts w:ascii="Narkisim" w:hAnsi="Narkisim"/>
          <w:rtl/>
        </w:rPr>
        <w:footnoteReference w:id="484"/>
      </w:r>
      <w:r w:rsidRPr="00012502">
        <w:rPr>
          <w:rFonts w:ascii="Narkisim" w:hAnsi="Narkisim"/>
          <w:rtl/>
        </w:rPr>
        <w:t>.</w:t>
      </w:r>
    </w:p>
    <w:p w14:paraId="4D8664B0" w14:textId="77777777" w:rsidR="00BE1D1C" w:rsidRPr="00012502" w:rsidRDefault="00000000" w:rsidP="00012502">
      <w:pPr>
        <w:pStyle w:val="a8"/>
        <w:bidi/>
        <w:rPr>
          <w:rFonts w:ascii="Narkisim" w:hAnsi="Narkisim"/>
        </w:rPr>
      </w:pPr>
      <w:r w:rsidRPr="00012502">
        <w:rPr>
          <w:rFonts w:ascii="Narkisim" w:hAnsi="Narkisim"/>
          <w:rtl/>
        </w:rPr>
        <w:t xml:space="preserve">והביא בשם </w:t>
      </w:r>
      <w:r w:rsidRPr="00012502">
        <w:rPr>
          <w:rFonts w:ascii="Narkisim" w:hAnsi="Narkisim"/>
          <w:b/>
          <w:bCs/>
          <w:rtl/>
        </w:rPr>
        <w:t>רבינו מאיר</w:t>
      </w:r>
      <w:r w:rsidRPr="00012502">
        <w:rPr>
          <w:rFonts w:ascii="Narkisim" w:hAnsi="Narkisim"/>
          <w:rtl/>
        </w:rPr>
        <w:t xml:space="preserve"> דר' עקיבא דריש לא יגלה כנף אביו לאנוסת אביו (לקמן מט.) והוקש לחייבי כריתות לענין זה.</w:t>
      </w:r>
    </w:p>
    <w:p w14:paraId="37D17FC4" w14:textId="77777777" w:rsidR="00BE1D1C" w:rsidRPr="00012502" w:rsidRDefault="00000000" w:rsidP="00012502">
      <w:pPr>
        <w:pStyle w:val="a7"/>
        <w:bidi/>
        <w:rPr>
          <w:rFonts w:ascii="Narkisim" w:hAnsi="Narkisim"/>
        </w:rPr>
      </w:pPr>
      <w:r w:rsidRPr="00012502">
        <w:rPr>
          <w:rFonts w:ascii="Narkisim" w:hAnsi="Narkisim"/>
          <w:rtl/>
        </w:rPr>
        <w:t>וב</w:t>
      </w:r>
      <w:r w:rsidRPr="00012502">
        <w:rPr>
          <w:rFonts w:ascii="Narkisim" w:hAnsi="Narkisim"/>
          <w:b/>
          <w:bCs/>
          <w:rtl/>
        </w:rPr>
        <w:t>שו"ת הרשב"א</w:t>
      </w:r>
      <w:r w:rsidRPr="00012502">
        <w:rPr>
          <w:rFonts w:ascii="Narkisim" w:hAnsi="Narkisim"/>
          <w:rtl/>
        </w:rPr>
        <w:t xml:space="preserve"> (ו יט) הביא דב</w:t>
      </w:r>
      <w:r w:rsidRPr="00012502">
        <w:rPr>
          <w:rFonts w:ascii="Narkisim" w:hAnsi="Narkisim"/>
          <w:b/>
          <w:bCs/>
          <w:rtl/>
        </w:rPr>
        <w:t>ירושלמי</w:t>
      </w:r>
      <w:r w:rsidRPr="00012502">
        <w:rPr>
          <w:rFonts w:ascii="Narkisim" w:hAnsi="Narkisim"/>
          <w:rtl/>
        </w:rPr>
        <w:t xml:space="preserve"> הקשו כן להדיא, ותי' דילפי' מק"ו מאחות אשה, דיש היתר אחר איסורו וכו'.</w:t>
      </w:r>
    </w:p>
    <w:p w14:paraId="7B1F5525"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ומבואר דהראשונים נקטו דקו' התוס' מנ"ל דיש 'פטור' בחייבי לאוין, הא פטור 'עליה' נאמר בעריות, והאיך נילף לחייבי לאוין</w:t>
      </w:r>
      <w:r w:rsidRPr="00012502">
        <w:rPr>
          <w:rStyle w:val="ac"/>
          <w:rFonts w:ascii="Narkisim" w:hAnsi="Narkisim" w:cs="Narkisim"/>
          <w:rtl/>
        </w:rPr>
        <w:footnoteReference w:id="485"/>
      </w:r>
      <w:r w:rsidRPr="00012502">
        <w:rPr>
          <w:rFonts w:ascii="Narkisim" w:hAnsi="Narkisim" w:cs="Narkisim"/>
          <w:rtl/>
        </w:rPr>
        <w:t>.</w:t>
      </w:r>
    </w:p>
    <w:p w14:paraId="7C126F90"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אחרונים</w:t>
      </w:r>
      <w:r w:rsidRPr="00012502">
        <w:rPr>
          <w:rFonts w:ascii="Narkisim" w:hAnsi="Narkisim"/>
          <w:rtl/>
        </w:rPr>
        <w:t xml:space="preserve"> דייקו דתוס' הקשו דעשה ידחה ל"ת, ומשמע דאף אי ילפי' 'פטור' מאחות אשה, עדיין הוקשה לתוס' דליתי עשה ולידחי. וה</w:t>
      </w:r>
      <w:r w:rsidRPr="00012502">
        <w:rPr>
          <w:rFonts w:ascii="Narkisim" w:hAnsi="Narkisim"/>
          <w:b/>
          <w:bCs/>
          <w:rtl/>
        </w:rPr>
        <w:t>ברכ"ש</w:t>
      </w:r>
      <w:r w:rsidRPr="00012502">
        <w:rPr>
          <w:rFonts w:ascii="Narkisim" w:hAnsi="Narkisim"/>
          <w:rtl/>
        </w:rPr>
        <w:t xml:space="preserve"> (ד) ביאר דכיון דעשה דוחה ל"ת לא הוי ערוה כלל, ול"ש שם פטור.</w:t>
      </w:r>
    </w:p>
    <w:p w14:paraId="6A4EE2B8" w14:textId="77777777" w:rsidR="00BE1D1C" w:rsidRPr="00012502" w:rsidRDefault="00000000" w:rsidP="00012502">
      <w:pPr>
        <w:pStyle w:val="a8"/>
        <w:bidi/>
        <w:rPr>
          <w:rFonts w:ascii="Narkisim" w:hAnsi="Narkisim"/>
        </w:rPr>
      </w:pPr>
      <w:r w:rsidRPr="00012502">
        <w:rPr>
          <w:rFonts w:ascii="Narkisim" w:hAnsi="Narkisim"/>
          <w:rtl/>
        </w:rPr>
        <w:t>והעמיד דבזה תי' ה</w:t>
      </w:r>
      <w:r w:rsidRPr="00012502">
        <w:rPr>
          <w:rFonts w:ascii="Narkisim" w:hAnsi="Narkisim"/>
          <w:b/>
          <w:bCs/>
          <w:rtl/>
        </w:rPr>
        <w:t xml:space="preserve">רמב"ן </w:t>
      </w:r>
      <w:r w:rsidRPr="00012502">
        <w:rPr>
          <w:rFonts w:ascii="Narkisim" w:hAnsi="Narkisim"/>
          <w:rtl/>
        </w:rPr>
        <w:t>דגדר פטור 'עליה' דהוה ערוה ולא חל פרשת יבום, ולא אמרי' דלידחי. וה</w:t>
      </w:r>
      <w:r w:rsidRPr="00012502">
        <w:rPr>
          <w:rFonts w:ascii="Narkisim" w:hAnsi="Narkisim"/>
          <w:b/>
          <w:bCs/>
          <w:rtl/>
        </w:rPr>
        <w:t>אחרונים</w:t>
      </w:r>
      <w:r w:rsidRPr="00012502">
        <w:rPr>
          <w:rFonts w:ascii="Narkisim" w:hAnsi="Narkisim"/>
          <w:rtl/>
        </w:rPr>
        <w:t xml:space="preserve"> הק' דהגמ' (לעיל ג:) מקשה דליתי עשה ולידחי ל"ת שיש בו כרת, ומ"ש מהכא דלדברי הרמב"ן פטורה, ולא אמרי' דנדחית. וכמה </w:t>
      </w:r>
      <w:r w:rsidRPr="00012502">
        <w:rPr>
          <w:rFonts w:ascii="Narkisim" w:hAnsi="Narkisim"/>
          <w:b/>
          <w:bCs/>
          <w:rtl/>
        </w:rPr>
        <w:t>אחרונים</w:t>
      </w:r>
      <w:r w:rsidRPr="00012502">
        <w:rPr>
          <w:rFonts w:ascii="Narkisim" w:hAnsi="Narkisim"/>
          <w:rtl/>
        </w:rPr>
        <w:t xml:space="preserve"> (אחיעזר ד ה, חי' ר' שלמה א) תירצו דהגמ' שם קאי לפני הפטור 'עליה'. [ועוד תי' האחרונים בכמה אופנים].</w:t>
      </w:r>
    </w:p>
    <w:p w14:paraId="6F5C8CF9"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שם.</w:t>
      </w:r>
      <w:r w:rsidRPr="00012502">
        <w:rPr>
          <w:rFonts w:ascii="Narkisim" w:hAnsi="Narkisim" w:cs="Narkisim"/>
          <w:rtl/>
        </w:rPr>
        <w:t xml:space="preserve"> וב</w:t>
      </w:r>
      <w:r w:rsidRPr="00012502">
        <w:rPr>
          <w:rFonts w:ascii="Narkisim" w:hAnsi="Narkisim" w:cs="Narkisim"/>
          <w:b/>
          <w:bCs/>
          <w:rtl/>
        </w:rPr>
        <w:t xml:space="preserve">שו"ת הרשב"א </w:t>
      </w:r>
      <w:r w:rsidRPr="00012502">
        <w:rPr>
          <w:rFonts w:ascii="Narkisim" w:hAnsi="Narkisim" w:cs="Narkisim"/>
          <w:rtl/>
        </w:rPr>
        <w:t xml:space="preserve">(ו יט) תי' דכיון דאין קידושין תופסים אי"צ חליצה (וכדאי' לקמן כ.). ולר' עקיבא אין מקום לחלק בין חייבי לאוין לחייבי כריתות. </w:t>
      </w:r>
      <w:r w:rsidRPr="00012502">
        <w:rPr>
          <w:rFonts w:ascii="Narkisim" w:hAnsi="Narkisim" w:cs="Narkisim"/>
          <w:szCs w:val="20"/>
          <w:rtl/>
        </w:rPr>
        <w:t>וכיון דחייבי כריתות אינם עולים ליבום, אידך [חייבי לאוין] נמי אינה עולה ליבום</w:t>
      </w:r>
      <w:r w:rsidRPr="00012502">
        <w:rPr>
          <w:rStyle w:val="ac"/>
          <w:rFonts w:ascii="Narkisim" w:hAnsi="Narkisim" w:cs="Narkisim"/>
          <w:szCs w:val="20"/>
          <w:rtl/>
        </w:rPr>
        <w:footnoteReference w:id="486"/>
      </w:r>
      <w:r w:rsidRPr="00012502">
        <w:rPr>
          <w:rFonts w:ascii="Narkisim" w:hAnsi="Narkisim" w:cs="Narkisim"/>
          <w:rtl/>
        </w:rPr>
        <w:t>.</w:t>
      </w:r>
    </w:p>
    <w:p w14:paraId="4C992E62"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(ח טז) תמה דהרשב"א ביאר אמאי פטור מחליצה, אבל לא תי' על הקושיא דעדל"ת אמאי לא תתייבם. וביאר דהרשב"א סמך אגזיה"כ, דה</w:t>
      </w:r>
      <w:r w:rsidRPr="00012502">
        <w:rPr>
          <w:rFonts w:ascii="Narkisim" w:hAnsi="Narkisim"/>
          <w:b/>
          <w:bCs/>
          <w:rtl/>
        </w:rPr>
        <w:t xml:space="preserve">רשב"א </w:t>
      </w:r>
      <w:r w:rsidRPr="00012502">
        <w:rPr>
          <w:rFonts w:ascii="Narkisim" w:hAnsi="Narkisim"/>
          <w:rtl/>
        </w:rPr>
        <w:t>(לקמן כ:) הביא דרשא דאי לא קרינן ביה לקחת בעלמא אינה עולה ליבום [וכ"כ ב</w:t>
      </w:r>
      <w:r w:rsidRPr="00012502">
        <w:rPr>
          <w:rFonts w:ascii="Narkisim" w:hAnsi="Narkisim"/>
          <w:b/>
          <w:bCs/>
          <w:rtl/>
        </w:rPr>
        <w:t>שעה"מ</w:t>
      </w:r>
      <w:r w:rsidRPr="00012502">
        <w:rPr>
          <w:rFonts w:ascii="Narkisim" w:hAnsi="Narkisim"/>
          <w:rtl/>
        </w:rPr>
        <w:t xml:space="preserve"> (יבום ו) לדרוש מלקחת].</w:t>
      </w:r>
    </w:p>
    <w:p w14:paraId="2B953E3E" w14:textId="77777777" w:rsidR="00BE1D1C" w:rsidRPr="00012502" w:rsidRDefault="00000000" w:rsidP="00012502">
      <w:pPr>
        <w:pStyle w:val="a7"/>
        <w:bidi/>
        <w:rPr>
          <w:rFonts w:ascii="Narkisim" w:hAnsi="Narkisim"/>
        </w:rPr>
      </w:pPr>
      <w:r w:rsidRPr="00012502">
        <w:rPr>
          <w:rFonts w:ascii="Narkisim" w:hAnsi="Narkisim"/>
          <w:rtl/>
        </w:rPr>
        <w:t xml:space="preserve">ויש </w:t>
      </w:r>
      <w:r w:rsidRPr="00012502">
        <w:rPr>
          <w:rFonts w:ascii="Narkisim" w:hAnsi="Narkisim"/>
          <w:b/>
          <w:bCs/>
          <w:rtl/>
        </w:rPr>
        <w:t>אחרונים</w:t>
      </w:r>
      <w:r w:rsidRPr="00012502">
        <w:rPr>
          <w:rFonts w:ascii="Narkisim" w:hAnsi="Narkisim"/>
          <w:rtl/>
        </w:rPr>
        <w:t xml:space="preserve"> (</w:t>
      </w:r>
      <w:r w:rsidRPr="00012502">
        <w:rPr>
          <w:rFonts w:ascii="Narkisim" w:hAnsi="Narkisim"/>
          <w:b/>
          <w:bCs/>
          <w:rtl/>
        </w:rPr>
        <w:t>חי' ר' שמואל</w:t>
      </w:r>
      <w:r w:rsidRPr="00012502">
        <w:rPr>
          <w:rFonts w:ascii="Narkisim" w:hAnsi="Narkisim"/>
          <w:rtl/>
        </w:rPr>
        <w:t xml:space="preserve"> א ב) שביארו דכוונת הגמ' (לקמן כ:) דאי לא תפסי קידושין לא תפסי זיקה. ולא מהני לזה עדל"ת.</w:t>
      </w:r>
      <w:r w:rsidRPr="00012502">
        <w:rPr>
          <w:rFonts w:ascii="Narkisim" w:hAnsi="Narkisim"/>
          <w:sz w:val="20"/>
          <w:szCs w:val="20"/>
          <w:rtl/>
        </w:rPr>
        <w:t xml:space="preserve"> [אך צ"ע מדברי הגמ' (לעיל ג:), דהו"א דעדל"ת שיש בו כרת. ויש שחילקו דלס"ד דהתם ילפי' לקחת באופן אחר</w:t>
      </w:r>
      <w:r w:rsidRPr="00012502">
        <w:rPr>
          <w:rStyle w:val="ac"/>
          <w:rFonts w:ascii="Narkisim" w:hAnsi="Narkisim"/>
          <w:sz w:val="20"/>
          <w:szCs w:val="20"/>
          <w:rtl/>
        </w:rPr>
        <w:footnoteReference w:id="487"/>
      </w:r>
      <w:r w:rsidRPr="00012502">
        <w:rPr>
          <w:rFonts w:ascii="Narkisim" w:hAnsi="Narkisim"/>
          <w:sz w:val="20"/>
          <w:szCs w:val="20"/>
          <w:rtl/>
        </w:rPr>
        <w:t>].</w:t>
      </w:r>
    </w:p>
    <w:p w14:paraId="1781A5CB" w14:textId="77777777" w:rsidR="00BE1D1C" w:rsidRPr="00012502" w:rsidRDefault="00000000" w:rsidP="00012502">
      <w:pPr>
        <w:bidi/>
        <w:rPr>
          <w:rFonts w:ascii="Narkisim" w:hAnsi="Narkisim" w:cs="Narkisim"/>
        </w:rPr>
      </w:pPr>
      <w:r w:rsidRPr="00012502">
        <w:rPr>
          <w:rFonts w:ascii="Narkisim" w:hAnsi="Narkisim" w:cs="Narkisim"/>
          <w:u w:val="single"/>
          <w:rtl/>
        </w:rPr>
        <w:t>שם. דאמאי לא אמרי' ליתי עשה ולידחי ל"ת</w:t>
      </w:r>
      <w:r w:rsidRPr="00012502">
        <w:rPr>
          <w:rFonts w:ascii="Narkisim" w:hAnsi="Narkisim" w:cs="Narkisim"/>
          <w:rtl/>
        </w:rPr>
        <w:t>. ה</w:t>
      </w:r>
      <w:r w:rsidRPr="00012502">
        <w:rPr>
          <w:rFonts w:ascii="Narkisim" w:hAnsi="Narkisim" w:cs="Narkisim"/>
          <w:b/>
          <w:bCs/>
          <w:rtl/>
        </w:rPr>
        <w:t>אבנ"מ</w:t>
      </w:r>
      <w:r w:rsidRPr="00012502">
        <w:rPr>
          <w:rFonts w:ascii="Narkisim" w:hAnsi="Narkisim" w:cs="Narkisim"/>
          <w:rtl/>
        </w:rPr>
        <w:t xml:space="preserve"> </w:t>
      </w:r>
      <w:r w:rsidRPr="00012502">
        <w:rPr>
          <w:rFonts w:ascii="Narkisim" w:hAnsi="Narkisim" w:cs="Narkisim"/>
          <w:sz w:val="20"/>
          <w:szCs w:val="20"/>
          <w:rtl/>
        </w:rPr>
        <w:t xml:space="preserve">(יח) </w:t>
      </w:r>
      <w:r w:rsidRPr="00012502">
        <w:rPr>
          <w:rFonts w:ascii="Narkisim" w:hAnsi="Narkisim" w:cs="Narkisim"/>
          <w:rtl/>
        </w:rPr>
        <w:t xml:space="preserve">דן דאף אי הותר מעשה היבום משום עשה דוחה ל"ת, מ"מ אח"כ הוה חייבי לאוין, ודעת ר"ע דאין בהם תפיסת קידושין. ולדעת רש"י </w:t>
      </w:r>
      <w:r w:rsidRPr="00012502">
        <w:rPr>
          <w:rFonts w:ascii="Narkisim" w:hAnsi="Narkisim" w:cs="Narkisim"/>
          <w:szCs w:val="20"/>
          <w:rtl/>
        </w:rPr>
        <w:t>(</w:t>
      </w:r>
      <w:r w:rsidRPr="00012502">
        <w:rPr>
          <w:rFonts w:ascii="Narkisim" w:hAnsi="Narkisim" w:cs="Narkisim"/>
          <w:sz w:val="20"/>
          <w:szCs w:val="20"/>
          <w:rtl/>
        </w:rPr>
        <w:t>לקמן מט)</w:t>
      </w:r>
      <w:r w:rsidRPr="00012502">
        <w:rPr>
          <w:rFonts w:ascii="Narkisim" w:hAnsi="Narkisim" w:cs="Narkisim"/>
          <w:rtl/>
        </w:rPr>
        <w:t xml:space="preserve"> דהיכא שקידשה בהיתר ואח"כ נעשית ערוה קידושין נפקעין</w:t>
      </w:r>
      <w:r w:rsidRPr="00012502">
        <w:rPr>
          <w:rStyle w:val="ac"/>
          <w:rFonts w:ascii="Narkisim" w:hAnsi="Narkisim" w:cs="Narkisim"/>
          <w:rtl/>
        </w:rPr>
        <w:footnoteReference w:id="488"/>
      </w:r>
      <w:r w:rsidRPr="00012502">
        <w:rPr>
          <w:rFonts w:ascii="Narkisim" w:hAnsi="Narkisim" w:cs="Narkisim"/>
          <w:rtl/>
        </w:rPr>
        <w:t>. וה"נ אחרי שייבם אותה יפקע האישות</w:t>
      </w:r>
      <w:r w:rsidRPr="00012502">
        <w:rPr>
          <w:rStyle w:val="ac"/>
          <w:rFonts w:ascii="Narkisim" w:hAnsi="Narkisim" w:cs="Narkisim"/>
          <w:rtl/>
        </w:rPr>
        <w:footnoteReference w:id="489"/>
      </w:r>
      <w:r w:rsidRPr="00012502">
        <w:rPr>
          <w:rFonts w:ascii="Narkisim" w:hAnsi="Narkisim" w:cs="Narkisim"/>
          <w:rtl/>
        </w:rPr>
        <w:t>.</w:t>
      </w:r>
    </w:p>
    <w:p w14:paraId="63C22B58" w14:textId="77777777" w:rsidR="00BE1D1C" w:rsidRPr="00012502" w:rsidRDefault="00000000" w:rsidP="00012502">
      <w:pPr>
        <w:pStyle w:val="a7"/>
        <w:bidi/>
        <w:rPr>
          <w:rFonts w:ascii="Narkisim" w:hAnsi="Narkisim"/>
        </w:rPr>
      </w:pPr>
      <w:r w:rsidRPr="00012502">
        <w:rPr>
          <w:rFonts w:ascii="Narkisim" w:hAnsi="Narkisim"/>
          <w:rtl/>
        </w:rPr>
        <w:t>אך כת' דא"כ הוה אישות לזמן, ולא שייך קנין יבום לזמן</w:t>
      </w:r>
      <w:r w:rsidRPr="00012502">
        <w:rPr>
          <w:rStyle w:val="ac"/>
          <w:rFonts w:ascii="Narkisim" w:hAnsi="Narkisim"/>
          <w:rtl/>
        </w:rPr>
        <w:footnoteReference w:id="490"/>
      </w:r>
      <w:r w:rsidRPr="00012502">
        <w:rPr>
          <w:rFonts w:ascii="Narkisim" w:hAnsi="Narkisim"/>
          <w:rtl/>
        </w:rPr>
        <w:t>. [ודין יבום תליא בקנין, והאבנ"מ נקט דאם אינו יכול לקנות אינו מקיים את המצוה</w:t>
      </w:r>
      <w:r w:rsidRPr="00012502">
        <w:rPr>
          <w:rStyle w:val="ac"/>
          <w:rFonts w:ascii="Narkisim" w:hAnsi="Narkisim"/>
          <w:rtl/>
        </w:rPr>
        <w:footnoteReference w:id="491"/>
      </w:r>
      <w:r w:rsidRPr="00012502">
        <w:rPr>
          <w:rFonts w:ascii="Narkisim" w:hAnsi="Narkisim"/>
          <w:rtl/>
        </w:rPr>
        <w:t>].</w:t>
      </w:r>
    </w:p>
    <w:p w14:paraId="2B05BD91"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הק' דבגמ' (לעיל ג:) מבואר דאילו עשה דוחה לא תעשה שיש בו כרת אמרי' דערוה דחייבי כריתות מתייבמת. ולא אמרי' דל"ש יבום כיון דפקע האישות [וכסברת האבנ"מ</w:t>
      </w:r>
      <w:r w:rsidRPr="00012502">
        <w:rPr>
          <w:rStyle w:val="ac"/>
          <w:rFonts w:ascii="Narkisim" w:hAnsi="Narkisim"/>
          <w:rtl/>
        </w:rPr>
        <w:footnoteReference w:id="492"/>
      </w:r>
      <w:r w:rsidRPr="00012502">
        <w:rPr>
          <w:rFonts w:ascii="Narkisim" w:hAnsi="Narkisim"/>
          <w:rtl/>
        </w:rPr>
        <w:t>].</w:t>
      </w:r>
    </w:p>
    <w:p w14:paraId="16461B0D" w14:textId="77777777" w:rsidR="00BE1D1C" w:rsidRPr="00012502" w:rsidRDefault="00000000" w:rsidP="00012502">
      <w:pPr>
        <w:pStyle w:val="a8"/>
        <w:bidi/>
        <w:rPr>
          <w:rFonts w:ascii="Narkisim" w:hAnsi="Narkisim"/>
        </w:rPr>
      </w:pPr>
      <w:r w:rsidRPr="00012502">
        <w:rPr>
          <w:rFonts w:ascii="Narkisim" w:hAnsi="Narkisim"/>
          <w:rtl/>
        </w:rPr>
        <w:t>והביאו בשם ה</w:t>
      </w:r>
      <w:r w:rsidRPr="00012502">
        <w:rPr>
          <w:rFonts w:ascii="Narkisim" w:hAnsi="Narkisim"/>
          <w:b/>
          <w:bCs/>
          <w:rtl/>
        </w:rPr>
        <w:t>ג"ר זלמן סנדר</w:t>
      </w:r>
      <w:r w:rsidRPr="00012502">
        <w:rPr>
          <w:rFonts w:ascii="Narkisim" w:hAnsi="Narkisim"/>
          <w:rtl/>
        </w:rPr>
        <w:t xml:space="preserve"> דלעיל איירי באחות אשה, וכל א' ערוה כלפי חבירתה, וע"י היבום פקע אישות אחותה, ולא של היבום. [אך האמר"מ הק' דאף אי פקעי האישות עדיין אסורה עליה כדין אחות אשתו לאחר גירושין</w:t>
      </w:r>
      <w:r w:rsidRPr="00012502">
        <w:rPr>
          <w:rStyle w:val="ac"/>
          <w:rFonts w:ascii="Narkisim" w:hAnsi="Narkisim"/>
          <w:rtl/>
        </w:rPr>
        <w:footnoteReference w:id="493"/>
      </w:r>
      <w:r w:rsidRPr="00012502">
        <w:rPr>
          <w:rFonts w:ascii="Narkisim" w:hAnsi="Narkisim"/>
          <w:rtl/>
        </w:rPr>
        <w:t>].</w:t>
      </w:r>
    </w:p>
    <w:p w14:paraId="1A887E1E" w14:textId="77777777" w:rsidR="00BE1D1C" w:rsidRPr="00012502" w:rsidRDefault="00000000" w:rsidP="00012502">
      <w:pPr>
        <w:pStyle w:val="3"/>
        <w:bidi/>
        <w:rPr>
          <w:rFonts w:ascii="Narkisim" w:hAnsi="Narkisim"/>
        </w:rPr>
      </w:pPr>
      <w:r w:rsidRPr="00012502">
        <w:rPr>
          <w:rFonts w:ascii="Narkisim" w:hAnsi="Narkisim"/>
          <w:rtl/>
        </w:rPr>
        <w:t>דף ט:</w:t>
      </w:r>
    </w:p>
    <w:p w14:paraId="015B07D0" w14:textId="77777777" w:rsidR="00BE1D1C" w:rsidRPr="00012502" w:rsidRDefault="00000000" w:rsidP="00012502">
      <w:pPr>
        <w:bidi/>
        <w:rPr>
          <w:rFonts w:ascii="Narkisim" w:hAnsi="Narkisim" w:cs="Narkisim"/>
        </w:rPr>
      </w:pPr>
      <w:r w:rsidRPr="00012502">
        <w:rPr>
          <w:rFonts w:ascii="Narkisim" w:hAnsi="Narkisim" w:cs="Narkisim"/>
          <w:u w:val="single"/>
          <w:rtl/>
        </w:rPr>
        <w:t>תוד"ה בתו.</w:t>
      </w:r>
      <w:r w:rsidRPr="00012502">
        <w:rPr>
          <w:rFonts w:ascii="Narkisim" w:hAnsi="Narkisim" w:cs="Narkisim"/>
          <w:rtl/>
        </w:rPr>
        <w:t xml:space="preserve"> צ"ל דשניהם אנוסות, דאל"כ [הבת] הו"ל בת אשתו [דשמעון]. וה</w:t>
      </w:r>
      <w:r w:rsidRPr="00012502">
        <w:rPr>
          <w:rFonts w:ascii="Narkisim" w:hAnsi="Narkisim" w:cs="Narkisim"/>
          <w:b/>
          <w:bCs/>
          <w:rtl/>
        </w:rPr>
        <w:t xml:space="preserve">תוס' </w:t>
      </w:r>
      <w:r w:rsidRPr="00012502">
        <w:rPr>
          <w:rFonts w:ascii="Narkisim" w:hAnsi="Narkisim" w:cs="Narkisim"/>
          <w:rtl/>
        </w:rPr>
        <w:t>ה</w:t>
      </w:r>
      <w:r w:rsidRPr="00012502">
        <w:rPr>
          <w:rFonts w:ascii="Narkisim" w:hAnsi="Narkisim" w:cs="Narkisim"/>
          <w:b/>
          <w:bCs/>
          <w:rtl/>
        </w:rPr>
        <w:t>רא"ש</w:t>
      </w:r>
      <w:r w:rsidRPr="00012502">
        <w:rPr>
          <w:rFonts w:ascii="Narkisim" w:hAnsi="Narkisim" w:cs="Narkisim"/>
          <w:rtl/>
        </w:rPr>
        <w:t xml:space="preserve"> הביא בשם </w:t>
      </w:r>
      <w:r w:rsidRPr="00012502">
        <w:rPr>
          <w:rFonts w:ascii="Narkisim" w:hAnsi="Narkisim" w:cs="Narkisim"/>
          <w:b/>
          <w:bCs/>
          <w:rtl/>
        </w:rPr>
        <w:t>רש"י</w:t>
      </w:r>
      <w:r w:rsidRPr="00012502">
        <w:rPr>
          <w:rFonts w:ascii="Narkisim" w:hAnsi="Narkisim" w:cs="Narkisim"/>
          <w:rtl/>
        </w:rPr>
        <w:t xml:space="preserve"> דאיירי דשמעון נשאה. </w:t>
      </w:r>
      <w:r w:rsidRPr="00012502">
        <w:rPr>
          <w:rFonts w:ascii="Narkisim" w:hAnsi="Narkisim" w:cs="Narkisim"/>
          <w:sz w:val="20"/>
          <w:szCs w:val="20"/>
          <w:rtl/>
        </w:rPr>
        <w:t>[והקשה דא"כ הו"ל בת אשתו, וכתוס'].</w:t>
      </w:r>
      <w:r w:rsidRPr="00012502">
        <w:rPr>
          <w:rFonts w:ascii="Narkisim" w:hAnsi="Narkisim" w:cs="Narkisim"/>
          <w:rtl/>
        </w:rPr>
        <w:t xml:space="preserve"> אבל </w:t>
      </w:r>
      <w:r w:rsidRPr="00012502">
        <w:rPr>
          <w:rFonts w:ascii="Narkisim" w:hAnsi="Narkisim" w:cs="Narkisim"/>
          <w:b/>
          <w:bCs/>
          <w:rtl/>
        </w:rPr>
        <w:t>רש"י</w:t>
      </w:r>
      <w:r w:rsidRPr="00012502">
        <w:rPr>
          <w:rFonts w:ascii="Narkisim" w:hAnsi="Narkisim" w:cs="Narkisim"/>
          <w:rtl/>
        </w:rPr>
        <w:t xml:space="preserve"> (לפנינו) הוכיח דשניהם אנוסות, אלא ש</w:t>
      </w:r>
      <w:r w:rsidRPr="00012502">
        <w:rPr>
          <w:rFonts w:ascii="Narkisim" w:hAnsi="Narkisim" w:cs="Narkisim"/>
          <w:b/>
          <w:bCs/>
          <w:rtl/>
        </w:rPr>
        <w:t xml:space="preserve">רש"י </w:t>
      </w:r>
      <w:r w:rsidRPr="00012502">
        <w:rPr>
          <w:rFonts w:ascii="Narkisim" w:hAnsi="Narkisim" w:cs="Narkisim"/>
          <w:rtl/>
        </w:rPr>
        <w:t>כת' הטעם דאל"כ שמעון אינו יכול לישא גרושת אחיו</w:t>
      </w:r>
      <w:r w:rsidRPr="00012502">
        <w:rPr>
          <w:rStyle w:val="ac"/>
          <w:rFonts w:ascii="Narkisim" w:hAnsi="Narkisim" w:cs="Narkisim"/>
          <w:rtl/>
        </w:rPr>
        <w:footnoteReference w:id="494"/>
      </w:r>
      <w:r w:rsidRPr="00012502">
        <w:rPr>
          <w:rFonts w:ascii="Narkisim" w:hAnsi="Narkisim" w:cs="Narkisim"/>
          <w:rtl/>
        </w:rPr>
        <w:t>. וה</w:t>
      </w:r>
      <w:r w:rsidRPr="00012502">
        <w:rPr>
          <w:rFonts w:ascii="Narkisim" w:hAnsi="Narkisim" w:cs="Narkisim"/>
          <w:b/>
          <w:bCs/>
          <w:rtl/>
        </w:rPr>
        <w:t>ערול"נ</w:t>
      </w:r>
      <w:r w:rsidRPr="00012502">
        <w:rPr>
          <w:rFonts w:ascii="Narkisim" w:hAnsi="Narkisim" w:cs="Narkisim"/>
          <w:rtl/>
        </w:rPr>
        <w:t xml:space="preserve"> תמה דהא י"ל דשמעון נשאה [וכתוס' רא"ש בשם רש"י]. וע"כ צריך לטעם התוס', דא"כ אסור בבתה משום בת אשותו. ואמאי הוצרך רש"י לטעם אחר.</w:t>
      </w:r>
    </w:p>
    <w:p w14:paraId="1C4771E9"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ערוך לנר</w:t>
      </w:r>
      <w:r w:rsidRPr="00012502">
        <w:rPr>
          <w:rFonts w:ascii="Narkisim" w:hAnsi="Narkisim"/>
          <w:rtl/>
        </w:rPr>
        <w:t xml:space="preserve"> נסתפק בדין 'בת אשתו', האם התורה אסרה רק בת שהיתה קיימת מתי שהיא אשתו </w:t>
      </w:r>
      <w:r w:rsidRPr="00012502">
        <w:rPr>
          <w:rFonts w:ascii="Narkisim" w:hAnsi="Narkisim"/>
          <w:sz w:val="20"/>
          <w:szCs w:val="20"/>
          <w:rtl/>
        </w:rPr>
        <w:t>[וכיון דחל איסור תו לא פקע</w:t>
      </w:r>
      <w:r w:rsidRPr="00012502">
        <w:rPr>
          <w:rStyle w:val="ac"/>
          <w:rFonts w:ascii="Narkisim" w:hAnsi="Narkisim"/>
          <w:sz w:val="20"/>
          <w:szCs w:val="20"/>
          <w:rtl/>
        </w:rPr>
        <w:footnoteReference w:id="495"/>
      </w:r>
      <w:r w:rsidRPr="00012502">
        <w:rPr>
          <w:rFonts w:ascii="Narkisim" w:hAnsi="Narkisim"/>
          <w:sz w:val="20"/>
          <w:szCs w:val="20"/>
          <w:rtl/>
        </w:rPr>
        <w:t>]</w:t>
      </w:r>
      <w:r w:rsidRPr="00012502">
        <w:rPr>
          <w:rFonts w:ascii="Narkisim" w:hAnsi="Narkisim"/>
          <w:rtl/>
        </w:rPr>
        <w:t>, או דהאיסור חל אף על בת שנולדה לאשתו לאחר שגירשה.</w:t>
      </w:r>
    </w:p>
    <w:p w14:paraId="7BE9A5B9" w14:textId="77777777" w:rsidR="00BE1D1C" w:rsidRPr="00012502" w:rsidRDefault="00000000" w:rsidP="00012502">
      <w:pPr>
        <w:pStyle w:val="a8"/>
        <w:bidi/>
        <w:rPr>
          <w:rFonts w:ascii="Narkisim" w:hAnsi="Narkisim"/>
        </w:rPr>
      </w:pPr>
      <w:r w:rsidRPr="00012502">
        <w:rPr>
          <w:rFonts w:ascii="Narkisim" w:hAnsi="Narkisim"/>
          <w:rtl/>
        </w:rPr>
        <w:t>וכתב ליישב דלפ"ז אף אם נשאה ראובן, בת שמעון מותרת לו, דנולדה משמעון אחרי שגירשה, ואינה בת אשתו. ומש"ה רש"י כתב הטעם דא"א לשמעון לישאנו מפני שהיתה אשת ראובן, וע"כ תרוייהו באונסין</w:t>
      </w:r>
      <w:r w:rsidRPr="00012502">
        <w:rPr>
          <w:rStyle w:val="ac"/>
          <w:rFonts w:ascii="Narkisim" w:hAnsi="Narkisim"/>
          <w:rtl/>
        </w:rPr>
        <w:footnoteReference w:id="496"/>
      </w:r>
      <w:r w:rsidRPr="00012502">
        <w:rPr>
          <w:rFonts w:ascii="Narkisim" w:hAnsi="Narkisim"/>
          <w:rtl/>
        </w:rPr>
        <w:t>.</w:t>
      </w:r>
    </w:p>
    <w:p w14:paraId="4D87AABF" w14:textId="77777777" w:rsidR="00BE1D1C" w:rsidRPr="00012502" w:rsidRDefault="00000000" w:rsidP="00012502">
      <w:pPr>
        <w:bidi/>
        <w:rPr>
          <w:rFonts w:ascii="Narkisim" w:hAnsi="Narkisim" w:cs="Narkisim"/>
        </w:rPr>
      </w:pPr>
      <w:r w:rsidRPr="00012502">
        <w:rPr>
          <w:rFonts w:ascii="Narkisim" w:hAnsi="Narkisim" w:cs="Narkisim"/>
          <w:u w:val="single"/>
          <w:rtl/>
        </w:rPr>
        <w:t>רש"י ד"ה כיון דבתו.</w:t>
      </w:r>
      <w:r w:rsidRPr="00012502">
        <w:rPr>
          <w:rFonts w:ascii="Narkisim" w:hAnsi="Narkisim" w:cs="Narkisim"/>
          <w:rtl/>
        </w:rPr>
        <w:t xml:space="preserve"> באונסין לא קא מיירי מתני' וכו'. </w:t>
      </w:r>
      <w:r w:rsidRPr="00012502">
        <w:rPr>
          <w:rFonts w:ascii="Narkisim" w:hAnsi="Narkisim" w:cs="Narkisim"/>
          <w:b/>
          <w:bCs/>
          <w:rtl/>
        </w:rPr>
        <w:t>תוס</w:t>
      </w:r>
      <w:r w:rsidRPr="00012502">
        <w:rPr>
          <w:rFonts w:ascii="Narkisim" w:hAnsi="Narkisim" w:cs="Narkisim"/>
          <w:rtl/>
        </w:rPr>
        <w:t xml:space="preserve">' (ב. ד"ה בתו) הק' דברש"י </w:t>
      </w:r>
      <w:r w:rsidRPr="00012502">
        <w:rPr>
          <w:rFonts w:ascii="Narkisim" w:hAnsi="Narkisim" w:cs="Narkisim"/>
          <w:rtl/>
        </w:rPr>
        <w:lastRenderedPageBreak/>
        <w:t>במשנה העמיד דהמשנה קאי בבתו מאנוסתו. [וכה"ק ה</w:t>
      </w:r>
      <w:r w:rsidRPr="00012502">
        <w:rPr>
          <w:rFonts w:ascii="Narkisim" w:hAnsi="Narkisim" w:cs="Narkisim"/>
          <w:b/>
          <w:bCs/>
          <w:rtl/>
        </w:rPr>
        <w:t>ריטב"א</w:t>
      </w:r>
      <w:r w:rsidRPr="00012502">
        <w:rPr>
          <w:rFonts w:ascii="Narkisim" w:hAnsi="Narkisim" w:cs="Narkisim"/>
          <w:rtl/>
        </w:rPr>
        <w:t xml:space="preserve"> ו</w:t>
      </w:r>
      <w:r w:rsidRPr="00012502">
        <w:rPr>
          <w:rFonts w:ascii="Narkisim" w:hAnsi="Narkisim" w:cs="Narkisim"/>
          <w:b/>
          <w:bCs/>
          <w:rtl/>
        </w:rPr>
        <w:t>מהר"ם</w:t>
      </w:r>
      <w:r w:rsidRPr="00012502">
        <w:rPr>
          <w:rFonts w:ascii="Narkisim" w:hAnsi="Narkisim" w:cs="Narkisim"/>
          <w:rtl/>
        </w:rPr>
        <w:t xml:space="preserve"> סתירה ברש"י</w:t>
      </w:r>
      <w:r w:rsidRPr="00012502">
        <w:rPr>
          <w:rStyle w:val="ac"/>
          <w:rFonts w:ascii="Narkisim" w:hAnsi="Narkisim" w:cs="Narkisim"/>
          <w:rtl/>
        </w:rPr>
        <w:footnoteReference w:id="497"/>
      </w:r>
      <w:r w:rsidRPr="00012502">
        <w:rPr>
          <w:rFonts w:ascii="Narkisim" w:hAnsi="Narkisim" w:cs="Narkisim"/>
          <w:rtl/>
        </w:rPr>
        <w:t>]. וה</w:t>
      </w:r>
      <w:r w:rsidRPr="00012502">
        <w:rPr>
          <w:rFonts w:ascii="Narkisim" w:hAnsi="Narkisim" w:cs="Narkisim"/>
          <w:b/>
          <w:bCs/>
          <w:rtl/>
        </w:rPr>
        <w:t>ערול"נ</w:t>
      </w:r>
      <w:r w:rsidRPr="00012502">
        <w:rPr>
          <w:rFonts w:ascii="Narkisim" w:hAnsi="Narkisim" w:cs="Narkisim"/>
          <w:rtl/>
        </w:rPr>
        <w:t xml:space="preserve"> כת' דכוונת רש"י למשנה (לקמן כו.) דאי' האסורה לזה וכו'. אבל לעולם מתני' דדף ב' קאי באונסין [וע"ד מש"כ בתוס'].</w:t>
      </w:r>
    </w:p>
    <w:p w14:paraId="68AE3F45" w14:textId="77777777" w:rsidR="00BE1D1C" w:rsidRPr="00012502" w:rsidRDefault="00000000" w:rsidP="00012502">
      <w:pPr>
        <w:pStyle w:val="a8"/>
        <w:bidi/>
        <w:rPr>
          <w:rFonts w:ascii="Narkisim" w:hAnsi="Narkisim"/>
        </w:rPr>
      </w:pPr>
      <w:r w:rsidRPr="00012502">
        <w:rPr>
          <w:rFonts w:ascii="Narkisim" w:hAnsi="Narkisim"/>
          <w:rtl/>
        </w:rPr>
        <w:t>ועוד תי' ה</w:t>
      </w:r>
      <w:r w:rsidRPr="00012502">
        <w:rPr>
          <w:rFonts w:ascii="Narkisim" w:hAnsi="Narkisim"/>
          <w:b/>
          <w:bCs/>
          <w:rtl/>
        </w:rPr>
        <w:t>ערול"נ</w:t>
      </w:r>
      <w:r w:rsidRPr="00012502">
        <w:rPr>
          <w:rFonts w:ascii="Narkisim" w:hAnsi="Narkisim"/>
          <w:rtl/>
        </w:rPr>
        <w:t xml:space="preserve"> (ב.) דלר' עקיבא (סנהדרין עו:, ולקמן צד: וצח:) דחמותו לאחר מיתה אינה בכרת [ע' מש"כ לעיל ב.], א"כ ה"ה בת אשתו כשמתה אשתו</w:t>
      </w:r>
      <w:r w:rsidRPr="00012502">
        <w:rPr>
          <w:rStyle w:val="ac"/>
          <w:rFonts w:ascii="Narkisim" w:hAnsi="Narkisim"/>
          <w:rtl/>
        </w:rPr>
        <w:footnoteReference w:id="498"/>
      </w:r>
      <w:r w:rsidRPr="00012502">
        <w:rPr>
          <w:rFonts w:ascii="Narkisim" w:hAnsi="Narkisim"/>
          <w:rtl/>
        </w:rPr>
        <w:t>. וי"ל דאיירי בנישואין, וכשאשתו מתה. אלא דסוגיין איירי למ"ד בפלוגתא לא קמיירי [ולר' ישמעאל חמותו לאחר מיתה עדיין בשריפה].</w:t>
      </w:r>
    </w:p>
    <w:p w14:paraId="7FBE2AC1" w14:textId="77777777" w:rsidR="00BE1D1C" w:rsidRPr="00012502" w:rsidRDefault="00000000" w:rsidP="00012502">
      <w:pPr>
        <w:pStyle w:val="3"/>
        <w:bidi/>
        <w:rPr>
          <w:rFonts w:ascii="Narkisim" w:hAnsi="Narkisim"/>
        </w:rPr>
      </w:pPr>
      <w:r w:rsidRPr="00012502">
        <w:rPr>
          <w:rFonts w:ascii="Narkisim" w:hAnsi="Narkisim"/>
          <w:rtl/>
        </w:rPr>
        <w:t>דף י.</w:t>
      </w:r>
    </w:p>
    <w:p w14:paraId="3D7B3582" w14:textId="77777777" w:rsidR="00BE1D1C" w:rsidRPr="00012502" w:rsidRDefault="00000000" w:rsidP="00012502">
      <w:pPr>
        <w:pStyle w:val="2"/>
        <w:bidi/>
        <w:rPr>
          <w:rFonts w:ascii="Narkisim" w:hAnsi="Narkisim"/>
          <w:sz w:val="21"/>
        </w:rPr>
      </w:pPr>
      <w:r w:rsidRPr="00012502">
        <w:rPr>
          <w:rFonts w:ascii="Narkisim" w:hAnsi="Narkisim"/>
          <w:sz w:val="21"/>
          <w:rtl/>
        </w:rPr>
        <w:t>בעלת התנאי</w:t>
      </w:r>
    </w:p>
    <w:p w14:paraId="3AC09EC2" w14:textId="77777777" w:rsidR="00BE1D1C" w:rsidRPr="00012502" w:rsidRDefault="00000000" w:rsidP="00012502">
      <w:pPr>
        <w:bidi/>
        <w:rPr>
          <w:rFonts w:ascii="Narkisim" w:hAnsi="Narkisim" w:cs="Narkisim"/>
        </w:rPr>
      </w:pPr>
      <w:r w:rsidRPr="00012502">
        <w:rPr>
          <w:rFonts w:ascii="Narkisim" w:hAnsi="Narkisim" w:cs="Narkisim"/>
          <w:u w:val="single"/>
          <w:rtl/>
        </w:rPr>
        <w:t>תוד"ה לעולם</w:t>
      </w:r>
      <w:r w:rsidRPr="00012502">
        <w:rPr>
          <w:rFonts w:ascii="Narkisim" w:hAnsi="Narkisim" w:cs="Narkisim"/>
          <w:b/>
          <w:bCs/>
          <w:rtl/>
        </w:rPr>
        <w:t>.</w:t>
      </w:r>
      <w:r w:rsidRPr="00012502">
        <w:rPr>
          <w:rFonts w:ascii="Narkisim" w:hAnsi="Narkisim" w:cs="Narkisim"/>
          <w:rtl/>
        </w:rPr>
        <w:t xml:space="preserve"> וא"ת ליתני אשת איש וכו' ע"מ שלא תנשאי</w:t>
      </w:r>
      <w:r w:rsidRPr="00012502">
        <w:rPr>
          <w:rStyle w:val="ac"/>
          <w:rFonts w:ascii="Narkisim" w:hAnsi="Narkisim" w:cs="Narkisim"/>
          <w:rtl/>
        </w:rPr>
        <w:footnoteReference w:id="499"/>
      </w:r>
      <w:r w:rsidRPr="00012502">
        <w:rPr>
          <w:rFonts w:ascii="Narkisim" w:hAnsi="Narkisim" w:cs="Narkisim"/>
          <w:rtl/>
        </w:rPr>
        <w:t xml:space="preserve"> וכו' דלר' אליעזר הוה גט וכו'. </w:t>
      </w:r>
      <w:r w:rsidRPr="00012502">
        <w:rPr>
          <w:rFonts w:ascii="Narkisim" w:hAnsi="Narkisim" w:cs="Narkisim"/>
          <w:szCs w:val="20"/>
          <w:rtl/>
        </w:rPr>
        <w:t>והגמ' (גיטין שם) מסתפקת האם נח' בע"מ שלא תנשאי לפלוני, ובחוץ כו"ע מודו דל"מ שיור. או דנח' בחוץ, ובע"מ אף רבנן מודו דמהני. ולמסקנא נח' בזה, דבמשנה מבואר דנח' בחוץ, ולברייתא נח' בע"מ</w:t>
      </w:r>
      <w:r w:rsidRPr="00012502">
        <w:rPr>
          <w:rFonts w:ascii="Narkisim" w:hAnsi="Narkisim" w:cs="Narkisim"/>
          <w:rtl/>
        </w:rPr>
        <w:t>.</w:t>
      </w:r>
    </w:p>
    <w:p w14:paraId="0A974CD9" w14:textId="77777777" w:rsidR="00BE1D1C" w:rsidRPr="00012502" w:rsidRDefault="00000000" w:rsidP="00012502">
      <w:pPr>
        <w:pStyle w:val="a8"/>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(דידן) הק' לר"א [דר"א ודאי ס"ל דעכ"פ מהני 'ע"מ']</w:t>
      </w:r>
      <w:r w:rsidRPr="00012502">
        <w:rPr>
          <w:rStyle w:val="ac"/>
          <w:rFonts w:ascii="Narkisim" w:hAnsi="Narkisim"/>
          <w:rtl/>
        </w:rPr>
        <w:footnoteReference w:id="500"/>
      </w:r>
      <w:r w:rsidRPr="00012502">
        <w:rPr>
          <w:rFonts w:ascii="Narkisim" w:hAnsi="Narkisim"/>
          <w:rtl/>
        </w:rPr>
        <w:t>. ו</w:t>
      </w:r>
      <w:r w:rsidRPr="00012502">
        <w:rPr>
          <w:rFonts w:ascii="Narkisim" w:hAnsi="Narkisim"/>
          <w:b/>
          <w:bCs/>
          <w:rtl/>
        </w:rPr>
        <w:t>תוס'</w:t>
      </w:r>
      <w:r w:rsidRPr="00012502">
        <w:rPr>
          <w:rFonts w:ascii="Narkisim" w:hAnsi="Narkisim"/>
          <w:rtl/>
        </w:rPr>
        <w:t xml:space="preserve"> (גיטין פב:) הק' אף לרבנן להא דאי' דלתנא דמתני' בע"מ אף רבנן מודו. [ע' מהרש"א].</w:t>
      </w:r>
    </w:p>
    <w:p w14:paraId="696BE889" w14:textId="77777777" w:rsidR="00BE1D1C" w:rsidRPr="00012502" w:rsidRDefault="00000000" w:rsidP="00012502">
      <w:pPr>
        <w:pStyle w:val="aa"/>
        <w:bidi/>
        <w:rPr>
          <w:rFonts w:ascii="Narkisim" w:hAnsi="Narkisim"/>
        </w:rPr>
      </w:pPr>
      <w:r w:rsidRPr="00012502">
        <w:rPr>
          <w:rFonts w:ascii="Narkisim" w:hAnsi="Narkisim"/>
          <w:u w:val="single"/>
          <w:rtl/>
        </w:rPr>
        <w:t>בא"ד אע"ג דאסורה לכל אדם אפי' לר"א מדרבנן וכו'.</w:t>
      </w:r>
      <w:r w:rsidRPr="00012502">
        <w:rPr>
          <w:rFonts w:ascii="Narkisim" w:hAnsi="Narkisim"/>
          <w:rtl/>
        </w:rPr>
        <w:t xml:space="preserve"> מבואר בתוס' דבכל תנאי אסורה לינשא [מדרבנן] שמא תבטל התנאי ובניה ממזרים</w:t>
      </w:r>
      <w:r w:rsidRPr="00012502">
        <w:rPr>
          <w:rStyle w:val="ac"/>
          <w:rFonts w:ascii="Narkisim" w:hAnsi="Narkisim"/>
          <w:rtl/>
        </w:rPr>
        <w:footnoteReference w:id="501"/>
      </w:r>
      <w:r w:rsidRPr="00012502">
        <w:rPr>
          <w:rFonts w:ascii="Narkisim" w:hAnsi="Narkisim"/>
          <w:rtl/>
        </w:rPr>
        <w:t xml:space="preserve">. אבל </w:t>
      </w:r>
      <w:r w:rsidRPr="00012502">
        <w:rPr>
          <w:rFonts w:ascii="Narkisim" w:hAnsi="Narkisim"/>
          <w:b/>
          <w:bCs/>
          <w:rtl/>
        </w:rPr>
        <w:t>תוס</w:t>
      </w:r>
      <w:r w:rsidRPr="00012502">
        <w:rPr>
          <w:rFonts w:ascii="Narkisim" w:hAnsi="Narkisim"/>
          <w:rtl/>
        </w:rPr>
        <w:t>' (גיטין פב: ד"ה שרבי) כת' דמותרת לינשא, שבידה לשמור תנאה שלא לינשא לו</w:t>
      </w:r>
      <w:r w:rsidRPr="00012502">
        <w:rPr>
          <w:rStyle w:val="ac"/>
          <w:rFonts w:ascii="Narkisim" w:hAnsi="Narkisim"/>
          <w:rtl/>
        </w:rPr>
        <w:footnoteReference w:id="502"/>
      </w:r>
      <w:r w:rsidRPr="00012502">
        <w:rPr>
          <w:rFonts w:ascii="Narkisim" w:hAnsi="Narkisim"/>
          <w:rtl/>
        </w:rPr>
        <w:t xml:space="preserve"> [וכ"ד רוב ראשונים שם פג., עי"ש שהאריכו].</w:t>
      </w:r>
    </w:p>
    <w:p w14:paraId="6BC4C973" w14:textId="77777777" w:rsidR="00BE1D1C" w:rsidRPr="00012502" w:rsidRDefault="00000000" w:rsidP="00012502">
      <w:pPr>
        <w:pStyle w:val="aa"/>
        <w:bidi/>
        <w:rPr>
          <w:rFonts w:ascii="Narkisim" w:hAnsi="Narkisim"/>
        </w:rPr>
      </w:pPr>
      <w:r w:rsidRPr="00012502">
        <w:rPr>
          <w:rFonts w:ascii="Narkisim" w:hAnsi="Narkisim"/>
          <w:u w:val="single"/>
          <w:rtl/>
        </w:rPr>
        <w:t>בא"ד דחיישינן שמא תנשא לו לאחר שתתאלמן או תתגרש מזה</w:t>
      </w:r>
      <w:r w:rsidRPr="00012502">
        <w:rPr>
          <w:rStyle w:val="ac"/>
          <w:rFonts w:ascii="Narkisim" w:hAnsi="Narkisim"/>
          <w:u w:val="single"/>
          <w:rtl/>
        </w:rPr>
        <w:footnoteReference w:id="503"/>
      </w:r>
      <w:r w:rsidRPr="00012502">
        <w:rPr>
          <w:rFonts w:ascii="Narkisim" w:hAnsi="Narkisim"/>
          <w:u w:val="single"/>
          <w:rtl/>
        </w:rPr>
        <w:t xml:space="preserve"> וכו' ובעודה תחתיו ליכא למיחש יותר מאבא ואביך</w:t>
      </w:r>
      <w:r w:rsidRPr="00012502">
        <w:rPr>
          <w:rFonts w:ascii="Narkisim" w:hAnsi="Narkisim"/>
          <w:rtl/>
        </w:rPr>
        <w:t>. [דהיכא דיש איסור חמור לא חששו שתעבור על התנאי</w:t>
      </w:r>
      <w:r w:rsidRPr="00012502">
        <w:rPr>
          <w:rStyle w:val="ac"/>
          <w:rFonts w:ascii="Narkisim" w:hAnsi="Narkisim"/>
          <w:u w:val="single"/>
          <w:rtl/>
        </w:rPr>
        <w:footnoteReference w:id="504"/>
      </w:r>
      <w:r w:rsidRPr="00012502">
        <w:rPr>
          <w:rFonts w:ascii="Narkisim" w:hAnsi="Narkisim"/>
          <w:rtl/>
        </w:rPr>
        <w:t>]. וה</w:t>
      </w:r>
      <w:r w:rsidRPr="00012502">
        <w:rPr>
          <w:rFonts w:ascii="Narkisim" w:hAnsi="Narkisim"/>
          <w:b/>
          <w:bCs/>
          <w:rtl/>
        </w:rPr>
        <w:t>רש"ש</w:t>
      </w:r>
      <w:r w:rsidRPr="00012502">
        <w:rPr>
          <w:rFonts w:ascii="Narkisim" w:hAnsi="Narkisim"/>
          <w:rtl/>
        </w:rPr>
        <w:t xml:space="preserve"> הק' דאם תנשא לזה, ממילא מתבטל הגט וקידושי שני ל"מ</w:t>
      </w:r>
      <w:r w:rsidRPr="00012502">
        <w:rPr>
          <w:rStyle w:val="ac"/>
          <w:rFonts w:ascii="Narkisim" w:hAnsi="Narkisim"/>
          <w:rtl/>
        </w:rPr>
        <w:footnoteReference w:id="505"/>
      </w:r>
      <w:r w:rsidRPr="00012502">
        <w:rPr>
          <w:rFonts w:ascii="Narkisim" w:hAnsi="Narkisim"/>
          <w:rtl/>
        </w:rPr>
        <w:t>. וא"כ אינה איסור כלפיו.</w:t>
      </w:r>
    </w:p>
    <w:p w14:paraId="77714061" w14:textId="77777777" w:rsidR="00BE1D1C" w:rsidRPr="00012502" w:rsidRDefault="00000000" w:rsidP="00012502">
      <w:pPr>
        <w:bidi/>
        <w:rPr>
          <w:rFonts w:ascii="Narkisim" w:hAnsi="Narkisim" w:cs="Narkisim"/>
        </w:rPr>
      </w:pPr>
      <w:r w:rsidRPr="00012502">
        <w:rPr>
          <w:rFonts w:ascii="Narkisim" w:hAnsi="Narkisim" w:cs="Narkisim"/>
          <w:u w:val="single"/>
          <w:rtl/>
        </w:rPr>
        <w:t>בא"ד ולמאן דנפק"ל מאחות אשה ניחא, דל"ד הך לאחות אשה וכו'.</w:t>
      </w:r>
      <w:r w:rsidRPr="00012502">
        <w:rPr>
          <w:rFonts w:ascii="Narkisim" w:hAnsi="Narkisim" w:cs="Narkisim"/>
          <w:rtl/>
        </w:rPr>
        <w:t xml:space="preserve"> תוס' הק' שתפטור צרתה, ותי' דלא דמי לאחות אשה. ומשמע בתוס' דמ"מ היא עצמה ערוה עליו</w:t>
      </w:r>
      <w:r w:rsidRPr="00012502">
        <w:rPr>
          <w:rStyle w:val="ac"/>
          <w:rFonts w:ascii="Narkisim" w:hAnsi="Narkisim" w:cs="Narkisim"/>
          <w:rtl/>
        </w:rPr>
        <w:footnoteReference w:id="506"/>
      </w:r>
      <w:r w:rsidRPr="00012502">
        <w:rPr>
          <w:rFonts w:ascii="Narkisim" w:hAnsi="Narkisim" w:cs="Narkisim"/>
          <w:rtl/>
        </w:rPr>
        <w:t xml:space="preserve"> מחמת התנאי, דאסורה משום צד אשת איש</w:t>
      </w:r>
      <w:r w:rsidRPr="00012502">
        <w:rPr>
          <w:rStyle w:val="ac"/>
          <w:rFonts w:ascii="Narkisim" w:hAnsi="Narkisim" w:cs="Narkisim"/>
          <w:rtl/>
        </w:rPr>
        <w:footnoteReference w:id="507"/>
      </w:r>
      <w:r w:rsidRPr="00012502">
        <w:rPr>
          <w:rFonts w:ascii="Narkisim" w:hAnsi="Narkisim" w:cs="Narkisim"/>
          <w:rtl/>
        </w:rPr>
        <w:t xml:space="preserve"> (ע' בסמוך).</w:t>
      </w:r>
    </w:p>
    <w:p w14:paraId="4EBFAFF7"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רמב"ן</w:t>
      </w:r>
      <w:r w:rsidRPr="00012502">
        <w:rPr>
          <w:rFonts w:ascii="Narkisim" w:hAnsi="Narkisim"/>
          <w:rtl/>
        </w:rPr>
        <w:t xml:space="preserve"> (לעיל ב.) כת' דאין זה צרת ערוה כלל, אלא גרושה גמורה אצלו, ומשום תנאי בעלמא אסורה עליו, ולצד דהויא ערוה הוה צרת ערוה שלא במקום מצוה, דלא רמי קמי אלא כשהיא גרושה אצלו</w:t>
      </w:r>
      <w:r w:rsidRPr="00012502">
        <w:rPr>
          <w:rStyle w:val="ac"/>
          <w:rFonts w:ascii="Narkisim" w:hAnsi="Narkisim"/>
          <w:rtl/>
        </w:rPr>
        <w:footnoteReference w:id="508"/>
      </w:r>
      <w:r w:rsidRPr="00012502">
        <w:rPr>
          <w:rFonts w:ascii="Narkisim" w:hAnsi="Narkisim"/>
          <w:rtl/>
        </w:rPr>
        <w:t>.</w:t>
      </w:r>
    </w:p>
    <w:p w14:paraId="2ACE71C5" w14:textId="77777777" w:rsidR="00BE1D1C" w:rsidRPr="00012502" w:rsidRDefault="00000000" w:rsidP="00012502">
      <w:pPr>
        <w:bidi/>
        <w:rPr>
          <w:rFonts w:ascii="Narkisim" w:hAnsi="Narkisim" w:cs="Narkisim"/>
        </w:rPr>
      </w:pPr>
      <w:r w:rsidRPr="00012502">
        <w:rPr>
          <w:rFonts w:ascii="Narkisim" w:hAnsi="Narkisim" w:cs="Narkisim"/>
          <w:u w:val="single"/>
          <w:rtl/>
        </w:rPr>
        <w:t>בא"ד ובע"מ שלא תנשאי ולא תבעלי אי חשיב שיור כמו חוץ א"כ שרי ליה</w:t>
      </w:r>
      <w:r w:rsidRPr="00012502">
        <w:rPr>
          <w:rFonts w:ascii="Narkisim" w:hAnsi="Narkisim" w:cs="Narkisim"/>
          <w:rtl/>
        </w:rPr>
        <w:t>. ה</w:t>
      </w:r>
      <w:r w:rsidRPr="00012502">
        <w:rPr>
          <w:rFonts w:ascii="Narkisim" w:hAnsi="Narkisim" w:cs="Narkisim"/>
          <w:b/>
          <w:bCs/>
          <w:rtl/>
        </w:rPr>
        <w:t>מהרש"ל</w:t>
      </w:r>
      <w:r w:rsidRPr="00012502">
        <w:rPr>
          <w:rFonts w:ascii="Narkisim" w:hAnsi="Narkisim" w:cs="Narkisim"/>
          <w:rtl/>
        </w:rPr>
        <w:t xml:space="preserve"> ביאר דכוונת התוס' למה שדנו </w:t>
      </w:r>
      <w:r w:rsidRPr="00012502">
        <w:rPr>
          <w:rFonts w:ascii="Narkisim" w:hAnsi="Narkisim" w:cs="Narkisim"/>
          <w:b/>
          <w:bCs/>
          <w:rtl/>
        </w:rPr>
        <w:t>תוס</w:t>
      </w:r>
      <w:r w:rsidRPr="00012502">
        <w:rPr>
          <w:rFonts w:ascii="Narkisim" w:hAnsi="Narkisim" w:cs="Narkisim"/>
          <w:rtl/>
        </w:rPr>
        <w:t>' (גיטין פב.) דע"מ שלא תבעלי ושלא תנשאי</w:t>
      </w:r>
      <w:r w:rsidRPr="00012502">
        <w:rPr>
          <w:rStyle w:val="ac"/>
          <w:rFonts w:ascii="Narkisim" w:hAnsi="Narkisim" w:cs="Narkisim"/>
          <w:rtl/>
        </w:rPr>
        <w:footnoteReference w:id="509"/>
      </w:r>
      <w:r w:rsidRPr="00012502">
        <w:rPr>
          <w:rFonts w:ascii="Narkisim" w:hAnsi="Narkisim" w:cs="Narkisim"/>
          <w:rtl/>
        </w:rPr>
        <w:t xml:space="preserve"> נחשב </w:t>
      </w:r>
      <w:r w:rsidRPr="00012502">
        <w:rPr>
          <w:rFonts w:ascii="Narkisim" w:hAnsi="Narkisim" w:cs="Narkisim"/>
          <w:rtl/>
        </w:rPr>
        <w:lastRenderedPageBreak/>
        <w:t>שיור כ'חוץ' [ומהני רק לר' אליעזר]</w:t>
      </w:r>
      <w:r w:rsidRPr="00012502">
        <w:rPr>
          <w:rStyle w:val="ac"/>
          <w:rFonts w:ascii="Narkisim" w:hAnsi="Narkisim" w:cs="Narkisim"/>
          <w:rtl/>
        </w:rPr>
        <w:footnoteReference w:id="510"/>
      </w:r>
      <w:r w:rsidRPr="00012502">
        <w:rPr>
          <w:rFonts w:ascii="Narkisim" w:hAnsi="Narkisim" w:cs="Narkisim"/>
          <w:rtl/>
        </w:rPr>
        <w:t>. ובזה תוס' דחו דדינו כחוץ [ואין כאן תנאי], וכשתנשא לאחר פקע השיור ומותרת לו, דנתרוקנה האישות לזה</w:t>
      </w:r>
      <w:r w:rsidRPr="00012502">
        <w:rPr>
          <w:rStyle w:val="ac"/>
          <w:rFonts w:ascii="Narkisim" w:hAnsi="Narkisim" w:cs="Narkisim"/>
          <w:rtl/>
        </w:rPr>
        <w:footnoteReference w:id="511"/>
      </w:r>
      <w:r w:rsidRPr="00012502">
        <w:rPr>
          <w:rFonts w:ascii="Narkisim" w:hAnsi="Narkisim" w:cs="Narkisim"/>
          <w:rtl/>
        </w:rPr>
        <w:t xml:space="preserve"> </w:t>
      </w:r>
      <w:r w:rsidRPr="00012502">
        <w:rPr>
          <w:rFonts w:ascii="Narkisim" w:hAnsi="Narkisim" w:cs="Narkisim"/>
          <w:szCs w:val="20"/>
          <w:rtl/>
        </w:rPr>
        <w:t>[וכדאי' שם פג</w:t>
      </w:r>
      <w:r w:rsidRPr="00012502">
        <w:rPr>
          <w:rFonts w:ascii="Narkisim" w:hAnsi="Narkisim" w:cs="Narkisim"/>
          <w:rtl/>
        </w:rPr>
        <w:t>].</w:t>
      </w:r>
    </w:p>
    <w:p w14:paraId="4CEF60A4" w14:textId="77777777" w:rsidR="00BE1D1C" w:rsidRPr="00012502" w:rsidRDefault="00000000" w:rsidP="00012502">
      <w:pPr>
        <w:pStyle w:val="a8"/>
        <w:bidi/>
        <w:rPr>
          <w:rFonts w:ascii="Narkisim" w:hAnsi="Narkisim"/>
        </w:rPr>
      </w:pPr>
      <w:r w:rsidRPr="00012502">
        <w:rPr>
          <w:rFonts w:ascii="Narkisim" w:hAnsi="Narkisim"/>
          <w:rtl/>
        </w:rPr>
        <w:t>אבל ה</w:t>
      </w:r>
      <w:r w:rsidRPr="00012502">
        <w:rPr>
          <w:rFonts w:ascii="Narkisim" w:hAnsi="Narkisim"/>
          <w:b/>
          <w:bCs/>
          <w:rtl/>
        </w:rPr>
        <w:t>מהרש"א</w:t>
      </w:r>
      <w:r w:rsidRPr="00012502">
        <w:rPr>
          <w:rFonts w:ascii="Narkisim" w:hAnsi="Narkisim"/>
          <w:rtl/>
        </w:rPr>
        <w:t xml:space="preserve"> ביאר דכוונת התוס' דבכה"ג לכו"ע אינו גט [דתוס' קאי כמ"ד דחוץ הוה שיור], ולכן ע"כ איירי דנשאת לו אחר מיתת המגרש, ומותרת אף לו.</w:t>
      </w:r>
    </w:p>
    <w:p w14:paraId="165B57C3" w14:textId="77777777" w:rsidR="00BE1D1C" w:rsidRPr="00012502" w:rsidRDefault="00000000" w:rsidP="00012502">
      <w:pPr>
        <w:pStyle w:val="aa"/>
        <w:bidi/>
        <w:rPr>
          <w:rFonts w:ascii="Narkisim" w:hAnsi="Narkisim"/>
        </w:rPr>
      </w:pPr>
      <w:r w:rsidRPr="00012502">
        <w:rPr>
          <w:rFonts w:ascii="Narkisim" w:hAnsi="Narkisim"/>
          <w:u w:val="single"/>
          <w:rtl/>
        </w:rPr>
        <w:t>בא"ד מ"מ לא דמי לאחות אשה, אבל הכא בשעת נפילה אינה א"א עד שתבעל לו</w:t>
      </w:r>
      <w:r w:rsidRPr="00012502">
        <w:rPr>
          <w:rFonts w:ascii="Narkisim" w:hAnsi="Narkisim"/>
          <w:rtl/>
        </w:rPr>
        <w:t>. משמע בתוס' דכל זה סברא דלא דמי לאחות אשה, ולא ילפי' פטור ערוה כה"ג. אבל בעצם שייך בזה גדר פטור יבום.</w:t>
      </w:r>
    </w:p>
    <w:p w14:paraId="494281B2" w14:textId="77777777" w:rsidR="00BE1D1C" w:rsidRPr="00012502" w:rsidRDefault="00000000" w:rsidP="00012502">
      <w:pPr>
        <w:bidi/>
        <w:rPr>
          <w:rFonts w:ascii="Narkisim" w:hAnsi="Narkisim" w:cs="Narkisim"/>
        </w:rPr>
      </w:pPr>
      <w:r w:rsidRPr="00012502">
        <w:rPr>
          <w:rFonts w:ascii="Narkisim" w:hAnsi="Narkisim" w:cs="Narkisim"/>
          <w:u w:val="single"/>
          <w:rtl/>
        </w:rPr>
        <w:t>בא"ד אבל הכא בשעת נפילה אינה א"א עד שתבעל לו, אפי' תחשבנו אשת איש כיון דמטעם א"א אסורה וכו'.</w:t>
      </w:r>
      <w:r w:rsidRPr="00012502">
        <w:rPr>
          <w:rFonts w:ascii="Narkisim" w:hAnsi="Narkisim" w:cs="Narkisim"/>
          <w:rtl/>
        </w:rPr>
        <w:t xml:space="preserve"> מבואר דתוס' הסתפקו האם נחשב ערוה, שמטעם א"א אסורה ליבעל.</w:t>
      </w:r>
    </w:p>
    <w:p w14:paraId="177669CD" w14:textId="77777777" w:rsidR="00BE1D1C" w:rsidRPr="00012502" w:rsidRDefault="00000000" w:rsidP="00012502">
      <w:pPr>
        <w:pStyle w:val="a7"/>
        <w:bidi/>
        <w:rPr>
          <w:rFonts w:ascii="Narkisim" w:hAnsi="Narkisim"/>
        </w:rPr>
      </w:pPr>
      <w:r w:rsidRPr="00012502">
        <w:rPr>
          <w:rFonts w:ascii="Narkisim" w:hAnsi="Narkisim"/>
          <w:rtl/>
        </w:rPr>
        <w:t xml:space="preserve">וצ"ב דעכשיו אין עליו איסור עריות, אלא תנאי חיצוני. </w:t>
      </w:r>
      <w:r w:rsidRPr="00012502">
        <w:rPr>
          <w:rFonts w:ascii="Narkisim" w:hAnsi="Narkisim"/>
          <w:i/>
          <w:iCs/>
          <w:rtl/>
        </w:rPr>
        <w:t>ובפשוטו</w:t>
      </w:r>
      <w:r w:rsidRPr="00012502">
        <w:rPr>
          <w:rFonts w:ascii="Narkisim" w:hAnsi="Narkisim"/>
          <w:rtl/>
        </w:rPr>
        <w:t xml:space="preserve"> היינו דבפועל איסור ערוה מונע דין היבום</w:t>
      </w:r>
      <w:r w:rsidRPr="00012502">
        <w:rPr>
          <w:rStyle w:val="ac"/>
          <w:rFonts w:ascii="Narkisim" w:hAnsi="Narkisim"/>
          <w:rtl/>
        </w:rPr>
        <w:footnoteReference w:id="512"/>
      </w:r>
      <w:r w:rsidRPr="00012502">
        <w:rPr>
          <w:rFonts w:ascii="Narkisim" w:hAnsi="Narkisim"/>
          <w:rtl/>
        </w:rPr>
        <w:t>.</w:t>
      </w:r>
    </w:p>
    <w:p w14:paraId="34C592AC"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גרי"ז</w:t>
      </w:r>
      <w:r w:rsidRPr="00012502">
        <w:rPr>
          <w:rFonts w:ascii="Narkisim" w:hAnsi="Narkisim"/>
          <w:rtl/>
        </w:rPr>
        <w:t xml:space="preserve"> (הל' יבום, ובגר"ח סטנסל לקמן ל.) כת' דחשובה ערוה לענין יבום. ואף דעכשיו אין עליה שם אשת איש, כיון דאסורה להתייבם מטעם אשת איש [דתלוי וקאי]. וכלפי יבום הוה אשת איש.</w:t>
      </w:r>
    </w:p>
    <w:p w14:paraId="1A98A8FA"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גרי"ז</w:t>
      </w:r>
      <w:r w:rsidRPr="00012502">
        <w:rPr>
          <w:rFonts w:ascii="Narkisim" w:hAnsi="Narkisim" w:cs="Narkisim"/>
          <w:rtl/>
        </w:rPr>
        <w:t xml:space="preserve"> ביאר עד"ז גבי אין איסור חל על איסור, דדעת בית הלל (לקמן יג:) דאף דלא חל איסור עריות, ואפ"ה פטורה ופוטרת צרתה</w:t>
      </w:r>
      <w:r w:rsidRPr="00012502">
        <w:rPr>
          <w:rStyle w:val="ac"/>
          <w:rFonts w:ascii="Narkisim" w:hAnsi="Narkisim" w:cs="Narkisim"/>
          <w:rtl/>
        </w:rPr>
        <w:footnoteReference w:id="513"/>
      </w:r>
      <w:r w:rsidRPr="00012502">
        <w:rPr>
          <w:rFonts w:ascii="Narkisim" w:hAnsi="Narkisim" w:cs="Narkisim"/>
          <w:rtl/>
        </w:rPr>
        <w:t>. והגמ' (לקמן לב.) פי' [לר' שמעון] דאיסור אחות אשה מיתלא תלי, דאילו חל דין יבום [והותר איסור אשת אח], חל אחות אשה. הילכך לא פקע.</w:t>
      </w:r>
    </w:p>
    <w:p w14:paraId="6D974626"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רש"י</w:t>
      </w:r>
      <w:r w:rsidRPr="00012502">
        <w:rPr>
          <w:rFonts w:ascii="Narkisim" w:hAnsi="Narkisim"/>
          <w:rtl/>
        </w:rPr>
        <w:t xml:space="preserve"> משמע דאיסור אחות אשה שעומד לחול פוטרת לצרה. </w:t>
      </w:r>
      <w:r w:rsidRPr="00012502">
        <w:rPr>
          <w:rFonts w:ascii="Narkisim" w:hAnsi="Narkisim"/>
          <w:szCs w:val="20"/>
          <w:rtl/>
        </w:rPr>
        <w:t>[והגרי"ז הביא דהוה ע"ד הא דאי' בסוגיין דיש כאן פטור ערוה לענין יבום, דכלפי היתר יבום הוה אחות אשה. ואף דהשתא עדיין לא חל איסור זו]</w:t>
      </w:r>
      <w:r w:rsidRPr="00012502">
        <w:rPr>
          <w:rFonts w:ascii="Narkisim" w:hAnsi="Narkisim"/>
          <w:rtl/>
        </w:rPr>
        <w:t>.</w:t>
      </w:r>
    </w:p>
    <w:p w14:paraId="5F6B1D02" w14:textId="77777777" w:rsidR="00BE1D1C" w:rsidRPr="00012502" w:rsidRDefault="00000000" w:rsidP="00012502">
      <w:pPr>
        <w:pStyle w:val="a7"/>
        <w:bidi/>
        <w:rPr>
          <w:rFonts w:ascii="Narkisim" w:hAnsi="Narkisim"/>
        </w:rPr>
      </w:pPr>
      <w:r w:rsidRPr="00012502">
        <w:rPr>
          <w:rFonts w:ascii="Narkisim" w:hAnsi="Narkisim"/>
          <w:rtl/>
        </w:rPr>
        <w:t xml:space="preserve">אבל </w:t>
      </w:r>
      <w:r w:rsidRPr="00012502">
        <w:rPr>
          <w:rFonts w:ascii="Narkisim" w:hAnsi="Narkisim"/>
          <w:b/>
          <w:bCs/>
          <w:rtl/>
        </w:rPr>
        <w:t>תוס'</w:t>
      </w:r>
      <w:r w:rsidRPr="00012502">
        <w:rPr>
          <w:rFonts w:ascii="Narkisim" w:hAnsi="Narkisim"/>
          <w:rtl/>
        </w:rPr>
        <w:t xml:space="preserve"> (לב.) כת' דפוטרת צרתה</w:t>
      </w:r>
      <w:r w:rsidRPr="00012502">
        <w:rPr>
          <w:rStyle w:val="ac"/>
          <w:rFonts w:ascii="Narkisim" w:hAnsi="Narkisim"/>
          <w:rtl/>
        </w:rPr>
        <w:footnoteReference w:id="514"/>
      </w:r>
      <w:r w:rsidRPr="00012502">
        <w:rPr>
          <w:rFonts w:ascii="Narkisim" w:hAnsi="Narkisim"/>
          <w:rtl/>
        </w:rPr>
        <w:t xml:space="preserve"> משום איסור אשת אח</w:t>
      </w:r>
      <w:r w:rsidRPr="00012502">
        <w:rPr>
          <w:rStyle w:val="ac"/>
          <w:rFonts w:ascii="Narkisim" w:hAnsi="Narkisim"/>
          <w:rtl/>
        </w:rPr>
        <w:footnoteReference w:id="515"/>
      </w:r>
      <w:r w:rsidRPr="00012502">
        <w:rPr>
          <w:rFonts w:ascii="Narkisim" w:hAnsi="Narkisim"/>
          <w:rtl/>
        </w:rPr>
        <w:t xml:space="preserve">, דלא פקע בממ"נ </w:t>
      </w:r>
      <w:r w:rsidRPr="00012502">
        <w:rPr>
          <w:rFonts w:ascii="Narkisim" w:hAnsi="Narkisim"/>
          <w:szCs w:val="20"/>
          <w:rtl/>
        </w:rPr>
        <w:t>[דאילו חל היתר ליבום הוה אחות אשה]</w:t>
      </w:r>
      <w:r w:rsidRPr="00012502">
        <w:rPr>
          <w:rFonts w:ascii="Narkisim" w:hAnsi="Narkisim"/>
          <w:rtl/>
        </w:rPr>
        <w:t>.</w:t>
      </w:r>
    </w:p>
    <w:p w14:paraId="2B44C3A6" w14:textId="77777777" w:rsidR="00BE1D1C" w:rsidRPr="00012502" w:rsidRDefault="00000000" w:rsidP="00012502">
      <w:pPr>
        <w:bidi/>
        <w:rPr>
          <w:rFonts w:ascii="Narkisim" w:hAnsi="Narkisim" w:cs="Narkisim"/>
        </w:rPr>
      </w:pPr>
      <w:r w:rsidRPr="00012502">
        <w:rPr>
          <w:rFonts w:ascii="Narkisim" w:hAnsi="Narkisim" w:cs="Narkisim"/>
          <w:u w:val="single"/>
          <w:rtl/>
        </w:rPr>
        <w:t>בא"ד מ"מ לא דמי, כיון שאם תבעל ליבם וכו' הויא אשת איש, ולא היתה אשת אחיו מעולם, הילכך לא פטרה</w:t>
      </w:r>
      <w:r w:rsidRPr="00012502">
        <w:rPr>
          <w:rFonts w:ascii="Narkisim" w:hAnsi="Narkisim" w:cs="Narkisim"/>
          <w:rtl/>
        </w:rPr>
        <w:t>. ה</w:t>
      </w:r>
      <w:r w:rsidRPr="00012502">
        <w:rPr>
          <w:rFonts w:ascii="Narkisim" w:hAnsi="Narkisim" w:cs="Narkisim"/>
          <w:b/>
          <w:bCs/>
          <w:rtl/>
        </w:rPr>
        <w:t>גרי"ז</w:t>
      </w:r>
      <w:r w:rsidRPr="00012502">
        <w:rPr>
          <w:rFonts w:ascii="Narkisim" w:hAnsi="Narkisim" w:cs="Narkisim"/>
          <w:rtl/>
        </w:rPr>
        <w:t xml:space="preserve"> (שם) ביאר דגדר פטור צרה שיש איסור במקום יבום, ומש"ה הכא דאילו תתייבם נתברר שלא היתה זקוקה, מש"ה אין כאן מקום יבום. ומש"ה ל"ש גדר פטור צרה [וע"ע חי' ר' שמואל ב].</w:t>
      </w:r>
    </w:p>
    <w:p w14:paraId="08127CB1" w14:textId="77777777" w:rsidR="00BE1D1C" w:rsidRPr="00012502" w:rsidRDefault="00000000" w:rsidP="00012502">
      <w:pPr>
        <w:pStyle w:val="a7"/>
        <w:bidi/>
        <w:rPr>
          <w:rFonts w:ascii="Narkisim" w:hAnsi="Narkisim"/>
        </w:rPr>
      </w:pPr>
      <w:r w:rsidRPr="00012502">
        <w:rPr>
          <w:rFonts w:ascii="Narkisim" w:hAnsi="Narkisim"/>
          <w:rtl/>
        </w:rPr>
        <w:t xml:space="preserve">והגרי"ז ביאר דאף דתוס' נקטו דיש פטור ערוה [עליה] וחשובה ערוה לענין יבום, מ"מ ל"ש פטור צרה משום ממ"נ. </w:t>
      </w:r>
      <w:r w:rsidRPr="00012502">
        <w:rPr>
          <w:rFonts w:ascii="Narkisim" w:hAnsi="Narkisim"/>
          <w:szCs w:val="20"/>
          <w:rtl/>
        </w:rPr>
        <w:t>והגרי"ז ביאר דמש"ה (לקמן לב.) גבי אין איסור חל על איסור תוס' (לקמן לב.) כת' דפטורה משום ערות אשת אח. דכיון דלא חל איסור לערוה, מש"ה לא שייך פטור לצרתה, דלא היתה צרה לערוה.</w:t>
      </w:r>
    </w:p>
    <w:p w14:paraId="48464D6B" w14:textId="77777777" w:rsidR="00BE1D1C" w:rsidRPr="00012502" w:rsidRDefault="00000000" w:rsidP="00012502">
      <w:pPr>
        <w:bidi/>
        <w:rPr>
          <w:rFonts w:ascii="Narkisim" w:hAnsi="Narkisim" w:cs="Narkisim"/>
        </w:rPr>
      </w:pPr>
      <w:r w:rsidRPr="00012502">
        <w:rPr>
          <w:rFonts w:ascii="Narkisim" w:hAnsi="Narkisim" w:cs="Narkisim"/>
          <w:u w:val="single"/>
          <w:rtl/>
        </w:rPr>
        <w:t>שם. הילכך לא פטרה צרתה.</w:t>
      </w:r>
      <w:r w:rsidRPr="00012502">
        <w:rPr>
          <w:rFonts w:ascii="Narkisim" w:hAnsi="Narkisim" w:cs="Narkisim"/>
          <w:rtl/>
        </w:rPr>
        <w:t xml:space="preserve"> ה</w:t>
      </w:r>
      <w:r w:rsidRPr="00012502">
        <w:rPr>
          <w:rFonts w:ascii="Narkisim" w:hAnsi="Narkisim" w:cs="Narkisim"/>
          <w:b/>
          <w:bCs/>
          <w:rtl/>
        </w:rPr>
        <w:t>אחרונים</w:t>
      </w:r>
      <w:r w:rsidRPr="00012502">
        <w:rPr>
          <w:rFonts w:ascii="Narkisim" w:hAnsi="Narkisim" w:cs="Narkisim"/>
          <w:rtl/>
        </w:rPr>
        <w:t xml:space="preserve"> דייקו דתוס' נקטו דמש"ה ליכא פטור צרה. אבל היכא עצמה פטורה. ואף דלא דמי לאחות אשתו. [ע' סו"ד התוס'].</w:t>
      </w:r>
    </w:p>
    <w:p w14:paraId="4C14E7C6"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גר"ח</w:t>
      </w:r>
      <w:r w:rsidRPr="00012502">
        <w:rPr>
          <w:rFonts w:ascii="Narkisim" w:hAnsi="Narkisim"/>
          <w:rtl/>
        </w:rPr>
        <w:t xml:space="preserve"> הק' דמ"מ כיון דהיא עצמה פטורה</w:t>
      </w:r>
      <w:r w:rsidRPr="00012502">
        <w:rPr>
          <w:rStyle w:val="ac"/>
          <w:rFonts w:ascii="Narkisim" w:hAnsi="Narkisim"/>
          <w:rtl/>
        </w:rPr>
        <w:footnoteReference w:id="516"/>
      </w:r>
      <w:r w:rsidRPr="00012502">
        <w:rPr>
          <w:rFonts w:ascii="Narkisim" w:hAnsi="Narkisim"/>
          <w:sz w:val="20"/>
          <w:szCs w:val="20"/>
          <w:rtl/>
        </w:rPr>
        <w:t>,</w:t>
      </w:r>
      <w:r w:rsidRPr="00012502">
        <w:rPr>
          <w:rFonts w:ascii="Narkisim" w:hAnsi="Narkisim"/>
          <w:rtl/>
        </w:rPr>
        <w:t xml:space="preserve"> א"כ קיימא באיסור אשת אח, ואמאי לא פטרה צרתה. וה</w:t>
      </w:r>
      <w:r w:rsidRPr="00012502">
        <w:rPr>
          <w:rFonts w:ascii="Narkisim" w:hAnsi="Narkisim"/>
          <w:b/>
          <w:bCs/>
          <w:rtl/>
        </w:rPr>
        <w:t>גר"ח</w:t>
      </w:r>
      <w:r w:rsidRPr="00012502">
        <w:rPr>
          <w:rFonts w:ascii="Narkisim" w:hAnsi="Narkisim"/>
          <w:rtl/>
        </w:rPr>
        <w:t xml:space="preserve"> (הו' בסטנסל לו.) ייסד דאיסור אשת אח דממילא אינו פוטר [הו' לעיל ב.], דכיון דאין בה פטור </w:t>
      </w:r>
      <w:r w:rsidRPr="00012502">
        <w:rPr>
          <w:rFonts w:ascii="Narkisim" w:hAnsi="Narkisim"/>
          <w:sz w:val="20"/>
          <w:szCs w:val="20"/>
          <w:rtl/>
        </w:rPr>
        <w:t>[דלא דמי לאחות אשה, וכמ"ש בתוס'</w:t>
      </w:r>
      <w:r w:rsidRPr="00012502">
        <w:rPr>
          <w:rFonts w:ascii="Narkisim" w:hAnsi="Narkisim"/>
          <w:rtl/>
        </w:rPr>
        <w:t xml:space="preserve">], א"כ אף איסור אשת אח דידה אינה </w:t>
      </w:r>
      <w:r w:rsidRPr="00012502">
        <w:rPr>
          <w:rFonts w:ascii="Narkisim" w:hAnsi="Narkisim"/>
          <w:rtl/>
        </w:rPr>
        <w:lastRenderedPageBreak/>
        <w:t>פוטרת</w:t>
      </w:r>
      <w:r w:rsidRPr="00012502">
        <w:rPr>
          <w:rStyle w:val="ac"/>
          <w:rFonts w:ascii="Narkisim" w:hAnsi="Narkisim"/>
          <w:rtl/>
        </w:rPr>
        <w:footnoteReference w:id="517"/>
      </w:r>
      <w:r w:rsidRPr="00012502">
        <w:rPr>
          <w:rFonts w:ascii="Narkisim" w:hAnsi="Narkisim"/>
          <w:rtl/>
        </w:rPr>
        <w:t>.</w:t>
      </w:r>
    </w:p>
    <w:p w14:paraId="590C71F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(ה ט) דן דאף אין בזה איסור אשת אח בפועל, כיון דעומדת ליבום, אלא דע"י התנאי אינה נפילה.</w:t>
      </w:r>
    </w:p>
    <w:p w14:paraId="4D7D052B" w14:textId="77777777" w:rsidR="00BE1D1C" w:rsidRPr="00012502" w:rsidRDefault="00000000" w:rsidP="00012502">
      <w:pPr>
        <w:bidi/>
        <w:rPr>
          <w:rFonts w:ascii="Narkisim" w:hAnsi="Narkisim" w:cs="Narkisim"/>
        </w:rPr>
      </w:pPr>
      <w:r w:rsidRPr="00012502">
        <w:rPr>
          <w:rFonts w:ascii="Narkisim" w:hAnsi="Narkisim" w:cs="Narkisim"/>
          <w:u w:val="single"/>
          <w:rtl/>
        </w:rPr>
        <w:t>בא"ד ומיהו למאן דנפקא ליה מולקחה, כל היכא דאיכא ב' ליקוחין</w:t>
      </w:r>
      <w:r w:rsidRPr="00012502">
        <w:rPr>
          <w:rFonts w:ascii="Narkisim" w:hAnsi="Narkisim" w:cs="Narkisim"/>
          <w:rtl/>
        </w:rPr>
        <w:t xml:space="preserve"> (רבי לעיל ח:). בפשוטו כוונת התוס' דלדעת רבי לא בעינן 'דומיא לאחות אשה', וכל פטור יבום פוטרת צרתה.</w:t>
      </w:r>
    </w:p>
    <w:p w14:paraId="503C26CD"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גרי"ז</w:t>
      </w:r>
      <w:r w:rsidRPr="00012502">
        <w:rPr>
          <w:rFonts w:ascii="Narkisim" w:hAnsi="Narkisim"/>
          <w:rtl/>
        </w:rPr>
        <w:t xml:space="preserve"> (שם ד"ה והנה בתוס') ביאר דלמ"ד דילפי' מאחות אשה ילפי' איסור על גוף הצרה. ואילו הכא אינה צרה לערוה, דאי הוה אשת איש אינה אשת אח. אבל למ"ד דילפי' ב' ליקוחין סוף סוף ליכא ב' ליקוחין, ומש"ה פטורה ופוטרת</w:t>
      </w:r>
      <w:r w:rsidRPr="00012502">
        <w:rPr>
          <w:rStyle w:val="ac"/>
          <w:rFonts w:ascii="Narkisim" w:hAnsi="Narkisim"/>
          <w:rtl/>
        </w:rPr>
        <w:footnoteReference w:id="518"/>
      </w:r>
      <w:r w:rsidRPr="00012502">
        <w:rPr>
          <w:rFonts w:ascii="Narkisim" w:hAnsi="Narkisim"/>
          <w:rtl/>
        </w:rPr>
        <w:t>.</w:t>
      </w:r>
    </w:p>
    <w:p w14:paraId="2EA95AB2" w14:textId="77777777" w:rsidR="00BE1D1C" w:rsidRPr="00012502" w:rsidRDefault="00000000" w:rsidP="00012502">
      <w:pPr>
        <w:bidi/>
        <w:rPr>
          <w:rFonts w:ascii="Narkisim" w:hAnsi="Narkisim" w:cs="Narkisim"/>
        </w:rPr>
      </w:pPr>
      <w:r w:rsidRPr="00012502">
        <w:rPr>
          <w:rFonts w:ascii="Narkisim" w:hAnsi="Narkisim" w:cs="Narkisim"/>
          <w:u w:val="single"/>
          <w:rtl/>
        </w:rPr>
        <w:t>שם. תרי ליקוחין</w:t>
      </w:r>
      <w:r w:rsidRPr="00012502">
        <w:rPr>
          <w:rFonts w:ascii="Narkisim" w:hAnsi="Narkisim" w:cs="Narkisim"/>
          <w:rtl/>
        </w:rPr>
        <w:t>. ה</w:t>
      </w:r>
      <w:r w:rsidRPr="00012502">
        <w:rPr>
          <w:rFonts w:ascii="Narkisim" w:hAnsi="Narkisim" w:cs="Narkisim"/>
          <w:b/>
          <w:bCs/>
          <w:rtl/>
        </w:rPr>
        <w:t>אחרונים</w:t>
      </w:r>
      <w:r w:rsidRPr="00012502">
        <w:rPr>
          <w:rFonts w:ascii="Narkisim" w:hAnsi="Narkisim" w:cs="Narkisim"/>
          <w:rtl/>
        </w:rPr>
        <w:t xml:space="preserve"> (ר' שמעון ז) הוכיחו מכאן דעכ"פ בעלת התנאי עצמה פטורה, ואי"צ חליצה. דהא </w:t>
      </w:r>
      <w:r w:rsidRPr="00012502">
        <w:rPr>
          <w:rFonts w:ascii="Narkisim" w:hAnsi="Narkisim" w:cs="Narkisim"/>
          <w:b/>
          <w:bCs/>
          <w:rtl/>
        </w:rPr>
        <w:t>תוס'</w:t>
      </w:r>
      <w:r w:rsidRPr="00012502">
        <w:rPr>
          <w:rFonts w:ascii="Narkisim" w:hAnsi="Narkisim" w:cs="Narkisim"/>
          <w:rtl/>
        </w:rPr>
        <w:t xml:space="preserve"> (ח: ד"ה כל) כתבו דהיכא שצריכה חליצה הוה בכלל 'ולקחה' לרבי. והכא כתבו תוס' דלרבי פטרה צרתה.</w:t>
      </w:r>
    </w:p>
    <w:p w14:paraId="3209186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(ב.) נסתפק בזה האם היא עצמה צריכה חליצה</w:t>
      </w:r>
      <w:r w:rsidRPr="00012502">
        <w:rPr>
          <w:rStyle w:val="ac"/>
          <w:rFonts w:ascii="Narkisim" w:hAnsi="Narkisim"/>
          <w:rtl/>
        </w:rPr>
        <w:footnoteReference w:id="519"/>
      </w:r>
      <w:r w:rsidRPr="00012502">
        <w:rPr>
          <w:rFonts w:ascii="Narkisim" w:hAnsi="Narkisim"/>
          <w:rtl/>
        </w:rPr>
        <w:t xml:space="preserve"> [ונטה דאי"צ חליצה</w:t>
      </w:r>
      <w:r w:rsidRPr="00012502">
        <w:rPr>
          <w:rStyle w:val="ac"/>
          <w:rFonts w:ascii="Narkisim" w:hAnsi="Narkisim"/>
          <w:rtl/>
        </w:rPr>
        <w:footnoteReference w:id="520"/>
      </w:r>
      <w:r w:rsidRPr="00012502">
        <w:rPr>
          <w:rFonts w:ascii="Narkisim" w:hAnsi="Narkisim"/>
          <w:rtl/>
        </w:rPr>
        <w:t>], וה</w:t>
      </w:r>
      <w:r w:rsidRPr="00012502">
        <w:rPr>
          <w:rFonts w:ascii="Narkisim" w:hAnsi="Narkisim"/>
          <w:b/>
          <w:bCs/>
          <w:rtl/>
        </w:rPr>
        <w:t>רשב"א</w:t>
      </w:r>
      <w:r w:rsidRPr="00012502">
        <w:rPr>
          <w:rFonts w:ascii="Narkisim" w:hAnsi="Narkisim"/>
          <w:rtl/>
        </w:rPr>
        <w:t xml:space="preserve"> (ב., וכן בשו"ת ו כא) כת' דחולצת, דהיא עצמה מותרת ליבם. אלא שאיסור דבר אחר גרם ליאסר [משום התנאי]</w:t>
      </w:r>
      <w:r w:rsidRPr="00012502">
        <w:rPr>
          <w:rStyle w:val="ac"/>
          <w:rFonts w:ascii="Narkisim" w:hAnsi="Narkisim"/>
          <w:rtl/>
        </w:rPr>
        <w:footnoteReference w:id="521"/>
      </w:r>
      <w:r w:rsidRPr="00012502">
        <w:rPr>
          <w:rFonts w:ascii="Narkisim" w:hAnsi="Narkisim"/>
          <w:rtl/>
        </w:rPr>
        <w:t>. וכמו נודרת דחולצת אע"פ שאינה עולה ליבום.</w:t>
      </w:r>
    </w:p>
    <w:p w14:paraId="21FB35E4" w14:textId="77777777" w:rsidR="00BE1D1C" w:rsidRPr="00012502" w:rsidRDefault="00000000" w:rsidP="00012502">
      <w:pPr>
        <w:pStyle w:val="a8"/>
        <w:bidi/>
        <w:rPr>
          <w:rFonts w:ascii="Narkisim" w:hAnsi="Narkisim"/>
        </w:rPr>
      </w:pPr>
      <w:r w:rsidRPr="00012502">
        <w:rPr>
          <w:rFonts w:ascii="Narkisim" w:hAnsi="Narkisim"/>
          <w:rtl/>
        </w:rPr>
        <w:t>אך מה שהביא הרשב"א מנודרת צ"ב, וה</w:t>
      </w:r>
      <w:r w:rsidRPr="00012502">
        <w:rPr>
          <w:rFonts w:ascii="Narkisim" w:hAnsi="Narkisim"/>
          <w:b/>
          <w:bCs/>
          <w:rtl/>
        </w:rPr>
        <w:t>שעה"מ</w:t>
      </w:r>
      <w:r w:rsidRPr="00012502">
        <w:rPr>
          <w:rFonts w:ascii="Narkisim" w:hAnsi="Narkisim"/>
          <w:rtl/>
        </w:rPr>
        <w:t xml:space="preserve"> (יבום ו) תמה דנודרת לא גרע מחייבי לאו ועשה, דצריך חליצה מדאורייתא (לקמן כ:)</w:t>
      </w:r>
      <w:r w:rsidRPr="00012502">
        <w:rPr>
          <w:rStyle w:val="ac"/>
          <w:rFonts w:ascii="Narkisim" w:hAnsi="Narkisim"/>
          <w:rtl/>
        </w:rPr>
        <w:footnoteReference w:id="522"/>
      </w:r>
      <w:r w:rsidRPr="00012502">
        <w:rPr>
          <w:rFonts w:ascii="Narkisim" w:hAnsi="Narkisim"/>
          <w:rtl/>
        </w:rPr>
        <w:t>. [ואף אי לא הוה חיצוני]. וה</w:t>
      </w:r>
      <w:r w:rsidRPr="00012502">
        <w:rPr>
          <w:rFonts w:ascii="Narkisim" w:hAnsi="Narkisim"/>
          <w:b/>
          <w:bCs/>
          <w:rtl/>
        </w:rPr>
        <w:t>אחרונים</w:t>
      </w:r>
      <w:r w:rsidRPr="00012502">
        <w:rPr>
          <w:rFonts w:ascii="Narkisim" w:hAnsi="Narkisim"/>
          <w:rtl/>
        </w:rPr>
        <w:t xml:space="preserve"> האריכו בזה</w:t>
      </w:r>
      <w:r w:rsidRPr="00012502">
        <w:rPr>
          <w:rStyle w:val="ac"/>
          <w:rFonts w:ascii="Narkisim" w:hAnsi="Narkisim"/>
          <w:rtl/>
        </w:rPr>
        <w:footnoteReference w:id="523"/>
      </w:r>
      <w:r w:rsidRPr="00012502">
        <w:rPr>
          <w:rFonts w:ascii="Narkisim" w:hAnsi="Narkisim"/>
          <w:rtl/>
        </w:rPr>
        <w:t>.</w:t>
      </w:r>
    </w:p>
    <w:p w14:paraId="3D4F1DF5"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(ה טז) כת' דכוונת הרשב"א דכל חייבי לאוין נחשב איסור אחר גרם, דאינו בגוף הזיקה.</w:t>
      </w:r>
    </w:p>
    <w:p w14:paraId="1F3D0757" w14:textId="77777777" w:rsidR="00BE1D1C" w:rsidRPr="00012502" w:rsidRDefault="00000000" w:rsidP="00012502">
      <w:pPr>
        <w:pStyle w:val="aa"/>
        <w:bidi/>
        <w:rPr>
          <w:rFonts w:ascii="Narkisim" w:hAnsi="Narkisim"/>
        </w:rPr>
      </w:pPr>
      <w:r w:rsidRPr="00012502">
        <w:rPr>
          <w:rFonts w:ascii="Narkisim" w:hAnsi="Narkisim"/>
          <w:u w:val="single"/>
          <w:rtl/>
        </w:rPr>
        <w:t>בא"ד תדע דלא תני חייבי לאוין אע"ג דלר' עקיבא וכו'.</w:t>
      </w:r>
      <w:r w:rsidRPr="00012502">
        <w:rPr>
          <w:rFonts w:ascii="Narkisim" w:hAnsi="Narkisim"/>
          <w:rtl/>
        </w:rPr>
        <w:t xml:space="preserve"> מבואר בתוס' דחייבי לאוין פוטרים צרה, וכ"כ </w:t>
      </w:r>
      <w:r w:rsidRPr="00012502">
        <w:rPr>
          <w:rFonts w:ascii="Narkisim" w:hAnsi="Narkisim"/>
          <w:b/>
          <w:bCs/>
          <w:rtl/>
        </w:rPr>
        <w:t>תוס</w:t>
      </w:r>
      <w:r w:rsidRPr="00012502">
        <w:rPr>
          <w:rFonts w:ascii="Narkisim" w:hAnsi="Narkisim"/>
          <w:rtl/>
        </w:rPr>
        <w:t>' (ד"ה לרבי יהודה), עי"ש.</w:t>
      </w:r>
    </w:p>
    <w:p w14:paraId="034F4517" w14:textId="77777777" w:rsidR="00BE1D1C" w:rsidRPr="00012502" w:rsidRDefault="00000000" w:rsidP="00012502">
      <w:pPr>
        <w:pStyle w:val="aa"/>
        <w:bidi/>
        <w:rPr>
          <w:rFonts w:ascii="Narkisim" w:hAnsi="Narkisim"/>
        </w:rPr>
      </w:pPr>
      <w:r w:rsidRPr="00012502">
        <w:rPr>
          <w:rFonts w:ascii="Narkisim" w:hAnsi="Narkisim"/>
          <w:u w:val="single"/>
          <w:rtl/>
        </w:rPr>
        <w:t>בא"ד אבל אי מודו בקידושין וכו' חוץ משמעון וכו'.</w:t>
      </w:r>
      <w:r w:rsidRPr="00012502">
        <w:rPr>
          <w:rFonts w:ascii="Narkisim" w:hAnsi="Narkisim"/>
          <w:rtl/>
        </w:rPr>
        <w:t xml:space="preserve"> ה</w:t>
      </w:r>
      <w:r w:rsidRPr="00012502">
        <w:rPr>
          <w:rFonts w:ascii="Narkisim" w:hAnsi="Narkisim"/>
          <w:b/>
          <w:bCs/>
          <w:rtl/>
        </w:rPr>
        <w:t>מהרש"ל</w:t>
      </w:r>
      <w:r w:rsidRPr="00012502">
        <w:rPr>
          <w:rFonts w:ascii="Narkisim" w:hAnsi="Narkisim"/>
          <w:rtl/>
        </w:rPr>
        <w:t xml:space="preserve"> כת' דראובן הוא איש זר, ולא אחיו דשמעון. [ותוס' גיטין פב. כת' שקידשה אחד]. דאל"כ אסורה ללוי משום אשת אח דראובן.</w:t>
      </w:r>
    </w:p>
    <w:p w14:paraId="131A247A" w14:textId="77777777" w:rsidR="00BE1D1C" w:rsidRPr="00012502" w:rsidRDefault="00000000" w:rsidP="00012502">
      <w:pPr>
        <w:bidi/>
        <w:rPr>
          <w:rFonts w:ascii="Narkisim" w:hAnsi="Narkisim" w:cs="Narkisim"/>
        </w:rPr>
      </w:pPr>
      <w:r w:rsidRPr="00012502">
        <w:rPr>
          <w:rFonts w:ascii="Narkisim" w:hAnsi="Narkisim" w:cs="Narkisim"/>
          <w:u w:val="single"/>
          <w:rtl/>
        </w:rPr>
        <w:t>בא"ד [שם] חוץ משמעון ולוי אחיו, ובא שמעון וקידשה סתם וכו' וצרת צרה נמי וכו'</w:t>
      </w:r>
      <w:r w:rsidRPr="00012502">
        <w:rPr>
          <w:rFonts w:ascii="Narkisim" w:hAnsi="Narkisim" w:cs="Narkisim"/>
          <w:rtl/>
        </w:rPr>
        <w:t xml:space="preserve">. אבל </w:t>
      </w:r>
      <w:r w:rsidRPr="00012502">
        <w:rPr>
          <w:rFonts w:ascii="Narkisim" w:hAnsi="Narkisim" w:cs="Narkisim"/>
          <w:b/>
          <w:bCs/>
          <w:rtl/>
        </w:rPr>
        <w:t>תוס</w:t>
      </w:r>
      <w:r w:rsidRPr="00012502">
        <w:rPr>
          <w:rFonts w:ascii="Narkisim" w:hAnsi="Narkisim" w:cs="Narkisim"/>
          <w:rtl/>
        </w:rPr>
        <w:t>' (גיטין פב:) כת' דשמעון קידשה חוץ מלוי. [וה</w:t>
      </w:r>
      <w:r w:rsidRPr="00012502">
        <w:rPr>
          <w:rFonts w:ascii="Narkisim" w:hAnsi="Narkisim" w:cs="Narkisim"/>
          <w:b/>
          <w:bCs/>
          <w:rtl/>
        </w:rPr>
        <w:t>מהרש"א</w:t>
      </w:r>
      <w:r w:rsidRPr="00012502">
        <w:rPr>
          <w:rFonts w:ascii="Narkisim" w:hAnsi="Narkisim" w:cs="Narkisim"/>
          <w:rtl/>
        </w:rPr>
        <w:t xml:space="preserve"> כתב דלאו דוקא]. וה</w:t>
      </w:r>
      <w:r w:rsidRPr="00012502">
        <w:rPr>
          <w:rFonts w:ascii="Narkisim" w:hAnsi="Narkisim" w:cs="Narkisim"/>
          <w:b/>
          <w:bCs/>
          <w:rtl/>
        </w:rPr>
        <w:t xml:space="preserve">מהרש"ל </w:t>
      </w:r>
      <w:r w:rsidRPr="00012502">
        <w:rPr>
          <w:rFonts w:ascii="Narkisim" w:hAnsi="Narkisim" w:cs="Narkisim"/>
          <w:rtl/>
        </w:rPr>
        <w:t>(שם) ביאר דכוונת תוס' (שם) דאם כלפי לוי הוה אשתו של ראובן, א"כ אינה נופלת ליבום [מחמת שמעון] כיון דיש עליה בעל אחר. והוי כחצי זיקת יבום.</w:t>
      </w:r>
    </w:p>
    <w:p w14:paraId="6CF61ABC" w14:textId="77777777" w:rsidR="00BE1D1C" w:rsidRPr="00012502" w:rsidRDefault="00000000" w:rsidP="00012502">
      <w:pPr>
        <w:bidi/>
        <w:rPr>
          <w:rFonts w:ascii="Narkisim" w:hAnsi="Narkisim" w:cs="Narkisim"/>
        </w:rPr>
      </w:pPr>
      <w:r w:rsidRPr="00012502">
        <w:rPr>
          <w:rFonts w:ascii="Narkisim" w:hAnsi="Narkisim" w:cs="Narkisim"/>
          <w:u w:val="single"/>
          <w:rtl/>
        </w:rPr>
        <w:t xml:space="preserve">בא"ד וי"ל דלא קרינא לגביה אשת המת דכבר נאסרה עליו משום אשת </w:t>
      </w:r>
      <w:r w:rsidRPr="00012502">
        <w:rPr>
          <w:rFonts w:ascii="Narkisim" w:hAnsi="Narkisim" w:cs="Narkisim"/>
          <w:i/>
          <w:iCs/>
          <w:u w:val="single"/>
          <w:rtl/>
        </w:rPr>
        <w:t>איש</w:t>
      </w:r>
      <w:r w:rsidRPr="00012502">
        <w:rPr>
          <w:rFonts w:ascii="Narkisim" w:hAnsi="Narkisim" w:cs="Narkisim"/>
          <w:sz w:val="20"/>
          <w:szCs w:val="20"/>
          <w:rtl/>
        </w:rPr>
        <w:t xml:space="preserve"> [כ"ג הרש"ש, וכ"ה בתוס' גיטין, ובתוס' הרא"ש</w:t>
      </w:r>
      <w:r w:rsidRPr="00012502">
        <w:rPr>
          <w:rFonts w:ascii="Narkisim" w:hAnsi="Narkisim" w:cs="Narkisim"/>
          <w:rtl/>
        </w:rPr>
        <w:t>]. וה</w:t>
      </w:r>
      <w:r w:rsidRPr="00012502">
        <w:rPr>
          <w:rFonts w:ascii="Narkisim" w:hAnsi="Narkisim" w:cs="Narkisim"/>
          <w:b/>
          <w:bCs/>
          <w:rtl/>
        </w:rPr>
        <w:t>אחרונים</w:t>
      </w:r>
      <w:r w:rsidRPr="00012502">
        <w:rPr>
          <w:rFonts w:ascii="Narkisim" w:hAnsi="Narkisim" w:cs="Narkisim"/>
          <w:rtl/>
        </w:rPr>
        <w:t xml:space="preserve"> הביאו דע"ד סברא זו מצאנו בדברי בית שמאי (יג:) דבמקום דאין איסור אשת אח חל, א"כ אינה עומדת ליבום. דדין יבום תליא באיסור אשת אח. וה"נ כלפיו לא נחשבת אשת שמעון</w:t>
      </w:r>
      <w:r w:rsidRPr="00012502">
        <w:rPr>
          <w:rStyle w:val="ac"/>
          <w:rFonts w:ascii="Narkisim" w:hAnsi="Narkisim" w:cs="Narkisim"/>
          <w:rtl/>
        </w:rPr>
        <w:footnoteReference w:id="524"/>
      </w:r>
      <w:r w:rsidRPr="00012502">
        <w:rPr>
          <w:rFonts w:ascii="Narkisim" w:hAnsi="Narkisim" w:cs="Narkisim"/>
          <w:rtl/>
        </w:rPr>
        <w:t>.</w:t>
      </w:r>
    </w:p>
    <w:p w14:paraId="386C9AE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(יב ד) כת' דהכא אף בית הלל מודו, דאשת איש הוה אותו שם איסור, וכלפיו לא נחשבת אשת המת</w:t>
      </w:r>
      <w:r w:rsidRPr="00012502">
        <w:rPr>
          <w:rFonts w:ascii="Narkisim" w:hAnsi="Narkisim"/>
          <w:sz w:val="20"/>
          <w:szCs w:val="20"/>
          <w:rtl/>
        </w:rPr>
        <w:t xml:space="preserve"> [וה</w:t>
      </w:r>
      <w:r w:rsidRPr="00012502">
        <w:rPr>
          <w:rFonts w:ascii="Narkisim" w:hAnsi="Narkisim"/>
          <w:b/>
          <w:bCs/>
          <w:sz w:val="20"/>
          <w:szCs w:val="20"/>
          <w:rtl/>
        </w:rPr>
        <w:t>אחרונים</w:t>
      </w:r>
      <w:r w:rsidRPr="00012502">
        <w:rPr>
          <w:rFonts w:ascii="Narkisim" w:hAnsi="Narkisim"/>
          <w:sz w:val="20"/>
          <w:szCs w:val="20"/>
          <w:rtl/>
        </w:rPr>
        <w:t xml:space="preserve"> דנו דהוה סברא בשם אשת איש, דכלפיו לא נחשב שיש כאן אישות זו, ואפשר דהוה ע"ד מש"כ בגמ' גיטין פב: דאם לא אהני קידושין כלפיו לא נחשב קידושין כלל</w:t>
      </w:r>
      <w:r w:rsidRPr="00012502">
        <w:rPr>
          <w:rStyle w:val="ac"/>
          <w:rFonts w:ascii="Narkisim" w:hAnsi="Narkisim"/>
          <w:sz w:val="20"/>
          <w:szCs w:val="20"/>
          <w:rtl/>
        </w:rPr>
        <w:footnoteReference w:id="525"/>
      </w:r>
      <w:r w:rsidRPr="00012502">
        <w:rPr>
          <w:rFonts w:ascii="Narkisim" w:hAnsi="Narkisim"/>
          <w:sz w:val="20"/>
          <w:szCs w:val="20"/>
          <w:rtl/>
        </w:rPr>
        <w:t>].</w:t>
      </w:r>
      <w:r w:rsidRPr="00012502">
        <w:rPr>
          <w:rFonts w:ascii="Narkisim" w:hAnsi="Narkisim"/>
          <w:rtl/>
        </w:rPr>
        <w:t xml:space="preserve"> וה</w:t>
      </w:r>
      <w:r w:rsidRPr="00012502">
        <w:rPr>
          <w:rFonts w:ascii="Narkisim" w:hAnsi="Narkisim"/>
          <w:b/>
          <w:bCs/>
          <w:rtl/>
        </w:rPr>
        <w:t>אחרונים</w:t>
      </w:r>
      <w:r w:rsidRPr="00012502">
        <w:rPr>
          <w:rFonts w:ascii="Narkisim" w:hAnsi="Narkisim"/>
          <w:rtl/>
        </w:rPr>
        <w:t xml:space="preserve"> </w:t>
      </w:r>
      <w:r w:rsidRPr="00012502">
        <w:rPr>
          <w:rFonts w:ascii="Narkisim" w:hAnsi="Narkisim"/>
          <w:rtl/>
        </w:rPr>
        <w:lastRenderedPageBreak/>
        <w:t>הביאו מכאן דיבום תליא ב'איסור' שבאישות, ולא במה שהיתה קנויה לאחיו.</w:t>
      </w:r>
    </w:p>
    <w:p w14:paraId="397F6C75" w14:textId="77777777" w:rsidR="00BE1D1C" w:rsidRPr="00012502" w:rsidRDefault="00000000" w:rsidP="00012502">
      <w:pPr>
        <w:pStyle w:val="aa"/>
        <w:bidi/>
        <w:rPr>
          <w:rFonts w:ascii="Narkisim" w:hAnsi="Narkisim"/>
        </w:rPr>
      </w:pPr>
      <w:r w:rsidRPr="00012502">
        <w:rPr>
          <w:rFonts w:ascii="Narkisim" w:hAnsi="Narkisim"/>
          <w:u w:val="single"/>
          <w:rtl/>
        </w:rPr>
        <w:t>שם. דכבר נאסרה</w:t>
      </w:r>
      <w:r w:rsidRPr="00012502">
        <w:rPr>
          <w:rFonts w:ascii="Narkisim" w:hAnsi="Narkisim"/>
          <w:rtl/>
        </w:rPr>
        <w:t>. ה</w:t>
      </w:r>
      <w:r w:rsidRPr="00012502">
        <w:rPr>
          <w:rFonts w:ascii="Narkisim" w:hAnsi="Narkisim"/>
          <w:b/>
          <w:bCs/>
          <w:rtl/>
        </w:rPr>
        <w:t>אמר"מ</w:t>
      </w:r>
      <w:r w:rsidRPr="00012502">
        <w:rPr>
          <w:rFonts w:ascii="Narkisim" w:hAnsi="Narkisim"/>
          <w:rtl/>
        </w:rPr>
        <w:t xml:space="preserve"> (ט ג) דן דעכ"פ ילה"ק להיפך, דאחיו קידש חוץ מפלוני, ואח"כ השני קידש. ונופלת ליבום מחמת אחיו, והשני אוסר עליו משום אשת איש. והאמר"מ תי' דא"כ כלפיו לא הוה אשתו של שני, עד מיתת אחיו. והוה כמו ערוה לאחר נפילה</w:t>
      </w:r>
      <w:r w:rsidRPr="00012502">
        <w:rPr>
          <w:rStyle w:val="ac"/>
          <w:rFonts w:ascii="Narkisim" w:hAnsi="Narkisim"/>
          <w:rtl/>
        </w:rPr>
        <w:footnoteReference w:id="526"/>
      </w:r>
      <w:r w:rsidRPr="00012502">
        <w:rPr>
          <w:rFonts w:ascii="Narkisim" w:hAnsi="Narkisim"/>
          <w:rtl/>
        </w:rPr>
        <w:t>. [עי"ש].</w:t>
      </w:r>
    </w:p>
    <w:p w14:paraId="6870847E" w14:textId="77777777" w:rsidR="00BE1D1C" w:rsidRPr="00012502" w:rsidRDefault="00000000" w:rsidP="00012502">
      <w:pPr>
        <w:bidi/>
        <w:rPr>
          <w:rFonts w:ascii="Narkisim" w:hAnsi="Narkisim" w:cs="Narkisim"/>
        </w:rPr>
      </w:pPr>
      <w:r w:rsidRPr="00012502">
        <w:rPr>
          <w:rFonts w:ascii="Narkisim" w:hAnsi="Narkisim" w:cs="Narkisim"/>
          <w:u w:val="single"/>
          <w:rtl/>
        </w:rPr>
        <w:t>בא"ד ומיהו אי אשת ב' מתים דאורייתא וכו'.</w:t>
      </w:r>
      <w:r w:rsidRPr="00012502">
        <w:rPr>
          <w:rFonts w:ascii="Narkisim" w:hAnsi="Narkisim" w:cs="Narkisim"/>
          <w:rtl/>
        </w:rPr>
        <w:t xml:space="preserve"> ה</w:t>
      </w:r>
      <w:r w:rsidRPr="00012502">
        <w:rPr>
          <w:rFonts w:ascii="Narkisim" w:hAnsi="Narkisim" w:cs="Narkisim"/>
          <w:b/>
          <w:bCs/>
          <w:rtl/>
        </w:rPr>
        <w:t>אחרונים</w:t>
      </w:r>
      <w:r w:rsidRPr="00012502">
        <w:rPr>
          <w:rFonts w:ascii="Narkisim" w:hAnsi="Narkisim" w:cs="Narkisim"/>
          <w:rtl/>
        </w:rPr>
        <w:t xml:space="preserve"> הקשו דכיון דנאסרה עליו מחמת הראשון, א"כ היאך תחשב אשת ב' מתים. וה</w:t>
      </w:r>
      <w:r w:rsidRPr="00012502">
        <w:rPr>
          <w:rFonts w:ascii="Narkisim" w:hAnsi="Narkisim" w:cs="Narkisim"/>
          <w:b/>
          <w:bCs/>
          <w:rtl/>
        </w:rPr>
        <w:t>קובה"ע</w:t>
      </w:r>
      <w:r w:rsidRPr="00012502">
        <w:rPr>
          <w:rFonts w:ascii="Narkisim" w:hAnsi="Narkisim" w:cs="Narkisim"/>
          <w:rtl/>
        </w:rPr>
        <w:t xml:space="preserve"> (יב ד, וכ"כ החזו"א קלד י. א) כת' דאיירי דמת ראובן קודם</w:t>
      </w:r>
      <w:r w:rsidRPr="00012502">
        <w:rPr>
          <w:rStyle w:val="ac"/>
          <w:rFonts w:ascii="Narkisim" w:hAnsi="Narkisim" w:cs="Narkisim"/>
          <w:rtl/>
        </w:rPr>
        <w:footnoteReference w:id="527"/>
      </w:r>
      <w:r w:rsidRPr="00012502">
        <w:rPr>
          <w:rFonts w:ascii="Narkisim" w:hAnsi="Narkisim" w:cs="Narkisim"/>
          <w:rtl/>
        </w:rPr>
        <w:t>, ובשעה שמת הראשון ממילא חל עליה איסור מחמת שמעון</w:t>
      </w:r>
      <w:r w:rsidRPr="00012502">
        <w:rPr>
          <w:rStyle w:val="ac"/>
          <w:rFonts w:ascii="Narkisim" w:hAnsi="Narkisim" w:cs="Narkisim"/>
          <w:rtl/>
        </w:rPr>
        <w:footnoteReference w:id="528"/>
      </w:r>
      <w:r w:rsidRPr="00012502">
        <w:rPr>
          <w:rFonts w:ascii="Narkisim" w:hAnsi="Narkisim" w:cs="Narkisim"/>
          <w:rtl/>
        </w:rPr>
        <w:t>, וכשמת שמעון פטרה צרתה</w:t>
      </w:r>
      <w:r w:rsidRPr="00012502">
        <w:rPr>
          <w:rStyle w:val="ac"/>
          <w:rFonts w:ascii="Narkisim" w:hAnsi="Narkisim" w:cs="Narkisim"/>
          <w:rtl/>
        </w:rPr>
        <w:footnoteReference w:id="529"/>
      </w:r>
      <w:r w:rsidRPr="00012502">
        <w:rPr>
          <w:rFonts w:ascii="Narkisim" w:hAnsi="Narkisim" w:cs="Narkisim"/>
          <w:rtl/>
        </w:rPr>
        <w:t>. ועוד תי' ה</w:t>
      </w:r>
      <w:r w:rsidRPr="00012502">
        <w:rPr>
          <w:rFonts w:ascii="Narkisim" w:hAnsi="Narkisim" w:cs="Narkisim"/>
          <w:b/>
          <w:bCs/>
          <w:rtl/>
        </w:rPr>
        <w:t>קה"י</w:t>
      </w:r>
      <w:r w:rsidRPr="00012502">
        <w:rPr>
          <w:rFonts w:ascii="Narkisim" w:hAnsi="Narkisim" w:cs="Narkisim"/>
          <w:rtl/>
        </w:rPr>
        <w:t xml:space="preserve"> (כו) דבאמת נופלת ליבום רק מחמת ראובן, ומ"מ נחשבת אשת ב' מתים ע"י שמעון ואפי' שאינה זקוקה מחמת אישותו</w:t>
      </w:r>
      <w:r w:rsidRPr="00012502">
        <w:rPr>
          <w:rStyle w:val="ac"/>
          <w:rFonts w:ascii="Narkisim" w:hAnsi="Narkisim" w:cs="Narkisim"/>
          <w:rtl/>
        </w:rPr>
        <w:footnoteReference w:id="530"/>
      </w:r>
      <w:r w:rsidRPr="00012502">
        <w:rPr>
          <w:rFonts w:ascii="Narkisim" w:hAnsi="Narkisim" w:cs="Narkisim"/>
          <w:rtl/>
        </w:rPr>
        <w:t>.</w:t>
      </w:r>
    </w:p>
    <w:p w14:paraId="3F97B442" w14:textId="77777777" w:rsidR="00BE1D1C" w:rsidRPr="00012502" w:rsidRDefault="00000000" w:rsidP="00012502">
      <w:pPr>
        <w:bidi/>
        <w:rPr>
          <w:rFonts w:ascii="Narkisim" w:hAnsi="Narkisim" w:cs="Narkisim"/>
        </w:rPr>
      </w:pPr>
      <w:r w:rsidRPr="00012502">
        <w:rPr>
          <w:rFonts w:ascii="Narkisim" w:hAnsi="Narkisim" w:cs="Narkisim"/>
          <w:u w:val="single"/>
          <w:rtl/>
        </w:rPr>
        <w:t>בא"ד ומיהו אי אשת ב' מתים דאורייתא וכו' ומשכח"ל נמי צרת צרה וכו'</w:t>
      </w:r>
      <w:r w:rsidRPr="00012502">
        <w:rPr>
          <w:rFonts w:ascii="Narkisim" w:hAnsi="Narkisim" w:cs="Narkisim"/>
          <w:rtl/>
        </w:rPr>
        <w:t>. ה</w:t>
      </w:r>
      <w:r w:rsidRPr="00012502">
        <w:rPr>
          <w:rFonts w:ascii="Narkisim" w:hAnsi="Narkisim" w:cs="Narkisim"/>
          <w:b/>
          <w:bCs/>
          <w:rtl/>
        </w:rPr>
        <w:t>אחרונים</w:t>
      </w:r>
      <w:r w:rsidRPr="00012502">
        <w:rPr>
          <w:rFonts w:ascii="Narkisim" w:hAnsi="Narkisim" w:cs="Narkisim"/>
          <w:rtl/>
        </w:rPr>
        <w:t xml:space="preserve"> (קובה"ע ב ו, אמר"מ ז ז) הק' אמאי אשת ב' מתים פטרה צרתה, ונהי דנתמעטה מיבום אמאי חשיב ערוה לפטור צרתה.</w:t>
      </w:r>
    </w:p>
    <w:p w14:paraId="39EB23B1" w14:textId="77777777" w:rsidR="00BE1D1C" w:rsidRPr="00012502" w:rsidRDefault="00000000" w:rsidP="00012502">
      <w:pPr>
        <w:pStyle w:val="a7"/>
        <w:bidi/>
        <w:rPr>
          <w:rFonts w:ascii="Narkisim" w:hAnsi="Narkisim"/>
        </w:rPr>
      </w:pPr>
      <w:r w:rsidRPr="00012502">
        <w:rPr>
          <w:rFonts w:ascii="Narkisim" w:hAnsi="Narkisim"/>
          <w:rtl/>
        </w:rPr>
        <w:t>וכת' דע"כ דאשת ב' מתים פטרה מחמת האיסור אשת אח, דומיא דאילונית. דכיון דנתמעטה מיבום, שוב חוזרת להיות אשת אח [וכמ"ש תוס' ח.].</w:t>
      </w:r>
    </w:p>
    <w:p w14:paraId="0CC4FD5E"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קה"י</w:t>
      </w:r>
      <w:r w:rsidRPr="00012502">
        <w:rPr>
          <w:rFonts w:ascii="Narkisim" w:hAnsi="Narkisim"/>
          <w:rtl/>
        </w:rPr>
        <w:t xml:space="preserve"> (כו) הוסיף דאשת ב' מתים הוה מקצת אישות, דהוה חסרון בגוף האישות שאינו מחייב יבום</w:t>
      </w:r>
      <w:r w:rsidRPr="00012502">
        <w:rPr>
          <w:rStyle w:val="ac"/>
          <w:rFonts w:ascii="Narkisim" w:hAnsi="Narkisim"/>
          <w:rtl/>
        </w:rPr>
        <w:footnoteReference w:id="531"/>
      </w:r>
      <w:r w:rsidRPr="00012502">
        <w:rPr>
          <w:rFonts w:ascii="Narkisim" w:hAnsi="Narkisim"/>
          <w:rtl/>
        </w:rPr>
        <w:t>. אבל ה</w:t>
      </w:r>
      <w:r w:rsidRPr="00012502">
        <w:rPr>
          <w:rFonts w:ascii="Narkisim" w:hAnsi="Narkisim"/>
          <w:b/>
          <w:bCs/>
          <w:rtl/>
        </w:rPr>
        <w:t>קובה"ע</w:t>
      </w:r>
      <w:r w:rsidRPr="00012502">
        <w:rPr>
          <w:rFonts w:ascii="Narkisim" w:hAnsi="Narkisim"/>
          <w:rtl/>
        </w:rPr>
        <w:t xml:space="preserve"> (שם) תמה דמ"מ לרבא אילונית אינה ראויה כלל, ולא נחשב צרה במקום מצוה [וכמ"ש תוס' ח. ורש"י יב:],</w:t>
      </w:r>
      <w:r w:rsidRPr="00012502">
        <w:rPr>
          <w:rFonts w:ascii="Narkisim" w:hAnsi="Narkisim"/>
          <w:sz w:val="20"/>
          <w:szCs w:val="20"/>
          <w:rtl/>
        </w:rPr>
        <w:t xml:space="preserve"> וכתב דאפשר דכוונת התוס' להקשות לרב אסי, או לדעת רבי</w:t>
      </w:r>
      <w:r w:rsidRPr="00012502">
        <w:rPr>
          <w:rFonts w:ascii="Narkisim" w:hAnsi="Narkisim"/>
          <w:rtl/>
        </w:rPr>
        <w:t>.</w:t>
      </w:r>
    </w:p>
    <w:p w14:paraId="7C38BE3C" w14:textId="77777777" w:rsidR="00BE1D1C" w:rsidRPr="00012502" w:rsidRDefault="00000000" w:rsidP="00012502">
      <w:pPr>
        <w:bidi/>
        <w:rPr>
          <w:rFonts w:ascii="Narkisim" w:hAnsi="Narkisim" w:cs="Narkisim"/>
        </w:rPr>
      </w:pPr>
      <w:r w:rsidRPr="00012502">
        <w:rPr>
          <w:rFonts w:ascii="Narkisim" w:hAnsi="Narkisim" w:cs="Narkisim"/>
          <w:u w:val="single"/>
          <w:rtl/>
        </w:rPr>
        <w:t>בא"ד וכגון שבא ראובן וקידשה חוץ משמעון ולוי אחיו וכו'.</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נקטו חוץ מלוי דכלפי לוי אינה אשת ב' מתים, ועי"ז משכחת צרת צרה. ו</w:t>
      </w:r>
      <w:r w:rsidRPr="00012502">
        <w:rPr>
          <w:rFonts w:ascii="Narkisim" w:hAnsi="Narkisim" w:cs="Narkisim"/>
          <w:b/>
          <w:bCs/>
          <w:rtl/>
        </w:rPr>
        <w:t>תוס'</w:t>
      </w:r>
      <w:r w:rsidRPr="00012502">
        <w:rPr>
          <w:rFonts w:ascii="Narkisim" w:hAnsi="Narkisim" w:cs="Narkisim"/>
          <w:rtl/>
        </w:rPr>
        <w:t xml:space="preserve"> (בגיטין) כת' דשמעון קידש חוץ מלוי.</w:t>
      </w:r>
    </w:p>
    <w:p w14:paraId="27E701C1"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מהרש"ל</w:t>
      </w:r>
      <w:r w:rsidRPr="00012502">
        <w:rPr>
          <w:rFonts w:ascii="Narkisim" w:hAnsi="Narkisim"/>
          <w:rtl/>
        </w:rPr>
        <w:t xml:space="preserve"> (בגיטין) כתב דאילו קידשה שמעון סתם, כשנופלת ללוי הוה אשת ב' מתים. ואף דראובן קידשה חוץ מלוי, מ"מ כששמעון קידש פקע היתירא דלוי [וע' מהרש"א].</w:t>
      </w:r>
    </w:p>
    <w:p w14:paraId="643B09A0"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אמר"מ</w:t>
      </w:r>
      <w:r w:rsidRPr="00012502">
        <w:rPr>
          <w:rFonts w:ascii="Narkisim" w:hAnsi="Narkisim"/>
          <w:rtl/>
        </w:rPr>
        <w:t xml:space="preserve"> (ט א) הביא דמבואר במהרש"ל ומהרש"א דהמקדש חוץ לפלוני אחיו, אינה נופלת ליבום עליו, דכלפיו אינה אשת איש. ועי"ש שהאריך לדון בזה.</w:t>
      </w:r>
    </w:p>
    <w:p w14:paraId="47ED2806" w14:textId="77777777" w:rsidR="00BE1D1C" w:rsidRPr="00012502" w:rsidRDefault="00000000" w:rsidP="00012502">
      <w:pPr>
        <w:bidi/>
        <w:rPr>
          <w:rFonts w:ascii="Narkisim" w:hAnsi="Narkisim" w:cs="Narkisim"/>
        </w:rPr>
      </w:pPr>
      <w:r w:rsidRPr="00012502">
        <w:rPr>
          <w:rFonts w:ascii="Narkisim" w:hAnsi="Narkisim" w:cs="Narkisim"/>
          <w:u w:val="single"/>
          <w:rtl/>
        </w:rPr>
        <w:t>בא"ד ובירושלמי וכו' ליתני ט"ז נשים כר"א וכו'</w:t>
      </w:r>
      <w:r w:rsidRPr="00012502">
        <w:rPr>
          <w:rFonts w:ascii="Narkisim" w:hAnsi="Narkisim" w:cs="Narkisim"/>
          <w:rtl/>
        </w:rPr>
        <w:t>. משמע בתוס' דקושיית הירושלמי במגרש ע"מ [וכתחילת דבריהם]. אבל ה</w:t>
      </w:r>
      <w:r w:rsidRPr="00012502">
        <w:rPr>
          <w:rFonts w:ascii="Narkisim" w:hAnsi="Narkisim" w:cs="Narkisim"/>
          <w:b/>
          <w:bCs/>
          <w:rtl/>
        </w:rPr>
        <w:t>רמב"ן</w:t>
      </w:r>
      <w:r w:rsidRPr="00012502">
        <w:rPr>
          <w:rFonts w:ascii="Narkisim" w:hAnsi="Narkisim" w:cs="Narkisim"/>
          <w:rtl/>
        </w:rPr>
        <w:t xml:space="preserve"> (ב.) הביא את קושיית הירושלמי במגרש 'חוץ'. </w:t>
      </w:r>
      <w:r w:rsidRPr="00012502">
        <w:rPr>
          <w:rFonts w:ascii="Narkisim" w:hAnsi="Narkisim" w:cs="Narkisim"/>
          <w:sz w:val="20"/>
          <w:szCs w:val="20"/>
          <w:rtl/>
        </w:rPr>
        <w:t>וצ"ל דהירושלמי ס"ל דאף שנשאת לאחר אינה ניתרת לזה</w:t>
      </w:r>
      <w:r w:rsidRPr="00012502">
        <w:rPr>
          <w:rStyle w:val="ac"/>
          <w:rFonts w:ascii="Narkisim" w:hAnsi="Narkisim" w:cs="Narkisim"/>
          <w:sz w:val="20"/>
          <w:szCs w:val="20"/>
          <w:rtl/>
        </w:rPr>
        <w:footnoteReference w:id="532"/>
      </w:r>
      <w:r w:rsidRPr="00012502">
        <w:rPr>
          <w:rFonts w:ascii="Narkisim" w:hAnsi="Narkisim" w:cs="Narkisim"/>
          <w:sz w:val="20"/>
          <w:szCs w:val="20"/>
          <w:rtl/>
        </w:rPr>
        <w:t>].</w:t>
      </w:r>
      <w:r w:rsidRPr="00012502">
        <w:rPr>
          <w:rFonts w:ascii="Narkisim" w:hAnsi="Narkisim" w:cs="Narkisim"/>
          <w:rtl/>
        </w:rPr>
        <w:t xml:space="preserve"> וביאר דכיון דהבעל אסרה לו [משום א"א] אין זו צרת ערוה של יבום.</w:t>
      </w:r>
    </w:p>
    <w:p w14:paraId="70255368" w14:textId="77777777" w:rsidR="00BE1D1C" w:rsidRPr="00012502" w:rsidRDefault="00000000" w:rsidP="00012502">
      <w:pPr>
        <w:bidi/>
        <w:rPr>
          <w:rFonts w:ascii="Narkisim" w:hAnsi="Narkisim" w:cs="Narkisim"/>
        </w:rPr>
      </w:pPr>
      <w:r w:rsidRPr="00012502">
        <w:rPr>
          <w:rFonts w:ascii="Narkisim" w:hAnsi="Narkisim" w:cs="Narkisim"/>
          <w:u w:val="single"/>
          <w:rtl/>
        </w:rPr>
        <w:t>בא"ד ופי' ר"י וכו' אבל אשת איש האיסור תלוי במגרש, שאם ירצה יתירנה וכו' שביד המגרש להתירה.</w:t>
      </w:r>
      <w:r w:rsidRPr="00012502">
        <w:rPr>
          <w:rFonts w:ascii="Narkisim" w:hAnsi="Narkisim" w:cs="Narkisim"/>
          <w:rtl/>
        </w:rPr>
        <w:t xml:space="preserve"> </w:t>
      </w:r>
      <w:r w:rsidRPr="00012502">
        <w:rPr>
          <w:rFonts w:ascii="Narkisim" w:hAnsi="Narkisim" w:cs="Narkisim"/>
          <w:sz w:val="20"/>
          <w:szCs w:val="20"/>
          <w:rtl/>
        </w:rPr>
        <w:t>בפשוטו כוונת התוס' שיחזור ויגרשנה בגט אחר בלא תנאי</w:t>
      </w:r>
      <w:r w:rsidRPr="00012502">
        <w:rPr>
          <w:rStyle w:val="ac"/>
          <w:rFonts w:ascii="Narkisim" w:hAnsi="Narkisim" w:cs="Narkisim"/>
          <w:sz w:val="20"/>
          <w:szCs w:val="20"/>
          <w:rtl/>
        </w:rPr>
        <w:footnoteReference w:id="533"/>
      </w:r>
      <w:r w:rsidRPr="00012502">
        <w:rPr>
          <w:rFonts w:ascii="Narkisim" w:hAnsi="Narkisim" w:cs="Narkisim"/>
          <w:sz w:val="20"/>
          <w:szCs w:val="20"/>
          <w:rtl/>
        </w:rPr>
        <w:t>. אבל ה</w:t>
      </w:r>
      <w:r w:rsidRPr="00012502">
        <w:rPr>
          <w:rFonts w:ascii="Narkisim" w:hAnsi="Narkisim" w:cs="Narkisim"/>
          <w:b/>
          <w:bCs/>
          <w:sz w:val="20"/>
          <w:szCs w:val="20"/>
          <w:rtl/>
        </w:rPr>
        <w:t>מהרי"ט</w:t>
      </w:r>
      <w:r w:rsidRPr="00012502">
        <w:rPr>
          <w:rFonts w:ascii="Narkisim" w:hAnsi="Narkisim" w:cs="Narkisim"/>
          <w:sz w:val="20"/>
          <w:szCs w:val="20"/>
          <w:rtl/>
        </w:rPr>
        <w:t xml:space="preserve"> (א מט) הביא תי' התוס' דיכול לבטל התנאי</w:t>
      </w:r>
      <w:r w:rsidRPr="00012502">
        <w:rPr>
          <w:rStyle w:val="ac"/>
          <w:rFonts w:ascii="Narkisim" w:hAnsi="Narkisim" w:cs="Narkisim"/>
          <w:sz w:val="20"/>
          <w:szCs w:val="20"/>
          <w:rtl/>
        </w:rPr>
        <w:footnoteReference w:id="534"/>
      </w:r>
      <w:r w:rsidRPr="00012502">
        <w:rPr>
          <w:rFonts w:ascii="Narkisim" w:hAnsi="Narkisim" w:cs="Narkisim"/>
          <w:sz w:val="20"/>
          <w:szCs w:val="20"/>
          <w:rtl/>
        </w:rPr>
        <w:t>.</w:t>
      </w:r>
    </w:p>
    <w:p w14:paraId="62FDA5D4"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ו</w:t>
      </w:r>
      <w:r w:rsidRPr="00012502">
        <w:rPr>
          <w:rFonts w:ascii="Narkisim" w:hAnsi="Narkisim" w:cs="Narkisim"/>
          <w:b/>
          <w:bCs/>
          <w:rtl/>
        </w:rPr>
        <w:t>תוס'</w:t>
      </w:r>
      <w:r w:rsidRPr="00012502">
        <w:rPr>
          <w:rFonts w:ascii="Narkisim" w:hAnsi="Narkisim" w:cs="Narkisim"/>
          <w:rtl/>
        </w:rPr>
        <w:t xml:space="preserve"> (גיטין) כתב עוד לפרש דברי הירושלמי דלא דמי לאחות אשה דהתורה אסרה, ובא ממילא, משא"כ כאן דהוה ע"י מעשיו.</w:t>
      </w:r>
    </w:p>
    <w:p w14:paraId="37CFA955" w14:textId="77777777" w:rsidR="00BE1D1C" w:rsidRPr="00012502" w:rsidRDefault="00000000" w:rsidP="00012502">
      <w:pPr>
        <w:bidi/>
        <w:rPr>
          <w:rFonts w:ascii="Narkisim" w:hAnsi="Narkisim" w:cs="Narkisim"/>
        </w:rPr>
      </w:pPr>
      <w:r w:rsidRPr="00012502">
        <w:rPr>
          <w:rFonts w:ascii="Narkisim" w:hAnsi="Narkisim" w:cs="Narkisim"/>
          <w:u w:val="single"/>
          <w:rtl/>
        </w:rPr>
        <w:t>שם. תמן התורה אסרה לו וכו' ולהכי לא תני להו, דלא דמו להו וכו'</w:t>
      </w:r>
      <w:r w:rsidRPr="00012502">
        <w:rPr>
          <w:rFonts w:ascii="Narkisim" w:hAnsi="Narkisim" w:cs="Narkisim"/>
          <w:rtl/>
        </w:rPr>
        <w:t>. ה</w:t>
      </w:r>
      <w:r w:rsidRPr="00012502">
        <w:rPr>
          <w:rFonts w:ascii="Narkisim" w:hAnsi="Narkisim" w:cs="Narkisim"/>
          <w:b/>
          <w:bCs/>
          <w:rtl/>
        </w:rPr>
        <w:t>יש"ש</w:t>
      </w:r>
      <w:r w:rsidRPr="00012502">
        <w:rPr>
          <w:rFonts w:ascii="Narkisim" w:hAnsi="Narkisim" w:cs="Narkisim"/>
          <w:rtl/>
        </w:rPr>
        <w:t xml:space="preserve"> (ד) הביא את </w:t>
      </w:r>
      <w:r w:rsidRPr="00012502">
        <w:rPr>
          <w:rFonts w:ascii="Narkisim" w:hAnsi="Narkisim" w:cs="Narkisim"/>
          <w:rtl/>
        </w:rPr>
        <w:lastRenderedPageBreak/>
        <w:t>דברי התוס' דלטעם הירושלמי לא תני לה במשנה [דהמשנה לא איירי כה"ג], אבל באמת פוטרת צרה</w:t>
      </w:r>
      <w:r w:rsidRPr="00012502">
        <w:rPr>
          <w:rStyle w:val="ac"/>
          <w:rFonts w:ascii="Narkisim" w:hAnsi="Narkisim" w:cs="Narkisim"/>
          <w:rtl/>
        </w:rPr>
        <w:footnoteReference w:id="535"/>
      </w:r>
      <w:r w:rsidRPr="00012502">
        <w:rPr>
          <w:rFonts w:ascii="Narkisim" w:hAnsi="Narkisim" w:cs="Narkisim"/>
          <w:rtl/>
        </w:rPr>
        <w:t>.</w:t>
      </w:r>
    </w:p>
    <w:p w14:paraId="349FEA43"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בי"מ</w:t>
      </w:r>
      <w:r w:rsidRPr="00012502">
        <w:rPr>
          <w:rFonts w:ascii="Narkisim" w:hAnsi="Narkisim"/>
          <w:rtl/>
        </w:rPr>
        <w:t xml:space="preserve"> (קנט א) הביא דכוונת התוס' דלא פטרה לצרה, דלא דמי לאחות אשה [וכדלעיל]</w:t>
      </w:r>
      <w:r w:rsidRPr="00012502">
        <w:rPr>
          <w:rStyle w:val="ac"/>
          <w:rFonts w:ascii="Narkisim" w:hAnsi="Narkisim"/>
          <w:rtl/>
        </w:rPr>
        <w:footnoteReference w:id="536"/>
      </w:r>
      <w:r w:rsidRPr="00012502">
        <w:rPr>
          <w:rFonts w:ascii="Narkisim" w:hAnsi="Narkisim"/>
          <w:rtl/>
        </w:rPr>
        <w:t xml:space="preserve">. וכן </w:t>
      </w:r>
      <w:r w:rsidRPr="00012502">
        <w:rPr>
          <w:rFonts w:ascii="Narkisim" w:hAnsi="Narkisim"/>
          <w:b/>
          <w:bCs/>
          <w:rtl/>
        </w:rPr>
        <w:t xml:space="preserve">תוס' </w:t>
      </w:r>
      <w:r w:rsidRPr="00012502">
        <w:rPr>
          <w:rFonts w:ascii="Narkisim" w:hAnsi="Narkisim"/>
          <w:rtl/>
        </w:rPr>
        <w:t>(גיטין) וה</w:t>
      </w:r>
      <w:r w:rsidRPr="00012502">
        <w:rPr>
          <w:rFonts w:ascii="Narkisim" w:hAnsi="Narkisim"/>
          <w:b/>
          <w:bCs/>
          <w:rtl/>
        </w:rPr>
        <w:t>תוס' הרא"ש</w:t>
      </w:r>
      <w:r w:rsidRPr="00012502">
        <w:rPr>
          <w:rFonts w:ascii="Narkisim" w:hAnsi="Narkisim"/>
          <w:rtl/>
        </w:rPr>
        <w:t xml:space="preserve"> נקטו הלשון 'הילכך לא דמי לאחות אשה'. וה</w:t>
      </w:r>
      <w:r w:rsidRPr="00012502">
        <w:rPr>
          <w:rFonts w:ascii="Narkisim" w:hAnsi="Narkisim"/>
          <w:b/>
          <w:bCs/>
          <w:rtl/>
        </w:rPr>
        <w:t>או"ז</w:t>
      </w:r>
      <w:r w:rsidRPr="00012502">
        <w:rPr>
          <w:rFonts w:ascii="Narkisim" w:hAnsi="Narkisim"/>
          <w:rtl/>
        </w:rPr>
        <w:t xml:space="preserve"> (תקצו, ובאו"ז הקצר ג) נסתפק בכוונת הירושלמי האם פטרה לצרה.</w:t>
      </w:r>
    </w:p>
    <w:p w14:paraId="75EAD1A5" w14:textId="77777777" w:rsidR="00BE1D1C" w:rsidRPr="00012502" w:rsidRDefault="00000000" w:rsidP="00012502">
      <w:pPr>
        <w:pStyle w:val="aa"/>
        <w:bidi/>
        <w:rPr>
          <w:rFonts w:ascii="Narkisim" w:hAnsi="Narkisim"/>
        </w:rPr>
      </w:pPr>
      <w:r w:rsidRPr="00012502">
        <w:rPr>
          <w:rFonts w:ascii="Narkisim" w:hAnsi="Narkisim"/>
          <w:u w:val="single"/>
          <w:rtl/>
        </w:rPr>
        <w:t>בא"ד שאם ירצה יתירנה ליבם קודם שימות אחיו שנשאה וכו'</w:t>
      </w:r>
      <w:r w:rsidRPr="00012502">
        <w:rPr>
          <w:rFonts w:ascii="Narkisim" w:hAnsi="Narkisim"/>
          <w:rtl/>
        </w:rPr>
        <w:t>. ה</w:t>
      </w:r>
      <w:r w:rsidRPr="00012502">
        <w:rPr>
          <w:rFonts w:ascii="Narkisim" w:hAnsi="Narkisim"/>
          <w:b/>
          <w:bCs/>
          <w:rtl/>
        </w:rPr>
        <w:t>אחרונים</w:t>
      </w:r>
      <w:r w:rsidRPr="00012502">
        <w:rPr>
          <w:rFonts w:ascii="Narkisim" w:hAnsi="Narkisim"/>
          <w:rtl/>
        </w:rPr>
        <w:t xml:space="preserve"> דייקו מדברי התוס' דדוקא קודם נפילה, אבל לאחר שנפלה ליבום ל"מ להתיר. דנאסרה בשעת נפילה.</w:t>
      </w:r>
    </w:p>
    <w:p w14:paraId="4C79A7D1"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xml:space="preserve">' (לקמן טז. ד"ה בני הצרות) הק' למ"ד קידושין תופסים ביבמה לשוק, א"כ יבמה שנתקדשה לשוק אסורה על היבם משום איסור אשת איש. א"כ נימא דפקעה זיקה ופטורה מחליצה משום ערוה. </w:t>
      </w:r>
      <w:r w:rsidRPr="00012502">
        <w:rPr>
          <w:rFonts w:ascii="Narkisim" w:hAnsi="Narkisim" w:cs="Narkisim"/>
          <w:szCs w:val="20"/>
          <w:rtl/>
        </w:rPr>
        <w:t>ותוס' הוסיפו דומיא דקידש אחותה, שקידושיה מפקיעין הייבום</w:t>
      </w:r>
      <w:r w:rsidRPr="00012502">
        <w:rPr>
          <w:rStyle w:val="ac"/>
          <w:rFonts w:ascii="Narkisim" w:hAnsi="Narkisim" w:cs="Narkisim"/>
          <w:szCs w:val="20"/>
          <w:rtl/>
        </w:rPr>
        <w:footnoteReference w:id="537"/>
      </w:r>
      <w:r w:rsidRPr="00012502">
        <w:rPr>
          <w:rFonts w:ascii="Narkisim" w:hAnsi="Narkisim" w:cs="Narkisim"/>
          <w:szCs w:val="20"/>
          <w:rtl/>
        </w:rPr>
        <w:t>, ויש פטור 'ערוה' אף לאחר נפילה.</w:t>
      </w:r>
    </w:p>
    <w:p w14:paraId="7227E6F2"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(בתי' הא') תי' דכיון שאפשר לתקן שתתיבם ע"י גירושין, הילכך לא פקע</w:t>
      </w:r>
      <w:r w:rsidRPr="00012502">
        <w:rPr>
          <w:rStyle w:val="ac"/>
          <w:rFonts w:ascii="Narkisim" w:hAnsi="Narkisim"/>
          <w:rtl/>
        </w:rPr>
        <w:footnoteReference w:id="538"/>
      </w:r>
      <w:r w:rsidRPr="00012502">
        <w:rPr>
          <w:rFonts w:ascii="Narkisim" w:hAnsi="Narkisim"/>
          <w:rtl/>
        </w:rPr>
        <w:t>.</w:t>
      </w:r>
    </w:p>
    <w:p w14:paraId="7FD3D2F0"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נוב"י</w:t>
      </w:r>
      <w:r w:rsidRPr="00012502">
        <w:rPr>
          <w:rFonts w:ascii="Narkisim" w:hAnsi="Narkisim"/>
          <w:rtl/>
        </w:rPr>
        <w:t xml:space="preserve"> (ת' קנ) הק' דמבואר בתוס' [דידן] דערות אשת איש פטורה מחליצה, ואף דבידו לגרשה. ולא אמרי' דאפשר ע"י גירושין</w:t>
      </w:r>
      <w:r w:rsidRPr="00012502">
        <w:rPr>
          <w:rStyle w:val="ac"/>
          <w:rFonts w:ascii="Narkisim" w:hAnsi="Narkisim"/>
          <w:rtl/>
        </w:rPr>
        <w:footnoteReference w:id="539"/>
      </w:r>
      <w:r w:rsidRPr="00012502">
        <w:rPr>
          <w:rFonts w:ascii="Narkisim" w:hAnsi="Narkisim"/>
          <w:rtl/>
        </w:rPr>
        <w:t>.</w:t>
      </w:r>
    </w:p>
    <w:p w14:paraId="7C50394B"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 xml:space="preserve">אחרונים </w:t>
      </w:r>
      <w:r w:rsidRPr="00012502">
        <w:rPr>
          <w:rFonts w:ascii="Narkisim" w:hAnsi="Narkisim"/>
          <w:rtl/>
        </w:rPr>
        <w:t>(אחיעזר א ב ב, קובה"ע ד ו) תי' דהתם איירי בערוה לאחר נפילה, דבשעת נפילה לא היתה א"א. אבל הכא חל 'פטור', ואף כשיכול לגרש.</w:t>
      </w:r>
    </w:p>
    <w:p w14:paraId="2CB2F90B"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(שם) דן דתלי במח' (הו' לעיל ח.) האם ערוה לאחר נפילה יש פטור 'עליה'. [וע"ע לקמן שם]. אבל יש שתי' דאף דשייך 'פטור עליה' אחר נפילה, מ"מ שאני אשת איש, דלאו כל כמיניה ולא אלים להפקיע זיקה. [ומש"ה לא הוה בכלל פטור 'עליה']. אבל היכא דהאשת איש קדם [בשעת נפילה] שפיר מפקיע ופטור.</w:t>
      </w:r>
    </w:p>
    <w:p w14:paraId="6908EC24" w14:textId="77777777" w:rsidR="00BE1D1C" w:rsidRPr="00012502" w:rsidRDefault="00000000" w:rsidP="00012502">
      <w:pPr>
        <w:bidi/>
        <w:rPr>
          <w:rFonts w:ascii="Narkisim" w:hAnsi="Narkisim" w:cs="Narkisim"/>
        </w:rPr>
      </w:pPr>
      <w:r w:rsidRPr="00012502">
        <w:rPr>
          <w:rFonts w:ascii="Narkisim" w:hAnsi="Narkisim" w:cs="Narkisim"/>
          <w:u w:val="single"/>
          <w:rtl/>
        </w:rPr>
        <w:t>משכח"ל דאנס כלתו וכו'.</w:t>
      </w:r>
      <w:r w:rsidRPr="00012502">
        <w:rPr>
          <w:rFonts w:ascii="Narkisim" w:hAnsi="Narkisim" w:cs="Narkisim"/>
          <w:rtl/>
        </w:rPr>
        <w:t xml:space="preserve"> ה</w:t>
      </w:r>
      <w:r w:rsidRPr="00012502">
        <w:rPr>
          <w:rFonts w:ascii="Narkisim" w:hAnsi="Narkisim" w:cs="Narkisim"/>
          <w:b/>
          <w:bCs/>
          <w:rtl/>
        </w:rPr>
        <w:t>טור"א</w:t>
      </w:r>
      <w:r w:rsidRPr="00012502">
        <w:rPr>
          <w:rFonts w:ascii="Narkisim" w:hAnsi="Narkisim" w:cs="Narkisim"/>
          <w:rtl/>
        </w:rPr>
        <w:t xml:space="preserve"> (חגיגה טו. והמל"ה ט.) הק' דמשכחת לה בלא דאי, כגון דעיברה באמבטי. ונשאת לאחיו, ונופלת לפני בנה ליבום. </w:t>
      </w:r>
      <w:r w:rsidRPr="00012502">
        <w:rPr>
          <w:rFonts w:ascii="Narkisim" w:hAnsi="Narkisim" w:cs="Narkisim"/>
          <w:sz w:val="20"/>
          <w:szCs w:val="20"/>
          <w:rtl/>
        </w:rPr>
        <w:t>[וה</w:t>
      </w:r>
      <w:r w:rsidRPr="00012502">
        <w:rPr>
          <w:rFonts w:ascii="Narkisim" w:hAnsi="Narkisim" w:cs="Narkisim"/>
          <w:b/>
          <w:bCs/>
          <w:sz w:val="20"/>
          <w:szCs w:val="20"/>
          <w:rtl/>
        </w:rPr>
        <w:t>חלק"מ</w:t>
      </w:r>
      <w:r w:rsidRPr="00012502">
        <w:rPr>
          <w:rFonts w:ascii="Narkisim" w:hAnsi="Narkisim" w:cs="Narkisim"/>
          <w:sz w:val="20"/>
          <w:szCs w:val="20"/>
          <w:rtl/>
        </w:rPr>
        <w:t xml:space="preserve"> (אה"ע א ח) ו</w:t>
      </w:r>
      <w:r w:rsidRPr="00012502">
        <w:rPr>
          <w:rFonts w:ascii="Narkisim" w:hAnsi="Narkisim" w:cs="Narkisim"/>
          <w:b/>
          <w:bCs/>
          <w:sz w:val="20"/>
          <w:szCs w:val="20"/>
          <w:rtl/>
        </w:rPr>
        <w:t>בי"ש</w:t>
      </w:r>
      <w:r w:rsidRPr="00012502">
        <w:rPr>
          <w:rFonts w:ascii="Narkisim" w:hAnsi="Narkisim" w:cs="Narkisim"/>
          <w:sz w:val="20"/>
          <w:szCs w:val="20"/>
          <w:rtl/>
        </w:rPr>
        <w:t xml:space="preserve"> (שם י) דנו האם מתייחס אחריו</w:t>
      </w:r>
      <w:r w:rsidRPr="00012502">
        <w:rPr>
          <w:rStyle w:val="ac"/>
          <w:rFonts w:ascii="Narkisim" w:hAnsi="Narkisim" w:cs="Narkisim"/>
          <w:sz w:val="20"/>
          <w:szCs w:val="20"/>
          <w:rtl/>
        </w:rPr>
        <w:footnoteReference w:id="540"/>
      </w:r>
      <w:r w:rsidRPr="00012502">
        <w:rPr>
          <w:rFonts w:ascii="Narkisim" w:hAnsi="Narkisim" w:cs="Narkisim"/>
          <w:sz w:val="20"/>
          <w:szCs w:val="20"/>
          <w:rtl/>
        </w:rPr>
        <w:t>].</w:t>
      </w:r>
      <w:r w:rsidRPr="00012502">
        <w:rPr>
          <w:rFonts w:ascii="Narkisim" w:hAnsi="Narkisim" w:cs="Narkisim"/>
          <w:rtl/>
        </w:rPr>
        <w:t xml:space="preserve"> וה</w:t>
      </w:r>
      <w:r w:rsidRPr="00012502">
        <w:rPr>
          <w:rFonts w:ascii="Narkisim" w:hAnsi="Narkisim" w:cs="Narkisim"/>
          <w:b/>
          <w:bCs/>
          <w:rtl/>
        </w:rPr>
        <w:t>אחרונים</w:t>
      </w:r>
      <w:r w:rsidRPr="00012502">
        <w:rPr>
          <w:rFonts w:ascii="Narkisim" w:hAnsi="Narkisim" w:cs="Narkisim"/>
          <w:rtl/>
        </w:rPr>
        <w:t xml:space="preserve"> כת' דלא הוזכר משום דלא שכיח</w:t>
      </w:r>
      <w:r w:rsidRPr="00012502">
        <w:rPr>
          <w:rStyle w:val="ac"/>
          <w:rFonts w:ascii="Narkisim" w:hAnsi="Narkisim" w:cs="Narkisim"/>
          <w:rtl/>
        </w:rPr>
        <w:footnoteReference w:id="541"/>
      </w:r>
      <w:r w:rsidRPr="00012502">
        <w:rPr>
          <w:rFonts w:ascii="Narkisim" w:hAnsi="Narkisim" w:cs="Narkisim"/>
          <w:rtl/>
        </w:rPr>
        <w:t>.</w:t>
      </w:r>
    </w:p>
    <w:p w14:paraId="1658166B" w14:textId="77777777" w:rsidR="00BE1D1C" w:rsidRPr="00012502" w:rsidRDefault="00000000" w:rsidP="00012502">
      <w:pPr>
        <w:bidi/>
        <w:rPr>
          <w:rFonts w:ascii="Narkisim" w:hAnsi="Narkisim" w:cs="Narkisim"/>
        </w:rPr>
      </w:pPr>
      <w:r w:rsidRPr="00012502">
        <w:rPr>
          <w:rFonts w:ascii="Narkisim" w:hAnsi="Narkisim" w:cs="Narkisim"/>
          <w:u w:val="single"/>
          <w:rtl/>
        </w:rPr>
        <w:t>תוד"ה לר' יהודה.</w:t>
      </w:r>
      <w:r w:rsidRPr="00012502">
        <w:rPr>
          <w:rFonts w:ascii="Narkisim" w:hAnsi="Narkisim" w:cs="Narkisim"/>
          <w:rtl/>
        </w:rPr>
        <w:t xml:space="preserve"> דאפי' לאביי (קידושין עח.) גבי אלמנה לכה"ג וכו' דכתיב לא יקח, אבל הכא לא יגלה כתיב. ואין איסור דאורייתא לקדש איסורי ערוה [דחייבי לאוין] ואף דתפסי קידושין, והתורה הזהירה רק בביאה.</w:t>
      </w:r>
    </w:p>
    <w:p w14:paraId="4C60CB94"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חינוך</w:t>
      </w:r>
      <w:r w:rsidRPr="00012502">
        <w:rPr>
          <w:rFonts w:ascii="Narkisim" w:hAnsi="Narkisim"/>
          <w:rtl/>
        </w:rPr>
        <w:t xml:space="preserve"> (רו) כת' דהמקדש עריות עבר על איסור</w:t>
      </w:r>
      <w:r w:rsidRPr="00012502">
        <w:rPr>
          <w:rStyle w:val="ac"/>
          <w:rFonts w:ascii="Narkisim" w:hAnsi="Narkisim"/>
          <w:rtl/>
        </w:rPr>
        <w:footnoteReference w:id="542"/>
      </w:r>
      <w:r w:rsidRPr="00012502">
        <w:rPr>
          <w:rFonts w:ascii="Narkisim" w:hAnsi="Narkisim"/>
          <w:rtl/>
        </w:rPr>
        <w:t xml:space="preserve"> [דאורייתא], ואף בחייבי כריתות דלא תפסי הקידושין</w:t>
      </w:r>
      <w:r w:rsidRPr="00012502">
        <w:rPr>
          <w:rStyle w:val="ac"/>
          <w:rFonts w:ascii="Narkisim" w:hAnsi="Narkisim"/>
          <w:rtl/>
        </w:rPr>
        <w:footnoteReference w:id="543"/>
      </w:r>
      <w:r w:rsidRPr="00012502">
        <w:rPr>
          <w:rFonts w:ascii="Narkisim" w:hAnsi="Narkisim"/>
          <w:rtl/>
        </w:rPr>
        <w:t>.</w:t>
      </w:r>
    </w:p>
    <w:p w14:paraId="386EDC42"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מנח"ח</w:t>
      </w:r>
      <w:r w:rsidRPr="00012502">
        <w:rPr>
          <w:rFonts w:ascii="Narkisim" w:hAnsi="Narkisim"/>
          <w:rtl/>
        </w:rPr>
        <w:t xml:space="preserve"> כת' די"ל דבאחות אשה דרש 'לא תקח' [ע"ד דרשת תוס' דידן]. דהוה ל"ת על הקידושין. ואף דאי עביד ל"מ, מ"מ יש בזה איסור. והמנח"ח הק' דבשאר עריות מנלן שיהא אסור</w:t>
      </w:r>
      <w:r w:rsidRPr="00012502">
        <w:rPr>
          <w:rStyle w:val="ac"/>
          <w:rFonts w:ascii="Narkisim" w:hAnsi="Narkisim"/>
          <w:rtl/>
        </w:rPr>
        <w:footnoteReference w:id="544"/>
      </w:r>
      <w:r w:rsidRPr="00012502">
        <w:rPr>
          <w:rFonts w:ascii="Narkisim" w:hAnsi="Narkisim"/>
          <w:rtl/>
        </w:rPr>
        <w:t>.</w:t>
      </w:r>
    </w:p>
    <w:p w14:paraId="1004B49C" w14:textId="77777777" w:rsidR="00BE1D1C" w:rsidRPr="00012502" w:rsidRDefault="00000000" w:rsidP="00012502">
      <w:pPr>
        <w:bidi/>
        <w:rPr>
          <w:rFonts w:ascii="Narkisim" w:hAnsi="Narkisim" w:cs="Narkisim"/>
        </w:rPr>
      </w:pPr>
      <w:r w:rsidRPr="00012502">
        <w:rPr>
          <w:rFonts w:ascii="Narkisim" w:hAnsi="Narkisim" w:cs="Narkisim"/>
          <w:u w:val="single"/>
          <w:rtl/>
        </w:rPr>
        <w:t>שם. דאפי' לאביי וכו'</w:t>
      </w:r>
      <w:r w:rsidRPr="00012502">
        <w:rPr>
          <w:rFonts w:ascii="Narkisim" w:hAnsi="Narkisim" w:cs="Narkisim"/>
          <w:rtl/>
        </w:rPr>
        <w:t>. אבל דעת רבא (שם) דבלא בעל אינו לוקה. וה</w:t>
      </w:r>
      <w:r w:rsidRPr="00012502">
        <w:rPr>
          <w:rFonts w:ascii="Narkisim" w:hAnsi="Narkisim" w:cs="Narkisim"/>
          <w:b/>
          <w:bCs/>
          <w:rtl/>
        </w:rPr>
        <w:t>אחרונים</w:t>
      </w:r>
      <w:r w:rsidRPr="00012502">
        <w:rPr>
          <w:rFonts w:ascii="Narkisim" w:hAnsi="Narkisim" w:cs="Narkisim"/>
          <w:rtl/>
        </w:rPr>
        <w:t xml:space="preserve"> </w:t>
      </w:r>
      <w:r w:rsidRPr="00012502">
        <w:rPr>
          <w:rFonts w:ascii="Narkisim" w:hAnsi="Narkisim" w:cs="Narkisim"/>
          <w:szCs w:val="20"/>
          <w:rtl/>
        </w:rPr>
        <w:t>(שעה"מ מעילה ז ב, מנח"ח רסו יד, בי"מ טו א)</w:t>
      </w:r>
      <w:r w:rsidRPr="00012502">
        <w:rPr>
          <w:rFonts w:ascii="Narkisim" w:hAnsi="Narkisim" w:cs="Narkisim"/>
          <w:rtl/>
        </w:rPr>
        <w:t xml:space="preserve"> דנו לדעת רבא האם עכ"פ יש בזה איסור דאוריי' או מותר לקדש </w:t>
      </w:r>
      <w:r w:rsidRPr="00012502">
        <w:rPr>
          <w:rFonts w:ascii="Narkisim" w:hAnsi="Narkisim" w:cs="Narkisim"/>
          <w:szCs w:val="20"/>
          <w:rtl/>
        </w:rPr>
        <w:lastRenderedPageBreak/>
        <w:t>[אלא דיש איסור דרבנן שמא יבא עליה, וכדבסמוך]</w:t>
      </w:r>
      <w:r w:rsidRPr="00012502">
        <w:rPr>
          <w:rFonts w:ascii="Narkisim" w:hAnsi="Narkisim" w:cs="Narkisim"/>
          <w:rtl/>
        </w:rPr>
        <w:t>.</w:t>
      </w:r>
    </w:p>
    <w:p w14:paraId="1F9175FA" w14:textId="77777777" w:rsidR="00BE1D1C" w:rsidRPr="00012502" w:rsidRDefault="00000000" w:rsidP="00012502">
      <w:pPr>
        <w:pStyle w:val="a7"/>
        <w:bidi/>
        <w:rPr>
          <w:rFonts w:ascii="Narkisim" w:hAnsi="Narkisim"/>
        </w:rPr>
      </w:pPr>
      <w:r w:rsidRPr="00012502">
        <w:rPr>
          <w:rFonts w:ascii="Narkisim" w:hAnsi="Narkisim"/>
          <w:rtl/>
        </w:rPr>
        <w:t>והביאו דבפשוטו מבואר ב</w:t>
      </w:r>
      <w:r w:rsidRPr="00012502">
        <w:rPr>
          <w:rFonts w:ascii="Narkisim" w:hAnsi="Narkisim"/>
          <w:b/>
          <w:bCs/>
          <w:rtl/>
        </w:rPr>
        <w:t>תוס'</w:t>
      </w:r>
      <w:r w:rsidRPr="00012502">
        <w:rPr>
          <w:rFonts w:ascii="Narkisim" w:hAnsi="Narkisim"/>
          <w:rtl/>
        </w:rPr>
        <w:t xml:space="preserve"> (ב"מ י:) דהוה שליח לדבר עבירה, ואסור. אבל ה</w:t>
      </w:r>
      <w:r w:rsidRPr="00012502">
        <w:rPr>
          <w:rFonts w:ascii="Narkisim" w:hAnsi="Narkisim"/>
          <w:b/>
          <w:bCs/>
          <w:rtl/>
        </w:rPr>
        <w:t>שעה"מ</w:t>
      </w:r>
      <w:r w:rsidRPr="00012502">
        <w:rPr>
          <w:rFonts w:ascii="Narkisim" w:hAnsi="Narkisim"/>
          <w:rtl/>
        </w:rPr>
        <w:t xml:space="preserve"> (שם, וס' מנחת עני מח הו' פתח"ת ו א ועוד) הביא דמבואר בגמ' (סוטה מד.) דקידש אשה אסורה, כגון אלמנה לכה"ג גרושה לכהן הדיוט וממזרת ונתינה, אינו חוזר מעורכי המלחמה. והגמ' פי' דאינו נחשב מתיירא מעבירה שבידו משום דאינו חייב עד שיבעול</w:t>
      </w:r>
      <w:r w:rsidRPr="00012502">
        <w:rPr>
          <w:rStyle w:val="ac"/>
          <w:rFonts w:ascii="Narkisim" w:hAnsi="Narkisim"/>
          <w:rtl/>
        </w:rPr>
        <w:footnoteReference w:id="545"/>
      </w:r>
      <w:r w:rsidRPr="00012502">
        <w:rPr>
          <w:rFonts w:ascii="Narkisim" w:hAnsi="Narkisim"/>
          <w:rtl/>
        </w:rPr>
        <w:t xml:space="preserve">. וכן </w:t>
      </w:r>
      <w:r w:rsidRPr="00012502">
        <w:rPr>
          <w:rFonts w:ascii="Narkisim" w:hAnsi="Narkisim"/>
          <w:b/>
          <w:bCs/>
          <w:rtl/>
        </w:rPr>
        <w:t>רע"א</w:t>
      </w:r>
      <w:r w:rsidRPr="00012502">
        <w:rPr>
          <w:rFonts w:ascii="Narkisim" w:hAnsi="Narkisim"/>
          <w:rtl/>
        </w:rPr>
        <w:t xml:space="preserve"> (סוטה) הוכיח משם דעכ"פ אינו איסור מדאורייתא</w:t>
      </w:r>
      <w:r w:rsidRPr="00012502">
        <w:rPr>
          <w:rStyle w:val="ac"/>
          <w:rFonts w:ascii="Narkisim" w:hAnsi="Narkisim"/>
          <w:rtl/>
        </w:rPr>
        <w:footnoteReference w:id="546"/>
      </w:r>
      <w:r w:rsidRPr="00012502">
        <w:rPr>
          <w:rFonts w:ascii="Narkisim" w:hAnsi="Narkisim"/>
          <w:rtl/>
        </w:rPr>
        <w:t xml:space="preserve"> [ע' בסמוך].</w:t>
      </w:r>
    </w:p>
    <w:p w14:paraId="2A67BF3B"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(הנ"ל, ובית מאיר טו א) דנו דעכ"פ יש בזה איסור דרבנן שמא יבעול, וכתי' התוס' דידן.</w:t>
      </w:r>
    </w:p>
    <w:p w14:paraId="691FF1E1" w14:textId="77777777" w:rsidR="00BE1D1C" w:rsidRPr="00012502" w:rsidRDefault="00000000" w:rsidP="00012502">
      <w:pPr>
        <w:pStyle w:val="a7"/>
        <w:bidi/>
        <w:rPr>
          <w:rFonts w:ascii="Narkisim" w:hAnsi="Narkisim"/>
        </w:rPr>
      </w:pPr>
      <w:r w:rsidRPr="00012502">
        <w:rPr>
          <w:rFonts w:ascii="Narkisim" w:hAnsi="Narkisim"/>
          <w:sz w:val="20"/>
          <w:szCs w:val="20"/>
          <w:rtl/>
        </w:rPr>
        <w:t>וה</w:t>
      </w:r>
      <w:r w:rsidRPr="00012502">
        <w:rPr>
          <w:rFonts w:ascii="Narkisim" w:hAnsi="Narkisim"/>
          <w:b/>
          <w:bCs/>
          <w:sz w:val="20"/>
          <w:szCs w:val="20"/>
          <w:rtl/>
        </w:rPr>
        <w:t>אחרונים</w:t>
      </w:r>
      <w:r w:rsidRPr="00012502">
        <w:rPr>
          <w:rFonts w:ascii="Narkisim" w:hAnsi="Narkisim"/>
          <w:sz w:val="20"/>
          <w:szCs w:val="20"/>
          <w:rtl/>
        </w:rPr>
        <w:t xml:space="preserve"> הקשו דלכאורה אף איסור דרבנן חוזר מעורכי המלחמה [וכדאי' בגמ' סוטה]</w:t>
      </w:r>
      <w:r w:rsidRPr="00012502">
        <w:rPr>
          <w:rStyle w:val="ac"/>
          <w:rFonts w:ascii="Narkisim" w:hAnsi="Narkisim"/>
          <w:sz w:val="20"/>
          <w:szCs w:val="20"/>
          <w:rtl/>
        </w:rPr>
        <w:footnoteReference w:id="547"/>
      </w:r>
      <w:r w:rsidRPr="00012502">
        <w:rPr>
          <w:rFonts w:ascii="Narkisim" w:hAnsi="Narkisim"/>
          <w:sz w:val="20"/>
          <w:szCs w:val="20"/>
          <w:rtl/>
        </w:rPr>
        <w:t>. ודנו לחלק בזה, ואכ"מ.</w:t>
      </w:r>
    </w:p>
    <w:p w14:paraId="098F2E77" w14:textId="77777777" w:rsidR="00BE1D1C" w:rsidRPr="00012502" w:rsidRDefault="00000000" w:rsidP="00012502">
      <w:pPr>
        <w:bidi/>
        <w:rPr>
          <w:rFonts w:ascii="Narkisim" w:hAnsi="Narkisim" w:cs="Narkisim"/>
        </w:rPr>
      </w:pPr>
      <w:r w:rsidRPr="00012502">
        <w:rPr>
          <w:rFonts w:ascii="Narkisim" w:hAnsi="Narkisim" w:cs="Narkisim"/>
          <w:u w:val="single"/>
          <w:rtl/>
        </w:rPr>
        <w:t>בא"ד וי"ל שמא אסור לקדש דרבנן שמא יבעל, ואפי' יהא מותר חשיב דאי וכו'.</w:t>
      </w:r>
      <w:r w:rsidRPr="00012502">
        <w:rPr>
          <w:rFonts w:ascii="Narkisim" w:hAnsi="Narkisim" w:cs="Narkisim"/>
          <w:rtl/>
        </w:rPr>
        <w:t xml:space="preserve"> [מבואר דתוס' נסתפקו בדין זה]. </w:t>
      </w:r>
      <w:r w:rsidRPr="00012502">
        <w:rPr>
          <w:rFonts w:ascii="Narkisim" w:hAnsi="Narkisim" w:cs="Narkisim"/>
          <w:sz w:val="20"/>
          <w:szCs w:val="20"/>
          <w:rtl/>
        </w:rPr>
        <w:t xml:space="preserve">[וכעי"ז בשאר </w:t>
      </w:r>
      <w:r w:rsidRPr="00012502">
        <w:rPr>
          <w:rFonts w:ascii="Narkisim" w:hAnsi="Narkisim" w:cs="Narkisim"/>
          <w:b/>
          <w:bCs/>
          <w:sz w:val="20"/>
          <w:szCs w:val="20"/>
          <w:rtl/>
        </w:rPr>
        <w:t>ראשונים</w:t>
      </w:r>
      <w:r w:rsidRPr="00012502">
        <w:rPr>
          <w:rFonts w:ascii="Narkisim" w:hAnsi="Narkisim" w:cs="Narkisim"/>
          <w:sz w:val="20"/>
          <w:szCs w:val="20"/>
          <w:rtl/>
        </w:rPr>
        <w:t>].</w:t>
      </w:r>
      <w:r w:rsidRPr="00012502">
        <w:rPr>
          <w:rFonts w:ascii="Narkisim" w:hAnsi="Narkisim" w:cs="Narkisim"/>
          <w:rtl/>
        </w:rPr>
        <w:t xml:space="preserve"> וה</w:t>
      </w:r>
      <w:r w:rsidRPr="00012502">
        <w:rPr>
          <w:rFonts w:ascii="Narkisim" w:hAnsi="Narkisim" w:cs="Narkisim"/>
          <w:b/>
          <w:bCs/>
          <w:rtl/>
        </w:rPr>
        <w:t>רשב"א</w:t>
      </w:r>
      <w:r w:rsidRPr="00012502">
        <w:rPr>
          <w:rFonts w:ascii="Narkisim" w:hAnsi="Narkisim" w:cs="Narkisim"/>
          <w:rtl/>
        </w:rPr>
        <w:t xml:space="preserve"> כת' דאסור לקדש ע"ד נישואין</w:t>
      </w:r>
      <w:r w:rsidRPr="00012502">
        <w:rPr>
          <w:rStyle w:val="ac"/>
          <w:rFonts w:ascii="Narkisim" w:hAnsi="Narkisim" w:cs="Narkisim"/>
          <w:rtl/>
        </w:rPr>
        <w:footnoteReference w:id="548"/>
      </w:r>
      <w:r w:rsidRPr="00012502">
        <w:rPr>
          <w:rFonts w:ascii="Narkisim" w:hAnsi="Narkisim" w:cs="Narkisim"/>
          <w:rtl/>
        </w:rPr>
        <w:t>. ומש"ה קרינן ביה 'דאי'</w:t>
      </w:r>
      <w:r w:rsidRPr="00012502">
        <w:rPr>
          <w:rStyle w:val="ac"/>
          <w:rFonts w:ascii="Narkisim" w:hAnsi="Narkisim" w:cs="Narkisim"/>
          <w:rtl/>
        </w:rPr>
        <w:footnoteReference w:id="549"/>
      </w:r>
      <w:r w:rsidRPr="00012502">
        <w:rPr>
          <w:rFonts w:ascii="Narkisim" w:hAnsi="Narkisim" w:cs="Narkisim"/>
          <w:rtl/>
        </w:rPr>
        <w:t>.</w:t>
      </w:r>
    </w:p>
    <w:p w14:paraId="54F64A05"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ט"ז</w:t>
      </w:r>
      <w:r w:rsidRPr="00012502">
        <w:rPr>
          <w:rFonts w:ascii="Narkisim" w:hAnsi="Narkisim"/>
          <w:rtl/>
        </w:rPr>
        <w:t xml:space="preserve"> (טו א) כת' דאף בשניות דרבנן אסור מדרבנן לקדש. דגליא דעתיה שאינו חש לדברי חכמים, ועושה פעולה לישאנה. וכ' דבזה חמור איסור דרבנן משל תורה, דאלו עריות דאורייתא לא אהני מעשיו, ואין איסור כ"כ בקידושין לחוד דהא לא אהני מעשיו, וממון שנתן הוה מתנה. וכדאי' (ב"מ טו:) אדם יודע שאין קידושין באחותו, ונתכוון למתנה.</w:t>
      </w:r>
    </w:p>
    <w:p w14:paraId="078283E7" w14:textId="77777777" w:rsidR="00BE1D1C" w:rsidRPr="00012502" w:rsidRDefault="00000000" w:rsidP="00012502">
      <w:pPr>
        <w:bidi/>
        <w:rPr>
          <w:rFonts w:ascii="Narkisim" w:hAnsi="Narkisim" w:cs="Narkisim"/>
        </w:rPr>
      </w:pPr>
      <w:r w:rsidRPr="00012502">
        <w:rPr>
          <w:rFonts w:ascii="Narkisim" w:hAnsi="Narkisim" w:cs="Narkisim"/>
          <w:u w:val="single"/>
          <w:rtl/>
        </w:rPr>
        <w:t>בא"ד ואור"י דע"כ (המשך בע"ב) מתני' סבר דאפי' חיי"ל דשאר, גרושתו וחלוצתו.</w:t>
      </w:r>
      <w:r w:rsidRPr="00012502">
        <w:rPr>
          <w:rFonts w:ascii="Narkisim" w:hAnsi="Narkisim" w:cs="Narkisim"/>
          <w:rtl/>
        </w:rPr>
        <w:t xml:space="preserve"> מבואר בתוס' דגרושתו וחלוצתו נחשב חייבי לאוין דשאר. וכ"כ </w:t>
      </w:r>
      <w:r w:rsidRPr="00012502">
        <w:rPr>
          <w:rFonts w:ascii="Narkisim" w:hAnsi="Narkisim" w:cs="Narkisim"/>
          <w:b/>
          <w:bCs/>
          <w:rtl/>
        </w:rPr>
        <w:t>תוס</w:t>
      </w:r>
      <w:r w:rsidRPr="00012502">
        <w:rPr>
          <w:rFonts w:ascii="Narkisim" w:hAnsi="Narkisim" w:cs="Narkisim"/>
          <w:rtl/>
        </w:rPr>
        <w:t xml:space="preserve">' (מט. ד"ה הכל). אבל דעת </w:t>
      </w:r>
      <w:r w:rsidRPr="00012502">
        <w:rPr>
          <w:rFonts w:ascii="Narkisim" w:hAnsi="Narkisim" w:cs="Narkisim"/>
          <w:b/>
          <w:bCs/>
          <w:rtl/>
        </w:rPr>
        <w:t>רש"י</w:t>
      </w:r>
      <w:r w:rsidRPr="00012502">
        <w:rPr>
          <w:rFonts w:ascii="Narkisim" w:hAnsi="Narkisim" w:cs="Narkisim"/>
          <w:rtl/>
        </w:rPr>
        <w:t xml:space="preserve"> (לקמן מט. ד"ה ולר' סימאי) דמחזיר גרושתו לא מקרי מחמת קורבא. </w:t>
      </w:r>
      <w:r w:rsidRPr="00012502">
        <w:rPr>
          <w:rFonts w:ascii="Narkisim" w:hAnsi="Narkisim" w:cs="Narkisim"/>
          <w:szCs w:val="20"/>
          <w:rtl/>
        </w:rPr>
        <w:t>וה</w:t>
      </w:r>
      <w:r w:rsidRPr="00012502">
        <w:rPr>
          <w:rFonts w:ascii="Narkisim" w:hAnsi="Narkisim" w:cs="Narkisim"/>
          <w:b/>
          <w:bCs/>
          <w:szCs w:val="20"/>
          <w:rtl/>
        </w:rPr>
        <w:t>אחרונים</w:t>
      </w:r>
      <w:r w:rsidRPr="00012502">
        <w:rPr>
          <w:rFonts w:ascii="Narkisim" w:hAnsi="Narkisim" w:cs="Narkisim"/>
          <w:szCs w:val="20"/>
          <w:rtl/>
        </w:rPr>
        <w:t xml:space="preserve"> ביארו דהוה איסור מחמת אישות ולא מחמת קורבא. א"נ דאיסור מחזיר גרושתו מישך לאיסור סוטה.</w:t>
      </w:r>
    </w:p>
    <w:p w14:paraId="350ADF7A" w14:textId="77777777" w:rsidR="00BE1D1C" w:rsidRPr="00012502" w:rsidRDefault="00000000" w:rsidP="00012502">
      <w:pPr>
        <w:pStyle w:val="a7"/>
        <w:bidi/>
        <w:rPr>
          <w:rFonts w:ascii="Narkisim" w:hAnsi="Narkisim"/>
        </w:rPr>
      </w:pPr>
      <w:r w:rsidRPr="00012502">
        <w:rPr>
          <w:rFonts w:ascii="Narkisim" w:hAnsi="Narkisim"/>
          <w:rtl/>
        </w:rPr>
        <w:t xml:space="preserve">אמנם </w:t>
      </w:r>
      <w:r w:rsidRPr="00012502">
        <w:rPr>
          <w:rFonts w:ascii="Narkisim" w:hAnsi="Narkisim"/>
          <w:b/>
          <w:bCs/>
          <w:rtl/>
        </w:rPr>
        <w:t>רש"י</w:t>
      </w:r>
      <w:r w:rsidRPr="00012502">
        <w:rPr>
          <w:rFonts w:ascii="Narkisim" w:hAnsi="Narkisim"/>
          <w:rtl/>
        </w:rPr>
        <w:t xml:space="preserve"> (במשנה מט.) כת' דהנושא חלוצתו [איסור לא יבנה] הוה לאו דשאר</w:t>
      </w:r>
      <w:r w:rsidRPr="00012502">
        <w:rPr>
          <w:rStyle w:val="ac"/>
          <w:rFonts w:ascii="Narkisim" w:hAnsi="Narkisim"/>
          <w:rtl/>
        </w:rPr>
        <w:footnoteReference w:id="550"/>
      </w:r>
      <w:r w:rsidRPr="00012502">
        <w:rPr>
          <w:rFonts w:ascii="Narkisim" w:hAnsi="Narkisim"/>
          <w:rtl/>
        </w:rPr>
        <w:t xml:space="preserve">. </w:t>
      </w:r>
      <w:r w:rsidRPr="00012502">
        <w:rPr>
          <w:rFonts w:ascii="Narkisim" w:hAnsi="Narkisim"/>
          <w:szCs w:val="20"/>
          <w:rtl/>
        </w:rPr>
        <w:t>[ולא דמי למחזיר גרושתו, וע' בסמוך בגדר איסור לא יבנה]</w:t>
      </w:r>
      <w:r w:rsidRPr="00012502">
        <w:rPr>
          <w:rFonts w:ascii="Narkisim" w:hAnsi="Narkisim"/>
          <w:rtl/>
        </w:rPr>
        <w:t>.</w:t>
      </w:r>
    </w:p>
    <w:p w14:paraId="7D2C2BC0" w14:textId="77777777" w:rsidR="00BE1D1C" w:rsidRPr="00012502" w:rsidRDefault="00000000" w:rsidP="00012502">
      <w:pPr>
        <w:bidi/>
        <w:rPr>
          <w:rFonts w:ascii="Narkisim" w:hAnsi="Narkisim" w:cs="Narkisim"/>
        </w:rPr>
      </w:pPr>
      <w:r w:rsidRPr="00012502">
        <w:rPr>
          <w:rFonts w:ascii="Narkisim" w:hAnsi="Narkisim" w:cs="Narkisim"/>
          <w:u w:val="single"/>
          <w:rtl/>
        </w:rPr>
        <w:t>בא"ד דאם היו יכולות לינשא לאחיו היו פוטרות צרותיהן.</w:t>
      </w:r>
      <w:r w:rsidRPr="00012502">
        <w:rPr>
          <w:rFonts w:ascii="Narkisim" w:hAnsi="Narkisim" w:cs="Narkisim"/>
          <w:rtl/>
        </w:rPr>
        <w:t xml:space="preserve"> מבואר בתוס' דלר' עקיבא חייבי לאוין פוטרות את הצרות. וה</w:t>
      </w:r>
      <w:r w:rsidRPr="00012502">
        <w:rPr>
          <w:rFonts w:ascii="Narkisim" w:hAnsi="Narkisim" w:cs="Narkisim"/>
          <w:b/>
          <w:bCs/>
          <w:rtl/>
        </w:rPr>
        <w:t>גרי"ז</w:t>
      </w:r>
      <w:r w:rsidRPr="00012502">
        <w:rPr>
          <w:rFonts w:ascii="Narkisim" w:hAnsi="Narkisim" w:cs="Narkisim"/>
          <w:rtl/>
        </w:rPr>
        <w:t xml:space="preserve"> (הל' יבום) הקשה דפטור צרה הוה דין מסויים דילפי' לצרור בעריות, והיאך נילף ממנו לחייבי לאוין. וכתב דע"כ כוונת התוס' דכיון דהם פטורים מיבום, ממילא האיסור אשת אח דידה פוטרת צרה.</w:t>
      </w:r>
    </w:p>
    <w:p w14:paraId="22975C30"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אמר"מ</w:t>
      </w:r>
      <w:r w:rsidRPr="00012502">
        <w:rPr>
          <w:rFonts w:ascii="Narkisim" w:hAnsi="Narkisim"/>
          <w:rtl/>
        </w:rPr>
        <w:t xml:space="preserve"> (ז ו) הק' מכאן על דברי הגר"ח דאשת אח מנפילה זו אינה פוטרת צרה.</w:t>
      </w:r>
      <w:r w:rsidRPr="00012502">
        <w:rPr>
          <w:rFonts w:ascii="Narkisim" w:hAnsi="Narkisim"/>
          <w:sz w:val="20"/>
          <w:szCs w:val="20"/>
          <w:rtl/>
        </w:rPr>
        <w:t xml:space="preserve"> וה</w:t>
      </w:r>
      <w:r w:rsidRPr="00012502">
        <w:rPr>
          <w:rFonts w:ascii="Narkisim" w:hAnsi="Narkisim"/>
          <w:b/>
          <w:bCs/>
          <w:sz w:val="20"/>
          <w:szCs w:val="20"/>
          <w:rtl/>
        </w:rPr>
        <w:t>קה"י</w:t>
      </w:r>
      <w:r w:rsidRPr="00012502">
        <w:rPr>
          <w:rFonts w:ascii="Narkisim" w:hAnsi="Narkisim"/>
          <w:sz w:val="20"/>
          <w:szCs w:val="20"/>
          <w:rtl/>
        </w:rPr>
        <w:t xml:space="preserve"> (ו) כת' דע"כ תוס' ל"ל הך כללא</w:t>
      </w:r>
      <w:r w:rsidRPr="00012502">
        <w:rPr>
          <w:rFonts w:ascii="Narkisim" w:hAnsi="Narkisim"/>
          <w:rtl/>
        </w:rPr>
        <w:t>. וה</w:t>
      </w:r>
      <w:r w:rsidRPr="00012502">
        <w:rPr>
          <w:rFonts w:ascii="Narkisim" w:hAnsi="Narkisim"/>
          <w:b/>
          <w:bCs/>
          <w:rtl/>
        </w:rPr>
        <w:t>אחרונים</w:t>
      </w:r>
      <w:r w:rsidRPr="00012502">
        <w:rPr>
          <w:rFonts w:ascii="Narkisim" w:hAnsi="Narkisim"/>
          <w:rtl/>
        </w:rPr>
        <w:t xml:space="preserve"> כת' דבמקום פטור ערוה נחשב כאשת אח שיש לה בנים [וכמ"ש רש"י בכ"מ], ועי"ז אף איסור אשת אח דידה פוטרת צרתה. ואילו הגר"ח איירי באופן דליכא דין 'פטור'</w:t>
      </w:r>
      <w:r w:rsidRPr="00012502">
        <w:rPr>
          <w:rStyle w:val="ac"/>
          <w:rFonts w:ascii="Narkisim" w:hAnsi="Narkisim"/>
          <w:rtl/>
        </w:rPr>
        <w:footnoteReference w:id="551"/>
      </w:r>
      <w:r w:rsidRPr="00012502">
        <w:rPr>
          <w:rFonts w:ascii="Narkisim" w:hAnsi="Narkisim"/>
          <w:rtl/>
        </w:rPr>
        <w:t>.</w:t>
      </w:r>
    </w:p>
    <w:p w14:paraId="23B86598" w14:textId="77777777" w:rsidR="00BE1D1C" w:rsidRPr="00012502" w:rsidRDefault="00000000" w:rsidP="00012502">
      <w:pPr>
        <w:pStyle w:val="3"/>
        <w:bidi/>
        <w:rPr>
          <w:rFonts w:ascii="Narkisim" w:hAnsi="Narkisim"/>
        </w:rPr>
      </w:pPr>
      <w:r w:rsidRPr="00012502">
        <w:rPr>
          <w:rFonts w:ascii="Narkisim" w:hAnsi="Narkisim"/>
          <w:rtl/>
        </w:rPr>
        <w:t>דף י:</w:t>
      </w:r>
    </w:p>
    <w:p w14:paraId="741E4EFC" w14:textId="77777777" w:rsidR="00BE1D1C" w:rsidRPr="00012502" w:rsidRDefault="00000000" w:rsidP="00012502">
      <w:pPr>
        <w:pStyle w:val="aa"/>
        <w:bidi/>
        <w:rPr>
          <w:rFonts w:ascii="Narkisim" w:hAnsi="Narkisim"/>
        </w:rPr>
      </w:pPr>
      <w:r w:rsidRPr="00012502">
        <w:rPr>
          <w:rFonts w:ascii="Narkisim" w:hAnsi="Narkisim"/>
          <w:u w:val="single"/>
          <w:rtl/>
        </w:rPr>
        <w:t>החולץ וחזר וקידש וכו', מיגו דאיהי אסורה צרתה נמי אסירא וכו'</w:t>
      </w:r>
      <w:r w:rsidRPr="00012502">
        <w:rPr>
          <w:rFonts w:ascii="Narkisim" w:hAnsi="Narkisim"/>
          <w:rtl/>
        </w:rPr>
        <w:t>. דלר"ל אסורה לאחיו מחמת אשת אח של הראשון [וכדאי' בסמוך].</w:t>
      </w:r>
    </w:p>
    <w:p w14:paraId="49C9006C"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 xml:space="preserve">אחרונים </w:t>
      </w:r>
      <w:r w:rsidRPr="00012502">
        <w:rPr>
          <w:rFonts w:ascii="Narkisim" w:hAnsi="Narkisim"/>
          <w:rtl/>
        </w:rPr>
        <w:t xml:space="preserve">העירו דאשת אח דראשון הותר ליבום והיאך תחשב ערוה בנפילה שניה [וע"ד סברת הגר"ח דאשת </w:t>
      </w:r>
      <w:r w:rsidRPr="00012502">
        <w:rPr>
          <w:rFonts w:ascii="Narkisim" w:hAnsi="Narkisim"/>
          <w:rtl/>
        </w:rPr>
        <w:lastRenderedPageBreak/>
        <w:t>אח אינה ערוה ליבום]. אלא דהגר"ח נקט דאשת אח דנפילה זו אינה פוטרת, אבל אשת אח דנפילה קודמת פוטרת.</w:t>
      </w:r>
    </w:p>
    <w:p w14:paraId="3F221836" w14:textId="77777777" w:rsidR="00BE1D1C" w:rsidRPr="00012502" w:rsidRDefault="00000000" w:rsidP="00012502">
      <w:pPr>
        <w:pStyle w:val="a8"/>
        <w:bidi/>
        <w:rPr>
          <w:rFonts w:ascii="Narkisim" w:hAnsi="Narkisim"/>
        </w:rPr>
      </w:pPr>
      <w:r w:rsidRPr="00012502">
        <w:rPr>
          <w:rFonts w:ascii="Narkisim" w:hAnsi="Narkisim"/>
          <w:rtl/>
        </w:rPr>
        <w:t>אך צ"ב מ"ש, דהא בכל נפילה שניה הותר אף משום אישות הראשון</w:t>
      </w:r>
      <w:r w:rsidRPr="00012502">
        <w:rPr>
          <w:rStyle w:val="ac"/>
          <w:rFonts w:ascii="Narkisim" w:hAnsi="Narkisim"/>
          <w:rtl/>
        </w:rPr>
        <w:footnoteReference w:id="552"/>
      </w:r>
      <w:r w:rsidRPr="00012502">
        <w:rPr>
          <w:rFonts w:ascii="Narkisim" w:hAnsi="Narkisim"/>
          <w:rtl/>
        </w:rPr>
        <w:t>. ואפשר דע"י החליצה ניתק ואינו בכלל אשת אח דיבום</w:t>
      </w:r>
      <w:r w:rsidRPr="00012502">
        <w:rPr>
          <w:rStyle w:val="ac"/>
          <w:rFonts w:ascii="Narkisim" w:hAnsi="Narkisim"/>
          <w:rtl/>
        </w:rPr>
        <w:footnoteReference w:id="553"/>
      </w:r>
      <w:r w:rsidRPr="00012502">
        <w:rPr>
          <w:rFonts w:ascii="Narkisim" w:hAnsi="Narkisim"/>
          <w:rtl/>
        </w:rPr>
        <w:t>.</w:t>
      </w:r>
    </w:p>
    <w:p w14:paraId="1A079574" w14:textId="77777777" w:rsidR="00BE1D1C" w:rsidRPr="00012502" w:rsidRDefault="00000000" w:rsidP="00012502">
      <w:pPr>
        <w:bidi/>
        <w:rPr>
          <w:rFonts w:ascii="Narkisim" w:hAnsi="Narkisim" w:cs="Narkisim"/>
        </w:rPr>
      </w:pPr>
      <w:r w:rsidRPr="00012502">
        <w:rPr>
          <w:rFonts w:ascii="Narkisim" w:hAnsi="Narkisim" w:cs="Narkisim"/>
          <w:u w:val="single"/>
          <w:rtl/>
        </w:rPr>
        <w:t xml:space="preserve">חייבי לאוין בני חליצה </w:t>
      </w:r>
      <w:r w:rsidRPr="00012502">
        <w:rPr>
          <w:rFonts w:ascii="Narkisim" w:hAnsi="Narkisim" w:cs="Narkisim"/>
          <w:i/>
          <w:iCs/>
          <w:u w:val="single"/>
          <w:rtl/>
        </w:rPr>
        <w:t>ויבום</w:t>
      </w:r>
      <w:r w:rsidRPr="00012502">
        <w:rPr>
          <w:rFonts w:ascii="Narkisim" w:hAnsi="Narkisim" w:cs="Narkisim"/>
          <w:u w:val="single"/>
          <w:rtl/>
        </w:rPr>
        <w:t xml:space="preserve"> נינהו.</w:t>
      </w:r>
      <w:r w:rsidRPr="00012502">
        <w:rPr>
          <w:rFonts w:ascii="Narkisim" w:hAnsi="Narkisim" w:cs="Narkisim"/>
          <w:rtl/>
        </w:rPr>
        <w:t xml:space="preserve"> צ"ב דחייבי לאוין חולצות ואינן מתייבמות. ו</w:t>
      </w:r>
      <w:r w:rsidRPr="00012502">
        <w:rPr>
          <w:rFonts w:ascii="Narkisim" w:hAnsi="Narkisim" w:cs="Narkisim"/>
          <w:b/>
          <w:bCs/>
          <w:rtl/>
        </w:rPr>
        <w:t xml:space="preserve">רש"י </w:t>
      </w:r>
      <w:r w:rsidRPr="00012502">
        <w:rPr>
          <w:rFonts w:ascii="Narkisim" w:hAnsi="Narkisim" w:cs="Narkisim"/>
          <w:rtl/>
        </w:rPr>
        <w:t xml:space="preserve">כתב </w:t>
      </w:r>
      <w:r w:rsidRPr="00012502">
        <w:rPr>
          <w:rFonts w:ascii="Narkisim" w:hAnsi="Narkisim" w:cs="Narkisim"/>
          <w:i/>
          <w:iCs/>
          <w:rtl/>
        </w:rPr>
        <w:t>כלומר</w:t>
      </w:r>
      <w:r w:rsidRPr="00012502">
        <w:rPr>
          <w:rFonts w:ascii="Narkisim" w:hAnsi="Narkisim" w:cs="Narkisim"/>
          <w:rtl/>
        </w:rPr>
        <w:t xml:space="preserve"> זקוקה היא להתייבם, ואין איסור לאו פוטרה מהחליצה וכו'. </w:t>
      </w:r>
      <w:r w:rsidRPr="00012502">
        <w:rPr>
          <w:rFonts w:ascii="Narkisim" w:hAnsi="Narkisim" w:cs="Narkisim"/>
          <w:sz w:val="20"/>
          <w:szCs w:val="20"/>
          <w:rtl/>
        </w:rPr>
        <w:t>[וכוונת הגמ' דזקוקה ליבום, ואף דמדאורייתא אינה יכולה (ע' לקמן), ונחשב דבר חיצוני מעכב</w:t>
      </w:r>
      <w:r w:rsidRPr="00012502">
        <w:rPr>
          <w:rStyle w:val="ac"/>
          <w:rFonts w:ascii="Narkisim" w:hAnsi="Narkisim" w:cs="Narkisim"/>
          <w:sz w:val="20"/>
          <w:szCs w:val="20"/>
          <w:rtl/>
        </w:rPr>
        <w:footnoteReference w:id="554"/>
      </w:r>
      <w:r w:rsidRPr="00012502">
        <w:rPr>
          <w:rFonts w:ascii="Narkisim" w:hAnsi="Narkisim" w:cs="Narkisim"/>
          <w:rtl/>
        </w:rPr>
        <w:t>].</w:t>
      </w:r>
    </w:p>
    <w:p w14:paraId="2FFD41B5"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מאירי</w:t>
      </w:r>
      <w:r w:rsidRPr="00012502">
        <w:rPr>
          <w:rFonts w:ascii="Narkisim" w:hAnsi="Narkisim"/>
          <w:rtl/>
        </w:rPr>
        <w:t xml:space="preserve"> כת' דיש לגרוס דלא פטר צרה</w:t>
      </w:r>
      <w:r w:rsidRPr="00012502">
        <w:rPr>
          <w:rStyle w:val="ac"/>
          <w:rFonts w:ascii="Narkisim" w:hAnsi="Narkisim"/>
          <w:rtl/>
        </w:rPr>
        <w:footnoteReference w:id="555"/>
      </w:r>
      <w:r w:rsidRPr="00012502">
        <w:rPr>
          <w:rFonts w:ascii="Narkisim" w:hAnsi="Narkisim"/>
          <w:rtl/>
        </w:rPr>
        <w:t>, דהא חייבי לאוין עצמן לאו בני יבום נינהו</w:t>
      </w:r>
      <w:r w:rsidRPr="00012502">
        <w:rPr>
          <w:rStyle w:val="ac"/>
          <w:rFonts w:ascii="Narkisim" w:hAnsi="Narkisim"/>
          <w:rtl/>
        </w:rPr>
        <w:footnoteReference w:id="556"/>
      </w:r>
      <w:r w:rsidRPr="00012502">
        <w:rPr>
          <w:rFonts w:ascii="Narkisim" w:hAnsi="Narkisim"/>
          <w:rtl/>
        </w:rPr>
        <w:t>.</w:t>
      </w:r>
    </w:p>
    <w:p w14:paraId="21CE89EF" w14:textId="77777777" w:rsidR="00BE1D1C" w:rsidRPr="00012502" w:rsidRDefault="00000000" w:rsidP="00012502">
      <w:pPr>
        <w:pStyle w:val="a7"/>
        <w:bidi/>
        <w:rPr>
          <w:rFonts w:ascii="Narkisim" w:hAnsi="Narkisim"/>
        </w:rPr>
      </w:pPr>
      <w:r w:rsidRPr="00012502">
        <w:rPr>
          <w:rFonts w:ascii="Narkisim" w:hAnsi="Narkisim"/>
          <w:rtl/>
        </w:rPr>
        <w:t>והמאירי הביא די"ג כמו לפנינו. ופי' דמדאורייתא בני יבום נינהו, דעשה דוחה ל"ת</w:t>
      </w:r>
      <w:r w:rsidRPr="00012502">
        <w:rPr>
          <w:rStyle w:val="ac"/>
          <w:rFonts w:ascii="Narkisim" w:hAnsi="Narkisim"/>
          <w:rtl/>
        </w:rPr>
        <w:footnoteReference w:id="557"/>
      </w:r>
      <w:r w:rsidRPr="00012502">
        <w:rPr>
          <w:rFonts w:ascii="Narkisim" w:hAnsi="Narkisim"/>
          <w:rtl/>
        </w:rPr>
        <w:t xml:space="preserve"> </w:t>
      </w:r>
      <w:r w:rsidRPr="00012502">
        <w:rPr>
          <w:rFonts w:ascii="Narkisim" w:hAnsi="Narkisim"/>
          <w:sz w:val="20"/>
          <w:szCs w:val="20"/>
          <w:rtl/>
        </w:rPr>
        <w:t>[וכדאיתא לקמן כ:. ולפ"ז אף בלאו ד'לא יבנה' אמרי' עדל"ת, וע' יא. תוד"ה צריכה]</w:t>
      </w:r>
      <w:r w:rsidRPr="00012502">
        <w:rPr>
          <w:rFonts w:ascii="Narkisim" w:hAnsi="Narkisim"/>
          <w:rtl/>
        </w:rPr>
        <w:t>.</w:t>
      </w:r>
    </w:p>
    <w:p w14:paraId="0B8E4CC0" w14:textId="77777777" w:rsidR="00BE1D1C" w:rsidRPr="00012502" w:rsidRDefault="00000000" w:rsidP="00012502">
      <w:pPr>
        <w:pStyle w:val="aa"/>
        <w:bidi/>
        <w:rPr>
          <w:rFonts w:ascii="Narkisim" w:hAnsi="Narkisim"/>
        </w:rPr>
      </w:pPr>
      <w:r w:rsidRPr="00012502">
        <w:rPr>
          <w:rFonts w:ascii="Narkisim" w:hAnsi="Narkisim"/>
          <w:u w:val="single"/>
          <w:rtl/>
        </w:rPr>
        <w:t>רש"י ד"ה וחייבי לאוין.</w:t>
      </w:r>
      <w:r w:rsidRPr="00012502">
        <w:rPr>
          <w:rFonts w:ascii="Narkisim" w:hAnsi="Narkisim"/>
          <w:rtl/>
        </w:rPr>
        <w:t xml:space="preserve"> דהא מאחות אשה ילפי' שהיא ערוה וחייבין על זדונה כרת. ולכן חולצת. ה</w:t>
      </w:r>
      <w:r w:rsidRPr="00012502">
        <w:rPr>
          <w:rFonts w:ascii="Narkisim" w:hAnsi="Narkisim"/>
          <w:b/>
          <w:bCs/>
          <w:rtl/>
        </w:rPr>
        <w:t>אחרונים</w:t>
      </w:r>
      <w:r w:rsidRPr="00012502">
        <w:rPr>
          <w:rFonts w:ascii="Narkisim" w:hAnsi="Narkisim"/>
          <w:rtl/>
        </w:rPr>
        <w:t xml:space="preserve"> (חי' ר' שמואל א) הביאו דמבואר ברש"י דמה שהערוה עצמה פטורה מחליצה הוא משום דילפי' מאחות אשה</w:t>
      </w:r>
      <w:r w:rsidRPr="00012502">
        <w:rPr>
          <w:rStyle w:val="ac"/>
          <w:rFonts w:ascii="Narkisim" w:hAnsi="Narkisim"/>
          <w:rtl/>
        </w:rPr>
        <w:footnoteReference w:id="558"/>
      </w:r>
      <w:r w:rsidRPr="00012502">
        <w:rPr>
          <w:rFonts w:ascii="Narkisim" w:hAnsi="Narkisim"/>
          <w:rtl/>
        </w:rPr>
        <w:t>. ודלא כפשטות הגמ' (לקמן כ.) דהוה משום דלא תפסי קידושין.</w:t>
      </w:r>
    </w:p>
    <w:p w14:paraId="6D231AB1" w14:textId="77777777" w:rsidR="00BE1D1C" w:rsidRPr="00012502" w:rsidRDefault="00000000" w:rsidP="00012502">
      <w:pPr>
        <w:pStyle w:val="2"/>
        <w:bidi/>
        <w:rPr>
          <w:rFonts w:ascii="Narkisim" w:hAnsi="Narkisim"/>
        </w:rPr>
      </w:pPr>
      <w:r w:rsidRPr="00012502">
        <w:rPr>
          <w:rFonts w:ascii="Narkisim" w:hAnsi="Narkisim"/>
          <w:rtl/>
        </w:rPr>
        <w:t>סוגיית ר' יוחנן ור"ל</w:t>
      </w:r>
    </w:p>
    <w:p w14:paraId="76C3FA4C" w14:textId="77777777" w:rsidR="00BE1D1C" w:rsidRPr="00012502" w:rsidRDefault="00000000" w:rsidP="00012502">
      <w:pPr>
        <w:pStyle w:val="aa"/>
        <w:bidi/>
        <w:rPr>
          <w:rFonts w:ascii="Narkisim" w:hAnsi="Narkisim"/>
        </w:rPr>
      </w:pPr>
      <w:r w:rsidRPr="00012502">
        <w:rPr>
          <w:rFonts w:ascii="Narkisim" w:hAnsi="Narkisim"/>
          <w:u w:val="single"/>
          <w:rtl/>
        </w:rPr>
        <w:t>תוד"ה החולץ</w:t>
      </w:r>
      <w:r w:rsidRPr="00012502">
        <w:rPr>
          <w:rFonts w:ascii="Narkisim" w:hAnsi="Narkisim"/>
          <w:rtl/>
        </w:rPr>
        <w:t>. נקט קדשה משום דאם מת פליגי וכו'. וב</w:t>
      </w:r>
      <w:r w:rsidRPr="00012502">
        <w:rPr>
          <w:rFonts w:ascii="Narkisim" w:hAnsi="Narkisim"/>
          <w:b/>
          <w:bCs/>
          <w:rtl/>
        </w:rPr>
        <w:t>תוס' מהר"ם ור"פ</w:t>
      </w:r>
      <w:r w:rsidRPr="00012502">
        <w:rPr>
          <w:rFonts w:ascii="Narkisim" w:hAnsi="Narkisim"/>
          <w:rtl/>
        </w:rPr>
        <w:t xml:space="preserve"> תי' דקמ"ל דאע"ג דקידשה אפ"ה יש איסור לאחים, דס"ד דהוה כאילו לא עבד לה חליצה ואין זו חלוצת אחיו</w:t>
      </w:r>
      <w:r w:rsidRPr="00012502">
        <w:rPr>
          <w:rStyle w:val="ac"/>
          <w:rFonts w:ascii="Narkisim" w:hAnsi="Narkisim"/>
          <w:rtl/>
        </w:rPr>
        <w:footnoteReference w:id="559"/>
      </w:r>
      <w:r w:rsidRPr="00012502">
        <w:rPr>
          <w:rFonts w:ascii="Narkisim" w:hAnsi="Narkisim"/>
          <w:rtl/>
        </w:rPr>
        <w:t>. ואפ"ה קאמר ר"ל דהאחין בכרת.</w:t>
      </w:r>
    </w:p>
    <w:p w14:paraId="57663B81" w14:textId="77777777" w:rsidR="00BE1D1C" w:rsidRPr="00012502" w:rsidRDefault="00000000" w:rsidP="00012502">
      <w:pPr>
        <w:pStyle w:val="aa"/>
        <w:bidi/>
        <w:rPr>
          <w:rFonts w:ascii="Narkisim" w:hAnsi="Narkisim"/>
        </w:rPr>
      </w:pPr>
      <w:r w:rsidRPr="00012502">
        <w:rPr>
          <w:rFonts w:ascii="Narkisim" w:hAnsi="Narkisim"/>
          <w:rtl/>
        </w:rPr>
        <w:t>ותוס' כת' דליכא למימר שלוקה על קידושין לחוד. אבל יש שדייקו מדברי ה</w:t>
      </w:r>
      <w:r w:rsidRPr="00012502">
        <w:rPr>
          <w:rFonts w:ascii="Narkisim" w:hAnsi="Narkisim"/>
          <w:b/>
          <w:bCs/>
          <w:rtl/>
        </w:rPr>
        <w:t>רמב"ן</w:t>
      </w:r>
      <w:r w:rsidRPr="00012502">
        <w:rPr>
          <w:rFonts w:ascii="Narkisim" w:hAnsi="Narkisim"/>
          <w:rtl/>
        </w:rPr>
        <w:t xml:space="preserve"> (סה"מ שכחת הלאוין יד) דלוקה על קידושין לחוד</w:t>
      </w:r>
      <w:r w:rsidRPr="00012502">
        <w:rPr>
          <w:rStyle w:val="ac"/>
          <w:rFonts w:ascii="Narkisim" w:hAnsi="Narkisim"/>
          <w:rtl/>
        </w:rPr>
        <w:footnoteReference w:id="560"/>
      </w:r>
      <w:r w:rsidRPr="00012502">
        <w:rPr>
          <w:rFonts w:ascii="Narkisim" w:hAnsi="Narkisim"/>
          <w:rtl/>
        </w:rPr>
        <w:t>.</w:t>
      </w:r>
    </w:p>
    <w:p w14:paraId="0805B47C" w14:textId="77777777" w:rsidR="00BE1D1C" w:rsidRPr="00012502" w:rsidRDefault="00000000" w:rsidP="00012502">
      <w:pPr>
        <w:bidi/>
        <w:rPr>
          <w:rFonts w:ascii="Narkisim" w:hAnsi="Narkisim" w:cs="Narkisim"/>
        </w:rPr>
      </w:pPr>
      <w:r w:rsidRPr="00012502">
        <w:rPr>
          <w:rFonts w:ascii="Narkisim" w:hAnsi="Narkisim" w:cs="Narkisim"/>
          <w:u w:val="single"/>
          <w:rtl/>
        </w:rPr>
        <w:t>מ"ט דר"ל וכו' איהו הוא דקאי בלא יבנה וכו'.</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(ד"ה איהו, יא. ד"ה חד) מבואר דהפסוק ניתק את האיסור אשת אח דאין בו כרת, והעמידו ב'לא יבנה'</w:t>
      </w:r>
      <w:r w:rsidRPr="00012502">
        <w:rPr>
          <w:rStyle w:val="ac"/>
          <w:rFonts w:ascii="Narkisim" w:hAnsi="Narkisim" w:cs="Narkisim"/>
          <w:rtl/>
        </w:rPr>
        <w:footnoteReference w:id="561"/>
      </w:r>
      <w:r w:rsidRPr="00012502">
        <w:rPr>
          <w:rFonts w:ascii="Narkisim" w:hAnsi="Narkisim" w:cs="Narkisim"/>
          <w:rtl/>
        </w:rPr>
        <w:t>. אבל ה</w:t>
      </w:r>
      <w:r w:rsidRPr="00012502">
        <w:rPr>
          <w:rFonts w:ascii="Narkisim" w:hAnsi="Narkisim" w:cs="Narkisim"/>
          <w:b/>
          <w:bCs/>
          <w:rtl/>
        </w:rPr>
        <w:t>רשב"א</w:t>
      </w:r>
      <w:r w:rsidRPr="00012502">
        <w:rPr>
          <w:rFonts w:ascii="Narkisim" w:hAnsi="Narkisim" w:cs="Narkisim"/>
          <w:rtl/>
        </w:rPr>
        <w:t xml:space="preserve"> (לקמן מא. הו' בסמוך) כת' דע"י הנפילה פרח איסור אשת אח, כיון דנעשה בה מעשה (ע' בסמוך). [ועד"ז כת' הבית מאיר (קסא) בדעת הרמב"ם].</w:t>
      </w:r>
    </w:p>
    <w:p w14:paraId="5DE9ACBF"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גמ'</w:t>
      </w:r>
      <w:r w:rsidRPr="00012502">
        <w:rPr>
          <w:rFonts w:ascii="Narkisim" w:hAnsi="Narkisim" w:cs="Narkisim"/>
          <w:rtl/>
        </w:rPr>
        <w:t xml:space="preserve"> (לקמן מ:) א"ר טובי בר קיסנא אמר שמואל דחייב על צרת חלוצה כרת </w:t>
      </w:r>
      <w:r w:rsidRPr="00012502">
        <w:rPr>
          <w:rFonts w:ascii="Narkisim" w:hAnsi="Narkisim" w:cs="Narkisim"/>
          <w:sz w:val="20"/>
          <w:szCs w:val="20"/>
          <w:rtl/>
        </w:rPr>
        <w:t>[דהצרה באיסור אשת אח וכר"ל]</w:t>
      </w:r>
      <w:r w:rsidRPr="00012502">
        <w:rPr>
          <w:rFonts w:ascii="Narkisim" w:hAnsi="Narkisim" w:cs="Narkisim"/>
          <w:rtl/>
        </w:rPr>
        <w:t xml:space="preserve"> דצרה אבראי קיימא. ורב יוסף הוכיח כן מהא דמותר אדם בקרובת צרת חלוצה. ולא אמרי' 'צרה כחלוצה'. </w:t>
      </w:r>
      <w:r w:rsidRPr="00012502">
        <w:rPr>
          <w:rFonts w:ascii="Narkisim" w:hAnsi="Narkisim" w:cs="Narkisim"/>
          <w:sz w:val="20"/>
          <w:szCs w:val="20"/>
          <w:rtl/>
        </w:rPr>
        <w:t>[והגמ' מתרצת לדעת ר' יוחנן אחות חלוצה הוה דרבנן, ולא גזרו בצרה].</w:t>
      </w:r>
    </w:p>
    <w:p w14:paraId="689501F6" w14:textId="77777777" w:rsidR="00BE1D1C" w:rsidRPr="00012502" w:rsidRDefault="00000000" w:rsidP="00012502">
      <w:pPr>
        <w:pStyle w:val="a7"/>
        <w:bidi/>
        <w:rPr>
          <w:rFonts w:ascii="Narkisim" w:hAnsi="Narkisim"/>
        </w:rPr>
      </w:pPr>
      <w:r w:rsidRPr="00012502">
        <w:rPr>
          <w:rFonts w:ascii="Narkisim" w:hAnsi="Narkisim"/>
          <w:rtl/>
        </w:rPr>
        <w:t>ומבואר דסברת ר"ל משום שהחליצה אינו מתייחס לצרה [אבראי קיימא]. [ואף שהיתה זקוקה מעיקרא אינו מתיר לאיסור אשת אח, אלא מה שעכשיו יש עליה שם 'חלוצה'].</w:t>
      </w:r>
    </w:p>
    <w:p w14:paraId="37792DC2"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ירושלמי</w:t>
      </w:r>
      <w:r w:rsidRPr="00012502">
        <w:rPr>
          <w:rFonts w:ascii="Narkisim" w:hAnsi="Narkisim"/>
          <w:rtl/>
        </w:rPr>
        <w:t xml:space="preserve"> (הלכה א דף ד: ה.) מבואר דסברת ר"ל הזיקה פקע למפרע מהצרה, וכן מהאחים</w:t>
      </w:r>
      <w:r w:rsidRPr="00012502">
        <w:rPr>
          <w:rStyle w:val="ac"/>
          <w:rFonts w:ascii="Narkisim" w:hAnsi="Narkisim"/>
          <w:rtl/>
        </w:rPr>
        <w:footnoteReference w:id="562"/>
      </w:r>
      <w:r w:rsidRPr="00012502">
        <w:rPr>
          <w:rFonts w:ascii="Narkisim" w:hAnsi="Narkisim"/>
          <w:rtl/>
        </w:rPr>
        <w:t>.</w:t>
      </w:r>
    </w:p>
    <w:p w14:paraId="3EDD3AD3" w14:textId="77777777" w:rsidR="00BE1D1C" w:rsidRPr="00012502" w:rsidRDefault="00000000" w:rsidP="00012502">
      <w:pPr>
        <w:pStyle w:val="a8"/>
        <w:bidi/>
        <w:rPr>
          <w:rFonts w:ascii="Narkisim" w:hAnsi="Narkisim"/>
        </w:rPr>
      </w:pPr>
      <w:r w:rsidRPr="00012502">
        <w:rPr>
          <w:rFonts w:ascii="Narkisim" w:hAnsi="Narkisim"/>
          <w:rtl/>
        </w:rPr>
        <w:t>והירושלמי מק' א"כ האיך הותר לו בנפילה שניה. ותי' אם בא עליה אשתו היא</w:t>
      </w:r>
      <w:r w:rsidRPr="00012502">
        <w:rPr>
          <w:rStyle w:val="ac"/>
          <w:rFonts w:ascii="Narkisim" w:hAnsi="Narkisim"/>
          <w:rtl/>
        </w:rPr>
        <w:footnoteReference w:id="563"/>
      </w:r>
      <w:r w:rsidRPr="00012502">
        <w:rPr>
          <w:rFonts w:ascii="Narkisim" w:hAnsi="Narkisim"/>
          <w:rtl/>
        </w:rPr>
        <w:t>, ותני רבי חייא מת ראשון ייבם השני, מת השני ייבם הג'.</w:t>
      </w:r>
    </w:p>
    <w:p w14:paraId="48269834"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ור' יוחנן וכו' אלא איהו שליחותא וכו'</w:t>
      </w:r>
      <w:r w:rsidRPr="00012502">
        <w:rPr>
          <w:rFonts w:ascii="Narkisim" w:hAnsi="Narkisim" w:cs="Narkisim"/>
          <w:rtl/>
        </w:rPr>
        <w:t>. ובגמ' (מ: הנ"ל) מבואר דסברת ר' יוחנן דצרה כחלוצה. ופ</w:t>
      </w:r>
      <w:r w:rsidRPr="00012502">
        <w:rPr>
          <w:rFonts w:ascii="Narkisim" w:hAnsi="Narkisim" w:cs="Narkisim"/>
          <w:b/>
          <w:bCs/>
          <w:rtl/>
        </w:rPr>
        <w:t>רש"י</w:t>
      </w:r>
      <w:r w:rsidRPr="00012502">
        <w:rPr>
          <w:rFonts w:ascii="Narkisim" w:hAnsi="Narkisim" w:cs="Narkisim"/>
          <w:rtl/>
        </w:rPr>
        <w:t xml:space="preserve"> דלר' יוחנן צרה כחלוצה משום דשליחותה דידה עבדא וקיימא בלא יבנה</w:t>
      </w:r>
      <w:r w:rsidRPr="00012502">
        <w:rPr>
          <w:rStyle w:val="ac"/>
          <w:rFonts w:ascii="Narkisim" w:hAnsi="Narkisim" w:cs="Narkisim"/>
          <w:rtl/>
        </w:rPr>
        <w:footnoteReference w:id="564"/>
      </w:r>
      <w:r w:rsidRPr="00012502">
        <w:rPr>
          <w:rFonts w:ascii="Narkisim" w:hAnsi="Narkisim" w:cs="Narkisim"/>
          <w:rtl/>
        </w:rPr>
        <w:t>.</w:t>
      </w:r>
    </w:p>
    <w:p w14:paraId="0BA9DDC8" w14:textId="77777777" w:rsidR="00BE1D1C" w:rsidRPr="00012502" w:rsidRDefault="00000000" w:rsidP="00012502">
      <w:pPr>
        <w:pStyle w:val="a7"/>
        <w:bidi/>
        <w:rPr>
          <w:rFonts w:ascii="Narkisim" w:hAnsi="Narkisim"/>
        </w:rPr>
      </w:pPr>
      <w:r w:rsidRPr="00012502">
        <w:rPr>
          <w:rFonts w:ascii="Narkisim" w:hAnsi="Narkisim"/>
          <w:rtl/>
        </w:rPr>
        <w:t>ובפשוטו משמע דהוה שליחות במעשה החליצה, וכגדרי שליחות דכל התורה דמתייחס החליצה לכל האחין [ומש"ה עובר בלא יבנה].</w:t>
      </w:r>
    </w:p>
    <w:p w14:paraId="0EAE01CC" w14:textId="77777777" w:rsidR="00BE1D1C" w:rsidRPr="00012502" w:rsidRDefault="00000000" w:rsidP="00012502">
      <w:pPr>
        <w:pStyle w:val="a8"/>
        <w:bidi/>
        <w:rPr>
          <w:rFonts w:ascii="Narkisim" w:hAnsi="Narkisim"/>
        </w:rPr>
      </w:pPr>
      <w:r w:rsidRPr="00012502">
        <w:rPr>
          <w:rFonts w:ascii="Narkisim" w:hAnsi="Narkisim"/>
          <w:rtl/>
        </w:rPr>
        <w:t xml:space="preserve">ובס' </w:t>
      </w:r>
      <w:r w:rsidRPr="00012502">
        <w:rPr>
          <w:rFonts w:ascii="Narkisim" w:hAnsi="Narkisim"/>
          <w:b/>
          <w:bCs/>
          <w:rtl/>
        </w:rPr>
        <w:t>דורש לציון</w:t>
      </w:r>
      <w:r w:rsidRPr="00012502">
        <w:rPr>
          <w:rFonts w:ascii="Narkisim" w:hAnsi="Narkisim"/>
          <w:rtl/>
        </w:rPr>
        <w:t xml:space="preserve"> (לנוב"י, דרוש יג) דמתייחס מעשה החליצה לכל א' מהצרות, ולכל א' מהאחים</w:t>
      </w:r>
      <w:r w:rsidRPr="00012502">
        <w:rPr>
          <w:rStyle w:val="ac"/>
          <w:rFonts w:ascii="Narkisim" w:hAnsi="Narkisim"/>
          <w:rtl/>
        </w:rPr>
        <w:footnoteReference w:id="565"/>
      </w:r>
      <w:r w:rsidRPr="00012502">
        <w:rPr>
          <w:rFonts w:ascii="Narkisim" w:hAnsi="Narkisim"/>
          <w:rtl/>
        </w:rPr>
        <w:t>. וכמי שעשה מעשה גמור</w:t>
      </w:r>
      <w:r w:rsidRPr="00012502">
        <w:rPr>
          <w:rStyle w:val="ac"/>
          <w:rFonts w:ascii="Narkisim" w:hAnsi="Narkisim"/>
          <w:rtl/>
        </w:rPr>
        <w:footnoteReference w:id="566"/>
      </w:r>
      <w:r w:rsidRPr="00012502">
        <w:rPr>
          <w:rFonts w:ascii="Narkisim" w:hAnsi="Narkisim"/>
          <w:rtl/>
        </w:rPr>
        <w:t>.</w:t>
      </w:r>
    </w:p>
    <w:p w14:paraId="4487B52B" w14:textId="77777777" w:rsidR="00BE1D1C" w:rsidRPr="00012502" w:rsidRDefault="00000000" w:rsidP="00012502">
      <w:pPr>
        <w:pStyle w:val="a7"/>
        <w:bidi/>
        <w:rPr>
          <w:rFonts w:ascii="Narkisim" w:hAnsi="Narkisim"/>
        </w:rPr>
      </w:pPr>
      <w:r w:rsidRPr="00012502">
        <w:rPr>
          <w:rFonts w:ascii="Narkisim" w:hAnsi="Narkisim"/>
          <w:rtl/>
        </w:rPr>
        <w:t>אך ה</w:t>
      </w:r>
      <w:r w:rsidRPr="00012502">
        <w:rPr>
          <w:rFonts w:ascii="Narkisim" w:hAnsi="Narkisim"/>
          <w:b/>
          <w:bCs/>
          <w:rtl/>
        </w:rPr>
        <w:t>אחרונים</w:t>
      </w:r>
      <w:r w:rsidRPr="00012502">
        <w:rPr>
          <w:rFonts w:ascii="Narkisim" w:hAnsi="Narkisim"/>
          <w:rtl/>
        </w:rPr>
        <w:t xml:space="preserve"> </w:t>
      </w:r>
      <w:r w:rsidRPr="00012502">
        <w:rPr>
          <w:rFonts w:ascii="Narkisim" w:hAnsi="Narkisim"/>
          <w:szCs w:val="20"/>
          <w:rtl/>
        </w:rPr>
        <w:t>(הג' ה</w:t>
      </w:r>
      <w:r w:rsidRPr="00012502">
        <w:rPr>
          <w:rFonts w:ascii="Narkisim" w:hAnsi="Narkisim"/>
          <w:b/>
          <w:bCs/>
          <w:szCs w:val="20"/>
          <w:rtl/>
        </w:rPr>
        <w:t>מהרש"ם</w:t>
      </w:r>
      <w:r w:rsidRPr="00012502">
        <w:rPr>
          <w:rFonts w:ascii="Narkisim" w:hAnsi="Narkisim"/>
          <w:szCs w:val="20"/>
          <w:rtl/>
        </w:rPr>
        <w:t xml:space="preserve"> מ:, בית יצחק יו"ד ב נב י)</w:t>
      </w:r>
      <w:r w:rsidRPr="00012502">
        <w:rPr>
          <w:rFonts w:ascii="Narkisim" w:hAnsi="Narkisim"/>
          <w:rtl/>
        </w:rPr>
        <w:t xml:space="preserve"> הק' דחליצה הוה מצווה שבגופו, ול"ש שליחות</w:t>
      </w:r>
      <w:r w:rsidRPr="00012502">
        <w:rPr>
          <w:rStyle w:val="ac"/>
          <w:rFonts w:ascii="Narkisim" w:hAnsi="Narkisim"/>
          <w:rtl/>
        </w:rPr>
        <w:footnoteReference w:id="567"/>
      </w:r>
      <w:r w:rsidRPr="00012502">
        <w:rPr>
          <w:rFonts w:ascii="Narkisim" w:hAnsi="Narkisim"/>
          <w:rtl/>
        </w:rPr>
        <w:t xml:space="preserve">. </w:t>
      </w:r>
      <w:r w:rsidRPr="00012502">
        <w:rPr>
          <w:rFonts w:ascii="Narkisim" w:hAnsi="Narkisim"/>
          <w:szCs w:val="20"/>
          <w:rtl/>
        </w:rPr>
        <w:t xml:space="preserve">ויש </w:t>
      </w:r>
      <w:r w:rsidRPr="00012502">
        <w:rPr>
          <w:rFonts w:ascii="Narkisim" w:hAnsi="Narkisim"/>
          <w:b/>
          <w:bCs/>
          <w:szCs w:val="20"/>
          <w:rtl/>
        </w:rPr>
        <w:t>אחרונים</w:t>
      </w:r>
      <w:r w:rsidRPr="00012502">
        <w:rPr>
          <w:rFonts w:ascii="Narkisim" w:hAnsi="Narkisim"/>
          <w:szCs w:val="20"/>
          <w:rtl/>
        </w:rPr>
        <w:t xml:space="preserve"> שדחו דהכא נתחדש גזיה"כ דא' חולץ, והוה ילפו' חדשה כעין גדר שליחות</w:t>
      </w:r>
      <w:r w:rsidRPr="00012502">
        <w:rPr>
          <w:rStyle w:val="ac"/>
          <w:rFonts w:ascii="Narkisim" w:hAnsi="Narkisim"/>
          <w:szCs w:val="20"/>
          <w:rtl/>
        </w:rPr>
        <w:footnoteReference w:id="568"/>
      </w:r>
      <w:r w:rsidRPr="00012502">
        <w:rPr>
          <w:rFonts w:ascii="Narkisim" w:hAnsi="Narkisim"/>
          <w:rtl/>
        </w:rPr>
        <w:t>.</w:t>
      </w:r>
    </w:p>
    <w:p w14:paraId="253E0618" w14:textId="77777777" w:rsidR="00BE1D1C" w:rsidRPr="00012502" w:rsidRDefault="00000000" w:rsidP="00012502">
      <w:pPr>
        <w:pStyle w:val="a7"/>
        <w:bidi/>
        <w:rPr>
          <w:rFonts w:ascii="Narkisim" w:hAnsi="Narkisim"/>
        </w:rPr>
      </w:pPr>
      <w:r w:rsidRPr="00012502">
        <w:rPr>
          <w:rFonts w:ascii="Narkisim" w:hAnsi="Narkisim"/>
          <w:rtl/>
        </w:rPr>
        <w:t>ועוד הקשו ה</w:t>
      </w:r>
      <w:r w:rsidRPr="00012502">
        <w:rPr>
          <w:rFonts w:ascii="Narkisim" w:hAnsi="Narkisim"/>
          <w:b/>
          <w:bCs/>
          <w:rtl/>
        </w:rPr>
        <w:t>אחרונים</w:t>
      </w:r>
      <w:r w:rsidRPr="00012502">
        <w:rPr>
          <w:rFonts w:ascii="Narkisim" w:hAnsi="Narkisim"/>
          <w:rtl/>
        </w:rPr>
        <w:t xml:space="preserve"> דמבואר (לקמן יא.) דמח' ר' יוחנן ור"ל שייך אף ביבום, בביאת היבם. ופ</w:t>
      </w:r>
      <w:r w:rsidRPr="00012502">
        <w:rPr>
          <w:rFonts w:ascii="Narkisim" w:hAnsi="Narkisim"/>
          <w:b/>
          <w:bCs/>
          <w:rtl/>
        </w:rPr>
        <w:t>רש"י</w:t>
      </w:r>
      <w:r w:rsidRPr="00012502">
        <w:rPr>
          <w:rFonts w:ascii="Narkisim" w:hAnsi="Narkisim"/>
          <w:rtl/>
        </w:rPr>
        <w:t xml:space="preserve"> </w:t>
      </w:r>
      <w:r w:rsidRPr="00012502">
        <w:rPr>
          <w:rFonts w:ascii="Narkisim" w:hAnsi="Narkisim"/>
          <w:sz w:val="20"/>
          <w:szCs w:val="20"/>
          <w:rtl/>
        </w:rPr>
        <w:t xml:space="preserve">(ד"ה מ"ד בעשה) </w:t>
      </w:r>
      <w:r w:rsidRPr="00012502">
        <w:rPr>
          <w:rFonts w:ascii="Narkisim" w:hAnsi="Narkisim"/>
          <w:rtl/>
        </w:rPr>
        <w:t>דאיהו שליחותא דאחין קעביד. והתם ודאי ל"ש שיתייחס מעשה הביאה לכל א'.</w:t>
      </w:r>
    </w:p>
    <w:p w14:paraId="577C8788"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(בית יצחק הנ"ל, עונג יו"ט קז) כת' דהוה כעין שליחות, ולא הוה גדר שליחות ממש</w:t>
      </w:r>
      <w:r w:rsidRPr="00012502">
        <w:rPr>
          <w:rStyle w:val="ac"/>
          <w:rFonts w:ascii="Narkisim" w:hAnsi="Narkisim"/>
          <w:rtl/>
        </w:rPr>
        <w:footnoteReference w:id="569"/>
      </w:r>
      <w:r w:rsidRPr="00012502">
        <w:rPr>
          <w:rFonts w:ascii="Narkisim" w:hAnsi="Narkisim"/>
          <w:rtl/>
        </w:rPr>
        <w:t>.</w:t>
      </w:r>
    </w:p>
    <w:p w14:paraId="5F684AD0" w14:textId="77777777" w:rsidR="00BE1D1C" w:rsidRPr="00012502" w:rsidRDefault="00000000" w:rsidP="00012502">
      <w:pPr>
        <w:pStyle w:val="a8"/>
        <w:bidi/>
        <w:rPr>
          <w:rFonts w:ascii="Narkisim" w:hAnsi="Narkisim"/>
        </w:rPr>
      </w:pPr>
      <w:r w:rsidRPr="00012502">
        <w:rPr>
          <w:rFonts w:ascii="Narkisim" w:hAnsi="Narkisim"/>
          <w:rtl/>
        </w:rPr>
        <w:t>ויש שדנו לפרש דהוה שליחות רק על קנין החליצה ויבום, דמהני מעשה דידיה לפטור לכולהו. אבל 'מעשה החליצה' מתייחס רק לחולץ.</w:t>
      </w:r>
    </w:p>
    <w:p w14:paraId="3F0B08AC" w14:textId="77777777" w:rsidR="00BE1D1C" w:rsidRPr="00012502" w:rsidRDefault="00000000" w:rsidP="00012502">
      <w:pPr>
        <w:pStyle w:val="a7"/>
        <w:bidi/>
        <w:rPr>
          <w:rFonts w:ascii="Narkisim" w:hAnsi="Narkisim"/>
        </w:rPr>
      </w:pPr>
      <w:r w:rsidRPr="00012502">
        <w:rPr>
          <w:rFonts w:ascii="Narkisim" w:hAnsi="Narkisim"/>
          <w:rtl/>
        </w:rPr>
        <w:t>ועוד פי' ה</w:t>
      </w:r>
      <w:r w:rsidRPr="00012502">
        <w:rPr>
          <w:rFonts w:ascii="Narkisim" w:hAnsi="Narkisim"/>
          <w:b/>
          <w:bCs/>
          <w:rtl/>
        </w:rPr>
        <w:t>אחרונים</w:t>
      </w:r>
      <w:r w:rsidRPr="00012502">
        <w:rPr>
          <w:rFonts w:ascii="Narkisim" w:hAnsi="Narkisim"/>
          <w:rtl/>
        </w:rPr>
        <w:t xml:space="preserve"> דסברת ר' יוחנן דמוגדר זיקה א' על כל הבית, ומהני שיבם א' ילוץ לסלק הזיקה מכל הבית</w:t>
      </w:r>
      <w:r w:rsidRPr="00012502">
        <w:rPr>
          <w:rStyle w:val="ac"/>
          <w:rFonts w:ascii="Narkisim" w:hAnsi="Narkisim"/>
          <w:rtl/>
        </w:rPr>
        <w:footnoteReference w:id="570"/>
      </w:r>
      <w:r w:rsidRPr="00012502">
        <w:rPr>
          <w:rFonts w:ascii="Narkisim" w:hAnsi="Narkisim"/>
          <w:rtl/>
        </w:rPr>
        <w:t xml:space="preserve">. </w:t>
      </w:r>
      <w:r w:rsidRPr="00012502">
        <w:rPr>
          <w:rFonts w:ascii="Narkisim" w:hAnsi="Narkisim"/>
          <w:sz w:val="20"/>
          <w:szCs w:val="20"/>
          <w:rtl/>
        </w:rPr>
        <w:t>אבל לר"ל כ"א הוה זיקה בפנ"ע, וסגי בא' [או שנתברר דיש זיקה רק לא'].</w:t>
      </w:r>
    </w:p>
    <w:p w14:paraId="255872AC"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ירושלמי</w:t>
      </w:r>
      <w:r w:rsidRPr="00012502">
        <w:rPr>
          <w:rFonts w:ascii="Narkisim" w:hAnsi="Narkisim"/>
          <w:rtl/>
        </w:rPr>
        <w:t xml:space="preserve"> (כאן ד"ו ד., והו' ברשב"א) תלתה פלוגתתם האם חליצה הוה 'קנין'</w:t>
      </w:r>
      <w:r w:rsidRPr="00012502">
        <w:rPr>
          <w:rStyle w:val="ac"/>
          <w:rFonts w:ascii="Narkisim" w:hAnsi="Narkisim"/>
          <w:rtl/>
        </w:rPr>
        <w:footnoteReference w:id="571"/>
      </w:r>
      <w:r w:rsidRPr="00012502">
        <w:rPr>
          <w:rFonts w:ascii="Narkisim" w:hAnsi="Narkisim"/>
          <w:rtl/>
        </w:rPr>
        <w:t xml:space="preserve"> או 'פטור'.</w:t>
      </w:r>
    </w:p>
    <w:p w14:paraId="4D33EF33" w14:textId="77777777" w:rsidR="00BE1D1C" w:rsidRPr="00012502" w:rsidRDefault="00000000" w:rsidP="00012502">
      <w:pPr>
        <w:pStyle w:val="aa"/>
        <w:bidi/>
        <w:rPr>
          <w:rFonts w:ascii="Narkisim" w:hAnsi="Narkisim"/>
        </w:rPr>
      </w:pPr>
      <w:r w:rsidRPr="00012502">
        <w:rPr>
          <w:rFonts w:ascii="Narkisim" w:hAnsi="Narkisim"/>
          <w:rtl/>
        </w:rPr>
        <w:t>ובסוגיין אין חילוק בין האחים לצרות, אבל דעת ר' ירמיה ור' בא ב</w:t>
      </w:r>
      <w:r w:rsidRPr="00012502">
        <w:rPr>
          <w:rFonts w:ascii="Narkisim" w:hAnsi="Narkisim"/>
          <w:b/>
          <w:bCs/>
          <w:rtl/>
        </w:rPr>
        <w:t>ירושלמי</w:t>
      </w:r>
      <w:r w:rsidRPr="00012502">
        <w:rPr>
          <w:rFonts w:ascii="Narkisim" w:hAnsi="Narkisim"/>
          <w:rtl/>
        </w:rPr>
        <w:t xml:space="preserve"> לחלק דהצרה הוה בכרת לכו"ע, ונח' ר"י ור"ל האם האחין על היבמה בלאו. וה</w:t>
      </w:r>
      <w:r w:rsidRPr="00012502">
        <w:rPr>
          <w:rFonts w:ascii="Narkisim" w:hAnsi="Narkisim"/>
          <w:b/>
          <w:bCs/>
          <w:rtl/>
        </w:rPr>
        <w:t>פנ"מ</w:t>
      </w:r>
      <w:r w:rsidRPr="00012502">
        <w:rPr>
          <w:rFonts w:ascii="Narkisim" w:hAnsi="Narkisim"/>
          <w:rtl/>
        </w:rPr>
        <w:t xml:space="preserve"> ביאר דיש דין שליחותיהו על האחים, אבל בצרות אין שליחותיהו.</w:t>
      </w:r>
    </w:p>
    <w:p w14:paraId="5C6C52A4" w14:textId="77777777" w:rsidR="00BE1D1C" w:rsidRPr="00012502" w:rsidRDefault="00000000" w:rsidP="00012502">
      <w:pPr>
        <w:bidi/>
        <w:rPr>
          <w:rFonts w:ascii="Narkisim" w:hAnsi="Narkisim" w:cs="Narkisim"/>
        </w:rPr>
      </w:pPr>
      <w:r w:rsidRPr="00012502">
        <w:rPr>
          <w:rFonts w:ascii="Narkisim" w:hAnsi="Narkisim" w:cs="Narkisim"/>
          <w:u w:val="single"/>
          <w:rtl/>
        </w:rPr>
        <w:t>שם. מי איכא מידי דמעיקרא אי בעי האי חליץ וכו' אלא איהו שליחותא וכו</w:t>
      </w:r>
      <w:r w:rsidRPr="00012502">
        <w:rPr>
          <w:rFonts w:ascii="Narkisim" w:hAnsi="Narkisim" w:cs="Narkisim"/>
          <w:rtl/>
        </w:rPr>
        <w:t>'</w:t>
      </w:r>
      <w:r w:rsidRPr="00012502">
        <w:rPr>
          <w:rStyle w:val="ac"/>
          <w:rFonts w:ascii="Narkisim" w:hAnsi="Narkisim" w:cs="Narkisim"/>
          <w:rtl/>
        </w:rPr>
        <w:footnoteReference w:id="572"/>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דמעיקרא היה רשות ביד כולן, ומש"ה אף כשא' חלץ הוה שליחותייהו. וכי היכי דהוא עלה בלא יבנה, כן על צרתה וכו'. משמע דעיקר סברת ר' יוחנן משום דיש לא יבנה על כולהו</w:t>
      </w:r>
      <w:r w:rsidRPr="00012502">
        <w:rPr>
          <w:rStyle w:val="ac"/>
          <w:rFonts w:ascii="Narkisim" w:hAnsi="Narkisim" w:cs="Narkisim"/>
          <w:rtl/>
        </w:rPr>
        <w:footnoteReference w:id="573"/>
      </w:r>
      <w:r w:rsidRPr="00012502">
        <w:rPr>
          <w:rFonts w:ascii="Narkisim" w:hAnsi="Narkisim" w:cs="Narkisim"/>
          <w:rtl/>
        </w:rPr>
        <w:t>, כיון דהוה שליחותייהו</w:t>
      </w:r>
      <w:r w:rsidRPr="00012502">
        <w:rPr>
          <w:rStyle w:val="ac"/>
          <w:rFonts w:ascii="Narkisim" w:hAnsi="Narkisim" w:cs="Narkisim"/>
          <w:rtl/>
        </w:rPr>
        <w:footnoteReference w:id="574"/>
      </w:r>
      <w:r w:rsidRPr="00012502">
        <w:rPr>
          <w:rFonts w:ascii="Narkisim" w:hAnsi="Narkisim" w:cs="Narkisim"/>
          <w:rtl/>
        </w:rPr>
        <w:t xml:space="preserve">. </w:t>
      </w:r>
      <w:r w:rsidRPr="00012502">
        <w:rPr>
          <w:rFonts w:ascii="Narkisim" w:hAnsi="Narkisim" w:cs="Narkisim"/>
          <w:szCs w:val="20"/>
          <w:rtl/>
        </w:rPr>
        <w:t>וסברת מי איכא מידי וכו' הוה טעם שיחשב שליחות דכולהו</w:t>
      </w:r>
      <w:r w:rsidRPr="00012502">
        <w:rPr>
          <w:rFonts w:ascii="Narkisim" w:hAnsi="Narkisim" w:cs="Narkisim"/>
          <w:rtl/>
        </w:rPr>
        <w:t>.</w:t>
      </w:r>
    </w:p>
    <w:p w14:paraId="42AB329F" w14:textId="77777777" w:rsidR="00BE1D1C" w:rsidRPr="00012502" w:rsidRDefault="00000000" w:rsidP="00012502">
      <w:pPr>
        <w:bidi/>
        <w:rPr>
          <w:rFonts w:ascii="Narkisim" w:hAnsi="Narkisim" w:cs="Narkisim"/>
        </w:rPr>
      </w:pPr>
      <w:r w:rsidRPr="00012502">
        <w:rPr>
          <w:rFonts w:ascii="Narkisim" w:hAnsi="Narkisim" w:cs="Narkisim"/>
          <w:rtl/>
        </w:rPr>
        <w:t>אבל ה</w:t>
      </w:r>
      <w:r w:rsidRPr="00012502">
        <w:rPr>
          <w:rFonts w:ascii="Narkisim" w:hAnsi="Narkisim" w:cs="Narkisim"/>
          <w:b/>
          <w:bCs/>
          <w:rtl/>
        </w:rPr>
        <w:t>רשב"א</w:t>
      </w:r>
      <w:r w:rsidRPr="00012502">
        <w:rPr>
          <w:rFonts w:ascii="Narkisim" w:hAnsi="Narkisim" w:cs="Narkisim"/>
          <w:rtl/>
        </w:rPr>
        <w:t xml:space="preserve"> </w:t>
      </w:r>
      <w:r w:rsidRPr="00012502">
        <w:rPr>
          <w:rFonts w:ascii="Narkisim" w:hAnsi="Narkisim" w:cs="Narkisim"/>
          <w:szCs w:val="20"/>
          <w:rtl/>
        </w:rPr>
        <w:t>(מא. ד"ה מתוך)</w:t>
      </w:r>
      <w:r w:rsidRPr="00012502">
        <w:rPr>
          <w:rFonts w:ascii="Narkisim" w:hAnsi="Narkisim" w:cs="Narkisim"/>
          <w:rtl/>
        </w:rPr>
        <w:t xml:space="preserve"> כת' דקי"ל דאין חייבין לא על חלוצה כרת ולא על צרתה כרת. וטעמא דמלתא משום דכיון דבשעת נפילה הותרה לו שוב אי אפשר ליאסר בה משום אשת אח</w:t>
      </w:r>
      <w:r w:rsidRPr="00012502">
        <w:rPr>
          <w:rStyle w:val="ac"/>
          <w:rFonts w:ascii="Narkisim" w:hAnsi="Narkisim" w:cs="Narkisim"/>
          <w:rtl/>
        </w:rPr>
        <w:footnoteReference w:id="575"/>
      </w:r>
      <w:r w:rsidRPr="00012502">
        <w:rPr>
          <w:rFonts w:ascii="Narkisim" w:hAnsi="Narkisim" w:cs="Narkisim"/>
          <w:rtl/>
        </w:rPr>
        <w:t xml:space="preserve">. והביא מדברי ר' יוחנן 'מי איכא מידי דמעיקרא הותרה לו והשתא קאי עלה באיסור </w:t>
      </w:r>
      <w:r w:rsidRPr="00012502">
        <w:rPr>
          <w:rFonts w:ascii="Narkisim" w:hAnsi="Narkisim" w:cs="Narkisim"/>
          <w:rtl/>
        </w:rPr>
        <w:lastRenderedPageBreak/>
        <w:t>אשת אח בכרת', דכיון דבשעת נפילה הותרה שוב א"א למיקם באיסור אשת אח.</w:t>
      </w:r>
    </w:p>
    <w:p w14:paraId="3CC1DDD2"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רשב"א</w:t>
      </w:r>
      <w:r w:rsidRPr="00012502">
        <w:rPr>
          <w:rFonts w:ascii="Narkisim" w:hAnsi="Narkisim"/>
          <w:rtl/>
        </w:rPr>
        <w:t xml:space="preserve"> למד מזה דה"ה יבמה דהותרה ונאסרה וחזרה והותרה </w:t>
      </w:r>
      <w:r w:rsidRPr="00012502">
        <w:rPr>
          <w:rFonts w:ascii="Narkisim" w:hAnsi="Narkisim"/>
          <w:sz w:val="20"/>
          <w:szCs w:val="20"/>
          <w:rtl/>
        </w:rPr>
        <w:t>[שנפלה לפניו, ואח"כ קידש את אחותה, ושוב מתה האחות</w:t>
      </w:r>
      <w:r w:rsidRPr="00012502">
        <w:rPr>
          <w:rStyle w:val="ac"/>
          <w:rFonts w:ascii="Narkisim" w:hAnsi="Narkisim"/>
          <w:sz w:val="20"/>
          <w:szCs w:val="20"/>
          <w:rtl/>
        </w:rPr>
        <w:footnoteReference w:id="576"/>
      </w:r>
      <w:r w:rsidRPr="00012502">
        <w:rPr>
          <w:rFonts w:ascii="Narkisim" w:hAnsi="Narkisim"/>
          <w:sz w:val="20"/>
          <w:szCs w:val="20"/>
          <w:rtl/>
        </w:rPr>
        <w:t xml:space="preserve">] </w:t>
      </w:r>
      <w:r w:rsidRPr="00012502">
        <w:rPr>
          <w:rFonts w:ascii="Narkisim" w:hAnsi="Narkisim"/>
          <w:rtl/>
        </w:rPr>
        <w:t xml:space="preserve">למ"ד </w:t>
      </w:r>
      <w:r w:rsidRPr="00012502">
        <w:rPr>
          <w:rFonts w:ascii="Narkisim" w:hAnsi="Narkisim"/>
          <w:sz w:val="20"/>
          <w:szCs w:val="20"/>
          <w:rtl/>
        </w:rPr>
        <w:t xml:space="preserve">(רב ורב חנינא לקמן מא.) </w:t>
      </w:r>
      <w:r w:rsidRPr="00012502">
        <w:rPr>
          <w:rFonts w:ascii="Narkisim" w:hAnsi="Narkisim"/>
          <w:rtl/>
        </w:rPr>
        <w:t>דלא אמרי' 'נאסרה', ומותרת לו</w:t>
      </w:r>
      <w:r w:rsidRPr="00012502">
        <w:rPr>
          <w:rStyle w:val="ac"/>
          <w:rFonts w:ascii="Narkisim" w:hAnsi="Narkisim"/>
          <w:rtl/>
        </w:rPr>
        <w:footnoteReference w:id="577"/>
      </w:r>
      <w:r w:rsidRPr="00012502">
        <w:rPr>
          <w:rFonts w:ascii="Narkisim" w:hAnsi="Narkisim"/>
          <w:rtl/>
        </w:rPr>
        <w:t>. אך אינה זקוקה לו לייבם או לחלוץ</w:t>
      </w:r>
      <w:r w:rsidRPr="00012502">
        <w:rPr>
          <w:rStyle w:val="ac"/>
          <w:rFonts w:ascii="Narkisim" w:hAnsi="Narkisim"/>
          <w:rtl/>
        </w:rPr>
        <w:footnoteReference w:id="578"/>
      </w:r>
      <w:r w:rsidRPr="00012502">
        <w:rPr>
          <w:rFonts w:ascii="Narkisim" w:hAnsi="Narkisim"/>
          <w:rtl/>
        </w:rPr>
        <w:t xml:space="preserve">, אבל אם רצה נושאה. </w:t>
      </w:r>
      <w:r w:rsidRPr="00012502">
        <w:rPr>
          <w:rFonts w:ascii="Narkisim" w:hAnsi="Narkisim"/>
          <w:sz w:val="20"/>
          <w:szCs w:val="20"/>
          <w:rtl/>
        </w:rPr>
        <w:t>[ולפ"ז עיקר סברת ר' יוחנן דחל היתר אשת אח בשעת נפילה</w:t>
      </w:r>
      <w:r w:rsidRPr="00012502">
        <w:rPr>
          <w:rStyle w:val="ac"/>
          <w:rFonts w:ascii="Narkisim" w:hAnsi="Narkisim"/>
          <w:sz w:val="20"/>
          <w:szCs w:val="20"/>
          <w:rtl/>
        </w:rPr>
        <w:footnoteReference w:id="579"/>
      </w:r>
      <w:r w:rsidRPr="00012502">
        <w:rPr>
          <w:rFonts w:ascii="Narkisim" w:hAnsi="Narkisim"/>
          <w:sz w:val="20"/>
          <w:szCs w:val="20"/>
          <w:rtl/>
        </w:rPr>
        <w:t>, וע' מה שהו' בזה לעיל ג:].</w:t>
      </w:r>
    </w:p>
    <w:p w14:paraId="746795E1" w14:textId="77777777" w:rsidR="00BE1D1C" w:rsidRPr="00012502" w:rsidRDefault="00000000" w:rsidP="00012502">
      <w:pPr>
        <w:pStyle w:val="a8"/>
        <w:bidi/>
        <w:rPr>
          <w:rFonts w:ascii="Narkisim" w:hAnsi="Narkisim"/>
        </w:rPr>
      </w:pPr>
      <w:r w:rsidRPr="00012502">
        <w:rPr>
          <w:rFonts w:ascii="Narkisim" w:hAnsi="Narkisim"/>
          <w:rtl/>
        </w:rPr>
        <w:t>ובפשוטו כוונת הרשב"א דחוזר ונושא אותה [קידושין דעלמא</w:t>
      </w:r>
      <w:r w:rsidRPr="00012502">
        <w:rPr>
          <w:rStyle w:val="ac"/>
          <w:rFonts w:ascii="Narkisim" w:hAnsi="Narkisim"/>
          <w:rtl/>
        </w:rPr>
        <w:footnoteReference w:id="580"/>
      </w:r>
      <w:r w:rsidRPr="00012502">
        <w:rPr>
          <w:rFonts w:ascii="Narkisim" w:hAnsi="Narkisim"/>
          <w:rtl/>
        </w:rPr>
        <w:t>] בלא מצווה כלל</w:t>
      </w:r>
      <w:r w:rsidRPr="00012502">
        <w:rPr>
          <w:rStyle w:val="ac"/>
          <w:rFonts w:ascii="Narkisim" w:hAnsi="Narkisim"/>
          <w:rtl/>
        </w:rPr>
        <w:footnoteReference w:id="581"/>
      </w:r>
      <w:r w:rsidRPr="00012502">
        <w:rPr>
          <w:rFonts w:ascii="Narkisim" w:hAnsi="Narkisim"/>
          <w:rtl/>
        </w:rPr>
        <w:t>.</w:t>
      </w:r>
    </w:p>
    <w:p w14:paraId="44EDDBB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רשב"א</w:t>
      </w:r>
      <w:r w:rsidRPr="00012502">
        <w:rPr>
          <w:rFonts w:ascii="Narkisim" w:hAnsi="Narkisim"/>
          <w:rtl/>
        </w:rPr>
        <w:t xml:space="preserve"> כת' דהתם אין אפי' איסור לא יבנה, דלא יבנה הוה דוקא כשנעשה בבית דבר שדוחה אותה [בחליצה או יבום א' מהם]. אבל במה שיקדש אחותה ממילא נדחית מהבית. ואף שהותרה לשוק ליכא לא יבנה.</w:t>
      </w:r>
    </w:p>
    <w:p w14:paraId="7412C26F" w14:textId="77777777" w:rsidR="00BE1D1C" w:rsidRPr="00012502" w:rsidRDefault="00000000" w:rsidP="00012502">
      <w:pPr>
        <w:bidi/>
        <w:rPr>
          <w:rFonts w:ascii="Narkisim" w:hAnsi="Narkisim" w:cs="Narkisim"/>
        </w:rPr>
      </w:pPr>
      <w:r w:rsidRPr="00012502">
        <w:rPr>
          <w:rFonts w:ascii="Narkisim" w:hAnsi="Narkisim" w:cs="Narkisim"/>
          <w:rtl/>
        </w:rPr>
        <w:t>והרשב"א כת' דיסוד זה אליבא דר' יוחנן, ולא ביאר סברת ר"ל. ובפשוטו נקטו ה</w:t>
      </w:r>
      <w:r w:rsidRPr="00012502">
        <w:rPr>
          <w:rFonts w:ascii="Narkisim" w:hAnsi="Narkisim" w:cs="Narkisim"/>
          <w:b/>
          <w:bCs/>
          <w:rtl/>
        </w:rPr>
        <w:t>אחרונים</w:t>
      </w:r>
      <w:r w:rsidRPr="00012502">
        <w:rPr>
          <w:rFonts w:ascii="Narkisim" w:hAnsi="Narkisim" w:cs="Narkisim"/>
          <w:rtl/>
        </w:rPr>
        <w:t xml:space="preserve"> </w:t>
      </w:r>
      <w:r w:rsidRPr="00012502">
        <w:rPr>
          <w:rFonts w:ascii="Narkisim" w:hAnsi="Narkisim" w:cs="Narkisim"/>
          <w:szCs w:val="20"/>
          <w:rtl/>
        </w:rPr>
        <w:t>(בי"מ קסא, ברכ"ש ו)</w:t>
      </w:r>
      <w:r w:rsidRPr="00012502">
        <w:rPr>
          <w:rFonts w:ascii="Narkisim" w:hAnsi="Narkisim" w:cs="Narkisim"/>
          <w:rtl/>
        </w:rPr>
        <w:t xml:space="preserve"> דר"ל פליג אהך סברא, וס"ל דעדיין אסורה משום אשת אח, אלא דפקע האיסור מהחלוצה משום איסור לא יבנה</w:t>
      </w:r>
      <w:r w:rsidRPr="00012502">
        <w:rPr>
          <w:rStyle w:val="ac"/>
          <w:rFonts w:ascii="Narkisim" w:hAnsi="Narkisim" w:cs="Narkisim"/>
          <w:rtl/>
        </w:rPr>
        <w:footnoteReference w:id="582"/>
      </w:r>
      <w:r w:rsidRPr="00012502">
        <w:rPr>
          <w:rFonts w:ascii="Narkisim" w:hAnsi="Narkisim" w:cs="Narkisim"/>
          <w:rtl/>
        </w:rPr>
        <w:t>.</w:t>
      </w:r>
    </w:p>
    <w:p w14:paraId="0EBA1D0E"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רשב"א</w:t>
      </w:r>
      <w:r w:rsidRPr="00012502">
        <w:rPr>
          <w:rFonts w:ascii="Narkisim" w:hAnsi="Narkisim"/>
          <w:sz w:val="20"/>
          <w:szCs w:val="20"/>
          <w:rtl/>
        </w:rPr>
        <w:t xml:space="preserve"> (בקו"א והודפס לקמן מד.)</w:t>
      </w:r>
      <w:r w:rsidRPr="00012502">
        <w:rPr>
          <w:rFonts w:ascii="Narkisim" w:hAnsi="Narkisim"/>
          <w:rtl/>
        </w:rPr>
        <w:t xml:space="preserve"> ביאר דסברת ר"ל</w:t>
      </w:r>
      <w:r w:rsidRPr="00012502">
        <w:rPr>
          <w:rStyle w:val="ac"/>
          <w:rFonts w:ascii="Narkisim" w:hAnsi="Narkisim"/>
          <w:rtl/>
        </w:rPr>
        <w:footnoteReference w:id="583"/>
      </w:r>
      <w:r w:rsidRPr="00012502">
        <w:rPr>
          <w:rFonts w:ascii="Narkisim" w:hAnsi="Narkisim"/>
          <w:rtl/>
        </w:rPr>
        <w:t xml:space="preserve"> דמוקמינן לה אדינא כאילו לא הותרה ליבם, והו"ל אשת אח שלא במקום מצוה. אבל החלוצה מקום מצוה היא, ופרח מיניה איסור אשת אח לגמרי מסברא כיון דעלתה עמו לחלוץ או לייבם.</w:t>
      </w:r>
    </w:p>
    <w:p w14:paraId="14F957F6" w14:textId="77777777" w:rsidR="00BE1D1C" w:rsidRPr="00012502" w:rsidRDefault="00000000" w:rsidP="00012502">
      <w:pPr>
        <w:pStyle w:val="a7"/>
        <w:bidi/>
        <w:rPr>
          <w:rFonts w:ascii="Narkisim" w:hAnsi="Narkisim"/>
        </w:rPr>
      </w:pPr>
      <w:r w:rsidRPr="00012502">
        <w:rPr>
          <w:rFonts w:ascii="Narkisim" w:hAnsi="Narkisim"/>
          <w:rtl/>
        </w:rPr>
        <w:t xml:space="preserve">ויש </w:t>
      </w:r>
      <w:r w:rsidRPr="00012502">
        <w:rPr>
          <w:rFonts w:ascii="Narkisim" w:hAnsi="Narkisim"/>
          <w:b/>
          <w:bCs/>
          <w:rtl/>
        </w:rPr>
        <w:t>אחרונים</w:t>
      </w:r>
      <w:r w:rsidRPr="00012502">
        <w:rPr>
          <w:rFonts w:ascii="Narkisim" w:hAnsi="Narkisim"/>
          <w:rtl/>
        </w:rPr>
        <w:t xml:space="preserve"> (אמר"מ ה ח) שביארו דלר"ל אמרי' דמתברר למפרע שהנפילה היתה רק כלפיו, ולא הותר למפרע כלפי אידך</w:t>
      </w:r>
      <w:r w:rsidRPr="00012502">
        <w:rPr>
          <w:rStyle w:val="ac"/>
          <w:rFonts w:ascii="Narkisim" w:hAnsi="Narkisim"/>
          <w:rtl/>
        </w:rPr>
        <w:footnoteReference w:id="584"/>
      </w:r>
      <w:r w:rsidRPr="00012502">
        <w:rPr>
          <w:rFonts w:ascii="Narkisim" w:hAnsi="Narkisim"/>
          <w:rtl/>
        </w:rPr>
        <w:t>. ועוד פי' ה</w:t>
      </w:r>
      <w:r w:rsidRPr="00012502">
        <w:rPr>
          <w:rFonts w:ascii="Narkisim" w:hAnsi="Narkisim"/>
          <w:b/>
          <w:bCs/>
          <w:rtl/>
        </w:rPr>
        <w:t>אחרונים</w:t>
      </w:r>
      <w:r w:rsidRPr="00012502">
        <w:rPr>
          <w:rFonts w:ascii="Narkisim" w:hAnsi="Narkisim"/>
          <w:rtl/>
        </w:rPr>
        <w:t xml:space="preserve"> [וכ"מ ברשב"א] דהאיסור אשת אח הותר רק למצב הנפילה</w:t>
      </w:r>
      <w:r w:rsidRPr="00012502">
        <w:rPr>
          <w:rStyle w:val="ac"/>
          <w:rFonts w:ascii="Narkisim" w:hAnsi="Narkisim"/>
          <w:rtl/>
        </w:rPr>
        <w:footnoteReference w:id="585"/>
      </w:r>
      <w:r w:rsidRPr="00012502">
        <w:rPr>
          <w:rFonts w:ascii="Narkisim" w:hAnsi="Narkisim"/>
          <w:rtl/>
        </w:rPr>
        <w:t>. ובזה כתב הרשב"א דאף אחרי שייבם או חלץ נחשב מצב נפילה.</w:t>
      </w:r>
    </w:p>
    <w:p w14:paraId="3CB042D9"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 xml:space="preserve">מהרש"ל </w:t>
      </w:r>
      <w:r w:rsidRPr="00012502">
        <w:rPr>
          <w:rFonts w:ascii="Narkisim" w:hAnsi="Narkisim"/>
          <w:rtl/>
        </w:rPr>
        <w:t>(גיטין פ:) כת' דחלוצה שנשאת לאחר, הו"ל כגרושת אחיו ובכרת. דכשנשאת לאחר חוזר לאיסור אשת אח [והביא שכ"כ ר"ת בספר הישר חי' נד]. וה</w:t>
      </w:r>
      <w:r w:rsidRPr="00012502">
        <w:rPr>
          <w:rFonts w:ascii="Narkisim" w:hAnsi="Narkisim"/>
          <w:b/>
          <w:bCs/>
          <w:rtl/>
        </w:rPr>
        <w:t>מהרש"א</w:t>
      </w:r>
      <w:r w:rsidRPr="00012502">
        <w:rPr>
          <w:rFonts w:ascii="Narkisim" w:hAnsi="Narkisim"/>
          <w:rtl/>
        </w:rPr>
        <w:t xml:space="preserve"> (שם) וה</w:t>
      </w:r>
      <w:r w:rsidRPr="00012502">
        <w:rPr>
          <w:rFonts w:ascii="Narkisim" w:hAnsi="Narkisim"/>
          <w:b/>
          <w:bCs/>
          <w:rtl/>
        </w:rPr>
        <w:t>אחרונים</w:t>
      </w:r>
      <w:r w:rsidRPr="00012502">
        <w:rPr>
          <w:rFonts w:ascii="Narkisim" w:hAnsi="Narkisim"/>
          <w:rtl/>
        </w:rPr>
        <w:t xml:space="preserve"> תמהו עליו</w:t>
      </w:r>
      <w:r w:rsidRPr="00012502">
        <w:rPr>
          <w:rStyle w:val="ac"/>
          <w:rFonts w:ascii="Narkisim" w:hAnsi="Narkisim"/>
          <w:rtl/>
        </w:rPr>
        <w:footnoteReference w:id="586"/>
      </w:r>
      <w:r w:rsidRPr="00012502">
        <w:rPr>
          <w:rFonts w:ascii="Narkisim" w:hAnsi="Narkisim"/>
          <w:rtl/>
        </w:rPr>
        <w:t>. ומבואר דסברת המהרש"ל ההיתר אשת אח הוה רק למצב הנפילה ליבום, ונקט דאחרי שנשאת לאחר תו אין עליה שם 'יבמה'</w:t>
      </w:r>
      <w:r w:rsidRPr="00012502">
        <w:rPr>
          <w:rStyle w:val="ac"/>
          <w:rFonts w:ascii="Narkisim" w:hAnsi="Narkisim"/>
          <w:rtl/>
        </w:rPr>
        <w:footnoteReference w:id="587"/>
      </w:r>
      <w:r w:rsidRPr="00012502">
        <w:rPr>
          <w:rFonts w:ascii="Narkisim" w:hAnsi="Narkisim"/>
          <w:rtl/>
        </w:rPr>
        <w:t>, וחוזרת לאיסור גרושת אחיו</w:t>
      </w:r>
      <w:r w:rsidRPr="00012502">
        <w:rPr>
          <w:rStyle w:val="ac"/>
          <w:rFonts w:ascii="Narkisim" w:hAnsi="Narkisim"/>
          <w:rtl/>
        </w:rPr>
        <w:footnoteReference w:id="588"/>
      </w:r>
      <w:r w:rsidRPr="00012502">
        <w:rPr>
          <w:rFonts w:ascii="Narkisim" w:hAnsi="Narkisim"/>
          <w:rtl/>
        </w:rPr>
        <w:t>. ועוד יל"פ [ע"ד סברת התוס'] דכיון שנשאת לאחר ליכא 'לא יבנה'</w:t>
      </w:r>
      <w:r w:rsidRPr="00012502">
        <w:rPr>
          <w:rStyle w:val="ac"/>
          <w:rFonts w:ascii="Narkisim" w:hAnsi="Narkisim"/>
          <w:rtl/>
        </w:rPr>
        <w:footnoteReference w:id="589"/>
      </w:r>
      <w:r w:rsidRPr="00012502">
        <w:rPr>
          <w:rFonts w:ascii="Narkisim" w:hAnsi="Narkisim"/>
          <w:rtl/>
        </w:rPr>
        <w:t xml:space="preserve">, ולא אמרי' </w:t>
      </w:r>
      <w:r w:rsidRPr="00012502">
        <w:rPr>
          <w:rFonts w:ascii="Narkisim" w:hAnsi="Narkisim"/>
          <w:rtl/>
        </w:rPr>
        <w:lastRenderedPageBreak/>
        <w:t>דנתקיה הכתוב.</w:t>
      </w:r>
    </w:p>
    <w:p w14:paraId="51014770" w14:textId="77777777" w:rsidR="00BE1D1C" w:rsidRPr="00012502" w:rsidRDefault="00000000" w:rsidP="00012502">
      <w:pPr>
        <w:bidi/>
        <w:rPr>
          <w:rFonts w:ascii="Narkisim" w:hAnsi="Narkisim" w:cs="Narkisim"/>
        </w:rPr>
      </w:pPr>
      <w:r w:rsidRPr="00012502">
        <w:rPr>
          <w:rFonts w:ascii="Narkisim" w:hAnsi="Narkisim" w:cs="Narkisim"/>
          <w:u w:val="single"/>
          <w:rtl/>
        </w:rPr>
        <w:t>חייבי לאוין נינהו וכו'</w:t>
      </w:r>
      <w:r w:rsidRPr="00012502">
        <w:rPr>
          <w:rFonts w:ascii="Narkisim" w:hAnsi="Narkisim" w:cs="Narkisim"/>
          <w:rtl/>
        </w:rPr>
        <w:t>. וכדלעיל דעובר משום 'אשר לא יבנה'. ה</w:t>
      </w:r>
      <w:r w:rsidRPr="00012502">
        <w:rPr>
          <w:rFonts w:ascii="Narkisim" w:hAnsi="Narkisim" w:cs="Narkisim"/>
          <w:b/>
          <w:bCs/>
          <w:rtl/>
        </w:rPr>
        <w:t>רמב"ם</w:t>
      </w:r>
      <w:r w:rsidRPr="00012502">
        <w:rPr>
          <w:rFonts w:ascii="Narkisim" w:hAnsi="Narkisim" w:cs="Narkisim"/>
          <w:rtl/>
        </w:rPr>
        <w:t xml:space="preserve"> (יבום א יב) פסק דהחולץ ליבמתו נאסר הוא עליה ועל הצרות, וכן האחים, מדברי סופרים כשניות</w:t>
      </w:r>
      <w:r w:rsidRPr="00012502">
        <w:rPr>
          <w:rStyle w:val="ac"/>
          <w:rFonts w:ascii="Narkisim" w:hAnsi="Narkisim" w:cs="Narkisim"/>
          <w:rtl/>
        </w:rPr>
        <w:footnoteReference w:id="590"/>
      </w:r>
      <w:r w:rsidRPr="00012502">
        <w:rPr>
          <w:rFonts w:ascii="Narkisim" w:hAnsi="Narkisim" w:cs="Narkisim"/>
          <w:rtl/>
        </w:rPr>
        <w:t>. דמאחר שמת אחיו בלא ולד נסתלק מעליו איסור ערוה מעל כל נשיו, לפיכך תופסין בהן קידושין כשניות</w:t>
      </w:r>
      <w:r w:rsidRPr="00012502">
        <w:rPr>
          <w:rStyle w:val="ac"/>
          <w:rFonts w:ascii="Narkisim" w:hAnsi="Narkisim" w:cs="Narkisim"/>
          <w:rtl/>
        </w:rPr>
        <w:footnoteReference w:id="591"/>
      </w:r>
      <w:r w:rsidRPr="00012502">
        <w:rPr>
          <w:rFonts w:ascii="Narkisim" w:hAnsi="Narkisim" w:cs="Narkisim"/>
          <w:rtl/>
        </w:rPr>
        <w:t>. מבואר דס"ל דלא יבנה הוה אסמכתא</w:t>
      </w:r>
      <w:r w:rsidRPr="00012502">
        <w:rPr>
          <w:rStyle w:val="ac"/>
          <w:rFonts w:ascii="Narkisim" w:hAnsi="Narkisim" w:cs="Narkisim"/>
          <w:rtl/>
        </w:rPr>
        <w:footnoteReference w:id="592"/>
      </w:r>
      <w:r w:rsidRPr="00012502">
        <w:rPr>
          <w:rFonts w:ascii="Narkisim" w:hAnsi="Narkisim" w:cs="Narkisim"/>
          <w:rtl/>
        </w:rPr>
        <w:t xml:space="preserve"> [כ"כ </w:t>
      </w:r>
      <w:r w:rsidRPr="00012502">
        <w:rPr>
          <w:rFonts w:ascii="Narkisim" w:hAnsi="Narkisim" w:cs="Narkisim"/>
          <w:b/>
          <w:bCs/>
          <w:rtl/>
        </w:rPr>
        <w:t xml:space="preserve">ה"ה </w:t>
      </w:r>
      <w:r w:rsidRPr="00012502">
        <w:rPr>
          <w:rFonts w:ascii="Narkisim" w:hAnsi="Narkisim" w:cs="Narkisim"/>
          <w:rtl/>
        </w:rPr>
        <w:t>וב</w:t>
      </w:r>
      <w:r w:rsidRPr="00012502">
        <w:rPr>
          <w:rFonts w:ascii="Narkisim" w:hAnsi="Narkisim" w:cs="Narkisim"/>
          <w:b/>
          <w:bCs/>
          <w:rtl/>
        </w:rPr>
        <w:t>חי' ר"א מן ההר</w:t>
      </w:r>
      <w:r w:rsidRPr="00012502">
        <w:rPr>
          <w:rFonts w:ascii="Narkisim" w:hAnsi="Narkisim" w:cs="Narkisim"/>
          <w:rtl/>
        </w:rPr>
        <w:t>]. והקשו עליו דמשמע מסוגיין דהוה חייבי לאוין</w:t>
      </w:r>
      <w:r w:rsidRPr="00012502">
        <w:rPr>
          <w:rStyle w:val="ac"/>
          <w:rFonts w:ascii="Narkisim" w:hAnsi="Narkisim" w:cs="Narkisim"/>
          <w:rtl/>
        </w:rPr>
        <w:footnoteReference w:id="593"/>
      </w:r>
      <w:r w:rsidRPr="00012502">
        <w:rPr>
          <w:rFonts w:ascii="Narkisim" w:hAnsi="Narkisim" w:cs="Narkisim"/>
          <w:rtl/>
        </w:rPr>
        <w:t xml:space="preserve"> </w:t>
      </w:r>
      <w:r w:rsidRPr="00012502">
        <w:rPr>
          <w:rFonts w:ascii="Narkisim" w:hAnsi="Narkisim" w:cs="Narkisim"/>
          <w:sz w:val="20"/>
          <w:szCs w:val="20"/>
          <w:rtl/>
        </w:rPr>
        <w:t>(ע' בסמוך).</w:t>
      </w:r>
    </w:p>
    <w:p w14:paraId="391E6DE7"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הביאו דמבואר ברמב"ם דאין איסור אשת אח בחלוצה, אף לולי 'לא יבנה' [שהרי ס"ל דהוה אסמכתא]. וע"כ כסברת הרשב"א דהנפילה מתרת.</w:t>
      </w:r>
    </w:p>
    <w:p w14:paraId="5F6B0511"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רמב"ן</w:t>
      </w:r>
      <w:r w:rsidRPr="00012502">
        <w:rPr>
          <w:rFonts w:ascii="Narkisim" w:hAnsi="Narkisim" w:cs="Narkisim"/>
          <w:rtl/>
        </w:rPr>
        <w:t xml:space="preserve"> </w:t>
      </w:r>
      <w:r w:rsidRPr="00012502">
        <w:rPr>
          <w:rFonts w:ascii="Narkisim" w:hAnsi="Narkisim" w:cs="Narkisim"/>
          <w:szCs w:val="20"/>
          <w:rtl/>
        </w:rPr>
        <w:t>(סה"מ לאוין שהוסיף יד</w:t>
      </w:r>
      <w:r w:rsidRPr="00012502">
        <w:rPr>
          <w:rFonts w:ascii="Narkisim" w:hAnsi="Narkisim" w:cs="Narkisim"/>
          <w:rtl/>
        </w:rPr>
        <w:t xml:space="preserve">) הוסיף לאו ד'לא יבנה' במנין המצוות. </w:t>
      </w:r>
      <w:r w:rsidRPr="00012502">
        <w:rPr>
          <w:rFonts w:ascii="Narkisim" w:hAnsi="Narkisim" w:cs="Narkisim"/>
          <w:sz w:val="20"/>
          <w:szCs w:val="20"/>
          <w:rtl/>
        </w:rPr>
        <w:t>[והרמב"ן השיג על הרמב"ם שלא מנאה, וה</w:t>
      </w:r>
      <w:r w:rsidRPr="00012502">
        <w:rPr>
          <w:rFonts w:ascii="Narkisim" w:hAnsi="Narkisim" w:cs="Narkisim"/>
          <w:b/>
          <w:bCs/>
          <w:sz w:val="20"/>
          <w:szCs w:val="20"/>
          <w:rtl/>
        </w:rPr>
        <w:t>אחרונים</w:t>
      </w:r>
      <w:r w:rsidRPr="00012502">
        <w:rPr>
          <w:rFonts w:ascii="Narkisim" w:hAnsi="Narkisim" w:cs="Narkisim"/>
          <w:sz w:val="20"/>
          <w:szCs w:val="20"/>
          <w:rtl/>
        </w:rPr>
        <w:t xml:space="preserve"> תי' דהרמב"ם לשיטתו דהוה אסמכתא</w:t>
      </w:r>
      <w:r w:rsidRPr="00012502">
        <w:rPr>
          <w:rStyle w:val="ac"/>
          <w:rFonts w:ascii="Narkisim" w:hAnsi="Narkisim" w:cs="Narkisim"/>
          <w:sz w:val="20"/>
          <w:szCs w:val="20"/>
          <w:rtl/>
        </w:rPr>
        <w:footnoteReference w:id="594"/>
      </w:r>
      <w:r w:rsidRPr="00012502">
        <w:rPr>
          <w:rFonts w:ascii="Narkisim" w:hAnsi="Narkisim" w:cs="Narkisim"/>
          <w:sz w:val="20"/>
          <w:szCs w:val="20"/>
          <w:rtl/>
        </w:rPr>
        <w:t>]</w:t>
      </w:r>
      <w:r w:rsidRPr="00012502">
        <w:rPr>
          <w:rFonts w:ascii="Narkisim" w:hAnsi="Narkisim" w:cs="Narkisim"/>
          <w:rtl/>
        </w:rPr>
        <w:t>.</w:t>
      </w:r>
    </w:p>
    <w:p w14:paraId="27AE4853"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כת' דאין לומר דהוה בכלל איסור אשת אח, דע"י החליצה חוזר לאיסור אשת אח, דא"כ יתחייב בכרת. אבל ה</w:t>
      </w:r>
      <w:r w:rsidRPr="00012502">
        <w:rPr>
          <w:rFonts w:ascii="Narkisim" w:hAnsi="Narkisim"/>
          <w:b/>
          <w:bCs/>
          <w:rtl/>
        </w:rPr>
        <w:t>מאירי</w:t>
      </w:r>
      <w:r w:rsidRPr="00012502">
        <w:rPr>
          <w:rFonts w:ascii="Narkisim" w:hAnsi="Narkisim"/>
          <w:rtl/>
        </w:rPr>
        <w:t xml:space="preserve"> כת' דהוה איסור אשת אח שלא במקום מצוה, ואף דלא חזרה לגמרי דין אשת אח להיותה בכרת, אלא בלאו. שהכתוב הוציאה מכלל כרת להעמידה בלאו</w:t>
      </w:r>
      <w:r w:rsidRPr="00012502">
        <w:rPr>
          <w:rStyle w:val="ac"/>
          <w:rFonts w:ascii="Narkisim" w:hAnsi="Narkisim"/>
          <w:rtl/>
        </w:rPr>
        <w:footnoteReference w:id="595"/>
      </w:r>
      <w:r w:rsidRPr="00012502">
        <w:rPr>
          <w:rFonts w:ascii="Narkisim" w:hAnsi="Narkisim"/>
          <w:rtl/>
        </w:rPr>
        <w:t xml:space="preserve">. </w:t>
      </w:r>
      <w:r w:rsidRPr="00012502">
        <w:rPr>
          <w:rFonts w:ascii="Narkisim" w:hAnsi="Narkisim"/>
          <w:szCs w:val="20"/>
          <w:rtl/>
        </w:rPr>
        <w:t>וכ"כ ה</w:t>
      </w:r>
      <w:r w:rsidRPr="00012502">
        <w:rPr>
          <w:rFonts w:ascii="Narkisim" w:hAnsi="Narkisim"/>
          <w:b/>
          <w:bCs/>
          <w:szCs w:val="20"/>
          <w:rtl/>
        </w:rPr>
        <w:t>בי"מ</w:t>
      </w:r>
      <w:r w:rsidRPr="00012502">
        <w:rPr>
          <w:rFonts w:ascii="Narkisim" w:hAnsi="Narkisim"/>
          <w:szCs w:val="20"/>
          <w:rtl/>
        </w:rPr>
        <w:t xml:space="preserve"> (קסא א) בדעת </w:t>
      </w:r>
      <w:r w:rsidRPr="00012502">
        <w:rPr>
          <w:rFonts w:ascii="Narkisim" w:hAnsi="Narkisim"/>
          <w:b/>
          <w:bCs/>
          <w:szCs w:val="20"/>
          <w:rtl/>
        </w:rPr>
        <w:t>רש"י</w:t>
      </w:r>
      <w:r w:rsidRPr="00012502">
        <w:rPr>
          <w:rFonts w:ascii="Narkisim" w:hAnsi="Narkisim"/>
          <w:szCs w:val="20"/>
          <w:rtl/>
        </w:rPr>
        <w:t xml:space="preserve"> דגדר לא יבנה דהוה איסור אשת אח</w:t>
      </w:r>
      <w:r w:rsidRPr="00012502">
        <w:rPr>
          <w:rStyle w:val="ac"/>
          <w:rFonts w:ascii="Narkisim" w:hAnsi="Narkisim"/>
          <w:szCs w:val="20"/>
          <w:rtl/>
        </w:rPr>
        <w:footnoteReference w:id="596"/>
      </w:r>
      <w:r w:rsidRPr="00012502">
        <w:rPr>
          <w:rFonts w:ascii="Narkisim" w:hAnsi="Narkisim"/>
          <w:szCs w:val="20"/>
          <w:rtl/>
        </w:rPr>
        <w:t>, אלא שנתקיה לאיסור לאו</w:t>
      </w:r>
      <w:r w:rsidRPr="00012502">
        <w:rPr>
          <w:rStyle w:val="ac"/>
          <w:rFonts w:ascii="Narkisim" w:hAnsi="Narkisim"/>
          <w:szCs w:val="20"/>
          <w:rtl/>
        </w:rPr>
        <w:footnoteReference w:id="597"/>
      </w:r>
      <w:r w:rsidRPr="00012502">
        <w:rPr>
          <w:rFonts w:ascii="Narkisim" w:hAnsi="Narkisim"/>
          <w:rtl/>
        </w:rPr>
        <w:t>.</w:t>
      </w:r>
    </w:p>
    <w:p w14:paraId="64196840" w14:textId="77777777" w:rsidR="00BE1D1C" w:rsidRPr="00012502" w:rsidRDefault="00000000" w:rsidP="00012502">
      <w:pPr>
        <w:pStyle w:val="a8"/>
        <w:bidi/>
        <w:rPr>
          <w:rFonts w:ascii="Narkisim" w:hAnsi="Narkisim"/>
        </w:rPr>
      </w:pPr>
      <w:r w:rsidRPr="00012502">
        <w:rPr>
          <w:rFonts w:ascii="Narkisim" w:hAnsi="Narkisim"/>
          <w:rtl/>
        </w:rPr>
        <w:t xml:space="preserve">והבי"מ ביאר בזה דברי </w:t>
      </w:r>
      <w:r w:rsidRPr="00012502">
        <w:rPr>
          <w:rFonts w:ascii="Narkisim" w:hAnsi="Narkisim"/>
          <w:b/>
          <w:bCs/>
          <w:rtl/>
        </w:rPr>
        <w:t xml:space="preserve">רש"י </w:t>
      </w:r>
      <w:r w:rsidRPr="00012502">
        <w:rPr>
          <w:rFonts w:ascii="Narkisim" w:hAnsi="Narkisim"/>
          <w:rtl/>
        </w:rPr>
        <w:t>(נ: ד"ה ואי) שכתב דבביאה אחר ביאה הוה איסור אשת אח, וה</w:t>
      </w:r>
      <w:r w:rsidRPr="00012502">
        <w:rPr>
          <w:rFonts w:ascii="Narkisim" w:hAnsi="Narkisim"/>
          <w:b/>
          <w:bCs/>
          <w:rtl/>
        </w:rPr>
        <w:t>אחרונים</w:t>
      </w:r>
      <w:r w:rsidRPr="00012502">
        <w:rPr>
          <w:rFonts w:ascii="Narkisim" w:hAnsi="Narkisim"/>
          <w:rtl/>
        </w:rPr>
        <w:t xml:space="preserve"> (</w:t>
      </w:r>
      <w:r w:rsidRPr="00012502">
        <w:rPr>
          <w:rFonts w:ascii="Narkisim" w:hAnsi="Narkisim"/>
          <w:b/>
          <w:bCs/>
          <w:rtl/>
        </w:rPr>
        <w:t>רע"א</w:t>
      </w:r>
      <w:r w:rsidRPr="00012502">
        <w:rPr>
          <w:rFonts w:ascii="Narkisim" w:hAnsi="Narkisim"/>
          <w:rtl/>
        </w:rPr>
        <w:t xml:space="preserve"> בגהש"ס) תמהו דקי"ל כר' יוחנן דהאחים לצרה הוה בעשה לרש"י. והבי"מ כת' דכוונת רש"י דהוה איסור עשה דאשת אח.</w:t>
      </w:r>
    </w:p>
    <w:p w14:paraId="3DC13FC2"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ביארו עד"ז מש"כ </w:t>
      </w:r>
      <w:r w:rsidRPr="00012502">
        <w:rPr>
          <w:rFonts w:ascii="Narkisim" w:hAnsi="Narkisim"/>
          <w:b/>
          <w:bCs/>
          <w:rtl/>
        </w:rPr>
        <w:t>רש"י</w:t>
      </w:r>
      <w:r w:rsidRPr="00012502">
        <w:rPr>
          <w:rFonts w:ascii="Narkisim" w:hAnsi="Narkisim"/>
          <w:rtl/>
        </w:rPr>
        <w:t xml:space="preserve"> (לקמן מט. ד"ה כל) דאיסור לא יבנה הוה חייבי לאוין דשאר. וצ"ב מ"ש ממחזיר גרושתו דרש"י (שם) כת' דלא נחשב שאר. ע"כ דאיסור לא יבנה הוה משום קורבת אשת אח [ולא משום מעשה החליצה].</w:t>
      </w:r>
    </w:p>
    <w:p w14:paraId="39B7CD85"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קר"א</w:t>
      </w:r>
      <w:r w:rsidRPr="00012502">
        <w:rPr>
          <w:rFonts w:ascii="Narkisim" w:hAnsi="Narkisim"/>
          <w:rtl/>
        </w:rPr>
        <w:t xml:space="preserve"> (לקמן לט:) הקשה אמרי' איצטריך קרא (שם, ולעיל ח:) דהותר לגרש ולהחזיר דנעשית כאשתו, תיפו"ל דכיון דעביד בה מעשה ניתק האיסור אשת אח [וכדאי' בסוגיין, וכ"ש לרשב"א דהותר לגמרי</w:t>
      </w:r>
      <w:r w:rsidRPr="00012502">
        <w:rPr>
          <w:rStyle w:val="ac"/>
          <w:rFonts w:ascii="Narkisim" w:hAnsi="Narkisim"/>
          <w:rtl/>
        </w:rPr>
        <w:footnoteReference w:id="598"/>
      </w:r>
      <w:r w:rsidRPr="00012502">
        <w:rPr>
          <w:rFonts w:ascii="Narkisim" w:hAnsi="Narkisim"/>
          <w:rtl/>
        </w:rPr>
        <w:t>]. ול"ש בזה איסור לא יבנה. ותי' דס"ד דהגמ' שיהא איסור עשה דאשת אח דקליש [ע"ד הנ"ל].</w:t>
      </w:r>
    </w:p>
    <w:p w14:paraId="5B542B33"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(גרנ"ט) תי' דס"ד דגמ' כשגירשה נחשב שאינו מצב היבום, ואף לרשב"א הותר האיסור אשת אח רק למצב היבום. קמ"ל דנעשית כאשתו.</w:t>
      </w:r>
    </w:p>
    <w:p w14:paraId="470A3318" w14:textId="77777777" w:rsidR="00BE1D1C" w:rsidRPr="00012502" w:rsidRDefault="00000000" w:rsidP="00012502">
      <w:pPr>
        <w:bidi/>
        <w:rPr>
          <w:rFonts w:ascii="Narkisim" w:hAnsi="Narkisim" w:cs="Narkisim"/>
        </w:rPr>
      </w:pPr>
      <w:r w:rsidRPr="00012502">
        <w:rPr>
          <w:rFonts w:ascii="Narkisim" w:hAnsi="Narkisim" w:cs="Narkisim"/>
          <w:u w:val="single"/>
          <w:rtl/>
        </w:rPr>
        <w:t>לר' עקיבא דאמר אין קידושין תופסין בחייבי לאוין.</w:t>
      </w:r>
      <w:r w:rsidRPr="00012502">
        <w:rPr>
          <w:rFonts w:ascii="Narkisim" w:hAnsi="Narkisim" w:cs="Narkisim"/>
          <w:rtl/>
        </w:rPr>
        <w:t xml:space="preserve"> ה</w:t>
      </w:r>
      <w:r w:rsidRPr="00012502">
        <w:rPr>
          <w:rFonts w:ascii="Narkisim" w:hAnsi="Narkisim" w:cs="Narkisim"/>
          <w:b/>
          <w:bCs/>
          <w:rtl/>
        </w:rPr>
        <w:t xml:space="preserve">אחרונים </w:t>
      </w:r>
      <w:r w:rsidRPr="00012502">
        <w:rPr>
          <w:rFonts w:ascii="Narkisim" w:hAnsi="Narkisim" w:cs="Narkisim"/>
          <w:rtl/>
        </w:rPr>
        <w:t xml:space="preserve">הקשו מכאן לדעת הרמב"ם ד'לא יבנה' הוה דרבנן, דהא מבואר הכא דלר"ע לא תפסי קידושין. ועוד הקשו מהמשנה (נ.) דחלץ ועשה מאמר לא תפסי קידושין, ואי' (לקמן נב:) דלא תפסי קידושין כר' עקיבא </w:t>
      </w:r>
      <w:r w:rsidRPr="00012502">
        <w:rPr>
          <w:rFonts w:ascii="Narkisim" w:hAnsi="Narkisim" w:cs="Narkisim"/>
          <w:sz w:val="20"/>
          <w:szCs w:val="20"/>
          <w:rtl/>
        </w:rPr>
        <w:t>[וכה"ק בחי' ר"א מן ההר]</w:t>
      </w:r>
      <w:r w:rsidRPr="00012502">
        <w:rPr>
          <w:rFonts w:ascii="Narkisim" w:hAnsi="Narkisim" w:cs="Narkisim"/>
          <w:rtl/>
        </w:rPr>
        <w:t>.</w:t>
      </w:r>
    </w:p>
    <w:p w14:paraId="6D570B50" w14:textId="77777777" w:rsidR="00BE1D1C" w:rsidRPr="00012502" w:rsidRDefault="00000000" w:rsidP="00012502">
      <w:pPr>
        <w:pStyle w:val="a8"/>
        <w:bidi/>
        <w:rPr>
          <w:rFonts w:ascii="Narkisim" w:hAnsi="Narkisim"/>
        </w:rPr>
      </w:pPr>
      <w:r w:rsidRPr="00012502">
        <w:rPr>
          <w:rFonts w:ascii="Narkisim" w:hAnsi="Narkisim"/>
          <w:rtl/>
        </w:rPr>
        <w:t>ויש שדנו (ע' חי' הגר"נ) דלדעת הרמב"ם תלי במח' ר' יוחנן ור"ל.</w:t>
      </w:r>
    </w:p>
    <w:p w14:paraId="3F59F5F9"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רמב"ם</w:t>
      </w:r>
      <w:r w:rsidRPr="00012502">
        <w:rPr>
          <w:rFonts w:ascii="Narkisim" w:hAnsi="Narkisim"/>
          <w:rtl/>
        </w:rPr>
        <w:t xml:space="preserve"> </w:t>
      </w:r>
      <w:r w:rsidRPr="00012502">
        <w:rPr>
          <w:rFonts w:ascii="Narkisim" w:hAnsi="Narkisim"/>
          <w:szCs w:val="20"/>
          <w:rtl/>
        </w:rPr>
        <w:t>(בפיה"מ ה א)</w:t>
      </w:r>
      <w:r w:rsidRPr="00012502">
        <w:rPr>
          <w:rFonts w:ascii="Narkisim" w:hAnsi="Narkisim"/>
          <w:rtl/>
        </w:rPr>
        <w:t xml:space="preserve"> פי' דלדעת ר' עקיבא אין קידושין תופסים בחלוצתו לפי שכשנחלץ חזרה ערוה כמו שהיתה קודם מיתת אחיו. [והו' ב</w:t>
      </w:r>
      <w:r w:rsidRPr="00012502">
        <w:rPr>
          <w:rFonts w:ascii="Narkisim" w:hAnsi="Narkisim"/>
          <w:b/>
          <w:bCs/>
          <w:rtl/>
        </w:rPr>
        <w:t>קר"א</w:t>
      </w:r>
      <w:r w:rsidRPr="00012502">
        <w:rPr>
          <w:rFonts w:ascii="Narkisim" w:hAnsi="Narkisim"/>
          <w:rtl/>
        </w:rPr>
        <w:t>]. ומשמע דלא הוה משום לא יבנה, אלא דר"ע ס"ל דאחר חליצה הוה ערוה גמורה. וצ"ב מנ"ל דר"ע ס"ל כן</w:t>
      </w:r>
      <w:r w:rsidRPr="00012502">
        <w:rPr>
          <w:rStyle w:val="ac"/>
          <w:rFonts w:ascii="Narkisim" w:hAnsi="Narkisim"/>
          <w:rtl/>
        </w:rPr>
        <w:footnoteReference w:id="599"/>
      </w:r>
      <w:r w:rsidRPr="00012502">
        <w:rPr>
          <w:rFonts w:ascii="Narkisim" w:hAnsi="Narkisim"/>
          <w:rtl/>
        </w:rPr>
        <w:t>.</w:t>
      </w:r>
    </w:p>
    <w:p w14:paraId="793E194F" w14:textId="77777777" w:rsidR="00BE1D1C" w:rsidRPr="00012502" w:rsidRDefault="00000000" w:rsidP="00012502">
      <w:pPr>
        <w:pStyle w:val="a8"/>
        <w:bidi/>
        <w:rPr>
          <w:rFonts w:ascii="Narkisim" w:hAnsi="Narkisim"/>
        </w:rPr>
      </w:pPr>
      <w:r w:rsidRPr="00012502">
        <w:rPr>
          <w:rFonts w:ascii="Narkisim" w:hAnsi="Narkisim"/>
          <w:rtl/>
        </w:rPr>
        <w:lastRenderedPageBreak/>
        <w:t>וה</w:t>
      </w:r>
      <w:r w:rsidRPr="00012502">
        <w:rPr>
          <w:rFonts w:ascii="Narkisim" w:hAnsi="Narkisim"/>
          <w:b/>
          <w:bCs/>
          <w:rtl/>
        </w:rPr>
        <w:t>בני אהובה</w:t>
      </w:r>
      <w:r w:rsidRPr="00012502">
        <w:rPr>
          <w:rFonts w:ascii="Narkisim" w:hAnsi="Narkisim"/>
          <w:rtl/>
        </w:rPr>
        <w:t xml:space="preserve"> (א יב) ביאר דכוונת הרמב"ם לדברי ר"ע (לקמן מד.) דאיסור קרובת חלוצתו מדאורייתא [והולד ממזר], דהכתוב קראו 'בית', והוה כאחות גרושתו. ומש"ה לר"ע לא יבנה הוה מדאורייתא, דס"ל דהחליצה הוה קנין. ומש"ה אמרי' דשוב לא יבנה</w:t>
      </w:r>
      <w:r w:rsidRPr="00012502">
        <w:rPr>
          <w:rStyle w:val="ac"/>
          <w:rFonts w:ascii="Narkisim" w:hAnsi="Narkisim"/>
          <w:rtl/>
        </w:rPr>
        <w:footnoteReference w:id="600"/>
      </w:r>
      <w:r w:rsidRPr="00012502">
        <w:rPr>
          <w:rFonts w:ascii="Narkisim" w:hAnsi="Narkisim"/>
          <w:rtl/>
        </w:rPr>
        <w:t>. [וע"ע דבר אברהם ג י י].</w:t>
      </w:r>
    </w:p>
    <w:p w14:paraId="5E5DF351"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 xml:space="preserve">רשב"א </w:t>
      </w:r>
      <w:r w:rsidRPr="00012502">
        <w:rPr>
          <w:rFonts w:ascii="Narkisim" w:hAnsi="Narkisim"/>
          <w:rtl/>
        </w:rPr>
        <w:t>(לקמן נב:) חלק על פי' הזה, דבהדיא אמרי' (לקמן נב:) זו דברי ר' עקיבא דאין קידושין תופסין בחייבי לאוין.</w:t>
      </w:r>
    </w:p>
    <w:p w14:paraId="554C61EF" w14:textId="77777777" w:rsidR="00BE1D1C" w:rsidRPr="00012502" w:rsidRDefault="00000000" w:rsidP="00012502">
      <w:pPr>
        <w:pStyle w:val="3"/>
        <w:bidi/>
        <w:rPr>
          <w:rFonts w:ascii="Narkisim" w:hAnsi="Narkisim"/>
        </w:rPr>
      </w:pPr>
      <w:r w:rsidRPr="00012502">
        <w:rPr>
          <w:rFonts w:ascii="Narkisim" w:hAnsi="Narkisim"/>
          <w:rtl/>
        </w:rPr>
        <w:t>דף יא.</w:t>
      </w:r>
    </w:p>
    <w:p w14:paraId="6E560329" w14:textId="77777777" w:rsidR="00BE1D1C" w:rsidRPr="00012502" w:rsidRDefault="00000000" w:rsidP="00012502">
      <w:pPr>
        <w:bidi/>
        <w:rPr>
          <w:rFonts w:ascii="Narkisim" w:hAnsi="Narkisim" w:cs="Narkisim"/>
        </w:rPr>
      </w:pPr>
      <w:r w:rsidRPr="00012502">
        <w:rPr>
          <w:rFonts w:ascii="Narkisim" w:hAnsi="Narkisim" w:cs="Narkisim"/>
          <w:u w:val="single"/>
          <w:rtl/>
        </w:rPr>
        <w:t>ומתרץ לה כר' שמעון וכו'.</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דאמר ייבם ולבסוף נולד לא מהני נפילתו מן הראשון וכו' הילכך זיקת ההיא נפילה לא אסרה עליה דהאי. ה</w:t>
      </w:r>
      <w:r w:rsidRPr="00012502">
        <w:rPr>
          <w:rFonts w:ascii="Narkisim" w:hAnsi="Narkisim" w:cs="Narkisim"/>
          <w:b/>
          <w:bCs/>
          <w:rtl/>
        </w:rPr>
        <w:t xml:space="preserve">גמ' </w:t>
      </w:r>
      <w:r w:rsidRPr="00012502">
        <w:rPr>
          <w:rFonts w:ascii="Narkisim" w:hAnsi="Narkisim" w:cs="Narkisim"/>
          <w:rtl/>
        </w:rPr>
        <w:t>(לקמן יט:) פי' דסברת ר' שמעון הואיל ובא ומצאה בהיתר ולא עמדה שעה אחת באיסור, והגמ' (כ.) הוסיפה משום דאשת אח הוה איסורא דאית ביה היתירא.</w:t>
      </w:r>
    </w:p>
    <w:p w14:paraId="74C426F7" w14:textId="77777777" w:rsidR="00BE1D1C" w:rsidRPr="00012502" w:rsidRDefault="00000000" w:rsidP="00012502">
      <w:pPr>
        <w:pStyle w:val="a7"/>
        <w:bidi/>
        <w:rPr>
          <w:rFonts w:ascii="Narkisim" w:hAnsi="Narkisim"/>
        </w:rPr>
      </w:pPr>
      <w:r w:rsidRPr="00012502">
        <w:rPr>
          <w:rFonts w:ascii="Narkisim" w:hAnsi="Narkisim"/>
          <w:rtl/>
        </w:rPr>
        <w:t>ופ</w:t>
      </w:r>
      <w:r w:rsidRPr="00012502">
        <w:rPr>
          <w:rFonts w:ascii="Narkisim" w:hAnsi="Narkisim"/>
          <w:b/>
          <w:bCs/>
          <w:rtl/>
        </w:rPr>
        <w:t>רש"י</w:t>
      </w:r>
      <w:r w:rsidRPr="00012502">
        <w:rPr>
          <w:rFonts w:ascii="Narkisim" w:hAnsi="Narkisim"/>
          <w:rtl/>
        </w:rPr>
        <w:t xml:space="preserve"> (לקמן) דכשמת בלא בנים פקע איסורו לגבי שני ונשאה, ושלישי מכח שני בא. ו</w:t>
      </w:r>
      <w:r w:rsidRPr="00012502">
        <w:rPr>
          <w:rFonts w:ascii="Narkisim" w:hAnsi="Narkisim"/>
          <w:b/>
          <w:bCs/>
          <w:rtl/>
        </w:rPr>
        <w:t>תוס'</w:t>
      </w:r>
      <w:r w:rsidRPr="00012502">
        <w:rPr>
          <w:rFonts w:ascii="Narkisim" w:hAnsi="Narkisim"/>
          <w:rtl/>
        </w:rPr>
        <w:t xml:space="preserve"> </w:t>
      </w:r>
      <w:r w:rsidRPr="00012502">
        <w:rPr>
          <w:rFonts w:ascii="Narkisim" w:hAnsi="Narkisim"/>
          <w:sz w:val="20"/>
          <w:szCs w:val="20"/>
          <w:rtl/>
        </w:rPr>
        <w:t xml:space="preserve">(כ. ד"ה האי) </w:t>
      </w:r>
      <w:r w:rsidRPr="00012502">
        <w:rPr>
          <w:rFonts w:ascii="Narkisim" w:hAnsi="Narkisim"/>
          <w:rtl/>
        </w:rPr>
        <w:t xml:space="preserve">פי' דפקע איסור אשת אח ע"י יבום </w:t>
      </w:r>
      <w:r w:rsidRPr="00012502">
        <w:rPr>
          <w:rFonts w:ascii="Narkisim" w:hAnsi="Narkisim"/>
          <w:sz w:val="20"/>
          <w:szCs w:val="20"/>
          <w:rtl/>
        </w:rPr>
        <w:t>[דנעשית כאשתו]</w:t>
      </w:r>
      <w:r w:rsidRPr="00012502">
        <w:rPr>
          <w:rFonts w:ascii="Narkisim" w:hAnsi="Narkisim"/>
          <w:rtl/>
        </w:rPr>
        <w:t>, וכי היכי דפקע לגבי היבם, פקע נמי לגבי אחיו הנולד אח"כ</w:t>
      </w:r>
      <w:r w:rsidRPr="00012502">
        <w:rPr>
          <w:rStyle w:val="ac"/>
          <w:rFonts w:ascii="Narkisim" w:hAnsi="Narkisim"/>
          <w:rtl/>
        </w:rPr>
        <w:footnoteReference w:id="601"/>
      </w:r>
      <w:r w:rsidRPr="00012502">
        <w:rPr>
          <w:rFonts w:ascii="Narkisim" w:hAnsi="Narkisim"/>
          <w:rtl/>
        </w:rPr>
        <w:t>. וה</w:t>
      </w:r>
      <w:r w:rsidRPr="00012502">
        <w:rPr>
          <w:rFonts w:ascii="Narkisim" w:hAnsi="Narkisim"/>
          <w:b/>
          <w:bCs/>
          <w:rtl/>
        </w:rPr>
        <w:t>קובה"ע</w:t>
      </w:r>
      <w:r w:rsidRPr="00012502">
        <w:rPr>
          <w:rFonts w:ascii="Narkisim" w:hAnsi="Narkisim"/>
          <w:rtl/>
        </w:rPr>
        <w:t xml:space="preserve"> (ב א) הק' דסברת התוס' לא שייך בסוגיין דחלץ וקידש, דלא ייבם דנימא דחל היתר נעשית כאשתו. </w:t>
      </w:r>
      <w:r w:rsidRPr="00012502">
        <w:rPr>
          <w:rFonts w:ascii="Narkisim" w:hAnsi="Narkisim"/>
          <w:sz w:val="20"/>
          <w:szCs w:val="20"/>
          <w:rtl/>
        </w:rPr>
        <w:t>וכתב דע"כ תוס' מודה לסברת רש"י, אלא דביבום הוסיפו טעם [ודוחק].</w:t>
      </w:r>
    </w:p>
    <w:p w14:paraId="2417C14D" w14:textId="77777777" w:rsidR="00BE1D1C" w:rsidRPr="00012502" w:rsidRDefault="00000000" w:rsidP="00012502">
      <w:pPr>
        <w:bidi/>
        <w:rPr>
          <w:rFonts w:ascii="Narkisim" w:hAnsi="Narkisim" w:cs="Narkisim"/>
        </w:rPr>
      </w:pPr>
      <w:r w:rsidRPr="00012502">
        <w:rPr>
          <w:rFonts w:ascii="Narkisim" w:hAnsi="Narkisim" w:cs="Narkisim"/>
          <w:u w:val="single"/>
          <w:rtl/>
        </w:rPr>
        <w:t>אחין הילודים.</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שנולדו אחר קידושין של זה. מבואר ברש"י דנולד אחר חליצה אסורה עליהם. וכ"מ ב</w:t>
      </w:r>
      <w:r w:rsidRPr="00012502">
        <w:rPr>
          <w:rFonts w:ascii="Narkisim" w:hAnsi="Narkisim" w:cs="Narkisim"/>
          <w:b/>
          <w:bCs/>
          <w:rtl/>
        </w:rPr>
        <w:t>תוס'</w:t>
      </w:r>
      <w:r w:rsidRPr="00012502">
        <w:rPr>
          <w:rFonts w:ascii="Narkisim" w:hAnsi="Narkisim" w:cs="Narkisim"/>
          <w:rtl/>
        </w:rPr>
        <w:t xml:space="preserve"> (ד"ה כמאן). ומבואר דנחשב 'מצאה באיסור', ורק ע"י קידושין נחשבת אשתו של שני</w:t>
      </w:r>
      <w:r w:rsidRPr="00012502">
        <w:rPr>
          <w:rStyle w:val="ac"/>
          <w:rFonts w:ascii="Narkisim" w:hAnsi="Narkisim" w:cs="Narkisim"/>
          <w:rtl/>
        </w:rPr>
        <w:footnoteReference w:id="602"/>
      </w:r>
      <w:r w:rsidRPr="00012502">
        <w:rPr>
          <w:rFonts w:ascii="Narkisim" w:hAnsi="Narkisim" w:cs="Narkisim"/>
          <w:rtl/>
        </w:rPr>
        <w:t xml:space="preserve">. </w:t>
      </w:r>
      <w:r w:rsidRPr="00012502">
        <w:rPr>
          <w:rFonts w:ascii="Narkisim" w:hAnsi="Narkisim" w:cs="Narkisim"/>
          <w:sz w:val="20"/>
          <w:szCs w:val="20"/>
          <w:rtl/>
        </w:rPr>
        <w:t>וה</w:t>
      </w:r>
      <w:r w:rsidRPr="00012502">
        <w:rPr>
          <w:rFonts w:ascii="Narkisim" w:hAnsi="Narkisim" w:cs="Narkisim"/>
          <w:b/>
          <w:bCs/>
          <w:sz w:val="20"/>
          <w:szCs w:val="20"/>
          <w:rtl/>
        </w:rPr>
        <w:t>קובה"ע</w:t>
      </w:r>
      <w:r w:rsidRPr="00012502">
        <w:rPr>
          <w:rFonts w:ascii="Narkisim" w:hAnsi="Narkisim" w:cs="Narkisim"/>
          <w:sz w:val="20"/>
          <w:szCs w:val="20"/>
          <w:rtl/>
        </w:rPr>
        <w:t xml:space="preserve"> (ב ב) הק' דלא אמרי' נאסרה אלא בשעת נפילה</w:t>
      </w:r>
      <w:r w:rsidRPr="00012502">
        <w:rPr>
          <w:rStyle w:val="ac"/>
          <w:rFonts w:ascii="Narkisim" w:hAnsi="Narkisim" w:cs="Narkisim"/>
          <w:sz w:val="20"/>
          <w:szCs w:val="20"/>
          <w:rtl/>
        </w:rPr>
        <w:footnoteReference w:id="603"/>
      </w:r>
      <w:r w:rsidRPr="00012502">
        <w:rPr>
          <w:rFonts w:ascii="Narkisim" w:hAnsi="Narkisim" w:cs="Narkisim"/>
          <w:sz w:val="20"/>
          <w:szCs w:val="20"/>
          <w:rtl/>
        </w:rPr>
        <w:t>.</w:t>
      </w:r>
    </w:p>
    <w:p w14:paraId="3E5F6C48"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מאירי</w:t>
      </w:r>
      <w:r w:rsidRPr="00012502">
        <w:rPr>
          <w:rFonts w:ascii="Narkisim" w:hAnsi="Narkisim"/>
          <w:rtl/>
        </w:rPr>
        <w:t xml:space="preserve"> הביא </w:t>
      </w:r>
      <w:r w:rsidRPr="00012502">
        <w:rPr>
          <w:rFonts w:ascii="Narkisim" w:hAnsi="Narkisim"/>
          <w:b/>
          <w:bCs/>
          <w:rtl/>
        </w:rPr>
        <w:t>י"מ</w:t>
      </w:r>
      <w:r w:rsidRPr="00012502">
        <w:rPr>
          <w:rFonts w:ascii="Narkisim" w:hAnsi="Narkisim"/>
          <w:rtl/>
        </w:rPr>
        <w:t xml:space="preserve"> דנולד אחר חליצה, דאזלה זיקת הראשון, והו"ל כייבם ואח"כ נולד. אבל זה שחלץ באיסורא מצאה. וכ"מ ב</w:t>
      </w:r>
      <w:r w:rsidRPr="00012502">
        <w:rPr>
          <w:rFonts w:ascii="Narkisim" w:hAnsi="Narkisim"/>
          <w:b/>
          <w:bCs/>
          <w:rtl/>
        </w:rPr>
        <w:t>ריטב"א</w:t>
      </w:r>
      <w:r w:rsidRPr="00012502">
        <w:rPr>
          <w:rFonts w:ascii="Narkisim" w:hAnsi="Narkisim"/>
          <w:rtl/>
        </w:rPr>
        <w:t xml:space="preserve"> דאיירי דנולד אחר חליצה לחוד</w:t>
      </w:r>
      <w:r w:rsidRPr="00012502">
        <w:rPr>
          <w:rStyle w:val="ac"/>
          <w:rFonts w:ascii="Narkisim" w:hAnsi="Narkisim"/>
          <w:rtl/>
        </w:rPr>
        <w:footnoteReference w:id="604"/>
      </w:r>
      <w:r w:rsidRPr="00012502">
        <w:rPr>
          <w:rFonts w:ascii="Narkisim" w:hAnsi="Narkisim"/>
          <w:rtl/>
        </w:rPr>
        <w:t xml:space="preserve">. </w:t>
      </w:r>
      <w:r w:rsidRPr="00012502">
        <w:rPr>
          <w:rFonts w:ascii="Narkisim" w:hAnsi="Narkisim"/>
          <w:sz w:val="20"/>
          <w:szCs w:val="20"/>
          <w:rtl/>
        </w:rPr>
        <w:t>וכ"כ ה</w:t>
      </w:r>
      <w:r w:rsidRPr="00012502">
        <w:rPr>
          <w:rFonts w:ascii="Narkisim" w:hAnsi="Narkisim"/>
          <w:b/>
          <w:bCs/>
          <w:sz w:val="20"/>
          <w:szCs w:val="20"/>
          <w:rtl/>
        </w:rPr>
        <w:t>חזו"א</w:t>
      </w:r>
      <w:r w:rsidRPr="00012502">
        <w:rPr>
          <w:rFonts w:ascii="Narkisim" w:hAnsi="Narkisim"/>
          <w:sz w:val="20"/>
          <w:szCs w:val="20"/>
          <w:rtl/>
        </w:rPr>
        <w:t xml:space="preserve"> (קל י) דע"י החליצה קיבל אישות המת וגירשה.</w:t>
      </w:r>
    </w:p>
    <w:p w14:paraId="6DC9E0AB" w14:textId="77777777" w:rsidR="00BE1D1C" w:rsidRPr="00012502" w:rsidRDefault="00000000" w:rsidP="00012502">
      <w:pPr>
        <w:bidi/>
        <w:rPr>
          <w:rFonts w:ascii="Narkisim" w:hAnsi="Narkisim" w:cs="Narkisim"/>
        </w:rPr>
      </w:pPr>
      <w:r w:rsidRPr="00012502">
        <w:rPr>
          <w:rFonts w:ascii="Narkisim" w:hAnsi="Narkisim" w:cs="Narkisim"/>
          <w:u w:val="single"/>
          <w:rtl/>
        </w:rPr>
        <w:t>תוד"ה צריכה.</w:t>
      </w:r>
      <w:r w:rsidRPr="00012502">
        <w:rPr>
          <w:rFonts w:ascii="Narkisim" w:hAnsi="Narkisim" w:cs="Narkisim"/>
          <w:rtl/>
        </w:rPr>
        <w:t xml:space="preserve"> במותר לה נאסרה באסור לה לא כ"ש. וכיון דאסור למקדש [משום 'לא יבנה'], אסורה אף ליבם הנולד [משום ק"ו</w:t>
      </w:r>
      <w:r w:rsidRPr="00012502">
        <w:rPr>
          <w:rStyle w:val="ac"/>
          <w:rFonts w:ascii="Narkisim" w:hAnsi="Narkisim" w:cs="Narkisim"/>
          <w:rtl/>
        </w:rPr>
        <w:footnoteReference w:id="605"/>
      </w:r>
      <w:r w:rsidRPr="00012502">
        <w:rPr>
          <w:rFonts w:ascii="Narkisim" w:hAnsi="Narkisim" w:cs="Narkisim"/>
          <w:rtl/>
        </w:rPr>
        <w:t xml:space="preserve">, ע' בסוגי' בע"ב]. </w:t>
      </w:r>
      <w:r w:rsidRPr="00012502">
        <w:rPr>
          <w:rFonts w:ascii="Narkisim" w:hAnsi="Narkisim" w:cs="Narkisim"/>
          <w:szCs w:val="20"/>
          <w:rtl/>
        </w:rPr>
        <w:t>ויל"ד מאיזה 'שם איסור' אסורה עליו, וכי שייך לא יבנה כלפי מי שלא היה שייך לחליצה כלל</w:t>
      </w:r>
      <w:r w:rsidRPr="00012502">
        <w:rPr>
          <w:rFonts w:ascii="Narkisim" w:hAnsi="Narkisim" w:cs="Narkisim"/>
          <w:rtl/>
        </w:rPr>
        <w:t>.</w:t>
      </w:r>
    </w:p>
    <w:p w14:paraId="74BCEA24"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ריטב"א</w:t>
      </w:r>
      <w:r w:rsidRPr="00012502">
        <w:rPr>
          <w:rFonts w:ascii="Narkisim" w:hAnsi="Narkisim"/>
          <w:rtl/>
        </w:rPr>
        <w:t xml:space="preserve"> (י:) כת' דסברת ר' שמעון שהאח הנולד אחר היבום דינו כמו היבם. וה"נ נולד אחר החליצה, כיון דהיבם דחה מעליו איסור אשת אח, שיהא בלאו בלבד [כלפי היבם]. כך הוה לאו בלבד כלפי הנולד. וכ"כ ה</w:t>
      </w:r>
      <w:r w:rsidRPr="00012502">
        <w:rPr>
          <w:rFonts w:ascii="Narkisim" w:hAnsi="Narkisim"/>
          <w:b/>
          <w:bCs/>
          <w:rtl/>
        </w:rPr>
        <w:t>מאירי</w:t>
      </w:r>
      <w:r w:rsidRPr="00012502">
        <w:rPr>
          <w:rFonts w:ascii="Narkisim" w:hAnsi="Narkisim"/>
          <w:rtl/>
        </w:rPr>
        <w:t>.</w:t>
      </w:r>
    </w:p>
    <w:p w14:paraId="0E6F682F"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למדו דכוונתם דהכא 'מצאה בהיתר' כשעדיין יש עליה איסור לא יבנה, א"כ אף כלפי האח אסורה כן, וכעי"ז כתב ה</w:t>
      </w:r>
      <w:r w:rsidRPr="00012502">
        <w:rPr>
          <w:rFonts w:ascii="Narkisim" w:hAnsi="Narkisim"/>
          <w:b/>
          <w:bCs/>
          <w:rtl/>
        </w:rPr>
        <w:t>קר"א</w:t>
      </w:r>
      <w:r w:rsidRPr="00012502">
        <w:rPr>
          <w:rFonts w:ascii="Narkisim" w:hAnsi="Narkisim"/>
          <w:rtl/>
        </w:rPr>
        <w:t>. וצ"ל דכוונת הריטב"א דלא יבנה שייכא לאיסור אשת אח, דאל"כ מה שייך איסור לא יבנה כלפי מי שנולד אח"כ</w:t>
      </w:r>
      <w:r w:rsidRPr="00012502">
        <w:rPr>
          <w:rStyle w:val="ac"/>
          <w:rFonts w:ascii="Narkisim" w:hAnsi="Narkisim"/>
          <w:rtl/>
        </w:rPr>
        <w:footnoteReference w:id="606"/>
      </w:r>
      <w:r w:rsidRPr="00012502">
        <w:rPr>
          <w:rFonts w:ascii="Narkisim" w:hAnsi="Narkisim"/>
          <w:rtl/>
        </w:rPr>
        <w:t>].</w:t>
      </w:r>
    </w:p>
    <w:p w14:paraId="62FC8559"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בעה"מ</w:t>
      </w:r>
      <w:r w:rsidRPr="00012502">
        <w:rPr>
          <w:rFonts w:ascii="Narkisim" w:hAnsi="Narkisim"/>
          <w:rtl/>
        </w:rPr>
        <w:t xml:space="preserve"> (חולין עה: כה: בדה"ר) כתב דמותרת לייבם. </w:t>
      </w:r>
      <w:r w:rsidRPr="00012502">
        <w:rPr>
          <w:rFonts w:ascii="Narkisim" w:hAnsi="Narkisim"/>
          <w:sz w:val="20"/>
          <w:szCs w:val="20"/>
          <w:rtl/>
        </w:rPr>
        <w:t>ובדין הוא דיוזכר ברישא תתייבם, אלא סתם דתחלוץ אגב סיפא.</w:t>
      </w:r>
    </w:p>
    <w:p w14:paraId="0C94A2F8" w14:textId="77777777" w:rsidR="00BE1D1C" w:rsidRPr="00012502" w:rsidRDefault="00000000" w:rsidP="00012502">
      <w:pPr>
        <w:bidi/>
        <w:rPr>
          <w:rFonts w:ascii="Narkisim" w:hAnsi="Narkisim" w:cs="Narkisim"/>
        </w:rPr>
      </w:pPr>
      <w:r w:rsidRPr="00012502">
        <w:rPr>
          <w:rFonts w:ascii="Narkisim" w:hAnsi="Narkisim" w:cs="Narkisim"/>
          <w:i/>
          <w:iCs/>
          <w:sz w:val="21"/>
          <w:szCs w:val="21"/>
          <w:rtl/>
        </w:rPr>
        <w:t>ק"ו, באסור לה לא כ"ש –</w:t>
      </w:r>
      <w:r w:rsidRPr="00012502">
        <w:rPr>
          <w:rFonts w:ascii="Narkisim" w:hAnsi="Narkisim" w:cs="Narkisim"/>
          <w:rtl/>
        </w:rPr>
        <w:t xml:space="preserve"> ועד"ז אי' ב</w:t>
      </w:r>
      <w:r w:rsidRPr="00012502">
        <w:rPr>
          <w:rFonts w:ascii="Narkisim" w:hAnsi="Narkisim" w:cs="Narkisim"/>
          <w:b/>
          <w:bCs/>
          <w:rtl/>
        </w:rPr>
        <w:t xml:space="preserve">גמ' </w:t>
      </w:r>
      <w:r w:rsidRPr="00012502">
        <w:rPr>
          <w:rFonts w:ascii="Narkisim" w:hAnsi="Narkisim" w:cs="Narkisim"/>
          <w:rtl/>
        </w:rPr>
        <w:t xml:space="preserve">(סוטה ו., הו' בסמוך) כהך ק"ו לאסור ליבם לגבי </w:t>
      </w:r>
      <w:r w:rsidRPr="00012502">
        <w:rPr>
          <w:rFonts w:ascii="Narkisim" w:hAnsi="Narkisim" w:cs="Narkisim"/>
          <w:rtl/>
        </w:rPr>
        <w:lastRenderedPageBreak/>
        <w:t>ספק סוטה. וכן בגמ' (לקמן בסוף הע"ב) גבי מחזיר גרושתו</w:t>
      </w:r>
      <w:r w:rsidRPr="00012502">
        <w:rPr>
          <w:rStyle w:val="ac"/>
          <w:rFonts w:ascii="Narkisim" w:hAnsi="Narkisim" w:cs="Narkisim"/>
          <w:rtl/>
        </w:rPr>
        <w:footnoteReference w:id="607"/>
      </w:r>
      <w:r w:rsidRPr="00012502">
        <w:rPr>
          <w:rFonts w:ascii="Narkisim" w:hAnsi="Narkisim" w:cs="Narkisim"/>
          <w:rtl/>
        </w:rPr>
        <w:t xml:space="preserve">. </w:t>
      </w:r>
      <w:r w:rsidRPr="00012502">
        <w:rPr>
          <w:rFonts w:ascii="Narkisim" w:hAnsi="Narkisim" w:cs="Narkisim"/>
          <w:sz w:val="20"/>
          <w:szCs w:val="20"/>
          <w:rtl/>
        </w:rPr>
        <w:t>והגמ' (סוטה) פי' דכשנשא אלמנה לכה"ג אינה אסור ליבם [כדאי' לקמן פד:], דהתם אסירא וקיימא ולא נאסרה במותר לה</w:t>
      </w:r>
      <w:r w:rsidRPr="00012502">
        <w:rPr>
          <w:rStyle w:val="ac"/>
          <w:rFonts w:ascii="Narkisim" w:hAnsi="Narkisim" w:cs="Narkisim"/>
          <w:sz w:val="20"/>
          <w:szCs w:val="20"/>
          <w:rtl/>
        </w:rPr>
        <w:footnoteReference w:id="608"/>
      </w:r>
      <w:r w:rsidRPr="00012502">
        <w:rPr>
          <w:rFonts w:ascii="Narkisim" w:hAnsi="Narkisim" w:cs="Narkisim"/>
          <w:sz w:val="20"/>
          <w:szCs w:val="20"/>
          <w:rtl/>
        </w:rPr>
        <w:t>, ומש"ה לא אמרי' ק"ו לאסור לאחיו כהן הדיוט. וכן אשת כהן שנאנסה ל"א ק"ו לאסור לאחיו הדיוט, דלגבי האי ליכא איסורא.</w:t>
      </w:r>
    </w:p>
    <w:p w14:paraId="3D3CAC55" w14:textId="77777777" w:rsidR="00BE1D1C" w:rsidRPr="00012502" w:rsidRDefault="00000000" w:rsidP="00012502">
      <w:pPr>
        <w:pStyle w:val="a7"/>
        <w:bidi/>
        <w:rPr>
          <w:rFonts w:ascii="Narkisim" w:hAnsi="Narkisim"/>
        </w:rPr>
      </w:pPr>
      <w:r w:rsidRPr="00012502">
        <w:rPr>
          <w:rFonts w:ascii="Narkisim" w:hAnsi="Narkisim"/>
          <w:rtl/>
        </w:rPr>
        <w:t>ופ</w:t>
      </w:r>
      <w:r w:rsidRPr="00012502">
        <w:rPr>
          <w:rFonts w:ascii="Narkisim" w:hAnsi="Narkisim"/>
          <w:b/>
          <w:bCs/>
          <w:rtl/>
        </w:rPr>
        <w:t xml:space="preserve">רש"י </w:t>
      </w:r>
      <w:r w:rsidRPr="00012502">
        <w:rPr>
          <w:rFonts w:ascii="Narkisim" w:hAnsi="Narkisim"/>
          <w:rtl/>
        </w:rPr>
        <w:t>שנאסרו נישואי הראשון שלא להתייבם מכח אותן נישואין. וה</w:t>
      </w:r>
      <w:r w:rsidRPr="00012502">
        <w:rPr>
          <w:rFonts w:ascii="Narkisim" w:hAnsi="Narkisim"/>
          <w:b/>
          <w:bCs/>
          <w:rtl/>
        </w:rPr>
        <w:t>אחרונים</w:t>
      </w:r>
      <w:r w:rsidRPr="00012502">
        <w:rPr>
          <w:rFonts w:ascii="Narkisim" w:hAnsi="Narkisim"/>
          <w:rtl/>
        </w:rPr>
        <w:t xml:space="preserve"> (גרנ"ט, קובה"ע טו ד) ביארו דגדר יבום דאישות המת עוברת ליבם, ובמקום שיש איסור באישות אסורה אף לאחיו</w:t>
      </w:r>
      <w:r w:rsidRPr="00012502">
        <w:rPr>
          <w:rStyle w:val="ac"/>
          <w:rFonts w:ascii="Narkisim" w:hAnsi="Narkisim"/>
          <w:rtl/>
        </w:rPr>
        <w:footnoteReference w:id="609"/>
      </w:r>
      <w:r w:rsidRPr="00012502">
        <w:rPr>
          <w:rFonts w:ascii="Narkisim" w:hAnsi="Narkisim"/>
          <w:rtl/>
        </w:rPr>
        <w:t xml:space="preserve">. [ולא אמרי' דהאיסור הוה רק על הגברא]. </w:t>
      </w:r>
      <w:r w:rsidRPr="00012502">
        <w:rPr>
          <w:rFonts w:ascii="Narkisim" w:hAnsi="Narkisim"/>
          <w:sz w:val="20"/>
          <w:szCs w:val="20"/>
          <w:rtl/>
        </w:rPr>
        <w:t xml:space="preserve">וביארו בזה כוונת </w:t>
      </w:r>
      <w:r w:rsidRPr="00012502">
        <w:rPr>
          <w:rFonts w:ascii="Narkisim" w:hAnsi="Narkisim"/>
          <w:b/>
          <w:bCs/>
          <w:sz w:val="20"/>
          <w:szCs w:val="20"/>
          <w:rtl/>
        </w:rPr>
        <w:t>תוס</w:t>
      </w:r>
      <w:r w:rsidRPr="00012502">
        <w:rPr>
          <w:rFonts w:ascii="Narkisim" w:hAnsi="Narkisim"/>
          <w:sz w:val="20"/>
          <w:szCs w:val="20"/>
          <w:rtl/>
        </w:rPr>
        <w:t>' (לקמן פד: ד"ה שייר) דכשהבעל נעשה פצוע דכא לא אמרי' ק"ו [לאסור ליבם]. דלא אמרי' ק"ו אלא כשנעשית באשה שום מעשה שנאסרה בכך לבעל.</w:t>
      </w:r>
    </w:p>
    <w:p w14:paraId="5BAC011C" w14:textId="77777777" w:rsidR="00BE1D1C" w:rsidRPr="00012502" w:rsidRDefault="00000000" w:rsidP="00012502">
      <w:pPr>
        <w:bidi/>
        <w:rPr>
          <w:rFonts w:ascii="Narkisim" w:hAnsi="Narkisim" w:cs="Narkisim"/>
        </w:rPr>
      </w:pPr>
      <w:r w:rsidRPr="00012502">
        <w:rPr>
          <w:rFonts w:ascii="Narkisim" w:hAnsi="Narkisim" w:cs="Narkisim"/>
          <w:u w:val="single"/>
          <w:rtl/>
        </w:rPr>
        <w:t>איתמר הבא על יבמתו, ובא א' מן האחים על צרתה וכו' מ"ד בכרת כר"ל ומ"ד בעשה כר' יוחנן</w:t>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דלר' יוחנן אמרי' דהוה שליחותא דאחין, ויש עשה לכל האחים. ולר"ל אחים קיימי באיסור אשת אח.</w:t>
      </w:r>
    </w:p>
    <w:p w14:paraId="70B36CE8"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רי"ף</w:t>
      </w:r>
      <w:r w:rsidRPr="00012502">
        <w:rPr>
          <w:rFonts w:ascii="Narkisim" w:hAnsi="Narkisim" w:cs="Narkisim"/>
          <w:rtl/>
        </w:rPr>
        <w:t xml:space="preserve"> </w:t>
      </w:r>
      <w:r w:rsidRPr="00012502">
        <w:rPr>
          <w:rFonts w:ascii="Narkisim" w:hAnsi="Narkisim" w:cs="Narkisim"/>
          <w:szCs w:val="20"/>
          <w:rtl/>
        </w:rPr>
        <w:t>(לקמן מ: יג: בדה"ס)</w:t>
      </w:r>
      <w:r w:rsidRPr="00012502">
        <w:rPr>
          <w:rFonts w:ascii="Narkisim" w:hAnsi="Narkisim" w:cs="Narkisim"/>
          <w:rtl/>
        </w:rPr>
        <w:t xml:space="preserve"> פסק דהוה בעשה, דכל היכא דפליגי רב אחא ורבינא הלכה כדברי המיקל </w:t>
      </w:r>
      <w:r w:rsidRPr="00012502">
        <w:rPr>
          <w:rFonts w:ascii="Narkisim" w:hAnsi="Narkisim" w:cs="Narkisim"/>
          <w:szCs w:val="20"/>
          <w:rtl/>
        </w:rPr>
        <w:t>(כדאי' פסחים עד:)</w:t>
      </w:r>
      <w:r w:rsidRPr="00012502">
        <w:rPr>
          <w:rFonts w:ascii="Narkisim" w:hAnsi="Narkisim" w:cs="Narkisim"/>
          <w:rtl/>
        </w:rPr>
        <w:t xml:space="preserve">. וכ"ש הכא דקאי כר' יוחנן, ובמח' ר' יוחנן ור"ל קי"ל כר' יוחנן </w:t>
      </w:r>
      <w:r w:rsidRPr="00012502">
        <w:rPr>
          <w:rFonts w:ascii="Narkisim" w:hAnsi="Narkisim" w:cs="Narkisim"/>
          <w:szCs w:val="20"/>
          <w:rtl/>
        </w:rPr>
        <w:t>[לבר מתלת, כדאי' לקמן לו.]</w:t>
      </w:r>
      <w:r w:rsidRPr="00012502">
        <w:rPr>
          <w:rFonts w:ascii="Narkisim" w:hAnsi="Narkisim" w:cs="Narkisim"/>
          <w:rtl/>
        </w:rPr>
        <w:t>. ואף דשמואל ס"ל כר"ל. וה</w:t>
      </w:r>
      <w:r w:rsidRPr="00012502">
        <w:rPr>
          <w:rFonts w:ascii="Narkisim" w:hAnsi="Narkisim" w:cs="Narkisim"/>
          <w:b/>
          <w:bCs/>
          <w:rtl/>
        </w:rPr>
        <w:t>רשב"א</w:t>
      </w:r>
      <w:r w:rsidRPr="00012502">
        <w:rPr>
          <w:rFonts w:ascii="Narkisim" w:hAnsi="Narkisim" w:cs="Narkisim"/>
          <w:rtl/>
        </w:rPr>
        <w:t xml:space="preserve"> </w:t>
      </w:r>
      <w:r w:rsidRPr="00012502">
        <w:rPr>
          <w:rFonts w:ascii="Narkisim" w:hAnsi="Narkisim" w:cs="Narkisim"/>
          <w:szCs w:val="20"/>
          <w:rtl/>
        </w:rPr>
        <w:t>(לקמן מא.</w:t>
      </w:r>
      <w:r w:rsidRPr="00012502">
        <w:rPr>
          <w:rFonts w:ascii="Narkisim" w:hAnsi="Narkisim" w:cs="Narkisim"/>
          <w:rtl/>
        </w:rPr>
        <w:t>) הביא דכ"ד ה</w:t>
      </w:r>
      <w:r w:rsidRPr="00012502">
        <w:rPr>
          <w:rFonts w:ascii="Narkisim" w:hAnsi="Narkisim" w:cs="Narkisim"/>
          <w:b/>
          <w:bCs/>
          <w:rtl/>
        </w:rPr>
        <w:t>תוס'</w:t>
      </w:r>
      <w:r w:rsidRPr="00012502">
        <w:rPr>
          <w:rFonts w:ascii="Narkisim" w:hAnsi="Narkisim" w:cs="Narkisim"/>
          <w:rtl/>
        </w:rPr>
        <w:t xml:space="preserve"> ו</w:t>
      </w:r>
      <w:r w:rsidRPr="00012502">
        <w:rPr>
          <w:rFonts w:ascii="Narkisim" w:hAnsi="Narkisim" w:cs="Narkisim"/>
          <w:b/>
          <w:bCs/>
          <w:rtl/>
        </w:rPr>
        <w:t>ר"ח</w:t>
      </w:r>
      <w:r w:rsidRPr="00012502">
        <w:rPr>
          <w:rFonts w:ascii="Narkisim" w:hAnsi="Narkisim" w:cs="Narkisim"/>
          <w:rtl/>
        </w:rPr>
        <w:t>. אבל ה</w:t>
      </w:r>
      <w:r w:rsidRPr="00012502">
        <w:rPr>
          <w:rFonts w:ascii="Narkisim" w:hAnsi="Narkisim" w:cs="Narkisim"/>
          <w:b/>
          <w:bCs/>
          <w:rtl/>
        </w:rPr>
        <w:t>ר"א אב"ד</w:t>
      </w:r>
      <w:r w:rsidRPr="00012502">
        <w:rPr>
          <w:rFonts w:ascii="Narkisim" w:hAnsi="Narkisim" w:cs="Narkisim"/>
          <w:rtl/>
        </w:rPr>
        <w:t xml:space="preserve"> פסק כרב אשי </w:t>
      </w:r>
      <w:r w:rsidRPr="00012502">
        <w:rPr>
          <w:rFonts w:ascii="Narkisim" w:hAnsi="Narkisim" w:cs="Narkisim"/>
          <w:szCs w:val="20"/>
          <w:rtl/>
        </w:rPr>
        <w:t>(לקמן שם)</w:t>
      </w:r>
      <w:r w:rsidRPr="00012502">
        <w:rPr>
          <w:rFonts w:ascii="Narkisim" w:hAnsi="Narkisim" w:cs="Narkisim"/>
          <w:rtl/>
        </w:rPr>
        <w:t xml:space="preserve"> דס"ל כר"ל. דרב אשי בתרא הוא.</w:t>
      </w:r>
    </w:p>
    <w:p w14:paraId="2E65E30A" w14:textId="77777777" w:rsidR="00BE1D1C" w:rsidRPr="00012502" w:rsidRDefault="00000000" w:rsidP="00012502">
      <w:pPr>
        <w:bidi/>
        <w:rPr>
          <w:rFonts w:ascii="Narkisim" w:hAnsi="Narkisim" w:cs="Narkisim"/>
        </w:rPr>
      </w:pPr>
      <w:r w:rsidRPr="00012502">
        <w:rPr>
          <w:rFonts w:ascii="Narkisim" w:hAnsi="Narkisim" w:cs="Narkisim"/>
          <w:u w:val="single"/>
          <w:rtl/>
        </w:rPr>
        <w:t>תוד"ה חד אמר בעשה.</w:t>
      </w:r>
      <w:r w:rsidRPr="00012502">
        <w:rPr>
          <w:rFonts w:ascii="Narkisim" w:hAnsi="Narkisim" w:cs="Narkisim"/>
          <w:rtl/>
        </w:rPr>
        <w:t xml:space="preserve"> ופ"ה משום דדרשי' בית א' הוא בונה וכו' ולאו הבא מכלל עשה עשה</w:t>
      </w:r>
      <w:r w:rsidRPr="00012502">
        <w:rPr>
          <w:rStyle w:val="ac"/>
          <w:rFonts w:ascii="Narkisim" w:hAnsi="Narkisim" w:cs="Narkisim"/>
          <w:rtl/>
        </w:rPr>
        <w:footnoteReference w:id="610"/>
      </w:r>
      <w:r w:rsidRPr="00012502">
        <w:rPr>
          <w:rFonts w:ascii="Narkisim" w:hAnsi="Narkisim" w:cs="Narkisim"/>
          <w:rtl/>
        </w:rPr>
        <w:t xml:space="preserve"> וכו'. </w:t>
      </w:r>
      <w:r w:rsidRPr="00012502">
        <w:rPr>
          <w:rFonts w:ascii="Narkisim" w:hAnsi="Narkisim" w:cs="Narkisim"/>
          <w:szCs w:val="20"/>
          <w:rtl/>
        </w:rPr>
        <w:t>וה</w:t>
      </w:r>
      <w:r w:rsidRPr="00012502">
        <w:rPr>
          <w:rFonts w:ascii="Narkisim" w:hAnsi="Narkisim" w:cs="Narkisim"/>
          <w:b/>
          <w:bCs/>
          <w:szCs w:val="20"/>
          <w:rtl/>
        </w:rPr>
        <w:t>רמב"ן</w:t>
      </w:r>
      <w:r w:rsidRPr="00012502">
        <w:rPr>
          <w:rFonts w:ascii="Narkisim" w:hAnsi="Narkisim" w:cs="Narkisim"/>
          <w:szCs w:val="20"/>
          <w:rtl/>
        </w:rPr>
        <w:t xml:space="preserve"> הק' דאין מצוות עשה בית א' ואינו בונה ב' בתים. אלא ילפי' מכלל הלאו ד'אשר לא יבנה', ומכלל לאו הוא בא</w:t>
      </w:r>
      <w:r w:rsidRPr="00012502">
        <w:rPr>
          <w:rStyle w:val="ac"/>
          <w:rFonts w:ascii="Narkisim" w:hAnsi="Narkisim" w:cs="Narkisim"/>
          <w:szCs w:val="20"/>
          <w:rtl/>
        </w:rPr>
        <w:footnoteReference w:id="611"/>
      </w:r>
      <w:r w:rsidRPr="00012502">
        <w:rPr>
          <w:rFonts w:ascii="Narkisim" w:hAnsi="Narkisim" w:cs="Narkisim"/>
          <w:szCs w:val="20"/>
          <w:rtl/>
        </w:rPr>
        <w:t>.</w:t>
      </w:r>
    </w:p>
    <w:p w14:paraId="15C3B9B2"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ראשונים</w:t>
      </w:r>
      <w:r w:rsidRPr="00012502">
        <w:rPr>
          <w:rFonts w:ascii="Narkisim" w:hAnsi="Narkisim" w:cs="Narkisim"/>
          <w:rtl/>
        </w:rPr>
        <w:t xml:space="preserve"> נקטו דלדעת רש"י בין היבם בצרות ובין האחים בעשה. וה</w:t>
      </w:r>
      <w:r w:rsidRPr="00012502">
        <w:rPr>
          <w:rFonts w:ascii="Narkisim" w:hAnsi="Narkisim" w:cs="Narkisim"/>
          <w:b/>
          <w:bCs/>
          <w:rtl/>
        </w:rPr>
        <w:t>ריטב"א</w:t>
      </w:r>
      <w:r w:rsidRPr="00012502">
        <w:rPr>
          <w:rFonts w:ascii="Narkisim" w:hAnsi="Narkisim" w:cs="Narkisim"/>
          <w:rtl/>
        </w:rPr>
        <w:t xml:space="preserve"> הק' דהאח לא בנה ביבמה, והאיך עובר משום בונה ב' בתים. ותי' דכיון דהיבם שליחותא דכולהו אחים עבד, הרי הבית שבנה כאילו בנאוהו כל האחים</w:t>
      </w:r>
      <w:r w:rsidRPr="00012502">
        <w:rPr>
          <w:rStyle w:val="ac"/>
          <w:rFonts w:ascii="Narkisim" w:hAnsi="Narkisim" w:cs="Narkisim"/>
          <w:rtl/>
        </w:rPr>
        <w:footnoteReference w:id="612"/>
      </w:r>
      <w:r w:rsidRPr="00012502">
        <w:rPr>
          <w:rFonts w:ascii="Narkisim" w:hAnsi="Narkisim" w:cs="Narkisim"/>
          <w:rtl/>
        </w:rPr>
        <w:t>.</w:t>
      </w:r>
    </w:p>
    <w:p w14:paraId="10B7AAF2" w14:textId="77777777" w:rsidR="00BE1D1C" w:rsidRPr="00012502" w:rsidRDefault="00000000" w:rsidP="00012502">
      <w:pPr>
        <w:pStyle w:val="a7"/>
        <w:bidi/>
        <w:rPr>
          <w:rFonts w:ascii="Narkisim" w:hAnsi="Narkisim"/>
        </w:rPr>
      </w:pPr>
      <w:r w:rsidRPr="00012502">
        <w:rPr>
          <w:rFonts w:ascii="Narkisim" w:hAnsi="Narkisim"/>
          <w:rtl/>
        </w:rPr>
        <w:t>וב</w:t>
      </w:r>
      <w:r w:rsidRPr="00012502">
        <w:rPr>
          <w:rFonts w:ascii="Narkisim" w:hAnsi="Narkisim"/>
          <w:b/>
          <w:bCs/>
          <w:rtl/>
        </w:rPr>
        <w:t>שו"ת מהר"ח או"ז</w:t>
      </w:r>
      <w:r w:rsidRPr="00012502">
        <w:rPr>
          <w:rFonts w:ascii="Narkisim" w:hAnsi="Narkisim"/>
          <w:rtl/>
        </w:rPr>
        <w:t xml:space="preserve"> (קסד) תי' דסוף סוף איסור זה אפקיה בלשון עשה</w:t>
      </w:r>
      <w:r w:rsidRPr="00012502">
        <w:rPr>
          <w:rStyle w:val="ac"/>
          <w:rFonts w:ascii="Narkisim" w:hAnsi="Narkisim"/>
          <w:rtl/>
        </w:rPr>
        <w:footnoteReference w:id="613"/>
      </w:r>
      <w:r w:rsidRPr="00012502">
        <w:rPr>
          <w:rFonts w:ascii="Narkisim" w:hAnsi="Narkisim"/>
          <w:rtl/>
        </w:rPr>
        <w:t>. דגלי קרא דסגי בבית א', ומש"ה הוה עשה. אך הוסיף דעי"ז יש ג"כ לאו דלא יבנה, וכוונת הגמ' דשורש הדבר הוה עשה</w:t>
      </w:r>
      <w:r w:rsidRPr="00012502">
        <w:rPr>
          <w:rStyle w:val="ac"/>
          <w:rFonts w:ascii="Narkisim" w:hAnsi="Narkisim"/>
          <w:rtl/>
        </w:rPr>
        <w:footnoteReference w:id="614"/>
      </w:r>
      <w:r w:rsidRPr="00012502">
        <w:rPr>
          <w:rFonts w:ascii="Narkisim" w:hAnsi="Narkisim"/>
          <w:rtl/>
        </w:rPr>
        <w:t>. ולעולם אף לרש"י יש לאו ועשה.</w:t>
      </w:r>
    </w:p>
    <w:p w14:paraId="7125D21D" w14:textId="77777777" w:rsidR="00BE1D1C" w:rsidRPr="00012502" w:rsidRDefault="00000000" w:rsidP="00012502">
      <w:pPr>
        <w:bidi/>
        <w:rPr>
          <w:rFonts w:ascii="Narkisim" w:hAnsi="Narkisim" w:cs="Narkisim"/>
        </w:rPr>
      </w:pPr>
      <w:r w:rsidRPr="00012502">
        <w:rPr>
          <w:rFonts w:ascii="Narkisim" w:hAnsi="Narkisim" w:cs="Narkisim"/>
          <w:rtl/>
        </w:rPr>
        <w:t>אבל ה</w:t>
      </w:r>
      <w:r w:rsidRPr="00012502">
        <w:rPr>
          <w:rFonts w:ascii="Narkisim" w:hAnsi="Narkisim" w:cs="Narkisim"/>
          <w:b/>
          <w:bCs/>
          <w:rtl/>
        </w:rPr>
        <w:t>רשב"א</w:t>
      </w:r>
      <w:r w:rsidRPr="00012502">
        <w:rPr>
          <w:rFonts w:ascii="Narkisim" w:hAnsi="Narkisim" w:cs="Narkisim"/>
          <w:rtl/>
        </w:rPr>
        <w:t xml:space="preserve"> כת' דלדעת רש"י הוא על הצרה בעשה, אבל האחים ודאי הוה לאו.</w:t>
      </w:r>
    </w:p>
    <w:p w14:paraId="52FA9852" w14:textId="77777777" w:rsidR="00BE1D1C" w:rsidRPr="00012502" w:rsidRDefault="00000000" w:rsidP="00012502">
      <w:pPr>
        <w:pStyle w:val="aa"/>
        <w:bidi/>
        <w:rPr>
          <w:rFonts w:ascii="Narkisim" w:hAnsi="Narkisim"/>
        </w:rPr>
      </w:pPr>
      <w:r w:rsidRPr="00012502">
        <w:rPr>
          <w:rFonts w:ascii="Narkisim" w:hAnsi="Narkisim"/>
          <w:u w:val="single"/>
          <w:rtl/>
        </w:rPr>
        <w:t>בא"ד וקשיא דאיצטריך קרא לגופיה וכו'.</w:t>
      </w:r>
      <w:r w:rsidRPr="00012502">
        <w:rPr>
          <w:rFonts w:ascii="Narkisim" w:hAnsi="Narkisim"/>
          <w:rtl/>
        </w:rPr>
        <w:t xml:space="preserve"> וה</w:t>
      </w:r>
      <w:r w:rsidRPr="00012502">
        <w:rPr>
          <w:rFonts w:ascii="Narkisim" w:hAnsi="Narkisim"/>
          <w:b/>
          <w:bCs/>
          <w:rtl/>
        </w:rPr>
        <w:t>ק"נ</w:t>
      </w:r>
      <w:r w:rsidRPr="00012502">
        <w:rPr>
          <w:rFonts w:ascii="Narkisim" w:hAnsi="Narkisim"/>
          <w:rtl/>
        </w:rPr>
        <w:t xml:space="preserve"> (לרא"ש לקמן לט: ד כא אות ל) תי'</w:t>
      </w:r>
      <w:r w:rsidRPr="00012502">
        <w:rPr>
          <w:rStyle w:val="ac"/>
          <w:rFonts w:ascii="Narkisim" w:hAnsi="Narkisim"/>
          <w:rtl/>
        </w:rPr>
        <w:footnoteReference w:id="615"/>
      </w:r>
      <w:r w:rsidRPr="00012502">
        <w:rPr>
          <w:rFonts w:ascii="Narkisim" w:hAnsi="Narkisim"/>
          <w:rtl/>
        </w:rPr>
        <w:t xml:space="preserve"> דכיון דשליחותא דצרה ודאחין עבדי, ממילא אינתקו מכרת. ואת"ל דאיצטריך קרא לגופיה, א"כ אין בזה אפי' עשה.</w:t>
      </w:r>
    </w:p>
    <w:p w14:paraId="72B2704E"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וה</w:t>
      </w:r>
      <w:r w:rsidRPr="00012502">
        <w:rPr>
          <w:rFonts w:ascii="Narkisim" w:hAnsi="Narkisim" w:cs="Narkisim"/>
          <w:b/>
          <w:bCs/>
          <w:rtl/>
        </w:rPr>
        <w:t xml:space="preserve">תו"י </w:t>
      </w:r>
      <w:r w:rsidRPr="00012502">
        <w:rPr>
          <w:rFonts w:ascii="Narkisim" w:hAnsi="Narkisim" w:cs="Narkisim"/>
          <w:rtl/>
        </w:rPr>
        <w:t>ו</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Cs w:val="20"/>
          <w:rtl/>
        </w:rPr>
        <w:t>(כתובות</w:t>
      </w:r>
      <w:r w:rsidRPr="00012502">
        <w:rPr>
          <w:rFonts w:ascii="Narkisim" w:hAnsi="Narkisim" w:cs="Narkisim"/>
          <w:rtl/>
        </w:rPr>
        <w:t xml:space="preserve"> </w:t>
      </w:r>
      <w:r w:rsidRPr="00012502">
        <w:rPr>
          <w:rFonts w:ascii="Narkisim" w:hAnsi="Narkisim" w:cs="Narkisim"/>
          <w:sz w:val="20"/>
          <w:szCs w:val="20"/>
          <w:rtl/>
        </w:rPr>
        <w:t xml:space="preserve">ל. ד"ה אי) </w:t>
      </w:r>
      <w:r w:rsidRPr="00012502">
        <w:rPr>
          <w:rFonts w:ascii="Narkisim" w:hAnsi="Narkisim" w:cs="Narkisim"/>
          <w:rtl/>
        </w:rPr>
        <w:t>ו</w:t>
      </w:r>
      <w:r w:rsidRPr="00012502">
        <w:rPr>
          <w:rFonts w:ascii="Narkisim" w:hAnsi="Narkisim" w:cs="Narkisim"/>
          <w:b/>
          <w:bCs/>
          <w:rtl/>
        </w:rPr>
        <w:t>שא"ר</w:t>
      </w:r>
      <w:r w:rsidRPr="00012502">
        <w:rPr>
          <w:rFonts w:ascii="Narkisim" w:hAnsi="Narkisim" w:cs="Narkisim"/>
          <w:rtl/>
        </w:rPr>
        <w:t xml:space="preserve"> הקשו עוד דבמשנה (לקמן נ.) מבואר דאחרי יבום אין קידושין תופסים בצרה, והגמ' (נב:) פי' דקאי כר' עקיבא. ומבואר דהוה חייבי לאוין, דלא אשכחן סתם משנה כר' ישבב </w:t>
      </w:r>
      <w:r w:rsidRPr="00012502">
        <w:rPr>
          <w:rFonts w:ascii="Narkisim" w:hAnsi="Narkisim" w:cs="Narkisim"/>
          <w:sz w:val="20"/>
          <w:szCs w:val="20"/>
          <w:rtl/>
        </w:rPr>
        <w:t xml:space="preserve">(לקמן מט. וכתובות ל.) </w:t>
      </w:r>
      <w:r w:rsidRPr="00012502">
        <w:rPr>
          <w:rFonts w:ascii="Narkisim" w:hAnsi="Narkisim" w:cs="Narkisim"/>
          <w:rtl/>
        </w:rPr>
        <w:t>דאין קידושין בחייבי עשה</w:t>
      </w:r>
      <w:r w:rsidRPr="00012502">
        <w:rPr>
          <w:rStyle w:val="ac"/>
          <w:rFonts w:ascii="Narkisim" w:hAnsi="Narkisim" w:cs="Narkisim"/>
          <w:rtl/>
        </w:rPr>
        <w:footnoteReference w:id="616"/>
      </w:r>
      <w:r w:rsidRPr="00012502">
        <w:rPr>
          <w:rFonts w:ascii="Narkisim" w:hAnsi="Narkisim" w:cs="Narkisim"/>
          <w:rtl/>
        </w:rPr>
        <w:t xml:space="preserve">. וע"כ </w:t>
      </w:r>
      <w:r w:rsidRPr="00012502">
        <w:rPr>
          <w:rFonts w:ascii="Narkisim" w:hAnsi="Narkisim" w:cs="Narkisim"/>
          <w:rtl/>
        </w:rPr>
        <w:lastRenderedPageBreak/>
        <w:t>דהוה לא תעשה [וכתוס'].</w:t>
      </w:r>
    </w:p>
    <w:p w14:paraId="428B5D77" w14:textId="77777777" w:rsidR="00BE1D1C" w:rsidRPr="00012502" w:rsidRDefault="00000000" w:rsidP="00012502">
      <w:pPr>
        <w:bidi/>
        <w:rPr>
          <w:rFonts w:ascii="Narkisim" w:hAnsi="Narkisim" w:cs="Narkisim"/>
        </w:rPr>
      </w:pPr>
      <w:r w:rsidRPr="00012502">
        <w:rPr>
          <w:rFonts w:ascii="Narkisim" w:hAnsi="Narkisim" w:cs="Narkisim"/>
          <w:rtl/>
        </w:rPr>
        <w:t>אבל ה</w:t>
      </w:r>
      <w:r w:rsidRPr="00012502">
        <w:rPr>
          <w:rFonts w:ascii="Narkisim" w:hAnsi="Narkisim" w:cs="Narkisim"/>
          <w:b/>
          <w:bCs/>
          <w:rtl/>
        </w:rPr>
        <w:t>רמב"ם</w:t>
      </w:r>
      <w:r w:rsidRPr="00012502">
        <w:rPr>
          <w:rFonts w:ascii="Narkisim" w:hAnsi="Narkisim" w:cs="Narkisim"/>
          <w:rtl/>
        </w:rPr>
        <w:t xml:space="preserve"> (א יב) כתב דהכונס את יבמתו נאסר הוא והאחים בצרה בעשה, דדרשי' יבמה יבא עליה ולא עליה ועל חברתה. ולאו הבא מכלל עשה עשה</w:t>
      </w:r>
      <w:r w:rsidRPr="00012502">
        <w:rPr>
          <w:rStyle w:val="ac"/>
          <w:rFonts w:ascii="Narkisim" w:hAnsi="Narkisim" w:cs="Narkisim"/>
          <w:rtl/>
        </w:rPr>
        <w:footnoteReference w:id="617"/>
      </w:r>
      <w:r w:rsidRPr="00012502">
        <w:rPr>
          <w:rFonts w:ascii="Narkisim" w:hAnsi="Narkisim" w:cs="Narkisim"/>
          <w:rtl/>
        </w:rPr>
        <w:t>.</w:t>
      </w:r>
    </w:p>
    <w:p w14:paraId="778D8541"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טור</w:t>
      </w:r>
      <w:r w:rsidRPr="00012502">
        <w:rPr>
          <w:rFonts w:ascii="Narkisim" w:hAnsi="Narkisim"/>
          <w:rtl/>
        </w:rPr>
        <w:t xml:space="preserve"> (קסב) כתב אף לגבי החולץ ליבמתו דעובר בעשה</w:t>
      </w:r>
      <w:r w:rsidRPr="00012502">
        <w:rPr>
          <w:rStyle w:val="ac"/>
          <w:rFonts w:ascii="Narkisim" w:hAnsi="Narkisim"/>
          <w:rtl/>
        </w:rPr>
        <w:footnoteReference w:id="618"/>
      </w:r>
      <w:r w:rsidRPr="00012502">
        <w:rPr>
          <w:rFonts w:ascii="Narkisim" w:hAnsi="Narkisim"/>
          <w:rtl/>
        </w:rPr>
        <w:t>. וה</w:t>
      </w:r>
      <w:r w:rsidRPr="00012502">
        <w:rPr>
          <w:rFonts w:ascii="Narkisim" w:hAnsi="Narkisim"/>
          <w:b/>
          <w:bCs/>
          <w:rtl/>
        </w:rPr>
        <w:t>ב"ח</w:t>
      </w:r>
      <w:r w:rsidRPr="00012502">
        <w:rPr>
          <w:rFonts w:ascii="Narkisim" w:hAnsi="Narkisim"/>
          <w:rtl/>
        </w:rPr>
        <w:t xml:space="preserve"> ו</w:t>
      </w:r>
      <w:r w:rsidRPr="00012502">
        <w:rPr>
          <w:rFonts w:ascii="Narkisim" w:hAnsi="Narkisim"/>
          <w:b/>
          <w:bCs/>
          <w:rtl/>
        </w:rPr>
        <w:t>גר"א</w:t>
      </w:r>
      <w:r w:rsidRPr="00012502">
        <w:rPr>
          <w:rFonts w:ascii="Narkisim" w:hAnsi="Narkisim"/>
          <w:rtl/>
        </w:rPr>
        <w:t xml:space="preserve"> (קסב ב) תמהו ע"ז, דהוה לאו דלא יבנה.</w:t>
      </w:r>
    </w:p>
    <w:p w14:paraId="0B3E0574" w14:textId="77777777" w:rsidR="00BE1D1C" w:rsidRPr="00012502" w:rsidRDefault="00000000" w:rsidP="00012502">
      <w:pPr>
        <w:bidi/>
        <w:rPr>
          <w:rFonts w:ascii="Narkisim" w:hAnsi="Narkisim" w:cs="Narkisim"/>
        </w:rPr>
      </w:pPr>
      <w:r w:rsidRPr="00012502">
        <w:rPr>
          <w:rFonts w:ascii="Narkisim" w:hAnsi="Narkisim" w:cs="Narkisim"/>
          <w:u w:val="single"/>
          <w:rtl/>
        </w:rPr>
        <w:t>בא"ד [סו"ד] אבל לפ"ה דגרסי' בעשה וכו' אבל איהו לכו"ע בעשה</w:t>
      </w:r>
      <w:r w:rsidRPr="00012502">
        <w:rPr>
          <w:rFonts w:ascii="Narkisim" w:hAnsi="Narkisim" w:cs="Narkisim"/>
          <w:rtl/>
        </w:rPr>
        <w:t xml:space="preserve">. דניתק לעשה ע"י דרשת 'אינו בונה ב' בתים'. </w:t>
      </w:r>
      <w:r w:rsidRPr="00012502">
        <w:rPr>
          <w:rFonts w:ascii="Narkisim" w:hAnsi="Narkisim" w:cs="Narkisim"/>
          <w:sz w:val="20"/>
          <w:szCs w:val="20"/>
          <w:rtl/>
        </w:rPr>
        <w:t>ומבואר דאף לר"ל אמרי' 'ניתוק' בביאה, ואף דלא שייך סברת מי איכא מידי, ואין טעם לומר שליחותייהו [וע' אחרונים].</w:t>
      </w:r>
    </w:p>
    <w:p w14:paraId="6563E9E9" w14:textId="77777777" w:rsidR="00BE1D1C" w:rsidRPr="00012502" w:rsidRDefault="00000000" w:rsidP="00012502">
      <w:pPr>
        <w:pStyle w:val="a7"/>
        <w:bidi/>
        <w:rPr>
          <w:rFonts w:ascii="Narkisim" w:hAnsi="Narkisim"/>
        </w:rPr>
      </w:pPr>
      <w:r w:rsidRPr="00012502">
        <w:rPr>
          <w:rFonts w:ascii="Narkisim" w:hAnsi="Narkisim"/>
          <w:rtl/>
        </w:rPr>
        <w:t>ה</w:t>
      </w:r>
      <w:r w:rsidRPr="00012502">
        <w:rPr>
          <w:rFonts w:ascii="Narkisim" w:hAnsi="Narkisim"/>
          <w:b/>
          <w:bCs/>
          <w:rtl/>
        </w:rPr>
        <w:t>תוס' הרא"ש</w:t>
      </w:r>
      <w:r w:rsidRPr="00012502">
        <w:rPr>
          <w:rFonts w:ascii="Narkisim" w:hAnsi="Narkisim"/>
          <w:rtl/>
        </w:rPr>
        <w:t xml:space="preserve"> ו</w:t>
      </w:r>
      <w:r w:rsidRPr="00012502">
        <w:rPr>
          <w:rFonts w:ascii="Narkisim" w:hAnsi="Narkisim"/>
          <w:b/>
          <w:bCs/>
          <w:rtl/>
        </w:rPr>
        <w:t xml:space="preserve">תו"י </w:t>
      </w:r>
      <w:r w:rsidRPr="00012502">
        <w:rPr>
          <w:rFonts w:ascii="Narkisim" w:hAnsi="Narkisim"/>
          <w:rtl/>
        </w:rPr>
        <w:t>הקשו [לתוס'] במה תליא הנידון האם שייך לאו דלא יבנה לצרה ביבום במח' ר' יוחנן ור"ל, ומנלן דפליגי אף בזה.</w:t>
      </w:r>
    </w:p>
    <w:p w14:paraId="45118761" w14:textId="77777777" w:rsidR="00BE1D1C" w:rsidRPr="00012502" w:rsidRDefault="00000000" w:rsidP="00012502">
      <w:pPr>
        <w:pStyle w:val="a8"/>
        <w:bidi/>
        <w:rPr>
          <w:rFonts w:ascii="Narkisim" w:hAnsi="Narkisim"/>
        </w:rPr>
      </w:pPr>
      <w:r w:rsidRPr="00012502">
        <w:rPr>
          <w:rFonts w:ascii="Narkisim" w:hAnsi="Narkisim"/>
          <w:rtl/>
        </w:rPr>
        <w:t>ויש שפי' ע"פ דברי האחרונים דשורש מח' ר"י ור"ל האם הזיקה מתייחס לכולהו ביחד או בנפרד וכו', ומשמע מדברי הראשונים כאן דהוה מח' רק האם מתפרש הפסוק דיש בזה ניתוק.</w:t>
      </w:r>
    </w:p>
    <w:p w14:paraId="4C83781E"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תוס' הרא"ש</w:t>
      </w:r>
      <w:r w:rsidRPr="00012502">
        <w:rPr>
          <w:rFonts w:ascii="Narkisim" w:hAnsi="Narkisim"/>
          <w:rtl/>
        </w:rPr>
        <w:t xml:space="preserve"> ו</w:t>
      </w:r>
      <w:r w:rsidRPr="00012502">
        <w:rPr>
          <w:rFonts w:ascii="Narkisim" w:hAnsi="Narkisim"/>
          <w:b/>
          <w:bCs/>
          <w:rtl/>
        </w:rPr>
        <w:t>תו"י</w:t>
      </w:r>
      <w:r w:rsidRPr="00012502">
        <w:rPr>
          <w:rFonts w:ascii="Narkisim" w:hAnsi="Narkisim"/>
          <w:rtl/>
        </w:rPr>
        <w:t xml:space="preserve"> תי' בשם ה</w:t>
      </w:r>
      <w:r w:rsidRPr="00012502">
        <w:rPr>
          <w:rFonts w:ascii="Narkisim" w:hAnsi="Narkisim"/>
          <w:b/>
          <w:bCs/>
          <w:rtl/>
        </w:rPr>
        <w:t>ר"מ</w:t>
      </w:r>
      <w:r w:rsidRPr="00012502">
        <w:rPr>
          <w:rStyle w:val="ac"/>
          <w:rFonts w:ascii="Narkisim" w:hAnsi="Narkisim"/>
          <w:rtl/>
        </w:rPr>
        <w:footnoteReference w:id="619"/>
      </w:r>
      <w:r w:rsidRPr="00012502">
        <w:rPr>
          <w:rFonts w:ascii="Narkisim" w:hAnsi="Narkisim"/>
          <w:rtl/>
        </w:rPr>
        <w:t xml:space="preserve"> דמסתבר להשוות דין יבום לדין חליצה.</w:t>
      </w:r>
    </w:p>
    <w:p w14:paraId="6AA3F59B"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מהר"ח או"ז</w:t>
      </w:r>
      <w:r w:rsidRPr="00012502">
        <w:rPr>
          <w:rFonts w:ascii="Narkisim" w:hAnsi="Narkisim"/>
          <w:rtl/>
        </w:rPr>
        <w:t xml:space="preserve"> (קסד) הביא דר' פרץ פי' כי היכי דרבי יוחנן מוקי ניתוק ד'לא יבנה' גם באחין גם בצרה, כמו כן יש להעמיד הניתוק גם בביאה. ור"ל מוקי הניתוק לכל הפחות דאפשר.</w:t>
      </w:r>
    </w:p>
    <w:p w14:paraId="2F122BED" w14:textId="77777777" w:rsidR="00BE1D1C" w:rsidRPr="00012502" w:rsidRDefault="00000000" w:rsidP="00012502">
      <w:pPr>
        <w:pStyle w:val="2"/>
        <w:bidi/>
        <w:rPr>
          <w:rFonts w:ascii="Narkisim" w:hAnsi="Narkisim"/>
        </w:rPr>
      </w:pPr>
      <w:r w:rsidRPr="00012502">
        <w:rPr>
          <w:rFonts w:ascii="Narkisim" w:hAnsi="Narkisim"/>
          <w:rtl/>
        </w:rPr>
        <w:t>צרת סוטה</w:t>
      </w:r>
    </w:p>
    <w:p w14:paraId="672BFD29" w14:textId="77777777" w:rsidR="00BE1D1C" w:rsidRPr="00012502" w:rsidRDefault="00000000" w:rsidP="00012502">
      <w:pPr>
        <w:bidi/>
        <w:rPr>
          <w:rFonts w:ascii="Narkisim" w:hAnsi="Narkisim" w:cs="Narkisim"/>
        </w:rPr>
      </w:pPr>
      <w:r w:rsidRPr="00012502">
        <w:rPr>
          <w:rFonts w:ascii="Narkisim" w:hAnsi="Narkisim" w:cs="Narkisim"/>
          <w:u w:val="single"/>
          <w:rtl/>
        </w:rPr>
        <w:t>אמר רב צרת סוטה אסורה.</w:t>
      </w:r>
      <w:r w:rsidRPr="00012502">
        <w:rPr>
          <w:rFonts w:ascii="Narkisim" w:hAnsi="Narkisim" w:cs="Narkisim"/>
          <w:rtl/>
        </w:rPr>
        <w:t xml:space="preserve"> </w:t>
      </w:r>
      <w:r w:rsidRPr="00012502">
        <w:rPr>
          <w:rFonts w:ascii="Narkisim" w:hAnsi="Narkisim" w:cs="Narkisim"/>
          <w:b/>
          <w:bCs/>
          <w:rtl/>
        </w:rPr>
        <w:t>רש"י</w:t>
      </w:r>
      <w:r w:rsidRPr="00012502">
        <w:rPr>
          <w:rFonts w:ascii="Narkisim" w:hAnsi="Narkisim" w:cs="Narkisim"/>
          <w:rtl/>
        </w:rPr>
        <w:t xml:space="preserve"> ו</w:t>
      </w:r>
      <w:r w:rsidRPr="00012502">
        <w:rPr>
          <w:rFonts w:ascii="Narkisim" w:hAnsi="Narkisim" w:cs="Narkisim"/>
          <w:b/>
          <w:bCs/>
          <w:rtl/>
        </w:rPr>
        <w:t>תוס'</w:t>
      </w:r>
      <w:r w:rsidRPr="00012502">
        <w:rPr>
          <w:rFonts w:ascii="Narkisim" w:hAnsi="Narkisim" w:cs="Narkisim"/>
          <w:rtl/>
        </w:rPr>
        <w:t xml:space="preserve"> פי' דרב חידש דפטורות אף מהחליצה, דכתיב טומאה</w:t>
      </w:r>
      <w:r w:rsidRPr="00012502">
        <w:rPr>
          <w:rStyle w:val="ac"/>
          <w:rFonts w:ascii="Narkisim" w:hAnsi="Narkisim" w:cs="Narkisim"/>
          <w:rtl/>
        </w:rPr>
        <w:footnoteReference w:id="620"/>
      </w:r>
      <w:r w:rsidRPr="00012502">
        <w:rPr>
          <w:rFonts w:ascii="Narkisim" w:hAnsi="Narkisim" w:cs="Narkisim"/>
          <w:rtl/>
        </w:rPr>
        <w:t>.</w:t>
      </w:r>
    </w:p>
    <w:p w14:paraId="1D9BF479" w14:textId="77777777" w:rsidR="00BE1D1C" w:rsidRPr="00012502" w:rsidRDefault="00000000" w:rsidP="00012502">
      <w:pPr>
        <w:pStyle w:val="a8"/>
        <w:bidi/>
        <w:rPr>
          <w:rFonts w:ascii="Narkisim" w:hAnsi="Narkisim"/>
        </w:rPr>
      </w:pPr>
      <w:r w:rsidRPr="00012502">
        <w:rPr>
          <w:rFonts w:ascii="Narkisim" w:hAnsi="Narkisim"/>
          <w:rtl/>
        </w:rPr>
        <w:t>ואף דסוטה הוה חייבי לאוין בעלמא, ותפסי בה קידושין (כדאי' לקמן מט:), אפ"ה לענין יבום ילפי' דהוה כערוה [מדכתיב טומאה]. וה</w:t>
      </w:r>
      <w:r w:rsidRPr="00012502">
        <w:rPr>
          <w:rFonts w:ascii="Narkisim" w:hAnsi="Narkisim"/>
          <w:b/>
          <w:bCs/>
          <w:rtl/>
        </w:rPr>
        <w:t>אחרונים</w:t>
      </w:r>
      <w:r w:rsidRPr="00012502">
        <w:rPr>
          <w:rFonts w:ascii="Narkisim" w:hAnsi="Narkisim"/>
          <w:rtl/>
        </w:rPr>
        <w:t xml:space="preserve"> (קובה"ע ג יב, ע' ברכ"ש ז) הביאו דמבואר דגדרי ערוה לענין יבום לא תלי בגדר ערוה לתפיסת קידושין</w:t>
      </w:r>
      <w:r w:rsidRPr="00012502">
        <w:rPr>
          <w:rStyle w:val="ac"/>
          <w:rFonts w:ascii="Narkisim" w:hAnsi="Narkisim"/>
          <w:rtl/>
        </w:rPr>
        <w:footnoteReference w:id="621"/>
      </w:r>
      <w:r w:rsidRPr="00012502">
        <w:rPr>
          <w:rFonts w:ascii="Narkisim" w:hAnsi="Narkisim"/>
          <w:rtl/>
        </w:rPr>
        <w:t xml:space="preserve"> או לאיסור כרת</w:t>
      </w:r>
      <w:r w:rsidRPr="00012502">
        <w:rPr>
          <w:rStyle w:val="ac"/>
          <w:rFonts w:ascii="Narkisim" w:hAnsi="Narkisim"/>
          <w:rtl/>
        </w:rPr>
        <w:footnoteReference w:id="622"/>
      </w:r>
      <w:r w:rsidRPr="00012502">
        <w:rPr>
          <w:rFonts w:ascii="Narkisim" w:hAnsi="Narkisim"/>
          <w:rtl/>
        </w:rPr>
        <w:t>.</w:t>
      </w:r>
    </w:p>
    <w:p w14:paraId="02FE92FD" w14:textId="77777777" w:rsidR="00BE1D1C" w:rsidRPr="00012502" w:rsidRDefault="00000000" w:rsidP="00012502">
      <w:pPr>
        <w:pStyle w:val="a7"/>
        <w:bidi/>
        <w:rPr>
          <w:rFonts w:ascii="Narkisim" w:hAnsi="Narkisim"/>
        </w:rPr>
      </w:pPr>
      <w:r w:rsidRPr="00012502">
        <w:rPr>
          <w:rFonts w:ascii="Narkisim" w:hAnsi="Narkisim"/>
          <w:rtl/>
        </w:rPr>
        <w:t>אבל בחי' ה</w:t>
      </w:r>
      <w:r w:rsidRPr="00012502">
        <w:rPr>
          <w:rFonts w:ascii="Narkisim" w:hAnsi="Narkisim"/>
          <w:b/>
          <w:bCs/>
          <w:rtl/>
        </w:rPr>
        <w:t>רמב"ן</w:t>
      </w:r>
      <w:r w:rsidRPr="00012502">
        <w:rPr>
          <w:rFonts w:ascii="Narkisim" w:hAnsi="Narkisim"/>
          <w:rtl/>
        </w:rPr>
        <w:t xml:space="preserve"> (בסו"ד) כת' דרב יליף דצרת סוטה כמותה, דילפי' 'טומאה'. אלא דעדיין לא ידעינן אי סוטה צריכה חליצה</w:t>
      </w:r>
      <w:r w:rsidRPr="00012502">
        <w:rPr>
          <w:rStyle w:val="ac"/>
          <w:rFonts w:ascii="Narkisim" w:hAnsi="Narkisim"/>
          <w:rtl/>
        </w:rPr>
        <w:footnoteReference w:id="623"/>
      </w:r>
      <w:r w:rsidRPr="00012502">
        <w:rPr>
          <w:rFonts w:ascii="Narkisim" w:hAnsi="Narkisim"/>
          <w:rtl/>
        </w:rPr>
        <w:t>. וכתב דרב סמך דפטורה מחליצה מדדרשי' (סוטה ה:, הו' בסמוך) 'לאחר' ולא ליבם לפטור מחליצה ויבום</w:t>
      </w:r>
      <w:r w:rsidRPr="00012502">
        <w:rPr>
          <w:rStyle w:val="ac"/>
          <w:rFonts w:ascii="Narkisim" w:hAnsi="Narkisim"/>
          <w:rtl/>
        </w:rPr>
        <w:footnoteReference w:id="624"/>
      </w:r>
      <w:r w:rsidRPr="00012502">
        <w:rPr>
          <w:rFonts w:ascii="Narkisim" w:hAnsi="Narkisim"/>
          <w:rtl/>
        </w:rPr>
        <w:t>.</w:t>
      </w:r>
    </w:p>
    <w:p w14:paraId="7B599CE5" w14:textId="77777777" w:rsidR="00BE1D1C" w:rsidRPr="00012502" w:rsidRDefault="00000000" w:rsidP="00012502">
      <w:pPr>
        <w:pStyle w:val="a7"/>
        <w:bidi/>
        <w:rPr>
          <w:rFonts w:ascii="Narkisim" w:hAnsi="Narkisim"/>
        </w:rPr>
      </w:pPr>
      <w:r w:rsidRPr="00012502">
        <w:rPr>
          <w:rFonts w:ascii="Narkisim" w:hAnsi="Narkisim"/>
          <w:rtl/>
        </w:rPr>
        <w:t xml:space="preserve">אך </w:t>
      </w:r>
      <w:r w:rsidRPr="00012502">
        <w:rPr>
          <w:rFonts w:ascii="Narkisim" w:hAnsi="Narkisim"/>
          <w:b/>
          <w:bCs/>
          <w:rtl/>
        </w:rPr>
        <w:t>תוס</w:t>
      </w:r>
      <w:r w:rsidRPr="00012502">
        <w:rPr>
          <w:rFonts w:ascii="Narkisim" w:hAnsi="Narkisim"/>
          <w:rtl/>
        </w:rPr>
        <w:t xml:space="preserve">' </w:t>
      </w:r>
      <w:r w:rsidRPr="00012502">
        <w:rPr>
          <w:rFonts w:ascii="Narkisim" w:hAnsi="Narkisim"/>
          <w:szCs w:val="20"/>
          <w:rtl/>
        </w:rPr>
        <w:t>(סוטה ה: ד"ה לאחר)</w:t>
      </w:r>
      <w:r w:rsidRPr="00012502">
        <w:rPr>
          <w:rFonts w:ascii="Narkisim" w:hAnsi="Narkisim"/>
          <w:rtl/>
        </w:rPr>
        <w:t xml:space="preserve"> כת' דדרשת 'לאחר' קאי בסוטה ספק, דלא איצטריך לסוטה ודאי דכתיב טומאה.</w:t>
      </w:r>
    </w:p>
    <w:p w14:paraId="37E4E4BF"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ראב"ד</w:t>
      </w:r>
      <w:r w:rsidRPr="00012502">
        <w:rPr>
          <w:rFonts w:ascii="Narkisim" w:hAnsi="Narkisim" w:cs="Narkisim"/>
          <w:rtl/>
        </w:rPr>
        <w:t xml:space="preserve"> (על הרי"ף) כת' דסוגיא דעלמא דצרת סוטה חולצת, דאילו איתיה לבעל מי לא בעי גט [וכדאי' בסוטה ה:, הו' בסמוך].</w:t>
      </w:r>
      <w:r w:rsidRPr="00012502">
        <w:rPr>
          <w:rFonts w:ascii="Narkisim" w:hAnsi="Narkisim" w:cs="Narkisim"/>
          <w:sz w:val="20"/>
          <w:szCs w:val="20"/>
          <w:rtl/>
        </w:rPr>
        <w:t xml:space="preserve"> וכעי"ז כת' ה</w:t>
      </w:r>
      <w:r w:rsidRPr="00012502">
        <w:rPr>
          <w:rFonts w:ascii="Narkisim" w:hAnsi="Narkisim" w:cs="Narkisim"/>
          <w:b/>
          <w:bCs/>
          <w:sz w:val="20"/>
          <w:szCs w:val="20"/>
          <w:rtl/>
        </w:rPr>
        <w:t>ריטב"א</w:t>
      </w:r>
      <w:r w:rsidRPr="00012502">
        <w:rPr>
          <w:rFonts w:ascii="Narkisim" w:hAnsi="Narkisim" w:cs="Narkisim"/>
          <w:sz w:val="20"/>
          <w:szCs w:val="20"/>
          <w:rtl/>
        </w:rPr>
        <w:t xml:space="preserve"> בשם ה</w:t>
      </w:r>
      <w:r w:rsidRPr="00012502">
        <w:rPr>
          <w:rFonts w:ascii="Narkisim" w:hAnsi="Narkisim" w:cs="Narkisim"/>
          <w:b/>
          <w:bCs/>
          <w:sz w:val="20"/>
          <w:szCs w:val="20"/>
          <w:rtl/>
        </w:rPr>
        <w:t>רא"ה</w:t>
      </w:r>
      <w:r w:rsidRPr="00012502">
        <w:rPr>
          <w:rFonts w:ascii="Narkisim" w:hAnsi="Narkisim" w:cs="Narkisim"/>
          <w:sz w:val="20"/>
          <w:szCs w:val="20"/>
          <w:rtl/>
        </w:rPr>
        <w:t xml:space="preserve"> דאף סוטה ודאי חולצת כחייבי לאוין, וטומאה כתיב ביה כעריות לעשות צרתה כמותה לאוסרה בביאה שניה</w:t>
      </w:r>
      <w:r w:rsidRPr="00012502">
        <w:rPr>
          <w:rStyle w:val="ac"/>
          <w:rFonts w:ascii="Narkisim" w:hAnsi="Narkisim" w:cs="Narkisim"/>
          <w:sz w:val="20"/>
          <w:szCs w:val="20"/>
          <w:rtl/>
        </w:rPr>
        <w:footnoteReference w:id="625"/>
      </w:r>
      <w:r w:rsidRPr="00012502">
        <w:rPr>
          <w:rFonts w:ascii="Narkisim" w:hAnsi="Narkisim" w:cs="Narkisim"/>
          <w:rtl/>
        </w:rPr>
        <w:t>.</w:t>
      </w:r>
    </w:p>
    <w:p w14:paraId="63283EFD" w14:textId="77777777" w:rsidR="00BE1D1C" w:rsidRPr="00012502" w:rsidRDefault="00000000" w:rsidP="00012502">
      <w:pPr>
        <w:pStyle w:val="a8"/>
        <w:bidi/>
        <w:rPr>
          <w:rFonts w:ascii="Narkisim" w:hAnsi="Narkisim"/>
        </w:rPr>
      </w:pPr>
      <w:r w:rsidRPr="00012502">
        <w:rPr>
          <w:rFonts w:ascii="Narkisim" w:hAnsi="Narkisim"/>
          <w:rtl/>
        </w:rPr>
        <w:lastRenderedPageBreak/>
        <w:t>ומבואר בדבריהם</w:t>
      </w:r>
      <w:r w:rsidRPr="00012502">
        <w:rPr>
          <w:rStyle w:val="ac"/>
          <w:rFonts w:ascii="Narkisim" w:hAnsi="Narkisim"/>
          <w:rtl/>
        </w:rPr>
        <w:footnoteReference w:id="626"/>
      </w:r>
      <w:r w:rsidRPr="00012502">
        <w:rPr>
          <w:rFonts w:ascii="Narkisim" w:hAnsi="Narkisim"/>
          <w:rtl/>
        </w:rPr>
        <w:t xml:space="preserve"> דאף במקום דעדיין זקוקה לחליצה שייך גדר 'צרה כמותה'</w:t>
      </w:r>
      <w:r w:rsidRPr="00012502">
        <w:rPr>
          <w:rStyle w:val="ac"/>
          <w:rFonts w:ascii="Narkisim" w:hAnsi="Narkisim"/>
          <w:rtl/>
        </w:rPr>
        <w:footnoteReference w:id="627"/>
      </w:r>
      <w:r w:rsidRPr="00012502">
        <w:rPr>
          <w:rFonts w:ascii="Narkisim" w:hAnsi="Narkisim"/>
          <w:rtl/>
        </w:rPr>
        <w:t>. [והאחרונים הביאו דלפ"ז מבואר דהגדר דערוה אוסרת צרתה</w:t>
      </w:r>
      <w:r w:rsidRPr="00012502">
        <w:rPr>
          <w:rStyle w:val="ac"/>
          <w:rFonts w:ascii="Narkisim" w:hAnsi="Narkisim"/>
          <w:rtl/>
        </w:rPr>
        <w:footnoteReference w:id="628"/>
      </w:r>
      <w:r w:rsidRPr="00012502">
        <w:rPr>
          <w:rFonts w:ascii="Narkisim" w:hAnsi="Narkisim"/>
          <w:rtl/>
        </w:rPr>
        <w:t>, ולא משום גדר 'פטור'].</w:t>
      </w:r>
    </w:p>
    <w:p w14:paraId="1A055451"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ו</w:t>
      </w:r>
      <w:r w:rsidRPr="00012502">
        <w:rPr>
          <w:rFonts w:ascii="Narkisim" w:hAnsi="Narkisim"/>
          <w:b/>
          <w:bCs/>
          <w:rtl/>
        </w:rPr>
        <w:t>רשב"א</w:t>
      </w:r>
      <w:r w:rsidRPr="00012502">
        <w:rPr>
          <w:rFonts w:ascii="Narkisim" w:hAnsi="Narkisim"/>
          <w:rtl/>
        </w:rPr>
        <w:t xml:space="preserve"> ו</w:t>
      </w:r>
      <w:r w:rsidRPr="00012502">
        <w:rPr>
          <w:rFonts w:ascii="Narkisim" w:hAnsi="Narkisim"/>
          <w:b/>
          <w:bCs/>
          <w:rtl/>
        </w:rPr>
        <w:t>רא"ש</w:t>
      </w:r>
      <w:r w:rsidRPr="00012502">
        <w:rPr>
          <w:rFonts w:ascii="Narkisim" w:hAnsi="Narkisim"/>
          <w:rtl/>
        </w:rPr>
        <w:t xml:space="preserve"> הק' דבסוגיין [קו' רב אשי מסוטה ספק, וכן לעיל ג:] מפורש דפטורה אף מחליצה</w:t>
      </w:r>
      <w:r w:rsidRPr="00012502">
        <w:rPr>
          <w:rStyle w:val="ac"/>
          <w:rFonts w:ascii="Narkisim" w:hAnsi="Narkisim"/>
          <w:rtl/>
        </w:rPr>
        <w:footnoteReference w:id="629"/>
      </w:r>
      <w:r w:rsidRPr="00012502">
        <w:rPr>
          <w:rFonts w:ascii="Narkisim" w:hAnsi="Narkisim"/>
          <w:rtl/>
        </w:rPr>
        <w:t>, וכת' שה</w:t>
      </w:r>
      <w:r w:rsidRPr="00012502">
        <w:rPr>
          <w:rFonts w:ascii="Narkisim" w:hAnsi="Narkisim"/>
          <w:b/>
          <w:bCs/>
          <w:rtl/>
        </w:rPr>
        <w:t>ראב"ד</w:t>
      </w:r>
      <w:r w:rsidRPr="00012502">
        <w:rPr>
          <w:rFonts w:ascii="Narkisim" w:hAnsi="Narkisim"/>
          <w:rtl/>
        </w:rPr>
        <w:t xml:space="preserve"> סמך דבריו על הסוגיא בסוטה</w:t>
      </w:r>
      <w:r w:rsidRPr="00012502">
        <w:rPr>
          <w:rFonts w:ascii="Narkisim" w:hAnsi="Narkisim"/>
          <w:sz w:val="20"/>
          <w:szCs w:val="20"/>
          <w:rtl/>
        </w:rPr>
        <w:t xml:space="preserve"> [ולא חילק בין סוטה ודאי לספק</w:t>
      </w:r>
      <w:r w:rsidRPr="00012502">
        <w:rPr>
          <w:rStyle w:val="ac"/>
          <w:rFonts w:ascii="Narkisim" w:hAnsi="Narkisim"/>
          <w:sz w:val="20"/>
          <w:szCs w:val="20"/>
          <w:rtl/>
        </w:rPr>
        <w:footnoteReference w:id="630"/>
      </w:r>
      <w:r w:rsidRPr="00012502">
        <w:rPr>
          <w:rFonts w:ascii="Narkisim" w:hAnsi="Narkisim"/>
          <w:sz w:val="20"/>
          <w:szCs w:val="20"/>
          <w:rtl/>
        </w:rPr>
        <w:t>]</w:t>
      </w:r>
      <w:r w:rsidRPr="00012502">
        <w:rPr>
          <w:rFonts w:ascii="Narkisim" w:hAnsi="Narkisim"/>
          <w:rtl/>
        </w:rPr>
        <w:t>.</w:t>
      </w:r>
    </w:p>
    <w:p w14:paraId="59806A30"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 xml:space="preserve">רמב"ן </w:t>
      </w:r>
      <w:r w:rsidRPr="00012502">
        <w:rPr>
          <w:rFonts w:ascii="Narkisim" w:hAnsi="Narkisim" w:cs="Narkisim"/>
          <w:rtl/>
        </w:rPr>
        <w:t>כת' דרב (דסוגיין) פליג על סברת אילו איתיה לבעל וכו', דלהך סברא אף סוטה ודאי נבעי חליצה, דהא אין קידושיה נפקעין</w:t>
      </w:r>
      <w:r w:rsidRPr="00012502">
        <w:rPr>
          <w:rStyle w:val="ac"/>
          <w:rFonts w:ascii="Narkisim" w:hAnsi="Narkisim" w:cs="Narkisim"/>
          <w:rtl/>
        </w:rPr>
        <w:footnoteReference w:id="631"/>
      </w:r>
      <w:r w:rsidRPr="00012502">
        <w:rPr>
          <w:rFonts w:ascii="Narkisim" w:hAnsi="Narkisim" w:cs="Narkisim"/>
          <w:rtl/>
        </w:rPr>
        <w:t>.</w:t>
      </w:r>
    </w:p>
    <w:p w14:paraId="2E768735" w14:textId="77777777" w:rsidR="00BE1D1C" w:rsidRPr="00012502" w:rsidRDefault="00000000" w:rsidP="00012502">
      <w:pPr>
        <w:pStyle w:val="a7"/>
        <w:bidi/>
        <w:rPr>
          <w:rFonts w:ascii="Narkisim" w:hAnsi="Narkisim"/>
        </w:rPr>
      </w:pPr>
      <w:r w:rsidRPr="00012502">
        <w:rPr>
          <w:rFonts w:ascii="Narkisim" w:hAnsi="Narkisim"/>
          <w:rtl/>
        </w:rPr>
        <w:t xml:space="preserve">אבל </w:t>
      </w:r>
      <w:r w:rsidRPr="00012502">
        <w:rPr>
          <w:rFonts w:ascii="Narkisim" w:hAnsi="Narkisim"/>
          <w:b/>
          <w:bCs/>
          <w:rtl/>
        </w:rPr>
        <w:t>תוס</w:t>
      </w:r>
      <w:r w:rsidRPr="00012502">
        <w:rPr>
          <w:rFonts w:ascii="Narkisim" w:hAnsi="Narkisim"/>
          <w:rtl/>
        </w:rPr>
        <w:t>' (סוטה ה: ד"ה אילו) כתבו שבסוטה ודאית ל"ש סברת 'אילו איתיה לבעל'. דילפי' מגזיה"כ דטומאה דפטורה מיבום, וכמו אילונית ואשת סריס דבעי גט מבעל, ופטורה מיבם. אבל סוטה ספק לא אמעיט, אלא דקמ"ל קרא דכיון דבא מכח נישואי אחיו, אסורה עליו כמו הבעל, ובעי חליצה. וכעי"ז כתב ה</w:t>
      </w:r>
      <w:r w:rsidRPr="00012502">
        <w:rPr>
          <w:rFonts w:ascii="Narkisim" w:hAnsi="Narkisim"/>
          <w:b/>
          <w:bCs/>
          <w:rtl/>
        </w:rPr>
        <w:t>רא"ש</w:t>
      </w:r>
      <w:r w:rsidRPr="00012502">
        <w:rPr>
          <w:rFonts w:ascii="Narkisim" w:hAnsi="Narkisim"/>
          <w:rtl/>
        </w:rPr>
        <w:t xml:space="preserve"> (ד).</w:t>
      </w:r>
    </w:p>
    <w:p w14:paraId="142DD8F1" w14:textId="77777777" w:rsidR="00BE1D1C" w:rsidRPr="00012502" w:rsidRDefault="00000000" w:rsidP="00012502">
      <w:pPr>
        <w:pStyle w:val="aa"/>
        <w:bidi/>
        <w:rPr>
          <w:rFonts w:ascii="Narkisim" w:hAnsi="Narkisim"/>
        </w:rPr>
      </w:pPr>
      <w:r w:rsidRPr="00012502">
        <w:rPr>
          <w:rFonts w:ascii="Narkisim" w:hAnsi="Narkisim"/>
          <w:i/>
          <w:iCs/>
          <w:rtl/>
        </w:rPr>
        <w:t>סברת 'אילו איתיה לבעל'</w:t>
      </w:r>
      <w:r w:rsidRPr="00012502">
        <w:rPr>
          <w:rFonts w:ascii="Narkisim" w:hAnsi="Narkisim"/>
          <w:rtl/>
        </w:rPr>
        <w:t xml:space="preserve"> - </w:t>
      </w:r>
      <w:r w:rsidRPr="00012502">
        <w:rPr>
          <w:rFonts w:ascii="Narkisim" w:hAnsi="Narkisim"/>
          <w:b/>
          <w:bCs/>
          <w:rtl/>
        </w:rPr>
        <w:t>רש"י</w:t>
      </w:r>
      <w:r w:rsidRPr="00012502">
        <w:rPr>
          <w:rFonts w:ascii="Narkisim" w:hAnsi="Narkisim"/>
          <w:rtl/>
        </w:rPr>
        <w:t xml:space="preserve"> (סוטה שם) ביאר הסברא דבעי גט, דיבם במקום בעל קאי. וה</w:t>
      </w:r>
      <w:r w:rsidRPr="00012502">
        <w:rPr>
          <w:rFonts w:ascii="Narkisim" w:hAnsi="Narkisim"/>
          <w:b/>
          <w:bCs/>
          <w:rtl/>
        </w:rPr>
        <w:t>ברכ"ש</w:t>
      </w:r>
      <w:r w:rsidRPr="00012502">
        <w:rPr>
          <w:rFonts w:ascii="Narkisim" w:hAnsi="Narkisim"/>
          <w:rtl/>
        </w:rPr>
        <w:t xml:space="preserve"> (ז) ביאר הטעם דבעי חליצה משום דתפסי קידושין. וע"פ הגמ' (לקמן כ:) דהא דעריות לא בעי חליצה הוה משום דלא תפסי קידושין, והכא לבעל תפסי קידושין. ודעת הרמב"ן והראב"ד דאף במקום פטור טומאה הוה רק גדר ערוה, אבל אינה פוטרת עצמה. אבל התוס' סברי דילפי' גדר טומאה כלפי יבום.</w:t>
      </w:r>
    </w:p>
    <w:p w14:paraId="3DE8637A" w14:textId="77777777" w:rsidR="00BE1D1C" w:rsidRPr="00012502" w:rsidRDefault="00000000" w:rsidP="00012502">
      <w:pPr>
        <w:bidi/>
        <w:rPr>
          <w:rFonts w:ascii="Narkisim" w:hAnsi="Narkisim" w:cs="Narkisim"/>
        </w:rPr>
      </w:pPr>
      <w:r w:rsidRPr="00012502">
        <w:rPr>
          <w:rFonts w:ascii="Narkisim" w:hAnsi="Narkisim" w:cs="Narkisim"/>
          <w:u w:val="single"/>
          <w:rtl/>
        </w:rPr>
        <w:t>טומאה כתיב בה כעריות.</w:t>
      </w:r>
      <w:r w:rsidRPr="00012502">
        <w:rPr>
          <w:rFonts w:ascii="Narkisim" w:hAnsi="Narkisim" w:cs="Narkisim"/>
          <w:rtl/>
        </w:rPr>
        <w:t xml:space="preserve"> ה</w:t>
      </w:r>
      <w:r w:rsidRPr="00012502">
        <w:rPr>
          <w:rFonts w:ascii="Narkisim" w:hAnsi="Narkisim" w:cs="Narkisim"/>
          <w:b/>
          <w:bCs/>
          <w:rtl/>
        </w:rPr>
        <w:t>אחרונים</w:t>
      </w:r>
      <w:r w:rsidRPr="00012502">
        <w:rPr>
          <w:rFonts w:ascii="Narkisim" w:hAnsi="Narkisim" w:cs="Narkisim"/>
          <w:rtl/>
        </w:rPr>
        <w:t xml:space="preserve"> הקשו דבקרא נאמר דין טומאה לגבי הבעל, ומנלן דנאמר לגבי יבם. ובחי' </w:t>
      </w:r>
      <w:r w:rsidRPr="00012502">
        <w:rPr>
          <w:rFonts w:ascii="Narkisim" w:hAnsi="Narkisim" w:cs="Narkisim"/>
          <w:b/>
          <w:bCs/>
          <w:rtl/>
        </w:rPr>
        <w:t>בכור שור</w:t>
      </w:r>
      <w:r w:rsidRPr="00012502">
        <w:rPr>
          <w:rFonts w:ascii="Narkisim" w:hAnsi="Narkisim" w:cs="Narkisim"/>
          <w:rtl/>
        </w:rPr>
        <w:t xml:space="preserve"> </w:t>
      </w:r>
      <w:r w:rsidRPr="00012502">
        <w:rPr>
          <w:rFonts w:ascii="Narkisim" w:hAnsi="Narkisim" w:cs="Narkisim"/>
          <w:sz w:val="20"/>
          <w:szCs w:val="20"/>
          <w:rtl/>
        </w:rPr>
        <w:t>(לבעל התבואות שור)</w:t>
      </w:r>
      <w:r w:rsidRPr="00012502">
        <w:rPr>
          <w:rFonts w:ascii="Narkisim" w:hAnsi="Narkisim" w:cs="Narkisim"/>
          <w:rtl/>
        </w:rPr>
        <w:t xml:space="preserve"> כת' דילפי' ק"ו דנאמר טומאה אף ליבם, כיון דלגבי בעל נאמר דין טומאה כ"ש ליבם. </w:t>
      </w:r>
      <w:r w:rsidRPr="00012502">
        <w:rPr>
          <w:rFonts w:ascii="Narkisim" w:hAnsi="Narkisim" w:cs="Narkisim"/>
          <w:sz w:val="20"/>
          <w:szCs w:val="20"/>
          <w:rtl/>
        </w:rPr>
        <w:t>וילפי' ק"ו אף לפטור מחליצה, וה</w:t>
      </w:r>
      <w:r w:rsidRPr="00012502">
        <w:rPr>
          <w:rFonts w:ascii="Narkisim" w:hAnsi="Narkisim" w:cs="Narkisim"/>
          <w:b/>
          <w:bCs/>
          <w:sz w:val="20"/>
          <w:szCs w:val="20"/>
          <w:rtl/>
        </w:rPr>
        <w:t>אחרונים</w:t>
      </w:r>
      <w:r w:rsidRPr="00012502">
        <w:rPr>
          <w:rFonts w:ascii="Narkisim" w:hAnsi="Narkisim" w:cs="Narkisim"/>
          <w:sz w:val="20"/>
          <w:szCs w:val="20"/>
          <w:rtl/>
        </w:rPr>
        <w:t xml:space="preserve"> (קובה"ע טו א, ברכ"ש ז ג) האריכו בזה</w:t>
      </w:r>
      <w:r w:rsidRPr="00012502">
        <w:rPr>
          <w:rStyle w:val="ac"/>
          <w:rFonts w:ascii="Narkisim" w:hAnsi="Narkisim" w:cs="Narkisim"/>
          <w:rtl/>
        </w:rPr>
        <w:footnoteReference w:id="632"/>
      </w:r>
      <w:r w:rsidRPr="00012502">
        <w:rPr>
          <w:rFonts w:ascii="Narkisim" w:hAnsi="Narkisim" w:cs="Narkisim"/>
          <w:rtl/>
        </w:rPr>
        <w:t>.</w:t>
      </w:r>
    </w:p>
    <w:p w14:paraId="173D1591" w14:textId="77777777" w:rsidR="00BE1D1C" w:rsidRPr="00012502" w:rsidRDefault="00000000" w:rsidP="00012502">
      <w:pPr>
        <w:pStyle w:val="a7"/>
        <w:bidi/>
        <w:rPr>
          <w:rFonts w:ascii="Narkisim" w:hAnsi="Narkisim"/>
        </w:rPr>
      </w:pPr>
      <w:r w:rsidRPr="00012502">
        <w:rPr>
          <w:rFonts w:ascii="Narkisim" w:hAnsi="Narkisim"/>
          <w:rtl/>
        </w:rPr>
        <w:t xml:space="preserve">אבל </w:t>
      </w:r>
      <w:r w:rsidRPr="00012502">
        <w:rPr>
          <w:rFonts w:ascii="Narkisim" w:hAnsi="Narkisim"/>
          <w:b/>
          <w:bCs/>
          <w:rtl/>
        </w:rPr>
        <w:t>תוס'</w:t>
      </w:r>
      <w:r w:rsidRPr="00012502">
        <w:rPr>
          <w:rFonts w:ascii="Narkisim" w:hAnsi="Narkisim"/>
          <w:rtl/>
        </w:rPr>
        <w:t xml:space="preserve"> (סוטה ה: הנ"ל) מבואר דילפי' מ'טומאה' לפטור מהיבם</w:t>
      </w:r>
      <w:r w:rsidRPr="00012502">
        <w:rPr>
          <w:rStyle w:val="ac"/>
          <w:rFonts w:ascii="Narkisim" w:hAnsi="Narkisim"/>
          <w:rtl/>
        </w:rPr>
        <w:footnoteReference w:id="633"/>
      </w:r>
      <w:r w:rsidRPr="00012502">
        <w:rPr>
          <w:rFonts w:ascii="Narkisim" w:hAnsi="Narkisim"/>
          <w:rtl/>
        </w:rPr>
        <w:t>.</w:t>
      </w:r>
    </w:p>
    <w:p w14:paraId="1D7111C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דנו דלפ"ז לא מצאנו בזה איסור כלל, אלא דילפי' גדר 'פטור' ליבום.</w:t>
      </w:r>
    </w:p>
    <w:p w14:paraId="15C3B851"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חקרו האם ילפי' דיש לסוטה שם ערוה לכל דבר, וממילא פטורה מיבום. או דנתחדש בהיקש דיש לה דין פטור יבום, וכ"כ הגר"ח. ולכאורה תלי במח' הנ"ל].</w:t>
      </w:r>
    </w:p>
    <w:p w14:paraId="1082B7AC" w14:textId="77777777" w:rsidR="00BE1D1C" w:rsidRPr="00012502" w:rsidRDefault="00000000" w:rsidP="00012502">
      <w:pPr>
        <w:bidi/>
        <w:rPr>
          <w:rFonts w:ascii="Narkisim" w:hAnsi="Narkisim" w:cs="Narkisim"/>
        </w:rPr>
      </w:pPr>
      <w:r w:rsidRPr="00012502">
        <w:rPr>
          <w:rFonts w:ascii="Narkisim" w:hAnsi="Narkisim" w:cs="Narkisim"/>
          <w:i/>
          <w:iCs/>
          <w:sz w:val="21"/>
          <w:szCs w:val="21"/>
          <w:rtl/>
        </w:rPr>
        <w:t>אשת כהן שנאנסה</w:t>
      </w:r>
      <w:r w:rsidRPr="00012502">
        <w:rPr>
          <w:rFonts w:ascii="Narkisim" w:hAnsi="Narkisim" w:cs="Narkisim"/>
          <w:rtl/>
        </w:rPr>
        <w:t xml:space="preserve"> - ה</w:t>
      </w:r>
      <w:r w:rsidRPr="00012502">
        <w:rPr>
          <w:rFonts w:ascii="Narkisim" w:hAnsi="Narkisim" w:cs="Narkisim"/>
          <w:b/>
          <w:bCs/>
          <w:rtl/>
        </w:rPr>
        <w:t>נמוק"י</w:t>
      </w:r>
      <w:r w:rsidRPr="00012502">
        <w:rPr>
          <w:rFonts w:ascii="Narkisim" w:hAnsi="Narkisim" w:cs="Narkisim"/>
          <w:rtl/>
        </w:rPr>
        <w:t xml:space="preserve"> נסתפק באשת כהן שנאנסה האם צריכה חליצה.</w:t>
      </w:r>
      <w:r w:rsidRPr="00012502">
        <w:rPr>
          <w:rFonts w:ascii="Narkisim" w:hAnsi="Narkisim" w:cs="Narkisim"/>
          <w:sz w:val="20"/>
          <w:szCs w:val="20"/>
          <w:rtl/>
        </w:rPr>
        <w:t xml:space="preserve"> וה</w:t>
      </w:r>
      <w:r w:rsidRPr="00012502">
        <w:rPr>
          <w:rFonts w:ascii="Narkisim" w:hAnsi="Narkisim" w:cs="Narkisim"/>
          <w:b/>
          <w:bCs/>
          <w:sz w:val="20"/>
          <w:szCs w:val="20"/>
          <w:rtl/>
        </w:rPr>
        <w:t>בי"ש</w:t>
      </w:r>
      <w:r w:rsidRPr="00012502">
        <w:rPr>
          <w:rFonts w:ascii="Narkisim" w:hAnsi="Narkisim" w:cs="Narkisim"/>
          <w:sz w:val="20"/>
          <w:szCs w:val="20"/>
          <w:rtl/>
        </w:rPr>
        <w:t xml:space="preserve"> (קעג י) הביא דבהדיא איתא (לקמן נו:) דאשת כהן שנאנסה בעלה לוקה משום טומאה. וכיון דהוה טומאה תפטר מחליצה. וכתב דאפשר דהיינו רק לחומרא.</w:t>
      </w:r>
    </w:p>
    <w:p w14:paraId="01CCF676"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רע"א</w:t>
      </w:r>
      <w:r w:rsidRPr="00012502">
        <w:rPr>
          <w:rFonts w:ascii="Narkisim" w:hAnsi="Narkisim"/>
          <w:rtl/>
        </w:rPr>
        <w:t xml:space="preserve"> וה</w:t>
      </w:r>
      <w:r w:rsidRPr="00012502">
        <w:rPr>
          <w:rFonts w:ascii="Narkisim" w:hAnsi="Narkisim"/>
          <w:b/>
          <w:bCs/>
          <w:rtl/>
        </w:rPr>
        <w:t>משנ"ל</w:t>
      </w:r>
      <w:r w:rsidRPr="00012502">
        <w:rPr>
          <w:rFonts w:ascii="Narkisim" w:hAnsi="Narkisim"/>
          <w:rtl/>
        </w:rPr>
        <w:t xml:space="preserve"> (ו יט) הקשו דבגמ' (סוטה ו.) מפורש דאשת כהן שנאנסה מתייבמת לאחיו חלל, ולא אמרי' במותר לה נאסרה, דאונס בישראל שרי, ולגבי דהאי ליכא איסורא. וה</w:t>
      </w:r>
      <w:r w:rsidRPr="00012502">
        <w:rPr>
          <w:rFonts w:ascii="Narkisim" w:hAnsi="Narkisim"/>
          <w:b/>
          <w:bCs/>
          <w:rtl/>
        </w:rPr>
        <w:t>אחרונים</w:t>
      </w:r>
      <w:r w:rsidRPr="00012502">
        <w:rPr>
          <w:rFonts w:ascii="Narkisim" w:hAnsi="Narkisim"/>
          <w:rtl/>
        </w:rPr>
        <w:t xml:space="preserve"> </w:t>
      </w:r>
      <w:r w:rsidRPr="00012502">
        <w:rPr>
          <w:rFonts w:ascii="Narkisim" w:hAnsi="Narkisim"/>
          <w:szCs w:val="20"/>
          <w:rtl/>
        </w:rPr>
        <w:t>(</w:t>
      </w:r>
      <w:r w:rsidRPr="00012502">
        <w:rPr>
          <w:rFonts w:ascii="Narkisim" w:hAnsi="Narkisim"/>
          <w:sz w:val="20"/>
          <w:szCs w:val="20"/>
          <w:rtl/>
        </w:rPr>
        <w:t>קובה"ע טו ג, חזו"א ועוד)</w:t>
      </w:r>
      <w:r w:rsidRPr="00012502">
        <w:rPr>
          <w:rFonts w:ascii="Narkisim" w:hAnsi="Narkisim"/>
          <w:rtl/>
        </w:rPr>
        <w:t xml:space="preserve"> כת' דנידון הנמוק"י והבי"ש כלפי אח כהן, דכלפיו נחשב טומאה</w:t>
      </w:r>
      <w:r w:rsidRPr="00012502">
        <w:rPr>
          <w:rStyle w:val="ac"/>
          <w:rFonts w:ascii="Narkisim" w:hAnsi="Narkisim"/>
          <w:rtl/>
        </w:rPr>
        <w:footnoteReference w:id="634"/>
      </w:r>
      <w:r w:rsidRPr="00012502">
        <w:rPr>
          <w:rFonts w:ascii="Narkisim" w:hAnsi="Narkisim"/>
          <w:rtl/>
        </w:rPr>
        <w:t>. אבל הגמ' בסוטה איירי כלפי אחיו חלל, ולגביו לא נאסר.</w:t>
      </w:r>
    </w:p>
    <w:p w14:paraId="2F17D074"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ביארו דספק הנמוק"י האם אמרי' דאיסור אשת כהן שנאסרה נחשב איסור זונה</w:t>
      </w:r>
      <w:r w:rsidRPr="00012502">
        <w:rPr>
          <w:rFonts w:ascii="Narkisim" w:hAnsi="Narkisim"/>
          <w:sz w:val="20"/>
          <w:szCs w:val="20"/>
          <w:rtl/>
        </w:rPr>
        <w:t xml:space="preserve"> [והיבם חלל, ואינו מצווה]</w:t>
      </w:r>
      <w:r w:rsidRPr="00012502">
        <w:rPr>
          <w:rFonts w:ascii="Narkisim" w:hAnsi="Narkisim"/>
          <w:rtl/>
        </w:rPr>
        <w:t xml:space="preserve"> או דהוה גדר טומאה, ואף לגבי יבם</w:t>
      </w:r>
      <w:r w:rsidRPr="00012502">
        <w:rPr>
          <w:rFonts w:ascii="Narkisim" w:hAnsi="Narkisim"/>
          <w:sz w:val="20"/>
          <w:szCs w:val="20"/>
          <w:rtl/>
        </w:rPr>
        <w:t xml:space="preserve"> [והוה פטור לחליצה, וכמו טומאה דבעל].</w:t>
      </w:r>
    </w:p>
    <w:p w14:paraId="3FA4C5D7"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קובה"ע</w:t>
      </w:r>
      <w:r w:rsidRPr="00012502">
        <w:rPr>
          <w:rFonts w:ascii="Narkisim" w:hAnsi="Narkisim"/>
          <w:rtl/>
        </w:rPr>
        <w:t xml:space="preserve"> הביא דמ"מ טומאה זו נאמר לגבי הבעל. וע"כ כוונתו לאסור ליבם מדין ק"ו במותר לה נאסר [וכדברי הבכור שור].</w:t>
      </w:r>
    </w:p>
    <w:p w14:paraId="2F468F77" w14:textId="77777777" w:rsidR="00BE1D1C" w:rsidRPr="00012502" w:rsidRDefault="00000000" w:rsidP="00012502">
      <w:pPr>
        <w:pStyle w:val="aa"/>
        <w:bidi/>
        <w:rPr>
          <w:rFonts w:ascii="Narkisim" w:hAnsi="Narkisim"/>
        </w:rPr>
      </w:pPr>
      <w:r w:rsidRPr="00012502">
        <w:rPr>
          <w:rFonts w:ascii="Narkisim" w:hAnsi="Narkisim"/>
          <w:u w:val="single"/>
          <w:rtl/>
        </w:rPr>
        <w:lastRenderedPageBreak/>
        <w:t>מתיב רב חסדא ר"ש אומר ביאתה או חליצתה וכו' פוטרת צרתה וכו'</w:t>
      </w:r>
      <w:r w:rsidRPr="00012502">
        <w:rPr>
          <w:rFonts w:ascii="Narkisim" w:hAnsi="Narkisim"/>
          <w:rtl/>
        </w:rPr>
        <w:t>. פ</w:t>
      </w:r>
      <w:r w:rsidRPr="00012502">
        <w:rPr>
          <w:rFonts w:ascii="Narkisim" w:hAnsi="Narkisim"/>
          <w:b/>
          <w:bCs/>
          <w:rtl/>
        </w:rPr>
        <w:t>רש"י</w:t>
      </w:r>
      <w:r w:rsidRPr="00012502">
        <w:rPr>
          <w:rFonts w:ascii="Narkisim" w:hAnsi="Narkisim"/>
          <w:rtl/>
        </w:rPr>
        <w:t xml:space="preserve"> אף דדינה תצא מזה ומזה, לכתחילה מתייבמת לאחיו [לר' שמעון], דס"ל דלגבי יבם לא קנסו. [ע' ב' פי' בתוס'].</w:t>
      </w:r>
    </w:p>
    <w:p w14:paraId="40FA9136" w14:textId="77777777" w:rsidR="00BE1D1C" w:rsidRPr="00012502" w:rsidRDefault="00000000" w:rsidP="00012502">
      <w:pPr>
        <w:pStyle w:val="a8"/>
        <w:bidi/>
        <w:rPr>
          <w:rFonts w:ascii="Narkisim" w:hAnsi="Narkisim"/>
        </w:rPr>
      </w:pPr>
      <w:r w:rsidRPr="00012502">
        <w:rPr>
          <w:rFonts w:ascii="Narkisim" w:hAnsi="Narkisim"/>
          <w:rtl/>
        </w:rPr>
        <w:t>ופ</w:t>
      </w:r>
      <w:r w:rsidRPr="00012502">
        <w:rPr>
          <w:rFonts w:ascii="Narkisim" w:hAnsi="Narkisim"/>
          <w:b/>
          <w:bCs/>
          <w:rtl/>
        </w:rPr>
        <w:t>רש"י</w:t>
      </w:r>
      <w:r w:rsidRPr="00012502">
        <w:rPr>
          <w:rFonts w:ascii="Narkisim" w:hAnsi="Narkisim"/>
          <w:rtl/>
        </w:rPr>
        <w:t xml:space="preserve"> דאפי' רבנן מודו דצרתה מתייבמת, ודוקא היא עצמה חולצת.</w:t>
      </w:r>
    </w:p>
    <w:p w14:paraId="67A19B4F" w14:textId="77777777" w:rsidR="00BE1D1C" w:rsidRPr="00012502" w:rsidRDefault="00000000" w:rsidP="00012502">
      <w:pPr>
        <w:pStyle w:val="2"/>
        <w:bidi/>
        <w:rPr>
          <w:rFonts w:ascii="Narkisim" w:hAnsi="Narkisim"/>
        </w:rPr>
      </w:pPr>
      <w:r w:rsidRPr="00012502">
        <w:rPr>
          <w:rFonts w:ascii="Narkisim" w:hAnsi="Narkisim"/>
          <w:rtl/>
        </w:rPr>
        <w:t>סוטה ספק</w:t>
      </w:r>
    </w:p>
    <w:p w14:paraId="3DD0059C" w14:textId="77777777" w:rsidR="00BE1D1C" w:rsidRPr="00012502" w:rsidRDefault="00000000" w:rsidP="00012502">
      <w:pPr>
        <w:bidi/>
        <w:rPr>
          <w:rFonts w:ascii="Narkisim" w:hAnsi="Narkisim" w:cs="Narkisim"/>
        </w:rPr>
      </w:pPr>
      <w:r w:rsidRPr="00012502">
        <w:rPr>
          <w:rFonts w:ascii="Narkisim" w:hAnsi="Narkisim" w:cs="Narkisim"/>
          <w:u w:val="single"/>
          <w:rtl/>
        </w:rPr>
        <w:t>מתיב רב אשי וכו' ואם מת חולצת ולא מתייבמת וכו' סוטה ספק וכו'.</w:t>
      </w:r>
      <w:r w:rsidRPr="00012502">
        <w:rPr>
          <w:rFonts w:ascii="Narkisim" w:hAnsi="Narkisim" w:cs="Narkisim"/>
          <w:rtl/>
        </w:rPr>
        <w:t xml:space="preserve"> ה</w:t>
      </w:r>
      <w:r w:rsidRPr="00012502">
        <w:rPr>
          <w:rFonts w:ascii="Narkisim" w:hAnsi="Narkisim" w:cs="Narkisim"/>
          <w:b/>
          <w:bCs/>
          <w:rtl/>
        </w:rPr>
        <w:t xml:space="preserve">גמ' </w:t>
      </w:r>
      <w:r w:rsidRPr="00012502">
        <w:rPr>
          <w:rFonts w:ascii="Narkisim" w:hAnsi="Narkisim" w:cs="Narkisim"/>
          <w:rtl/>
        </w:rPr>
        <w:t>(סוטה ה: ו.) מקשה [בסוטה ספק] תתייבם יבומי. ורב יוסף תי'</w:t>
      </w:r>
      <w:r w:rsidRPr="00012502">
        <w:rPr>
          <w:rFonts w:ascii="Narkisim" w:hAnsi="Narkisim" w:cs="Narkisim"/>
          <w:i/>
          <w:iCs/>
          <w:rtl/>
        </w:rPr>
        <w:t xml:space="preserve"> א'</w:t>
      </w:r>
      <w:r w:rsidRPr="00012502">
        <w:rPr>
          <w:rFonts w:ascii="Narkisim" w:hAnsi="Narkisim" w:cs="Narkisim"/>
          <w:rtl/>
        </w:rPr>
        <w:t xml:space="preserve"> דדרשי' והיתה 'לאיש אחר', ולא ליבם. ומ"מ בעי חליצה</w:t>
      </w:r>
      <w:r w:rsidRPr="00012502">
        <w:rPr>
          <w:rStyle w:val="ac"/>
          <w:rFonts w:ascii="Narkisim" w:hAnsi="Narkisim" w:cs="Narkisim"/>
          <w:rtl/>
        </w:rPr>
        <w:footnoteReference w:id="635"/>
      </w:r>
      <w:r w:rsidRPr="00012502">
        <w:rPr>
          <w:rFonts w:ascii="Narkisim" w:hAnsi="Narkisim" w:cs="Narkisim"/>
          <w:rtl/>
        </w:rPr>
        <w:t xml:space="preserve"> דאילו איתא לבעל בעי גט, השתא נמי בעי חליצה</w:t>
      </w:r>
      <w:r w:rsidRPr="00012502">
        <w:rPr>
          <w:rStyle w:val="ac"/>
          <w:rFonts w:ascii="Narkisim" w:hAnsi="Narkisim" w:cs="Narkisim"/>
          <w:rtl/>
        </w:rPr>
        <w:footnoteReference w:id="636"/>
      </w:r>
      <w:r w:rsidRPr="00012502">
        <w:rPr>
          <w:rFonts w:ascii="Narkisim" w:hAnsi="Narkisim" w:cs="Narkisim"/>
          <w:rtl/>
        </w:rPr>
        <w:t xml:space="preserve">. </w:t>
      </w:r>
      <w:r w:rsidRPr="00012502">
        <w:rPr>
          <w:rFonts w:ascii="Narkisim" w:hAnsi="Narkisim" w:cs="Narkisim"/>
          <w:szCs w:val="20"/>
          <w:rtl/>
        </w:rPr>
        <w:t>[וגלי קרא דיש פטור מיבום. ונקטי' מהך סברא דהתורה פטרתו רק מיבום ולא מחליצה]</w:t>
      </w:r>
      <w:r w:rsidRPr="00012502">
        <w:rPr>
          <w:rFonts w:ascii="Narkisim" w:hAnsi="Narkisim" w:cs="Narkisim"/>
          <w:rtl/>
        </w:rPr>
        <w:t>.</w:t>
      </w:r>
    </w:p>
    <w:p w14:paraId="7073F854" w14:textId="77777777" w:rsidR="00BE1D1C" w:rsidRPr="00012502" w:rsidRDefault="00000000" w:rsidP="00012502">
      <w:pPr>
        <w:pStyle w:val="a7"/>
        <w:bidi/>
        <w:rPr>
          <w:rFonts w:ascii="Narkisim" w:hAnsi="Narkisim"/>
        </w:rPr>
      </w:pPr>
      <w:r w:rsidRPr="00012502">
        <w:rPr>
          <w:rFonts w:ascii="Narkisim" w:hAnsi="Narkisim"/>
          <w:rtl/>
        </w:rPr>
        <w:t xml:space="preserve">א"ד </w:t>
      </w:r>
      <w:r w:rsidRPr="00012502">
        <w:rPr>
          <w:rFonts w:ascii="Narkisim" w:hAnsi="Narkisim"/>
          <w:i/>
          <w:iCs/>
          <w:rtl/>
        </w:rPr>
        <w:t>ב'</w:t>
      </w:r>
      <w:r w:rsidRPr="00012502">
        <w:rPr>
          <w:rFonts w:ascii="Narkisim" w:hAnsi="Narkisim"/>
          <w:rtl/>
        </w:rPr>
        <w:t xml:space="preserve"> [מסברא] דהתורה אמרה ויצאה מביתו, ולא רמינן ליה להתייבם בע"כ, דלא לסתרי לביתיה.</w:t>
      </w:r>
    </w:p>
    <w:p w14:paraId="2C0A935F" w14:textId="77777777" w:rsidR="00BE1D1C" w:rsidRPr="00012502" w:rsidRDefault="00000000" w:rsidP="00012502">
      <w:pPr>
        <w:pStyle w:val="a7"/>
        <w:bidi/>
        <w:rPr>
          <w:rFonts w:ascii="Narkisim" w:hAnsi="Narkisim"/>
        </w:rPr>
      </w:pPr>
      <w:r w:rsidRPr="00012502">
        <w:rPr>
          <w:rFonts w:ascii="Narkisim" w:hAnsi="Narkisim"/>
          <w:rtl/>
        </w:rPr>
        <w:t xml:space="preserve">א"ד </w:t>
      </w:r>
      <w:r w:rsidRPr="00012502">
        <w:rPr>
          <w:rFonts w:ascii="Narkisim" w:hAnsi="Narkisim"/>
          <w:i/>
          <w:iCs/>
          <w:rtl/>
        </w:rPr>
        <w:t>ג'</w:t>
      </w:r>
      <w:r w:rsidRPr="00012502">
        <w:rPr>
          <w:rFonts w:ascii="Narkisim" w:hAnsi="Narkisim"/>
          <w:rtl/>
        </w:rPr>
        <w:t xml:space="preserve"> הכתוב קראו [לנושא סוטה] אחר, שהוציא רשעה מתוך ביתו, ואת אמרת תתייבם.</w:t>
      </w:r>
    </w:p>
    <w:p w14:paraId="2CC469DF" w14:textId="77777777" w:rsidR="00BE1D1C" w:rsidRPr="00012502" w:rsidRDefault="00000000" w:rsidP="00012502">
      <w:pPr>
        <w:pStyle w:val="a7"/>
        <w:bidi/>
        <w:rPr>
          <w:rFonts w:ascii="Narkisim" w:hAnsi="Narkisim"/>
        </w:rPr>
      </w:pPr>
      <w:r w:rsidRPr="00012502">
        <w:rPr>
          <w:rFonts w:ascii="Narkisim" w:hAnsi="Narkisim"/>
          <w:i/>
          <w:iCs/>
          <w:rtl/>
        </w:rPr>
        <w:t xml:space="preserve">ד' </w:t>
      </w:r>
      <w:r w:rsidRPr="00012502">
        <w:rPr>
          <w:rFonts w:ascii="Narkisim" w:hAnsi="Narkisim"/>
          <w:rtl/>
        </w:rPr>
        <w:t>רבא אמר ק"ו, אם נאסרה במותר לה באסור לה לא כ"ש וכו' (הו' לעיל).</w:t>
      </w:r>
    </w:p>
    <w:p w14:paraId="061E58FF" w14:textId="77777777" w:rsidR="00BE1D1C" w:rsidRPr="00012502" w:rsidRDefault="00000000" w:rsidP="00012502">
      <w:pPr>
        <w:bidi/>
        <w:rPr>
          <w:rFonts w:ascii="Narkisim" w:hAnsi="Narkisim" w:cs="Narkisim"/>
        </w:rPr>
      </w:pPr>
      <w:r w:rsidRPr="00012502">
        <w:rPr>
          <w:rFonts w:ascii="Narkisim" w:hAnsi="Narkisim" w:cs="Narkisim"/>
          <w:rtl/>
        </w:rPr>
        <w:t>ו</w:t>
      </w:r>
      <w:r w:rsidRPr="00012502">
        <w:rPr>
          <w:rFonts w:ascii="Narkisim" w:hAnsi="Narkisim" w:cs="Narkisim"/>
          <w:b/>
          <w:bCs/>
          <w:rtl/>
        </w:rPr>
        <w:t>תוס</w:t>
      </w:r>
      <w:r w:rsidRPr="00012502">
        <w:rPr>
          <w:rFonts w:ascii="Narkisim" w:hAnsi="Narkisim" w:cs="Narkisim"/>
          <w:rtl/>
        </w:rPr>
        <w:t>' (</w:t>
      </w:r>
      <w:r w:rsidRPr="00012502">
        <w:rPr>
          <w:rFonts w:ascii="Narkisim" w:hAnsi="Narkisim" w:cs="Narkisim"/>
          <w:sz w:val="20"/>
          <w:szCs w:val="20"/>
          <w:rtl/>
        </w:rPr>
        <w:t>ד"ה צרת)</w:t>
      </w:r>
      <w:r w:rsidRPr="00012502">
        <w:rPr>
          <w:rFonts w:ascii="Narkisim" w:hAnsi="Narkisim" w:cs="Narkisim"/>
          <w:rtl/>
        </w:rPr>
        <w:t xml:space="preserve"> וה</w:t>
      </w:r>
      <w:r w:rsidRPr="00012502">
        <w:rPr>
          <w:rFonts w:ascii="Narkisim" w:hAnsi="Narkisim" w:cs="Narkisim"/>
          <w:b/>
          <w:bCs/>
          <w:rtl/>
        </w:rPr>
        <w:t>ראשונים</w:t>
      </w:r>
      <w:r w:rsidRPr="00012502">
        <w:rPr>
          <w:rFonts w:ascii="Narkisim" w:hAnsi="Narkisim" w:cs="Narkisim"/>
          <w:rtl/>
        </w:rPr>
        <w:t xml:space="preserve"> הקשו אמאי איצטריך טעמים נוספים בסוטה ספק, אמאי לא תאסר דחיישינן שזינתה. דלצד שזינתה הוה בכלל טומאה דסוטה ודאי. וכן נפק"מ לענין צרה, דהטעמים של הגמ' בסוטה לא שייכי בצרתה. וכן פסק ה</w:t>
      </w:r>
      <w:r w:rsidRPr="00012502">
        <w:rPr>
          <w:rFonts w:ascii="Narkisim" w:hAnsi="Narkisim" w:cs="Narkisim"/>
          <w:b/>
          <w:bCs/>
          <w:rtl/>
        </w:rPr>
        <w:t>רמב"ם</w:t>
      </w:r>
      <w:r w:rsidRPr="00012502">
        <w:rPr>
          <w:rFonts w:ascii="Narkisim" w:hAnsi="Narkisim" w:cs="Narkisim"/>
          <w:rtl/>
        </w:rPr>
        <w:t xml:space="preserve"> (ו יט) דצרת סוטה ספק מתייבמת. וצ"ב דהצרה תאסר משום הצד שהיא סוטה.</w:t>
      </w:r>
    </w:p>
    <w:p w14:paraId="5548DEF7" w14:textId="77777777" w:rsidR="00BE1D1C" w:rsidRPr="00012502" w:rsidRDefault="00000000" w:rsidP="00012502">
      <w:pPr>
        <w:pStyle w:val="a7"/>
        <w:bidi/>
        <w:rPr>
          <w:rFonts w:ascii="Narkisim" w:hAnsi="Narkisim"/>
        </w:rPr>
      </w:pPr>
      <w:r w:rsidRPr="00012502">
        <w:rPr>
          <w:rFonts w:ascii="Narkisim" w:hAnsi="Narkisim"/>
          <w:rtl/>
        </w:rPr>
        <w:t xml:space="preserve">ויש בזה ב' קושיות, </w:t>
      </w:r>
      <w:r w:rsidRPr="00012502">
        <w:rPr>
          <w:rFonts w:ascii="Narkisim" w:hAnsi="Narkisim"/>
          <w:i/>
          <w:iCs/>
          <w:rtl/>
        </w:rPr>
        <w:t>א'</w:t>
      </w:r>
      <w:r w:rsidRPr="00012502">
        <w:rPr>
          <w:rFonts w:ascii="Narkisim" w:hAnsi="Narkisim"/>
          <w:rtl/>
        </w:rPr>
        <w:t xml:space="preserve"> דהוה ספק שמא נבעלה, והיאך תתייבם מספק. </w:t>
      </w:r>
      <w:r w:rsidRPr="00012502">
        <w:rPr>
          <w:rFonts w:ascii="Narkisim" w:hAnsi="Narkisim"/>
          <w:i/>
          <w:iCs/>
          <w:rtl/>
        </w:rPr>
        <w:t>ב'</w:t>
      </w:r>
      <w:r w:rsidRPr="00012502">
        <w:rPr>
          <w:rFonts w:ascii="Narkisim" w:hAnsi="Narkisim"/>
          <w:rtl/>
        </w:rPr>
        <w:t xml:space="preserve"> דקי"ל דהתורה עשתה ספק סוטה כודאי, והוכרע כצד שנבעלה, והוה בכלל טומאה. </w:t>
      </w:r>
      <w:r w:rsidRPr="00012502">
        <w:rPr>
          <w:rFonts w:ascii="Narkisim" w:hAnsi="Narkisim"/>
          <w:sz w:val="20"/>
          <w:szCs w:val="20"/>
          <w:rtl/>
        </w:rPr>
        <w:t>[ובזה תי' התוס' דבעשה לא נאמר ספק כודאי</w:t>
      </w:r>
      <w:r w:rsidRPr="00012502">
        <w:rPr>
          <w:rStyle w:val="ac"/>
          <w:rFonts w:ascii="Narkisim" w:hAnsi="Narkisim"/>
          <w:sz w:val="20"/>
          <w:szCs w:val="20"/>
          <w:rtl/>
        </w:rPr>
        <w:footnoteReference w:id="637"/>
      </w:r>
      <w:r w:rsidRPr="00012502">
        <w:rPr>
          <w:rFonts w:ascii="Narkisim" w:hAnsi="Narkisim"/>
          <w:sz w:val="20"/>
          <w:szCs w:val="20"/>
          <w:rtl/>
        </w:rPr>
        <w:t>].</w:t>
      </w:r>
    </w:p>
    <w:p w14:paraId="679E89A3"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גר"ח</w:t>
      </w:r>
      <w:r w:rsidRPr="00012502">
        <w:rPr>
          <w:rFonts w:ascii="Narkisim" w:hAnsi="Narkisim"/>
          <w:rtl/>
        </w:rPr>
        <w:t xml:space="preserve"> (יבום ו) תי' דלולי גזיה"כ דקינוי וסתירה, אין אוסרין על היחוד (קידושין פא), והסתירה אינו נחשב אפי' ספק זנות</w:t>
      </w:r>
      <w:r w:rsidRPr="00012502">
        <w:rPr>
          <w:rStyle w:val="ac"/>
          <w:rFonts w:ascii="Narkisim" w:hAnsi="Narkisim"/>
          <w:rtl/>
        </w:rPr>
        <w:footnoteReference w:id="638"/>
      </w:r>
      <w:r w:rsidRPr="00012502">
        <w:rPr>
          <w:rFonts w:ascii="Narkisim" w:hAnsi="Narkisim"/>
          <w:rtl/>
        </w:rPr>
        <w:t>. והגזיה"כ דקינוי וסתירה נאמר בתרתי, להחשיב ספק, ולענין דנימא דספק כודאי</w:t>
      </w:r>
      <w:r w:rsidRPr="00012502">
        <w:rPr>
          <w:rStyle w:val="ac"/>
          <w:rFonts w:ascii="Narkisim" w:hAnsi="Narkisim"/>
          <w:rtl/>
        </w:rPr>
        <w:footnoteReference w:id="639"/>
      </w:r>
      <w:r w:rsidRPr="00012502">
        <w:rPr>
          <w:rFonts w:ascii="Narkisim" w:hAnsi="Narkisim"/>
          <w:rtl/>
        </w:rPr>
        <w:t>. ואף הא דנחשב שנתעורר ספק הוה משום גזיה"כ</w:t>
      </w:r>
      <w:r w:rsidRPr="00012502">
        <w:rPr>
          <w:rStyle w:val="ac"/>
          <w:rFonts w:ascii="Narkisim" w:hAnsi="Narkisim"/>
          <w:rtl/>
        </w:rPr>
        <w:footnoteReference w:id="640"/>
      </w:r>
      <w:r w:rsidRPr="00012502">
        <w:rPr>
          <w:rFonts w:ascii="Narkisim" w:hAnsi="Narkisim"/>
          <w:rtl/>
        </w:rPr>
        <w:t>. ובזה מבואר בסוגיין דלגבי טומאה כעריות לא נתחדש הדין סוטה ספק. ומ"מ לענין שלא להתייבם נחשב ספק</w:t>
      </w:r>
      <w:r w:rsidRPr="00012502">
        <w:rPr>
          <w:rStyle w:val="ac"/>
          <w:rFonts w:ascii="Narkisim" w:hAnsi="Narkisim"/>
          <w:rtl/>
        </w:rPr>
        <w:footnoteReference w:id="641"/>
      </w:r>
      <w:r w:rsidRPr="00012502">
        <w:rPr>
          <w:rFonts w:ascii="Narkisim" w:hAnsi="Narkisim"/>
          <w:rtl/>
        </w:rPr>
        <w:t>.</w:t>
      </w:r>
    </w:p>
    <w:p w14:paraId="48131F3C" w14:textId="77777777" w:rsidR="00BE1D1C" w:rsidRPr="00012502" w:rsidRDefault="00000000" w:rsidP="00012502">
      <w:pPr>
        <w:bidi/>
        <w:rPr>
          <w:rFonts w:ascii="Narkisim" w:hAnsi="Narkisim" w:cs="Narkisim"/>
        </w:rPr>
      </w:pPr>
      <w:r w:rsidRPr="00012502">
        <w:rPr>
          <w:rFonts w:ascii="Narkisim" w:hAnsi="Narkisim" w:cs="Narkisim"/>
          <w:i/>
          <w:iCs/>
          <w:sz w:val="21"/>
          <w:szCs w:val="21"/>
          <w:rtl/>
        </w:rPr>
        <w:t>איסור אשת אח</w:t>
      </w:r>
      <w:r w:rsidRPr="00012502">
        <w:rPr>
          <w:rFonts w:ascii="Narkisim" w:hAnsi="Narkisim" w:cs="Narkisim"/>
          <w:rtl/>
        </w:rPr>
        <w:t xml:space="preserve"> - </w:t>
      </w:r>
      <w:r w:rsidRPr="00012502">
        <w:rPr>
          <w:rFonts w:ascii="Narkisim" w:hAnsi="Narkisim" w:cs="Narkisim"/>
          <w:b/>
          <w:bCs/>
          <w:rtl/>
        </w:rPr>
        <w:t>רש"י</w:t>
      </w:r>
      <w:r w:rsidRPr="00012502">
        <w:rPr>
          <w:rFonts w:ascii="Narkisim" w:hAnsi="Narkisim" w:cs="Narkisim"/>
          <w:rtl/>
        </w:rPr>
        <w:t xml:space="preserve"> (סוטה ו.) כת' </w:t>
      </w:r>
      <w:r w:rsidRPr="00012502">
        <w:rPr>
          <w:rFonts w:ascii="Narkisim" w:hAnsi="Narkisim" w:cs="Narkisim"/>
          <w:sz w:val="20"/>
          <w:szCs w:val="20"/>
          <w:rtl/>
        </w:rPr>
        <w:t>[ללישנא דאמרי' מי רמינן בע"כ]</w:t>
      </w:r>
      <w:r w:rsidRPr="00012502">
        <w:rPr>
          <w:rFonts w:ascii="Narkisim" w:hAnsi="Narkisim" w:cs="Narkisim"/>
          <w:rtl/>
        </w:rPr>
        <w:t xml:space="preserve">, וממילא קאי באיסור אשת אח שלא במקום מצוה. </w:t>
      </w:r>
      <w:r w:rsidRPr="00012502">
        <w:rPr>
          <w:rFonts w:ascii="Narkisim" w:hAnsi="Narkisim" w:cs="Narkisim"/>
          <w:sz w:val="20"/>
          <w:szCs w:val="20"/>
          <w:rtl/>
        </w:rPr>
        <w:t>וה</w:t>
      </w:r>
      <w:r w:rsidRPr="00012502">
        <w:rPr>
          <w:rFonts w:ascii="Narkisim" w:hAnsi="Narkisim" w:cs="Narkisim"/>
          <w:b/>
          <w:bCs/>
          <w:sz w:val="20"/>
          <w:szCs w:val="20"/>
          <w:rtl/>
        </w:rPr>
        <w:t>קובה"ע</w:t>
      </w:r>
      <w:r w:rsidRPr="00012502">
        <w:rPr>
          <w:rFonts w:ascii="Narkisim" w:hAnsi="Narkisim" w:cs="Narkisim"/>
          <w:sz w:val="20"/>
          <w:szCs w:val="20"/>
          <w:rtl/>
        </w:rPr>
        <w:t xml:space="preserve"> (ג א) ביאר דרש"י למד כן מהסוגיא שם, דאי ליכא איסור אשת אח, אף אם התורה לא צוותה יבום, מ"מ אמאי תנן חולצת, איזה איסור יש בדבר לייבם.</w:t>
      </w:r>
      <w:r w:rsidRPr="00012502">
        <w:rPr>
          <w:rFonts w:ascii="Narkisim" w:hAnsi="Narkisim" w:cs="Narkisim"/>
          <w:rtl/>
        </w:rPr>
        <w:t xml:space="preserve"> אבל ה</w:t>
      </w:r>
      <w:r w:rsidRPr="00012502">
        <w:rPr>
          <w:rFonts w:ascii="Narkisim" w:hAnsi="Narkisim" w:cs="Narkisim"/>
          <w:b/>
          <w:bCs/>
          <w:rtl/>
        </w:rPr>
        <w:t>מאירי</w:t>
      </w:r>
      <w:r w:rsidRPr="00012502">
        <w:rPr>
          <w:rFonts w:ascii="Narkisim" w:hAnsi="Narkisim" w:cs="Narkisim"/>
          <w:rtl/>
        </w:rPr>
        <w:t xml:space="preserve"> (שם) הביא צד דהוה רשות</w:t>
      </w:r>
      <w:r w:rsidRPr="00012502">
        <w:rPr>
          <w:rStyle w:val="ac"/>
          <w:rFonts w:ascii="Narkisim" w:hAnsi="Narkisim" w:cs="Narkisim"/>
          <w:rtl/>
        </w:rPr>
        <w:footnoteReference w:id="642"/>
      </w:r>
      <w:r w:rsidRPr="00012502">
        <w:rPr>
          <w:rFonts w:ascii="Narkisim" w:hAnsi="Narkisim" w:cs="Narkisim"/>
          <w:rtl/>
        </w:rPr>
        <w:t>.</w:t>
      </w:r>
    </w:p>
    <w:p w14:paraId="20A225A7"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 xml:space="preserve">אחרונים </w:t>
      </w:r>
      <w:r w:rsidRPr="00012502">
        <w:rPr>
          <w:rFonts w:ascii="Narkisim" w:hAnsi="Narkisim"/>
          <w:rtl/>
        </w:rPr>
        <w:t>דנו די"ל דדברי רש"י קאו רק לההיא לישנא, דגדר הדבר שאינה נופלת לפניו כלל, מסברת מי רמינן. אבל לרבא נופלת ליבום, אלא שאסורה מדין ק"ו].</w:t>
      </w:r>
    </w:p>
    <w:p w14:paraId="078B3DE1" w14:textId="77777777" w:rsidR="00BE1D1C" w:rsidRPr="00012502" w:rsidRDefault="00000000" w:rsidP="00012502">
      <w:pPr>
        <w:bidi/>
        <w:rPr>
          <w:rFonts w:ascii="Narkisim" w:hAnsi="Narkisim" w:cs="Narkisim"/>
        </w:rPr>
      </w:pPr>
      <w:r w:rsidRPr="00012502">
        <w:rPr>
          <w:rFonts w:ascii="Narkisim" w:hAnsi="Narkisim" w:cs="Narkisim"/>
          <w:rtl/>
        </w:rPr>
        <w:lastRenderedPageBreak/>
        <w:t>וה</w:t>
      </w:r>
      <w:r w:rsidRPr="00012502">
        <w:rPr>
          <w:rFonts w:ascii="Narkisim" w:hAnsi="Narkisim" w:cs="Narkisim"/>
          <w:b/>
          <w:bCs/>
          <w:rtl/>
        </w:rPr>
        <w:t>רמב"ם</w:t>
      </w:r>
      <w:r w:rsidRPr="00012502">
        <w:rPr>
          <w:rFonts w:ascii="Narkisim" w:hAnsi="Narkisim" w:cs="Narkisim"/>
          <w:rtl/>
        </w:rPr>
        <w:t xml:space="preserve"> (ממרים ד ב) כתב דיש נפק"מ לחיוב כרת כשנחלק זקן ממרא על בי"ד בספק סוטה, שאם תתייבם. וה</w:t>
      </w:r>
      <w:r w:rsidRPr="00012502">
        <w:rPr>
          <w:rFonts w:ascii="Narkisim" w:hAnsi="Narkisim" w:cs="Narkisim"/>
          <w:b/>
          <w:bCs/>
          <w:rtl/>
        </w:rPr>
        <w:t>כס"מ</w:t>
      </w:r>
      <w:r w:rsidRPr="00012502">
        <w:rPr>
          <w:rFonts w:ascii="Narkisim" w:hAnsi="Narkisim" w:cs="Narkisim"/>
          <w:rtl/>
        </w:rPr>
        <w:t xml:space="preserve"> הק' דאף תתייבם הוה רק כחייבי לאוין, ואין בזה חיוב כרת. </w:t>
      </w:r>
      <w:r w:rsidRPr="00012502">
        <w:rPr>
          <w:rFonts w:ascii="Narkisim" w:hAnsi="Narkisim" w:cs="Narkisim"/>
          <w:sz w:val="20"/>
          <w:szCs w:val="20"/>
          <w:rtl/>
        </w:rPr>
        <w:t>[וה</w:t>
      </w:r>
      <w:r w:rsidRPr="00012502">
        <w:rPr>
          <w:rFonts w:ascii="Narkisim" w:hAnsi="Narkisim" w:cs="Narkisim"/>
          <w:b/>
          <w:bCs/>
          <w:sz w:val="20"/>
          <w:szCs w:val="20"/>
          <w:rtl/>
        </w:rPr>
        <w:t>אחרונים</w:t>
      </w:r>
      <w:r w:rsidRPr="00012502">
        <w:rPr>
          <w:rFonts w:ascii="Narkisim" w:hAnsi="Narkisim" w:cs="Narkisim"/>
          <w:sz w:val="20"/>
          <w:szCs w:val="20"/>
          <w:rtl/>
        </w:rPr>
        <w:t xml:space="preserve"> דנו ליישב דברי הרמב"ם בכמה אופנים</w:t>
      </w:r>
      <w:r w:rsidRPr="00012502">
        <w:rPr>
          <w:rFonts w:ascii="Narkisim" w:hAnsi="Narkisim" w:cs="Narkisim"/>
          <w:rtl/>
        </w:rPr>
        <w:t>]. ו</w:t>
      </w:r>
      <w:r w:rsidRPr="00012502">
        <w:rPr>
          <w:rFonts w:ascii="Narkisim" w:hAnsi="Narkisim" w:cs="Narkisim"/>
          <w:b/>
          <w:bCs/>
          <w:rtl/>
        </w:rPr>
        <w:t>רע"א</w:t>
      </w:r>
      <w:r w:rsidRPr="00012502">
        <w:rPr>
          <w:rFonts w:ascii="Narkisim" w:hAnsi="Narkisim" w:cs="Narkisim"/>
          <w:rtl/>
        </w:rPr>
        <w:t xml:space="preserve"> </w:t>
      </w:r>
      <w:r w:rsidRPr="00012502">
        <w:rPr>
          <w:rFonts w:ascii="Narkisim" w:hAnsi="Narkisim" w:cs="Narkisim"/>
          <w:szCs w:val="20"/>
          <w:rtl/>
        </w:rPr>
        <w:t>(על הרמב"ם ו יט)</w:t>
      </w:r>
      <w:r w:rsidRPr="00012502">
        <w:rPr>
          <w:rFonts w:ascii="Narkisim" w:hAnsi="Narkisim" w:cs="Narkisim"/>
          <w:rtl/>
        </w:rPr>
        <w:t xml:space="preserve"> כת' דמבואר ברמב"ם דבסוטה יש חיוב כרת</w:t>
      </w:r>
      <w:r w:rsidRPr="00012502">
        <w:rPr>
          <w:rStyle w:val="ac"/>
          <w:rFonts w:ascii="Narkisim" w:hAnsi="Narkisim" w:cs="Narkisim"/>
          <w:rtl/>
        </w:rPr>
        <w:footnoteReference w:id="643"/>
      </w:r>
      <w:r w:rsidRPr="00012502">
        <w:rPr>
          <w:rFonts w:ascii="Narkisim" w:hAnsi="Narkisim" w:cs="Narkisim"/>
          <w:rtl/>
        </w:rPr>
        <w:t>, משום דהוה אשת אח שלא במקום מצוה</w:t>
      </w:r>
      <w:r w:rsidRPr="00012502">
        <w:rPr>
          <w:rStyle w:val="ac"/>
          <w:rFonts w:ascii="Narkisim" w:hAnsi="Narkisim" w:cs="Narkisim"/>
          <w:rtl/>
        </w:rPr>
        <w:footnoteReference w:id="644"/>
      </w:r>
      <w:r w:rsidRPr="00012502">
        <w:rPr>
          <w:rFonts w:ascii="Narkisim" w:hAnsi="Narkisim" w:cs="Narkisim"/>
          <w:rtl/>
        </w:rPr>
        <w:t>.</w:t>
      </w:r>
    </w:p>
    <w:p w14:paraId="03D19BC9" w14:textId="77777777" w:rsidR="00BE1D1C" w:rsidRPr="00012502" w:rsidRDefault="00000000" w:rsidP="00012502">
      <w:pPr>
        <w:pStyle w:val="a8"/>
        <w:bidi/>
        <w:rPr>
          <w:rFonts w:ascii="Narkisim" w:hAnsi="Narkisim"/>
        </w:rPr>
      </w:pPr>
      <w:r w:rsidRPr="00012502">
        <w:rPr>
          <w:rFonts w:ascii="Narkisim" w:hAnsi="Narkisim"/>
          <w:rtl/>
        </w:rPr>
        <w:t>ו</w:t>
      </w:r>
      <w:r w:rsidRPr="00012502">
        <w:rPr>
          <w:rFonts w:ascii="Narkisim" w:hAnsi="Narkisim"/>
          <w:b/>
          <w:bCs/>
          <w:rtl/>
        </w:rPr>
        <w:t>רע"א</w:t>
      </w:r>
      <w:r w:rsidRPr="00012502">
        <w:rPr>
          <w:rFonts w:ascii="Narkisim" w:hAnsi="Narkisim"/>
          <w:rtl/>
        </w:rPr>
        <w:t xml:space="preserve"> כת' דיש לפשוט בזה ספיקו של ה</w:t>
      </w:r>
      <w:r w:rsidRPr="00012502">
        <w:rPr>
          <w:rFonts w:ascii="Narkisim" w:hAnsi="Narkisim"/>
          <w:b/>
          <w:bCs/>
          <w:rtl/>
        </w:rPr>
        <w:t>משנ"ל</w:t>
      </w:r>
      <w:r w:rsidRPr="00012502">
        <w:rPr>
          <w:rFonts w:ascii="Narkisim" w:hAnsi="Narkisim"/>
          <w:rtl/>
        </w:rPr>
        <w:t xml:space="preserve"> (ס' פרשת דרכים, הו' בשעה"מ יבום ו) האם יש איסור אשת אח בחייבי לאו ועשה</w:t>
      </w:r>
      <w:r w:rsidRPr="00012502">
        <w:rPr>
          <w:rStyle w:val="ac"/>
          <w:rFonts w:ascii="Narkisim" w:hAnsi="Narkisim"/>
          <w:rtl/>
        </w:rPr>
        <w:footnoteReference w:id="645"/>
      </w:r>
      <w:r w:rsidRPr="00012502">
        <w:rPr>
          <w:rFonts w:ascii="Narkisim" w:hAnsi="Narkisim"/>
          <w:rtl/>
        </w:rPr>
        <w:t>, ולפ"ז מבואר ברמב"ם דהוה בכרת דאשת אח</w:t>
      </w:r>
      <w:r w:rsidRPr="00012502">
        <w:rPr>
          <w:rStyle w:val="ac"/>
          <w:rFonts w:ascii="Narkisim" w:hAnsi="Narkisim"/>
          <w:rtl/>
        </w:rPr>
        <w:footnoteReference w:id="646"/>
      </w:r>
      <w:r w:rsidRPr="00012502">
        <w:rPr>
          <w:rFonts w:ascii="Narkisim" w:hAnsi="Narkisim"/>
          <w:rtl/>
        </w:rPr>
        <w:t>, ואף דנופלת לחליצה</w:t>
      </w:r>
      <w:r w:rsidRPr="00012502">
        <w:rPr>
          <w:rStyle w:val="ac"/>
          <w:rFonts w:ascii="Narkisim" w:hAnsi="Narkisim"/>
          <w:rtl/>
        </w:rPr>
        <w:footnoteReference w:id="647"/>
      </w:r>
      <w:r w:rsidRPr="00012502">
        <w:rPr>
          <w:rFonts w:ascii="Narkisim" w:hAnsi="Narkisim"/>
          <w:rtl/>
        </w:rPr>
        <w:t>. אבל ה</w:t>
      </w:r>
      <w:r w:rsidRPr="00012502">
        <w:rPr>
          <w:rFonts w:ascii="Narkisim" w:hAnsi="Narkisim"/>
          <w:b/>
          <w:bCs/>
          <w:rtl/>
        </w:rPr>
        <w:t>קובה"ע</w:t>
      </w:r>
      <w:r w:rsidRPr="00012502">
        <w:rPr>
          <w:rFonts w:ascii="Narkisim" w:hAnsi="Narkisim"/>
          <w:rtl/>
        </w:rPr>
        <w:t xml:space="preserve"> (ד א) חילק דחייבי עשה נופלת ליבום, אלא דארי דאיסורא רביע עליה (וע' לקמן כ:). משא"כ סוטה הוה גזיה"כ דאינה נופלת ליבום, ואף דחולצת</w:t>
      </w:r>
      <w:r w:rsidRPr="00012502">
        <w:rPr>
          <w:rStyle w:val="ac"/>
          <w:rFonts w:ascii="Narkisim" w:hAnsi="Narkisim"/>
          <w:rtl/>
        </w:rPr>
        <w:footnoteReference w:id="648"/>
      </w:r>
      <w:r w:rsidRPr="00012502">
        <w:rPr>
          <w:rFonts w:ascii="Narkisim" w:hAnsi="Narkisim"/>
          <w:rtl/>
        </w:rPr>
        <w:t>.</w:t>
      </w:r>
    </w:p>
    <w:p w14:paraId="1B522698" w14:textId="77777777" w:rsidR="00BE1D1C" w:rsidRPr="00012502" w:rsidRDefault="00000000" w:rsidP="00012502">
      <w:pPr>
        <w:pStyle w:val="aa"/>
        <w:bidi/>
        <w:rPr>
          <w:rFonts w:ascii="Narkisim" w:hAnsi="Narkisim"/>
        </w:rPr>
      </w:pPr>
      <w:r w:rsidRPr="00012502">
        <w:rPr>
          <w:rFonts w:ascii="Narkisim" w:hAnsi="Narkisim"/>
          <w:u w:val="single"/>
          <w:rtl/>
        </w:rPr>
        <w:t>תוד"ה צרת.</w:t>
      </w:r>
      <w:r w:rsidRPr="00012502">
        <w:rPr>
          <w:rFonts w:ascii="Narkisim" w:hAnsi="Narkisim"/>
          <w:rtl/>
        </w:rPr>
        <w:t xml:space="preserve"> וא"ת והא תנן וכו' ודרשי' (סוטה כח.) ג' פעמים ונטמאה וכו'. תוס' הק' דמבואר ד'ונטמאה' קאי אסוטה ספק, א"כ נילף דאף סוטה ספק פטורה, דכתיב טומאה כעריות. [ודלא כמשמעות הגמ' בע"ב דטומאה כתיב דוקא בסוטה ודאי].</w:t>
      </w:r>
    </w:p>
    <w:p w14:paraId="399F4E04" w14:textId="77777777" w:rsidR="00BE1D1C" w:rsidRPr="00012502" w:rsidRDefault="00000000" w:rsidP="00012502">
      <w:pPr>
        <w:bidi/>
        <w:rPr>
          <w:rFonts w:ascii="Narkisim" w:hAnsi="Narkisim" w:cs="Narkisim"/>
        </w:rPr>
      </w:pPr>
      <w:r w:rsidRPr="00012502">
        <w:rPr>
          <w:rFonts w:ascii="Narkisim" w:hAnsi="Narkisim" w:cs="Narkisim"/>
          <w:u w:val="single"/>
          <w:rtl/>
        </w:rPr>
        <w:t>בא"ד וי"ל דלא אסרה הכתוב אלא משום ספק וכו', ולעולם לא כתיב טומאה אלא על הודאי</w:t>
      </w:r>
      <w:r w:rsidRPr="00012502">
        <w:rPr>
          <w:rFonts w:ascii="Narkisim" w:hAnsi="Narkisim" w:cs="Narkisim"/>
          <w:rtl/>
        </w:rPr>
        <w:t>. ה</w:t>
      </w:r>
      <w:r w:rsidRPr="00012502">
        <w:rPr>
          <w:rFonts w:ascii="Narkisim" w:hAnsi="Narkisim" w:cs="Narkisim"/>
          <w:b/>
          <w:bCs/>
          <w:rtl/>
        </w:rPr>
        <w:t>אחרונים</w:t>
      </w:r>
      <w:r w:rsidRPr="00012502">
        <w:rPr>
          <w:rFonts w:ascii="Narkisim" w:hAnsi="Narkisim" w:cs="Narkisim"/>
          <w:rtl/>
        </w:rPr>
        <w:t xml:space="preserve"> (קובה"ע טו א,י) העמידו דתוס' כאן פליגי א</w:t>
      </w:r>
      <w:r w:rsidRPr="00012502">
        <w:rPr>
          <w:rFonts w:ascii="Narkisim" w:hAnsi="Narkisim" w:cs="Narkisim"/>
          <w:b/>
          <w:bCs/>
          <w:rtl/>
        </w:rPr>
        <w:t>תוס</w:t>
      </w:r>
      <w:r w:rsidRPr="00012502">
        <w:rPr>
          <w:rFonts w:ascii="Narkisim" w:hAnsi="Narkisim" w:cs="Narkisim"/>
          <w:rtl/>
        </w:rPr>
        <w:t>' (סוטה כח. ד"ה מה) דהתורה אסרה לספק סוטה בלאו הבא מכלל עשה</w:t>
      </w:r>
      <w:r w:rsidRPr="00012502">
        <w:rPr>
          <w:rStyle w:val="ac"/>
          <w:rFonts w:ascii="Narkisim" w:hAnsi="Narkisim" w:cs="Narkisim"/>
          <w:rtl/>
        </w:rPr>
        <w:footnoteReference w:id="649"/>
      </w:r>
      <w:r w:rsidRPr="00012502">
        <w:rPr>
          <w:rFonts w:ascii="Narkisim" w:hAnsi="Narkisim" w:cs="Narkisim"/>
          <w:rtl/>
        </w:rPr>
        <w:t>. ואפי' אם היא טהורה נענש בבי"ד של מעלה</w:t>
      </w:r>
      <w:r w:rsidRPr="00012502">
        <w:rPr>
          <w:rStyle w:val="ac"/>
          <w:rFonts w:ascii="Narkisim" w:hAnsi="Narkisim" w:cs="Narkisim"/>
          <w:rtl/>
        </w:rPr>
        <w:footnoteReference w:id="650"/>
      </w:r>
      <w:r w:rsidRPr="00012502">
        <w:rPr>
          <w:rFonts w:ascii="Narkisim" w:hAnsi="Narkisim" w:cs="Narkisim"/>
          <w:rtl/>
        </w:rPr>
        <w:t>. ולא הוי כשאר ספיקות דאם נודע אח"כ, אף דצריך כפרה וסליחה</w:t>
      </w:r>
      <w:r w:rsidRPr="00012502">
        <w:rPr>
          <w:rStyle w:val="ac"/>
          <w:rFonts w:ascii="Narkisim" w:hAnsi="Narkisim" w:cs="Narkisim"/>
          <w:rtl/>
        </w:rPr>
        <w:footnoteReference w:id="651"/>
      </w:r>
      <w:r w:rsidRPr="00012502">
        <w:rPr>
          <w:rFonts w:ascii="Narkisim" w:hAnsi="Narkisim" w:cs="Narkisim"/>
          <w:rtl/>
        </w:rPr>
        <w:t>. ותוס' סיימו ומיהו לא חמיר כחייבי עשה.</w:t>
      </w:r>
    </w:p>
    <w:p w14:paraId="2F80BD28" w14:textId="77777777" w:rsidR="00BE1D1C" w:rsidRPr="00012502" w:rsidRDefault="00000000" w:rsidP="00012502">
      <w:pPr>
        <w:pStyle w:val="a7"/>
        <w:bidi/>
        <w:rPr>
          <w:rFonts w:ascii="Narkisim" w:hAnsi="Narkisim"/>
        </w:rPr>
      </w:pPr>
      <w:r w:rsidRPr="00012502">
        <w:rPr>
          <w:rFonts w:ascii="Narkisim" w:hAnsi="Narkisim"/>
          <w:rtl/>
        </w:rPr>
        <w:t>ותוס' דידן פליג דאסרה תורה משום ספק</w:t>
      </w:r>
      <w:r w:rsidRPr="00012502">
        <w:rPr>
          <w:rStyle w:val="ac"/>
          <w:rFonts w:ascii="Narkisim" w:hAnsi="Narkisim"/>
          <w:rtl/>
        </w:rPr>
        <w:footnoteReference w:id="652"/>
      </w:r>
      <w:r w:rsidRPr="00012502">
        <w:rPr>
          <w:rFonts w:ascii="Narkisim" w:hAnsi="Narkisim"/>
          <w:rtl/>
        </w:rPr>
        <w:t xml:space="preserve">, ואילו האמת דטהורה ליכא איסור. </w:t>
      </w:r>
      <w:r w:rsidRPr="00012502">
        <w:rPr>
          <w:rFonts w:ascii="Narkisim" w:hAnsi="Narkisim"/>
          <w:szCs w:val="20"/>
          <w:rtl/>
        </w:rPr>
        <w:t>אלא שיש הכרעת ודאי לדונה כטומאה</w:t>
      </w:r>
      <w:r w:rsidRPr="00012502">
        <w:rPr>
          <w:rFonts w:ascii="Narkisim" w:hAnsi="Narkisim"/>
          <w:rtl/>
        </w:rPr>
        <w:t>.</w:t>
      </w:r>
    </w:p>
    <w:p w14:paraId="78E568DE"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אחרונים</w:t>
      </w:r>
      <w:r w:rsidRPr="00012502">
        <w:rPr>
          <w:rFonts w:ascii="Narkisim" w:hAnsi="Narkisim" w:cs="Narkisim"/>
          <w:rtl/>
        </w:rPr>
        <w:t xml:space="preserve"> העמידו דלתוס' דידן גדר דין 'ספק כודאי' דהוה כגדר </w:t>
      </w:r>
      <w:r w:rsidRPr="00012502">
        <w:rPr>
          <w:rFonts w:ascii="Narkisim" w:hAnsi="Narkisim" w:cs="Narkisim"/>
          <w:i/>
          <w:iCs/>
          <w:rtl/>
        </w:rPr>
        <w:t>הכרעה</w:t>
      </w:r>
      <w:r w:rsidRPr="00012502">
        <w:rPr>
          <w:rFonts w:ascii="Narkisim" w:hAnsi="Narkisim" w:cs="Narkisim"/>
          <w:sz w:val="20"/>
          <w:szCs w:val="20"/>
          <w:rtl/>
        </w:rPr>
        <w:t xml:space="preserve"> [וכמו חזקה ורוב, דגזיה"כ לנקוט כצד]</w:t>
      </w:r>
      <w:r w:rsidRPr="00012502">
        <w:rPr>
          <w:rFonts w:ascii="Narkisim" w:hAnsi="Narkisim" w:cs="Narkisim"/>
          <w:rtl/>
        </w:rPr>
        <w:t xml:space="preserve">. אבל לתוס' בסוטה נאמר </w:t>
      </w:r>
      <w:r w:rsidRPr="00012502">
        <w:rPr>
          <w:rFonts w:ascii="Narkisim" w:hAnsi="Narkisim" w:cs="Narkisim"/>
          <w:i/>
          <w:iCs/>
          <w:rtl/>
        </w:rPr>
        <w:t>איסור</w:t>
      </w:r>
      <w:r w:rsidRPr="00012502">
        <w:rPr>
          <w:rFonts w:ascii="Narkisim" w:hAnsi="Narkisim" w:cs="Narkisim"/>
          <w:rtl/>
        </w:rPr>
        <w:t xml:space="preserve"> </w:t>
      </w:r>
      <w:r w:rsidRPr="00012502">
        <w:rPr>
          <w:rFonts w:ascii="Narkisim" w:hAnsi="Narkisim" w:cs="Narkisim"/>
          <w:i/>
          <w:iCs/>
          <w:rtl/>
        </w:rPr>
        <w:t>חדש</w:t>
      </w:r>
      <w:r w:rsidRPr="00012502">
        <w:rPr>
          <w:rFonts w:ascii="Narkisim" w:hAnsi="Narkisim" w:cs="Narkisim"/>
          <w:rtl/>
        </w:rPr>
        <w:t xml:space="preserve"> על הספק </w:t>
      </w:r>
      <w:r w:rsidRPr="00012502">
        <w:rPr>
          <w:rFonts w:ascii="Narkisim" w:hAnsi="Narkisim" w:cs="Narkisim"/>
          <w:sz w:val="20"/>
          <w:szCs w:val="20"/>
          <w:rtl/>
        </w:rPr>
        <w:t>[וע' גר"ח סטנסל, והאחיעזר (א א) האריך טובא</w:t>
      </w:r>
      <w:r w:rsidRPr="00012502">
        <w:rPr>
          <w:rFonts w:ascii="Narkisim" w:hAnsi="Narkisim" w:cs="Narkisim"/>
          <w:rtl/>
        </w:rPr>
        <w:t>].</w:t>
      </w:r>
    </w:p>
    <w:p w14:paraId="13F4F57A" w14:textId="77777777" w:rsidR="00BE1D1C" w:rsidRPr="00012502" w:rsidRDefault="00000000" w:rsidP="00012502">
      <w:pPr>
        <w:pStyle w:val="a7"/>
        <w:bidi/>
        <w:rPr>
          <w:rFonts w:ascii="Narkisim" w:hAnsi="Narkisim"/>
        </w:rPr>
      </w:pPr>
      <w:r w:rsidRPr="00012502">
        <w:rPr>
          <w:rFonts w:ascii="Narkisim" w:hAnsi="Narkisim"/>
          <w:rtl/>
        </w:rPr>
        <w:t>ועד"ז חקרו ה</w:t>
      </w:r>
      <w:r w:rsidRPr="00012502">
        <w:rPr>
          <w:rFonts w:ascii="Narkisim" w:hAnsi="Narkisim"/>
          <w:b/>
          <w:bCs/>
          <w:rtl/>
        </w:rPr>
        <w:t>אחרונים</w:t>
      </w:r>
      <w:r w:rsidRPr="00012502">
        <w:rPr>
          <w:rFonts w:ascii="Narkisim" w:hAnsi="Narkisim"/>
          <w:rtl/>
        </w:rPr>
        <w:t xml:space="preserve"> בגדר ספק טומאה ברה"י</w:t>
      </w:r>
      <w:r w:rsidRPr="00012502">
        <w:rPr>
          <w:rStyle w:val="ac"/>
          <w:rFonts w:ascii="Narkisim" w:hAnsi="Narkisim"/>
          <w:rtl/>
        </w:rPr>
        <w:footnoteReference w:id="653"/>
      </w:r>
      <w:r w:rsidRPr="00012502">
        <w:rPr>
          <w:rFonts w:ascii="Narkisim" w:hAnsi="Narkisim"/>
          <w:rtl/>
        </w:rPr>
        <w:t xml:space="preserve"> האם הוכרע דטמא, או דהוה טומאה חדשה.</w:t>
      </w:r>
      <w:r w:rsidRPr="00012502">
        <w:rPr>
          <w:rFonts w:ascii="Narkisim" w:hAnsi="Narkisim"/>
          <w:sz w:val="20"/>
          <w:szCs w:val="20"/>
          <w:rtl/>
        </w:rPr>
        <w:t xml:space="preserve"> וה</w:t>
      </w:r>
      <w:r w:rsidRPr="00012502">
        <w:rPr>
          <w:rFonts w:ascii="Narkisim" w:hAnsi="Narkisim"/>
          <w:b/>
          <w:bCs/>
          <w:sz w:val="20"/>
          <w:szCs w:val="20"/>
          <w:rtl/>
        </w:rPr>
        <w:t>מנח"ח</w:t>
      </w:r>
      <w:r w:rsidRPr="00012502">
        <w:rPr>
          <w:rFonts w:ascii="Narkisim" w:hAnsi="Narkisim"/>
          <w:sz w:val="20"/>
          <w:szCs w:val="20"/>
          <w:rtl/>
        </w:rPr>
        <w:t xml:space="preserve"> (רסג לד) תלה בזה האם כהן</w:t>
      </w:r>
      <w:r w:rsidRPr="00012502">
        <w:rPr>
          <w:rStyle w:val="ac"/>
          <w:rFonts w:ascii="Narkisim" w:hAnsi="Narkisim"/>
          <w:sz w:val="20"/>
          <w:szCs w:val="20"/>
          <w:rtl/>
        </w:rPr>
        <w:footnoteReference w:id="654"/>
      </w:r>
      <w:r w:rsidRPr="00012502">
        <w:rPr>
          <w:rFonts w:ascii="Narkisim" w:hAnsi="Narkisim"/>
          <w:sz w:val="20"/>
          <w:szCs w:val="20"/>
          <w:rtl/>
        </w:rPr>
        <w:t xml:space="preserve"> לוקה על ספק טומאה ברה"י, דלצד דהוכרע לטומאה ילקה. אבל אי הוה טומאה חדשה לא נצטוו כהנים על טומאה זו.</w:t>
      </w:r>
    </w:p>
    <w:p w14:paraId="377A014B" w14:textId="77777777" w:rsidR="00BE1D1C" w:rsidRPr="00012502" w:rsidRDefault="00000000" w:rsidP="00012502">
      <w:pPr>
        <w:bidi/>
        <w:rPr>
          <w:rFonts w:ascii="Narkisim" w:hAnsi="Narkisim" w:cs="Narkisim"/>
        </w:rPr>
      </w:pPr>
      <w:r w:rsidRPr="00012502">
        <w:rPr>
          <w:rFonts w:ascii="Narkisim" w:hAnsi="Narkisim" w:cs="Narkisim"/>
          <w:u w:val="single"/>
          <w:rtl/>
        </w:rPr>
        <w:t>בא"ד וא"ת וכו' אמאי אסורה לביתה ולתרומה וכו'.</w:t>
      </w:r>
      <w:r w:rsidRPr="00012502">
        <w:rPr>
          <w:rFonts w:ascii="Narkisim" w:hAnsi="Narkisim" w:cs="Narkisim"/>
          <w:rtl/>
        </w:rPr>
        <w:t xml:space="preserve"> בפשוטו כוונת התוס' דכיון דלא נכתב ע"ז 'טומאה' מותרת מספק. וה</w:t>
      </w:r>
      <w:r w:rsidRPr="00012502">
        <w:rPr>
          <w:rFonts w:ascii="Narkisim" w:hAnsi="Narkisim" w:cs="Narkisim"/>
          <w:b/>
          <w:bCs/>
          <w:rtl/>
        </w:rPr>
        <w:t>אחרונים</w:t>
      </w:r>
      <w:r w:rsidRPr="00012502">
        <w:rPr>
          <w:rFonts w:ascii="Narkisim" w:hAnsi="Narkisim" w:cs="Narkisim"/>
          <w:rtl/>
        </w:rPr>
        <w:t xml:space="preserve"> הק' דעכ"פ הוה ספק איסור, וספק דאורייתא לחומרא.</w:t>
      </w:r>
    </w:p>
    <w:p w14:paraId="5E906805" w14:textId="77777777" w:rsidR="00BE1D1C" w:rsidRPr="00012502" w:rsidRDefault="00000000" w:rsidP="00012502">
      <w:pPr>
        <w:pStyle w:val="a7"/>
        <w:bidi/>
        <w:rPr>
          <w:rFonts w:ascii="Narkisim" w:hAnsi="Narkisim"/>
        </w:rPr>
      </w:pPr>
      <w:r w:rsidRPr="00012502">
        <w:rPr>
          <w:rFonts w:ascii="Narkisim" w:hAnsi="Narkisim"/>
          <w:rtl/>
        </w:rPr>
        <w:lastRenderedPageBreak/>
        <w:t>ובפשוטו כוונת התוס' דמוקמינן אחזקה</w:t>
      </w:r>
      <w:r w:rsidRPr="00012502">
        <w:rPr>
          <w:rStyle w:val="ac"/>
          <w:rFonts w:ascii="Narkisim" w:hAnsi="Narkisim"/>
          <w:rtl/>
        </w:rPr>
        <w:footnoteReference w:id="655"/>
      </w:r>
      <w:r w:rsidRPr="00012502">
        <w:rPr>
          <w:rFonts w:ascii="Narkisim" w:hAnsi="Narkisim"/>
          <w:rtl/>
        </w:rPr>
        <w:t xml:space="preserve"> </w:t>
      </w:r>
      <w:r w:rsidRPr="00012502">
        <w:rPr>
          <w:rFonts w:ascii="Narkisim" w:hAnsi="Narkisim"/>
          <w:sz w:val="20"/>
          <w:szCs w:val="20"/>
          <w:rtl/>
        </w:rPr>
        <w:t>[וע' בסו"ד תוס'].</w:t>
      </w:r>
      <w:r w:rsidRPr="00012502">
        <w:rPr>
          <w:rFonts w:ascii="Narkisim" w:hAnsi="Narkisim"/>
          <w:rtl/>
        </w:rPr>
        <w:t xml:space="preserve"> וה</w:t>
      </w:r>
      <w:r w:rsidRPr="00012502">
        <w:rPr>
          <w:rFonts w:ascii="Narkisim" w:hAnsi="Narkisim"/>
          <w:b/>
          <w:bCs/>
          <w:rtl/>
        </w:rPr>
        <w:t>אחרונים</w:t>
      </w:r>
      <w:r w:rsidRPr="00012502">
        <w:rPr>
          <w:rFonts w:ascii="Narkisim" w:hAnsi="Narkisim"/>
          <w:rtl/>
        </w:rPr>
        <w:t xml:space="preserve"> הק' דמ"מ התורה קבעה סוטה לספק, ול"מ חזקה להכריע</w:t>
      </w:r>
      <w:r w:rsidRPr="00012502">
        <w:rPr>
          <w:rStyle w:val="ac"/>
          <w:rFonts w:ascii="Narkisim" w:hAnsi="Narkisim"/>
          <w:rtl/>
        </w:rPr>
        <w:footnoteReference w:id="656"/>
      </w:r>
      <w:r w:rsidRPr="00012502">
        <w:rPr>
          <w:rFonts w:ascii="Narkisim" w:hAnsi="Narkisim"/>
          <w:rtl/>
        </w:rPr>
        <w:t xml:space="preserve">. </w:t>
      </w:r>
      <w:r w:rsidRPr="00012502">
        <w:rPr>
          <w:rFonts w:ascii="Narkisim" w:hAnsi="Narkisim"/>
          <w:szCs w:val="20"/>
          <w:rtl/>
        </w:rPr>
        <w:t>[וי"ל דזה תי' התוס']</w:t>
      </w:r>
      <w:r w:rsidRPr="00012502">
        <w:rPr>
          <w:rFonts w:ascii="Narkisim" w:hAnsi="Narkisim"/>
          <w:rtl/>
        </w:rPr>
        <w:t>.</w:t>
      </w:r>
    </w:p>
    <w:p w14:paraId="64F3767C"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ערול"נ</w:t>
      </w:r>
      <w:r w:rsidRPr="00012502">
        <w:rPr>
          <w:rFonts w:ascii="Narkisim" w:hAnsi="Narkisim"/>
          <w:rtl/>
        </w:rPr>
        <w:t xml:space="preserve"> כת' דקו' התוס' הכא משום ספק דאורייתא לקולא מדאורייתא</w:t>
      </w:r>
      <w:r w:rsidRPr="00012502">
        <w:rPr>
          <w:rStyle w:val="ac"/>
          <w:rFonts w:ascii="Narkisim" w:hAnsi="Narkisim"/>
          <w:rtl/>
        </w:rPr>
        <w:footnoteReference w:id="657"/>
      </w:r>
      <w:r w:rsidRPr="00012502">
        <w:rPr>
          <w:rFonts w:ascii="Narkisim" w:hAnsi="Narkisim"/>
          <w:rtl/>
        </w:rPr>
        <w:t>. וה</w:t>
      </w:r>
      <w:r w:rsidRPr="00012502">
        <w:rPr>
          <w:rFonts w:ascii="Narkisim" w:hAnsi="Narkisim"/>
          <w:b/>
          <w:bCs/>
          <w:rtl/>
        </w:rPr>
        <w:t>אחיעזר</w:t>
      </w:r>
      <w:r w:rsidRPr="00012502">
        <w:rPr>
          <w:rFonts w:ascii="Narkisim" w:hAnsi="Narkisim"/>
          <w:rtl/>
        </w:rPr>
        <w:t xml:space="preserve"> (א א ב) ביאר דכוונת התוס' כלפי האשה שהיא טוענת ברי, וכלפיה לא איכפ"ל דהוה דין ספק</w:t>
      </w:r>
      <w:r w:rsidRPr="00012502">
        <w:rPr>
          <w:rStyle w:val="ac"/>
          <w:rFonts w:ascii="Narkisim" w:hAnsi="Narkisim"/>
          <w:rtl/>
        </w:rPr>
        <w:footnoteReference w:id="658"/>
      </w:r>
      <w:r w:rsidRPr="00012502">
        <w:rPr>
          <w:rFonts w:ascii="Narkisim" w:hAnsi="Narkisim"/>
          <w:rtl/>
        </w:rPr>
        <w:t>.</w:t>
      </w:r>
    </w:p>
    <w:p w14:paraId="6B1557C0" w14:textId="77777777" w:rsidR="00BE1D1C" w:rsidRPr="00012502" w:rsidRDefault="00000000" w:rsidP="00012502">
      <w:pPr>
        <w:pStyle w:val="a7"/>
        <w:bidi/>
        <w:rPr>
          <w:rFonts w:ascii="Narkisim" w:hAnsi="Narkisim"/>
        </w:rPr>
      </w:pPr>
      <w:r w:rsidRPr="00012502">
        <w:rPr>
          <w:rFonts w:ascii="Narkisim" w:hAnsi="Narkisim"/>
          <w:rtl/>
        </w:rPr>
        <w:t>אבל הגר"ח (הו' לעיל) כת' דכלפי יבם לא נחשב ספק כלל. דהא דהתורה עשאתו ספק הוה גזיה"כ, ודוקא כלפי הנך דינים.</w:t>
      </w:r>
    </w:p>
    <w:p w14:paraId="2CD43F63" w14:textId="77777777" w:rsidR="00BE1D1C" w:rsidRPr="00012502" w:rsidRDefault="00000000" w:rsidP="00012502">
      <w:pPr>
        <w:pStyle w:val="aa"/>
        <w:bidi/>
        <w:rPr>
          <w:rFonts w:ascii="Narkisim" w:hAnsi="Narkisim"/>
        </w:rPr>
      </w:pPr>
      <w:r w:rsidRPr="00012502">
        <w:rPr>
          <w:rFonts w:ascii="Narkisim" w:hAnsi="Narkisim"/>
          <w:u w:val="single"/>
          <w:rtl/>
        </w:rPr>
        <w:t>בא"ד ולהכי ספק סוטה בעי חליצה, דדוקא להחמיר</w:t>
      </w:r>
      <w:r w:rsidRPr="00012502">
        <w:rPr>
          <w:rStyle w:val="ac"/>
          <w:rFonts w:ascii="Narkisim" w:hAnsi="Narkisim"/>
          <w:u w:val="single"/>
          <w:rtl/>
        </w:rPr>
        <w:footnoteReference w:id="659"/>
      </w:r>
      <w:r w:rsidRPr="00012502">
        <w:rPr>
          <w:rFonts w:ascii="Narkisim" w:hAnsi="Narkisim"/>
          <w:u w:val="single"/>
          <w:rtl/>
        </w:rPr>
        <w:t xml:space="preserve"> עשה הכתוב ספק כודאי וכו'</w:t>
      </w:r>
      <w:r w:rsidRPr="00012502">
        <w:rPr>
          <w:rStyle w:val="ac"/>
          <w:rFonts w:ascii="Narkisim" w:hAnsi="Narkisim"/>
          <w:rtl/>
        </w:rPr>
        <w:footnoteReference w:id="660"/>
      </w:r>
      <w:r w:rsidRPr="00012502">
        <w:rPr>
          <w:rFonts w:ascii="Narkisim" w:hAnsi="Narkisim"/>
          <w:rtl/>
        </w:rPr>
        <w:t>. אבל לפטור בלא חליצה הוה להקל. וה</w:t>
      </w:r>
      <w:r w:rsidRPr="00012502">
        <w:rPr>
          <w:rFonts w:ascii="Narkisim" w:hAnsi="Narkisim"/>
          <w:b/>
          <w:bCs/>
          <w:rtl/>
        </w:rPr>
        <w:t>אחרונים</w:t>
      </w:r>
      <w:r w:rsidRPr="00012502">
        <w:rPr>
          <w:rFonts w:ascii="Narkisim" w:hAnsi="Narkisim"/>
          <w:rtl/>
        </w:rPr>
        <w:t xml:space="preserve"> העירו דנילף דאסורה לייבם בתורת ודאי, ועי"ז ממילא חולצת כתולדה.</w:t>
      </w:r>
    </w:p>
    <w:p w14:paraId="65907C53" w14:textId="77777777" w:rsidR="00BE1D1C" w:rsidRPr="00012502" w:rsidRDefault="00000000" w:rsidP="00012502">
      <w:pPr>
        <w:bidi/>
        <w:rPr>
          <w:rFonts w:ascii="Narkisim" w:hAnsi="Narkisim" w:cs="Narkisim"/>
        </w:rPr>
      </w:pPr>
      <w:r w:rsidRPr="00012502">
        <w:rPr>
          <w:rFonts w:ascii="Narkisim" w:hAnsi="Narkisim" w:cs="Narkisim"/>
          <w:u w:val="single"/>
          <w:rtl/>
        </w:rPr>
        <w:t>בא"ד ולמאי דפרישית (לעיל ג:) וכו' היינו דוקא במקום לאו וכו'</w:t>
      </w:r>
      <w:r w:rsidRPr="00012502">
        <w:rPr>
          <w:rFonts w:ascii="Narkisim" w:hAnsi="Narkisim" w:cs="Narkisim"/>
          <w:rtl/>
        </w:rPr>
        <w:t>. לגירסא לפנינו הוה תי' על קושיית התוס' דדרשי' ונטמאה על הספק. ובזה תי' התוס' דמספק ילפי' רק דהוה טומאת עשה. ובזה לא אמרי' ספק כודאי.</w:t>
      </w:r>
    </w:p>
    <w:p w14:paraId="72FE614E" w14:textId="77777777" w:rsidR="00BE1D1C" w:rsidRPr="00012502" w:rsidRDefault="00000000" w:rsidP="00012502">
      <w:pPr>
        <w:bidi/>
        <w:rPr>
          <w:rFonts w:ascii="Narkisim" w:hAnsi="Narkisim" w:cs="Narkisim"/>
        </w:rPr>
      </w:pPr>
      <w:r w:rsidRPr="00012502">
        <w:rPr>
          <w:rFonts w:ascii="Narkisim" w:hAnsi="Narkisim" w:cs="Narkisim"/>
          <w:u w:val="single"/>
          <w:rtl/>
        </w:rPr>
        <w:t>סו"ד אבל מ"מ קשה וכו' סוטה ספק הו"ל ליחשב כספק ערוה, וא"כ היכי פריך תתייבם ייבומי</w:t>
      </w:r>
      <w:r w:rsidRPr="00012502">
        <w:rPr>
          <w:rFonts w:ascii="Narkisim" w:hAnsi="Narkisim" w:cs="Narkisim"/>
          <w:rtl/>
        </w:rPr>
        <w:t xml:space="preserve">. לגירסתנו התוס' הק' [על ב' התי'] דאף אי לא דרשי' ספק כודאי, מ"מ התורה עשאתה ספק, ולא מוקמינן לה אחזקתה. </w:t>
      </w:r>
      <w:r w:rsidRPr="00012502">
        <w:rPr>
          <w:rFonts w:ascii="Narkisim" w:hAnsi="Narkisim" w:cs="Narkisim"/>
          <w:sz w:val="20"/>
          <w:szCs w:val="20"/>
          <w:rtl/>
        </w:rPr>
        <w:t>[וה</w:t>
      </w:r>
      <w:r w:rsidRPr="00012502">
        <w:rPr>
          <w:rFonts w:ascii="Narkisim" w:hAnsi="Narkisim" w:cs="Narkisim"/>
          <w:b/>
          <w:bCs/>
          <w:sz w:val="20"/>
          <w:szCs w:val="20"/>
          <w:rtl/>
        </w:rPr>
        <w:t>אחרונים</w:t>
      </w:r>
      <w:r w:rsidRPr="00012502">
        <w:rPr>
          <w:rFonts w:ascii="Narkisim" w:hAnsi="Narkisim" w:cs="Narkisim"/>
          <w:sz w:val="20"/>
          <w:szCs w:val="20"/>
          <w:rtl/>
        </w:rPr>
        <w:t xml:space="preserve"> הק' דתוס' לעיל הקשו [מסברא] אמאי אסורה לביתה, והכא הקשה אדרבה דמספק אסורה</w:t>
      </w:r>
      <w:r w:rsidRPr="00012502">
        <w:rPr>
          <w:rStyle w:val="ac"/>
          <w:rFonts w:ascii="Narkisim" w:hAnsi="Narkisim" w:cs="Narkisim"/>
          <w:sz w:val="20"/>
          <w:szCs w:val="20"/>
          <w:rtl/>
        </w:rPr>
        <w:footnoteReference w:id="661"/>
      </w:r>
      <w:r w:rsidRPr="00012502">
        <w:rPr>
          <w:rFonts w:ascii="Narkisim" w:hAnsi="Narkisim" w:cs="Narkisim"/>
          <w:sz w:val="20"/>
          <w:szCs w:val="20"/>
          <w:rtl/>
        </w:rPr>
        <w:t>].</w:t>
      </w:r>
      <w:r w:rsidRPr="00012502">
        <w:rPr>
          <w:rFonts w:ascii="Narkisim" w:hAnsi="Narkisim" w:cs="Narkisim"/>
          <w:rtl/>
        </w:rPr>
        <w:t xml:space="preserve"> ותוס' הק' דהתורה עשאתו ספק לכל דבר. [ודלא כדברי הגר"ח].</w:t>
      </w:r>
    </w:p>
    <w:p w14:paraId="23E7CF6B"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 xml:space="preserve">מהרש"ל </w:t>
      </w:r>
      <w:r w:rsidRPr="00012502">
        <w:rPr>
          <w:rFonts w:ascii="Narkisim" w:hAnsi="Narkisim"/>
          <w:rtl/>
        </w:rPr>
        <w:t>וה</w:t>
      </w:r>
      <w:r w:rsidRPr="00012502">
        <w:rPr>
          <w:rFonts w:ascii="Narkisim" w:hAnsi="Narkisim"/>
          <w:b/>
          <w:bCs/>
          <w:rtl/>
        </w:rPr>
        <w:t>ב"ח</w:t>
      </w:r>
      <w:r w:rsidRPr="00012502">
        <w:rPr>
          <w:rFonts w:ascii="Narkisim" w:hAnsi="Narkisim"/>
          <w:rtl/>
        </w:rPr>
        <w:t xml:space="preserve"> גרסו דתוס' תירצו [בסו"ד] דלמה שפי' לעיל דטומאה כעריות הוה במקום לאו ניחא.</w:t>
      </w:r>
    </w:p>
    <w:p w14:paraId="0F0D0CDF" w14:textId="77777777" w:rsidR="00BE1D1C" w:rsidRPr="00012502" w:rsidRDefault="00000000" w:rsidP="00012502">
      <w:pPr>
        <w:pStyle w:val="a7"/>
        <w:bidi/>
        <w:rPr>
          <w:rFonts w:ascii="Narkisim" w:hAnsi="Narkisim"/>
        </w:rPr>
      </w:pPr>
      <w:r w:rsidRPr="00012502">
        <w:rPr>
          <w:rFonts w:ascii="Narkisim" w:hAnsi="Narkisim"/>
          <w:rtl/>
        </w:rPr>
        <w:t>וכ"ה ב</w:t>
      </w:r>
      <w:r w:rsidRPr="00012502">
        <w:rPr>
          <w:rFonts w:ascii="Narkisim" w:hAnsi="Narkisim"/>
          <w:b/>
          <w:bCs/>
          <w:rtl/>
        </w:rPr>
        <w:t>רא"ש</w:t>
      </w:r>
      <w:r w:rsidRPr="00012502">
        <w:rPr>
          <w:rFonts w:ascii="Narkisim" w:hAnsi="Narkisim"/>
          <w:rtl/>
        </w:rPr>
        <w:t xml:space="preserve"> (ד) שהביא כדברי התוס' דלהחמיר עשה הכתוב ספק כודאי. ושוב הק' מקו' הגמ' סוטה תתייבם יבומי, הא אמרי' דלהחמיר עבדי' ספק כודאי. [ויש להחמיר שלא תתייבם].</w:t>
      </w:r>
    </w:p>
    <w:p w14:paraId="02B3880E" w14:textId="77777777" w:rsidR="00BE1D1C" w:rsidRPr="00012502" w:rsidRDefault="00000000" w:rsidP="00012502">
      <w:pPr>
        <w:pStyle w:val="a7"/>
        <w:bidi/>
        <w:rPr>
          <w:rFonts w:ascii="Narkisim" w:hAnsi="Narkisim"/>
        </w:rPr>
      </w:pPr>
      <w:r w:rsidRPr="00012502">
        <w:rPr>
          <w:rFonts w:ascii="Narkisim" w:hAnsi="Narkisim"/>
          <w:rtl/>
        </w:rPr>
        <w:t>והרא"ש הק' דאף דספק סוטה הוה דוקא להחמיר, עכ"פ יש בזה ספק והאיך תתייבם. ותי' דדוקא סוטה ודאי דכתיב טומאה בלשון לאו. [אבל סוטה ספק דטומאה כתיב בלשון עשה לא הוה ספק כלל].</w:t>
      </w:r>
    </w:p>
    <w:p w14:paraId="3C7727AD" w14:textId="77777777" w:rsidR="00BE1D1C" w:rsidRPr="00012502" w:rsidRDefault="00000000" w:rsidP="00012502">
      <w:pPr>
        <w:pStyle w:val="a8"/>
        <w:bidi/>
        <w:rPr>
          <w:rFonts w:ascii="Narkisim" w:hAnsi="Narkisim"/>
        </w:rPr>
      </w:pPr>
      <w:r w:rsidRPr="00012502">
        <w:rPr>
          <w:rFonts w:ascii="Narkisim" w:hAnsi="Narkisim"/>
          <w:rtl/>
        </w:rPr>
        <w:t>והרא"ש הק' דהגמ' (בסמוך) מק' מאי שנא סוטה וודאי דכתיב בה טומאה, סוטה ספק נמי כתיב בה טומאה. וכת' דס"ד מעיקרא דאף טומאה בלשון עשה חשיבה למיעבדה כערוה, אבל למסקנא בסוטה ודאי דכתוב טומאה בלשון לאו [משא"כ בסוטה ספק].</w:t>
      </w:r>
    </w:p>
    <w:p w14:paraId="4239E03B" w14:textId="77777777" w:rsidR="00BE1D1C" w:rsidRPr="00012502" w:rsidRDefault="00000000" w:rsidP="00012502">
      <w:pPr>
        <w:pStyle w:val="a7"/>
        <w:bidi/>
        <w:rPr>
          <w:rFonts w:ascii="Narkisim" w:hAnsi="Narkisim"/>
        </w:rPr>
      </w:pPr>
      <w:r w:rsidRPr="00012502">
        <w:rPr>
          <w:rFonts w:ascii="Narkisim" w:hAnsi="Narkisim"/>
          <w:rtl/>
        </w:rPr>
        <w:t>ועפ"ז תי' התוס' קאי [אף על קו' זו] דבעשה לא אמרי' טומאה כעריות. ומתורץ דלא הוה אפי' ספק ערוה. וה</w:t>
      </w:r>
      <w:r w:rsidRPr="00012502">
        <w:rPr>
          <w:rFonts w:ascii="Narkisim" w:hAnsi="Narkisim"/>
          <w:b/>
          <w:bCs/>
          <w:rtl/>
        </w:rPr>
        <w:t xml:space="preserve">אחרונים </w:t>
      </w:r>
      <w:r w:rsidRPr="00012502">
        <w:rPr>
          <w:rFonts w:ascii="Narkisim" w:hAnsi="Narkisim"/>
          <w:rtl/>
        </w:rPr>
        <w:t>(</w:t>
      </w:r>
      <w:r w:rsidRPr="00012502">
        <w:rPr>
          <w:rFonts w:ascii="Narkisim" w:hAnsi="Narkisim"/>
          <w:b/>
          <w:bCs/>
          <w:rtl/>
        </w:rPr>
        <w:t>אחיעזר</w:t>
      </w:r>
      <w:r w:rsidRPr="00012502">
        <w:rPr>
          <w:rFonts w:ascii="Narkisim" w:hAnsi="Narkisim"/>
          <w:rtl/>
        </w:rPr>
        <w:t xml:space="preserve"> שם) ביארו דלפ"ז תי' התוס' ע"ד יסוד הגר"ח דלא אמרי' דהתורה עשאתו ספק כלל כלפי יבום [ולא נתחדש דנתעורר ספק כלל].</w:t>
      </w:r>
    </w:p>
    <w:p w14:paraId="415C13BF" w14:textId="77777777" w:rsidR="00BE1D1C" w:rsidRPr="00012502" w:rsidRDefault="00000000" w:rsidP="00012502">
      <w:pPr>
        <w:pStyle w:val="3"/>
        <w:bidi/>
        <w:rPr>
          <w:rFonts w:ascii="Narkisim" w:hAnsi="Narkisim"/>
        </w:rPr>
      </w:pPr>
      <w:r w:rsidRPr="00012502">
        <w:rPr>
          <w:rFonts w:ascii="Narkisim" w:hAnsi="Narkisim"/>
          <w:rtl/>
        </w:rPr>
        <w:t>דף יא:</w:t>
      </w:r>
    </w:p>
    <w:p w14:paraId="046E57D6" w14:textId="77777777" w:rsidR="00BE1D1C" w:rsidRPr="00012502" w:rsidRDefault="00000000" w:rsidP="00012502">
      <w:pPr>
        <w:pStyle w:val="aa"/>
        <w:bidi/>
        <w:rPr>
          <w:rFonts w:ascii="Narkisim" w:hAnsi="Narkisim"/>
        </w:rPr>
      </w:pPr>
      <w:r w:rsidRPr="00012502">
        <w:rPr>
          <w:rFonts w:ascii="Narkisim" w:hAnsi="Narkisim"/>
          <w:u w:val="single"/>
          <w:rtl/>
        </w:rPr>
        <w:t>דתניא ר' יוסי בן כיפר המחזיר גרושתו, מן האירוסין מותרת משום שנאמר אחרי אשר הוטמאה</w:t>
      </w:r>
      <w:r w:rsidRPr="00012502">
        <w:rPr>
          <w:rFonts w:ascii="Narkisim" w:hAnsi="Narkisim"/>
          <w:rtl/>
        </w:rPr>
        <w:t>. פ</w:t>
      </w:r>
      <w:r w:rsidRPr="00012502">
        <w:rPr>
          <w:rFonts w:ascii="Narkisim" w:hAnsi="Narkisim"/>
          <w:b/>
          <w:bCs/>
          <w:rtl/>
        </w:rPr>
        <w:t>רש"י</w:t>
      </w:r>
      <w:r w:rsidRPr="00012502">
        <w:rPr>
          <w:rFonts w:ascii="Narkisim" w:hAnsi="Narkisim"/>
          <w:rtl/>
        </w:rPr>
        <w:t xml:space="preserve"> ונבעלה. משמע דבנכנסה לחופה אין איסור. וה</w:t>
      </w:r>
      <w:r w:rsidRPr="00012502">
        <w:rPr>
          <w:rFonts w:ascii="Narkisim" w:hAnsi="Narkisim"/>
          <w:b/>
          <w:bCs/>
          <w:rtl/>
        </w:rPr>
        <w:t>ריטב"א</w:t>
      </w:r>
      <w:r w:rsidRPr="00012502">
        <w:rPr>
          <w:rFonts w:ascii="Narkisim" w:hAnsi="Narkisim"/>
          <w:rtl/>
        </w:rPr>
        <w:t xml:space="preserve"> (לקמן צה.) כתב דאסור מדרבנן.</w:t>
      </w:r>
    </w:p>
    <w:p w14:paraId="182C713B"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גר"א</w:t>
      </w:r>
      <w:r w:rsidRPr="00012502">
        <w:rPr>
          <w:rFonts w:ascii="Narkisim" w:hAnsi="Narkisim"/>
          <w:rtl/>
        </w:rPr>
        <w:t xml:space="preserve"> (עה"ג) הביא גירסת ה</w:t>
      </w:r>
      <w:r w:rsidRPr="00012502">
        <w:rPr>
          <w:rFonts w:ascii="Narkisim" w:hAnsi="Narkisim"/>
          <w:b/>
          <w:bCs/>
          <w:rtl/>
        </w:rPr>
        <w:t>גאונים</w:t>
      </w:r>
      <w:r w:rsidRPr="00012502">
        <w:rPr>
          <w:rFonts w:ascii="Narkisim" w:hAnsi="Narkisim"/>
          <w:rtl/>
        </w:rPr>
        <w:t xml:space="preserve"> (בסמוך) דגרושה שזינתה מותרת [דס"ד שגדר מחזיר גרושתו כמו סוטה, דביאת השני הוה טומאה ואוסרתה אראשון, קמ"ל דיש תנאי שיהא דרך אישות</w:t>
      </w:r>
      <w:r w:rsidRPr="00012502">
        <w:rPr>
          <w:rStyle w:val="ac"/>
          <w:rFonts w:ascii="Narkisim" w:hAnsi="Narkisim"/>
          <w:rtl/>
        </w:rPr>
        <w:footnoteReference w:id="662"/>
      </w:r>
      <w:r w:rsidRPr="00012502">
        <w:rPr>
          <w:rFonts w:ascii="Narkisim" w:hAnsi="Narkisim"/>
          <w:rtl/>
        </w:rPr>
        <w:t>].</w:t>
      </w:r>
    </w:p>
    <w:p w14:paraId="7C0098A8"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תוד"ה מאי.</w:t>
      </w:r>
      <w:r w:rsidRPr="00012502">
        <w:rPr>
          <w:rFonts w:ascii="Narkisim" w:hAnsi="Narkisim" w:cs="Narkisim"/>
          <w:rtl/>
        </w:rPr>
        <w:t xml:space="preserve"> אמאי אמר (סוטה ז.) דאם בא עליה בעלה בדרך </w:t>
      </w:r>
      <w:r w:rsidRPr="00012502">
        <w:rPr>
          <w:rFonts w:ascii="Narkisim" w:hAnsi="Narkisim" w:cs="Narkisim"/>
          <w:i/>
          <w:iCs/>
          <w:rtl/>
        </w:rPr>
        <w:t>לוקה</w:t>
      </w:r>
      <w:r w:rsidRPr="00012502">
        <w:rPr>
          <w:rStyle w:val="ac"/>
          <w:rFonts w:ascii="Narkisim" w:hAnsi="Narkisim" w:cs="Narkisim"/>
          <w:rtl/>
        </w:rPr>
        <w:footnoteReference w:id="663"/>
      </w:r>
      <w:r w:rsidRPr="00012502">
        <w:rPr>
          <w:rFonts w:ascii="Narkisim" w:hAnsi="Narkisim" w:cs="Narkisim"/>
          <w:rtl/>
        </w:rPr>
        <w:t>. דהבעל לוקה בספק סוטה. וה</w:t>
      </w:r>
      <w:r w:rsidRPr="00012502">
        <w:rPr>
          <w:rFonts w:ascii="Narkisim" w:hAnsi="Narkisim" w:cs="Narkisim"/>
          <w:b/>
          <w:bCs/>
          <w:rtl/>
        </w:rPr>
        <w:t>אחרונים</w:t>
      </w:r>
      <w:r w:rsidRPr="00012502">
        <w:rPr>
          <w:rFonts w:ascii="Narkisim" w:hAnsi="Narkisim" w:cs="Narkisim"/>
          <w:rtl/>
        </w:rPr>
        <w:t xml:space="preserve"> העירו דלשון זה ליתא לפנינו שם. </w:t>
      </w:r>
      <w:r w:rsidRPr="00012502">
        <w:rPr>
          <w:rFonts w:ascii="Narkisim" w:hAnsi="Narkisim" w:cs="Narkisim"/>
          <w:szCs w:val="20"/>
          <w:rtl/>
        </w:rPr>
        <w:t>ו</w:t>
      </w:r>
      <w:r w:rsidRPr="00012502">
        <w:rPr>
          <w:rFonts w:ascii="Narkisim" w:hAnsi="Narkisim" w:cs="Narkisim"/>
          <w:sz w:val="20"/>
          <w:szCs w:val="20"/>
          <w:rtl/>
        </w:rPr>
        <w:t>ה</w:t>
      </w:r>
      <w:r w:rsidRPr="00012502">
        <w:rPr>
          <w:rFonts w:ascii="Narkisim" w:hAnsi="Narkisim" w:cs="Narkisim"/>
          <w:b/>
          <w:bCs/>
          <w:sz w:val="20"/>
          <w:szCs w:val="20"/>
          <w:rtl/>
        </w:rPr>
        <w:t>רש"ש</w:t>
      </w:r>
      <w:r w:rsidRPr="00012502">
        <w:rPr>
          <w:rFonts w:ascii="Narkisim" w:hAnsi="Narkisim" w:cs="Narkisim"/>
          <w:sz w:val="20"/>
          <w:szCs w:val="20"/>
          <w:rtl/>
        </w:rPr>
        <w:t xml:space="preserve"> (בע"א) ביאר דכוונת התוס' ללמוד מהא (דאיתא שם) דמוסרים ב' ת"ח להתרות בו, והיינו למלקות</w:t>
      </w:r>
      <w:r w:rsidRPr="00012502">
        <w:rPr>
          <w:rStyle w:val="ac"/>
          <w:rFonts w:ascii="Narkisim" w:hAnsi="Narkisim" w:cs="Narkisim"/>
          <w:sz w:val="20"/>
          <w:szCs w:val="20"/>
          <w:rtl/>
        </w:rPr>
        <w:footnoteReference w:id="664"/>
      </w:r>
      <w:r w:rsidRPr="00012502">
        <w:rPr>
          <w:rFonts w:ascii="Narkisim" w:hAnsi="Narkisim" w:cs="Narkisim"/>
          <w:sz w:val="20"/>
          <w:szCs w:val="20"/>
          <w:rtl/>
        </w:rPr>
        <w:t xml:space="preserve">. </w:t>
      </w:r>
      <w:r w:rsidRPr="00012502">
        <w:rPr>
          <w:rFonts w:ascii="Narkisim" w:hAnsi="Narkisim" w:cs="Narkisim"/>
          <w:rtl/>
        </w:rPr>
        <w:t xml:space="preserve">וכ"כ </w:t>
      </w:r>
      <w:r w:rsidRPr="00012502">
        <w:rPr>
          <w:rFonts w:ascii="Narkisim" w:hAnsi="Narkisim" w:cs="Narkisim"/>
          <w:b/>
          <w:bCs/>
          <w:rtl/>
        </w:rPr>
        <w:t>תוס</w:t>
      </w:r>
      <w:r w:rsidRPr="00012502">
        <w:rPr>
          <w:rFonts w:ascii="Narkisim" w:hAnsi="Narkisim" w:cs="Narkisim"/>
          <w:rtl/>
        </w:rPr>
        <w:t>' (לקמן פה: ד"ה ולר' מתיא) דיש לאו בספק סוטה</w:t>
      </w:r>
      <w:r w:rsidRPr="00012502">
        <w:rPr>
          <w:rStyle w:val="ac"/>
          <w:rFonts w:ascii="Narkisim" w:hAnsi="Narkisim" w:cs="Narkisim"/>
          <w:rtl/>
        </w:rPr>
        <w:footnoteReference w:id="665"/>
      </w:r>
      <w:r w:rsidRPr="00012502">
        <w:rPr>
          <w:rFonts w:ascii="Narkisim" w:hAnsi="Narkisim" w:cs="Narkisim"/>
          <w:rtl/>
        </w:rPr>
        <w:t>.</w:t>
      </w:r>
    </w:p>
    <w:p w14:paraId="3DED5606" w14:textId="77777777" w:rsidR="00BE1D1C" w:rsidRPr="00012502" w:rsidRDefault="00000000" w:rsidP="00012502">
      <w:pPr>
        <w:pStyle w:val="a7"/>
        <w:bidi/>
        <w:rPr>
          <w:rFonts w:ascii="Narkisim" w:hAnsi="Narkisim"/>
        </w:rPr>
      </w:pPr>
      <w:r w:rsidRPr="00012502">
        <w:rPr>
          <w:rFonts w:ascii="Narkisim" w:hAnsi="Narkisim"/>
          <w:rtl/>
        </w:rPr>
        <w:t xml:space="preserve">אבל </w:t>
      </w:r>
      <w:r w:rsidRPr="00012502">
        <w:rPr>
          <w:rFonts w:ascii="Narkisim" w:hAnsi="Narkisim"/>
          <w:b/>
          <w:bCs/>
          <w:rtl/>
        </w:rPr>
        <w:t xml:space="preserve">תוס' </w:t>
      </w:r>
      <w:r w:rsidRPr="00012502">
        <w:rPr>
          <w:rFonts w:ascii="Narkisim" w:hAnsi="Narkisim"/>
          <w:szCs w:val="20"/>
          <w:rtl/>
        </w:rPr>
        <w:t>(לקמן סט. ד"ה כי, צויין בגהש"ס)</w:t>
      </w:r>
      <w:r w:rsidRPr="00012502">
        <w:rPr>
          <w:rFonts w:ascii="Narkisim" w:hAnsi="Narkisim"/>
          <w:rtl/>
        </w:rPr>
        <w:t xml:space="preserve"> כת' דכשבא עליה בדרך ליכא אלא עשה. וכ"ד </w:t>
      </w:r>
      <w:r w:rsidRPr="00012502">
        <w:rPr>
          <w:rFonts w:ascii="Narkisim" w:hAnsi="Narkisim"/>
          <w:b/>
          <w:bCs/>
          <w:rtl/>
        </w:rPr>
        <w:t>תוס</w:t>
      </w:r>
      <w:r w:rsidRPr="00012502">
        <w:rPr>
          <w:rFonts w:ascii="Narkisim" w:hAnsi="Narkisim"/>
          <w:rtl/>
        </w:rPr>
        <w:t>' (סוטה כח.). וה</w:t>
      </w:r>
      <w:r w:rsidRPr="00012502">
        <w:rPr>
          <w:rFonts w:ascii="Narkisim" w:hAnsi="Narkisim"/>
          <w:b/>
          <w:bCs/>
          <w:rtl/>
        </w:rPr>
        <w:t>רש"ש</w:t>
      </w:r>
      <w:r w:rsidRPr="00012502">
        <w:rPr>
          <w:rFonts w:ascii="Narkisim" w:hAnsi="Narkisim"/>
          <w:rtl/>
        </w:rPr>
        <w:t xml:space="preserve"> הביא דכן מבואר בתוס' (בע"א סוד"ה צרת) דליכא לאו בספק סוטה. ו</w:t>
      </w:r>
      <w:r w:rsidRPr="00012502">
        <w:rPr>
          <w:rFonts w:ascii="Narkisim" w:hAnsi="Narkisim"/>
          <w:b/>
          <w:bCs/>
          <w:rtl/>
        </w:rPr>
        <w:t>ה"ה</w:t>
      </w:r>
      <w:r w:rsidRPr="00012502">
        <w:rPr>
          <w:rFonts w:ascii="Narkisim" w:hAnsi="Narkisim"/>
          <w:rtl/>
        </w:rPr>
        <w:t xml:space="preserve"> (</w:t>
      </w:r>
      <w:r w:rsidRPr="00012502">
        <w:rPr>
          <w:rFonts w:ascii="Narkisim" w:hAnsi="Narkisim"/>
          <w:sz w:val="20"/>
          <w:szCs w:val="20"/>
          <w:rtl/>
        </w:rPr>
        <w:t xml:space="preserve">גירושין יא יד) </w:t>
      </w:r>
      <w:r w:rsidRPr="00012502">
        <w:rPr>
          <w:rFonts w:ascii="Narkisim" w:hAnsi="Narkisim"/>
          <w:rtl/>
        </w:rPr>
        <w:t>הביא דכ"ד ה</w:t>
      </w:r>
      <w:r w:rsidRPr="00012502">
        <w:rPr>
          <w:rFonts w:ascii="Narkisim" w:hAnsi="Narkisim"/>
          <w:b/>
          <w:bCs/>
          <w:rtl/>
        </w:rPr>
        <w:t>רמב"ם</w:t>
      </w:r>
      <w:r w:rsidRPr="00012502">
        <w:rPr>
          <w:rFonts w:ascii="Narkisim" w:hAnsi="Narkisim"/>
          <w:rtl/>
        </w:rPr>
        <w:t xml:space="preserve"> (שם) דלא הוה לאו גמור, אלא 'לוקה' מלקות מרדות [וע"ע כס"מ שם].</w:t>
      </w:r>
    </w:p>
    <w:p w14:paraId="5509FAB9"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(גר"ח סטנסל) כת' דתליא בחקירה דלמש"כ </w:t>
      </w:r>
      <w:r w:rsidRPr="00012502">
        <w:rPr>
          <w:rFonts w:ascii="Narkisim" w:hAnsi="Narkisim"/>
          <w:b/>
          <w:bCs/>
          <w:rtl/>
        </w:rPr>
        <w:t>תוס</w:t>
      </w:r>
      <w:r w:rsidRPr="00012502">
        <w:rPr>
          <w:rFonts w:ascii="Narkisim" w:hAnsi="Narkisim"/>
          <w:rtl/>
        </w:rPr>
        <w:t>' (בע"א ד"ה צרת) דאסרה תורה משום הצד שנבעלה, וספק כודאי הוה הכרעה כצד שטמאה [וממילא יש בזה לאו], או דהוה טומאה חדשה דהתורה חידשה, א"כ באיסור החדש הזה לא נתחדש מלקות [ותוס' ב</w:t>
      </w:r>
      <w:r w:rsidRPr="00012502">
        <w:rPr>
          <w:rFonts w:ascii="Narkisim" w:hAnsi="Narkisim"/>
          <w:b/>
          <w:bCs/>
          <w:rtl/>
        </w:rPr>
        <w:t>תי'</w:t>
      </w:r>
      <w:r w:rsidRPr="00012502">
        <w:rPr>
          <w:rFonts w:ascii="Narkisim" w:hAnsi="Narkisim"/>
          <w:rtl/>
        </w:rPr>
        <w:t xml:space="preserve"> </w:t>
      </w:r>
      <w:r w:rsidRPr="00012502">
        <w:rPr>
          <w:rFonts w:ascii="Narkisim" w:hAnsi="Narkisim"/>
          <w:sz w:val="20"/>
          <w:szCs w:val="20"/>
          <w:rtl/>
        </w:rPr>
        <w:t>(בע"א)</w:t>
      </w:r>
      <w:r w:rsidRPr="00012502">
        <w:rPr>
          <w:rFonts w:ascii="Narkisim" w:hAnsi="Narkisim"/>
          <w:rtl/>
        </w:rPr>
        <w:t xml:space="preserve"> ס"ל דהוה עשה, וטומאה חדשה].</w:t>
      </w:r>
    </w:p>
    <w:p w14:paraId="7AE45D2D" w14:textId="77777777" w:rsidR="00BE1D1C" w:rsidRPr="00012502" w:rsidRDefault="00000000" w:rsidP="00012502">
      <w:pPr>
        <w:bidi/>
        <w:rPr>
          <w:rFonts w:ascii="Narkisim" w:hAnsi="Narkisim" w:cs="Narkisim"/>
        </w:rPr>
      </w:pPr>
      <w:r w:rsidRPr="00012502">
        <w:rPr>
          <w:rFonts w:ascii="Narkisim" w:hAnsi="Narkisim" w:cs="Narkisim"/>
          <w:u w:val="single"/>
          <w:rtl/>
        </w:rPr>
        <w:t>למיקם עליה בלאו.</w:t>
      </w:r>
      <w:r w:rsidRPr="00012502">
        <w:rPr>
          <w:rFonts w:ascii="Narkisim" w:hAnsi="Narkisim" w:cs="Narkisim"/>
          <w:rtl/>
        </w:rPr>
        <w:t xml:space="preserve"> מבואר דיש לאו בסוטה ודאי [וכ"מ בתוס' הנ"ל]. אבל ה</w:t>
      </w:r>
      <w:r w:rsidRPr="00012502">
        <w:rPr>
          <w:rFonts w:ascii="Narkisim" w:hAnsi="Narkisim" w:cs="Narkisim"/>
          <w:b/>
          <w:bCs/>
          <w:rtl/>
        </w:rPr>
        <w:t>רמב"ם</w:t>
      </w:r>
      <w:r w:rsidRPr="00012502">
        <w:rPr>
          <w:rFonts w:ascii="Narkisim" w:hAnsi="Narkisim" w:cs="Narkisim"/>
          <w:rtl/>
        </w:rPr>
        <w:t xml:space="preserve"> </w:t>
      </w:r>
      <w:r w:rsidRPr="00012502">
        <w:rPr>
          <w:rFonts w:ascii="Narkisim" w:hAnsi="Narkisim" w:cs="Narkisim"/>
          <w:sz w:val="20"/>
          <w:szCs w:val="20"/>
          <w:rtl/>
        </w:rPr>
        <w:t>(איסו"ב א כב)</w:t>
      </w:r>
      <w:r w:rsidRPr="00012502">
        <w:rPr>
          <w:rFonts w:ascii="Narkisim" w:hAnsi="Narkisim" w:cs="Narkisim"/>
          <w:rtl/>
        </w:rPr>
        <w:t xml:space="preserve"> משמע דישראל אינו לוקה. וביאר ה"ה דכיון דעיקר הלאו קאי במחזיר גרושתו, הוה לאו שבכללות ואין לוקים עליו. [ולפ"ז הוה לאו, אלא שאין לוקין]. </w:t>
      </w:r>
      <w:r w:rsidRPr="00012502">
        <w:rPr>
          <w:rFonts w:ascii="Narkisim" w:hAnsi="Narkisim" w:cs="Narkisim"/>
          <w:sz w:val="20"/>
          <w:szCs w:val="20"/>
          <w:rtl/>
        </w:rPr>
        <w:t>אבל ה</w:t>
      </w:r>
      <w:r w:rsidRPr="00012502">
        <w:rPr>
          <w:rFonts w:ascii="Narkisim" w:hAnsi="Narkisim" w:cs="Narkisim"/>
          <w:b/>
          <w:bCs/>
          <w:sz w:val="20"/>
          <w:szCs w:val="20"/>
          <w:rtl/>
        </w:rPr>
        <w:t>רמב"ם</w:t>
      </w:r>
      <w:r w:rsidRPr="00012502">
        <w:rPr>
          <w:rFonts w:ascii="Narkisim" w:hAnsi="Narkisim" w:cs="Narkisim"/>
          <w:sz w:val="20"/>
          <w:szCs w:val="20"/>
          <w:rtl/>
        </w:rPr>
        <w:t xml:space="preserve"> (גירושין יא יד) כתב דלוקה דדרשי' ונטמאה, ואפי' בקינוי וסתירה לוקה מלקות מרדות</w:t>
      </w:r>
      <w:r w:rsidRPr="00012502">
        <w:rPr>
          <w:rStyle w:val="ac"/>
          <w:rFonts w:ascii="Narkisim" w:hAnsi="Narkisim" w:cs="Narkisim"/>
          <w:sz w:val="20"/>
          <w:szCs w:val="20"/>
          <w:rtl/>
        </w:rPr>
        <w:footnoteReference w:id="666"/>
      </w:r>
      <w:r w:rsidRPr="00012502">
        <w:rPr>
          <w:rFonts w:ascii="Narkisim" w:hAnsi="Narkisim" w:cs="Narkisim"/>
          <w:sz w:val="20"/>
          <w:szCs w:val="20"/>
          <w:rtl/>
        </w:rPr>
        <w:t>.</w:t>
      </w:r>
    </w:p>
    <w:p w14:paraId="25D77C9D" w14:textId="77777777" w:rsidR="00BE1D1C" w:rsidRPr="00012502" w:rsidRDefault="00000000" w:rsidP="00012502">
      <w:pPr>
        <w:bidi/>
        <w:rPr>
          <w:rFonts w:ascii="Narkisim" w:hAnsi="Narkisim" w:cs="Narkisim"/>
        </w:rPr>
      </w:pPr>
      <w:r w:rsidRPr="00012502">
        <w:rPr>
          <w:rFonts w:ascii="Narkisim" w:hAnsi="Narkisim" w:cs="Narkisim"/>
          <w:i/>
          <w:iCs/>
          <w:sz w:val="21"/>
          <w:szCs w:val="21"/>
          <w:rtl/>
        </w:rPr>
        <w:t>טומאה דבועל</w:t>
      </w:r>
      <w:r w:rsidRPr="00012502">
        <w:rPr>
          <w:rFonts w:ascii="Narkisim" w:hAnsi="Narkisim" w:cs="Narkisim"/>
          <w:rtl/>
        </w:rPr>
        <w:t xml:space="preserve"> - </w:t>
      </w:r>
      <w:r w:rsidRPr="00012502">
        <w:rPr>
          <w:rFonts w:ascii="Narkisim" w:hAnsi="Narkisim" w:cs="Narkisim"/>
          <w:b/>
          <w:bCs/>
          <w:rtl/>
        </w:rPr>
        <w:t>תוס</w:t>
      </w:r>
      <w:r w:rsidRPr="00012502">
        <w:rPr>
          <w:rFonts w:ascii="Narkisim" w:hAnsi="Narkisim" w:cs="Narkisim"/>
          <w:rtl/>
        </w:rPr>
        <w:t>' (לעיל ג: ד"ה לפי) דנו דילפי' 'טומאה' אף כלפי איסור הבועל, כגון שנשאת לאחיו ומת, שאינה זקוקה לו ליבום ופוטרת צרתה</w:t>
      </w:r>
      <w:r w:rsidRPr="00012502">
        <w:rPr>
          <w:rStyle w:val="ac"/>
          <w:rFonts w:ascii="Narkisim" w:hAnsi="Narkisim" w:cs="Narkisim"/>
          <w:rtl/>
        </w:rPr>
        <w:footnoteReference w:id="667"/>
      </w:r>
      <w:r w:rsidRPr="00012502">
        <w:rPr>
          <w:rFonts w:ascii="Narkisim" w:hAnsi="Narkisim" w:cs="Narkisim"/>
          <w:rtl/>
        </w:rPr>
        <w:t>. ועוד תי' ר"י [בתוס'] דטומאה דבועל כתוב בלשון עשה, ודוקא טומאה בלשון לאו ילפי' טומאה כעריות.</w:t>
      </w:r>
    </w:p>
    <w:p w14:paraId="56D450DA"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רע"א</w:t>
      </w:r>
      <w:r w:rsidRPr="00012502">
        <w:rPr>
          <w:rFonts w:ascii="Narkisim" w:hAnsi="Narkisim"/>
          <w:rtl/>
        </w:rPr>
        <w:t xml:space="preserve"> (</w:t>
      </w:r>
      <w:r w:rsidRPr="00012502">
        <w:rPr>
          <w:rFonts w:ascii="Narkisim" w:hAnsi="Narkisim"/>
          <w:sz w:val="20"/>
          <w:szCs w:val="20"/>
          <w:rtl/>
        </w:rPr>
        <w:t>בגהש"ס שם)</w:t>
      </w:r>
      <w:r w:rsidRPr="00012502">
        <w:rPr>
          <w:rFonts w:ascii="Narkisim" w:hAnsi="Narkisim"/>
          <w:rtl/>
        </w:rPr>
        <w:t xml:space="preserve"> ציין לדברי ה</w:t>
      </w:r>
      <w:r w:rsidRPr="00012502">
        <w:rPr>
          <w:rFonts w:ascii="Narkisim" w:hAnsi="Narkisim"/>
          <w:b/>
          <w:bCs/>
          <w:rtl/>
        </w:rPr>
        <w:t>ירושלמי</w:t>
      </w:r>
      <w:r w:rsidRPr="00012502">
        <w:rPr>
          <w:rFonts w:ascii="Narkisim" w:hAnsi="Narkisim"/>
          <w:rtl/>
        </w:rPr>
        <w:t xml:space="preserve"> (לקמן י א) דצרתה מותרת. וה</w:t>
      </w:r>
      <w:r w:rsidRPr="00012502">
        <w:rPr>
          <w:rFonts w:ascii="Narkisim" w:hAnsi="Narkisim"/>
          <w:b/>
          <w:bCs/>
          <w:rtl/>
        </w:rPr>
        <w:t>רש"ש</w:t>
      </w:r>
      <w:r w:rsidRPr="00012502">
        <w:rPr>
          <w:rFonts w:ascii="Narkisim" w:hAnsi="Narkisim"/>
          <w:rtl/>
        </w:rPr>
        <w:t xml:space="preserve"> חלק דהירושלמי איירי כשהבועל קידש את הסוטה, והנידון לאסור לאחיו</w:t>
      </w:r>
      <w:r w:rsidRPr="00012502">
        <w:rPr>
          <w:rFonts w:ascii="Narkisim" w:hAnsi="Narkisim"/>
          <w:sz w:val="20"/>
          <w:szCs w:val="20"/>
          <w:rtl/>
        </w:rPr>
        <w:t xml:space="preserve"> [מדין ק"ו]</w:t>
      </w:r>
      <w:r w:rsidRPr="00012502">
        <w:rPr>
          <w:rFonts w:ascii="Narkisim" w:hAnsi="Narkisim"/>
          <w:rtl/>
        </w:rPr>
        <w:t xml:space="preserve">, ואין ראיה לנידון התוס'. </w:t>
      </w:r>
      <w:r w:rsidRPr="00012502">
        <w:rPr>
          <w:rFonts w:ascii="Narkisim" w:hAnsi="Narkisim"/>
          <w:sz w:val="20"/>
          <w:szCs w:val="20"/>
          <w:rtl/>
        </w:rPr>
        <w:t>וה</w:t>
      </w:r>
      <w:r w:rsidRPr="00012502">
        <w:rPr>
          <w:rFonts w:ascii="Narkisim" w:hAnsi="Narkisim"/>
          <w:b/>
          <w:bCs/>
          <w:sz w:val="20"/>
          <w:szCs w:val="20"/>
          <w:rtl/>
        </w:rPr>
        <w:t>משנ"ל</w:t>
      </w:r>
      <w:r w:rsidRPr="00012502">
        <w:rPr>
          <w:rFonts w:ascii="Narkisim" w:hAnsi="Narkisim"/>
          <w:sz w:val="20"/>
          <w:szCs w:val="20"/>
          <w:rtl/>
        </w:rPr>
        <w:t xml:space="preserve"> (יבום ו יט) האריך בכ"ז.</w:t>
      </w:r>
    </w:p>
    <w:p w14:paraId="2A2E8F6B" w14:textId="77777777" w:rsidR="00BE1D1C" w:rsidRPr="00012502" w:rsidRDefault="00000000" w:rsidP="00012502">
      <w:pPr>
        <w:bidi/>
        <w:rPr>
          <w:rFonts w:ascii="Narkisim" w:hAnsi="Narkisim" w:cs="Narkisim"/>
        </w:rPr>
      </w:pPr>
      <w:r w:rsidRPr="00012502">
        <w:rPr>
          <w:rFonts w:ascii="Narkisim" w:hAnsi="Narkisim" w:cs="Narkisim"/>
          <w:u w:val="single"/>
          <w:rtl/>
        </w:rPr>
        <w:t>תוד"ה צרתה.</w:t>
      </w:r>
      <w:r w:rsidRPr="00012502">
        <w:rPr>
          <w:rFonts w:ascii="Narkisim" w:hAnsi="Narkisim" w:cs="Narkisim"/>
          <w:rtl/>
        </w:rPr>
        <w:t xml:space="preserve"> לר' יוסי בן כיפר ודאי פטורה מן החליצה ומהיבום דטומאה כתיב ביה כעריות. אבל ה</w:t>
      </w:r>
      <w:r w:rsidRPr="00012502">
        <w:rPr>
          <w:rFonts w:ascii="Narkisim" w:hAnsi="Narkisim" w:cs="Narkisim"/>
          <w:b/>
          <w:bCs/>
          <w:rtl/>
        </w:rPr>
        <w:t>רמב"ן</w:t>
      </w:r>
      <w:r w:rsidRPr="00012502">
        <w:rPr>
          <w:rFonts w:ascii="Narkisim" w:hAnsi="Narkisim" w:cs="Narkisim"/>
          <w:rtl/>
        </w:rPr>
        <w:t xml:space="preserve"> ו</w:t>
      </w:r>
      <w:r w:rsidRPr="00012502">
        <w:rPr>
          <w:rFonts w:ascii="Narkisim" w:hAnsi="Narkisim" w:cs="Narkisim"/>
          <w:b/>
          <w:bCs/>
          <w:rtl/>
        </w:rPr>
        <w:t>רשב"א</w:t>
      </w:r>
      <w:r w:rsidRPr="00012502">
        <w:rPr>
          <w:rFonts w:ascii="Narkisim" w:hAnsi="Narkisim" w:cs="Narkisim"/>
          <w:rtl/>
        </w:rPr>
        <w:t xml:space="preserve"> (בע"א) הביאו מכאן דטומאה כעריות אינו פוטר מחליצה. וכ"כ ה</w:t>
      </w:r>
      <w:r w:rsidRPr="00012502">
        <w:rPr>
          <w:rFonts w:ascii="Narkisim" w:hAnsi="Narkisim" w:cs="Narkisim"/>
          <w:b/>
          <w:bCs/>
          <w:rtl/>
        </w:rPr>
        <w:t>מהרש"א</w:t>
      </w:r>
      <w:r w:rsidRPr="00012502">
        <w:rPr>
          <w:rFonts w:ascii="Narkisim" w:hAnsi="Narkisim" w:cs="Narkisim"/>
          <w:rtl/>
        </w:rPr>
        <w:t xml:space="preserve"> בדעת </w:t>
      </w:r>
      <w:r w:rsidRPr="00012502">
        <w:rPr>
          <w:rFonts w:ascii="Narkisim" w:hAnsi="Narkisim" w:cs="Narkisim"/>
          <w:b/>
          <w:bCs/>
          <w:rtl/>
        </w:rPr>
        <w:t>רש"י</w:t>
      </w:r>
      <w:r w:rsidRPr="00012502">
        <w:rPr>
          <w:rFonts w:ascii="Narkisim" w:hAnsi="Narkisim" w:cs="Narkisim"/>
          <w:rtl/>
        </w:rPr>
        <w:t xml:space="preserve"> (ע' בסמוך).</w:t>
      </w:r>
    </w:p>
    <w:p w14:paraId="5740B5A4"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אמר"מ</w:t>
      </w:r>
      <w:r w:rsidRPr="00012502">
        <w:rPr>
          <w:rFonts w:ascii="Narkisim" w:hAnsi="Narkisim" w:cs="Narkisim"/>
          <w:rtl/>
        </w:rPr>
        <w:t xml:space="preserve"> (ז ד) הק' דלדעת תוס' היא פטורה מדין טומאה כעריות וקיימא באיסור אשת אח. א"כ אמאי לא פטרה צרתה משום צרת אשת אח [לצד דבעריות אף איסור האשת אח דנפילה זו הוה ערוה ופוטרת צרתה]. ואף דדרשי' 'ואין צרתה תועבה', דליכא 'טומאה' בצרה, עכ"פ הוה צרת אשת אח</w:t>
      </w:r>
      <w:r w:rsidRPr="00012502">
        <w:rPr>
          <w:rStyle w:val="ac"/>
          <w:rFonts w:ascii="Narkisim" w:hAnsi="Narkisim" w:cs="Narkisim"/>
          <w:rtl/>
        </w:rPr>
        <w:footnoteReference w:id="668"/>
      </w:r>
      <w:r w:rsidRPr="00012502">
        <w:rPr>
          <w:rFonts w:ascii="Narkisim" w:hAnsi="Narkisim" w:cs="Narkisim"/>
          <w:rtl/>
        </w:rPr>
        <w:t>. (וע' בסמוך).</w:t>
      </w:r>
    </w:p>
    <w:p w14:paraId="68853023" w14:textId="77777777" w:rsidR="00BE1D1C" w:rsidRPr="00012502" w:rsidRDefault="00000000" w:rsidP="00012502">
      <w:pPr>
        <w:bidi/>
        <w:rPr>
          <w:rFonts w:ascii="Narkisim" w:hAnsi="Narkisim" w:cs="Narkisim"/>
        </w:rPr>
      </w:pPr>
      <w:r w:rsidRPr="00012502">
        <w:rPr>
          <w:rFonts w:ascii="Narkisim" w:hAnsi="Narkisim" w:cs="Narkisim"/>
          <w:u w:val="single"/>
          <w:rtl/>
        </w:rPr>
        <w:t>בא"ד ואת"ל נמי דאין מקרא יוצא מידי פשוטו אין לפוטרה מחליצה, דעיקר קרא בטומאה בסוטה כתיב וכו'</w:t>
      </w:r>
      <w:r w:rsidRPr="00012502">
        <w:rPr>
          <w:rFonts w:ascii="Narkisim" w:hAnsi="Narkisim" w:cs="Narkisim"/>
          <w:rtl/>
        </w:rPr>
        <w:t>. וצ"ב ממ"נ, דאי 'טומאה' קאי אף אמחזיר גרושתו א"כ הוה כעריות. ואת"ל דנעקר א"כ תתייבם</w:t>
      </w:r>
      <w:r w:rsidRPr="00012502">
        <w:rPr>
          <w:rStyle w:val="ac"/>
          <w:rFonts w:ascii="Narkisim" w:hAnsi="Narkisim" w:cs="Narkisim"/>
          <w:rtl/>
        </w:rPr>
        <w:footnoteReference w:id="669"/>
      </w:r>
      <w:r w:rsidRPr="00012502">
        <w:rPr>
          <w:rFonts w:ascii="Narkisim" w:hAnsi="Narkisim" w:cs="Narkisim"/>
          <w:rtl/>
        </w:rPr>
        <w:t>. וה</w:t>
      </w:r>
      <w:r w:rsidRPr="00012502">
        <w:rPr>
          <w:rFonts w:ascii="Narkisim" w:hAnsi="Narkisim" w:cs="Narkisim"/>
          <w:b/>
          <w:bCs/>
          <w:rtl/>
        </w:rPr>
        <w:t>תוס' הרא"ש</w:t>
      </w:r>
      <w:r w:rsidRPr="00012502">
        <w:rPr>
          <w:rFonts w:ascii="Narkisim" w:hAnsi="Narkisim" w:cs="Narkisim"/>
          <w:rtl/>
        </w:rPr>
        <w:t xml:space="preserve"> ביאר דמטעם אין מקרא יוצא מידי פשוטו לא חשיבא כערוה. וה</w:t>
      </w:r>
      <w:r w:rsidRPr="00012502">
        <w:rPr>
          <w:rFonts w:ascii="Narkisim" w:hAnsi="Narkisim" w:cs="Narkisim"/>
          <w:b/>
          <w:bCs/>
          <w:rtl/>
        </w:rPr>
        <w:t>אחרונים</w:t>
      </w:r>
      <w:r w:rsidRPr="00012502">
        <w:rPr>
          <w:rFonts w:ascii="Narkisim" w:hAnsi="Narkisim" w:cs="Narkisim"/>
          <w:rtl/>
        </w:rPr>
        <w:t xml:space="preserve"> פירשו דלא נאמר 'פטור טומאה' גבי יבם</w:t>
      </w:r>
      <w:r w:rsidRPr="00012502">
        <w:rPr>
          <w:rStyle w:val="ac"/>
          <w:rFonts w:ascii="Narkisim" w:hAnsi="Narkisim" w:cs="Narkisim"/>
          <w:rtl/>
        </w:rPr>
        <w:footnoteReference w:id="670"/>
      </w:r>
      <w:r w:rsidRPr="00012502">
        <w:rPr>
          <w:rFonts w:ascii="Narkisim" w:hAnsi="Narkisim" w:cs="Narkisim"/>
          <w:rtl/>
        </w:rPr>
        <w:t xml:space="preserve">, אלא דסברת 'אין מקרא' נחשב שהטומאה כלפי הבעל אוסר ליבם, ומדין ק"ו. </w:t>
      </w:r>
      <w:r w:rsidRPr="00012502">
        <w:rPr>
          <w:rFonts w:ascii="Narkisim" w:hAnsi="Narkisim" w:cs="Narkisim"/>
          <w:sz w:val="20"/>
          <w:szCs w:val="20"/>
          <w:rtl/>
        </w:rPr>
        <w:t xml:space="preserve">[ודלא כבכור שור דאף טומאה דסוטה אוסר </w:t>
      </w:r>
      <w:r w:rsidRPr="00012502">
        <w:rPr>
          <w:rFonts w:ascii="Narkisim" w:hAnsi="Narkisim" w:cs="Narkisim"/>
          <w:sz w:val="20"/>
          <w:szCs w:val="20"/>
          <w:rtl/>
        </w:rPr>
        <w:lastRenderedPageBreak/>
        <w:t>ליבם מדין ק"ו</w:t>
      </w:r>
      <w:r w:rsidRPr="00012502">
        <w:rPr>
          <w:rStyle w:val="ac"/>
          <w:rFonts w:ascii="Narkisim" w:hAnsi="Narkisim" w:cs="Narkisim"/>
          <w:sz w:val="20"/>
          <w:szCs w:val="20"/>
          <w:rtl/>
        </w:rPr>
        <w:footnoteReference w:id="671"/>
      </w:r>
      <w:r w:rsidRPr="00012502">
        <w:rPr>
          <w:rFonts w:ascii="Narkisim" w:hAnsi="Narkisim" w:cs="Narkisim"/>
          <w:sz w:val="20"/>
          <w:szCs w:val="20"/>
          <w:rtl/>
        </w:rPr>
        <w:t>]</w:t>
      </w:r>
      <w:r w:rsidRPr="00012502">
        <w:rPr>
          <w:rFonts w:ascii="Narkisim" w:hAnsi="Narkisim" w:cs="Narkisim"/>
          <w:rtl/>
        </w:rPr>
        <w:t>, ומדין ק"ו אינה נפטרת מחליצה</w:t>
      </w:r>
      <w:r w:rsidRPr="00012502">
        <w:rPr>
          <w:rStyle w:val="ac"/>
          <w:rFonts w:ascii="Narkisim" w:hAnsi="Narkisim" w:cs="Narkisim"/>
          <w:rtl/>
        </w:rPr>
        <w:footnoteReference w:id="672"/>
      </w:r>
      <w:r w:rsidRPr="00012502">
        <w:rPr>
          <w:rFonts w:ascii="Narkisim" w:hAnsi="Narkisim" w:cs="Narkisim"/>
          <w:rtl/>
        </w:rPr>
        <w:t xml:space="preserve">. </w:t>
      </w:r>
      <w:r w:rsidRPr="00012502">
        <w:rPr>
          <w:rFonts w:ascii="Narkisim" w:hAnsi="Narkisim" w:cs="Narkisim"/>
          <w:sz w:val="20"/>
          <w:szCs w:val="20"/>
          <w:rtl/>
        </w:rPr>
        <w:t xml:space="preserve">ועוד יש </w:t>
      </w:r>
      <w:r w:rsidRPr="00012502">
        <w:rPr>
          <w:rFonts w:ascii="Narkisim" w:hAnsi="Narkisim" w:cs="Narkisim"/>
          <w:b/>
          <w:bCs/>
          <w:sz w:val="20"/>
          <w:szCs w:val="20"/>
          <w:rtl/>
        </w:rPr>
        <w:t>אחרונים</w:t>
      </w:r>
      <w:r w:rsidRPr="00012502">
        <w:rPr>
          <w:rFonts w:ascii="Narkisim" w:hAnsi="Narkisim" w:cs="Narkisim"/>
          <w:sz w:val="20"/>
          <w:szCs w:val="20"/>
          <w:rtl/>
        </w:rPr>
        <w:t xml:space="preserve"> שפי' דבעי גט כיון דתפסי קידושין, דאין דין פטור.</w:t>
      </w:r>
    </w:p>
    <w:p w14:paraId="5894AD91" w14:textId="77777777" w:rsidR="00BE1D1C" w:rsidRPr="00012502" w:rsidRDefault="00000000" w:rsidP="00012502">
      <w:pPr>
        <w:pStyle w:val="aa"/>
        <w:bidi/>
        <w:rPr>
          <w:rFonts w:ascii="Narkisim" w:hAnsi="Narkisim"/>
        </w:rPr>
      </w:pPr>
      <w:r w:rsidRPr="00012502">
        <w:rPr>
          <w:rFonts w:ascii="Narkisim" w:hAnsi="Narkisim"/>
          <w:rtl/>
        </w:rPr>
        <w:t>ה</w:t>
      </w:r>
      <w:r w:rsidRPr="00012502">
        <w:rPr>
          <w:rFonts w:ascii="Narkisim" w:hAnsi="Narkisim"/>
          <w:b/>
          <w:bCs/>
          <w:rtl/>
        </w:rPr>
        <w:t>תוס' הרא"ש</w:t>
      </w:r>
      <w:r w:rsidRPr="00012502">
        <w:rPr>
          <w:rFonts w:ascii="Narkisim" w:hAnsi="Narkisim"/>
          <w:rtl/>
        </w:rPr>
        <w:t xml:space="preserve"> (לקמן מד:) הביא </w:t>
      </w:r>
      <w:r w:rsidRPr="00012502">
        <w:rPr>
          <w:rFonts w:ascii="Narkisim" w:hAnsi="Narkisim"/>
          <w:b/>
          <w:bCs/>
          <w:rtl/>
        </w:rPr>
        <w:t>רבינו מאיר</w:t>
      </w:r>
      <w:r w:rsidRPr="00012502">
        <w:rPr>
          <w:rFonts w:ascii="Narkisim" w:hAnsi="Narkisim"/>
          <w:rtl/>
        </w:rPr>
        <w:t xml:space="preserve"> בשם </w:t>
      </w:r>
      <w:r w:rsidRPr="00012502">
        <w:rPr>
          <w:rFonts w:ascii="Narkisim" w:hAnsi="Narkisim"/>
          <w:b/>
          <w:bCs/>
          <w:rtl/>
        </w:rPr>
        <w:t>ר"ח</w:t>
      </w:r>
      <w:r w:rsidRPr="00012502">
        <w:rPr>
          <w:rFonts w:ascii="Narkisim" w:hAnsi="Narkisim"/>
          <w:rtl/>
        </w:rPr>
        <w:t xml:space="preserve"> דמחזיר גרושתו נפסלת לתרומה</w:t>
      </w:r>
      <w:r w:rsidRPr="00012502">
        <w:rPr>
          <w:rStyle w:val="ac"/>
          <w:rFonts w:ascii="Narkisim" w:hAnsi="Narkisim"/>
          <w:rtl/>
        </w:rPr>
        <w:footnoteReference w:id="673"/>
      </w:r>
      <w:r w:rsidRPr="00012502">
        <w:rPr>
          <w:rFonts w:ascii="Narkisim" w:hAnsi="Narkisim"/>
          <w:rtl/>
        </w:rPr>
        <w:t>, דקרינן ביה טומאה. ואין מקרא יוצא מידי פשוטו. ואפי' למ"ד 'כיון דאיעקר' ה"מ לפטור צרה, אבל היא גופא פשיטא דאהני קצת, כי היכי דאהני לענין שחולצת. דלדידה אהני ק"ו, ולא אלים ק"ו למידחי צרה.</w:t>
      </w:r>
    </w:p>
    <w:p w14:paraId="5AD3815F" w14:textId="77777777" w:rsidR="00BE1D1C" w:rsidRPr="00012502" w:rsidRDefault="00000000" w:rsidP="00012502">
      <w:pPr>
        <w:pStyle w:val="aa"/>
        <w:bidi/>
        <w:rPr>
          <w:rFonts w:ascii="Narkisim" w:hAnsi="Narkisim"/>
        </w:rPr>
      </w:pPr>
      <w:r w:rsidRPr="00012502">
        <w:rPr>
          <w:rFonts w:ascii="Narkisim" w:hAnsi="Narkisim"/>
          <w:u w:val="single"/>
          <w:rtl/>
        </w:rPr>
        <w:t>א"ל תניתוה היתה א' כשירה וא' פסולה וכו' אלא לאו וכו' פסולה פסולה ליה, ומאי ניהו מחזיר גרושתו</w:t>
      </w:r>
      <w:r w:rsidRPr="00012502">
        <w:rPr>
          <w:rFonts w:ascii="Narkisim" w:hAnsi="Narkisim"/>
          <w:rtl/>
        </w:rPr>
        <w:t>. פ</w:t>
      </w:r>
      <w:r w:rsidRPr="00012502">
        <w:rPr>
          <w:rFonts w:ascii="Narkisim" w:hAnsi="Narkisim"/>
          <w:b/>
          <w:bCs/>
          <w:rtl/>
        </w:rPr>
        <w:t>רש"י</w:t>
      </w:r>
      <w:r w:rsidRPr="00012502">
        <w:rPr>
          <w:rFonts w:ascii="Narkisim" w:hAnsi="Narkisim"/>
          <w:rtl/>
        </w:rPr>
        <w:t xml:space="preserve"> (סוד"ה פסולה) דאי שאר חייבי לאוין, מאי אתא לאשמוע'. וצ"ב דנימא דאשמע' דאף שפסולה לדידיה מהני חליצה, ואי"צ חיזור [וע' תוס' ד"ה או].</w:t>
      </w:r>
    </w:p>
    <w:p w14:paraId="7F16F05A" w14:textId="77777777" w:rsidR="00BE1D1C" w:rsidRPr="00012502" w:rsidRDefault="00000000" w:rsidP="00012502">
      <w:pPr>
        <w:bidi/>
        <w:rPr>
          <w:rFonts w:ascii="Narkisim" w:hAnsi="Narkisim" w:cs="Narkisim"/>
        </w:rPr>
      </w:pPr>
      <w:r w:rsidRPr="00012502">
        <w:rPr>
          <w:rFonts w:ascii="Narkisim" w:hAnsi="Narkisim" w:cs="Narkisim"/>
          <w:u w:val="single"/>
          <w:rtl/>
        </w:rPr>
        <w:t>תוד"ה אמר ליה.</w:t>
      </w:r>
      <w:r w:rsidRPr="00012502">
        <w:rPr>
          <w:rFonts w:ascii="Narkisim" w:hAnsi="Narkisim" w:cs="Narkisim"/>
          <w:rtl/>
        </w:rPr>
        <w:t xml:space="preserve"> למיפשט בעי קמייתא. אבל ה</w:t>
      </w:r>
      <w:r w:rsidRPr="00012502">
        <w:rPr>
          <w:rFonts w:ascii="Narkisim" w:hAnsi="Narkisim" w:cs="Narkisim"/>
          <w:b/>
          <w:bCs/>
          <w:rtl/>
        </w:rPr>
        <w:t>רשב"א</w:t>
      </w:r>
      <w:r w:rsidRPr="00012502">
        <w:rPr>
          <w:rFonts w:ascii="Narkisim" w:hAnsi="Narkisim" w:cs="Narkisim"/>
          <w:rtl/>
        </w:rPr>
        <w:t xml:space="preserve"> ו</w:t>
      </w:r>
      <w:r w:rsidRPr="00012502">
        <w:rPr>
          <w:rFonts w:ascii="Narkisim" w:hAnsi="Narkisim" w:cs="Narkisim"/>
          <w:b/>
          <w:bCs/>
          <w:rtl/>
        </w:rPr>
        <w:t>שא"ר</w:t>
      </w:r>
      <w:r w:rsidRPr="00012502">
        <w:rPr>
          <w:rFonts w:ascii="Narkisim" w:hAnsi="Narkisim" w:cs="Narkisim"/>
          <w:rtl/>
        </w:rPr>
        <w:t xml:space="preserve"> כתבו דנפשט הספק השני, דדרשי' ואין צרתה תועבה. וכן דייק ה</w:t>
      </w:r>
      <w:r w:rsidRPr="00012502">
        <w:rPr>
          <w:rFonts w:ascii="Narkisim" w:hAnsi="Narkisim" w:cs="Narkisim"/>
          <w:b/>
          <w:bCs/>
          <w:rtl/>
        </w:rPr>
        <w:t>מהרש"א</w:t>
      </w:r>
      <w:r w:rsidRPr="00012502">
        <w:rPr>
          <w:rFonts w:ascii="Narkisim" w:hAnsi="Narkisim" w:cs="Narkisim"/>
          <w:rtl/>
        </w:rPr>
        <w:t xml:space="preserve"> מ</w:t>
      </w:r>
      <w:r w:rsidRPr="00012502">
        <w:rPr>
          <w:rFonts w:ascii="Narkisim" w:hAnsi="Narkisim" w:cs="Narkisim"/>
          <w:b/>
          <w:bCs/>
          <w:rtl/>
        </w:rPr>
        <w:t>רש"י</w:t>
      </w:r>
      <w:r w:rsidRPr="00012502">
        <w:rPr>
          <w:rFonts w:ascii="Narkisim" w:hAnsi="Narkisim" w:cs="Narkisim"/>
          <w:rtl/>
        </w:rPr>
        <w:t xml:space="preserve"> (ד"ה פסולה פסולה ליה) דאע"ג דכתיב טומאה וכו'. וה</w:t>
      </w:r>
      <w:r w:rsidRPr="00012502">
        <w:rPr>
          <w:rFonts w:ascii="Narkisim" w:hAnsi="Narkisim" w:cs="Narkisim"/>
          <w:b/>
          <w:bCs/>
          <w:rtl/>
        </w:rPr>
        <w:t>רשב"א</w:t>
      </w:r>
      <w:r w:rsidRPr="00012502">
        <w:rPr>
          <w:rFonts w:ascii="Narkisim" w:hAnsi="Narkisim" w:cs="Narkisim"/>
          <w:rtl/>
        </w:rPr>
        <w:t xml:space="preserve"> ביאר דהגמ' נקטה דקאי כר' יוסי ב"כ, דאל"כ מאי אתי לאשמועינן [ע"ד מש"כ רש"י בסו"ד הנ"ל].</w:t>
      </w:r>
    </w:p>
    <w:p w14:paraId="2E0F9A8B" w14:textId="77777777" w:rsidR="00BE1D1C" w:rsidRPr="00012502" w:rsidRDefault="00000000" w:rsidP="00012502">
      <w:pPr>
        <w:pStyle w:val="aa"/>
        <w:bidi/>
        <w:rPr>
          <w:rFonts w:ascii="Narkisim" w:hAnsi="Narkisim"/>
        </w:rPr>
      </w:pPr>
      <w:r w:rsidRPr="00012502">
        <w:rPr>
          <w:rFonts w:ascii="Narkisim" w:hAnsi="Narkisim"/>
          <w:u w:val="single"/>
          <w:rtl/>
        </w:rPr>
        <w:t>תריץ הכי היא חולצת צרתה וכו' או חולצת.</w:t>
      </w:r>
      <w:r w:rsidRPr="00012502">
        <w:rPr>
          <w:rFonts w:ascii="Narkisim" w:hAnsi="Narkisim"/>
          <w:rtl/>
        </w:rPr>
        <w:t xml:space="preserve"> ה</w:t>
      </w:r>
      <w:r w:rsidRPr="00012502">
        <w:rPr>
          <w:rFonts w:ascii="Narkisim" w:hAnsi="Narkisim"/>
          <w:b/>
          <w:bCs/>
          <w:rtl/>
        </w:rPr>
        <w:t>רשב"א</w:t>
      </w:r>
      <w:r w:rsidRPr="00012502">
        <w:rPr>
          <w:rFonts w:ascii="Narkisim" w:hAnsi="Narkisim"/>
          <w:rtl/>
        </w:rPr>
        <w:t xml:space="preserve"> הקשה אמאי לא אמרי' 'לא ישפוך מי בורו וכו''. י"ל דלא ס"ל השתא הך סברא.</w:t>
      </w:r>
    </w:p>
    <w:p w14:paraId="27A88510" w14:textId="77777777" w:rsidR="00BE1D1C" w:rsidRPr="00012502" w:rsidRDefault="00000000" w:rsidP="00012502">
      <w:pPr>
        <w:bidi/>
        <w:rPr>
          <w:rFonts w:ascii="Narkisim" w:hAnsi="Narkisim" w:cs="Narkisim"/>
        </w:rPr>
      </w:pPr>
      <w:r w:rsidRPr="00012502">
        <w:rPr>
          <w:rFonts w:ascii="Narkisim" w:hAnsi="Narkisim" w:cs="Narkisim"/>
          <w:u w:val="single"/>
          <w:rtl/>
        </w:rPr>
        <w:t>תוד"ה או היא.</w:t>
      </w:r>
      <w:r w:rsidRPr="00012502">
        <w:rPr>
          <w:rFonts w:ascii="Narkisim" w:hAnsi="Narkisim" w:cs="Narkisim"/>
          <w:rtl/>
        </w:rPr>
        <w:t xml:space="preserve"> חליצה פסולה צריך לחזור וכו' דהורעה הזיקה וקלשה לה וכו'. </w:t>
      </w:r>
      <w:r w:rsidRPr="00012502">
        <w:rPr>
          <w:rFonts w:ascii="Narkisim" w:hAnsi="Narkisim" w:cs="Narkisim"/>
          <w:szCs w:val="20"/>
          <w:rtl/>
        </w:rPr>
        <w:t>[עיקר סוגיית חליצה פסולה יתבאר לקמן כו:].</w:t>
      </w:r>
      <w:r w:rsidRPr="00012502">
        <w:rPr>
          <w:rFonts w:ascii="Narkisim" w:hAnsi="Narkisim" w:cs="Narkisim"/>
          <w:rtl/>
        </w:rPr>
        <w:t xml:space="preserve"> וכן </w:t>
      </w:r>
      <w:r w:rsidRPr="00012502">
        <w:rPr>
          <w:rFonts w:ascii="Narkisim" w:hAnsi="Narkisim" w:cs="Narkisim"/>
          <w:b/>
          <w:bCs/>
          <w:rtl/>
        </w:rPr>
        <w:t>תוס</w:t>
      </w:r>
      <w:r w:rsidRPr="00012502">
        <w:rPr>
          <w:rFonts w:ascii="Narkisim" w:hAnsi="Narkisim" w:cs="Narkisim"/>
          <w:rtl/>
        </w:rPr>
        <w:t>' (לקמן כו:) הביאו מכאן דחליצה פסולה הוה היכא דנקלש הזיקה. ודלא כפ</w:t>
      </w:r>
      <w:r w:rsidRPr="00012502">
        <w:rPr>
          <w:rFonts w:ascii="Narkisim" w:hAnsi="Narkisim" w:cs="Narkisim"/>
          <w:b/>
          <w:bCs/>
          <w:rtl/>
        </w:rPr>
        <w:t>רש"י</w:t>
      </w:r>
      <w:r w:rsidRPr="00012502">
        <w:rPr>
          <w:rFonts w:ascii="Narkisim" w:hAnsi="Narkisim" w:cs="Narkisim"/>
          <w:rtl/>
        </w:rPr>
        <w:t xml:space="preserve"> (שם) דכל היכא דא"א ליבם חשיבה חליצה פסולה, וצריך חיזור על כל האחים [למ"ד לקמן שם].</w:t>
      </w:r>
    </w:p>
    <w:p w14:paraId="070583FE" w14:textId="77777777" w:rsidR="00BE1D1C" w:rsidRPr="00012502" w:rsidRDefault="00000000" w:rsidP="00012502">
      <w:pPr>
        <w:pStyle w:val="a8"/>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(כו:) הביאו מה</w:t>
      </w:r>
      <w:r w:rsidRPr="00012502">
        <w:rPr>
          <w:rFonts w:ascii="Narkisim" w:hAnsi="Narkisim"/>
          <w:b/>
          <w:bCs/>
          <w:rtl/>
        </w:rPr>
        <w:t>ירושלמי</w:t>
      </w:r>
      <w:r w:rsidRPr="00012502">
        <w:rPr>
          <w:rStyle w:val="ac"/>
          <w:rFonts w:ascii="Narkisim" w:hAnsi="Narkisim"/>
          <w:rtl/>
        </w:rPr>
        <w:footnoteReference w:id="674"/>
      </w:r>
      <w:r w:rsidRPr="00012502">
        <w:rPr>
          <w:rFonts w:ascii="Narkisim" w:hAnsi="Narkisim"/>
          <w:rtl/>
        </w:rPr>
        <w:t xml:space="preserve"> דסוטה דרבנן נחשב חליצה פסולה, והוה חסרון בזיקה דכתיב טומאה כעריות. וצ"ב מ"ש סוטה ממחזיר גרושתו, דאף מחזיר גרושתו הוה משום ק"ו במותר לה נאסרה וכו'].</w:t>
      </w:r>
    </w:p>
    <w:p w14:paraId="79A55E31"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רשב"א</w:t>
      </w:r>
      <w:r w:rsidRPr="00012502">
        <w:rPr>
          <w:rFonts w:ascii="Narkisim" w:hAnsi="Narkisim"/>
          <w:rtl/>
        </w:rPr>
        <w:t xml:space="preserve"> כת' די"ל דקאי כמ"ד אין זיקה. </w:t>
      </w:r>
      <w:r w:rsidRPr="00012502">
        <w:rPr>
          <w:rFonts w:ascii="Narkisim" w:hAnsi="Narkisim"/>
          <w:sz w:val="20"/>
          <w:szCs w:val="20"/>
          <w:rtl/>
        </w:rPr>
        <w:t>[ולקמן כו: מבואר דלמ"ד אין זיקה אי"צ חיזור].</w:t>
      </w:r>
    </w:p>
    <w:p w14:paraId="581B8379" w14:textId="77777777" w:rsidR="00BE1D1C" w:rsidRPr="00012502" w:rsidRDefault="00000000" w:rsidP="00012502">
      <w:pPr>
        <w:pStyle w:val="a7"/>
        <w:bidi/>
        <w:rPr>
          <w:rFonts w:ascii="Narkisim" w:hAnsi="Narkisim"/>
        </w:rPr>
      </w:pPr>
      <w:r w:rsidRPr="00012502">
        <w:rPr>
          <w:rFonts w:ascii="Narkisim" w:hAnsi="Narkisim"/>
          <w:rtl/>
        </w:rPr>
        <w:t>ועוד כת' ה</w:t>
      </w:r>
      <w:r w:rsidRPr="00012502">
        <w:rPr>
          <w:rFonts w:ascii="Narkisim" w:hAnsi="Narkisim"/>
          <w:b/>
          <w:bCs/>
          <w:rtl/>
        </w:rPr>
        <w:t>ריטב"א</w:t>
      </w:r>
      <w:r w:rsidRPr="00012502">
        <w:rPr>
          <w:rFonts w:ascii="Narkisim" w:hAnsi="Narkisim"/>
          <w:rtl/>
        </w:rPr>
        <w:t xml:space="preserve"> דמחזיר גרושתו מתייבמת מדאורייתא</w:t>
      </w:r>
      <w:r w:rsidRPr="00012502">
        <w:rPr>
          <w:rStyle w:val="ac"/>
          <w:rFonts w:ascii="Narkisim" w:hAnsi="Narkisim"/>
          <w:rtl/>
        </w:rPr>
        <w:footnoteReference w:id="675"/>
      </w:r>
      <w:r w:rsidRPr="00012502">
        <w:rPr>
          <w:rFonts w:ascii="Narkisim" w:hAnsi="Narkisim"/>
          <w:rtl/>
        </w:rPr>
        <w:t>. [דכיון דחולצת הוה רק איסור מדרבנן].</w:t>
      </w:r>
    </w:p>
    <w:p w14:paraId="328F9498" w14:textId="77777777" w:rsidR="00BE1D1C" w:rsidRPr="00012502" w:rsidRDefault="00000000" w:rsidP="00012502">
      <w:pPr>
        <w:bidi/>
        <w:rPr>
          <w:rFonts w:ascii="Narkisim" w:hAnsi="Narkisim" w:cs="Narkisim"/>
        </w:rPr>
      </w:pPr>
      <w:r w:rsidRPr="00012502">
        <w:rPr>
          <w:rFonts w:ascii="Narkisim" w:hAnsi="Narkisim" w:cs="Narkisim"/>
          <w:u w:val="single"/>
          <w:rtl/>
        </w:rPr>
        <w:t>המחזיר גרושתו, ק"ו במותר לה נאסר וכו'.</w:t>
      </w:r>
      <w:r w:rsidRPr="00012502">
        <w:rPr>
          <w:rFonts w:ascii="Narkisim" w:hAnsi="Narkisim" w:cs="Narkisim"/>
          <w:rtl/>
        </w:rPr>
        <w:t xml:space="preserve"> </w:t>
      </w:r>
      <w:r w:rsidRPr="00012502">
        <w:rPr>
          <w:rFonts w:ascii="Narkisim" w:hAnsi="Narkisim" w:cs="Narkisim"/>
          <w:sz w:val="20"/>
          <w:szCs w:val="20"/>
          <w:rtl/>
        </w:rPr>
        <w:t>[ע' מש"כ בזה בע"א].</w:t>
      </w:r>
      <w:r w:rsidRPr="00012502">
        <w:rPr>
          <w:rFonts w:ascii="Narkisim" w:hAnsi="Narkisim" w:cs="Narkisim"/>
          <w:rtl/>
        </w:rPr>
        <w:t xml:space="preserve"> ה</w:t>
      </w:r>
      <w:r w:rsidRPr="00012502">
        <w:rPr>
          <w:rFonts w:ascii="Narkisim" w:hAnsi="Narkisim" w:cs="Narkisim"/>
          <w:b/>
          <w:bCs/>
          <w:rtl/>
        </w:rPr>
        <w:t>קר"א</w:t>
      </w:r>
      <w:r w:rsidRPr="00012502">
        <w:rPr>
          <w:rFonts w:ascii="Narkisim" w:hAnsi="Narkisim" w:cs="Narkisim"/>
          <w:rtl/>
        </w:rPr>
        <w:t xml:space="preserve"> הקשה דבגמ' (סוטה ו.) אמרי' דבאלמנה לכה"ג לא אמרי' ק"ו, דאסירא וקיימא [</w:t>
      </w:r>
      <w:r w:rsidRPr="00012502">
        <w:rPr>
          <w:rFonts w:ascii="Narkisim" w:hAnsi="Narkisim" w:cs="Narkisim"/>
          <w:sz w:val="20"/>
          <w:szCs w:val="20"/>
          <w:rtl/>
        </w:rPr>
        <w:t>ולא נאסרה במותר לה]</w:t>
      </w:r>
      <w:r w:rsidRPr="00012502">
        <w:rPr>
          <w:rFonts w:ascii="Narkisim" w:hAnsi="Narkisim" w:cs="Narkisim"/>
          <w:rtl/>
        </w:rPr>
        <w:t xml:space="preserve">. ודן דר' יוחנן דהכא ס"ל דאמרי' ק"ו אף בכה"ג. </w:t>
      </w:r>
      <w:r w:rsidRPr="00012502">
        <w:rPr>
          <w:rFonts w:ascii="Narkisim" w:hAnsi="Narkisim" w:cs="Narkisim"/>
          <w:sz w:val="20"/>
          <w:szCs w:val="20"/>
          <w:rtl/>
        </w:rPr>
        <w:t>וכתב דלרבא (שם) פטור בסוגיין מדין דאין מקרא יוצא מידי פשוטו, ולא תליא בק"ו [אבל בתוס' משמע דב' טעמי שייכי להדדי].</w:t>
      </w:r>
    </w:p>
    <w:p w14:paraId="49446AAD"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w:t>
      </w:r>
      <w:r w:rsidRPr="00012502">
        <w:rPr>
          <w:rFonts w:ascii="Narkisim" w:hAnsi="Narkisim"/>
          <w:sz w:val="20"/>
          <w:szCs w:val="20"/>
          <w:rtl/>
        </w:rPr>
        <w:t>גרנ"ט)</w:t>
      </w:r>
      <w:r w:rsidRPr="00012502">
        <w:rPr>
          <w:rFonts w:ascii="Narkisim" w:hAnsi="Narkisim"/>
          <w:rtl/>
        </w:rPr>
        <w:t xml:space="preserve"> תי' דגדר הק"ו דהוה פסול באישות [וכמ"ש רש"י בסוטה], והיכא דאסירא וקיימא אמרי' דהוה איסור לגברא, ולא נחשב נישואין אסורין. ולכן ל"ש ק"ו. אבל מחזיר גרושתו הוה חסרון באישות </w:t>
      </w:r>
      <w:r w:rsidRPr="00012502">
        <w:rPr>
          <w:rFonts w:ascii="Narkisim" w:hAnsi="Narkisim"/>
          <w:sz w:val="20"/>
          <w:szCs w:val="20"/>
          <w:rtl/>
        </w:rPr>
        <w:t>[דהוה כעין איסור סוטה]</w:t>
      </w:r>
      <w:r w:rsidRPr="00012502">
        <w:rPr>
          <w:rStyle w:val="ac"/>
          <w:rFonts w:ascii="Narkisim" w:hAnsi="Narkisim"/>
          <w:sz w:val="20"/>
          <w:szCs w:val="20"/>
          <w:rtl/>
        </w:rPr>
        <w:footnoteReference w:id="676"/>
      </w:r>
      <w:r w:rsidRPr="00012502">
        <w:rPr>
          <w:rFonts w:ascii="Narkisim" w:hAnsi="Narkisim"/>
          <w:sz w:val="20"/>
          <w:szCs w:val="20"/>
          <w:rtl/>
        </w:rPr>
        <w:t>.</w:t>
      </w:r>
    </w:p>
    <w:p w14:paraId="60BD586C" w14:textId="77777777" w:rsidR="00BE1D1C" w:rsidRPr="00012502" w:rsidRDefault="00000000" w:rsidP="00012502">
      <w:pPr>
        <w:bidi/>
        <w:rPr>
          <w:rFonts w:ascii="Narkisim" w:hAnsi="Narkisim" w:cs="Narkisim"/>
        </w:rPr>
      </w:pPr>
      <w:r w:rsidRPr="00012502">
        <w:rPr>
          <w:rFonts w:ascii="Narkisim" w:hAnsi="Narkisim" w:cs="Narkisim"/>
          <w:rtl/>
        </w:rPr>
        <w:t>ה</w:t>
      </w:r>
      <w:r w:rsidRPr="00012502">
        <w:rPr>
          <w:rFonts w:ascii="Narkisim" w:hAnsi="Narkisim" w:cs="Narkisim"/>
          <w:b/>
          <w:bCs/>
          <w:rtl/>
        </w:rPr>
        <w:t>רשב"א</w:t>
      </w:r>
      <w:r w:rsidRPr="00012502">
        <w:rPr>
          <w:rFonts w:ascii="Narkisim" w:hAnsi="Narkisim" w:cs="Narkisim"/>
          <w:rtl/>
        </w:rPr>
        <w:t xml:space="preserve"> (לקמן כ:) כתב דהמחזיר גרושתו אף דאינה עולה ליבום מדאורייתא מק"ו, מ"מ עולה לחליצה מגזיה"כ ד'ועלתה', וכמו חיי"ל ועשה. ו</w:t>
      </w:r>
      <w:r w:rsidRPr="00012502">
        <w:rPr>
          <w:rFonts w:ascii="Narkisim" w:hAnsi="Narkisim" w:cs="Narkisim"/>
          <w:b/>
          <w:bCs/>
          <w:rtl/>
        </w:rPr>
        <w:t>ה"ה</w:t>
      </w:r>
      <w:r w:rsidRPr="00012502">
        <w:rPr>
          <w:rFonts w:ascii="Narkisim" w:hAnsi="Narkisim" w:cs="Narkisim"/>
          <w:rtl/>
        </w:rPr>
        <w:t xml:space="preserve"> (ו יג) הביא דברי הרשב"א, ולמד מזה דדינו כחיי"ל ועשה, דאם בעלו ל"ק. וה</w:t>
      </w:r>
      <w:r w:rsidRPr="00012502">
        <w:rPr>
          <w:rFonts w:ascii="Narkisim" w:hAnsi="Narkisim" w:cs="Narkisim"/>
          <w:b/>
          <w:bCs/>
          <w:rtl/>
        </w:rPr>
        <w:t>כס"מ</w:t>
      </w:r>
      <w:r w:rsidRPr="00012502">
        <w:rPr>
          <w:rFonts w:ascii="Narkisim" w:hAnsi="Narkisim" w:cs="Narkisim"/>
          <w:rtl/>
        </w:rPr>
        <w:t xml:space="preserve"> השיג שאין בו אלא לאו, א"כ דינו דמדאורייתא עדל"ת, ואם בעלו קנו.</w:t>
      </w:r>
    </w:p>
    <w:p w14:paraId="5AF5FE73"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ב"ח</w:t>
      </w:r>
      <w:r w:rsidRPr="00012502">
        <w:rPr>
          <w:rFonts w:ascii="Narkisim" w:hAnsi="Narkisim"/>
          <w:rtl/>
        </w:rPr>
        <w:t xml:space="preserve"> ו</w:t>
      </w:r>
      <w:r w:rsidRPr="00012502">
        <w:rPr>
          <w:rFonts w:ascii="Narkisim" w:hAnsi="Narkisim"/>
          <w:b/>
          <w:bCs/>
          <w:rtl/>
        </w:rPr>
        <w:t>בי"ש</w:t>
      </w:r>
      <w:r w:rsidRPr="00012502">
        <w:rPr>
          <w:rFonts w:ascii="Narkisim" w:hAnsi="Narkisim"/>
          <w:rtl/>
        </w:rPr>
        <w:t xml:space="preserve"> (קעד ד) תי' דבמה שנאסר משום ק"ו, התורה אסרה לייבם, ול"ש בזה עדל"ת. דאתא קרא לאסור את היבום. [וכ"מ דעת הרשב"א וה"ה]. אבל ה</w:t>
      </w:r>
      <w:r w:rsidRPr="00012502">
        <w:rPr>
          <w:rFonts w:ascii="Narkisim" w:hAnsi="Narkisim"/>
          <w:b/>
          <w:bCs/>
          <w:rtl/>
        </w:rPr>
        <w:t>ריטב"א</w:t>
      </w:r>
      <w:r w:rsidRPr="00012502">
        <w:rPr>
          <w:rFonts w:ascii="Narkisim" w:hAnsi="Narkisim"/>
          <w:rtl/>
        </w:rPr>
        <w:t xml:space="preserve"> מבואר דמחזיר גרושתו מדאורייתא מתייבמת. וכ"כ ה</w:t>
      </w:r>
      <w:r w:rsidRPr="00012502">
        <w:rPr>
          <w:rFonts w:ascii="Narkisim" w:hAnsi="Narkisim"/>
          <w:b/>
          <w:bCs/>
          <w:rtl/>
        </w:rPr>
        <w:t>ריטב"א</w:t>
      </w:r>
      <w:r w:rsidRPr="00012502">
        <w:rPr>
          <w:rFonts w:ascii="Narkisim" w:hAnsi="Narkisim"/>
          <w:rtl/>
        </w:rPr>
        <w:t xml:space="preserve"> (בע"א בשם הרא"ה) וה</w:t>
      </w:r>
      <w:r w:rsidRPr="00012502">
        <w:rPr>
          <w:rFonts w:ascii="Narkisim" w:hAnsi="Narkisim"/>
          <w:b/>
          <w:bCs/>
          <w:rtl/>
        </w:rPr>
        <w:t>מאירי</w:t>
      </w:r>
      <w:r w:rsidRPr="00012502">
        <w:rPr>
          <w:rFonts w:ascii="Narkisim" w:hAnsi="Narkisim"/>
          <w:rtl/>
        </w:rPr>
        <w:t xml:space="preserve"> (בע"א) דסוטה </w:t>
      </w:r>
      <w:r w:rsidRPr="00012502">
        <w:rPr>
          <w:rFonts w:ascii="Narkisim" w:hAnsi="Narkisim"/>
          <w:rtl/>
        </w:rPr>
        <w:lastRenderedPageBreak/>
        <w:t xml:space="preserve">אסורה משום ק"ו, ואפ"ה מותרת בביאה ראשונה דעדל"ת [וכסברת הכס"מ]. </w:t>
      </w:r>
      <w:r w:rsidRPr="00012502">
        <w:rPr>
          <w:rFonts w:ascii="Narkisim" w:hAnsi="Narkisim"/>
          <w:sz w:val="20"/>
          <w:szCs w:val="20"/>
          <w:rtl/>
        </w:rPr>
        <w:t>ומבואר דגדר הק"ו מהני להחשב איסור ל"ת ליבם [ולא הוה רק גילוי דל"ש בזה יבום].</w:t>
      </w:r>
    </w:p>
    <w:p w14:paraId="2A2F6C1A" w14:textId="77777777" w:rsidR="00BE1D1C" w:rsidRPr="00012502" w:rsidRDefault="00000000" w:rsidP="00012502">
      <w:pPr>
        <w:bidi/>
        <w:rPr>
          <w:rFonts w:ascii="Narkisim" w:hAnsi="Narkisim" w:cs="Narkisim"/>
        </w:rPr>
      </w:pPr>
      <w:r w:rsidRPr="00012502">
        <w:rPr>
          <w:rFonts w:ascii="Narkisim" w:hAnsi="Narkisim" w:cs="Narkisim"/>
          <w:u w:val="single"/>
          <w:rtl/>
        </w:rPr>
        <w:t>צרתה מהו וכו' מי אלים ק"ו למידחי צרה.</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xml:space="preserve">' (ד"ה מי) </w:t>
      </w:r>
      <w:r w:rsidRPr="00012502">
        <w:rPr>
          <w:rFonts w:ascii="Narkisim" w:hAnsi="Narkisim" w:cs="Narkisim"/>
          <w:sz w:val="20"/>
          <w:szCs w:val="20"/>
          <w:rtl/>
        </w:rPr>
        <w:t xml:space="preserve">[וכ"ד שא"ר] </w:t>
      </w:r>
      <w:r w:rsidRPr="00012502">
        <w:rPr>
          <w:rFonts w:ascii="Narkisim" w:hAnsi="Narkisim" w:cs="Narkisim"/>
          <w:rtl/>
        </w:rPr>
        <w:t xml:space="preserve">כת' דנידון הגמ' לדחות מיבום, אבל ודאי לא פטרה לצרה מחליצה. </w:t>
      </w:r>
      <w:r w:rsidRPr="00012502">
        <w:rPr>
          <w:rFonts w:ascii="Narkisim" w:hAnsi="Narkisim" w:cs="Narkisim"/>
          <w:sz w:val="20"/>
          <w:szCs w:val="20"/>
          <w:rtl/>
        </w:rPr>
        <w:t xml:space="preserve">וכ"כ </w:t>
      </w:r>
      <w:r w:rsidRPr="00012502">
        <w:rPr>
          <w:rFonts w:ascii="Narkisim" w:hAnsi="Narkisim" w:cs="Narkisim"/>
          <w:b/>
          <w:bCs/>
          <w:sz w:val="20"/>
          <w:szCs w:val="20"/>
          <w:rtl/>
        </w:rPr>
        <w:t>תוס</w:t>
      </w:r>
      <w:r w:rsidRPr="00012502">
        <w:rPr>
          <w:rFonts w:ascii="Narkisim" w:hAnsi="Narkisim" w:cs="Narkisim"/>
          <w:sz w:val="20"/>
          <w:szCs w:val="20"/>
          <w:rtl/>
        </w:rPr>
        <w:t>' (ד"ה צרתה) לצד דאין מקרא יוצא מידי פשוטו.</w:t>
      </w:r>
      <w:r w:rsidRPr="00012502">
        <w:rPr>
          <w:rFonts w:ascii="Narkisim" w:hAnsi="Narkisim" w:cs="Narkisim"/>
          <w:rtl/>
        </w:rPr>
        <w:t xml:space="preserve"> וה</w:t>
      </w:r>
      <w:r w:rsidRPr="00012502">
        <w:rPr>
          <w:rFonts w:ascii="Narkisim" w:hAnsi="Narkisim" w:cs="Narkisim"/>
          <w:b/>
          <w:bCs/>
          <w:rtl/>
        </w:rPr>
        <w:t>אחרונים</w:t>
      </w:r>
      <w:r w:rsidRPr="00012502">
        <w:rPr>
          <w:rFonts w:ascii="Narkisim" w:hAnsi="Narkisim" w:cs="Narkisim"/>
          <w:rtl/>
        </w:rPr>
        <w:t xml:space="preserve"> כתבו דלצד דאלים ק"ו לדחות צרה, אף צרת ספק סוטה אסורה</w:t>
      </w:r>
      <w:r w:rsidRPr="00012502">
        <w:rPr>
          <w:rStyle w:val="ac"/>
          <w:rFonts w:ascii="Narkisim" w:hAnsi="Narkisim" w:cs="Narkisim"/>
          <w:rtl/>
        </w:rPr>
        <w:footnoteReference w:id="677"/>
      </w:r>
      <w:r w:rsidRPr="00012502">
        <w:rPr>
          <w:rFonts w:ascii="Narkisim" w:hAnsi="Narkisim" w:cs="Narkisim"/>
          <w:rtl/>
        </w:rPr>
        <w:t xml:space="preserve"> </w:t>
      </w:r>
      <w:r w:rsidRPr="00012502">
        <w:rPr>
          <w:rFonts w:ascii="Narkisim" w:hAnsi="Narkisim" w:cs="Narkisim"/>
          <w:sz w:val="20"/>
          <w:szCs w:val="20"/>
          <w:rtl/>
        </w:rPr>
        <w:t>[לרבא (סוטה ו.) דאסורה מק"ו]</w:t>
      </w:r>
      <w:r w:rsidRPr="00012502">
        <w:rPr>
          <w:rFonts w:ascii="Narkisim" w:hAnsi="Narkisim" w:cs="Narkisim"/>
          <w:rtl/>
        </w:rPr>
        <w:t>. [ולדעת ה</w:t>
      </w:r>
      <w:r w:rsidRPr="00012502">
        <w:rPr>
          <w:rFonts w:ascii="Narkisim" w:hAnsi="Narkisim" w:cs="Narkisim"/>
          <w:b/>
          <w:bCs/>
          <w:rtl/>
        </w:rPr>
        <w:t>רמב"ן</w:t>
      </w:r>
      <w:r w:rsidRPr="00012502">
        <w:rPr>
          <w:rFonts w:ascii="Narkisim" w:hAnsi="Narkisim" w:cs="Narkisim"/>
          <w:rtl/>
        </w:rPr>
        <w:t xml:space="preserve"> וה</w:t>
      </w:r>
      <w:r w:rsidRPr="00012502">
        <w:rPr>
          <w:rFonts w:ascii="Narkisim" w:hAnsi="Narkisim" w:cs="Narkisim"/>
          <w:b/>
          <w:bCs/>
          <w:rtl/>
        </w:rPr>
        <w:t>רשב"א</w:t>
      </w:r>
      <w:r w:rsidRPr="00012502">
        <w:rPr>
          <w:rFonts w:ascii="Narkisim" w:hAnsi="Narkisim" w:cs="Narkisim"/>
          <w:rtl/>
        </w:rPr>
        <w:t xml:space="preserve"> אף מחזיר גרושתו לר"י ב"כ].</w:t>
      </w:r>
    </w:p>
    <w:p w14:paraId="7852F19E" w14:textId="77777777" w:rsidR="00BE1D1C" w:rsidRPr="00012502" w:rsidRDefault="00000000" w:rsidP="00012502">
      <w:pPr>
        <w:bidi/>
        <w:rPr>
          <w:rFonts w:ascii="Narkisim" w:hAnsi="Narkisim" w:cs="Narkisim"/>
        </w:rPr>
      </w:pPr>
      <w:r w:rsidRPr="00012502">
        <w:rPr>
          <w:rFonts w:ascii="Narkisim" w:hAnsi="Narkisim" w:cs="Narkisim"/>
          <w:rtl/>
        </w:rPr>
        <w:t>ומבואר בסוגיין חידוש גדול דיש גדר 'איסור' צרה, לדחות מיבום, ואף דאינה פטור גמור מחליצה</w:t>
      </w:r>
      <w:r w:rsidRPr="00012502">
        <w:rPr>
          <w:rStyle w:val="ac"/>
          <w:rFonts w:ascii="Narkisim" w:hAnsi="Narkisim" w:cs="Narkisim"/>
          <w:rtl/>
        </w:rPr>
        <w:footnoteReference w:id="678"/>
      </w:r>
      <w:r w:rsidRPr="00012502">
        <w:rPr>
          <w:rFonts w:ascii="Narkisim" w:hAnsi="Narkisim" w:cs="Narkisim"/>
          <w:rtl/>
        </w:rPr>
        <w:t>. וב</w:t>
      </w:r>
      <w:r w:rsidRPr="00012502">
        <w:rPr>
          <w:rFonts w:ascii="Narkisim" w:hAnsi="Narkisim" w:cs="Narkisim"/>
          <w:b/>
          <w:bCs/>
          <w:rtl/>
        </w:rPr>
        <w:t>חי' ר' שמואל</w:t>
      </w:r>
      <w:r w:rsidRPr="00012502">
        <w:rPr>
          <w:rFonts w:ascii="Narkisim" w:hAnsi="Narkisim" w:cs="Narkisim"/>
          <w:sz w:val="20"/>
          <w:szCs w:val="20"/>
          <w:rtl/>
        </w:rPr>
        <w:t xml:space="preserve"> (א ה) </w:t>
      </w:r>
      <w:r w:rsidRPr="00012502">
        <w:rPr>
          <w:rFonts w:ascii="Narkisim" w:hAnsi="Narkisim" w:cs="Narkisim"/>
          <w:rtl/>
        </w:rPr>
        <w:t>הביא ראיה מזה לדברי ה</w:t>
      </w:r>
      <w:r w:rsidRPr="00012502">
        <w:rPr>
          <w:rFonts w:ascii="Narkisim" w:hAnsi="Narkisim" w:cs="Narkisim"/>
          <w:b/>
          <w:bCs/>
          <w:rtl/>
        </w:rPr>
        <w:t>גרי"ז</w:t>
      </w:r>
      <w:r w:rsidRPr="00012502">
        <w:rPr>
          <w:rFonts w:ascii="Narkisim" w:hAnsi="Narkisim" w:cs="Narkisim"/>
          <w:rtl/>
        </w:rPr>
        <w:t xml:space="preserve"> (הל' יבום) דגדר פטור צרה, דהערוה אוסרת צרתה, וה"נ מהני 'לאוסרה', ואף כשאינה נפטרת.</w:t>
      </w:r>
      <w:r w:rsidRPr="00012502">
        <w:rPr>
          <w:rFonts w:ascii="Narkisim" w:hAnsi="Narkisim" w:cs="Narkisim"/>
          <w:sz w:val="20"/>
          <w:szCs w:val="20"/>
          <w:rtl/>
        </w:rPr>
        <w:t xml:space="preserve"> [והאחרונים העירו דמבואר ב</w:t>
      </w:r>
      <w:r w:rsidRPr="00012502">
        <w:rPr>
          <w:rFonts w:ascii="Narkisim" w:hAnsi="Narkisim" w:cs="Narkisim"/>
          <w:b/>
          <w:bCs/>
          <w:sz w:val="20"/>
          <w:szCs w:val="20"/>
          <w:rtl/>
        </w:rPr>
        <w:t>רש"י</w:t>
      </w:r>
      <w:r w:rsidRPr="00012502">
        <w:rPr>
          <w:rFonts w:ascii="Narkisim" w:hAnsi="Narkisim" w:cs="Narkisim"/>
          <w:sz w:val="20"/>
          <w:szCs w:val="20"/>
          <w:rtl/>
        </w:rPr>
        <w:t xml:space="preserve"> (לעיל ג. ד"ה ליתני אסורות, וד"ה משום הכי) דצרת ערוה הוא גדר פטור, ואסורה משום איסור אשת אח]</w:t>
      </w:r>
      <w:r w:rsidRPr="00012502">
        <w:rPr>
          <w:rFonts w:ascii="Narkisim" w:hAnsi="Narkisim" w:cs="Narkisim"/>
          <w:rtl/>
        </w:rPr>
        <w:t>.</w:t>
      </w:r>
    </w:p>
    <w:p w14:paraId="210C21E0" w14:textId="77777777" w:rsidR="00BE1D1C" w:rsidRPr="00012502" w:rsidRDefault="00000000" w:rsidP="00012502">
      <w:pPr>
        <w:pStyle w:val="a7"/>
        <w:bidi/>
        <w:rPr>
          <w:rFonts w:ascii="Narkisim" w:hAnsi="Narkisim"/>
        </w:rPr>
      </w:pPr>
      <w:r w:rsidRPr="00012502">
        <w:rPr>
          <w:rFonts w:ascii="Narkisim" w:hAnsi="Narkisim"/>
          <w:rtl/>
        </w:rPr>
        <w:t>וי"ל דהכא הוה סברא ד'לא אלים', והוה פטור ערוה במקצת. ומהני לאסור ולא להתיר.</w:t>
      </w:r>
    </w:p>
    <w:p w14:paraId="697C625E" w14:textId="77777777" w:rsidR="00BE1D1C" w:rsidRPr="00012502" w:rsidRDefault="00000000" w:rsidP="00012502">
      <w:pPr>
        <w:pStyle w:val="a7"/>
        <w:bidi/>
        <w:rPr>
          <w:rFonts w:ascii="Narkisim" w:hAnsi="Narkisim"/>
        </w:rPr>
      </w:pPr>
      <w:r w:rsidRPr="00012502">
        <w:rPr>
          <w:rFonts w:ascii="Narkisim" w:hAnsi="Narkisim"/>
          <w:rtl/>
        </w:rPr>
        <w:t>ויש שתי' דילפי' גדר 'פטור' מיבום. אלא דהערוה אינה פוטרתה מחליצה, אלא מיבום, והא דפטורה מחליצה ילפי' מהא דאינה עולה ליבום ולא תפסי קידושין. והכא הרי תפסי קידושין</w:t>
      </w:r>
      <w:r w:rsidRPr="00012502">
        <w:rPr>
          <w:rStyle w:val="ac"/>
          <w:rFonts w:ascii="Narkisim" w:hAnsi="Narkisim"/>
          <w:rtl/>
        </w:rPr>
        <w:footnoteReference w:id="679"/>
      </w:r>
      <w:r w:rsidRPr="00012502">
        <w:rPr>
          <w:rFonts w:ascii="Narkisim" w:hAnsi="Narkisim"/>
          <w:rtl/>
        </w:rPr>
        <w:t xml:space="preserve">. </w:t>
      </w:r>
      <w:r w:rsidRPr="00012502">
        <w:rPr>
          <w:rFonts w:ascii="Narkisim" w:hAnsi="Narkisim"/>
          <w:sz w:val="20"/>
          <w:szCs w:val="20"/>
          <w:rtl/>
        </w:rPr>
        <w:t>ועוד ביארו ה</w:t>
      </w:r>
      <w:r w:rsidRPr="00012502">
        <w:rPr>
          <w:rFonts w:ascii="Narkisim" w:hAnsi="Narkisim"/>
          <w:b/>
          <w:bCs/>
          <w:sz w:val="20"/>
          <w:szCs w:val="20"/>
          <w:rtl/>
        </w:rPr>
        <w:t>אחרונים</w:t>
      </w:r>
      <w:r w:rsidRPr="00012502">
        <w:rPr>
          <w:rFonts w:ascii="Narkisim" w:hAnsi="Narkisim"/>
          <w:sz w:val="20"/>
          <w:szCs w:val="20"/>
          <w:rtl/>
        </w:rPr>
        <w:t xml:space="preserve"> דשאני פטור צרה במקום ק"ו, דגדר הפטור צרה הוא דנאסרה האישות והזיקה ליבום, ואף הצרה בכלל הנפילה הנאסרת. אבל בשאר ערוה לא חל על הצרה בפנ"ע 'איסור' ערוה.</w:t>
      </w:r>
    </w:p>
    <w:p w14:paraId="63D6A1BD" w14:textId="77777777" w:rsidR="00BE1D1C" w:rsidRPr="00012502" w:rsidRDefault="00000000" w:rsidP="00012502">
      <w:pPr>
        <w:pStyle w:val="3"/>
        <w:bidi/>
        <w:rPr>
          <w:rFonts w:ascii="Narkisim" w:hAnsi="Narkisim"/>
        </w:rPr>
      </w:pPr>
      <w:r w:rsidRPr="00012502">
        <w:rPr>
          <w:rFonts w:ascii="Narkisim" w:hAnsi="Narkisim"/>
          <w:rtl/>
        </w:rPr>
        <w:t>דף יב.</w:t>
      </w:r>
    </w:p>
    <w:p w14:paraId="3C07B796" w14:textId="77777777" w:rsidR="00BE1D1C" w:rsidRPr="00012502" w:rsidRDefault="00000000" w:rsidP="00012502">
      <w:pPr>
        <w:pStyle w:val="2"/>
        <w:bidi/>
        <w:rPr>
          <w:rFonts w:ascii="Narkisim" w:hAnsi="Narkisim"/>
          <w:sz w:val="21"/>
        </w:rPr>
      </w:pPr>
      <w:r w:rsidRPr="00012502">
        <w:rPr>
          <w:rFonts w:ascii="Narkisim" w:hAnsi="Narkisim"/>
          <w:sz w:val="21"/>
          <w:rtl/>
        </w:rPr>
        <w:t>צרת ממאנת</w:t>
      </w:r>
    </w:p>
    <w:p w14:paraId="0F1ACCDD" w14:textId="77777777" w:rsidR="00BE1D1C" w:rsidRPr="00012502" w:rsidRDefault="00000000" w:rsidP="00012502">
      <w:pPr>
        <w:pStyle w:val="aa"/>
        <w:bidi/>
        <w:rPr>
          <w:rFonts w:ascii="Narkisim" w:hAnsi="Narkisim"/>
        </w:rPr>
      </w:pPr>
      <w:r w:rsidRPr="00012502">
        <w:rPr>
          <w:rFonts w:ascii="Narkisim" w:hAnsi="Narkisim"/>
          <w:u w:val="single"/>
          <w:rtl/>
        </w:rPr>
        <w:t>א"ר לילי בר ממל וכו' צרת ממאנת אסורה וכו'</w:t>
      </w:r>
      <w:r w:rsidRPr="00012502">
        <w:rPr>
          <w:rFonts w:ascii="Narkisim" w:hAnsi="Narkisim"/>
          <w:rtl/>
        </w:rPr>
        <w:t>. פ</w:t>
      </w:r>
      <w:r w:rsidRPr="00012502">
        <w:rPr>
          <w:rFonts w:ascii="Narkisim" w:hAnsi="Narkisim"/>
          <w:b/>
          <w:bCs/>
          <w:rtl/>
        </w:rPr>
        <w:t>רש"י</w:t>
      </w:r>
      <w:r w:rsidRPr="00012502">
        <w:rPr>
          <w:rFonts w:ascii="Narkisim" w:hAnsi="Narkisim"/>
          <w:rtl/>
        </w:rPr>
        <w:t xml:space="preserve"> ב' יבמות, ומיאנה א' צרתה אסורה. ואף דאין כאן צד ערוה אסורה משום גזירה, והגמ' פי' משום גזירה אטו צרת ערוה ממאנת, דהוה גזירה משום דנראית צרת ערוה.</w:t>
      </w:r>
    </w:p>
    <w:p w14:paraId="1231E5D2" w14:textId="77777777" w:rsidR="00BE1D1C" w:rsidRPr="00012502" w:rsidRDefault="00000000" w:rsidP="00012502">
      <w:pPr>
        <w:pStyle w:val="a7"/>
        <w:bidi/>
        <w:rPr>
          <w:rFonts w:ascii="Narkisim" w:hAnsi="Narkisim"/>
        </w:rPr>
      </w:pPr>
      <w:r w:rsidRPr="00012502">
        <w:rPr>
          <w:rFonts w:ascii="Narkisim" w:hAnsi="Narkisim"/>
          <w:rtl/>
        </w:rPr>
        <w:t>ובמשנה (לעיל ב:) איתא גבי צרת ערוה, דכל שיכולה למאן ולא מיאנה חולצת. והגמ' (לקמן יג. וקז:) מדייקת דלא מהני מיאון עכשיו, לאחר שנפלה ליבום. דלא מהני מיאון בזיקה [כר' אושעיא], או משום גזירה שנראית צרת ערוה בשעת נפילה.</w:t>
      </w:r>
    </w:p>
    <w:p w14:paraId="1F4A7139" w14:textId="77777777" w:rsidR="00BE1D1C" w:rsidRPr="00012502" w:rsidRDefault="00000000" w:rsidP="00012502">
      <w:pPr>
        <w:bidi/>
        <w:rPr>
          <w:rFonts w:ascii="Narkisim" w:hAnsi="Narkisim" w:cs="Narkisim"/>
        </w:rPr>
      </w:pPr>
      <w:r w:rsidRPr="00012502">
        <w:rPr>
          <w:rFonts w:ascii="Narkisim" w:hAnsi="Narkisim" w:cs="Narkisim"/>
          <w:u w:val="single"/>
          <w:rtl/>
        </w:rPr>
        <w:t>דאמר שמואל מיאנה בזה מותרת בזה וכו'</w:t>
      </w:r>
      <w:r w:rsidRPr="00012502">
        <w:rPr>
          <w:rFonts w:ascii="Narkisim" w:hAnsi="Narkisim" w:cs="Narkisim"/>
          <w:rtl/>
        </w:rPr>
        <w:t>. דבמשנה (לקמן קז.) דעת בית שמאי דל"מ מיאון ביבם, אלא כשתגדל חולצת. ובית הלל פליגי דשייך מיאון אף ביבם.</w:t>
      </w:r>
    </w:p>
    <w:p w14:paraId="05E65993" w14:textId="77777777" w:rsidR="00BE1D1C" w:rsidRPr="00012502" w:rsidRDefault="00000000" w:rsidP="00012502">
      <w:pPr>
        <w:pStyle w:val="a7"/>
        <w:bidi/>
        <w:rPr>
          <w:rFonts w:ascii="Narkisim" w:hAnsi="Narkisim"/>
        </w:rPr>
      </w:pPr>
      <w:r w:rsidRPr="00012502">
        <w:rPr>
          <w:rFonts w:ascii="Narkisim" w:hAnsi="Narkisim"/>
          <w:rtl/>
        </w:rPr>
        <w:t xml:space="preserve">ודעת ר' אושעיא (קז. ויג.) דאף לבית הלל דוקא היכא דעשה מאמר [או ייבם] שייך מיאון. אבל ל"מ מיאון בזיקה, דממילא זקוקה לו בע"כ. דא"א לעקור נישואין הראשונים. </w:t>
      </w:r>
      <w:r w:rsidRPr="00012502">
        <w:rPr>
          <w:rFonts w:ascii="Narkisim" w:hAnsi="Narkisim"/>
          <w:sz w:val="20"/>
          <w:szCs w:val="20"/>
          <w:rtl/>
        </w:rPr>
        <w:t>וה</w:t>
      </w:r>
      <w:r w:rsidRPr="00012502">
        <w:rPr>
          <w:rFonts w:ascii="Narkisim" w:hAnsi="Narkisim"/>
          <w:b/>
          <w:bCs/>
          <w:sz w:val="20"/>
          <w:szCs w:val="20"/>
          <w:rtl/>
        </w:rPr>
        <w:t>ראשונים</w:t>
      </w:r>
      <w:r w:rsidRPr="00012502">
        <w:rPr>
          <w:rFonts w:ascii="Narkisim" w:hAnsi="Narkisim"/>
          <w:sz w:val="20"/>
          <w:szCs w:val="20"/>
          <w:rtl/>
        </w:rPr>
        <w:t xml:space="preserve"> (כאן, יג., וקז) דייקו</w:t>
      </w:r>
      <w:r w:rsidRPr="00012502">
        <w:rPr>
          <w:rStyle w:val="ac"/>
          <w:rFonts w:ascii="Narkisim" w:hAnsi="Narkisim"/>
          <w:sz w:val="20"/>
          <w:szCs w:val="20"/>
          <w:rtl/>
        </w:rPr>
        <w:footnoteReference w:id="680"/>
      </w:r>
      <w:r w:rsidRPr="00012502">
        <w:rPr>
          <w:rFonts w:ascii="Narkisim" w:hAnsi="Narkisim"/>
          <w:sz w:val="20"/>
          <w:szCs w:val="20"/>
          <w:rtl/>
        </w:rPr>
        <w:t xml:space="preserve"> דאפי' אמרה להדיא איני רוצה בקידושי אחיך</w:t>
      </w:r>
      <w:r w:rsidRPr="00012502">
        <w:rPr>
          <w:rFonts w:ascii="Narkisim" w:hAnsi="Narkisim"/>
          <w:rtl/>
        </w:rPr>
        <w:t>].</w:t>
      </w:r>
    </w:p>
    <w:p w14:paraId="710702EA" w14:textId="77777777" w:rsidR="00BE1D1C" w:rsidRPr="00012502" w:rsidRDefault="00000000" w:rsidP="00012502">
      <w:pPr>
        <w:pStyle w:val="a7"/>
        <w:bidi/>
        <w:rPr>
          <w:rFonts w:ascii="Narkisim" w:hAnsi="Narkisim"/>
        </w:rPr>
      </w:pPr>
      <w:r w:rsidRPr="00012502">
        <w:rPr>
          <w:rFonts w:ascii="Narkisim" w:hAnsi="Narkisim"/>
          <w:rtl/>
        </w:rPr>
        <w:t>אבל דעת עולא דממאנת אף לזיקתו, דאומרת שאינה חפיצה בקידושי אחיו, ועי"ז נעקר למפרע</w:t>
      </w:r>
      <w:r w:rsidRPr="00012502">
        <w:rPr>
          <w:rStyle w:val="ac"/>
          <w:rFonts w:ascii="Narkisim" w:hAnsi="Narkisim"/>
          <w:rtl/>
        </w:rPr>
        <w:footnoteReference w:id="681"/>
      </w:r>
      <w:r w:rsidRPr="00012502">
        <w:rPr>
          <w:rFonts w:ascii="Narkisim" w:hAnsi="Narkisim"/>
          <w:rtl/>
        </w:rPr>
        <w:t>.</w:t>
      </w:r>
    </w:p>
    <w:p w14:paraId="3507B2C9" w14:textId="77777777" w:rsidR="00BE1D1C" w:rsidRPr="00012502" w:rsidRDefault="00000000" w:rsidP="00012502">
      <w:pPr>
        <w:pStyle w:val="a7"/>
        <w:bidi/>
        <w:rPr>
          <w:rFonts w:ascii="Narkisim" w:hAnsi="Narkisim"/>
        </w:rPr>
      </w:pPr>
      <w:r w:rsidRPr="00012502">
        <w:rPr>
          <w:rFonts w:ascii="Narkisim" w:hAnsi="Narkisim"/>
          <w:rtl/>
        </w:rPr>
        <w:t>וכ"ד רב ושמואל (שם) דמהני מיאון בזיקה. ואפי' מיאנה ביבם א' נעקר הזיקה מיבם זה. [ועפ"ז דברי שמואל בסוגיין דמותרת לאחיו]. אבל דעת רב אסי דאין מיאון לחצי זיקה, ומותרת אפי' לו [כל שלא מיאנה בכל האחים].</w:t>
      </w:r>
    </w:p>
    <w:p w14:paraId="03629287"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רשב"א</w:t>
      </w:r>
      <w:r w:rsidRPr="00012502">
        <w:rPr>
          <w:rFonts w:ascii="Narkisim" w:hAnsi="Narkisim"/>
          <w:rtl/>
        </w:rPr>
        <w:t xml:space="preserve"> ו</w:t>
      </w:r>
      <w:r w:rsidRPr="00012502">
        <w:rPr>
          <w:rFonts w:ascii="Narkisim" w:hAnsi="Narkisim"/>
          <w:b/>
          <w:bCs/>
          <w:rtl/>
        </w:rPr>
        <w:t>שא"ר</w:t>
      </w:r>
      <w:r w:rsidRPr="00012502">
        <w:rPr>
          <w:rFonts w:ascii="Narkisim" w:hAnsi="Narkisim"/>
          <w:rtl/>
        </w:rPr>
        <w:t xml:space="preserve"> (לקמן קז:) כת' דמהני מיאון רק כלפי יבם, אבל כשאין יבם אין מיאון לאחר מיתה</w:t>
      </w:r>
      <w:r w:rsidRPr="00012502">
        <w:rPr>
          <w:rStyle w:val="ac"/>
          <w:rFonts w:ascii="Narkisim" w:hAnsi="Narkisim"/>
          <w:rtl/>
        </w:rPr>
        <w:footnoteReference w:id="682"/>
      </w:r>
      <w:r w:rsidRPr="00012502">
        <w:rPr>
          <w:rFonts w:ascii="Narkisim" w:hAnsi="Narkisim"/>
          <w:rtl/>
        </w:rPr>
        <w:t>. אבל משמע דדעת ה</w:t>
      </w:r>
      <w:r w:rsidRPr="00012502">
        <w:rPr>
          <w:rFonts w:ascii="Narkisim" w:hAnsi="Narkisim"/>
          <w:b/>
          <w:bCs/>
          <w:rtl/>
        </w:rPr>
        <w:t>רי"ף</w:t>
      </w:r>
      <w:r w:rsidRPr="00012502">
        <w:rPr>
          <w:rFonts w:ascii="Narkisim" w:hAnsi="Narkisim"/>
          <w:rtl/>
        </w:rPr>
        <w:t xml:space="preserve"> (שם) דאף בלא יבם מהני מיאון].</w:t>
      </w:r>
    </w:p>
    <w:p w14:paraId="779BFFC9"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דנו בגדר הדבר דמהני מיאון לחצי זיקה כלפי היבם, דממ"נ אי נעקר אישות הראשונה יעקר </w:t>
      </w:r>
      <w:r w:rsidRPr="00012502">
        <w:rPr>
          <w:rFonts w:ascii="Narkisim" w:hAnsi="Narkisim"/>
          <w:rtl/>
        </w:rPr>
        <w:lastRenderedPageBreak/>
        <w:t>מכולהו אחים</w:t>
      </w:r>
      <w:r w:rsidRPr="00012502">
        <w:rPr>
          <w:rStyle w:val="ac"/>
          <w:rFonts w:ascii="Narkisim" w:hAnsi="Narkisim"/>
          <w:rtl/>
        </w:rPr>
        <w:footnoteReference w:id="683"/>
      </w:r>
      <w:r w:rsidRPr="00012502">
        <w:rPr>
          <w:rFonts w:ascii="Narkisim" w:hAnsi="Narkisim"/>
          <w:rtl/>
        </w:rPr>
        <w:t>. ויתבאר בסמוך בדברי התוס'. [וע"ע חזו"א (קיא) שהאריך].</w:t>
      </w:r>
    </w:p>
    <w:p w14:paraId="36B0AB72" w14:textId="77777777" w:rsidR="00BE1D1C" w:rsidRPr="00012502" w:rsidRDefault="00000000" w:rsidP="00012502">
      <w:pPr>
        <w:bidi/>
        <w:rPr>
          <w:rFonts w:ascii="Narkisim" w:hAnsi="Narkisim" w:cs="Narkisim"/>
        </w:rPr>
      </w:pPr>
      <w:r w:rsidRPr="00012502">
        <w:rPr>
          <w:rFonts w:ascii="Narkisim" w:hAnsi="Narkisim" w:cs="Narkisim"/>
          <w:u w:val="single"/>
          <w:rtl/>
        </w:rPr>
        <w:t>דאמר שמואל מיאנה בזה מותרת בזה.</w:t>
      </w:r>
      <w:r w:rsidRPr="00012502">
        <w:rPr>
          <w:rFonts w:ascii="Narkisim" w:hAnsi="Narkisim" w:cs="Narkisim"/>
          <w:rtl/>
        </w:rPr>
        <w:t xml:space="preserve"> </w:t>
      </w:r>
      <w:r w:rsidRPr="00012502">
        <w:rPr>
          <w:rFonts w:ascii="Narkisim" w:hAnsi="Narkisim" w:cs="Narkisim"/>
          <w:szCs w:val="20"/>
          <w:rtl/>
        </w:rPr>
        <w:t>[דהוה מיאון כלפי אותו אח. והזיקה קיימת כלפי אחיו]</w:t>
      </w:r>
      <w:r w:rsidRPr="00012502">
        <w:rPr>
          <w:rFonts w:ascii="Narkisim" w:hAnsi="Narkisim" w:cs="Narkisim"/>
          <w:rtl/>
        </w:rPr>
        <w:t>. אבל דעת רב (קז:) דמיאנה בזה אסורה לזה משום גזירה, מידי דהוה אבעלת הגט</w:t>
      </w:r>
      <w:r w:rsidRPr="00012502">
        <w:rPr>
          <w:rStyle w:val="ac"/>
          <w:rFonts w:ascii="Narkisim" w:hAnsi="Narkisim" w:cs="Narkisim"/>
          <w:rtl/>
        </w:rPr>
        <w:footnoteReference w:id="684"/>
      </w:r>
      <w:r w:rsidRPr="00012502">
        <w:rPr>
          <w:rFonts w:ascii="Narkisim" w:hAnsi="Narkisim" w:cs="Narkisim"/>
          <w:rtl/>
        </w:rPr>
        <w:t xml:space="preserve"> </w:t>
      </w:r>
      <w:r w:rsidRPr="00012502">
        <w:rPr>
          <w:rFonts w:ascii="Narkisim" w:hAnsi="Narkisim" w:cs="Narkisim"/>
          <w:szCs w:val="20"/>
          <w:rtl/>
        </w:rPr>
        <w:t>[דיבם שנותן גט ליבמה, שוב אסורה לייבם (כדאי' לקמן נ. ונא.), דמדרבנן יש איסור לא יבנה</w:t>
      </w:r>
      <w:r w:rsidRPr="00012502">
        <w:rPr>
          <w:rStyle w:val="ac"/>
          <w:rFonts w:ascii="Narkisim" w:hAnsi="Narkisim" w:cs="Narkisim"/>
          <w:szCs w:val="20"/>
          <w:rtl/>
        </w:rPr>
        <w:footnoteReference w:id="685"/>
      </w:r>
      <w:r w:rsidRPr="00012502">
        <w:rPr>
          <w:rFonts w:ascii="Narkisim" w:hAnsi="Narkisim" w:cs="Narkisim"/>
          <w:szCs w:val="20"/>
          <w:rtl/>
        </w:rPr>
        <w:t>]</w:t>
      </w:r>
      <w:r w:rsidRPr="00012502">
        <w:rPr>
          <w:rFonts w:ascii="Narkisim" w:hAnsi="Narkisim" w:cs="Narkisim"/>
          <w:rtl/>
        </w:rPr>
        <w:t>.</w:t>
      </w:r>
    </w:p>
    <w:p w14:paraId="32ADFDC5" w14:textId="77777777" w:rsidR="00BE1D1C" w:rsidRPr="00012502" w:rsidRDefault="00000000" w:rsidP="00012502">
      <w:pPr>
        <w:bidi/>
        <w:rPr>
          <w:rFonts w:ascii="Narkisim" w:hAnsi="Narkisim" w:cs="Narkisim"/>
        </w:rPr>
      </w:pPr>
      <w:r w:rsidRPr="00012502">
        <w:rPr>
          <w:rFonts w:ascii="Narkisim" w:hAnsi="Narkisim" w:cs="Narkisim"/>
          <w:u w:val="single"/>
          <w:rtl/>
        </w:rPr>
        <w:t>שם. מותרת בזה.</w:t>
      </w:r>
      <w:r w:rsidRPr="00012502">
        <w:rPr>
          <w:rFonts w:ascii="Narkisim" w:hAnsi="Narkisim" w:cs="Narkisim"/>
          <w:rtl/>
        </w:rPr>
        <w:t xml:space="preserve"> מבואר ב</w:t>
      </w:r>
      <w:r w:rsidRPr="00012502">
        <w:rPr>
          <w:rFonts w:ascii="Narkisim" w:hAnsi="Narkisim" w:cs="Narkisim"/>
          <w:b/>
          <w:bCs/>
          <w:rtl/>
        </w:rPr>
        <w:t>רמב"ן</w:t>
      </w:r>
      <w:r w:rsidRPr="00012502">
        <w:rPr>
          <w:rFonts w:ascii="Narkisim" w:hAnsi="Narkisim" w:cs="Narkisim"/>
          <w:rtl/>
        </w:rPr>
        <w:t xml:space="preserve"> ו</w:t>
      </w:r>
      <w:r w:rsidRPr="00012502">
        <w:rPr>
          <w:rFonts w:ascii="Narkisim" w:hAnsi="Narkisim" w:cs="Narkisim"/>
          <w:b/>
          <w:bCs/>
          <w:rtl/>
        </w:rPr>
        <w:t>רשב"א</w:t>
      </w:r>
      <w:r w:rsidRPr="00012502">
        <w:rPr>
          <w:rFonts w:ascii="Narkisim" w:hAnsi="Narkisim" w:cs="Narkisim"/>
          <w:rtl/>
        </w:rPr>
        <w:t xml:space="preserve"> (לקמן קז:) וכן ב</w:t>
      </w:r>
      <w:r w:rsidRPr="00012502">
        <w:rPr>
          <w:rFonts w:ascii="Narkisim" w:hAnsi="Narkisim" w:cs="Narkisim"/>
          <w:b/>
          <w:bCs/>
          <w:rtl/>
        </w:rPr>
        <w:t>רא"ש</w:t>
      </w:r>
      <w:r w:rsidRPr="00012502">
        <w:rPr>
          <w:rFonts w:ascii="Narkisim" w:hAnsi="Narkisim" w:cs="Narkisim"/>
          <w:rtl/>
        </w:rPr>
        <w:t xml:space="preserve"> (כאן) דזקוקה לשאר אחים ליבום, דנעקר הקידושין למפרע רק כלפי היבם שמיאנה בו</w:t>
      </w:r>
      <w:r w:rsidRPr="00012502">
        <w:rPr>
          <w:rStyle w:val="ac"/>
          <w:rFonts w:ascii="Narkisim" w:hAnsi="Narkisim" w:cs="Narkisim"/>
          <w:rtl/>
        </w:rPr>
        <w:footnoteReference w:id="686"/>
      </w:r>
      <w:r w:rsidRPr="00012502">
        <w:rPr>
          <w:rFonts w:ascii="Narkisim" w:hAnsi="Narkisim" w:cs="Narkisim"/>
          <w:rtl/>
        </w:rPr>
        <w:t>, אבל כלפי שאר אחים עדיין זקוקה. אבל ה</w:t>
      </w:r>
      <w:r w:rsidRPr="00012502">
        <w:rPr>
          <w:rFonts w:ascii="Narkisim" w:hAnsi="Narkisim" w:cs="Narkisim"/>
          <w:b/>
          <w:bCs/>
          <w:rtl/>
        </w:rPr>
        <w:t>בי"ש</w:t>
      </w:r>
      <w:r w:rsidRPr="00012502">
        <w:rPr>
          <w:rFonts w:ascii="Narkisim" w:hAnsi="Narkisim" w:cs="Narkisim"/>
          <w:rtl/>
        </w:rPr>
        <w:t xml:space="preserve"> (קעג יח) כתב דדעת ה</w:t>
      </w:r>
      <w:r w:rsidRPr="00012502">
        <w:rPr>
          <w:rFonts w:ascii="Narkisim" w:hAnsi="Narkisim" w:cs="Narkisim"/>
          <w:b/>
          <w:bCs/>
          <w:rtl/>
        </w:rPr>
        <w:t>רמב"ם</w:t>
      </w:r>
      <w:r w:rsidRPr="00012502">
        <w:rPr>
          <w:rFonts w:ascii="Narkisim" w:hAnsi="Narkisim" w:cs="Narkisim"/>
          <w:rtl/>
        </w:rPr>
        <w:t xml:space="preserve"> (הו' בסמוך) דמהני מיאון לעקור הזיקה מהשאר, ומותרת להם כפנויה בעלמא</w:t>
      </w:r>
      <w:r w:rsidRPr="00012502">
        <w:rPr>
          <w:rStyle w:val="ac"/>
          <w:rFonts w:ascii="Narkisim" w:hAnsi="Narkisim" w:cs="Narkisim"/>
          <w:rtl/>
        </w:rPr>
        <w:footnoteReference w:id="687"/>
      </w:r>
      <w:r w:rsidRPr="00012502">
        <w:rPr>
          <w:rFonts w:ascii="Narkisim" w:hAnsi="Narkisim" w:cs="Narkisim"/>
          <w:rtl/>
        </w:rPr>
        <w:t>.</w:t>
      </w:r>
    </w:p>
    <w:p w14:paraId="57ED41BC" w14:textId="77777777" w:rsidR="00BE1D1C" w:rsidRPr="00012502" w:rsidRDefault="00000000" w:rsidP="00012502">
      <w:pPr>
        <w:bidi/>
        <w:rPr>
          <w:rFonts w:ascii="Narkisim" w:hAnsi="Narkisim" w:cs="Narkisim"/>
        </w:rPr>
      </w:pPr>
      <w:r w:rsidRPr="00012502">
        <w:rPr>
          <w:rFonts w:ascii="Narkisim" w:hAnsi="Narkisim" w:cs="Narkisim"/>
          <w:rtl/>
        </w:rPr>
        <w:t>ה</w:t>
      </w:r>
      <w:r w:rsidRPr="00012502">
        <w:rPr>
          <w:rFonts w:ascii="Narkisim" w:hAnsi="Narkisim" w:cs="Narkisim"/>
          <w:b/>
          <w:bCs/>
          <w:rtl/>
        </w:rPr>
        <w:t>מלחמות</w:t>
      </w:r>
      <w:r w:rsidRPr="00012502">
        <w:rPr>
          <w:rFonts w:ascii="Narkisim" w:hAnsi="Narkisim" w:cs="Narkisim"/>
          <w:rtl/>
        </w:rPr>
        <w:t xml:space="preserve"> (לקמן שם לו. בדה"ר, בסו"ד) הק' כיון דמיאון נישואין קמאי עקרה לשמואל, היאך אפשר למאן לחצי זיקה. ותי' דכיון דחכמים תלו מיאון בה, והיא דוחה את עצמה רק מיבם זה.</w:t>
      </w:r>
      <w:r w:rsidRPr="00012502">
        <w:rPr>
          <w:rFonts w:ascii="Narkisim" w:hAnsi="Narkisim" w:cs="Narkisim"/>
          <w:szCs w:val="20"/>
          <w:rtl/>
        </w:rPr>
        <w:t xml:space="preserve"> ומשמע דכלפי יבם זה נעקר אישות האח למפרע. וה</w:t>
      </w:r>
      <w:r w:rsidRPr="00012502">
        <w:rPr>
          <w:rFonts w:ascii="Narkisim" w:hAnsi="Narkisim" w:cs="Narkisim"/>
          <w:b/>
          <w:bCs/>
          <w:szCs w:val="20"/>
          <w:rtl/>
        </w:rPr>
        <w:t>אחרונים</w:t>
      </w:r>
      <w:r w:rsidRPr="00012502">
        <w:rPr>
          <w:rFonts w:ascii="Narkisim" w:hAnsi="Narkisim" w:cs="Narkisim"/>
          <w:szCs w:val="20"/>
          <w:rtl/>
        </w:rPr>
        <w:t xml:space="preserve"> דנו הגדר בזה</w:t>
      </w:r>
      <w:r w:rsidRPr="00012502">
        <w:rPr>
          <w:rStyle w:val="ac"/>
          <w:rFonts w:ascii="Narkisim" w:hAnsi="Narkisim" w:cs="Narkisim"/>
          <w:szCs w:val="20"/>
          <w:rtl/>
        </w:rPr>
        <w:footnoteReference w:id="688"/>
      </w:r>
      <w:r w:rsidRPr="00012502">
        <w:rPr>
          <w:rFonts w:ascii="Narkisim" w:hAnsi="Narkisim" w:cs="Narkisim"/>
          <w:szCs w:val="20"/>
          <w:rtl/>
        </w:rPr>
        <w:t>. (וע' בסמוך).</w:t>
      </w:r>
    </w:p>
    <w:p w14:paraId="43FFBAF7" w14:textId="77777777" w:rsidR="00BE1D1C" w:rsidRPr="00012502" w:rsidRDefault="00000000" w:rsidP="00012502">
      <w:pPr>
        <w:bidi/>
        <w:rPr>
          <w:rFonts w:ascii="Narkisim" w:hAnsi="Narkisim" w:cs="Narkisim"/>
        </w:rPr>
      </w:pPr>
      <w:r w:rsidRPr="00012502">
        <w:rPr>
          <w:rFonts w:ascii="Narkisim" w:hAnsi="Narkisim" w:cs="Narkisim"/>
          <w:u w:val="single"/>
          <w:rtl/>
        </w:rPr>
        <w:t>אלא לדידיה, ומ"ש ממאנת</w:t>
      </w:r>
      <w:r w:rsidRPr="00012502">
        <w:rPr>
          <w:rStyle w:val="ac"/>
          <w:rFonts w:ascii="Narkisim" w:hAnsi="Narkisim" w:cs="Narkisim"/>
          <w:u w:val="single"/>
          <w:rtl/>
        </w:rPr>
        <w:footnoteReference w:id="689"/>
      </w:r>
      <w:r w:rsidRPr="00012502">
        <w:rPr>
          <w:rFonts w:ascii="Narkisim" w:hAnsi="Narkisim" w:cs="Narkisim"/>
          <w:u w:val="single"/>
          <w:rtl/>
        </w:rPr>
        <w:t xml:space="preserve"> דשריא לאחים דלא עבדא בהו מעשה וכו'</w:t>
      </w:r>
      <w:r w:rsidRPr="00012502">
        <w:rPr>
          <w:rFonts w:ascii="Narkisim" w:hAnsi="Narkisim" w:cs="Narkisim"/>
          <w:rtl/>
        </w:rPr>
        <w:t>. ה</w:t>
      </w:r>
      <w:r w:rsidRPr="00012502">
        <w:rPr>
          <w:rFonts w:ascii="Narkisim" w:hAnsi="Narkisim" w:cs="Narkisim"/>
          <w:b/>
          <w:bCs/>
          <w:rtl/>
        </w:rPr>
        <w:t>אחרונים</w:t>
      </w:r>
      <w:r w:rsidRPr="00012502">
        <w:rPr>
          <w:rFonts w:ascii="Narkisim" w:hAnsi="Narkisim" w:cs="Narkisim"/>
          <w:rtl/>
        </w:rPr>
        <w:t xml:space="preserve"> (ע' חי' ר' ראובן) דייקו דקו' הגמ' שמואל לשיטתו דמותרת לאחין, אבל לדעת רב (קז: הנ"ל) דאסורה לאחים, ה"נ צרתה אסורה לדידיה</w:t>
      </w:r>
      <w:r w:rsidRPr="00012502">
        <w:rPr>
          <w:rStyle w:val="ac"/>
          <w:rFonts w:ascii="Narkisim" w:hAnsi="Narkisim" w:cs="Narkisim"/>
          <w:rtl/>
        </w:rPr>
        <w:footnoteReference w:id="690"/>
      </w:r>
      <w:r w:rsidRPr="00012502">
        <w:rPr>
          <w:rFonts w:ascii="Narkisim" w:hAnsi="Narkisim" w:cs="Narkisim"/>
          <w:rtl/>
        </w:rPr>
        <w:t xml:space="preserve">. א"כ צ"ב אמאי </w:t>
      </w:r>
      <w:r w:rsidRPr="00012502">
        <w:rPr>
          <w:rFonts w:ascii="Narkisim" w:hAnsi="Narkisim" w:cs="Narkisim"/>
          <w:b/>
          <w:bCs/>
          <w:rtl/>
        </w:rPr>
        <w:t>רש"י</w:t>
      </w:r>
      <w:r w:rsidRPr="00012502">
        <w:rPr>
          <w:rFonts w:ascii="Narkisim" w:hAnsi="Narkisim" w:cs="Narkisim"/>
          <w:rtl/>
        </w:rPr>
        <w:t xml:space="preserve"> (לעיל ג:) נקט הטעם משום גזירה דצרת בתו ממאנת</w:t>
      </w:r>
      <w:r w:rsidRPr="00012502">
        <w:rPr>
          <w:rStyle w:val="ac"/>
          <w:rFonts w:ascii="Narkisim" w:hAnsi="Narkisim" w:cs="Narkisim"/>
          <w:rtl/>
        </w:rPr>
        <w:footnoteReference w:id="691"/>
      </w:r>
      <w:r w:rsidRPr="00012502">
        <w:rPr>
          <w:rFonts w:ascii="Narkisim" w:hAnsi="Narkisim" w:cs="Narkisim"/>
          <w:rtl/>
        </w:rPr>
        <w:t>.</w:t>
      </w:r>
    </w:p>
    <w:p w14:paraId="44B45E43"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תי' דהגמ' מקשה אליבא דשמואל מק"ו, דכיון דלדעת שמואל מותרת לאחים, כ"ש בצרות. ואילו לדעת רב אף דס"ל דאסורה באחים, דסוף סוף הוה חדא אישות. מ"מ י"ל דמותר בצרות. ואף לדעת רב איצטריך גזירה דצרת בתו ממאנת. </w:t>
      </w:r>
      <w:r w:rsidRPr="00012502">
        <w:rPr>
          <w:rFonts w:ascii="Narkisim" w:hAnsi="Narkisim"/>
          <w:szCs w:val="20"/>
          <w:rtl/>
        </w:rPr>
        <w:t>[וע' חי' ר' ראובן מש"כ באופ"א]</w:t>
      </w:r>
      <w:r w:rsidRPr="00012502">
        <w:rPr>
          <w:rFonts w:ascii="Narkisim" w:hAnsi="Narkisim"/>
          <w:rtl/>
        </w:rPr>
        <w:t>.</w:t>
      </w:r>
    </w:p>
    <w:p w14:paraId="56910396" w14:textId="77777777" w:rsidR="00BE1D1C" w:rsidRPr="00012502" w:rsidRDefault="00000000" w:rsidP="00012502">
      <w:pPr>
        <w:bidi/>
        <w:rPr>
          <w:rFonts w:ascii="Narkisim" w:hAnsi="Narkisim" w:cs="Narkisim"/>
        </w:rPr>
      </w:pPr>
      <w:r w:rsidRPr="00012502">
        <w:rPr>
          <w:rFonts w:ascii="Narkisim" w:hAnsi="Narkisim" w:cs="Narkisim"/>
          <w:u w:val="single"/>
          <w:rtl/>
        </w:rPr>
        <w:t>רש"י ד"ה אלא לדידיה.</w:t>
      </w:r>
      <w:r w:rsidRPr="00012502">
        <w:rPr>
          <w:rFonts w:ascii="Narkisim" w:hAnsi="Narkisim" w:cs="Narkisim"/>
          <w:rtl/>
        </w:rPr>
        <w:t xml:space="preserve"> דמיאון עקרא לזיקה וקאי עלה באשת אח, נראית כאשת אחיו</w:t>
      </w:r>
      <w:r w:rsidRPr="00012502">
        <w:rPr>
          <w:rStyle w:val="ac"/>
          <w:rFonts w:ascii="Narkisim" w:hAnsi="Narkisim" w:cs="Narkisim"/>
          <w:sz w:val="20"/>
          <w:szCs w:val="20"/>
          <w:rtl/>
        </w:rPr>
        <w:footnoteReference w:id="692"/>
      </w:r>
      <w:r w:rsidRPr="00012502">
        <w:rPr>
          <w:rFonts w:ascii="Narkisim" w:hAnsi="Narkisim" w:cs="Narkisim"/>
          <w:rtl/>
        </w:rPr>
        <w:t>. [וע"ד הא דאי' בסוף הסוגיא נראית כצרת ערוה</w:t>
      </w:r>
      <w:r w:rsidRPr="00012502">
        <w:rPr>
          <w:rStyle w:val="ac"/>
          <w:rFonts w:ascii="Narkisim" w:hAnsi="Narkisim" w:cs="Narkisim"/>
          <w:rtl/>
        </w:rPr>
        <w:footnoteReference w:id="693"/>
      </w:r>
      <w:r w:rsidRPr="00012502">
        <w:rPr>
          <w:rFonts w:ascii="Narkisim" w:hAnsi="Narkisim" w:cs="Narkisim"/>
          <w:rtl/>
        </w:rPr>
        <w:t xml:space="preserve">]. </w:t>
      </w:r>
      <w:r w:rsidRPr="00012502">
        <w:rPr>
          <w:rFonts w:ascii="Narkisim" w:hAnsi="Narkisim" w:cs="Narkisim"/>
          <w:sz w:val="20"/>
          <w:szCs w:val="20"/>
          <w:rtl/>
        </w:rPr>
        <w:t>כ"כ ה</w:t>
      </w:r>
      <w:r w:rsidRPr="00012502">
        <w:rPr>
          <w:rFonts w:ascii="Narkisim" w:hAnsi="Narkisim" w:cs="Narkisim"/>
          <w:b/>
          <w:bCs/>
          <w:sz w:val="20"/>
          <w:szCs w:val="20"/>
          <w:rtl/>
        </w:rPr>
        <w:t>ריטב"א</w:t>
      </w:r>
      <w:r w:rsidRPr="00012502">
        <w:rPr>
          <w:rFonts w:ascii="Narkisim" w:hAnsi="Narkisim" w:cs="Narkisim"/>
          <w:sz w:val="20"/>
          <w:szCs w:val="20"/>
          <w:rtl/>
        </w:rPr>
        <w:t xml:space="preserve"> דאסורה מדרבנן לההוא יבם דנראית כאשת אח שלא במקום מצוה. ואף דמדינא מותרת ממ"נ, דאי עקרה לנישואי אחיו שריא ליה [דהוה אנוסת אחיו], ואי לא עקרה אגידא ביה ליבום. אלא מדרבנן, דנראה כאילו עקרה לזיקה, ולא עקרה נישואי אחיו, ועי"ז הוה אשת אחיו שלא במקום מצווה.</w:t>
      </w:r>
    </w:p>
    <w:p w14:paraId="144363C4"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 xml:space="preserve">מאירי </w:t>
      </w:r>
      <w:r w:rsidRPr="00012502">
        <w:rPr>
          <w:rFonts w:ascii="Narkisim" w:hAnsi="Narkisim"/>
          <w:rtl/>
        </w:rPr>
        <w:t>כת' דאסורה לזה שמיאנה בו [לשמואל] משום גזירת בעלת הגט</w:t>
      </w:r>
      <w:r w:rsidRPr="00012502">
        <w:rPr>
          <w:rStyle w:val="ac"/>
          <w:rFonts w:ascii="Narkisim" w:hAnsi="Narkisim"/>
          <w:rtl/>
        </w:rPr>
        <w:footnoteReference w:id="694"/>
      </w:r>
      <w:r w:rsidRPr="00012502">
        <w:rPr>
          <w:rFonts w:ascii="Narkisim" w:hAnsi="Narkisim"/>
          <w:rtl/>
        </w:rPr>
        <w:t>. וכ"כ ה</w:t>
      </w:r>
      <w:r w:rsidRPr="00012502">
        <w:rPr>
          <w:rFonts w:ascii="Narkisim" w:hAnsi="Narkisim"/>
          <w:b/>
          <w:bCs/>
          <w:rtl/>
        </w:rPr>
        <w:t>ראב"ד</w:t>
      </w:r>
      <w:r w:rsidRPr="00012502">
        <w:rPr>
          <w:rFonts w:ascii="Narkisim" w:hAnsi="Narkisim"/>
          <w:rtl/>
        </w:rPr>
        <w:t xml:space="preserve"> </w:t>
      </w:r>
      <w:r w:rsidRPr="00012502">
        <w:rPr>
          <w:rFonts w:ascii="Narkisim" w:hAnsi="Narkisim"/>
          <w:szCs w:val="20"/>
          <w:rtl/>
        </w:rPr>
        <w:lastRenderedPageBreak/>
        <w:t>(כתוב שם לקמן לו. בדה"ר)</w:t>
      </w:r>
      <w:r w:rsidRPr="00012502">
        <w:rPr>
          <w:rFonts w:ascii="Narkisim" w:hAnsi="Narkisim"/>
          <w:rtl/>
        </w:rPr>
        <w:t>.</w:t>
      </w:r>
    </w:p>
    <w:p w14:paraId="78571A9C" w14:textId="77777777" w:rsidR="00BE1D1C" w:rsidRPr="00012502" w:rsidRDefault="00000000" w:rsidP="00012502">
      <w:pPr>
        <w:bidi/>
        <w:rPr>
          <w:rFonts w:ascii="Narkisim" w:hAnsi="Narkisim" w:cs="Narkisim"/>
        </w:rPr>
      </w:pPr>
      <w:r w:rsidRPr="00012502">
        <w:rPr>
          <w:rFonts w:ascii="Narkisim" w:hAnsi="Narkisim" w:cs="Narkisim"/>
          <w:u w:val="single"/>
          <w:rtl/>
        </w:rPr>
        <w:t>מיאנה וכו' ביבם אסורה לאביו וכו'</w:t>
      </w:r>
      <w:r w:rsidRPr="00012502">
        <w:rPr>
          <w:rFonts w:ascii="Narkisim" w:hAnsi="Narkisim" w:cs="Narkisim"/>
          <w:rtl/>
        </w:rPr>
        <w:t>. [משום גזירה דבשעת נפילה נראית צרת בתו]. ורוב ה</w:t>
      </w:r>
      <w:r w:rsidRPr="00012502">
        <w:rPr>
          <w:rFonts w:ascii="Narkisim" w:hAnsi="Narkisim" w:cs="Narkisim"/>
          <w:b/>
          <w:bCs/>
          <w:rtl/>
        </w:rPr>
        <w:t>ראשונים</w:t>
      </w:r>
      <w:r w:rsidRPr="00012502">
        <w:rPr>
          <w:rFonts w:ascii="Narkisim" w:hAnsi="Narkisim" w:cs="Narkisim"/>
          <w:rtl/>
        </w:rPr>
        <w:t xml:space="preserve"> (רמב"ן ורשב"א קז:) כת' דאסורה אף בשאר קרובים</w:t>
      </w:r>
      <w:r w:rsidRPr="00012502">
        <w:rPr>
          <w:rStyle w:val="ac"/>
          <w:rFonts w:ascii="Narkisim" w:hAnsi="Narkisim" w:cs="Narkisim"/>
          <w:rtl/>
        </w:rPr>
        <w:footnoteReference w:id="695"/>
      </w:r>
      <w:r w:rsidRPr="00012502">
        <w:rPr>
          <w:rFonts w:ascii="Narkisim" w:hAnsi="Narkisim" w:cs="Narkisim"/>
          <w:rtl/>
        </w:rPr>
        <w:t>. אבל ה</w:t>
      </w:r>
      <w:r w:rsidRPr="00012502">
        <w:rPr>
          <w:rFonts w:ascii="Narkisim" w:hAnsi="Narkisim" w:cs="Narkisim"/>
          <w:b/>
          <w:bCs/>
          <w:rtl/>
        </w:rPr>
        <w:t>רמב"ם</w:t>
      </w:r>
      <w:r w:rsidRPr="00012502">
        <w:rPr>
          <w:rFonts w:ascii="Narkisim" w:hAnsi="Narkisim" w:cs="Narkisim"/>
          <w:rtl/>
        </w:rPr>
        <w:t xml:space="preserve"> (</w:t>
      </w:r>
      <w:r w:rsidRPr="00012502">
        <w:rPr>
          <w:rFonts w:ascii="Narkisim" w:hAnsi="Narkisim" w:cs="Narkisim"/>
          <w:sz w:val="20"/>
          <w:szCs w:val="20"/>
          <w:rtl/>
        </w:rPr>
        <w:t xml:space="preserve">גירושין יא יז) </w:t>
      </w:r>
      <w:r w:rsidRPr="00012502">
        <w:rPr>
          <w:rFonts w:ascii="Narkisim" w:hAnsi="Narkisim" w:cs="Narkisim"/>
          <w:rtl/>
        </w:rPr>
        <w:t>פסק דמותרת לשאר קרובים</w:t>
      </w:r>
      <w:r w:rsidRPr="00012502">
        <w:rPr>
          <w:rStyle w:val="ac"/>
          <w:rFonts w:ascii="Narkisim" w:hAnsi="Narkisim" w:cs="Narkisim"/>
          <w:rtl/>
        </w:rPr>
        <w:footnoteReference w:id="696"/>
      </w:r>
      <w:r w:rsidRPr="00012502">
        <w:rPr>
          <w:rFonts w:ascii="Narkisim" w:hAnsi="Narkisim" w:cs="Narkisim"/>
          <w:rtl/>
        </w:rPr>
        <w:t>. לפיכך מותרת באחיו. ו</w:t>
      </w:r>
      <w:r w:rsidRPr="00012502">
        <w:rPr>
          <w:rFonts w:ascii="Narkisim" w:hAnsi="Narkisim" w:cs="Narkisim"/>
          <w:b/>
          <w:bCs/>
          <w:rtl/>
        </w:rPr>
        <w:t>ה"ה</w:t>
      </w:r>
      <w:r w:rsidRPr="00012502">
        <w:rPr>
          <w:rFonts w:ascii="Narkisim" w:hAnsi="Narkisim" w:cs="Narkisim"/>
          <w:rtl/>
        </w:rPr>
        <w:t xml:space="preserve"> הביא דדעת ה</w:t>
      </w:r>
      <w:r w:rsidRPr="00012502">
        <w:rPr>
          <w:rFonts w:ascii="Narkisim" w:hAnsi="Narkisim" w:cs="Narkisim"/>
          <w:b/>
          <w:bCs/>
          <w:rtl/>
        </w:rPr>
        <w:t>רמב"ן</w:t>
      </w:r>
      <w:r w:rsidRPr="00012502">
        <w:rPr>
          <w:rFonts w:ascii="Narkisim" w:hAnsi="Narkisim" w:cs="Narkisim"/>
          <w:rtl/>
        </w:rPr>
        <w:t xml:space="preserve"> ו</w:t>
      </w:r>
      <w:r w:rsidRPr="00012502">
        <w:rPr>
          <w:rFonts w:ascii="Narkisim" w:hAnsi="Narkisim" w:cs="Narkisim"/>
          <w:b/>
          <w:bCs/>
          <w:rtl/>
        </w:rPr>
        <w:t>רשב"א</w:t>
      </w:r>
      <w:r w:rsidRPr="00012502">
        <w:rPr>
          <w:rFonts w:ascii="Narkisim" w:hAnsi="Narkisim" w:cs="Narkisim"/>
          <w:b/>
          <w:bCs/>
          <w:sz w:val="20"/>
          <w:szCs w:val="20"/>
          <w:rtl/>
        </w:rPr>
        <w:t xml:space="preserve"> </w:t>
      </w:r>
      <w:r w:rsidRPr="00012502">
        <w:rPr>
          <w:rFonts w:ascii="Narkisim" w:hAnsi="Narkisim" w:cs="Narkisim"/>
          <w:sz w:val="20"/>
          <w:szCs w:val="20"/>
          <w:rtl/>
        </w:rPr>
        <w:t>(קז:)</w:t>
      </w:r>
      <w:r w:rsidRPr="00012502">
        <w:rPr>
          <w:rFonts w:ascii="Narkisim" w:hAnsi="Narkisim" w:cs="Narkisim"/>
          <w:rtl/>
        </w:rPr>
        <w:t xml:space="preserve"> דאסורה בכל הקרובים, והא דמותרת באחין הוא משום מצוות יבום.</w:t>
      </w:r>
    </w:p>
    <w:p w14:paraId="40A4CCA8" w14:textId="77777777" w:rsidR="00BE1D1C" w:rsidRPr="00012502" w:rsidRDefault="00000000" w:rsidP="00012502">
      <w:pPr>
        <w:pStyle w:val="a8"/>
        <w:bidi/>
        <w:rPr>
          <w:rFonts w:ascii="Narkisim" w:hAnsi="Narkisim"/>
        </w:rPr>
      </w:pPr>
      <w:r w:rsidRPr="00012502">
        <w:rPr>
          <w:rFonts w:ascii="Narkisim" w:hAnsi="Narkisim"/>
          <w:rtl/>
        </w:rPr>
        <w:t>וב</w:t>
      </w:r>
      <w:r w:rsidRPr="00012502">
        <w:rPr>
          <w:rFonts w:ascii="Narkisim" w:hAnsi="Narkisim"/>
          <w:b/>
          <w:bCs/>
          <w:rtl/>
        </w:rPr>
        <w:t>משנת ר' אהרן</w:t>
      </w:r>
      <w:r w:rsidRPr="00012502">
        <w:rPr>
          <w:rFonts w:ascii="Narkisim" w:hAnsi="Narkisim"/>
          <w:rtl/>
        </w:rPr>
        <w:t xml:space="preserve"> (יב) ביאר דגדר גזירת נראית צרת בתו, שדנים כאילו האישות נעקר מכאן ולהבא. וכתב דס"ל לרמב"ם דבשאר קרובים אילו נעקר האישות לגמרי הותר להם, דהכתוב תלאו בשם אשת אח וכו', וכיון דנעקר לא נשאר עליו שם אשת אח. ושאני גדר האיסור 'כלתו', דאף דנעקר האישות עדיין נשאר הך שם. דהאישות הוה רק תנאי, ונחשבת כלתו מחמת שהיתה בעבר אשת בנו. ומש"ה אסרוה משום ד'נראית', וכאילו נעקר האישות מכאן ולהבא.</w:t>
      </w:r>
    </w:p>
    <w:p w14:paraId="0D4C17C9" w14:textId="77777777" w:rsidR="00BE1D1C" w:rsidRPr="00012502" w:rsidRDefault="00000000" w:rsidP="00012502">
      <w:pPr>
        <w:bidi/>
        <w:rPr>
          <w:rFonts w:ascii="Narkisim" w:hAnsi="Narkisim" w:cs="Narkisim"/>
        </w:rPr>
      </w:pPr>
      <w:r w:rsidRPr="00012502">
        <w:rPr>
          <w:rFonts w:ascii="Narkisim" w:hAnsi="Narkisim" w:cs="Narkisim"/>
          <w:u w:val="single"/>
          <w:rtl/>
        </w:rPr>
        <w:t>כי מיאנה ביבם נמי נישואין קמאי קא עקרא.</w:t>
      </w:r>
      <w:r w:rsidRPr="00012502">
        <w:rPr>
          <w:rFonts w:ascii="Narkisim" w:hAnsi="Narkisim" w:cs="Narkisim"/>
          <w:rtl/>
        </w:rPr>
        <w:t xml:space="preserve"> ה</w:t>
      </w:r>
      <w:r w:rsidRPr="00012502">
        <w:rPr>
          <w:rFonts w:ascii="Narkisim" w:hAnsi="Narkisim" w:cs="Narkisim"/>
          <w:b/>
          <w:bCs/>
          <w:rtl/>
        </w:rPr>
        <w:t>מל"ה</w:t>
      </w:r>
      <w:r w:rsidRPr="00012502">
        <w:rPr>
          <w:rFonts w:ascii="Narkisim" w:hAnsi="Narkisim" w:cs="Narkisim"/>
          <w:rtl/>
        </w:rPr>
        <w:t xml:space="preserve"> הק' דמ"מ נימא כל יבמה וכו' בשעת נפילה, דנאסרה</w:t>
      </w:r>
      <w:r w:rsidRPr="00012502">
        <w:rPr>
          <w:rStyle w:val="ac"/>
          <w:rFonts w:ascii="Narkisim" w:hAnsi="Narkisim" w:cs="Narkisim"/>
          <w:rtl/>
        </w:rPr>
        <w:footnoteReference w:id="697"/>
      </w:r>
      <w:r w:rsidRPr="00012502">
        <w:rPr>
          <w:rFonts w:ascii="Narkisim" w:hAnsi="Narkisim" w:cs="Narkisim"/>
          <w:rtl/>
        </w:rPr>
        <w:t>. ואין לומר דנעקר למפרע, ונתברר דלא היתה אסורה לו. שהרי לא נתברר ע"י המיאון שהיא מותרת לו, ועד עכשיו באמת היתה אסורה</w:t>
      </w:r>
      <w:r w:rsidRPr="00012502">
        <w:rPr>
          <w:rStyle w:val="ac"/>
          <w:rFonts w:ascii="Narkisim" w:hAnsi="Narkisim" w:cs="Narkisim"/>
          <w:rtl/>
        </w:rPr>
        <w:footnoteReference w:id="698"/>
      </w:r>
      <w:r w:rsidRPr="00012502">
        <w:rPr>
          <w:rFonts w:ascii="Narkisim" w:hAnsi="Narkisim" w:cs="Narkisim"/>
          <w:rtl/>
        </w:rPr>
        <w:t>. ונדחק דבלא"ה משני שפיר.</w:t>
      </w:r>
    </w:p>
    <w:p w14:paraId="3B3929D3" w14:textId="77777777" w:rsidR="00BE1D1C" w:rsidRPr="00012502" w:rsidRDefault="00000000" w:rsidP="00012502">
      <w:pPr>
        <w:pStyle w:val="a7"/>
        <w:bidi/>
        <w:rPr>
          <w:rFonts w:ascii="Narkisim" w:hAnsi="Narkisim"/>
        </w:rPr>
      </w:pPr>
      <w:r w:rsidRPr="00012502">
        <w:rPr>
          <w:rFonts w:ascii="Narkisim" w:hAnsi="Narkisim"/>
          <w:rtl/>
        </w:rPr>
        <w:t>ויש שביארו ע"פ יסוד ה</w:t>
      </w:r>
      <w:r w:rsidRPr="00012502">
        <w:rPr>
          <w:rFonts w:ascii="Narkisim" w:hAnsi="Narkisim"/>
          <w:b/>
          <w:bCs/>
          <w:rtl/>
        </w:rPr>
        <w:t>גר"ח</w:t>
      </w:r>
      <w:r w:rsidRPr="00012502">
        <w:rPr>
          <w:rFonts w:ascii="Narkisim" w:hAnsi="Narkisim"/>
          <w:rtl/>
        </w:rPr>
        <w:t xml:space="preserve"> דמיאון אינו עוקר למפרע כמי שלא היתה אשתו, אלא כלפי הדינים דמכאן ולהבא. דה</w:t>
      </w:r>
      <w:r w:rsidRPr="00012502">
        <w:rPr>
          <w:rFonts w:ascii="Narkisim" w:hAnsi="Narkisim"/>
          <w:b/>
          <w:bCs/>
          <w:rtl/>
        </w:rPr>
        <w:t>גר"ח</w:t>
      </w:r>
      <w:r w:rsidRPr="00012502">
        <w:rPr>
          <w:rFonts w:ascii="Narkisim" w:hAnsi="Narkisim"/>
          <w:rtl/>
        </w:rPr>
        <w:t xml:space="preserve"> (</w:t>
      </w:r>
      <w:r w:rsidRPr="00012502">
        <w:rPr>
          <w:rFonts w:ascii="Narkisim" w:hAnsi="Narkisim"/>
          <w:sz w:val="20"/>
          <w:szCs w:val="20"/>
          <w:rtl/>
        </w:rPr>
        <w:t xml:space="preserve">אישות ב ט בסו"ד, יתבאר לקמן קח.) </w:t>
      </w:r>
      <w:r w:rsidRPr="00012502">
        <w:rPr>
          <w:rFonts w:ascii="Narkisim" w:hAnsi="Narkisim"/>
          <w:rtl/>
        </w:rPr>
        <w:t>כת' דאף דמיאון הוה הפקעה על עיקר הקידושין למפרע, אבל לא מהני דנימא שבשעתו לא היה מקודשת [דהא זכה במציאתה ומעש"י, והוה שלו]. אלא דדנים מכאן ולהבא כמי שלא היתה מקודשת מעולם, ומש"ה מותרת בקרובותיה</w:t>
      </w:r>
      <w:r w:rsidRPr="00012502">
        <w:rPr>
          <w:rStyle w:val="ac"/>
          <w:rFonts w:ascii="Narkisim" w:hAnsi="Narkisim"/>
          <w:rtl/>
        </w:rPr>
        <w:footnoteReference w:id="699"/>
      </w:r>
      <w:r w:rsidRPr="00012502">
        <w:rPr>
          <w:rFonts w:ascii="Narkisim" w:hAnsi="Narkisim"/>
          <w:rtl/>
        </w:rPr>
        <w:t>. ועד"ז אף בסוגיין אמרי' דבשעתו היתה אסורה לעולם, אלא דנעקר מכאן ולהבא</w:t>
      </w:r>
      <w:r w:rsidRPr="00012502">
        <w:rPr>
          <w:rStyle w:val="ac"/>
          <w:rFonts w:ascii="Narkisim" w:hAnsi="Narkisim"/>
          <w:rtl/>
        </w:rPr>
        <w:footnoteReference w:id="700"/>
      </w:r>
      <w:r w:rsidRPr="00012502">
        <w:rPr>
          <w:rFonts w:ascii="Narkisim" w:hAnsi="Narkisim"/>
          <w:rtl/>
        </w:rPr>
        <w:t>.</w:t>
      </w:r>
    </w:p>
    <w:p w14:paraId="1B065926" w14:textId="77777777" w:rsidR="00BE1D1C" w:rsidRPr="00012502" w:rsidRDefault="00000000" w:rsidP="00012502">
      <w:pPr>
        <w:bidi/>
        <w:rPr>
          <w:rFonts w:ascii="Narkisim" w:hAnsi="Narkisim" w:cs="Narkisim"/>
        </w:rPr>
      </w:pPr>
      <w:r w:rsidRPr="00012502">
        <w:rPr>
          <w:rFonts w:ascii="Narkisim" w:hAnsi="Narkisim" w:cs="Narkisim"/>
          <w:u w:val="single"/>
          <w:rtl/>
        </w:rPr>
        <w:t>ה"נ משעת נפילה נראית כצרת בתו.</w:t>
      </w:r>
      <w:r w:rsidRPr="00012502">
        <w:rPr>
          <w:rFonts w:ascii="Narkisim" w:hAnsi="Narkisim" w:cs="Narkisim"/>
          <w:rtl/>
        </w:rPr>
        <w:t xml:space="preserve"> וגזרו ממאנת דעלמא אטו צרת בתו ממאנת, והוה גזירה משום דנראית כצרת בתו. ה</w:t>
      </w:r>
      <w:r w:rsidRPr="00012502">
        <w:rPr>
          <w:rFonts w:ascii="Narkisim" w:hAnsi="Narkisim" w:cs="Narkisim"/>
          <w:b/>
          <w:bCs/>
          <w:rtl/>
        </w:rPr>
        <w:t>רשב"א</w:t>
      </w:r>
      <w:r w:rsidRPr="00012502">
        <w:rPr>
          <w:rFonts w:ascii="Narkisim" w:hAnsi="Narkisim" w:cs="Narkisim"/>
          <w:rtl/>
        </w:rPr>
        <w:t xml:space="preserve"> ו</w:t>
      </w:r>
      <w:r w:rsidRPr="00012502">
        <w:rPr>
          <w:rFonts w:ascii="Narkisim" w:hAnsi="Narkisim" w:cs="Narkisim"/>
          <w:b/>
          <w:bCs/>
          <w:rtl/>
        </w:rPr>
        <w:t>ריטב"א</w:t>
      </w:r>
      <w:r w:rsidRPr="00012502">
        <w:rPr>
          <w:rFonts w:ascii="Narkisim" w:hAnsi="Narkisim" w:cs="Narkisim"/>
          <w:rtl/>
        </w:rPr>
        <w:t xml:space="preserve"> ביארו דשמואל ס"ל דכולה חדא גזירה, דאי לא הא לא קיימא הא. אבל רבין א"ר יוחנן (בע"ב) ס"ל דצרת ממאנת מותרת, דהוה גזירה לגזירה.</w:t>
      </w:r>
    </w:p>
    <w:p w14:paraId="5D96C3F2" w14:textId="77777777" w:rsidR="00BE1D1C" w:rsidRPr="00012502" w:rsidRDefault="00000000" w:rsidP="00012502">
      <w:pPr>
        <w:bidi/>
        <w:rPr>
          <w:rFonts w:ascii="Narkisim" w:hAnsi="Narkisim" w:cs="Narkisim"/>
        </w:rPr>
      </w:pPr>
      <w:r w:rsidRPr="00012502">
        <w:rPr>
          <w:rFonts w:ascii="Narkisim" w:hAnsi="Narkisim" w:cs="Narkisim"/>
          <w:u w:val="single"/>
          <w:rtl/>
        </w:rPr>
        <w:t>שם. משעת נפילה נראית וכו'</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(כט. ד"ה אי כר"א) כת' דהך סברא הוה דוקא כשממאנת לאחר מיתת בעלה, דאין נראה כ"כ כעוקרת נישואין קמאי. אבל היכא דאשתו של יבם מיאנה מותר ביבמתו, אף דבשעת נפילה נראית כצרת ערוה.</w:t>
      </w:r>
    </w:p>
    <w:p w14:paraId="7BE7FD24" w14:textId="77777777" w:rsidR="00BE1D1C" w:rsidRPr="00012502" w:rsidRDefault="00000000" w:rsidP="00012502">
      <w:pPr>
        <w:bidi/>
        <w:rPr>
          <w:rFonts w:ascii="Narkisim" w:hAnsi="Narkisim" w:cs="Narkisim"/>
        </w:rPr>
      </w:pPr>
      <w:r w:rsidRPr="00012502">
        <w:rPr>
          <w:rFonts w:ascii="Narkisim" w:hAnsi="Narkisim" w:cs="Narkisim"/>
          <w:u w:val="single"/>
          <w:rtl/>
        </w:rPr>
        <w:t>רש"י ד"ה משום.</w:t>
      </w:r>
      <w:r w:rsidRPr="00012502">
        <w:rPr>
          <w:rFonts w:ascii="Narkisim" w:hAnsi="Narkisim" w:cs="Narkisim"/>
          <w:rtl/>
        </w:rPr>
        <w:t xml:space="preserve"> שנפלה לו ליבום ומיאנה בו, ואין זו צרת ערוה. ה</w:t>
      </w:r>
      <w:r w:rsidRPr="00012502">
        <w:rPr>
          <w:rFonts w:ascii="Narkisim" w:hAnsi="Narkisim" w:cs="Narkisim"/>
          <w:b/>
          <w:bCs/>
          <w:rtl/>
        </w:rPr>
        <w:t>ריטב"א</w:t>
      </w:r>
      <w:r w:rsidRPr="00012502">
        <w:rPr>
          <w:rFonts w:ascii="Narkisim" w:hAnsi="Narkisim" w:cs="Narkisim"/>
          <w:rtl/>
        </w:rPr>
        <w:t xml:space="preserve"> הק' דלא שייך מיאון כלל באביה, שלא היתה זקוקה לו. ותי' דאפ"ה כיון דעשתה מעשה מיאון חשבינן לה כממאנת. ועוד הביא </w:t>
      </w:r>
      <w:r w:rsidRPr="00012502">
        <w:rPr>
          <w:rFonts w:ascii="Narkisim" w:hAnsi="Narkisim" w:cs="Narkisim"/>
          <w:b/>
          <w:bCs/>
          <w:rtl/>
        </w:rPr>
        <w:t>י"מ</w:t>
      </w:r>
      <w:r w:rsidRPr="00012502">
        <w:rPr>
          <w:rFonts w:ascii="Narkisim" w:hAnsi="Narkisim" w:cs="Narkisim"/>
          <w:rtl/>
        </w:rPr>
        <w:t xml:space="preserve"> כשיש שם יבמים אחרים, דאע"ג דמהדין נעקר קידושין ראשונים </w:t>
      </w:r>
      <w:r w:rsidRPr="00012502">
        <w:rPr>
          <w:rFonts w:ascii="Narkisim" w:hAnsi="Narkisim" w:cs="Narkisim"/>
          <w:sz w:val="20"/>
          <w:szCs w:val="20"/>
          <w:rtl/>
        </w:rPr>
        <w:t>[כיון דמיאנה בכל היבמין</w:t>
      </w:r>
      <w:r w:rsidRPr="00012502">
        <w:rPr>
          <w:rStyle w:val="ac"/>
          <w:rFonts w:ascii="Narkisim" w:hAnsi="Narkisim" w:cs="Narkisim"/>
          <w:sz w:val="20"/>
          <w:szCs w:val="20"/>
          <w:rtl/>
        </w:rPr>
        <w:footnoteReference w:id="701"/>
      </w:r>
      <w:r w:rsidRPr="00012502">
        <w:rPr>
          <w:rFonts w:ascii="Narkisim" w:hAnsi="Narkisim" w:cs="Narkisim"/>
          <w:sz w:val="20"/>
          <w:szCs w:val="20"/>
          <w:rtl/>
        </w:rPr>
        <w:t>]</w:t>
      </w:r>
      <w:r w:rsidRPr="00012502">
        <w:rPr>
          <w:rFonts w:ascii="Narkisim" w:hAnsi="Narkisim" w:cs="Narkisim"/>
          <w:rtl/>
        </w:rPr>
        <w:t>, כלפי אביה נחשב דלא נעקר.</w:t>
      </w:r>
    </w:p>
    <w:p w14:paraId="0DE7534E" w14:textId="77777777" w:rsidR="00BE1D1C" w:rsidRPr="00012502" w:rsidRDefault="00000000" w:rsidP="00012502">
      <w:pPr>
        <w:bidi/>
        <w:rPr>
          <w:rFonts w:ascii="Narkisim" w:hAnsi="Narkisim" w:cs="Narkisim"/>
        </w:rPr>
      </w:pPr>
      <w:r w:rsidRPr="00012502">
        <w:rPr>
          <w:rFonts w:ascii="Narkisim" w:hAnsi="Narkisim" w:cs="Narkisim"/>
          <w:u w:val="single"/>
          <w:rtl/>
        </w:rPr>
        <w:t>תוד"ה צרתה.</w:t>
      </w:r>
      <w:r w:rsidRPr="00012502">
        <w:rPr>
          <w:rFonts w:ascii="Narkisim" w:hAnsi="Narkisim" w:cs="Narkisim"/>
          <w:rtl/>
        </w:rPr>
        <w:t xml:space="preserve"> תימה וכו' כיון דממאנת אסורה ליה הו"ל צרתה כצרת ערוה. וצ"ב דכיון דעקרה קידושין אינה צרתה כלל. ויש </w:t>
      </w:r>
      <w:r w:rsidRPr="00012502">
        <w:rPr>
          <w:rFonts w:ascii="Narkisim" w:hAnsi="Narkisim" w:cs="Narkisim"/>
          <w:b/>
          <w:bCs/>
          <w:rtl/>
        </w:rPr>
        <w:t>אחרונים</w:t>
      </w:r>
      <w:r w:rsidRPr="00012502">
        <w:rPr>
          <w:rFonts w:ascii="Narkisim" w:hAnsi="Narkisim" w:cs="Narkisim"/>
          <w:rtl/>
        </w:rPr>
        <w:t xml:space="preserve"> שביארו קו' התוס' דנראית כצרת ערוה. [וע"ע חי' ר' ראובן].</w:t>
      </w:r>
    </w:p>
    <w:p w14:paraId="7E73894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 xml:space="preserve">תוס' </w:t>
      </w:r>
      <w:r w:rsidRPr="00012502">
        <w:rPr>
          <w:rFonts w:ascii="Narkisim" w:hAnsi="Narkisim"/>
          <w:rtl/>
        </w:rPr>
        <w:t>ה</w:t>
      </w:r>
      <w:r w:rsidRPr="00012502">
        <w:rPr>
          <w:rFonts w:ascii="Narkisim" w:hAnsi="Narkisim"/>
          <w:b/>
          <w:bCs/>
          <w:rtl/>
        </w:rPr>
        <w:t>רא"ש</w:t>
      </w:r>
      <w:r w:rsidRPr="00012502">
        <w:rPr>
          <w:rFonts w:ascii="Narkisim" w:hAnsi="Narkisim"/>
          <w:rtl/>
        </w:rPr>
        <w:t xml:space="preserve"> ביאר הקו' דכיון דממאנת הפקיעה ממנה הזיקה, ולא עקרה נישואי קמאי ומש"ה הממאנת אסורה עליו. א"כ צרתה אסורה</w:t>
      </w:r>
      <w:r w:rsidRPr="00012502">
        <w:rPr>
          <w:rStyle w:val="ac"/>
          <w:rFonts w:ascii="Narkisim" w:hAnsi="Narkisim"/>
          <w:rtl/>
        </w:rPr>
        <w:footnoteReference w:id="702"/>
      </w:r>
      <w:r w:rsidRPr="00012502">
        <w:rPr>
          <w:rFonts w:ascii="Narkisim" w:hAnsi="Narkisim"/>
          <w:rtl/>
        </w:rPr>
        <w:t>.</w:t>
      </w:r>
    </w:p>
    <w:p w14:paraId="3167A1D2" w14:textId="77777777" w:rsidR="00BE1D1C" w:rsidRPr="00012502" w:rsidRDefault="00000000" w:rsidP="00012502">
      <w:pPr>
        <w:pStyle w:val="a7"/>
        <w:bidi/>
        <w:rPr>
          <w:rFonts w:ascii="Narkisim" w:hAnsi="Narkisim"/>
        </w:rPr>
      </w:pPr>
      <w:r w:rsidRPr="00012502">
        <w:rPr>
          <w:rFonts w:ascii="Narkisim" w:hAnsi="Narkisim"/>
          <w:rtl/>
        </w:rPr>
        <w:lastRenderedPageBreak/>
        <w:t>וה</w:t>
      </w:r>
      <w:r w:rsidRPr="00012502">
        <w:rPr>
          <w:rFonts w:ascii="Narkisim" w:hAnsi="Narkisim"/>
          <w:b/>
          <w:bCs/>
          <w:rtl/>
        </w:rPr>
        <w:t>ק"נ</w:t>
      </w:r>
      <w:r w:rsidRPr="00012502">
        <w:rPr>
          <w:rFonts w:ascii="Narkisim" w:hAnsi="Narkisim"/>
          <w:rtl/>
        </w:rPr>
        <w:t xml:space="preserve"> (פ) תי' דנחשב שלא במקום מצוה, ולא פטרה צרה </w:t>
      </w:r>
      <w:r w:rsidRPr="00012502">
        <w:rPr>
          <w:rFonts w:ascii="Narkisim" w:hAnsi="Narkisim"/>
          <w:sz w:val="20"/>
          <w:szCs w:val="20"/>
          <w:rtl/>
        </w:rPr>
        <w:t>[וכמו אילונית ע' בסמוך]</w:t>
      </w:r>
      <w:r w:rsidRPr="00012502">
        <w:rPr>
          <w:rFonts w:ascii="Narkisim" w:hAnsi="Narkisim"/>
          <w:rtl/>
        </w:rPr>
        <w:t>.</w:t>
      </w:r>
    </w:p>
    <w:p w14:paraId="6FB7D485"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רש"ש</w:t>
      </w:r>
      <w:r w:rsidRPr="00012502">
        <w:rPr>
          <w:rFonts w:ascii="Narkisim" w:hAnsi="Narkisim"/>
          <w:rtl/>
        </w:rPr>
        <w:t xml:space="preserve"> תי' דכיון דאין עליה איסור אחר מלבד אשת אח לא פטרה צרה</w:t>
      </w:r>
      <w:r w:rsidRPr="00012502">
        <w:rPr>
          <w:rStyle w:val="ac"/>
          <w:rFonts w:ascii="Narkisim" w:hAnsi="Narkisim"/>
          <w:rtl/>
        </w:rPr>
        <w:footnoteReference w:id="703"/>
      </w:r>
      <w:r w:rsidRPr="00012502">
        <w:rPr>
          <w:rFonts w:ascii="Narkisim" w:hAnsi="Narkisim"/>
          <w:rtl/>
        </w:rPr>
        <w:t xml:space="preserve"> </w:t>
      </w:r>
      <w:r w:rsidRPr="00012502">
        <w:rPr>
          <w:rFonts w:ascii="Narkisim" w:hAnsi="Narkisim"/>
          <w:sz w:val="20"/>
          <w:szCs w:val="20"/>
          <w:rtl/>
        </w:rPr>
        <w:t>[כסברת ה</w:t>
      </w:r>
      <w:r w:rsidRPr="00012502">
        <w:rPr>
          <w:rFonts w:ascii="Narkisim" w:hAnsi="Narkisim"/>
          <w:b/>
          <w:bCs/>
          <w:sz w:val="20"/>
          <w:szCs w:val="20"/>
          <w:rtl/>
        </w:rPr>
        <w:t>גר"ח</w:t>
      </w:r>
      <w:r w:rsidRPr="00012502">
        <w:rPr>
          <w:rFonts w:ascii="Narkisim" w:hAnsi="Narkisim"/>
          <w:sz w:val="20"/>
          <w:szCs w:val="20"/>
          <w:rtl/>
        </w:rPr>
        <w:t xml:space="preserve"> דאשת אח דממילא לא פטרה</w:t>
      </w:r>
      <w:r w:rsidRPr="00012502">
        <w:rPr>
          <w:rFonts w:ascii="Narkisim" w:hAnsi="Narkisim"/>
          <w:rtl/>
        </w:rPr>
        <w:t>], וציין לדברי בית שמאי (לקמן יג:).</w:t>
      </w:r>
    </w:p>
    <w:p w14:paraId="7A60ED58"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ערול"נ</w:t>
      </w:r>
      <w:r w:rsidRPr="00012502">
        <w:rPr>
          <w:rFonts w:ascii="Narkisim" w:hAnsi="Narkisim"/>
          <w:rtl/>
        </w:rPr>
        <w:t xml:space="preserve"> תי' דהוה צרת ערוה לאחר נפילה, אף דנעקר האישות למפרע, האיסור חל מכאן ולהבא</w:t>
      </w:r>
      <w:r w:rsidRPr="00012502">
        <w:rPr>
          <w:rFonts w:ascii="Narkisim" w:hAnsi="Narkisim"/>
          <w:sz w:val="20"/>
          <w:szCs w:val="20"/>
          <w:rtl/>
        </w:rPr>
        <w:t xml:space="preserve"> [וכעי"ז כתב ה</w:t>
      </w:r>
      <w:r w:rsidRPr="00012502">
        <w:rPr>
          <w:rFonts w:ascii="Narkisim" w:hAnsi="Narkisim"/>
          <w:b/>
          <w:bCs/>
          <w:sz w:val="20"/>
          <w:szCs w:val="20"/>
          <w:rtl/>
        </w:rPr>
        <w:t>חזו"א</w:t>
      </w:r>
      <w:r w:rsidRPr="00012502">
        <w:rPr>
          <w:rStyle w:val="ac"/>
          <w:rFonts w:ascii="Narkisim" w:hAnsi="Narkisim"/>
          <w:sz w:val="20"/>
          <w:szCs w:val="20"/>
          <w:rtl/>
        </w:rPr>
        <w:footnoteReference w:id="704"/>
      </w:r>
      <w:r w:rsidRPr="00012502">
        <w:rPr>
          <w:rFonts w:ascii="Narkisim" w:hAnsi="Narkisim"/>
          <w:sz w:val="20"/>
          <w:szCs w:val="20"/>
          <w:rtl/>
        </w:rPr>
        <w:t>]</w:t>
      </w:r>
      <w:r w:rsidRPr="00012502">
        <w:rPr>
          <w:rFonts w:ascii="Narkisim" w:hAnsi="Narkisim"/>
          <w:rtl/>
        </w:rPr>
        <w:t>.</w:t>
      </w:r>
    </w:p>
    <w:p w14:paraId="737E530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אבי עזרי</w:t>
      </w:r>
      <w:r w:rsidRPr="00012502">
        <w:rPr>
          <w:rFonts w:ascii="Narkisim" w:hAnsi="Narkisim"/>
          <w:rtl/>
        </w:rPr>
        <w:t xml:space="preserve"> </w:t>
      </w:r>
      <w:r w:rsidRPr="00012502">
        <w:rPr>
          <w:rFonts w:ascii="Narkisim" w:hAnsi="Narkisim"/>
          <w:sz w:val="20"/>
          <w:szCs w:val="20"/>
          <w:rtl/>
        </w:rPr>
        <w:t>(גירושין א יז וכעי"ז ב</w:t>
      </w:r>
      <w:r w:rsidRPr="00012502">
        <w:rPr>
          <w:rFonts w:ascii="Narkisim" w:hAnsi="Narkisim"/>
          <w:b/>
          <w:bCs/>
          <w:sz w:val="20"/>
          <w:szCs w:val="20"/>
          <w:rtl/>
        </w:rPr>
        <w:t>גרנ"ט</w:t>
      </w:r>
      <w:r w:rsidRPr="00012502">
        <w:rPr>
          <w:rFonts w:ascii="Narkisim" w:hAnsi="Narkisim"/>
          <w:sz w:val="20"/>
          <w:szCs w:val="20"/>
          <w:rtl/>
        </w:rPr>
        <w:t>)</w:t>
      </w:r>
      <w:r w:rsidRPr="00012502">
        <w:rPr>
          <w:rFonts w:ascii="Narkisim" w:hAnsi="Narkisim"/>
          <w:rtl/>
        </w:rPr>
        <w:t xml:space="preserve"> כתב דכשממאנת ביבם א', מהני רק עד כמה שהוא ייבם. אבל כלפי אחיו ל"מ כלל המיאון, ואינה צרת ערוה.</w:t>
      </w:r>
    </w:p>
    <w:p w14:paraId="50455DA9"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בי"ש</w:t>
      </w:r>
      <w:r w:rsidRPr="00012502">
        <w:rPr>
          <w:rFonts w:ascii="Narkisim" w:hAnsi="Narkisim"/>
          <w:rtl/>
        </w:rPr>
        <w:t xml:space="preserve"> (</w:t>
      </w:r>
      <w:r w:rsidRPr="00012502">
        <w:rPr>
          <w:rFonts w:ascii="Narkisim" w:hAnsi="Narkisim"/>
          <w:sz w:val="20"/>
          <w:szCs w:val="20"/>
          <w:rtl/>
        </w:rPr>
        <w:t>קעג</w:t>
      </w:r>
      <w:r w:rsidRPr="00012502">
        <w:rPr>
          <w:rFonts w:ascii="Narkisim" w:hAnsi="Narkisim"/>
          <w:rtl/>
        </w:rPr>
        <w:t xml:space="preserve"> </w:t>
      </w:r>
      <w:r w:rsidRPr="00012502">
        <w:rPr>
          <w:rFonts w:ascii="Narkisim" w:hAnsi="Narkisim"/>
          <w:sz w:val="20"/>
          <w:szCs w:val="20"/>
          <w:rtl/>
        </w:rPr>
        <w:t>יט)</w:t>
      </w:r>
      <w:r w:rsidRPr="00012502">
        <w:rPr>
          <w:rFonts w:ascii="Narkisim" w:hAnsi="Narkisim"/>
          <w:rtl/>
        </w:rPr>
        <w:t xml:space="preserve"> תי' דהממאנת מדינא מותרת, דעקרה לנישואין ראשונים, א"כ לא גרע מצרת חיי"ל ושניות דמותרות להתייבם</w:t>
      </w:r>
      <w:r w:rsidRPr="00012502">
        <w:rPr>
          <w:rStyle w:val="ac"/>
          <w:rFonts w:ascii="Narkisim" w:hAnsi="Narkisim"/>
          <w:rtl/>
        </w:rPr>
        <w:footnoteReference w:id="705"/>
      </w:r>
      <w:r w:rsidRPr="00012502">
        <w:rPr>
          <w:rFonts w:ascii="Narkisim" w:hAnsi="Narkisim"/>
          <w:rtl/>
        </w:rPr>
        <w:t>.</w:t>
      </w:r>
    </w:p>
    <w:p w14:paraId="1026F5F0" w14:textId="77777777" w:rsidR="00BE1D1C" w:rsidRPr="00012502" w:rsidRDefault="00000000" w:rsidP="00012502">
      <w:pPr>
        <w:pStyle w:val="2"/>
        <w:bidi/>
        <w:rPr>
          <w:rFonts w:ascii="Narkisim" w:hAnsi="Narkisim"/>
        </w:rPr>
      </w:pPr>
      <w:r w:rsidRPr="00012502">
        <w:rPr>
          <w:rFonts w:ascii="Narkisim" w:hAnsi="Narkisim"/>
          <w:rtl/>
        </w:rPr>
        <w:t>צרת אילונית</w:t>
      </w:r>
    </w:p>
    <w:p w14:paraId="41B5ADFC" w14:textId="77777777" w:rsidR="00BE1D1C" w:rsidRPr="00012502" w:rsidRDefault="00000000" w:rsidP="00012502">
      <w:pPr>
        <w:pStyle w:val="aa"/>
        <w:bidi/>
        <w:rPr>
          <w:rFonts w:ascii="Narkisim" w:hAnsi="Narkisim"/>
        </w:rPr>
      </w:pPr>
      <w:r w:rsidRPr="00012502">
        <w:rPr>
          <w:rFonts w:ascii="Narkisim" w:hAnsi="Narkisim"/>
          <w:u w:val="single"/>
          <w:rtl/>
        </w:rPr>
        <w:t>אמר רב אסי צרת אילונית אסורה, שנאמר והיה הבכור אשר תלד</w:t>
      </w:r>
      <w:r w:rsidRPr="00012502">
        <w:rPr>
          <w:rStyle w:val="ac"/>
          <w:rFonts w:ascii="Narkisim" w:hAnsi="Narkisim"/>
          <w:u w:val="single"/>
          <w:rtl/>
        </w:rPr>
        <w:footnoteReference w:id="706"/>
      </w:r>
      <w:r w:rsidRPr="00012502">
        <w:rPr>
          <w:rFonts w:ascii="Narkisim" w:hAnsi="Narkisim"/>
          <w:u w:val="single"/>
          <w:rtl/>
        </w:rPr>
        <w:t xml:space="preserve"> וכו'.</w:t>
      </w:r>
      <w:r w:rsidRPr="00012502">
        <w:rPr>
          <w:rFonts w:ascii="Narkisim" w:hAnsi="Narkisim"/>
          <w:rtl/>
        </w:rPr>
        <w:t xml:space="preserve"> וכדאי' במשנה (עט:) דאילונית אינה חולצת ולא מתייבמת, ואם חלצו לה אחין לא נפסלה לכהונה. וע"כ טעם הפטור מדילפי' והיה הבכור.</w:t>
      </w:r>
    </w:p>
    <w:p w14:paraId="71E0866B" w14:textId="77777777" w:rsidR="00BE1D1C" w:rsidRPr="00012502" w:rsidRDefault="00000000" w:rsidP="00012502">
      <w:pPr>
        <w:pStyle w:val="a8"/>
        <w:bidi/>
        <w:rPr>
          <w:rFonts w:ascii="Narkisim" w:hAnsi="Narkisim"/>
        </w:rPr>
      </w:pPr>
      <w:r w:rsidRPr="00012502">
        <w:rPr>
          <w:rFonts w:ascii="Narkisim" w:hAnsi="Narkisim"/>
          <w:rtl/>
        </w:rPr>
        <w:t>ולפ"ז רב אסי חידש דאילונית פוטרת צרתה, וצ"ב אמאי הביא קרא דוהיה הבכור, דקאי אעיקר הפטור. ועיקר הפטור נלמד מהמשנה, ומהפסוק ליכא ילפותא לפטור צרה, ובמה שייך לרב אשי.</w:t>
      </w:r>
    </w:p>
    <w:p w14:paraId="4D91A9F6"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(סוטה ה: ד"ה אילו) הק' מנ"ל דאילונית אי"צ חליצה, ונהי דנתמעטה מיבום, האיך תצא בלא חליצה</w:t>
      </w:r>
      <w:r w:rsidRPr="00012502">
        <w:rPr>
          <w:rStyle w:val="ac"/>
          <w:rFonts w:ascii="Narkisim" w:hAnsi="Narkisim"/>
          <w:rtl/>
        </w:rPr>
        <w:footnoteReference w:id="707"/>
      </w:r>
      <w:r w:rsidRPr="00012502">
        <w:rPr>
          <w:rFonts w:ascii="Narkisim" w:hAnsi="Narkisim"/>
          <w:rtl/>
        </w:rPr>
        <w:t>. ותוס' תי' דכיון דנתמעט מדין יבום, דל"צ יבום כלל [ממילא פטורה].</w:t>
      </w:r>
    </w:p>
    <w:p w14:paraId="68321C34" w14:textId="77777777" w:rsidR="00BE1D1C" w:rsidRPr="00012502" w:rsidRDefault="00000000" w:rsidP="00012502">
      <w:pPr>
        <w:bidi/>
        <w:rPr>
          <w:rFonts w:ascii="Narkisim" w:hAnsi="Narkisim" w:cs="Narkisim"/>
        </w:rPr>
      </w:pPr>
      <w:r w:rsidRPr="00012502">
        <w:rPr>
          <w:rFonts w:ascii="Narkisim" w:hAnsi="Narkisim" w:cs="Narkisim"/>
          <w:u w:val="single"/>
          <w:rtl/>
        </w:rPr>
        <w:t>שם. צרת אילונית</w:t>
      </w:r>
      <w:r w:rsidRPr="00012502">
        <w:rPr>
          <w:rFonts w:ascii="Narkisim" w:hAnsi="Narkisim" w:cs="Narkisim"/>
          <w:rtl/>
        </w:rPr>
        <w:t>. ופ</w:t>
      </w:r>
      <w:r w:rsidRPr="00012502">
        <w:rPr>
          <w:rFonts w:ascii="Narkisim" w:hAnsi="Narkisim" w:cs="Narkisim"/>
          <w:b/>
          <w:bCs/>
          <w:rtl/>
        </w:rPr>
        <w:t>רש"י</w:t>
      </w:r>
      <w:r w:rsidRPr="00012502">
        <w:rPr>
          <w:rFonts w:ascii="Narkisim" w:hAnsi="Narkisim" w:cs="Narkisim"/>
          <w:rtl/>
        </w:rPr>
        <w:t xml:space="preserve"> כיון דפטורה קיימא עליה באשת אח</w:t>
      </w:r>
      <w:r w:rsidRPr="00012502">
        <w:rPr>
          <w:rStyle w:val="ac"/>
          <w:rFonts w:ascii="Narkisim" w:hAnsi="Narkisim" w:cs="Narkisim"/>
          <w:rtl/>
        </w:rPr>
        <w:footnoteReference w:id="708"/>
      </w:r>
      <w:r w:rsidRPr="00012502">
        <w:rPr>
          <w:rFonts w:ascii="Narkisim" w:hAnsi="Narkisim" w:cs="Narkisim"/>
          <w:rtl/>
        </w:rPr>
        <w:t>, וצרתה צרת ערוה.</w:t>
      </w:r>
    </w:p>
    <w:p w14:paraId="6570EEEC"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(לקמן נד:) כת' דאף לצד דאשת אח שאין לה בנים מותרת לגמרי [אף בלא מצוות יבום</w:t>
      </w:r>
      <w:r w:rsidRPr="00012502">
        <w:rPr>
          <w:rStyle w:val="ac"/>
          <w:rFonts w:ascii="Narkisim" w:hAnsi="Narkisim"/>
          <w:rtl/>
        </w:rPr>
        <w:footnoteReference w:id="709"/>
      </w:r>
      <w:r w:rsidRPr="00012502">
        <w:rPr>
          <w:rFonts w:ascii="Narkisim" w:hAnsi="Narkisim"/>
          <w:rtl/>
        </w:rPr>
        <w:t>], אפ"ה שאני סריס ואילונית דליכא בהו צד יבום כלל.</w:t>
      </w:r>
    </w:p>
    <w:p w14:paraId="388AD37D" w14:textId="77777777" w:rsidR="00BE1D1C" w:rsidRPr="00012502" w:rsidRDefault="00000000" w:rsidP="00012502">
      <w:pPr>
        <w:bidi/>
        <w:rPr>
          <w:rFonts w:ascii="Narkisim" w:hAnsi="Narkisim" w:cs="Narkisim"/>
        </w:rPr>
      </w:pPr>
      <w:r w:rsidRPr="00012502">
        <w:rPr>
          <w:rFonts w:ascii="Narkisim" w:hAnsi="Narkisim" w:cs="Narkisim"/>
          <w:rtl/>
        </w:rPr>
        <w:t>ו</w:t>
      </w:r>
      <w:r w:rsidRPr="00012502">
        <w:rPr>
          <w:rFonts w:ascii="Narkisim" w:hAnsi="Narkisim" w:cs="Narkisim"/>
          <w:b/>
          <w:bCs/>
          <w:rtl/>
        </w:rPr>
        <w:t>תוס</w:t>
      </w:r>
      <w:r w:rsidRPr="00012502">
        <w:rPr>
          <w:rFonts w:ascii="Narkisim" w:hAnsi="Narkisim" w:cs="Narkisim"/>
          <w:rtl/>
        </w:rPr>
        <w:t>' (לקמן לב. ד"ה לא) הביאו מאילונית דפוטרת צרתה [לרב אסי] אע"ג דאין לה אלא איסור אשת אח. וכ"כ ה</w:t>
      </w:r>
      <w:r w:rsidRPr="00012502">
        <w:rPr>
          <w:rFonts w:ascii="Narkisim" w:hAnsi="Narkisim" w:cs="Narkisim"/>
          <w:b/>
          <w:bCs/>
          <w:rtl/>
        </w:rPr>
        <w:t>ראשונים</w:t>
      </w:r>
      <w:r w:rsidRPr="00012502">
        <w:rPr>
          <w:rFonts w:ascii="Narkisim" w:hAnsi="Narkisim" w:cs="Narkisim"/>
          <w:rtl/>
        </w:rPr>
        <w:t xml:space="preserve"> [וכ"מ ב</w:t>
      </w:r>
      <w:r w:rsidRPr="00012502">
        <w:rPr>
          <w:rFonts w:ascii="Narkisim" w:hAnsi="Narkisim" w:cs="Narkisim"/>
          <w:b/>
          <w:bCs/>
          <w:rtl/>
        </w:rPr>
        <w:t>גמ'</w:t>
      </w:r>
      <w:r w:rsidRPr="00012502">
        <w:rPr>
          <w:rFonts w:ascii="Narkisim" w:hAnsi="Narkisim" w:cs="Narkisim"/>
          <w:rtl/>
        </w:rPr>
        <w:t xml:space="preserve"> בסמוך]. וכ"כ </w:t>
      </w:r>
      <w:r w:rsidRPr="00012502">
        <w:rPr>
          <w:rFonts w:ascii="Narkisim" w:hAnsi="Narkisim" w:cs="Narkisim"/>
          <w:b/>
          <w:bCs/>
          <w:rtl/>
        </w:rPr>
        <w:t>תוס</w:t>
      </w:r>
      <w:r w:rsidRPr="00012502">
        <w:rPr>
          <w:rFonts w:ascii="Narkisim" w:hAnsi="Narkisim" w:cs="Narkisim"/>
          <w:rtl/>
        </w:rPr>
        <w:t>' (ח. ד"ה תרי) דכיון דהיא ממ"נ אסורה</w:t>
      </w:r>
      <w:r w:rsidRPr="00012502">
        <w:rPr>
          <w:rStyle w:val="ac"/>
          <w:rFonts w:ascii="Narkisim" w:hAnsi="Narkisim" w:cs="Narkisim"/>
          <w:rtl/>
        </w:rPr>
        <w:footnoteReference w:id="710"/>
      </w:r>
      <w:r w:rsidRPr="00012502">
        <w:rPr>
          <w:rFonts w:ascii="Narkisim" w:hAnsi="Narkisim" w:cs="Narkisim"/>
          <w:rtl/>
        </w:rPr>
        <w:t xml:space="preserve"> [דנתמעטה מיבום].</w:t>
      </w:r>
    </w:p>
    <w:p w14:paraId="40E030A3"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ראשונים</w:t>
      </w:r>
      <w:r w:rsidRPr="00012502">
        <w:rPr>
          <w:rFonts w:ascii="Narkisim" w:hAnsi="Narkisim"/>
          <w:rtl/>
        </w:rPr>
        <w:t xml:space="preserve"> הביאו דמשמע ב</w:t>
      </w:r>
      <w:r w:rsidRPr="00012502">
        <w:rPr>
          <w:rFonts w:ascii="Narkisim" w:hAnsi="Narkisim"/>
          <w:b/>
          <w:bCs/>
          <w:rtl/>
        </w:rPr>
        <w:t>בה"ג</w:t>
      </w:r>
      <w:r w:rsidRPr="00012502">
        <w:rPr>
          <w:rFonts w:ascii="Narkisim" w:hAnsi="Narkisim"/>
          <w:rtl/>
        </w:rPr>
        <w:t xml:space="preserve"> דה'שם אילונית' פוטר מצד עצמו, דומיא דערוה. [וצ"ב מנלן].</w:t>
      </w:r>
    </w:p>
    <w:p w14:paraId="73B6A8F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אמר"מ</w:t>
      </w:r>
      <w:r w:rsidRPr="00012502">
        <w:rPr>
          <w:rFonts w:ascii="Narkisim" w:hAnsi="Narkisim"/>
          <w:sz w:val="20"/>
          <w:szCs w:val="20"/>
          <w:rtl/>
        </w:rPr>
        <w:t xml:space="preserve"> (ז ג)</w:t>
      </w:r>
      <w:r w:rsidRPr="00012502">
        <w:rPr>
          <w:rFonts w:ascii="Narkisim" w:hAnsi="Narkisim"/>
          <w:rtl/>
        </w:rPr>
        <w:t xml:space="preserve"> כת' דרב אסי פליג איסוד הגר"ח דערות אשת אח דנפילה זו [דממילא] אינה פוטרת צרה. ובזה פליג רבא </w:t>
      </w:r>
      <w:r w:rsidRPr="00012502">
        <w:rPr>
          <w:rFonts w:ascii="Narkisim" w:hAnsi="Narkisim"/>
          <w:sz w:val="20"/>
          <w:szCs w:val="20"/>
          <w:rtl/>
        </w:rPr>
        <w:t>[בע"ב, וכ"מ בירושלמי]</w:t>
      </w:r>
      <w:r w:rsidRPr="00012502">
        <w:rPr>
          <w:rFonts w:ascii="Narkisim" w:hAnsi="Narkisim"/>
          <w:rtl/>
        </w:rPr>
        <w:t>. אבל ה</w:t>
      </w:r>
      <w:r w:rsidRPr="00012502">
        <w:rPr>
          <w:rFonts w:ascii="Narkisim" w:hAnsi="Narkisim"/>
          <w:b/>
          <w:bCs/>
          <w:rtl/>
        </w:rPr>
        <w:t>קובה"ע</w:t>
      </w:r>
      <w:r w:rsidRPr="00012502">
        <w:rPr>
          <w:rFonts w:ascii="Narkisim" w:hAnsi="Narkisim"/>
          <w:rtl/>
        </w:rPr>
        <w:t xml:space="preserve"> (ב ד) כת' דשאני אילונית דאינה ראויה כלל ליבום, ולא נפלה כלל </w:t>
      </w:r>
      <w:r w:rsidRPr="00012502">
        <w:rPr>
          <w:rFonts w:ascii="Narkisim" w:hAnsi="Narkisim"/>
          <w:sz w:val="20"/>
          <w:szCs w:val="20"/>
          <w:rtl/>
        </w:rPr>
        <w:t>[וכאשת אח שיש לה בנים. וכמ"ש הרמב"ן נד: הנ"ל].</w:t>
      </w:r>
    </w:p>
    <w:p w14:paraId="417CFE12" w14:textId="77777777" w:rsidR="00BE1D1C" w:rsidRPr="00012502" w:rsidRDefault="00000000" w:rsidP="00012502">
      <w:pPr>
        <w:bidi/>
        <w:rPr>
          <w:rFonts w:ascii="Narkisim" w:hAnsi="Narkisim" w:cs="Narkisim"/>
        </w:rPr>
      </w:pPr>
      <w:r w:rsidRPr="00012502">
        <w:rPr>
          <w:rFonts w:ascii="Narkisim" w:hAnsi="Narkisim" w:cs="Narkisim"/>
          <w:u w:val="single"/>
          <w:rtl/>
        </w:rPr>
        <w:t>זו היא צרת אשת אח מאב</w:t>
      </w:r>
      <w:r w:rsidRPr="00012502">
        <w:rPr>
          <w:rStyle w:val="ac"/>
          <w:rFonts w:ascii="Narkisim" w:hAnsi="Narkisim" w:cs="Narkisim"/>
          <w:u w:val="single"/>
          <w:rtl/>
        </w:rPr>
        <w:footnoteReference w:id="711"/>
      </w:r>
      <w:r w:rsidRPr="00012502">
        <w:rPr>
          <w:rFonts w:ascii="Narkisim" w:hAnsi="Narkisim" w:cs="Narkisim"/>
          <w:u w:val="single"/>
          <w:rtl/>
        </w:rPr>
        <w:t xml:space="preserve"> וכו' למעוטי וכו'.</w:t>
      </w:r>
      <w:r w:rsidRPr="00012502">
        <w:rPr>
          <w:rFonts w:ascii="Narkisim" w:hAnsi="Narkisim" w:cs="Narkisim"/>
          <w:rtl/>
        </w:rPr>
        <w:t xml:space="preserve"> ה</w:t>
      </w:r>
      <w:r w:rsidRPr="00012502">
        <w:rPr>
          <w:rFonts w:ascii="Narkisim" w:hAnsi="Narkisim" w:cs="Narkisim"/>
          <w:b/>
          <w:bCs/>
          <w:rtl/>
        </w:rPr>
        <w:t>תו"י</w:t>
      </w:r>
      <w:r w:rsidRPr="00012502">
        <w:rPr>
          <w:rFonts w:ascii="Narkisim" w:hAnsi="Narkisim" w:cs="Narkisim"/>
          <w:rtl/>
        </w:rPr>
        <w:t xml:space="preserve"> ביאר דכוונת הגמ' למעוטי מה שאסורה משום אשת אח מאב, ולא ערוה אחרת</w:t>
      </w:r>
      <w:r w:rsidRPr="00012502">
        <w:rPr>
          <w:rStyle w:val="ac"/>
          <w:rFonts w:ascii="Narkisim" w:hAnsi="Narkisim" w:cs="Narkisim"/>
          <w:rtl/>
        </w:rPr>
        <w:footnoteReference w:id="712"/>
      </w:r>
      <w:r w:rsidRPr="00012502">
        <w:rPr>
          <w:rFonts w:ascii="Narkisim" w:hAnsi="Narkisim" w:cs="Narkisim"/>
          <w:rtl/>
        </w:rPr>
        <w:t xml:space="preserve">. ולכן לא אמרי' למעוטי צרת סוטה ומחזיר גרושתו. אבל </w:t>
      </w:r>
      <w:r w:rsidRPr="00012502">
        <w:rPr>
          <w:rFonts w:ascii="Narkisim" w:hAnsi="Narkisim" w:cs="Narkisim"/>
          <w:b/>
          <w:bCs/>
          <w:rtl/>
        </w:rPr>
        <w:t>תוס</w:t>
      </w:r>
      <w:r w:rsidRPr="00012502">
        <w:rPr>
          <w:rFonts w:ascii="Narkisim" w:hAnsi="Narkisim" w:cs="Narkisim"/>
          <w:rtl/>
        </w:rPr>
        <w:t xml:space="preserve">' (ד"ה מאי) הק' אמאי לא ממעטינן, ומשמע דקושיית הגמ' מכ"מ דיש פטור </w:t>
      </w:r>
      <w:r w:rsidRPr="00012502">
        <w:rPr>
          <w:rFonts w:ascii="Narkisim" w:hAnsi="Narkisim" w:cs="Narkisim"/>
          <w:rtl/>
        </w:rPr>
        <w:lastRenderedPageBreak/>
        <w:t>באשת אח, אף דסיבת הפטור מחמת דבר אחר.</w:t>
      </w:r>
    </w:p>
    <w:p w14:paraId="732BD992" w14:textId="77777777" w:rsidR="00BE1D1C" w:rsidRPr="00012502" w:rsidRDefault="00000000" w:rsidP="00012502">
      <w:pPr>
        <w:bidi/>
        <w:rPr>
          <w:rFonts w:ascii="Narkisim" w:hAnsi="Narkisim" w:cs="Narkisim"/>
        </w:rPr>
      </w:pPr>
      <w:r w:rsidRPr="00012502">
        <w:rPr>
          <w:rFonts w:ascii="Narkisim" w:hAnsi="Narkisim" w:cs="Narkisim"/>
          <w:u w:val="single"/>
          <w:rtl/>
        </w:rPr>
        <w:t>מאי לאו למעוטי צרת אילונית דשריא וכו'</w:t>
      </w:r>
      <w:r w:rsidRPr="00012502">
        <w:rPr>
          <w:rFonts w:ascii="Narkisim" w:hAnsi="Narkisim" w:cs="Narkisim"/>
          <w:rtl/>
        </w:rPr>
        <w:t>. וכ"ד רבא (בע"ב) דצרת אילונית מותרת. ו</w:t>
      </w:r>
      <w:r w:rsidRPr="00012502">
        <w:rPr>
          <w:rFonts w:ascii="Narkisim" w:hAnsi="Narkisim" w:cs="Narkisim"/>
          <w:b/>
          <w:bCs/>
          <w:rtl/>
        </w:rPr>
        <w:t>תוס'</w:t>
      </w:r>
      <w:r w:rsidRPr="00012502">
        <w:rPr>
          <w:rFonts w:ascii="Narkisim" w:hAnsi="Narkisim" w:cs="Narkisim"/>
          <w:rtl/>
        </w:rPr>
        <w:t xml:space="preserve"> (ח. ד"ה תרי) פי' דאילונית אינה בת יבום בשום מקום, ומש"ה חשיבא צרת ערוה שלא במקום מצווה. דאין כאן נפילה ליבום כלל (וע' בסמוך).</w:t>
      </w:r>
    </w:p>
    <w:p w14:paraId="7446987E" w14:textId="77777777" w:rsidR="00BE1D1C" w:rsidRPr="00012502" w:rsidRDefault="00000000" w:rsidP="00012502">
      <w:pPr>
        <w:pStyle w:val="aa"/>
        <w:bidi/>
        <w:rPr>
          <w:rFonts w:ascii="Narkisim" w:hAnsi="Narkisim"/>
        </w:rPr>
      </w:pPr>
      <w:r w:rsidRPr="00012502">
        <w:rPr>
          <w:rFonts w:ascii="Narkisim" w:hAnsi="Narkisim"/>
          <w:u w:val="single"/>
          <w:rtl/>
        </w:rPr>
        <w:t>תנן וכולן וכו' או שנמצאו אילונית צרותיהן מותרות וכו' כאן שלא הכיר בה</w:t>
      </w:r>
      <w:r w:rsidRPr="00012502">
        <w:rPr>
          <w:rFonts w:ascii="Narkisim" w:hAnsi="Narkisim"/>
          <w:rtl/>
        </w:rPr>
        <w:t>. פ</w:t>
      </w:r>
      <w:r w:rsidRPr="00012502">
        <w:rPr>
          <w:rFonts w:ascii="Narkisim" w:hAnsi="Narkisim"/>
          <w:b/>
          <w:bCs/>
          <w:rtl/>
        </w:rPr>
        <w:t>רש"י</w:t>
      </w:r>
      <w:r w:rsidRPr="00012502">
        <w:rPr>
          <w:rFonts w:ascii="Narkisim" w:hAnsi="Narkisim"/>
          <w:rtl/>
        </w:rPr>
        <w:t xml:space="preserve"> ומקחו מקח טעות, ולאו אשתו היא, לפיכך צרתה מותרת וכו'. ו</w:t>
      </w:r>
      <w:r w:rsidRPr="00012502">
        <w:rPr>
          <w:rFonts w:ascii="Narkisim" w:hAnsi="Narkisim"/>
          <w:b/>
          <w:bCs/>
          <w:rtl/>
        </w:rPr>
        <w:t>תוס</w:t>
      </w:r>
      <w:r w:rsidRPr="00012502">
        <w:rPr>
          <w:rFonts w:ascii="Narkisim" w:hAnsi="Narkisim"/>
          <w:rtl/>
        </w:rPr>
        <w:t>' (לעיל ב:) הביאו לפ"ז דאילונית הוה מקח טעות. [עי"ש שהאריכו]. וה</w:t>
      </w:r>
      <w:r w:rsidRPr="00012502">
        <w:rPr>
          <w:rFonts w:ascii="Narkisim" w:hAnsi="Narkisim"/>
          <w:b/>
          <w:bCs/>
          <w:rtl/>
        </w:rPr>
        <w:t>ראשונים</w:t>
      </w:r>
      <w:r w:rsidRPr="00012502">
        <w:rPr>
          <w:rFonts w:ascii="Narkisim" w:hAnsi="Narkisim"/>
          <w:rtl/>
        </w:rPr>
        <w:t xml:space="preserve"> הביאו בשם </w:t>
      </w:r>
      <w:r w:rsidRPr="00012502">
        <w:rPr>
          <w:rFonts w:ascii="Narkisim" w:hAnsi="Narkisim"/>
          <w:b/>
          <w:bCs/>
          <w:rtl/>
        </w:rPr>
        <w:t>ר"ת</w:t>
      </w:r>
      <w:r w:rsidRPr="00012502">
        <w:rPr>
          <w:rFonts w:ascii="Narkisim" w:hAnsi="Narkisim"/>
          <w:rtl/>
        </w:rPr>
        <w:t xml:space="preserve"> דרבא (בסמוך) פליג.</w:t>
      </w:r>
    </w:p>
    <w:p w14:paraId="53550DB0" w14:textId="77777777" w:rsidR="00BE1D1C" w:rsidRPr="00012502" w:rsidRDefault="00000000" w:rsidP="00012502">
      <w:pPr>
        <w:pStyle w:val="aa"/>
        <w:bidi/>
        <w:rPr>
          <w:rFonts w:ascii="Narkisim" w:hAnsi="Narkisim"/>
        </w:rPr>
      </w:pPr>
      <w:r w:rsidRPr="00012502">
        <w:rPr>
          <w:rFonts w:ascii="Narkisim" w:hAnsi="Narkisim"/>
          <w:u w:val="single"/>
          <w:rtl/>
        </w:rPr>
        <w:t>תוד"ה תני.</w:t>
      </w:r>
      <w:r w:rsidRPr="00012502">
        <w:rPr>
          <w:rFonts w:ascii="Narkisim" w:hAnsi="Narkisim"/>
          <w:rtl/>
        </w:rPr>
        <w:t xml:space="preserve"> בשעת נפילה נראית כצרת בתו וכו' וא"ת מ"ש אילונית וכו'. ה</w:t>
      </w:r>
      <w:r w:rsidRPr="00012502">
        <w:rPr>
          <w:rFonts w:ascii="Narkisim" w:hAnsi="Narkisim"/>
          <w:b/>
          <w:bCs/>
          <w:rtl/>
        </w:rPr>
        <w:t>אחרונים</w:t>
      </w:r>
      <w:r w:rsidRPr="00012502">
        <w:rPr>
          <w:rFonts w:ascii="Narkisim" w:hAnsi="Narkisim"/>
          <w:rtl/>
        </w:rPr>
        <w:t xml:space="preserve"> נתקשו דבממאנת נעקר הנישואין, אבל בזמנו [נראית] אשתו גמורה, ואילו היא אשתו הוה צרת ערוה. אבל אילונית לרבא אף אם ידע יש פטור. [וצ"ב דברי התוס'].</w:t>
      </w:r>
    </w:p>
    <w:p w14:paraId="00FAF2C8" w14:textId="77777777" w:rsidR="00BE1D1C" w:rsidRPr="00012502" w:rsidRDefault="00000000" w:rsidP="00012502">
      <w:pPr>
        <w:pStyle w:val="3"/>
        <w:bidi/>
        <w:rPr>
          <w:rFonts w:ascii="Narkisim" w:hAnsi="Narkisim"/>
        </w:rPr>
      </w:pPr>
      <w:r w:rsidRPr="00012502">
        <w:rPr>
          <w:rFonts w:ascii="Narkisim" w:hAnsi="Narkisim"/>
          <w:rtl/>
        </w:rPr>
        <w:t>דף יב:</w:t>
      </w:r>
    </w:p>
    <w:p w14:paraId="36408DF7" w14:textId="77777777" w:rsidR="00BE1D1C" w:rsidRPr="00012502" w:rsidRDefault="00000000" w:rsidP="00012502">
      <w:pPr>
        <w:bidi/>
        <w:rPr>
          <w:rFonts w:ascii="Narkisim" w:hAnsi="Narkisim" w:cs="Narkisim"/>
        </w:rPr>
      </w:pPr>
      <w:r w:rsidRPr="00012502">
        <w:rPr>
          <w:rFonts w:ascii="Narkisim" w:hAnsi="Narkisim" w:cs="Narkisim"/>
          <w:u w:val="single"/>
          <w:rtl/>
        </w:rPr>
        <w:t>הילכתא צרת אילונית מותרת.</w:t>
      </w:r>
      <w:r w:rsidRPr="00012502">
        <w:rPr>
          <w:rFonts w:ascii="Narkisim" w:hAnsi="Narkisim" w:cs="Narkisim"/>
          <w:rtl/>
        </w:rPr>
        <w:t xml:space="preserve"> וה</w:t>
      </w:r>
      <w:r w:rsidRPr="00012502">
        <w:rPr>
          <w:rFonts w:ascii="Narkisim" w:hAnsi="Narkisim" w:cs="Narkisim"/>
          <w:b/>
          <w:bCs/>
          <w:rtl/>
        </w:rPr>
        <w:t>רמב"ן</w:t>
      </w:r>
      <w:r w:rsidRPr="00012502">
        <w:rPr>
          <w:rFonts w:ascii="Narkisim" w:hAnsi="Narkisim" w:cs="Narkisim"/>
          <w:rtl/>
        </w:rPr>
        <w:t xml:space="preserve"> הביא דה</w:t>
      </w:r>
      <w:r w:rsidRPr="00012502">
        <w:rPr>
          <w:rFonts w:ascii="Narkisim" w:hAnsi="Narkisim" w:cs="Narkisim"/>
          <w:b/>
          <w:bCs/>
          <w:rtl/>
        </w:rPr>
        <w:t xml:space="preserve">ירושלמי </w:t>
      </w:r>
      <w:r w:rsidRPr="00012502">
        <w:rPr>
          <w:rFonts w:ascii="Narkisim" w:hAnsi="Narkisim" w:cs="Narkisim"/>
          <w:rtl/>
        </w:rPr>
        <w:t>מקשה מ"ט לא פוטרת צרתה</w:t>
      </w:r>
      <w:r w:rsidRPr="00012502">
        <w:rPr>
          <w:rStyle w:val="ac"/>
          <w:rFonts w:ascii="Narkisim" w:hAnsi="Narkisim" w:cs="Narkisim"/>
          <w:rtl/>
        </w:rPr>
        <w:footnoteReference w:id="713"/>
      </w:r>
      <w:r w:rsidRPr="00012502">
        <w:rPr>
          <w:rFonts w:ascii="Narkisim" w:hAnsi="Narkisim" w:cs="Narkisim"/>
          <w:rtl/>
        </w:rPr>
        <w:t>. ותי' דאילונית פטורה מטעם אחר [דדרשי' אשר תלד], ואמרי' לא דייך שאינה מתייבמת אלא שאתה מבקש לפטור צרתה, דאינה צרה. וה</w:t>
      </w:r>
      <w:r w:rsidRPr="00012502">
        <w:rPr>
          <w:rFonts w:ascii="Narkisim" w:hAnsi="Narkisim" w:cs="Narkisim"/>
          <w:b/>
          <w:bCs/>
          <w:rtl/>
        </w:rPr>
        <w:t>רמב"ן</w:t>
      </w:r>
      <w:r w:rsidRPr="00012502">
        <w:rPr>
          <w:rFonts w:ascii="Narkisim" w:hAnsi="Narkisim" w:cs="Narkisim"/>
          <w:rtl/>
        </w:rPr>
        <w:t xml:space="preserve"> פי' אילונית כיון דלא אסרה אלא מפני שאינה ראויה להתייבם היאך תפטור צרה. הלא אף היא אילו ראויה לילד כצרתה מתייבמת</w:t>
      </w:r>
      <w:r w:rsidRPr="00012502">
        <w:rPr>
          <w:rStyle w:val="ac"/>
          <w:rFonts w:ascii="Narkisim" w:hAnsi="Narkisim" w:cs="Narkisim"/>
          <w:rtl/>
        </w:rPr>
        <w:footnoteReference w:id="714"/>
      </w:r>
      <w:r w:rsidRPr="00012502">
        <w:rPr>
          <w:rFonts w:ascii="Narkisim" w:hAnsi="Narkisim" w:cs="Narkisim"/>
          <w:rtl/>
        </w:rPr>
        <w:t xml:space="preserve">. </w:t>
      </w:r>
      <w:r w:rsidRPr="00012502">
        <w:rPr>
          <w:rFonts w:ascii="Narkisim" w:hAnsi="Narkisim" w:cs="Narkisim"/>
          <w:sz w:val="20"/>
          <w:szCs w:val="20"/>
          <w:rtl/>
        </w:rPr>
        <w:t>וה</w:t>
      </w:r>
      <w:r w:rsidRPr="00012502">
        <w:rPr>
          <w:rFonts w:ascii="Narkisim" w:hAnsi="Narkisim" w:cs="Narkisim"/>
          <w:b/>
          <w:bCs/>
          <w:sz w:val="20"/>
          <w:szCs w:val="20"/>
          <w:rtl/>
        </w:rPr>
        <w:t>ברכ"ש</w:t>
      </w:r>
      <w:r w:rsidRPr="00012502">
        <w:rPr>
          <w:rFonts w:ascii="Narkisim" w:hAnsi="Narkisim" w:cs="Narkisim"/>
          <w:sz w:val="20"/>
          <w:szCs w:val="20"/>
          <w:rtl/>
        </w:rPr>
        <w:t xml:space="preserve"> (ה) ביאר דכוונת תי'</w:t>
      </w:r>
      <w:r w:rsidRPr="00012502">
        <w:rPr>
          <w:rStyle w:val="ac"/>
          <w:rFonts w:ascii="Narkisim" w:hAnsi="Narkisim" w:cs="Narkisim"/>
          <w:sz w:val="20"/>
          <w:szCs w:val="20"/>
          <w:rtl/>
        </w:rPr>
        <w:footnoteReference w:id="715"/>
      </w:r>
      <w:r w:rsidRPr="00012502">
        <w:rPr>
          <w:rFonts w:ascii="Narkisim" w:hAnsi="Narkisim" w:cs="Narkisim"/>
          <w:sz w:val="20"/>
          <w:szCs w:val="20"/>
          <w:rtl/>
        </w:rPr>
        <w:t xml:space="preserve"> הירושלמי ליסוד הגר"ח דאשת אח דממילא</w:t>
      </w:r>
      <w:r w:rsidRPr="00012502">
        <w:rPr>
          <w:rStyle w:val="ac"/>
          <w:rFonts w:ascii="Narkisim" w:hAnsi="Narkisim" w:cs="Narkisim"/>
          <w:sz w:val="20"/>
          <w:szCs w:val="20"/>
          <w:rtl/>
        </w:rPr>
        <w:footnoteReference w:id="716"/>
      </w:r>
      <w:r w:rsidRPr="00012502">
        <w:rPr>
          <w:rFonts w:ascii="Narkisim" w:hAnsi="Narkisim" w:cs="Narkisim"/>
          <w:sz w:val="20"/>
          <w:szCs w:val="20"/>
          <w:rtl/>
        </w:rPr>
        <w:t xml:space="preserve"> אינה פוטרת צרתה</w:t>
      </w:r>
      <w:r w:rsidRPr="00012502">
        <w:rPr>
          <w:rStyle w:val="ac"/>
          <w:rFonts w:ascii="Narkisim" w:hAnsi="Narkisim" w:cs="Narkisim"/>
          <w:sz w:val="20"/>
          <w:szCs w:val="20"/>
          <w:rtl/>
        </w:rPr>
        <w:footnoteReference w:id="717"/>
      </w:r>
      <w:r w:rsidRPr="00012502">
        <w:rPr>
          <w:rFonts w:ascii="Narkisim" w:hAnsi="Narkisim" w:cs="Narkisim"/>
          <w:sz w:val="20"/>
          <w:szCs w:val="20"/>
          <w:rtl/>
        </w:rPr>
        <w:t>.</w:t>
      </w:r>
      <w:r w:rsidRPr="00012502">
        <w:rPr>
          <w:rFonts w:ascii="Narkisim" w:hAnsi="Narkisim" w:cs="Narkisim"/>
          <w:rtl/>
        </w:rPr>
        <w:t xml:space="preserve"> וע"ע ריטב"א (לקמן כ.).</w:t>
      </w:r>
    </w:p>
    <w:p w14:paraId="6593161E" w14:textId="77777777" w:rsidR="00BE1D1C" w:rsidRPr="00012502" w:rsidRDefault="00000000" w:rsidP="00012502">
      <w:pPr>
        <w:pStyle w:val="a7"/>
        <w:bidi/>
        <w:rPr>
          <w:rFonts w:ascii="Narkisim" w:hAnsi="Narkisim"/>
        </w:rPr>
      </w:pPr>
      <w:r w:rsidRPr="00012502">
        <w:rPr>
          <w:rFonts w:ascii="Narkisim" w:hAnsi="Narkisim"/>
          <w:rtl/>
        </w:rPr>
        <w:t xml:space="preserve">אבל </w:t>
      </w:r>
      <w:r w:rsidRPr="00012502">
        <w:rPr>
          <w:rFonts w:ascii="Narkisim" w:hAnsi="Narkisim"/>
          <w:b/>
          <w:bCs/>
          <w:rtl/>
        </w:rPr>
        <w:t>תוס</w:t>
      </w:r>
      <w:r w:rsidRPr="00012502">
        <w:rPr>
          <w:rFonts w:ascii="Narkisim" w:hAnsi="Narkisim"/>
          <w:rtl/>
        </w:rPr>
        <w:t>' (ח. ד"ה תרי) כת' דמ"ד דפליג על רב אסי ס"ל דאילונית אינה בת יבום ולא חשיב במקום מצוה.</w:t>
      </w:r>
    </w:p>
    <w:p w14:paraId="56C47CF3" w14:textId="77777777" w:rsidR="00BE1D1C" w:rsidRPr="00012502" w:rsidRDefault="00000000" w:rsidP="00012502">
      <w:pPr>
        <w:pStyle w:val="a8"/>
        <w:bidi/>
        <w:rPr>
          <w:rFonts w:ascii="Narkisim" w:hAnsi="Narkisim"/>
        </w:rPr>
      </w:pPr>
      <w:r w:rsidRPr="00012502">
        <w:rPr>
          <w:rFonts w:ascii="Narkisim" w:hAnsi="Narkisim"/>
          <w:rtl/>
        </w:rPr>
        <w:t>וכמו צרת בתו אילונית (ע' בסמוך). ומבואר בדברי התוס' דאין מקום לחלק בזה. ואי חשיב במקום מצווה [בצרת בתו אילונית], א"כ אף אילונית לחוד פוטרת צרתה כיון שהיא פטורה.</w:t>
      </w:r>
    </w:p>
    <w:p w14:paraId="4AFA6060" w14:textId="77777777" w:rsidR="00BE1D1C" w:rsidRPr="00012502" w:rsidRDefault="00000000" w:rsidP="00012502">
      <w:pPr>
        <w:bidi/>
        <w:rPr>
          <w:rFonts w:ascii="Narkisim" w:hAnsi="Narkisim" w:cs="Narkisim"/>
        </w:rPr>
      </w:pPr>
      <w:r w:rsidRPr="00012502">
        <w:rPr>
          <w:rFonts w:ascii="Narkisim" w:hAnsi="Narkisim" w:cs="Narkisim"/>
          <w:u w:val="single"/>
          <w:rtl/>
        </w:rPr>
        <w:t>ואפי' הכיר בה וכו'</w:t>
      </w:r>
      <w:r w:rsidRPr="00012502">
        <w:rPr>
          <w:rFonts w:ascii="Narkisim" w:hAnsi="Narkisim" w:cs="Narkisim"/>
          <w:rtl/>
        </w:rPr>
        <w:t xml:space="preserve">. בפשוטו משמע דרבא מודה בלא הכיר בה דהוה מקח טעות. ואי"צ לכל הטעמים הנ"ל. אבל </w:t>
      </w:r>
      <w:r w:rsidRPr="00012502">
        <w:rPr>
          <w:rFonts w:ascii="Narkisim" w:hAnsi="Narkisim" w:cs="Narkisim"/>
          <w:b/>
          <w:bCs/>
          <w:rtl/>
        </w:rPr>
        <w:t>ר"ת</w:t>
      </w:r>
      <w:r w:rsidRPr="00012502">
        <w:rPr>
          <w:rFonts w:ascii="Narkisim" w:hAnsi="Narkisim" w:cs="Narkisim"/>
          <w:rtl/>
        </w:rPr>
        <w:t xml:space="preserve"> (ס' הישר קעה, והו' ברמב"ן ושא"ר ב:) נקט דרבא פליג דלא הוה מקח טעות, ואף היכא דלא קיבלה עליה צריכה גט. וב</w:t>
      </w:r>
      <w:r w:rsidRPr="00012502">
        <w:rPr>
          <w:rFonts w:ascii="Narkisim" w:hAnsi="Narkisim" w:cs="Narkisim"/>
          <w:b/>
          <w:bCs/>
          <w:rtl/>
        </w:rPr>
        <w:t>תוס' חד מקמאי</w:t>
      </w:r>
      <w:r w:rsidRPr="00012502">
        <w:rPr>
          <w:rFonts w:ascii="Narkisim" w:hAnsi="Narkisim" w:cs="Narkisim"/>
          <w:rtl/>
        </w:rPr>
        <w:t xml:space="preserve"> נסתפק אי הוה מדאורייתא מספק או מדרבנן</w:t>
      </w:r>
      <w:r w:rsidRPr="00012502">
        <w:rPr>
          <w:rStyle w:val="ac"/>
          <w:rFonts w:ascii="Narkisim" w:hAnsi="Narkisim" w:cs="Narkisim"/>
          <w:rtl/>
        </w:rPr>
        <w:footnoteReference w:id="718"/>
      </w:r>
      <w:r w:rsidRPr="00012502">
        <w:rPr>
          <w:rFonts w:ascii="Narkisim" w:hAnsi="Narkisim" w:cs="Narkisim"/>
          <w:rtl/>
        </w:rPr>
        <w:t xml:space="preserve"> (ע' כתובות עג.).</w:t>
      </w:r>
    </w:p>
    <w:p w14:paraId="02502483" w14:textId="77777777" w:rsidR="00BE1D1C" w:rsidRPr="00012502" w:rsidRDefault="00000000" w:rsidP="00012502">
      <w:pPr>
        <w:bidi/>
        <w:rPr>
          <w:rFonts w:ascii="Narkisim" w:hAnsi="Narkisim" w:cs="Narkisim"/>
        </w:rPr>
      </w:pPr>
      <w:r w:rsidRPr="00012502">
        <w:rPr>
          <w:rFonts w:ascii="Narkisim" w:hAnsi="Narkisim" w:cs="Narkisim"/>
          <w:u w:val="single"/>
          <w:rtl/>
        </w:rPr>
        <w:t>ואפי' צרת בתו אילונית.</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(בשם </w:t>
      </w:r>
      <w:r w:rsidRPr="00012502">
        <w:rPr>
          <w:rFonts w:ascii="Narkisim" w:hAnsi="Narkisim" w:cs="Narkisim"/>
          <w:b/>
          <w:bCs/>
          <w:rtl/>
        </w:rPr>
        <w:t>בה"ג</w:t>
      </w:r>
      <w:r w:rsidRPr="00012502">
        <w:rPr>
          <w:rFonts w:ascii="Narkisim" w:hAnsi="Narkisim" w:cs="Narkisim"/>
          <w:rtl/>
        </w:rPr>
        <w:t>) דלא חשיב צרה במקום מצווה, כיון דבלאו ערוה לא חזי ליבום. וה</w:t>
      </w:r>
      <w:r w:rsidRPr="00012502">
        <w:rPr>
          <w:rFonts w:ascii="Narkisim" w:hAnsi="Narkisim" w:cs="Narkisim"/>
          <w:b/>
          <w:bCs/>
          <w:rtl/>
        </w:rPr>
        <w:t>רמב"ן</w:t>
      </w:r>
      <w:r w:rsidRPr="00012502">
        <w:rPr>
          <w:rFonts w:ascii="Narkisim" w:hAnsi="Narkisim" w:cs="Narkisim"/>
          <w:rtl/>
        </w:rPr>
        <w:t xml:space="preserve"> הביא כעי"ז מה</w:t>
      </w:r>
      <w:r w:rsidRPr="00012502">
        <w:rPr>
          <w:rFonts w:ascii="Narkisim" w:hAnsi="Narkisim" w:cs="Narkisim"/>
          <w:b/>
          <w:bCs/>
          <w:rtl/>
        </w:rPr>
        <w:t>ירושלמי</w:t>
      </w:r>
      <w:r w:rsidRPr="00012502">
        <w:rPr>
          <w:rFonts w:ascii="Narkisim" w:hAnsi="Narkisim" w:cs="Narkisim"/>
          <w:rtl/>
        </w:rPr>
        <w:t xml:space="preserve"> (בסופו)</w:t>
      </w:r>
      <w:r w:rsidRPr="00012502">
        <w:rPr>
          <w:rStyle w:val="ac"/>
          <w:rFonts w:ascii="Narkisim" w:hAnsi="Narkisim" w:cs="Narkisim"/>
          <w:rtl/>
        </w:rPr>
        <w:footnoteReference w:id="719"/>
      </w:r>
      <w:r w:rsidRPr="00012502">
        <w:rPr>
          <w:rFonts w:ascii="Narkisim" w:hAnsi="Narkisim" w:cs="Narkisim"/>
          <w:rtl/>
        </w:rPr>
        <w:t xml:space="preserve"> דתי' אילונית כמי שאינה בעולם, והרמב"ן ביאר כיון שאם בא עליה או חלץ אין צרתה פטורה נמצא שאין עליה זיקה כלל. והו"ל צרת ערוה שלא במקום מצוה.</w:t>
      </w:r>
    </w:p>
    <w:p w14:paraId="57955CB4" w14:textId="77777777" w:rsidR="00BE1D1C" w:rsidRPr="00012502" w:rsidRDefault="00000000" w:rsidP="00012502">
      <w:pPr>
        <w:pStyle w:val="a8"/>
        <w:bidi/>
        <w:rPr>
          <w:rFonts w:ascii="Narkisim" w:hAnsi="Narkisim"/>
        </w:rPr>
      </w:pPr>
      <w:r w:rsidRPr="00012502">
        <w:rPr>
          <w:rFonts w:ascii="Narkisim" w:hAnsi="Narkisim"/>
          <w:rtl/>
        </w:rPr>
        <w:t>והרמב"ן הביא כעי"ז מדברי בי"ש (יג:) דהיכא דלא חל אשת אח על אחות אשתו, מש"ה הוה צרת ערוה שלא במקום מצווה ומותרת.</w:t>
      </w:r>
    </w:p>
    <w:p w14:paraId="18123831" w14:textId="77777777" w:rsidR="00BE1D1C" w:rsidRPr="00012502" w:rsidRDefault="00000000" w:rsidP="00012502">
      <w:pPr>
        <w:pStyle w:val="a7"/>
        <w:bidi/>
        <w:rPr>
          <w:rFonts w:ascii="Narkisim" w:hAnsi="Narkisim"/>
        </w:rPr>
      </w:pPr>
      <w:r w:rsidRPr="00012502">
        <w:rPr>
          <w:rFonts w:ascii="Narkisim" w:hAnsi="Narkisim"/>
          <w:rtl/>
        </w:rPr>
        <w:t>ובפשוטו משמע ברש"י דהטעם משום שיש סיבה נוספת [מלבד הערוה] המונע ממנה דין יבום, מש"ה נחשב שלא במקום מצוה</w:t>
      </w:r>
      <w:r w:rsidRPr="00012502">
        <w:rPr>
          <w:rStyle w:val="ac"/>
          <w:rFonts w:ascii="Narkisim" w:hAnsi="Narkisim"/>
          <w:rtl/>
        </w:rPr>
        <w:footnoteReference w:id="720"/>
      </w:r>
      <w:r w:rsidRPr="00012502">
        <w:rPr>
          <w:rFonts w:ascii="Narkisim" w:hAnsi="Narkisim"/>
          <w:rtl/>
        </w:rPr>
        <w:t xml:space="preserve">. אבל </w:t>
      </w:r>
      <w:r w:rsidRPr="00012502">
        <w:rPr>
          <w:rFonts w:ascii="Narkisim" w:hAnsi="Narkisim"/>
          <w:b/>
          <w:bCs/>
          <w:rtl/>
        </w:rPr>
        <w:t>תוס'</w:t>
      </w:r>
      <w:r w:rsidRPr="00012502">
        <w:rPr>
          <w:rFonts w:ascii="Narkisim" w:hAnsi="Narkisim"/>
          <w:rtl/>
        </w:rPr>
        <w:t xml:space="preserve"> (ח. סוד"ה תרי) פי' דאילונית דלאו בת יבום ב</w:t>
      </w:r>
      <w:r w:rsidRPr="00012502">
        <w:rPr>
          <w:rFonts w:ascii="Narkisim" w:hAnsi="Narkisim"/>
          <w:i/>
          <w:iCs/>
          <w:rtl/>
        </w:rPr>
        <w:t>שום מקום</w:t>
      </w:r>
      <w:r w:rsidRPr="00012502">
        <w:rPr>
          <w:rFonts w:ascii="Narkisim" w:hAnsi="Narkisim"/>
          <w:rtl/>
        </w:rPr>
        <w:t>.</w:t>
      </w:r>
    </w:p>
    <w:p w14:paraId="0E026F45" w14:textId="77777777" w:rsidR="00BE1D1C" w:rsidRPr="00012502" w:rsidRDefault="00000000" w:rsidP="00012502">
      <w:pPr>
        <w:pStyle w:val="a7"/>
        <w:bidi/>
        <w:rPr>
          <w:rFonts w:ascii="Narkisim" w:hAnsi="Narkisim"/>
        </w:rPr>
      </w:pPr>
      <w:r w:rsidRPr="00012502">
        <w:rPr>
          <w:rFonts w:ascii="Narkisim" w:hAnsi="Narkisim"/>
          <w:sz w:val="20"/>
          <w:szCs w:val="20"/>
          <w:rtl/>
        </w:rPr>
        <w:lastRenderedPageBreak/>
        <w:t xml:space="preserve">ובס' </w:t>
      </w:r>
      <w:r w:rsidRPr="00012502">
        <w:rPr>
          <w:rFonts w:ascii="Narkisim" w:hAnsi="Narkisim"/>
          <w:b/>
          <w:bCs/>
          <w:sz w:val="20"/>
          <w:szCs w:val="20"/>
          <w:rtl/>
        </w:rPr>
        <w:t>מגנזי הגר"ח</w:t>
      </w:r>
      <w:r w:rsidRPr="00012502">
        <w:rPr>
          <w:rFonts w:ascii="Narkisim" w:hAnsi="Narkisim"/>
          <w:sz w:val="20"/>
          <w:szCs w:val="20"/>
          <w:rtl/>
        </w:rPr>
        <w:t xml:space="preserve"> כת' דאף אשת ב' מתים לאו בת יבום [אף לולי הערוה], ולדברי </w:t>
      </w:r>
      <w:r w:rsidRPr="00012502">
        <w:rPr>
          <w:rFonts w:ascii="Narkisim" w:hAnsi="Narkisim"/>
          <w:b/>
          <w:bCs/>
          <w:sz w:val="20"/>
          <w:szCs w:val="20"/>
          <w:rtl/>
        </w:rPr>
        <w:t>רש"י</w:t>
      </w:r>
      <w:r w:rsidRPr="00012502">
        <w:rPr>
          <w:rFonts w:ascii="Narkisim" w:hAnsi="Narkisim"/>
          <w:sz w:val="20"/>
          <w:szCs w:val="20"/>
          <w:rtl/>
        </w:rPr>
        <w:t xml:space="preserve"> לא פטרה צרתה</w:t>
      </w:r>
      <w:r w:rsidRPr="00012502">
        <w:rPr>
          <w:rStyle w:val="ac"/>
          <w:rFonts w:ascii="Narkisim" w:hAnsi="Narkisim"/>
          <w:sz w:val="20"/>
          <w:szCs w:val="20"/>
          <w:rtl/>
        </w:rPr>
        <w:footnoteReference w:id="721"/>
      </w:r>
      <w:r w:rsidRPr="00012502">
        <w:rPr>
          <w:rFonts w:ascii="Narkisim" w:hAnsi="Narkisim"/>
          <w:sz w:val="20"/>
          <w:szCs w:val="20"/>
          <w:rtl/>
        </w:rPr>
        <w:t>. והא ד</w:t>
      </w:r>
      <w:r w:rsidRPr="00012502">
        <w:rPr>
          <w:rFonts w:ascii="Narkisim" w:hAnsi="Narkisim"/>
          <w:b/>
          <w:bCs/>
          <w:sz w:val="20"/>
          <w:szCs w:val="20"/>
          <w:rtl/>
        </w:rPr>
        <w:t>תוס</w:t>
      </w:r>
      <w:r w:rsidRPr="00012502">
        <w:rPr>
          <w:rFonts w:ascii="Narkisim" w:hAnsi="Narkisim"/>
          <w:sz w:val="20"/>
          <w:szCs w:val="20"/>
          <w:rtl/>
        </w:rPr>
        <w:t>' (י. ד"ה לעולם) דנו דאשת ב' מתים תפטור צרה הוה לשיטתם דבעינן בשום מקום</w:t>
      </w:r>
      <w:r w:rsidRPr="00012502">
        <w:rPr>
          <w:rFonts w:ascii="Narkisim" w:hAnsi="Narkisim"/>
          <w:rtl/>
        </w:rPr>
        <w:t>.</w:t>
      </w:r>
    </w:p>
    <w:p w14:paraId="0E7357C7"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תוס' חד מקמאי</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עה"ג,</w:t>
      </w:r>
      <w:r w:rsidRPr="00012502">
        <w:rPr>
          <w:rFonts w:ascii="Narkisim" w:hAnsi="Narkisim" w:cs="Narkisim"/>
          <w:rtl/>
        </w:rPr>
        <w:t xml:space="preserve"> </w:t>
      </w:r>
      <w:r w:rsidRPr="00012502">
        <w:rPr>
          <w:rFonts w:ascii="Narkisim" w:hAnsi="Narkisim" w:cs="Narkisim"/>
          <w:sz w:val="20"/>
          <w:szCs w:val="20"/>
          <w:rtl/>
        </w:rPr>
        <w:t>וכ"כ ב</w:t>
      </w:r>
      <w:r w:rsidRPr="00012502">
        <w:rPr>
          <w:rFonts w:ascii="Narkisim" w:hAnsi="Narkisim" w:cs="Narkisim"/>
          <w:b/>
          <w:bCs/>
          <w:sz w:val="20"/>
          <w:szCs w:val="20"/>
          <w:rtl/>
        </w:rPr>
        <w:t>חי' ר"א מן ההר</w:t>
      </w:r>
      <w:r w:rsidRPr="00012502">
        <w:rPr>
          <w:rFonts w:ascii="Narkisim" w:hAnsi="Narkisim" w:cs="Narkisim"/>
          <w:sz w:val="20"/>
          <w:szCs w:val="20"/>
          <w:rtl/>
        </w:rPr>
        <w:t>, ועד"ז בשו"ת הרשב"א ו כה)</w:t>
      </w:r>
      <w:r w:rsidRPr="00012502">
        <w:rPr>
          <w:rFonts w:ascii="Narkisim" w:hAnsi="Narkisim" w:cs="Narkisim"/>
          <w:rtl/>
        </w:rPr>
        <w:t xml:space="preserve"> פי' דכל צרות ערוה הוה מקום מצוה, שאם לזה אינה ראויה, ראויה היא לאחים. [ונחשב מקום מצוה כיון דנופלת לשאר אחים</w:t>
      </w:r>
      <w:r w:rsidRPr="00012502">
        <w:rPr>
          <w:rStyle w:val="ac"/>
          <w:rFonts w:ascii="Narkisim" w:hAnsi="Narkisim" w:cs="Narkisim"/>
          <w:rtl/>
        </w:rPr>
        <w:footnoteReference w:id="722"/>
      </w:r>
      <w:r w:rsidRPr="00012502">
        <w:rPr>
          <w:rFonts w:ascii="Narkisim" w:hAnsi="Narkisim" w:cs="Narkisim"/>
          <w:rtl/>
        </w:rPr>
        <w:t>]. וה</w:t>
      </w:r>
      <w:r w:rsidRPr="00012502">
        <w:rPr>
          <w:rFonts w:ascii="Narkisim" w:hAnsi="Narkisim" w:cs="Narkisim"/>
          <w:b/>
          <w:bCs/>
          <w:rtl/>
        </w:rPr>
        <w:t>אחרונים</w:t>
      </w:r>
      <w:r w:rsidRPr="00012502">
        <w:rPr>
          <w:rFonts w:ascii="Narkisim" w:hAnsi="Narkisim" w:cs="Narkisim"/>
          <w:rtl/>
        </w:rPr>
        <w:t xml:space="preserve"> ביארו דאף כשאין אחים, מ"מ ראויה ליפול ליבום</w:t>
      </w:r>
      <w:r w:rsidRPr="00012502">
        <w:rPr>
          <w:rStyle w:val="ac"/>
          <w:rFonts w:ascii="Narkisim" w:hAnsi="Narkisim" w:cs="Narkisim"/>
          <w:rtl/>
        </w:rPr>
        <w:footnoteReference w:id="723"/>
      </w:r>
      <w:r w:rsidRPr="00012502">
        <w:rPr>
          <w:rFonts w:ascii="Narkisim" w:hAnsi="Narkisim" w:cs="Narkisim"/>
          <w:rtl/>
        </w:rPr>
        <w:t>.</w:t>
      </w:r>
    </w:p>
    <w:p w14:paraId="79FB191F"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ר"א מן ההר</w:t>
      </w:r>
      <w:r w:rsidRPr="00012502">
        <w:rPr>
          <w:rFonts w:ascii="Narkisim" w:hAnsi="Narkisim"/>
          <w:rtl/>
        </w:rPr>
        <w:t xml:space="preserve"> הוסיף ולא דמי לסוטה [שאסורה על כל האחים, ואוסרת את צרתה] דאית לה זיקה, אלא שנאסרה כשזינתה</w:t>
      </w:r>
      <w:r w:rsidRPr="00012502">
        <w:rPr>
          <w:rStyle w:val="ac"/>
          <w:rFonts w:ascii="Narkisim" w:hAnsi="Narkisim"/>
          <w:rtl/>
        </w:rPr>
        <w:footnoteReference w:id="724"/>
      </w:r>
      <w:r w:rsidRPr="00012502">
        <w:rPr>
          <w:rFonts w:ascii="Narkisim" w:hAnsi="Narkisim"/>
          <w:rtl/>
        </w:rPr>
        <w:t>.</w:t>
      </w:r>
    </w:p>
    <w:p w14:paraId="30FFC46E"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ברכ"ש</w:t>
      </w:r>
      <w:r w:rsidRPr="00012502">
        <w:rPr>
          <w:rFonts w:ascii="Narkisim" w:hAnsi="Narkisim" w:cs="Narkisim"/>
          <w:rtl/>
        </w:rPr>
        <w:t xml:space="preserve"> (ה) הקשה א"כ בחינם נקט הירושלמי [בתחילתו] הטעם דאילונית אינה ערוה, שהרי בלא"ה אינה מקום מצוה, דהרי צרת בתו אילונית ג"כ פטורה. וכתב די"ל דהאמת נקט, דזהו עיקר הפטור </w:t>
      </w:r>
      <w:r w:rsidRPr="00012502">
        <w:rPr>
          <w:rFonts w:ascii="Narkisim" w:hAnsi="Narkisim" w:cs="Narkisim"/>
          <w:sz w:val="20"/>
          <w:szCs w:val="20"/>
          <w:rtl/>
        </w:rPr>
        <w:t>[וכן רבא חידש 'אפילו']</w:t>
      </w:r>
      <w:r w:rsidRPr="00012502">
        <w:rPr>
          <w:rFonts w:ascii="Narkisim" w:hAnsi="Narkisim" w:cs="Narkisim"/>
          <w:rtl/>
        </w:rPr>
        <w:t>. והוה ב' סברות מ"ט לא פטרה, ותרווייהו איתנהו</w:t>
      </w:r>
      <w:r w:rsidRPr="00012502">
        <w:rPr>
          <w:rStyle w:val="ac"/>
          <w:rFonts w:ascii="Narkisim" w:hAnsi="Narkisim" w:cs="Narkisim"/>
          <w:rtl/>
        </w:rPr>
        <w:footnoteReference w:id="725"/>
      </w:r>
      <w:r w:rsidRPr="00012502">
        <w:rPr>
          <w:rFonts w:ascii="Narkisim" w:hAnsi="Narkisim" w:cs="Narkisim"/>
          <w:rtl/>
        </w:rPr>
        <w:t>.</w:t>
      </w:r>
    </w:p>
    <w:p w14:paraId="5F1F87B3" w14:textId="77777777" w:rsidR="00BE1D1C" w:rsidRPr="00012502" w:rsidRDefault="00000000" w:rsidP="00012502">
      <w:pPr>
        <w:pStyle w:val="a7"/>
        <w:bidi/>
        <w:rPr>
          <w:rFonts w:ascii="Narkisim" w:hAnsi="Narkisim"/>
        </w:rPr>
      </w:pPr>
      <w:r w:rsidRPr="00012502">
        <w:rPr>
          <w:rFonts w:ascii="Narkisim" w:hAnsi="Narkisim"/>
          <w:rtl/>
        </w:rPr>
        <w:t>ודייק כן מדברי ה</w:t>
      </w:r>
      <w:r w:rsidRPr="00012502">
        <w:rPr>
          <w:rFonts w:ascii="Narkisim" w:hAnsi="Narkisim"/>
          <w:b/>
          <w:bCs/>
          <w:rtl/>
        </w:rPr>
        <w:t>רמב"ם</w:t>
      </w:r>
      <w:r w:rsidRPr="00012502">
        <w:rPr>
          <w:rFonts w:ascii="Narkisim" w:hAnsi="Narkisim"/>
          <w:sz w:val="20"/>
          <w:szCs w:val="20"/>
          <w:rtl/>
        </w:rPr>
        <w:t xml:space="preserve"> (יבום ו) </w:t>
      </w:r>
      <w:r w:rsidRPr="00012502">
        <w:rPr>
          <w:rFonts w:ascii="Narkisim" w:hAnsi="Narkisim"/>
          <w:rtl/>
        </w:rPr>
        <w:t xml:space="preserve">שחילקו לב' הלכות, דבהל' כ' כתב דשניות וחיי"ל או עשה או אילונית צרתה מתייבמת. </w:t>
      </w:r>
      <w:r w:rsidRPr="00012502">
        <w:rPr>
          <w:rFonts w:ascii="Narkisim" w:hAnsi="Narkisim"/>
          <w:sz w:val="20"/>
          <w:szCs w:val="20"/>
          <w:rtl/>
        </w:rPr>
        <w:t>[משמע דאילונית דמי לחייבי לאוין</w:t>
      </w:r>
      <w:r w:rsidRPr="00012502">
        <w:rPr>
          <w:rStyle w:val="ac"/>
          <w:rFonts w:ascii="Narkisim" w:hAnsi="Narkisim"/>
          <w:sz w:val="20"/>
          <w:szCs w:val="20"/>
          <w:rtl/>
        </w:rPr>
        <w:footnoteReference w:id="726"/>
      </w:r>
      <w:r w:rsidRPr="00012502">
        <w:rPr>
          <w:rFonts w:ascii="Narkisim" w:hAnsi="Narkisim"/>
          <w:sz w:val="20"/>
          <w:szCs w:val="20"/>
          <w:rtl/>
        </w:rPr>
        <w:t xml:space="preserve"> או עשה</w:t>
      </w:r>
      <w:r w:rsidRPr="00012502">
        <w:rPr>
          <w:rStyle w:val="ac"/>
          <w:rFonts w:ascii="Narkisim" w:hAnsi="Narkisim"/>
          <w:sz w:val="20"/>
          <w:szCs w:val="20"/>
          <w:rtl/>
        </w:rPr>
        <w:footnoteReference w:id="727"/>
      </w:r>
      <w:r w:rsidRPr="00012502">
        <w:rPr>
          <w:rFonts w:ascii="Narkisim" w:hAnsi="Narkisim"/>
          <w:sz w:val="20"/>
          <w:szCs w:val="20"/>
          <w:rtl/>
        </w:rPr>
        <w:t>].</w:t>
      </w:r>
      <w:r w:rsidRPr="00012502">
        <w:rPr>
          <w:rFonts w:ascii="Narkisim" w:hAnsi="Narkisim"/>
          <w:rtl/>
        </w:rPr>
        <w:t xml:space="preserve"> ובהל' כ"א כתב דכשהערוה אילונית צרתה מתייבמת, דאילונית אינה בת יבום, הרי היא כמי שאינה.</w:t>
      </w:r>
    </w:p>
    <w:p w14:paraId="57A5D2C4"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ו</w:t>
      </w:r>
      <w:r w:rsidRPr="00012502">
        <w:rPr>
          <w:rFonts w:ascii="Narkisim" w:hAnsi="Narkisim"/>
          <w:b/>
          <w:bCs/>
          <w:rtl/>
        </w:rPr>
        <w:t>רש"י</w:t>
      </w:r>
      <w:r w:rsidRPr="00012502">
        <w:rPr>
          <w:rFonts w:ascii="Narkisim" w:hAnsi="Narkisim"/>
          <w:rtl/>
        </w:rPr>
        <w:t xml:space="preserve"> (לקמן צא:) גבי הכונס את יבמתו ונמצאת אילונית, פי' דאילונית אינה פוטרת צרתה דכתיב 'והיה הבכור'. ואילו גבי צרת ערוה שנמצאת אילונית פ</w:t>
      </w:r>
      <w:r w:rsidRPr="00012502">
        <w:rPr>
          <w:rFonts w:ascii="Narkisim" w:hAnsi="Narkisim"/>
          <w:b/>
          <w:bCs/>
          <w:rtl/>
        </w:rPr>
        <w:t>רש"י</w:t>
      </w:r>
      <w:r w:rsidRPr="00012502">
        <w:rPr>
          <w:rFonts w:ascii="Narkisim" w:hAnsi="Narkisim"/>
          <w:rtl/>
        </w:rPr>
        <w:t xml:space="preserve"> דאילונית הוה מקח טעות</w:t>
      </w:r>
      <w:r w:rsidRPr="00012502">
        <w:rPr>
          <w:rStyle w:val="ac"/>
          <w:rFonts w:ascii="Narkisim" w:hAnsi="Narkisim"/>
          <w:rtl/>
        </w:rPr>
        <w:footnoteReference w:id="728"/>
      </w:r>
      <w:r w:rsidRPr="00012502">
        <w:rPr>
          <w:rFonts w:ascii="Narkisim" w:hAnsi="Narkisim"/>
          <w:rtl/>
        </w:rPr>
        <w:t>. ו</w:t>
      </w:r>
      <w:r w:rsidRPr="00012502">
        <w:rPr>
          <w:rFonts w:ascii="Narkisim" w:hAnsi="Narkisim"/>
          <w:b/>
          <w:bCs/>
          <w:rtl/>
        </w:rPr>
        <w:t>רע"א</w:t>
      </w:r>
      <w:r w:rsidRPr="00012502">
        <w:rPr>
          <w:rFonts w:ascii="Narkisim" w:hAnsi="Narkisim"/>
          <w:rtl/>
        </w:rPr>
        <w:t xml:space="preserve"> תמה דנקט בחדא כרבא, ובחדא כרב אסי</w:t>
      </w:r>
      <w:r w:rsidRPr="00012502">
        <w:rPr>
          <w:rStyle w:val="ac"/>
          <w:rFonts w:ascii="Narkisim" w:hAnsi="Narkisim"/>
          <w:rtl/>
        </w:rPr>
        <w:footnoteReference w:id="729"/>
      </w:r>
      <w:r w:rsidRPr="00012502">
        <w:rPr>
          <w:rFonts w:ascii="Narkisim" w:hAnsi="Narkisim"/>
          <w:rtl/>
        </w:rPr>
        <w:t>.</w:t>
      </w:r>
    </w:p>
    <w:p w14:paraId="0F9382E5" w14:textId="77777777" w:rsidR="00BE1D1C" w:rsidRPr="00012502" w:rsidRDefault="00000000" w:rsidP="00012502">
      <w:pPr>
        <w:pStyle w:val="a8"/>
        <w:bidi/>
        <w:rPr>
          <w:rFonts w:ascii="Narkisim" w:hAnsi="Narkisim"/>
        </w:rPr>
      </w:pPr>
      <w:r w:rsidRPr="00012502">
        <w:rPr>
          <w:rFonts w:ascii="Narkisim" w:hAnsi="Narkisim"/>
          <w:rtl/>
        </w:rPr>
        <w:t>וב</w:t>
      </w:r>
      <w:r w:rsidRPr="00012502">
        <w:rPr>
          <w:rFonts w:ascii="Narkisim" w:hAnsi="Narkisim"/>
          <w:b/>
          <w:bCs/>
          <w:rtl/>
        </w:rPr>
        <w:t>הג' הר"ש מדסוי</w:t>
      </w:r>
      <w:r w:rsidRPr="00012502">
        <w:rPr>
          <w:rFonts w:ascii="Narkisim" w:hAnsi="Narkisim"/>
          <w:rtl/>
        </w:rPr>
        <w:t xml:space="preserve"> (לקמן) תי' דכוונת רש"י לחלק דאילונית אינה פוטרת צרתה, אבל צרת בתו אילונית פוטרת. וכתב דאפשר דזה דעת רבין א"ר יוחנן שסתם דוקא צרת אילונית. אבל שא"ר נקטו בפשיטות דרבין קאי אף אצרת בתו אילונית.</w:t>
      </w:r>
    </w:p>
    <w:p w14:paraId="29114EEE" w14:textId="77777777" w:rsidR="00BE1D1C" w:rsidRPr="00012502" w:rsidRDefault="00000000" w:rsidP="00012502">
      <w:pPr>
        <w:pStyle w:val="2"/>
        <w:bidi/>
        <w:rPr>
          <w:rFonts w:ascii="Narkisim" w:hAnsi="Narkisim"/>
        </w:rPr>
      </w:pPr>
      <w:r w:rsidRPr="00012502">
        <w:rPr>
          <w:rFonts w:ascii="Narkisim" w:hAnsi="Narkisim"/>
          <w:rtl/>
        </w:rPr>
        <w:t>קטנה יולדת</w:t>
      </w:r>
    </w:p>
    <w:p w14:paraId="180DBBBB" w14:textId="77777777" w:rsidR="00BE1D1C" w:rsidRPr="00012502" w:rsidRDefault="00000000" w:rsidP="00012502">
      <w:pPr>
        <w:bidi/>
        <w:rPr>
          <w:rFonts w:ascii="Narkisim" w:hAnsi="Narkisim" w:cs="Narkisim"/>
        </w:rPr>
      </w:pPr>
      <w:r w:rsidRPr="00012502">
        <w:rPr>
          <w:rFonts w:ascii="Narkisim" w:hAnsi="Narkisim" w:cs="Narkisim"/>
          <w:u w:val="single"/>
          <w:rtl/>
        </w:rPr>
        <w:t>משמשות במוך וכו'</w:t>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מותרות לתת וכו' כשהן משמשות וכו'. משמע דקאי במוך דקודם תשמיש. ו</w:t>
      </w:r>
      <w:r w:rsidRPr="00012502">
        <w:rPr>
          <w:rFonts w:ascii="Narkisim" w:hAnsi="Narkisim" w:cs="Narkisim"/>
          <w:b/>
          <w:bCs/>
          <w:rtl/>
        </w:rPr>
        <w:t>ר"ת</w:t>
      </w:r>
      <w:r w:rsidRPr="00012502">
        <w:rPr>
          <w:rFonts w:ascii="Narkisim" w:hAnsi="Narkisim" w:cs="Narkisim"/>
          <w:rtl/>
        </w:rPr>
        <w:t xml:space="preserve"> (בתוס') פליג דאיירי לאחר תשמיש</w:t>
      </w:r>
      <w:r w:rsidRPr="00012502">
        <w:rPr>
          <w:rStyle w:val="ac"/>
          <w:rFonts w:ascii="Narkisim" w:hAnsi="Narkisim" w:cs="Narkisim"/>
          <w:rtl/>
        </w:rPr>
        <w:footnoteReference w:id="730"/>
      </w:r>
      <w:r w:rsidRPr="00012502">
        <w:rPr>
          <w:rFonts w:ascii="Narkisim" w:hAnsi="Narkisim" w:cs="Narkisim"/>
          <w:rtl/>
        </w:rPr>
        <w:t xml:space="preserve">. </w:t>
      </w:r>
      <w:r w:rsidRPr="00012502">
        <w:rPr>
          <w:rFonts w:ascii="Narkisim" w:hAnsi="Narkisim" w:cs="Narkisim"/>
          <w:szCs w:val="20"/>
          <w:rtl/>
        </w:rPr>
        <w:t>ו</w:t>
      </w:r>
      <w:r w:rsidRPr="00012502">
        <w:rPr>
          <w:rFonts w:ascii="Narkisim" w:hAnsi="Narkisim" w:cs="Narkisim"/>
          <w:b/>
          <w:bCs/>
          <w:szCs w:val="20"/>
          <w:rtl/>
        </w:rPr>
        <w:t>תוס</w:t>
      </w:r>
      <w:r w:rsidRPr="00012502">
        <w:rPr>
          <w:rFonts w:ascii="Narkisim" w:hAnsi="Narkisim" w:cs="Narkisim"/>
          <w:szCs w:val="20"/>
          <w:rtl/>
        </w:rPr>
        <w:t>' (כתובות לט.) וה</w:t>
      </w:r>
      <w:r w:rsidRPr="00012502">
        <w:rPr>
          <w:rFonts w:ascii="Narkisim" w:hAnsi="Narkisim" w:cs="Narkisim"/>
          <w:b/>
          <w:bCs/>
          <w:szCs w:val="20"/>
          <w:rtl/>
        </w:rPr>
        <w:t>ראשונים</w:t>
      </w:r>
      <w:r w:rsidRPr="00012502">
        <w:rPr>
          <w:rFonts w:ascii="Narkisim" w:hAnsi="Narkisim" w:cs="Narkisim"/>
          <w:szCs w:val="20"/>
          <w:rtl/>
        </w:rPr>
        <w:t xml:space="preserve"> העלו צד דאף רש"י איירי לאחר תשמיש</w:t>
      </w:r>
      <w:r w:rsidRPr="00012502">
        <w:rPr>
          <w:rStyle w:val="ac"/>
          <w:rFonts w:ascii="Narkisim" w:hAnsi="Narkisim" w:cs="Narkisim"/>
          <w:szCs w:val="20"/>
          <w:rtl/>
        </w:rPr>
        <w:footnoteReference w:id="731"/>
      </w:r>
      <w:r w:rsidRPr="00012502">
        <w:rPr>
          <w:rFonts w:ascii="Narkisim" w:hAnsi="Narkisim" w:cs="Narkisim"/>
          <w:szCs w:val="20"/>
          <w:rtl/>
        </w:rPr>
        <w:t>, ודוקא ג' נשים הותר</w:t>
      </w:r>
      <w:r w:rsidRPr="00012502">
        <w:rPr>
          <w:rStyle w:val="ac"/>
          <w:rFonts w:ascii="Narkisim" w:hAnsi="Narkisim" w:cs="Narkisim"/>
          <w:szCs w:val="20"/>
          <w:rtl/>
        </w:rPr>
        <w:footnoteReference w:id="732"/>
      </w:r>
      <w:r w:rsidRPr="00012502">
        <w:rPr>
          <w:rFonts w:ascii="Narkisim" w:hAnsi="Narkisim" w:cs="Narkisim"/>
          <w:szCs w:val="20"/>
          <w:rtl/>
        </w:rPr>
        <w:t>. אבל ה</w:t>
      </w:r>
      <w:r w:rsidRPr="00012502">
        <w:rPr>
          <w:rFonts w:ascii="Narkisim" w:hAnsi="Narkisim" w:cs="Narkisim"/>
          <w:b/>
          <w:bCs/>
          <w:szCs w:val="20"/>
          <w:rtl/>
        </w:rPr>
        <w:t>אחרונים</w:t>
      </w:r>
      <w:r w:rsidRPr="00012502">
        <w:rPr>
          <w:rFonts w:ascii="Narkisim" w:hAnsi="Narkisim" w:cs="Narkisim"/>
          <w:szCs w:val="20"/>
          <w:rtl/>
        </w:rPr>
        <w:t xml:space="preserve"> (רע"א) העירו דלשון רש"י להדיא דאיירי קודם.</w:t>
      </w:r>
    </w:p>
    <w:p w14:paraId="61E7C268" w14:textId="77777777" w:rsidR="00BE1D1C" w:rsidRPr="00012502" w:rsidRDefault="00000000" w:rsidP="00012502">
      <w:pPr>
        <w:bidi/>
        <w:rPr>
          <w:rFonts w:ascii="Narkisim" w:hAnsi="Narkisim" w:cs="Narkisim"/>
        </w:rPr>
      </w:pPr>
      <w:r w:rsidRPr="00012502">
        <w:rPr>
          <w:rFonts w:ascii="Narkisim" w:hAnsi="Narkisim" w:cs="Narkisim"/>
          <w:rtl/>
        </w:rPr>
        <w:t xml:space="preserve">ולדעת </w:t>
      </w:r>
      <w:r w:rsidRPr="00012502">
        <w:rPr>
          <w:rFonts w:ascii="Narkisim" w:hAnsi="Narkisim" w:cs="Narkisim"/>
          <w:b/>
          <w:bCs/>
          <w:rtl/>
        </w:rPr>
        <w:t>רש"י</w:t>
      </w:r>
      <w:r w:rsidRPr="00012502">
        <w:rPr>
          <w:rFonts w:ascii="Narkisim" w:hAnsi="Narkisim" w:cs="Narkisim"/>
          <w:rtl/>
        </w:rPr>
        <w:t xml:space="preserve"> בג' נשים התירו, משום סכנה. ובשאר נשים אסור, ו</w:t>
      </w:r>
      <w:r w:rsidRPr="00012502">
        <w:rPr>
          <w:rFonts w:ascii="Narkisim" w:hAnsi="Narkisim" w:cs="Narkisim"/>
          <w:b/>
          <w:bCs/>
          <w:rtl/>
        </w:rPr>
        <w:t>תוס</w:t>
      </w:r>
      <w:r w:rsidRPr="00012502">
        <w:rPr>
          <w:rFonts w:ascii="Narkisim" w:hAnsi="Narkisim" w:cs="Narkisim"/>
          <w:rtl/>
        </w:rPr>
        <w:t xml:space="preserve">' פי' כוונתו משום השחתת זרע. ואילו לדעת </w:t>
      </w:r>
      <w:r w:rsidRPr="00012502">
        <w:rPr>
          <w:rFonts w:ascii="Narkisim" w:hAnsi="Narkisim" w:cs="Narkisim"/>
          <w:b/>
          <w:bCs/>
          <w:rtl/>
        </w:rPr>
        <w:t>ר"ת</w:t>
      </w:r>
      <w:r w:rsidRPr="00012502">
        <w:rPr>
          <w:rFonts w:ascii="Narkisim" w:hAnsi="Narkisim" w:cs="Narkisim"/>
          <w:rtl/>
        </w:rPr>
        <w:t xml:space="preserve"> אין כאן צד איסור [אחר תשמיש], אלא דג' נשים צריכות מוך </w:t>
      </w:r>
      <w:r w:rsidRPr="00012502">
        <w:rPr>
          <w:rFonts w:ascii="Narkisim" w:hAnsi="Narkisim" w:cs="Narkisim"/>
          <w:rtl/>
        </w:rPr>
        <w:lastRenderedPageBreak/>
        <w:t>[משום סכנה]</w:t>
      </w:r>
      <w:r w:rsidRPr="00012502">
        <w:rPr>
          <w:rStyle w:val="ac"/>
          <w:rFonts w:ascii="Narkisim" w:hAnsi="Narkisim" w:cs="Narkisim"/>
          <w:rtl/>
        </w:rPr>
        <w:footnoteReference w:id="733"/>
      </w:r>
      <w:r w:rsidRPr="00012502">
        <w:rPr>
          <w:rFonts w:ascii="Narkisim" w:hAnsi="Narkisim" w:cs="Narkisim"/>
          <w:rtl/>
        </w:rPr>
        <w:t>.</w:t>
      </w:r>
    </w:p>
    <w:p w14:paraId="131A08F2" w14:textId="77777777" w:rsidR="00BE1D1C" w:rsidRPr="00012502" w:rsidRDefault="00000000" w:rsidP="00012502">
      <w:pPr>
        <w:bidi/>
        <w:rPr>
          <w:rFonts w:ascii="Narkisim" w:hAnsi="Narkisim" w:cs="Narkisim"/>
        </w:rPr>
      </w:pPr>
      <w:r w:rsidRPr="00012502">
        <w:rPr>
          <w:rFonts w:ascii="Narkisim" w:hAnsi="Narkisim" w:cs="Narkisim"/>
          <w:u w:val="single"/>
          <w:rtl/>
        </w:rPr>
        <w:t>פחות מכאן משמשת כדרכה</w:t>
      </w:r>
      <w:r w:rsidRPr="00012502">
        <w:rPr>
          <w:rFonts w:ascii="Narkisim" w:hAnsi="Narkisim" w:cs="Narkisim"/>
          <w:rtl/>
        </w:rPr>
        <w:t>. כיון דבלאו הכי אינה יכולה להתעבר. וה</w:t>
      </w:r>
      <w:r w:rsidRPr="00012502">
        <w:rPr>
          <w:rFonts w:ascii="Narkisim" w:hAnsi="Narkisim" w:cs="Narkisim"/>
          <w:b/>
          <w:bCs/>
          <w:rtl/>
        </w:rPr>
        <w:t>ריטב"א</w:t>
      </w:r>
      <w:r w:rsidRPr="00012502">
        <w:rPr>
          <w:rFonts w:ascii="Narkisim" w:hAnsi="Narkisim" w:cs="Narkisim"/>
          <w:rtl/>
        </w:rPr>
        <w:t xml:space="preserve"> (ונמוק"י) דייק דלדעת רש"י אסורה לשים מוך, והק' הא אינה מתעברת כל עיקר, ואין המוך מעלה או מוריד כלום.</w:t>
      </w:r>
    </w:p>
    <w:p w14:paraId="68D5D460"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(בית מאיר כג) הק' דה"מ לאחר תשמיש, אבל קודם תשמיש ע"י המוך הוה כמו ע"ג עצים ואבנים [וכמ"ש תוס'</w:t>
      </w:r>
      <w:r w:rsidRPr="00012502">
        <w:rPr>
          <w:rStyle w:val="ac"/>
          <w:rFonts w:ascii="Narkisim" w:hAnsi="Narkisim"/>
          <w:rtl/>
        </w:rPr>
        <w:footnoteReference w:id="734"/>
      </w:r>
      <w:r w:rsidRPr="00012502">
        <w:rPr>
          <w:rFonts w:ascii="Narkisim" w:hAnsi="Narkisim"/>
          <w:rtl/>
        </w:rPr>
        <w:t xml:space="preserve">]. </w:t>
      </w:r>
      <w:r w:rsidRPr="00012502">
        <w:rPr>
          <w:rFonts w:ascii="Narkisim" w:hAnsi="Narkisim"/>
          <w:szCs w:val="20"/>
          <w:rtl/>
        </w:rPr>
        <w:t>ו</w:t>
      </w:r>
      <w:r w:rsidRPr="00012502">
        <w:rPr>
          <w:rFonts w:ascii="Narkisim" w:hAnsi="Narkisim"/>
          <w:b/>
          <w:bCs/>
          <w:szCs w:val="20"/>
          <w:rtl/>
        </w:rPr>
        <w:t>רע"א</w:t>
      </w:r>
      <w:r w:rsidRPr="00012502">
        <w:rPr>
          <w:rFonts w:ascii="Narkisim" w:hAnsi="Narkisim"/>
          <w:szCs w:val="20"/>
          <w:rtl/>
        </w:rPr>
        <w:t xml:space="preserve"> (שו"ת ק' עא ובחי') כת' דאף כשיש מוך קודם תשמיש נחשב דרך תשמיש, ואפ"ה יש איסור במה שמכניסה את המוך</w:t>
      </w:r>
      <w:r w:rsidRPr="00012502">
        <w:rPr>
          <w:rStyle w:val="ac"/>
          <w:rFonts w:ascii="Narkisim" w:hAnsi="Narkisim"/>
          <w:szCs w:val="20"/>
          <w:rtl/>
        </w:rPr>
        <w:footnoteReference w:id="735"/>
      </w:r>
      <w:r w:rsidRPr="00012502">
        <w:rPr>
          <w:rFonts w:ascii="Narkisim" w:hAnsi="Narkisim"/>
          <w:szCs w:val="20"/>
          <w:rtl/>
        </w:rPr>
        <w:t>, משום שמפסיד הזרע</w:t>
      </w:r>
      <w:r w:rsidRPr="00012502">
        <w:rPr>
          <w:rFonts w:ascii="Narkisim" w:hAnsi="Narkisim"/>
          <w:rtl/>
        </w:rPr>
        <w:t>.</w:t>
      </w:r>
    </w:p>
    <w:p w14:paraId="6E414402" w14:textId="77777777" w:rsidR="00BE1D1C" w:rsidRPr="00012502" w:rsidRDefault="00000000" w:rsidP="00012502">
      <w:pPr>
        <w:bidi/>
        <w:rPr>
          <w:rFonts w:ascii="Narkisim" w:hAnsi="Narkisim" w:cs="Narkisim"/>
        </w:rPr>
      </w:pPr>
      <w:r w:rsidRPr="00012502">
        <w:rPr>
          <w:rFonts w:ascii="Narkisim" w:hAnsi="Narkisim" w:cs="Narkisim"/>
          <w:u w:val="single"/>
          <w:rtl/>
        </w:rPr>
        <w:t>וחכ"א וכו' ומן השמים ירחמו משום שנא' שומר פתאים ה'</w:t>
      </w:r>
      <w:r w:rsidRPr="00012502">
        <w:rPr>
          <w:rStyle w:val="ac"/>
          <w:rFonts w:ascii="Narkisim" w:hAnsi="Narkisim" w:cs="Narkisim"/>
          <w:rtl/>
        </w:rPr>
        <w:footnoteReference w:id="736"/>
      </w:r>
      <w:r w:rsidRPr="00012502">
        <w:rPr>
          <w:rFonts w:ascii="Narkisim" w:hAnsi="Narkisim" w:cs="Narkisim"/>
          <w:rtl/>
        </w:rPr>
        <w:t>. לדעת ר"ת הוה קולא, דאי"צ להקפיד ולשמור מסכנה</w:t>
      </w:r>
      <w:r w:rsidRPr="00012502">
        <w:rPr>
          <w:rStyle w:val="ac"/>
          <w:rFonts w:ascii="Narkisim" w:hAnsi="Narkisim" w:cs="Narkisim"/>
          <w:rtl/>
        </w:rPr>
        <w:footnoteReference w:id="737"/>
      </w:r>
      <w:r w:rsidRPr="00012502">
        <w:rPr>
          <w:rFonts w:ascii="Narkisim" w:hAnsi="Narkisim" w:cs="Narkisim"/>
          <w:rtl/>
        </w:rPr>
        <w:t>. אבל לדעת רש"י הוה לחומרא, דאינם רשאים במוך משום השחתת זרע.</w:t>
      </w:r>
    </w:p>
    <w:p w14:paraId="58DAF876"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הק' אי איכא סכנה היאך מכניסות עצמן משום שומר פתאים ד'</w:t>
      </w:r>
      <w:r w:rsidRPr="00012502">
        <w:rPr>
          <w:rStyle w:val="ac"/>
          <w:rFonts w:ascii="Narkisim" w:hAnsi="Narkisim"/>
          <w:rtl/>
        </w:rPr>
        <w:footnoteReference w:id="738"/>
      </w:r>
      <w:r w:rsidRPr="00012502">
        <w:rPr>
          <w:rFonts w:ascii="Narkisim" w:hAnsi="Narkisim"/>
          <w:rtl/>
        </w:rPr>
        <w:t>. וה</w:t>
      </w:r>
      <w:r w:rsidRPr="00012502">
        <w:rPr>
          <w:rFonts w:ascii="Narkisim" w:hAnsi="Narkisim"/>
          <w:b/>
          <w:bCs/>
          <w:rtl/>
        </w:rPr>
        <w:t>אחרונים</w:t>
      </w:r>
      <w:r w:rsidRPr="00012502">
        <w:rPr>
          <w:rFonts w:ascii="Narkisim" w:hAnsi="Narkisim"/>
          <w:rtl/>
        </w:rPr>
        <w:t xml:space="preserve"> כתבו דע"כ הך סכנה לא שכיח [והאריכו בזה].</w:t>
      </w:r>
    </w:p>
    <w:p w14:paraId="637AAAE5" w14:textId="77777777" w:rsidR="00BE1D1C" w:rsidRPr="00012502" w:rsidRDefault="00000000" w:rsidP="00012502">
      <w:pPr>
        <w:bidi/>
        <w:rPr>
          <w:rFonts w:ascii="Narkisim" w:hAnsi="Narkisim" w:cs="Narkisim"/>
        </w:rPr>
      </w:pPr>
      <w:r w:rsidRPr="00012502">
        <w:rPr>
          <w:rFonts w:ascii="Narkisim" w:hAnsi="Narkisim" w:cs="Narkisim"/>
          <w:u w:val="single"/>
          <w:rtl/>
        </w:rPr>
        <w:t>תוד"ה שלש.</w:t>
      </w:r>
      <w:r w:rsidRPr="00012502">
        <w:rPr>
          <w:rFonts w:ascii="Narkisim" w:hAnsi="Narkisim" w:cs="Narkisim"/>
          <w:rtl/>
        </w:rPr>
        <w:t xml:space="preserve"> אבל שאר נשים אסורות, אע"ג דלא מיפקדה אפו"ר</w:t>
      </w:r>
      <w:r w:rsidRPr="00012502">
        <w:rPr>
          <w:rStyle w:val="ac"/>
          <w:rFonts w:ascii="Narkisim" w:hAnsi="Narkisim" w:cs="Narkisim"/>
          <w:rtl/>
        </w:rPr>
        <w:footnoteReference w:id="739"/>
      </w:r>
      <w:r w:rsidRPr="00012502">
        <w:rPr>
          <w:rFonts w:ascii="Narkisim" w:hAnsi="Narkisim" w:cs="Narkisim"/>
          <w:rtl/>
        </w:rPr>
        <w:t xml:space="preserve"> וכו'. דאיסור השחתת זרע לא תלי במצוות פריה ורביה</w:t>
      </w:r>
      <w:r w:rsidRPr="00012502">
        <w:rPr>
          <w:rStyle w:val="ac"/>
          <w:rFonts w:ascii="Narkisim" w:hAnsi="Narkisim" w:cs="Narkisim"/>
          <w:rtl/>
        </w:rPr>
        <w:footnoteReference w:id="740"/>
      </w:r>
      <w:r w:rsidRPr="00012502">
        <w:rPr>
          <w:rFonts w:ascii="Narkisim" w:hAnsi="Narkisim" w:cs="Narkisim"/>
          <w:rtl/>
        </w:rPr>
        <w:t>. ו</w:t>
      </w:r>
      <w:r w:rsidRPr="00012502">
        <w:rPr>
          <w:rFonts w:ascii="Narkisim" w:hAnsi="Narkisim" w:cs="Narkisim"/>
          <w:b/>
          <w:bCs/>
          <w:rtl/>
        </w:rPr>
        <w:t>תוס</w:t>
      </w:r>
      <w:r w:rsidRPr="00012502">
        <w:rPr>
          <w:rFonts w:ascii="Narkisim" w:hAnsi="Narkisim" w:cs="Narkisim"/>
          <w:rtl/>
        </w:rPr>
        <w:t xml:space="preserve">' (נדה יג.) הוכיח כן, דהא השוו איש ואשה לכל עונשין דבתורה. ודעת </w:t>
      </w:r>
      <w:r w:rsidRPr="00012502">
        <w:rPr>
          <w:rFonts w:ascii="Narkisim" w:hAnsi="Narkisim" w:cs="Narkisim"/>
          <w:b/>
          <w:bCs/>
          <w:rtl/>
        </w:rPr>
        <w:t>ר"ת</w:t>
      </w:r>
      <w:r w:rsidRPr="00012502">
        <w:rPr>
          <w:rFonts w:ascii="Narkisim" w:hAnsi="Narkisim" w:cs="Narkisim"/>
          <w:rtl/>
        </w:rPr>
        <w:t xml:space="preserve"> (בסו"ד התוס') דנשים אינן מוזהרות.</w:t>
      </w:r>
    </w:p>
    <w:p w14:paraId="73FAFFD6" w14:textId="77777777" w:rsidR="00BE1D1C" w:rsidRPr="00012502" w:rsidRDefault="00000000" w:rsidP="00012502">
      <w:pPr>
        <w:bidi/>
        <w:rPr>
          <w:rFonts w:ascii="Narkisim" w:hAnsi="Narkisim" w:cs="Narkisim"/>
        </w:rPr>
      </w:pPr>
      <w:r w:rsidRPr="00012502">
        <w:rPr>
          <w:rFonts w:ascii="Narkisim" w:hAnsi="Narkisim" w:cs="Narkisim"/>
          <w:u w:val="single"/>
          <w:rtl/>
        </w:rPr>
        <w:t>שם. מותר לשמש במוך</w:t>
      </w:r>
      <w:r w:rsidRPr="00012502">
        <w:rPr>
          <w:rFonts w:ascii="Narkisim" w:hAnsi="Narkisim" w:cs="Narkisim"/>
          <w:rtl/>
        </w:rPr>
        <w:t>. משמע דלדעת רש"י ג' נשים התירו משום סכנה. וה</w:t>
      </w:r>
      <w:r w:rsidRPr="00012502">
        <w:rPr>
          <w:rFonts w:ascii="Narkisim" w:hAnsi="Narkisim" w:cs="Narkisim"/>
          <w:b/>
          <w:bCs/>
          <w:rtl/>
        </w:rPr>
        <w:t>אחרונים</w:t>
      </w:r>
      <w:r w:rsidRPr="00012502">
        <w:rPr>
          <w:rFonts w:ascii="Narkisim" w:hAnsi="Narkisim" w:cs="Narkisim"/>
          <w:rtl/>
        </w:rPr>
        <w:t xml:space="preserve"> (קובה"ע כג, חזו"א, ר' ראובן) הק' האיך מותרת לשמש במוך משום סכנה, לא תשמש ולא תסתכן. [ע' בדבריהם].</w:t>
      </w:r>
    </w:p>
    <w:p w14:paraId="7F359D1D" w14:textId="77777777" w:rsidR="00BE1D1C" w:rsidRPr="00012502" w:rsidRDefault="00000000" w:rsidP="00012502">
      <w:pPr>
        <w:pStyle w:val="a8"/>
        <w:bidi/>
        <w:rPr>
          <w:rFonts w:ascii="Narkisim" w:hAnsi="Narkisim"/>
        </w:rPr>
      </w:pPr>
      <w:r w:rsidRPr="00012502">
        <w:rPr>
          <w:rFonts w:ascii="Narkisim" w:hAnsi="Narkisim"/>
          <w:rtl/>
        </w:rPr>
        <w:t>ועד"ז הק' ה</w:t>
      </w:r>
      <w:r w:rsidRPr="00012502">
        <w:rPr>
          <w:rFonts w:ascii="Narkisim" w:hAnsi="Narkisim"/>
          <w:b/>
          <w:bCs/>
          <w:rtl/>
        </w:rPr>
        <w:t>תוס' רא"ש</w:t>
      </w:r>
      <w:r w:rsidRPr="00012502">
        <w:rPr>
          <w:rFonts w:ascii="Narkisim" w:hAnsi="Narkisim"/>
          <w:rtl/>
        </w:rPr>
        <w:t xml:space="preserve"> [על רש"י] כיון דמשחית זרעו</w:t>
      </w:r>
      <w:r w:rsidRPr="00012502">
        <w:rPr>
          <w:rStyle w:val="ac"/>
          <w:rFonts w:ascii="Narkisim" w:hAnsi="Narkisim"/>
          <w:rtl/>
        </w:rPr>
        <w:footnoteReference w:id="741"/>
      </w:r>
      <w:r w:rsidRPr="00012502">
        <w:rPr>
          <w:rFonts w:ascii="Narkisim" w:hAnsi="Narkisim"/>
          <w:rtl/>
        </w:rPr>
        <w:t xml:space="preserve"> כמביא מבול לעולם (נדה יג.) לא מסתבר שיתירו לאלו הנשים בשביל שמחת עונה, מוטב שלא ישמשו כלל</w:t>
      </w:r>
      <w:r w:rsidRPr="00012502">
        <w:rPr>
          <w:rStyle w:val="ac"/>
          <w:rFonts w:ascii="Narkisim" w:hAnsi="Narkisim"/>
          <w:rtl/>
        </w:rPr>
        <w:footnoteReference w:id="742"/>
      </w:r>
      <w:r w:rsidRPr="00012502">
        <w:rPr>
          <w:rFonts w:ascii="Narkisim" w:hAnsi="Narkisim"/>
          <w:rtl/>
        </w:rPr>
        <w:t>.</w:t>
      </w:r>
    </w:p>
    <w:p w14:paraId="46D962C9" w14:textId="77777777" w:rsidR="00BE1D1C" w:rsidRPr="00012502" w:rsidRDefault="00000000" w:rsidP="00012502">
      <w:pPr>
        <w:pStyle w:val="a8"/>
        <w:bidi/>
        <w:rPr>
          <w:rFonts w:ascii="Narkisim" w:hAnsi="Narkisim"/>
        </w:rPr>
      </w:pPr>
      <w:r w:rsidRPr="00012502">
        <w:rPr>
          <w:rFonts w:ascii="Narkisim" w:hAnsi="Narkisim"/>
          <w:rtl/>
        </w:rPr>
        <w:t>אבל ה</w:t>
      </w:r>
      <w:r w:rsidRPr="00012502">
        <w:rPr>
          <w:rFonts w:ascii="Narkisim" w:hAnsi="Narkisim"/>
          <w:b/>
          <w:bCs/>
          <w:rtl/>
        </w:rPr>
        <w:t>ריטב"א</w:t>
      </w:r>
      <w:r w:rsidRPr="00012502">
        <w:rPr>
          <w:rFonts w:ascii="Narkisim" w:hAnsi="Narkisim"/>
          <w:rtl/>
        </w:rPr>
        <w:t xml:space="preserve"> (כתובות לט.) כתב דהתירו משום מצוות עונה, ועוד דהוה דרך תשמיש. וה</w:t>
      </w:r>
      <w:r w:rsidRPr="00012502">
        <w:rPr>
          <w:rFonts w:ascii="Narkisim" w:hAnsi="Narkisim"/>
          <w:b/>
          <w:bCs/>
          <w:rtl/>
        </w:rPr>
        <w:t>תוס' רי"ד</w:t>
      </w:r>
      <w:r w:rsidRPr="00012502">
        <w:rPr>
          <w:rFonts w:ascii="Narkisim" w:hAnsi="Narkisim"/>
          <w:rtl/>
        </w:rPr>
        <w:t xml:space="preserve"> כתב דהתורה אסרה רק אם כוונתו שלא תתעבר, אבל אם כוונתו שלא תבא לידי סכנה, או משום תאות יצרו מותר</w:t>
      </w:r>
      <w:r w:rsidRPr="00012502">
        <w:rPr>
          <w:rStyle w:val="ac"/>
          <w:rFonts w:ascii="Narkisim" w:hAnsi="Narkisim"/>
          <w:rtl/>
        </w:rPr>
        <w:footnoteReference w:id="743"/>
      </w:r>
      <w:r w:rsidRPr="00012502">
        <w:rPr>
          <w:rFonts w:ascii="Narkisim" w:hAnsi="Narkisim"/>
          <w:rtl/>
        </w:rPr>
        <w:t>. וה</w:t>
      </w:r>
      <w:r w:rsidRPr="00012502">
        <w:rPr>
          <w:rFonts w:ascii="Narkisim" w:hAnsi="Narkisim"/>
          <w:b/>
          <w:bCs/>
          <w:rtl/>
        </w:rPr>
        <w:t>אחרונים</w:t>
      </w:r>
      <w:r w:rsidRPr="00012502">
        <w:rPr>
          <w:rFonts w:ascii="Narkisim" w:hAnsi="Narkisim"/>
          <w:rtl/>
        </w:rPr>
        <w:t xml:space="preserve"> ביארו דס"ל דאיסור השחתת זרע הוה כאיסור בל תשחית, והותר לצורך</w:t>
      </w:r>
      <w:r w:rsidRPr="00012502">
        <w:rPr>
          <w:rStyle w:val="ac"/>
          <w:rFonts w:ascii="Narkisim" w:hAnsi="Narkisim"/>
          <w:rtl/>
        </w:rPr>
        <w:footnoteReference w:id="744"/>
      </w:r>
      <w:r w:rsidRPr="00012502">
        <w:rPr>
          <w:rFonts w:ascii="Narkisim" w:hAnsi="Narkisim"/>
          <w:rtl/>
        </w:rPr>
        <w:t>.</w:t>
      </w:r>
    </w:p>
    <w:p w14:paraId="1CAF9F99" w14:textId="77777777" w:rsidR="00BE1D1C" w:rsidRPr="00012502" w:rsidRDefault="00000000" w:rsidP="00012502">
      <w:pPr>
        <w:pStyle w:val="aa"/>
        <w:bidi/>
        <w:rPr>
          <w:rFonts w:ascii="Narkisim" w:hAnsi="Narkisim"/>
        </w:rPr>
      </w:pPr>
      <w:r w:rsidRPr="00012502">
        <w:rPr>
          <w:rFonts w:ascii="Narkisim" w:hAnsi="Narkisim"/>
          <w:u w:val="single"/>
          <w:rtl/>
        </w:rPr>
        <w:t>בא"ד (שם) אע"ג דלא מיפקדה אפו"ר וכו'</w:t>
      </w:r>
      <w:r w:rsidRPr="00012502">
        <w:rPr>
          <w:rFonts w:ascii="Narkisim" w:hAnsi="Narkisim"/>
          <w:rtl/>
        </w:rPr>
        <w:t>. משמע דהאשה מניחה מוך לפני תשמיש, ונחשב האיסור דידה. וה</w:t>
      </w:r>
      <w:r w:rsidRPr="00012502">
        <w:rPr>
          <w:rFonts w:ascii="Narkisim" w:hAnsi="Narkisim"/>
          <w:b/>
          <w:bCs/>
          <w:rtl/>
        </w:rPr>
        <w:t>אחרונים</w:t>
      </w:r>
      <w:r w:rsidRPr="00012502">
        <w:rPr>
          <w:rFonts w:ascii="Narkisim" w:hAnsi="Narkisim"/>
          <w:rtl/>
        </w:rPr>
        <w:t xml:space="preserve"> (רע"א) הק' דאי לא חשיב כדרך הוה איסור אף לבעל. וכן מבואר בדעת ר"ת דס"ל דנשים לא מפקדה, ואפ"ה ס"ל דקודם תשמיש אסור, ואח"כ הוה משום הבעל.</w:t>
      </w:r>
    </w:p>
    <w:p w14:paraId="188A7D9C" w14:textId="77777777" w:rsidR="00BE1D1C" w:rsidRPr="00012502" w:rsidRDefault="00000000" w:rsidP="00012502">
      <w:pPr>
        <w:pStyle w:val="a8"/>
        <w:bidi/>
        <w:rPr>
          <w:rFonts w:ascii="Narkisim" w:hAnsi="Narkisim"/>
        </w:rPr>
      </w:pPr>
      <w:r w:rsidRPr="00012502">
        <w:rPr>
          <w:rFonts w:ascii="Narkisim" w:hAnsi="Narkisim"/>
          <w:rtl/>
        </w:rPr>
        <w:t>אבל לדעת רש"י לאחר שהכניסה את המוך נחשב התשמיש כדרך הארץ. וכל האיסור בהכנסה.</w:t>
      </w:r>
    </w:p>
    <w:p w14:paraId="14019906"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(כתובות לט.) כת' ועוד</w:t>
      </w:r>
      <w:r w:rsidRPr="00012502">
        <w:rPr>
          <w:rStyle w:val="ac"/>
          <w:rFonts w:ascii="Narkisim" w:hAnsi="Narkisim"/>
          <w:rtl/>
        </w:rPr>
        <w:footnoteReference w:id="745"/>
      </w:r>
      <w:r w:rsidRPr="00012502">
        <w:rPr>
          <w:rFonts w:ascii="Narkisim" w:hAnsi="Narkisim"/>
          <w:rtl/>
        </w:rPr>
        <w:t xml:space="preserve"> דאפי' נותנת מוך אח"כ אסורה, דנשים מצוות משום השחתת זרע.</w:t>
      </w:r>
    </w:p>
    <w:p w14:paraId="1C583C5F" w14:textId="77777777" w:rsidR="00BE1D1C" w:rsidRPr="00012502" w:rsidRDefault="00000000" w:rsidP="00012502">
      <w:pPr>
        <w:pStyle w:val="aa"/>
        <w:bidi/>
        <w:rPr>
          <w:rFonts w:ascii="Narkisim" w:hAnsi="Narkisim"/>
        </w:rPr>
      </w:pPr>
      <w:r w:rsidRPr="00012502">
        <w:rPr>
          <w:rFonts w:ascii="Narkisim" w:hAnsi="Narkisim"/>
          <w:u w:val="single"/>
          <w:rtl/>
        </w:rPr>
        <w:lastRenderedPageBreak/>
        <w:t>בא"ד ור"ת אומר דלפני ודאי אסור, דאין דרך תשמיש בכך וכו'</w:t>
      </w:r>
      <w:r w:rsidRPr="00012502">
        <w:rPr>
          <w:rFonts w:ascii="Narkisim" w:hAnsi="Narkisim"/>
          <w:rtl/>
        </w:rPr>
        <w:t xml:space="preserve">. אבל </w:t>
      </w:r>
      <w:r w:rsidRPr="00012502">
        <w:rPr>
          <w:rFonts w:ascii="Narkisim" w:hAnsi="Narkisim"/>
          <w:b/>
          <w:bCs/>
          <w:rtl/>
        </w:rPr>
        <w:t>תוס</w:t>
      </w:r>
      <w:r w:rsidRPr="00012502">
        <w:rPr>
          <w:rFonts w:ascii="Narkisim" w:hAnsi="Narkisim"/>
          <w:rtl/>
        </w:rPr>
        <w:t>' (כתובות לט.) הביאו ד</w:t>
      </w:r>
      <w:r w:rsidRPr="00012502">
        <w:rPr>
          <w:rFonts w:ascii="Narkisim" w:hAnsi="Narkisim"/>
          <w:b/>
          <w:bCs/>
          <w:rtl/>
        </w:rPr>
        <w:t>ר"ת</w:t>
      </w:r>
      <w:r w:rsidRPr="00012502">
        <w:rPr>
          <w:rFonts w:ascii="Narkisim" w:hAnsi="Narkisim"/>
          <w:rtl/>
        </w:rPr>
        <w:t xml:space="preserve"> הק' דמותר לשמש בהדי קטנה ואילונית, דכיון שהוא דרך תשמיש לא נחשב השחתת זרע.</w:t>
      </w:r>
    </w:p>
    <w:p w14:paraId="0010BD0A" w14:textId="77777777" w:rsidR="00BE1D1C" w:rsidRPr="00012502" w:rsidRDefault="00000000" w:rsidP="00012502">
      <w:pPr>
        <w:pStyle w:val="a8"/>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xml:space="preserve">' דידן תי' דאין דרך תשמיש בכך, והוה כמטיל על עצים ואבנים. וכ"כ </w:t>
      </w:r>
      <w:r w:rsidRPr="00012502">
        <w:rPr>
          <w:rFonts w:ascii="Narkisim" w:hAnsi="Narkisim"/>
          <w:b/>
          <w:bCs/>
          <w:rtl/>
        </w:rPr>
        <w:t>תוס</w:t>
      </w:r>
      <w:r w:rsidRPr="00012502">
        <w:rPr>
          <w:rFonts w:ascii="Narkisim" w:hAnsi="Narkisim"/>
          <w:rtl/>
        </w:rPr>
        <w:t xml:space="preserve">' (כתובות הנ"ל) בשם </w:t>
      </w:r>
      <w:r w:rsidRPr="00012502">
        <w:rPr>
          <w:rFonts w:ascii="Narkisim" w:hAnsi="Narkisim"/>
          <w:b/>
          <w:bCs/>
          <w:rtl/>
        </w:rPr>
        <w:t>ר"י</w:t>
      </w:r>
      <w:r w:rsidRPr="00012502">
        <w:rPr>
          <w:rStyle w:val="ac"/>
          <w:rFonts w:ascii="Narkisim" w:hAnsi="Narkisim"/>
          <w:rtl/>
        </w:rPr>
        <w:footnoteReference w:id="746"/>
      </w:r>
      <w:r w:rsidRPr="00012502">
        <w:rPr>
          <w:rFonts w:ascii="Narkisim" w:hAnsi="Narkisim"/>
          <w:rtl/>
        </w:rPr>
        <w:t>.</w:t>
      </w:r>
    </w:p>
    <w:p w14:paraId="1D30E8C6" w14:textId="77777777" w:rsidR="00BE1D1C" w:rsidRPr="00012502" w:rsidRDefault="00000000" w:rsidP="00012502">
      <w:pPr>
        <w:pStyle w:val="aa"/>
        <w:bidi/>
        <w:rPr>
          <w:rFonts w:ascii="Narkisim" w:hAnsi="Narkisim"/>
        </w:rPr>
      </w:pPr>
      <w:r w:rsidRPr="00012502">
        <w:rPr>
          <w:rFonts w:ascii="Narkisim" w:hAnsi="Narkisim"/>
          <w:u w:val="single"/>
          <w:rtl/>
        </w:rPr>
        <w:t>בא"ד והאשה שנותנת אח"כ מוך לא הוזהרה וכו'</w:t>
      </w:r>
      <w:r w:rsidRPr="00012502">
        <w:rPr>
          <w:rFonts w:ascii="Narkisim" w:hAnsi="Narkisim"/>
          <w:rtl/>
        </w:rPr>
        <w:t>. [ותוס' לעיל הביאו מח' אי הוזהרה אהשחתה</w:t>
      </w:r>
      <w:r w:rsidRPr="00012502">
        <w:rPr>
          <w:rStyle w:val="ac"/>
          <w:rFonts w:ascii="Narkisim" w:hAnsi="Narkisim"/>
          <w:rtl/>
        </w:rPr>
        <w:footnoteReference w:id="747"/>
      </w:r>
      <w:r w:rsidRPr="00012502">
        <w:rPr>
          <w:rFonts w:ascii="Narkisim" w:hAnsi="Narkisim"/>
          <w:rtl/>
        </w:rPr>
        <w:t>]. ותוס' נקטו דאף לאחר מעשה שייך איסור השחתת זרע</w:t>
      </w:r>
      <w:r w:rsidRPr="00012502">
        <w:rPr>
          <w:rStyle w:val="ac"/>
          <w:rFonts w:ascii="Narkisim" w:hAnsi="Narkisim"/>
          <w:rtl/>
        </w:rPr>
        <w:footnoteReference w:id="748"/>
      </w:r>
      <w:r w:rsidRPr="00012502">
        <w:rPr>
          <w:rFonts w:ascii="Narkisim" w:hAnsi="Narkisim"/>
          <w:rtl/>
        </w:rPr>
        <w:t>. אבל ה</w:t>
      </w:r>
      <w:r w:rsidRPr="00012502">
        <w:rPr>
          <w:rFonts w:ascii="Narkisim" w:hAnsi="Narkisim"/>
          <w:b/>
          <w:bCs/>
          <w:rtl/>
        </w:rPr>
        <w:t>תוס' הרא"ש</w:t>
      </w:r>
      <w:r w:rsidRPr="00012502">
        <w:rPr>
          <w:rFonts w:ascii="Narkisim" w:hAnsi="Narkisim"/>
          <w:rtl/>
        </w:rPr>
        <w:t xml:space="preserve"> חלק דלאחר תשמיש [אף אי מפקדי] לא מקרי השחתת זרע, אלא במי שגורם להוציא לבטלה. אבל לאחר שיצא מהגוף ל"ש השחתה.</w:t>
      </w:r>
    </w:p>
    <w:p w14:paraId="785EB9FC" w14:textId="77777777" w:rsidR="00BE1D1C" w:rsidRPr="00012502" w:rsidRDefault="00000000" w:rsidP="00012502">
      <w:pPr>
        <w:pStyle w:val="aa"/>
        <w:bidi/>
        <w:rPr>
          <w:rFonts w:ascii="Narkisim" w:hAnsi="Narkisim"/>
        </w:rPr>
      </w:pPr>
      <w:r w:rsidRPr="00012502">
        <w:rPr>
          <w:rFonts w:ascii="Narkisim" w:hAnsi="Narkisim"/>
          <w:u w:val="single"/>
          <w:rtl/>
        </w:rPr>
        <w:t>בא"ד (שם) דלפני תשמיש ודאי אסור</w:t>
      </w:r>
      <w:r w:rsidRPr="00012502">
        <w:rPr>
          <w:rFonts w:ascii="Narkisim" w:hAnsi="Narkisim"/>
          <w:rtl/>
        </w:rPr>
        <w:t>. וה</w:t>
      </w:r>
      <w:r w:rsidRPr="00012502">
        <w:rPr>
          <w:rFonts w:ascii="Narkisim" w:hAnsi="Narkisim"/>
          <w:b/>
          <w:bCs/>
          <w:rtl/>
        </w:rPr>
        <w:t>אחרונים</w:t>
      </w:r>
      <w:r w:rsidRPr="00012502">
        <w:rPr>
          <w:rFonts w:ascii="Narkisim" w:hAnsi="Narkisim"/>
          <w:rtl/>
        </w:rPr>
        <w:t xml:space="preserve"> דנו האם כוונת התוס' דבשאר נשים אסור [וכ"מ בריטב"א], או [כתוס' כתובות] דאף בג' נשים הותר רק לאחר תשמיש.</w:t>
      </w:r>
    </w:p>
    <w:p w14:paraId="65120004" w14:textId="77777777" w:rsidR="00BE1D1C" w:rsidRPr="00012502" w:rsidRDefault="00000000" w:rsidP="00012502">
      <w:pPr>
        <w:pStyle w:val="aa"/>
        <w:bidi/>
        <w:rPr>
          <w:rFonts w:ascii="Narkisim" w:hAnsi="Narkisim"/>
        </w:rPr>
      </w:pPr>
      <w:r w:rsidRPr="00012502">
        <w:rPr>
          <w:rFonts w:ascii="Narkisim" w:hAnsi="Narkisim"/>
          <w:u w:val="single"/>
          <w:rtl/>
        </w:rPr>
        <w:t>דאמר רבה בר ליואי וכו' תוך הזמן היא מת ועוברה מת</w:t>
      </w:r>
      <w:r w:rsidRPr="00012502">
        <w:rPr>
          <w:rFonts w:ascii="Narkisim" w:hAnsi="Narkisim"/>
          <w:rtl/>
        </w:rPr>
        <w:t xml:space="preserve">. ע' </w:t>
      </w:r>
      <w:r w:rsidRPr="00012502">
        <w:rPr>
          <w:rFonts w:ascii="Narkisim" w:hAnsi="Narkisim"/>
          <w:b/>
          <w:bCs/>
          <w:rtl/>
        </w:rPr>
        <w:t>רמב"ן</w:t>
      </w:r>
      <w:r w:rsidRPr="00012502">
        <w:rPr>
          <w:rFonts w:ascii="Narkisim" w:hAnsi="Narkisim"/>
          <w:rtl/>
        </w:rPr>
        <w:t xml:space="preserve"> ו</w:t>
      </w:r>
      <w:r w:rsidRPr="00012502">
        <w:rPr>
          <w:rFonts w:ascii="Narkisim" w:hAnsi="Narkisim"/>
          <w:b/>
          <w:bCs/>
          <w:rtl/>
        </w:rPr>
        <w:t>ריטב"א</w:t>
      </w:r>
      <w:r w:rsidRPr="00012502">
        <w:rPr>
          <w:rFonts w:ascii="Narkisim" w:hAnsi="Narkisim"/>
          <w:rtl/>
        </w:rPr>
        <w:t xml:space="preserve"> היאך מתיישב למסקנת הגמ'. וע' תוד"ה שכבר.</w:t>
      </w:r>
    </w:p>
    <w:p w14:paraId="7E9782E0" w14:textId="77777777" w:rsidR="00BE1D1C" w:rsidRPr="00012502" w:rsidRDefault="00000000" w:rsidP="00012502">
      <w:pPr>
        <w:bidi/>
        <w:rPr>
          <w:rFonts w:ascii="Narkisim" w:hAnsi="Narkisim" w:cs="Narkisim"/>
        </w:rPr>
      </w:pPr>
      <w:r w:rsidRPr="00012502">
        <w:rPr>
          <w:rFonts w:ascii="Narkisim" w:hAnsi="Narkisim" w:cs="Narkisim"/>
          <w:u w:val="single"/>
          <w:rtl/>
        </w:rPr>
        <w:t>א"ר ספרא בנים הרי הם כסימנים וכו'</w:t>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אפי' היא קטנה, יולדת אינה ממאנת. [דע"י לידת הבנים הוה גדלות].</w:t>
      </w:r>
    </w:p>
    <w:p w14:paraId="1584BB05" w14:textId="77777777" w:rsidR="00BE1D1C" w:rsidRPr="00012502" w:rsidRDefault="00000000" w:rsidP="00012502">
      <w:pPr>
        <w:bidi/>
        <w:rPr>
          <w:rFonts w:ascii="Narkisim" w:hAnsi="Narkisim" w:cs="Narkisim"/>
        </w:rPr>
      </w:pPr>
      <w:r w:rsidRPr="00012502">
        <w:rPr>
          <w:rFonts w:ascii="Narkisim" w:hAnsi="Narkisim" w:cs="Narkisim"/>
          <w:rtl/>
        </w:rPr>
        <w:t>ה</w:t>
      </w:r>
      <w:r w:rsidRPr="00012502">
        <w:rPr>
          <w:rFonts w:ascii="Narkisim" w:hAnsi="Narkisim" w:cs="Narkisim"/>
          <w:b/>
          <w:bCs/>
          <w:rtl/>
        </w:rPr>
        <w:t>אחרונים</w:t>
      </w:r>
      <w:r w:rsidRPr="00012502">
        <w:rPr>
          <w:rFonts w:ascii="Narkisim" w:hAnsi="Narkisim" w:cs="Narkisim"/>
          <w:rtl/>
        </w:rPr>
        <w:t xml:space="preserve"> (חי' ר' ראובן) חקרו בגדר סימנים, האם ב' שערות הוה 'סימן' לגדלות, או דהוה עצם הגדלות </w:t>
      </w:r>
      <w:r w:rsidRPr="00012502">
        <w:rPr>
          <w:rFonts w:ascii="Narkisim" w:hAnsi="Narkisim" w:cs="Narkisim"/>
          <w:sz w:val="20"/>
          <w:szCs w:val="20"/>
          <w:rtl/>
        </w:rPr>
        <w:t>[דהתורה קבעה דמי</w:t>
      </w:r>
      <w:r w:rsidRPr="00012502">
        <w:rPr>
          <w:rFonts w:ascii="Narkisim" w:hAnsi="Narkisim" w:cs="Narkisim"/>
          <w:rtl/>
        </w:rPr>
        <w:t xml:space="preserve"> </w:t>
      </w:r>
      <w:r w:rsidRPr="00012502">
        <w:rPr>
          <w:rFonts w:ascii="Narkisim" w:hAnsi="Narkisim" w:cs="Narkisim"/>
          <w:sz w:val="20"/>
          <w:szCs w:val="20"/>
          <w:rtl/>
        </w:rPr>
        <w:t>שיש לו סימנים כאלו נחשב גדול. וכן הביאו מדברי ה</w:t>
      </w:r>
      <w:r w:rsidRPr="00012502">
        <w:rPr>
          <w:rFonts w:ascii="Narkisim" w:hAnsi="Narkisim" w:cs="Narkisim"/>
          <w:b/>
          <w:bCs/>
          <w:sz w:val="20"/>
          <w:szCs w:val="20"/>
          <w:rtl/>
        </w:rPr>
        <w:t>שיטמ"ק</w:t>
      </w:r>
      <w:r w:rsidRPr="00012502">
        <w:rPr>
          <w:rFonts w:ascii="Narkisim" w:hAnsi="Narkisim" w:cs="Narkisim"/>
          <w:sz w:val="20"/>
          <w:szCs w:val="20"/>
          <w:rtl/>
        </w:rPr>
        <w:t xml:space="preserve"> ב"ב נו:</w:t>
      </w:r>
      <w:r w:rsidRPr="00012502">
        <w:rPr>
          <w:rStyle w:val="ac"/>
          <w:rFonts w:ascii="Narkisim" w:hAnsi="Narkisim" w:cs="Narkisim"/>
          <w:sz w:val="20"/>
          <w:szCs w:val="20"/>
          <w:rtl/>
        </w:rPr>
        <w:footnoteReference w:id="749"/>
      </w:r>
      <w:r w:rsidRPr="00012502">
        <w:rPr>
          <w:rFonts w:ascii="Narkisim" w:hAnsi="Narkisim" w:cs="Narkisim"/>
          <w:sz w:val="20"/>
          <w:szCs w:val="20"/>
          <w:rtl/>
        </w:rPr>
        <w:t>].</w:t>
      </w:r>
      <w:r w:rsidRPr="00012502">
        <w:rPr>
          <w:rFonts w:ascii="Narkisim" w:hAnsi="Narkisim" w:cs="Narkisim"/>
          <w:rtl/>
        </w:rPr>
        <w:t xml:space="preserve"> וה</w:t>
      </w:r>
      <w:r w:rsidRPr="00012502">
        <w:rPr>
          <w:rFonts w:ascii="Narkisim" w:hAnsi="Narkisim" w:cs="Narkisim"/>
          <w:b/>
          <w:bCs/>
          <w:rtl/>
        </w:rPr>
        <w:t>מהרי"ט</w:t>
      </w:r>
      <w:r w:rsidRPr="00012502">
        <w:rPr>
          <w:rFonts w:ascii="Narkisim" w:hAnsi="Narkisim" w:cs="Narkisim"/>
          <w:rtl/>
        </w:rPr>
        <w:t xml:space="preserve"> (א ס"ס נא) הביא מסוגיין דב' שערות ושנים הוה רק סימן</w:t>
      </w:r>
      <w:r w:rsidRPr="00012502">
        <w:rPr>
          <w:rStyle w:val="ac"/>
          <w:rFonts w:ascii="Narkisim" w:hAnsi="Narkisim" w:cs="Narkisim"/>
          <w:rtl/>
        </w:rPr>
        <w:footnoteReference w:id="750"/>
      </w:r>
      <w:r w:rsidRPr="00012502">
        <w:rPr>
          <w:rFonts w:ascii="Narkisim" w:hAnsi="Narkisim" w:cs="Narkisim"/>
          <w:rtl/>
        </w:rPr>
        <w:t>, דהא בסוגיין מהני בנים בלא שערות, ואף לפני השנים [ע' בסמוך]. אבל ה</w:t>
      </w:r>
      <w:r w:rsidRPr="00012502">
        <w:rPr>
          <w:rFonts w:ascii="Narkisim" w:hAnsi="Narkisim" w:cs="Narkisim"/>
          <w:b/>
          <w:bCs/>
          <w:rtl/>
        </w:rPr>
        <w:t>גר"ח</w:t>
      </w:r>
      <w:r w:rsidRPr="00012502">
        <w:rPr>
          <w:rFonts w:ascii="Narkisim" w:hAnsi="Narkisim" w:cs="Narkisim"/>
          <w:rtl/>
        </w:rPr>
        <w:t xml:space="preserve"> (ע' בסמוך) נקט דאף לידת בנים הוה 'סימנין', ונחשב סיבה לעצם הגדלות.</w:t>
      </w:r>
    </w:p>
    <w:p w14:paraId="20077B2C"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רי"ף</w:t>
      </w:r>
      <w:r w:rsidRPr="00012502">
        <w:rPr>
          <w:rFonts w:ascii="Narkisim" w:hAnsi="Narkisim" w:cs="Narkisim"/>
          <w:rtl/>
        </w:rPr>
        <w:t xml:space="preserve"> כת' כלומר קטנה שילדה כנערה שהביאה סימנים דמי</w:t>
      </w:r>
      <w:r w:rsidRPr="00012502">
        <w:rPr>
          <w:rStyle w:val="ac"/>
          <w:rFonts w:ascii="Narkisim" w:hAnsi="Narkisim" w:cs="Narkisim"/>
          <w:rtl/>
        </w:rPr>
        <w:footnoteReference w:id="751"/>
      </w:r>
      <w:r w:rsidRPr="00012502">
        <w:rPr>
          <w:rFonts w:ascii="Narkisim" w:hAnsi="Narkisim" w:cs="Narkisim"/>
          <w:rtl/>
        </w:rPr>
        <w:t>. וה</w:t>
      </w:r>
      <w:r w:rsidRPr="00012502">
        <w:rPr>
          <w:rFonts w:ascii="Narkisim" w:hAnsi="Narkisim" w:cs="Narkisim"/>
          <w:b/>
          <w:bCs/>
          <w:rtl/>
        </w:rPr>
        <w:t>רמב"ן</w:t>
      </w:r>
      <w:r w:rsidRPr="00012502">
        <w:rPr>
          <w:rFonts w:ascii="Narkisim" w:hAnsi="Narkisim" w:cs="Narkisim"/>
          <w:rtl/>
        </w:rPr>
        <w:t xml:space="preserve"> ביאר דכוונת לפרש דמהני בנים אפי' תוך הזמן (וכ</w:t>
      </w:r>
      <w:r w:rsidRPr="00012502">
        <w:rPr>
          <w:rFonts w:ascii="Narkisim" w:hAnsi="Narkisim" w:cs="Narkisim"/>
          <w:b/>
          <w:bCs/>
          <w:rtl/>
        </w:rPr>
        <w:t>תוס'</w:t>
      </w:r>
      <w:r w:rsidRPr="00012502">
        <w:rPr>
          <w:rFonts w:ascii="Narkisim" w:hAnsi="Narkisim" w:cs="Narkisim"/>
          <w:rtl/>
        </w:rPr>
        <w:t xml:space="preserve"> ד"ה הרי). אבל דעת ה</w:t>
      </w:r>
      <w:r w:rsidRPr="00012502">
        <w:rPr>
          <w:rFonts w:ascii="Narkisim" w:hAnsi="Narkisim" w:cs="Narkisim"/>
          <w:b/>
          <w:bCs/>
          <w:rtl/>
        </w:rPr>
        <w:t xml:space="preserve">רמב"ם </w:t>
      </w:r>
      <w:r w:rsidRPr="00012502">
        <w:rPr>
          <w:rFonts w:ascii="Narkisim" w:hAnsi="Narkisim" w:cs="Narkisim"/>
          <w:rtl/>
        </w:rPr>
        <w:t>דל"מ תוך הזמן (וע' בסמוך).</w:t>
      </w:r>
    </w:p>
    <w:p w14:paraId="5A0CFDFB" w14:textId="77777777" w:rsidR="00BE1D1C" w:rsidRPr="00012502" w:rsidRDefault="00000000" w:rsidP="00012502">
      <w:pPr>
        <w:bidi/>
        <w:rPr>
          <w:rFonts w:ascii="Narkisim" w:hAnsi="Narkisim" w:cs="Narkisim"/>
        </w:rPr>
      </w:pPr>
      <w:r w:rsidRPr="00012502">
        <w:rPr>
          <w:rFonts w:ascii="Narkisim" w:hAnsi="Narkisim" w:cs="Narkisim"/>
          <w:u w:val="single"/>
          <w:rtl/>
        </w:rPr>
        <w:t>תוד"ה הרי.</w:t>
      </w:r>
      <w:r w:rsidRPr="00012502">
        <w:rPr>
          <w:rFonts w:ascii="Narkisim" w:hAnsi="Narkisim" w:cs="Narkisim"/>
          <w:rtl/>
        </w:rPr>
        <w:t xml:space="preserve"> פי' משעת עיבור. וה</w:t>
      </w:r>
      <w:r w:rsidRPr="00012502">
        <w:rPr>
          <w:rFonts w:ascii="Narkisim" w:hAnsi="Narkisim" w:cs="Narkisim"/>
          <w:b/>
          <w:bCs/>
          <w:rtl/>
        </w:rPr>
        <w:t>רמב"ן</w:t>
      </w:r>
      <w:r w:rsidRPr="00012502">
        <w:rPr>
          <w:rFonts w:ascii="Narkisim" w:hAnsi="Narkisim" w:cs="Narkisim"/>
          <w:rtl/>
        </w:rPr>
        <w:t xml:space="preserve"> הביא דמוכח כן מה</w:t>
      </w:r>
      <w:r w:rsidRPr="00012502">
        <w:rPr>
          <w:rFonts w:ascii="Narkisim" w:hAnsi="Narkisim" w:cs="Narkisim"/>
          <w:b/>
          <w:bCs/>
          <w:rtl/>
        </w:rPr>
        <w:t>גמ'</w:t>
      </w:r>
      <w:r w:rsidRPr="00012502">
        <w:rPr>
          <w:rFonts w:ascii="Narkisim" w:hAnsi="Narkisim" w:cs="Narkisim"/>
          <w:rtl/>
        </w:rPr>
        <w:t xml:space="preserve"> </w:t>
      </w:r>
      <w:r w:rsidRPr="00012502">
        <w:rPr>
          <w:rFonts w:ascii="Narkisim" w:hAnsi="Narkisim" w:cs="Narkisim"/>
          <w:szCs w:val="20"/>
          <w:rtl/>
        </w:rPr>
        <w:t>(כתובות לט.)</w:t>
      </w:r>
      <w:r w:rsidRPr="00012502">
        <w:rPr>
          <w:rFonts w:ascii="Narkisim" w:hAnsi="Narkisim" w:cs="Narkisim"/>
          <w:rtl/>
        </w:rPr>
        <w:t xml:space="preserve"> גבי בגר בקבר דלא משכח"ל שיולדת לפני בגרות. [דימי עיבורה הוה יותר מו' חדשים]. וע"כ היינו משום דבנים כסימנים מתחילת העיבור.</w:t>
      </w:r>
    </w:p>
    <w:p w14:paraId="3F786C76"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רמב"ם</w:t>
      </w:r>
      <w:r w:rsidRPr="00012502">
        <w:rPr>
          <w:rFonts w:ascii="Narkisim" w:hAnsi="Narkisim"/>
          <w:rtl/>
        </w:rPr>
        <w:t xml:space="preserve"> (אישות ב ט) מבואר דלידת בנים כסימנין. ו</w:t>
      </w:r>
      <w:r w:rsidRPr="00012502">
        <w:rPr>
          <w:rFonts w:ascii="Narkisim" w:hAnsi="Narkisim"/>
          <w:b/>
          <w:bCs/>
          <w:rtl/>
        </w:rPr>
        <w:t>ה"ה</w:t>
      </w:r>
      <w:r w:rsidRPr="00012502">
        <w:rPr>
          <w:rFonts w:ascii="Narkisim" w:hAnsi="Narkisim"/>
          <w:rtl/>
        </w:rPr>
        <w:t xml:space="preserve"> דייק דבין עיבור ללידה יכולה למאן.</w:t>
      </w:r>
    </w:p>
    <w:p w14:paraId="09E5C263"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גר"ח</w:t>
      </w:r>
      <w:r w:rsidRPr="00012502">
        <w:rPr>
          <w:rFonts w:ascii="Narkisim" w:hAnsi="Narkisim"/>
          <w:rtl/>
        </w:rPr>
        <w:t xml:space="preserve"> (לרמב"ם) כתב דאף לרמב"ם מתחילת עיבור הוה בכלל סימנים, אלא דבעי עיבור בנים בני קיימא. ומש"ה ל"מ עד שנולד ויתברר דהוה בני קיימא, והלידה נחשב השלמת הסימנים. </w:t>
      </w:r>
      <w:r w:rsidRPr="00012502">
        <w:rPr>
          <w:rFonts w:ascii="Narkisim" w:hAnsi="Narkisim"/>
          <w:sz w:val="20"/>
          <w:szCs w:val="20"/>
          <w:rtl/>
        </w:rPr>
        <w:t>והעמיד דלדעת תוס' הוה בירור בעלמא דהוה בן קיימא, ומש"ה מהני למפרע. ולדעת הרמב"ם לא מהני בזה איגלאי מילתא למפרע. [וע' לקמן פ. בדין נעשה סריס למפרע].</w:t>
      </w:r>
    </w:p>
    <w:p w14:paraId="4E5F096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גר"ח</w:t>
      </w:r>
      <w:r w:rsidRPr="00012502">
        <w:rPr>
          <w:rFonts w:ascii="Narkisim" w:hAnsi="Narkisim"/>
          <w:rtl/>
        </w:rPr>
        <w:t xml:space="preserve"> יישב עד"ז את הסוגיא בכתובות </w:t>
      </w:r>
      <w:r w:rsidRPr="00012502">
        <w:rPr>
          <w:rFonts w:ascii="Narkisim" w:hAnsi="Narkisim"/>
          <w:sz w:val="20"/>
          <w:szCs w:val="20"/>
          <w:rtl/>
        </w:rPr>
        <w:t>[שהביאו הראשונים, דמבואר דאחרי לידה נחשבת בוגרת דעברו ו' חדשים, ואינה יכולה למאן]</w:t>
      </w:r>
      <w:r w:rsidRPr="00012502">
        <w:rPr>
          <w:rFonts w:ascii="Narkisim" w:hAnsi="Narkisim"/>
          <w:rtl/>
        </w:rPr>
        <w:t>, דכלפי להבא נחשבת גדלות משעת עיבור, ומשעת עיבור מתחיל ו' חדשים של נערות.</w:t>
      </w:r>
    </w:p>
    <w:p w14:paraId="2EF9CD61"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ו</w:t>
      </w:r>
      <w:r w:rsidRPr="00012502">
        <w:rPr>
          <w:rFonts w:ascii="Narkisim" w:hAnsi="Narkisim" w:cs="Narkisim"/>
          <w:b/>
          <w:bCs/>
          <w:rtl/>
        </w:rPr>
        <w:t>ה"ה</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ב ט)</w:t>
      </w:r>
      <w:r w:rsidRPr="00012502">
        <w:rPr>
          <w:rFonts w:ascii="Narkisim" w:hAnsi="Narkisim" w:cs="Narkisim"/>
          <w:rtl/>
        </w:rPr>
        <w:t xml:space="preserve"> וה</w:t>
      </w:r>
      <w:r w:rsidRPr="00012502">
        <w:rPr>
          <w:rFonts w:ascii="Narkisim" w:hAnsi="Narkisim" w:cs="Narkisim"/>
          <w:b/>
          <w:bCs/>
          <w:rtl/>
        </w:rPr>
        <w:t>נמוק"י</w:t>
      </w:r>
      <w:r w:rsidRPr="00012502">
        <w:rPr>
          <w:rFonts w:ascii="Narkisim" w:hAnsi="Narkisim" w:cs="Narkisim"/>
          <w:rtl/>
        </w:rPr>
        <w:t xml:space="preserve"> </w:t>
      </w:r>
      <w:r w:rsidRPr="00012502">
        <w:rPr>
          <w:rFonts w:ascii="Narkisim" w:hAnsi="Narkisim" w:cs="Narkisim"/>
          <w:sz w:val="20"/>
          <w:szCs w:val="20"/>
          <w:rtl/>
        </w:rPr>
        <w:t>(בסוגיין)</w:t>
      </w:r>
      <w:r w:rsidRPr="00012502">
        <w:rPr>
          <w:rFonts w:ascii="Narkisim" w:hAnsi="Narkisim" w:cs="Narkisim"/>
          <w:rtl/>
        </w:rPr>
        <w:t xml:space="preserve"> הקשו דלדעת ה</w:t>
      </w:r>
      <w:r w:rsidRPr="00012502">
        <w:rPr>
          <w:rFonts w:ascii="Narkisim" w:hAnsi="Narkisim" w:cs="Narkisim"/>
          <w:b/>
          <w:bCs/>
          <w:rtl/>
        </w:rPr>
        <w:t>רמב"ם</w:t>
      </w:r>
      <w:r w:rsidRPr="00012502">
        <w:rPr>
          <w:rFonts w:ascii="Narkisim" w:hAnsi="Narkisim" w:cs="Narkisim"/>
          <w:rtl/>
        </w:rPr>
        <w:t xml:space="preserve"> (ז טז) מהני קידושין בעובר</w:t>
      </w:r>
      <w:r w:rsidRPr="00012502">
        <w:rPr>
          <w:rStyle w:val="ac"/>
          <w:rFonts w:ascii="Narkisim" w:hAnsi="Narkisim" w:cs="Narkisim"/>
          <w:rtl/>
        </w:rPr>
        <w:footnoteReference w:id="752"/>
      </w:r>
      <w:r w:rsidRPr="00012502">
        <w:rPr>
          <w:rFonts w:ascii="Narkisim" w:hAnsi="Narkisim" w:cs="Narkisim"/>
          <w:rtl/>
        </w:rPr>
        <w:t xml:space="preserve"> [כשהוכר עוברה]</w:t>
      </w:r>
      <w:r w:rsidRPr="00012502">
        <w:rPr>
          <w:rStyle w:val="ac"/>
          <w:rFonts w:ascii="Narkisim" w:hAnsi="Narkisim" w:cs="Narkisim"/>
          <w:rtl/>
        </w:rPr>
        <w:footnoteReference w:id="753"/>
      </w:r>
      <w:r w:rsidRPr="00012502">
        <w:rPr>
          <w:rFonts w:ascii="Narkisim" w:hAnsi="Narkisim" w:cs="Narkisim"/>
          <w:rtl/>
        </w:rPr>
        <w:t>. וא"כ משכחת חמותו ממאנת, דאף לאחר שנתעברה [והוכר עוברה] יכולה למאן, דלדעת ה</w:t>
      </w:r>
      <w:r w:rsidRPr="00012502">
        <w:rPr>
          <w:rFonts w:ascii="Narkisim" w:hAnsi="Narkisim" w:cs="Narkisim"/>
          <w:b/>
          <w:bCs/>
          <w:rtl/>
        </w:rPr>
        <w:t xml:space="preserve">רמב"ם </w:t>
      </w:r>
      <w:r w:rsidRPr="00012502">
        <w:rPr>
          <w:rFonts w:ascii="Narkisim" w:hAnsi="Narkisim" w:cs="Narkisim"/>
          <w:rtl/>
        </w:rPr>
        <w:t>לא הוה כסימנים משעת עיבור.</w:t>
      </w:r>
    </w:p>
    <w:p w14:paraId="4048C4DA" w14:textId="77777777" w:rsidR="00BE1D1C" w:rsidRPr="00012502" w:rsidRDefault="00000000" w:rsidP="00012502">
      <w:pPr>
        <w:pStyle w:val="a8"/>
        <w:bidi/>
        <w:rPr>
          <w:rFonts w:ascii="Narkisim" w:hAnsi="Narkisim"/>
        </w:rPr>
      </w:pPr>
      <w:r w:rsidRPr="00012502">
        <w:rPr>
          <w:rFonts w:ascii="Narkisim" w:hAnsi="Narkisim"/>
          <w:rtl/>
        </w:rPr>
        <w:lastRenderedPageBreak/>
        <w:t>[ו</w:t>
      </w:r>
      <w:r w:rsidRPr="00012502">
        <w:rPr>
          <w:rFonts w:ascii="Narkisim" w:hAnsi="Narkisim"/>
          <w:b/>
          <w:bCs/>
          <w:rtl/>
        </w:rPr>
        <w:t>רע"א</w:t>
      </w:r>
      <w:r w:rsidRPr="00012502">
        <w:rPr>
          <w:rFonts w:ascii="Narkisim" w:hAnsi="Narkisim"/>
          <w:rtl/>
        </w:rPr>
        <w:t xml:space="preserve"> (ק' קעא) דן האם כוונת הרמב"ם דחל קידושין מיד [בעודה בבטן], או דמהני לכשתלד ויבוא לעולם. והביא דמדברי </w:t>
      </w:r>
      <w:r w:rsidRPr="00012502">
        <w:rPr>
          <w:rFonts w:ascii="Narkisim" w:hAnsi="Narkisim"/>
          <w:b/>
          <w:bCs/>
          <w:rtl/>
        </w:rPr>
        <w:t>ה"ה</w:t>
      </w:r>
      <w:r w:rsidRPr="00012502">
        <w:rPr>
          <w:rFonts w:ascii="Narkisim" w:hAnsi="Narkisim"/>
          <w:rtl/>
        </w:rPr>
        <w:t xml:space="preserve"> וה</w:t>
      </w:r>
      <w:r w:rsidRPr="00012502">
        <w:rPr>
          <w:rFonts w:ascii="Narkisim" w:hAnsi="Narkisim"/>
          <w:b/>
          <w:bCs/>
          <w:rtl/>
        </w:rPr>
        <w:t>נמוק"י</w:t>
      </w:r>
      <w:r w:rsidRPr="00012502">
        <w:rPr>
          <w:rFonts w:ascii="Narkisim" w:hAnsi="Narkisim"/>
          <w:rtl/>
        </w:rPr>
        <w:t xml:space="preserve"> (הנ"ל) מבואר דחל בעודה בבטן. ואילו ה</w:t>
      </w:r>
      <w:r w:rsidRPr="00012502">
        <w:rPr>
          <w:rFonts w:ascii="Narkisim" w:hAnsi="Narkisim"/>
          <w:b/>
          <w:bCs/>
          <w:rtl/>
        </w:rPr>
        <w:t>ר"ן</w:t>
      </w:r>
      <w:r w:rsidRPr="00012502">
        <w:rPr>
          <w:rFonts w:ascii="Narkisim" w:hAnsi="Narkisim"/>
          <w:rtl/>
        </w:rPr>
        <w:t xml:space="preserve"> (בקידושין) משמע דחלו הקידושין רק משעת לידה</w:t>
      </w:r>
      <w:r w:rsidRPr="00012502">
        <w:rPr>
          <w:rStyle w:val="ac"/>
          <w:rFonts w:ascii="Narkisim" w:hAnsi="Narkisim"/>
          <w:rtl/>
        </w:rPr>
        <w:footnoteReference w:id="754"/>
      </w:r>
      <w:r w:rsidRPr="00012502">
        <w:rPr>
          <w:rFonts w:ascii="Narkisim" w:hAnsi="Narkisim"/>
          <w:rtl/>
        </w:rPr>
        <w:t>].</w:t>
      </w:r>
    </w:p>
    <w:p w14:paraId="42B4A507"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ה"ה</w:t>
      </w:r>
      <w:r w:rsidRPr="00012502">
        <w:rPr>
          <w:rFonts w:ascii="Narkisim" w:hAnsi="Narkisim"/>
          <w:rtl/>
        </w:rPr>
        <w:t xml:space="preserve"> תי' דלאו ודאי חמות היא בשעת מיאון. </w:t>
      </w:r>
      <w:r w:rsidRPr="00012502">
        <w:rPr>
          <w:rFonts w:ascii="Narkisim" w:hAnsi="Narkisim"/>
          <w:sz w:val="20"/>
          <w:szCs w:val="20"/>
          <w:rtl/>
        </w:rPr>
        <w:t>[שרק אחרי הלידה יתברר שהיתה קידושין].</w:t>
      </w:r>
    </w:p>
    <w:p w14:paraId="272BE279"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גר"ח</w:t>
      </w:r>
      <w:r w:rsidRPr="00012502">
        <w:rPr>
          <w:rFonts w:ascii="Narkisim" w:hAnsi="Narkisim"/>
          <w:rtl/>
        </w:rPr>
        <w:t xml:space="preserve"> (ז טז) תי' דאף דקידושי עובר תופסים ונגמרים מיד. מ"מ אין דין 'מתקדשת' ואישות, ד'עובר' לא נחשב 'אשה'. ומש"ה מותר בקרובותיה, דלא נחשבת ערוה. </w:t>
      </w:r>
      <w:r w:rsidRPr="00012502">
        <w:rPr>
          <w:rFonts w:ascii="Narkisim" w:hAnsi="Narkisim"/>
          <w:sz w:val="20"/>
          <w:szCs w:val="20"/>
          <w:rtl/>
        </w:rPr>
        <w:t>[דאיסורי קורבא תלי' בקורבא לאשה, ולא לעצם קנין הקידושין]</w:t>
      </w:r>
      <w:r w:rsidRPr="00012502">
        <w:rPr>
          <w:rFonts w:ascii="Narkisim" w:hAnsi="Narkisim"/>
          <w:rtl/>
        </w:rPr>
        <w:t>. ומהני הך קידושין לענין לכשתוולד, דנחשב שיש בה כבר אישות מעיקרא. דקנין הקידושין חלו מיד, ומש"ה אין בזה חסרון דבר שלא בא לעולם.</w:t>
      </w:r>
    </w:p>
    <w:p w14:paraId="599C0922" w14:textId="77777777" w:rsidR="00BE1D1C" w:rsidRPr="00012502" w:rsidRDefault="00000000" w:rsidP="00012502">
      <w:pPr>
        <w:bidi/>
        <w:rPr>
          <w:rFonts w:ascii="Narkisim" w:hAnsi="Narkisim" w:cs="Narkisim"/>
        </w:rPr>
      </w:pPr>
      <w:r w:rsidRPr="00012502">
        <w:rPr>
          <w:rFonts w:ascii="Narkisim" w:hAnsi="Narkisim" w:cs="Narkisim"/>
          <w:u w:val="single"/>
          <w:rtl/>
        </w:rPr>
        <w:t>תוד"ה דאפי'.</w:t>
      </w:r>
      <w:r w:rsidRPr="00012502">
        <w:rPr>
          <w:rFonts w:ascii="Narkisim" w:hAnsi="Narkisim" w:cs="Narkisim"/>
          <w:rtl/>
        </w:rPr>
        <w:t xml:space="preserve"> וא"ת וכו' דהא מודה ר' יהודה כשבעל אחר גדלות וכו' דבנים כסימנים משעת הריון. וצ"ב דהיינו לאחר הריון, אבל בשעת מעשה ביאה עדיין ליכא בנים להחשב סימנין. וה</w:t>
      </w:r>
      <w:r w:rsidRPr="00012502">
        <w:rPr>
          <w:rFonts w:ascii="Narkisim" w:hAnsi="Narkisim" w:cs="Narkisim"/>
          <w:b/>
          <w:bCs/>
          <w:rtl/>
        </w:rPr>
        <w:t>ריטב"א</w:t>
      </w:r>
      <w:r w:rsidRPr="00012502">
        <w:rPr>
          <w:rFonts w:ascii="Narkisim" w:hAnsi="Narkisim" w:cs="Narkisim"/>
          <w:rtl/>
        </w:rPr>
        <w:t xml:space="preserve"> כת' דמיירי שלא נבעלה לאחר שנתעברה. [אבל משום ביאה ראשונה שנתעברה בה לא איכפת לן].</w:t>
      </w:r>
    </w:p>
    <w:p w14:paraId="52173AA3"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חזו"א</w:t>
      </w:r>
      <w:r w:rsidRPr="00012502">
        <w:rPr>
          <w:rFonts w:ascii="Narkisim" w:hAnsi="Narkisim"/>
          <w:rtl/>
        </w:rPr>
        <w:t xml:space="preserve"> (קיג ט) כת' דמבואר מהתוס' שנעשית גדולה ע"י ביאה זו, מש"ה חשיבה לקנות בהך ביאה</w:t>
      </w:r>
      <w:r w:rsidRPr="00012502">
        <w:rPr>
          <w:rStyle w:val="ac"/>
          <w:rFonts w:ascii="Narkisim" w:hAnsi="Narkisim"/>
          <w:rtl/>
        </w:rPr>
        <w:footnoteReference w:id="755"/>
      </w:r>
      <w:r w:rsidRPr="00012502">
        <w:rPr>
          <w:rFonts w:ascii="Narkisim" w:hAnsi="Narkisim"/>
          <w:rtl/>
        </w:rPr>
        <w:t xml:space="preserve"> (וע"ע חי' ר' ראובן יט).</w:t>
      </w:r>
    </w:p>
    <w:p w14:paraId="60315E86" w14:textId="77777777" w:rsidR="00BE1D1C" w:rsidRPr="00012502" w:rsidRDefault="00000000" w:rsidP="00012502">
      <w:pPr>
        <w:pStyle w:val="aa"/>
        <w:bidi/>
        <w:rPr>
          <w:rFonts w:ascii="Narkisim" w:hAnsi="Narkisim"/>
        </w:rPr>
      </w:pPr>
      <w:r w:rsidRPr="00012502">
        <w:rPr>
          <w:rFonts w:ascii="Narkisim" w:hAnsi="Narkisim"/>
          <w:rtl/>
        </w:rPr>
        <w:t>ו</w:t>
      </w:r>
      <w:r w:rsidRPr="00012502">
        <w:rPr>
          <w:rFonts w:ascii="Narkisim" w:hAnsi="Narkisim"/>
          <w:b/>
          <w:bCs/>
          <w:rtl/>
        </w:rPr>
        <w:t>רע"א</w:t>
      </w:r>
      <w:r w:rsidRPr="00012502">
        <w:rPr>
          <w:rFonts w:ascii="Narkisim" w:hAnsi="Narkisim"/>
          <w:rtl/>
        </w:rPr>
        <w:t xml:space="preserve"> הק' דמ"מ לא מסיק אדעתיה לקדש, דהוה מיעוטא דמיעוטא שתתעבר. [ע' תוס' ב: סוד"ה ואי].</w:t>
      </w:r>
    </w:p>
    <w:p w14:paraId="61041651" w14:textId="77777777" w:rsidR="00BE1D1C" w:rsidRPr="00012502" w:rsidRDefault="00000000" w:rsidP="00012502">
      <w:pPr>
        <w:pStyle w:val="3"/>
        <w:bidi/>
        <w:rPr>
          <w:rFonts w:ascii="Narkisim" w:hAnsi="Narkisim"/>
        </w:rPr>
      </w:pPr>
      <w:r w:rsidRPr="00012502">
        <w:rPr>
          <w:rFonts w:ascii="Narkisim" w:hAnsi="Narkisim"/>
          <w:rtl/>
        </w:rPr>
        <w:t>דף יג.</w:t>
      </w:r>
    </w:p>
    <w:p w14:paraId="74D900E2" w14:textId="77777777" w:rsidR="00BE1D1C" w:rsidRPr="00012502" w:rsidRDefault="00000000" w:rsidP="00012502">
      <w:pPr>
        <w:bidi/>
        <w:rPr>
          <w:rFonts w:ascii="Narkisim" w:hAnsi="Narkisim" w:cs="Narkisim"/>
        </w:rPr>
      </w:pPr>
      <w:r w:rsidRPr="00012502">
        <w:rPr>
          <w:rFonts w:ascii="Narkisim" w:hAnsi="Narkisim" w:cs="Narkisim"/>
          <w:u w:val="single"/>
          <w:rtl/>
        </w:rPr>
        <w:t>תוד"ה רב זביד.</w:t>
      </w:r>
      <w:r w:rsidRPr="00012502">
        <w:rPr>
          <w:rFonts w:ascii="Narkisim" w:hAnsi="Narkisim" w:cs="Narkisim"/>
          <w:rtl/>
        </w:rPr>
        <w:t xml:space="preserve"> ומיהו זימנין אתו מדפריך ונבדוק וכו'. ה</w:t>
      </w:r>
      <w:r w:rsidRPr="00012502">
        <w:rPr>
          <w:rFonts w:ascii="Narkisim" w:hAnsi="Narkisim" w:cs="Narkisim"/>
          <w:b/>
          <w:bCs/>
          <w:rtl/>
        </w:rPr>
        <w:t>רמב"ן</w:t>
      </w:r>
      <w:r w:rsidRPr="00012502">
        <w:rPr>
          <w:rFonts w:ascii="Narkisim" w:hAnsi="Narkisim" w:cs="Narkisim"/>
          <w:rtl/>
        </w:rPr>
        <w:t xml:space="preserve"> הק' דא"כ היכא דבדקו יפה יפה מצינו קטנה יולדת, ובגמ' (כתובות לט., הו' לעיל) משמע דלא משכחת לה כלל. [וכתב דקאי התם דלא כרב זביד].</w:t>
      </w:r>
    </w:p>
    <w:p w14:paraId="4403C7AD" w14:textId="77777777" w:rsidR="00BE1D1C" w:rsidRPr="00012502" w:rsidRDefault="00000000" w:rsidP="00012502">
      <w:pPr>
        <w:pStyle w:val="a8"/>
        <w:bidi/>
        <w:rPr>
          <w:rFonts w:ascii="Narkisim" w:hAnsi="Narkisim"/>
        </w:rPr>
      </w:pPr>
      <w:r w:rsidRPr="00012502">
        <w:rPr>
          <w:rFonts w:ascii="Narkisim" w:hAnsi="Narkisim"/>
          <w:rtl/>
        </w:rPr>
        <w:t xml:space="preserve">ולדעת </w:t>
      </w:r>
      <w:r w:rsidRPr="00012502">
        <w:rPr>
          <w:rFonts w:ascii="Narkisim" w:hAnsi="Narkisim"/>
          <w:b/>
          <w:bCs/>
          <w:rtl/>
        </w:rPr>
        <w:t>תוס'</w:t>
      </w:r>
      <w:r w:rsidRPr="00012502">
        <w:rPr>
          <w:rFonts w:ascii="Narkisim" w:hAnsi="Narkisim"/>
          <w:rtl/>
        </w:rPr>
        <w:t xml:space="preserve"> צריך לבדוק כל ימי העיבור [ע' תוד"ה משום], וה</w:t>
      </w:r>
      <w:r w:rsidRPr="00012502">
        <w:rPr>
          <w:rFonts w:ascii="Narkisim" w:hAnsi="Narkisim"/>
          <w:b/>
          <w:bCs/>
          <w:rtl/>
        </w:rPr>
        <w:t xml:space="preserve">רשב"א </w:t>
      </w:r>
      <w:r w:rsidRPr="00012502">
        <w:rPr>
          <w:rFonts w:ascii="Narkisim" w:hAnsi="Narkisim"/>
          <w:rtl/>
        </w:rPr>
        <w:t>הביא דנח' התנאים (נדה לו:) בשיעור ימי קישוי ולידה האם הוה מ' ונ' יום או י"ד יום</w:t>
      </w:r>
      <w:r w:rsidRPr="00012502">
        <w:rPr>
          <w:rStyle w:val="ac"/>
          <w:rFonts w:ascii="Narkisim" w:hAnsi="Narkisim"/>
          <w:rtl/>
        </w:rPr>
        <w:footnoteReference w:id="756"/>
      </w:r>
      <w:r w:rsidRPr="00012502">
        <w:rPr>
          <w:rFonts w:ascii="Narkisim" w:hAnsi="Narkisim"/>
          <w:rtl/>
        </w:rPr>
        <w:t>. וא"א דידה בין עיניה כל הזמן הזה, שלא תביא שערות, ולא ינשרו.</w:t>
      </w:r>
    </w:p>
    <w:p w14:paraId="60100F23"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תי' דמ"מ הוה מיעוט, ומספק היא מוחזקת גדולה. ועוד תי' דלעולם אין בנים בלא סימנים [וכקושיית התוס' בסמוך], והא דאמרי' ונבדוק כלומר אמאי סמכינן אגמ' כיון דאפשר לבדוק</w:t>
      </w:r>
      <w:r w:rsidRPr="00012502">
        <w:rPr>
          <w:rStyle w:val="ac"/>
          <w:rFonts w:ascii="Narkisim" w:hAnsi="Narkisim"/>
          <w:rtl/>
        </w:rPr>
        <w:footnoteReference w:id="757"/>
      </w:r>
      <w:r w:rsidRPr="00012502">
        <w:rPr>
          <w:rFonts w:ascii="Narkisim" w:hAnsi="Narkisim"/>
          <w:rtl/>
        </w:rPr>
        <w:t>.</w:t>
      </w:r>
    </w:p>
    <w:p w14:paraId="6321A301" w14:textId="77777777" w:rsidR="00BE1D1C" w:rsidRPr="00012502" w:rsidRDefault="00000000" w:rsidP="00012502">
      <w:pPr>
        <w:pStyle w:val="aa"/>
        <w:bidi/>
        <w:rPr>
          <w:rFonts w:ascii="Narkisim" w:hAnsi="Narkisim"/>
        </w:rPr>
      </w:pPr>
      <w:r w:rsidRPr="00012502">
        <w:rPr>
          <w:rFonts w:ascii="Narkisim" w:hAnsi="Narkisim"/>
          <w:u w:val="single"/>
          <w:rtl/>
        </w:rPr>
        <w:t>בא"ד וי"ל וכו' א"כ במאי אתא לאפלוגי ארב ספרא וכו'.</w:t>
      </w:r>
      <w:r w:rsidRPr="00012502">
        <w:rPr>
          <w:rFonts w:ascii="Narkisim" w:hAnsi="Narkisim"/>
          <w:rtl/>
        </w:rPr>
        <w:t xml:space="preserve"> לולי דברי תוס' היה אפ"ל דלרב ספרא הבנים הם עצמן סימנים [וכמ"ש הגר"ח], ואילו לרב זביד הוה רק סימן דיש שערות, ולעולם ההילכתא הוה רק שערות [וכסברת המהרי"ט]. ומבואר דתוס' לא חלקו בזה.</w:t>
      </w:r>
    </w:p>
    <w:p w14:paraId="1C774FC8" w14:textId="77777777" w:rsidR="00BE1D1C" w:rsidRPr="00012502" w:rsidRDefault="00000000" w:rsidP="00012502">
      <w:pPr>
        <w:pStyle w:val="aa"/>
        <w:bidi/>
        <w:rPr>
          <w:rFonts w:ascii="Narkisim" w:hAnsi="Narkisim"/>
        </w:rPr>
      </w:pPr>
      <w:r w:rsidRPr="00012502">
        <w:rPr>
          <w:rFonts w:ascii="Narkisim" w:hAnsi="Narkisim"/>
          <w:u w:val="single"/>
          <w:rtl/>
        </w:rPr>
        <w:t>בא"ד ובקו' פי' דסבר תוך הזמן כלאחר הזמן, דלא כהילכתא</w:t>
      </w:r>
      <w:r w:rsidRPr="00012502">
        <w:rPr>
          <w:rFonts w:ascii="Narkisim" w:hAnsi="Narkisim"/>
          <w:rtl/>
        </w:rPr>
        <w:t>. דנח' בגמ' (נדה מו.) האם מהני הבאת סימנים בשנת י"ב [תוך הזמן].</w:t>
      </w:r>
    </w:p>
    <w:p w14:paraId="283C6D25" w14:textId="77777777" w:rsidR="00BE1D1C" w:rsidRPr="00012502" w:rsidRDefault="00000000" w:rsidP="00012502">
      <w:pPr>
        <w:bidi/>
        <w:rPr>
          <w:rFonts w:ascii="Narkisim" w:hAnsi="Narkisim" w:cs="Narkisim"/>
        </w:rPr>
      </w:pPr>
      <w:r w:rsidRPr="00012502">
        <w:rPr>
          <w:rFonts w:ascii="Narkisim" w:hAnsi="Narkisim" w:cs="Narkisim"/>
          <w:u w:val="single"/>
          <w:rtl/>
        </w:rPr>
        <w:t>בא"ד נראה לר"י דהכא דשאני הכא דע"י בנים חשבינן לסימנים כאילו הם לאחר הזמן</w:t>
      </w:r>
      <w:r w:rsidRPr="00012502">
        <w:rPr>
          <w:rFonts w:ascii="Narkisim" w:hAnsi="Narkisim" w:cs="Narkisim"/>
          <w:rtl/>
        </w:rPr>
        <w:t>. וה</w:t>
      </w:r>
      <w:r w:rsidRPr="00012502">
        <w:rPr>
          <w:rFonts w:ascii="Narkisim" w:hAnsi="Narkisim" w:cs="Narkisim"/>
          <w:b/>
          <w:bCs/>
          <w:rtl/>
        </w:rPr>
        <w:t>רמב"ן</w:t>
      </w:r>
      <w:r w:rsidRPr="00012502">
        <w:rPr>
          <w:rFonts w:ascii="Narkisim" w:hAnsi="Narkisim" w:cs="Narkisim"/>
          <w:rtl/>
        </w:rPr>
        <w:t xml:space="preserve"> ביאר דמיהרה להביא סימנים גמורים דאינן שומא. </w:t>
      </w:r>
      <w:r w:rsidRPr="00012502">
        <w:rPr>
          <w:rFonts w:ascii="Narkisim" w:hAnsi="Narkisim" w:cs="Narkisim"/>
          <w:sz w:val="20"/>
          <w:szCs w:val="20"/>
          <w:rtl/>
        </w:rPr>
        <w:t>[דכשהביאה שערות תוך הזמן אמרי' דהוה שומא, וכלשון הגמ' בנדה. אבל בלידה נתברר דהוה סימנים גמורים].</w:t>
      </w:r>
    </w:p>
    <w:p w14:paraId="3133F4D7"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ש"ש</w:t>
      </w:r>
      <w:r w:rsidRPr="00012502">
        <w:rPr>
          <w:rFonts w:ascii="Narkisim" w:hAnsi="Narkisim"/>
          <w:rtl/>
        </w:rPr>
        <w:t xml:space="preserve"> (</w:t>
      </w:r>
      <w:r w:rsidRPr="00012502">
        <w:rPr>
          <w:rFonts w:ascii="Narkisim" w:hAnsi="Narkisim"/>
          <w:sz w:val="20"/>
          <w:szCs w:val="20"/>
          <w:rtl/>
        </w:rPr>
        <w:t>ה ספי"א)</w:t>
      </w:r>
      <w:r w:rsidRPr="00012502">
        <w:rPr>
          <w:rFonts w:ascii="Narkisim" w:hAnsi="Narkisim"/>
          <w:rtl/>
        </w:rPr>
        <w:t xml:space="preserve"> כתב דלמ"ד תוך הזמן כלפני הזמן, בעינן דוקא שנים. שהשנים הם חלק מסימני גדלות</w:t>
      </w:r>
      <w:r w:rsidRPr="00012502">
        <w:rPr>
          <w:rStyle w:val="ac"/>
          <w:rFonts w:ascii="Narkisim" w:hAnsi="Narkisim"/>
          <w:rtl/>
        </w:rPr>
        <w:footnoteReference w:id="758"/>
      </w:r>
      <w:r w:rsidRPr="00012502">
        <w:rPr>
          <w:rFonts w:ascii="Narkisim" w:hAnsi="Narkisim"/>
          <w:rtl/>
        </w:rPr>
        <w:t>.</w:t>
      </w:r>
    </w:p>
    <w:p w14:paraId="3144B220"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גר"ח</w:t>
      </w:r>
      <w:r w:rsidRPr="00012502">
        <w:rPr>
          <w:rFonts w:ascii="Narkisim" w:hAnsi="Narkisim"/>
          <w:rtl/>
        </w:rPr>
        <w:t xml:space="preserve"> (הו' בגרי"ז תמורה ב:) כת' דנח' בזה תוס' והרמב"ם, דדעת תוס' (וכן הרמב"ן כאן) מבואר דל"צ שנים לעצם הגדלות, אלא להוכיח דלא הוה שומא. ומש"ה מהני לידה לפני הזמן. ואילו לדעת הרמב"ם (הו' בסמוך, ורש"י) השנים מועילות לעצם הגדלות.</w:t>
      </w:r>
    </w:p>
    <w:p w14:paraId="33723D2F"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רמב"ן</w:t>
      </w:r>
      <w:r w:rsidRPr="00012502">
        <w:rPr>
          <w:rFonts w:ascii="Narkisim" w:hAnsi="Narkisim" w:cs="Narkisim"/>
          <w:rtl/>
        </w:rPr>
        <w:t xml:space="preserve"> הק' א"כ בעלמא נחשוש שמיהרה להביא [ואינן שומא], ואילו שימשה היתה ראויה לילד. ותי' דהוה מיעוטא דמיעוטא דראויה לילד, ולא חיישינן אא"כ ראינו שילדה. [</w:t>
      </w:r>
      <w:r w:rsidRPr="00012502">
        <w:rPr>
          <w:rFonts w:ascii="Narkisim" w:hAnsi="Narkisim" w:cs="Narkisim"/>
          <w:szCs w:val="20"/>
          <w:rtl/>
        </w:rPr>
        <w:t xml:space="preserve">והיכא דגלי </w:t>
      </w:r>
      <w:r w:rsidRPr="00012502">
        <w:rPr>
          <w:rFonts w:ascii="Narkisim" w:hAnsi="Narkisim" w:cs="Narkisim"/>
          <w:szCs w:val="20"/>
          <w:rtl/>
        </w:rPr>
        <w:lastRenderedPageBreak/>
        <w:t>כלפי שמיא דראויה לילד הוה גדולה</w:t>
      </w:r>
      <w:r w:rsidRPr="00012502">
        <w:rPr>
          <w:rFonts w:ascii="Narkisim" w:hAnsi="Narkisim" w:cs="Narkisim"/>
          <w:rtl/>
        </w:rPr>
        <w:t>].</w:t>
      </w:r>
    </w:p>
    <w:p w14:paraId="40A1F975" w14:textId="77777777" w:rsidR="00BE1D1C" w:rsidRPr="00012502" w:rsidRDefault="00000000" w:rsidP="00012502">
      <w:pPr>
        <w:pStyle w:val="a8"/>
        <w:bidi/>
        <w:rPr>
          <w:rFonts w:ascii="Narkisim" w:hAnsi="Narkisim"/>
        </w:rPr>
      </w:pPr>
      <w:r w:rsidRPr="00012502">
        <w:rPr>
          <w:rFonts w:ascii="Narkisim" w:hAnsi="Narkisim"/>
          <w:rtl/>
        </w:rPr>
        <w:t>אך ע"פ דברי ה</w:t>
      </w:r>
      <w:r w:rsidRPr="00012502">
        <w:rPr>
          <w:rFonts w:ascii="Narkisim" w:hAnsi="Narkisim"/>
          <w:b/>
          <w:bCs/>
          <w:rtl/>
        </w:rPr>
        <w:t>גר"ח</w:t>
      </w:r>
      <w:r w:rsidRPr="00012502">
        <w:rPr>
          <w:rFonts w:ascii="Narkisim" w:hAnsi="Narkisim"/>
          <w:rtl/>
        </w:rPr>
        <w:t xml:space="preserve"> (ב ט הנ"ל) י"ל דלא נחשב גדול אא"כ נתבררו הסימנים. ואף אילו ראוי להביא סימנים ליכא דין גדלות עד שיתברר בפועל</w:t>
      </w:r>
      <w:r w:rsidRPr="00012502">
        <w:rPr>
          <w:rStyle w:val="ac"/>
          <w:rFonts w:ascii="Narkisim" w:hAnsi="Narkisim"/>
          <w:rtl/>
        </w:rPr>
        <w:footnoteReference w:id="759"/>
      </w:r>
      <w:r w:rsidRPr="00012502">
        <w:rPr>
          <w:rFonts w:ascii="Narkisim" w:hAnsi="Narkisim"/>
          <w:rtl/>
        </w:rPr>
        <w:t>.</w:t>
      </w:r>
    </w:p>
    <w:p w14:paraId="20EBDEFD"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ה</w:t>
      </w:r>
      <w:r w:rsidRPr="00012502">
        <w:rPr>
          <w:rFonts w:ascii="Narkisim" w:hAnsi="Narkisim" w:cs="Narkisim"/>
          <w:b/>
          <w:bCs/>
          <w:rtl/>
        </w:rPr>
        <w:t>רמב"ם</w:t>
      </w:r>
      <w:r w:rsidRPr="00012502">
        <w:rPr>
          <w:rFonts w:ascii="Narkisim" w:hAnsi="Narkisim" w:cs="Narkisim"/>
          <w:sz w:val="20"/>
          <w:szCs w:val="20"/>
          <w:rtl/>
        </w:rPr>
        <w:t xml:space="preserve"> (אישות ב ט)</w:t>
      </w:r>
      <w:r w:rsidRPr="00012502">
        <w:rPr>
          <w:rFonts w:ascii="Narkisim" w:hAnsi="Narkisim" w:cs="Narkisim"/>
          <w:rtl/>
        </w:rPr>
        <w:t xml:space="preserve"> פסק דאם ילדה אחר י"ב שנים הוה גדולה דבנים כסימנים. </w:t>
      </w:r>
      <w:r w:rsidRPr="00012502">
        <w:rPr>
          <w:rFonts w:ascii="Narkisim" w:hAnsi="Narkisim" w:cs="Narkisim"/>
          <w:szCs w:val="20"/>
          <w:rtl/>
        </w:rPr>
        <w:t>[ודוקא לאחר י"ב שנים, וקמ"ל דל"צ שערות</w:t>
      </w:r>
      <w:r w:rsidRPr="00012502">
        <w:rPr>
          <w:rFonts w:ascii="Narkisim" w:hAnsi="Narkisim" w:cs="Narkisim"/>
          <w:rtl/>
        </w:rPr>
        <w:t>]. וה</w:t>
      </w:r>
      <w:r w:rsidRPr="00012502">
        <w:rPr>
          <w:rFonts w:ascii="Narkisim" w:hAnsi="Narkisim" w:cs="Narkisim"/>
          <w:b/>
          <w:bCs/>
          <w:rtl/>
        </w:rPr>
        <w:t>רמב"ן</w:t>
      </w:r>
      <w:r w:rsidRPr="00012502">
        <w:rPr>
          <w:rFonts w:ascii="Narkisim" w:hAnsi="Narkisim" w:cs="Narkisim"/>
          <w:rtl/>
        </w:rPr>
        <w:t xml:space="preserve"> ביאר דס"ל דסוגיין קאי כמ"ד תוך הזמן כלאחר הזמן, אבל להלכה ל"מ לידה תוך הזמן.</w:t>
      </w:r>
    </w:p>
    <w:p w14:paraId="13D64F74" w14:textId="77777777" w:rsidR="00BE1D1C" w:rsidRPr="00012502" w:rsidRDefault="00000000" w:rsidP="00012502">
      <w:pPr>
        <w:pStyle w:val="a7"/>
        <w:bidi/>
        <w:rPr>
          <w:rFonts w:ascii="Narkisim" w:hAnsi="Narkisim"/>
        </w:rPr>
      </w:pPr>
      <w:r w:rsidRPr="00012502">
        <w:rPr>
          <w:rFonts w:ascii="Narkisim" w:hAnsi="Narkisim"/>
          <w:rtl/>
        </w:rPr>
        <w:t>ומ"מ הקשו ה</w:t>
      </w:r>
      <w:r w:rsidRPr="00012502">
        <w:rPr>
          <w:rFonts w:ascii="Narkisim" w:hAnsi="Narkisim"/>
          <w:b/>
          <w:bCs/>
          <w:rtl/>
        </w:rPr>
        <w:t>ראשונים</w:t>
      </w:r>
      <w:r w:rsidRPr="00012502">
        <w:rPr>
          <w:rFonts w:ascii="Narkisim" w:hAnsi="Narkisim"/>
          <w:rtl/>
        </w:rPr>
        <w:t xml:space="preserve"> דהדרא קו' אילו ילדה קודם י"ב שנים לא הוה גדלות. ומצינו חמותו ממאנת. וה</w:t>
      </w:r>
      <w:r w:rsidRPr="00012502">
        <w:rPr>
          <w:rFonts w:ascii="Narkisim" w:hAnsi="Narkisim"/>
          <w:b/>
          <w:bCs/>
          <w:rtl/>
        </w:rPr>
        <w:t>רשב"א</w:t>
      </w:r>
      <w:r w:rsidRPr="00012502">
        <w:rPr>
          <w:rFonts w:ascii="Narkisim" w:hAnsi="Narkisim"/>
          <w:rtl/>
        </w:rPr>
        <w:t xml:space="preserve"> פי' דכוונת הרמב"ם דא"א לילד כלל בקטנות. וגרס שמא תתעבר ותמות, שודאי תמות.</w:t>
      </w:r>
    </w:p>
    <w:p w14:paraId="1FB2C9D1" w14:textId="77777777" w:rsidR="00BE1D1C" w:rsidRPr="00012502" w:rsidRDefault="00000000" w:rsidP="00012502">
      <w:pPr>
        <w:pStyle w:val="a7"/>
        <w:bidi/>
        <w:rPr>
          <w:rFonts w:ascii="Narkisim" w:hAnsi="Narkisim"/>
        </w:rPr>
      </w:pPr>
      <w:r w:rsidRPr="00012502">
        <w:rPr>
          <w:rFonts w:ascii="Narkisim" w:hAnsi="Narkisim"/>
          <w:rtl/>
        </w:rPr>
        <w:t xml:space="preserve">אך </w:t>
      </w:r>
      <w:r w:rsidRPr="00012502">
        <w:rPr>
          <w:rFonts w:ascii="Narkisim" w:hAnsi="Narkisim"/>
          <w:b/>
          <w:bCs/>
          <w:rtl/>
        </w:rPr>
        <w:t>ה"ה</w:t>
      </w:r>
      <w:r w:rsidRPr="00012502">
        <w:rPr>
          <w:rFonts w:ascii="Narkisim" w:hAnsi="Narkisim"/>
          <w:rtl/>
        </w:rPr>
        <w:t xml:space="preserve"> הק' דב</w:t>
      </w:r>
      <w:r w:rsidRPr="00012502">
        <w:rPr>
          <w:rFonts w:ascii="Narkisim" w:hAnsi="Narkisim"/>
          <w:b/>
          <w:bCs/>
          <w:rtl/>
        </w:rPr>
        <w:t>רמב"ם</w:t>
      </w:r>
      <w:r w:rsidRPr="00012502">
        <w:rPr>
          <w:rFonts w:ascii="Narkisim" w:hAnsi="Narkisim"/>
          <w:rtl/>
        </w:rPr>
        <w:t xml:space="preserve"> (אישות יט יד) מבואר דיש מזונות לבת הממאנת, ומבואר דאפשר שקטנה תלד</w:t>
      </w:r>
      <w:r w:rsidRPr="00012502">
        <w:rPr>
          <w:rStyle w:val="ac"/>
          <w:rFonts w:ascii="Narkisim" w:hAnsi="Narkisim"/>
          <w:rtl/>
        </w:rPr>
        <w:footnoteReference w:id="760"/>
      </w:r>
      <w:r w:rsidRPr="00012502">
        <w:rPr>
          <w:rFonts w:ascii="Narkisim" w:hAnsi="Narkisim"/>
          <w:rtl/>
        </w:rPr>
        <w:t xml:space="preserve">. </w:t>
      </w:r>
      <w:r w:rsidRPr="00012502">
        <w:rPr>
          <w:rFonts w:ascii="Narkisim" w:hAnsi="Narkisim"/>
          <w:sz w:val="20"/>
          <w:szCs w:val="20"/>
          <w:rtl/>
        </w:rPr>
        <w:t xml:space="preserve">וכתבו דס"ל לרמב"ם דכיון שילדה נראית כגדולה ואינה יכולה למאן [וכמ"ש </w:t>
      </w:r>
      <w:r w:rsidRPr="00012502">
        <w:rPr>
          <w:rFonts w:ascii="Narkisim" w:hAnsi="Narkisim"/>
          <w:b/>
          <w:bCs/>
          <w:sz w:val="20"/>
          <w:szCs w:val="20"/>
          <w:rtl/>
        </w:rPr>
        <w:t>תוס</w:t>
      </w:r>
      <w:r w:rsidRPr="00012502">
        <w:rPr>
          <w:rFonts w:ascii="Narkisim" w:hAnsi="Narkisim"/>
          <w:sz w:val="20"/>
          <w:szCs w:val="20"/>
          <w:rtl/>
        </w:rPr>
        <w:t>' יב: ד"ה שכבר].</w:t>
      </w:r>
    </w:p>
    <w:p w14:paraId="28F52501" w14:textId="77777777" w:rsidR="00BE1D1C" w:rsidRPr="00012502" w:rsidRDefault="00000000" w:rsidP="00012502">
      <w:pPr>
        <w:pStyle w:val="aa"/>
        <w:bidi/>
        <w:rPr>
          <w:rFonts w:ascii="Narkisim" w:hAnsi="Narkisim"/>
        </w:rPr>
      </w:pPr>
      <w:r w:rsidRPr="00012502">
        <w:rPr>
          <w:rFonts w:ascii="Narkisim" w:hAnsi="Narkisim"/>
          <w:u w:val="single"/>
          <w:rtl/>
        </w:rPr>
        <w:t>תוד"ה משום.</w:t>
      </w:r>
      <w:r w:rsidRPr="00012502">
        <w:rPr>
          <w:rFonts w:ascii="Narkisim" w:hAnsi="Narkisim"/>
          <w:rtl/>
        </w:rPr>
        <w:t xml:space="preserve"> נבדוק קמי לידה, ואי ליכא סימנים ליכא למיחש שמא נשרו וכו'. [תוס' לעיל פי' דאינו מצוי שתלד בקטנות, אך מ"מ צריך בדיקה]. </w:t>
      </w:r>
      <w:r w:rsidRPr="00012502">
        <w:rPr>
          <w:rFonts w:ascii="Narkisim" w:hAnsi="Narkisim"/>
          <w:b/>
          <w:bCs/>
          <w:rtl/>
        </w:rPr>
        <w:t>רע"א</w:t>
      </w:r>
      <w:r w:rsidRPr="00012502">
        <w:rPr>
          <w:rFonts w:ascii="Narkisim" w:hAnsi="Narkisim"/>
          <w:rtl/>
        </w:rPr>
        <w:t xml:space="preserve"> וה</w:t>
      </w:r>
      <w:r w:rsidRPr="00012502">
        <w:rPr>
          <w:rFonts w:ascii="Narkisim" w:hAnsi="Narkisim"/>
          <w:b/>
          <w:bCs/>
          <w:rtl/>
        </w:rPr>
        <w:t>ראמ"ה</w:t>
      </w:r>
      <w:r w:rsidRPr="00012502">
        <w:rPr>
          <w:rFonts w:ascii="Narkisim" w:hAnsi="Narkisim"/>
          <w:rtl/>
        </w:rPr>
        <w:t xml:space="preserve"> ביארו דכיון דבדקנו ולא מצאנו שערות, א"כ יצאה מהכלל דקטנה אינה יכולה להתעבר בלא שערות.</w:t>
      </w:r>
    </w:p>
    <w:p w14:paraId="5F99552D" w14:textId="77777777" w:rsidR="00BE1D1C" w:rsidRPr="00012502" w:rsidRDefault="00000000" w:rsidP="00012502">
      <w:pPr>
        <w:pStyle w:val="2"/>
        <w:bidi/>
        <w:rPr>
          <w:rFonts w:ascii="Narkisim" w:hAnsi="Narkisim"/>
        </w:rPr>
      </w:pPr>
      <w:r w:rsidRPr="00012502">
        <w:rPr>
          <w:rFonts w:ascii="Narkisim" w:hAnsi="Narkisim"/>
          <w:rtl/>
        </w:rPr>
        <w:t>צרות צרותיהן</w:t>
      </w:r>
    </w:p>
    <w:p w14:paraId="186599EF" w14:textId="77777777" w:rsidR="00BE1D1C" w:rsidRPr="00012502" w:rsidRDefault="00000000" w:rsidP="00012502">
      <w:pPr>
        <w:bidi/>
        <w:rPr>
          <w:rFonts w:ascii="Narkisim" w:hAnsi="Narkisim" w:cs="Narkisim"/>
        </w:rPr>
      </w:pPr>
      <w:r w:rsidRPr="00012502">
        <w:rPr>
          <w:rFonts w:ascii="Narkisim" w:hAnsi="Narkisim" w:cs="Narkisim"/>
          <w:u w:val="single"/>
          <w:rtl/>
        </w:rPr>
        <w:t>מנהני מילי וכו' לצרור וכו'.</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דצרת צרה פטורה. ו</w:t>
      </w:r>
      <w:r w:rsidRPr="00012502">
        <w:rPr>
          <w:rFonts w:ascii="Narkisim" w:hAnsi="Narkisim" w:cs="Narkisim"/>
          <w:b/>
          <w:bCs/>
          <w:rtl/>
        </w:rPr>
        <w:t>תוס</w:t>
      </w:r>
      <w:r w:rsidRPr="00012502">
        <w:rPr>
          <w:rFonts w:ascii="Narkisim" w:hAnsi="Narkisim" w:cs="Narkisim"/>
          <w:rtl/>
        </w:rPr>
        <w:t>' (ב. ד"ה עד) הקשו דתניא בהדיא (בברייתא ג:) דילפי' צרות צרותיהן מלצרור ולא לצור, וקשה לרב אשי דיליף מסברא.</w:t>
      </w:r>
    </w:p>
    <w:p w14:paraId="0CCF1F99" w14:textId="77777777" w:rsidR="00BE1D1C" w:rsidRPr="00012502" w:rsidRDefault="00000000" w:rsidP="00012502">
      <w:pPr>
        <w:pStyle w:val="a8"/>
        <w:bidi/>
        <w:rPr>
          <w:rFonts w:ascii="Narkisim" w:hAnsi="Narkisim"/>
        </w:rPr>
      </w:pPr>
      <w:r w:rsidRPr="00012502">
        <w:rPr>
          <w:rFonts w:ascii="Narkisim" w:hAnsi="Narkisim"/>
          <w:rtl/>
        </w:rPr>
        <w:t>אך ה</w:t>
      </w:r>
      <w:r w:rsidRPr="00012502">
        <w:rPr>
          <w:rFonts w:ascii="Narkisim" w:hAnsi="Narkisim"/>
          <w:b/>
          <w:bCs/>
          <w:rtl/>
        </w:rPr>
        <w:t>תוס' הרא"ש</w:t>
      </w:r>
      <w:r w:rsidRPr="00012502">
        <w:rPr>
          <w:rFonts w:ascii="Narkisim" w:hAnsi="Narkisim"/>
          <w:rtl/>
        </w:rPr>
        <w:t xml:space="preserve"> הביא ד</w:t>
      </w:r>
      <w:r w:rsidRPr="00012502">
        <w:rPr>
          <w:rFonts w:ascii="Narkisim" w:hAnsi="Narkisim"/>
          <w:b/>
          <w:bCs/>
          <w:rtl/>
        </w:rPr>
        <w:t>ר"ת</w:t>
      </w:r>
      <w:r w:rsidRPr="00012502">
        <w:rPr>
          <w:rFonts w:ascii="Narkisim" w:hAnsi="Narkisim"/>
          <w:rtl/>
        </w:rPr>
        <w:t xml:space="preserve"> ל"ג לה בברייתא [וכן הביא בהגהות הגר"א עה"ג ג:].</w:t>
      </w:r>
    </w:p>
    <w:p w14:paraId="00FBE5C9"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תוס'</w:t>
      </w:r>
      <w:r w:rsidRPr="00012502">
        <w:rPr>
          <w:rFonts w:ascii="Narkisim" w:hAnsi="Narkisim"/>
          <w:rtl/>
        </w:rPr>
        <w:t xml:space="preserve"> (שם) כתבו דקאי א'עד סוף כל העולם', מנה"מ לפטור צרה דצרת צרה, ובזה לרב אשי ילפי' מסברא.</w:t>
      </w:r>
    </w:p>
    <w:p w14:paraId="5AAB0225" w14:textId="77777777" w:rsidR="00BE1D1C" w:rsidRPr="00012502" w:rsidRDefault="00000000" w:rsidP="00012502">
      <w:pPr>
        <w:bidi/>
        <w:rPr>
          <w:rFonts w:ascii="Narkisim" w:hAnsi="Narkisim" w:cs="Narkisim"/>
        </w:rPr>
      </w:pPr>
      <w:r w:rsidRPr="00012502">
        <w:rPr>
          <w:rFonts w:ascii="Narkisim" w:hAnsi="Narkisim" w:cs="Narkisim"/>
          <w:u w:val="single"/>
          <w:rtl/>
        </w:rPr>
        <w:t>לצרור התורה ריבתה צרות הרבה</w:t>
      </w:r>
      <w:r w:rsidRPr="00012502">
        <w:rPr>
          <w:rStyle w:val="ac"/>
          <w:rFonts w:ascii="Narkisim" w:hAnsi="Narkisim" w:cs="Narkisim"/>
          <w:rtl/>
        </w:rPr>
        <w:footnoteReference w:id="761"/>
      </w:r>
      <w:r w:rsidRPr="00012502">
        <w:rPr>
          <w:rFonts w:ascii="Narkisim" w:hAnsi="Narkisim" w:cs="Narkisim"/>
          <w:rtl/>
        </w:rPr>
        <w:t>. ה</w:t>
      </w:r>
      <w:r w:rsidRPr="00012502">
        <w:rPr>
          <w:rFonts w:ascii="Narkisim" w:hAnsi="Narkisim" w:cs="Narkisim"/>
          <w:b/>
          <w:bCs/>
          <w:rtl/>
        </w:rPr>
        <w:t>אחרונים</w:t>
      </w:r>
      <w:r w:rsidRPr="00012502">
        <w:rPr>
          <w:rFonts w:ascii="Narkisim" w:hAnsi="Narkisim" w:cs="Narkisim"/>
          <w:rtl/>
        </w:rPr>
        <w:t xml:space="preserve"> חקרו בגדר הילפותא, האם צרת הערוה פוטרת צרתה</w:t>
      </w:r>
      <w:r w:rsidRPr="00012502">
        <w:rPr>
          <w:rStyle w:val="ac"/>
          <w:rFonts w:ascii="Narkisim" w:hAnsi="Narkisim" w:cs="Narkisim"/>
          <w:rtl/>
        </w:rPr>
        <w:footnoteReference w:id="762"/>
      </w:r>
      <w:r w:rsidRPr="00012502">
        <w:rPr>
          <w:rFonts w:ascii="Narkisim" w:hAnsi="Narkisim" w:cs="Narkisim"/>
          <w:rtl/>
        </w:rPr>
        <w:t>. או דכח הערוה פוטרת אף צרות צרותיה</w:t>
      </w:r>
      <w:r w:rsidRPr="00012502">
        <w:rPr>
          <w:rStyle w:val="ac"/>
          <w:rFonts w:ascii="Narkisim" w:hAnsi="Narkisim" w:cs="Narkisim"/>
          <w:rtl/>
        </w:rPr>
        <w:footnoteReference w:id="763"/>
      </w:r>
      <w:r w:rsidRPr="00012502">
        <w:rPr>
          <w:rFonts w:ascii="Narkisim" w:hAnsi="Narkisim" w:cs="Narkisim"/>
          <w:rtl/>
        </w:rPr>
        <w:t>.</w:t>
      </w:r>
    </w:p>
    <w:p w14:paraId="6D7E3323" w14:textId="77777777" w:rsidR="00BE1D1C" w:rsidRPr="00012502" w:rsidRDefault="00000000" w:rsidP="00012502">
      <w:pPr>
        <w:bidi/>
        <w:rPr>
          <w:rFonts w:ascii="Narkisim" w:hAnsi="Narkisim" w:cs="Narkisim"/>
        </w:rPr>
      </w:pPr>
      <w:r w:rsidRPr="00012502">
        <w:rPr>
          <w:rFonts w:ascii="Narkisim" w:hAnsi="Narkisim" w:cs="Narkisim"/>
          <w:u w:val="single"/>
          <w:rtl/>
        </w:rPr>
        <w:t>רב אשי אמר סברא היא וכו' צרת צרה נמי במקום ערוה קיימא.</w:t>
      </w:r>
      <w:r w:rsidRPr="00012502">
        <w:rPr>
          <w:rFonts w:ascii="Narkisim" w:hAnsi="Narkisim" w:cs="Narkisim"/>
          <w:rtl/>
        </w:rPr>
        <w:t xml:space="preserve"> </w:t>
      </w:r>
      <w:r w:rsidRPr="00012502">
        <w:rPr>
          <w:rFonts w:ascii="Narkisim" w:hAnsi="Narkisim" w:cs="Narkisim"/>
          <w:sz w:val="20"/>
          <w:szCs w:val="20"/>
          <w:rtl/>
        </w:rPr>
        <w:t>[וגירסת ה</w:t>
      </w:r>
      <w:r w:rsidRPr="00012502">
        <w:rPr>
          <w:rFonts w:ascii="Narkisim" w:hAnsi="Narkisim" w:cs="Narkisim"/>
          <w:b/>
          <w:bCs/>
          <w:sz w:val="20"/>
          <w:szCs w:val="20"/>
          <w:rtl/>
        </w:rPr>
        <w:t>רי"ף</w:t>
      </w:r>
      <w:r w:rsidRPr="00012502">
        <w:rPr>
          <w:rFonts w:ascii="Narkisim" w:hAnsi="Narkisim" w:cs="Narkisim"/>
          <w:sz w:val="20"/>
          <w:szCs w:val="20"/>
          <w:rtl/>
        </w:rPr>
        <w:t xml:space="preserve"> וה</w:t>
      </w:r>
      <w:r w:rsidRPr="00012502">
        <w:rPr>
          <w:rFonts w:ascii="Narkisim" w:hAnsi="Narkisim" w:cs="Narkisim"/>
          <w:b/>
          <w:bCs/>
          <w:sz w:val="20"/>
          <w:szCs w:val="20"/>
          <w:rtl/>
        </w:rPr>
        <w:t xml:space="preserve">רא"ש </w:t>
      </w:r>
      <w:r w:rsidRPr="00012502">
        <w:rPr>
          <w:rFonts w:ascii="Narkisim" w:hAnsi="Narkisim" w:cs="Narkisim"/>
          <w:sz w:val="20"/>
          <w:szCs w:val="20"/>
          <w:rtl/>
        </w:rPr>
        <w:t>במקום 'צרה' קיימא</w:t>
      </w:r>
      <w:r w:rsidRPr="00012502">
        <w:rPr>
          <w:rStyle w:val="ac"/>
          <w:rFonts w:ascii="Narkisim" w:hAnsi="Narkisim" w:cs="Narkisim"/>
          <w:sz w:val="20"/>
          <w:szCs w:val="20"/>
          <w:rtl/>
        </w:rPr>
        <w:footnoteReference w:id="764"/>
      </w:r>
      <w:r w:rsidRPr="00012502">
        <w:rPr>
          <w:rFonts w:ascii="Narkisim" w:hAnsi="Narkisim" w:cs="Narkisim"/>
          <w:sz w:val="20"/>
          <w:szCs w:val="20"/>
          <w:rtl/>
        </w:rPr>
        <w:t>].</w:t>
      </w:r>
      <w:r w:rsidRPr="00012502">
        <w:rPr>
          <w:rFonts w:ascii="Narkisim" w:hAnsi="Narkisim" w:cs="Narkisim"/>
          <w:rtl/>
        </w:rPr>
        <w:t xml:space="preserve"> לדברי ה</w:t>
      </w:r>
      <w:r w:rsidRPr="00012502">
        <w:rPr>
          <w:rFonts w:ascii="Narkisim" w:hAnsi="Narkisim" w:cs="Narkisim"/>
          <w:b/>
          <w:bCs/>
          <w:rtl/>
        </w:rPr>
        <w:t>תוס'</w:t>
      </w:r>
      <w:r w:rsidRPr="00012502">
        <w:rPr>
          <w:rFonts w:ascii="Narkisim" w:hAnsi="Narkisim" w:cs="Narkisim"/>
          <w:rtl/>
        </w:rPr>
        <w:t xml:space="preserve"> (הנ"ל, דקאי אצרת צרת צרה) כוונת הגמ' דכמו דצרה [הוה ערוה] לפטור צרתה, אף צרת צרה פוטרת.</w:t>
      </w:r>
    </w:p>
    <w:p w14:paraId="1D7CA806" w14:textId="77777777" w:rsidR="00BE1D1C" w:rsidRPr="00012502" w:rsidRDefault="00000000" w:rsidP="00012502">
      <w:pPr>
        <w:pStyle w:val="a7"/>
        <w:bidi/>
        <w:rPr>
          <w:rFonts w:ascii="Narkisim" w:hAnsi="Narkisim"/>
        </w:rPr>
      </w:pPr>
      <w:r w:rsidRPr="00012502">
        <w:rPr>
          <w:rFonts w:ascii="Narkisim" w:hAnsi="Narkisim"/>
          <w:rtl/>
        </w:rPr>
        <w:t>אבל ל</w:t>
      </w:r>
      <w:r w:rsidRPr="00012502">
        <w:rPr>
          <w:rFonts w:ascii="Narkisim" w:hAnsi="Narkisim"/>
          <w:b/>
          <w:bCs/>
          <w:rtl/>
        </w:rPr>
        <w:t>רש"י</w:t>
      </w:r>
      <w:r w:rsidRPr="00012502">
        <w:rPr>
          <w:rFonts w:ascii="Narkisim" w:hAnsi="Narkisim"/>
          <w:rtl/>
        </w:rPr>
        <w:t xml:space="preserve"> ושא"ר דקאי אצרת צרה, א"כ רב אשי אמר דכמו שערוה פוטרת צרתה, ה"נ צרה פוטרת, וצ"ב מנ"ל סברא זו. ובפשוטו משמע דהטעם משום דבמקום ערוה, ויש 'שם ערוה' על הצרה.</w:t>
      </w:r>
    </w:p>
    <w:p w14:paraId="5246ADA5" w14:textId="77777777" w:rsidR="00BE1D1C" w:rsidRPr="00012502" w:rsidRDefault="00000000" w:rsidP="00012502">
      <w:pPr>
        <w:pStyle w:val="a7"/>
        <w:bidi/>
        <w:rPr>
          <w:rFonts w:ascii="Narkisim" w:hAnsi="Narkisim"/>
        </w:rPr>
      </w:pPr>
      <w:r w:rsidRPr="00012502">
        <w:rPr>
          <w:rFonts w:ascii="Narkisim" w:hAnsi="Narkisim"/>
          <w:rtl/>
        </w:rPr>
        <w:t xml:space="preserve">אבל </w:t>
      </w:r>
      <w:r w:rsidRPr="00012502">
        <w:rPr>
          <w:rFonts w:ascii="Narkisim" w:hAnsi="Narkisim"/>
          <w:b/>
          <w:bCs/>
          <w:rtl/>
        </w:rPr>
        <w:t>רש"י</w:t>
      </w:r>
      <w:r w:rsidRPr="00012502">
        <w:rPr>
          <w:rFonts w:ascii="Narkisim" w:hAnsi="Narkisim"/>
          <w:rtl/>
        </w:rPr>
        <w:t xml:space="preserve"> (ג.) כת' דממילא קיימא באיסור אשת אח. משמע דאין על הצרה 'שם ערוה'. ולפ"ז יל"פ כוונת רב אשי דהוה במקום ערות אשת אח</w:t>
      </w:r>
      <w:r w:rsidRPr="00012502">
        <w:rPr>
          <w:rStyle w:val="ac"/>
          <w:rFonts w:ascii="Narkisim" w:hAnsi="Narkisim"/>
          <w:rtl/>
        </w:rPr>
        <w:footnoteReference w:id="765"/>
      </w:r>
      <w:r w:rsidRPr="00012502">
        <w:rPr>
          <w:rFonts w:ascii="Narkisim" w:hAnsi="Narkisim"/>
          <w:rtl/>
        </w:rPr>
        <w:t xml:space="preserve">. ולפ"ז סברת רב אשי היא כקושיית רע"א </w:t>
      </w:r>
      <w:r w:rsidRPr="00012502">
        <w:rPr>
          <w:rFonts w:ascii="Narkisim" w:hAnsi="Narkisim"/>
          <w:rtl/>
        </w:rPr>
        <w:lastRenderedPageBreak/>
        <w:t>אמאי איצטריך קרא לצרת צרה, תיפו"ל משום צרת אשת אח</w:t>
      </w:r>
      <w:r w:rsidRPr="00012502">
        <w:rPr>
          <w:rStyle w:val="ac"/>
          <w:rFonts w:ascii="Narkisim" w:hAnsi="Narkisim"/>
          <w:rtl/>
        </w:rPr>
        <w:footnoteReference w:id="766"/>
      </w:r>
      <w:r w:rsidRPr="00012502">
        <w:rPr>
          <w:rFonts w:ascii="Narkisim" w:hAnsi="Narkisim"/>
          <w:rtl/>
        </w:rPr>
        <w:t>. ובאמת צרת צרה פטורה רק מדין צרת אשת אח. [ול"צ קרא]. וה</w:t>
      </w:r>
      <w:r w:rsidRPr="00012502">
        <w:rPr>
          <w:rFonts w:ascii="Narkisim" w:hAnsi="Narkisim"/>
          <w:b/>
          <w:bCs/>
          <w:rtl/>
        </w:rPr>
        <w:t>קובה"ע</w:t>
      </w:r>
      <w:r w:rsidRPr="00012502">
        <w:rPr>
          <w:rFonts w:ascii="Narkisim" w:hAnsi="Narkisim"/>
          <w:rtl/>
        </w:rPr>
        <w:t xml:space="preserve"> (ג טו) ביאר דכוונת הגמ' דיש על הצרה שם 'צרת בתו' </w:t>
      </w:r>
      <w:r w:rsidRPr="00012502">
        <w:rPr>
          <w:rFonts w:ascii="Narkisim" w:hAnsi="Narkisim"/>
          <w:sz w:val="20"/>
          <w:szCs w:val="20"/>
          <w:rtl/>
        </w:rPr>
        <w:t>[ואף דאסורה רק משום איסור אשת אח].</w:t>
      </w:r>
    </w:p>
    <w:p w14:paraId="7C806702" w14:textId="77777777" w:rsidR="00BE1D1C" w:rsidRPr="00012502" w:rsidRDefault="00000000" w:rsidP="00012502">
      <w:pPr>
        <w:pStyle w:val="aa"/>
        <w:bidi/>
        <w:rPr>
          <w:rFonts w:ascii="Narkisim" w:hAnsi="Narkisim"/>
        </w:rPr>
      </w:pPr>
      <w:r w:rsidRPr="00012502">
        <w:rPr>
          <w:rFonts w:ascii="Narkisim" w:hAnsi="Narkisim"/>
          <w:u w:val="single"/>
          <w:rtl/>
        </w:rPr>
        <w:t>שם. סברא היא וכו'</w:t>
      </w:r>
      <w:r w:rsidRPr="00012502">
        <w:rPr>
          <w:rFonts w:ascii="Narkisim" w:hAnsi="Narkisim"/>
          <w:rtl/>
        </w:rPr>
        <w:t>. בפשוטו רב יהודה פליג אהך סברא. אבל ה</w:t>
      </w:r>
      <w:r w:rsidRPr="00012502">
        <w:rPr>
          <w:rFonts w:ascii="Narkisim" w:hAnsi="Narkisim"/>
          <w:b/>
          <w:bCs/>
          <w:rtl/>
        </w:rPr>
        <w:t>ריטב"א</w:t>
      </w:r>
      <w:r w:rsidRPr="00012502">
        <w:rPr>
          <w:rFonts w:ascii="Narkisim" w:hAnsi="Narkisim"/>
          <w:rtl/>
        </w:rPr>
        <w:t xml:space="preserve"> כת' דלא סגי דרב יהודה לא ידע סברא זו, ואפ"ה נקט קרא לסמך בעלמא.</w:t>
      </w:r>
    </w:p>
    <w:p w14:paraId="64FCB049" w14:textId="77777777" w:rsidR="00BE1D1C" w:rsidRPr="00012502" w:rsidRDefault="00000000" w:rsidP="00012502">
      <w:pPr>
        <w:bidi/>
        <w:rPr>
          <w:rFonts w:ascii="Narkisim" w:hAnsi="Narkisim" w:cs="Narkisim"/>
        </w:rPr>
      </w:pPr>
      <w:r w:rsidRPr="00012502">
        <w:rPr>
          <w:rFonts w:ascii="Narkisim" w:hAnsi="Narkisim" w:cs="Narkisim"/>
          <w:u w:val="single"/>
          <w:rtl/>
        </w:rPr>
        <w:t>האי תנא סבר נשואין מפילים וכו'.</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דמשעה שנשאת לבעלה, מפילין אותה ליבום. ומש"ה כשהיתה צרת ערוה שעה א' [אף קודם הנפילה ליבום], אסורה עולמית</w:t>
      </w:r>
      <w:r w:rsidRPr="00012502">
        <w:rPr>
          <w:rStyle w:val="ac"/>
          <w:rFonts w:ascii="Narkisim" w:hAnsi="Narkisim" w:cs="Narkisim"/>
          <w:rtl/>
        </w:rPr>
        <w:footnoteReference w:id="767"/>
      </w:r>
      <w:r w:rsidRPr="00012502">
        <w:rPr>
          <w:rFonts w:ascii="Narkisim" w:hAnsi="Narkisim" w:cs="Narkisim"/>
          <w:rtl/>
        </w:rPr>
        <w:t>. [והוה צרת ערוה].</w:t>
      </w:r>
    </w:p>
    <w:p w14:paraId="4D03C466" w14:textId="77777777" w:rsidR="00BE1D1C" w:rsidRPr="00012502" w:rsidRDefault="00000000" w:rsidP="00012502">
      <w:pPr>
        <w:bidi/>
        <w:rPr>
          <w:rFonts w:ascii="Narkisim" w:hAnsi="Narkisim" w:cs="Narkisim"/>
        </w:rPr>
      </w:pPr>
      <w:r w:rsidRPr="00012502">
        <w:rPr>
          <w:rFonts w:ascii="Narkisim" w:hAnsi="Narkisim" w:cs="Narkisim"/>
          <w:rtl/>
        </w:rPr>
        <w:t>ו</w:t>
      </w:r>
      <w:r w:rsidRPr="00012502">
        <w:rPr>
          <w:rFonts w:ascii="Narkisim" w:hAnsi="Narkisim" w:cs="Narkisim"/>
          <w:b/>
          <w:bCs/>
          <w:rtl/>
        </w:rPr>
        <w:t>תוס</w:t>
      </w:r>
      <w:r w:rsidRPr="00012502">
        <w:rPr>
          <w:rFonts w:ascii="Narkisim" w:hAnsi="Narkisim" w:cs="Narkisim"/>
          <w:rtl/>
        </w:rPr>
        <w:t>' (ל. ד"ה ונאסרה) כת' דנישואין מפילין מהני רק לענין שהיתה צרת ערוה, אע"ג דאח"כ כבר אינה צרתה</w:t>
      </w:r>
      <w:r w:rsidRPr="00012502">
        <w:rPr>
          <w:rStyle w:val="ac"/>
          <w:rFonts w:ascii="Narkisim" w:hAnsi="Narkisim" w:cs="Narkisim"/>
          <w:rtl/>
        </w:rPr>
        <w:footnoteReference w:id="768"/>
      </w:r>
      <w:r w:rsidRPr="00012502">
        <w:rPr>
          <w:rFonts w:ascii="Narkisim" w:hAnsi="Narkisim" w:cs="Narkisim"/>
          <w:rtl/>
        </w:rPr>
        <w:t>. אבל לא נחשב שכבר נפלה בחייו</w:t>
      </w:r>
      <w:r w:rsidRPr="00012502">
        <w:rPr>
          <w:rStyle w:val="ac"/>
          <w:rFonts w:ascii="Narkisim" w:hAnsi="Narkisim" w:cs="Narkisim"/>
          <w:rtl/>
        </w:rPr>
        <w:footnoteReference w:id="769"/>
      </w:r>
      <w:r w:rsidRPr="00012502">
        <w:rPr>
          <w:rFonts w:ascii="Narkisim" w:hAnsi="Narkisim" w:cs="Narkisim"/>
          <w:rtl/>
        </w:rPr>
        <w:t xml:space="preserve">. </w:t>
      </w:r>
      <w:r w:rsidRPr="00012502">
        <w:rPr>
          <w:rFonts w:ascii="Narkisim" w:hAnsi="Narkisim" w:cs="Narkisim"/>
          <w:sz w:val="20"/>
          <w:szCs w:val="20"/>
          <w:rtl/>
        </w:rPr>
        <w:t>[וה</w:t>
      </w:r>
      <w:r w:rsidRPr="00012502">
        <w:rPr>
          <w:rFonts w:ascii="Narkisim" w:hAnsi="Narkisim" w:cs="Narkisim"/>
          <w:b/>
          <w:bCs/>
          <w:sz w:val="20"/>
          <w:szCs w:val="20"/>
          <w:rtl/>
        </w:rPr>
        <w:t>אחרונים</w:t>
      </w:r>
      <w:r w:rsidRPr="00012502">
        <w:rPr>
          <w:rFonts w:ascii="Narkisim" w:hAnsi="Narkisim" w:cs="Narkisim"/>
          <w:sz w:val="20"/>
          <w:szCs w:val="20"/>
          <w:rtl/>
        </w:rPr>
        <w:t xml:space="preserve"> האריכו בכוונת התוס', ובעזה"י יובא לקמן].</w:t>
      </w:r>
    </w:p>
    <w:p w14:paraId="24925BC4"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קובה"ע</w:t>
      </w:r>
      <w:r w:rsidRPr="00012502">
        <w:rPr>
          <w:rFonts w:ascii="Narkisim" w:hAnsi="Narkisim" w:cs="Narkisim"/>
          <w:sz w:val="20"/>
          <w:szCs w:val="20"/>
          <w:rtl/>
        </w:rPr>
        <w:t xml:space="preserve"> (ו ג) </w:t>
      </w:r>
      <w:r w:rsidRPr="00012502">
        <w:rPr>
          <w:rFonts w:ascii="Narkisim" w:hAnsi="Narkisim" w:cs="Narkisim"/>
          <w:rtl/>
        </w:rPr>
        <w:t>ביאר דנישואין מפילין הוה רק סיבת הנפילה, דהנישואין גורמים דין יבום, ויש זיקה על להבא. אבל הזיקה אינו חל עד שימות בעלה</w:t>
      </w:r>
      <w:r w:rsidRPr="00012502">
        <w:rPr>
          <w:rStyle w:val="ac"/>
          <w:rFonts w:ascii="Narkisim" w:hAnsi="Narkisim" w:cs="Narkisim"/>
          <w:rtl/>
        </w:rPr>
        <w:footnoteReference w:id="770"/>
      </w:r>
      <w:r w:rsidRPr="00012502">
        <w:rPr>
          <w:rFonts w:ascii="Narkisim" w:hAnsi="Narkisim" w:cs="Narkisim"/>
          <w:rtl/>
        </w:rPr>
        <w:t>.</w:t>
      </w:r>
      <w:r w:rsidRPr="00012502">
        <w:rPr>
          <w:rFonts w:ascii="Narkisim" w:hAnsi="Narkisim" w:cs="Narkisim"/>
          <w:sz w:val="20"/>
          <w:szCs w:val="20"/>
          <w:rtl/>
        </w:rPr>
        <w:t xml:space="preserve"> והביאו כן מה</w:t>
      </w:r>
      <w:r w:rsidRPr="00012502">
        <w:rPr>
          <w:rFonts w:ascii="Narkisim" w:hAnsi="Narkisim" w:cs="Narkisim"/>
          <w:b/>
          <w:bCs/>
          <w:sz w:val="20"/>
          <w:szCs w:val="20"/>
          <w:rtl/>
        </w:rPr>
        <w:t>ירושלמי</w:t>
      </w:r>
      <w:r w:rsidRPr="00012502">
        <w:rPr>
          <w:rFonts w:ascii="Narkisim" w:hAnsi="Narkisim" w:cs="Narkisim"/>
          <w:sz w:val="20"/>
          <w:szCs w:val="20"/>
          <w:rtl/>
        </w:rPr>
        <w:t xml:space="preserve"> (ג ח כא.) דמתו בניו בחייו זקוקה ליבום, דבשעת מיתה לא היו לו בנים. </w:t>
      </w:r>
      <w:r w:rsidRPr="00012502">
        <w:rPr>
          <w:rFonts w:ascii="Narkisim" w:hAnsi="Narkisim" w:cs="Narkisim"/>
          <w:rtl/>
        </w:rPr>
        <w:t>[וע"ע חי' ר' שמעון טו].</w:t>
      </w:r>
    </w:p>
    <w:p w14:paraId="1DD73876"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 xml:space="preserve">אחרונים </w:t>
      </w:r>
      <w:r w:rsidRPr="00012502">
        <w:rPr>
          <w:rFonts w:ascii="Narkisim" w:hAnsi="Narkisim"/>
          <w:rtl/>
        </w:rPr>
        <w:t>דנו דעפ"ז משכח"ל צרת צרה בנפילה ראשונה, שגירש את הערוה, ונשא אחרת, ולמ"ד נישואין מפילים תחשב צרת צרה</w:t>
      </w:r>
      <w:r w:rsidRPr="00012502">
        <w:rPr>
          <w:rStyle w:val="ac"/>
          <w:rFonts w:ascii="Narkisim" w:hAnsi="Narkisim"/>
          <w:rtl/>
        </w:rPr>
        <w:footnoteReference w:id="771"/>
      </w:r>
      <w:r w:rsidRPr="00012502">
        <w:rPr>
          <w:rFonts w:ascii="Narkisim" w:hAnsi="Narkisim"/>
          <w:rtl/>
        </w:rPr>
        <w:t>.</w:t>
      </w:r>
    </w:p>
    <w:p w14:paraId="649DBA91"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ועוד מצאנו נישואין מפילין בסוגיא (לקמן קט. </w:t>
      </w:r>
      <w:r w:rsidRPr="00012502">
        <w:rPr>
          <w:rFonts w:ascii="Narkisim" w:hAnsi="Narkisim" w:cs="Narkisim"/>
          <w:sz w:val="20"/>
          <w:szCs w:val="20"/>
          <w:rtl/>
        </w:rPr>
        <w:t>[הו' בתוד"ה נשואין])</w:t>
      </w:r>
      <w:r w:rsidRPr="00012502">
        <w:rPr>
          <w:rFonts w:ascii="Narkisim" w:hAnsi="Narkisim" w:cs="Narkisim"/>
          <w:rtl/>
        </w:rPr>
        <w:t xml:space="preserve"> דהמגרש את אשתו ומחזירה, יש צד לר' אלעזר דפטורה מיבום, דנישואין הראשונים אוסרים עליה. ובגמ' (מא.) מבואר דהוא משום 'נאסרה'.</w:t>
      </w:r>
      <w:r w:rsidRPr="00012502">
        <w:rPr>
          <w:rFonts w:ascii="Narkisim" w:hAnsi="Narkisim" w:cs="Narkisim"/>
          <w:sz w:val="20"/>
          <w:szCs w:val="20"/>
          <w:rtl/>
        </w:rPr>
        <w:t xml:space="preserve"> [וה</w:t>
      </w:r>
      <w:r w:rsidRPr="00012502">
        <w:rPr>
          <w:rFonts w:ascii="Narkisim" w:hAnsi="Narkisim" w:cs="Narkisim"/>
          <w:b/>
          <w:bCs/>
          <w:sz w:val="20"/>
          <w:szCs w:val="20"/>
          <w:rtl/>
        </w:rPr>
        <w:t>אחרונים</w:t>
      </w:r>
      <w:r w:rsidRPr="00012502">
        <w:rPr>
          <w:rFonts w:ascii="Narkisim" w:hAnsi="Narkisim" w:cs="Narkisim"/>
          <w:sz w:val="20"/>
          <w:szCs w:val="20"/>
          <w:rtl/>
        </w:rPr>
        <w:t xml:space="preserve"> דנו דהתם נפקע לגמרי שנישואין הראשונים אינו זוקק ליבום. ויש לחלק בין הגדרים של נישואין מפילים וע' לקמן].</w:t>
      </w:r>
    </w:p>
    <w:p w14:paraId="120B3341" w14:textId="77777777" w:rsidR="00BE1D1C" w:rsidRPr="00012502" w:rsidRDefault="00000000" w:rsidP="00012502">
      <w:pPr>
        <w:pStyle w:val="aa"/>
        <w:bidi/>
        <w:rPr>
          <w:rFonts w:ascii="Narkisim" w:hAnsi="Narkisim"/>
        </w:rPr>
      </w:pPr>
      <w:r w:rsidRPr="00012502">
        <w:rPr>
          <w:rFonts w:ascii="Narkisim" w:hAnsi="Narkisim"/>
          <w:u w:val="single"/>
          <w:rtl/>
        </w:rPr>
        <w:t>תמאן השתא.</w:t>
      </w:r>
      <w:r w:rsidRPr="00012502">
        <w:rPr>
          <w:rFonts w:ascii="Narkisim" w:hAnsi="Narkisim"/>
          <w:rtl/>
        </w:rPr>
        <w:t xml:space="preserve"> ה</w:t>
      </w:r>
      <w:r w:rsidRPr="00012502">
        <w:rPr>
          <w:rFonts w:ascii="Narkisim" w:hAnsi="Narkisim"/>
          <w:b/>
          <w:bCs/>
          <w:rtl/>
        </w:rPr>
        <w:t>פור"י</w:t>
      </w:r>
      <w:r w:rsidRPr="00012502">
        <w:rPr>
          <w:rFonts w:ascii="Narkisim" w:hAnsi="Narkisim"/>
          <w:rtl/>
        </w:rPr>
        <w:t xml:space="preserve"> הקשה כיון דהוה צרת ערוה ונפטרה, א"כ אינה יכולה למאן. דאף לעולא דממאנת לזיקה, כשאין זיקה א"א למאן [וכמ"ש הרשב"א קז:, ודלא כרי"ף שם, הו' לעיל יב.]. וכתב דכוונת הגמ' דמשמע אף במקום שיש אחים דמהני מיאון ליפטר מחליצה</w:t>
      </w:r>
      <w:r w:rsidRPr="00012502">
        <w:rPr>
          <w:rStyle w:val="ac"/>
          <w:rFonts w:ascii="Narkisim" w:hAnsi="Narkisim"/>
          <w:rtl/>
        </w:rPr>
        <w:footnoteReference w:id="772"/>
      </w:r>
      <w:r w:rsidRPr="00012502">
        <w:rPr>
          <w:rFonts w:ascii="Narkisim" w:hAnsi="Narkisim"/>
          <w:rtl/>
        </w:rPr>
        <w:t>.</w:t>
      </w:r>
    </w:p>
    <w:p w14:paraId="52BA11A4" w14:textId="77777777" w:rsidR="00BE1D1C" w:rsidRPr="00012502" w:rsidRDefault="00000000" w:rsidP="00012502">
      <w:pPr>
        <w:pStyle w:val="aa"/>
        <w:bidi/>
        <w:rPr>
          <w:rFonts w:ascii="Narkisim" w:hAnsi="Narkisim"/>
        </w:rPr>
      </w:pPr>
      <w:r w:rsidRPr="00012502">
        <w:rPr>
          <w:rFonts w:ascii="Narkisim" w:hAnsi="Narkisim"/>
          <w:u w:val="single"/>
          <w:rtl/>
        </w:rPr>
        <w:t>תוד"ה תמאן השתא.</w:t>
      </w:r>
      <w:r w:rsidRPr="00012502">
        <w:rPr>
          <w:rFonts w:ascii="Narkisim" w:hAnsi="Narkisim"/>
          <w:rtl/>
        </w:rPr>
        <w:t xml:space="preserve"> ואפי' לר"ג וכו'. תוס' נקטו דכוונת הגמ' דמלמדים למאן, כדי לקיים דין יבום. ואף דר"ג ס"ל להתרחק מהמיאונים, אפי' במקום מצוה [כדאי' לקמן קט.]. היינו להוציא אשה מתחת בעלה, אבל לאחר מיתת בעלה אין הפסד במיאון</w:t>
      </w:r>
      <w:r w:rsidRPr="00012502">
        <w:rPr>
          <w:rStyle w:val="ac"/>
          <w:rFonts w:ascii="Narkisim" w:hAnsi="Narkisim"/>
          <w:rtl/>
        </w:rPr>
        <w:footnoteReference w:id="773"/>
      </w:r>
      <w:r w:rsidRPr="00012502">
        <w:rPr>
          <w:rFonts w:ascii="Narkisim" w:hAnsi="Narkisim"/>
          <w:rtl/>
        </w:rPr>
        <w:t>.</w:t>
      </w:r>
    </w:p>
    <w:p w14:paraId="47438FED" w14:textId="77777777" w:rsidR="00BE1D1C" w:rsidRPr="00012502" w:rsidRDefault="00000000" w:rsidP="00012502">
      <w:pPr>
        <w:bidi/>
        <w:rPr>
          <w:rFonts w:ascii="Narkisim" w:hAnsi="Narkisim" w:cs="Narkisim"/>
        </w:rPr>
      </w:pPr>
      <w:r w:rsidRPr="00012502">
        <w:rPr>
          <w:rFonts w:ascii="Narkisim" w:hAnsi="Narkisim" w:cs="Narkisim"/>
          <w:u w:val="single"/>
          <w:rtl/>
        </w:rPr>
        <w:t>לימא מסייע ליה לר' אושעיא וכו'.</w:t>
      </w:r>
      <w:r w:rsidRPr="00012502">
        <w:rPr>
          <w:rFonts w:ascii="Narkisim" w:hAnsi="Narkisim" w:cs="Narkisim"/>
          <w:rtl/>
        </w:rPr>
        <w:t xml:space="preserve"> </w:t>
      </w:r>
      <w:r w:rsidRPr="00012502">
        <w:rPr>
          <w:rFonts w:ascii="Narkisim" w:hAnsi="Narkisim" w:cs="Narkisim"/>
          <w:sz w:val="20"/>
          <w:szCs w:val="20"/>
          <w:rtl/>
        </w:rPr>
        <w:t>[ע' מש"כ בזה לעיל יב.].</w:t>
      </w:r>
      <w:r w:rsidRPr="00012502">
        <w:rPr>
          <w:rFonts w:ascii="Narkisim" w:hAnsi="Narkisim" w:cs="Narkisim"/>
          <w:rtl/>
        </w:rPr>
        <w:t xml:space="preserve"> ה</w:t>
      </w:r>
      <w:r w:rsidRPr="00012502">
        <w:rPr>
          <w:rFonts w:ascii="Narkisim" w:hAnsi="Narkisim" w:cs="Narkisim"/>
          <w:b/>
          <w:bCs/>
          <w:rtl/>
        </w:rPr>
        <w:t>רמב"ן</w:t>
      </w:r>
      <w:r w:rsidRPr="00012502">
        <w:rPr>
          <w:rFonts w:ascii="Narkisim" w:hAnsi="Narkisim" w:cs="Narkisim"/>
          <w:rtl/>
        </w:rPr>
        <w:t xml:space="preserve"> מביא דב</w:t>
      </w:r>
      <w:r w:rsidRPr="00012502">
        <w:rPr>
          <w:rFonts w:ascii="Narkisim" w:hAnsi="Narkisim" w:cs="Narkisim"/>
          <w:b/>
          <w:bCs/>
          <w:rtl/>
        </w:rPr>
        <w:t xml:space="preserve">ירושלמי </w:t>
      </w:r>
      <w:r w:rsidRPr="00012502">
        <w:rPr>
          <w:rFonts w:ascii="Narkisim" w:hAnsi="Narkisim" w:cs="Narkisim"/>
          <w:rtl/>
        </w:rPr>
        <w:t xml:space="preserve">איתא דמודה ר' אושעיא כשאומרת אי אפשי לא בנשואיך ולא בנשואי אחיך. </w:t>
      </w:r>
      <w:r w:rsidRPr="00012502">
        <w:rPr>
          <w:rFonts w:ascii="Narkisim" w:hAnsi="Narkisim" w:cs="Narkisim"/>
          <w:sz w:val="20"/>
          <w:szCs w:val="20"/>
          <w:rtl/>
        </w:rPr>
        <w:t>ור' אושעיא איירי בממאנת בסתמא לזיקה</w:t>
      </w:r>
      <w:r w:rsidRPr="00012502">
        <w:rPr>
          <w:rFonts w:ascii="Narkisim" w:hAnsi="Narkisim" w:cs="Narkisim"/>
          <w:rtl/>
        </w:rPr>
        <w:t>. וכתב דבסוגיין לא משמע כן.</w:t>
      </w:r>
    </w:p>
    <w:p w14:paraId="05F55EA7" w14:textId="77777777" w:rsidR="00BE1D1C" w:rsidRPr="00012502" w:rsidRDefault="00000000" w:rsidP="00012502">
      <w:pPr>
        <w:bidi/>
        <w:rPr>
          <w:rFonts w:ascii="Narkisim" w:hAnsi="Narkisim" w:cs="Narkisim"/>
        </w:rPr>
      </w:pPr>
      <w:r w:rsidRPr="00012502">
        <w:rPr>
          <w:rFonts w:ascii="Narkisim" w:hAnsi="Narkisim" w:cs="Narkisim"/>
          <w:u w:val="single"/>
          <w:rtl/>
        </w:rPr>
        <w:t>תוד"ה לא.</w:t>
      </w:r>
      <w:r w:rsidRPr="00012502">
        <w:rPr>
          <w:rFonts w:ascii="Narkisim" w:hAnsi="Narkisim" w:cs="Narkisim"/>
          <w:rtl/>
        </w:rPr>
        <w:t xml:space="preserve"> א"נ כשמיאנה ביבם אחר אחר שנתייבמה וכו'. מבואר דאף לר' אושעיא דאינה ממאנת לזיקה, אפ"ה לאחר שמייבם מהני מיאון, ומותרת לשוק</w:t>
      </w:r>
      <w:r w:rsidRPr="00012502">
        <w:rPr>
          <w:rStyle w:val="ac"/>
          <w:rFonts w:ascii="Narkisim" w:hAnsi="Narkisim" w:cs="Narkisim"/>
          <w:rtl/>
        </w:rPr>
        <w:footnoteReference w:id="774"/>
      </w:r>
      <w:r w:rsidRPr="00012502">
        <w:rPr>
          <w:rFonts w:ascii="Narkisim" w:hAnsi="Narkisim" w:cs="Narkisim"/>
          <w:rtl/>
        </w:rPr>
        <w:t xml:space="preserve">. </w:t>
      </w:r>
      <w:r w:rsidRPr="00012502">
        <w:rPr>
          <w:rFonts w:ascii="Narkisim" w:hAnsi="Narkisim" w:cs="Narkisim"/>
          <w:sz w:val="20"/>
          <w:szCs w:val="20"/>
          <w:rtl/>
        </w:rPr>
        <w:t>וכדמבואר בגמ' (לקמן קז.) דביאה דהוא קעביד מצי עקרה.</w:t>
      </w:r>
    </w:p>
    <w:p w14:paraId="313CE132" w14:textId="77777777" w:rsidR="00BE1D1C" w:rsidRPr="00012502" w:rsidRDefault="00000000" w:rsidP="00012502">
      <w:pPr>
        <w:pStyle w:val="a7"/>
        <w:bidi/>
        <w:rPr>
          <w:rFonts w:ascii="Narkisim" w:hAnsi="Narkisim"/>
        </w:rPr>
      </w:pPr>
      <w:r w:rsidRPr="00012502">
        <w:rPr>
          <w:rFonts w:ascii="Narkisim" w:hAnsi="Narkisim"/>
          <w:rtl/>
        </w:rPr>
        <w:lastRenderedPageBreak/>
        <w:t>ובפשוטו משמע דלר' אושעיא עוקר ביאה דידיה</w:t>
      </w:r>
      <w:r w:rsidRPr="00012502">
        <w:rPr>
          <w:rStyle w:val="ac"/>
          <w:rFonts w:ascii="Narkisim" w:hAnsi="Narkisim"/>
          <w:rtl/>
        </w:rPr>
        <w:footnoteReference w:id="775"/>
      </w:r>
      <w:r w:rsidRPr="00012502">
        <w:rPr>
          <w:rFonts w:ascii="Narkisim" w:hAnsi="Narkisim"/>
          <w:rtl/>
        </w:rPr>
        <w:t>, ול"מ לעקור אישות אחיו [דהא ס"ל דאינה ממאנת לזיקתו]. וה</w:t>
      </w:r>
      <w:r w:rsidRPr="00012502">
        <w:rPr>
          <w:rFonts w:ascii="Narkisim" w:hAnsi="Narkisim"/>
          <w:b/>
          <w:bCs/>
          <w:rtl/>
        </w:rPr>
        <w:t>ערול"נ</w:t>
      </w:r>
      <w:r w:rsidRPr="00012502">
        <w:rPr>
          <w:rFonts w:ascii="Narkisim" w:hAnsi="Narkisim"/>
          <w:rtl/>
        </w:rPr>
        <w:t xml:space="preserve"> הקשה א"כ אמאי כתבו בתוס' ד'נראית כצרת בתו', הא באמת הוה צרת בתו. ועוה"ק ה</w:t>
      </w:r>
      <w:r w:rsidRPr="00012502">
        <w:rPr>
          <w:rFonts w:ascii="Narkisim" w:hAnsi="Narkisim"/>
          <w:b/>
          <w:bCs/>
          <w:rtl/>
        </w:rPr>
        <w:t>אחרונים</w:t>
      </w:r>
      <w:r w:rsidRPr="00012502">
        <w:rPr>
          <w:rFonts w:ascii="Narkisim" w:hAnsi="Narkisim"/>
          <w:rtl/>
        </w:rPr>
        <w:t xml:space="preserve"> </w:t>
      </w:r>
      <w:r w:rsidRPr="00012502">
        <w:rPr>
          <w:rFonts w:ascii="Narkisim" w:hAnsi="Narkisim"/>
          <w:szCs w:val="20"/>
          <w:rtl/>
        </w:rPr>
        <w:t>(</w:t>
      </w:r>
      <w:r w:rsidRPr="00012502">
        <w:rPr>
          <w:rFonts w:ascii="Narkisim" w:hAnsi="Narkisim"/>
          <w:b/>
          <w:bCs/>
          <w:sz w:val="20"/>
          <w:szCs w:val="20"/>
          <w:rtl/>
        </w:rPr>
        <w:t>חי' ר' שמעון</w:t>
      </w:r>
      <w:r w:rsidRPr="00012502">
        <w:rPr>
          <w:rFonts w:ascii="Narkisim" w:hAnsi="Narkisim"/>
          <w:sz w:val="20"/>
          <w:szCs w:val="20"/>
          <w:rtl/>
        </w:rPr>
        <w:t xml:space="preserve"> יא בהג')</w:t>
      </w:r>
      <w:r w:rsidRPr="00012502">
        <w:rPr>
          <w:rFonts w:ascii="Narkisim" w:hAnsi="Narkisim"/>
          <w:rtl/>
        </w:rPr>
        <w:t xml:space="preserve"> א"כ בטל היבום ותחזור להיות שומרת יבם ותאסר לעלמא.</w:t>
      </w:r>
    </w:p>
    <w:p w14:paraId="0797FB4E"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ר' שמעון</w:t>
      </w:r>
      <w:r w:rsidRPr="00012502">
        <w:rPr>
          <w:rFonts w:ascii="Narkisim" w:hAnsi="Narkisim"/>
          <w:rtl/>
        </w:rPr>
        <w:t xml:space="preserve"> תי' דאפ"ה מעשה היבום מפקיע לזיקה, שבשעתו היתה ביאה שיש בו קנין. ואף דנעקר היבום, אינה חוזרת לזיקה</w:t>
      </w:r>
      <w:r w:rsidRPr="00012502">
        <w:rPr>
          <w:rStyle w:val="ac"/>
          <w:rFonts w:ascii="Narkisim" w:hAnsi="Narkisim"/>
          <w:rtl/>
        </w:rPr>
        <w:footnoteReference w:id="776"/>
      </w:r>
      <w:r w:rsidRPr="00012502">
        <w:rPr>
          <w:rFonts w:ascii="Narkisim" w:hAnsi="Narkisim"/>
          <w:rtl/>
        </w:rPr>
        <w:t xml:space="preserve">. </w:t>
      </w:r>
      <w:r w:rsidRPr="00012502">
        <w:rPr>
          <w:rFonts w:ascii="Narkisim" w:hAnsi="Narkisim"/>
          <w:sz w:val="20"/>
          <w:szCs w:val="20"/>
          <w:rtl/>
        </w:rPr>
        <w:t>ועוד כתב דביאה וקנין יבום לא תליא ברצונם, דקני בע"כ, ולא מסתבר שאפשר לעוקרו.</w:t>
      </w:r>
    </w:p>
    <w:p w14:paraId="6C90A564"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פי' [וכן דייקו מה</w:t>
      </w:r>
      <w:r w:rsidRPr="00012502">
        <w:rPr>
          <w:rFonts w:ascii="Narkisim" w:hAnsi="Narkisim"/>
          <w:b/>
          <w:bCs/>
          <w:rtl/>
        </w:rPr>
        <w:t>תוס' הרא"ש</w:t>
      </w:r>
      <w:r w:rsidRPr="00012502">
        <w:rPr>
          <w:rStyle w:val="ac"/>
          <w:rFonts w:ascii="Narkisim" w:hAnsi="Narkisim"/>
          <w:rtl/>
        </w:rPr>
        <w:footnoteReference w:id="777"/>
      </w:r>
      <w:r w:rsidRPr="00012502">
        <w:rPr>
          <w:rFonts w:ascii="Narkisim" w:hAnsi="Narkisim"/>
          <w:rtl/>
        </w:rPr>
        <w:t>] דכוונת התוס' דאחרי שייבמה ונחשבת אשתו, יכול לעקור אף אישות אחיו למפרע</w:t>
      </w:r>
      <w:r w:rsidRPr="00012502">
        <w:rPr>
          <w:rStyle w:val="ac"/>
          <w:rFonts w:ascii="Narkisim" w:hAnsi="Narkisim"/>
          <w:rtl/>
        </w:rPr>
        <w:footnoteReference w:id="778"/>
      </w:r>
      <w:r w:rsidRPr="00012502">
        <w:rPr>
          <w:rFonts w:ascii="Narkisim" w:hAnsi="Narkisim"/>
          <w:rtl/>
        </w:rPr>
        <w:t xml:space="preserve">. </w:t>
      </w:r>
      <w:r w:rsidRPr="00012502">
        <w:rPr>
          <w:rFonts w:ascii="Narkisim" w:hAnsi="Narkisim"/>
          <w:szCs w:val="20"/>
          <w:rtl/>
        </w:rPr>
        <w:t>וקודם יבום אינה ממאנת לזיקתו משום דל"מ מיאון אלא בשעה שהיא תחת בעל. אבל לאחר שיש לה בעל מהני המיאון לעקור האישות למפרע</w:t>
      </w:r>
      <w:r w:rsidRPr="00012502">
        <w:rPr>
          <w:rStyle w:val="ac"/>
          <w:rFonts w:ascii="Narkisim" w:hAnsi="Narkisim"/>
          <w:szCs w:val="20"/>
          <w:rtl/>
        </w:rPr>
        <w:footnoteReference w:id="779"/>
      </w:r>
      <w:r w:rsidRPr="00012502">
        <w:rPr>
          <w:rFonts w:ascii="Narkisim" w:hAnsi="Narkisim"/>
          <w:rtl/>
        </w:rPr>
        <w:t>.</w:t>
      </w:r>
    </w:p>
    <w:p w14:paraId="0425E72A" w14:textId="77777777" w:rsidR="00BE1D1C" w:rsidRPr="00012502" w:rsidRDefault="00000000" w:rsidP="00012502">
      <w:pPr>
        <w:pStyle w:val="2"/>
        <w:bidi/>
        <w:rPr>
          <w:rFonts w:ascii="Narkisim" w:hAnsi="Narkisim"/>
        </w:rPr>
      </w:pPr>
      <w:r w:rsidRPr="00012502">
        <w:rPr>
          <w:rFonts w:ascii="Narkisim" w:hAnsi="Narkisim"/>
          <w:rtl/>
        </w:rPr>
        <w:t>ו' עריות חמורות</w:t>
      </w:r>
    </w:p>
    <w:p w14:paraId="3D21F739" w14:textId="77777777" w:rsidR="00BE1D1C" w:rsidRPr="00012502" w:rsidRDefault="00000000" w:rsidP="00012502">
      <w:pPr>
        <w:bidi/>
        <w:rPr>
          <w:rFonts w:ascii="Narkisim" w:hAnsi="Narkisim" w:cs="Narkisim"/>
        </w:rPr>
      </w:pPr>
      <w:r w:rsidRPr="00012502">
        <w:rPr>
          <w:rFonts w:ascii="Narkisim" w:hAnsi="Narkisim" w:cs="Narkisim"/>
          <w:u w:val="single"/>
          <w:rtl/>
        </w:rPr>
        <w:t>שש עריות חמורות מאלו וכו'.</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ומהו חומר שלהם, ואינן יכולות להנשא לאחיו. ואיירי שנשואה לזר. </w:t>
      </w:r>
      <w:r w:rsidRPr="00012502">
        <w:rPr>
          <w:rFonts w:ascii="Narkisim" w:hAnsi="Narkisim" w:cs="Narkisim"/>
          <w:szCs w:val="20"/>
          <w:rtl/>
        </w:rPr>
        <w:t>ויש שהעירו דאדרבה יש בזה קולא דלא נתחדש בהם דדין ערוה לפטור צרותיהם. ומשמע ברש"י דנחשב שהיא יותר מרוחקת, דל"ש אצלה כלל מקום מצוה.</w:t>
      </w:r>
    </w:p>
    <w:p w14:paraId="5B160BB0"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רמב"ם</w:t>
      </w:r>
      <w:r w:rsidRPr="00012502">
        <w:rPr>
          <w:rFonts w:ascii="Narkisim" w:hAnsi="Narkisim"/>
          <w:rtl/>
        </w:rPr>
        <w:t xml:space="preserve"> (בפיה"מ) ביאר את המשנה שאם עבר אחיו ונשא אחת מו' עריות צרתה מתייבמת. שלפי האמת אינה צרתה, שאין אלו נישואין. וכ"ש אם היתה נשואה לאיש אחר וכו'.</w:t>
      </w:r>
      <w:r w:rsidRPr="00012502">
        <w:rPr>
          <w:rFonts w:ascii="Narkisim" w:hAnsi="Narkisim"/>
          <w:sz w:val="20"/>
          <w:szCs w:val="20"/>
          <w:rtl/>
        </w:rPr>
        <w:t xml:space="preserve"> [ולכאורה מבואר ברמב"ם דהיה הו"א דיש יבום בלא תפיסת קידושין וקנין אישות. ועוד צ"ב מה כ"ש לנשואה לאיש אחר, ומה שייך דין זה לאין צרה אלא במקום מצוה].</w:t>
      </w:r>
    </w:p>
    <w:p w14:paraId="77CB51CD"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רש"ש</w:t>
      </w:r>
      <w:r w:rsidRPr="00012502">
        <w:rPr>
          <w:rFonts w:ascii="Narkisim" w:hAnsi="Narkisim"/>
          <w:rtl/>
        </w:rPr>
        <w:t xml:space="preserve"> תמה דבגמ' (לעיל י.) מבואר דאמו דמתני' היינו אנוסת אביו, וכר' יהודה דהוה חייבי לאוין, דאסורה לינשא לו. אבל תפסי קידושין.</w:t>
      </w:r>
    </w:p>
    <w:p w14:paraId="4E0E10C5"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ה</w:t>
      </w:r>
      <w:r w:rsidRPr="00012502">
        <w:rPr>
          <w:rFonts w:ascii="Narkisim" w:hAnsi="Narkisim" w:cs="Narkisim"/>
          <w:b/>
          <w:bCs/>
          <w:rtl/>
        </w:rPr>
        <w:t>אחיעזר</w:t>
      </w:r>
      <w:r w:rsidRPr="00012502">
        <w:rPr>
          <w:rFonts w:ascii="Narkisim" w:hAnsi="Narkisim" w:cs="Narkisim"/>
          <w:rtl/>
        </w:rPr>
        <w:t xml:space="preserve"> (א ג) הק' דבאופן שאין איסור חל על איסור משכח"ל אשתו של אביו, שאביו קידש נדה</w:t>
      </w:r>
      <w:r w:rsidRPr="00012502">
        <w:rPr>
          <w:rFonts w:ascii="Narkisim" w:hAnsi="Narkisim" w:cs="Narkisim"/>
          <w:sz w:val="20"/>
          <w:szCs w:val="20"/>
          <w:rtl/>
        </w:rPr>
        <w:t xml:space="preserve"> [או ממזרת]</w:t>
      </w:r>
      <w:r w:rsidRPr="00012502">
        <w:rPr>
          <w:rFonts w:ascii="Narkisim" w:hAnsi="Narkisim" w:cs="Narkisim"/>
          <w:rtl/>
        </w:rPr>
        <w:t>, ולא חל איסור אשת אב</w:t>
      </w:r>
      <w:r w:rsidRPr="00012502">
        <w:rPr>
          <w:rStyle w:val="ac"/>
          <w:rFonts w:ascii="Narkisim" w:hAnsi="Narkisim" w:cs="Narkisim"/>
          <w:rtl/>
        </w:rPr>
        <w:footnoteReference w:id="780"/>
      </w:r>
      <w:r w:rsidRPr="00012502">
        <w:rPr>
          <w:rFonts w:ascii="Narkisim" w:hAnsi="Narkisim" w:cs="Narkisim"/>
          <w:rtl/>
        </w:rPr>
        <w:t>. ולכאורה תפסי קידושי אחיו.</w:t>
      </w:r>
    </w:p>
    <w:p w14:paraId="0CA6339B"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חזו"א</w:t>
      </w:r>
      <w:r w:rsidRPr="00012502">
        <w:rPr>
          <w:rFonts w:ascii="Narkisim" w:hAnsi="Narkisim"/>
          <w:rtl/>
        </w:rPr>
        <w:t xml:space="preserve"> דן דה"מ כשמת אביו או גירש. אבל בחיי אביו ודאי לא תפסי קידושין, משום שהיא א"א וקנויה לו. וקנין הבעל מונע תפיסת קידושין</w:t>
      </w:r>
      <w:r w:rsidRPr="00012502">
        <w:rPr>
          <w:rStyle w:val="ac"/>
          <w:rFonts w:ascii="Narkisim" w:hAnsi="Narkisim"/>
          <w:rtl/>
        </w:rPr>
        <w:footnoteReference w:id="781"/>
      </w:r>
      <w:r w:rsidRPr="00012502">
        <w:rPr>
          <w:rFonts w:ascii="Narkisim" w:hAnsi="Narkisim"/>
          <w:rtl/>
        </w:rPr>
        <w:t>.</w:t>
      </w:r>
    </w:p>
    <w:p w14:paraId="5F167336" w14:textId="77777777" w:rsidR="00BE1D1C" w:rsidRPr="00012502" w:rsidRDefault="00000000" w:rsidP="00012502">
      <w:pPr>
        <w:pStyle w:val="a7"/>
        <w:bidi/>
        <w:rPr>
          <w:rFonts w:ascii="Narkisim" w:hAnsi="Narkisim"/>
        </w:rPr>
      </w:pPr>
      <w:r w:rsidRPr="00012502">
        <w:rPr>
          <w:rFonts w:ascii="Narkisim" w:hAnsi="Narkisim"/>
          <w:rtl/>
        </w:rPr>
        <w:t xml:space="preserve">והאחיעזר הוכיח מזה דאף דהאיסור לא חל מדין אין איסור חע"א, מ"מ מהני למנוע הקידושין מלחול. </w:t>
      </w:r>
      <w:r w:rsidRPr="00012502">
        <w:rPr>
          <w:rFonts w:ascii="Narkisim" w:hAnsi="Narkisim"/>
          <w:szCs w:val="20"/>
          <w:rtl/>
        </w:rPr>
        <w:t>[וביאר דהא דלא תפסי קידושין אינו מפני שמסתעף מחומר הכרת. אלא אף דלא חל חיוב כרת בפועל, מועיל האיסור למנוע שלא חל הקידושין]</w:t>
      </w:r>
      <w:r w:rsidRPr="00012502">
        <w:rPr>
          <w:rFonts w:ascii="Narkisim" w:hAnsi="Narkisim"/>
          <w:rtl/>
        </w:rPr>
        <w:t>. וע"ד יסוד זה כת' ב</w:t>
      </w:r>
      <w:r w:rsidRPr="00012502">
        <w:rPr>
          <w:rFonts w:ascii="Narkisim" w:hAnsi="Narkisim"/>
          <w:b/>
          <w:bCs/>
          <w:rtl/>
        </w:rPr>
        <w:t>חי' ר' שמעון</w:t>
      </w:r>
      <w:r w:rsidRPr="00012502">
        <w:rPr>
          <w:rFonts w:ascii="Narkisim" w:hAnsi="Narkisim"/>
          <w:rtl/>
        </w:rPr>
        <w:t xml:space="preserve"> (א) וה</w:t>
      </w:r>
      <w:r w:rsidRPr="00012502">
        <w:rPr>
          <w:rFonts w:ascii="Narkisim" w:hAnsi="Narkisim"/>
          <w:b/>
          <w:bCs/>
          <w:rtl/>
        </w:rPr>
        <w:t>קובה"ע</w:t>
      </w:r>
      <w:r w:rsidRPr="00012502">
        <w:rPr>
          <w:rFonts w:ascii="Narkisim" w:hAnsi="Narkisim"/>
          <w:rtl/>
        </w:rPr>
        <w:t xml:space="preserve"> (ג י), דאף במקום דאאחע"א, מ"מ סיבת האיסור חל</w:t>
      </w:r>
      <w:r w:rsidRPr="00012502">
        <w:rPr>
          <w:rStyle w:val="ac"/>
          <w:rFonts w:ascii="Narkisim" w:hAnsi="Narkisim"/>
          <w:rtl/>
        </w:rPr>
        <w:footnoteReference w:id="782"/>
      </w:r>
      <w:r w:rsidRPr="00012502">
        <w:rPr>
          <w:rFonts w:ascii="Narkisim" w:hAnsi="Narkisim"/>
          <w:rtl/>
        </w:rPr>
        <w:t>. ותפיסת קידושין תליא ב'שם ערוה'</w:t>
      </w:r>
      <w:r w:rsidRPr="00012502">
        <w:rPr>
          <w:rStyle w:val="ac"/>
          <w:rFonts w:ascii="Narkisim" w:hAnsi="Narkisim"/>
          <w:rtl/>
        </w:rPr>
        <w:footnoteReference w:id="783"/>
      </w:r>
      <w:r w:rsidRPr="00012502">
        <w:rPr>
          <w:rFonts w:ascii="Narkisim" w:hAnsi="Narkisim"/>
          <w:rtl/>
        </w:rPr>
        <w:t>, וחיוב כרת הוה רק סימן. (וע"ע בע"ב).</w:t>
      </w:r>
    </w:p>
    <w:p w14:paraId="7B4EB767" w14:textId="77777777" w:rsidR="00BE1D1C" w:rsidRPr="00012502" w:rsidRDefault="00000000" w:rsidP="00012502">
      <w:pPr>
        <w:pStyle w:val="a8"/>
        <w:bidi/>
        <w:rPr>
          <w:rFonts w:ascii="Narkisim" w:hAnsi="Narkisim"/>
        </w:rPr>
      </w:pPr>
      <w:r w:rsidRPr="00012502">
        <w:rPr>
          <w:rFonts w:ascii="Narkisim" w:hAnsi="Narkisim"/>
          <w:rtl/>
        </w:rPr>
        <w:t>עוד הקשו ה</w:t>
      </w:r>
      <w:r w:rsidRPr="00012502">
        <w:rPr>
          <w:rFonts w:ascii="Narkisim" w:hAnsi="Narkisim"/>
          <w:b/>
          <w:bCs/>
          <w:rtl/>
        </w:rPr>
        <w:t>אחרונים</w:t>
      </w:r>
      <w:r w:rsidRPr="00012502">
        <w:rPr>
          <w:rFonts w:ascii="Narkisim" w:hAnsi="Narkisim"/>
          <w:rtl/>
        </w:rPr>
        <w:t xml:space="preserve"> (חמד"ש גיטין שם) דמשכח"ל שקידשה אביו חוץ מאחיו, וכלפי אחיו אינה אשת אב כלל. ונופלת ליבום לאחיו. וכבר הק' כן בתוס' גורניש. [ע"ע אמר"מ ט, וע' חי' הגר"נ].</w:t>
      </w:r>
    </w:p>
    <w:p w14:paraId="15DEF3FD"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והשואל ב</w:t>
      </w:r>
      <w:r w:rsidRPr="00012502">
        <w:rPr>
          <w:rFonts w:ascii="Narkisim" w:hAnsi="Narkisim" w:cs="Narkisim"/>
          <w:b/>
          <w:bCs/>
          <w:rtl/>
        </w:rPr>
        <w:t>רע"א</w:t>
      </w:r>
      <w:r w:rsidRPr="00012502">
        <w:rPr>
          <w:rFonts w:ascii="Narkisim" w:hAnsi="Narkisim" w:cs="Narkisim"/>
          <w:rtl/>
        </w:rPr>
        <w:t xml:space="preserve"> (לעיל ח.) הק' דלמ"ד קידושין תופסים בשומרת יבם משכח"ל שיקדש </w:t>
      </w:r>
      <w:r w:rsidRPr="00012502">
        <w:rPr>
          <w:rFonts w:ascii="Narkisim" w:hAnsi="Narkisim" w:cs="Narkisim"/>
          <w:rtl/>
        </w:rPr>
        <w:lastRenderedPageBreak/>
        <w:t xml:space="preserve">אחי האב את היבמה </w:t>
      </w:r>
      <w:r w:rsidRPr="00012502">
        <w:rPr>
          <w:rFonts w:ascii="Narkisim" w:hAnsi="Narkisim" w:cs="Narkisim"/>
          <w:sz w:val="20"/>
          <w:szCs w:val="20"/>
          <w:rtl/>
        </w:rPr>
        <w:t>[ואין איסור באשת בן אחיו, ודן דנחשב 'דאי' משום איסור יבמה לשוק</w:t>
      </w:r>
      <w:r w:rsidRPr="00012502">
        <w:rPr>
          <w:rFonts w:ascii="Narkisim" w:hAnsi="Narkisim" w:cs="Narkisim"/>
          <w:rtl/>
        </w:rPr>
        <w:t xml:space="preserve">], ונאסרת על היבם </w:t>
      </w:r>
      <w:r w:rsidRPr="00012502">
        <w:rPr>
          <w:rFonts w:ascii="Narkisim" w:hAnsi="Narkisim" w:cs="Narkisim"/>
          <w:sz w:val="20"/>
          <w:szCs w:val="20"/>
          <w:rtl/>
        </w:rPr>
        <w:t>[וקידושי אחיו היו בהיתר קודם].</w:t>
      </w:r>
      <w:r w:rsidRPr="00012502">
        <w:rPr>
          <w:rFonts w:ascii="Narkisim" w:hAnsi="Narkisim" w:cs="Narkisim"/>
          <w:rtl/>
        </w:rPr>
        <w:t xml:space="preserve"> ו</w:t>
      </w:r>
      <w:r w:rsidRPr="00012502">
        <w:rPr>
          <w:rFonts w:ascii="Narkisim" w:hAnsi="Narkisim" w:cs="Narkisim"/>
          <w:b/>
          <w:bCs/>
          <w:rtl/>
        </w:rPr>
        <w:t>רע"א</w:t>
      </w:r>
      <w:r w:rsidRPr="00012502">
        <w:rPr>
          <w:rFonts w:ascii="Narkisim" w:hAnsi="Narkisim" w:cs="Narkisim"/>
          <w:rtl/>
        </w:rPr>
        <w:t xml:space="preserve"> תי' דהיכא דלא היתה צרת ערוה בשעת מיתה ליכא פטור צרה. וכמ"ש </w:t>
      </w:r>
      <w:r w:rsidRPr="00012502">
        <w:rPr>
          <w:rFonts w:ascii="Narkisim" w:hAnsi="Narkisim" w:cs="Narkisim"/>
          <w:b/>
          <w:bCs/>
          <w:rtl/>
        </w:rPr>
        <w:t>תוס'</w:t>
      </w:r>
      <w:r w:rsidRPr="00012502">
        <w:rPr>
          <w:rFonts w:ascii="Narkisim" w:hAnsi="Narkisim" w:cs="Narkisim"/>
          <w:rtl/>
        </w:rPr>
        <w:t xml:space="preserve"> (לקמן כו: ד"ה וחליצה), וערוה לאחר נפילה לא פוטרת לצרה (הו' לעיל ח.).</w:t>
      </w:r>
    </w:p>
    <w:p w14:paraId="2542F745" w14:textId="77777777" w:rsidR="00BE1D1C" w:rsidRPr="00012502" w:rsidRDefault="00000000" w:rsidP="00012502">
      <w:pPr>
        <w:pStyle w:val="3"/>
        <w:bidi/>
        <w:rPr>
          <w:rFonts w:ascii="Narkisim" w:hAnsi="Narkisim"/>
        </w:rPr>
      </w:pPr>
      <w:r w:rsidRPr="00012502">
        <w:rPr>
          <w:rFonts w:ascii="Narkisim" w:hAnsi="Narkisim"/>
          <w:rtl/>
        </w:rPr>
        <w:t>דף יג:</w:t>
      </w:r>
    </w:p>
    <w:p w14:paraId="1514DB0D" w14:textId="77777777" w:rsidR="00BE1D1C" w:rsidRPr="00012502" w:rsidRDefault="00000000" w:rsidP="00012502">
      <w:pPr>
        <w:pStyle w:val="aa"/>
        <w:bidi/>
        <w:rPr>
          <w:rFonts w:ascii="Narkisim" w:hAnsi="Narkisim"/>
        </w:rPr>
      </w:pPr>
      <w:r w:rsidRPr="00012502">
        <w:rPr>
          <w:rFonts w:ascii="Narkisim" w:hAnsi="Narkisim"/>
          <w:u w:val="single"/>
          <w:rtl/>
        </w:rPr>
        <w:t>חלצו וכו' ובי"ה מכשירין</w:t>
      </w:r>
      <w:r w:rsidRPr="00012502">
        <w:rPr>
          <w:rFonts w:ascii="Narkisim" w:hAnsi="Narkisim"/>
          <w:rtl/>
        </w:rPr>
        <w:t>. פ</w:t>
      </w:r>
      <w:r w:rsidRPr="00012502">
        <w:rPr>
          <w:rFonts w:ascii="Narkisim" w:hAnsi="Narkisim"/>
          <w:b/>
          <w:bCs/>
          <w:rtl/>
        </w:rPr>
        <w:t>רש"י</w:t>
      </w:r>
      <w:r w:rsidRPr="00012502">
        <w:rPr>
          <w:rFonts w:ascii="Narkisim" w:hAnsi="Narkisim"/>
          <w:rtl/>
        </w:rPr>
        <w:t xml:space="preserve"> שחליצתן שלא לצורך</w:t>
      </w:r>
      <w:r w:rsidRPr="00012502">
        <w:rPr>
          <w:rStyle w:val="ac"/>
          <w:rFonts w:ascii="Narkisim" w:hAnsi="Narkisim"/>
          <w:rtl/>
        </w:rPr>
        <w:footnoteReference w:id="784"/>
      </w:r>
      <w:r w:rsidRPr="00012502">
        <w:rPr>
          <w:rFonts w:ascii="Narkisim" w:hAnsi="Narkisim"/>
          <w:rtl/>
        </w:rPr>
        <w:t>, והרי כחולצת מהנכרי וכו'. וה</w:t>
      </w:r>
      <w:r w:rsidRPr="00012502">
        <w:rPr>
          <w:rFonts w:ascii="Narkisim" w:hAnsi="Narkisim"/>
          <w:b/>
          <w:bCs/>
          <w:rtl/>
        </w:rPr>
        <w:t>רמב"ם</w:t>
      </w:r>
      <w:r w:rsidRPr="00012502">
        <w:rPr>
          <w:rFonts w:ascii="Narkisim" w:hAnsi="Narkisim"/>
          <w:rtl/>
        </w:rPr>
        <w:t xml:space="preserve"> בפיה"מ דרש גרושה מאישה, ולא מאיש שאינו אישה</w:t>
      </w:r>
      <w:r w:rsidRPr="00012502">
        <w:rPr>
          <w:rStyle w:val="ac"/>
          <w:rFonts w:ascii="Narkisim" w:hAnsi="Narkisim"/>
          <w:rtl/>
        </w:rPr>
        <w:footnoteReference w:id="785"/>
      </w:r>
      <w:r w:rsidRPr="00012502">
        <w:rPr>
          <w:rFonts w:ascii="Narkisim" w:hAnsi="Narkisim"/>
          <w:rtl/>
        </w:rPr>
        <w:t>. [ומשמע דבעי לזה גזיה"כ, ויש לדחות דנקט הך דרשא לסימנא בעלמא דל"ש בזה גזירה משום הרואים].</w:t>
      </w:r>
    </w:p>
    <w:p w14:paraId="5C24320D" w14:textId="77777777" w:rsidR="00BE1D1C" w:rsidRPr="00012502" w:rsidRDefault="00000000" w:rsidP="00012502">
      <w:pPr>
        <w:bidi/>
        <w:rPr>
          <w:rFonts w:ascii="Narkisim" w:hAnsi="Narkisim" w:cs="Narkisim"/>
        </w:rPr>
      </w:pPr>
      <w:r w:rsidRPr="00012502">
        <w:rPr>
          <w:rFonts w:ascii="Narkisim" w:hAnsi="Narkisim" w:cs="Narkisim"/>
          <w:u w:val="single"/>
          <w:rtl/>
        </w:rPr>
        <w:t>אר"ש בן פזי מ"ט דבי"ש וכו'</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פי' דמסתבר לדרוש 'לצרור' לפטור צרה [ולא לכדר' שמעון (לעיל ח:) היכא דנפלו ב' אחיות].</w:t>
      </w:r>
    </w:p>
    <w:p w14:paraId="73A0FCA1"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רש"י</w:t>
      </w:r>
      <w:r w:rsidRPr="00012502">
        <w:rPr>
          <w:rFonts w:ascii="Narkisim" w:hAnsi="Narkisim"/>
          <w:rtl/>
        </w:rPr>
        <w:t xml:space="preserve"> (במשנה) כת' דבי"ש לא דרשי לצרור. וה</w:t>
      </w:r>
      <w:r w:rsidRPr="00012502">
        <w:rPr>
          <w:rFonts w:ascii="Narkisim" w:hAnsi="Narkisim"/>
          <w:b/>
          <w:bCs/>
          <w:rtl/>
        </w:rPr>
        <w:t>אחרונים</w:t>
      </w:r>
      <w:r w:rsidRPr="00012502">
        <w:rPr>
          <w:rFonts w:ascii="Narkisim" w:hAnsi="Narkisim"/>
          <w:rtl/>
        </w:rPr>
        <w:t xml:space="preserve"> כת' דצ"ל דלפ"ז קו' הגמ' אמאי לא דרשו לצרור.</w:t>
      </w:r>
    </w:p>
    <w:p w14:paraId="02089983" w14:textId="77777777" w:rsidR="00BE1D1C" w:rsidRPr="00012502" w:rsidRDefault="00000000" w:rsidP="00012502">
      <w:pPr>
        <w:pStyle w:val="aa"/>
        <w:bidi/>
        <w:rPr>
          <w:rFonts w:ascii="Narkisim" w:hAnsi="Narkisim"/>
        </w:rPr>
      </w:pPr>
      <w:r w:rsidRPr="00012502">
        <w:rPr>
          <w:rFonts w:ascii="Narkisim" w:hAnsi="Narkisim"/>
          <w:u w:val="single"/>
          <w:rtl/>
        </w:rPr>
        <w:t>תוד"ה מ"ט דבי"ש</w:t>
      </w:r>
      <w:r w:rsidRPr="00012502">
        <w:rPr>
          <w:rFonts w:ascii="Narkisim" w:hAnsi="Narkisim"/>
          <w:rtl/>
        </w:rPr>
        <w:t>. דלמא מוקמי לצרור לכדר"ש. (כדלעיל ח:). ובפשוטו כן הוא לפי האמת לר"ש בן פזי דבי"ש דרשי כדר"ש</w:t>
      </w:r>
      <w:r w:rsidRPr="00012502">
        <w:rPr>
          <w:rStyle w:val="ac"/>
          <w:rFonts w:ascii="Narkisim" w:hAnsi="Narkisim"/>
          <w:rtl/>
        </w:rPr>
        <w:footnoteReference w:id="786"/>
      </w:r>
      <w:r w:rsidRPr="00012502">
        <w:rPr>
          <w:rFonts w:ascii="Narkisim" w:hAnsi="Narkisim"/>
          <w:rtl/>
        </w:rPr>
        <w:t xml:space="preserve"> [וכן נקט רע"א]. ו</w:t>
      </w:r>
      <w:r w:rsidRPr="00012502">
        <w:rPr>
          <w:rFonts w:ascii="Narkisim" w:hAnsi="Narkisim"/>
          <w:b/>
          <w:bCs/>
          <w:rtl/>
        </w:rPr>
        <w:t>רע"א</w:t>
      </w:r>
      <w:r w:rsidRPr="00012502">
        <w:rPr>
          <w:rFonts w:ascii="Narkisim" w:hAnsi="Narkisim"/>
          <w:rtl/>
        </w:rPr>
        <w:t xml:space="preserve"> (בסמוך ולקמן כט.) הק' דמבואר (שם) דלבי"ש אחות זקוקתו אסורה, ולא אמרי' דתרוייהו פטורות כר' שמעון. וכת' דלדברי רבא דהטעם דאין איסור חל על איסור איצטריך לצרור לפטור צרה היכא דהוה בבת א'. אבל לר"ש בן פזי ע"כ ס"ל כר"ש.</w:t>
      </w:r>
    </w:p>
    <w:p w14:paraId="1EF5F528" w14:textId="77777777" w:rsidR="00BE1D1C" w:rsidRPr="00012502" w:rsidRDefault="00000000" w:rsidP="00012502">
      <w:pPr>
        <w:pStyle w:val="aa"/>
        <w:bidi/>
        <w:rPr>
          <w:rFonts w:ascii="Narkisim" w:hAnsi="Narkisim"/>
        </w:rPr>
      </w:pPr>
      <w:r w:rsidRPr="00012502">
        <w:rPr>
          <w:rFonts w:ascii="Narkisim" w:hAnsi="Narkisim"/>
          <w:u w:val="single"/>
          <w:rtl/>
        </w:rPr>
        <w:t>חוצה מכלל דאיכא פנימית וכו'</w:t>
      </w:r>
      <w:r w:rsidRPr="00012502">
        <w:rPr>
          <w:rFonts w:ascii="Narkisim" w:hAnsi="Narkisim"/>
          <w:rtl/>
        </w:rPr>
        <w:t>. פ</w:t>
      </w:r>
      <w:r w:rsidRPr="00012502">
        <w:rPr>
          <w:rFonts w:ascii="Narkisim" w:hAnsi="Narkisim"/>
          <w:b/>
          <w:bCs/>
          <w:rtl/>
        </w:rPr>
        <w:t>רש"י</w:t>
      </w:r>
      <w:r w:rsidRPr="00012502">
        <w:rPr>
          <w:rFonts w:ascii="Narkisim" w:hAnsi="Narkisim"/>
          <w:rtl/>
        </w:rPr>
        <w:t xml:space="preserve"> החיצונה, הנכרית ליבם לא תהא לאיש זר, אף במקום פנימית. והתורה גילתה דצרת הערוה אינה מותרת לשוק. וצ"ב דנימא דחולצת ואינה מתייבמת, ומש"ה אסורה לשוק. וצ"ל דאי ילפי' לצרור, א"כ פטורה בלא חליצה [וכדמבואר לעיל ג.].</w:t>
      </w:r>
    </w:p>
    <w:p w14:paraId="5CCACCB5" w14:textId="77777777" w:rsidR="00BE1D1C" w:rsidRPr="00012502" w:rsidRDefault="00000000" w:rsidP="00012502">
      <w:pPr>
        <w:pStyle w:val="a8"/>
        <w:bidi/>
        <w:rPr>
          <w:rFonts w:ascii="Narkisim" w:hAnsi="Narkisim"/>
        </w:rPr>
      </w:pPr>
      <w:r w:rsidRPr="00012502">
        <w:rPr>
          <w:rFonts w:ascii="Narkisim" w:hAnsi="Narkisim"/>
          <w:rtl/>
        </w:rPr>
        <w:t>ו</w:t>
      </w:r>
      <w:r w:rsidRPr="00012502">
        <w:rPr>
          <w:rFonts w:ascii="Narkisim" w:hAnsi="Narkisim"/>
          <w:b/>
          <w:bCs/>
          <w:rtl/>
        </w:rPr>
        <w:t>רע"א</w:t>
      </w:r>
      <w:r w:rsidRPr="00012502">
        <w:rPr>
          <w:rFonts w:ascii="Narkisim" w:hAnsi="Narkisim"/>
          <w:rtl/>
        </w:rPr>
        <w:t xml:space="preserve"> (בגהש"ס על תוס') כת' דע"כ להך מ"ד בי"ש לא דרשי' לצרור. [וגלי 'חוצה' דלא נדרוש לצרור].</w:t>
      </w:r>
    </w:p>
    <w:p w14:paraId="6B1C300A" w14:textId="77777777" w:rsidR="00BE1D1C" w:rsidRPr="00012502" w:rsidRDefault="00000000" w:rsidP="00012502">
      <w:pPr>
        <w:pStyle w:val="aa"/>
        <w:bidi/>
        <w:rPr>
          <w:rFonts w:ascii="Narkisim" w:hAnsi="Narkisim"/>
        </w:rPr>
      </w:pPr>
      <w:r w:rsidRPr="00012502">
        <w:rPr>
          <w:rFonts w:ascii="Narkisim" w:hAnsi="Narkisim"/>
          <w:u w:val="single"/>
          <w:rtl/>
        </w:rPr>
        <w:t>לרבות הארוסה.</w:t>
      </w:r>
      <w:r w:rsidRPr="00012502">
        <w:rPr>
          <w:rFonts w:ascii="Narkisim" w:hAnsi="Narkisim"/>
          <w:rtl/>
        </w:rPr>
        <w:t xml:space="preserve"> </w:t>
      </w:r>
      <w:r w:rsidRPr="00012502">
        <w:rPr>
          <w:rFonts w:ascii="Narkisim" w:hAnsi="Narkisim"/>
          <w:b/>
          <w:bCs/>
          <w:rtl/>
        </w:rPr>
        <w:t>תוס</w:t>
      </w:r>
      <w:r w:rsidRPr="00012502">
        <w:rPr>
          <w:rFonts w:ascii="Narkisim" w:hAnsi="Narkisim"/>
          <w:rtl/>
        </w:rPr>
        <w:t>' הביאו [מהגמ' ביומא יג:] דס"ד ד'בית' נשואה משמע. אבל ה</w:t>
      </w:r>
      <w:r w:rsidRPr="00012502">
        <w:rPr>
          <w:rFonts w:ascii="Narkisim" w:hAnsi="Narkisim"/>
          <w:b/>
          <w:bCs/>
          <w:rtl/>
        </w:rPr>
        <w:t xml:space="preserve">תוס' רי"ד </w:t>
      </w:r>
      <w:r w:rsidRPr="00012502">
        <w:rPr>
          <w:rFonts w:ascii="Narkisim" w:hAnsi="Narkisim"/>
          <w:rtl/>
        </w:rPr>
        <w:t>כת' דאשת המת משמע נשואה דוקא. וא"כ הכותב גט לארוסתו לא יכתוב אשתי אלא ארוסתו. וה</w:t>
      </w:r>
      <w:r w:rsidRPr="00012502">
        <w:rPr>
          <w:rFonts w:ascii="Narkisim" w:hAnsi="Narkisim"/>
          <w:b/>
          <w:bCs/>
          <w:rtl/>
        </w:rPr>
        <w:t>רשב"א</w:t>
      </w:r>
      <w:r w:rsidRPr="00012502">
        <w:rPr>
          <w:rFonts w:ascii="Narkisim" w:hAnsi="Narkisim"/>
          <w:rtl/>
        </w:rPr>
        <w:t xml:space="preserve"> דחה דאשה משמע בין ארוסה ובין נשואה, דארוסת אביו וארוסת אחיו אסורין מקרא דערות אשת אביו וערות אשת אחיך. וכן אסורה בעלמא נמי כתיב 'ואל אשת עמיתך'.</w:t>
      </w:r>
    </w:p>
    <w:p w14:paraId="336BEC3D"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רשב"א</w:t>
      </w:r>
      <w:r w:rsidRPr="00012502">
        <w:rPr>
          <w:rFonts w:ascii="Narkisim" w:hAnsi="Narkisim"/>
          <w:rtl/>
        </w:rPr>
        <w:t xml:space="preserve"> כתב [דמשמע בירושלמי] דס"ד דכיון דכתיב בן אין לו, שראוי לבנים [וע' לקמן יז:]. [ובסו"ד הביא דברי הגמ' ביומא וכתוס'].</w:t>
      </w:r>
    </w:p>
    <w:p w14:paraId="4E52BCB2" w14:textId="77777777" w:rsidR="00BE1D1C" w:rsidRPr="00012502" w:rsidRDefault="00000000" w:rsidP="00012502">
      <w:pPr>
        <w:pStyle w:val="aa"/>
        <w:bidi/>
        <w:rPr>
          <w:rFonts w:ascii="Narkisim" w:hAnsi="Narkisim"/>
        </w:rPr>
      </w:pPr>
      <w:r w:rsidRPr="00012502">
        <w:rPr>
          <w:rFonts w:ascii="Narkisim" w:hAnsi="Narkisim"/>
          <w:rtl/>
        </w:rPr>
        <w:t>וב</w:t>
      </w:r>
      <w:r w:rsidRPr="00012502">
        <w:rPr>
          <w:rFonts w:ascii="Narkisim" w:hAnsi="Narkisim"/>
          <w:b/>
          <w:bCs/>
          <w:rtl/>
        </w:rPr>
        <w:t>גמ'</w:t>
      </w:r>
      <w:r w:rsidRPr="00012502">
        <w:rPr>
          <w:rFonts w:ascii="Narkisim" w:hAnsi="Narkisim"/>
          <w:rtl/>
        </w:rPr>
        <w:t xml:space="preserve"> (קידושין עו.) אי' דכותים מיבמין את הארוסות ופוטרים את הנשואות, דדרשי לא תהיה אשת המת החוצה, הך דיתבה חוצה היא לא תהיה לאיש זר. אבל הך דלא יתבה חוצה תהיה לאיש זר.</w:t>
      </w:r>
    </w:p>
    <w:p w14:paraId="571DDF04" w14:textId="77777777" w:rsidR="00BE1D1C" w:rsidRPr="00012502" w:rsidRDefault="00000000" w:rsidP="00012502">
      <w:pPr>
        <w:pStyle w:val="2"/>
        <w:bidi/>
        <w:rPr>
          <w:rFonts w:ascii="Narkisim" w:hAnsi="Narkisim"/>
        </w:rPr>
      </w:pPr>
      <w:r w:rsidRPr="00012502">
        <w:rPr>
          <w:rFonts w:ascii="Narkisim" w:hAnsi="Narkisim"/>
          <w:rtl/>
        </w:rPr>
        <w:t>לבית שמאי אאחע"א ולא פטרה צרתה</w:t>
      </w:r>
    </w:p>
    <w:p w14:paraId="30017AF0" w14:textId="77777777" w:rsidR="00BE1D1C" w:rsidRPr="00012502" w:rsidRDefault="00000000" w:rsidP="00012502">
      <w:pPr>
        <w:bidi/>
        <w:rPr>
          <w:rFonts w:ascii="Narkisim" w:hAnsi="Narkisim" w:cs="Narkisim"/>
        </w:rPr>
      </w:pPr>
      <w:r w:rsidRPr="00012502">
        <w:rPr>
          <w:rFonts w:ascii="Narkisim" w:hAnsi="Narkisim" w:cs="Narkisim"/>
          <w:u w:val="single"/>
          <w:rtl/>
        </w:rPr>
        <w:t>רבא אמר טעמייהו דבי"ש דאין איסור חל על איסור</w:t>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דלא חל איסור אשת אח [היכא דאיסור ערוה קדם], הילכך לא רמיא קמיה לייבומי, והוה כמאן דליתא. </w:t>
      </w:r>
      <w:r w:rsidRPr="00012502">
        <w:rPr>
          <w:rFonts w:ascii="Narkisim" w:hAnsi="Narkisim" w:cs="Narkisim"/>
          <w:szCs w:val="20"/>
          <w:rtl/>
        </w:rPr>
        <w:t xml:space="preserve">[עיקר סוגיית אין איסור חל על איסור יתבאר לקמן לב:]. </w:t>
      </w:r>
      <w:r w:rsidRPr="00012502">
        <w:rPr>
          <w:rFonts w:ascii="Narkisim" w:hAnsi="Narkisim" w:cs="Narkisim"/>
          <w:rtl/>
        </w:rPr>
        <w:t>ודוקא היכא דיש איסור אשת אח נופלת לפניו ליבום (ע"ע בסמוך).</w:t>
      </w:r>
    </w:p>
    <w:p w14:paraId="43D624E6" w14:textId="77777777" w:rsidR="00BE1D1C" w:rsidRPr="00012502" w:rsidRDefault="00000000" w:rsidP="00012502">
      <w:pPr>
        <w:bidi/>
        <w:rPr>
          <w:rFonts w:ascii="Narkisim" w:hAnsi="Narkisim" w:cs="Narkisim"/>
        </w:rPr>
      </w:pPr>
      <w:r w:rsidRPr="00012502">
        <w:rPr>
          <w:rFonts w:ascii="Narkisim" w:hAnsi="Narkisim" w:cs="Narkisim"/>
          <w:u w:val="single"/>
          <w:rtl/>
        </w:rPr>
        <w:t>תינח היכא דנשא מת ואח"כ נשא חי וכו'.</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דסבר דרבא קאי אאחות אשה וכיו"ב, דע"י קידושין. אבל עריות דקורבא דידיה לעולם קדמו לאיסור אשת אח [וכ"ז בכלל קו' הגמ'].</w:t>
      </w:r>
    </w:p>
    <w:p w14:paraId="095271FC"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ראשונים</w:t>
      </w:r>
      <w:r w:rsidRPr="00012502">
        <w:rPr>
          <w:rFonts w:ascii="Narkisim" w:hAnsi="Narkisim" w:cs="Narkisim"/>
          <w:rtl/>
        </w:rPr>
        <w:t xml:space="preserve"> הביאו בשם ה</w:t>
      </w:r>
      <w:r w:rsidRPr="00012502">
        <w:rPr>
          <w:rFonts w:ascii="Narkisim" w:hAnsi="Narkisim" w:cs="Narkisim"/>
          <w:b/>
          <w:bCs/>
          <w:rtl/>
        </w:rPr>
        <w:t>ראב"ד</w:t>
      </w:r>
      <w:r w:rsidRPr="00012502">
        <w:rPr>
          <w:rFonts w:ascii="Narkisim" w:hAnsi="Narkisim" w:cs="Narkisim"/>
          <w:rtl/>
        </w:rPr>
        <w:t xml:space="preserve"> דכיון דאין איסור חע"א, על כרחיך א"א לדרוש 'לצרור' לצרת אחות אשה. וכיון דבטל לצרור באחות אשה, אי אפשר ללמוד ממנו לשאר עריות. והגמ' מקשה דאפשר לקיים דרשת לצרור [אף באחות אשה] היכא דנשא חי תחילה</w:t>
      </w:r>
      <w:r w:rsidRPr="00012502">
        <w:rPr>
          <w:rStyle w:val="ac"/>
          <w:rFonts w:ascii="Narkisim" w:hAnsi="Narkisim" w:cs="Narkisim"/>
          <w:rtl/>
        </w:rPr>
        <w:footnoteReference w:id="787"/>
      </w:r>
      <w:r w:rsidRPr="00012502">
        <w:rPr>
          <w:rFonts w:ascii="Narkisim" w:hAnsi="Narkisim" w:cs="Narkisim"/>
          <w:rtl/>
        </w:rPr>
        <w:t xml:space="preserve">. </w:t>
      </w:r>
      <w:r w:rsidRPr="00012502">
        <w:rPr>
          <w:rFonts w:ascii="Narkisim" w:hAnsi="Narkisim" w:cs="Narkisim"/>
          <w:szCs w:val="20"/>
          <w:rtl/>
        </w:rPr>
        <w:t>ולפ"ז למסקנא לא דרשי' לצרור להכי, ואף אי משכחת לה דיחול האיסור [כגון דקידשו בבת אחת] לא פטר</w:t>
      </w:r>
      <w:r w:rsidRPr="00012502">
        <w:rPr>
          <w:rFonts w:ascii="Narkisim" w:hAnsi="Narkisim" w:cs="Narkisim"/>
          <w:rtl/>
        </w:rPr>
        <w:t>.</w:t>
      </w:r>
    </w:p>
    <w:p w14:paraId="3AEB8FA3"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תו"י</w:t>
      </w:r>
      <w:r w:rsidRPr="00012502">
        <w:rPr>
          <w:rFonts w:ascii="Narkisim" w:hAnsi="Narkisim"/>
          <w:rtl/>
        </w:rPr>
        <w:t xml:space="preserve"> הביא בשם ה</w:t>
      </w:r>
      <w:r w:rsidRPr="00012502">
        <w:rPr>
          <w:rFonts w:ascii="Narkisim" w:hAnsi="Narkisim"/>
          <w:b/>
          <w:bCs/>
          <w:rtl/>
        </w:rPr>
        <w:t>קדוש מראי"ש</w:t>
      </w:r>
      <w:r w:rsidRPr="00012502">
        <w:rPr>
          <w:rFonts w:ascii="Narkisim" w:hAnsi="Narkisim"/>
          <w:rtl/>
        </w:rPr>
        <w:t xml:space="preserve"> (וכ"כ ה</w:t>
      </w:r>
      <w:r w:rsidRPr="00012502">
        <w:rPr>
          <w:rFonts w:ascii="Narkisim" w:hAnsi="Narkisim"/>
          <w:b/>
          <w:bCs/>
          <w:rtl/>
        </w:rPr>
        <w:t>מאירי</w:t>
      </w:r>
      <w:r w:rsidRPr="00012502">
        <w:rPr>
          <w:rFonts w:ascii="Narkisim" w:hAnsi="Narkisim"/>
          <w:rtl/>
        </w:rPr>
        <w:t>) דלבית שמאי הדרשא של לצרור קאי כשבאו בבת אחת</w:t>
      </w:r>
      <w:r w:rsidRPr="00012502">
        <w:rPr>
          <w:rStyle w:val="ac"/>
          <w:rFonts w:ascii="Narkisim" w:hAnsi="Narkisim"/>
          <w:rtl/>
        </w:rPr>
        <w:footnoteReference w:id="788"/>
      </w:r>
      <w:r w:rsidRPr="00012502">
        <w:rPr>
          <w:rFonts w:ascii="Narkisim" w:hAnsi="Narkisim"/>
          <w:rtl/>
        </w:rPr>
        <w:t>, ובכה"ג פוטרת צרתה אף לבית שמאי</w:t>
      </w:r>
      <w:r w:rsidRPr="00012502">
        <w:rPr>
          <w:rStyle w:val="ac"/>
          <w:rFonts w:ascii="Narkisim" w:hAnsi="Narkisim"/>
          <w:rtl/>
        </w:rPr>
        <w:footnoteReference w:id="789"/>
      </w:r>
      <w:r w:rsidRPr="00012502">
        <w:rPr>
          <w:rFonts w:ascii="Narkisim" w:hAnsi="Narkisim"/>
          <w:rtl/>
        </w:rPr>
        <w:t xml:space="preserve">. וכ"כ </w:t>
      </w:r>
      <w:r w:rsidRPr="00012502">
        <w:rPr>
          <w:rFonts w:ascii="Narkisim" w:hAnsi="Narkisim"/>
          <w:b/>
          <w:bCs/>
          <w:rtl/>
        </w:rPr>
        <w:t>רע"א</w:t>
      </w:r>
      <w:r w:rsidRPr="00012502">
        <w:rPr>
          <w:rFonts w:ascii="Narkisim" w:hAnsi="Narkisim"/>
          <w:rtl/>
        </w:rPr>
        <w:t>.</w:t>
      </w:r>
    </w:p>
    <w:p w14:paraId="79F237CE" w14:textId="77777777" w:rsidR="00BE1D1C" w:rsidRPr="00012502" w:rsidRDefault="00000000" w:rsidP="00012502">
      <w:pPr>
        <w:pStyle w:val="a7"/>
        <w:bidi/>
        <w:rPr>
          <w:rFonts w:ascii="Narkisim" w:hAnsi="Narkisim"/>
        </w:rPr>
      </w:pPr>
      <w:r w:rsidRPr="00012502">
        <w:rPr>
          <w:rFonts w:ascii="Narkisim" w:hAnsi="Narkisim"/>
          <w:rtl/>
        </w:rPr>
        <w:lastRenderedPageBreak/>
        <w:t>וה</w:t>
      </w:r>
      <w:r w:rsidRPr="00012502">
        <w:rPr>
          <w:rFonts w:ascii="Narkisim" w:hAnsi="Narkisim"/>
          <w:b/>
          <w:bCs/>
          <w:rtl/>
        </w:rPr>
        <w:t>פורת יוסף</w:t>
      </w:r>
      <w:r w:rsidRPr="00012502">
        <w:rPr>
          <w:rFonts w:ascii="Narkisim" w:hAnsi="Narkisim"/>
          <w:rtl/>
        </w:rPr>
        <w:t xml:space="preserve"> (לפרמ"ג) כת' דבי"ש ס"ל אין איסור חל על איסור, אפי' בבת א'</w:t>
      </w:r>
      <w:r w:rsidRPr="00012502">
        <w:rPr>
          <w:rStyle w:val="ac"/>
          <w:rFonts w:ascii="Narkisim" w:hAnsi="Narkisim"/>
          <w:rtl/>
        </w:rPr>
        <w:footnoteReference w:id="790"/>
      </w:r>
      <w:r w:rsidRPr="00012502">
        <w:rPr>
          <w:rFonts w:ascii="Narkisim" w:hAnsi="Narkisim"/>
          <w:rtl/>
        </w:rPr>
        <w:t>.</w:t>
      </w:r>
    </w:p>
    <w:p w14:paraId="5C53C0A3"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ב</w:t>
      </w:r>
      <w:r w:rsidRPr="00012502">
        <w:rPr>
          <w:rFonts w:ascii="Narkisim" w:hAnsi="Narkisim" w:cs="Narkisim"/>
          <w:b/>
          <w:bCs/>
          <w:rtl/>
        </w:rPr>
        <w:t>גמ'</w:t>
      </w:r>
      <w:r w:rsidRPr="00012502">
        <w:rPr>
          <w:rFonts w:ascii="Narkisim" w:hAnsi="Narkisim" w:cs="Narkisim"/>
          <w:rtl/>
        </w:rPr>
        <w:t xml:space="preserve"> (לקמן לב.) מבואר דלר' שמעון אאחע"א, והגמ' מקשה כיון דלא חל איסור אחות אשה, תתייבם. ורב אשי תי' </w:t>
      </w:r>
      <w:r w:rsidRPr="00012502">
        <w:rPr>
          <w:rFonts w:ascii="Narkisim" w:hAnsi="Narkisim" w:cs="Narkisim"/>
          <w:sz w:val="20"/>
          <w:szCs w:val="20"/>
          <w:rtl/>
        </w:rPr>
        <w:t>[הו' ב</w:t>
      </w:r>
      <w:r w:rsidRPr="00012502">
        <w:rPr>
          <w:rFonts w:ascii="Narkisim" w:hAnsi="Narkisim" w:cs="Narkisim"/>
          <w:b/>
          <w:bCs/>
          <w:sz w:val="20"/>
          <w:szCs w:val="20"/>
          <w:rtl/>
        </w:rPr>
        <w:t>תוס'</w:t>
      </w:r>
      <w:r w:rsidRPr="00012502">
        <w:rPr>
          <w:rStyle w:val="ac"/>
          <w:rFonts w:ascii="Narkisim" w:hAnsi="Narkisim" w:cs="Narkisim"/>
          <w:sz w:val="20"/>
          <w:szCs w:val="20"/>
          <w:rtl/>
        </w:rPr>
        <w:footnoteReference w:id="791"/>
      </w:r>
      <w:r w:rsidRPr="00012502">
        <w:rPr>
          <w:rFonts w:ascii="Narkisim" w:hAnsi="Narkisim" w:cs="Narkisim"/>
          <w:sz w:val="20"/>
          <w:szCs w:val="20"/>
          <w:rtl/>
        </w:rPr>
        <w:t>]</w:t>
      </w:r>
      <w:r w:rsidRPr="00012502">
        <w:rPr>
          <w:rFonts w:ascii="Narkisim" w:hAnsi="Narkisim" w:cs="Narkisim"/>
          <w:rtl/>
        </w:rPr>
        <w:t xml:space="preserve"> דאיסור אחות אשה מיתלא תלי וקאי, אי פקע איסור אשת אח חל אחות אשה, הילכך לא פקע. [ואף דר' שמעון ס"ל כבית הלל דפוטרת צרתה]. ופ</w:t>
      </w:r>
      <w:r w:rsidRPr="00012502">
        <w:rPr>
          <w:rFonts w:ascii="Narkisim" w:hAnsi="Narkisim" w:cs="Narkisim"/>
          <w:b/>
          <w:bCs/>
          <w:rtl/>
        </w:rPr>
        <w:t>רש"י</w:t>
      </w:r>
      <w:r w:rsidRPr="00012502">
        <w:rPr>
          <w:rFonts w:ascii="Narkisim" w:hAnsi="Narkisim" w:cs="Narkisim"/>
          <w:rtl/>
        </w:rPr>
        <w:t xml:space="preserve"> דאיסור אחות מוכן ועומד לחול עליה, פטורה מיבום. </w:t>
      </w:r>
      <w:r w:rsidRPr="00012502">
        <w:rPr>
          <w:rFonts w:ascii="Narkisim" w:hAnsi="Narkisim" w:cs="Narkisim"/>
          <w:sz w:val="20"/>
          <w:szCs w:val="20"/>
          <w:rtl/>
        </w:rPr>
        <w:t>וה</w:t>
      </w:r>
      <w:r w:rsidRPr="00012502">
        <w:rPr>
          <w:rFonts w:ascii="Narkisim" w:hAnsi="Narkisim" w:cs="Narkisim"/>
          <w:b/>
          <w:bCs/>
          <w:sz w:val="20"/>
          <w:szCs w:val="20"/>
          <w:rtl/>
        </w:rPr>
        <w:t>אחרונים</w:t>
      </w:r>
      <w:r w:rsidRPr="00012502">
        <w:rPr>
          <w:rFonts w:ascii="Narkisim" w:hAnsi="Narkisim" w:cs="Narkisim"/>
          <w:sz w:val="20"/>
          <w:szCs w:val="20"/>
          <w:rtl/>
        </w:rPr>
        <w:t xml:space="preserve"> ביארו כוונתו דכיון דאיסור אחות אשה 'מוכן', נחשב ערוה [כלפי היבום] ומהני לפטור</w:t>
      </w:r>
      <w:r w:rsidRPr="00012502">
        <w:rPr>
          <w:rStyle w:val="ac"/>
          <w:rFonts w:ascii="Narkisim" w:hAnsi="Narkisim" w:cs="Narkisim"/>
          <w:sz w:val="20"/>
          <w:szCs w:val="20"/>
          <w:rtl/>
        </w:rPr>
        <w:footnoteReference w:id="792"/>
      </w:r>
      <w:r w:rsidRPr="00012502">
        <w:rPr>
          <w:rFonts w:ascii="Narkisim" w:hAnsi="Narkisim" w:cs="Narkisim"/>
          <w:sz w:val="20"/>
          <w:szCs w:val="20"/>
          <w:rtl/>
        </w:rPr>
        <w:t>.</w:t>
      </w:r>
      <w:r w:rsidRPr="00012502">
        <w:rPr>
          <w:rFonts w:ascii="Narkisim" w:hAnsi="Narkisim" w:cs="Narkisim"/>
          <w:rtl/>
        </w:rPr>
        <w:t xml:space="preserve"> אבל </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 w:val="20"/>
          <w:szCs w:val="20"/>
          <w:rtl/>
        </w:rPr>
        <w:t>(שם ד"ה לא)</w:t>
      </w:r>
      <w:r w:rsidRPr="00012502">
        <w:rPr>
          <w:rFonts w:ascii="Narkisim" w:hAnsi="Narkisim" w:cs="Narkisim"/>
          <w:rtl/>
        </w:rPr>
        <w:t xml:space="preserve"> כת' דפוטרת צרתה משום איסור אשת אח דלא פקע, דומיא דאילונית</w:t>
      </w:r>
      <w:r w:rsidRPr="00012502">
        <w:rPr>
          <w:rStyle w:val="ac"/>
          <w:rFonts w:ascii="Narkisim" w:hAnsi="Narkisim" w:cs="Narkisim"/>
          <w:rtl/>
        </w:rPr>
        <w:footnoteReference w:id="793"/>
      </w:r>
      <w:r w:rsidRPr="00012502">
        <w:rPr>
          <w:rFonts w:ascii="Narkisim" w:hAnsi="Narkisim" w:cs="Narkisim"/>
          <w:rtl/>
        </w:rPr>
        <w:t>.</w:t>
      </w:r>
    </w:p>
    <w:p w14:paraId="14120F26"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רמב"ן</w:t>
      </w:r>
      <w:r w:rsidRPr="00012502">
        <w:rPr>
          <w:rFonts w:ascii="Narkisim" w:hAnsi="Narkisim" w:cs="Narkisim"/>
          <w:rtl/>
        </w:rPr>
        <w:t xml:space="preserve"> (כאן) כת' דסברת בית שמאי דהערוה עצמה פטורה משום מיתלא תלי, אבל לגבי הצרה כיון דמחיים לא חלה איסור אחות אשה, לאו צרת ערוה היא. וה</w:t>
      </w:r>
      <w:r w:rsidRPr="00012502">
        <w:rPr>
          <w:rFonts w:ascii="Narkisim" w:hAnsi="Narkisim" w:cs="Narkisim"/>
          <w:b/>
          <w:bCs/>
          <w:rtl/>
        </w:rPr>
        <w:t>או"ש</w:t>
      </w:r>
      <w:r w:rsidRPr="00012502">
        <w:rPr>
          <w:rFonts w:ascii="Narkisim" w:hAnsi="Narkisim" w:cs="Narkisim"/>
          <w:rtl/>
        </w:rPr>
        <w:t xml:space="preserve"> (</w:t>
      </w:r>
      <w:r w:rsidRPr="00012502">
        <w:rPr>
          <w:rFonts w:ascii="Narkisim" w:hAnsi="Narkisim" w:cs="Narkisim"/>
          <w:sz w:val="20"/>
          <w:szCs w:val="20"/>
          <w:rtl/>
        </w:rPr>
        <w:t>קו' זיקה יח וכן ב</w:t>
      </w:r>
      <w:r w:rsidRPr="00012502">
        <w:rPr>
          <w:rFonts w:ascii="Narkisim" w:hAnsi="Narkisim" w:cs="Narkisim"/>
          <w:b/>
          <w:bCs/>
          <w:sz w:val="20"/>
          <w:szCs w:val="20"/>
          <w:rtl/>
        </w:rPr>
        <w:t>קה"י</w:t>
      </w:r>
      <w:r w:rsidRPr="00012502">
        <w:rPr>
          <w:rFonts w:ascii="Narkisim" w:hAnsi="Narkisim" w:cs="Narkisim"/>
          <w:sz w:val="20"/>
          <w:szCs w:val="20"/>
          <w:rtl/>
        </w:rPr>
        <w:t xml:space="preserve"> ו ב)</w:t>
      </w:r>
      <w:r w:rsidRPr="00012502">
        <w:rPr>
          <w:rFonts w:ascii="Narkisim" w:hAnsi="Narkisim" w:cs="Narkisim"/>
          <w:rtl/>
        </w:rPr>
        <w:t xml:space="preserve"> ביאר כוונת הרמב"ן, דהיתר אשת אח הוה רק לאחר מיתה, וחל ערות אחות אשה לאחר מיתה. וערוה לאחר נפילה לא פטרה צרתה.</w:t>
      </w:r>
    </w:p>
    <w:p w14:paraId="13DBE7CB"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 xml:space="preserve">אחרונים </w:t>
      </w:r>
      <w:r w:rsidRPr="00012502">
        <w:rPr>
          <w:rFonts w:ascii="Narkisim" w:hAnsi="Narkisim"/>
          <w:rtl/>
        </w:rPr>
        <w:t>העירו דהגירסא בגמ' (לב.) 'הילכך לא פקע', ואילו לסברת הרמב"ן פקע איסור אשת אח [אלא דלא פטרה לצרתה].</w:t>
      </w:r>
      <w:r w:rsidRPr="00012502">
        <w:rPr>
          <w:rFonts w:ascii="Narkisim" w:hAnsi="Narkisim"/>
          <w:sz w:val="20"/>
          <w:szCs w:val="20"/>
          <w:rtl/>
        </w:rPr>
        <w:t xml:space="preserve"> וה</w:t>
      </w:r>
      <w:r w:rsidRPr="00012502">
        <w:rPr>
          <w:rFonts w:ascii="Narkisim" w:hAnsi="Narkisim"/>
          <w:b/>
          <w:bCs/>
          <w:sz w:val="20"/>
          <w:szCs w:val="20"/>
          <w:rtl/>
        </w:rPr>
        <w:t>גרי"ז</w:t>
      </w:r>
      <w:r w:rsidRPr="00012502">
        <w:rPr>
          <w:rFonts w:ascii="Narkisim" w:hAnsi="Narkisim"/>
          <w:sz w:val="20"/>
          <w:szCs w:val="20"/>
          <w:rtl/>
        </w:rPr>
        <w:t xml:space="preserve"> (הל' יבום) פי' עפ"ז באמת לא פקע, כיון דאילו היה מסתלק איסור אשת אח היה חל איסור אחות אשה, וא"כ הוה ערוה ואינה ראויה ליבום ואיסור אשת אח לא פקע, וחוזר חלילה. ובפועל לא יחול איסור אחות אשה ואינה פוטרת צרתה.</w:t>
      </w:r>
      <w:r w:rsidRPr="00012502">
        <w:rPr>
          <w:rFonts w:ascii="Narkisim" w:hAnsi="Narkisim"/>
          <w:rtl/>
        </w:rPr>
        <w:t xml:space="preserve"> ועוד כת' ה</w:t>
      </w:r>
      <w:r w:rsidRPr="00012502">
        <w:rPr>
          <w:rFonts w:ascii="Narkisim" w:hAnsi="Narkisim"/>
          <w:b/>
          <w:bCs/>
          <w:rtl/>
        </w:rPr>
        <w:t>גרי"ז</w:t>
      </w:r>
      <w:r w:rsidRPr="00012502">
        <w:rPr>
          <w:rFonts w:ascii="Narkisim" w:hAnsi="Narkisim"/>
          <w:rtl/>
        </w:rPr>
        <w:t xml:space="preserve"> דכוונת הרמב"ן דהערוה פטורה משום איסור אחות אשה דמוכן ועומד לחול. אבל לענין פטור צרה בעינן שתהא צרה של ערוה בפועל [ולא סגי במה שצרתה אסורה כלפי יבום].</w:t>
      </w:r>
    </w:p>
    <w:p w14:paraId="7658190E"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הוסיף דהשתא ליכא אלא צרת אשת אח, דלא חשיב ערוה. ומבואר דכוונת הריטב"א להק' דעכ"פ האיסור אשת אח תפטור צרתה, דכיון דממ"נ לא הותר הוה ערוה. ובזה תי' 'דלא חשיב ערוה'. ומבואר בריטב"א כיסוד ה</w:t>
      </w:r>
      <w:r w:rsidRPr="00012502">
        <w:rPr>
          <w:rFonts w:ascii="Narkisim" w:hAnsi="Narkisim"/>
          <w:b/>
          <w:bCs/>
          <w:rtl/>
        </w:rPr>
        <w:t>גר"ח</w:t>
      </w:r>
      <w:r w:rsidRPr="00012502">
        <w:rPr>
          <w:rFonts w:ascii="Narkisim" w:hAnsi="Narkisim"/>
          <w:rtl/>
        </w:rPr>
        <w:t xml:space="preserve"> דאשת אח דממילא לא פוטרת צרתה. [ועד"ז ציין ה</w:t>
      </w:r>
      <w:r w:rsidRPr="00012502">
        <w:rPr>
          <w:rFonts w:ascii="Narkisim" w:hAnsi="Narkisim"/>
          <w:b/>
          <w:bCs/>
          <w:rtl/>
        </w:rPr>
        <w:t>רש"ש</w:t>
      </w:r>
      <w:r w:rsidRPr="00012502">
        <w:rPr>
          <w:rFonts w:ascii="Narkisim" w:hAnsi="Narkisim"/>
          <w:rtl/>
        </w:rPr>
        <w:t>].</w:t>
      </w:r>
    </w:p>
    <w:p w14:paraId="2CC624C6" w14:textId="77777777" w:rsidR="00BE1D1C" w:rsidRPr="00012502" w:rsidRDefault="00000000" w:rsidP="00012502">
      <w:pPr>
        <w:bidi/>
        <w:rPr>
          <w:rFonts w:ascii="Narkisim" w:hAnsi="Narkisim" w:cs="Narkisim"/>
        </w:rPr>
      </w:pPr>
      <w:r w:rsidRPr="00012502">
        <w:rPr>
          <w:rFonts w:ascii="Narkisim" w:hAnsi="Narkisim" w:cs="Narkisim"/>
          <w:i/>
          <w:iCs/>
          <w:szCs w:val="20"/>
          <w:rtl/>
        </w:rPr>
        <w:t>סברת בית הלל</w:t>
      </w:r>
      <w:r w:rsidRPr="00012502">
        <w:rPr>
          <w:rFonts w:ascii="Narkisim" w:hAnsi="Narkisim" w:cs="Narkisim"/>
          <w:rtl/>
        </w:rPr>
        <w:t xml:space="preserve"> - </w:t>
      </w:r>
      <w:r w:rsidRPr="00012502">
        <w:rPr>
          <w:rFonts w:ascii="Narkisim" w:hAnsi="Narkisim" w:cs="Narkisim"/>
          <w:b/>
          <w:bCs/>
          <w:rtl/>
        </w:rPr>
        <w:t xml:space="preserve">תוס' </w:t>
      </w:r>
      <w:r w:rsidRPr="00012502">
        <w:rPr>
          <w:rFonts w:ascii="Narkisim" w:hAnsi="Narkisim" w:cs="Narkisim"/>
          <w:rtl/>
        </w:rPr>
        <w:t>(לקמן לב. וה</w:t>
      </w:r>
      <w:r w:rsidRPr="00012502">
        <w:rPr>
          <w:rFonts w:ascii="Narkisim" w:hAnsi="Narkisim" w:cs="Narkisim"/>
          <w:b/>
          <w:bCs/>
          <w:rtl/>
        </w:rPr>
        <w:t>תוס'</w:t>
      </w:r>
      <w:r w:rsidRPr="00012502">
        <w:rPr>
          <w:rFonts w:ascii="Narkisim" w:hAnsi="Narkisim" w:cs="Narkisim"/>
          <w:rtl/>
        </w:rPr>
        <w:t xml:space="preserve"> ה</w:t>
      </w:r>
      <w:r w:rsidRPr="00012502">
        <w:rPr>
          <w:rFonts w:ascii="Narkisim" w:hAnsi="Narkisim" w:cs="Narkisim"/>
          <w:b/>
          <w:bCs/>
          <w:rtl/>
        </w:rPr>
        <w:t>רא"ש</w:t>
      </w:r>
      <w:r w:rsidRPr="00012502">
        <w:rPr>
          <w:rFonts w:ascii="Narkisim" w:hAnsi="Narkisim" w:cs="Narkisim"/>
          <w:rtl/>
        </w:rPr>
        <w:t>) כת' דדעת ר' שמעון [ובית הלל] דאוסרת צרתה משום איסור אשת אח, כיון דממ"נ אסורה. והוה כמו אילונית דאיסור אשת אח אוסרת צרתה.</w:t>
      </w:r>
    </w:p>
    <w:p w14:paraId="487D8EFB" w14:textId="77777777" w:rsidR="00BE1D1C" w:rsidRPr="00012502" w:rsidRDefault="00000000" w:rsidP="00012502">
      <w:pPr>
        <w:pStyle w:val="a7"/>
        <w:bidi/>
        <w:rPr>
          <w:rFonts w:ascii="Narkisim" w:hAnsi="Narkisim"/>
        </w:rPr>
      </w:pPr>
      <w:r w:rsidRPr="00012502">
        <w:rPr>
          <w:rFonts w:ascii="Narkisim" w:hAnsi="Narkisim"/>
          <w:rtl/>
        </w:rPr>
        <w:t xml:space="preserve">ויש </w:t>
      </w:r>
      <w:r w:rsidRPr="00012502">
        <w:rPr>
          <w:rFonts w:ascii="Narkisim" w:hAnsi="Narkisim"/>
          <w:b/>
          <w:bCs/>
          <w:rtl/>
        </w:rPr>
        <w:t>אחרונים</w:t>
      </w:r>
      <w:r w:rsidRPr="00012502">
        <w:rPr>
          <w:rFonts w:ascii="Narkisim" w:hAnsi="Narkisim"/>
          <w:rtl/>
        </w:rPr>
        <w:t xml:space="preserve"> </w:t>
      </w:r>
      <w:r w:rsidRPr="00012502">
        <w:rPr>
          <w:rFonts w:ascii="Narkisim" w:hAnsi="Narkisim"/>
          <w:sz w:val="20"/>
          <w:szCs w:val="20"/>
          <w:rtl/>
        </w:rPr>
        <w:t xml:space="preserve">(אמר"מ ז כא, </w:t>
      </w:r>
      <w:r w:rsidRPr="00012502">
        <w:rPr>
          <w:rFonts w:ascii="Narkisim" w:hAnsi="Narkisim"/>
          <w:b/>
          <w:bCs/>
          <w:sz w:val="20"/>
          <w:szCs w:val="20"/>
          <w:rtl/>
        </w:rPr>
        <w:t>קה"י</w:t>
      </w:r>
      <w:r w:rsidRPr="00012502">
        <w:rPr>
          <w:rFonts w:ascii="Narkisim" w:hAnsi="Narkisim"/>
          <w:sz w:val="20"/>
          <w:szCs w:val="20"/>
          <w:rtl/>
        </w:rPr>
        <w:t xml:space="preserve"> ו ג) </w:t>
      </w:r>
      <w:r w:rsidRPr="00012502">
        <w:rPr>
          <w:rFonts w:ascii="Narkisim" w:hAnsi="Narkisim"/>
          <w:rtl/>
        </w:rPr>
        <w:t>שהעמידו דלפ"ז נח' בי"ש ובי"ה האם איסור אשת אח דנפילה זו פוטרת צרתה</w:t>
      </w:r>
      <w:r w:rsidRPr="00012502">
        <w:rPr>
          <w:rStyle w:val="ac"/>
          <w:rFonts w:ascii="Narkisim" w:hAnsi="Narkisim"/>
          <w:rtl/>
        </w:rPr>
        <w:footnoteReference w:id="794"/>
      </w:r>
      <w:r w:rsidRPr="00012502">
        <w:rPr>
          <w:rFonts w:ascii="Narkisim" w:hAnsi="Narkisim"/>
          <w:rtl/>
        </w:rPr>
        <w:t>. ועוד יש שפי' דאף בי"ה איירי דוקא במקום ערוה, דכיון דפטורה מיבום משום שם אחות אשה</w:t>
      </w:r>
      <w:r w:rsidRPr="00012502">
        <w:rPr>
          <w:rStyle w:val="ac"/>
          <w:rFonts w:ascii="Narkisim" w:hAnsi="Narkisim"/>
          <w:rtl/>
        </w:rPr>
        <w:footnoteReference w:id="795"/>
      </w:r>
      <w:r w:rsidRPr="00012502">
        <w:rPr>
          <w:rFonts w:ascii="Narkisim" w:hAnsi="Narkisim"/>
          <w:rtl/>
        </w:rPr>
        <w:t>, עי"ז אף האשת אח הוה ערוה. [ובית שמאי פליגי בגדר זה].</w:t>
      </w:r>
    </w:p>
    <w:p w14:paraId="13E2FEDD" w14:textId="77777777" w:rsidR="00BE1D1C" w:rsidRPr="00012502" w:rsidRDefault="00000000" w:rsidP="00012502">
      <w:pPr>
        <w:bidi/>
        <w:rPr>
          <w:rFonts w:ascii="Narkisim" w:hAnsi="Narkisim" w:cs="Narkisim"/>
        </w:rPr>
      </w:pPr>
      <w:r w:rsidRPr="00012502">
        <w:rPr>
          <w:rFonts w:ascii="Narkisim" w:hAnsi="Narkisim" w:cs="Narkisim"/>
          <w:rtl/>
        </w:rPr>
        <w:t>אבל ה</w:t>
      </w:r>
      <w:r w:rsidRPr="00012502">
        <w:rPr>
          <w:rFonts w:ascii="Narkisim" w:hAnsi="Narkisim" w:cs="Narkisim"/>
          <w:b/>
          <w:bCs/>
          <w:rtl/>
        </w:rPr>
        <w:t>תו"י</w:t>
      </w:r>
      <w:r w:rsidRPr="00012502">
        <w:rPr>
          <w:rFonts w:ascii="Narkisim" w:hAnsi="Narkisim" w:cs="Narkisim"/>
          <w:rtl/>
        </w:rPr>
        <w:t xml:space="preserve"> כת' דחשיבא צרת ערוה, כיון דאיסור אחות אשה מיתלא תאלי, מש"ה דרשי' לצרור דאף צרתה צרת ערוה. ועי"ז הוה צרת ערוה.</w:t>
      </w:r>
      <w:r w:rsidRPr="00012502">
        <w:rPr>
          <w:rFonts w:ascii="Narkisim" w:hAnsi="Narkisim" w:cs="Narkisim"/>
          <w:sz w:val="20"/>
          <w:szCs w:val="20"/>
          <w:rtl/>
        </w:rPr>
        <w:t xml:space="preserve"> והתו"י הק' א"כ מ"ט דבי"ש, אמאי דחינן קרא דלצרור משום סברא דאין איסור חל על איסור</w:t>
      </w:r>
      <w:r w:rsidRPr="00012502">
        <w:rPr>
          <w:rStyle w:val="ac"/>
          <w:rFonts w:ascii="Narkisim" w:hAnsi="Narkisim" w:cs="Narkisim"/>
          <w:sz w:val="20"/>
          <w:szCs w:val="20"/>
          <w:rtl/>
        </w:rPr>
        <w:footnoteReference w:id="796"/>
      </w:r>
      <w:r w:rsidRPr="00012502">
        <w:rPr>
          <w:rFonts w:ascii="Narkisim" w:hAnsi="Narkisim" w:cs="Narkisim"/>
          <w:sz w:val="20"/>
          <w:szCs w:val="20"/>
          <w:rtl/>
        </w:rPr>
        <w:t>.</w:t>
      </w:r>
    </w:p>
    <w:p w14:paraId="0658294C"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כת' דטעמא דבית הלל דמשום 'לצרור' גלי בה. </w:t>
      </w:r>
      <w:r w:rsidRPr="00012502">
        <w:rPr>
          <w:rFonts w:ascii="Narkisim" w:hAnsi="Narkisim"/>
          <w:sz w:val="20"/>
          <w:szCs w:val="20"/>
          <w:rtl/>
        </w:rPr>
        <w:t>וה</w:t>
      </w:r>
      <w:r w:rsidRPr="00012502">
        <w:rPr>
          <w:rFonts w:ascii="Narkisim" w:hAnsi="Narkisim"/>
          <w:b/>
          <w:bCs/>
          <w:sz w:val="20"/>
          <w:szCs w:val="20"/>
          <w:rtl/>
        </w:rPr>
        <w:t>אחרונים</w:t>
      </w:r>
      <w:r w:rsidRPr="00012502">
        <w:rPr>
          <w:rFonts w:ascii="Narkisim" w:hAnsi="Narkisim"/>
          <w:sz w:val="20"/>
          <w:szCs w:val="20"/>
          <w:rtl/>
        </w:rPr>
        <w:t xml:space="preserve"> דנו האם גלי דאיסור חל על איסור, או דגלי דפוטרת צרתה.</w:t>
      </w:r>
      <w:r w:rsidRPr="00012502">
        <w:rPr>
          <w:rFonts w:ascii="Narkisim" w:hAnsi="Narkisim"/>
          <w:rtl/>
        </w:rPr>
        <w:t xml:space="preserve"> וכן ה</w:t>
      </w:r>
      <w:r w:rsidRPr="00012502">
        <w:rPr>
          <w:rFonts w:ascii="Narkisim" w:hAnsi="Narkisim"/>
          <w:b/>
          <w:bCs/>
          <w:rtl/>
        </w:rPr>
        <w:t>ריטב"א</w:t>
      </w:r>
      <w:r w:rsidRPr="00012502">
        <w:rPr>
          <w:rFonts w:ascii="Narkisim" w:hAnsi="Narkisim"/>
          <w:rtl/>
        </w:rPr>
        <w:t xml:space="preserve"> כת' (בשם י"א) דאתא קרא דלצרור למיסר צרת ערוה במקום מצוה</w:t>
      </w:r>
      <w:r w:rsidRPr="00012502">
        <w:rPr>
          <w:rStyle w:val="ac"/>
          <w:rFonts w:ascii="Narkisim" w:hAnsi="Narkisim"/>
          <w:rtl/>
        </w:rPr>
        <w:footnoteReference w:id="797"/>
      </w:r>
      <w:r w:rsidRPr="00012502">
        <w:rPr>
          <w:rFonts w:ascii="Narkisim" w:hAnsi="Narkisim"/>
          <w:rtl/>
        </w:rPr>
        <w:t>.</w:t>
      </w:r>
      <w:r w:rsidRPr="00012502">
        <w:rPr>
          <w:rFonts w:ascii="Narkisim" w:hAnsi="Narkisim"/>
          <w:sz w:val="20"/>
          <w:szCs w:val="20"/>
          <w:rtl/>
        </w:rPr>
        <w:t xml:space="preserve"> וה</w:t>
      </w:r>
      <w:r w:rsidRPr="00012502">
        <w:rPr>
          <w:rFonts w:ascii="Narkisim" w:hAnsi="Narkisim"/>
          <w:b/>
          <w:bCs/>
          <w:sz w:val="20"/>
          <w:szCs w:val="20"/>
          <w:rtl/>
        </w:rPr>
        <w:t>תו"י</w:t>
      </w:r>
      <w:r w:rsidRPr="00012502">
        <w:rPr>
          <w:rFonts w:ascii="Narkisim" w:hAnsi="Narkisim"/>
          <w:sz w:val="20"/>
          <w:szCs w:val="20"/>
          <w:rtl/>
        </w:rPr>
        <w:t xml:space="preserve"> הק' א"כ נילף מהכא בעלמא דאיסור חל על איסור, דהא דא"א חע"א אינו רק </w:t>
      </w:r>
      <w:r w:rsidRPr="00012502">
        <w:rPr>
          <w:rFonts w:ascii="Narkisim" w:hAnsi="Narkisim"/>
          <w:sz w:val="20"/>
          <w:szCs w:val="20"/>
          <w:rtl/>
        </w:rPr>
        <w:lastRenderedPageBreak/>
        <w:t>סברא</w:t>
      </w:r>
      <w:r w:rsidRPr="00012502">
        <w:rPr>
          <w:rStyle w:val="ac"/>
          <w:rFonts w:ascii="Narkisim" w:hAnsi="Narkisim"/>
          <w:sz w:val="20"/>
          <w:szCs w:val="20"/>
          <w:rtl/>
        </w:rPr>
        <w:footnoteReference w:id="798"/>
      </w:r>
      <w:r w:rsidRPr="00012502">
        <w:rPr>
          <w:rFonts w:ascii="Narkisim" w:hAnsi="Narkisim"/>
          <w:sz w:val="20"/>
          <w:szCs w:val="20"/>
          <w:rtl/>
        </w:rPr>
        <w:t>.</w:t>
      </w:r>
    </w:p>
    <w:p w14:paraId="7F35073F"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רמב"ן</w:t>
      </w:r>
      <w:r w:rsidRPr="00012502">
        <w:rPr>
          <w:rFonts w:ascii="Narkisim" w:hAnsi="Narkisim" w:cs="Narkisim"/>
          <w:rtl/>
        </w:rPr>
        <w:t xml:space="preserve"> כת' עוד א"נ כי פקע אשת אח חל אחות אשה בין בערוה ובין בצרה. וה</w:t>
      </w:r>
      <w:r w:rsidRPr="00012502">
        <w:rPr>
          <w:rFonts w:ascii="Narkisim" w:hAnsi="Narkisim" w:cs="Narkisim"/>
          <w:b/>
          <w:bCs/>
          <w:rtl/>
        </w:rPr>
        <w:t>קה"י</w:t>
      </w:r>
      <w:r w:rsidRPr="00012502">
        <w:rPr>
          <w:rFonts w:ascii="Narkisim" w:hAnsi="Narkisim" w:cs="Narkisim"/>
          <w:rtl/>
        </w:rPr>
        <w:t xml:space="preserve"> (ו ג) ביאר דס"ל לבית הלל דכיון דהוה בבת אחת מיד בשעת נפילה, נחשב ערוה בשעת נפילה. וה</w:t>
      </w:r>
      <w:r w:rsidRPr="00012502">
        <w:rPr>
          <w:rFonts w:ascii="Narkisim" w:hAnsi="Narkisim" w:cs="Narkisim"/>
          <w:b/>
          <w:bCs/>
          <w:rtl/>
        </w:rPr>
        <w:t>אחרונים</w:t>
      </w:r>
      <w:r w:rsidRPr="00012502">
        <w:rPr>
          <w:rFonts w:ascii="Narkisim" w:hAnsi="Narkisim" w:cs="Narkisim"/>
          <w:rtl/>
        </w:rPr>
        <w:t xml:space="preserve"> כת' דדין הערוה מיתלא תליא, וכיון שעומדת לחול עליו, נחשב דין ערוה ופוטרת צרתה</w:t>
      </w:r>
      <w:r w:rsidRPr="00012502">
        <w:rPr>
          <w:rFonts w:ascii="Narkisim" w:hAnsi="Narkisim" w:cs="Narkisim"/>
          <w:sz w:val="20"/>
          <w:szCs w:val="20"/>
          <w:rtl/>
        </w:rPr>
        <w:t xml:space="preserve"> [וכמשמעות רש"י לב., אבל הגרי"ז כת' דאף לרש"י מהני סברא זו רק לפטור עצמה, ופוטרת צרתה מדין ערות אשת אח וכתוס']</w:t>
      </w:r>
      <w:r w:rsidRPr="00012502">
        <w:rPr>
          <w:rFonts w:ascii="Narkisim" w:hAnsi="Narkisim" w:cs="Narkisim"/>
          <w:rtl/>
        </w:rPr>
        <w:t>.</w:t>
      </w:r>
    </w:p>
    <w:p w14:paraId="3063F665"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מאירי</w:t>
      </w:r>
      <w:r w:rsidRPr="00012502">
        <w:rPr>
          <w:rFonts w:ascii="Narkisim" w:hAnsi="Narkisim" w:cs="Narkisim"/>
          <w:rtl/>
        </w:rPr>
        <w:t xml:space="preserve"> </w:t>
      </w:r>
      <w:r w:rsidRPr="00012502">
        <w:rPr>
          <w:rFonts w:ascii="Narkisim" w:hAnsi="Narkisim" w:cs="Narkisim"/>
          <w:szCs w:val="20"/>
          <w:rtl/>
        </w:rPr>
        <w:t>(ד"ה וגדולי הרבנים)</w:t>
      </w:r>
      <w:r w:rsidRPr="00012502">
        <w:rPr>
          <w:rFonts w:ascii="Narkisim" w:hAnsi="Narkisim" w:cs="Narkisim"/>
          <w:rtl/>
        </w:rPr>
        <w:t xml:space="preserve"> כת' [דסברת בית הלל] דלא חל איסור לענין הוספת מלקיות, אבל ל"מ להפקיע שם צרת ערוה מן האחרת. [ויתבאר עוד (לקמן לב.) דברי האחרונים בגדר אין איסור חע"א]. ועד"ז כתב ה</w:t>
      </w:r>
      <w:r w:rsidRPr="00012502">
        <w:rPr>
          <w:rFonts w:ascii="Narkisim" w:hAnsi="Narkisim" w:cs="Narkisim"/>
          <w:b/>
          <w:bCs/>
          <w:rtl/>
        </w:rPr>
        <w:t>אחיעזר</w:t>
      </w:r>
      <w:r w:rsidRPr="00012502">
        <w:rPr>
          <w:rFonts w:ascii="Narkisim" w:hAnsi="Narkisim" w:cs="Narkisim"/>
          <w:rtl/>
        </w:rPr>
        <w:t xml:space="preserve"> (א ג) דאף דאין איסור חל על איסור, מ"מ האיסור איתא במציאות </w:t>
      </w:r>
      <w:r w:rsidRPr="00012502">
        <w:rPr>
          <w:rFonts w:ascii="Narkisim" w:hAnsi="Narkisim" w:cs="Narkisim"/>
          <w:sz w:val="20"/>
          <w:szCs w:val="20"/>
          <w:rtl/>
        </w:rPr>
        <w:t>[דמהני להוסיף חומר לאיסור, לקוברו בין רשעים גמורים (וכדאיתא לקמן לב:</w:t>
      </w:r>
      <w:r w:rsidRPr="00012502">
        <w:rPr>
          <w:rStyle w:val="ac"/>
          <w:rFonts w:ascii="Narkisim" w:hAnsi="Narkisim" w:cs="Narkisim"/>
          <w:sz w:val="20"/>
          <w:szCs w:val="20"/>
          <w:rtl/>
        </w:rPr>
        <w:footnoteReference w:id="799"/>
      </w:r>
      <w:r w:rsidRPr="00012502">
        <w:rPr>
          <w:rFonts w:ascii="Narkisim" w:hAnsi="Narkisim" w:cs="Narkisim"/>
          <w:sz w:val="20"/>
          <w:szCs w:val="20"/>
          <w:rtl/>
        </w:rPr>
        <w:t>, ויתבאר שם)]</w:t>
      </w:r>
      <w:r w:rsidRPr="00012502">
        <w:rPr>
          <w:rFonts w:ascii="Narkisim" w:hAnsi="Narkisim" w:cs="Narkisim"/>
          <w:rtl/>
        </w:rPr>
        <w:t xml:space="preserve">, והוה אחות אשתו להפטר מיבום </w:t>
      </w:r>
      <w:r w:rsidRPr="00012502">
        <w:rPr>
          <w:rFonts w:ascii="Narkisim" w:hAnsi="Narkisim" w:cs="Narkisim"/>
          <w:sz w:val="20"/>
          <w:szCs w:val="20"/>
          <w:rtl/>
        </w:rPr>
        <w:t>[וכן לא תפסי קידושין ע' לעיל במשנה</w:t>
      </w:r>
      <w:r w:rsidRPr="00012502">
        <w:rPr>
          <w:rFonts w:ascii="Narkisim" w:hAnsi="Narkisim" w:cs="Narkisim"/>
          <w:rtl/>
        </w:rPr>
        <w:t xml:space="preserve">], ופוטרת צרתה [דהוה ערוה בעצם]. אבל בית שמאי סברי דלא חל האיסור כלל </w:t>
      </w:r>
      <w:r w:rsidRPr="00012502">
        <w:rPr>
          <w:rFonts w:ascii="Narkisim" w:hAnsi="Narkisim" w:cs="Narkisim"/>
          <w:sz w:val="20"/>
          <w:szCs w:val="20"/>
          <w:rtl/>
        </w:rPr>
        <w:t>[וכן ס"ד דגמ' לקמן לב. לר' שמעון, קמ"ל דמיתלא תליא, ושם אחות אשה עומדת כבר עכשיו לאסור ולפטור</w:t>
      </w:r>
      <w:r w:rsidRPr="00012502">
        <w:rPr>
          <w:rStyle w:val="ac"/>
          <w:rFonts w:ascii="Narkisim" w:hAnsi="Narkisim" w:cs="Narkisim"/>
          <w:sz w:val="20"/>
          <w:szCs w:val="20"/>
          <w:rtl/>
        </w:rPr>
        <w:footnoteReference w:id="800"/>
      </w:r>
      <w:r w:rsidRPr="00012502">
        <w:rPr>
          <w:rFonts w:ascii="Narkisim" w:hAnsi="Narkisim" w:cs="Narkisim"/>
          <w:sz w:val="20"/>
          <w:szCs w:val="20"/>
          <w:rtl/>
        </w:rPr>
        <w:t>].</w:t>
      </w:r>
    </w:p>
    <w:p w14:paraId="05F059E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כתב בשם </w:t>
      </w:r>
      <w:r w:rsidRPr="00012502">
        <w:rPr>
          <w:rFonts w:ascii="Narkisim" w:hAnsi="Narkisim"/>
          <w:b/>
          <w:bCs/>
          <w:rtl/>
        </w:rPr>
        <w:t>ר"ח</w:t>
      </w:r>
      <w:r w:rsidRPr="00012502">
        <w:rPr>
          <w:rFonts w:ascii="Narkisim" w:hAnsi="Narkisim"/>
          <w:rtl/>
        </w:rPr>
        <w:t xml:space="preserve"> דלגבי יבום </w:t>
      </w:r>
      <w:r w:rsidRPr="00012502">
        <w:rPr>
          <w:rFonts w:ascii="Narkisim" w:hAnsi="Narkisim"/>
          <w:sz w:val="20"/>
          <w:szCs w:val="20"/>
          <w:rtl/>
        </w:rPr>
        <w:t xml:space="preserve">[איסור אשת אח] </w:t>
      </w:r>
      <w:r w:rsidRPr="00012502">
        <w:rPr>
          <w:rFonts w:ascii="Narkisim" w:hAnsi="Narkisim"/>
          <w:rtl/>
        </w:rPr>
        <w:t>כמאן דליתא, וחייל איסור אחות אשה, ולכן אוסרת צרתה.</w:t>
      </w:r>
    </w:p>
    <w:p w14:paraId="70B6E61C"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ה</w:t>
      </w:r>
      <w:r w:rsidRPr="00012502">
        <w:rPr>
          <w:rFonts w:ascii="Narkisim" w:hAnsi="Narkisim" w:cs="Narkisim"/>
          <w:b/>
          <w:bCs/>
          <w:rtl/>
        </w:rPr>
        <w:t>תו"י</w:t>
      </w:r>
      <w:r w:rsidRPr="00012502">
        <w:rPr>
          <w:rFonts w:ascii="Narkisim" w:hAnsi="Narkisim" w:cs="Narkisim"/>
          <w:rtl/>
        </w:rPr>
        <w:t xml:space="preserve"> </w:t>
      </w:r>
      <w:r w:rsidRPr="00012502">
        <w:rPr>
          <w:rFonts w:ascii="Narkisim" w:hAnsi="Narkisim" w:cs="Narkisim"/>
          <w:szCs w:val="20"/>
          <w:rtl/>
        </w:rPr>
        <w:t>(וכן השואל בשו"ת הרשב"א)</w:t>
      </w:r>
      <w:r w:rsidRPr="00012502">
        <w:rPr>
          <w:rFonts w:ascii="Narkisim" w:hAnsi="Narkisim" w:cs="Narkisim"/>
          <w:rtl/>
        </w:rPr>
        <w:t xml:space="preserve"> הק' דבנשא מת ומת, ואח"כ נשא חי לא שייך אין איסור חע"א. ותי' דמ"מ לא פטרה לצרה, דלא היתה צרת ערוה מעולם. </w:t>
      </w:r>
      <w:r w:rsidRPr="00012502">
        <w:rPr>
          <w:rFonts w:ascii="Narkisim" w:hAnsi="Narkisim" w:cs="Narkisim"/>
          <w:szCs w:val="20"/>
          <w:rtl/>
        </w:rPr>
        <w:t>[דערוה לאחר נפילה אינה פוטרת צרתה. וכ"כ תוס' לקמן כו:, וע' מש"כ בזה לעיל ח.</w:t>
      </w:r>
      <w:r w:rsidRPr="00012502">
        <w:rPr>
          <w:rFonts w:ascii="Narkisim" w:hAnsi="Narkisim" w:cs="Narkisim"/>
          <w:rtl/>
        </w:rPr>
        <w:t>].</w:t>
      </w:r>
    </w:p>
    <w:p w14:paraId="33A6BA88" w14:textId="77777777" w:rsidR="00BE1D1C" w:rsidRPr="00012502" w:rsidRDefault="00000000" w:rsidP="00012502">
      <w:pPr>
        <w:bidi/>
        <w:rPr>
          <w:rFonts w:ascii="Narkisim" w:hAnsi="Narkisim" w:cs="Narkisim"/>
        </w:rPr>
      </w:pPr>
      <w:r w:rsidRPr="00012502">
        <w:rPr>
          <w:rFonts w:ascii="Narkisim" w:hAnsi="Narkisim" w:cs="Narkisim"/>
          <w:u w:val="single"/>
          <w:rtl/>
        </w:rPr>
        <w:t>הו"ל צרת ערוה שלא במקום מצוה ושריא</w:t>
      </w:r>
      <w:r w:rsidRPr="00012502">
        <w:rPr>
          <w:rStyle w:val="ac"/>
          <w:rFonts w:ascii="Narkisim" w:hAnsi="Narkisim" w:cs="Narkisim"/>
          <w:u w:val="single"/>
          <w:rtl/>
        </w:rPr>
        <w:footnoteReference w:id="801"/>
      </w:r>
      <w:r w:rsidRPr="00012502">
        <w:rPr>
          <w:rFonts w:ascii="Narkisim" w:hAnsi="Narkisim" w:cs="Narkisim"/>
          <w:u w:val="single"/>
          <w:rtl/>
        </w:rPr>
        <w:t>.</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הילכך לא רמיא קמיה לייבומי, והוה כמאן דליתא. וה</w:t>
      </w:r>
      <w:r w:rsidRPr="00012502">
        <w:rPr>
          <w:rFonts w:ascii="Narkisim" w:hAnsi="Narkisim" w:cs="Narkisim"/>
          <w:b/>
          <w:bCs/>
          <w:rtl/>
        </w:rPr>
        <w:t>ריטב"א</w:t>
      </w:r>
      <w:r w:rsidRPr="00012502">
        <w:rPr>
          <w:rFonts w:ascii="Narkisim" w:hAnsi="Narkisim" w:cs="Narkisim"/>
          <w:rtl/>
        </w:rPr>
        <w:t xml:space="preserve"> כת' דחשבי ליה כאילו אין כאן אשת אח לגבי הא מילתא.</w:t>
      </w:r>
    </w:p>
    <w:p w14:paraId="1E4EBEB6" w14:textId="77777777" w:rsidR="00BE1D1C" w:rsidRPr="00012502" w:rsidRDefault="00000000" w:rsidP="00012502">
      <w:pPr>
        <w:pStyle w:val="a7"/>
        <w:bidi/>
        <w:rPr>
          <w:rFonts w:ascii="Narkisim" w:hAnsi="Narkisim"/>
        </w:rPr>
      </w:pPr>
      <w:r w:rsidRPr="00012502">
        <w:rPr>
          <w:rFonts w:ascii="Narkisim" w:hAnsi="Narkisim"/>
          <w:rtl/>
        </w:rPr>
        <w:t>ומבואר בדעת בי"ש דהדין יבום תליא ב'איסור' אשת אח</w:t>
      </w:r>
      <w:r w:rsidRPr="00012502">
        <w:rPr>
          <w:rStyle w:val="ac"/>
          <w:rFonts w:ascii="Narkisim" w:hAnsi="Narkisim"/>
          <w:rtl/>
        </w:rPr>
        <w:footnoteReference w:id="802"/>
      </w:r>
      <w:r w:rsidRPr="00012502">
        <w:rPr>
          <w:rFonts w:ascii="Narkisim" w:hAnsi="Narkisim"/>
          <w:rtl/>
        </w:rPr>
        <w:t>, ואין כאן נפילה ליבום כלל</w:t>
      </w:r>
      <w:r w:rsidRPr="00012502">
        <w:rPr>
          <w:rStyle w:val="ac"/>
          <w:rFonts w:ascii="Narkisim" w:hAnsi="Narkisim"/>
          <w:rtl/>
        </w:rPr>
        <w:footnoteReference w:id="803"/>
      </w:r>
      <w:r w:rsidRPr="00012502">
        <w:rPr>
          <w:rFonts w:ascii="Narkisim" w:hAnsi="Narkisim"/>
          <w:rtl/>
        </w:rPr>
        <w:t xml:space="preserve">. ומש"ה נחשב אשת אח שלא במקום מצווה. </w:t>
      </w:r>
      <w:r w:rsidRPr="00012502">
        <w:rPr>
          <w:rFonts w:ascii="Narkisim" w:hAnsi="Narkisim"/>
          <w:sz w:val="20"/>
          <w:szCs w:val="20"/>
          <w:rtl/>
        </w:rPr>
        <w:t>וביארו ע"פ דברי ה</w:t>
      </w:r>
      <w:r w:rsidRPr="00012502">
        <w:rPr>
          <w:rFonts w:ascii="Narkisim" w:hAnsi="Narkisim"/>
          <w:b/>
          <w:bCs/>
          <w:sz w:val="20"/>
          <w:szCs w:val="20"/>
          <w:rtl/>
        </w:rPr>
        <w:t>או"ש</w:t>
      </w:r>
      <w:r w:rsidRPr="00012502">
        <w:rPr>
          <w:rFonts w:ascii="Narkisim" w:hAnsi="Narkisim"/>
          <w:sz w:val="20"/>
          <w:szCs w:val="20"/>
          <w:rtl/>
        </w:rPr>
        <w:t xml:space="preserve"> (סוף קו' זיקה) דעצם האיסור אשת אח גורם לדין יבום</w:t>
      </w:r>
      <w:r w:rsidRPr="00012502">
        <w:rPr>
          <w:rStyle w:val="ac"/>
          <w:rFonts w:ascii="Narkisim" w:hAnsi="Narkisim"/>
          <w:sz w:val="20"/>
          <w:szCs w:val="20"/>
          <w:rtl/>
        </w:rPr>
        <w:footnoteReference w:id="804"/>
      </w:r>
      <w:r w:rsidRPr="00012502">
        <w:rPr>
          <w:rFonts w:ascii="Narkisim" w:hAnsi="Narkisim"/>
          <w:sz w:val="20"/>
          <w:szCs w:val="20"/>
          <w:rtl/>
        </w:rPr>
        <w:t xml:space="preserve">, ובזה ביאר מש"כ </w:t>
      </w:r>
      <w:r w:rsidRPr="00012502">
        <w:rPr>
          <w:rFonts w:ascii="Narkisim" w:hAnsi="Narkisim"/>
          <w:b/>
          <w:bCs/>
          <w:sz w:val="20"/>
          <w:szCs w:val="20"/>
          <w:rtl/>
        </w:rPr>
        <w:t>תוס</w:t>
      </w:r>
      <w:r w:rsidRPr="00012502">
        <w:rPr>
          <w:rFonts w:ascii="Narkisim" w:hAnsi="Narkisim"/>
          <w:sz w:val="20"/>
          <w:szCs w:val="20"/>
          <w:rtl/>
        </w:rPr>
        <w:t>' (לעיל ג:) דמצוותו בכך</w:t>
      </w:r>
      <w:r w:rsidRPr="00012502">
        <w:rPr>
          <w:rStyle w:val="ac"/>
          <w:rFonts w:ascii="Narkisim" w:hAnsi="Narkisim"/>
          <w:sz w:val="20"/>
          <w:szCs w:val="20"/>
          <w:rtl/>
        </w:rPr>
        <w:footnoteReference w:id="805"/>
      </w:r>
      <w:r w:rsidRPr="00012502">
        <w:rPr>
          <w:rFonts w:ascii="Narkisim" w:hAnsi="Narkisim"/>
          <w:rtl/>
        </w:rPr>
        <w:t>.</w:t>
      </w:r>
    </w:p>
    <w:p w14:paraId="4DF714A6" w14:textId="77777777" w:rsidR="00BE1D1C" w:rsidRPr="00012502" w:rsidRDefault="00000000" w:rsidP="00012502">
      <w:pPr>
        <w:pStyle w:val="a8"/>
        <w:bidi/>
        <w:rPr>
          <w:rFonts w:ascii="Narkisim" w:hAnsi="Narkisim"/>
        </w:rPr>
      </w:pPr>
      <w:r w:rsidRPr="00012502">
        <w:rPr>
          <w:rFonts w:ascii="Narkisim" w:hAnsi="Narkisim"/>
          <w:rtl/>
        </w:rPr>
        <w:t>וב</w:t>
      </w:r>
      <w:r w:rsidRPr="00012502">
        <w:rPr>
          <w:rFonts w:ascii="Narkisim" w:hAnsi="Narkisim"/>
          <w:b/>
          <w:bCs/>
          <w:rtl/>
        </w:rPr>
        <w:t>חי' ר' שמעון</w:t>
      </w:r>
      <w:r w:rsidRPr="00012502">
        <w:rPr>
          <w:rFonts w:ascii="Narkisim" w:hAnsi="Narkisim"/>
          <w:rtl/>
        </w:rPr>
        <w:t xml:space="preserve"> (ד) פי' דלענין יבום בעינן שאישות אחיו עדיין קיימת, שנשאר בזה האיסור, וע"י שנשאר דיני </w:t>
      </w:r>
      <w:r w:rsidRPr="00012502">
        <w:rPr>
          <w:rFonts w:ascii="Narkisim" w:hAnsi="Narkisim"/>
          <w:rtl/>
        </w:rPr>
        <w:lastRenderedPageBreak/>
        <w:t>איסור נחשב שהאישות קיים</w:t>
      </w:r>
      <w:r w:rsidRPr="00012502">
        <w:rPr>
          <w:rStyle w:val="ac"/>
          <w:rFonts w:ascii="Narkisim" w:hAnsi="Narkisim"/>
          <w:rtl/>
        </w:rPr>
        <w:footnoteReference w:id="806"/>
      </w:r>
      <w:r w:rsidRPr="00012502">
        <w:rPr>
          <w:rFonts w:ascii="Narkisim" w:hAnsi="Narkisim"/>
          <w:rtl/>
        </w:rPr>
        <w:t>.</w:t>
      </w:r>
    </w:p>
    <w:p w14:paraId="1ADFF78D" w14:textId="77777777" w:rsidR="00BE1D1C" w:rsidRPr="00012502" w:rsidRDefault="00000000" w:rsidP="00012502">
      <w:pPr>
        <w:bidi/>
        <w:rPr>
          <w:rFonts w:ascii="Narkisim" w:hAnsi="Narkisim" w:cs="Narkisim"/>
        </w:rPr>
      </w:pPr>
      <w:r w:rsidRPr="00012502">
        <w:rPr>
          <w:rFonts w:ascii="Narkisim" w:hAnsi="Narkisim" w:cs="Narkisim"/>
          <w:i/>
          <w:iCs/>
          <w:sz w:val="21"/>
          <w:szCs w:val="21"/>
          <w:rtl/>
        </w:rPr>
        <w:t>סברת בית הלל</w:t>
      </w:r>
      <w:r w:rsidRPr="00012502">
        <w:rPr>
          <w:rFonts w:ascii="Narkisim" w:hAnsi="Narkisim" w:cs="Narkisim"/>
          <w:rtl/>
        </w:rPr>
        <w:t xml:space="preserve"> - </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Cs w:val="20"/>
          <w:rtl/>
        </w:rPr>
        <w:t>(לב. ד"ה שנשא)</w:t>
      </w:r>
      <w:r w:rsidRPr="00012502">
        <w:rPr>
          <w:rFonts w:ascii="Narkisim" w:hAnsi="Narkisim" w:cs="Narkisim"/>
          <w:rtl/>
        </w:rPr>
        <w:t xml:space="preserve"> כת' דר' שמעון ל"ל הך סברא, דמ"מ הרי היא אשת אח.</w:t>
      </w:r>
    </w:p>
    <w:p w14:paraId="1D28AE7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כת' דבית הלל ס"ל דחייל איסור אשת אח אשה דהוה איסור מוסיף, דמיגו שנאסרה בשאר אחים נאסרה עליו. </w:t>
      </w:r>
      <w:r w:rsidRPr="00012502">
        <w:rPr>
          <w:rFonts w:ascii="Narkisim" w:hAnsi="Narkisim"/>
          <w:szCs w:val="20"/>
          <w:rtl/>
        </w:rPr>
        <w:t>[וה</w:t>
      </w:r>
      <w:r w:rsidRPr="00012502">
        <w:rPr>
          <w:rFonts w:ascii="Narkisim" w:hAnsi="Narkisim"/>
          <w:b/>
          <w:bCs/>
          <w:szCs w:val="20"/>
          <w:rtl/>
        </w:rPr>
        <w:t>אחרונים</w:t>
      </w:r>
      <w:r w:rsidRPr="00012502">
        <w:rPr>
          <w:rFonts w:ascii="Narkisim" w:hAnsi="Narkisim"/>
          <w:szCs w:val="20"/>
          <w:rtl/>
        </w:rPr>
        <w:t xml:space="preserve"> דנו דלפ"ז היכא שאין עוד אחים, א"כ אמאי פוטרת צרתה לבית הלל</w:t>
      </w:r>
      <w:r w:rsidRPr="00012502">
        <w:rPr>
          <w:rStyle w:val="ac"/>
          <w:rFonts w:ascii="Narkisim" w:hAnsi="Narkisim"/>
          <w:szCs w:val="20"/>
          <w:rtl/>
        </w:rPr>
        <w:footnoteReference w:id="807"/>
      </w:r>
      <w:r w:rsidRPr="00012502">
        <w:rPr>
          <w:rFonts w:ascii="Narkisim" w:hAnsi="Narkisim"/>
          <w:szCs w:val="20"/>
          <w:rtl/>
        </w:rPr>
        <w:t>. וצ"ע].</w:t>
      </w:r>
    </w:p>
    <w:p w14:paraId="3CBB028C"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רשב"א</w:t>
      </w:r>
      <w:r w:rsidRPr="00012502">
        <w:rPr>
          <w:rFonts w:ascii="Narkisim" w:hAnsi="Narkisim"/>
          <w:rtl/>
        </w:rPr>
        <w:t xml:space="preserve"> תי' </w:t>
      </w:r>
      <w:r w:rsidRPr="00012502">
        <w:rPr>
          <w:rFonts w:ascii="Narkisim" w:hAnsi="Narkisim"/>
          <w:szCs w:val="20"/>
          <w:rtl/>
        </w:rPr>
        <w:t>[וכ"כ הריטב"א בתי' הב']</w:t>
      </w:r>
      <w:r w:rsidRPr="00012502">
        <w:rPr>
          <w:rFonts w:ascii="Narkisim" w:hAnsi="Narkisim"/>
          <w:rtl/>
        </w:rPr>
        <w:t xml:space="preserve"> כיון דלגבי שאר האחים הו"ל אשת אח (וכ"כ בשו"ת הרשב"א ו כה). דכיון דנחשב שעת נפילה כלפי שאר אחים, נחשב מקום מצוה אף לאח זה, ופוטרת צרתה</w:t>
      </w:r>
      <w:r w:rsidRPr="00012502">
        <w:rPr>
          <w:rStyle w:val="ac"/>
          <w:rFonts w:ascii="Narkisim" w:hAnsi="Narkisim"/>
          <w:rtl/>
        </w:rPr>
        <w:footnoteReference w:id="808"/>
      </w:r>
      <w:r w:rsidRPr="00012502">
        <w:rPr>
          <w:rFonts w:ascii="Narkisim" w:hAnsi="Narkisim"/>
          <w:rtl/>
        </w:rPr>
        <w:t>.</w:t>
      </w:r>
      <w:r w:rsidRPr="00012502">
        <w:rPr>
          <w:rFonts w:ascii="Narkisim" w:hAnsi="Narkisim"/>
          <w:szCs w:val="20"/>
          <w:rtl/>
        </w:rPr>
        <w:t xml:space="preserve"> [וה</w:t>
      </w:r>
      <w:r w:rsidRPr="00012502">
        <w:rPr>
          <w:rFonts w:ascii="Narkisim" w:hAnsi="Narkisim"/>
          <w:b/>
          <w:bCs/>
          <w:szCs w:val="20"/>
          <w:rtl/>
        </w:rPr>
        <w:t>אחרונים</w:t>
      </w:r>
      <w:r w:rsidRPr="00012502">
        <w:rPr>
          <w:rFonts w:ascii="Narkisim" w:hAnsi="Narkisim"/>
          <w:szCs w:val="20"/>
          <w:rtl/>
        </w:rPr>
        <w:t xml:space="preserve"> ביארו דנחשב זיקה אחת, ונפילה אחת, ולכן פוטרת צרתה</w:t>
      </w:r>
      <w:r w:rsidRPr="00012502">
        <w:rPr>
          <w:rStyle w:val="ac"/>
          <w:rFonts w:ascii="Narkisim" w:hAnsi="Narkisim"/>
          <w:szCs w:val="20"/>
          <w:rtl/>
        </w:rPr>
        <w:footnoteReference w:id="809"/>
      </w:r>
      <w:r w:rsidRPr="00012502">
        <w:rPr>
          <w:rFonts w:ascii="Narkisim" w:hAnsi="Narkisim"/>
          <w:rtl/>
        </w:rPr>
        <w:t>].</w:t>
      </w:r>
    </w:p>
    <w:p w14:paraId="6D5D887A"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מאירי</w:t>
      </w:r>
      <w:r w:rsidRPr="00012502">
        <w:rPr>
          <w:rFonts w:ascii="Narkisim" w:hAnsi="Narkisim"/>
          <w:rtl/>
        </w:rPr>
        <w:t xml:space="preserve"> כת' דסברת בית הלל דחל האיסור אשת אח, ומהני לפוטרה אף שאין חיוב עונשים בזה. ועפ"ז ביאר דב' המח' בי"ש ובי"ה לשיטתם. וכ"כ ה</w:t>
      </w:r>
      <w:r w:rsidRPr="00012502">
        <w:rPr>
          <w:rFonts w:ascii="Narkisim" w:hAnsi="Narkisim"/>
          <w:b/>
          <w:bCs/>
          <w:rtl/>
        </w:rPr>
        <w:t>אחיעזר</w:t>
      </w:r>
      <w:r w:rsidRPr="00012502">
        <w:rPr>
          <w:rFonts w:ascii="Narkisim" w:hAnsi="Narkisim"/>
          <w:rtl/>
        </w:rPr>
        <w:t xml:space="preserve"> (שם). [אבל לשאר פי' עולה שיש ב' מח' בין בי"ש ובי"ה, וע' אחרונים].</w:t>
      </w:r>
    </w:p>
    <w:p w14:paraId="3849A56F" w14:textId="77777777" w:rsidR="00BE1D1C" w:rsidRPr="00012502" w:rsidRDefault="00000000" w:rsidP="00012502">
      <w:pPr>
        <w:pStyle w:val="aa"/>
        <w:bidi/>
        <w:rPr>
          <w:rFonts w:ascii="Narkisim" w:hAnsi="Narkisim"/>
        </w:rPr>
      </w:pPr>
      <w:r w:rsidRPr="00012502">
        <w:rPr>
          <w:rFonts w:ascii="Narkisim" w:hAnsi="Narkisim"/>
          <w:u w:val="single"/>
          <w:rtl/>
        </w:rPr>
        <w:t>לאפוקי דר' יוחנן ב"נ, קמ"ל דבית הלל מכשירין.</w:t>
      </w:r>
      <w:r w:rsidRPr="00012502">
        <w:rPr>
          <w:rFonts w:ascii="Narkisim" w:hAnsi="Narkisim"/>
          <w:rtl/>
        </w:rPr>
        <w:t xml:space="preserve"> דאילו היה תקנת חליצה מדרבנן היה נפסל מכהונה. דכל מקום דרבנן הצריכו חליצה נפסלת לכהונה [ולא אמרי' דספק דרבנן לקולא]</w:t>
      </w:r>
      <w:r w:rsidRPr="00012502">
        <w:rPr>
          <w:rStyle w:val="ac"/>
          <w:rFonts w:ascii="Narkisim" w:hAnsi="Narkisim"/>
          <w:rtl/>
        </w:rPr>
        <w:footnoteReference w:id="810"/>
      </w:r>
      <w:r w:rsidRPr="00012502">
        <w:rPr>
          <w:rFonts w:ascii="Narkisim" w:hAnsi="Narkisim"/>
          <w:rtl/>
        </w:rPr>
        <w:t>.</w:t>
      </w:r>
    </w:p>
    <w:p w14:paraId="7C5C6990" w14:textId="77777777" w:rsidR="00BE1D1C" w:rsidRPr="00012502" w:rsidRDefault="00000000" w:rsidP="00012502">
      <w:pPr>
        <w:pStyle w:val="aa"/>
        <w:bidi/>
        <w:rPr>
          <w:rFonts w:ascii="Narkisim" w:hAnsi="Narkisim"/>
        </w:rPr>
      </w:pPr>
      <w:r w:rsidRPr="00012502">
        <w:rPr>
          <w:rFonts w:ascii="Narkisim" w:hAnsi="Narkisim"/>
          <w:u w:val="single"/>
          <w:rtl/>
        </w:rPr>
        <w:t>רש"י ד"ה וב"ה פוסלים.</w:t>
      </w:r>
      <w:r w:rsidRPr="00012502">
        <w:rPr>
          <w:rFonts w:ascii="Narkisim" w:hAnsi="Narkisim"/>
          <w:rtl/>
        </w:rPr>
        <w:t xml:space="preserve"> אבל מתרומת בי נשא לא מיפסלה בבעילת כרת [דבעינן זר אצלה מעיקרא]. אך דעת </w:t>
      </w:r>
      <w:r w:rsidRPr="00012502">
        <w:rPr>
          <w:rFonts w:ascii="Narkisim" w:hAnsi="Narkisim"/>
          <w:b/>
          <w:bCs/>
          <w:rtl/>
        </w:rPr>
        <w:t>תוס</w:t>
      </w:r>
      <w:r w:rsidRPr="00012502">
        <w:rPr>
          <w:rFonts w:ascii="Narkisim" w:hAnsi="Narkisim"/>
          <w:rtl/>
        </w:rPr>
        <w:t>' (לקמן סח:, ושאר ראשונים) דחייבי כריתות פוסלים את האשה אף מתרומה. ואף אם אינו זר מעיקרא</w:t>
      </w:r>
      <w:r w:rsidRPr="00012502">
        <w:rPr>
          <w:rStyle w:val="ac"/>
          <w:rFonts w:ascii="Narkisim" w:hAnsi="Narkisim"/>
          <w:rtl/>
        </w:rPr>
        <w:footnoteReference w:id="811"/>
      </w:r>
      <w:r w:rsidRPr="00012502">
        <w:rPr>
          <w:rFonts w:ascii="Narkisim" w:hAnsi="Narkisim"/>
          <w:rtl/>
        </w:rPr>
        <w:t xml:space="preserve">. וכ"כ </w:t>
      </w:r>
      <w:r w:rsidRPr="00012502">
        <w:rPr>
          <w:rFonts w:ascii="Narkisim" w:hAnsi="Narkisim"/>
          <w:b/>
          <w:bCs/>
          <w:rtl/>
        </w:rPr>
        <w:t>רש"י</w:t>
      </w:r>
      <w:r w:rsidRPr="00012502">
        <w:rPr>
          <w:rFonts w:ascii="Narkisim" w:hAnsi="Narkisim"/>
          <w:rtl/>
        </w:rPr>
        <w:t xml:space="preserve"> (טו: ד"ה היא). וצ"ע.</w:t>
      </w:r>
    </w:p>
    <w:p w14:paraId="004ABC24" w14:textId="77777777" w:rsidR="00BE1D1C" w:rsidRPr="00012502" w:rsidRDefault="00000000" w:rsidP="00012502">
      <w:pPr>
        <w:pStyle w:val="2"/>
        <w:bidi/>
        <w:rPr>
          <w:rFonts w:ascii="Narkisim" w:hAnsi="Narkisim"/>
        </w:rPr>
      </w:pPr>
      <w:r w:rsidRPr="00012502">
        <w:rPr>
          <w:rFonts w:ascii="Narkisim" w:hAnsi="Narkisim"/>
          <w:rtl/>
        </w:rPr>
        <w:t>לא תתגודדו</w:t>
      </w:r>
    </w:p>
    <w:p w14:paraId="4E206A3F" w14:textId="77777777" w:rsidR="00BE1D1C" w:rsidRPr="00012502" w:rsidRDefault="00000000" w:rsidP="00012502">
      <w:pPr>
        <w:pStyle w:val="aa"/>
        <w:bidi/>
        <w:rPr>
          <w:rFonts w:ascii="Narkisim" w:hAnsi="Narkisim"/>
        </w:rPr>
      </w:pPr>
      <w:r w:rsidRPr="00012502">
        <w:rPr>
          <w:rFonts w:ascii="Narkisim" w:hAnsi="Narkisim"/>
          <w:u w:val="single"/>
          <w:rtl/>
        </w:rPr>
        <w:t>תנן התם מגילה נקראת וכו' אמר ליה ר"ל לר' יוחנן איקרי כאן לא תתגודדו</w:t>
      </w:r>
      <w:r w:rsidRPr="00012502">
        <w:rPr>
          <w:rStyle w:val="ac"/>
          <w:rFonts w:ascii="Narkisim" w:hAnsi="Narkisim"/>
          <w:u w:val="single"/>
          <w:rtl/>
        </w:rPr>
        <w:footnoteReference w:id="812"/>
      </w:r>
      <w:r w:rsidRPr="00012502">
        <w:rPr>
          <w:rFonts w:ascii="Narkisim" w:hAnsi="Narkisim"/>
          <w:u w:val="single"/>
          <w:rtl/>
        </w:rPr>
        <w:t xml:space="preserve"> וכו'</w:t>
      </w:r>
      <w:r w:rsidRPr="00012502">
        <w:rPr>
          <w:rFonts w:ascii="Narkisim" w:hAnsi="Narkisim"/>
          <w:rtl/>
        </w:rPr>
        <w:t>. פ</w:t>
      </w:r>
      <w:r w:rsidRPr="00012502">
        <w:rPr>
          <w:rFonts w:ascii="Narkisim" w:hAnsi="Narkisim"/>
          <w:b/>
          <w:bCs/>
          <w:rtl/>
        </w:rPr>
        <w:t>רש"י</w:t>
      </w:r>
      <w:r w:rsidRPr="00012502">
        <w:rPr>
          <w:rFonts w:ascii="Narkisim" w:hAnsi="Narkisim"/>
          <w:rtl/>
        </w:rPr>
        <w:t xml:space="preserve"> כשקורין כפרים מגילה ביום הכניסה, ועיירות גדולות בי"ד ומוקפין חומה בט"ו. ומשמע דקו' הגמ' מכולהו. אבל </w:t>
      </w:r>
      <w:r w:rsidRPr="00012502">
        <w:rPr>
          <w:rFonts w:ascii="Narkisim" w:hAnsi="Narkisim"/>
          <w:b/>
          <w:bCs/>
          <w:rtl/>
        </w:rPr>
        <w:t>רש"י</w:t>
      </w:r>
      <w:r w:rsidRPr="00012502">
        <w:rPr>
          <w:rFonts w:ascii="Narkisim" w:hAnsi="Narkisim"/>
          <w:rtl/>
        </w:rPr>
        <w:t xml:space="preserve"> (ד"ה אמינא) הביא דהקו' משום בני י"ד ובני ט"ו (ע' בסמוך).</w:t>
      </w:r>
    </w:p>
    <w:p w14:paraId="4C98E36E" w14:textId="77777777" w:rsidR="00BE1D1C" w:rsidRPr="00012502" w:rsidRDefault="00000000" w:rsidP="00012502">
      <w:pPr>
        <w:bidi/>
        <w:rPr>
          <w:rFonts w:ascii="Narkisim" w:hAnsi="Narkisim" w:cs="Narkisim"/>
        </w:rPr>
      </w:pPr>
      <w:r w:rsidRPr="00012502">
        <w:rPr>
          <w:rFonts w:ascii="Narkisim" w:hAnsi="Narkisim" w:cs="Narkisim"/>
          <w:u w:val="single"/>
          <w:rtl/>
        </w:rPr>
        <w:t>לא תתגודדו, לא תעשו אגודות אגודות וכו'</w:t>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דנראה כנוהגין ב' תורות. מבואר דאיסור לא תתגודדו משום נראה כנוהגין ב' תורות.</w:t>
      </w:r>
      <w:r w:rsidRPr="00012502">
        <w:rPr>
          <w:rFonts w:ascii="Narkisim" w:hAnsi="Narkisim" w:cs="Narkisim"/>
          <w:sz w:val="20"/>
          <w:szCs w:val="20"/>
          <w:rtl/>
        </w:rPr>
        <w:t xml:space="preserve"> (ע' לקמן). </w:t>
      </w:r>
      <w:r w:rsidRPr="00012502">
        <w:rPr>
          <w:rFonts w:ascii="Narkisim" w:hAnsi="Narkisim" w:cs="Narkisim"/>
          <w:rtl/>
        </w:rPr>
        <w:t>אבל ה</w:t>
      </w:r>
      <w:r w:rsidRPr="00012502">
        <w:rPr>
          <w:rFonts w:ascii="Narkisim" w:hAnsi="Narkisim" w:cs="Narkisim"/>
          <w:b/>
          <w:bCs/>
          <w:rtl/>
        </w:rPr>
        <w:t>רמב"ם</w:t>
      </w:r>
      <w:r w:rsidRPr="00012502">
        <w:rPr>
          <w:rFonts w:ascii="Narkisim" w:hAnsi="Narkisim" w:cs="Narkisim"/>
          <w:rtl/>
        </w:rPr>
        <w:t xml:space="preserve"> </w:t>
      </w:r>
      <w:r w:rsidRPr="00012502">
        <w:rPr>
          <w:rFonts w:ascii="Narkisim" w:hAnsi="Narkisim" w:cs="Narkisim"/>
          <w:sz w:val="20"/>
          <w:szCs w:val="20"/>
          <w:rtl/>
        </w:rPr>
        <w:t xml:space="preserve">(ע"ז יב יד) </w:t>
      </w:r>
      <w:r w:rsidRPr="00012502">
        <w:rPr>
          <w:rFonts w:ascii="Narkisim" w:hAnsi="Narkisim" w:cs="Narkisim"/>
          <w:rtl/>
        </w:rPr>
        <w:t>כת' דהטעם שכשנוהגין מנהגים שונים, דבר זה גורם למחלוקת גדולה.</w:t>
      </w:r>
    </w:p>
    <w:p w14:paraId="2059D472"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קר"א</w:t>
      </w:r>
      <w:r w:rsidRPr="00012502">
        <w:rPr>
          <w:rFonts w:ascii="Narkisim" w:hAnsi="Narkisim"/>
          <w:rtl/>
        </w:rPr>
        <w:t xml:space="preserve"> הק' דלטעם זה אינו מובן מה הקשה ר"ל ממגילה</w:t>
      </w:r>
      <w:r w:rsidRPr="00012502">
        <w:rPr>
          <w:rFonts w:ascii="Narkisim" w:hAnsi="Narkisim"/>
          <w:sz w:val="20"/>
          <w:szCs w:val="20"/>
          <w:rtl/>
        </w:rPr>
        <w:t xml:space="preserve"> [וע' בראשונים בסמוך]</w:t>
      </w:r>
      <w:r w:rsidRPr="00012502">
        <w:rPr>
          <w:rFonts w:ascii="Narkisim" w:hAnsi="Narkisim"/>
          <w:rtl/>
        </w:rPr>
        <w:t>. וה</w:t>
      </w:r>
      <w:r w:rsidRPr="00012502">
        <w:rPr>
          <w:rFonts w:ascii="Narkisim" w:hAnsi="Narkisim"/>
          <w:b/>
          <w:bCs/>
          <w:rtl/>
        </w:rPr>
        <w:t xml:space="preserve">קר"א </w:t>
      </w:r>
      <w:r w:rsidRPr="00012502">
        <w:rPr>
          <w:rFonts w:ascii="Narkisim" w:hAnsi="Narkisim"/>
          <w:rtl/>
        </w:rPr>
        <w:t xml:space="preserve">כתב דלרמב"ם נח' ר' יוחנן ור"ל בטעם האיסור, ור' יוחנן ס"ל דהטעם משום שמרבה מחלוקת. ולכן ר' יוחנן השיב ממנהג מגילה, וא"כ אין לחלק בין מנהג להלכה. </w:t>
      </w:r>
      <w:r w:rsidRPr="00012502">
        <w:rPr>
          <w:rFonts w:ascii="Narkisim" w:hAnsi="Narkisim"/>
          <w:sz w:val="20"/>
          <w:szCs w:val="20"/>
          <w:rtl/>
        </w:rPr>
        <w:t>[וכעי"ז כתב בשו"ת משיב דבר, הו' לקמן].</w:t>
      </w:r>
    </w:p>
    <w:p w14:paraId="3137D8F4"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קר"א</w:t>
      </w:r>
      <w:r w:rsidRPr="00012502">
        <w:rPr>
          <w:rFonts w:ascii="Narkisim" w:hAnsi="Narkisim"/>
          <w:rtl/>
        </w:rPr>
        <w:t xml:space="preserve"> כת' דדוקא הכא הוה לא תתגודדו, דהוה מח' רבים ורבים, אבל מח' יחידים אינו ידוע כ"כ ואין איסור בדבר.</w:t>
      </w:r>
    </w:p>
    <w:p w14:paraId="468AE3AE" w14:textId="77777777" w:rsidR="00BE1D1C" w:rsidRPr="00012502" w:rsidRDefault="00000000" w:rsidP="00012502">
      <w:pPr>
        <w:pStyle w:val="aa"/>
        <w:bidi/>
        <w:rPr>
          <w:rFonts w:ascii="Narkisim" w:hAnsi="Narkisim"/>
        </w:rPr>
      </w:pPr>
      <w:r w:rsidRPr="00012502">
        <w:rPr>
          <w:rFonts w:ascii="Narkisim" w:hAnsi="Narkisim"/>
          <w:u w:val="single"/>
          <w:rtl/>
        </w:rPr>
        <w:t>האי לא תתגודדו מבעי וכו'.</w:t>
      </w:r>
      <w:r w:rsidRPr="00012502">
        <w:rPr>
          <w:rFonts w:ascii="Narkisim" w:hAnsi="Narkisim"/>
          <w:rtl/>
        </w:rPr>
        <w:t xml:space="preserve"> ה</w:t>
      </w:r>
      <w:r w:rsidRPr="00012502">
        <w:rPr>
          <w:rFonts w:ascii="Narkisim" w:hAnsi="Narkisim"/>
          <w:b/>
          <w:bCs/>
          <w:rtl/>
        </w:rPr>
        <w:t>ריטב"א</w:t>
      </w:r>
      <w:r w:rsidRPr="00012502">
        <w:rPr>
          <w:rFonts w:ascii="Narkisim" w:hAnsi="Narkisim"/>
          <w:rtl/>
        </w:rPr>
        <w:t xml:space="preserve"> כתב לאו למימרא דר' יוחנן לא דרש, דהלכה מרווחת היא, אלא לברורי מילתא.</w:t>
      </w:r>
    </w:p>
    <w:p w14:paraId="594D5849" w14:textId="77777777" w:rsidR="00BE1D1C" w:rsidRPr="00012502" w:rsidRDefault="00000000" w:rsidP="00012502">
      <w:pPr>
        <w:pStyle w:val="a7"/>
        <w:bidi/>
        <w:rPr>
          <w:rFonts w:ascii="Narkisim" w:hAnsi="Narkisim"/>
        </w:rPr>
      </w:pPr>
      <w:r w:rsidRPr="00012502">
        <w:rPr>
          <w:rFonts w:ascii="Narkisim" w:hAnsi="Narkisim"/>
          <w:rtl/>
        </w:rPr>
        <w:t>ה</w:t>
      </w:r>
      <w:r w:rsidRPr="00012502">
        <w:rPr>
          <w:rFonts w:ascii="Narkisim" w:hAnsi="Narkisim"/>
          <w:b/>
          <w:bCs/>
          <w:rtl/>
        </w:rPr>
        <w:t>רמב"ם</w:t>
      </w:r>
      <w:r w:rsidRPr="00012502">
        <w:rPr>
          <w:rFonts w:ascii="Narkisim" w:hAnsi="Narkisim"/>
          <w:rtl/>
        </w:rPr>
        <w:t xml:space="preserve"> (סה"מ ל"ת מה) כת' דגופיה דקרא שלא לעשות חבורות. ובכלל הלאו, כמו דרש, אזהרה מחילוק בתי דינים בעיר במנהגיהם. וה</w:t>
      </w:r>
      <w:r w:rsidRPr="00012502">
        <w:rPr>
          <w:rFonts w:ascii="Narkisim" w:hAnsi="Narkisim"/>
          <w:b/>
          <w:bCs/>
          <w:rtl/>
        </w:rPr>
        <w:t>פר"ח</w:t>
      </w:r>
      <w:r w:rsidRPr="00012502">
        <w:rPr>
          <w:rFonts w:ascii="Narkisim" w:hAnsi="Narkisim"/>
          <w:sz w:val="20"/>
          <w:szCs w:val="20"/>
          <w:rtl/>
        </w:rPr>
        <w:t xml:space="preserve"> (הו' בס' הליקוטים הל' ע"ז שם) </w:t>
      </w:r>
      <w:r w:rsidRPr="00012502">
        <w:rPr>
          <w:rFonts w:ascii="Narkisim" w:hAnsi="Narkisim"/>
          <w:rtl/>
        </w:rPr>
        <w:t>דייק דהוה אסמכתא, וכ"ד ה</w:t>
      </w:r>
      <w:r w:rsidRPr="00012502">
        <w:rPr>
          <w:rFonts w:ascii="Narkisim" w:hAnsi="Narkisim"/>
          <w:b/>
          <w:bCs/>
          <w:rtl/>
        </w:rPr>
        <w:t>רא"ם</w:t>
      </w:r>
      <w:r w:rsidRPr="00012502">
        <w:rPr>
          <w:rStyle w:val="ac"/>
          <w:rFonts w:ascii="Narkisim" w:hAnsi="Narkisim"/>
          <w:rtl/>
        </w:rPr>
        <w:footnoteReference w:id="813"/>
      </w:r>
      <w:r w:rsidRPr="00012502">
        <w:rPr>
          <w:rFonts w:ascii="Narkisim" w:hAnsi="Narkisim"/>
          <w:rtl/>
        </w:rPr>
        <w:t>.</w:t>
      </w:r>
    </w:p>
    <w:p w14:paraId="0740CCB4" w14:textId="77777777" w:rsidR="00BE1D1C" w:rsidRPr="00012502" w:rsidRDefault="00000000" w:rsidP="00012502">
      <w:pPr>
        <w:pStyle w:val="aa"/>
        <w:bidi/>
        <w:rPr>
          <w:rFonts w:ascii="Narkisim" w:hAnsi="Narkisim"/>
        </w:rPr>
      </w:pPr>
      <w:r w:rsidRPr="00012502">
        <w:rPr>
          <w:rFonts w:ascii="Narkisim" w:hAnsi="Narkisim"/>
          <w:u w:val="single"/>
          <w:rtl/>
        </w:rPr>
        <w:t>אימא כוליה להכי הוא דאתא.</w:t>
      </w:r>
      <w:r w:rsidRPr="00012502">
        <w:rPr>
          <w:rFonts w:ascii="Narkisim" w:hAnsi="Narkisim"/>
          <w:rtl/>
        </w:rPr>
        <w:t xml:space="preserve"> פ</w:t>
      </w:r>
      <w:r w:rsidRPr="00012502">
        <w:rPr>
          <w:rFonts w:ascii="Narkisim" w:hAnsi="Narkisim"/>
          <w:b/>
          <w:bCs/>
          <w:rtl/>
        </w:rPr>
        <w:t>רש"י</w:t>
      </w:r>
      <w:r w:rsidRPr="00012502">
        <w:rPr>
          <w:rFonts w:ascii="Narkisim" w:hAnsi="Narkisim"/>
          <w:rtl/>
        </w:rPr>
        <w:t xml:space="preserve"> שלא לעשות אגודות. ה</w:t>
      </w:r>
      <w:r w:rsidRPr="00012502">
        <w:rPr>
          <w:rFonts w:ascii="Narkisim" w:hAnsi="Narkisim"/>
          <w:b/>
          <w:bCs/>
          <w:rtl/>
        </w:rPr>
        <w:t xml:space="preserve">רשב"א </w:t>
      </w:r>
      <w:r w:rsidRPr="00012502">
        <w:rPr>
          <w:rFonts w:ascii="Narkisim" w:hAnsi="Narkisim"/>
          <w:rtl/>
        </w:rPr>
        <w:t>חלק דאין נראה לעקור קרא לפשטיה, אלא הביא מה</w:t>
      </w:r>
      <w:r w:rsidRPr="00012502">
        <w:rPr>
          <w:rFonts w:ascii="Narkisim" w:hAnsi="Narkisim"/>
          <w:b/>
          <w:bCs/>
          <w:rtl/>
        </w:rPr>
        <w:t>גאונים</w:t>
      </w:r>
      <w:r w:rsidRPr="00012502">
        <w:rPr>
          <w:rFonts w:ascii="Narkisim" w:hAnsi="Narkisim"/>
          <w:rtl/>
        </w:rPr>
        <w:t xml:space="preserve"> דקושיית הגמ' דהוה מדברי ר' יוחנן, דכולה אתא לאסרוה גדידה על המת. ותי' ר"ל דלימא לא תגודו, מלשון גודו אילנא. [וע' ריטב"א].</w:t>
      </w:r>
    </w:p>
    <w:p w14:paraId="5BF9C33F"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א"ל ר' יוחנן עד כאן לא שנית וכו'.</w:t>
      </w:r>
      <w:r w:rsidRPr="00012502">
        <w:rPr>
          <w:rFonts w:ascii="Narkisim" w:hAnsi="Narkisim" w:cs="Narkisim"/>
          <w:rtl/>
        </w:rPr>
        <w:t xml:space="preserve"> ה</w:t>
      </w:r>
      <w:r w:rsidRPr="00012502">
        <w:rPr>
          <w:rFonts w:ascii="Narkisim" w:hAnsi="Narkisim" w:cs="Narkisim"/>
          <w:b/>
          <w:bCs/>
          <w:rtl/>
        </w:rPr>
        <w:t>ריטב"א</w:t>
      </w:r>
      <w:r w:rsidRPr="00012502">
        <w:rPr>
          <w:rFonts w:ascii="Narkisim" w:hAnsi="Narkisim" w:cs="Narkisim"/>
          <w:rtl/>
        </w:rPr>
        <w:t xml:space="preserve"> כתב דר' יוחנן השיב ר"ל ע"פ שיטתו, אבל ר' יוחנן לא פירש לנו אמאי לא קשיא. אלא דמתרץ כמו שתי' אביי ורבא (יד.). אבל מדברי הרשב"א משמע דר' יוחנן לא דרש לא תתגודדו כלל.</w:t>
      </w:r>
    </w:p>
    <w:p w14:paraId="17C42806" w14:textId="77777777" w:rsidR="00BE1D1C" w:rsidRPr="00012502" w:rsidRDefault="00000000" w:rsidP="00012502">
      <w:pPr>
        <w:pStyle w:val="aa"/>
        <w:bidi/>
        <w:rPr>
          <w:rFonts w:ascii="Narkisim" w:hAnsi="Narkisim"/>
        </w:rPr>
      </w:pPr>
      <w:r w:rsidRPr="00012502">
        <w:rPr>
          <w:rFonts w:ascii="Narkisim" w:hAnsi="Narkisim"/>
          <w:u w:val="single"/>
          <w:rtl/>
        </w:rPr>
        <w:t>אמרת לי מנהגא</w:t>
      </w:r>
      <w:r w:rsidRPr="00012502">
        <w:rPr>
          <w:rStyle w:val="ac"/>
          <w:rFonts w:ascii="Narkisim" w:hAnsi="Narkisim"/>
          <w:rtl/>
        </w:rPr>
        <w:footnoteReference w:id="814"/>
      </w:r>
      <w:r w:rsidRPr="00012502">
        <w:rPr>
          <w:rFonts w:ascii="Narkisim" w:hAnsi="Narkisim"/>
          <w:rtl/>
        </w:rPr>
        <w:t>. ה</w:t>
      </w:r>
      <w:r w:rsidRPr="00012502">
        <w:rPr>
          <w:rFonts w:ascii="Narkisim" w:hAnsi="Narkisim"/>
          <w:b/>
          <w:bCs/>
          <w:rtl/>
        </w:rPr>
        <w:t>ריטב"א</w:t>
      </w:r>
      <w:r w:rsidRPr="00012502">
        <w:rPr>
          <w:rFonts w:ascii="Narkisim" w:hAnsi="Narkisim"/>
          <w:rtl/>
        </w:rPr>
        <w:t xml:space="preserve"> הביא בשם </w:t>
      </w:r>
      <w:r w:rsidRPr="00012502">
        <w:rPr>
          <w:rFonts w:ascii="Narkisim" w:hAnsi="Narkisim"/>
          <w:b/>
          <w:bCs/>
          <w:rtl/>
        </w:rPr>
        <w:t xml:space="preserve">רש"י </w:t>
      </w:r>
      <w:r w:rsidRPr="00012502">
        <w:rPr>
          <w:rFonts w:ascii="Narkisim" w:hAnsi="Narkisim"/>
          <w:rtl/>
        </w:rPr>
        <w:t>[ליתא לפנינו] אף דעכשיו אסור מדינא [מגדרי מנהגים ואל תטוש תורת אמך], מ"מ תחילתו מנהג אלא שקיימו חכמים דבריהם, ואי רצו כל העיר להתיר לא היו חכמים מקפידים בכך.</w:t>
      </w:r>
    </w:p>
    <w:p w14:paraId="5B402361" w14:textId="77777777" w:rsidR="00BE1D1C" w:rsidRPr="00012502" w:rsidRDefault="00000000" w:rsidP="00012502">
      <w:pPr>
        <w:pStyle w:val="a7"/>
        <w:bidi/>
        <w:rPr>
          <w:rFonts w:ascii="Narkisim" w:hAnsi="Narkisim"/>
        </w:rPr>
      </w:pPr>
      <w:r w:rsidRPr="00012502">
        <w:rPr>
          <w:rFonts w:ascii="Narkisim" w:hAnsi="Narkisim"/>
          <w:rtl/>
        </w:rPr>
        <w:t>ה</w:t>
      </w:r>
      <w:r w:rsidRPr="00012502">
        <w:rPr>
          <w:rFonts w:ascii="Narkisim" w:hAnsi="Narkisim"/>
          <w:b/>
          <w:bCs/>
          <w:rtl/>
        </w:rPr>
        <w:t>רמ"א</w:t>
      </w:r>
      <w:r w:rsidRPr="00012502">
        <w:rPr>
          <w:rFonts w:ascii="Narkisim" w:hAnsi="Narkisim"/>
          <w:rtl/>
        </w:rPr>
        <w:t xml:space="preserve"> (או"ח תצג ג) כתב גבי מנהגי ספירת העומר, דבעיר א' לא ינהגו מקצתם מנהג א' </w:t>
      </w:r>
      <w:r w:rsidRPr="00012502">
        <w:rPr>
          <w:rFonts w:ascii="Narkisim" w:hAnsi="Narkisim"/>
          <w:sz w:val="20"/>
          <w:szCs w:val="20"/>
          <w:rtl/>
        </w:rPr>
        <w:t xml:space="preserve">[להסתפר עד ר"ח אייר] </w:t>
      </w:r>
      <w:r w:rsidRPr="00012502">
        <w:rPr>
          <w:rFonts w:ascii="Narkisim" w:hAnsi="Narkisim"/>
          <w:rtl/>
        </w:rPr>
        <w:t>ומקצתם מנהג אחר משום לא תתגודדו. וה</w:t>
      </w:r>
      <w:r w:rsidRPr="00012502">
        <w:rPr>
          <w:rFonts w:ascii="Narkisim" w:hAnsi="Narkisim"/>
          <w:b/>
          <w:bCs/>
          <w:rtl/>
        </w:rPr>
        <w:t>מג"א</w:t>
      </w:r>
      <w:r w:rsidRPr="00012502">
        <w:rPr>
          <w:rFonts w:ascii="Narkisim" w:hAnsi="Narkisim"/>
          <w:rtl/>
        </w:rPr>
        <w:t xml:space="preserve"> (שם ו) הקשה דמבואר בסוגיין דבמנהג אין איסור לא תתגודדו. ועוה"ק דבדבר דיש לתלות שאינו מתכוון לאיסור ל"ש לא תתגודדו [וכדאיתא לקמן טו. הרואה אומר וכו']. וכתב די"ל דבמסקנא נוהג בכל אופן</w:t>
      </w:r>
      <w:r w:rsidRPr="00012502">
        <w:rPr>
          <w:rStyle w:val="ac"/>
          <w:rFonts w:ascii="Narkisim" w:hAnsi="Narkisim"/>
          <w:rtl/>
        </w:rPr>
        <w:footnoteReference w:id="815"/>
      </w:r>
      <w:r w:rsidRPr="00012502">
        <w:rPr>
          <w:rFonts w:ascii="Narkisim" w:hAnsi="Narkisim"/>
          <w:rtl/>
        </w:rPr>
        <w:t xml:space="preserve"> [בבי"ד א' בעיר א']</w:t>
      </w:r>
      <w:r w:rsidRPr="00012502">
        <w:rPr>
          <w:rStyle w:val="ac"/>
          <w:rFonts w:ascii="Narkisim" w:hAnsi="Narkisim"/>
          <w:rtl/>
        </w:rPr>
        <w:footnoteReference w:id="816"/>
      </w:r>
      <w:r w:rsidRPr="00012502">
        <w:rPr>
          <w:rFonts w:ascii="Narkisim" w:hAnsi="Narkisim"/>
          <w:rtl/>
        </w:rPr>
        <w:t>.</w:t>
      </w:r>
    </w:p>
    <w:p w14:paraId="469A18BB"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קר"א</w:t>
      </w:r>
      <w:r w:rsidRPr="00012502">
        <w:rPr>
          <w:rFonts w:ascii="Narkisim" w:hAnsi="Narkisim"/>
          <w:rtl/>
        </w:rPr>
        <w:t xml:space="preserve"> </w:t>
      </w:r>
      <w:r w:rsidRPr="00012502">
        <w:rPr>
          <w:rFonts w:ascii="Narkisim" w:hAnsi="Narkisim"/>
          <w:szCs w:val="20"/>
          <w:rtl/>
        </w:rPr>
        <w:t>(ושו"ת משיב דבר יז)</w:t>
      </w:r>
      <w:r w:rsidRPr="00012502">
        <w:rPr>
          <w:rFonts w:ascii="Narkisim" w:hAnsi="Narkisim"/>
          <w:rtl/>
        </w:rPr>
        <w:t xml:space="preserve"> תי' דלדעת הרמב"ם למסקנא גדר לא תתגודדו הוה משום מחלוקת, ומש"ה קאי אף במנהג.</w:t>
      </w:r>
    </w:p>
    <w:p w14:paraId="20B38544"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דנו בהא דאי' (פסחים נא.) דההולך למקום אחר, נותנים עליו חומרי מקום שהלך לשם. האם הוה משום לא תתגודדו, או דין אחר. ובפשוטו למסקנת סוגיין במנהגים ל"ש לא תתגודדו. אבל מדברי המג"א (הנ"ל) משמע דדימה לסוגיין</w:t>
      </w:r>
      <w:r w:rsidRPr="00012502">
        <w:rPr>
          <w:rStyle w:val="ac"/>
          <w:rFonts w:ascii="Narkisim" w:hAnsi="Narkisim"/>
          <w:rtl/>
        </w:rPr>
        <w:footnoteReference w:id="817"/>
      </w:r>
      <w:r w:rsidRPr="00012502">
        <w:rPr>
          <w:rFonts w:ascii="Narkisim" w:hAnsi="Narkisim"/>
          <w:rtl/>
        </w:rPr>
        <w:t>.</w:t>
      </w:r>
    </w:p>
    <w:p w14:paraId="220C588C" w14:textId="77777777" w:rsidR="00BE1D1C" w:rsidRPr="00012502" w:rsidRDefault="00000000" w:rsidP="00012502">
      <w:pPr>
        <w:bidi/>
        <w:rPr>
          <w:rFonts w:ascii="Narkisim" w:hAnsi="Narkisim" w:cs="Narkisim"/>
        </w:rPr>
      </w:pPr>
      <w:r w:rsidRPr="00012502">
        <w:rPr>
          <w:rFonts w:ascii="Narkisim" w:hAnsi="Narkisim" w:cs="Narkisim"/>
          <w:u w:val="single"/>
          <w:rtl/>
        </w:rPr>
        <w:t>רש"י ד"ה אמינא.</w:t>
      </w:r>
      <w:r w:rsidRPr="00012502">
        <w:rPr>
          <w:rFonts w:ascii="Narkisim" w:hAnsi="Narkisim" w:cs="Narkisim"/>
          <w:rtl/>
        </w:rPr>
        <w:t xml:space="preserve"> לבני י"ד לקרוא בט"ו, ובני ט"ו בי"ד. ה</w:t>
      </w:r>
      <w:r w:rsidRPr="00012502">
        <w:rPr>
          <w:rFonts w:ascii="Narkisim" w:hAnsi="Narkisim" w:cs="Narkisim"/>
          <w:b/>
          <w:bCs/>
          <w:rtl/>
        </w:rPr>
        <w:t>רשב"א</w:t>
      </w:r>
      <w:r w:rsidRPr="00012502">
        <w:rPr>
          <w:rFonts w:ascii="Narkisim" w:hAnsi="Narkisim" w:cs="Narkisim"/>
          <w:rtl/>
        </w:rPr>
        <w:t xml:space="preserve"> ו</w:t>
      </w:r>
      <w:r w:rsidRPr="00012502">
        <w:rPr>
          <w:rFonts w:ascii="Narkisim" w:hAnsi="Narkisim" w:cs="Narkisim"/>
          <w:b/>
          <w:bCs/>
          <w:rtl/>
        </w:rPr>
        <w:t>ריטב"א</w:t>
      </w:r>
      <w:r w:rsidRPr="00012502">
        <w:rPr>
          <w:rFonts w:ascii="Narkisim" w:hAnsi="Narkisim" w:cs="Narkisim"/>
          <w:rtl/>
        </w:rPr>
        <w:t xml:space="preserve"> דייקו מרש"י דנידון הגמ' השתא גבי עיירות וכרכים [מוקפין], אבל דין בני כפרים אינה איסורא, שאינה תקנה קבועה. אבל בתחילת הסוגיא פרש"י דקאי אף אבני כפרים. וה</w:t>
      </w:r>
      <w:r w:rsidRPr="00012502">
        <w:rPr>
          <w:rFonts w:ascii="Narkisim" w:hAnsi="Narkisim" w:cs="Narkisim"/>
          <w:b/>
          <w:bCs/>
          <w:rtl/>
        </w:rPr>
        <w:t xml:space="preserve">ריטב"א </w:t>
      </w:r>
      <w:r w:rsidRPr="00012502">
        <w:rPr>
          <w:rFonts w:ascii="Narkisim" w:hAnsi="Narkisim" w:cs="Narkisim"/>
          <w:rtl/>
        </w:rPr>
        <w:t xml:space="preserve">חלק דאף מתחילת הסוגיא קאי רק לגבי י"ד וט"ו. </w:t>
      </w:r>
      <w:r w:rsidRPr="00012502">
        <w:rPr>
          <w:rFonts w:ascii="Narkisim" w:hAnsi="Narkisim" w:cs="Narkisim"/>
          <w:sz w:val="20"/>
          <w:szCs w:val="20"/>
          <w:rtl/>
        </w:rPr>
        <w:t xml:space="preserve">[וע' </w:t>
      </w:r>
      <w:r w:rsidRPr="00012502">
        <w:rPr>
          <w:rFonts w:ascii="Narkisim" w:hAnsi="Narkisim" w:cs="Narkisim"/>
          <w:b/>
          <w:bCs/>
          <w:sz w:val="20"/>
          <w:szCs w:val="20"/>
          <w:rtl/>
        </w:rPr>
        <w:t>תוס</w:t>
      </w:r>
      <w:r w:rsidRPr="00012502">
        <w:rPr>
          <w:rFonts w:ascii="Narkisim" w:hAnsi="Narkisim" w:cs="Narkisim"/>
          <w:sz w:val="20"/>
          <w:szCs w:val="20"/>
          <w:rtl/>
        </w:rPr>
        <w:t>' יד. ד"ה כי].</w:t>
      </w:r>
    </w:p>
    <w:p w14:paraId="4EADBA57" w14:textId="77777777" w:rsidR="00BE1D1C" w:rsidRPr="00012502" w:rsidRDefault="00000000" w:rsidP="00012502">
      <w:pPr>
        <w:pStyle w:val="3"/>
        <w:bidi/>
        <w:rPr>
          <w:rFonts w:ascii="Narkisim" w:hAnsi="Narkisim"/>
        </w:rPr>
      </w:pPr>
      <w:r w:rsidRPr="00012502">
        <w:rPr>
          <w:rFonts w:ascii="Narkisim" w:hAnsi="Narkisim"/>
          <w:rtl/>
        </w:rPr>
        <w:t>דף יד.</w:t>
      </w:r>
    </w:p>
    <w:p w14:paraId="79D28061" w14:textId="77777777" w:rsidR="00BE1D1C" w:rsidRPr="00012502" w:rsidRDefault="00000000" w:rsidP="00012502">
      <w:pPr>
        <w:bidi/>
        <w:rPr>
          <w:rFonts w:ascii="Narkisim" w:hAnsi="Narkisim" w:cs="Narkisim"/>
        </w:rPr>
      </w:pPr>
      <w:r w:rsidRPr="00012502">
        <w:rPr>
          <w:rFonts w:ascii="Narkisim" w:hAnsi="Narkisim" w:cs="Narkisim"/>
          <w:u w:val="single"/>
          <w:rtl/>
        </w:rPr>
        <w:t>מי סברת עשו ב"ש כדבריהם, לא עשו.</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 xml:space="preserve">טו. ד"ה וסיכך) </w:t>
      </w:r>
      <w:r w:rsidRPr="00012502">
        <w:rPr>
          <w:rFonts w:ascii="Narkisim" w:hAnsi="Narkisim" w:cs="Narkisim"/>
          <w:rtl/>
        </w:rPr>
        <w:t>כת' דלמ"ד לא עשו כדבריהם, אף לקולא הקילו כדברי בית הלל. ומבואר דאיסור לא תתגודדו דוחה איסורים</w:t>
      </w:r>
      <w:r w:rsidRPr="00012502">
        <w:rPr>
          <w:rStyle w:val="ac"/>
          <w:rFonts w:ascii="Narkisim" w:hAnsi="Narkisim" w:cs="Narkisim"/>
          <w:rtl/>
        </w:rPr>
        <w:footnoteReference w:id="818"/>
      </w:r>
      <w:r w:rsidRPr="00012502">
        <w:rPr>
          <w:rFonts w:ascii="Narkisim" w:hAnsi="Narkisim" w:cs="Narkisim"/>
          <w:rtl/>
        </w:rPr>
        <w:t>.</w:t>
      </w:r>
    </w:p>
    <w:p w14:paraId="1B941535"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ריטב"א</w:t>
      </w:r>
      <w:r w:rsidRPr="00012502">
        <w:rPr>
          <w:rFonts w:ascii="Narkisim" w:hAnsi="Narkisim"/>
          <w:rtl/>
        </w:rPr>
        <w:t xml:space="preserve"> כת' דודאי אי אפשר לנהוג היתר במה שאסור לדעתם, ולהקל באיסור דאורייתא. אלא כוונת הגמ' דהיה להם לומר שהצרות יחלצו [להחמיר]. ועוד תי' דהשתא קאי אחר בת קול, וס"ל משגחינן בבת קול. ומש"ה אף תלמידי בי"ש אין להם לעשות כדברי עצמן אפי' להחמיר</w:t>
      </w:r>
      <w:r w:rsidRPr="00012502">
        <w:rPr>
          <w:rStyle w:val="ac"/>
          <w:rFonts w:ascii="Narkisim" w:hAnsi="Narkisim"/>
          <w:rtl/>
        </w:rPr>
        <w:footnoteReference w:id="819"/>
      </w:r>
      <w:r w:rsidRPr="00012502">
        <w:rPr>
          <w:rFonts w:ascii="Narkisim" w:hAnsi="Narkisim"/>
          <w:rtl/>
        </w:rPr>
        <w:t>.</w:t>
      </w:r>
    </w:p>
    <w:p w14:paraId="1AFE516C"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הק' דמ"מ אם בי"ה פטרו מחליצה עדיין יש אגודות, דלבי"ש צריכה חליצה. וכת' דהשתא ס"ד דאף בי"ה הצריכו חליצה. </w:t>
      </w:r>
      <w:r w:rsidRPr="00012502">
        <w:rPr>
          <w:rFonts w:ascii="Narkisim" w:hAnsi="Narkisim"/>
          <w:sz w:val="20"/>
          <w:szCs w:val="20"/>
          <w:rtl/>
        </w:rPr>
        <w:t>[הכא והכא להחמיר, ולא תליא ברוב וכו'. ולפ"ז לא תתגודדו מהני בלא סברת רוב].</w:t>
      </w:r>
    </w:p>
    <w:p w14:paraId="2986546F" w14:textId="77777777" w:rsidR="00BE1D1C" w:rsidRPr="00012502" w:rsidRDefault="00000000" w:rsidP="00012502">
      <w:pPr>
        <w:bidi/>
        <w:rPr>
          <w:rFonts w:ascii="Narkisim" w:hAnsi="Narkisim" w:cs="Narkisim"/>
        </w:rPr>
      </w:pPr>
      <w:r w:rsidRPr="00012502">
        <w:rPr>
          <w:rFonts w:ascii="Narkisim" w:hAnsi="Narkisim" w:cs="Narkisim"/>
          <w:u w:val="single"/>
          <w:rtl/>
        </w:rPr>
        <w:t>עשו ועשו.</w:t>
      </w:r>
      <w:r w:rsidRPr="00012502">
        <w:rPr>
          <w:rFonts w:ascii="Narkisim" w:hAnsi="Narkisim" w:cs="Narkisim"/>
          <w:rtl/>
        </w:rPr>
        <w:t xml:space="preserve"> ה</w:t>
      </w:r>
      <w:r w:rsidRPr="00012502">
        <w:rPr>
          <w:rFonts w:ascii="Narkisim" w:hAnsi="Narkisim" w:cs="Narkisim"/>
          <w:b/>
          <w:bCs/>
          <w:rtl/>
        </w:rPr>
        <w:t>רשב"א</w:t>
      </w:r>
      <w:r w:rsidRPr="00012502">
        <w:rPr>
          <w:rFonts w:ascii="Narkisim" w:hAnsi="Narkisim" w:cs="Narkisim"/>
          <w:rtl/>
        </w:rPr>
        <w:t xml:space="preserve"> ו</w:t>
      </w:r>
      <w:r w:rsidRPr="00012502">
        <w:rPr>
          <w:rFonts w:ascii="Narkisim" w:hAnsi="Narkisim" w:cs="Narkisim"/>
          <w:b/>
          <w:bCs/>
          <w:rtl/>
        </w:rPr>
        <w:t>ריטב"א</w:t>
      </w:r>
      <w:r w:rsidRPr="00012502">
        <w:rPr>
          <w:rFonts w:ascii="Narkisim" w:hAnsi="Narkisim" w:cs="Narkisim"/>
          <w:rtl/>
        </w:rPr>
        <w:t xml:space="preserve"> פי' דעשו הם, ועשו אחרים בהוראתם. וה</w:t>
      </w:r>
      <w:r w:rsidRPr="00012502">
        <w:rPr>
          <w:rFonts w:ascii="Narkisim" w:hAnsi="Narkisim" w:cs="Narkisim"/>
          <w:b/>
          <w:bCs/>
          <w:rtl/>
        </w:rPr>
        <w:t>ריטב"א</w:t>
      </w:r>
      <w:r w:rsidRPr="00012502">
        <w:rPr>
          <w:rFonts w:ascii="Narkisim" w:hAnsi="Narkisim" w:cs="Narkisim"/>
          <w:rtl/>
        </w:rPr>
        <w:t xml:space="preserve"> פי' דמותר </w:t>
      </w:r>
      <w:r w:rsidRPr="00012502">
        <w:rPr>
          <w:rFonts w:ascii="Narkisim" w:hAnsi="Narkisim" w:cs="Narkisim"/>
          <w:rtl/>
        </w:rPr>
        <w:lastRenderedPageBreak/>
        <w:t>לשואל לעשות כדבריהם באותו חתיכה ששאל עליו [אף שהשואל אינו מתלמידי בי"ש, בחתיכה ששאל מבי"ש יעשה כמותם].</w:t>
      </w:r>
    </w:p>
    <w:p w14:paraId="2161E2A5"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(ע"ז ז.) כתב דהא דאי' (שם) דבמקום דיש מח' בדאורייתא אזלי' לחומרא, היינו לגבי אחרים שאינם יודעים. אבל כיון דשקולים הם וכל א' עומד בשמועתו, נוהג לעצמו כדבריו ואפי' לקולא</w:t>
      </w:r>
      <w:r w:rsidRPr="00012502">
        <w:rPr>
          <w:rStyle w:val="ac"/>
          <w:rFonts w:ascii="Narkisim" w:hAnsi="Narkisim"/>
          <w:rtl/>
        </w:rPr>
        <w:footnoteReference w:id="820"/>
      </w:r>
      <w:r w:rsidRPr="00012502">
        <w:rPr>
          <w:rFonts w:ascii="Narkisim" w:hAnsi="Narkisim"/>
          <w:rtl/>
        </w:rPr>
        <w:t>, וכדמוכח בסוגיין. וה</w:t>
      </w:r>
      <w:r w:rsidRPr="00012502">
        <w:rPr>
          <w:rFonts w:ascii="Narkisim" w:hAnsi="Narkisim"/>
          <w:b/>
          <w:bCs/>
          <w:rtl/>
        </w:rPr>
        <w:t>ריטב"א</w:t>
      </w:r>
      <w:r w:rsidRPr="00012502">
        <w:rPr>
          <w:rFonts w:ascii="Narkisim" w:hAnsi="Narkisim"/>
          <w:rtl/>
        </w:rPr>
        <w:t xml:space="preserve"> כת' דאף כלפי אחרים, באותה חתיכה עצמה שבה לפניהם, אין הוראת איסור חל באותו חתיכה. וכדאי' בסוגיין דעשו אחרים בהוראתם </w:t>
      </w:r>
      <w:r w:rsidRPr="00012502">
        <w:rPr>
          <w:rFonts w:ascii="Narkisim" w:hAnsi="Narkisim"/>
          <w:sz w:val="20"/>
          <w:szCs w:val="20"/>
          <w:rtl/>
        </w:rPr>
        <w:t>[והתירו צרת הבת לשואלים]</w:t>
      </w:r>
      <w:r w:rsidRPr="00012502">
        <w:rPr>
          <w:rFonts w:ascii="Narkisim" w:hAnsi="Narkisim"/>
          <w:rtl/>
        </w:rPr>
        <w:t>, דאילו לא היה לזה לעשות בהוראתם לא היו מתירים לו</w:t>
      </w:r>
      <w:r w:rsidRPr="00012502">
        <w:rPr>
          <w:rStyle w:val="ac"/>
          <w:rFonts w:ascii="Narkisim" w:hAnsi="Narkisim"/>
          <w:rtl/>
        </w:rPr>
        <w:footnoteReference w:id="821"/>
      </w:r>
      <w:r w:rsidRPr="00012502">
        <w:rPr>
          <w:rFonts w:ascii="Narkisim" w:hAnsi="Narkisim"/>
          <w:rtl/>
        </w:rPr>
        <w:t>. ובאותה חתיכה חל היתר</w:t>
      </w:r>
      <w:r w:rsidRPr="00012502">
        <w:rPr>
          <w:rFonts w:ascii="Narkisim" w:hAnsi="Narkisim"/>
          <w:sz w:val="21"/>
          <w:szCs w:val="21"/>
          <w:rtl/>
        </w:rPr>
        <w:t xml:space="preserve"> </w:t>
      </w:r>
      <w:r w:rsidRPr="00012502">
        <w:rPr>
          <w:rFonts w:ascii="Narkisim" w:hAnsi="Narkisim"/>
          <w:sz w:val="20"/>
          <w:szCs w:val="20"/>
          <w:rtl/>
        </w:rPr>
        <w:t>[מדין חכם שהורה, דאסור לאחרים להתירו וכדאי' בחולין מד:</w:t>
      </w:r>
      <w:r w:rsidRPr="00012502">
        <w:rPr>
          <w:rFonts w:ascii="Narkisim" w:hAnsi="Narkisim"/>
          <w:rtl/>
        </w:rPr>
        <w:t>], אבל על חתיכה אחרת דכוותיה אמרי' בשל תורה אחר המחמיר.</w:t>
      </w:r>
    </w:p>
    <w:p w14:paraId="43408FE2" w14:textId="77777777" w:rsidR="00BE1D1C" w:rsidRPr="00012502" w:rsidRDefault="00000000" w:rsidP="00012502">
      <w:pPr>
        <w:bidi/>
        <w:rPr>
          <w:rFonts w:ascii="Narkisim" w:hAnsi="Narkisim" w:cs="Narkisim"/>
        </w:rPr>
      </w:pPr>
      <w:r w:rsidRPr="00012502">
        <w:rPr>
          <w:rFonts w:ascii="Narkisim" w:hAnsi="Narkisim" w:cs="Narkisim"/>
          <w:u w:val="single"/>
          <w:rtl/>
        </w:rPr>
        <w:t>אילימא קודם בת קול מ"ט דמ"ד לא עשו וכו' איבע"א וכו' דבי"ה רובא וכו'.</w:t>
      </w:r>
      <w:r w:rsidRPr="00012502">
        <w:rPr>
          <w:rFonts w:ascii="Narkisim" w:hAnsi="Narkisim" w:cs="Narkisim"/>
          <w:rtl/>
        </w:rPr>
        <w:t xml:space="preserve"> ה</w:t>
      </w:r>
      <w:r w:rsidRPr="00012502">
        <w:rPr>
          <w:rFonts w:ascii="Narkisim" w:hAnsi="Narkisim" w:cs="Narkisim"/>
          <w:b/>
          <w:bCs/>
          <w:rtl/>
        </w:rPr>
        <w:t>רשב"א</w:t>
      </w:r>
      <w:r w:rsidRPr="00012502">
        <w:rPr>
          <w:rFonts w:ascii="Narkisim" w:hAnsi="Narkisim" w:cs="Narkisim"/>
          <w:rtl/>
        </w:rPr>
        <w:t xml:space="preserve"> הק' דנימא לא עשו כדבריהם משום לא תתגודדו, כדאי' בתחילת הגמ'. ותי' דה"ק אפי' את"ל דאין בזה איסור אגודות.</w:t>
      </w:r>
      <w:r w:rsidRPr="00012502">
        <w:rPr>
          <w:rFonts w:ascii="Narkisim" w:hAnsi="Narkisim" w:cs="Narkisim"/>
          <w:sz w:val="20"/>
          <w:szCs w:val="20"/>
          <w:rtl/>
        </w:rPr>
        <w:t xml:space="preserve"> [וכדברי רבא בסמוך</w:t>
      </w:r>
      <w:r w:rsidRPr="00012502">
        <w:rPr>
          <w:rFonts w:ascii="Narkisim" w:hAnsi="Narkisim" w:cs="Narkisim"/>
          <w:rtl/>
        </w:rPr>
        <w:t>]. ולפ"ז יש ב' טעמים בגמ' לדברי רב דלא עשו, דע"פ ר"ל יש לאסור משום לא תתגודדו. ולדעת רבא</w:t>
      </w:r>
      <w:r w:rsidRPr="00012502">
        <w:rPr>
          <w:rFonts w:ascii="Narkisim" w:hAnsi="Narkisim" w:cs="Narkisim"/>
          <w:sz w:val="20"/>
          <w:szCs w:val="20"/>
          <w:rtl/>
        </w:rPr>
        <w:t xml:space="preserve"> [ור' יוחנן]</w:t>
      </w:r>
      <w:r w:rsidRPr="00012502">
        <w:rPr>
          <w:rFonts w:ascii="Narkisim" w:hAnsi="Narkisim" w:cs="Narkisim"/>
          <w:rtl/>
        </w:rPr>
        <w:t xml:space="preserve"> הטעם משום דהוכרע </w:t>
      </w:r>
      <w:r w:rsidRPr="00012502">
        <w:rPr>
          <w:rFonts w:ascii="Narkisim" w:hAnsi="Narkisim" w:cs="Narkisim"/>
          <w:sz w:val="20"/>
          <w:szCs w:val="20"/>
          <w:rtl/>
        </w:rPr>
        <w:t>[ע"פ רוב, או ע"פ בת קול]</w:t>
      </w:r>
      <w:r w:rsidRPr="00012502">
        <w:rPr>
          <w:rStyle w:val="ac"/>
          <w:rFonts w:ascii="Narkisim" w:hAnsi="Narkisim" w:cs="Narkisim"/>
          <w:sz w:val="20"/>
          <w:szCs w:val="20"/>
          <w:rtl/>
        </w:rPr>
        <w:footnoteReference w:id="822"/>
      </w:r>
      <w:r w:rsidRPr="00012502">
        <w:rPr>
          <w:rFonts w:ascii="Narkisim" w:hAnsi="Narkisim" w:cs="Narkisim"/>
          <w:rtl/>
        </w:rPr>
        <w:t>.</w:t>
      </w:r>
    </w:p>
    <w:p w14:paraId="1EDCB6EE" w14:textId="77777777" w:rsidR="00BE1D1C" w:rsidRPr="00012502" w:rsidRDefault="00000000" w:rsidP="00012502">
      <w:pPr>
        <w:pStyle w:val="a7"/>
        <w:bidi/>
        <w:rPr>
          <w:rFonts w:ascii="Narkisim" w:hAnsi="Narkisim"/>
        </w:rPr>
      </w:pPr>
      <w:r w:rsidRPr="00012502">
        <w:rPr>
          <w:rFonts w:ascii="Narkisim" w:hAnsi="Narkisim"/>
          <w:rtl/>
        </w:rPr>
        <w:t xml:space="preserve">אבל </w:t>
      </w:r>
      <w:r w:rsidRPr="00012502">
        <w:rPr>
          <w:rFonts w:ascii="Narkisim" w:hAnsi="Narkisim"/>
          <w:b/>
          <w:bCs/>
          <w:rtl/>
        </w:rPr>
        <w:t>רש"י</w:t>
      </w:r>
      <w:r w:rsidRPr="00012502">
        <w:rPr>
          <w:rFonts w:ascii="Narkisim" w:hAnsi="Narkisim"/>
          <w:rtl/>
        </w:rPr>
        <w:t xml:space="preserve"> </w:t>
      </w:r>
      <w:r w:rsidRPr="00012502">
        <w:rPr>
          <w:rFonts w:ascii="Narkisim" w:hAnsi="Narkisim"/>
          <w:sz w:val="20"/>
          <w:szCs w:val="20"/>
          <w:rtl/>
        </w:rPr>
        <w:t xml:space="preserve">(טו: ד"ה הרואה, וכן </w:t>
      </w:r>
      <w:r w:rsidRPr="00012502">
        <w:rPr>
          <w:rFonts w:ascii="Narkisim" w:hAnsi="Narkisim"/>
          <w:b/>
          <w:bCs/>
          <w:sz w:val="20"/>
          <w:szCs w:val="20"/>
          <w:rtl/>
        </w:rPr>
        <w:t>תוס'</w:t>
      </w:r>
      <w:r w:rsidRPr="00012502">
        <w:rPr>
          <w:rFonts w:ascii="Narkisim" w:hAnsi="Narkisim"/>
          <w:sz w:val="20"/>
          <w:szCs w:val="20"/>
          <w:rtl/>
        </w:rPr>
        <w:t xml:space="preserve"> יד: ד"ה בשלמא ועי"ש ב</w:t>
      </w:r>
      <w:r w:rsidRPr="00012502">
        <w:rPr>
          <w:rFonts w:ascii="Narkisim" w:hAnsi="Narkisim"/>
          <w:b/>
          <w:bCs/>
          <w:sz w:val="20"/>
          <w:szCs w:val="20"/>
          <w:rtl/>
        </w:rPr>
        <w:t>תוס' הרא"ש</w:t>
      </w:r>
      <w:r w:rsidRPr="00012502">
        <w:rPr>
          <w:rFonts w:ascii="Narkisim" w:hAnsi="Narkisim"/>
          <w:sz w:val="20"/>
          <w:szCs w:val="20"/>
          <w:rtl/>
        </w:rPr>
        <w:t>)</w:t>
      </w:r>
      <w:r w:rsidRPr="00012502">
        <w:rPr>
          <w:rFonts w:ascii="Narkisim" w:hAnsi="Narkisim"/>
          <w:rtl/>
        </w:rPr>
        <w:t xml:space="preserve"> משמע דמ"ד 'לא עשו' הוה משום לא תתגודדו. ומש"ה במקום דלא מוכחא מילתא מותר [כדלקמן].</w:t>
      </w:r>
      <w:r w:rsidRPr="00012502">
        <w:rPr>
          <w:rFonts w:ascii="Narkisim" w:hAnsi="Narkisim"/>
          <w:sz w:val="20"/>
          <w:szCs w:val="20"/>
          <w:rtl/>
        </w:rPr>
        <w:t xml:space="preserve"> ולפ"ז לכאו' רב ור"ל ס"ל דיש לא תתגודדו במח', ודלא כחילוק רבא (ע' בסמוך).</w:t>
      </w:r>
    </w:p>
    <w:p w14:paraId="14629C89"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(רש"ש טו.) הקשו א"כ אמאי בעינן טעם נוסף דבי"ה רוב. [כקו' הרשב"א]. וה</w:t>
      </w:r>
      <w:r w:rsidRPr="00012502">
        <w:rPr>
          <w:rFonts w:ascii="Narkisim" w:hAnsi="Narkisim"/>
          <w:b/>
          <w:bCs/>
          <w:rtl/>
        </w:rPr>
        <w:t>ערול"נ</w:t>
      </w:r>
      <w:r w:rsidRPr="00012502">
        <w:rPr>
          <w:rFonts w:ascii="Narkisim" w:hAnsi="Narkisim"/>
          <w:rtl/>
        </w:rPr>
        <w:t xml:space="preserve"> (טו.) כת' דמשום סברת רובא וכו' מהני שיעשו בי"ש כבי"ה לחומרא, אבל כיון שהם יודעים שאסור אינם יכולים להקל כדבריהם, אלא מדין לא תתגודדו</w:t>
      </w:r>
      <w:r w:rsidRPr="00012502">
        <w:rPr>
          <w:rStyle w:val="ac"/>
          <w:rFonts w:ascii="Narkisim" w:hAnsi="Narkisim"/>
          <w:rtl/>
        </w:rPr>
        <w:footnoteReference w:id="823"/>
      </w:r>
      <w:r w:rsidRPr="00012502">
        <w:rPr>
          <w:rFonts w:ascii="Narkisim" w:hAnsi="Narkisim"/>
          <w:rtl/>
        </w:rPr>
        <w:t>.</w:t>
      </w:r>
    </w:p>
    <w:p w14:paraId="261BDF9B" w14:textId="77777777" w:rsidR="00BE1D1C" w:rsidRPr="00012502" w:rsidRDefault="00000000" w:rsidP="00012502">
      <w:pPr>
        <w:pStyle w:val="a7"/>
        <w:bidi/>
        <w:rPr>
          <w:rFonts w:ascii="Narkisim" w:hAnsi="Narkisim"/>
        </w:rPr>
      </w:pPr>
      <w:r w:rsidRPr="00012502">
        <w:rPr>
          <w:rFonts w:ascii="Narkisim" w:hAnsi="Narkisim"/>
          <w:rtl/>
        </w:rPr>
        <w:t>ועוד כתבו ה</w:t>
      </w:r>
      <w:r w:rsidRPr="00012502">
        <w:rPr>
          <w:rFonts w:ascii="Narkisim" w:hAnsi="Narkisim"/>
          <w:b/>
          <w:bCs/>
          <w:rtl/>
        </w:rPr>
        <w:t xml:space="preserve">אחרונים </w:t>
      </w:r>
      <w:r w:rsidRPr="00012502">
        <w:rPr>
          <w:rFonts w:ascii="Narkisim" w:hAnsi="Narkisim"/>
          <w:szCs w:val="20"/>
          <w:rtl/>
        </w:rPr>
        <w:t>(</w:t>
      </w:r>
      <w:r w:rsidRPr="00012502">
        <w:rPr>
          <w:rFonts w:ascii="Narkisim" w:hAnsi="Narkisim"/>
          <w:sz w:val="20"/>
          <w:szCs w:val="20"/>
          <w:rtl/>
        </w:rPr>
        <w:t xml:space="preserve">חי' ר' שמעון א) </w:t>
      </w:r>
      <w:r w:rsidRPr="00012502">
        <w:rPr>
          <w:rFonts w:ascii="Narkisim" w:hAnsi="Narkisim"/>
          <w:rtl/>
        </w:rPr>
        <w:t>דלא תתגודדו מכריח דבעינן לקבוע הלכה בשווה לכולם</w:t>
      </w:r>
      <w:r w:rsidRPr="00012502">
        <w:rPr>
          <w:rStyle w:val="ac"/>
          <w:rFonts w:ascii="Narkisim" w:hAnsi="Narkisim"/>
          <w:rtl/>
        </w:rPr>
        <w:footnoteReference w:id="824"/>
      </w:r>
      <w:r w:rsidRPr="00012502">
        <w:rPr>
          <w:rFonts w:ascii="Narkisim" w:hAnsi="Narkisim"/>
          <w:rtl/>
        </w:rPr>
        <w:t>. והגמ' מקשה מאי חזית דבי"ש יעשו כבי"ה, אדרבה שבי"ה יעשו כבי"ש. [וכ"כ ה</w:t>
      </w:r>
      <w:r w:rsidRPr="00012502">
        <w:rPr>
          <w:rFonts w:ascii="Narkisim" w:hAnsi="Narkisim"/>
          <w:b/>
          <w:bCs/>
          <w:rtl/>
        </w:rPr>
        <w:t>ריב"ן</w:t>
      </w:r>
      <w:r w:rsidRPr="00012502">
        <w:rPr>
          <w:rFonts w:ascii="Narkisim" w:hAnsi="Narkisim"/>
          <w:rtl/>
        </w:rPr>
        <w:t>].</w:t>
      </w:r>
    </w:p>
    <w:p w14:paraId="165DFAC1" w14:textId="77777777" w:rsidR="00BE1D1C" w:rsidRPr="00012502" w:rsidRDefault="00000000" w:rsidP="00012502">
      <w:pPr>
        <w:bidi/>
        <w:rPr>
          <w:rFonts w:ascii="Narkisim" w:hAnsi="Narkisim" w:cs="Narkisim"/>
        </w:rPr>
      </w:pPr>
      <w:r w:rsidRPr="00012502">
        <w:rPr>
          <w:rFonts w:ascii="Narkisim" w:hAnsi="Narkisim" w:cs="Narkisim"/>
          <w:u w:val="single"/>
          <w:rtl/>
        </w:rPr>
        <w:t>בי"ה רובא וכו' בי"ש מחדדי טפי.</w:t>
      </w:r>
      <w:r w:rsidRPr="00012502">
        <w:rPr>
          <w:rFonts w:ascii="Narkisim" w:hAnsi="Narkisim" w:cs="Narkisim"/>
          <w:rtl/>
        </w:rPr>
        <w:t xml:space="preserve"> ה</w:t>
      </w:r>
      <w:r w:rsidRPr="00012502">
        <w:rPr>
          <w:rFonts w:ascii="Narkisim" w:hAnsi="Narkisim" w:cs="Narkisim"/>
          <w:b/>
          <w:bCs/>
          <w:rtl/>
        </w:rPr>
        <w:t>ריטב"א</w:t>
      </w:r>
      <w:r w:rsidRPr="00012502">
        <w:rPr>
          <w:rFonts w:ascii="Narkisim" w:hAnsi="Narkisim" w:cs="Narkisim"/>
          <w:rtl/>
        </w:rPr>
        <w:t xml:space="preserve"> כת' דרוב הוה למי שאינו יודע, אבל בי"ש עצמן, צריכין להחמיר כיון דעומדין בשמועתן</w:t>
      </w:r>
      <w:r w:rsidRPr="00012502">
        <w:rPr>
          <w:rStyle w:val="ac"/>
          <w:rFonts w:ascii="Narkisim" w:hAnsi="Narkisim" w:cs="Narkisim"/>
          <w:rtl/>
        </w:rPr>
        <w:footnoteReference w:id="825"/>
      </w:r>
      <w:r w:rsidRPr="00012502">
        <w:rPr>
          <w:rFonts w:ascii="Narkisim" w:hAnsi="Narkisim" w:cs="Narkisim"/>
          <w:rtl/>
        </w:rPr>
        <w:t>.</w:t>
      </w:r>
    </w:p>
    <w:p w14:paraId="2E696F7E" w14:textId="77777777" w:rsidR="00BE1D1C" w:rsidRPr="00012502" w:rsidRDefault="00000000" w:rsidP="00012502">
      <w:pPr>
        <w:pStyle w:val="aa"/>
        <w:bidi/>
        <w:rPr>
          <w:rFonts w:ascii="Narkisim" w:hAnsi="Narkisim"/>
        </w:rPr>
      </w:pPr>
      <w:r w:rsidRPr="00012502">
        <w:rPr>
          <w:rFonts w:ascii="Narkisim" w:hAnsi="Narkisim"/>
          <w:rtl/>
        </w:rPr>
        <w:t>וב</w:t>
      </w:r>
      <w:r w:rsidRPr="00012502">
        <w:rPr>
          <w:rFonts w:ascii="Narkisim" w:hAnsi="Narkisim"/>
          <w:b/>
          <w:bCs/>
          <w:rtl/>
        </w:rPr>
        <w:t>קונ' הספיקות</w:t>
      </w:r>
      <w:r w:rsidRPr="00012502">
        <w:rPr>
          <w:rFonts w:ascii="Narkisim" w:hAnsi="Narkisim"/>
          <w:rtl/>
        </w:rPr>
        <w:t xml:space="preserve"> (ו ב) הביא בשם </w:t>
      </w:r>
      <w:r w:rsidRPr="00012502">
        <w:rPr>
          <w:rFonts w:ascii="Narkisim" w:hAnsi="Narkisim"/>
          <w:b/>
          <w:bCs/>
          <w:rtl/>
        </w:rPr>
        <w:t>מהר"ם חביב</w:t>
      </w:r>
      <w:r w:rsidRPr="00012502">
        <w:rPr>
          <w:rFonts w:ascii="Narkisim" w:hAnsi="Narkisim"/>
          <w:rtl/>
        </w:rPr>
        <w:t xml:space="preserve"> (ס' גט פשוט כלל א) דהא דבבי"ד אזלינן בתר רוב דיינים</w:t>
      </w:r>
      <w:r w:rsidRPr="00012502">
        <w:rPr>
          <w:rStyle w:val="ac"/>
          <w:rFonts w:ascii="Narkisim" w:hAnsi="Narkisim"/>
          <w:rtl/>
        </w:rPr>
        <w:footnoteReference w:id="826"/>
      </w:r>
      <w:r w:rsidRPr="00012502">
        <w:rPr>
          <w:rFonts w:ascii="Narkisim" w:hAnsi="Narkisim"/>
          <w:rtl/>
        </w:rPr>
        <w:t>, משום דהמיעוט מבטלים דעתם לדעת הרוב [ע' בסמוך בשם הרמב"ן]. וה</w:t>
      </w:r>
      <w:r w:rsidRPr="00012502">
        <w:rPr>
          <w:rFonts w:ascii="Narkisim" w:hAnsi="Narkisim"/>
          <w:b/>
          <w:bCs/>
          <w:rtl/>
        </w:rPr>
        <w:t>קוה"ס</w:t>
      </w:r>
      <w:r w:rsidRPr="00012502">
        <w:rPr>
          <w:rFonts w:ascii="Narkisim" w:hAnsi="Narkisim"/>
          <w:rtl/>
        </w:rPr>
        <w:t xml:space="preserve"> (שם ג) חלק דרק בסנהדרין הגדול יש איסור לא תסור, וצריכים לבטל את דעתם לדעת הרוב [ואפי' על הימין שהוא שמאל]. אבל בבי"ד בעלמא מהני הכרעת הרוב דזיל בתר רוב [ואכ"מ]. וה</w:t>
      </w:r>
      <w:r w:rsidRPr="00012502">
        <w:rPr>
          <w:rFonts w:ascii="Narkisim" w:hAnsi="Narkisim"/>
          <w:b/>
          <w:bCs/>
          <w:rtl/>
        </w:rPr>
        <w:t>קובה"ע</w:t>
      </w:r>
      <w:r w:rsidRPr="00012502">
        <w:rPr>
          <w:rFonts w:ascii="Narkisim" w:hAnsi="Narkisim"/>
          <w:rtl/>
        </w:rPr>
        <w:t xml:space="preserve"> (טז) ציין דב</w:t>
      </w:r>
      <w:r w:rsidRPr="00012502">
        <w:rPr>
          <w:rFonts w:ascii="Narkisim" w:hAnsi="Narkisim"/>
          <w:b/>
          <w:bCs/>
          <w:rtl/>
        </w:rPr>
        <w:t xml:space="preserve">רמב"ן </w:t>
      </w:r>
      <w:r w:rsidRPr="00012502">
        <w:rPr>
          <w:rFonts w:ascii="Narkisim" w:hAnsi="Narkisim"/>
          <w:rtl/>
        </w:rPr>
        <w:t>(חולין מד:) כת' דמחלוקת בית שמאי ובי"ה היה מח' כל חכמי ישראל, ועפ"ז י"ל דהיה דין לא תסור לעבור ע"פ הרוב</w:t>
      </w:r>
      <w:r w:rsidRPr="00012502">
        <w:rPr>
          <w:rStyle w:val="ac"/>
          <w:rFonts w:ascii="Narkisim" w:hAnsi="Narkisim"/>
          <w:rtl/>
        </w:rPr>
        <w:footnoteReference w:id="827"/>
      </w:r>
      <w:r w:rsidRPr="00012502">
        <w:rPr>
          <w:rFonts w:ascii="Narkisim" w:hAnsi="Narkisim"/>
          <w:rtl/>
        </w:rPr>
        <w:t xml:space="preserve">. [ואף בלא לשכת </w:t>
      </w:r>
      <w:r w:rsidRPr="00012502">
        <w:rPr>
          <w:rFonts w:ascii="Narkisim" w:hAnsi="Narkisim"/>
          <w:rtl/>
        </w:rPr>
        <w:lastRenderedPageBreak/>
        <w:t>הגזית].</w:t>
      </w:r>
    </w:p>
    <w:p w14:paraId="1DE70327" w14:textId="77777777" w:rsidR="00BE1D1C" w:rsidRPr="00012502" w:rsidRDefault="00000000" w:rsidP="00012502">
      <w:pPr>
        <w:bidi/>
        <w:rPr>
          <w:rFonts w:ascii="Narkisim" w:hAnsi="Narkisim" w:cs="Narkisim"/>
        </w:rPr>
      </w:pPr>
      <w:r w:rsidRPr="00012502">
        <w:rPr>
          <w:rFonts w:ascii="Narkisim" w:hAnsi="Narkisim" w:cs="Narkisim"/>
          <w:u w:val="single"/>
          <w:rtl/>
        </w:rPr>
        <w:t>מחדדי טפי.</w:t>
      </w:r>
      <w:r w:rsidRPr="00012502">
        <w:rPr>
          <w:rFonts w:ascii="Narkisim" w:hAnsi="Narkisim" w:cs="Narkisim"/>
          <w:rtl/>
        </w:rPr>
        <w:t xml:space="preserve"> ה</w:t>
      </w:r>
      <w:r w:rsidRPr="00012502">
        <w:rPr>
          <w:rFonts w:ascii="Narkisim" w:hAnsi="Narkisim" w:cs="Narkisim"/>
          <w:b/>
          <w:bCs/>
          <w:rtl/>
        </w:rPr>
        <w:t>ריטב"א</w:t>
      </w:r>
      <w:r w:rsidRPr="00012502">
        <w:rPr>
          <w:rFonts w:ascii="Narkisim" w:hAnsi="Narkisim" w:cs="Narkisim"/>
          <w:rtl/>
        </w:rPr>
        <w:t xml:space="preserve"> כתב כיון דכן הו"ל כשקולין</w:t>
      </w:r>
      <w:r w:rsidRPr="00012502">
        <w:rPr>
          <w:rStyle w:val="ac"/>
          <w:rFonts w:ascii="Narkisim" w:hAnsi="Narkisim" w:cs="Narkisim"/>
          <w:rtl/>
        </w:rPr>
        <w:footnoteReference w:id="828"/>
      </w:r>
      <w:r w:rsidRPr="00012502">
        <w:rPr>
          <w:rFonts w:ascii="Narkisim" w:hAnsi="Narkisim" w:cs="Narkisim"/>
          <w:rtl/>
        </w:rPr>
        <w:t>, ואלו עושין כדבריהם וגם מורים לאחרים, וכן אלו עושים כדבריהם ומורים לאחרים [וכ"כ ה</w:t>
      </w:r>
      <w:r w:rsidRPr="00012502">
        <w:rPr>
          <w:rFonts w:ascii="Narkisim" w:hAnsi="Narkisim" w:cs="Narkisim"/>
          <w:b/>
          <w:bCs/>
          <w:rtl/>
        </w:rPr>
        <w:t>מאירי</w:t>
      </w:r>
      <w:r w:rsidRPr="00012502">
        <w:rPr>
          <w:rFonts w:ascii="Narkisim" w:hAnsi="Narkisim" w:cs="Narkisim"/>
          <w:rtl/>
        </w:rPr>
        <w:t>].</w:t>
      </w:r>
    </w:p>
    <w:p w14:paraId="4270A27E"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(סנהדרין לד) הביא בשם </w:t>
      </w:r>
      <w:r w:rsidRPr="00012502">
        <w:rPr>
          <w:rFonts w:ascii="Narkisim" w:hAnsi="Narkisim"/>
          <w:b/>
          <w:bCs/>
          <w:rtl/>
        </w:rPr>
        <w:t>רב האי גאון</w:t>
      </w:r>
      <w:r w:rsidRPr="00012502">
        <w:rPr>
          <w:rFonts w:ascii="Narkisim" w:hAnsi="Narkisim"/>
          <w:rtl/>
        </w:rPr>
        <w:t xml:space="preserve"> דבמח' בבי"ד וב' דיינים אומרים כך, ודיין א' דמחדד טפי אומר כך. הולכים אחר מי שנותן טעם לדבריו. וה</w:t>
      </w:r>
      <w:r w:rsidRPr="00012502">
        <w:rPr>
          <w:rFonts w:ascii="Narkisim" w:hAnsi="Narkisim"/>
          <w:b/>
          <w:bCs/>
          <w:rtl/>
        </w:rPr>
        <w:t>רמב"ן</w:t>
      </w:r>
      <w:r w:rsidRPr="00012502">
        <w:rPr>
          <w:rFonts w:ascii="Narkisim" w:hAnsi="Narkisim"/>
          <w:rtl/>
        </w:rPr>
        <w:t xml:space="preserve"> הביא סיוע מסוגיין דמחדדי טפי, וקי"ל כמ"ד עשו כדבריהם, ואם הוא חכם גדול אין דבריו בטילים.</w:t>
      </w:r>
    </w:p>
    <w:p w14:paraId="7616A5DE"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חלק דבבי"ד אזלינן בתר הרוב, דכולהו צריכין להם וראוי שיסכימו לאותו דעה, ורחמנא אמר אחרי רבים להטות. אבל בסוגיין לא ישבו בדין, ולכן השואל עושה כרצון עצמו לפי שלבו נוטה אחר חכמה. והרמב"ן כת' דמ"מ במקום דהוה חכם א' נגד רבים בטלו דבריו</w:t>
      </w:r>
      <w:r w:rsidRPr="00012502">
        <w:rPr>
          <w:rStyle w:val="ac"/>
          <w:rFonts w:ascii="Narkisim" w:hAnsi="Narkisim"/>
          <w:rtl/>
        </w:rPr>
        <w:footnoteReference w:id="829"/>
      </w:r>
      <w:r w:rsidRPr="00012502">
        <w:rPr>
          <w:rFonts w:ascii="Narkisim" w:hAnsi="Narkisim"/>
          <w:rtl/>
        </w:rPr>
        <w:t xml:space="preserve"> [וכדמוכח לקמן טז. עי"ש]. ומ"מ אין דברי היחיד בטלים מיד אלא יש להם לחוש ולברר, ושואלים עליהם למקום הועד. אבל אם אי אפשר לברר עושים כדברי המרובים.</w:t>
      </w:r>
    </w:p>
    <w:p w14:paraId="5DE63DA4"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ש"ך</w:t>
      </w:r>
      <w:r w:rsidRPr="00012502">
        <w:rPr>
          <w:rFonts w:ascii="Narkisim" w:hAnsi="Narkisim"/>
          <w:rtl/>
        </w:rPr>
        <w:t xml:space="preserve"> (</w:t>
      </w:r>
      <w:r w:rsidRPr="00012502">
        <w:rPr>
          <w:rFonts w:ascii="Narkisim" w:hAnsi="Narkisim"/>
          <w:sz w:val="20"/>
          <w:szCs w:val="20"/>
          <w:rtl/>
        </w:rPr>
        <w:t>יו"ד רמב כללי או"ה)</w:t>
      </w:r>
      <w:r w:rsidRPr="00012502">
        <w:rPr>
          <w:rFonts w:ascii="Narkisim" w:hAnsi="Narkisim"/>
          <w:rtl/>
        </w:rPr>
        <w:t xml:space="preserve"> הביא בשם </w:t>
      </w:r>
      <w:r w:rsidRPr="00012502">
        <w:rPr>
          <w:rFonts w:ascii="Narkisim" w:hAnsi="Narkisim"/>
          <w:b/>
          <w:bCs/>
          <w:rtl/>
        </w:rPr>
        <w:t>הג' אשר"י</w:t>
      </w:r>
      <w:r w:rsidRPr="00012502">
        <w:rPr>
          <w:rFonts w:ascii="Narkisim" w:hAnsi="Narkisim"/>
          <w:sz w:val="20"/>
          <w:szCs w:val="20"/>
          <w:rtl/>
        </w:rPr>
        <w:t xml:space="preserve"> (ע"ז א ג, והו' בפוסקים חו"מ כה יז) </w:t>
      </w:r>
      <w:r w:rsidRPr="00012502">
        <w:rPr>
          <w:rFonts w:ascii="Narkisim" w:hAnsi="Narkisim"/>
          <w:rtl/>
        </w:rPr>
        <w:t>דבמח' הפוסקים הולכים בתר רוב מנין, אפי' דמחדדי טפי. ואפי' למ"ד עשו בית שמאי עשו כדבריהם, מודה אחר הבת קול</w:t>
      </w:r>
      <w:r w:rsidRPr="00012502">
        <w:rPr>
          <w:rStyle w:val="ac"/>
          <w:rFonts w:ascii="Narkisim" w:hAnsi="Narkisim"/>
          <w:rtl/>
        </w:rPr>
        <w:footnoteReference w:id="830"/>
      </w:r>
      <w:r w:rsidRPr="00012502">
        <w:rPr>
          <w:rFonts w:ascii="Narkisim" w:hAnsi="Narkisim"/>
          <w:rtl/>
        </w:rPr>
        <w:t xml:space="preserve">. </w:t>
      </w:r>
      <w:r w:rsidRPr="00012502">
        <w:rPr>
          <w:rFonts w:ascii="Narkisim" w:hAnsi="Narkisim"/>
          <w:sz w:val="20"/>
          <w:szCs w:val="20"/>
          <w:rtl/>
        </w:rPr>
        <w:t>[וכן מוכח לדעת ר' יהושע דע"כ הא דפסקו כבית הלל הוא מסברת רוב וע' תוס'].</w:t>
      </w:r>
    </w:p>
    <w:p w14:paraId="64D7B07E"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Style w:val="ac"/>
          <w:rFonts w:ascii="Narkisim" w:hAnsi="Narkisim"/>
          <w:rtl/>
        </w:rPr>
        <w:footnoteReference w:id="831"/>
      </w:r>
      <w:r w:rsidRPr="00012502">
        <w:rPr>
          <w:rFonts w:ascii="Narkisim" w:hAnsi="Narkisim"/>
          <w:rtl/>
        </w:rPr>
        <w:t xml:space="preserve"> הביאו דב</w:t>
      </w:r>
      <w:r w:rsidRPr="00012502">
        <w:rPr>
          <w:rFonts w:ascii="Narkisim" w:hAnsi="Narkisim"/>
          <w:b/>
          <w:bCs/>
          <w:rtl/>
        </w:rPr>
        <w:t>גמ</w:t>
      </w:r>
      <w:r w:rsidRPr="00012502">
        <w:rPr>
          <w:rFonts w:ascii="Narkisim" w:hAnsi="Narkisim"/>
          <w:rtl/>
        </w:rPr>
        <w:t>' (עירובין יג:) איתא דנח' בית שמאי ובית הלל, הללו אומרים הלכה כדברינו וכו', א"כ נחלקו בי"ש ובי"ה בנידון הזה האם רוב עדיף או מחדדי טפי. וקי"ל אף בזה כדברי בית הלל [אחרי הבת קול].</w:t>
      </w:r>
    </w:p>
    <w:p w14:paraId="419AAB8A" w14:textId="77777777" w:rsidR="00BE1D1C" w:rsidRPr="00012502" w:rsidRDefault="00000000" w:rsidP="00012502">
      <w:pPr>
        <w:pStyle w:val="aa"/>
        <w:bidi/>
        <w:rPr>
          <w:rFonts w:ascii="Narkisim" w:hAnsi="Narkisim"/>
        </w:rPr>
      </w:pPr>
      <w:r w:rsidRPr="00012502">
        <w:rPr>
          <w:rFonts w:ascii="Narkisim" w:hAnsi="Narkisim"/>
          <w:rtl/>
        </w:rPr>
        <w:t>והביאו בשם המקובלים דלעתיד לבא הלכה כדברי בית שמאי.</w:t>
      </w:r>
    </w:p>
    <w:p w14:paraId="65B397D6" w14:textId="77777777" w:rsidR="00BE1D1C" w:rsidRPr="00012502" w:rsidRDefault="00000000" w:rsidP="00012502">
      <w:pPr>
        <w:bidi/>
        <w:rPr>
          <w:rFonts w:ascii="Narkisim" w:hAnsi="Narkisim" w:cs="Narkisim"/>
        </w:rPr>
      </w:pPr>
      <w:r w:rsidRPr="00012502">
        <w:rPr>
          <w:rFonts w:ascii="Narkisim" w:hAnsi="Narkisim" w:cs="Narkisim"/>
          <w:u w:val="single"/>
          <w:rtl/>
        </w:rPr>
        <w:t>תוד"ה רבי יהושע</w:t>
      </w:r>
      <w:r w:rsidRPr="00012502">
        <w:rPr>
          <w:rStyle w:val="ac"/>
          <w:rFonts w:ascii="Narkisim" w:hAnsi="Narkisim" w:cs="Narkisim"/>
          <w:rtl/>
        </w:rPr>
        <w:footnoteReference w:id="832"/>
      </w:r>
      <w:r w:rsidRPr="00012502">
        <w:rPr>
          <w:rFonts w:ascii="Narkisim" w:hAnsi="Narkisim" w:cs="Narkisim"/>
          <w:rtl/>
        </w:rPr>
        <w:t xml:space="preserve">. א"נ בההיא בת קול שהיתה כנגד רבים וכו'. </w:t>
      </w:r>
      <w:r w:rsidRPr="00012502">
        <w:rPr>
          <w:rFonts w:ascii="Narkisim" w:hAnsi="Narkisim" w:cs="Narkisim"/>
          <w:sz w:val="20"/>
          <w:szCs w:val="20"/>
          <w:rtl/>
        </w:rPr>
        <w:t>ולהך תי' במקום ספק ילפי' מבת קול. אבל לא נגד דין התורה שפסקה ע"פ הרוב</w:t>
      </w:r>
      <w:r w:rsidRPr="00012502">
        <w:rPr>
          <w:rStyle w:val="ac"/>
          <w:rFonts w:ascii="Narkisim" w:hAnsi="Narkisim" w:cs="Narkisim"/>
          <w:sz w:val="20"/>
          <w:szCs w:val="20"/>
          <w:rtl/>
        </w:rPr>
        <w:footnoteReference w:id="833"/>
      </w:r>
      <w:r w:rsidRPr="00012502">
        <w:rPr>
          <w:rFonts w:ascii="Narkisim" w:hAnsi="Narkisim" w:cs="Narkisim"/>
          <w:sz w:val="20"/>
          <w:szCs w:val="20"/>
          <w:rtl/>
        </w:rPr>
        <w:t>.</w:t>
      </w:r>
    </w:p>
    <w:p w14:paraId="35D4CA41"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רמב"ם</w:t>
      </w:r>
      <w:r w:rsidRPr="00012502">
        <w:rPr>
          <w:rFonts w:ascii="Narkisim" w:hAnsi="Narkisim"/>
          <w:rtl/>
        </w:rPr>
        <w:t xml:space="preserve"> </w:t>
      </w:r>
      <w:r w:rsidRPr="00012502">
        <w:rPr>
          <w:rFonts w:ascii="Narkisim" w:hAnsi="Narkisim"/>
          <w:szCs w:val="20"/>
          <w:rtl/>
        </w:rPr>
        <w:t>(יסוה"ת ט ד, וע"ע בהקדמה לפיה"מ</w:t>
      </w:r>
      <w:r w:rsidRPr="00012502">
        <w:rPr>
          <w:rFonts w:ascii="Narkisim" w:hAnsi="Narkisim"/>
          <w:rtl/>
        </w:rPr>
        <w:t xml:space="preserve">) כת' דנביא שעקר דבר מהתורה, או אפי' אמר הלכה כדברי פלוני, הרי זה נביא שקר שבא להכחיש התורה שאמרה לא בשמים היא. </w:t>
      </w:r>
      <w:r w:rsidRPr="00012502">
        <w:rPr>
          <w:rFonts w:ascii="Narkisim" w:hAnsi="Narkisim"/>
          <w:sz w:val="20"/>
          <w:szCs w:val="20"/>
          <w:rtl/>
        </w:rPr>
        <w:t>[ולא מהני בת קול כלל לקבוע פסקי דין</w:t>
      </w:r>
      <w:r w:rsidRPr="00012502">
        <w:rPr>
          <w:rStyle w:val="ac"/>
          <w:rFonts w:ascii="Narkisim" w:hAnsi="Narkisim"/>
          <w:sz w:val="20"/>
          <w:szCs w:val="20"/>
          <w:rtl/>
        </w:rPr>
        <w:footnoteReference w:id="834"/>
      </w:r>
      <w:r w:rsidRPr="00012502">
        <w:rPr>
          <w:rFonts w:ascii="Narkisim" w:hAnsi="Narkisim"/>
          <w:sz w:val="20"/>
          <w:szCs w:val="20"/>
          <w:rtl/>
        </w:rPr>
        <w:t>].</w:t>
      </w:r>
      <w:r w:rsidRPr="00012502">
        <w:rPr>
          <w:rFonts w:ascii="Narkisim" w:hAnsi="Narkisim"/>
          <w:rtl/>
        </w:rPr>
        <w:t xml:space="preserve"> וה</w:t>
      </w:r>
      <w:r w:rsidRPr="00012502">
        <w:rPr>
          <w:rFonts w:ascii="Narkisim" w:hAnsi="Narkisim"/>
          <w:b/>
          <w:bCs/>
          <w:rtl/>
        </w:rPr>
        <w:t>כס"מ</w:t>
      </w:r>
      <w:r w:rsidRPr="00012502">
        <w:rPr>
          <w:rFonts w:ascii="Narkisim" w:hAnsi="Narkisim"/>
          <w:rtl/>
        </w:rPr>
        <w:t xml:space="preserve"> הקשה מבת קול דהלכה כבית הלל [וכמ"ש תוס'].</w:t>
      </w:r>
    </w:p>
    <w:p w14:paraId="3F5FED7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פר"ח</w:t>
      </w:r>
      <w:r w:rsidRPr="00012502">
        <w:rPr>
          <w:rFonts w:ascii="Narkisim" w:hAnsi="Narkisim"/>
          <w:rtl/>
        </w:rPr>
        <w:t xml:space="preserve"> (הו' בס' הליקוטים) כת' דקי"ל כדעת ר' יהושע דאין משגיחין כלל בבת קול [וכמ"ש תוס' בסו"ד]. וס"ל דהלכה כבי"ה משום שהם הרוב</w:t>
      </w:r>
      <w:r w:rsidRPr="00012502">
        <w:rPr>
          <w:rStyle w:val="ac"/>
          <w:rFonts w:ascii="Narkisim" w:hAnsi="Narkisim"/>
          <w:rtl/>
        </w:rPr>
        <w:footnoteReference w:id="835"/>
      </w:r>
      <w:r w:rsidRPr="00012502">
        <w:rPr>
          <w:rFonts w:ascii="Narkisim" w:hAnsi="Narkisim"/>
          <w:rtl/>
        </w:rPr>
        <w:t>, ולא אזלי' בתר מחדדי טפי</w:t>
      </w:r>
      <w:r w:rsidRPr="00012502">
        <w:rPr>
          <w:rStyle w:val="ac"/>
          <w:rFonts w:ascii="Narkisim" w:hAnsi="Narkisim"/>
          <w:rtl/>
        </w:rPr>
        <w:footnoteReference w:id="836"/>
      </w:r>
      <w:r w:rsidRPr="00012502">
        <w:rPr>
          <w:rFonts w:ascii="Narkisim" w:hAnsi="Narkisim"/>
          <w:rtl/>
        </w:rPr>
        <w:t>.</w:t>
      </w:r>
      <w:r w:rsidRPr="00012502">
        <w:rPr>
          <w:rFonts w:ascii="Narkisim" w:hAnsi="Narkisim"/>
          <w:sz w:val="20"/>
          <w:szCs w:val="20"/>
          <w:rtl/>
        </w:rPr>
        <w:t xml:space="preserve"> וה</w:t>
      </w:r>
      <w:r w:rsidRPr="00012502">
        <w:rPr>
          <w:rFonts w:ascii="Narkisim" w:hAnsi="Narkisim"/>
          <w:b/>
          <w:bCs/>
          <w:sz w:val="20"/>
          <w:szCs w:val="20"/>
          <w:rtl/>
        </w:rPr>
        <w:t>קוב"ש</w:t>
      </w:r>
      <w:r w:rsidRPr="00012502">
        <w:rPr>
          <w:rFonts w:ascii="Narkisim" w:hAnsi="Narkisim"/>
          <w:sz w:val="20"/>
          <w:szCs w:val="20"/>
          <w:rtl/>
        </w:rPr>
        <w:t xml:space="preserve"> </w:t>
      </w:r>
      <w:r w:rsidRPr="00012502">
        <w:rPr>
          <w:rFonts w:ascii="Narkisim" w:hAnsi="Narkisim"/>
          <w:sz w:val="20"/>
          <w:szCs w:val="20"/>
          <w:rtl/>
        </w:rPr>
        <w:lastRenderedPageBreak/>
        <w:t>ב</w:t>
      </w:r>
      <w:r w:rsidRPr="00012502">
        <w:rPr>
          <w:rFonts w:ascii="Narkisim" w:hAnsi="Narkisim"/>
          <w:b/>
          <w:bCs/>
          <w:sz w:val="20"/>
          <w:szCs w:val="20"/>
          <w:rtl/>
        </w:rPr>
        <w:t>קונטרס ד"ס</w:t>
      </w:r>
      <w:r w:rsidRPr="00012502">
        <w:rPr>
          <w:rFonts w:ascii="Narkisim" w:hAnsi="Narkisim"/>
          <w:sz w:val="20"/>
          <w:szCs w:val="20"/>
          <w:rtl/>
        </w:rPr>
        <w:t xml:space="preserve"> (ה יא) הקשה דלפ"ז אמאי אמרי' (לעיל ט.) דבית שמאי במקום בי"ה אינו משנה, ובמה עדיף מכ"מ</w:t>
      </w:r>
      <w:r w:rsidRPr="00012502">
        <w:rPr>
          <w:rFonts w:ascii="Narkisim" w:hAnsi="Narkisim"/>
          <w:rtl/>
        </w:rPr>
        <w:t xml:space="preserve"> </w:t>
      </w:r>
      <w:r w:rsidRPr="00012502">
        <w:rPr>
          <w:rFonts w:ascii="Narkisim" w:hAnsi="Narkisim"/>
          <w:sz w:val="20"/>
          <w:szCs w:val="20"/>
          <w:rtl/>
        </w:rPr>
        <w:t>דקיי"ל כרבים, אבל דברי היחיד לא נדחו</w:t>
      </w:r>
      <w:r w:rsidRPr="00012502">
        <w:rPr>
          <w:rStyle w:val="ac"/>
          <w:rFonts w:ascii="Narkisim" w:hAnsi="Narkisim"/>
          <w:sz w:val="20"/>
          <w:szCs w:val="20"/>
          <w:rtl/>
        </w:rPr>
        <w:footnoteReference w:id="837"/>
      </w:r>
      <w:r w:rsidRPr="00012502">
        <w:rPr>
          <w:rFonts w:ascii="Narkisim" w:hAnsi="Narkisim"/>
          <w:sz w:val="20"/>
          <w:szCs w:val="20"/>
          <w:rtl/>
        </w:rPr>
        <w:t>. וצ"ע</w:t>
      </w:r>
      <w:r w:rsidRPr="00012502">
        <w:rPr>
          <w:rFonts w:ascii="Narkisim" w:hAnsi="Narkisim"/>
          <w:rtl/>
        </w:rPr>
        <w:t>.</w:t>
      </w:r>
    </w:p>
    <w:p w14:paraId="5E25BD81" w14:textId="77777777" w:rsidR="00BE1D1C" w:rsidRPr="00012502" w:rsidRDefault="00000000" w:rsidP="00012502">
      <w:pPr>
        <w:pStyle w:val="aa"/>
        <w:bidi/>
        <w:rPr>
          <w:rFonts w:ascii="Narkisim" w:hAnsi="Narkisim"/>
        </w:rPr>
      </w:pPr>
      <w:r w:rsidRPr="00012502">
        <w:rPr>
          <w:rFonts w:ascii="Narkisim" w:hAnsi="Narkisim"/>
          <w:u w:val="single"/>
          <w:rtl/>
        </w:rPr>
        <w:t>א"ל רבא והא בי"ש ובי"ה כב' בי"ד בעיר א' דמי.</w:t>
      </w:r>
      <w:r w:rsidRPr="00012502">
        <w:rPr>
          <w:rFonts w:ascii="Narkisim" w:hAnsi="Narkisim"/>
          <w:rtl/>
        </w:rPr>
        <w:t xml:space="preserve"> ב</w:t>
      </w:r>
      <w:r w:rsidRPr="00012502">
        <w:rPr>
          <w:rFonts w:ascii="Narkisim" w:hAnsi="Narkisim"/>
          <w:b/>
          <w:bCs/>
          <w:rtl/>
        </w:rPr>
        <w:t>חי' ר"א מן ההר</w:t>
      </w:r>
      <w:r w:rsidRPr="00012502">
        <w:rPr>
          <w:rFonts w:ascii="Narkisim" w:hAnsi="Narkisim"/>
          <w:rtl/>
        </w:rPr>
        <w:t xml:space="preserve"> כת' דאביי סבר דבי"ש עשו כדבריהם רק במקומן, ולא במקום בית הלל</w:t>
      </w:r>
      <w:r w:rsidRPr="00012502">
        <w:rPr>
          <w:rStyle w:val="ac"/>
          <w:rFonts w:ascii="Narkisim" w:hAnsi="Narkisim"/>
          <w:rtl/>
        </w:rPr>
        <w:footnoteReference w:id="838"/>
      </w:r>
      <w:r w:rsidRPr="00012502">
        <w:rPr>
          <w:rFonts w:ascii="Narkisim" w:hAnsi="Narkisim"/>
          <w:rtl/>
        </w:rPr>
        <w:t>. וה</w:t>
      </w:r>
      <w:r w:rsidRPr="00012502">
        <w:rPr>
          <w:rFonts w:ascii="Narkisim" w:hAnsi="Narkisim"/>
          <w:b/>
          <w:bCs/>
          <w:rtl/>
        </w:rPr>
        <w:t>קר"א</w:t>
      </w:r>
      <w:r w:rsidRPr="00012502">
        <w:rPr>
          <w:rFonts w:ascii="Narkisim" w:hAnsi="Narkisim"/>
          <w:rtl/>
        </w:rPr>
        <w:t xml:space="preserve"> כת' דאביי ס"ל דב' בי"ד בעיר א' אסור להורות לאחרים, ובי"ש עשו רק לעצמן [ולכן נחשב כב' עיירות]. דעיקר המח' הוא בין העם, ולא בין הת"ח. ורבא לא ס"ל לחלק בזה.</w:t>
      </w:r>
    </w:p>
    <w:p w14:paraId="68E3DE72" w14:textId="77777777" w:rsidR="00BE1D1C" w:rsidRPr="00012502" w:rsidRDefault="00000000" w:rsidP="00012502">
      <w:pPr>
        <w:bidi/>
        <w:rPr>
          <w:rFonts w:ascii="Narkisim" w:hAnsi="Narkisim" w:cs="Narkisim"/>
        </w:rPr>
      </w:pPr>
      <w:r w:rsidRPr="00012502">
        <w:rPr>
          <w:rFonts w:ascii="Narkisim" w:hAnsi="Narkisim" w:cs="Narkisim"/>
          <w:u w:val="single"/>
          <w:rtl/>
        </w:rPr>
        <w:t>אלא אמר רבא וכו' ב' בי"ד בעיר א' ל"ל בה.</w:t>
      </w:r>
      <w:r w:rsidRPr="00012502">
        <w:rPr>
          <w:rFonts w:ascii="Narkisim" w:hAnsi="Narkisim" w:cs="Narkisim"/>
          <w:rtl/>
        </w:rPr>
        <w:t xml:space="preserve"> וצ"ב דאדרבה ב' בתי דין יותר נראה כב' תורות. </w:t>
      </w:r>
      <w:r w:rsidRPr="00012502">
        <w:rPr>
          <w:rFonts w:ascii="Narkisim" w:hAnsi="Narkisim" w:cs="Narkisim"/>
          <w:sz w:val="20"/>
          <w:szCs w:val="20"/>
          <w:rtl/>
        </w:rPr>
        <w:t>[וה</w:t>
      </w:r>
      <w:r w:rsidRPr="00012502">
        <w:rPr>
          <w:rFonts w:ascii="Narkisim" w:hAnsi="Narkisim" w:cs="Narkisim"/>
          <w:b/>
          <w:bCs/>
          <w:sz w:val="20"/>
          <w:szCs w:val="20"/>
          <w:rtl/>
        </w:rPr>
        <w:t>קר"א</w:t>
      </w:r>
      <w:r w:rsidRPr="00012502">
        <w:rPr>
          <w:rFonts w:ascii="Narkisim" w:hAnsi="Narkisim" w:cs="Narkisim"/>
          <w:sz w:val="20"/>
          <w:szCs w:val="20"/>
          <w:rtl/>
        </w:rPr>
        <w:t xml:space="preserve"> כת' דמכאן למד ה</w:t>
      </w:r>
      <w:r w:rsidRPr="00012502">
        <w:rPr>
          <w:rFonts w:ascii="Narkisim" w:hAnsi="Narkisim" w:cs="Narkisim"/>
          <w:b/>
          <w:bCs/>
          <w:sz w:val="20"/>
          <w:szCs w:val="20"/>
          <w:rtl/>
        </w:rPr>
        <w:t>רמב"ם</w:t>
      </w:r>
      <w:r w:rsidRPr="00012502">
        <w:rPr>
          <w:rFonts w:ascii="Narkisim" w:hAnsi="Narkisim" w:cs="Narkisim"/>
          <w:sz w:val="20"/>
          <w:szCs w:val="20"/>
          <w:rtl/>
        </w:rPr>
        <w:t xml:space="preserve"> דהנידון משום מחלוקת, ולא משום ב' תורות].</w:t>
      </w:r>
    </w:p>
    <w:p w14:paraId="08D99A6D"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מאירי</w:t>
      </w:r>
      <w:r w:rsidRPr="00012502">
        <w:rPr>
          <w:rFonts w:ascii="Narkisim" w:hAnsi="Narkisim"/>
          <w:rtl/>
        </w:rPr>
        <w:t xml:space="preserve"> תי' דאין בזה משום ב' תורות, דא"א לעולם שיסכימו לדעה אחת.</w:t>
      </w:r>
      <w:r w:rsidRPr="00012502">
        <w:rPr>
          <w:rFonts w:ascii="Narkisim" w:hAnsi="Narkisim"/>
          <w:sz w:val="20"/>
          <w:szCs w:val="20"/>
          <w:rtl/>
        </w:rPr>
        <w:t xml:space="preserve"> [ויל"פ דבבי"ד א' דין התורה מחייב לדון אלו כנגד אלו עד שיחזירום מדבריהם. ואם אינם טורחים להכריע מיחזי כב' תורות. אבל בב' בי"ד מתקבל מסברא דא"א לכוון לדבר א', וכך ניתנה התורה</w:t>
      </w:r>
      <w:r w:rsidRPr="00012502">
        <w:rPr>
          <w:rStyle w:val="ac"/>
          <w:rFonts w:ascii="Narkisim" w:hAnsi="Narkisim"/>
          <w:sz w:val="20"/>
          <w:szCs w:val="20"/>
          <w:rtl/>
        </w:rPr>
        <w:footnoteReference w:id="839"/>
      </w:r>
      <w:r w:rsidRPr="00012502">
        <w:rPr>
          <w:rFonts w:ascii="Narkisim" w:hAnsi="Narkisim"/>
          <w:sz w:val="20"/>
          <w:szCs w:val="20"/>
          <w:rtl/>
        </w:rPr>
        <w:t>].</w:t>
      </w:r>
    </w:p>
    <w:p w14:paraId="1F06075D" w14:textId="77777777" w:rsidR="00BE1D1C" w:rsidRPr="00012502" w:rsidRDefault="00000000" w:rsidP="00012502">
      <w:pPr>
        <w:pStyle w:val="aa"/>
        <w:bidi/>
        <w:rPr>
          <w:rFonts w:ascii="Narkisim" w:hAnsi="Narkisim"/>
        </w:rPr>
      </w:pPr>
      <w:r w:rsidRPr="00012502">
        <w:rPr>
          <w:rFonts w:ascii="Narkisim" w:hAnsi="Narkisim"/>
          <w:b/>
          <w:bCs/>
          <w:rtl/>
        </w:rPr>
        <w:t>רש"י</w:t>
      </w:r>
      <w:r w:rsidRPr="00012502">
        <w:rPr>
          <w:rFonts w:ascii="Narkisim" w:hAnsi="Narkisim"/>
          <w:rtl/>
        </w:rPr>
        <w:t xml:space="preserve"> (סוכה מד.) כת' דתקנו שלולב לא ידחה שבת במקדש, כיון דבגבולים לא דחי, לדידהו נמי לא דחי. שלא יעשו ישראל אגודות אגודות, ונראה כב' תורות. וה</w:t>
      </w:r>
      <w:r w:rsidRPr="00012502">
        <w:rPr>
          <w:rFonts w:ascii="Narkisim" w:hAnsi="Narkisim"/>
          <w:b/>
          <w:bCs/>
          <w:rtl/>
        </w:rPr>
        <w:t>אחרונים</w:t>
      </w:r>
      <w:r w:rsidRPr="00012502">
        <w:rPr>
          <w:rFonts w:ascii="Narkisim" w:hAnsi="Narkisim"/>
          <w:rtl/>
        </w:rPr>
        <w:t xml:space="preserve"> הקשו דהוה ב' מקומות וב' בי"ד, ול"ש לא תתגודדו לכו"ע</w:t>
      </w:r>
      <w:r w:rsidRPr="00012502">
        <w:rPr>
          <w:rStyle w:val="ac"/>
          <w:rFonts w:ascii="Narkisim" w:hAnsi="Narkisim"/>
          <w:rtl/>
        </w:rPr>
        <w:footnoteReference w:id="840"/>
      </w:r>
      <w:r w:rsidRPr="00012502">
        <w:rPr>
          <w:rFonts w:ascii="Narkisim" w:hAnsi="Narkisim"/>
          <w:rtl/>
        </w:rPr>
        <w:t>. וביארו דלא תתגודדו לאו דוקא. אלא דפרש"י טעם דמש"ה עשו תקנה. אף דל"ש לא תתגודדו מדינא</w:t>
      </w:r>
      <w:r w:rsidRPr="00012502">
        <w:rPr>
          <w:rStyle w:val="ac"/>
          <w:rFonts w:ascii="Narkisim" w:hAnsi="Narkisim"/>
          <w:rtl/>
        </w:rPr>
        <w:footnoteReference w:id="841"/>
      </w:r>
      <w:r w:rsidRPr="00012502">
        <w:rPr>
          <w:rFonts w:ascii="Narkisim" w:hAnsi="Narkisim"/>
          <w:rtl/>
        </w:rPr>
        <w:t>.</w:t>
      </w:r>
    </w:p>
    <w:p w14:paraId="4555445D"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רמב"ם</w:t>
      </w:r>
      <w:r w:rsidRPr="00012502">
        <w:rPr>
          <w:rFonts w:ascii="Narkisim" w:hAnsi="Narkisim" w:cs="Narkisim"/>
          <w:sz w:val="20"/>
          <w:szCs w:val="20"/>
          <w:rtl/>
        </w:rPr>
        <w:t xml:space="preserve"> (ע"ז יב יד) </w:t>
      </w:r>
      <w:r w:rsidRPr="00012502">
        <w:rPr>
          <w:rFonts w:ascii="Narkisim" w:hAnsi="Narkisim" w:cs="Narkisim"/>
          <w:rtl/>
        </w:rPr>
        <w:t>הביא דבכלל אזהרת לא תתגודדו שלא יהיו ב' בתי דינים בעיר א', זה נוהג במנהג זה וזה במנהג אחר. שדבר זה גורם למחלוקת גדולה</w:t>
      </w:r>
      <w:r w:rsidRPr="00012502">
        <w:rPr>
          <w:rStyle w:val="ac"/>
          <w:rFonts w:ascii="Narkisim" w:hAnsi="Narkisim" w:cs="Narkisim"/>
          <w:rtl/>
        </w:rPr>
        <w:footnoteReference w:id="842"/>
      </w:r>
      <w:r w:rsidRPr="00012502">
        <w:rPr>
          <w:rFonts w:ascii="Narkisim" w:hAnsi="Narkisim" w:cs="Narkisim"/>
          <w:rtl/>
        </w:rPr>
        <w:t>. וה</w:t>
      </w:r>
      <w:r w:rsidRPr="00012502">
        <w:rPr>
          <w:rFonts w:ascii="Narkisim" w:hAnsi="Narkisim" w:cs="Narkisim"/>
          <w:b/>
          <w:bCs/>
          <w:rtl/>
        </w:rPr>
        <w:t>כס"מ</w:t>
      </w:r>
      <w:r w:rsidRPr="00012502">
        <w:rPr>
          <w:rFonts w:ascii="Narkisim" w:hAnsi="Narkisim" w:cs="Narkisim"/>
          <w:rtl/>
        </w:rPr>
        <w:t xml:space="preserve"> ו</w:t>
      </w:r>
      <w:r w:rsidRPr="00012502">
        <w:rPr>
          <w:rFonts w:ascii="Narkisim" w:hAnsi="Narkisim" w:cs="Narkisim"/>
          <w:b/>
          <w:bCs/>
          <w:rtl/>
        </w:rPr>
        <w:t>לח"מ</w:t>
      </w:r>
      <w:r w:rsidRPr="00012502">
        <w:rPr>
          <w:rFonts w:ascii="Narkisim" w:hAnsi="Narkisim" w:cs="Narkisim"/>
          <w:rtl/>
        </w:rPr>
        <w:t xml:space="preserve"> כתבו דפסק כאביי</w:t>
      </w:r>
      <w:r w:rsidRPr="00012502">
        <w:rPr>
          <w:rStyle w:val="ac"/>
          <w:rFonts w:ascii="Narkisim" w:hAnsi="Narkisim" w:cs="Narkisim"/>
          <w:rtl/>
        </w:rPr>
        <w:footnoteReference w:id="843"/>
      </w:r>
      <w:r w:rsidRPr="00012502">
        <w:rPr>
          <w:rFonts w:ascii="Narkisim" w:hAnsi="Narkisim" w:cs="Narkisim"/>
          <w:rtl/>
        </w:rPr>
        <w:t xml:space="preserve">. </w:t>
      </w:r>
      <w:r w:rsidRPr="00012502">
        <w:rPr>
          <w:rFonts w:ascii="Narkisim" w:hAnsi="Narkisim" w:cs="Narkisim"/>
          <w:sz w:val="20"/>
          <w:szCs w:val="20"/>
          <w:rtl/>
        </w:rPr>
        <w:t>והכס"מ כת' דכלל דיע"ל קג"ם הוה דוקא היכא דפליגי אליבא דנפשייהו. ולא היכא דפליגי כמאן הלכה.</w:t>
      </w:r>
    </w:p>
    <w:p w14:paraId="732C8BDC"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לח"מ</w:t>
      </w:r>
      <w:r w:rsidRPr="00012502">
        <w:rPr>
          <w:rFonts w:ascii="Narkisim" w:hAnsi="Narkisim"/>
          <w:rtl/>
        </w:rPr>
        <w:t xml:space="preserve"> כתב דפסק כמ"ד [רב ור"ל] דבית שמאי לא עשו כדבריהם, וע"כ משום לא תתגודדו. </w:t>
      </w:r>
      <w:r w:rsidRPr="00012502">
        <w:rPr>
          <w:rFonts w:ascii="Narkisim" w:hAnsi="Narkisim"/>
          <w:sz w:val="20"/>
          <w:szCs w:val="20"/>
          <w:rtl/>
        </w:rPr>
        <w:t>אבל בב' עיירות מותר מהא דמגילה</w:t>
      </w:r>
      <w:r w:rsidRPr="00012502">
        <w:rPr>
          <w:rStyle w:val="ac"/>
          <w:rFonts w:ascii="Narkisim" w:hAnsi="Narkisim"/>
          <w:sz w:val="20"/>
          <w:szCs w:val="20"/>
          <w:rtl/>
        </w:rPr>
        <w:footnoteReference w:id="844"/>
      </w:r>
      <w:r w:rsidRPr="00012502">
        <w:rPr>
          <w:rFonts w:ascii="Narkisim" w:hAnsi="Narkisim"/>
          <w:sz w:val="20"/>
          <w:szCs w:val="20"/>
          <w:rtl/>
        </w:rPr>
        <w:t>.</w:t>
      </w:r>
      <w:r w:rsidRPr="00012502">
        <w:rPr>
          <w:rFonts w:ascii="Narkisim" w:hAnsi="Narkisim"/>
          <w:rtl/>
        </w:rPr>
        <w:t xml:space="preserve"> אך הק' דמסקנת הגמ' (לקמן טו: וטז.) ש"מ דעשו כדבריהם. </w:t>
      </w:r>
      <w:r w:rsidRPr="00012502">
        <w:rPr>
          <w:rFonts w:ascii="Narkisim" w:hAnsi="Narkisim"/>
          <w:sz w:val="20"/>
          <w:szCs w:val="20"/>
          <w:rtl/>
        </w:rPr>
        <w:t>וה</w:t>
      </w:r>
      <w:r w:rsidRPr="00012502">
        <w:rPr>
          <w:rFonts w:ascii="Narkisim" w:hAnsi="Narkisim"/>
          <w:b/>
          <w:bCs/>
          <w:sz w:val="20"/>
          <w:szCs w:val="20"/>
          <w:rtl/>
        </w:rPr>
        <w:t xml:space="preserve">ערול"נ </w:t>
      </w:r>
      <w:r w:rsidRPr="00012502">
        <w:rPr>
          <w:rFonts w:ascii="Narkisim" w:hAnsi="Narkisim"/>
          <w:sz w:val="20"/>
          <w:szCs w:val="20"/>
          <w:rtl/>
        </w:rPr>
        <w:t>(טו.) דן דתליא אי עשו כדבריהם רק קודם בת קול, והרמב"ם פסק [כלישנא בתרא] דלא עשו אחר בת קול משום לא תתגודדו, וש"מ עשו רק קודם בת קול</w:t>
      </w:r>
      <w:r w:rsidRPr="00012502">
        <w:rPr>
          <w:rStyle w:val="ac"/>
          <w:rFonts w:ascii="Narkisim" w:hAnsi="Narkisim"/>
          <w:sz w:val="20"/>
          <w:szCs w:val="20"/>
          <w:rtl/>
        </w:rPr>
        <w:footnoteReference w:id="845"/>
      </w:r>
      <w:r w:rsidRPr="00012502">
        <w:rPr>
          <w:rFonts w:ascii="Narkisim" w:hAnsi="Narkisim"/>
          <w:sz w:val="20"/>
          <w:szCs w:val="20"/>
          <w:rtl/>
        </w:rPr>
        <w:t>. [וצ"ב דאמאי לא חששו ללא תתגודדו קודם בת קול</w:t>
      </w:r>
      <w:r w:rsidRPr="00012502">
        <w:rPr>
          <w:rStyle w:val="ac"/>
          <w:rFonts w:ascii="Narkisim" w:hAnsi="Narkisim"/>
          <w:sz w:val="20"/>
          <w:szCs w:val="20"/>
          <w:rtl/>
        </w:rPr>
        <w:footnoteReference w:id="846"/>
      </w:r>
      <w:r w:rsidRPr="00012502">
        <w:rPr>
          <w:rFonts w:ascii="Narkisim" w:hAnsi="Narkisim"/>
          <w:sz w:val="20"/>
          <w:szCs w:val="20"/>
          <w:rtl/>
        </w:rPr>
        <w:t xml:space="preserve"> ועי"ש].</w:t>
      </w:r>
    </w:p>
    <w:p w14:paraId="0EFE5C3A" w14:textId="77777777" w:rsidR="00BE1D1C" w:rsidRPr="00012502" w:rsidRDefault="00000000" w:rsidP="00012502">
      <w:pPr>
        <w:pStyle w:val="a7"/>
        <w:bidi/>
        <w:rPr>
          <w:rFonts w:ascii="Narkisim" w:hAnsi="Narkisim"/>
        </w:rPr>
      </w:pPr>
      <w:r w:rsidRPr="00012502">
        <w:rPr>
          <w:rFonts w:ascii="Narkisim" w:hAnsi="Narkisim"/>
          <w:rtl/>
        </w:rPr>
        <w:t xml:space="preserve">ויש </w:t>
      </w:r>
      <w:r w:rsidRPr="00012502">
        <w:rPr>
          <w:rFonts w:ascii="Narkisim" w:hAnsi="Narkisim"/>
          <w:b/>
          <w:bCs/>
          <w:rtl/>
        </w:rPr>
        <w:t>אחרונים</w:t>
      </w:r>
      <w:r w:rsidRPr="00012502">
        <w:rPr>
          <w:rFonts w:ascii="Narkisim" w:hAnsi="Narkisim"/>
          <w:rtl/>
        </w:rPr>
        <w:t xml:space="preserve"> שביארו דלדעת הרמב"ם נח' אביי ורבא בשורש האיסור לא תתגודדו. שהרי אין לך אגודות ומחלוקות יותר מב' בתי דינים בעיר א', וע"כ דסברת רבא משום ב' תורות. והרמב"ם פסק דהוה משום מחלוקת, ומש"ה דוקא בב' מקומות אין חשש.</w:t>
      </w:r>
    </w:p>
    <w:p w14:paraId="4F24E6B9" w14:textId="77777777" w:rsidR="00BE1D1C" w:rsidRPr="00012502" w:rsidRDefault="00000000" w:rsidP="00012502">
      <w:pPr>
        <w:pStyle w:val="aa"/>
        <w:bidi/>
        <w:rPr>
          <w:rFonts w:ascii="Narkisim" w:hAnsi="Narkisim"/>
        </w:rPr>
      </w:pPr>
      <w:r w:rsidRPr="00012502">
        <w:rPr>
          <w:rFonts w:ascii="Narkisim" w:hAnsi="Narkisim"/>
          <w:rtl/>
        </w:rPr>
        <w:lastRenderedPageBreak/>
        <w:t>אבל ב</w:t>
      </w:r>
      <w:r w:rsidRPr="00012502">
        <w:rPr>
          <w:rFonts w:ascii="Narkisim" w:hAnsi="Narkisim"/>
          <w:b/>
          <w:bCs/>
          <w:rtl/>
        </w:rPr>
        <w:t>שו"ת משיב דבר</w:t>
      </w:r>
      <w:r w:rsidRPr="00012502">
        <w:rPr>
          <w:rFonts w:ascii="Narkisim" w:hAnsi="Narkisim"/>
          <w:rtl/>
        </w:rPr>
        <w:t xml:space="preserve"> (לנצי"ב, יז) כת' דהרמב"ם פסק כרבא, אלא דביאר דברי רבא דאיסור לא תתגודדו הוה במקום דלא נח' בדין. דכשיש מח' ב' בי"ד א"א להכריע כחד מינייהו, וכל א' יעשה כבי"ד דידיה. אבל במקום שהכריעו כולם כבי"ה, ומקצתם רוצים לנהוג להחמיר [שלא ע"פ דין]. מש"ה אסור משום מח'</w:t>
      </w:r>
      <w:r w:rsidRPr="00012502">
        <w:rPr>
          <w:rStyle w:val="ac"/>
          <w:rFonts w:ascii="Narkisim" w:hAnsi="Narkisim"/>
          <w:rtl/>
        </w:rPr>
        <w:footnoteReference w:id="847"/>
      </w:r>
      <w:r w:rsidRPr="00012502">
        <w:rPr>
          <w:rFonts w:ascii="Narkisim" w:hAnsi="Narkisim"/>
          <w:rtl/>
        </w:rPr>
        <w:t>. וא"כ לא תליא בבי"ד א' או ב' בי"ד, כל שהוא חומרא שלא מהדין אסור.</w:t>
      </w:r>
    </w:p>
    <w:p w14:paraId="55B43640" w14:textId="77777777" w:rsidR="00BE1D1C" w:rsidRPr="00012502" w:rsidRDefault="00000000" w:rsidP="00012502">
      <w:pPr>
        <w:bidi/>
        <w:rPr>
          <w:rFonts w:ascii="Narkisim" w:hAnsi="Narkisim" w:cs="Narkisim"/>
        </w:rPr>
      </w:pPr>
      <w:r w:rsidRPr="00012502">
        <w:rPr>
          <w:rFonts w:ascii="Narkisim" w:hAnsi="Narkisim" w:cs="Narkisim"/>
          <w:u w:val="single"/>
          <w:rtl/>
        </w:rPr>
        <w:t>תוד"ה כי.</w:t>
      </w:r>
      <w:r w:rsidRPr="00012502">
        <w:rPr>
          <w:rFonts w:ascii="Narkisim" w:hAnsi="Narkisim" w:cs="Narkisim"/>
          <w:rtl/>
        </w:rPr>
        <w:t xml:space="preserve"> וא"ת מה תי' ממגילה דבעיר א' וכו'. וה</w:t>
      </w:r>
      <w:r w:rsidRPr="00012502">
        <w:rPr>
          <w:rFonts w:ascii="Narkisim" w:hAnsi="Narkisim" w:cs="Narkisim"/>
          <w:b/>
          <w:bCs/>
          <w:rtl/>
        </w:rPr>
        <w:t>ראשונים</w:t>
      </w:r>
      <w:r w:rsidRPr="00012502">
        <w:rPr>
          <w:rFonts w:ascii="Narkisim" w:hAnsi="Narkisim" w:cs="Narkisim"/>
          <w:rtl/>
        </w:rPr>
        <w:t xml:space="preserve"> כתבו דלדעת </w:t>
      </w:r>
      <w:r w:rsidRPr="00012502">
        <w:rPr>
          <w:rFonts w:ascii="Narkisim" w:hAnsi="Narkisim" w:cs="Narkisim"/>
          <w:b/>
          <w:bCs/>
          <w:rtl/>
        </w:rPr>
        <w:t>רש"י</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 xml:space="preserve">יג: ד"ה אמינא) </w:t>
      </w:r>
      <w:r w:rsidRPr="00012502">
        <w:rPr>
          <w:rFonts w:ascii="Narkisim" w:hAnsi="Narkisim" w:cs="Narkisim"/>
          <w:rtl/>
        </w:rPr>
        <w:t>קושיית הגמ' רק ממוקפים שקראו בט"ו, והוה ב' עיירות. אבל משום עיירות שמקדימים, הוה רק מנהג</w:t>
      </w:r>
      <w:r w:rsidRPr="00012502">
        <w:rPr>
          <w:rStyle w:val="ac"/>
          <w:rFonts w:ascii="Narkisim" w:hAnsi="Narkisim" w:cs="Narkisim"/>
          <w:rtl/>
        </w:rPr>
        <w:footnoteReference w:id="848"/>
      </w:r>
      <w:r w:rsidRPr="00012502">
        <w:rPr>
          <w:rFonts w:ascii="Narkisim" w:hAnsi="Narkisim" w:cs="Narkisim"/>
          <w:rtl/>
        </w:rPr>
        <w:t>.</w:t>
      </w:r>
    </w:p>
    <w:p w14:paraId="7D92166E" w14:textId="77777777" w:rsidR="00BE1D1C" w:rsidRPr="00012502" w:rsidRDefault="00000000" w:rsidP="00012502">
      <w:pPr>
        <w:bidi/>
        <w:rPr>
          <w:rFonts w:ascii="Narkisim" w:hAnsi="Narkisim" w:cs="Narkisim"/>
        </w:rPr>
      </w:pPr>
      <w:r w:rsidRPr="00012502">
        <w:rPr>
          <w:rFonts w:ascii="Narkisim" w:hAnsi="Narkisim" w:cs="Narkisim"/>
          <w:u w:val="single"/>
          <w:rtl/>
        </w:rPr>
        <w:t>בא"ד דבעיר א' קוראים וכו'.</w:t>
      </w:r>
      <w:r w:rsidRPr="00012502">
        <w:rPr>
          <w:rFonts w:ascii="Narkisim" w:hAnsi="Narkisim" w:cs="Narkisim"/>
          <w:rtl/>
        </w:rPr>
        <w:t xml:space="preserve"> ה</w:t>
      </w:r>
      <w:r w:rsidRPr="00012502">
        <w:rPr>
          <w:rFonts w:ascii="Narkisim" w:hAnsi="Narkisim" w:cs="Narkisim"/>
          <w:b/>
          <w:bCs/>
          <w:rtl/>
        </w:rPr>
        <w:t>ראשונים</w:t>
      </w:r>
      <w:r w:rsidRPr="00012502">
        <w:rPr>
          <w:rFonts w:ascii="Narkisim" w:hAnsi="Narkisim" w:cs="Narkisim"/>
          <w:rtl/>
        </w:rPr>
        <w:t xml:space="preserve"> (רמב"ן רשב"א רא"ש) כת' דלרבא ניחא דהוה כב' בתי דינים בעיר א', וכל הקושיה לאביי</w:t>
      </w:r>
      <w:r w:rsidRPr="00012502">
        <w:rPr>
          <w:rFonts w:ascii="Narkisim" w:hAnsi="Narkisim" w:cs="Narkisim"/>
          <w:sz w:val="20"/>
          <w:szCs w:val="20"/>
          <w:rtl/>
        </w:rPr>
        <w:t xml:space="preserve"> [וכן משמע ב</w:t>
      </w:r>
      <w:r w:rsidRPr="00012502">
        <w:rPr>
          <w:rFonts w:ascii="Narkisim" w:hAnsi="Narkisim" w:cs="Narkisim"/>
          <w:b/>
          <w:bCs/>
          <w:sz w:val="20"/>
          <w:szCs w:val="20"/>
          <w:rtl/>
        </w:rPr>
        <w:t>תוס</w:t>
      </w:r>
      <w:r w:rsidRPr="00012502">
        <w:rPr>
          <w:rFonts w:ascii="Narkisim" w:hAnsi="Narkisim" w:cs="Narkisim"/>
          <w:sz w:val="20"/>
          <w:szCs w:val="20"/>
          <w:rtl/>
        </w:rPr>
        <w:t>'</w:t>
      </w:r>
      <w:r w:rsidRPr="00012502">
        <w:rPr>
          <w:rFonts w:ascii="Narkisim" w:hAnsi="Narkisim" w:cs="Narkisim"/>
          <w:rtl/>
        </w:rPr>
        <w:t>]. וה</w:t>
      </w:r>
      <w:r w:rsidRPr="00012502">
        <w:rPr>
          <w:rFonts w:ascii="Narkisim" w:hAnsi="Narkisim" w:cs="Narkisim"/>
          <w:b/>
          <w:bCs/>
          <w:rtl/>
        </w:rPr>
        <w:t>ראשונים</w:t>
      </w:r>
      <w:r w:rsidRPr="00012502">
        <w:rPr>
          <w:rFonts w:ascii="Narkisim" w:hAnsi="Narkisim" w:cs="Narkisim"/>
          <w:rtl/>
        </w:rPr>
        <w:t xml:space="preserve"> (הנ"ל, ור"ן מגילה) תי' דאף לאביי ניחא, לפי שהן מצויינים שם וקוראים לעצמן.</w:t>
      </w:r>
    </w:p>
    <w:p w14:paraId="68736A5A" w14:textId="77777777" w:rsidR="00BE1D1C" w:rsidRPr="00012502" w:rsidRDefault="00000000" w:rsidP="00012502">
      <w:pPr>
        <w:pStyle w:val="a8"/>
        <w:bidi/>
        <w:rPr>
          <w:rFonts w:ascii="Narkisim" w:hAnsi="Narkisim"/>
        </w:rPr>
      </w:pPr>
      <w:r w:rsidRPr="00012502">
        <w:rPr>
          <w:rFonts w:ascii="Narkisim" w:hAnsi="Narkisim"/>
          <w:rtl/>
        </w:rPr>
        <w:t>ה</w:t>
      </w:r>
      <w:r w:rsidRPr="00012502">
        <w:rPr>
          <w:rFonts w:ascii="Narkisim" w:hAnsi="Narkisim"/>
          <w:b/>
          <w:bCs/>
          <w:rtl/>
        </w:rPr>
        <w:t>טור"א</w:t>
      </w:r>
      <w:r w:rsidRPr="00012502">
        <w:rPr>
          <w:rFonts w:ascii="Narkisim" w:hAnsi="Narkisim"/>
          <w:rtl/>
        </w:rPr>
        <w:t xml:space="preserve"> (מגילה ב.) הקשה בהא דאי' בן עיר שהלך לכרך, אם עתיד לחזור וכו' קורא כבני עירו, ואף שהוא עכשיו בכרך. ואמאי אין בזה משום לא תתגודדו. ודוחק דאין לא תתגודדו אצל יחיד. [וביאר דאין אגודה פחות מג', כדאי' סוכה יג.]. ועוד דאפי' כשרבים הלכו למקום אחר דינם כן. והטור"א תי' דנחשב כב' בי"ד, כיון דשייך לבי"ד של עירו</w:t>
      </w:r>
      <w:r w:rsidRPr="00012502">
        <w:rPr>
          <w:rStyle w:val="ac"/>
          <w:rFonts w:ascii="Narkisim" w:hAnsi="Narkisim"/>
          <w:rtl/>
        </w:rPr>
        <w:footnoteReference w:id="849"/>
      </w:r>
      <w:r w:rsidRPr="00012502">
        <w:rPr>
          <w:rFonts w:ascii="Narkisim" w:hAnsi="Narkisim"/>
          <w:rtl/>
        </w:rPr>
        <w:t>.</w:t>
      </w:r>
    </w:p>
    <w:p w14:paraId="2EC3EA38"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ה</w:t>
      </w:r>
      <w:r w:rsidRPr="00012502">
        <w:rPr>
          <w:rFonts w:ascii="Narkisim" w:hAnsi="Narkisim" w:cs="Narkisim"/>
          <w:b/>
          <w:bCs/>
          <w:rtl/>
        </w:rPr>
        <w:t>רא"ש</w:t>
      </w:r>
      <w:r w:rsidRPr="00012502">
        <w:rPr>
          <w:rFonts w:ascii="Narkisim" w:hAnsi="Narkisim" w:cs="Narkisim"/>
          <w:rtl/>
        </w:rPr>
        <w:t xml:space="preserve"> תי' דלא נחשב לא תתגודדו דלא עשו כן משום פלוגתא אלא משום שהמקום גורם</w:t>
      </w:r>
      <w:r w:rsidRPr="00012502">
        <w:rPr>
          <w:rStyle w:val="ac"/>
          <w:rFonts w:ascii="Narkisim" w:hAnsi="Narkisim" w:cs="Narkisim"/>
          <w:rtl/>
        </w:rPr>
        <w:footnoteReference w:id="850"/>
      </w:r>
      <w:r w:rsidRPr="00012502">
        <w:rPr>
          <w:rFonts w:ascii="Narkisim" w:hAnsi="Narkisim" w:cs="Narkisim"/>
          <w:rtl/>
        </w:rPr>
        <w:t>, ואם היה בן מקום זה הולך למקו"א היה עושה כמוהם, הילכך לא מיחזי כב' תורות. וכעי"ז כת' ה</w:t>
      </w:r>
      <w:r w:rsidRPr="00012502">
        <w:rPr>
          <w:rFonts w:ascii="Narkisim" w:hAnsi="Narkisim" w:cs="Narkisim"/>
          <w:b/>
          <w:bCs/>
          <w:rtl/>
        </w:rPr>
        <w:t>ריטב"א</w:t>
      </w:r>
      <w:r w:rsidRPr="00012502">
        <w:rPr>
          <w:rFonts w:ascii="Narkisim" w:hAnsi="Narkisim" w:cs="Narkisim"/>
          <w:rtl/>
        </w:rPr>
        <w:t xml:space="preserve"> דהכא כולם מודו אלו לאלו, ולכל א' יש טעם לעשות כמו שעושה</w:t>
      </w:r>
      <w:r w:rsidRPr="00012502">
        <w:rPr>
          <w:rStyle w:val="ac"/>
          <w:rFonts w:ascii="Narkisim" w:hAnsi="Narkisim" w:cs="Narkisim"/>
          <w:rtl/>
        </w:rPr>
        <w:footnoteReference w:id="851"/>
      </w:r>
      <w:r w:rsidRPr="00012502">
        <w:rPr>
          <w:rFonts w:ascii="Narkisim" w:hAnsi="Narkisim" w:cs="Narkisim"/>
          <w:rtl/>
        </w:rPr>
        <w:t>.</w:t>
      </w:r>
    </w:p>
    <w:p w14:paraId="2CFD32EC"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כתב אע"ג דר"ל הק' ממגילה ולא חשש להכי, האמוראים לא חששו לקושייתו לגבי מגילה. ואף ר"ל נתכוון להקשות אמאי תקנו כן לכתחילה, בצורה שמיחזי כב' תורות.</w:t>
      </w:r>
    </w:p>
    <w:p w14:paraId="089753A4" w14:textId="77777777" w:rsidR="00BE1D1C" w:rsidRPr="00012502" w:rsidRDefault="00000000" w:rsidP="00012502">
      <w:pPr>
        <w:bidi/>
        <w:rPr>
          <w:rFonts w:ascii="Narkisim" w:hAnsi="Narkisim" w:cs="Narkisim"/>
        </w:rPr>
      </w:pPr>
      <w:r w:rsidRPr="00012502">
        <w:rPr>
          <w:rFonts w:ascii="Narkisim" w:hAnsi="Narkisim" w:cs="Narkisim"/>
          <w:u w:val="single"/>
          <w:rtl/>
        </w:rPr>
        <w:t>בא"ד דאמר בירושלמי דבן עיר אינו מוציא בן כרך, דאינו מחוייב בדבר וכו'</w:t>
      </w:r>
      <w:r w:rsidRPr="00012502">
        <w:rPr>
          <w:rFonts w:ascii="Narkisim" w:hAnsi="Narkisim" w:cs="Narkisim"/>
          <w:rtl/>
        </w:rPr>
        <w:t xml:space="preserve">. אבל </w:t>
      </w:r>
      <w:r w:rsidRPr="00012502">
        <w:rPr>
          <w:rFonts w:ascii="Narkisim" w:hAnsi="Narkisim" w:cs="Narkisim"/>
          <w:b/>
          <w:bCs/>
          <w:rtl/>
        </w:rPr>
        <w:t>רש"י</w:t>
      </w:r>
      <w:r w:rsidRPr="00012502">
        <w:rPr>
          <w:rFonts w:ascii="Narkisim" w:hAnsi="Narkisim" w:cs="Narkisim"/>
          <w:rtl/>
        </w:rPr>
        <w:t xml:space="preserve"> (מגילה ב.) כת' דהכפרים אינן בקיאין לקרות, וצריכין שיקראנה להם א' מבני העיר.</w:t>
      </w:r>
      <w:r w:rsidRPr="00012502">
        <w:rPr>
          <w:rFonts w:ascii="Narkisim" w:hAnsi="Narkisim" w:cs="Narkisim"/>
          <w:sz w:val="20"/>
          <w:szCs w:val="20"/>
          <w:rtl/>
        </w:rPr>
        <w:t xml:space="preserve"> [האחרונים דנו אמאי ל"ל כללא דאינו מחוייב בדבר. ואכ"מ</w:t>
      </w:r>
      <w:r w:rsidRPr="00012502">
        <w:rPr>
          <w:rStyle w:val="ac"/>
          <w:rFonts w:ascii="Narkisim" w:hAnsi="Narkisim" w:cs="Narkisim"/>
          <w:sz w:val="20"/>
          <w:szCs w:val="20"/>
          <w:rtl/>
        </w:rPr>
        <w:footnoteReference w:id="852"/>
      </w:r>
      <w:r w:rsidRPr="00012502">
        <w:rPr>
          <w:rFonts w:ascii="Narkisim" w:hAnsi="Narkisim" w:cs="Narkisim"/>
          <w:sz w:val="20"/>
          <w:szCs w:val="20"/>
          <w:rtl/>
        </w:rPr>
        <w:t>].</w:t>
      </w:r>
    </w:p>
    <w:p w14:paraId="30706E21" w14:textId="77777777" w:rsidR="00BE1D1C" w:rsidRPr="00012502" w:rsidRDefault="00000000" w:rsidP="00012502">
      <w:pPr>
        <w:bidi/>
        <w:rPr>
          <w:rFonts w:ascii="Narkisim" w:hAnsi="Narkisim" w:cs="Narkisim"/>
        </w:rPr>
      </w:pPr>
      <w:r w:rsidRPr="00012502">
        <w:rPr>
          <w:rFonts w:ascii="Narkisim" w:hAnsi="Narkisim" w:cs="Narkisim"/>
          <w:u w:val="single"/>
          <w:rtl/>
        </w:rPr>
        <w:t>במקומו של ר"א וכו'.</w:t>
      </w:r>
      <w:r w:rsidRPr="00012502">
        <w:rPr>
          <w:rFonts w:ascii="Narkisim" w:hAnsi="Narkisim" w:cs="Narkisim"/>
          <w:rtl/>
        </w:rPr>
        <w:t xml:space="preserve"> ה</w:t>
      </w:r>
      <w:r w:rsidRPr="00012502">
        <w:rPr>
          <w:rFonts w:ascii="Narkisim" w:hAnsi="Narkisim" w:cs="Narkisim"/>
          <w:b/>
          <w:bCs/>
          <w:rtl/>
        </w:rPr>
        <w:t>ראשונים</w:t>
      </w:r>
      <w:r w:rsidRPr="00012502">
        <w:rPr>
          <w:rFonts w:ascii="Narkisim" w:hAnsi="Narkisim" w:cs="Narkisim"/>
          <w:rtl/>
        </w:rPr>
        <w:t xml:space="preserve"> הקשו האיך הותר להם, הא בכל מקום שיש מח' צריך להחמיר בדאורייתא [וכדאיתא בע"ז ז.]</w:t>
      </w:r>
      <w:r w:rsidRPr="00012502">
        <w:rPr>
          <w:rStyle w:val="ac"/>
          <w:rFonts w:ascii="Narkisim" w:hAnsi="Narkisim" w:cs="Narkisim"/>
          <w:rtl/>
        </w:rPr>
        <w:footnoteReference w:id="853"/>
      </w:r>
      <w:r w:rsidRPr="00012502">
        <w:rPr>
          <w:rFonts w:ascii="Narkisim" w:hAnsi="Narkisim" w:cs="Narkisim"/>
          <w:rtl/>
        </w:rPr>
        <w:t>. וה</w:t>
      </w:r>
      <w:r w:rsidRPr="00012502">
        <w:rPr>
          <w:rFonts w:ascii="Narkisim" w:hAnsi="Narkisim" w:cs="Narkisim"/>
          <w:b/>
          <w:bCs/>
          <w:rtl/>
        </w:rPr>
        <w:t>ר"ן</w:t>
      </w:r>
      <w:r w:rsidRPr="00012502">
        <w:rPr>
          <w:rFonts w:ascii="Narkisim" w:hAnsi="Narkisim" w:cs="Narkisim"/>
          <w:rtl/>
        </w:rPr>
        <w:t xml:space="preserve"> (פסחים נא.) כת' דתלמידיו ואנשי מקומו עושים כדבריו בין לקולא ובין לחומרא</w:t>
      </w:r>
      <w:r w:rsidRPr="00012502">
        <w:rPr>
          <w:rStyle w:val="ac"/>
          <w:rFonts w:ascii="Narkisim" w:hAnsi="Narkisim" w:cs="Narkisim"/>
          <w:rtl/>
        </w:rPr>
        <w:footnoteReference w:id="854"/>
      </w:r>
      <w:r w:rsidRPr="00012502">
        <w:rPr>
          <w:rFonts w:ascii="Narkisim" w:hAnsi="Narkisim" w:cs="Narkisim"/>
          <w:rtl/>
        </w:rPr>
        <w:t>.</w:t>
      </w:r>
    </w:p>
    <w:p w14:paraId="643DC0A0" w14:textId="77777777" w:rsidR="00BE1D1C" w:rsidRPr="00012502" w:rsidRDefault="00000000" w:rsidP="00012502">
      <w:pPr>
        <w:pStyle w:val="a8"/>
        <w:bidi/>
        <w:rPr>
          <w:rFonts w:ascii="Narkisim" w:hAnsi="Narkisim"/>
        </w:rPr>
      </w:pPr>
      <w:r w:rsidRPr="00012502">
        <w:rPr>
          <w:rFonts w:ascii="Narkisim" w:hAnsi="Narkisim"/>
          <w:sz w:val="24"/>
          <w:rtl/>
        </w:rPr>
        <w:t>וכן ב</w:t>
      </w:r>
      <w:r w:rsidRPr="00012502">
        <w:rPr>
          <w:rFonts w:ascii="Narkisim" w:hAnsi="Narkisim"/>
          <w:b/>
          <w:bCs/>
          <w:rtl/>
        </w:rPr>
        <w:t>שו"ת הרשב"א</w:t>
      </w:r>
      <w:r w:rsidRPr="00012502">
        <w:rPr>
          <w:rFonts w:ascii="Narkisim" w:hAnsi="Narkisim"/>
          <w:rtl/>
        </w:rPr>
        <w:t xml:space="preserve"> (א רנג) הביא מכאן דיש לבני המקום לעשות כדברי רבם, ואין למחות בידם. וכת' שמכאן נהגו כמה קהילות לעשות כל דבריהם ע"פ פסקי הרמב"ם</w:t>
      </w:r>
      <w:r w:rsidRPr="00012502">
        <w:rPr>
          <w:rStyle w:val="ac"/>
          <w:rFonts w:ascii="Narkisim" w:hAnsi="Narkisim"/>
          <w:rtl/>
        </w:rPr>
        <w:footnoteReference w:id="855"/>
      </w:r>
      <w:r w:rsidRPr="00012502">
        <w:rPr>
          <w:rFonts w:ascii="Narkisim" w:hAnsi="Narkisim"/>
          <w:rtl/>
        </w:rPr>
        <w:t xml:space="preserve"> [וקבלו את פסקי הרמב"ם עליהם</w:t>
      </w:r>
      <w:r w:rsidRPr="00012502">
        <w:rPr>
          <w:rStyle w:val="ac"/>
          <w:rFonts w:ascii="Narkisim" w:hAnsi="Narkisim"/>
          <w:rtl/>
        </w:rPr>
        <w:footnoteReference w:id="856"/>
      </w:r>
      <w:r w:rsidRPr="00012502">
        <w:rPr>
          <w:rFonts w:ascii="Narkisim" w:hAnsi="Narkisim"/>
          <w:rtl/>
        </w:rPr>
        <w:t>, ואף שמעיקרא לא היו תלמידיו</w:t>
      </w:r>
      <w:r w:rsidRPr="00012502">
        <w:rPr>
          <w:rStyle w:val="ac"/>
          <w:rFonts w:ascii="Narkisim" w:hAnsi="Narkisim"/>
          <w:rtl/>
        </w:rPr>
        <w:footnoteReference w:id="857"/>
      </w:r>
      <w:r w:rsidRPr="00012502">
        <w:rPr>
          <w:rFonts w:ascii="Narkisim" w:hAnsi="Narkisim"/>
          <w:rtl/>
        </w:rPr>
        <w:t>]. וע"ע חזו"א (יו"ד קנ).</w:t>
      </w:r>
    </w:p>
    <w:p w14:paraId="3013B5C2" w14:textId="77777777" w:rsidR="00BE1D1C" w:rsidRPr="00012502" w:rsidRDefault="00000000" w:rsidP="00012502">
      <w:pPr>
        <w:pStyle w:val="aa"/>
        <w:bidi/>
        <w:rPr>
          <w:rFonts w:ascii="Narkisim" w:hAnsi="Narkisim"/>
        </w:rPr>
      </w:pPr>
      <w:r w:rsidRPr="00012502">
        <w:rPr>
          <w:rFonts w:ascii="Narkisim" w:hAnsi="Narkisim"/>
          <w:u w:val="single"/>
          <w:rtl/>
        </w:rPr>
        <w:t>תוד"ה במקומו.</w:t>
      </w:r>
      <w:r w:rsidRPr="00012502">
        <w:rPr>
          <w:rFonts w:ascii="Narkisim" w:hAnsi="Narkisim"/>
          <w:rtl/>
        </w:rPr>
        <w:t xml:space="preserve"> במתכוין היו מביאים עצמם שהיו צריכים. ה</w:t>
      </w:r>
      <w:r w:rsidRPr="00012502">
        <w:rPr>
          <w:rFonts w:ascii="Narkisim" w:hAnsi="Narkisim"/>
          <w:b/>
          <w:bCs/>
          <w:rtl/>
        </w:rPr>
        <w:t>ערול"נ</w:t>
      </w:r>
      <w:r w:rsidRPr="00012502">
        <w:rPr>
          <w:rStyle w:val="ac"/>
          <w:rFonts w:ascii="Narkisim" w:hAnsi="Narkisim"/>
          <w:rtl/>
        </w:rPr>
        <w:footnoteReference w:id="858"/>
      </w:r>
      <w:r w:rsidRPr="00012502">
        <w:rPr>
          <w:rFonts w:ascii="Narkisim" w:hAnsi="Narkisim"/>
          <w:rtl/>
        </w:rPr>
        <w:t xml:space="preserve"> ציין ד</w:t>
      </w:r>
      <w:r w:rsidRPr="00012502">
        <w:rPr>
          <w:rFonts w:ascii="Narkisim" w:hAnsi="Narkisim"/>
          <w:b/>
          <w:bCs/>
          <w:rtl/>
        </w:rPr>
        <w:t>תוס</w:t>
      </w:r>
      <w:r w:rsidRPr="00012502">
        <w:rPr>
          <w:rFonts w:ascii="Narkisim" w:hAnsi="Narkisim"/>
          <w:rtl/>
        </w:rPr>
        <w:t>' (שבת קל:) כת' דאף לר"א לא הותר במקום שאפשר דרך גגות. וא"כ כ"ש דלא היו מביאים עצמן במתכוון [ופליג אתוס' דידן].</w:t>
      </w:r>
    </w:p>
    <w:p w14:paraId="7F30A213" w14:textId="77777777" w:rsidR="00BE1D1C" w:rsidRPr="00012502" w:rsidRDefault="00000000" w:rsidP="00012502">
      <w:pPr>
        <w:pStyle w:val="a8"/>
        <w:bidi/>
        <w:rPr>
          <w:rFonts w:ascii="Narkisim" w:hAnsi="Narkisim"/>
        </w:rPr>
      </w:pPr>
      <w:r w:rsidRPr="00012502">
        <w:rPr>
          <w:rFonts w:ascii="Narkisim" w:hAnsi="Narkisim"/>
          <w:rtl/>
        </w:rPr>
        <w:lastRenderedPageBreak/>
        <w:t>ויש שחילקו דבשבת עצמו חייבין לעשות דרך היתר, דהותר ודוחה שבת רק היכא דא"א בענין אחר. [ומש"ה אסור לתקן סכין כשיש לו אחר]. אבל כשאין לו סכין אחר הוה בגדר הותרה. ומש"ה קודם שבת אי"צ לטרוח בזה, ורשאי להתכוון לכך. ע"ע הג' בן אריה (שבת קל:).</w:t>
      </w:r>
    </w:p>
    <w:p w14:paraId="07C6A180"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או"ש</w:t>
      </w:r>
      <w:r w:rsidRPr="00012502">
        <w:rPr>
          <w:rFonts w:ascii="Narkisim" w:hAnsi="Narkisim"/>
          <w:rtl/>
        </w:rPr>
        <w:t xml:space="preserve"> (ק"פ א יח) הוסיף דקודם שבת עדיין לא מטא זמן חיוב מצוות מילה, ומש"ה עדיין לא נתחייב לדאוג ולהכין צרכי המצווה.</w:t>
      </w:r>
    </w:p>
    <w:p w14:paraId="6A2E62DF" w14:textId="77777777" w:rsidR="00BE1D1C" w:rsidRPr="00012502" w:rsidRDefault="00000000" w:rsidP="00012502">
      <w:pPr>
        <w:pStyle w:val="aa"/>
        <w:bidi/>
        <w:rPr>
          <w:rFonts w:ascii="Narkisim" w:hAnsi="Narkisim"/>
        </w:rPr>
      </w:pPr>
      <w:r w:rsidRPr="00012502">
        <w:rPr>
          <w:rFonts w:ascii="Narkisim" w:hAnsi="Narkisim"/>
          <w:u w:val="single"/>
          <w:rtl/>
        </w:rPr>
        <w:t>ר' אבהו כריב"ל ס"ל וכו' משום כבודו דר' יוחנן</w:t>
      </w:r>
      <w:r w:rsidRPr="00012502">
        <w:rPr>
          <w:rFonts w:ascii="Narkisim" w:hAnsi="Narkisim"/>
          <w:rtl/>
        </w:rPr>
        <w:t>. [משמע דמדינא רשאי לעשות כסברתו, אף באתרא דר' יוחנן</w:t>
      </w:r>
      <w:r w:rsidRPr="00012502">
        <w:rPr>
          <w:rStyle w:val="ac"/>
          <w:rFonts w:ascii="Narkisim" w:hAnsi="Narkisim"/>
          <w:rtl/>
        </w:rPr>
        <w:footnoteReference w:id="859"/>
      </w:r>
      <w:r w:rsidRPr="00012502">
        <w:rPr>
          <w:rFonts w:ascii="Narkisim" w:hAnsi="Narkisim"/>
          <w:rtl/>
        </w:rPr>
        <w:t>. אלא משום כבוד].</w:t>
      </w:r>
    </w:p>
    <w:p w14:paraId="1093E7C5" w14:textId="77777777" w:rsidR="00BE1D1C" w:rsidRPr="00012502" w:rsidRDefault="00000000" w:rsidP="00012502">
      <w:pPr>
        <w:pStyle w:val="a8"/>
        <w:bidi/>
        <w:rPr>
          <w:rFonts w:ascii="Narkisim" w:hAnsi="Narkisim"/>
        </w:rPr>
      </w:pPr>
      <w:r w:rsidRPr="00012502">
        <w:rPr>
          <w:rFonts w:ascii="Narkisim" w:hAnsi="Narkisim"/>
          <w:rtl/>
        </w:rPr>
        <w:t>ו</w:t>
      </w:r>
      <w:r w:rsidRPr="00012502">
        <w:rPr>
          <w:rFonts w:ascii="Narkisim" w:hAnsi="Narkisim"/>
          <w:b/>
          <w:bCs/>
          <w:rtl/>
        </w:rPr>
        <w:t>בה"ג</w:t>
      </w:r>
      <w:r w:rsidRPr="00012502">
        <w:rPr>
          <w:rFonts w:ascii="Narkisim" w:hAnsi="Narkisim"/>
          <w:rtl/>
        </w:rPr>
        <w:t xml:space="preserve"> (הל' ברכות א לג בדה"ס) גרס בסוגיין דהגמ' מק' היכי שביק ר' יוחנן ועבד כריב"ל. [והגמ' תי' דר' אבהו ס"ל כוותיה]. ובה"ג הביא דמבואר בקו' הגמ' דהלכה כר' יוחנן נגד ריב"ל [בכל התורה]. [אבל דעת תוס' בכ"מ דהלכה כריב"ל נגד ר' יוחנן, ע"פ הגמ' מגילה כז.].</w:t>
      </w:r>
    </w:p>
    <w:p w14:paraId="152F337B" w14:textId="77777777" w:rsidR="00BE1D1C" w:rsidRPr="00012502" w:rsidRDefault="00000000" w:rsidP="00012502">
      <w:pPr>
        <w:pStyle w:val="aa"/>
        <w:bidi/>
        <w:rPr>
          <w:rFonts w:ascii="Narkisim" w:hAnsi="Narkisim"/>
        </w:rPr>
      </w:pPr>
      <w:r w:rsidRPr="00012502">
        <w:rPr>
          <w:rFonts w:ascii="Narkisim" w:hAnsi="Narkisim"/>
          <w:u w:val="single"/>
          <w:rtl/>
        </w:rPr>
        <w:t>והאיכא שמעא.</w:t>
      </w:r>
      <w:r w:rsidRPr="00012502">
        <w:rPr>
          <w:rFonts w:ascii="Narkisim" w:hAnsi="Narkisim"/>
          <w:rtl/>
        </w:rPr>
        <w:t xml:space="preserve"> פ</w:t>
      </w:r>
      <w:r w:rsidRPr="00012502">
        <w:rPr>
          <w:rFonts w:ascii="Narkisim" w:hAnsi="Narkisim"/>
          <w:b/>
          <w:bCs/>
          <w:rtl/>
        </w:rPr>
        <w:t>רש"י</w:t>
      </w:r>
      <w:r w:rsidRPr="00012502">
        <w:rPr>
          <w:rFonts w:ascii="Narkisim" w:hAnsi="Narkisim"/>
          <w:rtl/>
        </w:rPr>
        <w:t xml:space="preserve"> שהשמש ילמד לטלטל את הנר. וה</w:t>
      </w:r>
      <w:r w:rsidRPr="00012502">
        <w:rPr>
          <w:rFonts w:ascii="Narkisim" w:hAnsi="Narkisim"/>
          <w:b/>
          <w:bCs/>
          <w:rtl/>
        </w:rPr>
        <w:t>רשב"א</w:t>
      </w:r>
      <w:r w:rsidRPr="00012502">
        <w:rPr>
          <w:rFonts w:ascii="Narkisim" w:hAnsi="Narkisim"/>
          <w:rtl/>
        </w:rPr>
        <w:t xml:space="preserve"> כת' שיעבור על כבוד הרב</w:t>
      </w:r>
      <w:r w:rsidRPr="00012502">
        <w:rPr>
          <w:rStyle w:val="ac"/>
          <w:rFonts w:ascii="Narkisim" w:hAnsi="Narkisim"/>
          <w:rtl/>
        </w:rPr>
        <w:footnoteReference w:id="860"/>
      </w:r>
      <w:r w:rsidRPr="00012502">
        <w:rPr>
          <w:rFonts w:ascii="Narkisim" w:hAnsi="Narkisim"/>
          <w:rtl/>
        </w:rPr>
        <w:t>. אבל ה</w:t>
      </w:r>
      <w:r w:rsidRPr="00012502">
        <w:rPr>
          <w:rFonts w:ascii="Narkisim" w:hAnsi="Narkisim"/>
          <w:b/>
          <w:bCs/>
          <w:rtl/>
        </w:rPr>
        <w:t>תו"י</w:t>
      </w:r>
      <w:r w:rsidRPr="00012502">
        <w:rPr>
          <w:rFonts w:ascii="Narkisim" w:hAnsi="Narkisim"/>
          <w:rtl/>
        </w:rPr>
        <w:t xml:space="preserve"> כת' דקושיית הגמ' שיסבור דמותר לעשות אגודות.</w:t>
      </w:r>
    </w:p>
    <w:p w14:paraId="4ED6B107" w14:textId="77777777" w:rsidR="00BE1D1C" w:rsidRPr="00012502" w:rsidRDefault="00000000" w:rsidP="00012502">
      <w:pPr>
        <w:pStyle w:val="3"/>
        <w:bidi/>
        <w:rPr>
          <w:rFonts w:ascii="Narkisim" w:hAnsi="Narkisim"/>
        </w:rPr>
      </w:pPr>
      <w:r w:rsidRPr="00012502">
        <w:rPr>
          <w:rFonts w:ascii="Narkisim" w:hAnsi="Narkisim"/>
          <w:rtl/>
        </w:rPr>
        <w:t>דף יד:</w:t>
      </w:r>
    </w:p>
    <w:p w14:paraId="1D522DFD" w14:textId="77777777" w:rsidR="00BE1D1C" w:rsidRPr="00012502" w:rsidRDefault="00000000" w:rsidP="00012502">
      <w:pPr>
        <w:bidi/>
        <w:rPr>
          <w:rFonts w:ascii="Narkisim" w:hAnsi="Narkisim" w:cs="Narkisim"/>
        </w:rPr>
      </w:pPr>
      <w:r w:rsidRPr="00012502">
        <w:rPr>
          <w:rFonts w:ascii="Narkisim" w:hAnsi="Narkisim" w:cs="Narkisim"/>
          <w:u w:val="single"/>
          <w:rtl/>
        </w:rPr>
        <w:t>תוד"ה פשיטא.</w:t>
      </w:r>
      <w:r w:rsidRPr="00012502">
        <w:rPr>
          <w:rFonts w:ascii="Narkisim" w:hAnsi="Narkisim" w:cs="Narkisim"/>
          <w:rtl/>
        </w:rPr>
        <w:t xml:space="preserve"> תימה וכו' לאפוקי מדר"ע וכו'. ה</w:t>
      </w:r>
      <w:r w:rsidRPr="00012502">
        <w:rPr>
          <w:rFonts w:ascii="Narkisim" w:hAnsi="Narkisim" w:cs="Narkisim"/>
          <w:b/>
          <w:bCs/>
          <w:rtl/>
        </w:rPr>
        <w:t>קר"א</w:t>
      </w:r>
      <w:r w:rsidRPr="00012502">
        <w:rPr>
          <w:rFonts w:ascii="Narkisim" w:hAnsi="Narkisim" w:cs="Narkisim"/>
          <w:rtl/>
        </w:rPr>
        <w:t xml:space="preserve"> כת' דע"כ בית שמאי לא ס"ל לר' עקיבא. דלר' עקיבא חייבי לאוין פוטרות צרותיהם, ואי בי"ש דחייבי לאוין כערוה, א"כ יפטור אף לבית שמאי. דבחייבי לאוין ל"מ בזה סברת אין איסור חל ע"א, דאיסור [אשת אח] חמור חל על איסור קל</w:t>
      </w:r>
      <w:r w:rsidRPr="00012502">
        <w:rPr>
          <w:rStyle w:val="ac"/>
          <w:rFonts w:ascii="Narkisim" w:hAnsi="Narkisim" w:cs="Narkisim"/>
          <w:rtl/>
        </w:rPr>
        <w:footnoteReference w:id="861"/>
      </w:r>
      <w:r w:rsidRPr="00012502">
        <w:rPr>
          <w:rFonts w:ascii="Narkisim" w:hAnsi="Narkisim" w:cs="Narkisim"/>
          <w:rtl/>
        </w:rPr>
        <w:t>. ומהא דלבי"ש אין פטור צרה כלל, ע"כ דלא ס"ל כר' עקיבא.</w:t>
      </w:r>
    </w:p>
    <w:p w14:paraId="74BB1195" w14:textId="77777777" w:rsidR="00BE1D1C" w:rsidRPr="00012502" w:rsidRDefault="00000000" w:rsidP="00012502">
      <w:pPr>
        <w:pStyle w:val="aa"/>
        <w:bidi/>
        <w:rPr>
          <w:rFonts w:ascii="Narkisim" w:hAnsi="Narkisim"/>
        </w:rPr>
      </w:pPr>
      <w:r w:rsidRPr="00012502">
        <w:rPr>
          <w:rFonts w:ascii="Narkisim" w:hAnsi="Narkisim"/>
          <w:u w:val="single"/>
          <w:rtl/>
        </w:rPr>
        <w:t>בספק אשת איש</w:t>
      </w:r>
      <w:r w:rsidRPr="00012502">
        <w:rPr>
          <w:rStyle w:val="ac"/>
          <w:rFonts w:ascii="Narkisim" w:hAnsi="Narkisim"/>
          <w:rtl/>
        </w:rPr>
        <w:footnoteReference w:id="862"/>
      </w:r>
      <w:r w:rsidRPr="00012502">
        <w:rPr>
          <w:rFonts w:ascii="Narkisim" w:hAnsi="Narkisim"/>
          <w:rtl/>
        </w:rPr>
        <w:t>. פ</w:t>
      </w:r>
      <w:r w:rsidRPr="00012502">
        <w:rPr>
          <w:rFonts w:ascii="Narkisim" w:hAnsi="Narkisim"/>
          <w:b/>
          <w:bCs/>
          <w:rtl/>
        </w:rPr>
        <w:t>רש"י</w:t>
      </w:r>
      <w:r w:rsidRPr="00012502">
        <w:rPr>
          <w:rFonts w:ascii="Narkisim" w:hAnsi="Narkisim"/>
          <w:rtl/>
        </w:rPr>
        <w:t xml:space="preserve"> (בפי' הב') שנתייחד עמה וכו' והן הן עדי יחוד. ויש שדייקו הלשון דהוה 'ספק' א"א, דמשום עדי יחוד הוה רק ספק קידושין. [ונח' בזה הראשונים, עי"ש בסוגיא].</w:t>
      </w:r>
    </w:p>
    <w:p w14:paraId="479E76B1" w14:textId="77777777" w:rsidR="00BE1D1C" w:rsidRPr="00012502" w:rsidRDefault="00000000" w:rsidP="00012502">
      <w:pPr>
        <w:pStyle w:val="aa"/>
        <w:bidi/>
        <w:rPr>
          <w:rFonts w:ascii="Narkisim" w:hAnsi="Narkisim"/>
        </w:rPr>
      </w:pPr>
      <w:r w:rsidRPr="00012502">
        <w:rPr>
          <w:rFonts w:ascii="Narkisim" w:hAnsi="Narkisim"/>
          <w:u w:val="single"/>
          <w:rtl/>
        </w:rPr>
        <w:t>תוד"ה בגט ישן.</w:t>
      </w:r>
      <w:r w:rsidRPr="00012502">
        <w:rPr>
          <w:rFonts w:ascii="Narkisim" w:hAnsi="Narkisim"/>
          <w:rtl/>
        </w:rPr>
        <w:t xml:space="preserve"> תימה וכו' תנשא לכתחילה. ה</w:t>
      </w:r>
      <w:r w:rsidRPr="00012502">
        <w:rPr>
          <w:rFonts w:ascii="Narkisim" w:hAnsi="Narkisim"/>
          <w:b/>
          <w:bCs/>
          <w:rtl/>
        </w:rPr>
        <w:t>אחרונים</w:t>
      </w:r>
      <w:r w:rsidRPr="00012502">
        <w:rPr>
          <w:rFonts w:ascii="Narkisim" w:hAnsi="Narkisim"/>
          <w:rtl/>
        </w:rPr>
        <w:t xml:space="preserve"> הביאו ד</w:t>
      </w:r>
      <w:r w:rsidRPr="00012502">
        <w:rPr>
          <w:rFonts w:ascii="Narkisim" w:hAnsi="Narkisim"/>
          <w:b/>
          <w:bCs/>
          <w:rtl/>
        </w:rPr>
        <w:t>רש"י</w:t>
      </w:r>
      <w:r w:rsidRPr="00012502">
        <w:rPr>
          <w:rFonts w:ascii="Narkisim" w:hAnsi="Narkisim"/>
          <w:rtl/>
        </w:rPr>
        <w:t xml:space="preserve"> (שם) כת' דרק בהלך בעלה למדינת הים תנשא לכתחילה. אבל כשבעלה כאן</w:t>
      </w:r>
      <w:r w:rsidRPr="00012502">
        <w:rPr>
          <w:rStyle w:val="ac"/>
          <w:rFonts w:ascii="Narkisim" w:hAnsi="Narkisim"/>
          <w:rtl/>
        </w:rPr>
        <w:footnoteReference w:id="863"/>
      </w:r>
      <w:r w:rsidRPr="00012502">
        <w:rPr>
          <w:rFonts w:ascii="Narkisim" w:hAnsi="Narkisim"/>
          <w:rtl/>
        </w:rPr>
        <w:t xml:space="preserve"> אסורה לינשא</w:t>
      </w:r>
      <w:r w:rsidRPr="00012502">
        <w:rPr>
          <w:rStyle w:val="ac"/>
          <w:rFonts w:ascii="Narkisim" w:hAnsi="Narkisim"/>
          <w:rtl/>
        </w:rPr>
        <w:footnoteReference w:id="864"/>
      </w:r>
      <w:r w:rsidRPr="00012502">
        <w:rPr>
          <w:rFonts w:ascii="Narkisim" w:hAnsi="Narkisim"/>
          <w:rtl/>
        </w:rPr>
        <w:t>. ולפ"ז מיושב.</w:t>
      </w:r>
    </w:p>
    <w:p w14:paraId="253C3DFE" w14:textId="77777777" w:rsidR="00BE1D1C" w:rsidRPr="00012502" w:rsidRDefault="00000000" w:rsidP="00012502">
      <w:pPr>
        <w:bidi/>
        <w:rPr>
          <w:rFonts w:ascii="Narkisim" w:hAnsi="Narkisim" w:cs="Narkisim"/>
        </w:rPr>
      </w:pPr>
      <w:r w:rsidRPr="00012502">
        <w:rPr>
          <w:rFonts w:ascii="Narkisim" w:hAnsi="Narkisim" w:cs="Narkisim"/>
          <w:u w:val="single"/>
          <w:rtl/>
        </w:rPr>
        <w:t>לא נמנעו בי"ש מלישא וכו' ללמדך שחיבה וריעות נהגו זה בזה וכו'.</w:t>
      </w:r>
      <w:r w:rsidRPr="00012502">
        <w:rPr>
          <w:rFonts w:ascii="Narkisim" w:hAnsi="Narkisim" w:cs="Narkisim"/>
          <w:rtl/>
        </w:rPr>
        <w:t xml:space="preserve"> ה</w:t>
      </w:r>
      <w:r w:rsidRPr="00012502">
        <w:rPr>
          <w:rFonts w:ascii="Narkisim" w:hAnsi="Narkisim" w:cs="Narkisim"/>
          <w:b/>
          <w:bCs/>
          <w:rtl/>
        </w:rPr>
        <w:t>ריטב"א</w:t>
      </w:r>
      <w:r w:rsidRPr="00012502">
        <w:rPr>
          <w:rFonts w:ascii="Narkisim" w:hAnsi="Narkisim" w:cs="Narkisim"/>
          <w:rtl/>
        </w:rPr>
        <w:t xml:space="preserve"> כת' דסמכו על שתיקותם, וידעו שלא יאכילום דבר האסור לפי דעתם.</w:t>
      </w:r>
    </w:p>
    <w:p w14:paraId="1322FD03" w14:textId="77777777" w:rsidR="00BE1D1C" w:rsidRPr="00012502" w:rsidRDefault="00000000" w:rsidP="00012502">
      <w:pPr>
        <w:pStyle w:val="a7"/>
        <w:bidi/>
        <w:rPr>
          <w:rFonts w:ascii="Narkisim" w:hAnsi="Narkisim"/>
        </w:rPr>
      </w:pPr>
      <w:r w:rsidRPr="00012502">
        <w:rPr>
          <w:rFonts w:ascii="Narkisim" w:hAnsi="Narkisim"/>
          <w:rtl/>
        </w:rPr>
        <w:t>והריטב"א ביאר דאף דמדינא אסור להאכיל בידים</w:t>
      </w:r>
      <w:r w:rsidRPr="00012502">
        <w:rPr>
          <w:rStyle w:val="ac"/>
          <w:rFonts w:ascii="Narkisim" w:hAnsi="Narkisim"/>
          <w:rtl/>
        </w:rPr>
        <w:footnoteReference w:id="865"/>
      </w:r>
      <w:r w:rsidRPr="00012502">
        <w:rPr>
          <w:rFonts w:ascii="Narkisim" w:hAnsi="Narkisim"/>
          <w:rtl/>
        </w:rPr>
        <w:t xml:space="preserve">. </w:t>
      </w:r>
      <w:r w:rsidRPr="00012502">
        <w:rPr>
          <w:rFonts w:ascii="Narkisim" w:hAnsi="Narkisim"/>
          <w:sz w:val="20"/>
          <w:szCs w:val="20"/>
          <w:rtl/>
        </w:rPr>
        <w:t>כדאמר (חולין קיא:) חס ליה</w:t>
      </w:r>
      <w:r w:rsidRPr="00012502">
        <w:rPr>
          <w:rStyle w:val="ac"/>
          <w:rFonts w:ascii="Narkisim" w:hAnsi="Narkisim"/>
          <w:sz w:val="20"/>
          <w:szCs w:val="20"/>
          <w:rtl/>
        </w:rPr>
        <w:footnoteReference w:id="866"/>
      </w:r>
      <w:r w:rsidRPr="00012502">
        <w:rPr>
          <w:rFonts w:ascii="Narkisim" w:hAnsi="Narkisim"/>
          <w:sz w:val="20"/>
          <w:szCs w:val="20"/>
          <w:rtl/>
        </w:rPr>
        <w:t xml:space="preserve"> שיאכיל מידי דלא סבירא לי.</w:t>
      </w:r>
      <w:r w:rsidRPr="00012502">
        <w:rPr>
          <w:rFonts w:ascii="Narkisim" w:hAnsi="Narkisim"/>
          <w:rtl/>
        </w:rPr>
        <w:t xml:space="preserve"> מ“מ כשאוכלים לבד אין חיוב להפרישם, כיון שאצלו הוה היתר גמור. אלא דאהבה וריעות נהגו זב"ז, ומאי דסני להו לחברייהו לא עבדי.</w:t>
      </w:r>
    </w:p>
    <w:p w14:paraId="4051175C" w14:textId="77777777" w:rsidR="00BE1D1C" w:rsidRPr="00012502" w:rsidRDefault="00000000" w:rsidP="00012502">
      <w:pPr>
        <w:bidi/>
        <w:rPr>
          <w:rFonts w:ascii="Narkisim" w:hAnsi="Narkisim" w:cs="Narkisim"/>
        </w:rPr>
      </w:pPr>
      <w:r w:rsidRPr="00012502">
        <w:rPr>
          <w:rFonts w:ascii="Narkisim" w:hAnsi="Narkisim" w:cs="Narkisim"/>
          <w:rtl/>
        </w:rPr>
        <w:t>וב</w:t>
      </w:r>
      <w:r w:rsidRPr="00012502">
        <w:rPr>
          <w:rFonts w:ascii="Narkisim" w:hAnsi="Narkisim" w:cs="Narkisim"/>
          <w:b/>
          <w:bCs/>
          <w:rtl/>
        </w:rPr>
        <w:t>הג' מרדכי</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צו והו' ברמ"א קיט ז)</w:t>
      </w:r>
      <w:r w:rsidRPr="00012502">
        <w:rPr>
          <w:rFonts w:ascii="Narkisim" w:hAnsi="Narkisim" w:cs="Narkisim"/>
          <w:rtl/>
        </w:rPr>
        <w:t xml:space="preserve"> הביא מכאן דהיכא דראובן סובר שדבר אסור. ושמעון ס"ל דמותר, וסבור שראובן טועה, ואילו היה יודע היה אוכל. אפ"ה ראובן יכול לסמוך על שמעון שלא יאכלינו דבר האסור לפי דעתו. וכ"ש היכא שראובן קיבל על עצמו להחמיר שלא מהדין, יכול לסמוך על שמעון שלא יכשיל אותו, שלא יעבור בלפני עוור דומיא דמאכיל ישראל תרומה ונזיר יין.</w:t>
      </w:r>
    </w:p>
    <w:p w14:paraId="01F9F1E7"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ש"ך</w:t>
      </w:r>
      <w:r w:rsidRPr="00012502">
        <w:rPr>
          <w:rFonts w:ascii="Narkisim" w:hAnsi="Narkisim"/>
          <w:rtl/>
        </w:rPr>
        <w:t xml:space="preserve"> (קיט כ) הביא שו"ת מה</w:t>
      </w:r>
      <w:r w:rsidRPr="00012502">
        <w:rPr>
          <w:rFonts w:ascii="Narkisim" w:hAnsi="Narkisim"/>
          <w:b/>
          <w:bCs/>
          <w:rtl/>
        </w:rPr>
        <w:t>רלב"ח</w:t>
      </w:r>
      <w:r w:rsidRPr="00012502">
        <w:rPr>
          <w:rFonts w:ascii="Narkisim" w:hAnsi="Narkisim"/>
          <w:rtl/>
        </w:rPr>
        <w:t xml:space="preserve"> (קכא) דהיכא דראובן קיבל על עצמו מנהג לאסור, שמעון אינו רשאי לתת לו לאכול, אפי' ניכר שהוא מה שקיבל עליו. אבל במה שראובן סובר כן מדינא אסור להאכילו כשאינו ניכר</w:t>
      </w:r>
      <w:r w:rsidRPr="00012502">
        <w:rPr>
          <w:rStyle w:val="ac"/>
          <w:rFonts w:ascii="Narkisim" w:hAnsi="Narkisim"/>
          <w:rtl/>
        </w:rPr>
        <w:footnoteReference w:id="867"/>
      </w:r>
      <w:r w:rsidRPr="00012502">
        <w:rPr>
          <w:rFonts w:ascii="Narkisim" w:hAnsi="Narkisim"/>
          <w:rtl/>
        </w:rPr>
        <w:t>, ואילו היכא שניכר הדבר אין איסור</w:t>
      </w:r>
      <w:r w:rsidRPr="00012502">
        <w:rPr>
          <w:rStyle w:val="ac"/>
          <w:rFonts w:ascii="Narkisim" w:hAnsi="Narkisim"/>
          <w:rtl/>
        </w:rPr>
        <w:footnoteReference w:id="868"/>
      </w:r>
      <w:r w:rsidRPr="00012502">
        <w:rPr>
          <w:rFonts w:ascii="Narkisim" w:hAnsi="Narkisim"/>
          <w:rtl/>
        </w:rPr>
        <w:t>.</w:t>
      </w:r>
    </w:p>
    <w:p w14:paraId="6CC1D759" w14:textId="77777777" w:rsidR="00BE1D1C" w:rsidRPr="00012502" w:rsidRDefault="00000000" w:rsidP="00012502">
      <w:pPr>
        <w:pStyle w:val="a7"/>
        <w:bidi/>
        <w:rPr>
          <w:rFonts w:ascii="Narkisim" w:hAnsi="Narkisim"/>
        </w:rPr>
      </w:pPr>
      <w:r w:rsidRPr="00012502">
        <w:rPr>
          <w:rFonts w:ascii="Narkisim" w:hAnsi="Narkisim"/>
          <w:rtl/>
        </w:rPr>
        <w:lastRenderedPageBreak/>
        <w:t>וה</w:t>
      </w:r>
      <w:r w:rsidRPr="00012502">
        <w:rPr>
          <w:rFonts w:ascii="Narkisim" w:hAnsi="Narkisim"/>
          <w:b/>
          <w:bCs/>
          <w:rtl/>
        </w:rPr>
        <w:t>פר"ח</w:t>
      </w:r>
      <w:r w:rsidRPr="00012502">
        <w:rPr>
          <w:rFonts w:ascii="Narkisim" w:hAnsi="Narkisim"/>
          <w:rtl/>
        </w:rPr>
        <w:t xml:space="preserve"> (או"ח תצו כג) חלק דכיון דהוא ס"ל דמותר מדינא אין בזה לפני עוור, דא"כ מאי קמ"ל בסוגיין דנהגו אהבה וריעות. </w:t>
      </w:r>
      <w:r w:rsidRPr="00012502">
        <w:rPr>
          <w:rFonts w:ascii="Narkisim" w:hAnsi="Narkisim"/>
          <w:sz w:val="20"/>
          <w:szCs w:val="20"/>
          <w:rtl/>
        </w:rPr>
        <w:t>אלא דאפי' הכי אינו ראוי להאכילו, וקמ"ל ההג"מ דיכול לסמוך עליו</w:t>
      </w:r>
      <w:r w:rsidRPr="00012502">
        <w:rPr>
          <w:rStyle w:val="ac"/>
          <w:rFonts w:ascii="Narkisim" w:hAnsi="Narkisim"/>
          <w:sz w:val="20"/>
          <w:szCs w:val="20"/>
          <w:rtl/>
        </w:rPr>
        <w:footnoteReference w:id="869"/>
      </w:r>
      <w:r w:rsidRPr="00012502">
        <w:rPr>
          <w:rFonts w:ascii="Narkisim" w:hAnsi="Narkisim"/>
          <w:sz w:val="20"/>
          <w:szCs w:val="20"/>
          <w:rtl/>
        </w:rPr>
        <w:t>.</w:t>
      </w:r>
    </w:p>
    <w:p w14:paraId="636F6685" w14:textId="77777777" w:rsidR="00BE1D1C" w:rsidRPr="00012502" w:rsidRDefault="00000000" w:rsidP="00012502">
      <w:pPr>
        <w:bidi/>
        <w:rPr>
          <w:rFonts w:ascii="Narkisim" w:hAnsi="Narkisim" w:cs="Narkisim"/>
        </w:rPr>
      </w:pPr>
      <w:r w:rsidRPr="00012502">
        <w:rPr>
          <w:rFonts w:ascii="Narkisim" w:hAnsi="Narkisim" w:cs="Narkisim"/>
          <w:u w:val="single"/>
          <w:rtl/>
        </w:rPr>
        <w:t>נעשה כדברי בית שמאי הולד ממזר כדברי בי"ה.</w:t>
      </w:r>
      <w:r w:rsidRPr="00012502">
        <w:rPr>
          <w:rFonts w:ascii="Narkisim" w:hAnsi="Narkisim" w:cs="Narkisim"/>
          <w:rtl/>
        </w:rPr>
        <w:t xml:space="preserve"> ה</w:t>
      </w:r>
      <w:r w:rsidRPr="00012502">
        <w:rPr>
          <w:rFonts w:ascii="Narkisim" w:hAnsi="Narkisim" w:cs="Narkisim"/>
          <w:b/>
          <w:bCs/>
          <w:rtl/>
        </w:rPr>
        <w:t>רש"ש</w:t>
      </w:r>
      <w:r w:rsidRPr="00012502">
        <w:rPr>
          <w:rFonts w:ascii="Narkisim" w:hAnsi="Narkisim" w:cs="Narkisim"/>
          <w:rtl/>
        </w:rPr>
        <w:t xml:space="preserve"> הביא דמבואר דלהרבות ממזרים בישראל חמיר טפי ממה שאיזה יחידים יעברו איסור</w:t>
      </w:r>
      <w:r w:rsidRPr="00012502">
        <w:rPr>
          <w:rStyle w:val="ac"/>
          <w:rFonts w:ascii="Narkisim" w:hAnsi="Narkisim" w:cs="Narkisim"/>
          <w:rtl/>
        </w:rPr>
        <w:footnoteReference w:id="870"/>
      </w:r>
      <w:r w:rsidRPr="00012502">
        <w:rPr>
          <w:rFonts w:ascii="Narkisim" w:hAnsi="Narkisim" w:cs="Narkisim"/>
          <w:rtl/>
        </w:rPr>
        <w:t>.</w:t>
      </w:r>
    </w:p>
    <w:p w14:paraId="43BCF088" w14:textId="77777777" w:rsidR="00BE1D1C" w:rsidRPr="00012502" w:rsidRDefault="00000000" w:rsidP="00012502">
      <w:pPr>
        <w:pStyle w:val="a7"/>
        <w:bidi/>
        <w:rPr>
          <w:rFonts w:ascii="Narkisim" w:hAnsi="Narkisim"/>
        </w:rPr>
      </w:pPr>
      <w:r w:rsidRPr="00012502">
        <w:rPr>
          <w:rFonts w:ascii="Narkisim" w:hAnsi="Narkisim"/>
          <w:rtl/>
        </w:rPr>
        <w:t>וב</w:t>
      </w:r>
      <w:r w:rsidRPr="00012502">
        <w:rPr>
          <w:rFonts w:ascii="Narkisim" w:hAnsi="Narkisim"/>
          <w:b/>
          <w:bCs/>
          <w:rtl/>
        </w:rPr>
        <w:t>חי' ר' שמעון</w:t>
      </w:r>
      <w:r w:rsidRPr="00012502">
        <w:rPr>
          <w:rFonts w:ascii="Narkisim" w:hAnsi="Narkisim"/>
          <w:rtl/>
        </w:rPr>
        <w:t xml:space="preserve"> (א) וה</w:t>
      </w:r>
      <w:r w:rsidRPr="00012502">
        <w:rPr>
          <w:rFonts w:ascii="Narkisim" w:hAnsi="Narkisim"/>
          <w:b/>
          <w:bCs/>
          <w:rtl/>
        </w:rPr>
        <w:t>קובה"ע</w:t>
      </w:r>
      <w:r w:rsidRPr="00012502">
        <w:rPr>
          <w:rFonts w:ascii="Narkisim" w:hAnsi="Narkisim"/>
          <w:rtl/>
        </w:rPr>
        <w:t xml:space="preserve"> (ג) הביאו דמבואר דאף אילו הותר משום לא תתגודדו, אפ"ה הוה הולד ממזר</w:t>
      </w:r>
      <w:r w:rsidRPr="00012502">
        <w:rPr>
          <w:rStyle w:val="ac"/>
          <w:rFonts w:ascii="Narkisim" w:hAnsi="Narkisim"/>
          <w:rtl/>
        </w:rPr>
        <w:footnoteReference w:id="871"/>
      </w:r>
      <w:r w:rsidRPr="00012502">
        <w:rPr>
          <w:rFonts w:ascii="Narkisim" w:hAnsi="Narkisim"/>
          <w:rtl/>
        </w:rPr>
        <w:t xml:space="preserve">. והק' דאת"ל דפסול ממזר תלי באיסור ביאה, הא הכא הותר האיסור ביאה [משום לא תתגודדו], ומדאורייתא הוה ביאת היתר. </w:t>
      </w:r>
      <w:r w:rsidRPr="00012502">
        <w:rPr>
          <w:rFonts w:ascii="Narkisim" w:hAnsi="Narkisim"/>
          <w:sz w:val="20"/>
          <w:szCs w:val="20"/>
          <w:rtl/>
        </w:rPr>
        <w:t>[ועד"ז ילה"ק בהא דמבואר בסמוך דפוסל לכהונה והולד פגום, דהוה משום איסורי ביאה ופוסל בביאתו].</w:t>
      </w:r>
    </w:p>
    <w:p w14:paraId="426460AE" w14:textId="77777777" w:rsidR="00BE1D1C" w:rsidRPr="00012502" w:rsidRDefault="00000000" w:rsidP="00012502">
      <w:pPr>
        <w:pStyle w:val="a7"/>
        <w:bidi/>
        <w:rPr>
          <w:rFonts w:ascii="Narkisim" w:hAnsi="Narkisim"/>
        </w:rPr>
      </w:pPr>
      <w:r w:rsidRPr="00012502">
        <w:rPr>
          <w:rFonts w:ascii="Narkisim" w:hAnsi="Narkisim"/>
          <w:rtl/>
        </w:rPr>
        <w:t>והביאו ראיה שהממזרות אינה תולדה מהאיסור, ואף היכא דליכא איסור בפועל הוה ממזר, מחמת סיבת האיסור, דהוה 'שם ערוה'. והא דממזרות תלי בחייבי כריתות הוה סימן</w:t>
      </w:r>
      <w:r w:rsidRPr="00012502">
        <w:rPr>
          <w:rStyle w:val="ac"/>
          <w:rFonts w:ascii="Narkisim" w:hAnsi="Narkisim"/>
          <w:rtl/>
        </w:rPr>
        <w:footnoteReference w:id="872"/>
      </w:r>
      <w:r w:rsidRPr="00012502">
        <w:rPr>
          <w:rFonts w:ascii="Narkisim" w:hAnsi="Narkisim"/>
          <w:rtl/>
        </w:rPr>
        <w:t>.</w:t>
      </w:r>
    </w:p>
    <w:p w14:paraId="1FDDD3CC" w14:textId="77777777" w:rsidR="00BE1D1C" w:rsidRPr="00012502" w:rsidRDefault="00000000" w:rsidP="00012502">
      <w:pPr>
        <w:pStyle w:val="aa"/>
        <w:bidi/>
        <w:rPr>
          <w:rFonts w:ascii="Narkisim" w:hAnsi="Narkisim"/>
        </w:rPr>
      </w:pPr>
      <w:r w:rsidRPr="00012502">
        <w:rPr>
          <w:rFonts w:ascii="Narkisim" w:hAnsi="Narkisim"/>
          <w:u w:val="single"/>
          <w:rtl/>
        </w:rPr>
        <w:t>רש"י ד"ה הולד פגום.</w:t>
      </w:r>
      <w:r w:rsidRPr="00012502">
        <w:rPr>
          <w:rFonts w:ascii="Narkisim" w:hAnsi="Narkisim"/>
          <w:rtl/>
        </w:rPr>
        <w:t xml:space="preserve"> אם היה כהן פסול לכהונה. מבואר ברש"י דאף הבן נפסל לכהונה. [וע' לקמן טו: ומה.].</w:t>
      </w:r>
    </w:p>
    <w:p w14:paraId="1C12F1C2" w14:textId="77777777" w:rsidR="00BE1D1C" w:rsidRPr="00012502" w:rsidRDefault="00000000" w:rsidP="00012502">
      <w:pPr>
        <w:pStyle w:val="aa"/>
        <w:bidi/>
        <w:rPr>
          <w:rFonts w:ascii="Narkisim" w:hAnsi="Narkisim"/>
        </w:rPr>
      </w:pPr>
      <w:r w:rsidRPr="00012502">
        <w:rPr>
          <w:rFonts w:ascii="Narkisim" w:hAnsi="Narkisim"/>
          <w:u w:val="single"/>
          <w:rtl/>
        </w:rPr>
        <w:t>תוד"ה נעשה.</w:t>
      </w:r>
      <w:r w:rsidRPr="00012502">
        <w:rPr>
          <w:rFonts w:ascii="Narkisim" w:hAnsi="Narkisim"/>
          <w:rtl/>
        </w:rPr>
        <w:t xml:space="preserve"> [ע' לקמן טו: ומה]. משום דכתיב בה טומאה כעריות, אע"ג דאין מקרא יוצא מידי פשוטו. וע"ע </w:t>
      </w:r>
      <w:r w:rsidRPr="00012502">
        <w:rPr>
          <w:rFonts w:ascii="Narkisim" w:hAnsi="Narkisim"/>
          <w:b/>
          <w:bCs/>
          <w:rtl/>
        </w:rPr>
        <w:t>תוס' הרא"ש</w:t>
      </w:r>
      <w:r w:rsidRPr="00012502">
        <w:rPr>
          <w:rFonts w:ascii="Narkisim" w:hAnsi="Narkisim"/>
          <w:rtl/>
        </w:rPr>
        <w:t xml:space="preserve"> (לקמן מד:).</w:t>
      </w:r>
    </w:p>
    <w:p w14:paraId="1DD15F3E" w14:textId="77777777" w:rsidR="00BE1D1C" w:rsidRPr="00012502" w:rsidRDefault="00000000" w:rsidP="00012502">
      <w:pPr>
        <w:pStyle w:val="3"/>
        <w:bidi/>
        <w:rPr>
          <w:rFonts w:ascii="Narkisim" w:hAnsi="Narkisim"/>
        </w:rPr>
      </w:pPr>
      <w:r w:rsidRPr="00012502">
        <w:rPr>
          <w:rFonts w:ascii="Narkisim" w:hAnsi="Narkisim"/>
          <w:rtl/>
        </w:rPr>
        <w:t>דף טו.</w:t>
      </w:r>
    </w:p>
    <w:p w14:paraId="043F971B" w14:textId="77777777" w:rsidR="00BE1D1C" w:rsidRPr="00012502" w:rsidRDefault="00000000" w:rsidP="00012502">
      <w:pPr>
        <w:bidi/>
        <w:rPr>
          <w:rFonts w:ascii="Narkisim" w:hAnsi="Narkisim" w:cs="Narkisim"/>
        </w:rPr>
      </w:pPr>
      <w:r w:rsidRPr="00012502">
        <w:rPr>
          <w:rFonts w:ascii="Narkisim" w:hAnsi="Narkisim" w:cs="Narkisim"/>
          <w:u w:val="single"/>
          <w:rtl/>
        </w:rPr>
        <w:t>ליחלצו, מימאסי אגברייהו וכו'.</w:t>
      </w:r>
      <w:r w:rsidRPr="00012502">
        <w:rPr>
          <w:rFonts w:ascii="Narkisim" w:hAnsi="Narkisim" w:cs="Narkisim"/>
          <w:rtl/>
        </w:rPr>
        <w:t xml:space="preserve"> ה</w:t>
      </w:r>
      <w:r w:rsidRPr="00012502">
        <w:rPr>
          <w:rFonts w:ascii="Narkisim" w:hAnsi="Narkisim" w:cs="Narkisim"/>
          <w:b/>
          <w:bCs/>
          <w:rtl/>
        </w:rPr>
        <w:t>בית מאיר</w:t>
      </w:r>
      <w:r w:rsidRPr="00012502">
        <w:rPr>
          <w:rFonts w:ascii="Narkisim" w:hAnsi="Narkisim" w:cs="Narkisim"/>
          <w:rtl/>
        </w:rPr>
        <w:t xml:space="preserve"> (</w:t>
      </w:r>
      <w:r w:rsidRPr="00012502">
        <w:rPr>
          <w:rFonts w:ascii="Narkisim" w:hAnsi="Narkisim" w:cs="Narkisim"/>
          <w:sz w:val="20"/>
          <w:szCs w:val="20"/>
          <w:rtl/>
        </w:rPr>
        <w:t xml:space="preserve">הו' בפתח"ת קנט ג) </w:t>
      </w:r>
      <w:r w:rsidRPr="00012502">
        <w:rPr>
          <w:rFonts w:ascii="Narkisim" w:hAnsi="Narkisim" w:cs="Narkisim"/>
          <w:rtl/>
        </w:rPr>
        <w:t xml:space="preserve">הביא מכאן ראיה דיבמה שנתקדשה לשוק </w:t>
      </w:r>
      <w:r w:rsidRPr="00012502">
        <w:rPr>
          <w:rFonts w:ascii="Narkisim" w:hAnsi="Narkisim" w:cs="Narkisim"/>
          <w:sz w:val="20"/>
          <w:szCs w:val="20"/>
          <w:rtl/>
        </w:rPr>
        <w:t>[למ"ד דחלו קידושין]</w:t>
      </w:r>
      <w:r w:rsidRPr="00012502">
        <w:rPr>
          <w:rFonts w:ascii="Narkisim" w:hAnsi="Narkisim" w:cs="Narkisim"/>
          <w:rtl/>
        </w:rPr>
        <w:t xml:space="preserve"> אפשר לחלוץ בעודה אשת איש</w:t>
      </w:r>
      <w:r w:rsidRPr="00012502">
        <w:rPr>
          <w:rStyle w:val="ac"/>
          <w:rFonts w:ascii="Narkisim" w:hAnsi="Narkisim" w:cs="Narkisim"/>
          <w:rtl/>
        </w:rPr>
        <w:footnoteReference w:id="873"/>
      </w:r>
      <w:r w:rsidRPr="00012502">
        <w:rPr>
          <w:rFonts w:ascii="Narkisim" w:hAnsi="Narkisim" w:cs="Narkisim"/>
          <w:rtl/>
        </w:rPr>
        <w:t>. ודלא כ</w:t>
      </w:r>
      <w:r w:rsidRPr="00012502">
        <w:rPr>
          <w:rFonts w:ascii="Narkisim" w:hAnsi="Narkisim" w:cs="Narkisim"/>
          <w:b/>
          <w:bCs/>
          <w:rtl/>
        </w:rPr>
        <w:t>לבוש</w:t>
      </w:r>
      <w:r w:rsidRPr="00012502">
        <w:rPr>
          <w:rFonts w:ascii="Narkisim" w:hAnsi="Narkisim" w:cs="Narkisim"/>
          <w:rtl/>
        </w:rPr>
        <w:t xml:space="preserve"> (שם) שדן שצריכה גט קודם חליצה, שבעודה א"א אינה עולה ליבום ואינה עולה לחליצה</w:t>
      </w:r>
      <w:r w:rsidRPr="00012502">
        <w:rPr>
          <w:rStyle w:val="ac"/>
          <w:rFonts w:ascii="Narkisim" w:hAnsi="Narkisim" w:cs="Narkisim"/>
          <w:rtl/>
        </w:rPr>
        <w:footnoteReference w:id="874"/>
      </w:r>
      <w:r w:rsidRPr="00012502">
        <w:rPr>
          <w:rFonts w:ascii="Narkisim" w:hAnsi="Narkisim" w:cs="Narkisim"/>
          <w:rtl/>
        </w:rPr>
        <w:t>.</w:t>
      </w:r>
    </w:p>
    <w:p w14:paraId="1694A886"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ביארו דיל"ד מב' טעמים,</w:t>
      </w:r>
      <w:r w:rsidRPr="00012502">
        <w:rPr>
          <w:rFonts w:ascii="Narkisim" w:hAnsi="Narkisim"/>
          <w:i/>
          <w:iCs/>
          <w:rtl/>
        </w:rPr>
        <w:t xml:space="preserve"> א'</w:t>
      </w:r>
      <w:r w:rsidRPr="00012502">
        <w:rPr>
          <w:rFonts w:ascii="Narkisim" w:hAnsi="Narkisim"/>
          <w:rtl/>
        </w:rPr>
        <w:t xml:space="preserve"> דהוה ערוה ואיתא (לעיל ג.) דכיון דפטורה ואינה עולה ליבום, פטורה אף מחליצה. אך יבמה שנתקדשה מבואר דלא פקע הזיקה </w:t>
      </w:r>
      <w:r w:rsidRPr="00012502">
        <w:rPr>
          <w:rFonts w:ascii="Narkisim" w:hAnsi="Narkisim"/>
          <w:sz w:val="20"/>
          <w:szCs w:val="20"/>
          <w:rtl/>
        </w:rPr>
        <w:t xml:space="preserve">[ע' </w:t>
      </w:r>
      <w:r w:rsidRPr="00012502">
        <w:rPr>
          <w:rFonts w:ascii="Narkisim" w:hAnsi="Narkisim"/>
          <w:b/>
          <w:bCs/>
          <w:sz w:val="20"/>
          <w:szCs w:val="20"/>
          <w:rtl/>
        </w:rPr>
        <w:t>תוס</w:t>
      </w:r>
      <w:r w:rsidRPr="00012502">
        <w:rPr>
          <w:rFonts w:ascii="Narkisim" w:hAnsi="Narkisim"/>
          <w:sz w:val="20"/>
          <w:szCs w:val="20"/>
          <w:rtl/>
        </w:rPr>
        <w:t>' טז. ד"ה בני],</w:t>
      </w:r>
      <w:r w:rsidRPr="00012502">
        <w:rPr>
          <w:rFonts w:ascii="Narkisim" w:hAnsi="Narkisim"/>
          <w:rtl/>
        </w:rPr>
        <w:t xml:space="preserve"> ונחשב שעולה ליבום</w:t>
      </w:r>
      <w:r w:rsidRPr="00012502">
        <w:rPr>
          <w:rStyle w:val="ac"/>
          <w:rFonts w:ascii="Narkisim" w:hAnsi="Narkisim"/>
          <w:rtl/>
        </w:rPr>
        <w:footnoteReference w:id="875"/>
      </w:r>
      <w:r w:rsidRPr="00012502">
        <w:rPr>
          <w:rFonts w:ascii="Narkisim" w:hAnsi="Narkisim"/>
          <w:rtl/>
        </w:rPr>
        <w:t>.</w:t>
      </w:r>
    </w:p>
    <w:p w14:paraId="6011DB9E" w14:textId="77777777" w:rsidR="00BE1D1C" w:rsidRPr="00012502" w:rsidRDefault="00000000" w:rsidP="00012502">
      <w:pPr>
        <w:pStyle w:val="a7"/>
        <w:bidi/>
        <w:rPr>
          <w:rFonts w:ascii="Narkisim" w:hAnsi="Narkisim"/>
        </w:rPr>
      </w:pPr>
      <w:r w:rsidRPr="00012502">
        <w:rPr>
          <w:rFonts w:ascii="Narkisim" w:hAnsi="Narkisim"/>
          <w:i/>
          <w:iCs/>
          <w:rtl/>
        </w:rPr>
        <w:t>ב'</w:t>
      </w:r>
      <w:r w:rsidRPr="00012502">
        <w:rPr>
          <w:rFonts w:ascii="Narkisim" w:hAnsi="Narkisim"/>
          <w:rtl/>
        </w:rPr>
        <w:t xml:space="preserve"> דמבואר (לקמן לו. ומא:) דאף היכא דיש זיקה ל"מ חליצה בשעה שאינה יכולה להתייבם. וכגון מעוברת (לקמן לו.)</w:t>
      </w:r>
      <w:r w:rsidRPr="00012502">
        <w:rPr>
          <w:rStyle w:val="ac"/>
          <w:rFonts w:ascii="Narkisim" w:hAnsi="Narkisim"/>
          <w:rtl/>
        </w:rPr>
        <w:footnoteReference w:id="876"/>
      </w:r>
      <w:r w:rsidRPr="00012502">
        <w:rPr>
          <w:rFonts w:ascii="Narkisim" w:hAnsi="Narkisim"/>
          <w:rtl/>
        </w:rPr>
        <w:t>, ותוך ג' חדשי הבחנה (לקמן מא:) דלא תחלוץ בשעה שאינה יכולה להתייבם. וה</w:t>
      </w:r>
      <w:r w:rsidRPr="00012502">
        <w:rPr>
          <w:rFonts w:ascii="Narkisim" w:hAnsi="Narkisim"/>
          <w:b/>
          <w:bCs/>
          <w:rtl/>
        </w:rPr>
        <w:t>אחרונים</w:t>
      </w:r>
      <w:r w:rsidRPr="00012502">
        <w:rPr>
          <w:rFonts w:ascii="Narkisim" w:hAnsi="Narkisim"/>
          <w:rtl/>
        </w:rPr>
        <w:t xml:space="preserve"> ביארו דהוה תנאי במעשה חליצה [עי"ש]. ואילו בנתקדשה מבואר בסוגיין דלא אמרי' כן</w:t>
      </w:r>
      <w:r w:rsidRPr="00012502">
        <w:rPr>
          <w:rStyle w:val="ac"/>
          <w:rFonts w:ascii="Narkisim" w:hAnsi="Narkisim"/>
          <w:rtl/>
        </w:rPr>
        <w:footnoteReference w:id="877"/>
      </w:r>
      <w:r w:rsidRPr="00012502">
        <w:rPr>
          <w:rFonts w:ascii="Narkisim" w:hAnsi="Narkisim"/>
          <w:rtl/>
        </w:rPr>
        <w:t>. וה</w:t>
      </w:r>
      <w:r w:rsidRPr="00012502">
        <w:rPr>
          <w:rFonts w:ascii="Narkisim" w:hAnsi="Narkisim"/>
          <w:b/>
          <w:bCs/>
          <w:rtl/>
        </w:rPr>
        <w:t>פוסקים</w:t>
      </w:r>
      <w:r w:rsidRPr="00012502">
        <w:rPr>
          <w:rFonts w:ascii="Narkisim" w:hAnsi="Narkisim"/>
          <w:rtl/>
        </w:rPr>
        <w:t xml:space="preserve"> כת' דכיון דבידינו לכופו לגרשה נחשב עולה ליבום [וצ"ב]. </w:t>
      </w:r>
      <w:r w:rsidRPr="00012502">
        <w:rPr>
          <w:rFonts w:ascii="Narkisim" w:hAnsi="Narkisim"/>
          <w:sz w:val="20"/>
          <w:szCs w:val="20"/>
          <w:rtl/>
        </w:rPr>
        <w:t>[וע"ע לקמן לו. ומא: בדין אינה עולה ליבום].</w:t>
      </w:r>
    </w:p>
    <w:p w14:paraId="28232C6B" w14:textId="77777777" w:rsidR="00BE1D1C" w:rsidRPr="00012502" w:rsidRDefault="00000000" w:rsidP="00012502">
      <w:pPr>
        <w:pStyle w:val="aa"/>
        <w:bidi/>
        <w:rPr>
          <w:rFonts w:ascii="Narkisim" w:hAnsi="Narkisim"/>
        </w:rPr>
      </w:pPr>
      <w:r w:rsidRPr="00012502">
        <w:rPr>
          <w:rFonts w:ascii="Narkisim" w:hAnsi="Narkisim"/>
          <w:u w:val="single"/>
          <w:rtl/>
        </w:rPr>
        <w:t>וכ"ת לימאסן, דרכיה דרכי נועם</w:t>
      </w:r>
      <w:r w:rsidRPr="00012502">
        <w:rPr>
          <w:rStyle w:val="ac"/>
          <w:rFonts w:ascii="Narkisim" w:hAnsi="Narkisim"/>
          <w:u w:val="single"/>
          <w:rtl/>
        </w:rPr>
        <w:footnoteReference w:id="878"/>
      </w:r>
      <w:r w:rsidRPr="00012502">
        <w:rPr>
          <w:rFonts w:ascii="Narkisim" w:hAnsi="Narkisim"/>
          <w:u w:val="single"/>
          <w:rtl/>
        </w:rPr>
        <w:t xml:space="preserve"> וכו'</w:t>
      </w:r>
      <w:r w:rsidRPr="00012502">
        <w:rPr>
          <w:rFonts w:ascii="Narkisim" w:hAnsi="Narkisim"/>
          <w:rtl/>
        </w:rPr>
        <w:t>. ומש"ה אין ראוי לחייבם חליצה כדי לצאת מידי מחלוקת</w:t>
      </w:r>
      <w:r w:rsidRPr="00012502">
        <w:rPr>
          <w:rStyle w:val="ac"/>
          <w:rFonts w:ascii="Narkisim" w:hAnsi="Narkisim"/>
          <w:rtl/>
        </w:rPr>
        <w:footnoteReference w:id="879"/>
      </w:r>
      <w:r w:rsidRPr="00012502">
        <w:rPr>
          <w:rFonts w:ascii="Narkisim" w:hAnsi="Narkisim"/>
          <w:rtl/>
        </w:rPr>
        <w:t>. [אבל לא התירו איסור משום דרכי נועם].</w:t>
      </w:r>
    </w:p>
    <w:p w14:paraId="686BCD8D" w14:textId="77777777" w:rsidR="00BE1D1C" w:rsidRPr="00012502" w:rsidRDefault="00000000" w:rsidP="00012502">
      <w:pPr>
        <w:pStyle w:val="aa"/>
        <w:bidi/>
        <w:rPr>
          <w:rFonts w:ascii="Narkisim" w:hAnsi="Narkisim"/>
        </w:rPr>
      </w:pPr>
      <w:r w:rsidRPr="00012502">
        <w:rPr>
          <w:rFonts w:ascii="Narkisim" w:hAnsi="Narkisim"/>
          <w:u w:val="single"/>
          <w:rtl/>
        </w:rPr>
        <w:t>ואיבע"א כנס ולבסוף גירש וכו'</w:t>
      </w:r>
      <w:r w:rsidRPr="00012502">
        <w:rPr>
          <w:rFonts w:ascii="Narkisim" w:hAnsi="Narkisim"/>
          <w:rtl/>
        </w:rPr>
        <w:t xml:space="preserve">. דלדעת אחרים הוה צרת ערוה משעה ראשונה, דנישואין מפילין (כדלעיל </w:t>
      </w:r>
      <w:r w:rsidRPr="00012502">
        <w:rPr>
          <w:rFonts w:ascii="Narkisim" w:hAnsi="Narkisim"/>
          <w:rtl/>
        </w:rPr>
        <w:lastRenderedPageBreak/>
        <w:t>יג.).</w:t>
      </w:r>
    </w:p>
    <w:p w14:paraId="0AB97B69" w14:textId="77777777" w:rsidR="00BE1D1C" w:rsidRPr="00012502" w:rsidRDefault="00000000" w:rsidP="00012502">
      <w:pPr>
        <w:bidi/>
        <w:rPr>
          <w:rFonts w:ascii="Narkisim" w:hAnsi="Narkisim" w:cs="Narkisim"/>
        </w:rPr>
      </w:pPr>
      <w:r w:rsidRPr="00012502">
        <w:rPr>
          <w:rFonts w:ascii="Narkisim" w:hAnsi="Narkisim" w:cs="Narkisim"/>
          <w:u w:val="single"/>
          <w:rtl/>
        </w:rPr>
        <w:t>איבע"א יש תנאי בביאה וכו'.</w:t>
      </w:r>
      <w:r w:rsidRPr="00012502">
        <w:rPr>
          <w:rFonts w:ascii="Narkisim" w:hAnsi="Narkisim" w:cs="Narkisim"/>
          <w:rtl/>
        </w:rPr>
        <w:t xml:space="preserve"> פ</w:t>
      </w:r>
      <w:r w:rsidRPr="00012502">
        <w:rPr>
          <w:rFonts w:ascii="Narkisim" w:hAnsi="Narkisim" w:cs="Narkisim"/>
          <w:b/>
          <w:bCs/>
          <w:rtl/>
        </w:rPr>
        <w:t xml:space="preserve">רש"י </w:t>
      </w:r>
      <w:r w:rsidRPr="00012502">
        <w:rPr>
          <w:rFonts w:ascii="Narkisim" w:hAnsi="Narkisim" w:cs="Narkisim"/>
          <w:rtl/>
        </w:rPr>
        <w:t>הכונס על תנאי מומין או נדרים וכו' ואחרים סברי דכיון דנשאה מחל על התנאי</w:t>
      </w:r>
      <w:r w:rsidRPr="00012502">
        <w:rPr>
          <w:rStyle w:val="ac"/>
          <w:rFonts w:ascii="Narkisim" w:hAnsi="Narkisim" w:cs="Narkisim"/>
          <w:rtl/>
        </w:rPr>
        <w:footnoteReference w:id="880"/>
      </w:r>
      <w:r w:rsidRPr="00012502">
        <w:rPr>
          <w:rFonts w:ascii="Narkisim" w:hAnsi="Narkisim" w:cs="Narkisim"/>
          <w:rtl/>
        </w:rPr>
        <w:t xml:space="preserve"> [ע"ד הא דאי' כתובות עג.] וכו'.</w:t>
      </w:r>
    </w:p>
    <w:p w14:paraId="08C00ED0"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רשב"א</w:t>
      </w:r>
      <w:r w:rsidRPr="00012502">
        <w:rPr>
          <w:rFonts w:ascii="Narkisim" w:hAnsi="Narkisim"/>
          <w:rtl/>
        </w:rPr>
        <w:t xml:space="preserve"> הביא בשם ה</w:t>
      </w:r>
      <w:r w:rsidRPr="00012502">
        <w:rPr>
          <w:rFonts w:ascii="Narkisim" w:hAnsi="Narkisim"/>
          <w:b/>
          <w:bCs/>
          <w:rtl/>
        </w:rPr>
        <w:t>ראב"ד</w:t>
      </w:r>
      <w:r w:rsidRPr="00012502">
        <w:rPr>
          <w:rFonts w:ascii="Narkisim" w:hAnsi="Narkisim"/>
          <w:rtl/>
        </w:rPr>
        <w:t xml:space="preserve"> דל"מ תנאי בקידושי ביאה</w:t>
      </w:r>
      <w:r w:rsidRPr="00012502">
        <w:rPr>
          <w:rStyle w:val="ac"/>
          <w:rFonts w:ascii="Narkisim" w:hAnsi="Narkisim"/>
          <w:rtl/>
        </w:rPr>
        <w:footnoteReference w:id="881"/>
      </w:r>
      <w:r w:rsidRPr="00012502">
        <w:rPr>
          <w:rFonts w:ascii="Narkisim" w:hAnsi="Narkisim"/>
          <w:rtl/>
        </w:rPr>
        <w:t>, דל"מ תנאי אא"כ אפשר לקיים המעשה ע"י שליח</w:t>
      </w:r>
      <w:r w:rsidRPr="00012502">
        <w:rPr>
          <w:rFonts w:ascii="Narkisim" w:hAnsi="Narkisim"/>
          <w:sz w:val="20"/>
          <w:szCs w:val="20"/>
          <w:rtl/>
        </w:rPr>
        <w:t xml:space="preserve"> (וכדאי' בכתובות עד.)</w:t>
      </w:r>
      <w:r w:rsidRPr="00012502">
        <w:rPr>
          <w:rFonts w:ascii="Narkisim" w:hAnsi="Narkisim"/>
          <w:rtl/>
        </w:rPr>
        <w:t>. ובגמ' (שם) איתא דבקידושי ביאה מהני תנאי איתקוש הויות להדדי</w:t>
      </w:r>
      <w:r w:rsidRPr="00012502">
        <w:rPr>
          <w:rStyle w:val="ac"/>
          <w:rFonts w:ascii="Narkisim" w:hAnsi="Narkisim"/>
          <w:rtl/>
        </w:rPr>
        <w:footnoteReference w:id="882"/>
      </w:r>
      <w:r w:rsidRPr="00012502">
        <w:rPr>
          <w:rFonts w:ascii="Narkisim" w:hAnsi="Narkisim"/>
          <w:rtl/>
        </w:rPr>
        <w:t>, ותנא דהכא פליג דל"מ תנאי.</w:t>
      </w:r>
    </w:p>
    <w:p w14:paraId="4B0506B9" w14:textId="77777777" w:rsidR="00BE1D1C" w:rsidRPr="00012502" w:rsidRDefault="00000000" w:rsidP="00012502">
      <w:pPr>
        <w:pStyle w:val="aa"/>
        <w:bidi/>
        <w:rPr>
          <w:rFonts w:ascii="Narkisim" w:hAnsi="Narkisim"/>
        </w:rPr>
      </w:pPr>
      <w:r w:rsidRPr="00012502">
        <w:rPr>
          <w:rFonts w:ascii="Narkisim" w:hAnsi="Narkisim"/>
          <w:u w:val="single"/>
          <w:rtl/>
        </w:rPr>
        <w:t>שם. יש תנאי</w:t>
      </w:r>
      <w:r w:rsidRPr="00012502">
        <w:rPr>
          <w:rFonts w:ascii="Narkisim" w:hAnsi="Narkisim"/>
          <w:rtl/>
        </w:rPr>
        <w:t>. פ</w:t>
      </w:r>
      <w:r w:rsidRPr="00012502">
        <w:rPr>
          <w:rFonts w:ascii="Narkisim" w:hAnsi="Narkisim"/>
          <w:b/>
          <w:bCs/>
          <w:rtl/>
        </w:rPr>
        <w:t>רש"י</w:t>
      </w:r>
      <w:r w:rsidRPr="00012502">
        <w:rPr>
          <w:rFonts w:ascii="Narkisim" w:hAnsi="Narkisim"/>
          <w:rtl/>
        </w:rPr>
        <w:t xml:space="preserve"> דאחיו קידש בתנאי, ולא נתקיים. משמע דהיה תנאי מומין או נדרים וכדו'. ומשמע מרש"י דלא קאי אהא שהיתה אילונית [ומש"ה הוה מקח טעות], אלא תנאי אחר. וה</w:t>
      </w:r>
      <w:r w:rsidRPr="00012502">
        <w:rPr>
          <w:rFonts w:ascii="Narkisim" w:hAnsi="Narkisim"/>
          <w:b/>
          <w:bCs/>
          <w:rtl/>
        </w:rPr>
        <w:t>אחרונים</w:t>
      </w:r>
      <w:r w:rsidRPr="00012502">
        <w:rPr>
          <w:rFonts w:ascii="Narkisim" w:hAnsi="Narkisim"/>
          <w:rtl/>
        </w:rPr>
        <w:t xml:space="preserve"> ביארו דאילונית הוה מקח טעות גמור, ולא תלי בדין תנאי. [ואף בביאה אם נמצאת אילונית בטלו הקידושין</w:t>
      </w:r>
      <w:r w:rsidRPr="00012502">
        <w:rPr>
          <w:rStyle w:val="ac"/>
          <w:rFonts w:ascii="Narkisim" w:hAnsi="Narkisim"/>
          <w:rtl/>
        </w:rPr>
        <w:footnoteReference w:id="883"/>
      </w:r>
      <w:r w:rsidRPr="00012502">
        <w:rPr>
          <w:rFonts w:ascii="Narkisim" w:hAnsi="Narkisim"/>
          <w:rtl/>
        </w:rPr>
        <w:t>, ע' חי' ר' שמעון ג].</w:t>
      </w:r>
    </w:p>
    <w:p w14:paraId="1ADFB3C9" w14:textId="77777777" w:rsidR="00BE1D1C" w:rsidRPr="00012502" w:rsidRDefault="00000000" w:rsidP="00012502">
      <w:pPr>
        <w:pStyle w:val="aa"/>
        <w:bidi/>
        <w:rPr>
          <w:rFonts w:ascii="Narkisim" w:hAnsi="Narkisim"/>
        </w:rPr>
      </w:pPr>
      <w:r w:rsidRPr="00012502">
        <w:rPr>
          <w:rFonts w:ascii="Narkisim" w:hAnsi="Narkisim"/>
          <w:u w:val="single"/>
          <w:rtl/>
        </w:rPr>
        <w:t>מתיב רב משרשיא מעשה בר' עקיבא וכו'</w:t>
      </w:r>
      <w:r w:rsidRPr="00012502">
        <w:rPr>
          <w:rFonts w:ascii="Narkisim" w:hAnsi="Narkisim"/>
          <w:rtl/>
        </w:rPr>
        <w:t xml:space="preserve">. וס"ד דר"ע נסתפק אי כבי"ה או כבי"ש. </w:t>
      </w:r>
      <w:r w:rsidRPr="00012502">
        <w:rPr>
          <w:rFonts w:ascii="Narkisim" w:hAnsi="Narkisim"/>
          <w:b/>
          <w:bCs/>
          <w:rtl/>
        </w:rPr>
        <w:t>רש"י</w:t>
      </w:r>
      <w:r w:rsidRPr="00012502">
        <w:rPr>
          <w:rFonts w:ascii="Narkisim" w:hAnsi="Narkisim"/>
          <w:rtl/>
        </w:rPr>
        <w:t xml:space="preserve"> (ב"מ לח:) כת' דר' עקיבא היה מתלמידי בי"ש. ו</w:t>
      </w:r>
      <w:r w:rsidRPr="00012502">
        <w:rPr>
          <w:rFonts w:ascii="Narkisim" w:hAnsi="Narkisim"/>
          <w:b/>
          <w:bCs/>
          <w:rtl/>
        </w:rPr>
        <w:t xml:space="preserve">תוס' </w:t>
      </w:r>
      <w:r w:rsidRPr="00012502">
        <w:rPr>
          <w:rFonts w:ascii="Narkisim" w:hAnsi="Narkisim"/>
          <w:rtl/>
        </w:rPr>
        <w:t>(שם ד"ה מודה, וב"ב קנח:) חלקו דהוה מתלמידי בי"ה. והביאו כן מסוגיין, דגרסו (לעיל) אמר ר"ע [לפנינו ר"ט], מתי תבא צרת הבת ואשיאנה כבי"ה. וה</w:t>
      </w:r>
      <w:r w:rsidRPr="00012502">
        <w:rPr>
          <w:rFonts w:ascii="Narkisim" w:hAnsi="Narkisim"/>
          <w:b/>
          <w:bCs/>
          <w:rtl/>
        </w:rPr>
        <w:t>ריטב"א</w:t>
      </w:r>
      <w:r w:rsidRPr="00012502">
        <w:rPr>
          <w:rFonts w:ascii="Narkisim" w:hAnsi="Narkisim"/>
          <w:rtl/>
        </w:rPr>
        <w:t xml:space="preserve"> (בסוגיין) כתב דלס"ד ר' עקיבא אף שהיה מתלמידי בי"ה חשש לדברי בי"ש, דלמ"ד עשו הורו אף לאחרים בשיטתם.</w:t>
      </w:r>
    </w:p>
    <w:p w14:paraId="1300F1ED" w14:textId="77777777" w:rsidR="00BE1D1C" w:rsidRPr="00012502" w:rsidRDefault="00000000" w:rsidP="00012502">
      <w:pPr>
        <w:pStyle w:val="aa"/>
        <w:bidi/>
        <w:rPr>
          <w:rFonts w:ascii="Narkisim" w:hAnsi="Narkisim"/>
        </w:rPr>
      </w:pPr>
      <w:r w:rsidRPr="00012502">
        <w:rPr>
          <w:rFonts w:ascii="Narkisim" w:hAnsi="Narkisim"/>
          <w:rtl/>
        </w:rPr>
        <w:t>ו</w:t>
      </w:r>
      <w:r w:rsidRPr="00012502">
        <w:rPr>
          <w:rFonts w:ascii="Narkisim" w:hAnsi="Narkisim"/>
          <w:b/>
          <w:bCs/>
          <w:rtl/>
        </w:rPr>
        <w:t>רב נסים גאון</w:t>
      </w:r>
      <w:r w:rsidRPr="00012502">
        <w:rPr>
          <w:rFonts w:ascii="Narkisim" w:hAnsi="Narkisim"/>
          <w:rtl/>
        </w:rPr>
        <w:t xml:space="preserve"> (עה"ג עירובין ז.) כת' דר' עקיבא עשה לפנים משורת הדין, וצ"ע דבגמ' איתא דגמ' איסתפק ליה.</w:t>
      </w:r>
    </w:p>
    <w:p w14:paraId="264DC4A6" w14:textId="77777777" w:rsidR="00BE1D1C" w:rsidRPr="00012502" w:rsidRDefault="00000000" w:rsidP="00012502">
      <w:pPr>
        <w:bidi/>
        <w:rPr>
          <w:rFonts w:ascii="Narkisim" w:hAnsi="Narkisim" w:cs="Narkisim"/>
        </w:rPr>
      </w:pPr>
      <w:r w:rsidRPr="00012502">
        <w:rPr>
          <w:rFonts w:ascii="Narkisim" w:hAnsi="Narkisim" w:cs="Narkisim"/>
          <w:u w:val="single"/>
          <w:rtl/>
        </w:rPr>
        <w:t>תוד"ה ונהג.</w:t>
      </w:r>
      <w:r w:rsidRPr="00012502">
        <w:rPr>
          <w:rFonts w:ascii="Narkisim" w:hAnsi="Narkisim" w:cs="Narkisim"/>
          <w:rtl/>
        </w:rPr>
        <w:t xml:space="preserve"> ב</w:t>
      </w:r>
      <w:r w:rsidRPr="00012502">
        <w:rPr>
          <w:rFonts w:ascii="Narkisim" w:hAnsi="Narkisim" w:cs="Narkisim"/>
          <w:b/>
          <w:bCs/>
          <w:rtl/>
        </w:rPr>
        <w:t xml:space="preserve">ירושלמי </w:t>
      </w:r>
      <w:r w:rsidRPr="00012502">
        <w:rPr>
          <w:rFonts w:ascii="Narkisim" w:hAnsi="Narkisim" w:cs="Narkisim"/>
          <w:rtl/>
        </w:rPr>
        <w:t xml:space="preserve">מפרש דהפריש מע"ש ופדאו וכו'. </w:t>
      </w:r>
      <w:r w:rsidRPr="00012502">
        <w:rPr>
          <w:rFonts w:ascii="Narkisim" w:hAnsi="Narkisim" w:cs="Narkisim"/>
          <w:sz w:val="20"/>
          <w:szCs w:val="20"/>
          <w:rtl/>
        </w:rPr>
        <w:t>[שהפריש רק מעשר א', ודן בו כדין מעש"ש ומעש"ע].</w:t>
      </w:r>
      <w:r w:rsidRPr="00012502">
        <w:rPr>
          <w:rFonts w:ascii="Narkisim" w:hAnsi="Narkisim" w:cs="Narkisim"/>
          <w:rtl/>
        </w:rPr>
        <w:t xml:space="preserve"> וה</w:t>
      </w:r>
      <w:r w:rsidRPr="00012502">
        <w:rPr>
          <w:rFonts w:ascii="Narkisim" w:hAnsi="Narkisim" w:cs="Narkisim"/>
          <w:b/>
          <w:bCs/>
          <w:rtl/>
        </w:rPr>
        <w:t>תו"י</w:t>
      </w:r>
      <w:r w:rsidRPr="00012502">
        <w:rPr>
          <w:rFonts w:ascii="Narkisim" w:hAnsi="Narkisim" w:cs="Narkisim"/>
          <w:rtl/>
        </w:rPr>
        <w:t xml:space="preserve"> </w:t>
      </w:r>
      <w:r w:rsidRPr="00012502">
        <w:rPr>
          <w:rFonts w:ascii="Narkisim" w:hAnsi="Narkisim" w:cs="Narkisim"/>
          <w:sz w:val="20"/>
          <w:szCs w:val="20"/>
          <w:rtl/>
        </w:rPr>
        <w:t xml:space="preserve">(וכן </w:t>
      </w:r>
      <w:r w:rsidRPr="00012502">
        <w:rPr>
          <w:rFonts w:ascii="Narkisim" w:hAnsi="Narkisim" w:cs="Narkisim"/>
          <w:b/>
          <w:bCs/>
          <w:sz w:val="20"/>
          <w:szCs w:val="20"/>
          <w:rtl/>
        </w:rPr>
        <w:t>תוס</w:t>
      </w:r>
      <w:r w:rsidRPr="00012502">
        <w:rPr>
          <w:rFonts w:ascii="Narkisim" w:hAnsi="Narkisim" w:cs="Narkisim"/>
          <w:sz w:val="20"/>
          <w:szCs w:val="20"/>
          <w:rtl/>
        </w:rPr>
        <w:t>' ר"ה יד.)</w:t>
      </w:r>
      <w:r w:rsidRPr="00012502">
        <w:rPr>
          <w:rFonts w:ascii="Narkisim" w:hAnsi="Narkisim" w:cs="Narkisim"/>
          <w:rtl/>
        </w:rPr>
        <w:t xml:space="preserve"> ביאר דאל"כ הו"ל מרבה במעשרות, דמעשרותיו מקולקלין. וה</w:t>
      </w:r>
      <w:r w:rsidRPr="00012502">
        <w:rPr>
          <w:rFonts w:ascii="Narkisim" w:hAnsi="Narkisim" w:cs="Narkisim"/>
          <w:b/>
          <w:bCs/>
          <w:rtl/>
        </w:rPr>
        <w:t>טור"א</w:t>
      </w:r>
      <w:r w:rsidRPr="00012502">
        <w:rPr>
          <w:rFonts w:ascii="Narkisim" w:hAnsi="Narkisim" w:cs="Narkisim"/>
          <w:rtl/>
        </w:rPr>
        <w:t xml:space="preserve"> (שם) תמה דאמאי הוה מרבה, דלא הפריש יותר מעשירית, אלא הפריש פעמיים בתנאי.</w:t>
      </w:r>
    </w:p>
    <w:p w14:paraId="107DECF3" w14:textId="77777777" w:rsidR="00BE1D1C" w:rsidRPr="00012502" w:rsidRDefault="00000000" w:rsidP="00012502">
      <w:pPr>
        <w:pStyle w:val="aa"/>
        <w:bidi/>
        <w:rPr>
          <w:rFonts w:ascii="Narkisim" w:hAnsi="Narkisim"/>
        </w:rPr>
      </w:pPr>
      <w:r w:rsidRPr="00012502">
        <w:rPr>
          <w:rFonts w:ascii="Narkisim" w:hAnsi="Narkisim"/>
          <w:rtl/>
        </w:rPr>
        <w:t>ה</w:t>
      </w:r>
      <w:r w:rsidRPr="00012502">
        <w:rPr>
          <w:rFonts w:ascii="Narkisim" w:hAnsi="Narkisim"/>
          <w:b/>
          <w:bCs/>
          <w:rtl/>
        </w:rPr>
        <w:t>טור"א</w:t>
      </w:r>
      <w:r w:rsidRPr="00012502">
        <w:rPr>
          <w:rFonts w:ascii="Narkisim" w:hAnsi="Narkisim"/>
          <w:rtl/>
        </w:rPr>
        <w:t xml:space="preserve"> (שם) הקשה אמאי חילק לעניים, נימא ספק ממון להקל. וכת' דבדין מתנות עניים לא אמרי' כן</w:t>
      </w:r>
      <w:r w:rsidRPr="00012502">
        <w:rPr>
          <w:rStyle w:val="ac"/>
          <w:rFonts w:ascii="Narkisim" w:hAnsi="Narkisim"/>
          <w:rtl/>
        </w:rPr>
        <w:footnoteReference w:id="884"/>
      </w:r>
      <w:r w:rsidRPr="00012502">
        <w:rPr>
          <w:rFonts w:ascii="Narkisim" w:hAnsi="Narkisim"/>
          <w:rtl/>
        </w:rPr>
        <w:t>.</w:t>
      </w:r>
    </w:p>
    <w:p w14:paraId="49F7D52F" w14:textId="77777777" w:rsidR="00BE1D1C" w:rsidRPr="00012502" w:rsidRDefault="00000000" w:rsidP="00012502">
      <w:pPr>
        <w:pStyle w:val="aa"/>
        <w:bidi/>
        <w:rPr>
          <w:rFonts w:ascii="Narkisim" w:hAnsi="Narkisim"/>
        </w:rPr>
      </w:pPr>
      <w:r w:rsidRPr="00012502">
        <w:rPr>
          <w:rFonts w:ascii="Narkisim" w:hAnsi="Narkisim"/>
          <w:u w:val="single"/>
          <w:rtl/>
        </w:rPr>
        <w:t>סיכך ע"ג מיטה בשביל קטן וכו'.</w:t>
      </w:r>
      <w:r w:rsidRPr="00012502">
        <w:rPr>
          <w:rFonts w:ascii="Narkisim" w:hAnsi="Narkisim"/>
          <w:rtl/>
        </w:rPr>
        <w:t xml:space="preserve"> ה</w:t>
      </w:r>
      <w:r w:rsidRPr="00012502">
        <w:rPr>
          <w:rFonts w:ascii="Narkisim" w:hAnsi="Narkisim"/>
          <w:b/>
          <w:bCs/>
          <w:rtl/>
        </w:rPr>
        <w:t>ריטב"א</w:t>
      </w:r>
      <w:r w:rsidRPr="00012502">
        <w:rPr>
          <w:rFonts w:ascii="Narkisim" w:hAnsi="Narkisim"/>
          <w:rtl/>
        </w:rPr>
        <w:t xml:space="preserve"> (סוכה כח:) נתקשה מ"ט דשמאי, דאין לומר דהחמיר על עצמו. דלא יתכן להחמיר על עצמו כל כך להפחית המעזיבה. והוה בכלל מי שאינו מצווה בדבר ועושיהו.</w:t>
      </w:r>
    </w:p>
    <w:p w14:paraId="43BA3AAD" w14:textId="77777777" w:rsidR="00BE1D1C" w:rsidRPr="00012502" w:rsidRDefault="00000000" w:rsidP="00012502">
      <w:pPr>
        <w:pStyle w:val="a8"/>
        <w:bidi/>
        <w:rPr>
          <w:rFonts w:ascii="Narkisim" w:hAnsi="Narkisim"/>
        </w:rPr>
      </w:pPr>
      <w:r w:rsidRPr="00012502">
        <w:rPr>
          <w:rFonts w:ascii="Narkisim" w:hAnsi="Narkisim"/>
          <w:rtl/>
        </w:rPr>
        <w:t xml:space="preserve">והביא צד דשמאי ס"ל דיש חיוב דאורייתא על האב, משום תשבו כעין תדורו איש ובניו [ואף דלא מרבינן אשה, מ"מ בנים חייבים]. </w:t>
      </w:r>
      <w:r w:rsidRPr="00012502">
        <w:rPr>
          <w:rFonts w:ascii="Narkisim" w:hAnsi="Narkisim"/>
          <w:i/>
          <w:iCs/>
          <w:rtl/>
        </w:rPr>
        <w:t>א"נ</w:t>
      </w:r>
      <w:r w:rsidRPr="00012502">
        <w:rPr>
          <w:rFonts w:ascii="Narkisim" w:hAnsi="Narkisim"/>
          <w:rtl/>
        </w:rPr>
        <w:t xml:space="preserve"> לחייבו בחינוך מדרבנן כיון דאפשר וראוי להכי</w:t>
      </w:r>
      <w:r w:rsidRPr="00012502">
        <w:rPr>
          <w:rStyle w:val="ac"/>
          <w:rFonts w:ascii="Narkisim" w:hAnsi="Narkisim"/>
          <w:rtl/>
        </w:rPr>
        <w:footnoteReference w:id="885"/>
      </w:r>
      <w:r w:rsidRPr="00012502">
        <w:rPr>
          <w:rFonts w:ascii="Narkisim" w:hAnsi="Narkisim"/>
          <w:rtl/>
        </w:rPr>
        <w:t>.</w:t>
      </w:r>
    </w:p>
    <w:p w14:paraId="5A69C714" w14:textId="77777777" w:rsidR="00BE1D1C" w:rsidRPr="00012502" w:rsidRDefault="00000000" w:rsidP="00012502">
      <w:pPr>
        <w:pStyle w:val="aa"/>
        <w:bidi/>
        <w:rPr>
          <w:rFonts w:ascii="Narkisim" w:hAnsi="Narkisim"/>
        </w:rPr>
      </w:pPr>
      <w:r w:rsidRPr="00012502">
        <w:rPr>
          <w:rFonts w:ascii="Narkisim" w:hAnsi="Narkisim"/>
          <w:u w:val="single"/>
          <w:rtl/>
        </w:rPr>
        <w:t>שם. מעשה וילדה כלתו וכו'</w:t>
      </w:r>
      <w:r w:rsidRPr="00012502">
        <w:rPr>
          <w:rFonts w:ascii="Narkisim" w:hAnsi="Narkisim"/>
          <w:rtl/>
        </w:rPr>
        <w:t>. ה</w:t>
      </w:r>
      <w:r w:rsidRPr="00012502">
        <w:rPr>
          <w:rFonts w:ascii="Narkisim" w:hAnsi="Narkisim"/>
          <w:b/>
          <w:bCs/>
          <w:rtl/>
        </w:rPr>
        <w:t>אחרונים</w:t>
      </w:r>
      <w:r w:rsidRPr="00012502">
        <w:rPr>
          <w:rFonts w:ascii="Narkisim" w:hAnsi="Narkisim"/>
          <w:rtl/>
        </w:rPr>
        <w:t xml:space="preserve"> הק' דלא מצאנו דין חינוך בקטן בן יומו, דאין בו הבנה כלל. אך ה</w:t>
      </w:r>
      <w:r w:rsidRPr="00012502">
        <w:rPr>
          <w:rFonts w:ascii="Narkisim" w:hAnsi="Narkisim"/>
          <w:b/>
          <w:bCs/>
          <w:rtl/>
        </w:rPr>
        <w:t>מהרש"ל</w:t>
      </w:r>
      <w:r w:rsidRPr="00012502">
        <w:rPr>
          <w:rFonts w:ascii="Narkisim" w:hAnsi="Narkisim"/>
          <w:rtl/>
        </w:rPr>
        <w:t xml:space="preserve"> ביאר דהיה לו בן קטן כבן ה' שהיה צריך לאמו, ואפ"ה נקט דמחוייב בסוכה. [וכיון דילדה אמו לא היתה יכולה לצאת לסוכה].</w:t>
      </w:r>
    </w:p>
    <w:p w14:paraId="27072801" w14:textId="77777777" w:rsidR="00BE1D1C" w:rsidRPr="00012502" w:rsidRDefault="00000000" w:rsidP="00012502">
      <w:pPr>
        <w:bidi/>
        <w:rPr>
          <w:rFonts w:ascii="Narkisim" w:hAnsi="Narkisim" w:cs="Narkisim"/>
        </w:rPr>
      </w:pPr>
      <w:r w:rsidRPr="00012502">
        <w:rPr>
          <w:rFonts w:ascii="Narkisim" w:hAnsi="Narkisim" w:cs="Narkisim"/>
          <w:u w:val="single"/>
          <w:rtl/>
        </w:rPr>
        <w:t>תוד"ה וסיכך.</w:t>
      </w:r>
      <w:r w:rsidRPr="00012502">
        <w:rPr>
          <w:rFonts w:ascii="Narkisim" w:hAnsi="Narkisim" w:cs="Narkisim"/>
          <w:rtl/>
        </w:rPr>
        <w:t xml:space="preserve"> מכאן משמע דמ"ד לא עשו אפי' היכא דבי"ש לחומרא היו עושים כבי"ה לקולא. אבל ה</w:t>
      </w:r>
      <w:r w:rsidRPr="00012502">
        <w:rPr>
          <w:rFonts w:ascii="Narkisim" w:hAnsi="Narkisim" w:cs="Narkisim"/>
          <w:b/>
          <w:bCs/>
          <w:rtl/>
        </w:rPr>
        <w:t>ריטב"א</w:t>
      </w:r>
      <w:r w:rsidRPr="00012502">
        <w:rPr>
          <w:rFonts w:ascii="Narkisim" w:hAnsi="Narkisim" w:cs="Narkisim"/>
          <w:rtl/>
        </w:rPr>
        <w:t xml:space="preserve"> כת' דלא עשו לקולא, ומ"מ לא היו צריכים לעשות כ"כ בפרהסיא, כיון דסגיא בלאו הכי. והיינו דמפרקינן הרואה אומר וכו'.</w:t>
      </w:r>
    </w:p>
    <w:p w14:paraId="58966AC1"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ריטב"א</w:t>
      </w:r>
      <w:r w:rsidRPr="00012502">
        <w:rPr>
          <w:rFonts w:ascii="Narkisim" w:hAnsi="Narkisim"/>
          <w:rtl/>
        </w:rPr>
        <w:t xml:space="preserve"> כתב דהא דר' עקיבא באתרוג, אף דהוא לקולא, ר"ע לא היה מתלמידי בי"ש. ולמ"ד לא עשו בי"ש לא היו מורים לאחרים לעשות כשיטתם</w:t>
      </w:r>
      <w:r w:rsidRPr="00012502">
        <w:rPr>
          <w:rStyle w:val="ac"/>
          <w:rFonts w:ascii="Narkisim" w:hAnsi="Narkisim"/>
          <w:rtl/>
        </w:rPr>
        <w:footnoteReference w:id="886"/>
      </w:r>
      <w:r w:rsidRPr="00012502">
        <w:rPr>
          <w:rFonts w:ascii="Narkisim" w:hAnsi="Narkisim"/>
          <w:rtl/>
        </w:rPr>
        <w:t>. [וע' מש"כ בזה יד.].</w:t>
      </w:r>
    </w:p>
    <w:p w14:paraId="1D8A5764" w14:textId="77777777" w:rsidR="00BE1D1C" w:rsidRPr="00012502" w:rsidRDefault="00000000" w:rsidP="00012502">
      <w:pPr>
        <w:bidi/>
        <w:rPr>
          <w:rFonts w:ascii="Narkisim" w:hAnsi="Narkisim" w:cs="Narkisim"/>
        </w:rPr>
      </w:pPr>
      <w:r w:rsidRPr="00012502">
        <w:rPr>
          <w:rFonts w:ascii="Narkisim" w:hAnsi="Narkisim" w:cs="Narkisim"/>
          <w:u w:val="single"/>
          <w:rtl/>
        </w:rPr>
        <w:t>מעשה בשוקת יהוא וכו'.</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דאין בה מ' סאה, אבל סמוך לה היתה מקוה שלם. וכן מוכח בגמ' שמביאה דתנן עירוב מקואות וכו'. אבל ה</w:t>
      </w:r>
      <w:r w:rsidRPr="00012502">
        <w:rPr>
          <w:rFonts w:ascii="Narkisim" w:hAnsi="Narkisim" w:cs="Narkisim"/>
          <w:b/>
          <w:bCs/>
          <w:rtl/>
        </w:rPr>
        <w:t>ר"ש</w:t>
      </w:r>
      <w:r w:rsidRPr="00012502">
        <w:rPr>
          <w:rFonts w:ascii="Narkisim" w:hAnsi="Narkisim" w:cs="Narkisim"/>
          <w:rtl/>
        </w:rPr>
        <w:t xml:space="preserve"> </w:t>
      </w:r>
      <w:r w:rsidRPr="00012502">
        <w:rPr>
          <w:rFonts w:ascii="Narkisim" w:hAnsi="Narkisim" w:cs="Narkisim"/>
          <w:sz w:val="20"/>
          <w:szCs w:val="20"/>
          <w:rtl/>
        </w:rPr>
        <w:t xml:space="preserve">(מקואות ד ה, ושאר מפרשי המשנה) </w:t>
      </w:r>
      <w:r w:rsidRPr="00012502">
        <w:rPr>
          <w:rFonts w:ascii="Narkisim" w:hAnsi="Narkisim" w:cs="Narkisim"/>
          <w:rtl/>
        </w:rPr>
        <w:t>כת' דבפשוטו המשנה איירי במטביל בתוך כלי בתוך מקוה [והשוקת היתה כלי] וכ"מ ב</w:t>
      </w:r>
      <w:r w:rsidRPr="00012502">
        <w:rPr>
          <w:rFonts w:ascii="Narkisim" w:hAnsi="Narkisim" w:cs="Narkisim"/>
          <w:b/>
          <w:bCs/>
          <w:rtl/>
        </w:rPr>
        <w:t>תוספתא</w:t>
      </w:r>
      <w:r w:rsidRPr="00012502">
        <w:rPr>
          <w:rFonts w:ascii="Narkisim" w:hAnsi="Narkisim" w:cs="Narkisim"/>
          <w:sz w:val="20"/>
          <w:szCs w:val="20"/>
          <w:rtl/>
        </w:rPr>
        <w:t xml:space="preserve"> [ונחלקו התנאים בשיעור לבטל שם כלי].</w:t>
      </w:r>
      <w:r w:rsidRPr="00012502">
        <w:rPr>
          <w:rFonts w:ascii="Narkisim" w:hAnsi="Narkisim" w:cs="Narkisim"/>
          <w:rtl/>
        </w:rPr>
        <w:t xml:space="preserve"> והביא דבסוגיין מבואר דלא כן, אלא תליא בשיעור חיבור </w:t>
      </w:r>
      <w:r w:rsidRPr="00012502">
        <w:rPr>
          <w:rFonts w:ascii="Narkisim" w:hAnsi="Narkisim" w:cs="Narkisim"/>
          <w:rtl/>
        </w:rPr>
        <w:lastRenderedPageBreak/>
        <w:t>מקואות. דלענין כלי בתוך מקוה סגי בנקב בכל שהוא.</w:t>
      </w:r>
    </w:p>
    <w:p w14:paraId="5F4752AB" w14:textId="77777777" w:rsidR="00BE1D1C" w:rsidRPr="00012502" w:rsidRDefault="00000000" w:rsidP="00012502">
      <w:pPr>
        <w:pStyle w:val="a7"/>
        <w:bidi/>
        <w:rPr>
          <w:rFonts w:ascii="Narkisim" w:hAnsi="Narkisim"/>
        </w:rPr>
      </w:pPr>
      <w:r w:rsidRPr="00012502">
        <w:rPr>
          <w:rFonts w:ascii="Narkisim" w:hAnsi="Narkisim"/>
          <w:rtl/>
        </w:rPr>
        <w:t>וכן ה</w:t>
      </w:r>
      <w:r w:rsidRPr="00012502">
        <w:rPr>
          <w:rFonts w:ascii="Narkisim" w:hAnsi="Narkisim"/>
          <w:b/>
          <w:bCs/>
          <w:rtl/>
        </w:rPr>
        <w:t>רמב"ם</w:t>
      </w:r>
      <w:r w:rsidRPr="00012502">
        <w:rPr>
          <w:rFonts w:ascii="Narkisim" w:hAnsi="Narkisim"/>
          <w:sz w:val="20"/>
          <w:szCs w:val="20"/>
          <w:rtl/>
        </w:rPr>
        <w:t xml:space="preserve"> (מקואות ו ג) </w:t>
      </w:r>
      <w:r w:rsidRPr="00012502">
        <w:rPr>
          <w:rFonts w:ascii="Narkisim" w:hAnsi="Narkisim"/>
          <w:rtl/>
        </w:rPr>
        <w:t>הביא דין זה לגבי מטביל בתוך כלי. וה</w:t>
      </w:r>
      <w:r w:rsidRPr="00012502">
        <w:rPr>
          <w:rFonts w:ascii="Narkisim" w:hAnsi="Narkisim"/>
          <w:b/>
          <w:bCs/>
          <w:rtl/>
        </w:rPr>
        <w:t>כס"מ</w:t>
      </w:r>
      <w:r w:rsidRPr="00012502">
        <w:rPr>
          <w:rFonts w:ascii="Narkisim" w:hAnsi="Narkisim"/>
          <w:rtl/>
        </w:rPr>
        <w:t xml:space="preserve"> כת' דע"כ היו ב' שוקת יהוא בירושלים</w:t>
      </w:r>
      <w:r w:rsidRPr="00012502">
        <w:rPr>
          <w:rStyle w:val="ac"/>
          <w:rFonts w:ascii="Narkisim" w:hAnsi="Narkisim"/>
          <w:rtl/>
        </w:rPr>
        <w:footnoteReference w:id="887"/>
      </w:r>
      <w:r w:rsidRPr="00012502">
        <w:rPr>
          <w:rFonts w:ascii="Narkisim" w:hAnsi="Narkisim"/>
          <w:rtl/>
        </w:rPr>
        <w:t>. אבל ה</w:t>
      </w:r>
      <w:r w:rsidRPr="00012502">
        <w:rPr>
          <w:rFonts w:ascii="Narkisim" w:hAnsi="Narkisim"/>
          <w:b/>
          <w:bCs/>
          <w:rtl/>
        </w:rPr>
        <w:t>גרי"ז</w:t>
      </w:r>
      <w:r w:rsidRPr="00012502">
        <w:rPr>
          <w:rFonts w:ascii="Narkisim" w:hAnsi="Narkisim"/>
          <w:rtl/>
        </w:rPr>
        <w:t xml:space="preserve"> (</w:t>
      </w:r>
      <w:r w:rsidRPr="00012502">
        <w:rPr>
          <w:rFonts w:ascii="Narkisim" w:hAnsi="Narkisim"/>
          <w:sz w:val="20"/>
          <w:szCs w:val="20"/>
          <w:rtl/>
        </w:rPr>
        <w:t>שם)</w:t>
      </w:r>
      <w:r w:rsidRPr="00012502">
        <w:rPr>
          <w:rFonts w:ascii="Narkisim" w:hAnsi="Narkisim"/>
          <w:rtl/>
        </w:rPr>
        <w:t xml:space="preserve"> כת' דבאמת איירי במטביל בתוך כלי, ואפי' הכי בעי שיעור חיבור מקואות, דבכלי הניקב למטה אמרי' דע"י נקב כ"ש הוה כמונחים בקרקע. אבל בנקב מהצד בעי שיעור שפופרת הנוד להחשב צירוף, שהמים הם א'</w:t>
      </w:r>
      <w:r w:rsidRPr="00012502">
        <w:rPr>
          <w:rStyle w:val="ac"/>
          <w:rFonts w:ascii="Narkisim" w:hAnsi="Narkisim"/>
          <w:rtl/>
        </w:rPr>
        <w:footnoteReference w:id="888"/>
      </w:r>
      <w:r w:rsidRPr="00012502">
        <w:rPr>
          <w:rFonts w:ascii="Narkisim" w:hAnsi="Narkisim"/>
          <w:rtl/>
        </w:rPr>
        <w:t xml:space="preserve">, ונחשבין מונחין בקרקע. </w:t>
      </w:r>
      <w:r w:rsidRPr="00012502">
        <w:rPr>
          <w:rFonts w:ascii="Narkisim" w:hAnsi="Narkisim"/>
          <w:sz w:val="20"/>
          <w:szCs w:val="20"/>
          <w:rtl/>
        </w:rPr>
        <w:t>[ואף שאינו מבטל השם כלי].</w:t>
      </w:r>
    </w:p>
    <w:p w14:paraId="4E3B64EE" w14:textId="77777777" w:rsidR="00BE1D1C" w:rsidRPr="00012502" w:rsidRDefault="00000000" w:rsidP="00012502">
      <w:pPr>
        <w:pStyle w:val="aa"/>
        <w:bidi/>
        <w:rPr>
          <w:rFonts w:ascii="Narkisim" w:hAnsi="Narkisim"/>
        </w:rPr>
      </w:pPr>
      <w:r w:rsidRPr="00012502">
        <w:rPr>
          <w:rFonts w:ascii="Narkisim" w:hAnsi="Narkisim"/>
          <w:u w:val="single"/>
          <w:rtl/>
        </w:rPr>
        <w:t>תוד"ה עירוב.</w:t>
      </w:r>
      <w:r w:rsidRPr="00012502">
        <w:rPr>
          <w:rFonts w:ascii="Narkisim" w:hAnsi="Narkisim"/>
          <w:rtl/>
        </w:rPr>
        <w:t xml:space="preserve"> ואומר ר"ת דנקב בעי שפופרת הנוד, אבל במים סגי טופח להטפיח. ה</w:t>
      </w:r>
      <w:r w:rsidRPr="00012502">
        <w:rPr>
          <w:rFonts w:ascii="Narkisim" w:hAnsi="Narkisim"/>
          <w:b/>
          <w:bCs/>
          <w:rtl/>
        </w:rPr>
        <w:t>גרי"ז</w:t>
      </w:r>
      <w:r w:rsidRPr="00012502">
        <w:rPr>
          <w:rFonts w:ascii="Narkisim" w:hAnsi="Narkisim"/>
          <w:rtl/>
        </w:rPr>
        <w:t xml:space="preserve"> (שם) ביאר דסברת ר"ת דהמחיצה מפסיק במקוה [שמחלק להחשב בב' מקומות], ובעינן נקב לבטל לכותל. ולא בעינן שיעור בחיבור המים.</w:t>
      </w:r>
    </w:p>
    <w:p w14:paraId="579BCD22" w14:textId="77777777" w:rsidR="00BE1D1C" w:rsidRPr="00012502" w:rsidRDefault="00000000" w:rsidP="00012502">
      <w:pPr>
        <w:pStyle w:val="aa"/>
        <w:bidi/>
        <w:rPr>
          <w:rFonts w:ascii="Narkisim" w:hAnsi="Narkisim"/>
        </w:rPr>
      </w:pPr>
      <w:r w:rsidRPr="00012502">
        <w:rPr>
          <w:rFonts w:ascii="Narkisim" w:hAnsi="Narkisim"/>
          <w:u w:val="single"/>
          <w:rtl/>
        </w:rPr>
        <w:t>בא"ד ואין נראה לר"י וכו' משמע דלמעלה כשאין מפסיק צריך שיהא מים כשפופרת</w:t>
      </w:r>
      <w:r w:rsidRPr="00012502">
        <w:rPr>
          <w:rStyle w:val="ac"/>
          <w:rFonts w:ascii="Narkisim" w:hAnsi="Narkisim"/>
          <w:u w:val="single"/>
          <w:rtl/>
        </w:rPr>
        <w:footnoteReference w:id="889"/>
      </w:r>
      <w:r w:rsidRPr="00012502">
        <w:rPr>
          <w:rFonts w:ascii="Narkisim" w:hAnsi="Narkisim"/>
          <w:u w:val="single"/>
          <w:rtl/>
        </w:rPr>
        <w:t xml:space="preserve"> וכו', אלא ודאי נקב מלא בעינן</w:t>
      </w:r>
      <w:r w:rsidRPr="00012502">
        <w:rPr>
          <w:rFonts w:ascii="Narkisim" w:hAnsi="Narkisim"/>
          <w:rtl/>
        </w:rPr>
        <w:t>. וה</w:t>
      </w:r>
      <w:r w:rsidRPr="00012502">
        <w:rPr>
          <w:rFonts w:ascii="Narkisim" w:hAnsi="Narkisim"/>
          <w:b/>
          <w:bCs/>
          <w:rtl/>
        </w:rPr>
        <w:t>ר"ש</w:t>
      </w:r>
      <w:r w:rsidRPr="00012502">
        <w:rPr>
          <w:rFonts w:ascii="Narkisim" w:hAnsi="Narkisim"/>
          <w:rtl/>
        </w:rPr>
        <w:t xml:space="preserve"> (טהרות ספ"ח) דחה דהתם נמי לא איירי במים, אלא בשיעור הפירצה.</w:t>
      </w:r>
    </w:p>
    <w:p w14:paraId="0F1986EB" w14:textId="77777777" w:rsidR="00BE1D1C" w:rsidRPr="00012502" w:rsidRDefault="00000000" w:rsidP="00012502">
      <w:pPr>
        <w:pStyle w:val="aa"/>
        <w:bidi/>
        <w:rPr>
          <w:rFonts w:ascii="Narkisim" w:hAnsi="Narkisim"/>
        </w:rPr>
      </w:pPr>
      <w:r w:rsidRPr="00012502">
        <w:rPr>
          <w:rFonts w:ascii="Narkisim" w:hAnsi="Narkisim"/>
          <w:rtl/>
        </w:rPr>
        <w:t>ובפשוטו ר"י למד מהתם דבעי שיעור במים. אבל ה</w:t>
      </w:r>
      <w:r w:rsidRPr="00012502">
        <w:rPr>
          <w:rFonts w:ascii="Narkisim" w:hAnsi="Narkisim"/>
          <w:b/>
          <w:bCs/>
          <w:rtl/>
        </w:rPr>
        <w:t>גרי"ז</w:t>
      </w:r>
      <w:r w:rsidRPr="00012502">
        <w:rPr>
          <w:rFonts w:ascii="Narkisim" w:hAnsi="Narkisim"/>
          <w:rtl/>
        </w:rPr>
        <w:t xml:space="preserve"> דן דאף סברת ר"י דהוה שיעור בנקב [להחשב פירצה]. אלא דבעינן שיהא הנקב מלא מים לבטל הכותל, דמה שאינו כנגד המים אינו חלק מהמחיצה. דאי הוה שיעור במים, מ"ש למעלה או מהצד.</w:t>
      </w:r>
    </w:p>
    <w:p w14:paraId="6159989F" w14:textId="77777777" w:rsidR="00BE1D1C" w:rsidRPr="00012502" w:rsidRDefault="00000000" w:rsidP="00012502">
      <w:pPr>
        <w:pStyle w:val="aa"/>
        <w:bidi/>
        <w:rPr>
          <w:rFonts w:ascii="Narkisim" w:hAnsi="Narkisim"/>
        </w:rPr>
      </w:pPr>
      <w:r w:rsidRPr="00012502">
        <w:rPr>
          <w:rFonts w:ascii="Narkisim" w:hAnsi="Narkisim"/>
          <w:u w:val="single"/>
          <w:rtl/>
        </w:rPr>
        <w:t>בא"ד ונראה לר"י דלא איירי לענין חיבור מקואות, אלא לענין השקה וכו'.</w:t>
      </w:r>
      <w:r w:rsidRPr="00012502">
        <w:rPr>
          <w:rFonts w:ascii="Narkisim" w:hAnsi="Narkisim"/>
          <w:rtl/>
        </w:rPr>
        <w:t xml:space="preserve"> ה</w:t>
      </w:r>
      <w:r w:rsidRPr="00012502">
        <w:rPr>
          <w:rFonts w:ascii="Narkisim" w:hAnsi="Narkisim"/>
          <w:b/>
          <w:bCs/>
          <w:rtl/>
        </w:rPr>
        <w:t>גר"ח</w:t>
      </w:r>
      <w:r w:rsidRPr="00012502">
        <w:rPr>
          <w:rFonts w:ascii="Narkisim" w:hAnsi="Narkisim"/>
          <w:rtl/>
        </w:rPr>
        <w:t xml:space="preserve"> (טומ"א ז) כתב דלענין חיבור מקואות תליא בדין 'עירוב', שיחשב חד מקוה. אבל לענין השקה סגי ב'חיבור', דבליכא הפסק מחיצה סגי בטופח להטפיח, וכן לענין נידון המים עצמן דנחשב עצם המקוה ופקע שם שאובים.</w:t>
      </w:r>
    </w:p>
    <w:p w14:paraId="4540EEE4" w14:textId="77777777" w:rsidR="00BE1D1C" w:rsidRPr="00012502" w:rsidRDefault="00000000" w:rsidP="00012502">
      <w:pPr>
        <w:pStyle w:val="3"/>
        <w:bidi/>
        <w:rPr>
          <w:rFonts w:ascii="Narkisim" w:hAnsi="Narkisim"/>
        </w:rPr>
      </w:pPr>
      <w:r w:rsidRPr="00012502">
        <w:rPr>
          <w:rFonts w:ascii="Narkisim" w:hAnsi="Narkisim"/>
          <w:rtl/>
        </w:rPr>
        <w:t>דף טו:</w:t>
      </w:r>
    </w:p>
    <w:p w14:paraId="67198694" w14:textId="77777777" w:rsidR="00BE1D1C" w:rsidRPr="00012502" w:rsidRDefault="00000000" w:rsidP="00012502">
      <w:pPr>
        <w:bidi/>
        <w:rPr>
          <w:rFonts w:ascii="Narkisim" w:hAnsi="Narkisim" w:cs="Narkisim"/>
        </w:rPr>
      </w:pPr>
      <w:r w:rsidRPr="00012502">
        <w:rPr>
          <w:rFonts w:ascii="Narkisim" w:hAnsi="Narkisim" w:cs="Narkisim"/>
          <w:u w:val="single"/>
          <w:rtl/>
        </w:rPr>
        <w:t>הרואה אומר.</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ולא דמי לב' תורות, אבל היכא דדמי לאגודות לא עשו כדבריהם. בפשטות מבואר ברש"י דהטעם שלא עשו כדבריהם משום לא תתגודדו </w:t>
      </w:r>
      <w:r w:rsidRPr="00012502">
        <w:rPr>
          <w:rFonts w:ascii="Narkisim" w:hAnsi="Narkisim" w:cs="Narkisim"/>
          <w:sz w:val="20"/>
          <w:szCs w:val="20"/>
          <w:rtl/>
        </w:rPr>
        <w:t>[וכר"ל יג:, דלא כאביי ורבא יד. ועי' מש"כ בזה לעיל]</w:t>
      </w:r>
      <w:r w:rsidRPr="00012502">
        <w:rPr>
          <w:rFonts w:ascii="Narkisim" w:hAnsi="Narkisim" w:cs="Narkisim"/>
          <w:rtl/>
        </w:rPr>
        <w:t>. אבל ה</w:t>
      </w:r>
      <w:r w:rsidRPr="00012502">
        <w:rPr>
          <w:rFonts w:ascii="Narkisim" w:hAnsi="Narkisim" w:cs="Narkisim"/>
          <w:b/>
          <w:bCs/>
          <w:rtl/>
        </w:rPr>
        <w:t>ריטב"א</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 xml:space="preserve">בע"א) </w:t>
      </w:r>
      <w:r w:rsidRPr="00012502">
        <w:rPr>
          <w:rFonts w:ascii="Narkisim" w:hAnsi="Narkisim" w:cs="Narkisim"/>
          <w:rtl/>
        </w:rPr>
        <w:t xml:space="preserve">כת' דאפשר דרש"י נקט כן, דמשו"ה היו צריכים שלא לעשות בפרהסיא </w:t>
      </w:r>
      <w:r w:rsidRPr="00012502">
        <w:rPr>
          <w:rFonts w:ascii="Narkisim" w:hAnsi="Narkisim" w:cs="Narkisim"/>
          <w:sz w:val="20"/>
          <w:szCs w:val="20"/>
          <w:rtl/>
        </w:rPr>
        <w:t>[וכשיטת הריטב"א דצריך להחמיר כדבריו בצינעא].</w:t>
      </w:r>
    </w:p>
    <w:p w14:paraId="594CCF3B" w14:textId="77777777" w:rsidR="00BE1D1C" w:rsidRPr="00012502" w:rsidRDefault="00000000" w:rsidP="00012502">
      <w:pPr>
        <w:bidi/>
        <w:rPr>
          <w:rFonts w:ascii="Narkisim" w:hAnsi="Narkisim" w:cs="Narkisim"/>
        </w:rPr>
      </w:pPr>
      <w:r w:rsidRPr="00012502">
        <w:rPr>
          <w:rFonts w:ascii="Narkisim" w:hAnsi="Narkisim" w:cs="Narkisim"/>
          <w:u w:val="single"/>
          <w:rtl/>
        </w:rPr>
        <w:t>רש"י ד"ה שהן.</w:t>
      </w:r>
      <w:r w:rsidRPr="00012502">
        <w:rPr>
          <w:rFonts w:ascii="Narkisim" w:hAnsi="Narkisim" w:cs="Narkisim"/>
          <w:rtl/>
        </w:rPr>
        <w:t xml:space="preserve"> שמא נגע [עם הארץ] בגב החבית וטמאה מדרבנן, וטמאתם. </w:t>
      </w:r>
      <w:r w:rsidRPr="00012502">
        <w:rPr>
          <w:rFonts w:ascii="Narkisim" w:hAnsi="Narkisim" w:cs="Narkisim"/>
          <w:sz w:val="20"/>
          <w:szCs w:val="20"/>
          <w:rtl/>
        </w:rPr>
        <w:t>משמע שע"ה טימא את החבית, והחבית מטמא את הזיתים.</w:t>
      </w:r>
      <w:r w:rsidRPr="00012502">
        <w:rPr>
          <w:rFonts w:ascii="Narkisim" w:hAnsi="Narkisim" w:cs="Narkisim"/>
          <w:rtl/>
        </w:rPr>
        <w:t xml:space="preserve"> ה</w:t>
      </w:r>
      <w:r w:rsidRPr="00012502">
        <w:rPr>
          <w:rFonts w:ascii="Narkisim" w:hAnsi="Narkisim" w:cs="Narkisim"/>
          <w:b/>
          <w:bCs/>
          <w:rtl/>
        </w:rPr>
        <w:t>ריטב"א</w:t>
      </w:r>
      <w:r w:rsidRPr="00012502">
        <w:rPr>
          <w:rFonts w:ascii="Narkisim" w:hAnsi="Narkisim" w:cs="Narkisim"/>
          <w:rtl/>
        </w:rPr>
        <w:t xml:space="preserve"> תמה דחבית הוה כלי חרס ואינו מטמא מגבו. וכתב וי"ל דשמא ס"ל דהחמירו שע"ה מטמא כלי חרס מגבו מדרבנן. </w:t>
      </w:r>
      <w:r w:rsidRPr="00012502">
        <w:rPr>
          <w:rFonts w:ascii="Narkisim" w:hAnsi="Narkisim" w:cs="Narkisim"/>
          <w:sz w:val="20"/>
          <w:szCs w:val="20"/>
          <w:rtl/>
        </w:rPr>
        <w:t>[וסיים וצ"ע</w:t>
      </w:r>
      <w:r w:rsidRPr="00012502">
        <w:rPr>
          <w:rStyle w:val="ac"/>
          <w:rFonts w:ascii="Narkisim" w:hAnsi="Narkisim" w:cs="Narkisim"/>
          <w:sz w:val="20"/>
          <w:szCs w:val="20"/>
          <w:rtl/>
        </w:rPr>
        <w:footnoteReference w:id="890"/>
      </w:r>
      <w:r w:rsidRPr="00012502">
        <w:rPr>
          <w:rFonts w:ascii="Narkisim" w:hAnsi="Narkisim" w:cs="Narkisim"/>
          <w:sz w:val="20"/>
          <w:szCs w:val="20"/>
          <w:rtl/>
        </w:rPr>
        <w:t>].</w:t>
      </w:r>
      <w:r w:rsidRPr="00012502">
        <w:rPr>
          <w:rFonts w:ascii="Narkisim" w:hAnsi="Narkisim" w:cs="Narkisim"/>
          <w:rtl/>
        </w:rPr>
        <w:t xml:space="preserve"> וה</w:t>
      </w:r>
      <w:r w:rsidRPr="00012502">
        <w:rPr>
          <w:rFonts w:ascii="Narkisim" w:hAnsi="Narkisim" w:cs="Narkisim"/>
          <w:b/>
          <w:bCs/>
          <w:rtl/>
        </w:rPr>
        <w:t>ריטב"א</w:t>
      </w:r>
      <w:r w:rsidRPr="00012502">
        <w:rPr>
          <w:rFonts w:ascii="Narkisim" w:hAnsi="Narkisim" w:cs="Narkisim"/>
          <w:rtl/>
        </w:rPr>
        <w:t xml:space="preserve"> חלק די"ל דחשש שמא נגע בתוכו. או שהזיתים נטמאו משעת מסיקה</w:t>
      </w:r>
      <w:r w:rsidRPr="00012502">
        <w:rPr>
          <w:rStyle w:val="ac"/>
          <w:rFonts w:ascii="Narkisim" w:hAnsi="Narkisim" w:cs="Narkisim"/>
          <w:rtl/>
        </w:rPr>
        <w:footnoteReference w:id="891"/>
      </w:r>
      <w:r w:rsidRPr="00012502">
        <w:rPr>
          <w:rFonts w:ascii="Narkisim" w:hAnsi="Narkisim" w:cs="Narkisim"/>
          <w:rtl/>
        </w:rPr>
        <w:t xml:space="preserve">. ויש </w:t>
      </w:r>
      <w:r w:rsidRPr="00012502">
        <w:rPr>
          <w:rFonts w:ascii="Narkisim" w:hAnsi="Narkisim" w:cs="Narkisim"/>
          <w:b/>
          <w:bCs/>
          <w:rtl/>
        </w:rPr>
        <w:t>אחרונים</w:t>
      </w:r>
      <w:r w:rsidRPr="00012502">
        <w:rPr>
          <w:rFonts w:ascii="Narkisim" w:hAnsi="Narkisim" w:cs="Narkisim"/>
          <w:rtl/>
        </w:rPr>
        <w:t xml:space="preserve"> שדנו דכוונת רש"י שמטמא בהיסט [וס"ל דעם הארץ מטמא בהיסט</w:t>
      </w:r>
      <w:r w:rsidRPr="00012502">
        <w:rPr>
          <w:rStyle w:val="ac"/>
          <w:rFonts w:ascii="Narkisim" w:hAnsi="Narkisim" w:cs="Narkisim"/>
          <w:rtl/>
        </w:rPr>
        <w:footnoteReference w:id="892"/>
      </w:r>
      <w:r w:rsidRPr="00012502">
        <w:rPr>
          <w:rFonts w:ascii="Narkisim" w:hAnsi="Narkisim" w:cs="Narkisim"/>
          <w:rtl/>
        </w:rPr>
        <w:t xml:space="preserve">]. </w:t>
      </w:r>
      <w:r w:rsidRPr="00012502">
        <w:rPr>
          <w:rFonts w:ascii="Narkisim" w:hAnsi="Narkisim" w:cs="Narkisim"/>
          <w:szCs w:val="20"/>
          <w:rtl/>
        </w:rPr>
        <w:t>אך לשון רש"י שמטמא את החבית, והחבית מטמא את הזיתים. ואי משום היסט, הרי הסיט את הזיתים</w:t>
      </w:r>
      <w:r w:rsidRPr="00012502">
        <w:rPr>
          <w:rFonts w:ascii="Narkisim" w:hAnsi="Narkisim" w:cs="Narkisim"/>
          <w:rtl/>
        </w:rPr>
        <w:t>.</w:t>
      </w:r>
    </w:p>
    <w:p w14:paraId="72B6E0C0" w14:textId="77777777" w:rsidR="00BE1D1C" w:rsidRPr="00012502" w:rsidRDefault="00000000" w:rsidP="00012502">
      <w:pPr>
        <w:pStyle w:val="aa"/>
        <w:bidi/>
        <w:rPr>
          <w:rFonts w:ascii="Narkisim" w:hAnsi="Narkisim"/>
        </w:rPr>
      </w:pPr>
      <w:r w:rsidRPr="00012502">
        <w:rPr>
          <w:rFonts w:ascii="Narkisim" w:hAnsi="Narkisim"/>
          <w:u w:val="single"/>
          <w:rtl/>
        </w:rPr>
        <w:t>ומודים שאם נקבה וסתמוה שמרים שהיא טהורה</w:t>
      </w:r>
      <w:r w:rsidRPr="00012502">
        <w:rPr>
          <w:rFonts w:ascii="Narkisim" w:hAnsi="Narkisim"/>
          <w:rtl/>
        </w:rPr>
        <w:t>. פ</w:t>
      </w:r>
      <w:r w:rsidRPr="00012502">
        <w:rPr>
          <w:rFonts w:ascii="Narkisim" w:hAnsi="Narkisim"/>
          <w:b/>
          <w:bCs/>
          <w:rtl/>
        </w:rPr>
        <w:t>רש"י</w:t>
      </w:r>
      <w:r w:rsidRPr="00012502">
        <w:rPr>
          <w:rFonts w:ascii="Narkisim" w:hAnsi="Narkisim"/>
          <w:rtl/>
        </w:rPr>
        <w:t xml:space="preserve"> דגלי דעתיה שלא ניח"ל [שהרי עשה נקב]. ו</w:t>
      </w:r>
      <w:r w:rsidRPr="00012502">
        <w:rPr>
          <w:rFonts w:ascii="Narkisim" w:hAnsi="Narkisim"/>
          <w:b/>
          <w:bCs/>
          <w:rtl/>
        </w:rPr>
        <w:t>תוס'</w:t>
      </w:r>
      <w:r w:rsidRPr="00012502">
        <w:rPr>
          <w:rFonts w:ascii="Narkisim" w:hAnsi="Narkisim"/>
          <w:rtl/>
        </w:rPr>
        <w:t xml:space="preserve"> (ב"ק קה.) בקו' נקטו דהטעם משום דסתימת שמרים לא הוה סתימה מעלייתא. והק' דמבואר (שם) דהוה סתימה מעלייתא להציל מטומאה. ותי' דהכא איירי לענין הכשר, דמסתמא לא ניחא להו לבעלים במה שיוצא ממנה כיון שנקבה, ואע"פ שסתמוה שמרים לאו סתימה מעלייתא היא</w:t>
      </w:r>
      <w:r w:rsidRPr="00012502">
        <w:rPr>
          <w:rStyle w:val="ac"/>
          <w:rFonts w:ascii="Narkisim" w:hAnsi="Narkisim"/>
          <w:rtl/>
        </w:rPr>
        <w:footnoteReference w:id="893"/>
      </w:r>
      <w:r w:rsidRPr="00012502">
        <w:rPr>
          <w:rFonts w:ascii="Narkisim" w:hAnsi="Narkisim"/>
          <w:rtl/>
        </w:rPr>
        <w:t>.</w:t>
      </w:r>
    </w:p>
    <w:p w14:paraId="6CD9092D" w14:textId="77777777" w:rsidR="00BE1D1C" w:rsidRPr="00012502" w:rsidRDefault="00000000" w:rsidP="00012502">
      <w:pPr>
        <w:bidi/>
        <w:rPr>
          <w:rFonts w:ascii="Narkisim" w:hAnsi="Narkisim" w:cs="Narkisim"/>
        </w:rPr>
      </w:pPr>
      <w:r w:rsidRPr="00012502">
        <w:rPr>
          <w:rFonts w:ascii="Narkisim" w:hAnsi="Narkisim" w:cs="Narkisim"/>
          <w:u w:val="single"/>
          <w:rtl/>
        </w:rPr>
        <w:t>רש"י ד"ה אין.</w:t>
      </w:r>
      <w:r w:rsidRPr="00012502">
        <w:rPr>
          <w:rFonts w:ascii="Narkisim" w:hAnsi="Narkisim" w:cs="Narkisim"/>
          <w:rtl/>
        </w:rPr>
        <w:t xml:space="preserve"> מוהל מי פירות הן ואין מכשירין. ובזה פליגי בי"ה דמוהל נחשב משקה, כשמן</w:t>
      </w:r>
      <w:r w:rsidRPr="00012502">
        <w:rPr>
          <w:rStyle w:val="ac"/>
          <w:rFonts w:ascii="Narkisim" w:hAnsi="Narkisim" w:cs="Narkisim"/>
          <w:rtl/>
        </w:rPr>
        <w:footnoteReference w:id="894"/>
      </w:r>
      <w:r w:rsidRPr="00012502">
        <w:rPr>
          <w:rFonts w:ascii="Narkisim" w:hAnsi="Narkisim" w:cs="Narkisim"/>
          <w:rtl/>
        </w:rPr>
        <w:t>. אבל ה</w:t>
      </w:r>
      <w:r w:rsidRPr="00012502">
        <w:rPr>
          <w:rFonts w:ascii="Narkisim" w:hAnsi="Narkisim" w:cs="Narkisim"/>
          <w:b/>
          <w:bCs/>
          <w:rtl/>
        </w:rPr>
        <w:t>רמב"ם</w:t>
      </w:r>
      <w:r w:rsidRPr="00012502">
        <w:rPr>
          <w:rFonts w:ascii="Narkisim" w:hAnsi="Narkisim" w:cs="Narkisim"/>
          <w:rtl/>
        </w:rPr>
        <w:t xml:space="preserve"> (</w:t>
      </w:r>
      <w:r w:rsidRPr="00012502">
        <w:rPr>
          <w:rFonts w:ascii="Narkisim" w:hAnsi="Narkisim" w:cs="Narkisim"/>
          <w:sz w:val="20"/>
          <w:szCs w:val="20"/>
          <w:rtl/>
        </w:rPr>
        <w:t>בפיה"מ עדיות ד ו, וכן ה</w:t>
      </w:r>
      <w:r w:rsidRPr="00012502">
        <w:rPr>
          <w:rFonts w:ascii="Narkisim" w:hAnsi="Narkisim" w:cs="Narkisim"/>
          <w:b/>
          <w:bCs/>
          <w:sz w:val="20"/>
          <w:szCs w:val="20"/>
          <w:rtl/>
        </w:rPr>
        <w:t>ר"ש</w:t>
      </w:r>
      <w:r w:rsidRPr="00012502">
        <w:rPr>
          <w:rFonts w:ascii="Narkisim" w:hAnsi="Narkisim" w:cs="Narkisim"/>
          <w:sz w:val="20"/>
          <w:szCs w:val="20"/>
          <w:rtl/>
        </w:rPr>
        <w:t xml:space="preserve"> ו</w:t>
      </w:r>
      <w:r w:rsidRPr="00012502">
        <w:rPr>
          <w:rFonts w:ascii="Narkisim" w:hAnsi="Narkisim" w:cs="Narkisim"/>
          <w:b/>
          <w:bCs/>
          <w:sz w:val="20"/>
          <w:szCs w:val="20"/>
          <w:rtl/>
        </w:rPr>
        <w:t>ראב"ד</w:t>
      </w:r>
      <w:r w:rsidRPr="00012502">
        <w:rPr>
          <w:rFonts w:ascii="Narkisim" w:hAnsi="Narkisim" w:cs="Narkisim"/>
          <w:sz w:val="20"/>
          <w:szCs w:val="20"/>
          <w:rtl/>
        </w:rPr>
        <w:t xml:space="preserve"> שם)</w:t>
      </w:r>
      <w:r w:rsidRPr="00012502">
        <w:rPr>
          <w:rFonts w:ascii="Narkisim" w:hAnsi="Narkisim" w:cs="Narkisim"/>
          <w:rtl/>
        </w:rPr>
        <w:t xml:space="preserve"> כתבו דסברת בית שמאי שנחשב שלא לרצון. [וע"ע חזו"א].</w:t>
      </w:r>
    </w:p>
    <w:p w14:paraId="5D42050C"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פגום מיהו הוי מק"ו וכו'</w:t>
      </w:r>
      <w:r w:rsidRPr="00012502">
        <w:rPr>
          <w:rFonts w:ascii="Narkisim" w:hAnsi="Narkisim" w:cs="Narkisim"/>
          <w:rtl/>
        </w:rPr>
        <w:t>. פ</w:t>
      </w:r>
      <w:r w:rsidRPr="00012502">
        <w:rPr>
          <w:rFonts w:ascii="Narkisim" w:hAnsi="Narkisim" w:cs="Narkisim"/>
          <w:b/>
          <w:bCs/>
          <w:rtl/>
        </w:rPr>
        <w:t>רש"י</w:t>
      </w:r>
      <w:r w:rsidRPr="00012502">
        <w:rPr>
          <w:rFonts w:ascii="Narkisim" w:hAnsi="Narkisim" w:cs="Narkisim"/>
          <w:rtl/>
        </w:rPr>
        <w:t xml:space="preserve"> זו [צרת הבת שנתייבמה, ע"פ הוראת בי"ש] אינו דין שבנה פגום. וכן ילפי' בכל עריות [חייבי כריתות] דהבן פגום לכהונה.</w:t>
      </w:r>
    </w:p>
    <w:p w14:paraId="48C88762" w14:textId="77777777" w:rsidR="00BE1D1C" w:rsidRPr="00012502" w:rsidRDefault="00000000" w:rsidP="00012502">
      <w:pPr>
        <w:bidi/>
        <w:rPr>
          <w:rFonts w:ascii="Narkisim" w:hAnsi="Narkisim" w:cs="Narkisim"/>
        </w:rPr>
      </w:pPr>
      <w:r w:rsidRPr="00012502">
        <w:rPr>
          <w:rFonts w:ascii="Narkisim" w:hAnsi="Narkisim" w:cs="Narkisim"/>
          <w:u w:val="single"/>
          <w:rtl/>
        </w:rPr>
        <w:t>שם. פגום מיהו הוי</w:t>
      </w:r>
      <w:r w:rsidRPr="00012502">
        <w:rPr>
          <w:rFonts w:ascii="Narkisim" w:hAnsi="Narkisim" w:cs="Narkisim"/>
          <w:rtl/>
        </w:rPr>
        <w:t>. בפשוטו איירי בבן מכהן, והבן נפגם מכהונתו. ו</w:t>
      </w:r>
      <w:r w:rsidRPr="00012502">
        <w:rPr>
          <w:rFonts w:ascii="Narkisim" w:hAnsi="Narkisim" w:cs="Narkisim"/>
          <w:b/>
          <w:bCs/>
          <w:rtl/>
        </w:rPr>
        <w:t>רש"י</w:t>
      </w:r>
      <w:r w:rsidRPr="00012502">
        <w:rPr>
          <w:rFonts w:ascii="Narkisim" w:hAnsi="Narkisim" w:cs="Narkisim"/>
          <w:rtl/>
        </w:rPr>
        <w:t xml:space="preserve"> (לקמן מד:) כת' אם ילדה </w:t>
      </w:r>
      <w:r w:rsidRPr="00012502">
        <w:rPr>
          <w:rFonts w:ascii="Narkisim" w:hAnsi="Narkisim" w:cs="Narkisim"/>
          <w:i/>
          <w:iCs/>
          <w:rtl/>
        </w:rPr>
        <w:t>בת</w:t>
      </w:r>
      <w:r w:rsidRPr="00012502">
        <w:rPr>
          <w:rFonts w:ascii="Narkisim" w:hAnsi="Narkisim" w:cs="Narkisim"/>
          <w:rtl/>
        </w:rPr>
        <w:t xml:space="preserve"> פסולה לכהונה. וה</w:t>
      </w:r>
      <w:r w:rsidRPr="00012502">
        <w:rPr>
          <w:rFonts w:ascii="Narkisim" w:hAnsi="Narkisim" w:cs="Narkisim"/>
          <w:b/>
          <w:bCs/>
          <w:rtl/>
        </w:rPr>
        <w:t>רמב"ן</w:t>
      </w:r>
      <w:r w:rsidRPr="00012502">
        <w:rPr>
          <w:rFonts w:ascii="Narkisim" w:hAnsi="Narkisim" w:cs="Narkisim"/>
          <w:rtl/>
        </w:rPr>
        <w:t xml:space="preserve"> (מה.) כת' דה"ה בנה [מישראל], דפגום לדורות כחלל, ופוסל בביאתו. וה</w:t>
      </w:r>
      <w:r w:rsidRPr="00012502">
        <w:rPr>
          <w:rFonts w:ascii="Narkisim" w:hAnsi="Narkisim" w:cs="Narkisim"/>
          <w:b/>
          <w:bCs/>
          <w:rtl/>
        </w:rPr>
        <w:t>רשב"א</w:t>
      </w:r>
      <w:r w:rsidRPr="00012502">
        <w:rPr>
          <w:rFonts w:ascii="Narkisim" w:hAnsi="Narkisim" w:cs="Narkisim"/>
          <w:rtl/>
        </w:rPr>
        <w:t xml:space="preserve"> (שם) חלק דרש"י נקט בתה דוקא. [ע"ע רש"י סוף יד:].</w:t>
      </w:r>
    </w:p>
    <w:p w14:paraId="4FFE9544" w14:textId="77777777" w:rsidR="00BE1D1C" w:rsidRPr="00012502" w:rsidRDefault="00000000" w:rsidP="00012502">
      <w:pPr>
        <w:bidi/>
        <w:rPr>
          <w:rFonts w:ascii="Narkisim" w:hAnsi="Narkisim" w:cs="Narkisim"/>
        </w:rPr>
      </w:pPr>
      <w:r w:rsidRPr="00012502">
        <w:rPr>
          <w:rFonts w:ascii="Narkisim" w:hAnsi="Narkisim" w:cs="Narkisim"/>
          <w:u w:val="single"/>
          <w:rtl/>
        </w:rPr>
        <w:t>בני צרות דבית הלל לבית שמאי מהו, למאי נפק"מ למיפשט ולד מחזיר גרושתו וכו'</w:t>
      </w:r>
      <w:r w:rsidRPr="00012502">
        <w:rPr>
          <w:rFonts w:ascii="Narkisim" w:hAnsi="Narkisim" w:cs="Narkisim"/>
          <w:rtl/>
        </w:rPr>
        <w:t>. ופשט להם דכשר, דהעיד דשמשו ע"ג מזבח. אבל ר' יוחנן בן נורי (לעיל יד:) נקט דהולד פגום לבית שמאי.</w:t>
      </w:r>
      <w:r w:rsidRPr="00012502">
        <w:rPr>
          <w:rFonts w:ascii="Narkisim" w:hAnsi="Narkisim" w:cs="Narkisim"/>
          <w:sz w:val="20"/>
          <w:szCs w:val="20"/>
          <w:rtl/>
        </w:rPr>
        <w:t xml:space="preserve"> [ע"ע </w:t>
      </w:r>
      <w:r w:rsidRPr="00012502">
        <w:rPr>
          <w:rFonts w:ascii="Narkisim" w:hAnsi="Narkisim" w:cs="Narkisim"/>
          <w:b/>
          <w:bCs/>
          <w:sz w:val="20"/>
          <w:szCs w:val="20"/>
          <w:rtl/>
        </w:rPr>
        <w:t>תוס'</w:t>
      </w:r>
      <w:r w:rsidRPr="00012502">
        <w:rPr>
          <w:rFonts w:ascii="Narkisim" w:hAnsi="Narkisim" w:cs="Narkisim"/>
          <w:sz w:val="20"/>
          <w:szCs w:val="20"/>
          <w:rtl/>
        </w:rPr>
        <w:t xml:space="preserve"> שם במה פליג].</w:t>
      </w:r>
    </w:p>
    <w:p w14:paraId="74B1234C"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רמב"ן</w:t>
      </w:r>
      <w:r w:rsidRPr="00012502">
        <w:rPr>
          <w:rFonts w:ascii="Narkisim" w:hAnsi="Narkisim"/>
          <w:rtl/>
        </w:rPr>
        <w:t xml:space="preserve"> (ושא"ר) כת' דר"י ב"נ לא ראה המעשה דכהנים גדולים. א"נ סבר דנעשית שלא ברצון בית שמאי [אבל ר' יהושע סבר דבית שמאי לא היו מניחים להם להעמיד כה"ג דלא כוותיהו, וכ"כ ה</w:t>
      </w:r>
      <w:r w:rsidRPr="00012502">
        <w:rPr>
          <w:rFonts w:ascii="Narkisim" w:hAnsi="Narkisim"/>
          <w:b/>
          <w:bCs/>
          <w:rtl/>
        </w:rPr>
        <w:t>תוס' רא"ש</w:t>
      </w:r>
      <w:r w:rsidRPr="00012502">
        <w:rPr>
          <w:rStyle w:val="ac"/>
          <w:rFonts w:ascii="Narkisim" w:hAnsi="Narkisim"/>
          <w:rtl/>
        </w:rPr>
        <w:footnoteReference w:id="895"/>
      </w:r>
      <w:r w:rsidRPr="00012502">
        <w:rPr>
          <w:rFonts w:ascii="Narkisim" w:hAnsi="Narkisim"/>
          <w:rtl/>
        </w:rPr>
        <w:t>].</w:t>
      </w:r>
    </w:p>
    <w:p w14:paraId="4AA41365"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w:t>
      </w:r>
      <w:r w:rsidRPr="00012502">
        <w:rPr>
          <w:rFonts w:ascii="Narkisim" w:hAnsi="Narkisim"/>
          <w:b/>
          <w:bCs/>
          <w:rtl/>
        </w:rPr>
        <w:t>תוס'</w:t>
      </w:r>
      <w:r w:rsidRPr="00012502">
        <w:rPr>
          <w:rFonts w:ascii="Narkisim" w:hAnsi="Narkisim"/>
          <w:rtl/>
        </w:rPr>
        <w:t xml:space="preserve"> (לקמן צב:) הביאו דמבואר דיבמה שנשאת לשוק הולד כשר אף מדרבנן. והק' דמבואר (שם) דהוה ממזר מדרבנן, משום גזירה דמחלפה באשה שהלך בעלה למדינת הים. ותוס' תי' דדוקא נשאת בטעות ועומדת לצאת גזרו [דדמי לאשה שהלך בעלה], אבל הכא שנשאת בהוראת בי"ד ואין עומדת כלל לצאת לא גזרו.</w:t>
      </w:r>
    </w:p>
    <w:p w14:paraId="1388DC0A" w14:textId="77777777" w:rsidR="00BE1D1C" w:rsidRPr="00012502" w:rsidRDefault="00000000" w:rsidP="00012502">
      <w:pPr>
        <w:pStyle w:val="aa"/>
        <w:bidi/>
        <w:rPr>
          <w:rFonts w:ascii="Narkisim" w:hAnsi="Narkisim"/>
        </w:rPr>
      </w:pPr>
      <w:r w:rsidRPr="00012502">
        <w:rPr>
          <w:rFonts w:ascii="Narkisim" w:hAnsi="Narkisim"/>
          <w:u w:val="single"/>
          <w:rtl/>
        </w:rPr>
        <w:t>או דילמא איכא למיפרך מה לאלמנה שהיא עצמה מתחללת וכו'</w:t>
      </w:r>
      <w:r w:rsidRPr="00012502">
        <w:rPr>
          <w:rFonts w:ascii="Narkisim" w:hAnsi="Narkisim"/>
          <w:rtl/>
        </w:rPr>
        <w:t>. ובגמ' (נדה סט:, הו' בתוס') שאלו אנשי אלכסנדריא את ר' יהושע בת של מחזיר גרושתו [משולחת] האם מותרת לכהן, האם דילפי' שפגום מק"ו מאלמנה. או דאיכא למיפרך דאלמנה מתחללת. ופשט להו דכתיב היא תועבה ואין בניה תועבים. ואילו בסוגיין משמע דפשט להו מסברא. [ובגמ' לקמן מד: הו' ב' הטעמים].</w:t>
      </w:r>
    </w:p>
    <w:p w14:paraId="046E3704" w14:textId="77777777" w:rsidR="00BE1D1C" w:rsidRPr="00012502" w:rsidRDefault="00000000" w:rsidP="00012502">
      <w:pPr>
        <w:bidi/>
        <w:rPr>
          <w:rFonts w:ascii="Narkisim" w:hAnsi="Narkisim" w:cs="Narkisim"/>
        </w:rPr>
      </w:pPr>
      <w:r w:rsidRPr="00012502">
        <w:rPr>
          <w:rFonts w:ascii="Narkisim" w:hAnsi="Narkisim" w:cs="Narkisim"/>
          <w:u w:val="single"/>
          <w:rtl/>
        </w:rPr>
        <w:t>מה לאלמנה שהיא עצמה מתחללת.</w:t>
      </w:r>
      <w:r w:rsidRPr="00012502">
        <w:rPr>
          <w:rFonts w:ascii="Narkisim" w:hAnsi="Narkisim" w:cs="Narkisim"/>
          <w:rtl/>
        </w:rPr>
        <w:t xml:space="preserve"> פ</w:t>
      </w:r>
      <w:r w:rsidRPr="00012502">
        <w:rPr>
          <w:rFonts w:ascii="Narkisim" w:hAnsi="Narkisim" w:cs="Narkisim"/>
          <w:b/>
          <w:bCs/>
          <w:rtl/>
        </w:rPr>
        <w:t>רש"י</w:t>
      </w:r>
      <w:r w:rsidRPr="00012502">
        <w:rPr>
          <w:rFonts w:ascii="Narkisim" w:hAnsi="Narkisim" w:cs="Narkisim"/>
          <w:rtl/>
        </w:rPr>
        <w:t xml:space="preserve"> דנפסלת לכהונה [כשימות הכה"ג] ולתרומה</w:t>
      </w:r>
      <w:r w:rsidRPr="00012502">
        <w:rPr>
          <w:rStyle w:val="ac"/>
          <w:rFonts w:ascii="Narkisim" w:hAnsi="Narkisim" w:cs="Narkisim"/>
          <w:rtl/>
        </w:rPr>
        <w:footnoteReference w:id="896"/>
      </w:r>
      <w:r w:rsidRPr="00012502">
        <w:rPr>
          <w:rFonts w:ascii="Narkisim" w:hAnsi="Narkisim" w:cs="Narkisim"/>
          <w:rtl/>
        </w:rPr>
        <w:t>. תאמר במחזיר גרושתו שאין מתחללת, דכבר נפסלה לכהונה. ואינה נפסלת לתרומה אלא היכא דזר אצלה מעיקרא [או חייבי כריתות, או פסולי כהונה]. [וכדאי' בסוגיות לקמן סח וכן כמה מקומות].</w:t>
      </w:r>
    </w:p>
    <w:p w14:paraId="13413D98" w14:textId="77777777" w:rsidR="00BE1D1C" w:rsidRPr="00012502" w:rsidRDefault="00000000" w:rsidP="00012502">
      <w:pPr>
        <w:pStyle w:val="a7"/>
        <w:bidi/>
        <w:rPr>
          <w:rFonts w:ascii="Narkisim" w:hAnsi="Narkisim"/>
        </w:rPr>
      </w:pPr>
      <w:r w:rsidRPr="00012502">
        <w:rPr>
          <w:rFonts w:ascii="Narkisim" w:hAnsi="Narkisim"/>
          <w:rtl/>
        </w:rPr>
        <w:t>ורש"י כת' הטעם דבעינן זר אצלה מעיקרא דוקא לענין תרומה, ואילו ליפסל לכהונה תלה בטעם אחר</w:t>
      </w:r>
      <w:r w:rsidRPr="00012502">
        <w:rPr>
          <w:rStyle w:val="ac"/>
          <w:rFonts w:ascii="Narkisim" w:hAnsi="Narkisim"/>
          <w:rtl/>
        </w:rPr>
        <w:footnoteReference w:id="897"/>
      </w:r>
      <w:r w:rsidRPr="00012502">
        <w:rPr>
          <w:rFonts w:ascii="Narkisim" w:hAnsi="Narkisim"/>
          <w:rtl/>
        </w:rPr>
        <w:t>. ומשמע דנעשית זונה ליאסר לכהונה אף דלא הוה זר אצלה מעיקרא</w:t>
      </w:r>
      <w:r w:rsidRPr="00012502">
        <w:rPr>
          <w:rStyle w:val="ac"/>
          <w:rFonts w:ascii="Narkisim" w:hAnsi="Narkisim"/>
          <w:rtl/>
        </w:rPr>
        <w:footnoteReference w:id="898"/>
      </w:r>
      <w:r w:rsidRPr="00012502">
        <w:rPr>
          <w:rFonts w:ascii="Narkisim" w:hAnsi="Narkisim"/>
          <w:rtl/>
        </w:rPr>
        <w:t xml:space="preserve">. ואף שהיא זונה אינו פוסל לתרומה. </w:t>
      </w:r>
      <w:r w:rsidRPr="00012502">
        <w:rPr>
          <w:rFonts w:ascii="Narkisim" w:hAnsi="Narkisim"/>
          <w:szCs w:val="20"/>
          <w:rtl/>
        </w:rPr>
        <w:t>[וע"ע בסמוך בדעת הרמב"ם</w:t>
      </w:r>
      <w:r w:rsidRPr="00012502">
        <w:rPr>
          <w:rFonts w:ascii="Narkisim" w:hAnsi="Narkisim"/>
          <w:rtl/>
        </w:rPr>
        <w:t>].</w:t>
      </w:r>
    </w:p>
    <w:p w14:paraId="48E498FB" w14:textId="77777777" w:rsidR="00BE1D1C" w:rsidRPr="00012502" w:rsidRDefault="00000000" w:rsidP="00012502">
      <w:pPr>
        <w:pStyle w:val="a8"/>
        <w:bidi/>
        <w:rPr>
          <w:rFonts w:ascii="Narkisim" w:hAnsi="Narkisim"/>
        </w:rPr>
      </w:pPr>
      <w:r w:rsidRPr="00012502">
        <w:rPr>
          <w:rFonts w:ascii="Narkisim" w:hAnsi="Narkisim"/>
          <w:rtl/>
        </w:rPr>
        <w:t>וצ"ב א"כ יבמה לשוק נימא שהיא עצמה מתחללת לכהונה</w:t>
      </w:r>
      <w:r w:rsidRPr="00012502">
        <w:rPr>
          <w:rStyle w:val="ac"/>
          <w:rFonts w:ascii="Narkisim" w:hAnsi="Narkisim"/>
          <w:rtl/>
        </w:rPr>
        <w:footnoteReference w:id="899"/>
      </w:r>
      <w:r w:rsidRPr="00012502">
        <w:rPr>
          <w:rFonts w:ascii="Narkisim" w:hAnsi="Narkisim"/>
          <w:rtl/>
        </w:rPr>
        <w:t>, א"כ נילף דבנה פגום. [ולכאו' צ"ל דיבמה לשוק אינה נעשית זונה. וצ"ב מ"ש ממחזיר גרושתו].</w:t>
      </w:r>
    </w:p>
    <w:p w14:paraId="04CDA7D5"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Cs w:val="20"/>
          <w:rtl/>
        </w:rPr>
        <w:t>(לקמן פא.</w:t>
      </w:r>
      <w:r w:rsidRPr="00012502">
        <w:rPr>
          <w:rFonts w:ascii="Narkisim" w:hAnsi="Narkisim" w:cs="Narkisim"/>
          <w:rtl/>
        </w:rPr>
        <w:t xml:space="preserve"> </w:t>
      </w:r>
      <w:r w:rsidRPr="00012502">
        <w:rPr>
          <w:rFonts w:ascii="Narkisim" w:hAnsi="Narkisim" w:cs="Narkisim"/>
          <w:sz w:val="20"/>
          <w:szCs w:val="20"/>
          <w:rtl/>
        </w:rPr>
        <w:t>ד"ה לימא, וה</w:t>
      </w:r>
      <w:r w:rsidRPr="00012502">
        <w:rPr>
          <w:rFonts w:ascii="Narkisim" w:hAnsi="Narkisim" w:cs="Narkisim"/>
          <w:b/>
          <w:bCs/>
          <w:sz w:val="20"/>
          <w:szCs w:val="20"/>
          <w:rtl/>
        </w:rPr>
        <w:t xml:space="preserve">תו"י </w:t>
      </w:r>
      <w:r w:rsidRPr="00012502">
        <w:rPr>
          <w:rFonts w:ascii="Narkisim" w:hAnsi="Narkisim" w:cs="Narkisim"/>
          <w:sz w:val="20"/>
          <w:szCs w:val="20"/>
          <w:rtl/>
        </w:rPr>
        <w:t>ו</w:t>
      </w:r>
      <w:r w:rsidRPr="00012502">
        <w:rPr>
          <w:rFonts w:ascii="Narkisim" w:hAnsi="Narkisim" w:cs="Narkisim"/>
          <w:b/>
          <w:bCs/>
          <w:sz w:val="20"/>
          <w:szCs w:val="20"/>
          <w:rtl/>
        </w:rPr>
        <w:t>תוס' הרא"ש</w:t>
      </w:r>
      <w:r w:rsidRPr="00012502">
        <w:rPr>
          <w:rFonts w:ascii="Narkisim" w:hAnsi="Narkisim" w:cs="Narkisim"/>
          <w:sz w:val="20"/>
          <w:szCs w:val="20"/>
          <w:rtl/>
        </w:rPr>
        <w:t xml:space="preserve"> כאן)</w:t>
      </w:r>
      <w:r w:rsidRPr="00012502">
        <w:rPr>
          <w:rFonts w:ascii="Narkisim" w:hAnsi="Narkisim" w:cs="Narkisim"/>
          <w:rtl/>
        </w:rPr>
        <w:t xml:space="preserve"> כת' דלרב המנונא שומרת יבם שזינתה נאסרת ליבם</w:t>
      </w:r>
      <w:r w:rsidRPr="00012502">
        <w:rPr>
          <w:rFonts w:ascii="Narkisim" w:hAnsi="Narkisim" w:cs="Narkisim"/>
          <w:sz w:val="20"/>
          <w:szCs w:val="20"/>
          <w:rtl/>
        </w:rPr>
        <w:t xml:space="preserve"> [והיא עצמה מתחללת</w:t>
      </w:r>
      <w:r w:rsidRPr="00012502">
        <w:rPr>
          <w:rStyle w:val="ac"/>
          <w:rFonts w:ascii="Narkisim" w:hAnsi="Narkisim" w:cs="Narkisim"/>
          <w:sz w:val="20"/>
          <w:szCs w:val="20"/>
          <w:rtl/>
        </w:rPr>
        <w:footnoteReference w:id="900"/>
      </w:r>
      <w:r w:rsidRPr="00012502">
        <w:rPr>
          <w:rFonts w:ascii="Narkisim" w:hAnsi="Narkisim" w:cs="Narkisim"/>
          <w:sz w:val="20"/>
          <w:szCs w:val="20"/>
          <w:rtl/>
        </w:rPr>
        <w:t>],</w:t>
      </w:r>
      <w:r w:rsidRPr="00012502">
        <w:rPr>
          <w:rFonts w:ascii="Narkisim" w:hAnsi="Narkisim" w:cs="Narkisim"/>
          <w:rtl/>
        </w:rPr>
        <w:t xml:space="preserve"> א"כ הולד פגום מק"ו. ותי' דר' יהושע לא הקפיד כיון דיכול לומר להם דאין הלכה כרב המנונא.</w:t>
      </w:r>
      <w:r w:rsidRPr="00012502">
        <w:rPr>
          <w:rFonts w:ascii="Narkisim" w:hAnsi="Narkisim" w:cs="Narkisim"/>
          <w:sz w:val="20"/>
          <w:szCs w:val="20"/>
          <w:rtl/>
        </w:rPr>
        <w:t xml:space="preserve"> [ולפ"ז לרב המנונא באמת הולד פגום. ושמשו ע"ג מזבח, דלא כבי"ש</w:t>
      </w:r>
      <w:r w:rsidRPr="00012502">
        <w:rPr>
          <w:rStyle w:val="ac"/>
          <w:rFonts w:ascii="Narkisim" w:hAnsi="Narkisim" w:cs="Narkisim"/>
          <w:sz w:val="20"/>
          <w:szCs w:val="20"/>
          <w:rtl/>
        </w:rPr>
        <w:footnoteReference w:id="901"/>
      </w:r>
      <w:r w:rsidRPr="00012502">
        <w:rPr>
          <w:rFonts w:ascii="Narkisim" w:hAnsi="Narkisim" w:cs="Narkisim"/>
          <w:sz w:val="20"/>
          <w:szCs w:val="20"/>
          <w:rtl/>
        </w:rPr>
        <w:t>].</w:t>
      </w:r>
    </w:p>
    <w:p w14:paraId="60AC5744"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לכאורה מבואר בסוגיין דיבמה לשוק אינה מתחללת לכהונה. וכן מבואר בגמ' (לקמן פא.) דרק לדעת רב המנונא נפסלה לכהונה, אבל לרבנן יבמה שנבעלה לשוק מותרת לכהן. אבל ה</w:t>
      </w:r>
      <w:r w:rsidRPr="00012502">
        <w:rPr>
          <w:rFonts w:ascii="Narkisim" w:hAnsi="Narkisim" w:cs="Narkisim"/>
          <w:b/>
          <w:bCs/>
          <w:rtl/>
        </w:rPr>
        <w:t>רמב"ם</w:t>
      </w:r>
      <w:r w:rsidRPr="00012502">
        <w:rPr>
          <w:rFonts w:ascii="Narkisim" w:hAnsi="Narkisim" w:cs="Narkisim"/>
          <w:rtl/>
        </w:rPr>
        <w:t xml:space="preserve"> (איסו"ב יט ה, ושו"ע ו ח) פסק דיבמה לשוק נעשית זונה. ודעת ה</w:t>
      </w:r>
      <w:r w:rsidRPr="00012502">
        <w:rPr>
          <w:rFonts w:ascii="Narkisim" w:hAnsi="Narkisim" w:cs="Narkisim"/>
          <w:b/>
          <w:bCs/>
          <w:rtl/>
        </w:rPr>
        <w:t>רמב"ם</w:t>
      </w:r>
      <w:r w:rsidRPr="00012502">
        <w:rPr>
          <w:rFonts w:ascii="Narkisim" w:hAnsi="Narkisim" w:cs="Narkisim"/>
          <w:rtl/>
        </w:rPr>
        <w:t xml:space="preserve"> </w:t>
      </w:r>
      <w:r w:rsidRPr="00012502">
        <w:rPr>
          <w:rFonts w:ascii="Narkisim" w:hAnsi="Narkisim" w:cs="Narkisim"/>
          <w:sz w:val="20"/>
          <w:szCs w:val="20"/>
          <w:rtl/>
        </w:rPr>
        <w:t>(איסו"ב יח א,ב ו</w:t>
      </w:r>
      <w:r w:rsidRPr="00012502">
        <w:rPr>
          <w:rFonts w:ascii="Narkisim" w:hAnsi="Narkisim" w:cs="Narkisim"/>
          <w:b/>
          <w:bCs/>
          <w:sz w:val="20"/>
          <w:szCs w:val="20"/>
          <w:rtl/>
        </w:rPr>
        <w:t>שו"ע</w:t>
      </w:r>
      <w:r w:rsidRPr="00012502">
        <w:rPr>
          <w:rFonts w:ascii="Narkisim" w:hAnsi="Narkisim" w:cs="Narkisim"/>
          <w:sz w:val="20"/>
          <w:szCs w:val="20"/>
          <w:rtl/>
        </w:rPr>
        <w:t xml:space="preserve"> שם)</w:t>
      </w:r>
      <w:r w:rsidRPr="00012502">
        <w:rPr>
          <w:rFonts w:ascii="Narkisim" w:hAnsi="Narkisim" w:cs="Narkisim"/>
          <w:rtl/>
        </w:rPr>
        <w:t xml:space="preserve"> דנעשית זונה ע"י כל איסור ששווה בכל</w:t>
      </w:r>
      <w:r w:rsidRPr="00012502">
        <w:rPr>
          <w:rStyle w:val="ac"/>
          <w:rFonts w:ascii="Narkisim" w:hAnsi="Narkisim" w:cs="Narkisim"/>
          <w:rtl/>
        </w:rPr>
        <w:footnoteReference w:id="902"/>
      </w:r>
      <w:r w:rsidRPr="00012502">
        <w:rPr>
          <w:rFonts w:ascii="Narkisim" w:hAnsi="Narkisim" w:cs="Narkisim"/>
          <w:rtl/>
        </w:rPr>
        <w:t>.</w:t>
      </w:r>
    </w:p>
    <w:p w14:paraId="4E9CB115" w14:textId="77777777" w:rsidR="00BE1D1C" w:rsidRPr="00012502" w:rsidRDefault="00000000" w:rsidP="00012502">
      <w:pPr>
        <w:pStyle w:val="a8"/>
        <w:bidi/>
        <w:rPr>
          <w:rFonts w:ascii="Narkisim" w:hAnsi="Narkisim"/>
        </w:rPr>
      </w:pPr>
      <w:r w:rsidRPr="00012502">
        <w:rPr>
          <w:rFonts w:ascii="Narkisim" w:hAnsi="Narkisim"/>
          <w:rtl/>
        </w:rPr>
        <w:lastRenderedPageBreak/>
        <w:t>וה</w:t>
      </w:r>
      <w:r w:rsidRPr="00012502">
        <w:rPr>
          <w:rFonts w:ascii="Narkisim" w:hAnsi="Narkisim"/>
          <w:b/>
          <w:bCs/>
          <w:rtl/>
        </w:rPr>
        <w:t>טור</w:t>
      </w:r>
      <w:r w:rsidRPr="00012502">
        <w:rPr>
          <w:rFonts w:ascii="Narkisim" w:hAnsi="Narkisim"/>
          <w:rtl/>
        </w:rPr>
        <w:t xml:space="preserve"> (ו) כת' דבשאר חייבי לאוין הולד כשר, כיון דתפסי בה קידושין. חוץ מיבמה לשוק, דלא תפסי קידושין</w:t>
      </w:r>
      <w:r w:rsidRPr="00012502">
        <w:rPr>
          <w:rStyle w:val="ac"/>
          <w:rFonts w:ascii="Narkisim" w:hAnsi="Narkisim"/>
          <w:rtl/>
        </w:rPr>
        <w:footnoteReference w:id="903"/>
      </w:r>
      <w:r w:rsidRPr="00012502">
        <w:rPr>
          <w:rFonts w:ascii="Narkisim" w:hAnsi="Narkisim"/>
          <w:rtl/>
        </w:rPr>
        <w:t>. [ומבואר דתלי במח' (לקמן מט:) אי תפסי קידושין ביבמה לשוק</w:t>
      </w:r>
      <w:r w:rsidRPr="00012502">
        <w:rPr>
          <w:rStyle w:val="ac"/>
          <w:rFonts w:ascii="Narkisim" w:hAnsi="Narkisim"/>
          <w:rtl/>
        </w:rPr>
        <w:footnoteReference w:id="904"/>
      </w:r>
      <w:r w:rsidRPr="00012502">
        <w:rPr>
          <w:rFonts w:ascii="Narkisim" w:hAnsi="Narkisim"/>
          <w:rtl/>
        </w:rPr>
        <w:t>]. וה</w:t>
      </w:r>
      <w:r w:rsidRPr="00012502">
        <w:rPr>
          <w:rFonts w:ascii="Narkisim" w:hAnsi="Narkisim"/>
          <w:b/>
          <w:bCs/>
          <w:rtl/>
        </w:rPr>
        <w:t>אחרונים</w:t>
      </w:r>
      <w:r w:rsidRPr="00012502">
        <w:rPr>
          <w:rFonts w:ascii="Narkisim" w:hAnsi="Narkisim"/>
          <w:rtl/>
        </w:rPr>
        <w:t xml:space="preserve"> ציינו דדעת </w:t>
      </w:r>
      <w:r w:rsidRPr="00012502">
        <w:rPr>
          <w:rFonts w:ascii="Narkisim" w:hAnsi="Narkisim"/>
          <w:b/>
          <w:bCs/>
          <w:rtl/>
        </w:rPr>
        <w:t>שא"ר</w:t>
      </w:r>
      <w:r w:rsidRPr="00012502">
        <w:rPr>
          <w:rFonts w:ascii="Narkisim" w:hAnsi="Narkisim"/>
          <w:rtl/>
        </w:rPr>
        <w:t xml:space="preserve"> בסוגיין מבואר דלא נפסלה כלל.</w:t>
      </w:r>
    </w:p>
    <w:p w14:paraId="6C424340"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תמהו דבסוגיין מבואר דיבמה לשוק אינה מתחללת בביאתו. וה</w:t>
      </w:r>
      <w:r w:rsidRPr="00012502">
        <w:rPr>
          <w:rFonts w:ascii="Narkisim" w:hAnsi="Narkisim"/>
          <w:b/>
          <w:bCs/>
          <w:rtl/>
        </w:rPr>
        <w:t>גר"א</w:t>
      </w:r>
      <w:r w:rsidRPr="00012502">
        <w:rPr>
          <w:rFonts w:ascii="Narkisim" w:hAnsi="Narkisim"/>
          <w:rtl/>
        </w:rPr>
        <w:t xml:space="preserve"> (ו כח) כת' דהרמב"ם פסק דלא כסוגיין, אלא כסוגיא (לעיל יד:) דהולד פגום כדברי בי"ה.</w:t>
      </w:r>
    </w:p>
    <w:p w14:paraId="451AD92C"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רמב"ם</w:t>
      </w:r>
      <w:r w:rsidRPr="00012502">
        <w:rPr>
          <w:rFonts w:ascii="Narkisim" w:hAnsi="Narkisim" w:cs="Narkisim"/>
          <w:rtl/>
        </w:rPr>
        <w:t xml:space="preserve"> (איסו"ב יט ה) כת' דכהן שבא על יבמה עשאה זונה, ומ"מ הולד מביאה ראשונה כשר</w:t>
      </w:r>
      <w:r w:rsidRPr="00012502">
        <w:rPr>
          <w:rStyle w:val="ac"/>
          <w:rFonts w:ascii="Narkisim" w:hAnsi="Narkisim" w:cs="Narkisim"/>
          <w:rtl/>
        </w:rPr>
        <w:footnoteReference w:id="905"/>
      </w:r>
      <w:r w:rsidRPr="00012502">
        <w:rPr>
          <w:rFonts w:ascii="Narkisim" w:hAnsi="Narkisim" w:cs="Narkisim"/>
          <w:rtl/>
        </w:rPr>
        <w:t>. וה</w:t>
      </w:r>
      <w:r w:rsidRPr="00012502">
        <w:rPr>
          <w:rFonts w:ascii="Narkisim" w:hAnsi="Narkisim" w:cs="Narkisim"/>
          <w:b/>
          <w:bCs/>
          <w:rtl/>
        </w:rPr>
        <w:t>אחרונים</w:t>
      </w:r>
      <w:r w:rsidRPr="00012502">
        <w:rPr>
          <w:rFonts w:ascii="Narkisim" w:hAnsi="Narkisim" w:cs="Narkisim"/>
          <w:rtl/>
        </w:rPr>
        <w:t xml:space="preserve"> תמהו דמבואר בסוגיין דאילו האשה מתחללת, א"כ אף הולד פגום מק"ו.</w:t>
      </w:r>
    </w:p>
    <w:p w14:paraId="320A4E9E"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אבנ"מ</w:t>
      </w:r>
      <w:r w:rsidRPr="00012502">
        <w:rPr>
          <w:rFonts w:ascii="Narkisim" w:hAnsi="Narkisim"/>
          <w:rtl/>
        </w:rPr>
        <w:t xml:space="preserve"> (ו ד) תי' דאף דנעשית זונה ואסורה לינשא לכהן, מ"מ לא נפסלה מלאכול בתרומה. </w:t>
      </w:r>
      <w:r w:rsidRPr="00012502">
        <w:rPr>
          <w:rFonts w:ascii="Narkisim" w:hAnsi="Narkisim"/>
          <w:sz w:val="20"/>
          <w:szCs w:val="20"/>
          <w:rtl/>
        </w:rPr>
        <w:t>דדין זונה לענין תרומה לא תליא בדין זונה לכהונה. [וה</w:t>
      </w:r>
      <w:r w:rsidRPr="00012502">
        <w:rPr>
          <w:rFonts w:ascii="Narkisim" w:hAnsi="Narkisim"/>
          <w:b/>
          <w:bCs/>
          <w:sz w:val="20"/>
          <w:szCs w:val="20"/>
          <w:rtl/>
        </w:rPr>
        <w:t>אחרונים</w:t>
      </w:r>
      <w:r w:rsidRPr="00012502">
        <w:rPr>
          <w:rFonts w:ascii="Narkisim" w:hAnsi="Narkisim"/>
          <w:sz w:val="20"/>
          <w:szCs w:val="20"/>
          <w:rtl/>
        </w:rPr>
        <w:t xml:space="preserve"> האריכו בזה</w:t>
      </w:r>
      <w:r w:rsidRPr="00012502">
        <w:rPr>
          <w:rStyle w:val="ac"/>
          <w:rFonts w:ascii="Narkisim" w:hAnsi="Narkisim"/>
          <w:sz w:val="20"/>
          <w:szCs w:val="20"/>
          <w:rtl/>
        </w:rPr>
        <w:footnoteReference w:id="906"/>
      </w:r>
      <w:r w:rsidRPr="00012502">
        <w:rPr>
          <w:rFonts w:ascii="Narkisim" w:hAnsi="Narkisim"/>
          <w:sz w:val="20"/>
          <w:szCs w:val="20"/>
          <w:rtl/>
        </w:rPr>
        <w:t>, ובעזה"י יתבאר בסוגיות לקמן]</w:t>
      </w:r>
      <w:r w:rsidRPr="00012502">
        <w:rPr>
          <w:rFonts w:ascii="Narkisim" w:hAnsi="Narkisim"/>
          <w:rtl/>
        </w:rPr>
        <w:t>. וא"כ עדיין יש פירכא מאלמנה לכה"ג דנפסלה מתרומה</w:t>
      </w:r>
      <w:r w:rsidRPr="00012502">
        <w:rPr>
          <w:rFonts w:ascii="Narkisim" w:hAnsi="Narkisim"/>
          <w:sz w:val="20"/>
          <w:szCs w:val="20"/>
          <w:rtl/>
        </w:rPr>
        <w:t xml:space="preserve"> [וכ"כ ה</w:t>
      </w:r>
      <w:r w:rsidRPr="00012502">
        <w:rPr>
          <w:rFonts w:ascii="Narkisim" w:hAnsi="Narkisim"/>
          <w:b/>
          <w:bCs/>
          <w:sz w:val="20"/>
          <w:szCs w:val="20"/>
          <w:rtl/>
        </w:rPr>
        <w:t>מאירי</w:t>
      </w:r>
      <w:r w:rsidRPr="00012502">
        <w:rPr>
          <w:rFonts w:ascii="Narkisim" w:hAnsi="Narkisim"/>
          <w:sz w:val="20"/>
          <w:szCs w:val="20"/>
          <w:rtl/>
        </w:rPr>
        <w:t xml:space="preserve"> בסוגיין]</w:t>
      </w:r>
      <w:r w:rsidRPr="00012502">
        <w:rPr>
          <w:rFonts w:ascii="Narkisim" w:hAnsi="Narkisim"/>
          <w:rtl/>
        </w:rPr>
        <w:t>.</w:t>
      </w:r>
    </w:p>
    <w:p w14:paraId="5076D0E0"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גר"א</w:t>
      </w:r>
      <w:r w:rsidRPr="00012502">
        <w:rPr>
          <w:rFonts w:ascii="Narkisim" w:hAnsi="Narkisim"/>
          <w:rtl/>
        </w:rPr>
        <w:t xml:space="preserve"> (ז נד) האריך לבאר דעת הרמב"ם, דפסק דלא ילפי' [כלל] לפסול מחמת ק"ו, ואף בחייבי כריתות</w:t>
      </w:r>
      <w:r w:rsidRPr="00012502">
        <w:rPr>
          <w:rStyle w:val="ac"/>
          <w:rFonts w:ascii="Narkisim" w:hAnsi="Narkisim"/>
          <w:rtl/>
        </w:rPr>
        <w:footnoteReference w:id="907"/>
      </w:r>
      <w:r w:rsidRPr="00012502">
        <w:rPr>
          <w:rFonts w:ascii="Narkisim" w:hAnsi="Narkisim"/>
          <w:rtl/>
        </w:rPr>
        <w:t xml:space="preserve"> </w:t>
      </w:r>
      <w:r w:rsidRPr="00012502">
        <w:rPr>
          <w:rFonts w:ascii="Narkisim" w:hAnsi="Narkisim"/>
          <w:sz w:val="20"/>
          <w:szCs w:val="20"/>
          <w:rtl/>
        </w:rPr>
        <w:t xml:space="preserve">[וע"ע לקמן מד]. [וע"ע </w:t>
      </w:r>
      <w:r w:rsidRPr="00012502">
        <w:rPr>
          <w:rFonts w:ascii="Narkisim" w:hAnsi="Narkisim"/>
          <w:b/>
          <w:bCs/>
          <w:sz w:val="20"/>
          <w:szCs w:val="20"/>
          <w:rtl/>
        </w:rPr>
        <w:t>חזו"א</w:t>
      </w:r>
      <w:r w:rsidRPr="00012502">
        <w:rPr>
          <w:rFonts w:ascii="Narkisim" w:hAnsi="Narkisim"/>
          <w:sz w:val="20"/>
          <w:szCs w:val="20"/>
          <w:rtl/>
        </w:rPr>
        <w:t xml:space="preserve"> טו יג דהאריך בכ"ז].</w:t>
      </w:r>
    </w:p>
    <w:p w14:paraId="7937F42B"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אמר"מ</w:t>
      </w:r>
      <w:r w:rsidRPr="00012502">
        <w:rPr>
          <w:rFonts w:ascii="Narkisim" w:hAnsi="Narkisim" w:cs="Narkisim"/>
          <w:rtl/>
        </w:rPr>
        <w:t xml:space="preserve"> (י ה) הק' לדעת הרמב"ם דבניה מביאה שניה חללים, א"כ אי נשאת לכהן</w:t>
      </w:r>
      <w:r w:rsidRPr="00012502">
        <w:rPr>
          <w:rStyle w:val="ac"/>
          <w:rFonts w:ascii="Narkisim" w:hAnsi="Narkisim" w:cs="Narkisim"/>
          <w:rtl/>
        </w:rPr>
        <w:footnoteReference w:id="908"/>
      </w:r>
      <w:r w:rsidRPr="00012502">
        <w:rPr>
          <w:rFonts w:ascii="Narkisim" w:hAnsi="Narkisim" w:cs="Narkisim"/>
          <w:rtl/>
        </w:rPr>
        <w:t xml:space="preserve"> היאך שמשו ע"ג מזבח</w:t>
      </w:r>
      <w:r w:rsidRPr="00012502">
        <w:rPr>
          <w:rStyle w:val="ac"/>
          <w:rFonts w:ascii="Narkisim" w:hAnsi="Narkisim" w:cs="Narkisim"/>
          <w:rtl/>
        </w:rPr>
        <w:footnoteReference w:id="909"/>
      </w:r>
      <w:r w:rsidRPr="00012502">
        <w:rPr>
          <w:rFonts w:ascii="Narkisim" w:hAnsi="Narkisim" w:cs="Narkisim"/>
          <w:rtl/>
        </w:rPr>
        <w:t>. ותי' דאיירי הכא בעודה יבמה לשוק, ואיסור זונה לא חל על איסור יבמה לשוק [וכיון דאין איסור חל על איסור, אף הפגם לא חל], ומש"ה הבנים לא נפסלו. וכוונת הרמב"ם דלאחר חליצה חל איסור זונה לכהונה.</w:t>
      </w:r>
    </w:p>
    <w:p w14:paraId="729F0ACE" w14:textId="77777777" w:rsidR="00BE1D1C" w:rsidRPr="00012502" w:rsidRDefault="00000000" w:rsidP="00012502">
      <w:pPr>
        <w:pStyle w:val="a8"/>
        <w:bidi/>
        <w:rPr>
          <w:rFonts w:ascii="Narkisim" w:hAnsi="Narkisim"/>
        </w:rPr>
      </w:pPr>
      <w:r w:rsidRPr="00012502">
        <w:rPr>
          <w:rFonts w:ascii="Narkisim" w:hAnsi="Narkisim"/>
          <w:rtl/>
        </w:rPr>
        <w:t>והאמר"מ פי' עוד דלמ"ד דבאונס לא נעשית זונה, וה"נ נשאת ע"פ היתר בי"ד דמי לאונס.</w:t>
      </w:r>
    </w:p>
    <w:p w14:paraId="5A6E8455" w14:textId="77777777" w:rsidR="00BE1D1C" w:rsidRPr="00012502" w:rsidRDefault="00000000" w:rsidP="00012502">
      <w:pPr>
        <w:pStyle w:val="aa"/>
        <w:bidi/>
        <w:rPr>
          <w:rFonts w:ascii="Narkisim" w:hAnsi="Narkisim"/>
        </w:rPr>
      </w:pPr>
      <w:r w:rsidRPr="00012502">
        <w:rPr>
          <w:rFonts w:ascii="Narkisim" w:hAnsi="Narkisim"/>
          <w:u w:val="single"/>
          <w:rtl/>
        </w:rPr>
        <w:t>תוד"ה מה.</w:t>
      </w:r>
      <w:r w:rsidRPr="00012502">
        <w:rPr>
          <w:rFonts w:ascii="Narkisim" w:hAnsi="Narkisim"/>
          <w:rtl/>
        </w:rPr>
        <w:t xml:space="preserve"> מ"מ נילף בק"ו וכו' ונל"פ דמהאי ק"ו לא ילפי' שתתחלל, דאין חילול אלא מאיסורי כהונה וכו'. ותוס' פי' דהיינו חילול האשה, דהוה דוקא מאיסורי כהונה. אבל חללות הבן שפיר ילפי' בסוגיין מק"ו דהוה פגום. וצ"ב מ"ש. ו</w:t>
      </w:r>
      <w:r w:rsidRPr="00012502">
        <w:rPr>
          <w:rFonts w:ascii="Narkisim" w:hAnsi="Narkisim"/>
          <w:b/>
          <w:bCs/>
          <w:rtl/>
        </w:rPr>
        <w:t>תוס</w:t>
      </w:r>
      <w:r w:rsidRPr="00012502">
        <w:rPr>
          <w:rFonts w:ascii="Narkisim" w:hAnsi="Narkisim"/>
          <w:rtl/>
        </w:rPr>
        <w:t>' פי' דהאשה היתה כשירה ונתחללה [משא"כ הולד שנולד בפסול, וילפי' 'פגם', ואף דל"ש שם חללות].</w:t>
      </w:r>
    </w:p>
    <w:p w14:paraId="5CD7A8B0" w14:textId="77777777" w:rsidR="00BE1D1C" w:rsidRPr="00012502" w:rsidRDefault="00000000" w:rsidP="00012502">
      <w:pPr>
        <w:pStyle w:val="aa"/>
        <w:bidi/>
        <w:rPr>
          <w:rFonts w:ascii="Narkisim" w:hAnsi="Narkisim"/>
        </w:rPr>
      </w:pPr>
      <w:r w:rsidRPr="00012502">
        <w:rPr>
          <w:rFonts w:ascii="Narkisim" w:hAnsi="Narkisim"/>
          <w:u w:val="single"/>
          <w:rtl/>
        </w:rPr>
        <w:t>בא"ד ואע"ג דלקמן (סח:) יליף דמתחללת בביאת גר עמוני וכו' אע"ג דלא הוה איסורי כהונה, התם מקרא דריש ליה</w:t>
      </w:r>
      <w:r w:rsidRPr="00012502">
        <w:rPr>
          <w:rFonts w:ascii="Narkisim" w:hAnsi="Narkisim"/>
          <w:rtl/>
        </w:rPr>
        <w:t>. בפשוטו מבואר בתוס' דגדר הפסול [דילפי' לפסול לתרומה מ'איש זר'</w:t>
      </w:r>
      <w:r w:rsidRPr="00012502">
        <w:rPr>
          <w:rStyle w:val="ac"/>
          <w:rFonts w:ascii="Narkisim" w:hAnsi="Narkisim"/>
          <w:rtl/>
        </w:rPr>
        <w:footnoteReference w:id="910"/>
      </w:r>
      <w:r w:rsidRPr="00012502">
        <w:rPr>
          <w:rFonts w:ascii="Narkisim" w:hAnsi="Narkisim"/>
          <w:rtl/>
        </w:rPr>
        <w:t>, וכ"ש שפסולה לכהונה] דהוה חללה</w:t>
      </w:r>
      <w:r w:rsidRPr="00012502">
        <w:rPr>
          <w:rStyle w:val="ac"/>
          <w:rFonts w:ascii="Narkisim" w:hAnsi="Narkisim"/>
          <w:rtl/>
        </w:rPr>
        <w:footnoteReference w:id="911"/>
      </w:r>
      <w:r w:rsidRPr="00012502">
        <w:rPr>
          <w:rFonts w:ascii="Narkisim" w:hAnsi="Narkisim"/>
          <w:rtl/>
        </w:rPr>
        <w:t>. וגלי קרא דשייך בה חללות, אף דלא הוה פסול כהונה</w:t>
      </w:r>
      <w:r w:rsidRPr="00012502">
        <w:rPr>
          <w:rStyle w:val="ac"/>
          <w:rFonts w:ascii="Narkisim" w:hAnsi="Narkisim"/>
          <w:rtl/>
        </w:rPr>
        <w:footnoteReference w:id="912"/>
      </w:r>
      <w:r w:rsidRPr="00012502">
        <w:rPr>
          <w:rFonts w:ascii="Narkisim" w:hAnsi="Narkisim"/>
          <w:rtl/>
        </w:rPr>
        <w:t>. [ולא ילפי' מיניה לק"ו דסוגיין, דבעלמא אין חללות אלא באיסורי כהונה].</w:t>
      </w:r>
    </w:p>
    <w:p w14:paraId="586F52C9" w14:textId="77777777" w:rsidR="00BE1D1C" w:rsidRPr="00012502" w:rsidRDefault="00000000" w:rsidP="00012502">
      <w:pPr>
        <w:pStyle w:val="a8"/>
        <w:bidi/>
        <w:rPr>
          <w:rFonts w:ascii="Narkisim" w:hAnsi="Narkisim"/>
        </w:rPr>
      </w:pPr>
      <w:r w:rsidRPr="00012502">
        <w:rPr>
          <w:rFonts w:ascii="Narkisim" w:hAnsi="Narkisim"/>
          <w:rtl/>
        </w:rPr>
        <w:lastRenderedPageBreak/>
        <w:t>אך יש שדחו דכוונת התוס' דנפסלה מחמת גילוי הקרא, ולא משום 'שם חללה'. וע"ע תוס' (לקמן מד:).</w:t>
      </w:r>
    </w:p>
    <w:p w14:paraId="41C7C39C" w14:textId="77777777" w:rsidR="00BE1D1C" w:rsidRPr="00012502" w:rsidRDefault="00000000" w:rsidP="00012502">
      <w:pPr>
        <w:pStyle w:val="a7"/>
        <w:bidi/>
        <w:rPr>
          <w:rFonts w:ascii="Narkisim" w:hAnsi="Narkisim"/>
        </w:rPr>
      </w:pPr>
      <w:r w:rsidRPr="00012502">
        <w:rPr>
          <w:rFonts w:ascii="Narkisim" w:hAnsi="Narkisim"/>
          <w:rtl/>
        </w:rPr>
        <w:t>אבל ה</w:t>
      </w:r>
      <w:r w:rsidRPr="00012502">
        <w:rPr>
          <w:rFonts w:ascii="Narkisim" w:hAnsi="Narkisim"/>
          <w:b/>
          <w:bCs/>
          <w:rtl/>
        </w:rPr>
        <w:t>גר"א</w:t>
      </w:r>
      <w:r w:rsidRPr="00012502">
        <w:rPr>
          <w:rFonts w:ascii="Narkisim" w:hAnsi="Narkisim"/>
          <w:rtl/>
        </w:rPr>
        <w:t xml:space="preserve"> (ו כג) כתב דילפי' התם דנעשית 'פגומה', אבל אין שם 'חללה' אלא מאיסורי כהונה.</w:t>
      </w:r>
    </w:p>
    <w:p w14:paraId="27A8024D" w14:textId="77777777" w:rsidR="00BE1D1C" w:rsidRPr="00012502" w:rsidRDefault="00000000" w:rsidP="00012502">
      <w:pPr>
        <w:pStyle w:val="3"/>
        <w:bidi/>
        <w:rPr>
          <w:rFonts w:ascii="Narkisim" w:hAnsi="Narkisim"/>
        </w:rPr>
      </w:pPr>
      <w:r w:rsidRPr="00012502">
        <w:rPr>
          <w:rFonts w:ascii="Narkisim" w:hAnsi="Narkisim"/>
          <w:rtl/>
        </w:rPr>
        <w:t>דף טז.</w:t>
      </w:r>
    </w:p>
    <w:p w14:paraId="736D1A83" w14:textId="77777777" w:rsidR="00BE1D1C" w:rsidRPr="00012502" w:rsidRDefault="00000000" w:rsidP="00012502">
      <w:pPr>
        <w:bidi/>
        <w:rPr>
          <w:rFonts w:ascii="Narkisim" w:hAnsi="Narkisim" w:cs="Narkisim"/>
        </w:rPr>
      </w:pPr>
      <w:r w:rsidRPr="00012502">
        <w:rPr>
          <w:rFonts w:ascii="Narkisim" w:hAnsi="Narkisim" w:cs="Narkisim"/>
          <w:u w:val="single"/>
          <w:rtl/>
        </w:rPr>
        <w:t>תוד"ה בני.</w:t>
      </w:r>
      <w:r w:rsidRPr="00012502">
        <w:rPr>
          <w:rFonts w:ascii="Narkisim" w:hAnsi="Narkisim" w:cs="Narkisim"/>
          <w:rtl/>
        </w:rPr>
        <w:t xml:space="preserve"> וי"ל דלא דמי דהתם אין שום תקנה, אבל בנתקדשה אפשר לתקן ע"י גירושין, הילכך לא פקע לזיקה. ה</w:t>
      </w:r>
      <w:r w:rsidRPr="00012502">
        <w:rPr>
          <w:rFonts w:ascii="Narkisim" w:hAnsi="Narkisim" w:cs="Narkisim"/>
          <w:b/>
          <w:bCs/>
          <w:rtl/>
        </w:rPr>
        <w:t>נוב"י</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אה"ע ת' קנ, הו' לעיל י.)</w:t>
      </w:r>
      <w:r w:rsidRPr="00012502">
        <w:rPr>
          <w:rFonts w:ascii="Narkisim" w:hAnsi="Narkisim" w:cs="Narkisim"/>
          <w:rtl/>
        </w:rPr>
        <w:t xml:space="preserve"> הק' ד</w:t>
      </w:r>
      <w:r w:rsidRPr="00012502">
        <w:rPr>
          <w:rFonts w:ascii="Narkisim" w:hAnsi="Narkisim" w:cs="Narkisim"/>
          <w:b/>
          <w:bCs/>
          <w:rtl/>
        </w:rPr>
        <w:t>תוס</w:t>
      </w:r>
      <w:r w:rsidRPr="00012502">
        <w:rPr>
          <w:rFonts w:ascii="Narkisim" w:hAnsi="Narkisim" w:cs="Narkisim"/>
          <w:rtl/>
        </w:rPr>
        <w:t>' (לעיל י.) נקטו דערות אשת איש [דבעלת התנאי] פוטרת צרתה, גם כשאפשר ע"י גירושין. וסתרי למש"כ כאן דהיכא דאפשר ע"י גירושין לא פטרי.</w:t>
      </w:r>
    </w:p>
    <w:p w14:paraId="3B9F0BED" w14:textId="77777777" w:rsidR="00BE1D1C" w:rsidRPr="00012502" w:rsidRDefault="00000000" w:rsidP="00012502">
      <w:pPr>
        <w:pStyle w:val="a7"/>
        <w:bidi/>
        <w:rPr>
          <w:rFonts w:ascii="Narkisim" w:hAnsi="Narkisim"/>
        </w:rPr>
      </w:pPr>
      <w:r w:rsidRPr="00012502">
        <w:rPr>
          <w:rFonts w:ascii="Narkisim" w:hAnsi="Narkisim"/>
          <w:rtl/>
        </w:rPr>
        <w:t>אך ה</w:t>
      </w:r>
      <w:r w:rsidRPr="00012502">
        <w:rPr>
          <w:rFonts w:ascii="Narkisim" w:hAnsi="Narkisim"/>
          <w:b/>
          <w:bCs/>
          <w:rtl/>
        </w:rPr>
        <w:t>אחרונים</w:t>
      </w:r>
      <w:r w:rsidRPr="00012502">
        <w:rPr>
          <w:rFonts w:ascii="Narkisim" w:hAnsi="Narkisim"/>
          <w:rtl/>
        </w:rPr>
        <w:t xml:space="preserve"> (בית מאיר) כת' דזהו מש"כ </w:t>
      </w:r>
      <w:r w:rsidRPr="00012502">
        <w:rPr>
          <w:rFonts w:ascii="Narkisim" w:hAnsi="Narkisim"/>
          <w:b/>
          <w:bCs/>
          <w:rtl/>
        </w:rPr>
        <w:t>תוס</w:t>
      </w:r>
      <w:r w:rsidRPr="00012502">
        <w:rPr>
          <w:rFonts w:ascii="Narkisim" w:hAnsi="Narkisim"/>
          <w:rtl/>
        </w:rPr>
        <w:t>' (שם בסו"ד) לפרש דברי הירושלמי דלא דמי לאחות אשה כיון דאפשר ע"י גירושין. ואילו הנוב"י נקט דכוונת התוס' דמש"ה לא הביאו במשנה, דלא דמי לאחות אשתו. ולעולם פטורה.</w:t>
      </w:r>
    </w:p>
    <w:p w14:paraId="5F995225"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חת"ס</w:t>
      </w:r>
      <w:r w:rsidRPr="00012502">
        <w:rPr>
          <w:rFonts w:ascii="Narkisim" w:hAnsi="Narkisim"/>
          <w:rtl/>
        </w:rPr>
        <w:t xml:space="preserve"> (ב עט) תי' דתוס' איירי דוקא כשנשאת באיסור, ומש"ה כופין לגרש, ועומדת ליבום. ואילו התם דהאיסור אשת איש הוה בהיתר אינה עומדת להתגרש.</w:t>
      </w:r>
    </w:p>
    <w:p w14:paraId="17F1477C"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אחיעזר</w:t>
      </w:r>
      <w:r w:rsidRPr="00012502">
        <w:rPr>
          <w:rFonts w:ascii="Narkisim" w:hAnsi="Narkisim" w:cs="Narkisim"/>
          <w:rtl/>
        </w:rPr>
        <w:t xml:space="preserve"> (ב) ו</w:t>
      </w:r>
      <w:r w:rsidRPr="00012502">
        <w:rPr>
          <w:rFonts w:ascii="Narkisim" w:hAnsi="Narkisim" w:cs="Narkisim"/>
          <w:b/>
          <w:bCs/>
          <w:rtl/>
        </w:rPr>
        <w:t>חי' ר' שמעון</w:t>
      </w:r>
      <w:r w:rsidRPr="00012502">
        <w:rPr>
          <w:rFonts w:ascii="Narkisim" w:hAnsi="Narkisim" w:cs="Narkisim"/>
          <w:rtl/>
        </w:rPr>
        <w:t xml:space="preserve"> (יב) תי' דהתם הוה ערוה בשעת נפילה דילפי' מעליה דין פטור, אפי' היכא דאפשר לתקן </w:t>
      </w:r>
      <w:r w:rsidRPr="00012502">
        <w:rPr>
          <w:rFonts w:ascii="Narkisim" w:hAnsi="Narkisim" w:cs="Narkisim"/>
          <w:sz w:val="20"/>
          <w:szCs w:val="20"/>
          <w:rtl/>
        </w:rPr>
        <w:t>[דהוה חלות פטור, ולא משום שאינה ראויה ליבום</w:t>
      </w:r>
      <w:r w:rsidRPr="00012502">
        <w:rPr>
          <w:rFonts w:ascii="Narkisim" w:hAnsi="Narkisim" w:cs="Narkisim"/>
          <w:rtl/>
        </w:rPr>
        <w:t>]. אבל הכא הוה ערוה לאחר נפילה, דאינו בגדר 'פטור'.</w:t>
      </w:r>
    </w:p>
    <w:p w14:paraId="1E50250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אחיעזר</w:t>
      </w:r>
      <w:r w:rsidRPr="00012502">
        <w:rPr>
          <w:rFonts w:ascii="Narkisim" w:hAnsi="Narkisim"/>
          <w:rtl/>
        </w:rPr>
        <w:t xml:space="preserve"> הק' דהכא תוס' קאי אליבא דשמואל, ושמואל (לקמן מא.) ס"ל דהותרה ונאסרה אינו חוזרת להיתר הראשון. וע"כ דערוה לאחר נפילה הוה בגדר 'פטור'</w:t>
      </w:r>
      <w:r w:rsidRPr="00012502">
        <w:rPr>
          <w:rStyle w:val="ac"/>
          <w:rFonts w:ascii="Narkisim" w:hAnsi="Narkisim"/>
          <w:rtl/>
        </w:rPr>
        <w:footnoteReference w:id="913"/>
      </w:r>
      <w:r w:rsidRPr="00012502">
        <w:rPr>
          <w:rFonts w:ascii="Narkisim" w:hAnsi="Narkisim"/>
          <w:rtl/>
        </w:rPr>
        <w:t>.</w:t>
      </w:r>
    </w:p>
    <w:p w14:paraId="03AA6F18"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כת' דאף דהוה גדר 'פטור' מ"מ יש חילוק דבשעת נפילה שלא חל היתר יבום, ומש"ה במקום ערוה נפטרת ממילא, ואף כשאפשר לתקן. אבל הכא צריך להפקיע היתר נפילה, וכיון דאפשר לתקן לא נפקע.</w:t>
      </w:r>
    </w:p>
    <w:p w14:paraId="3C749980" w14:textId="77777777" w:rsidR="00BE1D1C" w:rsidRPr="00012502" w:rsidRDefault="00000000" w:rsidP="00012502">
      <w:pPr>
        <w:pStyle w:val="aa"/>
        <w:bidi/>
        <w:rPr>
          <w:rFonts w:ascii="Narkisim" w:hAnsi="Narkisim"/>
        </w:rPr>
      </w:pPr>
      <w:r w:rsidRPr="00012502">
        <w:rPr>
          <w:rFonts w:ascii="Narkisim" w:hAnsi="Narkisim"/>
          <w:u w:val="single"/>
          <w:rtl/>
        </w:rPr>
        <w:t>בא"ד ועוד אור"י דלא תהיה וכו' משמע אפי' ע"י הויה וכו'.</w:t>
      </w:r>
      <w:r w:rsidRPr="00012502">
        <w:rPr>
          <w:rFonts w:ascii="Narkisim" w:hAnsi="Narkisim"/>
          <w:rtl/>
        </w:rPr>
        <w:t xml:space="preserve"> דהוה גזיה"כ דלא פקע הזיקה ע"י קידושין. ה</w:t>
      </w:r>
      <w:r w:rsidRPr="00012502">
        <w:rPr>
          <w:rFonts w:ascii="Narkisim" w:hAnsi="Narkisim"/>
          <w:b/>
          <w:bCs/>
          <w:rtl/>
        </w:rPr>
        <w:t>אחרונים</w:t>
      </w:r>
      <w:r w:rsidRPr="00012502">
        <w:rPr>
          <w:rFonts w:ascii="Narkisim" w:hAnsi="Narkisim"/>
          <w:rtl/>
        </w:rPr>
        <w:t xml:space="preserve"> דנו האם הוה גזיה"כ דאין בידו לעשות מעשה להפקיע את הזיקה [ע"י שיוצאת החוצה]. או דגלי קרא דאיסור אשת איש אינו מפקיע לזיקה</w:t>
      </w:r>
      <w:r w:rsidRPr="00012502">
        <w:rPr>
          <w:rStyle w:val="ac"/>
          <w:rFonts w:ascii="Narkisim" w:hAnsi="Narkisim"/>
          <w:rtl/>
        </w:rPr>
        <w:footnoteReference w:id="914"/>
      </w:r>
      <w:r w:rsidRPr="00012502">
        <w:rPr>
          <w:rFonts w:ascii="Narkisim" w:hAnsi="Narkisim"/>
          <w:rtl/>
        </w:rPr>
        <w:t>. ונפק"מ כשאחיו [של היבם] מאמו או אחי אביו קידש את היבמה, דעי"ז הוה ערוה בפנ"ע [וא"א ע"י גט], האם אמרי' להך תי' דגזיה"כ דלא פקע ע"י קידושין.</w:t>
      </w:r>
    </w:p>
    <w:p w14:paraId="60319CAA"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חזו"א</w:t>
      </w:r>
      <w:r w:rsidRPr="00012502">
        <w:rPr>
          <w:rFonts w:ascii="Narkisim" w:hAnsi="Narkisim"/>
          <w:rtl/>
        </w:rPr>
        <w:t xml:space="preserve"> (לדף י. ה בסוגריים) כת' [לו"ד התוס'] דיבמה היא קנינו של יבם, ולא נפקע בקנינו של זה</w:t>
      </w:r>
      <w:r w:rsidRPr="00012502">
        <w:rPr>
          <w:rStyle w:val="ac"/>
          <w:rFonts w:ascii="Narkisim" w:hAnsi="Narkisim"/>
          <w:rtl/>
        </w:rPr>
        <w:footnoteReference w:id="915"/>
      </w:r>
      <w:r w:rsidRPr="00012502">
        <w:rPr>
          <w:rFonts w:ascii="Narkisim" w:hAnsi="Narkisim"/>
          <w:rtl/>
        </w:rPr>
        <w:t>. [וי"ל דזה גדר הגזיה"כ של תוס'].</w:t>
      </w:r>
    </w:p>
    <w:p w14:paraId="6A540570" w14:textId="77777777" w:rsidR="00BE1D1C" w:rsidRPr="00012502" w:rsidRDefault="00000000" w:rsidP="00012502">
      <w:pPr>
        <w:pStyle w:val="aa"/>
        <w:bidi/>
        <w:rPr>
          <w:rFonts w:ascii="Narkisim" w:hAnsi="Narkisim"/>
        </w:rPr>
      </w:pPr>
      <w:r w:rsidRPr="00012502">
        <w:rPr>
          <w:rFonts w:ascii="Narkisim" w:hAnsi="Narkisim"/>
          <w:rtl/>
        </w:rPr>
        <w:t>וה</w:t>
      </w:r>
      <w:r w:rsidRPr="00012502">
        <w:rPr>
          <w:rFonts w:ascii="Narkisim" w:hAnsi="Narkisim"/>
          <w:b/>
          <w:bCs/>
          <w:rtl/>
        </w:rPr>
        <w:t>חת"ס</w:t>
      </w:r>
      <w:r w:rsidRPr="00012502">
        <w:rPr>
          <w:rFonts w:ascii="Narkisim" w:hAnsi="Narkisim"/>
          <w:rtl/>
        </w:rPr>
        <w:t xml:space="preserve"> (אה"ע ב עו) כתב דהגזיה"כ קאי רק כשנתקדשה, אבל אם נשאת פקע זיקה [כעין הא דאיתא (לקמן יח:) דקידושי אחותה לא מפקיע זיקה, ורק נישואין]. וה</w:t>
      </w:r>
      <w:r w:rsidRPr="00012502">
        <w:rPr>
          <w:rFonts w:ascii="Narkisim" w:hAnsi="Narkisim"/>
          <w:b/>
          <w:bCs/>
          <w:rtl/>
        </w:rPr>
        <w:t>חזו"א</w:t>
      </w:r>
      <w:r w:rsidRPr="00012502">
        <w:rPr>
          <w:rFonts w:ascii="Narkisim" w:hAnsi="Narkisim"/>
          <w:rtl/>
        </w:rPr>
        <w:t xml:space="preserve"> דחה דבריו.</w:t>
      </w:r>
    </w:p>
    <w:p w14:paraId="3461982B"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xml:space="preserve"> </w:t>
      </w:r>
      <w:r w:rsidRPr="00012502">
        <w:rPr>
          <w:rFonts w:ascii="Narkisim" w:hAnsi="Narkisim" w:cs="Narkisim"/>
          <w:b/>
          <w:bCs/>
          <w:rtl/>
        </w:rPr>
        <w:t>רש"י</w:t>
      </w:r>
      <w:r w:rsidRPr="00012502">
        <w:rPr>
          <w:rFonts w:ascii="Narkisim" w:hAnsi="Narkisim" w:cs="Narkisim"/>
          <w:rtl/>
        </w:rPr>
        <w:t xml:space="preserve"> (לקמן פז:) ביאר דהא דאי' דהיו לה בנים ומתו, אינה זקוקה שוב ליבום דאינה דרכי נועם. ופ</w:t>
      </w:r>
      <w:r w:rsidRPr="00012502">
        <w:rPr>
          <w:rFonts w:ascii="Narkisim" w:hAnsi="Narkisim" w:cs="Narkisim"/>
          <w:b/>
          <w:bCs/>
          <w:rtl/>
        </w:rPr>
        <w:t xml:space="preserve">רש"י </w:t>
      </w:r>
      <w:r w:rsidRPr="00012502">
        <w:rPr>
          <w:rFonts w:ascii="Narkisim" w:hAnsi="Narkisim" w:cs="Narkisim"/>
          <w:rtl/>
        </w:rPr>
        <w:t>שנשאת לשוק, ואם צריכה חליצה תתגנה על בעלה. ו</w:t>
      </w:r>
      <w:r w:rsidRPr="00012502">
        <w:rPr>
          <w:rFonts w:ascii="Narkisim" w:hAnsi="Narkisim" w:cs="Narkisim"/>
          <w:b/>
          <w:bCs/>
          <w:rtl/>
        </w:rPr>
        <w:t>רע"א</w:t>
      </w:r>
      <w:r w:rsidRPr="00012502">
        <w:rPr>
          <w:rFonts w:ascii="Narkisim" w:hAnsi="Narkisim" w:cs="Narkisim"/>
          <w:rtl/>
        </w:rPr>
        <w:t xml:space="preserve"> הק' דהתם חלו הקידושין אף לרב</w:t>
      </w:r>
      <w:r w:rsidRPr="00012502">
        <w:rPr>
          <w:rFonts w:ascii="Narkisim" w:hAnsi="Narkisim" w:cs="Narkisim"/>
          <w:sz w:val="20"/>
          <w:szCs w:val="20"/>
          <w:rtl/>
        </w:rPr>
        <w:t xml:space="preserve"> [דבשעה שנתקדשה לא היתה זוקקה ליבום]</w:t>
      </w:r>
      <w:r w:rsidRPr="00012502">
        <w:rPr>
          <w:rFonts w:ascii="Narkisim" w:hAnsi="Narkisim" w:cs="Narkisim"/>
          <w:rtl/>
        </w:rPr>
        <w:t>, וכיון דמקודשת כבר יפקע זיקה. ו</w:t>
      </w:r>
      <w:r w:rsidRPr="00012502">
        <w:rPr>
          <w:rFonts w:ascii="Narkisim" w:hAnsi="Narkisim" w:cs="Narkisim"/>
          <w:b/>
          <w:bCs/>
          <w:rtl/>
        </w:rPr>
        <w:t>רע"א</w:t>
      </w:r>
      <w:r w:rsidRPr="00012502">
        <w:rPr>
          <w:rFonts w:ascii="Narkisim" w:hAnsi="Narkisim" w:cs="Narkisim"/>
          <w:rtl/>
        </w:rPr>
        <w:t xml:space="preserve"> כתב דלרב </w:t>
      </w:r>
      <w:r w:rsidRPr="00012502">
        <w:rPr>
          <w:rFonts w:ascii="Narkisim" w:hAnsi="Narkisim" w:cs="Narkisim"/>
          <w:sz w:val="20"/>
          <w:szCs w:val="20"/>
          <w:rtl/>
        </w:rPr>
        <w:t>[דאין קידושין תופסים ביבמה]</w:t>
      </w:r>
      <w:r w:rsidRPr="00012502">
        <w:rPr>
          <w:rFonts w:ascii="Narkisim" w:hAnsi="Narkisim" w:cs="Narkisim"/>
          <w:rtl/>
        </w:rPr>
        <w:t xml:space="preserve"> ע"כ קרא לא קאי שלא יפקע הזיקה </w:t>
      </w:r>
      <w:r w:rsidRPr="00012502">
        <w:rPr>
          <w:rFonts w:ascii="Narkisim" w:hAnsi="Narkisim" w:cs="Narkisim"/>
          <w:sz w:val="20"/>
          <w:szCs w:val="20"/>
          <w:rtl/>
        </w:rPr>
        <w:t>[וכתי' ר"י].</w:t>
      </w:r>
      <w:r w:rsidRPr="00012502">
        <w:rPr>
          <w:rFonts w:ascii="Narkisim" w:hAnsi="Narkisim" w:cs="Narkisim"/>
          <w:rtl/>
        </w:rPr>
        <w:t xml:space="preserve"> וכתב דע"כ לתוס' אף כשלא נתקדשה נחשב שאינו דרכי נועם לחזור וליזקק. והאחרונים העירו דילה"ק כן אף לשמואל, דהגזיה"כ דלא תהיה, היינו כשהיא זקוקה, אבל התם חלו הקידושין בהיתר קודם שנזקקה, ואינו סותר לזיקה</w:t>
      </w:r>
      <w:r w:rsidRPr="00012502">
        <w:rPr>
          <w:rStyle w:val="ac"/>
          <w:rFonts w:ascii="Narkisim" w:hAnsi="Narkisim" w:cs="Narkisim"/>
          <w:rtl/>
        </w:rPr>
        <w:footnoteReference w:id="916"/>
      </w:r>
      <w:r w:rsidRPr="00012502">
        <w:rPr>
          <w:rFonts w:ascii="Narkisim" w:hAnsi="Narkisim" w:cs="Narkisim"/>
          <w:rtl/>
        </w:rPr>
        <w:t xml:space="preserve"> </w:t>
      </w:r>
      <w:r w:rsidRPr="00012502">
        <w:rPr>
          <w:rFonts w:ascii="Narkisim" w:hAnsi="Narkisim" w:cs="Narkisim"/>
          <w:sz w:val="20"/>
          <w:szCs w:val="20"/>
          <w:rtl/>
        </w:rPr>
        <w:t>[וע"כ צ"ל דכוונת הגמ' אף כשלא נתקדשה, וכמ"ש רע"א].</w:t>
      </w:r>
    </w:p>
    <w:p w14:paraId="1F17747A" w14:textId="77777777" w:rsidR="00BE1D1C" w:rsidRPr="00012502" w:rsidRDefault="00000000" w:rsidP="00012502">
      <w:pPr>
        <w:pStyle w:val="a8"/>
        <w:bidi/>
        <w:rPr>
          <w:rFonts w:ascii="Narkisim" w:hAnsi="Narkisim"/>
        </w:rPr>
      </w:pPr>
      <w:r w:rsidRPr="00012502">
        <w:rPr>
          <w:rFonts w:ascii="Narkisim" w:hAnsi="Narkisim"/>
          <w:rtl/>
        </w:rPr>
        <w:t>ועוד העירו ה</w:t>
      </w:r>
      <w:r w:rsidRPr="00012502">
        <w:rPr>
          <w:rFonts w:ascii="Narkisim" w:hAnsi="Narkisim"/>
          <w:b/>
          <w:bCs/>
          <w:rtl/>
        </w:rPr>
        <w:t>אחרונים</w:t>
      </w:r>
      <w:r w:rsidRPr="00012502">
        <w:rPr>
          <w:rFonts w:ascii="Narkisim" w:hAnsi="Narkisim"/>
          <w:rtl/>
        </w:rPr>
        <w:t xml:space="preserve"> דרק בשעת מיתת הבן נזקקה [ובפשוטו הוה שעת נפילה], ובשעה זו היא כבר ערוה, ואף לתי' הא' בתוס' ילה"ק דפטורה אף שיכולה לתקן.</w:t>
      </w:r>
    </w:p>
    <w:p w14:paraId="61DC3167" w14:textId="77777777" w:rsidR="00BE1D1C" w:rsidRPr="00012502" w:rsidRDefault="00000000" w:rsidP="00012502">
      <w:pPr>
        <w:pStyle w:val="aa"/>
        <w:bidi/>
        <w:rPr>
          <w:rFonts w:ascii="Narkisim" w:hAnsi="Narkisim"/>
        </w:rPr>
      </w:pPr>
      <w:r w:rsidRPr="00012502">
        <w:rPr>
          <w:rFonts w:ascii="Narkisim" w:hAnsi="Narkisim"/>
          <w:u w:val="single"/>
          <w:rtl/>
        </w:rPr>
        <w:t>ואחריו מי ראב"י, ואחריו מי ר"י וכו' אמר לו מי הוא ראב"ע, ויש לו בן לעזריה חברינו וכו' א"ל ומי הוא עקיבא בן יוסף וכו'</w:t>
      </w:r>
      <w:r w:rsidRPr="00012502">
        <w:rPr>
          <w:rFonts w:ascii="Narkisim" w:hAnsi="Narkisim"/>
          <w:rtl/>
        </w:rPr>
        <w:t xml:space="preserve">. </w:t>
      </w:r>
      <w:r w:rsidRPr="00012502">
        <w:rPr>
          <w:rFonts w:ascii="Narkisim" w:hAnsi="Narkisim"/>
          <w:b/>
          <w:bCs/>
          <w:rtl/>
        </w:rPr>
        <w:t>תוס'</w:t>
      </w:r>
      <w:r w:rsidRPr="00012502">
        <w:rPr>
          <w:rFonts w:ascii="Narkisim" w:hAnsi="Narkisim"/>
          <w:rtl/>
        </w:rPr>
        <w:t xml:space="preserve"> (כתובות קה.) הק' אמאי הזכיר ראב"י קודם, דהא ר"ע היה חשוב יותר, שהיה ראש </w:t>
      </w:r>
      <w:r w:rsidRPr="00012502">
        <w:rPr>
          <w:rFonts w:ascii="Narkisim" w:hAnsi="Narkisim"/>
          <w:rtl/>
        </w:rPr>
        <w:lastRenderedPageBreak/>
        <w:t>לחכמים</w:t>
      </w:r>
      <w:r w:rsidRPr="00012502">
        <w:rPr>
          <w:rStyle w:val="ac"/>
          <w:rFonts w:ascii="Narkisim" w:hAnsi="Narkisim"/>
          <w:rtl/>
        </w:rPr>
        <w:footnoteReference w:id="917"/>
      </w:r>
      <w:r w:rsidRPr="00012502">
        <w:rPr>
          <w:rFonts w:ascii="Narkisim" w:hAnsi="Narkisim"/>
          <w:rtl/>
        </w:rPr>
        <w:t>. והביאו דפעמים שאינו מזכיר לפי סדר החשיבות, אלא משום דראב"ע היה ממשפחה מיוחסת טפי, דהיה דור עשירי לעזרא.</w:t>
      </w:r>
    </w:p>
    <w:p w14:paraId="57602863" w14:textId="77777777" w:rsidR="00BE1D1C" w:rsidRPr="00012502" w:rsidRDefault="00000000" w:rsidP="00012502">
      <w:pPr>
        <w:pStyle w:val="aa"/>
        <w:bidi/>
        <w:rPr>
          <w:rFonts w:ascii="Narkisim" w:hAnsi="Narkisim"/>
        </w:rPr>
      </w:pPr>
      <w:r w:rsidRPr="00012502">
        <w:rPr>
          <w:rFonts w:ascii="Narkisim" w:hAnsi="Narkisim"/>
          <w:u w:val="single"/>
          <w:rtl/>
        </w:rPr>
        <w:t>ר' דוסא וכו' מעיד אני וכו' ישב חגי הנביא.</w:t>
      </w:r>
      <w:r w:rsidRPr="00012502">
        <w:rPr>
          <w:rFonts w:ascii="Narkisim" w:hAnsi="Narkisim"/>
          <w:rtl/>
        </w:rPr>
        <w:t xml:space="preserve"> ה</w:t>
      </w:r>
      <w:r w:rsidRPr="00012502">
        <w:rPr>
          <w:rFonts w:ascii="Narkisim" w:hAnsi="Narkisim"/>
          <w:b/>
          <w:bCs/>
          <w:rtl/>
        </w:rPr>
        <w:t>מהרש"א</w:t>
      </w:r>
      <w:r w:rsidRPr="00012502">
        <w:rPr>
          <w:rFonts w:ascii="Narkisim" w:hAnsi="Narkisim"/>
          <w:rtl/>
        </w:rPr>
        <w:t xml:space="preserve"> (ח"א) הביא דה</w:t>
      </w:r>
      <w:r w:rsidRPr="00012502">
        <w:rPr>
          <w:rFonts w:ascii="Narkisim" w:hAnsi="Narkisim"/>
          <w:b/>
          <w:bCs/>
          <w:rtl/>
        </w:rPr>
        <w:t>רמב"ם</w:t>
      </w:r>
      <w:r w:rsidRPr="00012502">
        <w:rPr>
          <w:rFonts w:ascii="Narkisim" w:hAnsi="Narkisim"/>
          <w:rtl/>
        </w:rPr>
        <w:t xml:space="preserve"> (בהקדמה לפיה"מ הפרק הד') כתב דר' דוסא האריך ימים הרבה. וכדאי' בסוגיין דראה חגי הנביא</w:t>
      </w:r>
      <w:r w:rsidRPr="00012502">
        <w:rPr>
          <w:rStyle w:val="ac"/>
          <w:rFonts w:ascii="Narkisim" w:hAnsi="Narkisim"/>
          <w:rtl/>
        </w:rPr>
        <w:footnoteReference w:id="918"/>
      </w:r>
      <w:r w:rsidRPr="00012502">
        <w:rPr>
          <w:rFonts w:ascii="Narkisim" w:hAnsi="Narkisim"/>
          <w:rtl/>
        </w:rPr>
        <w:t>, וחי עד ימי התנאים</w:t>
      </w:r>
      <w:r w:rsidRPr="00012502">
        <w:rPr>
          <w:rStyle w:val="ac"/>
          <w:rFonts w:ascii="Narkisim" w:hAnsi="Narkisim"/>
          <w:rtl/>
        </w:rPr>
        <w:footnoteReference w:id="919"/>
      </w:r>
      <w:r w:rsidRPr="00012502">
        <w:rPr>
          <w:rFonts w:ascii="Narkisim" w:hAnsi="Narkisim"/>
          <w:rtl/>
        </w:rPr>
        <w:t xml:space="preserve">. אבל הביאו בשם </w:t>
      </w:r>
      <w:r w:rsidRPr="00012502">
        <w:rPr>
          <w:rFonts w:ascii="Narkisim" w:hAnsi="Narkisim"/>
          <w:b/>
          <w:bCs/>
          <w:rtl/>
        </w:rPr>
        <w:t>ר"ח</w:t>
      </w:r>
      <w:r w:rsidRPr="00012502">
        <w:rPr>
          <w:rFonts w:ascii="Narkisim" w:hAnsi="Narkisim"/>
          <w:rtl/>
        </w:rPr>
        <w:t xml:space="preserve"> דדבר זה היה ברור אצלו בקבלה, וכאילו ראהו בעיניו. [וכ"כ המהרש"א בשם </w:t>
      </w:r>
      <w:r w:rsidRPr="00012502">
        <w:rPr>
          <w:rFonts w:ascii="Narkisim" w:hAnsi="Narkisim"/>
          <w:b/>
          <w:bCs/>
          <w:rtl/>
        </w:rPr>
        <w:t>סדר הדורות</w:t>
      </w:r>
      <w:r w:rsidRPr="00012502">
        <w:rPr>
          <w:rFonts w:ascii="Narkisim" w:hAnsi="Narkisim"/>
          <w:rtl/>
        </w:rPr>
        <w:t>].</w:t>
      </w:r>
    </w:p>
    <w:p w14:paraId="1EFA545B" w14:textId="77777777" w:rsidR="00BE1D1C" w:rsidRPr="00012502" w:rsidRDefault="00000000" w:rsidP="00012502">
      <w:pPr>
        <w:bidi/>
        <w:rPr>
          <w:rFonts w:ascii="Narkisim" w:hAnsi="Narkisim" w:cs="Narkisim"/>
        </w:rPr>
      </w:pPr>
      <w:r w:rsidRPr="00012502">
        <w:rPr>
          <w:rFonts w:ascii="Narkisim" w:hAnsi="Narkisim" w:cs="Narkisim"/>
          <w:u w:val="single"/>
          <w:rtl/>
        </w:rPr>
        <w:t>אח קטן יש לי</w:t>
      </w:r>
      <w:r w:rsidRPr="00012502">
        <w:rPr>
          <w:rStyle w:val="ac"/>
          <w:rFonts w:ascii="Narkisim" w:hAnsi="Narkisim" w:cs="Narkisim"/>
          <w:u w:val="single"/>
          <w:rtl/>
        </w:rPr>
        <w:footnoteReference w:id="920"/>
      </w:r>
      <w:r w:rsidRPr="00012502">
        <w:rPr>
          <w:rFonts w:ascii="Narkisim" w:hAnsi="Narkisim" w:cs="Narkisim"/>
          <w:u w:val="single"/>
          <w:rtl/>
        </w:rPr>
        <w:t xml:space="preserve"> וכו', והזהרו שלא יקפח אתכם בהלכות</w:t>
      </w:r>
      <w:r w:rsidRPr="00012502">
        <w:rPr>
          <w:rFonts w:ascii="Narkisim" w:hAnsi="Narkisim" w:cs="Narkisim"/>
          <w:rtl/>
        </w:rPr>
        <w:t>. ה</w:t>
      </w:r>
      <w:r w:rsidRPr="00012502">
        <w:rPr>
          <w:rFonts w:ascii="Narkisim" w:hAnsi="Narkisim" w:cs="Narkisim"/>
          <w:b/>
          <w:bCs/>
          <w:rtl/>
        </w:rPr>
        <w:t>רמב"ן</w:t>
      </w:r>
      <w:r w:rsidRPr="00012502">
        <w:rPr>
          <w:rFonts w:ascii="Narkisim" w:hAnsi="Narkisim" w:cs="Narkisim"/>
          <w:sz w:val="20"/>
          <w:szCs w:val="20"/>
          <w:rtl/>
        </w:rPr>
        <w:t xml:space="preserve"> (סנהדרין לד)</w:t>
      </w:r>
      <w:r w:rsidRPr="00012502">
        <w:rPr>
          <w:rFonts w:ascii="Narkisim" w:hAnsi="Narkisim" w:cs="Narkisim"/>
          <w:rtl/>
        </w:rPr>
        <w:t xml:space="preserve"> הקשה אמאי בטלו דבריו. וכן בהא דאיתא אר' מאיר גלוי וידוע שאין בדורם כמותם, ואמאי לא אמרי' דהרוצה לעשות כדבריהם עושה </w:t>
      </w:r>
      <w:r w:rsidRPr="00012502">
        <w:rPr>
          <w:rFonts w:ascii="Narkisim" w:hAnsi="Narkisim" w:cs="Narkisim"/>
          <w:sz w:val="20"/>
          <w:szCs w:val="20"/>
          <w:rtl/>
        </w:rPr>
        <w:t>[דומיא דהרוצה לעשות כבי"ש</w:t>
      </w:r>
      <w:r w:rsidRPr="00012502">
        <w:rPr>
          <w:rStyle w:val="ac"/>
          <w:rFonts w:ascii="Narkisim" w:hAnsi="Narkisim" w:cs="Narkisim"/>
          <w:sz w:val="20"/>
          <w:szCs w:val="20"/>
          <w:rtl/>
        </w:rPr>
        <w:footnoteReference w:id="921"/>
      </w:r>
      <w:r w:rsidRPr="00012502">
        <w:rPr>
          <w:rFonts w:ascii="Narkisim" w:hAnsi="Narkisim" w:cs="Narkisim"/>
          <w:sz w:val="20"/>
          <w:szCs w:val="20"/>
          <w:rtl/>
        </w:rPr>
        <w:t>]</w:t>
      </w:r>
      <w:r w:rsidRPr="00012502">
        <w:rPr>
          <w:rFonts w:ascii="Narkisim" w:hAnsi="Narkisim" w:cs="Narkisim"/>
          <w:rtl/>
        </w:rPr>
        <w:t>. ושמא י"ל דיחיד במקום רבים בטלו דבריו [וע' מש"כ בזה לעיל יד.]. אבל רבים ורבים אם רצו הולכים אחר רוב חכמה.</w:t>
      </w:r>
    </w:p>
    <w:p w14:paraId="0482DA3D" w14:textId="77777777" w:rsidR="00BE1D1C" w:rsidRPr="00012502" w:rsidRDefault="00000000" w:rsidP="00012502">
      <w:pPr>
        <w:bidi/>
        <w:rPr>
          <w:rFonts w:ascii="Narkisim" w:hAnsi="Narkisim" w:cs="Narkisim"/>
        </w:rPr>
      </w:pPr>
      <w:r w:rsidRPr="00012502">
        <w:rPr>
          <w:rFonts w:ascii="Narkisim" w:hAnsi="Narkisim" w:cs="Narkisim"/>
          <w:u w:val="single"/>
          <w:rtl/>
        </w:rPr>
        <w:t>יצאו בג' פתחים.</w:t>
      </w:r>
      <w:r w:rsidRPr="00012502">
        <w:rPr>
          <w:rFonts w:ascii="Narkisim" w:hAnsi="Narkisim" w:cs="Narkisim"/>
          <w:rtl/>
        </w:rPr>
        <w:t xml:space="preserve"> </w:t>
      </w:r>
      <w:r w:rsidRPr="00012502">
        <w:rPr>
          <w:rFonts w:ascii="Narkisim" w:hAnsi="Narkisim" w:cs="Narkisim"/>
          <w:b/>
          <w:bCs/>
          <w:rtl/>
        </w:rPr>
        <w:t>תוס</w:t>
      </w:r>
      <w:r w:rsidRPr="00012502">
        <w:rPr>
          <w:rFonts w:ascii="Narkisim" w:hAnsi="Narkisim" w:cs="Narkisim"/>
          <w:rtl/>
        </w:rPr>
        <w:t>' פי' שלא יצטרכו לקבוע הלכה כמותו. ה</w:t>
      </w:r>
      <w:r w:rsidRPr="00012502">
        <w:rPr>
          <w:rFonts w:ascii="Narkisim" w:hAnsi="Narkisim" w:cs="Narkisim"/>
          <w:b/>
          <w:bCs/>
          <w:rtl/>
        </w:rPr>
        <w:t xml:space="preserve">קוב"ש </w:t>
      </w:r>
      <w:r w:rsidRPr="00012502">
        <w:rPr>
          <w:rFonts w:ascii="Narkisim" w:hAnsi="Narkisim" w:cs="Narkisim"/>
          <w:sz w:val="20"/>
          <w:szCs w:val="20"/>
          <w:rtl/>
        </w:rPr>
        <w:t>(ח"ב קו' ד"ס ה טו)</w:t>
      </w:r>
      <w:r w:rsidRPr="00012502">
        <w:rPr>
          <w:rFonts w:ascii="Narkisim" w:hAnsi="Narkisim" w:cs="Narkisim"/>
          <w:rtl/>
        </w:rPr>
        <w:t xml:space="preserve"> הק' דאמאי לא היו צריכים לשמוע דבריו, שמא האמת כמותו. וכתב דהיה הדין ברור אצלם בלי ספק, אלא שמ"מ אם היו שומעים דבריו ולא היה להם מה להשיב היו צריכים לקבוע ההלכה כמותו, דאין לדיין אלא מה שעיניו רואות.</w:t>
      </w:r>
    </w:p>
    <w:p w14:paraId="2AFB0BF6" w14:textId="77777777" w:rsidR="00BE1D1C" w:rsidRPr="00012502" w:rsidRDefault="00000000" w:rsidP="00012502">
      <w:pPr>
        <w:bidi/>
        <w:rPr>
          <w:rFonts w:ascii="Narkisim" w:hAnsi="Narkisim" w:cs="Narkisim"/>
        </w:rPr>
      </w:pPr>
      <w:r w:rsidRPr="00012502">
        <w:rPr>
          <w:rFonts w:ascii="Narkisim" w:hAnsi="Narkisim" w:cs="Narkisim"/>
          <w:u w:val="single"/>
          <w:rtl/>
        </w:rPr>
        <w:t>עמון ומואב מעשרין מעשר עני בשביעית.</w:t>
      </w:r>
      <w:r w:rsidRPr="00012502">
        <w:rPr>
          <w:rFonts w:ascii="Narkisim" w:hAnsi="Narkisim" w:cs="Narkisim"/>
          <w:rtl/>
        </w:rPr>
        <w:t xml:space="preserve"> ב</w:t>
      </w:r>
      <w:r w:rsidRPr="00012502">
        <w:rPr>
          <w:rFonts w:ascii="Narkisim" w:hAnsi="Narkisim" w:cs="Narkisim"/>
          <w:b/>
          <w:bCs/>
          <w:rtl/>
        </w:rPr>
        <w:t>משנה</w:t>
      </w:r>
      <w:r w:rsidRPr="00012502">
        <w:rPr>
          <w:rFonts w:ascii="Narkisim" w:hAnsi="Narkisim" w:cs="Narkisim"/>
          <w:sz w:val="20"/>
          <w:szCs w:val="20"/>
          <w:rtl/>
        </w:rPr>
        <w:t xml:space="preserve"> (ידים ד ג הו' בתוס')</w:t>
      </w:r>
      <w:r w:rsidRPr="00012502">
        <w:rPr>
          <w:rFonts w:ascii="Narkisim" w:hAnsi="Narkisim" w:cs="Narkisim"/>
          <w:rtl/>
        </w:rPr>
        <w:t xml:space="preserve"> נחלקו בזה התנאים, דלר' טרפון מעשר עני </w:t>
      </w:r>
      <w:r w:rsidRPr="00012502">
        <w:rPr>
          <w:rFonts w:ascii="Narkisim" w:hAnsi="Narkisim" w:cs="Narkisim"/>
          <w:sz w:val="20"/>
          <w:szCs w:val="20"/>
          <w:rtl/>
        </w:rPr>
        <w:t>[דהניחום שיסמכו עליהם עניי ישראל, וכן גזרו במצרים לכו"ע]</w:t>
      </w:r>
      <w:r w:rsidRPr="00012502">
        <w:rPr>
          <w:rFonts w:ascii="Narkisim" w:hAnsi="Narkisim" w:cs="Narkisim"/>
          <w:rtl/>
        </w:rPr>
        <w:t xml:space="preserve">, ולר"א בן עזריה מעשר שני, שלא לשנות סדר השנים </w:t>
      </w:r>
      <w:r w:rsidRPr="00012502">
        <w:rPr>
          <w:rFonts w:ascii="Narkisim" w:hAnsi="Narkisim" w:cs="Narkisim"/>
          <w:sz w:val="20"/>
          <w:szCs w:val="20"/>
          <w:rtl/>
        </w:rPr>
        <w:t>[שאחר שנת מעשר עני יש שנת מעשר שני, דמעשר עני הוה רק שנת ג' וו', וכן הדין מגזירת נביאים בבבל].</w:t>
      </w:r>
      <w:r w:rsidRPr="00012502">
        <w:rPr>
          <w:rFonts w:ascii="Narkisim" w:hAnsi="Narkisim" w:cs="Narkisim"/>
          <w:rtl/>
        </w:rPr>
        <w:t xml:space="preserve"> ונמנו וגמרו דמעשר עני</w:t>
      </w:r>
      <w:r w:rsidRPr="00012502">
        <w:rPr>
          <w:rStyle w:val="ac"/>
          <w:rFonts w:ascii="Narkisim" w:hAnsi="Narkisim" w:cs="Narkisim"/>
          <w:rtl/>
        </w:rPr>
        <w:footnoteReference w:id="922"/>
      </w:r>
      <w:r w:rsidRPr="00012502">
        <w:rPr>
          <w:rFonts w:ascii="Narkisim" w:hAnsi="Narkisim" w:cs="Narkisim"/>
          <w:rtl/>
        </w:rPr>
        <w:t>.</w:t>
      </w:r>
    </w:p>
    <w:p w14:paraId="7C069FE0"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ב"י</w:t>
      </w:r>
      <w:r w:rsidRPr="00012502">
        <w:rPr>
          <w:rFonts w:ascii="Narkisim" w:hAnsi="Narkisim"/>
          <w:rtl/>
        </w:rPr>
        <w:t xml:space="preserve"> (יו"ד שלא, וכן בשו"ת אבקת רוכל כד) כתב דה"ה פירות נכרי בא"י [לשיטתו דאין בהם קדושת שביעית], אם נתמרחו ביד ישראל, חייבים במעשר עני [מדאורייתא]. וכ"פ ה</w:t>
      </w:r>
      <w:r w:rsidRPr="00012502">
        <w:rPr>
          <w:rFonts w:ascii="Narkisim" w:hAnsi="Narkisim"/>
          <w:b/>
          <w:bCs/>
          <w:rtl/>
        </w:rPr>
        <w:t>רמ"א</w:t>
      </w:r>
      <w:r w:rsidRPr="00012502">
        <w:rPr>
          <w:rFonts w:ascii="Narkisim" w:hAnsi="Narkisim"/>
          <w:rtl/>
        </w:rPr>
        <w:t xml:space="preserve"> (שלא יט), וה</w:t>
      </w:r>
      <w:r w:rsidRPr="00012502">
        <w:rPr>
          <w:rFonts w:ascii="Narkisim" w:hAnsi="Narkisim"/>
          <w:b/>
          <w:bCs/>
          <w:rtl/>
        </w:rPr>
        <w:t>גר"א</w:t>
      </w:r>
      <w:r w:rsidRPr="00012502">
        <w:rPr>
          <w:rFonts w:ascii="Narkisim" w:hAnsi="Narkisim"/>
          <w:rtl/>
        </w:rPr>
        <w:t xml:space="preserve"> (שם נט) ציין דכ"ש מאמון ומואב שקרוב יותר. וה</w:t>
      </w:r>
      <w:r w:rsidRPr="00012502">
        <w:rPr>
          <w:rFonts w:ascii="Narkisim" w:hAnsi="Narkisim"/>
          <w:b/>
          <w:bCs/>
          <w:rtl/>
        </w:rPr>
        <w:t>מנחת שלמה</w:t>
      </w:r>
      <w:r w:rsidRPr="00012502">
        <w:rPr>
          <w:rFonts w:ascii="Narkisim" w:hAnsi="Narkisim"/>
          <w:rtl/>
        </w:rPr>
        <w:t xml:space="preserve"> (א לז) תמה דבאר"י מדאורייתא תליא בסדר השנים ומעשר שני, ורק אמון ומואב הוה תקנ"ח והניחום</w:t>
      </w:r>
      <w:r w:rsidRPr="00012502">
        <w:rPr>
          <w:rStyle w:val="ac"/>
          <w:rFonts w:ascii="Narkisim" w:hAnsi="Narkisim"/>
          <w:rtl/>
        </w:rPr>
        <w:footnoteReference w:id="923"/>
      </w:r>
      <w:r w:rsidRPr="00012502">
        <w:rPr>
          <w:rFonts w:ascii="Narkisim" w:hAnsi="Narkisim"/>
          <w:rtl/>
        </w:rPr>
        <w:t>.</w:t>
      </w:r>
    </w:p>
    <w:p w14:paraId="25304778" w14:textId="77777777" w:rsidR="00BE1D1C" w:rsidRPr="00012502" w:rsidRDefault="00000000" w:rsidP="00012502">
      <w:pPr>
        <w:bidi/>
        <w:rPr>
          <w:rFonts w:ascii="Narkisim" w:hAnsi="Narkisim" w:cs="Narkisim"/>
        </w:rPr>
      </w:pPr>
      <w:r w:rsidRPr="00012502">
        <w:rPr>
          <w:rFonts w:ascii="Narkisim" w:hAnsi="Narkisim" w:cs="Narkisim"/>
          <w:u w:val="single"/>
          <w:rtl/>
        </w:rPr>
        <w:t>רש"י ד"ה עמון.</w:t>
      </w:r>
      <w:r w:rsidRPr="00012502">
        <w:rPr>
          <w:rFonts w:ascii="Narkisim" w:hAnsi="Narkisim" w:cs="Narkisim"/>
          <w:rtl/>
        </w:rPr>
        <w:t xml:space="preserve"> ונתקדשה בקדושת אר"י [קידוש ראשון], ועכשיו בבית שני</w:t>
      </w:r>
      <w:r w:rsidRPr="00012502">
        <w:rPr>
          <w:rStyle w:val="ac"/>
          <w:rFonts w:ascii="Narkisim" w:hAnsi="Narkisim" w:cs="Narkisim"/>
          <w:rtl/>
        </w:rPr>
        <w:footnoteReference w:id="924"/>
      </w:r>
      <w:r w:rsidRPr="00012502">
        <w:rPr>
          <w:rFonts w:ascii="Narkisim" w:hAnsi="Narkisim" w:cs="Narkisim"/>
          <w:rtl/>
        </w:rPr>
        <w:t xml:space="preserve"> בטלה קדושתה וזורעין בשביעית וכו'. ה</w:t>
      </w:r>
      <w:r w:rsidRPr="00012502">
        <w:rPr>
          <w:rFonts w:ascii="Narkisim" w:hAnsi="Narkisim" w:cs="Narkisim"/>
          <w:b/>
          <w:bCs/>
          <w:rtl/>
        </w:rPr>
        <w:t>משנ"ל</w:t>
      </w:r>
      <w:r w:rsidRPr="00012502">
        <w:rPr>
          <w:rFonts w:ascii="Narkisim" w:hAnsi="Narkisim" w:cs="Narkisim"/>
          <w:rtl/>
        </w:rPr>
        <w:t xml:space="preserve"> (שמיטה ד כז) הקשה דבמשנה (שביעית ו א) איתא דכל שכבשו עולי מצרים ולא עולי בבל, אסור בעבודת קרקע, אבל פירותיו נאכלים</w:t>
      </w:r>
      <w:r w:rsidRPr="00012502">
        <w:rPr>
          <w:rStyle w:val="ac"/>
          <w:rFonts w:ascii="Narkisim" w:hAnsi="Narkisim" w:cs="Narkisim"/>
          <w:rtl/>
        </w:rPr>
        <w:footnoteReference w:id="925"/>
      </w:r>
      <w:r w:rsidRPr="00012502">
        <w:rPr>
          <w:rFonts w:ascii="Narkisim" w:hAnsi="Narkisim" w:cs="Narkisim"/>
          <w:rtl/>
        </w:rPr>
        <w:t>. וצ"ע למש"כ רש"י דדינם כפירות שביעית.</w:t>
      </w:r>
    </w:p>
    <w:p w14:paraId="48327A12"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חזו"א</w:t>
      </w:r>
      <w:r w:rsidRPr="00012502">
        <w:rPr>
          <w:rFonts w:ascii="Narkisim" w:hAnsi="Narkisim"/>
          <w:rtl/>
        </w:rPr>
        <w:t xml:space="preserve"> (שביעית ג כד) כת' דהיינו מקום שבתוך אר"י, אבל בעבר הירדן אדרבה הניחו כדי שיסמכו עניים [לרש"י], ולא גזרו אף עבודת קרקע. אבל יש</w:t>
      </w:r>
      <w:r w:rsidRPr="00012502">
        <w:rPr>
          <w:rFonts w:ascii="Narkisim" w:hAnsi="Narkisim"/>
          <w:b/>
          <w:bCs/>
          <w:rtl/>
        </w:rPr>
        <w:t xml:space="preserve"> אחרונים</w:t>
      </w:r>
      <w:r w:rsidRPr="00012502">
        <w:rPr>
          <w:rFonts w:ascii="Narkisim" w:hAnsi="Narkisim"/>
          <w:rtl/>
        </w:rPr>
        <w:t xml:space="preserve"> (פאת השולחן) דנקטו דאף דנוהג איסור עבודת קרקע, הניחו הפירות לעניים. והאחרונים דנו בזה האם יש בפירות קדושת שביעית. וכתבו דאפי' הכי יתכן שיש חיוב תרומת ומעשרות. </w:t>
      </w:r>
      <w:r w:rsidRPr="00012502">
        <w:rPr>
          <w:rFonts w:ascii="Narkisim" w:hAnsi="Narkisim"/>
          <w:sz w:val="20"/>
          <w:szCs w:val="20"/>
          <w:rtl/>
        </w:rPr>
        <w:t>וה</w:t>
      </w:r>
      <w:r w:rsidRPr="00012502">
        <w:rPr>
          <w:rFonts w:ascii="Narkisim" w:hAnsi="Narkisim"/>
          <w:b/>
          <w:bCs/>
          <w:sz w:val="20"/>
          <w:szCs w:val="20"/>
          <w:rtl/>
        </w:rPr>
        <w:t>קה"י</w:t>
      </w:r>
      <w:r w:rsidRPr="00012502">
        <w:rPr>
          <w:rFonts w:ascii="Narkisim" w:hAnsi="Narkisim"/>
          <w:sz w:val="20"/>
          <w:szCs w:val="20"/>
          <w:rtl/>
        </w:rPr>
        <w:t xml:space="preserve"> (י) כתב דבשביעית דרבנן אינו נפטר מדאורייתא מדין הפקר, דהתורה לא הפקיע</w:t>
      </w:r>
      <w:r w:rsidRPr="00012502">
        <w:rPr>
          <w:rStyle w:val="ac"/>
          <w:rFonts w:ascii="Narkisim" w:hAnsi="Narkisim"/>
          <w:sz w:val="20"/>
          <w:szCs w:val="20"/>
          <w:rtl/>
        </w:rPr>
        <w:footnoteReference w:id="926"/>
      </w:r>
      <w:r w:rsidRPr="00012502">
        <w:rPr>
          <w:rFonts w:ascii="Narkisim" w:hAnsi="Narkisim"/>
          <w:sz w:val="20"/>
          <w:szCs w:val="20"/>
          <w:rtl/>
        </w:rPr>
        <w:t>.</w:t>
      </w:r>
    </w:p>
    <w:p w14:paraId="5381D636" w14:textId="77777777" w:rsidR="00BE1D1C" w:rsidRPr="00012502" w:rsidRDefault="00000000" w:rsidP="00012502">
      <w:pPr>
        <w:pStyle w:val="aa"/>
        <w:bidi/>
        <w:rPr>
          <w:rFonts w:ascii="Narkisim" w:hAnsi="Narkisim"/>
        </w:rPr>
      </w:pPr>
      <w:r w:rsidRPr="00012502">
        <w:rPr>
          <w:rFonts w:ascii="Narkisim" w:hAnsi="Narkisim"/>
          <w:u w:val="single"/>
          <w:rtl/>
        </w:rPr>
        <w:t>תוד"ה עמון.</w:t>
      </w:r>
      <w:r w:rsidRPr="00012502">
        <w:rPr>
          <w:rFonts w:ascii="Narkisim" w:hAnsi="Narkisim"/>
          <w:rtl/>
        </w:rPr>
        <w:t xml:space="preserve"> עבר הירדן וכו' ואור"ת דהתם בארץ סיחון ועוג שלא היתה של עמון ומואב. [ויש חילוק בתוך עבר הירדן]. (וכ"ד הר"ש ידים ד ג). אבל ה</w:t>
      </w:r>
      <w:r w:rsidRPr="00012502">
        <w:rPr>
          <w:rFonts w:ascii="Narkisim" w:hAnsi="Narkisim"/>
          <w:b/>
          <w:bCs/>
          <w:rtl/>
        </w:rPr>
        <w:t>רמב"ם</w:t>
      </w:r>
      <w:r w:rsidRPr="00012502">
        <w:rPr>
          <w:rFonts w:ascii="Narkisim" w:hAnsi="Narkisim"/>
          <w:rtl/>
        </w:rPr>
        <w:t xml:space="preserve"> (בפיה"מ שביעית שם, וכן הרע"ב) כתבו דג' ארצות היינו היינו שפלת לוד וכו', משמע דקאי אעבר המערבי של הירדן. וכ"כ </w:t>
      </w:r>
      <w:r w:rsidRPr="00012502">
        <w:rPr>
          <w:rFonts w:ascii="Narkisim" w:hAnsi="Narkisim"/>
          <w:b/>
          <w:bCs/>
          <w:rtl/>
        </w:rPr>
        <w:t>רע"א</w:t>
      </w:r>
      <w:r w:rsidRPr="00012502">
        <w:rPr>
          <w:rFonts w:ascii="Narkisim" w:hAnsi="Narkisim"/>
          <w:rtl/>
        </w:rPr>
        <w:t xml:space="preserve"> (במשניות) בשם ה</w:t>
      </w:r>
      <w:r w:rsidRPr="00012502">
        <w:rPr>
          <w:rFonts w:ascii="Narkisim" w:hAnsi="Narkisim"/>
          <w:b/>
          <w:bCs/>
          <w:rtl/>
        </w:rPr>
        <w:t>כפתור ופרח</w:t>
      </w:r>
      <w:r w:rsidRPr="00012502">
        <w:rPr>
          <w:rFonts w:ascii="Narkisim" w:hAnsi="Narkisim"/>
          <w:rtl/>
        </w:rPr>
        <w:t xml:space="preserve"> (מח). ובתוס' מבואר דקאי אעבר המזרחי [ארץ בנין ראובן וגד ומנשה].</w:t>
      </w:r>
    </w:p>
    <w:p w14:paraId="3703AF02" w14:textId="77777777" w:rsidR="00BE1D1C" w:rsidRPr="00012502" w:rsidRDefault="00000000" w:rsidP="00012502">
      <w:pPr>
        <w:bidi/>
        <w:rPr>
          <w:rFonts w:ascii="Narkisim" w:hAnsi="Narkisim" w:cs="Narkisim"/>
        </w:rPr>
      </w:pPr>
      <w:r w:rsidRPr="00012502">
        <w:rPr>
          <w:rFonts w:ascii="Narkisim" w:hAnsi="Narkisim" w:cs="Narkisim"/>
          <w:u w:val="single"/>
          <w:rtl/>
        </w:rPr>
        <w:lastRenderedPageBreak/>
        <w:t>בא"ד ותדע דהא וכו' ס"ל קידשה לעתיד לבא וכו'</w:t>
      </w:r>
      <w:r w:rsidRPr="00012502">
        <w:rPr>
          <w:rFonts w:ascii="Narkisim" w:hAnsi="Narkisim" w:cs="Narkisim"/>
          <w:rtl/>
        </w:rPr>
        <w:t>. ו</w:t>
      </w:r>
      <w:r w:rsidRPr="00012502">
        <w:rPr>
          <w:rFonts w:ascii="Narkisim" w:hAnsi="Narkisim" w:cs="Narkisim"/>
          <w:b/>
          <w:bCs/>
          <w:rtl/>
        </w:rPr>
        <w:t>תוס'</w:t>
      </w:r>
      <w:r w:rsidRPr="00012502">
        <w:rPr>
          <w:rFonts w:ascii="Narkisim" w:hAnsi="Narkisim" w:cs="Narkisim"/>
          <w:rtl/>
        </w:rPr>
        <w:t xml:space="preserve"> (שבועות טז.) תי' דר"א ס"ל דקדושת הארץ בטלה לגבי תרומות ומעשרות ושביעית, אבל קדושת מחיצה של ירושלים והמקדש ס"ל דלא בטלה. [ואכמ"ל].</w:t>
      </w:r>
    </w:p>
    <w:p w14:paraId="235DADF4" w14:textId="77777777" w:rsidR="00BE1D1C" w:rsidRPr="00012502" w:rsidRDefault="00000000" w:rsidP="00012502">
      <w:pPr>
        <w:pStyle w:val="aa"/>
        <w:bidi/>
        <w:rPr>
          <w:rFonts w:ascii="Narkisim" w:hAnsi="Narkisim"/>
        </w:rPr>
      </w:pPr>
      <w:r w:rsidRPr="00012502">
        <w:rPr>
          <w:rFonts w:ascii="Narkisim" w:hAnsi="Narkisim"/>
          <w:u w:val="single"/>
          <w:rtl/>
        </w:rPr>
        <w:t>רש"י ד"ה טהורים.</w:t>
      </w:r>
      <w:r w:rsidRPr="00012502">
        <w:rPr>
          <w:rFonts w:ascii="Narkisim" w:hAnsi="Narkisim"/>
          <w:rtl/>
        </w:rPr>
        <w:t xml:space="preserve"> שלא גזרו על כתמי עכו"ם. ו</w:t>
      </w:r>
      <w:r w:rsidRPr="00012502">
        <w:rPr>
          <w:rFonts w:ascii="Narkisim" w:hAnsi="Narkisim"/>
          <w:b/>
          <w:bCs/>
          <w:rtl/>
        </w:rPr>
        <w:t>רש"י</w:t>
      </w:r>
      <w:r w:rsidRPr="00012502">
        <w:rPr>
          <w:rFonts w:ascii="Narkisim" w:hAnsi="Narkisim"/>
          <w:rtl/>
        </w:rPr>
        <w:t xml:space="preserve"> (ב"ק לח:) הוסיף דאע"ג דגזרו על דם עכו"ם [כשאינו יבש</w:t>
      </w:r>
      <w:r w:rsidRPr="00012502">
        <w:rPr>
          <w:rStyle w:val="ac"/>
          <w:rFonts w:ascii="Narkisim" w:hAnsi="Narkisim"/>
          <w:rtl/>
        </w:rPr>
        <w:footnoteReference w:id="927"/>
      </w:r>
      <w:r w:rsidRPr="00012502">
        <w:rPr>
          <w:rFonts w:ascii="Narkisim" w:hAnsi="Narkisim"/>
          <w:rtl/>
        </w:rPr>
        <w:t>], מ"מ הקילו בכתמים, דכתמים דרבנן מגזיה"כ דבבשרה</w:t>
      </w:r>
      <w:r w:rsidRPr="00012502">
        <w:rPr>
          <w:rStyle w:val="ac"/>
          <w:rFonts w:ascii="Narkisim" w:hAnsi="Narkisim"/>
          <w:rtl/>
        </w:rPr>
        <w:footnoteReference w:id="928"/>
      </w:r>
      <w:r w:rsidRPr="00012502">
        <w:rPr>
          <w:rFonts w:ascii="Narkisim" w:hAnsi="Narkisim"/>
          <w:rtl/>
        </w:rPr>
        <w:t xml:space="preserve"> (נדה נז:) ואף הדם טהור</w:t>
      </w:r>
      <w:r w:rsidRPr="00012502">
        <w:rPr>
          <w:rStyle w:val="ac"/>
          <w:rFonts w:ascii="Narkisim" w:hAnsi="Narkisim"/>
          <w:rtl/>
        </w:rPr>
        <w:footnoteReference w:id="929"/>
      </w:r>
      <w:r w:rsidRPr="00012502">
        <w:rPr>
          <w:rFonts w:ascii="Narkisim" w:hAnsi="Narkisim"/>
          <w:rtl/>
        </w:rPr>
        <w:t>.</w:t>
      </w:r>
    </w:p>
    <w:p w14:paraId="5BE73564" w14:textId="77777777" w:rsidR="00BE1D1C" w:rsidRPr="00012502" w:rsidRDefault="00000000" w:rsidP="00012502">
      <w:pPr>
        <w:pStyle w:val="3"/>
        <w:bidi/>
        <w:rPr>
          <w:rFonts w:ascii="Narkisim" w:hAnsi="Narkisim"/>
        </w:rPr>
      </w:pPr>
      <w:r w:rsidRPr="00012502">
        <w:rPr>
          <w:rFonts w:ascii="Narkisim" w:hAnsi="Narkisim"/>
          <w:rtl/>
        </w:rPr>
        <w:t>דף טז:</w:t>
      </w:r>
    </w:p>
    <w:p w14:paraId="4FF82FAB" w14:textId="77777777" w:rsidR="00BE1D1C" w:rsidRPr="00012502" w:rsidRDefault="00000000" w:rsidP="00012502">
      <w:pPr>
        <w:pStyle w:val="aa"/>
        <w:bidi/>
        <w:rPr>
          <w:rFonts w:ascii="Narkisim" w:hAnsi="Narkisim"/>
        </w:rPr>
      </w:pPr>
      <w:r w:rsidRPr="00012502">
        <w:rPr>
          <w:rFonts w:ascii="Narkisim" w:hAnsi="Narkisim"/>
          <w:u w:val="single"/>
          <w:rtl/>
        </w:rPr>
        <w:t>אמוראי נינהו וכו'.</w:t>
      </w:r>
      <w:r w:rsidRPr="00012502">
        <w:rPr>
          <w:rFonts w:ascii="Narkisim" w:hAnsi="Narkisim"/>
          <w:rtl/>
        </w:rPr>
        <w:t xml:space="preserve"> מבואר ב</w:t>
      </w:r>
      <w:r w:rsidRPr="00012502">
        <w:rPr>
          <w:rFonts w:ascii="Narkisim" w:hAnsi="Narkisim"/>
          <w:b/>
          <w:bCs/>
          <w:rtl/>
        </w:rPr>
        <w:t>תוס'</w:t>
      </w:r>
      <w:r w:rsidRPr="00012502">
        <w:rPr>
          <w:rFonts w:ascii="Narkisim" w:hAnsi="Narkisim"/>
          <w:rtl/>
        </w:rPr>
        <w:t xml:space="preserve"> (ד"ה אמוראי) דיש לפרש דנח' אליבא דר' יוחנן האם לדייק מהמשנה אפי' מתרמוד. ועוד יל"פ דנח' האם הלכה כסתם משנה. [מצאנו בזה אמוראי אליבא דר' יוחנן בגיטין פא: וחולין מג.].</w:t>
      </w:r>
    </w:p>
    <w:p w14:paraId="7F499400" w14:textId="77777777" w:rsidR="00BE1D1C" w:rsidRPr="00012502" w:rsidRDefault="00000000" w:rsidP="00012502">
      <w:pPr>
        <w:bidi/>
        <w:rPr>
          <w:rFonts w:ascii="Narkisim" w:hAnsi="Narkisim" w:cs="Narkisim"/>
        </w:rPr>
      </w:pPr>
      <w:r w:rsidRPr="00012502">
        <w:rPr>
          <w:rFonts w:ascii="Narkisim" w:hAnsi="Narkisim" w:cs="Narkisim"/>
          <w:u w:val="single"/>
          <w:rtl/>
        </w:rPr>
        <w:t>תוד"ה אמוראי.</w:t>
      </w:r>
      <w:r w:rsidRPr="00012502">
        <w:rPr>
          <w:rFonts w:ascii="Narkisim" w:hAnsi="Narkisim" w:cs="Narkisim"/>
          <w:rtl/>
        </w:rPr>
        <w:t xml:space="preserve"> וסתם מתני' דהאומר וכו' דלר"ע דוקא דאין קידושין תופסין בחייבי לאוין הוא דהוה הולד ממזר. </w:t>
      </w:r>
      <w:r w:rsidRPr="00012502">
        <w:rPr>
          <w:rFonts w:ascii="Narkisim" w:hAnsi="Narkisim" w:cs="Narkisim"/>
          <w:b/>
          <w:bCs/>
          <w:rtl/>
        </w:rPr>
        <w:t>רע"א</w:t>
      </w:r>
      <w:r w:rsidRPr="00012502">
        <w:rPr>
          <w:rFonts w:ascii="Narkisim" w:hAnsi="Narkisim" w:cs="Narkisim"/>
          <w:rtl/>
        </w:rPr>
        <w:t xml:space="preserve"> (בגהש"ס) ו</w:t>
      </w:r>
      <w:r w:rsidRPr="00012502">
        <w:rPr>
          <w:rFonts w:ascii="Narkisim" w:hAnsi="Narkisim" w:cs="Narkisim"/>
          <w:b/>
          <w:bCs/>
          <w:rtl/>
        </w:rPr>
        <w:t>שאר אחרונים</w:t>
      </w:r>
      <w:r w:rsidRPr="00012502">
        <w:rPr>
          <w:rFonts w:ascii="Narkisim" w:hAnsi="Narkisim" w:cs="Narkisim"/>
          <w:rtl/>
        </w:rPr>
        <w:t xml:space="preserve"> תמהו דר' יוחנן (לקמן מה וע.) דן דאף לרבנן עכו"ם ועבד יהא הולד ממזר, דלא תפסי בה קידושין [אף מעלמא]. א"כ לדידיה אין ראיה מהמשנה בקידושין</w:t>
      </w:r>
      <w:r w:rsidRPr="00012502">
        <w:rPr>
          <w:rStyle w:val="ac"/>
          <w:rFonts w:ascii="Narkisim" w:hAnsi="Narkisim" w:cs="Narkisim"/>
          <w:rtl/>
        </w:rPr>
        <w:footnoteReference w:id="930"/>
      </w:r>
      <w:r w:rsidRPr="00012502">
        <w:rPr>
          <w:rFonts w:ascii="Narkisim" w:hAnsi="Narkisim" w:cs="Narkisim"/>
          <w:rtl/>
        </w:rPr>
        <w:t>. וצ"ע.</w:t>
      </w:r>
    </w:p>
    <w:p w14:paraId="44BFBEE2" w14:textId="77777777" w:rsidR="00BE1D1C" w:rsidRPr="00012502" w:rsidRDefault="00000000" w:rsidP="00012502">
      <w:pPr>
        <w:pStyle w:val="a7"/>
        <w:bidi/>
        <w:rPr>
          <w:rFonts w:ascii="Narkisim" w:hAnsi="Narkisim"/>
        </w:rPr>
      </w:pPr>
      <w:r w:rsidRPr="00012502">
        <w:rPr>
          <w:rFonts w:ascii="Narkisim" w:hAnsi="Narkisim"/>
          <w:rtl/>
        </w:rPr>
        <w:t>ומשמע בתוס'</w:t>
      </w:r>
      <w:r w:rsidRPr="00012502">
        <w:rPr>
          <w:rFonts w:ascii="Narkisim" w:hAnsi="Narkisim"/>
          <w:sz w:val="20"/>
          <w:szCs w:val="20"/>
          <w:rtl/>
        </w:rPr>
        <w:t xml:space="preserve"> (וכן בתוד"ה קסבר)</w:t>
      </w:r>
      <w:r w:rsidRPr="00012502">
        <w:rPr>
          <w:rFonts w:ascii="Narkisim" w:hAnsi="Narkisim"/>
          <w:rtl/>
        </w:rPr>
        <w:t xml:space="preserve"> דכל הנידון [בגמ' לקמן] האם הולד ממזר הוא אליבא דר' עקיבא</w:t>
      </w:r>
      <w:r w:rsidRPr="00012502">
        <w:rPr>
          <w:rStyle w:val="ac"/>
          <w:rFonts w:ascii="Narkisim" w:hAnsi="Narkisim"/>
          <w:rtl/>
        </w:rPr>
        <w:footnoteReference w:id="931"/>
      </w:r>
      <w:r w:rsidRPr="00012502">
        <w:rPr>
          <w:rFonts w:ascii="Narkisim" w:hAnsi="Narkisim"/>
          <w:rtl/>
        </w:rPr>
        <w:t>, וה</w:t>
      </w:r>
      <w:r w:rsidRPr="00012502">
        <w:rPr>
          <w:rFonts w:ascii="Narkisim" w:hAnsi="Narkisim"/>
          <w:b/>
          <w:bCs/>
          <w:rtl/>
        </w:rPr>
        <w:t>קר"א</w:t>
      </w:r>
      <w:r w:rsidRPr="00012502">
        <w:rPr>
          <w:rFonts w:ascii="Narkisim" w:hAnsi="Narkisim"/>
          <w:rtl/>
        </w:rPr>
        <w:t xml:space="preserve"> הק' דכמה אמוראים דנו בזה, וכי כולהו ס"ל כר' עקיבא. וה</w:t>
      </w:r>
      <w:r w:rsidRPr="00012502">
        <w:rPr>
          <w:rFonts w:ascii="Narkisim" w:hAnsi="Narkisim"/>
          <w:b/>
          <w:bCs/>
          <w:rtl/>
        </w:rPr>
        <w:t>או"ש</w:t>
      </w:r>
      <w:r w:rsidRPr="00012502">
        <w:rPr>
          <w:rFonts w:ascii="Narkisim" w:hAnsi="Narkisim"/>
          <w:sz w:val="20"/>
          <w:szCs w:val="20"/>
          <w:rtl/>
        </w:rPr>
        <w:t xml:space="preserve"> (איסו"ב טו ועוד אחרונים) </w:t>
      </w:r>
      <w:r w:rsidRPr="00012502">
        <w:rPr>
          <w:rFonts w:ascii="Narkisim" w:hAnsi="Narkisim"/>
          <w:rtl/>
        </w:rPr>
        <w:t>כת' דיש מ"ד (לקמן מה.) דהולד פגום לכהונה, ולהך מ"ד הוה ישראל פגום. ותוס' הכא איירי רק למ"ד הולד כשר, דע"כ הוה כשר גמור</w:t>
      </w:r>
      <w:r w:rsidRPr="00012502">
        <w:rPr>
          <w:rStyle w:val="ac"/>
          <w:rFonts w:ascii="Narkisim" w:hAnsi="Narkisim"/>
          <w:rtl/>
        </w:rPr>
        <w:footnoteReference w:id="932"/>
      </w:r>
      <w:r w:rsidRPr="00012502">
        <w:rPr>
          <w:rFonts w:ascii="Narkisim" w:hAnsi="Narkisim"/>
          <w:rtl/>
        </w:rPr>
        <w:t>.</w:t>
      </w:r>
    </w:p>
    <w:p w14:paraId="0B0AB9C0" w14:textId="77777777" w:rsidR="00BE1D1C" w:rsidRPr="00012502" w:rsidRDefault="00000000" w:rsidP="00012502">
      <w:pPr>
        <w:bidi/>
        <w:rPr>
          <w:rFonts w:ascii="Narkisim" w:hAnsi="Narkisim" w:cs="Narkisim"/>
        </w:rPr>
      </w:pPr>
      <w:r w:rsidRPr="00012502">
        <w:rPr>
          <w:rFonts w:ascii="Narkisim" w:hAnsi="Narkisim" w:cs="Narkisim"/>
          <w:u w:val="single"/>
          <w:rtl/>
        </w:rPr>
        <w:t>בא"ד ול"ל דהולד כשר דבתר עכו"ם ועבד שדינן ליה.</w:t>
      </w:r>
      <w:r w:rsidRPr="00012502">
        <w:rPr>
          <w:rFonts w:ascii="Narkisim" w:hAnsi="Narkisim" w:cs="Narkisim"/>
          <w:rtl/>
        </w:rPr>
        <w:t xml:space="preserve"> מבואר בתוס' דלמ"ד הולד כשר, היינו עכו"ם כשר. ולמ"ד הולד ממזר הוה ישראל. וכ"כ </w:t>
      </w:r>
      <w:r w:rsidRPr="00012502">
        <w:rPr>
          <w:rFonts w:ascii="Narkisim" w:hAnsi="Narkisim" w:cs="Narkisim"/>
          <w:b/>
          <w:bCs/>
          <w:rtl/>
        </w:rPr>
        <w:t>תוס</w:t>
      </w:r>
      <w:r w:rsidRPr="00012502">
        <w:rPr>
          <w:rFonts w:ascii="Narkisim" w:hAnsi="Narkisim" w:cs="Narkisim"/>
          <w:rtl/>
        </w:rPr>
        <w:t xml:space="preserve">' (קידושין עה:) ע"פ דברי </w:t>
      </w:r>
      <w:r w:rsidRPr="00012502">
        <w:rPr>
          <w:rFonts w:ascii="Narkisim" w:hAnsi="Narkisim" w:cs="Narkisim"/>
          <w:b/>
          <w:bCs/>
          <w:rtl/>
        </w:rPr>
        <w:t>רש"י</w:t>
      </w:r>
      <w:r w:rsidRPr="00012502">
        <w:rPr>
          <w:rStyle w:val="ac"/>
          <w:rFonts w:ascii="Narkisim" w:hAnsi="Narkisim" w:cs="Narkisim"/>
          <w:rtl/>
        </w:rPr>
        <w:footnoteReference w:id="933"/>
      </w:r>
      <w:r w:rsidRPr="00012502">
        <w:rPr>
          <w:rFonts w:ascii="Narkisim" w:hAnsi="Narkisim" w:cs="Narkisim"/>
          <w:rtl/>
        </w:rPr>
        <w:t xml:space="preserve">, וכ"כ </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Cs w:val="20"/>
          <w:rtl/>
        </w:rPr>
        <w:t>(לקמן כג.</w:t>
      </w:r>
      <w:r w:rsidRPr="00012502">
        <w:rPr>
          <w:rFonts w:ascii="Narkisim" w:hAnsi="Narkisim" w:cs="Narkisim"/>
          <w:rtl/>
        </w:rPr>
        <w:t xml:space="preserve"> </w:t>
      </w:r>
      <w:r w:rsidRPr="00012502">
        <w:rPr>
          <w:rFonts w:ascii="Narkisim" w:hAnsi="Narkisim" w:cs="Narkisim"/>
          <w:sz w:val="20"/>
          <w:szCs w:val="20"/>
          <w:rtl/>
        </w:rPr>
        <w:t>ד“ה קסבר)</w:t>
      </w:r>
      <w:r w:rsidRPr="00012502">
        <w:rPr>
          <w:rStyle w:val="ac"/>
          <w:rFonts w:ascii="Narkisim" w:hAnsi="Narkisim" w:cs="Narkisim"/>
          <w:sz w:val="20"/>
          <w:szCs w:val="20"/>
          <w:rtl/>
        </w:rPr>
        <w:footnoteReference w:id="934"/>
      </w:r>
      <w:r w:rsidRPr="00012502">
        <w:rPr>
          <w:rFonts w:ascii="Narkisim" w:hAnsi="Narkisim" w:cs="Narkisim"/>
          <w:sz w:val="20"/>
          <w:szCs w:val="20"/>
          <w:rtl/>
        </w:rPr>
        <w:t xml:space="preserve"> [אבל דעת </w:t>
      </w:r>
      <w:r w:rsidRPr="00012502">
        <w:rPr>
          <w:rFonts w:ascii="Narkisim" w:hAnsi="Narkisim" w:cs="Narkisim"/>
          <w:b/>
          <w:bCs/>
          <w:sz w:val="20"/>
          <w:szCs w:val="20"/>
          <w:rtl/>
        </w:rPr>
        <w:t>רש"י</w:t>
      </w:r>
      <w:r w:rsidRPr="00012502">
        <w:rPr>
          <w:rFonts w:ascii="Narkisim" w:hAnsi="Narkisim" w:cs="Narkisim"/>
          <w:sz w:val="20"/>
          <w:szCs w:val="20"/>
          <w:rtl/>
        </w:rPr>
        <w:t xml:space="preserve"> (לקמן</w:t>
      </w:r>
      <w:r w:rsidRPr="00012502">
        <w:rPr>
          <w:rFonts w:ascii="Narkisim" w:hAnsi="Narkisim" w:cs="Narkisim"/>
          <w:b/>
          <w:bCs/>
          <w:sz w:val="20"/>
          <w:szCs w:val="20"/>
          <w:rtl/>
        </w:rPr>
        <w:t xml:space="preserve"> </w:t>
      </w:r>
      <w:r w:rsidRPr="00012502">
        <w:rPr>
          <w:rFonts w:ascii="Narkisim" w:hAnsi="Narkisim" w:cs="Narkisim"/>
          <w:sz w:val="20"/>
          <w:szCs w:val="20"/>
          <w:rtl/>
        </w:rPr>
        <w:t>כג.) אינו כן]</w:t>
      </w:r>
      <w:r w:rsidRPr="00012502">
        <w:rPr>
          <w:rStyle w:val="ac"/>
          <w:rFonts w:ascii="Narkisim" w:hAnsi="Narkisim" w:cs="Narkisim"/>
          <w:sz w:val="20"/>
          <w:szCs w:val="20"/>
          <w:rtl/>
        </w:rPr>
        <w:footnoteReference w:id="935"/>
      </w:r>
      <w:r w:rsidRPr="00012502">
        <w:rPr>
          <w:rFonts w:ascii="Narkisim" w:hAnsi="Narkisim" w:cs="Narkisim"/>
          <w:sz w:val="20"/>
          <w:szCs w:val="20"/>
          <w:rtl/>
        </w:rPr>
        <w:t>.</w:t>
      </w:r>
    </w:p>
    <w:p w14:paraId="35849F77"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(שעה"מ איסו"ב טו) האריכו להקשות סתירות בזה. ועוד הקשו דבגמ' (בכורות מז.) איתא דולד לויה מעכו"ם פטור מפדיון הבן, ותיפו"ל דאינו ישראל כלל. וע' בסמוך.</w:t>
      </w:r>
    </w:p>
    <w:p w14:paraId="3BE67238" w14:textId="77777777" w:rsidR="00BE1D1C" w:rsidRPr="00012502" w:rsidRDefault="00000000" w:rsidP="00012502">
      <w:pPr>
        <w:pStyle w:val="a7"/>
        <w:bidi/>
        <w:rPr>
          <w:rFonts w:ascii="Narkisim" w:hAnsi="Narkisim"/>
        </w:rPr>
      </w:pPr>
      <w:r w:rsidRPr="00012502">
        <w:rPr>
          <w:rFonts w:ascii="Narkisim" w:hAnsi="Narkisim"/>
          <w:rtl/>
        </w:rPr>
        <w:t xml:space="preserve">אבל </w:t>
      </w:r>
      <w:r w:rsidRPr="00012502">
        <w:rPr>
          <w:rFonts w:ascii="Narkisim" w:hAnsi="Narkisim"/>
          <w:b/>
          <w:bCs/>
          <w:rtl/>
        </w:rPr>
        <w:t>תוס</w:t>
      </w:r>
      <w:r w:rsidRPr="00012502">
        <w:rPr>
          <w:rFonts w:ascii="Narkisim" w:hAnsi="Narkisim"/>
          <w:rtl/>
        </w:rPr>
        <w:t xml:space="preserve">' (קידושין הנ"ל בתחילת דבריהם) נקטו דהוה ישראל כשר, וכ"ד </w:t>
      </w:r>
      <w:r w:rsidRPr="00012502">
        <w:rPr>
          <w:rFonts w:ascii="Narkisim" w:hAnsi="Narkisim"/>
          <w:b/>
          <w:bCs/>
          <w:rtl/>
        </w:rPr>
        <w:t>תוס</w:t>
      </w:r>
      <w:r w:rsidRPr="00012502">
        <w:rPr>
          <w:rFonts w:ascii="Narkisim" w:hAnsi="Narkisim"/>
          <w:rtl/>
        </w:rPr>
        <w:t>' (נדה נו:) דבין למ"ד ממזר ובין למ"ד כשר, ישראל כשר הוא. וכ"ד ה</w:t>
      </w:r>
      <w:r w:rsidRPr="00012502">
        <w:rPr>
          <w:rFonts w:ascii="Narkisim" w:hAnsi="Narkisim"/>
          <w:b/>
          <w:bCs/>
          <w:rtl/>
        </w:rPr>
        <w:t>רמב"ם</w:t>
      </w:r>
      <w:r w:rsidRPr="00012502">
        <w:rPr>
          <w:rFonts w:ascii="Narkisim" w:hAnsi="Narkisim"/>
          <w:rtl/>
        </w:rPr>
        <w:t xml:space="preserve"> והפוסקים. [</w:t>
      </w:r>
      <w:r w:rsidRPr="00012502">
        <w:rPr>
          <w:rFonts w:ascii="Narkisim" w:hAnsi="Narkisim"/>
          <w:sz w:val="20"/>
          <w:szCs w:val="20"/>
          <w:rtl/>
        </w:rPr>
        <w:t>וע"ע מש"כ בזה בתוס' ד"ה עכו"ם].</w:t>
      </w:r>
    </w:p>
    <w:p w14:paraId="12B8ADF5"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(חי' ר' ראובן) חקרו לתוס' האם הולד נחשב עכו"ם משום דשדינן אותו בתר אמו, מדין הולד הולך אחר הפגום (כדאי' קידושין סז: ולקמן עח:). והעכו"ם הוא הפגום</w:t>
      </w:r>
      <w:r w:rsidRPr="00012502">
        <w:rPr>
          <w:rStyle w:val="ac"/>
          <w:rFonts w:ascii="Narkisim" w:hAnsi="Narkisim"/>
          <w:rtl/>
        </w:rPr>
        <w:footnoteReference w:id="936"/>
      </w:r>
      <w:r w:rsidRPr="00012502">
        <w:rPr>
          <w:rFonts w:ascii="Narkisim" w:hAnsi="Narkisim"/>
          <w:rtl/>
        </w:rPr>
        <w:t xml:space="preserve"> (וכ"כ ה</w:t>
      </w:r>
      <w:r w:rsidRPr="00012502">
        <w:rPr>
          <w:rFonts w:ascii="Narkisim" w:hAnsi="Narkisim"/>
          <w:b/>
          <w:bCs/>
          <w:rtl/>
        </w:rPr>
        <w:t>אבנ"מ</w:t>
      </w:r>
      <w:r w:rsidRPr="00012502">
        <w:rPr>
          <w:rFonts w:ascii="Narkisim" w:hAnsi="Narkisim"/>
          <w:rtl/>
        </w:rPr>
        <w:t xml:space="preserve"> ד יב). או שנחשב עכו"ם מחמת העדר, שצריך אב מישראל להתקדש בקדושת ישראל</w:t>
      </w:r>
      <w:r w:rsidRPr="00012502">
        <w:rPr>
          <w:rStyle w:val="ac"/>
          <w:rFonts w:ascii="Narkisim" w:hAnsi="Narkisim"/>
          <w:rtl/>
        </w:rPr>
        <w:footnoteReference w:id="937"/>
      </w:r>
      <w:r w:rsidRPr="00012502">
        <w:rPr>
          <w:rFonts w:ascii="Narkisim" w:hAnsi="Narkisim"/>
          <w:rtl/>
        </w:rPr>
        <w:t>.</w:t>
      </w:r>
      <w:r w:rsidRPr="00012502">
        <w:rPr>
          <w:rFonts w:ascii="Narkisim" w:hAnsi="Narkisim"/>
          <w:sz w:val="20"/>
          <w:szCs w:val="20"/>
          <w:rtl/>
        </w:rPr>
        <w:t xml:space="preserve"> [וצ"ב א"כ במה פליג מ"ד דהוה ממזר, ובמה תלי גדרי ממזרות בהא דיש בו קדושה מחמת אביו. וצ"ל דשורש המח' אי הוה ישראל, וממילא יתכן דהוה ממזר. דל"ש עכו"ם ממזר. ע' קידושין סט.].</w:t>
      </w:r>
    </w:p>
    <w:p w14:paraId="51F63ACA"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אמר"מ</w:t>
      </w:r>
      <w:r w:rsidRPr="00012502">
        <w:rPr>
          <w:rFonts w:ascii="Narkisim" w:hAnsi="Narkisim"/>
          <w:rtl/>
        </w:rPr>
        <w:t xml:space="preserve"> (כז בתחילתו) כתב דכוונת התוס' דיש לו צד עכו"ם וצד ישראלות [וכעין מש"כ התוס' רי"ד למ"ד הולד ממזר], אך שוב הביא דבתוס' מבואר דאין טומאה לכתמים, וכן אין קידושיו קידושין. ומבואר דאינו ישראל </w:t>
      </w:r>
      <w:r w:rsidRPr="00012502">
        <w:rPr>
          <w:rFonts w:ascii="Narkisim" w:hAnsi="Narkisim"/>
          <w:rtl/>
        </w:rPr>
        <w:lastRenderedPageBreak/>
        <w:t>כלל.</w:t>
      </w:r>
    </w:p>
    <w:p w14:paraId="6E3A265B" w14:textId="77777777" w:rsidR="00BE1D1C" w:rsidRPr="00012502" w:rsidRDefault="00000000" w:rsidP="00012502">
      <w:pPr>
        <w:bidi/>
        <w:rPr>
          <w:rFonts w:ascii="Narkisim" w:hAnsi="Narkisim" w:cs="Narkisim"/>
        </w:rPr>
      </w:pPr>
      <w:r w:rsidRPr="00012502">
        <w:rPr>
          <w:rFonts w:ascii="Narkisim" w:hAnsi="Narkisim" w:cs="Narkisim"/>
          <w:u w:val="single"/>
          <w:rtl/>
        </w:rPr>
        <w:t>שם. ועבד.</w:t>
      </w:r>
      <w:r w:rsidRPr="00012502">
        <w:rPr>
          <w:rFonts w:ascii="Narkisim" w:hAnsi="Narkisim" w:cs="Narkisim"/>
          <w:rtl/>
        </w:rPr>
        <w:t xml:space="preserve"> ה</w:t>
      </w:r>
      <w:r w:rsidRPr="00012502">
        <w:rPr>
          <w:rFonts w:ascii="Narkisim" w:hAnsi="Narkisim" w:cs="Narkisim"/>
          <w:b/>
          <w:bCs/>
          <w:rtl/>
        </w:rPr>
        <w:t xml:space="preserve">מהרש"ל </w:t>
      </w:r>
      <w:r w:rsidRPr="00012502">
        <w:rPr>
          <w:rFonts w:ascii="Narkisim" w:hAnsi="Narkisim" w:cs="Narkisim"/>
          <w:rtl/>
        </w:rPr>
        <w:t xml:space="preserve">כת' דעבד לאו דוקא, דלא מצינו שתהא עבד מבת ישראל. </w:t>
      </w:r>
      <w:r w:rsidRPr="00012502">
        <w:rPr>
          <w:rFonts w:ascii="Narkisim" w:hAnsi="Narkisim" w:cs="Narkisim"/>
          <w:sz w:val="20"/>
          <w:szCs w:val="20"/>
          <w:rtl/>
        </w:rPr>
        <w:t>[וה</w:t>
      </w:r>
      <w:r w:rsidRPr="00012502">
        <w:rPr>
          <w:rFonts w:ascii="Narkisim" w:hAnsi="Narkisim" w:cs="Narkisim"/>
          <w:b/>
          <w:bCs/>
          <w:sz w:val="20"/>
          <w:szCs w:val="20"/>
          <w:rtl/>
        </w:rPr>
        <w:t>אחרונים</w:t>
      </w:r>
      <w:r w:rsidRPr="00012502">
        <w:rPr>
          <w:rFonts w:ascii="Narkisim" w:hAnsi="Narkisim" w:cs="Narkisim"/>
          <w:sz w:val="20"/>
          <w:szCs w:val="20"/>
          <w:rtl/>
        </w:rPr>
        <w:t xml:space="preserve"> ביארו דכוונתו להקשות דלא יתכן בעלות לאדון בגוף ישראלית]</w:t>
      </w:r>
      <w:r w:rsidRPr="00012502">
        <w:rPr>
          <w:rFonts w:ascii="Narkisim" w:hAnsi="Narkisim" w:cs="Narkisim"/>
          <w:rtl/>
        </w:rPr>
        <w:t>. והמהרש"ל כת' דכוונת התוס' דדינו כעכו"ם</w:t>
      </w:r>
      <w:r w:rsidRPr="00012502">
        <w:rPr>
          <w:rStyle w:val="ac"/>
          <w:rFonts w:ascii="Narkisim" w:hAnsi="Narkisim" w:cs="Narkisim"/>
          <w:rtl/>
        </w:rPr>
        <w:footnoteReference w:id="938"/>
      </w:r>
      <w:r w:rsidRPr="00012502">
        <w:rPr>
          <w:rFonts w:ascii="Narkisim" w:hAnsi="Narkisim" w:cs="Narkisim"/>
          <w:rtl/>
        </w:rPr>
        <w:t xml:space="preserve">. </w:t>
      </w:r>
      <w:r w:rsidRPr="00012502">
        <w:rPr>
          <w:rFonts w:ascii="Narkisim" w:hAnsi="Narkisim" w:cs="Narkisim"/>
          <w:sz w:val="20"/>
          <w:szCs w:val="20"/>
          <w:rtl/>
        </w:rPr>
        <w:t>ומבואר כוונתו דעבד הבא על בת ישראל הולד עכו"ם, דחסר לו שם ישראל. [וע' בסמוך].</w:t>
      </w:r>
    </w:p>
    <w:p w14:paraId="47DE5C22"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אחרונים</w:t>
      </w:r>
      <w:r w:rsidRPr="00012502">
        <w:rPr>
          <w:rFonts w:ascii="Narkisim" w:hAnsi="Narkisim" w:cs="Narkisim"/>
          <w:rtl/>
        </w:rPr>
        <w:t xml:space="preserve"> הק' ד</w:t>
      </w:r>
      <w:r w:rsidRPr="00012502">
        <w:rPr>
          <w:rFonts w:ascii="Narkisim" w:hAnsi="Narkisim" w:cs="Narkisim"/>
          <w:b/>
          <w:bCs/>
          <w:rtl/>
        </w:rPr>
        <w:t>תוס</w:t>
      </w:r>
      <w:r w:rsidRPr="00012502">
        <w:rPr>
          <w:rFonts w:ascii="Narkisim" w:hAnsi="Narkisim" w:cs="Narkisim"/>
          <w:rtl/>
        </w:rPr>
        <w:t xml:space="preserve">' </w:t>
      </w:r>
      <w:r w:rsidRPr="00012502">
        <w:rPr>
          <w:rFonts w:ascii="Narkisim" w:hAnsi="Narkisim" w:cs="Narkisim"/>
          <w:szCs w:val="20"/>
          <w:rtl/>
        </w:rPr>
        <w:t>(לקמן מה:, וכן ב"ב ג:)</w:t>
      </w:r>
      <w:r w:rsidRPr="00012502">
        <w:rPr>
          <w:rFonts w:ascii="Narkisim" w:hAnsi="Narkisim" w:cs="Narkisim"/>
          <w:rtl/>
        </w:rPr>
        <w:t xml:space="preserve"> מבואר [גבי הורדוס] דעבד שנשא ישראלית למ"ד הולד כשר, היינו ישראל כשר</w:t>
      </w:r>
      <w:r w:rsidRPr="00012502">
        <w:rPr>
          <w:rStyle w:val="ac"/>
          <w:rFonts w:ascii="Narkisim" w:hAnsi="Narkisim" w:cs="Narkisim"/>
          <w:rtl/>
        </w:rPr>
        <w:footnoteReference w:id="939"/>
      </w:r>
      <w:r w:rsidRPr="00012502">
        <w:rPr>
          <w:rFonts w:ascii="Narkisim" w:hAnsi="Narkisim" w:cs="Narkisim"/>
          <w:rtl/>
        </w:rPr>
        <w:t>. וסתרו למש"כ כאן דלמ"ד הולד כשר הוה עבד [או עכו"ם למהרש"ל], דא"כ שפיר קרי להו עבדים.</w:t>
      </w:r>
    </w:p>
    <w:p w14:paraId="38814D8F"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נתיבות</w:t>
      </w:r>
      <w:r w:rsidRPr="00012502">
        <w:rPr>
          <w:rFonts w:ascii="Narkisim" w:hAnsi="Narkisim"/>
          <w:sz w:val="20"/>
          <w:szCs w:val="20"/>
          <w:rtl/>
        </w:rPr>
        <w:t xml:space="preserve"> (בשו"ת חמד"ש ב והו' בפתח"ת ד א, וכ"כ ב</w:t>
      </w:r>
      <w:r w:rsidRPr="00012502">
        <w:rPr>
          <w:rFonts w:ascii="Narkisim" w:hAnsi="Narkisim"/>
          <w:b/>
          <w:bCs/>
          <w:sz w:val="20"/>
          <w:szCs w:val="20"/>
          <w:rtl/>
        </w:rPr>
        <w:t>קוב"ש</w:t>
      </w:r>
      <w:r w:rsidRPr="00012502">
        <w:rPr>
          <w:rFonts w:ascii="Narkisim" w:hAnsi="Narkisim"/>
          <w:sz w:val="20"/>
          <w:szCs w:val="20"/>
          <w:rtl/>
        </w:rPr>
        <w:t xml:space="preserve"> ב"ב שם)</w:t>
      </w:r>
      <w:r w:rsidRPr="00012502">
        <w:rPr>
          <w:rFonts w:ascii="Narkisim" w:hAnsi="Narkisim"/>
          <w:rtl/>
        </w:rPr>
        <w:t xml:space="preserve"> חילק דבעבד לכו"ע הולד הוה ישראל, דעבד אין לו יחס [ולכן ל"ש לומר שדינן בתריה]. וה</w:t>
      </w:r>
      <w:r w:rsidRPr="00012502">
        <w:rPr>
          <w:rFonts w:ascii="Narkisim" w:hAnsi="Narkisim"/>
          <w:b/>
          <w:bCs/>
          <w:rtl/>
        </w:rPr>
        <w:t>או"ש</w:t>
      </w:r>
      <w:r w:rsidRPr="00012502">
        <w:rPr>
          <w:rFonts w:ascii="Narkisim" w:hAnsi="Narkisim"/>
          <w:rtl/>
        </w:rPr>
        <w:t xml:space="preserve"> כת' דכיון דל"ש שהולד יהא שייך בממונות לאדון [וכסברת המהרש"ל], ממילא ע"כ שדינן בתרה, והוה ישראל כשר. [ומש"כ תוס' דידן 'ועבד' לאו דוקא. וצ"ע].</w:t>
      </w:r>
    </w:p>
    <w:p w14:paraId="53892C2F" w14:textId="77777777" w:rsidR="00BE1D1C" w:rsidRPr="00012502" w:rsidRDefault="00000000" w:rsidP="00012502">
      <w:pPr>
        <w:bidi/>
        <w:rPr>
          <w:rFonts w:ascii="Narkisim" w:hAnsi="Narkisim" w:cs="Narkisim"/>
        </w:rPr>
      </w:pPr>
      <w:r w:rsidRPr="00012502">
        <w:rPr>
          <w:rFonts w:ascii="Narkisim" w:hAnsi="Narkisim" w:cs="Narkisim"/>
          <w:rtl/>
        </w:rPr>
        <w:t>ועוד כת' ה</w:t>
      </w:r>
      <w:r w:rsidRPr="00012502">
        <w:rPr>
          <w:rFonts w:ascii="Narkisim" w:hAnsi="Narkisim" w:cs="Narkisim"/>
          <w:b/>
          <w:bCs/>
          <w:rtl/>
        </w:rPr>
        <w:t>נתיבות</w:t>
      </w:r>
      <w:r w:rsidRPr="00012502">
        <w:rPr>
          <w:rFonts w:ascii="Narkisim" w:hAnsi="Narkisim" w:cs="Narkisim"/>
          <w:rtl/>
        </w:rPr>
        <w:t xml:space="preserve"> (שם) דאף למ"ד דהולד צריך טבילה, מ"מ לאחר שנתגייר מתייחס אחר אמו</w:t>
      </w:r>
      <w:r w:rsidRPr="00012502">
        <w:rPr>
          <w:rStyle w:val="ac"/>
          <w:rFonts w:ascii="Narkisim" w:hAnsi="Narkisim" w:cs="Narkisim"/>
          <w:rtl/>
        </w:rPr>
        <w:footnoteReference w:id="940"/>
      </w:r>
      <w:r w:rsidRPr="00012502">
        <w:rPr>
          <w:rFonts w:ascii="Narkisim" w:hAnsi="Narkisim" w:cs="Narkisim"/>
          <w:rtl/>
        </w:rPr>
        <w:t>. [ולא אמרי' דגר שנתגייר כקטן שנולד דמי]. וכת' די"ל דאף ה</w:t>
      </w:r>
      <w:r w:rsidRPr="00012502">
        <w:rPr>
          <w:rFonts w:ascii="Narkisim" w:hAnsi="Narkisim" w:cs="Narkisim"/>
          <w:b/>
          <w:bCs/>
          <w:rtl/>
        </w:rPr>
        <w:t>ראשונים</w:t>
      </w:r>
      <w:r w:rsidRPr="00012502">
        <w:rPr>
          <w:rFonts w:ascii="Narkisim" w:hAnsi="Narkisim" w:cs="Narkisim"/>
          <w:rtl/>
        </w:rPr>
        <w:t xml:space="preserve"> שכתבו דהוה ישראל, כוונתם לאחר שנתגייר. דלא נחשב גר</w:t>
      </w:r>
      <w:r w:rsidRPr="00012502">
        <w:rPr>
          <w:rStyle w:val="ac"/>
          <w:rFonts w:ascii="Narkisim" w:hAnsi="Narkisim" w:cs="Narkisim"/>
          <w:rtl/>
        </w:rPr>
        <w:footnoteReference w:id="941"/>
      </w:r>
      <w:r w:rsidRPr="00012502">
        <w:rPr>
          <w:rFonts w:ascii="Narkisim" w:hAnsi="Narkisim" w:cs="Narkisim"/>
          <w:rtl/>
        </w:rPr>
        <w:t>.</w:t>
      </w:r>
    </w:p>
    <w:p w14:paraId="5070DA9E"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גרנ"ט</w:t>
      </w:r>
      <w:r w:rsidRPr="00012502">
        <w:rPr>
          <w:rFonts w:ascii="Narkisim" w:hAnsi="Narkisim"/>
          <w:rtl/>
        </w:rPr>
        <w:t xml:space="preserve"> (יא) ביאר דחסר לו בקדושת ישראל, דבעי קידוש ע"י אביו [ולכן אינו חייב במצוות]. אבל כיון דנולד מאמו ממילא שייך לאומה של ישראל </w:t>
      </w:r>
      <w:r w:rsidRPr="00012502">
        <w:rPr>
          <w:rFonts w:ascii="Narkisim" w:hAnsi="Narkisim"/>
          <w:sz w:val="20"/>
          <w:szCs w:val="20"/>
          <w:rtl/>
        </w:rPr>
        <w:t>[דומיא דמעוברת שנתגיירה, לצד דהעובר חסר עדיין קבלת מצוות]</w:t>
      </w:r>
      <w:r w:rsidRPr="00012502">
        <w:rPr>
          <w:rFonts w:ascii="Narkisim" w:hAnsi="Narkisim"/>
          <w:rtl/>
        </w:rPr>
        <w:t>. אבל אחרי שמתגייר דינו כישראל, ולא כגר</w:t>
      </w:r>
      <w:r w:rsidRPr="00012502">
        <w:rPr>
          <w:rStyle w:val="ac"/>
          <w:rFonts w:ascii="Narkisim" w:hAnsi="Narkisim"/>
          <w:rtl/>
        </w:rPr>
        <w:footnoteReference w:id="942"/>
      </w:r>
      <w:r w:rsidRPr="00012502">
        <w:rPr>
          <w:rFonts w:ascii="Narkisim" w:hAnsi="Narkisim"/>
          <w:rtl/>
        </w:rPr>
        <w:t xml:space="preserve">. </w:t>
      </w:r>
      <w:r w:rsidRPr="00012502">
        <w:rPr>
          <w:rFonts w:ascii="Narkisim" w:hAnsi="Narkisim"/>
          <w:sz w:val="20"/>
          <w:szCs w:val="20"/>
          <w:rtl/>
        </w:rPr>
        <w:t>[ויישב בזה דשייך בו פדיון הבן, דתליא בלידה, ולא מדין חיוב עליו].</w:t>
      </w:r>
    </w:p>
    <w:p w14:paraId="147FCD8C"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מהרי"ט אלגאזי</w:t>
      </w:r>
      <w:r w:rsidRPr="00012502">
        <w:rPr>
          <w:rFonts w:ascii="Narkisim" w:hAnsi="Narkisim" w:cs="Narkisim"/>
          <w:rtl/>
        </w:rPr>
        <w:t xml:space="preserve"> </w:t>
      </w:r>
      <w:r w:rsidRPr="00012502">
        <w:rPr>
          <w:rFonts w:ascii="Narkisim" w:hAnsi="Narkisim" w:cs="Narkisim"/>
          <w:szCs w:val="20"/>
          <w:rtl/>
        </w:rPr>
        <w:t>(הל' בכורות ח סה נו. בדה"ס</w:t>
      </w:r>
      <w:r w:rsidRPr="00012502">
        <w:rPr>
          <w:rFonts w:ascii="Narkisim" w:hAnsi="Narkisim" w:cs="Narkisim"/>
          <w:rtl/>
        </w:rPr>
        <w:t>) כת' חידוש גדול דמש"כ תוס' דהולד עכו"ם, היינו דוקא כשנתגדל בין העכו"ם, דכיון דיש בו צד ישראלות וצד עכו"ם, אם נתגדל במנהג ישראל דינו כישראל משעת לידה, ואי"צ גירות. ותליא בסוף איך מתנהג נחשב מתחילה</w:t>
      </w:r>
      <w:r w:rsidRPr="00012502">
        <w:rPr>
          <w:rStyle w:val="ac"/>
          <w:rFonts w:ascii="Narkisim" w:hAnsi="Narkisim" w:cs="Narkisim"/>
          <w:rtl/>
        </w:rPr>
        <w:footnoteReference w:id="943"/>
      </w:r>
      <w:r w:rsidRPr="00012502">
        <w:rPr>
          <w:rFonts w:ascii="Narkisim" w:hAnsi="Narkisim" w:cs="Narkisim"/>
          <w:rtl/>
        </w:rPr>
        <w:t xml:space="preserve">. </w:t>
      </w:r>
      <w:r w:rsidRPr="00012502">
        <w:rPr>
          <w:rFonts w:ascii="Narkisim" w:hAnsi="Narkisim" w:cs="Narkisim"/>
          <w:sz w:val="20"/>
          <w:szCs w:val="20"/>
          <w:rtl/>
        </w:rPr>
        <w:t>וה</w:t>
      </w:r>
      <w:r w:rsidRPr="00012502">
        <w:rPr>
          <w:rFonts w:ascii="Narkisim" w:hAnsi="Narkisim" w:cs="Narkisim"/>
          <w:b/>
          <w:bCs/>
          <w:sz w:val="20"/>
          <w:szCs w:val="20"/>
          <w:rtl/>
        </w:rPr>
        <w:t>אבי עזרי</w:t>
      </w:r>
      <w:r w:rsidRPr="00012502">
        <w:rPr>
          <w:rFonts w:ascii="Narkisim" w:hAnsi="Narkisim" w:cs="Narkisim"/>
          <w:sz w:val="20"/>
          <w:szCs w:val="20"/>
          <w:rtl/>
        </w:rPr>
        <w:t xml:space="preserve"> (איסו"ב טו ג) כתב ישתקע הדבר ולא יאמר, דאין לזה מקור וגדר בהלכה.</w:t>
      </w:r>
    </w:p>
    <w:p w14:paraId="05FD27CA" w14:textId="77777777" w:rsidR="00BE1D1C" w:rsidRPr="00012502" w:rsidRDefault="00000000" w:rsidP="00012502">
      <w:pPr>
        <w:bidi/>
        <w:rPr>
          <w:rFonts w:ascii="Narkisim" w:hAnsi="Narkisim" w:cs="Narkisim"/>
        </w:rPr>
      </w:pPr>
      <w:r w:rsidRPr="00012502">
        <w:rPr>
          <w:rFonts w:ascii="Narkisim" w:hAnsi="Narkisim" w:cs="Narkisim"/>
          <w:u w:val="single"/>
          <w:rtl/>
        </w:rPr>
        <w:t>תוד"ה בשלמא.</w:t>
      </w:r>
      <w:r w:rsidRPr="00012502">
        <w:rPr>
          <w:rFonts w:ascii="Narkisim" w:hAnsi="Narkisim" w:cs="Narkisim"/>
          <w:rtl/>
        </w:rPr>
        <w:t xml:space="preserve"> דעבדים אסורין בישראלית. בפשוטו משמע דבעבד הבא על בת ישראל, הולד עבד, ואסור בישראלית </w:t>
      </w:r>
      <w:r w:rsidRPr="00012502">
        <w:rPr>
          <w:rFonts w:ascii="Narkisim" w:hAnsi="Narkisim" w:cs="Narkisim"/>
          <w:sz w:val="20"/>
          <w:szCs w:val="20"/>
          <w:rtl/>
        </w:rPr>
        <w:t>[וכ"כ במהד"ב ל</w:t>
      </w:r>
      <w:r w:rsidRPr="00012502">
        <w:rPr>
          <w:rFonts w:ascii="Narkisim" w:hAnsi="Narkisim" w:cs="Narkisim"/>
          <w:b/>
          <w:bCs/>
          <w:sz w:val="20"/>
          <w:szCs w:val="20"/>
          <w:rtl/>
        </w:rPr>
        <w:t>מהרש"א</w:t>
      </w:r>
      <w:r w:rsidRPr="00012502">
        <w:rPr>
          <w:rFonts w:ascii="Narkisim" w:hAnsi="Narkisim" w:cs="Narkisim"/>
          <w:sz w:val="20"/>
          <w:szCs w:val="20"/>
          <w:rtl/>
        </w:rPr>
        <w:t>]</w:t>
      </w:r>
      <w:r w:rsidRPr="00012502">
        <w:rPr>
          <w:rFonts w:ascii="Narkisim" w:hAnsi="Narkisim" w:cs="Narkisim"/>
          <w:rtl/>
        </w:rPr>
        <w:t xml:space="preserve">. </w:t>
      </w:r>
      <w:r w:rsidRPr="00012502">
        <w:rPr>
          <w:rFonts w:ascii="Narkisim" w:hAnsi="Narkisim" w:cs="Narkisim"/>
          <w:sz w:val="20"/>
          <w:szCs w:val="20"/>
          <w:rtl/>
        </w:rPr>
        <w:t>וה</w:t>
      </w:r>
      <w:r w:rsidRPr="00012502">
        <w:rPr>
          <w:rFonts w:ascii="Narkisim" w:hAnsi="Narkisim" w:cs="Narkisim"/>
          <w:b/>
          <w:bCs/>
          <w:sz w:val="20"/>
          <w:szCs w:val="20"/>
          <w:rtl/>
        </w:rPr>
        <w:t>אחרונים</w:t>
      </w:r>
      <w:r w:rsidRPr="00012502">
        <w:rPr>
          <w:rFonts w:ascii="Narkisim" w:hAnsi="Narkisim" w:cs="Narkisim"/>
          <w:sz w:val="20"/>
          <w:szCs w:val="20"/>
          <w:rtl/>
        </w:rPr>
        <w:t xml:space="preserve"> דנו האם הבן קנוי לאדון [מחמת אביו] או דהוה רק פגם ואיסור עבדות</w:t>
      </w:r>
      <w:r w:rsidRPr="00012502">
        <w:rPr>
          <w:rStyle w:val="ac"/>
          <w:rFonts w:ascii="Narkisim" w:hAnsi="Narkisim" w:cs="Narkisim"/>
          <w:sz w:val="20"/>
          <w:szCs w:val="20"/>
          <w:rtl/>
        </w:rPr>
        <w:footnoteReference w:id="944"/>
      </w:r>
      <w:r w:rsidRPr="00012502">
        <w:rPr>
          <w:rFonts w:ascii="Narkisim" w:hAnsi="Narkisim" w:cs="Narkisim"/>
          <w:rtl/>
        </w:rPr>
        <w:t>. אבל ה</w:t>
      </w:r>
      <w:r w:rsidRPr="00012502">
        <w:rPr>
          <w:rFonts w:ascii="Narkisim" w:hAnsi="Narkisim" w:cs="Narkisim"/>
          <w:b/>
          <w:bCs/>
          <w:rtl/>
        </w:rPr>
        <w:t xml:space="preserve">מהרש"ל </w:t>
      </w:r>
      <w:r w:rsidRPr="00012502">
        <w:rPr>
          <w:rFonts w:ascii="Narkisim" w:hAnsi="Narkisim" w:cs="Narkisim"/>
          <w:rtl/>
        </w:rPr>
        <w:t>כת' דכוונת התוס' להק' דלא נשאו ישראליות. וכ"כ ה</w:t>
      </w:r>
      <w:r w:rsidRPr="00012502">
        <w:rPr>
          <w:rFonts w:ascii="Narkisim" w:hAnsi="Narkisim" w:cs="Narkisim"/>
          <w:b/>
          <w:bCs/>
          <w:rtl/>
        </w:rPr>
        <w:t>תוס' הרא"ש</w:t>
      </w:r>
      <w:r w:rsidRPr="00012502">
        <w:rPr>
          <w:rFonts w:ascii="Narkisim" w:hAnsi="Narkisim" w:cs="Narkisim"/>
          <w:rtl/>
        </w:rPr>
        <w:t xml:space="preserve">. </w:t>
      </w:r>
      <w:r w:rsidRPr="00012502">
        <w:rPr>
          <w:rFonts w:ascii="Narkisim" w:hAnsi="Narkisim" w:cs="Narkisim"/>
          <w:sz w:val="20"/>
          <w:szCs w:val="20"/>
          <w:rtl/>
        </w:rPr>
        <w:t>[ומשמע דנשאו לנכרי. ולפ"ז מבואר דעבד שנשא עכו"ם הולד עבד, ולא אמרי' דאין לו חייס].</w:t>
      </w:r>
    </w:p>
    <w:p w14:paraId="5BEC1F23" w14:textId="77777777" w:rsidR="00BE1D1C" w:rsidRPr="00012502" w:rsidRDefault="00000000" w:rsidP="00012502">
      <w:pPr>
        <w:bidi/>
        <w:rPr>
          <w:rFonts w:ascii="Narkisim" w:hAnsi="Narkisim" w:cs="Narkisim"/>
        </w:rPr>
      </w:pPr>
      <w:r w:rsidRPr="00012502">
        <w:rPr>
          <w:rFonts w:ascii="Narkisim" w:hAnsi="Narkisim" w:cs="Narkisim"/>
          <w:u w:val="single"/>
          <w:rtl/>
        </w:rPr>
        <w:t>בא"ד וי"ל דמסתמא נתייאשו הבעלים וכו'.</w:t>
      </w:r>
      <w:r w:rsidRPr="00012502">
        <w:rPr>
          <w:rFonts w:ascii="Narkisim" w:hAnsi="Narkisim" w:cs="Narkisim"/>
          <w:rtl/>
        </w:rPr>
        <w:t xml:space="preserve"> ה</w:t>
      </w:r>
      <w:r w:rsidRPr="00012502">
        <w:rPr>
          <w:rFonts w:ascii="Narkisim" w:hAnsi="Narkisim" w:cs="Narkisim"/>
          <w:b/>
          <w:bCs/>
          <w:rtl/>
        </w:rPr>
        <w:t>מהר"ם</w:t>
      </w:r>
      <w:r w:rsidRPr="00012502">
        <w:rPr>
          <w:rFonts w:ascii="Narkisim" w:hAnsi="Narkisim" w:cs="Narkisim"/>
          <w:rtl/>
        </w:rPr>
        <w:t xml:space="preserve"> הק' דאם נתייאשו ואי"צ גט שחרור, א"כ לא הוי ממזר. וכתב דע"כ איירי בבנים שנולדו קודם. </w:t>
      </w:r>
      <w:r w:rsidRPr="00012502">
        <w:rPr>
          <w:rFonts w:ascii="Narkisim" w:hAnsi="Narkisim" w:cs="Narkisim"/>
          <w:sz w:val="20"/>
          <w:szCs w:val="20"/>
          <w:rtl/>
        </w:rPr>
        <w:t>וה</w:t>
      </w:r>
      <w:r w:rsidRPr="00012502">
        <w:rPr>
          <w:rFonts w:ascii="Narkisim" w:hAnsi="Narkisim" w:cs="Narkisim"/>
          <w:b/>
          <w:bCs/>
          <w:sz w:val="20"/>
          <w:szCs w:val="20"/>
          <w:rtl/>
        </w:rPr>
        <w:t>קובה"ע</w:t>
      </w:r>
      <w:r w:rsidRPr="00012502">
        <w:rPr>
          <w:rFonts w:ascii="Narkisim" w:hAnsi="Narkisim" w:cs="Narkisim"/>
          <w:sz w:val="20"/>
          <w:szCs w:val="20"/>
          <w:rtl/>
        </w:rPr>
        <w:t xml:space="preserve"> (כ א) תי' דמ"מ בעי טבילה לדעת </w:t>
      </w:r>
      <w:r w:rsidRPr="00012502">
        <w:rPr>
          <w:rFonts w:ascii="Narkisim" w:hAnsi="Narkisim" w:cs="Narkisim"/>
          <w:b/>
          <w:bCs/>
          <w:sz w:val="20"/>
          <w:szCs w:val="20"/>
          <w:rtl/>
        </w:rPr>
        <w:t>תוס</w:t>
      </w:r>
      <w:r w:rsidRPr="00012502">
        <w:rPr>
          <w:rFonts w:ascii="Narkisim" w:hAnsi="Narkisim" w:cs="Narkisim"/>
          <w:sz w:val="20"/>
          <w:szCs w:val="20"/>
          <w:rtl/>
        </w:rPr>
        <w:t>' (לקמן מז: ועי"ש), ולא תפסי קידושין.</w:t>
      </w:r>
      <w:r w:rsidRPr="00012502">
        <w:rPr>
          <w:rFonts w:ascii="Narkisim" w:hAnsi="Narkisim" w:cs="Narkisim"/>
          <w:rtl/>
        </w:rPr>
        <w:t xml:space="preserve"> </w:t>
      </w:r>
      <w:r w:rsidRPr="00012502">
        <w:rPr>
          <w:rFonts w:ascii="Narkisim" w:hAnsi="Narkisim" w:cs="Narkisim"/>
          <w:sz w:val="20"/>
          <w:szCs w:val="20"/>
          <w:rtl/>
        </w:rPr>
        <w:t>ועפ"ז כת' דתליא בתי' תוס' בסמוך האם הוה ממזר מחמת איסור, או מחמת דלא תפסי קידושין.</w:t>
      </w:r>
    </w:p>
    <w:p w14:paraId="0C7368BF" w14:textId="77777777" w:rsidR="00BE1D1C" w:rsidRPr="00012502" w:rsidRDefault="00000000" w:rsidP="00012502">
      <w:pPr>
        <w:bidi/>
        <w:rPr>
          <w:rFonts w:ascii="Narkisim" w:hAnsi="Narkisim" w:cs="Narkisim"/>
        </w:rPr>
      </w:pPr>
      <w:r w:rsidRPr="00012502">
        <w:rPr>
          <w:rFonts w:ascii="Narkisim" w:hAnsi="Narkisim" w:cs="Narkisim"/>
          <w:rtl/>
        </w:rPr>
        <w:t>ה</w:t>
      </w:r>
      <w:r w:rsidRPr="00012502">
        <w:rPr>
          <w:rFonts w:ascii="Narkisim" w:hAnsi="Narkisim" w:cs="Narkisim"/>
          <w:b/>
          <w:bCs/>
          <w:rtl/>
        </w:rPr>
        <w:t>אחרונים</w:t>
      </w:r>
      <w:r w:rsidRPr="00012502">
        <w:rPr>
          <w:rFonts w:ascii="Narkisim" w:hAnsi="Narkisim" w:cs="Narkisim"/>
          <w:rtl/>
        </w:rPr>
        <w:t xml:space="preserve"> (חזו"א) העירו דדעת ר' יוחנן (גיטין לט:) דצריך גט שחרור. ומ"מ לא ניחא לגמ' לתרץ כן, דשמא סביא סבר דאי"צ גט שחרור. ועפ"ז כתבו דלמסקנא [ע' תוד"ה קסבר] דסבר ר' יוחנן דעכו"ם הבא על בת ישראל הולד כשר, היינו משום עבדי מלכים, דמעוכבים גט שחרור. וכן לרבא (יז.).</w:t>
      </w:r>
    </w:p>
    <w:p w14:paraId="4286117F" w14:textId="77777777" w:rsidR="00BE1D1C" w:rsidRPr="00012502" w:rsidRDefault="00000000" w:rsidP="00012502">
      <w:pPr>
        <w:pStyle w:val="aa"/>
        <w:bidi/>
        <w:rPr>
          <w:rFonts w:ascii="Narkisim" w:hAnsi="Narkisim"/>
        </w:rPr>
      </w:pPr>
      <w:r w:rsidRPr="00012502">
        <w:rPr>
          <w:rFonts w:ascii="Narkisim" w:hAnsi="Narkisim"/>
          <w:u w:val="single"/>
          <w:rtl/>
        </w:rPr>
        <w:t>תוד"ה קסבר.</w:t>
      </w:r>
      <w:r w:rsidRPr="00012502">
        <w:rPr>
          <w:rFonts w:ascii="Narkisim" w:hAnsi="Narkisim"/>
          <w:rtl/>
        </w:rPr>
        <w:t xml:space="preserve"> וסתם מתני' דהאומר (קידושין סו:) סברה דהולד כשר וכו'. צ"ב דבמשנה (שם) לא הוזכר עכו"ם </w:t>
      </w:r>
      <w:r w:rsidRPr="00012502">
        <w:rPr>
          <w:rFonts w:ascii="Narkisim" w:hAnsi="Narkisim"/>
          <w:rtl/>
        </w:rPr>
        <w:lastRenderedPageBreak/>
        <w:t>הבא על בת ישראל. ויש שפי' דכוונת התוס' דדמי לישראל הבא על עובדת כוכבים דסיפא דהתם</w:t>
      </w:r>
      <w:r w:rsidRPr="00012502">
        <w:rPr>
          <w:rStyle w:val="ac"/>
          <w:rFonts w:ascii="Narkisim" w:hAnsi="Narkisim"/>
          <w:rtl/>
        </w:rPr>
        <w:footnoteReference w:id="945"/>
      </w:r>
      <w:r w:rsidRPr="00012502">
        <w:rPr>
          <w:rFonts w:ascii="Narkisim" w:hAnsi="Narkisim"/>
          <w:rtl/>
        </w:rPr>
        <w:t>. וה</w:t>
      </w:r>
      <w:r w:rsidRPr="00012502">
        <w:rPr>
          <w:rFonts w:ascii="Narkisim" w:hAnsi="Narkisim"/>
          <w:b/>
          <w:bCs/>
          <w:rtl/>
        </w:rPr>
        <w:t xml:space="preserve">מרומי שדה </w:t>
      </w:r>
      <w:r w:rsidRPr="00012502">
        <w:rPr>
          <w:rFonts w:ascii="Narkisim" w:hAnsi="Narkisim"/>
          <w:rtl/>
        </w:rPr>
        <w:t xml:space="preserve">ביאר דכוונת התוס' לדייק דאי' דדוקא מי שאין לו עליו קידושין, ויש לאחרים קידושין הוה ממזר [דהיינו עריות]. וציין דעד"ז כת' </w:t>
      </w:r>
      <w:r w:rsidRPr="00012502">
        <w:rPr>
          <w:rFonts w:ascii="Narkisim" w:hAnsi="Narkisim"/>
          <w:b/>
          <w:bCs/>
          <w:rtl/>
        </w:rPr>
        <w:t>תוס'</w:t>
      </w:r>
      <w:r w:rsidRPr="00012502">
        <w:rPr>
          <w:rFonts w:ascii="Narkisim" w:hAnsi="Narkisim"/>
          <w:rtl/>
        </w:rPr>
        <w:t xml:space="preserve"> (קידושין עה: ד"ה שאין).</w:t>
      </w:r>
    </w:p>
    <w:p w14:paraId="2C5A1220" w14:textId="77777777" w:rsidR="00BE1D1C" w:rsidRPr="00012502" w:rsidRDefault="00000000" w:rsidP="00012502">
      <w:pPr>
        <w:pStyle w:val="a8"/>
        <w:bidi/>
        <w:rPr>
          <w:rFonts w:ascii="Narkisim" w:hAnsi="Narkisim"/>
        </w:rPr>
      </w:pPr>
      <w:r w:rsidRPr="00012502">
        <w:rPr>
          <w:rFonts w:ascii="Narkisim" w:hAnsi="Narkisim"/>
          <w:rtl/>
        </w:rPr>
        <w:t>אך בפשוטו כוונת התוס' כמ"ש (לעיל ד"ה אמוראי) דדוקא לר"ע הוה הולד ממזר</w:t>
      </w:r>
      <w:r w:rsidRPr="00012502">
        <w:rPr>
          <w:rStyle w:val="ac"/>
          <w:rFonts w:ascii="Narkisim" w:hAnsi="Narkisim"/>
          <w:rtl/>
        </w:rPr>
        <w:footnoteReference w:id="946"/>
      </w:r>
      <w:r w:rsidRPr="00012502">
        <w:rPr>
          <w:rFonts w:ascii="Narkisim" w:hAnsi="Narkisim"/>
          <w:rtl/>
        </w:rPr>
        <w:t>. [ואף דבגמ' לקמן מה: יש צד דלא תלי הא בהא, העיקר למסקנא דתלי בהדדי].</w:t>
      </w:r>
    </w:p>
    <w:p w14:paraId="16761910" w14:textId="77777777" w:rsidR="00BE1D1C" w:rsidRPr="00012502" w:rsidRDefault="00000000" w:rsidP="00012502">
      <w:pPr>
        <w:bidi/>
        <w:rPr>
          <w:rFonts w:ascii="Narkisim" w:hAnsi="Narkisim" w:cs="Narkisim"/>
        </w:rPr>
      </w:pPr>
      <w:r w:rsidRPr="00012502">
        <w:rPr>
          <w:rFonts w:ascii="Narkisim" w:hAnsi="Narkisim" w:cs="Narkisim"/>
          <w:u w:val="single"/>
          <w:rtl/>
        </w:rPr>
        <w:t>בא"ד וא"ת בשלמא מעבד הוה ממזר, דבעבד איכא לאו</w:t>
      </w:r>
      <w:r w:rsidRPr="00012502">
        <w:rPr>
          <w:rStyle w:val="ac"/>
          <w:rFonts w:ascii="Narkisim" w:hAnsi="Narkisim" w:cs="Narkisim"/>
          <w:u w:val="single"/>
          <w:rtl/>
        </w:rPr>
        <w:footnoteReference w:id="947"/>
      </w:r>
      <w:r w:rsidRPr="00012502">
        <w:rPr>
          <w:rFonts w:ascii="Narkisim" w:hAnsi="Narkisim" w:cs="Narkisim"/>
          <w:u w:val="single"/>
          <w:rtl/>
        </w:rPr>
        <w:t>, אלא מעכו"ם וכו' ומדאורייתא ביאת היתר וכו'</w:t>
      </w:r>
      <w:r w:rsidRPr="00012502">
        <w:rPr>
          <w:rFonts w:ascii="Narkisim" w:hAnsi="Narkisim" w:cs="Narkisim"/>
          <w:rtl/>
        </w:rPr>
        <w:t xml:space="preserve">. אבל </w:t>
      </w:r>
      <w:r w:rsidRPr="00012502">
        <w:rPr>
          <w:rFonts w:ascii="Narkisim" w:hAnsi="Narkisim" w:cs="Narkisim"/>
          <w:b/>
          <w:bCs/>
          <w:rtl/>
        </w:rPr>
        <w:t>רש"י</w:t>
      </w:r>
      <w:r w:rsidRPr="00012502">
        <w:rPr>
          <w:rFonts w:ascii="Narkisim" w:hAnsi="Narkisim" w:cs="Narkisim"/>
          <w:rtl/>
        </w:rPr>
        <w:t xml:space="preserve"> (קידושין עה:) כת' דהא חייבי לאוין הן. ומבואר דעכו"ם נחשב חייבי לאוין. [וע"ע בסמוך].</w:t>
      </w:r>
    </w:p>
    <w:p w14:paraId="4BAC4092" w14:textId="77777777" w:rsidR="00BE1D1C" w:rsidRPr="00012502" w:rsidRDefault="00000000" w:rsidP="00012502">
      <w:pPr>
        <w:bidi/>
        <w:rPr>
          <w:rFonts w:ascii="Narkisim" w:hAnsi="Narkisim" w:cs="Narkisim"/>
        </w:rPr>
      </w:pPr>
      <w:r w:rsidRPr="00012502">
        <w:rPr>
          <w:rFonts w:ascii="Narkisim" w:hAnsi="Narkisim" w:cs="Narkisim"/>
          <w:u w:val="single"/>
          <w:rtl/>
        </w:rPr>
        <w:t>שם. בי"ד של שם גזרו</w:t>
      </w:r>
      <w:r w:rsidRPr="00012502">
        <w:rPr>
          <w:rFonts w:ascii="Narkisim" w:hAnsi="Narkisim" w:cs="Narkisim"/>
          <w:rtl/>
        </w:rPr>
        <w:t>. וכדאי' ב</w:t>
      </w:r>
      <w:r w:rsidRPr="00012502">
        <w:rPr>
          <w:rFonts w:ascii="Narkisim" w:hAnsi="Narkisim" w:cs="Narkisim"/>
          <w:b/>
          <w:bCs/>
          <w:rtl/>
        </w:rPr>
        <w:t>גמ'</w:t>
      </w:r>
      <w:r w:rsidRPr="00012502">
        <w:rPr>
          <w:rFonts w:ascii="Narkisim" w:hAnsi="Narkisim" w:cs="Narkisim"/>
          <w:rtl/>
        </w:rPr>
        <w:t xml:space="preserve"> (ע"ז לו:) מדכתיב גבי תמר הוציאוה ותשרף. דה</w:t>
      </w:r>
      <w:r w:rsidRPr="00012502">
        <w:rPr>
          <w:rFonts w:ascii="Narkisim" w:hAnsi="Narkisim" w:cs="Narkisim"/>
          <w:b/>
          <w:bCs/>
          <w:rtl/>
        </w:rPr>
        <w:t xml:space="preserve">גמ' </w:t>
      </w:r>
      <w:r w:rsidRPr="00012502">
        <w:rPr>
          <w:rFonts w:ascii="Narkisim" w:hAnsi="Narkisim" w:cs="Narkisim"/>
          <w:rtl/>
        </w:rPr>
        <w:t>(ע"ז</w:t>
      </w:r>
      <w:r w:rsidRPr="00012502">
        <w:rPr>
          <w:rFonts w:ascii="Narkisim" w:hAnsi="Narkisim" w:cs="Narkisim"/>
          <w:b/>
          <w:bCs/>
          <w:rtl/>
        </w:rPr>
        <w:t xml:space="preserve"> </w:t>
      </w:r>
      <w:r w:rsidRPr="00012502">
        <w:rPr>
          <w:rFonts w:ascii="Narkisim" w:hAnsi="Narkisim" w:cs="Narkisim"/>
          <w:rtl/>
        </w:rPr>
        <w:t>לו:) איתא דגזרו על בנותיהן [של עכו"ם], והגמ' מקשה דדאורייתא היא דכתיב לא תתחתן. ותי' דאורייתא דרך חתנות, וגזרו דרך זנות. וה</w:t>
      </w:r>
      <w:r w:rsidRPr="00012502">
        <w:rPr>
          <w:rFonts w:ascii="Narkisim" w:hAnsi="Narkisim" w:cs="Narkisim"/>
          <w:b/>
          <w:bCs/>
          <w:rtl/>
        </w:rPr>
        <w:t xml:space="preserve">גמ' </w:t>
      </w:r>
      <w:r w:rsidRPr="00012502">
        <w:rPr>
          <w:rFonts w:ascii="Narkisim" w:hAnsi="Narkisim" w:cs="Narkisim"/>
          <w:rtl/>
        </w:rPr>
        <w:t>(שם) מקשה זנות נמי בי"ד של שם גזרו. והגמ' חילקה דעכו"ם הבא על בת ישראל הוה דאורייתא [משום בי"ד של שם</w:t>
      </w:r>
      <w:r w:rsidRPr="00012502">
        <w:rPr>
          <w:rStyle w:val="ac"/>
          <w:rFonts w:ascii="Narkisim" w:hAnsi="Narkisim" w:cs="Narkisim"/>
          <w:rtl/>
        </w:rPr>
        <w:footnoteReference w:id="948"/>
      </w:r>
      <w:r w:rsidRPr="00012502">
        <w:rPr>
          <w:rFonts w:ascii="Narkisim" w:hAnsi="Narkisim" w:cs="Narkisim"/>
          <w:rtl/>
        </w:rPr>
        <w:t>], וגזרו על ישראל לנכרית.</w:t>
      </w:r>
    </w:p>
    <w:p w14:paraId="2A35FF00" w14:textId="77777777" w:rsidR="00BE1D1C" w:rsidRPr="00012502" w:rsidRDefault="00000000" w:rsidP="00012502">
      <w:pPr>
        <w:pStyle w:val="a7"/>
        <w:bidi/>
        <w:rPr>
          <w:rFonts w:ascii="Narkisim" w:hAnsi="Narkisim"/>
        </w:rPr>
      </w:pPr>
      <w:r w:rsidRPr="00012502">
        <w:rPr>
          <w:rFonts w:ascii="Narkisim" w:hAnsi="Narkisim"/>
          <w:rtl/>
        </w:rPr>
        <w:t>ו</w:t>
      </w:r>
      <w:r w:rsidRPr="00012502">
        <w:rPr>
          <w:rFonts w:ascii="Narkisim" w:hAnsi="Narkisim"/>
          <w:b/>
          <w:bCs/>
          <w:rtl/>
        </w:rPr>
        <w:t xml:space="preserve">תוס' </w:t>
      </w:r>
      <w:r w:rsidRPr="00012502">
        <w:rPr>
          <w:rFonts w:ascii="Narkisim" w:hAnsi="Narkisim"/>
          <w:rtl/>
        </w:rPr>
        <w:t>בקידושין כת' [אקו' התוס' דידן] דאין סברא לומר דקרא דהוציאוה ותשרף הוה עשה, והוה איסור עשה</w:t>
      </w:r>
      <w:r w:rsidRPr="00012502">
        <w:rPr>
          <w:rStyle w:val="ac"/>
          <w:rFonts w:ascii="Narkisim" w:hAnsi="Narkisim"/>
          <w:rtl/>
        </w:rPr>
        <w:footnoteReference w:id="949"/>
      </w:r>
      <w:r w:rsidRPr="00012502">
        <w:rPr>
          <w:rFonts w:ascii="Narkisim" w:hAnsi="Narkisim"/>
          <w:rtl/>
        </w:rPr>
        <w:t xml:space="preserve">. ומש"ה הוה ממזר כדר' ישבב (לקמן מט.) אליבא דר"ע דאף חייבי עשה הוה ממזר. דלא משמע דקאי רק לר' ישבב. </w:t>
      </w:r>
      <w:r w:rsidRPr="00012502">
        <w:rPr>
          <w:rFonts w:ascii="Narkisim" w:hAnsi="Narkisim"/>
          <w:sz w:val="20"/>
          <w:szCs w:val="20"/>
          <w:rtl/>
        </w:rPr>
        <w:t>וכתבו עוד דקרא דבתך לא תתן לבנו הוה אזהרה לתפיסת קידושין, ולא איסור על הביאה.</w:t>
      </w:r>
    </w:p>
    <w:p w14:paraId="7484744B"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 xml:space="preserve">גמ' </w:t>
      </w:r>
      <w:r w:rsidRPr="00012502">
        <w:rPr>
          <w:rFonts w:ascii="Narkisim" w:hAnsi="Narkisim" w:cs="Narkisim"/>
          <w:rtl/>
        </w:rPr>
        <w:t xml:space="preserve">(שם) מקשה עוד דהבועל ארמית קנאים פוגעים בו. </w:t>
      </w:r>
      <w:r w:rsidRPr="00012502">
        <w:rPr>
          <w:rFonts w:ascii="Narkisim" w:hAnsi="Narkisim" w:cs="Narkisim"/>
          <w:sz w:val="20"/>
          <w:szCs w:val="20"/>
          <w:rtl/>
        </w:rPr>
        <w:t>[ובגמ' (סנהדרין פא:) איתא דאם לא פגעו בו קנאים חייב כרת</w:t>
      </w:r>
      <w:r w:rsidRPr="00012502">
        <w:rPr>
          <w:rStyle w:val="ac"/>
          <w:rFonts w:ascii="Narkisim" w:hAnsi="Narkisim" w:cs="Narkisim"/>
          <w:sz w:val="20"/>
          <w:szCs w:val="20"/>
          <w:rtl/>
        </w:rPr>
        <w:footnoteReference w:id="950"/>
      </w:r>
      <w:r w:rsidRPr="00012502">
        <w:rPr>
          <w:rFonts w:ascii="Narkisim" w:hAnsi="Narkisim" w:cs="Narkisim"/>
          <w:sz w:val="20"/>
          <w:szCs w:val="20"/>
          <w:rtl/>
        </w:rPr>
        <w:t>].</w:t>
      </w:r>
      <w:r w:rsidRPr="00012502">
        <w:rPr>
          <w:rFonts w:ascii="Narkisim" w:hAnsi="Narkisim" w:cs="Narkisim"/>
          <w:rtl/>
        </w:rPr>
        <w:t xml:space="preserve"> ומתרצת הגמ' דאורייתא בפרהסיא, ואתו אינהו וגזרו אפי' בצינעא. ועפ"ז רמזו תוס' דידן [בתי'] בצינעא.</w:t>
      </w:r>
    </w:p>
    <w:p w14:paraId="186E6486" w14:textId="77777777" w:rsidR="00BE1D1C" w:rsidRPr="00012502" w:rsidRDefault="00000000" w:rsidP="00012502">
      <w:pPr>
        <w:bidi/>
        <w:rPr>
          <w:rFonts w:ascii="Narkisim" w:hAnsi="Narkisim" w:cs="Narkisim"/>
        </w:rPr>
      </w:pPr>
      <w:r w:rsidRPr="00012502">
        <w:rPr>
          <w:rFonts w:ascii="Narkisim" w:hAnsi="Narkisim" w:cs="Narkisim"/>
          <w:u w:val="single"/>
          <w:rtl/>
        </w:rPr>
        <w:t>בא"ד אע"ג דביאת היתר היא מדאורייתא בצינעא וכו'</w:t>
      </w:r>
      <w:r w:rsidRPr="00012502">
        <w:rPr>
          <w:rFonts w:ascii="Narkisim" w:hAnsi="Narkisim" w:cs="Narkisim"/>
          <w:rtl/>
        </w:rPr>
        <w:t>. ומבואר בתוס' דאף עכו"ם הבא על בת ישראל בפרהסיא שייך לנידון קנאים פוגעים</w:t>
      </w:r>
      <w:r w:rsidRPr="00012502">
        <w:rPr>
          <w:rStyle w:val="ac"/>
          <w:rFonts w:ascii="Narkisim" w:hAnsi="Narkisim" w:cs="Narkisim"/>
          <w:rtl/>
        </w:rPr>
        <w:footnoteReference w:id="951"/>
      </w:r>
      <w:r w:rsidRPr="00012502">
        <w:rPr>
          <w:rFonts w:ascii="Narkisim" w:hAnsi="Narkisim" w:cs="Narkisim"/>
          <w:rtl/>
        </w:rPr>
        <w:t>. אבל דעת ה</w:t>
      </w:r>
      <w:r w:rsidRPr="00012502">
        <w:rPr>
          <w:rFonts w:ascii="Narkisim" w:hAnsi="Narkisim" w:cs="Narkisim"/>
          <w:b/>
          <w:bCs/>
          <w:rtl/>
        </w:rPr>
        <w:t>רמב"ן</w:t>
      </w:r>
      <w:r w:rsidRPr="00012502">
        <w:rPr>
          <w:rFonts w:ascii="Narkisim" w:hAnsi="Narkisim" w:cs="Narkisim"/>
          <w:sz w:val="20"/>
          <w:szCs w:val="20"/>
          <w:rtl/>
        </w:rPr>
        <w:t xml:space="preserve"> (תוה"א וכן ה</w:t>
      </w:r>
      <w:r w:rsidRPr="00012502">
        <w:rPr>
          <w:rFonts w:ascii="Narkisim" w:hAnsi="Narkisim" w:cs="Narkisim"/>
          <w:b/>
          <w:bCs/>
          <w:sz w:val="20"/>
          <w:szCs w:val="20"/>
          <w:rtl/>
        </w:rPr>
        <w:t>מלחמות</w:t>
      </w:r>
      <w:r w:rsidRPr="00012502">
        <w:rPr>
          <w:rFonts w:ascii="Narkisim" w:hAnsi="Narkisim" w:cs="Narkisim"/>
          <w:sz w:val="20"/>
          <w:szCs w:val="20"/>
          <w:rtl/>
        </w:rPr>
        <w:t xml:space="preserve"> ו</w:t>
      </w:r>
      <w:r w:rsidRPr="00012502">
        <w:rPr>
          <w:rFonts w:ascii="Narkisim" w:hAnsi="Narkisim" w:cs="Narkisim"/>
          <w:b/>
          <w:bCs/>
          <w:sz w:val="20"/>
          <w:szCs w:val="20"/>
          <w:rtl/>
        </w:rPr>
        <w:t>ר"ן</w:t>
      </w:r>
      <w:r w:rsidRPr="00012502">
        <w:rPr>
          <w:rFonts w:ascii="Narkisim" w:hAnsi="Narkisim" w:cs="Narkisim"/>
          <w:sz w:val="20"/>
          <w:szCs w:val="20"/>
          <w:rtl/>
        </w:rPr>
        <w:t xml:space="preserve"> סנהדרין עד: שם יח. בדה"ר) </w:t>
      </w:r>
      <w:r w:rsidRPr="00012502">
        <w:rPr>
          <w:rFonts w:ascii="Narkisim" w:hAnsi="Narkisim" w:cs="Narkisim"/>
          <w:rtl/>
        </w:rPr>
        <w:t>דבעכו"ם הבא על בת ישראל לא נאמר קנאים פוגעים בו</w:t>
      </w:r>
      <w:r w:rsidRPr="00012502">
        <w:rPr>
          <w:rStyle w:val="ac"/>
          <w:rFonts w:ascii="Narkisim" w:hAnsi="Narkisim" w:cs="Narkisim"/>
          <w:rtl/>
        </w:rPr>
        <w:footnoteReference w:id="952"/>
      </w:r>
      <w:r w:rsidRPr="00012502">
        <w:rPr>
          <w:rFonts w:ascii="Narkisim" w:hAnsi="Narkisim" w:cs="Narkisim"/>
          <w:rtl/>
        </w:rPr>
        <w:t>, ורק בישראל הבא עכו"ם. וה</w:t>
      </w:r>
      <w:r w:rsidRPr="00012502">
        <w:rPr>
          <w:rFonts w:ascii="Narkisim" w:hAnsi="Narkisim" w:cs="Narkisim"/>
          <w:b/>
          <w:bCs/>
          <w:rtl/>
        </w:rPr>
        <w:t>ר"ן</w:t>
      </w:r>
      <w:r w:rsidRPr="00012502">
        <w:rPr>
          <w:rFonts w:ascii="Narkisim" w:hAnsi="Narkisim" w:cs="Narkisim"/>
          <w:rtl/>
        </w:rPr>
        <w:t xml:space="preserve"> ביאר דכיון דהולד נמשך אחריה אינו כ"כ הסרה</w:t>
      </w:r>
      <w:r w:rsidRPr="00012502">
        <w:rPr>
          <w:rStyle w:val="ac"/>
          <w:rFonts w:ascii="Narkisim" w:hAnsi="Narkisim" w:cs="Narkisim"/>
          <w:rtl/>
        </w:rPr>
        <w:footnoteReference w:id="953"/>
      </w:r>
      <w:r w:rsidRPr="00012502">
        <w:rPr>
          <w:rFonts w:ascii="Narkisim" w:hAnsi="Narkisim" w:cs="Narkisim"/>
          <w:rtl/>
        </w:rPr>
        <w:t>.</w:t>
      </w:r>
    </w:p>
    <w:p w14:paraId="5E132525" w14:textId="77777777" w:rsidR="00BE1D1C" w:rsidRPr="00012502" w:rsidRDefault="00000000" w:rsidP="00012502">
      <w:pPr>
        <w:pStyle w:val="aa"/>
        <w:bidi/>
        <w:rPr>
          <w:rFonts w:ascii="Narkisim" w:hAnsi="Narkisim"/>
        </w:rPr>
      </w:pPr>
      <w:r w:rsidRPr="00012502">
        <w:rPr>
          <w:rFonts w:ascii="Narkisim" w:hAnsi="Narkisim"/>
          <w:u w:val="single"/>
          <w:rtl/>
        </w:rPr>
        <w:t>בא"ד מ"מ כיון דלא תפסי בה קידושין וכו' א"נ מעכו"ם לא הוה ממזר אלא מדרבנן וכו'</w:t>
      </w:r>
      <w:r w:rsidRPr="00012502">
        <w:rPr>
          <w:rFonts w:ascii="Narkisim" w:hAnsi="Narkisim"/>
          <w:rtl/>
        </w:rPr>
        <w:t>. נח' תי' התוס' בהא דאי' (ע' תוס' לקמן מד: ומט:) דממזרות תלי בתפיסת קידושין</w:t>
      </w:r>
      <w:r w:rsidRPr="00012502">
        <w:rPr>
          <w:rStyle w:val="ac"/>
          <w:rFonts w:ascii="Narkisim" w:hAnsi="Narkisim"/>
          <w:rtl/>
        </w:rPr>
        <w:footnoteReference w:id="954"/>
      </w:r>
      <w:r w:rsidRPr="00012502">
        <w:rPr>
          <w:rFonts w:ascii="Narkisim" w:hAnsi="Narkisim"/>
          <w:rtl/>
        </w:rPr>
        <w:t xml:space="preserve">. האם הוה דוקא במקום עבירה דלא תפסי </w:t>
      </w:r>
      <w:r w:rsidRPr="00012502">
        <w:rPr>
          <w:rFonts w:ascii="Narkisim" w:hAnsi="Narkisim"/>
          <w:rtl/>
        </w:rPr>
        <w:lastRenderedPageBreak/>
        <w:t>קידושין</w:t>
      </w:r>
      <w:r w:rsidRPr="00012502">
        <w:rPr>
          <w:rStyle w:val="ac"/>
          <w:rFonts w:ascii="Narkisim" w:hAnsi="Narkisim"/>
          <w:rtl/>
        </w:rPr>
        <w:footnoteReference w:id="955"/>
      </w:r>
      <w:r w:rsidRPr="00012502">
        <w:rPr>
          <w:rFonts w:ascii="Narkisim" w:hAnsi="Narkisim"/>
          <w:rtl/>
        </w:rPr>
        <w:t>, או כיון דילפי' דמעבד הוה ממזר, ילפי' אף עכו"ם, דכל היכא דלא תפסי קידושין, אף דליכא עבירה</w:t>
      </w:r>
      <w:r w:rsidRPr="00012502">
        <w:rPr>
          <w:rStyle w:val="ac"/>
          <w:rFonts w:ascii="Narkisim" w:hAnsi="Narkisim"/>
          <w:rtl/>
        </w:rPr>
        <w:footnoteReference w:id="956"/>
      </w:r>
      <w:r w:rsidRPr="00012502">
        <w:rPr>
          <w:rFonts w:ascii="Narkisim" w:hAnsi="Narkisim"/>
          <w:rtl/>
        </w:rPr>
        <w:t>.</w:t>
      </w:r>
    </w:p>
    <w:p w14:paraId="1F84ECB0"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תוס' רא"ש</w:t>
      </w:r>
      <w:r w:rsidRPr="00012502">
        <w:rPr>
          <w:rFonts w:ascii="Narkisim" w:hAnsi="Narkisim"/>
          <w:rtl/>
        </w:rPr>
        <w:t xml:space="preserve"> הק' דתימה לומר שנעשה ממזר כשבא מביאת היתר.</w:t>
      </w:r>
    </w:p>
    <w:p w14:paraId="4978D329" w14:textId="77777777" w:rsidR="00BE1D1C" w:rsidRPr="00012502" w:rsidRDefault="00000000" w:rsidP="00012502">
      <w:pPr>
        <w:bidi/>
        <w:rPr>
          <w:rFonts w:ascii="Narkisim" w:hAnsi="Narkisim" w:cs="Narkisim"/>
        </w:rPr>
      </w:pPr>
      <w:r w:rsidRPr="00012502">
        <w:rPr>
          <w:rFonts w:ascii="Narkisim" w:hAnsi="Narkisim" w:cs="Narkisim"/>
          <w:rtl/>
        </w:rPr>
        <w:t xml:space="preserve"> וה</w:t>
      </w:r>
      <w:r w:rsidRPr="00012502">
        <w:rPr>
          <w:rFonts w:ascii="Narkisim" w:hAnsi="Narkisim" w:cs="Narkisim"/>
          <w:b/>
          <w:bCs/>
          <w:rtl/>
        </w:rPr>
        <w:t>תוס' הרא"ש</w:t>
      </w:r>
      <w:r w:rsidRPr="00012502">
        <w:rPr>
          <w:rFonts w:ascii="Narkisim" w:hAnsi="Narkisim" w:cs="Narkisim"/>
          <w:rtl/>
        </w:rPr>
        <w:t xml:space="preserve"> תי' עוד דדרך חתנות דאיכא איסור דאורייתא</w:t>
      </w:r>
      <w:r w:rsidRPr="00012502">
        <w:rPr>
          <w:rStyle w:val="ac"/>
          <w:rFonts w:ascii="Narkisim" w:hAnsi="Narkisim" w:cs="Narkisim"/>
          <w:rtl/>
        </w:rPr>
        <w:footnoteReference w:id="957"/>
      </w:r>
      <w:r w:rsidRPr="00012502">
        <w:rPr>
          <w:rFonts w:ascii="Narkisim" w:hAnsi="Narkisim" w:cs="Narkisim"/>
          <w:rtl/>
        </w:rPr>
        <w:t xml:space="preserve"> גמרי' מאשת אב. משמע דיהא חילוק לענין ממזרות היכא דבא עליה דרך חתנות</w:t>
      </w:r>
      <w:r w:rsidRPr="00012502">
        <w:rPr>
          <w:rStyle w:val="ac"/>
          <w:rFonts w:ascii="Narkisim" w:hAnsi="Narkisim" w:cs="Narkisim"/>
          <w:rtl/>
        </w:rPr>
        <w:footnoteReference w:id="958"/>
      </w:r>
      <w:r w:rsidRPr="00012502">
        <w:rPr>
          <w:rFonts w:ascii="Narkisim" w:hAnsi="Narkisim" w:cs="Narkisim"/>
          <w:rtl/>
        </w:rPr>
        <w:t xml:space="preserve">. </w:t>
      </w:r>
      <w:r w:rsidRPr="00012502">
        <w:rPr>
          <w:rFonts w:ascii="Narkisim" w:hAnsi="Narkisim" w:cs="Narkisim"/>
          <w:sz w:val="20"/>
          <w:szCs w:val="20"/>
          <w:rtl/>
        </w:rPr>
        <w:t>וכ"כ ה</w:t>
      </w:r>
      <w:r w:rsidRPr="00012502">
        <w:rPr>
          <w:rFonts w:ascii="Narkisim" w:hAnsi="Narkisim" w:cs="Narkisim"/>
          <w:b/>
          <w:bCs/>
          <w:sz w:val="20"/>
          <w:szCs w:val="20"/>
          <w:rtl/>
        </w:rPr>
        <w:t>אבנ"מ</w:t>
      </w:r>
      <w:r w:rsidRPr="00012502">
        <w:rPr>
          <w:rFonts w:ascii="Narkisim" w:hAnsi="Narkisim" w:cs="Narkisim"/>
          <w:sz w:val="20"/>
          <w:szCs w:val="20"/>
          <w:rtl/>
        </w:rPr>
        <w:t xml:space="preserve"> (טז א) דכשבא עליה דרך חתנות הוה ממזר, דהוה איסור דאורייתא</w:t>
      </w:r>
      <w:r w:rsidRPr="00012502">
        <w:rPr>
          <w:rStyle w:val="ac"/>
          <w:rFonts w:ascii="Narkisim" w:hAnsi="Narkisim" w:cs="Narkisim"/>
          <w:sz w:val="20"/>
          <w:szCs w:val="20"/>
          <w:rtl/>
        </w:rPr>
        <w:footnoteReference w:id="959"/>
      </w:r>
      <w:r w:rsidRPr="00012502">
        <w:rPr>
          <w:rFonts w:ascii="Narkisim" w:hAnsi="Narkisim" w:cs="Narkisim"/>
          <w:sz w:val="20"/>
          <w:szCs w:val="20"/>
          <w:rtl/>
        </w:rPr>
        <w:t>.</w:t>
      </w:r>
    </w:p>
    <w:p w14:paraId="3B49A0B7"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תוס' מהר"ם ור"פ</w:t>
      </w:r>
      <w:r w:rsidRPr="00012502">
        <w:rPr>
          <w:rFonts w:ascii="Narkisim" w:hAnsi="Narkisim" w:cs="Narkisim"/>
          <w:rtl/>
        </w:rPr>
        <w:t xml:space="preserve"> תי' די"ל דאיירי בז' אומות</w:t>
      </w:r>
      <w:r w:rsidRPr="00012502">
        <w:rPr>
          <w:rStyle w:val="ac"/>
          <w:rFonts w:ascii="Narkisim" w:hAnsi="Narkisim" w:cs="Narkisim"/>
          <w:rtl/>
        </w:rPr>
        <w:footnoteReference w:id="960"/>
      </w:r>
      <w:r w:rsidRPr="00012502">
        <w:rPr>
          <w:rFonts w:ascii="Narkisim" w:hAnsi="Narkisim" w:cs="Narkisim"/>
          <w:rtl/>
        </w:rPr>
        <w:t xml:space="preserve"> דיש לאו דלא תתחתן</w:t>
      </w:r>
      <w:r w:rsidRPr="00012502">
        <w:rPr>
          <w:rStyle w:val="ac"/>
          <w:rFonts w:ascii="Narkisim" w:hAnsi="Narkisim" w:cs="Narkisim"/>
          <w:rtl/>
        </w:rPr>
        <w:footnoteReference w:id="961"/>
      </w:r>
      <w:r w:rsidRPr="00012502">
        <w:rPr>
          <w:rFonts w:ascii="Narkisim" w:hAnsi="Narkisim" w:cs="Narkisim"/>
          <w:rtl/>
        </w:rPr>
        <w:t>.</w:t>
      </w:r>
    </w:p>
    <w:p w14:paraId="12A757A3" w14:textId="77777777" w:rsidR="00BE1D1C" w:rsidRPr="00012502" w:rsidRDefault="00000000" w:rsidP="00012502">
      <w:pPr>
        <w:pStyle w:val="2"/>
        <w:bidi/>
        <w:rPr>
          <w:rFonts w:ascii="Narkisim" w:hAnsi="Narkisim"/>
        </w:rPr>
      </w:pPr>
      <w:r w:rsidRPr="00012502">
        <w:rPr>
          <w:rFonts w:ascii="Narkisim" w:hAnsi="Narkisim"/>
          <w:rtl/>
        </w:rPr>
        <w:t>עובדת כוכבים שילדה מישראל</w:t>
      </w:r>
    </w:p>
    <w:p w14:paraId="38D9C2CF" w14:textId="77777777" w:rsidR="00BE1D1C" w:rsidRPr="00012502" w:rsidRDefault="00000000" w:rsidP="00012502">
      <w:pPr>
        <w:bidi/>
        <w:rPr>
          <w:rFonts w:ascii="Narkisim" w:hAnsi="Narkisim" w:cs="Narkisim"/>
        </w:rPr>
      </w:pPr>
      <w:r w:rsidRPr="00012502">
        <w:rPr>
          <w:rFonts w:ascii="Narkisim" w:hAnsi="Narkisim" w:cs="Narkisim"/>
          <w:u w:val="single"/>
          <w:rtl/>
        </w:rPr>
        <w:t>תוד"ה עכו"ם.</w:t>
      </w:r>
      <w:r w:rsidRPr="00012502">
        <w:rPr>
          <w:rFonts w:ascii="Narkisim" w:hAnsi="Narkisim" w:cs="Narkisim"/>
          <w:rtl/>
        </w:rPr>
        <w:t xml:space="preserve"> פ' בקו' דקסבר דעובדת כוכבים שילדה מישראל הולד ממזר, וחוששין לקידושי ממזר. ובזה שמואל פליג דשדינן בתרא. ותוס' הקשו דבכמה משניות מבואר דהולד הולך אחריה. וה</w:t>
      </w:r>
      <w:r w:rsidRPr="00012502">
        <w:rPr>
          <w:rFonts w:ascii="Narkisim" w:hAnsi="Narkisim" w:cs="Narkisim"/>
          <w:b/>
          <w:bCs/>
          <w:rtl/>
        </w:rPr>
        <w:t>תוס' רי"ד</w:t>
      </w:r>
      <w:r w:rsidRPr="00012502">
        <w:rPr>
          <w:rFonts w:ascii="Narkisim" w:hAnsi="Narkisim" w:cs="Narkisim"/>
          <w:rtl/>
        </w:rPr>
        <w:t xml:space="preserve"> תי' דדעת רב דצד ממזרות יש בו שנתערב ישראל מן הגויות, </w:t>
      </w:r>
      <w:r w:rsidRPr="00012502">
        <w:rPr>
          <w:rFonts w:ascii="Narkisim" w:hAnsi="Narkisim" w:cs="Narkisim"/>
          <w:sz w:val="20"/>
          <w:szCs w:val="20"/>
          <w:rtl/>
        </w:rPr>
        <w:t>[ולכן נחשב ישראל לקדש אשה</w:t>
      </w:r>
      <w:r w:rsidRPr="00012502">
        <w:rPr>
          <w:rFonts w:ascii="Narkisim" w:hAnsi="Narkisim" w:cs="Narkisim"/>
          <w:rtl/>
        </w:rPr>
        <w:t xml:space="preserve">]. אבל אין לו זיקה יבום ולא פטר מהיבום </w:t>
      </w:r>
      <w:r w:rsidRPr="00012502">
        <w:rPr>
          <w:rFonts w:ascii="Narkisim" w:hAnsi="Narkisim" w:cs="Narkisim"/>
          <w:sz w:val="20"/>
          <w:szCs w:val="20"/>
          <w:rtl/>
        </w:rPr>
        <w:t>[דאינו מתייחס אחריו בגדרי קורבא]</w:t>
      </w:r>
      <w:r w:rsidRPr="00012502">
        <w:rPr>
          <w:rFonts w:ascii="Narkisim" w:hAnsi="Narkisim" w:cs="Narkisim"/>
          <w:rtl/>
        </w:rPr>
        <w:t xml:space="preserve">. </w:t>
      </w:r>
      <w:r w:rsidRPr="00012502">
        <w:rPr>
          <w:rFonts w:ascii="Narkisim" w:hAnsi="Narkisim" w:cs="Narkisim"/>
          <w:sz w:val="20"/>
          <w:szCs w:val="20"/>
          <w:rtl/>
        </w:rPr>
        <w:t>[וכתב דכעי"ז למ"ד עכו"ם ועבד הבא על בת ישראל הולד ממזר, היינו שיש צד ממזרות שנתערב הגוי עם הישראל, ואף דרחמנא אפקריה לזרעיה דכתיב זרמת סוסים זרמתם (לקמן צח) דאינו מתייחס אחריו, וכבהמה</w:t>
      </w:r>
      <w:r w:rsidRPr="00012502">
        <w:rPr>
          <w:rStyle w:val="ac"/>
          <w:rFonts w:ascii="Narkisim" w:hAnsi="Narkisim" w:cs="Narkisim"/>
          <w:sz w:val="20"/>
          <w:szCs w:val="20"/>
          <w:rtl/>
        </w:rPr>
        <w:footnoteReference w:id="962"/>
      </w:r>
      <w:r w:rsidRPr="00012502">
        <w:rPr>
          <w:rFonts w:ascii="Narkisim" w:hAnsi="Narkisim" w:cs="Narkisim"/>
          <w:sz w:val="20"/>
          <w:szCs w:val="20"/>
          <w:rtl/>
        </w:rPr>
        <w:t>.</w:t>
      </w:r>
    </w:p>
    <w:p w14:paraId="15135AB1" w14:textId="77777777" w:rsidR="00BE1D1C" w:rsidRPr="00012502" w:rsidRDefault="00000000" w:rsidP="00012502">
      <w:pPr>
        <w:pStyle w:val="aa"/>
        <w:bidi/>
        <w:rPr>
          <w:rFonts w:ascii="Narkisim" w:hAnsi="Narkisim"/>
        </w:rPr>
      </w:pPr>
      <w:r w:rsidRPr="00012502">
        <w:rPr>
          <w:rFonts w:ascii="Narkisim" w:hAnsi="Narkisim"/>
          <w:u w:val="single"/>
          <w:rtl/>
        </w:rPr>
        <w:t>בא"ד ונראה דל"ק כל כך וכו' סברי דעכו"ם הולד כשר, וה"ה איפכא וכו'</w:t>
      </w:r>
      <w:r w:rsidRPr="00012502">
        <w:rPr>
          <w:rFonts w:ascii="Narkisim" w:hAnsi="Narkisim"/>
          <w:rtl/>
        </w:rPr>
        <w:t>. ובפשוטו הטעם משום הלך אחר הפגום [וכמ"ש האחרונים, הו' לעיל] ומש"ה ע"כ הוה ישראל. אבל לצד שכת' האחרונים דכוונת התוס' דחסר לו קדושת ישראל, א"כ צ"ב מה שייך לדון ה"ה היפך, שיהא לו קדושה מצד האב. [ובמה תלי בסברת בנך הבא מעכו"ם וכו'].</w:t>
      </w:r>
    </w:p>
    <w:p w14:paraId="228AE376" w14:textId="77777777" w:rsidR="00BE1D1C" w:rsidRPr="00012502" w:rsidRDefault="00000000" w:rsidP="00012502">
      <w:pPr>
        <w:pStyle w:val="aa"/>
        <w:bidi/>
        <w:rPr>
          <w:rFonts w:ascii="Narkisim" w:hAnsi="Narkisim"/>
        </w:rPr>
      </w:pPr>
      <w:r w:rsidRPr="00012502">
        <w:rPr>
          <w:rFonts w:ascii="Narkisim" w:hAnsi="Narkisim"/>
          <w:rtl/>
        </w:rPr>
        <w:t>וב</w:t>
      </w:r>
      <w:r w:rsidRPr="00012502">
        <w:rPr>
          <w:rFonts w:ascii="Narkisim" w:hAnsi="Narkisim"/>
          <w:b/>
          <w:bCs/>
          <w:rtl/>
        </w:rPr>
        <w:t xml:space="preserve">פסקי הרי"ד </w:t>
      </w:r>
      <w:r w:rsidRPr="00012502">
        <w:rPr>
          <w:rFonts w:ascii="Narkisim" w:hAnsi="Narkisim"/>
          <w:rtl/>
        </w:rPr>
        <w:t>כת' דדעת רב דעכו"ם ולדה כמוה לענין ייבום [שבנה אינו זוקק לייבום ולא פוטר מן הייבום], אבל מכל מקום יש בו צד ממזרות, שנתערב ישראל עם הגויה.</w:t>
      </w:r>
    </w:p>
    <w:p w14:paraId="4544F152" w14:textId="77777777" w:rsidR="00BE1D1C" w:rsidRPr="00012502" w:rsidRDefault="00000000" w:rsidP="00012502">
      <w:pPr>
        <w:pStyle w:val="a8"/>
        <w:bidi/>
        <w:rPr>
          <w:rFonts w:ascii="Narkisim" w:hAnsi="Narkisim"/>
        </w:rPr>
      </w:pPr>
      <w:r w:rsidRPr="00012502">
        <w:rPr>
          <w:rFonts w:ascii="Narkisim" w:hAnsi="Narkisim"/>
          <w:rtl/>
        </w:rPr>
        <w:t>וכת' דדומה זה קצת לדברי ר' יוחנן דגוי ועבד הבא על בת ישראל הולד ממזר, ואף דמקרא מלא הוא דרחמנא אפקרי' לזרעיה דכת' וזרמת סוסים זרמתם (כדלקמן צח.), א"כ מהדין שיהא ישראל גמור, ולמה נחוש לזרעו של נכרי [שיעשה ממזר]. אלא אף דלא חיישינן לזרעיה דאב מ"מ נתערב הגוי עם בת ישראל, ועושה אותו ממזר.</w:t>
      </w:r>
    </w:p>
    <w:p w14:paraId="00EAAD43" w14:textId="77777777" w:rsidR="00BE1D1C" w:rsidRPr="00012502" w:rsidRDefault="00000000" w:rsidP="00012502">
      <w:pPr>
        <w:pStyle w:val="a8"/>
        <w:bidi/>
        <w:rPr>
          <w:rFonts w:ascii="Narkisim" w:hAnsi="Narkisim"/>
        </w:rPr>
      </w:pPr>
      <w:r w:rsidRPr="00012502">
        <w:rPr>
          <w:rFonts w:ascii="Narkisim" w:hAnsi="Narkisim"/>
          <w:rtl/>
        </w:rPr>
        <w:t>והכי נמי לדעת רב אף דולדה כמוה, ואין לחוש לזרע ישראל מכל מקום יש בו צד ממזרות מפני שנתערב ישראל עם הגויה.</w:t>
      </w:r>
    </w:p>
    <w:p w14:paraId="460587FB" w14:textId="77777777" w:rsidR="00BE1D1C" w:rsidRPr="00012502" w:rsidRDefault="00000000" w:rsidP="00012502">
      <w:pPr>
        <w:bidi/>
        <w:rPr>
          <w:rFonts w:ascii="Narkisim" w:hAnsi="Narkisim" w:cs="Narkisim"/>
        </w:rPr>
      </w:pPr>
      <w:r w:rsidRPr="00012502">
        <w:rPr>
          <w:rFonts w:ascii="Narkisim" w:hAnsi="Narkisim" w:cs="Narkisim"/>
          <w:u w:val="single"/>
          <w:rtl/>
        </w:rPr>
        <w:t>בא"ד כר"ע דאין קידושין תופסין בחיי"ל, וה"ה הבא על שפחה ועכו"ם</w:t>
      </w:r>
      <w:r w:rsidRPr="00012502">
        <w:rPr>
          <w:rFonts w:ascii="Narkisim" w:hAnsi="Narkisim" w:cs="Narkisim"/>
          <w:b/>
          <w:bCs/>
          <w:rtl/>
        </w:rPr>
        <w:t xml:space="preserve">. רע"א </w:t>
      </w:r>
      <w:r w:rsidRPr="00012502">
        <w:rPr>
          <w:rFonts w:ascii="Narkisim" w:hAnsi="Narkisim" w:cs="Narkisim"/>
          <w:rtl/>
        </w:rPr>
        <w:t>(בגהש"ס) וה</w:t>
      </w:r>
      <w:r w:rsidRPr="00012502">
        <w:rPr>
          <w:rFonts w:ascii="Narkisim" w:hAnsi="Narkisim" w:cs="Narkisim"/>
          <w:b/>
          <w:bCs/>
          <w:rtl/>
        </w:rPr>
        <w:t>שעה"מ</w:t>
      </w:r>
      <w:r w:rsidRPr="00012502">
        <w:rPr>
          <w:rFonts w:ascii="Narkisim" w:hAnsi="Narkisim" w:cs="Narkisim"/>
          <w:rtl/>
        </w:rPr>
        <w:t xml:space="preserve"> </w:t>
      </w:r>
      <w:r w:rsidRPr="00012502">
        <w:rPr>
          <w:rFonts w:ascii="Narkisim" w:hAnsi="Narkisim" w:cs="Narkisim"/>
          <w:szCs w:val="20"/>
          <w:rtl/>
        </w:rPr>
        <w:t>(</w:t>
      </w:r>
      <w:r w:rsidRPr="00012502">
        <w:rPr>
          <w:rFonts w:ascii="Narkisim" w:hAnsi="Narkisim" w:cs="Narkisim"/>
          <w:sz w:val="20"/>
          <w:szCs w:val="20"/>
          <w:rtl/>
        </w:rPr>
        <w:t>איסו"ב טו)</w:t>
      </w:r>
      <w:r w:rsidRPr="00012502">
        <w:rPr>
          <w:rFonts w:ascii="Narkisim" w:hAnsi="Narkisim" w:cs="Narkisim"/>
          <w:rtl/>
        </w:rPr>
        <w:t xml:space="preserve"> הק' דהמשנה (לקמן סט:) ס"ל דעכו"ם הבא על בת ישראל הולד ממזר, אבל ישראל הבא על שפחה הולד מתייחס עבד. וצע"ג. וה</w:t>
      </w:r>
      <w:r w:rsidRPr="00012502">
        <w:rPr>
          <w:rFonts w:ascii="Narkisim" w:hAnsi="Narkisim" w:cs="Narkisim"/>
          <w:b/>
          <w:bCs/>
          <w:rtl/>
        </w:rPr>
        <w:t>אחרונים</w:t>
      </w:r>
      <w:r w:rsidRPr="00012502">
        <w:rPr>
          <w:rFonts w:ascii="Narkisim" w:hAnsi="Narkisim" w:cs="Narkisim"/>
          <w:rtl/>
        </w:rPr>
        <w:t xml:space="preserve"> תי' דדברי תוס' קאי רק לגבי עכו"ם, אבל ישראל הבא על השפחה בנה עבד. </w:t>
      </w:r>
      <w:r w:rsidRPr="00012502">
        <w:rPr>
          <w:rFonts w:ascii="Narkisim" w:hAnsi="Narkisim" w:cs="Narkisim"/>
          <w:sz w:val="20"/>
          <w:szCs w:val="20"/>
          <w:rtl/>
        </w:rPr>
        <w:t>[ומש"כ תוס' אף אשפחה לאו דוקא, וצ"ע].</w:t>
      </w:r>
    </w:p>
    <w:p w14:paraId="5D3E7B34"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אבנ"מ</w:t>
      </w:r>
      <w:r w:rsidRPr="00012502">
        <w:rPr>
          <w:rFonts w:ascii="Narkisim" w:hAnsi="Narkisim"/>
          <w:rtl/>
        </w:rPr>
        <w:t xml:space="preserve"> (ד יב) הביא ראיה לזה, דמקרא מלא גבי עבד האשה וילדיה תהיה לאודניה, ומבואר דישראל שהוליד משפחה הולד עבד. וה</w:t>
      </w:r>
      <w:r w:rsidRPr="00012502">
        <w:rPr>
          <w:rFonts w:ascii="Narkisim" w:hAnsi="Narkisim"/>
          <w:b/>
          <w:bCs/>
          <w:rtl/>
        </w:rPr>
        <w:t>קר"א</w:t>
      </w:r>
      <w:r w:rsidRPr="00012502">
        <w:rPr>
          <w:rFonts w:ascii="Narkisim" w:hAnsi="Narkisim"/>
          <w:rtl/>
        </w:rPr>
        <w:t xml:space="preserve"> דחה דבעבד עברי התורה התירתו, ולא מקרי ביאת זנות כלל.</w:t>
      </w:r>
    </w:p>
    <w:p w14:paraId="41096916" w14:textId="77777777" w:rsidR="00BE1D1C" w:rsidRPr="00012502" w:rsidRDefault="00000000" w:rsidP="00012502">
      <w:pPr>
        <w:bidi/>
        <w:rPr>
          <w:rFonts w:ascii="Narkisim" w:hAnsi="Narkisim" w:cs="Narkisim"/>
        </w:rPr>
      </w:pPr>
      <w:r w:rsidRPr="00012502">
        <w:rPr>
          <w:rFonts w:ascii="Narkisim" w:hAnsi="Narkisim" w:cs="Narkisim"/>
          <w:u w:val="single"/>
          <w:rtl/>
        </w:rPr>
        <w:t>שם</w:t>
      </w:r>
      <w:r w:rsidRPr="00012502">
        <w:rPr>
          <w:rFonts w:ascii="Narkisim" w:hAnsi="Narkisim" w:cs="Narkisim"/>
          <w:rtl/>
        </w:rPr>
        <w:t>. סבר כר' עקיבא דאין קידושין תופסין בחי"ל. ה</w:t>
      </w:r>
      <w:r w:rsidRPr="00012502">
        <w:rPr>
          <w:rFonts w:ascii="Narkisim" w:hAnsi="Narkisim" w:cs="Narkisim"/>
          <w:b/>
          <w:bCs/>
          <w:rtl/>
        </w:rPr>
        <w:t>מהרש"ל</w:t>
      </w:r>
      <w:r w:rsidRPr="00012502">
        <w:rPr>
          <w:rFonts w:ascii="Narkisim" w:hAnsi="Narkisim" w:cs="Narkisim"/>
          <w:rtl/>
        </w:rPr>
        <w:t xml:space="preserve"> תמה א"כ עכו"ם שקידש בזה"ז אמאי חוששין לקידושיו, הא הוה ממזר. ולר"ע אין קידושין תופסין בחיי"ל. </w:t>
      </w:r>
      <w:r w:rsidRPr="00012502">
        <w:rPr>
          <w:rFonts w:ascii="Narkisim" w:hAnsi="Narkisim" w:cs="Narkisim"/>
          <w:sz w:val="20"/>
          <w:szCs w:val="20"/>
          <w:rtl/>
        </w:rPr>
        <w:t>[והגיה דסבר כר"ע דהוה ממזר העכו"ם ועבד].</w:t>
      </w:r>
    </w:p>
    <w:p w14:paraId="211139C0" w14:textId="77777777" w:rsidR="00BE1D1C" w:rsidRPr="00012502" w:rsidRDefault="00000000" w:rsidP="00012502">
      <w:pPr>
        <w:pStyle w:val="a7"/>
        <w:bidi/>
        <w:rPr>
          <w:rFonts w:ascii="Narkisim" w:hAnsi="Narkisim"/>
        </w:rPr>
      </w:pPr>
      <w:r w:rsidRPr="00012502">
        <w:rPr>
          <w:rFonts w:ascii="Narkisim" w:hAnsi="Narkisim"/>
          <w:rtl/>
        </w:rPr>
        <w:lastRenderedPageBreak/>
        <w:t>וה</w:t>
      </w:r>
      <w:r w:rsidRPr="00012502">
        <w:rPr>
          <w:rFonts w:ascii="Narkisim" w:hAnsi="Narkisim"/>
          <w:b/>
          <w:bCs/>
          <w:rtl/>
        </w:rPr>
        <w:t xml:space="preserve">אבנ"מ </w:t>
      </w:r>
      <w:r w:rsidRPr="00012502">
        <w:rPr>
          <w:rFonts w:ascii="Narkisim" w:hAnsi="Narkisim"/>
          <w:rtl/>
        </w:rPr>
        <w:t>(ד יב) תי' דהכא הוה רק ספק ממזר שמא הוא מעשרת השבטים</w:t>
      </w:r>
      <w:r w:rsidRPr="00012502">
        <w:rPr>
          <w:rStyle w:val="ac"/>
          <w:rFonts w:ascii="Narkisim" w:hAnsi="Narkisim"/>
          <w:rtl/>
        </w:rPr>
        <w:footnoteReference w:id="963"/>
      </w:r>
      <w:r w:rsidRPr="00012502">
        <w:rPr>
          <w:rFonts w:ascii="Narkisim" w:hAnsi="Narkisim"/>
          <w:rtl/>
        </w:rPr>
        <w:t>, וקי"ל ספק ממזר מותר</w:t>
      </w:r>
      <w:r w:rsidRPr="00012502">
        <w:rPr>
          <w:rFonts w:ascii="Narkisim" w:hAnsi="Narkisim"/>
          <w:sz w:val="20"/>
          <w:szCs w:val="20"/>
          <w:rtl/>
        </w:rPr>
        <w:t xml:space="preserve"> [בתורת ודאי וכדדרשי' קידושין עג.</w:t>
      </w:r>
      <w:r w:rsidRPr="00012502">
        <w:rPr>
          <w:rStyle w:val="ac"/>
          <w:rFonts w:ascii="Narkisim" w:hAnsi="Narkisim"/>
          <w:sz w:val="20"/>
          <w:szCs w:val="20"/>
          <w:rtl/>
        </w:rPr>
        <w:footnoteReference w:id="964"/>
      </w:r>
      <w:r w:rsidRPr="00012502">
        <w:rPr>
          <w:rFonts w:ascii="Narkisim" w:hAnsi="Narkisim"/>
          <w:sz w:val="20"/>
          <w:szCs w:val="20"/>
          <w:rtl/>
        </w:rPr>
        <w:t>]</w:t>
      </w:r>
      <w:r w:rsidRPr="00012502">
        <w:rPr>
          <w:rFonts w:ascii="Narkisim" w:hAnsi="Narkisim"/>
          <w:rtl/>
        </w:rPr>
        <w:t>, ולכן תפסי קידושין. ולא אמרי' ממ"נ דאם אינו ממזר הוה עכו"ם, דספק ממזר הותר, וכמו ספק ערלה</w:t>
      </w:r>
      <w:r w:rsidRPr="00012502">
        <w:rPr>
          <w:rStyle w:val="ac"/>
          <w:rFonts w:ascii="Narkisim" w:hAnsi="Narkisim"/>
          <w:rtl/>
        </w:rPr>
        <w:footnoteReference w:id="965"/>
      </w:r>
      <w:r w:rsidRPr="00012502">
        <w:rPr>
          <w:rFonts w:ascii="Narkisim" w:hAnsi="Narkisim"/>
          <w:rtl/>
        </w:rPr>
        <w:t>.</w:t>
      </w:r>
    </w:p>
    <w:p w14:paraId="2CE13C8A"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(קובה"ע ג ד, חי' ר' שמעון יב) חלקו על סברת האבנ"מ דאף היכא דהותר האיסור מחמת הספק, מ"מ הוה ממזר וסיבת האיסור קיימת. ותפיסת קידושין תליא בחומר החפצא דהוה ערוה. ואף היכא דליכא איסור בפועל</w:t>
      </w:r>
      <w:r w:rsidRPr="00012502">
        <w:rPr>
          <w:rStyle w:val="ac"/>
          <w:rFonts w:ascii="Narkisim" w:hAnsi="Narkisim"/>
          <w:rtl/>
        </w:rPr>
        <w:footnoteReference w:id="966"/>
      </w:r>
      <w:r w:rsidRPr="00012502">
        <w:rPr>
          <w:rFonts w:ascii="Narkisim" w:hAnsi="Narkisim"/>
          <w:rtl/>
        </w:rPr>
        <w:t>.</w:t>
      </w:r>
    </w:p>
    <w:p w14:paraId="57DC400A"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הוכיחו כן מהא דאף אם אין איסור חל על איסור, לא תפסי קידושין [וכמ"ש האחיעזר, הו' לעיל יג.], וכן במקום שהותר מדין לא תתגודדו, דמ"מ הולד ממזר [הו' לעיל יד:].</w:t>
      </w:r>
    </w:p>
    <w:p w14:paraId="3791AB88" w14:textId="77777777" w:rsidR="00BE1D1C" w:rsidRPr="00012502" w:rsidRDefault="00000000" w:rsidP="00012502">
      <w:pPr>
        <w:pStyle w:val="aa"/>
        <w:bidi/>
        <w:rPr>
          <w:rFonts w:ascii="Narkisim" w:hAnsi="Narkisim"/>
        </w:rPr>
      </w:pPr>
      <w:r w:rsidRPr="00012502">
        <w:rPr>
          <w:rFonts w:ascii="Narkisim" w:hAnsi="Narkisim"/>
          <w:u w:val="single"/>
          <w:rtl/>
        </w:rPr>
        <w:t>רש"י ד"ה בדוכתא.</w:t>
      </w:r>
      <w:r w:rsidRPr="00012502">
        <w:rPr>
          <w:rFonts w:ascii="Narkisim" w:hAnsi="Narkisim"/>
          <w:rtl/>
        </w:rPr>
        <w:t xml:space="preserve"> דכל קבוע כמחצה ע"מ דמי. [ותוס' פליגי]. וה</w:t>
      </w:r>
      <w:r w:rsidRPr="00012502">
        <w:rPr>
          <w:rFonts w:ascii="Narkisim" w:hAnsi="Narkisim"/>
          <w:b/>
          <w:bCs/>
          <w:rtl/>
        </w:rPr>
        <w:t>קוב"ש</w:t>
      </w:r>
      <w:r w:rsidRPr="00012502">
        <w:rPr>
          <w:rFonts w:ascii="Narkisim" w:hAnsi="Narkisim"/>
          <w:rtl/>
        </w:rPr>
        <w:t xml:space="preserve"> (ב"ב פה) העיר דהכא הוה רובא דליתא קמן, וגדר קבוע הוא ברובא דאיתא קמן.</w:t>
      </w:r>
    </w:p>
    <w:p w14:paraId="6A6E4976" w14:textId="77777777" w:rsidR="00BE1D1C" w:rsidRPr="00012502" w:rsidRDefault="00000000" w:rsidP="00012502">
      <w:pPr>
        <w:pStyle w:val="aa"/>
        <w:bidi/>
        <w:rPr>
          <w:rFonts w:ascii="Narkisim" w:hAnsi="Narkisim"/>
        </w:rPr>
      </w:pPr>
      <w:r w:rsidRPr="00012502">
        <w:rPr>
          <w:rFonts w:ascii="Narkisim" w:hAnsi="Narkisim"/>
          <w:u w:val="single"/>
          <w:rtl/>
        </w:rPr>
        <w:t>תוד"ה בדוכתא.</w:t>
      </w:r>
      <w:r w:rsidRPr="00012502">
        <w:rPr>
          <w:rFonts w:ascii="Narkisim" w:hAnsi="Narkisim"/>
          <w:rtl/>
        </w:rPr>
        <w:t xml:space="preserve"> דאי אזיל לגבה, כל דפריש וכו'. ה</w:t>
      </w:r>
      <w:r w:rsidRPr="00012502">
        <w:rPr>
          <w:rFonts w:ascii="Narkisim" w:hAnsi="Narkisim"/>
          <w:b/>
          <w:bCs/>
          <w:rtl/>
        </w:rPr>
        <w:t>אחרונים</w:t>
      </w:r>
      <w:r w:rsidRPr="00012502">
        <w:rPr>
          <w:rFonts w:ascii="Narkisim" w:hAnsi="Narkisim"/>
          <w:rtl/>
        </w:rPr>
        <w:t xml:space="preserve"> יישבו [לדעת רש"י] דהתם איירי כשכל א' ידוע במקומו, והוה ספק על מעשה מסויים ומש"ה תלי אי אזיל. אבל הכא הוה ספק על אדם זה בביתו [במקום הקביעות], א"כ דינו כקבוע. ולא תלי היכא נעשית המעשה. [ותלי בגדר הא דאדם הדרא לניחותא, ע' בסוגיא נזיר יב ותוס' ושא"ר בכתובות שם].</w:t>
      </w:r>
    </w:p>
    <w:p w14:paraId="24051188" w14:textId="77777777" w:rsidR="00BE1D1C" w:rsidRPr="00012502" w:rsidRDefault="00000000" w:rsidP="00012502">
      <w:pPr>
        <w:pStyle w:val="a8"/>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העירו עוד דהוה קבוע דאינו ניכר במקומו, ומדאורייתא לא נחשב קבוע [וכמ"ש </w:t>
      </w:r>
      <w:r w:rsidRPr="00012502">
        <w:rPr>
          <w:rFonts w:ascii="Narkisim" w:hAnsi="Narkisim"/>
          <w:b/>
          <w:bCs/>
          <w:rtl/>
        </w:rPr>
        <w:t>תוס</w:t>
      </w:r>
      <w:r w:rsidRPr="00012502">
        <w:rPr>
          <w:rFonts w:ascii="Narkisim" w:hAnsi="Narkisim"/>
          <w:rtl/>
        </w:rPr>
        <w:t>' גיטין סד.]. ולפ"ז הוה קבוע דרבנן.</w:t>
      </w:r>
    </w:p>
    <w:p w14:paraId="717E43D4" w14:textId="77777777" w:rsidR="00BE1D1C" w:rsidRPr="00012502" w:rsidRDefault="00000000" w:rsidP="00012502">
      <w:pPr>
        <w:pStyle w:val="3"/>
        <w:bidi/>
        <w:rPr>
          <w:rFonts w:ascii="Narkisim" w:hAnsi="Narkisim"/>
        </w:rPr>
      </w:pPr>
      <w:r w:rsidRPr="00012502">
        <w:rPr>
          <w:rFonts w:ascii="Narkisim" w:hAnsi="Narkisim"/>
          <w:rtl/>
        </w:rPr>
        <w:t>דף יז.</w:t>
      </w:r>
    </w:p>
    <w:p w14:paraId="13FD096A" w14:textId="77777777" w:rsidR="00BE1D1C" w:rsidRPr="00012502" w:rsidRDefault="00000000" w:rsidP="00012502">
      <w:pPr>
        <w:pStyle w:val="aa"/>
        <w:bidi/>
        <w:rPr>
          <w:rFonts w:ascii="Narkisim" w:hAnsi="Narkisim"/>
        </w:rPr>
      </w:pPr>
      <w:r w:rsidRPr="00012502">
        <w:rPr>
          <w:rFonts w:ascii="Narkisim" w:hAnsi="Narkisim"/>
          <w:u w:val="single"/>
          <w:rtl/>
        </w:rPr>
        <w:t>רש"י ד"ה לפסול</w:t>
      </w:r>
      <w:r w:rsidRPr="00012502">
        <w:rPr>
          <w:rFonts w:ascii="Narkisim" w:hAnsi="Narkisim"/>
          <w:rtl/>
        </w:rPr>
        <w:t>. שנטמעו י' שבטים בעכו"ם וכו' והן לא נזהרו ונשאו זה אחותו או בתו, והרי הן ממזרין. מסוף דברי הרש"י משמע דקאי למ"ד דעכו"ם ועבד הולד כשר, ומש"ה הוצרך לפרש משום עריות דקרובים. [והאחרונים דנו בכוונת הרש"י בתחילת דבריו].</w:t>
      </w:r>
    </w:p>
    <w:p w14:paraId="6D5EE279" w14:textId="77777777" w:rsidR="00BE1D1C" w:rsidRPr="00012502" w:rsidRDefault="00000000" w:rsidP="00012502">
      <w:pPr>
        <w:pStyle w:val="aa"/>
        <w:bidi/>
        <w:rPr>
          <w:rFonts w:ascii="Narkisim" w:hAnsi="Narkisim"/>
        </w:rPr>
      </w:pPr>
      <w:r w:rsidRPr="00012502">
        <w:rPr>
          <w:rFonts w:ascii="Narkisim" w:hAnsi="Narkisim"/>
          <w:u w:val="single"/>
          <w:rtl/>
        </w:rPr>
        <w:t>כי אמריתא קמיה דשמואל וכו' אין ראוי בנך אלא בנה</w:t>
      </w:r>
      <w:r w:rsidRPr="00012502">
        <w:rPr>
          <w:rFonts w:ascii="Narkisim" w:hAnsi="Narkisim"/>
          <w:rtl/>
        </w:rPr>
        <w:t>. פ</w:t>
      </w:r>
      <w:r w:rsidRPr="00012502">
        <w:rPr>
          <w:rFonts w:ascii="Narkisim" w:hAnsi="Narkisim"/>
          <w:b/>
          <w:bCs/>
          <w:rtl/>
        </w:rPr>
        <w:t>רש"י</w:t>
      </w:r>
      <w:r w:rsidRPr="00012502">
        <w:rPr>
          <w:rFonts w:ascii="Narkisim" w:hAnsi="Narkisim"/>
          <w:rtl/>
        </w:rPr>
        <w:t xml:space="preserve"> דקאי אהא דקידשו בזה"ז. אך בתר דאמרי' דבנתא דההוא דרא איצטרויי</w:t>
      </w:r>
      <w:r w:rsidRPr="00012502">
        <w:rPr>
          <w:rStyle w:val="ac"/>
          <w:rFonts w:ascii="Narkisim" w:hAnsi="Narkisim"/>
          <w:rtl/>
        </w:rPr>
        <w:footnoteReference w:id="967"/>
      </w:r>
      <w:r w:rsidRPr="00012502">
        <w:rPr>
          <w:rFonts w:ascii="Narkisim" w:hAnsi="Narkisim"/>
          <w:rtl/>
        </w:rPr>
        <w:t>, א"כ ליכא חשש ישראלים מי' שבטים. ולכאואה אף קאי אהא דכולהו לפסול, דלא חששו משום דנטמעו בהם, דהבנות אצטרויי. ולא חיישי' לזרע הבנים.</w:t>
      </w:r>
    </w:p>
    <w:p w14:paraId="6C233A49" w14:textId="77777777" w:rsidR="00BE1D1C" w:rsidRPr="00012502" w:rsidRDefault="00000000" w:rsidP="00012502">
      <w:pPr>
        <w:pStyle w:val="aa"/>
        <w:bidi/>
        <w:rPr>
          <w:rFonts w:ascii="Narkisim" w:hAnsi="Narkisim"/>
        </w:rPr>
      </w:pPr>
      <w:r w:rsidRPr="00012502">
        <w:rPr>
          <w:rFonts w:ascii="Narkisim" w:hAnsi="Narkisim"/>
          <w:u w:val="single"/>
          <w:rtl/>
        </w:rPr>
        <w:t>ואין בנך הבא מהעכו"ם</w:t>
      </w:r>
      <w:r w:rsidRPr="00012502">
        <w:rPr>
          <w:rFonts w:ascii="Narkisim" w:hAnsi="Narkisim"/>
          <w:rtl/>
        </w:rPr>
        <w:t>. [ע' תוס' בכמה אופנים, ויתבאר עוד לקמן כג.]. אבל דעת רב אסי דהבן ישראל, וחוששין לקידושין [דפליג אהך דרשא</w:t>
      </w:r>
      <w:r w:rsidRPr="00012502">
        <w:rPr>
          <w:rStyle w:val="ac"/>
          <w:rFonts w:ascii="Narkisim" w:hAnsi="Narkisim"/>
          <w:rtl/>
        </w:rPr>
        <w:footnoteReference w:id="968"/>
      </w:r>
      <w:r w:rsidRPr="00012502">
        <w:rPr>
          <w:rFonts w:ascii="Narkisim" w:hAnsi="Narkisim"/>
          <w:rtl/>
        </w:rPr>
        <w:t>]. ופ</w:t>
      </w:r>
      <w:r w:rsidRPr="00012502">
        <w:rPr>
          <w:rFonts w:ascii="Narkisim" w:hAnsi="Narkisim"/>
          <w:b/>
          <w:bCs/>
          <w:rtl/>
        </w:rPr>
        <w:t>רש"י</w:t>
      </w:r>
      <w:r w:rsidRPr="00012502">
        <w:rPr>
          <w:rFonts w:ascii="Narkisim" w:hAnsi="Narkisim"/>
          <w:rtl/>
        </w:rPr>
        <w:t xml:space="preserve"> (טז: ד"ה מעשרת) דהוה ממזר. [ומשמע דהטעם דמתייחס אחריו, משום דהוה ממזר. וע' מש"כ לעיל שם]. ו</w:t>
      </w:r>
      <w:r w:rsidRPr="00012502">
        <w:rPr>
          <w:rFonts w:ascii="Narkisim" w:hAnsi="Narkisim"/>
          <w:b/>
          <w:bCs/>
          <w:rtl/>
        </w:rPr>
        <w:t>תוס'</w:t>
      </w:r>
      <w:r w:rsidRPr="00012502">
        <w:rPr>
          <w:rFonts w:ascii="Narkisim" w:hAnsi="Narkisim"/>
          <w:rtl/>
        </w:rPr>
        <w:t xml:space="preserve"> (שם) כת' דאף דמבואר במשנה (קידושין סו:) דשדינן את הולד בתרה, היינו למ"ד דהולד כשר. אבל למ"ד הולד ממזר הוה ישראל.</w:t>
      </w:r>
    </w:p>
    <w:p w14:paraId="1E7FE5F4" w14:textId="77777777" w:rsidR="00BE1D1C" w:rsidRPr="00012502" w:rsidRDefault="00000000" w:rsidP="00012502">
      <w:pPr>
        <w:pStyle w:val="a8"/>
        <w:bidi/>
        <w:rPr>
          <w:rFonts w:ascii="Narkisim" w:hAnsi="Narkisim"/>
        </w:rPr>
      </w:pPr>
      <w:r w:rsidRPr="00012502">
        <w:rPr>
          <w:rFonts w:ascii="Narkisim" w:hAnsi="Narkisim"/>
          <w:rtl/>
        </w:rPr>
        <w:t>ועוד כת' ב</w:t>
      </w:r>
      <w:r w:rsidRPr="00012502">
        <w:rPr>
          <w:rFonts w:ascii="Narkisim" w:hAnsi="Narkisim"/>
          <w:b/>
          <w:bCs/>
          <w:rtl/>
        </w:rPr>
        <w:t>פסקי הרי"ד</w:t>
      </w:r>
      <w:r w:rsidRPr="00012502">
        <w:rPr>
          <w:rFonts w:ascii="Narkisim" w:hAnsi="Narkisim"/>
          <w:rtl/>
        </w:rPr>
        <w:t xml:space="preserve"> דהמשנה דשדי' בתרה קאי לענין ייבום, שהבן אינו מתייחס אחריה ואינו זוקק או פוטר מן הייבום</w:t>
      </w:r>
      <w:r w:rsidRPr="00012502">
        <w:rPr>
          <w:rStyle w:val="ac"/>
          <w:rFonts w:ascii="Narkisim" w:hAnsi="Narkisim"/>
          <w:rtl/>
        </w:rPr>
        <w:footnoteReference w:id="969"/>
      </w:r>
      <w:r w:rsidRPr="00012502">
        <w:rPr>
          <w:rFonts w:ascii="Narkisim" w:hAnsi="Narkisim"/>
          <w:rtl/>
        </w:rPr>
        <w:t>. אבל מ"מ יש בו צד ממזרות, שנתערב ישראלות עם הגויה, ויש לחוש לאותו צד ממזרות דישראלות.</w:t>
      </w:r>
    </w:p>
    <w:p w14:paraId="2BA5769E" w14:textId="77777777" w:rsidR="00BE1D1C" w:rsidRPr="00012502" w:rsidRDefault="00000000" w:rsidP="00012502">
      <w:pPr>
        <w:bidi/>
        <w:rPr>
          <w:rFonts w:ascii="Narkisim" w:hAnsi="Narkisim" w:cs="Narkisim"/>
        </w:rPr>
      </w:pPr>
      <w:r w:rsidRPr="00012502">
        <w:rPr>
          <w:rFonts w:ascii="Narkisim" w:hAnsi="Narkisim" w:cs="Narkisim"/>
          <w:u w:val="single"/>
          <w:rtl/>
        </w:rPr>
        <w:t>עד שעשאום גויים גמורים.</w:t>
      </w:r>
      <w:r w:rsidRPr="00012502">
        <w:rPr>
          <w:rFonts w:ascii="Narkisim" w:hAnsi="Narkisim" w:cs="Narkisim"/>
          <w:rtl/>
        </w:rPr>
        <w:t xml:space="preserve"> ה</w:t>
      </w:r>
      <w:r w:rsidRPr="00012502">
        <w:rPr>
          <w:rFonts w:ascii="Narkisim" w:hAnsi="Narkisim" w:cs="Narkisim"/>
          <w:b/>
          <w:bCs/>
          <w:rtl/>
        </w:rPr>
        <w:t>מאירי</w:t>
      </w:r>
      <w:r w:rsidRPr="00012502">
        <w:rPr>
          <w:rFonts w:ascii="Narkisim" w:hAnsi="Narkisim" w:cs="Narkisim"/>
          <w:rtl/>
        </w:rPr>
        <w:t xml:space="preserve"> כת' שבי"ד שבאותו דור עשאום כגוים גמורים שלא להיותם בכלל דיני ישראל כלל. אבל ה</w:t>
      </w:r>
      <w:r w:rsidRPr="00012502">
        <w:rPr>
          <w:rFonts w:ascii="Narkisim" w:hAnsi="Narkisim" w:cs="Narkisim"/>
          <w:b/>
          <w:bCs/>
          <w:rtl/>
        </w:rPr>
        <w:t>ריטב"א</w:t>
      </w:r>
      <w:r w:rsidRPr="00012502">
        <w:rPr>
          <w:rFonts w:ascii="Narkisim" w:hAnsi="Narkisim" w:cs="Narkisim"/>
          <w:rtl/>
        </w:rPr>
        <w:t xml:space="preserve"> (טז: בהוצאות חדשות) ו</w:t>
      </w:r>
      <w:r w:rsidRPr="00012502">
        <w:rPr>
          <w:rFonts w:ascii="Narkisim" w:hAnsi="Narkisim" w:cs="Narkisim"/>
          <w:b/>
          <w:bCs/>
          <w:rtl/>
        </w:rPr>
        <w:t>רשב"א</w:t>
      </w:r>
      <w:r w:rsidRPr="00012502">
        <w:rPr>
          <w:rFonts w:ascii="Narkisim" w:hAnsi="Narkisim" w:cs="Narkisim"/>
          <w:rtl/>
        </w:rPr>
        <w:t xml:space="preserve"> (כב.) הזכירו שהפקיעו לקידושיהם</w:t>
      </w:r>
      <w:r w:rsidRPr="00012502">
        <w:rPr>
          <w:rStyle w:val="ac"/>
          <w:rFonts w:ascii="Narkisim" w:hAnsi="Narkisim" w:cs="Narkisim"/>
          <w:rtl/>
        </w:rPr>
        <w:footnoteReference w:id="970"/>
      </w:r>
      <w:r w:rsidRPr="00012502">
        <w:rPr>
          <w:rFonts w:ascii="Narkisim" w:hAnsi="Narkisim" w:cs="Narkisim"/>
          <w:rtl/>
        </w:rPr>
        <w:t>. משמע דדינו כישראל, אלא דתקנו להפקיע כל קידושין שיקדשו</w:t>
      </w:r>
      <w:r w:rsidRPr="00012502">
        <w:rPr>
          <w:rStyle w:val="ac"/>
          <w:rFonts w:ascii="Narkisim" w:hAnsi="Narkisim" w:cs="Narkisim"/>
          <w:rtl/>
        </w:rPr>
        <w:footnoteReference w:id="971"/>
      </w:r>
      <w:r w:rsidRPr="00012502">
        <w:rPr>
          <w:rFonts w:ascii="Narkisim" w:hAnsi="Narkisim" w:cs="Narkisim"/>
          <w:rtl/>
        </w:rPr>
        <w:t>.</w:t>
      </w:r>
    </w:p>
    <w:p w14:paraId="05C44EFD" w14:textId="77777777" w:rsidR="00BE1D1C" w:rsidRPr="00012502" w:rsidRDefault="00000000" w:rsidP="00012502">
      <w:pPr>
        <w:pStyle w:val="a7"/>
        <w:bidi/>
        <w:rPr>
          <w:rFonts w:ascii="Narkisim" w:hAnsi="Narkisim"/>
        </w:rPr>
      </w:pPr>
      <w:r w:rsidRPr="00012502">
        <w:rPr>
          <w:rFonts w:ascii="Narkisim" w:hAnsi="Narkisim"/>
          <w:rtl/>
        </w:rPr>
        <w:lastRenderedPageBreak/>
        <w:t>וה</w:t>
      </w:r>
      <w:r w:rsidRPr="00012502">
        <w:rPr>
          <w:rFonts w:ascii="Narkisim" w:hAnsi="Narkisim"/>
          <w:b/>
          <w:bCs/>
          <w:rtl/>
        </w:rPr>
        <w:t xml:space="preserve">קר"א </w:t>
      </w:r>
      <w:r w:rsidRPr="00012502">
        <w:rPr>
          <w:rFonts w:ascii="Narkisim" w:hAnsi="Narkisim"/>
          <w:rtl/>
        </w:rPr>
        <w:t>דייק מלישנא דקרא 'כי בנים זרים ילדו' משמע דלכל מילי שוינהו כעכו"ם ואיך יש כח ביד חכמים לזה</w:t>
      </w:r>
      <w:r w:rsidRPr="00012502">
        <w:rPr>
          <w:rStyle w:val="ac"/>
          <w:rFonts w:ascii="Narkisim" w:hAnsi="Narkisim"/>
          <w:rtl/>
        </w:rPr>
        <w:footnoteReference w:id="972"/>
      </w:r>
      <w:r w:rsidRPr="00012502">
        <w:rPr>
          <w:rFonts w:ascii="Narkisim" w:hAnsi="Narkisim"/>
          <w:rtl/>
        </w:rPr>
        <w:t>. וכתב דעשו ע"פ הנביאים ורוח הקודש.</w:t>
      </w:r>
    </w:p>
    <w:p w14:paraId="5716ED3E" w14:textId="77777777" w:rsidR="00BE1D1C" w:rsidRPr="00012502" w:rsidRDefault="00000000" w:rsidP="00012502">
      <w:pPr>
        <w:pStyle w:val="a7"/>
        <w:bidi/>
        <w:rPr>
          <w:rFonts w:ascii="Narkisim" w:hAnsi="Narkisim"/>
        </w:rPr>
      </w:pPr>
      <w:r w:rsidRPr="00012502">
        <w:rPr>
          <w:rFonts w:ascii="Narkisim" w:hAnsi="Narkisim"/>
          <w:rtl/>
        </w:rPr>
        <w:t>וה</w:t>
      </w:r>
      <w:r w:rsidRPr="00012502">
        <w:rPr>
          <w:rFonts w:ascii="Narkisim" w:hAnsi="Narkisim"/>
          <w:b/>
          <w:bCs/>
          <w:rtl/>
        </w:rPr>
        <w:t>אחרונים</w:t>
      </w:r>
      <w:r w:rsidRPr="00012502">
        <w:rPr>
          <w:rFonts w:ascii="Narkisim" w:hAnsi="Narkisim"/>
          <w:rtl/>
        </w:rPr>
        <w:t xml:space="preserve"> הביאו דעד"ז מצאנו בגמ' (חולין ו.) גבי כותים דעשאום גוים גמורים. ומדברי ה</w:t>
      </w:r>
      <w:r w:rsidRPr="00012502">
        <w:rPr>
          <w:rFonts w:ascii="Narkisim" w:hAnsi="Narkisim"/>
          <w:b/>
          <w:bCs/>
          <w:rtl/>
        </w:rPr>
        <w:t>שו"ע</w:t>
      </w:r>
      <w:r w:rsidRPr="00012502">
        <w:rPr>
          <w:rFonts w:ascii="Narkisim" w:hAnsi="Narkisim"/>
          <w:rtl/>
        </w:rPr>
        <w:t xml:space="preserve"> מבואר דהוה רק להחמיר</w:t>
      </w:r>
      <w:r w:rsidRPr="00012502">
        <w:rPr>
          <w:rStyle w:val="ac"/>
          <w:rFonts w:ascii="Narkisim" w:hAnsi="Narkisim"/>
          <w:rtl/>
        </w:rPr>
        <w:footnoteReference w:id="973"/>
      </w:r>
      <w:r w:rsidRPr="00012502">
        <w:rPr>
          <w:rFonts w:ascii="Narkisim" w:hAnsi="Narkisim"/>
          <w:rtl/>
        </w:rPr>
        <w:t>. וה</w:t>
      </w:r>
      <w:r w:rsidRPr="00012502">
        <w:rPr>
          <w:rFonts w:ascii="Narkisim" w:hAnsi="Narkisim"/>
          <w:b/>
          <w:bCs/>
          <w:rtl/>
        </w:rPr>
        <w:t>ש"ך</w:t>
      </w:r>
      <w:r w:rsidRPr="00012502">
        <w:rPr>
          <w:rFonts w:ascii="Narkisim" w:hAnsi="Narkisim"/>
          <w:rtl/>
        </w:rPr>
        <w:t xml:space="preserve"> (יו"ד קנט ה) חלק דעשאום גוים גמורים בין להקל ובין להחמיר.</w:t>
      </w:r>
    </w:p>
    <w:p w14:paraId="2598393E" w14:textId="77777777" w:rsidR="00BE1D1C" w:rsidRPr="00012502" w:rsidRDefault="00000000" w:rsidP="00012502">
      <w:pPr>
        <w:pStyle w:val="a8"/>
        <w:bidi/>
        <w:rPr>
          <w:rFonts w:ascii="Narkisim" w:hAnsi="Narkisim"/>
        </w:rPr>
      </w:pPr>
      <w:r w:rsidRPr="00012502">
        <w:rPr>
          <w:rFonts w:ascii="Narkisim" w:eastAsia="Narkisim" w:hAnsi="Narkisim"/>
          <w:rtl/>
        </w:rPr>
        <w:t>וה</w:t>
      </w:r>
      <w:r w:rsidRPr="00012502">
        <w:rPr>
          <w:rFonts w:ascii="Narkisim" w:eastAsia="Narkisim" w:hAnsi="Narkisim"/>
          <w:b/>
          <w:bCs/>
          <w:rtl/>
        </w:rPr>
        <w:t>חוו"ד</w:t>
      </w:r>
      <w:r w:rsidRPr="00012502">
        <w:rPr>
          <w:rFonts w:ascii="Narkisim" w:eastAsia="Narkisim" w:hAnsi="Narkisim"/>
          <w:rtl/>
        </w:rPr>
        <w:t xml:space="preserve"> (שם ד) תמה האיך יש כח ביד חכמים לעקור דבר בקום ועשה. והוה גויים רק מדרבנן, ולענין דאורייתא רק לחומרא</w:t>
      </w:r>
      <w:r w:rsidRPr="00012502">
        <w:rPr>
          <w:rStyle w:val="ac"/>
          <w:rFonts w:ascii="Narkisim" w:eastAsia="Narkisim" w:hAnsi="Narkisim"/>
          <w:rtl/>
        </w:rPr>
        <w:footnoteReference w:id="974"/>
      </w:r>
      <w:r w:rsidRPr="00012502">
        <w:rPr>
          <w:rFonts w:ascii="Narkisim" w:eastAsia="Narkisim" w:hAnsi="Narkisim"/>
          <w:rtl/>
        </w:rPr>
        <w:t>.</w:t>
      </w:r>
    </w:p>
    <w:p w14:paraId="5BD8D192" w14:textId="77777777" w:rsidR="00BE1D1C" w:rsidRPr="00012502" w:rsidRDefault="00000000" w:rsidP="00012502">
      <w:pPr>
        <w:pStyle w:val="a8"/>
        <w:bidi/>
        <w:rPr>
          <w:rFonts w:ascii="Narkisim" w:hAnsi="Narkisim"/>
        </w:rPr>
      </w:pPr>
      <w:r w:rsidRPr="00012502">
        <w:rPr>
          <w:rFonts w:ascii="Narkisim" w:eastAsia="Narkisim" w:hAnsi="Narkisim"/>
          <w:rtl/>
        </w:rPr>
        <w:t xml:space="preserve">אבל </w:t>
      </w:r>
      <w:r w:rsidRPr="00012502">
        <w:rPr>
          <w:rFonts w:ascii="Narkisim" w:hAnsi="Narkisim"/>
          <w:rtl/>
        </w:rPr>
        <w:t>ה</w:t>
      </w:r>
      <w:r w:rsidRPr="00012502">
        <w:rPr>
          <w:rFonts w:ascii="Narkisim" w:hAnsi="Narkisim"/>
          <w:b/>
          <w:bCs/>
          <w:rtl/>
        </w:rPr>
        <w:t>חת"ס</w:t>
      </w:r>
      <w:r w:rsidRPr="00012502">
        <w:rPr>
          <w:rFonts w:ascii="Narkisim" w:hAnsi="Narkisim"/>
          <w:rtl/>
        </w:rPr>
        <w:t xml:space="preserve"> (בשו"ע או"ח לט) כתב [לגבי כותים, וכן גבי מסור] דיש כח לכלל ישראל להוציא המורדים מכלל האומה, ויחזרו לגויים גמורים. ונמנו וגמרו להוציאם מברית ישראל לגמרי.</w:t>
      </w:r>
    </w:p>
    <w:p w14:paraId="27ECA3E9" w14:textId="77777777" w:rsidR="00BE1D1C" w:rsidRPr="00012502" w:rsidRDefault="00000000" w:rsidP="00012502">
      <w:pPr>
        <w:bidi/>
        <w:rPr>
          <w:rFonts w:ascii="Narkisim" w:hAnsi="Narkisim" w:cs="Narkisim"/>
        </w:rPr>
      </w:pPr>
      <w:r w:rsidRPr="00012502">
        <w:rPr>
          <w:rFonts w:ascii="Narkisim" w:hAnsi="Narkisim" w:cs="Narkisim"/>
          <w:rtl/>
        </w:rPr>
        <w:t>וה</w:t>
      </w:r>
      <w:r w:rsidRPr="00012502">
        <w:rPr>
          <w:rFonts w:ascii="Narkisim" w:hAnsi="Narkisim" w:cs="Narkisim"/>
          <w:b/>
          <w:bCs/>
          <w:rtl/>
        </w:rPr>
        <w:t>ראשונים</w:t>
      </w:r>
      <w:r w:rsidRPr="00012502">
        <w:rPr>
          <w:rFonts w:ascii="Narkisim" w:hAnsi="Narkisim" w:cs="Narkisim"/>
          <w:rtl/>
        </w:rPr>
        <w:t xml:space="preserve"> (ע' לקמן כב., וריטב"א ומאירי טז:) הביאו בשם ה</w:t>
      </w:r>
      <w:r w:rsidRPr="00012502">
        <w:rPr>
          <w:rFonts w:ascii="Narkisim" w:hAnsi="Narkisim" w:cs="Narkisim"/>
          <w:b/>
          <w:bCs/>
          <w:rtl/>
        </w:rPr>
        <w:t>גאונים</w:t>
      </w:r>
      <w:r w:rsidRPr="00012502">
        <w:rPr>
          <w:rFonts w:ascii="Narkisim" w:hAnsi="Narkisim" w:cs="Narkisim"/>
          <w:rtl/>
        </w:rPr>
        <w:t xml:space="preserve"> דמומר אינו זוקק ליבום. </w:t>
      </w:r>
      <w:r w:rsidRPr="00012502">
        <w:rPr>
          <w:rFonts w:ascii="Narkisim" w:hAnsi="Narkisim" w:cs="Narkisim"/>
          <w:sz w:val="20"/>
          <w:szCs w:val="20"/>
          <w:rtl/>
        </w:rPr>
        <w:t>[ועי"ש כמה טעמים בזה].</w:t>
      </w:r>
      <w:r w:rsidRPr="00012502">
        <w:rPr>
          <w:rFonts w:ascii="Narkisim" w:hAnsi="Narkisim" w:cs="Narkisim"/>
          <w:rtl/>
        </w:rPr>
        <w:t xml:space="preserve"> וה</w:t>
      </w:r>
      <w:r w:rsidRPr="00012502">
        <w:rPr>
          <w:rFonts w:ascii="Narkisim" w:hAnsi="Narkisim" w:cs="Narkisim"/>
          <w:b/>
          <w:bCs/>
          <w:rtl/>
        </w:rPr>
        <w:t>ראשונים</w:t>
      </w:r>
      <w:r w:rsidRPr="00012502">
        <w:rPr>
          <w:rFonts w:ascii="Narkisim" w:hAnsi="Narkisim" w:cs="Narkisim"/>
          <w:rtl/>
        </w:rPr>
        <w:t xml:space="preserve"> חלקו. וה</w:t>
      </w:r>
      <w:r w:rsidRPr="00012502">
        <w:rPr>
          <w:rFonts w:ascii="Narkisim" w:hAnsi="Narkisim" w:cs="Narkisim"/>
          <w:b/>
          <w:bCs/>
          <w:rtl/>
        </w:rPr>
        <w:t>ריטב"א</w:t>
      </w:r>
      <w:r w:rsidRPr="00012502">
        <w:rPr>
          <w:rFonts w:ascii="Narkisim" w:hAnsi="Narkisim" w:cs="Narkisim"/>
          <w:rtl/>
        </w:rPr>
        <w:t xml:space="preserve"> (טז:) ו</w:t>
      </w:r>
      <w:r w:rsidRPr="00012502">
        <w:rPr>
          <w:rFonts w:ascii="Narkisim" w:hAnsi="Narkisim" w:cs="Narkisim"/>
          <w:b/>
          <w:bCs/>
          <w:rtl/>
        </w:rPr>
        <w:t>רשב"א</w:t>
      </w:r>
      <w:r w:rsidRPr="00012502">
        <w:rPr>
          <w:rFonts w:ascii="Narkisim" w:hAnsi="Narkisim" w:cs="Narkisim"/>
          <w:rtl/>
        </w:rPr>
        <w:t xml:space="preserve"> (כב.) כת' דאין להביא ראיה מסוגיין, דהפקיעו מומר שלא יחשב דינו כישראל. ודחו הכא קאי על אותם בלבד, שעשאום כגויים גמורים מתחילתן והפקיעו קידושיהם. אבל שאר ישראל שנעשה כעכו"ם קידושיו קידושין [וכדאיתא לקמן מז:].</w:t>
      </w:r>
    </w:p>
    <w:p w14:paraId="3C58DB44" w14:textId="77777777" w:rsidR="00BE1D1C" w:rsidRPr="00012502" w:rsidRDefault="00000000" w:rsidP="00012502">
      <w:pPr>
        <w:pStyle w:val="aa"/>
        <w:bidi/>
        <w:rPr>
          <w:rFonts w:ascii="Narkisim" w:hAnsi="Narkisim"/>
        </w:rPr>
      </w:pPr>
      <w:r w:rsidRPr="00012502">
        <w:rPr>
          <w:rFonts w:ascii="Narkisim" w:hAnsi="Narkisim"/>
          <w:u w:val="single"/>
          <w:rtl/>
        </w:rPr>
        <w:t>שם</w:t>
      </w:r>
      <w:r w:rsidRPr="00012502">
        <w:rPr>
          <w:rFonts w:ascii="Narkisim" w:hAnsi="Narkisim"/>
          <w:rtl/>
        </w:rPr>
        <w:t xml:space="preserve">. </w:t>
      </w:r>
      <w:r w:rsidRPr="00012502">
        <w:rPr>
          <w:rFonts w:ascii="Narkisim" w:hAnsi="Narkisim"/>
          <w:rtl/>
          <w:lang w:val="he-IL"/>
        </w:rPr>
        <w:t>ה</w:t>
      </w:r>
      <w:r w:rsidRPr="00012502">
        <w:rPr>
          <w:rFonts w:ascii="Narkisim" w:hAnsi="Narkisim"/>
          <w:b/>
          <w:bCs/>
          <w:rtl/>
          <w:lang w:val="he-IL"/>
        </w:rPr>
        <w:t>ר"י בן חביב</w:t>
      </w:r>
      <w:r w:rsidRPr="00012502">
        <w:rPr>
          <w:rFonts w:ascii="Narkisim" w:hAnsi="Narkisim"/>
          <w:rtl/>
          <w:lang w:val="he-IL"/>
        </w:rPr>
        <w:t xml:space="preserve"> (בשו"ת ר"א מזרחי א מז, הו' בבאה"ט מד ח) כת' דבן של מומר</w:t>
      </w:r>
      <w:r w:rsidRPr="00012502">
        <w:rPr>
          <w:rStyle w:val="ac"/>
          <w:rFonts w:ascii="Narkisim" w:hAnsi="Narkisim"/>
          <w:rtl/>
          <w:lang w:val="he-IL"/>
        </w:rPr>
        <w:footnoteReference w:id="975"/>
      </w:r>
      <w:r w:rsidRPr="00012502">
        <w:rPr>
          <w:rFonts w:ascii="Narkisim" w:hAnsi="Narkisim"/>
          <w:rtl/>
          <w:lang w:val="he-IL"/>
        </w:rPr>
        <w:t xml:space="preserve"> דינו כעכו"ם לכל דבר</w:t>
      </w:r>
      <w:r w:rsidRPr="00012502">
        <w:rPr>
          <w:rStyle w:val="ac"/>
          <w:rFonts w:ascii="Narkisim" w:hAnsi="Narkisim"/>
          <w:rtl/>
          <w:lang w:val="he-IL"/>
        </w:rPr>
        <w:footnoteReference w:id="976"/>
      </w:r>
      <w:r w:rsidRPr="00012502">
        <w:rPr>
          <w:rFonts w:ascii="Narkisim" w:hAnsi="Narkisim"/>
          <w:rtl/>
          <w:lang w:val="he-IL"/>
        </w:rPr>
        <w:t>. וה</w:t>
      </w:r>
      <w:r w:rsidRPr="00012502">
        <w:rPr>
          <w:rFonts w:ascii="Narkisim" w:hAnsi="Narkisim"/>
          <w:b/>
          <w:bCs/>
          <w:rtl/>
          <w:lang w:val="he-IL"/>
        </w:rPr>
        <w:t>ר"א מזרחי</w:t>
      </w:r>
      <w:r w:rsidRPr="00012502">
        <w:rPr>
          <w:rFonts w:ascii="Narkisim" w:hAnsi="Narkisim"/>
          <w:rtl/>
          <w:lang w:val="he-IL"/>
        </w:rPr>
        <w:t xml:space="preserve"> (שם מח) פליג דמשומד לא פקע ממנו קדושת ישראל, ובנו נחשב שלידתו בקדושה. וה</w:t>
      </w:r>
      <w:r w:rsidRPr="00012502">
        <w:rPr>
          <w:rFonts w:ascii="Narkisim" w:hAnsi="Narkisim"/>
          <w:b/>
          <w:bCs/>
          <w:rtl/>
          <w:lang w:val="he-IL"/>
        </w:rPr>
        <w:t>מהרשד"ם</w:t>
      </w:r>
      <w:r w:rsidRPr="00012502">
        <w:rPr>
          <w:rFonts w:ascii="Narkisim" w:hAnsi="Narkisim"/>
          <w:rtl/>
          <w:lang w:val="he-IL"/>
        </w:rPr>
        <w:t xml:space="preserve"> (אה"ע י) כת' דכוונת הר"י חביב לגמ' דידן דעשאום כגויים גמורים, ואף כל בן מומר בכלל. ותלי בראשונים הנ"ל.</w:t>
      </w:r>
    </w:p>
    <w:p w14:paraId="37E08D54" w14:textId="77777777" w:rsidR="00BE1D1C" w:rsidRPr="00012502" w:rsidRDefault="00000000" w:rsidP="00012502">
      <w:pPr>
        <w:pStyle w:val="aa"/>
        <w:bidi/>
        <w:rPr>
          <w:rFonts w:ascii="Narkisim" w:hAnsi="Narkisim"/>
        </w:rPr>
      </w:pPr>
      <w:r w:rsidRPr="00012502">
        <w:rPr>
          <w:rFonts w:ascii="Narkisim" w:hAnsi="Narkisim"/>
          <w:u w:val="single"/>
          <w:rtl/>
        </w:rPr>
        <w:t>פסולא דידהו ל"ל תקנתא.</w:t>
      </w:r>
      <w:r w:rsidRPr="00012502">
        <w:rPr>
          <w:rFonts w:ascii="Narkisim" w:hAnsi="Narkisim"/>
          <w:rtl/>
        </w:rPr>
        <w:t xml:space="preserve"> ב</w:t>
      </w:r>
      <w:r w:rsidRPr="00012502">
        <w:rPr>
          <w:rFonts w:ascii="Narkisim" w:hAnsi="Narkisim"/>
          <w:b/>
          <w:bCs/>
          <w:rtl/>
        </w:rPr>
        <w:t>הגהות מרדכי</w:t>
      </w:r>
      <w:r w:rsidRPr="00012502">
        <w:rPr>
          <w:rFonts w:ascii="Narkisim" w:hAnsi="Narkisim"/>
          <w:rtl/>
        </w:rPr>
        <w:t xml:space="preserve"> (צז) הביא דמשמע אף לעתיד לבא כר' מאיר (קידושין עב:), ודלא כשמואל דפסק כר' יוסי דטהורין לעתיד לבא.</w:t>
      </w:r>
    </w:p>
    <w:p w14:paraId="3C9AB040" w14:textId="77777777" w:rsidR="00BE1D1C" w:rsidRPr="00012502" w:rsidRDefault="00000000" w:rsidP="00012502">
      <w:pPr>
        <w:bidi/>
        <w:rPr>
          <w:rFonts w:ascii="Narkisim" w:hAnsi="Narkisim" w:cs="Narkisim"/>
        </w:rPr>
      </w:pPr>
      <w:r w:rsidRPr="00012502">
        <w:rPr>
          <w:rFonts w:ascii="Narkisim" w:hAnsi="Narkisim" w:cs="Narkisim"/>
          <w:u w:val="single"/>
          <w:rtl/>
        </w:rPr>
        <w:t>רבא אמר והיא עמוקה משאול.</w:t>
      </w:r>
      <w:r w:rsidRPr="00012502">
        <w:rPr>
          <w:rFonts w:ascii="Narkisim" w:hAnsi="Narkisim" w:cs="Narkisim"/>
          <w:rtl/>
        </w:rPr>
        <w:t xml:space="preserve"> ה</w:t>
      </w:r>
      <w:r w:rsidRPr="00012502">
        <w:rPr>
          <w:rFonts w:ascii="Narkisim" w:hAnsi="Narkisim" w:cs="Narkisim"/>
          <w:b/>
          <w:bCs/>
          <w:rtl/>
        </w:rPr>
        <w:t>אחרונים</w:t>
      </w:r>
      <w:r w:rsidRPr="00012502">
        <w:rPr>
          <w:rFonts w:ascii="Narkisim" w:hAnsi="Narkisim" w:cs="Narkisim"/>
          <w:rtl/>
        </w:rPr>
        <w:t xml:space="preserve"> (מגיה ליעב"ץ, חזו"א) הקשו דרבא ס"ל (לקמן מה) דעכו"ם ועבד הבא על בת ישראל הולד כשר, א"כ אין פסול בתרמוד. וכת' דס"ל דהפסול משום עבדות, וכמ"ש </w:t>
      </w:r>
      <w:r w:rsidRPr="00012502">
        <w:rPr>
          <w:rFonts w:ascii="Narkisim" w:hAnsi="Narkisim" w:cs="Narkisim"/>
          <w:b/>
          <w:bCs/>
          <w:rtl/>
        </w:rPr>
        <w:t>תוס</w:t>
      </w:r>
      <w:r w:rsidRPr="00012502">
        <w:rPr>
          <w:rFonts w:ascii="Narkisim" w:hAnsi="Narkisim" w:cs="Narkisim"/>
          <w:rtl/>
        </w:rPr>
        <w:t>' (טז: ד"ה בשלמא). ולהלכה מפקיר עבדו צריך גט שחרור.</w:t>
      </w:r>
      <w:r w:rsidRPr="00012502">
        <w:rPr>
          <w:rFonts w:ascii="Narkisim" w:hAnsi="Narkisim" w:cs="Narkisim"/>
          <w:rtl/>
        </w:rPr>
        <w:tab/>
      </w:r>
    </w:p>
    <w:p w14:paraId="15684DD6" w14:textId="77777777" w:rsidR="00BE1D1C" w:rsidRPr="00012502" w:rsidRDefault="00000000" w:rsidP="00012502">
      <w:pPr>
        <w:pStyle w:val="2"/>
        <w:bidi/>
        <w:rPr>
          <w:rFonts w:ascii="Narkisim" w:hAnsi="Narkisim"/>
        </w:rPr>
      </w:pPr>
      <w:r w:rsidRPr="00012502">
        <w:rPr>
          <w:rFonts w:ascii="Narkisim" w:hAnsi="Narkisim"/>
          <w:rtl/>
        </w:rPr>
        <w:t>הדרן עלך פרק ט"ו נשים</w:t>
      </w:r>
    </w:p>
    <w:p w14:paraId="4AAD02C0" w14:textId="77777777" w:rsidR="006074A5" w:rsidRPr="009F36E0" w:rsidRDefault="006074A5" w:rsidP="006074A5">
      <w:pPr>
        <w:pStyle w:val="a9"/>
        <w:bidi/>
        <w:rPr>
          <w:rFonts w:ascii="Narkisim" w:hAnsi="Narkisim"/>
        </w:rPr>
      </w:pPr>
      <w:r w:rsidRPr="009F36E0">
        <w:rPr>
          <w:rFonts w:ascii="Narkisim" w:hAnsi="Narkisim"/>
          <w:rtl/>
        </w:rPr>
        <w:t>בס"ד</w:t>
      </w:r>
    </w:p>
    <w:p w14:paraId="6A4F6DBE" w14:textId="77777777" w:rsidR="006074A5" w:rsidRPr="009F36E0" w:rsidRDefault="006074A5" w:rsidP="006074A5">
      <w:pPr>
        <w:pStyle w:val="1"/>
        <w:bidi/>
        <w:rPr>
          <w:rFonts w:ascii="Narkisim" w:hAnsi="Narkisim"/>
        </w:rPr>
      </w:pPr>
      <w:r w:rsidRPr="009F36E0">
        <w:rPr>
          <w:rFonts w:ascii="Narkisim" w:hAnsi="Narkisim"/>
          <w:rtl/>
        </w:rPr>
        <w:t>פרק כיצד</w:t>
      </w:r>
    </w:p>
    <w:p w14:paraId="043204BE" w14:textId="77777777" w:rsidR="006074A5" w:rsidRPr="009F36E0" w:rsidRDefault="006074A5" w:rsidP="006074A5">
      <w:pPr>
        <w:bidi/>
        <w:rPr>
          <w:rFonts w:ascii="Narkisim" w:hAnsi="Narkisim" w:cs="Narkisim"/>
        </w:rPr>
      </w:pPr>
      <w:r w:rsidRPr="009F36E0">
        <w:rPr>
          <w:rFonts w:ascii="Narkisim" w:hAnsi="Narkisim" w:cs="Narkisim"/>
          <w:u w:val="single"/>
          <w:rtl/>
        </w:rPr>
        <w:t>כיצד אשת אחיו שלא היה בעולמו וכו'.</w:t>
      </w:r>
      <w:r w:rsidRPr="009F36E0">
        <w:rPr>
          <w:rFonts w:ascii="Narkisim" w:hAnsi="Narkisim" w:cs="Narkisim"/>
          <w:rtl/>
        </w:rPr>
        <w:t xml:space="preserve"> ה</w:t>
      </w:r>
      <w:r w:rsidRPr="009F36E0">
        <w:rPr>
          <w:rFonts w:ascii="Narkisim" w:hAnsi="Narkisim" w:cs="Narkisim"/>
          <w:b/>
          <w:bCs/>
          <w:rtl/>
        </w:rPr>
        <w:t>רמב"ן</w:t>
      </w:r>
      <w:r w:rsidRPr="009F36E0">
        <w:rPr>
          <w:rFonts w:ascii="Narkisim" w:hAnsi="Narkisim" w:cs="Narkisim"/>
          <w:sz w:val="20"/>
          <w:szCs w:val="20"/>
          <w:rtl/>
        </w:rPr>
        <w:t xml:space="preserve"> (לעיל יב)</w:t>
      </w:r>
      <w:r w:rsidRPr="009F36E0">
        <w:rPr>
          <w:rFonts w:ascii="Narkisim" w:hAnsi="Narkisim" w:cs="Narkisim"/>
          <w:rtl/>
        </w:rPr>
        <w:t xml:space="preserve"> הביא דה</w:t>
      </w:r>
      <w:r w:rsidRPr="009F36E0">
        <w:rPr>
          <w:rFonts w:ascii="Narkisim" w:hAnsi="Narkisim" w:cs="Narkisim"/>
          <w:b/>
          <w:bCs/>
          <w:rtl/>
        </w:rPr>
        <w:t>ירושלמי</w:t>
      </w:r>
      <w:r w:rsidRPr="009F36E0">
        <w:rPr>
          <w:rFonts w:ascii="Narkisim" w:hAnsi="Narkisim" w:cs="Narkisim"/>
          <w:rtl/>
        </w:rPr>
        <w:t xml:space="preserve"> מקשה מ"ש דאשת אחיו שלא בעולמו פוטרת צרתה, ומ"ש מאילונית. והירושלמי תי' דאשת אחיו שלא היה בעולמו ערוה היא, וערוה פוטרת צרתה</w:t>
      </w:r>
      <w:r w:rsidRPr="009F36E0">
        <w:rPr>
          <w:rStyle w:val="ac"/>
          <w:rFonts w:ascii="Narkisim" w:hAnsi="Narkisim" w:cs="Narkisim"/>
          <w:rtl/>
        </w:rPr>
        <w:footnoteReference w:id="977"/>
      </w:r>
      <w:r w:rsidRPr="009F36E0">
        <w:rPr>
          <w:rFonts w:ascii="Narkisim" w:hAnsi="Narkisim" w:cs="Narkisim"/>
        </w:rPr>
        <w:t xml:space="preserve">. </w:t>
      </w:r>
      <w:r w:rsidRPr="009F36E0">
        <w:rPr>
          <w:rFonts w:ascii="Narkisim" w:hAnsi="Narkisim" w:cs="Narkisim"/>
          <w:rtl/>
        </w:rPr>
        <w:t>אבל אילונית ממועט מאשר תלד, שלא פטרה הכתוב אלא משום שאינה ראויה לילד וכו</w:t>
      </w:r>
      <w:r w:rsidRPr="009F36E0">
        <w:rPr>
          <w:rFonts w:ascii="Narkisim" w:hAnsi="Narkisim" w:cs="Narkisim"/>
        </w:rPr>
        <w:t>'.</w:t>
      </w:r>
    </w:p>
    <w:p w14:paraId="0DECA406"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(ברכ"ש ה) ביארו דאשת אח [דאילונית] אינה ערוה לפטור מיבום [וכיסוד הגר”ח, ע' לעיל יב.]. אבל איסור אשת אח שלא היה בעולמו נחשב ערוה לענין יבום</w:t>
      </w:r>
      <w:r w:rsidRPr="009F36E0">
        <w:rPr>
          <w:rFonts w:ascii="Narkisim" w:hAnsi="Narkisim"/>
        </w:rPr>
        <w:t>.</w:t>
      </w:r>
    </w:p>
    <w:p w14:paraId="4A5D3A18"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(ג.) כתב דאשת אח שלא היה בעולמו אינה הנאסרת משום קורבא, דאשת אח בעולמו קרובה יותר ומתייבמת. [וע"כ דהוה מיעוט מגדרי יבום]. אבל ה</w:t>
      </w:r>
      <w:r w:rsidRPr="009F36E0">
        <w:rPr>
          <w:rFonts w:ascii="Narkisim" w:hAnsi="Narkisim"/>
          <w:b/>
          <w:bCs/>
          <w:rtl/>
        </w:rPr>
        <w:t>ריטב"א</w:t>
      </w:r>
      <w:r w:rsidRPr="009F36E0">
        <w:rPr>
          <w:rFonts w:ascii="Narkisim" w:hAnsi="Narkisim"/>
          <w:rtl/>
        </w:rPr>
        <w:t xml:space="preserve"> (ג.) כת' דאשת אח שלא היה בעולמו 'אינה קורבת אח גמורה' כיון שלא היה בעולמו</w:t>
      </w:r>
      <w:r w:rsidRPr="009F36E0">
        <w:rPr>
          <w:rStyle w:val="ac"/>
          <w:rFonts w:ascii="Narkisim" w:hAnsi="Narkisim"/>
          <w:rtl/>
        </w:rPr>
        <w:footnoteReference w:id="978"/>
      </w:r>
      <w:r w:rsidRPr="009F36E0">
        <w:rPr>
          <w:rFonts w:ascii="Narkisim" w:hAnsi="Narkisim"/>
        </w:rPr>
        <w:t>.</w:t>
      </w:r>
    </w:p>
    <w:p w14:paraId="758A823B" w14:textId="77777777" w:rsidR="006074A5" w:rsidRPr="009F36E0" w:rsidRDefault="006074A5" w:rsidP="006074A5">
      <w:pPr>
        <w:pStyle w:val="a8"/>
        <w:bidi/>
        <w:rPr>
          <w:rFonts w:ascii="Narkisim" w:hAnsi="Narkisim"/>
        </w:rPr>
      </w:pPr>
      <w:r w:rsidRPr="009F36E0">
        <w:rPr>
          <w:rFonts w:ascii="Narkisim" w:hAnsi="Narkisim"/>
          <w:rtl/>
        </w:rPr>
        <w:lastRenderedPageBreak/>
        <w:t>וע' לקמן יט: וכ. בגדר האיסור אשת אחיו שלא בעולמו בנפילה שניה</w:t>
      </w:r>
      <w:r w:rsidRPr="009F36E0">
        <w:rPr>
          <w:rStyle w:val="ac"/>
          <w:rFonts w:ascii="Narkisim" w:hAnsi="Narkisim"/>
          <w:rtl/>
        </w:rPr>
        <w:footnoteReference w:id="979"/>
      </w:r>
      <w:r w:rsidRPr="009F36E0">
        <w:rPr>
          <w:rFonts w:ascii="Narkisim" w:hAnsi="Narkisim"/>
        </w:rPr>
        <w:t>.</w:t>
      </w:r>
    </w:p>
    <w:p w14:paraId="5DB317A1" w14:textId="77777777" w:rsidR="006074A5" w:rsidRPr="009F36E0" w:rsidRDefault="006074A5" w:rsidP="006074A5">
      <w:pPr>
        <w:pStyle w:val="aa"/>
        <w:bidi/>
        <w:rPr>
          <w:rFonts w:ascii="Narkisim" w:hAnsi="Narkisim"/>
        </w:rPr>
      </w:pPr>
      <w:r w:rsidRPr="009F36E0">
        <w:rPr>
          <w:rFonts w:ascii="Narkisim" w:hAnsi="Narkisim"/>
          <w:u w:val="single"/>
          <w:rtl/>
        </w:rPr>
        <w:t>רש"י ד"ה ולא מתייבמת.</w:t>
      </w:r>
      <w:r w:rsidRPr="009F36E0">
        <w:rPr>
          <w:rFonts w:ascii="Narkisim" w:hAnsi="Narkisim"/>
          <w:rtl/>
        </w:rPr>
        <w:t xml:space="preserve"> דמאמר קונה </w:t>
      </w:r>
      <w:r w:rsidRPr="009F36E0">
        <w:rPr>
          <w:rFonts w:ascii="Narkisim" w:hAnsi="Narkisim"/>
          <w:i/>
          <w:iCs/>
          <w:rtl/>
        </w:rPr>
        <w:t>מקצת</w:t>
      </w:r>
      <w:r w:rsidRPr="009F36E0">
        <w:rPr>
          <w:rFonts w:ascii="Narkisim" w:hAnsi="Narkisim"/>
          <w:rtl/>
        </w:rPr>
        <w:t xml:space="preserve"> מדרבנן. בפשוטו בעי חליצה כיון דמאמר הוה רק מדרבנן, ומשמע מלשון רש"י דאף מדרבנן מאמר הוה גדר מקצת קנין</w:t>
      </w:r>
      <w:r w:rsidRPr="009F36E0">
        <w:rPr>
          <w:rStyle w:val="ac"/>
          <w:rFonts w:ascii="Narkisim" w:hAnsi="Narkisim"/>
          <w:rtl/>
        </w:rPr>
        <w:footnoteReference w:id="980"/>
      </w:r>
      <w:r w:rsidRPr="009F36E0">
        <w:rPr>
          <w:rFonts w:ascii="Narkisim" w:hAnsi="Narkisim"/>
        </w:rPr>
        <w:t xml:space="preserve">. </w:t>
      </w:r>
      <w:r w:rsidRPr="009F36E0">
        <w:rPr>
          <w:rFonts w:ascii="Narkisim" w:hAnsi="Narkisim"/>
          <w:rtl/>
        </w:rPr>
        <w:t>[ויש שדנו דנפק"מ כשיש לה צרה שמקודשת רק מדרבנן, כגון קידושי קטנה. דאף בגדרי דרבנן אינו אישות גמורה]</w:t>
      </w:r>
      <w:r w:rsidRPr="009F36E0">
        <w:rPr>
          <w:rFonts w:ascii="Narkisim" w:hAnsi="Narkisim"/>
        </w:rPr>
        <w:t>.</w:t>
      </w:r>
    </w:p>
    <w:p w14:paraId="3A9E619E" w14:textId="77777777" w:rsidR="006074A5" w:rsidRPr="009F36E0" w:rsidRDefault="006074A5" w:rsidP="006074A5">
      <w:pPr>
        <w:pStyle w:val="3"/>
        <w:bidi/>
        <w:rPr>
          <w:rFonts w:ascii="Narkisim" w:hAnsi="Narkisim"/>
        </w:rPr>
      </w:pPr>
      <w:r w:rsidRPr="009F36E0">
        <w:rPr>
          <w:rFonts w:ascii="Narkisim" w:hAnsi="Narkisim"/>
          <w:rtl/>
        </w:rPr>
        <w:t>דף יז</w:t>
      </w:r>
      <w:r w:rsidRPr="009F36E0">
        <w:rPr>
          <w:rFonts w:ascii="Narkisim" w:hAnsi="Narkisim"/>
        </w:rPr>
        <w:t>:</w:t>
      </w:r>
    </w:p>
    <w:p w14:paraId="6913B3FA" w14:textId="77777777" w:rsidR="006074A5" w:rsidRPr="009F36E0" w:rsidRDefault="006074A5" w:rsidP="006074A5">
      <w:pPr>
        <w:bidi/>
        <w:rPr>
          <w:rFonts w:ascii="Narkisim" w:hAnsi="Narkisim" w:cs="Narkisim"/>
        </w:rPr>
      </w:pPr>
      <w:r w:rsidRPr="009F36E0">
        <w:rPr>
          <w:rFonts w:ascii="Narkisim" w:hAnsi="Narkisim" w:cs="Narkisim"/>
          <w:u w:val="single"/>
          <w:rtl/>
        </w:rPr>
        <w:t>תוד"ה אשת.</w:t>
      </w:r>
      <w:r w:rsidRPr="009F36E0">
        <w:rPr>
          <w:rFonts w:ascii="Narkisim" w:hAnsi="Narkisim" w:cs="Narkisim"/>
          <w:rtl/>
        </w:rPr>
        <w:t xml:space="preserve"> וא"ת תיפו"ל מדכתיב דרכי נועם וכו'. בפשוטו כוונת התוס' דילפי' דאין זה דרכי נועם שאחרי שהותרה לשוק [או נשאת לשוק] תחזור ליאסר</w:t>
      </w:r>
      <w:r w:rsidRPr="009F36E0">
        <w:rPr>
          <w:rStyle w:val="ac"/>
          <w:rFonts w:ascii="Narkisim" w:hAnsi="Narkisim" w:cs="Narkisim"/>
          <w:rtl/>
        </w:rPr>
        <w:footnoteReference w:id="981"/>
      </w:r>
      <w:r w:rsidRPr="009F36E0">
        <w:rPr>
          <w:rFonts w:ascii="Narkisim" w:hAnsi="Narkisim" w:cs="Narkisim"/>
        </w:rPr>
        <w:t xml:space="preserve">. </w:t>
      </w:r>
      <w:r w:rsidRPr="009F36E0">
        <w:rPr>
          <w:rFonts w:ascii="Narkisim" w:hAnsi="Narkisim" w:cs="Narkisim"/>
          <w:rtl/>
        </w:rPr>
        <w:t>וכ"כ ה</w:t>
      </w:r>
      <w:r w:rsidRPr="009F36E0">
        <w:rPr>
          <w:rFonts w:ascii="Narkisim" w:hAnsi="Narkisim" w:cs="Narkisim"/>
          <w:b/>
          <w:bCs/>
          <w:rtl/>
        </w:rPr>
        <w:t>רמב"ן</w:t>
      </w:r>
      <w:r w:rsidRPr="009F36E0">
        <w:rPr>
          <w:rFonts w:ascii="Narkisim" w:hAnsi="Narkisim" w:cs="Narkisim"/>
          <w:rtl/>
        </w:rPr>
        <w:t xml:space="preserve"> דאינו דרכי נועם דלאחר שנולד תצא מבעלה</w:t>
      </w:r>
      <w:r w:rsidRPr="009F36E0">
        <w:rPr>
          <w:rStyle w:val="ac"/>
          <w:rFonts w:ascii="Narkisim" w:hAnsi="Narkisim" w:cs="Narkisim"/>
          <w:rtl/>
        </w:rPr>
        <w:footnoteReference w:id="982"/>
      </w:r>
      <w:r w:rsidRPr="009F36E0">
        <w:rPr>
          <w:rStyle w:val="ac"/>
          <w:rFonts w:ascii="Narkisim" w:hAnsi="Narkisim" w:cs="Narkisim"/>
          <w:rtl/>
        </w:rPr>
        <w:footnoteReference w:id="983"/>
      </w:r>
      <w:r w:rsidRPr="009F36E0">
        <w:rPr>
          <w:rFonts w:ascii="Narkisim" w:hAnsi="Narkisim" w:cs="Narkisim"/>
        </w:rPr>
        <w:t>.</w:t>
      </w:r>
    </w:p>
    <w:p w14:paraId="33EC65E6" w14:textId="77777777" w:rsidR="006074A5" w:rsidRPr="009F36E0" w:rsidRDefault="006074A5" w:rsidP="006074A5">
      <w:pPr>
        <w:pStyle w:val="a7"/>
        <w:bidi/>
        <w:rPr>
          <w:rFonts w:ascii="Narkisim" w:hAnsi="Narkisim"/>
        </w:rPr>
      </w:pPr>
      <w:r w:rsidRPr="009F36E0">
        <w:rPr>
          <w:rFonts w:ascii="Narkisim" w:hAnsi="Narkisim"/>
          <w:rtl/>
        </w:rPr>
        <w:t xml:space="preserve">אבל </w:t>
      </w:r>
      <w:r w:rsidRPr="009F36E0">
        <w:rPr>
          <w:rFonts w:ascii="Narkisim" w:hAnsi="Narkisim"/>
          <w:b/>
          <w:bCs/>
          <w:rtl/>
        </w:rPr>
        <w:t>תוס' הרא"ש</w:t>
      </w:r>
      <w:r w:rsidRPr="009F36E0">
        <w:rPr>
          <w:rFonts w:ascii="Narkisim" w:hAnsi="Narkisim"/>
          <w:rtl/>
        </w:rPr>
        <w:t xml:space="preserve"> הק' דאינו דרכי נועם שלא תינשא לעולם</w:t>
      </w:r>
      <w:r w:rsidRPr="009F36E0">
        <w:rPr>
          <w:rStyle w:val="ac"/>
          <w:rFonts w:ascii="Narkisim" w:hAnsi="Narkisim"/>
          <w:rtl/>
        </w:rPr>
        <w:footnoteReference w:id="984"/>
      </w:r>
      <w:r w:rsidRPr="009F36E0">
        <w:rPr>
          <w:rFonts w:ascii="Narkisim" w:hAnsi="Narkisim"/>
        </w:rPr>
        <w:t xml:space="preserve">, </w:t>
      </w:r>
      <w:r w:rsidRPr="009F36E0">
        <w:rPr>
          <w:rFonts w:ascii="Narkisim" w:hAnsi="Narkisim"/>
          <w:rtl/>
        </w:rPr>
        <w:t xml:space="preserve">שתזקק למי שנולד אח"כ. </w:t>
      </w:r>
      <w:r w:rsidRPr="009F36E0">
        <w:rPr>
          <w:rFonts w:ascii="Narkisim" w:hAnsi="Narkisim"/>
          <w:sz w:val="20"/>
          <w:szCs w:val="20"/>
          <w:rtl/>
        </w:rPr>
        <w:t>וה</w:t>
      </w:r>
      <w:r w:rsidRPr="009F36E0">
        <w:rPr>
          <w:rFonts w:ascii="Narkisim" w:hAnsi="Narkisim"/>
          <w:b/>
          <w:bCs/>
          <w:sz w:val="20"/>
          <w:szCs w:val="20"/>
          <w:rtl/>
        </w:rPr>
        <w:t xml:space="preserve">רמב"ן </w:t>
      </w:r>
      <w:r w:rsidRPr="009F36E0">
        <w:rPr>
          <w:rFonts w:ascii="Narkisim" w:hAnsi="Narkisim"/>
          <w:sz w:val="20"/>
          <w:szCs w:val="20"/>
          <w:rtl/>
        </w:rPr>
        <w:t>הביא מתרצים דל"ש הכא דרכי נועם, דשמא אסורה לינשא כל זמן שחמיה</w:t>
      </w:r>
      <w:r w:rsidRPr="009F36E0">
        <w:rPr>
          <w:rStyle w:val="ac"/>
          <w:rFonts w:ascii="Narkisim" w:hAnsi="Narkisim"/>
          <w:sz w:val="20"/>
          <w:szCs w:val="20"/>
          <w:rtl/>
        </w:rPr>
        <w:footnoteReference w:id="985"/>
      </w:r>
      <w:r w:rsidRPr="009F36E0">
        <w:rPr>
          <w:rFonts w:ascii="Narkisim" w:hAnsi="Narkisim"/>
          <w:sz w:val="20"/>
          <w:szCs w:val="20"/>
        </w:rPr>
        <w:t xml:space="preserve"> </w:t>
      </w:r>
      <w:r w:rsidRPr="009F36E0">
        <w:rPr>
          <w:rFonts w:ascii="Narkisim" w:hAnsi="Narkisim"/>
          <w:sz w:val="20"/>
          <w:szCs w:val="20"/>
          <w:rtl/>
        </w:rPr>
        <w:t>קיים</w:t>
      </w:r>
      <w:r w:rsidRPr="009F36E0">
        <w:rPr>
          <w:rStyle w:val="ac"/>
          <w:rFonts w:ascii="Narkisim" w:hAnsi="Narkisim"/>
          <w:sz w:val="20"/>
          <w:szCs w:val="20"/>
          <w:rtl/>
        </w:rPr>
        <w:footnoteReference w:id="986"/>
      </w:r>
      <w:r w:rsidRPr="009F36E0">
        <w:rPr>
          <w:rFonts w:ascii="Narkisim" w:hAnsi="Narkisim"/>
          <w:sz w:val="20"/>
          <w:szCs w:val="20"/>
        </w:rPr>
        <w:t xml:space="preserve">. </w:t>
      </w:r>
      <w:r w:rsidRPr="009F36E0">
        <w:rPr>
          <w:rFonts w:ascii="Narkisim" w:hAnsi="Narkisim"/>
          <w:sz w:val="20"/>
          <w:szCs w:val="20"/>
          <w:rtl/>
        </w:rPr>
        <w:t>ודוקא (לקמן פז:) כשיש לו בן אמרי' דרכי נועם, דודאי מותרת לינשא כשקיים, דאל"כ תאסר לעולם</w:t>
      </w:r>
      <w:r w:rsidRPr="009F36E0">
        <w:rPr>
          <w:rFonts w:ascii="Narkisim" w:hAnsi="Narkisim"/>
          <w:sz w:val="20"/>
          <w:szCs w:val="20"/>
        </w:rPr>
        <w:t>.</w:t>
      </w:r>
    </w:p>
    <w:p w14:paraId="0F0DE77F" w14:textId="77777777" w:rsidR="006074A5" w:rsidRPr="009F36E0" w:rsidRDefault="006074A5" w:rsidP="006074A5">
      <w:pPr>
        <w:pStyle w:val="aa"/>
        <w:bidi/>
        <w:rPr>
          <w:rFonts w:ascii="Narkisim" w:hAnsi="Narkisim"/>
        </w:rPr>
      </w:pPr>
      <w:r w:rsidRPr="009F36E0">
        <w:rPr>
          <w:rFonts w:ascii="Narkisim" w:hAnsi="Narkisim"/>
        </w:rPr>
        <w:t>[</w:t>
      </w:r>
      <w:r w:rsidRPr="009F36E0">
        <w:rPr>
          <w:rFonts w:ascii="Narkisim" w:hAnsi="Narkisim"/>
          <w:rtl/>
        </w:rPr>
        <w:t>ו</w:t>
      </w:r>
      <w:r w:rsidRPr="009F36E0">
        <w:rPr>
          <w:rFonts w:ascii="Narkisim" w:hAnsi="Narkisim"/>
          <w:b/>
          <w:bCs/>
          <w:rtl/>
        </w:rPr>
        <w:t>תוס'</w:t>
      </w:r>
      <w:r w:rsidRPr="009F36E0">
        <w:rPr>
          <w:rFonts w:ascii="Narkisim" w:hAnsi="Narkisim"/>
          <w:rtl/>
        </w:rPr>
        <w:t xml:space="preserve"> (ב. ד"ה ואחות) בתי' הב' כת' דהכלל דנאסרה שעה אחת</w:t>
      </w:r>
      <w:r w:rsidRPr="009F36E0">
        <w:rPr>
          <w:rStyle w:val="ac"/>
          <w:rFonts w:ascii="Narkisim" w:hAnsi="Narkisim"/>
          <w:rtl/>
        </w:rPr>
        <w:footnoteReference w:id="987"/>
      </w:r>
      <w:r w:rsidRPr="009F36E0">
        <w:rPr>
          <w:rFonts w:ascii="Narkisim" w:hAnsi="Narkisim"/>
        </w:rPr>
        <w:t xml:space="preserve">, </w:t>
      </w:r>
      <w:r w:rsidRPr="009F36E0">
        <w:rPr>
          <w:rFonts w:ascii="Narkisim" w:hAnsi="Narkisim"/>
          <w:rtl/>
        </w:rPr>
        <w:t xml:space="preserve">הו' משום דאין זה דרכי נועם. אבל </w:t>
      </w:r>
      <w:r w:rsidRPr="009F36E0">
        <w:rPr>
          <w:rFonts w:ascii="Narkisim" w:hAnsi="Narkisim"/>
          <w:b/>
          <w:bCs/>
          <w:rtl/>
        </w:rPr>
        <w:t>תוס</w:t>
      </w:r>
      <w:r w:rsidRPr="009F36E0">
        <w:rPr>
          <w:rFonts w:ascii="Narkisim" w:hAnsi="Narkisim"/>
          <w:rtl/>
        </w:rPr>
        <w:t>' [בקו' ובתי' הא'] נקטו ד'נאסרה' הוה פוטר בפנ"ע. וה</w:t>
      </w:r>
      <w:r w:rsidRPr="009F36E0">
        <w:rPr>
          <w:rFonts w:ascii="Narkisim" w:hAnsi="Narkisim"/>
          <w:b/>
          <w:bCs/>
          <w:rtl/>
        </w:rPr>
        <w:t>קובה"ע</w:t>
      </w:r>
      <w:r w:rsidRPr="009F36E0">
        <w:rPr>
          <w:rFonts w:ascii="Narkisim" w:hAnsi="Narkisim"/>
          <w:rtl/>
        </w:rPr>
        <w:t xml:space="preserve"> (ו ב) כת' דהכא לא שייך נאסרה, כיון דלא נזקקה ליבם זה מעולם. ושפיר חל זיקה אחרי מיתה, ומש"ה תליא בחסרון דרכי נועם</w:t>
      </w:r>
      <w:r w:rsidRPr="009F36E0">
        <w:rPr>
          <w:rFonts w:ascii="Narkisim" w:hAnsi="Narkisim"/>
        </w:rPr>
        <w:t>].</w:t>
      </w:r>
    </w:p>
    <w:p w14:paraId="2376BCCB"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(קובה"ע שם, חי' ר' ראובן א) חקרו האם דרכי נועם הוא סיבת הפטור, או דהוה סימן דל"ש שתחול זיקת יבום לנולד אח"כ</w:t>
      </w:r>
      <w:r w:rsidRPr="009F36E0">
        <w:rPr>
          <w:rStyle w:val="ac"/>
          <w:rFonts w:ascii="Narkisim" w:hAnsi="Narkisim"/>
          <w:rtl/>
        </w:rPr>
        <w:footnoteReference w:id="988"/>
      </w:r>
      <w:r w:rsidRPr="009F36E0">
        <w:rPr>
          <w:rFonts w:ascii="Narkisim" w:hAnsi="Narkisim"/>
        </w:rPr>
        <w:t xml:space="preserve">. </w:t>
      </w:r>
      <w:r w:rsidRPr="009F36E0">
        <w:rPr>
          <w:rFonts w:ascii="Narkisim" w:hAnsi="Narkisim"/>
          <w:rtl/>
        </w:rPr>
        <w:t>ולפ”ז כוונת התוס' דמדין דרכי נועם ילפי' דנולד אח”כ אינו זוקק</w:t>
      </w:r>
      <w:r w:rsidRPr="009F36E0">
        <w:rPr>
          <w:rStyle w:val="ac"/>
          <w:rFonts w:ascii="Narkisim" w:hAnsi="Narkisim"/>
          <w:rtl/>
        </w:rPr>
        <w:footnoteReference w:id="989"/>
      </w:r>
      <w:r w:rsidRPr="009F36E0">
        <w:rPr>
          <w:rFonts w:ascii="Narkisim" w:hAnsi="Narkisim"/>
        </w:rPr>
        <w:t xml:space="preserve">. </w:t>
      </w:r>
      <w:r w:rsidRPr="009F36E0">
        <w:rPr>
          <w:rFonts w:ascii="Narkisim" w:hAnsi="Narkisim"/>
          <w:rtl/>
        </w:rPr>
        <w:t>ולכאורה הגדר דנפילה ליבום הוה דוקא בשעת מיתה, אבל מי שנולד לאחר זמן לא חל נפילה ליבום</w:t>
      </w:r>
      <w:r w:rsidRPr="009F36E0">
        <w:rPr>
          <w:rStyle w:val="ac"/>
          <w:rFonts w:ascii="Narkisim" w:hAnsi="Narkisim"/>
          <w:rtl/>
        </w:rPr>
        <w:footnoteReference w:id="990"/>
      </w:r>
      <w:r w:rsidRPr="009F36E0">
        <w:rPr>
          <w:rFonts w:ascii="Narkisim" w:hAnsi="Narkisim"/>
        </w:rPr>
        <w:t>.</w:t>
      </w:r>
    </w:p>
    <w:p w14:paraId="1D35806E"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רשב"א</w:t>
      </w:r>
      <w:r w:rsidRPr="009F36E0">
        <w:rPr>
          <w:rFonts w:ascii="Narkisim" w:hAnsi="Narkisim" w:cs="Narkisim"/>
          <w:rtl/>
        </w:rPr>
        <w:t xml:space="preserve"> תי' דאצטריך היכא שהיו שאר אחים והיתה זקוקה להם. וסברת דרכי נועם שייך רק כשמותרת לשוק</w:t>
      </w:r>
      <w:r w:rsidRPr="009F36E0">
        <w:rPr>
          <w:rStyle w:val="ac"/>
          <w:rFonts w:ascii="Narkisim" w:hAnsi="Narkisim" w:cs="Narkisim"/>
          <w:rtl/>
        </w:rPr>
        <w:footnoteReference w:id="991"/>
      </w:r>
      <w:r w:rsidRPr="009F36E0">
        <w:rPr>
          <w:rFonts w:ascii="Narkisim" w:hAnsi="Narkisim" w:cs="Narkisim"/>
        </w:rPr>
        <w:t xml:space="preserve">. </w:t>
      </w:r>
      <w:r w:rsidRPr="009F36E0">
        <w:rPr>
          <w:rFonts w:ascii="Narkisim" w:hAnsi="Narkisim" w:cs="Narkisim"/>
          <w:rtl/>
        </w:rPr>
        <w:t>(</w:t>
      </w:r>
      <w:r w:rsidRPr="009F36E0">
        <w:rPr>
          <w:rFonts w:ascii="Narkisim" w:hAnsi="Narkisim" w:cs="Narkisim"/>
          <w:sz w:val="20"/>
          <w:szCs w:val="20"/>
          <w:rtl/>
        </w:rPr>
        <w:t>וכ"כ ב</w:t>
      </w:r>
      <w:r w:rsidRPr="009F36E0">
        <w:rPr>
          <w:rFonts w:ascii="Narkisim" w:hAnsi="Narkisim" w:cs="Narkisim"/>
          <w:b/>
          <w:bCs/>
          <w:sz w:val="20"/>
          <w:szCs w:val="20"/>
          <w:rtl/>
        </w:rPr>
        <w:t>תוס' מהר"ם ור"פ</w:t>
      </w:r>
      <w:r w:rsidRPr="009F36E0">
        <w:rPr>
          <w:rFonts w:ascii="Narkisim" w:hAnsi="Narkisim" w:cs="Narkisim"/>
          <w:sz w:val="20"/>
          <w:szCs w:val="20"/>
          <w:rtl/>
        </w:rPr>
        <w:t>). וה</w:t>
      </w:r>
      <w:r w:rsidRPr="009F36E0">
        <w:rPr>
          <w:rFonts w:ascii="Narkisim" w:hAnsi="Narkisim" w:cs="Narkisim"/>
          <w:b/>
          <w:bCs/>
          <w:sz w:val="20"/>
          <w:szCs w:val="20"/>
          <w:rtl/>
        </w:rPr>
        <w:t>ראשונים</w:t>
      </w:r>
      <w:r w:rsidRPr="009F36E0">
        <w:rPr>
          <w:rFonts w:ascii="Narkisim" w:hAnsi="Narkisim" w:cs="Narkisim"/>
          <w:sz w:val="20"/>
          <w:szCs w:val="20"/>
          <w:rtl/>
        </w:rPr>
        <w:t xml:space="preserve"> הק' דמבואר (לקמן יח:) דלר' אושעי' לר”ש איירי דוקא בחד אחא, ואמאי איצטריך קרא</w:t>
      </w:r>
      <w:r w:rsidRPr="009F36E0">
        <w:rPr>
          <w:rFonts w:ascii="Narkisim" w:hAnsi="Narkisim" w:cs="Narkisim"/>
        </w:rPr>
        <w:t>.</w:t>
      </w:r>
    </w:p>
    <w:p w14:paraId="288CB6C8" w14:textId="77777777" w:rsidR="006074A5" w:rsidRPr="009F36E0" w:rsidRDefault="006074A5" w:rsidP="006074A5">
      <w:pPr>
        <w:pStyle w:val="a7"/>
        <w:bidi/>
        <w:rPr>
          <w:rFonts w:ascii="Narkisim" w:hAnsi="Narkisim"/>
        </w:rPr>
      </w:pPr>
      <w:r w:rsidRPr="009F36E0">
        <w:rPr>
          <w:rFonts w:ascii="Narkisim" w:hAnsi="Narkisim"/>
          <w:rtl/>
        </w:rPr>
        <w:t xml:space="preserve">אבל </w:t>
      </w:r>
      <w:r w:rsidRPr="009F36E0">
        <w:rPr>
          <w:rFonts w:ascii="Narkisim" w:hAnsi="Narkisim"/>
          <w:b/>
          <w:bCs/>
          <w:rtl/>
        </w:rPr>
        <w:t>תוס</w:t>
      </w:r>
      <w:r w:rsidRPr="009F36E0">
        <w:rPr>
          <w:rFonts w:ascii="Narkisim" w:hAnsi="Narkisim"/>
          <w:rtl/>
        </w:rPr>
        <w:t>' (ב. הנ"ל בתי' הב') נקטו דאף כשזקוקה לאחיו</w:t>
      </w:r>
      <w:r w:rsidRPr="009F36E0">
        <w:rPr>
          <w:rStyle w:val="ac"/>
          <w:rFonts w:ascii="Narkisim" w:hAnsi="Narkisim"/>
          <w:rtl/>
        </w:rPr>
        <w:footnoteReference w:id="992"/>
      </w:r>
      <w:r w:rsidRPr="009F36E0">
        <w:rPr>
          <w:rFonts w:ascii="Narkisim" w:hAnsi="Narkisim"/>
        </w:rPr>
        <w:t xml:space="preserve">, </w:t>
      </w:r>
      <w:r w:rsidRPr="009F36E0">
        <w:rPr>
          <w:rFonts w:ascii="Narkisim" w:hAnsi="Narkisim"/>
          <w:rtl/>
        </w:rPr>
        <w:t xml:space="preserve">אין זה דרכי נועם להזדקק לזה </w:t>
      </w:r>
      <w:r w:rsidRPr="009F36E0">
        <w:rPr>
          <w:rFonts w:ascii="Narkisim" w:hAnsi="Narkisim"/>
          <w:rtl/>
        </w:rPr>
        <w:lastRenderedPageBreak/>
        <w:t xml:space="preserve">שנפטרה הימנו. </w:t>
      </w:r>
      <w:r w:rsidRPr="009F36E0">
        <w:rPr>
          <w:rFonts w:ascii="Narkisim" w:hAnsi="Narkisim"/>
          <w:szCs w:val="20"/>
          <w:rtl/>
        </w:rPr>
        <w:t>[ו</w:t>
      </w:r>
      <w:r w:rsidRPr="009F36E0">
        <w:rPr>
          <w:rFonts w:ascii="Narkisim" w:hAnsi="Narkisim"/>
          <w:b/>
          <w:bCs/>
          <w:szCs w:val="20"/>
          <w:rtl/>
        </w:rPr>
        <w:t>רע"א</w:t>
      </w:r>
      <w:r w:rsidRPr="009F36E0">
        <w:rPr>
          <w:rFonts w:ascii="Narkisim" w:hAnsi="Narkisim"/>
          <w:szCs w:val="20"/>
          <w:rtl/>
        </w:rPr>
        <w:t xml:space="preserve"> כת' דתוס' (כאן) הק' לשיטתם לעיל ב.].</w:t>
      </w:r>
      <w:r w:rsidRPr="009F36E0">
        <w:rPr>
          <w:rFonts w:ascii="Narkisim" w:hAnsi="Narkisim"/>
          <w:rtl/>
        </w:rPr>
        <w:t xml:space="preserve"> ו</w:t>
      </w:r>
      <w:r w:rsidRPr="009F36E0">
        <w:rPr>
          <w:rFonts w:ascii="Narkisim" w:hAnsi="Narkisim"/>
          <w:b/>
          <w:bCs/>
          <w:rtl/>
        </w:rPr>
        <w:t>רע"א</w:t>
      </w:r>
      <w:r w:rsidRPr="009F36E0">
        <w:rPr>
          <w:rFonts w:ascii="Narkisim" w:hAnsi="Narkisim"/>
          <w:sz w:val="20"/>
          <w:szCs w:val="20"/>
          <w:rtl/>
        </w:rPr>
        <w:t xml:space="preserve"> (במקו"א)</w:t>
      </w:r>
      <w:r w:rsidRPr="009F36E0">
        <w:rPr>
          <w:rFonts w:ascii="Narkisim" w:hAnsi="Narkisim"/>
          <w:rtl/>
        </w:rPr>
        <w:t xml:space="preserve"> כת' דאף לדברי התוס', ה"מ כשנפטרה הימנו. אבל הכא לא נפטרה ממי שלא היה בעולם. ומש"ה אף לתוס' י"ל דדין דרכי נועם תליא בהיתר בפועל</w:t>
      </w:r>
      <w:r w:rsidRPr="009F36E0">
        <w:rPr>
          <w:rFonts w:ascii="Narkisim" w:hAnsi="Narkisim"/>
        </w:rPr>
        <w:t>.</w:t>
      </w:r>
    </w:p>
    <w:p w14:paraId="394CE0B0" w14:textId="77777777" w:rsidR="006074A5" w:rsidRPr="009F36E0" w:rsidRDefault="006074A5" w:rsidP="006074A5">
      <w:pPr>
        <w:bidi/>
        <w:rPr>
          <w:rFonts w:ascii="Narkisim" w:hAnsi="Narkisim" w:cs="Narkisim"/>
        </w:rPr>
      </w:pPr>
      <w:r w:rsidRPr="009F36E0">
        <w:rPr>
          <w:rFonts w:ascii="Narkisim" w:hAnsi="Narkisim" w:cs="Narkisim"/>
          <w:u w:val="single"/>
          <w:rtl/>
        </w:rPr>
        <w:t>בא"ד ואור"י דאיצטריך להיכא דחמותה של יבמה מעוברת וכו'.</w:t>
      </w:r>
      <w:r w:rsidRPr="009F36E0">
        <w:rPr>
          <w:rFonts w:ascii="Narkisim" w:hAnsi="Narkisim" w:cs="Narkisim"/>
          <w:rtl/>
        </w:rPr>
        <w:t xml:space="preserve"> [וה</w:t>
      </w:r>
      <w:r w:rsidRPr="009F36E0">
        <w:rPr>
          <w:rFonts w:ascii="Narkisim" w:hAnsi="Narkisim" w:cs="Narkisim"/>
          <w:b/>
          <w:bCs/>
          <w:rtl/>
        </w:rPr>
        <w:t>ראשונים</w:t>
      </w:r>
      <w:r w:rsidRPr="009F36E0">
        <w:rPr>
          <w:rFonts w:ascii="Narkisim" w:hAnsi="Narkisim" w:cs="Narkisim"/>
          <w:rtl/>
        </w:rPr>
        <w:t xml:space="preserve"> הביאו דכן היא ב</w:t>
      </w:r>
      <w:r w:rsidRPr="009F36E0">
        <w:rPr>
          <w:rFonts w:ascii="Narkisim" w:hAnsi="Narkisim" w:cs="Narkisim"/>
          <w:b/>
          <w:bCs/>
          <w:rtl/>
        </w:rPr>
        <w:t>ירושלמי</w:t>
      </w:r>
      <w:r w:rsidRPr="009F36E0">
        <w:rPr>
          <w:rFonts w:ascii="Narkisim" w:hAnsi="Narkisim" w:cs="Narkisim"/>
          <w:rtl/>
        </w:rPr>
        <w:t>]. ובפשוטו חל זיקה ליבם רק משעה שנולד [ול"ש זיקה לעובר]</w:t>
      </w:r>
      <w:r w:rsidRPr="009F36E0">
        <w:rPr>
          <w:rFonts w:ascii="Narkisim" w:hAnsi="Narkisim" w:cs="Narkisim"/>
        </w:rPr>
        <w:t>.</w:t>
      </w:r>
    </w:p>
    <w:p w14:paraId="55548518" w14:textId="77777777" w:rsidR="006074A5" w:rsidRPr="009F36E0" w:rsidRDefault="006074A5" w:rsidP="006074A5">
      <w:pPr>
        <w:bidi/>
        <w:rPr>
          <w:rFonts w:ascii="Narkisim" w:hAnsi="Narkisim" w:cs="Narkisim"/>
        </w:rPr>
      </w:pPr>
      <w:r w:rsidRPr="009F36E0">
        <w:rPr>
          <w:rFonts w:ascii="Narkisim" w:hAnsi="Narkisim" w:cs="Narkisim"/>
          <w:u w:val="single"/>
          <w:rtl/>
        </w:rPr>
        <w:t>בא"ד ותמתין שמא תלד זכר, ותהא זקוקה לו</w:t>
      </w:r>
      <w:r w:rsidRPr="009F36E0">
        <w:rPr>
          <w:rStyle w:val="ac"/>
          <w:rFonts w:ascii="Narkisim" w:hAnsi="Narkisim" w:cs="Narkisim"/>
          <w:rtl/>
        </w:rPr>
        <w:footnoteReference w:id="993"/>
      </w:r>
      <w:r w:rsidRPr="009F36E0">
        <w:rPr>
          <w:rFonts w:ascii="Narkisim" w:hAnsi="Narkisim" w:cs="Narkisim"/>
        </w:rPr>
        <w:t xml:space="preserve">. </w:t>
      </w:r>
      <w:r w:rsidRPr="009F36E0">
        <w:rPr>
          <w:rFonts w:ascii="Narkisim" w:hAnsi="Narkisim" w:cs="Narkisim"/>
          <w:rtl/>
        </w:rPr>
        <w:t>משמע דמחוייבת להמתין, דאסורה לשוק כשיש ספק לפנינו שמא יהא לה יבם. וה</w:t>
      </w:r>
      <w:r w:rsidRPr="009F36E0">
        <w:rPr>
          <w:rFonts w:ascii="Narkisim" w:hAnsi="Narkisim" w:cs="Narkisim"/>
          <w:b/>
          <w:bCs/>
          <w:rtl/>
        </w:rPr>
        <w:t>אחרונים</w:t>
      </w:r>
      <w:r w:rsidRPr="009F36E0">
        <w:rPr>
          <w:rFonts w:ascii="Narkisim" w:hAnsi="Narkisim" w:cs="Narkisim"/>
          <w:rtl/>
        </w:rPr>
        <w:t xml:space="preserve"> העירו דעכשיו אין יבם לפנינו, והיאך תהיה זקוקה ליבם כל זמן שלא נולד, אמאי אסורה לשוק. </w:t>
      </w:r>
      <w:r w:rsidRPr="009F36E0">
        <w:rPr>
          <w:rFonts w:ascii="Narkisim" w:hAnsi="Narkisim" w:cs="Narkisim"/>
          <w:szCs w:val="20"/>
          <w:rtl/>
        </w:rPr>
        <w:t>ולכאו' תלי בחקירת ה</w:t>
      </w:r>
      <w:r w:rsidRPr="009F36E0">
        <w:rPr>
          <w:rFonts w:ascii="Narkisim" w:hAnsi="Narkisim" w:cs="Narkisim"/>
          <w:b/>
          <w:bCs/>
          <w:szCs w:val="20"/>
          <w:rtl/>
        </w:rPr>
        <w:t>אחרונים</w:t>
      </w:r>
      <w:r w:rsidRPr="009F36E0">
        <w:rPr>
          <w:rFonts w:ascii="Narkisim" w:hAnsi="Narkisim" w:cs="Narkisim"/>
          <w:szCs w:val="20"/>
          <w:rtl/>
        </w:rPr>
        <w:t xml:space="preserve"> (הו' בסמוך) בגדר האיסור יבמה לשוק, אי הוה מחמת אישות המת. או דהוה מחמת שזקוקה ליבם</w:t>
      </w:r>
      <w:r w:rsidRPr="009F36E0">
        <w:rPr>
          <w:rFonts w:ascii="Narkisim" w:hAnsi="Narkisim" w:cs="Narkisim"/>
        </w:rPr>
        <w:t>.</w:t>
      </w:r>
    </w:p>
    <w:p w14:paraId="2682DCA9" w14:textId="77777777" w:rsidR="006074A5" w:rsidRPr="009F36E0" w:rsidRDefault="006074A5" w:rsidP="006074A5">
      <w:pPr>
        <w:pStyle w:val="a8"/>
        <w:bidi/>
        <w:rPr>
          <w:rFonts w:ascii="Narkisim" w:hAnsi="Narkisim"/>
        </w:rPr>
      </w:pPr>
      <w:r w:rsidRPr="009F36E0">
        <w:rPr>
          <w:rFonts w:ascii="Narkisim" w:hAnsi="Narkisim"/>
          <w:rtl/>
        </w:rPr>
        <w:t>ויש שדנו דאסורה מחמת שתהא זקוקה בעתיד</w:t>
      </w:r>
      <w:r w:rsidRPr="009F36E0">
        <w:rPr>
          <w:rStyle w:val="ac"/>
          <w:rFonts w:ascii="Narkisim" w:hAnsi="Narkisim"/>
          <w:rtl/>
        </w:rPr>
        <w:footnoteReference w:id="994"/>
      </w:r>
      <w:r w:rsidRPr="009F36E0">
        <w:rPr>
          <w:rFonts w:ascii="Narkisim" w:hAnsi="Narkisim"/>
        </w:rPr>
        <w:t xml:space="preserve"> </w:t>
      </w:r>
      <w:r w:rsidRPr="009F36E0">
        <w:rPr>
          <w:rFonts w:ascii="Narkisim" w:hAnsi="Narkisim"/>
          <w:rtl/>
        </w:rPr>
        <w:t>[דילפי' מ'עין עליו', וע' לקמן לה:]</w:t>
      </w:r>
      <w:r w:rsidRPr="009F36E0">
        <w:rPr>
          <w:rFonts w:ascii="Narkisim" w:hAnsi="Narkisim"/>
        </w:rPr>
        <w:t>.</w:t>
      </w:r>
    </w:p>
    <w:p w14:paraId="05580B4D" w14:textId="77777777" w:rsidR="006074A5" w:rsidRPr="009F36E0" w:rsidRDefault="006074A5" w:rsidP="006074A5">
      <w:pPr>
        <w:pStyle w:val="a7"/>
        <w:bidi/>
        <w:rPr>
          <w:rFonts w:ascii="Narkisim" w:hAnsi="Narkisim"/>
        </w:rPr>
      </w:pPr>
      <w:r w:rsidRPr="009F36E0">
        <w:rPr>
          <w:rFonts w:ascii="Narkisim" w:hAnsi="Narkisim"/>
          <w:rtl/>
        </w:rPr>
        <w:t>ועוד כתב ה</w:t>
      </w:r>
      <w:r w:rsidRPr="009F36E0">
        <w:rPr>
          <w:rFonts w:ascii="Narkisim" w:hAnsi="Narkisim"/>
          <w:b/>
          <w:bCs/>
          <w:rtl/>
        </w:rPr>
        <w:t>גר"ח</w:t>
      </w:r>
      <w:r w:rsidRPr="009F36E0">
        <w:rPr>
          <w:rFonts w:ascii="Narkisim" w:hAnsi="Narkisim"/>
          <w:rtl/>
        </w:rPr>
        <w:t xml:space="preserve"> (סטנסל עז) דס"ד דעובר זוקק ליבום, כיון דיורש</w:t>
      </w:r>
      <w:r w:rsidRPr="009F36E0">
        <w:rPr>
          <w:rStyle w:val="ac"/>
          <w:rFonts w:ascii="Narkisim" w:hAnsi="Narkisim"/>
          <w:rtl/>
        </w:rPr>
        <w:footnoteReference w:id="995"/>
      </w:r>
      <w:r w:rsidRPr="009F36E0">
        <w:rPr>
          <w:rFonts w:ascii="Narkisim" w:hAnsi="Narkisim"/>
        </w:rPr>
        <w:t xml:space="preserve">. </w:t>
      </w:r>
      <w:r w:rsidRPr="009F36E0">
        <w:rPr>
          <w:rFonts w:ascii="Narkisim" w:hAnsi="Narkisim"/>
          <w:rtl/>
        </w:rPr>
        <w:t xml:space="preserve">ויבום תליא בנחלה. </w:t>
      </w:r>
      <w:r w:rsidRPr="009F36E0">
        <w:rPr>
          <w:rFonts w:ascii="Narkisim" w:hAnsi="Narkisim"/>
          <w:szCs w:val="20"/>
          <w:rtl/>
        </w:rPr>
        <w:t>ו</w:t>
      </w:r>
      <w:r w:rsidRPr="009F36E0">
        <w:rPr>
          <w:rFonts w:ascii="Narkisim" w:hAnsi="Narkisim"/>
          <w:sz w:val="20"/>
          <w:szCs w:val="20"/>
          <w:rtl/>
        </w:rPr>
        <w:t>ה</w:t>
      </w:r>
      <w:r w:rsidRPr="009F36E0">
        <w:rPr>
          <w:rFonts w:ascii="Narkisim" w:hAnsi="Narkisim"/>
          <w:b/>
          <w:bCs/>
          <w:sz w:val="20"/>
          <w:szCs w:val="20"/>
          <w:rtl/>
        </w:rPr>
        <w:t>קובה"ע</w:t>
      </w:r>
      <w:r w:rsidRPr="009F36E0">
        <w:rPr>
          <w:rFonts w:ascii="Narkisim" w:hAnsi="Narkisim"/>
          <w:sz w:val="20"/>
          <w:szCs w:val="20"/>
          <w:rtl/>
        </w:rPr>
        <w:t xml:space="preserve"> (ו ב) הק' דאי ס"ד דזוקק ליבום א"כ יחשב 'בעולמו'. ואף שנתמעט דבעינן 'יחדיו' בעולמו, נימא דעובר הוה יחדיו</w:t>
      </w:r>
      <w:r w:rsidRPr="009F36E0">
        <w:rPr>
          <w:rStyle w:val="ac"/>
          <w:rFonts w:ascii="Narkisim" w:hAnsi="Narkisim"/>
          <w:sz w:val="20"/>
          <w:szCs w:val="20"/>
          <w:rtl/>
        </w:rPr>
        <w:footnoteReference w:id="996"/>
      </w:r>
      <w:r w:rsidRPr="009F36E0">
        <w:rPr>
          <w:rFonts w:ascii="Narkisim" w:hAnsi="Narkisim"/>
          <w:sz w:val="20"/>
          <w:szCs w:val="20"/>
        </w:rPr>
        <w:t>.</w:t>
      </w:r>
    </w:p>
    <w:p w14:paraId="1DB63C87" w14:textId="77777777" w:rsidR="006074A5" w:rsidRPr="009F36E0" w:rsidRDefault="006074A5" w:rsidP="006074A5">
      <w:pPr>
        <w:bidi/>
        <w:rPr>
          <w:rFonts w:ascii="Narkisim" w:hAnsi="Narkisim" w:cs="Narkisim"/>
          <w:rtl/>
          <w:lang w:val="he-IL"/>
        </w:rPr>
      </w:pPr>
      <w:r w:rsidRPr="009F36E0">
        <w:rPr>
          <w:rFonts w:ascii="Narkisim" w:hAnsi="Narkisim" w:cs="Narkisim"/>
          <w:i/>
          <w:iCs/>
          <w:szCs w:val="20"/>
          <w:rtl/>
          <w:lang w:val="he-IL"/>
        </w:rPr>
        <w:t>בגדר איסור יבמה לשוק</w:t>
      </w:r>
      <w:r w:rsidRPr="009F36E0">
        <w:rPr>
          <w:rFonts w:ascii="Narkisim" w:hAnsi="Narkisim" w:cs="Narkisim"/>
          <w:rtl/>
          <w:lang w:val="he-IL"/>
        </w:rPr>
        <w:t xml:space="preserve"> - וה</w:t>
      </w:r>
      <w:r w:rsidRPr="009F36E0">
        <w:rPr>
          <w:rFonts w:ascii="Narkisim" w:hAnsi="Narkisim" w:cs="Narkisim"/>
          <w:b/>
          <w:bCs/>
          <w:rtl/>
          <w:lang w:val="he-IL"/>
        </w:rPr>
        <w:t>אתוון דאורייתא</w:t>
      </w:r>
      <w:r w:rsidRPr="009F36E0">
        <w:rPr>
          <w:rFonts w:ascii="Narkisim" w:hAnsi="Narkisim" w:cs="Narkisim"/>
          <w:rtl/>
          <w:lang w:val="he-IL"/>
        </w:rPr>
        <w:t xml:space="preserve"> (ח, וע' קה"י כא) חקר בגדר האיסור יבמה לשוק, אי הוה מחמת הבעל, ואף שמת האישות קיימת כל זמן דליכא מתיר</w:t>
      </w:r>
      <w:r w:rsidRPr="009F36E0">
        <w:rPr>
          <w:rStyle w:val="ac"/>
          <w:rFonts w:ascii="Narkisim" w:hAnsi="Narkisim" w:cs="Narkisim"/>
          <w:rtl/>
          <w:lang w:val="he-IL"/>
        </w:rPr>
        <w:footnoteReference w:id="997"/>
      </w:r>
      <w:r w:rsidRPr="009F36E0">
        <w:rPr>
          <w:rFonts w:ascii="Narkisim" w:hAnsi="Narkisim" w:cs="Narkisim"/>
          <w:rtl/>
          <w:lang w:val="he-IL"/>
        </w:rPr>
        <w:t>. או דהוה מחמת קנין היבם</w:t>
      </w:r>
      <w:r w:rsidRPr="009F36E0">
        <w:rPr>
          <w:rStyle w:val="ac"/>
          <w:rFonts w:ascii="Narkisim" w:hAnsi="Narkisim" w:cs="Narkisim"/>
          <w:rtl/>
          <w:lang w:val="he-IL"/>
        </w:rPr>
        <w:footnoteReference w:id="998"/>
      </w:r>
      <w:r w:rsidRPr="009F36E0">
        <w:rPr>
          <w:rFonts w:ascii="Narkisim" w:hAnsi="Narkisim" w:cs="Narkisim"/>
          <w:rtl/>
          <w:lang w:val="he-IL"/>
        </w:rPr>
        <w:t>. והביא דבפשוטו נח' בזה המקשן והתרצן בגמ' (קידושין יד. וגיטין פג:) דדעת המקשן דהבעל אוסרה [ואפ"ה היבם מתירה], והגמ' דוחה דהיבם אוסרה [דהבעל מת, ואסורה רק מחמת יבם]. ועוד האריך בכמה וכמה סוגיות</w:t>
      </w:r>
      <w:r w:rsidRPr="009F36E0">
        <w:rPr>
          <w:rStyle w:val="ac"/>
          <w:rFonts w:ascii="Narkisim" w:hAnsi="Narkisim" w:cs="Narkisim"/>
          <w:rtl/>
          <w:lang w:val="he-IL"/>
        </w:rPr>
        <w:footnoteReference w:id="999"/>
      </w:r>
      <w:r w:rsidRPr="009F36E0">
        <w:rPr>
          <w:rFonts w:ascii="Narkisim" w:hAnsi="Narkisim" w:cs="Narkisim"/>
          <w:rtl/>
          <w:lang w:val="he-IL"/>
        </w:rPr>
        <w:t>.</w:t>
      </w:r>
    </w:p>
    <w:p w14:paraId="733CB951"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אתוון</w:t>
      </w:r>
      <w:r w:rsidRPr="009F36E0">
        <w:rPr>
          <w:rFonts w:ascii="Narkisim" w:hAnsi="Narkisim"/>
          <w:rtl/>
        </w:rPr>
        <w:t xml:space="preserve"> (בהג') הביא עוד דרבנן (לעיל ד. ולקמן צז.) דרשי לא יגלה כנף אביו בשומרת יבם של אביו, דהוה קצת אשת אביו. ומבואר דשומרת יבם נחשב מקצת אישות ליבם, ונקראת 'כנף אביו</w:t>
      </w:r>
      <w:r w:rsidRPr="009F36E0">
        <w:rPr>
          <w:rFonts w:ascii="Narkisim" w:hAnsi="Narkisim"/>
        </w:rPr>
        <w:t>'.</w:t>
      </w:r>
    </w:p>
    <w:p w14:paraId="7B9E540E"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(הוספות ו) כת' די"ל דשורש מה שזקוקה ליבום משום שנשאר 'קצת אישות' מחמת הבעל, אלא דמש"ה אינה אסורה לשוק</w:t>
      </w:r>
      <w:r w:rsidRPr="009F36E0">
        <w:rPr>
          <w:rStyle w:val="ac"/>
          <w:rFonts w:ascii="Narkisim" w:hAnsi="Narkisim"/>
          <w:rtl/>
        </w:rPr>
        <w:footnoteReference w:id="1000"/>
      </w:r>
      <w:r w:rsidRPr="009F36E0">
        <w:rPr>
          <w:rFonts w:ascii="Narkisim" w:hAnsi="Narkisim"/>
        </w:rPr>
        <w:t xml:space="preserve">. </w:t>
      </w:r>
      <w:r w:rsidRPr="009F36E0">
        <w:rPr>
          <w:rFonts w:ascii="Narkisim" w:hAnsi="Narkisim"/>
          <w:rtl/>
        </w:rPr>
        <w:t>אלא דעי"ז זקוקה ליבם, והאיסור יבמה לשוק הוה מחמת היבם</w:t>
      </w:r>
      <w:r w:rsidRPr="009F36E0">
        <w:rPr>
          <w:rStyle w:val="ac"/>
          <w:rFonts w:ascii="Narkisim" w:hAnsi="Narkisim"/>
          <w:rtl/>
        </w:rPr>
        <w:footnoteReference w:id="1001"/>
      </w:r>
      <w:r w:rsidRPr="009F36E0">
        <w:rPr>
          <w:rFonts w:ascii="Narkisim" w:hAnsi="Narkisim"/>
        </w:rPr>
        <w:t>.</w:t>
      </w:r>
    </w:p>
    <w:p w14:paraId="040B9234" w14:textId="77777777" w:rsidR="006074A5" w:rsidRPr="009F36E0" w:rsidRDefault="006074A5" w:rsidP="006074A5">
      <w:pPr>
        <w:bidi/>
        <w:rPr>
          <w:rFonts w:ascii="Narkisim" w:hAnsi="Narkisim" w:cs="Narkisim"/>
          <w:rtl/>
          <w:lang w:val="he-IL"/>
        </w:rPr>
      </w:pPr>
      <w:r w:rsidRPr="009F36E0">
        <w:rPr>
          <w:rFonts w:ascii="Narkisim" w:hAnsi="Narkisim" w:cs="Narkisim"/>
          <w:rtl/>
          <w:lang w:val="he-IL"/>
        </w:rPr>
        <w:t>וה</w:t>
      </w:r>
      <w:r w:rsidRPr="009F36E0">
        <w:rPr>
          <w:rFonts w:ascii="Narkisim" w:hAnsi="Narkisim" w:cs="Narkisim"/>
          <w:b/>
          <w:bCs/>
          <w:rtl/>
          <w:lang w:val="he-IL"/>
        </w:rPr>
        <w:t>מהרי"ט</w:t>
      </w:r>
      <w:r w:rsidRPr="009F36E0">
        <w:rPr>
          <w:rFonts w:ascii="Narkisim" w:hAnsi="Narkisim" w:cs="Narkisim"/>
          <w:rtl/>
          <w:lang w:val="he-IL"/>
        </w:rPr>
        <w:t xml:space="preserve"> (ב יח) כבר עמד עד"ז, והעלה צד</w:t>
      </w:r>
      <w:r w:rsidRPr="009F36E0">
        <w:rPr>
          <w:rStyle w:val="ac"/>
          <w:rFonts w:ascii="Narkisim" w:hAnsi="Narkisim" w:cs="Narkisim"/>
          <w:rtl/>
          <w:lang w:val="he-IL"/>
        </w:rPr>
        <w:footnoteReference w:id="1002"/>
      </w:r>
      <w:r w:rsidRPr="009F36E0">
        <w:rPr>
          <w:rFonts w:ascii="Narkisim" w:hAnsi="Narkisim" w:cs="Narkisim"/>
          <w:rtl/>
          <w:lang w:val="he-IL"/>
        </w:rPr>
        <w:t xml:space="preserve"> דזיקת היבם הוה מקידושי אחיו, שכל שמת </w:t>
      </w:r>
      <w:r w:rsidRPr="009F36E0">
        <w:rPr>
          <w:rFonts w:ascii="Narkisim" w:hAnsi="Narkisim" w:cs="Narkisim"/>
          <w:rtl/>
          <w:lang w:val="he-IL"/>
        </w:rPr>
        <w:lastRenderedPageBreak/>
        <w:t>בלא בנים עדיין זיקתו קיימת ולא הותר אלא אצל יבם</w:t>
      </w:r>
      <w:r w:rsidRPr="009F36E0">
        <w:rPr>
          <w:rStyle w:val="ac"/>
          <w:rFonts w:ascii="Narkisim" w:hAnsi="Narkisim" w:cs="Narkisim"/>
          <w:rtl/>
          <w:lang w:val="he-IL"/>
        </w:rPr>
        <w:footnoteReference w:id="1003"/>
      </w:r>
      <w:r w:rsidRPr="009F36E0">
        <w:rPr>
          <w:rFonts w:ascii="Narkisim" w:hAnsi="Narkisim" w:cs="Narkisim"/>
          <w:rtl/>
          <w:lang w:val="he-IL"/>
        </w:rPr>
        <w:t>. והמהרי"ט דחה דמבואר (קידושין יד. וגיטין פג: הנ"ל) דהיבם אוסר</w:t>
      </w:r>
      <w:r w:rsidRPr="009F36E0">
        <w:rPr>
          <w:rStyle w:val="ac"/>
          <w:rFonts w:ascii="Narkisim" w:hAnsi="Narkisim" w:cs="Narkisim"/>
          <w:rtl/>
          <w:lang w:val="he-IL"/>
        </w:rPr>
        <w:footnoteReference w:id="1004"/>
      </w:r>
      <w:r w:rsidRPr="009F36E0">
        <w:rPr>
          <w:rFonts w:ascii="Narkisim" w:hAnsi="Narkisim" w:cs="Narkisim"/>
          <w:rtl/>
          <w:lang w:val="he-IL"/>
        </w:rPr>
        <w:t>.</w:t>
      </w:r>
    </w:p>
    <w:p w14:paraId="4AF484C5" w14:textId="77777777" w:rsidR="006074A5" w:rsidRPr="009F36E0" w:rsidRDefault="006074A5" w:rsidP="006074A5">
      <w:pPr>
        <w:pStyle w:val="a7"/>
        <w:bidi/>
        <w:rPr>
          <w:rFonts w:ascii="Narkisim" w:hAnsi="Narkisim"/>
        </w:rPr>
      </w:pPr>
      <w:r w:rsidRPr="009F36E0">
        <w:rPr>
          <w:rFonts w:ascii="Narkisim" w:hAnsi="Narkisim"/>
          <w:rtl/>
        </w:rPr>
        <w:t>ועוד הוכיח דהא קידושי ראשון הופקעה לגמרי במיתתו של ראשון והשתא ליתא אלא בלא תהיה אשת המת החוצה, למ"ד דהוה לאו. תדע דשומרת יבם שזינתה אינה נאסרת</w:t>
      </w:r>
      <w:r w:rsidRPr="009F36E0">
        <w:rPr>
          <w:rStyle w:val="ac"/>
          <w:rFonts w:ascii="Narkisim" w:hAnsi="Narkisim"/>
          <w:rtl/>
        </w:rPr>
        <w:footnoteReference w:id="1005"/>
      </w:r>
      <w:r w:rsidRPr="009F36E0">
        <w:rPr>
          <w:rFonts w:ascii="Narkisim" w:hAnsi="Narkisim"/>
        </w:rPr>
        <w:t xml:space="preserve"> </w:t>
      </w:r>
      <w:r w:rsidRPr="009F36E0">
        <w:rPr>
          <w:rFonts w:ascii="Narkisim" w:hAnsi="Narkisim"/>
          <w:rtl/>
        </w:rPr>
        <w:t>[דלא קי"ל כרב המנונא סוטה יח: ולקמן צו.</w:t>
      </w:r>
      <w:r w:rsidRPr="009F36E0">
        <w:rPr>
          <w:rStyle w:val="ac"/>
          <w:rFonts w:ascii="Narkisim" w:hAnsi="Narkisim"/>
          <w:rtl/>
        </w:rPr>
        <w:footnoteReference w:id="1006"/>
      </w:r>
      <w:r w:rsidRPr="009F36E0">
        <w:rPr>
          <w:rFonts w:ascii="Narkisim" w:hAnsi="Narkisim"/>
          <w:rtl/>
        </w:rPr>
        <w:t>]. ועוד דקי"ל כשמואל (לקמן מט: וצב: ועוד) דקידושין תופסים ביבמה לשוק</w:t>
      </w:r>
      <w:r w:rsidRPr="009F36E0">
        <w:rPr>
          <w:rStyle w:val="ac"/>
          <w:rFonts w:ascii="Narkisim" w:hAnsi="Narkisim"/>
          <w:rtl/>
        </w:rPr>
        <w:footnoteReference w:id="1007"/>
      </w:r>
      <w:r w:rsidRPr="009F36E0">
        <w:rPr>
          <w:rFonts w:ascii="Narkisim" w:hAnsi="Narkisim"/>
        </w:rPr>
        <w:t>.</w:t>
      </w:r>
    </w:p>
    <w:p w14:paraId="21965608"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מהרי"ט</w:t>
      </w:r>
      <w:r w:rsidRPr="009F36E0">
        <w:rPr>
          <w:rFonts w:ascii="Narkisim" w:hAnsi="Narkisim"/>
          <w:rtl/>
        </w:rPr>
        <w:t xml:space="preserve"> הביא עוד דר' אליעזר (נדרים עד.) יליף ק"ו ומה אם אשה שקנה הוא לעצמו מיפר נדריה, אשה שהקנו לו מהשמים אינו דין שיפר. משמע דקנויה לו שלא ע"י שום אדם [ולא הוה מחמת קידושי אחיו]</w:t>
      </w:r>
      <w:r w:rsidRPr="009F36E0">
        <w:rPr>
          <w:rFonts w:ascii="Narkisim" w:hAnsi="Narkisim"/>
        </w:rPr>
        <w:t>.</w:t>
      </w:r>
    </w:p>
    <w:p w14:paraId="1F6F29EE" w14:textId="77777777" w:rsidR="006074A5" w:rsidRPr="009F36E0" w:rsidRDefault="006074A5" w:rsidP="006074A5">
      <w:pPr>
        <w:pStyle w:val="a8"/>
        <w:bidi/>
        <w:rPr>
          <w:rFonts w:ascii="Narkisim" w:hAnsi="Narkisim"/>
        </w:rPr>
      </w:pPr>
      <w:r w:rsidRPr="009F36E0">
        <w:rPr>
          <w:rFonts w:ascii="Narkisim" w:hAnsi="Narkisim"/>
          <w:rtl/>
        </w:rPr>
        <w:t xml:space="preserve">ועוד הביא מדברי </w:t>
      </w:r>
      <w:r w:rsidRPr="009F36E0">
        <w:rPr>
          <w:rFonts w:ascii="Narkisim" w:hAnsi="Narkisim"/>
          <w:b/>
          <w:bCs/>
          <w:rtl/>
        </w:rPr>
        <w:t>רש"י</w:t>
      </w:r>
      <w:r w:rsidRPr="009F36E0">
        <w:rPr>
          <w:rFonts w:ascii="Narkisim" w:hAnsi="Narkisim"/>
          <w:rtl/>
        </w:rPr>
        <w:t xml:space="preserve"> (לקמן סז:) דשומרת יבם אינו מאכיל בתרומה, דקנין כספו אמר רחמנא והאי קנין אחיו. פ</w:t>
      </w:r>
      <w:r w:rsidRPr="009F36E0">
        <w:rPr>
          <w:rFonts w:ascii="Narkisim" w:hAnsi="Narkisim"/>
          <w:b/>
          <w:bCs/>
          <w:rtl/>
        </w:rPr>
        <w:t>רש"י</w:t>
      </w:r>
      <w:r w:rsidRPr="009F36E0">
        <w:rPr>
          <w:rFonts w:ascii="Narkisim" w:hAnsi="Narkisim"/>
          <w:rtl/>
        </w:rPr>
        <w:t xml:space="preserve"> דמשמת פקע קניינו, ומש"ה לא אכלה</w:t>
      </w:r>
      <w:r w:rsidRPr="009F36E0">
        <w:rPr>
          <w:rStyle w:val="ac"/>
          <w:rFonts w:ascii="Narkisim" w:hAnsi="Narkisim"/>
          <w:rtl/>
        </w:rPr>
        <w:footnoteReference w:id="1008"/>
      </w:r>
      <w:r w:rsidRPr="009F36E0">
        <w:rPr>
          <w:rFonts w:ascii="Narkisim" w:hAnsi="Narkisim"/>
        </w:rPr>
        <w:t>.</w:t>
      </w:r>
    </w:p>
    <w:p w14:paraId="06A84BB5" w14:textId="77777777" w:rsidR="006074A5" w:rsidRPr="009F36E0" w:rsidRDefault="006074A5" w:rsidP="006074A5">
      <w:pPr>
        <w:bidi/>
        <w:rPr>
          <w:rFonts w:ascii="Narkisim" w:hAnsi="Narkisim" w:cs="Narkisim"/>
          <w:rtl/>
          <w:lang w:val="he-IL"/>
        </w:rPr>
      </w:pPr>
      <w:r w:rsidRPr="009F36E0">
        <w:rPr>
          <w:rFonts w:ascii="Narkisim" w:hAnsi="Narkisim" w:cs="Narkisim"/>
          <w:rtl/>
          <w:lang w:val="he-IL"/>
        </w:rPr>
        <w:t>וה</w:t>
      </w:r>
      <w:r w:rsidRPr="009F36E0">
        <w:rPr>
          <w:rFonts w:ascii="Narkisim" w:hAnsi="Narkisim" w:cs="Narkisim"/>
          <w:b/>
          <w:bCs/>
          <w:rtl/>
          <w:lang w:val="he-IL"/>
        </w:rPr>
        <w:t>בית מאיר</w:t>
      </w:r>
      <w:r w:rsidRPr="009F36E0">
        <w:rPr>
          <w:rFonts w:ascii="Narkisim" w:hAnsi="Narkisim" w:cs="Narkisim"/>
          <w:rtl/>
          <w:lang w:val="he-IL"/>
        </w:rPr>
        <w:t xml:space="preserve"> (קכא ב בסו"ד) הביא דבגמ' (גיטין כט:) מבואר דס"ד דשליח במקום בעל אתי, ויכול לגרש לאחר מיתה. והק' דתיפו"ל דלאחר מיתה ליכא אישות כלל</w:t>
      </w:r>
      <w:r w:rsidRPr="009F36E0">
        <w:rPr>
          <w:rStyle w:val="ac"/>
          <w:rFonts w:ascii="Narkisim" w:hAnsi="Narkisim" w:cs="Narkisim"/>
          <w:rtl/>
          <w:lang w:val="he-IL"/>
        </w:rPr>
        <w:footnoteReference w:id="1009"/>
      </w:r>
      <w:r w:rsidRPr="009F36E0">
        <w:rPr>
          <w:rFonts w:ascii="Narkisim" w:hAnsi="Narkisim" w:cs="Narkisim"/>
          <w:rtl/>
          <w:lang w:val="he-IL"/>
        </w:rPr>
        <w:t>. והבית מאיר כת' דצ"ל דקאי במקום יבם, וס"ד דמהני גט להפקיע זיקת היבום, דהוה שארית האישות</w:t>
      </w:r>
      <w:r w:rsidRPr="009F36E0">
        <w:rPr>
          <w:rStyle w:val="ac"/>
          <w:rFonts w:ascii="Narkisim" w:hAnsi="Narkisim" w:cs="Narkisim"/>
          <w:rtl/>
          <w:lang w:val="he-IL"/>
        </w:rPr>
        <w:footnoteReference w:id="1010"/>
      </w:r>
      <w:r w:rsidRPr="009F36E0">
        <w:rPr>
          <w:rFonts w:ascii="Narkisim" w:hAnsi="Narkisim" w:cs="Narkisim"/>
          <w:rtl/>
          <w:lang w:val="he-IL"/>
        </w:rPr>
        <w:t>. וב</w:t>
      </w:r>
      <w:r w:rsidRPr="009F36E0">
        <w:rPr>
          <w:rFonts w:ascii="Narkisim" w:hAnsi="Narkisim" w:cs="Narkisim"/>
          <w:b/>
          <w:bCs/>
          <w:rtl/>
          <w:lang w:val="he-IL"/>
        </w:rPr>
        <w:t>הג' ברוך טעם</w:t>
      </w:r>
      <w:r w:rsidRPr="009F36E0">
        <w:rPr>
          <w:rFonts w:ascii="Narkisim" w:hAnsi="Narkisim" w:cs="Narkisim"/>
          <w:rtl/>
          <w:lang w:val="he-IL"/>
        </w:rPr>
        <w:t xml:space="preserve"> (לבית מאיר) חלק דזה אינו, דכיון דמת ל"ש לומר שאישות הבעל קיימת. אלא דהתורה צוותה שזקוקה ליבם. [</w:t>
      </w:r>
      <w:r w:rsidRPr="009F36E0">
        <w:rPr>
          <w:rFonts w:ascii="Narkisim" w:hAnsi="Narkisim" w:cs="Narkisim"/>
          <w:szCs w:val="20"/>
          <w:rtl/>
          <w:lang w:val="he-IL"/>
        </w:rPr>
        <w:t>ופליגי בחקירה הנ"ל]</w:t>
      </w:r>
      <w:r w:rsidRPr="009F36E0">
        <w:rPr>
          <w:rFonts w:ascii="Narkisim" w:hAnsi="Narkisim" w:cs="Narkisim"/>
          <w:rtl/>
          <w:lang w:val="he-IL"/>
        </w:rPr>
        <w:t>.</w:t>
      </w:r>
    </w:p>
    <w:p w14:paraId="016D13BB" w14:textId="77777777" w:rsidR="006074A5" w:rsidRPr="009F36E0" w:rsidRDefault="006074A5" w:rsidP="006074A5">
      <w:pPr>
        <w:bidi/>
        <w:rPr>
          <w:rFonts w:ascii="Narkisim" w:hAnsi="Narkisim" w:cs="Narkisim"/>
        </w:rPr>
      </w:pPr>
      <w:r w:rsidRPr="009F36E0">
        <w:rPr>
          <w:rFonts w:ascii="Narkisim" w:hAnsi="Narkisim" w:cs="Narkisim"/>
          <w:i/>
          <w:iCs/>
          <w:szCs w:val="20"/>
          <w:rtl/>
        </w:rPr>
        <w:t>דבר שבערוה</w:t>
      </w:r>
      <w:r w:rsidRPr="009F36E0">
        <w:rPr>
          <w:rFonts w:ascii="Narkisim" w:hAnsi="Narkisim" w:cs="Narkisim"/>
          <w:rtl/>
        </w:rPr>
        <w:t xml:space="preserve"> - ועוד חקר ה</w:t>
      </w:r>
      <w:r w:rsidRPr="009F36E0">
        <w:rPr>
          <w:rFonts w:ascii="Narkisim" w:hAnsi="Narkisim" w:cs="Narkisim"/>
          <w:b/>
          <w:bCs/>
          <w:rtl/>
        </w:rPr>
        <w:t>אתוון דאורייתא</w:t>
      </w:r>
      <w:r w:rsidRPr="009F36E0">
        <w:rPr>
          <w:rFonts w:ascii="Narkisim" w:hAnsi="Narkisim" w:cs="Narkisim"/>
          <w:rtl/>
        </w:rPr>
        <w:t xml:space="preserve"> (שם</w:t>
      </w:r>
      <w:r w:rsidRPr="009F36E0">
        <w:rPr>
          <w:rStyle w:val="ac"/>
          <w:rFonts w:ascii="Narkisim" w:hAnsi="Narkisim" w:cs="Narkisim"/>
          <w:rtl/>
        </w:rPr>
        <w:footnoteReference w:id="1011"/>
      </w:r>
      <w:r w:rsidRPr="009F36E0">
        <w:rPr>
          <w:rFonts w:ascii="Narkisim" w:hAnsi="Narkisim" w:cs="Narkisim"/>
          <w:rtl/>
        </w:rPr>
        <w:t>) האם איסור יבמה לשוק הוה ענין אישות</w:t>
      </w:r>
      <w:r w:rsidRPr="009F36E0">
        <w:rPr>
          <w:rStyle w:val="ac"/>
          <w:rFonts w:ascii="Narkisim" w:hAnsi="Narkisim" w:cs="Narkisim"/>
          <w:rtl/>
        </w:rPr>
        <w:footnoteReference w:id="1012"/>
      </w:r>
      <w:r w:rsidRPr="009F36E0">
        <w:rPr>
          <w:rFonts w:ascii="Narkisim" w:hAnsi="Narkisim" w:cs="Narkisim"/>
        </w:rPr>
        <w:t xml:space="preserve"> </w:t>
      </w:r>
      <w:r w:rsidRPr="009F36E0">
        <w:rPr>
          <w:rFonts w:ascii="Narkisim" w:hAnsi="Narkisim" w:cs="Narkisim"/>
          <w:rtl/>
        </w:rPr>
        <w:t>[ודבר שבערוה], אלא דהוה אישות קלוש</w:t>
      </w:r>
      <w:r w:rsidRPr="009F36E0">
        <w:rPr>
          <w:rStyle w:val="ac"/>
          <w:rFonts w:ascii="Narkisim" w:hAnsi="Narkisim" w:cs="Narkisim"/>
          <w:rtl/>
        </w:rPr>
        <w:footnoteReference w:id="1013"/>
      </w:r>
      <w:r w:rsidRPr="009F36E0">
        <w:rPr>
          <w:rFonts w:ascii="Narkisim" w:hAnsi="Narkisim" w:cs="Narkisim"/>
        </w:rPr>
        <w:t xml:space="preserve">. </w:t>
      </w:r>
      <w:r w:rsidRPr="009F36E0">
        <w:rPr>
          <w:rFonts w:ascii="Narkisim" w:hAnsi="Narkisim" w:cs="Narkisim"/>
          <w:rtl/>
        </w:rPr>
        <w:t xml:space="preserve">או דהוה איסור חדש, וכשאר חייבי </w:t>
      </w:r>
      <w:r w:rsidRPr="009F36E0">
        <w:rPr>
          <w:rFonts w:ascii="Narkisim" w:hAnsi="Narkisim" w:cs="Narkisim"/>
          <w:rtl/>
        </w:rPr>
        <w:lastRenderedPageBreak/>
        <w:t>לאוין</w:t>
      </w:r>
      <w:r w:rsidRPr="009F36E0">
        <w:rPr>
          <w:rStyle w:val="ac"/>
          <w:rFonts w:ascii="Narkisim" w:hAnsi="Narkisim" w:cs="Narkisim"/>
          <w:rtl/>
        </w:rPr>
        <w:footnoteReference w:id="1014"/>
      </w:r>
      <w:r w:rsidRPr="009F36E0">
        <w:rPr>
          <w:rFonts w:ascii="Narkisim" w:hAnsi="Narkisim" w:cs="Narkisim"/>
        </w:rPr>
        <w:t xml:space="preserve">. </w:t>
      </w:r>
      <w:r w:rsidRPr="009F36E0">
        <w:rPr>
          <w:rFonts w:ascii="Narkisim" w:hAnsi="Narkisim" w:cs="Narkisim"/>
          <w:rtl/>
        </w:rPr>
        <w:t>והאריך להביא מכמה סוגיות האם יש בזה 'חומר ערוה</w:t>
      </w:r>
      <w:r w:rsidRPr="009F36E0">
        <w:rPr>
          <w:rFonts w:ascii="Narkisim" w:hAnsi="Narkisim" w:cs="Narkisim"/>
        </w:rPr>
        <w:t>'</w:t>
      </w:r>
      <w:r w:rsidRPr="009F36E0">
        <w:rPr>
          <w:rStyle w:val="ac"/>
          <w:rFonts w:ascii="Narkisim" w:hAnsi="Narkisim" w:cs="Narkisim"/>
        </w:rPr>
        <w:footnoteReference w:id="1015"/>
      </w:r>
      <w:r w:rsidRPr="009F36E0">
        <w:rPr>
          <w:rFonts w:ascii="Narkisim" w:hAnsi="Narkisim" w:cs="Narkisim"/>
        </w:rPr>
        <w:t>.</w:t>
      </w:r>
    </w:p>
    <w:p w14:paraId="509AB085" w14:textId="77777777" w:rsidR="006074A5" w:rsidRPr="009F36E0" w:rsidRDefault="006074A5" w:rsidP="006074A5">
      <w:pPr>
        <w:pStyle w:val="a7"/>
        <w:bidi/>
        <w:rPr>
          <w:rFonts w:ascii="Narkisim" w:hAnsi="Narkisim"/>
        </w:rPr>
      </w:pPr>
      <w:r w:rsidRPr="009F36E0">
        <w:rPr>
          <w:rFonts w:ascii="Narkisim" w:hAnsi="Narkisim"/>
          <w:rtl/>
        </w:rPr>
        <w:t>והביא מהגמ' (ב"ב קלה.) דאי' היכא דיצא קול דיש עדים שיש לו אחים, דאף דהקילו בשבויה לא הקילו באשת איש. ופ</w:t>
      </w:r>
      <w:r w:rsidRPr="009F36E0">
        <w:rPr>
          <w:rFonts w:ascii="Narkisim" w:hAnsi="Narkisim"/>
          <w:b/>
          <w:bCs/>
          <w:rtl/>
        </w:rPr>
        <w:t>רשב"ם</w:t>
      </w:r>
      <w:r w:rsidRPr="009F36E0">
        <w:rPr>
          <w:rFonts w:ascii="Narkisim" w:hAnsi="Narkisim"/>
          <w:rtl/>
        </w:rPr>
        <w:t xml:space="preserve"> (וי"ג כן בגמ') דהוה איסור חנק</w:t>
      </w:r>
      <w:r w:rsidRPr="009F36E0">
        <w:rPr>
          <w:rStyle w:val="ac"/>
          <w:rFonts w:ascii="Narkisim" w:hAnsi="Narkisim"/>
          <w:rtl/>
        </w:rPr>
        <w:footnoteReference w:id="1016"/>
      </w:r>
      <w:r w:rsidRPr="009F36E0">
        <w:rPr>
          <w:rFonts w:ascii="Narkisim" w:hAnsi="Narkisim"/>
        </w:rPr>
        <w:t xml:space="preserve">, </w:t>
      </w:r>
      <w:r w:rsidRPr="009F36E0">
        <w:rPr>
          <w:rFonts w:ascii="Narkisim" w:hAnsi="Narkisim"/>
          <w:rtl/>
        </w:rPr>
        <w:t>ואף עכשיו היא בחזקת אשת איש</w:t>
      </w:r>
      <w:r w:rsidRPr="009F36E0">
        <w:rPr>
          <w:rStyle w:val="ac"/>
          <w:rFonts w:ascii="Narkisim" w:hAnsi="Narkisim"/>
          <w:rtl/>
        </w:rPr>
        <w:footnoteReference w:id="1017"/>
      </w:r>
      <w:r w:rsidRPr="009F36E0">
        <w:rPr>
          <w:rFonts w:ascii="Narkisim" w:hAnsi="Narkisim"/>
        </w:rPr>
        <w:t xml:space="preserve">. </w:t>
      </w:r>
      <w:r w:rsidRPr="009F36E0">
        <w:rPr>
          <w:rFonts w:ascii="Narkisim" w:hAnsi="Narkisim"/>
          <w:rtl/>
        </w:rPr>
        <w:t>ומבואר דיבמה לשוק הוה בכלל איסור אשת איש [ורע”א בגהש”ס שם תמה בזה</w:t>
      </w:r>
      <w:r w:rsidRPr="009F36E0">
        <w:rPr>
          <w:rStyle w:val="ac"/>
          <w:rFonts w:ascii="Narkisim" w:hAnsi="Narkisim"/>
          <w:rtl/>
        </w:rPr>
        <w:footnoteReference w:id="1018"/>
      </w:r>
      <w:r w:rsidRPr="009F36E0">
        <w:rPr>
          <w:rFonts w:ascii="Narkisim" w:hAnsi="Narkisim"/>
          <w:rtl/>
        </w:rPr>
        <w:t>]</w:t>
      </w:r>
      <w:r w:rsidRPr="009F36E0">
        <w:rPr>
          <w:rFonts w:ascii="Narkisim" w:hAnsi="Narkisim"/>
        </w:rPr>
        <w:t>.</w:t>
      </w:r>
    </w:p>
    <w:p w14:paraId="5972B203"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(נוב"י אה"ע ק' נד, רע"א ק' קכד ומכת"י צ) דנו אי מהני עד א' באיסור יבמה לשוק כשאר איסורין</w:t>
      </w:r>
      <w:r w:rsidRPr="009F36E0">
        <w:rPr>
          <w:rStyle w:val="ac"/>
          <w:rFonts w:ascii="Narkisim" w:hAnsi="Narkisim"/>
          <w:rtl/>
        </w:rPr>
        <w:footnoteReference w:id="1019"/>
      </w:r>
      <w:r w:rsidRPr="009F36E0">
        <w:rPr>
          <w:rFonts w:ascii="Narkisim" w:hAnsi="Narkisim"/>
        </w:rPr>
        <w:t xml:space="preserve">, </w:t>
      </w:r>
      <w:r w:rsidRPr="009F36E0">
        <w:rPr>
          <w:rFonts w:ascii="Narkisim" w:hAnsi="Narkisim"/>
          <w:rtl/>
        </w:rPr>
        <w:t>או דהוה דבר שבערוה</w:t>
      </w:r>
      <w:r w:rsidRPr="009F36E0">
        <w:rPr>
          <w:rStyle w:val="ac"/>
          <w:rFonts w:ascii="Narkisim" w:hAnsi="Narkisim"/>
          <w:rtl/>
        </w:rPr>
        <w:footnoteReference w:id="1020"/>
      </w:r>
      <w:r w:rsidRPr="009F36E0">
        <w:rPr>
          <w:rFonts w:ascii="Narkisim" w:hAnsi="Narkisim"/>
        </w:rPr>
        <w:t>.</w:t>
      </w:r>
      <w:r w:rsidRPr="009F36E0">
        <w:rPr>
          <w:rStyle w:val="ac"/>
          <w:rFonts w:ascii="Narkisim" w:hAnsi="Narkisim"/>
        </w:rPr>
        <w:footnoteReference w:id="1021"/>
      </w:r>
      <w:r w:rsidRPr="009F36E0">
        <w:rPr>
          <w:rFonts w:ascii="Narkisim" w:hAnsi="Narkisim"/>
        </w:rPr>
        <w:t xml:space="preserve"> </w:t>
      </w:r>
      <w:r w:rsidRPr="009F36E0">
        <w:rPr>
          <w:rFonts w:ascii="Narkisim" w:hAnsi="Narkisim"/>
          <w:rtl/>
        </w:rPr>
        <w:t>וה</w:t>
      </w:r>
      <w:r w:rsidRPr="009F36E0">
        <w:rPr>
          <w:rFonts w:ascii="Narkisim" w:hAnsi="Narkisim"/>
          <w:b/>
          <w:bCs/>
          <w:rtl/>
        </w:rPr>
        <w:t>מרדכי</w:t>
      </w:r>
      <w:r w:rsidRPr="009F36E0">
        <w:rPr>
          <w:rFonts w:ascii="Narkisim" w:hAnsi="Narkisim"/>
          <w:rtl/>
        </w:rPr>
        <w:t xml:space="preserve"> (נח) כת' דהיתר יבמה הוה דבר שבערוה, כיון דקי"ל דהוה ספק אי תפסי קידושין</w:t>
      </w:r>
      <w:r w:rsidRPr="009F36E0">
        <w:rPr>
          <w:rStyle w:val="ac"/>
          <w:rFonts w:ascii="Narkisim" w:hAnsi="Narkisim"/>
          <w:rtl/>
        </w:rPr>
        <w:footnoteReference w:id="1022"/>
      </w:r>
      <w:r w:rsidRPr="009F36E0">
        <w:rPr>
          <w:rFonts w:ascii="Narkisim" w:hAnsi="Narkisim"/>
        </w:rPr>
        <w:t xml:space="preserve">. </w:t>
      </w:r>
      <w:r w:rsidRPr="009F36E0">
        <w:rPr>
          <w:rFonts w:ascii="Narkisim" w:hAnsi="Narkisim"/>
          <w:rtl/>
        </w:rPr>
        <w:t>ומשמע דתלי במח' אי קידושין תופסים ביבמה, דלמ"ד דתפסי קידושין הוה איסורין בעלמא</w:t>
      </w:r>
      <w:r w:rsidRPr="009F36E0">
        <w:rPr>
          <w:rStyle w:val="ac"/>
          <w:rFonts w:ascii="Narkisim" w:hAnsi="Narkisim"/>
          <w:rtl/>
        </w:rPr>
        <w:footnoteReference w:id="1023"/>
      </w:r>
      <w:r w:rsidRPr="009F36E0">
        <w:rPr>
          <w:rFonts w:ascii="Narkisim" w:hAnsi="Narkisim"/>
        </w:rPr>
        <w:t xml:space="preserve">. </w:t>
      </w:r>
      <w:r w:rsidRPr="009F36E0">
        <w:rPr>
          <w:rFonts w:ascii="Narkisim" w:hAnsi="Narkisim"/>
          <w:rtl/>
        </w:rPr>
        <w:t>ואילו למ"ד דלא תפסי קידושין הוה דבר שבערוה</w:t>
      </w:r>
      <w:r w:rsidRPr="009F36E0">
        <w:rPr>
          <w:rFonts w:ascii="Narkisim" w:hAnsi="Narkisim"/>
        </w:rPr>
        <w:t>.</w:t>
      </w:r>
    </w:p>
    <w:p w14:paraId="2023FE46" w14:textId="77777777" w:rsidR="006074A5" w:rsidRPr="009F36E0" w:rsidRDefault="006074A5" w:rsidP="006074A5">
      <w:pPr>
        <w:bidi/>
        <w:rPr>
          <w:rFonts w:ascii="Narkisim" w:hAnsi="Narkisim" w:cs="Narkisim"/>
        </w:rPr>
      </w:pPr>
      <w:r w:rsidRPr="009F36E0">
        <w:rPr>
          <w:rFonts w:ascii="Narkisim" w:hAnsi="Narkisim" w:cs="Narkisim"/>
          <w:u w:val="single"/>
          <w:rtl/>
        </w:rPr>
        <w:t>שם. ותמתין</w:t>
      </w:r>
      <w:r w:rsidRPr="009F36E0">
        <w:rPr>
          <w:rFonts w:ascii="Narkisim" w:hAnsi="Narkisim" w:cs="Narkisim"/>
          <w:rtl/>
        </w:rPr>
        <w:t xml:space="preserve">. ועוה"ק </w:t>
      </w:r>
      <w:r w:rsidRPr="009F36E0">
        <w:rPr>
          <w:rFonts w:ascii="Narkisim" w:hAnsi="Narkisim" w:cs="Narkisim"/>
          <w:b/>
          <w:bCs/>
          <w:rtl/>
        </w:rPr>
        <w:t xml:space="preserve">רע"א </w:t>
      </w:r>
      <w:r w:rsidRPr="009F36E0">
        <w:rPr>
          <w:rFonts w:ascii="Narkisim" w:hAnsi="Narkisim" w:cs="Narkisim"/>
          <w:rtl/>
        </w:rPr>
        <w:t xml:space="preserve">אמאי צריכה להמתין, תהא מותרת מדין רוב. שמחצה נקבות ומיעוט מפילות </w:t>
      </w:r>
      <w:r w:rsidRPr="009F36E0">
        <w:rPr>
          <w:rFonts w:ascii="Narkisim" w:hAnsi="Narkisim" w:cs="Narkisim"/>
          <w:sz w:val="20"/>
          <w:szCs w:val="20"/>
          <w:rtl/>
        </w:rPr>
        <w:t>[וכדאי' לקמן קיט]</w:t>
      </w:r>
      <w:r w:rsidRPr="009F36E0">
        <w:rPr>
          <w:rFonts w:ascii="Narkisim" w:hAnsi="Narkisim" w:cs="Narkisim"/>
          <w:rtl/>
        </w:rPr>
        <w:t>. [וכה"ק ב</w:t>
      </w:r>
      <w:r w:rsidRPr="009F36E0">
        <w:rPr>
          <w:rFonts w:ascii="Narkisim" w:hAnsi="Narkisim" w:cs="Narkisim"/>
          <w:b/>
          <w:bCs/>
          <w:rtl/>
        </w:rPr>
        <w:t>תוס' מהר"ם ור"פ</w:t>
      </w:r>
      <w:r w:rsidRPr="009F36E0">
        <w:rPr>
          <w:rFonts w:ascii="Narkisim" w:hAnsi="Narkisim" w:cs="Narkisim"/>
          <w:rtl/>
        </w:rPr>
        <w:t>, ועד”ז הק' ה</w:t>
      </w:r>
      <w:r w:rsidRPr="009F36E0">
        <w:rPr>
          <w:rFonts w:ascii="Narkisim" w:hAnsi="Narkisim" w:cs="Narkisim"/>
          <w:b/>
          <w:bCs/>
          <w:rtl/>
        </w:rPr>
        <w:t>רשב"א</w:t>
      </w:r>
      <w:r w:rsidRPr="009F36E0">
        <w:rPr>
          <w:rFonts w:ascii="Narkisim" w:hAnsi="Narkisim" w:cs="Narkisim"/>
          <w:rtl/>
        </w:rPr>
        <w:t xml:space="preserve"> לקמן קיט:]</w:t>
      </w:r>
      <w:r w:rsidRPr="009F36E0">
        <w:rPr>
          <w:rFonts w:ascii="Narkisim" w:hAnsi="Narkisim" w:cs="Narkisim"/>
        </w:rPr>
        <w:t>.</w:t>
      </w:r>
    </w:p>
    <w:p w14:paraId="1FDE8D76"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גר"ח</w:t>
      </w:r>
      <w:r w:rsidRPr="009F36E0">
        <w:rPr>
          <w:rFonts w:ascii="Narkisim" w:hAnsi="Narkisim"/>
          <w:rtl/>
        </w:rPr>
        <w:t xml:space="preserve"> (הנ"ל) חלק דאף אם מותר לינשא מספק, מ"מ כשנולד אח”כ נתברר דההיתר היתה מחמת טעות</w:t>
      </w:r>
      <w:r w:rsidRPr="009F36E0">
        <w:rPr>
          <w:rStyle w:val="ac"/>
          <w:rFonts w:ascii="Narkisim" w:hAnsi="Narkisim"/>
          <w:rtl/>
        </w:rPr>
        <w:footnoteReference w:id="1024"/>
      </w:r>
      <w:r w:rsidRPr="009F36E0">
        <w:rPr>
          <w:rFonts w:ascii="Narkisim" w:hAnsi="Narkisim"/>
        </w:rPr>
        <w:t xml:space="preserve">, </w:t>
      </w:r>
      <w:r w:rsidRPr="009F36E0">
        <w:rPr>
          <w:rFonts w:ascii="Narkisim" w:hAnsi="Narkisim"/>
          <w:rtl/>
        </w:rPr>
        <w:t>ולא שייך בזה גדר ההיתר משום דרכי נועם</w:t>
      </w:r>
      <w:r w:rsidRPr="009F36E0">
        <w:rPr>
          <w:rStyle w:val="ac"/>
          <w:rFonts w:ascii="Narkisim" w:hAnsi="Narkisim"/>
          <w:rtl/>
        </w:rPr>
        <w:footnoteReference w:id="1025"/>
      </w:r>
      <w:r w:rsidRPr="009F36E0">
        <w:rPr>
          <w:rFonts w:ascii="Narkisim" w:hAnsi="Narkisim"/>
        </w:rPr>
        <w:t>.</w:t>
      </w:r>
    </w:p>
    <w:p w14:paraId="37E5AD07" w14:textId="77777777" w:rsidR="006074A5" w:rsidRPr="009F36E0" w:rsidRDefault="006074A5" w:rsidP="006074A5">
      <w:pPr>
        <w:pStyle w:val="a7"/>
        <w:bidi/>
        <w:rPr>
          <w:rFonts w:ascii="Narkisim" w:hAnsi="Narkisim"/>
        </w:rPr>
      </w:pPr>
      <w:r w:rsidRPr="009F36E0">
        <w:rPr>
          <w:rFonts w:ascii="Narkisim" w:hAnsi="Narkisim"/>
          <w:sz w:val="20"/>
          <w:szCs w:val="20"/>
        </w:rPr>
        <w:t>[</w:t>
      </w:r>
      <w:r w:rsidRPr="009F36E0">
        <w:rPr>
          <w:rFonts w:ascii="Narkisim" w:hAnsi="Narkisim"/>
          <w:sz w:val="20"/>
          <w:szCs w:val="20"/>
          <w:rtl/>
        </w:rPr>
        <w:t>וה</w:t>
      </w:r>
      <w:r w:rsidRPr="009F36E0">
        <w:rPr>
          <w:rFonts w:ascii="Narkisim" w:hAnsi="Narkisim"/>
          <w:b/>
          <w:bCs/>
          <w:sz w:val="20"/>
          <w:szCs w:val="20"/>
          <w:rtl/>
        </w:rPr>
        <w:t>קובה"ע</w:t>
      </w:r>
      <w:r w:rsidRPr="009F36E0">
        <w:rPr>
          <w:rFonts w:ascii="Narkisim" w:hAnsi="Narkisim"/>
          <w:sz w:val="20"/>
          <w:szCs w:val="20"/>
          <w:rtl/>
        </w:rPr>
        <w:t xml:space="preserve"> (כד) תמה כן ע"ד הרשב"א (הנ"ל). והוכיח מדבריו דדרכי נועם הוה טעם הפטור. ולא סימן שיש פטור מצד אחר</w:t>
      </w:r>
      <w:r w:rsidRPr="009F36E0">
        <w:rPr>
          <w:rFonts w:ascii="Narkisim" w:hAnsi="Narkisim"/>
          <w:sz w:val="20"/>
          <w:szCs w:val="20"/>
        </w:rPr>
        <w:t>].</w:t>
      </w:r>
    </w:p>
    <w:p w14:paraId="012BB220"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גר"ח</w:t>
      </w:r>
      <w:r w:rsidRPr="009F36E0">
        <w:rPr>
          <w:rFonts w:ascii="Narkisim" w:hAnsi="Narkisim"/>
          <w:rtl/>
        </w:rPr>
        <w:t xml:space="preserve"> כת' דאפשר דהכא כיון דכל הזיקה מחמת העתיד, ולכן במה שמותרת מדין רוב, אינה מעוכבת מחמתו, ויש חסרון דרכי נועם</w:t>
      </w:r>
      <w:r w:rsidRPr="009F36E0">
        <w:rPr>
          <w:rFonts w:ascii="Narkisim" w:hAnsi="Narkisim"/>
        </w:rPr>
        <w:t>.</w:t>
      </w:r>
    </w:p>
    <w:p w14:paraId="045D1B2B"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(במקו"א) תי' דבאמת אינה צריכה להמתין, ומ"מ נחשב דרכי נועם כיון שיכולה להמתין</w:t>
      </w:r>
      <w:r w:rsidRPr="009F36E0">
        <w:rPr>
          <w:rFonts w:ascii="Narkisim" w:hAnsi="Narkisim"/>
        </w:rPr>
        <w:t>.</w:t>
      </w:r>
    </w:p>
    <w:p w14:paraId="02E7F42D" w14:textId="77777777" w:rsidR="006074A5" w:rsidRPr="009F36E0" w:rsidRDefault="006074A5" w:rsidP="006074A5">
      <w:pPr>
        <w:bidi/>
        <w:rPr>
          <w:rFonts w:ascii="Narkisim" w:hAnsi="Narkisim" w:cs="Narkisim"/>
        </w:rPr>
      </w:pPr>
      <w:r w:rsidRPr="009F36E0">
        <w:rPr>
          <w:rFonts w:ascii="Narkisim" w:hAnsi="Narkisim" w:cs="Narkisim"/>
          <w:u w:val="single"/>
          <w:rtl/>
        </w:rPr>
        <w:t>ואיצטריך למכתב וכו' ה"א לילף אחוה אחוה מלוט</w:t>
      </w:r>
      <w:r w:rsidRPr="009F36E0">
        <w:rPr>
          <w:rStyle w:val="ac"/>
          <w:rFonts w:ascii="Narkisim" w:hAnsi="Narkisim" w:cs="Narkisim"/>
          <w:u w:val="single"/>
          <w:rtl/>
        </w:rPr>
        <w:footnoteReference w:id="1026"/>
      </w:r>
      <w:r w:rsidRPr="009F36E0">
        <w:rPr>
          <w:rFonts w:ascii="Narkisim" w:hAnsi="Narkisim" w:cs="Narkisim"/>
          <w:u w:val="single"/>
        </w:rPr>
        <w:t xml:space="preserve"> </w:t>
      </w:r>
      <w:r w:rsidRPr="009F36E0">
        <w:rPr>
          <w:rFonts w:ascii="Narkisim" w:hAnsi="Narkisim" w:cs="Narkisim"/>
          <w:u w:val="single"/>
          <w:rtl/>
        </w:rPr>
        <w:t xml:space="preserve">וכו' כתב רחמנא יחדו, המיוחדים </w:t>
      </w:r>
      <w:r w:rsidRPr="009F36E0">
        <w:rPr>
          <w:rFonts w:ascii="Narkisim" w:hAnsi="Narkisim" w:cs="Narkisim"/>
          <w:u w:val="single"/>
          <w:rtl/>
        </w:rPr>
        <w:lastRenderedPageBreak/>
        <w:t>בנחלה.</w:t>
      </w:r>
      <w:r w:rsidRPr="009F36E0">
        <w:rPr>
          <w:rFonts w:ascii="Narkisim" w:hAnsi="Narkisim" w:cs="Narkisim"/>
          <w:rtl/>
        </w:rPr>
        <w:t xml:space="preserve"> פ</w:t>
      </w:r>
      <w:r w:rsidRPr="009F36E0">
        <w:rPr>
          <w:rFonts w:ascii="Narkisim" w:hAnsi="Narkisim" w:cs="Narkisim"/>
          <w:b/>
          <w:bCs/>
          <w:rtl/>
        </w:rPr>
        <w:t xml:space="preserve">רש"י </w:t>
      </w:r>
      <w:r w:rsidRPr="009F36E0">
        <w:rPr>
          <w:rFonts w:ascii="Narkisim" w:hAnsi="Narkisim" w:cs="Narkisim"/>
          <w:rtl/>
        </w:rPr>
        <w:t>שחולקים נחלה אחת, לאפוקי לוט [בן אחיו] שאין חולקין נחלה א</w:t>
      </w:r>
      <w:r w:rsidRPr="009F36E0">
        <w:rPr>
          <w:rFonts w:ascii="Narkisim" w:hAnsi="Narkisim" w:cs="Narkisim"/>
        </w:rPr>
        <w:t>'.</w:t>
      </w:r>
    </w:p>
    <w:p w14:paraId="178F2020" w14:textId="77777777" w:rsidR="006074A5" w:rsidRPr="009F36E0" w:rsidRDefault="006074A5" w:rsidP="006074A5">
      <w:pPr>
        <w:pStyle w:val="a7"/>
        <w:bidi/>
        <w:rPr>
          <w:rFonts w:ascii="Narkisim" w:hAnsi="Narkisim"/>
        </w:rPr>
      </w:pPr>
      <w:r w:rsidRPr="009F36E0">
        <w:rPr>
          <w:rFonts w:ascii="Narkisim" w:hAnsi="Narkisim"/>
          <w:rtl/>
        </w:rPr>
        <w:t>ה</w:t>
      </w:r>
      <w:r w:rsidRPr="009F36E0">
        <w:rPr>
          <w:rFonts w:ascii="Narkisim" w:hAnsi="Narkisim"/>
          <w:b/>
          <w:bCs/>
          <w:rtl/>
        </w:rPr>
        <w:t>רשב"א</w:t>
      </w:r>
      <w:r w:rsidRPr="009F36E0">
        <w:rPr>
          <w:rFonts w:ascii="Narkisim" w:hAnsi="Narkisim"/>
          <w:rtl/>
        </w:rPr>
        <w:t xml:space="preserve"> הק' דאחוה דלוט ראויין לירש ירושה א' מאבי אביהם. והרשב"א העלה צד דאינו בא מכחו, אלא מכח אביו. דנחלה ממשמשת. ודחה דאמרי' (ב"ב קנט.) דמאבוה דאבא קאתינן [ואף בלא הא דבא מכח אביו בקבר]. ותי' כיון דפעמים יורשים זה בלא זה</w:t>
      </w:r>
      <w:r w:rsidRPr="009F36E0">
        <w:rPr>
          <w:rStyle w:val="ac"/>
          <w:rFonts w:ascii="Narkisim" w:hAnsi="Narkisim"/>
          <w:rtl/>
        </w:rPr>
        <w:footnoteReference w:id="1027"/>
      </w:r>
      <w:r w:rsidRPr="009F36E0">
        <w:rPr>
          <w:rFonts w:ascii="Narkisim" w:hAnsi="Narkisim"/>
        </w:rPr>
        <w:t xml:space="preserve"> </w:t>
      </w:r>
      <w:r w:rsidRPr="009F36E0">
        <w:rPr>
          <w:rFonts w:ascii="Narkisim" w:hAnsi="Narkisim"/>
          <w:rtl/>
        </w:rPr>
        <w:t>לא קרינן יחדיו. אבל אחים מאב א"א לירש זה בלא זה. אבל ה</w:t>
      </w:r>
      <w:r w:rsidRPr="009F36E0">
        <w:rPr>
          <w:rFonts w:ascii="Narkisim" w:hAnsi="Narkisim"/>
          <w:b/>
          <w:bCs/>
          <w:rtl/>
        </w:rPr>
        <w:t>ריטב"א</w:t>
      </w:r>
      <w:r w:rsidRPr="009F36E0">
        <w:rPr>
          <w:rFonts w:ascii="Narkisim" w:hAnsi="Narkisim"/>
          <w:rtl/>
        </w:rPr>
        <w:t xml:space="preserve"> תי' דכיון דהוה ע"י מי שהנחלה באה ע"י, לא קרינן ביה נוחלין נחלה א</w:t>
      </w:r>
      <w:r w:rsidRPr="009F36E0">
        <w:rPr>
          <w:rFonts w:ascii="Narkisim" w:hAnsi="Narkisim"/>
        </w:rPr>
        <w:t>'.</w:t>
      </w:r>
    </w:p>
    <w:p w14:paraId="68D0218D" w14:textId="77777777" w:rsidR="006074A5" w:rsidRPr="009F36E0" w:rsidRDefault="006074A5" w:rsidP="006074A5">
      <w:pPr>
        <w:bidi/>
        <w:rPr>
          <w:rFonts w:ascii="Narkisim" w:hAnsi="Narkisim" w:cs="Narkisim"/>
        </w:rPr>
      </w:pPr>
      <w:r w:rsidRPr="009F36E0">
        <w:rPr>
          <w:rFonts w:ascii="Narkisim" w:hAnsi="Narkisim" w:cs="Narkisim"/>
          <w:u w:val="single"/>
          <w:rtl/>
        </w:rPr>
        <w:t>שם. המיוחדים בנחלה</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שחולקין נחלה א'. אבל </w:t>
      </w:r>
      <w:r w:rsidRPr="009F36E0">
        <w:rPr>
          <w:rFonts w:ascii="Narkisim" w:hAnsi="Narkisim" w:cs="Narkisim"/>
          <w:b/>
          <w:bCs/>
          <w:rtl/>
        </w:rPr>
        <w:t>רש"י</w:t>
      </w:r>
      <w:r w:rsidRPr="009F36E0">
        <w:rPr>
          <w:rFonts w:ascii="Narkisim" w:hAnsi="Narkisim" w:cs="Narkisim"/>
          <w:rtl/>
        </w:rPr>
        <w:t xml:space="preserve"> (לעיל אהא דממעטינן אחים מן האם) פי' הראויין לירש זה את זה</w:t>
      </w:r>
      <w:r w:rsidRPr="009F36E0">
        <w:rPr>
          <w:rStyle w:val="ac"/>
          <w:rFonts w:ascii="Narkisim" w:hAnsi="Narkisim" w:cs="Narkisim"/>
          <w:rtl/>
        </w:rPr>
        <w:footnoteReference w:id="1028"/>
      </w: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 xml:space="preserve">רשב"א </w:t>
      </w:r>
      <w:r w:rsidRPr="009F36E0">
        <w:rPr>
          <w:rFonts w:ascii="Narkisim" w:hAnsi="Narkisim" w:cs="Narkisim"/>
          <w:rtl/>
        </w:rPr>
        <w:t>הק' דבגמ' כאן קאי אאחוה דלוט [אחי אביו], והם יורשים זה את זה</w:t>
      </w:r>
      <w:r w:rsidRPr="009F36E0">
        <w:rPr>
          <w:rStyle w:val="ac"/>
          <w:rFonts w:ascii="Narkisim" w:hAnsi="Narkisim" w:cs="Narkisim"/>
          <w:rtl/>
        </w:rPr>
        <w:footnoteReference w:id="1029"/>
      </w:r>
      <w:r w:rsidRPr="009F36E0">
        <w:rPr>
          <w:rFonts w:ascii="Narkisim" w:hAnsi="Narkisim" w:cs="Narkisim"/>
        </w:rPr>
        <w:t xml:space="preserve">. </w:t>
      </w:r>
      <w:r w:rsidRPr="009F36E0">
        <w:rPr>
          <w:rFonts w:ascii="Narkisim" w:hAnsi="Narkisim" w:cs="Narkisim"/>
          <w:rtl/>
        </w:rPr>
        <w:t>וכת' דהעיקר כמ"ש רש"י כאן שחולקין נחלה א'. וה</w:t>
      </w:r>
      <w:r w:rsidRPr="009F36E0">
        <w:rPr>
          <w:rFonts w:ascii="Narkisim" w:hAnsi="Narkisim" w:cs="Narkisim"/>
          <w:b/>
          <w:bCs/>
          <w:rtl/>
        </w:rPr>
        <w:t>רשב”א</w:t>
      </w:r>
      <w:r w:rsidRPr="009F36E0">
        <w:rPr>
          <w:rFonts w:ascii="Narkisim" w:hAnsi="Narkisim" w:cs="Narkisim"/>
          <w:rtl/>
        </w:rPr>
        <w:t xml:space="preserve"> הק' דאחים מהאם מיוחדים ויורשים נחלת אמם יחד. ותי' דעיקר נחלה מהאב, וירושת האם לא שכיחא</w:t>
      </w:r>
      <w:r w:rsidRPr="009F36E0">
        <w:rPr>
          <w:rStyle w:val="ac"/>
          <w:rFonts w:ascii="Narkisim" w:hAnsi="Narkisim" w:cs="Narkisim"/>
          <w:rtl/>
        </w:rPr>
        <w:footnoteReference w:id="1030"/>
      </w:r>
      <w:r w:rsidRPr="009F36E0">
        <w:rPr>
          <w:rFonts w:ascii="Narkisim" w:hAnsi="Narkisim" w:cs="Narkisim"/>
        </w:rPr>
        <w:t>.</w:t>
      </w:r>
    </w:p>
    <w:p w14:paraId="13A406E2"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ריטב"א</w:t>
      </w:r>
      <w:r w:rsidRPr="009F36E0">
        <w:rPr>
          <w:rFonts w:ascii="Narkisim" w:hAnsi="Narkisim"/>
          <w:rtl/>
        </w:rPr>
        <w:t xml:space="preserve"> כתב דבעינן לתרוייהו, דאחים מהאם יורשים נחלה א', ואחי אביו [אחוה דלוט] יורש זה את זה. ובעינן שיהא מיוחד בתרוייהו</w:t>
      </w:r>
      <w:r w:rsidRPr="009F36E0">
        <w:rPr>
          <w:rStyle w:val="ac"/>
          <w:rFonts w:ascii="Narkisim" w:hAnsi="Narkisim"/>
          <w:rtl/>
        </w:rPr>
        <w:footnoteReference w:id="1031"/>
      </w:r>
      <w:r w:rsidRPr="009F36E0">
        <w:rPr>
          <w:rFonts w:ascii="Narkisim" w:hAnsi="Narkisim"/>
        </w:rPr>
        <w:t>.</w:t>
      </w:r>
    </w:p>
    <w:p w14:paraId="16A8BDEF" w14:textId="77777777" w:rsidR="006074A5" w:rsidRPr="009F36E0" w:rsidRDefault="006074A5" w:rsidP="006074A5">
      <w:pPr>
        <w:bidi/>
        <w:rPr>
          <w:rFonts w:ascii="Narkisim" w:hAnsi="Narkisim" w:cs="Narkisim"/>
        </w:rPr>
      </w:pPr>
      <w:r w:rsidRPr="009F36E0">
        <w:rPr>
          <w:rFonts w:ascii="Narkisim" w:hAnsi="Narkisim" w:cs="Narkisim"/>
          <w:u w:val="single"/>
          <w:rtl/>
        </w:rPr>
        <w:t>יבום בנחלה תלי רחמנא</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שיירש המייבם כל נכסי אחיו המת. וה</w:t>
      </w:r>
      <w:r w:rsidRPr="009F36E0">
        <w:rPr>
          <w:rFonts w:ascii="Narkisim" w:hAnsi="Narkisim" w:cs="Narkisim"/>
          <w:b/>
          <w:bCs/>
          <w:rtl/>
        </w:rPr>
        <w:t>רמב"ן</w:t>
      </w:r>
      <w:r w:rsidRPr="009F36E0">
        <w:rPr>
          <w:rFonts w:ascii="Narkisim" w:hAnsi="Narkisim" w:cs="Narkisim"/>
          <w:rtl/>
        </w:rPr>
        <w:t xml:space="preserve"> חלק שהנחלה תלויה ביבום. שהיבם יורש כל נכסי המת, וכשם שהיבם זכה שאין אחים מן האב חולקין עמו, אף אחיו מן האם [שאינו ראוי לירש] אפשר שאם ייבם זכה</w:t>
      </w:r>
      <w:r w:rsidRPr="009F36E0">
        <w:rPr>
          <w:rStyle w:val="ac"/>
          <w:rFonts w:ascii="Narkisim" w:hAnsi="Narkisim" w:cs="Narkisim"/>
          <w:rtl/>
        </w:rPr>
        <w:footnoteReference w:id="1032"/>
      </w:r>
      <w:r w:rsidRPr="009F36E0">
        <w:rPr>
          <w:rFonts w:ascii="Narkisim" w:hAnsi="Narkisim" w:cs="Narkisim"/>
        </w:rPr>
        <w:t>.</w:t>
      </w:r>
    </w:p>
    <w:p w14:paraId="628B2548" w14:textId="77777777" w:rsidR="006074A5" w:rsidRPr="009F36E0" w:rsidRDefault="006074A5" w:rsidP="006074A5">
      <w:pPr>
        <w:pStyle w:val="a8"/>
        <w:bidi/>
        <w:rPr>
          <w:rFonts w:ascii="Narkisim" w:hAnsi="Narkisim"/>
        </w:rPr>
      </w:pPr>
      <w:r w:rsidRPr="009F36E0">
        <w:rPr>
          <w:rFonts w:ascii="Narkisim" w:hAnsi="Narkisim"/>
          <w:rtl/>
        </w:rPr>
        <w:t>ומבואר דנח' בגדר ירושת יבם, דלדעת רש"י מישך לגדר ירושת אח</w:t>
      </w:r>
      <w:r w:rsidRPr="009F36E0">
        <w:rPr>
          <w:rStyle w:val="ac"/>
          <w:rFonts w:ascii="Narkisim" w:hAnsi="Narkisim"/>
          <w:rtl/>
        </w:rPr>
        <w:footnoteReference w:id="1033"/>
      </w:r>
      <w:r w:rsidRPr="009F36E0">
        <w:rPr>
          <w:rFonts w:ascii="Narkisim" w:hAnsi="Narkisim"/>
        </w:rPr>
        <w:t xml:space="preserve">. </w:t>
      </w:r>
      <w:r w:rsidRPr="009F36E0">
        <w:rPr>
          <w:rFonts w:ascii="Narkisim" w:hAnsi="Narkisim"/>
          <w:rtl/>
        </w:rPr>
        <w:t>ואילו לדעת הרמב"ן הוה פרשת ירושה מחודשת [יקום על שם אחיו], דאל”כ אמאי אחיו אינם חולקים עמו</w:t>
      </w:r>
      <w:r w:rsidRPr="009F36E0">
        <w:rPr>
          <w:rStyle w:val="ac"/>
          <w:rFonts w:ascii="Narkisim" w:hAnsi="Narkisim"/>
          <w:rtl/>
        </w:rPr>
        <w:footnoteReference w:id="1034"/>
      </w:r>
      <w:r w:rsidRPr="009F36E0">
        <w:rPr>
          <w:rFonts w:ascii="Narkisim" w:hAnsi="Narkisim"/>
        </w:rPr>
        <w:t xml:space="preserve">. </w:t>
      </w:r>
      <w:r w:rsidRPr="009F36E0">
        <w:rPr>
          <w:rFonts w:ascii="Narkisim" w:hAnsi="Narkisim"/>
          <w:rtl/>
        </w:rPr>
        <w:t>[וע”ע לקמן כד. ומ. בגדר ירושת יבם]</w:t>
      </w:r>
      <w:r w:rsidRPr="009F36E0">
        <w:rPr>
          <w:rFonts w:ascii="Narkisim" w:hAnsi="Narkisim"/>
        </w:rPr>
        <w:t>.</w:t>
      </w:r>
    </w:p>
    <w:p w14:paraId="0F22227C"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פי' דהגמ' סומכת אדרשת 'יחדיו', שיורשין כא</w:t>
      </w:r>
      <w:r w:rsidRPr="009F36E0">
        <w:rPr>
          <w:rFonts w:ascii="Narkisim" w:hAnsi="Narkisim"/>
        </w:rPr>
        <w:t>'.</w:t>
      </w:r>
    </w:p>
    <w:p w14:paraId="2B91B508" w14:textId="77777777" w:rsidR="006074A5" w:rsidRPr="009F36E0" w:rsidRDefault="006074A5" w:rsidP="006074A5">
      <w:pPr>
        <w:bidi/>
        <w:rPr>
          <w:rFonts w:ascii="Narkisim" w:hAnsi="Narkisim" w:cs="Narkisim"/>
        </w:rPr>
      </w:pPr>
      <w:r w:rsidRPr="009F36E0">
        <w:rPr>
          <w:rFonts w:ascii="Narkisim" w:hAnsi="Narkisim" w:cs="Narkisim"/>
          <w:u w:val="single"/>
          <w:rtl/>
        </w:rPr>
        <w:t>עד דמיחדי באב ואם.</w:t>
      </w:r>
      <w:r w:rsidRPr="009F36E0">
        <w:rPr>
          <w:rFonts w:ascii="Narkisim" w:hAnsi="Narkisim" w:cs="Narkisim"/>
          <w:rtl/>
        </w:rPr>
        <w:t xml:space="preserve"> ה</w:t>
      </w:r>
      <w:r w:rsidRPr="009F36E0">
        <w:rPr>
          <w:rFonts w:ascii="Narkisim" w:hAnsi="Narkisim" w:cs="Narkisim"/>
          <w:b/>
          <w:bCs/>
          <w:rtl/>
        </w:rPr>
        <w:t xml:space="preserve">רמב"ן </w:t>
      </w:r>
      <w:r w:rsidRPr="009F36E0">
        <w:rPr>
          <w:rFonts w:ascii="Narkisim" w:hAnsi="Narkisim" w:cs="Narkisim"/>
          <w:rtl/>
        </w:rPr>
        <w:t xml:space="preserve">(ושא"ר) הק' אדרבה כיון דחידוש הוא דאישתרי נימא דהותר רק חדא איסורא, ולא אשת אח מאב ואם. </w:t>
      </w:r>
      <w:r w:rsidRPr="009F36E0">
        <w:rPr>
          <w:rFonts w:ascii="Narkisim" w:hAnsi="Narkisim" w:cs="Narkisim"/>
          <w:szCs w:val="20"/>
          <w:rtl/>
        </w:rPr>
        <w:t>[ובקו' הרמב"ן מבואר דאח מאב ומאם הוה ב' שמות וב' איסורין. אבל לכאורה הוה ב' צדדי קורבא, אך הכל שם אשת אח זה. וע"ע תוס' ב: ד"ה בתו]</w:t>
      </w:r>
      <w:r w:rsidRPr="009F36E0">
        <w:rPr>
          <w:rFonts w:ascii="Narkisim" w:hAnsi="Narkisim" w:cs="Narkisim"/>
          <w:szCs w:val="20"/>
        </w:rPr>
        <w:t>.</w:t>
      </w:r>
    </w:p>
    <w:p w14:paraId="0FDAC069" w14:textId="77777777" w:rsidR="006074A5" w:rsidRPr="009F36E0" w:rsidRDefault="006074A5" w:rsidP="006074A5">
      <w:pPr>
        <w:pStyle w:val="a7"/>
        <w:bidi/>
        <w:rPr>
          <w:rFonts w:ascii="Narkisim" w:hAnsi="Narkisim"/>
        </w:rPr>
      </w:pPr>
      <w:r w:rsidRPr="009F36E0">
        <w:rPr>
          <w:rFonts w:ascii="Narkisim" w:hAnsi="Narkisim"/>
          <w:rtl/>
        </w:rPr>
        <w:t xml:space="preserve">והרמב"ן תי' דסתם 'אחים' משמע משניהם. </w:t>
      </w:r>
      <w:r w:rsidRPr="009F36E0">
        <w:rPr>
          <w:rFonts w:ascii="Narkisim" w:hAnsi="Narkisim"/>
          <w:i/>
          <w:iCs/>
          <w:rtl/>
        </w:rPr>
        <w:t>א"נ</w:t>
      </w:r>
      <w:r w:rsidRPr="009F36E0">
        <w:rPr>
          <w:rFonts w:ascii="Narkisim" w:hAnsi="Narkisim"/>
          <w:rtl/>
        </w:rPr>
        <w:t xml:space="preserve"> כל שקרובים יותר התיר הכתוב, ואם יש לך לתפוס המועט היינו הקרוב קרוב קודם. </w:t>
      </w:r>
      <w:r w:rsidRPr="009F36E0">
        <w:rPr>
          <w:rFonts w:ascii="Narkisim" w:hAnsi="Narkisim"/>
          <w:sz w:val="20"/>
          <w:szCs w:val="20"/>
          <w:rtl/>
        </w:rPr>
        <w:t>[ואח מאב ואם הוה אח קרוב יותר, ולא נחשב ב' סיבות איסור</w:t>
      </w:r>
      <w:r w:rsidRPr="009F36E0">
        <w:rPr>
          <w:rStyle w:val="ac"/>
          <w:rFonts w:ascii="Narkisim" w:hAnsi="Narkisim"/>
          <w:sz w:val="20"/>
          <w:szCs w:val="20"/>
          <w:rtl/>
        </w:rPr>
        <w:footnoteReference w:id="1035"/>
      </w:r>
      <w:r w:rsidRPr="009F36E0">
        <w:rPr>
          <w:rFonts w:ascii="Narkisim" w:hAnsi="Narkisim"/>
          <w:sz w:val="20"/>
          <w:szCs w:val="20"/>
          <w:rtl/>
        </w:rPr>
        <w:t>]</w:t>
      </w:r>
      <w:r w:rsidRPr="009F36E0">
        <w:rPr>
          <w:rFonts w:ascii="Narkisim" w:hAnsi="Narkisim"/>
          <w:sz w:val="20"/>
          <w:szCs w:val="20"/>
        </w:rPr>
        <w:t>.</w:t>
      </w:r>
    </w:p>
    <w:p w14:paraId="56144114"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(בסוף קו' זיקה) הוסיף דגדר הנפילה ליבום הוא מחמת איסור אשת אח, דמצוותו בכך שבמקום מצוה </w:t>
      </w:r>
      <w:r w:rsidRPr="009F36E0">
        <w:rPr>
          <w:rFonts w:ascii="Narkisim" w:hAnsi="Narkisim"/>
          <w:rtl/>
        </w:rPr>
        <w:lastRenderedPageBreak/>
        <w:t>האיסור גורם ההיתר</w:t>
      </w:r>
      <w:r w:rsidRPr="009F36E0">
        <w:rPr>
          <w:rStyle w:val="ac"/>
          <w:rFonts w:ascii="Narkisim" w:hAnsi="Narkisim"/>
          <w:rtl/>
        </w:rPr>
        <w:footnoteReference w:id="1036"/>
      </w:r>
      <w:r w:rsidRPr="009F36E0">
        <w:rPr>
          <w:rFonts w:ascii="Narkisim" w:hAnsi="Narkisim"/>
        </w:rPr>
        <w:t xml:space="preserve">. </w:t>
      </w:r>
      <w:r w:rsidRPr="009F36E0">
        <w:rPr>
          <w:rFonts w:ascii="Narkisim" w:hAnsi="Narkisim"/>
          <w:rtl/>
        </w:rPr>
        <w:t>ואם נימא דאח מאב ומאם מתייבמת, א”כ מסתבר דההיתר איסור אשת אח מאם הוה ג”כ מצוותו בכך, וגורם ההיתר, ולכן הגמ' סברא עד דמיחדי</w:t>
      </w:r>
      <w:r w:rsidRPr="009F36E0">
        <w:rPr>
          <w:rStyle w:val="ac"/>
          <w:rFonts w:ascii="Narkisim" w:hAnsi="Narkisim"/>
          <w:rtl/>
        </w:rPr>
        <w:footnoteReference w:id="1037"/>
      </w:r>
      <w:r w:rsidRPr="009F36E0">
        <w:rPr>
          <w:rFonts w:ascii="Narkisim" w:hAnsi="Narkisim"/>
        </w:rPr>
        <w:t>.</w:t>
      </w:r>
    </w:p>
    <w:p w14:paraId="62117A4D" w14:textId="77777777" w:rsidR="006074A5" w:rsidRPr="009F36E0" w:rsidRDefault="006074A5" w:rsidP="006074A5">
      <w:pPr>
        <w:pStyle w:val="2"/>
        <w:bidi/>
        <w:rPr>
          <w:rFonts w:ascii="Narkisim" w:hAnsi="Narkisim"/>
        </w:rPr>
      </w:pPr>
      <w:r w:rsidRPr="009F36E0">
        <w:rPr>
          <w:rFonts w:ascii="Narkisim" w:hAnsi="Narkisim"/>
          <w:rtl/>
        </w:rPr>
        <w:t>סוגיית זיקה</w:t>
      </w:r>
    </w:p>
    <w:p w14:paraId="538DB43D" w14:textId="77777777" w:rsidR="006074A5" w:rsidRPr="009F36E0" w:rsidRDefault="006074A5" w:rsidP="006074A5">
      <w:pPr>
        <w:bidi/>
        <w:rPr>
          <w:rFonts w:ascii="Narkisim" w:hAnsi="Narkisim" w:cs="Narkisim"/>
        </w:rPr>
      </w:pPr>
      <w:r w:rsidRPr="009F36E0">
        <w:rPr>
          <w:rFonts w:ascii="Narkisim" w:hAnsi="Narkisim" w:cs="Narkisim"/>
          <w:u w:val="single"/>
          <w:rtl/>
        </w:rPr>
        <w:t>אמר רב הונא וכו' אין זיקה.</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לא אלימא למהוי כארוסה ליאסר קרובות עליו</w:t>
      </w:r>
      <w:r w:rsidRPr="009F36E0">
        <w:rPr>
          <w:rStyle w:val="ac"/>
          <w:rFonts w:ascii="Narkisim" w:hAnsi="Narkisim" w:cs="Narkisim"/>
          <w:rtl/>
        </w:rPr>
        <w:footnoteReference w:id="1038"/>
      </w:r>
      <w:r w:rsidRPr="009F36E0">
        <w:rPr>
          <w:rFonts w:ascii="Narkisim" w:hAnsi="Narkisim" w:cs="Narkisim"/>
        </w:rPr>
        <w:t xml:space="preserve">. </w:t>
      </w:r>
      <w:r w:rsidRPr="009F36E0">
        <w:rPr>
          <w:rFonts w:ascii="Narkisim" w:hAnsi="Narkisim" w:cs="Narkisim"/>
          <w:rtl/>
        </w:rPr>
        <w:t>משמע מדברי רש"י דלכו"ע יש 'זיקה'</w:t>
      </w:r>
      <w:r w:rsidRPr="009F36E0">
        <w:rPr>
          <w:rStyle w:val="ac"/>
          <w:rFonts w:ascii="Narkisim" w:hAnsi="Narkisim" w:cs="Narkisim"/>
          <w:rtl/>
        </w:rPr>
        <w:footnoteReference w:id="1039"/>
      </w:r>
      <w:r w:rsidRPr="009F36E0">
        <w:rPr>
          <w:rFonts w:ascii="Narkisim" w:hAnsi="Narkisim" w:cs="Narkisim"/>
          <w:rtl/>
        </w:rPr>
        <w:t>, או דנח' האם אלימא זיקה. (ע' בסמוך). ואף למ"ד 'אין זיקה' יש עליה קנין היבם</w:t>
      </w:r>
      <w:r w:rsidRPr="009F36E0">
        <w:rPr>
          <w:rStyle w:val="ac"/>
          <w:rFonts w:ascii="Narkisim" w:hAnsi="Narkisim" w:cs="Narkisim"/>
          <w:rtl/>
        </w:rPr>
        <w:footnoteReference w:id="1040"/>
      </w:r>
      <w:r w:rsidRPr="009F36E0">
        <w:rPr>
          <w:rFonts w:ascii="Narkisim" w:hAnsi="Narkisim" w:cs="Narkisim"/>
        </w:rPr>
        <w:t xml:space="preserve">, </w:t>
      </w:r>
      <w:r w:rsidRPr="009F36E0">
        <w:rPr>
          <w:rFonts w:ascii="Narkisim" w:hAnsi="Narkisim" w:cs="Narkisim"/>
          <w:rtl/>
        </w:rPr>
        <w:t>אלא דלא נחשב עי"ז כארוסה</w:t>
      </w:r>
      <w:r w:rsidRPr="009F36E0">
        <w:rPr>
          <w:rFonts w:ascii="Narkisim" w:hAnsi="Narkisim" w:cs="Narkisim"/>
        </w:rPr>
        <w:t>.</w:t>
      </w:r>
    </w:p>
    <w:p w14:paraId="7E4860F2" w14:textId="77777777" w:rsidR="006074A5" w:rsidRPr="009F36E0" w:rsidRDefault="006074A5" w:rsidP="006074A5">
      <w:pPr>
        <w:pStyle w:val="aa"/>
        <w:bidi/>
        <w:rPr>
          <w:rFonts w:ascii="Narkisim" w:hAnsi="Narkisim"/>
        </w:rPr>
      </w:pPr>
      <w:r w:rsidRPr="009F36E0">
        <w:rPr>
          <w:rFonts w:ascii="Narkisim" w:hAnsi="Narkisim"/>
          <w:rtl/>
        </w:rPr>
        <w:t>ונח' התנאים ואמוראים בכמה מקומות האם 'יש זיקה' או אין זיקה</w:t>
      </w:r>
      <w:r w:rsidRPr="009F36E0">
        <w:rPr>
          <w:rFonts w:ascii="Narkisim" w:hAnsi="Narkisim"/>
        </w:rPr>
        <w:t>.</w:t>
      </w:r>
    </w:p>
    <w:p w14:paraId="39BC2D7C" w14:textId="77777777" w:rsidR="006074A5" w:rsidRPr="009F36E0" w:rsidRDefault="006074A5" w:rsidP="006074A5">
      <w:pPr>
        <w:pStyle w:val="a8"/>
        <w:bidi/>
        <w:rPr>
          <w:rFonts w:ascii="Narkisim" w:hAnsi="Narkisim"/>
        </w:rPr>
      </w:pPr>
      <w:r w:rsidRPr="009F36E0">
        <w:rPr>
          <w:rFonts w:ascii="Narkisim" w:hAnsi="Narkisim"/>
          <w:i/>
          <w:iCs/>
          <w:rtl/>
        </w:rPr>
        <w:t>א'</w:t>
      </w:r>
      <w:r w:rsidRPr="009F36E0">
        <w:rPr>
          <w:rFonts w:ascii="Narkisim" w:hAnsi="Narkisim"/>
          <w:rtl/>
        </w:rPr>
        <w:t xml:space="preserve"> נחלקו בסוגיין רב ושמואל, וכן ריב"ב ורבן גמליאל האם אסור בקרובות זקוקתו</w:t>
      </w:r>
      <w:r w:rsidRPr="009F36E0">
        <w:rPr>
          <w:rFonts w:ascii="Narkisim" w:hAnsi="Narkisim"/>
        </w:rPr>
        <w:t>.</w:t>
      </w:r>
    </w:p>
    <w:p w14:paraId="0329B469" w14:textId="77777777" w:rsidR="006074A5" w:rsidRPr="009F36E0" w:rsidRDefault="006074A5" w:rsidP="006074A5">
      <w:pPr>
        <w:pStyle w:val="a8"/>
        <w:bidi/>
        <w:rPr>
          <w:rFonts w:ascii="Narkisim" w:hAnsi="Narkisim"/>
        </w:rPr>
      </w:pPr>
      <w:r w:rsidRPr="009F36E0">
        <w:rPr>
          <w:rFonts w:ascii="Narkisim" w:hAnsi="Narkisim"/>
          <w:i/>
          <w:iCs/>
          <w:rtl/>
        </w:rPr>
        <w:t>ב'</w:t>
      </w:r>
      <w:r w:rsidRPr="009F36E0">
        <w:rPr>
          <w:rFonts w:ascii="Narkisim" w:hAnsi="Narkisim"/>
          <w:rtl/>
        </w:rPr>
        <w:t xml:space="preserve"> מבואר בסוגיות (יח. ול.) דלמ"ד 'יש זיקה' אשתו של היבם נחשבת צרה ליבמה, ואוסרת צרתה</w:t>
      </w:r>
      <w:r w:rsidRPr="009F36E0">
        <w:rPr>
          <w:rFonts w:ascii="Narkisim" w:hAnsi="Narkisim"/>
        </w:rPr>
        <w:t>.</w:t>
      </w:r>
    </w:p>
    <w:p w14:paraId="71FAC2C2" w14:textId="77777777" w:rsidR="006074A5" w:rsidRPr="009F36E0" w:rsidRDefault="006074A5" w:rsidP="006074A5">
      <w:pPr>
        <w:pStyle w:val="a8"/>
        <w:bidi/>
        <w:rPr>
          <w:rFonts w:ascii="Narkisim" w:hAnsi="Narkisim"/>
        </w:rPr>
      </w:pPr>
      <w:r w:rsidRPr="009F36E0">
        <w:rPr>
          <w:rFonts w:ascii="Narkisim" w:hAnsi="Narkisim"/>
          <w:i/>
          <w:iCs/>
          <w:rtl/>
        </w:rPr>
        <w:t>ג'</w:t>
      </w:r>
      <w:r w:rsidRPr="009F36E0">
        <w:rPr>
          <w:rFonts w:ascii="Narkisim" w:hAnsi="Narkisim"/>
          <w:rtl/>
        </w:rPr>
        <w:t xml:space="preserve"> עוד נח' ר"ע ור' יהושע (נדרים עד ולקמן כט:) האם היבם קנה יבמתו להפרת נדרים. [ונח' הראשונים אי תלי במח' הנ"ל, ע' בסמוך]</w:t>
      </w:r>
      <w:r w:rsidRPr="009F36E0">
        <w:rPr>
          <w:rFonts w:ascii="Narkisim" w:hAnsi="Narkisim"/>
        </w:rPr>
        <w:t>.</w:t>
      </w:r>
    </w:p>
    <w:p w14:paraId="3C0E8989" w14:textId="77777777" w:rsidR="006074A5" w:rsidRPr="009F36E0" w:rsidRDefault="006074A5" w:rsidP="006074A5">
      <w:pPr>
        <w:pStyle w:val="a8"/>
        <w:bidi/>
        <w:rPr>
          <w:rFonts w:ascii="Narkisim" w:hAnsi="Narkisim"/>
        </w:rPr>
      </w:pPr>
      <w:r w:rsidRPr="009F36E0">
        <w:rPr>
          <w:rFonts w:ascii="Narkisim" w:hAnsi="Narkisim"/>
          <w:i/>
          <w:iCs/>
          <w:rtl/>
        </w:rPr>
        <w:t>ד'</w:t>
      </w:r>
      <w:r w:rsidRPr="009F36E0">
        <w:rPr>
          <w:rFonts w:ascii="Narkisim" w:hAnsi="Narkisim"/>
          <w:rtl/>
        </w:rPr>
        <w:t xml:space="preserve"> עוד יש </w:t>
      </w:r>
      <w:r w:rsidRPr="009F36E0">
        <w:rPr>
          <w:rFonts w:ascii="Narkisim" w:hAnsi="Narkisim"/>
          <w:b/>
          <w:bCs/>
          <w:rtl/>
        </w:rPr>
        <w:t>ראשונים</w:t>
      </w:r>
      <w:r w:rsidRPr="009F36E0">
        <w:rPr>
          <w:rFonts w:ascii="Narkisim" w:hAnsi="Narkisim"/>
          <w:rtl/>
        </w:rPr>
        <w:t xml:space="preserve"> (לקמן יח: וכ”מ) דהיכא דנעשית ערוה אחר נפילה [קידש אחותה] למ"ד יש זיקה צריכה חליצה להפקיע את הזיקה</w:t>
      </w:r>
      <w:r w:rsidRPr="009F36E0">
        <w:rPr>
          <w:rFonts w:ascii="Narkisim" w:hAnsi="Narkisim"/>
        </w:rPr>
        <w:t>.</w:t>
      </w:r>
    </w:p>
    <w:p w14:paraId="14BF1D52" w14:textId="77777777" w:rsidR="006074A5" w:rsidRPr="009F36E0" w:rsidRDefault="006074A5" w:rsidP="006074A5">
      <w:pPr>
        <w:bidi/>
        <w:rPr>
          <w:rFonts w:ascii="Narkisim" w:hAnsi="Narkisim" w:cs="Narkisim"/>
        </w:rPr>
      </w:pPr>
      <w:r w:rsidRPr="009F36E0">
        <w:rPr>
          <w:rFonts w:ascii="Narkisim" w:hAnsi="Narkisim" w:cs="Narkisim"/>
          <w:rtl/>
        </w:rPr>
        <w:t>אך ה</w:t>
      </w:r>
      <w:r w:rsidRPr="009F36E0">
        <w:rPr>
          <w:rFonts w:ascii="Narkisim" w:hAnsi="Narkisim" w:cs="Narkisim"/>
          <w:b/>
          <w:bCs/>
          <w:rtl/>
        </w:rPr>
        <w:t>אחרונים</w:t>
      </w:r>
      <w:r w:rsidRPr="009F36E0">
        <w:rPr>
          <w:rFonts w:ascii="Narkisim" w:hAnsi="Narkisim" w:cs="Narkisim"/>
          <w:rtl/>
        </w:rPr>
        <w:t xml:space="preserve"> הביאו דאף למ"ד אין זיקה מצאנו בכ"מ דיש ליבם קנין ביבמתו, והיא זקוקה לו</w:t>
      </w:r>
      <w:r w:rsidRPr="009F36E0">
        <w:rPr>
          <w:rStyle w:val="ac"/>
          <w:rFonts w:ascii="Narkisim" w:hAnsi="Narkisim" w:cs="Narkisim"/>
          <w:rtl/>
        </w:rPr>
        <w:footnoteReference w:id="1041"/>
      </w:r>
      <w:r w:rsidRPr="009F36E0">
        <w:rPr>
          <w:rFonts w:ascii="Narkisim" w:hAnsi="Narkisim" w:cs="Narkisim"/>
        </w:rPr>
        <w:t>.</w:t>
      </w:r>
    </w:p>
    <w:p w14:paraId="02D49062" w14:textId="77777777" w:rsidR="006074A5" w:rsidRPr="009F36E0" w:rsidRDefault="006074A5" w:rsidP="006074A5">
      <w:pPr>
        <w:pStyle w:val="a8"/>
        <w:bidi/>
        <w:rPr>
          <w:rFonts w:ascii="Narkisim" w:hAnsi="Narkisim"/>
        </w:rPr>
      </w:pPr>
      <w:r w:rsidRPr="009F36E0">
        <w:rPr>
          <w:rFonts w:ascii="Narkisim" w:hAnsi="Narkisim"/>
          <w:rtl/>
        </w:rPr>
        <w:t>וב</w:t>
      </w:r>
      <w:r w:rsidRPr="009F36E0">
        <w:rPr>
          <w:rFonts w:ascii="Narkisim" w:hAnsi="Narkisim"/>
          <w:b/>
          <w:bCs/>
          <w:rtl/>
        </w:rPr>
        <w:t>גמ'</w:t>
      </w:r>
      <w:r w:rsidRPr="009F36E0">
        <w:rPr>
          <w:rFonts w:ascii="Narkisim" w:hAnsi="Narkisim"/>
          <w:rtl/>
        </w:rPr>
        <w:t xml:space="preserve"> (קידושין ד:) דחינן דלא ילפי' קידושי ביאה מיבמה, מה ליבמה שכן זקוקה ועומדת. ופ</w:t>
      </w:r>
      <w:r w:rsidRPr="009F36E0">
        <w:rPr>
          <w:rFonts w:ascii="Narkisim" w:hAnsi="Narkisim"/>
          <w:b/>
          <w:bCs/>
          <w:rtl/>
        </w:rPr>
        <w:t xml:space="preserve">רש"י </w:t>
      </w:r>
      <w:r w:rsidRPr="009F36E0">
        <w:rPr>
          <w:rFonts w:ascii="Narkisim" w:hAnsi="Narkisim"/>
          <w:rtl/>
        </w:rPr>
        <w:t>דהביאה באה לגמור, אבל קנין מעיקרא לא</w:t>
      </w:r>
      <w:r w:rsidRPr="009F36E0">
        <w:rPr>
          <w:rStyle w:val="ac"/>
          <w:rFonts w:ascii="Narkisim" w:hAnsi="Narkisim"/>
          <w:rtl/>
        </w:rPr>
        <w:footnoteReference w:id="1042"/>
      </w:r>
      <w:r w:rsidRPr="009F36E0">
        <w:rPr>
          <w:rFonts w:ascii="Narkisim" w:hAnsi="Narkisim"/>
        </w:rPr>
        <w:t xml:space="preserve">. </w:t>
      </w:r>
      <w:r w:rsidRPr="009F36E0">
        <w:rPr>
          <w:rFonts w:ascii="Narkisim" w:hAnsi="Narkisim"/>
          <w:rtl/>
        </w:rPr>
        <w:t>[ולכאורה קאי אף למ"ד אין זיקה]</w:t>
      </w:r>
      <w:r w:rsidRPr="009F36E0">
        <w:rPr>
          <w:rFonts w:ascii="Narkisim" w:hAnsi="Narkisim"/>
        </w:rPr>
        <w:t>.</w:t>
      </w:r>
    </w:p>
    <w:p w14:paraId="2FB3BEEB" w14:textId="77777777" w:rsidR="006074A5" w:rsidRPr="009F36E0" w:rsidRDefault="006074A5" w:rsidP="006074A5">
      <w:pPr>
        <w:pStyle w:val="a7"/>
        <w:bidi/>
        <w:rPr>
          <w:rFonts w:ascii="Narkisim" w:hAnsi="Narkisim"/>
        </w:rPr>
      </w:pPr>
      <w:r w:rsidRPr="009F36E0">
        <w:rPr>
          <w:rFonts w:ascii="Narkisim" w:hAnsi="Narkisim"/>
          <w:rtl/>
        </w:rPr>
        <w:t>ועוד הביאו דדעת</w:t>
      </w:r>
      <w:r w:rsidRPr="009F36E0">
        <w:rPr>
          <w:rFonts w:ascii="Narkisim" w:hAnsi="Narkisim"/>
          <w:b/>
          <w:bCs/>
          <w:rtl/>
        </w:rPr>
        <w:t xml:space="preserve"> ר"ת</w:t>
      </w:r>
      <w:r w:rsidRPr="009F36E0">
        <w:rPr>
          <w:rFonts w:ascii="Narkisim" w:hAnsi="Narkisim"/>
          <w:rtl/>
        </w:rPr>
        <w:t xml:space="preserve"> (בתוס' לקמן סז:) דיבמה נחשבת קנין כספו לאכול בתרומה, ואף למ"ד אין זיקה</w:t>
      </w:r>
      <w:r w:rsidRPr="009F36E0">
        <w:rPr>
          <w:rFonts w:ascii="Narkisim" w:hAnsi="Narkisim"/>
        </w:rPr>
        <w:t>.</w:t>
      </w:r>
    </w:p>
    <w:p w14:paraId="1DB00382" w14:textId="77777777" w:rsidR="006074A5" w:rsidRPr="009F36E0" w:rsidRDefault="006074A5" w:rsidP="006074A5">
      <w:pPr>
        <w:pStyle w:val="a7"/>
        <w:bidi/>
        <w:rPr>
          <w:rFonts w:ascii="Narkisim" w:hAnsi="Narkisim"/>
        </w:rPr>
      </w:pPr>
      <w:r w:rsidRPr="009F36E0">
        <w:rPr>
          <w:rFonts w:ascii="Narkisim" w:hAnsi="Narkisim"/>
          <w:rtl/>
        </w:rPr>
        <w:t>וכן דין שומרת יבם שזינתה, לרב המנונא ולר' עקיבא (סוטה יח: ולקמן צב:) נאסרת ליבם, והוא עושה קינוי</w:t>
      </w:r>
      <w:r w:rsidRPr="009F36E0">
        <w:rPr>
          <w:rStyle w:val="ac"/>
          <w:rFonts w:ascii="Narkisim" w:hAnsi="Narkisim"/>
          <w:rtl/>
        </w:rPr>
        <w:footnoteReference w:id="1043"/>
      </w:r>
      <w:r w:rsidRPr="009F36E0">
        <w:rPr>
          <w:rFonts w:ascii="Narkisim" w:hAnsi="Narkisim"/>
        </w:rPr>
        <w:t xml:space="preserve">. </w:t>
      </w:r>
      <w:r w:rsidRPr="009F36E0">
        <w:rPr>
          <w:rFonts w:ascii="Narkisim" w:hAnsi="Narkisim"/>
          <w:rtl/>
        </w:rPr>
        <w:t>ולא שייך למח' אי יש זיקה</w:t>
      </w:r>
      <w:r w:rsidRPr="009F36E0">
        <w:rPr>
          <w:rStyle w:val="ac"/>
          <w:rFonts w:ascii="Narkisim" w:hAnsi="Narkisim"/>
          <w:rtl/>
        </w:rPr>
        <w:footnoteReference w:id="1044"/>
      </w:r>
      <w:r w:rsidRPr="009F36E0">
        <w:rPr>
          <w:rFonts w:ascii="Narkisim" w:hAnsi="Narkisim"/>
        </w:rPr>
        <w:t xml:space="preserve">. </w:t>
      </w:r>
      <w:r w:rsidRPr="009F36E0">
        <w:rPr>
          <w:rFonts w:ascii="Narkisim" w:hAnsi="Narkisim"/>
          <w:rtl/>
        </w:rPr>
        <w:t>דהא ר"ע ס"ל דאין זיקה</w:t>
      </w:r>
      <w:r w:rsidRPr="009F36E0">
        <w:rPr>
          <w:rFonts w:ascii="Narkisim" w:hAnsi="Narkisim"/>
        </w:rPr>
        <w:t>.</w:t>
      </w:r>
    </w:p>
    <w:p w14:paraId="04835D4F" w14:textId="77777777" w:rsidR="006074A5" w:rsidRPr="009F36E0" w:rsidRDefault="006074A5" w:rsidP="006074A5">
      <w:pPr>
        <w:bidi/>
        <w:rPr>
          <w:rFonts w:ascii="Narkisim" w:hAnsi="Narkisim" w:cs="Narkisim"/>
        </w:rPr>
      </w:pPr>
      <w:r w:rsidRPr="009F36E0">
        <w:rPr>
          <w:rFonts w:ascii="Narkisim" w:hAnsi="Narkisim" w:cs="Narkisim"/>
          <w:rtl/>
        </w:rPr>
        <w:t>ויש שפי' דשורש המח' דזיקה הוא בחקירת ה</w:t>
      </w:r>
      <w:r w:rsidRPr="009F36E0">
        <w:rPr>
          <w:rFonts w:ascii="Narkisim" w:hAnsi="Narkisim" w:cs="Narkisim"/>
          <w:b/>
          <w:bCs/>
          <w:rtl/>
        </w:rPr>
        <w:t>אחרונים</w:t>
      </w:r>
      <w:r w:rsidRPr="009F36E0">
        <w:rPr>
          <w:rFonts w:ascii="Narkisim" w:hAnsi="Narkisim" w:cs="Narkisim"/>
          <w:rtl/>
        </w:rPr>
        <w:t xml:space="preserve"> (אתוון ח, הו' לעיל) בגדר האיסור יבמה לשוק, דלמ"ד אין 'זיקה' זקוקה מחמת אישות המת. ואילו למ"ד יש זיקה גדר האיסור מחמת הזיקה ליבם. </w:t>
      </w:r>
      <w:r w:rsidRPr="009F36E0">
        <w:rPr>
          <w:rFonts w:ascii="Narkisim" w:hAnsi="Narkisim" w:cs="Narkisim"/>
          <w:szCs w:val="20"/>
          <w:rtl/>
        </w:rPr>
        <w:t>[ויסוד לזה מדברי הרמב"ן לקמן נא., הו' לקמן כו:]</w:t>
      </w:r>
      <w:r w:rsidRPr="009F36E0">
        <w:rPr>
          <w:rFonts w:ascii="Narkisim" w:hAnsi="Narkisim" w:cs="Narkisim"/>
        </w:rPr>
        <w:t>.</w:t>
      </w:r>
    </w:p>
    <w:p w14:paraId="3E9F5353" w14:textId="77777777" w:rsidR="006074A5" w:rsidRPr="009F36E0" w:rsidRDefault="006074A5" w:rsidP="006074A5">
      <w:pPr>
        <w:pStyle w:val="aa"/>
        <w:bidi/>
        <w:rPr>
          <w:rFonts w:ascii="Narkisim" w:hAnsi="Narkisim"/>
        </w:rPr>
      </w:pPr>
      <w:r w:rsidRPr="009F36E0">
        <w:rPr>
          <w:rFonts w:ascii="Narkisim" w:hAnsi="Narkisim"/>
          <w:u w:val="single"/>
          <w:rtl/>
        </w:rPr>
        <w:t>שם. מותר באמה וכו' אין זיקה וכו' מחיים לא, משום דאסור לבטל מצוות יבמין</w:t>
      </w:r>
      <w:r w:rsidRPr="009F36E0">
        <w:rPr>
          <w:rFonts w:ascii="Narkisim" w:hAnsi="Narkisim"/>
          <w:rtl/>
        </w:rPr>
        <w:t>. [יתבאר לקמן יח.]. ה</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שא"ר</w:t>
      </w:r>
      <w:r w:rsidRPr="009F36E0">
        <w:rPr>
          <w:rFonts w:ascii="Narkisim" w:hAnsi="Narkisim"/>
          <w:rtl/>
        </w:rPr>
        <w:t xml:space="preserve"> (לקמן כ.) הביאו </w:t>
      </w:r>
      <w:r w:rsidRPr="009F36E0">
        <w:rPr>
          <w:rFonts w:ascii="Narkisim" w:hAnsi="Narkisim"/>
          <w:b/>
          <w:bCs/>
          <w:rtl/>
        </w:rPr>
        <w:t>י"מ</w:t>
      </w:r>
      <w:r w:rsidRPr="009F36E0">
        <w:rPr>
          <w:rFonts w:ascii="Narkisim" w:hAnsi="Narkisim"/>
          <w:rtl/>
        </w:rPr>
        <w:t xml:space="preserve"> דבעוד השומרת יבם זקוקה לו אסור לו לבעול אחותה לכתחילה, ולפגוע באחות זקוקתו. ואף למ"ד אין זיקה, משום דנראה כפוגע באחות ארוסתו. [וע"ד מש"כ תוס' יח. ד"ה מיאנה]. וה</w:t>
      </w:r>
      <w:r w:rsidRPr="009F36E0">
        <w:rPr>
          <w:rFonts w:ascii="Narkisim" w:hAnsi="Narkisim"/>
          <w:b/>
          <w:bCs/>
          <w:rtl/>
        </w:rPr>
        <w:t>ראשונים</w:t>
      </w:r>
      <w:r w:rsidRPr="009F36E0">
        <w:rPr>
          <w:rFonts w:ascii="Narkisim" w:hAnsi="Narkisim"/>
          <w:rtl/>
        </w:rPr>
        <w:t xml:space="preserve"> דחו דמפורש בגמ' דכל האיסור משום אסור לבטל מצוות יבמין, ולא משום מראית העין</w:t>
      </w:r>
      <w:r w:rsidRPr="009F36E0">
        <w:rPr>
          <w:rFonts w:ascii="Narkisim" w:hAnsi="Narkisim"/>
        </w:rPr>
        <w:t>.</w:t>
      </w:r>
    </w:p>
    <w:p w14:paraId="014C76C4"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חילקו דהיכא דיש ב' יבמים לא מיחזי כאחות אשתו, וכה"ג איירי הכא, ומש"ה למ"ד אין זיקה מותרת לו. וכת' דלפ"ז הא דר"ג התיר בקטנה, משום דיושבת תחתיו מעיקרא</w:t>
      </w:r>
      <w:r w:rsidRPr="009F36E0">
        <w:rPr>
          <w:rStyle w:val="ac"/>
          <w:rFonts w:ascii="Narkisim" w:hAnsi="Narkisim"/>
          <w:rtl/>
        </w:rPr>
        <w:footnoteReference w:id="1045"/>
      </w:r>
      <w:r w:rsidRPr="009F36E0">
        <w:rPr>
          <w:rFonts w:ascii="Narkisim" w:hAnsi="Narkisim"/>
        </w:rPr>
        <w:t xml:space="preserve">. </w:t>
      </w:r>
      <w:r w:rsidRPr="009F36E0">
        <w:rPr>
          <w:rFonts w:ascii="Narkisim" w:hAnsi="Narkisim"/>
          <w:rtl/>
        </w:rPr>
        <w:t xml:space="preserve">ומש”ה לא שייך מראית העין. </w:t>
      </w:r>
      <w:r w:rsidRPr="009F36E0">
        <w:rPr>
          <w:rFonts w:ascii="Narkisim" w:hAnsi="Narkisim"/>
          <w:rtl/>
        </w:rPr>
        <w:lastRenderedPageBreak/>
        <w:t>[וע"ד סברת תוס' ד"ה אבל]. וה</w:t>
      </w:r>
      <w:r w:rsidRPr="009F36E0">
        <w:rPr>
          <w:rFonts w:ascii="Narkisim" w:hAnsi="Narkisim"/>
          <w:b/>
          <w:bCs/>
          <w:rtl/>
        </w:rPr>
        <w:t>רמב"ן</w:t>
      </w:r>
      <w:r w:rsidRPr="009F36E0">
        <w:rPr>
          <w:rFonts w:ascii="Narkisim" w:hAnsi="Narkisim"/>
          <w:rtl/>
        </w:rPr>
        <w:t xml:space="preserve"> סיים דמ"מ אין דעת זה נכון. וה</w:t>
      </w:r>
      <w:r w:rsidRPr="009F36E0">
        <w:rPr>
          <w:rFonts w:ascii="Narkisim" w:hAnsi="Narkisim"/>
          <w:b/>
          <w:bCs/>
          <w:rtl/>
        </w:rPr>
        <w:t>רשב"א</w:t>
      </w:r>
      <w:r w:rsidRPr="009F36E0">
        <w:rPr>
          <w:rFonts w:ascii="Narkisim" w:hAnsi="Narkisim"/>
          <w:rtl/>
        </w:rPr>
        <w:t xml:space="preserve"> הביא דסתימת גמ' דידן מבואר דאף בא' כל הטעם משום דאסור לבטל. ועוד דבגמ' (לקמן קט:) מבואר דסברת ר"ג דכל מקדש אחות יבמתו נפטרה יבמתו והלכה לה</w:t>
      </w:r>
      <w:r w:rsidRPr="009F36E0">
        <w:rPr>
          <w:rFonts w:ascii="Narkisim" w:hAnsi="Narkisim"/>
        </w:rPr>
        <w:t>.</w:t>
      </w:r>
    </w:p>
    <w:p w14:paraId="6D74E7FC" w14:textId="77777777" w:rsidR="006074A5" w:rsidRPr="009F36E0" w:rsidRDefault="006074A5" w:rsidP="006074A5">
      <w:pPr>
        <w:pStyle w:val="aa"/>
        <w:bidi/>
        <w:rPr>
          <w:rFonts w:ascii="Narkisim" w:hAnsi="Narkisim"/>
        </w:rPr>
      </w:pPr>
      <w:r w:rsidRPr="009F36E0">
        <w:rPr>
          <w:rFonts w:ascii="Narkisim" w:hAnsi="Narkisim"/>
          <w:u w:val="single"/>
          <w:rtl/>
        </w:rPr>
        <w:t>תוד"ה ולימא וכו'.</w:t>
      </w:r>
      <w:r w:rsidRPr="009F36E0">
        <w:rPr>
          <w:rFonts w:ascii="Narkisim" w:hAnsi="Narkisim"/>
          <w:rtl/>
        </w:rPr>
        <w:t xml:space="preserve"> ורב אשי דייק מסתם מתני' (ל.) זאת אומרת יש זיקה וכו'. לדעת רב אשי כל סתם משניות דיש זיקה</w:t>
      </w:r>
      <w:r w:rsidRPr="009F36E0">
        <w:rPr>
          <w:rStyle w:val="ac"/>
          <w:rFonts w:ascii="Narkisim" w:hAnsi="Narkisim"/>
          <w:rtl/>
        </w:rPr>
        <w:footnoteReference w:id="1046"/>
      </w:r>
      <w:r w:rsidRPr="009F36E0">
        <w:rPr>
          <w:rFonts w:ascii="Narkisim" w:hAnsi="Narkisim"/>
        </w:rPr>
        <w:t xml:space="preserve">. </w:t>
      </w:r>
      <w:r w:rsidRPr="009F36E0">
        <w:rPr>
          <w:rFonts w:ascii="Narkisim" w:hAnsi="Narkisim"/>
          <w:rtl/>
        </w:rPr>
        <w:t>וע"כ דרבנן (דפליגי א"ר יהודה בן בתירא מא.) ס"ל דקידושין מפקעי זיקה [ויתבאר לקמן יח:]. [ואף דדעת ר' מאיר (יח. ויט.) דאין זיקה, וכן ר"ג (במשנה קט.) מ"מ לרב אשי סתמי משניות ס"ל דיש זיקה. ודעת רב יוסף (הו' בסו"ד התוס') דכולהו תנאי ס"ל דאין זיקה</w:t>
      </w:r>
      <w:r w:rsidRPr="009F36E0">
        <w:rPr>
          <w:rFonts w:ascii="Narkisim" w:hAnsi="Narkisim"/>
        </w:rPr>
        <w:t>.</w:t>
      </w:r>
    </w:p>
    <w:p w14:paraId="38F4A3E3" w14:textId="77777777" w:rsidR="006074A5" w:rsidRPr="009F36E0" w:rsidRDefault="006074A5" w:rsidP="006074A5">
      <w:pPr>
        <w:pStyle w:val="aa"/>
        <w:bidi/>
        <w:rPr>
          <w:rFonts w:ascii="Narkisim" w:hAnsi="Narkisim"/>
        </w:rPr>
      </w:pPr>
      <w:r w:rsidRPr="009F36E0">
        <w:rPr>
          <w:rFonts w:ascii="Narkisim" w:hAnsi="Narkisim"/>
          <w:u w:val="single"/>
          <w:rtl/>
        </w:rPr>
        <w:t>בא"ד וי"ל דאין נ"ל לחלק משום קידושין</w:t>
      </w:r>
      <w:r w:rsidRPr="009F36E0">
        <w:rPr>
          <w:rFonts w:ascii="Narkisim" w:hAnsi="Narkisim"/>
          <w:rtl/>
        </w:rPr>
        <w:t>. [משמע דאף מעיקר הדין הקידושין לא מפקעי זיקה כלל. ויתבאר לקמן יח:]. אבל ה</w:t>
      </w:r>
      <w:r w:rsidRPr="009F36E0">
        <w:rPr>
          <w:rFonts w:ascii="Narkisim" w:hAnsi="Narkisim"/>
          <w:b/>
          <w:bCs/>
          <w:rtl/>
        </w:rPr>
        <w:t>רמב”ן</w:t>
      </w:r>
      <w:r w:rsidRPr="009F36E0">
        <w:rPr>
          <w:rFonts w:ascii="Narkisim" w:hAnsi="Narkisim"/>
          <w:rtl/>
        </w:rPr>
        <w:t xml:space="preserve"> כת' דס"ל דודאי יש תנא בעלמא דס”ל דאין זיקה</w:t>
      </w:r>
      <w:r w:rsidRPr="009F36E0">
        <w:rPr>
          <w:rFonts w:ascii="Narkisim" w:hAnsi="Narkisim"/>
        </w:rPr>
        <w:t>.</w:t>
      </w:r>
    </w:p>
    <w:p w14:paraId="1C400BB7" w14:textId="77777777" w:rsidR="006074A5" w:rsidRPr="009F36E0" w:rsidRDefault="006074A5" w:rsidP="006074A5">
      <w:pPr>
        <w:bidi/>
        <w:rPr>
          <w:rFonts w:ascii="Narkisim" w:hAnsi="Narkisim" w:cs="Narkisim"/>
        </w:rPr>
      </w:pPr>
      <w:r w:rsidRPr="009F36E0">
        <w:rPr>
          <w:rFonts w:ascii="Narkisim" w:hAnsi="Narkisim" w:cs="Narkisim"/>
          <w:u w:val="single"/>
          <w:rtl/>
        </w:rPr>
        <w:t>ורב יהודה אמר שומר"י שמתה אסור באמה.</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זיקת ייבום הוה ככנוסה, ואוסרת אמה על היבם. וכן </w:t>
      </w:r>
      <w:r w:rsidRPr="009F36E0">
        <w:rPr>
          <w:rFonts w:ascii="Narkisim" w:hAnsi="Narkisim" w:cs="Narkisim"/>
          <w:b/>
          <w:bCs/>
          <w:rtl/>
        </w:rPr>
        <w:t>רש"י</w:t>
      </w:r>
      <w:r w:rsidRPr="009F36E0">
        <w:rPr>
          <w:rFonts w:ascii="Narkisim" w:hAnsi="Narkisim" w:cs="Narkisim"/>
          <w:rtl/>
        </w:rPr>
        <w:t xml:space="preserve"> (לעיל) העמיד את הנידון האם 'אלימא' ו'חשיבא' זיקת היבמה להחשב כארוסה</w:t>
      </w:r>
      <w:r w:rsidRPr="009F36E0">
        <w:rPr>
          <w:rFonts w:ascii="Narkisim" w:hAnsi="Narkisim" w:cs="Narkisim"/>
        </w:rPr>
        <w:t>.</w:t>
      </w:r>
    </w:p>
    <w:p w14:paraId="600E338F" w14:textId="77777777" w:rsidR="006074A5" w:rsidRPr="009F36E0" w:rsidRDefault="006074A5" w:rsidP="006074A5">
      <w:pPr>
        <w:pStyle w:val="a7"/>
        <w:bidi/>
        <w:rPr>
          <w:rFonts w:ascii="Narkisim" w:hAnsi="Narkisim"/>
        </w:rPr>
      </w:pPr>
      <w:r w:rsidRPr="009F36E0">
        <w:rPr>
          <w:rFonts w:ascii="Narkisim" w:hAnsi="Narkisim"/>
          <w:rtl/>
        </w:rPr>
        <w:t>ופ</w:t>
      </w:r>
      <w:r w:rsidRPr="009F36E0">
        <w:rPr>
          <w:rFonts w:ascii="Narkisim" w:hAnsi="Narkisim"/>
          <w:b/>
          <w:bCs/>
          <w:rtl/>
        </w:rPr>
        <w:t>רש"י</w:t>
      </w:r>
      <w:r w:rsidRPr="009F36E0">
        <w:rPr>
          <w:rFonts w:ascii="Narkisim" w:hAnsi="Narkisim"/>
          <w:rtl/>
        </w:rPr>
        <w:t xml:space="preserve"> </w:t>
      </w:r>
      <w:r w:rsidRPr="009F36E0">
        <w:rPr>
          <w:rFonts w:ascii="Narkisim" w:hAnsi="Narkisim"/>
          <w:szCs w:val="20"/>
          <w:rtl/>
        </w:rPr>
        <w:t>(לעיל ח: ד”ה לכדר' שמעון)</w:t>
      </w:r>
      <w:r w:rsidRPr="009F36E0">
        <w:rPr>
          <w:rFonts w:ascii="Narkisim" w:hAnsi="Narkisim"/>
          <w:rtl/>
        </w:rPr>
        <w:t xml:space="preserve"> פי' דזיקה הוי כקצת קדושין. ונושא אחות זקוקתו בחייה, וזקוקתו הוה כאשתו</w:t>
      </w:r>
      <w:r w:rsidRPr="009F36E0">
        <w:rPr>
          <w:rFonts w:ascii="Narkisim" w:hAnsi="Narkisim"/>
        </w:rPr>
        <w:t>.</w:t>
      </w:r>
    </w:p>
    <w:p w14:paraId="1BDCEB1D" w14:textId="77777777" w:rsidR="006074A5" w:rsidRPr="009F36E0" w:rsidRDefault="006074A5" w:rsidP="006074A5">
      <w:pPr>
        <w:bidi/>
        <w:rPr>
          <w:rFonts w:ascii="Narkisim" w:hAnsi="Narkisim" w:cs="Narkisim"/>
        </w:rPr>
      </w:pPr>
      <w:r w:rsidRPr="009F36E0">
        <w:rPr>
          <w:rFonts w:ascii="Narkisim" w:hAnsi="Narkisim" w:cs="Narkisim"/>
          <w:rtl/>
        </w:rPr>
        <w:t>ו</w:t>
      </w:r>
      <w:r w:rsidRPr="009F36E0">
        <w:rPr>
          <w:rFonts w:ascii="Narkisim" w:hAnsi="Narkisim" w:cs="Narkisim"/>
          <w:b/>
          <w:bCs/>
          <w:rtl/>
        </w:rPr>
        <w:t>רוב הראשונים</w:t>
      </w:r>
      <w:r w:rsidRPr="009F36E0">
        <w:rPr>
          <w:rFonts w:ascii="Narkisim" w:hAnsi="Narkisim" w:cs="Narkisim"/>
          <w:rtl/>
        </w:rPr>
        <w:t xml:space="preserve"> (כז:) כת' דאסור בקרובותיה רק מדרבנן</w:t>
      </w:r>
      <w:r w:rsidRPr="009F36E0">
        <w:rPr>
          <w:rStyle w:val="ac"/>
          <w:rFonts w:ascii="Narkisim" w:hAnsi="Narkisim" w:cs="Narkisim"/>
          <w:rtl/>
        </w:rPr>
        <w:footnoteReference w:id="1047"/>
      </w:r>
      <w:r w:rsidRPr="009F36E0">
        <w:rPr>
          <w:rFonts w:ascii="Narkisim" w:hAnsi="Narkisim" w:cs="Narkisim"/>
        </w:rPr>
        <w:t xml:space="preserve"> </w:t>
      </w:r>
      <w:r w:rsidRPr="009F36E0">
        <w:rPr>
          <w:rFonts w:ascii="Narkisim" w:hAnsi="Narkisim" w:cs="Narkisim"/>
          <w:sz w:val="20"/>
          <w:szCs w:val="20"/>
          <w:rtl/>
        </w:rPr>
        <w:t>[וכ”ה פשטות הגמ' (לקמן שם) דזיקה דרבנן</w:t>
      </w:r>
      <w:r w:rsidRPr="009F36E0">
        <w:rPr>
          <w:rStyle w:val="ac"/>
          <w:rFonts w:ascii="Narkisim" w:hAnsi="Narkisim" w:cs="Narkisim"/>
          <w:sz w:val="20"/>
          <w:szCs w:val="20"/>
          <w:rtl/>
        </w:rPr>
        <w:footnoteReference w:id="1048"/>
      </w:r>
      <w:r w:rsidRPr="009F36E0">
        <w:rPr>
          <w:rFonts w:ascii="Narkisim" w:hAnsi="Narkisim" w:cs="Narkisim"/>
          <w:sz w:val="20"/>
          <w:szCs w:val="20"/>
          <w:rtl/>
        </w:rPr>
        <w:t>]</w:t>
      </w:r>
      <w:r w:rsidRPr="009F36E0">
        <w:rPr>
          <w:rFonts w:ascii="Narkisim" w:hAnsi="Narkisim" w:cs="Narkisim"/>
          <w:rtl/>
        </w:rPr>
        <w:t>. אבל ה</w:t>
      </w:r>
      <w:r w:rsidRPr="009F36E0">
        <w:rPr>
          <w:rFonts w:ascii="Narkisim" w:hAnsi="Narkisim" w:cs="Narkisim"/>
          <w:b/>
          <w:bCs/>
          <w:rtl/>
        </w:rPr>
        <w:t xml:space="preserve">אחרונים </w:t>
      </w:r>
      <w:r w:rsidRPr="009F36E0">
        <w:rPr>
          <w:rFonts w:ascii="Narkisim" w:hAnsi="Narkisim" w:cs="Narkisim"/>
          <w:rtl/>
        </w:rPr>
        <w:t xml:space="preserve">הביאו דיש </w:t>
      </w:r>
      <w:r w:rsidRPr="009F36E0">
        <w:rPr>
          <w:rFonts w:ascii="Narkisim" w:hAnsi="Narkisim" w:cs="Narkisim"/>
          <w:b/>
          <w:bCs/>
          <w:rtl/>
        </w:rPr>
        <w:t>ראשונים</w:t>
      </w:r>
      <w:r w:rsidRPr="009F36E0">
        <w:rPr>
          <w:rFonts w:ascii="Narkisim" w:hAnsi="Narkisim" w:cs="Narkisim"/>
          <w:rtl/>
        </w:rPr>
        <w:t xml:space="preserve"> דמשמע דאסור בקרובותיה מדאורייתא</w:t>
      </w:r>
      <w:r w:rsidRPr="009F36E0">
        <w:rPr>
          <w:rStyle w:val="ac"/>
          <w:rFonts w:ascii="Narkisim" w:hAnsi="Narkisim" w:cs="Narkisim"/>
          <w:rtl/>
        </w:rPr>
        <w:footnoteReference w:id="1049"/>
      </w:r>
      <w:r w:rsidRPr="009F36E0">
        <w:rPr>
          <w:rFonts w:ascii="Narkisim" w:hAnsi="Narkisim" w:cs="Narkisim"/>
        </w:rPr>
        <w:t>.</w:t>
      </w:r>
    </w:p>
    <w:p w14:paraId="05347C2C"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דאף לצד דהוה איסור דאורייתא, מ"מ לא הוה אישות גמור, וליכא חיוב כרת ותפסי קידושין, וצריכה חליצה. [ויתבאר עוד בהמשך הסוגיות, ע' לקמן כט.]</w:t>
      </w:r>
      <w:r w:rsidRPr="009F36E0">
        <w:rPr>
          <w:rFonts w:ascii="Narkisim" w:hAnsi="Narkisim"/>
        </w:rPr>
        <w:t>.</w:t>
      </w:r>
    </w:p>
    <w:p w14:paraId="498C6625" w14:textId="77777777" w:rsidR="006074A5" w:rsidRPr="009F36E0" w:rsidRDefault="006074A5" w:rsidP="006074A5">
      <w:pPr>
        <w:pStyle w:val="aa"/>
        <w:bidi/>
        <w:rPr>
          <w:rFonts w:ascii="Narkisim" w:hAnsi="Narkisim"/>
        </w:rPr>
      </w:pPr>
      <w:r w:rsidRPr="009F36E0">
        <w:rPr>
          <w:rFonts w:ascii="Narkisim" w:hAnsi="Narkisim"/>
          <w:rtl/>
        </w:rPr>
        <w:t>וב</w:t>
      </w:r>
      <w:r w:rsidRPr="009F36E0">
        <w:rPr>
          <w:rFonts w:ascii="Narkisim" w:hAnsi="Narkisim"/>
          <w:b/>
          <w:bCs/>
          <w:rtl/>
        </w:rPr>
        <w:t>ס' החינוך</w:t>
      </w:r>
      <w:r w:rsidRPr="009F36E0">
        <w:rPr>
          <w:rFonts w:ascii="Narkisim" w:hAnsi="Narkisim"/>
          <w:rtl/>
        </w:rPr>
        <w:t xml:space="preserve"> (רו) ביאר דאסרו אחות זקוקה</w:t>
      </w:r>
      <w:r w:rsidRPr="009F36E0">
        <w:rPr>
          <w:rStyle w:val="ac"/>
          <w:rFonts w:ascii="Narkisim" w:hAnsi="Narkisim"/>
          <w:rtl/>
        </w:rPr>
        <w:footnoteReference w:id="1050"/>
      </w:r>
      <w:r w:rsidRPr="009F36E0">
        <w:rPr>
          <w:rFonts w:ascii="Narkisim" w:hAnsi="Narkisim"/>
        </w:rPr>
        <w:t xml:space="preserve"> </w:t>
      </w:r>
      <w:r w:rsidRPr="009F36E0">
        <w:rPr>
          <w:rFonts w:ascii="Narkisim" w:hAnsi="Narkisim"/>
          <w:rtl/>
        </w:rPr>
        <w:t>לגדר איסור דאחות אשה. ואסרו חז"ל לישא אחותה, מכיון שהיא זקוקה אליו, אע"פ שלא קידשה ולא עשה בה שום ענין. וביאר דהתורה לא אסרה כי אם אחות נשואתו או ארוסתו, אבל הזקוקה לו, אף שהקנוה לו מהשמים אין אחותה בכלל איסור תורה, אלא שחז"ל אסרוה שלא ליגע לאיסורא דאורייתא</w:t>
      </w:r>
      <w:r w:rsidRPr="009F36E0">
        <w:rPr>
          <w:rFonts w:ascii="Narkisim" w:hAnsi="Narkisim"/>
        </w:rPr>
        <w:t>.</w:t>
      </w:r>
    </w:p>
    <w:p w14:paraId="2A378231" w14:textId="77777777" w:rsidR="006074A5" w:rsidRPr="009F36E0" w:rsidRDefault="006074A5" w:rsidP="006074A5">
      <w:pPr>
        <w:bidi/>
        <w:rPr>
          <w:rFonts w:ascii="Narkisim" w:hAnsi="Narkisim" w:cs="Narkisim"/>
        </w:rPr>
      </w:pPr>
      <w:r w:rsidRPr="009F36E0">
        <w:rPr>
          <w:rFonts w:ascii="Narkisim" w:hAnsi="Narkisim" w:cs="Narkisim"/>
          <w:u w:val="single"/>
          <w:rtl/>
        </w:rPr>
        <w:t>שם. שומר"י שמתה אסור באמה, אלמא קסבר יש זיקה וכו'</w:t>
      </w:r>
      <w:r w:rsidRPr="009F36E0">
        <w:rPr>
          <w:rFonts w:ascii="Narkisim" w:hAnsi="Narkisim" w:cs="Narkisim"/>
          <w:rtl/>
        </w:rPr>
        <w:t>. [והלכה כדעת התנאים דיש זיקה]. ומבואר ב</w:t>
      </w:r>
      <w:r w:rsidRPr="009F36E0">
        <w:rPr>
          <w:rFonts w:ascii="Narkisim" w:hAnsi="Narkisim" w:cs="Narkisim"/>
          <w:b/>
          <w:bCs/>
          <w:rtl/>
        </w:rPr>
        <w:t>רש"י</w:t>
      </w:r>
      <w:r w:rsidRPr="009F36E0">
        <w:rPr>
          <w:rFonts w:ascii="Narkisim" w:hAnsi="Narkisim" w:cs="Narkisim"/>
          <w:rtl/>
        </w:rPr>
        <w:t xml:space="preserve"> </w:t>
      </w:r>
      <w:r w:rsidRPr="009F36E0">
        <w:rPr>
          <w:rFonts w:ascii="Narkisim" w:hAnsi="Narkisim" w:cs="Narkisim"/>
          <w:sz w:val="20"/>
          <w:szCs w:val="20"/>
          <w:rtl/>
        </w:rPr>
        <w:t xml:space="preserve">(ד"ה ולימא הב') </w:t>
      </w:r>
      <w:r w:rsidRPr="009F36E0">
        <w:rPr>
          <w:rFonts w:ascii="Narkisim" w:hAnsi="Narkisim" w:cs="Narkisim"/>
          <w:rtl/>
        </w:rPr>
        <w:t>דשייך למח' (נדרים עד. ולקמן כט:) האם היבם יכול להפר נדריה, דר' יהושע דס"ל [לחד לישנא] דמיפר משום 'יש זיקה'</w:t>
      </w:r>
      <w:r w:rsidRPr="009F36E0">
        <w:rPr>
          <w:rStyle w:val="ac"/>
          <w:rFonts w:ascii="Narkisim" w:hAnsi="Narkisim" w:cs="Narkisim"/>
          <w:rtl/>
        </w:rPr>
        <w:footnoteReference w:id="1051"/>
      </w:r>
      <w:r w:rsidRPr="009F36E0">
        <w:rPr>
          <w:rFonts w:ascii="Narkisim" w:hAnsi="Narkisim" w:cs="Narkisim"/>
          <w:rtl/>
        </w:rPr>
        <w:t>, א”כ יאסר בקרובותיה. וה</w:t>
      </w:r>
      <w:r w:rsidRPr="009F36E0">
        <w:rPr>
          <w:rFonts w:ascii="Narkisim" w:hAnsi="Narkisim" w:cs="Narkisim"/>
          <w:b/>
          <w:bCs/>
          <w:rtl/>
        </w:rPr>
        <w:t>תוס' הרא"ש</w:t>
      </w:r>
      <w:r w:rsidRPr="009F36E0">
        <w:rPr>
          <w:rFonts w:ascii="Narkisim" w:hAnsi="Narkisim" w:cs="Narkisim"/>
          <w:rtl/>
        </w:rPr>
        <w:t xml:space="preserve"> (כט:) הק' דלענין הפרת נדרים הוה נידון דאורייתא</w:t>
      </w:r>
      <w:r w:rsidRPr="009F36E0">
        <w:rPr>
          <w:rStyle w:val="ac"/>
          <w:rFonts w:ascii="Narkisim" w:hAnsi="Narkisim" w:cs="Narkisim"/>
          <w:rtl/>
        </w:rPr>
        <w:footnoteReference w:id="1052"/>
      </w:r>
      <w:r w:rsidRPr="009F36E0">
        <w:rPr>
          <w:rFonts w:ascii="Narkisim" w:hAnsi="Narkisim" w:cs="Narkisim"/>
        </w:rPr>
        <w:t xml:space="preserve">. </w:t>
      </w:r>
      <w:r w:rsidRPr="009F36E0">
        <w:rPr>
          <w:rFonts w:ascii="Narkisim" w:hAnsi="Narkisim" w:cs="Narkisim"/>
          <w:rtl/>
        </w:rPr>
        <w:t>והאיך תלי בזה הנידון של איסור קרובים בדרבנן</w:t>
      </w:r>
      <w:r w:rsidRPr="009F36E0">
        <w:rPr>
          <w:rFonts w:ascii="Narkisim" w:hAnsi="Narkisim" w:cs="Narkisim"/>
        </w:rPr>
        <w:t>.</w:t>
      </w:r>
    </w:p>
    <w:p w14:paraId="2E8A6918"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גרנ"ט</w:t>
      </w:r>
      <w:r w:rsidRPr="009F36E0">
        <w:rPr>
          <w:rFonts w:ascii="Narkisim" w:hAnsi="Narkisim"/>
          <w:rtl/>
        </w:rPr>
        <w:t xml:space="preserve"> (יב) חידש [בדעת הנמוק"י</w:t>
      </w:r>
      <w:r w:rsidRPr="009F36E0">
        <w:rPr>
          <w:rStyle w:val="ac"/>
          <w:rFonts w:ascii="Narkisim" w:hAnsi="Narkisim"/>
          <w:rtl/>
        </w:rPr>
        <w:footnoteReference w:id="1053"/>
      </w:r>
      <w:r w:rsidRPr="009F36E0">
        <w:rPr>
          <w:rFonts w:ascii="Narkisim" w:hAnsi="Narkisim"/>
          <w:rtl/>
        </w:rPr>
        <w:t>] דיש זיקה ואסור בקרובותיה מדאורייתא, אלא דמיתלא תליא האם ייבם לבסוף, דזיקה הוה תחילת קנין היבום</w:t>
      </w:r>
      <w:r w:rsidRPr="009F36E0">
        <w:rPr>
          <w:rStyle w:val="ac"/>
          <w:rFonts w:ascii="Narkisim" w:hAnsi="Narkisim"/>
          <w:rtl/>
        </w:rPr>
        <w:footnoteReference w:id="1054"/>
      </w:r>
      <w:r w:rsidRPr="009F36E0">
        <w:rPr>
          <w:rFonts w:ascii="Narkisim" w:hAnsi="Narkisim"/>
        </w:rPr>
        <w:t xml:space="preserve">. </w:t>
      </w:r>
      <w:r w:rsidRPr="009F36E0">
        <w:rPr>
          <w:rFonts w:ascii="Narkisim" w:hAnsi="Narkisim"/>
          <w:rtl/>
        </w:rPr>
        <w:t>ואם לא נגמר קנין היבום לבסוף תחילת הקנין אינו אוסר מדאורייתא. ובסוגיין תקנו רבנן דאסור בקרובותיה, ואף באופן שידעי' שלא יבא לידי גמר קנין יבום, ואף שמתה היבמה. דרבנן תקנו 'זיקה' לכל הצדדים</w:t>
      </w:r>
      <w:r w:rsidRPr="009F36E0">
        <w:rPr>
          <w:rStyle w:val="ac"/>
          <w:rFonts w:ascii="Narkisim" w:hAnsi="Narkisim"/>
          <w:rtl/>
        </w:rPr>
        <w:footnoteReference w:id="1055"/>
      </w:r>
      <w:r w:rsidRPr="009F36E0">
        <w:rPr>
          <w:rFonts w:ascii="Narkisim" w:hAnsi="Narkisim"/>
        </w:rPr>
        <w:t>.</w:t>
      </w:r>
    </w:p>
    <w:p w14:paraId="0EEE88A6" w14:textId="77777777" w:rsidR="006074A5" w:rsidRPr="009F36E0" w:rsidRDefault="006074A5" w:rsidP="006074A5">
      <w:pPr>
        <w:pStyle w:val="a7"/>
        <w:bidi/>
        <w:rPr>
          <w:rFonts w:ascii="Narkisim" w:hAnsi="Narkisim"/>
        </w:rPr>
      </w:pPr>
      <w:r w:rsidRPr="009F36E0">
        <w:rPr>
          <w:rFonts w:ascii="Narkisim" w:hAnsi="Narkisim"/>
          <w:rtl/>
        </w:rPr>
        <w:lastRenderedPageBreak/>
        <w:t>וה</w:t>
      </w:r>
      <w:r w:rsidRPr="009F36E0">
        <w:rPr>
          <w:rFonts w:ascii="Narkisim" w:hAnsi="Narkisim"/>
          <w:b/>
          <w:bCs/>
          <w:rtl/>
        </w:rPr>
        <w:t>אחרונים</w:t>
      </w:r>
      <w:r w:rsidRPr="009F36E0">
        <w:rPr>
          <w:rFonts w:ascii="Narkisim" w:hAnsi="Narkisim"/>
          <w:rtl/>
        </w:rPr>
        <w:t xml:space="preserve"> כתבו דשורש המח' יש זיקה הוא מח' בדאורייתא, האם יש מקצת אישות דזיקה [להפרת נדריה]. אך מדאורייתא זיקה לא אלים ליאסר בקרובותיה, אלא דלמ"ד דיש חלות זיקה [מסתברא לנו] הוה במקצת כאשתו, ותקנו חכמים איסור קרובים</w:t>
      </w:r>
      <w:r w:rsidRPr="009F36E0">
        <w:rPr>
          <w:rFonts w:ascii="Narkisim" w:hAnsi="Narkisim"/>
        </w:rPr>
        <w:t>.</w:t>
      </w:r>
    </w:p>
    <w:p w14:paraId="6FFD145B"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דה</w:t>
      </w:r>
      <w:r w:rsidRPr="009F36E0">
        <w:rPr>
          <w:rFonts w:ascii="Narkisim" w:hAnsi="Narkisim"/>
          <w:b/>
          <w:bCs/>
          <w:rtl/>
        </w:rPr>
        <w:t>שיטמ"ק</w:t>
      </w:r>
      <w:r w:rsidRPr="009F36E0">
        <w:rPr>
          <w:rFonts w:ascii="Narkisim" w:hAnsi="Narkisim"/>
          <w:rtl/>
        </w:rPr>
        <w:t xml:space="preserve"> (נדרים עד. בשם הרא"ם) כת' דזיקה עדיף מאירוסין להפרת נדריה</w:t>
      </w:r>
      <w:r w:rsidRPr="009F36E0">
        <w:rPr>
          <w:rStyle w:val="ac"/>
          <w:rFonts w:ascii="Narkisim" w:hAnsi="Narkisim"/>
          <w:rtl/>
        </w:rPr>
        <w:footnoteReference w:id="1056"/>
      </w:r>
      <w:r w:rsidRPr="009F36E0">
        <w:rPr>
          <w:rFonts w:ascii="Narkisim" w:hAnsi="Narkisim"/>
        </w:rPr>
        <w:t xml:space="preserve">, </w:t>
      </w:r>
      <w:r w:rsidRPr="009F36E0">
        <w:rPr>
          <w:rFonts w:ascii="Narkisim" w:hAnsi="Narkisim"/>
          <w:rtl/>
        </w:rPr>
        <w:t>דלמ"ד יש זיקה אלים קנין יבם מקנין ארוסה. ואף דלענין ליורשה וליטמא לה גרע קנין יבם מקנין ארוסה [וכדאי' בגמ' לקמן כט:], דכתיב בהו שארו, ובעי שאר בשר</w:t>
      </w:r>
      <w:r w:rsidRPr="009F36E0">
        <w:rPr>
          <w:rStyle w:val="ac"/>
          <w:rFonts w:ascii="Narkisim" w:hAnsi="Narkisim"/>
          <w:rtl/>
        </w:rPr>
        <w:footnoteReference w:id="1057"/>
      </w:r>
      <w:r w:rsidRPr="009F36E0">
        <w:rPr>
          <w:rFonts w:ascii="Narkisim" w:hAnsi="Narkisim"/>
        </w:rPr>
        <w:t xml:space="preserve">. </w:t>
      </w:r>
      <w:r w:rsidRPr="009F36E0">
        <w:rPr>
          <w:rFonts w:ascii="Narkisim" w:hAnsi="Narkisim"/>
          <w:rtl/>
        </w:rPr>
        <w:t>ויבמה ליכא 'שאר בשר</w:t>
      </w:r>
      <w:r w:rsidRPr="009F36E0">
        <w:rPr>
          <w:rFonts w:ascii="Narkisim" w:hAnsi="Narkisim"/>
        </w:rPr>
        <w:t>'.</w:t>
      </w:r>
    </w:p>
    <w:p w14:paraId="5B02CEE8"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(חי' ר' שמואל יד, אבי עזרי ו יח ועוד) ביארו דמדאורייתא גדר זיקה [למ”ד יש זיקה] הוה בגדר </w:t>
      </w:r>
      <w:r w:rsidRPr="009F36E0">
        <w:rPr>
          <w:rFonts w:ascii="Narkisim" w:hAnsi="Narkisim"/>
          <w:i/>
          <w:iCs/>
          <w:rtl/>
        </w:rPr>
        <w:t>קנין האישות</w:t>
      </w:r>
      <w:r w:rsidRPr="009F36E0">
        <w:rPr>
          <w:rFonts w:ascii="Narkisim" w:hAnsi="Narkisim"/>
          <w:rtl/>
        </w:rPr>
        <w:t>, ומש"ה מהני להפרת נדריה [מדאורייתא]. אבל איסור קרובותיה תלי ב'שאר בשר', ומש”ה מדאורייתא אינו נאסר בקרובותיה מחמת הזיקה</w:t>
      </w:r>
      <w:r w:rsidRPr="009F36E0">
        <w:rPr>
          <w:rStyle w:val="ac"/>
          <w:rFonts w:ascii="Narkisim" w:hAnsi="Narkisim"/>
          <w:rtl/>
        </w:rPr>
        <w:footnoteReference w:id="1058"/>
      </w:r>
      <w:r w:rsidRPr="009F36E0">
        <w:rPr>
          <w:rFonts w:ascii="Narkisim" w:hAnsi="Narkisim"/>
        </w:rPr>
        <w:t xml:space="preserve">. </w:t>
      </w:r>
      <w:r w:rsidRPr="009F36E0">
        <w:rPr>
          <w:rFonts w:ascii="Narkisim" w:hAnsi="Narkisim"/>
          <w:rtl/>
        </w:rPr>
        <w:t>ורבנן תקנו איסור קרובות כיון דיש קנין אישות מחמת הזיקה</w:t>
      </w:r>
      <w:r w:rsidRPr="009F36E0">
        <w:rPr>
          <w:rFonts w:ascii="Narkisim" w:hAnsi="Narkisim"/>
        </w:rPr>
        <w:t>.</w:t>
      </w:r>
    </w:p>
    <w:p w14:paraId="15C89132" w14:textId="77777777" w:rsidR="006074A5" w:rsidRPr="009F36E0" w:rsidRDefault="006074A5" w:rsidP="006074A5">
      <w:pPr>
        <w:pStyle w:val="a8"/>
        <w:bidi/>
        <w:rPr>
          <w:rFonts w:ascii="Narkisim" w:hAnsi="Narkisim"/>
        </w:rPr>
      </w:pPr>
      <w:r w:rsidRPr="009F36E0">
        <w:rPr>
          <w:rFonts w:ascii="Narkisim" w:hAnsi="Narkisim"/>
        </w:rPr>
        <w:t>[</w:t>
      </w:r>
      <w:r w:rsidRPr="009F36E0">
        <w:rPr>
          <w:rFonts w:ascii="Narkisim" w:hAnsi="Narkisim"/>
          <w:rtl/>
        </w:rPr>
        <w:t>ולפ"ז מבואר דלמ"ד אין זיקה ליכא 'קנין אישות' להפרת נדריה, דלא קרינן בה 'אישה'</w:t>
      </w:r>
      <w:r w:rsidRPr="009F36E0">
        <w:rPr>
          <w:rStyle w:val="ac"/>
          <w:rFonts w:ascii="Narkisim" w:hAnsi="Narkisim"/>
          <w:rtl/>
        </w:rPr>
        <w:footnoteReference w:id="1059"/>
      </w:r>
      <w:r w:rsidRPr="009F36E0">
        <w:rPr>
          <w:rFonts w:ascii="Narkisim" w:hAnsi="Narkisim"/>
          <w:rtl/>
        </w:rPr>
        <w:t>, וכמ”ש רש”י סוד”ה ולימא הב</w:t>
      </w:r>
      <w:r w:rsidRPr="009F36E0">
        <w:rPr>
          <w:rFonts w:ascii="Narkisim" w:hAnsi="Narkisim"/>
        </w:rPr>
        <w:t>'].</w:t>
      </w:r>
    </w:p>
    <w:p w14:paraId="4A76E8C1" w14:textId="77777777" w:rsidR="006074A5" w:rsidRPr="009F36E0" w:rsidRDefault="006074A5" w:rsidP="006074A5">
      <w:pPr>
        <w:pStyle w:val="aa"/>
        <w:bidi/>
        <w:rPr>
          <w:rFonts w:ascii="Narkisim" w:hAnsi="Narkisim"/>
        </w:rPr>
      </w:pPr>
      <w:r w:rsidRPr="009F36E0">
        <w:rPr>
          <w:rFonts w:ascii="Narkisim" w:hAnsi="Narkisim"/>
          <w:rtl/>
        </w:rPr>
        <w:t>ה</w:t>
      </w:r>
      <w:r w:rsidRPr="009F36E0">
        <w:rPr>
          <w:rFonts w:ascii="Narkisim" w:hAnsi="Narkisim"/>
          <w:b/>
          <w:bCs/>
          <w:rtl/>
        </w:rPr>
        <w:t>רמ"א</w:t>
      </w:r>
      <w:r w:rsidRPr="009F36E0">
        <w:rPr>
          <w:rFonts w:ascii="Narkisim" w:hAnsi="Narkisim"/>
          <w:rtl/>
        </w:rPr>
        <w:t xml:space="preserve"> (קנט ה) הביא בשם </w:t>
      </w:r>
      <w:r w:rsidRPr="009F36E0">
        <w:rPr>
          <w:rFonts w:ascii="Narkisim" w:hAnsi="Narkisim"/>
          <w:b/>
          <w:bCs/>
          <w:rtl/>
        </w:rPr>
        <w:t>מהר"י מינץ</w:t>
      </w:r>
      <w:r w:rsidRPr="009F36E0">
        <w:rPr>
          <w:rFonts w:ascii="Narkisim" w:hAnsi="Narkisim"/>
          <w:rtl/>
        </w:rPr>
        <w:t xml:space="preserve"> דמי שנפלה לו שומרת יבם, אינו יכול לישא אשה אחרת משום חרם דר"ג, דנחשב נושא ב' נשים. וה</w:t>
      </w:r>
      <w:r w:rsidRPr="009F36E0">
        <w:rPr>
          <w:rFonts w:ascii="Narkisim" w:hAnsi="Narkisim"/>
          <w:b/>
          <w:bCs/>
          <w:rtl/>
        </w:rPr>
        <w:t>גר"א</w:t>
      </w:r>
      <w:r w:rsidRPr="009F36E0">
        <w:rPr>
          <w:rFonts w:ascii="Narkisim" w:hAnsi="Narkisim"/>
          <w:rtl/>
        </w:rPr>
        <w:t xml:space="preserve"> (שם כג) ציין דקי"ל זיקה ככנוסה והוי כאשתו</w:t>
      </w:r>
      <w:r w:rsidRPr="009F36E0">
        <w:rPr>
          <w:rStyle w:val="ac"/>
          <w:rFonts w:ascii="Narkisim" w:hAnsi="Narkisim"/>
          <w:rtl/>
        </w:rPr>
        <w:footnoteReference w:id="1060"/>
      </w:r>
      <w:r w:rsidRPr="009F36E0">
        <w:rPr>
          <w:rFonts w:ascii="Narkisim" w:hAnsi="Narkisim"/>
        </w:rPr>
        <w:t xml:space="preserve">. </w:t>
      </w:r>
      <w:r w:rsidRPr="009F36E0">
        <w:rPr>
          <w:rFonts w:ascii="Narkisim" w:hAnsi="Narkisim"/>
          <w:rtl/>
        </w:rPr>
        <w:t>[אך הרמ"א פסק אם היתה כבר משודכת לו מותר</w:t>
      </w:r>
      <w:r w:rsidRPr="009F36E0">
        <w:rPr>
          <w:rStyle w:val="ac"/>
          <w:rFonts w:ascii="Narkisim" w:hAnsi="Narkisim"/>
          <w:rtl/>
        </w:rPr>
        <w:footnoteReference w:id="1061"/>
      </w:r>
      <w:r w:rsidRPr="009F36E0">
        <w:rPr>
          <w:rFonts w:ascii="Narkisim" w:hAnsi="Narkisim"/>
          <w:rtl/>
        </w:rPr>
        <w:t>]</w:t>
      </w:r>
      <w:r w:rsidRPr="009F36E0">
        <w:rPr>
          <w:rFonts w:ascii="Narkisim" w:hAnsi="Narkisim"/>
        </w:rPr>
        <w:t>.</w:t>
      </w:r>
    </w:p>
    <w:p w14:paraId="4ECC19CA" w14:textId="77777777" w:rsidR="006074A5" w:rsidRPr="009F36E0" w:rsidRDefault="006074A5" w:rsidP="006074A5">
      <w:pPr>
        <w:pStyle w:val="aa"/>
        <w:bidi/>
        <w:rPr>
          <w:rFonts w:ascii="Narkisim" w:hAnsi="Narkisim"/>
        </w:rPr>
      </w:pPr>
      <w:r w:rsidRPr="009F36E0">
        <w:rPr>
          <w:rFonts w:ascii="Narkisim" w:hAnsi="Narkisim"/>
          <w:u w:val="single"/>
          <w:rtl/>
        </w:rPr>
        <w:t>שם.</w:t>
      </w:r>
      <w:r w:rsidRPr="009F36E0">
        <w:rPr>
          <w:rFonts w:ascii="Narkisim" w:hAnsi="Narkisim"/>
          <w:rtl/>
        </w:rPr>
        <w:t xml:space="preserve"> יש </w:t>
      </w:r>
      <w:r w:rsidRPr="009F36E0">
        <w:rPr>
          <w:rFonts w:ascii="Narkisim" w:hAnsi="Narkisim"/>
          <w:b/>
          <w:bCs/>
          <w:rtl/>
        </w:rPr>
        <w:t>אחרונים</w:t>
      </w:r>
      <w:r w:rsidRPr="009F36E0">
        <w:rPr>
          <w:rFonts w:ascii="Narkisim" w:hAnsi="Narkisim"/>
          <w:rtl/>
        </w:rPr>
        <w:t xml:space="preserve"> שדנו האם יש זיקה אף בחייבי לאו ועשה (כדלקמן כ.) [ומחזיר גרושתו לעיל יא:], או כיון דמדאורייתא זקוקה רק לחליצה ליכא זיקת אישות ליבם לאסור בקרובות. אך מפורש הדבר ב</w:t>
      </w:r>
      <w:r w:rsidRPr="009F36E0">
        <w:rPr>
          <w:rFonts w:ascii="Narkisim" w:hAnsi="Narkisim"/>
          <w:b/>
          <w:bCs/>
          <w:rtl/>
        </w:rPr>
        <w:t>רמב"ן</w:t>
      </w:r>
      <w:r w:rsidRPr="009F36E0">
        <w:rPr>
          <w:rFonts w:ascii="Narkisim" w:hAnsi="Narkisim"/>
          <w:rtl/>
        </w:rPr>
        <w:t xml:space="preserve"> ושא"ר (לקמן כ.) דאף באיסור מצווה ואיסור קדושה אסור בקרובותיהן. בין למ"ד משום זיקה, ובין למ"ד משום ביטול מצוות יבמין. אלא שיש שדייקו לשון הגמ' (לקמן שם) דדוקא משום דמדאורייתא רמי קמיה, ובחייבי לאו לחוד דמדאורייתא עשה דוחה ל”ת. [ויתבאר לקמן].</w:t>
      </w:r>
    </w:p>
    <w:p w14:paraId="070646E2" w14:textId="77777777" w:rsidR="006074A5" w:rsidRPr="009F36E0" w:rsidRDefault="006074A5" w:rsidP="006074A5">
      <w:pPr>
        <w:bidi/>
        <w:rPr>
          <w:rFonts w:ascii="Narkisim" w:hAnsi="Narkisim" w:cs="Narkisim"/>
        </w:rPr>
      </w:pPr>
      <w:r w:rsidRPr="009F36E0">
        <w:rPr>
          <w:rFonts w:ascii="Narkisim" w:hAnsi="Narkisim" w:cs="Narkisim"/>
          <w:u w:val="single"/>
          <w:rtl/>
        </w:rPr>
        <w:t>שם. אסור באמה.</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b/>
          <w:bCs/>
          <w:sz w:val="20"/>
          <w:szCs w:val="20"/>
          <w:rtl/>
        </w:rPr>
        <w:t xml:space="preserve"> </w:t>
      </w:r>
      <w:r w:rsidRPr="009F36E0">
        <w:rPr>
          <w:rFonts w:ascii="Narkisim" w:hAnsi="Narkisim" w:cs="Narkisim"/>
          <w:sz w:val="20"/>
          <w:szCs w:val="20"/>
          <w:rtl/>
        </w:rPr>
        <w:t>(והנמוק"י)</w:t>
      </w:r>
      <w:r w:rsidRPr="009F36E0">
        <w:rPr>
          <w:rFonts w:ascii="Narkisim" w:hAnsi="Narkisim" w:cs="Narkisim"/>
          <w:rtl/>
        </w:rPr>
        <w:t xml:space="preserve"> כת' דאם קידשה אפי' מחיים תופסים קידושין, דלא אלימה זיקה שלא יהיו קידושין תופסים בקרובותיה. וכדמוכח מההיא דר"י ב"ב. וכעי"ז כת' ה</w:t>
      </w:r>
      <w:r w:rsidRPr="009F36E0">
        <w:rPr>
          <w:rFonts w:ascii="Narkisim" w:hAnsi="Narkisim" w:cs="Narkisim"/>
          <w:b/>
          <w:bCs/>
          <w:rtl/>
        </w:rPr>
        <w:t>מאירי</w:t>
      </w:r>
      <w:r w:rsidRPr="009F36E0">
        <w:rPr>
          <w:rFonts w:ascii="Narkisim" w:hAnsi="Narkisim" w:cs="Narkisim"/>
          <w:rtl/>
        </w:rPr>
        <w:t xml:space="preserve"> דאינה חמות גמור, אלא כעין חמות, אבל מ"מ קידושין תופסים</w:t>
      </w:r>
      <w:r w:rsidRPr="009F36E0">
        <w:rPr>
          <w:rFonts w:ascii="Narkisim" w:hAnsi="Narkisim" w:cs="Narkisim"/>
        </w:rPr>
        <w:t>.</w:t>
      </w:r>
    </w:p>
    <w:p w14:paraId="16DA002E"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גרנ"ט</w:t>
      </w:r>
      <w:r w:rsidRPr="009F36E0">
        <w:rPr>
          <w:rFonts w:ascii="Narkisim" w:hAnsi="Narkisim"/>
          <w:rtl/>
        </w:rPr>
        <w:t xml:space="preserve"> ו</w:t>
      </w:r>
      <w:r w:rsidRPr="009F36E0">
        <w:rPr>
          <w:rFonts w:ascii="Narkisim" w:hAnsi="Narkisim"/>
          <w:b/>
          <w:bCs/>
          <w:rtl/>
        </w:rPr>
        <w:t>אמר"מ</w:t>
      </w:r>
      <w:r w:rsidRPr="009F36E0">
        <w:rPr>
          <w:rFonts w:ascii="Narkisim" w:hAnsi="Narkisim"/>
          <w:rtl/>
        </w:rPr>
        <w:t xml:space="preserve"> (ז לא) דייקו מדבריהם דס"ל דיש איסור קרובים מחמת זיקה מדאורייתא</w:t>
      </w:r>
      <w:r w:rsidRPr="009F36E0">
        <w:rPr>
          <w:rStyle w:val="ac"/>
          <w:rFonts w:ascii="Narkisim" w:hAnsi="Narkisim"/>
          <w:rtl/>
        </w:rPr>
        <w:footnoteReference w:id="1062"/>
      </w:r>
      <w:r w:rsidRPr="009F36E0">
        <w:rPr>
          <w:rFonts w:ascii="Narkisim" w:hAnsi="Narkisim"/>
        </w:rPr>
        <w:t>.</w:t>
      </w:r>
    </w:p>
    <w:p w14:paraId="4445A167"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תוס' רי"ד</w:t>
      </w:r>
      <w:r w:rsidRPr="009F36E0">
        <w:rPr>
          <w:rFonts w:ascii="Narkisim" w:hAnsi="Narkisim"/>
          <w:sz w:val="20"/>
          <w:szCs w:val="20"/>
          <w:rtl/>
        </w:rPr>
        <w:t xml:space="preserve"> (כג: ומא.)</w:t>
      </w:r>
      <w:r w:rsidRPr="009F36E0">
        <w:rPr>
          <w:rFonts w:ascii="Narkisim" w:hAnsi="Narkisim"/>
          <w:rtl/>
        </w:rPr>
        <w:t xml:space="preserve"> כת' דמדרבנן אין קידושין תופסים באחות זקוקתו וכאחות אשתו.</w:t>
      </w:r>
      <w:r w:rsidRPr="009F36E0">
        <w:rPr>
          <w:rFonts w:ascii="Narkisim" w:hAnsi="Narkisim"/>
          <w:sz w:val="20"/>
          <w:szCs w:val="20"/>
          <w:rtl/>
        </w:rPr>
        <w:t xml:space="preserve"> ומש"ה לר"י בן בתירה קידושין לא מפקעי זיקה [ע' לקמן יח:]</w:t>
      </w:r>
      <w:r w:rsidRPr="009F36E0">
        <w:rPr>
          <w:rFonts w:ascii="Narkisim" w:hAnsi="Narkisim"/>
          <w:rtl/>
        </w:rPr>
        <w:t>. והאחרונים דנו דנפק"מ בקידש קטנה [למיאון], דמדרבנן הוה ערוה, ולא תפסי בה קידושין דרבנן</w:t>
      </w:r>
      <w:r w:rsidRPr="009F36E0">
        <w:rPr>
          <w:rStyle w:val="ac"/>
          <w:rFonts w:ascii="Narkisim" w:hAnsi="Narkisim"/>
          <w:rtl/>
        </w:rPr>
        <w:footnoteReference w:id="1063"/>
      </w:r>
      <w:r w:rsidRPr="009F36E0">
        <w:rPr>
          <w:rFonts w:ascii="Narkisim" w:hAnsi="Narkisim"/>
        </w:rPr>
        <w:t xml:space="preserve">. </w:t>
      </w:r>
      <w:r w:rsidRPr="009F36E0">
        <w:rPr>
          <w:rFonts w:ascii="Narkisim" w:hAnsi="Narkisim"/>
          <w:rtl/>
        </w:rPr>
        <w:t>ועפ"ז יל"פ דכוונת ה</w:t>
      </w:r>
      <w:r w:rsidRPr="009F36E0">
        <w:rPr>
          <w:rFonts w:ascii="Narkisim" w:hAnsi="Narkisim"/>
          <w:b/>
          <w:bCs/>
          <w:rtl/>
        </w:rPr>
        <w:t>ראשונים</w:t>
      </w:r>
      <w:r w:rsidRPr="009F36E0">
        <w:rPr>
          <w:rFonts w:ascii="Narkisim" w:hAnsi="Narkisim"/>
          <w:rtl/>
        </w:rPr>
        <w:t xml:space="preserve"> לחלוק, דאף מדרבנן לא אלים למנוע תפיסת קידושין</w:t>
      </w:r>
      <w:r w:rsidRPr="009F36E0">
        <w:rPr>
          <w:rStyle w:val="ac"/>
          <w:rFonts w:ascii="Narkisim" w:hAnsi="Narkisim"/>
          <w:rtl/>
        </w:rPr>
        <w:footnoteReference w:id="1064"/>
      </w:r>
      <w:r w:rsidRPr="009F36E0">
        <w:rPr>
          <w:rFonts w:ascii="Narkisim" w:hAnsi="Narkisim"/>
        </w:rPr>
        <w:t>.</w:t>
      </w:r>
    </w:p>
    <w:p w14:paraId="3E4DCB34" w14:textId="77777777" w:rsidR="006074A5" w:rsidRPr="009F36E0" w:rsidRDefault="006074A5" w:rsidP="006074A5">
      <w:pPr>
        <w:pStyle w:val="aa"/>
        <w:bidi/>
        <w:rPr>
          <w:rFonts w:ascii="Narkisim" w:hAnsi="Narkisim"/>
        </w:rPr>
      </w:pPr>
      <w:r w:rsidRPr="009F36E0">
        <w:rPr>
          <w:rFonts w:ascii="Narkisim" w:hAnsi="Narkisim"/>
          <w:u w:val="single"/>
          <w:rtl/>
        </w:rPr>
        <w:t>רש"י ד"ה אין זיקה.</w:t>
      </w:r>
      <w:r w:rsidRPr="009F36E0">
        <w:rPr>
          <w:rFonts w:ascii="Narkisim" w:hAnsi="Narkisim"/>
          <w:rtl/>
        </w:rPr>
        <w:t xml:space="preserve"> לא אלימה למהוי כ</w:t>
      </w:r>
      <w:r w:rsidRPr="009F36E0">
        <w:rPr>
          <w:rFonts w:ascii="Narkisim" w:hAnsi="Narkisim"/>
          <w:i/>
          <w:iCs/>
          <w:rtl/>
        </w:rPr>
        <w:t>ארוסה</w:t>
      </w:r>
      <w:r w:rsidRPr="009F36E0">
        <w:rPr>
          <w:rFonts w:ascii="Narkisim" w:hAnsi="Narkisim"/>
          <w:rtl/>
        </w:rPr>
        <w:t xml:space="preserve"> וכו'. להאסר משום חמותו</w:t>
      </w:r>
      <w:r w:rsidRPr="009F36E0">
        <w:rPr>
          <w:rStyle w:val="ac"/>
          <w:rFonts w:ascii="Narkisim" w:hAnsi="Narkisim"/>
          <w:rtl/>
        </w:rPr>
        <w:footnoteReference w:id="1065"/>
      </w:r>
      <w:r w:rsidRPr="009F36E0">
        <w:rPr>
          <w:rFonts w:ascii="Narkisim" w:hAnsi="Narkisim"/>
        </w:rPr>
        <w:t xml:space="preserve">. </w:t>
      </w:r>
      <w:r w:rsidRPr="009F36E0">
        <w:rPr>
          <w:rFonts w:ascii="Narkisim" w:hAnsi="Narkisim"/>
          <w:rtl/>
        </w:rPr>
        <w:t xml:space="preserve">ומשמע ברש"י דלמ"ד יש זיקה </w:t>
      </w:r>
      <w:r w:rsidRPr="009F36E0">
        <w:rPr>
          <w:rFonts w:ascii="Narkisim" w:hAnsi="Narkisim"/>
          <w:rtl/>
        </w:rPr>
        <w:lastRenderedPageBreak/>
        <w:t>הוה כארוסה</w:t>
      </w:r>
      <w:r w:rsidRPr="009F36E0">
        <w:rPr>
          <w:rFonts w:ascii="Narkisim" w:hAnsi="Narkisim"/>
        </w:rPr>
        <w:t>.</w:t>
      </w:r>
    </w:p>
    <w:p w14:paraId="49795B1D" w14:textId="77777777" w:rsidR="006074A5" w:rsidRPr="009F36E0" w:rsidRDefault="006074A5" w:rsidP="006074A5">
      <w:pPr>
        <w:pStyle w:val="aa"/>
        <w:bidi/>
        <w:rPr>
          <w:rFonts w:ascii="Narkisim" w:hAnsi="Narkisim"/>
        </w:rPr>
      </w:pPr>
      <w:r w:rsidRPr="009F36E0">
        <w:rPr>
          <w:rFonts w:ascii="Narkisim" w:hAnsi="Narkisim"/>
          <w:u w:val="single"/>
          <w:rtl/>
        </w:rPr>
        <w:t>רש"י ד"ה אבל בחד.</w:t>
      </w:r>
      <w:r w:rsidRPr="009F36E0">
        <w:rPr>
          <w:rFonts w:ascii="Narkisim" w:hAnsi="Narkisim"/>
          <w:rtl/>
        </w:rPr>
        <w:t xml:space="preserve"> דמיא כ</w:t>
      </w:r>
      <w:r w:rsidRPr="009F36E0">
        <w:rPr>
          <w:rFonts w:ascii="Narkisim" w:hAnsi="Narkisim"/>
          <w:i/>
          <w:iCs/>
          <w:rtl/>
        </w:rPr>
        <w:t>כנוסה.</w:t>
      </w:r>
      <w:r w:rsidRPr="009F36E0">
        <w:rPr>
          <w:rFonts w:ascii="Narkisim" w:hAnsi="Narkisim"/>
          <w:rtl/>
        </w:rPr>
        <w:t xml:space="preserve"> וכ"כ </w:t>
      </w:r>
      <w:r w:rsidRPr="009F36E0">
        <w:rPr>
          <w:rFonts w:ascii="Narkisim" w:hAnsi="Narkisim"/>
          <w:b/>
          <w:bCs/>
          <w:rtl/>
        </w:rPr>
        <w:t>רש"י</w:t>
      </w:r>
      <w:r w:rsidRPr="009F36E0">
        <w:rPr>
          <w:rFonts w:ascii="Narkisim" w:hAnsi="Narkisim"/>
          <w:rtl/>
        </w:rPr>
        <w:t xml:space="preserve"> (ד"ה יש זיקה). וה</w:t>
      </w:r>
      <w:r w:rsidRPr="009F36E0">
        <w:rPr>
          <w:rFonts w:ascii="Narkisim" w:hAnsi="Narkisim"/>
          <w:b/>
          <w:bCs/>
          <w:rtl/>
        </w:rPr>
        <w:t xml:space="preserve">רש"ש </w:t>
      </w:r>
      <w:r w:rsidRPr="009F36E0">
        <w:rPr>
          <w:rFonts w:ascii="Narkisim" w:hAnsi="Narkisim"/>
          <w:rtl/>
        </w:rPr>
        <w:t>הק' ד</w:t>
      </w:r>
      <w:r w:rsidRPr="009F36E0">
        <w:rPr>
          <w:rFonts w:ascii="Narkisim" w:hAnsi="Narkisim"/>
          <w:b/>
          <w:bCs/>
          <w:rtl/>
        </w:rPr>
        <w:t>רש"י</w:t>
      </w:r>
      <w:r w:rsidRPr="009F36E0">
        <w:rPr>
          <w:rFonts w:ascii="Narkisim" w:hAnsi="Narkisim"/>
          <w:rtl/>
        </w:rPr>
        <w:t xml:space="preserve"> (לעיל ד"ה אין זיקה) כתב למהוי כארוסה, ומ”ש הכא דנקט כנוסה [דמשמע נשואה</w:t>
      </w:r>
      <w:r w:rsidRPr="009F36E0">
        <w:rPr>
          <w:rStyle w:val="ac"/>
          <w:rFonts w:ascii="Narkisim" w:hAnsi="Narkisim"/>
          <w:rtl/>
        </w:rPr>
        <w:footnoteReference w:id="1066"/>
      </w:r>
      <w:r w:rsidRPr="009F36E0">
        <w:rPr>
          <w:rFonts w:ascii="Narkisim" w:hAnsi="Narkisim"/>
          <w:rtl/>
        </w:rPr>
        <w:t>]. ואף אחות ארוסתו אסורה</w:t>
      </w:r>
      <w:r w:rsidRPr="009F36E0">
        <w:rPr>
          <w:rStyle w:val="ac"/>
          <w:rFonts w:ascii="Narkisim" w:hAnsi="Narkisim"/>
          <w:rtl/>
        </w:rPr>
        <w:footnoteReference w:id="1067"/>
      </w:r>
      <w:r w:rsidRPr="009F36E0">
        <w:rPr>
          <w:rFonts w:ascii="Narkisim" w:hAnsi="Narkisim"/>
        </w:rPr>
        <w:t xml:space="preserve">, </w:t>
      </w:r>
      <w:r w:rsidRPr="009F36E0">
        <w:rPr>
          <w:rFonts w:ascii="Narkisim" w:hAnsi="Narkisim"/>
          <w:rtl/>
        </w:rPr>
        <w:t>ואמאי איצטריך להוסיף ככנוסה. וצ"ע</w:t>
      </w:r>
      <w:r w:rsidRPr="009F36E0">
        <w:rPr>
          <w:rFonts w:ascii="Narkisim" w:hAnsi="Narkisim"/>
        </w:rPr>
        <w:t>.</w:t>
      </w:r>
    </w:p>
    <w:p w14:paraId="4FA93D7A"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ביארו דרש"י נקט כן לרבותא, דלמ"ד יש זיקה אלים למהוי ככנוסה. ואילו למ"ד אין זיקה, גרע אפי' מארוסה</w:t>
      </w:r>
      <w:r w:rsidRPr="009F36E0">
        <w:rPr>
          <w:rStyle w:val="ac"/>
          <w:rFonts w:ascii="Narkisim" w:hAnsi="Narkisim"/>
          <w:rtl/>
        </w:rPr>
        <w:footnoteReference w:id="1068"/>
      </w:r>
      <w:r w:rsidRPr="009F36E0">
        <w:rPr>
          <w:rFonts w:ascii="Narkisim" w:hAnsi="Narkisim"/>
        </w:rPr>
        <w:t>.</w:t>
      </w:r>
    </w:p>
    <w:p w14:paraId="2AA85846" w14:textId="77777777" w:rsidR="006074A5" w:rsidRPr="009F36E0" w:rsidRDefault="006074A5" w:rsidP="006074A5">
      <w:pPr>
        <w:pStyle w:val="aa"/>
        <w:bidi/>
        <w:rPr>
          <w:rFonts w:ascii="Narkisim" w:hAnsi="Narkisim"/>
        </w:rPr>
      </w:pPr>
      <w:r w:rsidRPr="009F36E0">
        <w:rPr>
          <w:rFonts w:ascii="Narkisim" w:hAnsi="Narkisim"/>
          <w:rtl/>
        </w:rPr>
        <w:t>ובסוגיא (לקמן יח:) משמע דגדר זיקה ככנוסה הוה יותר מגדר זיקה בעלמא, ודהגמ' פי' דעת ר' אושעיא (ע' לקמן שם) בדעת ר' שמעון דיש זיקה וזיקה ככנוסה הוה כמו שייבם. ועי"ז נחשב ערוה ממש. ומשמע דדעת רבנן דאף דיש זיקה, לא אמרי' דזיקה ככנוסה</w:t>
      </w:r>
      <w:r w:rsidRPr="009F36E0">
        <w:rPr>
          <w:rStyle w:val="ac"/>
          <w:rFonts w:ascii="Narkisim" w:hAnsi="Narkisim"/>
          <w:rtl/>
        </w:rPr>
        <w:footnoteReference w:id="1069"/>
      </w:r>
      <w:r w:rsidRPr="009F36E0">
        <w:rPr>
          <w:rFonts w:ascii="Narkisim" w:hAnsi="Narkisim"/>
        </w:rPr>
        <w:t>.</w:t>
      </w:r>
    </w:p>
    <w:p w14:paraId="174F3EF0" w14:textId="77777777" w:rsidR="006074A5" w:rsidRPr="009F36E0" w:rsidRDefault="006074A5" w:rsidP="006074A5">
      <w:pPr>
        <w:bidi/>
        <w:rPr>
          <w:rFonts w:ascii="Narkisim" w:hAnsi="Narkisim" w:cs="Narkisim"/>
        </w:rPr>
      </w:pPr>
      <w:r w:rsidRPr="009F36E0">
        <w:rPr>
          <w:rFonts w:ascii="Narkisim" w:hAnsi="Narkisim" w:cs="Narkisim"/>
          <w:u w:val="single"/>
          <w:rtl/>
        </w:rPr>
        <w:t>רש"י ד"ה ולימא וכו' אפי' בחד.</w:t>
      </w:r>
      <w:r w:rsidRPr="009F36E0">
        <w:rPr>
          <w:rFonts w:ascii="Narkisim" w:hAnsi="Narkisim" w:cs="Narkisim"/>
          <w:rtl/>
        </w:rPr>
        <w:t xml:space="preserve"> ר' עקיבא וכו' אין מיפר נדריה וכו' דלא קרינן ביה 'אישה'. מבואר ברש"י דמ"ד דאין מיפר נדריה, ע"כ ס"ל דליכא זיקה [לאיסור קרובותיה], ואפי' בחד יבם</w:t>
      </w:r>
      <w:r w:rsidRPr="009F36E0">
        <w:rPr>
          <w:rFonts w:ascii="Narkisim" w:hAnsi="Narkisim" w:cs="Narkisim"/>
        </w:rPr>
        <w:t>.</w:t>
      </w:r>
    </w:p>
    <w:p w14:paraId="562E37EE"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(כט:) הק' דשמעינן לר' עקיבא דל"מ זיקה להפרת נדרים דאורייתא, אבל אפשר דאוסר בקרובים מדרבנן</w:t>
      </w:r>
      <w:r w:rsidRPr="009F36E0">
        <w:rPr>
          <w:rFonts w:ascii="Narkisim" w:hAnsi="Narkisim"/>
        </w:rPr>
        <w:t>.</w:t>
      </w:r>
    </w:p>
    <w:p w14:paraId="46248EE3"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(לקמן כט:) הק' דהגמ' (נדרים עה.) פי' דר"ע השיב [דאף כשעשו מאמר] יבמה גרע מארוסה, דאין חייבין סקילה כנערה המאורסה</w:t>
      </w:r>
      <w:r w:rsidRPr="009F36E0">
        <w:rPr>
          <w:rStyle w:val="ac"/>
          <w:rFonts w:ascii="Narkisim" w:hAnsi="Narkisim"/>
          <w:rtl/>
        </w:rPr>
        <w:footnoteReference w:id="1070"/>
      </w:r>
      <w:r w:rsidRPr="009F36E0">
        <w:rPr>
          <w:rFonts w:ascii="Narkisim" w:hAnsi="Narkisim"/>
        </w:rPr>
        <w:t xml:space="preserve">. </w:t>
      </w:r>
      <w:r w:rsidRPr="009F36E0">
        <w:rPr>
          <w:rFonts w:ascii="Narkisim" w:hAnsi="Narkisim"/>
          <w:rtl/>
        </w:rPr>
        <w:t>[ומבואר דאף דקנאה, אפ"ה אינו מיפר נדרים משום ד'לא אלים']</w:t>
      </w:r>
      <w:r w:rsidRPr="009F36E0">
        <w:rPr>
          <w:rFonts w:ascii="Narkisim" w:hAnsi="Narkisim"/>
        </w:rPr>
        <w:t>.</w:t>
      </w:r>
    </w:p>
    <w:p w14:paraId="038A63C0"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 xml:space="preserve">רמב"ן </w:t>
      </w:r>
      <w:r w:rsidRPr="009F36E0">
        <w:rPr>
          <w:rFonts w:ascii="Narkisim" w:hAnsi="Narkisim"/>
          <w:rtl/>
        </w:rPr>
        <w:t>ו</w:t>
      </w:r>
      <w:r w:rsidRPr="009F36E0">
        <w:rPr>
          <w:rFonts w:ascii="Narkisim" w:hAnsi="Narkisim"/>
          <w:b/>
          <w:bCs/>
          <w:rtl/>
        </w:rPr>
        <w:t>ריטב"א</w:t>
      </w:r>
      <w:r w:rsidRPr="009F36E0">
        <w:rPr>
          <w:rFonts w:ascii="Narkisim" w:hAnsi="Narkisim"/>
          <w:rtl/>
        </w:rPr>
        <w:t xml:space="preserve"> כת' דדברי רש"י קאי אליבא דרמי בר חמא [דנח' ביש זיקה או אין זיקה</w:t>
      </w:r>
      <w:r w:rsidRPr="009F36E0">
        <w:rPr>
          <w:rStyle w:val="ac"/>
          <w:rFonts w:ascii="Narkisim" w:hAnsi="Narkisim"/>
          <w:rtl/>
        </w:rPr>
        <w:footnoteReference w:id="1071"/>
      </w:r>
      <w:r w:rsidRPr="009F36E0">
        <w:rPr>
          <w:rFonts w:ascii="Narkisim" w:hAnsi="Narkisim"/>
          <w:rtl/>
        </w:rPr>
        <w:t>], אבל לרבא ורב אשי (שם עה., ועד”ז לקמן כט:) סברת ר"ע אף שעשה מאמר משום דאינה גמורה לבעל, שאין חיוב סקילה</w:t>
      </w:r>
      <w:r w:rsidRPr="009F36E0">
        <w:rPr>
          <w:rStyle w:val="ac"/>
          <w:rFonts w:ascii="Narkisim" w:hAnsi="Narkisim"/>
          <w:rtl/>
        </w:rPr>
        <w:footnoteReference w:id="1072"/>
      </w:r>
      <w:r w:rsidRPr="009F36E0">
        <w:rPr>
          <w:rFonts w:ascii="Narkisim" w:hAnsi="Narkisim"/>
        </w:rPr>
        <w:t>.</w:t>
      </w:r>
    </w:p>
    <w:p w14:paraId="6F216296"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ריטב"א</w:t>
      </w:r>
      <w:r w:rsidRPr="009F36E0">
        <w:rPr>
          <w:rFonts w:ascii="Narkisim" w:hAnsi="Narkisim" w:cs="Narkisim"/>
          <w:rtl/>
        </w:rPr>
        <w:t xml:space="preserve"> פי' דמ"ד אין זיקה [אפי' בחד] היינו רבן גמליאל או ר' מאיר (ע' בסמוך)</w:t>
      </w:r>
      <w:r w:rsidRPr="009F36E0">
        <w:rPr>
          <w:rFonts w:ascii="Narkisim" w:hAnsi="Narkisim" w:cs="Narkisim"/>
        </w:rPr>
        <w:t>.</w:t>
      </w:r>
    </w:p>
    <w:p w14:paraId="6ED00A47" w14:textId="77777777" w:rsidR="006074A5" w:rsidRPr="009F36E0" w:rsidRDefault="006074A5" w:rsidP="006074A5">
      <w:pPr>
        <w:bidi/>
        <w:rPr>
          <w:rFonts w:ascii="Narkisim" w:hAnsi="Narkisim" w:cs="Narkisim"/>
        </w:rPr>
      </w:pPr>
      <w:r w:rsidRPr="009F36E0">
        <w:rPr>
          <w:rFonts w:ascii="Narkisim" w:hAnsi="Narkisim" w:cs="Narkisim"/>
          <w:u w:val="single"/>
          <w:rtl/>
        </w:rPr>
        <w:t>הו"א הנ"מ בחד, אבל בתרי אין זיקה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(ד"ה ה"מ) [סברת מ"ד אין זיקה לב'], דלא ידיע קמי מאן רמיא, הילכך לא חשיבא למיסר. </w:t>
      </w:r>
      <w:r w:rsidRPr="009F36E0">
        <w:rPr>
          <w:rFonts w:ascii="Narkisim" w:hAnsi="Narkisim" w:cs="Narkisim"/>
          <w:sz w:val="20"/>
          <w:szCs w:val="20"/>
          <w:rtl/>
        </w:rPr>
        <w:t>[משמע דמשום חסרון הידיעה, מש"ה הזיקה אינו חשוב]</w:t>
      </w:r>
      <w:r w:rsidRPr="009F36E0">
        <w:rPr>
          <w:rFonts w:ascii="Narkisim" w:hAnsi="Narkisim" w:cs="Narkisim"/>
          <w:sz w:val="20"/>
          <w:szCs w:val="20"/>
        </w:rPr>
        <w:t>.</w:t>
      </w:r>
    </w:p>
    <w:p w14:paraId="3E273450"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למסקנא דיש זיקה לתרי, האם נחשב שיש זיקה לכל א', ואין סתירה להיות זקוקה לב'. או דהזיקה רק לא' מהיבמין</w:t>
      </w:r>
      <w:r w:rsidRPr="009F36E0">
        <w:rPr>
          <w:rStyle w:val="ac"/>
          <w:rFonts w:ascii="Narkisim" w:hAnsi="Narkisim"/>
          <w:rtl/>
        </w:rPr>
        <w:footnoteReference w:id="1073"/>
      </w:r>
      <w:r w:rsidRPr="009F36E0">
        <w:rPr>
          <w:rFonts w:ascii="Narkisim" w:hAnsi="Narkisim"/>
        </w:rPr>
        <w:t xml:space="preserve">, </w:t>
      </w:r>
      <w:r w:rsidRPr="009F36E0">
        <w:rPr>
          <w:rFonts w:ascii="Narkisim" w:hAnsi="Narkisim"/>
          <w:rtl/>
        </w:rPr>
        <w:t>ותליא בברירה</w:t>
      </w:r>
      <w:r w:rsidRPr="009F36E0">
        <w:rPr>
          <w:rStyle w:val="ac"/>
          <w:rFonts w:ascii="Narkisim" w:hAnsi="Narkisim"/>
          <w:rtl/>
        </w:rPr>
        <w:footnoteReference w:id="1074"/>
      </w:r>
      <w:r w:rsidRPr="009F36E0">
        <w:rPr>
          <w:rFonts w:ascii="Narkisim" w:hAnsi="Narkisim"/>
        </w:rPr>
        <w:t xml:space="preserve">. </w:t>
      </w:r>
      <w:r w:rsidRPr="009F36E0">
        <w:rPr>
          <w:rFonts w:ascii="Narkisim" w:hAnsi="Narkisim"/>
          <w:sz w:val="20"/>
          <w:szCs w:val="20"/>
          <w:rtl/>
        </w:rPr>
        <w:t>[וכן אי' בגמ' (נדרים עד.) גבי הפרת נדרים. אך בסוגיא (לקמן כט:) לא משמע כן. עי' לקמן]</w:t>
      </w:r>
      <w:r w:rsidRPr="009F36E0">
        <w:rPr>
          <w:rFonts w:ascii="Narkisim" w:hAnsi="Narkisim"/>
        </w:rPr>
        <w:t>.</w:t>
      </w:r>
    </w:p>
    <w:p w14:paraId="010EB7E9" w14:textId="77777777" w:rsidR="006074A5" w:rsidRPr="009F36E0" w:rsidRDefault="006074A5" w:rsidP="006074A5">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מבואר דלאחר שעשה אחיו מעשה, וכנס או חלץ, היבם השני מותר באחותה</w:t>
      </w:r>
      <w:r w:rsidRPr="009F36E0">
        <w:rPr>
          <w:rStyle w:val="ac"/>
          <w:rFonts w:ascii="Narkisim" w:hAnsi="Narkisim" w:cs="Narkisim"/>
          <w:rtl/>
        </w:rPr>
        <w:footnoteReference w:id="1075"/>
      </w:r>
      <w:r w:rsidRPr="009F36E0">
        <w:rPr>
          <w:rFonts w:ascii="Narkisim" w:hAnsi="Narkisim" w:cs="Narkisim"/>
        </w:rPr>
        <w:t xml:space="preserve">. </w:t>
      </w:r>
      <w:r w:rsidRPr="009F36E0">
        <w:rPr>
          <w:rFonts w:ascii="Narkisim" w:hAnsi="Narkisim" w:cs="Narkisim"/>
          <w:rtl/>
        </w:rPr>
        <w:t>ופ</w:t>
      </w:r>
      <w:r w:rsidRPr="009F36E0">
        <w:rPr>
          <w:rFonts w:ascii="Narkisim" w:hAnsi="Narkisim" w:cs="Narkisim"/>
          <w:b/>
          <w:bCs/>
          <w:rtl/>
        </w:rPr>
        <w:t>רש"י</w:t>
      </w:r>
      <w:r w:rsidRPr="009F36E0">
        <w:rPr>
          <w:rFonts w:ascii="Narkisim" w:hAnsi="Narkisim" w:cs="Narkisim"/>
          <w:rtl/>
        </w:rPr>
        <w:t xml:space="preserve"> (</w:t>
      </w:r>
      <w:r w:rsidRPr="009F36E0">
        <w:rPr>
          <w:rFonts w:ascii="Narkisim" w:hAnsi="Narkisim" w:cs="Narkisim"/>
          <w:sz w:val="20"/>
          <w:szCs w:val="20"/>
          <w:rtl/>
        </w:rPr>
        <w:t xml:space="preserve">בד"ה ולימא הא') </w:t>
      </w:r>
      <w:r w:rsidRPr="009F36E0">
        <w:rPr>
          <w:rFonts w:ascii="Narkisim" w:hAnsi="Narkisim" w:cs="Narkisim"/>
          <w:rtl/>
        </w:rPr>
        <w:t xml:space="preserve">דכשתתייבם לאח פקעה הזיקה. </w:t>
      </w:r>
      <w:r w:rsidRPr="009F36E0">
        <w:rPr>
          <w:rFonts w:ascii="Narkisim" w:hAnsi="Narkisim" w:cs="Narkisim"/>
          <w:sz w:val="20"/>
          <w:szCs w:val="20"/>
          <w:rtl/>
        </w:rPr>
        <w:t>ובפשוטו משמע דהיה אסור, ופקע מכאן ולהבא. [וכיון דפקע מכאן ולהבא הותרו בקרובים, ע”ע בסמוך]</w:t>
      </w:r>
      <w:r w:rsidRPr="009F36E0">
        <w:rPr>
          <w:rFonts w:ascii="Narkisim" w:hAnsi="Narkisim" w:cs="Narkisim"/>
          <w:rtl/>
        </w:rPr>
        <w:t>. וה</w:t>
      </w:r>
      <w:r w:rsidRPr="009F36E0">
        <w:rPr>
          <w:rFonts w:ascii="Narkisim" w:hAnsi="Narkisim" w:cs="Narkisim"/>
          <w:b/>
          <w:bCs/>
          <w:rtl/>
        </w:rPr>
        <w:t>רש"ש</w:t>
      </w:r>
      <w:r w:rsidRPr="009F36E0">
        <w:rPr>
          <w:rFonts w:ascii="Narkisim" w:hAnsi="Narkisim" w:cs="Narkisim"/>
          <w:rtl/>
        </w:rPr>
        <w:t xml:space="preserve"> ציין ד</w:t>
      </w:r>
      <w:r w:rsidRPr="009F36E0">
        <w:rPr>
          <w:rFonts w:ascii="Narkisim" w:hAnsi="Narkisim" w:cs="Narkisim"/>
          <w:b/>
          <w:bCs/>
          <w:rtl/>
        </w:rPr>
        <w:t>רש"י</w:t>
      </w:r>
      <w:r w:rsidRPr="009F36E0">
        <w:rPr>
          <w:rFonts w:ascii="Narkisim" w:hAnsi="Narkisim" w:cs="Narkisim"/>
          <w:rtl/>
        </w:rPr>
        <w:t xml:space="preserve"> </w:t>
      </w:r>
      <w:r w:rsidRPr="009F36E0">
        <w:rPr>
          <w:rFonts w:ascii="Narkisim" w:hAnsi="Narkisim" w:cs="Narkisim"/>
          <w:szCs w:val="20"/>
          <w:rtl/>
        </w:rPr>
        <w:t>(לקמן כג:</w:t>
      </w:r>
      <w:r w:rsidRPr="009F36E0">
        <w:rPr>
          <w:rFonts w:ascii="Narkisim" w:hAnsi="Narkisim" w:cs="Narkisim"/>
          <w:rtl/>
        </w:rPr>
        <w:t xml:space="preserve"> </w:t>
      </w:r>
      <w:r w:rsidRPr="009F36E0">
        <w:rPr>
          <w:rFonts w:ascii="Narkisim" w:hAnsi="Narkisim" w:cs="Narkisim"/>
          <w:sz w:val="20"/>
          <w:szCs w:val="20"/>
          <w:rtl/>
        </w:rPr>
        <w:t>ד"ה אין מוציאים)</w:t>
      </w:r>
      <w:r w:rsidRPr="009F36E0">
        <w:rPr>
          <w:rFonts w:ascii="Narkisim" w:hAnsi="Narkisim" w:cs="Narkisim"/>
          <w:rtl/>
        </w:rPr>
        <w:t xml:space="preserve"> כת' דפוקע משאר אחים </w:t>
      </w:r>
      <w:r w:rsidRPr="009F36E0">
        <w:rPr>
          <w:rFonts w:ascii="Narkisim" w:hAnsi="Narkisim" w:cs="Narkisim"/>
          <w:i/>
          <w:iCs/>
          <w:rtl/>
        </w:rPr>
        <w:t>למפרע</w:t>
      </w:r>
      <w:r w:rsidRPr="009F36E0">
        <w:rPr>
          <w:rFonts w:ascii="Narkisim" w:hAnsi="Narkisim" w:cs="Narkisim"/>
          <w:rtl/>
        </w:rPr>
        <w:t xml:space="preserve">. </w:t>
      </w:r>
      <w:r w:rsidRPr="009F36E0">
        <w:rPr>
          <w:rFonts w:ascii="Narkisim" w:hAnsi="Narkisim" w:cs="Narkisim"/>
          <w:sz w:val="20"/>
          <w:szCs w:val="20"/>
          <w:rtl/>
        </w:rPr>
        <w:t>וכ"כ ה</w:t>
      </w:r>
      <w:r w:rsidRPr="009F36E0">
        <w:rPr>
          <w:rFonts w:ascii="Narkisim" w:hAnsi="Narkisim" w:cs="Narkisim"/>
          <w:b/>
          <w:bCs/>
          <w:sz w:val="20"/>
          <w:szCs w:val="20"/>
          <w:rtl/>
        </w:rPr>
        <w:t>מאירי</w:t>
      </w:r>
      <w:r w:rsidRPr="009F36E0">
        <w:rPr>
          <w:rFonts w:ascii="Narkisim" w:hAnsi="Narkisim" w:cs="Narkisim"/>
          <w:sz w:val="20"/>
          <w:szCs w:val="20"/>
          <w:rtl/>
        </w:rPr>
        <w:t xml:space="preserve"> שחליצת א' או יבום מפקיע זיקה משאר אחים למפרע</w:t>
      </w:r>
      <w:r w:rsidRPr="009F36E0">
        <w:rPr>
          <w:rStyle w:val="ac"/>
          <w:rFonts w:ascii="Narkisim" w:hAnsi="Narkisim" w:cs="Narkisim"/>
          <w:sz w:val="20"/>
          <w:szCs w:val="20"/>
          <w:rtl/>
        </w:rPr>
        <w:footnoteReference w:id="1076"/>
      </w:r>
      <w:r w:rsidRPr="009F36E0">
        <w:rPr>
          <w:rFonts w:ascii="Narkisim" w:hAnsi="Narkisim" w:cs="Narkisim"/>
          <w:sz w:val="20"/>
          <w:szCs w:val="20"/>
        </w:rPr>
        <w:t xml:space="preserve">, </w:t>
      </w:r>
      <w:r w:rsidRPr="009F36E0">
        <w:rPr>
          <w:rFonts w:ascii="Narkisim" w:hAnsi="Narkisim" w:cs="Narkisim"/>
          <w:sz w:val="20"/>
          <w:szCs w:val="20"/>
          <w:rtl/>
        </w:rPr>
        <w:t>כאילו לא היתה זקוקה לו מעולם</w:t>
      </w:r>
      <w:r w:rsidRPr="009F36E0">
        <w:rPr>
          <w:rStyle w:val="ac"/>
          <w:rFonts w:ascii="Narkisim" w:hAnsi="Narkisim" w:cs="Narkisim"/>
          <w:sz w:val="20"/>
          <w:szCs w:val="20"/>
          <w:rtl/>
        </w:rPr>
        <w:footnoteReference w:id="1077"/>
      </w:r>
      <w:r w:rsidRPr="009F36E0">
        <w:rPr>
          <w:rFonts w:ascii="Narkisim" w:hAnsi="Narkisim" w:cs="Narkisim"/>
          <w:sz w:val="20"/>
          <w:szCs w:val="20"/>
        </w:rPr>
        <w:t>.</w:t>
      </w:r>
      <w:r w:rsidRPr="009F36E0">
        <w:rPr>
          <w:rFonts w:ascii="Narkisim" w:hAnsi="Narkisim" w:cs="Narkisim"/>
        </w:rPr>
        <w:t xml:space="preserve"> </w:t>
      </w:r>
      <w:r w:rsidRPr="009F36E0">
        <w:rPr>
          <w:rFonts w:ascii="Narkisim" w:hAnsi="Narkisim" w:cs="Narkisim"/>
          <w:rtl/>
        </w:rPr>
        <w:t>וכן האריך ה</w:t>
      </w:r>
      <w:r w:rsidRPr="009F36E0">
        <w:rPr>
          <w:rFonts w:ascii="Narkisim" w:hAnsi="Narkisim" w:cs="Narkisim"/>
          <w:b/>
          <w:bCs/>
          <w:rtl/>
        </w:rPr>
        <w:t xml:space="preserve">או"ש </w:t>
      </w:r>
      <w:r w:rsidRPr="009F36E0">
        <w:rPr>
          <w:rFonts w:ascii="Narkisim" w:hAnsi="Narkisim" w:cs="Narkisim"/>
          <w:rtl/>
        </w:rPr>
        <w:t>(קונ' זיקה טז)</w:t>
      </w:r>
      <w:r w:rsidRPr="009F36E0">
        <w:rPr>
          <w:rFonts w:ascii="Narkisim" w:hAnsi="Narkisim" w:cs="Narkisim"/>
        </w:rPr>
        <w:t>.</w:t>
      </w:r>
    </w:p>
    <w:p w14:paraId="2CB206C4" w14:textId="77777777" w:rsidR="006074A5" w:rsidRPr="009F36E0" w:rsidRDefault="006074A5" w:rsidP="006074A5">
      <w:pPr>
        <w:pStyle w:val="a7"/>
        <w:bidi/>
        <w:rPr>
          <w:rFonts w:ascii="Narkisim" w:hAnsi="Narkisim"/>
        </w:rPr>
      </w:pPr>
      <w:r w:rsidRPr="009F36E0">
        <w:rPr>
          <w:rFonts w:ascii="Narkisim" w:hAnsi="Narkisim"/>
          <w:rtl/>
        </w:rPr>
        <w:lastRenderedPageBreak/>
        <w:t>וה</w:t>
      </w:r>
      <w:r w:rsidRPr="009F36E0">
        <w:rPr>
          <w:rFonts w:ascii="Narkisim" w:hAnsi="Narkisim"/>
          <w:b/>
          <w:bCs/>
          <w:rtl/>
        </w:rPr>
        <w:t>אחרונים</w:t>
      </w:r>
      <w:r w:rsidRPr="009F36E0">
        <w:rPr>
          <w:rFonts w:ascii="Narkisim" w:hAnsi="Narkisim"/>
          <w:rtl/>
        </w:rPr>
        <w:t xml:space="preserve"> הקשו דבגמ' (לקמן כז:) מבואר דהיכא דהיתה אחות זקוקתו אמרי' דנאסרה לעולם. ואי אמרת דהזיקה נפקע למפרע, א"כ נתברר שלא נאסרה לעולם. </w:t>
      </w:r>
      <w:r w:rsidRPr="009F36E0">
        <w:rPr>
          <w:rFonts w:ascii="Narkisim" w:hAnsi="Narkisim"/>
          <w:sz w:val="20"/>
          <w:szCs w:val="20"/>
          <w:rtl/>
        </w:rPr>
        <w:t>וה</w:t>
      </w:r>
      <w:r w:rsidRPr="009F36E0">
        <w:rPr>
          <w:rFonts w:ascii="Narkisim" w:hAnsi="Narkisim"/>
          <w:b/>
          <w:bCs/>
          <w:sz w:val="20"/>
          <w:szCs w:val="20"/>
          <w:rtl/>
        </w:rPr>
        <w:t>או"ש</w:t>
      </w:r>
      <w:r w:rsidRPr="009F36E0">
        <w:rPr>
          <w:rFonts w:ascii="Narkisim" w:hAnsi="Narkisim"/>
          <w:sz w:val="20"/>
          <w:szCs w:val="20"/>
          <w:rtl/>
        </w:rPr>
        <w:t xml:space="preserve"> תי' דכיון דרק ע"י מעשה מעקר למפרע אמרי' נאסרה. וה</w:t>
      </w:r>
      <w:r w:rsidRPr="009F36E0">
        <w:rPr>
          <w:rFonts w:ascii="Narkisim" w:hAnsi="Narkisim"/>
          <w:b/>
          <w:bCs/>
          <w:sz w:val="20"/>
          <w:szCs w:val="20"/>
          <w:rtl/>
        </w:rPr>
        <w:t>אחרונים</w:t>
      </w:r>
      <w:r w:rsidRPr="009F36E0">
        <w:rPr>
          <w:rFonts w:ascii="Narkisim" w:hAnsi="Narkisim"/>
          <w:sz w:val="20"/>
          <w:szCs w:val="20"/>
          <w:rtl/>
        </w:rPr>
        <w:t xml:space="preserve"> (קה"י יח) ביארו דלא הוה בירור למפרע, אלא דגדר הדבר דע"י מעשה עכשיו נעקר למפרע [מכאן ולמפרע]</w:t>
      </w:r>
      <w:r w:rsidRPr="009F36E0">
        <w:rPr>
          <w:rStyle w:val="ac"/>
          <w:rFonts w:ascii="Narkisim" w:hAnsi="Narkisim"/>
          <w:sz w:val="20"/>
          <w:szCs w:val="20"/>
          <w:rtl/>
        </w:rPr>
        <w:footnoteReference w:id="1078"/>
      </w:r>
      <w:r w:rsidRPr="009F36E0">
        <w:rPr>
          <w:rFonts w:ascii="Narkisim" w:hAnsi="Narkisim"/>
          <w:sz w:val="20"/>
          <w:szCs w:val="20"/>
        </w:rPr>
        <w:t>.</w:t>
      </w:r>
    </w:p>
    <w:p w14:paraId="44BA4B9F" w14:textId="77777777" w:rsidR="006074A5" w:rsidRPr="009F36E0" w:rsidRDefault="006074A5" w:rsidP="006074A5">
      <w:pPr>
        <w:pStyle w:val="aa"/>
        <w:bidi/>
        <w:rPr>
          <w:rFonts w:ascii="Narkisim" w:hAnsi="Narkisim"/>
        </w:rPr>
      </w:pPr>
      <w:r w:rsidRPr="009F36E0">
        <w:rPr>
          <w:rFonts w:ascii="Narkisim" w:hAnsi="Narkisim"/>
          <w:u w:val="single"/>
          <w:rtl/>
        </w:rPr>
        <w:t>והא כי פליגי בתרי פליגי וכו'</w:t>
      </w:r>
      <w:r w:rsidRPr="009F36E0">
        <w:rPr>
          <w:rFonts w:ascii="Narkisim" w:hAnsi="Narkisim"/>
          <w:rtl/>
        </w:rPr>
        <w:t>. פ</w:t>
      </w:r>
      <w:r w:rsidRPr="009F36E0">
        <w:rPr>
          <w:rFonts w:ascii="Narkisim" w:hAnsi="Narkisim"/>
          <w:b/>
          <w:bCs/>
          <w:rtl/>
        </w:rPr>
        <w:t>רש"י</w:t>
      </w:r>
      <w:r w:rsidRPr="009F36E0">
        <w:rPr>
          <w:rFonts w:ascii="Narkisim" w:hAnsi="Narkisim"/>
          <w:rtl/>
        </w:rPr>
        <w:t xml:space="preserve"> מח' ר"י [בן בתירא] ורבנן קאי בב' אחים. וה</w:t>
      </w:r>
      <w:r w:rsidRPr="009F36E0">
        <w:rPr>
          <w:rFonts w:ascii="Narkisim" w:hAnsi="Narkisim"/>
          <w:b/>
          <w:bCs/>
          <w:rtl/>
        </w:rPr>
        <w:t>רמב"ן</w:t>
      </w:r>
      <w:r w:rsidRPr="009F36E0">
        <w:rPr>
          <w:rFonts w:ascii="Narkisim" w:hAnsi="Narkisim"/>
          <w:rtl/>
        </w:rPr>
        <w:t xml:space="preserve"> הביא דה</w:t>
      </w:r>
      <w:r w:rsidRPr="009F36E0">
        <w:rPr>
          <w:rFonts w:ascii="Narkisim" w:hAnsi="Narkisim"/>
          <w:b/>
          <w:bCs/>
          <w:rtl/>
        </w:rPr>
        <w:t>ראב"ד</w:t>
      </w:r>
      <w:r w:rsidRPr="009F36E0">
        <w:rPr>
          <w:rFonts w:ascii="Narkisim" w:hAnsi="Narkisim"/>
          <w:rtl/>
        </w:rPr>
        <w:t xml:space="preserve"> הק' דמ"מ יש תנא שחילק בין א' לב', דר' יהושע (נדרים עד. לקמן כט:) חילק לענין הפרת נדריה דביבם א' מיפר ולא בב'. וה</w:t>
      </w:r>
      <w:r w:rsidRPr="009F36E0">
        <w:rPr>
          <w:rFonts w:ascii="Narkisim" w:hAnsi="Narkisim"/>
          <w:b/>
          <w:bCs/>
          <w:rtl/>
        </w:rPr>
        <w:t>ראב"ד</w:t>
      </w:r>
      <w:r w:rsidRPr="009F36E0">
        <w:rPr>
          <w:rFonts w:ascii="Narkisim" w:hAnsi="Narkisim"/>
          <w:rtl/>
        </w:rPr>
        <w:t xml:space="preserve"> דתי' דמ"מ כיון דריב"ב קאי אף בב' יבמין, הוה אזלי' לחומרא</w:t>
      </w:r>
      <w:r w:rsidRPr="009F36E0">
        <w:rPr>
          <w:rStyle w:val="ac"/>
          <w:rFonts w:ascii="Narkisim" w:hAnsi="Narkisim"/>
          <w:rtl/>
        </w:rPr>
        <w:footnoteReference w:id="1079"/>
      </w:r>
      <w:r w:rsidRPr="009F36E0">
        <w:rPr>
          <w:rFonts w:ascii="Narkisim" w:hAnsi="Narkisim"/>
        </w:rPr>
        <w:t xml:space="preserve">. </w:t>
      </w:r>
      <w:r w:rsidRPr="009F36E0">
        <w:rPr>
          <w:rFonts w:ascii="Narkisim" w:hAnsi="Narkisim"/>
          <w:rtl/>
        </w:rPr>
        <w:t>והרמב"ן תי' דמ"מ הו"ל לומר בהדיא הלכה כריב"ב</w:t>
      </w:r>
      <w:r w:rsidRPr="009F36E0">
        <w:rPr>
          <w:rFonts w:ascii="Narkisim" w:hAnsi="Narkisim"/>
        </w:rPr>
        <w:t>.</w:t>
      </w:r>
    </w:p>
    <w:p w14:paraId="39F3DD81" w14:textId="77777777" w:rsidR="006074A5" w:rsidRPr="009F36E0" w:rsidRDefault="006074A5" w:rsidP="006074A5">
      <w:pPr>
        <w:pStyle w:val="3"/>
        <w:bidi/>
        <w:rPr>
          <w:rFonts w:ascii="Narkisim" w:hAnsi="Narkisim"/>
        </w:rPr>
      </w:pPr>
      <w:r w:rsidRPr="009F36E0">
        <w:rPr>
          <w:rFonts w:ascii="Narkisim" w:hAnsi="Narkisim"/>
          <w:rtl/>
        </w:rPr>
        <w:t>דף יח</w:t>
      </w:r>
      <w:r w:rsidRPr="009F36E0">
        <w:rPr>
          <w:rFonts w:ascii="Narkisim" w:hAnsi="Narkisim"/>
        </w:rPr>
        <w:t>.</w:t>
      </w:r>
    </w:p>
    <w:p w14:paraId="5B856BA3" w14:textId="77777777" w:rsidR="006074A5" w:rsidRPr="009F36E0" w:rsidRDefault="006074A5" w:rsidP="006074A5">
      <w:pPr>
        <w:bidi/>
        <w:rPr>
          <w:rFonts w:ascii="Narkisim" w:hAnsi="Narkisim" w:cs="Narkisim"/>
        </w:rPr>
      </w:pPr>
      <w:r w:rsidRPr="009F36E0">
        <w:rPr>
          <w:rFonts w:ascii="Narkisim" w:hAnsi="Narkisim" w:cs="Narkisim"/>
          <w:u w:val="single"/>
          <w:rtl/>
        </w:rPr>
        <w:t>הו"א מחיים אבל לאחר מיתה פקע זיקה, קמ”ל דזיקה בכדי לא פקעה</w:t>
      </w:r>
      <w:r w:rsidRPr="009F36E0">
        <w:rPr>
          <w:rFonts w:ascii="Narkisim" w:hAnsi="Narkisim" w:cs="Narkisim"/>
          <w:rtl/>
        </w:rPr>
        <w:t xml:space="preserve">. </w:t>
      </w:r>
      <w:r w:rsidRPr="009F36E0">
        <w:rPr>
          <w:rFonts w:ascii="Narkisim" w:hAnsi="Narkisim" w:cs="Narkisim"/>
          <w:sz w:val="20"/>
          <w:szCs w:val="20"/>
          <w:rtl/>
        </w:rPr>
        <w:t>[</w:t>
      </w:r>
      <w:r w:rsidRPr="009F36E0">
        <w:rPr>
          <w:rFonts w:ascii="Narkisim" w:hAnsi="Narkisim" w:cs="Narkisim"/>
          <w:b/>
          <w:bCs/>
          <w:sz w:val="20"/>
          <w:szCs w:val="20"/>
          <w:rtl/>
        </w:rPr>
        <w:t>תוס'</w:t>
      </w:r>
      <w:r w:rsidRPr="009F36E0">
        <w:rPr>
          <w:rFonts w:ascii="Narkisim" w:hAnsi="Narkisim" w:cs="Narkisim"/>
          <w:sz w:val="20"/>
          <w:szCs w:val="20"/>
          <w:rtl/>
        </w:rPr>
        <w:t xml:space="preserve"> (יז: ד"ה אבל) כתבו דהאמת דאין חילוק כשמתה].</w:t>
      </w:r>
      <w:r w:rsidRPr="009F36E0">
        <w:rPr>
          <w:rFonts w:ascii="Narkisim" w:hAnsi="Narkisim" w:cs="Narkisim"/>
          <w:rtl/>
        </w:rPr>
        <w:t xml:space="preserve"> אבל ה</w:t>
      </w:r>
      <w:r w:rsidRPr="009F36E0">
        <w:rPr>
          <w:rFonts w:ascii="Narkisim" w:hAnsi="Narkisim" w:cs="Narkisim"/>
          <w:b/>
          <w:bCs/>
          <w:rtl/>
        </w:rPr>
        <w:t>או"ש</w:t>
      </w:r>
      <w:r w:rsidRPr="009F36E0">
        <w:rPr>
          <w:rFonts w:ascii="Narkisim" w:hAnsi="Narkisim" w:cs="Narkisim"/>
          <w:sz w:val="20"/>
          <w:szCs w:val="20"/>
          <w:rtl/>
        </w:rPr>
        <w:t xml:space="preserve"> (קו' זיקה ב) </w:t>
      </w:r>
      <w:r w:rsidRPr="009F36E0">
        <w:rPr>
          <w:rFonts w:ascii="Narkisim" w:hAnsi="Narkisim" w:cs="Narkisim"/>
          <w:rtl/>
        </w:rPr>
        <w:t>הביא דדעת ה</w:t>
      </w:r>
      <w:r w:rsidRPr="009F36E0">
        <w:rPr>
          <w:rFonts w:ascii="Narkisim" w:hAnsi="Narkisim" w:cs="Narkisim"/>
          <w:b/>
          <w:bCs/>
          <w:rtl/>
        </w:rPr>
        <w:t xml:space="preserve">ירושלמי </w:t>
      </w:r>
      <w:r w:rsidRPr="009F36E0">
        <w:rPr>
          <w:rFonts w:ascii="Narkisim" w:hAnsi="Narkisim" w:cs="Narkisim"/>
          <w:rtl/>
        </w:rPr>
        <w:t>דכשמתה פקע זיקה. [ע' בסמוך]</w:t>
      </w:r>
      <w:r w:rsidRPr="009F36E0">
        <w:rPr>
          <w:rFonts w:ascii="Narkisim" w:hAnsi="Narkisim" w:cs="Narkisim"/>
        </w:rPr>
        <w:t>.</w:t>
      </w:r>
    </w:p>
    <w:p w14:paraId="287F3AE3" w14:textId="77777777" w:rsidR="006074A5" w:rsidRPr="009F36E0" w:rsidRDefault="006074A5" w:rsidP="006074A5">
      <w:pPr>
        <w:bidi/>
        <w:rPr>
          <w:rFonts w:ascii="Narkisim" w:hAnsi="Narkisim" w:cs="Narkisim"/>
        </w:rPr>
      </w:pPr>
      <w:r w:rsidRPr="009F36E0">
        <w:rPr>
          <w:rFonts w:ascii="Narkisim" w:hAnsi="Narkisim" w:cs="Narkisim"/>
          <w:u w:val="single"/>
          <w:rtl/>
        </w:rPr>
        <w:t>שם. הו"א וכו' פקע זיקה</w:t>
      </w:r>
      <w:r w:rsidRPr="009F36E0">
        <w:rPr>
          <w:rFonts w:ascii="Narkisim" w:hAnsi="Narkisim" w:cs="Narkisim"/>
          <w:rtl/>
        </w:rPr>
        <w:t>. ומבואר בגמ' דאילו פקע הזיקה מותר בקרובתיה, וה</w:t>
      </w:r>
      <w:r w:rsidRPr="009F36E0">
        <w:rPr>
          <w:rFonts w:ascii="Narkisim" w:hAnsi="Narkisim" w:cs="Narkisim"/>
          <w:b/>
          <w:bCs/>
          <w:rtl/>
        </w:rPr>
        <w:t>אחרונים</w:t>
      </w:r>
      <w:r w:rsidRPr="009F36E0">
        <w:rPr>
          <w:rFonts w:ascii="Narkisim" w:hAnsi="Narkisim" w:cs="Narkisim"/>
          <w:rtl/>
        </w:rPr>
        <w:t xml:space="preserve"> הק' מ"ש ממתה אשתו, דעדיין אסור בקרובותיה. וה</w:t>
      </w:r>
      <w:r w:rsidRPr="009F36E0">
        <w:rPr>
          <w:rFonts w:ascii="Narkisim" w:hAnsi="Narkisim" w:cs="Narkisim"/>
          <w:b/>
          <w:bCs/>
          <w:rtl/>
        </w:rPr>
        <w:t>או"ש</w:t>
      </w:r>
      <w:r w:rsidRPr="009F36E0">
        <w:rPr>
          <w:rFonts w:ascii="Narkisim" w:hAnsi="Narkisim" w:cs="Narkisim"/>
          <w:rtl/>
        </w:rPr>
        <w:t xml:space="preserve"> (שם טז) הוכיח מזה דנעקר הזיקה למפרע [ע' מה שהו' לעיל]</w:t>
      </w:r>
      <w:r w:rsidRPr="009F36E0">
        <w:rPr>
          <w:rFonts w:ascii="Narkisim" w:hAnsi="Narkisim" w:cs="Narkisim"/>
        </w:rPr>
        <w:t>.</w:t>
      </w:r>
    </w:p>
    <w:p w14:paraId="3402D4CE" w14:textId="77777777" w:rsidR="006074A5" w:rsidRPr="009F36E0" w:rsidRDefault="006074A5" w:rsidP="006074A5">
      <w:pPr>
        <w:pStyle w:val="a7"/>
        <w:bidi/>
        <w:rPr>
          <w:rFonts w:ascii="Narkisim" w:hAnsi="Narkisim"/>
        </w:rPr>
      </w:pP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(חי' ר' שמעון יט) שפי' דהגדר איסור קרובים לאחר מיתה הוא דאמרי' דנשאר מקצת אישות, ועדיין היא שארו</w:t>
      </w:r>
      <w:r w:rsidRPr="009F36E0">
        <w:rPr>
          <w:rStyle w:val="ac"/>
          <w:rFonts w:ascii="Narkisim" w:hAnsi="Narkisim"/>
          <w:rtl/>
        </w:rPr>
        <w:footnoteReference w:id="1080"/>
      </w:r>
      <w:r w:rsidRPr="009F36E0">
        <w:rPr>
          <w:rFonts w:ascii="Narkisim" w:hAnsi="Narkisim"/>
        </w:rPr>
        <w:t xml:space="preserve">. </w:t>
      </w:r>
      <w:r w:rsidRPr="009F36E0">
        <w:rPr>
          <w:rFonts w:ascii="Narkisim" w:hAnsi="Narkisim"/>
          <w:rtl/>
        </w:rPr>
        <w:t>אבל הכא אילו פקע הזיקה, בלא סיבת מתיר, פקע אף מקרובים</w:t>
      </w:r>
      <w:r w:rsidRPr="009F36E0">
        <w:rPr>
          <w:rFonts w:ascii="Narkisim" w:hAnsi="Narkisim"/>
        </w:rPr>
        <w:t>.</w:t>
      </w:r>
    </w:p>
    <w:p w14:paraId="6BAAC178" w14:textId="77777777" w:rsidR="006074A5" w:rsidRPr="009F36E0" w:rsidRDefault="006074A5" w:rsidP="006074A5">
      <w:pPr>
        <w:pStyle w:val="a7"/>
        <w:bidi/>
        <w:rPr>
          <w:rFonts w:ascii="Narkisim" w:hAnsi="Narkisim"/>
        </w:rPr>
      </w:pPr>
      <w:r w:rsidRPr="009F36E0">
        <w:rPr>
          <w:rFonts w:ascii="Narkisim" w:hAnsi="Narkisim"/>
          <w:rtl/>
        </w:rPr>
        <w:t xml:space="preserve">ועוד יש </w:t>
      </w:r>
      <w:r w:rsidRPr="009F36E0">
        <w:rPr>
          <w:rFonts w:ascii="Narkisim" w:hAnsi="Narkisim"/>
          <w:b/>
          <w:bCs/>
          <w:rtl/>
        </w:rPr>
        <w:t>אחרונים</w:t>
      </w:r>
      <w:r w:rsidRPr="009F36E0">
        <w:rPr>
          <w:rFonts w:ascii="Narkisim" w:hAnsi="Narkisim"/>
          <w:rtl/>
        </w:rPr>
        <w:t xml:space="preserve"> (משנת ר' אהרן טו) שביארו דזיקה נחשב אישות לזמן, ומעיקרא לא נחשבת אשתו כלפי המצב שאח”כ. ועד"ז כת' ה</w:t>
      </w:r>
      <w:r w:rsidRPr="009F36E0">
        <w:rPr>
          <w:rFonts w:ascii="Narkisim" w:hAnsi="Narkisim"/>
          <w:b/>
          <w:bCs/>
          <w:rtl/>
        </w:rPr>
        <w:t>קובה"ע</w:t>
      </w:r>
      <w:r w:rsidRPr="009F36E0">
        <w:rPr>
          <w:rFonts w:ascii="Narkisim" w:hAnsi="Narkisim"/>
          <w:rtl/>
        </w:rPr>
        <w:t xml:space="preserve"> (יב) והוסיף דהזיקה מתחדש כל רגע, מחמת שעכשיו היא זקוקה לו</w:t>
      </w:r>
      <w:r w:rsidRPr="009F36E0">
        <w:rPr>
          <w:rStyle w:val="ac"/>
          <w:rFonts w:ascii="Narkisim" w:hAnsi="Narkisim"/>
          <w:rtl/>
        </w:rPr>
        <w:footnoteReference w:id="1081"/>
      </w:r>
      <w:r w:rsidRPr="009F36E0">
        <w:rPr>
          <w:rFonts w:ascii="Narkisim" w:hAnsi="Narkisim"/>
        </w:rPr>
        <w:t>.</w:t>
      </w:r>
    </w:p>
    <w:p w14:paraId="10CD023F" w14:textId="77777777" w:rsidR="006074A5" w:rsidRPr="009F36E0" w:rsidRDefault="006074A5" w:rsidP="006074A5">
      <w:pPr>
        <w:pStyle w:val="aa"/>
        <w:bidi/>
        <w:rPr>
          <w:rFonts w:ascii="Narkisim" w:hAnsi="Narkisim"/>
        </w:rPr>
      </w:pPr>
      <w:r w:rsidRPr="009F36E0">
        <w:rPr>
          <w:rFonts w:ascii="Narkisim" w:hAnsi="Narkisim"/>
          <w:u w:val="single"/>
          <w:rtl/>
        </w:rPr>
        <w:t>מתיב רב הונא וכו'.</w:t>
      </w:r>
      <w:r w:rsidRPr="009F36E0">
        <w:rPr>
          <w:rFonts w:ascii="Narkisim" w:hAnsi="Narkisim"/>
          <w:rtl/>
        </w:rPr>
        <w:t xml:space="preserve"> </w:t>
      </w:r>
      <w:r w:rsidRPr="009F36E0">
        <w:rPr>
          <w:rFonts w:ascii="Narkisim" w:hAnsi="Narkisim"/>
          <w:b/>
          <w:bCs/>
          <w:rtl/>
        </w:rPr>
        <w:t>תוס'</w:t>
      </w:r>
      <w:r w:rsidRPr="009F36E0">
        <w:rPr>
          <w:rFonts w:ascii="Narkisim" w:hAnsi="Narkisim"/>
          <w:rtl/>
        </w:rPr>
        <w:t xml:space="preserve"> (ד"ה הא) וה</w:t>
      </w:r>
      <w:r w:rsidRPr="009F36E0">
        <w:rPr>
          <w:rFonts w:ascii="Narkisim" w:hAnsi="Narkisim"/>
          <w:b/>
          <w:bCs/>
          <w:rtl/>
        </w:rPr>
        <w:t>רמב"ן</w:t>
      </w:r>
      <w:r w:rsidRPr="009F36E0">
        <w:rPr>
          <w:rFonts w:ascii="Narkisim" w:hAnsi="Narkisim"/>
          <w:rtl/>
        </w:rPr>
        <w:t xml:space="preserve"> ביארו דהק' מסתם משנה, ואף דנח' תנאים אי יש זיקה. וכן מברייתא שבאה לפרש את המשנה</w:t>
      </w:r>
      <w:r w:rsidRPr="009F36E0">
        <w:rPr>
          <w:rFonts w:ascii="Narkisim" w:hAnsi="Narkisim"/>
        </w:rPr>
        <w:t>.</w:t>
      </w:r>
    </w:p>
    <w:p w14:paraId="23DBE2DC" w14:textId="77777777" w:rsidR="006074A5" w:rsidRPr="009F36E0" w:rsidRDefault="006074A5" w:rsidP="006074A5">
      <w:pPr>
        <w:pStyle w:val="a8"/>
        <w:bidi/>
        <w:rPr>
          <w:rFonts w:ascii="Narkisim" w:hAnsi="Narkisim"/>
        </w:rPr>
      </w:pPr>
      <w:r w:rsidRPr="009F36E0">
        <w:rPr>
          <w:rFonts w:ascii="Narkisim" w:hAnsi="Narkisim"/>
          <w:rtl/>
        </w:rPr>
        <w:t>אבל ה</w:t>
      </w:r>
      <w:r w:rsidRPr="009F36E0">
        <w:rPr>
          <w:rFonts w:ascii="Narkisim" w:hAnsi="Narkisim"/>
          <w:b/>
          <w:bCs/>
          <w:rtl/>
        </w:rPr>
        <w:t>תו"י</w:t>
      </w:r>
      <w:r w:rsidRPr="009F36E0">
        <w:rPr>
          <w:rFonts w:ascii="Narkisim" w:hAnsi="Narkisim"/>
          <w:rtl/>
        </w:rPr>
        <w:t xml:space="preserve"> פי' דכוונת הגמ' דאתי כמ"ד יש זיקה, ואפ"ה פקע זיקה ע"י מיתה. וכן יפקע כשמת היבם</w:t>
      </w:r>
      <w:r w:rsidRPr="009F36E0">
        <w:rPr>
          <w:rStyle w:val="ac"/>
          <w:rFonts w:ascii="Narkisim" w:hAnsi="Narkisim"/>
          <w:rtl/>
        </w:rPr>
        <w:footnoteReference w:id="1082"/>
      </w:r>
      <w:r w:rsidRPr="009F36E0">
        <w:rPr>
          <w:rFonts w:ascii="Narkisim" w:hAnsi="Narkisim"/>
        </w:rPr>
        <w:t>.</w:t>
      </w:r>
    </w:p>
    <w:p w14:paraId="459ADFB3" w14:textId="77777777" w:rsidR="006074A5" w:rsidRPr="009F36E0" w:rsidRDefault="006074A5" w:rsidP="006074A5">
      <w:pPr>
        <w:pStyle w:val="aa"/>
        <w:bidi/>
        <w:rPr>
          <w:rFonts w:ascii="Narkisim" w:hAnsi="Narkisim"/>
        </w:rPr>
      </w:pPr>
      <w:r w:rsidRPr="009F36E0">
        <w:rPr>
          <w:rFonts w:ascii="Narkisim" w:hAnsi="Narkisim"/>
          <w:u w:val="single"/>
          <w:rtl/>
        </w:rPr>
        <w:t>ואי אמרת יש זיקה הו"ל צרת אשת אחיו שלא היה בעולמו בזיקה.</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שנזקקה לשני, ונעשית צרה לאשתו. ומש"ה כשמת היבם נחשב צרת ערוה בזיקה [למ"ד יש זיקה</w:t>
      </w:r>
      <w:r w:rsidRPr="009F36E0">
        <w:rPr>
          <w:rStyle w:val="ac"/>
          <w:rFonts w:ascii="Narkisim" w:hAnsi="Narkisim"/>
          <w:rtl/>
        </w:rPr>
        <w:footnoteReference w:id="1083"/>
      </w:r>
      <w:r w:rsidRPr="009F36E0">
        <w:rPr>
          <w:rFonts w:ascii="Narkisim" w:hAnsi="Narkisim"/>
          <w:rtl/>
        </w:rPr>
        <w:t>]. ומבואר דע"י הזיקה נופלת לפני אחיו הב', ונחשבת לצרה לאשתו</w:t>
      </w:r>
      <w:r w:rsidRPr="009F36E0">
        <w:rPr>
          <w:rFonts w:ascii="Narkisim" w:hAnsi="Narkisim"/>
        </w:rPr>
        <w:t>.</w:t>
      </w:r>
    </w:p>
    <w:p w14:paraId="61849E55" w14:textId="77777777" w:rsidR="006074A5" w:rsidRPr="009F36E0" w:rsidRDefault="006074A5" w:rsidP="006074A5">
      <w:pPr>
        <w:pStyle w:val="a8"/>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(לקמן ל. ד"ה זאת, וע"ע שא"ר) כת' דמ"מ מחיים רשאי לאח לייבם, ואף כשאחיו נשוי אחותה, ולא אמרי' דזקוקה לאחיו והוה צרה בזיקה. והראשונים דנו דהתם ע"י שא' מייבם אמרי' דנתברר שאינה זקוקה לאחיו. [ויסוד לסברא זו לקמן יח: לגבי זיקה ככנוסה]. אבל כשמת, אמרי' דהוה ייבום אף על זיקת יבם זה. [ויתבאר לקמן]</w:t>
      </w:r>
      <w:r w:rsidRPr="009F36E0">
        <w:rPr>
          <w:rFonts w:ascii="Narkisim" w:hAnsi="Narkisim"/>
        </w:rPr>
        <w:t>.</w:t>
      </w:r>
    </w:p>
    <w:p w14:paraId="37BB0795" w14:textId="77777777" w:rsidR="006074A5" w:rsidRPr="009F36E0" w:rsidRDefault="006074A5" w:rsidP="006074A5">
      <w:pPr>
        <w:pStyle w:val="aa"/>
        <w:bidi/>
        <w:rPr>
          <w:rFonts w:ascii="Narkisim" w:hAnsi="Narkisim"/>
        </w:rPr>
      </w:pPr>
      <w:r w:rsidRPr="009F36E0">
        <w:rPr>
          <w:rFonts w:ascii="Narkisim" w:hAnsi="Narkisim"/>
          <w:u w:val="single"/>
          <w:rtl/>
        </w:rPr>
        <w:t>אמר רבה ה"ה דאע"ג דלא עשה בה שני מאמר חולצת וכו'.</w:t>
      </w:r>
      <w:r w:rsidRPr="009F36E0">
        <w:rPr>
          <w:rFonts w:ascii="Narkisim" w:hAnsi="Narkisim"/>
          <w:rtl/>
        </w:rPr>
        <w:t xml:space="preserve"> אבל ה</w:t>
      </w:r>
      <w:r w:rsidRPr="009F36E0">
        <w:rPr>
          <w:rFonts w:ascii="Narkisim" w:hAnsi="Narkisim"/>
          <w:b/>
          <w:bCs/>
          <w:rtl/>
        </w:rPr>
        <w:t>רמב"ם</w:t>
      </w:r>
      <w:r w:rsidRPr="009F36E0">
        <w:rPr>
          <w:rFonts w:ascii="Narkisim" w:hAnsi="Narkisim"/>
          <w:rtl/>
        </w:rPr>
        <w:t xml:space="preserve"> (ו יח) פסק דדוקא עשה מאמר. [ואף דפסק דיש זיקה]. [וע' לקמן ל.]</w:t>
      </w:r>
      <w:r w:rsidRPr="009F36E0">
        <w:rPr>
          <w:rFonts w:ascii="Narkisim" w:hAnsi="Narkisim"/>
        </w:rPr>
        <w:t>.</w:t>
      </w:r>
    </w:p>
    <w:p w14:paraId="1D1EBDC4" w14:textId="77777777" w:rsidR="006074A5" w:rsidRPr="009F36E0" w:rsidRDefault="006074A5" w:rsidP="006074A5">
      <w:pPr>
        <w:bidi/>
        <w:rPr>
          <w:rFonts w:ascii="Narkisim" w:hAnsi="Narkisim" w:cs="Narkisim"/>
        </w:rPr>
      </w:pPr>
      <w:r w:rsidRPr="009F36E0">
        <w:rPr>
          <w:rFonts w:ascii="Narkisim" w:hAnsi="Narkisim" w:cs="Narkisim"/>
          <w:u w:val="single"/>
          <w:rtl/>
        </w:rPr>
        <w:t>דקסבר אסור לבטל מצוות יבמין וכו'.</w:t>
      </w:r>
      <w:r w:rsidRPr="009F36E0">
        <w:rPr>
          <w:rFonts w:ascii="Narkisim" w:hAnsi="Narkisim" w:cs="Narkisim"/>
          <w:rtl/>
        </w:rPr>
        <w:t xml:space="preserve"> ה</w:t>
      </w:r>
      <w:r w:rsidRPr="009F36E0">
        <w:rPr>
          <w:rFonts w:ascii="Narkisim" w:hAnsi="Narkisim" w:cs="Narkisim"/>
          <w:b/>
          <w:bCs/>
          <w:rtl/>
        </w:rPr>
        <w:t>קר"א</w:t>
      </w:r>
      <w:r w:rsidRPr="009F36E0">
        <w:rPr>
          <w:rFonts w:ascii="Narkisim" w:hAnsi="Narkisim" w:cs="Narkisim"/>
          <w:rtl/>
        </w:rPr>
        <w:t xml:space="preserve"> (לקמן כו.) נסתפק האם יש בזה 'סרך' איסור דאורייתא, דאסור לבטל מצוה המוטלת עליו. </w:t>
      </w:r>
      <w:r w:rsidRPr="009F36E0">
        <w:rPr>
          <w:rFonts w:ascii="Narkisim" w:hAnsi="Narkisim" w:cs="Narkisim"/>
          <w:sz w:val="20"/>
          <w:szCs w:val="20"/>
          <w:rtl/>
        </w:rPr>
        <w:t>[וכן יאסר לחתוך כנף בגדו להפטר מציצית].</w:t>
      </w:r>
      <w:r w:rsidRPr="009F36E0">
        <w:rPr>
          <w:rFonts w:ascii="Narkisim" w:hAnsi="Narkisim" w:cs="Narkisim"/>
          <w:rtl/>
        </w:rPr>
        <w:t xml:space="preserve"> וחזר בו דמבטל ע"י גרמא בעלמא ליכא חשש איסור דאורייתא. וכ"מ בכ"מ דהוה איסור דרבנן</w:t>
      </w:r>
      <w:r w:rsidRPr="009F36E0">
        <w:rPr>
          <w:rFonts w:ascii="Narkisim" w:hAnsi="Narkisim" w:cs="Narkisim"/>
        </w:rPr>
        <w:t>.</w:t>
      </w:r>
    </w:p>
    <w:p w14:paraId="3F62CB7D"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 xml:space="preserve">קר"א </w:t>
      </w:r>
      <w:r w:rsidRPr="009F36E0">
        <w:rPr>
          <w:rFonts w:ascii="Narkisim" w:hAnsi="Narkisim"/>
          <w:rtl/>
        </w:rPr>
        <w:t>נקט דמישך לגדר ביטול מצוות בעלמא. אבל ה</w:t>
      </w:r>
      <w:r w:rsidRPr="009F36E0">
        <w:rPr>
          <w:rFonts w:ascii="Narkisim" w:hAnsi="Narkisim"/>
          <w:b/>
          <w:bCs/>
          <w:rtl/>
        </w:rPr>
        <w:t>אחרונים</w:t>
      </w:r>
      <w:r w:rsidRPr="009F36E0">
        <w:rPr>
          <w:rFonts w:ascii="Narkisim" w:hAnsi="Narkisim"/>
          <w:rtl/>
        </w:rPr>
        <w:t xml:space="preserve"> כתבו דהוה תקנ"ח בדיני יבום. (ע"ע בסמוך)</w:t>
      </w:r>
      <w:r w:rsidRPr="009F36E0">
        <w:rPr>
          <w:rFonts w:ascii="Narkisim" w:hAnsi="Narkisim"/>
        </w:rPr>
        <w:t>.</w:t>
      </w:r>
    </w:p>
    <w:p w14:paraId="4C255898" w14:textId="77777777" w:rsidR="006074A5" w:rsidRPr="009F36E0" w:rsidRDefault="006074A5" w:rsidP="006074A5">
      <w:pPr>
        <w:pStyle w:val="aa"/>
        <w:bidi/>
        <w:rPr>
          <w:rFonts w:ascii="Narkisim" w:hAnsi="Narkisim"/>
        </w:rPr>
      </w:pPr>
      <w:r w:rsidRPr="009F36E0">
        <w:rPr>
          <w:rFonts w:ascii="Narkisim" w:hAnsi="Narkisim"/>
          <w:rtl/>
        </w:rPr>
        <w:lastRenderedPageBreak/>
        <w:t>וה</w:t>
      </w:r>
      <w:r w:rsidRPr="009F36E0">
        <w:rPr>
          <w:rFonts w:ascii="Narkisim" w:hAnsi="Narkisim"/>
          <w:b/>
          <w:bCs/>
          <w:rtl/>
        </w:rPr>
        <w:t>אחרונים</w:t>
      </w:r>
      <w:r w:rsidRPr="009F36E0">
        <w:rPr>
          <w:rFonts w:ascii="Narkisim" w:hAnsi="Narkisim"/>
          <w:rtl/>
        </w:rPr>
        <w:t xml:space="preserve"> דנו האם ביטול מצוות יבמין הוא דוקא במקום שיש מצוה לייבם. או אף כשיש זיקה רק לחליצה</w:t>
      </w:r>
      <w:r w:rsidRPr="009F36E0">
        <w:rPr>
          <w:rStyle w:val="ac"/>
          <w:rFonts w:ascii="Narkisim" w:hAnsi="Narkisim"/>
          <w:rtl/>
        </w:rPr>
        <w:footnoteReference w:id="1084"/>
      </w:r>
      <w:r w:rsidRPr="009F36E0">
        <w:rPr>
          <w:rFonts w:ascii="Narkisim" w:hAnsi="Narkisim"/>
        </w:rPr>
        <w:t xml:space="preserve"> </w:t>
      </w:r>
      <w:r w:rsidRPr="009F36E0">
        <w:rPr>
          <w:rFonts w:ascii="Narkisim" w:hAnsi="Narkisim"/>
          <w:rtl/>
        </w:rPr>
        <w:t>[כגון חייבי עשה] אסורה לבטלו. [ויש שהק' דמבואר בסוגיין דמשום תקנת חשש ביטול מצוות יבמין חולץ ואינו מייבם. ולאחר שהדין שחולצת, א"כ מה איסור יש בזה. וע"כ דאף במקום חליצה בלבד יש איסור לבטל</w:t>
      </w:r>
      <w:r w:rsidRPr="009F36E0">
        <w:rPr>
          <w:rStyle w:val="ac"/>
          <w:rFonts w:ascii="Narkisim" w:hAnsi="Narkisim"/>
          <w:rtl/>
        </w:rPr>
        <w:footnoteReference w:id="1085"/>
      </w:r>
      <w:r w:rsidRPr="009F36E0">
        <w:rPr>
          <w:rFonts w:ascii="Narkisim" w:hAnsi="Narkisim"/>
          <w:rtl/>
        </w:rPr>
        <w:t>]</w:t>
      </w:r>
      <w:r w:rsidRPr="009F36E0">
        <w:rPr>
          <w:rFonts w:ascii="Narkisim" w:hAnsi="Narkisim"/>
        </w:rPr>
        <w:t>.</w:t>
      </w:r>
    </w:p>
    <w:p w14:paraId="4FC4A56C" w14:textId="77777777" w:rsidR="006074A5" w:rsidRPr="009F36E0" w:rsidRDefault="006074A5" w:rsidP="006074A5">
      <w:pPr>
        <w:bidi/>
        <w:rPr>
          <w:rFonts w:ascii="Narkisim" w:hAnsi="Narkisim" w:cs="Narkisim"/>
        </w:rPr>
      </w:pPr>
      <w:r w:rsidRPr="009F36E0">
        <w:rPr>
          <w:rFonts w:ascii="Narkisim" w:hAnsi="Narkisim" w:cs="Narkisim"/>
          <w:u w:val="single"/>
          <w:rtl/>
        </w:rPr>
        <w:t>ואי אין זיקה תבטל וכו'</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דמאן דלית ליה זיקה לא חייש מביטול מצוות יבום. משמע דלמ"ד יש זיקה יותר מסתבר לאסור מצד ביטול מצוות יבמין. וכ"מ ב</w:t>
      </w:r>
      <w:r w:rsidRPr="009F36E0">
        <w:rPr>
          <w:rFonts w:ascii="Narkisim" w:hAnsi="Narkisim" w:cs="Narkisim"/>
          <w:b/>
          <w:bCs/>
          <w:rtl/>
        </w:rPr>
        <w:t>תוס' הרי"ד</w:t>
      </w:r>
      <w:r w:rsidRPr="009F36E0">
        <w:rPr>
          <w:rFonts w:ascii="Narkisim" w:hAnsi="Narkisim" w:cs="Narkisim"/>
          <w:rtl/>
        </w:rPr>
        <w:t xml:space="preserve"> (יז:). אבל ה</w:t>
      </w:r>
      <w:r w:rsidRPr="009F36E0">
        <w:rPr>
          <w:rFonts w:ascii="Narkisim" w:hAnsi="Narkisim" w:cs="Narkisim"/>
          <w:b/>
          <w:bCs/>
          <w:rtl/>
        </w:rPr>
        <w:t xml:space="preserve">ריטב"א </w:t>
      </w:r>
      <w:r w:rsidRPr="009F36E0">
        <w:rPr>
          <w:rFonts w:ascii="Narkisim" w:hAnsi="Narkisim" w:cs="Narkisim"/>
          <w:rtl/>
        </w:rPr>
        <w:t xml:space="preserve">(יז:) נקט דלמ"ד יש זיקה ל"ש ביטול מצוות יבמין [אלא משום איסור אחות זקוקתו]. וביאר משום דעדיין זקוקה לחליצה. </w:t>
      </w:r>
      <w:r w:rsidRPr="009F36E0">
        <w:rPr>
          <w:rFonts w:ascii="Narkisim" w:hAnsi="Narkisim" w:cs="Narkisim"/>
          <w:sz w:val="20"/>
          <w:szCs w:val="20"/>
          <w:rtl/>
        </w:rPr>
        <w:t>וכ"מ ב</w:t>
      </w:r>
      <w:r w:rsidRPr="009F36E0">
        <w:rPr>
          <w:rFonts w:ascii="Narkisim" w:hAnsi="Narkisim" w:cs="Narkisim"/>
          <w:b/>
          <w:bCs/>
          <w:sz w:val="20"/>
          <w:szCs w:val="20"/>
          <w:rtl/>
        </w:rPr>
        <w:t>רשב"א</w:t>
      </w:r>
      <w:r w:rsidRPr="009F36E0">
        <w:rPr>
          <w:rFonts w:ascii="Narkisim" w:hAnsi="Narkisim" w:cs="Narkisim"/>
          <w:sz w:val="20"/>
          <w:szCs w:val="20"/>
          <w:rtl/>
        </w:rPr>
        <w:t xml:space="preserve"> (מא.)</w:t>
      </w:r>
      <w:r w:rsidRPr="009F36E0">
        <w:rPr>
          <w:rStyle w:val="ac"/>
          <w:rFonts w:ascii="Narkisim" w:hAnsi="Narkisim" w:cs="Narkisim"/>
          <w:sz w:val="20"/>
          <w:szCs w:val="20"/>
          <w:rtl/>
        </w:rPr>
        <w:footnoteReference w:id="1086"/>
      </w:r>
      <w:r w:rsidRPr="009F36E0">
        <w:rPr>
          <w:rFonts w:ascii="Narkisim" w:hAnsi="Narkisim" w:cs="Narkisim"/>
          <w:sz w:val="20"/>
          <w:szCs w:val="20"/>
        </w:rPr>
        <w:t>.</w:t>
      </w:r>
    </w:p>
    <w:p w14:paraId="460AF0C8" w14:textId="77777777" w:rsidR="006074A5" w:rsidRPr="009F36E0" w:rsidRDefault="006074A5" w:rsidP="006074A5">
      <w:pPr>
        <w:pStyle w:val="aa"/>
        <w:bidi/>
        <w:rPr>
          <w:rFonts w:ascii="Narkisim" w:hAnsi="Narkisim"/>
        </w:rPr>
      </w:pPr>
      <w:r w:rsidRPr="009F36E0">
        <w:rPr>
          <w:rFonts w:ascii="Narkisim" w:hAnsi="Narkisim"/>
          <w:u w:val="single"/>
          <w:rtl/>
        </w:rPr>
        <w:t>תוד"ה משום</w:t>
      </w:r>
      <w:r w:rsidRPr="009F36E0">
        <w:rPr>
          <w:rFonts w:ascii="Narkisim" w:hAnsi="Narkisim"/>
          <w:rtl/>
        </w:rPr>
        <w:t>. דלר"ע כי חליץ נמי מבטל מצוות יבמין וכו'. [דס"ל דחליצה הוה קנין, ונעשית כאחות אשתו]. ומשמע מתוס' דרשאי לייבם לזו, כיון דבין יבום ובין חליצה הוא דוחה את אחותה. [ולא אמרי' שיתבטל לגמרי מהמצווה מחמת חשש ביטול מצווה אחרת]</w:t>
      </w:r>
      <w:r w:rsidRPr="009F36E0">
        <w:rPr>
          <w:rFonts w:ascii="Narkisim" w:hAnsi="Narkisim"/>
        </w:rPr>
        <w:t>.</w:t>
      </w:r>
    </w:p>
    <w:p w14:paraId="2CC40C9D" w14:textId="77777777" w:rsidR="006074A5" w:rsidRPr="009F36E0" w:rsidRDefault="006074A5" w:rsidP="006074A5">
      <w:pPr>
        <w:pStyle w:val="aa"/>
        <w:bidi/>
        <w:rPr>
          <w:rFonts w:ascii="Narkisim" w:hAnsi="Narkisim"/>
        </w:rPr>
      </w:pPr>
      <w:r w:rsidRPr="009F36E0">
        <w:rPr>
          <w:rFonts w:ascii="Narkisim" w:hAnsi="Narkisim"/>
          <w:u w:val="single"/>
          <w:rtl/>
        </w:rPr>
        <w:t>תוד"ה דלמא.</w:t>
      </w:r>
      <w:r w:rsidRPr="009F36E0">
        <w:rPr>
          <w:rFonts w:ascii="Narkisim" w:hAnsi="Narkisim"/>
          <w:rtl/>
        </w:rPr>
        <w:t xml:space="preserve"> אבל הכא פעמים שמאחר</w:t>
      </w:r>
      <w:r w:rsidRPr="009F36E0">
        <w:rPr>
          <w:rStyle w:val="ac"/>
          <w:rFonts w:ascii="Narkisim" w:hAnsi="Narkisim"/>
          <w:rtl/>
        </w:rPr>
        <w:footnoteReference w:id="1087"/>
      </w:r>
      <w:r w:rsidRPr="009F36E0">
        <w:rPr>
          <w:rFonts w:ascii="Narkisim" w:hAnsi="Narkisim"/>
        </w:rPr>
        <w:t xml:space="preserve"> </w:t>
      </w:r>
      <w:r w:rsidRPr="009F36E0">
        <w:rPr>
          <w:rFonts w:ascii="Narkisim" w:hAnsi="Narkisim"/>
          <w:rtl/>
        </w:rPr>
        <w:t xml:space="preserve">זמן גדול וכו' ובזמן מרובה חייש' שמא ימות. [וכ"כ </w:t>
      </w:r>
      <w:r w:rsidRPr="009F36E0">
        <w:rPr>
          <w:rFonts w:ascii="Narkisim" w:hAnsi="Narkisim"/>
          <w:b/>
          <w:bCs/>
          <w:rtl/>
        </w:rPr>
        <w:t>תוס</w:t>
      </w:r>
      <w:r w:rsidRPr="009F36E0">
        <w:rPr>
          <w:rFonts w:ascii="Narkisim" w:hAnsi="Narkisim"/>
          <w:rtl/>
        </w:rPr>
        <w:t>' גיטין כח.]. וה</w:t>
      </w:r>
      <w:r w:rsidRPr="009F36E0">
        <w:rPr>
          <w:rFonts w:ascii="Narkisim" w:hAnsi="Narkisim"/>
          <w:b/>
          <w:bCs/>
          <w:rtl/>
        </w:rPr>
        <w:t xml:space="preserve">רמב"ן </w:t>
      </w:r>
      <w:r w:rsidRPr="009F36E0">
        <w:rPr>
          <w:rFonts w:ascii="Narkisim" w:hAnsi="Narkisim"/>
          <w:rtl/>
        </w:rPr>
        <w:t>תי' עוד דהתם יש צורך שלא לחוש, שלא לאוסרה בתרומה וכו', אבל הכא כיון דיבום וחליצה כהדדי אין אנו מביאים עצמינו לידי ספק ביטול מצוה. וה</w:t>
      </w:r>
      <w:r w:rsidRPr="009F36E0">
        <w:rPr>
          <w:rFonts w:ascii="Narkisim" w:hAnsi="Narkisim"/>
          <w:b/>
          <w:bCs/>
          <w:rtl/>
        </w:rPr>
        <w:t>ריטב"א</w:t>
      </w:r>
      <w:r w:rsidRPr="009F36E0">
        <w:rPr>
          <w:rFonts w:ascii="Narkisim" w:hAnsi="Narkisim"/>
          <w:rtl/>
        </w:rPr>
        <w:t xml:space="preserve"> הק' דחליצה במקום יבום אינו כלום (כדלקמן כא.)</w:t>
      </w:r>
      <w:r w:rsidRPr="009F36E0">
        <w:rPr>
          <w:rFonts w:ascii="Narkisim" w:hAnsi="Narkisim"/>
        </w:rPr>
        <w:t>.</w:t>
      </w:r>
    </w:p>
    <w:p w14:paraId="7824A259" w14:textId="77777777" w:rsidR="006074A5" w:rsidRPr="009F36E0" w:rsidRDefault="006074A5" w:rsidP="006074A5">
      <w:pPr>
        <w:pStyle w:val="aa"/>
        <w:bidi/>
        <w:rPr>
          <w:rFonts w:ascii="Narkisim" w:hAnsi="Narkisim"/>
        </w:rPr>
      </w:pPr>
      <w:r w:rsidRPr="009F36E0">
        <w:rPr>
          <w:rFonts w:ascii="Narkisim" w:hAnsi="Narkisim"/>
          <w:u w:val="single"/>
          <w:rtl/>
        </w:rPr>
        <w:t>בא"ד וריב"ן פי' משום דבשעת נפילה לא חזי לתרוייהו וכו'.</w:t>
      </w:r>
      <w:r w:rsidRPr="009F36E0">
        <w:rPr>
          <w:rFonts w:ascii="Narkisim" w:hAnsi="Narkisim"/>
          <w:rtl/>
        </w:rPr>
        <w:t xml:space="preserve"> דאמרי' נאסרה [וכעי”ז כתב</w:t>
      </w:r>
      <w:r w:rsidRPr="009F36E0">
        <w:rPr>
          <w:rFonts w:ascii="Narkisim" w:hAnsi="Narkisim"/>
          <w:b/>
          <w:bCs/>
          <w:rtl/>
        </w:rPr>
        <w:t xml:space="preserve"> רש"י</w:t>
      </w:r>
      <w:r w:rsidRPr="009F36E0">
        <w:rPr>
          <w:rFonts w:ascii="Narkisim" w:hAnsi="Narkisim"/>
          <w:rtl/>
        </w:rPr>
        <w:t xml:space="preserve"> (לקמן כד. ד"ה ואי), וע' לקמן כז:]. ומבואר דשייך נאסרה אף כשעדיין זקוקה לחליצה</w:t>
      </w:r>
      <w:r w:rsidRPr="009F36E0">
        <w:rPr>
          <w:rFonts w:ascii="Narkisim" w:hAnsi="Narkisim"/>
        </w:rPr>
        <w:t>.</w:t>
      </w:r>
    </w:p>
    <w:p w14:paraId="30751CD4" w14:textId="77777777" w:rsidR="006074A5" w:rsidRPr="009F36E0" w:rsidRDefault="006074A5" w:rsidP="006074A5">
      <w:pPr>
        <w:pStyle w:val="a8"/>
        <w:bidi/>
        <w:rPr>
          <w:rFonts w:ascii="Narkisim" w:hAnsi="Narkisim"/>
        </w:rPr>
      </w:pPr>
      <w:r w:rsidRPr="009F36E0">
        <w:rPr>
          <w:rFonts w:ascii="Narkisim" w:hAnsi="Narkisim"/>
          <w:rtl/>
        </w:rPr>
        <w:t>ועפ”ז האריכו ה</w:t>
      </w:r>
      <w:r w:rsidRPr="009F36E0">
        <w:rPr>
          <w:rFonts w:ascii="Narkisim" w:hAnsi="Narkisim"/>
          <w:b/>
          <w:bCs/>
          <w:rtl/>
        </w:rPr>
        <w:t>פוסקים</w:t>
      </w:r>
      <w:r w:rsidRPr="009F36E0">
        <w:rPr>
          <w:rFonts w:ascii="Narkisim" w:hAnsi="Narkisim"/>
          <w:rtl/>
        </w:rPr>
        <w:t xml:space="preserve"> (רשב"ש [תשב"ץ ב רס] הו' בב"י קסה) האם יש נאסרה בנודרת</w:t>
      </w:r>
      <w:r w:rsidRPr="009F36E0">
        <w:rPr>
          <w:rStyle w:val="ac"/>
          <w:rFonts w:ascii="Narkisim" w:hAnsi="Narkisim"/>
          <w:rtl/>
        </w:rPr>
        <w:footnoteReference w:id="1088"/>
      </w:r>
      <w:r w:rsidRPr="009F36E0">
        <w:rPr>
          <w:rFonts w:ascii="Narkisim" w:hAnsi="Narkisim"/>
        </w:rPr>
        <w:t xml:space="preserve">. </w:t>
      </w:r>
      <w:r w:rsidRPr="009F36E0">
        <w:rPr>
          <w:rFonts w:ascii="Narkisim" w:hAnsi="Narkisim"/>
          <w:rtl/>
        </w:rPr>
        <w:t>וה</w:t>
      </w:r>
      <w:r w:rsidRPr="009F36E0">
        <w:rPr>
          <w:rFonts w:ascii="Narkisim" w:hAnsi="Narkisim"/>
          <w:b/>
          <w:bCs/>
          <w:rtl/>
        </w:rPr>
        <w:t>בי"ש</w:t>
      </w:r>
      <w:r w:rsidRPr="009F36E0">
        <w:rPr>
          <w:rFonts w:ascii="Narkisim" w:hAnsi="Narkisim"/>
          <w:rtl/>
        </w:rPr>
        <w:t xml:space="preserve"> (קסה ד) נסתפק אם היבם היה נשוי אשה, ואינו יכול ליבם משום חרם דר"ג</w:t>
      </w:r>
      <w:r w:rsidRPr="009F36E0">
        <w:rPr>
          <w:rStyle w:val="ac"/>
          <w:rFonts w:ascii="Narkisim" w:hAnsi="Narkisim"/>
          <w:rtl/>
        </w:rPr>
        <w:footnoteReference w:id="1089"/>
      </w:r>
      <w:r w:rsidRPr="009F36E0">
        <w:rPr>
          <w:rFonts w:ascii="Narkisim" w:hAnsi="Narkisim"/>
        </w:rPr>
        <w:t xml:space="preserve">, </w:t>
      </w:r>
      <w:r w:rsidRPr="009F36E0">
        <w:rPr>
          <w:rFonts w:ascii="Narkisim" w:hAnsi="Narkisim"/>
          <w:rtl/>
        </w:rPr>
        <w:t>ואח"כ מתה אשתו. האם אמרי' נאסרה</w:t>
      </w:r>
      <w:r w:rsidRPr="009F36E0">
        <w:rPr>
          <w:rFonts w:ascii="Narkisim" w:hAnsi="Narkisim"/>
        </w:rPr>
        <w:t>.</w:t>
      </w:r>
    </w:p>
    <w:p w14:paraId="17DFCB75" w14:textId="77777777" w:rsidR="006074A5" w:rsidRPr="009F36E0" w:rsidRDefault="006074A5" w:rsidP="006074A5">
      <w:pPr>
        <w:pStyle w:val="a8"/>
        <w:bidi/>
        <w:rPr>
          <w:rFonts w:ascii="Narkisim" w:hAnsi="Narkisim"/>
        </w:rPr>
      </w:pPr>
      <w:r w:rsidRPr="009F36E0">
        <w:rPr>
          <w:rFonts w:ascii="Narkisim" w:hAnsi="Narkisim"/>
          <w:rtl/>
        </w:rPr>
        <w:t>אבל ה</w:t>
      </w:r>
      <w:r w:rsidRPr="009F36E0">
        <w:rPr>
          <w:rFonts w:ascii="Narkisim" w:hAnsi="Narkisim"/>
          <w:b/>
          <w:bCs/>
          <w:rtl/>
        </w:rPr>
        <w:t>חזו"א</w:t>
      </w:r>
      <w:r w:rsidRPr="009F36E0">
        <w:rPr>
          <w:rFonts w:ascii="Narkisim" w:hAnsi="Narkisim"/>
          <w:rtl/>
        </w:rPr>
        <w:t xml:space="preserve"> (קכב יג) כתב ד'נאסרה' שייך דוקא היכא דהוה חסרון באישות. אבל נשוי ב' נשים אין איסור באישות דידה, אלא שתקנו שהוא אינו ראוי לב', וארי הוא דרביע עליה. [וכמ"ש הרשב"א ב. לגבי נודרת דזקוקה לחליצה]</w:t>
      </w:r>
      <w:r w:rsidRPr="009F36E0">
        <w:rPr>
          <w:rFonts w:ascii="Narkisim" w:hAnsi="Narkisim"/>
        </w:rPr>
        <w:t>.</w:t>
      </w:r>
    </w:p>
    <w:p w14:paraId="7F8D0431"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[לדברי החזו"א] דלכאורה אסור לבטל הוא דין זהירות חיצוני, ולא שייך לדין יבום כלל. ומוכח מזה דתקנת אסור לבטל הוא בכלל עצם הזיקה. [ועוד הביאו דמבואר (לקמן כו:) דהיכא דאסורה עליו משום ביטול מצוות יבמין יש חסרון חליצה פסולה. וע"כ דתקנו דהוה חסרון בזיקה, ולא איסור בעלמא]</w:t>
      </w:r>
      <w:r w:rsidRPr="009F36E0">
        <w:rPr>
          <w:rFonts w:ascii="Narkisim" w:hAnsi="Narkisim"/>
        </w:rPr>
        <w:t>.</w:t>
      </w:r>
    </w:p>
    <w:p w14:paraId="5FE6D0F2" w14:textId="77777777" w:rsidR="006074A5" w:rsidRPr="009F36E0" w:rsidRDefault="006074A5" w:rsidP="006074A5">
      <w:pPr>
        <w:pStyle w:val="aa"/>
        <w:bidi/>
        <w:rPr>
          <w:rFonts w:ascii="Narkisim" w:hAnsi="Narkisim"/>
        </w:rPr>
      </w:pPr>
      <w:r w:rsidRPr="009F36E0">
        <w:rPr>
          <w:rFonts w:ascii="Narkisim" w:hAnsi="Narkisim"/>
          <w:u w:val="single"/>
          <w:rtl/>
        </w:rPr>
        <w:t>דהא ר"ג אמר אין זיקה ומותר לבטל מצוות יבמין וכו' ותצא הלזו משום אחות אשה</w:t>
      </w:r>
      <w:r w:rsidRPr="009F36E0">
        <w:rPr>
          <w:rFonts w:ascii="Narkisim" w:hAnsi="Narkisim"/>
          <w:rtl/>
        </w:rPr>
        <w:t>. שמותר לישא את הקטנה [אישות דאורייתא כשתגדל], ואף דהוה אחות זקוקתו. ו</w:t>
      </w:r>
      <w:r w:rsidRPr="009F36E0">
        <w:rPr>
          <w:rFonts w:ascii="Narkisim" w:hAnsi="Narkisim"/>
          <w:b/>
          <w:bCs/>
          <w:rtl/>
        </w:rPr>
        <w:t>תוס</w:t>
      </w:r>
      <w:r w:rsidRPr="009F36E0">
        <w:rPr>
          <w:rFonts w:ascii="Narkisim" w:hAnsi="Narkisim"/>
          <w:rtl/>
        </w:rPr>
        <w:t xml:space="preserve">' (לעיל יז: ד"ה אבל) כת' דאף ר"ג מודה דבעלמא דאסור לבטל מצוות יבמין, ושאני קטנה שכבר נשואה לו. וכ"כ </w:t>
      </w:r>
      <w:r w:rsidRPr="009F36E0">
        <w:rPr>
          <w:rFonts w:ascii="Narkisim" w:hAnsi="Narkisim"/>
          <w:b/>
          <w:bCs/>
          <w:rtl/>
        </w:rPr>
        <w:t>תוס</w:t>
      </w:r>
      <w:r w:rsidRPr="009F36E0">
        <w:rPr>
          <w:rFonts w:ascii="Narkisim" w:hAnsi="Narkisim"/>
          <w:rtl/>
        </w:rPr>
        <w:t>' (לקמן כט. ד"ה אי כר”ג) כת' דלא הקילו בעלמא [לישא אחות זקוקתו], ודוקא הכא דהקטנה כנוסה אצלו [מדרבנן] מזמן גדול</w:t>
      </w:r>
      <w:r w:rsidRPr="009F36E0">
        <w:rPr>
          <w:rFonts w:ascii="Narkisim" w:hAnsi="Narkisim"/>
        </w:rPr>
        <w:t>.</w:t>
      </w:r>
    </w:p>
    <w:p w14:paraId="34EACB93" w14:textId="77777777" w:rsidR="006074A5" w:rsidRPr="009F36E0" w:rsidRDefault="006074A5" w:rsidP="006074A5">
      <w:pPr>
        <w:pStyle w:val="a8"/>
        <w:bidi/>
        <w:rPr>
          <w:rFonts w:ascii="Narkisim" w:hAnsi="Narkisim"/>
        </w:rPr>
      </w:pPr>
      <w:r w:rsidRPr="009F36E0">
        <w:rPr>
          <w:rFonts w:ascii="Narkisim" w:hAnsi="Narkisim"/>
          <w:rtl/>
        </w:rPr>
        <w:t>ובפשוטו משמע דהוה סברא במראית העין, דנראית אשתו, ומש"ה לא חששו במה שנושא אחותה. וה</w:t>
      </w:r>
      <w:r w:rsidRPr="009F36E0">
        <w:rPr>
          <w:rFonts w:ascii="Narkisim" w:hAnsi="Narkisim"/>
          <w:b/>
          <w:bCs/>
          <w:rtl/>
        </w:rPr>
        <w:t>אחרונים</w:t>
      </w:r>
      <w:r w:rsidRPr="009F36E0">
        <w:rPr>
          <w:rFonts w:ascii="Narkisim" w:hAnsi="Narkisim"/>
          <w:rtl/>
        </w:rPr>
        <w:t xml:space="preserve"> ביארו עוד דלא נחשב שעושה מעשה לבטל מצוות יבמין, דכיון שכבר היתה נשואה אצלו [מדרבנן] במה שמקיימה [ואף שקונה קנין דאורייתא] לא נחשב מעשה מחודש</w:t>
      </w:r>
      <w:r w:rsidRPr="009F36E0">
        <w:rPr>
          <w:rFonts w:ascii="Narkisim" w:hAnsi="Narkisim"/>
        </w:rPr>
        <w:t>.</w:t>
      </w:r>
    </w:p>
    <w:p w14:paraId="2E90A351" w14:textId="77777777" w:rsidR="006074A5" w:rsidRPr="009F36E0" w:rsidRDefault="006074A5" w:rsidP="006074A5">
      <w:pPr>
        <w:pStyle w:val="aa"/>
        <w:bidi/>
        <w:rPr>
          <w:rFonts w:ascii="Narkisim" w:hAnsi="Narkisim"/>
        </w:rPr>
      </w:pPr>
      <w:r w:rsidRPr="009F36E0">
        <w:rPr>
          <w:rFonts w:ascii="Narkisim" w:hAnsi="Narkisim"/>
          <w:rtl/>
        </w:rPr>
        <w:t>אבל ה</w:t>
      </w:r>
      <w:r w:rsidRPr="009F36E0">
        <w:rPr>
          <w:rFonts w:ascii="Narkisim" w:hAnsi="Narkisim"/>
          <w:b/>
          <w:bCs/>
          <w:rtl/>
        </w:rPr>
        <w:t>רשב"א</w:t>
      </w:r>
      <w:r w:rsidRPr="009F36E0">
        <w:rPr>
          <w:rFonts w:ascii="Narkisim" w:hAnsi="Narkisim"/>
          <w:rtl/>
        </w:rPr>
        <w:t xml:space="preserve"> חלק דאדרבה משמע דלר"ג התיר אפי' כשאינה נשואה לו כלל, והביא דכ"מ בגמ' (לקמן קט:) דסברת ר"ג דהמקדש אחות יבמה נפטרה יבמה והלכה לה, אלמא אפי' בעלמא אמר הכי</w:t>
      </w:r>
      <w:r w:rsidRPr="009F36E0">
        <w:rPr>
          <w:rStyle w:val="ac"/>
          <w:rFonts w:ascii="Narkisim" w:hAnsi="Narkisim"/>
          <w:rtl/>
        </w:rPr>
        <w:footnoteReference w:id="1090"/>
      </w:r>
      <w:r w:rsidRPr="009F36E0">
        <w:rPr>
          <w:rFonts w:ascii="Narkisim" w:hAnsi="Narkisim"/>
        </w:rPr>
        <w:t>.</w:t>
      </w:r>
    </w:p>
    <w:p w14:paraId="7DD616E4" w14:textId="77777777" w:rsidR="006074A5" w:rsidRPr="009F36E0" w:rsidRDefault="006074A5" w:rsidP="006074A5">
      <w:pPr>
        <w:pStyle w:val="a8"/>
        <w:bidi/>
        <w:rPr>
          <w:rFonts w:ascii="Narkisim" w:hAnsi="Narkisim"/>
        </w:rPr>
      </w:pPr>
      <w:r w:rsidRPr="009F36E0">
        <w:rPr>
          <w:rFonts w:ascii="Narkisim" w:hAnsi="Narkisim"/>
          <w:rtl/>
        </w:rPr>
        <w:t>והרשב"א הוכיח עוד מהגמ' כאן, דר"ג אפי' לודאי לא חייש. ומשמע דלא חייש כלל. ו</w:t>
      </w:r>
      <w:r w:rsidRPr="009F36E0">
        <w:rPr>
          <w:rFonts w:ascii="Narkisim" w:hAnsi="Narkisim"/>
          <w:b/>
          <w:bCs/>
          <w:rtl/>
        </w:rPr>
        <w:t>תוס</w:t>
      </w:r>
      <w:r w:rsidRPr="009F36E0">
        <w:rPr>
          <w:rFonts w:ascii="Narkisim" w:hAnsi="Narkisim"/>
          <w:rtl/>
        </w:rPr>
        <w:t>' (לקמן כט.) עמדו בזה, ותי' דמ"מ כיון דר"ג לא חייש לודאי ביטול מצוות יבמין [עכ"פ היכא דנשואה אצלו], א"כ כ"ש דלא חייש לספק [אפי' היכא דאינה נשואה אצלו]. וצ"ב</w:t>
      </w:r>
      <w:r w:rsidRPr="009F36E0">
        <w:rPr>
          <w:rFonts w:ascii="Narkisim" w:hAnsi="Narkisim"/>
        </w:rPr>
        <w:t>.</w:t>
      </w:r>
    </w:p>
    <w:p w14:paraId="19391913" w14:textId="77777777" w:rsidR="006074A5" w:rsidRPr="009F36E0" w:rsidRDefault="006074A5" w:rsidP="006074A5">
      <w:pPr>
        <w:pStyle w:val="a8"/>
        <w:bidi/>
        <w:rPr>
          <w:rFonts w:ascii="Narkisim" w:hAnsi="Narkisim"/>
        </w:rPr>
      </w:pPr>
      <w:r w:rsidRPr="009F36E0">
        <w:rPr>
          <w:rFonts w:ascii="Narkisim" w:hAnsi="Narkisim"/>
        </w:rPr>
        <w:t>[</w:t>
      </w:r>
      <w:r w:rsidRPr="009F36E0">
        <w:rPr>
          <w:rFonts w:ascii="Narkisim" w:hAnsi="Narkisim"/>
          <w:rtl/>
        </w:rPr>
        <w:t>ויש שביארו (ע' חי' הגר"נ) דבמקום ספק ליכא 'מעשה ביטול' למצוות יבמין, ומאן דאוסר אף מחמת הספק ע"כ ס"ל דתקנו שיבוא לידי קיום מצוות יבמין. ואילו הסברא שנשואה תחתיו מהני שיחשב שאין כאן 'מעשה ביטול'. ולא שייך סברא זו למאן דחייש לספיקא, דהא תקנו שיבוא לקיום המצווה. ובזה ל"מ שנשואה תחתיו</w:t>
      </w:r>
      <w:r w:rsidRPr="009F36E0">
        <w:rPr>
          <w:rFonts w:ascii="Narkisim" w:hAnsi="Narkisim"/>
        </w:rPr>
        <w:t>].</w:t>
      </w:r>
    </w:p>
    <w:p w14:paraId="3E83A546" w14:textId="77777777" w:rsidR="006074A5" w:rsidRPr="009F36E0" w:rsidRDefault="006074A5" w:rsidP="006074A5">
      <w:pPr>
        <w:pStyle w:val="aa"/>
        <w:bidi/>
        <w:rPr>
          <w:rFonts w:ascii="Narkisim" w:hAnsi="Narkisim"/>
        </w:rPr>
      </w:pPr>
      <w:r w:rsidRPr="009F36E0">
        <w:rPr>
          <w:rFonts w:ascii="Narkisim" w:hAnsi="Narkisim"/>
          <w:u w:val="single"/>
          <w:rtl/>
        </w:rPr>
        <w:t>תוד"ה מיאנה</w:t>
      </w:r>
      <w:r w:rsidRPr="009F36E0">
        <w:rPr>
          <w:rFonts w:ascii="Narkisim" w:hAnsi="Narkisim"/>
          <w:rtl/>
        </w:rPr>
        <w:t xml:space="preserve">. אלא נראה דתמתין הקטנה וכו' אע”ג דסבר אין זיקה, דמכוער הדבר וכו'. מבואר דאף למ"ד </w:t>
      </w:r>
      <w:r w:rsidRPr="009F36E0">
        <w:rPr>
          <w:rFonts w:ascii="Narkisim" w:hAnsi="Narkisim"/>
          <w:rtl/>
        </w:rPr>
        <w:lastRenderedPageBreak/>
        <w:t>אין זיקה אסור ['מכוער'] לבא על אחות זקוקתו, דמיחזי כאחות אשתו. ותוס' נקטו דאפ"ה היכא דנושאה ומפקיע הזיקה, עי"ז לא מיחזי אחות אשתו, ואינו מכוער. אבל ה</w:t>
      </w:r>
      <w:r w:rsidRPr="009F36E0">
        <w:rPr>
          <w:rFonts w:ascii="Narkisim" w:hAnsi="Narkisim"/>
          <w:b/>
          <w:bCs/>
          <w:rtl/>
        </w:rPr>
        <w:t>ראשונים</w:t>
      </w:r>
      <w:r w:rsidRPr="009F36E0">
        <w:rPr>
          <w:rFonts w:ascii="Narkisim" w:hAnsi="Narkisim"/>
          <w:rtl/>
        </w:rPr>
        <w:t xml:space="preserve"> (לקמן כ., הו' לעיל יז:) הביאו </w:t>
      </w:r>
      <w:r w:rsidRPr="009F36E0">
        <w:rPr>
          <w:rFonts w:ascii="Narkisim" w:hAnsi="Narkisim"/>
          <w:b/>
          <w:bCs/>
          <w:rtl/>
        </w:rPr>
        <w:t>י"מ</w:t>
      </w:r>
      <w:r w:rsidRPr="009F36E0">
        <w:rPr>
          <w:rFonts w:ascii="Narkisim" w:hAnsi="Narkisim"/>
          <w:rtl/>
        </w:rPr>
        <w:t xml:space="preserve"> דאף לנושאה מיחזי כאחות אשתו</w:t>
      </w:r>
      <w:r w:rsidRPr="009F36E0">
        <w:rPr>
          <w:rStyle w:val="ac"/>
          <w:rFonts w:ascii="Narkisim" w:hAnsi="Narkisim"/>
          <w:rtl/>
        </w:rPr>
        <w:footnoteReference w:id="1091"/>
      </w:r>
      <w:r w:rsidRPr="009F36E0">
        <w:rPr>
          <w:rFonts w:ascii="Narkisim" w:hAnsi="Narkisim"/>
        </w:rPr>
        <w:t xml:space="preserve"> </w:t>
      </w:r>
      <w:r w:rsidRPr="009F36E0">
        <w:rPr>
          <w:rFonts w:ascii="Narkisim" w:hAnsi="Narkisim"/>
          <w:rtl/>
        </w:rPr>
        <w:t>[עכ"פ בחד אח]. ודוקא היכא דהיתה נשואה אצלו מעיקרא מותר לר"ג</w:t>
      </w:r>
      <w:r w:rsidRPr="009F36E0">
        <w:rPr>
          <w:rFonts w:ascii="Narkisim" w:hAnsi="Narkisim"/>
        </w:rPr>
        <w:t>.</w:t>
      </w:r>
    </w:p>
    <w:p w14:paraId="5B68512F"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הביא דה</w:t>
      </w:r>
      <w:r w:rsidRPr="009F36E0">
        <w:rPr>
          <w:rFonts w:ascii="Narkisim" w:hAnsi="Narkisim"/>
          <w:b/>
          <w:bCs/>
          <w:rtl/>
        </w:rPr>
        <w:t>רב נתנאל</w:t>
      </w:r>
      <w:r w:rsidRPr="009F36E0">
        <w:rPr>
          <w:rFonts w:ascii="Narkisim" w:hAnsi="Narkisim"/>
          <w:rtl/>
        </w:rPr>
        <w:t xml:space="preserve"> פירש דאסרו מדרבנן שלא תבעול, אולי מתוך כך תמאן. דאף ר"ג אמר אם מיאנה מיאנה, דטוב היה המיאון</w:t>
      </w:r>
      <w:r w:rsidRPr="009F36E0">
        <w:rPr>
          <w:rFonts w:ascii="Narkisim" w:hAnsi="Narkisim"/>
        </w:rPr>
        <w:t>.</w:t>
      </w:r>
    </w:p>
    <w:p w14:paraId="4BFF6159" w14:textId="77777777" w:rsidR="006074A5" w:rsidRPr="009F36E0" w:rsidRDefault="006074A5" w:rsidP="006074A5">
      <w:pPr>
        <w:pStyle w:val="3"/>
        <w:bidi/>
        <w:rPr>
          <w:rFonts w:ascii="Narkisim" w:hAnsi="Narkisim"/>
        </w:rPr>
      </w:pPr>
      <w:r w:rsidRPr="009F36E0">
        <w:rPr>
          <w:rFonts w:ascii="Narkisim" w:hAnsi="Narkisim"/>
          <w:rtl/>
        </w:rPr>
        <w:t>דף יח</w:t>
      </w:r>
      <w:r w:rsidRPr="009F36E0">
        <w:rPr>
          <w:rFonts w:ascii="Narkisim" w:hAnsi="Narkisim"/>
        </w:rPr>
        <w:t>:</w:t>
      </w:r>
      <w:r w:rsidRPr="009F36E0">
        <w:rPr>
          <w:rFonts w:ascii="Narkisim" w:hAnsi="Narkisim"/>
        </w:rPr>
        <w:tab/>
      </w:r>
    </w:p>
    <w:p w14:paraId="1F46750A" w14:textId="77777777" w:rsidR="006074A5" w:rsidRPr="009F36E0" w:rsidRDefault="006074A5" w:rsidP="006074A5">
      <w:pPr>
        <w:pStyle w:val="2"/>
        <w:bidi/>
        <w:rPr>
          <w:rFonts w:ascii="Narkisim" w:hAnsi="Narkisim"/>
        </w:rPr>
      </w:pPr>
      <w:r w:rsidRPr="009F36E0">
        <w:rPr>
          <w:rFonts w:ascii="Narkisim" w:hAnsi="Narkisim"/>
          <w:sz w:val="21"/>
          <w:rtl/>
        </w:rPr>
        <w:t>קידושין לא מפקיע זיקה</w:t>
      </w:r>
    </w:p>
    <w:p w14:paraId="6D04D513" w14:textId="77777777" w:rsidR="006074A5" w:rsidRPr="009F36E0" w:rsidRDefault="006074A5" w:rsidP="006074A5">
      <w:pPr>
        <w:bidi/>
        <w:rPr>
          <w:rFonts w:ascii="Narkisim" w:hAnsi="Narkisim" w:cs="Narkisim"/>
        </w:rPr>
      </w:pPr>
      <w:r w:rsidRPr="009F36E0">
        <w:rPr>
          <w:rFonts w:ascii="Narkisim" w:hAnsi="Narkisim" w:cs="Narkisim"/>
          <w:u w:val="single"/>
          <w:rtl/>
        </w:rPr>
        <w:t>משום ר' יהודה בן בתירא אמרו המתן וכו'.</w:t>
      </w:r>
      <w:r w:rsidRPr="009F36E0">
        <w:rPr>
          <w:rFonts w:ascii="Narkisim" w:hAnsi="Narkisim" w:cs="Narkisim"/>
          <w:rtl/>
        </w:rPr>
        <w:t xml:space="preserve"> ה</w:t>
      </w:r>
      <w:r w:rsidRPr="009F36E0">
        <w:rPr>
          <w:rFonts w:ascii="Narkisim" w:hAnsi="Narkisim" w:cs="Narkisim"/>
          <w:b/>
          <w:bCs/>
          <w:rtl/>
        </w:rPr>
        <w:t>ראשונים</w:t>
      </w:r>
      <w:r w:rsidRPr="009F36E0">
        <w:rPr>
          <w:rFonts w:ascii="Narkisim" w:hAnsi="Narkisim" w:cs="Narkisim"/>
          <w:rtl/>
        </w:rPr>
        <w:t xml:space="preserve"> הקשו דכיון דחלו הקידושין מדאורייתא, א"כ הוה אחות אשתו וערוה, ויפקע הזיקה. ואילו מבואר בדברי ר"י ב"ב דקידושין לא מפקיעים זיקה</w:t>
      </w:r>
      <w:r w:rsidRPr="009F36E0">
        <w:rPr>
          <w:rFonts w:ascii="Narkisim" w:hAnsi="Narkisim" w:cs="Narkisim"/>
        </w:rPr>
        <w:t>.</w:t>
      </w:r>
    </w:p>
    <w:p w14:paraId="6D6F2EF0"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תוס' רי"ד</w:t>
      </w:r>
      <w:r w:rsidRPr="009F36E0">
        <w:rPr>
          <w:rFonts w:ascii="Narkisim" w:hAnsi="Narkisim"/>
          <w:rtl/>
        </w:rPr>
        <w:t xml:space="preserve"> (כג: ומא.) פי' דלא אתי קידושין דבתר זיקה ומפקע, משום דמדרבנן אין קידושין תופסים באחות זקוקתו [וכאחות אשתו] לפטור את היבמה</w:t>
      </w:r>
      <w:r w:rsidRPr="009F36E0">
        <w:rPr>
          <w:rStyle w:val="ac"/>
          <w:rFonts w:ascii="Narkisim" w:hAnsi="Narkisim"/>
          <w:rtl/>
        </w:rPr>
        <w:footnoteReference w:id="1092"/>
      </w:r>
      <w:r w:rsidRPr="009F36E0">
        <w:rPr>
          <w:rFonts w:ascii="Narkisim" w:hAnsi="Narkisim"/>
        </w:rPr>
        <w:t xml:space="preserve">. </w:t>
      </w:r>
      <w:r w:rsidRPr="009F36E0">
        <w:rPr>
          <w:rFonts w:ascii="Narkisim" w:hAnsi="Narkisim"/>
          <w:sz w:val="20"/>
          <w:szCs w:val="20"/>
          <w:rtl/>
        </w:rPr>
        <w:t>[וכלפי דינים דרבנן נחשב שלא חלו הקידושין</w:t>
      </w:r>
      <w:r w:rsidRPr="009F36E0">
        <w:rPr>
          <w:rStyle w:val="ac"/>
          <w:rFonts w:ascii="Narkisim" w:hAnsi="Narkisim"/>
          <w:sz w:val="20"/>
          <w:szCs w:val="20"/>
          <w:rtl/>
        </w:rPr>
        <w:footnoteReference w:id="1093"/>
      </w:r>
      <w:r w:rsidRPr="009F36E0">
        <w:rPr>
          <w:rFonts w:ascii="Narkisim" w:hAnsi="Narkisim"/>
          <w:sz w:val="20"/>
          <w:szCs w:val="20"/>
          <w:rtl/>
        </w:rPr>
        <w:t>].</w:t>
      </w:r>
      <w:r w:rsidRPr="009F36E0">
        <w:rPr>
          <w:rFonts w:ascii="Narkisim" w:hAnsi="Narkisim"/>
          <w:rtl/>
        </w:rPr>
        <w:t xml:space="preserve"> הילכך יבמתו צריכה חליצה, ואשתו אסורה משום אחות זקוקתו. </w:t>
      </w:r>
      <w:r w:rsidRPr="009F36E0">
        <w:rPr>
          <w:rFonts w:ascii="Narkisim" w:hAnsi="Narkisim"/>
          <w:sz w:val="20"/>
          <w:szCs w:val="20"/>
          <w:rtl/>
        </w:rPr>
        <w:t>אבל ב</w:t>
      </w:r>
      <w:r w:rsidRPr="009F36E0">
        <w:rPr>
          <w:rFonts w:ascii="Narkisim" w:hAnsi="Narkisim"/>
          <w:b/>
          <w:bCs/>
          <w:sz w:val="20"/>
          <w:szCs w:val="20"/>
          <w:rtl/>
        </w:rPr>
        <w:t>שאר ראשונים</w:t>
      </w:r>
      <w:r w:rsidRPr="009F36E0">
        <w:rPr>
          <w:rFonts w:ascii="Narkisim" w:hAnsi="Narkisim"/>
          <w:sz w:val="20"/>
          <w:szCs w:val="20"/>
          <w:rtl/>
        </w:rPr>
        <w:t xml:space="preserve"> מבואר דפשיט"ל שהקידושין חלו [עכ"פ דמקצת, ע' בסמוך] אף לגבי דינים דרבנן</w:t>
      </w:r>
      <w:r w:rsidRPr="009F36E0">
        <w:rPr>
          <w:rStyle w:val="ac"/>
          <w:rFonts w:ascii="Narkisim" w:hAnsi="Narkisim"/>
          <w:sz w:val="20"/>
          <w:szCs w:val="20"/>
          <w:rtl/>
        </w:rPr>
        <w:footnoteReference w:id="1094"/>
      </w:r>
      <w:r w:rsidRPr="009F36E0">
        <w:rPr>
          <w:rFonts w:ascii="Narkisim" w:hAnsi="Narkisim"/>
          <w:sz w:val="20"/>
          <w:szCs w:val="20"/>
        </w:rPr>
        <w:t>.</w:t>
      </w:r>
    </w:p>
    <w:p w14:paraId="5D68A2E6" w14:textId="77777777" w:rsidR="006074A5" w:rsidRPr="009F36E0" w:rsidRDefault="006074A5" w:rsidP="006074A5">
      <w:pPr>
        <w:bidi/>
        <w:rPr>
          <w:rFonts w:ascii="Narkisim" w:hAnsi="Narkisim" w:cs="Narkisim"/>
        </w:rPr>
      </w:pPr>
      <w:r w:rsidRPr="009F36E0">
        <w:rPr>
          <w:rFonts w:ascii="Narkisim" w:hAnsi="Narkisim" w:cs="Narkisim"/>
          <w:rtl/>
        </w:rPr>
        <w:t xml:space="preserve">ודעת </w:t>
      </w:r>
      <w:r w:rsidRPr="009F36E0">
        <w:rPr>
          <w:rFonts w:ascii="Narkisim" w:hAnsi="Narkisim" w:cs="Narkisim"/>
          <w:b/>
          <w:bCs/>
          <w:rtl/>
        </w:rPr>
        <w:t>תוס</w:t>
      </w:r>
      <w:r w:rsidRPr="009F36E0">
        <w:rPr>
          <w:rFonts w:ascii="Narkisim" w:hAnsi="Narkisim" w:cs="Narkisim"/>
          <w:rtl/>
        </w:rPr>
        <w:t xml:space="preserve">' </w:t>
      </w:r>
      <w:r w:rsidRPr="009F36E0">
        <w:rPr>
          <w:rFonts w:ascii="Narkisim" w:hAnsi="Narkisim" w:cs="Narkisim"/>
          <w:sz w:val="20"/>
          <w:szCs w:val="20"/>
          <w:rtl/>
        </w:rPr>
        <w:t xml:space="preserve">(והרמב"ן בתי' א' ורשב"א) </w:t>
      </w:r>
      <w:r w:rsidRPr="009F36E0">
        <w:rPr>
          <w:rFonts w:ascii="Narkisim" w:hAnsi="Narkisim" w:cs="Narkisim"/>
          <w:rtl/>
        </w:rPr>
        <w:t>דקידושין לא מפקיע זיקה, אבל נישואין מפקיע. וצ"ב מ"ש קידושין מנישואין</w:t>
      </w:r>
      <w:r w:rsidRPr="009F36E0">
        <w:rPr>
          <w:rFonts w:ascii="Narkisim" w:hAnsi="Narkisim" w:cs="Narkisim"/>
        </w:rPr>
        <w:t>.</w:t>
      </w:r>
    </w:p>
    <w:p w14:paraId="123E392F"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w:t>
      </w:r>
      <w:r w:rsidRPr="009F36E0">
        <w:rPr>
          <w:rFonts w:ascii="Narkisim" w:hAnsi="Narkisim"/>
          <w:sz w:val="20"/>
          <w:szCs w:val="20"/>
          <w:rtl/>
        </w:rPr>
        <w:t>[ויותר מפורש בריטב"א בשמו והרשב"א מא. בהרחבה]</w:t>
      </w:r>
      <w:r w:rsidRPr="009F36E0">
        <w:rPr>
          <w:rFonts w:ascii="Narkisim" w:hAnsi="Narkisim"/>
          <w:rtl/>
        </w:rPr>
        <w:t xml:space="preserve"> כת' דלמ"ד יש זיקה תרוייהו מקודשות אצלו, ואינו בדין שיוציא מקודשת מפני מקודשת. אבל נשואה דין הוא שיפקיע זיקה, שזו אשתו גמורה אצלו בביתו, והיאך תיכנס זו ותוציאנה מביתו</w:t>
      </w:r>
      <w:r w:rsidRPr="009F36E0">
        <w:rPr>
          <w:rFonts w:ascii="Narkisim" w:hAnsi="Narkisim"/>
        </w:rPr>
        <w:t>.</w:t>
      </w:r>
    </w:p>
    <w:p w14:paraId="78247B90" w14:textId="77777777" w:rsidR="006074A5" w:rsidRPr="009F36E0" w:rsidRDefault="006074A5" w:rsidP="006074A5">
      <w:pPr>
        <w:pStyle w:val="a8"/>
        <w:bidi/>
        <w:rPr>
          <w:rFonts w:ascii="Narkisim" w:hAnsi="Narkisim"/>
        </w:rPr>
      </w:pPr>
      <w:r w:rsidRPr="009F36E0">
        <w:rPr>
          <w:rFonts w:ascii="Narkisim" w:hAnsi="Narkisim"/>
          <w:rtl/>
        </w:rPr>
        <w:t>וסברא זו צ"ב דאיסור אחות אשתו הוה 'ערוה', וכיון שהיא אחות של אשתו נחשב קורבה. ואין כאן נידון שא' מוציאה את חברתה [משום 'שאין מקום' לשניהם]. וכיון דהקידושין חלו מה שייך סברת מאי אולמי</w:t>
      </w:r>
      <w:r w:rsidRPr="009F36E0">
        <w:rPr>
          <w:rStyle w:val="ac"/>
          <w:rFonts w:ascii="Narkisim" w:hAnsi="Narkisim"/>
          <w:rtl/>
        </w:rPr>
        <w:footnoteReference w:id="1095"/>
      </w:r>
      <w:r w:rsidRPr="009F36E0">
        <w:rPr>
          <w:rFonts w:ascii="Narkisim" w:hAnsi="Narkisim"/>
        </w:rPr>
        <w:t xml:space="preserve">. </w:t>
      </w:r>
      <w:r w:rsidRPr="009F36E0">
        <w:rPr>
          <w:rFonts w:ascii="Narkisim" w:hAnsi="Narkisim"/>
          <w:rtl/>
        </w:rPr>
        <w:t>[ויש</w:t>
      </w:r>
      <w:r w:rsidRPr="009F36E0">
        <w:rPr>
          <w:rFonts w:ascii="Narkisim" w:hAnsi="Narkisim"/>
          <w:b/>
          <w:bCs/>
          <w:rtl/>
        </w:rPr>
        <w:t xml:space="preserve"> </w:t>
      </w:r>
      <w:r w:rsidRPr="009F36E0">
        <w:rPr>
          <w:rFonts w:ascii="Narkisim" w:hAnsi="Narkisim"/>
          <w:rtl/>
        </w:rPr>
        <w:t>דנו דהקידושין אינם יכולים לחול לענין לאסור אחותה, וכעין לשון הרמב"ן בסמוך, וצ"ב]</w:t>
      </w:r>
      <w:r w:rsidRPr="009F36E0">
        <w:rPr>
          <w:rFonts w:ascii="Narkisim" w:hAnsi="Narkisim"/>
        </w:rPr>
        <w:t>.</w:t>
      </w:r>
    </w:p>
    <w:p w14:paraId="2AA54C0F"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(מא. בד"ה ואיכא למימר) כתב דבאמת קידושין מפקיעי זיקה, אלא דאסור לכנוס כדי שלא יראה ככונס אחות המקודשת לו [דמיחזי שלא פקע הזיקה], והביא כן בשם תוס' דידן. [וע' בסמוך]</w:t>
      </w:r>
      <w:r w:rsidRPr="009F36E0">
        <w:rPr>
          <w:rFonts w:ascii="Narkisim" w:hAnsi="Narkisim"/>
        </w:rPr>
        <w:t>.</w:t>
      </w:r>
    </w:p>
    <w:p w14:paraId="2263A1F5" w14:textId="77777777" w:rsidR="006074A5" w:rsidRPr="009F36E0" w:rsidRDefault="006074A5" w:rsidP="006074A5">
      <w:pPr>
        <w:bidi/>
        <w:rPr>
          <w:rFonts w:ascii="Narkisim" w:hAnsi="Narkisim" w:cs="Narkisim"/>
        </w:rPr>
      </w:pPr>
      <w:r w:rsidRPr="009F36E0">
        <w:rPr>
          <w:rFonts w:ascii="Narkisim" w:hAnsi="Narkisim" w:cs="Narkisim"/>
          <w:rtl/>
        </w:rPr>
        <w:t>אבל דעת ה</w:t>
      </w:r>
      <w:r w:rsidRPr="009F36E0">
        <w:rPr>
          <w:rFonts w:ascii="Narkisim" w:hAnsi="Narkisim" w:cs="Narkisim"/>
          <w:b/>
          <w:bCs/>
          <w:rtl/>
        </w:rPr>
        <w:t>ריטב"א</w:t>
      </w:r>
      <w:r w:rsidRPr="009F36E0">
        <w:rPr>
          <w:rStyle w:val="ac"/>
          <w:rFonts w:ascii="Narkisim" w:hAnsi="Narkisim" w:cs="Narkisim"/>
          <w:rtl/>
        </w:rPr>
        <w:footnoteReference w:id="1096"/>
      </w:r>
      <w:r w:rsidRPr="009F36E0">
        <w:rPr>
          <w:rFonts w:ascii="Narkisim" w:hAnsi="Narkisim" w:cs="Narkisim"/>
        </w:rPr>
        <w:t xml:space="preserve"> </w:t>
      </w:r>
      <w:r w:rsidRPr="009F36E0">
        <w:rPr>
          <w:rFonts w:ascii="Narkisim" w:hAnsi="Narkisim" w:cs="Narkisim"/>
          <w:rtl/>
        </w:rPr>
        <w:t xml:space="preserve">[בשם </w:t>
      </w:r>
      <w:r w:rsidRPr="009F36E0">
        <w:rPr>
          <w:rFonts w:ascii="Narkisim" w:hAnsi="Narkisim" w:cs="Narkisim"/>
          <w:b/>
          <w:bCs/>
          <w:rtl/>
        </w:rPr>
        <w:t>רבותיו</w:t>
      </w:r>
      <w:r w:rsidRPr="009F36E0">
        <w:rPr>
          <w:rFonts w:ascii="Narkisim" w:hAnsi="Narkisim" w:cs="Narkisim"/>
          <w:rtl/>
        </w:rPr>
        <w:t xml:space="preserve"> ו</w:t>
      </w:r>
      <w:r w:rsidRPr="009F36E0">
        <w:rPr>
          <w:rFonts w:ascii="Narkisim" w:hAnsi="Narkisim" w:cs="Narkisim"/>
          <w:b/>
          <w:bCs/>
          <w:rtl/>
        </w:rPr>
        <w:t>ר' יונה</w:t>
      </w:r>
      <w:r w:rsidRPr="009F36E0">
        <w:rPr>
          <w:rFonts w:ascii="Narkisim" w:hAnsi="Narkisim" w:cs="Narkisim"/>
          <w:rtl/>
        </w:rPr>
        <w:t>] דאי זיקה דאורייתא</w:t>
      </w:r>
      <w:r w:rsidRPr="009F36E0">
        <w:rPr>
          <w:rStyle w:val="ac"/>
          <w:rFonts w:ascii="Narkisim" w:hAnsi="Narkisim" w:cs="Narkisim"/>
          <w:rtl/>
        </w:rPr>
        <w:footnoteReference w:id="1097"/>
      </w:r>
      <w:r w:rsidRPr="009F36E0">
        <w:rPr>
          <w:rFonts w:ascii="Narkisim" w:hAnsi="Narkisim" w:cs="Narkisim"/>
        </w:rPr>
        <w:t xml:space="preserve">, </w:t>
      </w:r>
      <w:r w:rsidRPr="009F36E0">
        <w:rPr>
          <w:rFonts w:ascii="Narkisim" w:hAnsi="Narkisim" w:cs="Narkisim"/>
          <w:rtl/>
        </w:rPr>
        <w:t>אף נישואין לא מפקיע לזיקה. [וע"כ דזיקה דרבנן, ומש"ה בין קידושין ובין נשואין מפקיעי. וכ"ה בנמוק"י]</w:t>
      </w:r>
      <w:r w:rsidRPr="009F36E0">
        <w:rPr>
          <w:rFonts w:ascii="Narkisim" w:hAnsi="Narkisim" w:cs="Narkisim"/>
        </w:rPr>
        <w:t>.</w:t>
      </w:r>
    </w:p>
    <w:p w14:paraId="63490AEB"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 xml:space="preserve">רמב"ן </w:t>
      </w:r>
      <w:r w:rsidRPr="009F36E0">
        <w:rPr>
          <w:rFonts w:ascii="Narkisim" w:hAnsi="Narkisim"/>
          <w:rtl/>
        </w:rPr>
        <w:t xml:space="preserve">כתב עוד [דלמ"ד יש זיקה] מקצת קנין שיש לו בה פוגם קידושי אחותה. ולעולם לא פטרה אלא בקידושין דקודם זיקה. </w:t>
      </w:r>
      <w:r w:rsidRPr="009F36E0">
        <w:rPr>
          <w:rFonts w:ascii="Narkisim" w:hAnsi="Narkisim"/>
          <w:i/>
          <w:iCs/>
          <w:rtl/>
        </w:rPr>
        <w:t>ועוד</w:t>
      </w:r>
      <w:r w:rsidRPr="009F36E0">
        <w:rPr>
          <w:rFonts w:ascii="Narkisim" w:hAnsi="Narkisim"/>
          <w:rtl/>
        </w:rPr>
        <w:t xml:space="preserve"> י"ל גזירה שמא יכנוס בלא קידושין אחרים, ונמצא פוגע באחות זקוקתו. [ולכן רק נישואין מהני]</w:t>
      </w:r>
      <w:r w:rsidRPr="009F36E0">
        <w:rPr>
          <w:rFonts w:ascii="Narkisim" w:hAnsi="Narkisim"/>
        </w:rPr>
        <w:t>.</w:t>
      </w:r>
    </w:p>
    <w:p w14:paraId="0434CE30"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רש"ש</w:t>
      </w:r>
      <w:r w:rsidRPr="009F36E0">
        <w:rPr>
          <w:rFonts w:ascii="Narkisim" w:hAnsi="Narkisim"/>
          <w:rtl/>
        </w:rPr>
        <w:t xml:space="preserve"> חילק [ע"פ דעת רש"י כג:] דכשיש אח נוסף, נפקע הזיקה. דנתברר שזקוקה לשני. אבל היכא דליכא יבם אחר [או כשנעשית א"א ונאסרת על כולם] לא פקע הזיקה לזה</w:t>
      </w:r>
      <w:r w:rsidRPr="009F36E0">
        <w:rPr>
          <w:rFonts w:ascii="Narkisim" w:hAnsi="Narkisim"/>
        </w:rPr>
        <w:t>.</w:t>
      </w:r>
    </w:p>
    <w:p w14:paraId="78D6C1BB" w14:textId="77777777" w:rsidR="006074A5" w:rsidRPr="009F36E0" w:rsidRDefault="006074A5" w:rsidP="006074A5">
      <w:pPr>
        <w:bidi/>
        <w:rPr>
          <w:rFonts w:ascii="Narkisim" w:hAnsi="Narkisim" w:cs="Narkisim"/>
        </w:rPr>
      </w:pPr>
      <w:r w:rsidRPr="009F36E0">
        <w:rPr>
          <w:rFonts w:ascii="Narkisim" w:hAnsi="Narkisim" w:cs="Narkisim"/>
          <w:u w:val="single"/>
          <w:rtl/>
        </w:rPr>
        <w:lastRenderedPageBreak/>
        <w:t>תוד"ה שומרת יבם.</w:t>
      </w:r>
      <w:r w:rsidRPr="009F36E0">
        <w:rPr>
          <w:rFonts w:ascii="Narkisim" w:hAnsi="Narkisim" w:cs="Narkisim"/>
          <w:rtl/>
        </w:rPr>
        <w:t xml:space="preserve"> דבשעת נישואין נראה כנושא אחות זקוקתו</w:t>
      </w:r>
      <w:r w:rsidRPr="009F36E0">
        <w:rPr>
          <w:rStyle w:val="ac"/>
          <w:rFonts w:ascii="Narkisim" w:hAnsi="Narkisim" w:cs="Narkisim"/>
          <w:rtl/>
        </w:rPr>
        <w:footnoteReference w:id="1098"/>
      </w:r>
      <w:r w:rsidRPr="009F36E0">
        <w:rPr>
          <w:rFonts w:ascii="Narkisim" w:hAnsi="Narkisim" w:cs="Narkisim"/>
        </w:rPr>
        <w:t xml:space="preserve">. </w:t>
      </w:r>
      <w:r w:rsidRPr="009F36E0">
        <w:rPr>
          <w:rFonts w:ascii="Narkisim" w:hAnsi="Narkisim" w:cs="Narkisim"/>
          <w:sz w:val="20"/>
          <w:szCs w:val="20"/>
          <w:rtl/>
        </w:rPr>
        <w:t>בפשוטו משמע דבאמת פקע זיקה משעת קידושין, אלא דיש איסור דרבנן שנראה דלא פקע [וכדברי הרשב”א]</w:t>
      </w:r>
      <w:r w:rsidRPr="009F36E0">
        <w:rPr>
          <w:rFonts w:ascii="Narkisim" w:hAnsi="Narkisim" w:cs="Narkisim"/>
          <w:sz w:val="20"/>
          <w:szCs w:val="20"/>
        </w:rPr>
        <w:t>.</w:t>
      </w:r>
    </w:p>
    <w:p w14:paraId="61D308E9"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דלשון ה</w:t>
      </w:r>
      <w:r w:rsidRPr="009F36E0">
        <w:rPr>
          <w:rFonts w:ascii="Narkisim" w:hAnsi="Narkisim"/>
          <w:b/>
          <w:bCs/>
          <w:rtl/>
        </w:rPr>
        <w:t>תוס</w:t>
      </w:r>
      <w:r w:rsidRPr="009F36E0">
        <w:rPr>
          <w:rFonts w:ascii="Narkisim" w:hAnsi="Narkisim"/>
          <w:rtl/>
        </w:rPr>
        <w:t>' (לעיל יז:) דאין נ"ל לחלק משום קידושין. ומשמע דבאמת מסברא לא פקע ע"י קידושין</w:t>
      </w:r>
      <w:r w:rsidRPr="009F36E0">
        <w:rPr>
          <w:rStyle w:val="ac"/>
          <w:rFonts w:ascii="Narkisim" w:hAnsi="Narkisim"/>
          <w:rtl/>
        </w:rPr>
        <w:footnoteReference w:id="1099"/>
      </w:r>
      <w:r w:rsidRPr="009F36E0">
        <w:rPr>
          <w:rFonts w:ascii="Narkisim" w:hAnsi="Narkisim"/>
        </w:rPr>
        <w:t xml:space="preserve">. </w:t>
      </w: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דנקטו דהוה מח' התוס' האם מדינא קידושין מפקעי זיקה [וע' תוס' בסמוך]</w:t>
      </w:r>
      <w:r w:rsidRPr="009F36E0">
        <w:rPr>
          <w:rFonts w:ascii="Narkisim" w:hAnsi="Narkisim"/>
        </w:rPr>
        <w:t>.</w:t>
      </w:r>
    </w:p>
    <w:p w14:paraId="7809B4B9" w14:textId="77777777" w:rsidR="006074A5" w:rsidRPr="009F36E0" w:rsidRDefault="006074A5" w:rsidP="006074A5">
      <w:pPr>
        <w:pStyle w:val="a7"/>
        <w:bidi/>
        <w:rPr>
          <w:rFonts w:ascii="Narkisim" w:hAnsi="Narkisim"/>
        </w:rPr>
      </w:pPr>
      <w:r w:rsidRPr="009F36E0">
        <w:rPr>
          <w:rFonts w:ascii="Narkisim" w:hAnsi="Narkisim"/>
          <w:rtl/>
        </w:rPr>
        <w:t>אך יל"פ כוונת ה</w:t>
      </w:r>
      <w:r w:rsidRPr="009F36E0">
        <w:rPr>
          <w:rFonts w:ascii="Narkisim" w:hAnsi="Narkisim"/>
          <w:b/>
          <w:bCs/>
          <w:rtl/>
        </w:rPr>
        <w:t>תוס'</w:t>
      </w:r>
      <w:r w:rsidRPr="009F36E0">
        <w:rPr>
          <w:rFonts w:ascii="Narkisim" w:hAnsi="Narkisim"/>
          <w:rtl/>
        </w:rPr>
        <w:t xml:space="preserve"> (כאן) ע"ד התוס' (לעיל) דהזיקה לא פקע ע"י קידושין, אבל מדינא מותר להפקיע את הזיקה ע"י נישואין </w:t>
      </w:r>
      <w:r w:rsidRPr="009F36E0">
        <w:rPr>
          <w:rFonts w:ascii="Narkisim" w:hAnsi="Narkisim"/>
          <w:sz w:val="20"/>
          <w:szCs w:val="20"/>
          <w:rtl/>
        </w:rPr>
        <w:t>[כיון דאחרי הנישואין הוה בהיתר]</w:t>
      </w:r>
      <w:r w:rsidRPr="009F36E0">
        <w:rPr>
          <w:rFonts w:ascii="Narkisim" w:hAnsi="Narkisim"/>
          <w:rtl/>
        </w:rPr>
        <w:t>. ובזה אסור משום ד'נראה כנושא</w:t>
      </w:r>
      <w:r w:rsidRPr="009F36E0">
        <w:rPr>
          <w:rFonts w:ascii="Narkisim" w:hAnsi="Narkisim"/>
        </w:rPr>
        <w:t>'.</w:t>
      </w:r>
    </w:p>
    <w:p w14:paraId="2767147F" w14:textId="77777777" w:rsidR="006074A5" w:rsidRPr="009F36E0" w:rsidRDefault="006074A5" w:rsidP="006074A5">
      <w:pPr>
        <w:pStyle w:val="aa"/>
        <w:bidi/>
        <w:rPr>
          <w:rFonts w:ascii="Narkisim" w:hAnsi="Narkisim"/>
        </w:rPr>
      </w:pPr>
      <w:r w:rsidRPr="009F36E0">
        <w:rPr>
          <w:rFonts w:ascii="Narkisim" w:hAnsi="Narkisim"/>
          <w:rtl/>
        </w:rPr>
        <w:t>ועוד הק' ה</w:t>
      </w:r>
      <w:r w:rsidRPr="009F36E0">
        <w:rPr>
          <w:rFonts w:ascii="Narkisim" w:hAnsi="Narkisim"/>
          <w:b/>
          <w:bCs/>
          <w:rtl/>
        </w:rPr>
        <w:t>קר"א</w:t>
      </w:r>
      <w:r w:rsidRPr="009F36E0">
        <w:rPr>
          <w:rFonts w:ascii="Narkisim" w:hAnsi="Narkisim"/>
          <w:rtl/>
        </w:rPr>
        <w:t xml:space="preserve"> דמבואר בתוס' (ע' בסמוך) דתלי ביש זיקה, והא זיקה הוה רק מדרבנן. א"כ ע"כ מדאורייתא פקע. אך ה</w:t>
      </w:r>
      <w:r w:rsidRPr="009F36E0">
        <w:rPr>
          <w:rFonts w:ascii="Narkisim" w:hAnsi="Narkisim"/>
          <w:b/>
          <w:bCs/>
          <w:rtl/>
        </w:rPr>
        <w:t>אחרונים</w:t>
      </w:r>
      <w:r w:rsidRPr="009F36E0">
        <w:rPr>
          <w:rFonts w:ascii="Narkisim" w:hAnsi="Narkisim"/>
          <w:rtl/>
        </w:rPr>
        <w:t xml:space="preserve"> דחו דעיקר הזיקה הוה מדאורייתא</w:t>
      </w:r>
      <w:r w:rsidRPr="009F36E0">
        <w:rPr>
          <w:rFonts w:ascii="Narkisim" w:hAnsi="Narkisim"/>
        </w:rPr>
        <w:t>.</w:t>
      </w:r>
    </w:p>
    <w:p w14:paraId="388A0635" w14:textId="77777777" w:rsidR="006074A5" w:rsidRPr="009F36E0" w:rsidRDefault="006074A5" w:rsidP="006074A5">
      <w:pPr>
        <w:pStyle w:val="aa"/>
        <w:bidi/>
        <w:rPr>
          <w:rFonts w:ascii="Narkisim" w:hAnsi="Narkisim"/>
        </w:rPr>
      </w:pPr>
      <w:r w:rsidRPr="009F36E0">
        <w:rPr>
          <w:rFonts w:ascii="Narkisim" w:hAnsi="Narkisim"/>
          <w:u w:val="single"/>
          <w:rtl/>
        </w:rPr>
        <w:t>שם. נראה כנושא אחות זקוקתו</w:t>
      </w:r>
      <w:r w:rsidRPr="009F36E0">
        <w:rPr>
          <w:rFonts w:ascii="Narkisim" w:hAnsi="Narkisim"/>
          <w:rtl/>
        </w:rPr>
        <w:t>. ה</w:t>
      </w:r>
      <w:r w:rsidRPr="009F36E0">
        <w:rPr>
          <w:rFonts w:ascii="Narkisim" w:hAnsi="Narkisim"/>
          <w:b/>
          <w:bCs/>
          <w:rtl/>
        </w:rPr>
        <w:t>אחרונים</w:t>
      </w:r>
      <w:r w:rsidRPr="009F36E0">
        <w:rPr>
          <w:rFonts w:ascii="Narkisim" w:hAnsi="Narkisim"/>
          <w:rtl/>
        </w:rPr>
        <w:t xml:space="preserve"> דנו דאחרי מיתת היבמה מותר לישא אמה, דהנישואין הוה בהיתר [דאינו מבטל בכך מצוות יבום</w:t>
      </w:r>
      <w:r w:rsidRPr="009F36E0">
        <w:rPr>
          <w:rStyle w:val="ac"/>
          <w:rFonts w:ascii="Narkisim" w:hAnsi="Narkisim"/>
          <w:rtl/>
        </w:rPr>
        <w:footnoteReference w:id="1100"/>
      </w:r>
      <w:r w:rsidRPr="009F36E0">
        <w:rPr>
          <w:rFonts w:ascii="Narkisim" w:hAnsi="Narkisim"/>
          <w:rtl/>
        </w:rPr>
        <w:t>], וכיון שנשאה פקע הזיקה. [ומש"כ בגמ' אסור באמה, נפק"מ לענין נפילת יבום]. אבל יש שדנו דאחרי שמתה היבמה לא פקע הזיקה. ואף שנעשית עכשיו ערוה, דהא מחיים היתה ראויה ליבום</w:t>
      </w:r>
      <w:r w:rsidRPr="009F36E0">
        <w:rPr>
          <w:rStyle w:val="ac"/>
          <w:rFonts w:ascii="Narkisim" w:hAnsi="Narkisim"/>
          <w:rtl/>
        </w:rPr>
        <w:footnoteReference w:id="1101"/>
      </w:r>
      <w:r w:rsidRPr="009F36E0">
        <w:rPr>
          <w:rFonts w:ascii="Narkisim" w:hAnsi="Narkisim"/>
        </w:rPr>
        <w:t xml:space="preserve">. </w:t>
      </w:r>
      <w:r w:rsidRPr="009F36E0">
        <w:rPr>
          <w:rFonts w:ascii="Narkisim" w:hAnsi="Narkisim"/>
          <w:rtl/>
        </w:rPr>
        <w:t>[ותלי בצדדים שהו' לעיל בע"א]</w:t>
      </w:r>
      <w:r w:rsidRPr="009F36E0">
        <w:rPr>
          <w:rFonts w:ascii="Narkisim" w:hAnsi="Narkisim"/>
        </w:rPr>
        <w:t>.</w:t>
      </w:r>
    </w:p>
    <w:p w14:paraId="221CF054" w14:textId="77777777" w:rsidR="006074A5" w:rsidRPr="009F36E0" w:rsidRDefault="006074A5" w:rsidP="006074A5">
      <w:pPr>
        <w:bidi/>
        <w:rPr>
          <w:rFonts w:ascii="Narkisim" w:hAnsi="Narkisim" w:cs="Narkisim"/>
        </w:rPr>
      </w:pPr>
      <w:r w:rsidRPr="009F36E0">
        <w:rPr>
          <w:rFonts w:ascii="Narkisim" w:hAnsi="Narkisim" w:cs="Narkisim"/>
          <w:u w:val="single"/>
          <w:rtl/>
        </w:rPr>
        <w:t>בא"ד אבל אם נשא כבר [באיסור], שהיא אשתו גמורה וכו</w:t>
      </w:r>
      <w:r w:rsidRPr="009F36E0">
        <w:rPr>
          <w:rFonts w:ascii="Narkisim" w:hAnsi="Narkisim" w:cs="Narkisim"/>
          <w:rtl/>
        </w:rPr>
        <w:t xml:space="preserve">'. משמע סברת התוס' דמה שעשה עשוי, ואין מחמירים עליו לאסור את אשתו. </w:t>
      </w:r>
      <w:r w:rsidRPr="009F36E0">
        <w:rPr>
          <w:rFonts w:ascii="Narkisim" w:hAnsi="Narkisim" w:cs="Narkisim"/>
          <w:sz w:val="20"/>
          <w:szCs w:val="20"/>
          <w:rtl/>
        </w:rPr>
        <w:t>ולא כסברת הראשונים דנישואין אלימי ומפקיעין לזיקה</w:t>
      </w:r>
      <w:r w:rsidRPr="009F36E0">
        <w:rPr>
          <w:rFonts w:ascii="Narkisim" w:hAnsi="Narkisim" w:cs="Narkisim"/>
          <w:sz w:val="20"/>
          <w:szCs w:val="20"/>
        </w:rPr>
        <w:t>.</w:t>
      </w:r>
    </w:p>
    <w:p w14:paraId="4B3C8E85" w14:textId="77777777" w:rsidR="006074A5" w:rsidRPr="009F36E0" w:rsidRDefault="006074A5" w:rsidP="006074A5">
      <w:pPr>
        <w:pStyle w:val="a8"/>
        <w:bidi/>
        <w:rPr>
          <w:rFonts w:ascii="Narkisim" w:hAnsi="Narkisim"/>
        </w:rPr>
      </w:pPr>
      <w:r w:rsidRPr="009F36E0">
        <w:rPr>
          <w:rFonts w:ascii="Narkisim" w:hAnsi="Narkisim"/>
          <w:rtl/>
        </w:rPr>
        <w:t>ויש שדנו (קובה"ע כ ד) אמאי אסור לישא, הא ליכא איסור לעשות נישואין עם עריות</w:t>
      </w:r>
      <w:r w:rsidRPr="009F36E0">
        <w:rPr>
          <w:rStyle w:val="ac"/>
          <w:rFonts w:ascii="Narkisim" w:hAnsi="Narkisim"/>
          <w:rtl/>
        </w:rPr>
        <w:footnoteReference w:id="1102"/>
      </w:r>
      <w:r w:rsidRPr="009F36E0">
        <w:rPr>
          <w:rFonts w:ascii="Narkisim" w:hAnsi="Narkisim"/>
        </w:rPr>
        <w:t xml:space="preserve">. </w:t>
      </w:r>
      <w:r w:rsidRPr="009F36E0">
        <w:rPr>
          <w:rFonts w:ascii="Narkisim" w:hAnsi="Narkisim"/>
          <w:rtl/>
        </w:rPr>
        <w:t>ובפשוטו מבואר דיש איסור דרבנן לעשות מעשה נישואין</w:t>
      </w:r>
      <w:r w:rsidRPr="009F36E0">
        <w:rPr>
          <w:rStyle w:val="ac"/>
          <w:rFonts w:ascii="Narkisim" w:hAnsi="Narkisim"/>
          <w:rtl/>
        </w:rPr>
        <w:footnoteReference w:id="1103"/>
      </w:r>
      <w:r w:rsidRPr="009F36E0">
        <w:rPr>
          <w:rFonts w:ascii="Narkisim" w:hAnsi="Narkisim"/>
        </w:rPr>
        <w:t xml:space="preserve">. </w:t>
      </w:r>
      <w:r w:rsidRPr="009F36E0">
        <w:rPr>
          <w:rFonts w:ascii="Narkisim" w:hAnsi="Narkisim"/>
          <w:rtl/>
        </w:rPr>
        <w:t>ואף דעי”ז אח”כ מותרת לו</w:t>
      </w:r>
      <w:r w:rsidRPr="009F36E0">
        <w:rPr>
          <w:rFonts w:ascii="Narkisim" w:hAnsi="Narkisim"/>
        </w:rPr>
        <w:t>.</w:t>
      </w:r>
    </w:p>
    <w:p w14:paraId="6D347382" w14:textId="77777777" w:rsidR="006074A5" w:rsidRPr="009F36E0" w:rsidRDefault="006074A5" w:rsidP="006074A5">
      <w:pPr>
        <w:pStyle w:val="aa"/>
        <w:bidi/>
        <w:rPr>
          <w:rFonts w:ascii="Narkisim" w:hAnsi="Narkisim"/>
        </w:rPr>
      </w:pPr>
      <w:r w:rsidRPr="009F36E0">
        <w:rPr>
          <w:rFonts w:ascii="Narkisim" w:hAnsi="Narkisim"/>
          <w:u w:val="single"/>
          <w:rtl/>
        </w:rPr>
        <w:t>בא"ד ודוקא בקידש לאחר נפילה וכו' אבל קידש בהיתר וכו'</w:t>
      </w:r>
      <w:r w:rsidRPr="009F36E0">
        <w:rPr>
          <w:rFonts w:ascii="Narkisim" w:hAnsi="Narkisim"/>
          <w:rtl/>
        </w:rPr>
        <w:t>. צ"ב מה ס"ד דתוס', דפשיטא דאחות אשתו בקידושין הוה ערוה גמורה, ופטורה משעת נפילה. ומשמע בתוס' דאף בזה שייך סברת 'נראה' דנפלה לפניו ליבום [וע”ד מש"כ הרשב”א]</w:t>
      </w:r>
      <w:r w:rsidRPr="009F36E0">
        <w:rPr>
          <w:rFonts w:ascii="Narkisim" w:hAnsi="Narkisim"/>
        </w:rPr>
        <w:t>.</w:t>
      </w:r>
    </w:p>
    <w:p w14:paraId="10403159" w14:textId="77777777" w:rsidR="006074A5" w:rsidRPr="009F36E0" w:rsidRDefault="006074A5" w:rsidP="006074A5">
      <w:pPr>
        <w:pStyle w:val="a7"/>
        <w:bidi/>
        <w:rPr>
          <w:rFonts w:ascii="Narkisim" w:hAnsi="Narkisim"/>
        </w:rPr>
      </w:pPr>
      <w:r w:rsidRPr="009F36E0">
        <w:rPr>
          <w:rFonts w:ascii="Narkisim" w:hAnsi="Narkisim"/>
          <w:rtl/>
        </w:rPr>
        <w:t>ובדברי ה</w:t>
      </w:r>
      <w:r w:rsidRPr="009F36E0">
        <w:rPr>
          <w:rFonts w:ascii="Narkisim" w:hAnsi="Narkisim"/>
          <w:b/>
          <w:bCs/>
          <w:rtl/>
        </w:rPr>
        <w:t>רשב"א</w:t>
      </w:r>
      <w:r w:rsidRPr="009F36E0">
        <w:rPr>
          <w:rFonts w:ascii="Narkisim" w:hAnsi="Narkisim"/>
          <w:rtl/>
        </w:rPr>
        <w:t xml:space="preserve"> (מא.) מפורש דכל הנידון בזה מדרבנן, דמדרבנן קידושין לא מפקיעי זיקה</w:t>
      </w:r>
      <w:r w:rsidRPr="009F36E0">
        <w:rPr>
          <w:rStyle w:val="ac"/>
          <w:rFonts w:ascii="Narkisim" w:hAnsi="Narkisim"/>
          <w:rtl/>
        </w:rPr>
        <w:footnoteReference w:id="1104"/>
      </w:r>
      <w:r w:rsidRPr="009F36E0">
        <w:rPr>
          <w:rFonts w:ascii="Narkisim" w:hAnsi="Narkisim"/>
        </w:rPr>
        <w:t xml:space="preserve">. </w:t>
      </w:r>
      <w:r w:rsidRPr="009F36E0">
        <w:rPr>
          <w:rFonts w:ascii="Narkisim" w:hAnsi="Narkisim"/>
          <w:rtl/>
        </w:rPr>
        <w:t>אבל ה</w:t>
      </w:r>
      <w:r w:rsidRPr="009F36E0">
        <w:rPr>
          <w:rFonts w:ascii="Narkisim" w:hAnsi="Narkisim"/>
          <w:b/>
          <w:bCs/>
          <w:rtl/>
        </w:rPr>
        <w:t>אחרונים</w:t>
      </w:r>
      <w:r w:rsidRPr="009F36E0">
        <w:rPr>
          <w:rFonts w:ascii="Narkisim" w:hAnsi="Narkisim"/>
          <w:rtl/>
        </w:rPr>
        <w:t xml:space="preserve"> הביאו מכמה </w:t>
      </w:r>
      <w:r w:rsidRPr="009F36E0">
        <w:rPr>
          <w:rFonts w:ascii="Narkisim" w:hAnsi="Narkisim"/>
          <w:b/>
          <w:bCs/>
          <w:rtl/>
        </w:rPr>
        <w:t>ראשונים</w:t>
      </w:r>
      <w:r w:rsidRPr="009F36E0">
        <w:rPr>
          <w:rStyle w:val="ac"/>
          <w:rFonts w:ascii="Narkisim" w:hAnsi="Narkisim"/>
          <w:rtl/>
        </w:rPr>
        <w:footnoteReference w:id="1105"/>
      </w:r>
      <w:r w:rsidRPr="009F36E0">
        <w:rPr>
          <w:rFonts w:ascii="Narkisim" w:hAnsi="Narkisim"/>
        </w:rPr>
        <w:t xml:space="preserve"> </w:t>
      </w:r>
      <w:r w:rsidRPr="009F36E0">
        <w:rPr>
          <w:rFonts w:ascii="Narkisim" w:hAnsi="Narkisim"/>
          <w:rtl/>
        </w:rPr>
        <w:t>דמשמע דאף מדאורי' לא פקעי זיקה</w:t>
      </w:r>
      <w:r w:rsidRPr="009F36E0">
        <w:rPr>
          <w:rFonts w:ascii="Narkisim" w:hAnsi="Narkisim"/>
        </w:rPr>
        <w:t>.</w:t>
      </w:r>
    </w:p>
    <w:p w14:paraId="09B1E533" w14:textId="77777777" w:rsidR="006074A5" w:rsidRPr="009F36E0" w:rsidRDefault="006074A5" w:rsidP="006074A5">
      <w:pPr>
        <w:pStyle w:val="a7"/>
        <w:bidi/>
        <w:rPr>
          <w:rFonts w:ascii="Narkisim" w:hAnsi="Narkisim"/>
        </w:rPr>
      </w:pP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שפי' דלא פקעי זיקה משום דלא חל פטור 'עליה' לאחר נפילה</w:t>
      </w:r>
      <w:r w:rsidRPr="009F36E0">
        <w:rPr>
          <w:rStyle w:val="ac"/>
          <w:rFonts w:ascii="Narkisim" w:hAnsi="Narkisim"/>
          <w:rtl/>
        </w:rPr>
        <w:footnoteReference w:id="1106"/>
      </w:r>
      <w:r w:rsidRPr="009F36E0">
        <w:rPr>
          <w:rFonts w:ascii="Narkisim" w:hAnsi="Narkisim"/>
        </w:rPr>
        <w:t xml:space="preserve">, </w:t>
      </w:r>
      <w:r w:rsidRPr="009F36E0">
        <w:rPr>
          <w:rFonts w:ascii="Narkisim" w:hAnsi="Narkisim"/>
          <w:rtl/>
        </w:rPr>
        <w:t>שכבר זקוקה</w:t>
      </w:r>
      <w:r w:rsidRPr="009F36E0">
        <w:rPr>
          <w:rStyle w:val="ac"/>
          <w:rFonts w:ascii="Narkisim" w:hAnsi="Narkisim"/>
          <w:rtl/>
        </w:rPr>
        <w:footnoteReference w:id="1107"/>
      </w:r>
      <w:r w:rsidRPr="009F36E0">
        <w:rPr>
          <w:rFonts w:ascii="Narkisim" w:hAnsi="Narkisim"/>
        </w:rPr>
        <w:t xml:space="preserve">. </w:t>
      </w:r>
      <w:r w:rsidRPr="009F36E0">
        <w:rPr>
          <w:rFonts w:ascii="Narkisim" w:hAnsi="Narkisim"/>
          <w:rtl/>
        </w:rPr>
        <w:t>אבל ה</w:t>
      </w:r>
      <w:r w:rsidRPr="009F36E0">
        <w:rPr>
          <w:rFonts w:ascii="Narkisim" w:hAnsi="Narkisim"/>
          <w:b/>
          <w:bCs/>
          <w:rtl/>
        </w:rPr>
        <w:t>אמר"מ</w:t>
      </w:r>
      <w:r w:rsidRPr="009F36E0">
        <w:rPr>
          <w:rFonts w:ascii="Narkisim" w:hAnsi="Narkisim"/>
          <w:rtl/>
        </w:rPr>
        <w:t xml:space="preserve"> (ז כח,לא) דן דמדין ערוה נפקע ממנה דין יבום, ומ”מ בעי חליצה משום אישות הזיקה</w:t>
      </w:r>
      <w:r w:rsidRPr="009F36E0">
        <w:rPr>
          <w:rStyle w:val="ac"/>
          <w:rFonts w:ascii="Narkisim" w:hAnsi="Narkisim"/>
          <w:rtl/>
        </w:rPr>
        <w:footnoteReference w:id="1108"/>
      </w:r>
      <w:r w:rsidRPr="009F36E0">
        <w:rPr>
          <w:rFonts w:ascii="Narkisim" w:hAnsi="Narkisim"/>
        </w:rPr>
        <w:t xml:space="preserve">. </w:t>
      </w:r>
      <w:r w:rsidRPr="009F36E0">
        <w:rPr>
          <w:rFonts w:ascii="Narkisim" w:hAnsi="Narkisim"/>
          <w:rtl/>
        </w:rPr>
        <w:t>אף דפקע מצוות יבום</w:t>
      </w:r>
      <w:r w:rsidRPr="009F36E0">
        <w:rPr>
          <w:rStyle w:val="ac"/>
          <w:rFonts w:ascii="Narkisim" w:hAnsi="Narkisim"/>
          <w:rtl/>
        </w:rPr>
        <w:footnoteReference w:id="1109"/>
      </w:r>
      <w:r w:rsidRPr="009F36E0">
        <w:rPr>
          <w:rFonts w:ascii="Narkisim" w:hAnsi="Narkisim"/>
        </w:rPr>
        <w:t>.</w:t>
      </w:r>
    </w:p>
    <w:p w14:paraId="08B27C0B" w14:textId="77777777" w:rsidR="006074A5" w:rsidRPr="009F36E0" w:rsidRDefault="006074A5" w:rsidP="006074A5">
      <w:pPr>
        <w:pStyle w:val="aa"/>
        <w:bidi/>
        <w:rPr>
          <w:rFonts w:ascii="Narkisim" w:hAnsi="Narkisim"/>
        </w:rPr>
      </w:pPr>
      <w:r w:rsidRPr="009F36E0">
        <w:rPr>
          <w:rFonts w:ascii="Narkisim" w:hAnsi="Narkisim"/>
          <w:rtl/>
        </w:rPr>
        <w:t>ובסוגיא (לקמן עט:) הק' כשנעשה פצוע דכא נימא דלר' עקיבא חייבי לאוין הוה ערוה, ותפטר. ורבה תי' דאף לר"ע כשנפצע לאחר נפילה עדיין זקוקה לחליצה. ופ</w:t>
      </w:r>
      <w:r w:rsidRPr="009F36E0">
        <w:rPr>
          <w:rFonts w:ascii="Narkisim" w:hAnsi="Narkisim"/>
          <w:b/>
          <w:bCs/>
          <w:rtl/>
        </w:rPr>
        <w:t>רש"י</w:t>
      </w:r>
      <w:r w:rsidRPr="009F36E0">
        <w:rPr>
          <w:rFonts w:ascii="Narkisim" w:hAnsi="Narkisim"/>
          <w:rtl/>
        </w:rPr>
        <w:t xml:space="preserve"> דהוזקקה ליבום, ובעי חליצה להפקיע זיקה. [ומשמע דהוה משום 'זיקה']</w:t>
      </w:r>
      <w:r w:rsidRPr="009F36E0">
        <w:rPr>
          <w:rFonts w:ascii="Narkisim" w:hAnsi="Narkisim"/>
        </w:rPr>
        <w:t>.</w:t>
      </w:r>
    </w:p>
    <w:p w14:paraId="424D7369" w14:textId="77777777" w:rsidR="006074A5" w:rsidRPr="009F36E0" w:rsidRDefault="006074A5" w:rsidP="006074A5">
      <w:pPr>
        <w:pStyle w:val="a8"/>
        <w:bidi/>
        <w:rPr>
          <w:rFonts w:ascii="Narkisim" w:hAnsi="Narkisim"/>
        </w:rPr>
      </w:pPr>
      <w:r w:rsidRPr="009F36E0">
        <w:rPr>
          <w:rFonts w:ascii="Narkisim" w:hAnsi="Narkisim"/>
          <w:rtl/>
        </w:rPr>
        <w:t xml:space="preserve">ואביי הקשה מדברי ר"ג דתמתין עד שתגדיל ותצא משום אחות אשה. אלמא אתי אחות אשה ודחי [ומתיר </w:t>
      </w:r>
      <w:r w:rsidRPr="009F36E0">
        <w:rPr>
          <w:rFonts w:ascii="Narkisim" w:hAnsi="Narkisim"/>
          <w:rtl/>
        </w:rPr>
        <w:lastRenderedPageBreak/>
        <w:t>לשוק]. וה</w:t>
      </w:r>
      <w:r w:rsidRPr="009F36E0">
        <w:rPr>
          <w:rFonts w:ascii="Narkisim" w:hAnsi="Narkisim"/>
          <w:b/>
          <w:bCs/>
          <w:rtl/>
        </w:rPr>
        <w:t>ראשונים</w:t>
      </w:r>
      <w:r w:rsidRPr="009F36E0">
        <w:rPr>
          <w:rFonts w:ascii="Narkisim" w:hAnsi="Narkisim"/>
          <w:rtl/>
        </w:rPr>
        <w:t xml:space="preserve"> (שם) הק' היאך מייתי ראיה מר"ג, הא ר"ג ס"ל אין זיקה. ואפשר דלמ"ד יש זיקה צריך חליצה להפקיע את הזיקה [ואפי' שאינה עומדת עכשיו לייבום, מ"מ הזיקה לא יפקע, דומיא דקידושין בסוגיין, וכמ”ש תוס']. וה</w:t>
      </w:r>
      <w:r w:rsidRPr="009F36E0">
        <w:rPr>
          <w:rFonts w:ascii="Narkisim" w:hAnsi="Narkisim"/>
          <w:b/>
          <w:bCs/>
          <w:rtl/>
        </w:rPr>
        <w:t>ראשונים</w:t>
      </w:r>
      <w:r w:rsidRPr="009F36E0">
        <w:rPr>
          <w:rFonts w:ascii="Narkisim" w:hAnsi="Narkisim"/>
          <w:rtl/>
        </w:rPr>
        <w:t xml:space="preserve"> דנו דמ"מ אף ר' עקיבא ס"ל אין זיקה [לגבי הפרת נדרים</w:t>
      </w:r>
      <w:r w:rsidRPr="009F36E0">
        <w:rPr>
          <w:rStyle w:val="ac"/>
          <w:rFonts w:ascii="Narkisim" w:hAnsi="Narkisim"/>
          <w:rtl/>
        </w:rPr>
        <w:footnoteReference w:id="1110"/>
      </w:r>
      <w:r w:rsidRPr="009F36E0">
        <w:rPr>
          <w:rFonts w:ascii="Narkisim" w:hAnsi="Narkisim"/>
          <w:rtl/>
        </w:rPr>
        <w:t>], וקאי בדעת ר"ע</w:t>
      </w:r>
      <w:r w:rsidRPr="009F36E0">
        <w:rPr>
          <w:rFonts w:ascii="Narkisim" w:hAnsi="Narkisim"/>
        </w:rPr>
        <w:t>.</w:t>
      </w:r>
    </w:p>
    <w:p w14:paraId="30514C93"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(עט:, ומא., א שנח) הוכיח מסוגיא זו דלכו"ע נישואין דאחר זיקה מפקיעים, ואף למ"ד יש זיקה הוה סברא רק באירוסין</w:t>
      </w:r>
      <w:r w:rsidRPr="009F36E0">
        <w:rPr>
          <w:rStyle w:val="ac"/>
          <w:rFonts w:ascii="Narkisim" w:hAnsi="Narkisim"/>
          <w:rtl/>
        </w:rPr>
        <w:footnoteReference w:id="1111"/>
      </w:r>
      <w:r w:rsidRPr="009F36E0">
        <w:rPr>
          <w:rFonts w:ascii="Narkisim" w:hAnsi="Narkisim"/>
        </w:rPr>
        <w:t xml:space="preserve">. </w:t>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(שם) כתב דמ"מ אינה ראויה לייבום לכתחילה, ואם בעלו ל"ק</w:t>
      </w:r>
      <w:r w:rsidRPr="009F36E0">
        <w:rPr>
          <w:rStyle w:val="ac"/>
          <w:rFonts w:ascii="Narkisim" w:hAnsi="Narkisim"/>
          <w:rtl/>
        </w:rPr>
        <w:footnoteReference w:id="1112"/>
      </w:r>
      <w:r w:rsidRPr="009F36E0">
        <w:rPr>
          <w:rFonts w:ascii="Narkisim" w:hAnsi="Narkisim"/>
        </w:rPr>
        <w:t xml:space="preserve">. </w:t>
      </w:r>
      <w:r w:rsidRPr="009F36E0">
        <w:rPr>
          <w:rFonts w:ascii="Narkisim" w:hAnsi="Narkisim"/>
          <w:rtl/>
        </w:rPr>
        <w:t>[והאחרונים דייקו מהריטב"א דמדאוריי' לא פקע]</w:t>
      </w:r>
      <w:r w:rsidRPr="009F36E0">
        <w:rPr>
          <w:rFonts w:ascii="Narkisim" w:hAnsi="Narkisim"/>
        </w:rPr>
        <w:t>.</w:t>
      </w:r>
    </w:p>
    <w:p w14:paraId="39F37D8B" w14:textId="77777777" w:rsidR="006074A5" w:rsidRPr="009F36E0" w:rsidRDefault="006074A5" w:rsidP="006074A5">
      <w:pPr>
        <w:pStyle w:val="aa"/>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xml:space="preserve"> (לעיל טז. ד"ה בני צרות) הביאו משומרת יבם שקידש את אחותה דקידושין מפקיעין היבום. וה</w:t>
      </w:r>
      <w:r w:rsidRPr="009F36E0">
        <w:rPr>
          <w:rFonts w:ascii="Narkisim" w:hAnsi="Narkisim"/>
          <w:b/>
          <w:bCs/>
          <w:rtl/>
        </w:rPr>
        <w:t>אחרונים</w:t>
      </w:r>
      <w:r w:rsidRPr="009F36E0">
        <w:rPr>
          <w:rFonts w:ascii="Narkisim" w:hAnsi="Narkisim"/>
          <w:rtl/>
        </w:rPr>
        <w:t xml:space="preserve"> הקשו דאדרבה מבואר בדברי ר' יהודה ב"ב דקידושין אינן מפקיעין לזיקה. וכתבו לפרש דכוונת התוס' דמדאורייתא לכו”ע נפקע</w:t>
      </w:r>
      <w:r w:rsidRPr="009F36E0">
        <w:rPr>
          <w:rStyle w:val="ac"/>
          <w:rFonts w:ascii="Narkisim" w:hAnsi="Narkisim"/>
          <w:rtl/>
        </w:rPr>
        <w:footnoteReference w:id="1113"/>
      </w:r>
      <w:r w:rsidRPr="009F36E0">
        <w:rPr>
          <w:rFonts w:ascii="Narkisim" w:hAnsi="Narkisim"/>
        </w:rPr>
        <w:t>.</w:t>
      </w:r>
    </w:p>
    <w:p w14:paraId="4D2404AD"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(טז.) העמיד קו' מהמקדש אחות יבמתו (לקמן קט: אליבא דר' גמליאל), דקידושין לחוד מפקיע לזיקה. אך ק"ק שהביא דברי ר"ג אר' יהושע, הא לחד לישנא (נדרים עד.) ר' יהושע סבר דיש זיקה</w:t>
      </w:r>
      <w:r w:rsidRPr="009F36E0">
        <w:rPr>
          <w:rStyle w:val="ac"/>
          <w:rFonts w:ascii="Narkisim" w:hAnsi="Narkisim"/>
          <w:rtl/>
        </w:rPr>
        <w:footnoteReference w:id="1114"/>
      </w:r>
      <w:r w:rsidRPr="009F36E0">
        <w:rPr>
          <w:rFonts w:ascii="Narkisim" w:hAnsi="Narkisim"/>
        </w:rPr>
        <w:t>.</w:t>
      </w:r>
    </w:p>
    <w:p w14:paraId="79D4501D" w14:textId="77777777" w:rsidR="006074A5" w:rsidRPr="009F36E0" w:rsidRDefault="006074A5" w:rsidP="006074A5">
      <w:pPr>
        <w:bidi/>
        <w:rPr>
          <w:rFonts w:ascii="Narkisim" w:hAnsi="Narkisim" w:cs="Narkisim"/>
        </w:rPr>
      </w:pPr>
      <w:r w:rsidRPr="009F36E0">
        <w:rPr>
          <w:rFonts w:ascii="Narkisim" w:hAnsi="Narkisim" w:cs="Narkisim"/>
          <w:u w:val="single"/>
          <w:rtl/>
        </w:rPr>
        <w:t>תוד"ה אומרים.</w:t>
      </w:r>
      <w:r w:rsidRPr="009F36E0">
        <w:rPr>
          <w:rFonts w:ascii="Narkisim" w:hAnsi="Narkisim" w:cs="Narkisim"/>
          <w:rtl/>
        </w:rPr>
        <w:t xml:space="preserve"> ואי ס"ד מאמר דאורייתא זה יעשה מאמר ויקנה וכו'. וה</w:t>
      </w:r>
      <w:r w:rsidRPr="009F36E0">
        <w:rPr>
          <w:rFonts w:ascii="Narkisim" w:hAnsi="Narkisim" w:cs="Narkisim"/>
          <w:b/>
          <w:bCs/>
          <w:rtl/>
        </w:rPr>
        <w:t>רמב"ן</w:t>
      </w:r>
      <w:r w:rsidRPr="009F36E0">
        <w:rPr>
          <w:rFonts w:ascii="Narkisim" w:hAnsi="Narkisim" w:cs="Narkisim"/>
          <w:rtl/>
        </w:rPr>
        <w:t xml:space="preserve"> הביא</w:t>
      </w:r>
      <w:r w:rsidRPr="009F36E0">
        <w:rPr>
          <w:rFonts w:ascii="Narkisim" w:hAnsi="Narkisim" w:cs="Narkisim"/>
          <w:b/>
          <w:bCs/>
          <w:rtl/>
        </w:rPr>
        <w:t xml:space="preserve"> י"מ</w:t>
      </w:r>
      <w:r w:rsidRPr="009F36E0">
        <w:rPr>
          <w:rFonts w:ascii="Narkisim" w:hAnsi="Narkisim" w:cs="Narkisim"/>
          <w:sz w:val="20"/>
          <w:szCs w:val="20"/>
          <w:rtl/>
        </w:rPr>
        <w:t xml:space="preserve"> [וכ"כ ב</w:t>
      </w:r>
      <w:r w:rsidRPr="009F36E0">
        <w:rPr>
          <w:rFonts w:ascii="Narkisim" w:hAnsi="Narkisim" w:cs="Narkisim"/>
          <w:b/>
          <w:bCs/>
          <w:sz w:val="20"/>
          <w:szCs w:val="20"/>
          <w:rtl/>
        </w:rPr>
        <w:t>תוס' ר"פ</w:t>
      </w:r>
      <w:r w:rsidRPr="009F36E0">
        <w:rPr>
          <w:rFonts w:ascii="Narkisim" w:hAnsi="Narkisim" w:cs="Narkisim"/>
          <w:sz w:val="20"/>
          <w:szCs w:val="20"/>
          <w:rtl/>
        </w:rPr>
        <w:t>]</w:t>
      </w:r>
      <w:r w:rsidRPr="009F36E0">
        <w:rPr>
          <w:rFonts w:ascii="Narkisim" w:hAnsi="Narkisim" w:cs="Narkisim"/>
          <w:rtl/>
        </w:rPr>
        <w:t xml:space="preserve"> דקידושי היתירא פוטרים, ולא קידושי איסורא, </w:t>
      </w:r>
      <w:r w:rsidRPr="009F36E0">
        <w:rPr>
          <w:rFonts w:ascii="Narkisim" w:hAnsi="Narkisim" w:cs="Narkisim"/>
          <w:sz w:val="20"/>
          <w:szCs w:val="20"/>
          <w:rtl/>
        </w:rPr>
        <w:t>וכתי' הגמ' כט: דמאמר דאיסורא ל"ק</w:t>
      </w:r>
      <w:r w:rsidRPr="009F36E0">
        <w:rPr>
          <w:rStyle w:val="ac"/>
          <w:rFonts w:ascii="Narkisim" w:hAnsi="Narkisim" w:cs="Narkisim"/>
          <w:sz w:val="20"/>
          <w:szCs w:val="20"/>
          <w:rtl/>
        </w:rPr>
        <w:footnoteReference w:id="1115"/>
      </w:r>
      <w:r w:rsidRPr="009F36E0">
        <w:rPr>
          <w:rFonts w:ascii="Narkisim" w:hAnsi="Narkisim" w:cs="Narkisim"/>
          <w:sz w:val="20"/>
          <w:szCs w:val="20"/>
        </w:rPr>
        <w:t>.</w:t>
      </w:r>
      <w:r w:rsidRPr="009F36E0">
        <w:rPr>
          <w:rFonts w:ascii="Narkisim" w:hAnsi="Narkisim" w:cs="Narkisim"/>
        </w:rPr>
        <w:t xml:space="preserve"> </w:t>
      </w:r>
      <w:r w:rsidRPr="009F36E0">
        <w:rPr>
          <w:rFonts w:ascii="Narkisim" w:hAnsi="Narkisim" w:cs="Narkisim"/>
          <w:rtl/>
        </w:rPr>
        <w:t>ובסוגיין קידושין דאיסורא לא מפקיע</w:t>
      </w:r>
      <w:r w:rsidRPr="009F36E0">
        <w:rPr>
          <w:rFonts w:ascii="Narkisim" w:hAnsi="Narkisim" w:cs="Narkisim"/>
        </w:rPr>
        <w:t>.</w:t>
      </w:r>
    </w:p>
    <w:p w14:paraId="61125E9F" w14:textId="77777777" w:rsidR="006074A5" w:rsidRPr="009F36E0" w:rsidRDefault="006074A5" w:rsidP="006074A5">
      <w:pPr>
        <w:pStyle w:val="a7"/>
        <w:bidi/>
        <w:rPr>
          <w:rFonts w:ascii="Narkisim" w:hAnsi="Narkisim"/>
        </w:rPr>
      </w:pPr>
      <w:r w:rsidRPr="009F36E0">
        <w:rPr>
          <w:rFonts w:ascii="Narkisim" w:hAnsi="Narkisim"/>
        </w:rPr>
        <w:t xml:space="preserve"> </w:t>
      </w:r>
      <w:r w:rsidRPr="009F36E0">
        <w:rPr>
          <w:rFonts w:ascii="Narkisim" w:hAnsi="Narkisim"/>
          <w:rtl/>
        </w:rPr>
        <w:t>וה</w:t>
      </w:r>
      <w:r w:rsidRPr="009F36E0">
        <w:rPr>
          <w:rFonts w:ascii="Narkisim" w:hAnsi="Narkisim"/>
          <w:b/>
          <w:bCs/>
          <w:rtl/>
        </w:rPr>
        <w:t xml:space="preserve">רשב"א </w:t>
      </w:r>
      <w:r w:rsidRPr="009F36E0">
        <w:rPr>
          <w:rFonts w:ascii="Narkisim" w:hAnsi="Narkisim"/>
          <w:rtl/>
        </w:rPr>
        <w:t>(מא. ובשו"ת א שנח) תי' דמאמר כנישואין, והוה כביאה. ולכן מפקיע זיקה</w:t>
      </w:r>
      <w:r w:rsidRPr="009F36E0">
        <w:rPr>
          <w:rFonts w:ascii="Narkisim" w:hAnsi="Narkisim"/>
        </w:rPr>
        <w:t>.</w:t>
      </w:r>
    </w:p>
    <w:p w14:paraId="18C4DDCB"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ריטב"א</w:t>
      </w:r>
      <w:r w:rsidRPr="009F36E0">
        <w:rPr>
          <w:rFonts w:ascii="Narkisim" w:hAnsi="Narkisim" w:cs="Narkisim"/>
          <w:rtl/>
        </w:rPr>
        <w:t xml:space="preserve"> הביא בשם </w:t>
      </w:r>
      <w:r w:rsidRPr="009F36E0">
        <w:rPr>
          <w:rFonts w:ascii="Narkisim" w:hAnsi="Narkisim" w:cs="Narkisim"/>
          <w:b/>
          <w:bCs/>
          <w:rtl/>
        </w:rPr>
        <w:t>רבותיו</w:t>
      </w:r>
      <w:r w:rsidRPr="009F36E0">
        <w:rPr>
          <w:rFonts w:ascii="Narkisim" w:hAnsi="Narkisim" w:cs="Narkisim"/>
          <w:rtl/>
        </w:rPr>
        <w:t xml:space="preserve"> ו</w:t>
      </w:r>
      <w:r w:rsidRPr="009F36E0">
        <w:rPr>
          <w:rFonts w:ascii="Narkisim" w:hAnsi="Narkisim" w:cs="Narkisim"/>
          <w:b/>
          <w:bCs/>
          <w:rtl/>
        </w:rPr>
        <w:t>ר' יונה</w:t>
      </w:r>
      <w:r w:rsidRPr="009F36E0">
        <w:rPr>
          <w:rFonts w:ascii="Narkisim" w:hAnsi="Narkisim" w:cs="Narkisim"/>
          <w:rtl/>
        </w:rPr>
        <w:t xml:space="preserve"> דהתם מהני מאמר כל א', שעי"ז נתברר שהיבמה אינה זקוקה אלא למי שעשה מאמר. וכ”כ ה</w:t>
      </w:r>
      <w:r w:rsidRPr="009F36E0">
        <w:rPr>
          <w:rFonts w:ascii="Narkisim" w:hAnsi="Narkisim" w:cs="Narkisim"/>
          <w:b/>
          <w:bCs/>
          <w:rtl/>
        </w:rPr>
        <w:t>רמב”ן</w:t>
      </w:r>
      <w:r w:rsidRPr="009F36E0">
        <w:rPr>
          <w:rFonts w:ascii="Narkisim" w:hAnsi="Narkisim" w:cs="Narkisim"/>
          <w:rtl/>
        </w:rPr>
        <w:t xml:space="preserve"> (לקמן כט:). [ודלא כמ"ש רש"י (שם) דהמאמר אוסרת את אחותה]</w:t>
      </w:r>
      <w:r w:rsidRPr="009F36E0">
        <w:rPr>
          <w:rFonts w:ascii="Narkisim" w:hAnsi="Narkisim" w:cs="Narkisim"/>
        </w:rPr>
        <w:t>.</w:t>
      </w:r>
    </w:p>
    <w:p w14:paraId="537D7B07" w14:textId="77777777" w:rsidR="006074A5" w:rsidRPr="009F36E0" w:rsidRDefault="006074A5" w:rsidP="006074A5">
      <w:pPr>
        <w:pStyle w:val="aa"/>
        <w:bidi/>
        <w:rPr>
          <w:rFonts w:ascii="Narkisim" w:hAnsi="Narkisim"/>
        </w:rPr>
      </w:pPr>
      <w:r w:rsidRPr="009F36E0">
        <w:rPr>
          <w:rFonts w:ascii="Narkisim" w:hAnsi="Narkisim"/>
          <w:u w:val="single"/>
          <w:rtl/>
        </w:rPr>
        <w:t>בא"ד וי"ל דלריב"ב דסבר יש זיקה אין הקידושין מפקיעים הזיקה, אבל ר' אבין סבר אין זיקה וכו'</w:t>
      </w:r>
      <w:r w:rsidRPr="009F36E0">
        <w:rPr>
          <w:rFonts w:ascii="Narkisim" w:hAnsi="Narkisim"/>
          <w:rtl/>
        </w:rPr>
        <w:t>. ולמ"ד אין זיקה קידושין מפקעי זיקה</w:t>
      </w:r>
      <w:r w:rsidRPr="009F36E0">
        <w:rPr>
          <w:rStyle w:val="ac"/>
          <w:rFonts w:ascii="Narkisim" w:hAnsi="Narkisim"/>
          <w:rtl/>
        </w:rPr>
        <w:footnoteReference w:id="1116"/>
      </w:r>
      <w:r w:rsidRPr="009F36E0">
        <w:rPr>
          <w:rFonts w:ascii="Narkisim" w:hAnsi="Narkisim"/>
        </w:rPr>
        <w:t xml:space="preserve">, </w:t>
      </w:r>
      <w:r w:rsidRPr="009F36E0">
        <w:rPr>
          <w:rFonts w:ascii="Narkisim" w:hAnsi="Narkisim"/>
          <w:rtl/>
        </w:rPr>
        <w:t>ע' מה שהו' לעיל</w:t>
      </w:r>
      <w:r w:rsidRPr="009F36E0">
        <w:rPr>
          <w:rFonts w:ascii="Narkisim" w:hAnsi="Narkisim"/>
        </w:rPr>
        <w:t>.</w:t>
      </w:r>
    </w:p>
    <w:p w14:paraId="0FE5A3EC" w14:textId="77777777" w:rsidR="006074A5" w:rsidRPr="009F36E0" w:rsidRDefault="006074A5" w:rsidP="006074A5">
      <w:pPr>
        <w:pStyle w:val="aa"/>
        <w:bidi/>
        <w:rPr>
          <w:rFonts w:ascii="Narkisim" w:hAnsi="Narkisim"/>
        </w:rPr>
      </w:pPr>
      <w:r w:rsidRPr="009F36E0">
        <w:rPr>
          <w:rFonts w:ascii="Narkisim" w:hAnsi="Narkisim"/>
          <w:u w:val="single"/>
          <w:rtl/>
        </w:rPr>
        <w:t>בא"ד ויכולים לעשות ע"י שליח בב"א.</w:t>
      </w:r>
      <w:r w:rsidRPr="009F36E0">
        <w:rPr>
          <w:rFonts w:ascii="Narkisim" w:hAnsi="Narkisim"/>
          <w:rtl/>
        </w:rPr>
        <w:t xml:space="preserve"> וה</w:t>
      </w:r>
      <w:r w:rsidRPr="009F36E0">
        <w:rPr>
          <w:rFonts w:ascii="Narkisim" w:hAnsi="Narkisim"/>
          <w:b/>
          <w:bCs/>
          <w:rtl/>
        </w:rPr>
        <w:t>ראשונים</w:t>
      </w:r>
      <w:r w:rsidRPr="009F36E0">
        <w:rPr>
          <w:rFonts w:ascii="Narkisim" w:hAnsi="Narkisim"/>
          <w:rtl/>
        </w:rPr>
        <w:t xml:space="preserve"> (ריטב"א, ורמב"ן כט:) הקשו נגזור שמא ייבם והדר חליץ [וכדאמרי' כח.]. ועוד הקשה ה</w:t>
      </w:r>
      <w:r w:rsidRPr="009F36E0">
        <w:rPr>
          <w:rFonts w:ascii="Narkisim" w:hAnsi="Narkisim"/>
          <w:b/>
          <w:bCs/>
          <w:rtl/>
        </w:rPr>
        <w:t xml:space="preserve">רמב"ן </w:t>
      </w:r>
      <w:r w:rsidRPr="009F36E0">
        <w:rPr>
          <w:rFonts w:ascii="Narkisim" w:hAnsi="Narkisim"/>
          <w:rtl/>
        </w:rPr>
        <w:t>(כט:) דאפי' לבי"ש קיום מצות יבום הוה בביאה, ואע"ג דקני במאמר הילכך איכא למיחש שמא יתבטל [אע"ג דעשה מאמר], אלא העיקר משום זיקה</w:t>
      </w:r>
      <w:r w:rsidRPr="009F36E0">
        <w:rPr>
          <w:rFonts w:ascii="Narkisim" w:hAnsi="Narkisim"/>
        </w:rPr>
        <w:t>.</w:t>
      </w:r>
    </w:p>
    <w:p w14:paraId="77CE492E" w14:textId="77777777" w:rsidR="006074A5" w:rsidRPr="009F36E0" w:rsidRDefault="006074A5" w:rsidP="006074A5">
      <w:pPr>
        <w:pStyle w:val="aa"/>
        <w:bidi/>
        <w:rPr>
          <w:rFonts w:ascii="Narkisim" w:hAnsi="Narkisim"/>
        </w:rPr>
      </w:pPr>
      <w:r w:rsidRPr="009F36E0">
        <w:rPr>
          <w:rFonts w:ascii="Narkisim" w:hAnsi="Narkisim"/>
          <w:u w:val="single"/>
          <w:rtl/>
        </w:rPr>
        <w:t>אנן בהדיא מתנינן לה, אמר רב יהודה אמר שמואל וכו' יש זיקה, ואזדא שמואל לטעמיה וכו'</w:t>
      </w:r>
      <w:r w:rsidRPr="009F36E0">
        <w:rPr>
          <w:rFonts w:ascii="Narkisim" w:hAnsi="Narkisim"/>
          <w:rtl/>
        </w:rPr>
        <w:t xml:space="preserve">. </w:t>
      </w:r>
      <w:r w:rsidRPr="009F36E0">
        <w:rPr>
          <w:rFonts w:ascii="Narkisim" w:hAnsi="Narkisim"/>
          <w:rtl/>
          <w:lang w:val="he-IL"/>
        </w:rPr>
        <w:t>ה</w:t>
      </w:r>
      <w:r w:rsidRPr="009F36E0">
        <w:rPr>
          <w:rFonts w:ascii="Narkisim" w:hAnsi="Narkisim"/>
          <w:b/>
          <w:bCs/>
          <w:rtl/>
          <w:lang w:val="he-IL"/>
        </w:rPr>
        <w:t>רי"ף</w:t>
      </w:r>
      <w:r w:rsidRPr="009F36E0">
        <w:rPr>
          <w:rFonts w:ascii="Narkisim" w:hAnsi="Narkisim"/>
          <w:rtl/>
          <w:lang w:val="he-IL"/>
        </w:rPr>
        <w:t xml:space="preserve"> (ד. בדה"ס) פסק כשמואל דיש זיקה. וה</w:t>
      </w:r>
      <w:r w:rsidRPr="009F36E0">
        <w:rPr>
          <w:rFonts w:ascii="Narkisim" w:hAnsi="Narkisim"/>
          <w:b/>
          <w:bCs/>
          <w:rtl/>
          <w:lang w:val="he-IL"/>
        </w:rPr>
        <w:t>רא"ש</w:t>
      </w:r>
      <w:r w:rsidRPr="009F36E0">
        <w:rPr>
          <w:rFonts w:ascii="Narkisim" w:hAnsi="Narkisim"/>
          <w:rtl/>
          <w:lang w:val="he-IL"/>
        </w:rPr>
        <w:t xml:space="preserve"> ביאר דאמוראי בתראי שקלו וטרו לתרץ למ"ד יש זיקה</w:t>
      </w:r>
      <w:r w:rsidRPr="009F36E0">
        <w:rPr>
          <w:rStyle w:val="ac"/>
          <w:rFonts w:ascii="Narkisim" w:hAnsi="Narkisim"/>
          <w:rtl/>
          <w:lang w:val="he-IL"/>
        </w:rPr>
        <w:footnoteReference w:id="1117"/>
      </w:r>
      <w:r w:rsidRPr="009F36E0">
        <w:rPr>
          <w:rFonts w:ascii="Narkisim" w:hAnsi="Narkisim"/>
          <w:rtl/>
          <w:lang w:val="he-IL"/>
        </w:rPr>
        <w:t xml:space="preserve"> (בע"א). וכן בגמ' (לקמן ל.) רב אשי למד מהמשנה דיש זיקה, ובגמ' (שם) תי' דאף דברי רב נחמן א"ש כרב אשי.</w:t>
      </w:r>
    </w:p>
    <w:p w14:paraId="3FDA6F9C" w14:textId="77777777" w:rsidR="006074A5" w:rsidRPr="009F36E0" w:rsidRDefault="006074A5" w:rsidP="006074A5">
      <w:pPr>
        <w:pStyle w:val="2"/>
        <w:bidi/>
        <w:rPr>
          <w:rFonts w:ascii="Narkisim" w:hAnsi="Narkisim"/>
        </w:rPr>
      </w:pPr>
      <w:r w:rsidRPr="009F36E0">
        <w:rPr>
          <w:rFonts w:ascii="Narkisim" w:hAnsi="Narkisim"/>
          <w:rtl/>
        </w:rPr>
        <w:t>זיקה ככנוסה</w:t>
      </w:r>
    </w:p>
    <w:p w14:paraId="39F87DED" w14:textId="77777777" w:rsidR="006074A5" w:rsidRPr="009F36E0" w:rsidRDefault="006074A5" w:rsidP="006074A5">
      <w:pPr>
        <w:bidi/>
        <w:rPr>
          <w:rFonts w:ascii="Narkisim" w:hAnsi="Narkisim" w:cs="Narkisim"/>
        </w:rPr>
      </w:pPr>
      <w:r w:rsidRPr="009F36E0">
        <w:rPr>
          <w:rFonts w:ascii="Narkisim" w:hAnsi="Narkisim" w:cs="Narkisim"/>
          <w:u w:val="single"/>
          <w:rtl/>
        </w:rPr>
        <w:t>אמר רב אושעיא חלוק היה ר"ש אף בראשונה</w:t>
      </w:r>
      <w:r w:rsidRPr="009F36E0">
        <w:rPr>
          <w:rFonts w:ascii="Narkisim" w:hAnsi="Narkisim" w:cs="Narkisim"/>
          <w:rtl/>
        </w:rPr>
        <w:t>. במשנה (יז.) דנולד ואח"כ ייבם, והגמ' מפרשת דס"ל דזיקה ככנוסה, ופ</w:t>
      </w:r>
      <w:r w:rsidRPr="009F36E0">
        <w:rPr>
          <w:rFonts w:ascii="Narkisim" w:hAnsi="Narkisim" w:cs="Narkisim"/>
          <w:b/>
          <w:bCs/>
          <w:rtl/>
        </w:rPr>
        <w:t>רש"י</w:t>
      </w:r>
      <w:r w:rsidRPr="009F36E0">
        <w:rPr>
          <w:rFonts w:ascii="Narkisim" w:hAnsi="Narkisim" w:cs="Narkisim"/>
          <w:rtl/>
        </w:rPr>
        <w:t xml:space="preserve"> (ד"ה ולא מת) דהיכא דייבמה השני פקעה זיקת אח הראשון, ונעשית אשתו של שני. ואף היכא דלא ייבמה, הואיל והוזקקה לו הרי היא ככנוסה. וכשמת מותרת לאח הנולד</w:t>
      </w:r>
      <w:r w:rsidRPr="009F36E0">
        <w:rPr>
          <w:rFonts w:ascii="Narkisim" w:hAnsi="Narkisim" w:cs="Narkisim"/>
        </w:rPr>
        <w:t>.</w:t>
      </w:r>
    </w:p>
    <w:p w14:paraId="0D03C72A" w14:textId="77777777" w:rsidR="006074A5" w:rsidRPr="009F36E0" w:rsidRDefault="006074A5" w:rsidP="006074A5">
      <w:pPr>
        <w:bidi/>
        <w:rPr>
          <w:rFonts w:ascii="Narkisim" w:hAnsi="Narkisim" w:cs="Narkisim"/>
        </w:rPr>
      </w:pPr>
      <w:r w:rsidRPr="009F36E0">
        <w:rPr>
          <w:rFonts w:ascii="Narkisim" w:hAnsi="Narkisim" w:cs="Narkisim"/>
          <w:u w:val="single"/>
          <w:rtl/>
        </w:rPr>
        <w:t>מ"ט קסבר יש זיקה, וזיקה ככנוסה וכו'.</w:t>
      </w:r>
      <w:r w:rsidRPr="009F36E0">
        <w:rPr>
          <w:rFonts w:ascii="Narkisim" w:hAnsi="Narkisim" w:cs="Narkisim"/>
          <w:rtl/>
        </w:rPr>
        <w:t xml:space="preserve"> משמע דזיקה ככנוסה הוה תוספת קנין על זיקה. [דנח' לעיל אי אמרי' זיקה</w:t>
      </w:r>
      <w:r w:rsidRPr="009F36E0">
        <w:rPr>
          <w:rStyle w:val="ac"/>
          <w:rFonts w:ascii="Narkisim" w:hAnsi="Narkisim" w:cs="Narkisim"/>
          <w:rtl/>
        </w:rPr>
        <w:footnoteReference w:id="1118"/>
      </w:r>
      <w:r w:rsidRPr="009F36E0">
        <w:rPr>
          <w:rFonts w:ascii="Narkisim" w:hAnsi="Narkisim" w:cs="Narkisim"/>
        </w:rPr>
        <w:t xml:space="preserve">. </w:t>
      </w:r>
      <w:r w:rsidRPr="009F36E0">
        <w:rPr>
          <w:rFonts w:ascii="Narkisim" w:hAnsi="Narkisim" w:cs="Narkisim"/>
          <w:rtl/>
        </w:rPr>
        <w:t>והך מ"ד ס"ל כמ"ד יש זיקה, וכיון דאמרי' יש זיקה, ע"ז נתחדש דככנוסה</w:t>
      </w:r>
      <w:r w:rsidRPr="009F36E0">
        <w:rPr>
          <w:rStyle w:val="ac"/>
          <w:rFonts w:ascii="Narkisim" w:hAnsi="Narkisim" w:cs="Narkisim"/>
          <w:rtl/>
        </w:rPr>
        <w:footnoteReference w:id="1119"/>
      </w:r>
      <w:r w:rsidRPr="009F36E0">
        <w:rPr>
          <w:rFonts w:ascii="Narkisim" w:hAnsi="Narkisim" w:cs="Narkisim"/>
          <w:rtl/>
        </w:rPr>
        <w:t>]. וה</w:t>
      </w:r>
      <w:r w:rsidRPr="009F36E0">
        <w:rPr>
          <w:rFonts w:ascii="Narkisim" w:hAnsi="Narkisim" w:cs="Narkisim"/>
          <w:b/>
          <w:bCs/>
          <w:rtl/>
        </w:rPr>
        <w:t xml:space="preserve">אחרונים </w:t>
      </w:r>
      <w:r w:rsidRPr="009F36E0">
        <w:rPr>
          <w:rFonts w:ascii="Narkisim" w:hAnsi="Narkisim" w:cs="Narkisim"/>
          <w:rtl/>
        </w:rPr>
        <w:t xml:space="preserve">ביארו דגדר זיקה ככנוסה הוא משום שעומדת ליבום וכאילו כבר </w:t>
      </w:r>
      <w:r w:rsidRPr="009F36E0">
        <w:rPr>
          <w:rFonts w:ascii="Narkisim" w:hAnsi="Narkisim" w:cs="Narkisim"/>
          <w:rtl/>
        </w:rPr>
        <w:lastRenderedPageBreak/>
        <w:t>נתייבמה</w:t>
      </w:r>
      <w:r w:rsidRPr="009F36E0">
        <w:rPr>
          <w:rStyle w:val="ac"/>
          <w:rFonts w:ascii="Narkisim" w:hAnsi="Narkisim" w:cs="Narkisim"/>
          <w:rtl/>
        </w:rPr>
        <w:footnoteReference w:id="1120"/>
      </w:r>
      <w:r w:rsidRPr="009F36E0">
        <w:rPr>
          <w:rFonts w:ascii="Narkisim" w:hAnsi="Narkisim" w:cs="Narkisim"/>
        </w:rPr>
        <w:t xml:space="preserve">. </w:t>
      </w:r>
      <w:r w:rsidRPr="009F36E0">
        <w:rPr>
          <w:rFonts w:ascii="Narkisim" w:hAnsi="Narkisim" w:cs="Narkisim"/>
          <w:rtl/>
        </w:rPr>
        <w:t>ולא משום עצם זקיקתו.</w:t>
      </w:r>
      <w:r w:rsidRPr="009F36E0">
        <w:rPr>
          <w:rFonts w:ascii="Narkisim" w:hAnsi="Narkisim" w:cs="Narkisim"/>
          <w:sz w:val="20"/>
          <w:szCs w:val="20"/>
          <w:rtl/>
        </w:rPr>
        <w:t xml:space="preserve"> (וע' בסמוך)</w:t>
      </w:r>
      <w:r w:rsidRPr="009F36E0">
        <w:rPr>
          <w:rFonts w:ascii="Narkisim" w:hAnsi="Narkisim" w:cs="Narkisim"/>
          <w:sz w:val="20"/>
          <w:szCs w:val="20"/>
        </w:rPr>
        <w:t>.</w:t>
      </w:r>
    </w:p>
    <w:p w14:paraId="64FC5678" w14:textId="77777777" w:rsidR="006074A5" w:rsidRPr="009F36E0" w:rsidRDefault="006074A5" w:rsidP="006074A5">
      <w:pPr>
        <w:bidi/>
        <w:rPr>
          <w:rFonts w:ascii="Narkisim" w:hAnsi="Narkisim" w:cs="Narkisim"/>
        </w:rPr>
      </w:pPr>
      <w:r w:rsidRPr="009F36E0">
        <w:rPr>
          <w:rFonts w:ascii="Narkisim" w:hAnsi="Narkisim" w:cs="Narkisim"/>
          <w:u w:val="single"/>
          <w:rtl/>
        </w:rPr>
        <w:t>שם. זיקה ככנוסה.</w:t>
      </w:r>
      <w:r w:rsidRPr="009F36E0">
        <w:rPr>
          <w:rFonts w:ascii="Narkisim" w:hAnsi="Narkisim" w:cs="Narkisim"/>
          <w:rtl/>
        </w:rPr>
        <w:t xml:space="preserve"> ה</w:t>
      </w:r>
      <w:r w:rsidRPr="009F36E0">
        <w:rPr>
          <w:rFonts w:ascii="Narkisim" w:hAnsi="Narkisim" w:cs="Narkisim"/>
          <w:b/>
          <w:bCs/>
          <w:rtl/>
        </w:rPr>
        <w:t xml:space="preserve">פסקי </w:t>
      </w:r>
      <w:r w:rsidRPr="009F36E0">
        <w:rPr>
          <w:rFonts w:ascii="Narkisim" w:hAnsi="Narkisim" w:cs="Narkisim"/>
          <w:rtl/>
        </w:rPr>
        <w:t>ה</w:t>
      </w:r>
      <w:r w:rsidRPr="009F36E0">
        <w:rPr>
          <w:rFonts w:ascii="Narkisim" w:hAnsi="Narkisim" w:cs="Narkisim"/>
          <w:b/>
          <w:bCs/>
          <w:rtl/>
        </w:rPr>
        <w:t>רי"ד</w:t>
      </w:r>
      <w:r w:rsidRPr="009F36E0">
        <w:rPr>
          <w:rFonts w:ascii="Narkisim" w:hAnsi="Narkisim" w:cs="Narkisim"/>
          <w:rtl/>
        </w:rPr>
        <w:t xml:space="preserve"> כת' דזיקה ככנוסה מהני רק לגבי זיקת היבום, שלא תחשב אשת אחיו שלא היה בעולמו</w:t>
      </w:r>
      <w:r w:rsidRPr="009F36E0">
        <w:rPr>
          <w:rStyle w:val="ac"/>
          <w:rFonts w:ascii="Narkisim" w:hAnsi="Narkisim" w:cs="Narkisim"/>
          <w:rtl/>
        </w:rPr>
        <w:footnoteReference w:id="1121"/>
      </w:r>
      <w:r w:rsidRPr="009F36E0">
        <w:rPr>
          <w:rFonts w:ascii="Narkisim" w:hAnsi="Narkisim" w:cs="Narkisim"/>
        </w:rPr>
        <w:t xml:space="preserve">. </w:t>
      </w:r>
      <w:r w:rsidRPr="009F36E0">
        <w:rPr>
          <w:rFonts w:ascii="Narkisim" w:hAnsi="Narkisim" w:cs="Narkisim"/>
          <w:rtl/>
        </w:rPr>
        <w:t>אבל ל"מ לכל מילי. דהבא על יבמה אינו חייב מיתה [ולא אמרי' דהוה אשת איש משום דזיקה ככנוסה], וכן תפסי קידושין באחותה</w:t>
      </w:r>
      <w:r w:rsidRPr="009F36E0">
        <w:rPr>
          <w:rStyle w:val="ac"/>
          <w:rFonts w:ascii="Narkisim" w:hAnsi="Narkisim" w:cs="Narkisim"/>
          <w:rtl/>
        </w:rPr>
        <w:footnoteReference w:id="1122"/>
      </w:r>
      <w:r w:rsidRPr="009F36E0">
        <w:rPr>
          <w:rFonts w:ascii="Narkisim" w:hAnsi="Narkisim" w:cs="Narkisim"/>
        </w:rPr>
        <w:t xml:space="preserve">. </w:t>
      </w:r>
      <w:r w:rsidRPr="009F36E0">
        <w:rPr>
          <w:rFonts w:ascii="Narkisim" w:hAnsi="Narkisim" w:cs="Narkisim"/>
          <w:sz w:val="20"/>
          <w:szCs w:val="20"/>
          <w:rtl/>
        </w:rPr>
        <w:t>וה</w:t>
      </w:r>
      <w:r w:rsidRPr="009F36E0">
        <w:rPr>
          <w:rFonts w:ascii="Narkisim" w:hAnsi="Narkisim" w:cs="Narkisim"/>
          <w:b/>
          <w:bCs/>
          <w:sz w:val="20"/>
          <w:szCs w:val="20"/>
          <w:rtl/>
        </w:rPr>
        <w:t xml:space="preserve">ברכ"ש </w:t>
      </w:r>
      <w:r w:rsidRPr="009F36E0">
        <w:rPr>
          <w:rFonts w:ascii="Narkisim" w:hAnsi="Narkisim" w:cs="Narkisim"/>
          <w:sz w:val="20"/>
          <w:szCs w:val="20"/>
          <w:rtl/>
        </w:rPr>
        <w:t xml:space="preserve">(ט) ביאר דעדיין לא נעשית קנין אישות, אלא קנין זיקת יבום. ויש </w:t>
      </w:r>
      <w:r w:rsidRPr="009F36E0">
        <w:rPr>
          <w:rFonts w:ascii="Narkisim" w:hAnsi="Narkisim" w:cs="Narkisim"/>
          <w:b/>
          <w:bCs/>
          <w:sz w:val="20"/>
          <w:szCs w:val="20"/>
          <w:rtl/>
        </w:rPr>
        <w:t>אחרונים</w:t>
      </w:r>
      <w:r w:rsidRPr="009F36E0">
        <w:rPr>
          <w:rFonts w:ascii="Narkisim" w:hAnsi="Narkisim" w:cs="Narkisim"/>
          <w:sz w:val="20"/>
          <w:szCs w:val="20"/>
          <w:rtl/>
        </w:rPr>
        <w:t xml:space="preserve"> ביארו דגדר ככנוסה דאישות המת עבר ליבם, ונחשב אישות גמור אצלו. אבל אינו נחשב שחל אישות ליבם</w:t>
      </w:r>
      <w:r w:rsidRPr="009F36E0">
        <w:rPr>
          <w:rFonts w:ascii="Narkisim" w:hAnsi="Narkisim" w:cs="Narkisim"/>
          <w:sz w:val="20"/>
          <w:szCs w:val="20"/>
        </w:rPr>
        <w:t>.</w:t>
      </w:r>
    </w:p>
    <w:p w14:paraId="3F8E2CFC"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אחרונים</w:t>
      </w:r>
      <w:r w:rsidRPr="009F36E0">
        <w:rPr>
          <w:rFonts w:ascii="Narkisim" w:hAnsi="Narkisim"/>
          <w:rtl/>
        </w:rPr>
        <w:t xml:space="preserve"> (אמר"מ ח ז) הביאו דב</w:t>
      </w:r>
      <w:r w:rsidRPr="009F36E0">
        <w:rPr>
          <w:rFonts w:ascii="Narkisim" w:hAnsi="Narkisim"/>
          <w:b/>
          <w:bCs/>
          <w:rtl/>
        </w:rPr>
        <w:t>רשב"א</w:t>
      </w:r>
      <w:r w:rsidRPr="009F36E0">
        <w:rPr>
          <w:rFonts w:ascii="Narkisim" w:hAnsi="Narkisim"/>
          <w:rtl/>
        </w:rPr>
        <w:t xml:space="preserve"> (לקמן מא.) מבואר דאילו זיקה ככנוסה לא תפסי קידושין באחותה</w:t>
      </w:r>
      <w:r w:rsidRPr="009F36E0">
        <w:rPr>
          <w:rFonts w:ascii="Narkisim" w:hAnsi="Narkisim"/>
        </w:rPr>
        <w:t>.</w:t>
      </w:r>
    </w:p>
    <w:p w14:paraId="4C608EE5"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דמבואר (לקמן יט.) למ"ד זיקה ככנוסה פוטרת צרתה</w:t>
      </w:r>
      <w:r w:rsidRPr="009F36E0">
        <w:rPr>
          <w:rFonts w:ascii="Narkisim" w:hAnsi="Narkisim"/>
          <w:sz w:val="20"/>
          <w:szCs w:val="20"/>
          <w:rtl/>
        </w:rPr>
        <w:t xml:space="preserve"> [אשתו של היבם שהוזקקה לו]</w:t>
      </w:r>
      <w:r w:rsidRPr="009F36E0">
        <w:rPr>
          <w:rFonts w:ascii="Narkisim" w:hAnsi="Narkisim"/>
          <w:rtl/>
        </w:rPr>
        <w:t>, ומבואר דהוה בגדר פטור ערוה, ופוטרת צרתה. ומ"ש [לדעת הרי"ד] דקידושין תפסי באחותה, ונחשב ערוה לפטור צרה</w:t>
      </w:r>
      <w:r w:rsidRPr="009F36E0">
        <w:rPr>
          <w:rFonts w:ascii="Narkisim" w:hAnsi="Narkisim"/>
          <w:sz w:val="20"/>
          <w:szCs w:val="20"/>
          <w:rtl/>
        </w:rPr>
        <w:t>. וצ"ל דסוף סוף נופלת ליבום, ומש"ה יש פטור לענין יבום</w:t>
      </w:r>
      <w:r w:rsidRPr="009F36E0">
        <w:rPr>
          <w:rStyle w:val="ac"/>
          <w:rFonts w:ascii="Narkisim" w:hAnsi="Narkisim"/>
          <w:sz w:val="20"/>
          <w:szCs w:val="20"/>
          <w:rtl/>
        </w:rPr>
        <w:footnoteReference w:id="1123"/>
      </w:r>
      <w:r w:rsidRPr="009F36E0">
        <w:rPr>
          <w:rFonts w:ascii="Narkisim" w:hAnsi="Narkisim"/>
          <w:sz w:val="20"/>
          <w:szCs w:val="20"/>
        </w:rPr>
        <w:t>.</w:t>
      </w:r>
    </w:p>
    <w:p w14:paraId="2F56CEBE" w14:textId="77777777" w:rsidR="006074A5" w:rsidRPr="009F36E0" w:rsidRDefault="006074A5" w:rsidP="006074A5">
      <w:pPr>
        <w:bidi/>
        <w:rPr>
          <w:rFonts w:ascii="Narkisim" w:hAnsi="Narkisim" w:cs="Narkisim"/>
        </w:rPr>
      </w:pPr>
      <w:r w:rsidRPr="009F36E0">
        <w:rPr>
          <w:rFonts w:ascii="Narkisim" w:hAnsi="Narkisim" w:cs="Narkisim"/>
          <w:u w:val="single"/>
          <w:rtl/>
        </w:rPr>
        <w:t>שם</w:t>
      </w:r>
      <w:r w:rsidRPr="009F36E0">
        <w:rPr>
          <w:rFonts w:ascii="Narkisim" w:hAnsi="Narkisim" w:cs="Narkisim"/>
          <w:rtl/>
        </w:rPr>
        <w:t>. ה</w:t>
      </w:r>
      <w:r w:rsidRPr="009F36E0">
        <w:rPr>
          <w:rFonts w:ascii="Narkisim" w:hAnsi="Narkisim" w:cs="Narkisim"/>
          <w:b/>
          <w:bCs/>
          <w:rtl/>
        </w:rPr>
        <w:t>אמר"מ</w:t>
      </w:r>
      <w:r w:rsidRPr="009F36E0">
        <w:rPr>
          <w:rFonts w:ascii="Narkisim" w:hAnsi="Narkisim" w:cs="Narkisim"/>
          <w:rtl/>
        </w:rPr>
        <w:t xml:space="preserve"> (ח י) הק' מה מהני זיקה ככנוסה, הא עדיין לא קיים מצוות יבום, וא"כ כשמת היבם עדיין זקוקה מחמת הראשון</w:t>
      </w:r>
      <w:r w:rsidRPr="009F36E0">
        <w:rPr>
          <w:rStyle w:val="ac"/>
          <w:rFonts w:ascii="Narkisim" w:hAnsi="Narkisim" w:cs="Narkisim"/>
          <w:rtl/>
        </w:rPr>
        <w:footnoteReference w:id="1124"/>
      </w:r>
      <w:r w:rsidRPr="009F36E0">
        <w:rPr>
          <w:rFonts w:ascii="Narkisim" w:hAnsi="Narkisim" w:cs="Narkisim"/>
        </w:rPr>
        <w:t xml:space="preserve">. </w:t>
      </w:r>
      <w:r w:rsidRPr="009F36E0">
        <w:rPr>
          <w:rFonts w:ascii="Narkisim" w:hAnsi="Narkisim" w:cs="Narkisim"/>
          <w:rtl/>
        </w:rPr>
        <w:t xml:space="preserve">ועוד דהוה אשת ב' אחים. </w:t>
      </w:r>
      <w:r w:rsidRPr="009F36E0">
        <w:rPr>
          <w:rFonts w:ascii="Narkisim" w:hAnsi="Narkisim" w:cs="Narkisim"/>
          <w:sz w:val="20"/>
          <w:szCs w:val="20"/>
          <w:rtl/>
        </w:rPr>
        <w:t>והביא דהגר"ח (סטנסל לקמן כט. גבי בי"ש) חידש דאמרי' כיון דהוה אשתו של שני, ממילא נפקע אישות הראשון, דדין ערוה מחמת שני מפקיע אישות הראשון</w:t>
      </w:r>
      <w:r w:rsidRPr="009F36E0">
        <w:rPr>
          <w:rFonts w:ascii="Narkisim" w:hAnsi="Narkisim" w:cs="Narkisim"/>
          <w:sz w:val="20"/>
          <w:szCs w:val="20"/>
        </w:rPr>
        <w:t>.</w:t>
      </w:r>
    </w:p>
    <w:p w14:paraId="304629EA"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אחרונים</w:t>
      </w:r>
      <w:r w:rsidRPr="009F36E0">
        <w:rPr>
          <w:rFonts w:ascii="Narkisim" w:hAnsi="Narkisim"/>
          <w:rtl/>
        </w:rPr>
        <w:t xml:space="preserve"> ביארו דגדר זיקה ככנוסה שהמשך אישות המת עובר ליבם. ונחשב אישות א' שצריך הקמת שם, ולא ב' אישות</w:t>
      </w:r>
      <w:r w:rsidRPr="009F36E0">
        <w:rPr>
          <w:rStyle w:val="ac"/>
          <w:rFonts w:ascii="Narkisim" w:hAnsi="Narkisim"/>
          <w:rtl/>
        </w:rPr>
        <w:footnoteReference w:id="1125"/>
      </w:r>
      <w:r w:rsidRPr="009F36E0">
        <w:rPr>
          <w:rFonts w:ascii="Narkisim" w:hAnsi="Narkisim"/>
        </w:rPr>
        <w:t xml:space="preserve">. </w:t>
      </w:r>
      <w:r w:rsidRPr="009F36E0">
        <w:rPr>
          <w:rFonts w:ascii="Narkisim" w:hAnsi="Narkisim"/>
          <w:sz w:val="20"/>
          <w:szCs w:val="20"/>
          <w:rtl/>
        </w:rPr>
        <w:t>[וה</w:t>
      </w:r>
      <w:r w:rsidRPr="009F36E0">
        <w:rPr>
          <w:rFonts w:ascii="Narkisim" w:hAnsi="Narkisim"/>
          <w:b/>
          <w:bCs/>
          <w:sz w:val="20"/>
          <w:szCs w:val="20"/>
          <w:rtl/>
        </w:rPr>
        <w:t>חזו"א</w:t>
      </w:r>
      <w:r w:rsidRPr="009F36E0">
        <w:rPr>
          <w:rFonts w:ascii="Narkisim" w:hAnsi="Narkisim"/>
          <w:sz w:val="20"/>
          <w:szCs w:val="20"/>
          <w:rtl/>
        </w:rPr>
        <w:t xml:space="preserve"> ביאר דמש"ה לא נחשב אשת ב' מתים. ולא דמי למאמר דהוה אישות מחודשת כלפי היבם]</w:t>
      </w:r>
      <w:r w:rsidRPr="009F36E0">
        <w:rPr>
          <w:rFonts w:ascii="Narkisim" w:hAnsi="Narkisim"/>
          <w:sz w:val="20"/>
          <w:szCs w:val="20"/>
        </w:rPr>
        <w:t>.</w:t>
      </w:r>
    </w:p>
    <w:p w14:paraId="0EC2B626" w14:textId="77777777" w:rsidR="006074A5" w:rsidRPr="009F36E0" w:rsidRDefault="006074A5" w:rsidP="006074A5">
      <w:pPr>
        <w:pStyle w:val="aa"/>
        <w:bidi/>
        <w:rPr>
          <w:rFonts w:ascii="Narkisim" w:hAnsi="Narkisim"/>
        </w:rPr>
      </w:pPr>
      <w:r w:rsidRPr="009F36E0">
        <w:rPr>
          <w:rFonts w:ascii="Narkisim" w:hAnsi="Narkisim"/>
          <w:u w:val="single"/>
          <w:rtl/>
        </w:rPr>
        <w:t>רש"י ד"ה בהיתירא אשכחה.</w:t>
      </w:r>
      <w:r w:rsidRPr="009F36E0">
        <w:rPr>
          <w:rFonts w:ascii="Narkisim" w:hAnsi="Narkisim"/>
          <w:rtl/>
        </w:rPr>
        <w:t xml:space="preserve"> שלא נאסרה עליו שעה א' שלא נזקקה מכח ראשון כלום. משמע דלרבנן אשת אחיו שלא היה בעולמו הוא משום שנאסרה בשעת נפילה. וכ"מ </w:t>
      </w:r>
      <w:r w:rsidRPr="009F36E0">
        <w:rPr>
          <w:rFonts w:ascii="Narkisim" w:hAnsi="Narkisim"/>
          <w:b/>
          <w:bCs/>
          <w:rtl/>
        </w:rPr>
        <w:t>רש"י</w:t>
      </w:r>
      <w:r w:rsidRPr="009F36E0">
        <w:rPr>
          <w:rFonts w:ascii="Narkisim" w:hAnsi="Narkisim"/>
          <w:rtl/>
        </w:rPr>
        <w:t xml:space="preserve"> (לעיל ב:). [ועי' בסוף הסוגיא כ.]</w:t>
      </w:r>
      <w:r w:rsidRPr="009F36E0">
        <w:rPr>
          <w:rFonts w:ascii="Narkisim" w:hAnsi="Narkisim"/>
        </w:rPr>
        <w:t>.</w:t>
      </w:r>
    </w:p>
    <w:p w14:paraId="5ED295DC" w14:textId="77777777" w:rsidR="006074A5" w:rsidRPr="009F36E0" w:rsidRDefault="006074A5" w:rsidP="006074A5">
      <w:pPr>
        <w:bidi/>
        <w:rPr>
          <w:rFonts w:ascii="Narkisim" w:hAnsi="Narkisim" w:cs="Narkisim"/>
        </w:rPr>
      </w:pPr>
      <w:r w:rsidRPr="009F36E0">
        <w:rPr>
          <w:rFonts w:ascii="Narkisim" w:hAnsi="Narkisim" w:cs="Narkisim"/>
          <w:u w:val="single"/>
          <w:rtl/>
        </w:rPr>
        <w:t>רש"י ד"ה יש זיקה.</w:t>
      </w:r>
      <w:r w:rsidRPr="009F36E0">
        <w:rPr>
          <w:rFonts w:ascii="Narkisim" w:hAnsi="Narkisim" w:cs="Narkisim"/>
          <w:rtl/>
        </w:rPr>
        <w:t xml:space="preserve"> אלימא ההיא זיקה לשוויא ככנוסה והו"ל כיבם ולבסוף נולד. ומשמע דהוה בכלל ההיתר דבא ומצאה בהיתר. </w:t>
      </w:r>
      <w:r w:rsidRPr="009F36E0">
        <w:rPr>
          <w:rFonts w:ascii="Narkisim" w:hAnsi="Narkisim" w:cs="Narkisim"/>
          <w:sz w:val="20"/>
          <w:szCs w:val="20"/>
          <w:rtl/>
        </w:rPr>
        <w:t>[ועי' לקמן כ. הגדר בזה]</w:t>
      </w:r>
      <w:r w:rsidRPr="009F36E0">
        <w:rPr>
          <w:rFonts w:ascii="Narkisim" w:hAnsi="Narkisim" w:cs="Narkisim"/>
          <w:rtl/>
        </w:rPr>
        <w:t>. וכ"כ ה</w:t>
      </w:r>
      <w:r w:rsidRPr="009F36E0">
        <w:rPr>
          <w:rFonts w:ascii="Narkisim" w:hAnsi="Narkisim" w:cs="Narkisim"/>
          <w:b/>
          <w:bCs/>
          <w:rtl/>
        </w:rPr>
        <w:t xml:space="preserve">תוס' </w:t>
      </w:r>
      <w:r w:rsidRPr="009F36E0">
        <w:rPr>
          <w:rFonts w:ascii="Narkisim" w:hAnsi="Narkisim" w:cs="Narkisim"/>
          <w:rtl/>
        </w:rPr>
        <w:t>ה</w:t>
      </w:r>
      <w:r w:rsidRPr="009F36E0">
        <w:rPr>
          <w:rFonts w:ascii="Narkisim" w:hAnsi="Narkisim" w:cs="Narkisim"/>
          <w:b/>
          <w:bCs/>
          <w:rtl/>
        </w:rPr>
        <w:t>רא"ש</w:t>
      </w:r>
      <w:r w:rsidRPr="009F36E0">
        <w:rPr>
          <w:rFonts w:ascii="Narkisim" w:hAnsi="Narkisim" w:cs="Narkisim"/>
          <w:rtl/>
        </w:rPr>
        <w:t xml:space="preserve"> (שם). ואף לר' אושעיא הטעם לר' שמעון משום דמצאה בהיתר, דהוה כבר ככנוסה אצל היבם</w:t>
      </w:r>
      <w:r w:rsidRPr="009F36E0">
        <w:rPr>
          <w:rFonts w:ascii="Narkisim" w:hAnsi="Narkisim" w:cs="Narkisim"/>
        </w:rPr>
        <w:t>.</w:t>
      </w:r>
    </w:p>
    <w:p w14:paraId="4FCC12C1"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רשב"א</w:t>
      </w:r>
      <w:r w:rsidRPr="009F36E0">
        <w:rPr>
          <w:rFonts w:ascii="Narkisim" w:hAnsi="Narkisim"/>
          <w:sz w:val="20"/>
          <w:szCs w:val="20"/>
          <w:rtl/>
        </w:rPr>
        <w:t xml:space="preserve"> (ושא"ר יט:)</w:t>
      </w:r>
      <w:r w:rsidRPr="009F36E0">
        <w:rPr>
          <w:rFonts w:ascii="Narkisim" w:hAnsi="Narkisim"/>
          <w:rtl/>
        </w:rPr>
        <w:t xml:space="preserve"> נקט דהברייתא דסברת ר' שמעון משום דבא ומצאה בהיתר הוא דלא כר' אושעיא. [ולר' אושעיא לא הוה משום מצאה בהיתר].</w:t>
      </w:r>
      <w:r w:rsidRPr="009F36E0">
        <w:rPr>
          <w:rFonts w:ascii="Narkisim" w:hAnsi="Narkisim"/>
          <w:sz w:val="20"/>
          <w:szCs w:val="20"/>
          <w:rtl/>
        </w:rPr>
        <w:t xml:space="preserve"> ובפשוטו משמע דאף לר' אושעיא גדר 'ככנוסה' לא נחשב מצאה בהיתר</w:t>
      </w:r>
      <w:r w:rsidRPr="009F36E0">
        <w:rPr>
          <w:rStyle w:val="ac"/>
          <w:rFonts w:ascii="Narkisim" w:hAnsi="Narkisim"/>
          <w:sz w:val="20"/>
          <w:szCs w:val="20"/>
          <w:rtl/>
        </w:rPr>
        <w:footnoteReference w:id="1126"/>
      </w:r>
      <w:r w:rsidRPr="009F36E0">
        <w:rPr>
          <w:rFonts w:ascii="Narkisim" w:hAnsi="Narkisim"/>
          <w:sz w:val="20"/>
          <w:szCs w:val="20"/>
        </w:rPr>
        <w:t xml:space="preserve"> </w:t>
      </w:r>
      <w:r w:rsidRPr="009F36E0">
        <w:rPr>
          <w:rFonts w:ascii="Narkisim" w:hAnsi="Narkisim"/>
          <w:sz w:val="20"/>
          <w:szCs w:val="20"/>
          <w:rtl/>
        </w:rPr>
        <w:t>[דעדיין לא נתייבמה]. וס"ל דלר"ש אפי' הכי מותר, כיון דדין יבום שלו בא מכח השני [אף בלא טעם שמצאה בהיתר]. אך י"ל דקו' ה</w:t>
      </w:r>
      <w:r w:rsidRPr="009F36E0">
        <w:rPr>
          <w:rFonts w:ascii="Narkisim" w:hAnsi="Narkisim"/>
          <w:b/>
          <w:bCs/>
          <w:sz w:val="20"/>
          <w:szCs w:val="20"/>
          <w:rtl/>
        </w:rPr>
        <w:t>ראשונים</w:t>
      </w:r>
      <w:r w:rsidRPr="009F36E0">
        <w:rPr>
          <w:rFonts w:ascii="Narkisim" w:hAnsi="Narkisim"/>
          <w:sz w:val="20"/>
          <w:szCs w:val="20"/>
          <w:rtl/>
        </w:rPr>
        <w:t xml:space="preserve"> רק מלשון הברייתא, דדייקי דדוקא מצאה בהיתר, לאפוקי שעדיין אסורה מדין יבמה. ולעולם הוה מדין גדר מצאה בהיתר</w:t>
      </w:r>
      <w:r w:rsidRPr="009F36E0">
        <w:rPr>
          <w:rFonts w:ascii="Narkisim" w:hAnsi="Narkisim"/>
          <w:sz w:val="20"/>
          <w:szCs w:val="20"/>
        </w:rPr>
        <w:t>.</w:t>
      </w:r>
    </w:p>
    <w:p w14:paraId="62F85D4A" w14:textId="77777777" w:rsidR="006074A5" w:rsidRPr="009F36E0" w:rsidRDefault="006074A5" w:rsidP="006074A5">
      <w:pPr>
        <w:bidi/>
        <w:rPr>
          <w:rFonts w:ascii="Narkisim" w:hAnsi="Narkisim" w:cs="Narkisim"/>
        </w:rPr>
      </w:pPr>
      <w:r w:rsidRPr="009F36E0">
        <w:rPr>
          <w:rFonts w:ascii="Narkisim" w:hAnsi="Narkisim" w:cs="Narkisim"/>
          <w:u w:val="single"/>
          <w:rtl/>
        </w:rPr>
        <w:t>[לעיל] א"נ בתרי ולא ייבם ולא מית</w:t>
      </w:r>
      <w:r w:rsidRPr="009F36E0">
        <w:rPr>
          <w:rFonts w:ascii="Narkisim" w:hAnsi="Narkisim" w:cs="Narkisim"/>
          <w:rtl/>
        </w:rPr>
        <w:t>. מבואר בגמ' דאילו מת היבם [אף דלא כנס] אמרי' זיקה ככנוסה. וכן פ</w:t>
      </w:r>
      <w:r w:rsidRPr="009F36E0">
        <w:rPr>
          <w:rFonts w:ascii="Narkisim" w:hAnsi="Narkisim" w:cs="Narkisim"/>
          <w:b/>
          <w:bCs/>
          <w:rtl/>
        </w:rPr>
        <w:t>רש"י</w:t>
      </w:r>
      <w:r w:rsidRPr="009F36E0">
        <w:rPr>
          <w:rFonts w:ascii="Narkisim" w:hAnsi="Narkisim" w:cs="Narkisim"/>
          <w:rtl/>
        </w:rPr>
        <w:t xml:space="preserve"> דאי נמי לא יבמה שני, הואיל והוזקקה לו הוה ככנוסה [כדמבואר בגמ' בסמוך], וכשמת מותרת לשלישי [שלא בא לעולם]</w:t>
      </w:r>
      <w:r w:rsidRPr="009F36E0">
        <w:rPr>
          <w:rFonts w:ascii="Narkisim" w:hAnsi="Narkisim" w:cs="Narkisim"/>
        </w:rPr>
        <w:t>.</w:t>
      </w:r>
    </w:p>
    <w:p w14:paraId="6D1FBE4A" w14:textId="77777777" w:rsidR="006074A5" w:rsidRPr="009F36E0" w:rsidRDefault="006074A5" w:rsidP="006074A5">
      <w:pPr>
        <w:pStyle w:val="a7"/>
        <w:bidi/>
        <w:rPr>
          <w:rFonts w:ascii="Narkisim" w:hAnsi="Narkisim"/>
        </w:rPr>
      </w:pPr>
      <w:r w:rsidRPr="009F36E0">
        <w:rPr>
          <w:rFonts w:ascii="Narkisim" w:hAnsi="Narkisim"/>
          <w:rtl/>
        </w:rPr>
        <w:t>ומבואר דהשלישי מייבם מחמת אישות של שני, דאישות הזיקה זוקק ליבום. [ועי"ז נחשב כייבם ואח"כ נולד]</w:t>
      </w:r>
      <w:r w:rsidRPr="009F36E0">
        <w:rPr>
          <w:rFonts w:ascii="Narkisim" w:hAnsi="Narkisim"/>
        </w:rPr>
        <w:t>.</w:t>
      </w:r>
    </w:p>
    <w:p w14:paraId="75D417FD" w14:textId="77777777" w:rsidR="006074A5" w:rsidRPr="009F36E0" w:rsidRDefault="006074A5" w:rsidP="006074A5">
      <w:pPr>
        <w:bidi/>
        <w:rPr>
          <w:rFonts w:ascii="Narkisim" w:hAnsi="Narkisim" w:cs="Narkisim"/>
        </w:rPr>
      </w:pPr>
      <w:r w:rsidRPr="009F36E0">
        <w:rPr>
          <w:rFonts w:ascii="Narkisim" w:hAnsi="Narkisim" w:cs="Narkisim"/>
          <w:u w:val="single"/>
          <w:rtl/>
        </w:rPr>
        <w:t>מתקיף לה רב יוסף השתא זיקה ומאמר וכו' זיקה לחודיה מיבעי.</w:t>
      </w:r>
      <w:r w:rsidRPr="009F36E0">
        <w:rPr>
          <w:rFonts w:ascii="Narkisim" w:hAnsi="Narkisim" w:cs="Narkisim"/>
          <w:rtl/>
        </w:rPr>
        <w:t xml:space="preserve"> דס"ד דאף כשנופלת לב' יבמין אמרי' זיקה ככנוסה. ומש"ה כשמת יבם א' יחשב ייבום אף על אישות דידיה</w:t>
      </w:r>
      <w:r w:rsidRPr="009F36E0">
        <w:rPr>
          <w:rFonts w:ascii="Narkisim" w:hAnsi="Narkisim" w:cs="Narkisim"/>
        </w:rPr>
        <w:t>.</w:t>
      </w:r>
    </w:p>
    <w:p w14:paraId="64A92F88"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רשב"א</w:t>
      </w:r>
      <w:r w:rsidRPr="009F36E0">
        <w:rPr>
          <w:rFonts w:ascii="Narkisim" w:hAnsi="Narkisim"/>
          <w:rtl/>
        </w:rPr>
        <w:t xml:space="preserve"> הק' כשנופלת בפני ב' יבמין אי נימא דהוה זיקה ככנוסה לזה, א"כ האיך רשאי היבם השני לייבם. הא הוה אשת אחיו בחייו. ותי' דכך הדין [לר' שמעון] דאף דזיקה ככנוסה דמיא לכל האחין, אם קדם א' וזכה בה בפני אחיו פקעה זיקה משאר היבמין. [דהא </w:t>
      </w:r>
      <w:r w:rsidRPr="009F36E0">
        <w:rPr>
          <w:rFonts w:ascii="Narkisim" w:hAnsi="Narkisim"/>
          <w:rtl/>
        </w:rPr>
        <w:lastRenderedPageBreak/>
        <w:t>היתה זקוקה לשניהם</w:t>
      </w:r>
      <w:r w:rsidRPr="009F36E0">
        <w:rPr>
          <w:rStyle w:val="ac"/>
          <w:rFonts w:ascii="Narkisim" w:hAnsi="Narkisim"/>
          <w:rtl/>
        </w:rPr>
        <w:footnoteReference w:id="1127"/>
      </w:r>
      <w:r w:rsidRPr="009F36E0">
        <w:rPr>
          <w:rFonts w:ascii="Narkisim" w:hAnsi="Narkisim"/>
        </w:rPr>
        <w:t xml:space="preserve">. </w:t>
      </w:r>
      <w:r w:rsidRPr="009F36E0">
        <w:rPr>
          <w:rFonts w:ascii="Narkisim" w:hAnsi="Narkisim"/>
          <w:rtl/>
        </w:rPr>
        <w:t>אבל כשמת היבם הרי היא כאילו כנוסה תחתיו משעת נפילה [שאלו היה חי שמא היה מיבם]. ודוקא כי קיימי תרוייהו מהני להפקיע</w:t>
      </w:r>
      <w:r w:rsidRPr="009F36E0">
        <w:rPr>
          <w:rFonts w:ascii="Narkisim" w:hAnsi="Narkisim"/>
        </w:rPr>
        <w:t>.</w:t>
      </w:r>
    </w:p>
    <w:p w14:paraId="49916087"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הוסיף דזיקה מיתלא תליא וקיימא. וכיון דמת הויא ככנוסה לו, ואין יבום אחיו מפקיע זיקתו כיון דמת כבר</w:t>
      </w:r>
      <w:r w:rsidRPr="009F36E0">
        <w:rPr>
          <w:rFonts w:ascii="Narkisim" w:hAnsi="Narkisim"/>
        </w:rPr>
        <w:t>.</w:t>
      </w:r>
    </w:p>
    <w:p w14:paraId="6930F900"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אחרונים</w:t>
      </w:r>
      <w:r w:rsidRPr="009F36E0">
        <w:rPr>
          <w:rFonts w:ascii="Narkisim" w:hAnsi="Narkisim" w:cs="Narkisim"/>
          <w:rtl/>
        </w:rPr>
        <w:t xml:space="preserve"> חקרו בגדר זיקה ככנוסה לב' יבמין, האם הוה ספק למי זיקה ככנוסה</w:t>
      </w:r>
      <w:r w:rsidRPr="009F36E0">
        <w:rPr>
          <w:rStyle w:val="ac"/>
          <w:rFonts w:ascii="Narkisim" w:hAnsi="Narkisim" w:cs="Narkisim"/>
          <w:rtl/>
        </w:rPr>
        <w:footnoteReference w:id="1128"/>
      </w:r>
      <w:r w:rsidRPr="009F36E0">
        <w:rPr>
          <w:rFonts w:ascii="Narkisim" w:hAnsi="Narkisim" w:cs="Narkisim"/>
        </w:rPr>
        <w:t xml:space="preserve">, </w:t>
      </w:r>
      <w:r w:rsidRPr="009F36E0">
        <w:rPr>
          <w:rFonts w:ascii="Narkisim" w:hAnsi="Narkisim" w:cs="Narkisim"/>
          <w:rtl/>
        </w:rPr>
        <w:t xml:space="preserve">או דהוה ככנוסה לכל א' בפנ"ע [ואינו סותר זל"ז]. </w:t>
      </w:r>
      <w:r w:rsidRPr="009F36E0">
        <w:rPr>
          <w:rFonts w:ascii="Narkisim" w:hAnsi="Narkisim" w:cs="Narkisim"/>
          <w:sz w:val="20"/>
          <w:szCs w:val="20"/>
          <w:rtl/>
        </w:rPr>
        <w:t>[וכ"כ ה</w:t>
      </w:r>
      <w:r w:rsidRPr="009F36E0">
        <w:rPr>
          <w:rFonts w:ascii="Narkisim" w:hAnsi="Narkisim" w:cs="Narkisim"/>
          <w:b/>
          <w:bCs/>
          <w:sz w:val="20"/>
          <w:szCs w:val="20"/>
          <w:rtl/>
        </w:rPr>
        <w:t>חזו"א</w:t>
      </w:r>
      <w:r w:rsidRPr="009F36E0">
        <w:rPr>
          <w:rFonts w:ascii="Narkisim" w:hAnsi="Narkisim" w:cs="Narkisim"/>
          <w:sz w:val="20"/>
          <w:szCs w:val="20"/>
          <w:rtl/>
        </w:rPr>
        <w:t xml:space="preserve"> (קלא א) דמחיים הוה שותפות שניהם בזכות קנין הזיקה. וגדר השותפות דמחיים כל א' אינו אוסר ומעכב על אחיו. אבל כשמת מתחדש דין יבום</w:t>
      </w:r>
      <w:r w:rsidRPr="009F36E0">
        <w:rPr>
          <w:rStyle w:val="ac"/>
          <w:rFonts w:ascii="Narkisim" w:hAnsi="Narkisim" w:cs="Narkisim"/>
          <w:sz w:val="20"/>
          <w:szCs w:val="20"/>
          <w:rtl/>
        </w:rPr>
        <w:footnoteReference w:id="1129"/>
      </w:r>
      <w:r w:rsidRPr="009F36E0">
        <w:rPr>
          <w:rFonts w:ascii="Narkisim" w:hAnsi="Narkisim" w:cs="Narkisim"/>
          <w:sz w:val="20"/>
          <w:szCs w:val="20"/>
        </w:rPr>
        <w:t xml:space="preserve"> </w:t>
      </w:r>
      <w:r w:rsidRPr="009F36E0">
        <w:rPr>
          <w:rFonts w:ascii="Narkisim" w:hAnsi="Narkisim" w:cs="Narkisim"/>
          <w:sz w:val="20"/>
          <w:szCs w:val="20"/>
          <w:rtl/>
        </w:rPr>
        <w:t>אף על חלקו</w:t>
      </w:r>
      <w:r w:rsidRPr="009F36E0">
        <w:rPr>
          <w:rStyle w:val="ac"/>
          <w:rFonts w:ascii="Narkisim" w:hAnsi="Narkisim" w:cs="Narkisim"/>
          <w:sz w:val="20"/>
          <w:szCs w:val="20"/>
          <w:rtl/>
        </w:rPr>
        <w:footnoteReference w:id="1130"/>
      </w:r>
      <w:r w:rsidRPr="009F36E0">
        <w:rPr>
          <w:rFonts w:ascii="Narkisim" w:hAnsi="Narkisim" w:cs="Narkisim"/>
          <w:sz w:val="20"/>
          <w:szCs w:val="20"/>
          <w:rtl/>
        </w:rPr>
        <w:t>]</w:t>
      </w:r>
      <w:r w:rsidRPr="009F36E0">
        <w:rPr>
          <w:rFonts w:ascii="Narkisim" w:hAnsi="Narkisim" w:cs="Narkisim"/>
          <w:sz w:val="20"/>
          <w:szCs w:val="20"/>
        </w:rPr>
        <w:t>.</w:t>
      </w:r>
    </w:p>
    <w:p w14:paraId="16CD6CAA"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אמר"מ</w:t>
      </w:r>
      <w:r w:rsidRPr="009F36E0">
        <w:rPr>
          <w:rFonts w:ascii="Narkisim" w:hAnsi="Narkisim"/>
          <w:rtl/>
        </w:rPr>
        <w:t xml:space="preserve"> (ז כח) הביא [כצד הא'] מהראשונים (הנ"ל), דאמרי' דע"י היבום נתברר למפרע הזיקה ככנוסה</w:t>
      </w:r>
      <w:r w:rsidRPr="009F36E0">
        <w:rPr>
          <w:rStyle w:val="ac"/>
          <w:rFonts w:ascii="Narkisim" w:hAnsi="Narkisim"/>
          <w:rtl/>
        </w:rPr>
        <w:footnoteReference w:id="1131"/>
      </w:r>
      <w:r w:rsidRPr="009F36E0">
        <w:rPr>
          <w:rFonts w:ascii="Narkisim" w:hAnsi="Narkisim"/>
        </w:rPr>
        <w:t xml:space="preserve">. </w:t>
      </w:r>
      <w:r w:rsidRPr="009F36E0">
        <w:rPr>
          <w:rFonts w:ascii="Narkisim" w:hAnsi="Narkisim"/>
          <w:rtl/>
        </w:rPr>
        <w:t>וה</w:t>
      </w:r>
      <w:r w:rsidRPr="009F36E0">
        <w:rPr>
          <w:rFonts w:ascii="Narkisim" w:hAnsi="Narkisim"/>
          <w:b/>
          <w:bCs/>
          <w:rtl/>
        </w:rPr>
        <w:t xml:space="preserve">או”ש </w:t>
      </w:r>
      <w:r w:rsidRPr="009F36E0">
        <w:rPr>
          <w:rFonts w:ascii="Narkisim" w:hAnsi="Narkisim"/>
          <w:rtl/>
        </w:rPr>
        <w:t>(קו' זיקה ב) תמה בזה אמאי אמרי' כיון שמת שנתברר דאילו היה חי היה מייבם</w:t>
      </w:r>
      <w:r w:rsidRPr="009F36E0">
        <w:rPr>
          <w:rFonts w:ascii="Narkisim" w:hAnsi="Narkisim"/>
        </w:rPr>
        <w:t>.</w:t>
      </w:r>
    </w:p>
    <w:p w14:paraId="61CE6C4E"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רמב"ן</w:t>
      </w:r>
      <w:r w:rsidRPr="009F36E0">
        <w:rPr>
          <w:rFonts w:ascii="Narkisim" w:hAnsi="Narkisim" w:cs="Narkisim"/>
          <w:rtl/>
        </w:rPr>
        <w:t xml:space="preserve"> ביאר דגבי אשת אחיו שלא היה בעולמו [בלא ייבם ולא מת</w:t>
      </w:r>
      <w:r w:rsidRPr="009F36E0">
        <w:rPr>
          <w:rStyle w:val="ac"/>
          <w:rFonts w:ascii="Narkisim" w:hAnsi="Narkisim" w:cs="Narkisim"/>
          <w:rtl/>
        </w:rPr>
        <w:footnoteReference w:id="1132"/>
      </w:r>
      <w:r w:rsidRPr="009F36E0">
        <w:rPr>
          <w:rFonts w:ascii="Narkisim" w:hAnsi="Narkisim" w:cs="Narkisim"/>
          <w:rtl/>
        </w:rPr>
        <w:t>] לא מהני סברת זיקה ככנוסה בעודו חי [דל"ש יבום מחיים</w:t>
      </w:r>
      <w:r w:rsidRPr="009F36E0">
        <w:rPr>
          <w:rStyle w:val="ac"/>
          <w:rFonts w:ascii="Narkisim" w:hAnsi="Narkisim" w:cs="Narkisim"/>
          <w:rtl/>
        </w:rPr>
        <w:footnoteReference w:id="1133"/>
      </w:r>
      <w:r w:rsidRPr="009F36E0">
        <w:rPr>
          <w:rFonts w:ascii="Narkisim" w:hAnsi="Narkisim" w:cs="Narkisim"/>
          <w:rtl/>
        </w:rPr>
        <w:t>], שאם בא זה ליבם, ע"כ מייבם מכח אחיו המת [שלא היה בעולמו]</w:t>
      </w:r>
      <w:r w:rsidRPr="009F36E0">
        <w:rPr>
          <w:rStyle w:val="ac"/>
          <w:rFonts w:ascii="Narkisim" w:hAnsi="Narkisim" w:cs="Narkisim"/>
          <w:rtl/>
        </w:rPr>
        <w:footnoteReference w:id="1134"/>
      </w:r>
      <w:r w:rsidRPr="009F36E0">
        <w:rPr>
          <w:rFonts w:ascii="Narkisim" w:hAnsi="Narkisim" w:cs="Narkisim"/>
        </w:rPr>
        <w:t>.</w:t>
      </w:r>
    </w:p>
    <w:p w14:paraId="471DCF2B" w14:textId="77777777" w:rsidR="006074A5" w:rsidRPr="009F36E0" w:rsidRDefault="006074A5" w:rsidP="006074A5">
      <w:pPr>
        <w:pStyle w:val="a8"/>
        <w:bidi/>
        <w:rPr>
          <w:rFonts w:ascii="Narkisim" w:hAnsi="Narkisim"/>
        </w:rPr>
      </w:pPr>
      <w:r w:rsidRPr="009F36E0">
        <w:rPr>
          <w:rFonts w:ascii="Narkisim" w:hAnsi="Narkisim"/>
          <w:rtl/>
        </w:rPr>
        <w:t>והרמב"ן העלה צד דסברת זיקה ככנוסה [בב' אחים] איירי דוקא לגדול אחי, דמצווה בגדול (כדתנן לקמן לט.), ולדידיה קיימא ליבומי. ואם מת מכחו היא מתיבמת</w:t>
      </w:r>
      <w:r w:rsidRPr="009F36E0">
        <w:rPr>
          <w:rFonts w:ascii="Narkisim" w:hAnsi="Narkisim"/>
        </w:rPr>
        <w:t>.</w:t>
      </w:r>
    </w:p>
    <w:p w14:paraId="5DA16E80"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רמב"ן</w:t>
      </w:r>
      <w:r w:rsidRPr="009F36E0">
        <w:rPr>
          <w:rFonts w:ascii="Narkisim" w:hAnsi="Narkisim" w:cs="Narkisim"/>
          <w:rtl/>
        </w:rPr>
        <w:t xml:space="preserve"> כתב שהיה אפשר לתרץ דרק אילו ייבם לבסוף אמרי' זיקה ככנוסה משעה ראשונה לר' שמעון, אבל אם לא כנס לא, </w:t>
      </w:r>
      <w:r w:rsidRPr="009F36E0">
        <w:rPr>
          <w:rFonts w:ascii="Narkisim" w:hAnsi="Narkisim" w:cs="Narkisim"/>
          <w:sz w:val="20"/>
          <w:szCs w:val="20"/>
          <w:rtl/>
        </w:rPr>
        <w:t>[ובזה מתורץ קושיית רב יוסף, דזיקה ומאמר בלא כניסה מספק"ל]</w:t>
      </w:r>
      <w:r w:rsidRPr="009F36E0">
        <w:rPr>
          <w:rFonts w:ascii="Narkisim" w:hAnsi="Narkisim" w:cs="Narkisim"/>
          <w:rtl/>
        </w:rPr>
        <w:t xml:space="preserve"> אלא דהגמ' ס"ל דהוה נולד ואח"כ ייבם, אם אינו כנוסה משעה ראשונה בלא ספק ותלייה, כיבמה שאין אני קורא לה בשעת נפילה יבמה יבא עליה, שהיא כאשת אח שיש לה בנים</w:t>
      </w:r>
      <w:r w:rsidRPr="009F36E0">
        <w:rPr>
          <w:rStyle w:val="ac"/>
          <w:rFonts w:ascii="Narkisim" w:hAnsi="Narkisim" w:cs="Narkisim"/>
          <w:rtl/>
        </w:rPr>
        <w:footnoteReference w:id="1135"/>
      </w:r>
      <w:r w:rsidRPr="009F36E0">
        <w:rPr>
          <w:rFonts w:ascii="Narkisim" w:hAnsi="Narkisim" w:cs="Narkisim"/>
        </w:rPr>
        <w:t>.</w:t>
      </w:r>
    </w:p>
    <w:p w14:paraId="15190217" w14:textId="77777777" w:rsidR="006074A5" w:rsidRPr="009F36E0" w:rsidRDefault="006074A5" w:rsidP="006074A5">
      <w:pPr>
        <w:bidi/>
        <w:rPr>
          <w:rFonts w:ascii="Narkisim" w:hAnsi="Narkisim" w:cs="Narkisim"/>
        </w:rPr>
      </w:pPr>
      <w:r w:rsidRPr="009F36E0">
        <w:rPr>
          <w:rFonts w:ascii="Narkisim" w:hAnsi="Narkisim" w:cs="Narkisim"/>
          <w:rtl/>
        </w:rPr>
        <w:t>אבל ה</w:t>
      </w:r>
      <w:r w:rsidRPr="009F36E0">
        <w:rPr>
          <w:rFonts w:ascii="Narkisim" w:hAnsi="Narkisim" w:cs="Narkisim"/>
          <w:b/>
          <w:bCs/>
          <w:rtl/>
        </w:rPr>
        <w:t xml:space="preserve">ריטב"א </w:t>
      </w:r>
      <w:r w:rsidRPr="009F36E0">
        <w:rPr>
          <w:rFonts w:ascii="Narkisim" w:hAnsi="Narkisim" w:cs="Narkisim"/>
          <w:rtl/>
        </w:rPr>
        <w:t>הביא בשם ה</w:t>
      </w:r>
      <w:r w:rsidRPr="009F36E0">
        <w:rPr>
          <w:rFonts w:ascii="Narkisim" w:hAnsi="Narkisim" w:cs="Narkisim"/>
          <w:b/>
          <w:bCs/>
          <w:rtl/>
        </w:rPr>
        <w:t>רא"ה</w:t>
      </w:r>
      <w:r w:rsidRPr="009F36E0">
        <w:rPr>
          <w:rFonts w:ascii="Narkisim" w:hAnsi="Narkisim" w:cs="Narkisim"/>
          <w:rtl/>
        </w:rPr>
        <w:t xml:space="preserve"> דרק בזיקה שיש עמה מאמר אמרי' דהובררה ונסתיימה לו, והוה ככנוסה גמורה. אבל זיקה שאין עמה מאמר פשיטא דלאו ככנוסה [בב' אחים]. וכ"כ ה</w:t>
      </w:r>
      <w:r w:rsidRPr="009F36E0">
        <w:rPr>
          <w:rFonts w:ascii="Narkisim" w:hAnsi="Narkisim" w:cs="Narkisim"/>
          <w:b/>
          <w:bCs/>
          <w:rtl/>
        </w:rPr>
        <w:t>או"ש</w:t>
      </w:r>
      <w:r w:rsidRPr="009F36E0">
        <w:rPr>
          <w:rFonts w:ascii="Narkisim" w:hAnsi="Narkisim" w:cs="Narkisim"/>
          <w:rtl/>
        </w:rPr>
        <w:t xml:space="preserve"> (קו' זיקה ג)</w:t>
      </w:r>
      <w:r w:rsidRPr="009F36E0">
        <w:rPr>
          <w:rFonts w:ascii="Narkisim" w:hAnsi="Narkisim" w:cs="Narkisim"/>
        </w:rPr>
        <w:t>.</w:t>
      </w:r>
    </w:p>
    <w:p w14:paraId="7B71DACF"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מאירי</w:t>
      </w:r>
      <w:r w:rsidRPr="009F36E0">
        <w:rPr>
          <w:rFonts w:ascii="Narkisim" w:hAnsi="Narkisim"/>
          <w:rtl/>
        </w:rPr>
        <w:t xml:space="preserve"> כת' בשם חכמי נרבונא דדוקא היכא דהאח מת קודם שיגדל האח הנולד, דאמרי' זיקה ככנוסה משום דאי הוה קאי השתא הוה כניס לה, ונמצא הנולד בא מכח זה שהיה בעולמו. אבל אילו הנולד גדל והשני עדיין לא מת ואינו רוצה ליבמה, כה"ג אין אומרין זיקה ככניסה. והנולד בא מחמת זיקתו של ראשון</w:t>
      </w:r>
      <w:r w:rsidRPr="009F36E0">
        <w:rPr>
          <w:rFonts w:ascii="Narkisim" w:hAnsi="Narkisim"/>
        </w:rPr>
        <w:t>.</w:t>
      </w:r>
    </w:p>
    <w:p w14:paraId="59E428B7" w14:textId="77777777" w:rsidR="006074A5" w:rsidRPr="009F36E0" w:rsidRDefault="006074A5" w:rsidP="006074A5">
      <w:pPr>
        <w:pStyle w:val="aa"/>
        <w:bidi/>
        <w:rPr>
          <w:rFonts w:ascii="Narkisim" w:hAnsi="Narkisim"/>
        </w:rPr>
      </w:pPr>
      <w:r w:rsidRPr="009F36E0">
        <w:rPr>
          <w:rFonts w:ascii="Narkisim" w:hAnsi="Narkisim"/>
          <w:u w:val="single"/>
          <w:rtl/>
        </w:rPr>
        <w:t>ועשה בה שני מאמר ומת וכו' ולא שעליה זיקת ב' יבמין וכו'</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דעכשיו יש כאן קצת זיקה מן הראשון, דכל זמן שלא נתייבמה לא פקע זיקתה מהשני. [סוגיית אשת ב' מתים יתבאר בעזה"י לקמן לא:]</w:t>
      </w:r>
      <w:r w:rsidRPr="009F36E0">
        <w:rPr>
          <w:rFonts w:ascii="Narkisim" w:hAnsi="Narkisim"/>
        </w:rPr>
        <w:t>.</w:t>
      </w:r>
    </w:p>
    <w:p w14:paraId="20FAD584" w14:textId="77777777" w:rsidR="006074A5" w:rsidRPr="009F36E0" w:rsidRDefault="006074A5" w:rsidP="006074A5">
      <w:pPr>
        <w:pStyle w:val="aa"/>
        <w:bidi/>
        <w:rPr>
          <w:rFonts w:ascii="Narkisim" w:hAnsi="Narkisim"/>
        </w:rPr>
      </w:pPr>
      <w:r w:rsidRPr="009F36E0">
        <w:rPr>
          <w:rFonts w:ascii="Narkisim" w:hAnsi="Narkisim"/>
          <w:u w:val="single"/>
          <w:rtl/>
        </w:rPr>
        <w:t>רש"י ד"ה מייבם</w:t>
      </w:r>
      <w:r w:rsidRPr="009F36E0">
        <w:rPr>
          <w:rFonts w:ascii="Narkisim" w:hAnsi="Narkisim"/>
          <w:rtl/>
        </w:rPr>
        <w:t>. דלית ליה הך דרשא דזיקת ב' יבמים, דאי מאמר קונה וכו'. מבואר ברש"י דכיון דלר"ש לא משכח"ל במאמר, מש"ה לא דרש הך דרשא. וצ"ב דאף לרבנן מאמר הוה מדרבנן [ומדאורייתא לא משכח"ל], והאיך דרשי לקרא להכי. ויתבאר לקמן</w:t>
      </w:r>
      <w:r w:rsidRPr="009F36E0">
        <w:rPr>
          <w:rFonts w:ascii="Narkisim" w:hAnsi="Narkisim"/>
        </w:rPr>
        <w:t>.</w:t>
      </w:r>
    </w:p>
    <w:p w14:paraId="51DDE50B" w14:textId="77777777" w:rsidR="006074A5" w:rsidRPr="009F36E0" w:rsidRDefault="006074A5" w:rsidP="006074A5">
      <w:pPr>
        <w:pStyle w:val="3"/>
        <w:bidi/>
        <w:rPr>
          <w:rFonts w:ascii="Narkisim" w:hAnsi="Narkisim"/>
        </w:rPr>
      </w:pPr>
      <w:r w:rsidRPr="009F36E0">
        <w:rPr>
          <w:rFonts w:ascii="Narkisim" w:hAnsi="Narkisim"/>
          <w:rtl/>
        </w:rPr>
        <w:t>דף יט</w:t>
      </w:r>
      <w:r w:rsidRPr="009F36E0">
        <w:rPr>
          <w:rFonts w:ascii="Narkisim" w:hAnsi="Narkisim"/>
        </w:rPr>
        <w:t>.</w:t>
      </w:r>
    </w:p>
    <w:p w14:paraId="48A8CAC3" w14:textId="77777777" w:rsidR="006074A5" w:rsidRPr="009F36E0" w:rsidRDefault="006074A5" w:rsidP="006074A5">
      <w:pPr>
        <w:pStyle w:val="aa"/>
        <w:bidi/>
        <w:rPr>
          <w:rFonts w:ascii="Narkisim" w:hAnsi="Narkisim"/>
        </w:rPr>
      </w:pPr>
      <w:r w:rsidRPr="009F36E0">
        <w:rPr>
          <w:rFonts w:ascii="Narkisim" w:hAnsi="Narkisim"/>
          <w:u w:val="single"/>
          <w:rtl/>
        </w:rPr>
        <w:t>יבומי חדא ואיפטור אידך וכו'</w:t>
      </w:r>
      <w:r w:rsidRPr="009F36E0">
        <w:rPr>
          <w:rFonts w:ascii="Narkisim" w:hAnsi="Narkisim"/>
          <w:rtl/>
        </w:rPr>
        <w:t>. מבואר דלצד דזיקה ככנוסה סגי לייבם א' מהם, ומשמע דאפי' כשמייבם אשתו של שני סגי. וה</w:t>
      </w:r>
      <w:r w:rsidRPr="009F36E0">
        <w:rPr>
          <w:rFonts w:ascii="Narkisim" w:hAnsi="Narkisim"/>
          <w:b/>
          <w:bCs/>
          <w:rtl/>
        </w:rPr>
        <w:t>אמר"מ</w:t>
      </w:r>
      <w:r w:rsidRPr="009F36E0">
        <w:rPr>
          <w:rFonts w:ascii="Narkisim" w:hAnsi="Narkisim"/>
          <w:rtl/>
        </w:rPr>
        <w:t xml:space="preserve"> (ח ה) תמה האיך מהני, והא אין כאן יבום לאישות הראשון כלל</w:t>
      </w:r>
      <w:r w:rsidRPr="009F36E0">
        <w:rPr>
          <w:rStyle w:val="ac"/>
          <w:rFonts w:ascii="Narkisim" w:hAnsi="Narkisim"/>
          <w:rtl/>
        </w:rPr>
        <w:footnoteReference w:id="1136"/>
      </w:r>
      <w:r w:rsidRPr="009F36E0">
        <w:rPr>
          <w:rFonts w:ascii="Narkisim" w:hAnsi="Narkisim"/>
        </w:rPr>
        <w:t xml:space="preserve">. </w:t>
      </w:r>
      <w:r w:rsidRPr="009F36E0">
        <w:rPr>
          <w:rFonts w:ascii="Narkisim" w:hAnsi="Narkisim"/>
          <w:rtl/>
        </w:rPr>
        <w:t xml:space="preserve">ובפשוטו מבואר </w:t>
      </w:r>
      <w:r w:rsidRPr="009F36E0">
        <w:rPr>
          <w:rFonts w:ascii="Narkisim" w:hAnsi="Narkisim"/>
          <w:rtl/>
        </w:rPr>
        <w:lastRenderedPageBreak/>
        <w:t>דנחשב דהוה ב' צרות בבית א' ע"י זיקה ככנוסה, ומהני יבום הא' לכל הבית</w:t>
      </w:r>
      <w:r w:rsidRPr="009F36E0">
        <w:rPr>
          <w:rFonts w:ascii="Narkisim" w:hAnsi="Narkisim"/>
        </w:rPr>
        <w:t>.</w:t>
      </w:r>
    </w:p>
    <w:p w14:paraId="0E7766AC" w14:textId="77777777" w:rsidR="006074A5" w:rsidRPr="009F36E0" w:rsidRDefault="006074A5" w:rsidP="006074A5">
      <w:pPr>
        <w:pStyle w:val="aa"/>
        <w:bidi/>
        <w:rPr>
          <w:rFonts w:ascii="Narkisim" w:hAnsi="Narkisim"/>
        </w:rPr>
      </w:pPr>
      <w:r w:rsidRPr="009F36E0">
        <w:rPr>
          <w:rFonts w:ascii="Narkisim" w:hAnsi="Narkisim"/>
          <w:u w:val="single"/>
          <w:rtl/>
        </w:rPr>
        <w:t>תוד"ה שמא יאמרו ב' יבמות.</w:t>
      </w:r>
      <w:r w:rsidRPr="009F36E0">
        <w:rPr>
          <w:rFonts w:ascii="Narkisim" w:hAnsi="Narkisim"/>
          <w:rtl/>
        </w:rPr>
        <w:t xml:space="preserve"> פי' בקו' שנפלו בבת אחת כריה"ג. וה</w:t>
      </w:r>
      <w:r w:rsidRPr="009F36E0">
        <w:rPr>
          <w:rFonts w:ascii="Narkisim" w:hAnsi="Narkisim"/>
          <w:b/>
          <w:bCs/>
          <w:rtl/>
        </w:rPr>
        <w:t>רמב"ן</w:t>
      </w:r>
      <w:r w:rsidRPr="009F36E0">
        <w:rPr>
          <w:rFonts w:ascii="Narkisim" w:hAnsi="Narkisim"/>
          <w:rtl/>
        </w:rPr>
        <w:t xml:space="preserve"> הק' דהשתא לא ס"ד דקאי כריה"ג</w:t>
      </w:r>
      <w:r w:rsidRPr="009F36E0">
        <w:rPr>
          <w:rStyle w:val="ac"/>
          <w:rFonts w:ascii="Narkisim" w:hAnsi="Narkisim"/>
          <w:rtl/>
        </w:rPr>
        <w:footnoteReference w:id="1137"/>
      </w:r>
      <w:r w:rsidRPr="009F36E0">
        <w:rPr>
          <w:rFonts w:ascii="Narkisim" w:hAnsi="Narkisim"/>
        </w:rPr>
        <w:t xml:space="preserve">, </w:t>
      </w:r>
      <w:r w:rsidRPr="009F36E0">
        <w:rPr>
          <w:rFonts w:ascii="Narkisim" w:hAnsi="Narkisim"/>
          <w:rtl/>
        </w:rPr>
        <w:t>ועוד דבבת א' מילתא דלא שכיחא, ולא גזרינן. וה</w:t>
      </w:r>
      <w:r w:rsidRPr="009F36E0">
        <w:rPr>
          <w:rFonts w:ascii="Narkisim" w:hAnsi="Narkisim"/>
          <w:b/>
          <w:bCs/>
          <w:rtl/>
        </w:rPr>
        <w:t>רמב"ן</w:t>
      </w:r>
      <w:r w:rsidRPr="009F36E0">
        <w:rPr>
          <w:rFonts w:ascii="Narkisim" w:hAnsi="Narkisim"/>
          <w:rtl/>
        </w:rPr>
        <w:t xml:space="preserve"> תי' דהגזירה הוא אטו היכא שכנס א', ואח"כ נפלה שניה מאחיו הב</w:t>
      </w:r>
      <w:r w:rsidRPr="009F36E0">
        <w:rPr>
          <w:rFonts w:ascii="Narkisim" w:hAnsi="Narkisim"/>
        </w:rPr>
        <w:t>'</w:t>
      </w:r>
      <w:r w:rsidRPr="009F36E0">
        <w:rPr>
          <w:rStyle w:val="ac"/>
          <w:rFonts w:ascii="Narkisim" w:hAnsi="Narkisim"/>
        </w:rPr>
        <w:footnoteReference w:id="1138"/>
      </w:r>
      <w:r w:rsidRPr="009F36E0">
        <w:rPr>
          <w:rFonts w:ascii="Narkisim" w:hAnsi="Narkisim"/>
        </w:rPr>
        <w:t>.</w:t>
      </w:r>
    </w:p>
    <w:p w14:paraId="15AA8112" w14:textId="77777777" w:rsidR="006074A5" w:rsidRPr="009F36E0" w:rsidRDefault="006074A5" w:rsidP="006074A5">
      <w:pPr>
        <w:bidi/>
        <w:rPr>
          <w:rFonts w:ascii="Narkisim" w:hAnsi="Narkisim" w:cs="Narkisim"/>
        </w:rPr>
      </w:pPr>
      <w:r w:rsidRPr="009F36E0">
        <w:rPr>
          <w:rFonts w:ascii="Narkisim" w:hAnsi="Narkisim" w:cs="Narkisim"/>
          <w:u w:val="single"/>
          <w:rtl/>
        </w:rPr>
        <w:t>בא"ד ועי"ל כגון שהראשונה ערוה וכו'</w:t>
      </w:r>
      <w:r w:rsidRPr="009F36E0">
        <w:rPr>
          <w:rStyle w:val="ac"/>
          <w:rFonts w:ascii="Narkisim" w:hAnsi="Narkisim" w:cs="Narkisim"/>
          <w:rtl/>
        </w:rPr>
        <w:footnoteReference w:id="1139"/>
      </w:r>
      <w:r w:rsidRPr="009F36E0">
        <w:rPr>
          <w:rFonts w:ascii="Narkisim" w:hAnsi="Narkisim" w:cs="Narkisim"/>
          <w:rtl/>
        </w:rPr>
        <w:t>. ה</w:t>
      </w:r>
      <w:r w:rsidRPr="009F36E0">
        <w:rPr>
          <w:rFonts w:ascii="Narkisim" w:hAnsi="Narkisim" w:cs="Narkisim"/>
          <w:b/>
          <w:bCs/>
          <w:rtl/>
        </w:rPr>
        <w:t>אחרונים</w:t>
      </w:r>
      <w:r w:rsidRPr="009F36E0">
        <w:rPr>
          <w:rFonts w:ascii="Narkisim" w:hAnsi="Narkisim" w:cs="Narkisim"/>
          <w:rtl/>
        </w:rPr>
        <w:t xml:space="preserve"> דייקו דדוקא ערוה, ומשמע דאי הוה חייבי לאו ועשה אמרי' זיקה ככנוסה. אבל בפשוטו גדר זיקה ככנוסה הוא משום שעומד ליבום, ואילו חייבי לאו ועשה אף מדאורייתא עולה רק לחליצה (ע' לקמן כ.). וקשה דא”כ הו"ל לתוס' לנקוט כן</w:t>
      </w:r>
      <w:r w:rsidRPr="009F36E0">
        <w:rPr>
          <w:rFonts w:ascii="Narkisim" w:hAnsi="Narkisim" w:cs="Narkisim"/>
        </w:rPr>
        <w:t>.</w:t>
      </w:r>
    </w:p>
    <w:p w14:paraId="492645F0" w14:textId="77777777" w:rsidR="006074A5" w:rsidRPr="009F36E0" w:rsidRDefault="006074A5" w:rsidP="006074A5">
      <w:pPr>
        <w:pStyle w:val="a7"/>
        <w:bidi/>
        <w:rPr>
          <w:rFonts w:ascii="Narkisim" w:hAnsi="Narkisim"/>
        </w:rPr>
      </w:pPr>
      <w:r w:rsidRPr="009F36E0">
        <w:rPr>
          <w:rFonts w:ascii="Narkisim" w:hAnsi="Narkisim"/>
          <w:rtl/>
        </w:rPr>
        <w:t>ועוד דנו ה</w:t>
      </w:r>
      <w:r w:rsidRPr="009F36E0">
        <w:rPr>
          <w:rFonts w:ascii="Narkisim" w:hAnsi="Narkisim"/>
          <w:b/>
          <w:bCs/>
          <w:rtl/>
        </w:rPr>
        <w:t>אחרונים</w:t>
      </w:r>
      <w:r w:rsidRPr="009F36E0">
        <w:rPr>
          <w:rFonts w:ascii="Narkisim" w:hAnsi="Narkisim"/>
          <w:rtl/>
        </w:rPr>
        <w:t xml:space="preserve"> האם אמרי' זיקה ככנוסה בקטן, דה</w:t>
      </w:r>
      <w:r w:rsidRPr="009F36E0">
        <w:rPr>
          <w:rFonts w:ascii="Narkisim" w:hAnsi="Narkisim"/>
          <w:b/>
          <w:bCs/>
          <w:rtl/>
        </w:rPr>
        <w:t>קר"א</w:t>
      </w:r>
      <w:r w:rsidRPr="009F36E0">
        <w:rPr>
          <w:rFonts w:ascii="Narkisim" w:hAnsi="Narkisim"/>
          <w:rtl/>
        </w:rPr>
        <w:t xml:space="preserve"> הביא בשם הר' גלאנטי דביבם קטן לא אמרי' זיקה ככנוסה אינו ראוי ליבום עד שיגדל</w:t>
      </w:r>
      <w:r w:rsidRPr="009F36E0">
        <w:rPr>
          <w:rStyle w:val="ac"/>
          <w:rFonts w:ascii="Narkisim" w:hAnsi="Narkisim"/>
          <w:rtl/>
        </w:rPr>
        <w:footnoteReference w:id="1140"/>
      </w:r>
      <w:r w:rsidRPr="009F36E0">
        <w:rPr>
          <w:rFonts w:ascii="Narkisim" w:hAnsi="Narkisim"/>
        </w:rPr>
        <w:t xml:space="preserve">. </w:t>
      </w:r>
      <w:r w:rsidRPr="009F36E0">
        <w:rPr>
          <w:rFonts w:ascii="Narkisim" w:hAnsi="Narkisim"/>
          <w:rtl/>
        </w:rPr>
        <w:t xml:space="preserve">והק' דהו"ל לתוס' לנקוט כה”ג. </w:t>
      </w:r>
      <w:r w:rsidRPr="009F36E0">
        <w:rPr>
          <w:rFonts w:ascii="Narkisim" w:hAnsi="Narkisim"/>
          <w:szCs w:val="20"/>
          <w:rtl/>
        </w:rPr>
        <w:t>והקר”א הוכיח דאף קטן זקוקה לו, ואמרי' ככנוסה</w:t>
      </w:r>
      <w:r w:rsidRPr="009F36E0">
        <w:rPr>
          <w:rFonts w:ascii="Narkisim" w:hAnsi="Narkisim"/>
          <w:sz w:val="20"/>
          <w:szCs w:val="20"/>
        </w:rPr>
        <w:t>.</w:t>
      </w:r>
    </w:p>
    <w:p w14:paraId="5C55DD14" w14:textId="77777777" w:rsidR="006074A5" w:rsidRPr="009F36E0" w:rsidRDefault="006074A5" w:rsidP="006074A5">
      <w:pPr>
        <w:bidi/>
        <w:rPr>
          <w:rFonts w:ascii="Narkisim" w:hAnsi="Narkisim" w:cs="Narkisim"/>
        </w:rPr>
      </w:pPr>
      <w:r w:rsidRPr="009F36E0">
        <w:rPr>
          <w:rFonts w:ascii="Narkisim" w:hAnsi="Narkisim" w:cs="Narkisim"/>
          <w:u w:val="single"/>
          <w:rtl/>
        </w:rPr>
        <w:t>דתניא וכו' אם מאמרו של שני מאמר וכו' ר' שמעון אומר מייבם לאיזהו שירצה וכו'</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דל"ל דרשא דב' יבמים, דאי מאמר קונה וכו' ואי אינו קונה וכו'. מבואר דלרבנן מאמר הוה בגדר 'מקצת' קנין. [ומש"ה הוה אשת ב' מתים, דיש מקצת אישות מחמת הראשון, ומקצת מחמת השני]. ור' שמעון פליג דמאמר נחשב ספק </w:t>
      </w:r>
      <w:r w:rsidRPr="009F36E0">
        <w:rPr>
          <w:rFonts w:ascii="Narkisim" w:hAnsi="Narkisim" w:cs="Narkisim"/>
          <w:sz w:val="20"/>
          <w:szCs w:val="20"/>
          <w:rtl/>
        </w:rPr>
        <w:t xml:space="preserve">[ע' </w:t>
      </w:r>
      <w:r w:rsidRPr="009F36E0">
        <w:rPr>
          <w:rFonts w:ascii="Narkisim" w:hAnsi="Narkisim" w:cs="Narkisim"/>
          <w:b/>
          <w:bCs/>
          <w:sz w:val="20"/>
          <w:szCs w:val="20"/>
          <w:rtl/>
        </w:rPr>
        <w:t>תוס</w:t>
      </w:r>
      <w:r w:rsidRPr="009F36E0">
        <w:rPr>
          <w:rFonts w:ascii="Narkisim" w:hAnsi="Narkisim" w:cs="Narkisim"/>
          <w:sz w:val="20"/>
          <w:szCs w:val="20"/>
          <w:rtl/>
        </w:rPr>
        <w:t>' (בע"ב ד"ה ר"ש)]</w:t>
      </w:r>
      <w:r w:rsidRPr="009F36E0">
        <w:rPr>
          <w:rFonts w:ascii="Narkisim" w:hAnsi="Narkisim" w:cs="Narkisim"/>
          <w:rtl/>
        </w:rPr>
        <w:t>, ואמרי' ממ"נ דאם קונה מהני, ואם אינו קונה ל"מ.</w:t>
      </w:r>
      <w:r w:rsidRPr="009F36E0">
        <w:rPr>
          <w:rFonts w:ascii="Narkisim" w:hAnsi="Narkisim" w:cs="Narkisim"/>
          <w:sz w:val="20"/>
          <w:szCs w:val="20"/>
          <w:rtl/>
        </w:rPr>
        <w:t xml:space="preserve"> [וע"ע בסוגיא לקמן נא:</w:t>
      </w:r>
      <w:r w:rsidRPr="009F36E0">
        <w:rPr>
          <w:rFonts w:ascii="Narkisim" w:hAnsi="Narkisim" w:cs="Narkisim"/>
          <w:rtl/>
        </w:rPr>
        <w:t>]</w:t>
      </w:r>
      <w:r w:rsidRPr="009F36E0">
        <w:rPr>
          <w:rFonts w:ascii="Narkisim" w:hAnsi="Narkisim" w:cs="Narkisim"/>
        </w:rPr>
        <w:t>.</w:t>
      </w:r>
    </w:p>
    <w:p w14:paraId="650F40C0"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חזו"א</w:t>
      </w:r>
      <w:r w:rsidRPr="009F36E0">
        <w:rPr>
          <w:rFonts w:ascii="Narkisim" w:hAnsi="Narkisim"/>
          <w:rtl/>
        </w:rPr>
        <w:t xml:space="preserve"> (קלא ד) כת' דלמסקנא ר' שמעון ס"ל דמאמר הוה מדרבנן, וכוונת הברייתא דגדר התקנה דהוה ספק</w:t>
      </w:r>
      <w:r w:rsidRPr="009F36E0">
        <w:rPr>
          <w:rFonts w:ascii="Narkisim" w:hAnsi="Narkisim"/>
        </w:rPr>
        <w:t>.</w:t>
      </w:r>
    </w:p>
    <w:p w14:paraId="1533E297" w14:textId="77777777" w:rsidR="006074A5" w:rsidRPr="009F36E0" w:rsidRDefault="006074A5" w:rsidP="006074A5">
      <w:pPr>
        <w:pStyle w:val="a8"/>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(לקמן כט. ד"ה לא) תמהו דלא מסתבר דמהני מאמר לר' שמעון להיות קנין גמור, דהא אפי' לבי"ש [אמרי' התם] דקונה ומשייר. וכ"ת דלר' שמעון קונה טפי. א"כ מנ"ל לר"א אף לבי"ש. [ובפשוטו משמע דלר' שמעון מהני מאמר מדאורייתא, ועי”ש באחרונים]</w:t>
      </w:r>
      <w:r w:rsidRPr="009F36E0">
        <w:rPr>
          <w:rFonts w:ascii="Narkisim" w:hAnsi="Narkisim"/>
        </w:rPr>
        <w:t>.</w:t>
      </w:r>
    </w:p>
    <w:p w14:paraId="0288705C" w14:textId="77777777" w:rsidR="006074A5" w:rsidRPr="009F36E0" w:rsidRDefault="006074A5" w:rsidP="006074A5">
      <w:pPr>
        <w:pStyle w:val="aa"/>
        <w:bidi/>
        <w:rPr>
          <w:rFonts w:ascii="Narkisim" w:hAnsi="Narkisim"/>
        </w:rPr>
      </w:pPr>
      <w:r w:rsidRPr="009F36E0">
        <w:rPr>
          <w:rFonts w:ascii="Narkisim" w:hAnsi="Narkisim"/>
          <w:u w:val="single"/>
          <w:rtl/>
        </w:rPr>
        <w:t>תוד"ה דתניא.</w:t>
      </w:r>
      <w:r w:rsidRPr="009F36E0">
        <w:rPr>
          <w:rFonts w:ascii="Narkisim" w:hAnsi="Narkisim"/>
          <w:rtl/>
        </w:rPr>
        <w:t xml:space="preserve"> הא דאמר ר' שמעון מאמר קונה קנין גמור, אבל לא עביד ליה ככנוסה. </w:t>
      </w:r>
      <w:r w:rsidRPr="009F36E0">
        <w:rPr>
          <w:rFonts w:ascii="Narkisim" w:hAnsi="Narkisim"/>
          <w:b/>
          <w:bCs/>
          <w:rtl/>
        </w:rPr>
        <w:t>רע"א</w:t>
      </w:r>
      <w:r w:rsidRPr="009F36E0">
        <w:rPr>
          <w:rFonts w:ascii="Narkisim" w:hAnsi="Narkisim"/>
          <w:rtl/>
        </w:rPr>
        <w:t xml:space="preserve"> הקשה דהתם מבואר דר"ש מסתפק האם מאמר קונה, ולצד שקונה הוה קנין גמור דלא מהני מאמר אחריו [דממ”נ אינו מוסיף]</w:t>
      </w:r>
      <w:r w:rsidRPr="009F36E0">
        <w:rPr>
          <w:rStyle w:val="ac"/>
          <w:rFonts w:ascii="Narkisim" w:hAnsi="Narkisim"/>
          <w:rtl/>
        </w:rPr>
        <w:footnoteReference w:id="1141"/>
      </w:r>
      <w:r w:rsidRPr="009F36E0">
        <w:rPr>
          <w:rFonts w:ascii="Narkisim" w:hAnsi="Narkisim"/>
        </w:rPr>
        <w:t xml:space="preserve">. </w:t>
      </w:r>
      <w:r w:rsidRPr="009F36E0">
        <w:rPr>
          <w:rFonts w:ascii="Narkisim" w:hAnsi="Narkisim"/>
          <w:rtl/>
        </w:rPr>
        <w:t>וצ"ע מה הקשו בתוס</w:t>
      </w:r>
      <w:r w:rsidRPr="009F36E0">
        <w:rPr>
          <w:rFonts w:ascii="Narkisim" w:hAnsi="Narkisim"/>
        </w:rPr>
        <w:t>'</w:t>
      </w:r>
      <w:r w:rsidRPr="009F36E0">
        <w:rPr>
          <w:rStyle w:val="ac"/>
          <w:rFonts w:ascii="Narkisim" w:hAnsi="Narkisim"/>
        </w:rPr>
        <w:footnoteReference w:id="1142"/>
      </w:r>
      <w:r w:rsidRPr="009F36E0">
        <w:rPr>
          <w:rFonts w:ascii="Narkisim" w:hAnsi="Narkisim"/>
        </w:rPr>
        <w:t>.</w:t>
      </w:r>
    </w:p>
    <w:p w14:paraId="474B210F" w14:textId="77777777" w:rsidR="006074A5" w:rsidRPr="009F36E0" w:rsidRDefault="006074A5" w:rsidP="006074A5">
      <w:pPr>
        <w:pStyle w:val="aa"/>
        <w:bidi/>
        <w:rPr>
          <w:rFonts w:ascii="Narkisim" w:hAnsi="Narkisim"/>
        </w:rPr>
      </w:pPr>
      <w:r w:rsidRPr="009F36E0">
        <w:rPr>
          <w:rFonts w:ascii="Narkisim" w:hAnsi="Narkisim"/>
          <w:u w:val="single"/>
          <w:rtl/>
        </w:rPr>
        <w:t>א”ל אביי וכו' לזיקת ב' יבמים, דילמא כי אמר ר"ש זיקה ככנוסה ביבם א'</w:t>
      </w:r>
      <w:r w:rsidRPr="009F36E0">
        <w:rPr>
          <w:rFonts w:ascii="Narkisim" w:hAnsi="Narkisim"/>
          <w:rtl/>
        </w:rPr>
        <w:t>. [ע' בסמוך טעם החילוק]. ובב' יבמין משכח"ל אשת אחיו שלא היה בעולמו אף לר”ש. וה</w:t>
      </w:r>
      <w:r w:rsidRPr="009F36E0">
        <w:rPr>
          <w:rFonts w:ascii="Narkisim" w:hAnsi="Narkisim"/>
          <w:b/>
          <w:bCs/>
          <w:rtl/>
        </w:rPr>
        <w:t>רמב"ן</w:t>
      </w:r>
      <w:r w:rsidRPr="009F36E0">
        <w:rPr>
          <w:rFonts w:ascii="Narkisim" w:hAnsi="Narkisim"/>
          <w:rtl/>
        </w:rPr>
        <w:t xml:space="preserve"> הק' דא"כ אפשר להעמיד את המשנה (לעיל ב:) אף לר"ש בב' אחים, ומש"ה בנולד ואח"כ ייבם. ובגמ' (לעיל ט:) מבואר דלר"א א"א להעמיד כה"ג. ותי' דמ"מ רב יוסף נקט דר' אושעיא איירי אף בב' אחים, וכיון דבלאו הכי ר' הושעיא איתותיב לא חש גמ' לתרוצי ספיקא דאמוראי</w:t>
      </w:r>
      <w:r w:rsidRPr="009F36E0">
        <w:rPr>
          <w:rFonts w:ascii="Narkisim" w:hAnsi="Narkisim"/>
        </w:rPr>
        <w:t>.</w:t>
      </w:r>
    </w:p>
    <w:p w14:paraId="284019AA" w14:textId="77777777" w:rsidR="006074A5" w:rsidRPr="009F36E0" w:rsidRDefault="006074A5" w:rsidP="006074A5">
      <w:pPr>
        <w:pStyle w:val="aa"/>
        <w:bidi/>
        <w:rPr>
          <w:rFonts w:ascii="Narkisim" w:hAnsi="Narkisim"/>
        </w:rPr>
      </w:pPr>
      <w:r w:rsidRPr="009F36E0">
        <w:rPr>
          <w:rFonts w:ascii="Narkisim" w:hAnsi="Narkisim"/>
          <w:u w:val="single"/>
          <w:rtl/>
        </w:rPr>
        <w:t>תוד"ה ועוד מתיב רב אושעיא</w:t>
      </w:r>
      <w:r w:rsidRPr="009F36E0">
        <w:rPr>
          <w:rFonts w:ascii="Narkisim" w:hAnsi="Narkisim"/>
          <w:rtl/>
        </w:rPr>
        <w:t>. דרבי אושעיא לאו היינו רב אושעיא. ולפ"ז גרסי' (לעיל יח:) רבי אושעיא [הקדמון</w:t>
      </w:r>
      <w:r w:rsidRPr="009F36E0">
        <w:rPr>
          <w:rStyle w:val="ac"/>
          <w:rFonts w:ascii="Narkisim" w:hAnsi="Narkisim"/>
          <w:rtl/>
        </w:rPr>
        <w:footnoteReference w:id="1143"/>
      </w:r>
      <w:r w:rsidRPr="009F36E0">
        <w:rPr>
          <w:rFonts w:ascii="Narkisim" w:hAnsi="Narkisim"/>
          <w:rtl/>
        </w:rPr>
        <w:t>] שאמר בשם ר' שמעון, וכאן רב אושעיא</w:t>
      </w:r>
      <w:r w:rsidRPr="009F36E0">
        <w:rPr>
          <w:rStyle w:val="ac"/>
          <w:rFonts w:ascii="Narkisim" w:hAnsi="Narkisim"/>
          <w:rtl/>
        </w:rPr>
        <w:footnoteReference w:id="1144"/>
      </w:r>
      <w:r w:rsidRPr="009F36E0">
        <w:rPr>
          <w:rFonts w:ascii="Narkisim" w:hAnsi="Narkisim"/>
        </w:rPr>
        <w:t xml:space="preserve"> </w:t>
      </w:r>
      <w:r w:rsidRPr="009F36E0">
        <w:rPr>
          <w:rFonts w:ascii="Narkisim" w:hAnsi="Narkisim"/>
          <w:rtl/>
        </w:rPr>
        <w:t>הק' לדבריו</w:t>
      </w:r>
      <w:r w:rsidRPr="009F36E0">
        <w:rPr>
          <w:rFonts w:ascii="Narkisim" w:hAnsi="Narkisim"/>
        </w:rPr>
        <w:t>.</w:t>
      </w:r>
    </w:p>
    <w:p w14:paraId="3E2557BD" w14:textId="77777777" w:rsidR="006074A5" w:rsidRPr="009F36E0" w:rsidRDefault="006074A5" w:rsidP="006074A5">
      <w:pPr>
        <w:bidi/>
        <w:rPr>
          <w:rFonts w:ascii="Narkisim" w:hAnsi="Narkisim" w:cs="Narkisim"/>
        </w:rPr>
      </w:pPr>
      <w:r w:rsidRPr="009F36E0">
        <w:rPr>
          <w:rFonts w:ascii="Narkisim" w:hAnsi="Narkisim" w:cs="Narkisim"/>
          <w:u w:val="single"/>
          <w:rtl/>
        </w:rPr>
        <w:t>אמר רבא שניה שבזוג זה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דהיה נשוי גם ב' אחיות, וגם אשה ובתה. וחדא מנייהו ככנוסה, ועי"ז א' מהראשונות ככנוסה, ועי"ז א' מהם ערוה, והשאר יוצאות משום צרות ערוה. </w:t>
      </w:r>
      <w:r w:rsidRPr="009F36E0">
        <w:rPr>
          <w:rFonts w:ascii="Narkisim" w:hAnsi="Narkisim" w:cs="Narkisim"/>
          <w:sz w:val="20"/>
          <w:szCs w:val="20"/>
          <w:rtl/>
        </w:rPr>
        <w:t>[כ"פ ה</w:t>
      </w:r>
      <w:r w:rsidRPr="009F36E0">
        <w:rPr>
          <w:rFonts w:ascii="Narkisim" w:hAnsi="Narkisim" w:cs="Narkisim"/>
          <w:b/>
          <w:bCs/>
          <w:sz w:val="20"/>
          <w:szCs w:val="20"/>
          <w:rtl/>
        </w:rPr>
        <w:t xml:space="preserve">ראשונים </w:t>
      </w:r>
      <w:r w:rsidRPr="009F36E0">
        <w:rPr>
          <w:rFonts w:ascii="Narkisim" w:hAnsi="Narkisim" w:cs="Narkisim"/>
          <w:sz w:val="20"/>
          <w:szCs w:val="20"/>
          <w:rtl/>
        </w:rPr>
        <w:t>בדבריו, והברייתא אי"צ לדון על נשי הראשון אלא על נשי השני, כ”כ ה</w:t>
      </w:r>
      <w:r w:rsidRPr="009F36E0">
        <w:rPr>
          <w:rFonts w:ascii="Narkisim" w:hAnsi="Narkisim" w:cs="Narkisim"/>
          <w:b/>
          <w:bCs/>
          <w:sz w:val="20"/>
          <w:szCs w:val="20"/>
          <w:rtl/>
        </w:rPr>
        <w:t>ריטב”א</w:t>
      </w:r>
      <w:r w:rsidRPr="009F36E0">
        <w:rPr>
          <w:rFonts w:ascii="Narkisim" w:hAnsi="Narkisim" w:cs="Narkisim"/>
          <w:sz w:val="20"/>
          <w:szCs w:val="20"/>
          <w:rtl/>
        </w:rPr>
        <w:t>]</w:t>
      </w:r>
      <w:r w:rsidRPr="009F36E0">
        <w:rPr>
          <w:rFonts w:ascii="Narkisim" w:hAnsi="Narkisim" w:cs="Narkisim"/>
        </w:rPr>
        <w:t>.</w:t>
      </w:r>
    </w:p>
    <w:p w14:paraId="39A3C45A"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תו"י</w:t>
      </w:r>
      <w:r w:rsidRPr="009F36E0">
        <w:rPr>
          <w:rFonts w:ascii="Narkisim" w:hAnsi="Narkisim"/>
          <w:rtl/>
        </w:rPr>
        <w:t xml:space="preserve"> הק' דהגמ' סברא השתא דבב' יבמין לא אמרי' זיקה ככנוסה, א"כ ה"נ בב' יבמות, דלא ידעינן איזה יקח, ואין הזיקה מיוחדת. וה</w:t>
      </w:r>
      <w:r w:rsidRPr="009F36E0">
        <w:rPr>
          <w:rFonts w:ascii="Narkisim" w:hAnsi="Narkisim"/>
          <w:b/>
          <w:bCs/>
          <w:rtl/>
        </w:rPr>
        <w:t>ריטב”א</w:t>
      </w:r>
      <w:r w:rsidRPr="009F36E0">
        <w:rPr>
          <w:rFonts w:ascii="Narkisim" w:hAnsi="Narkisim"/>
          <w:rtl/>
        </w:rPr>
        <w:t xml:space="preserve"> דחה דאע”ג דאין זיקה בב' יבמין, יש זיקה </w:t>
      </w:r>
      <w:r w:rsidRPr="009F36E0">
        <w:rPr>
          <w:rFonts w:ascii="Narkisim" w:hAnsi="Narkisim"/>
          <w:rtl/>
        </w:rPr>
        <w:lastRenderedPageBreak/>
        <w:t>בב' יבמות. [</w:t>
      </w:r>
      <w:r w:rsidRPr="009F36E0">
        <w:rPr>
          <w:rFonts w:ascii="Narkisim" w:hAnsi="Narkisim"/>
          <w:szCs w:val="20"/>
          <w:rtl/>
        </w:rPr>
        <w:t>ויש חילוק בין צרות לאחים</w:t>
      </w:r>
      <w:r w:rsidRPr="009F36E0">
        <w:rPr>
          <w:rStyle w:val="ac"/>
          <w:rFonts w:ascii="Narkisim" w:hAnsi="Narkisim"/>
          <w:szCs w:val="20"/>
          <w:rtl/>
        </w:rPr>
        <w:footnoteReference w:id="1145"/>
      </w:r>
      <w:r w:rsidRPr="009F36E0">
        <w:rPr>
          <w:rFonts w:ascii="Narkisim" w:hAnsi="Narkisim"/>
          <w:rtl/>
        </w:rPr>
        <w:t>]</w:t>
      </w:r>
      <w:r w:rsidRPr="009F36E0">
        <w:rPr>
          <w:rFonts w:ascii="Narkisim" w:hAnsi="Narkisim"/>
        </w:rPr>
        <w:t>.</w:t>
      </w:r>
    </w:p>
    <w:p w14:paraId="5AB0909A"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מהרש"א</w:t>
      </w:r>
      <w:r w:rsidRPr="009F36E0">
        <w:rPr>
          <w:rFonts w:ascii="Narkisim" w:hAnsi="Narkisim"/>
          <w:rtl/>
        </w:rPr>
        <w:t xml:space="preserve"> ביאר דבב' צרות ברצון היבם תליא מילתא, ולכן אמרי' זיקה ככנוסה. משא"כ בב' יבמין דלאו ברצונו תליא מילתא שיהא זיקתה רמי עליה, להחשב זיקתה ככנוסה. וה</w:t>
      </w:r>
      <w:r w:rsidRPr="009F36E0">
        <w:rPr>
          <w:rFonts w:ascii="Narkisim" w:hAnsi="Narkisim"/>
          <w:b/>
          <w:bCs/>
          <w:rtl/>
        </w:rPr>
        <w:t>חזו"א</w:t>
      </w:r>
      <w:r w:rsidRPr="009F36E0">
        <w:rPr>
          <w:rFonts w:ascii="Narkisim" w:hAnsi="Narkisim"/>
          <w:rtl/>
        </w:rPr>
        <w:t xml:space="preserve"> </w:t>
      </w:r>
      <w:r w:rsidRPr="009F36E0">
        <w:rPr>
          <w:rFonts w:ascii="Narkisim" w:hAnsi="Narkisim"/>
          <w:sz w:val="20"/>
          <w:szCs w:val="20"/>
          <w:rtl/>
        </w:rPr>
        <w:t xml:space="preserve">(קלא ב) </w:t>
      </w:r>
      <w:r w:rsidRPr="009F36E0">
        <w:rPr>
          <w:rFonts w:ascii="Narkisim" w:hAnsi="Narkisim"/>
          <w:rtl/>
        </w:rPr>
        <w:t>כת' דבב' יבמין יש סברא דאשה לבי תרי לא חזי, משא"כ בב' יבמין.</w:t>
      </w:r>
      <w:r w:rsidRPr="009F36E0">
        <w:rPr>
          <w:rFonts w:ascii="Narkisim" w:hAnsi="Narkisim"/>
          <w:sz w:val="20"/>
          <w:szCs w:val="20"/>
          <w:rtl/>
        </w:rPr>
        <w:t xml:space="preserve"> ועוד דנו ה</w:t>
      </w:r>
      <w:r w:rsidRPr="009F36E0">
        <w:rPr>
          <w:rFonts w:ascii="Narkisim" w:hAnsi="Narkisim"/>
          <w:b/>
          <w:bCs/>
          <w:sz w:val="20"/>
          <w:szCs w:val="20"/>
          <w:rtl/>
        </w:rPr>
        <w:t>אחרונים</w:t>
      </w:r>
      <w:r w:rsidRPr="009F36E0">
        <w:rPr>
          <w:rFonts w:ascii="Narkisim" w:hAnsi="Narkisim"/>
          <w:sz w:val="20"/>
          <w:szCs w:val="20"/>
          <w:rtl/>
        </w:rPr>
        <w:t xml:space="preserve"> דדנים על זיקת הבית, וב' צרות נחשב זיקה א'. אבל ב' יבמין הוה גדר ספק</w:t>
      </w:r>
      <w:r w:rsidRPr="009F36E0">
        <w:rPr>
          <w:rFonts w:ascii="Narkisim" w:hAnsi="Narkisim"/>
          <w:sz w:val="20"/>
          <w:szCs w:val="20"/>
        </w:rPr>
        <w:t>.</w:t>
      </w:r>
    </w:p>
    <w:p w14:paraId="42A850F7" w14:textId="77777777" w:rsidR="006074A5" w:rsidRPr="009F36E0" w:rsidRDefault="006074A5" w:rsidP="006074A5">
      <w:pPr>
        <w:pStyle w:val="a8"/>
        <w:bidi/>
        <w:rPr>
          <w:rFonts w:ascii="Narkisim" w:hAnsi="Narkisim"/>
        </w:rPr>
      </w:pPr>
      <w:r w:rsidRPr="009F36E0">
        <w:rPr>
          <w:rFonts w:ascii="Narkisim" w:hAnsi="Narkisim"/>
          <w:rtl/>
        </w:rPr>
        <w:t>ועוה"ק ה</w:t>
      </w:r>
      <w:r w:rsidRPr="009F36E0">
        <w:rPr>
          <w:rFonts w:ascii="Narkisim" w:hAnsi="Narkisim"/>
          <w:b/>
          <w:bCs/>
          <w:rtl/>
        </w:rPr>
        <w:t>תו"י</w:t>
      </w:r>
      <w:r w:rsidRPr="009F36E0">
        <w:rPr>
          <w:rFonts w:ascii="Narkisim" w:hAnsi="Narkisim"/>
          <w:rtl/>
        </w:rPr>
        <w:t xml:space="preserve"> אמאי נקט נשואין ד' זוגות, אף אם נשואין זוג א', ושאר נשים נכריות כשייבם [האחות] כולם פטורות. מבואר בדברי התו"י [דלמ"ד זיקה ככנוסה בב'] אמרי' דהיבמה שמייבם לבסוף נחשבת כנוסה משעת נפילה ופוטרת אחותה. אבל בדעת </w:t>
      </w:r>
      <w:r w:rsidRPr="009F36E0">
        <w:rPr>
          <w:rFonts w:ascii="Narkisim" w:hAnsi="Narkisim"/>
          <w:b/>
          <w:bCs/>
          <w:rtl/>
        </w:rPr>
        <w:t>רש"י</w:t>
      </w:r>
      <w:r w:rsidRPr="009F36E0">
        <w:rPr>
          <w:rFonts w:ascii="Narkisim" w:hAnsi="Narkisim"/>
          <w:rtl/>
        </w:rPr>
        <w:t xml:space="preserve"> מבואר דבעינן כל ד' זוגות, ובעינן שממ"נ יש פטור ערוה</w:t>
      </w:r>
      <w:r w:rsidRPr="009F36E0">
        <w:rPr>
          <w:rFonts w:ascii="Narkisim" w:hAnsi="Narkisim"/>
        </w:rPr>
        <w:t>.</w:t>
      </w:r>
    </w:p>
    <w:p w14:paraId="4E36F895"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ראשונים</w:t>
      </w:r>
      <w:r w:rsidRPr="009F36E0">
        <w:rPr>
          <w:rFonts w:ascii="Narkisim" w:hAnsi="Narkisim" w:cs="Narkisim"/>
          <w:rtl/>
        </w:rPr>
        <w:t xml:space="preserve"> הביאו בשם</w:t>
      </w:r>
      <w:r w:rsidRPr="009F36E0">
        <w:rPr>
          <w:rFonts w:ascii="Narkisim" w:hAnsi="Narkisim" w:cs="Narkisim"/>
          <w:b/>
          <w:bCs/>
          <w:rtl/>
        </w:rPr>
        <w:t xml:space="preserve"> ר"ח</w:t>
      </w:r>
      <w:r w:rsidRPr="009F36E0">
        <w:rPr>
          <w:rFonts w:ascii="Narkisim" w:hAnsi="Narkisim" w:cs="Narkisim"/>
          <w:rtl/>
        </w:rPr>
        <w:t xml:space="preserve"> דלרבא איירי בח' אחים, ומתוכם יש ד' זוגות [אחיות, אשה ואמה וכו'], דהשני [שבזוג] שמת אשתו פטורה מדין ערוה. וה</w:t>
      </w:r>
      <w:r w:rsidRPr="009F36E0">
        <w:rPr>
          <w:rFonts w:ascii="Narkisim" w:hAnsi="Narkisim" w:cs="Narkisim"/>
          <w:b/>
          <w:bCs/>
          <w:rtl/>
        </w:rPr>
        <w:t>ראשונים</w:t>
      </w:r>
      <w:r w:rsidRPr="009F36E0">
        <w:rPr>
          <w:rFonts w:ascii="Narkisim" w:hAnsi="Narkisim" w:cs="Narkisim"/>
          <w:rtl/>
        </w:rPr>
        <w:t xml:space="preserve"> הקשו דמ"מ נפלה לב' יבמין, והשתא ס"ל דאין זיקה ככנוסה לתרי. ועוד כולם הוה כבית א', וסגי ביבום א' מהם. וה</w:t>
      </w:r>
      <w:r w:rsidRPr="009F36E0">
        <w:rPr>
          <w:rFonts w:ascii="Narkisim" w:hAnsi="Narkisim" w:cs="Narkisim"/>
          <w:b/>
          <w:bCs/>
          <w:rtl/>
        </w:rPr>
        <w:t>רשב"א</w:t>
      </w:r>
      <w:r w:rsidRPr="009F36E0">
        <w:rPr>
          <w:rFonts w:ascii="Narkisim" w:hAnsi="Narkisim" w:cs="Narkisim"/>
          <w:rtl/>
        </w:rPr>
        <w:t xml:space="preserve"> העמיד דברי ר"ח כגון שכל אח הוא ערוה על כל שאר הנשים, חוץ מאחיות. אבל ה</w:t>
      </w:r>
      <w:r w:rsidRPr="009F36E0">
        <w:rPr>
          <w:rFonts w:ascii="Narkisim" w:hAnsi="Narkisim" w:cs="Narkisim"/>
          <w:b/>
          <w:bCs/>
          <w:rtl/>
        </w:rPr>
        <w:t xml:space="preserve">תוס' </w:t>
      </w:r>
      <w:r w:rsidRPr="009F36E0">
        <w:rPr>
          <w:rFonts w:ascii="Narkisim" w:hAnsi="Narkisim" w:cs="Narkisim"/>
          <w:rtl/>
        </w:rPr>
        <w:t>ה</w:t>
      </w:r>
      <w:r w:rsidRPr="009F36E0">
        <w:rPr>
          <w:rFonts w:ascii="Narkisim" w:hAnsi="Narkisim" w:cs="Narkisim"/>
          <w:b/>
          <w:bCs/>
          <w:rtl/>
        </w:rPr>
        <w:t>רא"ש</w:t>
      </w:r>
      <w:r w:rsidRPr="009F36E0">
        <w:rPr>
          <w:rFonts w:ascii="Narkisim" w:hAnsi="Narkisim" w:cs="Narkisim"/>
          <w:rtl/>
        </w:rPr>
        <w:t xml:space="preserve"> כת' דנפלו לפני ד' זוגי אחים [וכ"א אין קשר לשני]</w:t>
      </w:r>
      <w:r w:rsidRPr="009F36E0">
        <w:rPr>
          <w:rFonts w:ascii="Narkisim" w:hAnsi="Narkisim" w:cs="Narkisim"/>
        </w:rPr>
        <w:t>.</w:t>
      </w:r>
    </w:p>
    <w:p w14:paraId="2DEB58B4" w14:textId="77777777" w:rsidR="006074A5" w:rsidRPr="009F36E0" w:rsidRDefault="006074A5" w:rsidP="006074A5">
      <w:pPr>
        <w:pStyle w:val="aa"/>
        <w:bidi/>
        <w:rPr>
          <w:rFonts w:ascii="Narkisim" w:hAnsi="Narkisim"/>
        </w:rPr>
      </w:pPr>
      <w:r w:rsidRPr="009F36E0">
        <w:rPr>
          <w:rFonts w:ascii="Narkisim" w:hAnsi="Narkisim"/>
          <w:rtl/>
        </w:rPr>
        <w:t>ומבואר בסוגיין דכיון דזיקה ככנוסה, אחותה שנופלת אח"כ פטורה [ואי"צ חליצה]. וה</w:t>
      </w:r>
      <w:r w:rsidRPr="009F36E0">
        <w:rPr>
          <w:rFonts w:ascii="Narkisim" w:hAnsi="Narkisim"/>
          <w:b/>
          <w:bCs/>
          <w:rtl/>
        </w:rPr>
        <w:t>אחרונים</w:t>
      </w:r>
      <w:r w:rsidRPr="009F36E0">
        <w:rPr>
          <w:rFonts w:ascii="Narkisim" w:hAnsi="Narkisim"/>
          <w:rtl/>
        </w:rPr>
        <w:t xml:space="preserve"> הקשו מכאן לדברי </w:t>
      </w:r>
      <w:r w:rsidRPr="009F36E0">
        <w:rPr>
          <w:rFonts w:ascii="Narkisim" w:hAnsi="Narkisim"/>
          <w:b/>
          <w:bCs/>
          <w:rtl/>
        </w:rPr>
        <w:t>פסקי רי"ד</w:t>
      </w:r>
      <w:r w:rsidRPr="009F36E0">
        <w:rPr>
          <w:rFonts w:ascii="Narkisim" w:hAnsi="Narkisim"/>
          <w:rtl/>
        </w:rPr>
        <w:t xml:space="preserve"> (הובא לעיל יח:) דאין חיוב כרת משום זיקה ככנוסה, וקידושין תפסי באחותה. וצ"ל דמ"מ נחשב ערוה לפטור מיבום. וצ"ב מ"ש</w:t>
      </w:r>
      <w:r w:rsidRPr="009F36E0">
        <w:rPr>
          <w:rFonts w:ascii="Narkisim" w:hAnsi="Narkisim"/>
        </w:rPr>
        <w:t>.</w:t>
      </w:r>
    </w:p>
    <w:p w14:paraId="38B6AC6F" w14:textId="77777777" w:rsidR="006074A5" w:rsidRPr="009F36E0" w:rsidRDefault="006074A5" w:rsidP="006074A5">
      <w:pPr>
        <w:pStyle w:val="aa"/>
        <w:bidi/>
        <w:rPr>
          <w:rFonts w:ascii="Narkisim" w:hAnsi="Narkisim"/>
        </w:rPr>
      </w:pPr>
      <w:r w:rsidRPr="009F36E0">
        <w:rPr>
          <w:rFonts w:ascii="Narkisim" w:hAnsi="Narkisim"/>
          <w:u w:val="single"/>
          <w:rtl/>
        </w:rPr>
        <w:t>ר' שמעון אומר וכו' בשעה שנעשו צרות זו לזו וכו'.</w:t>
      </w:r>
      <w:r w:rsidRPr="009F36E0">
        <w:rPr>
          <w:rFonts w:ascii="Narkisim" w:hAnsi="Narkisim"/>
          <w:rtl/>
        </w:rPr>
        <w:t xml:space="preserve"> </w:t>
      </w:r>
      <w:r w:rsidRPr="009F36E0">
        <w:rPr>
          <w:rFonts w:ascii="Narkisim" w:hAnsi="Narkisim"/>
          <w:b/>
          <w:bCs/>
          <w:rtl/>
        </w:rPr>
        <w:t>תוס</w:t>
      </w:r>
      <w:r w:rsidRPr="009F36E0">
        <w:rPr>
          <w:rFonts w:ascii="Narkisim" w:hAnsi="Narkisim"/>
          <w:rtl/>
        </w:rPr>
        <w:t>' (קידושין נ: ד"ה אי) הק' דמבואר דיש להם כרת, שהרי פוטר מחליצה ומיבום, ואם לא תפסי זיקת אחותה אמאי יש בהם כרת. [וכקושיית הגמ' שם לבמקדש ב' אחיות בבת א']. ותי' דיש כרת דאשת אח שלא במקום מצוה [ובאמת לא חל זיקה ליבמות]</w:t>
      </w:r>
      <w:r w:rsidRPr="009F36E0">
        <w:rPr>
          <w:rFonts w:ascii="Narkisim" w:hAnsi="Narkisim"/>
        </w:rPr>
        <w:t>.</w:t>
      </w:r>
    </w:p>
    <w:p w14:paraId="5301FD42" w14:textId="77777777" w:rsidR="006074A5" w:rsidRPr="009F36E0" w:rsidRDefault="006074A5" w:rsidP="006074A5">
      <w:pPr>
        <w:pStyle w:val="a8"/>
        <w:bidi/>
        <w:rPr>
          <w:rFonts w:ascii="Narkisim" w:hAnsi="Narkisim"/>
        </w:rPr>
      </w:pPr>
      <w:r w:rsidRPr="009F36E0">
        <w:rPr>
          <w:rFonts w:ascii="Narkisim" w:hAnsi="Narkisim"/>
          <w:rtl/>
        </w:rPr>
        <w:t>וב</w:t>
      </w:r>
      <w:r w:rsidRPr="009F36E0">
        <w:rPr>
          <w:rFonts w:ascii="Narkisim" w:hAnsi="Narkisim"/>
          <w:b/>
          <w:bCs/>
          <w:rtl/>
        </w:rPr>
        <w:t>שו"ת הרשב"א</w:t>
      </w:r>
      <w:r w:rsidRPr="009F36E0">
        <w:rPr>
          <w:rFonts w:ascii="Narkisim" w:hAnsi="Narkisim"/>
          <w:rtl/>
        </w:rPr>
        <w:t xml:space="preserve"> (ו כא) נקט דנעשו צרות זו לזו פוטרת צרתה. [וה</w:t>
      </w:r>
      <w:r w:rsidRPr="009F36E0">
        <w:rPr>
          <w:rFonts w:ascii="Narkisim" w:hAnsi="Narkisim"/>
          <w:b/>
          <w:bCs/>
          <w:rtl/>
        </w:rPr>
        <w:t>אחרונים</w:t>
      </w:r>
      <w:r w:rsidRPr="009F36E0">
        <w:rPr>
          <w:rFonts w:ascii="Narkisim" w:hAnsi="Narkisim"/>
          <w:rtl/>
        </w:rPr>
        <w:t xml:space="preserve"> דנו האם נחשב ערוה לאחר נפילה. וע"ע לקמן כח:]</w:t>
      </w:r>
      <w:r w:rsidRPr="009F36E0">
        <w:rPr>
          <w:rFonts w:ascii="Narkisim" w:hAnsi="Narkisim"/>
        </w:rPr>
        <w:t>.</w:t>
      </w:r>
    </w:p>
    <w:p w14:paraId="0E5DAC24" w14:textId="77777777" w:rsidR="006074A5" w:rsidRPr="009F36E0" w:rsidRDefault="006074A5" w:rsidP="006074A5">
      <w:pPr>
        <w:bidi/>
        <w:rPr>
          <w:rFonts w:ascii="Narkisim" w:hAnsi="Narkisim" w:cs="Narkisim"/>
        </w:rPr>
      </w:pPr>
      <w:r w:rsidRPr="009F36E0">
        <w:rPr>
          <w:rFonts w:ascii="Narkisim" w:hAnsi="Narkisim" w:cs="Narkisim"/>
          <w:u w:val="single"/>
          <w:rtl/>
        </w:rPr>
        <w:t>הב"ע דנפל בבת אחת וכו'.</w:t>
      </w:r>
      <w:r w:rsidRPr="009F36E0">
        <w:rPr>
          <w:rFonts w:ascii="Narkisim" w:hAnsi="Narkisim" w:cs="Narkisim"/>
          <w:rtl/>
        </w:rPr>
        <w:t xml:space="preserve"> ה</w:t>
      </w:r>
      <w:r w:rsidRPr="009F36E0">
        <w:rPr>
          <w:rFonts w:ascii="Narkisim" w:hAnsi="Narkisim" w:cs="Narkisim"/>
          <w:b/>
          <w:bCs/>
          <w:rtl/>
        </w:rPr>
        <w:t>קובה"ע</w:t>
      </w:r>
      <w:r w:rsidRPr="009F36E0">
        <w:rPr>
          <w:rFonts w:ascii="Narkisim" w:hAnsi="Narkisim" w:cs="Narkisim"/>
          <w:rtl/>
        </w:rPr>
        <w:t xml:space="preserve"> (כה א) הק' דכיון דזיקה ככנוסה הו"ל כמקדש ב' אחיות בבת א', ונימא דכל שאינו בזה אחר זה אפי' בב”א אינו (קידושין נ:). ומש”ה [אף לולי קרא] לא יחול זיקה לכל א' מהם, כיון דליכא בזא”ז</w:t>
      </w:r>
      <w:r w:rsidRPr="009F36E0">
        <w:rPr>
          <w:rStyle w:val="ac"/>
          <w:rFonts w:ascii="Narkisim" w:hAnsi="Narkisim" w:cs="Narkisim"/>
          <w:rtl/>
        </w:rPr>
        <w:footnoteReference w:id="1146"/>
      </w:r>
      <w:r w:rsidRPr="009F36E0">
        <w:rPr>
          <w:rFonts w:ascii="Narkisim" w:hAnsi="Narkisim" w:cs="Narkisim"/>
        </w:rPr>
        <w:t>.</w:t>
      </w:r>
    </w:p>
    <w:p w14:paraId="3AA1886B" w14:textId="77777777" w:rsidR="006074A5" w:rsidRPr="009F36E0" w:rsidRDefault="006074A5" w:rsidP="006074A5">
      <w:pPr>
        <w:pStyle w:val="a8"/>
        <w:bidi/>
        <w:rPr>
          <w:rFonts w:ascii="Narkisim" w:hAnsi="Narkisim"/>
        </w:rPr>
      </w:pPr>
      <w:r w:rsidRPr="009F36E0">
        <w:rPr>
          <w:rFonts w:ascii="Narkisim" w:hAnsi="Narkisim"/>
          <w:rtl/>
        </w:rPr>
        <w:t xml:space="preserve">והביא דדעת </w:t>
      </w:r>
      <w:r w:rsidRPr="009F36E0">
        <w:rPr>
          <w:rFonts w:ascii="Narkisim" w:hAnsi="Narkisim"/>
          <w:b/>
          <w:bCs/>
          <w:rtl/>
        </w:rPr>
        <w:t>תוס</w:t>
      </w:r>
      <w:r w:rsidRPr="009F36E0">
        <w:rPr>
          <w:rFonts w:ascii="Narkisim" w:hAnsi="Narkisim"/>
          <w:rtl/>
        </w:rPr>
        <w:t>' (בכורות ט.) דכללא ד'כל שאינו' שייך רק בדבר התלוי במעשה, אבל בקדושה הבא מאליה חל בבת א'. אבל הוכיח דדעת ה</w:t>
      </w:r>
      <w:r w:rsidRPr="009F36E0">
        <w:rPr>
          <w:rFonts w:ascii="Narkisim" w:hAnsi="Narkisim"/>
          <w:b/>
          <w:bCs/>
          <w:rtl/>
        </w:rPr>
        <w:t>תוס' רי"ד</w:t>
      </w:r>
      <w:r w:rsidRPr="009F36E0">
        <w:rPr>
          <w:rFonts w:ascii="Narkisim" w:hAnsi="Narkisim"/>
          <w:rtl/>
        </w:rPr>
        <w:t xml:space="preserve"> (קידושין שם) דאמרי' כל שאינו אפי' בחלות ממילא. ועי"ש</w:t>
      </w:r>
      <w:r w:rsidRPr="009F36E0">
        <w:rPr>
          <w:rFonts w:ascii="Narkisim" w:hAnsi="Narkisim"/>
        </w:rPr>
        <w:t>.</w:t>
      </w:r>
    </w:p>
    <w:p w14:paraId="61FB3235"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תי' דאף דלא חל גדר זיקה ככנוסה, מ"מ נופלות לפניו ליבום.</w:t>
      </w:r>
      <w:r w:rsidRPr="009F36E0">
        <w:rPr>
          <w:rFonts w:ascii="Narkisim" w:hAnsi="Narkisim"/>
          <w:szCs w:val="20"/>
          <w:rtl/>
        </w:rPr>
        <w:t xml:space="preserve"> [דגדר זיקה ככנוסה הוה תוספת מלבד הא שנופלת ליבום]</w:t>
      </w:r>
      <w:r w:rsidRPr="009F36E0">
        <w:rPr>
          <w:rFonts w:ascii="Narkisim" w:hAnsi="Narkisim"/>
        </w:rPr>
        <w:t>.</w:t>
      </w:r>
    </w:p>
    <w:p w14:paraId="7CC20413" w14:textId="77777777" w:rsidR="006074A5" w:rsidRPr="009F36E0" w:rsidRDefault="006074A5" w:rsidP="006074A5">
      <w:pPr>
        <w:pStyle w:val="3"/>
        <w:bidi/>
        <w:rPr>
          <w:rFonts w:ascii="Narkisim" w:hAnsi="Narkisim"/>
        </w:rPr>
      </w:pPr>
      <w:r w:rsidRPr="009F36E0">
        <w:rPr>
          <w:rFonts w:ascii="Narkisim" w:hAnsi="Narkisim"/>
          <w:rtl/>
        </w:rPr>
        <w:t>דף יט</w:t>
      </w:r>
      <w:r w:rsidRPr="009F36E0">
        <w:rPr>
          <w:rFonts w:ascii="Narkisim" w:hAnsi="Narkisim"/>
        </w:rPr>
        <w:t>:</w:t>
      </w:r>
    </w:p>
    <w:p w14:paraId="3A235187" w14:textId="77777777" w:rsidR="006074A5" w:rsidRPr="009F36E0" w:rsidRDefault="006074A5" w:rsidP="006074A5">
      <w:pPr>
        <w:pStyle w:val="aa"/>
        <w:bidi/>
        <w:rPr>
          <w:rFonts w:ascii="Narkisim" w:hAnsi="Narkisim"/>
        </w:rPr>
      </w:pPr>
      <w:r w:rsidRPr="009F36E0">
        <w:rPr>
          <w:rFonts w:ascii="Narkisim" w:hAnsi="Narkisim"/>
          <w:u w:val="single"/>
          <w:rtl/>
        </w:rPr>
        <w:t>רש"י ד"ה חלץ.</w:t>
      </w:r>
      <w:r w:rsidRPr="009F36E0">
        <w:rPr>
          <w:rFonts w:ascii="Narkisim" w:hAnsi="Narkisim"/>
          <w:rtl/>
        </w:rPr>
        <w:t xml:space="preserve"> ואי מאמר ל"ק וכו' אבל חלץ לבעלת מאמר וכו' דדלמא מאמר ל"ק וממילא פטורה משום אשת אחיו שלא בעולמו, וחליצתה אינה חליצה. </w:t>
      </w:r>
      <w:r w:rsidRPr="009F36E0">
        <w:rPr>
          <w:rFonts w:ascii="Narkisim" w:hAnsi="Narkisim"/>
          <w:b/>
          <w:bCs/>
          <w:rtl/>
        </w:rPr>
        <w:t>רע"א</w:t>
      </w:r>
      <w:r w:rsidRPr="009F36E0">
        <w:rPr>
          <w:rFonts w:ascii="Narkisim" w:hAnsi="Narkisim"/>
          <w:rtl/>
        </w:rPr>
        <w:t xml:space="preserve"> הק' דאי"צ לזה [שפטורה ולא הוה חליצה], דאי מאמר ל"ק א"כ אינם צרות כלל, ואף אם היא מותרת לא מהני חליצתה לחברתה</w:t>
      </w:r>
      <w:r w:rsidRPr="009F36E0">
        <w:rPr>
          <w:rFonts w:ascii="Narkisim" w:hAnsi="Narkisim"/>
        </w:rPr>
        <w:t>.</w:t>
      </w:r>
    </w:p>
    <w:p w14:paraId="77FB6EFF" w14:textId="77777777" w:rsidR="006074A5" w:rsidRPr="009F36E0" w:rsidRDefault="006074A5" w:rsidP="006074A5">
      <w:pPr>
        <w:bidi/>
        <w:rPr>
          <w:rFonts w:ascii="Narkisim" w:hAnsi="Narkisim" w:cs="Narkisim"/>
        </w:rPr>
      </w:pPr>
      <w:r w:rsidRPr="009F36E0">
        <w:rPr>
          <w:rFonts w:ascii="Narkisim" w:hAnsi="Narkisim" w:cs="Narkisim"/>
          <w:u w:val="single"/>
          <w:rtl/>
        </w:rPr>
        <w:t>תוד"ה ר' שמעון.</w:t>
      </w:r>
      <w:r w:rsidRPr="009F36E0">
        <w:rPr>
          <w:rFonts w:ascii="Narkisim" w:hAnsi="Narkisim" w:cs="Narkisim"/>
          <w:rtl/>
        </w:rPr>
        <w:t xml:space="preserve"> וי"ל דר' שמעון סבר אין זיקה. ה</w:t>
      </w:r>
      <w:r w:rsidRPr="009F36E0">
        <w:rPr>
          <w:rFonts w:ascii="Narkisim" w:hAnsi="Narkisim" w:cs="Narkisim"/>
          <w:b/>
          <w:bCs/>
          <w:rtl/>
        </w:rPr>
        <w:t>אחרונים</w:t>
      </w:r>
      <w:r w:rsidRPr="009F36E0">
        <w:rPr>
          <w:rFonts w:ascii="Narkisim" w:hAnsi="Narkisim" w:cs="Narkisim"/>
          <w:rtl/>
        </w:rPr>
        <w:t xml:space="preserve"> הק' דסברת ר' שמעון משום דנעשו צרות זו לזו בזיקה. </w:t>
      </w:r>
      <w:r w:rsidRPr="009F36E0">
        <w:rPr>
          <w:rFonts w:ascii="Narkisim" w:hAnsi="Narkisim" w:cs="Narkisim"/>
          <w:sz w:val="20"/>
          <w:szCs w:val="20"/>
          <w:rtl/>
        </w:rPr>
        <w:t xml:space="preserve">[וכמ"ש </w:t>
      </w:r>
      <w:r w:rsidRPr="009F36E0">
        <w:rPr>
          <w:rFonts w:ascii="Narkisim" w:hAnsi="Narkisim" w:cs="Narkisim"/>
          <w:b/>
          <w:bCs/>
          <w:sz w:val="20"/>
          <w:szCs w:val="20"/>
          <w:rtl/>
        </w:rPr>
        <w:t>רש"י</w:t>
      </w:r>
      <w:r w:rsidRPr="009F36E0">
        <w:rPr>
          <w:rFonts w:ascii="Narkisim" w:hAnsi="Narkisim" w:cs="Narkisim"/>
          <w:sz w:val="20"/>
          <w:szCs w:val="20"/>
          <w:rtl/>
        </w:rPr>
        <w:t xml:space="preserve"> (כח: ד"ה בשעה) ועוד ראשונים]</w:t>
      </w:r>
      <w:r w:rsidRPr="009F36E0">
        <w:rPr>
          <w:rFonts w:ascii="Narkisim" w:hAnsi="Narkisim" w:cs="Narkisim"/>
          <w:rtl/>
        </w:rPr>
        <w:t xml:space="preserve">, ובפשוטו משמע דס"ל יש זיקה. </w:t>
      </w:r>
      <w:r w:rsidRPr="009F36E0">
        <w:rPr>
          <w:rFonts w:ascii="Narkisim" w:hAnsi="Narkisim" w:cs="Narkisim"/>
          <w:sz w:val="20"/>
          <w:szCs w:val="20"/>
          <w:rtl/>
        </w:rPr>
        <w:t>(וע' לקמן).</w:t>
      </w:r>
      <w:r w:rsidRPr="009F36E0">
        <w:rPr>
          <w:rFonts w:ascii="Narkisim" w:hAnsi="Narkisim" w:cs="Narkisim"/>
          <w:rtl/>
        </w:rPr>
        <w:t xml:space="preserve"> ומדברי התוס' מבואר דשייך דרשת לצרור [צרות זו לזו] אף למ"ד אין זיקה</w:t>
      </w:r>
      <w:r w:rsidRPr="009F36E0">
        <w:rPr>
          <w:rFonts w:ascii="Narkisim" w:hAnsi="Narkisim" w:cs="Narkisim"/>
        </w:rPr>
        <w:t>.</w:t>
      </w:r>
    </w:p>
    <w:p w14:paraId="03DE2D5E"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מאירי</w:t>
      </w:r>
      <w:r w:rsidRPr="009F36E0">
        <w:rPr>
          <w:rFonts w:ascii="Narkisim" w:hAnsi="Narkisim" w:cs="Narkisim"/>
          <w:rtl/>
        </w:rPr>
        <w:t xml:space="preserve"> תי' [קושיית התוס'] דאע"ג דסבר יש זיקה, אבל אינו סובר יש זיקה לענין איסור צרות.</w:t>
      </w:r>
      <w:r w:rsidRPr="009F36E0">
        <w:rPr>
          <w:rFonts w:ascii="Narkisim" w:hAnsi="Narkisim" w:cs="Narkisim"/>
          <w:sz w:val="20"/>
          <w:szCs w:val="20"/>
          <w:rtl/>
        </w:rPr>
        <w:t xml:space="preserve"> [וחולק על הגמ' יח. דיש צרה בזיקה]. וב</w:t>
      </w:r>
      <w:r w:rsidRPr="009F36E0">
        <w:rPr>
          <w:rFonts w:ascii="Narkisim" w:hAnsi="Narkisim" w:cs="Narkisim"/>
          <w:b/>
          <w:bCs/>
          <w:sz w:val="20"/>
          <w:szCs w:val="20"/>
          <w:rtl/>
        </w:rPr>
        <w:t>חי' הגר"נ</w:t>
      </w:r>
      <w:r w:rsidRPr="009F36E0">
        <w:rPr>
          <w:rFonts w:ascii="Narkisim" w:hAnsi="Narkisim" w:cs="Narkisim"/>
          <w:sz w:val="20"/>
          <w:szCs w:val="20"/>
          <w:rtl/>
        </w:rPr>
        <w:t xml:space="preserve"> פי' דאיסור צרת ערוה בזיקה שייך לברייתא (לעיל ג:) דילפי' פטור ערוה מ'לצרור'. אבל ר' שמעון דרש לצרור באופ"א, דסבר כרבי [וכדלעיל ח:] דילפי' מ'ולקחה'. ומש"ה ע"י זיקה לא נחשב בית שמקצתו</w:t>
      </w:r>
      <w:r w:rsidRPr="009F36E0">
        <w:rPr>
          <w:rFonts w:ascii="Narkisim" w:hAnsi="Narkisim" w:cs="Narkisim"/>
          <w:sz w:val="20"/>
          <w:szCs w:val="20"/>
        </w:rPr>
        <w:t>.</w:t>
      </w:r>
    </w:p>
    <w:p w14:paraId="7D7F2505" w14:textId="77777777" w:rsidR="006074A5" w:rsidRPr="009F36E0" w:rsidRDefault="006074A5" w:rsidP="006074A5">
      <w:pPr>
        <w:bidi/>
        <w:rPr>
          <w:rFonts w:ascii="Narkisim" w:hAnsi="Narkisim" w:cs="Narkisim"/>
        </w:rPr>
      </w:pPr>
      <w:r w:rsidRPr="009F36E0">
        <w:rPr>
          <w:rFonts w:ascii="Narkisim" w:hAnsi="Narkisim" w:cs="Narkisim"/>
          <w:u w:val="single"/>
          <w:rtl/>
        </w:rPr>
        <w:t>בא"ד דאין זיקה אוסרת וכו' אלא היכא דאם היתה נשואה היתה אוסרת</w:t>
      </w:r>
      <w:r w:rsidRPr="009F36E0">
        <w:rPr>
          <w:rFonts w:ascii="Narkisim" w:hAnsi="Narkisim" w:cs="Narkisim"/>
          <w:rtl/>
        </w:rPr>
        <w:t xml:space="preserve">. </w:t>
      </w:r>
      <w:r w:rsidRPr="009F36E0">
        <w:rPr>
          <w:rFonts w:ascii="Narkisim" w:hAnsi="Narkisim" w:cs="Narkisim"/>
          <w:b/>
          <w:bCs/>
          <w:rtl/>
        </w:rPr>
        <w:t>רע"א</w:t>
      </w:r>
      <w:r w:rsidRPr="009F36E0">
        <w:rPr>
          <w:rFonts w:ascii="Narkisim" w:hAnsi="Narkisim" w:cs="Narkisim"/>
          <w:rtl/>
        </w:rPr>
        <w:t xml:space="preserve"> הק' דמבואר דלרבנן מאמר קונה מקצת מדרבנן הוה אשת ב' מתים. ולא אמרי' דמאמר אינה אוסרת </w:t>
      </w:r>
      <w:r w:rsidRPr="009F36E0">
        <w:rPr>
          <w:rFonts w:ascii="Narkisim" w:hAnsi="Narkisim" w:cs="Narkisim"/>
          <w:rtl/>
        </w:rPr>
        <w:lastRenderedPageBreak/>
        <w:t>יותר</w:t>
      </w:r>
      <w:r w:rsidRPr="009F36E0">
        <w:rPr>
          <w:rStyle w:val="ac"/>
          <w:rFonts w:ascii="Narkisim" w:hAnsi="Narkisim" w:cs="Narkisim"/>
          <w:rtl/>
        </w:rPr>
        <w:footnoteReference w:id="1147"/>
      </w:r>
      <w:r w:rsidRPr="009F36E0">
        <w:rPr>
          <w:rFonts w:ascii="Narkisim" w:hAnsi="Narkisim" w:cs="Narkisim"/>
        </w:rPr>
        <w:t>.</w:t>
      </w:r>
      <w:r w:rsidRPr="009F36E0">
        <w:rPr>
          <w:rFonts w:ascii="Narkisim" w:hAnsi="Narkisim" w:cs="Narkisim"/>
          <w:sz w:val="20"/>
          <w:szCs w:val="20"/>
        </w:rPr>
        <w:t xml:space="preserve"> </w:t>
      </w:r>
      <w:r w:rsidRPr="009F36E0">
        <w:rPr>
          <w:rFonts w:ascii="Narkisim" w:hAnsi="Narkisim" w:cs="Narkisim"/>
          <w:sz w:val="20"/>
          <w:szCs w:val="20"/>
          <w:rtl/>
        </w:rPr>
        <w:t>וה</w:t>
      </w:r>
      <w:r w:rsidRPr="009F36E0">
        <w:rPr>
          <w:rFonts w:ascii="Narkisim" w:hAnsi="Narkisim" w:cs="Narkisim"/>
          <w:b/>
          <w:bCs/>
          <w:sz w:val="20"/>
          <w:szCs w:val="20"/>
          <w:rtl/>
        </w:rPr>
        <w:t>או"ש</w:t>
      </w:r>
      <w:r w:rsidRPr="009F36E0">
        <w:rPr>
          <w:rFonts w:ascii="Narkisim" w:hAnsi="Narkisim" w:cs="Narkisim"/>
          <w:sz w:val="20"/>
          <w:szCs w:val="20"/>
          <w:rtl/>
        </w:rPr>
        <w:t xml:space="preserve"> (קונ' זיקה לח) כת' דתוס' דנו ממ"נ לענין צרת ערוה [דבמקצת דקני מהני שלא יחשב ערוה], אבל לענין אשת ב' מתים, נחשב מחמת המקצת אשת ב' מתים. [וע"ע </w:t>
      </w:r>
      <w:r w:rsidRPr="009F36E0">
        <w:rPr>
          <w:rFonts w:ascii="Narkisim" w:hAnsi="Narkisim" w:cs="Narkisim"/>
          <w:b/>
          <w:bCs/>
          <w:sz w:val="20"/>
          <w:szCs w:val="20"/>
          <w:rtl/>
        </w:rPr>
        <w:t>חזו"א</w:t>
      </w:r>
      <w:r w:rsidRPr="009F36E0">
        <w:rPr>
          <w:rFonts w:ascii="Narkisim" w:hAnsi="Narkisim" w:cs="Narkisim"/>
          <w:sz w:val="20"/>
          <w:szCs w:val="20"/>
          <w:rtl/>
        </w:rPr>
        <w:t xml:space="preserve"> קלא ד]</w:t>
      </w:r>
      <w:r w:rsidRPr="009F36E0">
        <w:rPr>
          <w:rFonts w:ascii="Narkisim" w:hAnsi="Narkisim" w:cs="Narkisim"/>
          <w:sz w:val="20"/>
          <w:szCs w:val="20"/>
        </w:rPr>
        <w:t>.</w:t>
      </w:r>
    </w:p>
    <w:p w14:paraId="11BC21A9" w14:textId="77777777" w:rsidR="006074A5" w:rsidRPr="009F36E0" w:rsidRDefault="006074A5" w:rsidP="006074A5">
      <w:pPr>
        <w:bidi/>
        <w:rPr>
          <w:rFonts w:ascii="Narkisim" w:hAnsi="Narkisim" w:cs="Narkisim"/>
        </w:rPr>
      </w:pPr>
      <w:r w:rsidRPr="009F36E0">
        <w:rPr>
          <w:rFonts w:ascii="Narkisim" w:hAnsi="Narkisim" w:cs="Narkisim"/>
          <w:u w:val="single"/>
          <w:rtl/>
        </w:rPr>
        <w:t>תוד"ה חלץ.</w:t>
      </w:r>
      <w:r w:rsidRPr="009F36E0">
        <w:rPr>
          <w:rFonts w:ascii="Narkisim" w:hAnsi="Narkisim" w:cs="Narkisim"/>
          <w:rtl/>
        </w:rPr>
        <w:t xml:space="preserve"> לדידיה זיקה ככנוסה אמאי לא פטר לצרה. ה</w:t>
      </w:r>
      <w:r w:rsidRPr="009F36E0">
        <w:rPr>
          <w:rFonts w:ascii="Narkisim" w:hAnsi="Narkisim" w:cs="Narkisim"/>
          <w:b/>
          <w:bCs/>
          <w:rtl/>
        </w:rPr>
        <w:t>רמב"ן</w:t>
      </w:r>
      <w:r w:rsidRPr="009F36E0">
        <w:rPr>
          <w:rFonts w:ascii="Narkisim" w:hAnsi="Narkisim" w:cs="Narkisim"/>
          <w:rtl/>
        </w:rPr>
        <w:t xml:space="preserve"> כת' דמרישא היה אפשר לדחות דדוקא כשכנס לבסוף </w:t>
      </w:r>
      <w:r w:rsidRPr="009F36E0">
        <w:rPr>
          <w:rFonts w:ascii="Narkisim" w:hAnsi="Narkisim" w:cs="Narkisim"/>
          <w:sz w:val="20"/>
          <w:szCs w:val="20"/>
          <w:rtl/>
        </w:rPr>
        <w:t>[ודלא כמו שאמרו לעיל]</w:t>
      </w:r>
      <w:r w:rsidRPr="009F36E0">
        <w:rPr>
          <w:rFonts w:ascii="Narkisim" w:hAnsi="Narkisim" w:cs="Narkisim"/>
          <w:rtl/>
        </w:rPr>
        <w:t xml:space="preserve"> וה</w:t>
      </w:r>
      <w:r w:rsidRPr="009F36E0">
        <w:rPr>
          <w:rFonts w:ascii="Narkisim" w:hAnsi="Narkisim" w:cs="Narkisim"/>
          <w:b/>
          <w:bCs/>
          <w:rtl/>
        </w:rPr>
        <w:t>רשב"א</w:t>
      </w:r>
      <w:r w:rsidRPr="009F36E0">
        <w:rPr>
          <w:rFonts w:ascii="Narkisim" w:hAnsi="Narkisim" w:cs="Narkisim"/>
          <w:rtl/>
        </w:rPr>
        <w:t xml:space="preserve"> כת' דאינו מחוור. ולכן תי' דלא אלימא חליצת זקוקה לפטור הכנוסה, דחליצה פטור ולא קנין כדאמרי' בירושלמי. אבל אם בא על בעלת מאמר נפטרה צרתה</w:t>
      </w:r>
      <w:r w:rsidRPr="009F36E0">
        <w:rPr>
          <w:rFonts w:ascii="Narkisim" w:hAnsi="Narkisim" w:cs="Narkisim"/>
        </w:rPr>
        <w:t>.</w:t>
      </w:r>
    </w:p>
    <w:p w14:paraId="79641926" w14:textId="77777777" w:rsidR="006074A5" w:rsidRPr="009F36E0" w:rsidRDefault="006074A5" w:rsidP="006074A5">
      <w:pPr>
        <w:bidi/>
        <w:rPr>
          <w:rFonts w:ascii="Narkisim" w:hAnsi="Narkisim" w:cs="Narkisim"/>
        </w:rPr>
      </w:pPr>
      <w:r w:rsidRPr="009F36E0">
        <w:rPr>
          <w:rFonts w:ascii="Narkisim" w:hAnsi="Narkisim" w:cs="Narkisim"/>
          <w:u w:val="single"/>
          <w:rtl/>
        </w:rPr>
        <w:t>האי בבא דסיפא למאן קתני לה.</w:t>
      </w:r>
      <w:r w:rsidRPr="009F36E0">
        <w:rPr>
          <w:rFonts w:ascii="Narkisim" w:hAnsi="Narkisim" w:cs="Narkisim"/>
          <w:rtl/>
        </w:rPr>
        <w:t xml:space="preserve"> ה</w:t>
      </w:r>
      <w:r w:rsidRPr="009F36E0">
        <w:rPr>
          <w:rFonts w:ascii="Narkisim" w:hAnsi="Narkisim" w:cs="Narkisim"/>
          <w:b/>
          <w:bCs/>
          <w:rtl/>
        </w:rPr>
        <w:t>ראשונים</w:t>
      </w:r>
      <w:r w:rsidRPr="009F36E0">
        <w:rPr>
          <w:rFonts w:ascii="Narkisim" w:hAnsi="Narkisim" w:cs="Narkisim"/>
          <w:rtl/>
        </w:rPr>
        <w:t xml:space="preserve"> הקשו אמאי לא אמרי' להודיעך כוחו דר' שמעון, וכמו במשנה. </w:t>
      </w:r>
      <w:r w:rsidRPr="009F36E0">
        <w:rPr>
          <w:rFonts w:ascii="Narkisim" w:hAnsi="Narkisim" w:cs="Narkisim"/>
          <w:sz w:val="20"/>
          <w:szCs w:val="20"/>
          <w:rtl/>
        </w:rPr>
        <w:t>וה</w:t>
      </w:r>
      <w:r w:rsidRPr="009F36E0">
        <w:rPr>
          <w:rFonts w:ascii="Narkisim" w:hAnsi="Narkisim" w:cs="Narkisim"/>
          <w:b/>
          <w:bCs/>
          <w:sz w:val="20"/>
          <w:szCs w:val="20"/>
          <w:rtl/>
        </w:rPr>
        <w:t>ר"א אב"ד</w:t>
      </w:r>
      <w:r w:rsidRPr="009F36E0">
        <w:rPr>
          <w:rFonts w:ascii="Narkisim" w:hAnsi="Narkisim" w:cs="Narkisim"/>
          <w:sz w:val="20"/>
          <w:szCs w:val="20"/>
          <w:rtl/>
        </w:rPr>
        <w:t xml:space="preserve"> תי' דקוש' הגמ' לערבינהו, אבל במשנה א"א לערב משום מאמר. וה</w:t>
      </w:r>
      <w:r w:rsidRPr="009F36E0">
        <w:rPr>
          <w:rFonts w:ascii="Narkisim" w:hAnsi="Narkisim" w:cs="Narkisim"/>
          <w:b/>
          <w:bCs/>
          <w:sz w:val="20"/>
          <w:szCs w:val="20"/>
          <w:rtl/>
        </w:rPr>
        <w:t>ריטב"א</w:t>
      </w:r>
      <w:r w:rsidRPr="009F36E0">
        <w:rPr>
          <w:rFonts w:ascii="Narkisim" w:hAnsi="Narkisim" w:cs="Narkisim"/>
          <w:sz w:val="20"/>
          <w:szCs w:val="20"/>
          <w:rtl/>
        </w:rPr>
        <w:t xml:space="preserve"> הוסיף דתנא דברייתא חזינן דעריב מאי דדמי</w:t>
      </w:r>
      <w:r w:rsidRPr="009F36E0">
        <w:rPr>
          <w:rFonts w:ascii="Narkisim" w:hAnsi="Narkisim" w:cs="Narkisim"/>
          <w:sz w:val="20"/>
          <w:szCs w:val="20"/>
        </w:rPr>
        <w:t>.</w:t>
      </w:r>
    </w:p>
    <w:p w14:paraId="1025AEF5" w14:textId="77777777" w:rsidR="006074A5" w:rsidRPr="009F36E0" w:rsidRDefault="006074A5" w:rsidP="006074A5">
      <w:pPr>
        <w:pStyle w:val="a7"/>
        <w:bidi/>
        <w:rPr>
          <w:rFonts w:ascii="Narkisim" w:hAnsi="Narkisim"/>
        </w:rPr>
      </w:pPr>
      <w:r w:rsidRPr="009F36E0">
        <w:rPr>
          <w:rFonts w:ascii="Narkisim" w:hAnsi="Narkisim"/>
          <w:rtl/>
        </w:rPr>
        <w:t>ועוד כתב ה</w:t>
      </w:r>
      <w:r w:rsidRPr="009F36E0">
        <w:rPr>
          <w:rFonts w:ascii="Narkisim" w:hAnsi="Narkisim"/>
          <w:b/>
          <w:bCs/>
          <w:rtl/>
        </w:rPr>
        <w:t>רמב"ן</w:t>
      </w:r>
      <w:r w:rsidRPr="009F36E0">
        <w:rPr>
          <w:rFonts w:ascii="Narkisim" w:hAnsi="Narkisim"/>
          <w:rtl/>
        </w:rPr>
        <w:t xml:space="preserve"> דהתיובתא מלשון הברייתא דבא ומצאה בהיתר, לאפוקי מה, לאו לאפוקי נולד ואח"כ ייבם שעמדה שעה א' באיסור, אלמא לאו ככנוסה ואסירא</w:t>
      </w:r>
      <w:r w:rsidRPr="009F36E0">
        <w:rPr>
          <w:rStyle w:val="ac"/>
          <w:rFonts w:ascii="Narkisim" w:hAnsi="Narkisim"/>
          <w:rtl/>
        </w:rPr>
        <w:footnoteReference w:id="1148"/>
      </w:r>
      <w:r w:rsidRPr="009F36E0">
        <w:rPr>
          <w:rFonts w:ascii="Narkisim" w:hAnsi="Narkisim"/>
        </w:rPr>
        <w:t xml:space="preserve">. </w:t>
      </w:r>
      <w:r w:rsidRPr="009F36E0">
        <w:rPr>
          <w:rFonts w:ascii="Narkisim" w:hAnsi="Narkisim"/>
          <w:sz w:val="20"/>
          <w:szCs w:val="20"/>
          <w:rtl/>
        </w:rPr>
        <w:t>[וה</w:t>
      </w:r>
      <w:r w:rsidRPr="009F36E0">
        <w:rPr>
          <w:rFonts w:ascii="Narkisim" w:hAnsi="Narkisim"/>
          <w:b/>
          <w:bCs/>
          <w:sz w:val="20"/>
          <w:szCs w:val="20"/>
          <w:rtl/>
        </w:rPr>
        <w:t>רשב"א</w:t>
      </w:r>
      <w:r w:rsidRPr="009F36E0">
        <w:rPr>
          <w:rFonts w:ascii="Narkisim" w:hAnsi="Narkisim"/>
          <w:sz w:val="20"/>
          <w:szCs w:val="20"/>
          <w:rtl/>
        </w:rPr>
        <w:t xml:space="preserve"> ו</w:t>
      </w:r>
      <w:r w:rsidRPr="009F36E0">
        <w:rPr>
          <w:rFonts w:ascii="Narkisim" w:hAnsi="Narkisim"/>
          <w:b/>
          <w:bCs/>
          <w:sz w:val="20"/>
          <w:szCs w:val="20"/>
          <w:rtl/>
        </w:rPr>
        <w:t>ריטב"א</w:t>
      </w:r>
      <w:r w:rsidRPr="009F36E0">
        <w:rPr>
          <w:rFonts w:ascii="Narkisim" w:hAnsi="Narkisim"/>
          <w:sz w:val="20"/>
          <w:szCs w:val="20"/>
          <w:rtl/>
        </w:rPr>
        <w:t xml:space="preserve"> כתבו דהמ"ל להקשות מהלשון דבא ומצאה בהיתר].</w:t>
      </w:r>
      <w:r w:rsidRPr="009F36E0">
        <w:rPr>
          <w:rFonts w:ascii="Narkisim" w:hAnsi="Narkisim"/>
          <w:rtl/>
        </w:rPr>
        <w:t xml:space="preserve"> אבל ה</w:t>
      </w:r>
      <w:r w:rsidRPr="009F36E0">
        <w:rPr>
          <w:rFonts w:ascii="Narkisim" w:hAnsi="Narkisim"/>
          <w:b/>
          <w:bCs/>
          <w:rtl/>
        </w:rPr>
        <w:t>תוס' הרא"ש</w:t>
      </w:r>
      <w:r w:rsidRPr="009F36E0">
        <w:rPr>
          <w:rFonts w:ascii="Narkisim" w:hAnsi="Narkisim"/>
          <w:rtl/>
        </w:rPr>
        <w:t xml:space="preserve"> כתב דמצינן למימר דמשום זיקה ככנוסה אף נולד ואח"כ ייבם נחשב מצאה בהיתר. </w:t>
      </w:r>
      <w:r w:rsidRPr="009F36E0">
        <w:rPr>
          <w:rFonts w:ascii="Narkisim" w:hAnsi="Narkisim"/>
          <w:sz w:val="20"/>
          <w:szCs w:val="20"/>
          <w:rtl/>
        </w:rPr>
        <w:t>ולא אתא לאפוקי אלא כנסה ומת ואח"כ נולד לו אח</w:t>
      </w:r>
      <w:r w:rsidRPr="009F36E0">
        <w:rPr>
          <w:rFonts w:ascii="Narkisim" w:hAnsi="Narkisim"/>
          <w:sz w:val="20"/>
          <w:szCs w:val="20"/>
        </w:rPr>
        <w:t>.</w:t>
      </w:r>
    </w:p>
    <w:p w14:paraId="10B5B311" w14:textId="77777777" w:rsidR="006074A5" w:rsidRPr="009F36E0" w:rsidRDefault="006074A5" w:rsidP="006074A5">
      <w:pPr>
        <w:pStyle w:val="aa"/>
        <w:bidi/>
        <w:rPr>
          <w:rFonts w:ascii="Narkisim" w:hAnsi="Narkisim"/>
        </w:rPr>
      </w:pPr>
      <w:r w:rsidRPr="009F36E0">
        <w:rPr>
          <w:rFonts w:ascii="Narkisim" w:hAnsi="Narkisim"/>
          <w:u w:val="single"/>
          <w:rtl/>
        </w:rPr>
        <w:t>אלא לאו ר"ש וכו' בנולד ואח"כ ייבם לא פליג, ש"מ</w:t>
      </w:r>
      <w:r w:rsidRPr="009F36E0">
        <w:rPr>
          <w:rFonts w:ascii="Narkisim" w:hAnsi="Narkisim"/>
          <w:rtl/>
        </w:rPr>
        <w:t>. וכרב פפא, ותיובתא דרב אושעיא. ה</w:t>
      </w:r>
      <w:r w:rsidRPr="009F36E0">
        <w:rPr>
          <w:rFonts w:ascii="Narkisim" w:hAnsi="Narkisim"/>
          <w:b/>
          <w:bCs/>
          <w:rtl/>
        </w:rPr>
        <w:t>אחרונים</w:t>
      </w:r>
      <w:r w:rsidRPr="009F36E0">
        <w:rPr>
          <w:rFonts w:ascii="Narkisim" w:hAnsi="Narkisim"/>
          <w:rtl/>
        </w:rPr>
        <w:t xml:space="preserve"> הביאו דב</w:t>
      </w:r>
      <w:r w:rsidRPr="009F36E0">
        <w:rPr>
          <w:rFonts w:ascii="Narkisim" w:hAnsi="Narkisim"/>
          <w:b/>
          <w:bCs/>
          <w:rtl/>
        </w:rPr>
        <w:t xml:space="preserve">ירושלמי </w:t>
      </w:r>
      <w:r w:rsidRPr="009F36E0">
        <w:rPr>
          <w:rFonts w:ascii="Narkisim" w:hAnsi="Narkisim"/>
          <w:rtl/>
        </w:rPr>
        <w:t>נשאר המסקנא כן, ולא הביאו ברייתא זו</w:t>
      </w:r>
      <w:r w:rsidRPr="009F36E0">
        <w:rPr>
          <w:rFonts w:ascii="Narkisim" w:hAnsi="Narkisim"/>
        </w:rPr>
        <w:t>.</w:t>
      </w:r>
    </w:p>
    <w:p w14:paraId="25A34049" w14:textId="77777777" w:rsidR="006074A5" w:rsidRPr="009F36E0" w:rsidRDefault="006074A5" w:rsidP="006074A5">
      <w:pPr>
        <w:pStyle w:val="2"/>
        <w:bidi/>
        <w:rPr>
          <w:rFonts w:ascii="Narkisim" w:hAnsi="Narkisim"/>
        </w:rPr>
      </w:pPr>
      <w:r w:rsidRPr="009F36E0">
        <w:rPr>
          <w:rFonts w:ascii="Narkisim" w:hAnsi="Narkisim"/>
          <w:rtl/>
        </w:rPr>
        <w:t>מאמר</w:t>
      </w:r>
    </w:p>
    <w:p w14:paraId="02E5F156" w14:textId="77777777" w:rsidR="006074A5" w:rsidRPr="009F36E0" w:rsidRDefault="006074A5" w:rsidP="006074A5">
      <w:pPr>
        <w:bidi/>
        <w:rPr>
          <w:rFonts w:ascii="Narkisim" w:hAnsi="Narkisim" w:cs="Narkisim"/>
        </w:rPr>
      </w:pPr>
      <w:r w:rsidRPr="009F36E0">
        <w:rPr>
          <w:rFonts w:ascii="Narkisim" w:hAnsi="Narkisim" w:cs="Narkisim"/>
          <w:u w:val="single"/>
          <w:rtl/>
        </w:rPr>
        <w:t>עמד השני לעשות מאמר וכו'</w:t>
      </w:r>
      <w:r w:rsidRPr="009F36E0">
        <w:rPr>
          <w:rFonts w:ascii="Narkisim" w:hAnsi="Narkisim" w:cs="Narkisim"/>
          <w:rtl/>
        </w:rPr>
        <w:t xml:space="preserve">. </w:t>
      </w:r>
      <w:r w:rsidRPr="009F36E0">
        <w:rPr>
          <w:rFonts w:ascii="Narkisim" w:hAnsi="Narkisim" w:cs="Narkisim"/>
          <w:b/>
          <w:bCs/>
          <w:rtl/>
        </w:rPr>
        <w:t>רש"י</w:t>
      </w:r>
      <w:r w:rsidRPr="009F36E0">
        <w:rPr>
          <w:rFonts w:ascii="Narkisim" w:hAnsi="Narkisim" w:cs="Narkisim"/>
          <w:rtl/>
        </w:rPr>
        <w:t xml:space="preserve"> (נב. ד"ה נתן) כתב דמאמר ל"מ מדאורייתא, דאין קידושין תופסים באשת אח, והתורה לא התירתה לו אלא כסדר המצוה. </w:t>
      </w:r>
      <w:r w:rsidRPr="009F36E0">
        <w:rPr>
          <w:rFonts w:ascii="Narkisim" w:hAnsi="Narkisim" w:cs="Narkisim"/>
          <w:sz w:val="20"/>
          <w:szCs w:val="20"/>
          <w:rtl/>
        </w:rPr>
        <w:t>[וה</w:t>
      </w:r>
      <w:r w:rsidRPr="009F36E0">
        <w:rPr>
          <w:rFonts w:ascii="Narkisim" w:hAnsi="Narkisim" w:cs="Narkisim"/>
          <w:b/>
          <w:bCs/>
          <w:sz w:val="20"/>
          <w:szCs w:val="20"/>
          <w:rtl/>
        </w:rPr>
        <w:t>אחרונים</w:t>
      </w:r>
      <w:r w:rsidRPr="009F36E0">
        <w:rPr>
          <w:rFonts w:ascii="Narkisim" w:hAnsi="Narkisim" w:cs="Narkisim"/>
          <w:sz w:val="20"/>
          <w:szCs w:val="20"/>
          <w:rtl/>
        </w:rPr>
        <w:t xml:space="preserve"> ביארו דכלפי קידושין נחשב שעדיין הוה איסור אשת אח</w:t>
      </w:r>
      <w:r w:rsidRPr="009F36E0">
        <w:rPr>
          <w:rStyle w:val="ac"/>
          <w:rFonts w:ascii="Narkisim" w:hAnsi="Narkisim" w:cs="Narkisim"/>
          <w:sz w:val="20"/>
          <w:szCs w:val="20"/>
          <w:rtl/>
        </w:rPr>
        <w:footnoteReference w:id="1149"/>
      </w:r>
      <w:r w:rsidRPr="009F36E0">
        <w:rPr>
          <w:rFonts w:ascii="Narkisim" w:hAnsi="Narkisim" w:cs="Narkisim"/>
          <w:sz w:val="20"/>
          <w:szCs w:val="20"/>
          <w:rtl/>
        </w:rPr>
        <w:t>].</w:t>
      </w:r>
      <w:r w:rsidRPr="009F36E0">
        <w:rPr>
          <w:rFonts w:ascii="Narkisim" w:hAnsi="Narkisim" w:cs="Narkisim"/>
          <w:rtl/>
        </w:rPr>
        <w:t xml:space="preserve"> וה</w:t>
      </w:r>
      <w:r w:rsidRPr="009F36E0">
        <w:rPr>
          <w:rFonts w:ascii="Narkisim" w:hAnsi="Narkisim" w:cs="Narkisim"/>
          <w:b/>
          <w:bCs/>
          <w:rtl/>
        </w:rPr>
        <w:t>אחרונים</w:t>
      </w:r>
      <w:r w:rsidRPr="009F36E0">
        <w:rPr>
          <w:rFonts w:ascii="Narkisim" w:hAnsi="Narkisim" w:cs="Narkisim"/>
          <w:sz w:val="20"/>
          <w:szCs w:val="20"/>
          <w:rtl/>
        </w:rPr>
        <w:t xml:space="preserve"> (קובה"ע ו ט) </w:t>
      </w:r>
      <w:r w:rsidRPr="009F36E0">
        <w:rPr>
          <w:rFonts w:ascii="Narkisim" w:hAnsi="Narkisim" w:cs="Narkisim"/>
          <w:rtl/>
        </w:rPr>
        <w:t>הביאו דלדעת רש”י נשאר איסור אשת אח אף כלפי היבם, ואילו דעת ה</w:t>
      </w:r>
      <w:r w:rsidRPr="009F36E0">
        <w:rPr>
          <w:rFonts w:ascii="Narkisim" w:hAnsi="Narkisim" w:cs="Narkisim"/>
          <w:b/>
          <w:bCs/>
          <w:rtl/>
        </w:rPr>
        <w:t>רשב"א</w:t>
      </w:r>
      <w:r w:rsidRPr="009F36E0">
        <w:rPr>
          <w:rFonts w:ascii="Narkisim" w:hAnsi="Narkisim" w:cs="Narkisim"/>
          <w:rtl/>
        </w:rPr>
        <w:t xml:space="preserve"> (מא.) דבשעת נפילה הותר האיסור אשת אח לגמרי</w:t>
      </w:r>
      <w:r w:rsidRPr="009F36E0">
        <w:rPr>
          <w:rStyle w:val="ac"/>
          <w:rFonts w:ascii="Narkisim" w:hAnsi="Narkisim" w:cs="Narkisim"/>
          <w:rtl/>
        </w:rPr>
        <w:footnoteReference w:id="1150"/>
      </w:r>
      <w:r w:rsidRPr="009F36E0">
        <w:rPr>
          <w:rFonts w:ascii="Narkisim" w:hAnsi="Narkisim" w:cs="Narkisim"/>
        </w:rPr>
        <w:t xml:space="preserve">. </w:t>
      </w:r>
      <w:r w:rsidRPr="009F36E0">
        <w:rPr>
          <w:rFonts w:ascii="Narkisim" w:hAnsi="Narkisim" w:cs="Narkisim"/>
          <w:rtl/>
        </w:rPr>
        <w:t>ולדברי הרשב"א ממעטינן מגזיה"כ דמאמר ל"מ מדאוריי', דדרשי' ביאה גומרת בה ואין כסף ושטר גומרים בה [קידושין יד.]</w:t>
      </w:r>
      <w:r w:rsidRPr="009F36E0">
        <w:rPr>
          <w:rStyle w:val="ac"/>
          <w:rFonts w:ascii="Narkisim" w:hAnsi="Narkisim" w:cs="Narkisim"/>
          <w:rtl/>
        </w:rPr>
        <w:footnoteReference w:id="1151"/>
      </w:r>
      <w:r w:rsidRPr="009F36E0">
        <w:rPr>
          <w:rFonts w:ascii="Narkisim" w:hAnsi="Narkisim" w:cs="Narkisim"/>
        </w:rPr>
        <w:t xml:space="preserve">. </w:t>
      </w:r>
      <w:r w:rsidRPr="009F36E0">
        <w:rPr>
          <w:rFonts w:ascii="Narkisim" w:hAnsi="Narkisim" w:cs="Narkisim"/>
          <w:sz w:val="20"/>
          <w:szCs w:val="20"/>
          <w:rtl/>
        </w:rPr>
        <w:t>[וע"ע כ. רש”י ד”ה תפסי]</w:t>
      </w:r>
      <w:r w:rsidRPr="009F36E0">
        <w:rPr>
          <w:rFonts w:ascii="Narkisim" w:hAnsi="Narkisim" w:cs="Narkisim"/>
          <w:sz w:val="20"/>
          <w:szCs w:val="20"/>
        </w:rPr>
        <w:t>.</w:t>
      </w:r>
    </w:p>
    <w:p w14:paraId="4A68284A" w14:textId="77777777" w:rsidR="006074A5" w:rsidRPr="009F36E0" w:rsidRDefault="006074A5" w:rsidP="006074A5">
      <w:pPr>
        <w:bidi/>
        <w:rPr>
          <w:rFonts w:ascii="Narkisim" w:hAnsi="Narkisim" w:cs="Narkisim"/>
        </w:rPr>
      </w:pPr>
      <w:r w:rsidRPr="009F36E0">
        <w:rPr>
          <w:rFonts w:ascii="Narkisim" w:hAnsi="Narkisim" w:cs="Narkisim"/>
          <w:u w:val="single"/>
          <w:rtl/>
        </w:rPr>
        <w:t>דתניא העושה מאמר ביבמתו שלא מדעתה רבי אמר קנה וכו'.</w:t>
      </w:r>
      <w:r w:rsidRPr="009F36E0">
        <w:rPr>
          <w:rFonts w:ascii="Narkisim" w:hAnsi="Narkisim" w:cs="Narkisim"/>
          <w:rtl/>
        </w:rPr>
        <w:t xml:space="preserve"> דומיא דיבום דהוה בע"כ. </w:t>
      </w:r>
      <w:r w:rsidRPr="009F36E0">
        <w:rPr>
          <w:rFonts w:ascii="Narkisim" w:hAnsi="Narkisim" w:cs="Narkisim"/>
          <w:b/>
          <w:bCs/>
          <w:rtl/>
        </w:rPr>
        <w:t>תוס</w:t>
      </w:r>
      <w:r w:rsidRPr="009F36E0">
        <w:rPr>
          <w:rFonts w:ascii="Narkisim" w:hAnsi="Narkisim" w:cs="Narkisim"/>
          <w:rtl/>
        </w:rPr>
        <w:t>' (קידושין מד. ד"ה במאמר) כת' דמ"מ צריך להודיע לה</w:t>
      </w:r>
      <w:r w:rsidRPr="009F36E0">
        <w:rPr>
          <w:rFonts w:ascii="Narkisim" w:hAnsi="Narkisim" w:cs="Narkisim"/>
        </w:rPr>
        <w:t>.</w:t>
      </w:r>
    </w:p>
    <w:p w14:paraId="18DE73A2" w14:textId="77777777" w:rsidR="006074A5" w:rsidRPr="009F36E0" w:rsidRDefault="006074A5" w:rsidP="006074A5">
      <w:pPr>
        <w:pStyle w:val="a8"/>
        <w:bidi/>
        <w:rPr>
          <w:rFonts w:ascii="Narkisim" w:hAnsi="Narkisim"/>
        </w:rPr>
      </w:pPr>
      <w:r w:rsidRPr="009F36E0">
        <w:rPr>
          <w:rFonts w:ascii="Narkisim" w:hAnsi="Narkisim"/>
          <w:rtl/>
        </w:rPr>
        <w:t>ופ</w:t>
      </w:r>
      <w:r w:rsidRPr="009F36E0">
        <w:rPr>
          <w:rFonts w:ascii="Narkisim" w:hAnsi="Narkisim"/>
          <w:b/>
          <w:bCs/>
          <w:rtl/>
        </w:rPr>
        <w:t>רש"י</w:t>
      </w:r>
      <w:r w:rsidRPr="009F36E0">
        <w:rPr>
          <w:rFonts w:ascii="Narkisim" w:hAnsi="Narkisim"/>
          <w:rtl/>
        </w:rPr>
        <w:t xml:space="preserve"> (שם) כגון אם זרק לה כסף בע"כ. וה</w:t>
      </w:r>
      <w:r w:rsidRPr="009F36E0">
        <w:rPr>
          <w:rFonts w:ascii="Narkisim" w:hAnsi="Narkisim"/>
          <w:b/>
          <w:bCs/>
          <w:rtl/>
        </w:rPr>
        <w:t>אחרונים</w:t>
      </w:r>
      <w:r w:rsidRPr="009F36E0">
        <w:rPr>
          <w:rFonts w:ascii="Narkisim" w:hAnsi="Narkisim"/>
          <w:rtl/>
        </w:rPr>
        <w:t xml:space="preserve"> (דב"א ב יח א) הק' דהיכא דזרק לה בע"כ אינה זוכה בכסף כלל, ול”ש בזה קנין כסף כלל. וה</w:t>
      </w:r>
      <w:r w:rsidRPr="009F36E0">
        <w:rPr>
          <w:rFonts w:ascii="Narkisim" w:hAnsi="Narkisim"/>
          <w:b/>
          <w:bCs/>
          <w:rtl/>
        </w:rPr>
        <w:t>גרנ"ט</w:t>
      </w:r>
      <w:r w:rsidRPr="009F36E0">
        <w:rPr>
          <w:rFonts w:ascii="Narkisim" w:hAnsi="Narkisim"/>
          <w:rtl/>
        </w:rPr>
        <w:t xml:space="preserve"> (צא) חידש דלענין קנין כסף אי"צ זכיה בכסף, וסגי בנתינה בעלמא. [שעומד לרשותה]</w:t>
      </w:r>
      <w:r w:rsidRPr="009F36E0">
        <w:rPr>
          <w:rFonts w:ascii="Narkisim" w:hAnsi="Narkisim"/>
        </w:rPr>
        <w:t>.</w:t>
      </w:r>
    </w:p>
    <w:p w14:paraId="2906C2AE" w14:textId="77777777" w:rsidR="006074A5" w:rsidRPr="009F36E0" w:rsidRDefault="006074A5" w:rsidP="006074A5">
      <w:pPr>
        <w:bidi/>
        <w:rPr>
          <w:rFonts w:ascii="Narkisim" w:hAnsi="Narkisim" w:cs="Narkisim"/>
        </w:rPr>
      </w:pPr>
      <w:r w:rsidRPr="009F36E0">
        <w:rPr>
          <w:rFonts w:ascii="Narkisim" w:hAnsi="Narkisim" w:cs="Narkisim"/>
          <w:u w:val="single"/>
          <w:rtl/>
        </w:rPr>
        <w:t>ורבנן גמרי מקידושין וכו'.</w:t>
      </w:r>
      <w:r w:rsidRPr="009F36E0">
        <w:rPr>
          <w:rFonts w:ascii="Narkisim" w:hAnsi="Narkisim" w:cs="Narkisim"/>
          <w:rtl/>
        </w:rPr>
        <w:t xml:space="preserve"> בפשוטו משמע דנח' רבי ורבנן בגדר מאמר, אי הוה גדר קידושין, דמדרבנן מהני קידושין ביבמה, או מדרבנן תקנו כעין יבום</w:t>
      </w:r>
      <w:r w:rsidRPr="009F36E0">
        <w:rPr>
          <w:rStyle w:val="ac"/>
          <w:rFonts w:ascii="Narkisim" w:hAnsi="Narkisim" w:cs="Narkisim"/>
          <w:rtl/>
        </w:rPr>
        <w:footnoteReference w:id="1152"/>
      </w:r>
      <w:r w:rsidRPr="009F36E0">
        <w:rPr>
          <w:rFonts w:ascii="Narkisim" w:hAnsi="Narkisim" w:cs="Narkisim"/>
        </w:rPr>
        <w:t xml:space="preserve">. </w:t>
      </w:r>
      <w:r w:rsidRPr="009F36E0">
        <w:rPr>
          <w:rFonts w:ascii="Narkisim" w:hAnsi="Narkisim" w:cs="Narkisim"/>
          <w:rtl/>
        </w:rPr>
        <w:t xml:space="preserve">והאחרונים חקרו בזה. </w:t>
      </w:r>
      <w:r w:rsidRPr="009F36E0">
        <w:rPr>
          <w:rFonts w:ascii="Narkisim" w:hAnsi="Narkisim" w:cs="Narkisim"/>
          <w:szCs w:val="20"/>
          <w:rtl/>
        </w:rPr>
        <w:t>[ועוד חקרו אליבא דבי"ש דמאמר קונה קנין גמור אי הוה גדר קידושין או מגדרי יבום. וע”ע תוס' ותו”י לקמן כט.]</w:t>
      </w:r>
      <w:r w:rsidRPr="009F36E0">
        <w:rPr>
          <w:rFonts w:ascii="Narkisim" w:hAnsi="Narkisim" w:cs="Narkisim"/>
          <w:rtl/>
        </w:rPr>
        <w:t>. וה</w:t>
      </w:r>
      <w:r w:rsidRPr="009F36E0">
        <w:rPr>
          <w:rFonts w:ascii="Narkisim" w:hAnsi="Narkisim" w:cs="Narkisim"/>
          <w:b/>
          <w:bCs/>
          <w:rtl/>
        </w:rPr>
        <w:t>אחרונים</w:t>
      </w:r>
      <w:r w:rsidRPr="009F36E0">
        <w:rPr>
          <w:rFonts w:ascii="Narkisim" w:hAnsi="Narkisim" w:cs="Narkisim"/>
          <w:rtl/>
        </w:rPr>
        <w:t xml:space="preserve"> דחו דכוונת הגמ' דילפי' </w:t>
      </w:r>
      <w:r w:rsidRPr="009F36E0">
        <w:rPr>
          <w:rFonts w:ascii="Narkisim" w:hAnsi="Narkisim" w:cs="Narkisim"/>
          <w:i/>
          <w:iCs/>
          <w:rtl/>
        </w:rPr>
        <w:t>צורת</w:t>
      </w:r>
      <w:r w:rsidRPr="009F36E0">
        <w:rPr>
          <w:rFonts w:ascii="Narkisim" w:hAnsi="Narkisim" w:cs="Narkisim"/>
          <w:rtl/>
        </w:rPr>
        <w:t xml:space="preserve"> </w:t>
      </w:r>
      <w:r w:rsidRPr="009F36E0">
        <w:rPr>
          <w:rFonts w:ascii="Narkisim" w:hAnsi="Narkisim" w:cs="Narkisim"/>
          <w:i/>
          <w:iCs/>
          <w:rtl/>
        </w:rPr>
        <w:t>המעשה</w:t>
      </w:r>
      <w:r w:rsidRPr="009F36E0">
        <w:rPr>
          <w:rFonts w:ascii="Narkisim" w:hAnsi="Narkisim" w:cs="Narkisim"/>
          <w:rtl/>
        </w:rPr>
        <w:t xml:space="preserve"> מקידושין</w:t>
      </w:r>
      <w:r w:rsidRPr="009F36E0">
        <w:rPr>
          <w:rFonts w:ascii="Narkisim" w:hAnsi="Narkisim" w:cs="Narkisim"/>
        </w:rPr>
        <w:t>.</w:t>
      </w:r>
    </w:p>
    <w:p w14:paraId="036742DD"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גר"א</w:t>
      </w:r>
      <w:r w:rsidRPr="009F36E0">
        <w:rPr>
          <w:rFonts w:ascii="Narkisim" w:hAnsi="Narkisim"/>
          <w:rtl/>
        </w:rPr>
        <w:t xml:space="preserve"> (קסו ח) ציין דמהני מאמר ע"י שליח, דהא קי"ל כרבנן דילפי' מקידושין דעלמא. [ומשמע דלרבי לא מהני ע"י שליח]</w:t>
      </w:r>
      <w:r w:rsidRPr="009F36E0">
        <w:rPr>
          <w:rFonts w:ascii="Narkisim" w:hAnsi="Narkisim"/>
        </w:rPr>
        <w:t>.</w:t>
      </w:r>
    </w:p>
    <w:p w14:paraId="2B7CCDDC" w14:textId="77777777" w:rsidR="006074A5" w:rsidRPr="009F36E0" w:rsidRDefault="006074A5" w:rsidP="006074A5">
      <w:pPr>
        <w:pStyle w:val="aa"/>
        <w:bidi/>
        <w:rPr>
          <w:rFonts w:ascii="Narkisim" w:hAnsi="Narkisim"/>
        </w:rPr>
      </w:pPr>
      <w:r w:rsidRPr="009F36E0">
        <w:rPr>
          <w:rFonts w:ascii="Narkisim" w:hAnsi="Narkisim"/>
          <w:u w:val="single"/>
          <w:rtl/>
        </w:rPr>
        <w:t>שם. מה קידושין דעלמא מדעתה</w:t>
      </w:r>
      <w:r w:rsidRPr="009F36E0">
        <w:rPr>
          <w:rFonts w:ascii="Narkisim" w:hAnsi="Narkisim"/>
          <w:rtl/>
        </w:rPr>
        <w:t>. ה</w:t>
      </w:r>
      <w:r w:rsidRPr="009F36E0">
        <w:rPr>
          <w:rFonts w:ascii="Narkisim" w:hAnsi="Narkisim"/>
          <w:b/>
          <w:bCs/>
          <w:rtl/>
        </w:rPr>
        <w:t xml:space="preserve">רשב"א </w:t>
      </w:r>
      <w:r w:rsidRPr="009F36E0">
        <w:rPr>
          <w:rFonts w:ascii="Narkisim" w:hAnsi="Narkisim"/>
          <w:rtl/>
        </w:rPr>
        <w:t>הק' דאף קידושין מצאנו בע"כ, דקידושי קטנה מהני בע"כ ע"י אביה [וע' גיטין כא. דע"י אביה נחשב בע"כ]. ותי' דהוה מדעת מקנה. עי"ש</w:t>
      </w:r>
      <w:r w:rsidRPr="009F36E0">
        <w:rPr>
          <w:rFonts w:ascii="Narkisim" w:hAnsi="Narkisim"/>
        </w:rPr>
        <w:t>.</w:t>
      </w:r>
    </w:p>
    <w:p w14:paraId="6DF245E3" w14:textId="77777777" w:rsidR="006074A5" w:rsidRPr="009F36E0" w:rsidRDefault="006074A5" w:rsidP="006074A5">
      <w:pPr>
        <w:bidi/>
        <w:rPr>
          <w:rFonts w:ascii="Narkisim" w:hAnsi="Narkisim" w:cs="Narkisim"/>
        </w:rPr>
      </w:pPr>
      <w:r w:rsidRPr="009F36E0">
        <w:rPr>
          <w:rFonts w:ascii="Narkisim" w:hAnsi="Narkisim" w:cs="Narkisim"/>
          <w:u w:val="single"/>
          <w:rtl/>
        </w:rPr>
        <w:t>רש"י ד"ה קדושין דעלמא.</w:t>
      </w:r>
      <w:r w:rsidRPr="009F36E0">
        <w:rPr>
          <w:rFonts w:ascii="Narkisim" w:hAnsi="Narkisim" w:cs="Narkisim"/>
          <w:rtl/>
        </w:rPr>
        <w:t xml:space="preserve"> והלכה והיתה לאיש אחר מדעתה משמע. דגזיה"כ דא"א לקדש </w:t>
      </w:r>
      <w:r w:rsidRPr="009F36E0">
        <w:rPr>
          <w:rFonts w:ascii="Narkisim" w:hAnsi="Narkisim" w:cs="Narkisim"/>
          <w:rtl/>
        </w:rPr>
        <w:lastRenderedPageBreak/>
        <w:t>אשה בע"כ, וה</w:t>
      </w:r>
      <w:r w:rsidRPr="009F36E0">
        <w:rPr>
          <w:rFonts w:ascii="Narkisim" w:hAnsi="Narkisim" w:cs="Narkisim"/>
          <w:b/>
          <w:bCs/>
          <w:rtl/>
        </w:rPr>
        <w:t xml:space="preserve">אחרונים </w:t>
      </w:r>
      <w:r w:rsidRPr="009F36E0">
        <w:rPr>
          <w:rFonts w:ascii="Narkisim" w:hAnsi="Narkisim" w:cs="Narkisim"/>
          <w:rtl/>
        </w:rPr>
        <w:t>הק' אמאי איצטריך קרא</w:t>
      </w:r>
      <w:r w:rsidRPr="009F36E0">
        <w:rPr>
          <w:rStyle w:val="ac"/>
          <w:rFonts w:ascii="Narkisim" w:hAnsi="Narkisim" w:cs="Narkisim"/>
          <w:rtl/>
        </w:rPr>
        <w:footnoteReference w:id="1153"/>
      </w:r>
      <w:r w:rsidRPr="009F36E0">
        <w:rPr>
          <w:rFonts w:ascii="Narkisim" w:hAnsi="Narkisim" w:cs="Narkisim"/>
        </w:rPr>
        <w:t xml:space="preserve">, </w:t>
      </w:r>
      <w:r w:rsidRPr="009F36E0">
        <w:rPr>
          <w:rFonts w:ascii="Narkisim" w:hAnsi="Narkisim" w:cs="Narkisim"/>
          <w:rtl/>
        </w:rPr>
        <w:t xml:space="preserve">ובפשוטו ל"מ קידושין בע"כ מסברא. וכ"כ </w:t>
      </w:r>
      <w:r w:rsidRPr="009F36E0">
        <w:rPr>
          <w:rFonts w:ascii="Narkisim" w:hAnsi="Narkisim" w:cs="Narkisim"/>
          <w:b/>
          <w:bCs/>
          <w:rtl/>
        </w:rPr>
        <w:t>רש"י</w:t>
      </w:r>
      <w:r w:rsidRPr="009F36E0">
        <w:rPr>
          <w:rFonts w:ascii="Narkisim" w:hAnsi="Narkisim" w:cs="Narkisim"/>
          <w:rtl/>
        </w:rPr>
        <w:t xml:space="preserve"> (קידושין מד.) דבעינן דעת מקנה. וה</w:t>
      </w:r>
      <w:r w:rsidRPr="009F36E0">
        <w:rPr>
          <w:rFonts w:ascii="Narkisim" w:hAnsi="Narkisim" w:cs="Narkisim"/>
          <w:b/>
          <w:bCs/>
          <w:rtl/>
        </w:rPr>
        <w:t>אחרונים</w:t>
      </w:r>
      <w:r w:rsidRPr="009F36E0">
        <w:rPr>
          <w:rStyle w:val="ac"/>
          <w:rFonts w:ascii="Narkisim" w:hAnsi="Narkisim" w:cs="Narkisim"/>
          <w:rtl/>
        </w:rPr>
        <w:footnoteReference w:id="1154"/>
      </w:r>
      <w:r w:rsidRPr="009F36E0">
        <w:rPr>
          <w:rFonts w:ascii="Narkisim" w:hAnsi="Narkisim" w:cs="Narkisim"/>
        </w:rPr>
        <w:t xml:space="preserve"> </w:t>
      </w:r>
      <w:r w:rsidRPr="009F36E0">
        <w:rPr>
          <w:rFonts w:ascii="Narkisim" w:hAnsi="Narkisim" w:cs="Narkisim"/>
          <w:rtl/>
        </w:rPr>
        <w:t>ביארו דיבמה זקוקה ועומדת, אין חסרון מצד דעת מקנה [ומיבמה בע"כ]. ומש"ה ל"ש ללמוד מקידושין שצריך דעת לחלות ההקנאה. אלא דרש"י למד מקרא דיש חסרון בקידושין בע"כ, דלא נחשב 'מעשה קידושין'. ומעשה מאמר ילפי' ממעשה קידושין</w:t>
      </w:r>
      <w:r w:rsidRPr="009F36E0">
        <w:rPr>
          <w:rFonts w:ascii="Narkisim" w:hAnsi="Narkisim" w:cs="Narkisim"/>
        </w:rPr>
        <w:t>.</w:t>
      </w:r>
    </w:p>
    <w:p w14:paraId="027014EC" w14:textId="77777777" w:rsidR="006074A5" w:rsidRPr="009F36E0" w:rsidRDefault="006074A5" w:rsidP="006074A5">
      <w:pPr>
        <w:pStyle w:val="aa"/>
        <w:bidi/>
        <w:rPr>
          <w:rFonts w:ascii="Narkisim" w:hAnsi="Narkisim"/>
        </w:rPr>
      </w:pPr>
      <w:r w:rsidRPr="009F36E0">
        <w:rPr>
          <w:rFonts w:ascii="Narkisim" w:hAnsi="Narkisim"/>
          <w:rtl/>
        </w:rPr>
        <w:t>ובברייתא (קידושין מד.) מבואר דל"מ מאמר בקטנה ע"י עצמה [ומשמע דאף לרבי], וה</w:t>
      </w:r>
      <w:r w:rsidRPr="009F36E0">
        <w:rPr>
          <w:rFonts w:ascii="Narkisim" w:hAnsi="Narkisim"/>
          <w:b/>
          <w:bCs/>
          <w:rtl/>
        </w:rPr>
        <w:t>ראשונים</w:t>
      </w:r>
      <w:r w:rsidRPr="009F36E0">
        <w:rPr>
          <w:rFonts w:ascii="Narkisim" w:hAnsi="Narkisim"/>
          <w:rtl/>
        </w:rPr>
        <w:t xml:space="preserve"> הק' דהא מהני בע"כ. וה</w:t>
      </w:r>
      <w:r w:rsidRPr="009F36E0">
        <w:rPr>
          <w:rFonts w:ascii="Narkisim" w:hAnsi="Narkisim"/>
          <w:b/>
          <w:bCs/>
          <w:rtl/>
        </w:rPr>
        <w:t>שיטה לנ"ל</w:t>
      </w:r>
      <w:r w:rsidRPr="009F36E0">
        <w:rPr>
          <w:rFonts w:ascii="Narkisim" w:hAnsi="Narkisim"/>
          <w:rtl/>
        </w:rPr>
        <w:t xml:space="preserve"> (שם) תי' דקטנה לאו בת מקני נפשא. ודוקא באשה בעלמא שיכולה להקנות עצמה תקנו דמהני בע"כ, להכירא דלא הוה קידושין בעלמא</w:t>
      </w:r>
      <w:r w:rsidRPr="009F36E0">
        <w:rPr>
          <w:rFonts w:ascii="Narkisim" w:hAnsi="Narkisim"/>
        </w:rPr>
        <w:t>.</w:t>
      </w:r>
    </w:p>
    <w:p w14:paraId="20DF542A" w14:textId="77777777" w:rsidR="006074A5" w:rsidRPr="009F36E0" w:rsidRDefault="006074A5" w:rsidP="006074A5">
      <w:pPr>
        <w:pStyle w:val="aa"/>
        <w:bidi/>
        <w:rPr>
          <w:rFonts w:ascii="Narkisim" w:hAnsi="Narkisim"/>
        </w:rPr>
      </w:pPr>
      <w:r w:rsidRPr="009F36E0">
        <w:rPr>
          <w:rFonts w:ascii="Narkisim" w:hAnsi="Narkisim"/>
          <w:u w:val="single"/>
          <w:rtl/>
        </w:rPr>
        <w:t>מ"ט הוה צרה ודאי ובעלת מאמר ספק, ואין ספק מוציא מידי ודאי</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דאי מאמר ל"ק, א"כ שניה לא הוה צרת ערוה, ובעלת מאמר הוה ספק. דלר' שמעון מאמר נחשב גדר ספק</w:t>
      </w:r>
      <w:r w:rsidRPr="009F36E0">
        <w:rPr>
          <w:rFonts w:ascii="Narkisim" w:hAnsi="Narkisim"/>
        </w:rPr>
        <w:t>.</w:t>
      </w:r>
    </w:p>
    <w:p w14:paraId="32AC8C1A" w14:textId="77777777" w:rsidR="006074A5" w:rsidRPr="009F36E0" w:rsidRDefault="006074A5" w:rsidP="006074A5">
      <w:pPr>
        <w:pStyle w:val="a8"/>
        <w:bidi/>
        <w:rPr>
          <w:rFonts w:ascii="Narkisim" w:hAnsi="Narkisim"/>
        </w:rPr>
      </w:pPr>
      <w:r w:rsidRPr="009F36E0">
        <w:rPr>
          <w:rFonts w:ascii="Narkisim" w:hAnsi="Narkisim"/>
          <w:rtl/>
        </w:rPr>
        <w:t>ומשמע דאמרי' אין ספק מוציא מידי ודאי, והוכרע בתורת ודאי</w:t>
      </w:r>
      <w:r w:rsidRPr="009F36E0">
        <w:rPr>
          <w:rStyle w:val="ac"/>
          <w:rFonts w:ascii="Narkisim" w:hAnsi="Narkisim"/>
          <w:rtl/>
        </w:rPr>
        <w:footnoteReference w:id="1155"/>
      </w:r>
      <w:r w:rsidRPr="009F36E0">
        <w:rPr>
          <w:rFonts w:ascii="Narkisim" w:hAnsi="Narkisim"/>
        </w:rPr>
        <w:t xml:space="preserve"> </w:t>
      </w:r>
      <w:r w:rsidRPr="009F36E0">
        <w:rPr>
          <w:rFonts w:ascii="Narkisim" w:hAnsi="Narkisim"/>
          <w:rtl/>
        </w:rPr>
        <w:t>דל"מ חליצת בעלת המאמר לצרתה. אך לכאורה הוה גדר ספק דאינה ניתרת ע"י חליצתה</w:t>
      </w:r>
      <w:r w:rsidRPr="009F36E0">
        <w:rPr>
          <w:rFonts w:ascii="Narkisim" w:hAnsi="Narkisim"/>
        </w:rPr>
        <w:t>.</w:t>
      </w:r>
    </w:p>
    <w:p w14:paraId="20879ECF" w14:textId="77777777" w:rsidR="006074A5" w:rsidRPr="009F36E0" w:rsidRDefault="006074A5" w:rsidP="006074A5">
      <w:pPr>
        <w:pStyle w:val="aa"/>
        <w:bidi/>
        <w:rPr>
          <w:rFonts w:ascii="Narkisim" w:hAnsi="Narkisim"/>
        </w:rPr>
      </w:pPr>
      <w:r w:rsidRPr="009F36E0">
        <w:rPr>
          <w:rFonts w:ascii="Narkisim" w:hAnsi="Narkisim"/>
          <w:u w:val="single"/>
          <w:rtl/>
        </w:rPr>
        <w:t>שם</w:t>
      </w:r>
      <w:r w:rsidRPr="009F36E0">
        <w:rPr>
          <w:rFonts w:ascii="Narkisim" w:hAnsi="Narkisim"/>
          <w:rtl/>
        </w:rPr>
        <w:t>. ה</w:t>
      </w:r>
      <w:r w:rsidRPr="009F36E0">
        <w:rPr>
          <w:rFonts w:ascii="Narkisim" w:hAnsi="Narkisim"/>
          <w:b/>
          <w:bCs/>
          <w:rtl/>
        </w:rPr>
        <w:t>פוסקים</w:t>
      </w:r>
      <w:r w:rsidRPr="009F36E0">
        <w:rPr>
          <w:rFonts w:ascii="Narkisim" w:hAnsi="Narkisim"/>
          <w:rtl/>
        </w:rPr>
        <w:t xml:space="preserve"> (הובא ב</w:t>
      </w:r>
      <w:r w:rsidRPr="009F36E0">
        <w:rPr>
          <w:rFonts w:ascii="Narkisim" w:hAnsi="Narkisim"/>
          <w:b/>
          <w:bCs/>
          <w:rtl/>
        </w:rPr>
        <w:t>מנח"ח</w:t>
      </w:r>
      <w:r w:rsidRPr="009F36E0">
        <w:rPr>
          <w:rFonts w:ascii="Narkisim" w:hAnsi="Narkisim"/>
          <w:rtl/>
        </w:rPr>
        <w:t xml:space="preserve"> תקצח א) בקידושי שפחה חרופה</w:t>
      </w:r>
      <w:r w:rsidRPr="009F36E0">
        <w:rPr>
          <w:rStyle w:val="ac"/>
          <w:rFonts w:ascii="Narkisim" w:hAnsi="Narkisim"/>
          <w:rtl/>
        </w:rPr>
        <w:footnoteReference w:id="1156"/>
      </w:r>
      <w:r w:rsidRPr="009F36E0">
        <w:rPr>
          <w:rFonts w:ascii="Narkisim" w:hAnsi="Narkisim"/>
        </w:rPr>
        <w:t xml:space="preserve">, </w:t>
      </w:r>
      <w:r w:rsidRPr="009F36E0">
        <w:rPr>
          <w:rFonts w:ascii="Narkisim" w:hAnsi="Narkisim"/>
          <w:rtl/>
        </w:rPr>
        <w:t>האם ביאתה וחליצתה פוטרת צרתה. וה</w:t>
      </w:r>
      <w:r w:rsidRPr="009F36E0">
        <w:rPr>
          <w:rFonts w:ascii="Narkisim" w:hAnsi="Narkisim"/>
          <w:b/>
          <w:bCs/>
          <w:rtl/>
        </w:rPr>
        <w:t>ב"ח</w:t>
      </w:r>
      <w:r w:rsidRPr="009F36E0">
        <w:rPr>
          <w:rFonts w:ascii="Narkisim" w:hAnsi="Narkisim"/>
          <w:rtl/>
        </w:rPr>
        <w:t xml:space="preserve"> (מד) נקט דפוטרת צרתה. וה</w:t>
      </w:r>
      <w:r w:rsidRPr="009F36E0">
        <w:rPr>
          <w:rFonts w:ascii="Narkisim" w:hAnsi="Narkisim"/>
          <w:b/>
          <w:bCs/>
          <w:rtl/>
        </w:rPr>
        <w:t>חלק"מ</w:t>
      </w:r>
      <w:r w:rsidRPr="009F36E0">
        <w:rPr>
          <w:rFonts w:ascii="Narkisim" w:hAnsi="Narkisim"/>
          <w:rtl/>
        </w:rPr>
        <w:t xml:space="preserve"> (מד יג), ו</w:t>
      </w:r>
      <w:r w:rsidRPr="009F36E0">
        <w:rPr>
          <w:rFonts w:ascii="Narkisim" w:hAnsi="Narkisim"/>
          <w:b/>
          <w:bCs/>
          <w:rtl/>
        </w:rPr>
        <w:t>בי"ש</w:t>
      </w:r>
      <w:r w:rsidRPr="009F36E0">
        <w:rPr>
          <w:rFonts w:ascii="Narkisim" w:hAnsi="Narkisim"/>
          <w:rtl/>
        </w:rPr>
        <w:t xml:space="preserve"> (שם טז) ו</w:t>
      </w:r>
      <w:r w:rsidRPr="009F36E0">
        <w:rPr>
          <w:rFonts w:ascii="Narkisim" w:hAnsi="Narkisim"/>
          <w:b/>
          <w:bCs/>
          <w:rtl/>
        </w:rPr>
        <w:t>פנ”י</w:t>
      </w:r>
      <w:r w:rsidRPr="009F36E0">
        <w:rPr>
          <w:rFonts w:ascii="Narkisim" w:hAnsi="Narkisim"/>
          <w:rtl/>
        </w:rPr>
        <w:t xml:space="preserve"> (גיטין מג.) חלקו דאין לה אישות גמורה, והאיך לפטור צרתה שיש לה אישות גמור</w:t>
      </w:r>
      <w:r w:rsidRPr="009F36E0">
        <w:rPr>
          <w:rFonts w:ascii="Narkisim" w:hAnsi="Narkisim"/>
        </w:rPr>
        <w:t>.</w:t>
      </w:r>
    </w:p>
    <w:p w14:paraId="0DE42B1E" w14:textId="77777777" w:rsidR="006074A5" w:rsidRPr="009F36E0" w:rsidRDefault="006074A5" w:rsidP="006074A5">
      <w:pPr>
        <w:pStyle w:val="a8"/>
        <w:bidi/>
        <w:rPr>
          <w:rFonts w:ascii="Narkisim" w:hAnsi="Narkisim"/>
        </w:rPr>
      </w:pPr>
      <w:r w:rsidRPr="009F36E0">
        <w:rPr>
          <w:rFonts w:ascii="Narkisim" w:hAnsi="Narkisim"/>
          <w:rtl/>
        </w:rPr>
        <w:t>והמנח"ח דן דלא יעבור בעשה דבית א' הוא בונה [לרש"י יא.] או לא יבנה. דזו לא הויא בית גמור</w:t>
      </w:r>
      <w:r w:rsidRPr="009F36E0">
        <w:rPr>
          <w:rStyle w:val="ac"/>
          <w:rFonts w:ascii="Narkisim" w:hAnsi="Narkisim"/>
          <w:rtl/>
        </w:rPr>
        <w:footnoteReference w:id="1157"/>
      </w:r>
      <w:r w:rsidRPr="009F36E0">
        <w:rPr>
          <w:rFonts w:ascii="Narkisim" w:hAnsi="Narkisim"/>
        </w:rPr>
        <w:t>.</w:t>
      </w:r>
    </w:p>
    <w:p w14:paraId="0556CF0E"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מנח"ח</w:t>
      </w:r>
      <w:r w:rsidRPr="009F36E0">
        <w:rPr>
          <w:rFonts w:ascii="Narkisim" w:hAnsi="Narkisim"/>
          <w:rtl/>
        </w:rPr>
        <w:t xml:space="preserve"> (בקומץ המנחה שם) הביא בשם ה</w:t>
      </w:r>
      <w:r w:rsidRPr="009F36E0">
        <w:rPr>
          <w:rFonts w:ascii="Narkisim" w:hAnsi="Narkisim"/>
          <w:b/>
          <w:bCs/>
          <w:rtl/>
        </w:rPr>
        <w:t>טיב גיטין</w:t>
      </w:r>
      <w:r w:rsidRPr="009F36E0">
        <w:rPr>
          <w:rFonts w:ascii="Narkisim" w:hAnsi="Narkisim"/>
          <w:rtl/>
        </w:rPr>
        <w:t xml:space="preserve"> (גיטין שם) להקשות דאף זיקה ככנוסה [לר' אושעיא] אין חיוב מיתה [וכדעת התוס' רי"ד], א"כ היאך פטרה צרתה. וכתב לתרץ דנחשב אשה גמורה כיון דע"י יבום הו"ל אשת איש גמורה. ועוד דהוה </w:t>
      </w:r>
      <w:r w:rsidRPr="009F36E0">
        <w:rPr>
          <w:rFonts w:ascii="Narkisim" w:hAnsi="Narkisim"/>
          <w:i/>
          <w:iCs/>
          <w:rtl/>
        </w:rPr>
        <w:t>ככנוסה</w:t>
      </w:r>
      <w:r w:rsidRPr="009F36E0">
        <w:rPr>
          <w:rFonts w:ascii="Narkisim" w:hAnsi="Narkisim"/>
          <w:rtl/>
        </w:rPr>
        <w:t>, וכנוסה הוה אשה</w:t>
      </w:r>
      <w:r w:rsidRPr="009F36E0">
        <w:rPr>
          <w:rFonts w:ascii="Narkisim" w:hAnsi="Narkisim"/>
        </w:rPr>
        <w:t>.</w:t>
      </w:r>
    </w:p>
    <w:p w14:paraId="6E52058E" w14:textId="77777777" w:rsidR="006074A5" w:rsidRPr="009F36E0" w:rsidRDefault="006074A5" w:rsidP="006074A5">
      <w:pPr>
        <w:pStyle w:val="2"/>
        <w:bidi/>
        <w:rPr>
          <w:rFonts w:ascii="Narkisim" w:hAnsi="Narkisim"/>
        </w:rPr>
      </w:pPr>
      <w:r w:rsidRPr="009F36E0">
        <w:rPr>
          <w:rFonts w:ascii="Narkisim" w:hAnsi="Narkisim"/>
          <w:rtl/>
        </w:rPr>
        <w:t>יבומים הראשונים עליה</w:t>
      </w:r>
    </w:p>
    <w:p w14:paraId="5BABFEA3" w14:textId="77777777" w:rsidR="006074A5" w:rsidRPr="009F36E0" w:rsidRDefault="006074A5" w:rsidP="006074A5">
      <w:pPr>
        <w:pStyle w:val="aa"/>
        <w:bidi/>
        <w:rPr>
          <w:rFonts w:ascii="Narkisim" w:hAnsi="Narkisim"/>
        </w:rPr>
      </w:pPr>
      <w:r w:rsidRPr="009F36E0">
        <w:rPr>
          <w:rFonts w:ascii="Narkisim" w:hAnsi="Narkisim"/>
          <w:u w:val="single"/>
          <w:rtl/>
        </w:rPr>
        <w:t>אלא מ"ט דרבנן.</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הרי לא עמדה ע"ז בזיקת אחיו שלא היה בעולמו מימיו. [וכ"כ לעיל יח:]. לכאורה משמע בגמ' דרבנן מודים לסברת ר' שמעון דמצאה בהיתר (ע' בסמוך), אלא שאוסרים מסיבה נוספת</w:t>
      </w:r>
      <w:r w:rsidRPr="009F36E0">
        <w:rPr>
          <w:rStyle w:val="ac"/>
          <w:rFonts w:ascii="Narkisim" w:hAnsi="Narkisim"/>
          <w:rtl/>
        </w:rPr>
        <w:footnoteReference w:id="1158"/>
      </w:r>
      <w:r w:rsidRPr="009F36E0">
        <w:rPr>
          <w:rFonts w:ascii="Narkisim" w:hAnsi="Narkisim"/>
        </w:rPr>
        <w:t>.</w:t>
      </w:r>
    </w:p>
    <w:p w14:paraId="70549C56" w14:textId="77777777" w:rsidR="006074A5" w:rsidRPr="009F36E0" w:rsidRDefault="006074A5" w:rsidP="006074A5">
      <w:pPr>
        <w:bidi/>
        <w:rPr>
          <w:rFonts w:ascii="Narkisim" w:hAnsi="Narkisim" w:cs="Narkisim"/>
        </w:rPr>
      </w:pPr>
      <w:r w:rsidRPr="009F36E0">
        <w:rPr>
          <w:rFonts w:ascii="Narkisim" w:hAnsi="Narkisim" w:cs="Narkisim"/>
          <w:u w:val="single"/>
          <w:rtl/>
        </w:rPr>
        <w:t>אמר קרא ויבמה, עדיין יבומים הראשונים עליה</w:t>
      </w:r>
      <w:r w:rsidRPr="009F36E0">
        <w:rPr>
          <w:rFonts w:ascii="Narkisim" w:hAnsi="Narkisim" w:cs="Narkisim"/>
          <w:rtl/>
        </w:rPr>
        <w:t>. ה</w:t>
      </w:r>
      <w:r w:rsidRPr="009F36E0">
        <w:rPr>
          <w:rFonts w:ascii="Narkisim" w:hAnsi="Narkisim" w:cs="Narkisim"/>
          <w:b/>
          <w:bCs/>
          <w:rtl/>
        </w:rPr>
        <w:t>קובה"ע</w:t>
      </w:r>
      <w:r w:rsidRPr="009F36E0">
        <w:rPr>
          <w:rFonts w:ascii="Narkisim" w:hAnsi="Narkisim" w:cs="Narkisim"/>
          <w:rtl/>
        </w:rPr>
        <w:t xml:space="preserve"> (ד טז) דייק דנחשב אף בזה כמו מצאה באיסור. דכיון דיבומים עליה שייך בזה גדר נאסרה</w:t>
      </w:r>
      <w:r w:rsidRPr="009F36E0">
        <w:rPr>
          <w:rFonts w:ascii="Narkisim" w:hAnsi="Narkisim" w:cs="Narkisim"/>
          <w:sz w:val="20"/>
          <w:szCs w:val="20"/>
          <w:rtl/>
        </w:rPr>
        <w:t>.</w:t>
      </w:r>
      <w:r w:rsidRPr="009F36E0">
        <w:rPr>
          <w:rFonts w:ascii="Narkisim" w:hAnsi="Narkisim" w:cs="Narkisim"/>
          <w:rtl/>
        </w:rPr>
        <w:t xml:space="preserve"> וה</w:t>
      </w:r>
      <w:r w:rsidRPr="009F36E0">
        <w:rPr>
          <w:rFonts w:ascii="Narkisim" w:hAnsi="Narkisim" w:cs="Narkisim"/>
          <w:b/>
          <w:bCs/>
          <w:rtl/>
        </w:rPr>
        <w:t xml:space="preserve">אחרונים </w:t>
      </w:r>
      <w:r w:rsidRPr="009F36E0">
        <w:rPr>
          <w:rFonts w:ascii="Narkisim" w:hAnsi="Narkisim" w:cs="Narkisim"/>
          <w:rtl/>
        </w:rPr>
        <w:t>תמהו דלא יתכן לומר דאחרי יבום עדיין נחשב שם יבמה להחשב שעת נפילה שיהא דין נאסרה. וע"כ דסברת עדיין יבומין עליה מהני שלא יהא נעשית כאשתו. [וע' בסמוך]</w:t>
      </w:r>
      <w:r w:rsidRPr="009F36E0">
        <w:rPr>
          <w:rFonts w:ascii="Narkisim" w:hAnsi="Narkisim" w:cs="Narkisim"/>
        </w:rPr>
        <w:t>.</w:t>
      </w:r>
    </w:p>
    <w:p w14:paraId="78FE895F"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גרנ"ט</w:t>
      </w:r>
      <w:r w:rsidRPr="009F36E0">
        <w:rPr>
          <w:rFonts w:ascii="Narkisim" w:hAnsi="Narkisim"/>
          <w:rtl/>
        </w:rPr>
        <w:t xml:space="preserve"> (ג) ביאר דסברת רבנן דאישות המת עבר ליבם, וגדר אישות היבם כמו שהיה אצל המת </w:t>
      </w:r>
      <w:r w:rsidRPr="009F36E0">
        <w:rPr>
          <w:rFonts w:ascii="Narkisim" w:hAnsi="Narkisim"/>
          <w:sz w:val="20"/>
          <w:szCs w:val="20"/>
          <w:rtl/>
        </w:rPr>
        <w:t>[לא פחות ולא יותר]</w:t>
      </w:r>
      <w:r w:rsidRPr="009F36E0">
        <w:rPr>
          <w:rFonts w:ascii="Narkisim" w:hAnsi="Narkisim"/>
          <w:rtl/>
        </w:rPr>
        <w:t>. ובאישות זו יש חסרון 'יחדיו', דנחשב אישות דאשת אחיו שלא מעולמו.</w:t>
      </w:r>
      <w:r w:rsidRPr="009F36E0">
        <w:rPr>
          <w:rFonts w:ascii="Narkisim" w:hAnsi="Narkisim"/>
          <w:sz w:val="20"/>
          <w:szCs w:val="20"/>
          <w:rtl/>
        </w:rPr>
        <w:t xml:space="preserve"> [ולא מחמת שבעבר היתה אשתו של האח הראשון, שלא היה בעולמו]</w:t>
      </w:r>
      <w:r w:rsidRPr="009F36E0">
        <w:rPr>
          <w:rFonts w:ascii="Narkisim" w:hAnsi="Narkisim"/>
          <w:sz w:val="20"/>
          <w:szCs w:val="20"/>
        </w:rPr>
        <w:t>.</w:t>
      </w:r>
    </w:p>
    <w:p w14:paraId="57E904B6" w14:textId="77777777" w:rsidR="006074A5" w:rsidRPr="009F36E0" w:rsidRDefault="006074A5" w:rsidP="006074A5">
      <w:pPr>
        <w:pStyle w:val="3"/>
        <w:bidi/>
        <w:rPr>
          <w:rFonts w:ascii="Narkisim" w:hAnsi="Narkisim"/>
        </w:rPr>
      </w:pPr>
      <w:r w:rsidRPr="009F36E0">
        <w:rPr>
          <w:rFonts w:ascii="Narkisim" w:hAnsi="Narkisim"/>
          <w:rtl/>
        </w:rPr>
        <w:t>דף כ</w:t>
      </w:r>
      <w:r w:rsidRPr="009F36E0">
        <w:rPr>
          <w:rFonts w:ascii="Narkisim" w:hAnsi="Narkisim"/>
        </w:rPr>
        <w:t>.</w:t>
      </w:r>
    </w:p>
    <w:p w14:paraId="2166960E" w14:textId="77777777" w:rsidR="006074A5" w:rsidRPr="009F36E0" w:rsidRDefault="006074A5" w:rsidP="006074A5">
      <w:pPr>
        <w:pStyle w:val="aa"/>
        <w:bidi/>
        <w:rPr>
          <w:rFonts w:ascii="Narkisim" w:hAnsi="Narkisim"/>
        </w:rPr>
      </w:pPr>
      <w:r w:rsidRPr="009F36E0">
        <w:rPr>
          <w:rFonts w:ascii="Narkisim" w:hAnsi="Narkisim"/>
          <w:u w:val="single"/>
          <w:rtl/>
        </w:rPr>
        <w:t>רש"י ד"ה שמגרשה בגט.</w:t>
      </w:r>
      <w:r w:rsidRPr="009F36E0">
        <w:rPr>
          <w:rFonts w:ascii="Narkisim" w:hAnsi="Narkisim"/>
          <w:rtl/>
        </w:rPr>
        <w:t xml:space="preserve"> ואי"צ חליצה ומותר להחזירה. [ורש"י לעיל הביא אית דגרס להדיא דכ"ה קו' הגמ']. אבל בגמ' (לקמן לט.) יש ס”ד דתיקום באיסור אשת אח ואסור להחזירה, וכ"כ ה</w:t>
      </w:r>
      <w:r w:rsidRPr="009F36E0">
        <w:rPr>
          <w:rFonts w:ascii="Narkisim" w:hAnsi="Narkisim"/>
          <w:b/>
          <w:bCs/>
          <w:rtl/>
        </w:rPr>
        <w:t>רמב"ן</w:t>
      </w:r>
      <w:r w:rsidRPr="009F36E0">
        <w:rPr>
          <w:rFonts w:ascii="Narkisim" w:hAnsi="Narkisim"/>
          <w:rtl/>
        </w:rPr>
        <w:t xml:space="preserve"> בסוגיין</w:t>
      </w:r>
      <w:r w:rsidRPr="009F36E0">
        <w:rPr>
          <w:rFonts w:ascii="Narkisim" w:hAnsi="Narkisim"/>
        </w:rPr>
        <w:t>.</w:t>
      </w:r>
    </w:p>
    <w:p w14:paraId="77976C0D" w14:textId="77777777" w:rsidR="006074A5" w:rsidRPr="009F36E0" w:rsidRDefault="006074A5" w:rsidP="006074A5">
      <w:pPr>
        <w:pStyle w:val="a8"/>
        <w:bidi/>
        <w:rPr>
          <w:rFonts w:ascii="Narkisim" w:hAnsi="Narkisim"/>
        </w:rPr>
      </w:pPr>
      <w:r w:rsidRPr="009F36E0">
        <w:rPr>
          <w:rFonts w:ascii="Narkisim" w:hAnsi="Narkisim"/>
          <w:rtl/>
        </w:rPr>
        <w:t>וב</w:t>
      </w:r>
      <w:r w:rsidRPr="009F36E0">
        <w:rPr>
          <w:rFonts w:ascii="Narkisim" w:hAnsi="Narkisim"/>
          <w:b/>
          <w:bCs/>
          <w:rtl/>
        </w:rPr>
        <w:t>חי' הגר"נ</w:t>
      </w:r>
      <w:r w:rsidRPr="009F36E0">
        <w:rPr>
          <w:rFonts w:ascii="Narkisim" w:hAnsi="Narkisim"/>
          <w:rtl/>
        </w:rPr>
        <w:t xml:space="preserve"> דייק דלדברי הרמב"ן הצד דחוזר איסור אשת אח הוה משום גזיה"כ דיבומים ראשונים. אבל לדברי רש"י הצד (לקמן) דאסור להחזירה לא שייך לנידון עדיין יבומין הראשונים דסוגיין</w:t>
      </w:r>
      <w:r w:rsidRPr="009F36E0">
        <w:rPr>
          <w:rFonts w:ascii="Narkisim" w:hAnsi="Narkisim"/>
        </w:rPr>
        <w:t>.</w:t>
      </w:r>
    </w:p>
    <w:p w14:paraId="07192E2E"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הביא י"מ דהק' דאי יבומים עליה, א"כ האיך הותר ביאה שניה [בעודה תחת היבם]. ותי' דאת"ל דיבומין הראשונים עליו ובעי חליצה, אף בביאה שניה איתא למצות יבום. (וע"ע תוס' לעיל ח:)</w:t>
      </w:r>
      <w:r w:rsidRPr="009F36E0">
        <w:rPr>
          <w:rFonts w:ascii="Narkisim" w:hAnsi="Narkisim"/>
        </w:rPr>
        <w:t>.</w:t>
      </w:r>
    </w:p>
    <w:p w14:paraId="6C0D4D23"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קר"א</w:t>
      </w:r>
      <w:r w:rsidRPr="009F36E0">
        <w:rPr>
          <w:rFonts w:ascii="Narkisim" w:hAnsi="Narkisim"/>
          <w:rtl/>
        </w:rPr>
        <w:t xml:space="preserve"> הקשה [לרש"י] לס"ד זו, היאך תתייבם יבמה בנפילה שניה, הא הוה אשת ב' מתים. [ודרשת צרת צרה ע”כ הוה בנפילה שניה]. וה</w:t>
      </w:r>
      <w:r w:rsidRPr="009F36E0">
        <w:rPr>
          <w:rFonts w:ascii="Narkisim" w:hAnsi="Narkisim"/>
          <w:b/>
          <w:bCs/>
          <w:rtl/>
        </w:rPr>
        <w:t>גרנ"ט</w:t>
      </w:r>
      <w:r w:rsidRPr="009F36E0">
        <w:rPr>
          <w:rFonts w:ascii="Narkisim" w:hAnsi="Narkisim"/>
          <w:rtl/>
        </w:rPr>
        <w:t xml:space="preserve"> תי' דודאי הותר כלפי נפילה שניה, דניתק אישות הראשון ועובר לשני. ונאסר רק כשגירש ורוצה לישא מצד עצמו</w:t>
      </w:r>
      <w:r w:rsidRPr="009F36E0">
        <w:rPr>
          <w:rFonts w:ascii="Narkisim" w:hAnsi="Narkisim"/>
        </w:rPr>
        <w:t>.</w:t>
      </w:r>
    </w:p>
    <w:p w14:paraId="55551AEB" w14:textId="77777777" w:rsidR="006074A5" w:rsidRPr="009F36E0" w:rsidRDefault="006074A5" w:rsidP="006074A5">
      <w:pPr>
        <w:pStyle w:val="aa"/>
        <w:bidi/>
        <w:rPr>
          <w:rFonts w:ascii="Narkisim" w:hAnsi="Narkisim"/>
        </w:rPr>
      </w:pPr>
      <w:r w:rsidRPr="009F36E0">
        <w:rPr>
          <w:rFonts w:ascii="Narkisim" w:hAnsi="Narkisim"/>
          <w:u w:val="single"/>
          <w:rtl/>
        </w:rPr>
        <w:t>כיון שלקחה נעשית כאשתו.</w:t>
      </w:r>
      <w:r w:rsidRPr="009F36E0">
        <w:rPr>
          <w:rFonts w:ascii="Narkisim" w:hAnsi="Narkisim"/>
          <w:rtl/>
        </w:rPr>
        <w:t xml:space="preserve"> ה</w:t>
      </w:r>
      <w:r w:rsidRPr="009F36E0">
        <w:rPr>
          <w:rFonts w:ascii="Narkisim" w:hAnsi="Narkisim"/>
          <w:b/>
          <w:bCs/>
          <w:rtl/>
        </w:rPr>
        <w:t>מאירי</w:t>
      </w:r>
      <w:r w:rsidRPr="009F36E0">
        <w:rPr>
          <w:rFonts w:ascii="Narkisim" w:hAnsi="Narkisim"/>
          <w:rtl/>
        </w:rPr>
        <w:t xml:space="preserve"> (ח:) ביאר דנפקע האישות שמצד אחיו לגמרי. אבל ה</w:t>
      </w:r>
      <w:r w:rsidRPr="009F36E0">
        <w:rPr>
          <w:rFonts w:ascii="Narkisim" w:hAnsi="Narkisim"/>
          <w:b/>
          <w:bCs/>
          <w:rtl/>
        </w:rPr>
        <w:t>אחרונים</w:t>
      </w:r>
      <w:r w:rsidRPr="009F36E0">
        <w:rPr>
          <w:rFonts w:ascii="Narkisim" w:hAnsi="Narkisim"/>
          <w:rtl/>
        </w:rPr>
        <w:t xml:space="preserve"> הביאו דב</w:t>
      </w:r>
      <w:r w:rsidRPr="009F36E0">
        <w:rPr>
          <w:rFonts w:ascii="Narkisim" w:hAnsi="Narkisim"/>
          <w:b/>
          <w:bCs/>
          <w:rtl/>
        </w:rPr>
        <w:t>תוס</w:t>
      </w:r>
      <w:r w:rsidRPr="009F36E0">
        <w:rPr>
          <w:rFonts w:ascii="Narkisim" w:hAnsi="Narkisim"/>
          <w:rtl/>
        </w:rPr>
        <w:t>' (כ: ד"ה אטו) מבואר דס"ד דנחשב כנשאת בהיתר, ופקע אף שאר איסורים. וצ"ב. [וע”ע לקמן פד:]</w:t>
      </w:r>
      <w:r w:rsidRPr="009F36E0">
        <w:rPr>
          <w:rFonts w:ascii="Narkisim" w:hAnsi="Narkisim"/>
        </w:rPr>
        <w:t>.</w:t>
      </w:r>
    </w:p>
    <w:p w14:paraId="3CF69618" w14:textId="77777777" w:rsidR="006074A5" w:rsidRPr="009F36E0" w:rsidRDefault="006074A5" w:rsidP="006074A5">
      <w:pPr>
        <w:bidi/>
        <w:rPr>
          <w:rFonts w:ascii="Narkisim" w:hAnsi="Narkisim" w:cs="Narkisim"/>
        </w:rPr>
      </w:pPr>
      <w:r w:rsidRPr="009F36E0">
        <w:rPr>
          <w:rFonts w:ascii="Narkisim" w:hAnsi="Narkisim" w:cs="Narkisim"/>
          <w:u w:val="single"/>
          <w:rtl/>
        </w:rPr>
        <w:t>ולר' שמעון דאמר הואיל ובא וכו'.</w:t>
      </w:r>
      <w:r w:rsidRPr="009F36E0">
        <w:rPr>
          <w:rFonts w:ascii="Narkisim" w:hAnsi="Narkisim" w:cs="Narkisim"/>
          <w:rtl/>
        </w:rPr>
        <w:t xml:space="preserve"> </w:t>
      </w:r>
      <w:r w:rsidRPr="009F36E0">
        <w:rPr>
          <w:rFonts w:ascii="Narkisim" w:hAnsi="Narkisim" w:cs="Narkisim"/>
          <w:sz w:val="20"/>
          <w:szCs w:val="20"/>
          <w:rtl/>
        </w:rPr>
        <w:t>[קצת משמע דרבנן ל"ל הך סברא, וצ”ע].</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מצאה נשואה </w:t>
      </w:r>
      <w:r w:rsidRPr="009F36E0">
        <w:rPr>
          <w:rFonts w:ascii="Narkisim" w:hAnsi="Narkisim" w:cs="Narkisim"/>
          <w:rtl/>
        </w:rPr>
        <w:lastRenderedPageBreak/>
        <w:t>לאחיו, דהא מצאה בהיתר יבום. ב</w:t>
      </w:r>
      <w:r w:rsidRPr="009F36E0">
        <w:rPr>
          <w:rFonts w:ascii="Narkisim" w:hAnsi="Narkisim" w:cs="Narkisim"/>
          <w:b/>
          <w:bCs/>
          <w:rtl/>
        </w:rPr>
        <w:t>חי' הגר"נ</w:t>
      </w:r>
      <w:r w:rsidRPr="009F36E0">
        <w:rPr>
          <w:rFonts w:ascii="Narkisim" w:hAnsi="Narkisim" w:cs="Narkisim"/>
          <w:rtl/>
        </w:rPr>
        <w:t xml:space="preserve"> הביא מרש"י דבשעת לידה נחשב שמותרת כלפי יבום </w:t>
      </w:r>
      <w:r w:rsidRPr="009F36E0">
        <w:rPr>
          <w:rFonts w:ascii="Narkisim" w:hAnsi="Narkisim" w:cs="Narkisim"/>
          <w:sz w:val="20"/>
          <w:szCs w:val="20"/>
          <w:rtl/>
        </w:rPr>
        <w:t>[דבנישואין נחשב עומדת ליבום, אף דלא קיי”ל נישואין מפילים]. ולפ"ז דן אם יבם וגירש, ונולד ושוב קידש. דבשעת לידה לא היתה עומדת להיתר. אבל הביא מה</w:t>
      </w:r>
      <w:r w:rsidRPr="009F36E0">
        <w:rPr>
          <w:rFonts w:ascii="Narkisim" w:hAnsi="Narkisim" w:cs="Narkisim"/>
          <w:b/>
          <w:bCs/>
          <w:sz w:val="20"/>
          <w:szCs w:val="20"/>
          <w:rtl/>
        </w:rPr>
        <w:t>רשב"א</w:t>
      </w:r>
      <w:r w:rsidRPr="009F36E0">
        <w:rPr>
          <w:rFonts w:ascii="Narkisim" w:hAnsi="Narkisim" w:cs="Narkisim"/>
          <w:sz w:val="20"/>
          <w:szCs w:val="20"/>
          <w:rtl/>
        </w:rPr>
        <w:t xml:space="preserve"> (יא.) דהטעם דחלץ ואח"כ נולד נחשב מצאה באיסור, משום דחליצה לא הוי קנין.</w:t>
      </w:r>
      <w:r w:rsidRPr="009F36E0">
        <w:rPr>
          <w:rFonts w:ascii="Narkisim" w:hAnsi="Narkisim" w:cs="Narkisim"/>
          <w:rtl/>
        </w:rPr>
        <w:t xml:space="preserve"> </w:t>
      </w:r>
      <w:r w:rsidRPr="009F36E0">
        <w:rPr>
          <w:rFonts w:ascii="Narkisim" w:hAnsi="Narkisim" w:cs="Narkisim"/>
          <w:sz w:val="20"/>
          <w:szCs w:val="20"/>
          <w:rtl/>
        </w:rPr>
        <w:t>ומבואר דאילו חליצה היתה קנין היה נחשב מצאה בהיתר, ואף דגירש אח"כ</w:t>
      </w:r>
      <w:r w:rsidRPr="009F36E0">
        <w:rPr>
          <w:rFonts w:ascii="Narkisim" w:hAnsi="Narkisim" w:cs="Narkisim"/>
          <w:sz w:val="20"/>
          <w:szCs w:val="20"/>
        </w:rPr>
        <w:t>.</w:t>
      </w:r>
    </w:p>
    <w:p w14:paraId="5AE8DFB3" w14:textId="77777777" w:rsidR="006074A5" w:rsidRPr="009F36E0" w:rsidRDefault="006074A5" w:rsidP="006074A5">
      <w:pPr>
        <w:pStyle w:val="aa"/>
        <w:bidi/>
        <w:rPr>
          <w:rFonts w:ascii="Narkisim" w:hAnsi="Narkisim"/>
        </w:rPr>
      </w:pPr>
      <w:r w:rsidRPr="009F36E0">
        <w:rPr>
          <w:rFonts w:ascii="Narkisim" w:hAnsi="Narkisim"/>
          <w:u w:val="single"/>
          <w:rtl/>
        </w:rPr>
        <w:t>אלא מעתה אחותו מאמו וכו'.</w:t>
      </w:r>
      <w:r w:rsidRPr="009F36E0">
        <w:rPr>
          <w:rFonts w:ascii="Narkisim" w:hAnsi="Narkisim"/>
          <w:rtl/>
        </w:rPr>
        <w:t xml:space="preserve"> קושיית הגמ' דכל ט"ו עריות, כיון דנשאת לאחיו 'מצאה' אצל אחיו, ומותר ליבום. וצ"ב מה ס"ד בזה</w:t>
      </w:r>
      <w:r w:rsidRPr="009F36E0">
        <w:rPr>
          <w:rFonts w:ascii="Narkisim" w:hAnsi="Narkisim"/>
        </w:rPr>
        <w:t>.</w:t>
      </w:r>
    </w:p>
    <w:p w14:paraId="32DAACB8" w14:textId="77777777" w:rsidR="006074A5" w:rsidRPr="009F36E0" w:rsidRDefault="006074A5" w:rsidP="006074A5">
      <w:pPr>
        <w:bidi/>
        <w:rPr>
          <w:rFonts w:ascii="Narkisim" w:hAnsi="Narkisim" w:cs="Narkisim"/>
        </w:rPr>
      </w:pPr>
      <w:r w:rsidRPr="009F36E0">
        <w:rPr>
          <w:rFonts w:ascii="Narkisim" w:hAnsi="Narkisim" w:cs="Narkisim"/>
          <w:u w:val="single"/>
          <w:rtl/>
        </w:rPr>
        <w:t>איסור אשת אח להיכן אזל.</w:t>
      </w:r>
      <w:r w:rsidRPr="009F36E0">
        <w:rPr>
          <w:rFonts w:ascii="Narkisim" w:hAnsi="Narkisim" w:cs="Narkisim"/>
          <w:rtl/>
        </w:rPr>
        <w:t xml:space="preserve"> ה</w:t>
      </w:r>
      <w:r w:rsidRPr="009F36E0">
        <w:rPr>
          <w:rFonts w:ascii="Narkisim" w:hAnsi="Narkisim" w:cs="Narkisim"/>
          <w:b/>
          <w:bCs/>
          <w:rtl/>
        </w:rPr>
        <w:t>אחרונים</w:t>
      </w:r>
      <w:r w:rsidRPr="009F36E0">
        <w:rPr>
          <w:rFonts w:ascii="Narkisim" w:hAnsi="Narkisim" w:cs="Narkisim"/>
          <w:rtl/>
        </w:rPr>
        <w:t xml:space="preserve"> דנו האם קושיית הגמ' להקשות בכל נפילה שניה </w:t>
      </w:r>
      <w:r w:rsidRPr="009F36E0">
        <w:rPr>
          <w:rFonts w:ascii="Narkisim" w:hAnsi="Narkisim" w:cs="Narkisim"/>
          <w:sz w:val="20"/>
          <w:szCs w:val="20"/>
          <w:rtl/>
        </w:rPr>
        <w:t>[אלא דנחשב שיש דין יבום אף כלפי האח הראשון, וכ”כ החזו”א</w:t>
      </w:r>
      <w:r w:rsidRPr="009F36E0">
        <w:rPr>
          <w:rStyle w:val="ac"/>
          <w:rFonts w:ascii="Narkisim" w:hAnsi="Narkisim" w:cs="Narkisim"/>
          <w:sz w:val="20"/>
          <w:szCs w:val="20"/>
          <w:rtl/>
        </w:rPr>
        <w:footnoteReference w:id="1159"/>
      </w:r>
      <w:r w:rsidRPr="009F36E0">
        <w:rPr>
          <w:rFonts w:ascii="Narkisim" w:hAnsi="Narkisim" w:cs="Narkisim"/>
          <w:sz w:val="20"/>
          <w:szCs w:val="20"/>
          <w:rtl/>
        </w:rPr>
        <w:t>]</w:t>
      </w:r>
      <w:r w:rsidRPr="009F36E0">
        <w:rPr>
          <w:rFonts w:ascii="Narkisim" w:hAnsi="Narkisim" w:cs="Narkisim"/>
          <w:rtl/>
        </w:rPr>
        <w:t>. או דכוונת הגמ' הכא דהוה ערוה כאשת אח שיש לו בנים, ול"ש ליבום כלל</w:t>
      </w:r>
      <w:r w:rsidRPr="009F36E0">
        <w:rPr>
          <w:rFonts w:ascii="Narkisim" w:hAnsi="Narkisim" w:cs="Narkisim"/>
        </w:rPr>
        <w:t>.</w:t>
      </w:r>
    </w:p>
    <w:p w14:paraId="0A20EEC1" w14:textId="77777777" w:rsidR="006074A5" w:rsidRPr="009F36E0" w:rsidRDefault="006074A5" w:rsidP="006074A5">
      <w:pPr>
        <w:bidi/>
        <w:rPr>
          <w:rFonts w:ascii="Narkisim" w:hAnsi="Narkisim" w:cs="Narkisim"/>
        </w:rPr>
      </w:pPr>
      <w:r w:rsidRPr="009F36E0">
        <w:rPr>
          <w:rFonts w:ascii="Narkisim" w:hAnsi="Narkisim" w:cs="Narkisim"/>
          <w:u w:val="single"/>
          <w:rtl/>
        </w:rPr>
        <w:t>האי איסורא דאית ליה היתירא</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(ד"ה איסור) הילכך אמרי' דהשלישי מכח שני הוא בא. ובפשוטו משמע דהוה צד ילפותא, דמסתבר לדרוש היתר כה"ג. וה</w:t>
      </w:r>
      <w:r w:rsidRPr="009F36E0">
        <w:rPr>
          <w:rFonts w:ascii="Narkisim" w:hAnsi="Narkisim" w:cs="Narkisim"/>
          <w:b/>
          <w:bCs/>
          <w:rtl/>
        </w:rPr>
        <w:t>קובה"ע</w:t>
      </w:r>
      <w:r w:rsidRPr="009F36E0">
        <w:rPr>
          <w:rFonts w:ascii="Narkisim" w:hAnsi="Narkisim" w:cs="Narkisim"/>
          <w:rtl/>
        </w:rPr>
        <w:t xml:space="preserve"> (ב א, ד יד) ביאר דהיבם בא מכח הבעל [דהוה המשך האישות] ומקבל את ההיתר של השני</w:t>
      </w:r>
      <w:r w:rsidRPr="009F36E0">
        <w:rPr>
          <w:rFonts w:ascii="Narkisim" w:hAnsi="Narkisim" w:cs="Narkisim"/>
        </w:rPr>
        <w:t>.</w:t>
      </w:r>
    </w:p>
    <w:p w14:paraId="2C7428C6"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רש"ש</w:t>
      </w:r>
      <w:r w:rsidRPr="009F36E0">
        <w:rPr>
          <w:rFonts w:ascii="Narkisim" w:hAnsi="Narkisim"/>
          <w:rtl/>
        </w:rPr>
        <w:t xml:space="preserve"> ביאר דכיון דהתירא תורה איסור אשת אח במקום יבום, א"כ אף הכא דיש עליה ב' פעמים איסורי אשת אח [מחמת האח שלא היה בעולמו]</w:t>
      </w:r>
      <w:r w:rsidRPr="009F36E0">
        <w:rPr>
          <w:rStyle w:val="ac"/>
          <w:rFonts w:ascii="Narkisim" w:hAnsi="Narkisim"/>
          <w:rtl/>
        </w:rPr>
        <w:footnoteReference w:id="1160"/>
      </w:r>
      <w:r w:rsidRPr="009F36E0">
        <w:rPr>
          <w:rFonts w:ascii="Narkisim" w:hAnsi="Narkisim"/>
        </w:rPr>
        <w:t xml:space="preserve">, </w:t>
      </w:r>
      <w:r w:rsidRPr="009F36E0">
        <w:rPr>
          <w:rFonts w:ascii="Narkisim" w:hAnsi="Narkisim"/>
          <w:rtl/>
        </w:rPr>
        <w:t>מהני היתר יבום</w:t>
      </w:r>
      <w:r w:rsidRPr="009F36E0">
        <w:rPr>
          <w:rStyle w:val="ac"/>
          <w:rFonts w:ascii="Narkisim" w:hAnsi="Narkisim"/>
          <w:rtl/>
        </w:rPr>
        <w:footnoteReference w:id="1161"/>
      </w:r>
      <w:r w:rsidRPr="009F36E0">
        <w:rPr>
          <w:rFonts w:ascii="Narkisim" w:hAnsi="Narkisim"/>
        </w:rPr>
        <w:t xml:space="preserve">. </w:t>
      </w:r>
      <w:r w:rsidRPr="009F36E0">
        <w:rPr>
          <w:rFonts w:ascii="Narkisim" w:hAnsi="Narkisim"/>
          <w:rtl/>
        </w:rPr>
        <w:t>[אבל איסור אחותו לא מצאנו צד היתר ע”י יבום</w:t>
      </w:r>
      <w:r w:rsidRPr="009F36E0">
        <w:rPr>
          <w:rStyle w:val="ac"/>
          <w:rFonts w:ascii="Narkisim" w:hAnsi="Narkisim"/>
          <w:rtl/>
        </w:rPr>
        <w:footnoteReference w:id="1162"/>
      </w:r>
      <w:r w:rsidRPr="009F36E0">
        <w:rPr>
          <w:rFonts w:ascii="Narkisim" w:hAnsi="Narkisim"/>
          <w:rtl/>
        </w:rPr>
        <w:t>]</w:t>
      </w:r>
      <w:r w:rsidRPr="009F36E0">
        <w:rPr>
          <w:rFonts w:ascii="Narkisim" w:hAnsi="Narkisim"/>
        </w:rPr>
        <w:t>.</w:t>
      </w:r>
    </w:p>
    <w:p w14:paraId="7F4CF26B" w14:textId="77777777" w:rsidR="006074A5" w:rsidRPr="009F36E0" w:rsidRDefault="006074A5" w:rsidP="006074A5">
      <w:pPr>
        <w:pStyle w:val="a7"/>
        <w:bidi/>
        <w:rPr>
          <w:rFonts w:ascii="Narkisim" w:hAnsi="Narkisim"/>
        </w:rPr>
      </w:pPr>
      <w:r w:rsidRPr="009F36E0">
        <w:rPr>
          <w:rFonts w:ascii="Narkisim" w:hAnsi="Narkisim"/>
          <w:rtl/>
        </w:rPr>
        <w:t xml:space="preserve">אבל </w:t>
      </w:r>
      <w:r w:rsidRPr="009F36E0">
        <w:rPr>
          <w:rFonts w:ascii="Narkisim" w:hAnsi="Narkisim"/>
          <w:b/>
          <w:bCs/>
          <w:rtl/>
        </w:rPr>
        <w:t>תוס</w:t>
      </w:r>
      <w:r w:rsidRPr="009F36E0">
        <w:rPr>
          <w:rFonts w:ascii="Narkisim" w:hAnsi="Narkisim"/>
          <w:rtl/>
        </w:rPr>
        <w:t>' פי' הגדר דפקע איסור אשת אח דראשון</w:t>
      </w:r>
      <w:r w:rsidRPr="009F36E0">
        <w:rPr>
          <w:rFonts w:ascii="Narkisim" w:hAnsi="Narkisim"/>
        </w:rPr>
        <w:t>.</w:t>
      </w:r>
    </w:p>
    <w:p w14:paraId="45FCDF71" w14:textId="77777777" w:rsidR="006074A5" w:rsidRPr="009F36E0" w:rsidRDefault="006074A5" w:rsidP="006074A5">
      <w:pPr>
        <w:bidi/>
        <w:rPr>
          <w:rFonts w:ascii="Narkisim" w:hAnsi="Narkisim" w:cs="Narkisim"/>
        </w:rPr>
      </w:pPr>
      <w:r w:rsidRPr="009F36E0">
        <w:rPr>
          <w:rFonts w:ascii="Narkisim" w:hAnsi="Narkisim" w:cs="Narkisim"/>
          <w:u w:val="single"/>
          <w:rtl/>
        </w:rPr>
        <w:t>תוד"ה האי איסורא.</w:t>
      </w:r>
      <w:r w:rsidRPr="009F36E0">
        <w:rPr>
          <w:rFonts w:ascii="Narkisim" w:hAnsi="Narkisim" w:cs="Narkisim"/>
          <w:rtl/>
        </w:rPr>
        <w:t xml:space="preserve"> דפקע איסור אא”ח, ויכול להחזירה אחר שגירשה</w:t>
      </w:r>
      <w:r w:rsidRPr="009F36E0">
        <w:rPr>
          <w:rFonts w:ascii="Narkisim" w:hAnsi="Narkisim" w:cs="Narkisim"/>
          <w:sz w:val="20"/>
          <w:szCs w:val="20"/>
          <w:rtl/>
        </w:rPr>
        <w:t xml:space="preserve"> [כדאמרי' בגמ' נעשית כאשתו]</w:t>
      </w:r>
      <w:r w:rsidRPr="009F36E0">
        <w:rPr>
          <w:rFonts w:ascii="Narkisim" w:hAnsi="Narkisim" w:cs="Narkisim"/>
          <w:rtl/>
        </w:rPr>
        <w:t>, וכי היכי וכו'. ה</w:t>
      </w:r>
      <w:r w:rsidRPr="009F36E0">
        <w:rPr>
          <w:rFonts w:ascii="Narkisim" w:hAnsi="Narkisim" w:cs="Narkisim"/>
          <w:b/>
          <w:bCs/>
          <w:rtl/>
        </w:rPr>
        <w:t>אחרונים</w:t>
      </w:r>
      <w:r w:rsidRPr="009F36E0">
        <w:rPr>
          <w:rFonts w:ascii="Narkisim" w:hAnsi="Narkisim" w:cs="Narkisim"/>
          <w:rtl/>
        </w:rPr>
        <w:t xml:space="preserve"> הקשו דמטעם זה היה צריך להתירה אף כשנולד קודם, ובגמ' מבואר הטעם רק משום דמצאה בהיתר. וה</w:t>
      </w:r>
      <w:r w:rsidRPr="009F36E0">
        <w:rPr>
          <w:rFonts w:ascii="Narkisim" w:hAnsi="Narkisim" w:cs="Narkisim"/>
          <w:b/>
          <w:bCs/>
          <w:rtl/>
        </w:rPr>
        <w:t>קובה"ע</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 xml:space="preserve">ב ב) </w:t>
      </w:r>
      <w:r w:rsidRPr="009F36E0">
        <w:rPr>
          <w:rFonts w:ascii="Narkisim" w:hAnsi="Narkisim" w:cs="Narkisim"/>
          <w:rtl/>
        </w:rPr>
        <w:t xml:space="preserve">דן דכשנולד קודם היבום נחשב דנאסרה כלפיו. וקרינן ביה כל יבמה שאין אני קורא בה בשעת נפילה, ושוב אין לה היתר </w:t>
      </w:r>
      <w:r w:rsidRPr="009F36E0">
        <w:rPr>
          <w:rFonts w:ascii="Narkisim" w:hAnsi="Narkisim" w:cs="Narkisim"/>
          <w:sz w:val="20"/>
          <w:szCs w:val="20"/>
          <w:rtl/>
        </w:rPr>
        <w:t>[כאשת אח שיש לה בנים]</w:t>
      </w:r>
      <w:r w:rsidRPr="009F36E0">
        <w:rPr>
          <w:rFonts w:ascii="Narkisim" w:hAnsi="Narkisim" w:cs="Narkisim"/>
        </w:rPr>
        <w:t>.</w:t>
      </w:r>
    </w:p>
    <w:p w14:paraId="1114D389" w14:textId="77777777" w:rsidR="006074A5" w:rsidRPr="009F36E0" w:rsidRDefault="006074A5" w:rsidP="006074A5">
      <w:pPr>
        <w:pStyle w:val="a7"/>
        <w:bidi/>
        <w:rPr>
          <w:rFonts w:ascii="Narkisim" w:hAnsi="Narkisim"/>
        </w:rPr>
      </w:pPr>
      <w:r w:rsidRPr="009F36E0">
        <w:rPr>
          <w:rFonts w:ascii="Narkisim" w:hAnsi="Narkisim"/>
          <w:rtl/>
        </w:rPr>
        <w:t>ועוד פי' הקובה"ע דסברת נעשית כאשתו מהני רק כלפי היבם, אבל כלפי שאר האחים [שכבר נולדו] נשאר ההגדרה דהוה אשתו של ראשון. אבל האח שנולד אח"כ ומצאה בהיתר, כלפיו לא היתה מעולם אשתו של ראשון. ודנים כלפיו כמו ליבם [וזה כוונת התוס' כי היכי]</w:t>
      </w:r>
      <w:r w:rsidRPr="009F36E0">
        <w:rPr>
          <w:rFonts w:ascii="Narkisim" w:hAnsi="Narkisim"/>
        </w:rPr>
        <w:t>.</w:t>
      </w:r>
    </w:p>
    <w:p w14:paraId="6703EE4F" w14:textId="77777777" w:rsidR="006074A5" w:rsidRPr="009F36E0" w:rsidRDefault="006074A5" w:rsidP="006074A5">
      <w:pPr>
        <w:pStyle w:val="a8"/>
        <w:bidi/>
        <w:rPr>
          <w:rFonts w:ascii="Narkisim" w:hAnsi="Narkisim"/>
        </w:rPr>
      </w:pPr>
      <w:r w:rsidRPr="009F36E0">
        <w:rPr>
          <w:rFonts w:ascii="Narkisim" w:hAnsi="Narkisim"/>
          <w:rtl/>
        </w:rPr>
        <w:t>וע"ע גרנ"ט (ג) וחי' ר' שמעון (יט) שביארו באופנים אחרים</w:t>
      </w:r>
      <w:r w:rsidRPr="009F36E0">
        <w:rPr>
          <w:rFonts w:ascii="Narkisim" w:hAnsi="Narkisim"/>
        </w:rPr>
        <w:t>.</w:t>
      </w:r>
    </w:p>
    <w:p w14:paraId="1CDA27BD" w14:textId="77777777" w:rsidR="006074A5" w:rsidRPr="009F36E0" w:rsidRDefault="006074A5" w:rsidP="006074A5">
      <w:pPr>
        <w:pStyle w:val="aa"/>
        <w:bidi/>
        <w:rPr>
          <w:rFonts w:ascii="Narkisim" w:hAnsi="Narkisim"/>
        </w:rPr>
      </w:pPr>
      <w:r w:rsidRPr="009F36E0">
        <w:rPr>
          <w:rFonts w:ascii="Narkisim" w:hAnsi="Narkisim"/>
          <w:rtl/>
        </w:rPr>
        <w:t>ב</w:t>
      </w:r>
      <w:r w:rsidRPr="009F36E0">
        <w:rPr>
          <w:rFonts w:ascii="Narkisim" w:hAnsi="Narkisim"/>
          <w:b/>
          <w:bCs/>
          <w:rtl/>
        </w:rPr>
        <w:t>גמ'</w:t>
      </w:r>
      <w:r w:rsidRPr="009F36E0">
        <w:rPr>
          <w:rFonts w:ascii="Narkisim" w:hAnsi="Narkisim"/>
          <w:rtl/>
        </w:rPr>
        <w:t xml:space="preserve"> (לעיל יא.) מבואר דחלץ וקידש ונולד</w:t>
      </w:r>
      <w:r w:rsidRPr="009F36E0">
        <w:rPr>
          <w:rStyle w:val="ac"/>
          <w:rFonts w:ascii="Narkisim" w:hAnsi="Narkisim"/>
          <w:rtl/>
        </w:rPr>
        <w:footnoteReference w:id="1163"/>
      </w:r>
      <w:r w:rsidRPr="009F36E0">
        <w:rPr>
          <w:rFonts w:ascii="Narkisim" w:hAnsi="Narkisim"/>
        </w:rPr>
        <w:t xml:space="preserve">, </w:t>
      </w:r>
      <w:r w:rsidRPr="009F36E0">
        <w:rPr>
          <w:rFonts w:ascii="Narkisim" w:hAnsi="Narkisim"/>
          <w:rtl/>
        </w:rPr>
        <w:t>מהני לר' שמעון דבא ומצאה בהיתר. וה</w:t>
      </w:r>
      <w:r w:rsidRPr="009F36E0">
        <w:rPr>
          <w:rFonts w:ascii="Narkisim" w:hAnsi="Narkisim"/>
          <w:b/>
          <w:bCs/>
          <w:rtl/>
        </w:rPr>
        <w:t>קובה”ע</w:t>
      </w:r>
      <w:r w:rsidRPr="009F36E0">
        <w:rPr>
          <w:rFonts w:ascii="Narkisim" w:hAnsi="Narkisim"/>
          <w:rtl/>
        </w:rPr>
        <w:t xml:space="preserve"> (ב ב וכן אמר"מ ה יח) הק' דהתם ליכא יבום [אלא קידושין שעבר ב'לא יבנה']. ולא שייך סברת התוס' דנעשית כאשתו ע”י היבום</w:t>
      </w:r>
      <w:r w:rsidRPr="009F36E0">
        <w:rPr>
          <w:rFonts w:ascii="Narkisim" w:hAnsi="Narkisim"/>
        </w:rPr>
        <w:t>.</w:t>
      </w:r>
    </w:p>
    <w:p w14:paraId="78334BBB"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כת' דע”כ תוס' מודו לסברת רש”י דשלישי מכח שני, והוסיף טעם נוסף</w:t>
      </w:r>
      <w:r w:rsidRPr="009F36E0">
        <w:rPr>
          <w:rStyle w:val="ac"/>
          <w:rFonts w:ascii="Narkisim" w:hAnsi="Narkisim"/>
          <w:rtl/>
        </w:rPr>
        <w:footnoteReference w:id="1164"/>
      </w:r>
      <w:r w:rsidRPr="009F36E0">
        <w:rPr>
          <w:rFonts w:ascii="Narkisim" w:hAnsi="Narkisim"/>
        </w:rPr>
        <w:t>.</w:t>
      </w:r>
    </w:p>
    <w:p w14:paraId="62ED4F79" w14:textId="77777777" w:rsidR="006074A5" w:rsidRPr="009F36E0" w:rsidRDefault="006074A5" w:rsidP="006074A5">
      <w:pPr>
        <w:pStyle w:val="a8"/>
        <w:bidi/>
        <w:rPr>
          <w:rFonts w:ascii="Narkisim" w:hAnsi="Narkisim"/>
        </w:rPr>
      </w:pPr>
      <w:r w:rsidRPr="009F36E0">
        <w:rPr>
          <w:rFonts w:ascii="Narkisim" w:hAnsi="Narkisim"/>
          <w:rtl/>
        </w:rPr>
        <w:t>אבל ב</w:t>
      </w:r>
      <w:r w:rsidRPr="009F36E0">
        <w:rPr>
          <w:rFonts w:ascii="Narkisim" w:hAnsi="Narkisim"/>
          <w:b/>
          <w:bCs/>
          <w:rtl/>
        </w:rPr>
        <w:t xml:space="preserve">חי' הגר"נ </w:t>
      </w:r>
      <w:r w:rsidRPr="009F36E0">
        <w:rPr>
          <w:rFonts w:ascii="Narkisim" w:hAnsi="Narkisim"/>
          <w:rtl/>
        </w:rPr>
        <w:t>כת' דאף לגבי חולץ אמרי' דע"י חליצה ניתק האיסור אשת אח ללא יבנה, ואמרי' כי היכי דנתקי לגבי היבם מהני אף כלפי הנולד</w:t>
      </w:r>
      <w:r w:rsidRPr="009F36E0">
        <w:rPr>
          <w:rStyle w:val="ac"/>
          <w:rFonts w:ascii="Narkisim" w:hAnsi="Narkisim"/>
          <w:rtl/>
        </w:rPr>
        <w:footnoteReference w:id="1165"/>
      </w:r>
      <w:r w:rsidRPr="009F36E0">
        <w:rPr>
          <w:rFonts w:ascii="Narkisim" w:hAnsi="Narkisim"/>
        </w:rPr>
        <w:t xml:space="preserve">. </w:t>
      </w:r>
      <w:r w:rsidRPr="009F36E0">
        <w:rPr>
          <w:rFonts w:ascii="Narkisim" w:hAnsi="Narkisim"/>
          <w:rtl/>
        </w:rPr>
        <w:t>ועוד יש שהוסיפו דקידושין לאחר חליצה נחשב מעין יבום, אלא שהתורה הזהירה שוב לא יבנה</w:t>
      </w:r>
      <w:r w:rsidRPr="009F36E0">
        <w:rPr>
          <w:rStyle w:val="ac"/>
          <w:rFonts w:ascii="Narkisim" w:hAnsi="Narkisim"/>
          <w:rtl/>
        </w:rPr>
        <w:footnoteReference w:id="1166"/>
      </w:r>
      <w:r w:rsidRPr="009F36E0">
        <w:rPr>
          <w:rFonts w:ascii="Narkisim" w:hAnsi="Narkisim"/>
        </w:rPr>
        <w:t xml:space="preserve">. </w:t>
      </w:r>
      <w:r w:rsidRPr="009F36E0">
        <w:rPr>
          <w:rFonts w:ascii="Narkisim" w:hAnsi="Narkisim"/>
          <w:rtl/>
        </w:rPr>
        <w:t>א"כ י"ל אף בזה נעשית כאשתו [כלפי האחרים]</w:t>
      </w:r>
      <w:r w:rsidRPr="009F36E0">
        <w:rPr>
          <w:rFonts w:ascii="Narkisim" w:hAnsi="Narkisim"/>
        </w:rPr>
        <w:t>.</w:t>
      </w:r>
    </w:p>
    <w:p w14:paraId="450ECF9D" w14:textId="77777777" w:rsidR="006074A5" w:rsidRPr="009F36E0" w:rsidRDefault="006074A5" w:rsidP="006074A5">
      <w:pPr>
        <w:pStyle w:val="2"/>
        <w:bidi/>
        <w:rPr>
          <w:rFonts w:ascii="Narkisim" w:hAnsi="Narkisim"/>
        </w:rPr>
      </w:pPr>
      <w:r w:rsidRPr="009F36E0">
        <w:rPr>
          <w:rFonts w:ascii="Narkisim" w:hAnsi="Narkisim"/>
          <w:rtl/>
        </w:rPr>
        <w:lastRenderedPageBreak/>
        <w:t>איסור מצוה ואיסור קדושה</w:t>
      </w:r>
    </w:p>
    <w:p w14:paraId="643FA122" w14:textId="77777777" w:rsidR="006074A5" w:rsidRPr="009F36E0" w:rsidRDefault="006074A5" w:rsidP="006074A5">
      <w:pPr>
        <w:bidi/>
        <w:rPr>
          <w:rFonts w:ascii="Narkisim" w:hAnsi="Narkisim" w:cs="Narkisim"/>
        </w:rPr>
      </w:pPr>
      <w:r w:rsidRPr="009F36E0">
        <w:rPr>
          <w:rFonts w:ascii="Narkisim" w:hAnsi="Narkisim" w:cs="Narkisim"/>
          <w:u w:val="single"/>
          <w:rtl/>
        </w:rPr>
        <w:t>לא חולצת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צרתה וכ"ש היא. </w:t>
      </w:r>
      <w:r w:rsidRPr="009F36E0">
        <w:rPr>
          <w:rFonts w:ascii="Narkisim" w:hAnsi="Narkisim" w:cs="Narkisim"/>
          <w:sz w:val="20"/>
          <w:szCs w:val="20"/>
          <w:rtl/>
        </w:rPr>
        <w:t>וה</w:t>
      </w:r>
      <w:r w:rsidRPr="009F36E0">
        <w:rPr>
          <w:rFonts w:ascii="Narkisim" w:hAnsi="Narkisim" w:cs="Narkisim"/>
          <w:b/>
          <w:bCs/>
          <w:sz w:val="20"/>
          <w:szCs w:val="20"/>
          <w:rtl/>
        </w:rPr>
        <w:t>ריטב"א</w:t>
      </w:r>
      <w:r w:rsidRPr="009F36E0">
        <w:rPr>
          <w:rFonts w:ascii="Narkisim" w:hAnsi="Narkisim" w:cs="Narkisim"/>
          <w:sz w:val="20"/>
          <w:szCs w:val="20"/>
          <w:rtl/>
        </w:rPr>
        <w:t xml:space="preserve"> ביאר דמשמע כן מדברי הגמ' כלל לאתויי [ע' תוד"ה לאתויי].</w:t>
      </w:r>
      <w:r w:rsidRPr="009F36E0">
        <w:rPr>
          <w:rFonts w:ascii="Narkisim" w:hAnsi="Narkisim" w:cs="Narkisim"/>
          <w:rtl/>
        </w:rPr>
        <w:t xml:space="preserve"> וה</w:t>
      </w:r>
      <w:r w:rsidRPr="009F36E0">
        <w:rPr>
          <w:rFonts w:ascii="Narkisim" w:hAnsi="Narkisim" w:cs="Narkisim"/>
          <w:b/>
          <w:bCs/>
          <w:rtl/>
        </w:rPr>
        <w:t>ריטב"א</w:t>
      </w:r>
      <w:r w:rsidRPr="009F36E0">
        <w:rPr>
          <w:rFonts w:ascii="Narkisim" w:hAnsi="Narkisim" w:cs="Narkisim"/>
          <w:rtl/>
        </w:rPr>
        <w:t xml:space="preserve"> הק' דבסיפא באיסור מצוה ואיסור קדושה קאי עליה בעצמה, דצרתה מתייבמת. וכ"כ ה</w:t>
      </w:r>
      <w:r w:rsidRPr="009F36E0">
        <w:rPr>
          <w:rFonts w:ascii="Narkisim" w:hAnsi="Narkisim" w:cs="Narkisim"/>
          <w:b/>
          <w:bCs/>
          <w:rtl/>
        </w:rPr>
        <w:t>רמב"ם</w:t>
      </w:r>
      <w:r w:rsidRPr="009F36E0">
        <w:rPr>
          <w:rFonts w:ascii="Narkisim" w:hAnsi="Narkisim" w:cs="Narkisim"/>
          <w:rtl/>
        </w:rPr>
        <w:t xml:space="preserve"> </w:t>
      </w:r>
      <w:r w:rsidRPr="009F36E0">
        <w:rPr>
          <w:rFonts w:ascii="Narkisim" w:hAnsi="Narkisim" w:cs="Narkisim"/>
          <w:sz w:val="20"/>
          <w:szCs w:val="20"/>
          <w:rtl/>
        </w:rPr>
        <w:t>(ו כ וכל הפוסקים)</w:t>
      </w:r>
      <w:r w:rsidRPr="009F36E0">
        <w:rPr>
          <w:rFonts w:ascii="Narkisim" w:hAnsi="Narkisim" w:cs="Narkisim"/>
          <w:rtl/>
        </w:rPr>
        <w:t xml:space="preserve"> דצרת חייבי לאו ועשה ושניות מתייבמות. </w:t>
      </w:r>
      <w:r w:rsidRPr="009F36E0">
        <w:rPr>
          <w:rFonts w:ascii="Narkisim" w:hAnsi="Narkisim" w:cs="Narkisim"/>
          <w:sz w:val="20"/>
          <w:szCs w:val="20"/>
          <w:rtl/>
        </w:rPr>
        <w:t>[וכ"מ בברייתא בע"ב].</w:t>
      </w:r>
      <w:r w:rsidRPr="009F36E0">
        <w:rPr>
          <w:rFonts w:ascii="Narkisim" w:hAnsi="Narkisim" w:cs="Narkisim"/>
          <w:rtl/>
        </w:rPr>
        <w:t xml:space="preserve"> אבל ה</w:t>
      </w:r>
      <w:r w:rsidRPr="009F36E0">
        <w:rPr>
          <w:rFonts w:ascii="Narkisim" w:hAnsi="Narkisim" w:cs="Narkisim"/>
          <w:b/>
          <w:bCs/>
          <w:rtl/>
        </w:rPr>
        <w:t>מאירי</w:t>
      </w:r>
      <w:r w:rsidRPr="009F36E0">
        <w:rPr>
          <w:rFonts w:ascii="Narkisim" w:hAnsi="Narkisim" w:cs="Narkisim"/>
          <w:rtl/>
        </w:rPr>
        <w:t xml:space="preserve"> הביא</w:t>
      </w:r>
      <w:r w:rsidRPr="009F36E0">
        <w:rPr>
          <w:rFonts w:ascii="Narkisim" w:hAnsi="Narkisim" w:cs="Narkisim"/>
          <w:b/>
          <w:bCs/>
          <w:rtl/>
        </w:rPr>
        <w:t xml:space="preserve"> י"מ </w:t>
      </w:r>
      <w:r w:rsidRPr="009F36E0">
        <w:rPr>
          <w:rFonts w:ascii="Narkisim" w:hAnsi="Narkisim" w:cs="Narkisim"/>
          <w:rtl/>
        </w:rPr>
        <w:t>דצרתה אסורה [אף בחייבי לאוין], והביא דב</w:t>
      </w:r>
      <w:r w:rsidRPr="009F36E0">
        <w:rPr>
          <w:rFonts w:ascii="Narkisim" w:hAnsi="Narkisim" w:cs="Narkisim"/>
          <w:b/>
          <w:bCs/>
          <w:rtl/>
        </w:rPr>
        <w:t>ירושלמי</w:t>
      </w:r>
      <w:r w:rsidRPr="009F36E0">
        <w:rPr>
          <w:rFonts w:ascii="Narkisim" w:hAnsi="Narkisim" w:cs="Narkisim"/>
          <w:rtl/>
        </w:rPr>
        <w:t xml:space="preserve"> מבואר דלא כן. </w:t>
      </w:r>
      <w:r w:rsidRPr="009F36E0">
        <w:rPr>
          <w:rFonts w:ascii="Narkisim" w:hAnsi="Narkisim" w:cs="Narkisim"/>
          <w:sz w:val="20"/>
          <w:szCs w:val="20"/>
          <w:rtl/>
        </w:rPr>
        <w:t>וה</w:t>
      </w:r>
      <w:r w:rsidRPr="009F36E0">
        <w:rPr>
          <w:rFonts w:ascii="Narkisim" w:hAnsi="Narkisim" w:cs="Narkisim"/>
          <w:b/>
          <w:bCs/>
          <w:sz w:val="20"/>
          <w:szCs w:val="20"/>
          <w:rtl/>
        </w:rPr>
        <w:t>מאירי</w:t>
      </w:r>
      <w:r w:rsidRPr="009F36E0">
        <w:rPr>
          <w:rFonts w:ascii="Narkisim" w:hAnsi="Narkisim" w:cs="Narkisim"/>
          <w:sz w:val="20"/>
          <w:szCs w:val="20"/>
          <w:rtl/>
        </w:rPr>
        <w:t xml:space="preserve"> (לקמן קט.) הביא צד דבשניות אוסר צרותיהן. [וכ"ד כמה </w:t>
      </w:r>
      <w:r w:rsidRPr="009F36E0">
        <w:rPr>
          <w:rFonts w:ascii="Narkisim" w:hAnsi="Narkisim" w:cs="Narkisim"/>
          <w:b/>
          <w:bCs/>
          <w:sz w:val="20"/>
          <w:szCs w:val="20"/>
          <w:rtl/>
        </w:rPr>
        <w:t>אחרונים</w:t>
      </w:r>
      <w:r w:rsidRPr="009F36E0">
        <w:rPr>
          <w:rFonts w:ascii="Narkisim" w:hAnsi="Narkisim" w:cs="Narkisim"/>
          <w:sz w:val="20"/>
          <w:szCs w:val="20"/>
          <w:rtl/>
        </w:rPr>
        <w:t xml:space="preserve"> ע' לקמן כא.]</w:t>
      </w:r>
      <w:r w:rsidRPr="009F36E0">
        <w:rPr>
          <w:rFonts w:ascii="Narkisim" w:hAnsi="Narkisim" w:cs="Narkisim"/>
          <w:sz w:val="20"/>
          <w:szCs w:val="20"/>
        </w:rPr>
        <w:t>.</w:t>
      </w:r>
    </w:p>
    <w:p w14:paraId="78159327" w14:textId="77777777" w:rsidR="006074A5" w:rsidRPr="009F36E0" w:rsidRDefault="006074A5" w:rsidP="006074A5">
      <w:pPr>
        <w:pStyle w:val="aa"/>
        <w:bidi/>
        <w:rPr>
          <w:rFonts w:ascii="Narkisim" w:hAnsi="Narkisim"/>
        </w:rPr>
      </w:pPr>
      <w:r w:rsidRPr="009F36E0">
        <w:rPr>
          <w:rFonts w:ascii="Narkisim" w:hAnsi="Narkisim"/>
          <w:u w:val="single"/>
          <w:rtl/>
        </w:rPr>
        <w:t>רש"י ד"ה אלמנה לכה"ג</w:t>
      </w:r>
      <w:r w:rsidRPr="009F36E0">
        <w:rPr>
          <w:rFonts w:ascii="Narkisim" w:hAnsi="Narkisim"/>
          <w:rtl/>
        </w:rPr>
        <w:t>. שמת אחיו ההדיוט, ונפלה אלמנתו לפניו. לכאורה משמע דאחיו נשאה לאחר שהיתה אלמנה [דאל"כ אף אי"צ להעמיד בכהן הדיוט]. וה</w:t>
      </w:r>
      <w:r w:rsidRPr="009F36E0">
        <w:rPr>
          <w:rFonts w:ascii="Narkisim" w:hAnsi="Narkisim"/>
          <w:b/>
          <w:bCs/>
          <w:rtl/>
        </w:rPr>
        <w:t>אחרונים</w:t>
      </w:r>
      <w:r w:rsidRPr="009F36E0">
        <w:rPr>
          <w:rFonts w:ascii="Narkisim" w:hAnsi="Narkisim"/>
          <w:rtl/>
        </w:rPr>
        <w:t xml:space="preserve"> הק' אמאי צריך להעמיד כה"ג [דאלמנה בשעת נישואין</w:t>
      </w:r>
      <w:r w:rsidRPr="009F36E0">
        <w:rPr>
          <w:rStyle w:val="ac"/>
          <w:rFonts w:ascii="Narkisim" w:hAnsi="Narkisim"/>
          <w:rtl/>
        </w:rPr>
        <w:footnoteReference w:id="1167"/>
      </w:r>
      <w:r w:rsidRPr="009F36E0">
        <w:rPr>
          <w:rFonts w:ascii="Narkisim" w:hAnsi="Narkisim"/>
          <w:rtl/>
        </w:rPr>
        <w:t>], בלאו הכי עכשיו נתאלמנה מאחיו</w:t>
      </w:r>
      <w:r w:rsidRPr="009F36E0">
        <w:rPr>
          <w:rFonts w:ascii="Narkisim" w:hAnsi="Narkisim"/>
        </w:rPr>
        <w:t>.</w:t>
      </w:r>
    </w:p>
    <w:p w14:paraId="6EBB3E65" w14:textId="77777777" w:rsidR="006074A5" w:rsidRPr="009F36E0" w:rsidRDefault="006074A5" w:rsidP="006074A5">
      <w:pPr>
        <w:bidi/>
        <w:rPr>
          <w:rFonts w:ascii="Narkisim" w:hAnsi="Narkisim" w:cs="Narkisim"/>
        </w:rPr>
      </w:pPr>
      <w:r w:rsidRPr="009F36E0">
        <w:rPr>
          <w:rFonts w:ascii="Narkisim" w:hAnsi="Narkisim" w:cs="Narkisim"/>
          <w:u w:val="single"/>
          <w:rtl/>
        </w:rPr>
        <w:t>רש"י ד"ה גרושה וחלוצה לכהן הדיוט.</w:t>
      </w:r>
      <w:r w:rsidRPr="009F36E0">
        <w:rPr>
          <w:rFonts w:ascii="Narkisim" w:hAnsi="Narkisim" w:cs="Narkisim"/>
          <w:rtl/>
        </w:rPr>
        <w:t xml:space="preserve"> ואפטורי בולא כלום לא, דלא אלים לאו למפטריה דילפי' מאחות אשה. וכעי"ז כתב </w:t>
      </w:r>
      <w:r w:rsidRPr="009F36E0">
        <w:rPr>
          <w:rFonts w:ascii="Narkisim" w:hAnsi="Narkisim" w:cs="Narkisim"/>
          <w:b/>
          <w:bCs/>
          <w:rtl/>
        </w:rPr>
        <w:t>רש"י</w:t>
      </w:r>
      <w:r w:rsidRPr="009F36E0">
        <w:rPr>
          <w:rFonts w:ascii="Narkisim" w:hAnsi="Narkisim" w:cs="Narkisim"/>
          <w:rtl/>
        </w:rPr>
        <w:t xml:space="preserve"> (לעיל ח. י: וסנהדרין נג.). משמע דחייבי כריתות אלימי ליפטר מחליצה, משא"כ חייבי לאוין</w:t>
      </w:r>
      <w:r w:rsidRPr="009F36E0">
        <w:rPr>
          <w:rFonts w:ascii="Narkisim" w:hAnsi="Narkisim" w:cs="Narkisim"/>
        </w:rPr>
        <w:t>.</w:t>
      </w:r>
    </w:p>
    <w:p w14:paraId="20559304"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תוי"ט</w:t>
      </w:r>
      <w:r w:rsidRPr="009F36E0">
        <w:rPr>
          <w:rFonts w:ascii="Narkisim" w:hAnsi="Narkisim"/>
          <w:rtl/>
        </w:rPr>
        <w:t xml:space="preserve"> כת' דרש"י קאי לדברי רב גידל [דמדאורייתא פטורה מיבום], אבל למסקנא חייבי לאוין עולה ליבום אף מה"ת, ואי"צ טעם זה</w:t>
      </w:r>
      <w:r w:rsidRPr="009F36E0">
        <w:rPr>
          <w:rFonts w:ascii="Narkisim" w:hAnsi="Narkisim"/>
        </w:rPr>
        <w:t>.</w:t>
      </w:r>
    </w:p>
    <w:p w14:paraId="0DF5D0B4"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(במשניות) הק' דגם לפי רב גידל חולצת מגזיה"כ ד'ועלתה', ולא משום דלא אלים לפטור. </w:t>
      </w:r>
      <w:r w:rsidRPr="009F36E0">
        <w:rPr>
          <w:rFonts w:ascii="Narkisim" w:hAnsi="Narkisim"/>
          <w:szCs w:val="20"/>
          <w:rtl/>
        </w:rPr>
        <w:t>[</w:t>
      </w:r>
      <w:r w:rsidRPr="009F36E0">
        <w:rPr>
          <w:rFonts w:ascii="Narkisim" w:hAnsi="Narkisim"/>
          <w:sz w:val="20"/>
          <w:szCs w:val="20"/>
          <w:rtl/>
        </w:rPr>
        <w:t xml:space="preserve">וע' בסמוך מש”כ האחרונים]. </w:t>
      </w:r>
      <w:r w:rsidRPr="009F36E0">
        <w:rPr>
          <w:rFonts w:ascii="Narkisim" w:hAnsi="Narkisim"/>
          <w:rtl/>
        </w:rPr>
        <w:t>ועוה"ק ה</w:t>
      </w:r>
      <w:r w:rsidRPr="009F36E0">
        <w:rPr>
          <w:rFonts w:ascii="Narkisim" w:hAnsi="Narkisim"/>
          <w:b/>
          <w:bCs/>
          <w:rtl/>
        </w:rPr>
        <w:t>אחרונים</w:t>
      </w:r>
      <w:r w:rsidRPr="009F36E0">
        <w:rPr>
          <w:rFonts w:ascii="Narkisim" w:hAnsi="Narkisim"/>
          <w:rtl/>
        </w:rPr>
        <w:t xml:space="preserve"> דבגמ' (בסמוך) מבואר דהחילוק בין חייבי כריתות לחייבי לאוין אי תפסי קידושין</w:t>
      </w:r>
      <w:r w:rsidRPr="009F36E0">
        <w:rPr>
          <w:rFonts w:ascii="Narkisim" w:hAnsi="Narkisim"/>
        </w:rPr>
        <w:t>.</w:t>
      </w:r>
    </w:p>
    <w:p w14:paraId="2A545179" w14:textId="77777777" w:rsidR="006074A5" w:rsidRPr="009F36E0" w:rsidRDefault="006074A5" w:rsidP="006074A5">
      <w:pPr>
        <w:bidi/>
        <w:rPr>
          <w:rFonts w:ascii="Narkisim" w:hAnsi="Narkisim" w:cs="Narkisim"/>
        </w:rPr>
      </w:pPr>
      <w:r w:rsidRPr="009F36E0">
        <w:rPr>
          <w:rFonts w:ascii="Narkisim" w:hAnsi="Narkisim" w:cs="Narkisim"/>
          <w:u w:val="single"/>
          <w:rtl/>
        </w:rPr>
        <w:t>לאתויי צרת איילונית.</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דמיעטה קרא, וקיימא באיסור אשת אח. הילכך צרתה צרת ערוה. מבואר ברש"י דהאשת אח פוטר לצרה, ומש"ה נחשב 'ערוה'. וכן </w:t>
      </w:r>
      <w:r w:rsidRPr="009F36E0">
        <w:rPr>
          <w:rFonts w:ascii="Narkisim" w:hAnsi="Narkisim" w:cs="Narkisim"/>
          <w:b/>
          <w:bCs/>
          <w:rtl/>
        </w:rPr>
        <w:t>תוס</w:t>
      </w:r>
      <w:r w:rsidRPr="009F36E0">
        <w:rPr>
          <w:rFonts w:ascii="Narkisim" w:hAnsi="Narkisim" w:cs="Narkisim"/>
          <w:rtl/>
        </w:rPr>
        <w:t>' פי' דהצרה נחשב דאיסורא 'מחמת' הערוה</w:t>
      </w:r>
      <w:r w:rsidRPr="009F36E0">
        <w:rPr>
          <w:rStyle w:val="ac"/>
          <w:rFonts w:ascii="Narkisim" w:hAnsi="Narkisim" w:cs="Narkisim"/>
          <w:rtl/>
        </w:rPr>
        <w:footnoteReference w:id="1168"/>
      </w: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 xml:space="preserve">רמב"ן </w:t>
      </w:r>
      <w:r w:rsidRPr="009F36E0">
        <w:rPr>
          <w:rFonts w:ascii="Narkisim" w:hAnsi="Narkisim" w:cs="Narkisim"/>
          <w:rtl/>
        </w:rPr>
        <w:t>פי' דקרינן בה איסור ערוה כיון דל"ש יבום באיילונית הוה אשת אח שלא במקום מצוה</w:t>
      </w:r>
      <w:r w:rsidRPr="009F36E0">
        <w:rPr>
          <w:rStyle w:val="ac"/>
          <w:rFonts w:ascii="Narkisim" w:hAnsi="Narkisim" w:cs="Narkisim"/>
          <w:rtl/>
        </w:rPr>
        <w:footnoteReference w:id="1169"/>
      </w:r>
      <w:r w:rsidRPr="009F36E0">
        <w:rPr>
          <w:rFonts w:ascii="Narkisim" w:hAnsi="Narkisim" w:cs="Narkisim"/>
        </w:rPr>
        <w:t>.</w:t>
      </w:r>
    </w:p>
    <w:p w14:paraId="7FC65EC1" w14:textId="77777777" w:rsidR="006074A5" w:rsidRPr="009F36E0" w:rsidRDefault="006074A5" w:rsidP="006074A5">
      <w:pPr>
        <w:pStyle w:val="a8"/>
        <w:bidi/>
        <w:rPr>
          <w:rFonts w:ascii="Narkisim" w:hAnsi="Narkisim"/>
        </w:rPr>
      </w:pPr>
      <w:r w:rsidRPr="009F36E0">
        <w:rPr>
          <w:rFonts w:ascii="Narkisim" w:hAnsi="Narkisim"/>
          <w:rtl/>
        </w:rPr>
        <w:t>וכ"כ ה</w:t>
      </w:r>
      <w:r w:rsidRPr="009F36E0">
        <w:rPr>
          <w:rFonts w:ascii="Narkisim" w:hAnsi="Narkisim"/>
          <w:b/>
          <w:bCs/>
          <w:rtl/>
        </w:rPr>
        <w:t>ריטב"א</w:t>
      </w:r>
      <w:r w:rsidRPr="009F36E0">
        <w:rPr>
          <w:rFonts w:ascii="Narkisim" w:hAnsi="Narkisim"/>
          <w:rtl/>
        </w:rPr>
        <w:t xml:space="preserve"> דהו"ל אשת אח שיש לה בנים, והו"ל היא וצרתה ערוה גמורה. ועוד הביא בשם </w:t>
      </w:r>
      <w:r w:rsidRPr="009F36E0">
        <w:rPr>
          <w:rFonts w:ascii="Narkisim" w:hAnsi="Narkisim"/>
          <w:b/>
          <w:bCs/>
          <w:rtl/>
        </w:rPr>
        <w:t>אחרים</w:t>
      </w:r>
      <w:r w:rsidRPr="009F36E0">
        <w:rPr>
          <w:rFonts w:ascii="Narkisim" w:hAnsi="Narkisim"/>
          <w:rtl/>
        </w:rPr>
        <w:t xml:space="preserve"> דדוקא אילונית דלא נראית מעולם ליבום, דמגופא אסירא. אבל סוטה דבר אחר גורם לה לעשותה ערוה, לא קרי לה ערוה דנרבי לה במתני</w:t>
      </w:r>
      <w:r w:rsidRPr="009F36E0">
        <w:rPr>
          <w:rFonts w:ascii="Narkisim" w:hAnsi="Narkisim"/>
        </w:rPr>
        <w:t>'.</w:t>
      </w:r>
    </w:p>
    <w:p w14:paraId="782DFD1C" w14:textId="77777777" w:rsidR="006074A5" w:rsidRPr="009F36E0" w:rsidRDefault="006074A5" w:rsidP="006074A5">
      <w:pPr>
        <w:bidi/>
        <w:rPr>
          <w:rFonts w:ascii="Narkisim" w:hAnsi="Narkisim" w:cs="Narkisim"/>
        </w:rPr>
      </w:pPr>
      <w:r w:rsidRPr="009F36E0">
        <w:rPr>
          <w:rFonts w:ascii="Narkisim" w:hAnsi="Narkisim" w:cs="Narkisim"/>
          <w:u w:val="single"/>
          <w:rtl/>
        </w:rPr>
        <w:t>וא"ד וכו' הא לא איסורא איסור ערוה וכו' למעוטי צרת אילונית</w:t>
      </w:r>
      <w:r w:rsidRPr="009F36E0">
        <w:rPr>
          <w:rFonts w:ascii="Narkisim" w:hAnsi="Narkisim" w:cs="Narkisim"/>
          <w:rtl/>
        </w:rPr>
        <w:t>. להך לישנא אילונית לא נחשב ערוה. וה</w:t>
      </w:r>
      <w:r w:rsidRPr="009F36E0">
        <w:rPr>
          <w:rFonts w:ascii="Narkisim" w:hAnsi="Narkisim" w:cs="Narkisim"/>
          <w:b/>
          <w:bCs/>
          <w:rtl/>
        </w:rPr>
        <w:t>אחרונים</w:t>
      </w:r>
      <w:r w:rsidRPr="009F36E0">
        <w:rPr>
          <w:rFonts w:ascii="Narkisim" w:hAnsi="Narkisim" w:cs="Narkisim"/>
          <w:rtl/>
        </w:rPr>
        <w:t xml:space="preserve"> ביארו דלהך לישנא אזלי' בתר הסיבה, והיא אסורה מחמת שהיא אילונית, ולא מחמת הערוה. [וע"ע לעיל יב: בגדר אמאי לא פטרה צרה]</w:t>
      </w:r>
      <w:r w:rsidRPr="009F36E0">
        <w:rPr>
          <w:rFonts w:ascii="Narkisim" w:hAnsi="Narkisim" w:cs="Narkisim"/>
        </w:rPr>
        <w:t>.</w:t>
      </w:r>
    </w:p>
    <w:p w14:paraId="175403B3" w14:textId="77777777" w:rsidR="006074A5" w:rsidRPr="009F36E0" w:rsidRDefault="006074A5" w:rsidP="006074A5">
      <w:pPr>
        <w:pStyle w:val="aa"/>
        <w:bidi/>
        <w:rPr>
          <w:rFonts w:ascii="Narkisim" w:hAnsi="Narkisim"/>
        </w:rPr>
      </w:pPr>
      <w:r w:rsidRPr="009F36E0">
        <w:rPr>
          <w:rFonts w:ascii="Narkisim" w:hAnsi="Narkisim"/>
          <w:u w:val="single"/>
          <w:rtl/>
        </w:rPr>
        <w:t>תוד"ה לאתויי.</w:t>
      </w:r>
      <w:r w:rsidRPr="009F36E0">
        <w:rPr>
          <w:rFonts w:ascii="Narkisim" w:hAnsi="Narkisim"/>
          <w:rtl/>
        </w:rPr>
        <w:t xml:space="preserve"> והא דלא קאמר לאתויי צרת סוטה כו'. ותוס' כת' דל"ד לפטור ערוה, שהרי סוטה אסורה אף למת. וה</w:t>
      </w:r>
      <w:r w:rsidRPr="009F36E0">
        <w:rPr>
          <w:rFonts w:ascii="Narkisim" w:hAnsi="Narkisim"/>
          <w:b/>
          <w:bCs/>
          <w:rtl/>
        </w:rPr>
        <w:t xml:space="preserve">רמב"ן </w:t>
      </w:r>
      <w:r w:rsidRPr="009F36E0">
        <w:rPr>
          <w:rFonts w:ascii="Narkisim" w:hAnsi="Narkisim"/>
          <w:rtl/>
        </w:rPr>
        <w:t>כת' דצרת לאו איסור ערוה היא, אלא שנתמעט משום דכתיב בה טומאה כעריות</w:t>
      </w:r>
      <w:r w:rsidRPr="009F36E0">
        <w:rPr>
          <w:rStyle w:val="ac"/>
          <w:rFonts w:ascii="Narkisim" w:hAnsi="Narkisim"/>
          <w:rtl/>
        </w:rPr>
        <w:footnoteReference w:id="1170"/>
      </w:r>
      <w:r w:rsidRPr="009F36E0">
        <w:rPr>
          <w:rFonts w:ascii="Narkisim" w:hAnsi="Narkisim"/>
        </w:rPr>
        <w:t xml:space="preserve">. </w:t>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הביא עוד</w:t>
      </w:r>
      <w:r w:rsidRPr="009F36E0">
        <w:rPr>
          <w:rFonts w:ascii="Narkisim" w:hAnsi="Narkisim"/>
          <w:b/>
          <w:bCs/>
          <w:rtl/>
        </w:rPr>
        <w:t xml:space="preserve"> י"מ</w:t>
      </w:r>
      <w:r w:rsidRPr="009F36E0">
        <w:rPr>
          <w:rFonts w:ascii="Narkisim" w:hAnsi="Narkisim"/>
          <w:rtl/>
        </w:rPr>
        <w:t xml:space="preserve"> דכיון דטומאה כתיב כעריות, אף בלא ריבוי, נכלל באיסור ערוה</w:t>
      </w:r>
      <w:r w:rsidRPr="009F36E0">
        <w:rPr>
          <w:rFonts w:ascii="Narkisim" w:hAnsi="Narkisim"/>
        </w:rPr>
        <w:t>.</w:t>
      </w:r>
    </w:p>
    <w:p w14:paraId="0D1EAC7E" w14:textId="77777777" w:rsidR="006074A5" w:rsidRPr="009F36E0" w:rsidRDefault="006074A5" w:rsidP="006074A5">
      <w:pPr>
        <w:pStyle w:val="aa"/>
        <w:bidi/>
        <w:rPr>
          <w:rFonts w:ascii="Narkisim" w:hAnsi="Narkisim"/>
        </w:rPr>
      </w:pPr>
      <w:r w:rsidRPr="009F36E0">
        <w:rPr>
          <w:rFonts w:ascii="Narkisim" w:hAnsi="Narkisim"/>
          <w:u w:val="single"/>
          <w:rtl/>
        </w:rPr>
        <w:t>בא"ד וצרת מחזיר גרושתו וכו'.</w:t>
      </w:r>
      <w:r w:rsidRPr="009F36E0">
        <w:rPr>
          <w:rFonts w:ascii="Narkisim" w:hAnsi="Narkisim"/>
          <w:rtl/>
        </w:rPr>
        <w:t xml:space="preserve"> וה</w:t>
      </w:r>
      <w:r w:rsidRPr="009F36E0">
        <w:rPr>
          <w:rFonts w:ascii="Narkisim" w:hAnsi="Narkisim"/>
          <w:b/>
          <w:bCs/>
          <w:rtl/>
        </w:rPr>
        <w:t>רמב"ן</w:t>
      </w:r>
      <w:r w:rsidRPr="009F36E0">
        <w:rPr>
          <w:rFonts w:ascii="Narkisim" w:hAnsi="Narkisim"/>
          <w:rtl/>
        </w:rPr>
        <w:t xml:space="preserve"> דחה דמחזיר גרושתו לכו"ע חולצת [כדאי' לעיל יא:], ולאו ערוה היא. [וכה"ק </w:t>
      </w:r>
      <w:r w:rsidRPr="009F36E0">
        <w:rPr>
          <w:rFonts w:ascii="Narkisim" w:hAnsi="Narkisim"/>
          <w:b/>
          <w:bCs/>
          <w:rtl/>
        </w:rPr>
        <w:t>רע"א</w:t>
      </w:r>
      <w:r w:rsidRPr="009F36E0">
        <w:rPr>
          <w:rFonts w:ascii="Narkisim" w:hAnsi="Narkisim"/>
          <w:rtl/>
        </w:rPr>
        <w:t xml:space="preserve"> על תוס'</w:t>
      </w:r>
      <w:r w:rsidRPr="009F36E0">
        <w:rPr>
          <w:rStyle w:val="ac"/>
          <w:rFonts w:ascii="Narkisim" w:hAnsi="Narkisim"/>
          <w:rtl/>
        </w:rPr>
        <w:footnoteReference w:id="1171"/>
      </w:r>
      <w:r w:rsidRPr="009F36E0">
        <w:rPr>
          <w:rFonts w:ascii="Narkisim" w:hAnsi="Narkisim"/>
          <w:rtl/>
        </w:rPr>
        <w:t>]</w:t>
      </w:r>
      <w:r w:rsidRPr="009F36E0">
        <w:rPr>
          <w:rFonts w:ascii="Narkisim" w:hAnsi="Narkisim"/>
        </w:rPr>
        <w:t>.</w:t>
      </w:r>
    </w:p>
    <w:p w14:paraId="6CCC15AB" w14:textId="77777777" w:rsidR="006074A5" w:rsidRPr="009F36E0" w:rsidRDefault="006074A5" w:rsidP="006074A5">
      <w:pPr>
        <w:bidi/>
        <w:rPr>
          <w:rFonts w:ascii="Narkisim" w:hAnsi="Narkisim" w:cs="Narkisim"/>
        </w:rPr>
      </w:pPr>
      <w:r w:rsidRPr="009F36E0">
        <w:rPr>
          <w:rFonts w:ascii="Narkisim" w:hAnsi="Narkisim" w:cs="Narkisim"/>
          <w:u w:val="single"/>
          <w:rtl/>
        </w:rPr>
        <w:t>אילימא דאיסור מצוה, כיון דמדאורייתא רמי קמיה וכו'</w:t>
      </w:r>
      <w:r w:rsidRPr="009F36E0">
        <w:rPr>
          <w:rFonts w:ascii="Narkisim" w:hAnsi="Narkisim" w:cs="Narkisim"/>
          <w:rtl/>
        </w:rPr>
        <w:t>. ה</w:t>
      </w:r>
      <w:r w:rsidRPr="009F36E0">
        <w:rPr>
          <w:rFonts w:ascii="Narkisim" w:hAnsi="Narkisim" w:cs="Narkisim"/>
          <w:b/>
          <w:bCs/>
          <w:rtl/>
        </w:rPr>
        <w:t>רמב"ן</w:t>
      </w:r>
      <w:r w:rsidRPr="009F36E0">
        <w:rPr>
          <w:rFonts w:ascii="Narkisim" w:hAnsi="Narkisim" w:cs="Narkisim"/>
          <w:rtl/>
        </w:rPr>
        <w:t xml:space="preserve"> ושא"ר כתבו דה"ה איסור קדושה</w:t>
      </w:r>
      <w:r w:rsidRPr="009F36E0">
        <w:rPr>
          <w:rStyle w:val="ac"/>
          <w:rFonts w:ascii="Narkisim" w:hAnsi="Narkisim" w:cs="Narkisim"/>
          <w:rtl/>
        </w:rPr>
        <w:footnoteReference w:id="1172"/>
      </w:r>
      <w:r w:rsidRPr="009F36E0">
        <w:rPr>
          <w:rFonts w:ascii="Narkisim" w:hAnsi="Narkisim" w:cs="Narkisim"/>
          <w:sz w:val="20"/>
          <w:szCs w:val="20"/>
        </w:rPr>
        <w:t xml:space="preserve"> </w:t>
      </w:r>
      <w:r w:rsidRPr="009F36E0">
        <w:rPr>
          <w:rFonts w:ascii="Narkisim" w:hAnsi="Narkisim" w:cs="Narkisim"/>
          <w:sz w:val="20"/>
          <w:szCs w:val="20"/>
          <w:rtl/>
        </w:rPr>
        <w:t>[וכדאי' לקמן כח:]</w:t>
      </w:r>
      <w:r w:rsidRPr="009F36E0">
        <w:rPr>
          <w:rFonts w:ascii="Narkisim" w:hAnsi="Narkisim" w:cs="Narkisim"/>
          <w:rtl/>
        </w:rPr>
        <w:t>. ובפשוטו משמע דה"ה חייבי עשה, אע"ג דמדאורי' לא רמי</w:t>
      </w:r>
      <w:r w:rsidRPr="009F36E0">
        <w:rPr>
          <w:rStyle w:val="ac"/>
          <w:rFonts w:ascii="Narkisim" w:hAnsi="Narkisim" w:cs="Narkisim"/>
          <w:rtl/>
        </w:rPr>
        <w:footnoteReference w:id="1173"/>
      </w:r>
      <w:r w:rsidRPr="009F36E0">
        <w:rPr>
          <w:rFonts w:ascii="Narkisim" w:hAnsi="Narkisim" w:cs="Narkisim"/>
        </w:rPr>
        <w:t xml:space="preserve">, </w:t>
      </w:r>
      <w:r w:rsidRPr="009F36E0">
        <w:rPr>
          <w:rFonts w:ascii="Narkisim" w:hAnsi="Narkisim" w:cs="Narkisim"/>
          <w:rtl/>
        </w:rPr>
        <w:t>מ"מ נחשבת זקוקתו לחליצה.</w:t>
      </w:r>
      <w:r w:rsidRPr="009F36E0">
        <w:rPr>
          <w:rFonts w:ascii="Narkisim" w:hAnsi="Narkisim" w:cs="Narkisim"/>
          <w:sz w:val="20"/>
          <w:szCs w:val="20"/>
          <w:rtl/>
        </w:rPr>
        <w:t xml:space="preserve"> וכ"כ ה</w:t>
      </w:r>
      <w:r w:rsidRPr="009F36E0">
        <w:rPr>
          <w:rFonts w:ascii="Narkisim" w:hAnsi="Narkisim" w:cs="Narkisim"/>
          <w:b/>
          <w:bCs/>
          <w:sz w:val="20"/>
          <w:szCs w:val="20"/>
          <w:rtl/>
        </w:rPr>
        <w:t xml:space="preserve">תוס' רי"ד </w:t>
      </w:r>
      <w:r w:rsidRPr="009F36E0">
        <w:rPr>
          <w:rFonts w:ascii="Narkisim" w:hAnsi="Narkisim" w:cs="Narkisim"/>
          <w:sz w:val="20"/>
          <w:szCs w:val="20"/>
          <w:rtl/>
        </w:rPr>
        <w:t>(כו.) דרמי קמיה ובעי חליצה</w:t>
      </w:r>
      <w:r w:rsidRPr="009F36E0">
        <w:rPr>
          <w:rStyle w:val="ac"/>
          <w:rFonts w:ascii="Narkisim" w:hAnsi="Narkisim" w:cs="Narkisim"/>
          <w:sz w:val="20"/>
          <w:szCs w:val="20"/>
          <w:rtl/>
        </w:rPr>
        <w:footnoteReference w:id="1174"/>
      </w:r>
      <w:r w:rsidRPr="009F36E0">
        <w:rPr>
          <w:rFonts w:ascii="Narkisim" w:hAnsi="Narkisim" w:cs="Narkisim"/>
          <w:sz w:val="20"/>
          <w:szCs w:val="20"/>
        </w:rPr>
        <w:t>.</w:t>
      </w:r>
      <w:r w:rsidRPr="009F36E0">
        <w:rPr>
          <w:rFonts w:ascii="Narkisim" w:hAnsi="Narkisim" w:cs="Narkisim"/>
        </w:rPr>
        <w:t xml:space="preserve"> </w:t>
      </w:r>
      <w:r w:rsidRPr="009F36E0">
        <w:rPr>
          <w:rFonts w:ascii="Narkisim" w:hAnsi="Narkisim" w:cs="Narkisim"/>
          <w:rtl/>
        </w:rPr>
        <w:t>אבל ה</w:t>
      </w:r>
      <w:r w:rsidRPr="009F36E0">
        <w:rPr>
          <w:rFonts w:ascii="Narkisim" w:hAnsi="Narkisim" w:cs="Narkisim"/>
          <w:b/>
          <w:bCs/>
          <w:rtl/>
        </w:rPr>
        <w:t>ריטב"א</w:t>
      </w:r>
      <w:r w:rsidRPr="009F36E0">
        <w:rPr>
          <w:rFonts w:ascii="Narkisim" w:hAnsi="Narkisim" w:cs="Narkisim"/>
          <w:rtl/>
        </w:rPr>
        <w:t xml:space="preserve"> כת' </w:t>
      </w:r>
      <w:r w:rsidRPr="009F36E0">
        <w:rPr>
          <w:rFonts w:ascii="Narkisim" w:hAnsi="Narkisim" w:cs="Narkisim"/>
          <w:rtl/>
        </w:rPr>
        <w:lastRenderedPageBreak/>
        <w:t>דה"ה איסור קדושה דחייבי לאוין מדאוריתא מתייבמת בביאה ראשונה</w:t>
      </w:r>
      <w:r w:rsidRPr="009F36E0">
        <w:rPr>
          <w:rStyle w:val="ac"/>
          <w:rFonts w:ascii="Narkisim" w:hAnsi="Narkisim" w:cs="Narkisim"/>
          <w:rtl/>
        </w:rPr>
        <w:footnoteReference w:id="1175"/>
      </w:r>
      <w:r w:rsidRPr="009F36E0">
        <w:rPr>
          <w:rFonts w:ascii="Narkisim" w:hAnsi="Narkisim" w:cs="Narkisim"/>
        </w:rPr>
        <w:t xml:space="preserve">. </w:t>
      </w:r>
      <w:r w:rsidRPr="009F36E0">
        <w:rPr>
          <w:rFonts w:ascii="Narkisim" w:hAnsi="Narkisim" w:cs="Narkisim"/>
          <w:rtl/>
        </w:rPr>
        <w:t>משמע דכשחולצת מדאורייתא מותר באחותה. [דרק זיקה ליבום אוסר באחותה]</w:t>
      </w:r>
      <w:r w:rsidRPr="009F36E0">
        <w:rPr>
          <w:rFonts w:ascii="Narkisim" w:hAnsi="Narkisim" w:cs="Narkisim"/>
        </w:rPr>
        <w:t>.</w:t>
      </w:r>
    </w:p>
    <w:p w14:paraId="6C682E4A"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משנת ר"א</w:t>
      </w:r>
      <w:r w:rsidRPr="009F36E0">
        <w:rPr>
          <w:rFonts w:ascii="Narkisim" w:hAnsi="Narkisim"/>
          <w:rtl/>
        </w:rPr>
        <w:t xml:space="preserve"> (טו ג) כת' דנח' הראשונים בגדר הזיקה בחייבי לאו ועשה, דלדעת הריטב"א זקוקה רק לחליצה. ואילו לדעת שא"ר הוה חדא זיקה ליבום וחליצה, ואף חייבי לאו ועשה זקוקה, ומש"ה יש איסור אחות זקוקתו. [אבל לכו"ע איסור אחות זקוקה שייך דוקא בזיקה ליבום]</w:t>
      </w:r>
      <w:r w:rsidRPr="009F36E0">
        <w:rPr>
          <w:rFonts w:ascii="Narkisim" w:hAnsi="Narkisim"/>
        </w:rPr>
        <w:t>.</w:t>
      </w:r>
    </w:p>
    <w:p w14:paraId="73C4BFBF" w14:textId="77777777" w:rsidR="006074A5" w:rsidRPr="009F36E0" w:rsidRDefault="006074A5" w:rsidP="006074A5">
      <w:pPr>
        <w:pStyle w:val="aa"/>
        <w:bidi/>
        <w:rPr>
          <w:rFonts w:ascii="Narkisim" w:hAnsi="Narkisim"/>
        </w:rPr>
      </w:pPr>
      <w:r w:rsidRPr="009F36E0">
        <w:rPr>
          <w:rFonts w:ascii="Narkisim" w:hAnsi="Narkisim"/>
          <w:u w:val="single"/>
          <w:rtl/>
        </w:rPr>
        <w:t>קא פגע באחות זקוקתו וכו'.</w:t>
      </w:r>
      <w:r w:rsidRPr="009F36E0">
        <w:rPr>
          <w:rFonts w:ascii="Narkisim" w:hAnsi="Narkisim"/>
          <w:rtl/>
        </w:rPr>
        <w:t xml:space="preserve"> הלשון אחות זקוקתו משמע בפשוטו כמ"ד (ע' לעיל יז:) יש זיקה, דהוה כאחות אשתו. וה</w:t>
      </w:r>
      <w:r w:rsidRPr="009F36E0">
        <w:rPr>
          <w:rFonts w:ascii="Narkisim" w:hAnsi="Narkisim"/>
          <w:b/>
          <w:bCs/>
          <w:rtl/>
        </w:rPr>
        <w:t>רמב"ן</w:t>
      </w:r>
      <w:r w:rsidRPr="009F36E0">
        <w:rPr>
          <w:rFonts w:ascii="Narkisim" w:hAnsi="Narkisim"/>
          <w:rtl/>
        </w:rPr>
        <w:t xml:space="preserve"> הק' דהו"ל לגמ' לתרץ דס"ל אין זיקה. ותי' דמדקתני (במשנה) אחותה [דאיסור מצווה ואיסור קדושה] חולצת או מתייבמת, ש"מ דבעלמא אחותה שהיא יבמתה אסור, וע"כ דמתני' סבר דיש זיקה. דלמ”ד אין זיקה כל אחותה שהיא יבמתה מיבם לאיזה שירצה והשניה פטורה</w:t>
      </w:r>
      <w:r w:rsidRPr="009F36E0">
        <w:rPr>
          <w:rFonts w:ascii="Narkisim" w:hAnsi="Narkisim"/>
        </w:rPr>
        <w:t>.</w:t>
      </w:r>
    </w:p>
    <w:p w14:paraId="5DFCEDC2" w14:textId="77777777" w:rsidR="006074A5" w:rsidRPr="009F36E0" w:rsidRDefault="006074A5" w:rsidP="006074A5">
      <w:pPr>
        <w:pStyle w:val="a8"/>
        <w:bidi/>
        <w:rPr>
          <w:rFonts w:ascii="Narkisim" w:hAnsi="Narkisim"/>
        </w:rPr>
      </w:pPr>
      <w:r w:rsidRPr="009F36E0">
        <w:rPr>
          <w:rFonts w:ascii="Narkisim" w:hAnsi="Narkisim"/>
          <w:rtl/>
        </w:rPr>
        <w:t>ועוד כת' הרמב"ן דיל"פ אף למ"ד אין זיקה ואסור לבטל מצוות יבמין, ובאחותה דאיסור מצווה אסור דפטר לה ממצוות חליצה. [ופשיטא לגמ' כן ע”פ המשנה כו.]</w:t>
      </w:r>
      <w:r w:rsidRPr="009F36E0">
        <w:rPr>
          <w:rFonts w:ascii="Narkisim" w:hAnsi="Narkisim"/>
        </w:rPr>
        <w:t>.</w:t>
      </w:r>
    </w:p>
    <w:p w14:paraId="4B3A108E"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 xml:space="preserve">רמב"ן </w:t>
      </w:r>
      <w:r w:rsidRPr="009F36E0">
        <w:rPr>
          <w:rFonts w:ascii="Narkisim" w:hAnsi="Narkisim"/>
          <w:rtl/>
        </w:rPr>
        <w:t xml:space="preserve">הביא </w:t>
      </w:r>
      <w:r w:rsidRPr="009F36E0">
        <w:rPr>
          <w:rFonts w:ascii="Narkisim" w:hAnsi="Narkisim"/>
          <w:b/>
          <w:bCs/>
          <w:rtl/>
        </w:rPr>
        <w:t xml:space="preserve">י"מ </w:t>
      </w:r>
      <w:r w:rsidRPr="009F36E0">
        <w:rPr>
          <w:rFonts w:ascii="Narkisim" w:hAnsi="Narkisim"/>
          <w:rtl/>
        </w:rPr>
        <w:t>דלמד מכאן דאף למ"ד אין זיקה אסור אסור לבעול בתחילה ולפגוע באחות זקוקתו בחייה [בעוד זו זקוקה], דמיחזי כאחות אשתו. והרמב"ן האריך דבסוגיות (לעיל יח.) מבואר לא כן</w:t>
      </w:r>
      <w:r w:rsidRPr="009F36E0">
        <w:rPr>
          <w:rStyle w:val="ac"/>
          <w:rFonts w:ascii="Narkisim" w:hAnsi="Narkisim"/>
          <w:rtl/>
        </w:rPr>
        <w:footnoteReference w:id="1176"/>
      </w:r>
      <w:r w:rsidRPr="009F36E0">
        <w:rPr>
          <w:rFonts w:ascii="Narkisim" w:hAnsi="Narkisim"/>
        </w:rPr>
        <w:t>.</w:t>
      </w:r>
    </w:p>
    <w:p w14:paraId="0D99F2B4" w14:textId="77777777" w:rsidR="006074A5" w:rsidRPr="009F36E0" w:rsidRDefault="006074A5" w:rsidP="006074A5">
      <w:pPr>
        <w:pStyle w:val="aa"/>
        <w:bidi/>
        <w:rPr>
          <w:rFonts w:ascii="Narkisim" w:hAnsi="Narkisim"/>
        </w:rPr>
      </w:pPr>
      <w:r w:rsidRPr="009F36E0">
        <w:rPr>
          <w:rFonts w:ascii="Narkisim" w:hAnsi="Narkisim"/>
          <w:u w:val="single"/>
          <w:rtl/>
        </w:rPr>
        <w:t>קדוש הוא דלא מקרי, רשע מקרי</w:t>
      </w:r>
      <w:r w:rsidRPr="009F36E0">
        <w:rPr>
          <w:rStyle w:val="ac"/>
          <w:rFonts w:ascii="Narkisim" w:hAnsi="Narkisim"/>
          <w:u w:val="single"/>
          <w:rtl/>
        </w:rPr>
        <w:footnoteReference w:id="1177"/>
      </w:r>
      <w:r w:rsidRPr="009F36E0">
        <w:rPr>
          <w:rFonts w:ascii="Narkisim" w:hAnsi="Narkisim"/>
          <w:u w:val="single"/>
        </w:rPr>
        <w:t>.</w:t>
      </w:r>
      <w:r w:rsidRPr="009F36E0">
        <w:rPr>
          <w:rFonts w:ascii="Narkisim" w:hAnsi="Narkisim"/>
        </w:rPr>
        <w:t xml:space="preserve"> </w:t>
      </w:r>
      <w:r w:rsidRPr="009F36E0">
        <w:rPr>
          <w:rFonts w:ascii="Narkisim" w:hAnsi="Narkisim"/>
          <w:rtl/>
        </w:rPr>
        <w:t>ה</w:t>
      </w:r>
      <w:r w:rsidRPr="009F36E0">
        <w:rPr>
          <w:rFonts w:ascii="Narkisim" w:hAnsi="Narkisim"/>
          <w:b/>
          <w:bCs/>
          <w:rtl/>
        </w:rPr>
        <w:t>ריטב"א</w:t>
      </w:r>
      <w:r w:rsidRPr="009F36E0">
        <w:rPr>
          <w:rFonts w:ascii="Narkisim" w:hAnsi="Narkisim"/>
          <w:rtl/>
        </w:rPr>
        <w:t xml:space="preserve"> הקשה דב</w:t>
      </w:r>
      <w:r w:rsidRPr="009F36E0">
        <w:rPr>
          <w:rFonts w:ascii="Narkisim" w:hAnsi="Narkisim"/>
          <w:b/>
          <w:bCs/>
          <w:rtl/>
        </w:rPr>
        <w:t>מדרש</w:t>
      </w:r>
      <w:r w:rsidRPr="009F36E0">
        <w:rPr>
          <w:rFonts w:ascii="Narkisim" w:hAnsi="Narkisim"/>
          <w:rtl/>
        </w:rPr>
        <w:t xml:space="preserve"> איתא שכל הפורש מן הערוה נקרא קדוש, ואף שמי שאינו פורש נקרא רשע. ותי' דאף דהאיש נקרא קדוש, מ"מ אין ראוי לקרוא לאיסור איסור קדושה</w:t>
      </w:r>
      <w:r w:rsidRPr="009F36E0">
        <w:rPr>
          <w:rFonts w:ascii="Narkisim" w:hAnsi="Narkisim"/>
        </w:rPr>
        <w:t>.</w:t>
      </w:r>
    </w:p>
    <w:p w14:paraId="66009212" w14:textId="77777777" w:rsidR="006074A5" w:rsidRPr="009F36E0" w:rsidRDefault="006074A5" w:rsidP="006074A5">
      <w:pPr>
        <w:pStyle w:val="2"/>
        <w:bidi/>
        <w:rPr>
          <w:rFonts w:ascii="Narkisim" w:hAnsi="Narkisim"/>
        </w:rPr>
      </w:pPr>
      <w:r w:rsidRPr="009F36E0">
        <w:rPr>
          <w:rFonts w:ascii="Narkisim" w:hAnsi="Narkisim"/>
          <w:rtl/>
        </w:rPr>
        <w:t>אלמנה לכה”ג</w:t>
      </w:r>
    </w:p>
    <w:p w14:paraId="3EF09C99" w14:textId="77777777" w:rsidR="006074A5" w:rsidRPr="009F36E0" w:rsidRDefault="006074A5" w:rsidP="006074A5">
      <w:pPr>
        <w:bidi/>
        <w:rPr>
          <w:rFonts w:ascii="Narkisim" w:hAnsi="Narkisim" w:cs="Narkisim"/>
        </w:rPr>
      </w:pPr>
      <w:r w:rsidRPr="009F36E0">
        <w:rPr>
          <w:rFonts w:ascii="Narkisim" w:hAnsi="Narkisim" w:cs="Narkisim"/>
          <w:u w:val="single"/>
          <w:rtl/>
        </w:rPr>
        <w:t>בשלמא מן הנישואין וכו' ואין עשה דוחה ל"ת ועשה.</w:t>
      </w:r>
      <w:r w:rsidRPr="009F36E0">
        <w:rPr>
          <w:rFonts w:ascii="Narkisim" w:hAnsi="Narkisim" w:cs="Narkisim"/>
          <w:rtl/>
        </w:rPr>
        <w:t xml:space="preserve"> ה</w:t>
      </w:r>
      <w:r w:rsidRPr="009F36E0">
        <w:rPr>
          <w:rFonts w:ascii="Narkisim" w:hAnsi="Narkisim" w:cs="Narkisim"/>
          <w:b/>
          <w:bCs/>
          <w:rtl/>
        </w:rPr>
        <w:t>ראשונים</w:t>
      </w:r>
      <w:r w:rsidRPr="009F36E0">
        <w:rPr>
          <w:rFonts w:ascii="Narkisim" w:hAnsi="Narkisim" w:cs="Narkisim"/>
          <w:rtl/>
        </w:rPr>
        <w:t xml:space="preserve"> הקשו דבגמ' (לעיל ה.) מבואר דעשה דוחה ל"ת ועשה שאינו שווה בכל [דילפי' ממצורע דדחי הקפת הראש]</w:t>
      </w:r>
      <w:r w:rsidRPr="009F36E0">
        <w:rPr>
          <w:rFonts w:ascii="Narkisim" w:hAnsi="Narkisim" w:cs="Narkisim"/>
        </w:rPr>
        <w:t>.</w:t>
      </w:r>
    </w:p>
    <w:p w14:paraId="2FB46E2D"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sz w:val="20"/>
          <w:szCs w:val="20"/>
          <w:rtl/>
        </w:rPr>
        <w:t xml:space="preserve"> (ה. ד"ה ואכתי ו</w:t>
      </w:r>
      <w:r w:rsidRPr="009F36E0">
        <w:rPr>
          <w:rFonts w:ascii="Narkisim" w:hAnsi="Narkisim"/>
          <w:b/>
          <w:bCs/>
          <w:sz w:val="20"/>
          <w:szCs w:val="20"/>
          <w:rtl/>
        </w:rPr>
        <w:t>תוס' רא"ש</w:t>
      </w:r>
      <w:r w:rsidRPr="009F36E0">
        <w:rPr>
          <w:rFonts w:ascii="Narkisim" w:hAnsi="Narkisim"/>
          <w:sz w:val="20"/>
          <w:szCs w:val="20"/>
          <w:rtl/>
        </w:rPr>
        <w:t xml:space="preserve"> כאן)</w:t>
      </w:r>
      <w:r w:rsidRPr="009F36E0">
        <w:rPr>
          <w:rFonts w:ascii="Narkisim" w:hAnsi="Narkisim"/>
          <w:rtl/>
        </w:rPr>
        <w:t xml:space="preserve"> תי' דעשה דאלמנה נחשב שווה בכל, כיון שהאשה מוזהרת </w:t>
      </w:r>
      <w:r w:rsidRPr="009F36E0">
        <w:rPr>
          <w:rFonts w:ascii="Narkisim" w:hAnsi="Narkisim"/>
          <w:sz w:val="20"/>
          <w:szCs w:val="20"/>
          <w:rtl/>
        </w:rPr>
        <w:t>[וע' מש"כ בזה לעיל שם</w:t>
      </w:r>
      <w:r w:rsidRPr="009F36E0">
        <w:rPr>
          <w:rFonts w:ascii="Narkisim" w:hAnsi="Narkisim"/>
          <w:rtl/>
        </w:rPr>
        <w:t>]. ותוס' תי' עוד דדוקא עשה דמצורע דחי לל"ת ועשה דאינו שווה, משום גדול השלום</w:t>
      </w:r>
      <w:r w:rsidRPr="009F36E0">
        <w:rPr>
          <w:rFonts w:ascii="Narkisim" w:hAnsi="Narkisim"/>
        </w:rPr>
        <w:t>.</w:t>
      </w:r>
    </w:p>
    <w:p w14:paraId="37F390F6"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כת' דסוגיין ס"ל דלא אתי עשה ודחי שאינו שווה בכל. וה</w:t>
      </w:r>
      <w:r w:rsidRPr="009F36E0">
        <w:rPr>
          <w:rFonts w:ascii="Narkisim" w:hAnsi="Narkisim"/>
          <w:b/>
          <w:bCs/>
          <w:rtl/>
        </w:rPr>
        <w:t>תו"י</w:t>
      </w:r>
      <w:r w:rsidRPr="009F36E0">
        <w:rPr>
          <w:rFonts w:ascii="Narkisim" w:hAnsi="Narkisim"/>
          <w:sz w:val="20"/>
          <w:szCs w:val="20"/>
          <w:rtl/>
        </w:rPr>
        <w:t xml:space="preserve"> [והריטב"א בתי' הב']</w:t>
      </w:r>
      <w:r w:rsidRPr="009F36E0">
        <w:rPr>
          <w:rFonts w:ascii="Narkisim" w:hAnsi="Narkisim"/>
          <w:rtl/>
        </w:rPr>
        <w:t xml:space="preserve"> תי' דפריך אפי' את"ל </w:t>
      </w:r>
      <w:r w:rsidRPr="009F36E0">
        <w:rPr>
          <w:rFonts w:ascii="Narkisim" w:hAnsi="Narkisim"/>
          <w:sz w:val="20"/>
          <w:szCs w:val="20"/>
          <w:rtl/>
        </w:rPr>
        <w:t>[אבל למסקנא אלמנה לכה"ג אסורה רק מדרבנן גזירה אטו ביאה שניה</w:t>
      </w:r>
      <w:r w:rsidRPr="009F36E0">
        <w:rPr>
          <w:rStyle w:val="ac"/>
          <w:rFonts w:ascii="Narkisim" w:hAnsi="Narkisim"/>
          <w:sz w:val="20"/>
          <w:szCs w:val="20"/>
          <w:rtl/>
        </w:rPr>
        <w:footnoteReference w:id="1178"/>
      </w:r>
      <w:r w:rsidRPr="009F36E0">
        <w:rPr>
          <w:rFonts w:ascii="Narkisim" w:hAnsi="Narkisim"/>
          <w:rtl/>
        </w:rPr>
        <w:t>]</w:t>
      </w:r>
      <w:r w:rsidRPr="009F36E0">
        <w:rPr>
          <w:rFonts w:ascii="Narkisim" w:hAnsi="Narkisim"/>
        </w:rPr>
        <w:t>.</w:t>
      </w:r>
    </w:p>
    <w:p w14:paraId="160CF454" w14:textId="77777777" w:rsidR="006074A5" w:rsidRPr="009F36E0" w:rsidRDefault="006074A5" w:rsidP="006074A5">
      <w:pPr>
        <w:pStyle w:val="a8"/>
        <w:bidi/>
        <w:rPr>
          <w:rFonts w:ascii="Narkisim" w:hAnsi="Narkisim"/>
        </w:rPr>
      </w:pPr>
      <w:r w:rsidRPr="009F36E0">
        <w:rPr>
          <w:rFonts w:ascii="Narkisim" w:hAnsi="Narkisim"/>
          <w:rtl/>
        </w:rPr>
        <w:t>וב</w:t>
      </w:r>
      <w:r w:rsidRPr="009F36E0">
        <w:rPr>
          <w:rFonts w:ascii="Narkisim" w:hAnsi="Narkisim"/>
          <w:b/>
          <w:bCs/>
          <w:rtl/>
        </w:rPr>
        <w:t>חי' הר"ן</w:t>
      </w:r>
      <w:r w:rsidRPr="009F36E0">
        <w:rPr>
          <w:rFonts w:ascii="Narkisim" w:hAnsi="Narkisim"/>
          <w:rtl/>
        </w:rPr>
        <w:t xml:space="preserve"> (סנהדרין יח:) כתב בשם </w:t>
      </w:r>
      <w:r w:rsidRPr="009F36E0">
        <w:rPr>
          <w:rFonts w:ascii="Narkisim" w:hAnsi="Narkisim"/>
          <w:b/>
          <w:bCs/>
          <w:rtl/>
        </w:rPr>
        <w:t>תוס</w:t>
      </w:r>
      <w:r w:rsidRPr="009F36E0">
        <w:rPr>
          <w:rFonts w:ascii="Narkisim" w:hAnsi="Narkisim"/>
          <w:rtl/>
        </w:rPr>
        <w:t>' דמצוות יבום נחשב אינו שווה בכל</w:t>
      </w:r>
      <w:r w:rsidRPr="009F36E0">
        <w:rPr>
          <w:rStyle w:val="ac"/>
          <w:rFonts w:ascii="Narkisim" w:hAnsi="Narkisim"/>
          <w:rtl/>
        </w:rPr>
        <w:footnoteReference w:id="1179"/>
      </w:r>
      <w:r w:rsidRPr="009F36E0">
        <w:rPr>
          <w:rFonts w:ascii="Narkisim" w:hAnsi="Narkisim"/>
        </w:rPr>
        <w:t xml:space="preserve">, </w:t>
      </w:r>
      <w:r w:rsidRPr="009F36E0">
        <w:rPr>
          <w:rFonts w:ascii="Narkisim" w:hAnsi="Narkisim"/>
          <w:rtl/>
        </w:rPr>
        <w:t>דאינו שווה במלך</w:t>
      </w:r>
      <w:r w:rsidRPr="009F36E0">
        <w:rPr>
          <w:rStyle w:val="ac"/>
          <w:rFonts w:ascii="Narkisim" w:hAnsi="Narkisim"/>
          <w:rtl/>
        </w:rPr>
        <w:footnoteReference w:id="1180"/>
      </w:r>
      <w:r w:rsidRPr="009F36E0">
        <w:rPr>
          <w:rFonts w:ascii="Narkisim" w:hAnsi="Narkisim"/>
        </w:rPr>
        <w:t>.</w:t>
      </w:r>
    </w:p>
    <w:p w14:paraId="0A05EE85" w14:textId="77777777" w:rsidR="006074A5" w:rsidRPr="009F36E0" w:rsidRDefault="006074A5" w:rsidP="006074A5">
      <w:pPr>
        <w:pStyle w:val="aa"/>
        <w:bidi/>
        <w:rPr>
          <w:rFonts w:ascii="Narkisim" w:hAnsi="Narkisim"/>
        </w:rPr>
      </w:pPr>
      <w:r w:rsidRPr="009F36E0">
        <w:rPr>
          <w:rFonts w:ascii="Narkisim" w:hAnsi="Narkisim"/>
          <w:rtl/>
        </w:rPr>
        <w:t>וב</w:t>
      </w:r>
      <w:r w:rsidRPr="009F36E0">
        <w:rPr>
          <w:rFonts w:ascii="Narkisim" w:hAnsi="Narkisim"/>
          <w:b/>
          <w:bCs/>
          <w:rtl/>
        </w:rPr>
        <w:t>חי' ר"א מן ההר</w:t>
      </w:r>
      <w:r w:rsidRPr="009F36E0">
        <w:rPr>
          <w:rFonts w:ascii="Narkisim" w:hAnsi="Narkisim"/>
          <w:rtl/>
        </w:rPr>
        <w:t xml:space="preserve"> וה</w:t>
      </w:r>
      <w:r w:rsidRPr="009F36E0">
        <w:rPr>
          <w:rFonts w:ascii="Narkisim" w:hAnsi="Narkisim"/>
          <w:b/>
          <w:bCs/>
          <w:rtl/>
        </w:rPr>
        <w:t>מאירי</w:t>
      </w:r>
      <w:r w:rsidRPr="009F36E0">
        <w:rPr>
          <w:rFonts w:ascii="Narkisim" w:hAnsi="Narkisim"/>
          <w:rtl/>
        </w:rPr>
        <w:t xml:space="preserve"> הק' דלגבי יבום ג"כ איכא ל"ת, לא תהיה אשת המת החוצה לאיש זר. [ול"ת ועשה ידחה לל"ת ועשה</w:t>
      </w:r>
      <w:r w:rsidRPr="009F36E0">
        <w:rPr>
          <w:rStyle w:val="ac"/>
          <w:rFonts w:ascii="Narkisim" w:hAnsi="Narkisim"/>
          <w:rtl/>
        </w:rPr>
        <w:footnoteReference w:id="1181"/>
      </w:r>
      <w:r w:rsidRPr="009F36E0">
        <w:rPr>
          <w:rFonts w:ascii="Narkisim" w:hAnsi="Narkisim"/>
          <w:rtl/>
        </w:rPr>
        <w:t>]. וכת' דהלא תעשה אינו מצוה ליבום, אלא שלא תנשא לאחר</w:t>
      </w:r>
      <w:r w:rsidRPr="009F36E0">
        <w:rPr>
          <w:rFonts w:ascii="Narkisim" w:hAnsi="Narkisim"/>
        </w:rPr>
        <w:t>.</w:t>
      </w:r>
    </w:p>
    <w:p w14:paraId="209C1A0B" w14:textId="77777777" w:rsidR="006074A5" w:rsidRPr="009F36E0" w:rsidRDefault="006074A5" w:rsidP="006074A5">
      <w:pPr>
        <w:bidi/>
        <w:rPr>
          <w:rFonts w:ascii="Narkisim" w:hAnsi="Narkisim" w:cs="Narkisim"/>
        </w:rPr>
      </w:pPr>
      <w:r w:rsidRPr="009F36E0">
        <w:rPr>
          <w:rFonts w:ascii="Narkisim" w:hAnsi="Narkisim" w:cs="Narkisim"/>
          <w:u w:val="single"/>
          <w:rtl/>
        </w:rPr>
        <w:t>תוד"ה בשלמא.</w:t>
      </w:r>
      <w:r w:rsidRPr="009F36E0">
        <w:rPr>
          <w:rFonts w:ascii="Narkisim" w:hAnsi="Narkisim" w:cs="Narkisim"/>
          <w:rtl/>
        </w:rPr>
        <w:t xml:space="preserve"> תימה וכו' תיקשי ליה דאמאי חולצת, כיון דאין עולה ליבום וכו'</w:t>
      </w:r>
      <w:r w:rsidRPr="009F36E0">
        <w:rPr>
          <w:rStyle w:val="ac"/>
          <w:rFonts w:ascii="Narkisim" w:hAnsi="Narkisim" w:cs="Narkisim"/>
          <w:rtl/>
        </w:rPr>
        <w:footnoteReference w:id="1182"/>
      </w:r>
      <w:r w:rsidRPr="009F36E0">
        <w:rPr>
          <w:rFonts w:ascii="Narkisim" w:hAnsi="Narkisim" w:cs="Narkisim"/>
          <w:rtl/>
        </w:rPr>
        <w:t>. [וכדאי' (לעיל ג. ובסמוך) בחייבי כריתות]. וה</w:t>
      </w:r>
      <w:r w:rsidRPr="009F36E0">
        <w:rPr>
          <w:rFonts w:ascii="Narkisim" w:hAnsi="Narkisim" w:cs="Narkisim"/>
          <w:b/>
          <w:bCs/>
          <w:rtl/>
        </w:rPr>
        <w:t>רמב"ן</w:t>
      </w:r>
      <w:r w:rsidRPr="009F36E0">
        <w:rPr>
          <w:rFonts w:ascii="Narkisim" w:hAnsi="Narkisim" w:cs="Narkisim"/>
          <w:rtl/>
        </w:rPr>
        <w:t xml:space="preserve"> תי' דס"ל דזיקה בכדי לא פקעה, דחייבי לאוין לא מפקעי קידושין. וה</w:t>
      </w:r>
      <w:r w:rsidRPr="009F36E0">
        <w:rPr>
          <w:rFonts w:ascii="Narkisim" w:hAnsi="Narkisim" w:cs="Narkisim"/>
          <w:b/>
          <w:bCs/>
          <w:rtl/>
        </w:rPr>
        <w:t>רשב"א</w:t>
      </w:r>
      <w:r w:rsidRPr="009F36E0">
        <w:rPr>
          <w:rFonts w:ascii="Narkisim" w:hAnsi="Narkisim" w:cs="Narkisim"/>
          <w:rtl/>
        </w:rPr>
        <w:t xml:space="preserve"> הוסיף וזיקה כעין קידושין היא</w:t>
      </w:r>
      <w:r w:rsidRPr="009F36E0">
        <w:rPr>
          <w:rStyle w:val="ac"/>
          <w:rFonts w:ascii="Narkisim" w:hAnsi="Narkisim" w:cs="Narkisim"/>
          <w:rtl/>
        </w:rPr>
        <w:footnoteReference w:id="1183"/>
      </w:r>
      <w:r w:rsidRPr="009F36E0">
        <w:rPr>
          <w:rFonts w:ascii="Narkisim" w:hAnsi="Narkisim" w:cs="Narkisim"/>
        </w:rPr>
        <w:t>.</w:t>
      </w:r>
      <w:r w:rsidRPr="009F36E0">
        <w:rPr>
          <w:rFonts w:ascii="Narkisim" w:hAnsi="Narkisim" w:cs="Narkisim"/>
          <w:sz w:val="20"/>
          <w:szCs w:val="20"/>
        </w:rPr>
        <w:t xml:space="preserve"> </w:t>
      </w:r>
      <w:r w:rsidRPr="009F36E0">
        <w:rPr>
          <w:rFonts w:ascii="Narkisim" w:hAnsi="Narkisim" w:cs="Narkisim"/>
          <w:sz w:val="20"/>
          <w:szCs w:val="20"/>
          <w:rtl/>
        </w:rPr>
        <w:t>[ומבואר ברמב"ן דמסברא אישות המת לא פקע בלא חליצה, ואף דלא רמי עליו מצוות יבום, וע"ע בע"ב. אבל לתוס' כיון דאינה עולה ליבום וחליצה ממילא פטורה]</w:t>
      </w:r>
      <w:r w:rsidRPr="009F36E0">
        <w:rPr>
          <w:rFonts w:ascii="Narkisim" w:hAnsi="Narkisim" w:cs="Narkisim"/>
          <w:sz w:val="20"/>
          <w:szCs w:val="20"/>
        </w:rPr>
        <w:t>.</w:t>
      </w:r>
    </w:p>
    <w:p w14:paraId="1F9FD48A" w14:textId="77777777" w:rsidR="006074A5" w:rsidRPr="009F36E0" w:rsidRDefault="006074A5" w:rsidP="006074A5">
      <w:pPr>
        <w:pStyle w:val="a7"/>
        <w:bidi/>
        <w:rPr>
          <w:rFonts w:ascii="Narkisim" w:hAnsi="Narkisim"/>
        </w:rPr>
      </w:pPr>
      <w:r w:rsidRPr="009F36E0">
        <w:rPr>
          <w:rFonts w:ascii="Narkisim" w:hAnsi="Narkisim"/>
          <w:rtl/>
        </w:rPr>
        <w:t>ועוד כת' ה</w:t>
      </w:r>
      <w:r w:rsidRPr="009F36E0">
        <w:rPr>
          <w:rFonts w:ascii="Narkisim" w:hAnsi="Narkisim"/>
          <w:b/>
          <w:bCs/>
          <w:rtl/>
        </w:rPr>
        <w:t>רמב"ן</w:t>
      </w:r>
      <w:r w:rsidRPr="009F36E0">
        <w:rPr>
          <w:rFonts w:ascii="Narkisim" w:hAnsi="Narkisim"/>
          <w:rtl/>
        </w:rPr>
        <w:t xml:space="preserve"> איכא למימר דחייבי לאו ועשה חולצת מדרבנן גזירה אטו שאר חייבי לאוין</w:t>
      </w:r>
      <w:r w:rsidRPr="009F36E0">
        <w:rPr>
          <w:rStyle w:val="ac"/>
          <w:rFonts w:ascii="Narkisim" w:hAnsi="Narkisim"/>
          <w:rtl/>
        </w:rPr>
        <w:footnoteReference w:id="1184"/>
      </w:r>
      <w:r w:rsidRPr="009F36E0">
        <w:rPr>
          <w:rFonts w:ascii="Narkisim" w:hAnsi="Narkisim"/>
        </w:rPr>
        <w:t xml:space="preserve">. </w:t>
      </w:r>
      <w:r w:rsidRPr="009F36E0">
        <w:rPr>
          <w:rFonts w:ascii="Narkisim" w:hAnsi="Narkisim"/>
          <w:rtl/>
        </w:rPr>
        <w:t>[וכן הרשב"א והתוס' רא"ש הביאו צד כזה אף למסקנא, וע"ע בע"ב]</w:t>
      </w:r>
      <w:r w:rsidRPr="009F36E0">
        <w:rPr>
          <w:rFonts w:ascii="Narkisim" w:hAnsi="Narkisim"/>
        </w:rPr>
        <w:t>.</w:t>
      </w:r>
    </w:p>
    <w:p w14:paraId="51A982FB" w14:textId="77777777" w:rsidR="006074A5" w:rsidRPr="009F36E0" w:rsidRDefault="006074A5" w:rsidP="006074A5">
      <w:pPr>
        <w:pStyle w:val="a8"/>
        <w:bidi/>
        <w:rPr>
          <w:rFonts w:ascii="Narkisim" w:hAnsi="Narkisim"/>
        </w:rPr>
      </w:pPr>
      <w:r w:rsidRPr="009F36E0">
        <w:rPr>
          <w:rFonts w:ascii="Narkisim" w:hAnsi="Narkisim"/>
          <w:rtl/>
        </w:rPr>
        <w:lastRenderedPageBreak/>
        <w:t>ועוד כת' ה</w:t>
      </w:r>
      <w:r w:rsidRPr="009F36E0">
        <w:rPr>
          <w:rFonts w:ascii="Narkisim" w:hAnsi="Narkisim"/>
          <w:b/>
          <w:bCs/>
          <w:rtl/>
        </w:rPr>
        <w:t>ר"ן</w:t>
      </w:r>
      <w:r w:rsidRPr="009F36E0">
        <w:rPr>
          <w:rFonts w:ascii="Narkisim" w:hAnsi="Narkisim"/>
          <w:rtl/>
        </w:rPr>
        <w:t xml:space="preserve"> (סנהדרין יח:) די"ל דעשה דוחה ל"ת שאינו שווה בכל [ע' לעיל], ומש"ה לא פסיקא לגמ' להקשות</w:t>
      </w:r>
      <w:r w:rsidRPr="009F36E0">
        <w:rPr>
          <w:rFonts w:ascii="Narkisim" w:hAnsi="Narkisim"/>
        </w:rPr>
        <w:t>.</w:t>
      </w:r>
    </w:p>
    <w:p w14:paraId="6F12B0A5" w14:textId="77777777" w:rsidR="006074A5" w:rsidRPr="009F36E0" w:rsidRDefault="006074A5" w:rsidP="006074A5">
      <w:pPr>
        <w:pStyle w:val="aa"/>
        <w:bidi/>
        <w:rPr>
          <w:rFonts w:ascii="Narkisim" w:hAnsi="Narkisim"/>
        </w:rPr>
      </w:pPr>
      <w:r w:rsidRPr="009F36E0">
        <w:rPr>
          <w:rFonts w:ascii="Narkisim" w:hAnsi="Narkisim"/>
          <w:u w:val="single"/>
          <w:rtl/>
        </w:rPr>
        <w:t>יבא עשה וידחה ל"ת וכו'.</w:t>
      </w:r>
      <w:r w:rsidRPr="009F36E0">
        <w:rPr>
          <w:rFonts w:ascii="Narkisim" w:hAnsi="Narkisim"/>
          <w:rtl/>
        </w:rPr>
        <w:t xml:space="preserve"> [ועד"ז דנו לעיל ג: דעשה דוחה ל"ת יתיר יבום בעריות]. וה</w:t>
      </w:r>
      <w:r w:rsidRPr="009F36E0">
        <w:rPr>
          <w:rFonts w:ascii="Narkisim" w:hAnsi="Narkisim"/>
          <w:b/>
          <w:bCs/>
          <w:rtl/>
        </w:rPr>
        <w:t>אחרונים</w:t>
      </w:r>
      <w:r w:rsidRPr="009F36E0">
        <w:rPr>
          <w:rFonts w:ascii="Narkisim" w:hAnsi="Narkisim"/>
          <w:rtl/>
        </w:rPr>
        <w:t xml:space="preserve"> (מהר"ם חביב יומא פו) דנו דבפשוטו מצוות יבום הוה על היבם, ואילו איסור עריות הוה אף על האשה. ומבואר דעשה דידיה דחי איסור דידה. (וע' מה שהובא לעיל ג:)</w:t>
      </w:r>
      <w:r w:rsidRPr="009F36E0">
        <w:rPr>
          <w:rFonts w:ascii="Narkisim" w:hAnsi="Narkisim"/>
        </w:rPr>
        <w:t>.</w:t>
      </w:r>
    </w:p>
    <w:p w14:paraId="3B0FA580" w14:textId="77777777" w:rsidR="006074A5" w:rsidRPr="009F36E0" w:rsidRDefault="006074A5" w:rsidP="006074A5">
      <w:pPr>
        <w:bidi/>
        <w:rPr>
          <w:rFonts w:ascii="Narkisim" w:hAnsi="Narkisim" w:cs="Narkisim"/>
        </w:rPr>
      </w:pPr>
      <w:r w:rsidRPr="009F36E0">
        <w:rPr>
          <w:rFonts w:ascii="Narkisim" w:hAnsi="Narkisim" w:cs="Narkisim"/>
          <w:u w:val="single"/>
          <w:rtl/>
        </w:rPr>
        <w:t>תוד"ה יבא.</w:t>
      </w:r>
      <w:r w:rsidRPr="009F36E0">
        <w:rPr>
          <w:rFonts w:ascii="Narkisim" w:hAnsi="Narkisim" w:cs="Narkisim"/>
          <w:rtl/>
        </w:rPr>
        <w:t xml:space="preserve"> הקשה ריב"א וכו' דבביאה ראשונה [בבתולה] ליכא הקמת שם, וביאה שניה אסירא. [דאין עדל"ת]. </w:t>
      </w:r>
      <w:r w:rsidRPr="009F36E0">
        <w:rPr>
          <w:rFonts w:ascii="Narkisim" w:hAnsi="Narkisim" w:cs="Narkisim"/>
          <w:sz w:val="20"/>
          <w:szCs w:val="20"/>
          <w:rtl/>
        </w:rPr>
        <w:t>וה</w:t>
      </w:r>
      <w:r w:rsidRPr="009F36E0">
        <w:rPr>
          <w:rFonts w:ascii="Narkisim" w:hAnsi="Narkisim" w:cs="Narkisim"/>
          <w:b/>
          <w:bCs/>
          <w:sz w:val="20"/>
          <w:szCs w:val="20"/>
          <w:rtl/>
        </w:rPr>
        <w:t xml:space="preserve">תוס' הרא"ש </w:t>
      </w:r>
      <w:r w:rsidRPr="009F36E0">
        <w:rPr>
          <w:rFonts w:ascii="Narkisim" w:hAnsi="Narkisim" w:cs="Narkisim"/>
          <w:sz w:val="20"/>
          <w:szCs w:val="20"/>
          <w:rtl/>
        </w:rPr>
        <w:t>הקשה דלדבריו קשה כל בתולה ליכא הקמת שם, א"כ האיך מתקיים מצוות יבום [וע' בסמוך]</w:t>
      </w:r>
      <w:r w:rsidRPr="009F36E0">
        <w:rPr>
          <w:rFonts w:ascii="Narkisim" w:hAnsi="Narkisim" w:cs="Narkisim"/>
          <w:sz w:val="20"/>
          <w:szCs w:val="20"/>
        </w:rPr>
        <w:t>.</w:t>
      </w:r>
    </w:p>
    <w:p w14:paraId="624CE734" w14:textId="77777777" w:rsidR="006074A5" w:rsidRPr="009F36E0" w:rsidRDefault="006074A5" w:rsidP="006074A5">
      <w:pPr>
        <w:pStyle w:val="a7"/>
        <w:bidi/>
        <w:rPr>
          <w:rFonts w:ascii="Narkisim" w:hAnsi="Narkisim"/>
        </w:rPr>
      </w:pPr>
      <w:r w:rsidRPr="009F36E0">
        <w:rPr>
          <w:rFonts w:ascii="Narkisim" w:hAnsi="Narkisim"/>
          <w:rtl/>
        </w:rPr>
        <w:t>וב</w:t>
      </w:r>
      <w:r w:rsidRPr="009F36E0">
        <w:rPr>
          <w:rFonts w:ascii="Narkisim" w:hAnsi="Narkisim"/>
          <w:b/>
          <w:bCs/>
          <w:rtl/>
        </w:rPr>
        <w:t>שו"ת נוב"י</w:t>
      </w:r>
      <w:r w:rsidRPr="009F36E0">
        <w:rPr>
          <w:rFonts w:ascii="Narkisim" w:hAnsi="Narkisim"/>
          <w:rtl/>
        </w:rPr>
        <w:t xml:space="preserve"> </w:t>
      </w:r>
      <w:r w:rsidRPr="009F36E0">
        <w:rPr>
          <w:rFonts w:ascii="Narkisim" w:hAnsi="Narkisim"/>
          <w:szCs w:val="20"/>
          <w:rtl/>
        </w:rPr>
        <w:t>(תנינא אה"ע</w:t>
      </w:r>
      <w:r w:rsidRPr="009F36E0">
        <w:rPr>
          <w:rFonts w:ascii="Narkisim" w:hAnsi="Narkisim"/>
          <w:sz w:val="20"/>
          <w:szCs w:val="20"/>
          <w:rtl/>
        </w:rPr>
        <w:t xml:space="preserve"> קמא מבן המחבר)</w:t>
      </w:r>
      <w:r w:rsidRPr="009F36E0">
        <w:rPr>
          <w:rFonts w:ascii="Narkisim" w:hAnsi="Narkisim"/>
          <w:rtl/>
        </w:rPr>
        <w:t xml:space="preserve"> הק' דאדרבה כיון דליכא הקמת שם, א"כ אף ביאה שניה יהא מותר, דזהו מצוות יבום. ובאמת כ"כ ה</w:t>
      </w:r>
      <w:r w:rsidRPr="009F36E0">
        <w:rPr>
          <w:rFonts w:ascii="Narkisim" w:hAnsi="Narkisim"/>
          <w:b/>
          <w:bCs/>
          <w:rtl/>
        </w:rPr>
        <w:t>מאירי</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 xml:space="preserve">בע"ב בשם י"מ, ובסנהדרין יט.) </w:t>
      </w:r>
      <w:r w:rsidRPr="009F36E0">
        <w:rPr>
          <w:rFonts w:ascii="Narkisim" w:hAnsi="Narkisim"/>
          <w:rtl/>
        </w:rPr>
        <w:t>דביאה ראשונה לאו דוקא, אלא עד ביאה הראשונה שראויה להתעבר</w:t>
      </w:r>
      <w:r w:rsidRPr="009F36E0">
        <w:rPr>
          <w:rStyle w:val="ac"/>
          <w:rFonts w:ascii="Narkisim" w:hAnsi="Narkisim"/>
          <w:rtl/>
        </w:rPr>
        <w:footnoteReference w:id="1185"/>
      </w:r>
      <w:r w:rsidRPr="009F36E0">
        <w:rPr>
          <w:rFonts w:ascii="Narkisim" w:hAnsi="Narkisim"/>
        </w:rPr>
        <w:t>.</w:t>
      </w:r>
    </w:p>
    <w:p w14:paraId="3B4EAF93" w14:textId="77777777" w:rsidR="006074A5" w:rsidRPr="009F36E0" w:rsidRDefault="006074A5" w:rsidP="006074A5">
      <w:pPr>
        <w:pStyle w:val="a7"/>
        <w:bidi/>
        <w:rPr>
          <w:rFonts w:ascii="Narkisim" w:hAnsi="Narkisim"/>
        </w:rPr>
      </w:pPr>
      <w:r w:rsidRPr="009F36E0">
        <w:rPr>
          <w:rFonts w:ascii="Narkisim" w:hAnsi="Narkisim"/>
          <w:rtl/>
        </w:rPr>
        <w:t xml:space="preserve">והנוב"י ביאר דריב"א הק' דכיון דבביאה ראשונה ליכא הקמת שם, א"כ אינו מקיים המצוה, והאיך הותר משום עשה דוחה ל"ת, דעבירת הלאו אינו בעידנא דקיום העשה. </w:t>
      </w:r>
      <w:r w:rsidRPr="009F36E0">
        <w:rPr>
          <w:rFonts w:ascii="Narkisim" w:hAnsi="Narkisim"/>
          <w:szCs w:val="20"/>
          <w:rtl/>
        </w:rPr>
        <w:t>וכה"ק ב</w:t>
      </w:r>
      <w:r w:rsidRPr="009F36E0">
        <w:rPr>
          <w:rFonts w:ascii="Narkisim" w:hAnsi="Narkisim"/>
          <w:b/>
          <w:bCs/>
          <w:szCs w:val="20"/>
          <w:rtl/>
        </w:rPr>
        <w:t>תוס' מהר"ם והר"פ</w:t>
      </w:r>
      <w:r w:rsidRPr="009F36E0">
        <w:rPr>
          <w:rFonts w:ascii="Narkisim" w:hAnsi="Narkisim"/>
          <w:szCs w:val="20"/>
          <w:rtl/>
        </w:rPr>
        <w:t xml:space="preserve"> (בשם ריב"א) דא"כ לא הוה בהדי הדדי</w:t>
      </w:r>
      <w:r w:rsidRPr="009F36E0">
        <w:rPr>
          <w:rFonts w:ascii="Narkisim" w:hAnsi="Narkisim"/>
        </w:rPr>
        <w:t>.</w:t>
      </w:r>
    </w:p>
    <w:p w14:paraId="54B273A4" w14:textId="77777777" w:rsidR="006074A5" w:rsidRPr="009F36E0" w:rsidRDefault="006074A5" w:rsidP="006074A5">
      <w:pPr>
        <w:pStyle w:val="a7"/>
        <w:bidi/>
        <w:rPr>
          <w:rFonts w:ascii="Narkisim" w:hAnsi="Narkisim"/>
        </w:rPr>
      </w:pPr>
      <w:r w:rsidRPr="009F36E0">
        <w:rPr>
          <w:rFonts w:ascii="Narkisim" w:hAnsi="Narkisim"/>
          <w:rtl/>
        </w:rPr>
        <w:t>ועוד פי' ה</w:t>
      </w:r>
      <w:r w:rsidRPr="009F36E0">
        <w:rPr>
          <w:rFonts w:ascii="Narkisim" w:hAnsi="Narkisim"/>
          <w:b/>
          <w:bCs/>
          <w:rtl/>
        </w:rPr>
        <w:t>אחרונים</w:t>
      </w:r>
      <w:r w:rsidRPr="009F36E0">
        <w:rPr>
          <w:rFonts w:ascii="Narkisim" w:hAnsi="Narkisim"/>
          <w:rtl/>
        </w:rPr>
        <w:t xml:space="preserve"> (חי' ר' שמעון כ) דכוונת ריב"א דבכל בתולה קונה, כיון דראויה במשך האישות לבא להקמת שם. אבל היכא דבביאה ראשונה ידעינן דאסורה בביאה שניה, א"כ אף ביאה ראשונה אינו ראוי להקמת שם</w:t>
      </w:r>
      <w:r w:rsidRPr="009F36E0">
        <w:rPr>
          <w:rFonts w:ascii="Narkisim" w:hAnsi="Narkisim"/>
        </w:rPr>
        <w:t>.</w:t>
      </w:r>
    </w:p>
    <w:p w14:paraId="5D0B413A"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תוס' הרא"ש</w:t>
      </w:r>
      <w:r w:rsidRPr="009F36E0">
        <w:rPr>
          <w:rFonts w:ascii="Narkisim" w:hAnsi="Narkisim" w:cs="Narkisim"/>
          <w:rtl/>
        </w:rPr>
        <w:t xml:space="preserve"> וה</w:t>
      </w:r>
      <w:r w:rsidRPr="009F36E0">
        <w:rPr>
          <w:rFonts w:ascii="Narkisim" w:hAnsi="Narkisim" w:cs="Narkisim"/>
          <w:b/>
          <w:bCs/>
          <w:rtl/>
        </w:rPr>
        <w:t xml:space="preserve">רמב"ן </w:t>
      </w:r>
      <w:r w:rsidRPr="009F36E0">
        <w:rPr>
          <w:rFonts w:ascii="Narkisim" w:hAnsi="Narkisim" w:cs="Narkisim"/>
          <w:rtl/>
        </w:rPr>
        <w:t>(בע"ב) כת' דע"כ דבתולה נחשב בת הקמת שם דאפשר למעך כתמר (לקמן לה:)</w:t>
      </w:r>
      <w:r w:rsidRPr="009F36E0">
        <w:rPr>
          <w:rStyle w:val="ac"/>
          <w:rFonts w:ascii="Narkisim" w:hAnsi="Narkisim" w:cs="Narkisim"/>
          <w:rtl/>
        </w:rPr>
        <w:footnoteReference w:id="1186"/>
      </w:r>
      <w:r w:rsidRPr="009F36E0">
        <w:rPr>
          <w:rFonts w:ascii="Narkisim" w:hAnsi="Narkisim" w:cs="Narkisim"/>
        </w:rPr>
        <w:t>.</w:t>
      </w:r>
    </w:p>
    <w:p w14:paraId="13D2486E" w14:textId="77777777" w:rsidR="006074A5" w:rsidRPr="009F36E0" w:rsidRDefault="006074A5" w:rsidP="006074A5">
      <w:pPr>
        <w:bidi/>
        <w:rPr>
          <w:rFonts w:ascii="Narkisim" w:hAnsi="Narkisim" w:cs="Narkisim"/>
        </w:rPr>
      </w:pPr>
      <w:r w:rsidRPr="009F36E0">
        <w:rPr>
          <w:rFonts w:ascii="Narkisim" w:hAnsi="Narkisim" w:cs="Narkisim"/>
          <w:u w:val="single"/>
          <w:rtl/>
        </w:rPr>
        <w:t>שם. דבביאה ראשונה ליכא הקמת שם</w:t>
      </w:r>
      <w:r w:rsidRPr="009F36E0">
        <w:rPr>
          <w:rFonts w:ascii="Narkisim" w:hAnsi="Narkisim" w:cs="Narkisim"/>
          <w:rtl/>
        </w:rPr>
        <w:t xml:space="preserve">. מבואר דריב"א הק' דוקא מבתולה, דאינה מתעברת מביאה ראשונה. אבל </w:t>
      </w:r>
      <w:r w:rsidRPr="009F36E0">
        <w:rPr>
          <w:rFonts w:ascii="Narkisim" w:hAnsi="Narkisim" w:cs="Narkisim"/>
          <w:b/>
          <w:bCs/>
          <w:rtl/>
        </w:rPr>
        <w:t>תוס</w:t>
      </w:r>
      <w:r w:rsidRPr="009F36E0">
        <w:rPr>
          <w:rFonts w:ascii="Narkisim" w:hAnsi="Narkisim" w:cs="Narkisim"/>
          <w:rtl/>
        </w:rPr>
        <w:t>' (בע"ב ד"ה אטו) כת' דאף גמר ביאה אסור, דהותר רק העראה, דיבמה נקנית בהעראה. ו</w:t>
      </w:r>
      <w:r w:rsidRPr="009F36E0">
        <w:rPr>
          <w:rFonts w:ascii="Narkisim" w:hAnsi="Narkisim" w:cs="Narkisim"/>
          <w:b/>
          <w:bCs/>
          <w:rtl/>
        </w:rPr>
        <w:t>תוס</w:t>
      </w:r>
      <w:r w:rsidRPr="009F36E0">
        <w:rPr>
          <w:rFonts w:ascii="Narkisim" w:hAnsi="Narkisim" w:cs="Narkisim"/>
          <w:rtl/>
        </w:rPr>
        <w:t>' (כאן בסו"ד) כת' דיבמה נקנית שלא כדרכה והעראה, אף שאינה מתעברת. ותוס' הוכיחו דלא כריב"א דסגי שהיבם ויבמה ראויין</w:t>
      </w:r>
      <w:r w:rsidRPr="009F36E0">
        <w:rPr>
          <w:rFonts w:ascii="Narkisim" w:hAnsi="Narkisim" w:cs="Narkisim"/>
        </w:rPr>
        <w:t>.</w:t>
      </w:r>
    </w:p>
    <w:p w14:paraId="05316F31"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תי' דריב"א ס"ל דאף דקנה היבמה בהעראה, עדיין רמי עליו מצוות יבום. [ובקנין לחוד בלא קיום המצווה</w:t>
      </w:r>
      <w:r w:rsidRPr="009F36E0">
        <w:rPr>
          <w:rStyle w:val="ac"/>
          <w:rFonts w:ascii="Narkisim" w:hAnsi="Narkisim"/>
          <w:rtl/>
        </w:rPr>
        <w:footnoteReference w:id="1187"/>
      </w:r>
      <w:r w:rsidRPr="009F36E0">
        <w:rPr>
          <w:rFonts w:ascii="Narkisim" w:hAnsi="Narkisim"/>
        </w:rPr>
        <w:t xml:space="preserve"> </w:t>
      </w:r>
      <w:r w:rsidRPr="009F36E0">
        <w:rPr>
          <w:rFonts w:ascii="Narkisim" w:hAnsi="Narkisim"/>
          <w:rtl/>
        </w:rPr>
        <w:t>לא שייך עשה דוחה ל"ת]. וכ"כ ה</w:t>
      </w:r>
      <w:r w:rsidRPr="009F36E0">
        <w:rPr>
          <w:rFonts w:ascii="Narkisim" w:hAnsi="Narkisim"/>
          <w:b/>
          <w:bCs/>
          <w:rtl/>
        </w:rPr>
        <w:t>רמב"ן</w:t>
      </w:r>
      <w:r w:rsidRPr="009F36E0">
        <w:rPr>
          <w:rFonts w:ascii="Narkisim" w:hAnsi="Narkisim"/>
          <w:rtl/>
        </w:rPr>
        <w:t xml:space="preserve"> (בע"ב) דיש מצוה בגמר ביאה שעי"ז יש הקמת שם. [וע"ע בע"ב]</w:t>
      </w:r>
      <w:r w:rsidRPr="009F36E0">
        <w:rPr>
          <w:rFonts w:ascii="Narkisim" w:hAnsi="Narkisim"/>
        </w:rPr>
        <w:t>.</w:t>
      </w:r>
    </w:p>
    <w:p w14:paraId="54836C5D" w14:textId="77777777" w:rsidR="006074A5" w:rsidRPr="009F36E0" w:rsidRDefault="006074A5" w:rsidP="006074A5">
      <w:pPr>
        <w:bidi/>
        <w:rPr>
          <w:rFonts w:ascii="Narkisim" w:hAnsi="Narkisim" w:cs="Narkisim"/>
        </w:rPr>
      </w:pPr>
      <w:r w:rsidRPr="009F36E0">
        <w:rPr>
          <w:rFonts w:ascii="Narkisim" w:hAnsi="Narkisim" w:cs="Narkisim"/>
          <w:u w:val="single"/>
          <w:rtl/>
        </w:rPr>
        <w:t>בא"ד דאל"כ תקשי היאך קטנה מתייבמת.</w:t>
      </w:r>
      <w:r w:rsidRPr="009F36E0">
        <w:rPr>
          <w:rFonts w:ascii="Narkisim" w:hAnsi="Narkisim" w:cs="Narkisim"/>
          <w:rtl/>
        </w:rPr>
        <w:t xml:space="preserve"> וע"כ דסגי דהיבמה תהא ראויה להקמת שם כשתגדל, ואף דביאת היבום ל"ש להקמת שם. וה</w:t>
      </w:r>
      <w:r w:rsidRPr="009F36E0">
        <w:rPr>
          <w:rFonts w:ascii="Narkisim" w:hAnsi="Narkisim" w:cs="Narkisim"/>
          <w:b/>
          <w:bCs/>
          <w:rtl/>
        </w:rPr>
        <w:t>אחרונים</w:t>
      </w:r>
      <w:r w:rsidRPr="009F36E0">
        <w:rPr>
          <w:rFonts w:ascii="Narkisim" w:hAnsi="Narkisim" w:cs="Narkisim"/>
          <w:rtl/>
        </w:rPr>
        <w:t xml:space="preserve"> הביאו ד</w:t>
      </w:r>
      <w:r w:rsidRPr="009F36E0">
        <w:rPr>
          <w:rFonts w:ascii="Narkisim" w:hAnsi="Narkisim" w:cs="Narkisim"/>
          <w:b/>
          <w:bCs/>
          <w:rtl/>
        </w:rPr>
        <w:t>רש"י</w:t>
      </w:r>
      <w:r w:rsidRPr="009F36E0">
        <w:rPr>
          <w:rFonts w:ascii="Narkisim" w:hAnsi="Narkisim" w:cs="Narkisim"/>
          <w:rtl/>
        </w:rPr>
        <w:t xml:space="preserve"> (סא: ד"ה ואינה) כת' דקטנה מתייבמת, ותתגדל אצלו ותתקיים מצוות יבום. </w:t>
      </w:r>
      <w:r w:rsidRPr="009F36E0">
        <w:rPr>
          <w:rFonts w:ascii="Narkisim" w:hAnsi="Narkisim" w:cs="Narkisim"/>
          <w:sz w:val="20"/>
          <w:szCs w:val="20"/>
          <w:rtl/>
        </w:rPr>
        <w:t>משמע דאף דקנה את יבמתו כשהיא קטנה (וכדמבואר לקמן נז:), מ"מ לא קיים מצוות יבום עד שתגדול.</w:t>
      </w:r>
      <w:r w:rsidRPr="009F36E0">
        <w:rPr>
          <w:rFonts w:ascii="Narkisim" w:hAnsi="Narkisim" w:cs="Narkisim"/>
          <w:rtl/>
        </w:rPr>
        <w:t xml:space="preserve"> וה</w:t>
      </w:r>
      <w:r w:rsidRPr="009F36E0">
        <w:rPr>
          <w:rFonts w:ascii="Narkisim" w:hAnsi="Narkisim" w:cs="Narkisim"/>
          <w:b/>
          <w:bCs/>
          <w:rtl/>
        </w:rPr>
        <w:t>עונג יו"ט</w:t>
      </w:r>
      <w:r w:rsidRPr="009F36E0">
        <w:rPr>
          <w:rFonts w:ascii="Narkisim" w:hAnsi="Narkisim" w:cs="Narkisim"/>
          <w:rtl/>
        </w:rPr>
        <w:t xml:space="preserve"> (קעח) כת' דלפ"ז אינו יכול לגרש עד שתתגדל, ויקיים מצוות יבום. [אף שכבר קנאה]</w:t>
      </w:r>
      <w:r w:rsidRPr="009F36E0">
        <w:rPr>
          <w:rFonts w:ascii="Narkisim" w:hAnsi="Narkisim" w:cs="Narkisim"/>
        </w:rPr>
        <w:t>.</w:t>
      </w:r>
    </w:p>
    <w:p w14:paraId="50E10327" w14:textId="77777777" w:rsidR="006074A5" w:rsidRPr="009F36E0" w:rsidRDefault="006074A5" w:rsidP="006074A5">
      <w:pPr>
        <w:pStyle w:val="a7"/>
        <w:bidi/>
        <w:rPr>
          <w:rFonts w:ascii="Narkisim" w:hAnsi="Narkisim"/>
        </w:rPr>
      </w:pPr>
      <w:r w:rsidRPr="009F36E0">
        <w:rPr>
          <w:rFonts w:ascii="Narkisim" w:hAnsi="Narkisim"/>
          <w:rtl/>
        </w:rPr>
        <w:t xml:space="preserve">אבל </w:t>
      </w:r>
      <w:r w:rsidRPr="009F36E0">
        <w:rPr>
          <w:rFonts w:ascii="Narkisim" w:hAnsi="Narkisim"/>
          <w:b/>
          <w:bCs/>
          <w:rtl/>
        </w:rPr>
        <w:t>רש"י</w:t>
      </w:r>
      <w:r w:rsidRPr="009F36E0">
        <w:rPr>
          <w:rFonts w:ascii="Narkisim" w:hAnsi="Narkisim"/>
          <w:rtl/>
        </w:rPr>
        <w:t xml:space="preserve"> </w:t>
      </w:r>
      <w:r w:rsidRPr="009F36E0">
        <w:rPr>
          <w:rFonts w:ascii="Narkisim" w:hAnsi="Narkisim"/>
          <w:szCs w:val="20"/>
          <w:rtl/>
        </w:rPr>
        <w:t>(סנהדרין</w:t>
      </w:r>
      <w:r w:rsidRPr="009F36E0">
        <w:rPr>
          <w:rFonts w:ascii="Narkisim" w:hAnsi="Narkisim"/>
          <w:rtl/>
        </w:rPr>
        <w:t xml:space="preserve"> </w:t>
      </w:r>
      <w:r w:rsidRPr="009F36E0">
        <w:rPr>
          <w:rFonts w:ascii="Narkisim" w:hAnsi="Narkisim"/>
          <w:sz w:val="20"/>
          <w:szCs w:val="20"/>
          <w:rtl/>
        </w:rPr>
        <w:t>נה:, וכן קידושין י:)</w:t>
      </w:r>
      <w:r w:rsidRPr="009F36E0">
        <w:rPr>
          <w:rFonts w:ascii="Narkisim" w:hAnsi="Narkisim"/>
          <w:rtl/>
        </w:rPr>
        <w:t xml:space="preserve"> כת' מפורש דקנאה ויכול לגרש. וה</w:t>
      </w:r>
      <w:r w:rsidRPr="009F36E0">
        <w:rPr>
          <w:rFonts w:ascii="Narkisim" w:hAnsi="Narkisim"/>
          <w:b/>
          <w:bCs/>
          <w:rtl/>
        </w:rPr>
        <w:t>אחרונים</w:t>
      </w:r>
      <w:r w:rsidRPr="009F36E0">
        <w:rPr>
          <w:rFonts w:ascii="Narkisim" w:hAnsi="Narkisim"/>
          <w:rtl/>
        </w:rPr>
        <w:t xml:space="preserve"> כת' דצ"ל דכוונת רש"י דאף אחר שקנאה יש מצוות יבום [אך אינו מעכב]. </w:t>
      </w:r>
      <w:r w:rsidRPr="009F36E0">
        <w:rPr>
          <w:rFonts w:ascii="Narkisim" w:hAnsi="Narkisim"/>
          <w:sz w:val="20"/>
          <w:szCs w:val="20"/>
          <w:rtl/>
        </w:rPr>
        <w:t>[וה</w:t>
      </w:r>
      <w:r w:rsidRPr="009F36E0">
        <w:rPr>
          <w:rFonts w:ascii="Narkisim" w:hAnsi="Narkisim"/>
          <w:b/>
          <w:bCs/>
          <w:sz w:val="20"/>
          <w:szCs w:val="20"/>
          <w:rtl/>
        </w:rPr>
        <w:t>אחרונים</w:t>
      </w:r>
      <w:r w:rsidRPr="009F36E0">
        <w:rPr>
          <w:rFonts w:ascii="Narkisim" w:hAnsi="Narkisim"/>
          <w:sz w:val="20"/>
          <w:szCs w:val="20"/>
          <w:rtl/>
        </w:rPr>
        <w:t xml:space="preserve"> הביאו דלפ"ז קנין היבום לא תליא במצוה, ואע”ג דלא קיים המצוה קנה</w:t>
      </w:r>
      <w:r w:rsidRPr="009F36E0">
        <w:rPr>
          <w:rStyle w:val="ac"/>
          <w:rFonts w:ascii="Narkisim" w:hAnsi="Narkisim"/>
          <w:sz w:val="20"/>
          <w:szCs w:val="20"/>
          <w:rtl/>
        </w:rPr>
        <w:footnoteReference w:id="1188"/>
      </w:r>
      <w:r w:rsidRPr="009F36E0">
        <w:rPr>
          <w:rFonts w:ascii="Narkisim" w:hAnsi="Narkisim"/>
          <w:sz w:val="20"/>
          <w:szCs w:val="20"/>
          <w:rtl/>
        </w:rPr>
        <w:t>]</w:t>
      </w:r>
      <w:r w:rsidRPr="009F36E0">
        <w:rPr>
          <w:rFonts w:ascii="Narkisim" w:hAnsi="Narkisim"/>
          <w:sz w:val="20"/>
          <w:szCs w:val="20"/>
        </w:rPr>
        <w:t>.</w:t>
      </w:r>
    </w:p>
    <w:p w14:paraId="6342C110"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מנח"ח</w:t>
      </w:r>
      <w:r w:rsidRPr="009F36E0">
        <w:rPr>
          <w:rFonts w:ascii="Narkisim" w:hAnsi="Narkisim"/>
          <w:rtl/>
        </w:rPr>
        <w:t xml:space="preserve"> (תקצח ו) נסתפק הבא על יבמתו בשוגג, דאף דמבואר (לקמן נד.) שקנאה, אפ"ה מצוות צריכות כוונה ולא יצא המצווה, ועדיין חובת המצוה עליו. ולא יגרשנה עד שיבא עליה לשם מצוה</w:t>
      </w:r>
      <w:r w:rsidRPr="009F36E0">
        <w:rPr>
          <w:rStyle w:val="ac"/>
          <w:rFonts w:ascii="Narkisim" w:hAnsi="Narkisim"/>
          <w:rtl/>
        </w:rPr>
        <w:footnoteReference w:id="1189"/>
      </w:r>
      <w:r w:rsidRPr="009F36E0">
        <w:rPr>
          <w:rFonts w:ascii="Narkisim" w:hAnsi="Narkisim"/>
        </w:rPr>
        <w:t xml:space="preserve">. </w:t>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תמהו דאחרי שכבר קנאה ל"ש מצוות יבום. אך הביאו דמבואר כעי"ז בסוגיין דאף אחרי שקנה יש מצוות יבום</w:t>
      </w:r>
      <w:r w:rsidRPr="009F36E0">
        <w:rPr>
          <w:rStyle w:val="ac"/>
          <w:rFonts w:ascii="Narkisim" w:hAnsi="Narkisim"/>
          <w:rtl/>
        </w:rPr>
        <w:footnoteReference w:id="1190"/>
      </w:r>
      <w:r w:rsidRPr="009F36E0">
        <w:rPr>
          <w:rFonts w:ascii="Narkisim" w:hAnsi="Narkisim"/>
        </w:rPr>
        <w:t xml:space="preserve">. </w:t>
      </w:r>
      <w:r w:rsidRPr="009F36E0">
        <w:rPr>
          <w:rFonts w:ascii="Narkisim" w:hAnsi="Narkisim"/>
          <w:rtl/>
        </w:rPr>
        <w:lastRenderedPageBreak/>
        <w:t>ועוד הביאו דכ"כ ה</w:t>
      </w:r>
      <w:r w:rsidRPr="009F36E0">
        <w:rPr>
          <w:rFonts w:ascii="Narkisim" w:hAnsi="Narkisim"/>
          <w:b/>
          <w:bCs/>
          <w:rtl/>
        </w:rPr>
        <w:t xml:space="preserve">רמב"ן </w:t>
      </w:r>
      <w:r w:rsidRPr="009F36E0">
        <w:rPr>
          <w:rFonts w:ascii="Narkisim" w:hAnsi="Narkisim"/>
          <w:rtl/>
        </w:rPr>
        <w:t>(לקמן כט:) גבי מאמר לבי"ש, דאף אחרי שקנה במאמר, צריך לקיים מצוות יבום בביאה</w:t>
      </w:r>
      <w:r w:rsidRPr="009F36E0">
        <w:rPr>
          <w:rFonts w:ascii="Narkisim" w:hAnsi="Narkisim"/>
        </w:rPr>
        <w:t>.</w:t>
      </w:r>
    </w:p>
    <w:p w14:paraId="12F5711C"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(לעיל ח:) כתב [בכל יבמה] דביאה שניה לא דחי ל"ת, דרק עשה של חובה דחי ל”ת, וביאה שניה הוה רשות, </w:t>
      </w:r>
      <w:r w:rsidRPr="009F36E0">
        <w:rPr>
          <w:rFonts w:ascii="Narkisim" w:hAnsi="Narkisim"/>
          <w:i/>
          <w:iCs/>
          <w:rtl/>
        </w:rPr>
        <w:t>דעיקר</w:t>
      </w:r>
      <w:r w:rsidRPr="009F36E0">
        <w:rPr>
          <w:rFonts w:ascii="Narkisim" w:hAnsi="Narkisim"/>
          <w:rtl/>
        </w:rPr>
        <w:t xml:space="preserve"> קיום העשה הוה בביאה ראשונה. [משמע דיש קצת מצווה, אלא שקיים כבר עיקר המצווה]</w:t>
      </w:r>
      <w:r w:rsidRPr="009F36E0">
        <w:rPr>
          <w:rFonts w:ascii="Narkisim" w:hAnsi="Narkisim"/>
        </w:rPr>
        <w:t>.</w:t>
      </w:r>
    </w:p>
    <w:p w14:paraId="6D010108" w14:textId="77777777" w:rsidR="006074A5" w:rsidRPr="009F36E0" w:rsidRDefault="006074A5" w:rsidP="006074A5">
      <w:pPr>
        <w:bidi/>
        <w:rPr>
          <w:rFonts w:ascii="Narkisim" w:hAnsi="Narkisim" w:cs="Narkisim"/>
        </w:rPr>
      </w:pPr>
      <w:r w:rsidRPr="009F36E0">
        <w:rPr>
          <w:rFonts w:ascii="Narkisim" w:hAnsi="Narkisim" w:cs="Narkisim"/>
          <w:u w:val="single"/>
          <w:rtl/>
        </w:rPr>
        <w:t>בא"ד ובפ' ב"ש תנן קטן הבא על הקטנה תגדלנו.</w:t>
      </w:r>
      <w:r w:rsidRPr="009F36E0">
        <w:rPr>
          <w:rFonts w:ascii="Narkisim" w:hAnsi="Narkisim" w:cs="Narkisim"/>
          <w:rtl/>
        </w:rPr>
        <w:t xml:space="preserve"> ה</w:t>
      </w:r>
      <w:r w:rsidRPr="009F36E0">
        <w:rPr>
          <w:rFonts w:ascii="Narkisim" w:hAnsi="Narkisim" w:cs="Narkisim"/>
          <w:b/>
          <w:bCs/>
          <w:rtl/>
        </w:rPr>
        <w:t>אחרונים</w:t>
      </w:r>
      <w:r w:rsidRPr="009F36E0">
        <w:rPr>
          <w:rFonts w:ascii="Narkisim" w:hAnsi="Narkisim" w:cs="Narkisim"/>
          <w:rtl/>
        </w:rPr>
        <w:t xml:space="preserve"> </w:t>
      </w:r>
      <w:r w:rsidRPr="009F36E0">
        <w:rPr>
          <w:rFonts w:ascii="Narkisim" w:hAnsi="Narkisim" w:cs="Narkisim"/>
          <w:sz w:val="20"/>
          <w:szCs w:val="20"/>
          <w:rtl/>
        </w:rPr>
        <w:t>(אמר"מ ו יג, קובה"ע כ ז)</w:t>
      </w:r>
      <w:r w:rsidRPr="009F36E0">
        <w:rPr>
          <w:rFonts w:ascii="Narkisim" w:hAnsi="Narkisim" w:cs="Narkisim"/>
          <w:rtl/>
        </w:rPr>
        <w:t xml:space="preserve"> הק' דלדעת תוס' (לקמן לה: וקידושין יט.) קטן לא קנה מדאורייתא עד שיגדל</w:t>
      </w:r>
      <w:r w:rsidRPr="009F36E0">
        <w:rPr>
          <w:rStyle w:val="ac"/>
          <w:rFonts w:ascii="Narkisim" w:hAnsi="Narkisim" w:cs="Narkisim"/>
          <w:rtl/>
        </w:rPr>
        <w:footnoteReference w:id="1191"/>
      </w:r>
      <w:r w:rsidRPr="009F36E0">
        <w:rPr>
          <w:rFonts w:ascii="Narkisim" w:hAnsi="Narkisim" w:cs="Narkisim"/>
        </w:rPr>
        <w:t xml:space="preserve">. </w:t>
      </w:r>
      <w:r w:rsidRPr="009F36E0">
        <w:rPr>
          <w:rFonts w:ascii="Narkisim" w:hAnsi="Narkisim" w:cs="Narkisim"/>
          <w:sz w:val="20"/>
          <w:szCs w:val="20"/>
          <w:rtl/>
        </w:rPr>
        <w:t>וב</w:t>
      </w:r>
      <w:r w:rsidRPr="009F36E0">
        <w:rPr>
          <w:rFonts w:ascii="Narkisim" w:hAnsi="Narkisim" w:cs="Narkisim"/>
          <w:b/>
          <w:bCs/>
          <w:sz w:val="20"/>
          <w:szCs w:val="20"/>
          <w:rtl/>
        </w:rPr>
        <w:t>חי' הגר"נ</w:t>
      </w:r>
      <w:r w:rsidRPr="009F36E0">
        <w:rPr>
          <w:rFonts w:ascii="Narkisim" w:hAnsi="Narkisim" w:cs="Narkisim"/>
          <w:sz w:val="20"/>
          <w:szCs w:val="20"/>
          <w:rtl/>
        </w:rPr>
        <w:t xml:space="preserve"> כת' דהא דהותר לבא עליה כשהוא קטן, היינו משום דראוי לקנין [אלא דקטן אינו יכול לקנות], אבל אילו לא היתה ראוי למצוה לא הותר</w:t>
      </w:r>
      <w:r w:rsidRPr="009F36E0">
        <w:rPr>
          <w:rFonts w:ascii="Narkisim" w:hAnsi="Narkisim" w:cs="Narkisim"/>
          <w:sz w:val="20"/>
          <w:szCs w:val="20"/>
        </w:rPr>
        <w:t>.</w:t>
      </w:r>
    </w:p>
    <w:p w14:paraId="5A918325"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הביא דנחשב שמשעת נפילה הוה ראוי למצוה. וע"ד הוכחת הגמ' (לקמן קיא:)</w:t>
      </w:r>
      <w:r w:rsidRPr="009F36E0">
        <w:rPr>
          <w:rFonts w:ascii="Narkisim" w:hAnsi="Narkisim"/>
          <w:sz w:val="20"/>
          <w:szCs w:val="20"/>
        </w:rPr>
        <w:t>.</w:t>
      </w:r>
    </w:p>
    <w:p w14:paraId="1B610A5F" w14:textId="77777777" w:rsidR="006074A5" w:rsidRPr="009F36E0" w:rsidRDefault="006074A5" w:rsidP="006074A5">
      <w:pPr>
        <w:bidi/>
        <w:rPr>
          <w:rFonts w:ascii="Narkisim" w:hAnsi="Narkisim" w:cs="Narkisim"/>
        </w:rPr>
      </w:pPr>
      <w:r w:rsidRPr="009F36E0">
        <w:rPr>
          <w:rFonts w:ascii="Narkisim" w:hAnsi="Narkisim" w:cs="Narkisim"/>
          <w:u w:val="single"/>
          <w:rtl/>
        </w:rPr>
        <w:t>בא"ד ובפ' הבע"י נמי מרבינן דנקנית בביאה שלא כדרכה והעראה אע"פ שאינה מתעברת בה.</w:t>
      </w:r>
      <w:r w:rsidRPr="009F36E0">
        <w:rPr>
          <w:rFonts w:ascii="Narkisim" w:hAnsi="Narkisim" w:cs="Narkisim"/>
          <w:rtl/>
        </w:rPr>
        <w:t xml:space="preserve"> וכ"כ </w:t>
      </w:r>
      <w:r w:rsidRPr="009F36E0">
        <w:rPr>
          <w:rFonts w:ascii="Narkisim" w:hAnsi="Narkisim" w:cs="Narkisim"/>
          <w:b/>
          <w:bCs/>
          <w:rtl/>
        </w:rPr>
        <w:t>תוס</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בע"ב ד"ה אטו)</w:t>
      </w:r>
      <w:r w:rsidRPr="009F36E0">
        <w:rPr>
          <w:rFonts w:ascii="Narkisim" w:hAnsi="Narkisim" w:cs="Narkisim"/>
          <w:rtl/>
        </w:rPr>
        <w:t>. אבל ה</w:t>
      </w:r>
      <w:r w:rsidRPr="009F36E0">
        <w:rPr>
          <w:rFonts w:ascii="Narkisim" w:hAnsi="Narkisim" w:cs="Narkisim"/>
          <w:b/>
          <w:bCs/>
          <w:rtl/>
        </w:rPr>
        <w:t>רמב"ן</w:t>
      </w:r>
      <w:r w:rsidRPr="009F36E0">
        <w:rPr>
          <w:rFonts w:ascii="Narkisim" w:hAnsi="Narkisim" w:cs="Narkisim"/>
          <w:rtl/>
        </w:rPr>
        <w:t xml:space="preserve"> </w:t>
      </w:r>
      <w:r w:rsidRPr="009F36E0">
        <w:rPr>
          <w:rFonts w:ascii="Narkisim" w:hAnsi="Narkisim" w:cs="Narkisim"/>
          <w:szCs w:val="20"/>
          <w:rtl/>
        </w:rPr>
        <w:t>(בע"ב וכן שא"ר שם)</w:t>
      </w:r>
      <w:r w:rsidRPr="009F36E0">
        <w:rPr>
          <w:rFonts w:ascii="Narkisim" w:hAnsi="Narkisim" w:cs="Narkisim"/>
          <w:rtl/>
        </w:rPr>
        <w:t xml:space="preserve"> כת' דאע"ג דקנאה בהעראה </w:t>
      </w:r>
      <w:r w:rsidRPr="009F36E0">
        <w:rPr>
          <w:rFonts w:ascii="Narkisim" w:hAnsi="Narkisim" w:cs="Narkisim"/>
          <w:sz w:val="20"/>
          <w:szCs w:val="20"/>
          <w:rtl/>
        </w:rPr>
        <w:t>[לענין שיכול לגרשה בגט ואי”צ חליצה]</w:t>
      </w:r>
      <w:r w:rsidRPr="009F36E0">
        <w:rPr>
          <w:rFonts w:ascii="Narkisim" w:hAnsi="Narkisim" w:cs="Narkisim"/>
          <w:rtl/>
        </w:rPr>
        <w:t xml:space="preserve"> מ"מ מצוה רמי עליה עד גמר ביאה שראויה להתעבר. </w:t>
      </w:r>
      <w:r w:rsidRPr="009F36E0">
        <w:rPr>
          <w:rFonts w:ascii="Narkisim" w:hAnsi="Narkisim" w:cs="Narkisim"/>
          <w:sz w:val="20"/>
          <w:szCs w:val="20"/>
          <w:rtl/>
        </w:rPr>
        <w:t>[ומשמע מדבריהם דקיים מצוות יבום, אלא דיש מצוה נוספת להקים שם]</w:t>
      </w:r>
      <w:r w:rsidRPr="009F36E0">
        <w:rPr>
          <w:rFonts w:ascii="Narkisim" w:hAnsi="Narkisim" w:cs="Narkisim"/>
          <w:sz w:val="20"/>
          <w:szCs w:val="20"/>
        </w:rPr>
        <w:t>.</w:t>
      </w:r>
    </w:p>
    <w:p w14:paraId="74D78F83" w14:textId="77777777" w:rsidR="006074A5" w:rsidRPr="009F36E0" w:rsidRDefault="006074A5" w:rsidP="006074A5">
      <w:pPr>
        <w:pStyle w:val="2"/>
        <w:bidi/>
        <w:rPr>
          <w:rFonts w:ascii="Narkisim" w:hAnsi="Narkisim"/>
        </w:rPr>
      </w:pPr>
      <w:r w:rsidRPr="009F36E0">
        <w:rPr>
          <w:rFonts w:ascii="Narkisim" w:hAnsi="Narkisim"/>
          <w:rtl/>
        </w:rPr>
        <w:t>גדר עולה לחליצה</w:t>
      </w:r>
    </w:p>
    <w:p w14:paraId="0CA98CDA" w14:textId="77777777" w:rsidR="006074A5" w:rsidRPr="009F36E0" w:rsidRDefault="006074A5" w:rsidP="006074A5">
      <w:pPr>
        <w:bidi/>
        <w:rPr>
          <w:rFonts w:ascii="Narkisim" w:hAnsi="Narkisim" w:cs="Narkisim"/>
        </w:rPr>
      </w:pPr>
      <w:r w:rsidRPr="009F36E0">
        <w:rPr>
          <w:rFonts w:ascii="Narkisim" w:hAnsi="Narkisim" w:cs="Narkisim"/>
          <w:u w:val="single"/>
          <w:rtl/>
        </w:rPr>
        <w:t>יש לך אחרת וכו'.</w:t>
      </w:r>
      <w:r w:rsidRPr="009F36E0">
        <w:rPr>
          <w:rFonts w:ascii="Narkisim" w:hAnsi="Narkisim" w:cs="Narkisim"/>
          <w:rtl/>
        </w:rPr>
        <w:t xml:space="preserve"> בפשטות נקטו ה</w:t>
      </w:r>
      <w:r w:rsidRPr="009F36E0">
        <w:rPr>
          <w:rFonts w:ascii="Narkisim" w:hAnsi="Narkisim" w:cs="Narkisim"/>
          <w:b/>
          <w:bCs/>
          <w:rtl/>
        </w:rPr>
        <w:t>ראשונים</w:t>
      </w:r>
      <w:r w:rsidRPr="009F36E0">
        <w:rPr>
          <w:rFonts w:ascii="Narkisim" w:hAnsi="Narkisim" w:cs="Narkisim"/>
          <w:rtl/>
        </w:rPr>
        <w:t xml:space="preserve"> דיש בזה ריבוי שיש יבמה שעולה לחליצה ואינה עולה יבום, ומסתבר לרב גידל להעמיד הך קרא בחייבי לאוין, וללמוד דלא אמרי' עדל"ת ואינו עולה ליבום. </w:t>
      </w:r>
      <w:r w:rsidRPr="009F36E0">
        <w:rPr>
          <w:rFonts w:ascii="Narkisim" w:hAnsi="Narkisim" w:cs="Narkisim"/>
          <w:sz w:val="20"/>
          <w:szCs w:val="20"/>
          <w:rtl/>
        </w:rPr>
        <w:t>ולמסקנא כתבו ה</w:t>
      </w:r>
      <w:r w:rsidRPr="009F36E0">
        <w:rPr>
          <w:rFonts w:ascii="Narkisim" w:hAnsi="Narkisim" w:cs="Narkisim"/>
          <w:b/>
          <w:bCs/>
          <w:sz w:val="20"/>
          <w:szCs w:val="20"/>
          <w:rtl/>
        </w:rPr>
        <w:t>תוס'</w:t>
      </w:r>
      <w:r w:rsidRPr="009F36E0">
        <w:rPr>
          <w:rFonts w:ascii="Narkisim" w:hAnsi="Narkisim" w:cs="Narkisim"/>
          <w:sz w:val="20"/>
          <w:szCs w:val="20"/>
          <w:rtl/>
        </w:rPr>
        <w:t xml:space="preserve"> (ד"ה גזירה, ורוב הראשונים עי"ש) דילפי' דחייבי לאו ועשה, עולין לחליצה אע"פ שאינן עולים ליבום</w:t>
      </w:r>
      <w:r w:rsidRPr="009F36E0">
        <w:rPr>
          <w:rFonts w:ascii="Narkisim" w:hAnsi="Narkisim" w:cs="Narkisim"/>
          <w:sz w:val="20"/>
          <w:szCs w:val="20"/>
        </w:rPr>
        <w:t>.</w:t>
      </w:r>
    </w:p>
    <w:p w14:paraId="5F8D4F33" w14:textId="77777777" w:rsidR="006074A5" w:rsidRPr="009F36E0" w:rsidRDefault="006074A5" w:rsidP="006074A5">
      <w:pPr>
        <w:pStyle w:val="a7"/>
        <w:bidi/>
        <w:rPr>
          <w:rFonts w:ascii="Narkisim" w:hAnsi="Narkisim"/>
        </w:rPr>
      </w:pPr>
      <w:r w:rsidRPr="009F36E0">
        <w:rPr>
          <w:rFonts w:ascii="Narkisim" w:hAnsi="Narkisim"/>
          <w:rtl/>
        </w:rPr>
        <w:t xml:space="preserve">אבל </w:t>
      </w:r>
      <w:r w:rsidRPr="009F36E0">
        <w:rPr>
          <w:rFonts w:ascii="Narkisim" w:hAnsi="Narkisim"/>
          <w:b/>
          <w:bCs/>
          <w:rtl/>
        </w:rPr>
        <w:t>רש"י</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ד"ה יש)</w:t>
      </w:r>
      <w:r w:rsidRPr="009F36E0">
        <w:rPr>
          <w:rFonts w:ascii="Narkisim" w:hAnsi="Narkisim"/>
          <w:rtl/>
        </w:rPr>
        <w:t xml:space="preserve"> כתב דחייבי לאוין דלא קרינן בהו 'לקחת' לא קרינן ועלתה וכו'. ומבואר דתי' הגמ' דנתמעטו חייבי לאוין מקרא, כיון דאינו ראוי ל'לקחת'. </w:t>
      </w:r>
      <w:r w:rsidRPr="009F36E0">
        <w:rPr>
          <w:rFonts w:ascii="Narkisim" w:hAnsi="Narkisim"/>
          <w:sz w:val="20"/>
          <w:szCs w:val="20"/>
          <w:rtl/>
        </w:rPr>
        <w:t>[ולפ"ז עיקר תי' הגמ' מסיפא דקרא, וחסר מהגמ']. ואגב זה פי' דלחליצה עולה</w:t>
      </w:r>
      <w:r w:rsidRPr="009F36E0">
        <w:rPr>
          <w:rFonts w:ascii="Narkisim" w:hAnsi="Narkisim"/>
          <w:sz w:val="20"/>
          <w:szCs w:val="20"/>
        </w:rPr>
        <w:t>.</w:t>
      </w:r>
    </w:p>
    <w:p w14:paraId="4B2446B8"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הקשו דאדרבה נימא עדל"ת, וראויה ללקחת</w:t>
      </w:r>
      <w:r w:rsidRPr="009F36E0">
        <w:rPr>
          <w:rStyle w:val="ac"/>
          <w:rFonts w:ascii="Narkisim" w:hAnsi="Narkisim"/>
          <w:rtl/>
        </w:rPr>
        <w:footnoteReference w:id="1192"/>
      </w:r>
      <w:r w:rsidRPr="009F36E0">
        <w:rPr>
          <w:rFonts w:ascii="Narkisim" w:hAnsi="Narkisim"/>
        </w:rPr>
        <w:t xml:space="preserve">. </w:t>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כתב דלא קרינן לה לקחת לכתחילה כיון דבעלמא אסורה לינשא. וה</w:t>
      </w:r>
      <w:r w:rsidRPr="009F36E0">
        <w:rPr>
          <w:rFonts w:ascii="Narkisim" w:hAnsi="Narkisim"/>
          <w:b/>
          <w:bCs/>
          <w:rtl/>
        </w:rPr>
        <w:t>תוס' הרא"ש</w:t>
      </w:r>
      <w:r w:rsidRPr="009F36E0">
        <w:rPr>
          <w:rFonts w:ascii="Narkisim" w:hAnsi="Narkisim"/>
          <w:rtl/>
        </w:rPr>
        <w:t xml:space="preserve"> פי' כוונת רש"י דכיון דלא הותר אלא ביאה ראשונה, א"כ לא קרינן בה קרא דלקחת לאשה, דמשמע אף ביאה שניה</w:t>
      </w:r>
      <w:r w:rsidRPr="009F36E0">
        <w:rPr>
          <w:rFonts w:ascii="Narkisim" w:hAnsi="Narkisim"/>
        </w:rPr>
        <w:t>.</w:t>
      </w:r>
    </w:p>
    <w:p w14:paraId="49B9EFF6"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הק' א"כ נילף מהכא בעלמא דלא דחי עשה לל"ת, ותי' דכיון דמצות יבום חידוש הוא, דהתיר אשת אח בכלל עריות, הילכך מה שהתיר התיר. ומה שלא התיר נשאר באיסורו הראשון. [ולכאורה מבואר בדבריו דיש איסור אשת אח בחיי"ל לרב גידל]</w:t>
      </w:r>
      <w:r w:rsidRPr="009F36E0">
        <w:rPr>
          <w:rFonts w:ascii="Narkisim" w:hAnsi="Narkisim"/>
        </w:rPr>
        <w:t>.</w:t>
      </w:r>
    </w:p>
    <w:p w14:paraId="7D379884" w14:textId="77777777" w:rsidR="006074A5" w:rsidRPr="009F36E0" w:rsidRDefault="006074A5" w:rsidP="006074A5">
      <w:pPr>
        <w:bidi/>
        <w:rPr>
          <w:rFonts w:ascii="Narkisim" w:hAnsi="Narkisim" w:cs="Narkisim"/>
        </w:rPr>
      </w:pPr>
      <w:r w:rsidRPr="009F36E0">
        <w:rPr>
          <w:rFonts w:ascii="Narkisim" w:hAnsi="Narkisim" w:cs="Narkisim"/>
          <w:u w:val="single"/>
          <w:rtl/>
        </w:rPr>
        <w:t>כל העולה ליבום עולה לחליצה</w:t>
      </w:r>
      <w:r w:rsidRPr="009F36E0">
        <w:rPr>
          <w:rStyle w:val="ac"/>
          <w:rFonts w:ascii="Narkisim" w:hAnsi="Narkisim" w:cs="Narkisim"/>
          <w:rtl/>
        </w:rPr>
        <w:footnoteReference w:id="1193"/>
      </w:r>
      <w:r w:rsidRPr="009F36E0">
        <w:rPr>
          <w:rFonts w:ascii="Narkisim" w:hAnsi="Narkisim" w:cs="Narkisim"/>
        </w:rPr>
        <w:t xml:space="preserve">. </w:t>
      </w:r>
      <w:r w:rsidRPr="009F36E0">
        <w:rPr>
          <w:rFonts w:ascii="Narkisim" w:hAnsi="Narkisim" w:cs="Narkisim"/>
          <w:rtl/>
        </w:rPr>
        <w:t>ה</w:t>
      </w:r>
      <w:r w:rsidRPr="009F36E0">
        <w:rPr>
          <w:rFonts w:ascii="Narkisim" w:hAnsi="Narkisim" w:cs="Narkisim"/>
          <w:b/>
          <w:bCs/>
          <w:rtl/>
        </w:rPr>
        <w:t>אחרונים</w:t>
      </w:r>
      <w:r w:rsidRPr="009F36E0">
        <w:rPr>
          <w:rFonts w:ascii="Narkisim" w:hAnsi="Narkisim" w:cs="Narkisim"/>
          <w:rtl/>
        </w:rPr>
        <w:t xml:space="preserve"> חקרו האם הוה </w:t>
      </w:r>
      <w:r w:rsidRPr="009F36E0">
        <w:rPr>
          <w:rFonts w:ascii="Narkisim" w:hAnsi="Narkisim" w:cs="Narkisim"/>
          <w:i/>
          <w:iCs/>
          <w:rtl/>
        </w:rPr>
        <w:t>פסול</w:t>
      </w:r>
      <w:r w:rsidRPr="009F36E0">
        <w:rPr>
          <w:rFonts w:ascii="Narkisim" w:hAnsi="Narkisim" w:cs="Narkisim"/>
          <w:rtl/>
        </w:rPr>
        <w:t xml:space="preserve"> בחליצה </w:t>
      </w:r>
      <w:r w:rsidRPr="009F36E0">
        <w:rPr>
          <w:rFonts w:ascii="Narkisim" w:hAnsi="Narkisim" w:cs="Narkisim"/>
          <w:sz w:val="20"/>
          <w:szCs w:val="20"/>
          <w:rtl/>
        </w:rPr>
        <w:t xml:space="preserve">[וכעין הא דלקמן מא:], </w:t>
      </w:r>
      <w:r w:rsidRPr="009F36E0">
        <w:rPr>
          <w:rFonts w:ascii="Narkisim" w:hAnsi="Narkisim" w:cs="Narkisim"/>
          <w:rtl/>
        </w:rPr>
        <w:t xml:space="preserve">או דהוה </w:t>
      </w:r>
      <w:r w:rsidRPr="009F36E0">
        <w:rPr>
          <w:rFonts w:ascii="Narkisim" w:hAnsi="Narkisim" w:cs="Narkisim"/>
          <w:i/>
          <w:iCs/>
          <w:rtl/>
        </w:rPr>
        <w:t>סיבת</w:t>
      </w:r>
      <w:r w:rsidRPr="009F36E0">
        <w:rPr>
          <w:rFonts w:ascii="Narkisim" w:hAnsi="Narkisim" w:cs="Narkisim"/>
          <w:rtl/>
        </w:rPr>
        <w:t xml:space="preserve"> </w:t>
      </w:r>
      <w:r w:rsidRPr="009F36E0">
        <w:rPr>
          <w:rFonts w:ascii="Narkisim" w:hAnsi="Narkisim" w:cs="Narkisim"/>
          <w:i/>
          <w:iCs/>
          <w:rtl/>
        </w:rPr>
        <w:t>פטור.</w:t>
      </w:r>
      <w:r w:rsidRPr="009F36E0">
        <w:rPr>
          <w:rFonts w:ascii="Narkisim" w:hAnsi="Narkisim" w:cs="Narkisim"/>
          <w:rtl/>
        </w:rPr>
        <w:t xml:space="preserve"> או דהוה </w:t>
      </w:r>
      <w:r w:rsidRPr="009F36E0">
        <w:rPr>
          <w:rFonts w:ascii="Narkisim" w:hAnsi="Narkisim" w:cs="Narkisim"/>
          <w:i/>
          <w:iCs/>
          <w:rtl/>
        </w:rPr>
        <w:t>סימן</w:t>
      </w:r>
      <w:r w:rsidRPr="009F36E0">
        <w:rPr>
          <w:rFonts w:ascii="Narkisim" w:hAnsi="Narkisim" w:cs="Narkisim"/>
          <w:rtl/>
        </w:rPr>
        <w:t xml:space="preserve"> [דשם ערוה פוטרת מחליצה].</w:t>
      </w:r>
      <w:r w:rsidRPr="009F36E0">
        <w:rPr>
          <w:rFonts w:ascii="Narkisim" w:hAnsi="Narkisim" w:cs="Narkisim"/>
          <w:sz w:val="20"/>
          <w:szCs w:val="20"/>
          <w:rtl/>
        </w:rPr>
        <w:t xml:space="preserve"> (ע' בסמוך). [והאחרונים נקטו דב' הגדרים קיימים. ויתבאר בהמשך הסוגיות, ע"ע לקמן לו. מא: מד. ועוד]</w:t>
      </w:r>
      <w:r w:rsidRPr="009F36E0">
        <w:rPr>
          <w:rFonts w:ascii="Narkisim" w:hAnsi="Narkisim" w:cs="Narkisim"/>
          <w:sz w:val="20"/>
          <w:szCs w:val="20"/>
        </w:rPr>
        <w:t>.</w:t>
      </w:r>
    </w:p>
    <w:p w14:paraId="58E2EC39" w14:textId="77777777" w:rsidR="006074A5" w:rsidRPr="009F36E0" w:rsidRDefault="006074A5" w:rsidP="006074A5">
      <w:pPr>
        <w:bidi/>
        <w:rPr>
          <w:rFonts w:ascii="Narkisim" w:hAnsi="Narkisim" w:cs="Narkisim"/>
        </w:rPr>
      </w:pPr>
      <w:r w:rsidRPr="009F36E0">
        <w:rPr>
          <w:rFonts w:ascii="Narkisim" w:hAnsi="Narkisim" w:cs="Narkisim"/>
          <w:u w:val="single"/>
          <w:rtl/>
        </w:rPr>
        <w:t>א"ה חייבי לאוין נמי.</w:t>
      </w:r>
      <w:r w:rsidRPr="009F36E0">
        <w:rPr>
          <w:rFonts w:ascii="Narkisim" w:hAnsi="Narkisim" w:cs="Narkisim"/>
          <w:rtl/>
        </w:rPr>
        <w:t xml:space="preserve"> </w:t>
      </w:r>
      <w:r w:rsidRPr="009F36E0">
        <w:rPr>
          <w:rFonts w:ascii="Narkisim" w:hAnsi="Narkisim" w:cs="Narkisim"/>
          <w:b/>
          <w:bCs/>
          <w:rtl/>
        </w:rPr>
        <w:t>תוס</w:t>
      </w:r>
      <w:r w:rsidRPr="009F36E0">
        <w:rPr>
          <w:rFonts w:ascii="Narkisim" w:hAnsi="Narkisim" w:cs="Narkisim"/>
          <w:rtl/>
        </w:rPr>
        <w:t>' (ד"ה א"ה) וה</w:t>
      </w:r>
      <w:r w:rsidRPr="009F36E0">
        <w:rPr>
          <w:rFonts w:ascii="Narkisim" w:hAnsi="Narkisim" w:cs="Narkisim"/>
          <w:b/>
          <w:bCs/>
          <w:rtl/>
        </w:rPr>
        <w:t>ראשונים</w:t>
      </w:r>
      <w:r w:rsidRPr="009F36E0">
        <w:rPr>
          <w:rFonts w:ascii="Narkisim" w:hAnsi="Narkisim" w:cs="Narkisim"/>
          <w:rtl/>
        </w:rPr>
        <w:t xml:space="preserve"> הקשו אמאי חייבי לאוין יתמעטו דאינם עולים לחליצה, דהא לולי קרא הו"א דעדל"ת, ועולה ליבום</w:t>
      </w:r>
      <w:r w:rsidRPr="009F36E0">
        <w:rPr>
          <w:rFonts w:ascii="Narkisim" w:hAnsi="Narkisim" w:cs="Narkisim"/>
        </w:rPr>
        <w:t>.</w:t>
      </w:r>
    </w:p>
    <w:p w14:paraId="148D32AF"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 xml:space="preserve">רמב"ן </w:t>
      </w:r>
      <w:r w:rsidRPr="009F36E0">
        <w:rPr>
          <w:rFonts w:ascii="Narkisim" w:hAnsi="Narkisim"/>
          <w:rtl/>
        </w:rPr>
        <w:t xml:space="preserve">[ותוס' בתחילת דבריהם] פי' דקושיית הגמ' דילפי' מקרא דאם לא יחפוץ דאין לך חליצה בלא יבום, ולא יבום בלא חליצה. והגמ' מקשה שזה סותר לדרשת רב גידל, והיאך מרבינן לחליצה. והגמ' תי' הא רבי רחמנא, ומקשה ומה ראית, דנלמד מהכא דהוה חידוש דחייבי כריתות עולים לחליצה [וחייבי לאוין יתייבמו מדין עדל"ת]. ובסו"ד </w:t>
      </w:r>
      <w:r w:rsidRPr="009F36E0">
        <w:rPr>
          <w:rFonts w:ascii="Narkisim" w:hAnsi="Narkisim"/>
          <w:b/>
          <w:bCs/>
          <w:rtl/>
        </w:rPr>
        <w:t>תוס</w:t>
      </w:r>
      <w:r w:rsidRPr="009F36E0">
        <w:rPr>
          <w:rFonts w:ascii="Narkisim" w:hAnsi="Narkisim"/>
          <w:rtl/>
        </w:rPr>
        <w:t>' העמידו קושיית הגמ' מחייבי עשה</w:t>
      </w:r>
      <w:r w:rsidRPr="009F36E0">
        <w:rPr>
          <w:rFonts w:ascii="Narkisim" w:hAnsi="Narkisim"/>
        </w:rPr>
        <w:t>.</w:t>
      </w:r>
    </w:p>
    <w:p w14:paraId="07DE0D3D"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כתבו דלדעת </w:t>
      </w:r>
      <w:r w:rsidRPr="009F36E0">
        <w:rPr>
          <w:rFonts w:ascii="Narkisim" w:hAnsi="Narkisim"/>
          <w:b/>
          <w:bCs/>
          <w:rtl/>
        </w:rPr>
        <w:t>רש"י</w:t>
      </w:r>
      <w:r w:rsidRPr="009F36E0">
        <w:rPr>
          <w:rFonts w:ascii="Narkisim" w:hAnsi="Narkisim"/>
          <w:rtl/>
        </w:rPr>
        <w:t xml:space="preserve"> ל"ק דקושיית הגמ' אחרי שדרשי' דחייבי לאוין אינן ראויין ל'לקחת</w:t>
      </w:r>
      <w:r w:rsidRPr="009F36E0">
        <w:rPr>
          <w:rFonts w:ascii="Narkisim" w:hAnsi="Narkisim"/>
        </w:rPr>
        <w:t>'.</w:t>
      </w:r>
    </w:p>
    <w:p w14:paraId="6CAE9055" w14:textId="77777777" w:rsidR="006074A5" w:rsidRPr="009F36E0" w:rsidRDefault="006074A5" w:rsidP="006074A5">
      <w:pPr>
        <w:bidi/>
        <w:rPr>
          <w:rFonts w:ascii="Narkisim" w:hAnsi="Narkisim" w:cs="Narkisim"/>
        </w:rPr>
      </w:pPr>
      <w:r w:rsidRPr="009F36E0">
        <w:rPr>
          <w:rFonts w:ascii="Narkisim" w:hAnsi="Narkisim" w:cs="Narkisim"/>
          <w:u w:val="single"/>
          <w:rtl/>
        </w:rPr>
        <w:t>הא רבי רחמנא יבמתו וכו' [בע"ב] תפסי קידושין.</w:t>
      </w:r>
      <w:r w:rsidRPr="009F36E0">
        <w:rPr>
          <w:rFonts w:ascii="Narkisim" w:hAnsi="Narkisim" w:cs="Narkisim"/>
          <w:rtl/>
        </w:rPr>
        <w:t xml:space="preserve"> לדברי התוס' סברא זו הוה רק גילוי שלא לדרוש את הפסוק לפטור מחליצה. אבל </w:t>
      </w:r>
      <w:r w:rsidRPr="009F36E0">
        <w:rPr>
          <w:rFonts w:ascii="Narkisim" w:hAnsi="Narkisim" w:cs="Narkisim"/>
          <w:b/>
          <w:bCs/>
          <w:rtl/>
        </w:rPr>
        <w:t>הרמב"ן</w:t>
      </w:r>
      <w:r w:rsidRPr="009F36E0">
        <w:rPr>
          <w:rFonts w:ascii="Narkisim" w:hAnsi="Narkisim" w:cs="Narkisim"/>
          <w:rtl/>
        </w:rPr>
        <w:t xml:space="preserve"> (הנ"ל) כתב דמטעם זה לא פקע זיקה </w:t>
      </w:r>
      <w:r w:rsidRPr="009F36E0">
        <w:rPr>
          <w:rFonts w:ascii="Narkisim" w:hAnsi="Narkisim" w:cs="Narkisim"/>
          <w:rtl/>
        </w:rPr>
        <w:lastRenderedPageBreak/>
        <w:t>בכדי</w:t>
      </w:r>
      <w:r w:rsidRPr="009F36E0">
        <w:rPr>
          <w:rStyle w:val="ac"/>
          <w:rFonts w:ascii="Narkisim" w:hAnsi="Narkisim" w:cs="Narkisim"/>
          <w:rtl/>
        </w:rPr>
        <w:footnoteReference w:id="1194"/>
      </w:r>
      <w:r w:rsidRPr="009F36E0">
        <w:rPr>
          <w:rFonts w:ascii="Narkisim" w:hAnsi="Narkisim" w:cs="Narkisim"/>
        </w:rPr>
        <w:t>.</w:t>
      </w:r>
    </w:p>
    <w:p w14:paraId="7FE40F67"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אחרונים</w:t>
      </w:r>
      <w:r w:rsidRPr="009F36E0">
        <w:rPr>
          <w:rFonts w:ascii="Narkisim" w:hAnsi="Narkisim" w:cs="Narkisim"/>
          <w:rtl/>
        </w:rPr>
        <w:t xml:space="preserve"> חקרו בגדר דרשת רב גידל, יש לך אחרת שנופלת לחליצה, האם נתחדש דיש כאן זקיקה ונפילה מחודשת למצוות חליצה</w:t>
      </w:r>
      <w:r w:rsidRPr="009F36E0">
        <w:rPr>
          <w:rFonts w:ascii="Narkisim" w:hAnsi="Narkisim" w:cs="Narkisim"/>
          <w:sz w:val="20"/>
          <w:szCs w:val="20"/>
          <w:rtl/>
        </w:rPr>
        <w:t xml:space="preserve"> [דנחשב תיקון והיתר לאישות המת, ויתבאר עוד לקמן לט: וקא.]</w:t>
      </w:r>
      <w:r w:rsidRPr="009F36E0">
        <w:rPr>
          <w:rFonts w:ascii="Narkisim" w:hAnsi="Narkisim" w:cs="Narkisim"/>
          <w:sz w:val="21"/>
          <w:szCs w:val="21"/>
          <w:rtl/>
        </w:rPr>
        <w:t>.</w:t>
      </w:r>
      <w:r w:rsidRPr="009F36E0">
        <w:rPr>
          <w:rFonts w:ascii="Narkisim" w:hAnsi="Narkisim" w:cs="Narkisim"/>
          <w:rtl/>
        </w:rPr>
        <w:t xml:space="preserve"> או דהוה רק גילוי דאין בזה חסרון אינה עולה ליבום, וכל דין נפילה שייך רק ליבום </w:t>
      </w:r>
      <w:r w:rsidRPr="009F36E0">
        <w:rPr>
          <w:rFonts w:ascii="Narkisim" w:hAnsi="Narkisim" w:cs="Narkisim"/>
          <w:sz w:val="20"/>
          <w:szCs w:val="20"/>
          <w:rtl/>
        </w:rPr>
        <w:t>[וכמ"ש ה</w:t>
      </w:r>
      <w:r w:rsidRPr="009F36E0">
        <w:rPr>
          <w:rFonts w:ascii="Narkisim" w:hAnsi="Narkisim" w:cs="Narkisim"/>
          <w:b/>
          <w:bCs/>
          <w:sz w:val="20"/>
          <w:szCs w:val="20"/>
          <w:rtl/>
        </w:rPr>
        <w:t>מאירי</w:t>
      </w:r>
      <w:r w:rsidRPr="009F36E0">
        <w:rPr>
          <w:rFonts w:ascii="Narkisim" w:hAnsi="Narkisim" w:cs="Narkisim"/>
          <w:sz w:val="20"/>
          <w:szCs w:val="20"/>
          <w:rtl/>
        </w:rPr>
        <w:t xml:space="preserve"> בע"ב]</w:t>
      </w:r>
      <w:r w:rsidRPr="009F36E0">
        <w:rPr>
          <w:rFonts w:ascii="Narkisim" w:hAnsi="Narkisim" w:cs="Narkisim"/>
          <w:rtl/>
        </w:rPr>
        <w:t>, והכא גילתה תורה שאף שזקוקה ליבום, שלא תתייבם, אלא צריכה חליצה</w:t>
      </w:r>
      <w:r w:rsidRPr="009F36E0">
        <w:rPr>
          <w:rStyle w:val="ac"/>
          <w:rFonts w:ascii="Narkisim" w:hAnsi="Narkisim" w:cs="Narkisim"/>
          <w:rtl/>
        </w:rPr>
        <w:footnoteReference w:id="1195"/>
      </w:r>
      <w:r w:rsidRPr="009F36E0">
        <w:rPr>
          <w:rFonts w:ascii="Narkisim" w:hAnsi="Narkisim" w:cs="Narkisim"/>
        </w:rPr>
        <w:t>.</w:t>
      </w:r>
    </w:p>
    <w:p w14:paraId="6B2FCC70"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w:t>
      </w:r>
      <w:r w:rsidRPr="009F36E0">
        <w:rPr>
          <w:rFonts w:ascii="Narkisim" w:hAnsi="Narkisim"/>
          <w:b/>
          <w:bCs/>
          <w:rtl/>
        </w:rPr>
        <w:t>רש"י</w:t>
      </w:r>
      <w:r w:rsidRPr="009F36E0">
        <w:rPr>
          <w:rFonts w:ascii="Narkisim" w:hAnsi="Narkisim"/>
          <w:rtl/>
        </w:rPr>
        <w:t xml:space="preserve"> בכ"מ (</w:t>
      </w:r>
      <w:r w:rsidRPr="009F36E0">
        <w:rPr>
          <w:rFonts w:ascii="Narkisim" w:hAnsi="Narkisim"/>
          <w:sz w:val="20"/>
          <w:szCs w:val="20"/>
          <w:rtl/>
        </w:rPr>
        <w:t>במשנה, ולעיל י:, סנהדרין נג.)</w:t>
      </w:r>
      <w:r w:rsidRPr="009F36E0">
        <w:rPr>
          <w:rFonts w:ascii="Narkisim" w:hAnsi="Narkisim"/>
          <w:rtl/>
        </w:rPr>
        <w:t xml:space="preserve"> משמע דערוה פטורה מחליצה מילפי' מאחות אשה דכתיב 'עליה', וה</w:t>
      </w:r>
      <w:r w:rsidRPr="009F36E0">
        <w:rPr>
          <w:rFonts w:ascii="Narkisim" w:hAnsi="Narkisim"/>
          <w:b/>
          <w:bCs/>
          <w:rtl/>
        </w:rPr>
        <w:t>אחרונים</w:t>
      </w:r>
      <w:r w:rsidRPr="009F36E0">
        <w:rPr>
          <w:rFonts w:ascii="Narkisim" w:hAnsi="Narkisim"/>
          <w:rtl/>
        </w:rPr>
        <w:t xml:space="preserve"> הקשו דמבואר בסוגיין (וכן לעיל ג.) דפטורה מקרא דכל העולה ליבום. והאחרונים פי' דהוה </w:t>
      </w:r>
      <w:r w:rsidRPr="009F36E0">
        <w:rPr>
          <w:rFonts w:ascii="Narkisim" w:hAnsi="Narkisim"/>
          <w:i/>
          <w:iCs/>
          <w:rtl/>
        </w:rPr>
        <w:t>סימן</w:t>
      </w:r>
      <w:r w:rsidRPr="009F36E0">
        <w:rPr>
          <w:rFonts w:ascii="Narkisim" w:hAnsi="Narkisim"/>
          <w:rtl/>
        </w:rPr>
        <w:t xml:space="preserve">, ועי"ז ידעינן דעצם הערוה פוטר אף מחליצה, וקרא דועלתה הוה גילוי דבחייבי לאוין אין בהם גדר פטור בזה. </w:t>
      </w:r>
      <w:r w:rsidRPr="009F36E0">
        <w:rPr>
          <w:rFonts w:ascii="Narkisim" w:hAnsi="Narkisim"/>
          <w:sz w:val="20"/>
          <w:szCs w:val="20"/>
          <w:rtl/>
        </w:rPr>
        <w:t>[ומש"כ רש"י דבחייבי לאו ועשה לא אלים לפטור, זהו גדר הפטור אחרי דילפי' מהא דתפסי קידושין]</w:t>
      </w:r>
      <w:r w:rsidRPr="009F36E0">
        <w:rPr>
          <w:rFonts w:ascii="Narkisim" w:hAnsi="Narkisim"/>
          <w:sz w:val="20"/>
          <w:szCs w:val="20"/>
        </w:rPr>
        <w:t>.</w:t>
      </w:r>
    </w:p>
    <w:p w14:paraId="23C2E5CA" w14:textId="77777777" w:rsidR="006074A5" w:rsidRPr="009F36E0" w:rsidRDefault="006074A5" w:rsidP="006074A5">
      <w:pPr>
        <w:pStyle w:val="a7"/>
        <w:bidi/>
        <w:rPr>
          <w:rFonts w:ascii="Narkisim" w:hAnsi="Narkisim"/>
        </w:rPr>
      </w:pPr>
      <w:r w:rsidRPr="009F36E0">
        <w:rPr>
          <w:rFonts w:ascii="Narkisim" w:hAnsi="Narkisim"/>
          <w:rtl/>
        </w:rPr>
        <w:t>ועוד כתבו ה</w:t>
      </w:r>
      <w:r w:rsidRPr="009F36E0">
        <w:rPr>
          <w:rFonts w:ascii="Narkisim" w:hAnsi="Narkisim"/>
          <w:b/>
          <w:bCs/>
          <w:rtl/>
        </w:rPr>
        <w:t>אחרונים</w:t>
      </w:r>
      <w:r w:rsidRPr="009F36E0">
        <w:rPr>
          <w:rFonts w:ascii="Narkisim" w:hAnsi="Narkisim"/>
          <w:rtl/>
        </w:rPr>
        <w:t xml:space="preserve"> (חי' ר' שמואל א ה) דכל קושיית הגמ' לדעת רב גידל דאף חייבי לאוין הוה בגדר 'פטור', ובזה מקשה הגמ' דנימא שתפטר אף מחליצה. אבל למסקנא לאו ועשה אינן מתייבמות משום דקיימי באיסורן, ואינה בגדר 'פטור'</w:t>
      </w:r>
      <w:r w:rsidRPr="009F36E0">
        <w:rPr>
          <w:rStyle w:val="ac"/>
          <w:rFonts w:ascii="Narkisim" w:hAnsi="Narkisim"/>
          <w:rtl/>
        </w:rPr>
        <w:footnoteReference w:id="1196"/>
      </w:r>
      <w:r w:rsidRPr="009F36E0">
        <w:rPr>
          <w:rFonts w:ascii="Narkisim" w:hAnsi="Narkisim"/>
          <w:rtl/>
        </w:rPr>
        <w:t>. ובזה לא שייך ללמוד מ'כל העולה' דתפטר אף מחליצה</w:t>
      </w:r>
      <w:r w:rsidRPr="009F36E0">
        <w:rPr>
          <w:rStyle w:val="ac"/>
          <w:rFonts w:ascii="Narkisim" w:hAnsi="Narkisim"/>
          <w:rtl/>
        </w:rPr>
        <w:footnoteReference w:id="1197"/>
      </w:r>
      <w:r w:rsidRPr="009F36E0">
        <w:rPr>
          <w:rFonts w:ascii="Narkisim" w:hAnsi="Narkisim"/>
        </w:rPr>
        <w:t>.</w:t>
      </w:r>
      <w:r w:rsidRPr="009F36E0">
        <w:rPr>
          <w:rFonts w:ascii="Narkisim" w:hAnsi="Narkisim"/>
          <w:sz w:val="20"/>
          <w:szCs w:val="20"/>
        </w:rPr>
        <w:t xml:space="preserve"> </w:t>
      </w:r>
      <w:r w:rsidRPr="009F36E0">
        <w:rPr>
          <w:rFonts w:ascii="Narkisim" w:hAnsi="Narkisim"/>
          <w:sz w:val="20"/>
          <w:szCs w:val="20"/>
          <w:rtl/>
        </w:rPr>
        <w:t>והאחרונים דייקו לשון רש"י (ג.) כל העולה 'לזיקת' יבום, דבעריות הגדר כל העולה שייך רק משום שמפוקע מזיקת יבום</w:t>
      </w:r>
      <w:r w:rsidRPr="009F36E0">
        <w:rPr>
          <w:rFonts w:ascii="Narkisim" w:hAnsi="Narkisim"/>
          <w:sz w:val="20"/>
          <w:szCs w:val="20"/>
        </w:rPr>
        <w:t>.</w:t>
      </w:r>
    </w:p>
    <w:p w14:paraId="06F64F07" w14:textId="77777777" w:rsidR="006074A5" w:rsidRPr="009F36E0" w:rsidRDefault="006074A5" w:rsidP="006074A5">
      <w:pPr>
        <w:bidi/>
        <w:rPr>
          <w:rFonts w:ascii="Narkisim" w:hAnsi="Narkisim" w:cs="Narkisim"/>
        </w:rPr>
      </w:pPr>
      <w:r w:rsidRPr="009F36E0">
        <w:rPr>
          <w:rFonts w:ascii="Narkisim" w:hAnsi="Narkisim" w:cs="Narkisim"/>
          <w:i/>
          <w:iCs/>
          <w:sz w:val="21"/>
          <w:szCs w:val="21"/>
          <w:rtl/>
        </w:rPr>
        <w:t>איסור אשת אח -</w:t>
      </w:r>
      <w:r w:rsidRPr="009F36E0">
        <w:rPr>
          <w:rFonts w:ascii="Narkisim" w:hAnsi="Narkisim" w:cs="Narkisim"/>
          <w:rtl/>
        </w:rPr>
        <w:t xml:space="preserve"> בס' </w:t>
      </w:r>
      <w:r w:rsidRPr="009F36E0">
        <w:rPr>
          <w:rFonts w:ascii="Narkisim" w:hAnsi="Narkisim" w:cs="Narkisim"/>
          <w:b/>
          <w:bCs/>
          <w:rtl/>
        </w:rPr>
        <w:t>פרשת</w:t>
      </w:r>
      <w:r w:rsidRPr="009F36E0">
        <w:rPr>
          <w:rFonts w:ascii="Narkisim" w:hAnsi="Narkisim" w:cs="Narkisim"/>
          <w:rtl/>
        </w:rPr>
        <w:t xml:space="preserve"> </w:t>
      </w:r>
      <w:r w:rsidRPr="009F36E0">
        <w:rPr>
          <w:rFonts w:ascii="Narkisim" w:hAnsi="Narkisim" w:cs="Narkisim"/>
          <w:b/>
          <w:bCs/>
          <w:rtl/>
        </w:rPr>
        <w:t>דרכים</w:t>
      </w:r>
      <w:r w:rsidRPr="009F36E0">
        <w:rPr>
          <w:rFonts w:ascii="Narkisim" w:hAnsi="Narkisim" w:cs="Narkisim"/>
          <w:rtl/>
        </w:rPr>
        <w:t xml:space="preserve"> (ל</w:t>
      </w:r>
      <w:r w:rsidRPr="009F36E0">
        <w:rPr>
          <w:rFonts w:ascii="Narkisim" w:hAnsi="Narkisim" w:cs="Narkisim"/>
          <w:b/>
          <w:bCs/>
          <w:rtl/>
        </w:rPr>
        <w:t xml:space="preserve">משנ"ל </w:t>
      </w:r>
      <w:r w:rsidRPr="009F36E0">
        <w:rPr>
          <w:rFonts w:ascii="Narkisim" w:hAnsi="Narkisim" w:cs="Narkisim"/>
          <w:rtl/>
        </w:rPr>
        <w:t>דרך מצוותיך</w:t>
      </w:r>
      <w:r w:rsidRPr="009F36E0">
        <w:rPr>
          <w:rStyle w:val="ac"/>
          <w:rFonts w:ascii="Narkisim" w:hAnsi="Narkisim" w:cs="Narkisim"/>
          <w:rtl/>
        </w:rPr>
        <w:footnoteReference w:id="1198"/>
      </w:r>
      <w:r w:rsidRPr="009F36E0">
        <w:rPr>
          <w:rFonts w:ascii="Narkisim" w:hAnsi="Narkisim" w:cs="Narkisim"/>
          <w:rtl/>
        </w:rPr>
        <w:t>) נסתפק בחייבי לאו ועשה, שעולה רק לחליצה, האם יש איסור אשת אח. ובפשוטו הנידון האם זקוקה לחליצה מחמת שנופלת ליבום, וע"כ הותר איסור אשת אח</w:t>
      </w:r>
      <w:r w:rsidRPr="009F36E0">
        <w:rPr>
          <w:rStyle w:val="ac"/>
          <w:rFonts w:ascii="Narkisim" w:hAnsi="Narkisim" w:cs="Narkisim"/>
          <w:rtl/>
        </w:rPr>
        <w:footnoteReference w:id="1199"/>
      </w:r>
      <w:r w:rsidRPr="009F36E0">
        <w:rPr>
          <w:rFonts w:ascii="Narkisim" w:hAnsi="Narkisim" w:cs="Narkisim"/>
        </w:rPr>
        <w:t xml:space="preserve">. </w:t>
      </w:r>
      <w:r w:rsidRPr="009F36E0">
        <w:rPr>
          <w:rFonts w:ascii="Narkisim" w:hAnsi="Narkisim" w:cs="Narkisim"/>
          <w:rtl/>
        </w:rPr>
        <w:t>או כיון דלא רמי עליה מצוות יבום לא הותר. וה</w:t>
      </w:r>
      <w:r w:rsidRPr="009F36E0">
        <w:rPr>
          <w:rFonts w:ascii="Narkisim" w:hAnsi="Narkisim" w:cs="Narkisim"/>
          <w:b/>
          <w:bCs/>
          <w:rtl/>
        </w:rPr>
        <w:t>שעה"מ</w:t>
      </w:r>
      <w:r w:rsidRPr="009F36E0">
        <w:rPr>
          <w:rFonts w:ascii="Narkisim" w:hAnsi="Narkisim" w:cs="Narkisim"/>
          <w:rtl/>
        </w:rPr>
        <w:t xml:space="preserve"> (יבום ו) הביא דמבואר (בע"ב) דאם בעלו לא קנו, וע"כ דיש איסור אשת אח</w:t>
      </w:r>
      <w:r w:rsidRPr="009F36E0">
        <w:rPr>
          <w:rStyle w:val="ac"/>
          <w:rFonts w:ascii="Narkisim" w:hAnsi="Narkisim" w:cs="Narkisim"/>
          <w:rtl/>
        </w:rPr>
        <w:footnoteReference w:id="1200"/>
      </w:r>
      <w:r w:rsidRPr="009F36E0">
        <w:rPr>
          <w:rFonts w:ascii="Narkisim" w:hAnsi="Narkisim" w:cs="Narkisim"/>
        </w:rPr>
        <w:t>.</w:t>
      </w:r>
    </w:p>
    <w:p w14:paraId="32426E73" w14:textId="77777777" w:rsidR="006074A5" w:rsidRPr="009F36E0" w:rsidRDefault="006074A5" w:rsidP="006074A5">
      <w:pPr>
        <w:pStyle w:val="a7"/>
        <w:bidi/>
        <w:rPr>
          <w:rFonts w:ascii="Narkisim" w:hAnsi="Narkisim"/>
        </w:rPr>
      </w:pPr>
      <w:r w:rsidRPr="009F36E0">
        <w:rPr>
          <w:rFonts w:ascii="Narkisim" w:hAnsi="Narkisim"/>
          <w:sz w:val="20"/>
          <w:szCs w:val="20"/>
        </w:rPr>
        <w:t>[</w:t>
      </w:r>
      <w:r w:rsidRPr="009F36E0">
        <w:rPr>
          <w:rFonts w:ascii="Narkisim" w:hAnsi="Narkisim"/>
          <w:sz w:val="20"/>
          <w:szCs w:val="20"/>
          <w:rtl/>
        </w:rPr>
        <w:t>וה</w:t>
      </w:r>
      <w:r w:rsidRPr="009F36E0">
        <w:rPr>
          <w:rFonts w:ascii="Narkisim" w:hAnsi="Narkisim"/>
          <w:b/>
          <w:bCs/>
          <w:sz w:val="20"/>
          <w:szCs w:val="20"/>
          <w:rtl/>
        </w:rPr>
        <w:t>אחרונים</w:t>
      </w:r>
      <w:r w:rsidRPr="009F36E0">
        <w:rPr>
          <w:rFonts w:ascii="Narkisim" w:hAnsi="Narkisim"/>
          <w:sz w:val="20"/>
          <w:szCs w:val="20"/>
          <w:rtl/>
        </w:rPr>
        <w:t xml:space="preserve"> הביאו דב</w:t>
      </w:r>
      <w:r w:rsidRPr="009F36E0">
        <w:rPr>
          <w:rFonts w:ascii="Narkisim" w:hAnsi="Narkisim"/>
          <w:b/>
          <w:bCs/>
          <w:sz w:val="20"/>
          <w:szCs w:val="20"/>
          <w:rtl/>
        </w:rPr>
        <w:t>תוס' הרא"ש</w:t>
      </w:r>
      <w:r w:rsidRPr="009F36E0">
        <w:rPr>
          <w:rFonts w:ascii="Narkisim" w:hAnsi="Narkisim"/>
          <w:sz w:val="20"/>
          <w:szCs w:val="20"/>
          <w:rtl/>
        </w:rPr>
        <w:t xml:space="preserve"> (לעיל ג:) מבואר דיש איסור אשת אח, אבל ב</w:t>
      </w:r>
      <w:r w:rsidRPr="009F36E0">
        <w:rPr>
          <w:rFonts w:ascii="Narkisim" w:hAnsi="Narkisim"/>
          <w:b/>
          <w:bCs/>
          <w:sz w:val="20"/>
          <w:szCs w:val="20"/>
          <w:rtl/>
        </w:rPr>
        <w:t>מאירי</w:t>
      </w:r>
      <w:r w:rsidRPr="009F36E0">
        <w:rPr>
          <w:rFonts w:ascii="Narkisim" w:hAnsi="Narkisim"/>
          <w:sz w:val="20"/>
          <w:szCs w:val="20"/>
          <w:rtl/>
        </w:rPr>
        <w:t xml:space="preserve"> (הנ"ל) מבואר דאין איסור אשת אח</w:t>
      </w:r>
      <w:r w:rsidRPr="009F36E0">
        <w:rPr>
          <w:rStyle w:val="ac"/>
          <w:rFonts w:ascii="Narkisim" w:hAnsi="Narkisim"/>
          <w:sz w:val="20"/>
          <w:szCs w:val="20"/>
          <w:rtl/>
        </w:rPr>
        <w:footnoteReference w:id="1201"/>
      </w:r>
      <w:r w:rsidRPr="009F36E0">
        <w:rPr>
          <w:rFonts w:ascii="Narkisim" w:hAnsi="Narkisim"/>
          <w:sz w:val="20"/>
          <w:szCs w:val="20"/>
        </w:rPr>
        <w:t>].</w:t>
      </w:r>
    </w:p>
    <w:p w14:paraId="39940061"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(ד א) ביאר הצד דאין איסור אשת אח הוא משום דנחשב דדבר אחר מונע את היבום.</w:t>
      </w:r>
      <w:r w:rsidRPr="009F36E0">
        <w:rPr>
          <w:rFonts w:ascii="Narkisim" w:hAnsi="Narkisim"/>
          <w:sz w:val="20"/>
          <w:szCs w:val="20"/>
          <w:rtl/>
        </w:rPr>
        <w:t xml:space="preserve"> ויל"ד בדעת ה</w:t>
      </w:r>
      <w:r w:rsidRPr="009F36E0">
        <w:rPr>
          <w:rFonts w:ascii="Narkisim" w:hAnsi="Narkisim"/>
          <w:b/>
          <w:bCs/>
          <w:sz w:val="20"/>
          <w:szCs w:val="20"/>
          <w:rtl/>
        </w:rPr>
        <w:t>אחרונים</w:t>
      </w:r>
      <w:r w:rsidRPr="009F36E0">
        <w:rPr>
          <w:rFonts w:ascii="Narkisim" w:hAnsi="Narkisim"/>
          <w:sz w:val="20"/>
          <w:szCs w:val="20"/>
          <w:rtl/>
        </w:rPr>
        <w:t xml:space="preserve"> דיש איסור אשת אח, האם משום דס"ל דאף חיי"ל ועשה נחשב שנופלת רק לחליצה [מקרא ד'ועלתה' ע' בע”ב], או אף דיש נפילה ליבום, מ"מ לא הותר היבום בפועל (וע' בע"ב)</w:t>
      </w:r>
      <w:r w:rsidRPr="009F36E0">
        <w:rPr>
          <w:rFonts w:ascii="Narkisim" w:hAnsi="Narkisim"/>
          <w:sz w:val="20"/>
          <w:szCs w:val="20"/>
        </w:rPr>
        <w:t>.</w:t>
      </w:r>
    </w:p>
    <w:p w14:paraId="7DDF5177"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אבנ"מ</w:t>
      </w:r>
      <w:r w:rsidRPr="009F36E0">
        <w:rPr>
          <w:rFonts w:ascii="Narkisim" w:hAnsi="Narkisim"/>
          <w:rtl/>
        </w:rPr>
        <w:t xml:space="preserve"> (קעד) כת' דלסברת רב גידל מדאורייתא רמי רק לחליצה, וא"כ יש איסור אשת אח. אבל למסקנא חייבי לאו ועשה עומדים ליבום אלא דיש איסור בעלמא</w:t>
      </w:r>
      <w:r w:rsidRPr="009F36E0">
        <w:rPr>
          <w:rStyle w:val="ac"/>
          <w:rFonts w:ascii="Narkisim" w:hAnsi="Narkisim"/>
          <w:rtl/>
        </w:rPr>
        <w:footnoteReference w:id="1202"/>
      </w:r>
      <w:r w:rsidRPr="009F36E0">
        <w:rPr>
          <w:rFonts w:ascii="Narkisim" w:hAnsi="Narkisim"/>
        </w:rPr>
        <w:t xml:space="preserve">. </w:t>
      </w:r>
      <w:r w:rsidRPr="009F36E0">
        <w:rPr>
          <w:rFonts w:ascii="Narkisim" w:hAnsi="Narkisim"/>
          <w:rtl/>
        </w:rPr>
        <w:t>וכיון דנופלים לחליצה ע"כ דהותר איסור אשת אח</w:t>
      </w:r>
      <w:r w:rsidRPr="009F36E0">
        <w:rPr>
          <w:rFonts w:ascii="Narkisim" w:hAnsi="Narkisim"/>
        </w:rPr>
        <w:t>.</w:t>
      </w:r>
    </w:p>
    <w:p w14:paraId="7B454653"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עד"ז המחזיר גרושתו (לעיל יא:, וכן ספק סוטה שם), דמדאורייתא הוה זיקה רק לחליצה</w:t>
      </w:r>
      <w:r w:rsidRPr="009F36E0">
        <w:rPr>
          <w:rStyle w:val="ac"/>
          <w:rFonts w:ascii="Narkisim" w:hAnsi="Narkisim"/>
          <w:rtl/>
        </w:rPr>
        <w:footnoteReference w:id="1203"/>
      </w:r>
      <w:r w:rsidRPr="009F36E0">
        <w:rPr>
          <w:rFonts w:ascii="Narkisim" w:hAnsi="Narkisim"/>
        </w:rPr>
        <w:t xml:space="preserve">, </w:t>
      </w:r>
      <w:r w:rsidRPr="009F36E0">
        <w:rPr>
          <w:rFonts w:ascii="Narkisim" w:hAnsi="Narkisim"/>
          <w:rtl/>
        </w:rPr>
        <w:lastRenderedPageBreak/>
        <w:t>ומש”ה יש בהם איסור אשת אח</w:t>
      </w:r>
      <w:r w:rsidRPr="009F36E0">
        <w:rPr>
          <w:rStyle w:val="ac"/>
          <w:rFonts w:ascii="Narkisim" w:hAnsi="Narkisim"/>
          <w:rtl/>
        </w:rPr>
        <w:footnoteReference w:id="1204"/>
      </w:r>
      <w:r w:rsidRPr="009F36E0">
        <w:rPr>
          <w:rFonts w:ascii="Narkisim" w:hAnsi="Narkisim"/>
        </w:rPr>
        <w:t xml:space="preserve">. </w:t>
      </w:r>
      <w:r w:rsidRPr="009F36E0">
        <w:rPr>
          <w:rFonts w:ascii="Narkisim" w:hAnsi="Narkisim"/>
          <w:rtl/>
        </w:rPr>
        <w:t>ולא דמי לחייבי לאו ועשה דיש זיקה ליבום</w:t>
      </w:r>
      <w:r w:rsidRPr="009F36E0">
        <w:rPr>
          <w:rFonts w:ascii="Narkisim" w:hAnsi="Narkisim"/>
        </w:rPr>
        <w:t>.</w:t>
      </w:r>
    </w:p>
    <w:p w14:paraId="2BA7E759" w14:textId="77777777" w:rsidR="006074A5" w:rsidRPr="009F36E0" w:rsidRDefault="006074A5" w:rsidP="006074A5">
      <w:pPr>
        <w:pStyle w:val="a8"/>
        <w:bidi/>
        <w:rPr>
          <w:rFonts w:ascii="Narkisim" w:hAnsi="Narkisim"/>
        </w:rPr>
      </w:pPr>
      <w:r w:rsidRPr="009F36E0">
        <w:rPr>
          <w:rFonts w:ascii="Narkisim" w:hAnsi="Narkisim"/>
        </w:rPr>
        <w:t>[</w:t>
      </w:r>
      <w:r w:rsidRPr="009F36E0">
        <w:rPr>
          <w:rFonts w:ascii="Narkisim" w:hAnsi="Narkisim"/>
          <w:rtl/>
        </w:rPr>
        <w:t xml:space="preserve">אבל </w:t>
      </w:r>
      <w:r w:rsidRPr="009F36E0">
        <w:rPr>
          <w:rFonts w:ascii="Narkisim" w:hAnsi="Narkisim"/>
          <w:b/>
          <w:bCs/>
          <w:rtl/>
        </w:rPr>
        <w:t>רע"א</w:t>
      </w:r>
      <w:r w:rsidRPr="009F36E0">
        <w:rPr>
          <w:rFonts w:ascii="Narkisim" w:hAnsi="Narkisim"/>
          <w:rtl/>
        </w:rPr>
        <w:t xml:space="preserve"> (ע"ג הרמב"ם ו יט, הובא לעיל יא.) דייק מדברי ה</w:t>
      </w:r>
      <w:r w:rsidRPr="009F36E0">
        <w:rPr>
          <w:rFonts w:ascii="Narkisim" w:hAnsi="Narkisim"/>
          <w:b/>
          <w:bCs/>
          <w:rtl/>
        </w:rPr>
        <w:t>רמב"ם</w:t>
      </w:r>
      <w:r w:rsidRPr="009F36E0">
        <w:rPr>
          <w:rFonts w:ascii="Narkisim" w:hAnsi="Narkisim"/>
          <w:rtl/>
        </w:rPr>
        <w:t xml:space="preserve"> (ממרים ד ב) דיש איסור אשת אח בספק סוטה, ורע"א הוכיח מדבריו לכל לאו עשה. ומבואר דלא חילק בזה</w:t>
      </w:r>
      <w:r w:rsidRPr="009F36E0">
        <w:rPr>
          <w:rFonts w:ascii="Narkisim" w:hAnsi="Narkisim"/>
        </w:rPr>
        <w:t>].</w:t>
      </w:r>
    </w:p>
    <w:p w14:paraId="63630B49"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דנח' הראשונים (הובא בסמוך) האם מהני בתורת קידושין בחייבי לאו ועשה, ולדעת המאירי </w:t>
      </w:r>
      <w:r w:rsidRPr="009F36E0">
        <w:rPr>
          <w:rFonts w:ascii="Narkisim" w:hAnsi="Narkisim"/>
          <w:sz w:val="20"/>
          <w:szCs w:val="20"/>
          <w:rtl/>
        </w:rPr>
        <w:t>[וכן המהרש"א ורמב"ם ע' בסמוך</w:t>
      </w:r>
      <w:r w:rsidRPr="009F36E0">
        <w:rPr>
          <w:rStyle w:val="ac"/>
          <w:rFonts w:ascii="Narkisim" w:hAnsi="Narkisim"/>
          <w:sz w:val="20"/>
          <w:szCs w:val="20"/>
          <w:rtl/>
        </w:rPr>
        <w:footnoteReference w:id="1205"/>
      </w:r>
      <w:r w:rsidRPr="009F36E0">
        <w:rPr>
          <w:rFonts w:ascii="Narkisim" w:hAnsi="Narkisim"/>
          <w:rtl/>
        </w:rPr>
        <w:t>] דמהני קידושין ע"כ ס"ל דאף בלאו ועשה נסתלק האיסור אשת אח</w:t>
      </w:r>
      <w:r w:rsidRPr="009F36E0">
        <w:rPr>
          <w:rStyle w:val="ac"/>
          <w:rFonts w:ascii="Narkisim" w:hAnsi="Narkisim"/>
          <w:rtl/>
        </w:rPr>
        <w:footnoteReference w:id="1206"/>
      </w:r>
      <w:r w:rsidRPr="009F36E0">
        <w:rPr>
          <w:rFonts w:ascii="Narkisim" w:hAnsi="Narkisim"/>
        </w:rPr>
        <w:t xml:space="preserve">. </w:t>
      </w:r>
      <w:r w:rsidRPr="009F36E0">
        <w:rPr>
          <w:rFonts w:ascii="Narkisim" w:hAnsi="Narkisim"/>
          <w:sz w:val="20"/>
          <w:szCs w:val="20"/>
          <w:rtl/>
        </w:rPr>
        <w:t>ומבואר דאף לסברת רב גידל [דילפי' מקרא דנופלת רק לחליצה], מ"מ נסתלק האיסור אשת אח</w:t>
      </w:r>
      <w:r w:rsidRPr="009F36E0">
        <w:rPr>
          <w:rFonts w:ascii="Narkisim" w:hAnsi="Narkisim"/>
          <w:sz w:val="20"/>
          <w:szCs w:val="20"/>
        </w:rPr>
        <w:t>.</w:t>
      </w:r>
    </w:p>
    <w:p w14:paraId="69B4D412"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מנח"ח</w:t>
      </w:r>
      <w:r w:rsidRPr="009F36E0">
        <w:rPr>
          <w:rFonts w:ascii="Narkisim" w:hAnsi="Narkisim"/>
          <w:rtl/>
        </w:rPr>
        <w:t xml:space="preserve"> (רעג ד) נסתפק האם יש נאסרה בחייבי לאו ועשה</w:t>
      </w:r>
      <w:r w:rsidRPr="009F36E0">
        <w:rPr>
          <w:rStyle w:val="ac"/>
          <w:rFonts w:ascii="Narkisim" w:hAnsi="Narkisim"/>
          <w:rtl/>
        </w:rPr>
        <w:footnoteReference w:id="1207"/>
      </w:r>
      <w:r w:rsidRPr="009F36E0">
        <w:rPr>
          <w:rFonts w:ascii="Narkisim" w:hAnsi="Narkisim"/>
        </w:rPr>
        <w:t xml:space="preserve">, </w:t>
      </w:r>
      <w:r w:rsidRPr="009F36E0">
        <w:rPr>
          <w:rFonts w:ascii="Narkisim" w:hAnsi="Narkisim"/>
          <w:rtl/>
        </w:rPr>
        <w:t>כגון קטנה לכה"ג דאסורה עד שתהיה נערה</w:t>
      </w:r>
      <w:r w:rsidRPr="009F36E0">
        <w:rPr>
          <w:rStyle w:val="ac"/>
          <w:rFonts w:ascii="Narkisim" w:hAnsi="Narkisim"/>
          <w:rtl/>
        </w:rPr>
        <w:footnoteReference w:id="1208"/>
      </w:r>
      <w:r w:rsidRPr="009F36E0">
        <w:rPr>
          <w:rFonts w:ascii="Narkisim" w:hAnsi="Narkisim"/>
        </w:rPr>
        <w:t xml:space="preserve">. </w:t>
      </w:r>
      <w:r w:rsidRPr="009F36E0">
        <w:rPr>
          <w:rFonts w:ascii="Narkisim" w:hAnsi="Narkisim"/>
          <w:rtl/>
        </w:rPr>
        <w:t xml:space="preserve">וכתב דתליא בספק הפרשת דרכים האם יש איסור אשת אח. וע"ע </w:t>
      </w:r>
      <w:r w:rsidRPr="009F36E0">
        <w:rPr>
          <w:rFonts w:ascii="Narkisim" w:hAnsi="Narkisim"/>
          <w:b/>
          <w:bCs/>
          <w:rtl/>
        </w:rPr>
        <w:t>חי' ר' שמעון</w:t>
      </w:r>
      <w:r w:rsidRPr="009F36E0">
        <w:rPr>
          <w:rFonts w:ascii="Narkisim" w:hAnsi="Narkisim"/>
          <w:rtl/>
        </w:rPr>
        <w:t xml:space="preserve"> (ב), ברכ"ש (ד). [וה</w:t>
      </w:r>
      <w:r w:rsidRPr="009F36E0">
        <w:rPr>
          <w:rFonts w:ascii="Narkisim" w:hAnsi="Narkisim"/>
          <w:b/>
          <w:bCs/>
          <w:rtl/>
        </w:rPr>
        <w:t>קובה"ע</w:t>
      </w:r>
      <w:r w:rsidRPr="009F36E0">
        <w:rPr>
          <w:rFonts w:ascii="Narkisim" w:hAnsi="Narkisim"/>
          <w:rtl/>
        </w:rPr>
        <w:t xml:space="preserve"> (ה יג) פשיט"ל דל"ש נאסרה היכא דצריכה חליצה</w:t>
      </w:r>
      <w:r w:rsidRPr="009F36E0">
        <w:rPr>
          <w:rStyle w:val="ac"/>
          <w:rFonts w:ascii="Narkisim" w:hAnsi="Narkisim"/>
          <w:rtl/>
        </w:rPr>
        <w:footnoteReference w:id="1209"/>
      </w:r>
      <w:r w:rsidRPr="009F36E0">
        <w:rPr>
          <w:rFonts w:ascii="Narkisim" w:hAnsi="Narkisim"/>
          <w:rtl/>
        </w:rPr>
        <w:t>]</w:t>
      </w:r>
      <w:r w:rsidRPr="009F36E0">
        <w:rPr>
          <w:rFonts w:ascii="Narkisim" w:hAnsi="Narkisim"/>
        </w:rPr>
        <w:t>.</w:t>
      </w:r>
    </w:p>
    <w:p w14:paraId="5938AD99" w14:textId="77777777" w:rsidR="006074A5" w:rsidRPr="009F36E0" w:rsidRDefault="006074A5" w:rsidP="006074A5">
      <w:pPr>
        <w:bidi/>
        <w:rPr>
          <w:rFonts w:ascii="Narkisim" w:hAnsi="Narkisim" w:cs="Narkisim"/>
        </w:rPr>
      </w:pPr>
      <w:r w:rsidRPr="009F36E0">
        <w:rPr>
          <w:rFonts w:ascii="Narkisim" w:hAnsi="Narkisim" w:cs="Narkisim"/>
          <w:u w:val="single"/>
          <w:rtl/>
        </w:rPr>
        <w:t>רש"י ד"ה תפסי.</w:t>
      </w:r>
      <w:r w:rsidRPr="009F36E0">
        <w:rPr>
          <w:rFonts w:ascii="Narkisim" w:hAnsi="Narkisim" w:cs="Narkisim"/>
          <w:rtl/>
        </w:rPr>
        <w:t xml:space="preserve"> לקחת בדיעבד. וה</w:t>
      </w:r>
      <w:r w:rsidRPr="009F36E0">
        <w:rPr>
          <w:rFonts w:ascii="Narkisim" w:hAnsi="Narkisim" w:cs="Narkisim"/>
          <w:b/>
          <w:bCs/>
          <w:rtl/>
        </w:rPr>
        <w:t>רמב"ן</w:t>
      </w:r>
      <w:r w:rsidRPr="009F36E0">
        <w:rPr>
          <w:rFonts w:ascii="Narkisim" w:hAnsi="Narkisim" w:cs="Narkisim"/>
          <w:rtl/>
        </w:rPr>
        <w:t xml:space="preserve"> הק' דאף בדיעבד, אם בעלו ל"ק</w:t>
      </w:r>
      <w:r w:rsidRPr="009F36E0">
        <w:rPr>
          <w:rFonts w:ascii="Narkisim" w:hAnsi="Narkisim" w:cs="Narkisim"/>
          <w:sz w:val="20"/>
          <w:szCs w:val="20"/>
          <w:rtl/>
        </w:rPr>
        <w:t xml:space="preserve"> [וכדאי' בע”ב].</w:t>
      </w:r>
      <w:r w:rsidRPr="009F36E0">
        <w:rPr>
          <w:rFonts w:ascii="Narkisim" w:hAnsi="Narkisim" w:cs="Narkisim"/>
          <w:rtl/>
        </w:rPr>
        <w:t xml:space="preserve"> וה</w:t>
      </w:r>
      <w:r w:rsidRPr="009F36E0">
        <w:rPr>
          <w:rFonts w:ascii="Narkisim" w:hAnsi="Narkisim" w:cs="Narkisim"/>
          <w:b/>
          <w:bCs/>
          <w:rtl/>
        </w:rPr>
        <w:t>רשב"א</w:t>
      </w:r>
      <w:r w:rsidRPr="009F36E0">
        <w:rPr>
          <w:rFonts w:ascii="Narkisim" w:hAnsi="Narkisim" w:cs="Narkisim"/>
          <w:rtl/>
        </w:rPr>
        <w:t xml:space="preserve"> ו</w:t>
      </w:r>
      <w:r w:rsidRPr="009F36E0">
        <w:rPr>
          <w:rFonts w:ascii="Narkisim" w:hAnsi="Narkisim" w:cs="Narkisim"/>
          <w:b/>
          <w:bCs/>
          <w:rtl/>
        </w:rPr>
        <w:t>ריטב"א</w:t>
      </w:r>
      <w:r w:rsidRPr="009F36E0">
        <w:rPr>
          <w:rFonts w:ascii="Narkisim" w:hAnsi="Narkisim" w:cs="Narkisim"/>
          <w:rtl/>
        </w:rPr>
        <w:t xml:space="preserve"> פי' דכוונת רש"י דבעלמא שייך ליקוחין </w:t>
      </w:r>
      <w:r w:rsidRPr="009F36E0">
        <w:rPr>
          <w:rFonts w:ascii="Narkisim" w:hAnsi="Narkisim" w:cs="Narkisim"/>
          <w:sz w:val="20"/>
          <w:szCs w:val="20"/>
          <w:rtl/>
        </w:rPr>
        <w:t>[והמיעוט ועלתה וכו' לקחת תליא במי שבעלמא בת יבום]</w:t>
      </w:r>
      <w:r w:rsidRPr="009F36E0">
        <w:rPr>
          <w:rFonts w:ascii="Narkisim" w:hAnsi="Narkisim" w:cs="Narkisim"/>
        </w:rPr>
        <w:t>.</w:t>
      </w:r>
    </w:p>
    <w:p w14:paraId="6E68B878"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 xml:space="preserve">מאירי </w:t>
      </w:r>
      <w:r w:rsidRPr="009F36E0">
        <w:rPr>
          <w:rFonts w:ascii="Narkisim" w:hAnsi="Narkisim"/>
          <w:rtl/>
        </w:rPr>
        <w:t>כת' דלא קנה בתורת יבום, אבל אם בא עליה בתורת קידושין וברצונה צריכה גט. שהרי קידושין תופסים כחייבי לאוין</w:t>
      </w:r>
      <w:r w:rsidRPr="009F36E0">
        <w:rPr>
          <w:rStyle w:val="ac"/>
          <w:rFonts w:ascii="Narkisim" w:hAnsi="Narkisim"/>
          <w:rtl/>
        </w:rPr>
        <w:footnoteReference w:id="1210"/>
      </w:r>
      <w:r w:rsidRPr="009F36E0">
        <w:rPr>
          <w:rFonts w:ascii="Narkisim" w:hAnsi="Narkisim"/>
        </w:rPr>
        <w:t>.</w:t>
      </w:r>
      <w:r w:rsidRPr="009F36E0">
        <w:rPr>
          <w:rStyle w:val="ac"/>
          <w:rFonts w:ascii="Narkisim" w:hAnsi="Narkisim"/>
        </w:rPr>
        <w:footnoteReference w:id="1211"/>
      </w:r>
      <w:r w:rsidRPr="009F36E0">
        <w:rPr>
          <w:rFonts w:ascii="Narkisim" w:hAnsi="Narkisim"/>
        </w:rPr>
        <w:t xml:space="preserve"> </w:t>
      </w:r>
      <w:r w:rsidRPr="009F36E0">
        <w:rPr>
          <w:rFonts w:ascii="Narkisim" w:hAnsi="Narkisim"/>
          <w:rtl/>
        </w:rPr>
        <w:t>[וב</w:t>
      </w:r>
      <w:r w:rsidRPr="009F36E0">
        <w:rPr>
          <w:rFonts w:ascii="Narkisim" w:hAnsi="Narkisim"/>
          <w:b/>
          <w:bCs/>
          <w:rtl/>
        </w:rPr>
        <w:t>חי' ר"א מן ההר</w:t>
      </w:r>
      <w:r w:rsidRPr="009F36E0">
        <w:rPr>
          <w:rFonts w:ascii="Narkisim" w:hAnsi="Narkisim"/>
          <w:rtl/>
        </w:rPr>
        <w:t xml:space="preserve"> כת' דצריך גט וחליצה].</w:t>
      </w:r>
      <w:r w:rsidRPr="009F36E0">
        <w:rPr>
          <w:rFonts w:ascii="Narkisim" w:hAnsi="Narkisim"/>
          <w:sz w:val="20"/>
          <w:szCs w:val="20"/>
          <w:rtl/>
        </w:rPr>
        <w:t xml:space="preserve"> וכעי"ז כתב ה</w:t>
      </w:r>
      <w:r w:rsidRPr="009F36E0">
        <w:rPr>
          <w:rFonts w:ascii="Narkisim" w:hAnsi="Narkisim"/>
          <w:b/>
          <w:bCs/>
          <w:sz w:val="20"/>
          <w:szCs w:val="20"/>
          <w:rtl/>
        </w:rPr>
        <w:t>מהרש"א</w:t>
      </w:r>
      <w:r w:rsidRPr="009F36E0">
        <w:rPr>
          <w:rFonts w:ascii="Narkisim" w:hAnsi="Narkisim"/>
          <w:sz w:val="20"/>
          <w:szCs w:val="20"/>
          <w:rtl/>
        </w:rPr>
        <w:t xml:space="preserve"> (סוף הע"ב) דאף דאם בעלו ל"ק, מהני בתורת קידושין</w:t>
      </w:r>
      <w:r w:rsidRPr="009F36E0">
        <w:rPr>
          <w:rStyle w:val="ac"/>
          <w:rFonts w:ascii="Narkisim" w:hAnsi="Narkisim"/>
          <w:sz w:val="20"/>
          <w:szCs w:val="20"/>
          <w:rtl/>
        </w:rPr>
        <w:footnoteReference w:id="1212"/>
      </w:r>
      <w:r w:rsidRPr="009F36E0">
        <w:rPr>
          <w:rFonts w:ascii="Narkisim" w:hAnsi="Narkisim"/>
          <w:sz w:val="20"/>
          <w:szCs w:val="20"/>
        </w:rPr>
        <w:t xml:space="preserve">. </w:t>
      </w:r>
      <w:r w:rsidRPr="009F36E0">
        <w:rPr>
          <w:rFonts w:ascii="Narkisim" w:hAnsi="Narkisim"/>
          <w:sz w:val="20"/>
          <w:szCs w:val="20"/>
          <w:rtl/>
        </w:rPr>
        <w:t>וכ"מ ב</w:t>
      </w:r>
      <w:r w:rsidRPr="009F36E0">
        <w:rPr>
          <w:rFonts w:ascii="Narkisim" w:hAnsi="Narkisim"/>
          <w:b/>
          <w:bCs/>
          <w:sz w:val="20"/>
          <w:szCs w:val="20"/>
          <w:rtl/>
        </w:rPr>
        <w:t>רמב"ם</w:t>
      </w:r>
      <w:r w:rsidRPr="009F36E0">
        <w:rPr>
          <w:rFonts w:ascii="Narkisim" w:hAnsi="Narkisim"/>
          <w:sz w:val="20"/>
          <w:szCs w:val="20"/>
          <w:rtl/>
        </w:rPr>
        <w:t xml:space="preserve"> (הובא בע"ב). ופי' דקושיית הגמ' מהברייתא דאם בעלו ל"ק היינו כלפי הצרה [ודלא כרש”י סוף הע"ב]</w:t>
      </w:r>
      <w:r w:rsidRPr="009F36E0">
        <w:rPr>
          <w:rStyle w:val="ac"/>
          <w:rFonts w:ascii="Narkisim" w:hAnsi="Narkisim"/>
          <w:sz w:val="20"/>
          <w:szCs w:val="20"/>
          <w:rtl/>
        </w:rPr>
        <w:footnoteReference w:id="1213"/>
      </w:r>
      <w:r w:rsidRPr="009F36E0">
        <w:rPr>
          <w:rFonts w:ascii="Narkisim" w:hAnsi="Narkisim"/>
          <w:sz w:val="20"/>
          <w:szCs w:val="20"/>
        </w:rPr>
        <w:t>.</w:t>
      </w:r>
    </w:p>
    <w:p w14:paraId="4279D765" w14:textId="77777777" w:rsidR="006074A5" w:rsidRPr="009F36E0" w:rsidRDefault="006074A5" w:rsidP="006074A5">
      <w:pPr>
        <w:pStyle w:val="a7"/>
        <w:bidi/>
        <w:rPr>
          <w:rFonts w:ascii="Narkisim" w:hAnsi="Narkisim"/>
        </w:rPr>
      </w:pPr>
      <w:r w:rsidRPr="009F36E0">
        <w:rPr>
          <w:rFonts w:ascii="Narkisim" w:hAnsi="Narkisim"/>
          <w:rtl/>
        </w:rPr>
        <w:t>אך ה</w:t>
      </w:r>
      <w:r w:rsidRPr="009F36E0">
        <w:rPr>
          <w:rFonts w:ascii="Narkisim" w:hAnsi="Narkisim"/>
          <w:b/>
          <w:bCs/>
          <w:rtl/>
        </w:rPr>
        <w:t>אחרונים</w:t>
      </w:r>
      <w:r w:rsidRPr="009F36E0">
        <w:rPr>
          <w:rFonts w:ascii="Narkisim" w:hAnsi="Narkisim"/>
          <w:rtl/>
        </w:rPr>
        <w:t xml:space="preserve"> (ע' אבנ"מ קעד) הביאו דברי </w:t>
      </w:r>
      <w:r w:rsidRPr="009F36E0">
        <w:rPr>
          <w:rFonts w:ascii="Narkisim" w:hAnsi="Narkisim"/>
          <w:b/>
          <w:bCs/>
          <w:rtl/>
        </w:rPr>
        <w:t xml:space="preserve">רש"י </w:t>
      </w:r>
      <w:r w:rsidRPr="009F36E0">
        <w:rPr>
          <w:rFonts w:ascii="Narkisim" w:hAnsi="Narkisim"/>
          <w:rtl/>
        </w:rPr>
        <w:t xml:space="preserve">(לקמן נב.) דלא מהני קידושין ביבמה משום איסור אשת אח, והתורה לא התירה אלא כסדר המצוה. ורק מאמר מהני מדאורייתא. </w:t>
      </w:r>
      <w:r w:rsidRPr="009F36E0">
        <w:rPr>
          <w:rFonts w:ascii="Narkisim" w:hAnsi="Narkisim"/>
          <w:sz w:val="20"/>
          <w:szCs w:val="20"/>
          <w:rtl/>
        </w:rPr>
        <w:t>[וה</w:t>
      </w:r>
      <w:r w:rsidRPr="009F36E0">
        <w:rPr>
          <w:rFonts w:ascii="Narkisim" w:hAnsi="Narkisim"/>
          <w:b/>
          <w:bCs/>
          <w:sz w:val="20"/>
          <w:szCs w:val="20"/>
          <w:rtl/>
        </w:rPr>
        <w:t>שעה"מ</w:t>
      </w:r>
      <w:r w:rsidRPr="009F36E0">
        <w:rPr>
          <w:rFonts w:ascii="Narkisim" w:hAnsi="Narkisim"/>
          <w:sz w:val="20"/>
          <w:szCs w:val="20"/>
          <w:rtl/>
        </w:rPr>
        <w:t xml:space="preserve"> כתב דמטעם זה ה</w:t>
      </w:r>
      <w:r w:rsidRPr="009F36E0">
        <w:rPr>
          <w:rFonts w:ascii="Narkisim" w:hAnsi="Narkisim"/>
          <w:b/>
          <w:bCs/>
          <w:sz w:val="20"/>
          <w:szCs w:val="20"/>
          <w:rtl/>
        </w:rPr>
        <w:t>רשב"א</w:t>
      </w:r>
      <w:r w:rsidRPr="009F36E0">
        <w:rPr>
          <w:rFonts w:ascii="Narkisim" w:hAnsi="Narkisim"/>
          <w:sz w:val="20"/>
          <w:szCs w:val="20"/>
          <w:rtl/>
        </w:rPr>
        <w:t xml:space="preserve"> ו</w:t>
      </w:r>
      <w:r w:rsidRPr="009F36E0">
        <w:rPr>
          <w:rFonts w:ascii="Narkisim" w:hAnsi="Narkisim"/>
          <w:b/>
          <w:bCs/>
          <w:sz w:val="20"/>
          <w:szCs w:val="20"/>
          <w:rtl/>
        </w:rPr>
        <w:t>ריטב"א</w:t>
      </w:r>
      <w:r w:rsidRPr="009F36E0">
        <w:rPr>
          <w:rStyle w:val="ac"/>
          <w:rFonts w:ascii="Narkisim" w:hAnsi="Narkisim"/>
          <w:sz w:val="20"/>
          <w:szCs w:val="20"/>
          <w:rtl/>
        </w:rPr>
        <w:footnoteReference w:id="1214"/>
      </w:r>
      <w:r w:rsidRPr="009F36E0">
        <w:rPr>
          <w:rFonts w:ascii="Narkisim" w:hAnsi="Narkisim"/>
          <w:sz w:val="20"/>
          <w:szCs w:val="20"/>
        </w:rPr>
        <w:t xml:space="preserve"> </w:t>
      </w:r>
      <w:r w:rsidRPr="009F36E0">
        <w:rPr>
          <w:rFonts w:ascii="Narkisim" w:hAnsi="Narkisim"/>
          <w:sz w:val="20"/>
          <w:szCs w:val="20"/>
          <w:rtl/>
        </w:rPr>
        <w:t>לא פירשו כן]</w:t>
      </w:r>
      <w:r w:rsidRPr="009F36E0">
        <w:rPr>
          <w:rFonts w:ascii="Narkisim" w:hAnsi="Narkisim"/>
          <w:sz w:val="20"/>
          <w:szCs w:val="20"/>
        </w:rPr>
        <w:t>.</w:t>
      </w:r>
    </w:p>
    <w:p w14:paraId="574904A6"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(ח יט) ביאר דעת המ"ד דמהני קידושין, ע"פ דעת ה</w:t>
      </w:r>
      <w:r w:rsidRPr="009F36E0">
        <w:rPr>
          <w:rFonts w:ascii="Narkisim" w:hAnsi="Narkisim"/>
          <w:b/>
          <w:bCs/>
          <w:rtl/>
        </w:rPr>
        <w:t>רשב”א</w:t>
      </w:r>
      <w:r w:rsidRPr="009F36E0">
        <w:rPr>
          <w:rFonts w:ascii="Narkisim" w:hAnsi="Narkisim"/>
          <w:rtl/>
        </w:rPr>
        <w:t xml:space="preserve"> (מא.) דבנפילה ליבום האיסור אשת אח הותר לגמרי, אלא דגילתה התורה (קידושין יד.) דאין כסף ושטר גומרים בה [כיון שעומדת ליבום]. אבל הכא דאין ביאה גומרת בה, הדר מהני כדין קידושין דעלמא</w:t>
      </w:r>
      <w:r w:rsidRPr="009F36E0">
        <w:rPr>
          <w:rStyle w:val="ac"/>
          <w:rFonts w:ascii="Narkisim" w:hAnsi="Narkisim"/>
          <w:rtl/>
        </w:rPr>
        <w:footnoteReference w:id="1215"/>
      </w:r>
      <w:r w:rsidRPr="009F36E0">
        <w:rPr>
          <w:rFonts w:ascii="Narkisim" w:hAnsi="Narkisim"/>
        </w:rPr>
        <w:t>.</w:t>
      </w:r>
    </w:p>
    <w:p w14:paraId="27442EAC" w14:textId="77777777" w:rsidR="006074A5" w:rsidRPr="009F36E0" w:rsidRDefault="006074A5" w:rsidP="006074A5">
      <w:pPr>
        <w:pStyle w:val="aa"/>
        <w:bidi/>
        <w:rPr>
          <w:rFonts w:ascii="Narkisim" w:hAnsi="Narkisim"/>
        </w:rPr>
      </w:pPr>
      <w:r w:rsidRPr="009F36E0">
        <w:rPr>
          <w:rFonts w:ascii="Narkisim" w:hAnsi="Narkisim"/>
          <w:rtl/>
        </w:rPr>
        <w:t>אבל ב</w:t>
      </w:r>
      <w:r w:rsidRPr="009F36E0">
        <w:rPr>
          <w:rFonts w:ascii="Narkisim" w:hAnsi="Narkisim"/>
          <w:b/>
          <w:bCs/>
          <w:rtl/>
        </w:rPr>
        <w:t>חי' ר' שמעון</w:t>
      </w:r>
      <w:r w:rsidRPr="009F36E0">
        <w:rPr>
          <w:rFonts w:ascii="Narkisim" w:hAnsi="Narkisim"/>
          <w:rtl/>
        </w:rPr>
        <w:t xml:space="preserve"> (כא.) כתב דסברת רש"י דקנה בתורת יבום. ואף דליכא מצוות יבום [במקום לאו ועשה], מ"מ יש קנין ביבמה</w:t>
      </w:r>
      <w:r w:rsidRPr="009F36E0">
        <w:rPr>
          <w:rStyle w:val="ac"/>
          <w:rFonts w:ascii="Narkisim" w:hAnsi="Narkisim"/>
          <w:rtl/>
        </w:rPr>
        <w:footnoteReference w:id="1216"/>
      </w:r>
      <w:r w:rsidRPr="009F36E0">
        <w:rPr>
          <w:rFonts w:ascii="Narkisim" w:hAnsi="Narkisim"/>
        </w:rPr>
        <w:t>.</w:t>
      </w:r>
    </w:p>
    <w:p w14:paraId="7DBF3234" w14:textId="77777777" w:rsidR="006074A5" w:rsidRPr="009F36E0" w:rsidRDefault="006074A5" w:rsidP="006074A5">
      <w:pPr>
        <w:pStyle w:val="3"/>
        <w:bidi/>
        <w:rPr>
          <w:rFonts w:ascii="Narkisim" w:hAnsi="Narkisim"/>
        </w:rPr>
      </w:pPr>
      <w:r w:rsidRPr="009F36E0">
        <w:rPr>
          <w:rFonts w:ascii="Narkisim" w:hAnsi="Narkisim"/>
          <w:rtl/>
        </w:rPr>
        <w:lastRenderedPageBreak/>
        <w:t>דף כ</w:t>
      </w:r>
      <w:r w:rsidRPr="009F36E0">
        <w:rPr>
          <w:rFonts w:ascii="Narkisim" w:hAnsi="Narkisim"/>
        </w:rPr>
        <w:t>:</w:t>
      </w:r>
    </w:p>
    <w:p w14:paraId="2AF5FE29" w14:textId="77777777" w:rsidR="006074A5" w:rsidRPr="009F36E0" w:rsidRDefault="006074A5" w:rsidP="006074A5">
      <w:pPr>
        <w:pStyle w:val="2"/>
        <w:bidi/>
        <w:rPr>
          <w:rFonts w:ascii="Narkisim" w:hAnsi="Narkisim"/>
          <w:sz w:val="21"/>
        </w:rPr>
      </w:pPr>
      <w:r w:rsidRPr="009F36E0">
        <w:rPr>
          <w:rFonts w:ascii="Narkisim" w:hAnsi="Narkisim"/>
          <w:sz w:val="21"/>
          <w:rtl/>
        </w:rPr>
        <w:t>אם בעלו לא קנו</w:t>
      </w:r>
    </w:p>
    <w:p w14:paraId="3A243BBE" w14:textId="77777777" w:rsidR="006074A5" w:rsidRPr="009F36E0" w:rsidRDefault="006074A5" w:rsidP="006074A5">
      <w:pPr>
        <w:bidi/>
        <w:rPr>
          <w:rFonts w:ascii="Narkisim" w:hAnsi="Narkisim" w:cs="Narkisim"/>
        </w:rPr>
      </w:pPr>
      <w:r w:rsidRPr="009F36E0">
        <w:rPr>
          <w:rFonts w:ascii="Narkisim" w:hAnsi="Narkisim" w:cs="Narkisim"/>
          <w:u w:val="single"/>
          <w:rtl/>
        </w:rPr>
        <w:t>מתיב רבא וכו' ואי ס"ד מדאורייתא ליבום לא רמיא אמאי נפטרה צרתה</w:t>
      </w:r>
      <w:r w:rsidRPr="009F36E0">
        <w:rPr>
          <w:rFonts w:ascii="Narkisim" w:hAnsi="Narkisim" w:cs="Narkisim"/>
          <w:rtl/>
        </w:rPr>
        <w:t>. וכן מבואר (בסמוך) דבחייבי לאו ועשה [וכן למ"ד דלא דחי לל"ת משום דאפשר בחליצה], כיון דמדאורייתא לא רמיא אינו פוטר. ואם בעלו ל"ק</w:t>
      </w:r>
      <w:r w:rsidRPr="009F36E0">
        <w:rPr>
          <w:rFonts w:ascii="Narkisim" w:hAnsi="Narkisim" w:cs="Narkisim"/>
        </w:rPr>
        <w:t>.</w:t>
      </w:r>
    </w:p>
    <w:p w14:paraId="1B14C17E"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 xml:space="preserve">אחרונים </w:t>
      </w:r>
      <w:r w:rsidRPr="009F36E0">
        <w:rPr>
          <w:rFonts w:ascii="Narkisim" w:hAnsi="Narkisim"/>
          <w:rtl/>
        </w:rPr>
        <w:t>דנו מהיכן פשיט"ל לגמ', דלכאו' י"ל דנהי דאסורה להתייבם ועברה איסור, מ"מ יקנה בדיעבד</w:t>
      </w:r>
      <w:r w:rsidRPr="009F36E0">
        <w:rPr>
          <w:rFonts w:ascii="Narkisim" w:hAnsi="Narkisim"/>
        </w:rPr>
        <w:t>.</w:t>
      </w:r>
    </w:p>
    <w:p w14:paraId="064FAD9C"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כת' דע"פ דברי רב גידל א"ש דכיון דיש מיעוט דאינה עולה ליבום, א"כ לא נאמר כלל זיקה ומצוות יבום. אך אף במסקנא [דלא דרשי' כדרב גידל], אפ"ה כיון דעשה לא דחי לל"ת ועשה, אמרי' דאינה פוטרת צרתה, דאם בעלו לא קנו</w:t>
      </w:r>
      <w:r w:rsidRPr="009F36E0">
        <w:rPr>
          <w:rFonts w:ascii="Narkisim" w:hAnsi="Narkisim"/>
        </w:rPr>
        <w:t>.</w:t>
      </w:r>
    </w:p>
    <w:p w14:paraId="39C3DAF1" w14:textId="77777777" w:rsidR="006074A5" w:rsidRPr="009F36E0" w:rsidRDefault="006074A5" w:rsidP="006074A5">
      <w:pPr>
        <w:pStyle w:val="a7"/>
        <w:bidi/>
        <w:rPr>
          <w:rFonts w:ascii="Narkisim" w:hAnsi="Narkisim"/>
        </w:rPr>
      </w:pP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w:t>
      </w:r>
      <w:r w:rsidRPr="009F36E0">
        <w:rPr>
          <w:rFonts w:ascii="Narkisim" w:hAnsi="Narkisim"/>
          <w:sz w:val="20"/>
          <w:szCs w:val="20"/>
          <w:rtl/>
        </w:rPr>
        <w:t>(נוב"י ח"א בחתימת הספר)</w:t>
      </w:r>
      <w:r w:rsidRPr="009F36E0">
        <w:rPr>
          <w:rFonts w:ascii="Narkisim" w:hAnsi="Narkisim"/>
          <w:rtl/>
        </w:rPr>
        <w:t xml:space="preserve"> שכתבו דאף למסקנא ילפי' מקרא ד'ועלתה' דחולצת [וכמ"ש </w:t>
      </w:r>
      <w:r w:rsidRPr="009F36E0">
        <w:rPr>
          <w:rFonts w:ascii="Narkisim" w:hAnsi="Narkisim"/>
          <w:b/>
          <w:bCs/>
          <w:rtl/>
        </w:rPr>
        <w:t>תוס</w:t>
      </w:r>
      <w:r w:rsidRPr="009F36E0">
        <w:rPr>
          <w:rFonts w:ascii="Narkisim" w:hAnsi="Narkisim"/>
          <w:rtl/>
        </w:rPr>
        <w:t>' ד"ה גזירה], וממילא נשמע דאינה מתייבמת כלל. ולכן אם בעלו ל"ק.</w:t>
      </w:r>
      <w:r w:rsidRPr="009F36E0">
        <w:rPr>
          <w:rFonts w:ascii="Narkisim" w:hAnsi="Narkisim"/>
          <w:szCs w:val="20"/>
          <w:rtl/>
        </w:rPr>
        <w:t xml:space="preserve"> אך תלי בדברי הראשונים אי דרשי' 'ועלתה' למסקנא</w:t>
      </w:r>
      <w:r w:rsidRPr="009F36E0">
        <w:rPr>
          <w:rFonts w:ascii="Narkisim" w:hAnsi="Narkisim"/>
        </w:rPr>
        <w:t>.</w:t>
      </w:r>
    </w:p>
    <w:p w14:paraId="29B31BE8"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שעה"מ</w:t>
      </w:r>
      <w:r w:rsidRPr="009F36E0">
        <w:rPr>
          <w:rFonts w:ascii="Narkisim" w:hAnsi="Narkisim"/>
          <w:rtl/>
        </w:rPr>
        <w:t xml:space="preserve"> (שם) הוכיח דחייבי עשה יש איסור אשת אח. דאל"כ אמאי אם בעלו ל"ק. ומבואר דמחמת האיסור נפקע דין יבום לגמרי, ומש"ה ליכא היתר אשת אח</w:t>
      </w:r>
      <w:r w:rsidRPr="009F36E0">
        <w:rPr>
          <w:rStyle w:val="ac"/>
          <w:rFonts w:ascii="Narkisim" w:hAnsi="Narkisim"/>
          <w:rtl/>
        </w:rPr>
        <w:footnoteReference w:id="1217"/>
      </w:r>
      <w:r w:rsidRPr="009F36E0">
        <w:rPr>
          <w:rFonts w:ascii="Narkisim" w:hAnsi="Narkisim"/>
        </w:rPr>
        <w:t xml:space="preserve">. </w:t>
      </w:r>
      <w:r w:rsidRPr="009F36E0">
        <w:rPr>
          <w:rFonts w:ascii="Narkisim" w:hAnsi="Narkisim"/>
          <w:rtl/>
        </w:rPr>
        <w:t>ומש"ה אם בעלו ל"ק</w:t>
      </w:r>
      <w:r w:rsidRPr="009F36E0">
        <w:rPr>
          <w:rFonts w:ascii="Narkisim" w:hAnsi="Narkisim"/>
        </w:rPr>
        <w:t>.</w:t>
      </w:r>
    </w:p>
    <w:p w14:paraId="57424A47" w14:textId="77777777" w:rsidR="006074A5" w:rsidRPr="009F36E0" w:rsidRDefault="006074A5" w:rsidP="006074A5">
      <w:pPr>
        <w:pStyle w:val="a7"/>
        <w:bidi/>
        <w:rPr>
          <w:rFonts w:ascii="Narkisim" w:hAnsi="Narkisim"/>
        </w:rPr>
      </w:pP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שדנו הטעם משום דהוה מצווה הבאה בעבירה, ומש"ה אינו מקיים את המצווה</w:t>
      </w:r>
      <w:r w:rsidRPr="009F36E0">
        <w:rPr>
          <w:rStyle w:val="ac"/>
          <w:rFonts w:ascii="Narkisim" w:hAnsi="Narkisim"/>
          <w:rtl/>
        </w:rPr>
        <w:footnoteReference w:id="1218"/>
      </w:r>
      <w:r w:rsidRPr="009F36E0">
        <w:rPr>
          <w:rFonts w:ascii="Narkisim" w:hAnsi="Narkisim"/>
        </w:rPr>
        <w:t xml:space="preserve">. </w:t>
      </w:r>
      <w:r w:rsidRPr="009F36E0">
        <w:rPr>
          <w:rFonts w:ascii="Narkisim" w:hAnsi="Narkisim"/>
          <w:rtl/>
        </w:rPr>
        <w:t>ועוד יש שדנו משום אי עבד לא מהני</w:t>
      </w:r>
      <w:r w:rsidRPr="009F36E0">
        <w:rPr>
          <w:rStyle w:val="ac"/>
          <w:rFonts w:ascii="Narkisim" w:hAnsi="Narkisim"/>
          <w:rtl/>
        </w:rPr>
        <w:footnoteReference w:id="1219"/>
      </w:r>
      <w:r w:rsidRPr="009F36E0">
        <w:rPr>
          <w:rFonts w:ascii="Narkisim" w:hAnsi="Narkisim"/>
        </w:rPr>
        <w:t>.</w:t>
      </w:r>
    </w:p>
    <w:p w14:paraId="25286C12" w14:textId="77777777" w:rsidR="006074A5" w:rsidRPr="009F36E0" w:rsidRDefault="006074A5" w:rsidP="006074A5">
      <w:pPr>
        <w:pStyle w:val="a8"/>
        <w:bidi/>
        <w:rPr>
          <w:rFonts w:ascii="Narkisim" w:hAnsi="Narkisim"/>
        </w:rPr>
      </w:pPr>
      <w:r w:rsidRPr="009F36E0">
        <w:rPr>
          <w:rFonts w:ascii="Narkisim" w:hAnsi="Narkisim"/>
          <w:rtl/>
        </w:rPr>
        <w:t>וב</w:t>
      </w:r>
      <w:r w:rsidRPr="009F36E0">
        <w:rPr>
          <w:rFonts w:ascii="Narkisim" w:hAnsi="Narkisim"/>
          <w:b/>
          <w:bCs/>
          <w:rtl/>
        </w:rPr>
        <w:t>חי' ר' שלמה</w:t>
      </w:r>
      <w:r w:rsidRPr="009F36E0">
        <w:rPr>
          <w:rFonts w:ascii="Narkisim" w:hAnsi="Narkisim"/>
          <w:rtl/>
        </w:rPr>
        <w:t xml:space="preserve"> (ב) כת' דשאני מצוות יבום, ומש"ה היכא דיבמה זו אסורה לא חל המצוה</w:t>
      </w:r>
      <w:r w:rsidRPr="009F36E0">
        <w:rPr>
          <w:rStyle w:val="ac"/>
          <w:rFonts w:ascii="Narkisim" w:hAnsi="Narkisim"/>
          <w:rtl/>
        </w:rPr>
        <w:footnoteReference w:id="1220"/>
      </w:r>
      <w:r w:rsidRPr="009F36E0">
        <w:rPr>
          <w:rFonts w:ascii="Narkisim" w:hAnsi="Narkisim"/>
        </w:rPr>
        <w:t xml:space="preserve">. </w:t>
      </w:r>
      <w:r w:rsidRPr="009F36E0">
        <w:rPr>
          <w:rFonts w:ascii="Narkisim" w:hAnsi="Narkisim"/>
          <w:rtl/>
        </w:rPr>
        <w:t>דכיון דמצוות יבום צווי התורה תלוי דוקא ביבמה הזו, כשיבמה זו אינה ראוי בטל המצוה לגמרי</w:t>
      </w:r>
      <w:r w:rsidRPr="009F36E0">
        <w:rPr>
          <w:rStyle w:val="ac"/>
          <w:rFonts w:ascii="Narkisim" w:hAnsi="Narkisim"/>
          <w:rtl/>
        </w:rPr>
        <w:footnoteReference w:id="1221"/>
      </w:r>
      <w:r w:rsidRPr="009F36E0">
        <w:rPr>
          <w:rFonts w:ascii="Narkisim" w:hAnsi="Narkisim"/>
        </w:rPr>
        <w:t xml:space="preserve">. </w:t>
      </w:r>
      <w:r w:rsidRPr="009F36E0">
        <w:rPr>
          <w:rFonts w:ascii="Narkisim" w:hAnsi="Narkisim"/>
          <w:rtl/>
        </w:rPr>
        <w:t>וה</w:t>
      </w:r>
      <w:r w:rsidRPr="009F36E0">
        <w:rPr>
          <w:rFonts w:ascii="Narkisim" w:hAnsi="Narkisim"/>
          <w:b/>
          <w:bCs/>
          <w:rtl/>
        </w:rPr>
        <w:t xml:space="preserve">גרי"ז </w:t>
      </w:r>
      <w:r w:rsidRPr="009F36E0">
        <w:rPr>
          <w:rFonts w:ascii="Narkisim" w:hAnsi="Narkisim"/>
          <w:rtl/>
        </w:rPr>
        <w:t>(בסוה"ס עמ' 164) ביאר דחייבי לאו ועשה נחשב שאיסורן סותר ליבום</w:t>
      </w:r>
      <w:r w:rsidRPr="009F36E0">
        <w:rPr>
          <w:rStyle w:val="ac"/>
          <w:rFonts w:ascii="Narkisim" w:hAnsi="Narkisim"/>
          <w:rtl/>
        </w:rPr>
        <w:footnoteReference w:id="1222"/>
      </w:r>
      <w:r w:rsidRPr="009F36E0">
        <w:rPr>
          <w:rFonts w:ascii="Narkisim" w:hAnsi="Narkisim"/>
        </w:rPr>
        <w:t>.</w:t>
      </w:r>
    </w:p>
    <w:p w14:paraId="1AC6C60F" w14:textId="77777777" w:rsidR="006074A5" w:rsidRPr="009F36E0" w:rsidRDefault="006074A5" w:rsidP="006074A5">
      <w:pPr>
        <w:pStyle w:val="a7"/>
        <w:bidi/>
        <w:rPr>
          <w:rFonts w:ascii="Narkisim" w:hAnsi="Narkisim"/>
        </w:rPr>
      </w:pPr>
      <w:r w:rsidRPr="009F36E0">
        <w:rPr>
          <w:rFonts w:ascii="Narkisim" w:hAnsi="Narkisim"/>
          <w:sz w:val="20"/>
          <w:szCs w:val="20"/>
          <w:rtl/>
        </w:rPr>
        <w:t>ועוד יש שהביאו דה</w:t>
      </w:r>
      <w:r w:rsidRPr="009F36E0">
        <w:rPr>
          <w:rFonts w:ascii="Narkisim" w:hAnsi="Narkisim"/>
          <w:b/>
          <w:bCs/>
          <w:sz w:val="20"/>
          <w:szCs w:val="20"/>
          <w:rtl/>
        </w:rPr>
        <w:t>תוס' רי"ד</w:t>
      </w:r>
      <w:r w:rsidRPr="009F36E0">
        <w:rPr>
          <w:rFonts w:ascii="Narkisim" w:hAnsi="Narkisim"/>
          <w:sz w:val="20"/>
          <w:szCs w:val="20"/>
          <w:rtl/>
        </w:rPr>
        <w:t xml:space="preserve"> (כתובות כט:) דרש גבי מצוות יבום דבעינן ראויה לאישות, דכתיב ולקחה לו לאישה ויבמה</w:t>
      </w:r>
      <w:r w:rsidRPr="009F36E0">
        <w:rPr>
          <w:rStyle w:val="ac"/>
          <w:rFonts w:ascii="Narkisim" w:hAnsi="Narkisim"/>
          <w:sz w:val="20"/>
          <w:szCs w:val="20"/>
          <w:rtl/>
        </w:rPr>
        <w:footnoteReference w:id="1223"/>
      </w:r>
      <w:r w:rsidRPr="009F36E0">
        <w:rPr>
          <w:rFonts w:ascii="Narkisim" w:hAnsi="Narkisim"/>
          <w:sz w:val="20"/>
          <w:szCs w:val="20"/>
        </w:rPr>
        <w:t>.</w:t>
      </w:r>
    </w:p>
    <w:p w14:paraId="56A8E6EB" w14:textId="77777777" w:rsidR="006074A5" w:rsidRPr="009F36E0" w:rsidRDefault="006074A5" w:rsidP="006074A5">
      <w:pPr>
        <w:pStyle w:val="aa"/>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xml:space="preserve"> (לעיל ב.) נסתפקו בנדה האם אמרי' אם בעלו לא קנו. [ודעת ה</w:t>
      </w:r>
      <w:r w:rsidRPr="009F36E0">
        <w:rPr>
          <w:rFonts w:ascii="Narkisim" w:hAnsi="Narkisim"/>
          <w:b/>
          <w:bCs/>
          <w:rtl/>
        </w:rPr>
        <w:t>רא"ש</w:t>
      </w:r>
      <w:r w:rsidRPr="009F36E0">
        <w:rPr>
          <w:rFonts w:ascii="Narkisim" w:hAnsi="Narkisim"/>
          <w:rtl/>
        </w:rPr>
        <w:t xml:space="preserve"> (א ב) דקנה]. וה</w:t>
      </w:r>
      <w:r w:rsidRPr="009F36E0">
        <w:rPr>
          <w:rFonts w:ascii="Narkisim" w:hAnsi="Narkisim"/>
          <w:b/>
          <w:bCs/>
          <w:rtl/>
        </w:rPr>
        <w:t>אחרונים</w:t>
      </w:r>
      <w:r w:rsidRPr="009F36E0">
        <w:rPr>
          <w:rFonts w:ascii="Narkisim" w:hAnsi="Narkisim"/>
          <w:rtl/>
        </w:rPr>
        <w:t xml:space="preserve"> (קובה"ע כ ח) הק' דאף התם נימא דהוה מצווה הבאה בעבירה. וע"כ כיון דשייך מצוות יבום באשה זו [כשתטהר</w:t>
      </w:r>
      <w:r w:rsidRPr="009F36E0">
        <w:rPr>
          <w:rStyle w:val="ac"/>
          <w:rFonts w:ascii="Narkisim" w:hAnsi="Narkisim"/>
          <w:rtl/>
        </w:rPr>
        <w:footnoteReference w:id="1224"/>
      </w:r>
      <w:r w:rsidRPr="009F36E0">
        <w:rPr>
          <w:rFonts w:ascii="Narkisim" w:hAnsi="Narkisim"/>
          <w:rtl/>
        </w:rPr>
        <w:t>] אמרי' דנופלת ליבום, ואף כשעובר איסור קנאה</w:t>
      </w:r>
      <w:r w:rsidRPr="009F36E0">
        <w:rPr>
          <w:rFonts w:ascii="Narkisim" w:hAnsi="Narkisim"/>
        </w:rPr>
        <w:t>.</w:t>
      </w:r>
    </w:p>
    <w:p w14:paraId="28AFAB6D" w14:textId="77777777" w:rsidR="006074A5" w:rsidRPr="009F36E0" w:rsidRDefault="006074A5" w:rsidP="006074A5">
      <w:pPr>
        <w:pStyle w:val="a8"/>
        <w:bidi/>
        <w:rPr>
          <w:rFonts w:ascii="Narkisim" w:hAnsi="Narkisim"/>
        </w:rPr>
      </w:pPr>
      <w:r w:rsidRPr="009F36E0">
        <w:rPr>
          <w:rFonts w:ascii="Narkisim" w:hAnsi="Narkisim"/>
          <w:rtl/>
        </w:rPr>
        <w:t>ומדברי התוס' משמע דשייכא (למש"כ שם) דנדה אסורה לכו"ע עד שתטהר, ומש"ה לא אמרי' נאסרה בשעת נפילה. וה</w:t>
      </w:r>
      <w:r w:rsidRPr="009F36E0">
        <w:rPr>
          <w:rFonts w:ascii="Narkisim" w:hAnsi="Narkisim"/>
          <w:b/>
          <w:bCs/>
          <w:rtl/>
        </w:rPr>
        <w:t>גרי"ז</w:t>
      </w:r>
      <w:r w:rsidRPr="009F36E0">
        <w:rPr>
          <w:rFonts w:ascii="Narkisim" w:hAnsi="Narkisim"/>
          <w:rtl/>
        </w:rPr>
        <w:t xml:space="preserve"> (שם) ביאר דתי' התוס' דנידה לא נחשב איסור בגוף האשה, ומש"ה אם בעלו קנו</w:t>
      </w:r>
      <w:r w:rsidRPr="009F36E0">
        <w:rPr>
          <w:rFonts w:ascii="Narkisim" w:hAnsi="Narkisim"/>
        </w:rPr>
        <w:t>.</w:t>
      </w:r>
    </w:p>
    <w:p w14:paraId="76503735" w14:textId="77777777" w:rsidR="006074A5" w:rsidRPr="009F36E0" w:rsidRDefault="006074A5" w:rsidP="006074A5">
      <w:pPr>
        <w:pStyle w:val="aa"/>
        <w:bidi/>
        <w:rPr>
          <w:rFonts w:ascii="Narkisim" w:hAnsi="Narkisim"/>
        </w:rPr>
      </w:pPr>
      <w:r w:rsidRPr="009F36E0">
        <w:rPr>
          <w:rFonts w:ascii="Narkisim" w:hAnsi="Narkisim"/>
          <w:u w:val="single"/>
          <w:rtl/>
        </w:rPr>
        <w:t>רש"י ד"ה סריס</w:t>
      </w:r>
      <w:r w:rsidRPr="009F36E0">
        <w:rPr>
          <w:rFonts w:ascii="Narkisim" w:hAnsi="Narkisim"/>
          <w:rtl/>
        </w:rPr>
        <w:t>. שסירסו אדם וכו' והוי בכלל לאו דפצ"ד. משמע דכל היכא דנסתרס ע"י אדם [ולא מאיליו ומחמת חולי] הוה בכלל פצוע דכא. ו</w:t>
      </w:r>
      <w:r w:rsidRPr="009F36E0">
        <w:rPr>
          <w:rFonts w:ascii="Narkisim" w:hAnsi="Narkisim"/>
          <w:b/>
          <w:bCs/>
          <w:rtl/>
        </w:rPr>
        <w:t>תוס'</w:t>
      </w:r>
      <w:r w:rsidRPr="009F36E0">
        <w:rPr>
          <w:rFonts w:ascii="Narkisim" w:hAnsi="Narkisim"/>
          <w:rtl/>
        </w:rPr>
        <w:t xml:space="preserve"> (סוטה כו.) תמהו מנלן דסריס אדם, כגון ששתה כוס עיקרין, הוה בכלל פצ"ד ואסור לקיימה</w:t>
      </w:r>
      <w:r w:rsidRPr="009F36E0">
        <w:rPr>
          <w:rStyle w:val="ac"/>
          <w:rFonts w:ascii="Narkisim" w:hAnsi="Narkisim"/>
          <w:rtl/>
        </w:rPr>
        <w:footnoteReference w:id="1225"/>
      </w:r>
      <w:r w:rsidRPr="009F36E0">
        <w:rPr>
          <w:rFonts w:ascii="Narkisim" w:hAnsi="Narkisim"/>
        </w:rPr>
        <w:t xml:space="preserve">. </w:t>
      </w:r>
      <w:r w:rsidRPr="009F36E0">
        <w:rPr>
          <w:rFonts w:ascii="Narkisim" w:hAnsi="Narkisim"/>
          <w:rtl/>
        </w:rPr>
        <w:t>ואף דתניא אסור לקיימן, הא אף זקן בכלל, וזקן ודאי מותר. [וכמ"ש רש"י בסמוך]</w:t>
      </w:r>
      <w:r w:rsidRPr="009F36E0">
        <w:rPr>
          <w:rFonts w:ascii="Narkisim" w:hAnsi="Narkisim"/>
        </w:rPr>
        <w:t>.</w:t>
      </w:r>
    </w:p>
    <w:p w14:paraId="7E62D872" w14:textId="77777777" w:rsidR="006074A5" w:rsidRPr="009F36E0" w:rsidRDefault="006074A5" w:rsidP="006074A5">
      <w:pPr>
        <w:pStyle w:val="aa"/>
        <w:bidi/>
        <w:rPr>
          <w:rFonts w:ascii="Narkisim" w:hAnsi="Narkisim"/>
        </w:rPr>
      </w:pPr>
      <w:r w:rsidRPr="009F36E0">
        <w:rPr>
          <w:rFonts w:ascii="Narkisim" w:hAnsi="Narkisim"/>
          <w:u w:val="single"/>
          <w:rtl/>
        </w:rPr>
        <w:t>או חולצין או מייבמין וכו'</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דלכתחילה אסור, משום לאו דפצוע דכא</w:t>
      </w:r>
      <w:r w:rsidRPr="009F36E0">
        <w:rPr>
          <w:rStyle w:val="ac"/>
          <w:rFonts w:ascii="Narkisim" w:hAnsi="Narkisim"/>
          <w:rtl/>
        </w:rPr>
        <w:footnoteReference w:id="1226"/>
      </w:r>
      <w:r w:rsidRPr="009F36E0">
        <w:rPr>
          <w:rFonts w:ascii="Narkisim" w:hAnsi="Narkisim"/>
        </w:rPr>
        <w:t xml:space="preserve"> </w:t>
      </w:r>
      <w:r w:rsidRPr="009F36E0">
        <w:rPr>
          <w:rFonts w:ascii="Narkisim" w:hAnsi="Narkisim"/>
          <w:rtl/>
        </w:rPr>
        <w:t xml:space="preserve">[וכשאר חייבי לאוין]. [אבל </w:t>
      </w:r>
      <w:r w:rsidRPr="009F36E0">
        <w:rPr>
          <w:rFonts w:ascii="Narkisim" w:hAnsi="Narkisim"/>
          <w:rtl/>
        </w:rPr>
        <w:lastRenderedPageBreak/>
        <w:t>זקן מייבם לכתחילה, וכנ"ל]. וכן הגיה ה</w:t>
      </w:r>
      <w:r w:rsidRPr="009F36E0">
        <w:rPr>
          <w:rFonts w:ascii="Narkisim" w:hAnsi="Narkisim"/>
          <w:b/>
          <w:bCs/>
          <w:rtl/>
        </w:rPr>
        <w:t>גר"א</w:t>
      </w:r>
      <w:r w:rsidRPr="009F36E0">
        <w:rPr>
          <w:rStyle w:val="ac"/>
          <w:rFonts w:ascii="Narkisim" w:hAnsi="Narkisim"/>
          <w:rtl/>
        </w:rPr>
        <w:footnoteReference w:id="1227"/>
      </w:r>
      <w:r w:rsidRPr="009F36E0">
        <w:rPr>
          <w:rFonts w:ascii="Narkisim" w:hAnsi="Narkisim"/>
        </w:rPr>
        <w:t>.</w:t>
      </w:r>
    </w:p>
    <w:p w14:paraId="311698B5" w14:textId="77777777" w:rsidR="006074A5" w:rsidRPr="009F36E0" w:rsidRDefault="006074A5" w:rsidP="006074A5">
      <w:pPr>
        <w:pStyle w:val="a8"/>
        <w:bidi/>
        <w:rPr>
          <w:rFonts w:ascii="Narkisim" w:hAnsi="Narkisim"/>
        </w:rPr>
      </w:pPr>
      <w:r w:rsidRPr="009F36E0">
        <w:rPr>
          <w:rFonts w:ascii="Narkisim" w:hAnsi="Narkisim"/>
          <w:rtl/>
        </w:rPr>
        <w:t>וב</w:t>
      </w:r>
      <w:r w:rsidRPr="009F36E0">
        <w:rPr>
          <w:rFonts w:ascii="Narkisim" w:hAnsi="Narkisim"/>
          <w:b/>
          <w:bCs/>
          <w:rtl/>
        </w:rPr>
        <w:t>חי' ר"א מן ההר</w:t>
      </w:r>
      <w:r w:rsidRPr="009F36E0">
        <w:rPr>
          <w:rFonts w:ascii="Narkisim" w:hAnsi="Narkisim"/>
          <w:rtl/>
        </w:rPr>
        <w:t xml:space="preserve"> (לקמן עט:) כתב דלכתחילה כיון דלאו בר אולודי אין לו לייבם אלא לחלוץ, ומיהו מכי יבם ליכא איסורא [לקיימה]</w:t>
      </w:r>
      <w:r w:rsidRPr="009F36E0">
        <w:rPr>
          <w:rStyle w:val="ac"/>
          <w:rFonts w:ascii="Narkisim" w:hAnsi="Narkisim"/>
          <w:rtl/>
        </w:rPr>
        <w:footnoteReference w:id="1228"/>
      </w:r>
      <w:r w:rsidRPr="009F36E0">
        <w:rPr>
          <w:rFonts w:ascii="Narkisim" w:hAnsi="Narkisim"/>
        </w:rPr>
        <w:t xml:space="preserve">. </w:t>
      </w:r>
      <w:r w:rsidRPr="009F36E0">
        <w:rPr>
          <w:rFonts w:ascii="Narkisim" w:hAnsi="Narkisim"/>
          <w:rtl/>
        </w:rPr>
        <w:t>וכ"פ ה</w:t>
      </w:r>
      <w:r w:rsidRPr="009F36E0">
        <w:rPr>
          <w:rFonts w:ascii="Narkisim" w:hAnsi="Narkisim"/>
          <w:b/>
          <w:bCs/>
          <w:rtl/>
        </w:rPr>
        <w:t>רמב"ם</w:t>
      </w:r>
      <w:r w:rsidRPr="009F36E0">
        <w:rPr>
          <w:rFonts w:ascii="Narkisim" w:hAnsi="Narkisim"/>
          <w:rtl/>
        </w:rPr>
        <w:t xml:space="preserve"> (יבום ו ד ו</w:t>
      </w:r>
      <w:r w:rsidRPr="009F36E0">
        <w:rPr>
          <w:rFonts w:ascii="Narkisim" w:hAnsi="Narkisim"/>
          <w:b/>
          <w:bCs/>
          <w:rtl/>
        </w:rPr>
        <w:t>שו”ע</w:t>
      </w:r>
      <w:r w:rsidRPr="009F36E0">
        <w:rPr>
          <w:rFonts w:ascii="Narkisim" w:hAnsi="Narkisim"/>
          <w:rtl/>
        </w:rPr>
        <w:t xml:space="preserve"> קעב י). וה</w:t>
      </w:r>
      <w:r w:rsidRPr="009F36E0">
        <w:rPr>
          <w:rFonts w:ascii="Narkisim" w:hAnsi="Narkisim"/>
          <w:b/>
          <w:bCs/>
          <w:rtl/>
        </w:rPr>
        <w:t>בי"ש</w:t>
      </w:r>
      <w:r w:rsidRPr="009F36E0">
        <w:rPr>
          <w:rFonts w:ascii="Narkisim" w:hAnsi="Narkisim"/>
          <w:rtl/>
        </w:rPr>
        <w:t xml:space="preserve"> (קעב יב) ביאר דמדרבנן אסרו לכתחילה</w:t>
      </w:r>
      <w:r w:rsidRPr="009F36E0">
        <w:rPr>
          <w:rStyle w:val="ac"/>
          <w:rFonts w:ascii="Narkisim" w:hAnsi="Narkisim"/>
          <w:rtl/>
        </w:rPr>
        <w:footnoteReference w:id="1229"/>
      </w:r>
      <w:r w:rsidRPr="009F36E0">
        <w:rPr>
          <w:rFonts w:ascii="Narkisim" w:hAnsi="Narkisim"/>
        </w:rPr>
        <w:t xml:space="preserve">, </w:t>
      </w:r>
      <w:r w:rsidRPr="009F36E0">
        <w:rPr>
          <w:rFonts w:ascii="Narkisim" w:hAnsi="Narkisim"/>
          <w:rtl/>
        </w:rPr>
        <w:t>אבל זקינה מתייבמת לכתחילה</w:t>
      </w:r>
      <w:r w:rsidRPr="009F36E0">
        <w:rPr>
          <w:rStyle w:val="ac"/>
          <w:rFonts w:ascii="Narkisim" w:hAnsi="Narkisim"/>
          <w:rtl/>
        </w:rPr>
        <w:footnoteReference w:id="1230"/>
      </w:r>
      <w:r w:rsidRPr="009F36E0">
        <w:rPr>
          <w:rFonts w:ascii="Narkisim" w:hAnsi="Narkisim"/>
        </w:rPr>
        <w:t>.</w:t>
      </w:r>
    </w:p>
    <w:p w14:paraId="4AED2501" w14:textId="77777777" w:rsidR="006074A5" w:rsidRPr="009F36E0" w:rsidRDefault="006074A5" w:rsidP="006074A5">
      <w:pPr>
        <w:bidi/>
        <w:rPr>
          <w:rFonts w:ascii="Narkisim" w:hAnsi="Narkisim" w:cs="Narkisim"/>
        </w:rPr>
      </w:pPr>
      <w:r w:rsidRPr="009F36E0">
        <w:rPr>
          <w:rFonts w:ascii="Narkisim" w:hAnsi="Narkisim" w:cs="Narkisim"/>
          <w:u w:val="single"/>
          <w:rtl/>
        </w:rPr>
        <w:t>אלמנה מהארוסין נמי עשה ול”ת הוא דכתיב קדושים יהיו וכו'</w:t>
      </w:r>
      <w:r w:rsidRPr="009F36E0">
        <w:rPr>
          <w:rFonts w:ascii="Narkisim" w:hAnsi="Narkisim" w:cs="Narkisim"/>
          <w:rtl/>
        </w:rPr>
        <w:t>. ועד"ז אי' (ב"מ ל.) דכהן בבית הקברות הוה עשה ול"ת, ופ</w:t>
      </w:r>
      <w:r w:rsidRPr="009F36E0">
        <w:rPr>
          <w:rFonts w:ascii="Narkisim" w:hAnsi="Narkisim" w:cs="Narkisim"/>
          <w:b/>
          <w:bCs/>
          <w:rtl/>
        </w:rPr>
        <w:t>רש"י</w:t>
      </w:r>
      <w:r w:rsidRPr="009F36E0">
        <w:rPr>
          <w:rFonts w:ascii="Narkisim" w:hAnsi="Narkisim" w:cs="Narkisim"/>
          <w:rtl/>
        </w:rPr>
        <w:t xml:space="preserve"> דכתיב (ויקרא כא א) לנפש לא יטמא, (שם ו) קדושים יהיו</w:t>
      </w:r>
      <w:r w:rsidRPr="009F36E0">
        <w:rPr>
          <w:rFonts w:ascii="Narkisim" w:hAnsi="Narkisim" w:cs="Narkisim"/>
        </w:rPr>
        <w:t>.</w:t>
      </w:r>
    </w:p>
    <w:p w14:paraId="06B17B9F" w14:textId="77777777" w:rsidR="006074A5" w:rsidRPr="009F36E0" w:rsidRDefault="006074A5" w:rsidP="006074A5">
      <w:pPr>
        <w:pStyle w:val="a7"/>
        <w:bidi/>
        <w:rPr>
          <w:rFonts w:ascii="Narkisim" w:hAnsi="Narkisim"/>
        </w:rPr>
      </w:pPr>
      <w:r w:rsidRPr="009F36E0">
        <w:rPr>
          <w:rFonts w:ascii="Narkisim" w:hAnsi="Narkisim"/>
          <w:rtl/>
        </w:rPr>
        <w:t>אך למסקנא דסוגיין אלמנה מהאירוסין הוה ל"ת לחוד, ומדאורייתא דחי. וה</w:t>
      </w:r>
      <w:r w:rsidRPr="009F36E0">
        <w:rPr>
          <w:rFonts w:ascii="Narkisim" w:hAnsi="Narkisim"/>
          <w:b/>
          <w:bCs/>
          <w:rtl/>
        </w:rPr>
        <w:t>תו"י</w:t>
      </w:r>
      <w:r w:rsidRPr="009F36E0">
        <w:rPr>
          <w:rFonts w:ascii="Narkisim" w:hAnsi="Narkisim"/>
          <w:rtl/>
        </w:rPr>
        <w:t xml:space="preserve"> ו</w:t>
      </w:r>
      <w:r w:rsidRPr="009F36E0">
        <w:rPr>
          <w:rFonts w:ascii="Narkisim" w:hAnsi="Narkisim"/>
          <w:b/>
          <w:bCs/>
          <w:rtl/>
        </w:rPr>
        <w:t>תוס</w:t>
      </w:r>
      <w:r w:rsidRPr="009F36E0">
        <w:rPr>
          <w:rFonts w:ascii="Narkisim" w:hAnsi="Narkisim"/>
          <w:rtl/>
        </w:rPr>
        <w:t>' (ב"מ ל.) פי' דלמסקנא דרשינן קדושים יהיו לגבי מילתא דכתיבא בהאי פרשה</w:t>
      </w:r>
      <w:r w:rsidRPr="009F36E0">
        <w:rPr>
          <w:rFonts w:ascii="Narkisim" w:hAnsi="Narkisim"/>
        </w:rPr>
        <w:t>.</w:t>
      </w:r>
    </w:p>
    <w:p w14:paraId="61E03796" w14:textId="77777777" w:rsidR="006074A5" w:rsidRPr="009F36E0" w:rsidRDefault="006074A5" w:rsidP="006074A5">
      <w:pPr>
        <w:pStyle w:val="a7"/>
        <w:bidi/>
        <w:rPr>
          <w:rFonts w:ascii="Narkisim" w:hAnsi="Narkisim"/>
        </w:rPr>
      </w:pPr>
      <w:r w:rsidRPr="009F36E0">
        <w:rPr>
          <w:rFonts w:ascii="Narkisim" w:hAnsi="Narkisim"/>
          <w:rtl/>
        </w:rPr>
        <w:t>ולפ"ז כל פסולי כהונה הוה עשה ול"ת, ודוקא אלמנה לכה"ג (שם כא יד) הוה פרשה בפנ"ע</w:t>
      </w:r>
      <w:r w:rsidRPr="009F36E0">
        <w:rPr>
          <w:rStyle w:val="ac"/>
          <w:rFonts w:ascii="Narkisim" w:hAnsi="Narkisim"/>
          <w:rtl/>
        </w:rPr>
        <w:footnoteReference w:id="1231"/>
      </w:r>
      <w:r w:rsidRPr="009F36E0">
        <w:rPr>
          <w:rFonts w:ascii="Narkisim" w:hAnsi="Narkisim"/>
        </w:rPr>
        <w:t xml:space="preserve">. </w:t>
      </w:r>
      <w:r w:rsidRPr="009F36E0">
        <w:rPr>
          <w:rFonts w:ascii="Narkisim" w:hAnsi="Narkisim"/>
          <w:rtl/>
        </w:rPr>
        <w:t xml:space="preserve">וכ"כ </w:t>
      </w:r>
      <w:r w:rsidRPr="009F36E0">
        <w:rPr>
          <w:rFonts w:ascii="Narkisim" w:hAnsi="Narkisim"/>
          <w:b/>
          <w:bCs/>
          <w:rtl/>
        </w:rPr>
        <w:t>תוס</w:t>
      </w:r>
      <w:r w:rsidRPr="009F36E0">
        <w:rPr>
          <w:rFonts w:ascii="Narkisim" w:hAnsi="Narkisim"/>
          <w:rtl/>
        </w:rPr>
        <w:t>' (לקמן פד. ד"ה והא) דחללה לכהן הוה עשה ול"ת, דעשה דקדושים יהיו קאי ע"ז</w:t>
      </w:r>
      <w:r w:rsidRPr="009F36E0">
        <w:rPr>
          <w:rStyle w:val="ac"/>
          <w:rFonts w:ascii="Narkisim" w:hAnsi="Narkisim"/>
          <w:rtl/>
        </w:rPr>
        <w:footnoteReference w:id="1232"/>
      </w:r>
      <w:r w:rsidRPr="009F36E0">
        <w:rPr>
          <w:rFonts w:ascii="Narkisim" w:hAnsi="Narkisim"/>
        </w:rPr>
        <w:t xml:space="preserve">. </w:t>
      </w:r>
      <w:r w:rsidRPr="009F36E0">
        <w:rPr>
          <w:rFonts w:ascii="Narkisim" w:hAnsi="Narkisim"/>
          <w:rtl/>
        </w:rPr>
        <w:t xml:space="preserve">אבל </w:t>
      </w:r>
      <w:r w:rsidRPr="009F36E0">
        <w:rPr>
          <w:rFonts w:ascii="Narkisim" w:hAnsi="Narkisim"/>
          <w:b/>
          <w:bCs/>
          <w:rtl/>
        </w:rPr>
        <w:t>רש"י</w:t>
      </w:r>
      <w:r w:rsidRPr="009F36E0">
        <w:rPr>
          <w:rFonts w:ascii="Narkisim" w:hAnsi="Narkisim"/>
          <w:rtl/>
        </w:rPr>
        <w:t xml:space="preserve"> (לקמן שם) מבואר דאף כהן בחללה הוה ל"ת לחוד, ועשה דקדושים יהיו לא חשיב ל”ת ועשה. וכ"מ ב</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שא"ר</w:t>
      </w:r>
      <w:r w:rsidRPr="009F36E0">
        <w:rPr>
          <w:rFonts w:ascii="Narkisim" w:hAnsi="Narkisim"/>
          <w:rtl/>
        </w:rPr>
        <w:t xml:space="preserve"> בסוגיין דנחשב עשה דוחה לא תעשה </w:t>
      </w:r>
      <w:r w:rsidRPr="009F36E0">
        <w:rPr>
          <w:rFonts w:ascii="Narkisim" w:hAnsi="Narkisim"/>
          <w:sz w:val="20"/>
          <w:szCs w:val="20"/>
          <w:rtl/>
        </w:rPr>
        <w:t>[וכן הוכיח השעה"מ]</w:t>
      </w:r>
      <w:r w:rsidRPr="009F36E0">
        <w:rPr>
          <w:rStyle w:val="ac"/>
          <w:rFonts w:ascii="Narkisim" w:hAnsi="Narkisim"/>
          <w:sz w:val="20"/>
          <w:szCs w:val="20"/>
          <w:rtl/>
        </w:rPr>
        <w:footnoteReference w:id="1233"/>
      </w:r>
      <w:r w:rsidRPr="009F36E0">
        <w:rPr>
          <w:rFonts w:ascii="Narkisim" w:hAnsi="Narkisim"/>
          <w:sz w:val="20"/>
          <w:szCs w:val="20"/>
        </w:rPr>
        <w:t>.</w:t>
      </w:r>
    </w:p>
    <w:p w14:paraId="71C15180" w14:textId="77777777" w:rsidR="006074A5" w:rsidRPr="009F36E0" w:rsidRDefault="006074A5" w:rsidP="006074A5">
      <w:pPr>
        <w:pStyle w:val="a8"/>
        <w:bidi/>
        <w:rPr>
          <w:rFonts w:ascii="Narkisim" w:hAnsi="Narkisim"/>
        </w:rPr>
      </w:pPr>
      <w:r w:rsidRPr="009F36E0">
        <w:rPr>
          <w:rFonts w:ascii="Narkisim" w:hAnsi="Narkisim"/>
          <w:rtl/>
        </w:rPr>
        <w:t>ויש שפי' דרש"י ס"ל דלא הוה עשה פרטי אלא לאו דכהונה, אלא עשה כללי כעין דוהתקדשתם</w:t>
      </w:r>
      <w:r w:rsidRPr="009F36E0">
        <w:rPr>
          <w:rStyle w:val="ac"/>
          <w:rFonts w:ascii="Narkisim" w:hAnsi="Narkisim"/>
          <w:rtl/>
        </w:rPr>
        <w:footnoteReference w:id="1234"/>
      </w:r>
      <w:r w:rsidRPr="009F36E0">
        <w:rPr>
          <w:rFonts w:ascii="Narkisim" w:hAnsi="Narkisim"/>
        </w:rPr>
        <w:t xml:space="preserve">. </w:t>
      </w:r>
      <w:r w:rsidRPr="009F36E0">
        <w:rPr>
          <w:rFonts w:ascii="Narkisim" w:hAnsi="Narkisim"/>
          <w:rtl/>
        </w:rPr>
        <w:t>[וצ"ל הגמ' ב"מ הנ"ל קאי לס"ד]. אבל ה</w:t>
      </w:r>
      <w:r w:rsidRPr="009F36E0">
        <w:rPr>
          <w:rFonts w:ascii="Narkisim" w:hAnsi="Narkisim"/>
          <w:b/>
          <w:bCs/>
          <w:rtl/>
        </w:rPr>
        <w:t>שעה"מ</w:t>
      </w:r>
      <w:r w:rsidRPr="009F36E0">
        <w:rPr>
          <w:rFonts w:ascii="Narkisim" w:hAnsi="Narkisim"/>
          <w:rtl/>
        </w:rPr>
        <w:t xml:space="preserve"> הביא </w:t>
      </w:r>
      <w:r w:rsidRPr="009F36E0">
        <w:rPr>
          <w:rFonts w:ascii="Narkisim" w:hAnsi="Narkisim"/>
          <w:b/>
          <w:bCs/>
          <w:rtl/>
        </w:rPr>
        <w:t>שיטמ"ק כת"י</w:t>
      </w:r>
      <w:r w:rsidRPr="009F36E0">
        <w:rPr>
          <w:rFonts w:ascii="Narkisim" w:hAnsi="Narkisim"/>
          <w:rtl/>
        </w:rPr>
        <w:t xml:space="preserve"> (סנהדרין יח:) שפי' דעת רש"י דעשה דקדושים יהיו קאי דוקא אאיסור טומאה דכתיב לעיל מיניה, ולא אאיסור חללה דכתיב אח"כ</w:t>
      </w:r>
      <w:r w:rsidRPr="009F36E0">
        <w:rPr>
          <w:rFonts w:ascii="Narkisim" w:hAnsi="Narkisim"/>
        </w:rPr>
        <w:t>.</w:t>
      </w:r>
    </w:p>
    <w:p w14:paraId="20609DCD" w14:textId="77777777" w:rsidR="006074A5" w:rsidRPr="009F36E0" w:rsidRDefault="006074A5" w:rsidP="006074A5">
      <w:pPr>
        <w:pStyle w:val="aa"/>
        <w:bidi/>
        <w:rPr>
          <w:rFonts w:ascii="Narkisim" w:hAnsi="Narkisim"/>
        </w:rPr>
      </w:pPr>
      <w:r w:rsidRPr="009F36E0">
        <w:rPr>
          <w:rFonts w:ascii="Narkisim" w:hAnsi="Narkisim"/>
          <w:u w:val="single"/>
          <w:rtl/>
        </w:rPr>
        <w:t>א"ה כל התורה כולה עשה ול"ת דכתיב והתקדשתם וכו'</w:t>
      </w:r>
      <w:r w:rsidRPr="009F36E0">
        <w:rPr>
          <w:rFonts w:ascii="Narkisim" w:hAnsi="Narkisim"/>
          <w:rtl/>
        </w:rPr>
        <w:t>. בפשוטו משמע דלמסקנא לא הוה מצווה בפנ"ע</w:t>
      </w:r>
      <w:r w:rsidRPr="009F36E0">
        <w:rPr>
          <w:rStyle w:val="ac"/>
          <w:rFonts w:ascii="Narkisim" w:hAnsi="Narkisim"/>
          <w:rtl/>
        </w:rPr>
        <w:footnoteReference w:id="1235"/>
      </w:r>
      <w:r w:rsidRPr="009F36E0">
        <w:rPr>
          <w:rFonts w:ascii="Narkisim" w:hAnsi="Narkisim"/>
        </w:rPr>
        <w:t xml:space="preserve">. </w:t>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ביארו עוד דמצוות והתקדשתם הוא לקיים כל מצוות התורה, אך כיון דלאו דממזרות נדחית מפני העשה, א"כ לאו דוהתקדשתם לא קאי ע"ז</w:t>
      </w:r>
      <w:r w:rsidRPr="009F36E0">
        <w:rPr>
          <w:rFonts w:ascii="Narkisim" w:hAnsi="Narkisim"/>
        </w:rPr>
        <w:t>.</w:t>
      </w:r>
    </w:p>
    <w:p w14:paraId="35929684" w14:textId="77777777" w:rsidR="006074A5" w:rsidRPr="009F36E0" w:rsidRDefault="006074A5" w:rsidP="006074A5">
      <w:pPr>
        <w:pStyle w:val="aa"/>
        <w:bidi/>
        <w:rPr>
          <w:rFonts w:ascii="Narkisim" w:hAnsi="Narkisim"/>
        </w:rPr>
      </w:pPr>
      <w:r w:rsidRPr="009F36E0">
        <w:rPr>
          <w:rFonts w:ascii="Narkisim" w:hAnsi="Narkisim"/>
          <w:u w:val="single"/>
          <w:rtl/>
        </w:rPr>
        <w:t>תוד"ה אמר קרא.</w:t>
      </w:r>
      <w:r w:rsidRPr="009F36E0">
        <w:rPr>
          <w:rFonts w:ascii="Narkisim" w:hAnsi="Narkisim"/>
          <w:rtl/>
        </w:rPr>
        <w:t xml:space="preserve"> אין תרי עשה דוחה ל"ת ועשה. ה</w:t>
      </w:r>
      <w:r w:rsidRPr="009F36E0">
        <w:rPr>
          <w:rFonts w:ascii="Narkisim" w:hAnsi="Narkisim"/>
          <w:b/>
          <w:bCs/>
          <w:rtl/>
        </w:rPr>
        <w:t>מצפ"א</w:t>
      </w:r>
      <w:r w:rsidRPr="009F36E0">
        <w:rPr>
          <w:rFonts w:ascii="Narkisim" w:hAnsi="Narkisim"/>
          <w:rtl/>
        </w:rPr>
        <w:t xml:space="preserve"> ציין דדעת ה</w:t>
      </w:r>
      <w:r w:rsidRPr="009F36E0">
        <w:rPr>
          <w:rFonts w:ascii="Narkisim" w:hAnsi="Narkisim"/>
          <w:b/>
          <w:bCs/>
          <w:rtl/>
        </w:rPr>
        <w:t>ריטב"א</w:t>
      </w:r>
      <w:r w:rsidRPr="009F36E0">
        <w:rPr>
          <w:rFonts w:ascii="Narkisim" w:hAnsi="Narkisim"/>
          <w:rtl/>
        </w:rPr>
        <w:t xml:space="preserve"> ישנים (ב"מ לא.) דב' עשה דוחה ל"ת ועשה. [ע"ע ריטב"א לעיל ה:]</w:t>
      </w:r>
      <w:r w:rsidRPr="009F36E0">
        <w:rPr>
          <w:rFonts w:ascii="Narkisim" w:hAnsi="Narkisim"/>
        </w:rPr>
        <w:t>.</w:t>
      </w:r>
    </w:p>
    <w:p w14:paraId="53A52603" w14:textId="77777777" w:rsidR="006074A5" w:rsidRPr="009F36E0" w:rsidRDefault="006074A5" w:rsidP="006074A5">
      <w:pPr>
        <w:pStyle w:val="aa"/>
        <w:bidi/>
        <w:rPr>
          <w:rFonts w:ascii="Narkisim" w:hAnsi="Narkisim"/>
        </w:rPr>
      </w:pPr>
      <w:r w:rsidRPr="009F36E0">
        <w:rPr>
          <w:rFonts w:ascii="Narkisim" w:hAnsi="Narkisim"/>
          <w:u w:val="single"/>
          <w:rtl/>
        </w:rPr>
        <w:t>תוד"ה אי הכי.</w:t>
      </w:r>
      <w:r w:rsidRPr="009F36E0">
        <w:rPr>
          <w:rFonts w:ascii="Narkisim" w:hAnsi="Narkisim"/>
          <w:rtl/>
        </w:rPr>
        <w:t xml:space="preserve"> לא פריך שיעקרו חכמים מצות יבום</w:t>
      </w:r>
      <w:r w:rsidRPr="009F36E0">
        <w:rPr>
          <w:rStyle w:val="ac"/>
          <w:rFonts w:ascii="Narkisim" w:hAnsi="Narkisim"/>
          <w:rtl/>
        </w:rPr>
        <w:footnoteReference w:id="1236"/>
      </w:r>
      <w:r w:rsidRPr="009F36E0">
        <w:rPr>
          <w:rFonts w:ascii="Narkisim" w:hAnsi="Narkisim"/>
        </w:rPr>
        <w:t xml:space="preserve"> </w:t>
      </w:r>
      <w:r w:rsidRPr="009F36E0">
        <w:rPr>
          <w:rFonts w:ascii="Narkisim" w:hAnsi="Narkisim"/>
          <w:rtl/>
        </w:rPr>
        <w:t>וכו'. אבל ה</w:t>
      </w:r>
      <w:r w:rsidRPr="009F36E0">
        <w:rPr>
          <w:rFonts w:ascii="Narkisim" w:hAnsi="Narkisim"/>
          <w:b/>
          <w:bCs/>
          <w:rtl/>
        </w:rPr>
        <w:t>רמב"ן</w:t>
      </w:r>
      <w:r w:rsidRPr="009F36E0">
        <w:rPr>
          <w:rFonts w:ascii="Narkisim" w:hAnsi="Narkisim"/>
          <w:rtl/>
        </w:rPr>
        <w:t xml:space="preserve"> פי' דכוונת הגמ' שנעקור לגמרי מצות יבום [מדרבנן] ונקיים מצות חליצה משום גזירה. ועוד פי' דכוונת הגמ' דע"כ א”א לחוש לזה שלא תעקר מצוות יבום, אף לזה לא תחוש</w:t>
      </w:r>
      <w:r w:rsidRPr="009F36E0">
        <w:rPr>
          <w:rStyle w:val="ac"/>
          <w:rFonts w:ascii="Narkisim" w:hAnsi="Narkisim"/>
          <w:rtl/>
        </w:rPr>
        <w:footnoteReference w:id="1237"/>
      </w:r>
      <w:r w:rsidRPr="009F36E0">
        <w:rPr>
          <w:rFonts w:ascii="Narkisim" w:hAnsi="Narkisim"/>
        </w:rPr>
        <w:t>.</w:t>
      </w:r>
    </w:p>
    <w:p w14:paraId="01B015B0" w14:textId="77777777" w:rsidR="006074A5" w:rsidRPr="009F36E0" w:rsidRDefault="006074A5" w:rsidP="006074A5">
      <w:pPr>
        <w:pStyle w:val="aa"/>
        <w:bidi/>
        <w:rPr>
          <w:rFonts w:ascii="Narkisim" w:hAnsi="Narkisim"/>
        </w:rPr>
      </w:pPr>
      <w:r w:rsidRPr="009F36E0">
        <w:rPr>
          <w:rFonts w:ascii="Narkisim" w:hAnsi="Narkisim"/>
          <w:u w:val="single"/>
          <w:rtl/>
        </w:rPr>
        <w:t>אלא אמר רבא גזירה ביאה ראשונה אטו ביאה שניה וכו'</w:t>
      </w:r>
      <w:r w:rsidRPr="009F36E0">
        <w:rPr>
          <w:rFonts w:ascii="Narkisim" w:hAnsi="Narkisim"/>
          <w:rtl/>
        </w:rPr>
        <w:t xml:space="preserve">. ועד"ז דנו </w:t>
      </w:r>
      <w:r w:rsidRPr="009F36E0">
        <w:rPr>
          <w:rFonts w:ascii="Narkisim" w:hAnsi="Narkisim"/>
          <w:b/>
          <w:bCs/>
          <w:rtl/>
        </w:rPr>
        <w:t>תוס</w:t>
      </w:r>
      <w:r w:rsidRPr="009F36E0">
        <w:rPr>
          <w:rFonts w:ascii="Narkisim" w:hAnsi="Narkisim"/>
          <w:rtl/>
        </w:rPr>
        <w:t xml:space="preserve">' (קידושין לח.) דעשה דמצה אינו </w:t>
      </w:r>
      <w:r w:rsidRPr="009F36E0">
        <w:rPr>
          <w:rFonts w:ascii="Narkisim" w:hAnsi="Narkisim"/>
          <w:rtl/>
        </w:rPr>
        <w:lastRenderedPageBreak/>
        <w:t>דוחה ל"ת דחדש</w:t>
      </w:r>
      <w:r w:rsidRPr="009F36E0">
        <w:rPr>
          <w:rStyle w:val="ac"/>
          <w:rFonts w:ascii="Narkisim" w:hAnsi="Narkisim"/>
          <w:rtl/>
        </w:rPr>
        <w:footnoteReference w:id="1238"/>
      </w:r>
      <w:r w:rsidRPr="009F36E0">
        <w:rPr>
          <w:rFonts w:ascii="Narkisim" w:hAnsi="Narkisim"/>
        </w:rPr>
        <w:t xml:space="preserve">, </w:t>
      </w:r>
      <w:r w:rsidRPr="009F36E0">
        <w:rPr>
          <w:rFonts w:ascii="Narkisim" w:hAnsi="Narkisim"/>
          <w:rtl/>
        </w:rPr>
        <w:t>גזירה כזית ראשון אטו כזית שני</w:t>
      </w:r>
      <w:r w:rsidRPr="009F36E0">
        <w:rPr>
          <w:rStyle w:val="ac"/>
          <w:rFonts w:ascii="Narkisim" w:hAnsi="Narkisim"/>
          <w:rtl/>
        </w:rPr>
        <w:footnoteReference w:id="1239"/>
      </w:r>
      <w:r w:rsidRPr="009F36E0">
        <w:rPr>
          <w:rFonts w:ascii="Narkisim" w:hAnsi="Narkisim"/>
        </w:rPr>
        <w:t xml:space="preserve">. </w:t>
      </w:r>
      <w:r w:rsidRPr="009F36E0">
        <w:rPr>
          <w:rFonts w:ascii="Narkisim" w:hAnsi="Narkisim"/>
          <w:rtl/>
        </w:rPr>
        <w:t>[ולפ"ז הוה גזירה כללית, ולא תקנה מגדרי יבום וחליצה]</w:t>
      </w:r>
      <w:r w:rsidRPr="009F36E0">
        <w:rPr>
          <w:rFonts w:ascii="Narkisim" w:hAnsi="Narkisim"/>
        </w:rPr>
        <w:t>.</w:t>
      </w:r>
    </w:p>
    <w:p w14:paraId="5B3CB72F"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לח"מ</w:t>
      </w:r>
      <w:r w:rsidRPr="009F36E0">
        <w:rPr>
          <w:rFonts w:ascii="Narkisim" w:hAnsi="Narkisim"/>
          <w:rtl/>
        </w:rPr>
        <w:t xml:space="preserve"> (ו י) הק' דמ"מ מחמת הגזירה אינו רשאי לייבם, א"כ נימא דהוה ביאה פסולה. דקי"ל [לדעת הרמב"ם, ע' לקמן כו:] דכל היכא דאינו רשאי לייבם הוה חליצה פסולה, א"כ יחשב ביאה פסולה ואינו פוטר צרתה. ותי' דאין לדמות גזירות חכמים זו לזו</w:t>
      </w:r>
      <w:r w:rsidRPr="009F36E0">
        <w:rPr>
          <w:rStyle w:val="ac"/>
          <w:rFonts w:ascii="Narkisim" w:hAnsi="Narkisim"/>
          <w:rtl/>
        </w:rPr>
        <w:footnoteReference w:id="1240"/>
      </w:r>
      <w:r w:rsidRPr="009F36E0">
        <w:rPr>
          <w:rFonts w:ascii="Narkisim" w:hAnsi="Narkisim"/>
        </w:rPr>
        <w:t>.</w:t>
      </w:r>
    </w:p>
    <w:p w14:paraId="434C7366"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אבנ"נ</w:t>
      </w:r>
      <w:r w:rsidRPr="009F36E0">
        <w:rPr>
          <w:rFonts w:ascii="Narkisim" w:hAnsi="Narkisim"/>
          <w:rtl/>
        </w:rPr>
        <w:t xml:space="preserve"> (יו"ד קמא יב) הוכיח דאף דתקנו שלא ייבם, חכמים לא עקרו את גוף המצווה דהא אם בעלו קנו</w:t>
      </w:r>
      <w:r w:rsidRPr="009F36E0">
        <w:rPr>
          <w:rStyle w:val="ac"/>
          <w:rFonts w:ascii="Narkisim" w:hAnsi="Narkisim"/>
          <w:rtl/>
        </w:rPr>
        <w:footnoteReference w:id="1241"/>
      </w:r>
      <w:r w:rsidRPr="009F36E0">
        <w:rPr>
          <w:rFonts w:ascii="Narkisim" w:hAnsi="Narkisim"/>
        </w:rPr>
        <w:t xml:space="preserve">. </w:t>
      </w:r>
      <w:r w:rsidRPr="009F36E0">
        <w:rPr>
          <w:rFonts w:ascii="Narkisim" w:hAnsi="Narkisim"/>
          <w:rtl/>
        </w:rPr>
        <w:t>ואף דגזרו שחולצת משום גזירה ביאה ראשונה אטו ביאה שניה, לא עקרו את מצוות היבום מדאורייתא</w:t>
      </w:r>
      <w:r w:rsidRPr="009F36E0">
        <w:rPr>
          <w:rFonts w:ascii="Narkisim" w:hAnsi="Narkisim"/>
        </w:rPr>
        <w:t>.</w:t>
      </w:r>
    </w:p>
    <w:p w14:paraId="66F3DB0E"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דחו דהכא לא עקרו מצוות יבום, דא”כ כיון דאינה עולה ליבום אינה עולה לחליצה. ודוקא בחייבי לאו ועשה חידשה תורה יש לך אחרת שעולה לחליצה. אבל הכא שמדאורייתא עולה ליבום, ע”כ לא עקרו את הדין דאורייתא</w:t>
      </w:r>
      <w:r w:rsidRPr="009F36E0">
        <w:rPr>
          <w:rFonts w:ascii="Narkisim" w:hAnsi="Narkisim"/>
        </w:rPr>
        <w:t>.</w:t>
      </w:r>
    </w:p>
    <w:p w14:paraId="3427A179" w14:textId="77777777" w:rsidR="006074A5" w:rsidRPr="009F36E0" w:rsidRDefault="006074A5" w:rsidP="006074A5">
      <w:pPr>
        <w:bidi/>
        <w:rPr>
          <w:rFonts w:ascii="Narkisim" w:hAnsi="Narkisim" w:cs="Narkisim"/>
        </w:rPr>
      </w:pPr>
      <w:r w:rsidRPr="009F36E0">
        <w:rPr>
          <w:rFonts w:ascii="Narkisim" w:hAnsi="Narkisim" w:cs="Narkisim"/>
          <w:u w:val="single"/>
          <w:rtl/>
        </w:rPr>
        <w:t>תוד"ה גזירה.</w:t>
      </w:r>
      <w:r w:rsidRPr="009F36E0">
        <w:rPr>
          <w:rFonts w:ascii="Narkisim" w:hAnsi="Narkisim" w:cs="Narkisim"/>
          <w:rtl/>
        </w:rPr>
        <w:t xml:space="preserve"> אלמנה מן הנישואין וחייבי עשה נפק"ל מיבמתו. [וכדרשת רב גידל, וע' תוס' לעיל ד"ה אי הכי]. ואף שאינה עולה ליבום, גלי קרא דעולה לחליצה</w:t>
      </w:r>
      <w:r w:rsidRPr="009F36E0">
        <w:rPr>
          <w:rFonts w:ascii="Narkisim" w:hAnsi="Narkisim" w:cs="Narkisim"/>
        </w:rPr>
        <w:t>.</w:t>
      </w:r>
    </w:p>
    <w:p w14:paraId="6F6A5C52" w14:textId="77777777" w:rsidR="006074A5" w:rsidRPr="009F36E0" w:rsidRDefault="006074A5" w:rsidP="006074A5">
      <w:pPr>
        <w:pStyle w:val="a8"/>
        <w:bidi/>
        <w:rPr>
          <w:rFonts w:ascii="Narkisim" w:hAnsi="Narkisim"/>
        </w:rPr>
      </w:pPr>
      <w:r w:rsidRPr="009F36E0">
        <w:rPr>
          <w:rFonts w:ascii="Narkisim" w:hAnsi="Narkisim"/>
          <w:rtl/>
        </w:rPr>
        <w:t>ויש לחקור האם הוה רק גילוי דלא נאמר בזה החסרון דכל העולה ליבום, או דילפי' מהכא דיש זיקה מחודשת לחליצה (וע' מה שהובא לעיל)</w:t>
      </w:r>
      <w:r w:rsidRPr="009F36E0">
        <w:rPr>
          <w:rFonts w:ascii="Narkisim" w:hAnsi="Narkisim"/>
        </w:rPr>
        <w:t>.</w:t>
      </w:r>
    </w:p>
    <w:p w14:paraId="5E64ACEC" w14:textId="77777777" w:rsidR="006074A5" w:rsidRPr="009F36E0" w:rsidRDefault="006074A5" w:rsidP="006074A5">
      <w:pPr>
        <w:pStyle w:val="a7"/>
        <w:bidi/>
        <w:rPr>
          <w:rFonts w:ascii="Narkisim" w:hAnsi="Narkisim"/>
        </w:rPr>
      </w:pPr>
      <w:r w:rsidRPr="009F36E0">
        <w:rPr>
          <w:rFonts w:ascii="Narkisim" w:hAnsi="Narkisim"/>
          <w:rtl/>
        </w:rPr>
        <w:t xml:space="preserve">וחייבי עשה מדאורייתא ילפי' דעולין רק לחליצה, ואם בעלו ל”ק. וכ"כ הרמב"ן בשם </w:t>
      </w:r>
      <w:r w:rsidRPr="009F36E0">
        <w:rPr>
          <w:rFonts w:ascii="Narkisim" w:hAnsi="Narkisim"/>
          <w:b/>
          <w:bCs/>
          <w:rtl/>
        </w:rPr>
        <w:t>בה"ג</w:t>
      </w:r>
      <w:r w:rsidRPr="009F36E0">
        <w:rPr>
          <w:rFonts w:ascii="Narkisim" w:hAnsi="Narkisim"/>
          <w:rtl/>
        </w:rPr>
        <w:t xml:space="preserve">. </w:t>
      </w:r>
      <w:r w:rsidRPr="009F36E0">
        <w:rPr>
          <w:rFonts w:ascii="Narkisim" w:hAnsi="Narkisim"/>
          <w:sz w:val="20"/>
          <w:szCs w:val="20"/>
          <w:rtl/>
        </w:rPr>
        <w:t>וה</w:t>
      </w:r>
      <w:r w:rsidRPr="009F36E0">
        <w:rPr>
          <w:rFonts w:ascii="Narkisim" w:hAnsi="Narkisim"/>
          <w:b/>
          <w:bCs/>
          <w:sz w:val="20"/>
          <w:szCs w:val="20"/>
          <w:rtl/>
        </w:rPr>
        <w:t>רשב"א</w:t>
      </w:r>
      <w:r w:rsidRPr="009F36E0">
        <w:rPr>
          <w:rFonts w:ascii="Narkisim" w:hAnsi="Narkisim"/>
          <w:sz w:val="20"/>
          <w:szCs w:val="20"/>
          <w:rtl/>
        </w:rPr>
        <w:t xml:space="preserve"> הוסיף דאף ספק סוטה ומחזיר גרושתו (ע' לעיל יא:)</w:t>
      </w:r>
      <w:r w:rsidRPr="009F36E0">
        <w:rPr>
          <w:rStyle w:val="ac"/>
          <w:rFonts w:ascii="Narkisim" w:hAnsi="Narkisim"/>
          <w:sz w:val="20"/>
          <w:szCs w:val="20"/>
          <w:rtl/>
        </w:rPr>
        <w:footnoteReference w:id="1242"/>
      </w:r>
      <w:r w:rsidRPr="009F36E0">
        <w:rPr>
          <w:rFonts w:ascii="Narkisim" w:hAnsi="Narkisim"/>
        </w:rPr>
        <w:t>.</w:t>
      </w:r>
    </w:p>
    <w:p w14:paraId="574AD2BE"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רמב"ן</w:t>
      </w:r>
      <w:r w:rsidRPr="009F36E0">
        <w:rPr>
          <w:rFonts w:ascii="Narkisim" w:hAnsi="Narkisim"/>
          <w:rtl/>
        </w:rPr>
        <w:t xml:space="preserve"> (בתחילת דבריו) כתב דלמסקנא לא ס"ל כל הני דרשות, אלא זיל בתר טעמא, דתפסי קידושין ולא פקע זיקה</w:t>
      </w:r>
      <w:r w:rsidRPr="009F36E0">
        <w:rPr>
          <w:rStyle w:val="ac"/>
          <w:rFonts w:ascii="Narkisim" w:hAnsi="Narkisim"/>
          <w:rtl/>
        </w:rPr>
        <w:footnoteReference w:id="1243"/>
      </w:r>
      <w:r w:rsidRPr="009F36E0">
        <w:rPr>
          <w:rFonts w:ascii="Narkisim" w:hAnsi="Narkisim"/>
          <w:sz w:val="20"/>
          <w:szCs w:val="20"/>
        </w:rPr>
        <w:t>.</w:t>
      </w:r>
      <w:r w:rsidRPr="009F36E0">
        <w:rPr>
          <w:rFonts w:ascii="Narkisim" w:hAnsi="Narkisim"/>
        </w:rPr>
        <w:t xml:space="preserve"> </w:t>
      </w:r>
      <w:r w:rsidRPr="009F36E0">
        <w:rPr>
          <w:rFonts w:ascii="Narkisim" w:hAnsi="Narkisim"/>
          <w:rtl/>
        </w:rPr>
        <w:t>ודאמרי' (לעיל ג. ובע”א) כל שעולה ליבום, לישנא דקרא נקט ולאו משום מידרש</w:t>
      </w:r>
      <w:r w:rsidRPr="009F36E0">
        <w:rPr>
          <w:rFonts w:ascii="Narkisim" w:hAnsi="Narkisim"/>
        </w:rPr>
        <w:t>.</w:t>
      </w:r>
    </w:p>
    <w:p w14:paraId="6C83AA46" w14:textId="77777777" w:rsidR="006074A5" w:rsidRPr="009F36E0" w:rsidRDefault="006074A5" w:rsidP="006074A5">
      <w:pPr>
        <w:pStyle w:val="a8"/>
        <w:bidi/>
        <w:rPr>
          <w:rFonts w:ascii="Narkisim" w:hAnsi="Narkisim"/>
        </w:rPr>
      </w:pPr>
      <w:r w:rsidRPr="009F36E0">
        <w:rPr>
          <w:rFonts w:ascii="Narkisim" w:hAnsi="Narkisim"/>
          <w:rtl/>
        </w:rPr>
        <w:t>וכן ב</w:t>
      </w:r>
      <w:r w:rsidRPr="009F36E0">
        <w:rPr>
          <w:rFonts w:ascii="Narkisim" w:hAnsi="Narkisim"/>
          <w:b/>
          <w:bCs/>
          <w:rtl/>
        </w:rPr>
        <w:t>שו"ת הרשב"א</w:t>
      </w:r>
      <w:r w:rsidRPr="009F36E0">
        <w:rPr>
          <w:rFonts w:ascii="Narkisim" w:hAnsi="Narkisim"/>
          <w:rtl/>
        </w:rPr>
        <w:t xml:space="preserve"> (ו יט) הביא דה</w:t>
      </w:r>
      <w:r w:rsidRPr="009F36E0">
        <w:rPr>
          <w:rFonts w:ascii="Narkisim" w:hAnsi="Narkisim"/>
          <w:b/>
          <w:bCs/>
          <w:rtl/>
        </w:rPr>
        <w:t xml:space="preserve">ירושלמי </w:t>
      </w:r>
      <w:r w:rsidRPr="009F36E0">
        <w:rPr>
          <w:rFonts w:ascii="Narkisim" w:hAnsi="Narkisim"/>
          <w:rtl/>
        </w:rPr>
        <w:t>הק' אמאי בעי חליצה באלמנה מן הנישואין, ותי' תפסי בה קידושין ואת אמרת יפטר בלא כלום</w:t>
      </w:r>
      <w:r w:rsidRPr="009F36E0">
        <w:rPr>
          <w:rStyle w:val="ac"/>
          <w:rFonts w:ascii="Narkisim" w:hAnsi="Narkisim"/>
          <w:rtl/>
        </w:rPr>
        <w:footnoteReference w:id="1244"/>
      </w:r>
      <w:r w:rsidRPr="009F36E0">
        <w:rPr>
          <w:rFonts w:ascii="Narkisim" w:hAnsi="Narkisim"/>
        </w:rPr>
        <w:t xml:space="preserve">. </w:t>
      </w:r>
      <w:r w:rsidRPr="009F36E0">
        <w:rPr>
          <w:rFonts w:ascii="Narkisim" w:hAnsi="Narkisim"/>
          <w:rtl/>
        </w:rPr>
        <w:t>וכ"כ ה</w:t>
      </w:r>
      <w:r w:rsidRPr="009F36E0">
        <w:rPr>
          <w:rFonts w:ascii="Narkisim" w:hAnsi="Narkisim"/>
          <w:b/>
          <w:bCs/>
          <w:rtl/>
        </w:rPr>
        <w:t>רמב"ם</w:t>
      </w:r>
      <w:r w:rsidRPr="009F36E0">
        <w:rPr>
          <w:rFonts w:ascii="Narkisim" w:hAnsi="Narkisim"/>
          <w:rtl/>
        </w:rPr>
        <w:t xml:space="preserve"> (ו י) ומפני מה צריכה חליצה מפני שיש בה ליקוחין, הואיל וקידושי' תופסין בהן הרי הן זקוקות ליבם</w:t>
      </w:r>
      <w:r w:rsidRPr="009F36E0">
        <w:rPr>
          <w:rFonts w:ascii="Narkisim" w:hAnsi="Narkisim"/>
        </w:rPr>
        <w:t>.</w:t>
      </w:r>
    </w:p>
    <w:p w14:paraId="122824D0"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כת' דהטעם דזיקה בכדי לא פקע, וכדילפי' מקרא וכו'. [וצירף הצדדים]. מבואר דזה הגדר של הילפותא דועלתה (וכ"כ ה</w:t>
      </w:r>
      <w:r w:rsidRPr="009F36E0">
        <w:rPr>
          <w:rFonts w:ascii="Narkisim" w:hAnsi="Narkisim"/>
          <w:b/>
          <w:bCs/>
          <w:rtl/>
        </w:rPr>
        <w:t>אחיעזר</w:t>
      </w:r>
      <w:r w:rsidRPr="009F36E0">
        <w:rPr>
          <w:rFonts w:ascii="Narkisim" w:hAnsi="Narkisim"/>
          <w:rtl/>
        </w:rPr>
        <w:t xml:space="preserve"> ב ה)</w:t>
      </w:r>
      <w:r w:rsidRPr="009F36E0">
        <w:rPr>
          <w:rFonts w:ascii="Narkisim" w:hAnsi="Narkisim"/>
        </w:rPr>
        <w:t>.</w:t>
      </w:r>
    </w:p>
    <w:p w14:paraId="2918E9E6" w14:textId="77777777" w:rsidR="006074A5" w:rsidRPr="009F36E0" w:rsidRDefault="006074A5" w:rsidP="006074A5">
      <w:pPr>
        <w:bidi/>
        <w:rPr>
          <w:rFonts w:ascii="Narkisim" w:hAnsi="Narkisim" w:cs="Narkisim"/>
        </w:rPr>
      </w:pPr>
      <w:r w:rsidRPr="009F36E0">
        <w:rPr>
          <w:rFonts w:ascii="Narkisim" w:hAnsi="Narkisim" w:cs="Narkisim"/>
          <w:rtl/>
        </w:rPr>
        <w:t>אבל ה</w:t>
      </w:r>
      <w:r w:rsidRPr="009F36E0">
        <w:rPr>
          <w:rFonts w:ascii="Narkisim" w:hAnsi="Narkisim" w:cs="Narkisim"/>
          <w:b/>
          <w:bCs/>
          <w:rtl/>
        </w:rPr>
        <w:t>מאירי</w:t>
      </w:r>
      <w:r w:rsidRPr="009F36E0">
        <w:rPr>
          <w:rFonts w:ascii="Narkisim" w:hAnsi="Narkisim" w:cs="Narkisim"/>
          <w:rtl/>
        </w:rPr>
        <w:t xml:space="preserve"> כת' דבדין הוא דלא בעי חליצה, שכל שאינה עולה ליבום אינה עולה לחליצה. דכל דלא רמי קמיה ליבום אף חליצה למה, והרי אין חליצה אלא סילוק זיקה וכמו שאמרו ב</w:t>
      </w:r>
      <w:r w:rsidRPr="009F36E0">
        <w:rPr>
          <w:rFonts w:ascii="Narkisim" w:hAnsi="Narkisim" w:cs="Narkisim"/>
          <w:b/>
          <w:bCs/>
          <w:rtl/>
        </w:rPr>
        <w:t>ירושלמי</w:t>
      </w:r>
      <w:r w:rsidRPr="009F36E0">
        <w:rPr>
          <w:rFonts w:ascii="Narkisim" w:hAnsi="Narkisim" w:cs="Narkisim"/>
          <w:sz w:val="20"/>
          <w:szCs w:val="20"/>
          <w:rtl/>
        </w:rPr>
        <w:t xml:space="preserve"> [דחליצה אינה קנין</w:t>
      </w:r>
      <w:r w:rsidRPr="009F36E0">
        <w:rPr>
          <w:rStyle w:val="ac"/>
          <w:rFonts w:ascii="Narkisim" w:hAnsi="Narkisim" w:cs="Narkisim"/>
          <w:sz w:val="20"/>
          <w:szCs w:val="20"/>
          <w:rtl/>
        </w:rPr>
        <w:footnoteReference w:id="1245"/>
      </w:r>
      <w:r w:rsidRPr="009F36E0">
        <w:rPr>
          <w:rFonts w:ascii="Narkisim" w:hAnsi="Narkisim" w:cs="Narkisim"/>
          <w:sz w:val="20"/>
          <w:szCs w:val="20"/>
          <w:rtl/>
        </w:rPr>
        <w:t xml:space="preserve">]. </w:t>
      </w:r>
      <w:r w:rsidRPr="009F36E0">
        <w:rPr>
          <w:rFonts w:ascii="Narkisim" w:hAnsi="Narkisim" w:cs="Narkisim"/>
          <w:rtl/>
        </w:rPr>
        <w:t xml:space="preserve">אלא שחכמים הצריכוה חליצה גזירה משום אלמנה לכה"ג. </w:t>
      </w:r>
      <w:r w:rsidRPr="009F36E0">
        <w:rPr>
          <w:rFonts w:ascii="Narkisim" w:hAnsi="Narkisim" w:cs="Narkisim"/>
          <w:sz w:val="20"/>
          <w:szCs w:val="20"/>
          <w:rtl/>
        </w:rPr>
        <w:t>וכן ה</w:t>
      </w:r>
      <w:r w:rsidRPr="009F36E0">
        <w:rPr>
          <w:rFonts w:ascii="Narkisim" w:hAnsi="Narkisim" w:cs="Narkisim"/>
          <w:b/>
          <w:bCs/>
          <w:sz w:val="20"/>
          <w:szCs w:val="20"/>
          <w:rtl/>
        </w:rPr>
        <w:t>רמב"ן</w:t>
      </w:r>
      <w:r w:rsidRPr="009F36E0">
        <w:rPr>
          <w:rFonts w:ascii="Narkisim" w:hAnsi="Narkisim" w:cs="Narkisim"/>
          <w:sz w:val="20"/>
          <w:szCs w:val="20"/>
          <w:rtl/>
        </w:rPr>
        <w:t xml:space="preserve"> (בע"א) ו</w:t>
      </w:r>
      <w:r w:rsidRPr="009F36E0">
        <w:rPr>
          <w:rFonts w:ascii="Narkisim" w:hAnsi="Narkisim" w:cs="Narkisim"/>
          <w:b/>
          <w:bCs/>
          <w:sz w:val="20"/>
          <w:szCs w:val="20"/>
          <w:rtl/>
        </w:rPr>
        <w:t>שו"ת הרשב"א</w:t>
      </w:r>
      <w:r w:rsidRPr="009F36E0">
        <w:rPr>
          <w:rFonts w:ascii="Narkisim" w:hAnsi="Narkisim" w:cs="Narkisim"/>
          <w:sz w:val="20"/>
          <w:szCs w:val="20"/>
          <w:rtl/>
        </w:rPr>
        <w:t xml:space="preserve"> (ו יט) הביאו תי' א' דהחליצה הוה רק מדרבנן</w:t>
      </w:r>
      <w:r w:rsidRPr="009F36E0">
        <w:rPr>
          <w:rFonts w:ascii="Narkisim" w:hAnsi="Narkisim" w:cs="Narkisim"/>
          <w:sz w:val="20"/>
          <w:szCs w:val="20"/>
        </w:rPr>
        <w:t>.</w:t>
      </w:r>
    </w:p>
    <w:p w14:paraId="3BD1E815"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הביא בשם </w:t>
      </w:r>
      <w:r w:rsidRPr="009F36E0">
        <w:rPr>
          <w:rFonts w:ascii="Narkisim" w:hAnsi="Narkisim"/>
          <w:b/>
          <w:bCs/>
          <w:rtl/>
        </w:rPr>
        <w:t>ריב"ם</w:t>
      </w:r>
      <w:r w:rsidRPr="009F36E0">
        <w:rPr>
          <w:rFonts w:ascii="Narkisim" w:hAnsi="Narkisim"/>
          <w:rtl/>
        </w:rPr>
        <w:t xml:space="preserve"> דאלמנה מן הנישואין צריכה חליצה גזירה אטו מהאירוסין</w:t>
      </w:r>
      <w:r w:rsidRPr="009F36E0">
        <w:rPr>
          <w:rStyle w:val="ac"/>
          <w:rFonts w:ascii="Narkisim" w:hAnsi="Narkisim"/>
          <w:rtl/>
        </w:rPr>
        <w:footnoteReference w:id="1246"/>
      </w:r>
      <w:r w:rsidRPr="009F36E0">
        <w:rPr>
          <w:rFonts w:ascii="Narkisim" w:hAnsi="Narkisim"/>
        </w:rPr>
        <w:t>.</w:t>
      </w:r>
    </w:p>
    <w:p w14:paraId="7EC14B10"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הק' א"כ תפטור צרתה, כיון דלאו בני חליצה ויבום נינהו, וכמו חייבי לאוין לר' עקיבא (לעיל ט.). וצ"ב קושייתו, וה</w:t>
      </w:r>
      <w:r w:rsidRPr="009F36E0">
        <w:rPr>
          <w:rFonts w:ascii="Narkisim" w:hAnsi="Narkisim"/>
          <w:b/>
          <w:bCs/>
          <w:rtl/>
        </w:rPr>
        <w:t>קובה"ע</w:t>
      </w:r>
      <w:r w:rsidRPr="009F36E0">
        <w:rPr>
          <w:rFonts w:ascii="Narkisim" w:hAnsi="Narkisim"/>
          <w:rtl/>
        </w:rPr>
        <w:t xml:space="preserve"> (ה טז) ביאר כוונתו שתפטור משום איסור אשת אח. ואף אשת אח דממילא </w:t>
      </w:r>
      <w:r w:rsidRPr="009F36E0">
        <w:rPr>
          <w:rFonts w:ascii="Narkisim" w:hAnsi="Narkisim"/>
          <w:rtl/>
        </w:rPr>
        <w:lastRenderedPageBreak/>
        <w:t>פוטרת צרתה. וכה"ק ה</w:t>
      </w:r>
      <w:r w:rsidRPr="009F36E0">
        <w:rPr>
          <w:rFonts w:ascii="Narkisim" w:hAnsi="Narkisim"/>
          <w:b/>
          <w:bCs/>
          <w:rtl/>
        </w:rPr>
        <w:t>תוס' הרא"ש</w:t>
      </w:r>
      <w:r w:rsidRPr="009F36E0">
        <w:rPr>
          <w:rFonts w:ascii="Narkisim" w:hAnsi="Narkisim"/>
          <w:rtl/>
        </w:rPr>
        <w:t xml:space="preserve"> (לעיל ג:) דחייבי עשה יפטרו צרה</w:t>
      </w:r>
      <w:r w:rsidRPr="009F36E0">
        <w:rPr>
          <w:rStyle w:val="ac"/>
          <w:rFonts w:ascii="Narkisim" w:hAnsi="Narkisim"/>
          <w:rtl/>
        </w:rPr>
        <w:footnoteReference w:id="1247"/>
      </w:r>
      <w:r w:rsidRPr="009F36E0">
        <w:rPr>
          <w:rFonts w:ascii="Narkisim" w:hAnsi="Narkisim"/>
        </w:rPr>
        <w:t xml:space="preserve">. </w:t>
      </w:r>
      <w:r w:rsidRPr="009F36E0">
        <w:rPr>
          <w:rFonts w:ascii="Narkisim" w:hAnsi="Narkisim"/>
          <w:rtl/>
        </w:rPr>
        <w:t>ותי' דחייבי עשה בעו חליצה</w:t>
      </w:r>
      <w:r w:rsidRPr="009F36E0">
        <w:rPr>
          <w:rStyle w:val="ac"/>
          <w:rFonts w:ascii="Narkisim" w:hAnsi="Narkisim"/>
          <w:rtl/>
        </w:rPr>
        <w:footnoteReference w:id="1248"/>
      </w:r>
      <w:r w:rsidRPr="009F36E0">
        <w:rPr>
          <w:rFonts w:ascii="Narkisim" w:hAnsi="Narkisim"/>
        </w:rPr>
        <w:t xml:space="preserve">, </w:t>
      </w:r>
      <w:r w:rsidRPr="009F36E0">
        <w:rPr>
          <w:rFonts w:ascii="Narkisim" w:hAnsi="Narkisim"/>
          <w:rtl/>
        </w:rPr>
        <w:t>הלכך לא דמי לאחות אשה דאינה זקוקה כלל. ועפ"ז הק' לדעת ריב"ם שמדאורייתא פטורה בלא חליצה, א"כ הדר איסור אשת אח (ע' לעיל). [וה</w:t>
      </w:r>
      <w:r w:rsidRPr="009F36E0">
        <w:rPr>
          <w:rFonts w:ascii="Narkisim" w:hAnsi="Narkisim"/>
          <w:b/>
          <w:bCs/>
          <w:rtl/>
        </w:rPr>
        <w:t>אחרונים</w:t>
      </w:r>
      <w:r w:rsidRPr="009F36E0">
        <w:rPr>
          <w:rFonts w:ascii="Narkisim" w:hAnsi="Narkisim"/>
          <w:rtl/>
        </w:rPr>
        <w:t xml:space="preserve"> תי' דריב"ם ס"ל דהוה אשת אח דממילא, ואינו פוטר]</w:t>
      </w:r>
      <w:r w:rsidRPr="009F36E0">
        <w:rPr>
          <w:rFonts w:ascii="Narkisim" w:hAnsi="Narkisim"/>
        </w:rPr>
        <w:t>.</w:t>
      </w:r>
    </w:p>
    <w:p w14:paraId="5869920F" w14:textId="77777777" w:rsidR="006074A5" w:rsidRPr="009F36E0" w:rsidRDefault="006074A5" w:rsidP="006074A5">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ב</w:t>
      </w:r>
      <w:r w:rsidRPr="009F36E0">
        <w:rPr>
          <w:rFonts w:ascii="Narkisim" w:hAnsi="Narkisim" w:cs="Narkisim"/>
          <w:b/>
          <w:bCs/>
          <w:rtl/>
        </w:rPr>
        <w:t>גמ</w:t>
      </w:r>
      <w:r w:rsidRPr="009F36E0">
        <w:rPr>
          <w:rFonts w:ascii="Narkisim" w:hAnsi="Narkisim" w:cs="Narkisim"/>
          <w:rtl/>
        </w:rPr>
        <w:t>' (לקמן פד.) אי' דכל הפרק (דהתם) עשה ול"ת, ולא אתי עשה ודחי ל"ת. ומבואר ב</w:t>
      </w:r>
      <w:r w:rsidRPr="009F36E0">
        <w:rPr>
          <w:rFonts w:ascii="Narkisim" w:hAnsi="Narkisim" w:cs="Narkisim"/>
          <w:b/>
          <w:bCs/>
          <w:rtl/>
        </w:rPr>
        <w:t>תוס</w:t>
      </w:r>
      <w:r w:rsidRPr="009F36E0">
        <w:rPr>
          <w:rFonts w:ascii="Narkisim" w:hAnsi="Narkisim" w:cs="Narkisim"/>
          <w:rtl/>
        </w:rPr>
        <w:t xml:space="preserve">' (שם) דכוונת הגמ' משום גזירה ביאה ראשונה אטו ביאה שניהם. אבל </w:t>
      </w:r>
      <w:r w:rsidRPr="009F36E0">
        <w:rPr>
          <w:rFonts w:ascii="Narkisim" w:hAnsi="Narkisim" w:cs="Narkisim"/>
          <w:b/>
          <w:bCs/>
          <w:rtl/>
        </w:rPr>
        <w:t>רש"י</w:t>
      </w:r>
      <w:r w:rsidRPr="009F36E0">
        <w:rPr>
          <w:rFonts w:ascii="Narkisim" w:hAnsi="Narkisim" w:cs="Narkisim"/>
          <w:rtl/>
        </w:rPr>
        <w:t xml:space="preserve"> </w:t>
      </w:r>
      <w:r w:rsidRPr="009F36E0">
        <w:rPr>
          <w:rFonts w:ascii="Narkisim" w:hAnsi="Narkisim" w:cs="Narkisim"/>
          <w:szCs w:val="20"/>
          <w:rtl/>
        </w:rPr>
        <w:t>(שם)</w:t>
      </w:r>
      <w:r w:rsidRPr="009F36E0">
        <w:rPr>
          <w:rFonts w:ascii="Narkisim" w:hAnsi="Narkisim" w:cs="Narkisim"/>
          <w:rtl/>
        </w:rPr>
        <w:t xml:space="preserve"> דהא נפק"ל מועלתה יבמתו השערה. וה</w:t>
      </w:r>
      <w:r w:rsidRPr="009F36E0">
        <w:rPr>
          <w:rFonts w:ascii="Narkisim" w:hAnsi="Narkisim" w:cs="Narkisim"/>
          <w:b/>
          <w:bCs/>
          <w:rtl/>
        </w:rPr>
        <w:t>גהש"ס</w:t>
      </w:r>
      <w:r w:rsidRPr="009F36E0">
        <w:rPr>
          <w:rFonts w:ascii="Narkisim" w:hAnsi="Narkisim" w:cs="Narkisim"/>
          <w:rtl/>
        </w:rPr>
        <w:t xml:space="preserve"> </w:t>
      </w:r>
      <w:r w:rsidRPr="009F36E0">
        <w:rPr>
          <w:rFonts w:ascii="Narkisim" w:hAnsi="Narkisim" w:cs="Narkisim"/>
          <w:szCs w:val="20"/>
          <w:rtl/>
        </w:rPr>
        <w:t>(בסוגיין)</w:t>
      </w:r>
      <w:r w:rsidRPr="009F36E0">
        <w:rPr>
          <w:rFonts w:ascii="Narkisim" w:hAnsi="Narkisim" w:cs="Narkisim"/>
          <w:rtl/>
        </w:rPr>
        <w:t xml:space="preserve"> תמה אמאי נקט רש"י דלא כמסקנא דסוגיין</w:t>
      </w:r>
      <w:r w:rsidRPr="009F36E0">
        <w:rPr>
          <w:rFonts w:ascii="Narkisim" w:hAnsi="Narkisim" w:cs="Narkisim"/>
        </w:rPr>
        <w:t>.</w:t>
      </w:r>
    </w:p>
    <w:p w14:paraId="65151CFE"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רש"י</w:t>
      </w:r>
      <w:r w:rsidRPr="009F36E0">
        <w:rPr>
          <w:rFonts w:ascii="Narkisim" w:hAnsi="Narkisim"/>
          <w:rtl/>
        </w:rPr>
        <w:t xml:space="preserve"> (סנהדרין נג. ד"ה איסור) כת' דאיסור מצוה ואיסור קדושה, דבנות קידושין</w:t>
      </w:r>
      <w:r w:rsidRPr="009F36E0">
        <w:rPr>
          <w:rStyle w:val="ac"/>
          <w:rFonts w:ascii="Narkisim" w:hAnsi="Narkisim"/>
          <w:rtl/>
        </w:rPr>
        <w:footnoteReference w:id="1249"/>
      </w:r>
      <w:r w:rsidRPr="009F36E0">
        <w:rPr>
          <w:rFonts w:ascii="Narkisim" w:hAnsi="Narkisim"/>
        </w:rPr>
        <w:t xml:space="preserve"> </w:t>
      </w:r>
      <w:r w:rsidRPr="009F36E0">
        <w:rPr>
          <w:rFonts w:ascii="Narkisim" w:hAnsi="Narkisim"/>
          <w:rtl/>
        </w:rPr>
        <w:t>מרבינן מיבמתו דחולצות [וכדרב גידל]. ושוב כתב</w:t>
      </w:r>
      <w:r w:rsidRPr="009F36E0">
        <w:rPr>
          <w:rFonts w:ascii="Narkisim" w:hAnsi="Narkisim"/>
          <w:sz w:val="20"/>
          <w:szCs w:val="20"/>
          <w:rtl/>
        </w:rPr>
        <w:t xml:space="preserve"> (בד"ה ולא מתייבמות)</w:t>
      </w:r>
      <w:r w:rsidRPr="009F36E0">
        <w:rPr>
          <w:rFonts w:ascii="Narkisim" w:hAnsi="Narkisim"/>
          <w:rtl/>
        </w:rPr>
        <w:t xml:space="preserve"> וכ"ת תיתי עשה ותדחה ל"ת, גזירה ביאה ראשונה אטו שניה שאין בה קיום מצוה. וה</w:t>
      </w:r>
      <w:r w:rsidRPr="009F36E0">
        <w:rPr>
          <w:rFonts w:ascii="Narkisim" w:hAnsi="Narkisim"/>
          <w:b/>
          <w:bCs/>
          <w:rtl/>
        </w:rPr>
        <w:t>אחרונים</w:t>
      </w:r>
      <w:r w:rsidRPr="009F36E0">
        <w:rPr>
          <w:rFonts w:ascii="Narkisim" w:hAnsi="Narkisim"/>
          <w:rtl/>
        </w:rPr>
        <w:t xml:space="preserve"> </w:t>
      </w:r>
      <w:r w:rsidRPr="009F36E0">
        <w:rPr>
          <w:rFonts w:ascii="Narkisim" w:hAnsi="Narkisim"/>
          <w:szCs w:val="20"/>
          <w:rtl/>
        </w:rPr>
        <w:t>(</w:t>
      </w:r>
      <w:r w:rsidRPr="009F36E0">
        <w:rPr>
          <w:rFonts w:ascii="Narkisim" w:hAnsi="Narkisim"/>
          <w:b/>
          <w:bCs/>
          <w:szCs w:val="20"/>
          <w:rtl/>
        </w:rPr>
        <w:t>שאג"א</w:t>
      </w:r>
      <w:r w:rsidRPr="009F36E0">
        <w:rPr>
          <w:rFonts w:ascii="Narkisim" w:hAnsi="Narkisim"/>
          <w:rtl/>
        </w:rPr>
        <w:t xml:space="preserve"> </w:t>
      </w:r>
      <w:r w:rsidRPr="009F36E0">
        <w:rPr>
          <w:rFonts w:ascii="Narkisim" w:hAnsi="Narkisim"/>
          <w:sz w:val="20"/>
          <w:szCs w:val="20"/>
          <w:rtl/>
        </w:rPr>
        <w:t>ס"ס לג, גהש”ס שם)</w:t>
      </w:r>
      <w:r w:rsidRPr="009F36E0">
        <w:rPr>
          <w:rFonts w:ascii="Narkisim" w:hAnsi="Narkisim"/>
          <w:rtl/>
        </w:rPr>
        <w:t xml:space="preserve"> תמהו דרש"י סתר דבריו, דבתחילתו נקט כרב גידל, ואח"כ כתב דרבנן דעשה לא דחי לל"ת</w:t>
      </w:r>
      <w:r w:rsidRPr="009F36E0">
        <w:rPr>
          <w:rFonts w:ascii="Narkisim" w:hAnsi="Narkisim"/>
        </w:rPr>
        <w:t>.</w:t>
      </w:r>
    </w:p>
    <w:p w14:paraId="76062A6A"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(מהרש"א) נדחקו דכוונת רש"י לצדדים, דבחייבי לאו ועשה ילפי' מדרב גידל [וכתוס'], ובחייבי לאו לחוד הוה דרבנן</w:t>
      </w:r>
      <w:r w:rsidRPr="009F36E0">
        <w:rPr>
          <w:rFonts w:ascii="Narkisim" w:hAnsi="Narkisim"/>
        </w:rPr>
        <w:t>.</w:t>
      </w:r>
    </w:p>
    <w:p w14:paraId="65962528" w14:textId="77777777" w:rsidR="006074A5" w:rsidRPr="009F36E0" w:rsidRDefault="006074A5" w:rsidP="006074A5">
      <w:pPr>
        <w:pStyle w:val="a7"/>
        <w:bidi/>
        <w:rPr>
          <w:rFonts w:ascii="Narkisim" w:hAnsi="Narkisim"/>
        </w:rPr>
      </w:pPr>
      <w:r w:rsidRPr="009F36E0">
        <w:rPr>
          <w:rFonts w:ascii="Narkisim" w:hAnsi="Narkisim"/>
          <w:sz w:val="20"/>
          <w:szCs w:val="20"/>
          <w:rtl/>
        </w:rPr>
        <w:t>ויש שפי' כוונת רש"י (שם) דאף לאחר גזירה דביאה שניה בעינן לדרב גידל בחייבי לאוין. דכיון דמדרבנן עשה לא דחי ללא תעשה, א"כ מדרבנן עשה זה לא רמי עליו, ותו לא דחי לל"ת אף מדרבנן</w:t>
      </w:r>
      <w:r w:rsidRPr="009F36E0">
        <w:rPr>
          <w:rStyle w:val="ac"/>
          <w:rFonts w:ascii="Narkisim" w:hAnsi="Narkisim"/>
          <w:sz w:val="20"/>
          <w:szCs w:val="20"/>
          <w:rtl/>
        </w:rPr>
        <w:footnoteReference w:id="1250"/>
      </w:r>
      <w:r w:rsidRPr="009F36E0">
        <w:rPr>
          <w:rFonts w:ascii="Narkisim" w:hAnsi="Narkisim"/>
          <w:sz w:val="20"/>
          <w:szCs w:val="20"/>
        </w:rPr>
        <w:t xml:space="preserve">. </w:t>
      </w:r>
      <w:r w:rsidRPr="009F36E0">
        <w:rPr>
          <w:rFonts w:ascii="Narkisim" w:hAnsi="Narkisim"/>
          <w:sz w:val="20"/>
          <w:szCs w:val="20"/>
          <w:rtl/>
        </w:rPr>
        <w:t>ועי"ז הדר קושיה דאינה עולה ליבום, והאיך חולצת. קמ"ל דדינו כחייבי לאו ועשה דילפי' מדרב גידל. [אך צ"ע דא"כ אמאי אם בעלו קנו</w:t>
      </w:r>
      <w:r w:rsidRPr="009F36E0">
        <w:rPr>
          <w:rStyle w:val="ac"/>
          <w:rFonts w:ascii="Narkisim" w:hAnsi="Narkisim"/>
          <w:sz w:val="20"/>
          <w:szCs w:val="20"/>
          <w:rtl/>
        </w:rPr>
        <w:footnoteReference w:id="1251"/>
      </w:r>
      <w:r w:rsidRPr="009F36E0">
        <w:rPr>
          <w:rFonts w:ascii="Narkisim" w:hAnsi="Narkisim"/>
          <w:sz w:val="20"/>
          <w:szCs w:val="20"/>
          <w:rtl/>
        </w:rPr>
        <w:t>]</w:t>
      </w:r>
      <w:r w:rsidRPr="009F36E0">
        <w:rPr>
          <w:rFonts w:ascii="Narkisim" w:hAnsi="Narkisim"/>
          <w:sz w:val="20"/>
          <w:szCs w:val="20"/>
        </w:rPr>
        <w:t>.</w:t>
      </w:r>
    </w:p>
    <w:p w14:paraId="4C1C6B16" w14:textId="77777777" w:rsidR="006074A5" w:rsidRPr="009F36E0" w:rsidRDefault="006074A5" w:rsidP="006074A5">
      <w:pPr>
        <w:bidi/>
        <w:rPr>
          <w:rFonts w:ascii="Narkisim" w:hAnsi="Narkisim" w:cs="Narkisim"/>
        </w:rPr>
      </w:pPr>
      <w:r w:rsidRPr="009F36E0">
        <w:rPr>
          <w:rFonts w:ascii="Narkisim" w:hAnsi="Narkisim" w:cs="Narkisim"/>
          <w:u w:val="single"/>
          <w:rtl/>
        </w:rPr>
        <w:t>בא"ד (שם) וחייבי עשה.</w:t>
      </w:r>
      <w:r w:rsidRPr="009F36E0">
        <w:rPr>
          <w:rFonts w:ascii="Narkisim" w:hAnsi="Narkisim" w:cs="Narkisim"/>
          <w:rtl/>
        </w:rPr>
        <w:t xml:space="preserve"> מבואר בתוס' דאף חייבי עשה לחוד, כגון מצרי ואדומי, אם בעלו ל"ק. דאין עשה דוחה עשה, ומדאורי' חולצת. </w:t>
      </w:r>
      <w:r w:rsidRPr="009F36E0">
        <w:rPr>
          <w:rFonts w:ascii="Narkisim" w:hAnsi="Narkisim" w:cs="Narkisim"/>
          <w:sz w:val="20"/>
          <w:szCs w:val="20"/>
          <w:rtl/>
        </w:rPr>
        <w:t xml:space="preserve">וכ"כ </w:t>
      </w:r>
      <w:r w:rsidRPr="009F36E0">
        <w:rPr>
          <w:rFonts w:ascii="Narkisim" w:hAnsi="Narkisim" w:cs="Narkisim"/>
          <w:b/>
          <w:bCs/>
          <w:sz w:val="20"/>
          <w:szCs w:val="20"/>
          <w:rtl/>
        </w:rPr>
        <w:t>תוס</w:t>
      </w:r>
      <w:r w:rsidRPr="009F36E0">
        <w:rPr>
          <w:rFonts w:ascii="Narkisim" w:hAnsi="Narkisim" w:cs="Narkisim"/>
          <w:sz w:val="20"/>
          <w:szCs w:val="20"/>
          <w:rtl/>
        </w:rPr>
        <w:t>' (לעיל ד"ה מסתברא) חייבי עשה גרידא.</w:t>
      </w:r>
      <w:r w:rsidRPr="009F36E0">
        <w:rPr>
          <w:rFonts w:ascii="Narkisim" w:hAnsi="Narkisim" w:cs="Narkisim"/>
          <w:rtl/>
        </w:rPr>
        <w:t xml:space="preserve"> אבל דעת ה</w:t>
      </w:r>
      <w:r w:rsidRPr="009F36E0">
        <w:rPr>
          <w:rFonts w:ascii="Narkisim" w:hAnsi="Narkisim" w:cs="Narkisim"/>
          <w:b/>
          <w:bCs/>
          <w:rtl/>
        </w:rPr>
        <w:t xml:space="preserve">רשב"א </w:t>
      </w:r>
      <w:r w:rsidRPr="009F36E0">
        <w:rPr>
          <w:rFonts w:ascii="Narkisim" w:hAnsi="Narkisim" w:cs="Narkisim"/>
          <w:sz w:val="20"/>
          <w:szCs w:val="20"/>
          <w:rtl/>
        </w:rPr>
        <w:t>(כתובות מ.)</w:t>
      </w:r>
      <w:r w:rsidRPr="009F36E0">
        <w:rPr>
          <w:rFonts w:ascii="Narkisim" w:hAnsi="Narkisim" w:cs="Narkisim"/>
          <w:rtl/>
        </w:rPr>
        <w:t xml:space="preserve"> דלאו הבא מכלל עשה לא עדיף מלאו גמור, ונדחה ע"י עשה ומתייבמת</w:t>
      </w:r>
      <w:r w:rsidRPr="009F36E0">
        <w:rPr>
          <w:rStyle w:val="ac"/>
          <w:rFonts w:ascii="Narkisim" w:hAnsi="Narkisim" w:cs="Narkisim"/>
          <w:rtl/>
        </w:rPr>
        <w:footnoteReference w:id="1252"/>
      </w:r>
      <w:r w:rsidRPr="009F36E0">
        <w:rPr>
          <w:rFonts w:ascii="Narkisim" w:hAnsi="Narkisim" w:cs="Narkisim"/>
        </w:rPr>
        <w:t xml:space="preserve"> </w:t>
      </w:r>
      <w:r w:rsidRPr="009F36E0">
        <w:rPr>
          <w:rFonts w:ascii="Narkisim" w:hAnsi="Narkisim" w:cs="Narkisim"/>
          <w:rtl/>
        </w:rPr>
        <w:t>[מדאורייתא]</w:t>
      </w:r>
      <w:r w:rsidRPr="009F36E0">
        <w:rPr>
          <w:rFonts w:ascii="Narkisim" w:hAnsi="Narkisim" w:cs="Narkisim"/>
        </w:rPr>
        <w:t>.</w:t>
      </w:r>
    </w:p>
    <w:p w14:paraId="794518FC"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sz w:val="20"/>
          <w:szCs w:val="20"/>
          <w:rtl/>
        </w:rPr>
        <w:t xml:space="preserve"> (קובה"ע יח ד) </w:t>
      </w:r>
      <w:r w:rsidRPr="009F36E0">
        <w:rPr>
          <w:rFonts w:ascii="Narkisim" w:hAnsi="Narkisim"/>
          <w:rtl/>
        </w:rPr>
        <w:t xml:space="preserve">ביארו דלפ"ז הא דעשה לא דחי ל"ת ולאו הבא מכלל עשה, הוה משום דל"ת ועשה מסייעי אהדדי ואלים. ולפ"ז לכאורה עשה לא דחי אף ב' לאוין </w:t>
      </w:r>
      <w:r w:rsidRPr="009F36E0">
        <w:rPr>
          <w:rFonts w:ascii="Narkisim" w:hAnsi="Narkisim"/>
          <w:sz w:val="20"/>
          <w:szCs w:val="20"/>
          <w:rtl/>
        </w:rPr>
        <w:t>[ודלא כ</w:t>
      </w:r>
      <w:r w:rsidRPr="009F36E0">
        <w:rPr>
          <w:rFonts w:ascii="Narkisim" w:hAnsi="Narkisim"/>
          <w:b/>
          <w:bCs/>
          <w:sz w:val="20"/>
          <w:szCs w:val="20"/>
          <w:rtl/>
        </w:rPr>
        <w:t>תוס</w:t>
      </w:r>
      <w:r w:rsidRPr="009F36E0">
        <w:rPr>
          <w:rFonts w:ascii="Narkisim" w:hAnsi="Narkisim"/>
          <w:sz w:val="20"/>
          <w:szCs w:val="20"/>
          <w:rtl/>
        </w:rPr>
        <w:t>' (ג:) דנקטו בפשיטות דמה לי לאו א' מה לי תרי עי”ש]</w:t>
      </w:r>
      <w:r w:rsidRPr="009F36E0">
        <w:rPr>
          <w:rFonts w:ascii="Narkisim" w:hAnsi="Narkisim"/>
        </w:rPr>
        <w:t>.</w:t>
      </w:r>
    </w:p>
    <w:p w14:paraId="6ADC6E43" w14:textId="77777777" w:rsidR="006074A5" w:rsidRPr="009F36E0" w:rsidRDefault="006074A5" w:rsidP="006074A5">
      <w:pPr>
        <w:pStyle w:val="a8"/>
        <w:bidi/>
        <w:rPr>
          <w:rFonts w:ascii="Narkisim" w:hAnsi="Narkisim"/>
        </w:rPr>
      </w:pPr>
      <w:r w:rsidRPr="009F36E0">
        <w:rPr>
          <w:rFonts w:ascii="Narkisim" w:hAnsi="Narkisim"/>
          <w:rtl/>
        </w:rPr>
        <w:t>דהא יבום לא דחי באלמנה מן הנישואין, ואף [דבפשוטו</w:t>
      </w:r>
      <w:r w:rsidRPr="009F36E0">
        <w:rPr>
          <w:rStyle w:val="ac"/>
          <w:rFonts w:ascii="Narkisim" w:hAnsi="Narkisim"/>
          <w:rtl/>
        </w:rPr>
        <w:footnoteReference w:id="1253"/>
      </w:r>
      <w:r w:rsidRPr="009F36E0">
        <w:rPr>
          <w:rFonts w:ascii="Narkisim" w:hAnsi="Narkisim"/>
          <w:rtl/>
        </w:rPr>
        <w:t>] עשה דבתולה יקח הוה לאו הבא מכלל עשה. ע"כ דל"ת ועשה אלים</w:t>
      </w:r>
      <w:r w:rsidRPr="009F36E0">
        <w:rPr>
          <w:rFonts w:ascii="Narkisim" w:hAnsi="Narkisim"/>
        </w:rPr>
        <w:t>.</w:t>
      </w:r>
    </w:p>
    <w:p w14:paraId="257EDDC7" w14:textId="77777777" w:rsidR="006074A5" w:rsidRPr="009F36E0" w:rsidRDefault="006074A5" w:rsidP="006074A5">
      <w:pPr>
        <w:bidi/>
        <w:rPr>
          <w:rFonts w:ascii="Narkisim" w:hAnsi="Narkisim" w:cs="Narkisim"/>
        </w:rPr>
      </w:pPr>
      <w:r w:rsidRPr="009F36E0">
        <w:rPr>
          <w:rFonts w:ascii="Narkisim" w:hAnsi="Narkisim" w:cs="Narkisim"/>
          <w:u w:val="single"/>
          <w:rtl/>
        </w:rPr>
        <w:t>שם. וחייבי עשה</w:t>
      </w:r>
      <w:r w:rsidRPr="009F36E0">
        <w:rPr>
          <w:rFonts w:ascii="Narkisim" w:hAnsi="Narkisim" w:cs="Narkisim"/>
          <w:rtl/>
        </w:rPr>
        <w:t>. וה</w:t>
      </w:r>
      <w:r w:rsidRPr="009F36E0">
        <w:rPr>
          <w:rFonts w:ascii="Narkisim" w:hAnsi="Narkisim" w:cs="Narkisim"/>
          <w:b/>
          <w:bCs/>
          <w:rtl/>
        </w:rPr>
        <w:t>רמב"ם</w:t>
      </w:r>
      <w:r w:rsidRPr="009F36E0">
        <w:rPr>
          <w:rFonts w:ascii="Narkisim" w:hAnsi="Narkisim" w:cs="Narkisim"/>
          <w:rtl/>
        </w:rPr>
        <w:t xml:space="preserve"> (ו י) פסק דבאיסור עשה לחוד אם בעלו קנו, דמהדין עשה דוחה</w:t>
      </w:r>
      <w:r w:rsidRPr="009F36E0">
        <w:rPr>
          <w:rStyle w:val="ac"/>
          <w:rFonts w:ascii="Narkisim" w:hAnsi="Narkisim" w:cs="Narkisim"/>
          <w:rtl/>
        </w:rPr>
        <w:footnoteReference w:id="1254"/>
      </w:r>
      <w:r w:rsidRPr="009F36E0">
        <w:rPr>
          <w:rFonts w:ascii="Narkisim" w:hAnsi="Narkisim" w:cs="Narkisim"/>
        </w:rPr>
        <w:t xml:space="preserve">. </w:t>
      </w:r>
      <w:r w:rsidRPr="009F36E0">
        <w:rPr>
          <w:rFonts w:ascii="Narkisim" w:hAnsi="Narkisim" w:cs="Narkisim"/>
          <w:rtl/>
        </w:rPr>
        <w:t>[ועד"ז משמע בטור ושו"ע קעד א]. וה</w:t>
      </w:r>
      <w:r w:rsidRPr="009F36E0">
        <w:rPr>
          <w:rFonts w:ascii="Narkisim" w:hAnsi="Narkisim" w:cs="Narkisim"/>
          <w:b/>
          <w:bCs/>
          <w:rtl/>
        </w:rPr>
        <w:t>יש"ש</w:t>
      </w:r>
      <w:r w:rsidRPr="009F36E0">
        <w:rPr>
          <w:rFonts w:ascii="Narkisim" w:hAnsi="Narkisim" w:cs="Narkisim"/>
          <w:rtl/>
        </w:rPr>
        <w:t xml:space="preserve"> (ג) ושאר אחרונים תמהו דעשה לא דחי לעשה, א”כ אמאי אם בעלו קנו</w:t>
      </w:r>
      <w:r w:rsidRPr="009F36E0">
        <w:rPr>
          <w:rStyle w:val="ac"/>
          <w:rFonts w:ascii="Narkisim" w:hAnsi="Narkisim" w:cs="Narkisim"/>
          <w:rtl/>
        </w:rPr>
        <w:footnoteReference w:id="1255"/>
      </w:r>
      <w:r w:rsidRPr="009F36E0">
        <w:rPr>
          <w:rFonts w:ascii="Narkisim" w:hAnsi="Narkisim" w:cs="Narkisim"/>
        </w:rPr>
        <w:t xml:space="preserve">. </w:t>
      </w:r>
      <w:r w:rsidRPr="009F36E0">
        <w:rPr>
          <w:rFonts w:ascii="Narkisim" w:hAnsi="Narkisim" w:cs="Narkisim"/>
          <w:rtl/>
        </w:rPr>
        <w:t>ומ"ש מחייבי לאו ועשה</w:t>
      </w:r>
      <w:r w:rsidRPr="009F36E0">
        <w:rPr>
          <w:rStyle w:val="ac"/>
          <w:rFonts w:ascii="Narkisim" w:hAnsi="Narkisim" w:cs="Narkisim"/>
          <w:rtl/>
        </w:rPr>
        <w:footnoteReference w:id="1256"/>
      </w:r>
      <w:r w:rsidRPr="009F36E0">
        <w:rPr>
          <w:rFonts w:ascii="Narkisim" w:hAnsi="Narkisim" w:cs="Narkisim"/>
        </w:rPr>
        <w:t>.</w:t>
      </w:r>
    </w:p>
    <w:p w14:paraId="0F0EE241"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במשניות סז)</w:t>
      </w:r>
      <w:r w:rsidRPr="009F36E0">
        <w:rPr>
          <w:rFonts w:ascii="Narkisim" w:hAnsi="Narkisim"/>
          <w:rtl/>
        </w:rPr>
        <w:t xml:space="preserve"> וכמה </w:t>
      </w:r>
      <w:r w:rsidRPr="009F36E0">
        <w:rPr>
          <w:rFonts w:ascii="Narkisim" w:hAnsi="Narkisim"/>
          <w:b/>
          <w:bCs/>
          <w:rtl/>
        </w:rPr>
        <w:t>אחרונים</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בי"מ קעד, קו"א לשאג"א)</w:t>
      </w:r>
      <w:r w:rsidRPr="009F36E0">
        <w:rPr>
          <w:rFonts w:ascii="Narkisim" w:hAnsi="Narkisim"/>
          <w:rtl/>
        </w:rPr>
        <w:t xml:space="preserve"> כת' דמבואר ברמב"ם כדעת הרשב"א דיבום דוחה לאו הבא מכלל עשה. אלא משום גזירה אטו ביאה שניה. ועד"ז כת' ה</w:t>
      </w:r>
      <w:r w:rsidRPr="009F36E0">
        <w:rPr>
          <w:rFonts w:ascii="Narkisim" w:hAnsi="Narkisim"/>
          <w:b/>
          <w:bCs/>
          <w:rtl/>
        </w:rPr>
        <w:t xml:space="preserve">שאג"א </w:t>
      </w:r>
      <w:r w:rsidRPr="009F36E0">
        <w:rPr>
          <w:rFonts w:ascii="Narkisim" w:hAnsi="Narkisim"/>
          <w:rtl/>
        </w:rPr>
        <w:lastRenderedPageBreak/>
        <w:t xml:space="preserve">(לג) דדעת הרמב"ם דעשה בקום ועשה דוחה לעשה בשב ואל תעשה. </w:t>
      </w:r>
      <w:r w:rsidRPr="009F36E0">
        <w:rPr>
          <w:rFonts w:ascii="Narkisim" w:hAnsi="Narkisim"/>
          <w:sz w:val="20"/>
          <w:szCs w:val="20"/>
          <w:rtl/>
        </w:rPr>
        <w:t>אך שוב הקשה דבגמ' (פסחים נט.) דמבואר דעשה דהשלמה לא נדחה</w:t>
      </w:r>
      <w:r w:rsidRPr="009F36E0">
        <w:rPr>
          <w:rStyle w:val="ac"/>
          <w:rFonts w:ascii="Narkisim" w:hAnsi="Narkisim"/>
          <w:sz w:val="20"/>
          <w:szCs w:val="20"/>
          <w:rtl/>
        </w:rPr>
        <w:footnoteReference w:id="1257"/>
      </w:r>
      <w:r w:rsidRPr="009F36E0">
        <w:rPr>
          <w:rFonts w:ascii="Narkisim" w:hAnsi="Narkisim"/>
          <w:sz w:val="20"/>
          <w:szCs w:val="20"/>
        </w:rPr>
        <w:t>].</w:t>
      </w:r>
    </w:p>
    <w:p w14:paraId="490A8B9D"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נוב"י</w:t>
      </w:r>
      <w:r w:rsidRPr="009F36E0">
        <w:rPr>
          <w:rFonts w:ascii="Narkisim" w:hAnsi="Narkisim"/>
          <w:rtl/>
        </w:rPr>
        <w:t xml:space="preserve"> (ח"א בחתימת הספר) כת' דעשה כנגד עשה אמרי' שב ואל תעשה, דמאי אולמי האי עשה מהאי עשה</w:t>
      </w:r>
      <w:r w:rsidRPr="009F36E0">
        <w:rPr>
          <w:rStyle w:val="ac"/>
          <w:rFonts w:ascii="Narkisim" w:hAnsi="Narkisim"/>
          <w:rtl/>
        </w:rPr>
        <w:footnoteReference w:id="1258"/>
      </w:r>
      <w:r w:rsidRPr="009F36E0">
        <w:rPr>
          <w:rFonts w:ascii="Narkisim" w:hAnsi="Narkisim"/>
        </w:rPr>
        <w:t xml:space="preserve"> </w:t>
      </w:r>
      <w:r w:rsidRPr="009F36E0">
        <w:rPr>
          <w:rFonts w:ascii="Narkisim" w:hAnsi="Narkisim"/>
          <w:rtl/>
        </w:rPr>
        <w:t>[ושב ואל תעשה</w:t>
      </w:r>
      <w:r w:rsidRPr="009F36E0">
        <w:rPr>
          <w:rStyle w:val="ac"/>
          <w:rFonts w:ascii="Narkisim" w:hAnsi="Narkisim"/>
          <w:rtl/>
        </w:rPr>
        <w:footnoteReference w:id="1259"/>
      </w:r>
      <w:r w:rsidRPr="009F36E0">
        <w:rPr>
          <w:rFonts w:ascii="Narkisim" w:hAnsi="Narkisim"/>
          <w:rtl/>
        </w:rPr>
        <w:t>]. אך ה”מ לכתחילה, אבל לאחר שכבר עשה מעשה בדיעבד לא אמרי' דהוה כאילו לא קיים מצוות היבום, דגם איפכא אמרי' מאי אולמי האי עשה. ולכן אם בעלו קנו</w:t>
      </w:r>
      <w:r w:rsidRPr="009F36E0">
        <w:rPr>
          <w:rStyle w:val="ac"/>
          <w:rFonts w:ascii="Narkisim" w:hAnsi="Narkisim"/>
          <w:rtl/>
        </w:rPr>
        <w:footnoteReference w:id="1260"/>
      </w:r>
      <w:r w:rsidRPr="009F36E0">
        <w:rPr>
          <w:rFonts w:ascii="Narkisim" w:hAnsi="Narkisim"/>
        </w:rPr>
        <w:t xml:space="preserve">. </w:t>
      </w:r>
      <w:r w:rsidRPr="009F36E0">
        <w:rPr>
          <w:rFonts w:ascii="Narkisim" w:hAnsi="Narkisim"/>
          <w:rtl/>
        </w:rPr>
        <w:t>[ולא דרשי' בזה כדרב גידל</w:t>
      </w:r>
      <w:r w:rsidRPr="009F36E0">
        <w:rPr>
          <w:rStyle w:val="ac"/>
          <w:rFonts w:ascii="Narkisim" w:hAnsi="Narkisim"/>
          <w:rtl/>
        </w:rPr>
        <w:footnoteReference w:id="1261"/>
      </w:r>
      <w:r w:rsidRPr="009F36E0">
        <w:rPr>
          <w:rFonts w:ascii="Narkisim" w:hAnsi="Narkisim"/>
          <w:rtl/>
        </w:rPr>
        <w:t>]</w:t>
      </w:r>
      <w:r w:rsidRPr="009F36E0">
        <w:rPr>
          <w:rFonts w:ascii="Narkisim" w:hAnsi="Narkisim"/>
        </w:rPr>
        <w:t>.</w:t>
      </w:r>
    </w:p>
    <w:p w14:paraId="349AE220" w14:textId="77777777" w:rsidR="006074A5" w:rsidRPr="009F36E0" w:rsidRDefault="006074A5" w:rsidP="006074A5">
      <w:pPr>
        <w:bidi/>
        <w:rPr>
          <w:rFonts w:ascii="Narkisim" w:hAnsi="Narkisim" w:cs="Narkisim"/>
        </w:rPr>
      </w:pPr>
      <w:r w:rsidRPr="009F36E0">
        <w:rPr>
          <w:rFonts w:ascii="Narkisim" w:hAnsi="Narkisim" w:cs="Narkisim"/>
          <w:u w:val="single"/>
          <w:rtl/>
        </w:rPr>
        <w:t>תוד"ה אטו ביאה שניה.</w:t>
      </w:r>
      <w:r w:rsidRPr="009F36E0">
        <w:rPr>
          <w:rFonts w:ascii="Narkisim" w:hAnsi="Narkisim" w:cs="Narkisim"/>
          <w:rtl/>
        </w:rPr>
        <w:t xml:space="preserve"> אפי' גמר ביאה ראשונה אסור וכו'. אבל ה</w:t>
      </w:r>
      <w:r w:rsidRPr="009F36E0">
        <w:rPr>
          <w:rFonts w:ascii="Narkisim" w:hAnsi="Narkisim" w:cs="Narkisim"/>
          <w:b/>
          <w:bCs/>
          <w:rtl/>
        </w:rPr>
        <w:t>רמב"ן</w:t>
      </w:r>
      <w:r w:rsidRPr="009F36E0">
        <w:rPr>
          <w:rFonts w:ascii="Narkisim" w:hAnsi="Narkisim" w:cs="Narkisim"/>
          <w:rtl/>
        </w:rPr>
        <w:t xml:space="preserve"> כת' דאיתא למצוה עד גמר ביאה, דיבמה יבא עליה גמר ביאה משמע, אלא דדרשי' דקנה אף בהעראה</w:t>
      </w:r>
      <w:r w:rsidRPr="009F36E0">
        <w:rPr>
          <w:rStyle w:val="ac"/>
          <w:rFonts w:ascii="Narkisim" w:hAnsi="Narkisim" w:cs="Narkisim"/>
          <w:rtl/>
        </w:rPr>
        <w:footnoteReference w:id="1262"/>
      </w:r>
      <w:r w:rsidRPr="009F36E0">
        <w:rPr>
          <w:rFonts w:ascii="Narkisim" w:hAnsi="Narkisim" w:cs="Narkisim"/>
        </w:rPr>
        <w:t xml:space="preserve">. </w:t>
      </w:r>
      <w:r w:rsidRPr="009F36E0">
        <w:rPr>
          <w:rFonts w:ascii="Narkisim" w:hAnsi="Narkisim" w:cs="Narkisim"/>
          <w:sz w:val="20"/>
          <w:szCs w:val="20"/>
          <w:rtl/>
        </w:rPr>
        <w:t>[וע' מה שהובא בזה בע"א].</w:t>
      </w:r>
      <w:r w:rsidRPr="009F36E0">
        <w:rPr>
          <w:rFonts w:ascii="Narkisim" w:hAnsi="Narkisim" w:cs="Narkisim"/>
          <w:rtl/>
        </w:rPr>
        <w:t xml:space="preserve"> [ונתחדש דיש מצוות יבום אף לאחר שכבר קנאה והוה אשתו</w:t>
      </w:r>
      <w:r w:rsidRPr="009F36E0">
        <w:rPr>
          <w:rStyle w:val="ac"/>
          <w:rFonts w:ascii="Narkisim" w:hAnsi="Narkisim" w:cs="Narkisim"/>
          <w:rtl/>
        </w:rPr>
        <w:footnoteReference w:id="1263"/>
      </w:r>
      <w:r w:rsidRPr="009F36E0">
        <w:rPr>
          <w:rFonts w:ascii="Narkisim" w:hAnsi="Narkisim" w:cs="Narkisim"/>
          <w:rtl/>
        </w:rPr>
        <w:t>]</w:t>
      </w:r>
      <w:r w:rsidRPr="009F36E0">
        <w:rPr>
          <w:rFonts w:ascii="Narkisim" w:hAnsi="Narkisim" w:cs="Narkisim"/>
        </w:rPr>
        <w:t>.</w:t>
      </w:r>
    </w:p>
    <w:p w14:paraId="34E1A22B"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מרומי</w:t>
      </w:r>
      <w:r w:rsidRPr="009F36E0">
        <w:rPr>
          <w:rFonts w:ascii="Narkisim" w:hAnsi="Narkisim"/>
          <w:rtl/>
        </w:rPr>
        <w:t xml:space="preserve"> </w:t>
      </w:r>
      <w:r w:rsidRPr="009F36E0">
        <w:rPr>
          <w:rFonts w:ascii="Narkisim" w:hAnsi="Narkisim"/>
          <w:b/>
          <w:bCs/>
          <w:rtl/>
        </w:rPr>
        <w:t>שדה</w:t>
      </w:r>
      <w:r w:rsidRPr="009F36E0">
        <w:rPr>
          <w:rFonts w:ascii="Narkisim" w:hAnsi="Narkisim"/>
          <w:rtl/>
        </w:rPr>
        <w:t xml:space="preserve"> תי' קושיית התוס' דאע"ג שנגמר המצוה מ"מ הוה כציצין שאין מעכבין את המילה, דכל זמן שלא פירש דוחה שבת. וה"נ מצוה לגמור ביאתו.</w:t>
      </w:r>
      <w:r w:rsidRPr="009F36E0">
        <w:rPr>
          <w:rFonts w:ascii="Narkisim" w:hAnsi="Narkisim"/>
          <w:sz w:val="20"/>
          <w:szCs w:val="20"/>
          <w:rtl/>
        </w:rPr>
        <w:t xml:space="preserve"> [ונחשב כולו מעשה מצוה א', וכעי"ז דן בכ"מ. וע' קה"י קידושין לד]</w:t>
      </w:r>
      <w:r w:rsidRPr="009F36E0">
        <w:rPr>
          <w:rStyle w:val="ac"/>
          <w:rFonts w:ascii="Narkisim" w:hAnsi="Narkisim"/>
          <w:sz w:val="20"/>
          <w:szCs w:val="20"/>
          <w:rtl/>
        </w:rPr>
        <w:footnoteReference w:id="1264"/>
      </w:r>
      <w:r w:rsidRPr="009F36E0">
        <w:rPr>
          <w:rFonts w:ascii="Narkisim" w:hAnsi="Narkisim"/>
          <w:sz w:val="20"/>
          <w:szCs w:val="20"/>
        </w:rPr>
        <w:t>.</w:t>
      </w:r>
    </w:p>
    <w:p w14:paraId="4F171C78" w14:textId="77777777" w:rsidR="006074A5" w:rsidRPr="009F36E0" w:rsidRDefault="006074A5" w:rsidP="006074A5">
      <w:pPr>
        <w:pStyle w:val="aa"/>
        <w:bidi/>
        <w:rPr>
          <w:rFonts w:ascii="Narkisim" w:hAnsi="Narkisim"/>
        </w:rPr>
      </w:pPr>
      <w:r w:rsidRPr="009F36E0">
        <w:rPr>
          <w:rFonts w:ascii="Narkisim" w:hAnsi="Narkisim"/>
          <w:u w:val="single"/>
          <w:rtl/>
        </w:rPr>
        <w:t>בא"ד ואין להתיר מטעם דנעשית כאשתו וכו</w:t>
      </w:r>
      <w:r w:rsidRPr="009F36E0">
        <w:rPr>
          <w:rFonts w:ascii="Narkisim" w:hAnsi="Narkisim"/>
          <w:rtl/>
        </w:rPr>
        <w:t>'. מבואר בתוס' דס"ד דיש היתר משום שנעשית כאשתו. ומשמע דהוה יסוד בכל האיסורין דכיון שהיא אשתו לא אמרי' דחל עליו איסור (ע' בסמוך)</w:t>
      </w:r>
      <w:r w:rsidRPr="009F36E0">
        <w:rPr>
          <w:rFonts w:ascii="Narkisim" w:hAnsi="Narkisim"/>
        </w:rPr>
        <w:t>.</w:t>
      </w:r>
    </w:p>
    <w:p w14:paraId="44AC010F" w14:textId="77777777" w:rsidR="006074A5" w:rsidRPr="009F36E0" w:rsidRDefault="006074A5" w:rsidP="006074A5">
      <w:pPr>
        <w:pStyle w:val="a8"/>
        <w:bidi/>
        <w:rPr>
          <w:rFonts w:ascii="Narkisim" w:hAnsi="Narkisim"/>
        </w:rPr>
      </w:pPr>
      <w:r w:rsidRPr="009F36E0">
        <w:rPr>
          <w:rFonts w:ascii="Narkisim" w:hAnsi="Narkisim"/>
          <w:rtl/>
        </w:rPr>
        <w:t>וצ”ע דבפשוטו היתר 'נעשית כאשתו' (דלעיל ח: יט:) הוה גילוי על האיסור אשת אח [ע' מש"כ יט:]. וכ"מ מדברי התוס' (לעיל ח: ד"ה מלמד)</w:t>
      </w:r>
      <w:r w:rsidRPr="009F36E0">
        <w:rPr>
          <w:rFonts w:ascii="Narkisim" w:hAnsi="Narkisim"/>
        </w:rPr>
        <w:t>.</w:t>
      </w:r>
    </w:p>
    <w:p w14:paraId="15B171A5" w14:textId="77777777" w:rsidR="006074A5" w:rsidRPr="009F36E0" w:rsidRDefault="006074A5" w:rsidP="006074A5">
      <w:pPr>
        <w:bidi/>
        <w:rPr>
          <w:rFonts w:ascii="Narkisim" w:hAnsi="Narkisim" w:cs="Narkisim"/>
        </w:rPr>
      </w:pPr>
      <w:r w:rsidRPr="009F36E0">
        <w:rPr>
          <w:rFonts w:ascii="Narkisim" w:hAnsi="Narkisim" w:cs="Narkisim"/>
          <w:u w:val="single"/>
          <w:rtl/>
        </w:rPr>
        <w:t>בא"ד אע"ג וכו' משום דנשאה בהיתר בלא שום דחיית איסור.</w:t>
      </w:r>
      <w:r w:rsidRPr="009F36E0">
        <w:rPr>
          <w:rFonts w:ascii="Narkisim" w:hAnsi="Narkisim" w:cs="Narkisim"/>
          <w:rtl/>
        </w:rPr>
        <w:t xml:space="preserve"> משמע מתוס' דכל מקום שנשא אשה בהיתר לא חל עליו איסורי התורה לאוסרה עליו</w:t>
      </w:r>
      <w:r w:rsidRPr="009F36E0">
        <w:rPr>
          <w:rStyle w:val="ac"/>
          <w:rFonts w:ascii="Narkisim" w:hAnsi="Narkisim" w:cs="Narkisim"/>
          <w:rtl/>
        </w:rPr>
        <w:footnoteReference w:id="1265"/>
      </w:r>
      <w:r w:rsidRPr="009F36E0">
        <w:rPr>
          <w:rFonts w:ascii="Narkisim" w:hAnsi="Narkisim" w:cs="Narkisim"/>
        </w:rPr>
        <w:t xml:space="preserve">. </w:t>
      </w:r>
      <w:r w:rsidRPr="009F36E0">
        <w:rPr>
          <w:rFonts w:ascii="Narkisim" w:hAnsi="Narkisim" w:cs="Narkisim"/>
          <w:rtl/>
        </w:rPr>
        <w:t>[דומיא דנשא אלמנה ואח"כ נתמנה להיות כה"ג, דכיון דנשאה מעיקרא מותר</w:t>
      </w:r>
      <w:r w:rsidRPr="009F36E0">
        <w:rPr>
          <w:rStyle w:val="ac"/>
          <w:rFonts w:ascii="Narkisim" w:hAnsi="Narkisim" w:cs="Narkisim"/>
          <w:rtl/>
        </w:rPr>
        <w:footnoteReference w:id="1266"/>
      </w:r>
      <w:r w:rsidRPr="009F36E0">
        <w:rPr>
          <w:rFonts w:ascii="Narkisim" w:hAnsi="Narkisim" w:cs="Narkisim"/>
          <w:rtl/>
        </w:rPr>
        <w:t>]. וה</w:t>
      </w:r>
      <w:r w:rsidRPr="009F36E0">
        <w:rPr>
          <w:rFonts w:ascii="Narkisim" w:hAnsi="Narkisim" w:cs="Narkisim"/>
          <w:b/>
          <w:bCs/>
          <w:rtl/>
        </w:rPr>
        <w:t>אחרונים</w:t>
      </w:r>
      <w:r w:rsidRPr="009F36E0">
        <w:rPr>
          <w:rFonts w:ascii="Narkisim" w:hAnsi="Narkisim" w:cs="Narkisim"/>
          <w:rtl/>
        </w:rPr>
        <w:t xml:space="preserve"> (קוב"ש גיטין נ) הקשו דמצאנו בכמה מקומות שנאסרה עליו אחרי שנשאה בהיתר, </w:t>
      </w:r>
      <w:r w:rsidRPr="009F36E0">
        <w:rPr>
          <w:rFonts w:ascii="Narkisim" w:hAnsi="Narkisim" w:cs="Narkisim"/>
          <w:sz w:val="20"/>
          <w:szCs w:val="20"/>
          <w:rtl/>
        </w:rPr>
        <w:t>כגון כשנעשה פצוע דכא, וכן אשת כהן שנאנסה שאסורה אף משום זונה (לקמן נו:)</w:t>
      </w:r>
      <w:r w:rsidRPr="009F36E0">
        <w:rPr>
          <w:rStyle w:val="ac"/>
          <w:rFonts w:ascii="Narkisim" w:hAnsi="Narkisim" w:cs="Narkisim"/>
          <w:sz w:val="20"/>
          <w:szCs w:val="20"/>
          <w:rtl/>
        </w:rPr>
        <w:footnoteReference w:id="1267"/>
      </w:r>
      <w:r w:rsidRPr="009F36E0">
        <w:rPr>
          <w:rFonts w:ascii="Narkisim" w:hAnsi="Narkisim" w:cs="Narkisim"/>
          <w:sz w:val="20"/>
          <w:szCs w:val="20"/>
        </w:rPr>
        <w:t xml:space="preserve">. </w:t>
      </w:r>
      <w:r w:rsidRPr="009F36E0">
        <w:rPr>
          <w:rFonts w:ascii="Narkisim" w:hAnsi="Narkisim" w:cs="Narkisim"/>
          <w:sz w:val="20"/>
          <w:szCs w:val="20"/>
          <w:rtl/>
        </w:rPr>
        <w:t>וכן כהן המגרש את אשתו ואמר ואי את מותרת לכל אדם (גיטין פב:), דריח הגט פוסל לכהונה, ועדיין היא אשתו</w:t>
      </w:r>
      <w:r w:rsidRPr="009F36E0">
        <w:rPr>
          <w:rStyle w:val="ac"/>
          <w:rFonts w:ascii="Narkisim" w:hAnsi="Narkisim" w:cs="Narkisim"/>
          <w:sz w:val="20"/>
          <w:szCs w:val="20"/>
          <w:rtl/>
        </w:rPr>
        <w:footnoteReference w:id="1268"/>
      </w:r>
      <w:r w:rsidRPr="009F36E0">
        <w:rPr>
          <w:rFonts w:ascii="Narkisim" w:hAnsi="Narkisim" w:cs="Narkisim"/>
          <w:sz w:val="20"/>
          <w:szCs w:val="20"/>
        </w:rPr>
        <w:t xml:space="preserve">. </w:t>
      </w:r>
      <w:r w:rsidRPr="009F36E0">
        <w:rPr>
          <w:rFonts w:ascii="Narkisim" w:hAnsi="Narkisim" w:cs="Narkisim"/>
          <w:sz w:val="20"/>
          <w:szCs w:val="20"/>
          <w:rtl/>
        </w:rPr>
        <w:t>וצ"ע</w:t>
      </w:r>
      <w:r w:rsidRPr="009F36E0">
        <w:rPr>
          <w:rFonts w:ascii="Narkisim" w:hAnsi="Narkisim" w:cs="Narkisim"/>
          <w:sz w:val="20"/>
          <w:szCs w:val="20"/>
        </w:rPr>
        <w:t>.</w:t>
      </w:r>
    </w:p>
    <w:p w14:paraId="53618E92" w14:textId="77777777" w:rsidR="006074A5" w:rsidRPr="009F36E0" w:rsidRDefault="006074A5" w:rsidP="006074A5">
      <w:pPr>
        <w:pStyle w:val="aa"/>
        <w:bidi/>
        <w:rPr>
          <w:rFonts w:ascii="Narkisim" w:hAnsi="Narkisim"/>
        </w:rPr>
      </w:pPr>
      <w:r w:rsidRPr="009F36E0">
        <w:rPr>
          <w:rFonts w:ascii="Narkisim" w:hAnsi="Narkisim"/>
          <w:u w:val="single"/>
          <w:rtl/>
        </w:rPr>
        <w:t>בא"ד (שם) בלא שום דחיית איסור</w:t>
      </w:r>
      <w:r w:rsidRPr="009F36E0">
        <w:rPr>
          <w:rFonts w:ascii="Narkisim" w:hAnsi="Narkisim"/>
          <w:rtl/>
        </w:rPr>
        <w:t xml:space="preserve">. </w:t>
      </w:r>
      <w:r w:rsidRPr="009F36E0">
        <w:rPr>
          <w:rFonts w:ascii="Narkisim" w:hAnsi="Narkisim"/>
          <w:b/>
          <w:bCs/>
          <w:rtl/>
        </w:rPr>
        <w:t>תוס'</w:t>
      </w:r>
      <w:r w:rsidRPr="009F36E0">
        <w:rPr>
          <w:rFonts w:ascii="Narkisim" w:hAnsi="Narkisim"/>
          <w:rtl/>
        </w:rPr>
        <w:t xml:space="preserve"> (לעיל ח:) כת' דביאה שניה ביבמה מותר אף בלא קרא [ולא אמרי' </w:t>
      </w:r>
      <w:r w:rsidRPr="009F36E0">
        <w:rPr>
          <w:rFonts w:ascii="Narkisim" w:hAnsi="Narkisim"/>
          <w:rtl/>
        </w:rPr>
        <w:lastRenderedPageBreak/>
        <w:t>דהדר איסור אשת אח], דסברא דלא אמר רחמנא לגרשה אחר ביאה ראשונה. ואף דביאה שניה [שהיא רשות] לא דחי חייבי לאוין. [ובחייבי לאוין רק ביאה הא' הותר, ולא אמרי' דיש סברא דהותר כל האישות]</w:t>
      </w:r>
      <w:r w:rsidRPr="009F36E0">
        <w:rPr>
          <w:rFonts w:ascii="Narkisim" w:hAnsi="Narkisim"/>
        </w:rPr>
        <w:t>.</w:t>
      </w:r>
    </w:p>
    <w:p w14:paraId="60A769C1"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תו"י</w:t>
      </w:r>
      <w:r w:rsidRPr="009F36E0">
        <w:rPr>
          <w:rFonts w:ascii="Narkisim" w:hAnsi="Narkisim"/>
          <w:rtl/>
        </w:rPr>
        <w:t xml:space="preserve"> (שם עה"ג) ביאר</w:t>
      </w:r>
      <w:r w:rsidRPr="009F36E0">
        <w:rPr>
          <w:rStyle w:val="ac"/>
          <w:rFonts w:ascii="Narkisim" w:hAnsi="Narkisim"/>
          <w:rtl/>
        </w:rPr>
        <w:footnoteReference w:id="1269"/>
      </w:r>
      <w:r w:rsidRPr="009F36E0">
        <w:rPr>
          <w:rFonts w:ascii="Narkisim" w:hAnsi="Narkisim"/>
        </w:rPr>
        <w:t xml:space="preserve"> </w:t>
      </w:r>
      <w:r w:rsidRPr="009F36E0">
        <w:rPr>
          <w:rFonts w:ascii="Narkisim" w:hAnsi="Narkisim"/>
          <w:rtl/>
        </w:rPr>
        <w:t>דיש חילוק בין איסור אשת אח דהוה בהיתר גמור, ואמרי' [סברא] דלא צוה הכתוב ליקחנה ולהוציאה מיד. אבל היכא דביאה ראשונה ע"י דחיית הלאו, ל"מ להתיר ביאה שניה</w:t>
      </w:r>
      <w:r w:rsidRPr="009F36E0">
        <w:rPr>
          <w:rFonts w:ascii="Narkisim" w:hAnsi="Narkisim"/>
        </w:rPr>
        <w:t>.</w:t>
      </w:r>
    </w:p>
    <w:p w14:paraId="1190EE7A" w14:textId="77777777" w:rsidR="006074A5" w:rsidRPr="009F36E0" w:rsidRDefault="006074A5" w:rsidP="006074A5">
      <w:pPr>
        <w:bidi/>
        <w:rPr>
          <w:rFonts w:ascii="Narkisim" w:hAnsi="Narkisim" w:cs="Narkisim"/>
        </w:rPr>
      </w:pPr>
      <w:r w:rsidRPr="009F36E0">
        <w:rPr>
          <w:rFonts w:ascii="Narkisim" w:hAnsi="Narkisim" w:cs="Narkisim"/>
          <w:u w:val="single"/>
          <w:rtl/>
        </w:rPr>
        <w:t>תוד"ה מיתיבי.</w:t>
      </w:r>
      <w:r w:rsidRPr="009F36E0">
        <w:rPr>
          <w:rFonts w:ascii="Narkisim" w:hAnsi="Narkisim" w:cs="Narkisim"/>
          <w:rtl/>
        </w:rPr>
        <w:t xml:space="preserve"> תימה דרבא גופיה מותיב וכו'. [וכה"ק כל ה</w:t>
      </w:r>
      <w:r w:rsidRPr="009F36E0">
        <w:rPr>
          <w:rFonts w:ascii="Narkisim" w:hAnsi="Narkisim" w:cs="Narkisim"/>
          <w:b/>
          <w:bCs/>
          <w:rtl/>
        </w:rPr>
        <w:t>ראשונים</w:t>
      </w:r>
      <w:r w:rsidRPr="009F36E0">
        <w:rPr>
          <w:rFonts w:ascii="Narkisim" w:hAnsi="Narkisim" w:cs="Narkisim"/>
          <w:rtl/>
        </w:rPr>
        <w:t>]. וה</w:t>
      </w:r>
      <w:r w:rsidRPr="009F36E0">
        <w:rPr>
          <w:rFonts w:ascii="Narkisim" w:hAnsi="Narkisim" w:cs="Narkisim"/>
          <w:b/>
          <w:bCs/>
          <w:rtl/>
        </w:rPr>
        <w:t>אחרונים</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 xml:space="preserve">פנ"י בליקוטים, קר"א, מגיה לאבנ"מ קעד) </w:t>
      </w:r>
      <w:r w:rsidRPr="009F36E0">
        <w:rPr>
          <w:rFonts w:ascii="Narkisim" w:hAnsi="Narkisim" w:cs="Narkisim"/>
          <w:rtl/>
        </w:rPr>
        <w:t>תי' דרבא סבר דאף דעשה לא דחי לל"ת, מ"מ יש זיקת יבום, ולכן אם בעלו קנו</w:t>
      </w:r>
      <w:r w:rsidRPr="009F36E0">
        <w:rPr>
          <w:rFonts w:ascii="Narkisim" w:hAnsi="Narkisim" w:cs="Narkisim"/>
        </w:rPr>
        <w:t>.</w:t>
      </w:r>
    </w:p>
    <w:p w14:paraId="00197E3D" w14:textId="77777777" w:rsidR="006074A5" w:rsidRPr="009F36E0" w:rsidRDefault="006074A5" w:rsidP="006074A5">
      <w:pPr>
        <w:pStyle w:val="a7"/>
        <w:bidi/>
        <w:rPr>
          <w:rFonts w:ascii="Narkisim" w:hAnsi="Narkisim"/>
        </w:rPr>
      </w:pPr>
      <w:r w:rsidRPr="009F36E0">
        <w:rPr>
          <w:rFonts w:ascii="Narkisim" w:hAnsi="Narkisim"/>
          <w:rtl/>
        </w:rPr>
        <w:t>ורבא הקשה רק לרב גידל דילפי' דעולה רק לחליצה ואין זיקה ליבום כלל. ומ"מ המקשן הקשה לרבא, וס"ל דאף כל היכא דלא דחי לל"ת, אם בעלו ל"ק</w:t>
      </w:r>
      <w:r w:rsidRPr="009F36E0">
        <w:rPr>
          <w:rStyle w:val="ac"/>
          <w:rFonts w:ascii="Narkisim" w:hAnsi="Narkisim"/>
          <w:rtl/>
        </w:rPr>
        <w:footnoteReference w:id="1270"/>
      </w:r>
      <w:r w:rsidRPr="009F36E0">
        <w:rPr>
          <w:rFonts w:ascii="Narkisim" w:hAnsi="Narkisim"/>
        </w:rPr>
        <w:t xml:space="preserve">. </w:t>
      </w:r>
      <w:r w:rsidRPr="009F36E0">
        <w:rPr>
          <w:rFonts w:ascii="Narkisim" w:hAnsi="Narkisim"/>
          <w:sz w:val="20"/>
          <w:szCs w:val="20"/>
          <w:rtl/>
        </w:rPr>
        <w:t>[וכמו שנתבאר לעיל]</w:t>
      </w:r>
      <w:r w:rsidRPr="009F36E0">
        <w:rPr>
          <w:rFonts w:ascii="Narkisim" w:hAnsi="Narkisim"/>
          <w:sz w:val="20"/>
          <w:szCs w:val="20"/>
        </w:rPr>
        <w:t>.</w:t>
      </w:r>
    </w:p>
    <w:p w14:paraId="6D0C9B50" w14:textId="77777777" w:rsidR="006074A5" w:rsidRPr="009F36E0" w:rsidRDefault="006074A5" w:rsidP="006074A5">
      <w:pPr>
        <w:bidi/>
        <w:rPr>
          <w:rFonts w:ascii="Narkisim" w:hAnsi="Narkisim" w:cs="Narkisim"/>
        </w:rPr>
      </w:pPr>
      <w:r w:rsidRPr="009F36E0">
        <w:rPr>
          <w:rFonts w:ascii="Narkisim" w:hAnsi="Narkisim" w:cs="Narkisim"/>
          <w:u w:val="single"/>
          <w:rtl/>
        </w:rPr>
        <w:t>איתמר ביאת כה”ג באלמנה ח”א אינה פוטרת צרתה.</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אותה ואת צרתה מהחליצה, וסגי לה בגט. ולמ"ד דעשה לא דחי לל"ת, אף היא זקוקה לחליצה</w:t>
      </w:r>
      <w:r w:rsidRPr="009F36E0">
        <w:rPr>
          <w:rFonts w:ascii="Narkisim" w:hAnsi="Narkisim" w:cs="Narkisim"/>
        </w:rPr>
        <w:t>.</w:t>
      </w:r>
    </w:p>
    <w:p w14:paraId="17AF2BE6" w14:textId="77777777" w:rsidR="006074A5" w:rsidRPr="009F36E0" w:rsidRDefault="006074A5" w:rsidP="006074A5">
      <w:pPr>
        <w:pStyle w:val="a8"/>
        <w:bidi/>
        <w:rPr>
          <w:rFonts w:ascii="Narkisim" w:hAnsi="Narkisim"/>
        </w:rPr>
      </w:pPr>
      <w:r w:rsidRPr="009F36E0">
        <w:rPr>
          <w:rFonts w:ascii="Narkisim" w:hAnsi="Narkisim"/>
          <w:rtl/>
        </w:rPr>
        <w:t>ובפשוטו להך מ"ד לא קנה בביאתו כלל, ול"צ גט. אבל לדברי ה</w:t>
      </w:r>
      <w:r w:rsidRPr="009F36E0">
        <w:rPr>
          <w:rFonts w:ascii="Narkisim" w:hAnsi="Narkisim"/>
          <w:b/>
          <w:bCs/>
          <w:rtl/>
        </w:rPr>
        <w:t>מאירי</w:t>
      </w:r>
      <w:r w:rsidRPr="009F36E0">
        <w:rPr>
          <w:rFonts w:ascii="Narkisim" w:hAnsi="Narkisim"/>
          <w:rtl/>
        </w:rPr>
        <w:t xml:space="preserve"> (בפי' דברי רש"י סוע"א) קנה בתורת קידושין. וא"כ כל הנידון לענין חליצה, אי סגי הגט. אבל לכו"ע צריך גט</w:t>
      </w:r>
      <w:r w:rsidRPr="009F36E0">
        <w:rPr>
          <w:rStyle w:val="ac"/>
          <w:rFonts w:ascii="Narkisim" w:hAnsi="Narkisim"/>
          <w:rtl/>
        </w:rPr>
        <w:footnoteReference w:id="1271"/>
      </w:r>
      <w:r w:rsidRPr="009F36E0">
        <w:rPr>
          <w:rFonts w:ascii="Narkisim" w:hAnsi="Narkisim"/>
        </w:rPr>
        <w:t>.</w:t>
      </w:r>
    </w:p>
    <w:p w14:paraId="3633E3F5" w14:textId="77777777" w:rsidR="006074A5" w:rsidRPr="009F36E0" w:rsidRDefault="006074A5" w:rsidP="006074A5">
      <w:pPr>
        <w:bidi/>
        <w:rPr>
          <w:rFonts w:ascii="Narkisim" w:hAnsi="Narkisim" w:cs="Narkisim"/>
        </w:rPr>
      </w:pPr>
      <w:r w:rsidRPr="009F36E0">
        <w:rPr>
          <w:rFonts w:ascii="Narkisim" w:hAnsi="Narkisim" w:cs="Narkisim"/>
          <w:rtl/>
        </w:rPr>
        <w:t>אבל ה</w:t>
      </w:r>
      <w:r w:rsidRPr="009F36E0">
        <w:rPr>
          <w:rFonts w:ascii="Narkisim" w:hAnsi="Narkisim" w:cs="Narkisim"/>
          <w:b/>
          <w:bCs/>
          <w:rtl/>
        </w:rPr>
        <w:t>מהרש”א</w:t>
      </w:r>
      <w:r w:rsidRPr="009F36E0">
        <w:rPr>
          <w:rFonts w:ascii="Narkisim" w:hAnsi="Narkisim" w:cs="Narkisim"/>
          <w:rtl/>
        </w:rPr>
        <w:t xml:space="preserve"> דייק </w:t>
      </w:r>
      <w:r w:rsidRPr="009F36E0">
        <w:rPr>
          <w:rFonts w:ascii="Narkisim" w:hAnsi="Narkisim" w:cs="Narkisim"/>
          <w:szCs w:val="20"/>
          <w:rtl/>
        </w:rPr>
        <w:t>[לולי דברי רש"י]</w:t>
      </w:r>
      <w:r w:rsidRPr="009F36E0">
        <w:rPr>
          <w:rFonts w:ascii="Narkisim" w:hAnsi="Narkisim" w:cs="Narkisim"/>
          <w:rtl/>
        </w:rPr>
        <w:t xml:space="preserve"> דכל הנידון כלפי הצרה. ואף דלא דחי ל"ת, מ"מ קנה את היבמה. דקידושין תפסי בחייבי לאו ועשה</w:t>
      </w:r>
      <w:r w:rsidRPr="009F36E0">
        <w:rPr>
          <w:rFonts w:ascii="Narkisim" w:hAnsi="Narkisim" w:cs="Narkisim"/>
        </w:rPr>
        <w:t>.</w:t>
      </w:r>
    </w:p>
    <w:p w14:paraId="7FBCF9D4" w14:textId="77777777" w:rsidR="006074A5" w:rsidRPr="009F36E0" w:rsidRDefault="006074A5" w:rsidP="006074A5">
      <w:pPr>
        <w:pStyle w:val="a7"/>
        <w:bidi/>
        <w:rPr>
          <w:rFonts w:ascii="Narkisim" w:hAnsi="Narkisim"/>
        </w:rPr>
      </w:pPr>
      <w:r w:rsidRPr="009F36E0">
        <w:rPr>
          <w:rFonts w:ascii="Narkisim" w:hAnsi="Narkisim"/>
          <w:rtl/>
        </w:rPr>
        <w:t>וכ"מ מדברי ה</w:t>
      </w:r>
      <w:r w:rsidRPr="009F36E0">
        <w:rPr>
          <w:rFonts w:ascii="Narkisim" w:hAnsi="Narkisim"/>
          <w:b/>
          <w:bCs/>
          <w:rtl/>
        </w:rPr>
        <w:t>רמב"ם</w:t>
      </w:r>
      <w:r w:rsidRPr="009F36E0">
        <w:rPr>
          <w:rFonts w:ascii="Narkisim" w:hAnsi="Narkisim"/>
          <w:rtl/>
        </w:rPr>
        <w:t xml:space="preserve"> (ו יא) שכתב דאלמנה מן הנישואין לכה”ג, אם בא עליה לא נפטרה צרתה, דלא קנה קנין גמור מה"ת לא הותרה צרתה</w:t>
      </w:r>
      <w:r w:rsidRPr="009F36E0">
        <w:rPr>
          <w:rStyle w:val="ac"/>
          <w:rFonts w:ascii="Narkisim" w:hAnsi="Narkisim"/>
          <w:rtl/>
        </w:rPr>
        <w:footnoteReference w:id="1272"/>
      </w:r>
      <w:r w:rsidRPr="009F36E0">
        <w:rPr>
          <w:rFonts w:ascii="Narkisim" w:hAnsi="Narkisim"/>
        </w:rPr>
        <w:t xml:space="preserve">. </w:t>
      </w:r>
      <w:r w:rsidRPr="009F36E0">
        <w:rPr>
          <w:rFonts w:ascii="Narkisim" w:hAnsi="Narkisim"/>
          <w:rtl/>
        </w:rPr>
        <w:t>וה</w:t>
      </w:r>
      <w:r w:rsidRPr="009F36E0">
        <w:rPr>
          <w:rFonts w:ascii="Narkisim" w:hAnsi="Narkisim"/>
          <w:b/>
          <w:bCs/>
          <w:rtl/>
        </w:rPr>
        <w:t>שעה"מ</w:t>
      </w:r>
      <w:r w:rsidRPr="009F36E0">
        <w:rPr>
          <w:rFonts w:ascii="Narkisim" w:hAnsi="Narkisim"/>
          <w:rtl/>
        </w:rPr>
        <w:t xml:space="preserve"> (שם) דייק שקנה את היבמה, ופטרה עצמה בלא חליצה. ודוקא צרתה לא נפטרה</w:t>
      </w:r>
      <w:r w:rsidRPr="009F36E0">
        <w:rPr>
          <w:rFonts w:ascii="Narkisim" w:hAnsi="Narkisim"/>
        </w:rPr>
        <w:t>.</w:t>
      </w:r>
    </w:p>
    <w:p w14:paraId="0FC93354"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בי"ש</w:t>
      </w:r>
      <w:r w:rsidRPr="009F36E0">
        <w:rPr>
          <w:rFonts w:ascii="Narkisim" w:hAnsi="Narkisim"/>
          <w:rtl/>
        </w:rPr>
        <w:t xml:space="preserve"> (קעד ג) הקשה אמאי לא כתב דלא פטרה עצמה כדאיתא בסוגיין, וכתב ויש ליישב</w:t>
      </w:r>
      <w:r w:rsidRPr="009F36E0">
        <w:rPr>
          <w:rFonts w:ascii="Narkisim" w:hAnsi="Narkisim"/>
        </w:rPr>
        <w:t>.</w:t>
      </w:r>
    </w:p>
    <w:p w14:paraId="34C2D3FD"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שער המלך</w:t>
      </w:r>
      <w:r w:rsidRPr="009F36E0">
        <w:rPr>
          <w:rFonts w:ascii="Narkisim" w:hAnsi="Narkisim"/>
          <w:rtl/>
        </w:rPr>
        <w:t xml:space="preserve"> נקט דמהני מדין קידושין דעלמא. </w:t>
      </w:r>
      <w:r w:rsidRPr="009F36E0">
        <w:rPr>
          <w:rFonts w:ascii="Narkisim" w:hAnsi="Narkisim"/>
          <w:sz w:val="20"/>
          <w:szCs w:val="20"/>
          <w:rtl/>
        </w:rPr>
        <w:t>[והביא מזה דאין איסור אשת אח במחזיר גרושתו ולאו ועשה, ומהני קנין קידושין ביבמה וכמ"ש המאירי (ע' בע"א)</w:t>
      </w:r>
      <w:r w:rsidRPr="009F36E0">
        <w:rPr>
          <w:rFonts w:ascii="Narkisim" w:hAnsi="Narkisim"/>
          <w:rtl/>
        </w:rPr>
        <w:t>. ובזה דעת הרמב"ם דכיון דקנאה אי"צ חליצה [אף דלא הוי קנין יבום. וצ"ב]. אבל ב</w:t>
      </w:r>
      <w:r w:rsidRPr="009F36E0">
        <w:rPr>
          <w:rFonts w:ascii="Narkisim" w:hAnsi="Narkisim"/>
          <w:b/>
          <w:bCs/>
          <w:rtl/>
        </w:rPr>
        <w:t>חי' ר' שמעון</w:t>
      </w:r>
      <w:r w:rsidRPr="009F36E0">
        <w:rPr>
          <w:rFonts w:ascii="Narkisim" w:hAnsi="Narkisim"/>
          <w:rtl/>
        </w:rPr>
        <w:t xml:space="preserve"> (כא) נקט דע"כ דמהני מדין קנין יבום</w:t>
      </w:r>
      <w:r w:rsidRPr="009F36E0">
        <w:rPr>
          <w:rStyle w:val="ac"/>
          <w:rFonts w:ascii="Narkisim" w:hAnsi="Narkisim"/>
          <w:rtl/>
        </w:rPr>
        <w:footnoteReference w:id="1273"/>
      </w:r>
      <w:r w:rsidRPr="009F36E0">
        <w:rPr>
          <w:rFonts w:ascii="Narkisim" w:hAnsi="Narkisim"/>
        </w:rPr>
        <w:t xml:space="preserve">. </w:t>
      </w:r>
      <w:r w:rsidRPr="009F36E0">
        <w:rPr>
          <w:rFonts w:ascii="Narkisim" w:hAnsi="Narkisim"/>
          <w:rtl/>
        </w:rPr>
        <w:t>וקנין היבום לא תליא בקיום המצוה. אבל לענין לפטור צרתה בעינן קיום המצוה</w:t>
      </w:r>
      <w:r w:rsidRPr="009F36E0">
        <w:rPr>
          <w:rFonts w:ascii="Narkisim" w:hAnsi="Narkisim"/>
        </w:rPr>
        <w:t>.</w:t>
      </w:r>
    </w:p>
    <w:p w14:paraId="314B6CC6"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מקו' הגמ' (לעיל) מהברייתא דפצוע דכא דאם בעלו קנו, דהא עכ"פ קנאה מדין קידושין. </w:t>
      </w:r>
      <w:r w:rsidRPr="009F36E0">
        <w:rPr>
          <w:rFonts w:ascii="Narkisim" w:hAnsi="Narkisim"/>
          <w:b/>
          <w:bCs/>
          <w:rtl/>
        </w:rPr>
        <w:t>והשעה"מ</w:t>
      </w:r>
      <w:r w:rsidRPr="009F36E0">
        <w:rPr>
          <w:rFonts w:ascii="Narkisim" w:hAnsi="Narkisim"/>
          <w:rtl/>
        </w:rPr>
        <w:t xml:space="preserve"> כתב דלשון הברייתא משמע דפוטרת צרתה. </w:t>
      </w:r>
      <w:r w:rsidRPr="009F36E0">
        <w:rPr>
          <w:rFonts w:ascii="Narkisim" w:hAnsi="Narkisim"/>
          <w:sz w:val="20"/>
          <w:szCs w:val="20"/>
          <w:rtl/>
        </w:rPr>
        <w:t>[וה</w:t>
      </w:r>
      <w:r w:rsidRPr="009F36E0">
        <w:rPr>
          <w:rFonts w:ascii="Narkisim" w:hAnsi="Narkisim"/>
          <w:b/>
          <w:bCs/>
          <w:sz w:val="20"/>
          <w:szCs w:val="20"/>
          <w:rtl/>
        </w:rPr>
        <w:t>רש”ש</w:t>
      </w:r>
      <w:r w:rsidRPr="009F36E0">
        <w:rPr>
          <w:rFonts w:ascii="Narkisim" w:hAnsi="Narkisim"/>
          <w:sz w:val="20"/>
          <w:szCs w:val="20"/>
          <w:rtl/>
        </w:rPr>
        <w:t xml:space="preserve"> הביא שכן הגירסא בתוספתא].</w:t>
      </w:r>
      <w:r w:rsidRPr="009F36E0">
        <w:rPr>
          <w:rFonts w:ascii="Narkisim" w:hAnsi="Narkisim"/>
          <w:rtl/>
        </w:rPr>
        <w:t xml:space="preserve"> </w:t>
      </w:r>
      <w:r w:rsidRPr="009F36E0">
        <w:rPr>
          <w:rFonts w:ascii="Narkisim" w:hAnsi="Narkisim"/>
          <w:i/>
          <w:iCs/>
          <w:rtl/>
        </w:rPr>
        <w:t>ועוד</w:t>
      </w:r>
      <w:r w:rsidRPr="009F36E0">
        <w:rPr>
          <w:rFonts w:ascii="Narkisim" w:hAnsi="Narkisim"/>
          <w:rtl/>
        </w:rPr>
        <w:t xml:space="preserve"> תי' דלשון הברייתא משמע דקנאה בתורת יבום אף בשוגג או אונס, ואילו תורת קידושין בעי מדעתה</w:t>
      </w:r>
      <w:r w:rsidRPr="009F36E0">
        <w:rPr>
          <w:rFonts w:ascii="Narkisim" w:hAnsi="Narkisim"/>
        </w:rPr>
        <w:t>.</w:t>
      </w:r>
    </w:p>
    <w:p w14:paraId="3598B5EE" w14:textId="77777777" w:rsidR="006074A5" w:rsidRPr="009F36E0" w:rsidRDefault="006074A5" w:rsidP="006074A5">
      <w:pPr>
        <w:pStyle w:val="3"/>
        <w:bidi/>
        <w:rPr>
          <w:rFonts w:ascii="Narkisim" w:hAnsi="Narkisim"/>
        </w:rPr>
      </w:pPr>
      <w:r w:rsidRPr="009F36E0">
        <w:rPr>
          <w:rFonts w:ascii="Narkisim" w:hAnsi="Narkisim"/>
          <w:rtl/>
        </w:rPr>
        <w:t>דף כא</w:t>
      </w:r>
      <w:r w:rsidRPr="009F36E0">
        <w:rPr>
          <w:rFonts w:ascii="Narkisim" w:hAnsi="Narkisim"/>
        </w:rPr>
        <w:t>.</w:t>
      </w:r>
    </w:p>
    <w:p w14:paraId="3E8848AC" w14:textId="77777777" w:rsidR="006074A5" w:rsidRPr="009F36E0" w:rsidRDefault="006074A5" w:rsidP="006074A5">
      <w:pPr>
        <w:bidi/>
        <w:rPr>
          <w:rFonts w:ascii="Narkisim" w:hAnsi="Narkisim" w:cs="Narkisim"/>
        </w:rPr>
      </w:pPr>
      <w:r w:rsidRPr="009F36E0">
        <w:rPr>
          <w:rFonts w:ascii="Narkisim" w:hAnsi="Narkisim" w:cs="Narkisim"/>
          <w:u w:val="single"/>
          <w:rtl/>
        </w:rPr>
        <w:t>כיון דאפשר בחליצה</w:t>
      </w:r>
      <w:r w:rsidRPr="009F36E0">
        <w:rPr>
          <w:rFonts w:ascii="Narkisim" w:hAnsi="Narkisim" w:cs="Narkisim"/>
          <w:rtl/>
        </w:rPr>
        <w:t>. ה</w:t>
      </w:r>
      <w:r w:rsidRPr="009F36E0">
        <w:rPr>
          <w:rFonts w:ascii="Narkisim" w:hAnsi="Narkisim" w:cs="Narkisim"/>
          <w:b/>
          <w:bCs/>
          <w:rtl/>
        </w:rPr>
        <w:t>אחרונים</w:t>
      </w:r>
      <w:r w:rsidRPr="009F36E0">
        <w:rPr>
          <w:rFonts w:ascii="Narkisim" w:hAnsi="Narkisim" w:cs="Narkisim"/>
          <w:rtl/>
        </w:rPr>
        <w:t xml:space="preserve"> הקשו כשיש ב' יבמות [והא' אסורה בל"ת], נימא דאפשר לקיים שניהם ע"י הצרה ולא דחי</w:t>
      </w:r>
      <w:r w:rsidRPr="009F36E0">
        <w:rPr>
          <w:rStyle w:val="ac"/>
          <w:rFonts w:ascii="Narkisim" w:hAnsi="Narkisim" w:cs="Narkisim"/>
          <w:rtl/>
        </w:rPr>
        <w:footnoteReference w:id="1274"/>
      </w:r>
      <w:r w:rsidRPr="009F36E0">
        <w:rPr>
          <w:rFonts w:ascii="Narkisim" w:hAnsi="Narkisim" w:cs="Narkisim"/>
        </w:rPr>
        <w:t xml:space="preserve">. </w:t>
      </w:r>
      <w:r w:rsidRPr="009F36E0">
        <w:rPr>
          <w:rFonts w:ascii="Narkisim" w:hAnsi="Narkisim" w:cs="Narkisim"/>
          <w:rtl/>
        </w:rPr>
        <w:t>ובברייתא (כ:) מבואר דפוטרת צרתה, דאף כה"ג אמרי' עדל”ת. וכן דן ב</w:t>
      </w:r>
      <w:r w:rsidRPr="009F36E0">
        <w:rPr>
          <w:rFonts w:ascii="Narkisim" w:hAnsi="Narkisim" w:cs="Narkisim"/>
          <w:b/>
          <w:bCs/>
          <w:rtl/>
        </w:rPr>
        <w:t>ס' דורש לציון</w:t>
      </w:r>
      <w:r w:rsidRPr="009F36E0">
        <w:rPr>
          <w:rFonts w:ascii="Narkisim" w:hAnsi="Narkisim" w:cs="Narkisim"/>
          <w:rtl/>
        </w:rPr>
        <w:t xml:space="preserve"> (לנוב"י יג)</w:t>
      </w:r>
      <w:r w:rsidRPr="009F36E0">
        <w:rPr>
          <w:rStyle w:val="ac"/>
          <w:rFonts w:ascii="Narkisim" w:hAnsi="Narkisim" w:cs="Narkisim"/>
          <w:rtl/>
        </w:rPr>
        <w:footnoteReference w:id="1275"/>
      </w:r>
      <w:r w:rsidRPr="009F36E0">
        <w:rPr>
          <w:rFonts w:ascii="Narkisim" w:hAnsi="Narkisim" w:cs="Narkisim"/>
        </w:rPr>
        <w:t>.</w:t>
      </w:r>
    </w:p>
    <w:p w14:paraId="0D58C6D4" w14:textId="77777777" w:rsidR="006074A5" w:rsidRPr="009F36E0" w:rsidRDefault="006074A5" w:rsidP="006074A5">
      <w:pPr>
        <w:pStyle w:val="a7"/>
        <w:bidi/>
        <w:rPr>
          <w:rFonts w:ascii="Narkisim" w:hAnsi="Narkisim"/>
        </w:rPr>
      </w:pPr>
      <w:r w:rsidRPr="009F36E0">
        <w:rPr>
          <w:rFonts w:ascii="Narkisim" w:hAnsi="Narkisim"/>
          <w:rtl/>
        </w:rPr>
        <w:t>ועוד דנו ה</w:t>
      </w:r>
      <w:r w:rsidRPr="009F36E0">
        <w:rPr>
          <w:rFonts w:ascii="Narkisim" w:hAnsi="Narkisim"/>
          <w:b/>
          <w:bCs/>
          <w:rtl/>
        </w:rPr>
        <w:t>אחרונים</w:t>
      </w:r>
      <w:r w:rsidRPr="009F36E0">
        <w:rPr>
          <w:rFonts w:ascii="Narkisim" w:hAnsi="Narkisim"/>
          <w:rtl/>
        </w:rPr>
        <w:t xml:space="preserve"> כשיש לו אח, נימא דמותרת לאחיו. וה</w:t>
      </w:r>
      <w:r w:rsidRPr="009F36E0">
        <w:rPr>
          <w:rFonts w:ascii="Narkisim" w:hAnsi="Narkisim"/>
          <w:b/>
          <w:bCs/>
          <w:rtl/>
        </w:rPr>
        <w:t>אחרונים</w:t>
      </w:r>
      <w:r w:rsidRPr="009F36E0">
        <w:rPr>
          <w:rFonts w:ascii="Narkisim" w:hAnsi="Narkisim"/>
          <w:rtl/>
        </w:rPr>
        <w:t xml:space="preserve"> דנו דבאחים אמרי' דרמי המצווה על כל יבם בפנ"ע. </w:t>
      </w:r>
      <w:r w:rsidRPr="009F36E0">
        <w:rPr>
          <w:rFonts w:ascii="Narkisim" w:hAnsi="Narkisim"/>
          <w:sz w:val="20"/>
          <w:szCs w:val="20"/>
          <w:rtl/>
        </w:rPr>
        <w:t>[ואף שגם אחיו יכול לפטור את חיובו, מ"מ לאח זה הוה מצווה גמורה]</w:t>
      </w:r>
      <w:r w:rsidRPr="009F36E0">
        <w:rPr>
          <w:rFonts w:ascii="Narkisim" w:hAnsi="Narkisim"/>
          <w:sz w:val="20"/>
          <w:szCs w:val="20"/>
        </w:rPr>
        <w:t>.</w:t>
      </w:r>
    </w:p>
    <w:p w14:paraId="21D06C6A"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הוכיחו מזה דגדר מצוות יבום הוה כלפי כל יבמה בפנ"ע [בחפצא], ולא נחשב </w:t>
      </w:r>
      <w:r w:rsidRPr="009F36E0">
        <w:rPr>
          <w:rFonts w:ascii="Narkisim" w:hAnsi="Narkisim"/>
          <w:rtl/>
        </w:rPr>
        <w:lastRenderedPageBreak/>
        <w:t>אפשר לקיים שניהם ע"י אחרת. ועוד דנו ה</w:t>
      </w:r>
      <w:r w:rsidRPr="009F36E0">
        <w:rPr>
          <w:rFonts w:ascii="Narkisim" w:hAnsi="Narkisim"/>
          <w:b/>
          <w:bCs/>
          <w:rtl/>
        </w:rPr>
        <w:t>אחרונים</w:t>
      </w:r>
      <w:r w:rsidRPr="009F36E0">
        <w:rPr>
          <w:rFonts w:ascii="Narkisim" w:hAnsi="Narkisim"/>
          <w:rtl/>
        </w:rPr>
        <w:t xml:space="preserve"> </w:t>
      </w:r>
      <w:r w:rsidRPr="009F36E0">
        <w:rPr>
          <w:rFonts w:ascii="Narkisim" w:hAnsi="Narkisim"/>
          <w:szCs w:val="20"/>
          <w:rtl/>
        </w:rPr>
        <w:t>(קה"י יד, אבני נזר רכג טו)</w:t>
      </w:r>
      <w:r w:rsidRPr="009F36E0">
        <w:rPr>
          <w:rFonts w:ascii="Narkisim" w:hAnsi="Narkisim"/>
          <w:rtl/>
        </w:rPr>
        <w:t xml:space="preserve"> דאם רוצה לייבם א', לא אמרי' דאפשר בשניה, דאפשר שלא יחפוץ בשני ויחלוץ. ולא נחשב אפשר לקיים ב</w:t>
      </w:r>
      <w:r w:rsidRPr="009F36E0">
        <w:rPr>
          <w:rFonts w:ascii="Narkisim" w:hAnsi="Narkisim"/>
        </w:rPr>
        <w:t>'.</w:t>
      </w:r>
    </w:p>
    <w:p w14:paraId="53DBD73A" w14:textId="77777777" w:rsidR="006074A5" w:rsidRPr="009F36E0" w:rsidRDefault="006074A5" w:rsidP="006074A5">
      <w:pPr>
        <w:pStyle w:val="aa"/>
        <w:bidi/>
        <w:rPr>
          <w:rFonts w:ascii="Narkisim" w:hAnsi="Narkisim"/>
        </w:rPr>
      </w:pPr>
      <w:r w:rsidRPr="009F36E0">
        <w:rPr>
          <w:rFonts w:ascii="Narkisim" w:hAnsi="Narkisim"/>
          <w:u w:val="single"/>
          <w:rtl/>
        </w:rPr>
        <w:t>לימא תיהוי תיובתא דר"ל וכו'</w:t>
      </w:r>
      <w:r w:rsidRPr="009F36E0">
        <w:rPr>
          <w:rFonts w:ascii="Narkisim" w:hAnsi="Narkisim"/>
          <w:rtl/>
        </w:rPr>
        <w:t>. ולמסקנא קי"ל כר"ל דאפשר לקיים שניהם. ו</w:t>
      </w:r>
      <w:r w:rsidRPr="009F36E0">
        <w:rPr>
          <w:rFonts w:ascii="Narkisim" w:hAnsi="Narkisim"/>
          <w:b/>
          <w:bCs/>
          <w:rtl/>
        </w:rPr>
        <w:t>תוס'</w:t>
      </w:r>
      <w:r w:rsidRPr="009F36E0">
        <w:rPr>
          <w:rFonts w:ascii="Narkisim" w:hAnsi="Narkisim"/>
          <w:rtl/>
        </w:rPr>
        <w:t xml:space="preserve"> (כתובות מ.) כת' דהא דהותר כלאים בציצית [חוטי צמר בבגד פשתן], אף דאפשר ללבוש בגד אחר. כיון דבבגד זה אי אפשר לא נחשב אפשר לקיים ב'. וע"ע רמב"ן ורשב"א (לעיל ד:)</w:t>
      </w:r>
      <w:r w:rsidRPr="009F36E0">
        <w:rPr>
          <w:rFonts w:ascii="Narkisim" w:hAnsi="Narkisim"/>
        </w:rPr>
        <w:t>.</w:t>
      </w:r>
    </w:p>
    <w:p w14:paraId="33DCB92B" w14:textId="77777777" w:rsidR="006074A5" w:rsidRPr="009F36E0" w:rsidRDefault="006074A5" w:rsidP="006074A5">
      <w:pPr>
        <w:bidi/>
        <w:rPr>
          <w:rFonts w:ascii="Narkisim" w:hAnsi="Narkisim" w:cs="Narkisim"/>
        </w:rPr>
      </w:pPr>
      <w:r w:rsidRPr="009F36E0">
        <w:rPr>
          <w:rFonts w:ascii="Narkisim" w:hAnsi="Narkisim" w:cs="Narkisim"/>
          <w:u w:val="single"/>
          <w:rtl/>
        </w:rPr>
        <w:t>אבל הכא חליצה במקום יבום לאו מצוה היא</w:t>
      </w:r>
      <w:r w:rsidRPr="009F36E0">
        <w:rPr>
          <w:rStyle w:val="ac"/>
          <w:rFonts w:ascii="Narkisim" w:hAnsi="Narkisim" w:cs="Narkisim"/>
          <w:rtl/>
        </w:rPr>
        <w:footnoteReference w:id="1276"/>
      </w:r>
      <w:r w:rsidRPr="009F36E0">
        <w:rPr>
          <w:rFonts w:ascii="Narkisim" w:hAnsi="Narkisim" w:cs="Narkisim"/>
        </w:rPr>
        <w:t xml:space="preserve">. </w:t>
      </w:r>
      <w:r w:rsidRPr="009F36E0">
        <w:rPr>
          <w:rFonts w:ascii="Narkisim" w:hAnsi="Narkisim" w:cs="Narkisim"/>
          <w:rtl/>
        </w:rPr>
        <w:t>ה</w:t>
      </w:r>
      <w:r w:rsidRPr="009F36E0">
        <w:rPr>
          <w:rFonts w:ascii="Narkisim" w:hAnsi="Narkisim" w:cs="Narkisim"/>
          <w:b/>
          <w:bCs/>
          <w:rtl/>
        </w:rPr>
        <w:t>מאירי</w:t>
      </w:r>
      <w:r w:rsidRPr="009F36E0">
        <w:rPr>
          <w:rFonts w:ascii="Narkisim" w:hAnsi="Narkisim" w:cs="Narkisim"/>
          <w:rtl/>
        </w:rPr>
        <w:t xml:space="preserve"> כתב דמצוה אחרת היא</w:t>
      </w:r>
      <w:r w:rsidRPr="009F36E0">
        <w:rPr>
          <w:rStyle w:val="ac"/>
          <w:rFonts w:ascii="Narkisim" w:hAnsi="Narkisim" w:cs="Narkisim"/>
          <w:rtl/>
        </w:rPr>
        <w:footnoteReference w:id="1277"/>
      </w:r>
      <w:r w:rsidRPr="009F36E0">
        <w:rPr>
          <w:rFonts w:ascii="Narkisim" w:hAnsi="Narkisim" w:cs="Narkisim"/>
        </w:rPr>
        <w:t xml:space="preserve"> </w:t>
      </w:r>
      <w:r w:rsidRPr="009F36E0">
        <w:rPr>
          <w:rFonts w:ascii="Narkisim" w:hAnsi="Narkisim" w:cs="Narkisim"/>
          <w:rtl/>
        </w:rPr>
        <w:t>ובמקום יבום לא נחשבה</w:t>
      </w:r>
      <w:r w:rsidRPr="009F36E0">
        <w:rPr>
          <w:rStyle w:val="ac"/>
          <w:rFonts w:ascii="Narkisim" w:hAnsi="Narkisim" w:cs="Narkisim"/>
          <w:rtl/>
        </w:rPr>
        <w:footnoteReference w:id="1278"/>
      </w:r>
      <w:r w:rsidRPr="009F36E0">
        <w:rPr>
          <w:rFonts w:ascii="Narkisim" w:hAnsi="Narkisim" w:cs="Narkisim"/>
        </w:rPr>
        <w:t>.</w:t>
      </w:r>
    </w:p>
    <w:p w14:paraId="35B86C15"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בי"ש</w:t>
      </w:r>
      <w:r w:rsidRPr="009F36E0">
        <w:rPr>
          <w:rFonts w:ascii="Narkisim" w:hAnsi="Narkisim"/>
          <w:rtl/>
        </w:rPr>
        <w:t xml:space="preserve"> (קעד ג) הוכיח מכאן דמצוות יבום קודם למצוות חליצה. וכת' דאף אבא שאול דאמר מצות חליצה קודמת (ע' לקמן לט:), הוה רק מדרבנן. ומדאורייתא מצוות יבום קודמת, דאל"כ אין עשה דוחה</w:t>
      </w:r>
      <w:r w:rsidRPr="009F36E0">
        <w:rPr>
          <w:rStyle w:val="ac"/>
          <w:rFonts w:ascii="Narkisim" w:hAnsi="Narkisim"/>
          <w:rtl/>
        </w:rPr>
        <w:footnoteReference w:id="1279"/>
      </w:r>
      <w:r w:rsidRPr="009F36E0">
        <w:rPr>
          <w:rFonts w:ascii="Narkisim" w:hAnsi="Narkisim"/>
        </w:rPr>
        <w:t>.</w:t>
      </w:r>
    </w:p>
    <w:p w14:paraId="7F1723B6"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קובה"ע</w:t>
      </w:r>
      <w:r w:rsidRPr="009F36E0">
        <w:rPr>
          <w:rFonts w:ascii="Narkisim" w:hAnsi="Narkisim" w:cs="Narkisim"/>
          <w:rtl/>
        </w:rPr>
        <w:t xml:space="preserve"> (יד ב) הביא מכאן דמבואר דעדל"ת אף במקום שאם לא יקיים אינו ביטול עשה, דודאי מי שחולץ לא הוה ביטול עשה. אלא דוחה משום קיום המצוה</w:t>
      </w:r>
      <w:r w:rsidRPr="009F36E0">
        <w:rPr>
          <w:rFonts w:ascii="Narkisim" w:hAnsi="Narkisim" w:cs="Narkisim"/>
        </w:rPr>
        <w:t>.</w:t>
      </w:r>
    </w:p>
    <w:p w14:paraId="35C20543"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(יד ד) הביא דב</w:t>
      </w:r>
      <w:r w:rsidRPr="009F36E0">
        <w:rPr>
          <w:rFonts w:ascii="Narkisim" w:hAnsi="Narkisim"/>
          <w:b/>
          <w:bCs/>
          <w:rtl/>
        </w:rPr>
        <w:t>שו"ת הרשב"א</w:t>
      </w:r>
      <w:r w:rsidRPr="009F36E0">
        <w:rPr>
          <w:rFonts w:ascii="Narkisim" w:hAnsi="Narkisim"/>
          <w:rtl/>
        </w:rPr>
        <w:t xml:space="preserve"> (ד רפ) הביא מסוגיין שהנשבע שלא לייבם חל שבועה, שהרי אפשר לחלוץ. ובקובה"ע תמה דלמסקנא דחי אף דאפשר בחליצה. וביאר הקובה"ע דגדר נשבע לבטל את המצוה הא רק במקום דהוה ביטול מצוה, והכא כיון דאפשר בחליצה לא נחשב ביטול מצוה</w:t>
      </w:r>
      <w:r w:rsidRPr="009F36E0">
        <w:rPr>
          <w:rStyle w:val="ac"/>
          <w:rFonts w:ascii="Narkisim" w:hAnsi="Narkisim"/>
          <w:rtl/>
        </w:rPr>
        <w:footnoteReference w:id="1280"/>
      </w:r>
      <w:r w:rsidRPr="009F36E0">
        <w:rPr>
          <w:rFonts w:ascii="Narkisim" w:hAnsi="Narkisim"/>
        </w:rPr>
        <w:t>.</w:t>
      </w:r>
    </w:p>
    <w:p w14:paraId="6F50B6D3" w14:textId="77777777" w:rsidR="006074A5" w:rsidRPr="009F36E0" w:rsidRDefault="006074A5" w:rsidP="006074A5">
      <w:pPr>
        <w:pStyle w:val="aa"/>
        <w:bidi/>
        <w:rPr>
          <w:rFonts w:ascii="Narkisim" w:hAnsi="Narkisim"/>
        </w:rPr>
      </w:pPr>
      <w:r w:rsidRPr="009F36E0">
        <w:rPr>
          <w:rFonts w:ascii="Narkisim" w:hAnsi="Narkisim"/>
          <w:u w:val="single"/>
          <w:rtl/>
        </w:rPr>
        <w:t>שם. חליצה במקום יבום לאו מצווה היא</w:t>
      </w:r>
      <w:r w:rsidRPr="009F36E0">
        <w:rPr>
          <w:rFonts w:ascii="Narkisim" w:hAnsi="Narkisim"/>
          <w:rtl/>
        </w:rPr>
        <w:t>. בפשוטו משמע דחליצה הוה מצווה, אלא דכנגד מצוות יבום לא הוה מצווה חשובה. [וע”ע מה שהובא לעיל]. וה</w:t>
      </w:r>
      <w:r w:rsidRPr="009F36E0">
        <w:rPr>
          <w:rFonts w:ascii="Narkisim" w:hAnsi="Narkisim"/>
          <w:b/>
          <w:bCs/>
          <w:rtl/>
        </w:rPr>
        <w:t>אחרונים</w:t>
      </w:r>
      <w:r w:rsidRPr="009F36E0">
        <w:rPr>
          <w:rFonts w:ascii="Narkisim" w:hAnsi="Narkisim"/>
          <w:rtl/>
        </w:rPr>
        <w:t xml:space="preserve"> דנו בגדר חליצה אי הוה מצווה מצד עצמו, או רק מעשה היתר. [וע' חכ”צ א, עונג יו”ט קעו ועוד אחרונים, ע”ע לקמן לט:]</w:t>
      </w:r>
      <w:r w:rsidRPr="009F36E0">
        <w:rPr>
          <w:rFonts w:ascii="Narkisim" w:hAnsi="Narkisim"/>
        </w:rPr>
        <w:t>.</w:t>
      </w:r>
    </w:p>
    <w:p w14:paraId="0682B48B" w14:textId="77777777" w:rsidR="006074A5" w:rsidRPr="009F36E0" w:rsidRDefault="006074A5" w:rsidP="006074A5">
      <w:pPr>
        <w:pStyle w:val="2"/>
        <w:bidi/>
        <w:rPr>
          <w:rFonts w:ascii="Narkisim" w:hAnsi="Narkisim"/>
        </w:rPr>
      </w:pPr>
      <w:r w:rsidRPr="009F36E0">
        <w:rPr>
          <w:rFonts w:ascii="Narkisim" w:hAnsi="Narkisim"/>
          <w:rtl/>
        </w:rPr>
        <w:t>שניות</w:t>
      </w:r>
    </w:p>
    <w:p w14:paraId="5F54DD96" w14:textId="77777777" w:rsidR="006074A5" w:rsidRPr="009F36E0" w:rsidRDefault="006074A5" w:rsidP="006074A5">
      <w:pPr>
        <w:bidi/>
        <w:rPr>
          <w:rFonts w:ascii="Narkisim" w:hAnsi="Narkisim" w:cs="Narkisim"/>
        </w:rPr>
      </w:pPr>
      <w:r w:rsidRPr="009F36E0">
        <w:rPr>
          <w:rFonts w:ascii="Narkisim" w:hAnsi="Narkisim" w:cs="Narkisim"/>
          <w:u w:val="single"/>
          <w:rtl/>
        </w:rPr>
        <w:t>רמז לשניות וכו' אלא דרבנן וקרא אסמכתא בעלמא</w:t>
      </w:r>
      <w:r w:rsidRPr="009F36E0">
        <w:rPr>
          <w:rStyle w:val="ac"/>
          <w:rFonts w:ascii="Narkisim" w:hAnsi="Narkisim" w:cs="Narkisim"/>
          <w:rtl/>
        </w:rPr>
        <w:footnoteReference w:id="1281"/>
      </w:r>
      <w:r w:rsidRPr="009F36E0">
        <w:rPr>
          <w:rFonts w:ascii="Narkisim" w:hAnsi="Narkisim" w:cs="Narkisim"/>
        </w:rPr>
        <w:t xml:space="preserve">. </w:t>
      </w:r>
      <w:r w:rsidRPr="009F36E0">
        <w:rPr>
          <w:rFonts w:ascii="Narkisim" w:hAnsi="Narkisim" w:cs="Narkisim"/>
          <w:rtl/>
        </w:rPr>
        <w:t>ה</w:t>
      </w:r>
      <w:r w:rsidRPr="009F36E0">
        <w:rPr>
          <w:rFonts w:ascii="Narkisim" w:hAnsi="Narkisim" w:cs="Narkisim"/>
          <w:b/>
          <w:bCs/>
          <w:rtl/>
        </w:rPr>
        <w:t>רמב"ם</w:t>
      </w:r>
      <w:r w:rsidRPr="009F36E0">
        <w:rPr>
          <w:rFonts w:ascii="Narkisim" w:hAnsi="Narkisim" w:cs="Narkisim"/>
          <w:rtl/>
        </w:rPr>
        <w:t xml:space="preserve"> (אישות א ו) כת' דשניות אסורין מפי הקבלה, ואיסורן דברי סופרים. וה</w:t>
      </w:r>
      <w:r w:rsidRPr="009F36E0">
        <w:rPr>
          <w:rFonts w:ascii="Narkisim" w:hAnsi="Narkisim" w:cs="Narkisim"/>
          <w:b/>
          <w:bCs/>
          <w:rtl/>
        </w:rPr>
        <w:t>כס"מ</w:t>
      </w:r>
      <w:r w:rsidRPr="009F36E0">
        <w:rPr>
          <w:rFonts w:ascii="Narkisim" w:hAnsi="Narkisim" w:cs="Narkisim"/>
          <w:rtl/>
        </w:rPr>
        <w:t xml:space="preserve"> הק' דלשון קבלה משמע דמקובל ממשה רבינו. וה</w:t>
      </w:r>
      <w:r w:rsidRPr="009F36E0">
        <w:rPr>
          <w:rFonts w:ascii="Narkisim" w:hAnsi="Narkisim" w:cs="Narkisim"/>
          <w:b/>
          <w:bCs/>
          <w:rtl/>
        </w:rPr>
        <w:t>לח"מ</w:t>
      </w:r>
      <w:r w:rsidRPr="009F36E0">
        <w:rPr>
          <w:rFonts w:ascii="Narkisim" w:hAnsi="Narkisim" w:cs="Narkisim"/>
          <w:rtl/>
        </w:rPr>
        <w:t xml:space="preserve"> ביאר דכיון דיש להם רמז מהתורה נחשב דברי קבלה. ועוד דהא שלמה גזר, לכן קראם דברי קבלה</w:t>
      </w:r>
      <w:r w:rsidRPr="009F36E0">
        <w:rPr>
          <w:rFonts w:ascii="Narkisim" w:hAnsi="Narkisim" w:cs="Narkisim"/>
        </w:rPr>
        <w:t>.</w:t>
      </w:r>
    </w:p>
    <w:p w14:paraId="55C599F5"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אחיעזר</w:t>
      </w:r>
      <w:r w:rsidRPr="009F36E0">
        <w:rPr>
          <w:rFonts w:ascii="Narkisim" w:hAnsi="Narkisim"/>
          <w:rtl/>
        </w:rPr>
        <w:t xml:space="preserve"> (ג יח) ביאר בזה דעת ה</w:t>
      </w:r>
      <w:r w:rsidRPr="009F36E0">
        <w:rPr>
          <w:rFonts w:ascii="Narkisim" w:hAnsi="Narkisim"/>
          <w:b/>
          <w:bCs/>
          <w:rtl/>
        </w:rPr>
        <w:t>יראים</w:t>
      </w:r>
      <w:r w:rsidRPr="009F36E0">
        <w:rPr>
          <w:rFonts w:ascii="Narkisim" w:hAnsi="Narkisim"/>
          <w:rtl/>
        </w:rPr>
        <w:t xml:space="preserve"> (ע' לקמן כב.) דבספק שניות לחומרא, דהוה דברי קבלה וחמיר משאר איסור דרבנן</w:t>
      </w:r>
      <w:r w:rsidRPr="009F36E0">
        <w:rPr>
          <w:rFonts w:ascii="Narkisim" w:hAnsi="Narkisim"/>
        </w:rPr>
        <w:t>.</w:t>
      </w:r>
    </w:p>
    <w:p w14:paraId="18B03D60" w14:textId="77777777" w:rsidR="006074A5" w:rsidRPr="009F36E0" w:rsidRDefault="006074A5" w:rsidP="006074A5">
      <w:pPr>
        <w:bidi/>
        <w:rPr>
          <w:rFonts w:ascii="Narkisim" w:hAnsi="Narkisim" w:cs="Narkisim"/>
        </w:rPr>
      </w:pPr>
      <w:r w:rsidRPr="009F36E0">
        <w:rPr>
          <w:rFonts w:ascii="Narkisim" w:hAnsi="Narkisim" w:cs="Narkisim"/>
          <w:u w:val="single"/>
          <w:rtl/>
        </w:rPr>
        <w:t>שם</w:t>
      </w:r>
      <w:r w:rsidRPr="009F36E0">
        <w:rPr>
          <w:rFonts w:ascii="Narkisim" w:hAnsi="Narkisim" w:cs="Narkisim"/>
          <w:rtl/>
        </w:rPr>
        <w:t>. וה</w:t>
      </w:r>
      <w:r w:rsidRPr="009F36E0">
        <w:rPr>
          <w:rFonts w:ascii="Narkisim" w:hAnsi="Narkisim" w:cs="Narkisim"/>
          <w:b/>
          <w:bCs/>
          <w:rtl/>
        </w:rPr>
        <w:t>רמב"ם</w:t>
      </w:r>
      <w:r w:rsidRPr="009F36E0">
        <w:rPr>
          <w:rFonts w:ascii="Narkisim" w:hAnsi="Narkisim" w:cs="Narkisim"/>
          <w:rtl/>
        </w:rPr>
        <w:t xml:space="preserve"> בספר המצות (כלל א) הביא דהבה"ג שכלל ח' מצוות דרבנן במנין תרי"ג, והק' א"כ אמאי לא מנה כ"א</w:t>
      </w:r>
      <w:r w:rsidRPr="009F36E0">
        <w:rPr>
          <w:rStyle w:val="ac"/>
          <w:rFonts w:ascii="Narkisim" w:hAnsi="Narkisim" w:cs="Narkisim"/>
          <w:rtl/>
        </w:rPr>
        <w:footnoteReference w:id="1282"/>
      </w:r>
      <w:r w:rsidRPr="009F36E0">
        <w:rPr>
          <w:rFonts w:ascii="Narkisim" w:hAnsi="Narkisim" w:cs="Narkisim"/>
        </w:rPr>
        <w:t xml:space="preserve"> </w:t>
      </w:r>
      <w:r w:rsidRPr="009F36E0">
        <w:rPr>
          <w:rFonts w:ascii="Narkisim" w:hAnsi="Narkisim" w:cs="Narkisim"/>
          <w:rtl/>
        </w:rPr>
        <w:t>שניות. דכמו שכל ערוה הוה לא תעשה מדאורייתא, אף כל השניות לא תעשה דרבנן. וה</w:t>
      </w:r>
      <w:r w:rsidRPr="009F36E0">
        <w:rPr>
          <w:rFonts w:ascii="Narkisim" w:hAnsi="Narkisim" w:cs="Narkisim"/>
          <w:b/>
          <w:bCs/>
          <w:rtl/>
        </w:rPr>
        <w:t>רמב"ן</w:t>
      </w:r>
      <w:r w:rsidRPr="009F36E0">
        <w:rPr>
          <w:rFonts w:ascii="Narkisim" w:hAnsi="Narkisim" w:cs="Narkisim"/>
          <w:rtl/>
        </w:rPr>
        <w:t xml:space="preserve"> (שם) השיב דכל גזירה הוה סייג, וחלק מהמצוה דאורייתא, ולכן אינו נמנה בפנ"ע. וגזרו שניות משום סרך וגזירה, כדאמרי' בסוגיין דאי לאו שניות קא </w:t>
      </w:r>
      <w:r w:rsidRPr="009F36E0">
        <w:rPr>
          <w:rFonts w:ascii="Narkisim" w:hAnsi="Narkisim" w:cs="Narkisim"/>
          <w:rtl/>
        </w:rPr>
        <w:lastRenderedPageBreak/>
        <w:t>פגע בערוה גופיה. וכמו שסמכו השאר</w:t>
      </w:r>
      <w:r w:rsidRPr="009F36E0">
        <w:rPr>
          <w:rStyle w:val="ac"/>
          <w:rFonts w:ascii="Narkisim" w:hAnsi="Narkisim" w:cs="Narkisim"/>
          <w:rtl/>
        </w:rPr>
        <w:footnoteReference w:id="1283"/>
      </w:r>
      <w:r w:rsidRPr="009F36E0">
        <w:rPr>
          <w:rFonts w:ascii="Narkisim" w:hAnsi="Narkisim" w:cs="Narkisim"/>
        </w:rPr>
        <w:t xml:space="preserve"> </w:t>
      </w:r>
      <w:r w:rsidRPr="009F36E0">
        <w:rPr>
          <w:rFonts w:ascii="Narkisim" w:hAnsi="Narkisim" w:cs="Narkisim"/>
          <w:rtl/>
        </w:rPr>
        <w:t>ללאו דלא תסור נמי אסמכתא בעלמא</w:t>
      </w:r>
      <w:r w:rsidRPr="009F36E0">
        <w:rPr>
          <w:rStyle w:val="ac"/>
          <w:rFonts w:ascii="Narkisim" w:hAnsi="Narkisim" w:cs="Narkisim"/>
          <w:rtl/>
        </w:rPr>
        <w:footnoteReference w:id="1284"/>
      </w:r>
      <w:r w:rsidRPr="009F36E0">
        <w:rPr>
          <w:rFonts w:ascii="Narkisim" w:hAnsi="Narkisim" w:cs="Narkisim"/>
        </w:rPr>
        <w:t>.</w:t>
      </w:r>
    </w:p>
    <w:p w14:paraId="3C2F3888" w14:textId="77777777" w:rsidR="006074A5" w:rsidRPr="009F36E0" w:rsidRDefault="006074A5" w:rsidP="006074A5">
      <w:pPr>
        <w:bidi/>
        <w:rPr>
          <w:rFonts w:ascii="Narkisim" w:hAnsi="Narkisim" w:cs="Narkisim"/>
        </w:rPr>
      </w:pPr>
      <w:r w:rsidRPr="009F36E0">
        <w:rPr>
          <w:rFonts w:ascii="Narkisim" w:hAnsi="Narkisim" w:cs="Narkisim"/>
          <w:u w:val="single"/>
          <w:rtl/>
        </w:rPr>
        <w:t>שם</w:t>
      </w:r>
      <w:r w:rsidRPr="009F36E0">
        <w:rPr>
          <w:rFonts w:ascii="Narkisim" w:hAnsi="Narkisim" w:cs="Narkisim"/>
          <w:rtl/>
        </w:rPr>
        <w:t>. וה</w:t>
      </w:r>
      <w:r w:rsidRPr="009F36E0">
        <w:rPr>
          <w:rFonts w:ascii="Narkisim" w:hAnsi="Narkisim" w:cs="Narkisim"/>
          <w:b/>
          <w:bCs/>
          <w:rtl/>
        </w:rPr>
        <w:t>דרכ"מ</w:t>
      </w:r>
      <w:r w:rsidRPr="009F36E0">
        <w:rPr>
          <w:rFonts w:ascii="Narkisim" w:hAnsi="Narkisim" w:cs="Narkisim"/>
          <w:rtl/>
        </w:rPr>
        <w:t xml:space="preserve"> (אה"ע טו) נסתפק מי שעבר וקידש שניות, האם אמרי' דתפסי קידושין לגמרי [אף כלפי הדרבנן</w:t>
      </w:r>
      <w:r w:rsidRPr="009F36E0">
        <w:rPr>
          <w:rStyle w:val="ac"/>
          <w:rFonts w:ascii="Narkisim" w:hAnsi="Narkisim" w:cs="Narkisim"/>
          <w:rtl/>
        </w:rPr>
        <w:footnoteReference w:id="1285"/>
      </w:r>
      <w:r w:rsidRPr="009F36E0">
        <w:rPr>
          <w:rFonts w:ascii="Narkisim" w:hAnsi="Narkisim" w:cs="Narkisim"/>
          <w:rtl/>
        </w:rPr>
        <w:t xml:space="preserve">], ואם יבא אחר ויקדש אי"צ גט משני, </w:t>
      </w:r>
      <w:r w:rsidRPr="009F36E0">
        <w:rPr>
          <w:rFonts w:ascii="Narkisim" w:hAnsi="Narkisim" w:cs="Narkisim"/>
          <w:i/>
          <w:iCs/>
          <w:rtl/>
        </w:rPr>
        <w:t>או</w:t>
      </w:r>
      <w:r w:rsidRPr="009F36E0">
        <w:rPr>
          <w:rFonts w:ascii="Narkisim" w:hAnsi="Narkisim" w:cs="Narkisim"/>
          <w:rtl/>
        </w:rPr>
        <w:t xml:space="preserve"> מדרבנן יתפסו קידושי שני</w:t>
      </w:r>
      <w:r w:rsidRPr="009F36E0">
        <w:rPr>
          <w:rStyle w:val="ac"/>
          <w:rFonts w:ascii="Narkisim" w:hAnsi="Narkisim" w:cs="Narkisim"/>
          <w:rtl/>
        </w:rPr>
        <w:footnoteReference w:id="1286"/>
      </w:r>
      <w:r w:rsidRPr="009F36E0">
        <w:rPr>
          <w:rFonts w:ascii="Narkisim" w:hAnsi="Narkisim" w:cs="Narkisim"/>
        </w:rPr>
        <w:t xml:space="preserve">. </w:t>
      </w:r>
      <w:r w:rsidRPr="009F36E0">
        <w:rPr>
          <w:rFonts w:ascii="Narkisim" w:hAnsi="Narkisim" w:cs="Narkisim"/>
          <w:rtl/>
        </w:rPr>
        <w:t>דמדרבנן החשיבו דאינה אשתו</w:t>
      </w:r>
      <w:r w:rsidRPr="009F36E0">
        <w:rPr>
          <w:rStyle w:val="ac"/>
          <w:rFonts w:ascii="Narkisim" w:hAnsi="Narkisim" w:cs="Narkisim"/>
          <w:rtl/>
        </w:rPr>
        <w:footnoteReference w:id="1287"/>
      </w:r>
      <w:r w:rsidRPr="009F36E0">
        <w:rPr>
          <w:rFonts w:ascii="Narkisim" w:hAnsi="Narkisim" w:cs="Narkisim"/>
        </w:rPr>
        <w:t>.</w:t>
      </w:r>
    </w:p>
    <w:p w14:paraId="7A989D22"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ביארו דשורש הנידון האם תקנו מדרבנן כעין דאורייתא שיש להם גדר עריות [ואף שאין בהם חומר כרת, מ”מ גדר ערוה מונע לקידושין</w:t>
      </w:r>
      <w:r w:rsidRPr="009F36E0">
        <w:rPr>
          <w:rStyle w:val="ac"/>
          <w:rFonts w:ascii="Narkisim" w:hAnsi="Narkisim"/>
          <w:rtl/>
        </w:rPr>
        <w:footnoteReference w:id="1288"/>
      </w:r>
      <w:r w:rsidRPr="009F36E0">
        <w:rPr>
          <w:rFonts w:ascii="Narkisim" w:hAnsi="Narkisim"/>
          <w:rtl/>
        </w:rPr>
        <w:t>], או דתקנו דהוה איסור בעלמא</w:t>
      </w:r>
      <w:r w:rsidRPr="009F36E0">
        <w:rPr>
          <w:rStyle w:val="ac"/>
          <w:rFonts w:ascii="Narkisim" w:hAnsi="Narkisim"/>
          <w:rtl/>
        </w:rPr>
        <w:footnoteReference w:id="1289"/>
      </w:r>
      <w:r w:rsidRPr="009F36E0">
        <w:rPr>
          <w:rFonts w:ascii="Narkisim" w:hAnsi="Narkisim"/>
        </w:rPr>
        <w:t xml:space="preserve">. </w:t>
      </w:r>
      <w:r w:rsidRPr="009F36E0">
        <w:rPr>
          <w:rFonts w:ascii="Narkisim" w:hAnsi="Narkisim"/>
          <w:rtl/>
        </w:rPr>
        <w:t>[ומ"מ לא תקנו דהוה ערוה לענין דהולד ממזר</w:t>
      </w:r>
      <w:r w:rsidRPr="009F36E0">
        <w:rPr>
          <w:rStyle w:val="ac"/>
          <w:rFonts w:ascii="Narkisim" w:hAnsi="Narkisim"/>
          <w:rtl/>
        </w:rPr>
        <w:footnoteReference w:id="1290"/>
      </w:r>
      <w:r w:rsidRPr="009F36E0">
        <w:rPr>
          <w:rFonts w:ascii="Narkisim" w:hAnsi="Narkisim"/>
          <w:rtl/>
        </w:rPr>
        <w:t>]. ולא גרע מחייבי לאוין דתפסי קידושין</w:t>
      </w:r>
      <w:r w:rsidRPr="009F36E0">
        <w:rPr>
          <w:rStyle w:val="ac"/>
          <w:rFonts w:ascii="Narkisim" w:hAnsi="Narkisim"/>
          <w:rtl/>
        </w:rPr>
        <w:footnoteReference w:id="1291"/>
      </w:r>
      <w:r w:rsidRPr="009F36E0">
        <w:rPr>
          <w:rFonts w:ascii="Narkisim" w:hAnsi="Narkisim"/>
        </w:rPr>
        <w:t>.</w:t>
      </w:r>
    </w:p>
    <w:p w14:paraId="4BD1187D"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חלק"מ</w:t>
      </w:r>
      <w:r w:rsidRPr="009F36E0">
        <w:rPr>
          <w:rFonts w:ascii="Narkisim" w:hAnsi="Narkisim"/>
          <w:rtl/>
        </w:rPr>
        <w:t xml:space="preserve"> (טו א) הוכיח מהברייתא (לעיל כ:) דאם בעלו קנו ופטרו צרותיהם, והיאך פטרה צרתה דעדיפא ממנה</w:t>
      </w:r>
      <w:r w:rsidRPr="009F36E0">
        <w:rPr>
          <w:rStyle w:val="ac"/>
          <w:rFonts w:ascii="Narkisim" w:hAnsi="Narkisim"/>
          <w:rtl/>
        </w:rPr>
        <w:footnoteReference w:id="1292"/>
      </w:r>
      <w:r w:rsidRPr="009F36E0">
        <w:rPr>
          <w:rFonts w:ascii="Narkisim" w:hAnsi="Narkisim"/>
        </w:rPr>
        <w:t>.</w:t>
      </w:r>
      <w:r w:rsidRPr="009F36E0">
        <w:rPr>
          <w:rFonts w:ascii="Narkisim" w:hAnsi="Narkisim"/>
          <w:sz w:val="20"/>
          <w:szCs w:val="20"/>
        </w:rPr>
        <w:t xml:space="preserve"> </w:t>
      </w:r>
      <w:r w:rsidRPr="009F36E0">
        <w:rPr>
          <w:rFonts w:ascii="Narkisim" w:hAnsi="Narkisim"/>
          <w:sz w:val="20"/>
          <w:szCs w:val="20"/>
          <w:rtl/>
        </w:rPr>
        <w:t>וה</w:t>
      </w:r>
      <w:r w:rsidRPr="009F36E0">
        <w:rPr>
          <w:rFonts w:ascii="Narkisim" w:hAnsi="Narkisim"/>
          <w:b/>
          <w:bCs/>
          <w:sz w:val="20"/>
          <w:szCs w:val="20"/>
          <w:rtl/>
        </w:rPr>
        <w:t>אחרונים</w:t>
      </w:r>
      <w:r w:rsidRPr="009F36E0">
        <w:rPr>
          <w:rFonts w:ascii="Narkisim" w:hAnsi="Narkisim"/>
          <w:sz w:val="20"/>
          <w:szCs w:val="20"/>
          <w:rtl/>
        </w:rPr>
        <w:t xml:space="preserve"> (חי' ר' שמואל ד ג) דנו דאף דהוה ערוה לענין תפיסת קידושין, מ"מ לא תקנו דהוה ערוה לפטור מיבום</w:t>
      </w:r>
      <w:r w:rsidRPr="009F36E0">
        <w:rPr>
          <w:rStyle w:val="ac"/>
          <w:rFonts w:ascii="Narkisim" w:hAnsi="Narkisim"/>
          <w:sz w:val="20"/>
          <w:szCs w:val="20"/>
          <w:rtl/>
        </w:rPr>
        <w:footnoteReference w:id="1293"/>
      </w:r>
      <w:r w:rsidRPr="009F36E0">
        <w:rPr>
          <w:rFonts w:ascii="Narkisim" w:hAnsi="Narkisim"/>
          <w:sz w:val="20"/>
          <w:szCs w:val="20"/>
        </w:rPr>
        <w:t xml:space="preserve">, </w:t>
      </w:r>
      <w:r w:rsidRPr="009F36E0">
        <w:rPr>
          <w:rFonts w:ascii="Narkisim" w:hAnsi="Narkisim"/>
          <w:sz w:val="20"/>
          <w:szCs w:val="20"/>
          <w:rtl/>
        </w:rPr>
        <w:t>וכדאיתא לעיל ג: דילפי' בעריות דיש בהם חיוב כרת</w:t>
      </w:r>
      <w:r w:rsidRPr="009F36E0">
        <w:rPr>
          <w:rStyle w:val="ac"/>
          <w:rFonts w:ascii="Narkisim" w:hAnsi="Narkisim"/>
          <w:sz w:val="20"/>
          <w:szCs w:val="20"/>
          <w:rtl/>
        </w:rPr>
        <w:footnoteReference w:id="1294"/>
      </w:r>
      <w:r w:rsidRPr="009F36E0">
        <w:rPr>
          <w:rFonts w:ascii="Narkisim" w:hAnsi="Narkisim"/>
          <w:sz w:val="20"/>
          <w:szCs w:val="20"/>
        </w:rPr>
        <w:t>.</w:t>
      </w:r>
    </w:p>
    <w:p w14:paraId="2FA5460F" w14:textId="77777777" w:rsidR="006074A5" w:rsidRPr="009F36E0" w:rsidRDefault="006074A5" w:rsidP="006074A5">
      <w:pPr>
        <w:pStyle w:val="a8"/>
        <w:bidi/>
        <w:rPr>
          <w:rFonts w:ascii="Narkisim" w:hAnsi="Narkisim"/>
        </w:rPr>
      </w:pPr>
      <w:r w:rsidRPr="009F36E0">
        <w:rPr>
          <w:rFonts w:ascii="Narkisim" w:hAnsi="Narkisim"/>
          <w:rtl/>
        </w:rPr>
        <w:t>אמנם ה</w:t>
      </w:r>
      <w:r w:rsidRPr="009F36E0">
        <w:rPr>
          <w:rFonts w:ascii="Narkisim" w:hAnsi="Narkisim"/>
          <w:b/>
          <w:bCs/>
          <w:rtl/>
        </w:rPr>
        <w:t>רמב"ם</w:t>
      </w:r>
      <w:r w:rsidRPr="009F36E0">
        <w:rPr>
          <w:rFonts w:ascii="Narkisim" w:hAnsi="Narkisim"/>
          <w:rtl/>
        </w:rPr>
        <w:t xml:space="preserve"> (איסו"ב יח ד) פסק דהבא על השניות אינו פוסלה לכהונה. [וע"כ דאינו בגדר ערוה. וצ"ע]</w:t>
      </w:r>
      <w:r w:rsidRPr="009F36E0">
        <w:rPr>
          <w:rFonts w:ascii="Narkisim" w:hAnsi="Narkisim"/>
        </w:rPr>
        <w:t>.</w:t>
      </w:r>
    </w:p>
    <w:p w14:paraId="727D6E56"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רמב"ם</w:t>
      </w:r>
      <w:r w:rsidRPr="009F36E0">
        <w:rPr>
          <w:rFonts w:ascii="Narkisim" w:hAnsi="Narkisim" w:cs="Narkisim"/>
          <w:rtl/>
        </w:rPr>
        <w:t xml:space="preserve"> (ו י) כלל שניות בדין חייבי עשה וחייבי לאוין דמדינא עשה דוחה ל”ת, אלא דגזרו ביאה ראשונה אטו ביאה שניה</w:t>
      </w:r>
      <w:r w:rsidRPr="009F36E0">
        <w:rPr>
          <w:rStyle w:val="ac"/>
          <w:rFonts w:ascii="Narkisim" w:hAnsi="Narkisim" w:cs="Narkisim"/>
          <w:rtl/>
        </w:rPr>
        <w:footnoteReference w:id="1295"/>
      </w:r>
      <w:r w:rsidRPr="009F36E0">
        <w:rPr>
          <w:rFonts w:ascii="Narkisim" w:hAnsi="Narkisim" w:cs="Narkisim"/>
        </w:rPr>
        <w:t xml:space="preserve">. </w:t>
      </w:r>
      <w:r w:rsidRPr="009F36E0">
        <w:rPr>
          <w:rFonts w:ascii="Narkisim" w:hAnsi="Narkisim" w:cs="Narkisim"/>
          <w:sz w:val="20"/>
          <w:szCs w:val="20"/>
          <w:rtl/>
        </w:rPr>
        <w:t>ובפשוטו משמע</w:t>
      </w:r>
      <w:r w:rsidRPr="009F36E0">
        <w:rPr>
          <w:rStyle w:val="ac"/>
          <w:rFonts w:ascii="Narkisim" w:hAnsi="Narkisim" w:cs="Narkisim"/>
          <w:sz w:val="20"/>
          <w:szCs w:val="20"/>
          <w:rtl/>
        </w:rPr>
        <w:footnoteReference w:id="1296"/>
      </w:r>
      <w:r w:rsidRPr="009F36E0">
        <w:rPr>
          <w:rFonts w:ascii="Narkisim" w:hAnsi="Narkisim" w:cs="Narkisim"/>
          <w:sz w:val="20"/>
          <w:szCs w:val="20"/>
        </w:rPr>
        <w:t xml:space="preserve"> </w:t>
      </w:r>
      <w:r w:rsidRPr="009F36E0">
        <w:rPr>
          <w:rFonts w:ascii="Narkisim" w:hAnsi="Narkisim" w:cs="Narkisim"/>
          <w:sz w:val="20"/>
          <w:szCs w:val="20"/>
          <w:rtl/>
        </w:rPr>
        <w:t>דאף בזה העשה דוחה לאיסור שניות [דגדר התקנה דלא עדיף מחייבי לאוין].</w:t>
      </w:r>
      <w:r w:rsidRPr="009F36E0">
        <w:rPr>
          <w:rFonts w:ascii="Narkisim" w:hAnsi="Narkisim" w:cs="Narkisim"/>
          <w:rtl/>
        </w:rPr>
        <w:t xml:space="preserve"> </w:t>
      </w:r>
      <w:r w:rsidRPr="009F36E0">
        <w:rPr>
          <w:rFonts w:ascii="Narkisim" w:hAnsi="Narkisim" w:cs="Narkisim"/>
          <w:sz w:val="20"/>
          <w:szCs w:val="20"/>
          <w:rtl/>
        </w:rPr>
        <w:t>וכ”כ ה</w:t>
      </w:r>
      <w:r w:rsidRPr="009F36E0">
        <w:rPr>
          <w:rFonts w:ascii="Narkisim" w:hAnsi="Narkisim" w:cs="Narkisim"/>
          <w:b/>
          <w:bCs/>
          <w:sz w:val="20"/>
          <w:szCs w:val="20"/>
          <w:rtl/>
        </w:rPr>
        <w:t>או”ש</w:t>
      </w:r>
      <w:r w:rsidRPr="009F36E0">
        <w:rPr>
          <w:rFonts w:ascii="Narkisim" w:hAnsi="Narkisim" w:cs="Narkisim"/>
          <w:sz w:val="20"/>
          <w:szCs w:val="20"/>
          <w:rtl/>
        </w:rPr>
        <w:t xml:space="preserve"> (ב יז) בשם הבשמים ראש, והאו”ש פליג דהוה ערוה מדרבנן</w:t>
      </w:r>
      <w:r w:rsidRPr="009F36E0">
        <w:rPr>
          <w:rFonts w:ascii="Narkisim" w:hAnsi="Narkisim" w:cs="Narkisim"/>
          <w:sz w:val="20"/>
          <w:szCs w:val="20"/>
        </w:rPr>
        <w:t>.</w:t>
      </w:r>
    </w:p>
    <w:p w14:paraId="50FEBE9F" w14:textId="77777777" w:rsidR="006074A5" w:rsidRPr="009F36E0" w:rsidRDefault="006074A5" w:rsidP="006074A5">
      <w:pPr>
        <w:bidi/>
        <w:rPr>
          <w:rFonts w:ascii="Narkisim" w:hAnsi="Narkisim" w:cs="Narkisim"/>
        </w:rPr>
      </w:pPr>
      <w:r w:rsidRPr="009F36E0">
        <w:rPr>
          <w:rFonts w:ascii="Narkisim" w:hAnsi="Narkisim" w:cs="Narkisim"/>
          <w:i/>
          <w:iCs/>
          <w:sz w:val="21"/>
          <w:szCs w:val="21"/>
          <w:rtl/>
        </w:rPr>
        <w:t>צרת שניות</w:t>
      </w:r>
      <w:r w:rsidRPr="009F36E0">
        <w:rPr>
          <w:rFonts w:ascii="Narkisim" w:hAnsi="Narkisim" w:cs="Narkisim"/>
          <w:rtl/>
        </w:rPr>
        <w:t xml:space="preserve"> - ה</w:t>
      </w:r>
      <w:r w:rsidRPr="009F36E0">
        <w:rPr>
          <w:rFonts w:ascii="Narkisim" w:hAnsi="Narkisim" w:cs="Narkisim"/>
          <w:b/>
          <w:bCs/>
          <w:rtl/>
        </w:rPr>
        <w:t xml:space="preserve">רמב"ם </w:t>
      </w:r>
      <w:r w:rsidRPr="009F36E0">
        <w:rPr>
          <w:rFonts w:ascii="Narkisim" w:hAnsi="Narkisim" w:cs="Narkisim"/>
          <w:szCs w:val="20"/>
          <w:rtl/>
        </w:rPr>
        <w:t>(ו כ)</w:t>
      </w:r>
      <w:r w:rsidRPr="009F36E0">
        <w:rPr>
          <w:rFonts w:ascii="Narkisim" w:hAnsi="Narkisim" w:cs="Narkisim"/>
          <w:rtl/>
        </w:rPr>
        <w:t xml:space="preserve"> פסק דצרת שניות מתייבמת, וכ"פ ה</w:t>
      </w:r>
      <w:r w:rsidRPr="009F36E0">
        <w:rPr>
          <w:rFonts w:ascii="Narkisim" w:hAnsi="Narkisim" w:cs="Narkisim"/>
          <w:b/>
          <w:bCs/>
          <w:rtl/>
        </w:rPr>
        <w:t>שו"ע</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קעד א)</w:t>
      </w:r>
      <w:r w:rsidRPr="009F36E0">
        <w:rPr>
          <w:rStyle w:val="ac"/>
          <w:rFonts w:ascii="Narkisim" w:hAnsi="Narkisim" w:cs="Narkisim"/>
          <w:sz w:val="20"/>
          <w:szCs w:val="20"/>
          <w:rtl/>
        </w:rPr>
        <w:footnoteReference w:id="1297"/>
      </w:r>
      <w:r w:rsidRPr="009F36E0">
        <w:rPr>
          <w:rFonts w:ascii="Narkisim" w:hAnsi="Narkisim" w:cs="Narkisim"/>
          <w:sz w:val="20"/>
          <w:szCs w:val="20"/>
        </w:rPr>
        <w:t xml:space="preserve"> </w:t>
      </w:r>
      <w:r w:rsidRPr="009F36E0">
        <w:rPr>
          <w:rFonts w:ascii="Narkisim" w:hAnsi="Narkisim" w:cs="Narkisim"/>
          <w:rtl/>
        </w:rPr>
        <w:t>וכל הפוסקים. וה</w:t>
      </w:r>
      <w:r w:rsidRPr="009F36E0">
        <w:rPr>
          <w:rFonts w:ascii="Narkisim" w:hAnsi="Narkisim" w:cs="Narkisim"/>
          <w:b/>
          <w:bCs/>
          <w:rtl/>
        </w:rPr>
        <w:t>ראשונים</w:t>
      </w:r>
      <w:r w:rsidRPr="009F36E0">
        <w:rPr>
          <w:rFonts w:ascii="Narkisim" w:hAnsi="Narkisim" w:cs="Narkisim"/>
          <w:rtl/>
        </w:rPr>
        <w:t xml:space="preserve"> הביאו כן מה</w:t>
      </w:r>
      <w:r w:rsidRPr="009F36E0">
        <w:rPr>
          <w:rFonts w:ascii="Narkisim" w:hAnsi="Narkisim" w:cs="Narkisim"/>
          <w:b/>
          <w:bCs/>
          <w:rtl/>
        </w:rPr>
        <w:t>ירושלמי</w:t>
      </w:r>
      <w:r w:rsidRPr="009F36E0">
        <w:rPr>
          <w:rFonts w:ascii="Narkisim" w:hAnsi="Narkisim" w:cs="Narkisim"/>
          <w:rtl/>
        </w:rPr>
        <w:t>. אבל ה</w:t>
      </w:r>
      <w:r w:rsidRPr="009F36E0">
        <w:rPr>
          <w:rFonts w:ascii="Narkisim" w:hAnsi="Narkisim" w:cs="Narkisim"/>
          <w:b/>
          <w:bCs/>
          <w:rtl/>
        </w:rPr>
        <w:t>מהרש"א</w:t>
      </w:r>
      <w:r w:rsidRPr="009F36E0">
        <w:rPr>
          <w:rFonts w:ascii="Narkisim" w:hAnsi="Narkisim" w:cs="Narkisim"/>
          <w:rtl/>
        </w:rPr>
        <w:t xml:space="preserve"> </w:t>
      </w:r>
      <w:r w:rsidRPr="009F36E0">
        <w:rPr>
          <w:rFonts w:ascii="Narkisim" w:hAnsi="Narkisim" w:cs="Narkisim"/>
          <w:szCs w:val="20"/>
          <w:rtl/>
        </w:rPr>
        <w:t>(לקמ' קח:)</w:t>
      </w:r>
      <w:r w:rsidRPr="009F36E0">
        <w:rPr>
          <w:rFonts w:ascii="Narkisim" w:hAnsi="Narkisim" w:cs="Narkisim"/>
          <w:rtl/>
        </w:rPr>
        <w:t xml:space="preserve"> נקט דצרת שניות אסורה לייבם </w:t>
      </w:r>
      <w:r w:rsidRPr="009F36E0">
        <w:rPr>
          <w:rFonts w:ascii="Narkisim" w:hAnsi="Narkisim" w:cs="Narkisim"/>
          <w:sz w:val="20"/>
          <w:szCs w:val="20"/>
          <w:rtl/>
        </w:rPr>
        <w:t>[וה</w:t>
      </w:r>
      <w:r w:rsidRPr="009F36E0">
        <w:rPr>
          <w:rFonts w:ascii="Narkisim" w:hAnsi="Narkisim" w:cs="Narkisim"/>
          <w:b/>
          <w:bCs/>
          <w:sz w:val="20"/>
          <w:szCs w:val="20"/>
          <w:rtl/>
        </w:rPr>
        <w:t>קרנ”ר</w:t>
      </w:r>
      <w:r w:rsidRPr="009F36E0">
        <w:rPr>
          <w:rFonts w:ascii="Narkisim" w:hAnsi="Narkisim" w:cs="Narkisim"/>
          <w:sz w:val="20"/>
          <w:szCs w:val="20"/>
          <w:rtl/>
        </w:rPr>
        <w:t xml:space="preserve"> תמה עליו]</w:t>
      </w:r>
      <w:r w:rsidRPr="009F36E0">
        <w:rPr>
          <w:rFonts w:ascii="Narkisim" w:hAnsi="Narkisim" w:cs="Narkisim"/>
          <w:rtl/>
        </w:rPr>
        <w:t>. וכ"כ ה</w:t>
      </w:r>
      <w:r w:rsidRPr="009F36E0">
        <w:rPr>
          <w:rFonts w:ascii="Narkisim" w:hAnsi="Narkisim" w:cs="Narkisim"/>
          <w:b/>
          <w:bCs/>
          <w:rtl/>
        </w:rPr>
        <w:t>חוסן ישועות</w:t>
      </w:r>
      <w:r w:rsidRPr="009F36E0">
        <w:rPr>
          <w:rFonts w:ascii="Narkisim" w:hAnsi="Narkisim" w:cs="Narkisim"/>
          <w:rtl/>
        </w:rPr>
        <w:t xml:space="preserve"> </w:t>
      </w:r>
      <w:r w:rsidRPr="009F36E0">
        <w:rPr>
          <w:rFonts w:ascii="Narkisim" w:hAnsi="Narkisim" w:cs="Narkisim"/>
          <w:sz w:val="20"/>
          <w:szCs w:val="20"/>
          <w:rtl/>
        </w:rPr>
        <w:t>(לעיל ב.) ע”פ התוספתא. וה</w:t>
      </w:r>
      <w:r w:rsidRPr="009F36E0">
        <w:rPr>
          <w:rFonts w:ascii="Narkisim" w:hAnsi="Narkisim" w:cs="Narkisim"/>
          <w:b/>
          <w:bCs/>
          <w:sz w:val="20"/>
          <w:szCs w:val="20"/>
          <w:rtl/>
        </w:rPr>
        <w:t>רש”ש</w:t>
      </w:r>
      <w:r w:rsidRPr="009F36E0">
        <w:rPr>
          <w:rFonts w:ascii="Narkisim" w:hAnsi="Narkisim" w:cs="Narkisim"/>
          <w:sz w:val="20"/>
          <w:szCs w:val="20"/>
          <w:rtl/>
        </w:rPr>
        <w:t xml:space="preserve"> (כ.) האריך לחלוק</w:t>
      </w:r>
      <w:r w:rsidRPr="009F36E0">
        <w:rPr>
          <w:rFonts w:ascii="Narkisim" w:hAnsi="Narkisim" w:cs="Narkisim"/>
          <w:rtl/>
        </w:rPr>
        <w:t>. וה</w:t>
      </w:r>
      <w:r w:rsidRPr="009F36E0">
        <w:rPr>
          <w:rFonts w:ascii="Narkisim" w:hAnsi="Narkisim" w:cs="Narkisim"/>
          <w:b/>
          <w:bCs/>
          <w:rtl/>
        </w:rPr>
        <w:t>מאירי</w:t>
      </w:r>
      <w:r w:rsidRPr="009F36E0">
        <w:rPr>
          <w:rFonts w:ascii="Narkisim" w:hAnsi="Narkisim" w:cs="Narkisim"/>
          <w:rtl/>
        </w:rPr>
        <w:t xml:space="preserve"> (קט.) הביא דב</w:t>
      </w:r>
      <w:r w:rsidRPr="009F36E0">
        <w:rPr>
          <w:rFonts w:ascii="Narkisim" w:hAnsi="Narkisim" w:cs="Narkisim"/>
          <w:b/>
          <w:bCs/>
          <w:rtl/>
        </w:rPr>
        <w:t>לקוטי גאונים</w:t>
      </w:r>
      <w:r w:rsidRPr="009F36E0">
        <w:rPr>
          <w:rFonts w:ascii="Narkisim" w:hAnsi="Narkisim" w:cs="Narkisim"/>
          <w:rtl/>
        </w:rPr>
        <w:t xml:space="preserve"> נסתפק האם צרת שניה מתייבמת</w:t>
      </w:r>
      <w:r w:rsidRPr="009F36E0">
        <w:rPr>
          <w:rStyle w:val="ac"/>
          <w:rFonts w:ascii="Narkisim" w:hAnsi="Narkisim" w:cs="Narkisim"/>
          <w:rtl/>
        </w:rPr>
        <w:footnoteReference w:id="1298"/>
      </w:r>
      <w:r w:rsidRPr="009F36E0">
        <w:rPr>
          <w:rFonts w:ascii="Narkisim" w:hAnsi="Narkisim" w:cs="Narkisim"/>
        </w:rPr>
        <w:t xml:space="preserve">, </w:t>
      </w:r>
      <w:r w:rsidRPr="009F36E0">
        <w:rPr>
          <w:rFonts w:ascii="Narkisim" w:hAnsi="Narkisim" w:cs="Narkisim"/>
          <w:rtl/>
        </w:rPr>
        <w:t>והכריעו שמותרת</w:t>
      </w:r>
      <w:r w:rsidRPr="009F36E0">
        <w:rPr>
          <w:rStyle w:val="ac"/>
          <w:rFonts w:ascii="Narkisim" w:hAnsi="Narkisim" w:cs="Narkisim"/>
          <w:rtl/>
        </w:rPr>
        <w:footnoteReference w:id="1299"/>
      </w:r>
      <w:r w:rsidRPr="009F36E0">
        <w:rPr>
          <w:rFonts w:ascii="Narkisim" w:hAnsi="Narkisim" w:cs="Narkisim"/>
        </w:rPr>
        <w:t>.</w:t>
      </w:r>
    </w:p>
    <w:p w14:paraId="57E3AA75" w14:textId="77777777" w:rsidR="006074A5" w:rsidRPr="009F36E0" w:rsidRDefault="006074A5" w:rsidP="006074A5">
      <w:pPr>
        <w:pStyle w:val="a8"/>
        <w:bidi/>
        <w:rPr>
          <w:rFonts w:ascii="Narkisim" w:hAnsi="Narkisim"/>
        </w:rPr>
      </w:pPr>
      <w:r w:rsidRPr="009F36E0">
        <w:rPr>
          <w:rFonts w:ascii="Narkisim" w:hAnsi="Narkisim"/>
          <w:rtl/>
        </w:rPr>
        <w:lastRenderedPageBreak/>
        <w:t>וה</w:t>
      </w:r>
      <w:r w:rsidRPr="009F36E0">
        <w:rPr>
          <w:rFonts w:ascii="Narkisim" w:hAnsi="Narkisim"/>
          <w:b/>
          <w:bCs/>
          <w:rtl/>
        </w:rPr>
        <w:t>רש"ש</w:t>
      </w:r>
      <w:r w:rsidRPr="009F36E0">
        <w:rPr>
          <w:rFonts w:ascii="Narkisim" w:hAnsi="Narkisim"/>
          <w:rtl/>
        </w:rPr>
        <w:t xml:space="preserve"> (קט.) וכן ה</w:t>
      </w:r>
      <w:r w:rsidRPr="009F36E0">
        <w:rPr>
          <w:rFonts w:ascii="Narkisim" w:hAnsi="Narkisim"/>
          <w:b/>
          <w:bCs/>
          <w:rtl/>
        </w:rPr>
        <w:t>או"ש</w:t>
      </w:r>
      <w:r w:rsidRPr="009F36E0">
        <w:rPr>
          <w:rFonts w:ascii="Narkisim" w:hAnsi="Narkisim"/>
          <w:rtl/>
        </w:rPr>
        <w:t xml:space="preserve"> (יבום ו ז) נסתפק אם קטנה [קידושי מיאון] נפלה ליבום לפני שניות, האם פטורה, דמדרבנן הוה ערוה</w:t>
      </w:r>
      <w:r w:rsidRPr="009F36E0">
        <w:rPr>
          <w:rStyle w:val="ac"/>
          <w:rFonts w:ascii="Narkisim" w:hAnsi="Narkisim"/>
          <w:rtl/>
        </w:rPr>
        <w:footnoteReference w:id="1300"/>
      </w:r>
      <w:r w:rsidRPr="009F36E0">
        <w:rPr>
          <w:rFonts w:ascii="Narkisim" w:hAnsi="Narkisim"/>
        </w:rPr>
        <w:t xml:space="preserve">. </w:t>
      </w:r>
      <w:r w:rsidRPr="009F36E0">
        <w:rPr>
          <w:rFonts w:ascii="Narkisim" w:hAnsi="Narkisim"/>
          <w:rtl/>
        </w:rPr>
        <w:t>והאו"ש האריך להוכיח [מלקמן דף קח וקט] דמדרבנן תפסי קידושין</w:t>
      </w:r>
      <w:r w:rsidRPr="009F36E0">
        <w:rPr>
          <w:rFonts w:ascii="Narkisim" w:hAnsi="Narkisim"/>
        </w:rPr>
        <w:t>.</w:t>
      </w:r>
    </w:p>
    <w:p w14:paraId="540F3C65" w14:textId="77777777" w:rsidR="006074A5" w:rsidRPr="009F36E0" w:rsidRDefault="006074A5" w:rsidP="006074A5">
      <w:pPr>
        <w:pStyle w:val="aa"/>
        <w:bidi/>
        <w:rPr>
          <w:rFonts w:ascii="Narkisim" w:hAnsi="Narkisim"/>
        </w:rPr>
      </w:pPr>
      <w:r w:rsidRPr="009F36E0">
        <w:rPr>
          <w:rFonts w:ascii="Narkisim" w:hAnsi="Narkisim"/>
          <w:u w:val="single"/>
          <w:rtl/>
        </w:rPr>
        <w:t>האל קשות וכו' דכתיב ואת אילי הארץ לקח</w:t>
      </w:r>
      <w:r w:rsidRPr="009F36E0">
        <w:rPr>
          <w:rFonts w:ascii="Narkisim" w:hAnsi="Narkisim"/>
          <w:rtl/>
        </w:rPr>
        <w:t>. ה</w:t>
      </w:r>
      <w:r w:rsidRPr="009F36E0">
        <w:rPr>
          <w:rFonts w:ascii="Narkisim" w:hAnsi="Narkisim"/>
          <w:b/>
          <w:bCs/>
          <w:rtl/>
        </w:rPr>
        <w:t>גהש"ס</w:t>
      </w:r>
      <w:r w:rsidRPr="009F36E0">
        <w:rPr>
          <w:rFonts w:ascii="Narkisim" w:hAnsi="Narkisim"/>
          <w:rtl/>
        </w:rPr>
        <w:t xml:space="preserve"> ציין למדרש על הפסוק (בראשות כו ג) כי לך ולזרעך אתן את כל הארצות האל, דדרשי' לשון קשות</w:t>
      </w:r>
      <w:r w:rsidRPr="009F36E0">
        <w:rPr>
          <w:rStyle w:val="ac"/>
          <w:rFonts w:ascii="Narkisim" w:hAnsi="Narkisim"/>
          <w:rtl/>
        </w:rPr>
        <w:footnoteReference w:id="1301"/>
      </w:r>
      <w:r w:rsidRPr="009F36E0">
        <w:rPr>
          <w:rFonts w:ascii="Narkisim" w:hAnsi="Narkisim"/>
        </w:rPr>
        <w:t xml:space="preserve">. </w:t>
      </w:r>
      <w:r w:rsidRPr="009F36E0">
        <w:rPr>
          <w:rFonts w:ascii="Narkisim" w:hAnsi="Narkisim"/>
          <w:rtl/>
        </w:rPr>
        <w:t>ופי' שהיו האומות קשות</w:t>
      </w:r>
      <w:r w:rsidRPr="009F36E0">
        <w:rPr>
          <w:rFonts w:ascii="Narkisim" w:hAnsi="Narkisim"/>
        </w:rPr>
        <w:t>.</w:t>
      </w:r>
    </w:p>
    <w:p w14:paraId="678CCC20" w14:textId="77777777" w:rsidR="006074A5" w:rsidRPr="009F36E0" w:rsidRDefault="006074A5" w:rsidP="006074A5">
      <w:pPr>
        <w:pStyle w:val="aa"/>
        <w:bidi/>
        <w:rPr>
          <w:rFonts w:ascii="Narkisim" w:hAnsi="Narkisim"/>
        </w:rPr>
      </w:pPr>
      <w:r w:rsidRPr="009F36E0">
        <w:rPr>
          <w:rFonts w:ascii="Narkisim" w:hAnsi="Narkisim"/>
          <w:u w:val="single"/>
          <w:rtl/>
        </w:rPr>
        <w:t>ההוא למעוטי מידות מכרת.</w:t>
      </w:r>
      <w:r w:rsidRPr="009F36E0">
        <w:rPr>
          <w:rFonts w:ascii="Narkisim" w:hAnsi="Narkisim"/>
          <w:rtl/>
        </w:rPr>
        <w:t xml:space="preserve"> </w:t>
      </w:r>
      <w:r w:rsidRPr="009F36E0">
        <w:rPr>
          <w:rFonts w:ascii="Narkisim" w:hAnsi="Narkisim"/>
          <w:b/>
          <w:bCs/>
          <w:rtl/>
        </w:rPr>
        <w:t>רשב"ם</w:t>
      </w:r>
      <w:r w:rsidRPr="009F36E0">
        <w:rPr>
          <w:rFonts w:ascii="Narkisim" w:hAnsi="Narkisim"/>
          <w:rtl/>
        </w:rPr>
        <w:t xml:space="preserve"> (ב"ב פח:) פי' דס"ד דהם בכלל 'כל אשר יעשה מכל התועבות'. אבל לא משום גזי"ש, דאין אדם דן גזי"ש בעצמו. ולא מק"ו דאין עונשין מהדין</w:t>
      </w:r>
      <w:r w:rsidRPr="009F36E0">
        <w:rPr>
          <w:rStyle w:val="ac"/>
          <w:rFonts w:ascii="Narkisim" w:hAnsi="Narkisim"/>
          <w:rtl/>
        </w:rPr>
        <w:footnoteReference w:id="1302"/>
      </w:r>
      <w:r w:rsidRPr="009F36E0">
        <w:rPr>
          <w:rFonts w:ascii="Narkisim" w:hAnsi="Narkisim"/>
        </w:rPr>
        <w:t>.</w:t>
      </w:r>
    </w:p>
    <w:p w14:paraId="1F7FD4DF" w14:textId="77777777" w:rsidR="006074A5" w:rsidRPr="009F36E0" w:rsidRDefault="006074A5" w:rsidP="006074A5">
      <w:pPr>
        <w:pStyle w:val="aa"/>
        <w:bidi/>
        <w:rPr>
          <w:rFonts w:ascii="Narkisim" w:hAnsi="Narkisim"/>
        </w:rPr>
      </w:pPr>
      <w:r w:rsidRPr="009F36E0">
        <w:rPr>
          <w:rFonts w:ascii="Narkisim" w:hAnsi="Narkisim"/>
          <w:u w:val="single"/>
          <w:rtl/>
        </w:rPr>
        <w:t>הני אפשר בתשובה.</w:t>
      </w:r>
      <w:r w:rsidRPr="009F36E0">
        <w:rPr>
          <w:rFonts w:ascii="Narkisim" w:hAnsi="Narkisim"/>
          <w:rtl/>
        </w:rPr>
        <w:t xml:space="preserve"> פ</w:t>
      </w:r>
      <w:r w:rsidRPr="009F36E0">
        <w:rPr>
          <w:rFonts w:ascii="Narkisim" w:hAnsi="Narkisim"/>
          <w:b/>
          <w:bCs/>
          <w:rtl/>
        </w:rPr>
        <w:t xml:space="preserve">רש"י </w:t>
      </w:r>
      <w:r w:rsidRPr="009F36E0">
        <w:rPr>
          <w:rFonts w:ascii="Narkisim" w:hAnsi="Narkisim"/>
          <w:rtl/>
        </w:rPr>
        <w:t>כל זמן שלא הוליד ממזר וכו'. וכדאיתא (לקמן כב:) דכשהוליד ממזר א”א לתקן</w:t>
      </w:r>
      <w:r w:rsidRPr="009F36E0">
        <w:rPr>
          <w:rStyle w:val="ac"/>
          <w:rFonts w:ascii="Narkisim" w:hAnsi="Narkisim"/>
          <w:rtl/>
        </w:rPr>
        <w:footnoteReference w:id="1303"/>
      </w:r>
      <w:r w:rsidRPr="009F36E0">
        <w:rPr>
          <w:rFonts w:ascii="Narkisim" w:hAnsi="Narkisim"/>
        </w:rPr>
        <w:t xml:space="preserve">. </w:t>
      </w:r>
      <w:r w:rsidRPr="009F36E0">
        <w:rPr>
          <w:rFonts w:ascii="Narkisim" w:hAnsi="Narkisim"/>
          <w:rtl/>
        </w:rPr>
        <w:t xml:space="preserve">אבל </w:t>
      </w:r>
      <w:r w:rsidRPr="009F36E0">
        <w:rPr>
          <w:rFonts w:ascii="Narkisim" w:hAnsi="Narkisim"/>
          <w:b/>
          <w:bCs/>
          <w:rtl/>
        </w:rPr>
        <w:t>תוס</w:t>
      </w:r>
      <w:r w:rsidRPr="009F36E0">
        <w:rPr>
          <w:rFonts w:ascii="Narkisim" w:hAnsi="Narkisim"/>
          <w:rtl/>
        </w:rPr>
        <w:t xml:space="preserve">' (ב"ב פח: ד”ה התם) כת' בשם </w:t>
      </w:r>
      <w:r w:rsidRPr="009F36E0">
        <w:rPr>
          <w:rFonts w:ascii="Narkisim" w:hAnsi="Narkisim"/>
          <w:b/>
          <w:bCs/>
          <w:rtl/>
        </w:rPr>
        <w:t>ה"ר חיים</w:t>
      </w:r>
      <w:r w:rsidRPr="009F36E0">
        <w:rPr>
          <w:rFonts w:ascii="Narkisim" w:hAnsi="Narkisim"/>
          <w:rtl/>
        </w:rPr>
        <w:t xml:space="preserve"> דיש לו תשובה במה שצווה הקב"ה [ואף דאינו מתקן העבירה]. ואילו גזלן צווה שיחזיר גזילתו. [ויתבאר עוד לקמן כב:]</w:t>
      </w:r>
      <w:r w:rsidRPr="009F36E0">
        <w:rPr>
          <w:rFonts w:ascii="Narkisim" w:hAnsi="Narkisim"/>
        </w:rPr>
        <w:t>.</w:t>
      </w:r>
    </w:p>
    <w:p w14:paraId="06164269" w14:textId="77777777" w:rsidR="006074A5" w:rsidRPr="009F36E0" w:rsidRDefault="006074A5" w:rsidP="006074A5">
      <w:pPr>
        <w:pStyle w:val="aa"/>
        <w:bidi/>
        <w:rPr>
          <w:rFonts w:ascii="Narkisim" w:hAnsi="Narkisim"/>
        </w:rPr>
      </w:pPr>
      <w:r w:rsidRPr="009F36E0">
        <w:rPr>
          <w:rFonts w:ascii="Narkisim" w:hAnsi="Narkisim"/>
          <w:u w:val="single"/>
          <w:rtl/>
        </w:rPr>
        <w:t>ומותר אדם באשת חמיו</w:t>
      </w:r>
      <w:r w:rsidRPr="009F36E0">
        <w:rPr>
          <w:rFonts w:ascii="Narkisim" w:hAnsi="Narkisim"/>
          <w:rtl/>
        </w:rPr>
        <w:t>. ה</w:t>
      </w:r>
      <w:r w:rsidRPr="009F36E0">
        <w:rPr>
          <w:rFonts w:ascii="Narkisim" w:hAnsi="Narkisim"/>
          <w:b/>
          <w:bCs/>
          <w:rtl/>
        </w:rPr>
        <w:t>רמב"ן</w:t>
      </w:r>
      <w:r w:rsidRPr="009F36E0">
        <w:rPr>
          <w:rFonts w:ascii="Narkisim" w:hAnsi="Narkisim"/>
          <w:rtl/>
        </w:rPr>
        <w:t xml:space="preserve"> הק' אמאי איצוריך להזכירו, הא כל שלא שנו חכמים לאיסור ידעי' דמותרות. ותי' דס"ד דאמרי' מסברא דגזרו באשת חמיו, שהרי אומרת לו בתי אסורה לך מן התורה ואני מותרת. ונימא דילמא תנא ושייר כדשייר שניות דבי ר' חייא</w:t>
      </w:r>
      <w:r w:rsidRPr="009F36E0">
        <w:rPr>
          <w:rFonts w:ascii="Narkisim" w:hAnsi="Narkisim"/>
        </w:rPr>
        <w:t>.</w:t>
      </w:r>
    </w:p>
    <w:p w14:paraId="1EFE6FFE" w14:textId="77777777" w:rsidR="006074A5" w:rsidRPr="009F36E0" w:rsidRDefault="006074A5" w:rsidP="006074A5">
      <w:pPr>
        <w:bidi/>
        <w:rPr>
          <w:rFonts w:ascii="Narkisim" w:hAnsi="Narkisim" w:cs="Narkisim"/>
        </w:rPr>
      </w:pPr>
      <w:r w:rsidRPr="009F36E0">
        <w:rPr>
          <w:rFonts w:ascii="Narkisim" w:hAnsi="Narkisim" w:cs="Narkisim"/>
          <w:u w:val="single"/>
          <w:rtl/>
        </w:rPr>
        <w:t>תוד"ה ומותר.</w:t>
      </w:r>
      <w:r w:rsidRPr="009F36E0">
        <w:rPr>
          <w:rFonts w:ascii="Narkisim" w:hAnsi="Narkisim" w:cs="Narkisim"/>
          <w:rtl/>
        </w:rPr>
        <w:t xml:space="preserve"> ירושלמי אשת חמיו אסורה וכו'. ותוס' הביאו דר"ת החמיר בזה, אך </w:t>
      </w:r>
      <w:r w:rsidRPr="009F36E0">
        <w:rPr>
          <w:rFonts w:ascii="Narkisim" w:hAnsi="Narkisim" w:cs="Narkisim"/>
          <w:b/>
          <w:bCs/>
          <w:rtl/>
        </w:rPr>
        <w:t>תוס</w:t>
      </w:r>
      <w:r w:rsidRPr="009F36E0">
        <w:rPr>
          <w:rFonts w:ascii="Narkisim" w:hAnsi="Narkisim" w:cs="Narkisim"/>
          <w:rtl/>
        </w:rPr>
        <w:t>' (בסו"ד) הק' מהגמ' סוטה. וה</w:t>
      </w:r>
      <w:r w:rsidRPr="009F36E0">
        <w:rPr>
          <w:rFonts w:ascii="Narkisim" w:hAnsi="Narkisim" w:cs="Narkisim"/>
          <w:b/>
          <w:bCs/>
          <w:rtl/>
        </w:rPr>
        <w:t>רמב"ן</w:t>
      </w:r>
      <w:r w:rsidRPr="009F36E0">
        <w:rPr>
          <w:rFonts w:ascii="Narkisim" w:hAnsi="Narkisim" w:cs="Narkisim"/>
          <w:rtl/>
        </w:rPr>
        <w:t xml:space="preserve"> (ועוד ראשונים) הכריע דמותרת, ולא קי"ל כירושלמי בזה. [והביא כן מסתימת ה</w:t>
      </w:r>
      <w:r w:rsidRPr="009F36E0">
        <w:rPr>
          <w:rFonts w:ascii="Narkisim" w:hAnsi="Narkisim" w:cs="Narkisim"/>
          <w:b/>
          <w:bCs/>
          <w:rtl/>
        </w:rPr>
        <w:t>רי"ף</w:t>
      </w:r>
      <w:r w:rsidRPr="009F36E0">
        <w:rPr>
          <w:rFonts w:ascii="Narkisim" w:hAnsi="Narkisim" w:cs="Narkisim"/>
          <w:rtl/>
        </w:rPr>
        <w:t>]</w:t>
      </w:r>
      <w:r w:rsidRPr="009F36E0">
        <w:rPr>
          <w:rFonts w:ascii="Narkisim" w:hAnsi="Narkisim" w:cs="Narkisim"/>
        </w:rPr>
        <w:t>.</w:t>
      </w:r>
    </w:p>
    <w:p w14:paraId="221B1F71" w14:textId="77777777" w:rsidR="006074A5" w:rsidRPr="009F36E0" w:rsidRDefault="006074A5" w:rsidP="006074A5">
      <w:pPr>
        <w:pStyle w:val="aa"/>
        <w:bidi/>
        <w:rPr>
          <w:rFonts w:ascii="Narkisim" w:hAnsi="Narkisim"/>
        </w:rPr>
      </w:pPr>
      <w:r w:rsidRPr="009F36E0">
        <w:rPr>
          <w:rFonts w:ascii="Narkisim" w:hAnsi="Narkisim"/>
          <w:u w:val="single"/>
          <w:rtl/>
        </w:rPr>
        <w:t>בא"ד וא"ת תורה היא לאסורה, הא דוד נשא וכו'</w:t>
      </w:r>
      <w:r w:rsidRPr="009F36E0">
        <w:rPr>
          <w:rFonts w:ascii="Narkisim" w:hAnsi="Narkisim"/>
          <w:rtl/>
        </w:rPr>
        <w:t>. ה</w:t>
      </w:r>
      <w:r w:rsidRPr="009F36E0">
        <w:rPr>
          <w:rFonts w:ascii="Narkisim" w:hAnsi="Narkisim"/>
          <w:b/>
          <w:bCs/>
          <w:rtl/>
        </w:rPr>
        <w:t>קרבן נתנאל</w:t>
      </w:r>
      <w:r w:rsidRPr="009F36E0">
        <w:rPr>
          <w:rFonts w:ascii="Narkisim" w:hAnsi="Narkisim"/>
          <w:rtl/>
        </w:rPr>
        <w:t xml:space="preserve"> הביא דס"ד דנכלל בארור שוכב עם חותנתו. [וכ"כ ה</w:t>
      </w:r>
      <w:r w:rsidRPr="009F36E0">
        <w:rPr>
          <w:rFonts w:ascii="Narkisim" w:hAnsi="Narkisim"/>
          <w:b/>
          <w:bCs/>
          <w:rtl/>
        </w:rPr>
        <w:t>יש"ש</w:t>
      </w:r>
      <w:r w:rsidRPr="009F36E0">
        <w:rPr>
          <w:rStyle w:val="ac"/>
          <w:rFonts w:ascii="Narkisim" w:hAnsi="Narkisim"/>
          <w:rtl/>
        </w:rPr>
        <w:footnoteReference w:id="1304"/>
      </w:r>
      <w:r w:rsidRPr="009F36E0">
        <w:rPr>
          <w:rFonts w:ascii="Narkisim" w:hAnsi="Narkisim"/>
          <w:rtl/>
        </w:rPr>
        <w:t>]. אבל ה</w:t>
      </w:r>
      <w:r w:rsidRPr="009F36E0">
        <w:rPr>
          <w:rFonts w:ascii="Narkisim" w:hAnsi="Narkisim"/>
          <w:b/>
          <w:bCs/>
          <w:rtl/>
        </w:rPr>
        <w:t xml:space="preserve">חשק שלמה </w:t>
      </w:r>
      <w:r w:rsidRPr="009F36E0">
        <w:rPr>
          <w:rFonts w:ascii="Narkisim" w:hAnsi="Narkisim"/>
          <w:rtl/>
        </w:rPr>
        <w:t>ביאר דכוונת הירושלמי דאסורה מדינא, וכיון דהוה אסמכתא חמיר</w:t>
      </w:r>
      <w:r w:rsidRPr="009F36E0">
        <w:rPr>
          <w:rStyle w:val="ac"/>
          <w:rFonts w:ascii="Narkisim" w:hAnsi="Narkisim"/>
          <w:rtl/>
        </w:rPr>
        <w:footnoteReference w:id="1305"/>
      </w:r>
      <w:r w:rsidRPr="009F36E0">
        <w:rPr>
          <w:rFonts w:ascii="Narkisim" w:hAnsi="Narkisim"/>
        </w:rPr>
        <w:t>.</w:t>
      </w:r>
    </w:p>
    <w:p w14:paraId="0592066D" w14:textId="77777777" w:rsidR="006074A5" w:rsidRPr="009F36E0" w:rsidRDefault="006074A5" w:rsidP="006074A5">
      <w:pPr>
        <w:pStyle w:val="aa"/>
        <w:bidi/>
        <w:rPr>
          <w:rFonts w:ascii="Narkisim" w:hAnsi="Narkisim"/>
        </w:rPr>
      </w:pPr>
      <w:r w:rsidRPr="009F36E0">
        <w:rPr>
          <w:rFonts w:ascii="Narkisim" w:hAnsi="Narkisim"/>
          <w:u w:val="single"/>
          <w:rtl/>
        </w:rPr>
        <w:t>בא"ד רצפה בת איה.</w:t>
      </w:r>
      <w:r w:rsidRPr="009F36E0">
        <w:rPr>
          <w:rFonts w:ascii="Narkisim" w:hAnsi="Narkisim"/>
          <w:rtl/>
        </w:rPr>
        <w:t xml:space="preserve"> שהיתה פילגש שאול. וה</w:t>
      </w:r>
      <w:r w:rsidRPr="009F36E0">
        <w:rPr>
          <w:rFonts w:ascii="Narkisim" w:hAnsi="Narkisim"/>
          <w:b/>
          <w:bCs/>
          <w:rtl/>
        </w:rPr>
        <w:t>אחרונים</w:t>
      </w:r>
      <w:r w:rsidRPr="009F36E0">
        <w:rPr>
          <w:rFonts w:ascii="Narkisim" w:hAnsi="Narkisim"/>
          <w:rtl/>
        </w:rPr>
        <w:t xml:space="preserve"> הוכיחו מהירושלמי דפילגש הוה ע"י קידושין [וע' חשק שלמה]</w:t>
      </w:r>
      <w:r w:rsidRPr="009F36E0">
        <w:rPr>
          <w:rFonts w:ascii="Narkisim" w:hAnsi="Narkisim"/>
        </w:rPr>
        <w:t>.</w:t>
      </w:r>
    </w:p>
    <w:p w14:paraId="4E0D24F1"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ק"נ</w:t>
      </w:r>
      <w:r w:rsidRPr="009F36E0">
        <w:rPr>
          <w:rFonts w:ascii="Narkisim" w:hAnsi="Narkisim"/>
          <w:rtl/>
        </w:rPr>
        <w:t xml:space="preserve"> ציין דהיינו לר' יהודה (במשנה סנהדרין יח) דדרשי' ואת נשי אדוניך בחיקך, דנשא רצפה בת איה. אבל לרבנן (שם יט:) קאי אמירב ומיכל בנות שאול. [ולא מצאנו דנשא פילגש שאול]. וכתב דכוונת הירושלמי להוכיח אמאי לא הקשו רבנן לר' יהודה מכאן</w:t>
      </w:r>
      <w:r w:rsidRPr="009F36E0">
        <w:rPr>
          <w:rFonts w:ascii="Narkisim" w:hAnsi="Narkisim"/>
        </w:rPr>
        <w:t>.</w:t>
      </w:r>
    </w:p>
    <w:p w14:paraId="694F04DE" w14:textId="77777777" w:rsidR="006074A5" w:rsidRPr="009F36E0" w:rsidRDefault="006074A5" w:rsidP="006074A5">
      <w:pPr>
        <w:bidi/>
        <w:rPr>
          <w:rFonts w:ascii="Narkisim" w:hAnsi="Narkisim" w:cs="Narkisim"/>
        </w:rPr>
      </w:pPr>
      <w:r w:rsidRPr="009F36E0">
        <w:rPr>
          <w:rFonts w:ascii="Narkisim" w:hAnsi="Narkisim" w:cs="Narkisim"/>
          <w:u w:val="single"/>
          <w:rtl/>
        </w:rPr>
        <w:t>בא"ד שמא אח"כ אסרום.</w:t>
      </w:r>
      <w:r w:rsidRPr="009F36E0">
        <w:rPr>
          <w:rFonts w:ascii="Narkisim" w:hAnsi="Narkisim" w:cs="Narkisim"/>
          <w:rtl/>
        </w:rPr>
        <w:t xml:space="preserve"> וה</w:t>
      </w:r>
      <w:r w:rsidRPr="009F36E0">
        <w:rPr>
          <w:rFonts w:ascii="Narkisim" w:hAnsi="Narkisim" w:cs="Narkisim"/>
          <w:b/>
          <w:bCs/>
          <w:rtl/>
        </w:rPr>
        <w:t>נוב"י</w:t>
      </w:r>
      <w:r w:rsidRPr="009F36E0">
        <w:rPr>
          <w:rFonts w:ascii="Narkisim" w:hAnsi="Narkisim" w:cs="Narkisim"/>
          <w:sz w:val="20"/>
          <w:szCs w:val="20"/>
          <w:rtl/>
        </w:rPr>
        <w:t xml:space="preserve"> (אה"ע ק' כו)</w:t>
      </w:r>
      <w:r w:rsidRPr="009F36E0">
        <w:rPr>
          <w:rFonts w:ascii="Narkisim" w:hAnsi="Narkisim" w:cs="Narkisim"/>
          <w:rtl/>
        </w:rPr>
        <w:t xml:space="preserve"> תמה דרב חנינא בירושלמי היה מבי"ד של רבי, ואילו בסוגיין מבואר דאף רבא ס"ל דהותר. </w:t>
      </w:r>
      <w:r w:rsidRPr="009F36E0">
        <w:rPr>
          <w:rFonts w:ascii="Narkisim" w:hAnsi="Narkisim" w:cs="Narkisim"/>
          <w:sz w:val="20"/>
          <w:szCs w:val="20"/>
          <w:rtl/>
        </w:rPr>
        <w:t xml:space="preserve">וכ"ש למש"כ </w:t>
      </w:r>
      <w:r w:rsidRPr="009F36E0">
        <w:rPr>
          <w:rFonts w:ascii="Narkisim" w:hAnsi="Narkisim" w:cs="Narkisim"/>
          <w:b/>
          <w:bCs/>
          <w:sz w:val="20"/>
          <w:szCs w:val="20"/>
          <w:rtl/>
        </w:rPr>
        <w:t>תוס</w:t>
      </w:r>
      <w:r w:rsidRPr="009F36E0">
        <w:rPr>
          <w:rFonts w:ascii="Narkisim" w:hAnsi="Narkisim" w:cs="Narkisim"/>
          <w:sz w:val="20"/>
          <w:szCs w:val="20"/>
          <w:rtl/>
        </w:rPr>
        <w:t>' (בע"ב ד"ה לא) דכל שבזכר ערוה נגזר אח"כ</w:t>
      </w:r>
      <w:r w:rsidRPr="009F36E0">
        <w:rPr>
          <w:rFonts w:ascii="Narkisim" w:hAnsi="Narkisim" w:cs="Narkisim"/>
          <w:rtl/>
        </w:rPr>
        <w:t>. וה</w:t>
      </w:r>
      <w:r w:rsidRPr="009F36E0">
        <w:rPr>
          <w:rFonts w:ascii="Narkisim" w:hAnsi="Narkisim" w:cs="Narkisim"/>
          <w:b/>
          <w:bCs/>
          <w:rtl/>
        </w:rPr>
        <w:t>מהרצ"ח</w:t>
      </w:r>
      <w:r w:rsidRPr="009F36E0">
        <w:rPr>
          <w:rFonts w:ascii="Narkisim" w:hAnsi="Narkisim" w:cs="Narkisim"/>
          <w:rtl/>
        </w:rPr>
        <w:t xml:space="preserve"> כת' דכוונת התוס' דגזרו אחרי זמן הברייתא. אבל ה</w:t>
      </w:r>
      <w:r w:rsidRPr="009F36E0">
        <w:rPr>
          <w:rFonts w:ascii="Narkisim" w:hAnsi="Narkisim" w:cs="Narkisim"/>
          <w:b/>
          <w:bCs/>
          <w:rtl/>
        </w:rPr>
        <w:t>אגודה</w:t>
      </w:r>
      <w:r w:rsidRPr="009F36E0">
        <w:rPr>
          <w:rFonts w:ascii="Narkisim" w:hAnsi="Narkisim" w:cs="Narkisim"/>
          <w:rtl/>
        </w:rPr>
        <w:t xml:space="preserve"> כת' דהגאונים אסרום אחרי חתימת התלמוד </w:t>
      </w:r>
      <w:r w:rsidRPr="009F36E0">
        <w:rPr>
          <w:rFonts w:ascii="Narkisim" w:hAnsi="Narkisim" w:cs="Narkisim"/>
          <w:sz w:val="20"/>
          <w:szCs w:val="20"/>
          <w:rtl/>
        </w:rPr>
        <w:t>[א”כ המקור אינה מהירושלמי]</w:t>
      </w:r>
      <w:r w:rsidRPr="009F36E0">
        <w:rPr>
          <w:rFonts w:ascii="Narkisim" w:hAnsi="Narkisim" w:cs="Narkisim"/>
          <w:sz w:val="20"/>
          <w:szCs w:val="20"/>
        </w:rPr>
        <w:t>.</w:t>
      </w:r>
    </w:p>
    <w:p w14:paraId="177AB841"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כת' דאף לסברת הירושלמי לא נאסר בגדר שניות, דהוה </w:t>
      </w:r>
      <w:r w:rsidRPr="009F36E0">
        <w:rPr>
          <w:rFonts w:ascii="Narkisim" w:hAnsi="Narkisim"/>
          <w:i/>
          <w:iCs/>
          <w:rtl/>
        </w:rPr>
        <w:t>ערוה</w:t>
      </w:r>
      <w:r w:rsidRPr="009F36E0">
        <w:rPr>
          <w:rFonts w:ascii="Narkisim" w:hAnsi="Narkisim"/>
          <w:rtl/>
        </w:rPr>
        <w:t xml:space="preserve"> דרבנן, אלא הוה איסור מראית העין בעלמא </w:t>
      </w:r>
      <w:r w:rsidRPr="009F36E0">
        <w:rPr>
          <w:rFonts w:ascii="Narkisim" w:hAnsi="Narkisim"/>
          <w:sz w:val="20"/>
          <w:szCs w:val="20"/>
          <w:rtl/>
        </w:rPr>
        <w:t>[ולכן לר' חנינא מותר במקום שלא יודעים</w:t>
      </w:r>
      <w:r w:rsidRPr="009F36E0">
        <w:rPr>
          <w:rStyle w:val="ac"/>
          <w:rFonts w:ascii="Narkisim" w:hAnsi="Narkisim"/>
          <w:sz w:val="20"/>
          <w:szCs w:val="20"/>
          <w:rtl/>
        </w:rPr>
        <w:footnoteReference w:id="1306"/>
      </w:r>
      <w:r w:rsidRPr="009F36E0">
        <w:rPr>
          <w:rFonts w:ascii="Narkisim" w:hAnsi="Narkisim"/>
          <w:rtl/>
        </w:rPr>
        <w:t>]. וה</w:t>
      </w:r>
      <w:r w:rsidRPr="009F36E0">
        <w:rPr>
          <w:rFonts w:ascii="Narkisim" w:hAnsi="Narkisim"/>
          <w:b/>
          <w:bCs/>
          <w:rtl/>
        </w:rPr>
        <w:t>ראשונים</w:t>
      </w:r>
      <w:r w:rsidRPr="009F36E0">
        <w:rPr>
          <w:rFonts w:ascii="Narkisim" w:hAnsi="Narkisim"/>
          <w:rtl/>
        </w:rPr>
        <w:t xml:space="preserve"> דייקו דמותרת מלשון הגמ' 'מותרת' [משמע דאין צד איסור], אבל לא היה צד דהוה בכלל כ"א שניות</w:t>
      </w:r>
      <w:r w:rsidRPr="009F36E0">
        <w:rPr>
          <w:rFonts w:ascii="Narkisim" w:hAnsi="Narkisim"/>
        </w:rPr>
        <w:t>.</w:t>
      </w:r>
    </w:p>
    <w:p w14:paraId="59FB55E7"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נוב"י</w:t>
      </w:r>
      <w:r w:rsidRPr="009F36E0">
        <w:rPr>
          <w:rFonts w:ascii="Narkisim" w:hAnsi="Narkisim" w:cs="Narkisim"/>
          <w:rtl/>
        </w:rPr>
        <w:t xml:space="preserve"> דן להתיר אשת חמיו לאחר מיתת אשתו, כעין הא דאיתא (לקמן צח:) דבגרים לא גזרו איסור חמותו לאחר מיתה, כיון דקלש איסורא </w:t>
      </w:r>
      <w:r w:rsidRPr="009F36E0">
        <w:rPr>
          <w:rFonts w:ascii="Narkisim" w:hAnsi="Narkisim" w:cs="Narkisim"/>
          <w:sz w:val="20"/>
          <w:szCs w:val="20"/>
          <w:rtl/>
        </w:rPr>
        <w:t>[לר' עקיבא דחמותו לאחר מיתת אשתו אין מיתה</w:t>
      </w:r>
      <w:r w:rsidRPr="009F36E0">
        <w:rPr>
          <w:rStyle w:val="ac"/>
          <w:rFonts w:ascii="Narkisim" w:hAnsi="Narkisim" w:cs="Narkisim"/>
          <w:sz w:val="20"/>
          <w:szCs w:val="20"/>
          <w:rtl/>
        </w:rPr>
        <w:footnoteReference w:id="1307"/>
      </w:r>
      <w:r w:rsidRPr="009F36E0">
        <w:rPr>
          <w:rFonts w:ascii="Narkisim" w:hAnsi="Narkisim" w:cs="Narkisim"/>
          <w:rtl/>
        </w:rPr>
        <w:t>]. והנוב"י כתב לדחות דאפשר דגזירת מראית העין הוה אטו אשת אביו</w:t>
      </w:r>
      <w:r w:rsidRPr="009F36E0">
        <w:rPr>
          <w:rFonts w:ascii="Narkisim" w:hAnsi="Narkisim" w:cs="Narkisim"/>
          <w:sz w:val="20"/>
          <w:szCs w:val="20"/>
          <w:rtl/>
        </w:rPr>
        <w:t xml:space="preserve"> [וא"כ לא שייך כלל למיתת אשתו],</w:t>
      </w:r>
      <w:r w:rsidRPr="009F36E0">
        <w:rPr>
          <w:rFonts w:ascii="Narkisim" w:hAnsi="Narkisim" w:cs="Narkisim"/>
          <w:rtl/>
        </w:rPr>
        <w:t xml:space="preserve"> ולא אטו חמותו</w:t>
      </w:r>
      <w:r w:rsidRPr="009F36E0">
        <w:rPr>
          <w:rStyle w:val="ac"/>
          <w:rFonts w:ascii="Narkisim" w:hAnsi="Narkisim" w:cs="Narkisim"/>
          <w:rtl/>
        </w:rPr>
        <w:footnoteReference w:id="1308"/>
      </w:r>
      <w:r w:rsidRPr="009F36E0">
        <w:rPr>
          <w:rFonts w:ascii="Narkisim" w:hAnsi="Narkisim" w:cs="Narkisim"/>
        </w:rPr>
        <w:t>.</w:t>
      </w:r>
    </w:p>
    <w:p w14:paraId="1A1B52EA"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 xml:space="preserve">רע"א </w:t>
      </w:r>
      <w:r w:rsidRPr="009F36E0">
        <w:rPr>
          <w:rFonts w:ascii="Narkisim" w:hAnsi="Narkisim"/>
          <w:rtl/>
        </w:rPr>
        <w:t xml:space="preserve">כת' דלמש"כ דהאיסור משום מראית העין [שמא יסברו שנושא חמותו], א"כ גזרו אפי' דקלישא איסורא, שמ"מ יסברו שעובר באיסור דאורייתא. ורק במקום שהגזירה שמא ילמדו ממנו ויעברו באיסור ערוה, בזה הוה גזירה רחוקה יותר. ולכן בגרים במקום דקלישא איסורא </w:t>
      </w:r>
      <w:r w:rsidRPr="009F36E0">
        <w:rPr>
          <w:rFonts w:ascii="Narkisim" w:hAnsi="Narkisim"/>
          <w:rtl/>
        </w:rPr>
        <w:lastRenderedPageBreak/>
        <w:t>לא גזרו</w:t>
      </w:r>
      <w:r w:rsidRPr="009F36E0">
        <w:rPr>
          <w:rFonts w:ascii="Narkisim" w:hAnsi="Narkisim"/>
        </w:rPr>
        <w:t>.</w:t>
      </w:r>
    </w:p>
    <w:p w14:paraId="2548A63D" w14:textId="77777777" w:rsidR="006074A5" w:rsidRPr="009F36E0" w:rsidRDefault="006074A5" w:rsidP="006074A5">
      <w:pPr>
        <w:pStyle w:val="aa"/>
        <w:bidi/>
        <w:rPr>
          <w:rFonts w:ascii="Narkisim" w:hAnsi="Narkisim"/>
        </w:rPr>
      </w:pPr>
      <w:r w:rsidRPr="009F36E0">
        <w:rPr>
          <w:rFonts w:ascii="Narkisim" w:hAnsi="Narkisim"/>
          <w:u w:val="single"/>
          <w:rtl/>
        </w:rPr>
        <w:t>בא"ד ומיהו וכו' לא חיישינן למראית העין גבי חורגה הגדילה בין האחים</w:t>
      </w:r>
      <w:r w:rsidRPr="009F36E0">
        <w:rPr>
          <w:rFonts w:ascii="Narkisim" w:hAnsi="Narkisim"/>
          <w:rtl/>
        </w:rPr>
        <w:t>. תוס' דימו אשת חמיו לחורגו, וה</w:t>
      </w:r>
      <w:r w:rsidRPr="009F36E0">
        <w:rPr>
          <w:rFonts w:ascii="Narkisim" w:hAnsi="Narkisim"/>
          <w:b/>
          <w:bCs/>
          <w:rtl/>
        </w:rPr>
        <w:t>רא"ש</w:t>
      </w:r>
      <w:r w:rsidRPr="009F36E0">
        <w:rPr>
          <w:rFonts w:ascii="Narkisim" w:hAnsi="Narkisim"/>
          <w:rtl/>
        </w:rPr>
        <w:t xml:space="preserve"> הוסיף אף אשת חתנו</w:t>
      </w:r>
      <w:r w:rsidRPr="009F36E0">
        <w:rPr>
          <w:rStyle w:val="ac"/>
          <w:rFonts w:ascii="Narkisim" w:hAnsi="Narkisim"/>
          <w:rtl/>
        </w:rPr>
        <w:footnoteReference w:id="1309"/>
      </w:r>
      <w:r w:rsidRPr="009F36E0">
        <w:rPr>
          <w:rFonts w:ascii="Narkisim" w:hAnsi="Narkisim"/>
        </w:rPr>
        <w:t xml:space="preserve">. </w:t>
      </w:r>
      <w:r w:rsidRPr="009F36E0">
        <w:rPr>
          <w:rFonts w:ascii="Narkisim" w:hAnsi="Narkisim"/>
          <w:rtl/>
        </w:rPr>
        <w:t>[ומשמע דתוס' נשארו בקושיה על ר"ת]. אבל ה</w:t>
      </w:r>
      <w:r w:rsidRPr="009F36E0">
        <w:rPr>
          <w:rFonts w:ascii="Narkisim" w:hAnsi="Narkisim"/>
          <w:b/>
          <w:bCs/>
          <w:rtl/>
        </w:rPr>
        <w:t>רא"ש</w:t>
      </w:r>
      <w:r w:rsidRPr="009F36E0">
        <w:rPr>
          <w:rFonts w:ascii="Narkisim" w:hAnsi="Narkisim"/>
          <w:rtl/>
        </w:rPr>
        <w:t xml:space="preserve"> [ו</w:t>
      </w:r>
      <w:r w:rsidRPr="009F36E0">
        <w:rPr>
          <w:rFonts w:ascii="Narkisim" w:hAnsi="Narkisim"/>
          <w:b/>
          <w:bCs/>
          <w:rtl/>
        </w:rPr>
        <w:t>תוס' שאנץ</w:t>
      </w:r>
      <w:r w:rsidRPr="009F36E0">
        <w:rPr>
          <w:rFonts w:ascii="Narkisim" w:hAnsi="Narkisim"/>
          <w:rtl/>
        </w:rPr>
        <w:t xml:space="preserve"> עה"ג סוטה מג:] כתב לחלק דדוקא חורגתו קלא אית לה, שגדילים יחד. אבל באשת חמיו חיישינן למראית העין</w:t>
      </w:r>
      <w:r w:rsidRPr="009F36E0">
        <w:rPr>
          <w:rFonts w:ascii="Narkisim" w:hAnsi="Narkisim"/>
        </w:rPr>
        <w:t>.</w:t>
      </w:r>
    </w:p>
    <w:p w14:paraId="6F1E33B8" w14:textId="77777777" w:rsidR="006074A5" w:rsidRPr="009F36E0" w:rsidRDefault="006074A5" w:rsidP="006074A5">
      <w:pPr>
        <w:bidi/>
        <w:rPr>
          <w:rFonts w:ascii="Narkisim" w:hAnsi="Narkisim" w:cs="Narkisim"/>
        </w:rPr>
      </w:pPr>
      <w:r w:rsidRPr="009F36E0">
        <w:rPr>
          <w:rFonts w:ascii="Narkisim" w:hAnsi="Narkisim" w:cs="Narkisim"/>
          <w:u w:val="single"/>
          <w:rtl/>
        </w:rPr>
        <w:t>אמר רב ד' נשים יש להם הפסק.</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דאם אמו ואם אביו אין להם הפסק. ומבואר דכל אמותיו למעלה אין הפסק. אבל ה</w:t>
      </w:r>
      <w:r w:rsidRPr="009F36E0">
        <w:rPr>
          <w:rFonts w:ascii="Narkisim" w:hAnsi="Narkisim" w:cs="Narkisim"/>
          <w:b/>
          <w:bCs/>
          <w:rtl/>
        </w:rPr>
        <w:t>רמב"ם</w:t>
      </w:r>
      <w:r w:rsidRPr="009F36E0">
        <w:rPr>
          <w:rFonts w:ascii="Narkisim" w:hAnsi="Narkisim" w:cs="Narkisim"/>
          <w:rtl/>
        </w:rPr>
        <w:t xml:space="preserve"> (אישות א ו) פסק דדוקא אם אם אמו, ואם אם אביו אין להם הפסק. אבל אם אבי אמו בלבד אסורה [ואם אם אבי אמו מותרת], וכן אם אב אביו בלבד [ואם אם אבי אביו מותרת]. </w:t>
      </w:r>
      <w:r w:rsidRPr="009F36E0">
        <w:rPr>
          <w:rFonts w:ascii="Narkisim" w:hAnsi="Narkisim" w:cs="Narkisim"/>
          <w:sz w:val="20"/>
          <w:szCs w:val="20"/>
          <w:rtl/>
        </w:rPr>
        <w:t>[וה</w:t>
      </w:r>
      <w:r w:rsidRPr="009F36E0">
        <w:rPr>
          <w:rFonts w:ascii="Narkisim" w:hAnsi="Narkisim" w:cs="Narkisim"/>
          <w:b/>
          <w:bCs/>
          <w:sz w:val="20"/>
          <w:szCs w:val="20"/>
          <w:rtl/>
        </w:rPr>
        <w:t>גר"א</w:t>
      </w:r>
      <w:r w:rsidRPr="009F36E0">
        <w:rPr>
          <w:rFonts w:ascii="Narkisim" w:hAnsi="Narkisim" w:cs="Narkisim"/>
          <w:sz w:val="20"/>
          <w:szCs w:val="20"/>
          <w:rtl/>
        </w:rPr>
        <w:t xml:space="preserve"> (טו ו,ז,י) דן ע"פ הירושלמי]</w:t>
      </w:r>
      <w:r w:rsidRPr="009F36E0">
        <w:rPr>
          <w:rFonts w:ascii="Narkisim" w:hAnsi="Narkisim" w:cs="Narkisim"/>
          <w:sz w:val="20"/>
          <w:szCs w:val="20"/>
        </w:rPr>
        <w:t>.</w:t>
      </w:r>
    </w:p>
    <w:p w14:paraId="74B31792"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תמה דהיאך יתכן דאשת האב [דאבי אביו] תגרע מהאם, וכעין מה שהקשה </w:t>
      </w:r>
      <w:r w:rsidRPr="009F36E0">
        <w:rPr>
          <w:rFonts w:ascii="Narkisim" w:hAnsi="Narkisim"/>
          <w:b/>
          <w:bCs/>
          <w:rtl/>
        </w:rPr>
        <w:t>תוס</w:t>
      </w:r>
      <w:r w:rsidRPr="009F36E0">
        <w:rPr>
          <w:rFonts w:ascii="Narkisim" w:hAnsi="Narkisim"/>
          <w:rtl/>
        </w:rPr>
        <w:t>' (כב. ד"ה שניות). וה</w:t>
      </w:r>
      <w:r w:rsidRPr="009F36E0">
        <w:rPr>
          <w:rFonts w:ascii="Narkisim" w:hAnsi="Narkisim"/>
          <w:b/>
          <w:bCs/>
          <w:rtl/>
        </w:rPr>
        <w:t>אחרונים</w:t>
      </w:r>
      <w:r w:rsidRPr="009F36E0">
        <w:rPr>
          <w:rFonts w:ascii="Narkisim" w:hAnsi="Narkisim"/>
          <w:rtl/>
        </w:rPr>
        <w:t xml:space="preserve"> תי' דמ"מ יש בדורותיה איסור דאורייתא, ובאם אביו אין כנגדו איסור דרבנן</w:t>
      </w:r>
      <w:r w:rsidRPr="009F36E0">
        <w:rPr>
          <w:rFonts w:ascii="Narkisim" w:hAnsi="Narkisim"/>
        </w:rPr>
        <w:t>.</w:t>
      </w:r>
    </w:p>
    <w:p w14:paraId="159C3474"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w:t>
      </w:r>
      <w:r w:rsidRPr="009F36E0">
        <w:rPr>
          <w:rFonts w:ascii="Narkisim" w:hAnsi="Narkisim"/>
          <w:sz w:val="20"/>
          <w:szCs w:val="20"/>
          <w:rtl/>
        </w:rPr>
        <w:t>(בהמשך דבריו)</w:t>
      </w:r>
      <w:r w:rsidRPr="009F36E0">
        <w:rPr>
          <w:rFonts w:ascii="Narkisim" w:hAnsi="Narkisim"/>
          <w:rtl/>
        </w:rPr>
        <w:t xml:space="preserve"> כתב דגדר גזירת שניות דהוה משמרת על משמרתי, וקבעו גזירותם כעין הדאורייתא</w:t>
      </w:r>
      <w:r w:rsidRPr="009F36E0">
        <w:rPr>
          <w:rStyle w:val="ac"/>
          <w:rFonts w:ascii="Narkisim" w:hAnsi="Narkisim"/>
          <w:rtl/>
        </w:rPr>
        <w:footnoteReference w:id="1310"/>
      </w:r>
      <w:r w:rsidRPr="009F36E0">
        <w:rPr>
          <w:rFonts w:ascii="Narkisim" w:hAnsi="Narkisim"/>
        </w:rPr>
        <w:t xml:space="preserve">, </w:t>
      </w:r>
      <w:r w:rsidRPr="009F36E0">
        <w:rPr>
          <w:rFonts w:ascii="Narkisim" w:hAnsi="Narkisim"/>
          <w:rtl/>
        </w:rPr>
        <w:t>וכיון דיש כנגדו איסור אשת אב, כללו דאף זה בכלל אשת אב. אבל אין ערוה בדאורייתא באם האב</w:t>
      </w:r>
      <w:r w:rsidRPr="009F36E0">
        <w:rPr>
          <w:rFonts w:ascii="Narkisim" w:hAnsi="Narkisim"/>
        </w:rPr>
        <w:t>.</w:t>
      </w:r>
    </w:p>
    <w:p w14:paraId="2494F5B9"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w:t>
      </w:r>
      <w:r w:rsidRPr="009F36E0">
        <w:rPr>
          <w:rFonts w:ascii="Narkisim" w:hAnsi="Narkisim"/>
          <w:sz w:val="20"/>
          <w:szCs w:val="20"/>
          <w:rtl/>
        </w:rPr>
        <w:t xml:space="preserve">(בתחילת דבריו) </w:t>
      </w:r>
      <w:r w:rsidRPr="009F36E0">
        <w:rPr>
          <w:rFonts w:ascii="Narkisim" w:hAnsi="Narkisim"/>
          <w:rtl/>
        </w:rPr>
        <w:t>ביאר דערות אמו הוה משום קורבא ולא מתגרי בהו היצר</w:t>
      </w:r>
      <w:r w:rsidRPr="009F36E0">
        <w:rPr>
          <w:rStyle w:val="ac"/>
          <w:rFonts w:ascii="Narkisim" w:hAnsi="Narkisim"/>
          <w:rtl/>
        </w:rPr>
        <w:footnoteReference w:id="1311"/>
      </w:r>
      <w:r w:rsidRPr="009F36E0">
        <w:rPr>
          <w:rFonts w:ascii="Narkisim" w:hAnsi="Narkisim"/>
        </w:rPr>
        <w:t xml:space="preserve">, </w:t>
      </w:r>
      <w:r w:rsidRPr="009F36E0">
        <w:rPr>
          <w:rFonts w:ascii="Narkisim" w:hAnsi="Narkisim"/>
          <w:rtl/>
        </w:rPr>
        <w:t>ולכן לא היו צריכים לגדור כ"כ, משא"כ ערות אשת האב דהוה ע"י קידושין, ובזה מתגרי יצר יותר ותקנו יותר</w:t>
      </w:r>
      <w:r w:rsidRPr="009F36E0">
        <w:rPr>
          <w:rFonts w:ascii="Narkisim" w:hAnsi="Narkisim"/>
        </w:rPr>
        <w:t>.</w:t>
      </w:r>
    </w:p>
    <w:p w14:paraId="01A37ACD"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שלט"ג</w:t>
      </w:r>
      <w:r w:rsidRPr="009F36E0">
        <w:rPr>
          <w:rFonts w:ascii="Narkisim" w:hAnsi="Narkisim"/>
          <w:rtl/>
        </w:rPr>
        <w:t xml:space="preserve"> (ד: אות ג) כת' בשם ה</w:t>
      </w:r>
      <w:r w:rsidRPr="009F36E0">
        <w:rPr>
          <w:rFonts w:ascii="Narkisim" w:hAnsi="Narkisim"/>
          <w:b/>
          <w:bCs/>
          <w:rtl/>
        </w:rPr>
        <w:t>ריא"ז</w:t>
      </w:r>
      <w:r w:rsidRPr="009F36E0">
        <w:rPr>
          <w:rFonts w:ascii="Narkisim" w:hAnsi="Narkisim"/>
          <w:rtl/>
        </w:rPr>
        <w:t xml:space="preserve"> דאם אבי אביו מותרת [ורק אם אם אביו אין לה הפסק]</w:t>
      </w:r>
      <w:r w:rsidRPr="009F36E0">
        <w:rPr>
          <w:rFonts w:ascii="Narkisim" w:hAnsi="Narkisim"/>
        </w:rPr>
        <w:t>.</w:t>
      </w:r>
    </w:p>
    <w:p w14:paraId="77AAAD9C" w14:textId="77777777" w:rsidR="006074A5" w:rsidRPr="009F36E0" w:rsidRDefault="006074A5" w:rsidP="006074A5">
      <w:pPr>
        <w:bidi/>
        <w:rPr>
          <w:rFonts w:ascii="Narkisim" w:hAnsi="Narkisim" w:cs="Narkisim"/>
        </w:rPr>
      </w:pPr>
      <w:r w:rsidRPr="009F36E0">
        <w:rPr>
          <w:rFonts w:ascii="Narkisim" w:hAnsi="Narkisim" w:cs="Narkisim"/>
          <w:u w:val="single"/>
          <w:rtl/>
        </w:rPr>
        <w:t>שכיחא דאזיל גביה.</w:t>
      </w:r>
      <w:r w:rsidRPr="009F36E0">
        <w:rPr>
          <w:rFonts w:ascii="Narkisim" w:hAnsi="Narkisim" w:cs="Narkisim"/>
          <w:rtl/>
        </w:rPr>
        <w:t xml:space="preserve"> ה</w:t>
      </w:r>
      <w:r w:rsidRPr="009F36E0">
        <w:rPr>
          <w:rFonts w:ascii="Narkisim" w:hAnsi="Narkisim" w:cs="Narkisim"/>
          <w:b/>
          <w:bCs/>
          <w:rtl/>
        </w:rPr>
        <w:t>תה"ד</w:t>
      </w:r>
      <w:r w:rsidRPr="009F36E0">
        <w:rPr>
          <w:rFonts w:ascii="Narkisim" w:hAnsi="Narkisim" w:cs="Narkisim"/>
          <w:rtl/>
        </w:rPr>
        <w:t xml:space="preserve"> </w:t>
      </w:r>
      <w:r w:rsidRPr="009F36E0">
        <w:rPr>
          <w:rFonts w:ascii="Narkisim" w:hAnsi="Narkisim" w:cs="Narkisim"/>
          <w:sz w:val="20"/>
          <w:szCs w:val="20"/>
          <w:rtl/>
        </w:rPr>
        <w:t>(ריד, הובא ב</w:t>
      </w:r>
      <w:r w:rsidRPr="009F36E0">
        <w:rPr>
          <w:rFonts w:ascii="Narkisim" w:hAnsi="Narkisim" w:cs="Narkisim"/>
          <w:b/>
          <w:bCs/>
          <w:sz w:val="20"/>
          <w:szCs w:val="20"/>
          <w:rtl/>
        </w:rPr>
        <w:t>רמ"א</w:t>
      </w:r>
      <w:r w:rsidRPr="009F36E0">
        <w:rPr>
          <w:rFonts w:ascii="Narkisim" w:hAnsi="Narkisim" w:cs="Narkisim"/>
          <w:sz w:val="20"/>
          <w:szCs w:val="20"/>
          <w:rtl/>
        </w:rPr>
        <w:t xml:space="preserve"> טו ז)</w:t>
      </w:r>
      <w:r w:rsidRPr="009F36E0">
        <w:rPr>
          <w:rFonts w:ascii="Narkisim" w:hAnsi="Narkisim" w:cs="Narkisim"/>
          <w:rtl/>
        </w:rPr>
        <w:t xml:space="preserve"> פסק דאשת אבי אם האב אסורה, דהוה בכלל אשת אבי אב האב. ולדידיה הוה קורבא דאב, ושכיחא דאזיל גביה. ואע"ג דלאביו הוה קורבא דאם. [והפוסקים דנו בזה]</w:t>
      </w:r>
      <w:r w:rsidRPr="009F36E0">
        <w:rPr>
          <w:rFonts w:ascii="Narkisim" w:hAnsi="Narkisim" w:cs="Narkisim"/>
        </w:rPr>
        <w:t>.</w:t>
      </w:r>
    </w:p>
    <w:p w14:paraId="69D34124" w14:textId="77777777" w:rsidR="006074A5" w:rsidRPr="009F36E0" w:rsidRDefault="006074A5" w:rsidP="006074A5">
      <w:pPr>
        <w:pStyle w:val="3"/>
        <w:bidi/>
        <w:rPr>
          <w:rFonts w:ascii="Narkisim" w:hAnsi="Narkisim"/>
        </w:rPr>
      </w:pPr>
      <w:r w:rsidRPr="009F36E0">
        <w:rPr>
          <w:rFonts w:ascii="Narkisim" w:hAnsi="Narkisim"/>
          <w:rtl/>
        </w:rPr>
        <w:t>דף כא</w:t>
      </w:r>
      <w:r w:rsidRPr="009F36E0">
        <w:rPr>
          <w:rFonts w:ascii="Narkisim" w:hAnsi="Narkisim"/>
        </w:rPr>
        <w:t>:</w:t>
      </w:r>
    </w:p>
    <w:p w14:paraId="6876F70A" w14:textId="77777777" w:rsidR="006074A5" w:rsidRPr="009F36E0" w:rsidRDefault="006074A5" w:rsidP="006074A5">
      <w:pPr>
        <w:pStyle w:val="aa"/>
        <w:bidi/>
        <w:rPr>
          <w:rFonts w:ascii="Narkisim" w:hAnsi="Narkisim"/>
        </w:rPr>
      </w:pPr>
      <w:r w:rsidRPr="009F36E0">
        <w:rPr>
          <w:rFonts w:ascii="Narkisim" w:hAnsi="Narkisim"/>
          <w:u w:val="single"/>
          <w:rtl/>
        </w:rPr>
        <w:t>כלדאי</w:t>
      </w:r>
      <w:r w:rsidRPr="009F36E0">
        <w:rPr>
          <w:rFonts w:ascii="Narkisim" w:hAnsi="Narkisim"/>
          <w:rtl/>
        </w:rPr>
        <w:t>. פ</w:t>
      </w:r>
      <w:r w:rsidRPr="009F36E0">
        <w:rPr>
          <w:rFonts w:ascii="Narkisim" w:hAnsi="Narkisim"/>
          <w:b/>
          <w:bCs/>
          <w:rtl/>
        </w:rPr>
        <w:t>רש"י</w:t>
      </w:r>
      <w:r w:rsidRPr="009F36E0">
        <w:rPr>
          <w:rFonts w:ascii="Narkisim" w:hAnsi="Narkisim"/>
          <w:rtl/>
        </w:rPr>
        <w:t xml:space="preserve"> החוזים בכוכבים. ובגמ' (פסחים קיג:) אי' דאסור לשאול בכלדיים שנאמר תמים תהיה</w:t>
      </w:r>
      <w:r w:rsidRPr="009F36E0">
        <w:rPr>
          <w:rStyle w:val="ac"/>
          <w:rFonts w:ascii="Narkisim" w:hAnsi="Narkisim"/>
          <w:rtl/>
        </w:rPr>
        <w:footnoteReference w:id="1312"/>
      </w:r>
      <w:r w:rsidRPr="009F36E0">
        <w:rPr>
          <w:rFonts w:ascii="Narkisim" w:hAnsi="Narkisim"/>
          <w:rtl/>
        </w:rPr>
        <w:t>, ופ</w:t>
      </w:r>
      <w:r w:rsidRPr="009F36E0">
        <w:rPr>
          <w:rFonts w:ascii="Narkisim" w:hAnsi="Narkisim"/>
          <w:b/>
          <w:bCs/>
          <w:rtl/>
        </w:rPr>
        <w:t>רש"י</w:t>
      </w:r>
      <w:r w:rsidRPr="009F36E0">
        <w:rPr>
          <w:rFonts w:ascii="Narkisim" w:hAnsi="Narkisim"/>
          <w:rtl/>
        </w:rPr>
        <w:t xml:space="preserve"> דכלדאי הוה בעלי אוב. ו</w:t>
      </w:r>
      <w:r w:rsidRPr="009F36E0">
        <w:rPr>
          <w:rFonts w:ascii="Narkisim" w:hAnsi="Narkisim"/>
          <w:b/>
          <w:bCs/>
          <w:rtl/>
        </w:rPr>
        <w:t>רשב"ם</w:t>
      </w:r>
      <w:r w:rsidRPr="009F36E0">
        <w:rPr>
          <w:rFonts w:ascii="Narkisim" w:hAnsi="Narkisim"/>
          <w:rtl/>
        </w:rPr>
        <w:t xml:space="preserve"> חלק דהוה חוזים בכוכבים</w:t>
      </w:r>
      <w:r w:rsidRPr="009F36E0">
        <w:rPr>
          <w:rStyle w:val="ac"/>
          <w:rFonts w:ascii="Narkisim" w:hAnsi="Narkisim"/>
          <w:rtl/>
        </w:rPr>
        <w:footnoteReference w:id="1313"/>
      </w:r>
      <w:r w:rsidRPr="009F36E0">
        <w:rPr>
          <w:rFonts w:ascii="Narkisim" w:hAnsi="Narkisim"/>
          <w:rtl/>
        </w:rPr>
        <w:t xml:space="preserve">. ועד"ז כת' </w:t>
      </w:r>
      <w:r w:rsidRPr="009F36E0">
        <w:rPr>
          <w:rFonts w:ascii="Narkisim" w:hAnsi="Narkisim"/>
          <w:b/>
          <w:bCs/>
          <w:rtl/>
        </w:rPr>
        <w:t>תוס</w:t>
      </w:r>
      <w:r w:rsidRPr="009F36E0">
        <w:rPr>
          <w:rFonts w:ascii="Narkisim" w:hAnsi="Narkisim"/>
          <w:rtl/>
        </w:rPr>
        <w:t>' (שבת קנו:). וע"ע שו"ת רשב"א (מיוחסות רפג, הובא בב"י יו"ד קעט).</w:t>
      </w:r>
    </w:p>
    <w:p w14:paraId="36F0293A" w14:textId="77777777" w:rsidR="006074A5" w:rsidRPr="009F36E0" w:rsidRDefault="006074A5" w:rsidP="006074A5">
      <w:pPr>
        <w:bidi/>
        <w:rPr>
          <w:rFonts w:ascii="Narkisim" w:hAnsi="Narkisim" w:cs="Narkisim"/>
        </w:rPr>
      </w:pPr>
      <w:r w:rsidRPr="009F36E0">
        <w:rPr>
          <w:rFonts w:ascii="Narkisim" w:hAnsi="Narkisim" w:cs="Narkisim"/>
          <w:u w:val="single"/>
          <w:rtl/>
        </w:rPr>
        <w:t>וכן אתה אומר בבנו ובן בנו.</w:t>
      </w:r>
      <w:r w:rsidRPr="009F36E0">
        <w:rPr>
          <w:rFonts w:ascii="Narkisim" w:hAnsi="Narkisim" w:cs="Narkisim"/>
          <w:rtl/>
        </w:rPr>
        <w:t xml:space="preserve"> בגמ' בכריתות גרסי' בבת בנו ובת בן בנו [וב</w:t>
      </w:r>
      <w:r w:rsidRPr="009F36E0">
        <w:rPr>
          <w:rFonts w:ascii="Narkisim" w:hAnsi="Narkisim" w:cs="Narkisim"/>
          <w:b/>
          <w:bCs/>
          <w:rtl/>
        </w:rPr>
        <w:t xml:space="preserve">שיטמ”ק </w:t>
      </w:r>
      <w:r w:rsidRPr="009F36E0">
        <w:rPr>
          <w:rFonts w:ascii="Narkisim" w:hAnsi="Narkisim" w:cs="Narkisim"/>
          <w:rtl/>
        </w:rPr>
        <w:t>הגיה כמו הכא],</w:t>
      </w:r>
      <w:r w:rsidRPr="009F36E0">
        <w:rPr>
          <w:rFonts w:ascii="Narkisim" w:hAnsi="Narkisim" w:cs="Narkisim"/>
          <w:sz w:val="20"/>
          <w:szCs w:val="20"/>
          <w:rtl/>
        </w:rPr>
        <w:t xml:space="preserve"> וה</w:t>
      </w:r>
      <w:r w:rsidRPr="009F36E0">
        <w:rPr>
          <w:rFonts w:ascii="Narkisim" w:hAnsi="Narkisim" w:cs="Narkisim"/>
          <w:b/>
          <w:bCs/>
          <w:sz w:val="20"/>
          <w:szCs w:val="20"/>
          <w:rtl/>
        </w:rPr>
        <w:t>רש"ש</w:t>
      </w:r>
      <w:r w:rsidRPr="009F36E0">
        <w:rPr>
          <w:rFonts w:ascii="Narkisim" w:hAnsi="Narkisim" w:cs="Narkisim"/>
          <w:sz w:val="20"/>
          <w:szCs w:val="20"/>
          <w:rtl/>
        </w:rPr>
        <w:t xml:space="preserve"> ו</w:t>
      </w:r>
      <w:r w:rsidRPr="009F36E0">
        <w:rPr>
          <w:rFonts w:ascii="Narkisim" w:hAnsi="Narkisim" w:cs="Narkisim"/>
          <w:b/>
          <w:bCs/>
          <w:sz w:val="20"/>
          <w:szCs w:val="20"/>
          <w:rtl/>
        </w:rPr>
        <w:t xml:space="preserve">אחרונים </w:t>
      </w:r>
      <w:r w:rsidRPr="009F36E0">
        <w:rPr>
          <w:rFonts w:ascii="Narkisim" w:hAnsi="Narkisim" w:cs="Narkisim"/>
          <w:sz w:val="20"/>
          <w:szCs w:val="20"/>
          <w:rtl/>
        </w:rPr>
        <w:t>(לקמן כב.) דנו דבת בן בנו תליא בנידון שניות דרב חייא (לקמן כב.), וה</w:t>
      </w:r>
      <w:r w:rsidRPr="009F36E0">
        <w:rPr>
          <w:rFonts w:ascii="Narkisim" w:hAnsi="Narkisim" w:cs="Narkisim"/>
          <w:b/>
          <w:bCs/>
          <w:sz w:val="20"/>
          <w:szCs w:val="20"/>
          <w:rtl/>
        </w:rPr>
        <w:t>פוסקים</w:t>
      </w:r>
      <w:r w:rsidRPr="009F36E0">
        <w:rPr>
          <w:rFonts w:ascii="Narkisim" w:hAnsi="Narkisim" w:cs="Narkisim"/>
          <w:sz w:val="20"/>
          <w:szCs w:val="20"/>
          <w:rtl/>
        </w:rPr>
        <w:t xml:space="preserve"> האריכו בזה</w:t>
      </w:r>
      <w:r w:rsidRPr="009F36E0">
        <w:rPr>
          <w:rFonts w:ascii="Narkisim" w:hAnsi="Narkisim" w:cs="Narkisim"/>
          <w:sz w:val="20"/>
          <w:szCs w:val="20"/>
        </w:rPr>
        <w:t>.</w:t>
      </w:r>
    </w:p>
    <w:p w14:paraId="366A73CE" w14:textId="77777777" w:rsidR="006074A5" w:rsidRPr="009F36E0" w:rsidRDefault="006074A5" w:rsidP="006074A5">
      <w:pPr>
        <w:bidi/>
        <w:rPr>
          <w:rFonts w:ascii="Narkisim" w:hAnsi="Narkisim" w:cs="Narkisim"/>
        </w:rPr>
      </w:pPr>
      <w:r w:rsidRPr="009F36E0">
        <w:rPr>
          <w:rFonts w:ascii="Narkisim" w:hAnsi="Narkisim" w:cs="Narkisim"/>
          <w:u w:val="single"/>
          <w:rtl/>
        </w:rPr>
        <w:t>לא אסרו כלת בנו וכו'.</w:t>
      </w:r>
      <w:r w:rsidRPr="009F36E0">
        <w:rPr>
          <w:rFonts w:ascii="Narkisim" w:hAnsi="Narkisim" w:cs="Narkisim"/>
          <w:rtl/>
        </w:rPr>
        <w:t xml:space="preserve"> ה</w:t>
      </w:r>
      <w:r w:rsidRPr="009F36E0">
        <w:rPr>
          <w:rFonts w:ascii="Narkisim" w:hAnsi="Narkisim" w:cs="Narkisim"/>
          <w:b/>
          <w:bCs/>
          <w:rtl/>
        </w:rPr>
        <w:t>ראב"ן</w:t>
      </w:r>
      <w:r w:rsidRPr="009F36E0">
        <w:rPr>
          <w:rFonts w:ascii="Narkisim" w:hAnsi="Narkisim" w:cs="Narkisim"/>
          <w:rtl/>
        </w:rPr>
        <w:t xml:space="preserve"> פי' דכלת בנים נקראת על שמו, ולא ע”ש בניהם</w:t>
      </w:r>
      <w:r w:rsidRPr="009F36E0">
        <w:rPr>
          <w:rStyle w:val="ac"/>
          <w:rFonts w:ascii="Narkisim" w:hAnsi="Narkisim" w:cs="Narkisim"/>
          <w:rtl/>
        </w:rPr>
        <w:footnoteReference w:id="1314"/>
      </w:r>
      <w:r w:rsidRPr="009F36E0">
        <w:rPr>
          <w:rFonts w:ascii="Narkisim" w:hAnsi="Narkisim" w:cs="Narkisim"/>
        </w:rPr>
        <w:t xml:space="preserve">. </w:t>
      </w:r>
      <w:r w:rsidRPr="009F36E0">
        <w:rPr>
          <w:rFonts w:ascii="Narkisim" w:hAnsi="Narkisim" w:cs="Narkisim"/>
          <w:rtl/>
        </w:rPr>
        <w:t>אבל ה</w:t>
      </w:r>
      <w:r w:rsidRPr="009F36E0">
        <w:rPr>
          <w:rFonts w:ascii="Narkisim" w:hAnsi="Narkisim" w:cs="Narkisim"/>
          <w:b/>
          <w:bCs/>
          <w:rtl/>
        </w:rPr>
        <w:t xml:space="preserve">ריטב"א </w:t>
      </w:r>
      <w:r w:rsidRPr="009F36E0">
        <w:rPr>
          <w:rFonts w:ascii="Narkisim" w:hAnsi="Narkisim" w:cs="Narkisim"/>
          <w:rtl/>
        </w:rPr>
        <w:t>הק' מאי קמ"ל איכא אחרינא שאסרו משום השם. וה</w:t>
      </w:r>
      <w:r w:rsidRPr="009F36E0">
        <w:rPr>
          <w:rFonts w:ascii="Narkisim" w:hAnsi="Narkisim" w:cs="Narkisim"/>
          <w:b/>
          <w:bCs/>
          <w:rtl/>
        </w:rPr>
        <w:t>ריטב"א</w:t>
      </w:r>
      <w:r w:rsidRPr="009F36E0">
        <w:rPr>
          <w:rFonts w:ascii="Narkisim" w:hAnsi="Narkisim" w:cs="Narkisim"/>
          <w:rtl/>
        </w:rPr>
        <w:t xml:space="preserve"> פי' שלא גזרו אלא במקום שיש בה ג"כ כלת בנו, ולכן הוזכרו אלו שבביתם היה כלת הבן וכלת הבת. </w:t>
      </w:r>
      <w:r w:rsidRPr="009F36E0">
        <w:rPr>
          <w:rFonts w:ascii="Narkisim" w:hAnsi="Narkisim" w:cs="Narkisim"/>
          <w:sz w:val="20"/>
          <w:szCs w:val="20"/>
          <w:rtl/>
        </w:rPr>
        <w:t>וכ"כ השלט"ג בשם ה</w:t>
      </w:r>
      <w:r w:rsidRPr="009F36E0">
        <w:rPr>
          <w:rFonts w:ascii="Narkisim" w:hAnsi="Narkisim" w:cs="Narkisim"/>
          <w:b/>
          <w:bCs/>
          <w:sz w:val="20"/>
          <w:szCs w:val="20"/>
          <w:rtl/>
        </w:rPr>
        <w:t>ריא"ז</w:t>
      </w:r>
      <w:r w:rsidRPr="009F36E0">
        <w:rPr>
          <w:rFonts w:ascii="Narkisim" w:hAnsi="Narkisim" w:cs="Narkisim"/>
          <w:sz w:val="20"/>
          <w:szCs w:val="20"/>
          <w:rtl/>
        </w:rPr>
        <w:t>.</w:t>
      </w:r>
      <w:r w:rsidRPr="009F36E0">
        <w:rPr>
          <w:rFonts w:ascii="Narkisim" w:hAnsi="Narkisim" w:cs="Narkisim"/>
          <w:rtl/>
        </w:rPr>
        <w:t xml:space="preserve"> וה</w:t>
      </w:r>
      <w:r w:rsidRPr="009F36E0">
        <w:rPr>
          <w:rFonts w:ascii="Narkisim" w:hAnsi="Narkisim" w:cs="Narkisim"/>
          <w:b/>
          <w:bCs/>
          <w:rtl/>
        </w:rPr>
        <w:t>דרכ"מ</w:t>
      </w:r>
      <w:r w:rsidRPr="009F36E0">
        <w:rPr>
          <w:rFonts w:ascii="Narkisim" w:hAnsi="Narkisim" w:cs="Narkisim"/>
          <w:rtl/>
        </w:rPr>
        <w:t xml:space="preserve"> </w:t>
      </w:r>
      <w:r w:rsidRPr="009F36E0">
        <w:rPr>
          <w:rFonts w:ascii="Narkisim" w:hAnsi="Narkisim" w:cs="Narkisim"/>
          <w:sz w:val="20"/>
          <w:szCs w:val="20"/>
          <w:rtl/>
        </w:rPr>
        <w:t>(טו)</w:t>
      </w:r>
      <w:r w:rsidRPr="009F36E0">
        <w:rPr>
          <w:rFonts w:ascii="Narkisim" w:hAnsi="Narkisim" w:cs="Narkisim"/>
          <w:rtl/>
        </w:rPr>
        <w:t xml:space="preserve"> כת' דהפוסקים לא חלקו בזה</w:t>
      </w:r>
      <w:r w:rsidRPr="009F36E0">
        <w:rPr>
          <w:rFonts w:ascii="Narkisim" w:hAnsi="Narkisim" w:cs="Narkisim"/>
        </w:rPr>
        <w:t>.</w:t>
      </w:r>
    </w:p>
    <w:p w14:paraId="2CE98898" w14:textId="77777777" w:rsidR="006074A5" w:rsidRPr="009F36E0" w:rsidRDefault="006074A5" w:rsidP="006074A5">
      <w:pPr>
        <w:bidi/>
        <w:rPr>
          <w:rFonts w:ascii="Narkisim" w:hAnsi="Narkisim" w:cs="Narkisim"/>
        </w:rPr>
      </w:pPr>
      <w:r w:rsidRPr="009F36E0">
        <w:rPr>
          <w:rFonts w:ascii="Narkisim" w:hAnsi="Narkisim" w:cs="Narkisim"/>
          <w:u w:val="single"/>
          <w:rtl/>
        </w:rPr>
        <w:t>ת"ש וכו' כל שבנקיבה ערוה בזכר גזרו.</w:t>
      </w:r>
      <w:r w:rsidRPr="009F36E0">
        <w:rPr>
          <w:rFonts w:ascii="Narkisim" w:hAnsi="Narkisim" w:cs="Narkisim"/>
          <w:rtl/>
        </w:rPr>
        <w:t xml:space="preserve"> [וב</w:t>
      </w:r>
      <w:r w:rsidRPr="009F36E0">
        <w:rPr>
          <w:rFonts w:ascii="Narkisim" w:hAnsi="Narkisim" w:cs="Narkisim"/>
          <w:b/>
          <w:bCs/>
          <w:rtl/>
        </w:rPr>
        <w:t>תוס'</w:t>
      </w:r>
      <w:r w:rsidRPr="009F36E0">
        <w:rPr>
          <w:rFonts w:ascii="Narkisim" w:hAnsi="Narkisim" w:cs="Narkisim"/>
          <w:rtl/>
        </w:rPr>
        <w:t xml:space="preserve"> פי' דהוה גזירה מאוחרת]. ולפ"ז לא פשטו את עיקר הספק, האם כולהו נחשבים בי דודי. אבל ה</w:t>
      </w:r>
      <w:r w:rsidRPr="009F36E0">
        <w:rPr>
          <w:rFonts w:ascii="Narkisim" w:hAnsi="Narkisim" w:cs="Narkisim"/>
          <w:b/>
          <w:bCs/>
          <w:rtl/>
        </w:rPr>
        <w:t>רמב"ן</w:t>
      </w:r>
      <w:r w:rsidRPr="009F36E0">
        <w:rPr>
          <w:rFonts w:ascii="Narkisim" w:hAnsi="Narkisim" w:cs="Narkisim"/>
          <w:rtl/>
        </w:rPr>
        <w:t xml:space="preserve"> כתב דהכלל כל שבנקיבה ערוה הוה סימן, ולא טעם לגזור</w:t>
      </w:r>
      <w:r w:rsidRPr="009F36E0">
        <w:rPr>
          <w:rStyle w:val="ac"/>
          <w:rFonts w:ascii="Narkisim" w:hAnsi="Narkisim" w:cs="Narkisim"/>
          <w:rtl/>
        </w:rPr>
        <w:footnoteReference w:id="1315"/>
      </w:r>
      <w:r w:rsidRPr="009F36E0">
        <w:rPr>
          <w:rFonts w:ascii="Narkisim" w:hAnsi="Narkisim" w:cs="Narkisim"/>
        </w:rPr>
        <w:t>.</w:t>
      </w:r>
    </w:p>
    <w:p w14:paraId="1629F222" w14:textId="77777777" w:rsidR="006074A5" w:rsidRPr="009F36E0" w:rsidRDefault="006074A5" w:rsidP="006074A5">
      <w:pPr>
        <w:pStyle w:val="aa"/>
        <w:bidi/>
        <w:rPr>
          <w:rFonts w:ascii="Narkisim" w:hAnsi="Narkisim"/>
        </w:rPr>
      </w:pPr>
      <w:r w:rsidRPr="009F36E0">
        <w:rPr>
          <w:rFonts w:ascii="Narkisim" w:hAnsi="Narkisim"/>
          <w:u w:val="single"/>
          <w:rtl/>
        </w:rPr>
        <w:lastRenderedPageBreak/>
        <w:t>עד דאיכא תרי קידושין לא מקרבי.</w:t>
      </w:r>
      <w:r w:rsidRPr="009F36E0">
        <w:rPr>
          <w:rFonts w:ascii="Narkisim" w:hAnsi="Narkisim"/>
          <w:rtl/>
        </w:rPr>
        <w:t xml:space="preserve"> ה</w:t>
      </w:r>
      <w:r w:rsidRPr="009F36E0">
        <w:rPr>
          <w:rFonts w:ascii="Narkisim" w:hAnsi="Narkisim"/>
          <w:b/>
          <w:bCs/>
          <w:rtl/>
        </w:rPr>
        <w:t>או"ש</w:t>
      </w:r>
      <w:r w:rsidRPr="009F36E0">
        <w:rPr>
          <w:rFonts w:ascii="Narkisim" w:hAnsi="Narkisim"/>
          <w:rtl/>
        </w:rPr>
        <w:t xml:space="preserve"> (א ו) ביאר דלא מצאנו בתורה שום ערוה בב' קידושין, ולכן אף רבנן לא גזרו משמרת אלא כעין הדאורייתא</w:t>
      </w:r>
      <w:r w:rsidRPr="009F36E0">
        <w:rPr>
          <w:rFonts w:ascii="Narkisim" w:hAnsi="Narkisim"/>
        </w:rPr>
        <w:t>.</w:t>
      </w:r>
    </w:p>
    <w:p w14:paraId="623ABDB1" w14:textId="77777777" w:rsidR="006074A5" w:rsidRPr="009F36E0" w:rsidRDefault="006074A5" w:rsidP="006074A5">
      <w:pPr>
        <w:pStyle w:val="aa"/>
        <w:bidi/>
        <w:rPr>
          <w:rFonts w:ascii="Narkisim" w:hAnsi="Narkisim"/>
        </w:rPr>
      </w:pPr>
      <w:r w:rsidRPr="009F36E0">
        <w:rPr>
          <w:rFonts w:ascii="Narkisim" w:hAnsi="Narkisim"/>
          <w:u w:val="single"/>
          <w:rtl/>
        </w:rPr>
        <w:t>וכתיבן שיתסרי לאיסורא וכו'</w:t>
      </w:r>
      <w:r w:rsidRPr="009F36E0">
        <w:rPr>
          <w:rFonts w:ascii="Narkisim" w:hAnsi="Narkisim"/>
          <w:rtl/>
        </w:rPr>
        <w:t xml:space="preserve">. </w:t>
      </w:r>
      <w:r w:rsidRPr="009F36E0">
        <w:rPr>
          <w:rFonts w:ascii="Narkisim" w:hAnsi="Narkisim"/>
          <w:b/>
          <w:bCs/>
          <w:rtl/>
        </w:rPr>
        <w:t>בה”ג</w:t>
      </w:r>
      <w:r w:rsidRPr="009F36E0">
        <w:rPr>
          <w:rFonts w:ascii="Narkisim" w:hAnsi="Narkisim"/>
          <w:rtl/>
        </w:rPr>
        <w:t xml:space="preserve"> הוסיף שניות אם אחות אביו ואם אחות אמו</w:t>
      </w:r>
      <w:r w:rsidRPr="009F36E0">
        <w:rPr>
          <w:rStyle w:val="ac"/>
          <w:rFonts w:ascii="Narkisim" w:hAnsi="Narkisim"/>
          <w:rtl/>
        </w:rPr>
        <w:footnoteReference w:id="1316"/>
      </w:r>
      <w:r w:rsidRPr="009F36E0">
        <w:rPr>
          <w:rFonts w:ascii="Narkisim" w:hAnsi="Narkisim"/>
        </w:rPr>
        <w:t xml:space="preserve">. </w:t>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חלק דאין שומעין לו להוסיף על השניות, אלא אי הוה דרך נישואין הוה אשת אבי אביו ואשת אבי אמו, ואל"כ מותרת</w:t>
      </w:r>
      <w:r w:rsidRPr="009F36E0">
        <w:rPr>
          <w:rFonts w:ascii="Narkisim" w:hAnsi="Narkisim"/>
        </w:rPr>
        <w:t>.</w:t>
      </w:r>
    </w:p>
    <w:p w14:paraId="028C2A1D" w14:textId="77777777" w:rsidR="006074A5" w:rsidRPr="009F36E0" w:rsidRDefault="006074A5" w:rsidP="006074A5">
      <w:pPr>
        <w:pStyle w:val="3"/>
        <w:bidi/>
        <w:rPr>
          <w:rFonts w:ascii="Narkisim" w:hAnsi="Narkisim"/>
        </w:rPr>
      </w:pPr>
      <w:r w:rsidRPr="009F36E0">
        <w:rPr>
          <w:rFonts w:ascii="Narkisim" w:hAnsi="Narkisim"/>
          <w:rtl/>
        </w:rPr>
        <w:t>דף כב</w:t>
      </w:r>
      <w:r w:rsidRPr="009F36E0">
        <w:rPr>
          <w:rFonts w:ascii="Narkisim" w:hAnsi="Narkisim"/>
        </w:rPr>
        <w:t>.</w:t>
      </w:r>
    </w:p>
    <w:p w14:paraId="563842D8" w14:textId="77777777" w:rsidR="006074A5" w:rsidRPr="009F36E0" w:rsidRDefault="006074A5" w:rsidP="006074A5">
      <w:pPr>
        <w:bidi/>
        <w:rPr>
          <w:rFonts w:ascii="Narkisim" w:hAnsi="Narkisim" w:cs="Narkisim"/>
        </w:rPr>
      </w:pPr>
      <w:r w:rsidRPr="009F36E0">
        <w:rPr>
          <w:rFonts w:ascii="Narkisim" w:hAnsi="Narkisim" w:cs="Narkisim"/>
          <w:u w:val="single"/>
          <w:rtl/>
        </w:rPr>
        <w:t>שניות דבי ר' חייא יש להן הפסק וכו'.</w:t>
      </w:r>
      <w:r w:rsidRPr="009F36E0">
        <w:rPr>
          <w:rFonts w:ascii="Narkisim" w:hAnsi="Narkisim" w:cs="Narkisim"/>
          <w:rtl/>
        </w:rPr>
        <w:t xml:space="preserve"> ה</w:t>
      </w:r>
      <w:r w:rsidRPr="009F36E0">
        <w:rPr>
          <w:rFonts w:ascii="Narkisim" w:hAnsi="Narkisim" w:cs="Narkisim"/>
          <w:b/>
          <w:bCs/>
          <w:rtl/>
        </w:rPr>
        <w:t>ראשונים</w:t>
      </w:r>
      <w:r w:rsidRPr="009F36E0">
        <w:rPr>
          <w:rFonts w:ascii="Narkisim" w:hAnsi="Narkisim" w:cs="Narkisim"/>
          <w:rtl/>
        </w:rPr>
        <w:t xml:space="preserve"> הביאו דמרש"י משמע דקאי אף בבת בת בתו. </w:t>
      </w:r>
      <w:r w:rsidRPr="009F36E0">
        <w:rPr>
          <w:rFonts w:ascii="Narkisim" w:hAnsi="Narkisim" w:cs="Narkisim"/>
          <w:sz w:val="20"/>
          <w:szCs w:val="20"/>
          <w:rtl/>
        </w:rPr>
        <w:t>[וכ"מ ב</w:t>
      </w:r>
      <w:r w:rsidRPr="009F36E0">
        <w:rPr>
          <w:rFonts w:ascii="Narkisim" w:hAnsi="Narkisim" w:cs="Narkisim"/>
          <w:b/>
          <w:bCs/>
          <w:sz w:val="20"/>
          <w:szCs w:val="20"/>
          <w:rtl/>
        </w:rPr>
        <w:t>רמב"ם</w:t>
      </w:r>
      <w:r w:rsidRPr="009F36E0">
        <w:rPr>
          <w:rFonts w:ascii="Narkisim" w:hAnsi="Narkisim" w:cs="Narkisim"/>
          <w:sz w:val="20"/>
          <w:szCs w:val="20"/>
          <w:rtl/>
        </w:rPr>
        <w:t xml:space="preserve"> א ו, וכן מבואר ב</w:t>
      </w:r>
      <w:r w:rsidRPr="009F36E0">
        <w:rPr>
          <w:rFonts w:ascii="Narkisim" w:hAnsi="Narkisim" w:cs="Narkisim"/>
          <w:b/>
          <w:bCs/>
          <w:sz w:val="20"/>
          <w:szCs w:val="20"/>
          <w:rtl/>
        </w:rPr>
        <w:t>תוס</w:t>
      </w:r>
      <w:r w:rsidRPr="009F36E0">
        <w:rPr>
          <w:rFonts w:ascii="Narkisim" w:hAnsi="Narkisim" w:cs="Narkisim"/>
          <w:sz w:val="20"/>
          <w:szCs w:val="20"/>
          <w:rtl/>
        </w:rPr>
        <w:t>'].</w:t>
      </w:r>
      <w:r w:rsidRPr="009F36E0">
        <w:rPr>
          <w:rFonts w:ascii="Narkisim" w:hAnsi="Narkisim" w:cs="Narkisim"/>
          <w:rtl/>
        </w:rPr>
        <w:t xml:space="preserve"> אבל ה</w:t>
      </w:r>
      <w:r w:rsidRPr="009F36E0">
        <w:rPr>
          <w:rFonts w:ascii="Narkisim" w:hAnsi="Narkisim" w:cs="Narkisim"/>
          <w:b/>
          <w:bCs/>
          <w:rtl/>
        </w:rPr>
        <w:t>רמב"ן</w:t>
      </w:r>
      <w:r w:rsidRPr="009F36E0">
        <w:rPr>
          <w:rFonts w:ascii="Narkisim" w:hAnsi="Narkisim" w:cs="Narkisim"/>
          <w:rtl/>
        </w:rPr>
        <w:t xml:space="preserve"> כת' דהגמ' מסתפקת שלישי שבבן אשתו ובת אשתו דוקא, אבל בזרעו לא. דכיון דלמעלה אין הפסק, ה”ה למטה</w:t>
      </w:r>
      <w:r w:rsidRPr="009F36E0">
        <w:rPr>
          <w:rStyle w:val="ac"/>
          <w:rFonts w:ascii="Narkisim" w:hAnsi="Narkisim" w:cs="Narkisim"/>
          <w:rtl/>
        </w:rPr>
        <w:footnoteReference w:id="1317"/>
      </w:r>
      <w:r w:rsidRPr="009F36E0">
        <w:rPr>
          <w:rFonts w:ascii="Narkisim" w:hAnsi="Narkisim" w:cs="Narkisim"/>
        </w:rPr>
        <w:t xml:space="preserve">. </w:t>
      </w:r>
      <w:r w:rsidRPr="009F36E0">
        <w:rPr>
          <w:rFonts w:ascii="Narkisim" w:hAnsi="Narkisim" w:cs="Narkisim"/>
          <w:rtl/>
        </w:rPr>
        <w:t>והביא כדאי' ב</w:t>
      </w:r>
      <w:r w:rsidRPr="009F36E0">
        <w:rPr>
          <w:rFonts w:ascii="Narkisim" w:hAnsi="Narkisim" w:cs="Narkisim"/>
          <w:b/>
          <w:bCs/>
          <w:rtl/>
        </w:rPr>
        <w:t>ירושלמי</w:t>
      </w:r>
      <w:r w:rsidRPr="009F36E0">
        <w:rPr>
          <w:rFonts w:ascii="Narkisim" w:hAnsi="Narkisim" w:cs="Narkisim"/>
          <w:rtl/>
        </w:rPr>
        <w:t xml:space="preserve"> אברהם אסור בכל נשי ישראל, שרה אסורה בכל אנשי ישראל</w:t>
      </w:r>
      <w:r w:rsidRPr="009F36E0">
        <w:rPr>
          <w:rStyle w:val="ac"/>
          <w:rFonts w:ascii="Narkisim" w:hAnsi="Narkisim" w:cs="Narkisim"/>
          <w:rtl/>
        </w:rPr>
        <w:footnoteReference w:id="1318"/>
      </w:r>
      <w:r w:rsidRPr="009F36E0">
        <w:rPr>
          <w:rFonts w:ascii="Narkisim" w:hAnsi="Narkisim" w:cs="Narkisim"/>
        </w:rPr>
        <w:t>.</w:t>
      </w:r>
    </w:p>
    <w:p w14:paraId="47694E09" w14:textId="77777777" w:rsidR="006074A5" w:rsidRPr="009F36E0" w:rsidRDefault="006074A5" w:rsidP="006074A5">
      <w:pPr>
        <w:pStyle w:val="aa"/>
        <w:bidi/>
        <w:rPr>
          <w:rFonts w:ascii="Narkisim" w:hAnsi="Narkisim"/>
        </w:rPr>
      </w:pPr>
      <w:r w:rsidRPr="009F36E0">
        <w:rPr>
          <w:rFonts w:ascii="Narkisim" w:hAnsi="Narkisim"/>
          <w:u w:val="single"/>
          <w:rtl/>
        </w:rPr>
        <w:t>תוד"ה שניות.</w:t>
      </w:r>
      <w:r w:rsidRPr="009F36E0">
        <w:rPr>
          <w:rFonts w:ascii="Narkisim" w:hAnsi="Narkisim"/>
          <w:rtl/>
        </w:rPr>
        <w:t xml:space="preserve"> ודומה דכ"ש בת בן בנו. והאחרונים דנו דל"ש בזה כל שכן. [וע' מה שהובא לעיל כא.]</w:t>
      </w:r>
      <w:r w:rsidRPr="009F36E0">
        <w:rPr>
          <w:rFonts w:ascii="Narkisim" w:hAnsi="Narkisim"/>
        </w:rPr>
        <w:t>.</w:t>
      </w:r>
    </w:p>
    <w:p w14:paraId="2DE37986" w14:textId="77777777" w:rsidR="006074A5" w:rsidRPr="009F36E0" w:rsidRDefault="006074A5" w:rsidP="006074A5">
      <w:pPr>
        <w:bidi/>
        <w:rPr>
          <w:rFonts w:ascii="Narkisim" w:hAnsi="Narkisim" w:cs="Narkisim"/>
        </w:rPr>
      </w:pPr>
      <w:r w:rsidRPr="009F36E0">
        <w:rPr>
          <w:rFonts w:ascii="Narkisim" w:hAnsi="Narkisim" w:cs="Narkisim"/>
          <w:rtl/>
        </w:rPr>
        <w:t>ה</w:t>
      </w:r>
      <w:r w:rsidRPr="009F36E0">
        <w:rPr>
          <w:rFonts w:ascii="Narkisim" w:hAnsi="Narkisim" w:cs="Narkisim"/>
          <w:b/>
          <w:bCs/>
          <w:rtl/>
        </w:rPr>
        <w:t>רמב"ם</w:t>
      </w:r>
      <w:r w:rsidRPr="009F36E0">
        <w:rPr>
          <w:rFonts w:ascii="Narkisim" w:hAnsi="Narkisim" w:cs="Narkisim"/>
          <w:rtl/>
        </w:rPr>
        <w:t xml:space="preserve"> (א ו) פסק דשניות דר' חייא יש להם הפסק, דהוה ספק דרבנן. וכ"כ ה</w:t>
      </w:r>
      <w:r w:rsidRPr="009F36E0">
        <w:rPr>
          <w:rFonts w:ascii="Narkisim" w:hAnsi="Narkisim" w:cs="Narkisim"/>
          <w:b/>
          <w:bCs/>
          <w:rtl/>
        </w:rPr>
        <w:t>רמב"ן</w:t>
      </w:r>
      <w:r w:rsidRPr="009F36E0">
        <w:rPr>
          <w:rFonts w:ascii="Narkisim" w:hAnsi="Narkisim" w:cs="Narkisim"/>
          <w:rtl/>
        </w:rPr>
        <w:t xml:space="preserve"> דלא איפשיטא ולקולא. אבל ה</w:t>
      </w:r>
      <w:r w:rsidRPr="009F36E0">
        <w:rPr>
          <w:rFonts w:ascii="Narkisim" w:hAnsi="Narkisim" w:cs="Narkisim"/>
          <w:b/>
          <w:bCs/>
          <w:rtl/>
        </w:rPr>
        <w:t>רא"ש</w:t>
      </w:r>
      <w:r w:rsidRPr="009F36E0">
        <w:rPr>
          <w:rFonts w:ascii="Narkisim" w:hAnsi="Narkisim" w:cs="Narkisim"/>
          <w:rtl/>
        </w:rPr>
        <w:t xml:space="preserve"> דייק מדברי ה</w:t>
      </w:r>
      <w:r w:rsidRPr="009F36E0">
        <w:rPr>
          <w:rFonts w:ascii="Narkisim" w:hAnsi="Narkisim" w:cs="Narkisim"/>
          <w:b/>
          <w:bCs/>
          <w:rtl/>
        </w:rPr>
        <w:t xml:space="preserve">רי"ף </w:t>
      </w:r>
      <w:r w:rsidRPr="009F36E0">
        <w:rPr>
          <w:rFonts w:ascii="Narkisim" w:hAnsi="Narkisim" w:cs="Narkisim"/>
          <w:rtl/>
        </w:rPr>
        <w:t>שסתם דהוה ספק, משמע דלחומרא. וביאר דמשמע דהגמ' דוחה שלא לפשוט להיתר, דמשמע דבני הישיבה ס"ל דאסור. והביא דכ"ד ה</w:t>
      </w:r>
      <w:r w:rsidRPr="009F36E0">
        <w:rPr>
          <w:rFonts w:ascii="Narkisim" w:hAnsi="Narkisim" w:cs="Narkisim"/>
          <w:b/>
          <w:bCs/>
          <w:rtl/>
        </w:rPr>
        <w:t>רמ”ה</w:t>
      </w:r>
      <w:r w:rsidRPr="009F36E0">
        <w:rPr>
          <w:rFonts w:ascii="Narkisim" w:hAnsi="Narkisim" w:cs="Narkisim"/>
          <w:rtl/>
        </w:rPr>
        <w:t>. וה</w:t>
      </w:r>
      <w:r w:rsidRPr="009F36E0">
        <w:rPr>
          <w:rFonts w:ascii="Narkisim" w:hAnsi="Narkisim" w:cs="Narkisim"/>
          <w:b/>
          <w:bCs/>
          <w:rtl/>
        </w:rPr>
        <w:t>מרדכי</w:t>
      </w:r>
      <w:r w:rsidRPr="009F36E0">
        <w:rPr>
          <w:rFonts w:ascii="Narkisim" w:hAnsi="Narkisim" w:cs="Narkisim"/>
          <w:rtl/>
        </w:rPr>
        <w:t xml:space="preserve"> הביא בשם </w:t>
      </w:r>
      <w:r w:rsidRPr="009F36E0">
        <w:rPr>
          <w:rFonts w:ascii="Narkisim" w:hAnsi="Narkisim" w:cs="Narkisim"/>
          <w:b/>
          <w:bCs/>
          <w:rtl/>
        </w:rPr>
        <w:t>ר"ח</w:t>
      </w:r>
      <w:r w:rsidRPr="009F36E0">
        <w:rPr>
          <w:rFonts w:ascii="Narkisim" w:hAnsi="Narkisim" w:cs="Narkisim"/>
          <w:rtl/>
        </w:rPr>
        <w:t xml:space="preserve"> וה</w:t>
      </w:r>
      <w:r w:rsidRPr="009F36E0">
        <w:rPr>
          <w:rFonts w:ascii="Narkisim" w:hAnsi="Narkisim" w:cs="Narkisim"/>
          <w:b/>
          <w:bCs/>
          <w:rtl/>
        </w:rPr>
        <w:t>יראים</w:t>
      </w:r>
      <w:r w:rsidRPr="009F36E0">
        <w:rPr>
          <w:rFonts w:ascii="Narkisim" w:hAnsi="Narkisim" w:cs="Narkisim"/>
          <w:rtl/>
        </w:rPr>
        <w:t xml:space="preserve"> דהחמירו, דתיקו דאיסורא לחומרא</w:t>
      </w:r>
      <w:r w:rsidRPr="009F36E0">
        <w:rPr>
          <w:rStyle w:val="ac"/>
          <w:rFonts w:ascii="Narkisim" w:hAnsi="Narkisim" w:cs="Narkisim"/>
          <w:rtl/>
        </w:rPr>
        <w:footnoteReference w:id="1319"/>
      </w:r>
      <w:r w:rsidRPr="009F36E0">
        <w:rPr>
          <w:rFonts w:ascii="Narkisim" w:hAnsi="Narkisim" w:cs="Narkisim"/>
        </w:rPr>
        <w:t xml:space="preserve">. </w:t>
      </w:r>
      <w:r w:rsidRPr="009F36E0">
        <w:rPr>
          <w:rFonts w:ascii="Narkisim" w:hAnsi="Narkisim" w:cs="Narkisim"/>
          <w:rtl/>
        </w:rPr>
        <w:t xml:space="preserve">ובס' </w:t>
      </w:r>
      <w:r w:rsidRPr="009F36E0">
        <w:rPr>
          <w:rFonts w:ascii="Narkisim" w:hAnsi="Narkisim" w:cs="Narkisim"/>
          <w:b/>
          <w:bCs/>
          <w:rtl/>
        </w:rPr>
        <w:t>עצי אלמוגים</w:t>
      </w:r>
      <w:r w:rsidRPr="009F36E0">
        <w:rPr>
          <w:rFonts w:ascii="Narkisim" w:hAnsi="Narkisim" w:cs="Narkisim"/>
          <w:rtl/>
        </w:rPr>
        <w:t xml:space="preserve"> הגיה </w:t>
      </w:r>
      <w:r w:rsidRPr="009F36E0">
        <w:rPr>
          <w:rFonts w:ascii="Narkisim" w:hAnsi="Narkisim" w:cs="Narkisim"/>
          <w:i/>
          <w:iCs/>
          <w:rtl/>
        </w:rPr>
        <w:t>דעריות</w:t>
      </w:r>
      <w:r w:rsidRPr="009F36E0">
        <w:rPr>
          <w:rFonts w:ascii="Narkisim" w:hAnsi="Narkisim" w:cs="Narkisim"/>
          <w:rtl/>
        </w:rPr>
        <w:t>. וה</w:t>
      </w:r>
      <w:r w:rsidRPr="009F36E0">
        <w:rPr>
          <w:rFonts w:ascii="Narkisim" w:hAnsi="Narkisim" w:cs="Narkisim"/>
          <w:b/>
          <w:bCs/>
          <w:rtl/>
        </w:rPr>
        <w:t>אחיעזר</w:t>
      </w:r>
      <w:r w:rsidRPr="009F36E0">
        <w:rPr>
          <w:rFonts w:ascii="Narkisim" w:hAnsi="Narkisim" w:cs="Narkisim"/>
          <w:rtl/>
        </w:rPr>
        <w:t xml:space="preserve"> </w:t>
      </w:r>
      <w:r w:rsidRPr="009F36E0">
        <w:rPr>
          <w:rFonts w:ascii="Narkisim" w:hAnsi="Narkisim" w:cs="Narkisim"/>
          <w:sz w:val="20"/>
          <w:szCs w:val="20"/>
          <w:rtl/>
        </w:rPr>
        <w:t>(ג יח)</w:t>
      </w:r>
      <w:r w:rsidRPr="009F36E0">
        <w:rPr>
          <w:rFonts w:ascii="Narkisim" w:hAnsi="Narkisim" w:cs="Narkisim"/>
          <w:rtl/>
        </w:rPr>
        <w:t xml:space="preserve"> ביאר דכיון דשניות הוה מדברי קבלה וחמירי </w:t>
      </w:r>
      <w:r w:rsidRPr="009F36E0">
        <w:rPr>
          <w:rFonts w:ascii="Narkisim" w:hAnsi="Narkisim" w:cs="Narkisim"/>
          <w:sz w:val="20"/>
          <w:szCs w:val="20"/>
          <w:rtl/>
        </w:rPr>
        <w:t>[משום אסמכתא, או משום דשלמה תקן]</w:t>
      </w:r>
      <w:r w:rsidRPr="009F36E0">
        <w:rPr>
          <w:rStyle w:val="ac"/>
          <w:rFonts w:ascii="Narkisim" w:hAnsi="Narkisim" w:cs="Narkisim"/>
          <w:sz w:val="20"/>
          <w:szCs w:val="20"/>
          <w:rtl/>
        </w:rPr>
        <w:footnoteReference w:id="1320"/>
      </w:r>
      <w:r w:rsidRPr="009F36E0">
        <w:rPr>
          <w:rFonts w:ascii="Narkisim" w:hAnsi="Narkisim" w:cs="Narkisim"/>
          <w:sz w:val="20"/>
          <w:szCs w:val="20"/>
        </w:rPr>
        <w:t>.</w:t>
      </w:r>
    </w:p>
    <w:p w14:paraId="0AB9E3BF" w14:textId="77777777" w:rsidR="006074A5" w:rsidRPr="009F36E0" w:rsidRDefault="006074A5" w:rsidP="006074A5">
      <w:pPr>
        <w:pStyle w:val="aa"/>
        <w:bidi/>
        <w:rPr>
          <w:rFonts w:ascii="Narkisim" w:hAnsi="Narkisim"/>
        </w:rPr>
      </w:pPr>
      <w:r w:rsidRPr="009F36E0">
        <w:rPr>
          <w:rFonts w:ascii="Narkisim" w:hAnsi="Narkisim"/>
          <w:u w:val="single"/>
          <w:rtl/>
        </w:rPr>
        <w:t>שניות בגרים.</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אם היה גר נשוי אם אמו יוציא. משמע דלכתחילה אסור לישא. וע' ערול"נ</w:t>
      </w:r>
      <w:r w:rsidRPr="009F36E0">
        <w:rPr>
          <w:rFonts w:ascii="Narkisim" w:hAnsi="Narkisim"/>
        </w:rPr>
        <w:t>.</w:t>
      </w:r>
    </w:p>
    <w:p w14:paraId="1862D69A" w14:textId="77777777" w:rsidR="006074A5" w:rsidRPr="009F36E0" w:rsidRDefault="006074A5" w:rsidP="006074A5">
      <w:pPr>
        <w:pStyle w:val="aa"/>
        <w:bidi/>
        <w:rPr>
          <w:rFonts w:ascii="Narkisim" w:hAnsi="Narkisim"/>
        </w:rPr>
      </w:pPr>
      <w:r w:rsidRPr="009F36E0">
        <w:rPr>
          <w:rFonts w:ascii="Narkisim" w:hAnsi="Narkisim"/>
          <w:u w:val="single"/>
          <w:rtl/>
        </w:rPr>
        <w:t>תוד"ה ערוה.</w:t>
      </w:r>
      <w:r w:rsidRPr="009F36E0">
        <w:rPr>
          <w:rFonts w:ascii="Narkisim" w:hAnsi="Narkisim"/>
          <w:rtl/>
        </w:rPr>
        <w:t xml:space="preserve"> דהני ב' טעמי צריכי וכו'. וכל טעם לחוד סגי לאסור. [ה</w:t>
      </w:r>
      <w:r w:rsidRPr="009F36E0">
        <w:rPr>
          <w:rFonts w:ascii="Narkisim" w:hAnsi="Narkisim"/>
          <w:b/>
          <w:bCs/>
          <w:rtl/>
        </w:rPr>
        <w:t xml:space="preserve">ראשונים </w:t>
      </w:r>
      <w:r w:rsidRPr="009F36E0">
        <w:rPr>
          <w:rFonts w:ascii="Narkisim" w:hAnsi="Narkisim"/>
          <w:rtl/>
        </w:rPr>
        <w:t>האריכו בסוגיא דלקמן (צח. וסנהדרין נח) באיסור עריות בגר, ובלידתו בקדושה. ואכ"מ]</w:t>
      </w:r>
      <w:r w:rsidRPr="009F36E0">
        <w:rPr>
          <w:rFonts w:ascii="Narkisim" w:hAnsi="Narkisim"/>
        </w:rPr>
        <w:t>.</w:t>
      </w:r>
    </w:p>
    <w:p w14:paraId="22CF9EF9" w14:textId="77777777" w:rsidR="006074A5" w:rsidRPr="009F36E0" w:rsidRDefault="006074A5" w:rsidP="006074A5">
      <w:pPr>
        <w:bidi/>
        <w:rPr>
          <w:rFonts w:ascii="Narkisim" w:hAnsi="Narkisim" w:cs="Narkisim"/>
        </w:rPr>
      </w:pPr>
      <w:r w:rsidRPr="009F36E0">
        <w:rPr>
          <w:rFonts w:ascii="Narkisim" w:hAnsi="Narkisim" w:cs="Narkisim"/>
          <w:u w:val="single"/>
          <w:rtl/>
        </w:rPr>
        <w:t>באנו מקדושה חמורה לקדושה קלה.</w:t>
      </w:r>
      <w:r w:rsidRPr="009F36E0">
        <w:rPr>
          <w:rFonts w:ascii="Narkisim" w:hAnsi="Narkisim" w:cs="Narkisim"/>
          <w:rtl/>
        </w:rPr>
        <w:t xml:space="preserve"> ה</w:t>
      </w:r>
      <w:r w:rsidRPr="009F36E0">
        <w:rPr>
          <w:rFonts w:ascii="Narkisim" w:hAnsi="Narkisim" w:cs="Narkisim"/>
          <w:b/>
          <w:bCs/>
          <w:rtl/>
        </w:rPr>
        <w:t>רמב"ם</w:t>
      </w:r>
      <w:r w:rsidRPr="009F36E0">
        <w:rPr>
          <w:rFonts w:ascii="Narkisim" w:hAnsi="Narkisim" w:cs="Narkisim"/>
          <w:rtl/>
        </w:rPr>
        <w:t xml:space="preserve"> (</w:t>
      </w:r>
      <w:r w:rsidRPr="009F36E0">
        <w:rPr>
          <w:rFonts w:ascii="Narkisim" w:hAnsi="Narkisim" w:cs="Narkisim"/>
          <w:sz w:val="20"/>
          <w:szCs w:val="20"/>
          <w:rtl/>
        </w:rPr>
        <w:t>ממרים ה יא, וכן ב</w:t>
      </w:r>
      <w:r w:rsidRPr="009F36E0">
        <w:rPr>
          <w:rFonts w:ascii="Narkisim" w:hAnsi="Narkisim" w:cs="Narkisim"/>
          <w:b/>
          <w:bCs/>
          <w:sz w:val="20"/>
          <w:szCs w:val="20"/>
          <w:rtl/>
        </w:rPr>
        <w:t>שו"ע</w:t>
      </w:r>
      <w:r w:rsidRPr="009F36E0">
        <w:rPr>
          <w:rFonts w:ascii="Narkisim" w:hAnsi="Narkisim" w:cs="Narkisim"/>
          <w:sz w:val="20"/>
          <w:szCs w:val="20"/>
          <w:rtl/>
        </w:rPr>
        <w:t xml:space="preserve"> רמא ט) </w:t>
      </w:r>
      <w:r w:rsidRPr="009F36E0">
        <w:rPr>
          <w:rFonts w:ascii="Narkisim" w:hAnsi="Narkisim" w:cs="Narkisim"/>
          <w:rtl/>
        </w:rPr>
        <w:t>פסק דגר דאסור לקלל ולהכות אביו העכו"ם או לנהוג בו בזיון, אלא נוהג מקצת כיבוד. וציינו מקורו בסוגיין. ו</w:t>
      </w:r>
      <w:r w:rsidRPr="009F36E0">
        <w:rPr>
          <w:rFonts w:ascii="Narkisim" w:hAnsi="Narkisim" w:cs="Narkisim"/>
          <w:b/>
          <w:bCs/>
          <w:rtl/>
        </w:rPr>
        <w:t>רע"א</w:t>
      </w:r>
      <w:r w:rsidRPr="009F36E0">
        <w:rPr>
          <w:rFonts w:ascii="Narkisim" w:hAnsi="Narkisim" w:cs="Narkisim"/>
          <w:rtl/>
        </w:rPr>
        <w:t xml:space="preserve"> (בשו"ע שם) הביא דלא מצאנו דעכו"ם מצווים על כיבוד אב, אלא כיון דבנימוסיהם אסור. אבל ה</w:t>
      </w:r>
      <w:r w:rsidRPr="009F36E0">
        <w:rPr>
          <w:rFonts w:ascii="Narkisim" w:hAnsi="Narkisim" w:cs="Narkisim"/>
          <w:b/>
          <w:bCs/>
          <w:rtl/>
        </w:rPr>
        <w:t>יד אברהם</w:t>
      </w:r>
      <w:r w:rsidRPr="009F36E0">
        <w:rPr>
          <w:rFonts w:ascii="Narkisim" w:hAnsi="Narkisim" w:cs="Narkisim"/>
          <w:rtl/>
        </w:rPr>
        <w:t xml:space="preserve"> (שם) כתב דאע"ג דאינו בכלל ז' מצוות, מ"מ אשכחן דחם נענש ע"ז</w:t>
      </w:r>
      <w:r w:rsidRPr="009F36E0">
        <w:rPr>
          <w:rFonts w:ascii="Narkisim" w:hAnsi="Narkisim" w:cs="Narkisim"/>
        </w:rPr>
        <w:t>.</w:t>
      </w:r>
    </w:p>
    <w:p w14:paraId="121285CF"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כתב דאיירי רק בשניות הרחוקות, שמותרים להם בגיותן. אבל במה שאסור בדת העכו"ם, אסרי להו עלייהו כדי שלא יאמרו באנו מקדושה חמורה. אבל ה</w:t>
      </w:r>
      <w:r w:rsidRPr="009F36E0">
        <w:rPr>
          <w:rFonts w:ascii="Narkisim" w:hAnsi="Narkisim"/>
          <w:b/>
          <w:bCs/>
          <w:rtl/>
        </w:rPr>
        <w:t>ריטב”א</w:t>
      </w:r>
      <w:r w:rsidRPr="009F36E0">
        <w:rPr>
          <w:rFonts w:ascii="Narkisim" w:hAnsi="Narkisim"/>
          <w:rtl/>
        </w:rPr>
        <w:t xml:space="preserve"> (צז:) כתב דמה שנאסר רק משום נימוסיהם לא אסרו בגרים</w:t>
      </w:r>
      <w:r w:rsidRPr="009F36E0">
        <w:rPr>
          <w:rFonts w:ascii="Narkisim" w:hAnsi="Narkisim"/>
        </w:rPr>
        <w:t>.</w:t>
      </w:r>
    </w:p>
    <w:p w14:paraId="6BA41762" w14:textId="77777777" w:rsidR="006074A5" w:rsidRPr="009F36E0" w:rsidRDefault="006074A5" w:rsidP="006074A5">
      <w:pPr>
        <w:pStyle w:val="aa"/>
        <w:bidi/>
        <w:rPr>
          <w:rFonts w:ascii="Narkisim" w:hAnsi="Narkisim"/>
        </w:rPr>
      </w:pPr>
      <w:r w:rsidRPr="009F36E0">
        <w:rPr>
          <w:rFonts w:ascii="Narkisim" w:hAnsi="Narkisim"/>
          <w:u w:val="single"/>
          <w:rtl/>
        </w:rPr>
        <w:t>רש"י ד"ה מעידים לכתחילה.</w:t>
      </w:r>
      <w:r w:rsidRPr="009F36E0">
        <w:rPr>
          <w:rFonts w:ascii="Narkisim" w:hAnsi="Narkisim"/>
          <w:rtl/>
        </w:rPr>
        <w:t xml:space="preserve"> דרחמנא אפקריה וכו' הילכך קורבת אב אינה קורבה</w:t>
      </w:r>
      <w:r w:rsidRPr="009F36E0">
        <w:rPr>
          <w:rStyle w:val="ac"/>
          <w:rFonts w:ascii="Narkisim" w:hAnsi="Narkisim"/>
          <w:rtl/>
        </w:rPr>
        <w:footnoteReference w:id="1321"/>
      </w:r>
      <w:r w:rsidRPr="009F36E0">
        <w:rPr>
          <w:rFonts w:ascii="Narkisim" w:hAnsi="Narkisim"/>
        </w:rPr>
        <w:t xml:space="preserve">. </w:t>
      </w:r>
      <w:r w:rsidRPr="009F36E0">
        <w:rPr>
          <w:rFonts w:ascii="Narkisim" w:hAnsi="Narkisim"/>
          <w:rtl/>
        </w:rPr>
        <w:t>[וכדאי' לקמן צח., דכלפי דיני ישראל לא נחשב אביו כלל]. וצ"ב דבעלמא אמרי' הטעם משום דגר שנתגייר כקטן שנולד, ואמאי צריך כאן טעם אחר</w:t>
      </w:r>
      <w:r w:rsidRPr="009F36E0">
        <w:rPr>
          <w:rStyle w:val="ac"/>
          <w:rFonts w:ascii="Narkisim" w:hAnsi="Narkisim"/>
          <w:rtl/>
        </w:rPr>
        <w:footnoteReference w:id="1322"/>
      </w:r>
      <w:r w:rsidRPr="009F36E0">
        <w:rPr>
          <w:rFonts w:ascii="Narkisim" w:hAnsi="Narkisim"/>
        </w:rPr>
        <w:t>.</w:t>
      </w:r>
    </w:p>
    <w:p w14:paraId="11220BDB" w14:textId="77777777" w:rsidR="006074A5" w:rsidRPr="009F36E0" w:rsidRDefault="006074A5" w:rsidP="006074A5">
      <w:pPr>
        <w:pStyle w:val="a8"/>
        <w:bidi/>
        <w:rPr>
          <w:rFonts w:ascii="Narkisim" w:hAnsi="Narkisim"/>
        </w:rPr>
      </w:pPr>
      <w:r w:rsidRPr="009F36E0">
        <w:rPr>
          <w:rFonts w:ascii="Narkisim" w:hAnsi="Narkisim"/>
          <w:rtl/>
        </w:rPr>
        <w:t>ובגמ' (לקמן צח.) איתא סברת רחמנא אפקריה במעוברת שנתגיירה, דלידתו בקדושה. ויש שפי' דה"מ כשנולד מישראלית</w:t>
      </w:r>
      <w:r w:rsidRPr="009F36E0">
        <w:rPr>
          <w:rStyle w:val="ac"/>
          <w:rFonts w:ascii="Narkisim" w:hAnsi="Narkisim"/>
          <w:rtl/>
        </w:rPr>
        <w:footnoteReference w:id="1323"/>
      </w:r>
      <w:r w:rsidRPr="009F36E0">
        <w:rPr>
          <w:rFonts w:ascii="Narkisim" w:hAnsi="Narkisim"/>
        </w:rPr>
        <w:t xml:space="preserve">. </w:t>
      </w:r>
      <w:r w:rsidRPr="009F36E0">
        <w:rPr>
          <w:rFonts w:ascii="Narkisim" w:hAnsi="Narkisim"/>
          <w:rtl/>
        </w:rPr>
        <w:t xml:space="preserve">אבל </w:t>
      </w:r>
      <w:r w:rsidRPr="009F36E0">
        <w:rPr>
          <w:rFonts w:ascii="Narkisim" w:hAnsi="Narkisim"/>
          <w:b/>
          <w:bCs/>
          <w:rtl/>
        </w:rPr>
        <w:t>רש"י</w:t>
      </w:r>
      <w:r w:rsidRPr="009F36E0">
        <w:rPr>
          <w:rFonts w:ascii="Narkisim" w:hAnsi="Narkisim"/>
          <w:rtl/>
        </w:rPr>
        <w:t xml:space="preserve"> בסוגיין מבואר דאף כשנולד גוי אמרי' דאפקריה לזרעיה. וכן </w:t>
      </w:r>
      <w:r w:rsidRPr="009F36E0">
        <w:rPr>
          <w:rFonts w:ascii="Narkisim" w:hAnsi="Narkisim"/>
          <w:b/>
          <w:bCs/>
          <w:rtl/>
        </w:rPr>
        <w:t>רש”י</w:t>
      </w:r>
      <w:r w:rsidRPr="009F36E0">
        <w:rPr>
          <w:rFonts w:ascii="Narkisim" w:hAnsi="Narkisim"/>
          <w:rtl/>
        </w:rPr>
        <w:t xml:space="preserve"> (ב"ק פח.) כת' דכשנתגייר אמרי' דאפקריה לזרעיה</w:t>
      </w:r>
      <w:r w:rsidRPr="009F36E0">
        <w:rPr>
          <w:rStyle w:val="ac"/>
          <w:rFonts w:ascii="Narkisim" w:hAnsi="Narkisim"/>
          <w:rtl/>
        </w:rPr>
        <w:footnoteReference w:id="1324"/>
      </w:r>
      <w:r w:rsidRPr="009F36E0">
        <w:rPr>
          <w:rFonts w:ascii="Narkisim" w:hAnsi="Narkisim"/>
        </w:rPr>
        <w:t>.</w:t>
      </w:r>
    </w:p>
    <w:p w14:paraId="622D90C5" w14:textId="77777777" w:rsidR="006074A5" w:rsidRPr="009F36E0" w:rsidRDefault="006074A5" w:rsidP="006074A5">
      <w:pPr>
        <w:pStyle w:val="a8"/>
        <w:bidi/>
        <w:rPr>
          <w:rFonts w:ascii="Narkisim" w:hAnsi="Narkisim"/>
        </w:rPr>
      </w:pPr>
      <w:r w:rsidRPr="009F36E0">
        <w:rPr>
          <w:rFonts w:ascii="Narkisim" w:hAnsi="Narkisim"/>
          <w:rtl/>
        </w:rPr>
        <w:lastRenderedPageBreak/>
        <w:t>ולכאו' בסוגיין מהני סברא זו לענין דלא חיישי' לאיחלופי. ומהני כלפי הרואים, דבדיני התורה אין כאן צד קורבא [אף לולי כקטן שנולד]</w:t>
      </w:r>
      <w:r w:rsidRPr="009F36E0">
        <w:rPr>
          <w:rFonts w:ascii="Narkisim" w:hAnsi="Narkisim"/>
        </w:rPr>
        <w:t>.</w:t>
      </w:r>
    </w:p>
    <w:p w14:paraId="0917C8F6"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(לקמן צח.) כת' דרחמנא אפקריה לזרעיה דעכו"ם אפי' בגיותן, ואין קורבא דרך האב לענין עריות</w:t>
      </w:r>
      <w:r w:rsidRPr="009F36E0">
        <w:rPr>
          <w:rStyle w:val="ac"/>
          <w:rFonts w:ascii="Narkisim" w:hAnsi="Narkisim"/>
          <w:rtl/>
        </w:rPr>
        <w:footnoteReference w:id="1325"/>
      </w:r>
      <w:r w:rsidRPr="009F36E0">
        <w:rPr>
          <w:rFonts w:ascii="Narkisim" w:hAnsi="Narkisim"/>
        </w:rPr>
        <w:t xml:space="preserve">. </w:t>
      </w:r>
      <w:r w:rsidRPr="009F36E0">
        <w:rPr>
          <w:rFonts w:ascii="Narkisim" w:hAnsi="Narkisim"/>
          <w:rtl/>
        </w:rPr>
        <w:t>וכת' דאף דאית להו חייס (כדאי' לקמן סב.), ויורש את אביו דבר תורה (קדושין יח.), שאני התם דגלי ביה רחמנא. אבל לענין עריות רחמנא אפקריה לזרעיה [בין בגיות בין בגירות], והיינו דאיצטריך לרבויה בירושה</w:t>
      </w:r>
      <w:r w:rsidRPr="009F36E0">
        <w:rPr>
          <w:rStyle w:val="ac"/>
          <w:rFonts w:ascii="Narkisim" w:hAnsi="Narkisim"/>
          <w:rtl/>
        </w:rPr>
        <w:footnoteReference w:id="1326"/>
      </w:r>
      <w:r w:rsidRPr="009F36E0">
        <w:rPr>
          <w:rFonts w:ascii="Narkisim" w:hAnsi="Narkisim"/>
        </w:rPr>
        <w:t xml:space="preserve">. </w:t>
      </w:r>
      <w:r w:rsidRPr="009F36E0">
        <w:rPr>
          <w:rFonts w:ascii="Narkisim" w:hAnsi="Narkisim"/>
          <w:rtl/>
        </w:rPr>
        <w:t>[ומבואר דחילק בין 'חייס' לירושה]</w:t>
      </w:r>
      <w:r w:rsidRPr="009F36E0">
        <w:rPr>
          <w:rFonts w:ascii="Narkisim" w:hAnsi="Narkisim"/>
        </w:rPr>
        <w:t>.</w:t>
      </w:r>
    </w:p>
    <w:p w14:paraId="70852E5A" w14:textId="77777777" w:rsidR="006074A5" w:rsidRPr="009F36E0" w:rsidRDefault="006074A5" w:rsidP="006074A5">
      <w:pPr>
        <w:pStyle w:val="aa"/>
        <w:bidi/>
        <w:rPr>
          <w:rFonts w:ascii="Narkisim" w:hAnsi="Narkisim"/>
        </w:rPr>
      </w:pPr>
      <w:r w:rsidRPr="009F36E0">
        <w:rPr>
          <w:rFonts w:ascii="Narkisim" w:hAnsi="Narkisim"/>
          <w:u w:val="single"/>
          <w:rtl/>
        </w:rPr>
        <w:t>אמימר אמר אפי' אחין מן האם נמי מעידים לכתחילה, ומ"ש מעריות וכו'.</w:t>
      </w:r>
      <w:r w:rsidRPr="009F36E0">
        <w:rPr>
          <w:rFonts w:ascii="Narkisim" w:hAnsi="Narkisim"/>
          <w:rtl/>
        </w:rPr>
        <w:t xml:space="preserve"> ה</w:t>
      </w:r>
      <w:r w:rsidRPr="009F36E0">
        <w:rPr>
          <w:rFonts w:ascii="Narkisim" w:hAnsi="Narkisim"/>
          <w:b/>
          <w:bCs/>
          <w:rtl/>
        </w:rPr>
        <w:t>רש"ש</w:t>
      </w:r>
      <w:r w:rsidRPr="009F36E0">
        <w:rPr>
          <w:rFonts w:ascii="Narkisim" w:hAnsi="Narkisim"/>
          <w:rtl/>
        </w:rPr>
        <w:t xml:space="preserve"> הקשה מכאן על דברי ה</w:t>
      </w:r>
      <w:r w:rsidRPr="009F36E0">
        <w:rPr>
          <w:rFonts w:ascii="Narkisim" w:hAnsi="Narkisim"/>
          <w:b/>
          <w:bCs/>
          <w:rtl/>
        </w:rPr>
        <w:t>רמ"א</w:t>
      </w:r>
      <w:r w:rsidRPr="009F36E0">
        <w:rPr>
          <w:rFonts w:ascii="Narkisim" w:hAnsi="Narkisim"/>
          <w:rtl/>
        </w:rPr>
        <w:t xml:space="preserve"> (חו"מ לג ב) דפסק דקרובים דרך האם פסולים רק מדרבנן</w:t>
      </w:r>
      <w:r w:rsidRPr="009F36E0">
        <w:rPr>
          <w:rStyle w:val="ac"/>
          <w:rFonts w:ascii="Narkisim" w:hAnsi="Narkisim"/>
          <w:rtl/>
        </w:rPr>
        <w:footnoteReference w:id="1327"/>
      </w:r>
      <w:r w:rsidRPr="009F36E0">
        <w:rPr>
          <w:rFonts w:ascii="Narkisim" w:hAnsi="Narkisim"/>
        </w:rPr>
        <w:t xml:space="preserve">, </w:t>
      </w:r>
      <w:r w:rsidRPr="009F36E0">
        <w:rPr>
          <w:rFonts w:ascii="Narkisim" w:hAnsi="Narkisim"/>
          <w:rtl/>
        </w:rPr>
        <w:t>דא”כ מה הגמ' מקשה</w:t>
      </w:r>
      <w:r w:rsidRPr="009F36E0">
        <w:rPr>
          <w:rFonts w:ascii="Narkisim" w:hAnsi="Narkisim"/>
        </w:rPr>
        <w:t>.</w:t>
      </w:r>
    </w:p>
    <w:p w14:paraId="40501A3F" w14:textId="77777777" w:rsidR="006074A5" w:rsidRPr="009F36E0" w:rsidRDefault="006074A5" w:rsidP="006074A5">
      <w:pPr>
        <w:pStyle w:val="2"/>
        <w:bidi/>
        <w:rPr>
          <w:rFonts w:ascii="Narkisim" w:hAnsi="Narkisim"/>
        </w:rPr>
      </w:pPr>
      <w:r w:rsidRPr="009F36E0">
        <w:rPr>
          <w:rFonts w:ascii="Narkisim" w:hAnsi="Narkisim"/>
          <w:rtl/>
        </w:rPr>
        <w:t>מי שיש לו אח מ”מ</w:t>
      </w:r>
    </w:p>
    <w:p w14:paraId="5C0BBDEC" w14:textId="77777777" w:rsidR="006074A5" w:rsidRPr="009F36E0" w:rsidRDefault="006074A5" w:rsidP="006074A5">
      <w:pPr>
        <w:bidi/>
        <w:rPr>
          <w:rFonts w:ascii="Narkisim" w:hAnsi="Narkisim" w:cs="Narkisim"/>
        </w:rPr>
      </w:pPr>
      <w:r w:rsidRPr="009F36E0">
        <w:rPr>
          <w:rFonts w:ascii="Narkisim" w:hAnsi="Narkisim" w:cs="Narkisim"/>
          <w:u w:val="single"/>
          <w:rtl/>
        </w:rPr>
        <w:t>מי שיש לו אח מ"מ זוקק וכו'.</w:t>
      </w:r>
      <w:r w:rsidRPr="009F36E0">
        <w:rPr>
          <w:rFonts w:ascii="Narkisim" w:hAnsi="Narkisim" w:cs="Narkisim"/>
          <w:rtl/>
        </w:rPr>
        <w:t xml:space="preserve"> ובגמ' מבואר דאפי' ממזר. ה</w:t>
      </w:r>
      <w:r w:rsidRPr="009F36E0">
        <w:rPr>
          <w:rFonts w:ascii="Narkisim" w:hAnsi="Narkisim" w:cs="Narkisim"/>
          <w:b/>
          <w:bCs/>
          <w:rtl/>
        </w:rPr>
        <w:t xml:space="preserve">רי"ף </w:t>
      </w:r>
      <w:r w:rsidRPr="009F36E0">
        <w:rPr>
          <w:rFonts w:ascii="Narkisim" w:hAnsi="Narkisim" w:cs="Narkisim"/>
          <w:rtl/>
        </w:rPr>
        <w:t>הביא דמבואר כאן דחייבי לאוין זקוקין ליבום מדאורייתא. ו</w:t>
      </w:r>
      <w:r w:rsidRPr="009F36E0">
        <w:rPr>
          <w:rFonts w:ascii="Narkisim" w:hAnsi="Narkisim" w:cs="Narkisim"/>
          <w:b/>
          <w:bCs/>
          <w:rtl/>
        </w:rPr>
        <w:t>רע"א</w:t>
      </w:r>
      <w:r w:rsidRPr="009F36E0">
        <w:rPr>
          <w:rFonts w:ascii="Narkisim" w:hAnsi="Narkisim" w:cs="Narkisim"/>
          <w:rtl/>
        </w:rPr>
        <w:t xml:space="preserve"> דן דא"כ קשה לרב גידל (לעיל כ.) דחייבי לאוין אינן מתייבמין מדאורייתא. אלא ע"כ אין ראיה מהכא, דעיקר חידושא דנחשב אחיו, ומשכח"ל יבום במותרת כגון שהיא גיורת או שהיא ג"כ ממזרת</w:t>
      </w:r>
      <w:r w:rsidRPr="009F36E0">
        <w:rPr>
          <w:rFonts w:ascii="Narkisim" w:hAnsi="Narkisim" w:cs="Narkisim"/>
        </w:rPr>
        <w:t>.</w:t>
      </w:r>
    </w:p>
    <w:p w14:paraId="4981FB2C" w14:textId="77777777" w:rsidR="006074A5" w:rsidRPr="009F36E0" w:rsidRDefault="006074A5" w:rsidP="006074A5">
      <w:pPr>
        <w:bidi/>
        <w:rPr>
          <w:rFonts w:ascii="Narkisim" w:hAnsi="Narkisim" w:cs="Narkisim"/>
        </w:rPr>
      </w:pPr>
      <w:r w:rsidRPr="009F36E0">
        <w:rPr>
          <w:rFonts w:ascii="Narkisim" w:hAnsi="Narkisim" w:cs="Narkisim"/>
          <w:u w:val="single"/>
          <w:rtl/>
        </w:rPr>
        <w:t>שם. אח מ"מ</w:t>
      </w:r>
      <w:r w:rsidRPr="009F36E0">
        <w:rPr>
          <w:rFonts w:ascii="Narkisim" w:hAnsi="Narkisim" w:cs="Narkisim"/>
          <w:rtl/>
        </w:rPr>
        <w:t>. ה</w:t>
      </w:r>
      <w:r w:rsidRPr="009F36E0">
        <w:rPr>
          <w:rFonts w:ascii="Narkisim" w:hAnsi="Narkisim" w:cs="Narkisim"/>
          <w:b/>
          <w:bCs/>
          <w:rtl/>
        </w:rPr>
        <w:t>ראשונים</w:t>
      </w:r>
      <w:r w:rsidRPr="009F36E0">
        <w:rPr>
          <w:rFonts w:ascii="Narkisim" w:hAnsi="Narkisim" w:cs="Narkisim"/>
          <w:rtl/>
        </w:rPr>
        <w:t xml:space="preserve"> דנו האם זקוקה ליבם מומר. ודעת </w:t>
      </w:r>
      <w:r w:rsidRPr="009F36E0">
        <w:rPr>
          <w:rFonts w:ascii="Narkisim" w:hAnsi="Narkisim" w:cs="Narkisim"/>
          <w:b/>
          <w:bCs/>
          <w:rtl/>
        </w:rPr>
        <w:t>רב נחשון גאון</w:t>
      </w:r>
      <w:r w:rsidRPr="009F36E0">
        <w:rPr>
          <w:rFonts w:ascii="Narkisim" w:hAnsi="Narkisim" w:cs="Narkisim"/>
          <w:rtl/>
        </w:rPr>
        <w:t xml:space="preserve"> דזוקק לחליצה. אבל הביאו בשם</w:t>
      </w:r>
      <w:r w:rsidRPr="009F36E0">
        <w:rPr>
          <w:rFonts w:ascii="Narkisim" w:hAnsi="Narkisim" w:cs="Narkisim"/>
          <w:b/>
          <w:bCs/>
          <w:rtl/>
        </w:rPr>
        <w:t xml:space="preserve"> רב יהודאי גאון </w:t>
      </w:r>
      <w:r w:rsidRPr="009F36E0">
        <w:rPr>
          <w:rFonts w:ascii="Narkisim" w:hAnsi="Narkisim" w:cs="Narkisim"/>
          <w:rtl/>
        </w:rPr>
        <w:t>דאם היה כבר מומר בשעת נישואין, אינה זקוקה למומר</w:t>
      </w:r>
      <w:r w:rsidRPr="009F36E0">
        <w:rPr>
          <w:rStyle w:val="ac"/>
          <w:rFonts w:ascii="Narkisim" w:hAnsi="Narkisim" w:cs="Narkisim"/>
          <w:rtl/>
        </w:rPr>
        <w:footnoteReference w:id="1328"/>
      </w:r>
      <w:r w:rsidRPr="009F36E0">
        <w:rPr>
          <w:rFonts w:ascii="Narkisim" w:hAnsi="Narkisim" w:cs="Narkisim"/>
        </w:rPr>
        <w:t xml:space="preserve">, </w:t>
      </w:r>
      <w:r w:rsidRPr="009F36E0">
        <w:rPr>
          <w:rFonts w:ascii="Narkisim" w:hAnsi="Narkisim" w:cs="Narkisim"/>
          <w:rtl/>
        </w:rPr>
        <w:t>דדרשי' (לעיל יז:) אחוה</w:t>
      </w:r>
      <w:r w:rsidRPr="009F36E0">
        <w:rPr>
          <w:rStyle w:val="ac"/>
          <w:rFonts w:ascii="Narkisim" w:hAnsi="Narkisim" w:cs="Narkisim"/>
          <w:rtl/>
        </w:rPr>
        <w:footnoteReference w:id="1329"/>
      </w:r>
      <w:r w:rsidRPr="009F36E0">
        <w:rPr>
          <w:rFonts w:ascii="Narkisim" w:hAnsi="Narkisim" w:cs="Narkisim"/>
        </w:rPr>
        <w:t xml:space="preserve">, </w:t>
      </w:r>
      <w:r w:rsidRPr="009F36E0">
        <w:rPr>
          <w:rFonts w:ascii="Narkisim" w:hAnsi="Narkisim" w:cs="Narkisim"/>
          <w:rtl/>
        </w:rPr>
        <w:t xml:space="preserve">ולאו אחיו הוא במצוות. </w:t>
      </w:r>
      <w:r w:rsidRPr="009F36E0">
        <w:rPr>
          <w:rFonts w:ascii="Narkisim" w:hAnsi="Narkisim" w:cs="Narkisim"/>
          <w:sz w:val="20"/>
          <w:szCs w:val="20"/>
          <w:rtl/>
        </w:rPr>
        <w:t>[וכמו דרשי' דלא נחשב אחיו לענין להחיותו, ומותר להלואות לו ברבית</w:t>
      </w:r>
      <w:r w:rsidRPr="009F36E0">
        <w:rPr>
          <w:rStyle w:val="ac"/>
          <w:rFonts w:ascii="Narkisim" w:hAnsi="Narkisim" w:cs="Narkisim"/>
          <w:sz w:val="20"/>
          <w:szCs w:val="20"/>
          <w:rtl/>
        </w:rPr>
        <w:footnoteReference w:id="1330"/>
      </w:r>
      <w:r w:rsidRPr="009F36E0">
        <w:rPr>
          <w:rFonts w:ascii="Narkisim" w:hAnsi="Narkisim" w:cs="Narkisim"/>
          <w:sz w:val="20"/>
          <w:szCs w:val="20"/>
          <w:rtl/>
        </w:rPr>
        <w:t>]. וה</w:t>
      </w:r>
      <w:r w:rsidRPr="009F36E0">
        <w:rPr>
          <w:rFonts w:ascii="Narkisim" w:hAnsi="Narkisim" w:cs="Narkisim"/>
          <w:b/>
          <w:bCs/>
          <w:sz w:val="20"/>
          <w:szCs w:val="20"/>
          <w:rtl/>
        </w:rPr>
        <w:t>ריטב"א</w:t>
      </w:r>
      <w:r w:rsidRPr="009F36E0">
        <w:rPr>
          <w:rFonts w:ascii="Narkisim" w:hAnsi="Narkisim" w:cs="Narkisim"/>
          <w:sz w:val="20"/>
          <w:szCs w:val="20"/>
          <w:rtl/>
        </w:rPr>
        <w:t xml:space="preserve"> הוסיף סברא האיך יקיים לו זרע שלא ימחה שמו בישראל</w:t>
      </w:r>
      <w:r w:rsidRPr="009F36E0">
        <w:rPr>
          <w:rStyle w:val="ac"/>
          <w:rFonts w:ascii="Narkisim" w:hAnsi="Narkisim" w:cs="Narkisim"/>
          <w:sz w:val="20"/>
          <w:szCs w:val="20"/>
          <w:rtl/>
        </w:rPr>
        <w:footnoteReference w:id="1331"/>
      </w:r>
      <w:r w:rsidRPr="009F36E0">
        <w:rPr>
          <w:rFonts w:ascii="Narkisim" w:hAnsi="Narkisim" w:cs="Narkisim"/>
          <w:sz w:val="20"/>
          <w:szCs w:val="20"/>
        </w:rPr>
        <w:t>.</w:t>
      </w: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ראשונים</w:t>
      </w:r>
      <w:r w:rsidRPr="009F36E0">
        <w:rPr>
          <w:rFonts w:ascii="Narkisim" w:hAnsi="Narkisim" w:cs="Narkisim"/>
          <w:rtl/>
        </w:rPr>
        <w:t xml:space="preserve"> כת' טעמים נוספים שלא תזקק ליבום</w:t>
      </w:r>
      <w:r w:rsidRPr="009F36E0">
        <w:rPr>
          <w:rStyle w:val="ac"/>
          <w:rFonts w:ascii="Narkisim" w:hAnsi="Narkisim" w:cs="Narkisim"/>
          <w:rtl/>
        </w:rPr>
        <w:footnoteReference w:id="1332"/>
      </w:r>
      <w:r w:rsidRPr="009F36E0">
        <w:rPr>
          <w:rFonts w:ascii="Narkisim" w:hAnsi="Narkisim" w:cs="Narkisim"/>
        </w:rPr>
        <w:t>.</w:t>
      </w:r>
      <w:r w:rsidRPr="009F36E0">
        <w:rPr>
          <w:rStyle w:val="ac"/>
          <w:rFonts w:ascii="Narkisim" w:hAnsi="Narkisim" w:cs="Narkisim"/>
          <w:sz w:val="20"/>
          <w:szCs w:val="20"/>
        </w:rPr>
        <w:footnoteReference w:id="1333"/>
      </w:r>
    </w:p>
    <w:p w14:paraId="1A8DAB2B"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כת' וצריך תלמוד, דאע"ג דחטא ישראל הוא</w:t>
      </w:r>
      <w:r w:rsidRPr="009F36E0">
        <w:rPr>
          <w:rStyle w:val="ac"/>
          <w:rFonts w:ascii="Narkisim" w:hAnsi="Narkisim"/>
          <w:rtl/>
        </w:rPr>
        <w:footnoteReference w:id="1334"/>
      </w:r>
      <w:r w:rsidRPr="009F36E0">
        <w:rPr>
          <w:rFonts w:ascii="Narkisim" w:hAnsi="Narkisim"/>
        </w:rPr>
        <w:t xml:space="preserve">, </w:t>
      </w:r>
      <w:r w:rsidRPr="009F36E0">
        <w:rPr>
          <w:rFonts w:ascii="Narkisim" w:hAnsi="Narkisim"/>
          <w:rtl/>
        </w:rPr>
        <w:t>וקידושיו קידושין [כדאי' לקמן מז:]</w:t>
      </w:r>
      <w:r w:rsidRPr="009F36E0">
        <w:rPr>
          <w:rStyle w:val="ac"/>
          <w:rFonts w:ascii="Narkisim" w:hAnsi="Narkisim"/>
          <w:rtl/>
        </w:rPr>
        <w:footnoteReference w:id="1335"/>
      </w:r>
      <w:r w:rsidRPr="009F36E0">
        <w:rPr>
          <w:rFonts w:ascii="Narkisim" w:hAnsi="Narkisim"/>
        </w:rPr>
        <w:t xml:space="preserve">. </w:t>
      </w:r>
      <w:r w:rsidRPr="009F36E0">
        <w:rPr>
          <w:rFonts w:ascii="Narkisim" w:hAnsi="Narkisim"/>
          <w:rtl/>
        </w:rPr>
        <w:t>וסיים וצ"ע</w:t>
      </w:r>
      <w:r w:rsidRPr="009F36E0">
        <w:rPr>
          <w:rFonts w:ascii="Narkisim" w:hAnsi="Narkisim"/>
        </w:rPr>
        <w:t>.</w:t>
      </w:r>
    </w:p>
    <w:p w14:paraId="47EC3E7A" w14:textId="77777777" w:rsidR="006074A5" w:rsidRPr="009F36E0" w:rsidRDefault="006074A5" w:rsidP="006074A5">
      <w:pPr>
        <w:pStyle w:val="a7"/>
        <w:bidi/>
        <w:rPr>
          <w:rFonts w:ascii="Narkisim" w:hAnsi="Narkisim"/>
        </w:rPr>
      </w:pPr>
      <w:r w:rsidRPr="009F36E0">
        <w:rPr>
          <w:rFonts w:ascii="Narkisim" w:hAnsi="Narkisim"/>
          <w:rtl/>
        </w:rPr>
        <w:lastRenderedPageBreak/>
        <w:t>וה</w:t>
      </w:r>
      <w:r w:rsidRPr="009F36E0">
        <w:rPr>
          <w:rFonts w:ascii="Narkisim" w:hAnsi="Narkisim"/>
          <w:b/>
          <w:bCs/>
          <w:rtl/>
        </w:rPr>
        <w:t>מהר"ח או"ז</w:t>
      </w:r>
      <w:r w:rsidRPr="009F36E0">
        <w:rPr>
          <w:rFonts w:ascii="Narkisim" w:hAnsi="Narkisim"/>
          <w:rtl/>
        </w:rPr>
        <w:t xml:space="preserve"> (קטז) הק' דאת"ל אח מומר אינו זוקק, א"כ אמאי בן מומר פוטר מיבום</w:t>
      </w:r>
      <w:r w:rsidRPr="009F36E0">
        <w:rPr>
          <w:rStyle w:val="ac"/>
          <w:rFonts w:ascii="Narkisim" w:hAnsi="Narkisim"/>
          <w:rtl/>
        </w:rPr>
        <w:footnoteReference w:id="1336"/>
      </w:r>
      <w:r w:rsidRPr="009F36E0">
        <w:rPr>
          <w:rFonts w:ascii="Narkisim" w:hAnsi="Narkisim"/>
        </w:rPr>
        <w:t xml:space="preserve">. </w:t>
      </w:r>
      <w:r w:rsidRPr="009F36E0">
        <w:rPr>
          <w:rFonts w:ascii="Narkisim" w:hAnsi="Narkisim"/>
          <w:rtl/>
        </w:rPr>
        <w:t>אבל בראשונים מבואר הטעם כיון דראוי להקמת שם דיכול לחזור</w:t>
      </w:r>
      <w:r w:rsidRPr="009F36E0">
        <w:rPr>
          <w:rFonts w:ascii="Narkisim" w:hAnsi="Narkisim"/>
        </w:rPr>
        <w:t>.</w:t>
      </w:r>
    </w:p>
    <w:p w14:paraId="4D25AE74"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פוסקים</w:t>
      </w:r>
      <w:r w:rsidRPr="009F36E0">
        <w:rPr>
          <w:rFonts w:ascii="Narkisim" w:hAnsi="Narkisim"/>
          <w:rtl/>
        </w:rPr>
        <w:t xml:space="preserve"> (קנז ד) החמירו דל"מ חליצת מומר במקום דיש אח כשר</w:t>
      </w:r>
      <w:r w:rsidRPr="009F36E0">
        <w:rPr>
          <w:rFonts w:ascii="Narkisim" w:hAnsi="Narkisim"/>
        </w:rPr>
        <w:t>.</w:t>
      </w:r>
    </w:p>
    <w:p w14:paraId="39A273B4" w14:textId="77777777" w:rsidR="006074A5" w:rsidRPr="009F36E0" w:rsidRDefault="006074A5" w:rsidP="006074A5">
      <w:pPr>
        <w:pStyle w:val="a8"/>
        <w:bidi/>
        <w:rPr>
          <w:rFonts w:ascii="Narkisim" w:hAnsi="Narkisim"/>
        </w:rPr>
      </w:pPr>
      <w:r w:rsidRPr="009F36E0">
        <w:rPr>
          <w:rFonts w:ascii="Narkisim" w:hAnsi="Narkisim"/>
          <w:rtl/>
        </w:rPr>
        <w:t>ועוד דנו הפוסקים היכא דהיה מומר וחזר ליהדות אי אמרי' נאסרה</w:t>
      </w:r>
      <w:r w:rsidRPr="009F36E0">
        <w:rPr>
          <w:rStyle w:val="ac"/>
          <w:rFonts w:ascii="Narkisim" w:hAnsi="Narkisim"/>
          <w:rtl/>
        </w:rPr>
        <w:footnoteReference w:id="1337"/>
      </w:r>
      <w:r w:rsidRPr="009F36E0">
        <w:rPr>
          <w:rFonts w:ascii="Narkisim" w:hAnsi="Narkisim"/>
        </w:rPr>
        <w:t>.</w:t>
      </w:r>
    </w:p>
    <w:p w14:paraId="283D98E2" w14:textId="77777777" w:rsidR="006074A5" w:rsidRPr="009F36E0" w:rsidRDefault="006074A5" w:rsidP="006074A5">
      <w:pPr>
        <w:pStyle w:val="aa"/>
        <w:bidi/>
        <w:rPr>
          <w:rFonts w:ascii="Narkisim" w:hAnsi="Narkisim"/>
        </w:rPr>
      </w:pPr>
      <w:r w:rsidRPr="009F36E0">
        <w:rPr>
          <w:rFonts w:ascii="Narkisim" w:hAnsi="Narkisim"/>
          <w:u w:val="single"/>
          <w:rtl/>
        </w:rPr>
        <w:t>חוץ ממי שיש לו אח מן השפחה ומן עכו"ם וכו'</w:t>
      </w:r>
      <w:r w:rsidRPr="009F36E0">
        <w:rPr>
          <w:rFonts w:ascii="Narkisim" w:hAnsi="Narkisim"/>
          <w:rtl/>
        </w:rPr>
        <w:t>. ה</w:t>
      </w:r>
      <w:r w:rsidRPr="009F36E0">
        <w:rPr>
          <w:rFonts w:ascii="Narkisim" w:hAnsi="Narkisim"/>
          <w:b/>
          <w:bCs/>
          <w:rtl/>
        </w:rPr>
        <w:t>או"ז</w:t>
      </w:r>
      <w:r w:rsidRPr="009F36E0">
        <w:rPr>
          <w:rFonts w:ascii="Narkisim" w:hAnsi="Narkisim"/>
          <w:rtl/>
        </w:rPr>
        <w:t xml:space="preserve"> (תקצה, הובא בדרכ"מ קנו א, ורמ"א טו י) נסתפק האם יש איסור דרבנן באחותו משפחה. [האם גזרו ע"ד הא דאי' בסוגיא דלעיל</w:t>
      </w:r>
      <w:r w:rsidRPr="009F36E0">
        <w:rPr>
          <w:rStyle w:val="ac"/>
          <w:rFonts w:ascii="Narkisim" w:hAnsi="Narkisim"/>
          <w:rtl/>
          <w:lang w:val="he-IL"/>
        </w:rPr>
        <w:footnoteReference w:id="1338"/>
      </w:r>
      <w:r w:rsidRPr="009F36E0">
        <w:rPr>
          <w:rFonts w:ascii="Narkisim" w:hAnsi="Narkisim"/>
          <w:rtl/>
        </w:rPr>
        <w:t>]. וה</w:t>
      </w:r>
      <w:r w:rsidRPr="009F36E0">
        <w:rPr>
          <w:rFonts w:ascii="Narkisim" w:hAnsi="Narkisim"/>
          <w:b/>
          <w:bCs/>
          <w:rtl/>
        </w:rPr>
        <w:t>פוסקים</w:t>
      </w:r>
      <w:r w:rsidRPr="009F36E0">
        <w:rPr>
          <w:rFonts w:ascii="Narkisim" w:hAnsi="Narkisim"/>
          <w:rtl/>
        </w:rPr>
        <w:t xml:space="preserve"> (שם) הביאו דמשמע במשנה שמותר בה, ומתייבמת</w:t>
      </w:r>
      <w:r w:rsidRPr="009F36E0">
        <w:rPr>
          <w:rFonts w:ascii="Narkisim" w:hAnsi="Narkisim"/>
        </w:rPr>
        <w:t>.</w:t>
      </w:r>
    </w:p>
    <w:p w14:paraId="5E1EDD6F" w14:textId="77777777" w:rsidR="006074A5" w:rsidRPr="009F36E0" w:rsidRDefault="006074A5" w:rsidP="006074A5">
      <w:pPr>
        <w:bidi/>
        <w:rPr>
          <w:rFonts w:ascii="Narkisim" w:hAnsi="Narkisim" w:cs="Narkisim"/>
        </w:rPr>
      </w:pPr>
      <w:r w:rsidRPr="009F36E0">
        <w:rPr>
          <w:rFonts w:ascii="Narkisim" w:hAnsi="Narkisim" w:cs="Narkisim"/>
          <w:u w:val="single"/>
          <w:rtl/>
        </w:rPr>
        <w:t>מי שיש לו בן מ"מ וכו'.</w:t>
      </w:r>
      <w:r w:rsidRPr="009F36E0">
        <w:rPr>
          <w:rFonts w:ascii="Narkisim" w:hAnsi="Narkisim" w:cs="Narkisim"/>
          <w:rtl/>
        </w:rPr>
        <w:t xml:space="preserve"> [אפי' מזנות]. ה</w:t>
      </w:r>
      <w:r w:rsidRPr="009F36E0">
        <w:rPr>
          <w:rFonts w:ascii="Narkisim" w:hAnsi="Narkisim" w:cs="Narkisim"/>
          <w:b/>
          <w:bCs/>
          <w:rtl/>
        </w:rPr>
        <w:t xml:space="preserve">רמב"ם </w:t>
      </w:r>
      <w:r w:rsidRPr="009F36E0">
        <w:rPr>
          <w:rFonts w:ascii="Narkisim" w:hAnsi="Narkisim" w:cs="Narkisim"/>
          <w:rtl/>
        </w:rPr>
        <w:t>(יבום ג ד) פסק דמי שזינה עם אשה, בין פנויה ובין אשת איש, אפי' שניהם אומרים דהולד ממנו אף שנאמן שהוא בנו לענין ירושה</w:t>
      </w:r>
      <w:r w:rsidRPr="009F36E0">
        <w:rPr>
          <w:rStyle w:val="ac"/>
          <w:rFonts w:ascii="Narkisim" w:hAnsi="Narkisim" w:cs="Narkisim"/>
          <w:rtl/>
        </w:rPr>
        <w:footnoteReference w:id="1339"/>
      </w:r>
      <w:r w:rsidRPr="009F36E0">
        <w:rPr>
          <w:rFonts w:ascii="Narkisim" w:hAnsi="Narkisim" w:cs="Narkisim"/>
        </w:rPr>
        <w:t xml:space="preserve">, </w:t>
      </w:r>
      <w:r w:rsidRPr="009F36E0">
        <w:rPr>
          <w:rFonts w:ascii="Narkisim" w:hAnsi="Narkisim" w:cs="Narkisim"/>
          <w:rtl/>
        </w:rPr>
        <w:t>הרי זה ספק לענין יבום. דחיישי' כשם שזינת עמו כך זינתה עם אחר</w:t>
      </w:r>
      <w:r w:rsidRPr="009F36E0">
        <w:rPr>
          <w:rFonts w:ascii="Narkisim" w:hAnsi="Narkisim" w:cs="Narkisim"/>
          <w:sz w:val="20"/>
          <w:szCs w:val="20"/>
          <w:rtl/>
        </w:rPr>
        <w:t xml:space="preserve"> [כדאיתא לקמן סט:]</w:t>
      </w:r>
      <w:r w:rsidRPr="009F36E0">
        <w:rPr>
          <w:rFonts w:ascii="Narkisim" w:hAnsi="Narkisim" w:cs="Narkisim"/>
          <w:rtl/>
        </w:rPr>
        <w:t>. והוה ספק וחולצת ולא מתייבמת</w:t>
      </w:r>
      <w:r w:rsidRPr="009F36E0">
        <w:rPr>
          <w:rStyle w:val="ac"/>
          <w:rFonts w:ascii="Narkisim" w:hAnsi="Narkisim" w:cs="Narkisim"/>
          <w:rtl/>
        </w:rPr>
        <w:footnoteReference w:id="1340"/>
      </w:r>
      <w:r w:rsidRPr="009F36E0">
        <w:rPr>
          <w:rFonts w:ascii="Narkisim" w:hAnsi="Narkisim" w:cs="Narkisim"/>
        </w:rPr>
        <w:t>.</w:t>
      </w:r>
    </w:p>
    <w:p w14:paraId="6121C22A"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מרדכי</w:t>
      </w:r>
      <w:r w:rsidRPr="009F36E0">
        <w:rPr>
          <w:rFonts w:ascii="Narkisim" w:hAnsi="Narkisim"/>
          <w:rtl/>
        </w:rPr>
        <w:t xml:space="preserve"> (יב) כתב דלפ"ז צריך להעמיד מתני' כגון דחבושין בבית האסורין, דהוה ודאי בנו [וכ”פ ה</w:t>
      </w:r>
      <w:r w:rsidRPr="009F36E0">
        <w:rPr>
          <w:rFonts w:ascii="Narkisim" w:hAnsi="Narkisim"/>
          <w:b/>
          <w:bCs/>
          <w:rtl/>
        </w:rPr>
        <w:t>בי”ש</w:t>
      </w:r>
      <w:r w:rsidRPr="009F36E0">
        <w:rPr>
          <w:rFonts w:ascii="Narkisim" w:hAnsi="Narkisim"/>
          <w:rtl/>
        </w:rPr>
        <w:t xml:space="preserve"> קנו א]. ו</w:t>
      </w:r>
      <w:r w:rsidRPr="009F36E0">
        <w:rPr>
          <w:rFonts w:ascii="Narkisim" w:hAnsi="Narkisim"/>
          <w:b/>
          <w:bCs/>
          <w:rtl/>
        </w:rPr>
        <w:t>רע"א</w:t>
      </w:r>
      <w:r w:rsidRPr="009F36E0">
        <w:rPr>
          <w:rFonts w:ascii="Narkisim" w:hAnsi="Narkisim"/>
          <w:rtl/>
        </w:rPr>
        <w:t xml:space="preserve"> (במשניות) דן להעמיד באנוסה, דלא שייך מדאפקרה נפשה</w:t>
      </w:r>
      <w:r w:rsidRPr="009F36E0">
        <w:rPr>
          <w:rStyle w:val="ac"/>
          <w:rFonts w:ascii="Narkisim" w:hAnsi="Narkisim"/>
          <w:rtl/>
        </w:rPr>
        <w:footnoteReference w:id="1341"/>
      </w:r>
      <w:r w:rsidRPr="009F36E0">
        <w:rPr>
          <w:rFonts w:ascii="Narkisim" w:hAnsi="Narkisim"/>
        </w:rPr>
        <w:t>.</w:t>
      </w:r>
    </w:p>
    <w:p w14:paraId="6722B31A" w14:textId="77777777" w:rsidR="006074A5" w:rsidRPr="009F36E0" w:rsidRDefault="006074A5" w:rsidP="006074A5">
      <w:pPr>
        <w:pStyle w:val="a8"/>
        <w:bidi/>
        <w:rPr>
          <w:rFonts w:ascii="Narkisim" w:hAnsi="Narkisim"/>
        </w:rPr>
      </w:pPr>
      <w:r w:rsidRPr="009F36E0">
        <w:rPr>
          <w:rFonts w:ascii="Narkisim" w:hAnsi="Narkisim"/>
          <w:rtl/>
        </w:rPr>
        <w:t>וב</w:t>
      </w:r>
      <w:r w:rsidRPr="009F36E0">
        <w:rPr>
          <w:rFonts w:ascii="Narkisim" w:hAnsi="Narkisim"/>
          <w:b/>
          <w:bCs/>
          <w:rtl/>
        </w:rPr>
        <w:t>הג' ריח"ל מייזליש</w:t>
      </w:r>
      <w:r w:rsidRPr="009F36E0">
        <w:rPr>
          <w:rFonts w:ascii="Narkisim" w:hAnsi="Narkisim"/>
          <w:rtl/>
        </w:rPr>
        <w:t xml:space="preserve"> כתב דכל הנידון כשאומרים כן על העובר, אבל אם הוחזק ל' יום אחרי שנולד, פשיטא דסוקלים על החזקות [כדאי' קידושין פ.], ולא חיישינן מדאפקרא נפשא. אבל ה</w:t>
      </w:r>
      <w:r w:rsidRPr="009F36E0">
        <w:rPr>
          <w:rFonts w:ascii="Narkisim" w:hAnsi="Narkisim"/>
          <w:b/>
          <w:bCs/>
          <w:rtl/>
        </w:rPr>
        <w:t xml:space="preserve">פוסקים </w:t>
      </w:r>
      <w:r w:rsidRPr="009F36E0">
        <w:rPr>
          <w:rFonts w:ascii="Narkisim" w:hAnsi="Narkisim"/>
          <w:rtl/>
        </w:rPr>
        <w:t>לא נקטו כן</w:t>
      </w:r>
      <w:r w:rsidRPr="009F36E0">
        <w:rPr>
          <w:rFonts w:ascii="Narkisim" w:hAnsi="Narkisim"/>
        </w:rPr>
        <w:t>.</w:t>
      </w:r>
    </w:p>
    <w:p w14:paraId="393DD139" w14:textId="77777777" w:rsidR="006074A5" w:rsidRPr="009F36E0" w:rsidRDefault="006074A5" w:rsidP="006074A5">
      <w:pPr>
        <w:bidi/>
        <w:rPr>
          <w:rFonts w:ascii="Narkisim" w:hAnsi="Narkisim" w:cs="Narkisim"/>
        </w:rPr>
      </w:pPr>
      <w:r w:rsidRPr="009F36E0">
        <w:rPr>
          <w:rFonts w:ascii="Narkisim" w:hAnsi="Narkisim" w:cs="Narkisim"/>
          <w:u w:val="single"/>
          <w:rtl/>
        </w:rPr>
        <w:t>ובנו לכל דבר.</w:t>
      </w:r>
      <w:r w:rsidRPr="009F36E0">
        <w:rPr>
          <w:rFonts w:ascii="Narkisim" w:hAnsi="Narkisim" w:cs="Narkisim"/>
          <w:rtl/>
        </w:rPr>
        <w:t xml:space="preserve"> ה</w:t>
      </w:r>
      <w:r w:rsidRPr="009F36E0">
        <w:rPr>
          <w:rFonts w:ascii="Narkisim" w:hAnsi="Narkisim" w:cs="Narkisim"/>
          <w:b/>
          <w:bCs/>
          <w:rtl/>
        </w:rPr>
        <w:t>רמב"ן</w:t>
      </w:r>
      <w:r w:rsidRPr="009F36E0">
        <w:rPr>
          <w:rFonts w:ascii="Narkisim" w:hAnsi="Narkisim" w:cs="Narkisim"/>
          <w:rtl/>
        </w:rPr>
        <w:t xml:space="preserve"> [ושא"ר] הביאו מדברי ה</w:t>
      </w:r>
      <w:r w:rsidRPr="009F36E0">
        <w:rPr>
          <w:rFonts w:ascii="Narkisim" w:hAnsi="Narkisim" w:cs="Narkisim"/>
          <w:b/>
          <w:bCs/>
          <w:rtl/>
        </w:rPr>
        <w:t>ירושלמי</w:t>
      </w:r>
      <w:r w:rsidRPr="009F36E0">
        <w:rPr>
          <w:rFonts w:ascii="Narkisim" w:hAnsi="Narkisim" w:cs="Narkisim"/>
          <w:rtl/>
        </w:rPr>
        <w:t xml:space="preserve"> אפי' לפריה ורביה</w:t>
      </w:r>
      <w:r w:rsidRPr="009F36E0">
        <w:rPr>
          <w:rStyle w:val="ac"/>
          <w:rFonts w:ascii="Narkisim" w:hAnsi="Narkisim" w:cs="Narkisim"/>
          <w:rtl/>
        </w:rPr>
        <w:footnoteReference w:id="1342"/>
      </w:r>
      <w:r w:rsidRPr="009F36E0">
        <w:rPr>
          <w:rFonts w:ascii="Narkisim" w:hAnsi="Narkisim" w:cs="Narkisim"/>
        </w:rPr>
        <w:t xml:space="preserve"> </w:t>
      </w:r>
      <w:r w:rsidRPr="009F36E0">
        <w:rPr>
          <w:rFonts w:ascii="Narkisim" w:hAnsi="Narkisim" w:cs="Narkisim"/>
          <w:rtl/>
        </w:rPr>
        <w:t>(ע' לקמן סב.) ולענין איסורי שניות</w:t>
      </w:r>
      <w:r w:rsidRPr="009F36E0">
        <w:rPr>
          <w:rStyle w:val="ac"/>
          <w:rFonts w:ascii="Narkisim" w:hAnsi="Narkisim" w:cs="Narkisim"/>
          <w:rtl/>
        </w:rPr>
        <w:footnoteReference w:id="1343"/>
      </w:r>
      <w:r w:rsidRPr="009F36E0">
        <w:rPr>
          <w:rFonts w:ascii="Narkisim" w:hAnsi="Narkisim" w:cs="Narkisim"/>
        </w:rPr>
        <w:t>.</w:t>
      </w:r>
    </w:p>
    <w:p w14:paraId="13905D50" w14:textId="77777777" w:rsidR="006074A5" w:rsidRPr="009F36E0" w:rsidRDefault="006074A5" w:rsidP="006074A5">
      <w:pPr>
        <w:pStyle w:val="a7"/>
        <w:bidi/>
        <w:rPr>
          <w:rFonts w:ascii="Narkisim" w:hAnsi="Narkisim"/>
        </w:rPr>
      </w:pPr>
      <w:r w:rsidRPr="009F36E0">
        <w:rPr>
          <w:rFonts w:ascii="Narkisim" w:hAnsi="Narkisim"/>
          <w:rtl/>
        </w:rPr>
        <w:t>וכ"פ ה</w:t>
      </w:r>
      <w:r w:rsidRPr="009F36E0">
        <w:rPr>
          <w:rFonts w:ascii="Narkisim" w:hAnsi="Narkisim"/>
          <w:b/>
          <w:bCs/>
          <w:rtl/>
        </w:rPr>
        <w:t>רמ"א</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אה"ע א ו)</w:t>
      </w:r>
      <w:r w:rsidRPr="009F36E0">
        <w:rPr>
          <w:rStyle w:val="ac"/>
          <w:rFonts w:ascii="Narkisim" w:hAnsi="Narkisim"/>
          <w:sz w:val="20"/>
          <w:szCs w:val="20"/>
          <w:rtl/>
        </w:rPr>
        <w:footnoteReference w:id="1344"/>
      </w:r>
      <w:r w:rsidRPr="009F36E0">
        <w:rPr>
          <w:rFonts w:ascii="Narkisim" w:hAnsi="Narkisim"/>
          <w:sz w:val="20"/>
          <w:szCs w:val="20"/>
        </w:rPr>
        <w:t xml:space="preserve"> </w:t>
      </w:r>
      <w:r w:rsidRPr="009F36E0">
        <w:rPr>
          <w:rFonts w:ascii="Narkisim" w:hAnsi="Narkisim"/>
          <w:rtl/>
        </w:rPr>
        <w:t>דמקיים פר"ו אף בבן ממזר. וה</w:t>
      </w:r>
      <w:r w:rsidRPr="009F36E0">
        <w:rPr>
          <w:rFonts w:ascii="Narkisim" w:hAnsi="Narkisim"/>
          <w:b/>
          <w:bCs/>
          <w:rtl/>
        </w:rPr>
        <w:t xml:space="preserve">רמב"ן </w:t>
      </w:r>
      <w:r w:rsidRPr="009F36E0">
        <w:rPr>
          <w:rFonts w:ascii="Narkisim" w:hAnsi="Narkisim"/>
          <w:rtl/>
        </w:rPr>
        <w:t>(ושא"ר) ביאר דסד"א דכיון דבעבירה נולד לו אינו מקיים מצוות פריה ורביה. וה</w:t>
      </w:r>
      <w:r w:rsidRPr="009F36E0">
        <w:rPr>
          <w:rFonts w:ascii="Narkisim" w:hAnsi="Narkisim"/>
          <w:b/>
          <w:bCs/>
          <w:rtl/>
        </w:rPr>
        <w:t>מנח"ח</w:t>
      </w:r>
      <w:r w:rsidRPr="009F36E0">
        <w:rPr>
          <w:rFonts w:ascii="Narkisim" w:hAnsi="Narkisim"/>
          <w:rtl/>
        </w:rPr>
        <w:t xml:space="preserve"> (א ח) ביאר דל"ש מצוה הבא בעבירה אא”כ עובר בשעת קיום המצוה, אבל הכא האיסור הוה בשעת בעילה דהוה הכשר מצוה. אבל קיום המצוה הוה רק בשעת לידת בנים</w:t>
      </w:r>
      <w:r w:rsidRPr="009F36E0">
        <w:rPr>
          <w:rStyle w:val="ac"/>
          <w:rFonts w:ascii="Narkisim" w:hAnsi="Narkisim"/>
          <w:rtl/>
        </w:rPr>
        <w:footnoteReference w:id="1345"/>
      </w:r>
      <w:r w:rsidRPr="009F36E0">
        <w:rPr>
          <w:rFonts w:ascii="Narkisim" w:hAnsi="Narkisim"/>
        </w:rPr>
        <w:t xml:space="preserve">. </w:t>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(יא א) דחה די"ל דאף לידת הבן היא ג"כ עבירה. וה</w:t>
      </w:r>
      <w:r w:rsidRPr="009F36E0">
        <w:rPr>
          <w:rFonts w:ascii="Narkisim" w:hAnsi="Narkisim"/>
          <w:b/>
          <w:bCs/>
          <w:rtl/>
        </w:rPr>
        <w:t>מנח"ח</w:t>
      </w:r>
      <w:r w:rsidRPr="009F36E0">
        <w:rPr>
          <w:rFonts w:ascii="Narkisim" w:hAnsi="Narkisim"/>
          <w:rtl/>
        </w:rPr>
        <w:t xml:space="preserve"> הביא דה</w:t>
      </w:r>
      <w:r w:rsidRPr="009F36E0">
        <w:rPr>
          <w:rFonts w:ascii="Narkisim" w:hAnsi="Narkisim"/>
          <w:b/>
          <w:bCs/>
          <w:rtl/>
        </w:rPr>
        <w:t>רדב"ז</w:t>
      </w:r>
      <w:r w:rsidRPr="009F36E0">
        <w:rPr>
          <w:rFonts w:ascii="Narkisim" w:hAnsi="Narkisim"/>
          <w:sz w:val="20"/>
          <w:szCs w:val="20"/>
          <w:rtl/>
        </w:rPr>
        <w:t xml:space="preserve"> (ז ב)</w:t>
      </w:r>
      <w:r w:rsidRPr="009F36E0">
        <w:rPr>
          <w:rFonts w:ascii="Narkisim" w:hAnsi="Narkisim"/>
          <w:rtl/>
        </w:rPr>
        <w:t xml:space="preserve"> ס"ל דבאמת לא יצא דהוה מצוה הבא בעבירה, ולכן השמיטו הרי"ף והרמב"ם דין זה</w:t>
      </w:r>
      <w:r w:rsidRPr="009F36E0">
        <w:rPr>
          <w:rFonts w:ascii="Narkisim" w:hAnsi="Narkisim"/>
        </w:rPr>
        <w:t>.</w:t>
      </w:r>
    </w:p>
    <w:p w14:paraId="2458853B" w14:textId="77777777" w:rsidR="006074A5" w:rsidRPr="009F36E0" w:rsidRDefault="006074A5" w:rsidP="006074A5">
      <w:pPr>
        <w:pStyle w:val="aa"/>
        <w:bidi/>
        <w:rPr>
          <w:rFonts w:ascii="Narkisim" w:hAnsi="Narkisim"/>
        </w:rPr>
      </w:pPr>
      <w:r w:rsidRPr="009F36E0">
        <w:rPr>
          <w:rFonts w:ascii="Narkisim" w:hAnsi="Narkisim"/>
          <w:u w:val="single"/>
          <w:rtl/>
        </w:rPr>
        <w:t>חוץ ממי שיש לו בן משפחה.</w:t>
      </w:r>
      <w:r w:rsidRPr="009F36E0">
        <w:rPr>
          <w:rFonts w:ascii="Narkisim" w:hAnsi="Narkisim"/>
          <w:rtl/>
        </w:rPr>
        <w:t xml:space="preserve"> ה</w:t>
      </w:r>
      <w:r w:rsidRPr="009F36E0">
        <w:rPr>
          <w:rFonts w:ascii="Narkisim" w:hAnsi="Narkisim"/>
          <w:b/>
          <w:bCs/>
          <w:rtl/>
        </w:rPr>
        <w:t xml:space="preserve">רי"ף </w:t>
      </w:r>
      <w:r w:rsidRPr="009F36E0">
        <w:rPr>
          <w:rFonts w:ascii="Narkisim" w:hAnsi="Narkisim"/>
          <w:rtl/>
        </w:rPr>
        <w:t xml:space="preserve">מביא בשם </w:t>
      </w:r>
      <w:r w:rsidRPr="009F36E0">
        <w:rPr>
          <w:rFonts w:ascii="Narkisim" w:hAnsi="Narkisim"/>
          <w:b/>
          <w:bCs/>
          <w:rtl/>
        </w:rPr>
        <w:t>רב נטרונאי גאון</w:t>
      </w:r>
      <w:r w:rsidRPr="009F36E0">
        <w:rPr>
          <w:rFonts w:ascii="Narkisim" w:hAnsi="Narkisim"/>
          <w:rtl/>
        </w:rPr>
        <w:t xml:space="preserve"> דאיירי בשפחה מעלמא, אבל מי שבא על שפחתו אמרי' חזקה דאינו עושה בעילת זנות, ושחררה. [וה</w:t>
      </w:r>
      <w:r w:rsidRPr="009F36E0">
        <w:rPr>
          <w:rFonts w:ascii="Narkisim" w:hAnsi="Narkisim"/>
          <w:b/>
          <w:bCs/>
          <w:rtl/>
        </w:rPr>
        <w:t>רא"ש</w:t>
      </w:r>
      <w:r w:rsidRPr="009F36E0">
        <w:rPr>
          <w:rFonts w:ascii="Narkisim" w:hAnsi="Narkisim"/>
          <w:rtl/>
        </w:rPr>
        <w:t xml:space="preserve"> כתב דהמקור ע”פ הגמ' גיטין לט:]. והרי"ף הביא בשם גאון אחר דהוה ספק. וה</w:t>
      </w:r>
      <w:r w:rsidRPr="009F36E0">
        <w:rPr>
          <w:rFonts w:ascii="Narkisim" w:hAnsi="Narkisim"/>
          <w:b/>
          <w:bCs/>
          <w:rtl/>
        </w:rPr>
        <w:t>רמב"ם</w:t>
      </w:r>
      <w:r w:rsidRPr="009F36E0">
        <w:rPr>
          <w:rFonts w:ascii="Narkisim" w:hAnsi="Narkisim"/>
          <w:rtl/>
        </w:rPr>
        <w:t xml:space="preserve"> (גירושין י יט) חלק</w:t>
      </w:r>
      <w:r w:rsidRPr="009F36E0">
        <w:rPr>
          <w:rStyle w:val="ac"/>
          <w:rFonts w:ascii="Narkisim" w:hAnsi="Narkisim"/>
          <w:rtl/>
        </w:rPr>
        <w:footnoteReference w:id="1346"/>
      </w:r>
      <w:r w:rsidRPr="009F36E0">
        <w:rPr>
          <w:rFonts w:ascii="Narkisim" w:hAnsi="Narkisim"/>
        </w:rPr>
        <w:t xml:space="preserve"> </w:t>
      </w:r>
      <w:r w:rsidRPr="009F36E0">
        <w:rPr>
          <w:rFonts w:ascii="Narkisim" w:hAnsi="Narkisim"/>
          <w:rtl/>
        </w:rPr>
        <w:t>דהוה בחזקת שפחה ולא חיישינן. וה</w:t>
      </w:r>
      <w:r w:rsidRPr="009F36E0">
        <w:rPr>
          <w:rFonts w:ascii="Narkisim" w:hAnsi="Narkisim"/>
          <w:b/>
          <w:bCs/>
          <w:rtl/>
        </w:rPr>
        <w:t xml:space="preserve">ראשונים </w:t>
      </w:r>
      <w:r w:rsidRPr="009F36E0">
        <w:rPr>
          <w:rFonts w:ascii="Narkisim" w:hAnsi="Narkisim"/>
          <w:rtl/>
        </w:rPr>
        <w:t>האריכו בזה טובא</w:t>
      </w:r>
      <w:r w:rsidRPr="009F36E0">
        <w:rPr>
          <w:rFonts w:ascii="Narkisim" w:hAnsi="Narkisim"/>
        </w:rPr>
        <w:t>.</w:t>
      </w:r>
    </w:p>
    <w:p w14:paraId="72FBE0A1" w14:textId="77777777" w:rsidR="006074A5" w:rsidRPr="009F36E0" w:rsidRDefault="006074A5" w:rsidP="006074A5">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w:t>
      </w:r>
      <w:r w:rsidRPr="009F36E0">
        <w:rPr>
          <w:rFonts w:ascii="Narkisim" w:hAnsi="Narkisim" w:cs="Narkisim"/>
          <w:b/>
          <w:bCs/>
          <w:rtl/>
        </w:rPr>
        <w:t>תוס</w:t>
      </w:r>
      <w:r w:rsidRPr="009F36E0">
        <w:rPr>
          <w:rFonts w:ascii="Narkisim" w:hAnsi="Narkisim" w:cs="Narkisim"/>
          <w:rtl/>
        </w:rPr>
        <w:t xml:space="preserve">' (לעיל טז: ד"ה עכו"ם) הביאו דמבואר במשנה דמתייחס אחריה, והולד אינו </w:t>
      </w:r>
      <w:r w:rsidRPr="009F36E0">
        <w:rPr>
          <w:rFonts w:ascii="Narkisim" w:hAnsi="Narkisim" w:cs="Narkisim"/>
          <w:rtl/>
        </w:rPr>
        <w:lastRenderedPageBreak/>
        <w:t>ישראל. ודנו דתלי במח' עכו"ם ועבד הבא על בת ישראל אי הוה הולד ממזר [ע"ע לקמן כג. ומה. ולעיל שם]. אבל ה</w:t>
      </w:r>
      <w:r w:rsidRPr="009F36E0">
        <w:rPr>
          <w:rFonts w:ascii="Narkisim" w:hAnsi="Narkisim" w:cs="Narkisim"/>
          <w:b/>
          <w:bCs/>
          <w:rtl/>
        </w:rPr>
        <w:t xml:space="preserve">פסקי </w:t>
      </w:r>
      <w:r w:rsidRPr="009F36E0">
        <w:rPr>
          <w:rFonts w:ascii="Narkisim" w:hAnsi="Narkisim" w:cs="Narkisim"/>
          <w:rtl/>
        </w:rPr>
        <w:t>ה</w:t>
      </w:r>
      <w:r w:rsidRPr="009F36E0">
        <w:rPr>
          <w:rFonts w:ascii="Narkisim" w:hAnsi="Narkisim" w:cs="Narkisim"/>
          <w:b/>
          <w:bCs/>
          <w:rtl/>
        </w:rPr>
        <w:t>רי"ד</w:t>
      </w:r>
      <w:r w:rsidRPr="009F36E0">
        <w:rPr>
          <w:rFonts w:ascii="Narkisim" w:hAnsi="Narkisim" w:cs="Narkisim"/>
          <w:rtl/>
        </w:rPr>
        <w:t xml:space="preserve"> (לעיל יז.) כת' דמ"מ אינו מתייחס אחר אביו, ואף למ"ד דיש בו צד ממזרות מחמת שמעורב בו צד ישראלות, מ"מ אין יחס לאביו</w:t>
      </w:r>
      <w:r w:rsidRPr="009F36E0">
        <w:rPr>
          <w:rFonts w:ascii="Narkisim" w:hAnsi="Narkisim" w:cs="Narkisim"/>
        </w:rPr>
        <w:t>.</w:t>
      </w:r>
    </w:p>
    <w:p w14:paraId="43E5632B" w14:textId="77777777" w:rsidR="006074A5" w:rsidRPr="009F36E0" w:rsidRDefault="006074A5" w:rsidP="006074A5">
      <w:pPr>
        <w:pStyle w:val="aa"/>
        <w:bidi/>
        <w:rPr>
          <w:rFonts w:ascii="Narkisim" w:hAnsi="Narkisim"/>
        </w:rPr>
      </w:pPr>
      <w:r w:rsidRPr="009F36E0">
        <w:rPr>
          <w:rFonts w:ascii="Narkisim" w:hAnsi="Narkisim"/>
          <w:u w:val="single"/>
          <w:rtl/>
        </w:rPr>
        <w:t>תוד"ה פשיטא.</w:t>
      </w:r>
      <w:r w:rsidRPr="009F36E0">
        <w:rPr>
          <w:rFonts w:ascii="Narkisim" w:hAnsi="Narkisim"/>
          <w:rtl/>
        </w:rPr>
        <w:t xml:space="preserve"> תימה אמאי פשיט”ל וכו'. וה</w:t>
      </w:r>
      <w:r w:rsidRPr="009F36E0">
        <w:rPr>
          <w:rFonts w:ascii="Narkisim" w:hAnsi="Narkisim"/>
          <w:b/>
          <w:bCs/>
          <w:rtl/>
        </w:rPr>
        <w:t>רמב"ן</w:t>
      </w:r>
      <w:r w:rsidRPr="009F36E0">
        <w:rPr>
          <w:rFonts w:ascii="Narkisim" w:hAnsi="Narkisim"/>
          <w:rtl/>
        </w:rPr>
        <w:t xml:space="preserve"> תי' דכוונת הגמ' ע"פ המשנה (קידושין סז:) דכל מי שיש לה קידושין אין הולד כמוה, וכיון דתנינא דאחיו הוא פשיטא דמייבם</w:t>
      </w:r>
      <w:r w:rsidRPr="009F36E0">
        <w:rPr>
          <w:rStyle w:val="ac"/>
          <w:rFonts w:ascii="Narkisim" w:hAnsi="Narkisim"/>
          <w:rtl/>
        </w:rPr>
        <w:footnoteReference w:id="1347"/>
      </w:r>
      <w:r w:rsidRPr="009F36E0">
        <w:rPr>
          <w:rFonts w:ascii="Narkisim" w:hAnsi="Narkisim"/>
        </w:rPr>
        <w:t xml:space="preserve">. </w:t>
      </w:r>
      <w:r w:rsidRPr="009F36E0">
        <w:rPr>
          <w:rFonts w:ascii="Narkisim" w:hAnsi="Narkisim"/>
          <w:rtl/>
        </w:rPr>
        <w:t>והאי דלא בעי אמתני' דמי שיש לו בן מ"מ, ומקשה מ"ט ולא פשיטא. דילפי' מבן לאח, ולא רצה להניח המלמד ולשנות הלמד. [וע”ד התי' הב' בתוס']</w:t>
      </w:r>
      <w:r w:rsidRPr="009F36E0">
        <w:rPr>
          <w:rFonts w:ascii="Narkisim" w:hAnsi="Narkisim"/>
        </w:rPr>
        <w:t>.</w:t>
      </w:r>
    </w:p>
    <w:p w14:paraId="521A4B00" w14:textId="77777777" w:rsidR="006074A5" w:rsidRPr="009F36E0" w:rsidRDefault="006074A5" w:rsidP="006074A5">
      <w:pPr>
        <w:pStyle w:val="3"/>
        <w:bidi/>
        <w:rPr>
          <w:rFonts w:ascii="Narkisim" w:hAnsi="Narkisim"/>
        </w:rPr>
      </w:pPr>
      <w:r w:rsidRPr="009F36E0">
        <w:rPr>
          <w:rFonts w:ascii="Narkisim" w:hAnsi="Narkisim"/>
          <w:rtl/>
        </w:rPr>
        <w:t>דף כב</w:t>
      </w:r>
      <w:r w:rsidRPr="009F36E0">
        <w:rPr>
          <w:rFonts w:ascii="Narkisim" w:hAnsi="Narkisim"/>
        </w:rPr>
        <w:t>:</w:t>
      </w:r>
    </w:p>
    <w:p w14:paraId="55BC2BCB" w14:textId="77777777" w:rsidR="006074A5" w:rsidRPr="009F36E0" w:rsidRDefault="006074A5" w:rsidP="006074A5">
      <w:pPr>
        <w:pStyle w:val="aa"/>
        <w:bidi/>
        <w:rPr>
          <w:rFonts w:ascii="Narkisim" w:hAnsi="Narkisim"/>
        </w:rPr>
      </w:pPr>
      <w:r w:rsidRPr="009F36E0">
        <w:rPr>
          <w:rFonts w:ascii="Narkisim" w:hAnsi="Narkisim"/>
          <w:u w:val="single"/>
          <w:rtl/>
        </w:rPr>
        <w:t>ואין מטמא לאשתו פסולה.</w:t>
      </w:r>
      <w:r w:rsidRPr="009F36E0">
        <w:rPr>
          <w:rFonts w:ascii="Narkisim" w:hAnsi="Narkisim"/>
          <w:rtl/>
        </w:rPr>
        <w:t xml:space="preserve"> ה</w:t>
      </w:r>
      <w:r w:rsidRPr="009F36E0">
        <w:rPr>
          <w:rFonts w:ascii="Narkisim" w:hAnsi="Narkisim"/>
          <w:b/>
          <w:bCs/>
          <w:rtl/>
        </w:rPr>
        <w:t>רשב"א</w:t>
      </w:r>
      <w:r w:rsidRPr="009F36E0">
        <w:rPr>
          <w:rFonts w:ascii="Narkisim" w:hAnsi="Narkisim"/>
          <w:rtl/>
        </w:rPr>
        <w:t xml:space="preserve"> ו</w:t>
      </w:r>
      <w:r w:rsidRPr="009F36E0">
        <w:rPr>
          <w:rFonts w:ascii="Narkisim" w:hAnsi="Narkisim"/>
          <w:b/>
          <w:bCs/>
          <w:rtl/>
        </w:rPr>
        <w:t>ריטב"א</w:t>
      </w:r>
      <w:r w:rsidRPr="009F36E0">
        <w:rPr>
          <w:rFonts w:ascii="Narkisim" w:hAnsi="Narkisim"/>
          <w:rtl/>
        </w:rPr>
        <w:t xml:space="preserve"> הביאו מה</w:t>
      </w:r>
      <w:r w:rsidRPr="009F36E0">
        <w:rPr>
          <w:rFonts w:ascii="Narkisim" w:hAnsi="Narkisim"/>
          <w:b/>
          <w:bCs/>
          <w:rtl/>
        </w:rPr>
        <w:t>תוספתא</w:t>
      </w:r>
      <w:r w:rsidRPr="009F36E0">
        <w:rPr>
          <w:rFonts w:ascii="Narkisim" w:hAnsi="Narkisim"/>
          <w:rtl/>
        </w:rPr>
        <w:t xml:space="preserve"> דמטמא אף לפסולה. ודנו לתרץ דמטמא דרבנן כיון דיורשה, דעשאוה כמת מצוה</w:t>
      </w:r>
      <w:r w:rsidRPr="009F36E0">
        <w:rPr>
          <w:rStyle w:val="ac"/>
          <w:rFonts w:ascii="Narkisim" w:hAnsi="Narkisim"/>
          <w:rtl/>
        </w:rPr>
        <w:footnoteReference w:id="1348"/>
      </w:r>
      <w:r w:rsidRPr="009F36E0">
        <w:rPr>
          <w:rFonts w:ascii="Narkisim" w:hAnsi="Narkisim"/>
        </w:rPr>
        <w:t xml:space="preserve"> </w:t>
      </w:r>
      <w:r w:rsidRPr="009F36E0">
        <w:rPr>
          <w:rFonts w:ascii="Narkisim" w:hAnsi="Narkisim"/>
          <w:rtl/>
        </w:rPr>
        <w:t>[וכדאיתא לקמן פט:]. וכתבו והנכון דגרס' ואינו מטמא לה</w:t>
      </w:r>
      <w:r w:rsidRPr="009F36E0">
        <w:rPr>
          <w:rFonts w:ascii="Narkisim" w:hAnsi="Narkisim"/>
        </w:rPr>
        <w:t>.</w:t>
      </w:r>
    </w:p>
    <w:p w14:paraId="2EE9010F" w14:textId="77777777" w:rsidR="006074A5" w:rsidRPr="009F36E0" w:rsidRDefault="006074A5" w:rsidP="006074A5">
      <w:pPr>
        <w:pStyle w:val="aa"/>
        <w:bidi/>
        <w:rPr>
          <w:rFonts w:ascii="Narkisim" w:hAnsi="Narkisim"/>
        </w:rPr>
      </w:pPr>
      <w:r w:rsidRPr="009F36E0">
        <w:rPr>
          <w:rFonts w:ascii="Narkisim" w:hAnsi="Narkisim"/>
          <w:u w:val="single"/>
          <w:rtl/>
        </w:rPr>
        <w:t>חוץ ממי שיש לו אח מהשפחה וכו' מ"ט אמר קרא האשה וילדיה</w:t>
      </w:r>
      <w:r w:rsidRPr="009F36E0">
        <w:rPr>
          <w:rStyle w:val="ac"/>
          <w:rFonts w:ascii="Narkisim" w:hAnsi="Narkisim"/>
          <w:u w:val="single"/>
          <w:rtl/>
        </w:rPr>
        <w:footnoteReference w:id="1349"/>
      </w:r>
      <w:r w:rsidRPr="009F36E0">
        <w:rPr>
          <w:rFonts w:ascii="Narkisim" w:hAnsi="Narkisim"/>
          <w:u w:val="single"/>
        </w:rPr>
        <w:t xml:space="preserve"> </w:t>
      </w:r>
      <w:r w:rsidRPr="009F36E0">
        <w:rPr>
          <w:rFonts w:ascii="Narkisim" w:hAnsi="Narkisim"/>
          <w:u w:val="single"/>
          <w:rtl/>
        </w:rPr>
        <w:t>תהיה לאדוניה</w:t>
      </w:r>
      <w:r w:rsidRPr="009F36E0">
        <w:rPr>
          <w:rStyle w:val="ac"/>
          <w:rFonts w:ascii="Narkisim" w:hAnsi="Narkisim"/>
          <w:rtl/>
        </w:rPr>
        <w:footnoteReference w:id="1350"/>
      </w:r>
      <w:r w:rsidRPr="009F36E0">
        <w:rPr>
          <w:rFonts w:ascii="Narkisim" w:hAnsi="Narkisim"/>
        </w:rPr>
        <w:t xml:space="preserve">. </w:t>
      </w:r>
      <w:r w:rsidRPr="009F36E0">
        <w:rPr>
          <w:rFonts w:ascii="Narkisim" w:hAnsi="Narkisim"/>
          <w:rtl/>
        </w:rPr>
        <w:t>[וכן דרשי' (קידושין סח:)]. ו</w:t>
      </w:r>
      <w:r w:rsidRPr="009F36E0">
        <w:rPr>
          <w:rFonts w:ascii="Narkisim" w:hAnsi="Narkisim"/>
          <w:b/>
          <w:bCs/>
          <w:rtl/>
        </w:rPr>
        <w:t>רע"א</w:t>
      </w:r>
      <w:r w:rsidRPr="009F36E0">
        <w:rPr>
          <w:rFonts w:ascii="Narkisim" w:hAnsi="Narkisim"/>
          <w:rtl/>
        </w:rPr>
        <w:t xml:space="preserve"> ציין דבגמ' (לקמן עח.) משמע דהטעם דשדינן בתר אימו. ודחינן משום גזיה"כ דהאשה וילדיה. [ויל"ד מה ההו"א שם]</w:t>
      </w:r>
      <w:r w:rsidRPr="009F36E0">
        <w:rPr>
          <w:rFonts w:ascii="Narkisim" w:hAnsi="Narkisim"/>
        </w:rPr>
        <w:t>.</w:t>
      </w:r>
    </w:p>
    <w:p w14:paraId="3BDA6F05" w14:textId="77777777" w:rsidR="006074A5" w:rsidRPr="009F36E0" w:rsidRDefault="006074A5" w:rsidP="006074A5">
      <w:pPr>
        <w:pStyle w:val="aa"/>
        <w:bidi/>
        <w:rPr>
          <w:rFonts w:ascii="Narkisim" w:hAnsi="Narkisim"/>
        </w:rPr>
      </w:pPr>
      <w:r w:rsidRPr="009F36E0">
        <w:rPr>
          <w:rFonts w:ascii="Narkisim" w:hAnsi="Narkisim"/>
          <w:u w:val="single"/>
          <w:rtl/>
        </w:rPr>
        <w:t>התם לאפוקי קאי.</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הילכך לאו אשתו היא. [משמע דלהו”א גדר הילפותא דלא חל גדר קורבא במקום איסור. ובזה הגמ' מתרצת דדוקא באשתו אמרי' דחסר באישות]</w:t>
      </w:r>
      <w:r w:rsidRPr="009F36E0">
        <w:rPr>
          <w:rFonts w:ascii="Narkisim" w:hAnsi="Narkisim"/>
        </w:rPr>
        <w:t>.</w:t>
      </w:r>
    </w:p>
    <w:p w14:paraId="45E1F319" w14:textId="77777777" w:rsidR="006074A5" w:rsidRPr="009F36E0" w:rsidRDefault="006074A5" w:rsidP="006074A5">
      <w:pPr>
        <w:pStyle w:val="aa"/>
        <w:bidi/>
        <w:rPr>
          <w:rFonts w:ascii="Narkisim" w:hAnsi="Narkisim"/>
        </w:rPr>
      </w:pPr>
      <w:r w:rsidRPr="009F36E0">
        <w:rPr>
          <w:rFonts w:ascii="Narkisim" w:hAnsi="Narkisim"/>
          <w:u w:val="single"/>
          <w:rtl/>
        </w:rPr>
        <w:t>ובן אין לו, עיין עליו</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דדרשי' יתור י' [מדלא כתיב 'אן' לו]. וה</w:t>
      </w:r>
      <w:r w:rsidRPr="009F36E0">
        <w:rPr>
          <w:rFonts w:ascii="Narkisim" w:hAnsi="Narkisim"/>
          <w:b/>
          <w:bCs/>
          <w:rtl/>
        </w:rPr>
        <w:t>סמ"ע</w:t>
      </w:r>
      <w:r w:rsidRPr="009F36E0">
        <w:rPr>
          <w:rFonts w:ascii="Narkisim" w:hAnsi="Narkisim"/>
          <w:rtl/>
        </w:rPr>
        <w:t xml:space="preserve"> (רעו א) ביאר דדרשי' איין לשון 'אפס', איין בנמצא</w:t>
      </w:r>
      <w:r w:rsidRPr="009F36E0">
        <w:rPr>
          <w:rStyle w:val="ac"/>
          <w:rFonts w:ascii="Narkisim" w:hAnsi="Narkisim"/>
          <w:rtl/>
        </w:rPr>
        <w:footnoteReference w:id="1351"/>
      </w:r>
      <w:r w:rsidRPr="009F36E0">
        <w:rPr>
          <w:rFonts w:ascii="Narkisim" w:hAnsi="Narkisim"/>
        </w:rPr>
        <w:t xml:space="preserve">. </w:t>
      </w:r>
      <w:r w:rsidRPr="009F36E0">
        <w:rPr>
          <w:rFonts w:ascii="Narkisim" w:hAnsi="Narkisim"/>
          <w:rtl/>
        </w:rPr>
        <w:t xml:space="preserve">אך הביא </w:t>
      </w:r>
      <w:r w:rsidRPr="009F36E0">
        <w:rPr>
          <w:rFonts w:ascii="Narkisim" w:hAnsi="Narkisim"/>
          <w:b/>
          <w:bCs/>
          <w:rtl/>
        </w:rPr>
        <w:t>י"מ</w:t>
      </w:r>
      <w:r w:rsidRPr="009F36E0">
        <w:rPr>
          <w:rFonts w:ascii="Narkisim" w:hAnsi="Narkisim"/>
          <w:rtl/>
        </w:rPr>
        <w:t xml:space="preserve"> דדייקו דהגמ' נקטו עיין עליו, דדרשי' להחליף הא' בע'</w:t>
      </w:r>
      <w:r w:rsidRPr="009F36E0">
        <w:rPr>
          <w:rStyle w:val="ac"/>
          <w:rFonts w:ascii="Narkisim" w:hAnsi="Narkisim"/>
          <w:rtl/>
        </w:rPr>
        <w:footnoteReference w:id="1352"/>
      </w:r>
      <w:r w:rsidRPr="009F36E0">
        <w:rPr>
          <w:rFonts w:ascii="Narkisim" w:hAnsi="Narkisim"/>
          <w:rtl/>
        </w:rPr>
        <w:t>. וה</w:t>
      </w:r>
      <w:r w:rsidRPr="009F36E0">
        <w:rPr>
          <w:rFonts w:ascii="Narkisim" w:hAnsi="Narkisim"/>
          <w:b/>
          <w:bCs/>
          <w:rtl/>
        </w:rPr>
        <w:t>תוי"ט</w:t>
      </w:r>
      <w:r w:rsidRPr="009F36E0">
        <w:rPr>
          <w:rFonts w:ascii="Narkisim" w:hAnsi="Narkisim"/>
          <w:rtl/>
        </w:rPr>
        <w:t xml:space="preserve"> ביאר עד"ז דדרשי' מדכתב 'אין' [מלא י'] והסמיכו כאילו כתיב 'עיין</w:t>
      </w:r>
      <w:r w:rsidRPr="009F36E0">
        <w:rPr>
          <w:rFonts w:ascii="Narkisim" w:hAnsi="Narkisim"/>
        </w:rPr>
        <w:t>'.</w:t>
      </w:r>
    </w:p>
    <w:p w14:paraId="0837EF96" w14:textId="77777777" w:rsidR="006074A5" w:rsidRPr="009F36E0" w:rsidRDefault="006074A5" w:rsidP="006074A5">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w:t>
      </w:r>
      <w:r w:rsidRPr="009F36E0">
        <w:rPr>
          <w:rFonts w:ascii="Narkisim" w:hAnsi="Narkisim" w:cs="Narkisim"/>
          <w:b/>
          <w:bCs/>
          <w:rtl/>
        </w:rPr>
        <w:t>רשב"ם</w:t>
      </w:r>
      <w:r w:rsidRPr="009F36E0">
        <w:rPr>
          <w:rFonts w:ascii="Narkisim" w:hAnsi="Narkisim" w:cs="Narkisim"/>
          <w:rtl/>
        </w:rPr>
        <w:t xml:space="preserve"> (ב"ב קט.) כת' דילפי' מהך דרשא ד'עיין עליו' דבת פוטרת מיבום. ו</w:t>
      </w:r>
      <w:r w:rsidRPr="009F36E0">
        <w:rPr>
          <w:rFonts w:ascii="Narkisim" w:hAnsi="Narkisim" w:cs="Narkisim"/>
          <w:b/>
          <w:bCs/>
          <w:rtl/>
        </w:rPr>
        <w:t>ר"י</w:t>
      </w:r>
      <w:r w:rsidRPr="009F36E0">
        <w:rPr>
          <w:rFonts w:ascii="Narkisim" w:hAnsi="Narkisim" w:cs="Narkisim"/>
          <w:rtl/>
        </w:rPr>
        <w:t xml:space="preserve"> (בתוד"ה בן) חלק [בחד תי'] דמשמע דהך דרשא דרשי' לממזר</w:t>
      </w:r>
      <w:r w:rsidRPr="009F36E0">
        <w:rPr>
          <w:rStyle w:val="ac"/>
          <w:rFonts w:ascii="Narkisim" w:hAnsi="Narkisim" w:cs="Narkisim"/>
          <w:rtl/>
        </w:rPr>
        <w:footnoteReference w:id="1353"/>
      </w:r>
      <w:r w:rsidRPr="009F36E0">
        <w:rPr>
          <w:rFonts w:ascii="Narkisim" w:hAnsi="Narkisim" w:cs="Narkisim"/>
        </w:rPr>
        <w:t xml:space="preserve">. </w:t>
      </w:r>
      <w:r w:rsidRPr="009F36E0">
        <w:rPr>
          <w:rFonts w:ascii="Narkisim" w:hAnsi="Narkisim" w:cs="Narkisim"/>
          <w:rtl/>
        </w:rPr>
        <w:t>אלא ילפי' 'לא ימחה שמו</w:t>
      </w:r>
      <w:r w:rsidRPr="009F36E0">
        <w:rPr>
          <w:rFonts w:ascii="Narkisim" w:hAnsi="Narkisim" w:cs="Narkisim"/>
        </w:rPr>
        <w:t>'.</w:t>
      </w:r>
    </w:p>
    <w:p w14:paraId="64EEF760" w14:textId="77777777" w:rsidR="006074A5" w:rsidRPr="009F36E0" w:rsidRDefault="006074A5" w:rsidP="006074A5">
      <w:pPr>
        <w:pStyle w:val="a7"/>
        <w:bidi/>
        <w:rPr>
          <w:rFonts w:ascii="Narkisim" w:hAnsi="Narkisim"/>
        </w:rPr>
      </w:pPr>
      <w:r w:rsidRPr="009F36E0">
        <w:rPr>
          <w:rFonts w:ascii="Narkisim" w:hAnsi="Narkisim"/>
          <w:rtl/>
        </w:rPr>
        <w:t>וב</w:t>
      </w:r>
      <w:r w:rsidRPr="009F36E0">
        <w:rPr>
          <w:rFonts w:ascii="Narkisim" w:hAnsi="Narkisim"/>
          <w:b/>
          <w:bCs/>
          <w:rtl/>
        </w:rPr>
        <w:t>ספרי</w:t>
      </w:r>
      <w:r w:rsidRPr="009F36E0">
        <w:rPr>
          <w:rFonts w:ascii="Narkisim" w:hAnsi="Narkisim"/>
          <w:rtl/>
        </w:rPr>
        <w:t xml:space="preserve"> (הובא ברמב"ן) דרשי' ובן אין לו, בן הבן, הבת, ובת הבת, ובת בת הבת מנין. ת"ל ובן אין לו מ"מ</w:t>
      </w:r>
      <w:r w:rsidRPr="009F36E0">
        <w:rPr>
          <w:rStyle w:val="ac"/>
          <w:rFonts w:ascii="Narkisim" w:hAnsi="Narkisim"/>
          <w:rtl/>
        </w:rPr>
        <w:footnoteReference w:id="1354"/>
      </w:r>
      <w:r w:rsidRPr="009F36E0">
        <w:rPr>
          <w:rFonts w:ascii="Narkisim" w:hAnsi="Narkisim"/>
        </w:rPr>
        <w:t xml:space="preserve">. </w:t>
      </w:r>
      <w:r w:rsidRPr="009F36E0">
        <w:rPr>
          <w:rFonts w:ascii="Narkisim" w:hAnsi="Narkisim"/>
          <w:rtl/>
        </w:rPr>
        <w:t>והרמב"ן הביא דדרשי' אף 'בת' מעיין עליו</w:t>
      </w:r>
      <w:r w:rsidRPr="009F36E0">
        <w:rPr>
          <w:rFonts w:ascii="Narkisim" w:hAnsi="Narkisim"/>
        </w:rPr>
        <w:t>.</w:t>
      </w:r>
    </w:p>
    <w:p w14:paraId="3E950C52" w14:textId="77777777" w:rsidR="006074A5" w:rsidRPr="009F36E0" w:rsidRDefault="006074A5" w:rsidP="006074A5">
      <w:pPr>
        <w:pStyle w:val="a7"/>
        <w:bidi/>
        <w:rPr>
          <w:rFonts w:ascii="Narkisim" w:hAnsi="Narkisim"/>
        </w:rPr>
      </w:pPr>
      <w:r w:rsidRPr="009F36E0">
        <w:rPr>
          <w:rFonts w:ascii="Narkisim" w:hAnsi="Narkisim"/>
          <w:rtl/>
        </w:rPr>
        <w:t>אך ה</w:t>
      </w:r>
      <w:r w:rsidRPr="009F36E0">
        <w:rPr>
          <w:rFonts w:ascii="Narkisim" w:hAnsi="Narkisim"/>
          <w:b/>
          <w:bCs/>
          <w:rtl/>
        </w:rPr>
        <w:t>רמב"ן</w:t>
      </w:r>
      <w:r w:rsidRPr="009F36E0">
        <w:rPr>
          <w:rFonts w:ascii="Narkisim" w:hAnsi="Narkisim"/>
          <w:rtl/>
        </w:rPr>
        <w:t xml:space="preserve"> הק' דמשמעות 'עיין עליו', משמע על הבן. היינו זרעו של הנזכר בפסוק. והאיך מרבי' מינה בת. וכת' די"ל דכוונת הספרי דדרשי' עיין עליו לרבות בת הבן, והרי אתה דן ק"ו לבתו</w:t>
      </w:r>
      <w:r w:rsidRPr="009F36E0">
        <w:rPr>
          <w:rFonts w:ascii="Narkisim" w:hAnsi="Narkisim"/>
        </w:rPr>
        <w:t>.</w:t>
      </w:r>
    </w:p>
    <w:p w14:paraId="77067596" w14:textId="77777777" w:rsidR="006074A5" w:rsidRPr="009F36E0" w:rsidRDefault="006074A5" w:rsidP="006074A5">
      <w:pPr>
        <w:pStyle w:val="aa"/>
        <w:bidi/>
        <w:rPr>
          <w:rFonts w:ascii="Narkisim" w:hAnsi="Narkisim"/>
        </w:rPr>
      </w:pPr>
      <w:r w:rsidRPr="009F36E0">
        <w:rPr>
          <w:rFonts w:ascii="Narkisim" w:hAnsi="Narkisim"/>
          <w:rtl/>
        </w:rPr>
        <w:t>ועוד דן הרמב”ן ללמוד דהיכא דיש בת ליכא יבום, דיבום בנחלה תלא רחמנא. ואם יש לו בת או בת הבן ובת הבת היא קודמת לאח</w:t>
      </w:r>
      <w:r w:rsidRPr="009F36E0">
        <w:rPr>
          <w:rStyle w:val="ac"/>
          <w:rFonts w:ascii="Narkisim" w:hAnsi="Narkisim"/>
          <w:rtl/>
        </w:rPr>
        <w:footnoteReference w:id="1355"/>
      </w:r>
      <w:r w:rsidRPr="009F36E0">
        <w:rPr>
          <w:rFonts w:ascii="Narkisim" w:hAnsi="Narkisim"/>
        </w:rPr>
        <w:t xml:space="preserve">. </w:t>
      </w:r>
      <w:r w:rsidRPr="009F36E0">
        <w:rPr>
          <w:rFonts w:ascii="Narkisim" w:hAnsi="Narkisim"/>
          <w:rtl/>
        </w:rPr>
        <w:t>ודחה דסד"א דבמקום יבום אח קודם לכל יוצאי ירכו [חוץ מן הבן]. קמ"ל. ועוד כת' דאף בירושה ילפי' שקודם, (ב"ב קח:) דכלום יש יבום אלא במקום שאין בת</w:t>
      </w:r>
      <w:r w:rsidRPr="009F36E0">
        <w:rPr>
          <w:rFonts w:ascii="Narkisim" w:hAnsi="Narkisim"/>
        </w:rPr>
        <w:t>.</w:t>
      </w:r>
    </w:p>
    <w:p w14:paraId="4DD9E67D" w14:textId="77777777" w:rsidR="006074A5" w:rsidRPr="009F36E0" w:rsidRDefault="006074A5" w:rsidP="006074A5">
      <w:pPr>
        <w:pStyle w:val="aa"/>
        <w:bidi/>
        <w:rPr>
          <w:rFonts w:ascii="Narkisim" w:hAnsi="Narkisim"/>
        </w:rPr>
      </w:pPr>
      <w:r w:rsidRPr="009F36E0">
        <w:rPr>
          <w:rFonts w:ascii="Narkisim" w:hAnsi="Narkisim"/>
          <w:u w:val="single"/>
          <w:rtl/>
        </w:rPr>
        <w:t>תוד"ה בן.</w:t>
      </w:r>
      <w:r w:rsidRPr="009F36E0">
        <w:rPr>
          <w:rFonts w:ascii="Narkisim" w:hAnsi="Narkisim"/>
          <w:rtl/>
        </w:rPr>
        <w:t xml:space="preserve"> דזרע משמע אפי' בני בנים וכו'. וב</w:t>
      </w:r>
      <w:r w:rsidRPr="009F36E0">
        <w:rPr>
          <w:rFonts w:ascii="Narkisim" w:hAnsi="Narkisim"/>
          <w:b/>
          <w:bCs/>
          <w:rtl/>
        </w:rPr>
        <w:t>גהש"ס</w:t>
      </w:r>
      <w:r w:rsidRPr="009F36E0">
        <w:rPr>
          <w:rFonts w:ascii="Narkisim" w:hAnsi="Narkisim"/>
          <w:rtl/>
        </w:rPr>
        <w:t xml:space="preserve"> ציין לגמ' (סנהדרין סד: גבי מעביר בנו למולך) דס"ד דבנו ובתו דוקא, ודרשי' 'כי' לרבות בן בנו, 'מזרעו' לרבות זרע פסול</w:t>
      </w:r>
      <w:r w:rsidRPr="009F36E0">
        <w:rPr>
          <w:rStyle w:val="ac"/>
          <w:rFonts w:ascii="Narkisim" w:hAnsi="Narkisim"/>
          <w:rtl/>
        </w:rPr>
        <w:footnoteReference w:id="1356"/>
      </w:r>
      <w:r w:rsidRPr="009F36E0">
        <w:rPr>
          <w:rFonts w:ascii="Narkisim" w:hAnsi="Narkisim"/>
        </w:rPr>
        <w:t>.</w:t>
      </w:r>
    </w:p>
    <w:p w14:paraId="3B6C31F0" w14:textId="77777777" w:rsidR="006074A5" w:rsidRPr="009F36E0" w:rsidRDefault="006074A5" w:rsidP="006074A5">
      <w:pPr>
        <w:bidi/>
        <w:rPr>
          <w:rFonts w:ascii="Narkisim" w:hAnsi="Narkisim" w:cs="Narkisim"/>
        </w:rPr>
      </w:pPr>
      <w:r w:rsidRPr="009F36E0">
        <w:rPr>
          <w:rFonts w:ascii="Narkisim" w:hAnsi="Narkisim" w:cs="Narkisim"/>
          <w:u w:val="single"/>
          <w:rtl/>
        </w:rPr>
        <w:t>בא"ד ולענין בני בנים וכו' ובן לא משמע אלא הבן לבד וכו'</w:t>
      </w:r>
      <w:r w:rsidRPr="009F36E0">
        <w:rPr>
          <w:rFonts w:ascii="Narkisim" w:hAnsi="Narkisim" w:cs="Narkisim"/>
          <w:rtl/>
        </w:rPr>
        <w:t>. וה</w:t>
      </w:r>
      <w:r w:rsidRPr="009F36E0">
        <w:rPr>
          <w:rFonts w:ascii="Narkisim" w:hAnsi="Narkisim" w:cs="Narkisim"/>
          <w:b/>
          <w:bCs/>
          <w:rtl/>
        </w:rPr>
        <w:t>רא”ש</w:t>
      </w:r>
      <w:r w:rsidRPr="009F36E0">
        <w:rPr>
          <w:rFonts w:ascii="Narkisim" w:hAnsi="Narkisim" w:cs="Narkisim"/>
          <w:rtl/>
        </w:rPr>
        <w:t xml:space="preserve"> ו</w:t>
      </w:r>
      <w:r w:rsidRPr="009F36E0">
        <w:rPr>
          <w:rFonts w:ascii="Narkisim" w:hAnsi="Narkisim" w:cs="Narkisim"/>
          <w:b/>
          <w:bCs/>
          <w:rtl/>
        </w:rPr>
        <w:t xml:space="preserve">תוס' </w:t>
      </w:r>
      <w:r w:rsidRPr="009F36E0">
        <w:rPr>
          <w:rFonts w:ascii="Narkisim" w:hAnsi="Narkisim" w:cs="Narkisim"/>
          <w:rtl/>
        </w:rPr>
        <w:t xml:space="preserve">(ב"ב קטו. בשם </w:t>
      </w:r>
      <w:r w:rsidRPr="009F36E0">
        <w:rPr>
          <w:rFonts w:ascii="Narkisim" w:hAnsi="Narkisim" w:cs="Narkisim"/>
          <w:b/>
          <w:bCs/>
          <w:rtl/>
        </w:rPr>
        <w:t>ר"י</w:t>
      </w:r>
      <w:r w:rsidRPr="009F36E0">
        <w:rPr>
          <w:rFonts w:ascii="Narkisim" w:hAnsi="Narkisim" w:cs="Narkisim"/>
          <w:rtl/>
        </w:rPr>
        <w:t>) כת' דבני בנים כבנים לענין יבום נלמד מנחלה</w:t>
      </w:r>
      <w:r w:rsidRPr="009F36E0">
        <w:rPr>
          <w:rStyle w:val="ac"/>
          <w:rFonts w:ascii="Narkisim" w:hAnsi="Narkisim" w:cs="Narkisim"/>
          <w:rtl/>
        </w:rPr>
        <w:footnoteReference w:id="1357"/>
      </w:r>
      <w:r w:rsidRPr="009F36E0">
        <w:rPr>
          <w:rFonts w:ascii="Narkisim" w:hAnsi="Narkisim" w:cs="Narkisim"/>
        </w:rPr>
        <w:t xml:space="preserve">. </w:t>
      </w:r>
      <w:r w:rsidRPr="009F36E0">
        <w:rPr>
          <w:rFonts w:ascii="Narkisim" w:hAnsi="Narkisim" w:cs="Narkisim"/>
          <w:sz w:val="20"/>
          <w:szCs w:val="20"/>
          <w:rtl/>
        </w:rPr>
        <w:t>וה</w:t>
      </w:r>
      <w:r w:rsidRPr="009F36E0">
        <w:rPr>
          <w:rFonts w:ascii="Narkisim" w:hAnsi="Narkisim" w:cs="Narkisim"/>
          <w:b/>
          <w:bCs/>
          <w:sz w:val="20"/>
          <w:szCs w:val="20"/>
          <w:rtl/>
        </w:rPr>
        <w:t>קוב"ש</w:t>
      </w:r>
      <w:r w:rsidRPr="009F36E0">
        <w:rPr>
          <w:rFonts w:ascii="Narkisim" w:hAnsi="Narkisim" w:cs="Narkisim"/>
          <w:sz w:val="20"/>
          <w:szCs w:val="20"/>
          <w:rtl/>
        </w:rPr>
        <w:t xml:space="preserve"> (ב"ב שלג) הביא דלפ"ז מבואר דבן הבן נחשב יורש מזקינו [וכדאי' ב”ב קנט. מכח אבוה דאבא], ולא רק מדין משמוש בקבר</w:t>
      </w:r>
      <w:r w:rsidRPr="009F36E0">
        <w:rPr>
          <w:rFonts w:ascii="Narkisim" w:hAnsi="Narkisim" w:cs="Narkisim"/>
          <w:sz w:val="20"/>
          <w:szCs w:val="20"/>
        </w:rPr>
        <w:t>.</w:t>
      </w:r>
    </w:p>
    <w:p w14:paraId="40C48693" w14:textId="77777777" w:rsidR="006074A5" w:rsidRPr="009F36E0" w:rsidRDefault="006074A5" w:rsidP="006074A5">
      <w:pPr>
        <w:pStyle w:val="a7"/>
        <w:bidi/>
        <w:rPr>
          <w:rFonts w:ascii="Narkisim" w:hAnsi="Narkisim"/>
        </w:rPr>
      </w:pPr>
      <w:r w:rsidRPr="009F36E0">
        <w:rPr>
          <w:rFonts w:ascii="Narkisim" w:hAnsi="Narkisim"/>
          <w:rtl/>
        </w:rPr>
        <w:t xml:space="preserve">ועוד דנו </w:t>
      </w:r>
      <w:r w:rsidRPr="009F36E0">
        <w:rPr>
          <w:rFonts w:ascii="Narkisim" w:hAnsi="Narkisim"/>
          <w:b/>
          <w:bCs/>
          <w:rtl/>
        </w:rPr>
        <w:t>תוס</w:t>
      </w:r>
      <w:r w:rsidRPr="009F36E0">
        <w:rPr>
          <w:rFonts w:ascii="Narkisim" w:hAnsi="Narkisim"/>
          <w:rtl/>
        </w:rPr>
        <w:t xml:space="preserve">' (ב"ב שם) דאף בן הבן נלמד מעין עליו, או מאין שמו מחוי [ע' בסמוך]. </w:t>
      </w:r>
      <w:r w:rsidRPr="009F36E0">
        <w:rPr>
          <w:rFonts w:ascii="Narkisim" w:hAnsi="Narkisim"/>
          <w:sz w:val="20"/>
          <w:szCs w:val="20"/>
          <w:rtl/>
        </w:rPr>
        <w:t xml:space="preserve">[ותוס' </w:t>
      </w:r>
      <w:r w:rsidRPr="009F36E0">
        <w:rPr>
          <w:rFonts w:ascii="Narkisim" w:hAnsi="Narkisim"/>
          <w:sz w:val="20"/>
          <w:szCs w:val="20"/>
          <w:rtl/>
        </w:rPr>
        <w:lastRenderedPageBreak/>
        <w:t>דידן דחו דאי דרשי' קרא ביבום, נילף נחלה מיניה]</w:t>
      </w:r>
      <w:r w:rsidRPr="009F36E0">
        <w:rPr>
          <w:rFonts w:ascii="Narkisim" w:hAnsi="Narkisim"/>
          <w:sz w:val="20"/>
          <w:szCs w:val="20"/>
        </w:rPr>
        <w:t>.</w:t>
      </w:r>
    </w:p>
    <w:p w14:paraId="4E6B8CB1" w14:textId="77777777" w:rsidR="006074A5" w:rsidRPr="009F36E0" w:rsidRDefault="006074A5" w:rsidP="006074A5">
      <w:pPr>
        <w:pStyle w:val="aa"/>
        <w:bidi/>
        <w:rPr>
          <w:rFonts w:ascii="Narkisim" w:hAnsi="Narkisim"/>
        </w:rPr>
      </w:pPr>
      <w:r w:rsidRPr="009F36E0">
        <w:rPr>
          <w:rFonts w:ascii="Narkisim" w:hAnsi="Narkisim"/>
          <w:u w:val="single"/>
          <w:rtl/>
        </w:rPr>
        <w:t>בא"ד נראה לר"י פרט לזה שאין שמו מחוי</w:t>
      </w:r>
      <w:r w:rsidRPr="009F36E0">
        <w:rPr>
          <w:rFonts w:ascii="Narkisim" w:hAnsi="Narkisim"/>
          <w:rtl/>
        </w:rPr>
        <w:t>. ו</w:t>
      </w:r>
      <w:r w:rsidRPr="009F36E0">
        <w:rPr>
          <w:rFonts w:ascii="Narkisim" w:hAnsi="Narkisim"/>
          <w:b/>
          <w:bCs/>
          <w:rtl/>
        </w:rPr>
        <w:t>תוס'</w:t>
      </w:r>
      <w:r w:rsidRPr="009F36E0">
        <w:rPr>
          <w:rFonts w:ascii="Narkisim" w:hAnsi="Narkisim"/>
          <w:rtl/>
        </w:rPr>
        <w:t xml:space="preserve"> (ב"ב קט.) ביארו דאפ"ה איצטריך לרבות ממזר, דזרע פסול אכתי הוה שמו מחוי</w:t>
      </w:r>
      <w:r w:rsidRPr="009F36E0">
        <w:rPr>
          <w:rFonts w:ascii="Narkisim" w:hAnsi="Narkisim"/>
        </w:rPr>
        <w:t>.</w:t>
      </w:r>
    </w:p>
    <w:p w14:paraId="0F015398" w14:textId="77777777" w:rsidR="006074A5" w:rsidRPr="009F36E0" w:rsidRDefault="006074A5" w:rsidP="006074A5">
      <w:pPr>
        <w:pStyle w:val="aa"/>
        <w:bidi/>
        <w:rPr>
          <w:rFonts w:ascii="Narkisim" w:hAnsi="Narkisim"/>
        </w:rPr>
      </w:pPr>
      <w:r w:rsidRPr="009F36E0">
        <w:rPr>
          <w:rFonts w:ascii="Narkisim" w:hAnsi="Narkisim"/>
          <w:u w:val="single"/>
          <w:rtl/>
        </w:rPr>
        <w:t>שם</w:t>
      </w:r>
      <w:r w:rsidRPr="009F36E0">
        <w:rPr>
          <w:rFonts w:ascii="Narkisim" w:hAnsi="Narkisim"/>
          <w:rtl/>
        </w:rPr>
        <w:t>. ה</w:t>
      </w:r>
      <w:r w:rsidRPr="009F36E0">
        <w:rPr>
          <w:rFonts w:ascii="Narkisim" w:hAnsi="Narkisim"/>
          <w:b/>
          <w:bCs/>
          <w:rtl/>
        </w:rPr>
        <w:t>אחרונים</w:t>
      </w:r>
      <w:r w:rsidRPr="009F36E0">
        <w:rPr>
          <w:rFonts w:ascii="Narkisim" w:hAnsi="Narkisim"/>
          <w:rtl/>
        </w:rPr>
        <w:t xml:space="preserve"> הק' דמי שיש לו בן סריס [או בת אילונית], הא שמו מחוי</w:t>
      </w:r>
      <w:r w:rsidRPr="009F36E0">
        <w:rPr>
          <w:rStyle w:val="ac"/>
          <w:rFonts w:ascii="Narkisim" w:hAnsi="Narkisim"/>
          <w:rtl/>
        </w:rPr>
        <w:footnoteReference w:id="1358"/>
      </w:r>
      <w:r w:rsidRPr="009F36E0">
        <w:rPr>
          <w:rFonts w:ascii="Narkisim" w:hAnsi="Narkisim"/>
        </w:rPr>
        <w:t xml:space="preserve">. </w:t>
      </w:r>
      <w:r w:rsidRPr="009F36E0">
        <w:rPr>
          <w:rFonts w:ascii="Narkisim" w:hAnsi="Narkisim"/>
          <w:rtl/>
        </w:rPr>
        <w:t>ואמאי אין אשתו מתייבמת</w:t>
      </w:r>
      <w:r w:rsidRPr="009F36E0">
        <w:rPr>
          <w:rStyle w:val="ac"/>
          <w:rFonts w:ascii="Narkisim" w:hAnsi="Narkisim"/>
          <w:rtl/>
        </w:rPr>
        <w:footnoteReference w:id="1359"/>
      </w:r>
      <w:r w:rsidRPr="009F36E0">
        <w:rPr>
          <w:rFonts w:ascii="Narkisim" w:hAnsi="Narkisim"/>
        </w:rPr>
        <w:t>.</w:t>
      </w:r>
    </w:p>
    <w:p w14:paraId="40F0BA45" w14:textId="77777777" w:rsidR="006074A5" w:rsidRPr="009F36E0" w:rsidRDefault="006074A5" w:rsidP="006074A5">
      <w:pPr>
        <w:pStyle w:val="aa"/>
        <w:bidi/>
        <w:rPr>
          <w:rFonts w:ascii="Narkisim" w:hAnsi="Narkisim"/>
        </w:rPr>
      </w:pPr>
      <w:r w:rsidRPr="009F36E0">
        <w:rPr>
          <w:rFonts w:ascii="Narkisim" w:hAnsi="Narkisim"/>
          <w:u w:val="single"/>
          <w:rtl/>
        </w:rPr>
        <w:t>שם</w:t>
      </w:r>
      <w:r w:rsidRPr="009F36E0">
        <w:rPr>
          <w:rFonts w:ascii="Narkisim" w:hAnsi="Narkisim"/>
          <w:rtl/>
        </w:rPr>
        <w:t>. וה</w:t>
      </w:r>
      <w:r w:rsidRPr="009F36E0">
        <w:rPr>
          <w:rFonts w:ascii="Narkisim" w:hAnsi="Narkisim"/>
          <w:b/>
          <w:bCs/>
          <w:rtl/>
        </w:rPr>
        <w:t>רמב"ן</w:t>
      </w:r>
      <w:r w:rsidRPr="009F36E0">
        <w:rPr>
          <w:rFonts w:ascii="Narkisim" w:hAnsi="Narkisim"/>
          <w:rtl/>
        </w:rPr>
        <w:t xml:space="preserve"> הק' דאי מהתם אפי' בן הבן ובת הבת אין שמו מחוי, שהרי שמו עליו, וקמין תחתיו לנחלה. [ואמאי איצטריך ריבוי בספרי הנ”ל]</w:t>
      </w:r>
      <w:r w:rsidRPr="009F36E0">
        <w:rPr>
          <w:rFonts w:ascii="Narkisim" w:hAnsi="Narkisim"/>
        </w:rPr>
        <w:t>.</w:t>
      </w:r>
    </w:p>
    <w:p w14:paraId="6E26D0EA" w14:textId="77777777" w:rsidR="006074A5" w:rsidRPr="009F36E0" w:rsidRDefault="006074A5" w:rsidP="006074A5">
      <w:pPr>
        <w:bidi/>
        <w:rPr>
          <w:rFonts w:ascii="Narkisim" w:hAnsi="Narkisim" w:cs="Narkisim"/>
        </w:rPr>
      </w:pPr>
      <w:r w:rsidRPr="009F36E0">
        <w:rPr>
          <w:rFonts w:ascii="Narkisim" w:hAnsi="Narkisim" w:cs="Narkisim"/>
          <w:u w:val="single"/>
          <w:rtl/>
        </w:rPr>
        <w:t>אמאי קרי כאן, בעושה מעשה עמך.</w:t>
      </w:r>
      <w:r w:rsidRPr="009F36E0">
        <w:rPr>
          <w:rFonts w:ascii="Narkisim" w:hAnsi="Narkisim" w:cs="Narkisim"/>
          <w:rtl/>
        </w:rPr>
        <w:t xml:space="preserve"> ה</w:t>
      </w:r>
      <w:r w:rsidRPr="009F36E0">
        <w:rPr>
          <w:rFonts w:ascii="Narkisim" w:hAnsi="Narkisim" w:cs="Narkisim"/>
          <w:b/>
          <w:bCs/>
          <w:rtl/>
        </w:rPr>
        <w:t xml:space="preserve">קוב"ש </w:t>
      </w:r>
      <w:r w:rsidRPr="009F36E0">
        <w:rPr>
          <w:rFonts w:ascii="Narkisim" w:hAnsi="Narkisim" w:cs="Narkisim"/>
          <w:rtl/>
        </w:rPr>
        <w:t>(ב"ק קד) הביא דמבואר מכאן דאפי' עבר עבירה באקראי נחשב ד'אינו עושה מעשה עמך'. ודלא כמ"ש ה</w:t>
      </w:r>
      <w:r w:rsidRPr="009F36E0">
        <w:rPr>
          <w:rFonts w:ascii="Narkisim" w:hAnsi="Narkisim" w:cs="Narkisim"/>
          <w:b/>
          <w:bCs/>
          <w:rtl/>
        </w:rPr>
        <w:t>ש"ך</w:t>
      </w:r>
      <w:r w:rsidRPr="009F36E0">
        <w:rPr>
          <w:rFonts w:ascii="Narkisim" w:hAnsi="Narkisim" w:cs="Narkisim"/>
          <w:sz w:val="20"/>
          <w:szCs w:val="20"/>
          <w:rtl/>
        </w:rPr>
        <w:t xml:space="preserve"> (יו"ד רנא א לענין צדקה)</w:t>
      </w:r>
      <w:r w:rsidRPr="009F36E0">
        <w:rPr>
          <w:rFonts w:ascii="Narkisim" w:hAnsi="Narkisim" w:cs="Narkisim"/>
          <w:rtl/>
        </w:rPr>
        <w:t xml:space="preserve"> דרק עבריין שרגיל לעבור אין חיוב להחיות</w:t>
      </w:r>
      <w:r w:rsidRPr="009F36E0">
        <w:rPr>
          <w:rStyle w:val="ac"/>
          <w:rFonts w:ascii="Narkisim" w:hAnsi="Narkisim" w:cs="Narkisim"/>
          <w:rtl/>
        </w:rPr>
        <w:footnoteReference w:id="1360"/>
      </w:r>
      <w:r w:rsidRPr="009F36E0">
        <w:rPr>
          <w:rFonts w:ascii="Narkisim" w:hAnsi="Narkisim" w:cs="Narkisim"/>
        </w:rPr>
        <w:t xml:space="preserve">, </w:t>
      </w:r>
      <w:r w:rsidRPr="009F36E0">
        <w:rPr>
          <w:rFonts w:ascii="Narkisim" w:hAnsi="Narkisim" w:cs="Narkisim"/>
          <w:rtl/>
        </w:rPr>
        <w:t>אבל מי שעבר רק פעם א' לתאבון לא יצא מכלל אחוה. וה</w:t>
      </w:r>
      <w:r w:rsidRPr="009F36E0">
        <w:rPr>
          <w:rFonts w:ascii="Narkisim" w:hAnsi="Narkisim" w:cs="Narkisim"/>
          <w:b/>
          <w:bCs/>
          <w:rtl/>
        </w:rPr>
        <w:t>קוב"ש</w:t>
      </w:r>
      <w:r w:rsidRPr="009F36E0">
        <w:rPr>
          <w:rFonts w:ascii="Narkisim" w:hAnsi="Narkisim" w:cs="Narkisim"/>
          <w:rtl/>
        </w:rPr>
        <w:t xml:space="preserve"> תי' דהכא ס"ד דאיירי דלא חזר בתשובה, וכיון דחייב לחזור בתשובה ואינו חוזר תו לא הוי אקראי. [והביא שכן משמע בדברי היראים קנו]</w:t>
      </w:r>
      <w:r w:rsidRPr="009F36E0">
        <w:rPr>
          <w:rFonts w:ascii="Narkisim" w:hAnsi="Narkisim" w:cs="Narkisim"/>
        </w:rPr>
        <w:t>.</w:t>
      </w:r>
    </w:p>
    <w:p w14:paraId="622997C4"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רש"ש</w:t>
      </w:r>
      <w:r w:rsidRPr="009F36E0">
        <w:rPr>
          <w:rFonts w:ascii="Narkisim" w:hAnsi="Narkisim" w:cs="Narkisim"/>
          <w:rtl/>
        </w:rPr>
        <w:t xml:space="preserve"> וה</w:t>
      </w:r>
      <w:r w:rsidRPr="009F36E0">
        <w:rPr>
          <w:rFonts w:ascii="Narkisim" w:hAnsi="Narkisim" w:cs="Narkisim"/>
          <w:b/>
          <w:bCs/>
          <w:rtl/>
        </w:rPr>
        <w:t>מנח"ח</w:t>
      </w:r>
      <w:r w:rsidRPr="009F36E0">
        <w:rPr>
          <w:rFonts w:ascii="Narkisim" w:hAnsi="Narkisim" w:cs="Narkisim"/>
          <w:rtl/>
        </w:rPr>
        <w:t xml:space="preserve"> (מח טו) הק' אמאי לא העמידו דעבר בשוגג</w:t>
      </w:r>
      <w:r w:rsidRPr="009F36E0">
        <w:rPr>
          <w:rStyle w:val="ac"/>
          <w:rFonts w:ascii="Narkisim" w:hAnsi="Narkisim" w:cs="Narkisim"/>
          <w:rtl/>
        </w:rPr>
        <w:footnoteReference w:id="1361"/>
      </w:r>
      <w:r w:rsidRPr="009F36E0">
        <w:rPr>
          <w:rFonts w:ascii="Narkisim" w:hAnsi="Narkisim" w:cs="Narkisim"/>
        </w:rPr>
        <w:t xml:space="preserve">. </w:t>
      </w:r>
      <w:r w:rsidRPr="009F36E0">
        <w:rPr>
          <w:rFonts w:ascii="Narkisim" w:hAnsi="Narkisim" w:cs="Narkisim"/>
          <w:rtl/>
        </w:rPr>
        <w:t>והביאו דאף אם עבר בשוגג, כיון דנודע לו ואינו עושה תשובה [ולא הביא קרבן] נחשב אינו עושה מעשה עמך. וה</w:t>
      </w:r>
      <w:r w:rsidRPr="009F36E0">
        <w:rPr>
          <w:rFonts w:ascii="Narkisim" w:hAnsi="Narkisim" w:cs="Narkisim"/>
          <w:b/>
          <w:bCs/>
          <w:rtl/>
        </w:rPr>
        <w:t>מנח"ח</w:t>
      </w:r>
      <w:r w:rsidRPr="009F36E0">
        <w:rPr>
          <w:rFonts w:ascii="Narkisim" w:hAnsi="Narkisim" w:cs="Narkisim"/>
          <w:rtl/>
        </w:rPr>
        <w:t xml:space="preserve"> כת' דאם לא נודע לו ודאי נחשב עושה מעשה עמך, אלא דלא מסתבר להעמיד כשלא נודע</w:t>
      </w:r>
      <w:r w:rsidRPr="009F36E0">
        <w:rPr>
          <w:rFonts w:ascii="Narkisim" w:hAnsi="Narkisim" w:cs="Narkisim"/>
        </w:rPr>
        <w:t>.</w:t>
      </w:r>
    </w:p>
    <w:p w14:paraId="70B036A8" w14:textId="77777777" w:rsidR="006074A5" w:rsidRPr="009F36E0" w:rsidRDefault="006074A5" w:rsidP="006074A5">
      <w:pPr>
        <w:bidi/>
        <w:rPr>
          <w:rFonts w:ascii="Narkisim" w:hAnsi="Narkisim" w:cs="Narkisim"/>
        </w:rPr>
      </w:pPr>
      <w:r w:rsidRPr="009F36E0">
        <w:rPr>
          <w:rFonts w:ascii="Narkisim" w:hAnsi="Narkisim" w:cs="Narkisim"/>
          <w:u w:val="single"/>
          <w:rtl/>
        </w:rPr>
        <w:t>והאי בר תשובה וכו' השתא מיהא עושה מעשה עמך הוא</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דקו' הגמ' דכיון דעוונו גלוי ונזכר</w:t>
      </w:r>
      <w:r w:rsidRPr="009F36E0">
        <w:rPr>
          <w:rStyle w:val="ac"/>
          <w:rFonts w:ascii="Narkisim" w:hAnsi="Narkisim" w:cs="Narkisim"/>
          <w:rtl/>
        </w:rPr>
        <w:footnoteReference w:id="1362"/>
      </w:r>
      <w:r w:rsidRPr="009F36E0">
        <w:rPr>
          <w:rFonts w:ascii="Narkisim" w:hAnsi="Narkisim" w:cs="Narkisim"/>
        </w:rPr>
        <w:t xml:space="preserve"> </w:t>
      </w:r>
      <w:r w:rsidRPr="009F36E0">
        <w:rPr>
          <w:rFonts w:ascii="Narkisim" w:hAnsi="Narkisim" w:cs="Narkisim"/>
          <w:rtl/>
        </w:rPr>
        <w:t xml:space="preserve">ל"ש בזה תשובה. קמ"ל דמכאן ולהבא </w:t>
      </w:r>
      <w:r w:rsidRPr="009F36E0">
        <w:rPr>
          <w:rFonts w:ascii="Narkisim" w:hAnsi="Narkisim" w:cs="Narkisim"/>
          <w:szCs w:val="20"/>
          <w:rtl/>
        </w:rPr>
        <w:t xml:space="preserve">[מתשובה ואילך] </w:t>
      </w:r>
      <w:r w:rsidRPr="009F36E0">
        <w:rPr>
          <w:rFonts w:ascii="Narkisim" w:hAnsi="Narkisim" w:cs="Narkisim"/>
          <w:rtl/>
        </w:rPr>
        <w:t>נחשב עושה מעשה עמך. וה</w:t>
      </w:r>
      <w:r w:rsidRPr="009F36E0">
        <w:rPr>
          <w:rFonts w:ascii="Narkisim" w:hAnsi="Narkisim" w:cs="Narkisim"/>
          <w:b/>
          <w:bCs/>
          <w:rtl/>
        </w:rPr>
        <w:t>קובה"ע</w:t>
      </w:r>
      <w:r w:rsidRPr="009F36E0">
        <w:rPr>
          <w:rFonts w:ascii="Narkisim" w:hAnsi="Narkisim" w:cs="Narkisim"/>
          <w:rtl/>
        </w:rPr>
        <w:t xml:space="preserve"> (כא כד) ביאר דנתחדש בתשובה שעוקרת את החטא למפרע, וכשהוליד ממזר ל”מ. אבל מכאן ולהבא נעקר [דעושה מעשה עמך</w:t>
      </w:r>
      <w:r w:rsidRPr="009F36E0">
        <w:rPr>
          <w:rStyle w:val="ac"/>
          <w:rFonts w:ascii="Narkisim" w:hAnsi="Narkisim" w:cs="Narkisim"/>
          <w:rtl/>
        </w:rPr>
        <w:footnoteReference w:id="1363"/>
      </w:r>
      <w:r w:rsidRPr="009F36E0">
        <w:rPr>
          <w:rFonts w:ascii="Narkisim" w:hAnsi="Narkisim" w:cs="Narkisim"/>
          <w:rtl/>
        </w:rPr>
        <w:t xml:space="preserve">]. </w:t>
      </w:r>
      <w:r w:rsidRPr="009F36E0">
        <w:rPr>
          <w:rFonts w:ascii="Narkisim" w:hAnsi="Narkisim" w:cs="Narkisim"/>
          <w:sz w:val="20"/>
          <w:szCs w:val="20"/>
          <w:rtl/>
        </w:rPr>
        <w:t>ובקובה"ע נסתפק דאף בגזלן, כשיש אונס ולא החזיר הגזילה האם הוא כשר לעדות</w:t>
      </w:r>
      <w:r w:rsidRPr="009F36E0">
        <w:rPr>
          <w:rFonts w:ascii="Narkisim" w:hAnsi="Narkisim" w:cs="Narkisim"/>
          <w:sz w:val="20"/>
          <w:szCs w:val="20"/>
        </w:rPr>
        <w:t>.</w:t>
      </w:r>
    </w:p>
    <w:p w14:paraId="332DBFEC" w14:textId="77777777" w:rsidR="006074A5" w:rsidRPr="009F36E0" w:rsidRDefault="006074A5" w:rsidP="006074A5">
      <w:pPr>
        <w:pStyle w:val="a7"/>
        <w:bidi/>
        <w:rPr>
          <w:rFonts w:ascii="Narkisim" w:hAnsi="Narkisim"/>
        </w:rPr>
      </w:pPr>
      <w:r w:rsidRPr="009F36E0">
        <w:rPr>
          <w:rFonts w:ascii="Narkisim" w:hAnsi="Narkisim"/>
          <w:rtl/>
        </w:rPr>
        <w:t xml:space="preserve">אבל דעת </w:t>
      </w:r>
      <w:r w:rsidRPr="009F36E0">
        <w:rPr>
          <w:rFonts w:ascii="Narkisim" w:hAnsi="Narkisim"/>
          <w:b/>
          <w:bCs/>
          <w:rtl/>
        </w:rPr>
        <w:t>ר' חיים</w:t>
      </w:r>
      <w:r w:rsidRPr="009F36E0">
        <w:rPr>
          <w:rFonts w:ascii="Narkisim" w:hAnsi="Narkisim"/>
          <w:rtl/>
        </w:rPr>
        <w:t xml:space="preserve"> </w:t>
      </w:r>
      <w:r w:rsidRPr="009F36E0">
        <w:rPr>
          <w:rFonts w:ascii="Narkisim" w:hAnsi="Narkisim"/>
          <w:sz w:val="20"/>
          <w:szCs w:val="20"/>
          <w:rtl/>
        </w:rPr>
        <w:t>(בתוס' ב"ב פח:, הובא לעיל כא.)</w:t>
      </w:r>
      <w:r w:rsidRPr="009F36E0">
        <w:rPr>
          <w:rFonts w:ascii="Narkisim" w:hAnsi="Narkisim"/>
          <w:rtl/>
        </w:rPr>
        <w:t xml:space="preserve"> דבעריות אף שהוליד ממזר מתקיים התשובה המוטלת עליו. ולא דמי לגזלן דהתורה צוותה שיחזיר, ואף אם לא החזיר מחמת אונס מ”מ לא השלים דין התשובה. </w:t>
      </w:r>
      <w:r w:rsidRPr="009F36E0">
        <w:rPr>
          <w:rFonts w:ascii="Narkisim" w:hAnsi="Narkisim"/>
          <w:sz w:val="20"/>
          <w:szCs w:val="20"/>
          <w:rtl/>
        </w:rPr>
        <w:t>[וצ"ב לפ"ז דברי הגמ' כאן]</w:t>
      </w:r>
      <w:r w:rsidRPr="009F36E0">
        <w:rPr>
          <w:rFonts w:ascii="Narkisim" w:hAnsi="Narkisim"/>
          <w:sz w:val="20"/>
          <w:szCs w:val="20"/>
        </w:rPr>
        <w:t>.</w:t>
      </w:r>
    </w:p>
    <w:p w14:paraId="7D2881FE" w14:textId="77777777" w:rsidR="006074A5" w:rsidRPr="009F36E0" w:rsidRDefault="006074A5" w:rsidP="006074A5">
      <w:pPr>
        <w:bidi/>
        <w:rPr>
          <w:rFonts w:ascii="Narkisim" w:hAnsi="Narkisim" w:cs="Narkisim"/>
        </w:rPr>
      </w:pPr>
      <w:r w:rsidRPr="009F36E0">
        <w:rPr>
          <w:rFonts w:ascii="Narkisim" w:hAnsi="Narkisim" w:cs="Narkisim"/>
          <w:u w:val="single"/>
          <w:rtl/>
        </w:rPr>
        <w:t>תוד"ה כשעשה תשובה.</w:t>
      </w:r>
      <w:r w:rsidRPr="009F36E0">
        <w:rPr>
          <w:rFonts w:ascii="Narkisim" w:hAnsi="Narkisim" w:cs="Narkisim"/>
          <w:rtl/>
        </w:rPr>
        <w:t xml:space="preserve"> והא דאמר בסנהדרין וכו' התם כשעשה תשובה</w:t>
      </w:r>
      <w:r w:rsidRPr="009F36E0">
        <w:rPr>
          <w:rStyle w:val="ac"/>
          <w:rFonts w:ascii="Narkisim" w:hAnsi="Narkisim" w:cs="Narkisim"/>
          <w:rtl/>
        </w:rPr>
        <w:footnoteReference w:id="1364"/>
      </w:r>
      <w:r w:rsidRPr="009F36E0">
        <w:rPr>
          <w:rFonts w:ascii="Narkisim" w:hAnsi="Narkisim" w:cs="Narkisim"/>
        </w:rPr>
        <w:t xml:space="preserve">. </w:t>
      </w:r>
      <w:r w:rsidRPr="009F36E0">
        <w:rPr>
          <w:rFonts w:ascii="Narkisim" w:hAnsi="Narkisim" w:cs="Narkisim"/>
          <w:rtl/>
        </w:rPr>
        <w:t>אבל ה</w:t>
      </w:r>
      <w:r w:rsidRPr="009F36E0">
        <w:rPr>
          <w:rFonts w:ascii="Narkisim" w:hAnsi="Narkisim" w:cs="Narkisim"/>
          <w:b/>
          <w:bCs/>
          <w:rtl/>
        </w:rPr>
        <w:t>רי"ף</w:t>
      </w:r>
      <w:r w:rsidRPr="009F36E0">
        <w:rPr>
          <w:rFonts w:ascii="Narkisim" w:hAnsi="Narkisim" w:cs="Narkisim"/>
          <w:sz w:val="20"/>
          <w:szCs w:val="20"/>
          <w:rtl/>
        </w:rPr>
        <w:t xml:space="preserve"> (וה</w:t>
      </w:r>
      <w:r w:rsidRPr="009F36E0">
        <w:rPr>
          <w:rFonts w:ascii="Narkisim" w:hAnsi="Narkisim" w:cs="Narkisim"/>
          <w:b/>
          <w:bCs/>
          <w:sz w:val="20"/>
          <w:szCs w:val="20"/>
          <w:rtl/>
        </w:rPr>
        <w:t>רמב"ם</w:t>
      </w:r>
      <w:r w:rsidRPr="009F36E0">
        <w:rPr>
          <w:rFonts w:ascii="Narkisim" w:hAnsi="Narkisim" w:cs="Narkisim"/>
          <w:sz w:val="20"/>
          <w:szCs w:val="20"/>
          <w:rtl/>
        </w:rPr>
        <w:t xml:space="preserve"> ממרים ה יג) </w:t>
      </w:r>
      <w:r w:rsidRPr="009F36E0">
        <w:rPr>
          <w:rFonts w:ascii="Narkisim" w:hAnsi="Narkisim" w:cs="Narkisim"/>
          <w:rtl/>
        </w:rPr>
        <w:t>הביא משם דאע"ג דחיובא ליכא, איסורא איכא להלקותו</w:t>
      </w:r>
      <w:r w:rsidRPr="009F36E0">
        <w:rPr>
          <w:rFonts w:ascii="Narkisim" w:hAnsi="Narkisim" w:cs="Narkisim"/>
        </w:rPr>
        <w:t>.</w:t>
      </w:r>
    </w:p>
    <w:p w14:paraId="160FF57F"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גר"א</w:t>
      </w:r>
      <w:r w:rsidRPr="009F36E0">
        <w:rPr>
          <w:rFonts w:ascii="Narkisim" w:hAnsi="Narkisim"/>
          <w:rtl/>
        </w:rPr>
        <w:t xml:space="preserve"> (יו"ד רמא ו) הכריע כדברי התוס', דאין לחלק בין חיוב לאיסור, דהמיעוט לא נכתב אצל החיוב. וצ"ב לרי"ף ורמב"ם מנלן דיש בזה איסור</w:t>
      </w:r>
      <w:r w:rsidRPr="009F36E0">
        <w:rPr>
          <w:rStyle w:val="ac"/>
          <w:rFonts w:ascii="Narkisim" w:hAnsi="Narkisim"/>
          <w:rtl/>
        </w:rPr>
        <w:footnoteReference w:id="1365"/>
      </w:r>
      <w:r w:rsidRPr="009F36E0">
        <w:rPr>
          <w:rFonts w:ascii="Narkisim" w:hAnsi="Narkisim"/>
        </w:rPr>
        <w:t xml:space="preserve">. </w:t>
      </w:r>
      <w:r w:rsidRPr="009F36E0">
        <w:rPr>
          <w:rFonts w:ascii="Narkisim" w:hAnsi="Narkisim"/>
          <w:rtl/>
        </w:rPr>
        <w:t>וה</w:t>
      </w:r>
      <w:r w:rsidRPr="009F36E0">
        <w:rPr>
          <w:rFonts w:ascii="Narkisim" w:hAnsi="Narkisim"/>
          <w:b/>
          <w:bCs/>
          <w:rtl/>
        </w:rPr>
        <w:t>ב"ח</w:t>
      </w:r>
      <w:r w:rsidRPr="009F36E0">
        <w:rPr>
          <w:rFonts w:ascii="Narkisim" w:hAnsi="Narkisim"/>
          <w:rtl/>
        </w:rPr>
        <w:t xml:space="preserve"> (יו"ד רמ, ורמא, וחש”ל כאן) כת' דאסור רק מדרבנן</w:t>
      </w:r>
      <w:r w:rsidRPr="009F36E0">
        <w:rPr>
          <w:rFonts w:ascii="Narkisim" w:hAnsi="Narkisim"/>
        </w:rPr>
        <w:t>.</w:t>
      </w:r>
    </w:p>
    <w:p w14:paraId="7D49C54D"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דהרמב"ם לשיטתו דס"ל (שם ו יא) מצווה בכיבוד אביו רשע</w:t>
      </w:r>
      <w:r w:rsidRPr="009F36E0">
        <w:rPr>
          <w:rStyle w:val="ac"/>
          <w:rFonts w:ascii="Narkisim" w:hAnsi="Narkisim"/>
          <w:rtl/>
        </w:rPr>
        <w:footnoteReference w:id="1366"/>
      </w:r>
      <w:r w:rsidRPr="009F36E0">
        <w:rPr>
          <w:rFonts w:ascii="Narkisim" w:hAnsi="Narkisim"/>
        </w:rPr>
        <w:t xml:space="preserve">. </w:t>
      </w:r>
      <w:r w:rsidRPr="009F36E0">
        <w:rPr>
          <w:rFonts w:ascii="Narkisim" w:hAnsi="Narkisim"/>
          <w:rtl/>
        </w:rPr>
        <w:t>ומש"ה אסור להלקותו דהא מבטל מצוות כיבוד אב</w:t>
      </w:r>
      <w:r w:rsidRPr="009F36E0">
        <w:rPr>
          <w:rFonts w:ascii="Narkisim" w:hAnsi="Narkisim"/>
        </w:rPr>
        <w:t>.</w:t>
      </w:r>
    </w:p>
    <w:p w14:paraId="122315B5"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אבי עזרי</w:t>
      </w:r>
      <w:r w:rsidRPr="009F36E0">
        <w:rPr>
          <w:rFonts w:ascii="Narkisim" w:hAnsi="Narkisim"/>
          <w:rtl/>
        </w:rPr>
        <w:t xml:space="preserve"> (ממרים ה יב) ביאר דבפרשת מקלל אביו ואמו אין מיעוט דאינו עושה מעשה עמך, אלא דאזהרת מקלל אב נלמד מהאיסור לכל אדם [וכדאי' בסנהדרין פה:]. ובאיסור לקלל כל אדם נתמעט רשע שאינו עושה מעשה עמך. וממילא אף מקלל אביו אינו חייב עליו, דאין עונשין אא"כ מזהירין, אבל אין מיעוט בעצם האיסור</w:t>
      </w:r>
      <w:r w:rsidRPr="009F36E0">
        <w:rPr>
          <w:rFonts w:ascii="Narkisim" w:hAnsi="Narkisim"/>
        </w:rPr>
        <w:t>.</w:t>
      </w:r>
    </w:p>
    <w:p w14:paraId="6704889C" w14:textId="77777777" w:rsidR="006074A5" w:rsidRPr="009F36E0" w:rsidRDefault="006074A5" w:rsidP="006074A5">
      <w:pPr>
        <w:pStyle w:val="aa"/>
        <w:bidi/>
        <w:rPr>
          <w:rFonts w:ascii="Narkisim" w:hAnsi="Narkisim"/>
        </w:rPr>
      </w:pPr>
      <w:r w:rsidRPr="009F36E0">
        <w:rPr>
          <w:rFonts w:ascii="Narkisim" w:hAnsi="Narkisim"/>
          <w:u w:val="single"/>
          <w:rtl/>
        </w:rPr>
        <w:lastRenderedPageBreak/>
        <w:t>בא"ד שנתחייב בו נידוי, אע"פ שעשה תשובה לא מיפטר.</w:t>
      </w:r>
      <w:r w:rsidRPr="009F36E0">
        <w:rPr>
          <w:rFonts w:ascii="Narkisim" w:hAnsi="Narkisim"/>
          <w:rtl/>
        </w:rPr>
        <w:t xml:space="preserve"> וכ"כ ה</w:t>
      </w:r>
      <w:r w:rsidRPr="009F36E0">
        <w:rPr>
          <w:rFonts w:ascii="Narkisim" w:hAnsi="Narkisim"/>
          <w:b/>
          <w:bCs/>
          <w:rtl/>
        </w:rPr>
        <w:t>כס"מ</w:t>
      </w:r>
      <w:r w:rsidRPr="009F36E0">
        <w:rPr>
          <w:rFonts w:ascii="Narkisim" w:hAnsi="Narkisim"/>
          <w:rtl/>
        </w:rPr>
        <w:t xml:space="preserve"> (סנהדרין כו ו), וכן ה</w:t>
      </w:r>
      <w:r w:rsidRPr="009F36E0">
        <w:rPr>
          <w:rFonts w:ascii="Narkisim" w:hAnsi="Narkisim"/>
          <w:b/>
          <w:bCs/>
          <w:rtl/>
        </w:rPr>
        <w:t>משנ"ל</w:t>
      </w:r>
      <w:r w:rsidRPr="009F36E0">
        <w:rPr>
          <w:rFonts w:ascii="Narkisim" w:hAnsi="Narkisim"/>
          <w:rtl/>
        </w:rPr>
        <w:t xml:space="preserve"> (ת"ת ו יב) הביא דברי התוס'. וכ”פ ה</w:t>
      </w:r>
      <w:r w:rsidRPr="009F36E0">
        <w:rPr>
          <w:rFonts w:ascii="Narkisim" w:hAnsi="Narkisim"/>
          <w:b/>
          <w:bCs/>
          <w:rtl/>
        </w:rPr>
        <w:t>פנים מאירות</w:t>
      </w:r>
      <w:r w:rsidRPr="009F36E0">
        <w:rPr>
          <w:rFonts w:ascii="Narkisim" w:hAnsi="Narkisim"/>
          <w:rtl/>
        </w:rPr>
        <w:t xml:space="preserve"> (א צ). וה</w:t>
      </w:r>
      <w:r w:rsidRPr="009F36E0">
        <w:rPr>
          <w:rFonts w:ascii="Narkisim" w:hAnsi="Narkisim"/>
          <w:b/>
          <w:bCs/>
          <w:rtl/>
        </w:rPr>
        <w:t>מים חיים</w:t>
      </w:r>
      <w:r w:rsidRPr="009F36E0">
        <w:rPr>
          <w:rFonts w:ascii="Narkisim" w:hAnsi="Narkisim"/>
          <w:rtl/>
        </w:rPr>
        <w:t xml:space="preserve"> (על הרמב"ם ממרים ו יד) כתב דלפי מה שה</w:t>
      </w:r>
      <w:r w:rsidRPr="009F36E0">
        <w:rPr>
          <w:rFonts w:ascii="Narkisim" w:hAnsi="Narkisim"/>
          <w:b/>
          <w:bCs/>
          <w:rtl/>
        </w:rPr>
        <w:t>רי"ף</w:t>
      </w:r>
      <w:r w:rsidRPr="009F36E0">
        <w:rPr>
          <w:rFonts w:ascii="Narkisim" w:hAnsi="Narkisim"/>
          <w:rtl/>
        </w:rPr>
        <w:t xml:space="preserve"> וה</w:t>
      </w:r>
      <w:r w:rsidRPr="009F36E0">
        <w:rPr>
          <w:rFonts w:ascii="Narkisim" w:hAnsi="Narkisim"/>
          <w:b/>
          <w:bCs/>
          <w:rtl/>
        </w:rPr>
        <w:t>רמב"ם</w:t>
      </w:r>
      <w:r w:rsidRPr="009F36E0">
        <w:rPr>
          <w:rFonts w:ascii="Narkisim" w:hAnsi="Narkisim"/>
          <w:rtl/>
        </w:rPr>
        <w:t xml:space="preserve"> העמידו את הגמ' בסנהדרין בלא עשה תשובה אין ראיה לזה. וי"ל דכשעשה תשובה פקע חיובו. וכ"כ ב</w:t>
      </w:r>
      <w:r w:rsidRPr="009F36E0">
        <w:rPr>
          <w:rFonts w:ascii="Narkisim" w:hAnsi="Narkisim"/>
          <w:b/>
          <w:bCs/>
          <w:rtl/>
        </w:rPr>
        <w:t>שו"ת שבות יעקב</w:t>
      </w:r>
      <w:r w:rsidRPr="009F36E0">
        <w:rPr>
          <w:rFonts w:ascii="Narkisim" w:hAnsi="Narkisim"/>
          <w:rtl/>
        </w:rPr>
        <w:t xml:space="preserve"> (ב קיג) דלדעת הרי"ף והרמב"ם דאין לך דבר שעומד בפני התשובה, ולא משמתינן ליה</w:t>
      </w:r>
      <w:r w:rsidRPr="009F36E0">
        <w:rPr>
          <w:rFonts w:ascii="Narkisim" w:hAnsi="Narkisim"/>
        </w:rPr>
        <w:t>.</w:t>
      </w:r>
    </w:p>
    <w:p w14:paraId="33F9A9EE" w14:textId="77777777" w:rsidR="006074A5" w:rsidRPr="009F36E0" w:rsidRDefault="006074A5" w:rsidP="006074A5">
      <w:pPr>
        <w:bidi/>
        <w:rPr>
          <w:rFonts w:ascii="Narkisim" w:hAnsi="Narkisim" w:cs="Narkisim"/>
        </w:rPr>
      </w:pPr>
      <w:r w:rsidRPr="009F36E0">
        <w:rPr>
          <w:rFonts w:ascii="Narkisim" w:hAnsi="Narkisim" w:cs="Narkisim"/>
          <w:u w:val="single"/>
          <w:rtl/>
        </w:rPr>
        <w:t>ת"ר חייב משום אחותו ומשום בת אשת אביו.</w:t>
      </w:r>
      <w:r w:rsidRPr="009F36E0">
        <w:rPr>
          <w:rFonts w:ascii="Narkisim" w:hAnsi="Narkisim" w:cs="Narkisim"/>
          <w:rtl/>
        </w:rPr>
        <w:t xml:space="preserve"> וחייב ב' מלקיות, ובשוגג ב' קרבנות, וכן ה</w:t>
      </w:r>
      <w:r w:rsidRPr="009F36E0">
        <w:rPr>
          <w:rFonts w:ascii="Narkisim" w:hAnsi="Narkisim" w:cs="Narkisim"/>
          <w:b/>
          <w:bCs/>
          <w:rtl/>
        </w:rPr>
        <w:t>רמב"ם</w:t>
      </w:r>
      <w:r w:rsidRPr="009F36E0">
        <w:rPr>
          <w:rFonts w:ascii="Narkisim" w:hAnsi="Narkisim" w:cs="Narkisim"/>
          <w:rtl/>
        </w:rPr>
        <w:t xml:space="preserve"> (ל"ת שלג, ובס' ה</w:t>
      </w:r>
      <w:r w:rsidRPr="009F36E0">
        <w:rPr>
          <w:rFonts w:ascii="Narkisim" w:hAnsi="Narkisim" w:cs="Narkisim"/>
          <w:b/>
          <w:bCs/>
          <w:rtl/>
        </w:rPr>
        <w:t>חינוך</w:t>
      </w:r>
      <w:r w:rsidRPr="009F36E0">
        <w:rPr>
          <w:rFonts w:ascii="Narkisim" w:hAnsi="Narkisim" w:cs="Narkisim"/>
          <w:rtl/>
        </w:rPr>
        <w:t xml:space="preserve"> מצוה קצב וקצו) מנאו ב' לאוין</w:t>
      </w:r>
      <w:r w:rsidRPr="009F36E0">
        <w:rPr>
          <w:rFonts w:ascii="Narkisim" w:hAnsi="Narkisim" w:cs="Narkisim"/>
        </w:rPr>
        <w:t>.</w:t>
      </w:r>
    </w:p>
    <w:p w14:paraId="0BF8E076" w14:textId="77777777" w:rsidR="006074A5" w:rsidRPr="009F36E0" w:rsidRDefault="006074A5" w:rsidP="006074A5">
      <w:pPr>
        <w:bidi/>
        <w:rPr>
          <w:rFonts w:ascii="Narkisim" w:hAnsi="Narkisim" w:cs="Narkisim"/>
        </w:rPr>
      </w:pPr>
      <w:r w:rsidRPr="009F36E0">
        <w:rPr>
          <w:rFonts w:ascii="Narkisim" w:hAnsi="Narkisim" w:cs="Narkisim"/>
          <w:rtl/>
        </w:rPr>
        <w:t>ופ</w:t>
      </w:r>
      <w:r w:rsidRPr="009F36E0">
        <w:rPr>
          <w:rFonts w:ascii="Narkisim" w:hAnsi="Narkisim" w:cs="Narkisim"/>
          <w:b/>
          <w:bCs/>
          <w:rtl/>
        </w:rPr>
        <w:t>רש"י</w:t>
      </w:r>
      <w:r w:rsidRPr="009F36E0">
        <w:rPr>
          <w:rFonts w:ascii="Narkisim" w:hAnsi="Narkisim" w:cs="Narkisim"/>
          <w:rtl/>
        </w:rPr>
        <w:t xml:space="preserve"> שע"י נישואין נולדה לאביו [ולא באונסין]. וכ"כ ה</w:t>
      </w:r>
      <w:r w:rsidRPr="009F36E0">
        <w:rPr>
          <w:rFonts w:ascii="Narkisim" w:hAnsi="Narkisim" w:cs="Narkisim"/>
          <w:b/>
          <w:bCs/>
          <w:rtl/>
        </w:rPr>
        <w:t>רמב"ם</w:t>
      </w:r>
      <w:r w:rsidRPr="009F36E0">
        <w:rPr>
          <w:rFonts w:ascii="Narkisim" w:hAnsi="Narkisim" w:cs="Narkisim"/>
          <w:rtl/>
        </w:rPr>
        <w:t xml:space="preserve"> (איסו"ב ב ג) דדוקא מולדת אביו, אבל אם נשא אביו אשה שיש לה בת מאיש אחר מותרת לו</w:t>
      </w:r>
      <w:r w:rsidRPr="009F36E0">
        <w:rPr>
          <w:rStyle w:val="ac"/>
          <w:rFonts w:ascii="Narkisim" w:hAnsi="Narkisim" w:cs="Narkisim"/>
          <w:rtl/>
        </w:rPr>
        <w:footnoteReference w:id="1367"/>
      </w:r>
      <w:r w:rsidRPr="009F36E0">
        <w:rPr>
          <w:rFonts w:ascii="Narkisim" w:hAnsi="Narkisim" w:cs="Narkisim"/>
        </w:rPr>
        <w:t>.</w:t>
      </w:r>
    </w:p>
    <w:p w14:paraId="65C7CFE7"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מנח"ח</w:t>
      </w:r>
      <w:r w:rsidRPr="009F36E0">
        <w:rPr>
          <w:rFonts w:ascii="Narkisim" w:hAnsi="Narkisim"/>
          <w:rtl/>
        </w:rPr>
        <w:t xml:space="preserve"> (קצו) כתב דה"מ כשנולדה לאביו כשהיא אשתו, אבל אם אביו אנס אשה וילדה זו, ואח"כ נשאה אינה בכלל בת אשת אביו</w:t>
      </w:r>
      <w:r w:rsidRPr="009F36E0">
        <w:rPr>
          <w:rStyle w:val="ac"/>
          <w:rFonts w:ascii="Narkisim" w:hAnsi="Narkisim"/>
          <w:rtl/>
        </w:rPr>
        <w:footnoteReference w:id="1368"/>
      </w:r>
      <w:r w:rsidRPr="009F36E0">
        <w:rPr>
          <w:rFonts w:ascii="Narkisim" w:hAnsi="Narkisim"/>
        </w:rPr>
        <w:t>.</w:t>
      </w:r>
    </w:p>
    <w:p w14:paraId="3D7FC43C" w14:textId="77777777" w:rsidR="006074A5" w:rsidRPr="009F36E0" w:rsidRDefault="006074A5" w:rsidP="006074A5">
      <w:pPr>
        <w:bidi/>
        <w:rPr>
          <w:rFonts w:ascii="Narkisim" w:hAnsi="Narkisim" w:cs="Narkisim"/>
        </w:rPr>
      </w:pPr>
      <w:r w:rsidRPr="009F36E0">
        <w:rPr>
          <w:rFonts w:ascii="Narkisim" w:hAnsi="Narkisim" w:cs="Narkisim"/>
          <w:u w:val="single"/>
          <w:rtl/>
        </w:rPr>
        <w:t>רש"י ד"ה לחייבו.</w:t>
      </w:r>
      <w:r w:rsidRPr="009F36E0">
        <w:rPr>
          <w:rFonts w:ascii="Narkisim" w:hAnsi="Narkisim" w:cs="Narkisim"/>
          <w:rtl/>
        </w:rPr>
        <w:t xml:space="preserve"> באישות הוא דכתיב, אבל לא באונסין. ה</w:t>
      </w:r>
      <w:r w:rsidRPr="009F36E0">
        <w:rPr>
          <w:rFonts w:ascii="Narkisim" w:hAnsi="Narkisim" w:cs="Narkisim"/>
          <w:b/>
          <w:bCs/>
          <w:rtl/>
        </w:rPr>
        <w:t>רמב"ן</w:t>
      </w:r>
      <w:r w:rsidRPr="009F36E0">
        <w:rPr>
          <w:rFonts w:ascii="Narkisim" w:hAnsi="Narkisim" w:cs="Narkisim"/>
          <w:rtl/>
        </w:rPr>
        <w:t xml:space="preserve"> הק' א"כ בת אשת אביך צריכה לחייבו על בת אביו ובת אמו הנשואה [ולא מייתר לחייב ב']. ותי' א"כ לכתוב בת אשת אביך למה לי ש"מ. </w:t>
      </w:r>
      <w:r w:rsidRPr="009F36E0">
        <w:rPr>
          <w:rFonts w:ascii="Narkisim" w:hAnsi="Narkisim" w:cs="Narkisim"/>
          <w:sz w:val="20"/>
          <w:szCs w:val="20"/>
          <w:rtl/>
        </w:rPr>
        <w:t xml:space="preserve">[וכ"כ הרשב"א בשם </w:t>
      </w:r>
      <w:r w:rsidRPr="009F36E0">
        <w:rPr>
          <w:rFonts w:ascii="Narkisim" w:hAnsi="Narkisim" w:cs="Narkisim"/>
          <w:b/>
          <w:bCs/>
          <w:sz w:val="20"/>
          <w:szCs w:val="20"/>
          <w:rtl/>
        </w:rPr>
        <w:t>בה"ג</w:t>
      </w:r>
      <w:r w:rsidRPr="009F36E0">
        <w:rPr>
          <w:rFonts w:ascii="Narkisim" w:hAnsi="Narkisim" w:cs="Narkisim"/>
          <w:sz w:val="20"/>
          <w:szCs w:val="20"/>
          <w:rtl/>
        </w:rPr>
        <w:t>]</w:t>
      </w:r>
      <w:r w:rsidRPr="009F36E0">
        <w:rPr>
          <w:rFonts w:ascii="Narkisim" w:hAnsi="Narkisim" w:cs="Narkisim"/>
          <w:rtl/>
        </w:rPr>
        <w:t>. ועוד כ' הרמב"ן דמאחותך היא ילפי' בין מאונסין ובין מנישואין, כיון דגלי קרא. ועוד תי' ה</w:t>
      </w:r>
      <w:r w:rsidRPr="009F36E0">
        <w:rPr>
          <w:rFonts w:ascii="Narkisim" w:hAnsi="Narkisim" w:cs="Narkisim"/>
          <w:b/>
          <w:bCs/>
          <w:rtl/>
        </w:rPr>
        <w:t>רשב"א</w:t>
      </w:r>
      <w:r w:rsidRPr="009F36E0">
        <w:rPr>
          <w:rFonts w:ascii="Narkisim" w:hAnsi="Narkisim" w:cs="Narkisim"/>
          <w:rtl/>
        </w:rPr>
        <w:t xml:space="preserve"> דאי לאו בת אשת אביך היינו אומרים דקרא בין באנוסה ובין בנשואה</w:t>
      </w:r>
      <w:r w:rsidRPr="009F36E0">
        <w:rPr>
          <w:rFonts w:ascii="Narkisim" w:hAnsi="Narkisim" w:cs="Narkisim"/>
        </w:rPr>
        <w:t>.</w:t>
      </w:r>
    </w:p>
    <w:p w14:paraId="6997FA2D" w14:textId="77777777" w:rsidR="006074A5" w:rsidRPr="009F36E0" w:rsidRDefault="006074A5" w:rsidP="006074A5">
      <w:pPr>
        <w:pStyle w:val="aa"/>
        <w:bidi/>
        <w:rPr>
          <w:rFonts w:ascii="Narkisim" w:hAnsi="Narkisim"/>
        </w:rPr>
      </w:pPr>
      <w:r w:rsidRPr="009F36E0">
        <w:rPr>
          <w:rFonts w:ascii="Narkisim" w:hAnsi="Narkisim"/>
          <w:u w:val="single"/>
          <w:rtl/>
        </w:rPr>
        <w:t>לחייבו על אחותו בת אביו ובת אמו וכו'</w:t>
      </w:r>
      <w:r w:rsidRPr="009F36E0">
        <w:rPr>
          <w:rFonts w:ascii="Narkisim" w:hAnsi="Narkisim"/>
          <w:rtl/>
        </w:rPr>
        <w:t xml:space="preserve">. ואף דילפי' מק"ו דהזהיר על בת אביו [לחוד], כ"ש בת אביו ואמו. אלא דאזהרת דין ק"ו לאו אזהרה היא. </w:t>
      </w:r>
      <w:r w:rsidRPr="009F36E0">
        <w:rPr>
          <w:rFonts w:ascii="Narkisim" w:hAnsi="Narkisim"/>
          <w:b/>
          <w:bCs/>
          <w:rtl/>
        </w:rPr>
        <w:t>תוס</w:t>
      </w:r>
      <w:r w:rsidRPr="009F36E0">
        <w:rPr>
          <w:rFonts w:ascii="Narkisim" w:hAnsi="Narkisim"/>
          <w:rtl/>
        </w:rPr>
        <w:t>' (לעיל ב: ד"ה בתו) פי' דבת אביך משמע שלא מהאם, ובת אמך משמע שלא מן האב. וכשהיא בת שניהם אינה בכלל הקרא, וילפי' מק"ו. ותוס' כת' עפ"ז דבתו שהיא בת אשתו ל"צ ילפותא, דהוה בכלל אשה ובתה</w:t>
      </w:r>
      <w:r w:rsidRPr="009F36E0">
        <w:rPr>
          <w:rStyle w:val="ac"/>
          <w:rFonts w:ascii="Narkisim" w:hAnsi="Narkisim"/>
          <w:rtl/>
        </w:rPr>
        <w:footnoteReference w:id="1369"/>
      </w:r>
      <w:r w:rsidRPr="009F36E0">
        <w:rPr>
          <w:rFonts w:ascii="Narkisim" w:hAnsi="Narkisim"/>
        </w:rPr>
        <w:t>.</w:t>
      </w:r>
    </w:p>
    <w:p w14:paraId="06657C06" w14:textId="77777777" w:rsidR="006074A5" w:rsidRPr="009F36E0" w:rsidRDefault="006074A5" w:rsidP="006074A5">
      <w:pPr>
        <w:pStyle w:val="aa"/>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דן האם דתליא בפלוגתת ר' יאשיה ור' יונתן</w:t>
      </w:r>
      <w:r w:rsidRPr="009F36E0">
        <w:rPr>
          <w:rStyle w:val="ac"/>
          <w:rFonts w:ascii="Narkisim" w:hAnsi="Narkisim"/>
          <w:rtl/>
        </w:rPr>
        <w:footnoteReference w:id="1370"/>
      </w:r>
      <w:r w:rsidRPr="009F36E0">
        <w:rPr>
          <w:rFonts w:ascii="Narkisim" w:hAnsi="Narkisim"/>
        </w:rPr>
        <w:t xml:space="preserve"> </w:t>
      </w:r>
      <w:r w:rsidRPr="009F36E0">
        <w:rPr>
          <w:rFonts w:ascii="Narkisim" w:hAnsi="Narkisim"/>
          <w:rtl/>
        </w:rPr>
        <w:t>אי משמע שניהם כא', ודחה דמח' דידהו הוא במקום שאנו דנים אי בעי ב' מעשים. אבל הכא אם היה בא על בת אביו ואח"כ בת אמו לא היה חייב, דבעינן שתהא אחותו מב' צדדים. ואמרי' דהתורה לא אסרה אלא באופן זה, ולא תליא במח</w:t>
      </w:r>
      <w:r w:rsidRPr="009F36E0">
        <w:rPr>
          <w:rFonts w:ascii="Narkisim" w:hAnsi="Narkisim"/>
        </w:rPr>
        <w:t>'.</w:t>
      </w:r>
    </w:p>
    <w:p w14:paraId="7E53A654" w14:textId="77777777" w:rsidR="006074A5" w:rsidRPr="009F36E0" w:rsidRDefault="006074A5" w:rsidP="006074A5">
      <w:pPr>
        <w:bidi/>
        <w:rPr>
          <w:rFonts w:ascii="Narkisim" w:hAnsi="Narkisim" w:cs="Narkisim"/>
        </w:rPr>
      </w:pPr>
      <w:r w:rsidRPr="009F36E0">
        <w:rPr>
          <w:rFonts w:ascii="Narkisim" w:hAnsi="Narkisim" w:cs="Narkisim"/>
          <w:u w:val="single"/>
          <w:rtl/>
        </w:rPr>
        <w:t>שאין מזהירין מן הדין.</w:t>
      </w:r>
      <w:r w:rsidRPr="009F36E0">
        <w:rPr>
          <w:rFonts w:ascii="Narkisim" w:hAnsi="Narkisim" w:cs="Narkisim"/>
          <w:rtl/>
        </w:rPr>
        <w:t xml:space="preserve"> </w:t>
      </w:r>
      <w:r w:rsidRPr="009F36E0">
        <w:rPr>
          <w:rFonts w:ascii="Narkisim" w:hAnsi="Narkisim" w:cs="Narkisim"/>
          <w:sz w:val="20"/>
          <w:szCs w:val="20"/>
          <w:rtl/>
        </w:rPr>
        <w:t>[דבעינן אזהרה מפורשת בתורה, ולא מהני לזה מידת ק"ו</w:t>
      </w:r>
      <w:r w:rsidRPr="009F36E0">
        <w:rPr>
          <w:rStyle w:val="ac"/>
          <w:rFonts w:ascii="Narkisim" w:hAnsi="Narkisim" w:cs="Narkisim"/>
          <w:sz w:val="20"/>
          <w:szCs w:val="20"/>
          <w:rtl/>
        </w:rPr>
        <w:footnoteReference w:id="1371"/>
      </w:r>
      <w:r w:rsidRPr="009F36E0">
        <w:rPr>
          <w:rFonts w:ascii="Narkisim" w:hAnsi="Narkisim" w:cs="Narkisim"/>
          <w:rtl/>
        </w:rPr>
        <w:t>]</w:t>
      </w:r>
      <w:r w:rsidRPr="009F36E0">
        <w:rPr>
          <w:rFonts w:ascii="Narkisim" w:hAnsi="Narkisim" w:cs="Narkisim"/>
        </w:rPr>
        <w:t>.</w:t>
      </w:r>
    </w:p>
    <w:p w14:paraId="6A20CE89"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(ושא"ר) הק' אמאי לוקה על איכלת בהמה טמאה, דילפי' מק"ו מגמל [שיש בו סימן א']. ותי' דבמקום דיש לאו הבא עשה, הוה גילוי מילתא בעלמא. ומזהירין מהדין</w:t>
      </w:r>
      <w:r w:rsidRPr="009F36E0">
        <w:rPr>
          <w:rStyle w:val="ac"/>
          <w:rFonts w:ascii="Narkisim" w:hAnsi="Narkisim"/>
          <w:rtl/>
        </w:rPr>
        <w:footnoteReference w:id="1372"/>
      </w:r>
      <w:r w:rsidRPr="009F36E0">
        <w:rPr>
          <w:rFonts w:ascii="Narkisim" w:hAnsi="Narkisim"/>
        </w:rPr>
        <w:t>.</w:t>
      </w:r>
    </w:p>
    <w:p w14:paraId="07A05EE0" w14:textId="77777777" w:rsidR="006074A5" w:rsidRPr="009F36E0" w:rsidRDefault="006074A5" w:rsidP="006074A5">
      <w:pPr>
        <w:pStyle w:val="aa"/>
        <w:bidi/>
        <w:rPr>
          <w:rFonts w:ascii="Narkisim" w:hAnsi="Narkisim"/>
        </w:rPr>
      </w:pPr>
      <w:r w:rsidRPr="009F36E0">
        <w:rPr>
          <w:rFonts w:ascii="Narkisim" w:hAnsi="Narkisim"/>
          <w:u w:val="single"/>
          <w:rtl/>
        </w:rPr>
        <w:t>מילתא דאיתא בק"ו טרח וכתב לה קרא.</w:t>
      </w:r>
      <w:r w:rsidRPr="009F36E0">
        <w:rPr>
          <w:rFonts w:ascii="Narkisim" w:hAnsi="Narkisim"/>
          <w:rtl/>
        </w:rPr>
        <w:t xml:space="preserve"> ה</w:t>
      </w:r>
      <w:r w:rsidRPr="009F36E0">
        <w:rPr>
          <w:rFonts w:ascii="Narkisim" w:hAnsi="Narkisim"/>
          <w:b/>
          <w:bCs/>
          <w:rtl/>
        </w:rPr>
        <w:t xml:space="preserve">רש"ש </w:t>
      </w:r>
      <w:r w:rsidRPr="009F36E0">
        <w:rPr>
          <w:rFonts w:ascii="Narkisim" w:hAnsi="Narkisim"/>
          <w:rtl/>
        </w:rPr>
        <w:t>ו</w:t>
      </w:r>
      <w:r w:rsidRPr="009F36E0">
        <w:rPr>
          <w:rFonts w:ascii="Narkisim" w:hAnsi="Narkisim"/>
          <w:b/>
          <w:bCs/>
          <w:rtl/>
        </w:rPr>
        <w:t>ערול"נ</w:t>
      </w:r>
      <w:r w:rsidRPr="009F36E0">
        <w:rPr>
          <w:rFonts w:ascii="Narkisim" w:hAnsi="Narkisim"/>
          <w:rtl/>
        </w:rPr>
        <w:t xml:space="preserve"> הקשו דבמקום דאיכא למדרש דרשי'. עי"ש</w:t>
      </w:r>
      <w:r w:rsidRPr="009F36E0">
        <w:rPr>
          <w:rFonts w:ascii="Narkisim" w:hAnsi="Narkisim"/>
        </w:rPr>
        <w:t>.</w:t>
      </w:r>
    </w:p>
    <w:p w14:paraId="2E646994" w14:textId="77777777" w:rsidR="006074A5" w:rsidRPr="009F36E0" w:rsidRDefault="006074A5" w:rsidP="006074A5">
      <w:pPr>
        <w:pStyle w:val="3"/>
        <w:bidi/>
        <w:rPr>
          <w:rFonts w:ascii="Narkisim" w:hAnsi="Narkisim"/>
        </w:rPr>
      </w:pPr>
      <w:r w:rsidRPr="009F36E0">
        <w:rPr>
          <w:rFonts w:ascii="Narkisim" w:hAnsi="Narkisim"/>
          <w:rtl/>
        </w:rPr>
        <w:t>דף כג</w:t>
      </w:r>
      <w:r w:rsidRPr="009F36E0">
        <w:rPr>
          <w:rFonts w:ascii="Narkisim" w:hAnsi="Narkisim"/>
        </w:rPr>
        <w:t>.</w:t>
      </w:r>
    </w:p>
    <w:p w14:paraId="5D332110" w14:textId="77777777" w:rsidR="006074A5" w:rsidRPr="009F36E0" w:rsidRDefault="006074A5" w:rsidP="006074A5">
      <w:pPr>
        <w:pStyle w:val="aa"/>
        <w:bidi/>
        <w:rPr>
          <w:rFonts w:ascii="Narkisim" w:hAnsi="Narkisim"/>
        </w:rPr>
      </w:pPr>
      <w:r w:rsidRPr="009F36E0">
        <w:rPr>
          <w:rFonts w:ascii="Narkisim" w:hAnsi="Narkisim"/>
          <w:u w:val="single"/>
          <w:rtl/>
        </w:rPr>
        <w:t>ואימא פרט לחייבי לאוין</w:t>
      </w:r>
      <w:r w:rsidRPr="009F36E0">
        <w:rPr>
          <w:rFonts w:ascii="Narkisim" w:hAnsi="Narkisim"/>
          <w:rtl/>
        </w:rPr>
        <w:t>. פ</w:t>
      </w:r>
      <w:r w:rsidRPr="009F36E0">
        <w:rPr>
          <w:rFonts w:ascii="Narkisim" w:hAnsi="Narkisim"/>
          <w:b/>
          <w:bCs/>
          <w:rtl/>
        </w:rPr>
        <w:t>רש"י</w:t>
      </w:r>
      <w:r w:rsidRPr="009F36E0">
        <w:rPr>
          <w:rFonts w:ascii="Narkisim" w:hAnsi="Narkisim"/>
          <w:rtl/>
        </w:rPr>
        <w:t xml:space="preserve"> אימא דלא תפסי קידושין בחייבי לאוין</w:t>
      </w:r>
      <w:r w:rsidRPr="009F36E0">
        <w:rPr>
          <w:rStyle w:val="ac"/>
          <w:rFonts w:ascii="Narkisim" w:hAnsi="Narkisim"/>
          <w:rtl/>
        </w:rPr>
        <w:footnoteReference w:id="1373"/>
      </w:r>
      <w:r w:rsidRPr="009F36E0">
        <w:rPr>
          <w:rFonts w:ascii="Narkisim" w:hAnsi="Narkisim"/>
        </w:rPr>
        <w:t xml:space="preserve">, </w:t>
      </w:r>
      <w:r w:rsidRPr="009F36E0">
        <w:rPr>
          <w:rFonts w:ascii="Narkisim" w:hAnsi="Narkisim"/>
          <w:rtl/>
        </w:rPr>
        <w:t>ומש”ה יחשב דאין לאביה קידושין בה. [וכה"ג ליכא איסור אחותו]. ורב פפא דוחה דתפסי קידושין. והגמ' חוזרת ומקשה דעכ"פ נימא דאיירי באופן דלא תפסי קידושין [חייבי כריתות], והגמ' דוחה דיש ריבוי 'מולדת חוץ'. [וצ"ב מ"ט הגמ' בתחילה מק' מחייבי לאוין, דעיקר הקו' כל אופן דלא תפסי קידושין</w:t>
      </w:r>
      <w:r w:rsidRPr="009F36E0">
        <w:rPr>
          <w:rStyle w:val="ac"/>
          <w:rFonts w:ascii="Narkisim" w:hAnsi="Narkisim"/>
          <w:rtl/>
        </w:rPr>
        <w:footnoteReference w:id="1374"/>
      </w:r>
      <w:r w:rsidRPr="009F36E0">
        <w:rPr>
          <w:rFonts w:ascii="Narkisim" w:hAnsi="Narkisim"/>
          <w:rtl/>
        </w:rPr>
        <w:t>]</w:t>
      </w:r>
      <w:r w:rsidRPr="009F36E0">
        <w:rPr>
          <w:rFonts w:ascii="Narkisim" w:hAnsi="Narkisim"/>
        </w:rPr>
        <w:t>.</w:t>
      </w:r>
    </w:p>
    <w:p w14:paraId="0D885BE6" w14:textId="77777777" w:rsidR="006074A5" w:rsidRPr="009F36E0" w:rsidRDefault="006074A5" w:rsidP="006074A5">
      <w:pPr>
        <w:pStyle w:val="aa"/>
        <w:bidi/>
        <w:rPr>
          <w:rFonts w:ascii="Narkisim" w:hAnsi="Narkisim"/>
        </w:rPr>
      </w:pPr>
      <w:r w:rsidRPr="009F36E0">
        <w:rPr>
          <w:rFonts w:ascii="Narkisim" w:hAnsi="Narkisim"/>
          <w:u w:val="single"/>
          <w:rtl/>
        </w:rPr>
        <w:t>תוד"ה וכי יש אהובה.</w:t>
      </w:r>
      <w:r w:rsidRPr="009F36E0">
        <w:rPr>
          <w:rFonts w:ascii="Narkisim" w:hAnsi="Narkisim"/>
          <w:rtl/>
        </w:rPr>
        <w:t xml:space="preserve"> דבשביל אהבת ושנאת הבעל וכו'. [וכ"פ </w:t>
      </w:r>
      <w:r w:rsidRPr="009F36E0">
        <w:rPr>
          <w:rFonts w:ascii="Narkisim" w:hAnsi="Narkisim"/>
          <w:b/>
          <w:bCs/>
          <w:rtl/>
        </w:rPr>
        <w:t>רש"י</w:t>
      </w:r>
      <w:r w:rsidRPr="009F36E0">
        <w:rPr>
          <w:rFonts w:ascii="Narkisim" w:hAnsi="Narkisim"/>
          <w:rtl/>
        </w:rPr>
        <w:t xml:space="preserve"> דאף שזה שונאה, אין המקום שונאה]. אבל </w:t>
      </w:r>
      <w:r w:rsidRPr="009F36E0">
        <w:rPr>
          <w:rFonts w:ascii="Narkisim" w:hAnsi="Narkisim"/>
          <w:b/>
          <w:bCs/>
          <w:rtl/>
        </w:rPr>
        <w:t>תוס</w:t>
      </w:r>
      <w:r w:rsidRPr="009F36E0">
        <w:rPr>
          <w:rFonts w:ascii="Narkisim" w:hAnsi="Narkisim"/>
          <w:rtl/>
        </w:rPr>
        <w:t>' (קידושין סח.) פי' קושיית הגמ' דאף שהיא שנואה, אין לבניה להפסיד משום כך. (וכ"מ ב</w:t>
      </w:r>
      <w:r w:rsidRPr="009F36E0">
        <w:rPr>
          <w:rFonts w:ascii="Narkisim" w:hAnsi="Narkisim"/>
          <w:b/>
          <w:bCs/>
          <w:rtl/>
        </w:rPr>
        <w:t>תו"י</w:t>
      </w:r>
      <w:r w:rsidRPr="009F36E0">
        <w:rPr>
          <w:rFonts w:ascii="Narkisim" w:hAnsi="Narkisim"/>
          <w:rtl/>
        </w:rPr>
        <w:t>)</w:t>
      </w:r>
      <w:r w:rsidRPr="009F36E0">
        <w:rPr>
          <w:rFonts w:ascii="Narkisim" w:hAnsi="Narkisim"/>
        </w:rPr>
        <w:t>.</w:t>
      </w:r>
    </w:p>
    <w:p w14:paraId="433A4E69" w14:textId="77777777" w:rsidR="006074A5" w:rsidRPr="009F36E0" w:rsidRDefault="006074A5" w:rsidP="006074A5">
      <w:pPr>
        <w:bidi/>
        <w:rPr>
          <w:rFonts w:ascii="Narkisim" w:hAnsi="Narkisim" w:cs="Narkisim"/>
        </w:rPr>
      </w:pPr>
      <w:r w:rsidRPr="009F36E0">
        <w:rPr>
          <w:rFonts w:ascii="Narkisim" w:hAnsi="Narkisim" w:cs="Narkisim"/>
          <w:u w:val="single"/>
          <w:rtl/>
        </w:rPr>
        <w:t>שנואה בנשואיה, ואמר רחמנא כי תהיין</w:t>
      </w:r>
      <w:r w:rsidRPr="009F36E0">
        <w:rPr>
          <w:rFonts w:ascii="Narkisim" w:hAnsi="Narkisim" w:cs="Narkisim"/>
          <w:rtl/>
        </w:rPr>
        <w:t xml:space="preserve">. ומבואר דאיירי בחייבי לאוין ותפסי קידושין. </w:t>
      </w:r>
      <w:r w:rsidRPr="009F36E0">
        <w:rPr>
          <w:rFonts w:ascii="Narkisim" w:hAnsi="Narkisim" w:cs="Narkisim"/>
          <w:szCs w:val="20"/>
          <w:rtl/>
        </w:rPr>
        <w:t>[והגמ' (קידושין סח.) תי' דאף לר"ע איירי בשנואה דתפסי קידושין, למ"ד אלמנה לכה"ג, ולמ"ד מצרית, ולמ"ד בעולה לכה”ג]</w:t>
      </w:r>
      <w:r w:rsidRPr="009F36E0">
        <w:rPr>
          <w:rFonts w:ascii="Narkisim" w:hAnsi="Narkisim" w:cs="Narkisim"/>
          <w:szCs w:val="20"/>
        </w:rPr>
        <w:t>.</w:t>
      </w:r>
    </w:p>
    <w:p w14:paraId="2EDEF367" w14:textId="77777777" w:rsidR="006074A5" w:rsidRPr="009F36E0" w:rsidRDefault="006074A5" w:rsidP="006074A5">
      <w:pPr>
        <w:pStyle w:val="a7"/>
        <w:bidi/>
        <w:rPr>
          <w:rFonts w:ascii="Narkisim" w:hAnsi="Narkisim"/>
        </w:rPr>
      </w:pPr>
      <w:r w:rsidRPr="009F36E0">
        <w:rPr>
          <w:rFonts w:ascii="Narkisim" w:hAnsi="Narkisim"/>
          <w:rtl/>
        </w:rPr>
        <w:lastRenderedPageBreak/>
        <w:t>אבל ה</w:t>
      </w:r>
      <w:r w:rsidRPr="009F36E0">
        <w:rPr>
          <w:rFonts w:ascii="Narkisim" w:hAnsi="Narkisim"/>
          <w:b/>
          <w:bCs/>
          <w:rtl/>
        </w:rPr>
        <w:t>רמב"ם</w:t>
      </w:r>
      <w:r w:rsidRPr="009F36E0">
        <w:rPr>
          <w:rFonts w:ascii="Narkisim" w:hAnsi="Narkisim"/>
          <w:rtl/>
        </w:rPr>
        <w:t xml:space="preserve"> </w:t>
      </w:r>
      <w:r w:rsidRPr="009F36E0">
        <w:rPr>
          <w:rFonts w:ascii="Narkisim" w:hAnsi="Narkisim"/>
          <w:sz w:val="20"/>
          <w:szCs w:val="20"/>
          <w:rtl/>
        </w:rPr>
        <w:t>(נחלות ב יג)</w:t>
      </w:r>
      <w:r w:rsidRPr="009F36E0">
        <w:rPr>
          <w:rFonts w:ascii="Narkisim" w:hAnsi="Narkisim"/>
          <w:rtl/>
        </w:rPr>
        <w:t xml:space="preserve"> כת' דבכור ממזר יורש פי שנים, שנא' בן השנואה יכיר, ששנואה בנישואיה. ודרש לקרא אחייבי כריתות. וה</w:t>
      </w:r>
      <w:r w:rsidRPr="009F36E0">
        <w:rPr>
          <w:rFonts w:ascii="Narkisim" w:hAnsi="Narkisim"/>
          <w:b/>
          <w:bCs/>
          <w:rtl/>
        </w:rPr>
        <w:t>לח"מ</w:t>
      </w:r>
      <w:r w:rsidRPr="009F36E0">
        <w:rPr>
          <w:rFonts w:ascii="Narkisim" w:hAnsi="Narkisim"/>
          <w:rtl/>
        </w:rPr>
        <w:t xml:space="preserve"> הק' מסוגיין דהעמידו את הדרשא באופן דתפסי קידושין</w:t>
      </w:r>
      <w:r w:rsidRPr="009F36E0">
        <w:rPr>
          <w:rFonts w:ascii="Narkisim" w:hAnsi="Narkisim"/>
        </w:rPr>
        <w:t>.</w:t>
      </w:r>
    </w:p>
    <w:p w14:paraId="3A2C876B"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מפרשים</w:t>
      </w:r>
      <w:r w:rsidRPr="009F36E0">
        <w:rPr>
          <w:rFonts w:ascii="Narkisim" w:hAnsi="Narkisim"/>
          <w:sz w:val="20"/>
          <w:szCs w:val="20"/>
          <w:rtl/>
        </w:rPr>
        <w:t xml:space="preserve"> (גר"א רעז ד בליק', וע' מהרי"ט אלגאזי בכורות אות סה בסו"ד)</w:t>
      </w:r>
      <w:r w:rsidRPr="009F36E0">
        <w:rPr>
          <w:rFonts w:ascii="Narkisim" w:hAnsi="Narkisim"/>
          <w:rtl/>
        </w:rPr>
        <w:t xml:space="preserve"> הביאו שמקור הרמב"ם מה</w:t>
      </w:r>
      <w:r w:rsidRPr="009F36E0">
        <w:rPr>
          <w:rFonts w:ascii="Narkisim" w:hAnsi="Narkisim"/>
          <w:b/>
          <w:bCs/>
          <w:rtl/>
        </w:rPr>
        <w:t>ספרי</w:t>
      </w:r>
      <w:r w:rsidRPr="009F36E0">
        <w:rPr>
          <w:rFonts w:ascii="Narkisim" w:hAnsi="Narkisim"/>
          <w:rtl/>
        </w:rPr>
        <w:t xml:space="preserve">, ותי' דסוגיין קאי כר' יוסי ב"ר יהודה. </w:t>
      </w:r>
      <w:r w:rsidRPr="009F36E0">
        <w:rPr>
          <w:rFonts w:ascii="Narkisim" w:hAnsi="Narkisim"/>
          <w:szCs w:val="20"/>
          <w:rtl/>
        </w:rPr>
        <w:t>ו</w:t>
      </w:r>
      <w:r w:rsidRPr="009F36E0">
        <w:rPr>
          <w:rFonts w:ascii="Narkisim" w:hAnsi="Narkisim"/>
          <w:sz w:val="20"/>
          <w:szCs w:val="20"/>
          <w:rtl/>
        </w:rPr>
        <w:t>ה</w:t>
      </w:r>
      <w:r w:rsidRPr="009F36E0">
        <w:rPr>
          <w:rFonts w:ascii="Narkisim" w:hAnsi="Narkisim"/>
          <w:b/>
          <w:bCs/>
          <w:sz w:val="20"/>
          <w:szCs w:val="20"/>
          <w:rtl/>
        </w:rPr>
        <w:t>מקנה</w:t>
      </w:r>
      <w:r w:rsidRPr="009F36E0">
        <w:rPr>
          <w:rFonts w:ascii="Narkisim" w:hAnsi="Narkisim"/>
          <w:sz w:val="20"/>
          <w:szCs w:val="20"/>
          <w:rtl/>
        </w:rPr>
        <w:t xml:space="preserve"> (קידושין שם ופנים יפות עה”ת שם, וציינו רע"א בשו"ע רעז) כת' דכוונת הרמב"ם כשנשא ממזרת דתפסי קידושין</w:t>
      </w:r>
      <w:r w:rsidRPr="009F36E0">
        <w:rPr>
          <w:rStyle w:val="ac"/>
          <w:rFonts w:ascii="Narkisim" w:hAnsi="Narkisim"/>
          <w:sz w:val="20"/>
          <w:szCs w:val="20"/>
          <w:rtl/>
        </w:rPr>
        <w:footnoteReference w:id="1375"/>
      </w:r>
      <w:r w:rsidRPr="009F36E0">
        <w:rPr>
          <w:rFonts w:ascii="Narkisim" w:hAnsi="Narkisim"/>
          <w:sz w:val="20"/>
          <w:szCs w:val="20"/>
        </w:rPr>
        <w:t xml:space="preserve">. </w:t>
      </w:r>
      <w:r w:rsidRPr="009F36E0">
        <w:rPr>
          <w:rFonts w:ascii="Narkisim" w:hAnsi="Narkisim"/>
          <w:sz w:val="20"/>
          <w:szCs w:val="20"/>
          <w:rtl/>
        </w:rPr>
        <w:t>ואף הרמב"ם מודה דבכור הנולד מחייבי כריתות אין לו דין בכורה, דלאו בנו גמור הוא [לענין פי שנים]</w:t>
      </w:r>
      <w:r w:rsidRPr="009F36E0">
        <w:rPr>
          <w:rFonts w:ascii="Narkisim" w:hAnsi="Narkisim"/>
          <w:sz w:val="20"/>
          <w:szCs w:val="20"/>
        </w:rPr>
        <w:t>.</w:t>
      </w:r>
    </w:p>
    <w:p w14:paraId="5953D4E8" w14:textId="77777777" w:rsidR="006074A5" w:rsidRPr="009F36E0" w:rsidRDefault="006074A5" w:rsidP="006074A5">
      <w:pPr>
        <w:bidi/>
        <w:rPr>
          <w:rFonts w:ascii="Narkisim" w:hAnsi="Narkisim" w:cs="Narkisim"/>
        </w:rPr>
      </w:pPr>
      <w:r w:rsidRPr="009F36E0">
        <w:rPr>
          <w:rFonts w:ascii="Narkisim" w:hAnsi="Narkisim" w:cs="Narkisim"/>
          <w:rtl/>
        </w:rPr>
        <w:t>אבל ה</w:t>
      </w:r>
      <w:r w:rsidRPr="009F36E0">
        <w:rPr>
          <w:rFonts w:ascii="Narkisim" w:hAnsi="Narkisim" w:cs="Narkisim"/>
          <w:b/>
          <w:bCs/>
          <w:rtl/>
        </w:rPr>
        <w:t>שלט"ג</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יט: בדה"ר, הובא בדרכ”מ חו"מ רעז)</w:t>
      </w:r>
      <w:r w:rsidRPr="009F36E0">
        <w:rPr>
          <w:rFonts w:ascii="Narkisim" w:hAnsi="Narkisim" w:cs="Narkisim"/>
          <w:rtl/>
        </w:rPr>
        <w:t xml:space="preserve"> נסתפק בהוליד בכור ממזר, האם הבא אחריו הוה בכור לנחלה. וה</w:t>
      </w:r>
      <w:r w:rsidRPr="009F36E0">
        <w:rPr>
          <w:rFonts w:ascii="Narkisim" w:hAnsi="Narkisim" w:cs="Narkisim"/>
          <w:b/>
          <w:bCs/>
          <w:rtl/>
        </w:rPr>
        <w:t>דרכ"מ</w:t>
      </w:r>
      <w:r w:rsidRPr="009F36E0">
        <w:rPr>
          <w:rFonts w:ascii="Narkisim" w:hAnsi="Narkisim" w:cs="Narkisim"/>
          <w:rtl/>
        </w:rPr>
        <w:t xml:space="preserve"> דייק דפשיט"ל דהממזר אינו בכור</w:t>
      </w:r>
      <w:r w:rsidRPr="009F36E0">
        <w:rPr>
          <w:rStyle w:val="ac"/>
          <w:rFonts w:ascii="Narkisim" w:hAnsi="Narkisim" w:cs="Narkisim"/>
          <w:rtl/>
        </w:rPr>
        <w:footnoteReference w:id="1376"/>
      </w:r>
      <w:r w:rsidRPr="009F36E0">
        <w:rPr>
          <w:rFonts w:ascii="Narkisim" w:hAnsi="Narkisim" w:cs="Narkisim"/>
        </w:rPr>
        <w:t xml:space="preserve">. </w:t>
      </w:r>
      <w:r w:rsidRPr="009F36E0">
        <w:rPr>
          <w:rFonts w:ascii="Narkisim" w:hAnsi="Narkisim" w:cs="Narkisim"/>
          <w:sz w:val="20"/>
          <w:szCs w:val="20"/>
          <w:rtl/>
        </w:rPr>
        <w:t xml:space="preserve">ויש </w:t>
      </w:r>
      <w:r w:rsidRPr="009F36E0">
        <w:rPr>
          <w:rFonts w:ascii="Narkisim" w:hAnsi="Narkisim" w:cs="Narkisim"/>
          <w:b/>
          <w:bCs/>
          <w:sz w:val="20"/>
          <w:szCs w:val="20"/>
          <w:rtl/>
        </w:rPr>
        <w:t>אחרונים</w:t>
      </w:r>
      <w:r w:rsidRPr="009F36E0">
        <w:rPr>
          <w:rFonts w:ascii="Narkisim" w:hAnsi="Narkisim" w:cs="Narkisim"/>
          <w:sz w:val="20"/>
          <w:szCs w:val="20"/>
          <w:rtl/>
        </w:rPr>
        <w:t xml:space="preserve"> שדנו שנסתפק אף על הממזר אי נוטל פי שנים</w:t>
      </w:r>
      <w:r w:rsidRPr="009F36E0">
        <w:rPr>
          <w:rStyle w:val="ac"/>
          <w:rFonts w:ascii="Narkisim" w:hAnsi="Narkisim" w:cs="Narkisim"/>
          <w:sz w:val="20"/>
          <w:szCs w:val="20"/>
          <w:rtl/>
        </w:rPr>
        <w:footnoteReference w:id="1377"/>
      </w:r>
      <w:r w:rsidRPr="009F36E0">
        <w:rPr>
          <w:rFonts w:ascii="Narkisim" w:hAnsi="Narkisim" w:cs="Narkisim"/>
          <w:sz w:val="20"/>
          <w:szCs w:val="20"/>
        </w:rPr>
        <w:t>.</w:t>
      </w:r>
    </w:p>
    <w:p w14:paraId="001BBB9A" w14:textId="77777777" w:rsidR="006074A5" w:rsidRPr="009F36E0" w:rsidRDefault="006074A5" w:rsidP="006074A5">
      <w:pPr>
        <w:bidi/>
        <w:rPr>
          <w:rFonts w:ascii="Narkisim" w:hAnsi="Narkisim" w:cs="Narkisim"/>
        </w:rPr>
      </w:pPr>
      <w:r w:rsidRPr="009F36E0">
        <w:rPr>
          <w:rFonts w:ascii="Narkisim" w:hAnsi="Narkisim" w:cs="Narkisim"/>
          <w:u w:val="single"/>
          <w:rtl/>
        </w:rPr>
        <w:t>בין שאומרים לו לאביך קיים וכו'.</w:t>
      </w:r>
      <w:r w:rsidRPr="009F36E0">
        <w:rPr>
          <w:rFonts w:ascii="Narkisim" w:hAnsi="Narkisim" w:cs="Narkisim"/>
          <w:rtl/>
        </w:rPr>
        <w:t xml:space="preserve"> מבואר דהיינו חייבי כריתות דלא תפסי קידושין. וה</w:t>
      </w:r>
      <w:r w:rsidRPr="009F36E0">
        <w:rPr>
          <w:rFonts w:ascii="Narkisim" w:hAnsi="Narkisim" w:cs="Narkisim"/>
          <w:b/>
          <w:bCs/>
          <w:rtl/>
        </w:rPr>
        <w:t>רמב”ן</w:t>
      </w:r>
      <w:r w:rsidRPr="009F36E0">
        <w:rPr>
          <w:rFonts w:ascii="Narkisim" w:hAnsi="Narkisim" w:cs="Narkisim"/>
          <w:rtl/>
        </w:rPr>
        <w:t xml:space="preserve"> כת' דלאו דוקא אומרים לו קיים, דאף חייבי לאוין אומרים הוצא. אלא בין שהיא מחוץ לבית אביך, והוצא מביתך בלא גט לפי שאינה אשתך</w:t>
      </w:r>
      <w:r w:rsidRPr="009F36E0">
        <w:rPr>
          <w:rFonts w:ascii="Narkisim" w:hAnsi="Narkisim" w:cs="Narkisim"/>
        </w:rPr>
        <w:t>.</w:t>
      </w:r>
    </w:p>
    <w:p w14:paraId="42F8A4F7" w14:textId="77777777" w:rsidR="006074A5" w:rsidRPr="009F36E0" w:rsidRDefault="006074A5" w:rsidP="006074A5">
      <w:pPr>
        <w:pStyle w:val="aa"/>
        <w:bidi/>
        <w:rPr>
          <w:rFonts w:ascii="Narkisim" w:hAnsi="Narkisim"/>
        </w:rPr>
      </w:pPr>
      <w:r w:rsidRPr="009F36E0">
        <w:rPr>
          <w:rFonts w:ascii="Narkisim" w:hAnsi="Narkisim"/>
          <w:u w:val="single"/>
          <w:rtl/>
        </w:rPr>
        <w:t>מסתברא חייבי כריתות הו"ל לרבות שכן תפסי בהן קידושין לעלמא וכו'</w:t>
      </w:r>
      <w:r w:rsidRPr="009F36E0">
        <w:rPr>
          <w:rFonts w:ascii="Narkisim" w:hAnsi="Narkisim"/>
          <w:rtl/>
        </w:rPr>
        <w:t>. בפשוטו הוה סברא בילפותא בעלמא. אך במשנה (קידושין סו:) אי' כלל זה דכל מי שאין לו עליו קידושין, ויש על אחרים הולד ממזר. וכל מי שאין קידושין אף לאחרים הולד כמותה. וקצת משמע דהוה כלל גמור</w:t>
      </w:r>
      <w:r w:rsidRPr="009F36E0">
        <w:rPr>
          <w:rStyle w:val="ac"/>
          <w:rFonts w:ascii="Narkisim" w:hAnsi="Narkisim"/>
          <w:rtl/>
        </w:rPr>
        <w:footnoteReference w:id="1378"/>
      </w:r>
      <w:r w:rsidRPr="009F36E0">
        <w:rPr>
          <w:rFonts w:ascii="Narkisim" w:hAnsi="Narkisim"/>
        </w:rPr>
        <w:t xml:space="preserve">. </w:t>
      </w:r>
      <w:r w:rsidRPr="009F36E0">
        <w:rPr>
          <w:rFonts w:ascii="Narkisim" w:hAnsi="Narkisim"/>
          <w:rtl/>
        </w:rPr>
        <w:t>וכן בגמ' (מה:) מבואר דסברת מ"ד עכו"ם ועבד הבא על בת ישראל [אפי' אשת איש] הולד כשר משום דלא תפסי קידושין כלל, אף לאחרים</w:t>
      </w:r>
      <w:r w:rsidRPr="009F36E0">
        <w:rPr>
          <w:rStyle w:val="ac"/>
          <w:rFonts w:ascii="Narkisim" w:hAnsi="Narkisim"/>
          <w:rtl/>
        </w:rPr>
        <w:footnoteReference w:id="1379"/>
      </w:r>
      <w:r w:rsidRPr="009F36E0">
        <w:rPr>
          <w:rFonts w:ascii="Narkisim" w:hAnsi="Narkisim"/>
        </w:rPr>
        <w:t>.</w:t>
      </w:r>
    </w:p>
    <w:p w14:paraId="57DD5D0A" w14:textId="77777777" w:rsidR="006074A5" w:rsidRPr="009F36E0" w:rsidRDefault="006074A5" w:rsidP="006074A5">
      <w:pPr>
        <w:pStyle w:val="aa"/>
        <w:bidi/>
        <w:rPr>
          <w:rFonts w:ascii="Narkisim" w:hAnsi="Narkisim"/>
        </w:rPr>
      </w:pPr>
      <w:r w:rsidRPr="009F36E0">
        <w:rPr>
          <w:rFonts w:ascii="Narkisim" w:hAnsi="Narkisim"/>
          <w:u w:val="single"/>
          <w:rtl/>
        </w:rPr>
        <w:t>וצריכא דאי אשמעינן שפחה וכו'.</w:t>
      </w:r>
      <w:r w:rsidRPr="009F36E0">
        <w:rPr>
          <w:rFonts w:ascii="Narkisim" w:hAnsi="Narkisim"/>
          <w:rtl/>
        </w:rPr>
        <w:t xml:space="preserve"> ה</w:t>
      </w:r>
      <w:r w:rsidRPr="009F36E0">
        <w:rPr>
          <w:rFonts w:ascii="Narkisim" w:hAnsi="Narkisim"/>
          <w:b/>
          <w:bCs/>
          <w:rtl/>
        </w:rPr>
        <w:t xml:space="preserve">קר"א </w:t>
      </w:r>
      <w:r w:rsidRPr="009F36E0">
        <w:rPr>
          <w:rFonts w:ascii="Narkisim" w:hAnsi="Narkisim"/>
          <w:rtl/>
        </w:rPr>
        <w:t xml:space="preserve">הק' דבנכרי אין איסור דאורייתא בביאתה [וכמ"ש </w:t>
      </w:r>
      <w:r w:rsidRPr="009F36E0">
        <w:rPr>
          <w:rFonts w:ascii="Narkisim" w:hAnsi="Narkisim"/>
          <w:b/>
          <w:bCs/>
          <w:rtl/>
        </w:rPr>
        <w:t>תוס</w:t>
      </w:r>
      <w:r w:rsidRPr="009F36E0">
        <w:rPr>
          <w:rFonts w:ascii="Narkisim" w:hAnsi="Narkisim"/>
          <w:rtl/>
        </w:rPr>
        <w:t>' טז: ד"ה קסבר], והיאך ס"ד דילפי' משפחה. וב</w:t>
      </w:r>
      <w:r w:rsidRPr="009F36E0">
        <w:rPr>
          <w:rFonts w:ascii="Narkisim" w:hAnsi="Narkisim"/>
          <w:b/>
          <w:bCs/>
          <w:rtl/>
        </w:rPr>
        <w:t>שי' ר' דוד</w:t>
      </w:r>
      <w:r w:rsidRPr="009F36E0">
        <w:rPr>
          <w:rFonts w:ascii="Narkisim" w:hAnsi="Narkisim"/>
          <w:rtl/>
        </w:rPr>
        <w:t xml:space="preserve"> תי' דקרא איירי בשפחה דהותרה לעבד עברי, ואפי' הכי הולד כמותה</w:t>
      </w:r>
      <w:r w:rsidRPr="009F36E0">
        <w:rPr>
          <w:rStyle w:val="ac"/>
          <w:rFonts w:ascii="Narkisim" w:hAnsi="Narkisim"/>
          <w:rtl/>
        </w:rPr>
        <w:footnoteReference w:id="1380"/>
      </w:r>
      <w:r w:rsidRPr="009F36E0">
        <w:rPr>
          <w:rFonts w:ascii="Narkisim" w:hAnsi="Narkisim"/>
        </w:rPr>
        <w:t xml:space="preserve">. </w:t>
      </w:r>
      <w:r w:rsidRPr="009F36E0">
        <w:rPr>
          <w:rFonts w:ascii="Narkisim" w:hAnsi="Narkisim"/>
          <w:rtl/>
        </w:rPr>
        <w:t>[וע' מש"כ בזה לעיל טז:]</w:t>
      </w:r>
      <w:r w:rsidRPr="009F36E0">
        <w:rPr>
          <w:rFonts w:ascii="Narkisim" w:hAnsi="Narkisim"/>
        </w:rPr>
        <w:t>.</w:t>
      </w:r>
    </w:p>
    <w:p w14:paraId="62473188" w14:textId="77777777" w:rsidR="006074A5" w:rsidRPr="009F36E0" w:rsidRDefault="006074A5" w:rsidP="006074A5">
      <w:pPr>
        <w:pStyle w:val="aa"/>
        <w:bidi/>
        <w:rPr>
          <w:rFonts w:ascii="Narkisim" w:hAnsi="Narkisim"/>
        </w:rPr>
      </w:pPr>
      <w:r w:rsidRPr="009F36E0">
        <w:rPr>
          <w:rFonts w:ascii="Narkisim" w:hAnsi="Narkisim"/>
          <w:u w:val="single"/>
          <w:rtl/>
        </w:rPr>
        <w:t>אבל עכו"ם דאית לה חייס</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דעכו"ם מתייחס אחר אביו</w:t>
      </w:r>
      <w:r w:rsidRPr="009F36E0">
        <w:rPr>
          <w:rStyle w:val="ac"/>
          <w:rFonts w:ascii="Narkisim" w:hAnsi="Narkisim"/>
          <w:rtl/>
        </w:rPr>
        <w:footnoteReference w:id="1381"/>
      </w:r>
      <w:r w:rsidRPr="009F36E0">
        <w:rPr>
          <w:rFonts w:ascii="Narkisim" w:hAnsi="Narkisim"/>
        </w:rPr>
        <w:t xml:space="preserve">, </w:t>
      </w:r>
      <w:r w:rsidRPr="009F36E0">
        <w:rPr>
          <w:rFonts w:ascii="Narkisim" w:hAnsi="Narkisim"/>
          <w:rtl/>
        </w:rPr>
        <w:t>כדאי' (לקמן סב.) לענין נחלה ופריה ורביה</w:t>
      </w:r>
      <w:r w:rsidRPr="009F36E0">
        <w:rPr>
          <w:rFonts w:ascii="Narkisim" w:hAnsi="Narkisim"/>
        </w:rPr>
        <w:t>.</w:t>
      </w:r>
    </w:p>
    <w:p w14:paraId="604413A2" w14:textId="77777777" w:rsidR="006074A5" w:rsidRPr="009F36E0" w:rsidRDefault="006074A5" w:rsidP="006074A5">
      <w:pPr>
        <w:pStyle w:val="aa"/>
        <w:bidi/>
        <w:rPr>
          <w:rFonts w:ascii="Narkisim" w:hAnsi="Narkisim"/>
        </w:rPr>
      </w:pPr>
      <w:r w:rsidRPr="009F36E0">
        <w:rPr>
          <w:rFonts w:ascii="Narkisim" w:hAnsi="Narkisim"/>
          <w:u w:val="single"/>
          <w:rtl/>
        </w:rPr>
        <w:t>אר"י משום רשב"י א"ק כי יסיר את בנך וכו' ואין בנך וכו'.</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דקאי אבתך לא תתן לבנו. וע"ע </w:t>
      </w:r>
      <w:r w:rsidRPr="009F36E0">
        <w:rPr>
          <w:rFonts w:ascii="Narkisim" w:hAnsi="Narkisim"/>
          <w:b/>
          <w:bCs/>
          <w:rtl/>
        </w:rPr>
        <w:t>תוס</w:t>
      </w:r>
      <w:r w:rsidRPr="009F36E0">
        <w:rPr>
          <w:rFonts w:ascii="Narkisim" w:hAnsi="Narkisim"/>
          <w:rtl/>
        </w:rPr>
        <w:t>' (לעיל יז., וקיד' סח:) כמה אופנים בדרשא זו</w:t>
      </w:r>
      <w:r w:rsidRPr="009F36E0">
        <w:rPr>
          <w:rFonts w:ascii="Narkisim" w:hAnsi="Narkisim"/>
        </w:rPr>
        <w:t>.</w:t>
      </w:r>
    </w:p>
    <w:p w14:paraId="2EB216E7" w14:textId="77777777" w:rsidR="006074A5" w:rsidRPr="009F36E0" w:rsidRDefault="006074A5" w:rsidP="006074A5">
      <w:pPr>
        <w:pStyle w:val="a8"/>
        <w:bidi/>
        <w:rPr>
          <w:rFonts w:ascii="Narkisim" w:hAnsi="Narkisim"/>
        </w:rPr>
      </w:pPr>
      <w:r w:rsidRPr="009F36E0">
        <w:rPr>
          <w:rFonts w:ascii="Narkisim" w:hAnsi="Narkisim"/>
          <w:rtl/>
        </w:rPr>
        <w:t>ובגמ' (לעיל יז.) מבואר דפליג ארב יהודה א"ר אסי דס"ל דעובדת כוכבים שילדה מישראל הוה ממזר. ויש בו צד ישראל</w:t>
      </w:r>
      <w:r w:rsidRPr="009F36E0">
        <w:rPr>
          <w:rStyle w:val="ac"/>
          <w:rFonts w:ascii="Narkisim" w:hAnsi="Narkisim"/>
          <w:rtl/>
        </w:rPr>
        <w:footnoteReference w:id="1382"/>
      </w:r>
      <w:r w:rsidRPr="009F36E0">
        <w:rPr>
          <w:rFonts w:ascii="Narkisim" w:hAnsi="Narkisim"/>
        </w:rPr>
        <w:t xml:space="preserve">, </w:t>
      </w:r>
      <w:r w:rsidRPr="009F36E0">
        <w:rPr>
          <w:rFonts w:ascii="Narkisim" w:hAnsi="Narkisim"/>
          <w:rtl/>
        </w:rPr>
        <w:t>וחוששין לקידושין</w:t>
      </w:r>
      <w:r w:rsidRPr="009F36E0">
        <w:rPr>
          <w:rFonts w:ascii="Narkisim" w:hAnsi="Narkisim"/>
        </w:rPr>
        <w:t>.</w:t>
      </w:r>
    </w:p>
    <w:p w14:paraId="012568B9" w14:textId="77777777" w:rsidR="006074A5" w:rsidRPr="009F36E0" w:rsidRDefault="006074A5" w:rsidP="006074A5">
      <w:pPr>
        <w:bidi/>
        <w:rPr>
          <w:rFonts w:ascii="Narkisim" w:hAnsi="Narkisim" w:cs="Narkisim"/>
        </w:rPr>
      </w:pPr>
      <w:r w:rsidRPr="009F36E0">
        <w:rPr>
          <w:rFonts w:ascii="Narkisim" w:hAnsi="Narkisim" w:cs="Narkisim"/>
          <w:u w:val="single"/>
          <w:rtl/>
        </w:rPr>
        <w:t>אמר רבינא ש"מ בן בתך הבא מהעכו"ם קרוי בנך וכו'</w:t>
      </w:r>
      <w:r w:rsidRPr="009F36E0">
        <w:rPr>
          <w:rFonts w:ascii="Narkisim" w:hAnsi="Narkisim" w:cs="Narkisim"/>
          <w:rtl/>
        </w:rPr>
        <w:t>. מבואר דס"ד דשדינן בתר נכרי</w:t>
      </w:r>
      <w:r w:rsidRPr="009F36E0">
        <w:rPr>
          <w:rStyle w:val="ac"/>
          <w:rFonts w:ascii="Narkisim" w:hAnsi="Narkisim" w:cs="Narkisim"/>
          <w:rtl/>
        </w:rPr>
        <w:footnoteReference w:id="1383"/>
      </w:r>
      <w:r w:rsidRPr="009F36E0">
        <w:rPr>
          <w:rFonts w:ascii="Narkisim" w:hAnsi="Narkisim" w:cs="Narkisim"/>
        </w:rPr>
        <w:t xml:space="preserve">, </w:t>
      </w:r>
      <w:r w:rsidRPr="009F36E0">
        <w:rPr>
          <w:rFonts w:ascii="Narkisim" w:hAnsi="Narkisim" w:cs="Narkisim"/>
          <w:rtl/>
        </w:rPr>
        <w:t>ורבינא למד מדרשת ר' יוחנן דנקרא 'בנך'. [וה</w:t>
      </w:r>
      <w:r w:rsidRPr="009F36E0">
        <w:rPr>
          <w:rFonts w:ascii="Narkisim" w:hAnsi="Narkisim" w:cs="Narkisim"/>
          <w:b/>
          <w:bCs/>
          <w:rtl/>
        </w:rPr>
        <w:t>אחרונים</w:t>
      </w:r>
      <w:r w:rsidRPr="009F36E0">
        <w:rPr>
          <w:rFonts w:ascii="Narkisim" w:hAnsi="Narkisim" w:cs="Narkisim"/>
          <w:rtl/>
        </w:rPr>
        <w:t xml:space="preserve"> דנו מה הסברא לצד דשדינן בתר נכרי, וע' בסמוך]</w:t>
      </w:r>
      <w:r w:rsidRPr="009F36E0">
        <w:rPr>
          <w:rFonts w:ascii="Narkisim" w:hAnsi="Narkisim" w:cs="Narkisim"/>
        </w:rPr>
        <w:t>.</w:t>
      </w:r>
    </w:p>
    <w:p w14:paraId="132F3BA7" w14:textId="77777777" w:rsidR="006074A5" w:rsidRPr="009F36E0" w:rsidRDefault="006074A5" w:rsidP="006074A5">
      <w:pPr>
        <w:bidi/>
        <w:rPr>
          <w:rFonts w:ascii="Narkisim" w:hAnsi="Narkisim" w:cs="Narkisim"/>
        </w:rPr>
      </w:pPr>
      <w:r w:rsidRPr="009F36E0">
        <w:rPr>
          <w:rFonts w:ascii="Narkisim" w:hAnsi="Narkisim" w:cs="Narkisim"/>
          <w:u w:val="single"/>
          <w:rtl/>
        </w:rPr>
        <w:t>לימא קסבר רבינא וכו' הולד כשר</w:t>
      </w:r>
      <w:r w:rsidRPr="009F36E0">
        <w:rPr>
          <w:rFonts w:ascii="Narkisim" w:hAnsi="Narkisim" w:cs="Narkisim"/>
          <w:rtl/>
        </w:rPr>
        <w:t>. [כ"ה הגירסא ברש"י לפנינו]. כיון דשדינן בתר אמו סברא הוא שאינו ממזר</w:t>
      </w:r>
      <w:r w:rsidRPr="009F36E0">
        <w:rPr>
          <w:rFonts w:ascii="Narkisim" w:hAnsi="Narkisim" w:cs="Narkisim"/>
        </w:rPr>
        <w:t>.</w:t>
      </w:r>
    </w:p>
    <w:p w14:paraId="16104339" w14:textId="77777777" w:rsidR="006074A5" w:rsidRPr="009F36E0" w:rsidRDefault="006074A5" w:rsidP="006074A5">
      <w:pPr>
        <w:pStyle w:val="a7"/>
        <w:bidi/>
        <w:rPr>
          <w:rFonts w:ascii="Narkisim" w:hAnsi="Narkisim"/>
        </w:rPr>
      </w:pPr>
      <w:r w:rsidRPr="009F36E0">
        <w:rPr>
          <w:rFonts w:ascii="Narkisim" w:hAnsi="Narkisim"/>
          <w:rtl/>
        </w:rPr>
        <w:t>אבל ב</w:t>
      </w:r>
      <w:r w:rsidRPr="009F36E0">
        <w:rPr>
          <w:rFonts w:ascii="Narkisim" w:hAnsi="Narkisim"/>
          <w:b/>
          <w:bCs/>
          <w:rtl/>
        </w:rPr>
        <w:t>גמ'</w:t>
      </w:r>
      <w:r w:rsidRPr="009F36E0">
        <w:rPr>
          <w:rFonts w:ascii="Narkisim" w:hAnsi="Narkisim"/>
          <w:rtl/>
        </w:rPr>
        <w:t xml:space="preserve"> (קידושין סח:, והובא בתוס') הגירסא לימא קסבר רבינא הולד ממזר. [והגמ' דוחה נהי דכשר לא הוה, ממזר לא הוה, פגום מקרי]. ופ</w:t>
      </w:r>
      <w:r w:rsidRPr="009F36E0">
        <w:rPr>
          <w:rFonts w:ascii="Narkisim" w:hAnsi="Narkisim"/>
          <w:b/>
          <w:bCs/>
          <w:rtl/>
        </w:rPr>
        <w:t>רש”י</w:t>
      </w:r>
      <w:r w:rsidRPr="009F36E0">
        <w:rPr>
          <w:rFonts w:ascii="Narkisim" w:hAnsi="Narkisim"/>
          <w:rtl/>
        </w:rPr>
        <w:t xml:space="preserve"> (קידושין שם, והג' ברש"י כאן) דס"ד </w:t>
      </w:r>
      <w:r w:rsidRPr="009F36E0">
        <w:rPr>
          <w:rFonts w:ascii="Narkisim" w:hAnsi="Narkisim"/>
          <w:rtl/>
        </w:rPr>
        <w:lastRenderedPageBreak/>
        <w:t>דשדינן בתר עכו"ם, וא"כ כשיתגייר הוה מותר בישראל. וקמ"ל רבינא דשדינן בתר אמו ישראל, וכיון שנולד בעבירה [דלא תפסי קידושין] הוה ישראל פסול</w:t>
      </w:r>
      <w:r w:rsidRPr="009F36E0">
        <w:rPr>
          <w:rFonts w:ascii="Narkisim" w:hAnsi="Narkisim"/>
        </w:rPr>
        <w:t>.</w:t>
      </w:r>
    </w:p>
    <w:p w14:paraId="08EFA09D" w14:textId="77777777" w:rsidR="006074A5" w:rsidRPr="009F36E0" w:rsidRDefault="006074A5" w:rsidP="006074A5">
      <w:pPr>
        <w:pStyle w:val="a7"/>
        <w:bidi/>
        <w:rPr>
          <w:rFonts w:ascii="Narkisim" w:hAnsi="Narkisim"/>
        </w:rPr>
      </w:pPr>
      <w:r w:rsidRPr="009F36E0">
        <w:rPr>
          <w:rFonts w:ascii="Narkisim" w:hAnsi="Narkisim"/>
          <w:rtl/>
        </w:rPr>
        <w:t>והגמ' (לגירסא דהתם) דוחה דמ"מ אין ראיה שהוא ממזר, דהא יש מ"ד (לקמן מה. ומה:) דלא הוה ממזר מעכו"ם, ופ</w:t>
      </w:r>
      <w:r w:rsidRPr="009F36E0">
        <w:rPr>
          <w:rFonts w:ascii="Narkisim" w:hAnsi="Narkisim"/>
          <w:b/>
          <w:bCs/>
          <w:rtl/>
        </w:rPr>
        <w:t>רש"י</w:t>
      </w:r>
      <w:r w:rsidRPr="009F36E0">
        <w:rPr>
          <w:rFonts w:ascii="Narkisim" w:hAnsi="Narkisim"/>
          <w:rtl/>
        </w:rPr>
        <w:t xml:space="preserve"> (שם) דהא אין לו קידושין על אחרת</w:t>
      </w:r>
      <w:r w:rsidRPr="009F36E0">
        <w:rPr>
          <w:rStyle w:val="ac"/>
          <w:rFonts w:ascii="Narkisim" w:hAnsi="Narkisim"/>
          <w:rtl/>
        </w:rPr>
        <w:footnoteReference w:id="1384"/>
      </w:r>
      <w:r w:rsidRPr="009F36E0">
        <w:rPr>
          <w:rFonts w:ascii="Narkisim" w:hAnsi="Narkisim"/>
        </w:rPr>
        <w:t xml:space="preserve">. </w:t>
      </w:r>
      <w:r w:rsidRPr="009F36E0">
        <w:rPr>
          <w:rFonts w:ascii="Narkisim" w:hAnsi="Narkisim"/>
          <w:rtl/>
        </w:rPr>
        <w:t>וליכא ממזרות במי שאין לו קידושין כלל</w:t>
      </w:r>
      <w:r w:rsidRPr="009F36E0">
        <w:rPr>
          <w:rStyle w:val="ac"/>
          <w:rFonts w:ascii="Narkisim" w:hAnsi="Narkisim"/>
          <w:rtl/>
        </w:rPr>
        <w:footnoteReference w:id="1385"/>
      </w:r>
      <w:r w:rsidRPr="009F36E0">
        <w:rPr>
          <w:rFonts w:ascii="Narkisim" w:hAnsi="Narkisim"/>
        </w:rPr>
        <w:t xml:space="preserve">. </w:t>
      </w:r>
      <w:r w:rsidRPr="009F36E0">
        <w:rPr>
          <w:rFonts w:ascii="Narkisim" w:hAnsi="Narkisim"/>
          <w:rtl/>
        </w:rPr>
        <w:t>[ואף שהוא ישראל שנולד בעבירה לא הוה ממזר]</w:t>
      </w:r>
      <w:r w:rsidRPr="009F36E0">
        <w:rPr>
          <w:rFonts w:ascii="Narkisim" w:hAnsi="Narkisim"/>
        </w:rPr>
        <w:t>.</w:t>
      </w:r>
    </w:p>
    <w:p w14:paraId="6BF15A06" w14:textId="77777777" w:rsidR="006074A5" w:rsidRPr="009F36E0" w:rsidRDefault="006074A5" w:rsidP="006074A5">
      <w:pPr>
        <w:bidi/>
        <w:rPr>
          <w:rFonts w:ascii="Narkisim" w:hAnsi="Narkisim" w:cs="Narkisim"/>
        </w:rPr>
      </w:pPr>
      <w:r w:rsidRPr="009F36E0">
        <w:rPr>
          <w:rFonts w:ascii="Narkisim" w:hAnsi="Narkisim" w:cs="Narkisim"/>
          <w:rtl/>
        </w:rPr>
        <w:t>אבל לגירסא דהכא הגמ' מוכיחה להיפך, דבתר אמו שדינן, ואינו מתייחס אחר צד עכו"ם. [וגדר ממזרות הוה מחמת יחוס לצד נכרי</w:t>
      </w:r>
      <w:r w:rsidRPr="009F36E0">
        <w:rPr>
          <w:rStyle w:val="ac"/>
          <w:rFonts w:ascii="Narkisim" w:hAnsi="Narkisim" w:cs="Narkisim"/>
          <w:rtl/>
        </w:rPr>
        <w:footnoteReference w:id="1386"/>
      </w:r>
      <w:r w:rsidRPr="009F36E0">
        <w:rPr>
          <w:rFonts w:ascii="Narkisim" w:hAnsi="Narkisim" w:cs="Narkisim"/>
          <w:rtl/>
        </w:rPr>
        <w:t>]</w:t>
      </w:r>
      <w:r w:rsidRPr="009F36E0">
        <w:rPr>
          <w:rFonts w:ascii="Narkisim" w:hAnsi="Narkisim" w:cs="Narkisim"/>
        </w:rPr>
        <w:t>.</w:t>
      </w:r>
    </w:p>
    <w:p w14:paraId="2517761B" w14:textId="77777777" w:rsidR="006074A5" w:rsidRPr="009F36E0" w:rsidRDefault="006074A5" w:rsidP="006074A5">
      <w:pPr>
        <w:pStyle w:val="aa"/>
        <w:bidi/>
        <w:rPr>
          <w:rFonts w:ascii="Narkisim" w:hAnsi="Narkisim"/>
        </w:rPr>
      </w:pPr>
      <w:r w:rsidRPr="009F36E0">
        <w:rPr>
          <w:rFonts w:ascii="Narkisim" w:hAnsi="Narkisim"/>
          <w:u w:val="single"/>
          <w:rtl/>
        </w:rPr>
        <w:t>שם. הולד כשר</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דנח' בזה (לקמן מה.). ויש מ"ד (לקמן מה.) דכיון דלא תפסי קידושין הוה ממזר. ויש מ"ד בברייתא (שם) דהולד כשר דממזרות תלי באיסור ערוה וענוש כרת. [ואף דבעכו"ם לא תפסי קידושין אינו 'ערוה'</w:t>
      </w:r>
      <w:r w:rsidRPr="009F36E0">
        <w:rPr>
          <w:rStyle w:val="ac"/>
          <w:rFonts w:ascii="Narkisim" w:hAnsi="Narkisim"/>
          <w:rtl/>
        </w:rPr>
        <w:footnoteReference w:id="1387"/>
      </w:r>
      <w:r w:rsidRPr="009F36E0">
        <w:rPr>
          <w:rFonts w:ascii="Narkisim" w:hAnsi="Narkisim"/>
          <w:rtl/>
        </w:rPr>
        <w:t>]. ולהך מ"ד עולה דלר"ע דיש ממזרות מחייבי לאוין, אף מעכו"ם ועבד הוה ממזר</w:t>
      </w:r>
      <w:r w:rsidRPr="009F36E0">
        <w:rPr>
          <w:rStyle w:val="ac"/>
          <w:rFonts w:ascii="Narkisim" w:hAnsi="Narkisim"/>
          <w:rtl/>
        </w:rPr>
        <w:footnoteReference w:id="1388"/>
      </w:r>
      <w:r w:rsidRPr="009F36E0">
        <w:rPr>
          <w:rFonts w:ascii="Narkisim" w:hAnsi="Narkisim"/>
        </w:rPr>
        <w:t>.</w:t>
      </w:r>
    </w:p>
    <w:p w14:paraId="101AA47B" w14:textId="77777777" w:rsidR="006074A5" w:rsidRPr="009F36E0" w:rsidRDefault="006074A5" w:rsidP="006074A5">
      <w:pPr>
        <w:pStyle w:val="a8"/>
        <w:bidi/>
        <w:rPr>
          <w:rFonts w:ascii="Narkisim" w:hAnsi="Narkisim"/>
        </w:rPr>
      </w:pPr>
      <w:r w:rsidRPr="009F36E0">
        <w:rPr>
          <w:rFonts w:ascii="Narkisim" w:hAnsi="Narkisim"/>
          <w:rtl/>
        </w:rPr>
        <w:t>ועוד מבואר בגמ' (מה:) דנח' בסברא האם בעינן שיהא תפסי קידושין לאחריני. [ובעזה"י יתבאר לקמן]</w:t>
      </w:r>
      <w:r w:rsidRPr="009F36E0">
        <w:rPr>
          <w:rFonts w:ascii="Narkisim" w:hAnsi="Narkisim"/>
        </w:rPr>
        <w:t>.</w:t>
      </w:r>
    </w:p>
    <w:p w14:paraId="6924BEC6" w14:textId="77777777" w:rsidR="006074A5" w:rsidRPr="009F36E0" w:rsidRDefault="006074A5" w:rsidP="006074A5">
      <w:pPr>
        <w:bidi/>
        <w:rPr>
          <w:rFonts w:ascii="Narkisim" w:hAnsi="Narkisim" w:cs="Narkisim"/>
        </w:rPr>
      </w:pPr>
      <w:r w:rsidRPr="009F36E0">
        <w:rPr>
          <w:rFonts w:ascii="Narkisim" w:hAnsi="Narkisim" w:cs="Narkisim"/>
          <w:u w:val="single"/>
          <w:rtl/>
        </w:rPr>
        <w:t>תוד"ה קסבר.</w:t>
      </w:r>
      <w:r w:rsidRPr="009F36E0">
        <w:rPr>
          <w:rFonts w:ascii="Narkisim" w:hAnsi="Narkisim" w:cs="Narkisim"/>
          <w:rtl/>
        </w:rPr>
        <w:t xml:space="preserve"> אבל בקיד' וכו' הולד ממזר וכו' וכ"נ לר"י עיקר דכיון דבתר ישראלית שדינן הוה טפי ממזר וכו' דאין ממזרות לעכו"ם</w:t>
      </w:r>
      <w:r w:rsidRPr="009F36E0">
        <w:rPr>
          <w:rStyle w:val="ac"/>
          <w:rFonts w:ascii="Narkisim" w:hAnsi="Narkisim" w:cs="Narkisim"/>
          <w:rtl/>
        </w:rPr>
        <w:footnoteReference w:id="1389"/>
      </w:r>
      <w:r w:rsidRPr="009F36E0">
        <w:rPr>
          <w:rFonts w:ascii="Narkisim" w:hAnsi="Narkisim" w:cs="Narkisim"/>
        </w:rPr>
        <w:t xml:space="preserve"> </w:t>
      </w:r>
      <w:r w:rsidRPr="009F36E0">
        <w:rPr>
          <w:rFonts w:ascii="Narkisim" w:hAnsi="Narkisim" w:cs="Narkisim"/>
          <w:rtl/>
        </w:rPr>
        <w:t>וכו'. משמע דפשיטא לגמ' דיש סיבת ממזרות [כיון דלא תפסי קידושין], אלא כיון דהוה עכו"ם ל"ש פגם זה כלל</w:t>
      </w:r>
      <w:r w:rsidRPr="009F36E0">
        <w:rPr>
          <w:rStyle w:val="ac"/>
          <w:rFonts w:ascii="Narkisim" w:hAnsi="Narkisim" w:cs="Narkisim"/>
          <w:rtl/>
        </w:rPr>
        <w:footnoteReference w:id="1390"/>
      </w:r>
      <w:r w:rsidRPr="009F36E0">
        <w:rPr>
          <w:rFonts w:ascii="Narkisim" w:hAnsi="Narkisim" w:cs="Narkisim"/>
        </w:rPr>
        <w:t>.</w:t>
      </w:r>
    </w:p>
    <w:p w14:paraId="41B7A5B2" w14:textId="77777777" w:rsidR="006074A5" w:rsidRPr="009F36E0" w:rsidRDefault="006074A5" w:rsidP="006074A5">
      <w:pPr>
        <w:bidi/>
        <w:rPr>
          <w:rFonts w:ascii="Narkisim" w:hAnsi="Narkisim" w:cs="Narkisim"/>
        </w:rPr>
      </w:pPr>
      <w:r w:rsidRPr="009F36E0">
        <w:rPr>
          <w:rFonts w:ascii="Narkisim" w:hAnsi="Narkisim" w:cs="Narkisim"/>
          <w:u w:val="single"/>
          <w:rtl/>
        </w:rPr>
        <w:t>בא"ד וכן משמע (לעיל יז.) וכו' אין בנך הבא מהעובדת כוכבים קרוי בנך אלא בנה</w:t>
      </w:r>
      <w:r w:rsidRPr="009F36E0">
        <w:rPr>
          <w:rFonts w:ascii="Narkisim" w:hAnsi="Narkisim" w:cs="Narkisim"/>
          <w:rtl/>
        </w:rPr>
        <w:t>. ותוס' הביאו עפ"ז [דכוונת הגמ' שם] דאף להיפך, דעכו"ם הבא על בת ישראל שדינן בתר עכו"ם</w:t>
      </w:r>
      <w:r w:rsidRPr="009F36E0">
        <w:rPr>
          <w:rStyle w:val="ac"/>
          <w:rFonts w:ascii="Narkisim" w:hAnsi="Narkisim" w:cs="Narkisim"/>
          <w:rtl/>
        </w:rPr>
        <w:footnoteReference w:id="1391"/>
      </w:r>
      <w:r w:rsidRPr="009F36E0">
        <w:rPr>
          <w:rFonts w:ascii="Narkisim" w:hAnsi="Narkisim" w:cs="Narkisim"/>
        </w:rPr>
        <w:t xml:space="preserve">. </w:t>
      </w:r>
      <w:r w:rsidRPr="009F36E0">
        <w:rPr>
          <w:rFonts w:ascii="Narkisim" w:hAnsi="Narkisim" w:cs="Narkisim"/>
          <w:rtl/>
        </w:rPr>
        <w:t>וצריך גירות</w:t>
      </w:r>
      <w:r w:rsidRPr="009F36E0">
        <w:rPr>
          <w:rStyle w:val="ac"/>
          <w:rFonts w:ascii="Narkisim" w:hAnsi="Narkisim" w:cs="Narkisim"/>
          <w:rtl/>
        </w:rPr>
        <w:footnoteReference w:id="1392"/>
      </w:r>
      <w:r w:rsidRPr="009F36E0">
        <w:rPr>
          <w:rFonts w:ascii="Narkisim" w:hAnsi="Narkisim" w:cs="Narkisim"/>
        </w:rPr>
        <w:t>.</w:t>
      </w:r>
    </w:p>
    <w:p w14:paraId="3D5C697E" w14:textId="77777777" w:rsidR="006074A5" w:rsidRPr="009F36E0" w:rsidRDefault="006074A5" w:rsidP="006074A5">
      <w:pPr>
        <w:pStyle w:val="a8"/>
        <w:bidi/>
        <w:rPr>
          <w:rFonts w:ascii="Narkisim" w:hAnsi="Narkisim"/>
        </w:rPr>
      </w:pPr>
      <w:r w:rsidRPr="009F36E0">
        <w:rPr>
          <w:rFonts w:ascii="Narkisim" w:hAnsi="Narkisim"/>
          <w:rtl/>
        </w:rPr>
        <w:t>ובפשוטו כוונת התוס' דהוה נכרי גמור</w:t>
      </w:r>
      <w:r w:rsidRPr="009F36E0">
        <w:rPr>
          <w:rStyle w:val="ac"/>
          <w:rFonts w:ascii="Narkisim" w:hAnsi="Narkisim"/>
          <w:rtl/>
        </w:rPr>
        <w:footnoteReference w:id="1393"/>
      </w:r>
      <w:r w:rsidRPr="009F36E0">
        <w:rPr>
          <w:rFonts w:ascii="Narkisim" w:hAnsi="Narkisim"/>
        </w:rPr>
        <w:t xml:space="preserve"> </w:t>
      </w:r>
      <w:r w:rsidRPr="009F36E0">
        <w:rPr>
          <w:rFonts w:ascii="Narkisim" w:hAnsi="Narkisim"/>
          <w:rtl/>
        </w:rPr>
        <w:t>[וע' מה שהובא לעיל טז:]</w:t>
      </w:r>
      <w:r w:rsidRPr="009F36E0">
        <w:rPr>
          <w:rFonts w:ascii="Narkisim" w:hAnsi="Narkisim"/>
        </w:rPr>
        <w:t>.</w:t>
      </w:r>
    </w:p>
    <w:p w14:paraId="1D47D9B9" w14:textId="77777777" w:rsidR="006074A5" w:rsidRPr="009F36E0" w:rsidRDefault="006074A5" w:rsidP="006074A5">
      <w:pPr>
        <w:pStyle w:val="a7"/>
        <w:bidi/>
        <w:rPr>
          <w:rFonts w:ascii="Narkisim" w:hAnsi="Narkisim"/>
        </w:rPr>
      </w:pPr>
      <w:r w:rsidRPr="009F36E0">
        <w:rPr>
          <w:rFonts w:ascii="Narkisim" w:hAnsi="Narkisim"/>
          <w:rtl/>
        </w:rPr>
        <w:t xml:space="preserve">וכ"ד </w:t>
      </w:r>
      <w:r w:rsidRPr="009F36E0">
        <w:rPr>
          <w:rFonts w:ascii="Narkisim" w:hAnsi="Narkisim"/>
          <w:b/>
          <w:bCs/>
          <w:rtl/>
        </w:rPr>
        <w:t>תוס</w:t>
      </w:r>
      <w:r w:rsidRPr="009F36E0">
        <w:rPr>
          <w:rFonts w:ascii="Narkisim" w:hAnsi="Narkisim"/>
          <w:rtl/>
        </w:rPr>
        <w:t>' בכ"מ</w:t>
      </w:r>
      <w:r w:rsidRPr="009F36E0">
        <w:rPr>
          <w:rStyle w:val="ac"/>
          <w:rFonts w:ascii="Narkisim" w:hAnsi="Narkisim"/>
          <w:rtl/>
        </w:rPr>
        <w:footnoteReference w:id="1394"/>
      </w:r>
      <w:r w:rsidRPr="009F36E0">
        <w:rPr>
          <w:rFonts w:ascii="Narkisim" w:hAnsi="Narkisim"/>
        </w:rPr>
        <w:t xml:space="preserve"> </w:t>
      </w:r>
      <w:r w:rsidRPr="009F36E0">
        <w:rPr>
          <w:rFonts w:ascii="Narkisim" w:hAnsi="Narkisim"/>
          <w:szCs w:val="20"/>
          <w:rtl/>
        </w:rPr>
        <w:t>(לעיל טז:, בכורות מז., ע' קידושין עה: ומהרש"א שם)</w:t>
      </w:r>
      <w:r w:rsidRPr="009F36E0">
        <w:rPr>
          <w:rFonts w:ascii="Narkisim" w:hAnsi="Narkisim"/>
          <w:rtl/>
        </w:rPr>
        <w:t xml:space="preserve"> דעכו"ם הבא על בת ישראל הולד צריך גירות. אבל דעת ה</w:t>
      </w:r>
      <w:r w:rsidRPr="009F36E0">
        <w:rPr>
          <w:rFonts w:ascii="Narkisim" w:hAnsi="Narkisim"/>
          <w:b/>
          <w:bCs/>
          <w:rtl/>
        </w:rPr>
        <w:t>רמב"ם</w:t>
      </w:r>
      <w:r w:rsidRPr="009F36E0">
        <w:rPr>
          <w:rFonts w:ascii="Narkisim" w:hAnsi="Narkisim"/>
          <w:rtl/>
        </w:rPr>
        <w:t xml:space="preserve"> (איסו"ב טו ג) דהולד ישראל כשר</w:t>
      </w:r>
      <w:r w:rsidRPr="009F36E0">
        <w:rPr>
          <w:rStyle w:val="ac"/>
          <w:rFonts w:ascii="Narkisim" w:hAnsi="Narkisim"/>
          <w:rtl/>
        </w:rPr>
        <w:footnoteReference w:id="1395"/>
      </w:r>
      <w:r w:rsidRPr="009F36E0">
        <w:rPr>
          <w:rFonts w:ascii="Narkisim" w:hAnsi="Narkisim"/>
        </w:rPr>
        <w:t xml:space="preserve"> </w:t>
      </w:r>
      <w:r w:rsidRPr="009F36E0">
        <w:rPr>
          <w:rFonts w:ascii="Narkisim" w:hAnsi="Narkisim"/>
          <w:rtl/>
        </w:rPr>
        <w:t>[ואי"צ גירות]</w:t>
      </w:r>
      <w:r w:rsidRPr="009F36E0">
        <w:rPr>
          <w:rStyle w:val="ac"/>
          <w:rFonts w:ascii="Narkisim" w:hAnsi="Narkisim"/>
          <w:rtl/>
        </w:rPr>
        <w:footnoteReference w:id="1396"/>
      </w:r>
      <w:r w:rsidRPr="009F36E0">
        <w:rPr>
          <w:rFonts w:ascii="Narkisim" w:hAnsi="Narkisim"/>
        </w:rPr>
        <w:t>.</w:t>
      </w:r>
    </w:p>
    <w:p w14:paraId="6878449A" w14:textId="77777777" w:rsidR="006074A5" w:rsidRPr="009F36E0" w:rsidRDefault="006074A5" w:rsidP="006074A5">
      <w:pPr>
        <w:bidi/>
        <w:rPr>
          <w:rFonts w:ascii="Narkisim" w:hAnsi="Narkisim" w:cs="Narkisim"/>
        </w:rPr>
      </w:pPr>
      <w:r w:rsidRPr="009F36E0">
        <w:rPr>
          <w:rFonts w:ascii="Narkisim" w:hAnsi="Narkisim" w:cs="Narkisim"/>
          <w:u w:val="single"/>
          <w:rtl/>
        </w:rPr>
        <w:t>האי בז' אומות כתיב וכו'</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ומנ"ל דשאר אומות ולדה כמותה. </w:t>
      </w:r>
      <w:r w:rsidRPr="009F36E0">
        <w:rPr>
          <w:rFonts w:ascii="Narkisim" w:hAnsi="Narkisim" w:cs="Narkisim"/>
          <w:b/>
          <w:bCs/>
          <w:rtl/>
        </w:rPr>
        <w:t>רע"א</w:t>
      </w:r>
      <w:r w:rsidRPr="009F36E0">
        <w:rPr>
          <w:rFonts w:ascii="Narkisim" w:hAnsi="Narkisim" w:cs="Narkisim"/>
          <w:rtl/>
        </w:rPr>
        <w:t xml:space="preserve"> הק' דנילף הצד השווה מז' אומות ושפחה. וכי פרכת מה לז' אומות דאדיקי בע"ז, שפחה תוכיח. ומה לשפחה דאין לה חייס, ז' אומות יוכיח. ואולי דידע הגמרא שיש איזה פירכא כל דהוא</w:t>
      </w:r>
      <w:r w:rsidRPr="009F36E0">
        <w:rPr>
          <w:rFonts w:ascii="Narkisim" w:hAnsi="Narkisim" w:cs="Narkisim"/>
        </w:rPr>
        <w:t>.</w:t>
      </w:r>
    </w:p>
    <w:p w14:paraId="68ECC333" w14:textId="77777777" w:rsidR="006074A5" w:rsidRPr="009F36E0" w:rsidRDefault="006074A5" w:rsidP="006074A5">
      <w:pPr>
        <w:bidi/>
        <w:rPr>
          <w:rFonts w:ascii="Narkisim" w:hAnsi="Narkisim" w:cs="Narkisim"/>
        </w:rPr>
      </w:pPr>
      <w:r w:rsidRPr="009F36E0">
        <w:rPr>
          <w:rFonts w:ascii="Narkisim" w:hAnsi="Narkisim" w:cs="Narkisim"/>
          <w:u w:val="single"/>
          <w:rtl/>
        </w:rPr>
        <w:t>הניחא לר' שמעון דדריש טעמא דקרא וכו'.</w:t>
      </w:r>
      <w:r w:rsidRPr="009F36E0">
        <w:rPr>
          <w:rFonts w:ascii="Narkisim" w:hAnsi="Narkisim" w:cs="Narkisim"/>
          <w:rtl/>
        </w:rPr>
        <w:t xml:space="preserve"> והגמ' דידן לא תי' לרבנן. [ור' יוסי בר"י מיעט </w:t>
      </w:r>
      <w:r w:rsidRPr="009F36E0">
        <w:rPr>
          <w:rFonts w:ascii="Narkisim" w:hAnsi="Narkisim" w:cs="Narkisim"/>
          <w:rtl/>
        </w:rPr>
        <w:lastRenderedPageBreak/>
        <w:t>מ'בת אשת אביך'</w:t>
      </w:r>
      <w:r w:rsidRPr="009F36E0">
        <w:rPr>
          <w:rStyle w:val="ac"/>
          <w:rFonts w:ascii="Narkisim" w:hAnsi="Narkisim" w:cs="Narkisim"/>
          <w:rtl/>
        </w:rPr>
        <w:footnoteReference w:id="1397"/>
      </w:r>
      <w:r w:rsidRPr="009F36E0">
        <w:rPr>
          <w:rFonts w:ascii="Narkisim" w:hAnsi="Narkisim" w:cs="Narkisim"/>
          <w:rtl/>
        </w:rPr>
        <w:t>]. ו</w:t>
      </w:r>
      <w:r w:rsidRPr="009F36E0">
        <w:rPr>
          <w:rFonts w:ascii="Narkisim" w:hAnsi="Narkisim" w:cs="Narkisim"/>
          <w:b/>
          <w:bCs/>
          <w:rtl/>
        </w:rPr>
        <w:t>תוס'</w:t>
      </w:r>
      <w:r w:rsidRPr="009F36E0">
        <w:rPr>
          <w:rFonts w:ascii="Narkisim" w:hAnsi="Narkisim" w:cs="Narkisim"/>
          <w:rtl/>
        </w:rPr>
        <w:t xml:space="preserve"> הביאו דהגמ' (קידושין סח:) תי' דילפ' כל היכא דקרינן 'כי תהיינה' [דתפסי קידושין</w:t>
      </w:r>
      <w:r w:rsidRPr="009F36E0">
        <w:rPr>
          <w:rStyle w:val="ac"/>
          <w:rFonts w:ascii="Narkisim" w:hAnsi="Narkisim" w:cs="Narkisim"/>
          <w:rtl/>
        </w:rPr>
        <w:footnoteReference w:id="1398"/>
      </w:r>
      <w:r w:rsidRPr="009F36E0">
        <w:rPr>
          <w:rFonts w:ascii="Narkisim" w:hAnsi="Narkisim" w:cs="Narkisim"/>
          <w:rtl/>
        </w:rPr>
        <w:t>] קרינן 'וילדה'. [והגמ' שם דורשת דלא תפסי קידושין בעכו"ם</w:t>
      </w:r>
      <w:r w:rsidRPr="009F36E0">
        <w:rPr>
          <w:rStyle w:val="ac"/>
          <w:rFonts w:ascii="Narkisim" w:hAnsi="Narkisim" w:cs="Narkisim"/>
          <w:rtl/>
        </w:rPr>
        <w:footnoteReference w:id="1399"/>
      </w:r>
      <w:r w:rsidRPr="009F36E0">
        <w:rPr>
          <w:rFonts w:ascii="Narkisim" w:hAnsi="Narkisim" w:cs="Narkisim"/>
          <w:rtl/>
        </w:rPr>
        <w:t>]</w:t>
      </w:r>
      <w:r w:rsidRPr="009F36E0">
        <w:rPr>
          <w:rFonts w:ascii="Narkisim" w:hAnsi="Narkisim" w:cs="Narkisim"/>
        </w:rPr>
        <w:t>.</w:t>
      </w:r>
    </w:p>
    <w:p w14:paraId="5E097403"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רמב"ם</w:t>
      </w:r>
      <w:r w:rsidRPr="009F36E0">
        <w:rPr>
          <w:rFonts w:ascii="Narkisim" w:hAnsi="Narkisim" w:cs="Narkisim"/>
          <w:sz w:val="20"/>
          <w:szCs w:val="20"/>
          <w:rtl/>
        </w:rPr>
        <w:t xml:space="preserve"> (איסו"ב יב ז, ויבום א ד) </w:t>
      </w:r>
      <w:r w:rsidRPr="009F36E0">
        <w:rPr>
          <w:rFonts w:ascii="Narkisim" w:hAnsi="Narkisim" w:cs="Narkisim"/>
          <w:rtl/>
        </w:rPr>
        <w:t>דרש בנה מגויה כמי שאינם, מקרא ד'כי יסיר', דמסיר אותו מלחשב קהל</w:t>
      </w:r>
      <w:r w:rsidRPr="009F36E0">
        <w:rPr>
          <w:rStyle w:val="ac"/>
          <w:rFonts w:ascii="Narkisim" w:hAnsi="Narkisim" w:cs="Narkisim"/>
          <w:rtl/>
        </w:rPr>
        <w:footnoteReference w:id="1400"/>
      </w:r>
      <w:r w:rsidRPr="009F36E0">
        <w:rPr>
          <w:rFonts w:ascii="Narkisim" w:hAnsi="Narkisim" w:cs="Narkisim"/>
        </w:rPr>
        <w:t xml:space="preserve">. </w:t>
      </w:r>
      <w:r w:rsidRPr="009F36E0">
        <w:rPr>
          <w:rFonts w:ascii="Narkisim" w:hAnsi="Narkisim" w:cs="Narkisim"/>
          <w:rtl/>
        </w:rPr>
        <w:t>ומשמע דפסק כר"ש דקאי בכל האומות. וה</w:t>
      </w:r>
      <w:r w:rsidRPr="009F36E0">
        <w:rPr>
          <w:rFonts w:ascii="Narkisim" w:hAnsi="Narkisim" w:cs="Narkisim"/>
          <w:b/>
          <w:bCs/>
          <w:rtl/>
        </w:rPr>
        <w:t>לח"מ</w:t>
      </w:r>
      <w:r w:rsidRPr="009F36E0">
        <w:rPr>
          <w:rFonts w:ascii="Narkisim" w:hAnsi="Narkisim" w:cs="Narkisim"/>
          <w:rtl/>
        </w:rPr>
        <w:t xml:space="preserve"> (מלוה ג) הק' דבשאר מקומות הרמב"ם לא פסק כר' שמעון. [וע' אחרונים]. וה</w:t>
      </w:r>
      <w:r w:rsidRPr="009F36E0">
        <w:rPr>
          <w:rFonts w:ascii="Narkisim" w:hAnsi="Narkisim" w:cs="Narkisim"/>
          <w:b/>
          <w:bCs/>
          <w:rtl/>
        </w:rPr>
        <w:t>גר"א</w:t>
      </w:r>
      <w:r w:rsidRPr="009F36E0">
        <w:rPr>
          <w:rFonts w:ascii="Narkisim" w:hAnsi="Narkisim" w:cs="Narkisim"/>
          <w:rtl/>
        </w:rPr>
        <w:t xml:space="preserve"> (טז ב) כת' דהרמב"ם למד בסוגיא בקידושין, דגלי קרא [כי תהיינה] דהך קרא דלא תתחתן קאי בכל האומות, ואף לרבנן דר"ש</w:t>
      </w:r>
      <w:r w:rsidRPr="009F36E0">
        <w:rPr>
          <w:rFonts w:ascii="Narkisim" w:hAnsi="Narkisim" w:cs="Narkisim"/>
        </w:rPr>
        <w:t>.</w:t>
      </w:r>
    </w:p>
    <w:p w14:paraId="2BB473ED" w14:textId="77777777" w:rsidR="006074A5" w:rsidRPr="009F36E0" w:rsidRDefault="006074A5" w:rsidP="006074A5">
      <w:pPr>
        <w:pStyle w:val="aa"/>
        <w:bidi/>
        <w:rPr>
          <w:rFonts w:ascii="Narkisim" w:hAnsi="Narkisim"/>
        </w:rPr>
      </w:pPr>
      <w:r w:rsidRPr="009F36E0">
        <w:rPr>
          <w:rFonts w:ascii="Narkisim" w:hAnsi="Narkisim"/>
          <w:u w:val="single"/>
          <w:rtl/>
        </w:rPr>
        <w:t>תוד"ה ההוא.</w:t>
      </w:r>
      <w:r w:rsidRPr="009F36E0">
        <w:rPr>
          <w:rFonts w:ascii="Narkisim" w:hAnsi="Narkisim"/>
          <w:rtl/>
        </w:rPr>
        <w:t xml:space="preserve"> וא"ת דלא תתחתן בם וכו' דוקא בז' אומות</w:t>
      </w:r>
      <w:r w:rsidRPr="009F36E0">
        <w:rPr>
          <w:rStyle w:val="ac"/>
          <w:rFonts w:ascii="Narkisim" w:hAnsi="Narkisim"/>
          <w:rtl/>
        </w:rPr>
        <w:footnoteReference w:id="1401"/>
      </w:r>
      <w:r w:rsidRPr="009F36E0">
        <w:rPr>
          <w:rFonts w:ascii="Narkisim" w:hAnsi="Narkisim"/>
        </w:rPr>
        <w:t xml:space="preserve"> </w:t>
      </w:r>
      <w:r w:rsidRPr="009F36E0">
        <w:rPr>
          <w:rFonts w:ascii="Narkisim" w:hAnsi="Narkisim"/>
          <w:rtl/>
        </w:rPr>
        <w:t>וכו'. אבל ה</w:t>
      </w:r>
      <w:r w:rsidRPr="009F36E0">
        <w:rPr>
          <w:rFonts w:ascii="Narkisim" w:hAnsi="Narkisim"/>
          <w:b/>
          <w:bCs/>
          <w:rtl/>
        </w:rPr>
        <w:t>רמב"ם</w:t>
      </w:r>
      <w:r w:rsidRPr="009F36E0">
        <w:rPr>
          <w:rFonts w:ascii="Narkisim" w:hAnsi="Narkisim"/>
          <w:rtl/>
        </w:rPr>
        <w:t xml:space="preserve"> (איסו"ב יב א</w:t>
      </w:r>
      <w:r w:rsidRPr="009F36E0">
        <w:rPr>
          <w:rStyle w:val="ac"/>
          <w:rFonts w:ascii="Narkisim" w:hAnsi="Narkisim"/>
          <w:rtl/>
        </w:rPr>
        <w:footnoteReference w:id="1402"/>
      </w:r>
      <w:r w:rsidRPr="009F36E0">
        <w:rPr>
          <w:rFonts w:ascii="Narkisim" w:hAnsi="Narkisim"/>
          <w:rtl/>
        </w:rPr>
        <w:t>) הביא דקאי בכל האומות [קודם גירות</w:t>
      </w:r>
      <w:r w:rsidRPr="009F36E0">
        <w:rPr>
          <w:rStyle w:val="ac"/>
          <w:rFonts w:ascii="Narkisim" w:hAnsi="Narkisim"/>
          <w:rtl/>
        </w:rPr>
        <w:footnoteReference w:id="1403"/>
      </w:r>
      <w:r w:rsidRPr="009F36E0">
        <w:rPr>
          <w:rFonts w:ascii="Narkisim" w:hAnsi="Narkisim"/>
          <w:rtl/>
        </w:rPr>
        <w:t>]. וה</w:t>
      </w:r>
      <w:r w:rsidRPr="009F36E0">
        <w:rPr>
          <w:rFonts w:ascii="Narkisim" w:hAnsi="Narkisim"/>
          <w:b/>
          <w:bCs/>
          <w:rtl/>
        </w:rPr>
        <w:t>רמ"ך</w:t>
      </w:r>
      <w:r w:rsidRPr="009F36E0">
        <w:rPr>
          <w:rFonts w:ascii="Narkisim" w:hAnsi="Narkisim"/>
          <w:rtl/>
        </w:rPr>
        <w:t xml:space="preserve"> וה</w:t>
      </w:r>
      <w:r w:rsidRPr="009F36E0">
        <w:rPr>
          <w:rFonts w:ascii="Narkisim" w:hAnsi="Narkisim"/>
          <w:b/>
          <w:bCs/>
          <w:rtl/>
        </w:rPr>
        <w:t>טור</w:t>
      </w:r>
      <w:r w:rsidRPr="009F36E0">
        <w:rPr>
          <w:rFonts w:ascii="Narkisim" w:hAnsi="Narkisim"/>
          <w:rtl/>
        </w:rPr>
        <w:t xml:space="preserve"> (טז) השיגו דהך קרא איירי דוקא בז' אומות, דלא קי"ל כר' שמעון דדרש טעמא דקרא</w:t>
      </w:r>
      <w:r w:rsidRPr="009F36E0">
        <w:rPr>
          <w:rStyle w:val="ac"/>
          <w:rFonts w:ascii="Narkisim" w:hAnsi="Narkisim"/>
          <w:rtl/>
        </w:rPr>
        <w:footnoteReference w:id="1404"/>
      </w:r>
      <w:r w:rsidRPr="009F36E0">
        <w:rPr>
          <w:rFonts w:ascii="Narkisim" w:hAnsi="Narkisim"/>
        </w:rPr>
        <w:t xml:space="preserve">. </w:t>
      </w:r>
      <w:r w:rsidRPr="009F36E0">
        <w:rPr>
          <w:rFonts w:ascii="Narkisim" w:hAnsi="Narkisim"/>
          <w:rtl/>
        </w:rPr>
        <w:t>[וע"ע לקמן עו.]</w:t>
      </w:r>
      <w:r w:rsidRPr="009F36E0">
        <w:rPr>
          <w:rFonts w:ascii="Narkisim" w:hAnsi="Narkisim"/>
        </w:rPr>
        <w:t>.</w:t>
      </w:r>
    </w:p>
    <w:p w14:paraId="44D026F6" w14:textId="77777777" w:rsidR="006074A5" w:rsidRPr="009F36E0" w:rsidRDefault="006074A5" w:rsidP="006074A5">
      <w:pPr>
        <w:pStyle w:val="aa"/>
        <w:bidi/>
        <w:rPr>
          <w:rFonts w:ascii="Narkisim" w:hAnsi="Narkisim"/>
        </w:rPr>
      </w:pPr>
      <w:r w:rsidRPr="009F36E0">
        <w:rPr>
          <w:rFonts w:ascii="Narkisim" w:hAnsi="Narkisim"/>
        </w:rPr>
        <w:t xml:space="preserve"> </w:t>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כת' [דעיקר] קרא קאי בגירותן לאסור ז' אומות, וריבה קרא כי יסיר לשאר עממין בגיותן שהם בני הסרה. ומכיון שנתגיירו שוב אינן מסירים</w:t>
      </w:r>
      <w:r w:rsidRPr="009F36E0">
        <w:rPr>
          <w:rFonts w:ascii="Narkisim" w:hAnsi="Narkisim"/>
        </w:rPr>
        <w:t>.</w:t>
      </w:r>
    </w:p>
    <w:p w14:paraId="0073795F" w14:textId="77777777" w:rsidR="006074A5" w:rsidRPr="009F36E0" w:rsidRDefault="006074A5" w:rsidP="006074A5">
      <w:pPr>
        <w:pStyle w:val="aa"/>
        <w:bidi/>
        <w:rPr>
          <w:rFonts w:ascii="Narkisim" w:hAnsi="Narkisim"/>
        </w:rPr>
      </w:pPr>
      <w:r w:rsidRPr="009F36E0">
        <w:rPr>
          <w:rFonts w:ascii="Narkisim" w:hAnsi="Narkisim"/>
          <w:u w:val="single"/>
          <w:rtl/>
          <w:lang w:val="he-IL"/>
        </w:rPr>
        <w:t>בא"ד וא"ת והיכי כרת ברית וכו'.</w:t>
      </w:r>
      <w:r w:rsidRPr="009F36E0">
        <w:rPr>
          <w:rFonts w:ascii="Narkisim" w:hAnsi="Narkisim"/>
          <w:rtl/>
          <w:lang w:val="he-IL"/>
        </w:rPr>
        <w:t xml:space="preserve"> מבואר דנח' תי' התוס' האם אסור לכרות ברית בשאר אומות [כשאינם מקבלים עליהם להיות גר תושב</w:t>
      </w:r>
      <w:r w:rsidRPr="009F36E0">
        <w:rPr>
          <w:rStyle w:val="ac"/>
          <w:rFonts w:ascii="Narkisim" w:hAnsi="Narkisim"/>
          <w:rtl/>
          <w:lang w:val="he-IL"/>
        </w:rPr>
        <w:footnoteReference w:id="1405"/>
      </w:r>
      <w:r w:rsidRPr="009F36E0">
        <w:rPr>
          <w:rFonts w:ascii="Narkisim" w:hAnsi="Narkisim"/>
          <w:rtl/>
          <w:lang w:val="he-IL"/>
        </w:rPr>
        <w:t>]. [וביארו דנח' התי' האם כריתת ברית שייך לאיסור לא תחנם, או שייך לגדרי כיבוש אר"י].</w:t>
      </w:r>
    </w:p>
    <w:p w14:paraId="6903E85B" w14:textId="77777777" w:rsidR="006074A5" w:rsidRPr="009F36E0" w:rsidRDefault="006074A5" w:rsidP="006074A5">
      <w:pPr>
        <w:pStyle w:val="3"/>
        <w:bidi/>
        <w:rPr>
          <w:rFonts w:ascii="Narkisim" w:hAnsi="Narkisim"/>
        </w:rPr>
      </w:pPr>
      <w:r w:rsidRPr="009F36E0">
        <w:rPr>
          <w:rFonts w:ascii="Narkisim" w:hAnsi="Narkisim"/>
          <w:rtl/>
        </w:rPr>
        <w:t>דף כג</w:t>
      </w:r>
      <w:r w:rsidRPr="009F36E0">
        <w:rPr>
          <w:rFonts w:ascii="Narkisim" w:hAnsi="Narkisim"/>
        </w:rPr>
        <w:t>:</w:t>
      </w:r>
    </w:p>
    <w:p w14:paraId="55F5E9C3" w14:textId="77777777" w:rsidR="006074A5" w:rsidRPr="009F36E0" w:rsidRDefault="006074A5" w:rsidP="006074A5">
      <w:pPr>
        <w:bidi/>
        <w:rPr>
          <w:rFonts w:ascii="Narkisim" w:hAnsi="Narkisim" w:cs="Narkisim"/>
        </w:rPr>
      </w:pPr>
      <w:r w:rsidRPr="009F36E0">
        <w:rPr>
          <w:rFonts w:ascii="Narkisim" w:hAnsi="Narkisim" w:cs="Narkisim"/>
          <w:u w:val="single"/>
          <w:rtl/>
        </w:rPr>
        <w:t>מי שקידש א' מב' אחיות ואין ידוע וכו' נותן גט לזו וגט לזו</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דכל א' אסורה עליו משום ספק אחות אשה. </w:t>
      </w:r>
      <w:r w:rsidRPr="009F36E0">
        <w:rPr>
          <w:rFonts w:ascii="Narkisim" w:hAnsi="Narkisim" w:cs="Narkisim"/>
          <w:sz w:val="20"/>
          <w:szCs w:val="20"/>
          <w:rtl/>
        </w:rPr>
        <w:t>ולהו"א איירי דבמעשה א' קידש אחת משניהם, דקידש שניהם בספק. (ע' בסמוך). והגמ' דוחה דאיירי דהוכרו ולבסוף נתערבו</w:t>
      </w:r>
      <w:r w:rsidRPr="009F36E0">
        <w:rPr>
          <w:rFonts w:ascii="Narkisim" w:hAnsi="Narkisim" w:cs="Narkisim"/>
        </w:rPr>
        <w:t>.</w:t>
      </w:r>
    </w:p>
    <w:p w14:paraId="5615C910" w14:textId="77777777" w:rsidR="006074A5" w:rsidRPr="009F36E0" w:rsidRDefault="006074A5" w:rsidP="006074A5">
      <w:pPr>
        <w:pStyle w:val="a7"/>
        <w:bidi/>
        <w:rPr>
          <w:rFonts w:ascii="Narkisim" w:hAnsi="Narkisim"/>
        </w:rPr>
      </w:pPr>
      <w:r w:rsidRPr="009F36E0">
        <w:rPr>
          <w:rFonts w:ascii="Narkisim" w:hAnsi="Narkisim"/>
          <w:rtl/>
        </w:rPr>
        <w:t>ה</w:t>
      </w:r>
      <w:r w:rsidRPr="009F36E0">
        <w:rPr>
          <w:rFonts w:ascii="Narkisim" w:hAnsi="Narkisim"/>
          <w:b/>
          <w:bCs/>
          <w:rtl/>
        </w:rPr>
        <w:t>קוב"ש</w:t>
      </w:r>
      <w:r w:rsidRPr="009F36E0">
        <w:rPr>
          <w:rFonts w:ascii="Narkisim" w:hAnsi="Narkisim"/>
          <w:rtl/>
        </w:rPr>
        <w:t xml:space="preserve"> (ח"ב לש"ש כג) הק' דנימא דכל א' תהא מותרת לו משום חזקה דמעיקרא, להכריע שלא קידש אחותה</w:t>
      </w:r>
      <w:r w:rsidRPr="009F36E0">
        <w:rPr>
          <w:rStyle w:val="ac"/>
          <w:rFonts w:ascii="Narkisim" w:hAnsi="Narkisim"/>
          <w:rtl/>
        </w:rPr>
        <w:footnoteReference w:id="1406"/>
      </w:r>
      <w:r w:rsidRPr="009F36E0">
        <w:rPr>
          <w:rFonts w:ascii="Narkisim" w:hAnsi="Narkisim"/>
        </w:rPr>
        <w:t xml:space="preserve">. </w:t>
      </w:r>
      <w:r w:rsidRPr="009F36E0">
        <w:rPr>
          <w:rFonts w:ascii="Narkisim" w:hAnsi="Narkisim"/>
          <w:szCs w:val="20"/>
          <w:rtl/>
        </w:rPr>
        <w:t>וכמו בב' שבילים דמוקמינן כל א' על חזקתו כשבאו לישאל בזה אחר זה</w:t>
      </w:r>
      <w:r w:rsidRPr="009F36E0">
        <w:rPr>
          <w:rStyle w:val="ac"/>
          <w:rFonts w:ascii="Narkisim" w:hAnsi="Narkisim"/>
          <w:szCs w:val="20"/>
          <w:rtl/>
        </w:rPr>
        <w:footnoteReference w:id="1407"/>
      </w:r>
      <w:r w:rsidRPr="009F36E0">
        <w:rPr>
          <w:rFonts w:ascii="Narkisim" w:hAnsi="Narkisim"/>
        </w:rPr>
        <w:t xml:space="preserve">. </w:t>
      </w:r>
      <w:r w:rsidRPr="009F36E0">
        <w:rPr>
          <w:rFonts w:ascii="Narkisim" w:hAnsi="Narkisim"/>
          <w:rtl/>
        </w:rPr>
        <w:t>ועוד אמאי צריכות גט כלל, הא יש להעמיד כל א' על חזקת פנויה מדאורייתא. ותי' דבספק קידושין קי"ל דצריכה גט משום חומרא דרבנן</w:t>
      </w:r>
      <w:r w:rsidRPr="009F36E0">
        <w:rPr>
          <w:rStyle w:val="ac"/>
          <w:rFonts w:ascii="Narkisim" w:hAnsi="Narkisim"/>
          <w:rtl/>
        </w:rPr>
        <w:footnoteReference w:id="1408"/>
      </w:r>
      <w:r w:rsidRPr="009F36E0">
        <w:rPr>
          <w:rFonts w:ascii="Narkisim" w:hAnsi="Narkisim"/>
        </w:rPr>
        <w:t>.</w:t>
      </w:r>
    </w:p>
    <w:p w14:paraId="1CCF41E2" w14:textId="77777777" w:rsidR="006074A5" w:rsidRPr="009F36E0" w:rsidRDefault="006074A5" w:rsidP="006074A5">
      <w:pPr>
        <w:pStyle w:val="a7"/>
        <w:bidi/>
        <w:rPr>
          <w:rFonts w:ascii="Narkisim" w:hAnsi="Narkisim"/>
        </w:rPr>
      </w:pPr>
      <w:r w:rsidRPr="009F36E0">
        <w:rPr>
          <w:rFonts w:ascii="Narkisim" w:hAnsi="Narkisim"/>
          <w:rtl/>
        </w:rPr>
        <w:t xml:space="preserve">אך הקשה דבגמ' מבואר דנחשב קידושין שאינן מסורים לביאה, ומבואר דאסור בה </w:t>
      </w:r>
      <w:r w:rsidRPr="009F36E0">
        <w:rPr>
          <w:rFonts w:ascii="Narkisim" w:hAnsi="Narkisim"/>
          <w:rtl/>
        </w:rPr>
        <w:lastRenderedPageBreak/>
        <w:t>מדאורייתא. ושוב דחה דאה"נ דאסור רק מדרבנן, ואפ"ה הו' קידושין שאין מסורין לביאה. דסוף סוף אסור בה מחמת קידושין אלו</w:t>
      </w:r>
      <w:r w:rsidRPr="009F36E0">
        <w:rPr>
          <w:rStyle w:val="ac"/>
          <w:rFonts w:ascii="Narkisim" w:hAnsi="Narkisim"/>
          <w:rtl/>
        </w:rPr>
        <w:footnoteReference w:id="1409"/>
      </w:r>
      <w:r w:rsidRPr="009F36E0">
        <w:rPr>
          <w:rFonts w:ascii="Narkisim" w:hAnsi="Narkisim"/>
        </w:rPr>
        <w:t xml:space="preserve"> </w:t>
      </w:r>
      <w:r w:rsidRPr="009F36E0">
        <w:rPr>
          <w:rFonts w:ascii="Narkisim" w:hAnsi="Narkisim"/>
          <w:szCs w:val="20"/>
          <w:rtl/>
        </w:rPr>
        <w:t>[עי"ש שהאריך</w:t>
      </w:r>
      <w:r w:rsidRPr="009F36E0">
        <w:rPr>
          <w:rFonts w:ascii="Narkisim" w:hAnsi="Narkisim"/>
          <w:rtl/>
        </w:rPr>
        <w:t>]</w:t>
      </w:r>
      <w:r w:rsidRPr="009F36E0">
        <w:rPr>
          <w:rFonts w:ascii="Narkisim" w:hAnsi="Narkisim"/>
        </w:rPr>
        <w:t>.</w:t>
      </w:r>
    </w:p>
    <w:p w14:paraId="561F3120" w14:textId="77777777" w:rsidR="006074A5" w:rsidRPr="009F36E0" w:rsidRDefault="006074A5" w:rsidP="006074A5">
      <w:pPr>
        <w:pStyle w:val="a8"/>
        <w:bidi/>
        <w:rPr>
          <w:rFonts w:ascii="Narkisim" w:hAnsi="Narkisim"/>
        </w:rPr>
      </w:pPr>
      <w:r w:rsidRPr="009F36E0">
        <w:rPr>
          <w:rFonts w:ascii="Narkisim" w:hAnsi="Narkisim"/>
        </w:rPr>
        <w:t>[</w:t>
      </w:r>
      <w:r w:rsidRPr="009F36E0">
        <w:rPr>
          <w:rFonts w:ascii="Narkisim" w:hAnsi="Narkisim"/>
          <w:rtl/>
        </w:rPr>
        <w:t>ויש שדנו דהמקדש א' מב' אחיות צורת החלות דינו כספק ולא שייך הכרעת חזקה כלל</w:t>
      </w:r>
      <w:r w:rsidRPr="009F36E0">
        <w:rPr>
          <w:rStyle w:val="ac"/>
          <w:rFonts w:ascii="Narkisim" w:hAnsi="Narkisim"/>
          <w:rtl/>
        </w:rPr>
        <w:footnoteReference w:id="1410"/>
      </w:r>
      <w:r w:rsidRPr="009F36E0">
        <w:rPr>
          <w:rFonts w:ascii="Narkisim" w:hAnsi="Narkisim"/>
        </w:rPr>
        <w:t>].</w:t>
      </w:r>
    </w:p>
    <w:p w14:paraId="05AC710B" w14:textId="77777777" w:rsidR="006074A5" w:rsidRPr="009F36E0" w:rsidRDefault="006074A5" w:rsidP="006074A5">
      <w:pPr>
        <w:bidi/>
        <w:rPr>
          <w:rFonts w:ascii="Narkisim" w:hAnsi="Narkisim" w:cs="Narkisim"/>
        </w:rPr>
      </w:pPr>
      <w:r w:rsidRPr="009F36E0">
        <w:rPr>
          <w:rFonts w:ascii="Narkisim" w:hAnsi="Narkisim" w:cs="Narkisim"/>
          <w:u w:val="single"/>
          <w:rtl/>
        </w:rPr>
        <w:t>מת ולו אח א' חולץ לשניהם.</w:t>
      </w:r>
      <w:r w:rsidRPr="009F36E0">
        <w:rPr>
          <w:rFonts w:ascii="Narkisim" w:hAnsi="Narkisim" w:cs="Narkisim"/>
          <w:rtl/>
        </w:rPr>
        <w:t xml:space="preserve"> ה</w:t>
      </w:r>
      <w:r w:rsidRPr="009F36E0">
        <w:rPr>
          <w:rFonts w:ascii="Narkisim" w:hAnsi="Narkisim" w:cs="Narkisim"/>
          <w:b/>
          <w:bCs/>
          <w:rtl/>
        </w:rPr>
        <w:t>רשב"א</w:t>
      </w:r>
      <w:r w:rsidRPr="009F36E0">
        <w:rPr>
          <w:rFonts w:ascii="Narkisim" w:hAnsi="Narkisim" w:cs="Narkisim"/>
          <w:rtl/>
        </w:rPr>
        <w:t xml:space="preserve"> ו</w:t>
      </w:r>
      <w:r w:rsidRPr="009F36E0">
        <w:rPr>
          <w:rFonts w:ascii="Narkisim" w:hAnsi="Narkisim" w:cs="Narkisim"/>
          <w:b/>
          <w:bCs/>
          <w:rtl/>
        </w:rPr>
        <w:t>ריטב"א</w:t>
      </w:r>
      <w:r w:rsidRPr="009F36E0">
        <w:rPr>
          <w:rFonts w:ascii="Narkisim" w:hAnsi="Narkisim" w:cs="Narkisim"/>
          <w:rtl/>
        </w:rPr>
        <w:t xml:space="preserve"> דייקו דאם קדם וכנס יוציא [ודוקא בסיפא דב' אחים תנן דאין מוציאין]. וביארו דברישא קנסו אף בדיעבד כיון דספק כנס אחות חלוצתו</w:t>
      </w:r>
      <w:r w:rsidRPr="009F36E0">
        <w:rPr>
          <w:rStyle w:val="ac"/>
          <w:rFonts w:ascii="Narkisim" w:hAnsi="Narkisim" w:cs="Narkisim"/>
          <w:rtl/>
        </w:rPr>
        <w:footnoteReference w:id="1411"/>
      </w:r>
      <w:r w:rsidRPr="009F36E0">
        <w:rPr>
          <w:rFonts w:ascii="Narkisim" w:hAnsi="Narkisim" w:cs="Narkisim"/>
        </w:rPr>
        <w:t>.</w:t>
      </w:r>
    </w:p>
    <w:p w14:paraId="4379735C"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כת' אע"ג דספיקא דרבנן לקולא אפי' לכתחילה, ובכולה מתני' אסור, כיון </w:t>
      </w:r>
      <w:r w:rsidRPr="009F36E0">
        <w:rPr>
          <w:rFonts w:ascii="Narkisim" w:hAnsi="Narkisim"/>
          <w:i/>
          <w:iCs/>
          <w:rtl/>
        </w:rPr>
        <w:t>דמילתא</w:t>
      </w:r>
      <w:r w:rsidRPr="009F36E0">
        <w:rPr>
          <w:rFonts w:ascii="Narkisim" w:hAnsi="Narkisim"/>
          <w:rtl/>
        </w:rPr>
        <w:t xml:space="preserve"> </w:t>
      </w:r>
      <w:r w:rsidRPr="009F36E0">
        <w:rPr>
          <w:rFonts w:ascii="Narkisim" w:hAnsi="Narkisim"/>
          <w:i/>
          <w:iCs/>
          <w:rtl/>
        </w:rPr>
        <w:t>דפרסום</w:t>
      </w:r>
      <w:r w:rsidRPr="009F36E0">
        <w:rPr>
          <w:rFonts w:ascii="Narkisim" w:hAnsi="Narkisim"/>
          <w:rtl/>
        </w:rPr>
        <w:t xml:space="preserve"> גזרו אחות זקוקה אטו אחות אשתו. [וע"ע בגמ' כד.]</w:t>
      </w:r>
      <w:r w:rsidRPr="009F36E0">
        <w:rPr>
          <w:rFonts w:ascii="Narkisim" w:hAnsi="Narkisim"/>
        </w:rPr>
        <w:t>.</w:t>
      </w:r>
    </w:p>
    <w:p w14:paraId="254B6B63" w14:textId="77777777" w:rsidR="006074A5" w:rsidRPr="009F36E0" w:rsidRDefault="006074A5" w:rsidP="006074A5">
      <w:pPr>
        <w:bidi/>
        <w:rPr>
          <w:rFonts w:ascii="Narkisim" w:hAnsi="Narkisim" w:cs="Narkisim"/>
        </w:rPr>
      </w:pPr>
      <w:r w:rsidRPr="009F36E0">
        <w:rPr>
          <w:rFonts w:ascii="Narkisim" w:hAnsi="Narkisim" w:cs="Narkisim"/>
          <w:u w:val="single"/>
          <w:rtl/>
        </w:rPr>
        <w:t>רש"י ד"ה קדמו וכנסו.</w:t>
      </w:r>
      <w:r w:rsidRPr="009F36E0">
        <w:rPr>
          <w:rFonts w:ascii="Narkisim" w:hAnsi="Narkisim" w:cs="Narkisim"/>
          <w:rtl/>
        </w:rPr>
        <w:t xml:space="preserve"> קודם שנמלכו בבי"ד. ה</w:t>
      </w:r>
      <w:r w:rsidRPr="009F36E0">
        <w:rPr>
          <w:rFonts w:ascii="Narkisim" w:hAnsi="Narkisim" w:cs="Narkisim"/>
          <w:b/>
          <w:bCs/>
          <w:rtl/>
        </w:rPr>
        <w:t>רא"ש</w:t>
      </w:r>
      <w:r w:rsidRPr="009F36E0">
        <w:rPr>
          <w:rFonts w:ascii="Narkisim" w:hAnsi="Narkisim" w:cs="Narkisim"/>
          <w:rtl/>
        </w:rPr>
        <w:t xml:space="preserve"> (ד) דייק דאם בי"ד פסקו להם לאיסור ועברו, יוציאו, כיון שעברו על דברי הבי"ד יוציאו. </w:t>
      </w:r>
      <w:r w:rsidRPr="009F36E0">
        <w:rPr>
          <w:rFonts w:ascii="Narkisim" w:hAnsi="Narkisim" w:cs="Narkisim"/>
          <w:sz w:val="20"/>
          <w:szCs w:val="20"/>
          <w:rtl/>
        </w:rPr>
        <w:t>וה</w:t>
      </w:r>
      <w:r w:rsidRPr="009F36E0">
        <w:rPr>
          <w:rFonts w:ascii="Narkisim" w:hAnsi="Narkisim" w:cs="Narkisim"/>
          <w:b/>
          <w:bCs/>
          <w:sz w:val="20"/>
          <w:szCs w:val="20"/>
          <w:rtl/>
        </w:rPr>
        <w:t>ק"נ</w:t>
      </w:r>
      <w:r w:rsidRPr="009F36E0">
        <w:rPr>
          <w:rFonts w:ascii="Narkisim" w:hAnsi="Narkisim" w:cs="Narkisim"/>
          <w:sz w:val="20"/>
          <w:szCs w:val="20"/>
          <w:rtl/>
        </w:rPr>
        <w:t xml:space="preserve"> (ו) דייק דאף השני יוציא, וכתב דאיירי דייבמו בבת אחת או בהסכמה א'. דאל"כ השני לא עשה איסור, דכבר פקע הזיקה</w:t>
      </w:r>
      <w:r w:rsidRPr="009F36E0">
        <w:rPr>
          <w:rFonts w:ascii="Narkisim" w:hAnsi="Narkisim" w:cs="Narkisim"/>
          <w:sz w:val="20"/>
          <w:szCs w:val="20"/>
        </w:rPr>
        <w:t>.</w:t>
      </w:r>
    </w:p>
    <w:p w14:paraId="59637C12" w14:textId="77777777" w:rsidR="006074A5" w:rsidRPr="009F36E0" w:rsidRDefault="006074A5" w:rsidP="006074A5">
      <w:pPr>
        <w:bidi/>
        <w:rPr>
          <w:rFonts w:ascii="Narkisim" w:hAnsi="Narkisim" w:cs="Narkisim"/>
        </w:rPr>
      </w:pPr>
      <w:r w:rsidRPr="009F36E0">
        <w:rPr>
          <w:rFonts w:ascii="Narkisim" w:hAnsi="Narkisim" w:cs="Narkisim"/>
          <w:u w:val="single"/>
          <w:rtl/>
        </w:rPr>
        <w:t>רש"י ד"ה אין מוציאין מידם.</w:t>
      </w:r>
      <w:r w:rsidRPr="009F36E0">
        <w:rPr>
          <w:rFonts w:ascii="Narkisim" w:hAnsi="Narkisim" w:cs="Narkisim"/>
          <w:rtl/>
        </w:rPr>
        <w:t xml:space="preserve"> ההיא שעתא ודאי הויא איסורא, ומשבא אחיו וכו'. ה</w:t>
      </w:r>
      <w:r w:rsidRPr="009F36E0">
        <w:rPr>
          <w:rFonts w:ascii="Narkisim" w:hAnsi="Narkisim" w:cs="Narkisim"/>
          <w:b/>
          <w:bCs/>
          <w:rtl/>
        </w:rPr>
        <w:t>תוי"ט</w:t>
      </w:r>
      <w:r w:rsidRPr="009F36E0">
        <w:rPr>
          <w:rFonts w:ascii="Narkisim" w:hAnsi="Narkisim" w:cs="Narkisim"/>
          <w:sz w:val="20"/>
          <w:szCs w:val="20"/>
          <w:rtl/>
        </w:rPr>
        <w:t xml:space="preserve"> (ד ט)</w:t>
      </w:r>
      <w:r w:rsidRPr="009F36E0">
        <w:rPr>
          <w:rFonts w:ascii="Narkisim" w:hAnsi="Narkisim" w:cs="Narkisim"/>
          <w:rtl/>
        </w:rPr>
        <w:t xml:space="preserve"> דייק מדברי רש"י דאף דכנס אחות זקוקתו, לא אמרי' דנישואין מפקיעים לזיקה. </w:t>
      </w:r>
      <w:r w:rsidRPr="009F36E0">
        <w:rPr>
          <w:rFonts w:ascii="Narkisim" w:hAnsi="Narkisim" w:cs="Narkisim"/>
          <w:sz w:val="20"/>
          <w:szCs w:val="20"/>
          <w:rtl/>
        </w:rPr>
        <w:t xml:space="preserve">[וכדעת </w:t>
      </w:r>
      <w:r w:rsidRPr="009F36E0">
        <w:rPr>
          <w:rFonts w:ascii="Narkisim" w:hAnsi="Narkisim" w:cs="Narkisim"/>
          <w:b/>
          <w:bCs/>
          <w:sz w:val="20"/>
          <w:szCs w:val="20"/>
          <w:rtl/>
        </w:rPr>
        <w:t>תוס</w:t>
      </w:r>
      <w:r w:rsidRPr="009F36E0">
        <w:rPr>
          <w:rFonts w:ascii="Narkisim" w:hAnsi="Narkisim" w:cs="Narkisim"/>
          <w:sz w:val="20"/>
          <w:szCs w:val="20"/>
          <w:rtl/>
        </w:rPr>
        <w:t>' (לעיל יח:) וה</w:t>
      </w:r>
      <w:r w:rsidRPr="009F36E0">
        <w:rPr>
          <w:rFonts w:ascii="Narkisim" w:hAnsi="Narkisim" w:cs="Narkisim"/>
          <w:b/>
          <w:bCs/>
          <w:sz w:val="20"/>
          <w:szCs w:val="20"/>
          <w:rtl/>
        </w:rPr>
        <w:t>רמב"ן</w:t>
      </w:r>
      <w:r w:rsidRPr="009F36E0">
        <w:rPr>
          <w:rFonts w:ascii="Narkisim" w:hAnsi="Narkisim" w:cs="Narkisim"/>
          <w:sz w:val="20"/>
          <w:szCs w:val="20"/>
          <w:rtl/>
        </w:rPr>
        <w:t xml:space="preserve"> (שם), אלא כדעת ה</w:t>
      </w:r>
      <w:r w:rsidRPr="009F36E0">
        <w:rPr>
          <w:rFonts w:ascii="Narkisim" w:hAnsi="Narkisim" w:cs="Narkisim"/>
          <w:b/>
          <w:bCs/>
          <w:sz w:val="20"/>
          <w:szCs w:val="20"/>
          <w:rtl/>
        </w:rPr>
        <w:t>ריטב"א</w:t>
      </w:r>
      <w:r w:rsidRPr="009F36E0">
        <w:rPr>
          <w:rFonts w:ascii="Narkisim" w:hAnsi="Narkisim" w:cs="Narkisim"/>
          <w:sz w:val="20"/>
          <w:szCs w:val="20"/>
          <w:rtl/>
        </w:rPr>
        <w:t xml:space="preserve"> (שם)],</w:t>
      </w:r>
      <w:r w:rsidRPr="009F36E0">
        <w:rPr>
          <w:rFonts w:ascii="Narkisim" w:hAnsi="Narkisim" w:cs="Narkisim"/>
          <w:rtl/>
        </w:rPr>
        <w:t xml:space="preserve"> וצריך להמתין עד שיעשה אחיו מעשה להתיר</w:t>
      </w:r>
      <w:r w:rsidRPr="009F36E0">
        <w:rPr>
          <w:rStyle w:val="ac"/>
          <w:rFonts w:ascii="Narkisim" w:hAnsi="Narkisim" w:cs="Narkisim"/>
          <w:rtl/>
        </w:rPr>
        <w:footnoteReference w:id="1412"/>
      </w: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רש"ש</w:t>
      </w:r>
      <w:r w:rsidRPr="009F36E0">
        <w:rPr>
          <w:rFonts w:ascii="Narkisim" w:hAnsi="Narkisim" w:cs="Narkisim"/>
          <w:rtl/>
        </w:rPr>
        <w:t xml:space="preserve"> </w:t>
      </w:r>
      <w:r w:rsidRPr="009F36E0">
        <w:rPr>
          <w:rFonts w:ascii="Narkisim" w:hAnsi="Narkisim" w:cs="Narkisim"/>
          <w:sz w:val="20"/>
          <w:szCs w:val="20"/>
          <w:rtl/>
        </w:rPr>
        <w:t xml:space="preserve">(יח:) </w:t>
      </w:r>
      <w:r w:rsidRPr="009F36E0">
        <w:rPr>
          <w:rFonts w:ascii="Narkisim" w:hAnsi="Narkisim" w:cs="Narkisim"/>
          <w:rtl/>
        </w:rPr>
        <w:t>דחה די"ל דרש"י איירי דוקא כשיש אח נוסף, דכיון דיש ב' אחים עדיין זקוקה לאחיו</w:t>
      </w:r>
      <w:r w:rsidRPr="009F36E0">
        <w:rPr>
          <w:rFonts w:ascii="Narkisim" w:hAnsi="Narkisim" w:cs="Narkisim"/>
        </w:rPr>
        <w:t>.</w:t>
      </w:r>
    </w:p>
    <w:p w14:paraId="589BA6D7" w14:textId="77777777" w:rsidR="006074A5" w:rsidRPr="009F36E0" w:rsidRDefault="006074A5" w:rsidP="006074A5">
      <w:pPr>
        <w:bidi/>
        <w:rPr>
          <w:rFonts w:ascii="Narkisim" w:hAnsi="Narkisim" w:cs="Narkisim"/>
        </w:rPr>
      </w:pPr>
      <w:r w:rsidRPr="009F36E0">
        <w:rPr>
          <w:rFonts w:ascii="Narkisim" w:hAnsi="Narkisim" w:cs="Narkisim"/>
          <w:u w:val="single"/>
          <w:rtl/>
        </w:rPr>
        <w:t xml:space="preserve">בא"ד פקע זיקה מאידך </w:t>
      </w:r>
      <w:r w:rsidRPr="009F36E0">
        <w:rPr>
          <w:rFonts w:ascii="Narkisim" w:hAnsi="Narkisim" w:cs="Narkisim"/>
          <w:i/>
          <w:iCs/>
          <w:u w:val="single"/>
          <w:rtl/>
        </w:rPr>
        <w:t>למפרע.</w:t>
      </w:r>
      <w:r w:rsidRPr="009F36E0">
        <w:rPr>
          <w:rFonts w:ascii="Narkisim" w:hAnsi="Narkisim" w:cs="Narkisim"/>
          <w:rtl/>
        </w:rPr>
        <w:t xml:space="preserve"> ה</w:t>
      </w:r>
      <w:r w:rsidRPr="009F36E0">
        <w:rPr>
          <w:rFonts w:ascii="Narkisim" w:hAnsi="Narkisim" w:cs="Narkisim"/>
          <w:b/>
          <w:bCs/>
          <w:rtl/>
        </w:rPr>
        <w:t>אחרונים</w:t>
      </w:r>
      <w:r w:rsidRPr="009F36E0">
        <w:rPr>
          <w:rFonts w:ascii="Narkisim" w:hAnsi="Narkisim" w:cs="Narkisim"/>
          <w:rtl/>
        </w:rPr>
        <w:t xml:space="preserve"> הביאו מרש"י דע"י יבום או חליצה של אח א' פקע זיקה משאר אחים למפרע. ועד"ז הביאו מהירושלמי [ע' מש"כ לעיל יז:]. אבל ה</w:t>
      </w:r>
      <w:r w:rsidRPr="009F36E0">
        <w:rPr>
          <w:rFonts w:ascii="Narkisim" w:hAnsi="Narkisim" w:cs="Narkisim"/>
          <w:b/>
          <w:bCs/>
          <w:rtl/>
        </w:rPr>
        <w:t>רש"ש</w:t>
      </w:r>
      <w:r w:rsidRPr="009F36E0">
        <w:rPr>
          <w:rFonts w:ascii="Narkisim" w:hAnsi="Narkisim" w:cs="Narkisim"/>
          <w:rtl/>
        </w:rPr>
        <w:t xml:space="preserve"> הק' דאי אפשר לומר דהוה כאילו לא היתה זקוקה מעולם. והביא ד</w:t>
      </w:r>
      <w:r w:rsidRPr="009F36E0">
        <w:rPr>
          <w:rFonts w:ascii="Narkisim" w:hAnsi="Narkisim" w:cs="Narkisim"/>
          <w:b/>
          <w:bCs/>
          <w:rtl/>
        </w:rPr>
        <w:t>רש"י</w:t>
      </w:r>
      <w:r w:rsidRPr="009F36E0">
        <w:rPr>
          <w:rFonts w:ascii="Narkisim" w:hAnsi="Narkisim" w:cs="Narkisim"/>
          <w:rtl/>
        </w:rPr>
        <w:t xml:space="preserve"> (בסוף העמ') כ' דאמרי' דנאסרה שעה א' שוב אינה מתייבמת</w:t>
      </w:r>
      <w:r w:rsidRPr="009F36E0">
        <w:rPr>
          <w:rStyle w:val="ac"/>
          <w:rFonts w:ascii="Narkisim" w:hAnsi="Narkisim" w:cs="Narkisim"/>
          <w:rtl/>
        </w:rPr>
        <w:footnoteReference w:id="1413"/>
      </w:r>
      <w:r w:rsidRPr="009F36E0">
        <w:rPr>
          <w:rFonts w:ascii="Narkisim" w:hAnsi="Narkisim" w:cs="Narkisim"/>
        </w:rPr>
        <w:t xml:space="preserve">. </w:t>
      </w:r>
      <w:r w:rsidRPr="009F36E0">
        <w:rPr>
          <w:rFonts w:ascii="Narkisim" w:hAnsi="Narkisim" w:cs="Narkisim"/>
          <w:rtl/>
        </w:rPr>
        <w:t>ומבואר דהוה הפקעה רק מכאן ולהבא, דאי פקע הזיקה למפרע לא נאסרה מעולם</w:t>
      </w:r>
      <w:r w:rsidRPr="009F36E0">
        <w:rPr>
          <w:rFonts w:ascii="Narkisim" w:hAnsi="Narkisim" w:cs="Narkisim"/>
        </w:rPr>
        <w:t>.</w:t>
      </w:r>
    </w:p>
    <w:p w14:paraId="665C59F3"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w:t>
      </w:r>
      <w:r w:rsidRPr="009F36E0">
        <w:rPr>
          <w:rFonts w:ascii="Narkisim" w:hAnsi="Narkisim"/>
          <w:szCs w:val="20"/>
          <w:rtl/>
        </w:rPr>
        <w:t>(או"ש קו' זיקה טז, קה"י יח)</w:t>
      </w:r>
      <w:r w:rsidRPr="009F36E0">
        <w:rPr>
          <w:rFonts w:ascii="Narkisim" w:hAnsi="Narkisim"/>
          <w:rtl/>
        </w:rPr>
        <w:t xml:space="preserve"> דחו דאף דהוה למפרע, כיון דנעקר ע"י מעשה מכאן ולהבא, מאתמול היתה אסורה, ואמרי' נאסרה</w:t>
      </w:r>
      <w:r w:rsidRPr="009F36E0">
        <w:rPr>
          <w:rFonts w:ascii="Narkisim" w:hAnsi="Narkisim"/>
        </w:rPr>
        <w:t>.</w:t>
      </w:r>
    </w:p>
    <w:p w14:paraId="7FF3A2EE"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דעד"ז מבואר ב</w:t>
      </w:r>
      <w:r w:rsidRPr="009F36E0">
        <w:rPr>
          <w:rFonts w:ascii="Narkisim" w:hAnsi="Narkisim"/>
          <w:b/>
          <w:bCs/>
          <w:rtl/>
        </w:rPr>
        <w:t>תשב"ץ</w:t>
      </w:r>
      <w:r w:rsidRPr="009F36E0">
        <w:rPr>
          <w:rFonts w:ascii="Narkisim" w:hAnsi="Narkisim"/>
          <w:rtl/>
        </w:rPr>
        <w:t xml:space="preserve"> (ב רס, הו' בב"י ס"ס קסה בשם הרשב"ש, ע' קובה"ע ה יג) דדן שהנודרת הנאה ונשאלה לחכם, כיון דנאסרה בשעת נפילה אסורה לעולם. ואף דחכם עוקר את הנדר למפרע. אלא דהוה ע"י מעשה מכאן ולהבא</w:t>
      </w:r>
      <w:r w:rsidRPr="009F36E0">
        <w:rPr>
          <w:rStyle w:val="ac"/>
          <w:rFonts w:ascii="Narkisim" w:hAnsi="Narkisim"/>
          <w:rtl/>
        </w:rPr>
        <w:footnoteReference w:id="1414"/>
      </w:r>
      <w:r w:rsidRPr="009F36E0">
        <w:rPr>
          <w:rFonts w:ascii="Narkisim" w:hAnsi="Narkisim"/>
        </w:rPr>
        <w:t xml:space="preserve">. </w:t>
      </w:r>
      <w:r w:rsidRPr="009F36E0">
        <w:rPr>
          <w:rFonts w:ascii="Narkisim" w:hAnsi="Narkisim"/>
          <w:rtl/>
        </w:rPr>
        <w:t xml:space="preserve">אבל בשו"ת </w:t>
      </w:r>
      <w:r w:rsidRPr="009F36E0">
        <w:rPr>
          <w:rFonts w:ascii="Narkisim" w:hAnsi="Narkisim"/>
          <w:b/>
          <w:bCs/>
          <w:rtl/>
        </w:rPr>
        <w:t>מהר"ם חלאוה</w:t>
      </w:r>
      <w:r w:rsidRPr="009F36E0">
        <w:rPr>
          <w:rFonts w:ascii="Narkisim" w:hAnsi="Narkisim"/>
          <w:rtl/>
        </w:rPr>
        <w:t xml:space="preserve"> (קלו, הו' במיוחסות לריב"ש ד) כתב דל"ש נאסרה כיון דחכם עוקר את הנדר מעיקרא</w:t>
      </w:r>
      <w:r w:rsidRPr="009F36E0">
        <w:rPr>
          <w:rFonts w:ascii="Narkisim" w:hAnsi="Narkisim"/>
        </w:rPr>
        <w:t>.</w:t>
      </w:r>
    </w:p>
    <w:p w14:paraId="40BE74A1" w14:textId="77777777" w:rsidR="006074A5" w:rsidRPr="009F36E0" w:rsidRDefault="006074A5" w:rsidP="006074A5">
      <w:pPr>
        <w:bidi/>
        <w:rPr>
          <w:rFonts w:ascii="Narkisim" w:hAnsi="Narkisim" w:cs="Narkisim"/>
        </w:rPr>
      </w:pPr>
      <w:r w:rsidRPr="009F36E0">
        <w:rPr>
          <w:rFonts w:ascii="Narkisim" w:hAnsi="Narkisim" w:cs="Narkisim"/>
          <w:u w:val="single"/>
          <w:rtl/>
        </w:rPr>
        <w:t>תוד"ה קדמו.</w:t>
      </w:r>
      <w:r w:rsidRPr="009F36E0">
        <w:rPr>
          <w:rFonts w:ascii="Narkisim" w:hAnsi="Narkisim" w:cs="Narkisim"/>
          <w:rtl/>
        </w:rPr>
        <w:t xml:space="preserve"> דשמא לא פגע באחות זקוקה, אבל אי ודאי וכו'. </w:t>
      </w:r>
      <w:r w:rsidRPr="009F36E0">
        <w:rPr>
          <w:rFonts w:ascii="Narkisim" w:hAnsi="Narkisim" w:cs="Narkisim"/>
          <w:sz w:val="20"/>
          <w:szCs w:val="20"/>
          <w:rtl/>
        </w:rPr>
        <w:t>[כדאי' בגמ' (כד.) אימור דידיה איתרמי].</w:t>
      </w:r>
      <w:r w:rsidRPr="009F36E0">
        <w:rPr>
          <w:rFonts w:ascii="Narkisim" w:hAnsi="Narkisim" w:cs="Narkisim"/>
          <w:rtl/>
        </w:rPr>
        <w:t xml:space="preserve"> מבואר בתוס' דקנסו דכל היכא דהפקיע את אחותה ע"י ביאה באיסור. אבל </w:t>
      </w:r>
      <w:r w:rsidRPr="009F36E0">
        <w:rPr>
          <w:rFonts w:ascii="Narkisim" w:hAnsi="Narkisim" w:cs="Narkisim"/>
          <w:b/>
          <w:bCs/>
          <w:rtl/>
        </w:rPr>
        <w:t>תוס</w:t>
      </w:r>
      <w:r w:rsidRPr="009F36E0">
        <w:rPr>
          <w:rFonts w:ascii="Narkisim" w:hAnsi="Narkisim" w:cs="Narkisim"/>
          <w:rtl/>
        </w:rPr>
        <w:t>' (יח: ד"ה אומרים) כתבו דרק היכא דלא היה יכול לבוא לידי היתר קנסו</w:t>
      </w:r>
      <w:r w:rsidRPr="009F36E0">
        <w:rPr>
          <w:rStyle w:val="ac"/>
          <w:rFonts w:ascii="Narkisim" w:hAnsi="Narkisim" w:cs="Narkisim"/>
          <w:rtl/>
        </w:rPr>
        <w:footnoteReference w:id="1415"/>
      </w:r>
      <w:r w:rsidRPr="009F36E0">
        <w:rPr>
          <w:rFonts w:ascii="Narkisim" w:hAnsi="Narkisim" w:cs="Narkisim"/>
        </w:rPr>
        <w:t>.</w:t>
      </w:r>
    </w:p>
    <w:p w14:paraId="658D1B2E" w14:textId="77777777" w:rsidR="006074A5" w:rsidRPr="009F36E0" w:rsidRDefault="006074A5" w:rsidP="006074A5">
      <w:pPr>
        <w:pStyle w:val="aa"/>
        <w:bidi/>
        <w:rPr>
          <w:rFonts w:ascii="Narkisim" w:hAnsi="Narkisim"/>
        </w:rPr>
      </w:pPr>
      <w:r w:rsidRPr="009F36E0">
        <w:rPr>
          <w:rFonts w:ascii="Narkisim" w:hAnsi="Narkisim"/>
          <w:u w:val="single"/>
          <w:rtl/>
        </w:rPr>
        <w:t>שם. פגע באחות זקוקתו</w:t>
      </w:r>
      <w:r w:rsidRPr="009F36E0">
        <w:rPr>
          <w:rFonts w:ascii="Narkisim" w:hAnsi="Narkisim"/>
          <w:rtl/>
        </w:rPr>
        <w:t>. [ואילו לרבנן (לקמן מא.) מפקיע ע"י קידושין בעלמא, ואילו בסוגיין הוה ביאת איסור</w:t>
      </w:r>
      <w:r w:rsidRPr="009F36E0">
        <w:rPr>
          <w:rStyle w:val="ac"/>
          <w:rFonts w:ascii="Narkisim" w:hAnsi="Narkisim"/>
          <w:rtl/>
        </w:rPr>
        <w:footnoteReference w:id="1416"/>
      </w:r>
      <w:r w:rsidRPr="009F36E0">
        <w:rPr>
          <w:rFonts w:ascii="Narkisim" w:hAnsi="Narkisim"/>
          <w:rtl/>
        </w:rPr>
        <w:t xml:space="preserve">]. משמע דתוס' קאי למ"ד יש זיקה, ומשום איסור אחות זקוקתו. אך בגמ' (כד.) מבואר דקאי אף למ"ד </w:t>
      </w:r>
      <w:r w:rsidRPr="009F36E0">
        <w:rPr>
          <w:rFonts w:ascii="Narkisim" w:hAnsi="Narkisim"/>
          <w:rtl/>
        </w:rPr>
        <w:lastRenderedPageBreak/>
        <w:t>אסור לבטל מצוות יבמין</w:t>
      </w:r>
      <w:r w:rsidRPr="009F36E0">
        <w:rPr>
          <w:rFonts w:ascii="Narkisim" w:hAnsi="Narkisim"/>
        </w:rPr>
        <w:t>.</w:t>
      </w:r>
    </w:p>
    <w:p w14:paraId="7158939E"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(לקמן מא.) הק' דלמ"ד אין זיקה ומשום איסור לבטל מצוות יבמין, א"כ ליכא חילוק אי מבטל ע"י מעשה קידושין או ביאת יבום. א"כ צ"ב מ"ש דהכא קנסו, ואילו מקדש אחות יבמתו [בקידושין דעלמא] לא קנסו. ויש שפי' דלהך מ"ד תקנו מעיקרא שלא לייבם כלל (וכמ”ש רש”י לקמן כח.), אף אחר חליצה [משום גזירה]. ומש"ה אף קדמו וכנסו עבר בגזירה זו</w:t>
      </w:r>
      <w:r w:rsidRPr="009F36E0">
        <w:rPr>
          <w:rStyle w:val="ac"/>
          <w:rFonts w:ascii="Narkisim" w:hAnsi="Narkisim"/>
          <w:rtl/>
        </w:rPr>
        <w:footnoteReference w:id="1417"/>
      </w:r>
      <w:r w:rsidRPr="009F36E0">
        <w:rPr>
          <w:rFonts w:ascii="Narkisim" w:hAnsi="Narkisim"/>
        </w:rPr>
        <w:t>.</w:t>
      </w:r>
    </w:p>
    <w:p w14:paraId="6E24016B" w14:textId="77777777" w:rsidR="006074A5" w:rsidRPr="009F36E0" w:rsidRDefault="006074A5" w:rsidP="006074A5">
      <w:pPr>
        <w:pStyle w:val="aa"/>
        <w:bidi/>
        <w:rPr>
          <w:rFonts w:ascii="Narkisim" w:hAnsi="Narkisim"/>
        </w:rPr>
      </w:pPr>
      <w:r w:rsidRPr="009F36E0">
        <w:rPr>
          <w:rFonts w:ascii="Narkisim" w:hAnsi="Narkisim"/>
          <w:u w:val="single"/>
          <w:rtl/>
        </w:rPr>
        <w:t>בא"ד אע"ג דגבי שומר"י שקידש וכו' אי"צ לרבנן אפי' להמתין וכו'</w:t>
      </w:r>
      <w:r w:rsidRPr="009F36E0">
        <w:rPr>
          <w:rFonts w:ascii="Narkisim" w:hAnsi="Narkisim"/>
          <w:rtl/>
        </w:rPr>
        <w:t>. דדעת ר' יהודה בן בתירא דימתין, דיש זיקה וקידושין לא מפקיעי זיקה. ו</w:t>
      </w:r>
      <w:r w:rsidRPr="009F36E0">
        <w:rPr>
          <w:rFonts w:ascii="Narkisim" w:hAnsi="Narkisim"/>
          <w:b/>
          <w:bCs/>
          <w:rtl/>
        </w:rPr>
        <w:t>תוס'</w:t>
      </w:r>
      <w:r w:rsidRPr="009F36E0">
        <w:rPr>
          <w:rFonts w:ascii="Narkisim" w:hAnsi="Narkisim"/>
          <w:rtl/>
        </w:rPr>
        <w:t xml:space="preserve"> (לעיל יח:) העמידו דנח' האמוראים אי סברת רבנן משום דאין זיקה או משום קידושין מפקיעי זיקה</w:t>
      </w:r>
      <w:r w:rsidRPr="009F36E0">
        <w:rPr>
          <w:rFonts w:ascii="Narkisim" w:hAnsi="Narkisim"/>
        </w:rPr>
        <w:t>.</w:t>
      </w:r>
    </w:p>
    <w:p w14:paraId="76574ACC" w14:textId="77777777" w:rsidR="006074A5" w:rsidRPr="009F36E0" w:rsidRDefault="006074A5" w:rsidP="006074A5">
      <w:pPr>
        <w:bidi/>
        <w:rPr>
          <w:rFonts w:ascii="Narkisim" w:hAnsi="Narkisim" w:cs="Narkisim"/>
        </w:rPr>
      </w:pPr>
      <w:r w:rsidRPr="009F36E0">
        <w:rPr>
          <w:rFonts w:ascii="Narkisim" w:hAnsi="Narkisim" w:cs="Narkisim"/>
          <w:u w:val="single"/>
          <w:rtl/>
        </w:rPr>
        <w:t>לזה ב' ולזה ב' אחיו של זה חולץ וכו' ואחיו של זה מייבם חלוצתו של זה.</w:t>
      </w:r>
      <w:r w:rsidRPr="009F36E0">
        <w:rPr>
          <w:rFonts w:ascii="Narkisim" w:hAnsi="Narkisim" w:cs="Narkisim"/>
          <w:rtl/>
        </w:rPr>
        <w:t xml:space="preserve"> ה</w:t>
      </w:r>
      <w:r w:rsidRPr="009F36E0">
        <w:rPr>
          <w:rFonts w:ascii="Narkisim" w:hAnsi="Narkisim" w:cs="Narkisim"/>
          <w:b/>
          <w:bCs/>
          <w:rtl/>
        </w:rPr>
        <w:t>מהרשד"ם</w:t>
      </w:r>
      <w:r w:rsidRPr="009F36E0">
        <w:rPr>
          <w:rFonts w:ascii="Narkisim" w:hAnsi="Narkisim" w:cs="Narkisim"/>
          <w:rtl/>
        </w:rPr>
        <w:t xml:space="preserve"> (אה"ע קנח) כת' דבספק יבמה [שנולד ספק נפל], כיון דאינה ראיוה יבום, נחשב חליצה פסולה וצריכה לחזור ולחלוץ מכל האחים</w:t>
      </w:r>
      <w:r w:rsidRPr="009F36E0">
        <w:rPr>
          <w:rFonts w:ascii="Narkisim" w:hAnsi="Narkisim" w:cs="Narkisim"/>
          <w:sz w:val="20"/>
          <w:szCs w:val="20"/>
          <w:rtl/>
        </w:rPr>
        <w:t xml:space="preserve"> [וכדאיתא (לקמן כו:, לדעת רש"י והרמב"ם</w:t>
      </w:r>
      <w:r w:rsidRPr="009F36E0">
        <w:rPr>
          <w:rStyle w:val="ac"/>
          <w:rFonts w:ascii="Narkisim" w:hAnsi="Narkisim" w:cs="Narkisim"/>
          <w:sz w:val="20"/>
          <w:szCs w:val="20"/>
          <w:rtl/>
        </w:rPr>
        <w:footnoteReference w:id="1418"/>
      </w:r>
      <w:r w:rsidRPr="009F36E0">
        <w:rPr>
          <w:rFonts w:ascii="Narkisim" w:hAnsi="Narkisim" w:cs="Narkisim"/>
          <w:sz w:val="20"/>
          <w:szCs w:val="20"/>
          <w:rtl/>
        </w:rPr>
        <w:t>) דהיכא דאסורה לייבם צריכין חיזור]</w:t>
      </w:r>
      <w:r w:rsidRPr="009F36E0">
        <w:rPr>
          <w:rFonts w:ascii="Narkisim" w:hAnsi="Narkisim" w:cs="Narkisim"/>
          <w:rtl/>
        </w:rPr>
        <w:t xml:space="preserve">. וכ"ד </w:t>
      </w:r>
      <w:r w:rsidRPr="009F36E0">
        <w:rPr>
          <w:rFonts w:ascii="Narkisim" w:hAnsi="Narkisim" w:cs="Narkisim"/>
          <w:b/>
          <w:bCs/>
          <w:rtl/>
        </w:rPr>
        <w:t>מהר"א ששון</w:t>
      </w:r>
      <w:r w:rsidRPr="009F36E0">
        <w:rPr>
          <w:rFonts w:ascii="Narkisim" w:hAnsi="Narkisim" w:cs="Narkisim"/>
          <w:rtl/>
        </w:rPr>
        <w:t xml:space="preserve"> (כט). וה</w:t>
      </w:r>
      <w:r w:rsidRPr="009F36E0">
        <w:rPr>
          <w:rFonts w:ascii="Narkisim" w:hAnsi="Narkisim" w:cs="Narkisim"/>
          <w:b/>
          <w:bCs/>
          <w:rtl/>
        </w:rPr>
        <w:t>בי"ש</w:t>
      </w:r>
      <w:r w:rsidRPr="009F36E0">
        <w:rPr>
          <w:rFonts w:ascii="Narkisim" w:hAnsi="Narkisim" w:cs="Narkisim"/>
          <w:rtl/>
        </w:rPr>
        <w:t xml:space="preserve"> (קנו ג) חלק דממ”נ, דעל הצד שאסורה אינה זקוקה כלל. ולצד שהיא זקוקה ליבום מותרת</w:t>
      </w:r>
      <w:r w:rsidRPr="009F36E0">
        <w:rPr>
          <w:rFonts w:ascii="Narkisim" w:hAnsi="Narkisim" w:cs="Narkisim"/>
        </w:rPr>
        <w:t>.</w:t>
      </w:r>
    </w:p>
    <w:p w14:paraId="0DDD67BA" w14:textId="77777777" w:rsidR="006074A5" w:rsidRPr="009F36E0" w:rsidRDefault="006074A5" w:rsidP="006074A5">
      <w:pPr>
        <w:pStyle w:val="a7"/>
        <w:bidi/>
        <w:rPr>
          <w:rFonts w:ascii="Narkisim" w:hAnsi="Narkisim"/>
        </w:rPr>
      </w:pPr>
      <w:r w:rsidRPr="009F36E0">
        <w:rPr>
          <w:rFonts w:ascii="Narkisim" w:hAnsi="Narkisim"/>
          <w:rtl/>
        </w:rPr>
        <w:t>וכן ה</w:t>
      </w:r>
      <w:r w:rsidRPr="009F36E0">
        <w:rPr>
          <w:rFonts w:ascii="Narkisim" w:hAnsi="Narkisim"/>
          <w:b/>
          <w:bCs/>
          <w:rtl/>
        </w:rPr>
        <w:t>חכ"צ</w:t>
      </w:r>
      <w:r w:rsidRPr="009F36E0">
        <w:rPr>
          <w:rFonts w:ascii="Narkisim" w:hAnsi="Narkisim"/>
          <w:rtl/>
        </w:rPr>
        <w:t xml:space="preserve"> (קח) הביא דבמשנתינו מבואר דאי"צ חיזור, דא"כ שניהם צריכים לחלוץ לכל א', ואסור באחותה</w:t>
      </w:r>
      <w:r w:rsidRPr="009F36E0">
        <w:rPr>
          <w:rStyle w:val="ac"/>
          <w:rFonts w:ascii="Narkisim" w:hAnsi="Narkisim"/>
          <w:rtl/>
        </w:rPr>
        <w:footnoteReference w:id="1419"/>
      </w:r>
      <w:r w:rsidRPr="009F36E0">
        <w:rPr>
          <w:rFonts w:ascii="Narkisim" w:hAnsi="Narkisim"/>
        </w:rPr>
        <w:t xml:space="preserve">. </w:t>
      </w:r>
      <w:r w:rsidRPr="009F36E0">
        <w:rPr>
          <w:rFonts w:ascii="Narkisim" w:hAnsi="Narkisim"/>
          <w:rtl/>
        </w:rPr>
        <w:t>והחכ"צ הביא דבגמ' (לקמן מא:) אי' דכיון דאם יבא אליהו ויאמר שהיא מותרת</w:t>
      </w:r>
      <w:r w:rsidRPr="009F36E0">
        <w:rPr>
          <w:rStyle w:val="ac"/>
          <w:rFonts w:ascii="Narkisim" w:hAnsi="Narkisim"/>
          <w:rtl/>
        </w:rPr>
        <w:footnoteReference w:id="1420"/>
      </w:r>
      <w:r w:rsidRPr="009F36E0">
        <w:rPr>
          <w:rFonts w:ascii="Narkisim" w:hAnsi="Narkisim"/>
        </w:rPr>
        <w:t xml:space="preserve">, </w:t>
      </w:r>
      <w:r w:rsidRPr="009F36E0">
        <w:rPr>
          <w:rFonts w:ascii="Narkisim" w:hAnsi="Narkisim"/>
          <w:rtl/>
        </w:rPr>
        <w:t>מש"ה נחשבת שהיא בת יבום</w:t>
      </w:r>
      <w:r w:rsidRPr="009F36E0">
        <w:rPr>
          <w:rStyle w:val="ac"/>
          <w:rFonts w:ascii="Narkisim" w:hAnsi="Narkisim"/>
          <w:rtl/>
        </w:rPr>
        <w:footnoteReference w:id="1421"/>
      </w:r>
      <w:r w:rsidRPr="009F36E0">
        <w:rPr>
          <w:rFonts w:ascii="Narkisim" w:hAnsi="Narkisim"/>
        </w:rPr>
        <w:t>.</w:t>
      </w:r>
    </w:p>
    <w:p w14:paraId="01E1088A"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(קו' זיקה כד) דחה דהיכא דאסורה מחמת ספק איסור חיצוני, דהוה ספק יבמה לשוק לאחר. </w:t>
      </w:r>
      <w:r w:rsidRPr="009F36E0">
        <w:rPr>
          <w:rFonts w:ascii="Narkisim" w:hAnsi="Narkisim"/>
          <w:i/>
          <w:iCs/>
          <w:rtl/>
        </w:rPr>
        <w:t>ועוד</w:t>
      </w:r>
      <w:r w:rsidRPr="009F36E0">
        <w:rPr>
          <w:rFonts w:ascii="Narkisim" w:hAnsi="Narkisim"/>
          <w:rtl/>
        </w:rPr>
        <w:t xml:space="preserve"> דהיכא דהדין היכא דייבם דיקיים בדיעבד, א"כ אינו נחשב ביאה פסולה</w:t>
      </w:r>
      <w:r w:rsidRPr="009F36E0">
        <w:rPr>
          <w:rStyle w:val="ac"/>
          <w:rFonts w:ascii="Narkisim" w:hAnsi="Narkisim"/>
          <w:rtl/>
        </w:rPr>
        <w:footnoteReference w:id="1422"/>
      </w:r>
      <w:r w:rsidRPr="009F36E0">
        <w:rPr>
          <w:rFonts w:ascii="Narkisim" w:hAnsi="Narkisim"/>
        </w:rPr>
        <w:t xml:space="preserve">. </w:t>
      </w:r>
      <w:r w:rsidRPr="009F36E0">
        <w:rPr>
          <w:rFonts w:ascii="Narkisim" w:hAnsi="Narkisim"/>
          <w:rtl/>
        </w:rPr>
        <w:t xml:space="preserve">א"כ ה"נ לא יחשב חליצה פסולה. </w:t>
      </w:r>
      <w:r w:rsidRPr="009F36E0">
        <w:rPr>
          <w:rFonts w:ascii="Narkisim" w:hAnsi="Narkisim"/>
          <w:i/>
          <w:iCs/>
          <w:rtl/>
        </w:rPr>
        <w:t>ועוד</w:t>
      </w:r>
      <w:r w:rsidRPr="009F36E0">
        <w:rPr>
          <w:rFonts w:ascii="Narkisim" w:hAnsi="Narkisim"/>
          <w:rtl/>
        </w:rPr>
        <w:t xml:space="preserve"> כתב האו"ש דכיון דאחרי שאחיו יחלוץ, מותרת לו לייבם, אינו נחשב חליצה פסולה</w:t>
      </w:r>
      <w:r w:rsidRPr="009F36E0">
        <w:rPr>
          <w:rFonts w:ascii="Narkisim" w:hAnsi="Narkisim"/>
        </w:rPr>
        <w:t>.</w:t>
      </w:r>
    </w:p>
    <w:p w14:paraId="311151ED" w14:textId="77777777" w:rsidR="006074A5" w:rsidRPr="009F36E0" w:rsidRDefault="006074A5" w:rsidP="006074A5">
      <w:pPr>
        <w:bidi/>
        <w:rPr>
          <w:rFonts w:ascii="Narkisim" w:hAnsi="Narkisim" w:cs="Narkisim"/>
        </w:rPr>
      </w:pPr>
      <w:r w:rsidRPr="009F36E0">
        <w:rPr>
          <w:rFonts w:ascii="Narkisim" w:hAnsi="Narkisim" w:cs="Narkisim"/>
          <w:u w:val="single"/>
          <w:rtl/>
        </w:rPr>
        <w:t>ש"מ קידושין שאינן מסורין לביאה.</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דס"ד דאיירי שאמר הרי א' מכם מקודשת [ע"י שליח], דעיקר הקידושין חלו בספק. </w:t>
      </w:r>
      <w:r w:rsidRPr="009F36E0">
        <w:rPr>
          <w:rFonts w:ascii="Narkisim" w:hAnsi="Narkisim" w:cs="Narkisim"/>
          <w:sz w:val="20"/>
          <w:szCs w:val="20"/>
          <w:rtl/>
        </w:rPr>
        <w:t>[וכעין המוכר בית מבתי (מנחות קח:) דהוה ספק מעיקר הקנין]</w:t>
      </w:r>
      <w:r w:rsidRPr="009F36E0">
        <w:rPr>
          <w:rFonts w:ascii="Narkisim" w:hAnsi="Narkisim" w:cs="Narkisim"/>
          <w:sz w:val="20"/>
          <w:szCs w:val="20"/>
        </w:rPr>
        <w:t>.</w:t>
      </w:r>
    </w:p>
    <w:p w14:paraId="0080C8FF" w14:textId="77777777" w:rsidR="006074A5" w:rsidRPr="009F36E0" w:rsidRDefault="006074A5" w:rsidP="006074A5">
      <w:pPr>
        <w:pStyle w:val="a7"/>
        <w:bidi/>
        <w:rPr>
          <w:rFonts w:ascii="Narkisim" w:hAnsi="Narkisim"/>
        </w:rPr>
      </w:pPr>
      <w:r w:rsidRPr="009F36E0">
        <w:rPr>
          <w:rFonts w:ascii="Narkisim" w:hAnsi="Narkisim"/>
          <w:rtl/>
        </w:rPr>
        <w:t>ה</w:t>
      </w:r>
      <w:r w:rsidRPr="009F36E0">
        <w:rPr>
          <w:rFonts w:ascii="Narkisim" w:hAnsi="Narkisim"/>
          <w:b/>
          <w:bCs/>
          <w:rtl/>
        </w:rPr>
        <w:t>קוב"ש</w:t>
      </w:r>
      <w:r w:rsidRPr="009F36E0">
        <w:rPr>
          <w:rFonts w:ascii="Narkisim" w:hAnsi="Narkisim"/>
          <w:rtl/>
        </w:rPr>
        <w:t xml:space="preserve"> </w:t>
      </w:r>
      <w:r w:rsidRPr="009F36E0">
        <w:rPr>
          <w:rFonts w:ascii="Narkisim" w:hAnsi="Narkisim"/>
          <w:sz w:val="20"/>
          <w:szCs w:val="20"/>
          <w:rtl/>
        </w:rPr>
        <w:t>(ח"ב לד ג ובס' קובץ ענינים)</w:t>
      </w:r>
      <w:r w:rsidRPr="009F36E0">
        <w:rPr>
          <w:rFonts w:ascii="Narkisim" w:hAnsi="Narkisim"/>
          <w:rtl/>
        </w:rPr>
        <w:t xml:space="preserve"> חקרו בזה האם אמרי' דחלו הקידושין על אשה מסויימת [ואם יבא אליהו ויברר תהי' מותרת], ונחשב אינה מסור לביאה מחמת ספק. או דחל הקידושין בצורה של ספק</w:t>
      </w:r>
      <w:r w:rsidRPr="009F36E0">
        <w:rPr>
          <w:rStyle w:val="ac"/>
          <w:rFonts w:ascii="Narkisim" w:hAnsi="Narkisim"/>
          <w:rtl/>
        </w:rPr>
        <w:footnoteReference w:id="1423"/>
      </w:r>
      <w:r w:rsidRPr="009F36E0">
        <w:rPr>
          <w:rFonts w:ascii="Narkisim" w:hAnsi="Narkisim"/>
        </w:rPr>
        <w:t>.</w:t>
      </w:r>
    </w:p>
    <w:p w14:paraId="67AB8539" w14:textId="77777777" w:rsidR="006074A5" w:rsidRPr="009F36E0" w:rsidRDefault="006074A5" w:rsidP="006074A5">
      <w:pPr>
        <w:pStyle w:val="a8"/>
        <w:bidi/>
        <w:rPr>
          <w:rFonts w:ascii="Narkisim" w:hAnsi="Narkisim"/>
        </w:rPr>
      </w:pPr>
      <w:r w:rsidRPr="009F36E0">
        <w:rPr>
          <w:rFonts w:ascii="Narkisim" w:hAnsi="Narkisim"/>
          <w:rtl/>
        </w:rPr>
        <w:t>וכן נקט ה</w:t>
      </w:r>
      <w:r w:rsidRPr="009F36E0">
        <w:rPr>
          <w:rFonts w:ascii="Narkisim" w:hAnsi="Narkisim"/>
          <w:b/>
          <w:bCs/>
          <w:rtl/>
        </w:rPr>
        <w:t>שער"י</w:t>
      </w:r>
      <w:r w:rsidRPr="009F36E0">
        <w:rPr>
          <w:rFonts w:ascii="Narkisim" w:hAnsi="Narkisim"/>
          <w:rtl/>
        </w:rPr>
        <w:t xml:space="preserve"> (ג כב) דהגדר דכל חלות הדין בספק. דאין סיבה שיתייחד הקידושין על א' מהם, אלא דחלות הדין קידושין נקבע שקידש א' מב' נשים, ומש"ה דינם שאסורים כמו ספק. אבל אינו כשאר ספיקות, דהוה ספק שמא אסורה בודאי</w:t>
      </w:r>
      <w:r w:rsidRPr="009F36E0">
        <w:rPr>
          <w:rFonts w:ascii="Narkisim" w:hAnsi="Narkisim"/>
        </w:rPr>
        <w:t>.</w:t>
      </w:r>
    </w:p>
    <w:p w14:paraId="3A22CA74" w14:textId="77777777" w:rsidR="006074A5" w:rsidRPr="009F36E0" w:rsidRDefault="006074A5" w:rsidP="006074A5">
      <w:pPr>
        <w:bidi/>
        <w:rPr>
          <w:rFonts w:ascii="Narkisim" w:hAnsi="Narkisim" w:cs="Narkisim"/>
        </w:rPr>
      </w:pPr>
      <w:r w:rsidRPr="009F36E0">
        <w:rPr>
          <w:rFonts w:ascii="Narkisim" w:hAnsi="Narkisim" w:cs="Narkisim"/>
          <w:u w:val="single"/>
          <w:rtl/>
        </w:rPr>
        <w:t>שם. שאינן מסורין לביאה</w:t>
      </w:r>
      <w:r w:rsidRPr="009F36E0">
        <w:rPr>
          <w:rFonts w:ascii="Narkisim" w:hAnsi="Narkisim" w:cs="Narkisim"/>
          <w:rtl/>
        </w:rPr>
        <w:t>. ה</w:t>
      </w:r>
      <w:r w:rsidRPr="009F36E0">
        <w:rPr>
          <w:rFonts w:ascii="Narkisim" w:hAnsi="Narkisim" w:cs="Narkisim"/>
          <w:b/>
          <w:bCs/>
          <w:rtl/>
        </w:rPr>
        <w:t>ריטב"א</w:t>
      </w:r>
      <w:r w:rsidRPr="009F36E0">
        <w:rPr>
          <w:rFonts w:ascii="Narkisim" w:hAnsi="Narkisim" w:cs="Narkisim"/>
          <w:rtl/>
        </w:rPr>
        <w:t xml:space="preserve"> הק' דלמ"ד יש ברירה</w:t>
      </w:r>
      <w:r w:rsidRPr="009F36E0">
        <w:rPr>
          <w:rStyle w:val="ac"/>
          <w:rFonts w:ascii="Narkisim" w:hAnsi="Narkisim" w:cs="Narkisim"/>
          <w:rtl/>
        </w:rPr>
        <w:footnoteReference w:id="1424"/>
      </w:r>
      <w:r w:rsidRPr="009F36E0">
        <w:rPr>
          <w:rFonts w:ascii="Narkisim" w:hAnsi="Narkisim" w:cs="Narkisim"/>
        </w:rPr>
        <w:t xml:space="preserve"> </w:t>
      </w:r>
      <w:r w:rsidRPr="009F36E0">
        <w:rPr>
          <w:rFonts w:ascii="Narkisim" w:hAnsi="Narkisim" w:cs="Narkisim"/>
          <w:rtl/>
        </w:rPr>
        <w:t>נימא שהוברר למפרע שזו קידש. וכה"ק ב</w:t>
      </w:r>
      <w:r w:rsidRPr="009F36E0">
        <w:rPr>
          <w:rFonts w:ascii="Narkisim" w:hAnsi="Narkisim" w:cs="Narkisim"/>
          <w:b/>
          <w:bCs/>
          <w:rtl/>
        </w:rPr>
        <w:t>ריטב"א</w:t>
      </w:r>
      <w:r w:rsidRPr="009F36E0">
        <w:rPr>
          <w:rFonts w:ascii="Narkisim" w:hAnsi="Narkisim" w:cs="Narkisim"/>
          <w:rtl/>
        </w:rPr>
        <w:t xml:space="preserve"> (קידושין נא. בגליון הכת"י, ותוס' רי"ד שם). ונשאר בצע"ג.</w:t>
      </w:r>
      <w:r w:rsidRPr="009F36E0">
        <w:rPr>
          <w:rFonts w:ascii="Narkisim" w:hAnsi="Narkisim" w:cs="Narkisim"/>
          <w:sz w:val="20"/>
          <w:szCs w:val="20"/>
          <w:rtl/>
        </w:rPr>
        <w:t xml:space="preserve"> [וה</w:t>
      </w:r>
      <w:r w:rsidRPr="009F36E0">
        <w:rPr>
          <w:rFonts w:ascii="Narkisim" w:hAnsi="Narkisim" w:cs="Narkisim"/>
          <w:b/>
          <w:bCs/>
          <w:sz w:val="20"/>
          <w:szCs w:val="20"/>
          <w:rtl/>
        </w:rPr>
        <w:t>אבנ"מ</w:t>
      </w:r>
      <w:r w:rsidRPr="009F36E0">
        <w:rPr>
          <w:rFonts w:ascii="Narkisim" w:hAnsi="Narkisim" w:cs="Narkisim"/>
          <w:sz w:val="20"/>
          <w:szCs w:val="20"/>
          <w:rtl/>
        </w:rPr>
        <w:t xml:space="preserve"> (מא ב) ביאר הקושיה ע"פ מש"כ </w:t>
      </w:r>
      <w:r w:rsidRPr="009F36E0">
        <w:rPr>
          <w:rFonts w:ascii="Narkisim" w:hAnsi="Narkisim" w:cs="Narkisim"/>
          <w:b/>
          <w:bCs/>
          <w:sz w:val="20"/>
          <w:szCs w:val="20"/>
          <w:rtl/>
        </w:rPr>
        <w:t>תוס</w:t>
      </w:r>
      <w:r w:rsidRPr="009F36E0">
        <w:rPr>
          <w:rFonts w:ascii="Narkisim" w:hAnsi="Narkisim" w:cs="Narkisim"/>
          <w:sz w:val="20"/>
          <w:szCs w:val="20"/>
          <w:rtl/>
        </w:rPr>
        <w:t xml:space="preserve">' (תמורה ל.) דכל היכא דנולד האיסור בתערובת מהני לברר, וכמו שאפשר </w:t>
      </w:r>
      <w:r w:rsidRPr="009F36E0">
        <w:rPr>
          <w:rFonts w:ascii="Narkisim" w:hAnsi="Narkisim" w:cs="Narkisim"/>
          <w:sz w:val="20"/>
          <w:szCs w:val="20"/>
          <w:rtl/>
        </w:rPr>
        <w:lastRenderedPageBreak/>
        <w:t>לקבוע איזה הוה כנגד הכלב</w:t>
      </w:r>
      <w:r w:rsidRPr="009F36E0">
        <w:rPr>
          <w:rStyle w:val="ac"/>
          <w:rFonts w:ascii="Narkisim" w:hAnsi="Narkisim" w:cs="Narkisim"/>
          <w:sz w:val="20"/>
          <w:szCs w:val="20"/>
          <w:rtl/>
        </w:rPr>
        <w:footnoteReference w:id="1425"/>
      </w:r>
      <w:r w:rsidRPr="009F36E0">
        <w:rPr>
          <w:rFonts w:ascii="Narkisim" w:hAnsi="Narkisim" w:cs="Narkisim"/>
          <w:sz w:val="20"/>
          <w:szCs w:val="20"/>
          <w:rtl/>
        </w:rPr>
        <w:t>]</w:t>
      </w:r>
      <w:r w:rsidRPr="009F36E0">
        <w:rPr>
          <w:rFonts w:ascii="Narkisim" w:hAnsi="Narkisim" w:cs="Narkisim"/>
          <w:sz w:val="20"/>
          <w:szCs w:val="20"/>
        </w:rPr>
        <w:t>.</w:t>
      </w:r>
    </w:p>
    <w:p w14:paraId="63BD94E9"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(כאן) תי' דהכא איירי דלא בירר אפי' לבסוף, כגון שתלאו במי שיברור האב וליתא בעולם שיברר וכדו'. </w:t>
      </w:r>
      <w:r w:rsidRPr="009F36E0">
        <w:rPr>
          <w:rFonts w:ascii="Narkisim" w:hAnsi="Narkisim"/>
          <w:i/>
          <w:iCs/>
          <w:rtl/>
        </w:rPr>
        <w:t>א"נ</w:t>
      </w:r>
      <w:r w:rsidRPr="009F36E0">
        <w:rPr>
          <w:rFonts w:ascii="Narkisim" w:hAnsi="Narkisim"/>
          <w:rtl/>
        </w:rPr>
        <w:t xml:space="preserve"> הכא כשקידש סתם, ולא אמר איזה שארצה</w:t>
      </w:r>
      <w:r w:rsidRPr="009F36E0">
        <w:rPr>
          <w:rStyle w:val="ac"/>
          <w:rFonts w:ascii="Narkisim" w:hAnsi="Narkisim"/>
          <w:rtl/>
        </w:rPr>
        <w:footnoteReference w:id="1426"/>
      </w:r>
      <w:r w:rsidRPr="009F36E0">
        <w:rPr>
          <w:rFonts w:ascii="Narkisim" w:hAnsi="Narkisim"/>
        </w:rPr>
        <w:t xml:space="preserve">. </w:t>
      </w:r>
      <w:r w:rsidRPr="009F36E0">
        <w:rPr>
          <w:rFonts w:ascii="Narkisim" w:hAnsi="Narkisim"/>
          <w:rtl/>
        </w:rPr>
        <w:t>דכיון דלא אמר לאיזה שירצה ליכא דין ברירה</w:t>
      </w:r>
      <w:r w:rsidRPr="009F36E0">
        <w:rPr>
          <w:rStyle w:val="ac"/>
          <w:rFonts w:ascii="Narkisim" w:hAnsi="Narkisim"/>
          <w:rtl/>
        </w:rPr>
        <w:footnoteReference w:id="1427"/>
      </w:r>
      <w:r w:rsidRPr="009F36E0">
        <w:rPr>
          <w:rFonts w:ascii="Narkisim" w:hAnsi="Narkisim"/>
        </w:rPr>
        <w:t>.</w:t>
      </w:r>
    </w:p>
    <w:p w14:paraId="7B06A780" w14:textId="77777777" w:rsidR="006074A5" w:rsidRPr="009F36E0" w:rsidRDefault="006074A5" w:rsidP="006074A5">
      <w:pPr>
        <w:pStyle w:val="a7"/>
        <w:bidi/>
        <w:rPr>
          <w:rFonts w:ascii="Narkisim" w:hAnsi="Narkisim"/>
        </w:rPr>
      </w:pPr>
      <w:r w:rsidRPr="009F36E0">
        <w:rPr>
          <w:rFonts w:ascii="Narkisim" w:hAnsi="Narkisim"/>
          <w:i/>
          <w:iCs/>
          <w:rtl/>
        </w:rPr>
        <w:t>א"נ</w:t>
      </w:r>
      <w:r w:rsidRPr="009F36E0">
        <w:rPr>
          <w:rFonts w:ascii="Narkisim" w:hAnsi="Narkisim"/>
          <w:rtl/>
        </w:rPr>
        <w:t xml:space="preserve"> בעינן שהקידושין יהיו מסורין וראויין לביאה ממש מתחילתן, משעת לקיחה [למ"ד קידושין שאינן מסורין לביאה ל"ש קידושין]. </w:t>
      </w:r>
      <w:r w:rsidRPr="009F36E0">
        <w:rPr>
          <w:rFonts w:ascii="Narkisim" w:hAnsi="Narkisim"/>
          <w:szCs w:val="20"/>
          <w:rtl/>
        </w:rPr>
        <w:t>[ולא נחשב 'ראוי לביאה' אף שבידו לברר</w:t>
      </w:r>
      <w:r w:rsidRPr="009F36E0">
        <w:rPr>
          <w:rFonts w:ascii="Narkisim" w:hAnsi="Narkisim"/>
          <w:rtl/>
        </w:rPr>
        <w:t>]</w:t>
      </w:r>
      <w:r w:rsidRPr="009F36E0">
        <w:rPr>
          <w:rFonts w:ascii="Narkisim" w:hAnsi="Narkisim"/>
        </w:rPr>
        <w:t>.</w:t>
      </w:r>
    </w:p>
    <w:p w14:paraId="4954D92D" w14:textId="77777777" w:rsidR="006074A5" w:rsidRPr="009F36E0" w:rsidRDefault="006074A5" w:rsidP="006074A5">
      <w:pPr>
        <w:bidi/>
        <w:rPr>
          <w:rFonts w:ascii="Narkisim" w:hAnsi="Narkisim" w:cs="Narkisim"/>
        </w:rPr>
      </w:pPr>
      <w:r w:rsidRPr="009F36E0">
        <w:rPr>
          <w:rFonts w:ascii="Narkisim" w:hAnsi="Narkisim" w:cs="Narkisim"/>
          <w:u w:val="single"/>
          <w:rtl/>
        </w:rPr>
        <w:t>תוד"ה קידושין.</w:t>
      </w:r>
      <w:r w:rsidRPr="009F36E0">
        <w:rPr>
          <w:rFonts w:ascii="Narkisim" w:hAnsi="Narkisim" w:cs="Narkisim"/>
          <w:rtl/>
        </w:rPr>
        <w:t xml:space="preserve"> פירוש דע"י הקידושין קא מפסדה בביאה</w:t>
      </w:r>
      <w:r w:rsidRPr="009F36E0">
        <w:rPr>
          <w:rStyle w:val="ac"/>
          <w:rFonts w:ascii="Narkisim" w:hAnsi="Narkisim" w:cs="Narkisim"/>
          <w:rtl/>
        </w:rPr>
        <w:footnoteReference w:id="1428"/>
      </w:r>
      <w:r w:rsidRPr="009F36E0">
        <w:rPr>
          <w:rFonts w:ascii="Narkisim" w:hAnsi="Narkisim" w:cs="Narkisim"/>
        </w:rPr>
        <w:t xml:space="preserve">. </w:t>
      </w:r>
      <w:r w:rsidRPr="009F36E0">
        <w:rPr>
          <w:rFonts w:ascii="Narkisim" w:hAnsi="Narkisim" w:cs="Narkisim"/>
          <w:b/>
          <w:bCs/>
          <w:rtl/>
        </w:rPr>
        <w:t>רע"א</w:t>
      </w:r>
      <w:r w:rsidRPr="009F36E0">
        <w:rPr>
          <w:rFonts w:ascii="Narkisim" w:hAnsi="Narkisim" w:cs="Narkisim"/>
          <w:rtl/>
        </w:rPr>
        <w:t xml:space="preserve"> (קידושין שם, והפלאה כתובות נט:) הק' דקי"ל (קידושין עח.) דבאיסורי כהונה אין איסור אא"כ קידש ובעל, א"כ ע"י הקידושין נאסרה עליו</w:t>
      </w:r>
      <w:r w:rsidRPr="009F36E0">
        <w:rPr>
          <w:rStyle w:val="ac"/>
          <w:rFonts w:ascii="Narkisim" w:hAnsi="Narkisim" w:cs="Narkisim"/>
          <w:rtl/>
        </w:rPr>
        <w:footnoteReference w:id="1429"/>
      </w:r>
      <w:r w:rsidRPr="009F36E0">
        <w:rPr>
          <w:rFonts w:ascii="Narkisim" w:hAnsi="Narkisim" w:cs="Narkisim"/>
        </w:rPr>
        <w:t xml:space="preserve">. </w:t>
      </w:r>
      <w:r w:rsidRPr="009F36E0">
        <w:rPr>
          <w:rFonts w:ascii="Narkisim" w:hAnsi="Narkisim" w:cs="Narkisim"/>
          <w:sz w:val="20"/>
          <w:szCs w:val="20"/>
          <w:rtl/>
        </w:rPr>
        <w:t>וה</w:t>
      </w:r>
      <w:r w:rsidRPr="009F36E0">
        <w:rPr>
          <w:rFonts w:ascii="Narkisim" w:hAnsi="Narkisim" w:cs="Narkisim"/>
          <w:b/>
          <w:bCs/>
          <w:sz w:val="20"/>
          <w:szCs w:val="20"/>
          <w:rtl/>
        </w:rPr>
        <w:t>אחרונים</w:t>
      </w:r>
      <w:r w:rsidRPr="009F36E0">
        <w:rPr>
          <w:rFonts w:ascii="Narkisim" w:hAnsi="Narkisim" w:cs="Narkisim"/>
          <w:sz w:val="20"/>
          <w:szCs w:val="20"/>
          <w:rtl/>
        </w:rPr>
        <w:t xml:space="preserve"> (ערול"נ) הקשו עד"ז לדעת ה</w:t>
      </w:r>
      <w:r w:rsidRPr="009F36E0">
        <w:rPr>
          <w:rFonts w:ascii="Narkisim" w:hAnsi="Narkisim" w:cs="Narkisim"/>
          <w:b/>
          <w:bCs/>
          <w:sz w:val="20"/>
          <w:szCs w:val="20"/>
          <w:rtl/>
        </w:rPr>
        <w:t>רמב"ם</w:t>
      </w:r>
      <w:r w:rsidRPr="009F36E0">
        <w:rPr>
          <w:rFonts w:ascii="Narkisim" w:hAnsi="Narkisim" w:cs="Narkisim"/>
          <w:sz w:val="20"/>
          <w:szCs w:val="20"/>
          <w:rtl/>
        </w:rPr>
        <w:t xml:space="preserve"> (איסו"ב טו ב) דכל חייבי לאוין אין איסור בביאה בלא קידושין</w:t>
      </w:r>
      <w:r w:rsidRPr="009F36E0">
        <w:rPr>
          <w:rStyle w:val="ac"/>
          <w:rFonts w:ascii="Narkisim" w:hAnsi="Narkisim" w:cs="Narkisim"/>
          <w:sz w:val="20"/>
          <w:szCs w:val="20"/>
          <w:rtl/>
        </w:rPr>
        <w:footnoteReference w:id="1430"/>
      </w:r>
      <w:r w:rsidRPr="009F36E0">
        <w:rPr>
          <w:rFonts w:ascii="Narkisim" w:hAnsi="Narkisim" w:cs="Narkisim"/>
          <w:sz w:val="20"/>
          <w:szCs w:val="20"/>
        </w:rPr>
        <w:t>.</w:t>
      </w:r>
    </w:p>
    <w:p w14:paraId="571C80F7"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(נ) תי' דהקידושין והביאה הוה ב' חלקי האיסור</w:t>
      </w:r>
      <w:r w:rsidRPr="009F36E0">
        <w:rPr>
          <w:rFonts w:ascii="Narkisim" w:hAnsi="Narkisim"/>
          <w:sz w:val="20"/>
          <w:szCs w:val="20"/>
          <w:rtl/>
        </w:rPr>
        <w:t>,</w:t>
      </w:r>
      <w:r w:rsidRPr="009F36E0">
        <w:rPr>
          <w:rFonts w:ascii="Narkisim" w:hAnsi="Narkisim"/>
          <w:rtl/>
        </w:rPr>
        <w:t xml:space="preserve"> ולא חל האיסור ע"י קידושין. ועוד תי' ה</w:t>
      </w:r>
      <w:r w:rsidRPr="009F36E0">
        <w:rPr>
          <w:rFonts w:ascii="Narkisim" w:hAnsi="Narkisim"/>
          <w:b/>
          <w:bCs/>
          <w:rtl/>
        </w:rPr>
        <w:t>אחרונים</w:t>
      </w:r>
      <w:r w:rsidRPr="009F36E0">
        <w:rPr>
          <w:rFonts w:ascii="Narkisim" w:hAnsi="Narkisim"/>
          <w:rtl/>
        </w:rPr>
        <w:t xml:space="preserve"> (הג' ראמ"ה קידושין) דחל איסור מעיקרא דרך אישות, והקידושין אינו גורם לאסור, אלא הוה תנאי בצורת האישות</w:t>
      </w:r>
      <w:r w:rsidRPr="009F36E0">
        <w:rPr>
          <w:rFonts w:ascii="Narkisim" w:hAnsi="Narkisim"/>
        </w:rPr>
        <w:t>.</w:t>
      </w:r>
    </w:p>
    <w:p w14:paraId="7B8C79F7" w14:textId="77777777" w:rsidR="006074A5" w:rsidRPr="009F36E0" w:rsidRDefault="006074A5" w:rsidP="006074A5">
      <w:pPr>
        <w:pStyle w:val="aa"/>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(שו"ת ת' קנג) דן המקדש ב' אחיות ממזרות, דבלאו הכי אסורות עליו משום איסור ממזרות. ואפ"ה נחשב אינה ראויה לביאה, דע"י קידושין דידיה חלו</w:t>
      </w:r>
      <w:r w:rsidRPr="009F36E0">
        <w:rPr>
          <w:rFonts w:ascii="Narkisim" w:hAnsi="Narkisim"/>
        </w:rPr>
        <w:t>.</w:t>
      </w:r>
    </w:p>
    <w:p w14:paraId="572FEAB2" w14:textId="77777777" w:rsidR="006074A5" w:rsidRPr="009F36E0" w:rsidRDefault="006074A5" w:rsidP="006074A5">
      <w:pPr>
        <w:bidi/>
        <w:rPr>
          <w:rFonts w:ascii="Narkisim" w:hAnsi="Narkisim" w:cs="Narkisim"/>
        </w:rPr>
      </w:pPr>
      <w:r w:rsidRPr="009F36E0">
        <w:rPr>
          <w:rFonts w:ascii="Narkisim" w:hAnsi="Narkisim" w:cs="Narkisim"/>
          <w:u w:val="single"/>
          <w:rtl/>
        </w:rPr>
        <w:t>שם. דע"י הקידושין מפסדת</w:t>
      </w:r>
      <w:r w:rsidRPr="009F36E0">
        <w:rPr>
          <w:rStyle w:val="ac"/>
          <w:rFonts w:ascii="Narkisim" w:hAnsi="Narkisim" w:cs="Narkisim"/>
          <w:rtl/>
        </w:rPr>
        <w:footnoteReference w:id="1431"/>
      </w:r>
      <w:r w:rsidRPr="009F36E0">
        <w:rPr>
          <w:rFonts w:ascii="Narkisim" w:hAnsi="Narkisim" w:cs="Narkisim"/>
        </w:rPr>
        <w:t xml:space="preserve">. </w:t>
      </w:r>
      <w:r w:rsidRPr="009F36E0">
        <w:rPr>
          <w:rFonts w:ascii="Narkisim" w:hAnsi="Narkisim" w:cs="Narkisim"/>
          <w:rtl/>
        </w:rPr>
        <w:t xml:space="preserve">אבל </w:t>
      </w:r>
      <w:r w:rsidRPr="009F36E0">
        <w:rPr>
          <w:rFonts w:ascii="Narkisim" w:hAnsi="Narkisim" w:cs="Narkisim"/>
          <w:b/>
          <w:bCs/>
          <w:rtl/>
        </w:rPr>
        <w:t>רש"י</w:t>
      </w:r>
      <w:r w:rsidRPr="009F36E0">
        <w:rPr>
          <w:rFonts w:ascii="Narkisim" w:hAnsi="Narkisim" w:cs="Narkisim"/>
          <w:rtl/>
        </w:rPr>
        <w:t xml:space="preserve"> בסוגיין משמע דהוה כלל בכל קידושין שאין סופן לבא לידי ביאה וכו'. </w:t>
      </w:r>
      <w:r w:rsidRPr="009F36E0">
        <w:rPr>
          <w:rFonts w:ascii="Narkisim" w:hAnsi="Narkisim" w:cs="Narkisim"/>
          <w:sz w:val="20"/>
          <w:szCs w:val="20"/>
          <w:rtl/>
        </w:rPr>
        <w:t>והאחרונים הביאו דמוכח כן מדברי ה</w:t>
      </w:r>
      <w:r w:rsidRPr="009F36E0">
        <w:rPr>
          <w:rFonts w:ascii="Narkisim" w:hAnsi="Narkisim" w:cs="Narkisim"/>
          <w:b/>
          <w:bCs/>
          <w:sz w:val="20"/>
          <w:szCs w:val="20"/>
          <w:rtl/>
        </w:rPr>
        <w:t>ריטב"א</w:t>
      </w:r>
      <w:r w:rsidRPr="009F36E0">
        <w:rPr>
          <w:rFonts w:ascii="Narkisim" w:hAnsi="Narkisim" w:cs="Narkisim"/>
          <w:sz w:val="20"/>
          <w:szCs w:val="20"/>
          <w:rtl/>
        </w:rPr>
        <w:t xml:space="preserve"> (קידושין ס.) גבי קידושין ק' תפסי בה כשרגי דליבני [ע"י שיור], והריטב"א הק' דהוה קידושין שאין מסורין לביאה. וכת' דצ"ל דר' יוחנן ס"ל כאביי דהוה קידושין</w:t>
      </w:r>
      <w:r w:rsidRPr="009F36E0">
        <w:rPr>
          <w:rStyle w:val="ac"/>
          <w:rFonts w:ascii="Narkisim" w:hAnsi="Narkisim" w:cs="Narkisim"/>
          <w:sz w:val="20"/>
          <w:szCs w:val="20"/>
          <w:rtl/>
        </w:rPr>
        <w:footnoteReference w:id="1432"/>
      </w:r>
      <w:r w:rsidRPr="009F36E0">
        <w:rPr>
          <w:rFonts w:ascii="Narkisim" w:hAnsi="Narkisim" w:cs="Narkisim"/>
        </w:rPr>
        <w:t>.</w:t>
      </w:r>
    </w:p>
    <w:p w14:paraId="644B9324" w14:textId="77777777" w:rsidR="006074A5" w:rsidRPr="009F36E0" w:rsidRDefault="006074A5" w:rsidP="006074A5">
      <w:pPr>
        <w:bidi/>
        <w:rPr>
          <w:rFonts w:ascii="Narkisim" w:hAnsi="Narkisim" w:cs="Narkisim"/>
        </w:rPr>
      </w:pPr>
      <w:r w:rsidRPr="009F36E0">
        <w:rPr>
          <w:rFonts w:ascii="Narkisim" w:hAnsi="Narkisim" w:cs="Narkisim"/>
          <w:u w:val="single"/>
          <w:rtl/>
        </w:rPr>
        <w:t>בא"ד אבל חייבי לאוין ועשה וכו'</w:t>
      </w:r>
      <w:r w:rsidRPr="009F36E0">
        <w:rPr>
          <w:rFonts w:ascii="Narkisim" w:hAnsi="Narkisim" w:cs="Narkisim"/>
          <w:rtl/>
        </w:rPr>
        <w:t>. ה</w:t>
      </w:r>
      <w:r w:rsidRPr="009F36E0">
        <w:rPr>
          <w:rFonts w:ascii="Narkisim" w:hAnsi="Narkisim" w:cs="Narkisim"/>
          <w:b/>
          <w:bCs/>
          <w:rtl/>
        </w:rPr>
        <w:t>פנ"י</w:t>
      </w:r>
      <w:r w:rsidRPr="009F36E0">
        <w:rPr>
          <w:rFonts w:ascii="Narkisim" w:hAnsi="Narkisim" w:cs="Narkisim"/>
          <w:rtl/>
        </w:rPr>
        <w:t xml:space="preserve"> (קידושין נא.) תי' דחייבי לאוין יש גזיה"כ דתפסי קידושין [וכדדרשי' קידושין סח.]. ויש </w:t>
      </w:r>
      <w:r w:rsidRPr="009F36E0">
        <w:rPr>
          <w:rFonts w:ascii="Narkisim" w:hAnsi="Narkisim" w:cs="Narkisim"/>
          <w:b/>
          <w:bCs/>
          <w:rtl/>
        </w:rPr>
        <w:t>אחרונים</w:t>
      </w:r>
      <w:r w:rsidRPr="009F36E0">
        <w:rPr>
          <w:rFonts w:ascii="Narkisim" w:hAnsi="Narkisim" w:cs="Narkisim"/>
          <w:rtl/>
        </w:rPr>
        <w:t xml:space="preserve"> שפי' דס"ל דבעינן שאינן מסורים לביאה מחמת איסור חמור דכרת</w:t>
      </w:r>
      <w:r w:rsidRPr="009F36E0">
        <w:rPr>
          <w:rFonts w:ascii="Narkisim" w:hAnsi="Narkisim" w:cs="Narkisim"/>
        </w:rPr>
        <w:t>.</w:t>
      </w:r>
    </w:p>
    <w:p w14:paraId="4258BC2C" w14:textId="77777777" w:rsidR="006074A5" w:rsidRPr="009F36E0" w:rsidRDefault="006074A5" w:rsidP="006074A5">
      <w:pPr>
        <w:pStyle w:val="aa"/>
        <w:bidi/>
        <w:rPr>
          <w:rFonts w:ascii="Narkisim" w:hAnsi="Narkisim"/>
        </w:rPr>
      </w:pPr>
      <w:r w:rsidRPr="009F36E0">
        <w:rPr>
          <w:rFonts w:ascii="Narkisim" w:hAnsi="Narkisim"/>
          <w:u w:val="single"/>
          <w:rtl/>
        </w:rPr>
        <w:t>תוד"ה דיקא.</w:t>
      </w:r>
      <w:r w:rsidRPr="009F36E0">
        <w:rPr>
          <w:rFonts w:ascii="Narkisim" w:hAnsi="Narkisim"/>
          <w:rtl/>
        </w:rPr>
        <w:t xml:space="preserve"> דאין יודע משמע הכי והכי</w:t>
      </w:r>
      <w:r w:rsidRPr="009F36E0">
        <w:rPr>
          <w:rStyle w:val="ac"/>
          <w:rFonts w:ascii="Narkisim" w:hAnsi="Narkisim"/>
          <w:rtl/>
        </w:rPr>
        <w:footnoteReference w:id="1433"/>
      </w:r>
      <w:r w:rsidRPr="009F36E0">
        <w:rPr>
          <w:rFonts w:ascii="Narkisim" w:hAnsi="Narkisim"/>
        </w:rPr>
        <w:t xml:space="preserve">. </w:t>
      </w:r>
      <w:r w:rsidRPr="009F36E0">
        <w:rPr>
          <w:rFonts w:ascii="Narkisim" w:hAnsi="Narkisim"/>
          <w:rtl/>
        </w:rPr>
        <w:t>[וכ"כ שא"ר]. ו</w:t>
      </w:r>
      <w:r w:rsidRPr="009F36E0">
        <w:rPr>
          <w:rFonts w:ascii="Narkisim" w:hAnsi="Narkisim"/>
          <w:b/>
          <w:bCs/>
          <w:rtl/>
        </w:rPr>
        <w:t>רע"א</w:t>
      </w:r>
      <w:r w:rsidRPr="009F36E0">
        <w:rPr>
          <w:rFonts w:ascii="Narkisim" w:hAnsi="Narkisim"/>
          <w:rtl/>
        </w:rPr>
        <w:t xml:space="preserve"> כת' די"ל דלאביי הוה רבותא, דאע"ג דיכול להתברר לא אמרי' דאינה עולה ליבום עד שיתברר [וכמו תוך ג' חדשים ע"פ הגמ' (לקמן מא:)], אבל כשאינה עולה כלל דינא ככל אחות חלוצתו דחולצת</w:t>
      </w:r>
      <w:r w:rsidRPr="009F36E0">
        <w:rPr>
          <w:rStyle w:val="ac"/>
          <w:rFonts w:ascii="Narkisim" w:hAnsi="Narkisim"/>
          <w:rtl/>
        </w:rPr>
        <w:footnoteReference w:id="1434"/>
      </w:r>
      <w:r w:rsidRPr="009F36E0">
        <w:rPr>
          <w:rFonts w:ascii="Narkisim" w:hAnsi="Narkisim"/>
        </w:rPr>
        <w:t>.</w:t>
      </w:r>
    </w:p>
    <w:p w14:paraId="6137B3A2" w14:textId="77777777" w:rsidR="006074A5" w:rsidRPr="009F36E0" w:rsidRDefault="006074A5" w:rsidP="006074A5">
      <w:pPr>
        <w:pStyle w:val="aa"/>
        <w:bidi/>
        <w:rPr>
          <w:rFonts w:ascii="Narkisim" w:hAnsi="Narkisim"/>
        </w:rPr>
      </w:pPr>
      <w:r w:rsidRPr="009F36E0">
        <w:rPr>
          <w:rFonts w:ascii="Narkisim" w:hAnsi="Narkisim"/>
          <w:u w:val="single"/>
          <w:rtl/>
        </w:rPr>
        <w:t>רש"י ד"ה אבל יבומי.</w:t>
      </w:r>
      <w:r w:rsidRPr="009F36E0">
        <w:rPr>
          <w:rFonts w:ascii="Narkisim" w:hAnsi="Narkisim"/>
          <w:rtl/>
        </w:rPr>
        <w:t xml:space="preserve"> והדר מיחלץ שני.</w:t>
      </w:r>
      <w:r w:rsidRPr="009F36E0">
        <w:rPr>
          <w:rFonts w:ascii="Narkisim" w:hAnsi="Narkisim"/>
          <w:b/>
          <w:bCs/>
          <w:rtl/>
        </w:rPr>
        <w:t xml:space="preserve"> רע"א</w:t>
      </w:r>
      <w:r w:rsidRPr="009F36E0">
        <w:rPr>
          <w:rFonts w:ascii="Narkisim" w:hAnsi="Narkisim"/>
          <w:rtl/>
        </w:rPr>
        <w:t xml:space="preserve"> דייק מלשון רש"י שאף ייבם, השני צריך לחלוץ. [דרש"י הקשה רק שיקדים, דאל"כ הו"ל לכתוב אבל יבומי תרוייהו לא]. ורע"א הקשה אמאי לא ייבם, ומ"ש מהיכא דחבירו חלץ דרשאי לייבם. דהרי אחר יבום הראשון השני מייבם בהיתר גמור, דהא ליכא חשש איסור. וצ"ע</w:t>
      </w:r>
      <w:r w:rsidRPr="009F36E0">
        <w:rPr>
          <w:rFonts w:ascii="Narkisim" w:hAnsi="Narkisim"/>
        </w:rPr>
        <w:t>.</w:t>
      </w:r>
    </w:p>
    <w:p w14:paraId="30F32AEA" w14:textId="77777777" w:rsidR="006074A5" w:rsidRPr="009F36E0" w:rsidRDefault="006074A5" w:rsidP="006074A5">
      <w:pPr>
        <w:bidi/>
        <w:rPr>
          <w:rFonts w:ascii="Narkisim" w:hAnsi="Narkisim" w:cs="Narkisim"/>
        </w:rPr>
      </w:pPr>
      <w:r w:rsidRPr="009F36E0">
        <w:rPr>
          <w:rFonts w:ascii="Narkisim" w:hAnsi="Narkisim" w:cs="Narkisim"/>
          <w:u w:val="single"/>
          <w:rtl/>
        </w:rPr>
        <w:t>מ"ש מהא דתנן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דקושיית הגמ' דהתם בדיעבד קדמו וכנסו יוציאו</w:t>
      </w:r>
      <w:r w:rsidRPr="009F36E0">
        <w:rPr>
          <w:rStyle w:val="ac"/>
          <w:rFonts w:ascii="Narkisim" w:hAnsi="Narkisim" w:cs="Narkisim"/>
          <w:rtl/>
        </w:rPr>
        <w:footnoteReference w:id="1435"/>
      </w:r>
      <w:r w:rsidRPr="009F36E0">
        <w:rPr>
          <w:rFonts w:ascii="Narkisim" w:hAnsi="Narkisim" w:cs="Narkisim"/>
        </w:rPr>
        <w:t xml:space="preserve">. </w:t>
      </w:r>
      <w:r w:rsidRPr="009F36E0">
        <w:rPr>
          <w:rFonts w:ascii="Narkisim" w:hAnsi="Narkisim" w:cs="Narkisim"/>
          <w:rtl/>
        </w:rPr>
        <w:t xml:space="preserve">ולפ"ז </w:t>
      </w:r>
      <w:r w:rsidRPr="009F36E0">
        <w:rPr>
          <w:rFonts w:ascii="Narkisim" w:hAnsi="Narkisim" w:cs="Narkisim"/>
          <w:rtl/>
        </w:rPr>
        <w:lastRenderedPageBreak/>
        <w:t xml:space="preserve">מבואר להדיא בגמ' דאף כשקנס אסור בדיעבד, לולי סברת 'אילו דידיה איתרמי'. </w:t>
      </w:r>
      <w:r w:rsidRPr="009F36E0">
        <w:rPr>
          <w:rFonts w:ascii="Narkisim" w:hAnsi="Narkisim" w:cs="Narkisim"/>
          <w:sz w:val="20"/>
          <w:szCs w:val="20"/>
          <w:rtl/>
        </w:rPr>
        <w:t>וכ"כ ה</w:t>
      </w:r>
      <w:r w:rsidRPr="009F36E0">
        <w:rPr>
          <w:rFonts w:ascii="Narkisim" w:hAnsi="Narkisim" w:cs="Narkisim"/>
          <w:b/>
          <w:bCs/>
          <w:sz w:val="20"/>
          <w:szCs w:val="20"/>
          <w:rtl/>
        </w:rPr>
        <w:t xml:space="preserve">גר”א </w:t>
      </w:r>
      <w:r w:rsidRPr="009F36E0">
        <w:rPr>
          <w:rFonts w:ascii="Narkisim" w:hAnsi="Narkisim" w:cs="Narkisim"/>
          <w:sz w:val="20"/>
          <w:szCs w:val="20"/>
          <w:rtl/>
        </w:rPr>
        <w:t>(קעו ב) דלדברי רש"י מפורש בגמ' דהמייבם אחות זקוקתו יוציא</w:t>
      </w:r>
      <w:r w:rsidRPr="009F36E0">
        <w:rPr>
          <w:rFonts w:ascii="Narkisim" w:hAnsi="Narkisim" w:cs="Narkisim"/>
          <w:sz w:val="20"/>
          <w:szCs w:val="20"/>
        </w:rPr>
        <w:t>.</w:t>
      </w:r>
    </w:p>
    <w:p w14:paraId="7BC21D69" w14:textId="77777777" w:rsidR="006074A5" w:rsidRPr="009F36E0" w:rsidRDefault="006074A5" w:rsidP="006074A5">
      <w:pPr>
        <w:pStyle w:val="a7"/>
        <w:bidi/>
        <w:rPr>
          <w:rFonts w:ascii="Narkisim" w:hAnsi="Narkisim"/>
        </w:rPr>
      </w:pPr>
      <w:r w:rsidRPr="009F36E0">
        <w:rPr>
          <w:rFonts w:ascii="Narkisim" w:hAnsi="Narkisim"/>
          <w:rtl/>
        </w:rPr>
        <w:t xml:space="preserve">אבל </w:t>
      </w:r>
      <w:r w:rsidRPr="009F36E0">
        <w:rPr>
          <w:rFonts w:ascii="Narkisim" w:hAnsi="Narkisim"/>
          <w:b/>
          <w:bCs/>
          <w:rtl/>
        </w:rPr>
        <w:t>תוס'</w:t>
      </w:r>
      <w:r w:rsidRPr="009F36E0">
        <w:rPr>
          <w:rFonts w:ascii="Narkisim" w:hAnsi="Narkisim"/>
          <w:rtl/>
        </w:rPr>
        <w:t xml:space="preserve"> (ושא"ר) פי' קושיית הגמ' מ"ש הכא דלא אמרי' דחולצת</w:t>
      </w:r>
      <w:r w:rsidRPr="009F36E0">
        <w:rPr>
          <w:rStyle w:val="ac"/>
          <w:rFonts w:ascii="Narkisim" w:hAnsi="Narkisim"/>
          <w:rtl/>
        </w:rPr>
        <w:footnoteReference w:id="1436"/>
      </w:r>
      <w:r w:rsidRPr="009F36E0">
        <w:rPr>
          <w:rFonts w:ascii="Narkisim" w:hAnsi="Narkisim"/>
        </w:rPr>
        <w:t xml:space="preserve">. </w:t>
      </w:r>
      <w:r w:rsidRPr="009F36E0">
        <w:rPr>
          <w:rFonts w:ascii="Narkisim" w:hAnsi="Narkisim"/>
          <w:rtl/>
        </w:rPr>
        <w:t>וצ"ב קו' הגמ', דלכאורה הטעם דהתם לא תתייבם משום דנאסרה בשעת נפילה. ואילו בסוגיין ל"ש סברת נאסרה, דממ"נ אי זקוקה לו ליבום, א"כ אינה אסורה עליו. וצ"ל דקו' הגמ' אמאי לא גזרו שמא יקדים וייבם. [וע' לקמן כז: עיקר הסוגיא דד' אחים]</w:t>
      </w:r>
      <w:r w:rsidRPr="009F36E0">
        <w:rPr>
          <w:rFonts w:ascii="Narkisim" w:hAnsi="Narkisim"/>
        </w:rPr>
        <w:t>.</w:t>
      </w:r>
    </w:p>
    <w:p w14:paraId="60EF2D25" w14:textId="77777777" w:rsidR="006074A5" w:rsidRPr="009F36E0" w:rsidRDefault="006074A5" w:rsidP="006074A5">
      <w:pPr>
        <w:pStyle w:val="3"/>
        <w:bidi/>
        <w:rPr>
          <w:rFonts w:ascii="Narkisim" w:hAnsi="Narkisim"/>
        </w:rPr>
      </w:pPr>
      <w:r w:rsidRPr="009F36E0">
        <w:rPr>
          <w:rFonts w:ascii="Narkisim" w:hAnsi="Narkisim"/>
          <w:rtl/>
        </w:rPr>
        <w:t>דף כד</w:t>
      </w:r>
      <w:r w:rsidRPr="009F36E0">
        <w:rPr>
          <w:rFonts w:ascii="Narkisim" w:hAnsi="Narkisim"/>
        </w:rPr>
        <w:t>.</w:t>
      </w:r>
    </w:p>
    <w:p w14:paraId="52A3C2C6" w14:textId="77777777" w:rsidR="006074A5" w:rsidRPr="009F36E0" w:rsidRDefault="006074A5" w:rsidP="006074A5">
      <w:pPr>
        <w:bidi/>
        <w:rPr>
          <w:rFonts w:ascii="Narkisim" w:hAnsi="Narkisim" w:cs="Narkisim"/>
        </w:rPr>
      </w:pPr>
      <w:r w:rsidRPr="009F36E0">
        <w:rPr>
          <w:rFonts w:ascii="Narkisim" w:hAnsi="Narkisim" w:cs="Narkisim"/>
          <w:u w:val="single"/>
          <w:rtl/>
        </w:rPr>
        <w:t>רש"י ד"ה ואי למ"ד.</w:t>
      </w:r>
      <w:r w:rsidRPr="009F36E0">
        <w:rPr>
          <w:rFonts w:ascii="Narkisim" w:hAnsi="Narkisim" w:cs="Narkisim"/>
          <w:rtl/>
        </w:rPr>
        <w:t xml:space="preserve"> ונמצא מבטל מצוות יבמין, והרי נאסרה משום כך וכו'. ואסורה משום נאסרה, וכ"כ </w:t>
      </w:r>
      <w:r w:rsidRPr="009F36E0">
        <w:rPr>
          <w:rFonts w:ascii="Narkisim" w:hAnsi="Narkisim" w:cs="Narkisim"/>
          <w:b/>
          <w:bCs/>
          <w:rtl/>
        </w:rPr>
        <w:t>ריב"ן</w:t>
      </w:r>
      <w:r w:rsidRPr="009F36E0">
        <w:rPr>
          <w:rFonts w:ascii="Narkisim" w:hAnsi="Narkisim" w:cs="Narkisim"/>
          <w:rtl/>
        </w:rPr>
        <w:t xml:space="preserve"> (ב</w:t>
      </w:r>
      <w:r w:rsidRPr="009F36E0">
        <w:rPr>
          <w:rFonts w:ascii="Narkisim" w:hAnsi="Narkisim" w:cs="Narkisim"/>
          <w:b/>
          <w:bCs/>
          <w:rtl/>
        </w:rPr>
        <w:t>תוס'</w:t>
      </w:r>
      <w:r w:rsidRPr="009F36E0">
        <w:rPr>
          <w:rFonts w:ascii="Narkisim" w:hAnsi="Narkisim" w:cs="Narkisim"/>
          <w:rtl/>
        </w:rPr>
        <w:t xml:space="preserve"> לעיל יח.). [וע' מש"כ לעיל שם]. וה</w:t>
      </w:r>
      <w:r w:rsidRPr="009F36E0">
        <w:rPr>
          <w:rFonts w:ascii="Narkisim" w:hAnsi="Narkisim" w:cs="Narkisim"/>
          <w:b/>
          <w:bCs/>
          <w:rtl/>
        </w:rPr>
        <w:t>אחרונים</w:t>
      </w:r>
      <w:r w:rsidRPr="009F36E0">
        <w:rPr>
          <w:rFonts w:ascii="Narkisim" w:hAnsi="Narkisim" w:cs="Narkisim"/>
          <w:rtl/>
        </w:rPr>
        <w:t xml:space="preserve"> ביארו דלשיטת רש"י מוכח כן בתי' הגמ', דקושיית הגמ' אמאי יוציא בדיעבד, ובזה עיקר התי' בגמ' משום אסור לבטל</w:t>
      </w:r>
      <w:r w:rsidRPr="009F36E0">
        <w:rPr>
          <w:rStyle w:val="ac"/>
          <w:rFonts w:ascii="Narkisim" w:hAnsi="Narkisim" w:cs="Narkisim"/>
          <w:rtl/>
        </w:rPr>
        <w:footnoteReference w:id="1437"/>
      </w:r>
      <w:r w:rsidRPr="009F36E0">
        <w:rPr>
          <w:rFonts w:ascii="Narkisim" w:hAnsi="Narkisim" w:cs="Narkisim"/>
        </w:rPr>
        <w:t xml:space="preserve"> </w:t>
      </w:r>
      <w:r w:rsidRPr="009F36E0">
        <w:rPr>
          <w:rFonts w:ascii="Narkisim" w:hAnsi="Narkisim" w:cs="Narkisim"/>
          <w:sz w:val="20"/>
          <w:szCs w:val="20"/>
          <w:rtl/>
        </w:rPr>
        <w:t>[ועי"ז יש נאסרה]</w:t>
      </w:r>
      <w:r w:rsidRPr="009F36E0">
        <w:rPr>
          <w:rStyle w:val="ac"/>
          <w:rFonts w:ascii="Narkisim" w:hAnsi="Narkisim" w:cs="Narkisim"/>
          <w:sz w:val="20"/>
          <w:szCs w:val="20"/>
          <w:rtl/>
        </w:rPr>
        <w:footnoteReference w:id="1438"/>
      </w:r>
      <w:r w:rsidRPr="009F36E0">
        <w:rPr>
          <w:rFonts w:ascii="Narkisim" w:hAnsi="Narkisim" w:cs="Narkisim"/>
        </w:rPr>
        <w:t>.</w:t>
      </w:r>
    </w:p>
    <w:p w14:paraId="6F741A11"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מהרש"ל</w:t>
      </w:r>
      <w:r w:rsidRPr="009F36E0">
        <w:rPr>
          <w:rFonts w:ascii="Narkisim" w:hAnsi="Narkisim"/>
          <w:rtl/>
        </w:rPr>
        <w:t xml:space="preserve"> מחק כ"ז מדברי רש"י כאן, דמשמע בדברי רש"י (לעיל יח.) דהטעם משום קנס, כיון שכנס באיסור. וע' מהד"ב</w:t>
      </w:r>
      <w:r w:rsidRPr="009F36E0">
        <w:rPr>
          <w:rFonts w:ascii="Narkisim" w:hAnsi="Narkisim"/>
        </w:rPr>
        <w:t>.</w:t>
      </w:r>
    </w:p>
    <w:p w14:paraId="5418ECD8" w14:textId="77777777" w:rsidR="006074A5" w:rsidRPr="009F36E0" w:rsidRDefault="006074A5" w:rsidP="006074A5">
      <w:pPr>
        <w:bidi/>
        <w:rPr>
          <w:rFonts w:ascii="Narkisim" w:hAnsi="Narkisim" w:cs="Narkisim"/>
        </w:rPr>
      </w:pPr>
      <w:r w:rsidRPr="009F36E0">
        <w:rPr>
          <w:rFonts w:ascii="Narkisim" w:hAnsi="Narkisim" w:cs="Narkisim"/>
          <w:u w:val="single"/>
          <w:rtl/>
        </w:rPr>
        <w:t>תני שילא אפי' שניהם כהנים.</w:t>
      </w:r>
      <w:r w:rsidRPr="009F36E0">
        <w:rPr>
          <w:rFonts w:ascii="Narkisim" w:hAnsi="Narkisim" w:cs="Narkisim"/>
          <w:rtl/>
        </w:rPr>
        <w:t xml:space="preserve"> </w:t>
      </w:r>
      <w:r w:rsidRPr="009F36E0">
        <w:rPr>
          <w:rFonts w:ascii="Narkisim" w:hAnsi="Narkisim" w:cs="Narkisim"/>
          <w:sz w:val="20"/>
          <w:szCs w:val="20"/>
          <w:rtl/>
        </w:rPr>
        <w:t xml:space="preserve">[דממ"נ א' עובר איסור, מ"מ לא נחשב באו לישאל בבת אחת. וע' </w:t>
      </w:r>
      <w:r w:rsidRPr="009F36E0">
        <w:rPr>
          <w:rFonts w:ascii="Narkisim" w:hAnsi="Narkisim" w:cs="Narkisim"/>
          <w:b/>
          <w:bCs/>
          <w:sz w:val="20"/>
          <w:szCs w:val="20"/>
          <w:rtl/>
        </w:rPr>
        <w:t>יפ"ע</w:t>
      </w:r>
      <w:r w:rsidRPr="009F36E0">
        <w:rPr>
          <w:rFonts w:ascii="Narkisim" w:hAnsi="Narkisim" w:cs="Narkisim"/>
          <w:sz w:val="20"/>
          <w:szCs w:val="20"/>
          <w:rtl/>
        </w:rPr>
        <w:t>].</w:t>
      </w:r>
      <w:r w:rsidRPr="009F36E0">
        <w:rPr>
          <w:rFonts w:ascii="Narkisim" w:hAnsi="Narkisim" w:cs="Narkisim"/>
          <w:rtl/>
        </w:rPr>
        <w:t xml:space="preserve"> וה</w:t>
      </w:r>
      <w:r w:rsidRPr="009F36E0">
        <w:rPr>
          <w:rFonts w:ascii="Narkisim" w:hAnsi="Narkisim" w:cs="Narkisim"/>
          <w:b/>
          <w:bCs/>
          <w:rtl/>
        </w:rPr>
        <w:t>אחרונים</w:t>
      </w:r>
      <w:r w:rsidRPr="009F36E0">
        <w:rPr>
          <w:rFonts w:ascii="Narkisim" w:hAnsi="Narkisim" w:cs="Narkisim"/>
          <w:rtl/>
        </w:rPr>
        <w:t xml:space="preserve"> דנו דמבואר בסוגיין דספק דרבנן הותר אפי' היכא דאיקבע איסורא</w:t>
      </w:r>
      <w:r w:rsidRPr="009F36E0">
        <w:rPr>
          <w:rFonts w:ascii="Narkisim" w:hAnsi="Narkisim" w:cs="Narkisim"/>
          <w:sz w:val="20"/>
          <w:szCs w:val="20"/>
          <w:rtl/>
        </w:rPr>
        <w:t xml:space="preserve"> [דודאי אחד מב' החתיכות הוה איסור].</w:t>
      </w:r>
      <w:r w:rsidRPr="009F36E0">
        <w:rPr>
          <w:rFonts w:ascii="Narkisim" w:hAnsi="Narkisim" w:cs="Narkisim"/>
          <w:rtl/>
        </w:rPr>
        <w:t xml:space="preserve"> וה</w:t>
      </w:r>
      <w:r w:rsidRPr="009F36E0">
        <w:rPr>
          <w:rFonts w:ascii="Narkisim" w:hAnsi="Narkisim" w:cs="Narkisim"/>
          <w:b/>
          <w:bCs/>
          <w:rtl/>
        </w:rPr>
        <w:t>פוסקים</w:t>
      </w:r>
      <w:r w:rsidRPr="009F36E0">
        <w:rPr>
          <w:rFonts w:ascii="Narkisim" w:hAnsi="Narkisim" w:cs="Narkisim"/>
          <w:rtl/>
        </w:rPr>
        <w:t xml:space="preserve"> (ש"ך יו"ד קי כללי ס”ס כא) דנו בזה</w:t>
      </w:r>
      <w:r w:rsidRPr="009F36E0">
        <w:rPr>
          <w:rStyle w:val="ac"/>
          <w:rFonts w:ascii="Narkisim" w:hAnsi="Narkisim" w:cs="Narkisim"/>
          <w:rtl/>
        </w:rPr>
        <w:footnoteReference w:id="1439"/>
      </w:r>
      <w:r w:rsidRPr="009F36E0">
        <w:rPr>
          <w:rFonts w:ascii="Narkisim" w:hAnsi="Narkisim" w:cs="Narkisim"/>
        </w:rPr>
        <w:t xml:space="preserve">. </w:t>
      </w:r>
      <w:r w:rsidRPr="009F36E0">
        <w:rPr>
          <w:rFonts w:ascii="Narkisim" w:hAnsi="Narkisim" w:cs="Narkisim"/>
          <w:rtl/>
        </w:rPr>
        <w:t>וצ"ל דהוה קולא באיסור חלוצה לכהן</w:t>
      </w:r>
      <w:r w:rsidRPr="009F36E0">
        <w:rPr>
          <w:rStyle w:val="ac"/>
          <w:rFonts w:ascii="Narkisim" w:hAnsi="Narkisim" w:cs="Narkisim"/>
          <w:rtl/>
        </w:rPr>
        <w:footnoteReference w:id="1440"/>
      </w:r>
      <w:r w:rsidRPr="009F36E0">
        <w:rPr>
          <w:rFonts w:ascii="Narkisim" w:hAnsi="Narkisim" w:cs="Narkisim"/>
        </w:rPr>
        <w:t>.</w:t>
      </w:r>
    </w:p>
    <w:p w14:paraId="5B42FF3F" w14:textId="77777777" w:rsidR="006074A5" w:rsidRPr="009F36E0" w:rsidRDefault="006074A5" w:rsidP="006074A5">
      <w:pPr>
        <w:bidi/>
        <w:rPr>
          <w:rFonts w:ascii="Narkisim" w:hAnsi="Narkisim" w:cs="Narkisim"/>
        </w:rPr>
      </w:pPr>
      <w:r w:rsidRPr="009F36E0">
        <w:rPr>
          <w:rFonts w:ascii="Narkisim" w:hAnsi="Narkisim" w:cs="Narkisim"/>
          <w:u w:val="single"/>
          <w:rtl/>
        </w:rPr>
        <w:t>רש"י ד"ה מדרבנן.</w:t>
      </w:r>
      <w:r w:rsidRPr="009F36E0">
        <w:rPr>
          <w:rFonts w:ascii="Narkisim" w:hAnsi="Narkisim" w:cs="Narkisim"/>
          <w:rtl/>
        </w:rPr>
        <w:t xml:space="preserve"> לא גזרו רבנן לאפוקי מספק. משמע דלכתחילה אף בספק אסורה. וה</w:t>
      </w:r>
      <w:r w:rsidRPr="009F36E0">
        <w:rPr>
          <w:rFonts w:ascii="Narkisim" w:hAnsi="Narkisim" w:cs="Narkisim"/>
          <w:b/>
          <w:bCs/>
          <w:rtl/>
        </w:rPr>
        <w:t>רמב"ן</w:t>
      </w:r>
      <w:r w:rsidRPr="009F36E0">
        <w:rPr>
          <w:rFonts w:ascii="Narkisim" w:hAnsi="Narkisim" w:cs="Narkisim"/>
          <w:rtl/>
        </w:rPr>
        <w:t xml:space="preserve"> הוסיף אע"ג דבכל ספק דדבריהם אפי' לכתחילה לקולא, כיון דחלץ לה בבי"ד הוה מעשה רבה. ואין מתירין אותה ולא צרתה</w:t>
      </w:r>
      <w:r w:rsidRPr="009F36E0">
        <w:rPr>
          <w:rStyle w:val="ac"/>
          <w:rFonts w:ascii="Narkisim" w:hAnsi="Narkisim" w:cs="Narkisim"/>
          <w:rtl/>
        </w:rPr>
        <w:footnoteReference w:id="1441"/>
      </w:r>
      <w:r w:rsidRPr="009F36E0">
        <w:rPr>
          <w:rFonts w:ascii="Narkisim" w:hAnsi="Narkisim" w:cs="Narkisim"/>
        </w:rPr>
        <w:t>.</w:t>
      </w:r>
    </w:p>
    <w:p w14:paraId="3446F97E" w14:textId="77777777" w:rsidR="006074A5" w:rsidRPr="009F36E0" w:rsidRDefault="006074A5" w:rsidP="006074A5">
      <w:pPr>
        <w:pStyle w:val="a7"/>
        <w:bidi/>
        <w:rPr>
          <w:rFonts w:ascii="Narkisim" w:hAnsi="Narkisim"/>
        </w:rPr>
      </w:pPr>
      <w:r w:rsidRPr="009F36E0">
        <w:rPr>
          <w:rFonts w:ascii="Narkisim" w:hAnsi="Narkisim"/>
          <w:rtl/>
        </w:rPr>
        <w:t>וכת' דאף איסור אחות חלוצה ואחות זקוקה הוה מדרבנן, ואפ"ה אסרינן הכא מספק, ליבומי והדר מיחלץ, משום דפגע לאחות זקוקתו</w:t>
      </w:r>
      <w:r w:rsidRPr="009F36E0">
        <w:rPr>
          <w:rStyle w:val="ac"/>
          <w:rFonts w:ascii="Narkisim" w:hAnsi="Narkisim"/>
          <w:rtl/>
        </w:rPr>
        <w:footnoteReference w:id="1442"/>
      </w:r>
      <w:r w:rsidRPr="009F36E0">
        <w:rPr>
          <w:rFonts w:ascii="Narkisim" w:hAnsi="Narkisim"/>
        </w:rPr>
        <w:t xml:space="preserve">. </w:t>
      </w:r>
      <w:r w:rsidRPr="009F36E0">
        <w:rPr>
          <w:rFonts w:ascii="Narkisim" w:hAnsi="Narkisim"/>
          <w:rtl/>
        </w:rPr>
        <w:t>דכיון דחלץ לאידך נראית כיבמה ומתפרסמה מילתא טובא בבי”ד, הילכך חיישינן</w:t>
      </w:r>
      <w:r w:rsidRPr="009F36E0">
        <w:rPr>
          <w:rFonts w:ascii="Narkisim" w:hAnsi="Narkisim"/>
        </w:rPr>
        <w:t>.</w:t>
      </w:r>
    </w:p>
    <w:p w14:paraId="21DE15F1"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מרדכי</w:t>
      </w:r>
      <w:r w:rsidRPr="009F36E0">
        <w:rPr>
          <w:rFonts w:ascii="Narkisim" w:hAnsi="Narkisim"/>
          <w:rtl/>
        </w:rPr>
        <w:t xml:space="preserve"> (כא) נסתפק בדין ספק חלוצה לכהן</w:t>
      </w:r>
      <w:r w:rsidRPr="009F36E0">
        <w:rPr>
          <w:rStyle w:val="ac"/>
          <w:rFonts w:ascii="Narkisim" w:hAnsi="Narkisim"/>
          <w:rtl/>
        </w:rPr>
        <w:footnoteReference w:id="1443"/>
      </w:r>
      <w:r w:rsidRPr="009F36E0">
        <w:rPr>
          <w:rFonts w:ascii="Narkisim" w:hAnsi="Narkisim"/>
        </w:rPr>
        <w:t xml:space="preserve">, </w:t>
      </w:r>
      <w:r w:rsidRPr="009F36E0">
        <w:rPr>
          <w:rFonts w:ascii="Narkisim" w:hAnsi="Narkisim"/>
          <w:rtl/>
        </w:rPr>
        <w:t>וכן ספק אחות זקוקה. האם אמרי' בכל מילי ספק דרבנן לקולא. [וה</w:t>
      </w:r>
      <w:r w:rsidRPr="009F36E0">
        <w:rPr>
          <w:rFonts w:ascii="Narkisim" w:hAnsi="Narkisim"/>
          <w:b/>
          <w:bCs/>
          <w:rtl/>
        </w:rPr>
        <w:t>אחרונים</w:t>
      </w:r>
      <w:r w:rsidRPr="009F36E0">
        <w:rPr>
          <w:rFonts w:ascii="Narkisim" w:hAnsi="Narkisim"/>
          <w:rtl/>
        </w:rPr>
        <w:t xml:space="preserve"> דנו במה נסתפק, הא מפורש במשנה דספק אסור, אלא דכנס אי"צ להוציא]. וה</w:t>
      </w:r>
      <w:r w:rsidRPr="009F36E0">
        <w:rPr>
          <w:rFonts w:ascii="Narkisim" w:hAnsi="Narkisim"/>
          <w:b/>
          <w:bCs/>
          <w:rtl/>
        </w:rPr>
        <w:t>בית מאיר</w:t>
      </w:r>
      <w:r w:rsidRPr="009F36E0">
        <w:rPr>
          <w:rFonts w:ascii="Narkisim" w:hAnsi="Narkisim"/>
          <w:rtl/>
        </w:rPr>
        <w:t xml:space="preserve"> (צלעות הבית ב) ביאר כוונתו דהמשנה איירי דאיקבע איסורא, וכ"כ ה</w:t>
      </w:r>
      <w:r w:rsidRPr="009F36E0">
        <w:rPr>
          <w:rFonts w:ascii="Narkisim" w:hAnsi="Narkisim"/>
          <w:b/>
          <w:bCs/>
          <w:rtl/>
        </w:rPr>
        <w:t>חזו"א</w:t>
      </w:r>
      <w:r w:rsidRPr="009F36E0">
        <w:rPr>
          <w:rFonts w:ascii="Narkisim" w:hAnsi="Narkisim"/>
        </w:rPr>
        <w:t>].</w:t>
      </w:r>
    </w:p>
    <w:p w14:paraId="5FFC76BF" w14:textId="77777777" w:rsidR="006074A5" w:rsidRPr="009F36E0" w:rsidRDefault="006074A5" w:rsidP="006074A5">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ה</w:t>
      </w:r>
      <w:r w:rsidRPr="009F36E0">
        <w:rPr>
          <w:rFonts w:ascii="Narkisim" w:hAnsi="Narkisim" w:cs="Narkisim"/>
          <w:b/>
          <w:bCs/>
          <w:rtl/>
        </w:rPr>
        <w:t>רמב"ם</w:t>
      </w:r>
      <w:r w:rsidRPr="009F36E0">
        <w:rPr>
          <w:rFonts w:ascii="Narkisim" w:hAnsi="Narkisim" w:cs="Narkisim"/>
          <w:sz w:val="20"/>
          <w:szCs w:val="20"/>
          <w:rtl/>
        </w:rPr>
        <w:t xml:space="preserve"> (איסו"ב יז ז)</w:t>
      </w:r>
      <w:r w:rsidRPr="009F36E0">
        <w:rPr>
          <w:rFonts w:ascii="Narkisim" w:hAnsi="Narkisim" w:cs="Narkisim"/>
          <w:rtl/>
        </w:rPr>
        <w:t xml:space="preserve"> פסק גבי ספק חלוצה לא תצא, והיא כשירה וולדה כשר. וה</w:t>
      </w:r>
      <w:r w:rsidRPr="009F36E0">
        <w:rPr>
          <w:rFonts w:ascii="Narkisim" w:hAnsi="Narkisim" w:cs="Narkisim"/>
          <w:b/>
          <w:bCs/>
          <w:rtl/>
        </w:rPr>
        <w:t>משנ"ל</w:t>
      </w:r>
      <w:r w:rsidRPr="009F36E0">
        <w:rPr>
          <w:rFonts w:ascii="Narkisim" w:hAnsi="Narkisim" w:cs="Narkisim"/>
          <w:rtl/>
        </w:rPr>
        <w:t xml:space="preserve"> ביאר דכיון דמותרת לו אף הולד אינו נאסר. דלא מצאנו בשום מקום ביאת היתר שפוסל. והו"ל לחכמים לאסור כה"ג שלא ירבו פסולים. וה</w:t>
      </w:r>
      <w:r w:rsidRPr="009F36E0">
        <w:rPr>
          <w:rFonts w:ascii="Narkisim" w:hAnsi="Narkisim" w:cs="Narkisim"/>
          <w:b/>
          <w:bCs/>
          <w:rtl/>
        </w:rPr>
        <w:t>גר"א</w:t>
      </w:r>
      <w:r w:rsidRPr="009F36E0">
        <w:rPr>
          <w:rFonts w:ascii="Narkisim" w:hAnsi="Narkisim" w:cs="Narkisim"/>
          <w:rtl/>
        </w:rPr>
        <w:t xml:space="preserve"> (ז סה) כת' דכלפי הולד הוה כדיעבד [כדאי' כתובות יד.]</w:t>
      </w:r>
      <w:r w:rsidRPr="009F36E0">
        <w:rPr>
          <w:rFonts w:ascii="Narkisim" w:hAnsi="Narkisim" w:cs="Narkisim"/>
        </w:rPr>
        <w:t>.</w:t>
      </w:r>
    </w:p>
    <w:p w14:paraId="73646011" w14:textId="77777777" w:rsidR="006074A5" w:rsidRPr="009F36E0" w:rsidRDefault="006074A5" w:rsidP="006074A5">
      <w:pPr>
        <w:pStyle w:val="a8"/>
        <w:bidi/>
        <w:rPr>
          <w:rFonts w:ascii="Narkisim" w:hAnsi="Narkisim"/>
        </w:rPr>
      </w:pPr>
      <w:r w:rsidRPr="009F36E0">
        <w:rPr>
          <w:rFonts w:ascii="Narkisim" w:hAnsi="Narkisim"/>
          <w:rtl/>
        </w:rPr>
        <w:t>אבל ה</w:t>
      </w:r>
      <w:r w:rsidRPr="009F36E0">
        <w:rPr>
          <w:rFonts w:ascii="Narkisim" w:hAnsi="Narkisim"/>
          <w:b/>
          <w:bCs/>
          <w:rtl/>
        </w:rPr>
        <w:t>רמ"א</w:t>
      </w:r>
      <w:r w:rsidRPr="009F36E0">
        <w:rPr>
          <w:rFonts w:ascii="Narkisim" w:hAnsi="Narkisim"/>
          <w:rtl/>
        </w:rPr>
        <w:t xml:space="preserve"> (ז כ) פסק דכהן שבא על ספק חלוצה הולד הוה ספק כהן. [צ"ל דאיירי באופן שאסורה מחמת הספק]. והפוסקים דנו בזה</w:t>
      </w:r>
      <w:r w:rsidRPr="009F36E0">
        <w:rPr>
          <w:rFonts w:ascii="Narkisim" w:hAnsi="Narkisim"/>
        </w:rPr>
        <w:t>.</w:t>
      </w:r>
    </w:p>
    <w:p w14:paraId="6CC64E7B" w14:textId="77777777" w:rsidR="006074A5" w:rsidRPr="009F36E0" w:rsidRDefault="006074A5" w:rsidP="006074A5">
      <w:pPr>
        <w:bidi/>
        <w:rPr>
          <w:rFonts w:ascii="Narkisim" w:hAnsi="Narkisim" w:cs="Narkisim"/>
        </w:rPr>
      </w:pPr>
      <w:r w:rsidRPr="009F36E0">
        <w:rPr>
          <w:rFonts w:ascii="Narkisim" w:hAnsi="Narkisim" w:cs="Narkisim"/>
          <w:u w:val="single"/>
          <w:rtl/>
        </w:rPr>
        <w:t>תוד"ה וספק.</w:t>
      </w:r>
      <w:r w:rsidRPr="009F36E0">
        <w:rPr>
          <w:rFonts w:ascii="Narkisim" w:hAnsi="Narkisim" w:cs="Narkisim"/>
          <w:rtl/>
        </w:rPr>
        <w:t xml:space="preserve"> ולמה לא תחלוץ כיון דספק מותרת לכהן. </w:t>
      </w:r>
      <w:r w:rsidRPr="009F36E0">
        <w:rPr>
          <w:rFonts w:ascii="Narkisim" w:hAnsi="Narkisim" w:cs="Narkisim"/>
          <w:sz w:val="20"/>
          <w:szCs w:val="20"/>
          <w:rtl/>
        </w:rPr>
        <w:t>[וביארו דכוונת התוס' להקשות דכיון דהיא כבר אשתו נחשב בדיעבד].</w:t>
      </w:r>
      <w:r w:rsidRPr="009F36E0">
        <w:rPr>
          <w:rFonts w:ascii="Narkisim" w:hAnsi="Narkisim" w:cs="Narkisim"/>
          <w:rtl/>
        </w:rPr>
        <w:t xml:space="preserve"> ו</w:t>
      </w:r>
      <w:r w:rsidRPr="009F36E0">
        <w:rPr>
          <w:rFonts w:ascii="Narkisim" w:hAnsi="Narkisim" w:cs="Narkisim"/>
          <w:b/>
          <w:bCs/>
          <w:rtl/>
        </w:rPr>
        <w:t xml:space="preserve">תוס' </w:t>
      </w:r>
      <w:r w:rsidRPr="009F36E0">
        <w:rPr>
          <w:rFonts w:ascii="Narkisim" w:hAnsi="Narkisim" w:cs="Narkisim"/>
          <w:rtl/>
        </w:rPr>
        <w:t xml:space="preserve">(שבת קלו:) תי' דכיון דאפשר בלא חליצה, לא תקנו לחלוץ, </w:t>
      </w:r>
      <w:r w:rsidRPr="009F36E0">
        <w:rPr>
          <w:rFonts w:ascii="Narkisim" w:hAnsi="Narkisim" w:cs="Narkisim"/>
          <w:rtl/>
        </w:rPr>
        <w:lastRenderedPageBreak/>
        <w:t>שלא להוציא לעז על בניה</w:t>
      </w:r>
      <w:r w:rsidRPr="009F36E0">
        <w:rPr>
          <w:rFonts w:ascii="Narkisim" w:hAnsi="Narkisim" w:cs="Narkisim"/>
        </w:rPr>
        <w:t>.</w:t>
      </w:r>
    </w:p>
    <w:p w14:paraId="0EBDAA84"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בשם </w:t>
      </w:r>
      <w:r w:rsidRPr="009F36E0">
        <w:rPr>
          <w:rFonts w:ascii="Narkisim" w:hAnsi="Narkisim"/>
          <w:b/>
          <w:bCs/>
          <w:rtl/>
        </w:rPr>
        <w:t>ר' מאיר</w:t>
      </w:r>
      <w:r w:rsidRPr="009F36E0">
        <w:rPr>
          <w:rFonts w:ascii="Narkisim" w:hAnsi="Narkisim"/>
          <w:rtl/>
        </w:rPr>
        <w:t xml:space="preserve"> [וכעי"ז הביא ה</w:t>
      </w:r>
      <w:r w:rsidRPr="009F36E0">
        <w:rPr>
          <w:rFonts w:ascii="Narkisim" w:hAnsi="Narkisim"/>
          <w:b/>
          <w:bCs/>
          <w:rtl/>
        </w:rPr>
        <w:t>מאירי</w:t>
      </w:r>
      <w:r w:rsidRPr="009F36E0">
        <w:rPr>
          <w:rFonts w:ascii="Narkisim" w:hAnsi="Narkisim"/>
          <w:rtl/>
        </w:rPr>
        <w:t>] חילק דבסוגיין הוה ספק האם הוא יבמה. אבל היכא דודאי חלצה מיבמה, אף דהחליצה הוה ספק, כיון דהצריכוה רבנן לחליצה אסורה</w:t>
      </w:r>
      <w:r w:rsidRPr="009F36E0">
        <w:rPr>
          <w:rFonts w:ascii="Narkisim" w:hAnsi="Narkisim"/>
        </w:rPr>
        <w:t>.</w:t>
      </w:r>
    </w:p>
    <w:p w14:paraId="1D4337BD" w14:textId="77777777" w:rsidR="006074A5" w:rsidRPr="009F36E0" w:rsidRDefault="006074A5" w:rsidP="006074A5">
      <w:pPr>
        <w:pStyle w:val="aa"/>
        <w:bidi/>
        <w:rPr>
          <w:rFonts w:ascii="Narkisim" w:hAnsi="Narkisim"/>
        </w:rPr>
      </w:pPr>
      <w:r w:rsidRPr="009F36E0">
        <w:rPr>
          <w:rFonts w:ascii="Narkisim" w:hAnsi="Narkisim"/>
          <w:u w:val="single"/>
          <w:rtl/>
        </w:rPr>
        <w:t>שם. למה לא תחלוץ</w:t>
      </w:r>
      <w:r w:rsidRPr="009F36E0">
        <w:rPr>
          <w:rFonts w:ascii="Narkisim" w:hAnsi="Narkisim"/>
          <w:rtl/>
        </w:rPr>
        <w:t>. ה</w:t>
      </w:r>
      <w:r w:rsidRPr="009F36E0">
        <w:rPr>
          <w:rFonts w:ascii="Narkisim" w:hAnsi="Narkisim"/>
          <w:b/>
          <w:bCs/>
          <w:rtl/>
        </w:rPr>
        <w:t>אחרונים</w:t>
      </w:r>
      <w:r w:rsidRPr="009F36E0">
        <w:rPr>
          <w:rFonts w:ascii="Narkisim" w:hAnsi="Narkisim"/>
          <w:rtl/>
        </w:rPr>
        <w:t xml:space="preserve"> הביאו דמפורש בדברי התוס' דמהני חליצה בעודה נשואה, ולא אמרי' דהשתא אינה עולה ליבום [וע' מש"כ בזה לעיל טו.]</w:t>
      </w:r>
      <w:r w:rsidRPr="009F36E0">
        <w:rPr>
          <w:rFonts w:ascii="Narkisim" w:hAnsi="Narkisim"/>
        </w:rPr>
        <w:t>.</w:t>
      </w:r>
    </w:p>
    <w:p w14:paraId="36BE0076" w14:textId="77777777" w:rsidR="006074A5" w:rsidRPr="009F36E0" w:rsidRDefault="006074A5" w:rsidP="006074A5">
      <w:pPr>
        <w:pStyle w:val="2"/>
        <w:bidi/>
        <w:rPr>
          <w:rFonts w:ascii="Narkisim" w:hAnsi="Narkisim"/>
        </w:rPr>
      </w:pPr>
      <w:r w:rsidRPr="009F36E0">
        <w:rPr>
          <w:rFonts w:ascii="Narkisim" w:hAnsi="Narkisim"/>
          <w:rtl/>
        </w:rPr>
        <w:t>מצוה בגדול</w:t>
      </w:r>
    </w:p>
    <w:p w14:paraId="32248E8D" w14:textId="77777777" w:rsidR="006074A5" w:rsidRPr="009F36E0" w:rsidRDefault="006074A5" w:rsidP="006074A5">
      <w:pPr>
        <w:bidi/>
        <w:rPr>
          <w:rFonts w:ascii="Narkisim" w:hAnsi="Narkisim" w:cs="Narkisim"/>
        </w:rPr>
      </w:pPr>
      <w:r w:rsidRPr="009F36E0">
        <w:rPr>
          <w:rFonts w:ascii="Narkisim" w:hAnsi="Narkisim" w:cs="Narkisim"/>
          <w:u w:val="single"/>
          <w:rtl/>
        </w:rPr>
        <w:t>מצוה בגדול.</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rtl/>
        </w:rPr>
        <w:t xml:space="preserve"> כת' בשם ה</w:t>
      </w:r>
      <w:r w:rsidRPr="009F36E0">
        <w:rPr>
          <w:rFonts w:ascii="Narkisim" w:hAnsi="Narkisim" w:cs="Narkisim"/>
          <w:b/>
          <w:bCs/>
          <w:rtl/>
        </w:rPr>
        <w:t>ר"מ</w:t>
      </w:r>
      <w:r w:rsidRPr="009F36E0">
        <w:rPr>
          <w:rFonts w:ascii="Narkisim" w:hAnsi="Narkisim" w:cs="Narkisim"/>
          <w:rtl/>
        </w:rPr>
        <w:t xml:space="preserve"> דוקא כשהוא הגון לה</w:t>
      </w:r>
      <w:r w:rsidRPr="009F36E0">
        <w:rPr>
          <w:rStyle w:val="ac"/>
          <w:rFonts w:ascii="Narkisim" w:hAnsi="Narkisim" w:cs="Narkisim"/>
          <w:rtl/>
        </w:rPr>
        <w:footnoteReference w:id="1444"/>
      </w:r>
      <w:r w:rsidRPr="009F36E0">
        <w:rPr>
          <w:rFonts w:ascii="Narkisim" w:hAnsi="Narkisim" w:cs="Narkisim"/>
        </w:rPr>
        <w:t>.</w:t>
      </w:r>
      <w:r w:rsidRPr="009F36E0">
        <w:rPr>
          <w:rFonts w:ascii="Narkisim" w:hAnsi="Narkisim" w:cs="Narkisim"/>
          <w:sz w:val="20"/>
          <w:szCs w:val="20"/>
        </w:rPr>
        <w:t xml:space="preserve"> </w:t>
      </w:r>
      <w:r w:rsidRPr="009F36E0">
        <w:rPr>
          <w:rFonts w:ascii="Narkisim" w:hAnsi="Narkisim" w:cs="Narkisim"/>
          <w:sz w:val="20"/>
          <w:szCs w:val="20"/>
          <w:rtl/>
        </w:rPr>
        <w:t>[וע' לקמן לט. בגדר קדימת גדול]</w:t>
      </w:r>
      <w:r w:rsidRPr="009F36E0">
        <w:rPr>
          <w:rFonts w:ascii="Narkisim" w:hAnsi="Narkisim" w:cs="Narkisim"/>
          <w:sz w:val="20"/>
          <w:szCs w:val="20"/>
        </w:rPr>
        <w:t>.</w:t>
      </w:r>
    </w:p>
    <w:p w14:paraId="3F7D8F57" w14:textId="77777777" w:rsidR="006074A5" w:rsidRPr="009F36E0" w:rsidRDefault="006074A5" w:rsidP="006074A5">
      <w:pPr>
        <w:bidi/>
        <w:rPr>
          <w:rFonts w:ascii="Narkisim" w:hAnsi="Narkisim" w:cs="Narkisim"/>
        </w:rPr>
      </w:pPr>
      <w:r w:rsidRPr="009F36E0">
        <w:rPr>
          <w:rFonts w:ascii="Narkisim" w:hAnsi="Narkisim" w:cs="Narkisim"/>
          <w:u w:val="single"/>
          <w:rtl/>
        </w:rPr>
        <w:t>אע"ג דבכה"ת וכו' הכא אתא גזי"ש ואפקיה לגמרי.</w:t>
      </w:r>
      <w:r w:rsidRPr="009F36E0">
        <w:rPr>
          <w:rFonts w:ascii="Narkisim" w:hAnsi="Narkisim" w:cs="Narkisim"/>
          <w:rtl/>
        </w:rPr>
        <w:t xml:space="preserve"> וילפי' דהבכור מייבם, ופ</w:t>
      </w:r>
      <w:r w:rsidRPr="009F36E0">
        <w:rPr>
          <w:rFonts w:ascii="Narkisim" w:hAnsi="Narkisim" w:cs="Narkisim"/>
          <w:b/>
          <w:bCs/>
          <w:rtl/>
        </w:rPr>
        <w:t xml:space="preserve">רש"י </w:t>
      </w:r>
      <w:r w:rsidRPr="009F36E0">
        <w:rPr>
          <w:rFonts w:ascii="Narkisim" w:hAnsi="Narkisim" w:cs="Narkisim"/>
          <w:rtl/>
        </w:rPr>
        <w:t>(ד"ה מכאן) דדרשי' המשך הפסוק את היבמה אשת תלד. [ולפ”ז והיה הבכור לא קאי א'אשר תלד']. אבל ה</w:t>
      </w:r>
      <w:r w:rsidRPr="009F36E0">
        <w:rPr>
          <w:rFonts w:ascii="Narkisim" w:hAnsi="Narkisim" w:cs="Narkisim"/>
          <w:b/>
          <w:bCs/>
          <w:rtl/>
        </w:rPr>
        <w:t>רמב"ם</w:t>
      </w:r>
      <w:r w:rsidRPr="009F36E0">
        <w:rPr>
          <w:rFonts w:ascii="Narkisim" w:hAnsi="Narkisim" w:cs="Narkisim"/>
          <w:rtl/>
        </w:rPr>
        <w:t xml:space="preserve"> (בפיה"מ) פי' דדרשי' אשר תלד אֵם היבם. </w:t>
      </w:r>
      <w:r w:rsidRPr="009F36E0">
        <w:rPr>
          <w:rFonts w:ascii="Narkisim" w:hAnsi="Narkisim" w:cs="Narkisim"/>
          <w:sz w:val="20"/>
          <w:szCs w:val="20"/>
          <w:rtl/>
        </w:rPr>
        <w:t>[ומ"מ דרשי' נמי אשר תלד פרט לאילונית]</w:t>
      </w:r>
      <w:r w:rsidRPr="009F36E0">
        <w:rPr>
          <w:rFonts w:ascii="Narkisim" w:hAnsi="Narkisim" w:cs="Narkisim"/>
          <w:sz w:val="20"/>
          <w:szCs w:val="20"/>
        </w:rPr>
        <w:t>.</w:t>
      </w:r>
    </w:p>
    <w:p w14:paraId="4EF0C775" w14:textId="77777777" w:rsidR="006074A5" w:rsidRPr="009F36E0" w:rsidRDefault="006074A5" w:rsidP="006074A5">
      <w:pPr>
        <w:pStyle w:val="a8"/>
        <w:bidi/>
        <w:rPr>
          <w:rFonts w:ascii="Narkisim" w:hAnsi="Narkisim"/>
        </w:rPr>
      </w:pPr>
      <w:r w:rsidRPr="009F36E0">
        <w:rPr>
          <w:rFonts w:ascii="Narkisim" w:hAnsi="Narkisim"/>
          <w:rtl/>
        </w:rPr>
        <w:t>ו</w:t>
      </w:r>
      <w:r w:rsidRPr="009F36E0">
        <w:rPr>
          <w:rFonts w:ascii="Narkisim" w:hAnsi="Narkisim"/>
          <w:b/>
          <w:bCs/>
          <w:rtl/>
        </w:rPr>
        <w:t>רש"י</w:t>
      </w:r>
      <w:r w:rsidRPr="009F36E0">
        <w:rPr>
          <w:rFonts w:ascii="Narkisim" w:hAnsi="Narkisim"/>
          <w:rtl/>
        </w:rPr>
        <w:t xml:space="preserve"> (עה"ת בראשית לח ח) ביאר מה שאמר יהודה לאונן הקם זרע לאחיך, הבן יקרא על שם המת. וה</w:t>
      </w:r>
      <w:r w:rsidRPr="009F36E0">
        <w:rPr>
          <w:rFonts w:ascii="Narkisim" w:hAnsi="Narkisim"/>
          <w:b/>
          <w:bCs/>
          <w:rtl/>
        </w:rPr>
        <w:t>רמב"ן</w:t>
      </w:r>
      <w:r w:rsidRPr="009F36E0">
        <w:rPr>
          <w:rFonts w:ascii="Narkisim" w:hAnsi="Narkisim"/>
          <w:rtl/>
        </w:rPr>
        <w:t xml:space="preserve"> (שם) נקט דכוונתו שיקראו לו בשמו. וכתב דאינו אמת</w:t>
      </w:r>
      <w:r w:rsidRPr="009F36E0">
        <w:rPr>
          <w:rStyle w:val="ac"/>
          <w:rFonts w:ascii="Narkisim" w:hAnsi="Narkisim"/>
          <w:rtl/>
        </w:rPr>
        <w:footnoteReference w:id="1445"/>
      </w:r>
      <w:r w:rsidRPr="009F36E0">
        <w:rPr>
          <w:rFonts w:ascii="Narkisim" w:hAnsi="Narkisim"/>
        </w:rPr>
        <w:t xml:space="preserve">, </w:t>
      </w:r>
      <w:r w:rsidRPr="009F36E0">
        <w:rPr>
          <w:rFonts w:ascii="Narkisim" w:hAnsi="Narkisim"/>
          <w:rtl/>
        </w:rPr>
        <w:t>וכדאיתא בסוגיין. וה</w:t>
      </w:r>
      <w:r w:rsidRPr="009F36E0">
        <w:rPr>
          <w:rFonts w:ascii="Narkisim" w:hAnsi="Narkisim"/>
          <w:b/>
          <w:bCs/>
          <w:rtl/>
        </w:rPr>
        <w:t>אחרונים</w:t>
      </w:r>
      <w:r w:rsidRPr="009F36E0">
        <w:rPr>
          <w:rFonts w:ascii="Narkisim" w:hAnsi="Narkisim"/>
          <w:rtl/>
        </w:rPr>
        <w:t xml:space="preserve"> ביארו דכוונת רש"י דיקרא ע"ש המת, כאילו המת הוא אביו</w:t>
      </w:r>
      <w:r w:rsidRPr="009F36E0">
        <w:rPr>
          <w:rStyle w:val="ac"/>
          <w:rFonts w:ascii="Narkisim" w:hAnsi="Narkisim"/>
          <w:rtl/>
        </w:rPr>
        <w:footnoteReference w:id="1446"/>
      </w:r>
      <w:r w:rsidRPr="009F36E0">
        <w:rPr>
          <w:rFonts w:ascii="Narkisim" w:hAnsi="Narkisim"/>
        </w:rPr>
        <w:t>.</w:t>
      </w:r>
    </w:p>
    <w:p w14:paraId="0620BEF4" w14:textId="77777777" w:rsidR="006074A5" w:rsidRPr="009F36E0" w:rsidRDefault="006074A5" w:rsidP="006074A5">
      <w:pPr>
        <w:bidi/>
        <w:rPr>
          <w:rFonts w:ascii="Narkisim" w:hAnsi="Narkisim" w:cs="Narkisim"/>
        </w:rPr>
      </w:pPr>
      <w:r w:rsidRPr="009F36E0">
        <w:rPr>
          <w:rFonts w:ascii="Narkisim" w:hAnsi="Narkisim" w:cs="Narkisim"/>
          <w:u w:val="single"/>
          <w:rtl/>
        </w:rPr>
        <w:t>אימא בכור לייבם פשוט לא לייבם וכו'</w:t>
      </w:r>
      <w:r w:rsidRPr="009F36E0">
        <w:rPr>
          <w:rStyle w:val="ac"/>
          <w:rFonts w:ascii="Narkisim" w:hAnsi="Narkisim" w:cs="Narkisim"/>
          <w:rtl/>
        </w:rPr>
        <w:footnoteReference w:id="1447"/>
      </w:r>
      <w:r w:rsidRPr="009F36E0">
        <w:rPr>
          <w:rFonts w:ascii="Narkisim" w:hAnsi="Narkisim" w:cs="Narkisim"/>
          <w:rtl/>
        </w:rPr>
        <w:t>. ה</w:t>
      </w:r>
      <w:r w:rsidRPr="009F36E0">
        <w:rPr>
          <w:rFonts w:ascii="Narkisim" w:hAnsi="Narkisim" w:cs="Narkisim"/>
          <w:b/>
          <w:bCs/>
          <w:rtl/>
        </w:rPr>
        <w:t>ערול"נ</w:t>
      </w:r>
      <w:r w:rsidRPr="009F36E0">
        <w:rPr>
          <w:rFonts w:ascii="Narkisim" w:hAnsi="Narkisim" w:cs="Narkisim"/>
          <w:rtl/>
        </w:rPr>
        <w:t xml:space="preserve"> הק' א"כ אמאי בעינן קרא לצרת צרה, דע"כ אחיו ייבם, ועכשיו נופלת בנפילה שניה. והיכי משכח"ל, דהא לא יתכן ששניהם בכור. </w:t>
      </w:r>
      <w:r w:rsidRPr="009F36E0">
        <w:rPr>
          <w:rFonts w:ascii="Narkisim" w:hAnsi="Narkisim" w:cs="Narkisim"/>
          <w:sz w:val="20"/>
          <w:szCs w:val="20"/>
          <w:rtl/>
        </w:rPr>
        <w:t>[וכתב דע”כ דדרשי' לצרור כר' שמעון]</w:t>
      </w:r>
      <w:r w:rsidRPr="009F36E0">
        <w:rPr>
          <w:rFonts w:ascii="Narkisim" w:hAnsi="Narkisim" w:cs="Narkisim"/>
        </w:rPr>
        <w:t>.</w:t>
      </w:r>
    </w:p>
    <w:p w14:paraId="314A5C40" w14:textId="77777777" w:rsidR="006074A5" w:rsidRPr="009F36E0" w:rsidRDefault="006074A5" w:rsidP="006074A5">
      <w:pPr>
        <w:pStyle w:val="aa"/>
        <w:bidi/>
        <w:rPr>
          <w:rFonts w:ascii="Narkisim" w:hAnsi="Narkisim"/>
        </w:rPr>
      </w:pPr>
      <w:r w:rsidRPr="009F36E0">
        <w:rPr>
          <w:rFonts w:ascii="Narkisim" w:hAnsi="Narkisim"/>
          <w:rtl/>
        </w:rPr>
        <w:t>ועוד הקשו ה</w:t>
      </w:r>
      <w:r w:rsidRPr="009F36E0">
        <w:rPr>
          <w:rFonts w:ascii="Narkisim" w:hAnsi="Narkisim"/>
          <w:b/>
          <w:bCs/>
          <w:rtl/>
        </w:rPr>
        <w:t>אחרונים</w:t>
      </w:r>
      <w:r w:rsidRPr="009F36E0">
        <w:rPr>
          <w:rFonts w:ascii="Narkisim" w:hAnsi="Narkisim"/>
          <w:rtl/>
        </w:rPr>
        <w:t xml:space="preserve"> אמאי בעינן (לקמן קה:) מיעוט ליבם קטן, והאיך משכח"ל שאחיו קידש אשה, כשהבכור עדיין קטן. וה</w:t>
      </w:r>
      <w:r w:rsidRPr="009F36E0">
        <w:rPr>
          <w:rFonts w:ascii="Narkisim" w:hAnsi="Narkisim"/>
          <w:b/>
          <w:bCs/>
          <w:rtl/>
        </w:rPr>
        <w:t>ערול"נ</w:t>
      </w:r>
      <w:r w:rsidRPr="009F36E0">
        <w:rPr>
          <w:rFonts w:ascii="Narkisim" w:hAnsi="Narkisim"/>
          <w:rtl/>
        </w:rPr>
        <w:t xml:space="preserve"> ו</w:t>
      </w:r>
      <w:r w:rsidRPr="009F36E0">
        <w:rPr>
          <w:rFonts w:ascii="Narkisim" w:hAnsi="Narkisim"/>
          <w:b/>
          <w:bCs/>
          <w:rtl/>
        </w:rPr>
        <w:t xml:space="preserve">מצפ"א </w:t>
      </w:r>
      <w:r w:rsidRPr="009F36E0">
        <w:rPr>
          <w:rFonts w:ascii="Narkisim" w:hAnsi="Narkisim"/>
          <w:rtl/>
        </w:rPr>
        <w:t>תי' דנפק"מ כשהבן השני הביא שערות קודם וקידש אשה, והבכור לא הביא שערות והוה קטן</w:t>
      </w:r>
      <w:r w:rsidRPr="009F36E0">
        <w:rPr>
          <w:rStyle w:val="ac"/>
          <w:rFonts w:ascii="Narkisim" w:hAnsi="Narkisim"/>
          <w:rtl/>
        </w:rPr>
        <w:footnoteReference w:id="1448"/>
      </w:r>
      <w:r w:rsidRPr="009F36E0">
        <w:rPr>
          <w:rFonts w:ascii="Narkisim" w:hAnsi="Narkisim"/>
        </w:rPr>
        <w:t>.</w:t>
      </w:r>
    </w:p>
    <w:p w14:paraId="0CC1D347" w14:textId="77777777" w:rsidR="006074A5" w:rsidRPr="009F36E0" w:rsidRDefault="006074A5" w:rsidP="006074A5">
      <w:pPr>
        <w:pStyle w:val="aa"/>
        <w:bidi/>
        <w:rPr>
          <w:rFonts w:ascii="Narkisim" w:hAnsi="Narkisim"/>
        </w:rPr>
      </w:pPr>
      <w:r w:rsidRPr="009F36E0">
        <w:rPr>
          <w:rFonts w:ascii="Narkisim" w:hAnsi="Narkisim"/>
          <w:u w:val="single"/>
          <w:rtl/>
        </w:rPr>
        <w:t>יבום בנחלה תלה רחמנא.</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דבכור הנוטל פי שנים הוא המייבם. וה</w:t>
      </w:r>
      <w:r w:rsidRPr="009F36E0">
        <w:rPr>
          <w:rFonts w:ascii="Narkisim" w:hAnsi="Narkisim"/>
          <w:b/>
          <w:bCs/>
          <w:rtl/>
        </w:rPr>
        <w:t>רשב"א</w:t>
      </w:r>
      <w:r w:rsidRPr="009F36E0">
        <w:rPr>
          <w:rFonts w:ascii="Narkisim" w:hAnsi="Narkisim"/>
          <w:rtl/>
        </w:rPr>
        <w:t xml:space="preserve"> הק' דלא תליא דין יבום בירושת חלק הבכורה. וה</w:t>
      </w:r>
      <w:r w:rsidRPr="009F36E0">
        <w:rPr>
          <w:rFonts w:ascii="Narkisim" w:hAnsi="Narkisim"/>
          <w:b/>
          <w:bCs/>
          <w:rtl/>
        </w:rPr>
        <w:t>רשב"א</w:t>
      </w:r>
      <w:r w:rsidRPr="009F36E0">
        <w:rPr>
          <w:rFonts w:ascii="Narkisim" w:hAnsi="Narkisim"/>
          <w:rtl/>
        </w:rPr>
        <w:t xml:space="preserve"> פי' דכיון דיבום בנחלה תליא, וצד האם אינו מעלה כלל בדיני נחלה, ולכן לא תגרום דין יבום</w:t>
      </w:r>
      <w:r w:rsidRPr="009F36E0">
        <w:rPr>
          <w:rFonts w:ascii="Narkisim" w:hAnsi="Narkisim"/>
        </w:rPr>
        <w:t>.</w:t>
      </w:r>
    </w:p>
    <w:p w14:paraId="02D2FDF9" w14:textId="77777777" w:rsidR="006074A5" w:rsidRPr="009F36E0" w:rsidRDefault="006074A5" w:rsidP="006074A5">
      <w:pPr>
        <w:bidi/>
        <w:rPr>
          <w:rFonts w:ascii="Narkisim" w:hAnsi="Narkisim" w:cs="Narkisim"/>
        </w:rPr>
      </w:pPr>
      <w:r w:rsidRPr="009F36E0">
        <w:rPr>
          <w:rFonts w:ascii="Narkisim" w:hAnsi="Narkisim" w:cs="Narkisim"/>
          <w:u w:val="single"/>
          <w:rtl/>
        </w:rPr>
        <w:t>ואימא כי איכא בכור תתקיים.</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rtl/>
        </w:rPr>
        <w:t xml:space="preserve"> פי' אפי' ע"י הפשוטים, דחשבינן ליה שליחותו דבכור. דומה למה שאמרו כל הראוי לבילה אין בילה מעכבת. </w:t>
      </w:r>
      <w:r w:rsidRPr="009F36E0">
        <w:rPr>
          <w:rFonts w:ascii="Narkisim" w:hAnsi="Narkisim" w:cs="Narkisim"/>
          <w:sz w:val="20"/>
          <w:szCs w:val="20"/>
          <w:rtl/>
        </w:rPr>
        <w:t>[לכאורה הוה טעם בפנ"ע]</w:t>
      </w:r>
      <w:r w:rsidRPr="009F36E0">
        <w:rPr>
          <w:rFonts w:ascii="Narkisim" w:hAnsi="Narkisim" w:cs="Narkisim"/>
          <w:sz w:val="20"/>
          <w:szCs w:val="20"/>
        </w:rPr>
        <w:t>.</w:t>
      </w:r>
    </w:p>
    <w:p w14:paraId="7365EF41" w14:textId="77777777" w:rsidR="006074A5" w:rsidRPr="009F36E0" w:rsidRDefault="006074A5" w:rsidP="006074A5">
      <w:pPr>
        <w:pStyle w:val="aa"/>
        <w:bidi/>
        <w:rPr>
          <w:rFonts w:ascii="Narkisim" w:hAnsi="Narkisim"/>
        </w:rPr>
      </w:pPr>
      <w:r w:rsidRPr="009F36E0">
        <w:rPr>
          <w:rFonts w:ascii="Narkisim" w:hAnsi="Narkisim"/>
          <w:sz w:val="24"/>
          <w:u w:val="single"/>
          <w:rtl/>
        </w:rPr>
        <w:t>הא מיעט רחמנא אשת אחיו שלא היה בעולמו</w:t>
      </w:r>
      <w:r w:rsidRPr="009F36E0">
        <w:rPr>
          <w:rFonts w:ascii="Narkisim" w:hAnsi="Narkisim"/>
          <w:sz w:val="24"/>
          <w:rtl/>
        </w:rPr>
        <w:t>. פ</w:t>
      </w:r>
      <w:r w:rsidRPr="009F36E0">
        <w:rPr>
          <w:rFonts w:ascii="Narkisim" w:hAnsi="Narkisim"/>
          <w:b/>
          <w:bCs/>
          <w:sz w:val="24"/>
          <w:rtl/>
        </w:rPr>
        <w:t>רש"י</w:t>
      </w:r>
      <w:r w:rsidRPr="009F36E0">
        <w:rPr>
          <w:rFonts w:ascii="Narkisim" w:hAnsi="Narkisim"/>
          <w:sz w:val="24"/>
          <w:rtl/>
        </w:rPr>
        <w:t xml:space="preserve"> דמיעוט כתיב גבי ב' אחים. ה</w:t>
      </w:r>
      <w:r w:rsidRPr="009F36E0">
        <w:rPr>
          <w:rFonts w:ascii="Narkisim" w:hAnsi="Narkisim"/>
          <w:b/>
          <w:bCs/>
          <w:sz w:val="24"/>
          <w:rtl/>
        </w:rPr>
        <w:t>רמב"ן</w:t>
      </w:r>
      <w:r w:rsidRPr="009F36E0">
        <w:rPr>
          <w:rFonts w:ascii="Narkisim" w:hAnsi="Narkisim"/>
          <w:sz w:val="24"/>
          <w:rtl/>
        </w:rPr>
        <w:t xml:space="preserve"> ביאר דדרשי' כי ישבו אחים, שני אחים שהיתה להם ישיבה אחת בעולם, ולא שני אחין שא' לא בא לעולם. והך מיעוט קאי כשיש רק ב' אחין, כלומר שהנולד אחד מהן. אלמא אפי' ליכא בכור איכא מצות יבום</w:t>
      </w:r>
      <w:r w:rsidRPr="009F36E0">
        <w:rPr>
          <w:rFonts w:ascii="Narkisim" w:hAnsi="Narkisim"/>
          <w:sz w:val="24"/>
        </w:rPr>
        <w:t>.</w:t>
      </w:r>
    </w:p>
    <w:p w14:paraId="28987A7E" w14:textId="77777777" w:rsidR="006074A5" w:rsidRPr="009F36E0" w:rsidRDefault="006074A5" w:rsidP="006074A5">
      <w:pPr>
        <w:pStyle w:val="a8"/>
        <w:bidi/>
        <w:rPr>
          <w:rFonts w:ascii="Narkisim" w:hAnsi="Narkisim"/>
        </w:rPr>
      </w:pPr>
      <w:r w:rsidRPr="009F36E0">
        <w:rPr>
          <w:rFonts w:ascii="Narkisim" w:hAnsi="Narkisim"/>
          <w:sz w:val="24"/>
          <w:rtl/>
        </w:rPr>
        <w:t>וה</w:t>
      </w:r>
      <w:r w:rsidRPr="009F36E0">
        <w:rPr>
          <w:rFonts w:ascii="Narkisim" w:hAnsi="Narkisim"/>
          <w:b/>
          <w:bCs/>
          <w:sz w:val="24"/>
          <w:rtl/>
        </w:rPr>
        <w:t>רמב"ן</w:t>
      </w:r>
      <w:r w:rsidRPr="009F36E0">
        <w:rPr>
          <w:rFonts w:ascii="Narkisim" w:hAnsi="Narkisim"/>
          <w:sz w:val="24"/>
          <w:rtl/>
        </w:rPr>
        <w:t xml:space="preserve"> הביא </w:t>
      </w:r>
      <w:r w:rsidRPr="009F36E0">
        <w:rPr>
          <w:rFonts w:ascii="Narkisim" w:hAnsi="Narkisim"/>
          <w:b/>
          <w:bCs/>
          <w:sz w:val="24"/>
          <w:rtl/>
        </w:rPr>
        <w:t>י"מ</w:t>
      </w:r>
      <w:r w:rsidRPr="009F36E0">
        <w:rPr>
          <w:rFonts w:ascii="Narkisim" w:hAnsi="Narkisim"/>
          <w:sz w:val="24"/>
          <w:rtl/>
        </w:rPr>
        <w:t xml:space="preserve"> דאי קרא קאי דוקא בשמת קטן, א"כ אף 'והיה הבכור' דקאמר רחמנא דוקא שהוא ייבם. וא"כ למה איצטריך מיעוט דאשת אחיו שלא היה בעולמו. וכת' דאינו מחוור</w:t>
      </w:r>
      <w:r w:rsidRPr="009F36E0">
        <w:rPr>
          <w:rFonts w:ascii="Narkisim" w:hAnsi="Narkisim"/>
          <w:sz w:val="24"/>
        </w:rPr>
        <w:t>.</w:t>
      </w:r>
    </w:p>
    <w:p w14:paraId="7C9FF123" w14:textId="77777777" w:rsidR="006074A5" w:rsidRPr="009F36E0" w:rsidRDefault="006074A5" w:rsidP="006074A5">
      <w:pPr>
        <w:pStyle w:val="a8"/>
        <w:bidi/>
        <w:rPr>
          <w:rFonts w:ascii="Narkisim" w:hAnsi="Narkisim"/>
        </w:rPr>
      </w:pPr>
      <w:r w:rsidRPr="009F36E0">
        <w:rPr>
          <w:rFonts w:ascii="Narkisim" w:hAnsi="Narkisim"/>
          <w:sz w:val="24"/>
          <w:rtl/>
        </w:rPr>
        <w:t>ועוד הביא בשם ה</w:t>
      </w:r>
      <w:r w:rsidRPr="009F36E0">
        <w:rPr>
          <w:rFonts w:ascii="Narkisim" w:hAnsi="Narkisim"/>
          <w:b/>
          <w:bCs/>
          <w:sz w:val="24"/>
          <w:rtl/>
        </w:rPr>
        <w:t>ר"א אב"ד</w:t>
      </w:r>
      <w:r w:rsidRPr="009F36E0">
        <w:rPr>
          <w:rFonts w:ascii="Narkisim" w:hAnsi="Narkisim"/>
          <w:sz w:val="24"/>
          <w:rtl/>
        </w:rPr>
        <w:t xml:space="preserve"> דקו' הגמ' דנתמעט דוקא אשת אחיו שלא היה בעולמו, אבל קטן דהוה בעולמו מייבם. וה</w:t>
      </w:r>
      <w:r w:rsidRPr="009F36E0">
        <w:rPr>
          <w:rFonts w:ascii="Narkisim" w:hAnsi="Narkisim"/>
          <w:b/>
          <w:bCs/>
          <w:sz w:val="24"/>
          <w:rtl/>
        </w:rPr>
        <w:t>רמב"ן</w:t>
      </w:r>
      <w:r w:rsidRPr="009F36E0">
        <w:rPr>
          <w:rFonts w:ascii="Narkisim" w:hAnsi="Narkisim"/>
          <w:sz w:val="24"/>
          <w:rtl/>
        </w:rPr>
        <w:t xml:space="preserve"> דחה דקטן מייבם היכא דיש בכור. אבל ליכא בכור כולהו מיעטינהו מ'והיה הבכור</w:t>
      </w:r>
      <w:r w:rsidRPr="009F36E0">
        <w:rPr>
          <w:rFonts w:ascii="Narkisim" w:hAnsi="Narkisim"/>
          <w:sz w:val="24"/>
        </w:rPr>
        <w:t>'.</w:t>
      </w:r>
    </w:p>
    <w:p w14:paraId="1EF2C2DA" w14:textId="77777777" w:rsidR="006074A5" w:rsidRPr="009F36E0" w:rsidRDefault="006074A5" w:rsidP="006074A5">
      <w:pPr>
        <w:bidi/>
        <w:rPr>
          <w:rFonts w:ascii="Narkisim" w:hAnsi="Narkisim" w:cs="Narkisim"/>
        </w:rPr>
      </w:pPr>
      <w:r w:rsidRPr="009F36E0">
        <w:rPr>
          <w:rFonts w:ascii="Narkisim" w:hAnsi="Narkisim" w:cs="Narkisim"/>
          <w:u w:val="single"/>
          <w:rtl/>
        </w:rPr>
        <w:t>ליהדר אגדול.</w:t>
      </w:r>
      <w:r w:rsidRPr="009F36E0">
        <w:rPr>
          <w:rFonts w:ascii="Narkisim" w:hAnsi="Narkisim" w:cs="Narkisim"/>
          <w:rtl/>
        </w:rPr>
        <w:t xml:space="preserve"> ה</w:t>
      </w:r>
      <w:r w:rsidRPr="009F36E0">
        <w:rPr>
          <w:rFonts w:ascii="Narkisim" w:hAnsi="Narkisim" w:cs="Narkisim"/>
          <w:b/>
          <w:bCs/>
          <w:rtl/>
        </w:rPr>
        <w:t>תוס' הרא"ש</w:t>
      </w:r>
      <w:r w:rsidRPr="009F36E0">
        <w:rPr>
          <w:rFonts w:ascii="Narkisim" w:hAnsi="Narkisim" w:cs="Narkisim"/>
          <w:rtl/>
        </w:rPr>
        <w:t xml:space="preserve"> פי' דקו' הגמ' כשליכא בכור, או שאינו רוצה לייבם, כולם שווים. דס"ד דאינו אלא 'מצוות חיזור'</w:t>
      </w:r>
      <w:r w:rsidRPr="009F36E0">
        <w:rPr>
          <w:rStyle w:val="ac"/>
          <w:rFonts w:ascii="Narkisim" w:hAnsi="Narkisim" w:cs="Narkisim"/>
          <w:rtl/>
        </w:rPr>
        <w:footnoteReference w:id="1449"/>
      </w:r>
      <w:r w:rsidRPr="009F36E0">
        <w:rPr>
          <w:rFonts w:ascii="Narkisim" w:hAnsi="Narkisim" w:cs="Narkisim"/>
          <w:rtl/>
        </w:rPr>
        <w:t>. ו</w:t>
      </w:r>
      <w:r w:rsidRPr="009F36E0">
        <w:rPr>
          <w:rFonts w:ascii="Narkisim" w:hAnsi="Narkisim" w:cs="Narkisim"/>
          <w:b/>
          <w:bCs/>
          <w:rtl/>
        </w:rPr>
        <w:t xml:space="preserve">רש"י </w:t>
      </w:r>
      <w:r w:rsidRPr="009F36E0">
        <w:rPr>
          <w:rFonts w:ascii="Narkisim" w:hAnsi="Narkisim" w:cs="Narkisim"/>
          <w:rtl/>
        </w:rPr>
        <w:t xml:space="preserve">פי' לכופו, דמצוה עליה רמיא. </w:t>
      </w:r>
      <w:r w:rsidRPr="009F36E0">
        <w:rPr>
          <w:rFonts w:ascii="Narkisim" w:hAnsi="Narkisim" w:cs="Narkisim"/>
          <w:sz w:val="20"/>
          <w:szCs w:val="20"/>
          <w:rtl/>
        </w:rPr>
        <w:t>וק"מ דקו' הגמ' דכלפי דין כפייה כולם שווים [וע"ל לט. בגדר דין כפייה]</w:t>
      </w:r>
      <w:r w:rsidRPr="009F36E0">
        <w:rPr>
          <w:rFonts w:ascii="Narkisim" w:hAnsi="Narkisim" w:cs="Narkisim"/>
        </w:rPr>
        <w:t>.</w:t>
      </w:r>
    </w:p>
    <w:p w14:paraId="6229F7D7" w14:textId="77777777" w:rsidR="006074A5" w:rsidRPr="009F36E0" w:rsidRDefault="006074A5" w:rsidP="006074A5">
      <w:pPr>
        <w:bidi/>
        <w:rPr>
          <w:rFonts w:ascii="Narkisim" w:hAnsi="Narkisim" w:cs="Narkisim"/>
        </w:rPr>
      </w:pPr>
      <w:r w:rsidRPr="009F36E0">
        <w:rPr>
          <w:rFonts w:ascii="Narkisim" w:hAnsi="Narkisim" w:cs="Narkisim"/>
          <w:u w:val="single"/>
          <w:rtl/>
        </w:rPr>
        <w:lastRenderedPageBreak/>
        <w:t>לא רצה הולכים אצל אחיו הקטן.</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הימנו, ומהדרינן אגדול גדול קודם. </w:t>
      </w:r>
      <w:r w:rsidRPr="009F36E0">
        <w:rPr>
          <w:rFonts w:ascii="Narkisim" w:hAnsi="Narkisim" w:cs="Narkisim"/>
          <w:sz w:val="20"/>
          <w:szCs w:val="20"/>
          <w:rtl/>
        </w:rPr>
        <w:t>ו</w:t>
      </w:r>
      <w:r w:rsidRPr="009F36E0">
        <w:rPr>
          <w:rFonts w:ascii="Narkisim" w:hAnsi="Narkisim" w:cs="Narkisim"/>
          <w:b/>
          <w:bCs/>
          <w:sz w:val="20"/>
          <w:szCs w:val="20"/>
          <w:rtl/>
        </w:rPr>
        <w:t>תוס</w:t>
      </w:r>
      <w:r w:rsidRPr="009F36E0">
        <w:rPr>
          <w:rFonts w:ascii="Narkisim" w:hAnsi="Narkisim" w:cs="Narkisim"/>
          <w:sz w:val="20"/>
          <w:szCs w:val="20"/>
          <w:rtl/>
        </w:rPr>
        <w:t>' גרס כן בהדיא בגמ', הקטן ממנו. [ולדברי ה</w:t>
      </w:r>
      <w:r w:rsidRPr="009F36E0">
        <w:rPr>
          <w:rFonts w:ascii="Narkisim" w:hAnsi="Narkisim" w:cs="Narkisim"/>
          <w:b/>
          <w:bCs/>
          <w:sz w:val="20"/>
          <w:szCs w:val="20"/>
          <w:rtl/>
        </w:rPr>
        <w:t>תוס' הרא”ש</w:t>
      </w:r>
      <w:r w:rsidRPr="009F36E0">
        <w:rPr>
          <w:rFonts w:ascii="Narkisim" w:hAnsi="Narkisim" w:cs="Narkisim"/>
          <w:sz w:val="20"/>
          <w:szCs w:val="20"/>
          <w:rtl/>
        </w:rPr>
        <w:t xml:space="preserve"> זהו עיקר נידון הגמ'].</w:t>
      </w:r>
      <w:r w:rsidRPr="009F36E0">
        <w:rPr>
          <w:rFonts w:ascii="Narkisim" w:hAnsi="Narkisim" w:cs="Narkisim"/>
          <w:rtl/>
        </w:rPr>
        <w:t xml:space="preserve"> וכ"ד ה</w:t>
      </w:r>
      <w:r w:rsidRPr="009F36E0">
        <w:rPr>
          <w:rFonts w:ascii="Narkisim" w:hAnsi="Narkisim" w:cs="Narkisim"/>
          <w:b/>
          <w:bCs/>
          <w:rtl/>
        </w:rPr>
        <w:t>ראב"ד</w:t>
      </w:r>
      <w:r w:rsidRPr="009F36E0">
        <w:rPr>
          <w:rFonts w:ascii="Narkisim" w:hAnsi="Narkisim" w:cs="Narkisim"/>
          <w:rtl/>
        </w:rPr>
        <w:t xml:space="preserve"> (ב יב)</w:t>
      </w:r>
      <w:r w:rsidRPr="009F36E0">
        <w:rPr>
          <w:rFonts w:ascii="Narkisim" w:hAnsi="Narkisim" w:cs="Narkisim"/>
        </w:rPr>
        <w:t>.</w:t>
      </w:r>
    </w:p>
    <w:p w14:paraId="7F15DA5A"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רמב"ם</w:t>
      </w:r>
      <w:r w:rsidRPr="009F36E0">
        <w:rPr>
          <w:rFonts w:ascii="Narkisim" w:hAnsi="Narkisim"/>
          <w:rtl/>
        </w:rPr>
        <w:t xml:space="preserve"> (ב ז,יב) פסק דאם נסתלק המצוה מהגדול הרי כולם שווים</w:t>
      </w:r>
      <w:r w:rsidRPr="009F36E0">
        <w:rPr>
          <w:rStyle w:val="ac"/>
          <w:rFonts w:ascii="Narkisim" w:hAnsi="Narkisim"/>
          <w:rtl/>
        </w:rPr>
        <w:footnoteReference w:id="1450"/>
      </w:r>
      <w:r w:rsidRPr="009F36E0">
        <w:rPr>
          <w:rFonts w:ascii="Narkisim" w:hAnsi="Narkisim"/>
        </w:rPr>
        <w:t xml:space="preserve">. </w:t>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הביא דגרס לא רצו הולכים על כל האחים. </w:t>
      </w:r>
      <w:r w:rsidRPr="009F36E0">
        <w:rPr>
          <w:rFonts w:ascii="Narkisim" w:hAnsi="Narkisim"/>
          <w:sz w:val="20"/>
          <w:szCs w:val="20"/>
          <w:rtl/>
        </w:rPr>
        <w:t>[וה</w:t>
      </w:r>
      <w:r w:rsidRPr="009F36E0">
        <w:rPr>
          <w:rFonts w:ascii="Narkisim" w:hAnsi="Narkisim"/>
          <w:b/>
          <w:bCs/>
          <w:sz w:val="20"/>
          <w:szCs w:val="20"/>
          <w:rtl/>
        </w:rPr>
        <w:t>ערול"נ</w:t>
      </w:r>
      <w:r w:rsidRPr="009F36E0">
        <w:rPr>
          <w:rFonts w:ascii="Narkisim" w:hAnsi="Narkisim"/>
          <w:sz w:val="20"/>
          <w:szCs w:val="20"/>
          <w:rtl/>
        </w:rPr>
        <w:t xml:space="preserve"> ציין נידון ה</w:t>
      </w:r>
      <w:r w:rsidRPr="009F36E0">
        <w:rPr>
          <w:rFonts w:ascii="Narkisim" w:hAnsi="Narkisim"/>
          <w:b/>
          <w:bCs/>
          <w:sz w:val="20"/>
          <w:szCs w:val="20"/>
          <w:rtl/>
        </w:rPr>
        <w:t>אחרונים</w:t>
      </w:r>
      <w:r w:rsidRPr="009F36E0">
        <w:rPr>
          <w:rFonts w:ascii="Narkisim" w:hAnsi="Narkisim"/>
          <w:sz w:val="20"/>
          <w:szCs w:val="20"/>
          <w:rtl/>
        </w:rPr>
        <w:t xml:space="preserve"> במצוות כיבוד אחיו הגדול, האם קאי אבכור, או כל הגדול קודם]</w:t>
      </w:r>
      <w:r w:rsidRPr="009F36E0">
        <w:rPr>
          <w:rFonts w:ascii="Narkisim" w:hAnsi="Narkisim"/>
          <w:sz w:val="20"/>
          <w:szCs w:val="20"/>
        </w:rPr>
        <w:t>.</w:t>
      </w:r>
    </w:p>
    <w:p w14:paraId="0466BA71" w14:textId="77777777" w:rsidR="006074A5" w:rsidRPr="009F36E0" w:rsidRDefault="006074A5" w:rsidP="006074A5">
      <w:pPr>
        <w:pStyle w:val="3"/>
        <w:bidi/>
        <w:rPr>
          <w:rFonts w:ascii="Narkisim" w:hAnsi="Narkisim"/>
        </w:rPr>
      </w:pPr>
      <w:r w:rsidRPr="009F36E0">
        <w:rPr>
          <w:rFonts w:ascii="Narkisim" w:hAnsi="Narkisim"/>
          <w:rtl/>
        </w:rPr>
        <w:t>דף כד</w:t>
      </w:r>
      <w:r w:rsidRPr="009F36E0">
        <w:rPr>
          <w:rFonts w:ascii="Narkisim" w:hAnsi="Narkisim"/>
        </w:rPr>
        <w:t>:</w:t>
      </w:r>
    </w:p>
    <w:p w14:paraId="740B2B62" w14:textId="77777777" w:rsidR="006074A5" w:rsidRPr="009F36E0" w:rsidRDefault="006074A5" w:rsidP="006074A5">
      <w:pPr>
        <w:bidi/>
        <w:rPr>
          <w:rFonts w:ascii="Narkisim" w:hAnsi="Narkisim" w:cs="Narkisim"/>
        </w:rPr>
      </w:pPr>
      <w:r w:rsidRPr="009F36E0">
        <w:rPr>
          <w:rFonts w:ascii="Narkisim" w:hAnsi="Narkisim" w:cs="Narkisim"/>
          <w:u w:val="single"/>
          <w:rtl/>
        </w:rPr>
        <w:t>מה בכור אינו נוטל בראוי כבמוחזק.</w:t>
      </w:r>
      <w:r w:rsidRPr="009F36E0">
        <w:rPr>
          <w:rFonts w:ascii="Narkisim" w:hAnsi="Narkisim" w:cs="Narkisim"/>
          <w:rtl/>
        </w:rPr>
        <w:t xml:space="preserve"> פ</w:t>
      </w:r>
      <w:r w:rsidRPr="009F36E0">
        <w:rPr>
          <w:rFonts w:ascii="Narkisim" w:hAnsi="Narkisim" w:cs="Narkisim"/>
          <w:b/>
          <w:bCs/>
          <w:rtl/>
        </w:rPr>
        <w:t xml:space="preserve">רש"י </w:t>
      </w:r>
      <w:r w:rsidRPr="009F36E0">
        <w:rPr>
          <w:rFonts w:ascii="Narkisim" w:hAnsi="Narkisim" w:cs="Narkisim"/>
          <w:rtl/>
        </w:rPr>
        <w:t>המוחזק</w:t>
      </w:r>
      <w:r w:rsidRPr="009F36E0">
        <w:rPr>
          <w:rFonts w:ascii="Narkisim" w:hAnsi="Narkisim" w:cs="Narkisim"/>
          <w:b/>
          <w:bCs/>
          <w:rtl/>
        </w:rPr>
        <w:t xml:space="preserve"> </w:t>
      </w:r>
      <w:r w:rsidRPr="009F36E0">
        <w:rPr>
          <w:rFonts w:ascii="Narkisim" w:hAnsi="Narkisim" w:cs="Narkisim"/>
          <w:rtl/>
        </w:rPr>
        <w:t>ביד אביהם. מבואר ברש"י דהיבם יורש מאביו פי שנים</w:t>
      </w:r>
      <w:r w:rsidRPr="009F36E0">
        <w:rPr>
          <w:rFonts w:ascii="Narkisim" w:hAnsi="Narkisim" w:cs="Narkisim"/>
          <w:sz w:val="20"/>
          <w:szCs w:val="20"/>
          <w:rtl/>
        </w:rPr>
        <w:t xml:space="preserve"> [חלקו וחלק המת]</w:t>
      </w:r>
      <w:r w:rsidRPr="009F36E0">
        <w:rPr>
          <w:rFonts w:ascii="Narkisim" w:hAnsi="Narkisim" w:cs="Narkisim"/>
          <w:rtl/>
        </w:rPr>
        <w:t>, דומיא דבכור. וה</w:t>
      </w:r>
      <w:r w:rsidRPr="009F36E0">
        <w:rPr>
          <w:rFonts w:ascii="Narkisim" w:hAnsi="Narkisim" w:cs="Narkisim"/>
          <w:b/>
          <w:bCs/>
          <w:rtl/>
        </w:rPr>
        <w:t>תשו' מיימוני</w:t>
      </w:r>
      <w:r w:rsidRPr="009F36E0">
        <w:rPr>
          <w:rFonts w:ascii="Narkisim" w:hAnsi="Narkisim" w:cs="Narkisim"/>
          <w:rtl/>
        </w:rPr>
        <w:t xml:space="preserve"> (משפטים נא) ביאר דנחשב כאילו עומד במקום אחיו בנכסי אביו, ונחשב יורש מאביו. וכדאי' (ב"ב יב:) דנוטל ב' חלקים אחד מצרא [דומיא דבכור</w:t>
      </w:r>
      <w:r w:rsidRPr="009F36E0">
        <w:rPr>
          <w:rStyle w:val="ac"/>
          <w:rFonts w:ascii="Narkisim" w:hAnsi="Narkisim" w:cs="Narkisim"/>
          <w:rtl/>
        </w:rPr>
        <w:footnoteReference w:id="1451"/>
      </w:r>
      <w:r w:rsidRPr="009F36E0">
        <w:rPr>
          <w:rFonts w:ascii="Narkisim" w:hAnsi="Narkisim" w:cs="Narkisim"/>
          <w:rtl/>
        </w:rPr>
        <w:t xml:space="preserve">], ולא הוה כב' אחים דנשתתפו. ודינו כבכור שאינו נוטל בראוי לאביהם. </w:t>
      </w:r>
      <w:r w:rsidRPr="009F36E0">
        <w:rPr>
          <w:rFonts w:ascii="Narkisim" w:hAnsi="Narkisim" w:cs="Narkisim"/>
          <w:szCs w:val="20"/>
          <w:rtl/>
        </w:rPr>
        <w:t>[וה</w:t>
      </w:r>
      <w:r w:rsidRPr="009F36E0">
        <w:rPr>
          <w:rFonts w:ascii="Narkisim" w:hAnsi="Narkisim" w:cs="Narkisim"/>
          <w:b/>
          <w:bCs/>
          <w:szCs w:val="20"/>
          <w:rtl/>
        </w:rPr>
        <w:t>ראשונים</w:t>
      </w:r>
      <w:r w:rsidRPr="009F36E0">
        <w:rPr>
          <w:rFonts w:ascii="Narkisim" w:hAnsi="Narkisim" w:cs="Narkisim"/>
          <w:szCs w:val="20"/>
          <w:rtl/>
        </w:rPr>
        <w:t xml:space="preserve"> הקשו מהגמ' לקמן מ., ויתבאר במקומו בעזה"י]</w:t>
      </w:r>
      <w:r w:rsidRPr="009F36E0">
        <w:rPr>
          <w:rFonts w:ascii="Narkisim" w:hAnsi="Narkisim" w:cs="Narkisim"/>
          <w:szCs w:val="20"/>
        </w:rPr>
        <w:t>.</w:t>
      </w:r>
    </w:p>
    <w:p w14:paraId="6B8C407D"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שא"ר</w:t>
      </w:r>
      <w:r w:rsidRPr="009F36E0">
        <w:rPr>
          <w:rFonts w:ascii="Narkisim" w:hAnsi="Narkisim"/>
          <w:rtl/>
        </w:rPr>
        <w:t xml:space="preserve"> הביאו בשם </w:t>
      </w:r>
      <w:r w:rsidRPr="009F36E0">
        <w:rPr>
          <w:rFonts w:ascii="Narkisim" w:hAnsi="Narkisim"/>
          <w:b/>
          <w:bCs/>
          <w:rtl/>
        </w:rPr>
        <w:t>ר"ח</w:t>
      </w:r>
      <w:r w:rsidRPr="009F36E0">
        <w:rPr>
          <w:rFonts w:ascii="Narkisim" w:hAnsi="Narkisim"/>
          <w:rtl/>
        </w:rPr>
        <w:t xml:space="preserve"> ו</w:t>
      </w:r>
      <w:r w:rsidRPr="009F36E0">
        <w:rPr>
          <w:rFonts w:ascii="Narkisim" w:hAnsi="Narkisim"/>
          <w:b/>
          <w:bCs/>
          <w:rtl/>
        </w:rPr>
        <w:t>בה"ג</w:t>
      </w:r>
      <w:r w:rsidRPr="009F36E0">
        <w:rPr>
          <w:rFonts w:ascii="Narkisim" w:hAnsi="Narkisim"/>
          <w:rtl/>
        </w:rPr>
        <w:t xml:space="preserve"> דכשמת האב אח"כ הוה נכסיו ראוי. והיבם אינו נוטל כלל בנכסי אביהם. </w:t>
      </w:r>
      <w:r w:rsidRPr="009F36E0">
        <w:rPr>
          <w:rFonts w:ascii="Narkisim" w:hAnsi="Narkisim"/>
          <w:szCs w:val="20"/>
          <w:rtl/>
        </w:rPr>
        <w:t>[וכמו בכור דאינו נוטל פי שניים בנכסי אבי האב, כיון שלא היה מוחזק לאב בחייו. וה"נ היבם יורש הנכסים שהיו מוחזקין למת, ולא נכסים שראויין לבא לו, כגון שמת אביו לאחר מיתתו</w:t>
      </w:r>
      <w:r w:rsidRPr="009F36E0">
        <w:rPr>
          <w:rStyle w:val="ac"/>
          <w:rFonts w:ascii="Narkisim" w:hAnsi="Narkisim"/>
          <w:szCs w:val="20"/>
          <w:rtl/>
        </w:rPr>
        <w:footnoteReference w:id="1452"/>
      </w:r>
      <w:r w:rsidRPr="009F36E0">
        <w:rPr>
          <w:rFonts w:ascii="Narkisim" w:hAnsi="Narkisim"/>
          <w:szCs w:val="20"/>
          <w:rtl/>
        </w:rPr>
        <w:t>]</w:t>
      </w:r>
      <w:r w:rsidRPr="009F36E0">
        <w:rPr>
          <w:rFonts w:ascii="Narkisim" w:hAnsi="Narkisim"/>
        </w:rPr>
        <w:t>.</w:t>
      </w:r>
    </w:p>
    <w:p w14:paraId="7E92FF35" w14:textId="77777777" w:rsidR="006074A5" w:rsidRPr="009F36E0" w:rsidRDefault="006074A5" w:rsidP="006074A5">
      <w:pPr>
        <w:pStyle w:val="a7"/>
        <w:bidi/>
        <w:rPr>
          <w:rFonts w:ascii="Narkisim" w:hAnsi="Narkisim"/>
        </w:rPr>
      </w:pPr>
      <w:r w:rsidRPr="009F36E0">
        <w:rPr>
          <w:rFonts w:ascii="Narkisim" w:hAnsi="Narkisim"/>
          <w:rtl/>
        </w:rPr>
        <w:t>והא דאמרי' (ב"ב יב:) דנוטל חלקו כא' איירי שמת האב, ומת הבן קודם חלוקה</w:t>
      </w:r>
      <w:r w:rsidRPr="009F36E0">
        <w:rPr>
          <w:rStyle w:val="ac"/>
          <w:rFonts w:ascii="Narkisim" w:hAnsi="Narkisim"/>
          <w:rtl/>
        </w:rPr>
        <w:footnoteReference w:id="1453"/>
      </w:r>
      <w:r w:rsidRPr="009F36E0">
        <w:rPr>
          <w:rFonts w:ascii="Narkisim" w:hAnsi="Narkisim"/>
        </w:rPr>
        <w:t xml:space="preserve">, </w:t>
      </w:r>
      <w:r w:rsidRPr="009F36E0">
        <w:rPr>
          <w:rFonts w:ascii="Narkisim" w:hAnsi="Narkisim"/>
          <w:rtl/>
        </w:rPr>
        <w:t>דהיבם עומד תחת המת במה שכבר ירש מאביהם</w:t>
      </w:r>
      <w:r w:rsidRPr="009F36E0">
        <w:rPr>
          <w:rStyle w:val="ac"/>
          <w:rFonts w:ascii="Narkisim" w:hAnsi="Narkisim"/>
          <w:rtl/>
        </w:rPr>
        <w:footnoteReference w:id="1454"/>
      </w:r>
      <w:r w:rsidRPr="009F36E0">
        <w:rPr>
          <w:rFonts w:ascii="Narkisim" w:hAnsi="Narkisim"/>
        </w:rPr>
        <w:t>.</w:t>
      </w:r>
    </w:p>
    <w:p w14:paraId="68558192" w14:textId="77777777" w:rsidR="006074A5" w:rsidRPr="009F36E0" w:rsidRDefault="006074A5" w:rsidP="006074A5">
      <w:pPr>
        <w:pStyle w:val="a8"/>
        <w:bidi/>
        <w:rPr>
          <w:rFonts w:ascii="Narkisim" w:hAnsi="Narkisim"/>
        </w:rPr>
      </w:pPr>
      <w:r w:rsidRPr="009F36E0">
        <w:rPr>
          <w:rFonts w:ascii="Narkisim" w:hAnsi="Narkisim"/>
        </w:rPr>
        <w:t>[</w:t>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כת' דאפשר דאף רש"י איירי במת האב קודם, ואיירי בנכסי אביו שנפלו לו עד שלא מת, אלא שעדיין לא חלקו</w:t>
      </w:r>
      <w:r w:rsidRPr="009F36E0">
        <w:rPr>
          <w:rFonts w:ascii="Narkisim" w:hAnsi="Narkisim"/>
        </w:rPr>
        <w:t>].</w:t>
      </w:r>
    </w:p>
    <w:p w14:paraId="3358BED8" w14:textId="77777777" w:rsidR="006074A5" w:rsidRPr="009F36E0" w:rsidRDefault="006074A5" w:rsidP="006074A5">
      <w:pPr>
        <w:pStyle w:val="aa"/>
        <w:bidi/>
        <w:rPr>
          <w:rFonts w:ascii="Narkisim" w:hAnsi="Narkisim"/>
        </w:rPr>
      </w:pPr>
      <w:r w:rsidRPr="009F36E0">
        <w:rPr>
          <w:rFonts w:ascii="Narkisim" w:hAnsi="Narkisim"/>
          <w:u w:val="single"/>
          <w:rtl/>
        </w:rPr>
        <w:t>תוד"ה למאי הילכתא</w:t>
      </w:r>
      <w:r w:rsidRPr="009F36E0">
        <w:rPr>
          <w:rFonts w:ascii="Narkisim" w:hAnsi="Narkisim"/>
          <w:rtl/>
        </w:rPr>
        <w:t>. אר"י המ"ל לחשיבותא, שאין ירושתו חוזרת ביובל. וכחכמים (בכורות נב:) דחלק בכורה אינו חוזר ביובל. פ</w:t>
      </w:r>
      <w:r w:rsidRPr="009F36E0">
        <w:rPr>
          <w:rFonts w:ascii="Narkisim" w:hAnsi="Narkisim"/>
          <w:b/>
          <w:bCs/>
          <w:rtl/>
        </w:rPr>
        <w:t>רש"י</w:t>
      </w:r>
      <w:r w:rsidRPr="009F36E0">
        <w:rPr>
          <w:rFonts w:ascii="Narkisim" w:hAnsi="Narkisim"/>
          <w:rtl/>
        </w:rPr>
        <w:t xml:space="preserve"> (שם) דהוה ירושה גמורה, ואינה חוזרת ביובל</w:t>
      </w:r>
      <w:r w:rsidRPr="009F36E0">
        <w:rPr>
          <w:rFonts w:ascii="Narkisim" w:hAnsi="Narkisim"/>
        </w:rPr>
        <w:t>.</w:t>
      </w:r>
    </w:p>
    <w:p w14:paraId="6E9E2128" w14:textId="77777777" w:rsidR="006074A5" w:rsidRPr="009F36E0" w:rsidRDefault="006074A5" w:rsidP="006074A5">
      <w:pPr>
        <w:pStyle w:val="a8"/>
        <w:bidi/>
        <w:rPr>
          <w:rFonts w:ascii="Narkisim" w:hAnsi="Narkisim"/>
        </w:rPr>
      </w:pPr>
      <w:r w:rsidRPr="009F36E0">
        <w:rPr>
          <w:rFonts w:ascii="Narkisim" w:hAnsi="Narkisim"/>
          <w:rtl/>
        </w:rPr>
        <w:t>ור' אלעזר (במשנה שם) חולק דכולם חוזרים ביובל, ואף חלק בכורה [דכתיב לתת, ומתנה קרייה רחמנא], וכן המייבם אשת אחיו [דבכור קרייה רחמנא]. ו</w:t>
      </w:r>
      <w:r w:rsidRPr="009F36E0">
        <w:rPr>
          <w:rFonts w:ascii="Narkisim" w:hAnsi="Narkisim"/>
          <w:b/>
          <w:bCs/>
          <w:rtl/>
        </w:rPr>
        <w:t>תוס</w:t>
      </w:r>
      <w:r w:rsidRPr="009F36E0">
        <w:rPr>
          <w:rFonts w:ascii="Narkisim" w:hAnsi="Narkisim"/>
          <w:rtl/>
        </w:rPr>
        <w:t>' (שם ד"ה בכור) כת' דהגמ' לא תי' לחשיבותא, משום דר"א פליג</w:t>
      </w:r>
      <w:r w:rsidRPr="009F36E0">
        <w:rPr>
          <w:rFonts w:ascii="Narkisim" w:hAnsi="Narkisim"/>
        </w:rPr>
        <w:t>.</w:t>
      </w:r>
    </w:p>
    <w:p w14:paraId="436B00AE" w14:textId="77777777" w:rsidR="006074A5" w:rsidRPr="009F36E0" w:rsidRDefault="006074A5" w:rsidP="006074A5">
      <w:pPr>
        <w:pStyle w:val="2"/>
        <w:bidi/>
        <w:rPr>
          <w:rFonts w:ascii="Narkisim" w:hAnsi="Narkisim"/>
        </w:rPr>
      </w:pPr>
      <w:r w:rsidRPr="009F36E0">
        <w:rPr>
          <w:rFonts w:ascii="Narkisim" w:hAnsi="Narkisim"/>
          <w:rtl/>
        </w:rPr>
        <w:t>לזות שפתיים</w:t>
      </w:r>
    </w:p>
    <w:p w14:paraId="7B05E481" w14:textId="77777777" w:rsidR="006074A5" w:rsidRPr="009F36E0" w:rsidRDefault="006074A5" w:rsidP="006074A5">
      <w:pPr>
        <w:bidi/>
        <w:rPr>
          <w:rFonts w:ascii="Narkisim" w:hAnsi="Narkisim" w:cs="Narkisim"/>
        </w:rPr>
      </w:pPr>
      <w:r w:rsidRPr="009F36E0">
        <w:rPr>
          <w:rFonts w:ascii="Narkisim" w:hAnsi="Narkisim" w:cs="Narkisim"/>
          <w:u w:val="single"/>
          <w:rtl/>
        </w:rPr>
        <w:t>תוד"ה גיורת.</w:t>
      </w:r>
      <w:r w:rsidRPr="009F36E0">
        <w:rPr>
          <w:rFonts w:ascii="Narkisim" w:hAnsi="Narkisim" w:cs="Narkisim"/>
          <w:rtl/>
        </w:rPr>
        <w:t xml:space="preserve"> דמשמע וכו' אבל אחר שרי וכו'. וספק גיורת לא יכנוס לכתחילה [וכמ"ש </w:t>
      </w:r>
      <w:r w:rsidRPr="009F36E0">
        <w:rPr>
          <w:rFonts w:ascii="Narkisim" w:hAnsi="Narkisim" w:cs="Narkisim"/>
          <w:b/>
          <w:bCs/>
          <w:rtl/>
        </w:rPr>
        <w:t>תוס</w:t>
      </w:r>
      <w:r w:rsidRPr="009F36E0">
        <w:rPr>
          <w:rFonts w:ascii="Narkisim" w:hAnsi="Narkisim" w:cs="Narkisim"/>
          <w:rtl/>
        </w:rPr>
        <w:t>' ד"ה אי הכי]. ועוד פי' ה</w:t>
      </w:r>
      <w:r w:rsidRPr="009F36E0">
        <w:rPr>
          <w:rFonts w:ascii="Narkisim" w:hAnsi="Narkisim" w:cs="Narkisim"/>
          <w:b/>
          <w:bCs/>
          <w:rtl/>
        </w:rPr>
        <w:t>רמב"ן</w:t>
      </w:r>
      <w:r w:rsidRPr="009F36E0">
        <w:rPr>
          <w:rFonts w:ascii="Narkisim" w:hAnsi="Narkisim" w:cs="Narkisim"/>
          <w:rtl/>
        </w:rPr>
        <w:t xml:space="preserve"> א"כ אמאי לא יוציא, הרי יש לנו להעמידה בחזקתה של גיות עד שיתברר שנתגיירה בלב שלם. וכ"ש כשכנס אלומי לקלא</w:t>
      </w:r>
      <w:r w:rsidRPr="009F36E0">
        <w:rPr>
          <w:rFonts w:ascii="Narkisim" w:hAnsi="Narkisim" w:cs="Narkisim"/>
        </w:rPr>
        <w:t>.</w:t>
      </w:r>
    </w:p>
    <w:p w14:paraId="2C1C2C24"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דייק מדקתני ונתגיירה, משמע לאלתר [דלא קתני ואח"כ נתגיירה]. וכיון דנתגיירה לאלתר יש לחוש משום רגליים לדבר</w:t>
      </w:r>
      <w:r w:rsidRPr="009F36E0">
        <w:rPr>
          <w:rFonts w:ascii="Narkisim" w:hAnsi="Narkisim"/>
        </w:rPr>
        <w:t>.</w:t>
      </w:r>
    </w:p>
    <w:p w14:paraId="4FD61D8B" w14:textId="77777777" w:rsidR="006074A5" w:rsidRPr="009F36E0" w:rsidRDefault="006074A5" w:rsidP="006074A5">
      <w:pPr>
        <w:pStyle w:val="aa"/>
        <w:bidi/>
        <w:rPr>
          <w:rFonts w:ascii="Narkisim" w:hAnsi="Narkisim"/>
        </w:rPr>
      </w:pPr>
      <w:r w:rsidRPr="009F36E0">
        <w:rPr>
          <w:rFonts w:ascii="Narkisim" w:hAnsi="Narkisim"/>
          <w:u w:val="single"/>
          <w:rtl/>
        </w:rPr>
        <w:t>שם. אבל אחר שרי</w:t>
      </w:r>
      <w:r w:rsidRPr="009F36E0">
        <w:rPr>
          <w:rFonts w:ascii="Narkisim" w:hAnsi="Narkisim"/>
          <w:rtl/>
        </w:rPr>
        <w:t>. ואף שנתגייר לשם אישות הוה גירות. אבל ה</w:t>
      </w:r>
      <w:r w:rsidRPr="009F36E0">
        <w:rPr>
          <w:rFonts w:ascii="Narkisim" w:hAnsi="Narkisim"/>
          <w:b/>
          <w:bCs/>
          <w:rtl/>
        </w:rPr>
        <w:t>מהרש"א</w:t>
      </w:r>
      <w:r w:rsidRPr="009F36E0">
        <w:rPr>
          <w:rFonts w:ascii="Narkisim" w:hAnsi="Narkisim"/>
          <w:rtl/>
        </w:rPr>
        <w:t xml:space="preserve"> (בתוד"ה אי) הביא צד דהיכא דנשאת לאחר עדיף, דנתברר שלא היה הגירות לשם אישות</w:t>
      </w:r>
      <w:r w:rsidRPr="009F36E0">
        <w:rPr>
          <w:rStyle w:val="ac"/>
          <w:rFonts w:ascii="Narkisim" w:hAnsi="Narkisim"/>
          <w:rtl/>
        </w:rPr>
        <w:footnoteReference w:id="1455"/>
      </w:r>
      <w:r w:rsidRPr="009F36E0">
        <w:rPr>
          <w:rFonts w:ascii="Narkisim" w:hAnsi="Narkisim"/>
        </w:rPr>
        <w:t xml:space="preserve">. </w:t>
      </w:r>
      <w:r w:rsidRPr="009F36E0">
        <w:rPr>
          <w:rFonts w:ascii="Narkisim" w:hAnsi="Narkisim"/>
          <w:rtl/>
        </w:rPr>
        <w:t>ועד"ז הק' ה</w:t>
      </w:r>
      <w:r w:rsidRPr="009F36E0">
        <w:rPr>
          <w:rFonts w:ascii="Narkisim" w:hAnsi="Narkisim"/>
          <w:b/>
          <w:bCs/>
          <w:rtl/>
        </w:rPr>
        <w:t>או"ש</w:t>
      </w:r>
      <w:r w:rsidRPr="009F36E0">
        <w:rPr>
          <w:rFonts w:ascii="Narkisim" w:hAnsi="Narkisim"/>
          <w:rtl/>
        </w:rPr>
        <w:t xml:space="preserve"> (איסו"ב יד יג) ע"ד התוס' דכיון דידע דאסרינן לזה לישאנה [עכ"פ לכתחילה אסור לישאנה], עי"ז נתגיירה שלא לשם אישות. א"כ צ"ב קו' הגמ'. וסתמא דמילתא ידע הך תקנה. [ובשלמא היכא דאח"כ נשאה באיסור אמרי' דנתגיירה ע"ד כן. אבל כשבאה לינשא לאחר, נימא שיודעת דאסורה לזה. ונתגיירה שלא לשם אישות]</w:t>
      </w:r>
      <w:r w:rsidRPr="009F36E0">
        <w:rPr>
          <w:rFonts w:ascii="Narkisim" w:hAnsi="Narkisim"/>
        </w:rPr>
        <w:t>.</w:t>
      </w:r>
    </w:p>
    <w:p w14:paraId="64384DBD"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תי' דקו' הגמ' באופן שנתגיירה ונשאת לנטען, ונתגרשה או מת, אח"כ מותרת לכתחילה לאחר</w:t>
      </w:r>
      <w:r w:rsidRPr="009F36E0">
        <w:rPr>
          <w:rFonts w:ascii="Narkisim" w:hAnsi="Narkisim"/>
        </w:rPr>
        <w:t>.</w:t>
      </w:r>
    </w:p>
    <w:p w14:paraId="5F0B293E" w14:textId="77777777" w:rsidR="006074A5" w:rsidRPr="009F36E0" w:rsidRDefault="006074A5" w:rsidP="006074A5">
      <w:pPr>
        <w:bidi/>
        <w:rPr>
          <w:rFonts w:ascii="Narkisim" w:hAnsi="Narkisim" w:cs="Narkisim"/>
        </w:rPr>
      </w:pPr>
      <w:r w:rsidRPr="009F36E0">
        <w:rPr>
          <w:rFonts w:ascii="Narkisim" w:hAnsi="Narkisim" w:cs="Narkisim"/>
          <w:u w:val="single"/>
          <w:rtl/>
        </w:rPr>
        <w:t>א' איש שנתגייר לשום אשה וכו' אינן גרים דברי ר' נחמיה וכו'</w:t>
      </w:r>
      <w:r w:rsidRPr="009F36E0">
        <w:rPr>
          <w:rFonts w:ascii="Narkisim" w:hAnsi="Narkisim" w:cs="Narkisim"/>
          <w:rtl/>
        </w:rPr>
        <w:t>. ה</w:t>
      </w:r>
      <w:r w:rsidRPr="009F36E0">
        <w:rPr>
          <w:rFonts w:ascii="Narkisim" w:hAnsi="Narkisim" w:cs="Narkisim"/>
          <w:b/>
          <w:bCs/>
          <w:rtl/>
        </w:rPr>
        <w:t>אחיעזר</w:t>
      </w:r>
      <w:r w:rsidRPr="009F36E0">
        <w:rPr>
          <w:rFonts w:ascii="Narkisim" w:hAnsi="Narkisim" w:cs="Narkisim"/>
          <w:rtl/>
        </w:rPr>
        <w:t xml:space="preserve"> (ג כו) דן אמאי אינו גרות, הא בפיו קיבל עליו המצוות, ודברים שבלב אינם דברים. ודן האם נחשב אומדנא </w:t>
      </w:r>
      <w:r w:rsidRPr="009F36E0">
        <w:rPr>
          <w:rFonts w:ascii="Narkisim" w:hAnsi="Narkisim" w:cs="Narkisim"/>
          <w:rtl/>
        </w:rPr>
        <w:lastRenderedPageBreak/>
        <w:t>דמוכח דאינו מקבל עליו מצוות</w:t>
      </w:r>
      <w:r w:rsidRPr="009F36E0">
        <w:rPr>
          <w:rStyle w:val="ac"/>
          <w:rFonts w:ascii="Narkisim" w:hAnsi="Narkisim" w:cs="Narkisim"/>
          <w:rtl/>
        </w:rPr>
        <w:footnoteReference w:id="1456"/>
      </w:r>
      <w:r w:rsidRPr="009F36E0">
        <w:rPr>
          <w:rFonts w:ascii="Narkisim" w:hAnsi="Narkisim" w:cs="Narkisim"/>
        </w:rPr>
        <w:t xml:space="preserve">. </w:t>
      </w:r>
      <w:r w:rsidRPr="009F36E0">
        <w:rPr>
          <w:rFonts w:ascii="Narkisim" w:hAnsi="Narkisim" w:cs="Narkisim"/>
          <w:rtl/>
        </w:rPr>
        <w:t>ועוד פי' דעצם קבלת מצוות הוה דברים שבלב. ובדבר שעיקרו בלב לא אמרי' דדברים שבלב אינם דברים</w:t>
      </w:r>
      <w:r w:rsidRPr="009F36E0">
        <w:rPr>
          <w:rStyle w:val="ac"/>
          <w:rFonts w:ascii="Narkisim" w:hAnsi="Narkisim" w:cs="Narkisim"/>
          <w:rtl/>
        </w:rPr>
        <w:footnoteReference w:id="1457"/>
      </w:r>
      <w:r w:rsidRPr="009F36E0">
        <w:rPr>
          <w:rFonts w:ascii="Narkisim" w:hAnsi="Narkisim" w:cs="Narkisim"/>
        </w:rPr>
        <w:t xml:space="preserve">, </w:t>
      </w:r>
      <w:r w:rsidRPr="009F36E0">
        <w:rPr>
          <w:rFonts w:ascii="Narkisim" w:hAnsi="Narkisim" w:cs="Narkisim"/>
          <w:rtl/>
        </w:rPr>
        <w:t>ובעינן שאף ליבו יהא שווה בדבר</w:t>
      </w:r>
      <w:r w:rsidRPr="009F36E0">
        <w:rPr>
          <w:rStyle w:val="ac"/>
          <w:rFonts w:ascii="Narkisim" w:hAnsi="Narkisim" w:cs="Narkisim"/>
          <w:rtl/>
        </w:rPr>
        <w:footnoteReference w:id="1458"/>
      </w:r>
      <w:r w:rsidRPr="009F36E0">
        <w:rPr>
          <w:rFonts w:ascii="Narkisim" w:hAnsi="Narkisim" w:cs="Narkisim"/>
        </w:rPr>
        <w:t>.</w:t>
      </w:r>
    </w:p>
    <w:p w14:paraId="4A3A2AB5" w14:textId="77777777" w:rsidR="006074A5" w:rsidRPr="009F36E0" w:rsidRDefault="006074A5" w:rsidP="006074A5">
      <w:pPr>
        <w:bidi/>
        <w:rPr>
          <w:rFonts w:ascii="Narkisim" w:hAnsi="Narkisim" w:cs="Narkisim"/>
        </w:rPr>
      </w:pPr>
      <w:r w:rsidRPr="009F36E0">
        <w:rPr>
          <w:rFonts w:ascii="Narkisim" w:hAnsi="Narkisim" w:cs="Narkisim"/>
          <w:u w:val="single"/>
          <w:rtl/>
        </w:rPr>
        <w:t>א"ר יצחק וכו' הלכה כדברי האומר כולם גרים הם.</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rtl/>
        </w:rPr>
        <w:t xml:space="preserve"> כת' דגמירי ליה דרבנן פליגי אר' נחמיה. וה</w:t>
      </w:r>
      <w:r w:rsidRPr="009F36E0">
        <w:rPr>
          <w:rFonts w:ascii="Narkisim" w:hAnsi="Narkisim" w:cs="Narkisim"/>
          <w:b/>
          <w:bCs/>
          <w:rtl/>
        </w:rPr>
        <w:t>ראשונים</w:t>
      </w:r>
      <w:r w:rsidRPr="009F36E0">
        <w:rPr>
          <w:rFonts w:ascii="Narkisim" w:hAnsi="Narkisim" w:cs="Narkisim"/>
          <w:rtl/>
        </w:rPr>
        <w:t xml:space="preserve"> הביאו דגרסי' כדברי האומר, דרבנן פליגי</w:t>
      </w:r>
      <w:r w:rsidRPr="009F36E0">
        <w:rPr>
          <w:rFonts w:ascii="Narkisim" w:hAnsi="Narkisim" w:cs="Narkisim"/>
        </w:rPr>
        <w:t>.</w:t>
      </w:r>
    </w:p>
    <w:p w14:paraId="34852CE8" w14:textId="77777777" w:rsidR="006074A5" w:rsidRPr="009F36E0" w:rsidRDefault="006074A5" w:rsidP="006074A5">
      <w:pPr>
        <w:pStyle w:val="a7"/>
        <w:bidi/>
        <w:rPr>
          <w:rFonts w:ascii="Narkisim" w:hAnsi="Narkisim"/>
        </w:rPr>
      </w:pPr>
      <w:r w:rsidRPr="009F36E0">
        <w:rPr>
          <w:rFonts w:ascii="Narkisim" w:hAnsi="Narkisim"/>
          <w:rtl/>
        </w:rPr>
        <w:t>ובפשוטו סברת רבנן דכיון דקיבל עליו בפיו נחשב גירות גמור, ולא איכפ"ל בתר מחשבתו. וה</w:t>
      </w:r>
      <w:r w:rsidRPr="009F36E0">
        <w:rPr>
          <w:rFonts w:ascii="Narkisim" w:hAnsi="Narkisim"/>
          <w:b/>
          <w:bCs/>
          <w:rtl/>
        </w:rPr>
        <w:t>ריטב"א</w:t>
      </w:r>
      <w:r w:rsidRPr="009F36E0">
        <w:rPr>
          <w:rFonts w:ascii="Narkisim" w:hAnsi="Narkisim"/>
          <w:rtl/>
        </w:rPr>
        <w:t xml:space="preserve"> ו</w:t>
      </w:r>
      <w:r w:rsidRPr="009F36E0">
        <w:rPr>
          <w:rFonts w:ascii="Narkisim" w:hAnsi="Narkisim"/>
          <w:b/>
          <w:bCs/>
          <w:rtl/>
        </w:rPr>
        <w:t>נמוק"י</w:t>
      </w:r>
      <w:r w:rsidRPr="009F36E0">
        <w:rPr>
          <w:rFonts w:ascii="Narkisim" w:hAnsi="Narkisim"/>
          <w:rtl/>
        </w:rPr>
        <w:t xml:space="preserve"> פי' דכיון שנתגיירו וקבלו עליהן, חזקה הוא דאגב אונסייהו</w:t>
      </w:r>
      <w:r w:rsidRPr="009F36E0">
        <w:rPr>
          <w:rStyle w:val="ac"/>
          <w:rFonts w:ascii="Narkisim" w:hAnsi="Narkisim"/>
          <w:rtl/>
        </w:rPr>
        <w:footnoteReference w:id="1459"/>
      </w:r>
      <w:r w:rsidRPr="009F36E0">
        <w:rPr>
          <w:rFonts w:ascii="Narkisim" w:hAnsi="Narkisim"/>
        </w:rPr>
        <w:t xml:space="preserve"> </w:t>
      </w:r>
      <w:r w:rsidRPr="009F36E0">
        <w:rPr>
          <w:rFonts w:ascii="Narkisim" w:hAnsi="Narkisim"/>
          <w:rtl/>
        </w:rPr>
        <w:t xml:space="preserve">גמרו וקבלו. </w:t>
      </w:r>
      <w:r w:rsidRPr="009F36E0">
        <w:rPr>
          <w:rFonts w:ascii="Narkisim" w:hAnsi="Narkisim"/>
          <w:sz w:val="20"/>
          <w:szCs w:val="20"/>
          <w:rtl/>
        </w:rPr>
        <w:t>[וה</w:t>
      </w:r>
      <w:r w:rsidRPr="009F36E0">
        <w:rPr>
          <w:rFonts w:ascii="Narkisim" w:hAnsi="Narkisim"/>
          <w:b/>
          <w:bCs/>
          <w:sz w:val="20"/>
          <w:szCs w:val="20"/>
          <w:rtl/>
        </w:rPr>
        <w:t>אחרונים</w:t>
      </w:r>
      <w:r w:rsidRPr="009F36E0">
        <w:rPr>
          <w:rFonts w:ascii="Narkisim" w:hAnsi="Narkisim"/>
          <w:sz w:val="20"/>
          <w:szCs w:val="20"/>
          <w:rtl/>
        </w:rPr>
        <w:t xml:space="preserve"> דנו האם היינו בזמן בי”ד, דאגב אונסי גמר ומקבל ויודע שיצטרך לקיים. או אף בלא"ה</w:t>
      </w:r>
      <w:r w:rsidRPr="009F36E0">
        <w:rPr>
          <w:rStyle w:val="ac"/>
          <w:rFonts w:ascii="Narkisim" w:hAnsi="Narkisim"/>
          <w:sz w:val="20"/>
          <w:szCs w:val="20"/>
          <w:rtl/>
        </w:rPr>
        <w:footnoteReference w:id="1460"/>
      </w:r>
      <w:r w:rsidRPr="009F36E0">
        <w:rPr>
          <w:rFonts w:ascii="Narkisim" w:hAnsi="Narkisim"/>
          <w:sz w:val="20"/>
          <w:szCs w:val="20"/>
          <w:rtl/>
        </w:rPr>
        <w:t>]</w:t>
      </w:r>
      <w:r w:rsidRPr="009F36E0">
        <w:rPr>
          <w:rFonts w:ascii="Narkisim" w:hAnsi="Narkisim"/>
          <w:sz w:val="20"/>
          <w:szCs w:val="20"/>
        </w:rPr>
        <w:t>.</w:t>
      </w:r>
    </w:p>
    <w:p w14:paraId="7418A13C" w14:textId="77777777" w:rsidR="006074A5" w:rsidRPr="009F36E0" w:rsidRDefault="006074A5" w:rsidP="006074A5">
      <w:pPr>
        <w:pStyle w:val="a7"/>
        <w:bidi/>
        <w:rPr>
          <w:rFonts w:ascii="Narkisim" w:hAnsi="Narkisim"/>
        </w:rPr>
      </w:pPr>
      <w:r w:rsidRPr="009F36E0">
        <w:rPr>
          <w:rFonts w:ascii="Narkisim" w:hAnsi="Narkisim"/>
          <w:rtl/>
        </w:rPr>
        <w:t>אבל ב</w:t>
      </w:r>
      <w:r w:rsidRPr="009F36E0">
        <w:rPr>
          <w:rFonts w:ascii="Narkisim" w:hAnsi="Narkisim"/>
          <w:b/>
          <w:bCs/>
          <w:rtl/>
        </w:rPr>
        <w:t>הג' מרדכי</w:t>
      </w:r>
      <w:r w:rsidRPr="009F36E0">
        <w:rPr>
          <w:rFonts w:ascii="Narkisim" w:hAnsi="Narkisim"/>
          <w:rtl/>
        </w:rPr>
        <w:t xml:space="preserve"> (קי) כת' דכולם גרים כשמיישרים דבריהם. ודוקא כשרואים דיישרו דבריהם סופו מוכיח דהוה לשם שמים. ואע"פ שמתחילה עשו לשם אישות [וע"ד מש"כ בתוס']. וכת' דלפ"ז לא פליגי רבנן על ר' נחמיה</w:t>
      </w:r>
      <w:r w:rsidRPr="009F36E0">
        <w:rPr>
          <w:rFonts w:ascii="Narkisim" w:hAnsi="Narkisim"/>
        </w:rPr>
        <w:t>.</w:t>
      </w:r>
    </w:p>
    <w:p w14:paraId="6FEE7CA5"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רמב"ם</w:t>
      </w:r>
      <w:r w:rsidRPr="009F36E0">
        <w:rPr>
          <w:rFonts w:ascii="Narkisim" w:hAnsi="Narkisim"/>
          <w:rtl/>
        </w:rPr>
        <w:t xml:space="preserve"> (איסו"ב יג יז) פסק דגר שלא בדקו אחריו ומל וטבל בפני ג' הדיוטות הר"ז גר, אפי' נודע שמתגייר בשביל דבר</w:t>
      </w:r>
      <w:r w:rsidRPr="009F36E0">
        <w:rPr>
          <w:rStyle w:val="ac"/>
          <w:rFonts w:ascii="Narkisim" w:hAnsi="Narkisim"/>
          <w:rtl/>
        </w:rPr>
        <w:footnoteReference w:id="1461"/>
      </w:r>
      <w:r w:rsidRPr="009F36E0">
        <w:rPr>
          <w:rFonts w:ascii="Narkisim" w:hAnsi="Narkisim"/>
        </w:rPr>
        <w:t xml:space="preserve">. </w:t>
      </w:r>
      <w:r w:rsidRPr="009F36E0">
        <w:rPr>
          <w:rFonts w:ascii="Narkisim" w:hAnsi="Narkisim"/>
          <w:rtl/>
        </w:rPr>
        <w:t>הואיל ומל וטבל יצא מכלל העכו"ם, וחוששין לו עד שיתבאר צדקותו. ואפי' חזר ועבד ע"ז הרי הוא כישראל מומר שקידושיו קידושין ומצוה להחזיר אבידתו מאחר שטבל נעשה כישראל</w:t>
      </w:r>
      <w:r w:rsidRPr="009F36E0">
        <w:rPr>
          <w:rStyle w:val="ac"/>
          <w:rFonts w:ascii="Narkisim" w:hAnsi="Narkisim"/>
          <w:rtl/>
        </w:rPr>
        <w:footnoteReference w:id="1462"/>
      </w:r>
      <w:r w:rsidRPr="009F36E0">
        <w:rPr>
          <w:rFonts w:ascii="Narkisim" w:hAnsi="Narkisim"/>
        </w:rPr>
        <w:t>.</w:t>
      </w:r>
    </w:p>
    <w:p w14:paraId="2B30BDE7"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רמב"ם</w:t>
      </w:r>
      <w:r w:rsidRPr="009F36E0">
        <w:rPr>
          <w:rFonts w:ascii="Narkisim" w:hAnsi="Narkisim"/>
          <w:rtl/>
        </w:rPr>
        <w:t xml:space="preserve"> (שם טו) כת' דבי"ד לא היו מקבלים אותם או דוחים אותם, עד שיראה אחריתם. [וה</w:t>
      </w:r>
      <w:r w:rsidRPr="009F36E0">
        <w:rPr>
          <w:rFonts w:ascii="Narkisim" w:hAnsi="Narkisim"/>
          <w:b/>
          <w:bCs/>
          <w:rtl/>
        </w:rPr>
        <w:t>אחרונים</w:t>
      </w:r>
      <w:r w:rsidRPr="009F36E0">
        <w:rPr>
          <w:rFonts w:ascii="Narkisim" w:hAnsi="Narkisim"/>
          <w:rtl/>
        </w:rPr>
        <w:t xml:space="preserve"> האריכו בביאור דבריו האם הוה ספק גר, אף דגייר לשם אישות הוה גירות בדיעבד. ואכמ"ל]</w:t>
      </w:r>
      <w:r w:rsidRPr="009F36E0">
        <w:rPr>
          <w:rFonts w:ascii="Narkisim" w:hAnsi="Narkisim"/>
        </w:rPr>
        <w:t>.</w:t>
      </w:r>
    </w:p>
    <w:p w14:paraId="07F2196B" w14:textId="77777777" w:rsidR="006074A5" w:rsidRPr="009F36E0" w:rsidRDefault="006074A5" w:rsidP="006074A5">
      <w:pPr>
        <w:pStyle w:val="aa"/>
        <w:bidi/>
        <w:rPr>
          <w:rFonts w:ascii="Narkisim" w:hAnsi="Narkisim"/>
        </w:rPr>
      </w:pPr>
      <w:r w:rsidRPr="009F36E0">
        <w:rPr>
          <w:rFonts w:ascii="Narkisim" w:hAnsi="Narkisim"/>
          <w:u w:val="single"/>
          <w:rtl/>
        </w:rPr>
        <w:t>תוד"ה הלכה</w:t>
      </w:r>
      <w:r w:rsidRPr="009F36E0">
        <w:rPr>
          <w:rFonts w:ascii="Narkisim" w:hAnsi="Narkisim"/>
          <w:rtl/>
        </w:rPr>
        <w:t xml:space="preserve">. מ"ד כותים גרי עריות הן, דהתם היו עובדים אלהיהם. ועד"ז כת' </w:t>
      </w:r>
      <w:r w:rsidRPr="009F36E0">
        <w:rPr>
          <w:rFonts w:ascii="Narkisim" w:hAnsi="Narkisim"/>
          <w:b/>
          <w:bCs/>
          <w:rtl/>
        </w:rPr>
        <w:t>תוס</w:t>
      </w:r>
      <w:r w:rsidRPr="009F36E0">
        <w:rPr>
          <w:rFonts w:ascii="Narkisim" w:hAnsi="Narkisim"/>
          <w:rtl/>
        </w:rPr>
        <w:t>' בכ"מ (ב"ק לח:, חולין ג:) דכותים לא נתגיירו לגמרי [מעיקרא] כדכתי' בקרא את ה' היו יראין ואת אלהיהם היו עובדין. ואילו הכא איירי כשמתגייר לגמרי מפחד אריות</w:t>
      </w:r>
      <w:r w:rsidRPr="009F36E0">
        <w:rPr>
          <w:rFonts w:ascii="Narkisim" w:hAnsi="Narkisim"/>
        </w:rPr>
        <w:t>.</w:t>
      </w:r>
    </w:p>
    <w:p w14:paraId="6DC5D0D2" w14:textId="77777777" w:rsidR="006074A5" w:rsidRPr="009F36E0" w:rsidRDefault="006074A5" w:rsidP="006074A5">
      <w:pPr>
        <w:pStyle w:val="aa"/>
        <w:bidi/>
        <w:rPr>
          <w:rFonts w:ascii="Narkisim" w:hAnsi="Narkisim"/>
        </w:rPr>
      </w:pPr>
      <w:r w:rsidRPr="009F36E0">
        <w:rPr>
          <w:rFonts w:ascii="Narkisim" w:hAnsi="Narkisim"/>
          <w:u w:val="single"/>
          <w:rtl/>
        </w:rPr>
        <w:t>בא"ד ולמ"ד גירי אמת הן קסבר דשוב נתגיירו וכו'</w:t>
      </w:r>
      <w:r w:rsidRPr="009F36E0">
        <w:rPr>
          <w:rFonts w:ascii="Narkisim" w:hAnsi="Narkisim"/>
          <w:rtl/>
        </w:rPr>
        <w:t xml:space="preserve">. אבל </w:t>
      </w:r>
      <w:r w:rsidRPr="009F36E0">
        <w:rPr>
          <w:rFonts w:ascii="Narkisim" w:hAnsi="Narkisim"/>
          <w:b/>
          <w:bCs/>
          <w:rtl/>
        </w:rPr>
        <w:t>רש"י</w:t>
      </w:r>
      <w:r w:rsidRPr="009F36E0">
        <w:rPr>
          <w:rFonts w:ascii="Narkisim" w:hAnsi="Narkisim"/>
          <w:rtl/>
        </w:rPr>
        <w:t xml:space="preserve"> (סנהד' פה:) פי' דמ"ד גירי אמת הן ס”ל דמתחילתן היו גרים גמורים, אלא שעכשיו הרשיעו. ומש"ה דינם כישראל שאינו עושה מעשה עמך</w:t>
      </w:r>
      <w:r w:rsidRPr="009F36E0">
        <w:rPr>
          <w:rFonts w:ascii="Narkisim" w:hAnsi="Narkisim"/>
        </w:rPr>
        <w:t>.</w:t>
      </w:r>
    </w:p>
    <w:p w14:paraId="58E8F5E8" w14:textId="77777777" w:rsidR="006074A5" w:rsidRPr="009F36E0" w:rsidRDefault="006074A5" w:rsidP="006074A5">
      <w:pPr>
        <w:bidi/>
        <w:rPr>
          <w:rFonts w:ascii="Narkisim" w:hAnsi="Narkisim" w:cs="Narkisim"/>
        </w:rPr>
      </w:pPr>
      <w:r w:rsidRPr="009F36E0">
        <w:rPr>
          <w:rFonts w:ascii="Narkisim" w:hAnsi="Narkisim" w:cs="Narkisim"/>
          <w:u w:val="single"/>
          <w:rtl/>
        </w:rPr>
        <w:t>משום דרב אסי וכו' לזות שפתיים</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דאתי לאחזוקי קלא קמא. וה</w:t>
      </w:r>
      <w:r w:rsidRPr="009F36E0">
        <w:rPr>
          <w:rFonts w:ascii="Narkisim" w:hAnsi="Narkisim" w:cs="Narkisim"/>
          <w:b/>
          <w:bCs/>
          <w:rtl/>
        </w:rPr>
        <w:t>רמב"ן</w:t>
      </w:r>
      <w:r w:rsidRPr="009F36E0">
        <w:rPr>
          <w:rFonts w:ascii="Narkisim" w:hAnsi="Narkisim" w:cs="Narkisim"/>
          <w:rtl/>
        </w:rPr>
        <w:t xml:space="preserve"> ו</w:t>
      </w:r>
      <w:r w:rsidRPr="009F36E0">
        <w:rPr>
          <w:rFonts w:ascii="Narkisim" w:hAnsi="Narkisim" w:cs="Narkisim"/>
          <w:b/>
          <w:bCs/>
          <w:rtl/>
        </w:rPr>
        <w:t>רשב"א</w:t>
      </w:r>
      <w:r w:rsidRPr="009F36E0">
        <w:rPr>
          <w:rFonts w:ascii="Narkisim" w:hAnsi="Narkisim" w:cs="Narkisim"/>
          <w:rtl/>
        </w:rPr>
        <w:t xml:space="preserve"> כת' דלפ"ז איירי דוקא בקול בעלמא</w:t>
      </w:r>
      <w:r w:rsidRPr="009F36E0">
        <w:rPr>
          <w:rStyle w:val="ac"/>
          <w:rFonts w:ascii="Narkisim" w:hAnsi="Narkisim" w:cs="Narkisim"/>
          <w:rtl/>
        </w:rPr>
        <w:footnoteReference w:id="1463"/>
      </w:r>
      <w:r w:rsidRPr="009F36E0">
        <w:rPr>
          <w:rFonts w:ascii="Narkisim" w:hAnsi="Narkisim" w:cs="Narkisim"/>
        </w:rPr>
        <w:t xml:space="preserve">. </w:t>
      </w:r>
      <w:r w:rsidRPr="009F36E0">
        <w:rPr>
          <w:rFonts w:ascii="Narkisim" w:hAnsi="Narkisim" w:cs="Narkisim"/>
          <w:rtl/>
        </w:rPr>
        <w:t>אבל היכא דידעי' בעדים שנטען ל"ש לזות. והק' דבתוספתא אי' 'הבא' משמע דידעי' שבא עליה. אלא משום לעז שיאמרו כל העולם משום זנות נתגיירה זו</w:t>
      </w:r>
      <w:r w:rsidRPr="009F36E0">
        <w:rPr>
          <w:rFonts w:ascii="Narkisim" w:hAnsi="Narkisim" w:cs="Narkisim"/>
        </w:rPr>
        <w:t>.</w:t>
      </w:r>
    </w:p>
    <w:p w14:paraId="7C2EBB97"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תמה הניחא בגירות אלא בשפחה מאי איכא למימר, דכיון דנשתחררה מותרת לו</w:t>
      </w:r>
      <w:r w:rsidRPr="009F36E0">
        <w:rPr>
          <w:rStyle w:val="ac"/>
          <w:rFonts w:ascii="Narkisim" w:hAnsi="Narkisim"/>
          <w:rtl/>
        </w:rPr>
        <w:footnoteReference w:id="1464"/>
      </w:r>
      <w:r w:rsidRPr="009F36E0">
        <w:rPr>
          <w:rFonts w:ascii="Narkisim" w:hAnsi="Narkisim"/>
        </w:rPr>
        <w:t xml:space="preserve">. </w:t>
      </w:r>
      <w:r w:rsidRPr="009F36E0">
        <w:rPr>
          <w:rFonts w:ascii="Narkisim" w:hAnsi="Narkisim"/>
          <w:rtl/>
        </w:rPr>
        <w:t>ו</w:t>
      </w:r>
      <w:r w:rsidRPr="009F36E0">
        <w:rPr>
          <w:rFonts w:ascii="Narkisim" w:hAnsi="Narkisim"/>
          <w:b/>
          <w:bCs/>
          <w:rtl/>
        </w:rPr>
        <w:t>רע"א</w:t>
      </w:r>
      <w:r w:rsidRPr="009F36E0">
        <w:rPr>
          <w:rFonts w:ascii="Narkisim" w:hAnsi="Narkisim"/>
          <w:rtl/>
        </w:rPr>
        <w:t xml:space="preserve"> כת' דאף הראשונים מודו לסברת רש"י בשפחה, דכיון דעבר על לאו גמור מדאורייתא חששו לקול. וקושיית הגמ' רק בנכרית דאין לאו [ע' תוס' לעיל טז:]. ובזה הראשונים תי' משום לעז על הגירות. </w:t>
      </w:r>
      <w:r w:rsidRPr="009F36E0">
        <w:rPr>
          <w:rFonts w:ascii="Narkisim" w:hAnsi="Narkisim"/>
          <w:sz w:val="20"/>
          <w:szCs w:val="20"/>
          <w:rtl/>
        </w:rPr>
        <w:t>[וע' אחיעזר ג כו דהאריך בזה]</w:t>
      </w:r>
      <w:r w:rsidRPr="009F36E0">
        <w:rPr>
          <w:rFonts w:ascii="Narkisim" w:hAnsi="Narkisim"/>
          <w:sz w:val="20"/>
          <w:szCs w:val="20"/>
        </w:rPr>
        <w:t>.</w:t>
      </w:r>
    </w:p>
    <w:p w14:paraId="27DF88CB" w14:textId="77777777" w:rsidR="006074A5" w:rsidRPr="009F36E0" w:rsidRDefault="006074A5" w:rsidP="006074A5">
      <w:pPr>
        <w:bidi/>
        <w:rPr>
          <w:rFonts w:ascii="Narkisim" w:hAnsi="Narkisim" w:cs="Narkisim"/>
        </w:rPr>
      </w:pPr>
      <w:r w:rsidRPr="009F36E0">
        <w:rPr>
          <w:rFonts w:ascii="Narkisim" w:hAnsi="Narkisim" w:cs="Narkisim"/>
          <w:u w:val="single"/>
          <w:rtl/>
        </w:rPr>
        <w:t>תוד"ה משום.</w:t>
      </w:r>
      <w:r w:rsidRPr="009F36E0">
        <w:rPr>
          <w:rFonts w:ascii="Narkisim" w:hAnsi="Narkisim" w:cs="Narkisim"/>
          <w:rtl/>
        </w:rPr>
        <w:t xml:space="preserve"> אור"י וכו' דאדרבה מצוה לכונסה דבאנוסה כתיב ולו תהיה לאשה. ה</w:t>
      </w:r>
      <w:r w:rsidRPr="009F36E0">
        <w:rPr>
          <w:rFonts w:ascii="Narkisim" w:hAnsi="Narkisim" w:cs="Narkisim"/>
          <w:b/>
          <w:bCs/>
          <w:rtl/>
        </w:rPr>
        <w:t>קוב"ש</w:t>
      </w:r>
      <w:r w:rsidRPr="009F36E0">
        <w:rPr>
          <w:rFonts w:ascii="Narkisim" w:hAnsi="Narkisim" w:cs="Narkisim"/>
          <w:rtl/>
        </w:rPr>
        <w:t xml:space="preserve"> (כתובות קכז) הביא מדברי התוס' ד'ולו תהיה לאשה' הוה מצווה דרמי עליו. ולא הוה גדר קנס דנימא דתלי בפסק בי"ד</w:t>
      </w:r>
      <w:r w:rsidRPr="009F36E0">
        <w:rPr>
          <w:rStyle w:val="ac"/>
          <w:rFonts w:ascii="Narkisim" w:hAnsi="Narkisim" w:cs="Narkisim"/>
          <w:rtl/>
        </w:rPr>
        <w:footnoteReference w:id="1465"/>
      </w:r>
      <w:r w:rsidRPr="009F36E0">
        <w:rPr>
          <w:rFonts w:ascii="Narkisim" w:hAnsi="Narkisim" w:cs="Narkisim"/>
        </w:rPr>
        <w:t xml:space="preserve">. </w:t>
      </w:r>
      <w:r w:rsidRPr="009F36E0">
        <w:rPr>
          <w:rFonts w:ascii="Narkisim" w:hAnsi="Narkisim" w:cs="Narkisim"/>
          <w:rtl/>
        </w:rPr>
        <w:t>והביא דהסמ"ק וס' החינוך (תקנז) מבואר דמצווה זו נוהג בזה"ז. וכ"כ ה</w:t>
      </w:r>
      <w:r w:rsidRPr="009F36E0">
        <w:rPr>
          <w:rFonts w:ascii="Narkisim" w:hAnsi="Narkisim" w:cs="Narkisim"/>
          <w:b/>
          <w:bCs/>
          <w:rtl/>
        </w:rPr>
        <w:t>רדב"ז</w:t>
      </w:r>
      <w:r w:rsidRPr="009F36E0">
        <w:rPr>
          <w:rFonts w:ascii="Narkisim" w:hAnsi="Narkisim" w:cs="Narkisim"/>
          <w:rtl/>
        </w:rPr>
        <w:t xml:space="preserve"> (א סג) דנוהג בזה"ז</w:t>
      </w:r>
      <w:r w:rsidRPr="009F36E0">
        <w:rPr>
          <w:rFonts w:ascii="Narkisim" w:hAnsi="Narkisim" w:cs="Narkisim"/>
        </w:rPr>
        <w:t>.</w:t>
      </w:r>
    </w:p>
    <w:p w14:paraId="458F8DD1" w14:textId="77777777" w:rsidR="006074A5" w:rsidRPr="009F36E0" w:rsidRDefault="006074A5" w:rsidP="006074A5">
      <w:pPr>
        <w:pStyle w:val="a7"/>
        <w:bidi/>
        <w:rPr>
          <w:rFonts w:ascii="Narkisim" w:hAnsi="Narkisim"/>
        </w:rPr>
      </w:pPr>
      <w:r w:rsidRPr="009F36E0">
        <w:rPr>
          <w:rFonts w:ascii="Narkisim" w:hAnsi="Narkisim"/>
          <w:rtl/>
        </w:rPr>
        <w:lastRenderedPageBreak/>
        <w:t>אך תמה דמשמע ד</w:t>
      </w:r>
      <w:r w:rsidRPr="009F36E0">
        <w:rPr>
          <w:rFonts w:ascii="Narkisim" w:hAnsi="Narkisim"/>
          <w:b/>
          <w:bCs/>
          <w:rtl/>
        </w:rPr>
        <w:t>תוס</w:t>
      </w:r>
      <w:r w:rsidRPr="009F36E0">
        <w:rPr>
          <w:rFonts w:ascii="Narkisim" w:hAnsi="Narkisim"/>
          <w:rtl/>
        </w:rPr>
        <w:t>' (וה</w:t>
      </w:r>
      <w:r w:rsidRPr="009F36E0">
        <w:rPr>
          <w:rFonts w:ascii="Narkisim" w:hAnsi="Narkisim"/>
          <w:b/>
          <w:bCs/>
          <w:rtl/>
        </w:rPr>
        <w:t>פוסקים</w:t>
      </w:r>
      <w:r w:rsidRPr="009F36E0">
        <w:rPr>
          <w:rFonts w:ascii="Narkisim" w:hAnsi="Narkisim"/>
          <w:rtl/>
        </w:rPr>
        <w:t xml:space="preserve"> קעז ד) דאיירי אף בפנויה בוגרת, ואילו מצוות ולו תהיה לאשה הוה דוקא נערה [וכה"ק ב</w:t>
      </w:r>
      <w:r w:rsidRPr="009F36E0">
        <w:rPr>
          <w:rFonts w:ascii="Narkisim" w:hAnsi="Narkisim"/>
          <w:b/>
          <w:bCs/>
          <w:rtl/>
        </w:rPr>
        <w:t>חשק שלמה</w:t>
      </w:r>
      <w:r w:rsidRPr="009F36E0">
        <w:rPr>
          <w:rFonts w:ascii="Narkisim" w:hAnsi="Narkisim"/>
          <w:rtl/>
        </w:rPr>
        <w:t>]</w:t>
      </w:r>
      <w:r w:rsidRPr="009F36E0">
        <w:rPr>
          <w:rFonts w:ascii="Narkisim" w:hAnsi="Narkisim"/>
        </w:rPr>
        <w:t>.</w:t>
      </w:r>
    </w:p>
    <w:p w14:paraId="2F405C00"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תי' דכוונת התוס' דכיון דיש אופן דהוה מצווה וחיוב גמור לכונסה, ילפי' ממצוות התורה דהוה דבר ראוי [ולא חיישי' שמחזק את הלעז], אף במקום דליכא מצוות עשה. [ועפ"ז אין ראיה דהמצווה נוהג בזה"ז]</w:t>
      </w:r>
      <w:r w:rsidRPr="009F36E0">
        <w:rPr>
          <w:rFonts w:ascii="Narkisim" w:hAnsi="Narkisim"/>
        </w:rPr>
        <w:t>.</w:t>
      </w:r>
    </w:p>
    <w:p w14:paraId="53163401" w14:textId="77777777" w:rsidR="006074A5" w:rsidRPr="009F36E0" w:rsidRDefault="006074A5" w:rsidP="006074A5">
      <w:pPr>
        <w:bidi/>
        <w:rPr>
          <w:rFonts w:ascii="Narkisim" w:hAnsi="Narkisim" w:cs="Narkisim"/>
        </w:rPr>
      </w:pPr>
      <w:r w:rsidRPr="009F36E0">
        <w:rPr>
          <w:rFonts w:ascii="Narkisim" w:hAnsi="Narkisim" w:cs="Narkisim"/>
          <w:u w:val="single"/>
          <w:rtl/>
        </w:rPr>
        <w:t>שם. דאדרבה מצווה לכונסה</w:t>
      </w:r>
      <w:r w:rsidRPr="009F36E0">
        <w:rPr>
          <w:rFonts w:ascii="Narkisim" w:hAnsi="Narkisim" w:cs="Narkisim"/>
          <w:rtl/>
        </w:rPr>
        <w:t>. וה</w:t>
      </w:r>
      <w:r w:rsidRPr="009F36E0">
        <w:rPr>
          <w:rFonts w:ascii="Narkisim" w:hAnsi="Narkisim" w:cs="Narkisim"/>
          <w:b/>
          <w:bCs/>
          <w:rtl/>
        </w:rPr>
        <w:t>רא"ש</w:t>
      </w:r>
      <w:r w:rsidRPr="009F36E0">
        <w:rPr>
          <w:rFonts w:ascii="Narkisim" w:hAnsi="Narkisim" w:cs="Narkisim"/>
          <w:rtl/>
        </w:rPr>
        <w:t xml:space="preserve"> דחה דנהי דחייבה תורה לכונסה אחר שנתפגמה בודאי. אבל משום קול בעלמא אין להחזיק ולפגום שניהם</w:t>
      </w:r>
      <w:r w:rsidRPr="009F36E0">
        <w:rPr>
          <w:rStyle w:val="ac"/>
          <w:rFonts w:ascii="Narkisim" w:hAnsi="Narkisim" w:cs="Narkisim"/>
          <w:rtl/>
        </w:rPr>
        <w:footnoteReference w:id="1466"/>
      </w:r>
      <w:r w:rsidRPr="009F36E0">
        <w:rPr>
          <w:rFonts w:ascii="Narkisim" w:hAnsi="Narkisim" w:cs="Narkisim"/>
        </w:rPr>
        <w:t>.</w:t>
      </w:r>
    </w:p>
    <w:p w14:paraId="15D5F98F" w14:textId="77777777" w:rsidR="006074A5" w:rsidRPr="009F36E0" w:rsidRDefault="006074A5" w:rsidP="006074A5">
      <w:pPr>
        <w:pStyle w:val="aa"/>
        <w:bidi/>
        <w:rPr>
          <w:rFonts w:ascii="Narkisim" w:hAnsi="Narkisim"/>
        </w:rPr>
      </w:pPr>
      <w:r w:rsidRPr="009F36E0">
        <w:rPr>
          <w:rFonts w:ascii="Narkisim" w:hAnsi="Narkisim"/>
          <w:u w:val="single"/>
          <w:rtl/>
        </w:rPr>
        <w:t>שם. דבנטען על הפנויה</w:t>
      </w:r>
      <w:r w:rsidRPr="009F36E0">
        <w:rPr>
          <w:rFonts w:ascii="Narkisim" w:hAnsi="Narkisim"/>
          <w:rtl/>
        </w:rPr>
        <w:t>. ה</w:t>
      </w:r>
      <w:r w:rsidRPr="009F36E0">
        <w:rPr>
          <w:rFonts w:ascii="Narkisim" w:hAnsi="Narkisim"/>
          <w:b/>
          <w:bCs/>
          <w:rtl/>
        </w:rPr>
        <w:t xml:space="preserve">יש"ש </w:t>
      </w:r>
      <w:r w:rsidRPr="009F36E0">
        <w:rPr>
          <w:rFonts w:ascii="Narkisim" w:hAnsi="Narkisim"/>
          <w:rtl/>
        </w:rPr>
        <w:t>כתב דבמקום שיש לחשוש שהיא נדה ודאי אסור, דמחזיק קול איסור</w:t>
      </w:r>
      <w:r w:rsidRPr="009F36E0">
        <w:rPr>
          <w:rStyle w:val="ac"/>
          <w:rFonts w:ascii="Narkisim" w:hAnsi="Narkisim"/>
          <w:rtl/>
        </w:rPr>
        <w:footnoteReference w:id="1467"/>
      </w:r>
      <w:r w:rsidRPr="009F36E0">
        <w:rPr>
          <w:rFonts w:ascii="Narkisim" w:hAnsi="Narkisim"/>
        </w:rPr>
        <w:t xml:space="preserve">. </w:t>
      </w:r>
      <w:r w:rsidRPr="009F36E0">
        <w:rPr>
          <w:rFonts w:ascii="Narkisim" w:hAnsi="Narkisim"/>
          <w:rtl/>
        </w:rPr>
        <w:t>ו</w:t>
      </w:r>
      <w:r w:rsidRPr="009F36E0">
        <w:rPr>
          <w:rFonts w:ascii="Narkisim" w:hAnsi="Narkisim"/>
          <w:b/>
          <w:bCs/>
          <w:rtl/>
        </w:rPr>
        <w:t>רע"א</w:t>
      </w:r>
      <w:r w:rsidRPr="009F36E0">
        <w:rPr>
          <w:rFonts w:ascii="Narkisim" w:hAnsi="Narkisim"/>
          <w:rtl/>
        </w:rPr>
        <w:t xml:space="preserve"> הק' דמ"מ יש בזה מצוה. וביאר דכוונת היש"ש בצירוף הסברא הנ"ל דלעז איסור דאורייתא חמיר</w:t>
      </w:r>
      <w:r w:rsidRPr="009F36E0">
        <w:rPr>
          <w:rFonts w:ascii="Narkisim" w:hAnsi="Narkisim"/>
        </w:rPr>
        <w:t>.</w:t>
      </w:r>
    </w:p>
    <w:p w14:paraId="4CD3ABB4" w14:textId="77777777" w:rsidR="006074A5" w:rsidRPr="009F36E0" w:rsidRDefault="006074A5" w:rsidP="006074A5">
      <w:pPr>
        <w:bidi/>
        <w:rPr>
          <w:rFonts w:ascii="Narkisim" w:hAnsi="Narkisim" w:cs="Narkisim"/>
        </w:rPr>
      </w:pPr>
      <w:r w:rsidRPr="009F36E0">
        <w:rPr>
          <w:rFonts w:ascii="Narkisim" w:hAnsi="Narkisim" w:cs="Narkisim"/>
          <w:u w:val="single"/>
          <w:rtl/>
        </w:rPr>
        <w:t>תוד"ה לא.</w:t>
      </w:r>
      <w:r w:rsidRPr="009F36E0">
        <w:rPr>
          <w:rFonts w:ascii="Narkisim" w:hAnsi="Narkisim" w:cs="Narkisim"/>
          <w:rtl/>
        </w:rPr>
        <w:t xml:space="preserve"> וההיא (שבת לא.) וכו' גיירני ע"מ לעשות כה"ג, בטוח היה הלל שסופו לעשות לשם שמים. </w:t>
      </w:r>
      <w:r w:rsidRPr="009F36E0">
        <w:rPr>
          <w:rFonts w:ascii="Narkisim" w:hAnsi="Narkisim" w:cs="Narkisim"/>
          <w:sz w:val="20"/>
          <w:szCs w:val="20"/>
          <w:rtl/>
        </w:rPr>
        <w:t>[וצ"ב דמ"מ השתא חסר בקבלת מצוות בשעתו</w:t>
      </w:r>
      <w:r w:rsidRPr="009F36E0">
        <w:rPr>
          <w:rStyle w:val="ac"/>
          <w:rFonts w:ascii="Narkisim" w:hAnsi="Narkisim" w:cs="Narkisim"/>
          <w:sz w:val="20"/>
          <w:szCs w:val="20"/>
          <w:rtl/>
        </w:rPr>
        <w:footnoteReference w:id="1468"/>
      </w:r>
      <w:r w:rsidRPr="009F36E0">
        <w:rPr>
          <w:rFonts w:ascii="Narkisim" w:hAnsi="Narkisim" w:cs="Narkisim"/>
          <w:rtl/>
        </w:rPr>
        <w:t>]. ומבואר בתוס' דגיירו מיד. אבל ה</w:t>
      </w:r>
      <w:r w:rsidRPr="009F36E0">
        <w:rPr>
          <w:rFonts w:ascii="Narkisim" w:hAnsi="Narkisim" w:cs="Narkisim"/>
          <w:b/>
          <w:bCs/>
          <w:rtl/>
        </w:rPr>
        <w:t>מהרש"א</w:t>
      </w:r>
      <w:r w:rsidRPr="009F36E0">
        <w:rPr>
          <w:rFonts w:ascii="Narkisim" w:hAnsi="Narkisim" w:cs="Narkisim"/>
          <w:rtl/>
        </w:rPr>
        <w:t xml:space="preserve"> (ח”א שבת שם) כתב דלא גיירו עד אחרי שלמד</w:t>
      </w:r>
      <w:r w:rsidRPr="009F36E0">
        <w:rPr>
          <w:rStyle w:val="ac"/>
          <w:rFonts w:ascii="Narkisim" w:hAnsi="Narkisim" w:cs="Narkisim"/>
          <w:rtl/>
        </w:rPr>
        <w:footnoteReference w:id="1469"/>
      </w:r>
      <w:r w:rsidRPr="009F36E0">
        <w:rPr>
          <w:rFonts w:ascii="Narkisim" w:hAnsi="Narkisim" w:cs="Narkisim"/>
        </w:rPr>
        <w:t>.</w:t>
      </w:r>
    </w:p>
    <w:p w14:paraId="6F6F008A" w14:textId="77777777" w:rsidR="006074A5" w:rsidRPr="009F36E0" w:rsidRDefault="006074A5" w:rsidP="006074A5">
      <w:pPr>
        <w:pStyle w:val="aa"/>
        <w:bidi/>
        <w:rPr>
          <w:rFonts w:ascii="Narkisim" w:hAnsi="Narkisim"/>
        </w:rPr>
      </w:pPr>
      <w:r w:rsidRPr="009F36E0">
        <w:rPr>
          <w:rFonts w:ascii="Narkisim" w:hAnsi="Narkisim"/>
          <w:u w:val="single"/>
          <w:rtl/>
        </w:rPr>
        <w:t>ת"ר אין מקבלין גרים לימות המשיח וכו'</w:t>
      </w:r>
      <w:r w:rsidRPr="009F36E0">
        <w:rPr>
          <w:rFonts w:ascii="Narkisim" w:hAnsi="Narkisim"/>
          <w:rtl/>
        </w:rPr>
        <w:t>. ה</w:t>
      </w:r>
      <w:r w:rsidRPr="009F36E0">
        <w:rPr>
          <w:rFonts w:ascii="Narkisim" w:hAnsi="Narkisim"/>
          <w:b/>
          <w:bCs/>
          <w:rtl/>
        </w:rPr>
        <w:t>מהרי"ל</w:t>
      </w:r>
      <w:r w:rsidRPr="009F36E0">
        <w:rPr>
          <w:rFonts w:ascii="Narkisim" w:hAnsi="Narkisim"/>
          <w:rtl/>
        </w:rPr>
        <w:t xml:space="preserve"> (הל' עשי"ת ז) כת' עד"ז לא יקבלו בתשובה בימות המשיח, דאין עושה מאהבת הש"י רק לשמוח בשמחת ישראל</w:t>
      </w:r>
      <w:r w:rsidRPr="009F36E0">
        <w:rPr>
          <w:rFonts w:ascii="Narkisim" w:hAnsi="Narkisim"/>
        </w:rPr>
        <w:t>.</w:t>
      </w:r>
    </w:p>
    <w:p w14:paraId="10749A68" w14:textId="77777777" w:rsidR="006074A5" w:rsidRPr="009F36E0" w:rsidRDefault="006074A5" w:rsidP="006074A5">
      <w:pPr>
        <w:pStyle w:val="2"/>
        <w:bidi/>
        <w:rPr>
          <w:rFonts w:ascii="Narkisim" w:hAnsi="Narkisim"/>
        </w:rPr>
      </w:pPr>
      <w:r w:rsidRPr="009F36E0">
        <w:rPr>
          <w:rFonts w:ascii="Narkisim" w:hAnsi="Narkisim"/>
          <w:rtl/>
        </w:rPr>
        <w:t>מכוער הדבר תצא</w:t>
      </w:r>
    </w:p>
    <w:p w14:paraId="64544D63" w14:textId="77777777" w:rsidR="006074A5" w:rsidRPr="009F36E0" w:rsidRDefault="006074A5" w:rsidP="006074A5">
      <w:pPr>
        <w:bidi/>
        <w:rPr>
          <w:rFonts w:ascii="Narkisim" w:hAnsi="Narkisim" w:cs="Narkisim"/>
        </w:rPr>
      </w:pPr>
      <w:r w:rsidRPr="009F36E0">
        <w:rPr>
          <w:rFonts w:ascii="Narkisim" w:hAnsi="Narkisim" w:cs="Narkisim"/>
          <w:u w:val="single"/>
          <w:rtl/>
        </w:rPr>
        <w:t>אמר רב ובעדים.</w:t>
      </w:r>
      <w:r w:rsidRPr="009F36E0">
        <w:rPr>
          <w:rFonts w:ascii="Narkisim" w:hAnsi="Narkisim" w:cs="Narkisim"/>
          <w:rtl/>
        </w:rPr>
        <w:t xml:space="preserve"> ב</w:t>
      </w:r>
      <w:r w:rsidRPr="009F36E0">
        <w:rPr>
          <w:rFonts w:ascii="Narkisim" w:hAnsi="Narkisim" w:cs="Narkisim"/>
          <w:b/>
          <w:bCs/>
          <w:rtl/>
        </w:rPr>
        <w:t xml:space="preserve">רש"י </w:t>
      </w:r>
      <w:r w:rsidRPr="009F36E0">
        <w:rPr>
          <w:rFonts w:ascii="Narkisim" w:hAnsi="Narkisim" w:cs="Narkisim"/>
          <w:rtl/>
        </w:rPr>
        <w:t>מבואר דהיינו עדים על זנות. וה</w:t>
      </w:r>
      <w:r w:rsidRPr="009F36E0">
        <w:rPr>
          <w:rFonts w:ascii="Narkisim" w:hAnsi="Narkisim" w:cs="Narkisim"/>
          <w:b/>
          <w:bCs/>
          <w:rtl/>
        </w:rPr>
        <w:t>ראשונים</w:t>
      </w:r>
      <w:r w:rsidRPr="009F36E0">
        <w:rPr>
          <w:rFonts w:ascii="Narkisim" w:hAnsi="Narkisim" w:cs="Narkisim"/>
          <w:rtl/>
        </w:rPr>
        <w:t xml:space="preserve"> (ריטב"א) הקשו א"כ פשיטא, דאסורה על הבועל מדאורייתא</w:t>
      </w:r>
      <w:r w:rsidRPr="009F36E0">
        <w:rPr>
          <w:rStyle w:val="ac"/>
          <w:rFonts w:ascii="Narkisim" w:hAnsi="Narkisim" w:cs="Narkisim"/>
          <w:rtl/>
        </w:rPr>
        <w:footnoteReference w:id="1470"/>
      </w:r>
      <w:r w:rsidRPr="009F36E0">
        <w:rPr>
          <w:rFonts w:ascii="Narkisim" w:hAnsi="Narkisim" w:cs="Narkisim"/>
          <w:rtl/>
        </w:rPr>
        <w:t>. ועוד הקשו ה</w:t>
      </w:r>
      <w:r w:rsidRPr="009F36E0">
        <w:rPr>
          <w:rFonts w:ascii="Narkisim" w:hAnsi="Narkisim" w:cs="Narkisim"/>
          <w:b/>
          <w:bCs/>
          <w:rtl/>
        </w:rPr>
        <w:t>אחרונים</w:t>
      </w:r>
      <w:r w:rsidRPr="009F36E0">
        <w:rPr>
          <w:rFonts w:ascii="Narkisim" w:hAnsi="Narkisim" w:cs="Narkisim"/>
          <w:rtl/>
        </w:rPr>
        <w:t xml:space="preserve"> אמאי נקרא 'נטען' [שטוענים עליו], הא נתברר בעדים שזינתה.</w:t>
      </w:r>
    </w:p>
    <w:p w14:paraId="1129C55B"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יש"ש</w:t>
      </w:r>
      <w:r w:rsidRPr="009F36E0">
        <w:rPr>
          <w:rFonts w:ascii="Narkisim" w:hAnsi="Narkisim"/>
          <w:rtl/>
        </w:rPr>
        <w:t xml:space="preserve"> (ס"ס טז) העמיד דיש עדים שזינתה עם אחר. </w:t>
      </w:r>
      <w:r w:rsidRPr="009F36E0">
        <w:rPr>
          <w:rFonts w:ascii="Narkisim" w:hAnsi="Narkisim"/>
          <w:szCs w:val="20"/>
          <w:rtl/>
        </w:rPr>
        <w:t>ונחשב רגליים לדבר שזינתה אף אם זה, דאמרי' מדאפקרה נפשא</w:t>
      </w:r>
      <w:r w:rsidRPr="009F36E0">
        <w:rPr>
          <w:rFonts w:ascii="Narkisim" w:hAnsi="Narkisim"/>
        </w:rPr>
        <w:t>.</w:t>
      </w:r>
    </w:p>
    <w:p w14:paraId="0A84E73D"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רא"ש</w:t>
      </w:r>
      <w:r w:rsidRPr="009F36E0">
        <w:rPr>
          <w:rFonts w:ascii="Narkisim" w:hAnsi="Narkisim"/>
          <w:rtl/>
        </w:rPr>
        <w:t xml:space="preserve"> ו</w:t>
      </w:r>
      <w:r w:rsidRPr="009F36E0">
        <w:rPr>
          <w:rFonts w:ascii="Narkisim" w:hAnsi="Narkisim"/>
          <w:b/>
          <w:bCs/>
          <w:rtl/>
        </w:rPr>
        <w:t>מרדכי</w:t>
      </w:r>
      <w:r w:rsidRPr="009F36E0">
        <w:rPr>
          <w:rFonts w:ascii="Narkisim" w:hAnsi="Narkisim"/>
          <w:rtl/>
        </w:rPr>
        <w:t xml:space="preserve"> כת' בשם</w:t>
      </w:r>
      <w:r w:rsidRPr="009F36E0">
        <w:rPr>
          <w:rFonts w:ascii="Narkisim" w:hAnsi="Narkisim"/>
          <w:b/>
          <w:bCs/>
          <w:rtl/>
        </w:rPr>
        <w:t xml:space="preserve"> ר"ת</w:t>
      </w:r>
      <w:r w:rsidRPr="009F36E0">
        <w:rPr>
          <w:rFonts w:ascii="Narkisim" w:hAnsi="Narkisim"/>
          <w:rtl/>
        </w:rPr>
        <w:t xml:space="preserve"> דכוונת הגמ' בעדי דבר מכוער </w:t>
      </w:r>
      <w:r w:rsidRPr="009F36E0">
        <w:rPr>
          <w:rFonts w:ascii="Narkisim" w:hAnsi="Narkisim"/>
          <w:sz w:val="20"/>
          <w:szCs w:val="20"/>
          <w:rtl/>
        </w:rPr>
        <w:t>[וע' בסמוך בדברי רבי]</w:t>
      </w:r>
      <w:r w:rsidRPr="009F36E0">
        <w:rPr>
          <w:rFonts w:ascii="Narkisim" w:hAnsi="Narkisim"/>
          <w:rtl/>
        </w:rPr>
        <w:t xml:space="preserve">. </w:t>
      </w:r>
      <w:r w:rsidRPr="009F36E0">
        <w:rPr>
          <w:rFonts w:ascii="Narkisim" w:hAnsi="Narkisim"/>
          <w:sz w:val="20"/>
          <w:szCs w:val="20"/>
          <w:rtl/>
        </w:rPr>
        <w:t>וביארו דבעינן דוקא עדים לדבר המכוער, אבל אם הבעל ראה בעצמו דבר המכוער לא אמרי' דשויה אנפשיה (ע' בסמוך)</w:t>
      </w:r>
      <w:r w:rsidRPr="009F36E0">
        <w:rPr>
          <w:rFonts w:ascii="Narkisim" w:hAnsi="Narkisim"/>
          <w:sz w:val="20"/>
          <w:szCs w:val="20"/>
        </w:rPr>
        <w:t>.</w:t>
      </w:r>
    </w:p>
    <w:p w14:paraId="27A7C4F6" w14:textId="77777777" w:rsidR="006074A5" w:rsidRPr="009F36E0" w:rsidRDefault="006074A5" w:rsidP="006074A5">
      <w:pPr>
        <w:bidi/>
        <w:rPr>
          <w:rFonts w:ascii="Narkisim" w:hAnsi="Narkisim" w:cs="Narkisim"/>
        </w:rPr>
      </w:pPr>
      <w:r w:rsidRPr="009F36E0">
        <w:rPr>
          <w:rFonts w:ascii="Narkisim" w:hAnsi="Narkisim" w:cs="Narkisim"/>
          <w:u w:val="single"/>
          <w:rtl/>
        </w:rPr>
        <w:t>יש לה בנים לא תצא.</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מן הראשון, דמחזיקים לקלא קמא ועבדינן להו ממזרים. אבל ה</w:t>
      </w:r>
      <w:r w:rsidRPr="009F36E0">
        <w:rPr>
          <w:rFonts w:ascii="Narkisim" w:hAnsi="Narkisim" w:cs="Narkisim"/>
          <w:b/>
          <w:bCs/>
          <w:rtl/>
        </w:rPr>
        <w:t>רי"ף</w:t>
      </w:r>
      <w:r w:rsidRPr="009F36E0">
        <w:rPr>
          <w:rFonts w:ascii="Narkisim" w:hAnsi="Narkisim" w:cs="Narkisim"/>
          <w:rtl/>
        </w:rPr>
        <w:t xml:space="preserve"> [וכ"כ הראשונים בשם ה</w:t>
      </w:r>
      <w:r w:rsidRPr="009F36E0">
        <w:rPr>
          <w:rFonts w:ascii="Narkisim" w:hAnsi="Narkisim" w:cs="Narkisim"/>
          <w:b/>
          <w:bCs/>
          <w:rtl/>
        </w:rPr>
        <w:t>גאונים</w:t>
      </w:r>
      <w:r w:rsidRPr="009F36E0">
        <w:rPr>
          <w:rFonts w:ascii="Narkisim" w:hAnsi="Narkisim" w:cs="Narkisim"/>
          <w:rtl/>
        </w:rPr>
        <w:t xml:space="preserve">] פי' דאפי' יש לה בנים מהשני לא תצא </w:t>
      </w:r>
      <w:r w:rsidRPr="009F36E0">
        <w:rPr>
          <w:rFonts w:ascii="Narkisim" w:hAnsi="Narkisim" w:cs="Narkisim"/>
          <w:sz w:val="20"/>
          <w:szCs w:val="20"/>
          <w:rtl/>
        </w:rPr>
        <w:t>[וכ"ד ה</w:t>
      </w:r>
      <w:r w:rsidRPr="009F36E0">
        <w:rPr>
          <w:rFonts w:ascii="Narkisim" w:hAnsi="Narkisim" w:cs="Narkisim"/>
          <w:b/>
          <w:bCs/>
          <w:sz w:val="20"/>
          <w:szCs w:val="20"/>
          <w:rtl/>
        </w:rPr>
        <w:t>רמב"ם</w:t>
      </w:r>
      <w:r w:rsidRPr="009F36E0">
        <w:rPr>
          <w:rFonts w:ascii="Narkisim" w:hAnsi="Narkisim" w:cs="Narkisim"/>
          <w:sz w:val="20"/>
          <w:szCs w:val="20"/>
          <w:rtl/>
        </w:rPr>
        <w:t xml:space="preserve"> סוטה ב יג</w:t>
      </w:r>
      <w:r w:rsidRPr="009F36E0">
        <w:rPr>
          <w:rFonts w:ascii="Narkisim" w:hAnsi="Narkisim" w:cs="Narkisim"/>
          <w:rtl/>
        </w:rPr>
        <w:t>]. וה</w:t>
      </w:r>
      <w:r w:rsidRPr="009F36E0">
        <w:rPr>
          <w:rFonts w:ascii="Narkisim" w:hAnsi="Narkisim" w:cs="Narkisim"/>
          <w:b/>
          <w:bCs/>
          <w:rtl/>
        </w:rPr>
        <w:t>רמב"ן</w:t>
      </w:r>
      <w:r w:rsidRPr="009F36E0">
        <w:rPr>
          <w:rFonts w:ascii="Narkisim" w:hAnsi="Narkisim" w:cs="Narkisim"/>
          <w:rtl/>
        </w:rPr>
        <w:t xml:space="preserve"> פי' דאע"ג דכשר לכהונה, הוולד מזוהם. ואין מוציאין כדי שלא להוציא אף שם זוהמא בעלמא. </w:t>
      </w:r>
      <w:r w:rsidRPr="009F36E0">
        <w:rPr>
          <w:rFonts w:ascii="Narkisim" w:hAnsi="Narkisim" w:cs="Narkisim"/>
          <w:sz w:val="20"/>
          <w:szCs w:val="20"/>
          <w:rtl/>
        </w:rPr>
        <w:t>אבל דעת רש"י דאף כשיש בנים מהשני תצא, כיון דאין נפסלים, כ"כ הריטב"א</w:t>
      </w:r>
      <w:r w:rsidRPr="009F36E0">
        <w:rPr>
          <w:rFonts w:ascii="Narkisim" w:hAnsi="Narkisim" w:cs="Narkisim"/>
          <w:sz w:val="20"/>
          <w:szCs w:val="20"/>
        </w:rPr>
        <w:t>.</w:t>
      </w:r>
    </w:p>
    <w:p w14:paraId="6A3BD4E0" w14:textId="77777777" w:rsidR="006074A5" w:rsidRPr="009F36E0" w:rsidRDefault="006074A5" w:rsidP="006074A5">
      <w:pPr>
        <w:pStyle w:val="aa"/>
        <w:bidi/>
        <w:rPr>
          <w:rFonts w:ascii="Narkisim" w:hAnsi="Narkisim"/>
        </w:rPr>
      </w:pPr>
      <w:r w:rsidRPr="009F36E0">
        <w:rPr>
          <w:rFonts w:ascii="Narkisim" w:hAnsi="Narkisim"/>
          <w:u w:val="single"/>
          <w:rtl/>
        </w:rPr>
        <w:t>ואם באו עדי טומאה וכו'.</w:t>
      </w:r>
      <w:r w:rsidRPr="009F36E0">
        <w:rPr>
          <w:rFonts w:ascii="Narkisim" w:hAnsi="Narkisim"/>
          <w:rtl/>
        </w:rPr>
        <w:t xml:space="preserve"> ה</w:t>
      </w:r>
      <w:r w:rsidRPr="009F36E0">
        <w:rPr>
          <w:rFonts w:ascii="Narkisim" w:hAnsi="Narkisim"/>
          <w:b/>
          <w:bCs/>
          <w:rtl/>
        </w:rPr>
        <w:t>ראשונים</w:t>
      </w:r>
      <w:r w:rsidRPr="009F36E0">
        <w:rPr>
          <w:rFonts w:ascii="Narkisim" w:hAnsi="Narkisim"/>
          <w:rtl/>
        </w:rPr>
        <w:t xml:space="preserve"> הקשו דפשיטא. וה</w:t>
      </w:r>
      <w:r w:rsidRPr="009F36E0">
        <w:rPr>
          <w:rFonts w:ascii="Narkisim" w:hAnsi="Narkisim"/>
          <w:b/>
          <w:bCs/>
          <w:rtl/>
        </w:rPr>
        <w:t>ריטב"א</w:t>
      </w:r>
      <w:r w:rsidRPr="009F36E0">
        <w:rPr>
          <w:rFonts w:ascii="Narkisim" w:hAnsi="Narkisim"/>
          <w:rtl/>
        </w:rPr>
        <w:t xml:space="preserve"> תי' דאיירי אע"ג דהעדים אינם יודעים האם היתה אונס</w:t>
      </w:r>
      <w:r w:rsidRPr="009F36E0">
        <w:rPr>
          <w:rStyle w:val="ac"/>
          <w:rFonts w:ascii="Narkisim" w:hAnsi="Narkisim"/>
          <w:rtl/>
        </w:rPr>
        <w:footnoteReference w:id="1471"/>
      </w:r>
      <w:r w:rsidRPr="009F36E0">
        <w:rPr>
          <w:rFonts w:ascii="Narkisim" w:hAnsi="Narkisim"/>
        </w:rPr>
        <w:t xml:space="preserve">, </w:t>
      </w:r>
      <w:r w:rsidRPr="009F36E0">
        <w:rPr>
          <w:rFonts w:ascii="Narkisim" w:hAnsi="Narkisim"/>
          <w:rtl/>
        </w:rPr>
        <w:t>וס"ד דמוקמינן בחזקת כשרות. קמ"ל דסתם מזנה הוה בחזקת רצון</w:t>
      </w:r>
      <w:r w:rsidRPr="009F36E0">
        <w:rPr>
          <w:rStyle w:val="ac"/>
          <w:rFonts w:ascii="Narkisim" w:hAnsi="Narkisim"/>
          <w:rtl/>
        </w:rPr>
        <w:footnoteReference w:id="1472"/>
      </w:r>
      <w:r w:rsidRPr="009F36E0">
        <w:rPr>
          <w:rFonts w:ascii="Narkisim" w:hAnsi="Narkisim"/>
        </w:rPr>
        <w:t>.</w:t>
      </w:r>
    </w:p>
    <w:p w14:paraId="14628878" w14:textId="77777777" w:rsidR="006074A5" w:rsidRPr="009F36E0" w:rsidRDefault="006074A5" w:rsidP="006074A5">
      <w:pPr>
        <w:bidi/>
        <w:rPr>
          <w:rFonts w:ascii="Narkisim" w:hAnsi="Narkisim" w:cs="Narkisim"/>
        </w:rPr>
      </w:pPr>
      <w:r w:rsidRPr="009F36E0">
        <w:rPr>
          <w:rFonts w:ascii="Narkisim" w:hAnsi="Narkisim" w:cs="Narkisim"/>
          <w:u w:val="single"/>
          <w:rtl/>
        </w:rPr>
        <w:t>רב מוקי מתני' כשיש לה בנים.</w:t>
      </w:r>
      <w:r w:rsidRPr="009F36E0">
        <w:rPr>
          <w:rFonts w:ascii="Narkisim" w:hAnsi="Narkisim" w:cs="Narkisim"/>
          <w:rtl/>
        </w:rPr>
        <w:t xml:space="preserve"> אבל כשאין בנים תצא ע"פ הקול, וכדברי הברייתא</w:t>
      </w:r>
      <w:r w:rsidRPr="009F36E0">
        <w:rPr>
          <w:rFonts w:ascii="Narkisim" w:hAnsi="Narkisim" w:cs="Narkisim"/>
        </w:rPr>
        <w:t>.</w:t>
      </w:r>
    </w:p>
    <w:p w14:paraId="231A1712" w14:textId="77777777" w:rsidR="006074A5" w:rsidRPr="009F36E0" w:rsidRDefault="006074A5" w:rsidP="006074A5">
      <w:pPr>
        <w:pStyle w:val="a7"/>
        <w:bidi/>
        <w:rPr>
          <w:rFonts w:ascii="Narkisim" w:hAnsi="Narkisim"/>
        </w:rPr>
      </w:pPr>
      <w:r w:rsidRPr="009F36E0">
        <w:rPr>
          <w:rFonts w:ascii="Narkisim" w:hAnsi="Narkisim"/>
          <w:rtl/>
        </w:rPr>
        <w:t>ודעת ה</w:t>
      </w:r>
      <w:r w:rsidRPr="009F36E0">
        <w:rPr>
          <w:rFonts w:ascii="Narkisim" w:hAnsi="Narkisim"/>
          <w:b/>
          <w:bCs/>
          <w:rtl/>
        </w:rPr>
        <w:t>שאילתות</w:t>
      </w:r>
      <w:r w:rsidRPr="009F36E0">
        <w:rPr>
          <w:rFonts w:ascii="Narkisim" w:hAnsi="Narkisim"/>
          <w:rtl/>
        </w:rPr>
        <w:t xml:space="preserve"> </w:t>
      </w:r>
      <w:r w:rsidRPr="009F36E0">
        <w:rPr>
          <w:rFonts w:ascii="Narkisim" w:hAnsi="Narkisim"/>
          <w:sz w:val="20"/>
          <w:szCs w:val="20"/>
          <w:rtl/>
        </w:rPr>
        <w:t>(הו' בראשונים, ובתוס' כתובות סג: ד"ה אבל)</w:t>
      </w:r>
      <w:r w:rsidRPr="009F36E0">
        <w:rPr>
          <w:rFonts w:ascii="Narkisim" w:hAnsi="Narkisim"/>
          <w:rtl/>
        </w:rPr>
        <w:t xml:space="preserve"> דכשיש עדי דבר מכוער וקלא דלא </w:t>
      </w:r>
      <w:r w:rsidRPr="009F36E0">
        <w:rPr>
          <w:rFonts w:ascii="Narkisim" w:hAnsi="Narkisim"/>
          <w:rtl/>
        </w:rPr>
        <w:lastRenderedPageBreak/>
        <w:t>פסיק</w:t>
      </w:r>
      <w:r w:rsidRPr="009F36E0">
        <w:rPr>
          <w:rStyle w:val="ac"/>
          <w:rFonts w:ascii="Narkisim" w:hAnsi="Narkisim"/>
          <w:rtl/>
        </w:rPr>
        <w:footnoteReference w:id="1473"/>
      </w:r>
      <w:r w:rsidRPr="009F36E0">
        <w:rPr>
          <w:rFonts w:ascii="Narkisim" w:hAnsi="Narkisim"/>
        </w:rPr>
        <w:t xml:space="preserve"> </w:t>
      </w:r>
      <w:r w:rsidRPr="009F36E0">
        <w:rPr>
          <w:rFonts w:ascii="Narkisim" w:hAnsi="Narkisim"/>
          <w:rtl/>
        </w:rPr>
        <w:t>מוציאים אשה מבעלה</w:t>
      </w:r>
      <w:r w:rsidRPr="009F36E0">
        <w:rPr>
          <w:rStyle w:val="ac"/>
          <w:rFonts w:ascii="Narkisim" w:hAnsi="Narkisim"/>
          <w:rtl/>
        </w:rPr>
        <w:footnoteReference w:id="1474"/>
      </w:r>
      <w:r w:rsidRPr="009F36E0">
        <w:rPr>
          <w:rFonts w:ascii="Narkisim" w:hAnsi="Narkisim"/>
        </w:rPr>
        <w:t xml:space="preserve">, </w:t>
      </w:r>
      <w:r w:rsidRPr="009F36E0">
        <w:rPr>
          <w:rFonts w:ascii="Narkisim" w:hAnsi="Narkisim"/>
          <w:rtl/>
        </w:rPr>
        <w:t>וכ"מ ב</w:t>
      </w:r>
      <w:r w:rsidRPr="009F36E0">
        <w:rPr>
          <w:rFonts w:ascii="Narkisim" w:hAnsi="Narkisim"/>
          <w:b/>
          <w:bCs/>
          <w:rtl/>
        </w:rPr>
        <w:t>רש"י</w:t>
      </w:r>
      <w:r w:rsidRPr="009F36E0">
        <w:rPr>
          <w:rFonts w:ascii="Narkisim" w:hAnsi="Narkisim"/>
          <w:rtl/>
        </w:rPr>
        <w:t xml:space="preserve"> (ד"ה ואבע"א). אבל דעת </w:t>
      </w:r>
      <w:r w:rsidRPr="009F36E0">
        <w:rPr>
          <w:rFonts w:ascii="Narkisim" w:hAnsi="Narkisim"/>
          <w:b/>
          <w:bCs/>
          <w:rtl/>
        </w:rPr>
        <w:t>ר"ת</w:t>
      </w:r>
      <w:r w:rsidRPr="009F36E0">
        <w:rPr>
          <w:rStyle w:val="ac"/>
          <w:rFonts w:ascii="Narkisim" w:hAnsi="Narkisim"/>
          <w:rtl/>
        </w:rPr>
        <w:footnoteReference w:id="1475"/>
      </w:r>
      <w:r w:rsidRPr="009F36E0">
        <w:rPr>
          <w:rFonts w:ascii="Narkisim" w:hAnsi="Narkisim"/>
        </w:rPr>
        <w:t xml:space="preserve"> </w:t>
      </w:r>
      <w:r w:rsidRPr="009F36E0">
        <w:rPr>
          <w:rFonts w:ascii="Narkisim" w:hAnsi="Narkisim"/>
          <w:rtl/>
        </w:rPr>
        <w:t>ו</w:t>
      </w:r>
      <w:r w:rsidRPr="009F36E0">
        <w:rPr>
          <w:rFonts w:ascii="Narkisim" w:hAnsi="Narkisim"/>
          <w:b/>
          <w:bCs/>
          <w:rtl/>
        </w:rPr>
        <w:t>ר"י</w:t>
      </w:r>
      <w:r w:rsidRPr="009F36E0">
        <w:rPr>
          <w:rFonts w:ascii="Narkisim" w:hAnsi="Narkisim"/>
          <w:rtl/>
        </w:rPr>
        <w:t xml:space="preserve"> (בתוד"ה אמר) דקלא דבתר נישואין לא חיישינן, וכל הסוגיא כלפי הנטען, דנתעורר הספק קמי נישואין</w:t>
      </w:r>
      <w:r w:rsidRPr="009F36E0">
        <w:rPr>
          <w:rFonts w:ascii="Narkisim" w:hAnsi="Narkisim"/>
        </w:rPr>
        <w:t>.</w:t>
      </w:r>
    </w:p>
    <w:p w14:paraId="3AF3DF36" w14:textId="77777777" w:rsidR="006074A5" w:rsidRPr="009F36E0" w:rsidRDefault="006074A5" w:rsidP="006074A5">
      <w:pPr>
        <w:pStyle w:val="a7"/>
        <w:bidi/>
        <w:rPr>
          <w:rFonts w:ascii="Narkisim" w:hAnsi="Narkisim"/>
        </w:rPr>
      </w:pPr>
      <w:r w:rsidRPr="009F36E0">
        <w:rPr>
          <w:rFonts w:ascii="Narkisim" w:hAnsi="Narkisim"/>
          <w:rtl/>
        </w:rPr>
        <w:t>וכ"ד ה</w:t>
      </w:r>
      <w:r w:rsidRPr="009F36E0">
        <w:rPr>
          <w:rFonts w:ascii="Narkisim" w:hAnsi="Narkisim"/>
          <w:b/>
          <w:bCs/>
          <w:rtl/>
        </w:rPr>
        <w:t>רי"ף</w:t>
      </w:r>
      <w:r w:rsidRPr="009F36E0">
        <w:rPr>
          <w:rFonts w:ascii="Narkisim" w:hAnsi="Narkisim"/>
          <w:rtl/>
        </w:rPr>
        <w:t xml:space="preserve"> וה</w:t>
      </w:r>
      <w:r w:rsidRPr="009F36E0">
        <w:rPr>
          <w:rFonts w:ascii="Narkisim" w:hAnsi="Narkisim"/>
          <w:b/>
          <w:bCs/>
          <w:rtl/>
        </w:rPr>
        <w:t>רמב"ם</w:t>
      </w:r>
      <w:r w:rsidRPr="009F36E0">
        <w:rPr>
          <w:rFonts w:ascii="Narkisim" w:hAnsi="Narkisim"/>
          <w:rtl/>
        </w:rPr>
        <w:t xml:space="preserve"> (סוטה ב יג) דאם הוציאה בעלה בדבר המכוער</w:t>
      </w:r>
      <w:r w:rsidRPr="009F36E0">
        <w:rPr>
          <w:rStyle w:val="ac"/>
          <w:rFonts w:ascii="Narkisim" w:hAnsi="Narkisim"/>
          <w:rtl/>
        </w:rPr>
        <w:footnoteReference w:id="1476"/>
      </w:r>
      <w:r w:rsidRPr="009F36E0">
        <w:rPr>
          <w:rFonts w:ascii="Narkisim" w:hAnsi="Narkisim"/>
        </w:rPr>
        <w:t xml:space="preserve"> </w:t>
      </w:r>
      <w:r w:rsidRPr="009F36E0">
        <w:rPr>
          <w:rFonts w:ascii="Narkisim" w:hAnsi="Narkisim"/>
          <w:rtl/>
        </w:rPr>
        <w:t>אסורה לנטען</w:t>
      </w:r>
      <w:r w:rsidRPr="009F36E0">
        <w:rPr>
          <w:rFonts w:ascii="Narkisim" w:hAnsi="Narkisim"/>
        </w:rPr>
        <w:t>.</w:t>
      </w:r>
    </w:p>
    <w:p w14:paraId="38C6F402" w14:textId="77777777" w:rsidR="006074A5" w:rsidRPr="009F36E0" w:rsidRDefault="006074A5" w:rsidP="006074A5">
      <w:pPr>
        <w:pStyle w:val="a7"/>
        <w:bidi/>
        <w:rPr>
          <w:rFonts w:ascii="Narkisim" w:hAnsi="Narkisim"/>
        </w:rPr>
      </w:pPr>
      <w:r w:rsidRPr="009F36E0">
        <w:rPr>
          <w:rFonts w:ascii="Narkisim" w:hAnsi="Narkisim"/>
          <w:rtl/>
        </w:rPr>
        <w:t>ועוד כת' ה</w:t>
      </w:r>
      <w:r w:rsidRPr="009F36E0">
        <w:rPr>
          <w:rFonts w:ascii="Narkisim" w:hAnsi="Narkisim"/>
          <w:b/>
          <w:bCs/>
          <w:rtl/>
        </w:rPr>
        <w:t>ריטב"א</w:t>
      </w:r>
      <w:r w:rsidRPr="009F36E0">
        <w:rPr>
          <w:rFonts w:ascii="Narkisim" w:hAnsi="Narkisim"/>
          <w:rtl/>
        </w:rPr>
        <w:t xml:space="preserve"> וה</w:t>
      </w:r>
      <w:r w:rsidRPr="009F36E0">
        <w:rPr>
          <w:rFonts w:ascii="Narkisim" w:hAnsi="Narkisim"/>
          <w:b/>
          <w:bCs/>
          <w:rtl/>
        </w:rPr>
        <w:t>נמוק"י</w:t>
      </w:r>
      <w:r w:rsidRPr="009F36E0">
        <w:rPr>
          <w:rFonts w:ascii="Narkisim" w:hAnsi="Narkisim"/>
          <w:rtl/>
        </w:rPr>
        <w:t xml:space="preserve"> דיל"פ הכא תצא מהבעל, דהיינו שאם רצה הבעל להוציא [שלבו נוקפו]</w:t>
      </w:r>
      <w:r w:rsidRPr="009F36E0">
        <w:rPr>
          <w:rStyle w:val="ac"/>
          <w:rFonts w:ascii="Narkisim" w:hAnsi="Narkisim"/>
          <w:rtl/>
        </w:rPr>
        <w:footnoteReference w:id="1477"/>
      </w:r>
      <w:r w:rsidRPr="009F36E0">
        <w:rPr>
          <w:rFonts w:ascii="Narkisim" w:hAnsi="Narkisim"/>
        </w:rPr>
        <w:t xml:space="preserve">, </w:t>
      </w:r>
      <w:r w:rsidRPr="009F36E0">
        <w:rPr>
          <w:rFonts w:ascii="Narkisim" w:hAnsi="Narkisim"/>
          <w:rtl/>
        </w:rPr>
        <w:t xml:space="preserve">מפסדת כתובתה </w:t>
      </w:r>
      <w:r w:rsidRPr="009F36E0">
        <w:rPr>
          <w:rFonts w:ascii="Narkisim" w:hAnsi="Narkisim"/>
          <w:sz w:val="20"/>
          <w:szCs w:val="20"/>
          <w:rtl/>
        </w:rPr>
        <w:t>[בלא התראה]</w:t>
      </w:r>
      <w:r w:rsidRPr="009F36E0">
        <w:rPr>
          <w:rStyle w:val="ac"/>
          <w:rFonts w:ascii="Narkisim" w:hAnsi="Narkisim"/>
          <w:sz w:val="20"/>
          <w:szCs w:val="20"/>
          <w:rtl/>
        </w:rPr>
        <w:footnoteReference w:id="1478"/>
      </w:r>
      <w:r w:rsidRPr="009F36E0">
        <w:rPr>
          <w:rFonts w:ascii="Narkisim" w:hAnsi="Narkisim"/>
        </w:rPr>
        <w:t xml:space="preserve">, </w:t>
      </w:r>
      <w:r w:rsidRPr="009F36E0">
        <w:rPr>
          <w:rFonts w:ascii="Narkisim" w:hAnsi="Narkisim"/>
          <w:rtl/>
        </w:rPr>
        <w:t>אבל בי”ד אין מוציאין כשאין עדים (וכגמ' בסמוך)</w:t>
      </w:r>
      <w:r w:rsidRPr="009F36E0">
        <w:rPr>
          <w:rFonts w:ascii="Narkisim" w:hAnsi="Narkisim"/>
        </w:rPr>
        <w:t>.</w:t>
      </w:r>
    </w:p>
    <w:p w14:paraId="438BBEF4" w14:textId="77777777" w:rsidR="006074A5" w:rsidRPr="009F36E0" w:rsidRDefault="006074A5" w:rsidP="006074A5">
      <w:pPr>
        <w:bidi/>
        <w:rPr>
          <w:rFonts w:ascii="Narkisim" w:hAnsi="Narkisim" w:cs="Narkisim"/>
        </w:rPr>
      </w:pPr>
      <w:r w:rsidRPr="009F36E0">
        <w:rPr>
          <w:rFonts w:ascii="Narkisim" w:hAnsi="Narkisim" w:cs="Narkisim"/>
          <w:u w:val="single"/>
          <w:rtl/>
        </w:rPr>
        <w:t>ואיבע"א הני מתני' רבי וכו' הואיל ומכוער הדבר תצא.</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דרבי ס"ל דמוציאין אשה מבעלה בקול כל דהו. וכ"מ בגמ' בסמוך דהנידון משום קול. וצ"ב דרבי איירי בדבר מכוער, ובמה מדמינן לקול. ו</w:t>
      </w:r>
      <w:r w:rsidRPr="009F36E0">
        <w:rPr>
          <w:rFonts w:ascii="Narkisim" w:hAnsi="Narkisim" w:cs="Narkisim"/>
          <w:b/>
          <w:bCs/>
          <w:rtl/>
        </w:rPr>
        <w:t>תוס'</w:t>
      </w:r>
      <w:r w:rsidRPr="009F36E0">
        <w:rPr>
          <w:rFonts w:ascii="Narkisim" w:hAnsi="Narkisim" w:cs="Narkisim"/>
          <w:b/>
          <w:bCs/>
          <w:sz w:val="20"/>
          <w:szCs w:val="20"/>
          <w:rtl/>
        </w:rPr>
        <w:t xml:space="preserve"> </w:t>
      </w:r>
      <w:r w:rsidRPr="009F36E0">
        <w:rPr>
          <w:rFonts w:ascii="Narkisim" w:hAnsi="Narkisim" w:cs="Narkisim"/>
          <w:sz w:val="20"/>
          <w:szCs w:val="20"/>
          <w:rtl/>
        </w:rPr>
        <w:t>(ד"ה אמר)</w:t>
      </w:r>
      <w:r w:rsidRPr="009F36E0">
        <w:rPr>
          <w:rFonts w:ascii="Narkisim" w:hAnsi="Narkisim" w:cs="Narkisim"/>
          <w:rtl/>
        </w:rPr>
        <w:t xml:space="preserve"> ביארו דדבר מכוער לא עדיף מקול</w:t>
      </w:r>
      <w:r w:rsidRPr="009F36E0">
        <w:rPr>
          <w:rStyle w:val="ac"/>
          <w:rFonts w:ascii="Narkisim" w:hAnsi="Narkisim" w:cs="Narkisim"/>
          <w:rtl/>
        </w:rPr>
        <w:footnoteReference w:id="1479"/>
      </w:r>
      <w:r w:rsidRPr="009F36E0">
        <w:rPr>
          <w:rFonts w:ascii="Narkisim" w:hAnsi="Narkisim" w:cs="Narkisim"/>
        </w:rPr>
        <w:t>.</w:t>
      </w:r>
    </w:p>
    <w:p w14:paraId="63296264"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רמב"ם</w:t>
      </w:r>
      <w:r w:rsidRPr="009F36E0">
        <w:rPr>
          <w:rFonts w:ascii="Narkisim" w:hAnsi="Narkisim"/>
          <w:rtl/>
        </w:rPr>
        <w:t xml:space="preserve"> </w:t>
      </w:r>
      <w:r w:rsidRPr="009F36E0">
        <w:rPr>
          <w:rFonts w:ascii="Narkisim" w:hAnsi="Narkisim"/>
          <w:sz w:val="20"/>
          <w:szCs w:val="20"/>
          <w:rtl/>
        </w:rPr>
        <w:t>(סוטה ב יג,יד)</w:t>
      </w:r>
      <w:r w:rsidRPr="009F36E0">
        <w:rPr>
          <w:rFonts w:ascii="Narkisim" w:hAnsi="Narkisim"/>
          <w:rtl/>
        </w:rPr>
        <w:t xml:space="preserve"> פסק דבעינן תרוייהו דבר מכוער וקול</w:t>
      </w:r>
      <w:r w:rsidRPr="009F36E0">
        <w:rPr>
          <w:rStyle w:val="ac"/>
          <w:rFonts w:ascii="Narkisim" w:hAnsi="Narkisim"/>
          <w:rtl/>
        </w:rPr>
        <w:footnoteReference w:id="1480"/>
      </w:r>
      <w:r w:rsidRPr="009F36E0">
        <w:rPr>
          <w:rFonts w:ascii="Narkisim" w:hAnsi="Narkisim"/>
        </w:rPr>
        <w:t xml:space="preserve">. </w:t>
      </w:r>
      <w:r w:rsidRPr="009F36E0">
        <w:rPr>
          <w:rFonts w:ascii="Narkisim" w:hAnsi="Narkisim"/>
          <w:rtl/>
        </w:rPr>
        <w:t>ולפ"ז תי' הגמ' דמלבד הקול היה ג"כ כיעור. וה</w:t>
      </w:r>
      <w:r w:rsidRPr="009F36E0">
        <w:rPr>
          <w:rFonts w:ascii="Narkisim" w:hAnsi="Narkisim"/>
          <w:b/>
          <w:bCs/>
          <w:rtl/>
        </w:rPr>
        <w:t>רא"ש</w:t>
      </w:r>
      <w:r w:rsidRPr="009F36E0">
        <w:rPr>
          <w:rFonts w:ascii="Narkisim" w:hAnsi="Narkisim"/>
          <w:rtl/>
        </w:rPr>
        <w:t xml:space="preserve"> הביא בשם </w:t>
      </w:r>
      <w:r w:rsidRPr="009F36E0">
        <w:rPr>
          <w:rFonts w:ascii="Narkisim" w:hAnsi="Narkisim"/>
          <w:b/>
          <w:bCs/>
          <w:rtl/>
        </w:rPr>
        <w:t>ר' מאיר</w:t>
      </w:r>
      <w:r w:rsidRPr="009F36E0">
        <w:rPr>
          <w:rFonts w:ascii="Narkisim" w:hAnsi="Narkisim"/>
          <w:rtl/>
        </w:rPr>
        <w:t xml:space="preserve"> דרבי ס"ל דאף כשהבעל ראה דבר מכוער נאסרה עליו</w:t>
      </w:r>
      <w:r w:rsidRPr="009F36E0">
        <w:rPr>
          <w:rFonts w:ascii="Narkisim" w:hAnsi="Narkisim"/>
        </w:rPr>
        <w:t>.</w:t>
      </w:r>
    </w:p>
    <w:p w14:paraId="45B088AB" w14:textId="77777777" w:rsidR="006074A5" w:rsidRPr="009F36E0" w:rsidRDefault="006074A5" w:rsidP="006074A5">
      <w:pPr>
        <w:bidi/>
        <w:rPr>
          <w:rFonts w:ascii="Narkisim" w:hAnsi="Narkisim" w:cs="Narkisim"/>
        </w:rPr>
      </w:pPr>
      <w:r w:rsidRPr="009F36E0">
        <w:rPr>
          <w:rFonts w:ascii="Narkisim" w:hAnsi="Narkisim" w:cs="Narkisim"/>
          <w:u w:val="single"/>
          <w:rtl/>
        </w:rPr>
        <w:t>תוד"ה אמר.</w:t>
      </w:r>
      <w:r w:rsidRPr="009F36E0">
        <w:rPr>
          <w:rFonts w:ascii="Narkisim" w:hAnsi="Narkisim" w:cs="Narkisim"/>
          <w:rtl/>
        </w:rPr>
        <w:t xml:space="preserve"> אר"ת וכו' דאין האשה נאסרת על בעלה אלא ע"י קינוי וסתירה</w:t>
      </w:r>
      <w:r w:rsidRPr="009F36E0">
        <w:rPr>
          <w:rStyle w:val="ac"/>
          <w:rFonts w:ascii="Narkisim" w:hAnsi="Narkisim" w:cs="Narkisim"/>
          <w:rtl/>
        </w:rPr>
        <w:footnoteReference w:id="1481"/>
      </w: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ראשונים</w:t>
      </w:r>
      <w:r w:rsidRPr="009F36E0">
        <w:rPr>
          <w:rFonts w:ascii="Narkisim" w:hAnsi="Narkisim" w:cs="Narkisim"/>
          <w:rtl/>
        </w:rPr>
        <w:t xml:space="preserve"> הביאו עוד מהגמ' </w:t>
      </w:r>
      <w:r w:rsidRPr="009F36E0">
        <w:rPr>
          <w:rFonts w:ascii="Narkisim" w:hAnsi="Narkisim" w:cs="Narkisim"/>
          <w:szCs w:val="20"/>
          <w:rtl/>
        </w:rPr>
        <w:t xml:space="preserve">(גיטין פט.) </w:t>
      </w:r>
      <w:r w:rsidRPr="009F36E0">
        <w:rPr>
          <w:rFonts w:ascii="Narkisim" w:hAnsi="Narkisim" w:cs="Narkisim"/>
          <w:rtl/>
        </w:rPr>
        <w:t>דילפי' דבר דבר, מה להלן דבר ברור בעדים</w:t>
      </w:r>
      <w:r w:rsidRPr="009F36E0">
        <w:rPr>
          <w:rStyle w:val="ac"/>
          <w:rFonts w:ascii="Narkisim" w:hAnsi="Narkisim" w:cs="Narkisim"/>
          <w:rtl/>
        </w:rPr>
        <w:footnoteReference w:id="1482"/>
      </w:r>
      <w:r w:rsidRPr="009F36E0">
        <w:rPr>
          <w:rFonts w:ascii="Narkisim" w:hAnsi="Narkisim" w:cs="Narkisim"/>
        </w:rPr>
        <w:t xml:space="preserve">. </w:t>
      </w:r>
      <w:r w:rsidRPr="009F36E0">
        <w:rPr>
          <w:rFonts w:ascii="Narkisim" w:hAnsi="Narkisim" w:cs="Narkisim"/>
          <w:rtl/>
        </w:rPr>
        <w:t>ומש"ה ה</w:t>
      </w:r>
      <w:r w:rsidRPr="009F36E0">
        <w:rPr>
          <w:rFonts w:ascii="Narkisim" w:hAnsi="Narkisim" w:cs="Narkisim"/>
          <w:b/>
          <w:bCs/>
          <w:rtl/>
        </w:rPr>
        <w:t>רי"ף</w:t>
      </w:r>
      <w:r w:rsidRPr="009F36E0">
        <w:rPr>
          <w:rFonts w:ascii="Narkisim" w:hAnsi="Narkisim" w:cs="Narkisim"/>
          <w:rtl/>
        </w:rPr>
        <w:t xml:space="preserve"> פסק דאינה נאסרת על בעלה עד שיראה כמנאפים (מכות ז.)</w:t>
      </w:r>
      <w:r w:rsidRPr="009F36E0">
        <w:rPr>
          <w:rFonts w:ascii="Narkisim" w:hAnsi="Narkisim" w:cs="Narkisim"/>
        </w:rPr>
        <w:t>.</w:t>
      </w:r>
    </w:p>
    <w:p w14:paraId="2077E901" w14:textId="77777777" w:rsidR="006074A5" w:rsidRPr="009F36E0" w:rsidRDefault="006074A5" w:rsidP="006074A5">
      <w:pPr>
        <w:pStyle w:val="a7"/>
        <w:bidi/>
        <w:rPr>
          <w:rFonts w:ascii="Narkisim" w:hAnsi="Narkisim"/>
        </w:rPr>
      </w:pPr>
      <w:r w:rsidRPr="009F36E0">
        <w:rPr>
          <w:rFonts w:ascii="Narkisim" w:hAnsi="Narkisim"/>
          <w:rtl/>
        </w:rPr>
        <w:t>אבל לדעת ה</w:t>
      </w:r>
      <w:r w:rsidRPr="009F36E0">
        <w:rPr>
          <w:rFonts w:ascii="Narkisim" w:hAnsi="Narkisim"/>
          <w:b/>
          <w:bCs/>
          <w:rtl/>
        </w:rPr>
        <w:t>שאילתות</w:t>
      </w:r>
      <w:r w:rsidRPr="009F36E0">
        <w:rPr>
          <w:rFonts w:ascii="Narkisim" w:hAnsi="Narkisim"/>
          <w:rtl/>
        </w:rPr>
        <w:t xml:space="preserve"> ו</w:t>
      </w:r>
      <w:r w:rsidRPr="009F36E0">
        <w:rPr>
          <w:rFonts w:ascii="Narkisim" w:hAnsi="Narkisim"/>
          <w:b/>
          <w:bCs/>
          <w:rtl/>
        </w:rPr>
        <w:t>רש"י</w:t>
      </w:r>
      <w:r w:rsidRPr="009F36E0">
        <w:rPr>
          <w:rFonts w:ascii="Narkisim" w:hAnsi="Narkisim"/>
          <w:rtl/>
        </w:rPr>
        <w:t xml:space="preserve"> ע"י עדי כיעור מוציאין. וה</w:t>
      </w:r>
      <w:r w:rsidRPr="009F36E0">
        <w:rPr>
          <w:rFonts w:ascii="Narkisim" w:hAnsi="Narkisim"/>
          <w:b/>
          <w:bCs/>
          <w:rtl/>
        </w:rPr>
        <w:t>רא"ש</w:t>
      </w:r>
      <w:r w:rsidRPr="009F36E0">
        <w:rPr>
          <w:rFonts w:ascii="Narkisim" w:hAnsi="Narkisim"/>
          <w:rtl/>
        </w:rPr>
        <w:t xml:space="preserve"> הביא בשם</w:t>
      </w:r>
      <w:r w:rsidRPr="009F36E0">
        <w:rPr>
          <w:rFonts w:ascii="Narkisim" w:hAnsi="Narkisim"/>
          <w:b/>
          <w:bCs/>
          <w:rtl/>
        </w:rPr>
        <w:t xml:space="preserve"> רבינו מאיר</w:t>
      </w:r>
      <w:r w:rsidRPr="009F36E0">
        <w:rPr>
          <w:rFonts w:ascii="Narkisim" w:hAnsi="Narkisim"/>
          <w:rtl/>
        </w:rPr>
        <w:t xml:space="preserve"> ליישב דעדי כיעור נחשב כעדים </w:t>
      </w:r>
      <w:r w:rsidRPr="009F36E0">
        <w:rPr>
          <w:rFonts w:ascii="Narkisim" w:hAnsi="Narkisim"/>
          <w:sz w:val="20"/>
          <w:szCs w:val="20"/>
          <w:rtl/>
        </w:rPr>
        <w:t>[כדאמרי' (כתובות ט.) דפתח פתוח כב' עדים דמי]</w:t>
      </w:r>
      <w:r w:rsidRPr="009F36E0">
        <w:rPr>
          <w:rFonts w:ascii="Narkisim" w:hAnsi="Narkisim"/>
          <w:rtl/>
        </w:rPr>
        <w:t>. וה</w:t>
      </w:r>
      <w:r w:rsidRPr="009F36E0">
        <w:rPr>
          <w:rFonts w:ascii="Narkisim" w:hAnsi="Narkisim"/>
          <w:b/>
          <w:bCs/>
          <w:rtl/>
        </w:rPr>
        <w:t>רא"ש</w:t>
      </w:r>
      <w:r w:rsidRPr="009F36E0">
        <w:rPr>
          <w:rFonts w:ascii="Narkisim" w:hAnsi="Narkisim"/>
          <w:rtl/>
        </w:rPr>
        <w:t xml:space="preserve"> כת' דהיינו דוקא בעדים, אבל מה שהבעל ראה דבר מכוער אינו אוסר</w:t>
      </w:r>
      <w:r w:rsidRPr="009F36E0">
        <w:rPr>
          <w:rStyle w:val="ac"/>
          <w:rFonts w:ascii="Narkisim" w:hAnsi="Narkisim"/>
          <w:rtl/>
        </w:rPr>
        <w:footnoteReference w:id="1483"/>
      </w:r>
      <w:r w:rsidRPr="009F36E0">
        <w:rPr>
          <w:rFonts w:ascii="Narkisim" w:hAnsi="Narkisim"/>
        </w:rPr>
        <w:t>.</w:t>
      </w:r>
    </w:p>
    <w:p w14:paraId="33329FE2" w14:textId="77777777" w:rsidR="006074A5" w:rsidRPr="009F36E0" w:rsidRDefault="006074A5" w:rsidP="006074A5">
      <w:pPr>
        <w:pStyle w:val="aa"/>
        <w:bidi/>
        <w:rPr>
          <w:rFonts w:ascii="Narkisim" w:hAnsi="Narkisim"/>
        </w:rPr>
      </w:pPr>
      <w:r w:rsidRPr="009F36E0">
        <w:rPr>
          <w:rFonts w:ascii="Narkisim" w:hAnsi="Narkisim"/>
          <w:u w:val="single"/>
          <w:rtl/>
        </w:rPr>
        <w:t>בא"ד והא דאיצטרי' בהנהו עובדי (סוף נדרים צא:) וכו'</w:t>
      </w:r>
      <w:r w:rsidRPr="009F36E0">
        <w:rPr>
          <w:rFonts w:ascii="Narkisim" w:hAnsi="Narkisim"/>
          <w:rtl/>
        </w:rPr>
        <w:t xml:space="preserve">. דמשמע התם דנאסרת ע"י דבר מכוער לחוד. ועד"ז הק' </w:t>
      </w:r>
      <w:r w:rsidRPr="009F36E0">
        <w:rPr>
          <w:rFonts w:ascii="Narkisim" w:hAnsi="Narkisim"/>
          <w:b/>
          <w:bCs/>
          <w:rtl/>
        </w:rPr>
        <w:t xml:space="preserve">תוס' </w:t>
      </w:r>
      <w:r w:rsidRPr="009F36E0">
        <w:rPr>
          <w:rFonts w:ascii="Narkisim" w:hAnsi="Narkisim"/>
          <w:rtl/>
        </w:rPr>
        <w:t>(כתובות יג.) [על הסוגיא דנדרים] דאין אוסרין על היחוד. ותי' דנואף שאני. [וה</w:t>
      </w:r>
      <w:r w:rsidRPr="009F36E0">
        <w:rPr>
          <w:rFonts w:ascii="Narkisim" w:hAnsi="Narkisim"/>
          <w:b/>
          <w:bCs/>
          <w:rtl/>
        </w:rPr>
        <w:t>אחרונים</w:t>
      </w:r>
      <w:r w:rsidRPr="009F36E0">
        <w:rPr>
          <w:rFonts w:ascii="Narkisim" w:hAnsi="Narkisim"/>
          <w:rtl/>
        </w:rPr>
        <w:t xml:space="preserve"> ביארו דבנואף ע"י יחוד נחשב כיעור]</w:t>
      </w:r>
      <w:r w:rsidRPr="009F36E0">
        <w:rPr>
          <w:rFonts w:ascii="Narkisim" w:hAnsi="Narkisim"/>
        </w:rPr>
        <w:t>.</w:t>
      </w:r>
    </w:p>
    <w:p w14:paraId="382C76BF" w14:textId="77777777" w:rsidR="006074A5" w:rsidRPr="009F36E0" w:rsidRDefault="006074A5" w:rsidP="006074A5">
      <w:pPr>
        <w:pStyle w:val="a8"/>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כתב דאף תוס' דידן ס"ל כן, אלא שהקשה דאף אי הוה דבר מכוער אין מוציאין. ולכן בעי' אף שאומרת שנטמאת</w:t>
      </w:r>
      <w:r w:rsidRPr="009F36E0">
        <w:rPr>
          <w:rFonts w:ascii="Narkisim" w:hAnsi="Narkisim"/>
        </w:rPr>
        <w:t>.</w:t>
      </w:r>
    </w:p>
    <w:p w14:paraId="1CD44878" w14:textId="77777777" w:rsidR="006074A5" w:rsidRPr="009F36E0" w:rsidRDefault="006074A5" w:rsidP="006074A5">
      <w:pPr>
        <w:pStyle w:val="aa"/>
        <w:bidi/>
        <w:rPr>
          <w:rFonts w:ascii="Narkisim" w:hAnsi="Narkisim"/>
        </w:rPr>
      </w:pPr>
      <w:r w:rsidRPr="009F36E0">
        <w:rPr>
          <w:rFonts w:ascii="Narkisim" w:hAnsi="Narkisim"/>
          <w:u w:val="single"/>
          <w:rtl/>
        </w:rPr>
        <w:t>בא"ד (בע"א) נר' לר"י דאיירי באומרת טמאה אני לך.</w:t>
      </w:r>
      <w:r w:rsidRPr="009F36E0">
        <w:rPr>
          <w:rFonts w:ascii="Narkisim" w:hAnsi="Narkisim"/>
          <w:rtl/>
        </w:rPr>
        <w:t xml:space="preserve"> ו</w:t>
      </w:r>
      <w:r w:rsidRPr="009F36E0">
        <w:rPr>
          <w:rFonts w:ascii="Narkisim" w:hAnsi="Narkisim"/>
          <w:b/>
          <w:bCs/>
          <w:rtl/>
        </w:rPr>
        <w:t xml:space="preserve">תוס' </w:t>
      </w:r>
      <w:r w:rsidRPr="009F36E0">
        <w:rPr>
          <w:rFonts w:ascii="Narkisim" w:hAnsi="Narkisim"/>
          <w:rtl/>
        </w:rPr>
        <w:t>(כתובות סג:) דחו דבאומרת טמאה אין נראה להתירה מטעם דאירכוסי, דהא שויה נפשה חתיכה דאיסורא (ע' בסמוך). ולכן פי' דשריא לבועל אם גירשה בעלה או מת. ולדברי ה</w:t>
      </w:r>
      <w:r w:rsidRPr="009F36E0">
        <w:rPr>
          <w:rFonts w:ascii="Narkisim" w:hAnsi="Narkisim"/>
          <w:b/>
          <w:bCs/>
          <w:rtl/>
        </w:rPr>
        <w:t>שאלתות</w:t>
      </w:r>
      <w:r w:rsidRPr="009F36E0">
        <w:rPr>
          <w:rFonts w:ascii="Narkisim" w:hAnsi="Narkisim"/>
          <w:rtl/>
        </w:rPr>
        <w:t xml:space="preserve"> הנידון דתצא אף מהבעל</w:t>
      </w:r>
      <w:r w:rsidRPr="009F36E0">
        <w:rPr>
          <w:rFonts w:ascii="Narkisim" w:hAnsi="Narkisim"/>
        </w:rPr>
        <w:t>.</w:t>
      </w:r>
    </w:p>
    <w:p w14:paraId="16ECD739" w14:textId="77777777" w:rsidR="006074A5" w:rsidRPr="009F36E0" w:rsidRDefault="006074A5" w:rsidP="006074A5">
      <w:pPr>
        <w:bidi/>
        <w:rPr>
          <w:rFonts w:ascii="Narkisim" w:hAnsi="Narkisim" w:cs="Narkisim"/>
        </w:rPr>
      </w:pPr>
      <w:r w:rsidRPr="009F36E0">
        <w:rPr>
          <w:rFonts w:ascii="Narkisim" w:hAnsi="Narkisim" w:cs="Narkisim"/>
          <w:u w:val="single"/>
          <w:rtl/>
        </w:rPr>
        <w:t>בא"ד ואין לתמוה, הא שויתה לנפשה חתיכה דאיסורא וכו', לכך נראה לחכמים להתירן</w:t>
      </w:r>
      <w:r w:rsidRPr="009F36E0">
        <w:rPr>
          <w:rFonts w:ascii="Narkisim" w:hAnsi="Narkisim" w:cs="Narkisim"/>
          <w:rtl/>
        </w:rPr>
        <w:t>. ב</w:t>
      </w:r>
      <w:r w:rsidRPr="009F36E0">
        <w:rPr>
          <w:rFonts w:ascii="Narkisim" w:hAnsi="Narkisim" w:cs="Narkisim"/>
          <w:b/>
          <w:bCs/>
          <w:rtl/>
        </w:rPr>
        <w:t>משנה</w:t>
      </w:r>
      <w:r w:rsidRPr="009F36E0">
        <w:rPr>
          <w:rFonts w:ascii="Narkisim" w:hAnsi="Narkisim" w:cs="Narkisim"/>
          <w:rtl/>
        </w:rPr>
        <w:t xml:space="preserve"> (נדרים צ:) אי' דחזרו לומר [למשנה אחרונה] דהאומרת טמאה אני לך אינה נאמנת. </w:t>
      </w:r>
      <w:r w:rsidRPr="009F36E0">
        <w:rPr>
          <w:rFonts w:ascii="Narkisim" w:hAnsi="Narkisim" w:cs="Narkisim"/>
          <w:rtl/>
        </w:rPr>
        <w:lastRenderedPageBreak/>
        <w:t>וה</w:t>
      </w:r>
      <w:r w:rsidRPr="009F36E0">
        <w:rPr>
          <w:rFonts w:ascii="Narkisim" w:hAnsi="Narkisim" w:cs="Narkisim"/>
          <w:b/>
          <w:bCs/>
          <w:rtl/>
        </w:rPr>
        <w:t>ראשונים</w:t>
      </w:r>
      <w:r w:rsidRPr="009F36E0">
        <w:rPr>
          <w:rFonts w:ascii="Narkisim" w:hAnsi="Narkisim" w:cs="Narkisim"/>
          <w:rtl/>
        </w:rPr>
        <w:t xml:space="preserve"> הק' דמ"מ האשה טוענת שאסורה, ושויא אנפשה</w:t>
      </w:r>
      <w:r w:rsidRPr="009F36E0">
        <w:rPr>
          <w:rStyle w:val="ac"/>
          <w:rFonts w:ascii="Narkisim" w:hAnsi="Narkisim" w:cs="Narkisim"/>
          <w:rtl/>
        </w:rPr>
        <w:footnoteReference w:id="1484"/>
      </w:r>
      <w:r w:rsidRPr="009F36E0">
        <w:rPr>
          <w:rFonts w:ascii="Narkisim" w:hAnsi="Narkisim" w:cs="Narkisim"/>
        </w:rPr>
        <w:t>.</w:t>
      </w:r>
    </w:p>
    <w:p w14:paraId="17095EF4"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xml:space="preserve"> (שם) תי' דיש כח ביד חכמים לעקור דבריה</w:t>
      </w:r>
      <w:r w:rsidRPr="009F36E0">
        <w:rPr>
          <w:rStyle w:val="ac"/>
          <w:rFonts w:ascii="Narkisim" w:hAnsi="Narkisim"/>
          <w:rtl/>
        </w:rPr>
        <w:footnoteReference w:id="1485"/>
      </w:r>
      <w:r w:rsidRPr="009F36E0">
        <w:rPr>
          <w:rFonts w:ascii="Narkisim" w:hAnsi="Narkisim"/>
        </w:rPr>
        <w:t xml:space="preserve">, </w:t>
      </w:r>
      <w:r w:rsidRPr="009F36E0">
        <w:rPr>
          <w:rFonts w:ascii="Narkisim" w:hAnsi="Narkisim"/>
          <w:rtl/>
        </w:rPr>
        <w:t>כיון דיש סברא גדולה דעיניה נתנה באחר</w:t>
      </w:r>
      <w:r w:rsidRPr="009F36E0">
        <w:rPr>
          <w:rFonts w:ascii="Narkisim" w:hAnsi="Narkisim"/>
        </w:rPr>
        <w:t>.</w:t>
      </w:r>
    </w:p>
    <w:p w14:paraId="5D8C87C9"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ר"ן</w:t>
      </w:r>
      <w:r w:rsidRPr="009F36E0">
        <w:rPr>
          <w:rFonts w:ascii="Narkisim" w:hAnsi="Narkisim"/>
          <w:rtl/>
        </w:rPr>
        <w:t xml:space="preserve"> (שם) הביא בשם </w:t>
      </w:r>
      <w:r w:rsidRPr="009F36E0">
        <w:rPr>
          <w:rFonts w:ascii="Narkisim" w:hAnsi="Narkisim"/>
          <w:b/>
          <w:bCs/>
          <w:rtl/>
        </w:rPr>
        <w:t>אחרים</w:t>
      </w:r>
      <w:r w:rsidRPr="009F36E0">
        <w:rPr>
          <w:rFonts w:ascii="Narkisim" w:hAnsi="Narkisim"/>
          <w:rtl/>
        </w:rPr>
        <w:t xml:space="preserve"> דל"ש שויא אנפשיה כיון דמשועבדת לבעל</w:t>
      </w:r>
      <w:r w:rsidRPr="009F36E0">
        <w:rPr>
          <w:rStyle w:val="ac"/>
          <w:rFonts w:ascii="Narkisim" w:hAnsi="Narkisim"/>
          <w:rtl/>
        </w:rPr>
        <w:footnoteReference w:id="1486"/>
      </w:r>
      <w:r w:rsidRPr="009F36E0">
        <w:rPr>
          <w:rFonts w:ascii="Narkisim" w:hAnsi="Narkisim"/>
        </w:rPr>
        <w:t xml:space="preserve">. </w:t>
      </w:r>
      <w:r w:rsidRPr="009F36E0">
        <w:rPr>
          <w:rFonts w:ascii="Narkisim" w:hAnsi="Narkisim"/>
          <w:sz w:val="20"/>
          <w:szCs w:val="20"/>
          <w:rtl/>
        </w:rPr>
        <w:t xml:space="preserve">ולשון </w:t>
      </w:r>
      <w:r w:rsidRPr="009F36E0">
        <w:rPr>
          <w:rFonts w:ascii="Narkisim" w:hAnsi="Narkisim"/>
          <w:b/>
          <w:bCs/>
          <w:sz w:val="20"/>
          <w:szCs w:val="20"/>
          <w:rtl/>
        </w:rPr>
        <w:t>תוס</w:t>
      </w:r>
      <w:r w:rsidRPr="009F36E0">
        <w:rPr>
          <w:rFonts w:ascii="Narkisim" w:hAnsi="Narkisim"/>
          <w:sz w:val="20"/>
          <w:szCs w:val="20"/>
          <w:rtl/>
        </w:rPr>
        <w:t>' דידן משמע כתוס' דהוה היתר חכמים, אלא שהקשה דמ"מ כיון דאיכא כיעור מסתבר לאסור. ותי' דאפ"ה התירו</w:t>
      </w:r>
      <w:r w:rsidRPr="009F36E0">
        <w:rPr>
          <w:rFonts w:ascii="Narkisim" w:hAnsi="Narkisim"/>
          <w:sz w:val="20"/>
          <w:szCs w:val="20"/>
        </w:rPr>
        <w:t>.</w:t>
      </w:r>
    </w:p>
    <w:p w14:paraId="73421F5B"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רמ"א</w:t>
      </w:r>
      <w:r w:rsidRPr="009F36E0">
        <w:rPr>
          <w:rFonts w:ascii="Narkisim" w:hAnsi="Narkisim"/>
          <w:rtl/>
        </w:rPr>
        <w:t xml:space="preserve"> (קטו ו בשם </w:t>
      </w:r>
      <w:r w:rsidRPr="009F36E0">
        <w:rPr>
          <w:rFonts w:ascii="Narkisim" w:hAnsi="Narkisim"/>
          <w:b/>
          <w:bCs/>
          <w:rtl/>
        </w:rPr>
        <w:t>תה"ד</w:t>
      </w:r>
      <w:r w:rsidRPr="009F36E0">
        <w:rPr>
          <w:rFonts w:ascii="Narkisim" w:hAnsi="Narkisim"/>
          <w:rtl/>
        </w:rPr>
        <w:t xml:space="preserve"> פסקים רכב) פסק דכשיש דבר המכוער, ואומרת טמאה אני לך, נאמנת לאוסרה על בעלה. ו</w:t>
      </w:r>
      <w:r w:rsidRPr="009F36E0">
        <w:rPr>
          <w:rFonts w:ascii="Narkisim" w:hAnsi="Narkisim"/>
          <w:b/>
          <w:bCs/>
          <w:rtl/>
        </w:rPr>
        <w:t>רע"א</w:t>
      </w:r>
      <w:r w:rsidRPr="009F36E0">
        <w:rPr>
          <w:rFonts w:ascii="Narkisim" w:hAnsi="Narkisim"/>
          <w:rtl/>
        </w:rPr>
        <w:t xml:space="preserve"> (ק' פח) כת' דכוונת התה"ד מדין שויא אנפשה, ובמקום דבר המכוער לא העמידו דבריהם. אבל מה שאומרת טמאה אני לך לא נחשב רגלים לדבר</w:t>
      </w:r>
      <w:r w:rsidRPr="009F36E0">
        <w:rPr>
          <w:rFonts w:ascii="Narkisim" w:hAnsi="Narkisim"/>
        </w:rPr>
        <w:t>.</w:t>
      </w:r>
    </w:p>
    <w:p w14:paraId="4AB9D121" w14:textId="77777777" w:rsidR="006074A5" w:rsidRPr="009F36E0" w:rsidRDefault="006074A5" w:rsidP="006074A5">
      <w:pPr>
        <w:pStyle w:val="3"/>
        <w:bidi/>
        <w:rPr>
          <w:rFonts w:ascii="Narkisim" w:hAnsi="Narkisim"/>
        </w:rPr>
      </w:pPr>
      <w:r w:rsidRPr="009F36E0">
        <w:rPr>
          <w:rFonts w:ascii="Narkisim" w:hAnsi="Narkisim"/>
          <w:rtl/>
        </w:rPr>
        <w:t>דף כה</w:t>
      </w:r>
      <w:r w:rsidRPr="009F36E0">
        <w:rPr>
          <w:rFonts w:ascii="Narkisim" w:hAnsi="Narkisim"/>
        </w:rPr>
        <w:t>.</w:t>
      </w:r>
    </w:p>
    <w:p w14:paraId="5598CE8E" w14:textId="77777777" w:rsidR="006074A5" w:rsidRPr="009F36E0" w:rsidRDefault="006074A5" w:rsidP="006074A5">
      <w:pPr>
        <w:pStyle w:val="aa"/>
        <w:bidi/>
        <w:rPr>
          <w:rFonts w:ascii="Narkisim" w:hAnsi="Narkisim"/>
        </w:rPr>
      </w:pPr>
      <w:r w:rsidRPr="009F36E0">
        <w:rPr>
          <w:rFonts w:ascii="Narkisim" w:hAnsi="Narkisim"/>
          <w:u w:val="single"/>
          <w:rtl/>
        </w:rPr>
        <w:t>קלא דלא פסיק, כרבי.</w:t>
      </w:r>
      <w:r w:rsidRPr="009F36E0">
        <w:rPr>
          <w:rFonts w:ascii="Narkisim" w:hAnsi="Narkisim"/>
          <w:rtl/>
        </w:rPr>
        <w:t xml:space="preserve"> פי' </w:t>
      </w:r>
      <w:r w:rsidRPr="009F36E0">
        <w:rPr>
          <w:rFonts w:ascii="Narkisim" w:hAnsi="Narkisim"/>
          <w:b/>
          <w:bCs/>
          <w:rtl/>
        </w:rPr>
        <w:t>תוס</w:t>
      </w:r>
      <w:r w:rsidRPr="009F36E0">
        <w:rPr>
          <w:rFonts w:ascii="Narkisim" w:hAnsi="Narkisim"/>
          <w:rtl/>
        </w:rPr>
        <w:t>' ולהלכה מוציאין ע"י קול, בלא עדים [ודלא כרב]. וה</w:t>
      </w:r>
      <w:r w:rsidRPr="009F36E0">
        <w:rPr>
          <w:rFonts w:ascii="Narkisim" w:hAnsi="Narkisim"/>
          <w:b/>
          <w:bCs/>
          <w:rtl/>
        </w:rPr>
        <w:t>רשב"א</w:t>
      </w:r>
      <w:r w:rsidRPr="009F36E0">
        <w:rPr>
          <w:rFonts w:ascii="Narkisim" w:hAnsi="Narkisim"/>
          <w:rtl/>
        </w:rPr>
        <w:t xml:space="preserve"> (כד:) כת' דהיינו כשאין לה בנים. וכתב א"נ דאיירי כשיש עדי כיעור, וע"י קול מוציאין אף כשיש בנים</w:t>
      </w:r>
      <w:r w:rsidRPr="009F36E0">
        <w:rPr>
          <w:rFonts w:ascii="Narkisim" w:hAnsi="Narkisim"/>
        </w:rPr>
        <w:t>.</w:t>
      </w:r>
    </w:p>
    <w:p w14:paraId="6239092E" w14:textId="77777777" w:rsidR="006074A5" w:rsidRPr="009F36E0" w:rsidRDefault="006074A5" w:rsidP="006074A5">
      <w:pPr>
        <w:bidi/>
        <w:rPr>
          <w:rFonts w:ascii="Narkisim" w:hAnsi="Narkisim" w:cs="Narkisim"/>
        </w:rPr>
      </w:pPr>
      <w:r w:rsidRPr="009F36E0">
        <w:rPr>
          <w:rFonts w:ascii="Narkisim" w:hAnsi="Narkisim" w:cs="Narkisim"/>
          <w:u w:val="single"/>
          <w:rtl/>
        </w:rPr>
        <w:t>קלא דפסיק ואיכא עדים בדבר מכוער כרב.</w:t>
      </w:r>
      <w:r w:rsidRPr="009F36E0">
        <w:rPr>
          <w:rFonts w:ascii="Narkisim" w:hAnsi="Narkisim" w:cs="Narkisim"/>
          <w:rtl/>
        </w:rPr>
        <w:t xml:space="preserve"> </w:t>
      </w:r>
      <w:r w:rsidRPr="009F36E0">
        <w:rPr>
          <w:rFonts w:ascii="Narkisim" w:hAnsi="Narkisim" w:cs="Narkisim"/>
          <w:sz w:val="20"/>
          <w:szCs w:val="20"/>
          <w:rtl/>
        </w:rPr>
        <w:t>[אפי' שיש בנים].</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rtl/>
        </w:rPr>
        <w:t xml:space="preserve"> כת' דאף קלא דלא פסיק וליכא עדים </w:t>
      </w:r>
      <w:r w:rsidRPr="009F36E0">
        <w:rPr>
          <w:rFonts w:ascii="Narkisim" w:hAnsi="Narkisim" w:cs="Narkisim"/>
          <w:sz w:val="20"/>
          <w:szCs w:val="20"/>
          <w:rtl/>
        </w:rPr>
        <w:t>[ולדינא בעינן תרתי],</w:t>
      </w:r>
      <w:r w:rsidRPr="009F36E0">
        <w:rPr>
          <w:rFonts w:ascii="Narkisim" w:hAnsi="Narkisim" w:cs="Narkisim"/>
          <w:rtl/>
        </w:rPr>
        <w:t xml:space="preserve"> ולרבי אפי' לא פסיק. אבל ה</w:t>
      </w:r>
      <w:r w:rsidRPr="009F36E0">
        <w:rPr>
          <w:rFonts w:ascii="Narkisim" w:hAnsi="Narkisim" w:cs="Narkisim"/>
          <w:b/>
          <w:bCs/>
          <w:rtl/>
        </w:rPr>
        <w:t>אבנ"מ</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יא ד)</w:t>
      </w:r>
      <w:r w:rsidRPr="009F36E0">
        <w:rPr>
          <w:rFonts w:ascii="Narkisim" w:hAnsi="Narkisim" w:cs="Narkisim"/>
          <w:rtl/>
        </w:rPr>
        <w:t xml:space="preserve"> הביא בשם ה</w:t>
      </w:r>
      <w:r w:rsidRPr="009F36E0">
        <w:rPr>
          <w:rFonts w:ascii="Narkisim" w:hAnsi="Narkisim" w:cs="Narkisim"/>
          <w:b/>
          <w:bCs/>
          <w:rtl/>
        </w:rPr>
        <w:t>עיטור</w:t>
      </w:r>
      <w:r w:rsidRPr="009F36E0">
        <w:rPr>
          <w:rFonts w:ascii="Narkisim" w:hAnsi="Narkisim" w:cs="Narkisim"/>
          <w:rtl/>
        </w:rPr>
        <w:t xml:space="preserve"> </w:t>
      </w:r>
      <w:r w:rsidRPr="009F36E0">
        <w:rPr>
          <w:rFonts w:ascii="Narkisim" w:hAnsi="Narkisim" w:cs="Narkisim"/>
          <w:sz w:val="20"/>
          <w:szCs w:val="20"/>
          <w:rtl/>
        </w:rPr>
        <w:t xml:space="preserve">[ע"פ הירושלמי] </w:t>
      </w:r>
      <w:r w:rsidRPr="009F36E0">
        <w:rPr>
          <w:rFonts w:ascii="Narkisim" w:hAnsi="Narkisim" w:cs="Narkisim"/>
          <w:rtl/>
        </w:rPr>
        <w:t>דבקלא דפסיק מותר</w:t>
      </w:r>
      <w:r w:rsidRPr="009F36E0">
        <w:rPr>
          <w:rFonts w:ascii="Narkisim" w:hAnsi="Narkisim" w:cs="Narkisim"/>
        </w:rPr>
        <w:t>.</w:t>
      </w:r>
    </w:p>
    <w:p w14:paraId="4122239F" w14:textId="77777777" w:rsidR="006074A5" w:rsidRPr="009F36E0" w:rsidRDefault="006074A5" w:rsidP="006074A5">
      <w:pPr>
        <w:bidi/>
        <w:rPr>
          <w:rFonts w:ascii="Narkisim" w:hAnsi="Narkisim" w:cs="Narkisim"/>
        </w:rPr>
      </w:pPr>
      <w:r w:rsidRPr="009F36E0">
        <w:rPr>
          <w:rFonts w:ascii="Narkisim" w:hAnsi="Narkisim" w:cs="Narkisim"/>
          <w:u w:val="single"/>
          <w:rtl/>
        </w:rPr>
        <w:t>תנן התם המוציא את אשתו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דחיישינן שמא יתירו את הנדר, והמגרש יאמר אילו הייתי יודע וכו', נמצא מבטל הגט למפרע ועוקרו, ובניה ממזרים. וכ"ה ב</w:t>
      </w:r>
      <w:r w:rsidRPr="009F36E0">
        <w:rPr>
          <w:rFonts w:ascii="Narkisim" w:hAnsi="Narkisim" w:cs="Narkisim"/>
          <w:b/>
          <w:bCs/>
          <w:rtl/>
        </w:rPr>
        <w:t>גמ</w:t>
      </w:r>
      <w:r w:rsidRPr="009F36E0">
        <w:rPr>
          <w:rFonts w:ascii="Narkisim" w:hAnsi="Narkisim" w:cs="Narkisim"/>
          <w:rtl/>
        </w:rPr>
        <w:t>' (גיטין מו.) ללישנא קמא הטעם משום קלקולא.</w:t>
      </w:r>
      <w:r w:rsidRPr="009F36E0">
        <w:rPr>
          <w:rFonts w:ascii="Narkisim" w:hAnsi="Narkisim" w:cs="Narkisim"/>
          <w:sz w:val="20"/>
          <w:szCs w:val="20"/>
          <w:rtl/>
        </w:rPr>
        <w:t xml:space="preserve"> ואיירי דוקא כשאמר משום נדר ושם רע אני מוציא</w:t>
      </w:r>
      <w:r w:rsidRPr="009F36E0">
        <w:rPr>
          <w:rFonts w:ascii="Narkisim" w:hAnsi="Narkisim" w:cs="Narkisim"/>
          <w:sz w:val="20"/>
          <w:szCs w:val="20"/>
        </w:rPr>
        <w:t>.</w:t>
      </w:r>
    </w:p>
    <w:p w14:paraId="55BD528B" w14:textId="77777777" w:rsidR="006074A5" w:rsidRPr="009F36E0" w:rsidRDefault="006074A5" w:rsidP="006074A5">
      <w:pPr>
        <w:pStyle w:val="a7"/>
        <w:bidi/>
        <w:rPr>
          <w:rFonts w:ascii="Narkisim" w:hAnsi="Narkisim"/>
        </w:rPr>
      </w:pPr>
      <w:r w:rsidRPr="009F36E0">
        <w:rPr>
          <w:rFonts w:ascii="Narkisim" w:hAnsi="Narkisim"/>
          <w:rtl/>
        </w:rPr>
        <w:t xml:space="preserve">וללישנא בתרא (שם) משום קנס לא יחזיר, שלא יהיו פרוצות בעריות ונדרים. </w:t>
      </w:r>
      <w:r w:rsidRPr="009F36E0">
        <w:rPr>
          <w:rFonts w:ascii="Narkisim" w:hAnsi="Narkisim"/>
          <w:sz w:val="20"/>
          <w:szCs w:val="20"/>
          <w:rtl/>
        </w:rPr>
        <w:t>ותקנו שיאמר משום נדר וכו</w:t>
      </w:r>
      <w:r w:rsidRPr="009F36E0">
        <w:rPr>
          <w:rFonts w:ascii="Narkisim" w:hAnsi="Narkisim"/>
          <w:sz w:val="20"/>
          <w:szCs w:val="20"/>
        </w:rPr>
        <w:t>'.</w:t>
      </w:r>
    </w:p>
    <w:p w14:paraId="5B1478C9"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xml:space="preserve"> וה</w:t>
      </w:r>
      <w:r w:rsidRPr="009F36E0">
        <w:rPr>
          <w:rFonts w:ascii="Narkisim" w:hAnsi="Narkisim"/>
          <w:b/>
          <w:bCs/>
          <w:rtl/>
        </w:rPr>
        <w:t>ראשונים</w:t>
      </w:r>
      <w:r w:rsidRPr="009F36E0">
        <w:rPr>
          <w:rFonts w:ascii="Narkisim" w:hAnsi="Narkisim"/>
          <w:rtl/>
        </w:rPr>
        <w:t xml:space="preserve"> הקשו מה ס"ד דמקשן, הא בסוגיין ל"ש הנך טעמי</w:t>
      </w:r>
      <w:r w:rsidRPr="009F36E0">
        <w:rPr>
          <w:rStyle w:val="ac"/>
          <w:rFonts w:ascii="Narkisim" w:hAnsi="Narkisim"/>
          <w:rtl/>
        </w:rPr>
        <w:footnoteReference w:id="1487"/>
      </w:r>
      <w:r w:rsidRPr="009F36E0">
        <w:rPr>
          <w:rFonts w:ascii="Narkisim" w:hAnsi="Narkisim"/>
        </w:rPr>
        <w:t xml:space="preserve">. </w:t>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כת' דכוונת הגמ' משום הגזירה דהתם. ואפ"ה הגמ' מדמה לסוגיין היכא דאמרו חכמים שלא יחזיר, האם החמירו בדיעבד. </w:t>
      </w:r>
      <w:r w:rsidRPr="009F36E0">
        <w:rPr>
          <w:rFonts w:ascii="Narkisim" w:hAnsi="Narkisim"/>
          <w:sz w:val="20"/>
          <w:szCs w:val="20"/>
          <w:rtl/>
        </w:rPr>
        <w:t xml:space="preserve">ולא דמי לנטען על השפחה דאמרו חכמים, ואם כנס אינו מוציא, דהתם ליכא אלא </w:t>
      </w:r>
      <w:r w:rsidRPr="009F36E0">
        <w:rPr>
          <w:rFonts w:ascii="Narkisim" w:hAnsi="Narkisim"/>
          <w:i/>
          <w:iCs/>
          <w:sz w:val="20"/>
          <w:szCs w:val="20"/>
          <w:rtl/>
        </w:rPr>
        <w:t>רננה</w:t>
      </w:r>
      <w:r w:rsidRPr="009F36E0">
        <w:rPr>
          <w:rFonts w:ascii="Narkisim" w:hAnsi="Narkisim"/>
          <w:sz w:val="20"/>
          <w:szCs w:val="20"/>
          <w:rtl/>
        </w:rPr>
        <w:t xml:space="preserve"> בעלמא [וכדאי' לקמן כו.]</w:t>
      </w:r>
      <w:r w:rsidRPr="009F36E0">
        <w:rPr>
          <w:rFonts w:ascii="Narkisim" w:hAnsi="Narkisim"/>
          <w:sz w:val="20"/>
          <w:szCs w:val="20"/>
        </w:rPr>
        <w:t>.</w:t>
      </w:r>
    </w:p>
    <w:p w14:paraId="3B6A8C24" w14:textId="77777777" w:rsidR="006074A5" w:rsidRPr="009F36E0" w:rsidRDefault="006074A5" w:rsidP="006074A5">
      <w:pPr>
        <w:pStyle w:val="a7"/>
        <w:bidi/>
        <w:rPr>
          <w:rFonts w:ascii="Narkisim" w:hAnsi="Narkisim"/>
        </w:rPr>
      </w:pPr>
      <w:r w:rsidRPr="009F36E0">
        <w:rPr>
          <w:rFonts w:ascii="Narkisim" w:hAnsi="Narkisim"/>
          <w:rtl/>
        </w:rPr>
        <w:t xml:space="preserve">אבל </w:t>
      </w:r>
      <w:r w:rsidRPr="009F36E0">
        <w:rPr>
          <w:rFonts w:ascii="Narkisim" w:hAnsi="Narkisim"/>
          <w:b/>
          <w:bCs/>
          <w:rtl/>
        </w:rPr>
        <w:t>תוס</w:t>
      </w:r>
      <w:r w:rsidRPr="009F36E0">
        <w:rPr>
          <w:rFonts w:ascii="Narkisim" w:hAnsi="Narkisim"/>
          <w:rtl/>
        </w:rPr>
        <w:t>' (ד"ה ואכתי) כתבו דס"ד דהגמ' כאן דבמשנה דהתם יש טעם אחר שם</w:t>
      </w:r>
      <w:r w:rsidRPr="009F36E0">
        <w:rPr>
          <w:rFonts w:ascii="Narkisim" w:hAnsi="Narkisim"/>
        </w:rPr>
        <w:t>.</w:t>
      </w:r>
    </w:p>
    <w:p w14:paraId="018F01BF"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(בחי' וס' הזכות) כת' דקו' הגמ' דמשמע דהמשנה שם איירי בכל ענין, אפי' לא נתברר דהוה שקר. והוה מוציא את אשתו משום שם רע [וכסוגיין]. וסוגיא דהתם איירי לאחר שנתברר שהשם רע אינו</w:t>
      </w:r>
      <w:r w:rsidRPr="009F36E0">
        <w:rPr>
          <w:rFonts w:ascii="Narkisim" w:hAnsi="Narkisim"/>
        </w:rPr>
        <w:t>.</w:t>
      </w:r>
    </w:p>
    <w:p w14:paraId="6642A67F" w14:textId="77777777" w:rsidR="006074A5" w:rsidRPr="009F36E0" w:rsidRDefault="006074A5" w:rsidP="006074A5">
      <w:pPr>
        <w:pStyle w:val="aa"/>
        <w:bidi/>
        <w:rPr>
          <w:rFonts w:ascii="Narkisim" w:hAnsi="Narkisim"/>
        </w:rPr>
      </w:pPr>
      <w:r w:rsidRPr="009F36E0">
        <w:rPr>
          <w:rFonts w:ascii="Narkisim" w:hAnsi="Narkisim"/>
          <w:u w:val="single"/>
          <w:rtl/>
        </w:rPr>
        <w:t>ולא היא התם אלומי לקלא וכו'.</w:t>
      </w:r>
      <w:r w:rsidRPr="009F36E0">
        <w:rPr>
          <w:rFonts w:ascii="Narkisim" w:hAnsi="Narkisim"/>
          <w:rtl/>
        </w:rPr>
        <w:t xml:space="preserve"> ה</w:t>
      </w:r>
      <w:r w:rsidRPr="009F36E0">
        <w:rPr>
          <w:rFonts w:ascii="Narkisim" w:hAnsi="Narkisim"/>
          <w:b/>
          <w:bCs/>
          <w:rtl/>
        </w:rPr>
        <w:t>ראב"ד</w:t>
      </w:r>
      <w:r w:rsidRPr="009F36E0">
        <w:rPr>
          <w:rFonts w:ascii="Narkisim" w:hAnsi="Narkisim"/>
          <w:rtl/>
        </w:rPr>
        <w:t xml:space="preserve"> (בהשגות לרי"ף כאן וגיטין) כת' דסוגיין קאי למ"ד משום פריצותא, אבל למ"ד משום קלקולא, כיון דבררו דהקול אינו אמת יש לחוש טפי לקלקול</w:t>
      </w:r>
      <w:r w:rsidRPr="009F36E0">
        <w:rPr>
          <w:rStyle w:val="ac"/>
          <w:rFonts w:ascii="Narkisim" w:hAnsi="Narkisim"/>
          <w:rtl/>
        </w:rPr>
        <w:footnoteReference w:id="1488"/>
      </w:r>
      <w:r w:rsidRPr="009F36E0">
        <w:rPr>
          <w:rFonts w:ascii="Narkisim" w:hAnsi="Narkisim"/>
        </w:rPr>
        <w:t xml:space="preserve">. </w:t>
      </w:r>
      <w:r w:rsidRPr="009F36E0">
        <w:rPr>
          <w:rFonts w:ascii="Narkisim" w:hAnsi="Narkisim"/>
          <w:rtl/>
        </w:rPr>
        <w:t>וה</w:t>
      </w:r>
      <w:r w:rsidRPr="009F36E0">
        <w:rPr>
          <w:rFonts w:ascii="Narkisim" w:hAnsi="Narkisim"/>
          <w:b/>
          <w:bCs/>
          <w:rtl/>
        </w:rPr>
        <w:t>ראב"ד</w:t>
      </w:r>
      <w:r w:rsidRPr="009F36E0">
        <w:rPr>
          <w:rFonts w:ascii="Narkisim" w:hAnsi="Narkisim"/>
          <w:rtl/>
        </w:rPr>
        <w:t xml:space="preserve"> נקט דהנידון בסוגיין משום ב' לשונות דגמ' בגיטין. אבל תוס' (ושא"ר הנ"ל) כת' דסוגיין לא קאי משום גזירות דהתם. [הו' לעיל]</w:t>
      </w:r>
      <w:r w:rsidRPr="009F36E0">
        <w:rPr>
          <w:rFonts w:ascii="Narkisim" w:hAnsi="Narkisim"/>
        </w:rPr>
        <w:t>.</w:t>
      </w:r>
    </w:p>
    <w:p w14:paraId="25FA3320" w14:textId="77777777" w:rsidR="006074A5" w:rsidRPr="009F36E0" w:rsidRDefault="006074A5" w:rsidP="006074A5">
      <w:pPr>
        <w:pStyle w:val="aa"/>
        <w:bidi/>
        <w:rPr>
          <w:rFonts w:ascii="Narkisim" w:hAnsi="Narkisim"/>
        </w:rPr>
      </w:pPr>
      <w:r w:rsidRPr="009F36E0">
        <w:rPr>
          <w:rFonts w:ascii="Narkisim" w:hAnsi="Narkisim"/>
          <w:rtl/>
        </w:rPr>
        <w:t>ה</w:t>
      </w:r>
      <w:r w:rsidRPr="009F36E0">
        <w:rPr>
          <w:rFonts w:ascii="Narkisim" w:hAnsi="Narkisim"/>
          <w:b/>
          <w:bCs/>
          <w:rtl/>
        </w:rPr>
        <w:t>רי"ף</w:t>
      </w:r>
      <w:r w:rsidRPr="009F36E0">
        <w:rPr>
          <w:rFonts w:ascii="Narkisim" w:hAnsi="Narkisim"/>
          <w:rtl/>
        </w:rPr>
        <w:t xml:space="preserve"> (גיטין שם כד. בדה"ס) הביא את סוגיין דכנס אי"צ להוציא, דאמרי' דקם להו בקליה וליתיה. וה</w:t>
      </w:r>
      <w:r w:rsidRPr="009F36E0">
        <w:rPr>
          <w:rFonts w:ascii="Narkisim" w:hAnsi="Narkisim"/>
          <w:b/>
          <w:bCs/>
          <w:rtl/>
        </w:rPr>
        <w:t>ראב"ד</w:t>
      </w:r>
      <w:r w:rsidRPr="009F36E0">
        <w:rPr>
          <w:rFonts w:ascii="Narkisim" w:hAnsi="Narkisim"/>
          <w:rtl/>
        </w:rPr>
        <w:t xml:space="preserve"> (לרי"ף כאן ושם) השיג דתלי בב' לשונות דסוגיא. וה</w:t>
      </w:r>
      <w:r w:rsidRPr="009F36E0">
        <w:rPr>
          <w:rFonts w:ascii="Narkisim" w:hAnsi="Narkisim"/>
          <w:b/>
          <w:bCs/>
          <w:rtl/>
        </w:rPr>
        <w:t>רמב"ן</w:t>
      </w:r>
      <w:r w:rsidRPr="009F36E0">
        <w:rPr>
          <w:rFonts w:ascii="Narkisim" w:hAnsi="Narkisim"/>
          <w:rtl/>
        </w:rPr>
        <w:t xml:space="preserve"> תי' דלשונות דהתם איירי היכא דנתברר דאינו שם רע. וסוגיא דהכא אפי' לא נתברר אי"צ להוציא. דליכא חשש משום הקול</w:t>
      </w:r>
      <w:r w:rsidRPr="009F36E0">
        <w:rPr>
          <w:rFonts w:ascii="Narkisim" w:hAnsi="Narkisim"/>
        </w:rPr>
        <w:t>.</w:t>
      </w:r>
    </w:p>
    <w:p w14:paraId="0A882187" w14:textId="77777777" w:rsidR="006074A5" w:rsidRPr="009F36E0" w:rsidRDefault="006074A5" w:rsidP="006074A5">
      <w:pPr>
        <w:pStyle w:val="aa"/>
        <w:bidi/>
        <w:rPr>
          <w:rFonts w:ascii="Narkisim" w:hAnsi="Narkisim"/>
        </w:rPr>
      </w:pPr>
      <w:r w:rsidRPr="009F36E0">
        <w:rPr>
          <w:rFonts w:ascii="Narkisim" w:hAnsi="Narkisim"/>
          <w:u w:val="single"/>
          <w:rtl/>
        </w:rPr>
        <w:t>שם</w:t>
      </w:r>
      <w:r w:rsidRPr="009F36E0">
        <w:rPr>
          <w:rFonts w:ascii="Narkisim" w:hAnsi="Narkisim"/>
          <w:rtl/>
        </w:rPr>
        <w:t>. וה</w:t>
      </w:r>
      <w:r w:rsidRPr="009F36E0">
        <w:rPr>
          <w:rFonts w:ascii="Narkisim" w:hAnsi="Narkisim"/>
          <w:b/>
          <w:bCs/>
          <w:rtl/>
        </w:rPr>
        <w:t>אבנ"מ</w:t>
      </w:r>
      <w:r w:rsidRPr="009F36E0">
        <w:rPr>
          <w:rFonts w:ascii="Narkisim" w:hAnsi="Narkisim"/>
          <w:rtl/>
        </w:rPr>
        <w:t xml:space="preserve"> (י ד) הק' כיון דתקנו לומר משום נדר אני מוציאך, ואמרו הוי יודע שאין אתה מחזיר לעולם, א"כ הוה כמי שהתרו בו שלא יכנוס. וב</w:t>
      </w:r>
      <w:r w:rsidRPr="009F36E0">
        <w:rPr>
          <w:rFonts w:ascii="Narkisim" w:hAnsi="Narkisim"/>
          <w:b/>
          <w:bCs/>
          <w:rtl/>
        </w:rPr>
        <w:t>שו"ת הרא"ש</w:t>
      </w:r>
      <w:r w:rsidRPr="009F36E0">
        <w:rPr>
          <w:rFonts w:ascii="Narkisim" w:hAnsi="Narkisim"/>
          <w:rtl/>
        </w:rPr>
        <w:t xml:space="preserve"> (לב ג, הו' בטור קמא, וכ”כ הרשב”א בע”ב) כת' דאם התרו בו, ואח"כ עבר וכנס יוציא</w:t>
      </w:r>
      <w:r w:rsidRPr="009F36E0">
        <w:rPr>
          <w:rFonts w:ascii="Narkisim" w:hAnsi="Narkisim"/>
        </w:rPr>
        <w:t>.</w:t>
      </w:r>
    </w:p>
    <w:p w14:paraId="237AF5C9" w14:textId="77777777" w:rsidR="006074A5" w:rsidRPr="009F36E0" w:rsidRDefault="006074A5" w:rsidP="006074A5">
      <w:pPr>
        <w:pStyle w:val="aa"/>
        <w:bidi/>
        <w:rPr>
          <w:rFonts w:ascii="Narkisim" w:hAnsi="Narkisim"/>
        </w:rPr>
      </w:pPr>
      <w:r w:rsidRPr="009F36E0">
        <w:rPr>
          <w:rFonts w:ascii="Narkisim" w:hAnsi="Narkisim"/>
          <w:u w:val="single"/>
          <w:rtl/>
        </w:rPr>
        <w:t>שם</w:t>
      </w:r>
      <w:r w:rsidRPr="009F36E0">
        <w:rPr>
          <w:rFonts w:ascii="Narkisim" w:hAnsi="Narkisim"/>
          <w:rtl/>
        </w:rPr>
        <w:t>. ה</w:t>
      </w:r>
      <w:r w:rsidRPr="009F36E0">
        <w:rPr>
          <w:rFonts w:ascii="Narkisim" w:hAnsi="Narkisim"/>
          <w:b/>
          <w:bCs/>
          <w:rtl/>
        </w:rPr>
        <w:t>יש"ש</w:t>
      </w:r>
      <w:r w:rsidRPr="009F36E0">
        <w:rPr>
          <w:rFonts w:ascii="Narkisim" w:hAnsi="Narkisim"/>
          <w:rtl/>
        </w:rPr>
        <w:t xml:space="preserve"> (יט, הו' בק"נ ח) כת' דע”פ טעם זה אפי' קידש [ועדיין לא כנס], מ"מ אין מוציאין מידו. [ואף דבאינך דמתני' יש מח' בירושלמי, הכא אי"צ להוציא]</w:t>
      </w:r>
      <w:r w:rsidRPr="009F36E0">
        <w:rPr>
          <w:rFonts w:ascii="Narkisim" w:hAnsi="Narkisim"/>
        </w:rPr>
        <w:t>.</w:t>
      </w:r>
    </w:p>
    <w:p w14:paraId="3F33ED45" w14:textId="77777777" w:rsidR="006074A5" w:rsidRPr="009F36E0" w:rsidRDefault="006074A5" w:rsidP="006074A5">
      <w:pPr>
        <w:pStyle w:val="2"/>
        <w:bidi/>
        <w:rPr>
          <w:rFonts w:ascii="Narkisim" w:hAnsi="Narkisim"/>
        </w:rPr>
      </w:pPr>
      <w:r w:rsidRPr="009F36E0">
        <w:rPr>
          <w:rFonts w:ascii="Narkisim" w:hAnsi="Narkisim"/>
          <w:rtl/>
        </w:rPr>
        <w:lastRenderedPageBreak/>
        <w:t>המעיד לא ישא אשתו</w:t>
      </w:r>
    </w:p>
    <w:p w14:paraId="46225452" w14:textId="77777777" w:rsidR="006074A5" w:rsidRPr="009F36E0" w:rsidRDefault="006074A5" w:rsidP="006074A5">
      <w:pPr>
        <w:bidi/>
        <w:rPr>
          <w:rFonts w:ascii="Narkisim" w:hAnsi="Narkisim" w:cs="Narkisim"/>
        </w:rPr>
      </w:pPr>
      <w:r w:rsidRPr="009F36E0">
        <w:rPr>
          <w:rFonts w:ascii="Narkisim" w:hAnsi="Narkisim" w:cs="Narkisim"/>
          <w:u w:val="single"/>
          <w:rtl/>
        </w:rPr>
        <w:t>מת, הרגתיו, הרגנוהו לא ישא את אשתו.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דעל עדותו היא נשאת, משום לזות שפתיים שמא מעיד שקר. ומשמע דקאי אכולהו. וכן מבואר ב</w:t>
      </w:r>
      <w:r w:rsidRPr="009F36E0">
        <w:rPr>
          <w:rFonts w:ascii="Narkisim" w:hAnsi="Narkisim" w:cs="Narkisim"/>
          <w:b/>
          <w:bCs/>
          <w:rtl/>
        </w:rPr>
        <w:t>תוס'</w:t>
      </w:r>
      <w:r w:rsidRPr="009F36E0">
        <w:rPr>
          <w:rFonts w:ascii="Narkisim" w:hAnsi="Narkisim" w:cs="Narkisim"/>
          <w:rtl/>
        </w:rPr>
        <w:t xml:space="preserve"> (ד"ה מת)</w:t>
      </w:r>
      <w:r w:rsidRPr="009F36E0">
        <w:rPr>
          <w:rFonts w:ascii="Narkisim" w:hAnsi="Narkisim" w:cs="Narkisim"/>
        </w:rPr>
        <w:t>.</w:t>
      </w:r>
    </w:p>
    <w:p w14:paraId="2E09A8FA"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רמב"ם</w:t>
      </w:r>
      <w:r w:rsidRPr="009F36E0">
        <w:rPr>
          <w:rFonts w:ascii="Narkisim" w:hAnsi="Narkisim"/>
          <w:rtl/>
        </w:rPr>
        <w:t xml:space="preserve"> (בפיה"מ) כת' דההורג אסור לישאנה, גזירה שמא כל מי שיחשוק אשת איש יהרוג בעלה וישאנה. וה</w:t>
      </w:r>
      <w:r w:rsidRPr="009F36E0">
        <w:rPr>
          <w:rFonts w:ascii="Narkisim" w:hAnsi="Narkisim"/>
          <w:b/>
          <w:bCs/>
          <w:rtl/>
        </w:rPr>
        <w:t>אחרונים</w:t>
      </w:r>
      <w:r w:rsidRPr="009F36E0">
        <w:rPr>
          <w:rFonts w:ascii="Narkisim" w:hAnsi="Narkisim"/>
          <w:rtl/>
        </w:rPr>
        <w:t xml:space="preserve"> כת' דלפ”ז אפי' כשיש עדים אחרים אסור לו לישאנה</w:t>
      </w:r>
      <w:r w:rsidRPr="009F36E0">
        <w:rPr>
          <w:rFonts w:ascii="Narkisim" w:hAnsi="Narkisim"/>
        </w:rPr>
        <w:t>.</w:t>
      </w:r>
    </w:p>
    <w:p w14:paraId="43A45AD5" w14:textId="77777777" w:rsidR="006074A5" w:rsidRPr="009F36E0" w:rsidRDefault="006074A5" w:rsidP="006074A5">
      <w:pPr>
        <w:bidi/>
        <w:rPr>
          <w:rFonts w:ascii="Narkisim" w:hAnsi="Narkisim" w:cs="Narkisim"/>
        </w:rPr>
      </w:pPr>
      <w:r w:rsidRPr="009F36E0">
        <w:rPr>
          <w:rFonts w:ascii="Narkisim" w:hAnsi="Narkisim" w:cs="Narkisim"/>
          <w:u w:val="single"/>
          <w:rtl/>
        </w:rPr>
        <w:t>הרגנוהו וכו'</w:t>
      </w:r>
      <w:r w:rsidRPr="009F36E0">
        <w:rPr>
          <w:rFonts w:ascii="Narkisim" w:hAnsi="Narkisim" w:cs="Narkisim"/>
          <w:rtl/>
        </w:rPr>
        <w:t xml:space="preserve">. </w:t>
      </w:r>
      <w:r w:rsidRPr="009F36E0">
        <w:rPr>
          <w:rFonts w:ascii="Narkisim" w:hAnsi="Narkisim" w:cs="Narkisim"/>
          <w:b/>
          <w:bCs/>
          <w:rtl/>
        </w:rPr>
        <w:t>תוס</w:t>
      </w:r>
      <w:r w:rsidRPr="009F36E0">
        <w:rPr>
          <w:rFonts w:ascii="Narkisim" w:hAnsi="Narkisim" w:cs="Narkisim"/>
          <w:rtl/>
        </w:rPr>
        <w:t>' (כתובות כב: ד"ה כגון) כתבו דאיירי דמעיד בפנ"ע, ואומר שהיה עם הורגיו [וכדאי' בגמ']. אבל אילו ב' יעידו יחד, בשום מקום אין ב' עדים חשודים</w:t>
      </w:r>
      <w:r w:rsidRPr="009F36E0">
        <w:rPr>
          <w:rStyle w:val="ac"/>
          <w:rFonts w:ascii="Narkisim" w:hAnsi="Narkisim" w:cs="Narkisim"/>
          <w:rtl/>
        </w:rPr>
        <w:footnoteReference w:id="1489"/>
      </w:r>
      <w:r w:rsidRPr="009F36E0">
        <w:rPr>
          <w:rFonts w:ascii="Narkisim" w:hAnsi="Narkisim" w:cs="Narkisim"/>
        </w:rPr>
        <w:t xml:space="preserve">. </w:t>
      </w:r>
      <w:r w:rsidRPr="009F36E0">
        <w:rPr>
          <w:rFonts w:ascii="Narkisim" w:hAnsi="Narkisim" w:cs="Narkisim"/>
          <w:rtl/>
        </w:rPr>
        <w:t xml:space="preserve">אבל דעת </w:t>
      </w:r>
      <w:r w:rsidRPr="009F36E0">
        <w:rPr>
          <w:rFonts w:ascii="Narkisim" w:hAnsi="Narkisim" w:cs="Narkisim"/>
          <w:b/>
          <w:bCs/>
          <w:rtl/>
        </w:rPr>
        <w:t>ר"ח</w:t>
      </w:r>
      <w:r w:rsidRPr="009F36E0">
        <w:rPr>
          <w:rFonts w:ascii="Narkisim" w:hAnsi="Narkisim" w:cs="Narkisim"/>
          <w:rtl/>
        </w:rPr>
        <w:t xml:space="preserve"> (הו' בראשונים לקמן פח: ותוס' רא"ש כתובות שם) דאף בב' עדים לא תנשא לא' מהם</w:t>
      </w:r>
      <w:r w:rsidRPr="009F36E0">
        <w:rPr>
          <w:rFonts w:ascii="Narkisim" w:hAnsi="Narkisim" w:cs="Narkisim"/>
        </w:rPr>
        <w:t>.</w:t>
      </w:r>
    </w:p>
    <w:p w14:paraId="133D7952" w14:textId="77777777" w:rsidR="006074A5" w:rsidRPr="009F36E0" w:rsidRDefault="006074A5" w:rsidP="006074A5">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(במשניות) הק' מה ס"ד דתוס' דהמשנה איירי בתרי, א"כ אף אי חשדי' דמשקר, מ"מ דל עדותו מהכא ומותרת מחמת העד השני. ורע"א תי' דדוקא היכא דהתירו ע"י עד א' אמרי' דהיא דייקא ומינסבא (כדלקמן פח.). אבל כשיש ב' עדים היא סומכת על העדים, ולא דייקא כ"כ</w:t>
      </w:r>
      <w:r w:rsidRPr="009F36E0">
        <w:rPr>
          <w:rStyle w:val="ac"/>
          <w:rFonts w:ascii="Narkisim" w:hAnsi="Narkisim"/>
          <w:rtl/>
        </w:rPr>
        <w:footnoteReference w:id="1490"/>
      </w:r>
      <w:r w:rsidRPr="009F36E0">
        <w:rPr>
          <w:rFonts w:ascii="Narkisim" w:hAnsi="Narkisim"/>
        </w:rPr>
        <w:t xml:space="preserve">. </w:t>
      </w:r>
      <w:r w:rsidRPr="009F36E0">
        <w:rPr>
          <w:rFonts w:ascii="Narkisim" w:hAnsi="Narkisim"/>
          <w:rtl/>
        </w:rPr>
        <w:t>וא”כ א"א להתיר ע"פ עד א</w:t>
      </w:r>
      <w:r w:rsidRPr="009F36E0">
        <w:rPr>
          <w:rFonts w:ascii="Narkisim" w:hAnsi="Narkisim"/>
        </w:rPr>
        <w:t>'.</w:t>
      </w:r>
    </w:p>
    <w:p w14:paraId="3863ED65" w14:textId="77777777" w:rsidR="006074A5" w:rsidRPr="009F36E0" w:rsidRDefault="006074A5" w:rsidP="006074A5">
      <w:pPr>
        <w:bidi/>
        <w:rPr>
          <w:rFonts w:ascii="Narkisim" w:hAnsi="Narkisim" w:cs="Narkisim"/>
        </w:rPr>
      </w:pPr>
      <w:r w:rsidRPr="009F36E0">
        <w:rPr>
          <w:rFonts w:ascii="Narkisim" w:hAnsi="Narkisim" w:cs="Narkisim"/>
          <w:u w:val="single"/>
          <w:rtl/>
        </w:rPr>
        <w:t>טעמא דממדינת הים דעליה קסמכינן</w:t>
      </w:r>
      <w:r w:rsidRPr="009F36E0">
        <w:rPr>
          <w:rStyle w:val="ac"/>
          <w:rFonts w:ascii="Narkisim" w:hAnsi="Narkisim" w:cs="Narkisim"/>
          <w:u w:val="single"/>
          <w:rtl/>
        </w:rPr>
        <w:footnoteReference w:id="1491"/>
      </w:r>
      <w:r w:rsidRPr="009F36E0">
        <w:rPr>
          <w:rFonts w:ascii="Narkisim" w:hAnsi="Narkisim" w:cs="Narkisim"/>
          <w:u w:val="single"/>
        </w:rPr>
        <w:t xml:space="preserve">, </w:t>
      </w:r>
      <w:r w:rsidRPr="009F36E0">
        <w:rPr>
          <w:rFonts w:ascii="Narkisim" w:hAnsi="Narkisim" w:cs="Narkisim"/>
          <w:u w:val="single"/>
          <w:rtl/>
        </w:rPr>
        <w:t>אבל מאר"י דלאו עליה קסמכינן</w:t>
      </w:r>
      <w:r w:rsidRPr="009F36E0">
        <w:rPr>
          <w:rFonts w:ascii="Narkisim" w:hAnsi="Narkisim" w:cs="Narkisim"/>
          <w:rtl/>
        </w:rPr>
        <w:t>. ה</w:t>
      </w:r>
      <w:r w:rsidRPr="009F36E0">
        <w:rPr>
          <w:rFonts w:ascii="Narkisim" w:hAnsi="Narkisim" w:cs="Narkisim"/>
          <w:b/>
          <w:bCs/>
          <w:rtl/>
        </w:rPr>
        <w:t>רשב"א</w:t>
      </w:r>
      <w:r w:rsidRPr="009F36E0">
        <w:rPr>
          <w:rFonts w:ascii="Narkisim" w:hAnsi="Narkisim" w:cs="Narkisim"/>
          <w:rtl/>
        </w:rPr>
        <w:t xml:space="preserve"> פי' דאף דמתירין לינשא בלא קיום הגט. מ"מ ירא לזייף כיון דאי אתי בעל ומערער משגחינן ביה. והרשב"א כת' דאף באר"י אם אומר ב"נ כיון דמהני שאי"צ קיום כשהבעל יערער (וכדאי' שם ו:), מש"ה לא ישאנה</w:t>
      </w:r>
      <w:r w:rsidRPr="009F36E0">
        <w:rPr>
          <w:rStyle w:val="ac"/>
          <w:rFonts w:ascii="Narkisim" w:hAnsi="Narkisim" w:cs="Narkisim"/>
          <w:rtl/>
        </w:rPr>
        <w:footnoteReference w:id="1492"/>
      </w:r>
      <w:r w:rsidRPr="009F36E0">
        <w:rPr>
          <w:rFonts w:ascii="Narkisim" w:hAnsi="Narkisim" w:cs="Narkisim"/>
        </w:rPr>
        <w:t xml:space="preserve">. </w:t>
      </w:r>
      <w:r w:rsidRPr="009F36E0">
        <w:rPr>
          <w:rFonts w:ascii="Narkisim" w:hAnsi="Narkisim" w:cs="Narkisim"/>
          <w:rtl/>
        </w:rPr>
        <w:t>אבל ה</w:t>
      </w:r>
      <w:r w:rsidRPr="009F36E0">
        <w:rPr>
          <w:rFonts w:ascii="Narkisim" w:hAnsi="Narkisim" w:cs="Narkisim"/>
          <w:b/>
          <w:bCs/>
          <w:rtl/>
        </w:rPr>
        <w:t>מאירי</w:t>
      </w:r>
      <w:r w:rsidRPr="009F36E0">
        <w:rPr>
          <w:rFonts w:ascii="Narkisim" w:hAnsi="Narkisim" w:cs="Narkisim"/>
          <w:rtl/>
        </w:rPr>
        <w:t xml:space="preserve"> כת' הטעם דבאר"י חושש לשקר כיון דהעדים מצויים, והוה מילתא דעבידי לאיגלוי ולא מזייף</w:t>
      </w:r>
      <w:r w:rsidRPr="009F36E0">
        <w:rPr>
          <w:rStyle w:val="ac"/>
          <w:rFonts w:ascii="Narkisim" w:hAnsi="Narkisim" w:cs="Narkisim"/>
          <w:rtl/>
        </w:rPr>
        <w:footnoteReference w:id="1493"/>
      </w:r>
      <w:r w:rsidRPr="009F36E0">
        <w:rPr>
          <w:rFonts w:ascii="Narkisim" w:hAnsi="Narkisim" w:cs="Narkisim"/>
        </w:rPr>
        <w:t>.</w:t>
      </w:r>
    </w:p>
    <w:p w14:paraId="6C9714C7" w14:textId="77777777" w:rsidR="006074A5" w:rsidRPr="009F36E0" w:rsidRDefault="006074A5" w:rsidP="006074A5">
      <w:pPr>
        <w:pStyle w:val="aa"/>
        <w:bidi/>
        <w:rPr>
          <w:rFonts w:ascii="Narkisim" w:hAnsi="Narkisim"/>
        </w:rPr>
      </w:pPr>
      <w:r w:rsidRPr="009F36E0">
        <w:rPr>
          <w:rFonts w:ascii="Narkisim" w:hAnsi="Narkisim"/>
          <w:u w:val="single"/>
          <w:rtl/>
        </w:rPr>
        <w:t>והא מת דלאו עליה קסמכינן דאמר מר אשה דייקא ומינסבא.</w:t>
      </w:r>
      <w:r w:rsidRPr="009F36E0">
        <w:rPr>
          <w:rFonts w:ascii="Narkisim" w:hAnsi="Narkisim"/>
          <w:rtl/>
        </w:rPr>
        <w:t xml:space="preserve"> ה</w:t>
      </w:r>
      <w:r w:rsidRPr="009F36E0">
        <w:rPr>
          <w:rFonts w:ascii="Narkisim" w:hAnsi="Narkisim"/>
          <w:b/>
          <w:bCs/>
          <w:rtl/>
        </w:rPr>
        <w:t>רשב"א</w:t>
      </w:r>
      <w:r w:rsidRPr="009F36E0">
        <w:rPr>
          <w:rFonts w:ascii="Narkisim" w:hAnsi="Narkisim"/>
          <w:rtl/>
        </w:rPr>
        <w:t xml:space="preserve"> הק' דבעי' היא (לקמן קטו.) האם הטעם דעד א' נאמן להתיר אשה משום דעבידא לאגלויי. או משום דייקא ומינסבא</w:t>
      </w:r>
      <w:r w:rsidRPr="009F36E0">
        <w:rPr>
          <w:rStyle w:val="ac"/>
          <w:rFonts w:ascii="Narkisim" w:hAnsi="Narkisim"/>
          <w:rtl/>
        </w:rPr>
        <w:footnoteReference w:id="1494"/>
      </w:r>
      <w:r w:rsidRPr="009F36E0">
        <w:rPr>
          <w:rFonts w:ascii="Narkisim" w:hAnsi="Narkisim"/>
        </w:rPr>
        <w:t xml:space="preserve">. </w:t>
      </w:r>
      <w:r w:rsidRPr="009F36E0">
        <w:rPr>
          <w:rFonts w:ascii="Narkisim" w:hAnsi="Narkisim"/>
          <w:rtl/>
        </w:rPr>
        <w:t>והביא דדעת ה</w:t>
      </w:r>
      <w:r w:rsidRPr="009F36E0">
        <w:rPr>
          <w:rFonts w:ascii="Narkisim" w:hAnsi="Narkisim"/>
          <w:b/>
          <w:bCs/>
          <w:rtl/>
        </w:rPr>
        <w:t>רי"ף</w:t>
      </w:r>
      <w:r w:rsidRPr="009F36E0">
        <w:rPr>
          <w:rFonts w:ascii="Narkisim" w:hAnsi="Narkisim"/>
          <w:rtl/>
        </w:rPr>
        <w:t xml:space="preserve"> (שם) דאיפשיט [במקו"א]. אך </w:t>
      </w:r>
      <w:r w:rsidRPr="009F36E0">
        <w:rPr>
          <w:rFonts w:ascii="Narkisim" w:hAnsi="Narkisim"/>
          <w:b/>
          <w:bCs/>
          <w:rtl/>
        </w:rPr>
        <w:t>תוס</w:t>
      </w:r>
      <w:r w:rsidRPr="009F36E0">
        <w:rPr>
          <w:rFonts w:ascii="Narkisim" w:hAnsi="Narkisim"/>
          <w:rtl/>
        </w:rPr>
        <w:t>' (צג: ד”ה עד) כת' דלכו"ע עיקר הטעם משום דדייקא ומינסבא (ע"פ הגמ' לקמן פח. עי"ש תוס'), והספק [בכל הני] האם סגי בדיוקא זוטא בצירוף הא דעבידא לאיגלויי</w:t>
      </w:r>
      <w:r w:rsidRPr="009F36E0">
        <w:rPr>
          <w:rFonts w:ascii="Narkisim" w:hAnsi="Narkisim"/>
        </w:rPr>
        <w:t>.</w:t>
      </w:r>
    </w:p>
    <w:p w14:paraId="7B05155E" w14:textId="77777777" w:rsidR="006074A5" w:rsidRPr="009F36E0" w:rsidRDefault="006074A5" w:rsidP="006074A5">
      <w:pPr>
        <w:pStyle w:val="aa"/>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הק' דאף לטעם דעבידא לאיגלויי, אף בסוגיין דסמכינן עליה משום דאי אתי בעל ומערער כמו בא”י [וכמ”ש לעיל], וכ”ש במיתה שיכול להתברר. וכת' דאה"נ והגמ' נקטה חד מהטעמים דלקמן</w:t>
      </w:r>
      <w:r w:rsidRPr="009F36E0">
        <w:rPr>
          <w:rFonts w:ascii="Narkisim" w:hAnsi="Narkisim"/>
        </w:rPr>
        <w:t>.</w:t>
      </w:r>
    </w:p>
    <w:p w14:paraId="0D11B9C0" w14:textId="77777777" w:rsidR="006074A5" w:rsidRPr="009F36E0" w:rsidRDefault="006074A5" w:rsidP="006074A5">
      <w:pPr>
        <w:pStyle w:val="aa"/>
        <w:bidi/>
        <w:rPr>
          <w:rFonts w:ascii="Narkisim" w:hAnsi="Narkisim"/>
        </w:rPr>
      </w:pPr>
      <w:r w:rsidRPr="009F36E0">
        <w:rPr>
          <w:rFonts w:ascii="Narkisim" w:hAnsi="Narkisim"/>
          <w:u w:val="single"/>
          <w:rtl/>
        </w:rPr>
        <w:t>דתנן (לקמן קיז. וגיטין כג:) מה בין גט למיתה שהכתב מוכיח.</w:t>
      </w:r>
      <w:r w:rsidRPr="009F36E0">
        <w:rPr>
          <w:rFonts w:ascii="Narkisim" w:hAnsi="Narkisim"/>
          <w:rtl/>
        </w:rPr>
        <w:t xml:space="preserve"> וה</w:t>
      </w:r>
      <w:r w:rsidRPr="009F36E0">
        <w:rPr>
          <w:rFonts w:ascii="Narkisim" w:hAnsi="Narkisim"/>
          <w:b/>
          <w:bCs/>
          <w:rtl/>
        </w:rPr>
        <w:t>רשב"א</w:t>
      </w:r>
      <w:r w:rsidRPr="009F36E0">
        <w:rPr>
          <w:rFonts w:ascii="Narkisim" w:hAnsi="Narkisim"/>
          <w:rtl/>
        </w:rPr>
        <w:t xml:space="preserve"> הק' דאף ממדינת הים יש כתב המוכיח [ואפ”ה חיישי' כיון דסמכינן עליו]. וע"כ כוונת הגמ' דאשכחן בעלמא דכתב עדיף. ומש"ה הכא חיישינן משום יצרו תקפו</w:t>
      </w:r>
      <w:r w:rsidRPr="009F36E0">
        <w:rPr>
          <w:rStyle w:val="ac"/>
          <w:rFonts w:ascii="Narkisim" w:hAnsi="Narkisim"/>
          <w:rtl/>
        </w:rPr>
        <w:footnoteReference w:id="1495"/>
      </w:r>
      <w:r w:rsidRPr="009F36E0">
        <w:rPr>
          <w:rFonts w:ascii="Narkisim" w:hAnsi="Narkisim"/>
        </w:rPr>
        <w:t xml:space="preserve">. </w:t>
      </w:r>
      <w:r w:rsidRPr="009F36E0">
        <w:rPr>
          <w:rFonts w:ascii="Narkisim" w:hAnsi="Narkisim"/>
          <w:rtl/>
        </w:rPr>
        <w:t>[ואף דהתם משום איבה לא חיישינן היכא דיש כתב]</w:t>
      </w:r>
      <w:r w:rsidRPr="009F36E0">
        <w:rPr>
          <w:rFonts w:ascii="Narkisim" w:hAnsi="Narkisim"/>
        </w:rPr>
        <w:t>.</w:t>
      </w:r>
    </w:p>
    <w:p w14:paraId="7C0FC54D" w14:textId="77777777" w:rsidR="006074A5" w:rsidRPr="009F36E0" w:rsidRDefault="006074A5" w:rsidP="006074A5">
      <w:pPr>
        <w:bidi/>
        <w:rPr>
          <w:rFonts w:ascii="Narkisim" w:hAnsi="Narkisim" w:cs="Narkisim"/>
        </w:rPr>
      </w:pPr>
      <w:r w:rsidRPr="009F36E0">
        <w:rPr>
          <w:rFonts w:ascii="Narkisim" w:hAnsi="Narkisim" w:cs="Narkisim"/>
          <w:u w:val="single"/>
          <w:rtl/>
        </w:rPr>
        <w:t>הא לאחר תנשא וכו' וכ”ת שאני עדות אשה דאקילו בה רבנן, והא"ר מנשה וכו' גזלן דד”ת פסול וכו'</w:t>
      </w:r>
      <w:r w:rsidRPr="009F36E0">
        <w:rPr>
          <w:rFonts w:ascii="Narkisim" w:hAnsi="Narkisim" w:cs="Narkisim"/>
          <w:rtl/>
        </w:rPr>
        <w:t>. ומסקנת הגמ' דלדעת רב יוסף נח' רבנן ור' יהודה האם הקילו להכשיר גזלן לעדות אשה</w:t>
      </w:r>
      <w:r w:rsidRPr="009F36E0">
        <w:rPr>
          <w:rFonts w:ascii="Narkisim" w:hAnsi="Narkisim" w:cs="Narkisim"/>
        </w:rPr>
        <w:t>.</w:t>
      </w:r>
    </w:p>
    <w:p w14:paraId="041110EA" w14:textId="77777777" w:rsidR="006074A5" w:rsidRPr="009F36E0" w:rsidRDefault="006074A5" w:rsidP="006074A5">
      <w:pPr>
        <w:pStyle w:val="a8"/>
        <w:bidi/>
        <w:rPr>
          <w:rFonts w:ascii="Narkisim" w:hAnsi="Narkisim"/>
        </w:rPr>
      </w:pPr>
      <w:r w:rsidRPr="009F36E0">
        <w:rPr>
          <w:rFonts w:ascii="Narkisim" w:hAnsi="Narkisim"/>
          <w:rtl/>
        </w:rPr>
        <w:t xml:space="preserve">ומ"ד דהקילו בעדות אשה, דכיון דמשיאין מפי אשה, ומפי עבד, ומפי עד מפי עד [כדתנן לקמן קכב. וקיז.], ול"צ </w:t>
      </w:r>
      <w:r w:rsidRPr="009F36E0">
        <w:rPr>
          <w:rFonts w:ascii="Narkisim" w:hAnsi="Narkisim"/>
          <w:rtl/>
        </w:rPr>
        <w:lastRenderedPageBreak/>
        <w:t>עדים כשירים</w:t>
      </w:r>
      <w:r w:rsidRPr="009F36E0">
        <w:rPr>
          <w:rStyle w:val="ac"/>
          <w:rFonts w:ascii="Narkisim" w:hAnsi="Narkisim"/>
          <w:rtl/>
        </w:rPr>
        <w:footnoteReference w:id="1496"/>
      </w:r>
      <w:r w:rsidRPr="009F36E0">
        <w:rPr>
          <w:rFonts w:ascii="Narkisim" w:hAnsi="Narkisim"/>
        </w:rPr>
        <w:t xml:space="preserve">. </w:t>
      </w:r>
      <w:r w:rsidRPr="009F36E0">
        <w:rPr>
          <w:rFonts w:ascii="Narkisim" w:hAnsi="Narkisim"/>
          <w:rtl/>
        </w:rPr>
        <w:t>ה"נ משיאין ע"פ עדות רשע. ור' מנשה פליג דגזלן דאורייתא גרע. וה</w:t>
      </w:r>
      <w:r w:rsidRPr="009F36E0">
        <w:rPr>
          <w:rFonts w:ascii="Narkisim" w:hAnsi="Narkisim"/>
          <w:b/>
          <w:bCs/>
          <w:rtl/>
        </w:rPr>
        <w:t>קובה"ע</w:t>
      </w:r>
      <w:r w:rsidRPr="009F36E0">
        <w:rPr>
          <w:rFonts w:ascii="Narkisim" w:hAnsi="Narkisim"/>
          <w:rtl/>
        </w:rPr>
        <w:t xml:space="preserve"> (כא ג) ביאר דרשע נחשב חשש משקר, וגרע משאר פסולי עדות דהוה מחמת גזיה"כ</w:t>
      </w:r>
      <w:r w:rsidRPr="009F36E0">
        <w:rPr>
          <w:rStyle w:val="ac"/>
          <w:rFonts w:ascii="Narkisim" w:hAnsi="Narkisim"/>
          <w:rtl/>
        </w:rPr>
        <w:footnoteReference w:id="1497"/>
      </w:r>
      <w:r w:rsidRPr="009F36E0">
        <w:rPr>
          <w:rFonts w:ascii="Narkisim" w:hAnsi="Narkisim"/>
        </w:rPr>
        <w:t>.</w:t>
      </w:r>
    </w:p>
    <w:p w14:paraId="1DC290E4"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 xml:space="preserve">רי"ף </w:t>
      </w:r>
      <w:r w:rsidRPr="009F36E0">
        <w:rPr>
          <w:rFonts w:ascii="Narkisim" w:hAnsi="Narkisim"/>
          <w:rtl/>
        </w:rPr>
        <w:t>(לקמן קכב., מו: בדה"ס) כת' דאף גזלן דאורייתא שמעיד במסיח לפי תומו מהני, דלא גרע מעכו"ם</w:t>
      </w:r>
      <w:r w:rsidRPr="009F36E0">
        <w:rPr>
          <w:rStyle w:val="ac"/>
          <w:rFonts w:ascii="Narkisim" w:hAnsi="Narkisim"/>
          <w:rtl/>
        </w:rPr>
        <w:footnoteReference w:id="1498"/>
      </w:r>
      <w:r w:rsidRPr="009F36E0">
        <w:rPr>
          <w:rFonts w:ascii="Narkisim" w:hAnsi="Narkisim"/>
        </w:rPr>
        <w:t xml:space="preserve">. </w:t>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הק' דנימא דמתני' איירי במסל"ת. ותי' דמשמע דאיירי במתכוון להעיד</w:t>
      </w:r>
      <w:r w:rsidRPr="009F36E0">
        <w:rPr>
          <w:rFonts w:ascii="Narkisim" w:hAnsi="Narkisim"/>
        </w:rPr>
        <w:t>.</w:t>
      </w:r>
    </w:p>
    <w:p w14:paraId="4C3D30ED"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בית מאיר</w:t>
      </w:r>
      <w:r w:rsidRPr="009F36E0">
        <w:rPr>
          <w:rFonts w:ascii="Narkisim" w:hAnsi="Narkisim"/>
          <w:rtl/>
        </w:rPr>
        <w:t xml:space="preserve"> (יב, הו' בפתח"ת שם) דייק מקושיית הרשב"א דאף עד העמיד במסיח לפי תומו לא ישאנה. והבית מאיר תמה דאילו חיישינן בעדות זו דמתכוון להתיר, א"כ האיך מכשירין לזה גזלן דבר תורה</w:t>
      </w:r>
      <w:r w:rsidRPr="009F36E0">
        <w:rPr>
          <w:rStyle w:val="ac"/>
          <w:rFonts w:ascii="Narkisim" w:hAnsi="Narkisim"/>
          <w:rtl/>
        </w:rPr>
        <w:footnoteReference w:id="1499"/>
      </w:r>
      <w:r w:rsidRPr="009F36E0">
        <w:rPr>
          <w:rFonts w:ascii="Narkisim" w:hAnsi="Narkisim"/>
        </w:rPr>
        <w:t xml:space="preserve">. </w:t>
      </w:r>
      <w:r w:rsidRPr="009F36E0">
        <w:rPr>
          <w:rFonts w:ascii="Narkisim" w:hAnsi="Narkisim"/>
          <w:rtl/>
        </w:rPr>
        <w:t>ו</w:t>
      </w:r>
      <w:r w:rsidRPr="009F36E0">
        <w:rPr>
          <w:rFonts w:ascii="Narkisim" w:hAnsi="Narkisim"/>
          <w:b/>
          <w:bCs/>
          <w:rtl/>
        </w:rPr>
        <w:t>רע"א</w:t>
      </w:r>
      <w:r w:rsidRPr="009F36E0">
        <w:rPr>
          <w:rFonts w:ascii="Narkisim" w:hAnsi="Narkisim"/>
          <w:rtl/>
        </w:rPr>
        <w:t xml:space="preserve"> (בגליון השו"ע שם) הביא מס' עזרת נשים (יז לב) דבמסיח לפי תומו ישאנה</w:t>
      </w:r>
      <w:r w:rsidRPr="009F36E0">
        <w:rPr>
          <w:rFonts w:ascii="Narkisim" w:hAnsi="Narkisim"/>
        </w:rPr>
        <w:t>.</w:t>
      </w:r>
    </w:p>
    <w:p w14:paraId="628AD37B" w14:textId="77777777" w:rsidR="006074A5" w:rsidRPr="009F36E0" w:rsidRDefault="006074A5" w:rsidP="006074A5">
      <w:pPr>
        <w:pStyle w:val="2"/>
        <w:bidi/>
        <w:rPr>
          <w:rFonts w:ascii="Narkisim" w:hAnsi="Narkisim"/>
        </w:rPr>
      </w:pPr>
      <w:r w:rsidRPr="009F36E0">
        <w:rPr>
          <w:rFonts w:ascii="Narkisim" w:hAnsi="Narkisim"/>
          <w:rtl/>
        </w:rPr>
        <w:t>פלגינן דיבורא</w:t>
      </w:r>
    </w:p>
    <w:p w14:paraId="02DFF84B" w14:textId="77777777" w:rsidR="006074A5" w:rsidRPr="009F36E0" w:rsidRDefault="006074A5" w:rsidP="006074A5">
      <w:pPr>
        <w:bidi/>
        <w:rPr>
          <w:rFonts w:ascii="Narkisim" w:hAnsi="Narkisim" w:cs="Narkisim"/>
        </w:rPr>
      </w:pPr>
      <w:r w:rsidRPr="009F36E0">
        <w:rPr>
          <w:rFonts w:ascii="Narkisim" w:hAnsi="Narkisim" w:cs="Narkisim"/>
          <w:u w:val="single"/>
          <w:rtl/>
        </w:rPr>
        <w:t>והאמר רב יוסף וכו' לרצונו רשע הוא והתורה אמרה וכו'</w:t>
      </w:r>
      <w:r w:rsidRPr="009F36E0">
        <w:rPr>
          <w:rFonts w:ascii="Narkisim" w:hAnsi="Narkisim" w:cs="Narkisim"/>
          <w:rtl/>
        </w:rPr>
        <w:t xml:space="preserve">. ורבא (בע"ב, וסנהדרין ט: וב"ב קלד:) פליג דאין אדם משים עצמו רשע, ופלגינן דיבורא (ויתבאר בסמוך). ומשמע במסקנת הגמ' דר' יהודה (במשנה) דאמר לא תנשא ס"ל כרב יוסף דלא פלגינן דיבורא. [וכ"כ </w:t>
      </w:r>
      <w:r w:rsidRPr="009F36E0">
        <w:rPr>
          <w:rFonts w:ascii="Narkisim" w:hAnsi="Narkisim" w:cs="Narkisim"/>
          <w:b/>
          <w:bCs/>
          <w:rtl/>
        </w:rPr>
        <w:t>תוס</w:t>
      </w:r>
      <w:r w:rsidRPr="009F36E0">
        <w:rPr>
          <w:rFonts w:ascii="Narkisim" w:hAnsi="Narkisim" w:cs="Narkisim"/>
          <w:rtl/>
        </w:rPr>
        <w:t>' בע"ב]</w:t>
      </w:r>
      <w:r w:rsidRPr="009F36E0">
        <w:rPr>
          <w:rFonts w:ascii="Narkisim" w:hAnsi="Narkisim" w:cs="Narkisim"/>
        </w:rPr>
        <w:t>.</w:t>
      </w:r>
    </w:p>
    <w:p w14:paraId="65450A38" w14:textId="77777777" w:rsidR="006074A5" w:rsidRPr="009F36E0" w:rsidRDefault="006074A5" w:rsidP="006074A5">
      <w:pPr>
        <w:bidi/>
        <w:rPr>
          <w:rFonts w:ascii="Narkisim" w:hAnsi="Narkisim" w:cs="Narkisim"/>
        </w:rPr>
      </w:pP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רמב"ם</w:t>
      </w:r>
      <w:r w:rsidRPr="009F36E0">
        <w:rPr>
          <w:rFonts w:ascii="Narkisim" w:hAnsi="Narkisim" w:cs="Narkisim"/>
          <w:rtl/>
        </w:rPr>
        <w:t xml:space="preserve"> ב</w:t>
      </w:r>
      <w:r w:rsidRPr="009F36E0">
        <w:rPr>
          <w:rFonts w:ascii="Narkisim" w:hAnsi="Narkisim" w:cs="Narkisim"/>
          <w:b/>
          <w:bCs/>
          <w:rtl/>
        </w:rPr>
        <w:t>פיה"מ</w:t>
      </w:r>
      <w:r w:rsidRPr="009F36E0">
        <w:rPr>
          <w:rFonts w:ascii="Narkisim" w:hAnsi="Narkisim" w:cs="Narkisim"/>
          <w:rtl/>
        </w:rPr>
        <w:t xml:space="preserve"> פי'</w:t>
      </w:r>
      <w:r w:rsidRPr="009F36E0">
        <w:rPr>
          <w:rFonts w:ascii="Narkisim" w:hAnsi="Narkisim" w:cs="Narkisim"/>
          <w:sz w:val="20"/>
          <w:szCs w:val="20"/>
          <w:rtl/>
        </w:rPr>
        <w:t xml:space="preserve"> [טעם ר' יהודה]</w:t>
      </w:r>
      <w:r w:rsidRPr="009F36E0">
        <w:rPr>
          <w:rFonts w:ascii="Narkisim" w:hAnsi="Narkisim" w:cs="Narkisim"/>
          <w:rtl/>
        </w:rPr>
        <w:t xml:space="preserve"> דס"ל דמשים עצמו רשע. ולכאורה משמע דנפסל לעדות ע"פ דיבורו</w:t>
      </w:r>
      <w:r w:rsidRPr="009F36E0">
        <w:rPr>
          <w:rStyle w:val="ac"/>
          <w:rFonts w:ascii="Narkisim" w:hAnsi="Narkisim" w:cs="Narkisim"/>
          <w:rtl/>
        </w:rPr>
        <w:footnoteReference w:id="1500"/>
      </w:r>
      <w:r w:rsidRPr="009F36E0">
        <w:rPr>
          <w:rFonts w:ascii="Narkisim" w:hAnsi="Narkisim" w:cs="Narkisim"/>
        </w:rPr>
        <w:t xml:space="preserve">, </w:t>
      </w:r>
      <w:r w:rsidRPr="009F36E0">
        <w:rPr>
          <w:rFonts w:ascii="Narkisim" w:hAnsi="Narkisim" w:cs="Narkisim"/>
          <w:sz w:val="20"/>
          <w:szCs w:val="20"/>
          <w:rtl/>
        </w:rPr>
        <w:t>[וצ"ב דל"ש עדות על עצמו, ומאיזה טעם יפסל</w:t>
      </w:r>
      <w:r w:rsidRPr="009F36E0">
        <w:rPr>
          <w:rStyle w:val="ac"/>
          <w:rFonts w:ascii="Narkisim" w:hAnsi="Narkisim" w:cs="Narkisim"/>
          <w:sz w:val="20"/>
          <w:szCs w:val="20"/>
          <w:rtl/>
        </w:rPr>
        <w:footnoteReference w:id="1501"/>
      </w:r>
      <w:r w:rsidRPr="009F36E0">
        <w:rPr>
          <w:rFonts w:ascii="Narkisim" w:hAnsi="Narkisim" w:cs="Narkisim"/>
          <w:sz w:val="20"/>
          <w:szCs w:val="20"/>
          <w:rtl/>
        </w:rPr>
        <w:t>].</w:t>
      </w:r>
      <w:r w:rsidRPr="009F36E0">
        <w:rPr>
          <w:rFonts w:ascii="Narkisim" w:hAnsi="Narkisim" w:cs="Narkisim"/>
          <w:rtl/>
        </w:rPr>
        <w:t xml:space="preserve"> ולפ"ז לא פליג על יסוד דין פלגינן. [והאחרונים פי' בכמה אופנים]</w:t>
      </w:r>
      <w:r w:rsidRPr="009F36E0">
        <w:rPr>
          <w:rFonts w:ascii="Narkisim" w:hAnsi="Narkisim" w:cs="Narkisim"/>
        </w:rPr>
        <w:t>.</w:t>
      </w:r>
    </w:p>
    <w:p w14:paraId="24A5F04C" w14:textId="77777777" w:rsidR="006074A5" w:rsidRPr="009F36E0" w:rsidRDefault="006074A5" w:rsidP="006074A5">
      <w:pPr>
        <w:pStyle w:val="a7"/>
        <w:bidi/>
        <w:rPr>
          <w:rFonts w:ascii="Narkisim" w:hAnsi="Narkisim"/>
        </w:rPr>
      </w:pPr>
      <w:r w:rsidRPr="009F36E0">
        <w:rPr>
          <w:rFonts w:ascii="Narkisim" w:hAnsi="Narkisim"/>
          <w:rtl/>
        </w:rPr>
        <w:t xml:space="preserve">אבל </w:t>
      </w:r>
      <w:r w:rsidRPr="009F36E0">
        <w:rPr>
          <w:rFonts w:ascii="Narkisim" w:hAnsi="Narkisim"/>
          <w:b/>
          <w:bCs/>
          <w:rtl/>
        </w:rPr>
        <w:t>תוס'</w:t>
      </w:r>
      <w:r w:rsidRPr="009F36E0">
        <w:rPr>
          <w:rFonts w:ascii="Narkisim" w:hAnsi="Narkisim"/>
          <w:rtl/>
        </w:rPr>
        <w:t xml:space="preserve"> (בע"ב ד"ה לימא) נקטו דס"ל דלא אמרי' פלגינן. וכן הביאו ה</w:t>
      </w:r>
      <w:r w:rsidRPr="009F36E0">
        <w:rPr>
          <w:rFonts w:ascii="Narkisim" w:hAnsi="Narkisim"/>
          <w:b/>
          <w:bCs/>
          <w:rtl/>
        </w:rPr>
        <w:t>ראשונים</w:t>
      </w:r>
      <w:r w:rsidRPr="009F36E0">
        <w:rPr>
          <w:rFonts w:ascii="Narkisim" w:hAnsi="Narkisim"/>
          <w:rtl/>
        </w:rPr>
        <w:t xml:space="preserve"> בכ"מ. ובפשוטו לפ"ז הטעם דכיון דאינו נאמן לפסול עצמו, אינו נאמן בעדות זו כלל</w:t>
      </w:r>
      <w:r w:rsidRPr="009F36E0">
        <w:rPr>
          <w:rFonts w:ascii="Narkisim" w:hAnsi="Narkisim"/>
        </w:rPr>
        <w:t>.</w:t>
      </w:r>
    </w:p>
    <w:p w14:paraId="0D0057F3" w14:textId="77777777" w:rsidR="006074A5" w:rsidRPr="009F36E0" w:rsidRDefault="006074A5" w:rsidP="006074A5">
      <w:pPr>
        <w:bidi/>
        <w:rPr>
          <w:rFonts w:ascii="Narkisim" w:hAnsi="Narkisim" w:cs="Narkisim"/>
        </w:rPr>
      </w:pPr>
      <w:r w:rsidRPr="009F36E0">
        <w:rPr>
          <w:rFonts w:ascii="Narkisim" w:hAnsi="Narkisim" w:cs="Narkisim"/>
          <w:u w:val="single"/>
          <w:rtl/>
        </w:rPr>
        <w:t>וכ"ת שאני עדות אשה דאקילו וכו'</w:t>
      </w:r>
      <w:r w:rsidRPr="009F36E0">
        <w:rPr>
          <w:rFonts w:ascii="Narkisim" w:hAnsi="Narkisim" w:cs="Narkisim"/>
          <w:rtl/>
        </w:rPr>
        <w:t>. לדברי הרמב"ם יל"פ דנאמן לפסול עצמו, ואף שהוא פסול לשאר עדות כשר לעדות זו. אבל לראשונים סברת רב יוסף דלא אמרי' פלגינן, ו</w:t>
      </w:r>
      <w:r w:rsidRPr="009F36E0">
        <w:rPr>
          <w:rFonts w:ascii="Narkisim" w:hAnsi="Narkisim" w:cs="Narkisim"/>
          <w:b/>
          <w:bCs/>
          <w:rtl/>
        </w:rPr>
        <w:t>רע"א</w:t>
      </w:r>
      <w:r w:rsidRPr="009F36E0">
        <w:rPr>
          <w:rFonts w:ascii="Narkisim" w:hAnsi="Narkisim" w:cs="Narkisim"/>
          <w:rtl/>
        </w:rPr>
        <w:t xml:space="preserve"> </w:t>
      </w:r>
      <w:r w:rsidRPr="009F36E0">
        <w:rPr>
          <w:rFonts w:ascii="Narkisim" w:hAnsi="Narkisim" w:cs="Narkisim"/>
          <w:sz w:val="20"/>
          <w:szCs w:val="20"/>
          <w:rtl/>
        </w:rPr>
        <w:t>(כאן ובמשניות כו)</w:t>
      </w:r>
      <w:r w:rsidRPr="009F36E0">
        <w:rPr>
          <w:rFonts w:ascii="Narkisim" w:hAnsi="Narkisim" w:cs="Narkisim"/>
          <w:rtl/>
        </w:rPr>
        <w:t xml:space="preserve"> הק' א"כ מה מהני הא דגזלן כשר לעדות אשה, דמ"מ אי אפשר לחלק את דבריו</w:t>
      </w:r>
      <w:r w:rsidRPr="009F36E0">
        <w:rPr>
          <w:rStyle w:val="ac"/>
          <w:rFonts w:ascii="Narkisim" w:hAnsi="Narkisim" w:cs="Narkisim"/>
          <w:rtl/>
        </w:rPr>
        <w:footnoteReference w:id="1502"/>
      </w:r>
      <w:r w:rsidRPr="009F36E0">
        <w:rPr>
          <w:rFonts w:ascii="Narkisim" w:hAnsi="Narkisim" w:cs="Narkisim"/>
        </w:rPr>
        <w:t xml:space="preserve">. </w:t>
      </w:r>
      <w:r w:rsidRPr="009F36E0">
        <w:rPr>
          <w:rFonts w:ascii="Narkisim" w:hAnsi="Narkisim" w:cs="Narkisim"/>
          <w:rtl/>
        </w:rPr>
        <w:t>ו</w:t>
      </w:r>
      <w:r w:rsidRPr="009F36E0">
        <w:rPr>
          <w:rFonts w:ascii="Narkisim" w:hAnsi="Narkisim" w:cs="Narkisim"/>
          <w:b/>
          <w:bCs/>
          <w:rtl/>
        </w:rPr>
        <w:t>רע"א</w:t>
      </w:r>
      <w:r w:rsidRPr="009F36E0">
        <w:rPr>
          <w:rFonts w:ascii="Narkisim" w:hAnsi="Narkisim" w:cs="Narkisim"/>
          <w:rtl/>
        </w:rPr>
        <w:t xml:space="preserve"> תי' דאף לרב יוסף נאמן בשאר העדות, אלא דדוקא בעדות זו אמרי' ממ"נ, דאם נאמין לעדותו הא הוה רשע, ופסול להעיד. </w:t>
      </w:r>
      <w:r w:rsidRPr="009F36E0">
        <w:rPr>
          <w:rFonts w:ascii="Narkisim" w:hAnsi="Narkisim" w:cs="Narkisim"/>
          <w:szCs w:val="20"/>
          <w:rtl/>
        </w:rPr>
        <w:t>[וע"ד הא דאי' (לקמן מז.) לדבריך עכו"ם אתה]</w:t>
      </w:r>
      <w:r w:rsidRPr="009F36E0">
        <w:rPr>
          <w:rFonts w:ascii="Narkisim" w:hAnsi="Narkisim" w:cs="Narkisim"/>
        </w:rPr>
        <w:t>.</w:t>
      </w:r>
    </w:p>
    <w:p w14:paraId="613AAB90" w14:textId="77777777" w:rsidR="006074A5" w:rsidRPr="009F36E0" w:rsidRDefault="006074A5" w:rsidP="006074A5">
      <w:pPr>
        <w:pStyle w:val="a8"/>
        <w:bidi/>
        <w:rPr>
          <w:rFonts w:ascii="Narkisim" w:hAnsi="Narkisim"/>
        </w:rPr>
      </w:pPr>
      <w:r w:rsidRPr="009F36E0">
        <w:rPr>
          <w:rFonts w:ascii="Narkisim" w:hAnsi="Narkisim"/>
          <w:rtl/>
        </w:rPr>
        <w:t>ורבא ס"ל דפלגינן דיבוריה, דנהרג בעלה והוא לא הרגו. ומש"ה נאמן בעדות שנהרג בעלה, ופלגינן דאין כאן עדות על עצמו. אבל לדעת רב יוסף לא מחלקים את הדיבור, וע”פ דבריו הוה עד פסול ואינו נאמן להתירה</w:t>
      </w:r>
      <w:r w:rsidRPr="009F36E0">
        <w:rPr>
          <w:rFonts w:ascii="Narkisim" w:hAnsi="Narkisim"/>
        </w:rPr>
        <w:t>.</w:t>
      </w:r>
    </w:p>
    <w:p w14:paraId="22D4AC8C" w14:textId="77777777" w:rsidR="006074A5" w:rsidRPr="009F36E0" w:rsidRDefault="006074A5" w:rsidP="006074A5">
      <w:pPr>
        <w:pStyle w:val="a7"/>
        <w:bidi/>
        <w:rPr>
          <w:rFonts w:ascii="Narkisim" w:hAnsi="Narkisim"/>
        </w:rPr>
      </w:pPr>
      <w:r w:rsidRPr="009F36E0">
        <w:rPr>
          <w:rFonts w:ascii="Narkisim" w:hAnsi="Narkisim"/>
          <w:rtl/>
        </w:rPr>
        <w:t>אבל למ"ד דרשע נאמן לעדות אשה לכו"ע ל"צ לחלק דיבוריה, ונאמן בכל דיבורו שהוא הרגו, כלפי התרת האשה. ואף דאינו נפסל לעדות ע"פ עצמו. [אך רע"א הק' מהגמ' כתובות יח:, ע' בסמוך]</w:t>
      </w:r>
      <w:r w:rsidRPr="009F36E0">
        <w:rPr>
          <w:rFonts w:ascii="Narkisim" w:hAnsi="Narkisim"/>
        </w:rPr>
        <w:t>.</w:t>
      </w:r>
    </w:p>
    <w:p w14:paraId="53EC4CA7"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קובה"ע כא א, והשער"י ו יא האריך טובא בכ"ז)</w:t>
      </w:r>
      <w:r w:rsidRPr="009F36E0">
        <w:rPr>
          <w:rFonts w:ascii="Narkisim" w:hAnsi="Narkisim"/>
          <w:rtl/>
        </w:rPr>
        <w:t xml:space="preserve"> ביארו דרב יוסף מודה דאמרי' פלגינן נאמנות [דנאמן בנידון האשה, ולא בנידון על עצמו]. אלא דהכא לא סגי בפלגינן נאמנות </w:t>
      </w:r>
      <w:r w:rsidRPr="009F36E0">
        <w:rPr>
          <w:rFonts w:ascii="Narkisim" w:hAnsi="Narkisim"/>
          <w:rtl/>
        </w:rPr>
        <w:lastRenderedPageBreak/>
        <w:t>[</w:t>
      </w:r>
      <w:r w:rsidRPr="009F36E0">
        <w:rPr>
          <w:rFonts w:ascii="Narkisim" w:hAnsi="Narkisim"/>
          <w:szCs w:val="20"/>
          <w:rtl/>
        </w:rPr>
        <w:t>דלדבריך רשע אתה</w:t>
      </w:r>
      <w:r w:rsidRPr="009F36E0">
        <w:rPr>
          <w:rStyle w:val="ac"/>
          <w:rFonts w:ascii="Narkisim" w:hAnsi="Narkisim"/>
          <w:szCs w:val="20"/>
          <w:rtl/>
        </w:rPr>
        <w:footnoteReference w:id="1503"/>
      </w:r>
      <w:r w:rsidRPr="009F36E0">
        <w:rPr>
          <w:rFonts w:ascii="Narkisim" w:hAnsi="Narkisim"/>
          <w:sz w:val="20"/>
          <w:szCs w:val="20"/>
        </w:rPr>
        <w:t xml:space="preserve"> </w:t>
      </w:r>
      <w:r w:rsidRPr="009F36E0">
        <w:rPr>
          <w:rFonts w:ascii="Narkisim" w:hAnsi="Narkisim"/>
          <w:sz w:val="20"/>
          <w:szCs w:val="20"/>
          <w:rtl/>
        </w:rPr>
        <w:t>וכנ"ל],</w:t>
      </w:r>
      <w:r w:rsidRPr="009F36E0">
        <w:rPr>
          <w:rFonts w:ascii="Narkisim" w:hAnsi="Narkisim"/>
          <w:rtl/>
        </w:rPr>
        <w:t xml:space="preserve"> ומש"ה אך בנידון האשה ל"מ</w:t>
      </w:r>
      <w:r w:rsidRPr="009F36E0">
        <w:rPr>
          <w:rFonts w:ascii="Narkisim" w:hAnsi="Narkisim"/>
        </w:rPr>
        <w:t>.</w:t>
      </w:r>
    </w:p>
    <w:p w14:paraId="2B457BAF" w14:textId="77777777" w:rsidR="006074A5" w:rsidRPr="009F36E0" w:rsidRDefault="006074A5" w:rsidP="006074A5">
      <w:pPr>
        <w:pStyle w:val="a8"/>
        <w:bidi/>
        <w:rPr>
          <w:rFonts w:ascii="Narkisim" w:hAnsi="Narkisim"/>
        </w:rPr>
      </w:pPr>
      <w:r w:rsidRPr="009F36E0">
        <w:rPr>
          <w:rFonts w:ascii="Narkisim" w:hAnsi="Narkisim"/>
          <w:rtl/>
        </w:rPr>
        <w:t>ועפ"ז ייסדו ה</w:t>
      </w:r>
      <w:r w:rsidRPr="009F36E0">
        <w:rPr>
          <w:rFonts w:ascii="Narkisim" w:hAnsi="Narkisim"/>
          <w:b/>
          <w:bCs/>
          <w:rtl/>
        </w:rPr>
        <w:t>אחרונים</w:t>
      </w:r>
      <w:r w:rsidRPr="009F36E0">
        <w:rPr>
          <w:rFonts w:ascii="Narkisim" w:hAnsi="Narkisim"/>
          <w:rtl/>
        </w:rPr>
        <w:t xml:space="preserve"> דיש ב' גדרי פלגינן, פלגינן נאמנות [שנתקבל העדות כלפי נידון א', ואף דאינו נאמן כלפי נידון השני</w:t>
      </w:r>
      <w:r w:rsidRPr="009F36E0">
        <w:rPr>
          <w:rStyle w:val="ac"/>
          <w:rFonts w:ascii="Narkisim" w:hAnsi="Narkisim"/>
          <w:rtl/>
        </w:rPr>
        <w:footnoteReference w:id="1504"/>
      </w:r>
      <w:r w:rsidRPr="009F36E0">
        <w:rPr>
          <w:rFonts w:ascii="Narkisim" w:hAnsi="Narkisim"/>
          <w:rtl/>
        </w:rPr>
        <w:t>] ופלגינן דיבורא [שנתקבל חלק מסיפור העדות, שפלוני רבע, ולא מקבלים את פרטי המעשה, את מי רבע]. וצ"ע דהראשונים בכ"מ (ע' תוס' בע"ב) דימו אופנים שונים של פלגינן</w:t>
      </w:r>
      <w:r w:rsidRPr="009F36E0">
        <w:rPr>
          <w:rStyle w:val="ac"/>
          <w:rFonts w:ascii="Narkisim" w:hAnsi="Narkisim"/>
          <w:rtl/>
        </w:rPr>
        <w:footnoteReference w:id="1505"/>
      </w:r>
      <w:r w:rsidRPr="009F36E0">
        <w:rPr>
          <w:rFonts w:ascii="Narkisim" w:hAnsi="Narkisim"/>
        </w:rPr>
        <w:t>.</w:t>
      </w:r>
    </w:p>
    <w:p w14:paraId="23A6BA53" w14:textId="77777777" w:rsidR="006074A5" w:rsidRPr="009F36E0" w:rsidRDefault="006074A5" w:rsidP="006074A5">
      <w:pPr>
        <w:bidi/>
        <w:rPr>
          <w:rFonts w:ascii="Narkisim" w:hAnsi="Narkisim" w:cs="Narkisim"/>
        </w:rPr>
      </w:pPr>
      <w:r w:rsidRPr="009F36E0">
        <w:rPr>
          <w:rFonts w:ascii="Narkisim" w:hAnsi="Narkisim" w:cs="Narkisim"/>
          <w:rtl/>
        </w:rPr>
        <w:t>וה</w:t>
      </w:r>
      <w:r w:rsidRPr="009F36E0">
        <w:rPr>
          <w:rFonts w:ascii="Narkisim" w:hAnsi="Narkisim" w:cs="Narkisim"/>
          <w:b/>
          <w:bCs/>
          <w:rtl/>
        </w:rPr>
        <w:t>אבן האזל</w:t>
      </w:r>
      <w:r w:rsidRPr="009F36E0">
        <w:rPr>
          <w:rFonts w:ascii="Narkisim" w:hAnsi="Narkisim" w:cs="Narkisim"/>
          <w:sz w:val="20"/>
          <w:szCs w:val="20"/>
          <w:rtl/>
        </w:rPr>
        <w:t xml:space="preserve"> (חובל ה ז, והו' בברכ"ש י)</w:t>
      </w:r>
      <w:r w:rsidRPr="009F36E0">
        <w:rPr>
          <w:rFonts w:ascii="Narkisim" w:hAnsi="Narkisim" w:cs="Narkisim"/>
          <w:rtl/>
        </w:rPr>
        <w:t xml:space="preserve"> ביאר דברי רב יוסף באופן נוסף [לתרץ קו' רע"א] דרב יוסף ס"ל דכיון דלדבריו רשע הוא אין התחלת עדות. ולא אמרי' פלגינן אא"כ יש צד עדות, ומש"ה מוכרחים לקבל דבריו. אבל למ"ד דגזלן כשר לעדות אשה, א"כ יש עליו שם עדות. ומש"ה נאמן על מיתת הבעל, ומוכרח לעשות דין פלגינן</w:t>
      </w:r>
      <w:r w:rsidRPr="009F36E0">
        <w:rPr>
          <w:rStyle w:val="ac"/>
          <w:rFonts w:ascii="Narkisim" w:hAnsi="Narkisim" w:cs="Narkisim"/>
          <w:rtl/>
        </w:rPr>
        <w:footnoteReference w:id="1506"/>
      </w:r>
      <w:r w:rsidRPr="009F36E0">
        <w:rPr>
          <w:rFonts w:ascii="Narkisim" w:hAnsi="Narkisim" w:cs="Narkisim"/>
        </w:rPr>
        <w:t>.</w:t>
      </w:r>
    </w:p>
    <w:p w14:paraId="4E46BC25" w14:textId="77777777" w:rsidR="006074A5" w:rsidRPr="009F36E0" w:rsidRDefault="006074A5" w:rsidP="006074A5">
      <w:pPr>
        <w:pStyle w:val="a8"/>
        <w:bidi/>
        <w:rPr>
          <w:rFonts w:ascii="Narkisim" w:hAnsi="Narkisim"/>
        </w:rPr>
      </w:pPr>
      <w:r w:rsidRPr="009F36E0">
        <w:rPr>
          <w:rFonts w:ascii="Narkisim" w:hAnsi="Narkisim"/>
          <w:rtl/>
        </w:rPr>
        <w:t xml:space="preserve">והביא דכ"כ בשו"ת </w:t>
      </w:r>
      <w:r w:rsidRPr="009F36E0">
        <w:rPr>
          <w:rFonts w:ascii="Narkisim" w:hAnsi="Narkisim"/>
          <w:b/>
          <w:bCs/>
          <w:rtl/>
        </w:rPr>
        <w:t>מהרי"ל</w:t>
      </w:r>
      <w:r w:rsidRPr="009F36E0">
        <w:rPr>
          <w:rFonts w:ascii="Narkisim" w:hAnsi="Narkisim"/>
          <w:rtl/>
        </w:rPr>
        <w:t xml:space="preserve"> </w:t>
      </w:r>
      <w:r w:rsidRPr="009F36E0">
        <w:rPr>
          <w:rFonts w:ascii="Narkisim" w:hAnsi="Narkisim"/>
          <w:b/>
          <w:bCs/>
          <w:rtl/>
        </w:rPr>
        <w:t>דיסקין</w:t>
      </w:r>
      <w:r w:rsidRPr="009F36E0">
        <w:rPr>
          <w:rFonts w:ascii="Narkisim" w:hAnsi="Narkisim"/>
          <w:rtl/>
        </w:rPr>
        <w:t xml:space="preserve"> (לט). והמהרי"ל דיסקין הק' דיהיה נאמן לומר הרגתיו ועשיתי תשובה, דבזה ל”ש לדבריך רשע אתה. והוכיח מזה כדעת ה</w:t>
      </w:r>
      <w:r w:rsidRPr="009F36E0">
        <w:rPr>
          <w:rFonts w:ascii="Narkisim" w:hAnsi="Narkisim"/>
          <w:b/>
          <w:bCs/>
          <w:rtl/>
        </w:rPr>
        <w:t>פוסקים</w:t>
      </w:r>
      <w:r w:rsidRPr="009F36E0">
        <w:rPr>
          <w:rStyle w:val="ac"/>
          <w:rFonts w:ascii="Narkisim" w:hAnsi="Narkisim"/>
          <w:rtl/>
        </w:rPr>
        <w:footnoteReference w:id="1507"/>
      </w:r>
      <w:r w:rsidRPr="009F36E0">
        <w:rPr>
          <w:rFonts w:ascii="Narkisim" w:hAnsi="Narkisim"/>
        </w:rPr>
        <w:t xml:space="preserve"> </w:t>
      </w:r>
      <w:r w:rsidRPr="009F36E0">
        <w:rPr>
          <w:rFonts w:ascii="Narkisim" w:hAnsi="Narkisim"/>
          <w:rtl/>
        </w:rPr>
        <w:t>דאף בעדות אשה יש חסרון תחילתו בפסלות</w:t>
      </w:r>
      <w:r w:rsidRPr="009F36E0">
        <w:rPr>
          <w:rStyle w:val="ac"/>
          <w:rFonts w:ascii="Narkisim" w:hAnsi="Narkisim"/>
          <w:rtl/>
        </w:rPr>
        <w:footnoteReference w:id="1508"/>
      </w:r>
      <w:r w:rsidRPr="009F36E0">
        <w:rPr>
          <w:rFonts w:ascii="Narkisim" w:hAnsi="Narkisim"/>
        </w:rPr>
        <w:t>.</w:t>
      </w:r>
    </w:p>
    <w:p w14:paraId="0AACC7EA" w14:textId="77777777" w:rsidR="006074A5" w:rsidRPr="009F36E0" w:rsidRDefault="006074A5" w:rsidP="006074A5">
      <w:pPr>
        <w:pStyle w:val="aa"/>
        <w:bidi/>
        <w:rPr>
          <w:rFonts w:ascii="Narkisim" w:hAnsi="Narkisim"/>
        </w:rPr>
      </w:pPr>
      <w:r w:rsidRPr="009F36E0">
        <w:rPr>
          <w:rFonts w:ascii="Narkisim" w:hAnsi="Narkisim"/>
          <w:u w:val="single"/>
          <w:rtl/>
        </w:rPr>
        <w:t>תוד"ה הוא.</w:t>
      </w:r>
      <w:r w:rsidRPr="009F36E0">
        <w:rPr>
          <w:rFonts w:ascii="Narkisim" w:hAnsi="Narkisim"/>
          <w:rtl/>
        </w:rPr>
        <w:t xml:space="preserve"> משמע דהרוג ונרבע פסולים להעיד משום שונא. ה</w:t>
      </w:r>
      <w:r w:rsidRPr="009F36E0">
        <w:rPr>
          <w:rFonts w:ascii="Narkisim" w:hAnsi="Narkisim"/>
          <w:b/>
          <w:bCs/>
          <w:rtl/>
        </w:rPr>
        <w:t>מהרש"ל</w:t>
      </w:r>
      <w:r w:rsidRPr="009F36E0">
        <w:rPr>
          <w:rFonts w:ascii="Narkisim" w:hAnsi="Narkisim"/>
          <w:rtl/>
        </w:rPr>
        <w:t xml:space="preserve"> (סנהדרין ט:) הביא </w:t>
      </w:r>
      <w:r w:rsidRPr="009F36E0">
        <w:rPr>
          <w:rFonts w:ascii="Narkisim" w:hAnsi="Narkisim"/>
          <w:b/>
          <w:bCs/>
          <w:rtl/>
        </w:rPr>
        <w:t>גליון תו"י</w:t>
      </w:r>
      <w:r w:rsidRPr="009F36E0">
        <w:rPr>
          <w:rFonts w:ascii="Narkisim" w:hAnsi="Narkisim"/>
          <w:rtl/>
        </w:rPr>
        <w:t xml:space="preserve"> דהק' דר' יהודה ורבנן (סנהדרין כז:) נח' אי שונא פסול לעדות, וקי"ל כרבנן דלא נחשדו ישראל על כך</w:t>
      </w:r>
      <w:r w:rsidRPr="009F36E0">
        <w:rPr>
          <w:rStyle w:val="ac"/>
          <w:rFonts w:ascii="Narkisim" w:hAnsi="Narkisim"/>
          <w:rtl/>
        </w:rPr>
        <w:footnoteReference w:id="1509"/>
      </w:r>
      <w:r w:rsidRPr="009F36E0">
        <w:rPr>
          <w:rFonts w:ascii="Narkisim" w:hAnsi="Narkisim"/>
        </w:rPr>
        <w:t xml:space="preserve">. </w:t>
      </w:r>
      <w:r w:rsidRPr="009F36E0">
        <w:rPr>
          <w:rFonts w:ascii="Narkisim" w:hAnsi="Narkisim"/>
          <w:rtl/>
        </w:rPr>
        <w:t>אבל ב</w:t>
      </w:r>
      <w:r w:rsidRPr="009F36E0">
        <w:rPr>
          <w:rFonts w:ascii="Narkisim" w:hAnsi="Narkisim"/>
          <w:b/>
          <w:bCs/>
          <w:rtl/>
        </w:rPr>
        <w:t>שו"ת מהרש"ל</w:t>
      </w:r>
      <w:r w:rsidRPr="009F36E0">
        <w:rPr>
          <w:rFonts w:ascii="Narkisim" w:hAnsi="Narkisim"/>
          <w:rtl/>
        </w:rPr>
        <w:t xml:space="preserve"> (לג) כת' דהך שונא גרע, דנחשב נוגע בדבר שרוצה להנקם</w:t>
      </w:r>
      <w:r w:rsidRPr="009F36E0">
        <w:rPr>
          <w:rStyle w:val="ac"/>
          <w:rFonts w:ascii="Narkisim" w:hAnsi="Narkisim"/>
          <w:rtl/>
        </w:rPr>
        <w:footnoteReference w:id="1510"/>
      </w:r>
      <w:r w:rsidRPr="009F36E0">
        <w:rPr>
          <w:rFonts w:ascii="Narkisim" w:hAnsi="Narkisim"/>
        </w:rPr>
        <w:t>.</w:t>
      </w:r>
    </w:p>
    <w:p w14:paraId="217E01C6" w14:textId="77777777" w:rsidR="006074A5" w:rsidRPr="009F36E0" w:rsidRDefault="006074A5" w:rsidP="006074A5">
      <w:pPr>
        <w:pStyle w:val="a8"/>
        <w:bidi/>
        <w:rPr>
          <w:rFonts w:ascii="Narkisim" w:hAnsi="Narkisim"/>
        </w:rPr>
      </w:pPr>
      <w:r w:rsidRPr="009F36E0">
        <w:rPr>
          <w:rFonts w:ascii="Narkisim" w:hAnsi="Narkisim"/>
          <w:rtl/>
        </w:rPr>
        <w:t>ותוס' הביאו דהכא משמע דכשר. ולא מחזקינן אותו כשונא כה”ג</w:t>
      </w:r>
      <w:r w:rsidRPr="009F36E0">
        <w:rPr>
          <w:rStyle w:val="ac"/>
          <w:rFonts w:ascii="Narkisim" w:hAnsi="Narkisim"/>
          <w:rtl/>
        </w:rPr>
        <w:footnoteReference w:id="1511"/>
      </w:r>
      <w:r w:rsidRPr="009F36E0">
        <w:rPr>
          <w:rFonts w:ascii="Narkisim" w:hAnsi="Narkisim"/>
        </w:rPr>
        <w:t xml:space="preserve">. </w:t>
      </w:r>
      <w:r w:rsidRPr="009F36E0">
        <w:rPr>
          <w:rFonts w:ascii="Narkisim" w:hAnsi="Narkisim"/>
          <w:rtl/>
        </w:rPr>
        <w:t>א"נ חזר בו דאף שונא גמור כשר</w:t>
      </w:r>
      <w:r w:rsidRPr="009F36E0">
        <w:rPr>
          <w:rFonts w:ascii="Narkisim" w:hAnsi="Narkisim"/>
        </w:rPr>
        <w:t>.</w:t>
      </w:r>
    </w:p>
    <w:p w14:paraId="7A16D162" w14:textId="77777777" w:rsidR="006074A5" w:rsidRPr="009F36E0" w:rsidRDefault="006074A5" w:rsidP="006074A5">
      <w:pPr>
        <w:pStyle w:val="aa"/>
        <w:bidi/>
        <w:rPr>
          <w:rFonts w:ascii="Narkisim" w:hAnsi="Narkisim"/>
        </w:rPr>
      </w:pPr>
      <w:r w:rsidRPr="009F36E0">
        <w:rPr>
          <w:rFonts w:ascii="Narkisim" w:hAnsi="Narkisim"/>
          <w:u w:val="single"/>
          <w:rtl/>
        </w:rPr>
        <w:t>בא"ד [בע"ב] אלא אר"י משעה שנעשה טריפה, דטריפה פסול לעדות</w:t>
      </w:r>
      <w:r w:rsidRPr="009F36E0">
        <w:rPr>
          <w:rFonts w:ascii="Narkisim" w:hAnsi="Narkisim"/>
          <w:rtl/>
        </w:rPr>
        <w:t>. בפשוטו מבואר בגמ' (סנהד' עח.) דטריפה פסול משום עדות שא”א יכול להזימה. ובתוס' מבואר דאמרי' עדות שבטלה מקצתה, ומבואר דנחשב פסלות. וכן</w:t>
      </w:r>
      <w:r w:rsidRPr="009F36E0">
        <w:rPr>
          <w:rFonts w:ascii="Narkisim" w:eastAsia="Narkisim" w:hAnsi="Narkisim"/>
          <w:rtl/>
        </w:rPr>
        <w:t xml:space="preserve"> </w:t>
      </w:r>
      <w:r w:rsidRPr="009F36E0">
        <w:rPr>
          <w:rFonts w:ascii="Narkisim" w:hAnsi="Narkisim"/>
          <w:rtl/>
        </w:rPr>
        <w:t>ה</w:t>
      </w:r>
      <w:r w:rsidRPr="009F36E0">
        <w:rPr>
          <w:rFonts w:ascii="Narkisim" w:hAnsi="Narkisim"/>
          <w:b/>
          <w:bCs/>
          <w:rtl/>
        </w:rPr>
        <w:t>ב"י</w:t>
      </w:r>
      <w:r w:rsidRPr="009F36E0">
        <w:rPr>
          <w:rFonts w:ascii="Narkisim" w:hAnsi="Narkisim"/>
          <w:rtl/>
        </w:rPr>
        <w:t xml:space="preserve"> (חו"מ ס"ס לג) הביאה מכאן דטריפה פסול לעדות</w:t>
      </w:r>
      <w:r w:rsidRPr="009F36E0">
        <w:rPr>
          <w:rStyle w:val="ac"/>
          <w:rFonts w:ascii="Narkisim" w:hAnsi="Narkisim"/>
          <w:rtl/>
        </w:rPr>
        <w:footnoteReference w:id="1512"/>
      </w:r>
      <w:r w:rsidRPr="009F36E0">
        <w:rPr>
          <w:rFonts w:ascii="Narkisim" w:hAnsi="Narkisim"/>
        </w:rPr>
        <w:t xml:space="preserve"> </w:t>
      </w:r>
      <w:r w:rsidRPr="009F36E0">
        <w:rPr>
          <w:rFonts w:ascii="Narkisim" w:hAnsi="Narkisim"/>
          <w:rtl/>
        </w:rPr>
        <w:t>[אף בדיני ממונות, דל"ש בזה סברת יכול להזימה]. וה</w:t>
      </w:r>
      <w:r w:rsidRPr="009F36E0">
        <w:rPr>
          <w:rFonts w:ascii="Narkisim" w:hAnsi="Narkisim"/>
          <w:b/>
          <w:bCs/>
          <w:rtl/>
        </w:rPr>
        <w:t>דרכ"מ</w:t>
      </w:r>
      <w:r w:rsidRPr="009F36E0">
        <w:rPr>
          <w:rFonts w:ascii="Narkisim" w:hAnsi="Narkisim"/>
          <w:rtl/>
        </w:rPr>
        <w:t xml:space="preserve"> (שם ט) חלק דכשר להעיד עדות ממון, דאי"צ עדות שיכול להזימה</w:t>
      </w:r>
      <w:r w:rsidRPr="009F36E0">
        <w:rPr>
          <w:rFonts w:ascii="Narkisim" w:hAnsi="Narkisim"/>
        </w:rPr>
        <w:t>.</w:t>
      </w:r>
    </w:p>
    <w:p w14:paraId="586B8F3E" w14:textId="77777777" w:rsidR="006074A5" w:rsidRPr="009F36E0" w:rsidRDefault="006074A5" w:rsidP="006074A5">
      <w:pPr>
        <w:pStyle w:val="3"/>
        <w:bidi/>
        <w:rPr>
          <w:rFonts w:ascii="Narkisim" w:hAnsi="Narkisim"/>
        </w:rPr>
      </w:pPr>
      <w:r w:rsidRPr="009F36E0">
        <w:rPr>
          <w:rFonts w:ascii="Narkisim" w:hAnsi="Narkisim"/>
          <w:rtl/>
        </w:rPr>
        <w:t>דף כה</w:t>
      </w:r>
      <w:r w:rsidRPr="009F36E0">
        <w:rPr>
          <w:rFonts w:ascii="Narkisim" w:hAnsi="Narkisim"/>
        </w:rPr>
        <w:t>:</w:t>
      </w:r>
    </w:p>
    <w:p w14:paraId="31631411" w14:textId="77777777" w:rsidR="006074A5" w:rsidRPr="009F36E0" w:rsidRDefault="006074A5" w:rsidP="006074A5">
      <w:pPr>
        <w:bidi/>
        <w:rPr>
          <w:rFonts w:ascii="Narkisim" w:hAnsi="Narkisim" w:cs="Narkisim"/>
        </w:rPr>
      </w:pPr>
      <w:r w:rsidRPr="009F36E0">
        <w:rPr>
          <w:rFonts w:ascii="Narkisim" w:hAnsi="Narkisim" w:cs="Narkisim"/>
          <w:u w:val="single"/>
          <w:rtl/>
        </w:rPr>
        <w:t>דאמר רבא אדם קרוב אצל עצמו.</w:t>
      </w:r>
      <w:r w:rsidRPr="009F36E0">
        <w:rPr>
          <w:rFonts w:ascii="Narkisim" w:hAnsi="Narkisim" w:cs="Narkisim"/>
          <w:rtl/>
        </w:rPr>
        <w:t xml:space="preserve"> בגמ' (סנהדרין י.) מבואר שסברת רבא דפלגינן </w:t>
      </w:r>
      <w:r w:rsidRPr="009F36E0">
        <w:rPr>
          <w:rFonts w:ascii="Narkisim" w:hAnsi="Narkisim" w:cs="Narkisim"/>
          <w:rtl/>
        </w:rPr>
        <w:lastRenderedPageBreak/>
        <w:t>דיבורא</w:t>
      </w:r>
      <w:r w:rsidRPr="009F36E0">
        <w:rPr>
          <w:rStyle w:val="ac"/>
          <w:rFonts w:ascii="Narkisim" w:hAnsi="Narkisim" w:cs="Narkisim"/>
          <w:rtl/>
        </w:rPr>
        <w:footnoteReference w:id="1513"/>
      </w:r>
      <w:r w:rsidRPr="009F36E0">
        <w:rPr>
          <w:rFonts w:ascii="Narkisim" w:hAnsi="Narkisim" w:cs="Narkisim"/>
        </w:rPr>
        <w:t xml:space="preserve">. </w:t>
      </w:r>
      <w:r w:rsidRPr="009F36E0">
        <w:rPr>
          <w:rFonts w:ascii="Narkisim" w:hAnsi="Narkisim" w:cs="Narkisim"/>
          <w:rtl/>
        </w:rPr>
        <w:t>ומקבלים עדותו שפלוני רבע, ולא את מי</w:t>
      </w:r>
      <w:r w:rsidRPr="009F36E0">
        <w:rPr>
          <w:rStyle w:val="ac"/>
          <w:rFonts w:ascii="Narkisim" w:hAnsi="Narkisim" w:cs="Narkisim"/>
          <w:rtl/>
        </w:rPr>
        <w:footnoteReference w:id="1514"/>
      </w:r>
      <w:r w:rsidRPr="009F36E0">
        <w:rPr>
          <w:rFonts w:ascii="Narkisim" w:hAnsi="Narkisim" w:cs="Narkisim"/>
        </w:rPr>
        <w:t>.</w:t>
      </w:r>
    </w:p>
    <w:p w14:paraId="4105A226"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דייקו דמשמע דבעי ב' טעמים, קרוב, ומשים עצמו רשע. וביארו [ע' חי' ר' שמואל] דמשום קרוב היה סגי פלגינן נאמנות [על דרך מש"כ רע"א, ע' לעיל], ורק כיון דהוה מעשה רשע עבדינן פלגינן דיבורא</w:t>
      </w:r>
      <w:r w:rsidRPr="009F36E0">
        <w:rPr>
          <w:rStyle w:val="ac"/>
          <w:rFonts w:ascii="Narkisim" w:hAnsi="Narkisim"/>
          <w:rtl/>
        </w:rPr>
        <w:footnoteReference w:id="1515"/>
      </w:r>
      <w:r w:rsidRPr="009F36E0">
        <w:rPr>
          <w:rFonts w:ascii="Narkisim" w:hAnsi="Narkisim"/>
        </w:rPr>
        <w:t xml:space="preserve">. </w:t>
      </w:r>
      <w:r w:rsidRPr="009F36E0">
        <w:rPr>
          <w:rFonts w:ascii="Narkisim" w:hAnsi="Narkisim"/>
          <w:rtl/>
        </w:rPr>
        <w:t>וב</w:t>
      </w:r>
      <w:r w:rsidRPr="009F36E0">
        <w:rPr>
          <w:rFonts w:ascii="Narkisim" w:hAnsi="Narkisim"/>
          <w:b/>
          <w:bCs/>
          <w:rtl/>
        </w:rPr>
        <w:t>שיע' ר' לייב גאויע</w:t>
      </w:r>
      <w:r w:rsidRPr="009F36E0">
        <w:rPr>
          <w:rFonts w:ascii="Narkisim" w:hAnsi="Narkisim"/>
          <w:rtl/>
        </w:rPr>
        <w:t xml:space="preserve"> (ועד"ז בשיע' הגר"נ בשם רב"ב) ביאר דכוונת הגמ' דרק במקום דיש דין עדות במקצת, וא"א לקבל דבריו בחציו עבדינן פלגינן</w:t>
      </w:r>
      <w:r w:rsidRPr="009F36E0">
        <w:rPr>
          <w:rFonts w:ascii="Narkisim" w:hAnsi="Narkisim"/>
        </w:rPr>
        <w:t>.</w:t>
      </w:r>
    </w:p>
    <w:p w14:paraId="102A5AB5" w14:textId="77777777" w:rsidR="006074A5" w:rsidRPr="009F36E0" w:rsidRDefault="006074A5" w:rsidP="006074A5">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ה</w:t>
      </w:r>
      <w:r w:rsidRPr="009F36E0">
        <w:rPr>
          <w:rFonts w:ascii="Narkisim" w:hAnsi="Narkisim" w:cs="Narkisim"/>
          <w:b/>
          <w:bCs/>
          <w:rtl/>
        </w:rPr>
        <w:t>שו"ת הרשב"א</w:t>
      </w:r>
      <w:r w:rsidRPr="009F36E0">
        <w:rPr>
          <w:rFonts w:ascii="Narkisim" w:hAnsi="Narkisim" w:cs="Narkisim"/>
          <w:sz w:val="20"/>
          <w:szCs w:val="20"/>
          <w:rtl/>
        </w:rPr>
        <w:t xml:space="preserve"> (אלף רלז, הו' בקובה"ע)</w:t>
      </w:r>
      <w:r w:rsidRPr="009F36E0">
        <w:rPr>
          <w:rFonts w:ascii="Narkisim" w:hAnsi="Narkisim" w:cs="Narkisim"/>
          <w:rtl/>
        </w:rPr>
        <w:t xml:space="preserve"> כתב דדוקא במקום שאפשר לחלק את הדיבור אמרי' פלגינן דיבורא [לרבא]. אבל באומר אני באתי על אשת פלוני, מיד בטלה עדותו לגמרי דא"א לקבל סוף דבריו, וודאי הוה לרצונו. ודוקא היכא דאמר אשת פלונית זינתה עמי, אין מקבלים מה שהסיק 'עמי'. וכן הרגתיו, תולים דהיה אונס או שוגג.</w:t>
      </w:r>
      <w:r w:rsidRPr="009F36E0">
        <w:rPr>
          <w:rFonts w:ascii="Narkisim" w:hAnsi="Narkisim" w:cs="Narkisim"/>
          <w:sz w:val="20"/>
          <w:szCs w:val="20"/>
          <w:rtl/>
        </w:rPr>
        <w:t xml:space="preserve"> אבל </w:t>
      </w:r>
      <w:r w:rsidRPr="009F36E0">
        <w:rPr>
          <w:rFonts w:ascii="Narkisim" w:hAnsi="Narkisim" w:cs="Narkisim"/>
          <w:b/>
          <w:bCs/>
          <w:sz w:val="20"/>
          <w:szCs w:val="20"/>
          <w:rtl/>
        </w:rPr>
        <w:t>תוס</w:t>
      </w:r>
      <w:r w:rsidRPr="009F36E0">
        <w:rPr>
          <w:rFonts w:ascii="Narkisim" w:hAnsi="Narkisim" w:cs="Narkisim"/>
          <w:sz w:val="20"/>
          <w:szCs w:val="20"/>
          <w:rtl/>
        </w:rPr>
        <w:t>' (כתובות יח: ועוד ראשונים) מבואר דפלגינן דאדם אחר הרגו. ומבואר דלא צריך לחלק את הדיבור ממש</w:t>
      </w:r>
      <w:r w:rsidRPr="009F36E0">
        <w:rPr>
          <w:rStyle w:val="ac"/>
          <w:rFonts w:ascii="Narkisim" w:hAnsi="Narkisim" w:cs="Narkisim"/>
          <w:sz w:val="20"/>
          <w:szCs w:val="20"/>
          <w:rtl/>
        </w:rPr>
        <w:footnoteReference w:id="1516"/>
      </w:r>
      <w:r w:rsidRPr="009F36E0">
        <w:rPr>
          <w:rFonts w:ascii="Narkisim" w:hAnsi="Narkisim" w:cs="Narkisim"/>
          <w:sz w:val="20"/>
          <w:szCs w:val="20"/>
        </w:rPr>
        <w:t>.</w:t>
      </w:r>
    </w:p>
    <w:p w14:paraId="43E68F7F" w14:textId="77777777" w:rsidR="006074A5" w:rsidRPr="009F36E0" w:rsidRDefault="006074A5" w:rsidP="006074A5">
      <w:pPr>
        <w:bidi/>
        <w:rPr>
          <w:rFonts w:ascii="Narkisim" w:hAnsi="Narkisim" w:cs="Narkisim"/>
        </w:rPr>
      </w:pPr>
      <w:r w:rsidRPr="009F36E0">
        <w:rPr>
          <w:rFonts w:ascii="Narkisim" w:hAnsi="Narkisim" w:cs="Narkisim"/>
          <w:u w:val="single"/>
          <w:rtl/>
        </w:rPr>
        <w:t>רש"י ד"ה רבא.</w:t>
      </w:r>
      <w:r w:rsidRPr="009F36E0">
        <w:rPr>
          <w:rFonts w:ascii="Narkisim" w:hAnsi="Narkisim" w:cs="Narkisim"/>
          <w:rtl/>
        </w:rPr>
        <w:t xml:space="preserve"> וקרוב פסול, הילכך אינו נעשה רשע בעדות עצמו. ופ</w:t>
      </w:r>
      <w:r w:rsidRPr="009F36E0">
        <w:rPr>
          <w:rFonts w:ascii="Narkisim" w:hAnsi="Narkisim" w:cs="Narkisim"/>
          <w:b/>
          <w:bCs/>
          <w:rtl/>
        </w:rPr>
        <w:t>רש"י</w:t>
      </w:r>
      <w:r w:rsidRPr="009F36E0">
        <w:rPr>
          <w:rFonts w:ascii="Narkisim" w:hAnsi="Narkisim" w:cs="Narkisim"/>
          <w:rtl/>
        </w:rPr>
        <w:t xml:space="preserve"> </w:t>
      </w:r>
      <w:r w:rsidRPr="009F36E0">
        <w:rPr>
          <w:rFonts w:ascii="Narkisim" w:hAnsi="Narkisim" w:cs="Narkisim"/>
          <w:szCs w:val="20"/>
          <w:rtl/>
        </w:rPr>
        <w:t>(ד"ה ואין אדם משים)</w:t>
      </w:r>
      <w:r w:rsidRPr="009F36E0">
        <w:rPr>
          <w:rFonts w:ascii="Narkisim" w:hAnsi="Narkisim" w:cs="Narkisim"/>
          <w:rtl/>
        </w:rPr>
        <w:t xml:space="preserve"> דאין עדותו עדות אצל עצמו ליעשות רשע. דלקנסא ולעונש מלקות וליפסל ליכא נאמנות על עצמו. וכעי"ז כת' </w:t>
      </w:r>
      <w:r w:rsidRPr="009F36E0">
        <w:rPr>
          <w:rFonts w:ascii="Narkisim" w:hAnsi="Narkisim" w:cs="Narkisim"/>
          <w:b/>
          <w:bCs/>
          <w:rtl/>
        </w:rPr>
        <w:t>רש"י</w:t>
      </w:r>
      <w:r w:rsidRPr="009F36E0">
        <w:rPr>
          <w:rFonts w:ascii="Narkisim" w:hAnsi="Narkisim" w:cs="Narkisim"/>
          <w:szCs w:val="20"/>
          <w:rtl/>
        </w:rPr>
        <w:t xml:space="preserve"> (כתובות יח:).</w:t>
      </w:r>
      <w:r w:rsidRPr="009F36E0">
        <w:rPr>
          <w:rFonts w:ascii="Narkisim" w:hAnsi="Narkisim" w:cs="Narkisim"/>
          <w:rtl/>
        </w:rPr>
        <w:t xml:space="preserve"> ומבואר דס"ד דיש נאמנות מיוחדת על עצמו. קמ"ל דליכא תורת נאמנות. </w:t>
      </w:r>
      <w:r w:rsidRPr="009F36E0">
        <w:rPr>
          <w:rFonts w:ascii="Narkisim" w:hAnsi="Narkisim" w:cs="Narkisim"/>
          <w:szCs w:val="20"/>
          <w:rtl/>
        </w:rPr>
        <w:t>[אבל ליכא דין מיוחד דאינו משים עצמו רשע]</w:t>
      </w:r>
      <w:r w:rsidRPr="009F36E0">
        <w:rPr>
          <w:rFonts w:ascii="Narkisim" w:hAnsi="Narkisim" w:cs="Narkisim"/>
        </w:rPr>
        <w:t>.</w:t>
      </w:r>
    </w:p>
    <w:p w14:paraId="7F1BC862"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גר"ש איגר</w:t>
      </w:r>
      <w:r w:rsidRPr="009F36E0">
        <w:rPr>
          <w:rFonts w:ascii="Narkisim" w:hAnsi="Narkisim"/>
          <w:sz w:val="20"/>
          <w:szCs w:val="20"/>
          <w:rtl/>
        </w:rPr>
        <w:t xml:space="preserve"> (חי' רע"א כתובות יב:)</w:t>
      </w:r>
      <w:r w:rsidRPr="009F36E0">
        <w:rPr>
          <w:rFonts w:ascii="Narkisim" w:hAnsi="Narkisim"/>
          <w:rtl/>
        </w:rPr>
        <w:t xml:space="preserve"> הביא דדעת רש"י סברת אין אדם משים עצמו רשע שייך רק בעדות. אבל </w:t>
      </w:r>
      <w:r w:rsidRPr="009F36E0">
        <w:rPr>
          <w:rFonts w:ascii="Narkisim" w:hAnsi="Narkisim"/>
          <w:b/>
          <w:bCs/>
          <w:rtl/>
        </w:rPr>
        <w:t>תוס</w:t>
      </w:r>
      <w:r w:rsidRPr="009F36E0">
        <w:rPr>
          <w:rFonts w:ascii="Narkisim" w:hAnsi="Narkisim"/>
          <w:rtl/>
        </w:rPr>
        <w:t xml:space="preserve">' </w:t>
      </w:r>
      <w:r w:rsidRPr="009F36E0">
        <w:rPr>
          <w:rFonts w:ascii="Narkisim" w:hAnsi="Narkisim"/>
          <w:szCs w:val="20"/>
          <w:rtl/>
        </w:rPr>
        <w:t>(ד"ה ואין, וכן תוס' ב"מ ג: סוד"ה מה אם</w:t>
      </w:r>
      <w:r w:rsidRPr="009F36E0">
        <w:rPr>
          <w:rFonts w:ascii="Narkisim" w:hAnsi="Narkisim"/>
          <w:rtl/>
        </w:rPr>
        <w:t>) דנו שלא יהא נאמן [לענין קרבן</w:t>
      </w:r>
      <w:r w:rsidRPr="009F36E0">
        <w:rPr>
          <w:rStyle w:val="ac"/>
          <w:rFonts w:ascii="Narkisim" w:hAnsi="Narkisim"/>
          <w:rtl/>
        </w:rPr>
        <w:footnoteReference w:id="1517"/>
      </w:r>
      <w:r w:rsidRPr="009F36E0">
        <w:rPr>
          <w:rFonts w:ascii="Narkisim" w:hAnsi="Narkisim"/>
          <w:rtl/>
        </w:rPr>
        <w:t>] שעשה רשעות</w:t>
      </w:r>
      <w:r w:rsidRPr="009F36E0">
        <w:rPr>
          <w:rStyle w:val="ac"/>
          <w:rFonts w:ascii="Narkisim" w:hAnsi="Narkisim"/>
          <w:rtl/>
        </w:rPr>
        <w:footnoteReference w:id="1518"/>
      </w:r>
      <w:r w:rsidRPr="009F36E0">
        <w:rPr>
          <w:rFonts w:ascii="Narkisim" w:hAnsi="Narkisim"/>
        </w:rPr>
        <w:t xml:space="preserve">. </w:t>
      </w:r>
      <w:r w:rsidRPr="009F36E0">
        <w:rPr>
          <w:rFonts w:ascii="Narkisim" w:hAnsi="Narkisim"/>
          <w:rtl/>
        </w:rPr>
        <w:t>ומבואר דנקטו דהוה יסוד בכל גדרי נאמנות בתורה, דאינו נאמן כשמשים עצמו רשע</w:t>
      </w:r>
      <w:r w:rsidRPr="009F36E0">
        <w:rPr>
          <w:rStyle w:val="ac"/>
          <w:rFonts w:ascii="Narkisim" w:hAnsi="Narkisim"/>
          <w:rtl/>
        </w:rPr>
        <w:footnoteReference w:id="1519"/>
      </w:r>
      <w:r w:rsidRPr="009F36E0">
        <w:rPr>
          <w:rFonts w:ascii="Narkisim" w:hAnsi="Narkisim"/>
        </w:rPr>
        <w:t xml:space="preserve">. </w:t>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האריכו בזה. </w:t>
      </w:r>
      <w:r w:rsidRPr="009F36E0">
        <w:rPr>
          <w:rFonts w:ascii="Narkisim" w:hAnsi="Narkisim"/>
          <w:szCs w:val="20"/>
          <w:rtl/>
        </w:rPr>
        <w:t xml:space="preserve">וע"ע ש"ש (ז ה), </w:t>
      </w:r>
      <w:r w:rsidRPr="009F36E0">
        <w:rPr>
          <w:rFonts w:ascii="Narkisim" w:hAnsi="Narkisim"/>
          <w:b/>
          <w:bCs/>
          <w:szCs w:val="20"/>
          <w:rtl/>
        </w:rPr>
        <w:t>קובה"ע</w:t>
      </w:r>
      <w:r w:rsidRPr="009F36E0">
        <w:rPr>
          <w:rFonts w:ascii="Narkisim" w:hAnsi="Narkisim"/>
          <w:szCs w:val="20"/>
          <w:rtl/>
        </w:rPr>
        <w:t xml:space="preserve"> (כב א)</w:t>
      </w:r>
      <w:r w:rsidRPr="009F36E0">
        <w:rPr>
          <w:rFonts w:ascii="Narkisim" w:hAnsi="Narkisim"/>
          <w:szCs w:val="20"/>
        </w:rPr>
        <w:t>.</w:t>
      </w:r>
    </w:p>
    <w:p w14:paraId="67E36238" w14:textId="77777777" w:rsidR="006074A5" w:rsidRPr="009F36E0" w:rsidRDefault="006074A5" w:rsidP="006074A5">
      <w:pPr>
        <w:pStyle w:val="aa"/>
        <w:bidi/>
        <w:rPr>
          <w:rFonts w:ascii="Narkisim" w:hAnsi="Narkisim"/>
        </w:rPr>
      </w:pPr>
      <w:r w:rsidRPr="009F36E0">
        <w:rPr>
          <w:rFonts w:ascii="Narkisim" w:hAnsi="Narkisim"/>
          <w:u w:val="single"/>
          <w:rtl/>
        </w:rPr>
        <w:t>תוד"ה רבא אמר.</w:t>
      </w:r>
      <w:r w:rsidRPr="009F36E0">
        <w:rPr>
          <w:rFonts w:ascii="Narkisim" w:hAnsi="Narkisim"/>
          <w:rtl/>
        </w:rPr>
        <w:t xml:space="preserve"> הק' ריב"א דמסיק רבא (כתובות יח:) וכו' דהו"ל לפלוגי דיבורא ולומר דאנוסים היו, ולא מחמת ממון</w:t>
      </w:r>
      <w:r w:rsidRPr="009F36E0">
        <w:rPr>
          <w:rStyle w:val="ac"/>
          <w:rFonts w:ascii="Narkisim" w:hAnsi="Narkisim"/>
          <w:rtl/>
        </w:rPr>
        <w:footnoteReference w:id="1520"/>
      </w:r>
      <w:r w:rsidRPr="009F36E0">
        <w:rPr>
          <w:rFonts w:ascii="Narkisim" w:hAnsi="Narkisim"/>
        </w:rPr>
        <w:t xml:space="preserve"> </w:t>
      </w:r>
      <w:r w:rsidRPr="009F36E0">
        <w:rPr>
          <w:rFonts w:ascii="Narkisim" w:hAnsi="Narkisim"/>
          <w:rtl/>
        </w:rPr>
        <w:t>וכו'. [ותוס' בתי' הב' כת' דל"ש פלגינן לומר דהוה מחמת נפשות, וע' תו"י. ותוס' (כתובות שם) כת' בכמה אופנים]</w:t>
      </w:r>
      <w:r w:rsidRPr="009F36E0">
        <w:rPr>
          <w:rFonts w:ascii="Narkisim" w:hAnsi="Narkisim"/>
        </w:rPr>
        <w:t>.</w:t>
      </w:r>
    </w:p>
    <w:p w14:paraId="193BD9AF" w14:textId="77777777" w:rsidR="006074A5" w:rsidRPr="009F36E0" w:rsidRDefault="006074A5" w:rsidP="006074A5">
      <w:pPr>
        <w:pStyle w:val="a8"/>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xml:space="preserve"> (סנהדרין ט:) תי' דסוגיא דהתם קאי כמ"ד (ב"ב קלד:) דלא פלגינן בחד גופא</w:t>
      </w:r>
      <w:r w:rsidRPr="009F36E0">
        <w:rPr>
          <w:rFonts w:ascii="Narkisim" w:hAnsi="Narkisim"/>
        </w:rPr>
        <w:t>.</w:t>
      </w:r>
    </w:p>
    <w:p w14:paraId="281AD229" w14:textId="77777777" w:rsidR="006074A5" w:rsidRPr="009F36E0" w:rsidRDefault="006074A5" w:rsidP="006074A5">
      <w:pPr>
        <w:pStyle w:val="aa"/>
        <w:bidi/>
        <w:rPr>
          <w:rFonts w:ascii="Narkisim" w:hAnsi="Narkisim"/>
        </w:rPr>
      </w:pPr>
      <w:r w:rsidRPr="009F36E0">
        <w:rPr>
          <w:rFonts w:ascii="Narkisim" w:hAnsi="Narkisim"/>
          <w:u w:val="single"/>
          <w:rtl/>
        </w:rPr>
        <w:t>שם.</w:t>
      </w:r>
      <w:r w:rsidRPr="009F36E0">
        <w:rPr>
          <w:rFonts w:ascii="Narkisim" w:hAnsi="Narkisim"/>
          <w:rtl/>
        </w:rPr>
        <w:t xml:space="preserve"> </w:t>
      </w:r>
      <w:r w:rsidRPr="009F36E0">
        <w:rPr>
          <w:rFonts w:ascii="Narkisim" w:hAnsi="Narkisim"/>
          <w:b/>
          <w:bCs/>
          <w:rtl/>
        </w:rPr>
        <w:t>רע"א</w:t>
      </w:r>
      <w:r w:rsidRPr="009F36E0">
        <w:rPr>
          <w:rFonts w:ascii="Narkisim" w:hAnsi="Narkisim"/>
          <w:rtl/>
        </w:rPr>
        <w:t xml:space="preserve"> הק' דהתם נאמן ע"י מיגו [והפה שאסר] ל"ש 'לדבריך רשע אתה', וא"כ שפיר שייך פלגינן נאמנות [ואף רב יוסף מודה בזה]. ואף שאינו נאמן על עצמו כלל, נאמינם שהשטר לא נעשית מדעת המתחייב [ואי"צ לדון כלל המעשה עדות]</w:t>
      </w:r>
      <w:r w:rsidRPr="009F36E0">
        <w:rPr>
          <w:rFonts w:ascii="Narkisim" w:hAnsi="Narkisim"/>
        </w:rPr>
        <w:t>.</w:t>
      </w:r>
    </w:p>
    <w:p w14:paraId="27FD4297"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(ר"ש איגר בחי' רע"א כתובות יט.) תי' דהא דמהני מיגו התם הוה רק מתורת עדות. דאינו נאמן לסתור את השטר אלא בתורת עדות. ומש"ה אף התם שייך לדבריך רשע אתה, ואין עדות לרשע. [ואכמ"ל בסוגיא דהתם]</w:t>
      </w:r>
      <w:r w:rsidRPr="009F36E0">
        <w:rPr>
          <w:rFonts w:ascii="Narkisim" w:hAnsi="Narkisim"/>
        </w:rPr>
        <w:t>.</w:t>
      </w:r>
    </w:p>
    <w:p w14:paraId="39F07093" w14:textId="77777777" w:rsidR="006074A5" w:rsidRPr="009F36E0" w:rsidRDefault="006074A5" w:rsidP="006074A5">
      <w:pPr>
        <w:pStyle w:val="a8"/>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ייסד דאין אדם משים עצמו רשע אף בתורת מיגו, ואין שומעים דבריהם שעשו מעשה רשע [וכדעת תוס' הנ"ל]. ומש"ה בעי פלגינן דיבורא. אך רע"א הק' דא"כ אף למ"ד דגזלן כשר לעדות אשה, האיך נאמן לומר הרגתיו [וכדלעיל לרב יוסף משום פלגינן נאמנות]. הא אינו נאמן לספר מעשה רשע</w:t>
      </w:r>
      <w:r w:rsidRPr="009F36E0">
        <w:rPr>
          <w:rFonts w:ascii="Narkisim" w:hAnsi="Narkisim"/>
        </w:rPr>
        <w:t>.</w:t>
      </w:r>
    </w:p>
    <w:p w14:paraId="581B8973" w14:textId="77777777" w:rsidR="006074A5" w:rsidRPr="009F36E0" w:rsidRDefault="006074A5" w:rsidP="006074A5">
      <w:pPr>
        <w:pStyle w:val="aa"/>
        <w:bidi/>
        <w:rPr>
          <w:rFonts w:ascii="Narkisim" w:hAnsi="Narkisim"/>
        </w:rPr>
      </w:pPr>
      <w:r w:rsidRPr="009F36E0">
        <w:rPr>
          <w:rFonts w:ascii="Narkisim" w:hAnsi="Narkisim"/>
          <w:u w:val="single"/>
          <w:rtl/>
        </w:rPr>
        <w:lastRenderedPageBreak/>
        <w:t>בא"ד ואור"י דלא פלגינן דיבורא לפסול השטר</w:t>
      </w:r>
      <w:r w:rsidRPr="009F36E0">
        <w:rPr>
          <w:rStyle w:val="ac"/>
          <w:rFonts w:ascii="Narkisim" w:hAnsi="Narkisim"/>
          <w:rtl/>
        </w:rPr>
        <w:footnoteReference w:id="1521"/>
      </w:r>
      <w:r w:rsidRPr="009F36E0">
        <w:rPr>
          <w:rFonts w:ascii="Narkisim" w:hAnsi="Narkisim"/>
        </w:rPr>
        <w:t xml:space="preserve">. </w:t>
      </w:r>
      <w:r w:rsidRPr="009F36E0">
        <w:rPr>
          <w:rFonts w:ascii="Narkisim" w:hAnsi="Narkisim"/>
          <w:rtl/>
        </w:rPr>
        <w:t>ה</w:t>
      </w:r>
      <w:r w:rsidRPr="009F36E0">
        <w:rPr>
          <w:rFonts w:ascii="Narkisim" w:hAnsi="Narkisim"/>
          <w:b/>
          <w:bCs/>
          <w:rtl/>
        </w:rPr>
        <w:t xml:space="preserve">אחרונים </w:t>
      </w:r>
      <w:r w:rsidRPr="009F36E0">
        <w:rPr>
          <w:rFonts w:ascii="Narkisim" w:hAnsi="Narkisim"/>
          <w:rtl/>
        </w:rPr>
        <w:t xml:space="preserve">הביאו דמבואר דצריך </w:t>
      </w:r>
      <w:r w:rsidRPr="009F36E0">
        <w:rPr>
          <w:rFonts w:ascii="Narkisim" w:hAnsi="Narkisim"/>
          <w:i/>
          <w:iCs/>
          <w:rtl/>
        </w:rPr>
        <w:t>סיבה</w:t>
      </w:r>
      <w:r w:rsidRPr="009F36E0">
        <w:rPr>
          <w:rFonts w:ascii="Narkisim" w:hAnsi="Narkisim"/>
          <w:rtl/>
        </w:rPr>
        <w:t xml:space="preserve"> </w:t>
      </w:r>
      <w:r w:rsidRPr="009F36E0">
        <w:rPr>
          <w:rFonts w:ascii="Narkisim" w:hAnsi="Narkisim"/>
          <w:i/>
          <w:iCs/>
          <w:rtl/>
        </w:rPr>
        <w:t>חיובית</w:t>
      </w:r>
      <w:r w:rsidRPr="009F36E0">
        <w:rPr>
          <w:rFonts w:ascii="Narkisim" w:hAnsi="Narkisim"/>
          <w:rtl/>
        </w:rPr>
        <w:t xml:space="preserve"> לעשות פלגינן</w:t>
      </w:r>
      <w:r w:rsidRPr="009F36E0">
        <w:rPr>
          <w:rStyle w:val="ac"/>
          <w:rFonts w:ascii="Narkisim" w:hAnsi="Narkisim"/>
          <w:rtl/>
        </w:rPr>
        <w:footnoteReference w:id="1522"/>
      </w:r>
      <w:r w:rsidRPr="009F36E0">
        <w:rPr>
          <w:rFonts w:ascii="Narkisim" w:hAnsi="Narkisim"/>
        </w:rPr>
        <w:t xml:space="preserve">. </w:t>
      </w:r>
      <w:r w:rsidRPr="009F36E0">
        <w:rPr>
          <w:rFonts w:ascii="Narkisim" w:hAnsi="Narkisim"/>
          <w:rtl/>
        </w:rPr>
        <w:t>וכיון דקיום שטרות דרבנן לא מקבלים את העדות כה"ג ע"י פלגינן</w:t>
      </w:r>
      <w:r w:rsidRPr="009F36E0">
        <w:rPr>
          <w:rFonts w:ascii="Narkisim" w:hAnsi="Narkisim"/>
        </w:rPr>
        <w:t>.</w:t>
      </w:r>
    </w:p>
    <w:p w14:paraId="3374D6A5" w14:textId="77777777" w:rsidR="006074A5" w:rsidRPr="009F36E0" w:rsidRDefault="006074A5" w:rsidP="006074A5">
      <w:pPr>
        <w:pStyle w:val="aa"/>
        <w:bidi/>
        <w:rPr>
          <w:rFonts w:ascii="Narkisim" w:hAnsi="Narkisim"/>
        </w:rPr>
      </w:pPr>
      <w:r w:rsidRPr="009F36E0">
        <w:rPr>
          <w:rFonts w:ascii="Narkisim" w:hAnsi="Narkisim"/>
          <w:u w:val="single"/>
          <w:rtl/>
        </w:rPr>
        <w:t>תוד"ה ואין.</w:t>
      </w:r>
      <w:r w:rsidRPr="009F36E0">
        <w:rPr>
          <w:rFonts w:ascii="Narkisim" w:hAnsi="Narkisim"/>
          <w:rtl/>
        </w:rPr>
        <w:t xml:space="preserve"> אבל נאמן וכו' מזיד הייתי וכו' דאין לנו לכופו להביא חולין לעזרה לפי דבריו</w:t>
      </w:r>
      <w:r w:rsidRPr="009F36E0">
        <w:rPr>
          <w:rStyle w:val="ac"/>
          <w:rFonts w:ascii="Narkisim" w:hAnsi="Narkisim"/>
          <w:rtl/>
        </w:rPr>
        <w:footnoteReference w:id="1523"/>
      </w:r>
      <w:r w:rsidRPr="009F36E0">
        <w:rPr>
          <w:rFonts w:ascii="Narkisim" w:hAnsi="Narkisim"/>
        </w:rPr>
        <w:t xml:space="preserve">. </w:t>
      </w:r>
      <w:r w:rsidRPr="009F36E0">
        <w:rPr>
          <w:rFonts w:ascii="Narkisim" w:hAnsi="Narkisim"/>
          <w:rtl/>
        </w:rPr>
        <w:t>ו</w:t>
      </w:r>
      <w:r w:rsidRPr="009F36E0">
        <w:rPr>
          <w:rFonts w:ascii="Narkisim" w:hAnsi="Narkisim"/>
          <w:b/>
          <w:bCs/>
          <w:rtl/>
        </w:rPr>
        <w:t>תוס</w:t>
      </w:r>
      <w:r w:rsidRPr="009F36E0">
        <w:rPr>
          <w:rFonts w:ascii="Narkisim" w:hAnsi="Narkisim"/>
          <w:rtl/>
        </w:rPr>
        <w:t>' (ב"מ ג: סוד"ה מה) תי' דהכא עושה תשובה, ואינו רוצה להביא חולין בעזרה</w:t>
      </w:r>
      <w:r w:rsidRPr="009F36E0">
        <w:rPr>
          <w:rStyle w:val="ac"/>
          <w:rFonts w:ascii="Narkisim" w:hAnsi="Narkisim"/>
          <w:rtl/>
        </w:rPr>
        <w:footnoteReference w:id="1524"/>
      </w:r>
      <w:r w:rsidRPr="009F36E0">
        <w:rPr>
          <w:rFonts w:ascii="Narkisim" w:hAnsi="Narkisim"/>
        </w:rPr>
        <w:t>.</w:t>
      </w:r>
    </w:p>
    <w:p w14:paraId="245B57ED" w14:textId="77777777" w:rsidR="006074A5" w:rsidRPr="009F36E0" w:rsidRDefault="006074A5" w:rsidP="006074A5">
      <w:pPr>
        <w:pStyle w:val="aa"/>
        <w:bidi/>
        <w:rPr>
          <w:rFonts w:ascii="Narkisim" w:hAnsi="Narkisim"/>
        </w:rPr>
      </w:pPr>
      <w:r w:rsidRPr="009F36E0">
        <w:rPr>
          <w:rFonts w:ascii="Narkisim" w:hAnsi="Narkisim"/>
          <w:u w:val="single"/>
          <w:rtl/>
        </w:rPr>
        <w:t>בא"ד וא"ת וכו' (סנהדרין כו:) איכא למ”ד חשוד על העריות כשר לעדות וכו</w:t>
      </w:r>
      <w:r w:rsidRPr="009F36E0">
        <w:rPr>
          <w:rFonts w:ascii="Narkisim" w:hAnsi="Narkisim"/>
          <w:rtl/>
        </w:rPr>
        <w:t>'. ו</w:t>
      </w:r>
      <w:r w:rsidRPr="009F36E0">
        <w:rPr>
          <w:rFonts w:ascii="Narkisim" w:hAnsi="Narkisim"/>
          <w:b/>
          <w:bCs/>
          <w:rtl/>
        </w:rPr>
        <w:t>תוס'</w:t>
      </w:r>
      <w:r w:rsidRPr="009F36E0">
        <w:rPr>
          <w:rFonts w:ascii="Narkisim" w:hAnsi="Narkisim"/>
          <w:rtl/>
        </w:rPr>
        <w:t xml:space="preserve"> (סנהדרין ט: ד"ה לרצונו) תי' עוד דבעריות כשר דיצרו תוקפו כ"כ, אבל ארביעה אין יצרו תוקפו כ"כ. א"נ כשר לעדות אחרת, אבל לגבי רביעה פסול, דהפסול לדבר לא דנו מעידו</w:t>
      </w:r>
      <w:r w:rsidRPr="009F36E0">
        <w:rPr>
          <w:rFonts w:ascii="Narkisim" w:hAnsi="Narkisim"/>
        </w:rPr>
        <w:t>.</w:t>
      </w:r>
    </w:p>
    <w:p w14:paraId="5F48ECB9" w14:textId="77777777" w:rsidR="006074A5" w:rsidRPr="009F36E0" w:rsidRDefault="006074A5" w:rsidP="006074A5">
      <w:pPr>
        <w:bidi/>
        <w:rPr>
          <w:rFonts w:ascii="Narkisim" w:hAnsi="Narkisim" w:cs="Narkisim"/>
        </w:rPr>
      </w:pPr>
      <w:r w:rsidRPr="009F36E0">
        <w:rPr>
          <w:rFonts w:ascii="Narkisim" w:hAnsi="Narkisim" w:cs="Narkisim"/>
          <w:u w:val="single"/>
          <w:rtl/>
        </w:rPr>
        <w:t>ושאני עדות אשה דאקילו בה רבנן.</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הילכך אף רשע נאמן. ומש"ה לא אמרי' לדבריך רשע אתה. </w:t>
      </w:r>
      <w:r w:rsidRPr="009F36E0">
        <w:rPr>
          <w:rFonts w:ascii="Narkisim" w:hAnsi="Narkisim" w:cs="Narkisim"/>
          <w:b/>
          <w:bCs/>
          <w:rtl/>
        </w:rPr>
        <w:t xml:space="preserve">רע"א </w:t>
      </w:r>
      <w:r w:rsidRPr="009F36E0">
        <w:rPr>
          <w:rFonts w:ascii="Narkisim" w:hAnsi="Narkisim" w:cs="Narkisim"/>
          <w:rtl/>
        </w:rPr>
        <w:t>(במשניות) הביא מכאן דכיון דלא נפסל לעדות אין חסרון דאינו משים עצמו רשע</w:t>
      </w:r>
      <w:r w:rsidRPr="009F36E0">
        <w:rPr>
          <w:rStyle w:val="ac"/>
          <w:rFonts w:ascii="Narkisim" w:hAnsi="Narkisim" w:cs="Narkisim"/>
          <w:rtl/>
        </w:rPr>
        <w:footnoteReference w:id="1525"/>
      </w:r>
      <w:r w:rsidRPr="009F36E0">
        <w:rPr>
          <w:rFonts w:ascii="Narkisim" w:hAnsi="Narkisim" w:cs="Narkisim"/>
        </w:rPr>
        <w:t xml:space="preserve">. </w:t>
      </w:r>
      <w:r w:rsidRPr="009F36E0">
        <w:rPr>
          <w:rFonts w:ascii="Narkisim" w:hAnsi="Narkisim" w:cs="Narkisim"/>
          <w:rtl/>
        </w:rPr>
        <w:t>(ע"ע בסמוך)</w:t>
      </w:r>
      <w:r w:rsidRPr="009F36E0">
        <w:rPr>
          <w:rFonts w:ascii="Narkisim" w:hAnsi="Narkisim" w:cs="Narkisim"/>
        </w:rPr>
        <w:t>.</w:t>
      </w:r>
    </w:p>
    <w:p w14:paraId="0BAE55F1" w14:textId="77777777" w:rsidR="006074A5" w:rsidRPr="009F36E0" w:rsidRDefault="006074A5" w:rsidP="006074A5">
      <w:pPr>
        <w:pStyle w:val="aa"/>
        <w:bidi/>
        <w:rPr>
          <w:rFonts w:ascii="Narkisim" w:hAnsi="Narkisim"/>
        </w:rPr>
      </w:pPr>
      <w:r w:rsidRPr="009F36E0">
        <w:rPr>
          <w:rFonts w:ascii="Narkisim" w:hAnsi="Narkisim"/>
          <w:u w:val="single"/>
          <w:rtl/>
        </w:rPr>
        <w:t>שם</w:t>
      </w:r>
      <w:r w:rsidRPr="009F36E0">
        <w:rPr>
          <w:rFonts w:ascii="Narkisim" w:hAnsi="Narkisim"/>
          <w:rtl/>
        </w:rPr>
        <w:t>. וה</w:t>
      </w:r>
      <w:r w:rsidRPr="009F36E0">
        <w:rPr>
          <w:rFonts w:ascii="Narkisim" w:hAnsi="Narkisim"/>
          <w:b/>
          <w:bCs/>
          <w:rtl/>
        </w:rPr>
        <w:t>שו"ת הרשב"א</w:t>
      </w:r>
      <w:r w:rsidRPr="009F36E0">
        <w:rPr>
          <w:rFonts w:ascii="Narkisim" w:hAnsi="Narkisim"/>
          <w:rtl/>
        </w:rPr>
        <w:t xml:space="preserve"> (א תקנב) כת' דאחרי קינוי וסתירה, אם הבועל מעיד שבא עליה, נאמן לאוסרה [וכמו עד א' בעלמא], דפלגינן דיבורא. וה</w:t>
      </w:r>
      <w:r w:rsidRPr="009F36E0">
        <w:rPr>
          <w:rFonts w:ascii="Narkisim" w:hAnsi="Narkisim"/>
          <w:b/>
          <w:bCs/>
          <w:rtl/>
        </w:rPr>
        <w:t>משנ"ל</w:t>
      </w:r>
      <w:r w:rsidRPr="009F36E0">
        <w:rPr>
          <w:rFonts w:ascii="Narkisim" w:hAnsi="Narkisim"/>
          <w:rtl/>
        </w:rPr>
        <w:t xml:space="preserve"> (סוטה א יד) הק' דל"ש בזה פלגינן דיבורא, כיון דלא היה שם עד אחר</w:t>
      </w:r>
      <w:r w:rsidRPr="009F36E0">
        <w:rPr>
          <w:rStyle w:val="ac"/>
          <w:rFonts w:ascii="Narkisim" w:hAnsi="Narkisim"/>
          <w:rtl/>
        </w:rPr>
        <w:footnoteReference w:id="1526"/>
      </w:r>
      <w:r w:rsidRPr="009F36E0">
        <w:rPr>
          <w:rFonts w:ascii="Narkisim" w:hAnsi="Narkisim"/>
        </w:rPr>
        <w:t xml:space="preserve">. </w:t>
      </w:r>
      <w:r w:rsidRPr="009F36E0">
        <w:rPr>
          <w:rFonts w:ascii="Narkisim" w:hAnsi="Narkisim"/>
          <w:rtl/>
        </w:rPr>
        <w:t>וה</w:t>
      </w:r>
      <w:r w:rsidRPr="009F36E0">
        <w:rPr>
          <w:rFonts w:ascii="Narkisim" w:hAnsi="Narkisim"/>
          <w:b/>
          <w:bCs/>
          <w:rtl/>
        </w:rPr>
        <w:t>גר"ח</w:t>
      </w:r>
      <w:r w:rsidRPr="009F36E0">
        <w:rPr>
          <w:rFonts w:ascii="Narkisim" w:hAnsi="Narkisim"/>
          <w:rtl/>
        </w:rPr>
        <w:t xml:space="preserve"> (הו' בברכ"ש י ועוד אחרונים, ע' ס' נאות יעקב ד ג וח) תי' דכוונת הרשב"א מדין פלגינן נאמנות. דאחרי קינוי וסתירה אף פסולים נאמנים, ולא שייך לדבריך רשע אתה. [וכדברי רע”א]</w:t>
      </w:r>
      <w:r w:rsidRPr="009F36E0">
        <w:rPr>
          <w:rFonts w:ascii="Narkisim" w:hAnsi="Narkisim"/>
        </w:rPr>
        <w:t>.</w:t>
      </w:r>
    </w:p>
    <w:p w14:paraId="3A23C522" w14:textId="77777777" w:rsidR="006074A5" w:rsidRPr="009F36E0" w:rsidRDefault="006074A5" w:rsidP="006074A5">
      <w:pPr>
        <w:bidi/>
        <w:rPr>
          <w:rFonts w:ascii="Narkisim" w:hAnsi="Narkisim" w:cs="Narkisim"/>
        </w:rPr>
      </w:pPr>
      <w:r w:rsidRPr="009F36E0">
        <w:rPr>
          <w:rFonts w:ascii="Narkisim" w:hAnsi="Narkisim" w:cs="Narkisim"/>
          <w:u w:val="single"/>
          <w:rtl/>
        </w:rPr>
        <w:t>תוד"ה לימא.</w:t>
      </w:r>
      <w:r w:rsidRPr="009F36E0">
        <w:rPr>
          <w:rFonts w:ascii="Narkisim" w:hAnsi="Narkisim" w:cs="Narkisim"/>
          <w:rtl/>
        </w:rPr>
        <w:t xml:space="preserve"> נאמן אתה לפסול את עצמך, אלמא פלגנן דיבורא. ה</w:t>
      </w:r>
      <w:r w:rsidRPr="009F36E0">
        <w:rPr>
          <w:rFonts w:ascii="Narkisim" w:hAnsi="Narkisim" w:cs="Narkisim"/>
          <w:b/>
          <w:bCs/>
          <w:rtl/>
        </w:rPr>
        <w:t>קובה"ע</w:t>
      </w:r>
      <w:r w:rsidRPr="009F36E0">
        <w:rPr>
          <w:rFonts w:ascii="Narkisim" w:hAnsi="Narkisim" w:cs="Narkisim"/>
          <w:sz w:val="20"/>
          <w:szCs w:val="20"/>
          <w:rtl/>
        </w:rPr>
        <w:t xml:space="preserve"> (כא יג)</w:t>
      </w:r>
      <w:r w:rsidRPr="009F36E0">
        <w:rPr>
          <w:rFonts w:ascii="Narkisim" w:hAnsi="Narkisim" w:cs="Narkisim"/>
          <w:rtl/>
        </w:rPr>
        <w:t xml:space="preserve"> הק' דהתם ל"ש פלגינן </w:t>
      </w:r>
      <w:r w:rsidRPr="009F36E0">
        <w:rPr>
          <w:rFonts w:ascii="Narkisim" w:hAnsi="Narkisim" w:cs="Narkisim"/>
          <w:i/>
          <w:iCs/>
          <w:rtl/>
        </w:rPr>
        <w:t>דיבורא</w:t>
      </w:r>
      <w:r w:rsidRPr="009F36E0">
        <w:rPr>
          <w:rFonts w:ascii="Narkisim" w:hAnsi="Narkisim" w:cs="Narkisim"/>
          <w:rtl/>
        </w:rPr>
        <w:t xml:space="preserve">, ול"ש לחלק את המעשה, אלא דהוה פלגינן נאמנות ונאמן כלפי עצמו. וצ"ע דתוס' השוום. </w:t>
      </w:r>
      <w:r w:rsidRPr="009F36E0">
        <w:rPr>
          <w:rFonts w:ascii="Narkisim" w:hAnsi="Narkisim" w:cs="Narkisim"/>
          <w:sz w:val="20"/>
          <w:szCs w:val="20"/>
          <w:rtl/>
        </w:rPr>
        <w:t>[ובגהש”ס ציין שו"ת מהרשד”ם (יו"ד רנד) שדן עד”ז. וצ”ע בכוונתו</w:t>
      </w:r>
      <w:r w:rsidRPr="009F36E0">
        <w:rPr>
          <w:rFonts w:ascii="Narkisim" w:hAnsi="Narkisim" w:cs="Narkisim"/>
          <w:rtl/>
        </w:rPr>
        <w:t>]</w:t>
      </w:r>
      <w:r w:rsidRPr="009F36E0">
        <w:rPr>
          <w:rFonts w:ascii="Narkisim" w:hAnsi="Narkisim" w:cs="Narkisim"/>
        </w:rPr>
        <w:t>.</w:t>
      </w:r>
    </w:p>
    <w:p w14:paraId="094E873E" w14:textId="77777777" w:rsidR="006074A5" w:rsidRPr="009F36E0" w:rsidRDefault="006074A5" w:rsidP="006074A5">
      <w:pPr>
        <w:pStyle w:val="a8"/>
        <w:bidi/>
        <w:rPr>
          <w:rFonts w:ascii="Narkisim" w:hAnsi="Narkisim"/>
        </w:rPr>
      </w:pPr>
      <w:r w:rsidRPr="009F36E0">
        <w:rPr>
          <w:rFonts w:ascii="Narkisim" w:hAnsi="Narkisim"/>
          <w:rtl/>
        </w:rPr>
        <w:t>וב</w:t>
      </w:r>
      <w:r w:rsidRPr="009F36E0">
        <w:rPr>
          <w:rFonts w:ascii="Narkisim" w:hAnsi="Narkisim"/>
          <w:b/>
          <w:bCs/>
          <w:rtl/>
        </w:rPr>
        <w:t xml:space="preserve">שיע' ר' לייב גאויע </w:t>
      </w:r>
      <w:r w:rsidRPr="009F36E0">
        <w:rPr>
          <w:rFonts w:ascii="Narkisim" w:hAnsi="Narkisim"/>
          <w:rtl/>
        </w:rPr>
        <w:t>כת' דאף פלגינן נאמנות הוא חידוש דאפשר לחלק את עדותו, ולקבל כל חלק בפנ”ע</w:t>
      </w:r>
      <w:r w:rsidRPr="009F36E0">
        <w:rPr>
          <w:rStyle w:val="ac"/>
          <w:rFonts w:ascii="Narkisim" w:hAnsi="Narkisim"/>
          <w:rtl/>
        </w:rPr>
        <w:footnoteReference w:id="1527"/>
      </w:r>
      <w:r w:rsidRPr="009F36E0">
        <w:rPr>
          <w:rFonts w:ascii="Narkisim" w:hAnsi="Narkisim"/>
        </w:rPr>
        <w:t>.</w:t>
      </w:r>
    </w:p>
    <w:p w14:paraId="24A6F97E" w14:textId="77777777" w:rsidR="006074A5" w:rsidRPr="009F36E0" w:rsidRDefault="006074A5" w:rsidP="006074A5">
      <w:pPr>
        <w:pStyle w:val="aa"/>
        <w:bidi/>
        <w:rPr>
          <w:rFonts w:ascii="Narkisim" w:hAnsi="Narkisim"/>
        </w:rPr>
      </w:pPr>
      <w:r w:rsidRPr="009F36E0">
        <w:rPr>
          <w:rFonts w:ascii="Narkisim" w:hAnsi="Narkisim"/>
          <w:u w:val="single"/>
          <w:rtl/>
        </w:rPr>
        <w:t>בא"ד וי"ל דהתם לאו מטעם עדות וכו' אלא דהא דאסרי' משום שויה אנפשיה וכו'</w:t>
      </w:r>
      <w:r w:rsidRPr="009F36E0">
        <w:rPr>
          <w:rFonts w:ascii="Narkisim" w:hAnsi="Narkisim"/>
          <w:rtl/>
        </w:rPr>
        <w:t>. [בעזה"י יתבאר בסוגיא לקמן מז.]</w:t>
      </w:r>
      <w:r w:rsidRPr="009F36E0">
        <w:rPr>
          <w:rFonts w:ascii="Narkisim" w:hAnsi="Narkisim"/>
        </w:rPr>
        <w:t>.</w:t>
      </w:r>
    </w:p>
    <w:p w14:paraId="34BE1171" w14:textId="77777777" w:rsidR="006074A5" w:rsidRPr="009F36E0" w:rsidRDefault="006074A5" w:rsidP="006074A5">
      <w:pPr>
        <w:pStyle w:val="aa"/>
        <w:bidi/>
        <w:rPr>
          <w:rFonts w:ascii="Narkisim" w:hAnsi="Narkisim"/>
        </w:rPr>
      </w:pPr>
      <w:r w:rsidRPr="009F36E0">
        <w:rPr>
          <w:rFonts w:ascii="Narkisim" w:hAnsi="Narkisim"/>
          <w:u w:val="single"/>
          <w:rtl/>
        </w:rPr>
        <w:t>מעשה בליסטים א' וכו' לכו אמרו לאשת שמעון וכו'</w:t>
      </w:r>
      <w:r w:rsidRPr="009F36E0">
        <w:rPr>
          <w:rFonts w:ascii="Narkisim" w:hAnsi="Narkisim"/>
          <w:rtl/>
        </w:rPr>
        <w:t xml:space="preserve">. </w:t>
      </w:r>
      <w:r w:rsidRPr="009F36E0">
        <w:rPr>
          <w:rFonts w:ascii="Narkisim" w:hAnsi="Narkisim"/>
          <w:b/>
          <w:bCs/>
          <w:rtl/>
        </w:rPr>
        <w:t>רע"א</w:t>
      </w:r>
      <w:r w:rsidRPr="009F36E0">
        <w:rPr>
          <w:rFonts w:ascii="Narkisim" w:hAnsi="Narkisim"/>
          <w:rtl/>
        </w:rPr>
        <w:t xml:space="preserve"> הק' דילמא היה מסיח לפי תומו, והראשונים (הו' לעיל) נקטו דרשע נאמן במסיח לפי תומו. ודן ע"פ דברי ר"י אמר שמואל (לקמן קכא:) דאף להעיד נחשב מסיח לפי תומו</w:t>
      </w:r>
      <w:r w:rsidRPr="009F36E0">
        <w:rPr>
          <w:rStyle w:val="ac"/>
          <w:rFonts w:ascii="Narkisim" w:hAnsi="Narkisim"/>
          <w:rtl/>
        </w:rPr>
        <w:footnoteReference w:id="1528"/>
      </w:r>
      <w:r w:rsidRPr="009F36E0">
        <w:rPr>
          <w:rFonts w:ascii="Narkisim" w:hAnsi="Narkisim"/>
        </w:rPr>
        <w:t xml:space="preserve">. </w:t>
      </w:r>
      <w:r w:rsidRPr="009F36E0">
        <w:rPr>
          <w:rFonts w:ascii="Narkisim" w:hAnsi="Narkisim"/>
          <w:rtl/>
        </w:rPr>
        <w:t>וע"כ דבשאל על אשת פלוני מקרי מתכוון להתיר, וכה"ג לכו"ע אינו נאמן</w:t>
      </w:r>
      <w:r w:rsidRPr="009F36E0">
        <w:rPr>
          <w:rFonts w:ascii="Narkisim" w:hAnsi="Narkisim"/>
        </w:rPr>
        <w:t>.</w:t>
      </w:r>
    </w:p>
    <w:p w14:paraId="7AAFFE81" w14:textId="77777777" w:rsidR="006074A5" w:rsidRPr="009F36E0" w:rsidRDefault="006074A5" w:rsidP="006074A5">
      <w:pPr>
        <w:bidi/>
        <w:rPr>
          <w:rFonts w:ascii="Narkisim" w:hAnsi="Narkisim" w:cs="Narkisim"/>
        </w:rPr>
      </w:pPr>
      <w:r w:rsidRPr="009F36E0">
        <w:rPr>
          <w:rFonts w:ascii="Narkisim" w:hAnsi="Narkisim" w:cs="Narkisim"/>
          <w:u w:val="single"/>
          <w:rtl/>
        </w:rPr>
        <w:t>מ"ש מהא דתנן עדים החתומים וכו' לא חשו חכמים וכו'.</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rtl/>
        </w:rPr>
        <w:t xml:space="preserve"> ביאר דאין בזה חסרון נוגעין בעדותם, כיון דההיא שעתא לא נתברר דנוגעים לא פסלינן להו למפרע מספיקא, דדילמא ההיא שעתא לאו מהאי טעמא מסהדי</w:t>
      </w:r>
      <w:r w:rsidRPr="009F36E0">
        <w:rPr>
          <w:rFonts w:ascii="Narkisim" w:hAnsi="Narkisim" w:cs="Narkisim"/>
        </w:rPr>
        <w:t>.</w:t>
      </w:r>
    </w:p>
    <w:p w14:paraId="4CC38EA1" w14:textId="77777777" w:rsidR="006074A5" w:rsidRPr="009F36E0" w:rsidRDefault="006074A5" w:rsidP="006074A5">
      <w:pPr>
        <w:bidi/>
        <w:rPr>
          <w:rFonts w:ascii="Narkisim" w:hAnsi="Narkisim" w:cs="Narkisim"/>
        </w:rPr>
      </w:pPr>
      <w:r w:rsidRPr="009F36E0">
        <w:rPr>
          <w:rFonts w:ascii="Narkisim" w:hAnsi="Narkisim" w:cs="Narkisim"/>
          <w:u w:val="single"/>
          <w:rtl/>
        </w:rPr>
        <w:t>לא חשו חכמים לדבר זה.</w:t>
      </w:r>
      <w:r w:rsidRPr="009F36E0">
        <w:rPr>
          <w:rFonts w:ascii="Narkisim" w:hAnsi="Narkisim" w:cs="Narkisim"/>
          <w:rtl/>
        </w:rPr>
        <w:t xml:space="preserve"> </w:t>
      </w:r>
      <w:r w:rsidRPr="009F36E0">
        <w:rPr>
          <w:rFonts w:ascii="Narkisim" w:hAnsi="Narkisim" w:cs="Narkisim"/>
          <w:b/>
          <w:bCs/>
          <w:rtl/>
        </w:rPr>
        <w:t>תוס</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 xml:space="preserve">כתובות כב: ד"ה כגון) </w:t>
      </w:r>
      <w:r w:rsidRPr="009F36E0">
        <w:rPr>
          <w:rFonts w:ascii="Narkisim" w:hAnsi="Narkisim" w:cs="Narkisim"/>
          <w:rtl/>
        </w:rPr>
        <w:t xml:space="preserve">פי' דבשום מקום אין שנים חשודים. </w:t>
      </w:r>
      <w:r w:rsidRPr="009F36E0">
        <w:rPr>
          <w:rFonts w:ascii="Narkisim" w:hAnsi="Narkisim" w:cs="Narkisim"/>
          <w:sz w:val="20"/>
          <w:szCs w:val="20"/>
          <w:rtl/>
        </w:rPr>
        <w:t>[משמע דהסברא משום נאמנות עדות].</w:t>
      </w:r>
      <w:r w:rsidRPr="009F36E0">
        <w:rPr>
          <w:rFonts w:ascii="Narkisim" w:hAnsi="Narkisim" w:cs="Narkisim"/>
          <w:rtl/>
        </w:rPr>
        <w:t xml:space="preserve"> אבל ה</w:t>
      </w:r>
      <w:r w:rsidRPr="009F36E0">
        <w:rPr>
          <w:rFonts w:ascii="Narkisim" w:hAnsi="Narkisim" w:cs="Narkisim"/>
          <w:b/>
          <w:bCs/>
          <w:rtl/>
        </w:rPr>
        <w:t>רי"ף</w:t>
      </w:r>
      <w:r w:rsidRPr="009F36E0">
        <w:rPr>
          <w:rFonts w:ascii="Narkisim" w:hAnsi="Narkisim" w:cs="Narkisim"/>
          <w:rtl/>
        </w:rPr>
        <w:t xml:space="preserve"> וה</w:t>
      </w:r>
      <w:r w:rsidRPr="009F36E0">
        <w:rPr>
          <w:rFonts w:ascii="Narkisim" w:hAnsi="Narkisim" w:cs="Narkisim"/>
          <w:b/>
          <w:bCs/>
          <w:rtl/>
        </w:rPr>
        <w:t>רא"ש</w:t>
      </w:r>
      <w:r w:rsidRPr="009F36E0">
        <w:rPr>
          <w:rFonts w:ascii="Narkisim" w:hAnsi="Narkisim" w:cs="Narkisim"/>
          <w:rtl/>
        </w:rPr>
        <w:t xml:space="preserve"> (והשו"ע יב א) הביאו בשם ה</w:t>
      </w:r>
      <w:r w:rsidRPr="009F36E0">
        <w:rPr>
          <w:rFonts w:ascii="Narkisim" w:hAnsi="Narkisim" w:cs="Narkisim"/>
          <w:b/>
          <w:bCs/>
          <w:rtl/>
        </w:rPr>
        <w:t>ירושלמי</w:t>
      </w:r>
      <w:r w:rsidRPr="009F36E0">
        <w:rPr>
          <w:rFonts w:ascii="Narkisim" w:hAnsi="Narkisim" w:cs="Narkisim"/>
          <w:rtl/>
        </w:rPr>
        <w:t xml:space="preserve"> דאין שנים מצויין לחטוא בשביל א'. </w:t>
      </w:r>
      <w:r w:rsidRPr="009F36E0">
        <w:rPr>
          <w:rFonts w:ascii="Narkisim" w:hAnsi="Narkisim" w:cs="Narkisim"/>
          <w:sz w:val="20"/>
          <w:szCs w:val="20"/>
          <w:rtl/>
        </w:rPr>
        <w:t>וכ"כ ה</w:t>
      </w:r>
      <w:r w:rsidRPr="009F36E0">
        <w:rPr>
          <w:rFonts w:ascii="Narkisim" w:hAnsi="Narkisim" w:cs="Narkisim"/>
          <w:b/>
          <w:bCs/>
          <w:sz w:val="20"/>
          <w:szCs w:val="20"/>
          <w:rtl/>
        </w:rPr>
        <w:t>ר"ן</w:t>
      </w:r>
      <w:r w:rsidRPr="009F36E0">
        <w:rPr>
          <w:rFonts w:ascii="Narkisim" w:hAnsi="Narkisim" w:cs="Narkisim"/>
          <w:sz w:val="20"/>
          <w:szCs w:val="20"/>
          <w:rtl/>
        </w:rPr>
        <w:t xml:space="preserve"> כתובות דאיתתא לבי תרי לא חזי</w:t>
      </w:r>
      <w:r w:rsidRPr="009F36E0">
        <w:rPr>
          <w:rFonts w:ascii="Narkisim" w:hAnsi="Narkisim" w:cs="Narkisim"/>
          <w:sz w:val="20"/>
          <w:szCs w:val="20"/>
        </w:rPr>
        <w:t>.</w:t>
      </w:r>
    </w:p>
    <w:p w14:paraId="05438265"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הביא</w:t>
      </w:r>
      <w:r w:rsidRPr="009F36E0">
        <w:rPr>
          <w:rFonts w:ascii="Narkisim" w:hAnsi="Narkisim"/>
          <w:b/>
          <w:bCs/>
          <w:rtl/>
        </w:rPr>
        <w:t xml:space="preserve"> י"א</w:t>
      </w:r>
      <w:r w:rsidRPr="009F36E0">
        <w:rPr>
          <w:rFonts w:ascii="Narkisim" w:hAnsi="Narkisim"/>
          <w:rtl/>
        </w:rPr>
        <w:t xml:space="preserve"> דלפ"ז בשדה איירי דוקא דא' מהם לוקח את השדה. וכ"פ ה</w:t>
      </w:r>
      <w:r w:rsidRPr="009F36E0">
        <w:rPr>
          <w:rFonts w:ascii="Narkisim" w:hAnsi="Narkisim"/>
          <w:b/>
          <w:bCs/>
          <w:rtl/>
        </w:rPr>
        <w:t>שו"ע</w:t>
      </w:r>
      <w:r w:rsidRPr="009F36E0">
        <w:rPr>
          <w:rFonts w:ascii="Narkisim" w:hAnsi="Narkisim"/>
          <w:rtl/>
        </w:rPr>
        <w:t xml:space="preserve"> (</w:t>
      </w:r>
      <w:r w:rsidRPr="009F36E0">
        <w:rPr>
          <w:rFonts w:ascii="Narkisim" w:hAnsi="Narkisim"/>
          <w:sz w:val="20"/>
          <w:szCs w:val="20"/>
          <w:rtl/>
        </w:rPr>
        <w:t xml:space="preserve">חו"מ סו כא בשם ס' התרומות נא ה א) </w:t>
      </w:r>
      <w:r w:rsidRPr="009F36E0">
        <w:rPr>
          <w:rFonts w:ascii="Narkisim" w:hAnsi="Narkisim"/>
          <w:rtl/>
        </w:rPr>
        <w:t>דהיכא שמכרו לב' העדים חיישינן. אבל ה</w:t>
      </w:r>
      <w:r w:rsidRPr="009F36E0">
        <w:rPr>
          <w:rFonts w:ascii="Narkisim" w:hAnsi="Narkisim"/>
          <w:b/>
          <w:bCs/>
          <w:rtl/>
        </w:rPr>
        <w:t>ריטב"א</w:t>
      </w:r>
      <w:r w:rsidRPr="009F36E0">
        <w:rPr>
          <w:rFonts w:ascii="Narkisim" w:hAnsi="Narkisim"/>
          <w:rtl/>
        </w:rPr>
        <w:t xml:space="preserve"> הביא בשם </w:t>
      </w:r>
      <w:r w:rsidRPr="009F36E0">
        <w:rPr>
          <w:rFonts w:ascii="Narkisim" w:hAnsi="Narkisim"/>
          <w:b/>
          <w:bCs/>
          <w:rtl/>
        </w:rPr>
        <w:t>רבו</w:t>
      </w:r>
      <w:r w:rsidRPr="009F36E0">
        <w:rPr>
          <w:rFonts w:ascii="Narkisim" w:hAnsi="Narkisim"/>
          <w:rtl/>
        </w:rPr>
        <w:t xml:space="preserve"> דסתמא קתני אפי' לקחו ב</w:t>
      </w:r>
      <w:r w:rsidRPr="009F36E0">
        <w:rPr>
          <w:rFonts w:ascii="Narkisim" w:hAnsi="Narkisim"/>
        </w:rPr>
        <w:t>'.</w:t>
      </w:r>
    </w:p>
    <w:p w14:paraId="09EE103F" w14:textId="77777777" w:rsidR="006074A5" w:rsidRPr="009F36E0" w:rsidRDefault="006074A5" w:rsidP="006074A5">
      <w:pPr>
        <w:pStyle w:val="a8"/>
        <w:bidi/>
        <w:rPr>
          <w:rFonts w:ascii="Narkisim" w:hAnsi="Narkisim"/>
        </w:rPr>
      </w:pPr>
      <w:r w:rsidRPr="009F36E0">
        <w:rPr>
          <w:rFonts w:ascii="Narkisim" w:hAnsi="Narkisim"/>
          <w:rtl/>
        </w:rPr>
        <w:t>וה</w:t>
      </w:r>
      <w:r w:rsidRPr="009F36E0">
        <w:rPr>
          <w:rFonts w:ascii="Narkisim" w:hAnsi="Narkisim"/>
          <w:b/>
          <w:bCs/>
          <w:rtl/>
        </w:rPr>
        <w:t>ש"ך</w:t>
      </w:r>
      <w:r w:rsidRPr="009F36E0">
        <w:rPr>
          <w:rFonts w:ascii="Narkisim" w:hAnsi="Narkisim"/>
          <w:rtl/>
        </w:rPr>
        <w:t xml:space="preserve"> (סו עא) הק' [לדברי סה"ת] א"כ אף כשא' מהעדים לקח, נמצא דהכל מתקיים ע"פ עד א'</w:t>
      </w:r>
      <w:r w:rsidRPr="009F36E0">
        <w:rPr>
          <w:rStyle w:val="ac"/>
          <w:rFonts w:ascii="Narkisim" w:hAnsi="Narkisim"/>
          <w:rtl/>
        </w:rPr>
        <w:footnoteReference w:id="1529"/>
      </w:r>
      <w:r w:rsidRPr="009F36E0">
        <w:rPr>
          <w:rFonts w:ascii="Narkisim" w:hAnsi="Narkisim"/>
          <w:rtl/>
        </w:rPr>
        <w:t xml:space="preserve"> [וציין ל</w:t>
      </w:r>
      <w:r w:rsidRPr="009F36E0">
        <w:rPr>
          <w:rFonts w:ascii="Narkisim" w:hAnsi="Narkisim"/>
          <w:b/>
          <w:bCs/>
          <w:rtl/>
        </w:rPr>
        <w:t>תוס</w:t>
      </w:r>
      <w:r w:rsidRPr="009F36E0">
        <w:rPr>
          <w:rFonts w:ascii="Narkisim" w:hAnsi="Narkisim"/>
          <w:rtl/>
        </w:rPr>
        <w:t xml:space="preserve">' </w:t>
      </w:r>
      <w:r w:rsidRPr="009F36E0">
        <w:rPr>
          <w:rFonts w:ascii="Narkisim" w:hAnsi="Narkisim"/>
          <w:rtl/>
        </w:rPr>
        <w:lastRenderedPageBreak/>
        <w:t>גיטין י:]. וכתב דסברת הרי"ף הוה לקנות לכתחילה ומשום חשדא, אבל בדיעבד מהני</w:t>
      </w:r>
      <w:r w:rsidRPr="009F36E0">
        <w:rPr>
          <w:rFonts w:ascii="Narkisim" w:hAnsi="Narkisim"/>
        </w:rPr>
        <w:t>.</w:t>
      </w:r>
    </w:p>
    <w:p w14:paraId="0CF1F32B" w14:textId="77777777" w:rsidR="006074A5" w:rsidRPr="009F36E0" w:rsidRDefault="006074A5" w:rsidP="006074A5">
      <w:pPr>
        <w:bidi/>
        <w:rPr>
          <w:rFonts w:ascii="Narkisim" w:hAnsi="Narkisim" w:cs="Narkisim"/>
        </w:rPr>
      </w:pPr>
      <w:r w:rsidRPr="009F36E0">
        <w:rPr>
          <w:rFonts w:ascii="Narkisim" w:hAnsi="Narkisim" w:cs="Narkisim"/>
          <w:u w:val="single"/>
          <w:rtl/>
        </w:rPr>
        <w:t>תוד"ה לא חשו.</w:t>
      </w:r>
      <w:r w:rsidRPr="009F36E0">
        <w:rPr>
          <w:rFonts w:ascii="Narkisim" w:hAnsi="Narkisim" w:cs="Narkisim"/>
          <w:rtl/>
        </w:rPr>
        <w:t xml:space="preserve"> מ"מ בעל נפש יתרחק כדתניא (חולין מד:) וכו'. </w:t>
      </w:r>
      <w:r w:rsidRPr="009F36E0">
        <w:rPr>
          <w:rFonts w:ascii="Narkisim" w:hAnsi="Narkisim" w:cs="Narkisim"/>
          <w:sz w:val="20"/>
          <w:szCs w:val="20"/>
          <w:rtl/>
        </w:rPr>
        <w:t>וה</w:t>
      </w:r>
      <w:r w:rsidRPr="009F36E0">
        <w:rPr>
          <w:rFonts w:ascii="Narkisim" w:hAnsi="Narkisim" w:cs="Narkisim"/>
          <w:b/>
          <w:bCs/>
          <w:sz w:val="20"/>
          <w:szCs w:val="20"/>
          <w:rtl/>
        </w:rPr>
        <w:t>תוס' הרא"ש</w:t>
      </w:r>
      <w:r w:rsidRPr="009F36E0">
        <w:rPr>
          <w:rFonts w:ascii="Narkisim" w:hAnsi="Narkisim" w:cs="Narkisim"/>
          <w:sz w:val="20"/>
          <w:szCs w:val="20"/>
          <w:rtl/>
        </w:rPr>
        <w:t xml:space="preserve"> בשם </w:t>
      </w:r>
      <w:r w:rsidRPr="009F36E0">
        <w:rPr>
          <w:rFonts w:ascii="Narkisim" w:hAnsi="Narkisim" w:cs="Narkisim"/>
          <w:b/>
          <w:bCs/>
          <w:sz w:val="20"/>
          <w:szCs w:val="20"/>
          <w:rtl/>
        </w:rPr>
        <w:t>רבינו</w:t>
      </w:r>
      <w:r w:rsidRPr="009F36E0">
        <w:rPr>
          <w:rFonts w:ascii="Narkisim" w:hAnsi="Narkisim" w:cs="Narkisim"/>
          <w:sz w:val="20"/>
          <w:szCs w:val="20"/>
          <w:rtl/>
        </w:rPr>
        <w:t xml:space="preserve"> </w:t>
      </w:r>
      <w:r w:rsidRPr="009F36E0">
        <w:rPr>
          <w:rFonts w:ascii="Narkisim" w:hAnsi="Narkisim" w:cs="Narkisim"/>
          <w:b/>
          <w:bCs/>
          <w:sz w:val="20"/>
          <w:szCs w:val="20"/>
          <w:rtl/>
        </w:rPr>
        <w:t>מאיר</w:t>
      </w:r>
      <w:r w:rsidRPr="009F36E0">
        <w:rPr>
          <w:rFonts w:ascii="Narkisim" w:hAnsi="Narkisim" w:cs="Narkisim"/>
          <w:sz w:val="20"/>
          <w:szCs w:val="20"/>
          <w:rtl/>
        </w:rPr>
        <w:t xml:space="preserve"> הקשה א"כ דילמא נקט מתני' בי"ד, דעי"ז שרי לבעל נפש</w:t>
      </w:r>
      <w:r w:rsidRPr="009F36E0">
        <w:rPr>
          <w:rStyle w:val="ac"/>
          <w:rFonts w:ascii="Narkisim" w:hAnsi="Narkisim" w:cs="Narkisim"/>
          <w:sz w:val="20"/>
          <w:szCs w:val="20"/>
          <w:rtl/>
        </w:rPr>
        <w:footnoteReference w:id="1530"/>
      </w:r>
      <w:r w:rsidRPr="009F36E0">
        <w:rPr>
          <w:rFonts w:ascii="Narkisim" w:hAnsi="Narkisim" w:cs="Narkisim"/>
        </w:rPr>
        <w:t xml:space="preserve"> </w:t>
      </w:r>
      <w:r w:rsidRPr="009F36E0">
        <w:rPr>
          <w:rFonts w:ascii="Narkisim" w:hAnsi="Narkisim" w:cs="Narkisim"/>
          <w:rtl/>
        </w:rPr>
        <w:t>[ותי' דמשמע במשנה דקאי אף ע”ז]. וכן הביא ה</w:t>
      </w:r>
      <w:r w:rsidRPr="009F36E0">
        <w:rPr>
          <w:rFonts w:ascii="Narkisim" w:hAnsi="Narkisim" w:cs="Narkisim"/>
          <w:b/>
          <w:bCs/>
          <w:rtl/>
        </w:rPr>
        <w:t>רמ"א</w:t>
      </w:r>
      <w:r w:rsidRPr="009F36E0">
        <w:rPr>
          <w:rFonts w:ascii="Narkisim" w:hAnsi="Narkisim" w:cs="Narkisim"/>
          <w:rtl/>
        </w:rPr>
        <w:t xml:space="preserve"> (יב א)</w:t>
      </w:r>
      <w:r w:rsidRPr="009F36E0">
        <w:rPr>
          <w:rFonts w:ascii="Narkisim" w:hAnsi="Narkisim" w:cs="Narkisim"/>
        </w:rPr>
        <w:t>.</w:t>
      </w:r>
    </w:p>
    <w:p w14:paraId="390A6787"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ט"ז</w:t>
      </w:r>
      <w:r w:rsidRPr="009F36E0">
        <w:rPr>
          <w:rFonts w:ascii="Narkisim" w:hAnsi="Narkisim"/>
          <w:rtl/>
        </w:rPr>
        <w:t xml:space="preserve"> (ב) וה</w:t>
      </w:r>
      <w:r w:rsidRPr="009F36E0">
        <w:rPr>
          <w:rFonts w:ascii="Narkisim" w:hAnsi="Narkisim"/>
          <w:b/>
          <w:bCs/>
          <w:rtl/>
        </w:rPr>
        <w:t>גר"א</w:t>
      </w:r>
      <w:r w:rsidRPr="009F36E0">
        <w:rPr>
          <w:rFonts w:ascii="Narkisim" w:hAnsi="Narkisim"/>
          <w:rtl/>
        </w:rPr>
        <w:t xml:space="preserve"> </w:t>
      </w:r>
      <w:r w:rsidRPr="009F36E0">
        <w:rPr>
          <w:rFonts w:ascii="Narkisim" w:hAnsi="Narkisim"/>
          <w:sz w:val="20"/>
          <w:szCs w:val="20"/>
          <w:rtl/>
        </w:rPr>
        <w:t xml:space="preserve">(שם ה, ובגמ' עה”ג) </w:t>
      </w:r>
      <w:r w:rsidRPr="009F36E0">
        <w:rPr>
          <w:rFonts w:ascii="Narkisim" w:hAnsi="Narkisim"/>
          <w:rtl/>
        </w:rPr>
        <w:t>ציינו דהשו"ע לא כתב כן, ע"פ הירושלמי (הנ"ל) דלא חששו שב' יחטאו עבור א'. ודוקא בממון בעל נפש יתרחק דחושדים דהעידו שניהם בשביל הנאתם. אבל בעדות אשה ליכא חשש ששנים יעידו שקר, דאיתתא לבי תרי לא חזי</w:t>
      </w:r>
      <w:r w:rsidRPr="009F36E0">
        <w:rPr>
          <w:rFonts w:ascii="Narkisim" w:hAnsi="Narkisim"/>
        </w:rPr>
        <w:t>.</w:t>
      </w:r>
    </w:p>
    <w:p w14:paraId="5F3274A4" w14:textId="77777777" w:rsidR="006074A5" w:rsidRPr="009F36E0" w:rsidRDefault="006074A5" w:rsidP="006074A5">
      <w:pPr>
        <w:bidi/>
        <w:rPr>
          <w:rFonts w:ascii="Narkisim" w:hAnsi="Narkisim" w:cs="Narkisim"/>
        </w:rPr>
      </w:pPr>
      <w:r w:rsidRPr="009F36E0">
        <w:rPr>
          <w:rFonts w:ascii="Narkisim" w:hAnsi="Narkisim" w:cs="Narkisim"/>
          <w:u w:val="single"/>
          <w:rtl/>
        </w:rPr>
        <w:t>כנס מהו שיוציא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אחכם ומביא גט קאי. וה</w:t>
      </w:r>
      <w:r w:rsidRPr="009F36E0">
        <w:rPr>
          <w:rFonts w:ascii="Narkisim" w:hAnsi="Narkisim" w:cs="Narkisim"/>
          <w:b/>
          <w:bCs/>
          <w:rtl/>
        </w:rPr>
        <w:t>ראשונים</w:t>
      </w:r>
      <w:r w:rsidRPr="009F36E0">
        <w:rPr>
          <w:rFonts w:ascii="Narkisim" w:hAnsi="Narkisim" w:cs="Narkisim"/>
          <w:rtl/>
        </w:rPr>
        <w:t xml:space="preserve"> הביאו בשם </w:t>
      </w:r>
      <w:r w:rsidRPr="009F36E0">
        <w:rPr>
          <w:rFonts w:ascii="Narkisim" w:hAnsi="Narkisim" w:cs="Narkisim"/>
          <w:b/>
          <w:bCs/>
          <w:rtl/>
        </w:rPr>
        <w:t>רש"י</w:t>
      </w:r>
      <w:r w:rsidRPr="009F36E0">
        <w:rPr>
          <w:rFonts w:ascii="Narkisim" w:hAnsi="Narkisim" w:cs="Narkisim"/>
          <w:rtl/>
        </w:rPr>
        <w:t xml:space="preserve"> דקאי אף באומר מת (לעיל כה.) וכו'</w:t>
      </w:r>
      <w:r w:rsidRPr="009F36E0">
        <w:rPr>
          <w:rStyle w:val="ac"/>
          <w:rFonts w:ascii="Narkisim" w:hAnsi="Narkisim" w:cs="Narkisim"/>
          <w:rtl/>
        </w:rPr>
        <w:footnoteReference w:id="1531"/>
      </w:r>
      <w:r w:rsidRPr="009F36E0">
        <w:rPr>
          <w:rFonts w:ascii="Narkisim" w:hAnsi="Narkisim" w:cs="Narkisim"/>
          <w:rtl/>
        </w:rPr>
        <w:t>. [וכ"כ הנמוק"י והרע"ב במשנה]. דדוקא בנטען משפחה אי' להדיא (לעיל כד:, הו' בסמוך) דאין מוציאין. והגמ' מדמה בכולהו דברננה לא מפקיעין</w:t>
      </w:r>
      <w:r w:rsidRPr="009F36E0">
        <w:rPr>
          <w:rStyle w:val="ac"/>
          <w:rFonts w:ascii="Narkisim" w:hAnsi="Narkisim" w:cs="Narkisim"/>
          <w:rtl/>
        </w:rPr>
        <w:footnoteReference w:id="1532"/>
      </w:r>
      <w:r w:rsidRPr="009F36E0">
        <w:rPr>
          <w:rFonts w:ascii="Narkisim" w:hAnsi="Narkisim" w:cs="Narkisim"/>
        </w:rPr>
        <w:t xml:space="preserve">. </w:t>
      </w:r>
      <w:r w:rsidRPr="009F36E0">
        <w:rPr>
          <w:rFonts w:ascii="Narkisim" w:hAnsi="Narkisim" w:cs="Narkisim"/>
          <w:rtl/>
        </w:rPr>
        <w:t>וכ"פ ה</w:t>
      </w:r>
      <w:r w:rsidRPr="009F36E0">
        <w:rPr>
          <w:rFonts w:ascii="Narkisim" w:hAnsi="Narkisim" w:cs="Narkisim"/>
          <w:b/>
          <w:bCs/>
          <w:rtl/>
        </w:rPr>
        <w:t>רמב"ם</w:t>
      </w:r>
      <w:r w:rsidRPr="009F36E0">
        <w:rPr>
          <w:rFonts w:ascii="Narkisim" w:hAnsi="Narkisim" w:cs="Narkisim"/>
          <w:rtl/>
        </w:rPr>
        <w:t xml:space="preserve"> (גירושין י יד, ושו”ע יב א</w:t>
      </w:r>
      <w:r w:rsidRPr="009F36E0">
        <w:rPr>
          <w:rStyle w:val="ac"/>
          <w:rFonts w:ascii="Narkisim" w:hAnsi="Narkisim" w:cs="Narkisim"/>
          <w:rtl/>
        </w:rPr>
        <w:footnoteReference w:id="1533"/>
      </w:r>
      <w:r w:rsidRPr="009F36E0">
        <w:rPr>
          <w:rFonts w:ascii="Narkisim" w:hAnsi="Narkisim" w:cs="Narkisim"/>
          <w:rtl/>
        </w:rPr>
        <w:t>) בשליח המביא גט</w:t>
      </w:r>
      <w:r w:rsidRPr="009F36E0">
        <w:rPr>
          <w:rStyle w:val="ac"/>
          <w:rFonts w:ascii="Narkisim" w:hAnsi="Narkisim" w:cs="Narkisim"/>
          <w:rtl/>
        </w:rPr>
        <w:footnoteReference w:id="1534"/>
      </w:r>
      <w:r w:rsidRPr="009F36E0">
        <w:rPr>
          <w:rFonts w:ascii="Narkisim" w:hAnsi="Narkisim" w:cs="Narkisim"/>
        </w:rPr>
        <w:t>.</w:t>
      </w:r>
    </w:p>
    <w:p w14:paraId="2DB1A62C" w14:textId="77777777" w:rsidR="006074A5" w:rsidRPr="009F36E0" w:rsidRDefault="006074A5" w:rsidP="006074A5">
      <w:pPr>
        <w:pStyle w:val="a7"/>
        <w:bidi/>
        <w:rPr>
          <w:rFonts w:ascii="Narkisim" w:hAnsi="Narkisim"/>
        </w:rPr>
      </w:pPr>
      <w:r w:rsidRPr="009F36E0">
        <w:rPr>
          <w:rFonts w:ascii="Narkisim" w:hAnsi="Narkisim"/>
          <w:rtl/>
        </w:rPr>
        <w:t>אבל ה</w:t>
      </w:r>
      <w:r w:rsidRPr="009F36E0">
        <w:rPr>
          <w:rFonts w:ascii="Narkisim" w:hAnsi="Narkisim"/>
          <w:b/>
          <w:bCs/>
          <w:rtl/>
        </w:rPr>
        <w:t xml:space="preserve">ראשונים </w:t>
      </w:r>
      <w:r w:rsidRPr="009F36E0">
        <w:rPr>
          <w:rFonts w:ascii="Narkisim" w:hAnsi="Narkisim"/>
          <w:rtl/>
        </w:rPr>
        <w:t>(רשב"א, ורא"ש) כת' דמשמע דקאי רק אחכם שהתיר</w:t>
      </w:r>
      <w:r w:rsidRPr="009F36E0">
        <w:rPr>
          <w:rStyle w:val="ac"/>
          <w:rFonts w:ascii="Narkisim" w:hAnsi="Narkisim"/>
          <w:rtl/>
        </w:rPr>
        <w:footnoteReference w:id="1535"/>
      </w:r>
      <w:r w:rsidRPr="009F36E0">
        <w:rPr>
          <w:rFonts w:ascii="Narkisim" w:hAnsi="Narkisim"/>
        </w:rPr>
        <w:t xml:space="preserve">. </w:t>
      </w:r>
      <w:r w:rsidRPr="009F36E0">
        <w:rPr>
          <w:rFonts w:ascii="Narkisim" w:hAnsi="Narkisim"/>
          <w:rtl/>
        </w:rPr>
        <w:t>כיון דליכא אלא רננה דלעז, דאין בו צד דאורייתא. אבל המביא גט ומת והרגתיו הוה חשש איסור גמור. וכיון דכנס יש רגלים לדבר ואלומי אלים לקול. וכ"מ ב</w:t>
      </w:r>
      <w:r w:rsidRPr="009F36E0">
        <w:rPr>
          <w:rFonts w:ascii="Narkisim" w:hAnsi="Narkisim"/>
          <w:b/>
          <w:bCs/>
          <w:rtl/>
        </w:rPr>
        <w:t>תוס</w:t>
      </w:r>
      <w:r w:rsidRPr="009F36E0">
        <w:rPr>
          <w:rFonts w:ascii="Narkisim" w:hAnsi="Narkisim"/>
          <w:rtl/>
        </w:rPr>
        <w:t>' (ד"ה אמר), וכמ"ש ב</w:t>
      </w:r>
      <w:r w:rsidRPr="009F36E0">
        <w:rPr>
          <w:rFonts w:ascii="Narkisim" w:hAnsi="Narkisim"/>
          <w:b/>
          <w:bCs/>
          <w:rtl/>
        </w:rPr>
        <w:t>תו"י</w:t>
      </w:r>
      <w:r w:rsidRPr="009F36E0">
        <w:rPr>
          <w:rFonts w:ascii="Narkisim" w:hAnsi="Narkisim"/>
          <w:rtl/>
        </w:rPr>
        <w:t xml:space="preserve"> (ב)</w:t>
      </w:r>
      <w:r w:rsidRPr="009F36E0">
        <w:rPr>
          <w:rFonts w:ascii="Narkisim" w:hAnsi="Narkisim"/>
        </w:rPr>
        <w:t>.</w:t>
      </w:r>
    </w:p>
    <w:p w14:paraId="1340C3B9" w14:textId="77777777" w:rsidR="006074A5" w:rsidRPr="009F36E0" w:rsidRDefault="006074A5" w:rsidP="006074A5">
      <w:pPr>
        <w:bidi/>
        <w:rPr>
          <w:rFonts w:ascii="Narkisim" w:hAnsi="Narkisim" w:cs="Narkisim"/>
        </w:rPr>
      </w:pPr>
      <w:r w:rsidRPr="009F36E0">
        <w:rPr>
          <w:rFonts w:ascii="Narkisim" w:hAnsi="Narkisim" w:cs="Narkisim"/>
          <w:u w:val="single"/>
          <w:rtl/>
        </w:rPr>
        <w:t>שם. כנס</w:t>
      </w:r>
      <w:r w:rsidRPr="009F36E0">
        <w:rPr>
          <w:rFonts w:ascii="Narkisim" w:hAnsi="Narkisim" w:cs="Narkisim"/>
          <w:rtl/>
        </w:rPr>
        <w:t>. ה</w:t>
      </w:r>
      <w:r w:rsidRPr="009F36E0">
        <w:rPr>
          <w:rFonts w:ascii="Narkisim" w:hAnsi="Narkisim" w:cs="Narkisim"/>
          <w:b/>
          <w:bCs/>
          <w:rtl/>
        </w:rPr>
        <w:t>רמב"ן</w:t>
      </w:r>
      <w:r w:rsidRPr="009F36E0">
        <w:rPr>
          <w:rFonts w:ascii="Narkisim" w:hAnsi="Narkisim" w:cs="Narkisim"/>
          <w:rtl/>
        </w:rPr>
        <w:t xml:space="preserve"> כת' דכנס הוה נישואין דוקא. והביא כן מה</w:t>
      </w:r>
      <w:r w:rsidRPr="009F36E0">
        <w:rPr>
          <w:rFonts w:ascii="Narkisim" w:hAnsi="Narkisim" w:cs="Narkisim"/>
          <w:b/>
          <w:bCs/>
          <w:rtl/>
        </w:rPr>
        <w:t>ירושלמי</w:t>
      </w:r>
      <w:r w:rsidRPr="009F36E0">
        <w:rPr>
          <w:rFonts w:ascii="Narkisim" w:hAnsi="Narkisim" w:cs="Narkisim"/>
          <w:rtl/>
        </w:rPr>
        <w:t xml:space="preserve"> דאם קידש לא יכנוס</w:t>
      </w:r>
      <w:r w:rsidRPr="009F36E0">
        <w:rPr>
          <w:rStyle w:val="ac"/>
          <w:rFonts w:ascii="Narkisim" w:hAnsi="Narkisim" w:cs="Narkisim"/>
          <w:rtl/>
        </w:rPr>
        <w:footnoteReference w:id="1536"/>
      </w:r>
      <w:r w:rsidRPr="009F36E0">
        <w:rPr>
          <w:rFonts w:ascii="Narkisim" w:hAnsi="Narkisim" w:cs="Narkisim"/>
        </w:rPr>
        <w:t>.</w:t>
      </w:r>
    </w:p>
    <w:p w14:paraId="36A14C9A"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 xml:space="preserve">ירושלמי </w:t>
      </w:r>
      <w:r w:rsidRPr="009F36E0">
        <w:rPr>
          <w:rFonts w:ascii="Narkisim" w:hAnsi="Narkisim"/>
          <w:rtl/>
        </w:rPr>
        <w:t>מסתפקת אם כנס ואח”כ גירש, האם יכול להחזיר. ופשט דנמצא מוציא לעז על בניה. וה</w:t>
      </w:r>
      <w:r w:rsidRPr="009F36E0">
        <w:rPr>
          <w:rFonts w:ascii="Narkisim" w:hAnsi="Narkisim"/>
          <w:b/>
          <w:bCs/>
          <w:rtl/>
        </w:rPr>
        <w:t>רמב"ן</w:t>
      </w:r>
      <w:r w:rsidRPr="009F36E0">
        <w:rPr>
          <w:rFonts w:ascii="Narkisim" w:hAnsi="Narkisim"/>
          <w:rtl/>
        </w:rPr>
        <w:t xml:space="preserve"> כת' דאיירי דוקא כשיש לה בנים מכניסה ראשונה. וה</w:t>
      </w:r>
      <w:r w:rsidRPr="009F36E0">
        <w:rPr>
          <w:rFonts w:ascii="Narkisim" w:hAnsi="Narkisim"/>
          <w:b/>
          <w:bCs/>
          <w:rtl/>
        </w:rPr>
        <w:t>רשב"א</w:t>
      </w:r>
      <w:r w:rsidRPr="009F36E0">
        <w:rPr>
          <w:rFonts w:ascii="Narkisim" w:hAnsi="Narkisim"/>
          <w:rtl/>
        </w:rPr>
        <w:t xml:space="preserve"> הביא גיר' בירושלמי דאם אמרו לו שלא יכנוס וכנס מוציאין מידו. דקנסו משום כנס אחר התראה ומוציאין מידו</w:t>
      </w:r>
      <w:r w:rsidRPr="009F36E0">
        <w:rPr>
          <w:rFonts w:ascii="Narkisim" w:hAnsi="Narkisim"/>
        </w:rPr>
        <w:t>.</w:t>
      </w:r>
    </w:p>
    <w:p w14:paraId="650472DB" w14:textId="77777777" w:rsidR="006074A5" w:rsidRPr="009F36E0" w:rsidRDefault="006074A5" w:rsidP="006074A5">
      <w:pPr>
        <w:pStyle w:val="3"/>
        <w:bidi/>
        <w:rPr>
          <w:rFonts w:ascii="Narkisim" w:hAnsi="Narkisim"/>
        </w:rPr>
      </w:pPr>
      <w:r w:rsidRPr="009F36E0">
        <w:rPr>
          <w:rFonts w:ascii="Narkisim" w:hAnsi="Narkisim"/>
          <w:rtl/>
        </w:rPr>
        <w:t>דף כו</w:t>
      </w:r>
      <w:r w:rsidRPr="009F36E0">
        <w:rPr>
          <w:rFonts w:ascii="Narkisim" w:hAnsi="Narkisim"/>
        </w:rPr>
        <w:t>.</w:t>
      </w:r>
    </w:p>
    <w:p w14:paraId="76B71D43" w14:textId="77777777" w:rsidR="006074A5" w:rsidRPr="009F36E0" w:rsidRDefault="006074A5" w:rsidP="006074A5">
      <w:pPr>
        <w:bidi/>
        <w:rPr>
          <w:rFonts w:ascii="Narkisim" w:hAnsi="Narkisim" w:cs="Narkisim"/>
        </w:rPr>
      </w:pPr>
      <w:r w:rsidRPr="009F36E0">
        <w:rPr>
          <w:rFonts w:ascii="Narkisim" w:hAnsi="Narkisim" w:cs="Narkisim"/>
          <w:u w:val="single"/>
          <w:rtl/>
        </w:rPr>
        <w:t>וכולם שהיו להם נשים וכו'.</w:t>
      </w:r>
      <w:r w:rsidRPr="009F36E0">
        <w:rPr>
          <w:rFonts w:ascii="Narkisim" w:hAnsi="Narkisim" w:cs="Narkisim"/>
          <w:rtl/>
        </w:rPr>
        <w:t xml:space="preserve"> ב</w:t>
      </w:r>
      <w:r w:rsidRPr="009F36E0">
        <w:rPr>
          <w:rFonts w:ascii="Narkisim" w:hAnsi="Narkisim" w:cs="Narkisim"/>
          <w:b/>
          <w:bCs/>
          <w:rtl/>
        </w:rPr>
        <w:t>קר"א</w:t>
      </w:r>
      <w:r w:rsidRPr="009F36E0">
        <w:rPr>
          <w:rFonts w:ascii="Narkisim" w:hAnsi="Narkisim" w:cs="Narkisim"/>
          <w:rtl/>
        </w:rPr>
        <w:t xml:space="preserve"> ביאר</w:t>
      </w:r>
      <w:r w:rsidRPr="009F36E0">
        <w:rPr>
          <w:rFonts w:ascii="Narkisim" w:hAnsi="Narkisim" w:cs="Narkisim"/>
          <w:sz w:val="20"/>
          <w:szCs w:val="20"/>
          <w:rtl/>
        </w:rPr>
        <w:t xml:space="preserve"> [אף דמותר לו לישא ב' נשים]</w:t>
      </w:r>
      <w:r w:rsidRPr="009F36E0">
        <w:rPr>
          <w:rFonts w:ascii="Narkisim" w:hAnsi="Narkisim" w:cs="Narkisim"/>
          <w:rtl/>
        </w:rPr>
        <w:t xml:space="preserve"> דאין כאן לזות שפתיים, שיאמרו שמתחילה לא היה דעתו ע"ז. וה</w:t>
      </w:r>
      <w:r w:rsidRPr="009F36E0">
        <w:rPr>
          <w:rFonts w:ascii="Narkisim" w:hAnsi="Narkisim" w:cs="Narkisim"/>
          <w:b/>
          <w:bCs/>
          <w:rtl/>
        </w:rPr>
        <w:t>יש"ש</w:t>
      </w:r>
      <w:r w:rsidRPr="009F36E0">
        <w:rPr>
          <w:rFonts w:ascii="Narkisim" w:hAnsi="Narkisim" w:cs="Narkisim"/>
          <w:rtl/>
        </w:rPr>
        <w:t xml:space="preserve"> כתב דלא חיישינן כיון שיש לו פת בסלו. וה</w:t>
      </w:r>
      <w:r w:rsidRPr="009F36E0">
        <w:rPr>
          <w:rFonts w:ascii="Narkisim" w:hAnsi="Narkisim" w:cs="Narkisim"/>
          <w:b/>
          <w:bCs/>
          <w:rtl/>
        </w:rPr>
        <w:t>ריטב"א</w:t>
      </w:r>
      <w:r w:rsidRPr="009F36E0">
        <w:rPr>
          <w:rFonts w:ascii="Narkisim" w:hAnsi="Narkisim" w:cs="Narkisim"/>
          <w:rtl/>
        </w:rPr>
        <w:t xml:space="preserve"> ו</w:t>
      </w:r>
      <w:r w:rsidRPr="009F36E0">
        <w:rPr>
          <w:rFonts w:ascii="Narkisim" w:hAnsi="Narkisim" w:cs="Narkisim"/>
          <w:b/>
          <w:bCs/>
          <w:rtl/>
        </w:rPr>
        <w:t>נמוק"י</w:t>
      </w:r>
      <w:r w:rsidRPr="009F36E0">
        <w:rPr>
          <w:rFonts w:ascii="Narkisim" w:hAnsi="Narkisim" w:cs="Narkisim"/>
          <w:rtl/>
        </w:rPr>
        <w:t xml:space="preserve"> הביאו בשם ה</w:t>
      </w:r>
      <w:r w:rsidRPr="009F36E0">
        <w:rPr>
          <w:rFonts w:ascii="Narkisim" w:hAnsi="Narkisim" w:cs="Narkisim"/>
          <w:b/>
          <w:bCs/>
          <w:rtl/>
        </w:rPr>
        <w:t>ירושלמי</w:t>
      </w:r>
      <w:r w:rsidRPr="009F36E0">
        <w:rPr>
          <w:rFonts w:ascii="Narkisim" w:hAnsi="Narkisim" w:cs="Narkisim"/>
          <w:rtl/>
        </w:rPr>
        <w:t xml:space="preserve"> דאם כשהעידו היתה חולנית חיישינן</w:t>
      </w:r>
      <w:r w:rsidRPr="009F36E0">
        <w:rPr>
          <w:rFonts w:ascii="Narkisim" w:hAnsi="Narkisim" w:cs="Narkisim"/>
        </w:rPr>
        <w:t>.</w:t>
      </w:r>
    </w:p>
    <w:p w14:paraId="69EA8E25" w14:textId="77777777" w:rsidR="006074A5" w:rsidRPr="009F36E0" w:rsidRDefault="006074A5" w:rsidP="006074A5">
      <w:pPr>
        <w:bidi/>
        <w:rPr>
          <w:rFonts w:ascii="Narkisim" w:hAnsi="Narkisim" w:cs="Narkisim"/>
        </w:rPr>
      </w:pPr>
      <w:r w:rsidRPr="009F36E0">
        <w:rPr>
          <w:rFonts w:ascii="Narkisim" w:hAnsi="Narkisim" w:cs="Narkisim"/>
          <w:u w:val="single"/>
          <w:rtl/>
        </w:rPr>
        <w:t>הא דהואי קטטה.</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מקמי הכי, דעדיין לא נתן עיניו בזאת. </w:t>
      </w:r>
      <w:r w:rsidRPr="009F36E0">
        <w:rPr>
          <w:rFonts w:ascii="Narkisim" w:hAnsi="Narkisim" w:cs="Narkisim"/>
          <w:sz w:val="20"/>
          <w:szCs w:val="20"/>
          <w:rtl/>
        </w:rPr>
        <w:t>וכל החשד שמרגיל קטטה אח"כ.</w:t>
      </w:r>
      <w:r w:rsidRPr="009F36E0">
        <w:rPr>
          <w:rFonts w:ascii="Narkisim" w:hAnsi="Narkisim" w:cs="Narkisim"/>
          <w:rtl/>
        </w:rPr>
        <w:t xml:space="preserve"> אבל ה</w:t>
      </w:r>
      <w:r w:rsidRPr="009F36E0">
        <w:rPr>
          <w:rFonts w:ascii="Narkisim" w:hAnsi="Narkisim" w:cs="Narkisim"/>
          <w:b/>
          <w:bCs/>
          <w:rtl/>
        </w:rPr>
        <w:t>חלק"מ</w:t>
      </w:r>
      <w:r w:rsidRPr="009F36E0">
        <w:rPr>
          <w:rFonts w:ascii="Narkisim" w:hAnsi="Narkisim" w:cs="Narkisim"/>
          <w:sz w:val="20"/>
          <w:szCs w:val="20"/>
          <w:rtl/>
        </w:rPr>
        <w:t xml:space="preserve"> (יב ב)</w:t>
      </w:r>
      <w:r w:rsidRPr="009F36E0">
        <w:rPr>
          <w:rFonts w:ascii="Narkisim" w:hAnsi="Narkisim" w:cs="Narkisim"/>
          <w:rtl/>
        </w:rPr>
        <w:t xml:space="preserve"> כת' דאם היה כבר קטטה אסורה, דחיישינן שמא נתן עיניו בה, וכמ"ש ה</w:t>
      </w:r>
      <w:r w:rsidRPr="009F36E0">
        <w:rPr>
          <w:rFonts w:ascii="Narkisim" w:hAnsi="Narkisim" w:cs="Narkisim"/>
          <w:b/>
          <w:bCs/>
          <w:rtl/>
        </w:rPr>
        <w:t>ריטב"א</w:t>
      </w:r>
      <w:r w:rsidRPr="009F36E0">
        <w:rPr>
          <w:rFonts w:ascii="Narkisim" w:hAnsi="Narkisim" w:cs="Narkisim"/>
          <w:rtl/>
        </w:rPr>
        <w:t xml:space="preserve"> (הנ"ל) בשם הירושלמי בחולה. </w:t>
      </w:r>
      <w:r w:rsidRPr="009F36E0">
        <w:rPr>
          <w:rFonts w:ascii="Narkisim" w:hAnsi="Narkisim" w:cs="Narkisim"/>
          <w:sz w:val="20"/>
          <w:szCs w:val="20"/>
          <w:rtl/>
        </w:rPr>
        <w:t>וכה"ק ה</w:t>
      </w:r>
      <w:r w:rsidRPr="009F36E0">
        <w:rPr>
          <w:rFonts w:ascii="Narkisim" w:hAnsi="Narkisim" w:cs="Narkisim"/>
          <w:b/>
          <w:bCs/>
          <w:sz w:val="20"/>
          <w:szCs w:val="20"/>
          <w:rtl/>
        </w:rPr>
        <w:t>גר"א</w:t>
      </w:r>
      <w:r w:rsidRPr="009F36E0">
        <w:rPr>
          <w:rFonts w:ascii="Narkisim" w:hAnsi="Narkisim" w:cs="Narkisim"/>
          <w:sz w:val="20"/>
          <w:szCs w:val="20"/>
          <w:rtl/>
        </w:rPr>
        <w:t xml:space="preserve"> (ט) דמ"ש</w:t>
      </w:r>
      <w:r w:rsidRPr="009F36E0">
        <w:rPr>
          <w:rFonts w:ascii="Narkisim" w:hAnsi="Narkisim" w:cs="Narkisim"/>
          <w:sz w:val="20"/>
          <w:szCs w:val="20"/>
        </w:rPr>
        <w:t>.</w:t>
      </w:r>
    </w:p>
    <w:p w14:paraId="665C168D" w14:textId="77777777" w:rsidR="006074A5" w:rsidRPr="009F36E0" w:rsidRDefault="006074A5" w:rsidP="006074A5">
      <w:pPr>
        <w:bidi/>
        <w:rPr>
          <w:rFonts w:ascii="Narkisim" w:hAnsi="Narkisim" w:cs="Narkisim"/>
        </w:rPr>
      </w:pPr>
      <w:r w:rsidRPr="009F36E0">
        <w:rPr>
          <w:rFonts w:ascii="Narkisim" w:hAnsi="Narkisim" w:cs="Narkisim"/>
          <w:u w:val="single"/>
          <w:rtl/>
        </w:rPr>
        <w:t>רש"י ד"ה בתרי זימני הוה חזקה.</w:t>
      </w:r>
      <w:r w:rsidRPr="009F36E0">
        <w:rPr>
          <w:rFonts w:ascii="Narkisim" w:hAnsi="Narkisim" w:cs="Narkisim"/>
          <w:rtl/>
        </w:rPr>
        <w:t xml:space="preserve"> שהוחזקה להתאלמן או להתגרש, ואסורה לכל העולם. ו</w:t>
      </w:r>
      <w:r w:rsidRPr="009F36E0">
        <w:rPr>
          <w:rFonts w:ascii="Narkisim" w:hAnsi="Narkisim" w:cs="Narkisim"/>
          <w:b/>
          <w:bCs/>
          <w:rtl/>
        </w:rPr>
        <w:t>תוס'</w:t>
      </w:r>
      <w:r w:rsidRPr="009F36E0">
        <w:rPr>
          <w:rFonts w:ascii="Narkisim" w:hAnsi="Narkisim" w:cs="Narkisim"/>
          <w:rtl/>
        </w:rPr>
        <w:t xml:space="preserve"> חלקו דנתגרשה כמה פעמים מותרת לינשא. וה</w:t>
      </w:r>
      <w:r w:rsidRPr="009F36E0">
        <w:rPr>
          <w:rFonts w:ascii="Narkisim" w:hAnsi="Narkisim" w:cs="Narkisim"/>
          <w:b/>
          <w:bCs/>
          <w:rtl/>
        </w:rPr>
        <w:t>רמ"א</w:t>
      </w:r>
      <w:r w:rsidRPr="009F36E0">
        <w:rPr>
          <w:rFonts w:ascii="Narkisim" w:hAnsi="Narkisim" w:cs="Narkisim"/>
          <w:rtl/>
        </w:rPr>
        <w:t xml:space="preserve"> (ט א) הביא ב' דיעות</w:t>
      </w:r>
      <w:r w:rsidRPr="009F36E0">
        <w:rPr>
          <w:rFonts w:ascii="Narkisim" w:hAnsi="Narkisim" w:cs="Narkisim"/>
        </w:rPr>
        <w:t>.</w:t>
      </w:r>
    </w:p>
    <w:p w14:paraId="75DA1BC0" w14:textId="77777777" w:rsidR="006074A5" w:rsidRPr="009F36E0" w:rsidRDefault="006074A5" w:rsidP="006074A5">
      <w:pPr>
        <w:pStyle w:val="a7"/>
        <w:bidi/>
        <w:rPr>
          <w:rFonts w:ascii="Narkisim" w:hAnsi="Narkisim"/>
        </w:rPr>
      </w:pPr>
      <w:r w:rsidRPr="009F36E0">
        <w:rPr>
          <w:rFonts w:ascii="Narkisim" w:hAnsi="Narkisim"/>
          <w:rtl/>
        </w:rPr>
        <w:t>וה</w:t>
      </w:r>
      <w:r w:rsidRPr="009F36E0">
        <w:rPr>
          <w:rFonts w:ascii="Narkisim" w:hAnsi="Narkisim"/>
          <w:b/>
          <w:bCs/>
          <w:rtl/>
        </w:rPr>
        <w:t>באה"ט</w:t>
      </w:r>
      <w:r w:rsidRPr="009F36E0">
        <w:rPr>
          <w:rFonts w:ascii="Narkisim" w:hAnsi="Narkisim"/>
          <w:rtl/>
        </w:rPr>
        <w:t xml:space="preserve"> (ט ח) וה</w:t>
      </w:r>
      <w:r w:rsidRPr="009F36E0">
        <w:rPr>
          <w:rFonts w:ascii="Narkisim" w:hAnsi="Narkisim"/>
          <w:b/>
          <w:bCs/>
          <w:rtl/>
        </w:rPr>
        <w:t>גר"א</w:t>
      </w:r>
      <w:r w:rsidRPr="009F36E0">
        <w:rPr>
          <w:rFonts w:ascii="Narkisim" w:hAnsi="Narkisim"/>
          <w:rtl/>
        </w:rPr>
        <w:t xml:space="preserve"> כת' דרש"י קאי למ"ד מזל גורם (לקמן סד:), אבל למ”ד מעין לא שייך כה"ג בגירושין. אבל ה</w:t>
      </w:r>
      <w:r w:rsidRPr="009F36E0">
        <w:rPr>
          <w:rFonts w:ascii="Narkisim" w:hAnsi="Narkisim"/>
          <w:b/>
          <w:bCs/>
          <w:rtl/>
        </w:rPr>
        <w:t>ריטב"א</w:t>
      </w:r>
      <w:r w:rsidRPr="009F36E0">
        <w:rPr>
          <w:rFonts w:ascii="Narkisim" w:hAnsi="Narkisim"/>
          <w:rtl/>
        </w:rPr>
        <w:t xml:space="preserve"> כת' דאף למ"ד מזל גורם ל"ש [וכתוס'], דהגירושין תלויין ברצון הבעל</w:t>
      </w:r>
      <w:r w:rsidRPr="009F36E0">
        <w:rPr>
          <w:rFonts w:ascii="Narkisim" w:hAnsi="Narkisim"/>
        </w:rPr>
        <w:t>.</w:t>
      </w:r>
    </w:p>
    <w:p w14:paraId="4B67909B" w14:textId="77777777" w:rsidR="006074A5" w:rsidRPr="009F36E0" w:rsidRDefault="006074A5" w:rsidP="006074A5">
      <w:pPr>
        <w:pStyle w:val="a8"/>
        <w:bidi/>
        <w:rPr>
          <w:rFonts w:ascii="Narkisim" w:hAnsi="Narkisim"/>
        </w:rPr>
      </w:pPr>
      <w:r w:rsidRPr="009F36E0">
        <w:rPr>
          <w:rFonts w:ascii="Narkisim" w:hAnsi="Narkisim"/>
          <w:rtl/>
        </w:rPr>
        <w:t>ועוד דנו ה</w:t>
      </w:r>
      <w:r w:rsidRPr="009F36E0">
        <w:rPr>
          <w:rFonts w:ascii="Narkisim" w:hAnsi="Narkisim"/>
          <w:b/>
          <w:bCs/>
          <w:rtl/>
        </w:rPr>
        <w:t>אחרונים</w:t>
      </w:r>
      <w:r w:rsidRPr="009F36E0">
        <w:rPr>
          <w:rFonts w:ascii="Narkisim" w:hAnsi="Narkisim"/>
          <w:rtl/>
        </w:rPr>
        <w:t xml:space="preserve"> דבגירושין ל"ש בזה איסור לישא, אף אם הוחזקה לגירושין</w:t>
      </w:r>
      <w:r w:rsidRPr="009F36E0">
        <w:rPr>
          <w:rStyle w:val="ac"/>
          <w:rFonts w:ascii="Narkisim" w:hAnsi="Narkisim"/>
          <w:rtl/>
        </w:rPr>
        <w:footnoteReference w:id="1537"/>
      </w:r>
      <w:r w:rsidRPr="009F36E0">
        <w:rPr>
          <w:rFonts w:ascii="Narkisim" w:hAnsi="Narkisim"/>
        </w:rPr>
        <w:t>.</w:t>
      </w:r>
    </w:p>
    <w:p w14:paraId="5F236DE3" w14:textId="77777777" w:rsidR="006074A5" w:rsidRPr="009F36E0" w:rsidRDefault="006074A5" w:rsidP="006074A5">
      <w:pPr>
        <w:pStyle w:val="aa"/>
        <w:bidi/>
        <w:rPr>
          <w:rFonts w:ascii="Narkisim" w:hAnsi="Narkisim"/>
        </w:rPr>
      </w:pPr>
      <w:r w:rsidRPr="009F36E0">
        <w:rPr>
          <w:rFonts w:ascii="Narkisim" w:hAnsi="Narkisim"/>
          <w:u w:val="single"/>
          <w:rtl/>
        </w:rPr>
        <w:t>הנטען מן האשה אסור באמה וכו'</w:t>
      </w:r>
      <w:r w:rsidRPr="009F36E0">
        <w:rPr>
          <w:rFonts w:ascii="Narkisim" w:hAnsi="Narkisim"/>
          <w:rtl/>
        </w:rPr>
        <w:t>. ה</w:t>
      </w:r>
      <w:r w:rsidRPr="009F36E0">
        <w:rPr>
          <w:rFonts w:ascii="Narkisim" w:hAnsi="Narkisim"/>
          <w:b/>
          <w:bCs/>
          <w:rtl/>
        </w:rPr>
        <w:t>ריטב"א</w:t>
      </w:r>
      <w:r w:rsidRPr="009F36E0">
        <w:rPr>
          <w:rFonts w:ascii="Narkisim" w:hAnsi="Narkisim"/>
          <w:rtl/>
        </w:rPr>
        <w:t xml:space="preserve"> ו</w:t>
      </w:r>
      <w:r w:rsidRPr="009F36E0">
        <w:rPr>
          <w:rFonts w:ascii="Narkisim" w:hAnsi="Narkisim"/>
          <w:b/>
          <w:bCs/>
          <w:rtl/>
        </w:rPr>
        <w:t>נמוק"י</w:t>
      </w:r>
      <w:r w:rsidRPr="009F36E0">
        <w:rPr>
          <w:rFonts w:ascii="Narkisim" w:hAnsi="Narkisim"/>
          <w:rtl/>
        </w:rPr>
        <w:t xml:space="preserve"> דייקו מדברי ה</w:t>
      </w:r>
      <w:r w:rsidRPr="009F36E0">
        <w:rPr>
          <w:rFonts w:ascii="Narkisim" w:hAnsi="Narkisim"/>
          <w:b/>
          <w:bCs/>
          <w:rtl/>
        </w:rPr>
        <w:t>רמב"ם</w:t>
      </w:r>
      <w:r w:rsidRPr="009F36E0">
        <w:rPr>
          <w:rFonts w:ascii="Narkisim" w:hAnsi="Narkisim"/>
          <w:rtl/>
        </w:rPr>
        <w:t xml:space="preserve"> (איסו"ב ב יא) דה"ה כל תולדותיהן </w:t>
      </w:r>
      <w:r w:rsidRPr="009F36E0">
        <w:rPr>
          <w:rFonts w:ascii="Narkisim" w:hAnsi="Narkisim"/>
          <w:rtl/>
        </w:rPr>
        <w:lastRenderedPageBreak/>
        <w:t>אמה ואם אמה ואם אביה ובת בנה ובת בתה, ולאו דוקא אמה ובתה</w:t>
      </w:r>
      <w:r w:rsidRPr="009F36E0">
        <w:rPr>
          <w:rFonts w:ascii="Narkisim" w:hAnsi="Narkisim"/>
        </w:rPr>
        <w:t>.</w:t>
      </w:r>
    </w:p>
    <w:p w14:paraId="6D3B86A9" w14:textId="77777777" w:rsidR="006074A5" w:rsidRPr="009F36E0" w:rsidRDefault="006074A5" w:rsidP="006074A5">
      <w:pPr>
        <w:pStyle w:val="aa"/>
        <w:bidi/>
        <w:rPr>
          <w:rFonts w:ascii="Narkisim" w:hAnsi="Narkisim"/>
        </w:rPr>
      </w:pPr>
      <w:r w:rsidRPr="009F36E0">
        <w:rPr>
          <w:rFonts w:ascii="Narkisim" w:hAnsi="Narkisim"/>
          <w:u w:val="single"/>
          <w:rtl/>
        </w:rPr>
        <w:t>שם. אסור באמה וכו'</w:t>
      </w:r>
      <w:r w:rsidRPr="009F36E0">
        <w:rPr>
          <w:rFonts w:ascii="Narkisim" w:hAnsi="Narkisim"/>
          <w:rtl/>
        </w:rPr>
        <w:t>. וה</w:t>
      </w:r>
      <w:r w:rsidRPr="009F36E0">
        <w:rPr>
          <w:rFonts w:ascii="Narkisim" w:hAnsi="Narkisim"/>
          <w:b/>
          <w:bCs/>
          <w:rtl/>
        </w:rPr>
        <w:t>ריטב"א</w:t>
      </w:r>
      <w:r w:rsidRPr="009F36E0">
        <w:rPr>
          <w:rFonts w:ascii="Narkisim" w:hAnsi="Narkisim"/>
          <w:rtl/>
        </w:rPr>
        <w:t xml:space="preserve"> ו</w:t>
      </w:r>
      <w:r w:rsidRPr="009F36E0">
        <w:rPr>
          <w:rFonts w:ascii="Narkisim" w:hAnsi="Narkisim"/>
          <w:b/>
          <w:bCs/>
          <w:rtl/>
        </w:rPr>
        <w:t>נמוק"י</w:t>
      </w:r>
      <w:r w:rsidRPr="009F36E0">
        <w:rPr>
          <w:rFonts w:ascii="Narkisim" w:hAnsi="Narkisim"/>
          <w:rtl/>
        </w:rPr>
        <w:t xml:space="preserve"> הביאו דתניא ב</w:t>
      </w:r>
      <w:r w:rsidRPr="009F36E0">
        <w:rPr>
          <w:rFonts w:ascii="Narkisim" w:hAnsi="Narkisim"/>
          <w:b/>
          <w:bCs/>
          <w:rtl/>
        </w:rPr>
        <w:t>תוספתא</w:t>
      </w:r>
      <w:r w:rsidRPr="009F36E0">
        <w:rPr>
          <w:rFonts w:ascii="Narkisim" w:hAnsi="Narkisim"/>
          <w:rtl/>
        </w:rPr>
        <w:t xml:space="preserve"> דבכל אלו אם כנס לא יוציא. וביאר כיון שאין כאן חשש איסור בגופן, אלא חשש על הנטענת, שתזנה עמו בסבתה מש"ה אי"צ להוציא</w:t>
      </w:r>
      <w:r w:rsidRPr="009F36E0">
        <w:rPr>
          <w:rFonts w:ascii="Narkisim" w:hAnsi="Narkisim"/>
        </w:rPr>
        <w:t>.</w:t>
      </w:r>
    </w:p>
    <w:p w14:paraId="1FAA0280" w14:textId="77777777" w:rsidR="006074A5" w:rsidRPr="009F36E0" w:rsidRDefault="006074A5" w:rsidP="006074A5">
      <w:pPr>
        <w:pStyle w:val="aa"/>
        <w:bidi/>
        <w:rPr>
          <w:rFonts w:ascii="Narkisim" w:hAnsi="Narkisim"/>
        </w:rPr>
      </w:pPr>
      <w:r w:rsidRPr="009F36E0">
        <w:rPr>
          <w:rFonts w:ascii="Narkisim" w:hAnsi="Narkisim"/>
          <w:u w:val="single"/>
          <w:rtl/>
        </w:rPr>
        <w:t>נשים וכו' לא קפדי</w:t>
      </w:r>
      <w:r w:rsidRPr="009F36E0">
        <w:rPr>
          <w:rFonts w:ascii="Narkisim" w:hAnsi="Narkisim"/>
          <w:rtl/>
        </w:rPr>
        <w:t>. ה</w:t>
      </w:r>
      <w:r w:rsidRPr="009F36E0">
        <w:rPr>
          <w:rFonts w:ascii="Narkisim" w:hAnsi="Narkisim"/>
          <w:b/>
          <w:bCs/>
          <w:rtl/>
        </w:rPr>
        <w:t>ריטב"א</w:t>
      </w:r>
      <w:r w:rsidRPr="009F36E0">
        <w:rPr>
          <w:rFonts w:ascii="Narkisim" w:hAnsi="Narkisim"/>
          <w:rtl/>
        </w:rPr>
        <w:t xml:space="preserve"> הק' דקי"ל (ע"ז כה., ע' תוס' קידושין פ:) דאמרי' אשתו משמרתו. ותי' דחיישי' שמא הסכימו ביניהם והתנו שלא תקפיד</w:t>
      </w:r>
      <w:r w:rsidRPr="009F36E0">
        <w:rPr>
          <w:rFonts w:ascii="Narkisim" w:hAnsi="Narkisim"/>
        </w:rPr>
        <w:t>.</w:t>
      </w:r>
    </w:p>
    <w:p w14:paraId="582E9AC7" w14:textId="77777777" w:rsidR="006074A5" w:rsidRPr="009F36E0" w:rsidRDefault="006074A5" w:rsidP="006074A5">
      <w:pPr>
        <w:pStyle w:val="aa"/>
        <w:bidi/>
        <w:rPr>
          <w:rFonts w:ascii="Narkisim" w:hAnsi="Narkisim"/>
        </w:rPr>
      </w:pPr>
      <w:r w:rsidRPr="009F36E0">
        <w:rPr>
          <w:rFonts w:ascii="Narkisim" w:hAnsi="Narkisim"/>
          <w:u w:val="single"/>
          <w:rtl/>
        </w:rPr>
        <w:t>אביו דבזיז בניה מיניה</w:t>
      </w:r>
      <w:r w:rsidRPr="009F36E0">
        <w:rPr>
          <w:rFonts w:ascii="Narkisim" w:hAnsi="Narkisim"/>
          <w:rtl/>
        </w:rPr>
        <w:t>. פ</w:t>
      </w:r>
      <w:r w:rsidRPr="009F36E0">
        <w:rPr>
          <w:rFonts w:ascii="Narkisim" w:hAnsi="Narkisim"/>
          <w:b/>
          <w:bCs/>
          <w:rtl/>
        </w:rPr>
        <w:t>רש"י</w:t>
      </w:r>
      <w:r w:rsidRPr="009F36E0">
        <w:rPr>
          <w:rFonts w:ascii="Narkisim" w:hAnsi="Narkisim"/>
          <w:rtl/>
        </w:rPr>
        <w:t xml:space="preserve"> בוש הוא מאביו, ואימתו עליו. וה</w:t>
      </w:r>
      <w:r w:rsidRPr="009F36E0">
        <w:rPr>
          <w:rFonts w:ascii="Narkisim" w:hAnsi="Narkisim"/>
          <w:b/>
          <w:bCs/>
          <w:rtl/>
        </w:rPr>
        <w:t>גהש"ס</w:t>
      </w:r>
      <w:r w:rsidRPr="009F36E0">
        <w:rPr>
          <w:rFonts w:ascii="Narkisim" w:hAnsi="Narkisim"/>
          <w:rtl/>
        </w:rPr>
        <w:t xml:space="preserve"> ציין ד</w:t>
      </w:r>
      <w:r w:rsidRPr="009F36E0">
        <w:rPr>
          <w:rFonts w:ascii="Narkisim" w:hAnsi="Narkisim"/>
          <w:b/>
          <w:bCs/>
          <w:rtl/>
        </w:rPr>
        <w:t>תוס</w:t>
      </w:r>
      <w:r w:rsidRPr="009F36E0">
        <w:rPr>
          <w:rFonts w:ascii="Narkisim" w:hAnsi="Narkisim"/>
          <w:rtl/>
        </w:rPr>
        <w:t>' (נדה טו:) העמידו ב' פי' בלשון בזיז, לשון פחד [והביאו דכ"מ בסוגיין]. ואילו בגמ' (לקמן קיב. ופסחים עב:) משמע שהוא לשון בושת. והביאו דכ"פ ה</w:t>
      </w:r>
      <w:r w:rsidRPr="009F36E0">
        <w:rPr>
          <w:rFonts w:ascii="Narkisim" w:hAnsi="Narkisim"/>
          <w:b/>
          <w:bCs/>
          <w:rtl/>
        </w:rPr>
        <w:t>ערוך</w:t>
      </w:r>
      <w:r w:rsidRPr="009F36E0">
        <w:rPr>
          <w:rFonts w:ascii="Narkisim" w:hAnsi="Narkisim"/>
          <w:rtl/>
        </w:rPr>
        <w:t>. [ורש"י דידן כלל תרוייהו]</w:t>
      </w:r>
      <w:r w:rsidRPr="009F36E0">
        <w:rPr>
          <w:rFonts w:ascii="Narkisim" w:hAnsi="Narkisim"/>
        </w:rPr>
        <w:t>.</w:t>
      </w:r>
    </w:p>
    <w:p w14:paraId="0EF49991" w14:textId="77777777" w:rsidR="006074A5" w:rsidRPr="009F36E0" w:rsidRDefault="006074A5" w:rsidP="006074A5">
      <w:pPr>
        <w:pStyle w:val="2"/>
        <w:bidi/>
        <w:rPr>
          <w:rFonts w:ascii="Narkisim" w:hAnsi="Narkisim"/>
        </w:rPr>
      </w:pPr>
      <w:r w:rsidRPr="009F36E0">
        <w:rPr>
          <w:rFonts w:ascii="Narkisim" w:hAnsi="Narkisim"/>
          <w:rtl/>
          <w:lang w:val="he-IL"/>
        </w:rPr>
        <w:t>הדרן עלך פרק כיצד</w:t>
      </w:r>
    </w:p>
    <w:p w14:paraId="733C10E5" w14:textId="77777777" w:rsidR="006074A5" w:rsidRPr="0041053F" w:rsidRDefault="006074A5" w:rsidP="006074A5">
      <w:pPr>
        <w:pStyle w:val="a9"/>
        <w:bidi/>
        <w:rPr>
          <w:rFonts w:ascii="Narkisim" w:hAnsi="Narkisim"/>
        </w:rPr>
      </w:pPr>
      <w:r w:rsidRPr="0041053F">
        <w:rPr>
          <w:rFonts w:ascii="Narkisim" w:hAnsi="Narkisim"/>
          <w:rtl/>
        </w:rPr>
        <w:t>בס"ד</w:t>
      </w:r>
    </w:p>
    <w:p w14:paraId="626123A4" w14:textId="77777777" w:rsidR="006074A5" w:rsidRPr="0041053F" w:rsidRDefault="006074A5" w:rsidP="006074A5">
      <w:pPr>
        <w:pStyle w:val="1"/>
        <w:bidi/>
        <w:rPr>
          <w:rFonts w:ascii="Narkisim" w:hAnsi="Narkisim"/>
        </w:rPr>
      </w:pPr>
      <w:r w:rsidRPr="0041053F">
        <w:rPr>
          <w:rFonts w:ascii="Narkisim" w:hAnsi="Narkisim"/>
          <w:rtl/>
        </w:rPr>
        <w:t>פרק ארבעה אחין</w:t>
      </w:r>
    </w:p>
    <w:p w14:paraId="43A13919" w14:textId="77777777" w:rsidR="006074A5" w:rsidRPr="0041053F" w:rsidRDefault="006074A5" w:rsidP="006074A5">
      <w:pPr>
        <w:bidi/>
        <w:rPr>
          <w:rFonts w:ascii="Narkisim" w:hAnsi="Narkisim" w:cs="Narkisim"/>
        </w:rPr>
      </w:pPr>
      <w:r w:rsidRPr="0041053F">
        <w:rPr>
          <w:rFonts w:ascii="Narkisim" w:hAnsi="Narkisim" w:cs="Narkisim"/>
          <w:u w:val="single"/>
          <w:rtl/>
        </w:rPr>
        <w:t>הרי אלו חולצות ולא מתייבמות.</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[ע"פ הגמ' כח.] דתרוייהו זקיקן, ופגע באחות זקוקה דהויא כאשתו. דלמ"ד יש זיקה משום איסור אחות זקוקה </w:t>
      </w:r>
      <w:r w:rsidRPr="0041053F">
        <w:rPr>
          <w:rFonts w:ascii="Narkisim" w:hAnsi="Narkisim" w:cs="Narkisim"/>
          <w:sz w:val="20"/>
          <w:szCs w:val="20"/>
          <w:rtl/>
        </w:rPr>
        <w:t>[ע' לעיל יז:]</w:t>
      </w:r>
      <w:r w:rsidRPr="0041053F">
        <w:rPr>
          <w:rFonts w:ascii="Narkisim" w:hAnsi="Narkisim" w:cs="Narkisim"/>
          <w:rtl/>
        </w:rPr>
        <w:t xml:space="preserve">. ולמ"ד אין זיקה איסור לבטל מצוות יבמין </w:t>
      </w:r>
      <w:r w:rsidRPr="0041053F">
        <w:rPr>
          <w:rFonts w:ascii="Narkisim" w:hAnsi="Narkisim" w:cs="Narkisim"/>
          <w:sz w:val="20"/>
          <w:szCs w:val="20"/>
          <w:rtl/>
        </w:rPr>
        <w:t>[ע' לעיל יח.]</w:t>
      </w:r>
      <w:r w:rsidRPr="0041053F">
        <w:rPr>
          <w:rFonts w:ascii="Narkisim" w:hAnsi="Narkisim" w:cs="Narkisim"/>
          <w:rtl/>
        </w:rPr>
        <w:t>.</w:t>
      </w:r>
    </w:p>
    <w:p w14:paraId="1B184ADA" w14:textId="77777777" w:rsidR="006074A5" w:rsidRPr="0041053F" w:rsidRDefault="006074A5" w:rsidP="006074A5">
      <w:pPr>
        <w:pStyle w:val="a7"/>
        <w:bidi/>
        <w:rPr>
          <w:rFonts w:ascii="Narkisim" w:hAnsi="Narkisim"/>
        </w:rPr>
      </w:pPr>
      <w:r w:rsidRPr="0041053F">
        <w:rPr>
          <w:rFonts w:ascii="Narkisim" w:hAnsi="Narkisim"/>
          <w:rtl/>
        </w:rPr>
        <w:t xml:space="preserve">והגמ' (כז:) מק' דמ"מ לאחר שא' חולץ, האח השני יוכל לייבם. ותלי במח' דהותרה ונאסרה חוזרת להיתר </w:t>
      </w:r>
      <w:r w:rsidRPr="0041053F">
        <w:rPr>
          <w:rFonts w:ascii="Narkisim" w:hAnsi="Narkisim"/>
          <w:szCs w:val="20"/>
          <w:rtl/>
        </w:rPr>
        <w:t>[עע"ש]</w:t>
      </w:r>
      <w:r w:rsidRPr="0041053F">
        <w:rPr>
          <w:rFonts w:ascii="Narkisim" w:hAnsi="Narkisim"/>
          <w:rtl/>
        </w:rPr>
        <w:t xml:space="preserve">. וכה"ק </w:t>
      </w:r>
      <w:r w:rsidRPr="0041053F">
        <w:rPr>
          <w:rFonts w:ascii="Narkisim" w:hAnsi="Narkisim"/>
          <w:b/>
          <w:bCs/>
          <w:rtl/>
        </w:rPr>
        <w:t>תוס'</w:t>
      </w:r>
      <w:r w:rsidRPr="0041053F">
        <w:rPr>
          <w:rFonts w:ascii="Narkisim" w:hAnsi="Narkisim"/>
          <w:rtl/>
        </w:rPr>
        <w:t xml:space="preserve"> </w:t>
      </w:r>
      <w:r w:rsidRPr="0041053F">
        <w:rPr>
          <w:rFonts w:ascii="Narkisim" w:hAnsi="Narkisim"/>
          <w:szCs w:val="20"/>
          <w:rtl/>
        </w:rPr>
        <w:t>(לעיל יח. ד"ה דלמא)</w:t>
      </w:r>
      <w:r w:rsidRPr="0041053F">
        <w:rPr>
          <w:rFonts w:ascii="Narkisim" w:hAnsi="Narkisim"/>
          <w:rtl/>
        </w:rPr>
        <w:t xml:space="preserve"> דלאחר שחלץ לא' תו ליכא למיחש לביטול מצוות יבמין [דהגמ' קאי למ"ד יש שזיקה, דהוה ערות אחות זקוקתו. אבל משום איסור לבטל מצוות יבמין, כיון דעכשיו ליכא חשש זה תתייבם].  ו</w:t>
      </w:r>
      <w:r w:rsidRPr="0041053F">
        <w:rPr>
          <w:rFonts w:ascii="Narkisim" w:hAnsi="Narkisim"/>
          <w:b/>
          <w:bCs/>
          <w:rtl/>
        </w:rPr>
        <w:t>תוס</w:t>
      </w:r>
      <w:r w:rsidRPr="0041053F">
        <w:rPr>
          <w:rFonts w:ascii="Narkisim" w:hAnsi="Narkisim"/>
          <w:rtl/>
        </w:rPr>
        <w:t>' תי' דגזרינן דלמא מייבם ברישא. ו</w:t>
      </w:r>
      <w:r w:rsidRPr="0041053F">
        <w:rPr>
          <w:rFonts w:ascii="Narkisim" w:hAnsi="Narkisim"/>
          <w:b/>
          <w:bCs/>
          <w:rtl/>
        </w:rPr>
        <w:t>ריב"ן</w:t>
      </w:r>
      <w:r w:rsidRPr="0041053F">
        <w:rPr>
          <w:rFonts w:ascii="Narkisim" w:hAnsi="Narkisim"/>
          <w:rtl/>
        </w:rPr>
        <w:t xml:space="preserve"> (וכן רש"י כד.) תי' דכיון דבשעת נפילה לא חזו אסורה. [ואף משום איסור לבטל מצוות יבמין אמרי' נאסרה]. [וע"ע לעיל כד.].</w:t>
      </w:r>
    </w:p>
    <w:p w14:paraId="0DFC4DB6" w14:textId="77777777" w:rsidR="006074A5" w:rsidRPr="0041053F" w:rsidRDefault="006074A5" w:rsidP="006074A5">
      <w:pPr>
        <w:pStyle w:val="a7"/>
        <w:bidi/>
        <w:rPr>
          <w:rFonts w:ascii="Narkisim" w:hAnsi="Narkisim"/>
        </w:rPr>
      </w:pPr>
      <w:r w:rsidRPr="0041053F">
        <w:rPr>
          <w:rFonts w:ascii="Narkisim" w:hAnsi="Narkisim"/>
          <w:sz w:val="20"/>
          <w:szCs w:val="20"/>
          <w:rtl/>
        </w:rPr>
        <w:t>ור' יוחנן (כז:) נשאר בזה בקושיה, אחיות איני יודע מי שנאן אמאי לא ייבם א' מהם. והגמ' דנה לתרץ בכמה אופנים. [ובעזה"י יבתאר לקמן דברי הראשונים למסקנא]</w:t>
      </w:r>
      <w:r w:rsidRPr="0041053F">
        <w:rPr>
          <w:rFonts w:ascii="Narkisim" w:hAnsi="Narkisim"/>
          <w:rtl/>
        </w:rPr>
        <w:t>.</w:t>
      </w:r>
    </w:p>
    <w:p w14:paraId="233E01A8" w14:textId="77777777" w:rsidR="006074A5" w:rsidRPr="0041053F" w:rsidRDefault="006074A5" w:rsidP="006074A5">
      <w:pPr>
        <w:bidi/>
        <w:rPr>
          <w:rFonts w:ascii="Narkisim" w:hAnsi="Narkisim" w:cs="Narkisim"/>
        </w:rPr>
      </w:pPr>
      <w:r w:rsidRPr="0041053F">
        <w:rPr>
          <w:rFonts w:ascii="Narkisim" w:hAnsi="Narkisim" w:cs="Narkisim"/>
          <w:u w:val="single"/>
          <w:rtl/>
        </w:rPr>
        <w:t>ואם קדמו וכנסו יוציאו.</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Cs w:val="20"/>
          <w:rtl/>
        </w:rPr>
        <w:t>(כג: ד"ה קדמו)</w:t>
      </w:r>
      <w:r w:rsidRPr="0041053F">
        <w:rPr>
          <w:rFonts w:ascii="Narkisim" w:hAnsi="Narkisim" w:cs="Narkisim"/>
          <w:rtl/>
        </w:rPr>
        <w:t xml:space="preserve"> פי' דהטעם משום דקנה בביאה של איסור</w:t>
      </w:r>
      <w:r w:rsidRPr="0041053F">
        <w:rPr>
          <w:rStyle w:val="ac"/>
          <w:rFonts w:ascii="Narkisim" w:hAnsi="Narkisim" w:cs="Narkisim"/>
          <w:rtl/>
        </w:rPr>
        <w:footnoteReference w:id="1538"/>
      </w:r>
      <w:r w:rsidRPr="0041053F">
        <w:rPr>
          <w:rFonts w:ascii="Narkisim" w:hAnsi="Narkisim" w:cs="Narkisim"/>
          <w:rtl/>
        </w:rPr>
        <w:t xml:space="preserve">, ופגע באחות זקוקתו. </w:t>
      </w:r>
      <w:r w:rsidRPr="0041053F">
        <w:rPr>
          <w:rFonts w:ascii="Narkisim" w:hAnsi="Narkisim" w:cs="Narkisim"/>
          <w:szCs w:val="20"/>
          <w:rtl/>
        </w:rPr>
        <w:t>[ומש"ה קנסו. א"נ דמש"ה תקנו דבעלו לא קנו</w:t>
      </w:r>
      <w:r w:rsidRPr="0041053F">
        <w:rPr>
          <w:rStyle w:val="ac"/>
          <w:rFonts w:ascii="Narkisim" w:hAnsi="Narkisim" w:cs="Narkisim"/>
          <w:szCs w:val="20"/>
          <w:rtl/>
        </w:rPr>
        <w:footnoteReference w:id="1539"/>
      </w:r>
      <w:r w:rsidRPr="0041053F">
        <w:rPr>
          <w:rFonts w:ascii="Narkisim" w:hAnsi="Narkisim" w:cs="Narkisim"/>
          <w:rtl/>
        </w:rPr>
        <w:t>].</w:t>
      </w:r>
    </w:p>
    <w:p w14:paraId="1CD248E6" w14:textId="77777777" w:rsidR="006074A5" w:rsidRPr="0041053F" w:rsidRDefault="006074A5" w:rsidP="006074A5">
      <w:pPr>
        <w:pStyle w:val="a8"/>
        <w:bidi/>
        <w:rPr>
          <w:rFonts w:ascii="Narkisim" w:hAnsi="Narkisim"/>
        </w:rPr>
      </w:pPr>
      <w:r w:rsidRPr="0041053F">
        <w:rPr>
          <w:rFonts w:ascii="Narkisim" w:hAnsi="Narkisim"/>
          <w:rtl/>
        </w:rPr>
        <w:t>ותוס' נקטו הלשון אחות זקוקתו, משמע דקאי כמ"ד יש זיקה</w:t>
      </w:r>
      <w:r w:rsidRPr="0041053F">
        <w:rPr>
          <w:rStyle w:val="ac"/>
          <w:rFonts w:ascii="Narkisim" w:hAnsi="Narkisim"/>
          <w:rtl/>
        </w:rPr>
        <w:footnoteReference w:id="1540"/>
      </w:r>
      <w:r w:rsidRPr="0041053F">
        <w:rPr>
          <w:rFonts w:ascii="Narkisim" w:hAnsi="Narkisim"/>
          <w:rtl/>
        </w:rPr>
        <w:t>, דהוה ביאת איסור באחות זקוקתו. ולמ"ד דהטעם משום דאסור לבטל, י"ל דאף קדמו וכנסו הוה בכלל הגזירה שמא ייבם ברישא [וכנ"ל]. דתקנו שלא ייבמו הכא כלל. [וכדאיתא בגמ' כז: כח.]. ועיל"פ דתוס' קאי לכו"ע, ואף למ"ד אסור לבטל שייך בזה קנס, שפגע באיסור שאסרו חכמים.</w:t>
      </w:r>
    </w:p>
    <w:p w14:paraId="4A43623E" w14:textId="77777777" w:rsidR="006074A5" w:rsidRPr="0041053F" w:rsidRDefault="006074A5" w:rsidP="006074A5">
      <w:pPr>
        <w:bidi/>
        <w:rPr>
          <w:rFonts w:ascii="Narkisim" w:hAnsi="Narkisim" w:cs="Narkisim"/>
        </w:rPr>
      </w:pPr>
      <w:r w:rsidRPr="0041053F">
        <w:rPr>
          <w:rFonts w:ascii="Narkisim" w:hAnsi="Narkisim" w:cs="Narkisim"/>
          <w:u w:val="single"/>
          <w:rtl/>
        </w:rPr>
        <w:t>שם. יוציאו</w:t>
      </w:r>
      <w:r w:rsidRPr="0041053F">
        <w:rPr>
          <w:rFonts w:ascii="Narkisim" w:hAnsi="Narkisim" w:cs="Narkisim"/>
          <w:rtl/>
        </w:rPr>
        <w:t>. ה</w:t>
      </w:r>
      <w:r w:rsidRPr="0041053F">
        <w:rPr>
          <w:rFonts w:ascii="Narkisim" w:hAnsi="Narkisim" w:cs="Narkisim"/>
          <w:b/>
          <w:bCs/>
          <w:rtl/>
        </w:rPr>
        <w:t xml:space="preserve">מאירי </w:t>
      </w:r>
      <w:r w:rsidRPr="0041053F">
        <w:rPr>
          <w:rFonts w:ascii="Narkisim" w:hAnsi="Narkisim" w:cs="Narkisim"/>
          <w:rtl/>
        </w:rPr>
        <w:t>כת' דאפי' השני מוציא. [וכן משמע ב</w:t>
      </w:r>
      <w:r w:rsidRPr="0041053F">
        <w:rPr>
          <w:rFonts w:ascii="Narkisim" w:hAnsi="Narkisim" w:cs="Narkisim"/>
          <w:b/>
          <w:bCs/>
          <w:rtl/>
        </w:rPr>
        <w:t>רמב"ם</w:t>
      </w:r>
      <w:r w:rsidRPr="0041053F">
        <w:rPr>
          <w:rFonts w:ascii="Narkisim" w:hAnsi="Narkisim" w:cs="Narkisim"/>
          <w:rtl/>
        </w:rPr>
        <w:t xml:space="preserve"> (ז ה)]. אפי' שכבר נסתלקה הזיקה בכניסת האח בשעה שהשני כנס. אפ"ה גזרו דילמא מייבם חד ברישא. </w:t>
      </w:r>
      <w:r w:rsidRPr="0041053F">
        <w:rPr>
          <w:rFonts w:ascii="Narkisim" w:hAnsi="Narkisim" w:cs="Narkisim"/>
          <w:szCs w:val="20"/>
          <w:rtl/>
        </w:rPr>
        <w:t>[וע"פ מה שהובא לעיל, ודלא כתוס' כג:. וע' בגמ' לקמן כח.]</w:t>
      </w:r>
      <w:r w:rsidRPr="0041053F">
        <w:rPr>
          <w:rFonts w:ascii="Narkisim" w:hAnsi="Narkisim" w:cs="Narkisim"/>
          <w:rtl/>
        </w:rPr>
        <w:t>.</w:t>
      </w:r>
    </w:p>
    <w:p w14:paraId="161CB154" w14:textId="77777777" w:rsidR="006074A5" w:rsidRPr="0041053F" w:rsidRDefault="006074A5" w:rsidP="006074A5">
      <w:pPr>
        <w:pStyle w:val="aa"/>
        <w:bidi/>
        <w:rPr>
          <w:rFonts w:ascii="Narkisim" w:hAnsi="Narkisim"/>
        </w:rPr>
      </w:pPr>
      <w:r w:rsidRPr="0041053F">
        <w:rPr>
          <w:rFonts w:ascii="Narkisim" w:hAnsi="Narkisim"/>
          <w:u w:val="single"/>
          <w:rtl/>
        </w:rPr>
        <w:t>בי"ש אומרים יקיימו וכו'.</w:t>
      </w:r>
      <w:r w:rsidRPr="0041053F">
        <w:rPr>
          <w:rFonts w:ascii="Narkisim" w:hAnsi="Narkisim"/>
          <w:rtl/>
        </w:rPr>
        <w:t xml:space="preserve"> [יתבאר לקמן בגמ' כח.].</w:t>
      </w:r>
    </w:p>
    <w:p w14:paraId="65CB9DF5" w14:textId="77777777" w:rsidR="006074A5" w:rsidRPr="0041053F" w:rsidRDefault="006074A5" w:rsidP="006074A5">
      <w:pPr>
        <w:bidi/>
        <w:rPr>
          <w:rFonts w:ascii="Narkisim" w:hAnsi="Narkisim" w:cs="Narkisim"/>
        </w:rPr>
      </w:pPr>
      <w:r w:rsidRPr="0041053F">
        <w:rPr>
          <w:rFonts w:ascii="Narkisim" w:hAnsi="Narkisim" w:cs="Narkisim"/>
          <w:u w:val="single"/>
          <w:rtl/>
        </w:rPr>
        <w:t>רש"י ד"ה איסור מצוה.</w:t>
      </w:r>
      <w:r w:rsidRPr="0041053F">
        <w:rPr>
          <w:rFonts w:ascii="Narkisim" w:hAnsi="Narkisim" w:cs="Narkisim"/>
          <w:rtl/>
        </w:rPr>
        <w:t xml:space="preserve"> רמיא קמיה מדאורייתא. וכן הוא לשון הגמ' (לעיל כ. ולקמן כח:) [ע' מש"כ בזה]. ויש שדייקו דחייבי לאו ועשה דאינה מתייבמת מדאורייתא ליכא איסור באחותה. </w:t>
      </w:r>
      <w:r w:rsidRPr="0041053F">
        <w:rPr>
          <w:rFonts w:ascii="Narkisim" w:hAnsi="Narkisim" w:cs="Narkisim"/>
          <w:szCs w:val="20"/>
          <w:rtl/>
        </w:rPr>
        <w:t>דלא נאמר זיקה אלא במי שזקוקה ליבום, ולא לחליצה. וכן למ"ד אסור לבטל, דרק כשמבטל מצוות יבום, אבל לא זיקת חליצה.</w:t>
      </w:r>
      <w:r w:rsidRPr="0041053F">
        <w:rPr>
          <w:rFonts w:ascii="Narkisim" w:hAnsi="Narkisim" w:cs="Narkisim"/>
          <w:rtl/>
        </w:rPr>
        <w:t xml:space="preserve"> אבל פשטות המשנה משמע דכל שאינה ערוה צרתה אסורה, דאף בזקוקה לחליצה יש זיקה</w:t>
      </w:r>
      <w:r w:rsidRPr="0041053F">
        <w:rPr>
          <w:rStyle w:val="ac"/>
          <w:rFonts w:ascii="Narkisim" w:hAnsi="Narkisim" w:cs="Narkisim"/>
          <w:rtl/>
        </w:rPr>
        <w:footnoteReference w:id="1541"/>
      </w:r>
      <w:r w:rsidRPr="0041053F">
        <w:rPr>
          <w:rFonts w:ascii="Narkisim" w:hAnsi="Narkisim" w:cs="Narkisim"/>
          <w:rtl/>
        </w:rPr>
        <w:t>.</w:t>
      </w:r>
      <w:r w:rsidRPr="0041053F">
        <w:rPr>
          <w:rFonts w:ascii="Narkisim" w:hAnsi="Narkisim" w:cs="Narkisim"/>
          <w:sz w:val="20"/>
          <w:szCs w:val="20"/>
          <w:rtl/>
        </w:rPr>
        <w:t xml:space="preserve"> וה</w:t>
      </w:r>
      <w:r w:rsidRPr="0041053F">
        <w:rPr>
          <w:rFonts w:ascii="Narkisim" w:hAnsi="Narkisim" w:cs="Narkisim"/>
          <w:b/>
          <w:bCs/>
          <w:sz w:val="20"/>
          <w:szCs w:val="20"/>
          <w:rtl/>
        </w:rPr>
        <w:t>או"ש</w:t>
      </w:r>
      <w:r w:rsidRPr="0041053F">
        <w:rPr>
          <w:rFonts w:ascii="Narkisim" w:hAnsi="Narkisim" w:cs="Narkisim"/>
          <w:sz w:val="20"/>
          <w:szCs w:val="20"/>
          <w:rtl/>
        </w:rPr>
        <w:t xml:space="preserve"> (ז א) נסתפק בזה [וע' מה שהו' כ. דנח' בזה הראשונים ואחרונים]</w:t>
      </w:r>
      <w:r w:rsidRPr="0041053F">
        <w:rPr>
          <w:rFonts w:ascii="Narkisim" w:hAnsi="Narkisim" w:cs="Narkisim"/>
          <w:rtl/>
        </w:rPr>
        <w:t>.</w:t>
      </w:r>
    </w:p>
    <w:p w14:paraId="4F77B3EB" w14:textId="77777777" w:rsidR="006074A5" w:rsidRPr="0041053F" w:rsidRDefault="006074A5" w:rsidP="006074A5">
      <w:pPr>
        <w:pStyle w:val="a8"/>
        <w:bidi/>
        <w:rPr>
          <w:rFonts w:ascii="Narkisim" w:hAnsi="Narkisim"/>
        </w:rPr>
      </w:pPr>
      <w:r w:rsidRPr="0041053F">
        <w:rPr>
          <w:rFonts w:ascii="Narkisim" w:hAnsi="Narkisim"/>
          <w:rtl/>
        </w:rPr>
        <w:t>וב</w:t>
      </w:r>
      <w:r w:rsidRPr="0041053F">
        <w:rPr>
          <w:rFonts w:ascii="Narkisim" w:hAnsi="Narkisim"/>
          <w:b/>
          <w:bCs/>
          <w:rtl/>
        </w:rPr>
        <w:t>שיע' ר' שמואל</w:t>
      </w:r>
      <w:r w:rsidRPr="0041053F">
        <w:rPr>
          <w:rFonts w:ascii="Narkisim" w:hAnsi="Narkisim"/>
          <w:rtl/>
        </w:rPr>
        <w:t xml:space="preserve"> דחה דגבי שניות נקטו הלשון מדאורייתא רמי קמי, דמדרבנן נחשב בגדר ערוה [ע' מה שהובא בזה לעיל כא.], אלא דיש זיקה כיון דזקוקה מדאורייתא</w:t>
      </w:r>
      <w:r w:rsidRPr="0041053F">
        <w:rPr>
          <w:rStyle w:val="ac"/>
          <w:rFonts w:ascii="Narkisim" w:hAnsi="Narkisim"/>
          <w:rtl/>
        </w:rPr>
        <w:footnoteReference w:id="1542"/>
      </w:r>
      <w:r w:rsidRPr="0041053F">
        <w:rPr>
          <w:rFonts w:ascii="Narkisim" w:hAnsi="Narkisim"/>
          <w:rtl/>
        </w:rPr>
        <w:t xml:space="preserve">. [אבל בפשוטו מוכח דאף מדרבנן אינה בגדר ערוה, </w:t>
      </w:r>
      <w:r w:rsidRPr="0041053F">
        <w:rPr>
          <w:rFonts w:ascii="Narkisim" w:hAnsi="Narkisim"/>
          <w:rtl/>
        </w:rPr>
        <w:lastRenderedPageBreak/>
        <w:t>וכמו שהובא שם. וי"ל דזה כוונת רש"י דכיון דמדאורייתא רמי, לא הטילו עליה דין ערוה].</w:t>
      </w:r>
    </w:p>
    <w:p w14:paraId="3E3E1823" w14:textId="77777777" w:rsidR="006074A5" w:rsidRPr="0041053F" w:rsidRDefault="006074A5" w:rsidP="006074A5">
      <w:pPr>
        <w:pStyle w:val="aa"/>
        <w:bidi/>
        <w:rPr>
          <w:rFonts w:ascii="Narkisim" w:hAnsi="Narkisim"/>
        </w:rPr>
      </w:pPr>
      <w:r w:rsidRPr="0041053F">
        <w:rPr>
          <w:rFonts w:ascii="Narkisim" w:hAnsi="Narkisim"/>
          <w:u w:val="single"/>
          <w:rtl/>
        </w:rPr>
        <w:t>א"ה תלתא נמי וכו' לא מיבעיא ג' דודאי בטלה מצוות יבמין וכו'</w:t>
      </w:r>
      <w:r w:rsidRPr="0041053F">
        <w:rPr>
          <w:rFonts w:ascii="Narkisim" w:hAnsi="Narkisim"/>
          <w:rtl/>
        </w:rPr>
        <w:t>. וצ"ב דודאי סברא פשוטה היא שיש חילוק בביטול מצוות יבמין בין ספק לודאי [וכתי' הגמ'], ומה ס"ד דמקשן. וה</w:t>
      </w:r>
      <w:r w:rsidRPr="0041053F">
        <w:rPr>
          <w:rFonts w:ascii="Narkisim" w:hAnsi="Narkisim"/>
          <w:b/>
          <w:bCs/>
          <w:rtl/>
        </w:rPr>
        <w:t>רמב"ן</w:t>
      </w:r>
      <w:r w:rsidRPr="0041053F">
        <w:rPr>
          <w:rFonts w:ascii="Narkisim" w:hAnsi="Narkisim"/>
          <w:rtl/>
        </w:rPr>
        <w:t xml:space="preserve"> הביא דסברת המקשן כדברי הגמ' (לעיל יח.) דמאן דחייש משום אסור לבטל, פשיטא דחייש אפי' לספיקא. ול"צ למיתני בה רבותא, דהכי אשכחן לתנאי דמאן דחייש אפי' לספיקא חייש. ומאן דלא חייש לודאי נמי לא חייש. אבל לענין זיקה מצאנו תנאים שחילקו בין זיקה דחד לזיקה דתרי, ואיצטריך סתם משנה לאפוקי.</w:t>
      </w:r>
    </w:p>
    <w:p w14:paraId="6F30C16A"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הביא פי' נוסף בקו' הגמ' א"ה תלתא נמי, דאי ס"ל דאין זיקה כלל ליתני תלתא. אי אמרת בשלמא דיש זיקה בא', תנא ד', דקמ"ל אסור לבטל מצות יבמין. ואלו תלתא אסור ליבם משום זיקה, אלא אי אמרת אין זיקה כלל, ליתני תלתא וידעי' דהוה משום אסור לבטל.</w:t>
      </w:r>
    </w:p>
    <w:p w14:paraId="3C790362" w14:textId="77777777" w:rsidR="006074A5" w:rsidRPr="0041053F" w:rsidRDefault="006074A5" w:rsidP="006074A5">
      <w:pPr>
        <w:pStyle w:val="aa"/>
        <w:bidi/>
        <w:rPr>
          <w:rFonts w:ascii="Narkisim" w:hAnsi="Narkisim"/>
        </w:rPr>
      </w:pPr>
      <w:r w:rsidRPr="0041053F">
        <w:rPr>
          <w:rFonts w:ascii="Narkisim" w:hAnsi="Narkisim"/>
          <w:u w:val="single"/>
          <w:rtl/>
        </w:rPr>
        <w:t>תוד"ה אי.</w:t>
      </w:r>
      <w:r w:rsidRPr="0041053F">
        <w:rPr>
          <w:rFonts w:ascii="Narkisim" w:hAnsi="Narkisim"/>
          <w:rtl/>
        </w:rPr>
        <w:t xml:space="preserve"> אע"ג דחדא מיני' לא חזיא לייבומי. דס"ד דל"ש ביטול מצוות יבמין היכא דממ"נ אינה מתייבמת. ואף שזקוקה לחליצה. וה</w:t>
      </w:r>
      <w:r w:rsidRPr="0041053F">
        <w:rPr>
          <w:rFonts w:ascii="Narkisim" w:hAnsi="Narkisim"/>
          <w:b/>
          <w:bCs/>
          <w:rtl/>
        </w:rPr>
        <w:t>אחרונים</w:t>
      </w:r>
      <w:r w:rsidRPr="0041053F">
        <w:rPr>
          <w:rFonts w:ascii="Narkisim" w:hAnsi="Narkisim"/>
          <w:rtl/>
        </w:rPr>
        <w:t xml:space="preserve"> דנו אי שייך ביטול מצוות יבמין היכא דזקוקה רק לחליצה. [וע"ע לקמן כח:]. ויל"ד למסקנא לדעת תוס' האם קמ"ל דאף משום חליצה יש ביטול מצוות יבמין</w:t>
      </w:r>
      <w:r w:rsidRPr="0041053F">
        <w:rPr>
          <w:rStyle w:val="ac"/>
          <w:rFonts w:ascii="Narkisim" w:hAnsi="Narkisim"/>
          <w:rtl/>
        </w:rPr>
        <w:footnoteReference w:id="1543"/>
      </w:r>
      <w:r w:rsidRPr="0041053F">
        <w:rPr>
          <w:rFonts w:ascii="Narkisim" w:hAnsi="Narkisim"/>
          <w:rtl/>
        </w:rPr>
        <w:t>. או דלמסקנא אמרי' דכל א' מהיבמות חזי ליבום מדינא. [ואף דא' מתוכן לא חזי].</w:t>
      </w:r>
    </w:p>
    <w:p w14:paraId="09839475" w14:textId="77777777" w:rsidR="006074A5" w:rsidRPr="0041053F" w:rsidRDefault="006074A5" w:rsidP="006074A5">
      <w:pPr>
        <w:pStyle w:val="3"/>
        <w:bidi/>
        <w:rPr>
          <w:rFonts w:ascii="Narkisim" w:hAnsi="Narkisim"/>
        </w:rPr>
      </w:pPr>
      <w:r w:rsidRPr="0041053F">
        <w:rPr>
          <w:rFonts w:ascii="Narkisim" w:hAnsi="Narkisim"/>
          <w:rtl/>
        </w:rPr>
        <w:t>דף כו:</w:t>
      </w:r>
    </w:p>
    <w:p w14:paraId="17E2F56B" w14:textId="77777777" w:rsidR="006074A5" w:rsidRPr="0041053F" w:rsidRDefault="006074A5" w:rsidP="006074A5">
      <w:pPr>
        <w:bidi/>
        <w:rPr>
          <w:rFonts w:ascii="Narkisim" w:hAnsi="Narkisim" w:cs="Narkisim"/>
        </w:rPr>
      </w:pPr>
      <w:r w:rsidRPr="0041053F">
        <w:rPr>
          <w:rFonts w:ascii="Narkisim" w:hAnsi="Narkisim" w:cs="Narkisim"/>
          <w:u w:val="single"/>
          <w:rtl/>
        </w:rPr>
        <w:t>למיתה דתרי לא חיישינן.</w:t>
      </w:r>
      <w:r w:rsidRPr="0041053F">
        <w:rPr>
          <w:rFonts w:ascii="Narkisim" w:hAnsi="Narkisim" w:cs="Narkisim"/>
          <w:rtl/>
        </w:rPr>
        <w:t xml:space="preserve"> ולפ"ז ה"נ כשיש צרות, למיתה דתרי לא חיישינן. וכ"כ </w:t>
      </w:r>
      <w:r w:rsidRPr="0041053F">
        <w:rPr>
          <w:rFonts w:ascii="Narkisim" w:hAnsi="Narkisim" w:cs="Narkisim"/>
          <w:b/>
          <w:bCs/>
          <w:rtl/>
        </w:rPr>
        <w:t>תוס</w:t>
      </w:r>
      <w:r w:rsidRPr="0041053F">
        <w:rPr>
          <w:rFonts w:ascii="Narkisim" w:hAnsi="Narkisim" w:cs="Narkisim"/>
          <w:rtl/>
        </w:rPr>
        <w:t>' (בסמוך, ד"ה וחליצה) וה</w:t>
      </w:r>
      <w:r w:rsidRPr="0041053F">
        <w:rPr>
          <w:rFonts w:ascii="Narkisim" w:hAnsi="Narkisim" w:cs="Narkisim"/>
          <w:b/>
          <w:bCs/>
          <w:rtl/>
        </w:rPr>
        <w:t>קר"א</w:t>
      </w:r>
      <w:r w:rsidRPr="0041053F">
        <w:rPr>
          <w:rFonts w:ascii="Narkisim" w:hAnsi="Narkisim" w:cs="Narkisim"/>
          <w:rtl/>
        </w:rPr>
        <w:t xml:space="preserve"> הק' [על תוס'] דבשלמא באחים, המצוה יכול להתקיים ע"י אחיו. אבל בצרות יש מצוה בפנ"ע על כל יבמה, ומפקיע את המצוה ע"י הערוה. ואף יקיים ע"י צרתה.</w:t>
      </w:r>
    </w:p>
    <w:p w14:paraId="78EDC416" w14:textId="77777777" w:rsidR="006074A5" w:rsidRPr="0041053F" w:rsidRDefault="006074A5" w:rsidP="006074A5">
      <w:pPr>
        <w:pStyle w:val="aa"/>
        <w:bidi/>
        <w:rPr>
          <w:rFonts w:ascii="Narkisim" w:hAnsi="Narkisim"/>
        </w:rPr>
      </w:pPr>
      <w:r w:rsidRPr="0041053F">
        <w:rPr>
          <w:rFonts w:ascii="Narkisim" w:hAnsi="Narkisim"/>
          <w:u w:val="single"/>
          <w:rtl/>
        </w:rPr>
        <w:t>תוד"ה למיתה דתרי.</w:t>
      </w:r>
      <w:r w:rsidRPr="0041053F">
        <w:rPr>
          <w:rFonts w:ascii="Narkisim" w:hAnsi="Narkisim"/>
          <w:rtl/>
        </w:rPr>
        <w:t xml:space="preserve"> ופרכי רבנן א"כ אין לדבר סוף. [דרבנן דהתם ס"ל דאין לחלק בין מיתה דחד למיתה דתרי. ותוס' תי' דה"מ בחשש מיתה דזמן מועט]. ועוד תי' </w:t>
      </w:r>
      <w:r w:rsidRPr="0041053F">
        <w:rPr>
          <w:rFonts w:ascii="Narkisim" w:hAnsi="Narkisim"/>
          <w:b/>
          <w:bCs/>
          <w:rtl/>
        </w:rPr>
        <w:t xml:space="preserve">תוס' </w:t>
      </w:r>
      <w:r w:rsidRPr="0041053F">
        <w:rPr>
          <w:rFonts w:ascii="Narkisim" w:hAnsi="Narkisim"/>
          <w:rtl/>
        </w:rPr>
        <w:t>(יומא ב. ד"ה וחכ"א) דבסוגיין הוה חששא בעלמא משום ביטול מצוות יבמין, וליכא איסורא כולי האי. ומש"ה אין סברא לחוש למיתה דתרי. וה</w:t>
      </w:r>
      <w:r w:rsidRPr="0041053F">
        <w:rPr>
          <w:rFonts w:ascii="Narkisim" w:hAnsi="Narkisim"/>
          <w:b/>
          <w:bCs/>
          <w:rtl/>
        </w:rPr>
        <w:t>ריטב"א</w:t>
      </w:r>
      <w:r w:rsidRPr="0041053F">
        <w:rPr>
          <w:rFonts w:ascii="Narkisim" w:hAnsi="Narkisim"/>
          <w:rtl/>
        </w:rPr>
        <w:t xml:space="preserve"> כת' דהתם אין תקנה אחרת בדבר, אבל הכא אפשר בחליצה. [וע"ע תוס' יח. ומש"כ שם].</w:t>
      </w:r>
    </w:p>
    <w:p w14:paraId="5488855D" w14:textId="77777777" w:rsidR="006074A5" w:rsidRPr="0041053F" w:rsidRDefault="006074A5" w:rsidP="006074A5">
      <w:pPr>
        <w:pStyle w:val="2"/>
        <w:bidi/>
        <w:rPr>
          <w:rFonts w:ascii="Narkisim" w:hAnsi="Narkisim"/>
        </w:rPr>
      </w:pPr>
      <w:r w:rsidRPr="0041053F">
        <w:rPr>
          <w:rFonts w:ascii="Narkisim" w:hAnsi="Narkisim"/>
          <w:rtl/>
        </w:rPr>
        <w:t>סוגיית חליצה פסולה - הקדמה</w:t>
      </w:r>
    </w:p>
    <w:p w14:paraId="147126EA" w14:textId="77777777" w:rsidR="006074A5" w:rsidRPr="0041053F" w:rsidRDefault="006074A5" w:rsidP="006074A5">
      <w:pPr>
        <w:bidi/>
        <w:rPr>
          <w:rFonts w:ascii="Narkisim" w:hAnsi="Narkisim" w:cs="Narkisim"/>
        </w:rPr>
      </w:pPr>
      <w:r w:rsidRPr="0041053F">
        <w:rPr>
          <w:rFonts w:ascii="Narkisim" w:hAnsi="Narkisim" w:cs="Narkisim"/>
          <w:u w:val="single"/>
          <w:rtl/>
        </w:rPr>
        <w:t>אמר רבר"ה אמר רב וכו' צריכה חליצה משניהם וכו' וחליצה פסולה צריכה לחזור</w:t>
      </w:r>
      <w:r w:rsidRPr="0041053F">
        <w:rPr>
          <w:rFonts w:ascii="Narkisim" w:hAnsi="Narkisim" w:cs="Narkisim"/>
          <w:rtl/>
        </w:rPr>
        <w:t>. דעת רב דבמקום שהחליצה פסולה [שאסורה ליבם, ולתוס' כגון דקלישא זיקה, ע' בסמוך] לא סגי בחליצת יבם א' ביבם א', אלא צריך חיזור, וצריך שכל האחים והצרות יחלצו. ומבואר בגמ' דכ"ז למ"ד יש זיקה.</w:t>
      </w:r>
    </w:p>
    <w:p w14:paraId="53EEA896" w14:textId="77777777" w:rsidR="006074A5" w:rsidRPr="0041053F" w:rsidRDefault="006074A5" w:rsidP="006074A5">
      <w:pPr>
        <w:bidi/>
        <w:rPr>
          <w:rFonts w:ascii="Narkisim" w:hAnsi="Narkisim" w:cs="Narkisim"/>
        </w:rPr>
      </w:pPr>
      <w:r w:rsidRPr="0041053F">
        <w:rPr>
          <w:rFonts w:ascii="Narkisim" w:hAnsi="Narkisim" w:cs="Narkisim"/>
          <w:rtl/>
        </w:rPr>
        <w:t>ושמואל חולק דבפסולין אי"צ חיזור. אך מבואר בגמ' דאף לשמואל בעינן חליצה מעלייתא, והיכא דחלץ לאחיות [דהוה אחות זקוקה], עדיין הצרות צריכות חליצה. ופ</w:t>
      </w:r>
      <w:r w:rsidRPr="0041053F">
        <w:rPr>
          <w:rFonts w:ascii="Narkisim" w:hAnsi="Narkisim" w:cs="Narkisim"/>
          <w:b/>
          <w:bCs/>
          <w:rtl/>
        </w:rPr>
        <w:t>רש"י</w:t>
      </w:r>
      <w:r w:rsidRPr="0041053F">
        <w:rPr>
          <w:rFonts w:ascii="Narkisim" w:hAnsi="Narkisim" w:cs="Narkisim"/>
          <w:rtl/>
        </w:rPr>
        <w:t xml:space="preserve"> דדעת שמואל (ללישנא קמא) דל"מ חליצה גרועה היכא דאפשר בחליצה משובחת</w:t>
      </w:r>
      <w:r w:rsidRPr="0041053F">
        <w:rPr>
          <w:rStyle w:val="ac"/>
          <w:rFonts w:ascii="Narkisim" w:hAnsi="Narkisim" w:cs="Narkisim"/>
          <w:rtl/>
        </w:rPr>
        <w:footnoteReference w:id="1544"/>
      </w:r>
      <w:r w:rsidRPr="0041053F">
        <w:rPr>
          <w:rFonts w:ascii="Narkisim" w:hAnsi="Narkisim" w:cs="Narkisim"/>
          <w:rtl/>
        </w:rPr>
        <w:t>.</w:t>
      </w:r>
    </w:p>
    <w:p w14:paraId="05C66A92" w14:textId="77777777" w:rsidR="006074A5" w:rsidRPr="0041053F" w:rsidRDefault="006074A5" w:rsidP="006074A5">
      <w:pPr>
        <w:pStyle w:val="a7"/>
        <w:bidi/>
        <w:rPr>
          <w:rFonts w:ascii="Narkisim" w:hAnsi="Narkisim"/>
        </w:rPr>
      </w:pPr>
      <w:r w:rsidRPr="0041053F">
        <w:rPr>
          <w:rFonts w:ascii="Narkisim" w:hAnsi="Narkisim"/>
          <w:rtl/>
        </w:rPr>
        <w:t>וללישנא בתרא שמואל ס"ל דמהני חליצה גרועה לפטור נפשא [ואי"צ חיזור על האחים], אך ל"מ חליצה גרוע לפטור הצרות, והצרות צריכות חיזור. [ויתבאר בהמשך].</w:t>
      </w:r>
    </w:p>
    <w:p w14:paraId="27F321FB"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מבואר דלדעת רב דחליצה הגרועה לא מהני לפטור צרתה</w:t>
      </w:r>
      <w:r w:rsidRPr="0041053F">
        <w:rPr>
          <w:rStyle w:val="ac"/>
          <w:rFonts w:ascii="Narkisim" w:hAnsi="Narkisim" w:cs="Narkisim"/>
          <w:rtl/>
        </w:rPr>
        <w:footnoteReference w:id="1545"/>
      </w:r>
      <w:r w:rsidRPr="0041053F">
        <w:rPr>
          <w:rFonts w:ascii="Narkisim" w:hAnsi="Narkisim" w:cs="Narkisim"/>
          <w:rtl/>
        </w:rPr>
        <w:t>, וכן ל"מ לפטור הזיקה מאחיו</w:t>
      </w:r>
      <w:r w:rsidRPr="0041053F">
        <w:rPr>
          <w:rStyle w:val="ac"/>
          <w:rFonts w:ascii="Narkisim" w:hAnsi="Narkisim" w:cs="Narkisim"/>
          <w:rtl/>
        </w:rPr>
        <w:footnoteReference w:id="1546"/>
      </w:r>
      <w:r w:rsidRPr="0041053F">
        <w:rPr>
          <w:rFonts w:ascii="Narkisim" w:hAnsi="Narkisim" w:cs="Narkisim"/>
          <w:rtl/>
        </w:rPr>
        <w:t>. וה</w:t>
      </w:r>
      <w:r w:rsidRPr="0041053F">
        <w:rPr>
          <w:rFonts w:ascii="Narkisim" w:hAnsi="Narkisim" w:cs="Narkisim"/>
          <w:b/>
          <w:bCs/>
          <w:rtl/>
        </w:rPr>
        <w:t>תה"ד</w:t>
      </w:r>
      <w:r w:rsidRPr="0041053F">
        <w:rPr>
          <w:rFonts w:ascii="Narkisim" w:hAnsi="Narkisim" w:cs="Narkisim"/>
          <w:rtl/>
        </w:rPr>
        <w:t xml:space="preserve"> (רכה) כת' דעיקר חיזור החליצה הוה מדברי סופרים</w:t>
      </w:r>
      <w:r w:rsidRPr="0041053F">
        <w:rPr>
          <w:rStyle w:val="ac"/>
          <w:rFonts w:ascii="Narkisim" w:hAnsi="Narkisim" w:cs="Narkisim"/>
          <w:rtl/>
        </w:rPr>
        <w:footnoteReference w:id="1547"/>
      </w:r>
      <w:r w:rsidRPr="0041053F">
        <w:rPr>
          <w:rFonts w:ascii="Narkisim" w:hAnsi="Narkisim" w:cs="Narkisim"/>
          <w:rtl/>
        </w:rPr>
        <w:t>. אך ה</w:t>
      </w:r>
      <w:r w:rsidRPr="0041053F">
        <w:rPr>
          <w:rFonts w:ascii="Narkisim" w:hAnsi="Narkisim" w:cs="Narkisim"/>
          <w:b/>
          <w:bCs/>
          <w:rtl/>
        </w:rPr>
        <w:t xml:space="preserve">קר"א </w:t>
      </w:r>
      <w:r w:rsidRPr="0041053F">
        <w:rPr>
          <w:rFonts w:ascii="Narkisim" w:hAnsi="Narkisim" w:cs="Narkisim"/>
          <w:rtl/>
        </w:rPr>
        <w:t>דן האם שורש הסברא מדאורייתא</w:t>
      </w:r>
      <w:r w:rsidRPr="0041053F">
        <w:rPr>
          <w:rStyle w:val="ac"/>
          <w:rFonts w:ascii="Narkisim" w:hAnsi="Narkisim" w:cs="Narkisim"/>
          <w:rtl/>
        </w:rPr>
        <w:footnoteReference w:id="1548"/>
      </w:r>
      <w:r w:rsidRPr="0041053F">
        <w:rPr>
          <w:rFonts w:ascii="Narkisim" w:hAnsi="Narkisim" w:cs="Narkisim"/>
          <w:rtl/>
        </w:rPr>
        <w:t xml:space="preserve">, </w:t>
      </w:r>
      <w:r w:rsidRPr="0041053F">
        <w:rPr>
          <w:rFonts w:ascii="Narkisim" w:hAnsi="Narkisim" w:cs="Narkisim"/>
          <w:sz w:val="20"/>
          <w:szCs w:val="20"/>
          <w:rtl/>
        </w:rPr>
        <w:t>אילו משכחת לה קלישות בזיקה מדאורייתא</w:t>
      </w:r>
      <w:r w:rsidRPr="0041053F">
        <w:rPr>
          <w:rStyle w:val="ac"/>
          <w:rFonts w:ascii="Narkisim" w:hAnsi="Narkisim" w:cs="Narkisim"/>
          <w:sz w:val="20"/>
          <w:szCs w:val="20"/>
          <w:rtl/>
        </w:rPr>
        <w:footnoteReference w:id="1549"/>
      </w:r>
      <w:r w:rsidRPr="0041053F">
        <w:rPr>
          <w:rFonts w:ascii="Narkisim" w:hAnsi="Narkisim" w:cs="Narkisim"/>
          <w:sz w:val="20"/>
          <w:szCs w:val="20"/>
          <w:rtl/>
        </w:rPr>
        <w:t>.</w:t>
      </w:r>
    </w:p>
    <w:p w14:paraId="356B63D7" w14:textId="77777777" w:rsidR="006074A5" w:rsidRPr="0041053F" w:rsidRDefault="006074A5" w:rsidP="006074A5">
      <w:pPr>
        <w:pStyle w:val="a7"/>
        <w:bidi/>
        <w:rPr>
          <w:rFonts w:ascii="Narkisim" w:hAnsi="Narkisim"/>
        </w:rPr>
      </w:pPr>
      <w:r w:rsidRPr="0041053F">
        <w:rPr>
          <w:rFonts w:ascii="Narkisim" w:hAnsi="Narkisim"/>
          <w:rtl/>
        </w:rPr>
        <w:t xml:space="preserve">ומבואר בגמ' </w:t>
      </w:r>
      <w:r w:rsidRPr="0041053F">
        <w:rPr>
          <w:rFonts w:ascii="Narkisim" w:hAnsi="Narkisim"/>
          <w:sz w:val="20"/>
          <w:szCs w:val="20"/>
          <w:rtl/>
        </w:rPr>
        <w:t>[בקו' מדקאמרת וכו']</w:t>
      </w:r>
      <w:r w:rsidRPr="0041053F">
        <w:rPr>
          <w:rFonts w:ascii="Narkisim" w:hAnsi="Narkisim"/>
          <w:rtl/>
        </w:rPr>
        <w:t xml:space="preserve"> דלמ"ד אין זיקה ודאי אי"צ חיזור. וכן ה</w:t>
      </w:r>
      <w:r w:rsidRPr="0041053F">
        <w:rPr>
          <w:rFonts w:ascii="Narkisim" w:hAnsi="Narkisim"/>
          <w:b/>
          <w:bCs/>
          <w:rtl/>
        </w:rPr>
        <w:t>גמ'</w:t>
      </w:r>
      <w:r w:rsidRPr="0041053F">
        <w:rPr>
          <w:rFonts w:ascii="Narkisim" w:hAnsi="Narkisim"/>
          <w:rtl/>
        </w:rPr>
        <w:t xml:space="preserve"> (לקמן נא.) מביאה </w:t>
      </w:r>
      <w:r w:rsidRPr="0041053F">
        <w:rPr>
          <w:rFonts w:ascii="Narkisim" w:hAnsi="Narkisim"/>
          <w:rtl/>
        </w:rPr>
        <w:lastRenderedPageBreak/>
        <w:t xml:space="preserve">ברייתא דאי"צ חיזור, ותי' דקאי כמ"ד אין זיקה. </w:t>
      </w:r>
      <w:r w:rsidRPr="0041053F">
        <w:rPr>
          <w:rFonts w:ascii="Narkisim" w:hAnsi="Narkisim"/>
          <w:sz w:val="20"/>
          <w:szCs w:val="20"/>
          <w:rtl/>
        </w:rPr>
        <w:t xml:space="preserve">[אך </w:t>
      </w:r>
      <w:r w:rsidRPr="0041053F">
        <w:rPr>
          <w:rFonts w:ascii="Narkisim" w:hAnsi="Narkisim"/>
          <w:b/>
          <w:bCs/>
          <w:sz w:val="20"/>
          <w:szCs w:val="20"/>
          <w:rtl/>
        </w:rPr>
        <w:t>תוס</w:t>
      </w:r>
      <w:r w:rsidRPr="0041053F">
        <w:rPr>
          <w:rFonts w:ascii="Narkisim" w:hAnsi="Narkisim"/>
          <w:sz w:val="20"/>
          <w:szCs w:val="20"/>
          <w:rtl/>
        </w:rPr>
        <w:t>' (ד"ה מדקאמרת) נקטו דהגמ' (כז.) ס"ל דאף למ"ד אין זיקה שייך חליצה פסולה</w:t>
      </w:r>
      <w:r w:rsidRPr="0041053F">
        <w:rPr>
          <w:rStyle w:val="ac"/>
          <w:rFonts w:ascii="Narkisim" w:hAnsi="Narkisim"/>
          <w:sz w:val="20"/>
          <w:szCs w:val="20"/>
          <w:rtl/>
        </w:rPr>
        <w:footnoteReference w:id="1550"/>
      </w:r>
      <w:r w:rsidRPr="0041053F">
        <w:rPr>
          <w:rFonts w:ascii="Narkisim" w:hAnsi="Narkisim"/>
          <w:sz w:val="20"/>
          <w:szCs w:val="20"/>
          <w:rtl/>
        </w:rPr>
        <w:t>, אלא דאינה לפי האמת</w:t>
      </w:r>
      <w:r w:rsidRPr="0041053F">
        <w:rPr>
          <w:rStyle w:val="ac"/>
          <w:rFonts w:ascii="Narkisim" w:hAnsi="Narkisim"/>
          <w:sz w:val="20"/>
          <w:szCs w:val="20"/>
          <w:rtl/>
        </w:rPr>
        <w:footnoteReference w:id="1551"/>
      </w:r>
      <w:r w:rsidRPr="0041053F">
        <w:rPr>
          <w:rFonts w:ascii="Narkisim" w:hAnsi="Narkisim"/>
          <w:sz w:val="20"/>
          <w:szCs w:val="20"/>
          <w:rtl/>
        </w:rPr>
        <w:t>]</w:t>
      </w:r>
      <w:r w:rsidRPr="0041053F">
        <w:rPr>
          <w:rFonts w:ascii="Narkisim" w:hAnsi="Narkisim"/>
          <w:rtl/>
        </w:rPr>
        <w:t>.</w:t>
      </w:r>
    </w:p>
    <w:p w14:paraId="73E1F7C8" w14:textId="77777777" w:rsidR="006074A5" w:rsidRPr="0041053F" w:rsidRDefault="006074A5" w:rsidP="006074A5">
      <w:pPr>
        <w:pStyle w:val="a7"/>
        <w:bidi/>
        <w:rPr>
          <w:rFonts w:ascii="Narkisim" w:hAnsi="Narkisim"/>
        </w:rPr>
      </w:pPr>
      <w:r w:rsidRPr="0041053F">
        <w:rPr>
          <w:rFonts w:ascii="Narkisim" w:hAnsi="Narkisim"/>
          <w:rtl/>
        </w:rPr>
        <w:t>ופ</w:t>
      </w:r>
      <w:r w:rsidRPr="0041053F">
        <w:rPr>
          <w:rFonts w:ascii="Narkisim" w:hAnsi="Narkisim"/>
          <w:b/>
          <w:bCs/>
          <w:rtl/>
        </w:rPr>
        <w:t>רש"י</w:t>
      </w:r>
      <w:r w:rsidRPr="0041053F">
        <w:rPr>
          <w:rFonts w:ascii="Narkisim" w:hAnsi="Narkisim"/>
          <w:rtl/>
        </w:rPr>
        <w:t xml:space="preserve"> (נא. סוה"ע) דלמ"ד אין זיקה סגי בחליצה כל דהו. כיון דלאו אלימא זיקה פקעה בכל חליצה. </w:t>
      </w:r>
      <w:r w:rsidRPr="0041053F">
        <w:rPr>
          <w:rFonts w:ascii="Narkisim" w:hAnsi="Narkisim"/>
          <w:sz w:val="20"/>
          <w:szCs w:val="20"/>
          <w:rtl/>
        </w:rPr>
        <w:t>וב</w:t>
      </w:r>
      <w:r w:rsidRPr="0041053F">
        <w:rPr>
          <w:rFonts w:ascii="Narkisim" w:hAnsi="Narkisim"/>
          <w:b/>
          <w:bCs/>
          <w:sz w:val="20"/>
          <w:szCs w:val="20"/>
          <w:rtl/>
        </w:rPr>
        <w:t>חי' ר' שמעון</w:t>
      </w:r>
      <w:r w:rsidRPr="0041053F">
        <w:rPr>
          <w:rFonts w:ascii="Narkisim" w:hAnsi="Narkisim"/>
          <w:sz w:val="20"/>
          <w:szCs w:val="20"/>
          <w:rtl/>
        </w:rPr>
        <w:t xml:space="preserve"> (כה ב) ביאר דחליצה פסולה נחשב שלא הושלם מטרת התורה בחליצה זו, ולכן לא פקע זיקת הצרה והאחים. ולמ"ד יש זיקה לא פקע דין הזיקה עד שיושלם מטרת התורה. אבל למ"ד אין זיקה, צריך סיבה ליבום כל רגע, ומהני חליצה פסולה להקליש, ושוב אין חיוב חליצה.</w:t>
      </w:r>
    </w:p>
    <w:p w14:paraId="3EEBBB34"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רש"י</w:t>
      </w:r>
      <w:r w:rsidRPr="0041053F">
        <w:rPr>
          <w:rFonts w:ascii="Narkisim" w:hAnsi="Narkisim"/>
          <w:rtl/>
        </w:rPr>
        <w:t xml:space="preserve"> </w:t>
      </w:r>
      <w:r w:rsidRPr="0041053F">
        <w:rPr>
          <w:rFonts w:ascii="Narkisim" w:hAnsi="Narkisim"/>
          <w:sz w:val="20"/>
          <w:szCs w:val="20"/>
          <w:rtl/>
        </w:rPr>
        <w:t>(בסוגיין)</w:t>
      </w:r>
      <w:r w:rsidRPr="0041053F">
        <w:rPr>
          <w:rFonts w:ascii="Narkisim" w:hAnsi="Narkisim"/>
          <w:rtl/>
        </w:rPr>
        <w:t xml:space="preserve"> הוסיף דלמ"ד יש זיקה אלימא זיקה למירמי אתרווייהו. וה</w:t>
      </w:r>
      <w:r w:rsidRPr="0041053F">
        <w:rPr>
          <w:rFonts w:ascii="Narkisim" w:hAnsi="Narkisim"/>
          <w:b/>
          <w:bCs/>
          <w:rtl/>
        </w:rPr>
        <w:t xml:space="preserve">רמב"ן </w:t>
      </w:r>
      <w:r w:rsidRPr="0041053F">
        <w:rPr>
          <w:rFonts w:ascii="Narkisim" w:hAnsi="Narkisim"/>
          <w:rtl/>
        </w:rPr>
        <w:t>פי' דלמ"ד יש זיקה צריכה פטור גדול. דלכל א' ככנוסה דמי, ואין חליצה גרועה מוציאה מביתו</w:t>
      </w:r>
      <w:r w:rsidRPr="0041053F">
        <w:rPr>
          <w:rStyle w:val="ac"/>
          <w:rFonts w:ascii="Narkisim" w:hAnsi="Narkisim"/>
          <w:rtl/>
        </w:rPr>
        <w:footnoteReference w:id="1552"/>
      </w:r>
      <w:r w:rsidRPr="0041053F">
        <w:rPr>
          <w:rFonts w:ascii="Narkisim" w:hAnsi="Narkisim"/>
          <w:rtl/>
        </w:rPr>
        <w:t xml:space="preserve">. </w:t>
      </w:r>
      <w:r w:rsidRPr="0041053F">
        <w:rPr>
          <w:rFonts w:ascii="Narkisim" w:hAnsi="Narkisim"/>
          <w:sz w:val="20"/>
          <w:szCs w:val="20"/>
          <w:rtl/>
        </w:rPr>
        <w:t>[וכעי"ז כת' הרשב"א]</w:t>
      </w:r>
      <w:r w:rsidRPr="0041053F">
        <w:rPr>
          <w:rFonts w:ascii="Narkisim" w:hAnsi="Narkisim"/>
          <w:rtl/>
        </w:rPr>
        <w:t xml:space="preserve">. </w:t>
      </w:r>
      <w:r w:rsidRPr="0041053F">
        <w:rPr>
          <w:rFonts w:ascii="Narkisim" w:hAnsi="Narkisim"/>
          <w:sz w:val="20"/>
          <w:szCs w:val="20"/>
          <w:rtl/>
        </w:rPr>
        <w:t>[ומשמע דלמ"ד יש זיקה</w:t>
      </w:r>
      <w:r w:rsidRPr="0041053F">
        <w:rPr>
          <w:rStyle w:val="ac"/>
          <w:rFonts w:ascii="Narkisim" w:hAnsi="Narkisim"/>
          <w:sz w:val="20"/>
          <w:szCs w:val="20"/>
          <w:rtl/>
        </w:rPr>
        <w:footnoteReference w:id="1553"/>
      </w:r>
      <w:r w:rsidRPr="0041053F">
        <w:rPr>
          <w:rFonts w:ascii="Narkisim" w:hAnsi="Narkisim"/>
          <w:sz w:val="20"/>
          <w:szCs w:val="20"/>
          <w:rtl/>
        </w:rPr>
        <w:t xml:space="preserve"> שמלבד עצם הא דזקוקה ליבום וחליצה, החליצה מפקיע את אישות הזיקה כלפי היבם</w:t>
      </w:r>
      <w:r w:rsidRPr="0041053F">
        <w:rPr>
          <w:rStyle w:val="ac"/>
          <w:rFonts w:ascii="Narkisim" w:hAnsi="Narkisim"/>
          <w:sz w:val="20"/>
          <w:szCs w:val="20"/>
          <w:rtl/>
        </w:rPr>
        <w:footnoteReference w:id="1554"/>
      </w:r>
      <w:r w:rsidRPr="0041053F">
        <w:rPr>
          <w:rFonts w:ascii="Narkisim" w:hAnsi="Narkisim"/>
          <w:sz w:val="20"/>
          <w:szCs w:val="20"/>
          <w:rtl/>
        </w:rPr>
        <w:t>].</w:t>
      </w:r>
    </w:p>
    <w:p w14:paraId="747983FE" w14:textId="77777777" w:rsidR="006074A5" w:rsidRPr="0041053F" w:rsidRDefault="006074A5" w:rsidP="006074A5">
      <w:pPr>
        <w:pStyle w:val="a7"/>
        <w:bidi/>
        <w:rPr>
          <w:rFonts w:ascii="Narkisim" w:hAnsi="Narkisim"/>
        </w:rPr>
      </w:pPr>
      <w:r w:rsidRPr="0041053F">
        <w:rPr>
          <w:rFonts w:ascii="Narkisim" w:hAnsi="Narkisim"/>
          <w:rtl/>
        </w:rPr>
        <w:t xml:space="preserve">ובחי' </w:t>
      </w:r>
      <w:r w:rsidRPr="0041053F">
        <w:rPr>
          <w:rFonts w:ascii="Narkisim" w:hAnsi="Narkisim"/>
          <w:b/>
          <w:bCs/>
          <w:rtl/>
        </w:rPr>
        <w:t xml:space="preserve">ר"א מן ההר </w:t>
      </w:r>
      <w:r w:rsidRPr="0041053F">
        <w:rPr>
          <w:rFonts w:ascii="Narkisim" w:hAnsi="Narkisim"/>
          <w:rtl/>
        </w:rPr>
        <w:t>כת' דלמ"ד יש זיקה זקוקה לתרוייהו. אבל למ"ד אין זיקה אינה זקוקה אלא לחולץ או למיבם.</w:t>
      </w:r>
    </w:p>
    <w:p w14:paraId="74C999C3"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רמב"ן</w:t>
      </w:r>
      <w:r w:rsidRPr="0041053F">
        <w:rPr>
          <w:rFonts w:ascii="Narkisim" w:hAnsi="Narkisim" w:cs="Narkisim"/>
          <w:rtl/>
        </w:rPr>
        <w:t xml:space="preserve"> (לקמן נא.) ביאר הטעם דחליצה פסולה צריכה חיזור, דעשאוה כפוטרת הזיקה. ולא כפוטרת קידושין הראשונים של האח, דומיא דגט. </w:t>
      </w:r>
      <w:r w:rsidRPr="0041053F">
        <w:rPr>
          <w:rFonts w:ascii="Narkisim" w:hAnsi="Narkisim" w:cs="Narkisim"/>
          <w:szCs w:val="20"/>
          <w:rtl/>
        </w:rPr>
        <w:t>וה</w:t>
      </w:r>
      <w:r w:rsidRPr="0041053F">
        <w:rPr>
          <w:rFonts w:ascii="Narkisim" w:hAnsi="Narkisim" w:cs="Narkisim"/>
          <w:b/>
          <w:bCs/>
          <w:szCs w:val="20"/>
          <w:rtl/>
        </w:rPr>
        <w:t>רמב"ן</w:t>
      </w:r>
      <w:r w:rsidRPr="0041053F">
        <w:rPr>
          <w:rFonts w:ascii="Narkisim" w:hAnsi="Narkisim" w:cs="Narkisim"/>
          <w:szCs w:val="20"/>
          <w:rtl/>
        </w:rPr>
        <w:t xml:space="preserve"> (שם) ביאר דלמ"ד אין זיקה, גדר תקנת גט או מאמר דהוה לכל הבית כולו. אבל למ"ד יש זיקה תקנו חכמים לכל א' גט ומאמר לזיקה שלו [ודימה לזה גדר חליצה פסולה]</w:t>
      </w:r>
      <w:r w:rsidRPr="0041053F">
        <w:rPr>
          <w:rFonts w:ascii="Narkisim" w:hAnsi="Narkisim" w:cs="Narkisim"/>
          <w:rtl/>
        </w:rPr>
        <w:t>.</w:t>
      </w:r>
    </w:p>
    <w:p w14:paraId="751CBCA8" w14:textId="77777777" w:rsidR="006074A5" w:rsidRPr="0041053F" w:rsidRDefault="006074A5" w:rsidP="006074A5">
      <w:pPr>
        <w:pStyle w:val="a7"/>
        <w:bidi/>
        <w:rPr>
          <w:rFonts w:ascii="Narkisim" w:hAnsi="Narkisim"/>
        </w:rPr>
      </w:pPr>
      <w:r w:rsidRPr="0041053F">
        <w:rPr>
          <w:rFonts w:ascii="Narkisim" w:hAnsi="Narkisim"/>
          <w:rtl/>
        </w:rPr>
        <w:t>והרמב"ן ביאר דהיכא שהיבמה ראויה לביאה, והביאה של זו פוטרת [את כל הבית], ע"כ אף צרה פוטרת דחליצה במקום יבום קיימא. אבל כשאינה ראויה ביבום עשאוה כמגרש</w:t>
      </w:r>
      <w:r w:rsidRPr="0041053F">
        <w:rPr>
          <w:rStyle w:val="ac"/>
          <w:rFonts w:ascii="Narkisim" w:hAnsi="Narkisim"/>
          <w:rtl/>
        </w:rPr>
        <w:footnoteReference w:id="1555"/>
      </w:r>
      <w:r w:rsidRPr="0041053F">
        <w:rPr>
          <w:rFonts w:ascii="Narkisim" w:hAnsi="Narkisim"/>
          <w:rtl/>
        </w:rPr>
        <w:t xml:space="preserve"> בגט</w:t>
      </w:r>
      <w:r w:rsidRPr="0041053F">
        <w:rPr>
          <w:rStyle w:val="ac"/>
          <w:rFonts w:ascii="Narkisim" w:hAnsi="Narkisim"/>
          <w:rtl/>
        </w:rPr>
        <w:footnoteReference w:id="1556"/>
      </w:r>
      <w:r w:rsidRPr="0041053F">
        <w:rPr>
          <w:rFonts w:ascii="Narkisim" w:hAnsi="Narkisim"/>
          <w:rtl/>
        </w:rPr>
        <w:t xml:space="preserve">, וכל א' פטורה בעצמה כשם שקידושיה בעצמה. וכן באחים. </w:t>
      </w:r>
      <w:r w:rsidRPr="0041053F">
        <w:rPr>
          <w:rFonts w:ascii="Narkisim" w:hAnsi="Narkisim"/>
          <w:szCs w:val="20"/>
          <w:rtl/>
        </w:rPr>
        <w:t>[ומשמע מדברי דגדר חליצה כלפי הזיקה של כל א' מהיבמין. ועיקר החליצה לא הוה כלפי אישות המת</w:t>
      </w:r>
      <w:r w:rsidRPr="0041053F">
        <w:rPr>
          <w:rStyle w:val="ac"/>
          <w:rFonts w:ascii="Narkisim" w:hAnsi="Narkisim"/>
          <w:szCs w:val="20"/>
          <w:rtl/>
        </w:rPr>
        <w:footnoteReference w:id="1557"/>
      </w:r>
      <w:r w:rsidRPr="0041053F">
        <w:rPr>
          <w:rFonts w:ascii="Narkisim" w:hAnsi="Narkisim"/>
          <w:rtl/>
        </w:rPr>
        <w:t>].</w:t>
      </w:r>
    </w:p>
    <w:p w14:paraId="6A7E6BBF" w14:textId="77777777" w:rsidR="006074A5" w:rsidRPr="0041053F" w:rsidRDefault="006074A5" w:rsidP="006074A5">
      <w:pPr>
        <w:pStyle w:val="a8"/>
        <w:bidi/>
        <w:rPr>
          <w:rFonts w:ascii="Narkisim" w:hAnsi="Narkisim"/>
        </w:rPr>
      </w:pPr>
      <w:r w:rsidRPr="0041053F">
        <w:rPr>
          <w:rFonts w:ascii="Narkisim" w:hAnsi="Narkisim"/>
          <w:rtl/>
        </w:rPr>
        <w:t>[ומשמע בדברי הרמב"ן דשורש המח' האמוראים אי יש זיקה הוא בחקירת ה</w:t>
      </w:r>
      <w:r w:rsidRPr="0041053F">
        <w:rPr>
          <w:rFonts w:ascii="Narkisim" w:hAnsi="Narkisim"/>
          <w:b/>
          <w:bCs/>
          <w:rtl/>
        </w:rPr>
        <w:t>אחרונים</w:t>
      </w:r>
      <w:r w:rsidRPr="0041053F">
        <w:rPr>
          <w:rFonts w:ascii="Narkisim" w:hAnsi="Narkisim"/>
          <w:rtl/>
        </w:rPr>
        <w:t xml:space="preserve"> (אתוון דאורייתא ח, קה"י כא</w:t>
      </w:r>
      <w:r w:rsidRPr="0041053F">
        <w:rPr>
          <w:rStyle w:val="ac"/>
          <w:rFonts w:ascii="Narkisim" w:hAnsi="Narkisim"/>
          <w:rtl/>
        </w:rPr>
        <w:footnoteReference w:id="1558"/>
      </w:r>
      <w:r w:rsidRPr="0041053F">
        <w:rPr>
          <w:rFonts w:ascii="Narkisim" w:hAnsi="Narkisim"/>
          <w:rtl/>
        </w:rPr>
        <w:t>) האם זיקת היבום, ואיסור יבמה לשוק הוה המשך מאישות המת</w:t>
      </w:r>
      <w:r w:rsidRPr="0041053F">
        <w:rPr>
          <w:rStyle w:val="ac"/>
          <w:rFonts w:ascii="Narkisim" w:hAnsi="Narkisim"/>
          <w:rtl/>
        </w:rPr>
        <w:footnoteReference w:id="1559"/>
      </w:r>
      <w:r w:rsidRPr="0041053F">
        <w:rPr>
          <w:rFonts w:ascii="Narkisim" w:hAnsi="Narkisim"/>
          <w:rtl/>
        </w:rPr>
        <w:t>, או דהאיסור מחמת היבם</w:t>
      </w:r>
      <w:r w:rsidRPr="0041053F">
        <w:rPr>
          <w:rStyle w:val="ac"/>
          <w:rFonts w:ascii="Narkisim" w:hAnsi="Narkisim"/>
          <w:rtl/>
        </w:rPr>
        <w:footnoteReference w:id="1560"/>
      </w:r>
      <w:r w:rsidRPr="0041053F">
        <w:rPr>
          <w:rFonts w:ascii="Narkisim" w:hAnsi="Narkisim"/>
          <w:rtl/>
        </w:rPr>
        <w:t>].</w:t>
      </w:r>
    </w:p>
    <w:p w14:paraId="0EF85BD3"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ריטב"א</w:t>
      </w:r>
      <w:r w:rsidRPr="0041053F">
        <w:rPr>
          <w:rFonts w:ascii="Narkisim" w:hAnsi="Narkisim" w:cs="Narkisim"/>
          <w:rtl/>
        </w:rPr>
        <w:t xml:space="preserve"> (כז.) כת' הטעם דבחליצה פסולה לא עבדא שליחות הצרה, כיון דאפשר לצרה בחליצה מעולה. </w:t>
      </w:r>
      <w:r w:rsidRPr="0041053F">
        <w:rPr>
          <w:rFonts w:ascii="Narkisim" w:hAnsi="Narkisim" w:cs="Narkisim"/>
          <w:sz w:val="20"/>
          <w:szCs w:val="20"/>
          <w:rtl/>
        </w:rPr>
        <w:t>ובחליצה גרועה ליכא שליחותייהו, ומש"ה אינו פוטר. [והריטב"א כת' כן בחליצה גרועה במקום דשייך חליצה מעליא. ולכאורה עד"ז אף לדעת רב היכא דתרוייהו פסולין].</w:t>
      </w:r>
    </w:p>
    <w:p w14:paraId="68E77488"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דלפ"ז תליא במח' ר' יוחנן ור"ל (לעיל י:, ועי"ש מש"כ בזה), וכל הסוגיא לר' יוחנן דמשום שליחותייהו</w:t>
      </w:r>
      <w:r w:rsidRPr="0041053F">
        <w:rPr>
          <w:rStyle w:val="ac"/>
          <w:rFonts w:ascii="Narkisim" w:hAnsi="Narkisim"/>
          <w:rtl/>
        </w:rPr>
        <w:footnoteReference w:id="1561"/>
      </w:r>
      <w:r w:rsidRPr="0041053F">
        <w:rPr>
          <w:rFonts w:ascii="Narkisim" w:hAnsi="Narkisim"/>
          <w:rtl/>
        </w:rPr>
        <w:t>.</w:t>
      </w:r>
    </w:p>
    <w:p w14:paraId="126E7F2B" w14:textId="77777777" w:rsidR="006074A5" w:rsidRPr="0041053F" w:rsidRDefault="006074A5" w:rsidP="006074A5">
      <w:pPr>
        <w:pStyle w:val="a8"/>
        <w:bidi/>
        <w:rPr>
          <w:rFonts w:ascii="Narkisim" w:hAnsi="Narkisim"/>
        </w:rPr>
      </w:pPr>
      <w:r w:rsidRPr="0041053F">
        <w:rPr>
          <w:rFonts w:ascii="Narkisim" w:hAnsi="Narkisim"/>
          <w:rtl/>
        </w:rPr>
        <w:t>ויש שביארו דקאי אף לר"ל, דלדעת ר"ל עצם החליצה מהני כלפי הזיקה [ואף בלא גדר שליחות]. מ"מ בעינן לסלק גם את המקצת אישות שיש בזיקה, ובזה אף לר"ל בעינן לדין שליחות</w:t>
      </w:r>
      <w:r w:rsidRPr="0041053F">
        <w:rPr>
          <w:rStyle w:val="ac"/>
          <w:rFonts w:ascii="Narkisim" w:hAnsi="Narkisim"/>
          <w:rtl/>
        </w:rPr>
        <w:footnoteReference w:id="1562"/>
      </w:r>
      <w:r w:rsidRPr="0041053F">
        <w:rPr>
          <w:rFonts w:ascii="Narkisim" w:hAnsi="Narkisim"/>
          <w:rtl/>
        </w:rPr>
        <w:t>. ועוד פי' ה</w:t>
      </w:r>
      <w:r w:rsidRPr="0041053F">
        <w:rPr>
          <w:rFonts w:ascii="Narkisim" w:hAnsi="Narkisim"/>
          <w:b/>
          <w:bCs/>
          <w:rtl/>
        </w:rPr>
        <w:t>אחרונים</w:t>
      </w:r>
      <w:r w:rsidRPr="0041053F">
        <w:rPr>
          <w:rFonts w:ascii="Narkisim" w:hAnsi="Narkisim"/>
          <w:rtl/>
        </w:rPr>
        <w:t xml:space="preserve"> דאף לר"ל </w:t>
      </w:r>
      <w:r w:rsidRPr="0041053F">
        <w:rPr>
          <w:rFonts w:ascii="Narkisim" w:hAnsi="Narkisim"/>
          <w:rtl/>
        </w:rPr>
        <w:lastRenderedPageBreak/>
        <w:t>בעינן עצם השליחות כדי להתיר, אלא דס"ל דלא הוה שליחות ל'מעשה החליצה' [אלא להיתר האישות]</w:t>
      </w:r>
      <w:r w:rsidRPr="0041053F">
        <w:rPr>
          <w:rStyle w:val="ac"/>
          <w:rFonts w:ascii="Narkisim" w:hAnsi="Narkisim"/>
          <w:rtl/>
        </w:rPr>
        <w:footnoteReference w:id="1563"/>
      </w:r>
      <w:r w:rsidRPr="0041053F">
        <w:rPr>
          <w:rFonts w:ascii="Narkisim" w:hAnsi="Narkisim"/>
          <w:rtl/>
        </w:rPr>
        <w:t>.</w:t>
      </w:r>
    </w:p>
    <w:p w14:paraId="34114E77" w14:textId="77777777" w:rsidR="006074A5" w:rsidRPr="0041053F" w:rsidRDefault="006074A5" w:rsidP="006074A5">
      <w:pPr>
        <w:pStyle w:val="a8"/>
        <w:bidi/>
        <w:rPr>
          <w:rFonts w:ascii="Narkisim" w:hAnsi="Narkisim"/>
        </w:rPr>
      </w:pPr>
      <w:r w:rsidRPr="0041053F">
        <w:rPr>
          <w:rFonts w:ascii="Narkisim" w:hAnsi="Narkisim"/>
          <w:rtl/>
        </w:rPr>
        <w:t>ולא נתפרש בדברי הריטב"א מ"ט דמהני למ"ד אין זיקה, הא אף להך מ"ד בעינן שליחות לר' יוחנן. וצ"ל דמהני שליחותא אף בחליצה פסולה להיתר האישות. ורק כלפי היתר הזיקה ל"מ שליחות גרוע, אבל מהני להתיר. [ויש ב' חלקי שליחות בחליצה].</w:t>
      </w:r>
    </w:p>
    <w:p w14:paraId="16FC0DC4"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 xml:space="preserve">רשב"א </w:t>
      </w:r>
      <w:r w:rsidRPr="0041053F">
        <w:rPr>
          <w:rFonts w:ascii="Narkisim" w:hAnsi="Narkisim" w:cs="Narkisim"/>
          <w:rtl/>
        </w:rPr>
        <w:t>(כז.) הביא בשם ה</w:t>
      </w:r>
      <w:r w:rsidRPr="0041053F">
        <w:rPr>
          <w:rFonts w:ascii="Narkisim" w:hAnsi="Narkisim" w:cs="Narkisim"/>
          <w:b/>
          <w:bCs/>
          <w:rtl/>
        </w:rPr>
        <w:t>ירושלמי</w:t>
      </w:r>
      <w:r w:rsidRPr="0041053F">
        <w:rPr>
          <w:rFonts w:ascii="Narkisim" w:hAnsi="Narkisim" w:cs="Narkisim"/>
          <w:rtl/>
        </w:rPr>
        <w:t xml:space="preserve"> דרב ס"ל דחליצה הוה קנין, ולשמואל הוה פטור. </w:t>
      </w:r>
      <w:r w:rsidRPr="0041053F">
        <w:rPr>
          <w:rFonts w:ascii="Narkisim" w:hAnsi="Narkisim" w:cs="Narkisim"/>
          <w:sz w:val="20"/>
          <w:szCs w:val="20"/>
          <w:rtl/>
        </w:rPr>
        <w:t>[והמפרשים האריכו לבאר הטעם בזה].</w:t>
      </w:r>
    </w:p>
    <w:p w14:paraId="5EA8C635" w14:textId="77777777" w:rsidR="006074A5" w:rsidRPr="0041053F" w:rsidRDefault="006074A5" w:rsidP="006074A5">
      <w:pPr>
        <w:bidi/>
        <w:rPr>
          <w:rFonts w:ascii="Narkisim" w:hAnsi="Narkisim" w:cs="Narkisim"/>
        </w:rPr>
      </w:pPr>
      <w:r w:rsidRPr="0041053F">
        <w:rPr>
          <w:rFonts w:ascii="Narkisim" w:hAnsi="Narkisim" w:cs="Narkisim"/>
          <w:i/>
          <w:iCs/>
          <w:sz w:val="21"/>
          <w:szCs w:val="21"/>
          <w:rtl/>
        </w:rPr>
        <w:t xml:space="preserve">חליצה גרועה טפי </w:t>
      </w:r>
      <w:r w:rsidRPr="0041053F">
        <w:rPr>
          <w:rFonts w:ascii="Narkisim" w:hAnsi="Narkisim" w:cs="Narkisim"/>
          <w:rtl/>
        </w:rPr>
        <w:t xml:space="preserve">- דעת </w:t>
      </w:r>
      <w:r w:rsidRPr="0041053F">
        <w:rPr>
          <w:rFonts w:ascii="Narkisim" w:hAnsi="Narkisim" w:cs="Narkisim"/>
          <w:b/>
          <w:bCs/>
          <w:rtl/>
        </w:rPr>
        <w:t>שמואל</w:t>
      </w:r>
      <w:r w:rsidRPr="0041053F">
        <w:rPr>
          <w:rFonts w:ascii="Narkisim" w:hAnsi="Narkisim" w:cs="Narkisim"/>
          <w:rtl/>
        </w:rPr>
        <w:t xml:space="preserve"> </w:t>
      </w:r>
      <w:r w:rsidRPr="0041053F">
        <w:rPr>
          <w:rFonts w:ascii="Narkisim" w:hAnsi="Narkisim" w:cs="Narkisim"/>
          <w:sz w:val="20"/>
          <w:szCs w:val="20"/>
          <w:rtl/>
        </w:rPr>
        <w:t>[לחד לישנא]</w:t>
      </w:r>
      <w:r w:rsidRPr="0041053F">
        <w:rPr>
          <w:rFonts w:ascii="Narkisim" w:hAnsi="Narkisim" w:cs="Narkisim"/>
          <w:rtl/>
        </w:rPr>
        <w:t xml:space="preserve"> דחליצה גרועה אינה פוטרת צרתה המעולה ממנה. ו</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 w:val="20"/>
          <w:szCs w:val="20"/>
          <w:rtl/>
        </w:rPr>
        <w:t>(ד"ה מדקאמרת)</w:t>
      </w:r>
      <w:r w:rsidRPr="0041053F">
        <w:rPr>
          <w:rFonts w:ascii="Narkisim" w:hAnsi="Narkisim" w:cs="Narkisim"/>
          <w:rtl/>
        </w:rPr>
        <w:t xml:space="preserve"> וה</w:t>
      </w:r>
      <w:r w:rsidRPr="0041053F">
        <w:rPr>
          <w:rFonts w:ascii="Narkisim" w:hAnsi="Narkisim" w:cs="Narkisim"/>
          <w:b/>
          <w:bCs/>
          <w:rtl/>
        </w:rPr>
        <w:t>ראשונים</w:t>
      </w:r>
      <w:r w:rsidRPr="0041053F">
        <w:rPr>
          <w:rFonts w:ascii="Narkisim" w:hAnsi="Narkisim" w:cs="Narkisim"/>
          <w:rtl/>
        </w:rPr>
        <w:t xml:space="preserve"> דנו האם קאי רק למ"ד יש זיקה.</w:t>
      </w:r>
    </w:p>
    <w:p w14:paraId="0BC8CD54"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חקרו בהא דבעי חליצה מעלייתא, אי שייך לסברת חליצה פסולה. או דהוה סברא בפנ"ע דכיון דעדיפא לא פטרה</w:t>
      </w:r>
      <w:r w:rsidRPr="0041053F">
        <w:rPr>
          <w:rStyle w:val="ac"/>
          <w:rFonts w:ascii="Narkisim" w:hAnsi="Narkisim"/>
          <w:rtl/>
        </w:rPr>
        <w:footnoteReference w:id="1564"/>
      </w:r>
      <w:r w:rsidRPr="0041053F">
        <w:rPr>
          <w:rFonts w:ascii="Narkisim" w:hAnsi="Narkisim"/>
          <w:rtl/>
        </w:rPr>
        <w:t>. וכ"כ ב</w:t>
      </w:r>
      <w:r w:rsidRPr="0041053F">
        <w:rPr>
          <w:rFonts w:ascii="Narkisim" w:hAnsi="Narkisim"/>
          <w:b/>
          <w:bCs/>
          <w:rtl/>
        </w:rPr>
        <w:t>חי' ר"א מן ההר</w:t>
      </w:r>
      <w:r w:rsidRPr="0041053F">
        <w:rPr>
          <w:rFonts w:ascii="Narkisim" w:hAnsi="Narkisim"/>
          <w:rtl/>
        </w:rPr>
        <w:t xml:space="preserve"> דתרי מילי הוה ולא נגעי אהדדי</w:t>
      </w:r>
      <w:r w:rsidRPr="0041053F">
        <w:rPr>
          <w:rStyle w:val="ac"/>
          <w:rFonts w:ascii="Narkisim" w:hAnsi="Narkisim"/>
          <w:rtl/>
        </w:rPr>
        <w:footnoteReference w:id="1565"/>
      </w:r>
      <w:r w:rsidRPr="0041053F">
        <w:rPr>
          <w:rFonts w:ascii="Narkisim" w:hAnsi="Narkisim"/>
          <w:rtl/>
        </w:rPr>
        <w:t>.</w:t>
      </w:r>
    </w:p>
    <w:p w14:paraId="3179BC79"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רמב"ן</w:t>
      </w:r>
      <w:r w:rsidRPr="0041053F">
        <w:rPr>
          <w:rFonts w:ascii="Narkisim" w:hAnsi="Narkisim" w:cs="Narkisim"/>
          <w:rtl/>
        </w:rPr>
        <w:t xml:space="preserve"> </w:t>
      </w:r>
      <w:r w:rsidRPr="0041053F">
        <w:rPr>
          <w:rFonts w:ascii="Narkisim" w:hAnsi="Narkisim" w:cs="Narkisim"/>
          <w:sz w:val="20"/>
          <w:szCs w:val="20"/>
          <w:rtl/>
        </w:rPr>
        <w:t>(בכ"מ בסוגיין, והו' ברא"ש והפוסקים)</w:t>
      </w:r>
      <w:r w:rsidRPr="0041053F">
        <w:rPr>
          <w:rFonts w:ascii="Narkisim" w:hAnsi="Narkisim" w:cs="Narkisim"/>
          <w:rtl/>
        </w:rPr>
        <w:t xml:space="preserve"> כתב דכששניהם פסולות אף רב מודה דמהני חליצת הגרועה לפטור העדיפא. </w:t>
      </w:r>
      <w:r w:rsidRPr="0041053F">
        <w:rPr>
          <w:rFonts w:ascii="Narkisim" w:hAnsi="Narkisim" w:cs="Narkisim"/>
          <w:sz w:val="20"/>
          <w:szCs w:val="20"/>
          <w:rtl/>
        </w:rPr>
        <w:t xml:space="preserve">[וצ"ב הטעם בזה ע"פ שיטתו. דמ"מ החליצה אינה ראויה ליבום, ובמה עדיף משוות]. </w:t>
      </w:r>
      <w:r w:rsidRPr="0041053F">
        <w:rPr>
          <w:rFonts w:ascii="Narkisim" w:hAnsi="Narkisim" w:cs="Narkisim"/>
          <w:rtl/>
        </w:rPr>
        <w:t>ומדברי התוס' מבואר דלא ס"ל כן.</w:t>
      </w:r>
    </w:p>
    <w:p w14:paraId="26404733" w14:textId="77777777" w:rsidR="006074A5" w:rsidRPr="0041053F" w:rsidRDefault="006074A5" w:rsidP="006074A5">
      <w:pPr>
        <w:pStyle w:val="aa"/>
        <w:bidi/>
        <w:rPr>
          <w:rFonts w:ascii="Narkisim" w:hAnsi="Narkisim"/>
        </w:rPr>
      </w:pPr>
      <w:r w:rsidRPr="0041053F">
        <w:rPr>
          <w:rFonts w:ascii="Narkisim" w:hAnsi="Narkisim"/>
          <w:i/>
          <w:iCs/>
          <w:rtl/>
        </w:rPr>
        <w:t>ביאה פסולה</w:t>
      </w:r>
      <w:r w:rsidRPr="0041053F">
        <w:rPr>
          <w:rFonts w:ascii="Narkisim" w:hAnsi="Narkisim"/>
          <w:rtl/>
        </w:rPr>
        <w:t xml:space="preserve"> – בגמ' (לקמן נ:) מבואר דביאה פסולה אינו פוטרת. כגון נתן גט ואח"כ ייבם הוה </w:t>
      </w:r>
      <w:r w:rsidRPr="0041053F">
        <w:rPr>
          <w:rFonts w:ascii="Narkisim" w:hAnsi="Narkisim"/>
          <w:i/>
          <w:iCs/>
          <w:rtl/>
        </w:rPr>
        <w:t>ביאה</w:t>
      </w:r>
      <w:r w:rsidRPr="0041053F">
        <w:rPr>
          <w:rFonts w:ascii="Narkisim" w:hAnsi="Narkisim"/>
          <w:rtl/>
        </w:rPr>
        <w:t xml:space="preserve"> </w:t>
      </w:r>
      <w:r w:rsidRPr="0041053F">
        <w:rPr>
          <w:rFonts w:ascii="Narkisim" w:hAnsi="Narkisim"/>
          <w:i/>
          <w:iCs/>
          <w:rtl/>
        </w:rPr>
        <w:t>פסולה</w:t>
      </w:r>
      <w:r w:rsidRPr="0041053F">
        <w:rPr>
          <w:rFonts w:ascii="Narkisim" w:hAnsi="Narkisim"/>
          <w:rtl/>
        </w:rPr>
        <w:t>, ועדיין תופס מאמר [בצרתה או של אחיו], וצריכה גט וחליצה [וכדתנן שם, ויתבאר לקמן בעזה"י]. ומשמע בדברי ה</w:t>
      </w:r>
      <w:r w:rsidRPr="0041053F">
        <w:rPr>
          <w:rFonts w:ascii="Narkisim" w:hAnsi="Narkisim"/>
          <w:b/>
          <w:bCs/>
          <w:rtl/>
        </w:rPr>
        <w:t>גר"א</w:t>
      </w:r>
      <w:r w:rsidRPr="0041053F">
        <w:rPr>
          <w:rFonts w:ascii="Narkisim" w:hAnsi="Narkisim"/>
          <w:rtl/>
        </w:rPr>
        <w:t xml:space="preserve"> (קע מה) דגדר ביאה פסולה שייך לדין חליצה פסולה. וכן נקט ה</w:t>
      </w:r>
      <w:r w:rsidRPr="0041053F">
        <w:rPr>
          <w:rFonts w:ascii="Narkisim" w:hAnsi="Narkisim"/>
          <w:b/>
          <w:bCs/>
          <w:rtl/>
        </w:rPr>
        <w:t>או"ש</w:t>
      </w:r>
      <w:r w:rsidRPr="0041053F">
        <w:rPr>
          <w:rFonts w:ascii="Narkisim" w:hAnsi="Narkisim"/>
          <w:rtl/>
        </w:rPr>
        <w:t xml:space="preserve"> (קו' זיקה כג,ל ועוד) דהיכא דהוה ביאה פסולה הוה חליצה פסולה.</w:t>
      </w:r>
    </w:p>
    <w:p w14:paraId="0AF82FD2"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(קכז ו) תמה שאין שייכות ביניהם. ותקנת ביאה פסולה מבואר בגמ' (נ:) דהוה משום גזירה דביאה אחר חליצה, ולא משום דקלישא זיקה. וכן מבואר ב</w:t>
      </w:r>
      <w:r w:rsidRPr="0041053F">
        <w:rPr>
          <w:rFonts w:ascii="Narkisim" w:hAnsi="Narkisim"/>
          <w:b/>
          <w:bCs/>
          <w:rtl/>
        </w:rPr>
        <w:t>תוס</w:t>
      </w:r>
      <w:r w:rsidRPr="0041053F">
        <w:rPr>
          <w:rFonts w:ascii="Narkisim" w:hAnsi="Narkisim"/>
          <w:rtl/>
        </w:rPr>
        <w:t>' (לקמן קיא. ד"ה הויא).</w:t>
      </w:r>
    </w:p>
    <w:p w14:paraId="6E4F38EB" w14:textId="77777777" w:rsidR="006074A5" w:rsidRPr="0041053F" w:rsidRDefault="006074A5" w:rsidP="006074A5">
      <w:pPr>
        <w:bidi/>
        <w:rPr>
          <w:rFonts w:ascii="Narkisim" w:hAnsi="Narkisim" w:cs="Narkisim"/>
        </w:rPr>
      </w:pPr>
      <w:r w:rsidRPr="0041053F">
        <w:rPr>
          <w:rFonts w:ascii="Narkisim" w:hAnsi="Narkisim" w:cs="Narkisim"/>
          <w:u w:val="single"/>
          <w:rtl/>
        </w:rPr>
        <w:t>א"ה קמייתא נמי וכו'.</w:t>
      </w:r>
      <w:r w:rsidRPr="0041053F">
        <w:rPr>
          <w:rFonts w:ascii="Narkisim" w:hAnsi="Narkisim" w:cs="Narkisim"/>
          <w:rtl/>
        </w:rPr>
        <w:t xml:space="preserve"> פרש"י דהואיל ויש זיקה לא היה יכול לייבם הראשונות. וכיון דאחות חלוצתו הוה חליצה פסולה, א"כ אף אחות זקוקתו.</w:t>
      </w:r>
    </w:p>
    <w:p w14:paraId="704780F6"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(קו' זיקה יד) הביא מסוגיין [דלמ"ד יש זיקה] איסור אחות חליצה הוא משום המשך מהאיסור זיקה</w:t>
      </w:r>
      <w:r w:rsidRPr="0041053F">
        <w:rPr>
          <w:rFonts w:ascii="Narkisim" w:hAnsi="Narkisim"/>
          <w:sz w:val="20"/>
          <w:szCs w:val="20"/>
          <w:rtl/>
        </w:rPr>
        <w:t xml:space="preserve"> [ודלא כדעת רב יוסף (לקמן מ:) דאחות חלוצה הוה איסור בפנ"ע, שנעשה בה מעשה</w:t>
      </w:r>
      <w:r w:rsidRPr="0041053F">
        <w:rPr>
          <w:rStyle w:val="ac"/>
          <w:rFonts w:ascii="Narkisim" w:hAnsi="Narkisim"/>
          <w:sz w:val="20"/>
          <w:szCs w:val="20"/>
          <w:rtl/>
        </w:rPr>
        <w:footnoteReference w:id="1566"/>
      </w:r>
      <w:r w:rsidRPr="0041053F">
        <w:rPr>
          <w:rFonts w:ascii="Narkisim" w:hAnsi="Narkisim"/>
          <w:sz w:val="20"/>
          <w:szCs w:val="20"/>
          <w:rtl/>
        </w:rPr>
        <w:t>].</w:t>
      </w:r>
    </w:p>
    <w:p w14:paraId="022B454C" w14:textId="77777777" w:rsidR="006074A5" w:rsidRPr="0041053F" w:rsidRDefault="006074A5" w:rsidP="006074A5">
      <w:pPr>
        <w:bidi/>
        <w:rPr>
          <w:rFonts w:ascii="Narkisim" w:hAnsi="Narkisim" w:cs="Narkisim"/>
        </w:rPr>
      </w:pPr>
      <w:r w:rsidRPr="0041053F">
        <w:rPr>
          <w:rFonts w:ascii="Narkisim" w:hAnsi="Narkisim" w:cs="Narkisim"/>
          <w:rtl/>
        </w:rPr>
        <w:t>ו</w:t>
      </w:r>
      <w:r w:rsidRPr="0041053F">
        <w:rPr>
          <w:rFonts w:ascii="Narkisim" w:hAnsi="Narkisim" w:cs="Narkisim"/>
          <w:b/>
          <w:bCs/>
          <w:rtl/>
        </w:rPr>
        <w:t>תוס' חד מקמאי</w:t>
      </w:r>
      <w:r w:rsidRPr="0041053F">
        <w:rPr>
          <w:rFonts w:ascii="Narkisim" w:hAnsi="Narkisim" w:cs="Narkisim"/>
          <w:rtl/>
        </w:rPr>
        <w:t xml:space="preserve"> כת' דכיון דאפי' אחותה חלוצתו דהוה דרבנן הוה חליצה פסולה, כ"ש אחות זקוקתו דהוה חליצה פסולה </w:t>
      </w:r>
      <w:r w:rsidRPr="0041053F">
        <w:rPr>
          <w:rFonts w:ascii="Narkisim" w:hAnsi="Narkisim" w:cs="Narkisim"/>
          <w:i/>
          <w:iCs/>
          <w:rtl/>
        </w:rPr>
        <w:t>מדאורייתא</w:t>
      </w:r>
      <w:r w:rsidRPr="0041053F">
        <w:rPr>
          <w:rStyle w:val="ac"/>
          <w:rFonts w:ascii="Narkisim" w:hAnsi="Narkisim" w:cs="Narkisim"/>
          <w:i/>
          <w:iCs/>
          <w:rtl/>
        </w:rPr>
        <w:footnoteReference w:id="1567"/>
      </w:r>
      <w:r w:rsidRPr="0041053F">
        <w:rPr>
          <w:rFonts w:ascii="Narkisim" w:hAnsi="Narkisim" w:cs="Narkisim"/>
          <w:i/>
          <w:iCs/>
          <w:rtl/>
        </w:rPr>
        <w:t>.</w:t>
      </w:r>
      <w:r w:rsidRPr="0041053F">
        <w:rPr>
          <w:rFonts w:ascii="Narkisim" w:hAnsi="Narkisim" w:cs="Narkisim"/>
          <w:rtl/>
        </w:rPr>
        <w:t xml:space="preserve"> </w:t>
      </w:r>
      <w:r w:rsidRPr="0041053F">
        <w:rPr>
          <w:rFonts w:ascii="Narkisim" w:hAnsi="Narkisim" w:cs="Narkisim"/>
          <w:sz w:val="20"/>
          <w:szCs w:val="20"/>
          <w:rtl/>
        </w:rPr>
        <w:t>[ומבואר בדבריו דאחות זקוקתו הוה איסור דאורייתא</w:t>
      </w:r>
      <w:r w:rsidRPr="0041053F">
        <w:rPr>
          <w:rStyle w:val="ac"/>
          <w:rFonts w:ascii="Narkisim" w:hAnsi="Narkisim" w:cs="Narkisim"/>
          <w:sz w:val="20"/>
          <w:szCs w:val="20"/>
          <w:rtl/>
        </w:rPr>
        <w:footnoteReference w:id="1568"/>
      </w:r>
      <w:r w:rsidRPr="0041053F">
        <w:rPr>
          <w:rFonts w:ascii="Narkisim" w:hAnsi="Narkisim" w:cs="Narkisim"/>
          <w:sz w:val="20"/>
          <w:szCs w:val="20"/>
          <w:rtl/>
        </w:rPr>
        <w:t>. וע' מש"כ לעיל יז: לקמן כז:].</w:t>
      </w:r>
    </w:p>
    <w:p w14:paraId="510E25B0" w14:textId="77777777" w:rsidR="006074A5" w:rsidRPr="0041053F" w:rsidRDefault="006074A5" w:rsidP="006074A5">
      <w:pPr>
        <w:bidi/>
        <w:rPr>
          <w:rFonts w:ascii="Narkisim" w:hAnsi="Narkisim" w:cs="Narkisim"/>
        </w:rPr>
      </w:pPr>
      <w:r w:rsidRPr="0041053F">
        <w:rPr>
          <w:rFonts w:ascii="Narkisim" w:hAnsi="Narkisim" w:cs="Narkisim"/>
          <w:u w:val="single"/>
          <w:rtl/>
        </w:rPr>
        <w:t>תוד"ה מדקאמרת.</w:t>
      </w:r>
      <w:r w:rsidRPr="0041053F">
        <w:rPr>
          <w:rFonts w:ascii="Narkisim" w:hAnsi="Narkisim" w:cs="Narkisim"/>
          <w:rtl/>
        </w:rPr>
        <w:t xml:space="preserve"> ול"ל נמי דא' חולץ לשתיהן, דלמ"ד אין זיקה נמי וכו' מפקעת זיקת שמעון החשובה וכו'. תוס' דייקו דדעת </w:t>
      </w:r>
      <w:r w:rsidRPr="0041053F">
        <w:rPr>
          <w:rFonts w:ascii="Narkisim" w:hAnsi="Narkisim" w:cs="Narkisim"/>
          <w:b/>
          <w:bCs/>
          <w:rtl/>
        </w:rPr>
        <w:t>רש"י</w:t>
      </w:r>
      <w:r w:rsidRPr="0041053F">
        <w:rPr>
          <w:rFonts w:ascii="Narkisim" w:hAnsi="Narkisim" w:cs="Narkisim"/>
          <w:rtl/>
        </w:rPr>
        <w:t xml:space="preserve"> דאף למ"ד אין זיקה בעינן חליצה אלימתא. ור"י חלק דלפי האמת למ"ד אין זיקה ל"צ אפי' אלימתא. </w:t>
      </w:r>
      <w:r w:rsidRPr="0041053F">
        <w:rPr>
          <w:rFonts w:ascii="Narkisim" w:hAnsi="Narkisim" w:cs="Narkisim"/>
          <w:sz w:val="20"/>
          <w:szCs w:val="20"/>
          <w:rtl/>
        </w:rPr>
        <w:t>וה</w:t>
      </w:r>
      <w:r w:rsidRPr="0041053F">
        <w:rPr>
          <w:rFonts w:ascii="Narkisim" w:hAnsi="Narkisim" w:cs="Narkisim"/>
          <w:b/>
          <w:bCs/>
          <w:sz w:val="20"/>
          <w:szCs w:val="20"/>
          <w:rtl/>
        </w:rPr>
        <w:t>רמב"ן</w:t>
      </w:r>
      <w:r w:rsidRPr="0041053F">
        <w:rPr>
          <w:rFonts w:ascii="Narkisim" w:hAnsi="Narkisim" w:cs="Narkisim"/>
          <w:sz w:val="20"/>
          <w:szCs w:val="20"/>
          <w:rtl/>
        </w:rPr>
        <w:t xml:space="preserve"> כתב דתליא בלשונות לקמן.</w:t>
      </w:r>
    </w:p>
    <w:p w14:paraId="26C8A9CF"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ר"מ מאיורא</w:t>
      </w:r>
      <w:r w:rsidRPr="0041053F">
        <w:rPr>
          <w:rFonts w:ascii="Narkisim" w:hAnsi="Narkisim"/>
          <w:sz w:val="20"/>
          <w:szCs w:val="20"/>
          <w:rtl/>
        </w:rPr>
        <w:t xml:space="preserve"> (בתוס' מהר"ם ור"פ ותו"י) </w:t>
      </w:r>
      <w:r w:rsidRPr="0041053F">
        <w:rPr>
          <w:rFonts w:ascii="Narkisim" w:hAnsi="Narkisim"/>
          <w:rtl/>
        </w:rPr>
        <w:t>חילק [לדעת רש"י] דלמ"ד אין זיקה חליצה גרועה פטרה נפשא, והיא מותרת בלא חיזור האחים. אך לפטור צרתה קאי בגמ' (לקמן שם) דלא פטרה.</w:t>
      </w:r>
      <w:r w:rsidRPr="0041053F">
        <w:rPr>
          <w:rFonts w:ascii="Narkisim" w:hAnsi="Narkisim"/>
          <w:sz w:val="20"/>
          <w:szCs w:val="20"/>
          <w:rtl/>
        </w:rPr>
        <w:t xml:space="preserve"> [וע"ד הל"ב כשמואל לקמן. וה</w:t>
      </w:r>
      <w:r w:rsidRPr="0041053F">
        <w:rPr>
          <w:rFonts w:ascii="Narkisim" w:hAnsi="Narkisim"/>
          <w:b/>
          <w:bCs/>
          <w:sz w:val="20"/>
          <w:szCs w:val="20"/>
          <w:rtl/>
        </w:rPr>
        <w:t>אחרונים</w:t>
      </w:r>
      <w:r w:rsidRPr="0041053F">
        <w:rPr>
          <w:rFonts w:ascii="Narkisim" w:hAnsi="Narkisim"/>
          <w:sz w:val="20"/>
          <w:szCs w:val="20"/>
          <w:rtl/>
        </w:rPr>
        <w:t xml:space="preserve"> דנו בטעם החילוק].</w:t>
      </w:r>
    </w:p>
    <w:p w14:paraId="7B271EA5"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מהר"ח או"ז</w:t>
      </w:r>
      <w:r w:rsidRPr="0041053F">
        <w:rPr>
          <w:rFonts w:ascii="Narkisim" w:hAnsi="Narkisim"/>
          <w:rtl/>
        </w:rPr>
        <w:t xml:space="preserve"> (קצז) כת' דמ"ד אין זיקה ס"ל ד</w:t>
      </w:r>
      <w:r w:rsidRPr="0041053F">
        <w:rPr>
          <w:rFonts w:ascii="Narkisim" w:hAnsi="Narkisim"/>
          <w:i/>
          <w:iCs/>
          <w:rtl/>
        </w:rPr>
        <w:t>לכתחילה</w:t>
      </w:r>
      <w:r w:rsidRPr="0041053F">
        <w:rPr>
          <w:rFonts w:ascii="Narkisim" w:hAnsi="Narkisim"/>
          <w:rtl/>
        </w:rPr>
        <w:t xml:space="preserve"> יעשה חליצה מעליא. </w:t>
      </w:r>
      <w:r w:rsidRPr="0041053F">
        <w:rPr>
          <w:rFonts w:ascii="Narkisim" w:hAnsi="Narkisim"/>
          <w:sz w:val="20"/>
          <w:szCs w:val="20"/>
          <w:rtl/>
        </w:rPr>
        <w:t>[אבל ל"צ חיזור, דכיון דא' חלץ מותרת, דהוה בדיעבד]. וכ"כ תוס' חד מקמאי (כו.).</w:t>
      </w:r>
    </w:p>
    <w:p w14:paraId="26CFA5D7" w14:textId="77777777" w:rsidR="006074A5" w:rsidRPr="0041053F" w:rsidRDefault="006074A5" w:rsidP="006074A5">
      <w:pPr>
        <w:bidi/>
        <w:rPr>
          <w:rFonts w:ascii="Narkisim" w:hAnsi="Narkisim" w:cs="Narkisim"/>
        </w:rPr>
      </w:pPr>
      <w:r w:rsidRPr="0041053F">
        <w:rPr>
          <w:rFonts w:ascii="Narkisim" w:hAnsi="Narkisim" w:cs="Narkisim"/>
          <w:u w:val="single"/>
          <w:rtl/>
        </w:rPr>
        <w:t>תוד"ה וחליצה פסולה.</w:t>
      </w:r>
      <w:r w:rsidRPr="0041053F">
        <w:rPr>
          <w:rFonts w:ascii="Narkisim" w:hAnsi="Narkisim" w:cs="Narkisim"/>
          <w:rtl/>
        </w:rPr>
        <w:t xml:space="preserve"> לא כמו שפ"ה דכל היכא שאינו יכול לייבם חשיבא חליצה פסולה. דעת תוס' דדוקא במקום דקלישא זיקתה נחשב חליצה פסולה. ואילו דעת רש"י דהוה כלל כל היכא שאינו יכול לייבם</w:t>
      </w:r>
      <w:r w:rsidRPr="0041053F">
        <w:rPr>
          <w:rStyle w:val="ac"/>
          <w:rFonts w:ascii="Narkisim" w:hAnsi="Narkisim" w:cs="Narkisim"/>
          <w:rtl/>
        </w:rPr>
        <w:footnoteReference w:id="1569"/>
      </w:r>
      <w:r w:rsidRPr="0041053F">
        <w:rPr>
          <w:rFonts w:ascii="Narkisim" w:hAnsi="Narkisim" w:cs="Narkisim"/>
          <w:rtl/>
        </w:rPr>
        <w:t>.</w:t>
      </w:r>
    </w:p>
    <w:p w14:paraId="0719F35D" w14:textId="77777777" w:rsidR="006074A5" w:rsidRPr="0041053F" w:rsidRDefault="006074A5" w:rsidP="006074A5">
      <w:pPr>
        <w:pStyle w:val="a8"/>
        <w:bidi/>
        <w:rPr>
          <w:rFonts w:ascii="Narkisim" w:hAnsi="Narkisim"/>
        </w:rPr>
      </w:pPr>
      <w:r w:rsidRPr="0041053F">
        <w:rPr>
          <w:rFonts w:ascii="Narkisim" w:hAnsi="Narkisim"/>
          <w:rtl/>
        </w:rPr>
        <w:lastRenderedPageBreak/>
        <w:t>וה</w:t>
      </w:r>
      <w:r w:rsidRPr="0041053F">
        <w:rPr>
          <w:rFonts w:ascii="Narkisim" w:hAnsi="Narkisim"/>
          <w:b/>
          <w:bCs/>
          <w:rtl/>
        </w:rPr>
        <w:t>מהרשד"ם</w:t>
      </w:r>
      <w:r w:rsidRPr="0041053F">
        <w:rPr>
          <w:rFonts w:ascii="Narkisim" w:hAnsi="Narkisim"/>
          <w:rtl/>
        </w:rPr>
        <w:t xml:space="preserve"> (קכח, הו' לעיל כג:) נקט דאף היכא דאינו יכול לייבם משום ספיקות צריך חיזור [לדעת רש"י והרמב"ם]. וה</w:t>
      </w:r>
      <w:r w:rsidRPr="0041053F">
        <w:rPr>
          <w:rFonts w:ascii="Narkisim" w:hAnsi="Narkisim"/>
          <w:b/>
          <w:bCs/>
          <w:rtl/>
        </w:rPr>
        <w:t>חכ"צ</w:t>
      </w:r>
      <w:r w:rsidRPr="0041053F">
        <w:rPr>
          <w:rFonts w:ascii="Narkisim" w:hAnsi="Narkisim"/>
          <w:rtl/>
        </w:rPr>
        <w:t xml:space="preserve"> (קח) הוכיח מכ"מ (ע' לעיל כג:) דאין חסרון במה שאינה ראויה מחמת הספק</w:t>
      </w:r>
      <w:r w:rsidRPr="0041053F">
        <w:rPr>
          <w:rStyle w:val="ac"/>
          <w:rFonts w:ascii="Narkisim" w:hAnsi="Narkisim"/>
          <w:rtl/>
        </w:rPr>
        <w:footnoteReference w:id="1570"/>
      </w:r>
      <w:r w:rsidRPr="0041053F">
        <w:rPr>
          <w:rFonts w:ascii="Narkisim" w:hAnsi="Narkisim"/>
          <w:rtl/>
        </w:rPr>
        <w:t>. והביא מהגמ' (לקמן מא:) דספיקות נחשב שעולים ליבום</w:t>
      </w:r>
      <w:r w:rsidRPr="0041053F">
        <w:rPr>
          <w:rStyle w:val="ac"/>
          <w:rFonts w:ascii="Narkisim" w:hAnsi="Narkisim"/>
          <w:rtl/>
        </w:rPr>
        <w:footnoteReference w:id="1571"/>
      </w:r>
      <w:r w:rsidRPr="0041053F">
        <w:rPr>
          <w:rFonts w:ascii="Narkisim" w:hAnsi="Narkisim"/>
          <w:rtl/>
        </w:rPr>
        <w:t>, דהשתא אם יבא אליהו וכו'.</w:t>
      </w:r>
    </w:p>
    <w:p w14:paraId="0999EA7D" w14:textId="77777777" w:rsidR="006074A5" w:rsidRPr="0041053F" w:rsidRDefault="006074A5" w:rsidP="006074A5">
      <w:pPr>
        <w:pStyle w:val="a7"/>
        <w:bidi/>
        <w:rPr>
          <w:rFonts w:ascii="Narkisim" w:hAnsi="Narkisim"/>
        </w:rPr>
      </w:pPr>
      <w:r w:rsidRPr="0041053F">
        <w:rPr>
          <w:rFonts w:ascii="Narkisim" w:hAnsi="Narkisim"/>
          <w:rtl/>
        </w:rPr>
        <w:t>וכ"ד ה</w:t>
      </w:r>
      <w:r w:rsidRPr="0041053F">
        <w:rPr>
          <w:rFonts w:ascii="Narkisim" w:hAnsi="Narkisim"/>
          <w:b/>
          <w:bCs/>
          <w:rtl/>
        </w:rPr>
        <w:t>רמב,ם</w:t>
      </w:r>
      <w:r w:rsidRPr="0041053F">
        <w:rPr>
          <w:rFonts w:ascii="Narkisim" w:hAnsi="Narkisim"/>
          <w:rtl/>
        </w:rPr>
        <w:t xml:space="preserve"> (ז י) דאף חייבי לאו וחייבי עשה ושניות צריך חיזור</w:t>
      </w:r>
      <w:r w:rsidRPr="0041053F">
        <w:rPr>
          <w:rStyle w:val="ac"/>
          <w:rFonts w:ascii="Narkisim" w:hAnsi="Narkisim"/>
          <w:rtl/>
        </w:rPr>
        <w:footnoteReference w:id="1572"/>
      </w:r>
      <w:r w:rsidRPr="0041053F">
        <w:rPr>
          <w:rFonts w:ascii="Narkisim" w:hAnsi="Narkisim"/>
          <w:rtl/>
        </w:rPr>
        <w:t>.</w:t>
      </w:r>
    </w:p>
    <w:p w14:paraId="70C57D9F"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גר"א</w:t>
      </w:r>
      <w:r w:rsidRPr="0041053F">
        <w:rPr>
          <w:rFonts w:ascii="Narkisim" w:hAnsi="Narkisim" w:cs="Narkisim"/>
          <w:rtl/>
        </w:rPr>
        <w:t xml:space="preserve"> (קע מה) נקט דכל היכא דנקרא חליצה פסולה, כ"ש שיקרא ביאה פסולה [ומבואר (לעיל כ:) דביאתן פוטרת צרתה].</w:t>
      </w:r>
      <w:r w:rsidRPr="0041053F">
        <w:rPr>
          <w:rFonts w:ascii="Narkisim" w:hAnsi="Narkisim" w:cs="Narkisim"/>
          <w:sz w:val="20"/>
          <w:szCs w:val="20"/>
          <w:rtl/>
        </w:rPr>
        <w:t xml:space="preserve"> וה</w:t>
      </w:r>
      <w:r w:rsidRPr="0041053F">
        <w:rPr>
          <w:rFonts w:ascii="Narkisim" w:hAnsi="Narkisim" w:cs="Narkisim"/>
          <w:b/>
          <w:bCs/>
          <w:sz w:val="20"/>
          <w:szCs w:val="20"/>
          <w:rtl/>
        </w:rPr>
        <w:t>לח"מ</w:t>
      </w:r>
      <w:r w:rsidRPr="0041053F">
        <w:rPr>
          <w:rFonts w:ascii="Narkisim" w:hAnsi="Narkisim" w:cs="Narkisim"/>
          <w:sz w:val="20"/>
          <w:szCs w:val="20"/>
          <w:rtl/>
        </w:rPr>
        <w:t xml:space="preserve"> (ו י) הק' אמאי לא נקרא חייבי לאוין ביאה פסולה, ותי' דאין לדמות הגזירות זל"ז. והקשה א"כ בחליצה פסולה מנ"ל לרמב"ם לדמות הדברים. </w:t>
      </w:r>
      <w:r w:rsidRPr="0041053F">
        <w:rPr>
          <w:rFonts w:ascii="Narkisim" w:hAnsi="Narkisim" w:cs="Narkisim"/>
          <w:rtl/>
        </w:rPr>
        <w:t xml:space="preserve"> </w:t>
      </w:r>
    </w:p>
    <w:p w14:paraId="63713026"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רמב"ן</w:t>
      </w:r>
      <w:r w:rsidRPr="0041053F">
        <w:rPr>
          <w:rFonts w:ascii="Narkisim" w:hAnsi="Narkisim" w:cs="Narkisim"/>
          <w:rtl/>
        </w:rPr>
        <w:t xml:space="preserve"> (לקמן מד.) הביא דבברייתא (לעיל כ:) אי' להדיא דחלץ לה [לחייבי לאוין ושניות] פטרה צרתה. וכן ה</w:t>
      </w:r>
      <w:r w:rsidRPr="0041053F">
        <w:rPr>
          <w:rFonts w:ascii="Narkisim" w:hAnsi="Narkisim" w:cs="Narkisim"/>
          <w:b/>
          <w:bCs/>
          <w:rtl/>
        </w:rPr>
        <w:t>יש"ש</w:t>
      </w:r>
      <w:r w:rsidRPr="0041053F">
        <w:rPr>
          <w:rFonts w:ascii="Narkisim" w:hAnsi="Narkisim" w:cs="Narkisim"/>
          <w:rtl/>
        </w:rPr>
        <w:t xml:space="preserve"> (כ:) ושאר </w:t>
      </w:r>
      <w:r w:rsidRPr="0041053F">
        <w:rPr>
          <w:rFonts w:ascii="Narkisim" w:hAnsi="Narkisim" w:cs="Narkisim"/>
          <w:b/>
          <w:bCs/>
          <w:rtl/>
        </w:rPr>
        <w:t>אחרונים</w:t>
      </w:r>
      <w:r w:rsidRPr="0041053F">
        <w:rPr>
          <w:rFonts w:ascii="Narkisim" w:hAnsi="Narkisim" w:cs="Narkisim"/>
          <w:rtl/>
        </w:rPr>
        <w:t xml:space="preserve"> תמהו מהתם על הרמב"ם. וה</w:t>
      </w:r>
      <w:r w:rsidRPr="0041053F">
        <w:rPr>
          <w:rFonts w:ascii="Narkisim" w:hAnsi="Narkisim" w:cs="Narkisim"/>
          <w:b/>
          <w:bCs/>
          <w:rtl/>
        </w:rPr>
        <w:t>ב"ח</w:t>
      </w:r>
      <w:r w:rsidRPr="0041053F">
        <w:rPr>
          <w:rFonts w:ascii="Narkisim" w:hAnsi="Narkisim" w:cs="Narkisim"/>
          <w:rtl/>
        </w:rPr>
        <w:t xml:space="preserve"> (קע) תי' דהברייתא מדאורייתא, ואה"נ צריכה חיזור מדרבנן.</w:t>
      </w:r>
    </w:p>
    <w:p w14:paraId="08511785"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(כז.) ו</w:t>
      </w:r>
      <w:r w:rsidRPr="0041053F">
        <w:rPr>
          <w:rFonts w:ascii="Narkisim" w:hAnsi="Narkisim"/>
          <w:b/>
          <w:bCs/>
          <w:rtl/>
        </w:rPr>
        <w:t>ה"ה</w:t>
      </w:r>
      <w:r w:rsidRPr="0041053F">
        <w:rPr>
          <w:rFonts w:ascii="Narkisim" w:hAnsi="Narkisim"/>
          <w:rtl/>
        </w:rPr>
        <w:t xml:space="preserve"> (ז י, ובי"ש קע יג) כת' די"ל דקאי שאף הצרה חייבי לאוין כיוצא בה [וכמ"ד דדוקא אינה פוסלת הגרוע יותר]</w:t>
      </w:r>
      <w:r w:rsidRPr="0041053F">
        <w:rPr>
          <w:rStyle w:val="ac"/>
          <w:rFonts w:ascii="Narkisim" w:hAnsi="Narkisim"/>
          <w:rtl/>
        </w:rPr>
        <w:footnoteReference w:id="1573"/>
      </w:r>
      <w:r w:rsidRPr="0041053F">
        <w:rPr>
          <w:rFonts w:ascii="Narkisim" w:hAnsi="Narkisim"/>
          <w:rtl/>
        </w:rPr>
        <w:t>. וה</w:t>
      </w:r>
      <w:r w:rsidRPr="0041053F">
        <w:rPr>
          <w:rFonts w:ascii="Narkisim" w:hAnsi="Narkisim"/>
          <w:b/>
          <w:bCs/>
          <w:rtl/>
        </w:rPr>
        <w:t>גר"א</w:t>
      </w:r>
      <w:r w:rsidRPr="0041053F">
        <w:rPr>
          <w:rFonts w:ascii="Narkisim" w:hAnsi="Narkisim"/>
          <w:rtl/>
        </w:rPr>
        <w:t xml:space="preserve"> (קע מה) ועוד </w:t>
      </w:r>
      <w:r w:rsidRPr="0041053F">
        <w:rPr>
          <w:rFonts w:ascii="Narkisim" w:hAnsi="Narkisim"/>
          <w:b/>
          <w:bCs/>
          <w:rtl/>
        </w:rPr>
        <w:t>אחרונים</w:t>
      </w:r>
      <w:r w:rsidRPr="0041053F">
        <w:rPr>
          <w:rFonts w:ascii="Narkisim" w:hAnsi="Narkisim"/>
          <w:rtl/>
        </w:rPr>
        <w:t xml:space="preserve"> תי' די"ל דהברייתא קאי כמ"ד אין זיקה.</w:t>
      </w:r>
    </w:p>
    <w:p w14:paraId="2A000A81" w14:textId="77777777" w:rsidR="006074A5" w:rsidRPr="0041053F" w:rsidRDefault="006074A5" w:rsidP="006074A5">
      <w:pPr>
        <w:pStyle w:val="a8"/>
        <w:bidi/>
        <w:rPr>
          <w:rFonts w:ascii="Narkisim" w:hAnsi="Narkisim"/>
        </w:rPr>
      </w:pPr>
      <w:r w:rsidRPr="0041053F">
        <w:rPr>
          <w:rFonts w:ascii="Narkisim" w:hAnsi="Narkisim"/>
          <w:rtl/>
        </w:rPr>
        <w:t xml:space="preserve">ובברייתא (הנ"ל) מבואר דאף חליצת </w:t>
      </w:r>
      <w:r w:rsidRPr="0041053F">
        <w:rPr>
          <w:rFonts w:ascii="Narkisim" w:hAnsi="Narkisim"/>
          <w:i/>
          <w:iCs/>
          <w:rtl/>
        </w:rPr>
        <w:t>שניות</w:t>
      </w:r>
      <w:r w:rsidRPr="0041053F">
        <w:rPr>
          <w:rFonts w:ascii="Narkisim" w:hAnsi="Narkisim"/>
          <w:rtl/>
        </w:rPr>
        <w:t xml:space="preserve"> פטרה צרתה, ולא אמרי' דהוה ערוה במקצת להחשב שנקלש זיקתה להחשב חליצה פסולה. וה</w:t>
      </w:r>
      <w:r w:rsidRPr="0041053F">
        <w:rPr>
          <w:rFonts w:ascii="Narkisim" w:hAnsi="Narkisim"/>
          <w:b/>
          <w:bCs/>
          <w:rtl/>
        </w:rPr>
        <w:t>רש"ש</w:t>
      </w:r>
      <w:r w:rsidRPr="0041053F">
        <w:rPr>
          <w:rFonts w:ascii="Narkisim" w:hAnsi="Narkisim"/>
          <w:rtl/>
        </w:rPr>
        <w:t xml:space="preserve"> (כ.) הביא מהתם דאחות זקוקה חמיר מגזירת שניות</w:t>
      </w:r>
      <w:r w:rsidRPr="0041053F">
        <w:rPr>
          <w:rStyle w:val="ac"/>
          <w:rFonts w:ascii="Narkisim" w:hAnsi="Narkisim"/>
          <w:rtl/>
        </w:rPr>
        <w:footnoteReference w:id="1574"/>
      </w:r>
      <w:r w:rsidRPr="0041053F">
        <w:rPr>
          <w:rFonts w:ascii="Narkisim" w:hAnsi="Narkisim"/>
          <w:rtl/>
        </w:rPr>
        <w:t>. [ואין דנים דברי סופרים מדברי סופרים].</w:t>
      </w:r>
    </w:p>
    <w:p w14:paraId="5E9FD1C0" w14:textId="77777777" w:rsidR="006074A5" w:rsidRPr="0041053F" w:rsidRDefault="006074A5" w:rsidP="006074A5">
      <w:pPr>
        <w:bidi/>
        <w:rPr>
          <w:rFonts w:ascii="Narkisim" w:hAnsi="Narkisim" w:cs="Narkisim"/>
        </w:rPr>
      </w:pPr>
      <w:r w:rsidRPr="0041053F">
        <w:rPr>
          <w:rFonts w:ascii="Narkisim" w:hAnsi="Narkisim" w:cs="Narkisim"/>
          <w:u w:val="single"/>
          <w:rtl/>
        </w:rPr>
        <w:t>בא"ד דהא אמר גבי מחזיר גרושתו, ולא חשיבא חליצה פסולה.</w:t>
      </w:r>
      <w:r w:rsidRPr="0041053F">
        <w:rPr>
          <w:rFonts w:ascii="Narkisim" w:hAnsi="Narkisim" w:cs="Narkisim"/>
          <w:rtl/>
        </w:rPr>
        <w:t xml:space="preserve"> וה</w:t>
      </w:r>
      <w:r w:rsidRPr="0041053F">
        <w:rPr>
          <w:rFonts w:ascii="Narkisim" w:hAnsi="Narkisim" w:cs="Narkisim"/>
          <w:b/>
          <w:bCs/>
          <w:rtl/>
        </w:rPr>
        <w:t xml:space="preserve">רשב"א </w:t>
      </w:r>
      <w:r w:rsidRPr="0041053F">
        <w:rPr>
          <w:rFonts w:ascii="Narkisim" w:hAnsi="Narkisim" w:cs="Narkisim"/>
          <w:rtl/>
        </w:rPr>
        <w:t>(לעיל יא:) כתב דהתם איירי למ"ד אין זיקה.</w:t>
      </w:r>
    </w:p>
    <w:p w14:paraId="343E9941" w14:textId="77777777" w:rsidR="006074A5" w:rsidRPr="0041053F" w:rsidRDefault="006074A5" w:rsidP="006074A5">
      <w:pPr>
        <w:bidi/>
        <w:rPr>
          <w:rFonts w:ascii="Narkisim" w:hAnsi="Narkisim" w:cs="Narkisim"/>
        </w:rPr>
      </w:pPr>
      <w:r w:rsidRPr="0041053F">
        <w:rPr>
          <w:rFonts w:ascii="Narkisim" w:hAnsi="Narkisim" w:cs="Narkisim"/>
          <w:rtl/>
        </w:rPr>
        <w:t xml:space="preserve">אך </w:t>
      </w:r>
      <w:r w:rsidRPr="0041053F">
        <w:rPr>
          <w:rFonts w:ascii="Narkisim" w:hAnsi="Narkisim" w:cs="Narkisim"/>
          <w:b/>
          <w:bCs/>
          <w:rtl/>
        </w:rPr>
        <w:t>ה"ה</w:t>
      </w:r>
      <w:r w:rsidRPr="0041053F">
        <w:rPr>
          <w:rFonts w:ascii="Narkisim" w:hAnsi="Narkisim" w:cs="Narkisim"/>
          <w:rtl/>
        </w:rPr>
        <w:t xml:space="preserve"> (ו יג) כת' בדעת הרמב"ם דחליצת מחזיר גרושתו פטרה צרתה. אבל בא עליה לא פטרה צרתה, וכדין אלמנה מהנישואין לכה"ג [חייבי לאו ועשה</w:t>
      </w:r>
      <w:r w:rsidRPr="0041053F">
        <w:rPr>
          <w:rStyle w:val="ac"/>
          <w:rFonts w:ascii="Narkisim" w:hAnsi="Narkisim" w:cs="Narkisim"/>
          <w:rtl/>
        </w:rPr>
        <w:footnoteReference w:id="1575"/>
      </w:r>
      <w:r w:rsidRPr="0041053F">
        <w:rPr>
          <w:rFonts w:ascii="Narkisim" w:hAnsi="Narkisim" w:cs="Narkisim"/>
          <w:rtl/>
        </w:rPr>
        <w:t>]. וה</w:t>
      </w:r>
      <w:r w:rsidRPr="0041053F">
        <w:rPr>
          <w:rFonts w:ascii="Narkisim" w:hAnsi="Narkisim" w:cs="Narkisim"/>
          <w:b/>
          <w:bCs/>
          <w:rtl/>
        </w:rPr>
        <w:t>כס"מ</w:t>
      </w:r>
      <w:r w:rsidRPr="0041053F">
        <w:rPr>
          <w:rFonts w:ascii="Narkisim" w:hAnsi="Narkisim" w:cs="Narkisim"/>
          <w:rtl/>
        </w:rPr>
        <w:t xml:space="preserve"> תמה דלדעת הרמב"ם (הנ"ל) הו"ל ביאה פסולה, וחליצה פסולה. ומ"ש מחזיר גרושתו משאר חייבי לאוין וכו'</w:t>
      </w:r>
      <w:r w:rsidRPr="0041053F">
        <w:rPr>
          <w:rStyle w:val="ac"/>
          <w:rFonts w:ascii="Narkisim" w:hAnsi="Narkisim" w:cs="Narkisim"/>
          <w:rtl/>
        </w:rPr>
        <w:footnoteReference w:id="1576"/>
      </w:r>
      <w:r w:rsidRPr="0041053F">
        <w:rPr>
          <w:rFonts w:ascii="Narkisim" w:hAnsi="Narkisim" w:cs="Narkisim"/>
          <w:rtl/>
        </w:rPr>
        <w:t>.</w:t>
      </w:r>
    </w:p>
    <w:p w14:paraId="608A18AB"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ב"ח</w:t>
      </w:r>
      <w:r w:rsidRPr="0041053F">
        <w:rPr>
          <w:rFonts w:ascii="Narkisim" w:hAnsi="Narkisim"/>
          <w:rtl/>
        </w:rPr>
        <w:t xml:space="preserve"> (הו' בבי"ש קעד ד) כת' דמחזיר גרושתו נופלת רק לחליצה, דאסורה ליבם מדאורייתא [מק"ו דבמותר לה נאסרה]. וילפי' (לעיל כ.) מ'ועלתה' דנופלת לחליצה, ומש"ה חליצה דידה לא תלי ביבם. ונחשב חליצה מעלייתא. והרמב"ם איירי בחייבי לאוין וחייבי עשה ושניות דמדאורייתא רמי ליבום</w:t>
      </w:r>
      <w:r w:rsidRPr="0041053F">
        <w:rPr>
          <w:rStyle w:val="ac"/>
          <w:rFonts w:ascii="Narkisim" w:hAnsi="Narkisim"/>
          <w:rtl/>
        </w:rPr>
        <w:footnoteReference w:id="1577"/>
      </w:r>
      <w:r w:rsidRPr="0041053F">
        <w:rPr>
          <w:rFonts w:ascii="Narkisim" w:hAnsi="Narkisim"/>
          <w:rtl/>
        </w:rPr>
        <w:t>.</w:t>
      </w:r>
    </w:p>
    <w:p w14:paraId="2CE151F5" w14:textId="77777777" w:rsidR="006074A5" w:rsidRPr="0041053F" w:rsidRDefault="006074A5" w:rsidP="006074A5">
      <w:pPr>
        <w:bidi/>
        <w:rPr>
          <w:rFonts w:ascii="Narkisim" w:hAnsi="Narkisim" w:cs="Narkisim"/>
        </w:rPr>
      </w:pPr>
      <w:r w:rsidRPr="0041053F">
        <w:rPr>
          <w:rFonts w:ascii="Narkisim" w:hAnsi="Narkisim" w:cs="Narkisim"/>
          <w:u w:val="single"/>
          <w:rtl/>
        </w:rPr>
        <w:t xml:space="preserve">בא"ד דאינה צרת אחות אשה לאחר שיבם לאה, כיון שכבר לא היתה צרת אחו"א כשמת </w:t>
      </w:r>
      <w:r w:rsidRPr="0041053F">
        <w:rPr>
          <w:rFonts w:ascii="Narkisim" w:hAnsi="Narkisim" w:cs="Narkisim"/>
          <w:u w:val="single"/>
          <w:rtl/>
        </w:rPr>
        <w:lastRenderedPageBreak/>
        <w:t>בעלה.</w:t>
      </w:r>
      <w:r w:rsidRPr="0041053F">
        <w:rPr>
          <w:rFonts w:ascii="Narkisim" w:hAnsi="Narkisim" w:cs="Narkisim"/>
          <w:rtl/>
        </w:rPr>
        <w:t xml:space="preserve"> מבואר בתוס' דפשיט"ל דכשנעשית ערוה לאחר נפילה לא פוטרת צרתה. וכ"כ ה</w:t>
      </w:r>
      <w:r w:rsidRPr="0041053F">
        <w:rPr>
          <w:rFonts w:ascii="Narkisim" w:hAnsi="Narkisim" w:cs="Narkisim"/>
          <w:b/>
          <w:bCs/>
          <w:rtl/>
        </w:rPr>
        <w:t>ראשונים</w:t>
      </w:r>
      <w:r w:rsidRPr="0041053F">
        <w:rPr>
          <w:rFonts w:ascii="Narkisim" w:hAnsi="Narkisim" w:cs="Narkisim"/>
          <w:rtl/>
        </w:rPr>
        <w:t xml:space="preserve"> (לקמן ל: עי"ש, וכן לעיל ח.</w:t>
      </w:r>
      <w:r w:rsidRPr="0041053F">
        <w:rPr>
          <w:rStyle w:val="ac"/>
          <w:rFonts w:ascii="Narkisim" w:hAnsi="Narkisim" w:cs="Narkisim"/>
          <w:rtl/>
        </w:rPr>
        <w:footnoteReference w:id="1578"/>
      </w:r>
      <w:r w:rsidRPr="0041053F">
        <w:rPr>
          <w:rFonts w:ascii="Narkisim" w:hAnsi="Narkisim" w:cs="Narkisim"/>
          <w:rtl/>
        </w:rPr>
        <w:t xml:space="preserve"> ויג:) דל"ש פטור צרה לאחר נפילה</w:t>
      </w:r>
      <w:r w:rsidRPr="0041053F">
        <w:rPr>
          <w:rStyle w:val="ac"/>
          <w:rFonts w:ascii="Narkisim" w:hAnsi="Narkisim" w:cs="Narkisim"/>
          <w:rtl/>
        </w:rPr>
        <w:footnoteReference w:id="1579"/>
      </w:r>
      <w:r w:rsidRPr="0041053F">
        <w:rPr>
          <w:rFonts w:ascii="Narkisim" w:hAnsi="Narkisim" w:cs="Narkisim"/>
          <w:rtl/>
        </w:rPr>
        <w:t>.</w:t>
      </w:r>
    </w:p>
    <w:p w14:paraId="5B11E4D1"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כת' דלצד דערוה לאחר נפילה לא ילפי' 'עליה', פשוט דאף צרתה אינה בכלל 'פטור'</w:t>
      </w:r>
      <w:r w:rsidRPr="0041053F">
        <w:rPr>
          <w:rStyle w:val="ac"/>
          <w:rFonts w:ascii="Narkisim" w:hAnsi="Narkisim"/>
          <w:rtl/>
        </w:rPr>
        <w:footnoteReference w:id="1580"/>
      </w:r>
      <w:r w:rsidRPr="0041053F">
        <w:rPr>
          <w:rFonts w:ascii="Narkisim" w:hAnsi="Narkisim"/>
          <w:rtl/>
        </w:rPr>
        <w:t>. [וע' לעיל ח., טז., יח: ולקמן מא. ועט:]. ו</w:t>
      </w:r>
      <w:r w:rsidRPr="0041053F">
        <w:rPr>
          <w:rFonts w:ascii="Narkisim" w:hAnsi="Narkisim"/>
          <w:b/>
          <w:bCs/>
          <w:rtl/>
        </w:rPr>
        <w:t>רע"א</w:t>
      </w:r>
      <w:r w:rsidRPr="0041053F">
        <w:rPr>
          <w:rFonts w:ascii="Narkisim" w:hAnsi="Narkisim"/>
          <w:rtl/>
        </w:rPr>
        <w:t xml:space="preserve"> (ת' קט בסו"ד) כת' דדוקא על הערוה גופא דרשי' 'עליה' אף לאחר נפילה. אבל קרא ד'לצרור' לא קאי בזה. דלא מקרי 'צרתה' אלא כשהיתה עמה ביחד צרות בחיי בעלה. [דגדר צרה הוה בעודה יחד בבית. משא"כ כלפי איסור דחל לאחר מיתה, בשעה זו אינה נחשבת צרתה</w:t>
      </w:r>
      <w:r w:rsidRPr="0041053F">
        <w:rPr>
          <w:rStyle w:val="ac"/>
          <w:rFonts w:ascii="Narkisim" w:hAnsi="Narkisim"/>
          <w:rtl/>
        </w:rPr>
        <w:footnoteReference w:id="1581"/>
      </w:r>
      <w:r w:rsidRPr="0041053F">
        <w:rPr>
          <w:rFonts w:ascii="Narkisim" w:hAnsi="Narkisim"/>
          <w:rtl/>
        </w:rPr>
        <w:t>]. וע"ע ב</w:t>
      </w:r>
      <w:r w:rsidRPr="0041053F">
        <w:rPr>
          <w:rFonts w:ascii="Narkisim" w:hAnsi="Narkisim"/>
          <w:b/>
          <w:bCs/>
          <w:rtl/>
        </w:rPr>
        <w:t>ברכ"ש</w:t>
      </w:r>
      <w:r w:rsidRPr="0041053F">
        <w:rPr>
          <w:rFonts w:ascii="Narkisim" w:hAnsi="Narkisim"/>
          <w:rtl/>
        </w:rPr>
        <w:t xml:space="preserve"> (יד).</w:t>
      </w:r>
    </w:p>
    <w:p w14:paraId="58840456" w14:textId="77777777" w:rsidR="006074A5" w:rsidRPr="0041053F" w:rsidRDefault="006074A5" w:rsidP="006074A5">
      <w:pPr>
        <w:bidi/>
        <w:rPr>
          <w:rFonts w:ascii="Narkisim" w:hAnsi="Narkisim" w:cs="Narkisim"/>
        </w:rPr>
      </w:pPr>
      <w:r w:rsidRPr="0041053F">
        <w:rPr>
          <w:rFonts w:ascii="Narkisim" w:hAnsi="Narkisim" w:cs="Narkisim"/>
          <w:rtl/>
        </w:rPr>
        <w:t xml:space="preserve">ומ"מ מבואר בתוס' דצרת רחל אסורה משום 'צרת קרובת חלוצתו', ואסורה מדרבנן, ואף דהוה אחר נפילה. </w:t>
      </w:r>
      <w:r w:rsidRPr="0041053F">
        <w:rPr>
          <w:rFonts w:ascii="Narkisim" w:hAnsi="Narkisim" w:cs="Narkisim"/>
          <w:szCs w:val="20"/>
          <w:rtl/>
        </w:rPr>
        <w:t>[ולכאורה תוס' למדו כן מדברי הגמ' כז.</w:t>
      </w:r>
      <w:r w:rsidRPr="0041053F">
        <w:rPr>
          <w:rFonts w:ascii="Narkisim" w:hAnsi="Narkisim" w:cs="Narkisim"/>
          <w:rtl/>
        </w:rPr>
        <w:t>], וצ"ב דכיון דל"ש בזה גדרי פטור צרת ערוה [דהוה לאחר נפילה], אמאי תקנו חכמים.</w:t>
      </w:r>
    </w:p>
    <w:p w14:paraId="5BA72BFC"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כתבו דלדברי </w:t>
      </w:r>
      <w:r w:rsidRPr="0041053F">
        <w:rPr>
          <w:rFonts w:ascii="Narkisim" w:hAnsi="Narkisim"/>
          <w:b/>
          <w:bCs/>
          <w:rtl/>
        </w:rPr>
        <w:t>רש"י</w:t>
      </w:r>
      <w:r w:rsidRPr="0041053F">
        <w:rPr>
          <w:rFonts w:ascii="Narkisim" w:hAnsi="Narkisim"/>
          <w:rtl/>
        </w:rPr>
        <w:t xml:space="preserve"> (לקמן מ:) האיסור צרת קרובת חלוצה הוה איסור מחודש, ולא שייך לגדרי צרת ערוה. ואפי' מנכרי. א"כ לא בעינן שתהי' צרה בשעת נפילה. אבל לתוס' שם הוה בגדר פטור צרה דעלמא. ומש"ה אף כל צרה אחר נפילה תאסר.</w:t>
      </w:r>
    </w:p>
    <w:p w14:paraId="374F4D19"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(קכז ט) כת' דגדר איסור חלוצה, דהחשיבו מדרבנן שהיא אשתו מכבר, ואין לדבר גבול, ודנו כאילו היא אשתו מעולם</w:t>
      </w:r>
      <w:r w:rsidRPr="0041053F">
        <w:rPr>
          <w:rStyle w:val="ac"/>
          <w:rFonts w:ascii="Narkisim" w:hAnsi="Narkisim"/>
          <w:rtl/>
        </w:rPr>
        <w:footnoteReference w:id="1582"/>
      </w:r>
      <w:r w:rsidRPr="0041053F">
        <w:rPr>
          <w:rFonts w:ascii="Narkisim" w:hAnsi="Narkisim"/>
          <w:rtl/>
        </w:rPr>
        <w:t>, ולכן נחשב אחותה ערוה 'למפרע', ומשעת נפילה.</w:t>
      </w:r>
    </w:p>
    <w:p w14:paraId="784D76CB" w14:textId="77777777" w:rsidR="006074A5" w:rsidRPr="0041053F" w:rsidRDefault="006074A5" w:rsidP="006074A5">
      <w:pPr>
        <w:bidi/>
        <w:rPr>
          <w:rFonts w:ascii="Narkisim" w:hAnsi="Narkisim" w:cs="Narkisim"/>
        </w:rPr>
      </w:pPr>
      <w:r w:rsidRPr="0041053F">
        <w:rPr>
          <w:rFonts w:ascii="Narkisim" w:hAnsi="Narkisim" w:cs="Narkisim"/>
          <w:u w:val="single"/>
          <w:rtl/>
        </w:rPr>
        <w:t xml:space="preserve">בא"ד אלא נראה לר"י דלא חשיבא ח"פ וכו' דבכולהו </w:t>
      </w:r>
      <w:r w:rsidRPr="0041053F">
        <w:rPr>
          <w:rFonts w:ascii="Narkisim" w:hAnsi="Narkisim" w:cs="Narkisim"/>
          <w:i/>
          <w:iCs/>
          <w:u w:val="single"/>
          <w:rtl/>
        </w:rPr>
        <w:t>קלישא</w:t>
      </w:r>
      <w:r w:rsidRPr="0041053F">
        <w:rPr>
          <w:rFonts w:ascii="Narkisim" w:hAnsi="Narkisim" w:cs="Narkisim"/>
          <w:u w:val="single"/>
          <w:rtl/>
        </w:rPr>
        <w:t xml:space="preserve"> </w:t>
      </w:r>
      <w:r w:rsidRPr="0041053F">
        <w:rPr>
          <w:rFonts w:ascii="Narkisim" w:hAnsi="Narkisim" w:cs="Narkisim"/>
          <w:i/>
          <w:iCs/>
          <w:u w:val="single"/>
          <w:rtl/>
        </w:rPr>
        <w:t>זיקה</w:t>
      </w:r>
      <w:r w:rsidRPr="0041053F">
        <w:rPr>
          <w:rStyle w:val="ac"/>
          <w:rFonts w:ascii="Narkisim" w:hAnsi="Narkisim" w:cs="Narkisim"/>
          <w:i/>
          <w:iCs/>
          <w:u w:val="single"/>
          <w:rtl/>
        </w:rPr>
        <w:footnoteReference w:id="1583"/>
      </w:r>
      <w:r w:rsidRPr="0041053F">
        <w:rPr>
          <w:rFonts w:ascii="Narkisim" w:hAnsi="Narkisim" w:cs="Narkisim"/>
          <w:u w:val="single"/>
          <w:rtl/>
        </w:rPr>
        <w:t xml:space="preserve"> וכו'.</w:t>
      </w:r>
      <w:r w:rsidRPr="0041053F">
        <w:rPr>
          <w:rFonts w:ascii="Narkisim" w:hAnsi="Narkisim" w:cs="Narkisim"/>
          <w:rtl/>
        </w:rPr>
        <w:t xml:space="preserve"> דאחות חלוצתו כאחות גרושתו. </w:t>
      </w:r>
      <w:r w:rsidRPr="0041053F">
        <w:rPr>
          <w:rFonts w:ascii="Narkisim" w:hAnsi="Narkisim" w:cs="Narkisim"/>
          <w:sz w:val="20"/>
          <w:szCs w:val="20"/>
          <w:rtl/>
        </w:rPr>
        <w:t>ה</w:t>
      </w:r>
      <w:r w:rsidRPr="0041053F">
        <w:rPr>
          <w:rFonts w:ascii="Narkisim" w:hAnsi="Narkisim" w:cs="Narkisim"/>
          <w:b/>
          <w:bCs/>
          <w:sz w:val="20"/>
          <w:szCs w:val="20"/>
          <w:rtl/>
        </w:rPr>
        <w:t>אחרונים</w:t>
      </w:r>
      <w:r w:rsidRPr="0041053F">
        <w:rPr>
          <w:rFonts w:ascii="Narkisim" w:hAnsi="Narkisim" w:cs="Narkisim"/>
          <w:sz w:val="20"/>
          <w:szCs w:val="20"/>
          <w:rtl/>
        </w:rPr>
        <w:t xml:space="preserve"> (חזון יחזקאל) הביאו ד</w:t>
      </w:r>
      <w:r w:rsidRPr="0041053F">
        <w:rPr>
          <w:rFonts w:ascii="Narkisim" w:hAnsi="Narkisim" w:cs="Narkisim"/>
          <w:b/>
          <w:bCs/>
          <w:sz w:val="20"/>
          <w:szCs w:val="20"/>
          <w:rtl/>
        </w:rPr>
        <w:t xml:space="preserve">רש"י </w:t>
      </w:r>
      <w:r w:rsidRPr="0041053F">
        <w:rPr>
          <w:rFonts w:ascii="Narkisim" w:hAnsi="Narkisim" w:cs="Narkisim"/>
          <w:sz w:val="20"/>
          <w:szCs w:val="20"/>
          <w:rtl/>
        </w:rPr>
        <w:t>לשיטתו (לקמן מא.) דאיסור אחות חלוצתו הוא משום דנראית חלוצתו, והוה איסור בפנ"ע. ולא מחמת איסור עריות. ומש"ה למד דין חליצה פסולה אף בשאר איסורין. וה"ה כל מקום שא"י לייבם.</w:t>
      </w:r>
    </w:p>
    <w:p w14:paraId="4ED34B39" w14:textId="77777777" w:rsidR="006074A5" w:rsidRPr="0041053F" w:rsidRDefault="006074A5" w:rsidP="006074A5">
      <w:pPr>
        <w:pStyle w:val="a7"/>
        <w:bidi/>
        <w:rPr>
          <w:rFonts w:ascii="Narkisim" w:hAnsi="Narkisim"/>
        </w:rPr>
      </w:pPr>
      <w:r w:rsidRPr="0041053F">
        <w:rPr>
          <w:rFonts w:ascii="Narkisim" w:hAnsi="Narkisim"/>
          <w:rtl/>
        </w:rPr>
        <w:t xml:space="preserve">ובפשוטו דעת </w:t>
      </w:r>
      <w:r w:rsidRPr="0041053F">
        <w:rPr>
          <w:rFonts w:ascii="Narkisim" w:hAnsi="Narkisim"/>
          <w:b/>
          <w:bCs/>
          <w:rtl/>
        </w:rPr>
        <w:t>רש"י</w:t>
      </w:r>
      <w:r w:rsidRPr="0041053F">
        <w:rPr>
          <w:rFonts w:ascii="Narkisim" w:hAnsi="Narkisim"/>
          <w:rtl/>
        </w:rPr>
        <w:t xml:space="preserve"> וה</w:t>
      </w:r>
      <w:r w:rsidRPr="0041053F">
        <w:rPr>
          <w:rFonts w:ascii="Narkisim" w:hAnsi="Narkisim"/>
          <w:b/>
          <w:bCs/>
          <w:rtl/>
        </w:rPr>
        <w:t>רמב"ם</w:t>
      </w:r>
      <w:r w:rsidRPr="0041053F">
        <w:rPr>
          <w:rFonts w:ascii="Narkisim" w:hAnsi="Narkisim"/>
          <w:rtl/>
        </w:rPr>
        <w:t xml:space="preserve"> דגדר חליצה פסולה תליא במעשה החליצה, שתהיה ראויה לכניסה</w:t>
      </w:r>
      <w:r w:rsidRPr="0041053F">
        <w:rPr>
          <w:rStyle w:val="ac"/>
          <w:rFonts w:ascii="Narkisim" w:hAnsi="Narkisim"/>
          <w:rtl/>
        </w:rPr>
        <w:footnoteReference w:id="1584"/>
      </w:r>
      <w:r w:rsidRPr="0041053F">
        <w:rPr>
          <w:rFonts w:ascii="Narkisim" w:hAnsi="Narkisim"/>
          <w:rtl/>
        </w:rPr>
        <w:t xml:space="preserve"> [ולא שייכא לזיקה]. ועוד יש שדנו דס"ל דאף חייבי לאוין וכו' כיון דזקוקה רק לחליצה קלשא זיקתן</w:t>
      </w:r>
      <w:r w:rsidRPr="0041053F">
        <w:rPr>
          <w:rStyle w:val="ac"/>
          <w:rFonts w:ascii="Narkisim" w:hAnsi="Narkisim"/>
          <w:rtl/>
        </w:rPr>
        <w:footnoteReference w:id="1585"/>
      </w:r>
      <w:r w:rsidRPr="0041053F">
        <w:rPr>
          <w:rFonts w:ascii="Narkisim" w:hAnsi="Narkisim"/>
          <w:rtl/>
        </w:rPr>
        <w:t>.</w:t>
      </w:r>
    </w:p>
    <w:p w14:paraId="1AF99EC1" w14:textId="77777777" w:rsidR="006074A5" w:rsidRPr="0041053F" w:rsidRDefault="006074A5" w:rsidP="006074A5">
      <w:pPr>
        <w:bidi/>
        <w:rPr>
          <w:rFonts w:ascii="Narkisim" w:hAnsi="Narkisim" w:cs="Narkisim"/>
        </w:rPr>
      </w:pPr>
      <w:r w:rsidRPr="0041053F">
        <w:rPr>
          <w:rFonts w:ascii="Narkisim" w:hAnsi="Narkisim" w:cs="Narkisim"/>
          <w:u w:val="single"/>
          <w:rtl/>
        </w:rPr>
        <w:t>בא"ד וכן סוטה דרבנן</w:t>
      </w:r>
      <w:r w:rsidRPr="0041053F">
        <w:rPr>
          <w:rStyle w:val="ac"/>
          <w:rFonts w:ascii="Narkisim" w:hAnsi="Narkisim" w:cs="Narkisim"/>
          <w:u w:val="single"/>
          <w:rtl/>
        </w:rPr>
        <w:footnoteReference w:id="1586"/>
      </w:r>
      <w:r w:rsidRPr="0041053F">
        <w:rPr>
          <w:rFonts w:ascii="Narkisim" w:hAnsi="Narkisim" w:cs="Narkisim"/>
          <w:u w:val="single"/>
          <w:rtl/>
        </w:rPr>
        <w:t xml:space="preserve"> וכו' אבל מחזיר גרושתו לא נגרעה הזיקה.</w:t>
      </w:r>
      <w:r w:rsidRPr="0041053F">
        <w:rPr>
          <w:rFonts w:ascii="Narkisim" w:hAnsi="Narkisim" w:cs="Narkisim"/>
          <w:rtl/>
        </w:rPr>
        <w:t xml:space="preserve"> ה</w:t>
      </w:r>
      <w:r w:rsidRPr="0041053F">
        <w:rPr>
          <w:rFonts w:ascii="Narkisim" w:hAnsi="Narkisim" w:cs="Narkisim"/>
          <w:b/>
          <w:bCs/>
          <w:rtl/>
        </w:rPr>
        <w:t>קר"א</w:t>
      </w:r>
      <w:r w:rsidRPr="0041053F">
        <w:rPr>
          <w:rFonts w:ascii="Narkisim" w:hAnsi="Narkisim" w:cs="Narkisim"/>
          <w:rtl/>
        </w:rPr>
        <w:t xml:space="preserve"> תמה דאדרבה אמרי' (לעיל יא:) דמחזיר גרושתו הוה טומאה באישות. א"כ הזיקה גרועה.</w:t>
      </w:r>
    </w:p>
    <w:p w14:paraId="754C0BCE"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ב"ח</w:t>
      </w:r>
      <w:r w:rsidRPr="0041053F">
        <w:rPr>
          <w:rFonts w:ascii="Narkisim" w:hAnsi="Narkisim" w:cs="Narkisim"/>
          <w:rtl/>
        </w:rPr>
        <w:t xml:space="preserve"> כת' דה"ה סוטה ודאי</w:t>
      </w:r>
      <w:r w:rsidRPr="0041053F">
        <w:rPr>
          <w:rFonts w:ascii="Narkisim" w:hAnsi="Narkisim" w:cs="Narkisim"/>
          <w:sz w:val="20"/>
          <w:szCs w:val="20"/>
          <w:rtl/>
        </w:rPr>
        <w:t xml:space="preserve"> [לראב"ד דבעי חליצה]</w:t>
      </w:r>
      <w:r w:rsidRPr="0041053F">
        <w:rPr>
          <w:rFonts w:ascii="Narkisim" w:hAnsi="Narkisim" w:cs="Narkisim"/>
          <w:rtl/>
        </w:rPr>
        <w:t xml:space="preserve"> לא הוי חליצה פסולה. וה</w:t>
      </w:r>
      <w:r w:rsidRPr="0041053F">
        <w:rPr>
          <w:rFonts w:ascii="Narkisim" w:hAnsi="Narkisim" w:cs="Narkisim"/>
          <w:b/>
          <w:bCs/>
          <w:rtl/>
        </w:rPr>
        <w:t>בי"ש</w:t>
      </w:r>
      <w:r w:rsidRPr="0041053F">
        <w:rPr>
          <w:rFonts w:ascii="Narkisim" w:hAnsi="Narkisim" w:cs="Narkisim"/>
          <w:rtl/>
        </w:rPr>
        <w:t xml:space="preserve"> (קעג יב) חלק דסוטה נקלש הזיקה. וה</w:t>
      </w:r>
      <w:r w:rsidRPr="0041053F">
        <w:rPr>
          <w:rFonts w:ascii="Narkisim" w:hAnsi="Narkisim" w:cs="Narkisim"/>
          <w:b/>
          <w:bCs/>
          <w:rtl/>
        </w:rPr>
        <w:t>חזו"א</w:t>
      </w:r>
      <w:r w:rsidRPr="0041053F">
        <w:rPr>
          <w:rFonts w:ascii="Narkisim" w:hAnsi="Narkisim" w:cs="Narkisim"/>
          <w:rtl/>
        </w:rPr>
        <w:t xml:space="preserve"> (קכז ז) כתב דכיון דמדאורייתא רמי לחליצה נחשב דלא נגרעה זיקתה. [וכדעת הב"ח].</w:t>
      </w:r>
    </w:p>
    <w:p w14:paraId="016DD8CC" w14:textId="77777777" w:rsidR="006074A5" w:rsidRPr="0041053F" w:rsidRDefault="006074A5" w:rsidP="006074A5">
      <w:pPr>
        <w:pStyle w:val="aa"/>
        <w:bidi/>
        <w:rPr>
          <w:rFonts w:ascii="Narkisim" w:hAnsi="Narkisim"/>
        </w:rPr>
      </w:pPr>
      <w:r w:rsidRPr="0041053F">
        <w:rPr>
          <w:rFonts w:ascii="Narkisim" w:hAnsi="Narkisim"/>
          <w:u w:val="single"/>
          <w:rtl/>
        </w:rPr>
        <w:t>רש"י ד"ה קמייתא.</w:t>
      </w:r>
      <w:r w:rsidRPr="0041053F">
        <w:rPr>
          <w:rFonts w:ascii="Narkisim" w:hAnsi="Narkisim"/>
          <w:rtl/>
        </w:rPr>
        <w:t xml:space="preserve"> שתים הראשונות נמי ליבעו חליצה משניהם וכו'. [וה</w:t>
      </w:r>
      <w:r w:rsidRPr="0041053F">
        <w:rPr>
          <w:rFonts w:ascii="Narkisim" w:hAnsi="Narkisim"/>
          <w:b/>
          <w:bCs/>
          <w:rtl/>
        </w:rPr>
        <w:t>ראשונים</w:t>
      </w:r>
      <w:r w:rsidRPr="0041053F">
        <w:rPr>
          <w:rFonts w:ascii="Narkisim" w:hAnsi="Narkisim"/>
          <w:rtl/>
        </w:rPr>
        <w:t xml:space="preserve"> הק' דקמייתא משמע א'. וה</w:t>
      </w:r>
      <w:r w:rsidRPr="0041053F">
        <w:rPr>
          <w:rFonts w:ascii="Narkisim" w:hAnsi="Narkisim"/>
          <w:b/>
          <w:bCs/>
          <w:rtl/>
        </w:rPr>
        <w:t>רמב"ן</w:t>
      </w:r>
      <w:r w:rsidRPr="0041053F">
        <w:rPr>
          <w:rFonts w:ascii="Narkisim" w:hAnsi="Narkisim"/>
          <w:rtl/>
        </w:rPr>
        <w:t xml:space="preserve">  גרס קמיאתא].</w:t>
      </w:r>
    </w:p>
    <w:p w14:paraId="6E22C06E"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רש"ש</w:t>
      </w:r>
      <w:r w:rsidRPr="0041053F">
        <w:rPr>
          <w:rFonts w:ascii="Narkisim" w:hAnsi="Narkisim"/>
          <w:rtl/>
        </w:rPr>
        <w:t xml:space="preserve"> כת' די"ל דלשניה סגי בחליצה א'. וע"פ דעת הרמב"ן (ע' בסמוך) דאף רב מודה דהיכא שחליצה אחת גרועה יותר, מהני חליצה הטובה לפוטרה. א"כ השניה דהוה חליצה פסולה לתרוייהו, וחליצת ראובן</w:t>
      </w:r>
      <w:r w:rsidRPr="0041053F">
        <w:rPr>
          <w:rStyle w:val="ac"/>
          <w:rFonts w:ascii="Narkisim" w:hAnsi="Narkisim"/>
          <w:rtl/>
        </w:rPr>
        <w:footnoteReference w:id="1587"/>
      </w:r>
      <w:r w:rsidRPr="0041053F">
        <w:rPr>
          <w:rFonts w:ascii="Narkisim" w:hAnsi="Narkisim"/>
          <w:rtl/>
        </w:rPr>
        <w:t xml:space="preserve"> גרועה </w:t>
      </w:r>
      <w:r w:rsidRPr="0041053F">
        <w:rPr>
          <w:rFonts w:ascii="Narkisim" w:hAnsi="Narkisim"/>
          <w:rtl/>
        </w:rPr>
        <w:lastRenderedPageBreak/>
        <w:t>דהוה אחות חלוצתו</w:t>
      </w:r>
      <w:r w:rsidRPr="0041053F">
        <w:rPr>
          <w:rStyle w:val="ac"/>
          <w:rFonts w:ascii="Narkisim" w:hAnsi="Narkisim"/>
          <w:rtl/>
        </w:rPr>
        <w:footnoteReference w:id="1588"/>
      </w:r>
      <w:r w:rsidRPr="0041053F">
        <w:rPr>
          <w:rFonts w:ascii="Narkisim" w:hAnsi="Narkisim"/>
          <w:rtl/>
        </w:rPr>
        <w:t>, ומהני חליצת שמעון דעדיפא</w:t>
      </w:r>
      <w:r w:rsidRPr="0041053F">
        <w:rPr>
          <w:rStyle w:val="ac"/>
          <w:rFonts w:ascii="Narkisim" w:hAnsi="Narkisim"/>
          <w:rtl/>
        </w:rPr>
        <w:footnoteReference w:id="1589"/>
      </w:r>
      <w:r w:rsidRPr="0041053F">
        <w:rPr>
          <w:rFonts w:ascii="Narkisim" w:hAnsi="Narkisim"/>
          <w:rtl/>
        </w:rPr>
        <w:t>.</w:t>
      </w:r>
    </w:p>
    <w:p w14:paraId="463D3040" w14:textId="77777777" w:rsidR="006074A5" w:rsidRPr="0041053F" w:rsidRDefault="006074A5" w:rsidP="006074A5">
      <w:pPr>
        <w:pStyle w:val="aa"/>
        <w:bidi/>
        <w:rPr>
          <w:rFonts w:ascii="Narkisim" w:hAnsi="Narkisim"/>
        </w:rPr>
      </w:pPr>
      <w:r w:rsidRPr="0041053F">
        <w:rPr>
          <w:rFonts w:ascii="Narkisim" w:hAnsi="Narkisim"/>
          <w:rtl/>
        </w:rPr>
        <w:t xml:space="preserve">והרמב"ן הביא </w:t>
      </w:r>
      <w:r w:rsidRPr="0041053F">
        <w:rPr>
          <w:rFonts w:ascii="Narkisim" w:hAnsi="Narkisim"/>
          <w:b/>
          <w:bCs/>
          <w:rtl/>
        </w:rPr>
        <w:t>י"מ</w:t>
      </w:r>
      <w:r w:rsidRPr="0041053F">
        <w:rPr>
          <w:rFonts w:ascii="Narkisim" w:hAnsi="Narkisim"/>
          <w:rtl/>
        </w:rPr>
        <w:t xml:space="preserve"> [דהיכא דנפלו רק ב'] הראשונה היתה ראויה לייבם בשעה שנפלה. ומש"ה פוטרת עצמה, ואין חליצתה חליצה פסולה להיות צריכה לחזר על כל האחין. וכיון דא' חלץ, אף השניה אי"צ לחזר שחליצת השני מעולה משל חולץ ופוטרת [וכמ"ש הרש"ש]. ומש"ה לא אמרי' נמי א' חולץ לראשונה, ושניה מחזרת</w:t>
      </w:r>
      <w:r w:rsidRPr="0041053F">
        <w:rPr>
          <w:rStyle w:val="ac"/>
          <w:rFonts w:ascii="Narkisim" w:hAnsi="Narkisim"/>
          <w:rtl/>
        </w:rPr>
        <w:footnoteReference w:id="1590"/>
      </w:r>
      <w:r w:rsidRPr="0041053F">
        <w:rPr>
          <w:rFonts w:ascii="Narkisim" w:hAnsi="Narkisim"/>
          <w:rtl/>
        </w:rPr>
        <w:t>.</w:t>
      </w:r>
    </w:p>
    <w:p w14:paraId="3470E908"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דחה דאף הראשונה הוה חליצה פסולה, דלאו בתר מעיקרא אזלינן בהא. דאל"כ אף בג', נימא ראשונה חליצתה כשרה נקראת.</w:t>
      </w:r>
    </w:p>
    <w:p w14:paraId="6AA8B351" w14:textId="77777777" w:rsidR="006074A5" w:rsidRPr="0041053F" w:rsidRDefault="006074A5" w:rsidP="006074A5">
      <w:pPr>
        <w:pStyle w:val="aa"/>
        <w:bidi/>
        <w:rPr>
          <w:rFonts w:ascii="Narkisim" w:hAnsi="Narkisim"/>
        </w:rPr>
      </w:pPr>
      <w:r w:rsidRPr="0041053F">
        <w:rPr>
          <w:rFonts w:ascii="Narkisim" w:hAnsi="Narkisim"/>
          <w:u w:val="single"/>
          <w:rtl/>
        </w:rPr>
        <w:t>בא"ד דאי בעי מיבם ל"מ הואיל ויש זיקה</w:t>
      </w:r>
      <w:r w:rsidRPr="0041053F">
        <w:rPr>
          <w:rFonts w:ascii="Narkisim" w:hAnsi="Narkisim"/>
          <w:rtl/>
        </w:rPr>
        <w:t>. משמע דכ"ז למ"ד יש זיקה, אבל למ"ד אין זיקה לא נחשב חליצה פסולה, אף דאינו רשאי לייבום משום איסור לבטל מצוות יבמין [ודלא כמ"ש רש"י לעיל כד. והריב"ן יח., וע' לקמן כז.].</w:t>
      </w:r>
    </w:p>
    <w:p w14:paraId="64F41B57" w14:textId="77777777" w:rsidR="006074A5" w:rsidRPr="0041053F" w:rsidRDefault="006074A5" w:rsidP="006074A5">
      <w:pPr>
        <w:pStyle w:val="aa"/>
        <w:bidi/>
        <w:rPr>
          <w:rFonts w:ascii="Narkisim" w:hAnsi="Narkisim"/>
        </w:rPr>
      </w:pPr>
      <w:r w:rsidRPr="0041053F">
        <w:rPr>
          <w:rFonts w:ascii="Narkisim" w:hAnsi="Narkisim"/>
          <w:u w:val="single"/>
          <w:rtl/>
        </w:rPr>
        <w:t>תוד"ה דנפול.</w:t>
      </w:r>
      <w:r w:rsidRPr="0041053F">
        <w:rPr>
          <w:rFonts w:ascii="Narkisim" w:hAnsi="Narkisim"/>
          <w:rtl/>
        </w:rPr>
        <w:t xml:space="preserve"> הקשה ר"א מבורגוייל אמאי נקט ג' אחיות, דחידוש זה יכול להשמיענו וכו'. וה</w:t>
      </w:r>
      <w:r w:rsidRPr="0041053F">
        <w:rPr>
          <w:rFonts w:ascii="Narkisim" w:hAnsi="Narkisim"/>
          <w:b/>
          <w:bCs/>
          <w:rtl/>
        </w:rPr>
        <w:t>רמב"ן</w:t>
      </w:r>
      <w:r w:rsidRPr="0041053F">
        <w:rPr>
          <w:rFonts w:ascii="Narkisim" w:hAnsi="Narkisim"/>
          <w:rtl/>
        </w:rPr>
        <w:t xml:space="preserve"> תי' דנקט ג' לרבותא דשמואל. והתוס' הרא"ש בשם </w:t>
      </w:r>
      <w:r w:rsidRPr="0041053F">
        <w:rPr>
          <w:rFonts w:ascii="Narkisim" w:hAnsi="Narkisim"/>
          <w:b/>
          <w:bCs/>
          <w:rtl/>
        </w:rPr>
        <w:t>רבינו</w:t>
      </w:r>
      <w:r w:rsidRPr="0041053F">
        <w:rPr>
          <w:rFonts w:ascii="Narkisim" w:hAnsi="Narkisim"/>
          <w:rtl/>
        </w:rPr>
        <w:t xml:space="preserve"> </w:t>
      </w:r>
      <w:r w:rsidRPr="0041053F">
        <w:rPr>
          <w:rFonts w:ascii="Narkisim" w:hAnsi="Narkisim"/>
          <w:b/>
          <w:bCs/>
          <w:rtl/>
        </w:rPr>
        <w:t>מאיר</w:t>
      </w:r>
      <w:r w:rsidRPr="0041053F">
        <w:rPr>
          <w:rFonts w:ascii="Narkisim" w:hAnsi="Narkisim"/>
          <w:rtl/>
        </w:rPr>
        <w:t xml:space="preserve"> תי' דנקט ג' וקמ"ל זה חולץ לא', אע"ג דמצי ליבומי מצוות חליצה קודמת.</w:t>
      </w:r>
    </w:p>
    <w:p w14:paraId="03C9CE8C" w14:textId="77777777" w:rsidR="006074A5" w:rsidRPr="0041053F" w:rsidRDefault="006074A5" w:rsidP="006074A5">
      <w:pPr>
        <w:pStyle w:val="aa"/>
        <w:bidi/>
        <w:rPr>
          <w:rFonts w:ascii="Narkisim" w:hAnsi="Narkisim"/>
        </w:rPr>
      </w:pPr>
      <w:r w:rsidRPr="0041053F">
        <w:rPr>
          <w:rFonts w:ascii="Narkisim" w:hAnsi="Narkisim"/>
          <w:u w:val="single"/>
          <w:rtl/>
        </w:rPr>
        <w:t>בא"ד ותי' דהתם משכח"ל דמתייבמת וכו</w:t>
      </w:r>
      <w:r w:rsidRPr="0041053F">
        <w:rPr>
          <w:rFonts w:ascii="Narkisim" w:hAnsi="Narkisim"/>
          <w:rtl/>
        </w:rPr>
        <w:t>'. ב</w:t>
      </w:r>
      <w:r w:rsidRPr="0041053F">
        <w:rPr>
          <w:rFonts w:ascii="Narkisim" w:hAnsi="Narkisim"/>
          <w:b/>
          <w:bCs/>
          <w:rtl/>
        </w:rPr>
        <w:t>מהד"ב</w:t>
      </w:r>
      <w:r w:rsidRPr="0041053F">
        <w:rPr>
          <w:rFonts w:ascii="Narkisim" w:hAnsi="Narkisim"/>
          <w:rtl/>
        </w:rPr>
        <w:t xml:space="preserve"> למהרש"א הביא </w:t>
      </w:r>
      <w:r w:rsidRPr="0041053F">
        <w:rPr>
          <w:rFonts w:ascii="Narkisim" w:hAnsi="Narkisim"/>
          <w:b/>
          <w:bCs/>
          <w:rtl/>
        </w:rPr>
        <w:t>תו"י</w:t>
      </w:r>
      <w:r w:rsidRPr="0041053F">
        <w:rPr>
          <w:rFonts w:ascii="Narkisim" w:hAnsi="Narkisim"/>
          <w:rtl/>
        </w:rPr>
        <w:t xml:space="preserve"> דהקשה דאף אי מתייבמת, מ"מ היה רב מחדש דין חליצה פסולה, וצ"ע.</w:t>
      </w:r>
    </w:p>
    <w:p w14:paraId="70058096" w14:textId="77777777" w:rsidR="006074A5" w:rsidRPr="0041053F" w:rsidRDefault="006074A5" w:rsidP="006074A5">
      <w:pPr>
        <w:bidi/>
        <w:rPr>
          <w:rFonts w:ascii="Narkisim" w:hAnsi="Narkisim" w:cs="Narkisim"/>
        </w:rPr>
      </w:pPr>
      <w:r w:rsidRPr="0041053F">
        <w:rPr>
          <w:rFonts w:ascii="Narkisim" w:hAnsi="Narkisim" w:cs="Narkisim"/>
          <w:u w:val="single"/>
          <w:rtl/>
        </w:rPr>
        <w:t>בא"ד אע"ג דגם הב' צריך לחלוץ, מ"מ אינה אסורה וכו' משום אחות חלוצתו, דכיון דחליצה זו לא עשה אלא משום חיזור וכו'.</w:t>
      </w:r>
      <w:r w:rsidRPr="0041053F">
        <w:rPr>
          <w:rFonts w:ascii="Narkisim" w:hAnsi="Narkisim" w:cs="Narkisim"/>
          <w:rtl/>
        </w:rPr>
        <w:t xml:space="preserve"> דחליצת חיזור אינה חליצה גמורה, ולא תקנו בהך חליצה איסור אחות חלוצתו.</w:t>
      </w:r>
      <w:r w:rsidRPr="0041053F">
        <w:rPr>
          <w:rFonts w:ascii="Narkisim" w:hAnsi="Narkisim" w:cs="Narkisim"/>
          <w:sz w:val="20"/>
          <w:szCs w:val="20"/>
          <w:rtl/>
        </w:rPr>
        <w:t xml:space="preserve"> ומשמע בתוס' דרשאי לייבם אף קודם חליצת החיזור, דלא נחשב אחות זקוקתו משום דין חיזור</w:t>
      </w:r>
      <w:r w:rsidRPr="0041053F">
        <w:rPr>
          <w:rStyle w:val="ac"/>
          <w:rFonts w:ascii="Narkisim" w:hAnsi="Narkisim" w:cs="Narkisim"/>
          <w:sz w:val="20"/>
          <w:szCs w:val="20"/>
          <w:rtl/>
        </w:rPr>
        <w:footnoteReference w:id="1591"/>
      </w:r>
      <w:r w:rsidRPr="0041053F">
        <w:rPr>
          <w:rFonts w:ascii="Narkisim" w:hAnsi="Narkisim" w:cs="Narkisim"/>
          <w:sz w:val="20"/>
          <w:szCs w:val="20"/>
          <w:rtl/>
        </w:rPr>
        <w:t xml:space="preserve">. דיש רק זיקה מועטת משום חיזור. וכ"כ </w:t>
      </w:r>
      <w:r w:rsidRPr="0041053F">
        <w:rPr>
          <w:rFonts w:ascii="Narkisim" w:hAnsi="Narkisim" w:cs="Narkisim"/>
          <w:b/>
          <w:bCs/>
          <w:sz w:val="20"/>
          <w:szCs w:val="20"/>
          <w:rtl/>
        </w:rPr>
        <w:t>תוס</w:t>
      </w:r>
      <w:r w:rsidRPr="0041053F">
        <w:rPr>
          <w:rFonts w:ascii="Narkisim" w:hAnsi="Narkisim" w:cs="Narkisim"/>
          <w:sz w:val="20"/>
          <w:szCs w:val="20"/>
          <w:rtl/>
        </w:rPr>
        <w:t>' (כז. ד"ה שמואל, עי"ש)</w:t>
      </w:r>
      <w:r w:rsidRPr="0041053F">
        <w:rPr>
          <w:rFonts w:ascii="Narkisim" w:hAnsi="Narkisim" w:cs="Narkisim"/>
          <w:rtl/>
        </w:rPr>
        <w:t>.</w:t>
      </w:r>
    </w:p>
    <w:p w14:paraId="1E22EF62" w14:textId="77777777" w:rsidR="006074A5" w:rsidRPr="0041053F" w:rsidRDefault="006074A5" w:rsidP="006074A5">
      <w:pPr>
        <w:pStyle w:val="a7"/>
        <w:bidi/>
        <w:rPr>
          <w:rFonts w:ascii="Narkisim" w:hAnsi="Narkisim"/>
        </w:rPr>
      </w:pPr>
      <w:r w:rsidRPr="0041053F">
        <w:rPr>
          <w:rFonts w:ascii="Narkisim" w:hAnsi="Narkisim"/>
          <w:rtl/>
        </w:rPr>
        <w:t>אבל דעת</w:t>
      </w:r>
      <w:r w:rsidRPr="0041053F">
        <w:rPr>
          <w:rFonts w:ascii="Narkisim" w:hAnsi="Narkisim"/>
          <w:b/>
          <w:bCs/>
          <w:rtl/>
        </w:rPr>
        <w:t xml:space="preserve"> ריב"ן</w:t>
      </w:r>
      <w:r w:rsidRPr="0041053F">
        <w:rPr>
          <w:rFonts w:ascii="Narkisim" w:hAnsi="Narkisim"/>
          <w:rtl/>
        </w:rPr>
        <w:t xml:space="preserve"> </w:t>
      </w:r>
      <w:r w:rsidRPr="0041053F">
        <w:rPr>
          <w:rFonts w:ascii="Narkisim" w:hAnsi="Narkisim"/>
          <w:sz w:val="20"/>
          <w:szCs w:val="20"/>
          <w:rtl/>
        </w:rPr>
        <w:t xml:space="preserve">(בתוס' כז: ד"ה איתיביה) </w:t>
      </w:r>
      <w:r w:rsidRPr="0041053F">
        <w:rPr>
          <w:rFonts w:ascii="Narkisim" w:hAnsi="Narkisim"/>
          <w:rtl/>
        </w:rPr>
        <w:t>דאף חליצת חיזור אוסרת את אחותה.</w:t>
      </w:r>
      <w:r w:rsidRPr="0041053F">
        <w:rPr>
          <w:rFonts w:ascii="Narkisim" w:hAnsi="Narkisim"/>
          <w:sz w:val="20"/>
          <w:szCs w:val="20"/>
          <w:rtl/>
        </w:rPr>
        <w:t xml:space="preserve"> [והריב"ן ביאר עפ"ז דלדעת רב מיושב המשנה דד' אחים, דל"ש יבום בא' מהן מחמת דין חיזור</w:t>
      </w:r>
      <w:r w:rsidRPr="0041053F">
        <w:rPr>
          <w:rStyle w:val="ac"/>
          <w:rFonts w:ascii="Narkisim" w:hAnsi="Narkisim"/>
          <w:sz w:val="20"/>
          <w:szCs w:val="20"/>
          <w:rtl/>
        </w:rPr>
        <w:footnoteReference w:id="1592"/>
      </w:r>
      <w:r w:rsidRPr="0041053F">
        <w:rPr>
          <w:rFonts w:ascii="Narkisim" w:hAnsi="Narkisim"/>
          <w:sz w:val="20"/>
          <w:szCs w:val="20"/>
          <w:rtl/>
        </w:rPr>
        <w:t>. אבל ר"א מבורגוייל הוכיח [להיפך] מהגמ' שמקשה על המשנה. ותוס' דידן וכן תוס' כז: דחו את דברי ר"א. דע"כ דעת רב (והסוגיא כד.) דאי אפשר להתיר שניהם, היינו מדין חיזור. וכ"פ ה</w:t>
      </w:r>
      <w:r w:rsidRPr="0041053F">
        <w:rPr>
          <w:rFonts w:ascii="Narkisim" w:hAnsi="Narkisim"/>
          <w:b/>
          <w:bCs/>
          <w:sz w:val="20"/>
          <w:szCs w:val="20"/>
          <w:rtl/>
        </w:rPr>
        <w:t>חזו"א</w:t>
      </w:r>
      <w:r w:rsidRPr="0041053F">
        <w:rPr>
          <w:rFonts w:ascii="Narkisim" w:hAnsi="Narkisim"/>
          <w:sz w:val="20"/>
          <w:szCs w:val="20"/>
          <w:rtl/>
        </w:rPr>
        <w:t xml:space="preserve"> (קכז א) את סו"ד התוס'</w:t>
      </w:r>
      <w:r w:rsidRPr="0041053F">
        <w:rPr>
          <w:rStyle w:val="ac"/>
          <w:rFonts w:ascii="Narkisim" w:hAnsi="Narkisim"/>
          <w:sz w:val="20"/>
          <w:szCs w:val="20"/>
          <w:rtl/>
        </w:rPr>
        <w:footnoteReference w:id="1593"/>
      </w:r>
      <w:r w:rsidRPr="0041053F">
        <w:rPr>
          <w:rFonts w:ascii="Narkisim" w:hAnsi="Narkisim"/>
          <w:sz w:val="20"/>
          <w:szCs w:val="20"/>
          <w:rtl/>
        </w:rPr>
        <w:t>].</w:t>
      </w:r>
    </w:p>
    <w:p w14:paraId="3D4643DD" w14:textId="77777777" w:rsidR="006074A5" w:rsidRPr="0041053F" w:rsidRDefault="006074A5" w:rsidP="006074A5">
      <w:pPr>
        <w:pStyle w:val="a8"/>
        <w:bidi/>
        <w:rPr>
          <w:rFonts w:ascii="Narkisim" w:hAnsi="Narkisim"/>
        </w:rPr>
      </w:pPr>
      <w:r w:rsidRPr="0041053F">
        <w:rPr>
          <w:rFonts w:ascii="Narkisim" w:hAnsi="Narkisim"/>
          <w:rtl/>
        </w:rPr>
        <w:t>ויש שפי' דשורש המח' בגדר איסור אחות חלוצתו, דחליצת חיזור הוה לפטור זיקה בלבד, ואינו קנין וקימת שם אחיו.</w:t>
      </w:r>
    </w:p>
    <w:p w14:paraId="4BA65724" w14:textId="77777777" w:rsidR="006074A5" w:rsidRPr="0041053F" w:rsidRDefault="006074A5" w:rsidP="006074A5">
      <w:pPr>
        <w:pStyle w:val="a8"/>
        <w:bidi/>
        <w:rPr>
          <w:rFonts w:ascii="Narkisim" w:hAnsi="Narkisim"/>
        </w:rPr>
      </w:pPr>
      <w:r w:rsidRPr="0041053F">
        <w:rPr>
          <w:rFonts w:ascii="Narkisim" w:hAnsi="Narkisim"/>
          <w:rtl/>
        </w:rPr>
        <w:t>ועוד דנו ה</w:t>
      </w:r>
      <w:r w:rsidRPr="0041053F">
        <w:rPr>
          <w:rFonts w:ascii="Narkisim" w:hAnsi="Narkisim"/>
          <w:b/>
          <w:bCs/>
          <w:rtl/>
        </w:rPr>
        <w:t>אחרונים</w:t>
      </w:r>
      <w:r w:rsidRPr="0041053F">
        <w:rPr>
          <w:rFonts w:ascii="Narkisim" w:hAnsi="Narkisim"/>
          <w:rtl/>
        </w:rPr>
        <w:t xml:space="preserve"> דאיסור אחות חלוצתו משום שעשו מעשה [ע' לקמן מ:], ומיחזי כאחות אשתו. וכל היכא שעושה מעשה חליצה ע"פ תקנ"ח אסורה. [ועפ"ז י"ל דקודם חליצה מותרת, ול"ש בזה איסור אחות זקוקתו. ודוקא לאחר מעשה חליצה אסורה. וע"ע תוס' כז.].</w:t>
      </w:r>
    </w:p>
    <w:p w14:paraId="4769E275"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 xml:space="preserve">בי"מ </w:t>
      </w:r>
      <w:r w:rsidRPr="0041053F">
        <w:rPr>
          <w:rFonts w:ascii="Narkisim" w:hAnsi="Narkisim" w:cs="Narkisim"/>
          <w:rtl/>
        </w:rPr>
        <w:t>(קסב ג) נסתפק דאפשר דאף לדעת שא"ר אין איסור אחות זקוקה, ועפ"ז יכול לייבם קודם שיחלוץ</w:t>
      </w:r>
      <w:r w:rsidRPr="0041053F">
        <w:rPr>
          <w:rStyle w:val="ac"/>
          <w:rFonts w:ascii="Narkisim" w:hAnsi="Narkisim" w:cs="Narkisim"/>
          <w:rtl/>
        </w:rPr>
        <w:footnoteReference w:id="1594"/>
      </w:r>
      <w:r w:rsidRPr="0041053F">
        <w:rPr>
          <w:rFonts w:ascii="Narkisim" w:hAnsi="Narkisim" w:cs="Narkisim"/>
          <w:rtl/>
        </w:rPr>
        <w:t>. וכ"כ ב</w:t>
      </w:r>
      <w:r w:rsidRPr="0041053F">
        <w:rPr>
          <w:rFonts w:ascii="Narkisim" w:hAnsi="Narkisim" w:cs="Narkisim"/>
          <w:b/>
          <w:bCs/>
          <w:rtl/>
        </w:rPr>
        <w:t>תוס' מהר"ם ר"פ</w:t>
      </w:r>
      <w:r w:rsidRPr="0041053F">
        <w:rPr>
          <w:rFonts w:ascii="Narkisim" w:hAnsi="Narkisim" w:cs="Narkisim"/>
          <w:rtl/>
        </w:rPr>
        <w:t xml:space="preserve"> (כז:) </w:t>
      </w:r>
      <w:r w:rsidRPr="0041053F">
        <w:rPr>
          <w:rFonts w:ascii="Narkisim" w:hAnsi="Narkisim" w:cs="Narkisim"/>
          <w:sz w:val="20"/>
          <w:szCs w:val="20"/>
          <w:rtl/>
        </w:rPr>
        <w:t>[ומשמע מדבריו דבמשנה א"א לייבם השניה, דא"כ הראשונה תאסר לעולם</w:t>
      </w:r>
      <w:r w:rsidRPr="0041053F">
        <w:rPr>
          <w:rStyle w:val="ac"/>
          <w:rFonts w:ascii="Narkisim" w:hAnsi="Narkisim" w:cs="Narkisim"/>
          <w:sz w:val="20"/>
          <w:szCs w:val="20"/>
          <w:rtl/>
        </w:rPr>
        <w:footnoteReference w:id="1595"/>
      </w:r>
      <w:r w:rsidRPr="0041053F">
        <w:rPr>
          <w:rFonts w:ascii="Narkisim" w:hAnsi="Narkisim" w:cs="Narkisim"/>
          <w:sz w:val="20"/>
          <w:szCs w:val="20"/>
          <w:rtl/>
        </w:rPr>
        <w:t>]</w:t>
      </w:r>
      <w:r w:rsidRPr="0041053F">
        <w:rPr>
          <w:rFonts w:ascii="Narkisim" w:hAnsi="Narkisim" w:cs="Narkisim"/>
          <w:rtl/>
        </w:rPr>
        <w:t>.</w:t>
      </w:r>
    </w:p>
    <w:p w14:paraId="44218F4D" w14:textId="77777777" w:rsidR="006074A5" w:rsidRPr="0041053F" w:rsidRDefault="006074A5" w:rsidP="006074A5">
      <w:pPr>
        <w:pStyle w:val="3"/>
        <w:bidi/>
        <w:rPr>
          <w:rFonts w:ascii="Narkisim" w:hAnsi="Narkisim"/>
        </w:rPr>
      </w:pPr>
      <w:r w:rsidRPr="0041053F">
        <w:rPr>
          <w:rFonts w:ascii="Narkisim" w:hAnsi="Narkisim"/>
          <w:rtl/>
        </w:rPr>
        <w:t>דף כז.</w:t>
      </w:r>
    </w:p>
    <w:p w14:paraId="56834CEC" w14:textId="77777777" w:rsidR="006074A5" w:rsidRPr="0041053F" w:rsidRDefault="006074A5" w:rsidP="006074A5">
      <w:pPr>
        <w:bidi/>
        <w:rPr>
          <w:rFonts w:ascii="Narkisim" w:hAnsi="Narkisim" w:cs="Narkisim"/>
        </w:rPr>
      </w:pPr>
      <w:r w:rsidRPr="0041053F">
        <w:rPr>
          <w:rFonts w:ascii="Narkisim" w:hAnsi="Narkisim" w:cs="Narkisim"/>
          <w:u w:val="single"/>
          <w:rtl/>
        </w:rPr>
        <w:t>היכא דקיימא חליצה דשמעון חליצה כשרה, חליץ ליה ראובן חליצה פסולה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[דקו' הגמ' אשניה</w:t>
      </w:r>
      <w:r w:rsidRPr="0041053F">
        <w:rPr>
          <w:rStyle w:val="ac"/>
          <w:rFonts w:ascii="Narkisim" w:hAnsi="Narkisim" w:cs="Narkisim"/>
          <w:rtl/>
        </w:rPr>
        <w:footnoteReference w:id="1596"/>
      </w:r>
      <w:r w:rsidRPr="0041053F">
        <w:rPr>
          <w:rFonts w:ascii="Narkisim" w:hAnsi="Narkisim" w:cs="Narkisim"/>
          <w:rtl/>
        </w:rPr>
        <w:t xml:space="preserve">] דחליצת שמעון אסורה משום זיקה גרידא. ואילו חליצת ראובן אסורה </w:t>
      </w:r>
      <w:r w:rsidRPr="0041053F">
        <w:rPr>
          <w:rFonts w:ascii="Narkisim" w:hAnsi="Narkisim" w:cs="Narkisim"/>
          <w:rtl/>
        </w:rPr>
        <w:lastRenderedPageBreak/>
        <w:t>משום אחות חלוצתו. וה</w:t>
      </w:r>
      <w:r w:rsidRPr="0041053F">
        <w:rPr>
          <w:rFonts w:ascii="Narkisim" w:hAnsi="Narkisim" w:cs="Narkisim"/>
          <w:b/>
          <w:bCs/>
          <w:rtl/>
        </w:rPr>
        <w:t>רמב"ן</w:t>
      </w:r>
      <w:r w:rsidRPr="0041053F">
        <w:rPr>
          <w:rFonts w:ascii="Narkisim" w:hAnsi="Narkisim" w:cs="Narkisim"/>
          <w:rtl/>
        </w:rPr>
        <w:t xml:space="preserve"> הביא דמבואר [דאפי' למ"ד יש זיקה] חליצה דשמעון עדיפא ואלים זיקתו. דאחות חלוצתו נחשב גרע [ופסול טפי] מאחות זקוקתו.</w:t>
      </w:r>
    </w:p>
    <w:p w14:paraId="062ACC4F" w14:textId="77777777" w:rsidR="006074A5" w:rsidRPr="0041053F" w:rsidRDefault="006074A5" w:rsidP="006074A5">
      <w:pPr>
        <w:pStyle w:val="aa"/>
        <w:bidi/>
        <w:rPr>
          <w:rFonts w:ascii="Narkisim" w:hAnsi="Narkisim"/>
        </w:rPr>
      </w:pPr>
      <w:r w:rsidRPr="0041053F">
        <w:rPr>
          <w:rFonts w:ascii="Narkisim" w:hAnsi="Narkisim"/>
          <w:u w:val="single"/>
          <w:rtl/>
        </w:rPr>
        <w:t>מאי א' חולץ לכולם דקאמר, אאמצעית</w:t>
      </w:r>
      <w:r w:rsidRPr="0041053F">
        <w:rPr>
          <w:rStyle w:val="ac"/>
          <w:rFonts w:ascii="Narkisim" w:hAnsi="Narkisim"/>
          <w:u w:val="single"/>
          <w:rtl/>
        </w:rPr>
        <w:footnoteReference w:id="1597"/>
      </w:r>
      <w:r w:rsidRPr="0041053F">
        <w:rPr>
          <w:rFonts w:ascii="Narkisim" w:hAnsi="Narkisim"/>
          <w:u w:val="single"/>
          <w:rtl/>
        </w:rPr>
        <w:t xml:space="preserve"> וכו'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כיון דשניהם שווים בה [מהני לפטור], דס"ל דחליצה פסולה אי"צ לחזור. ודוקא במקום דהוה פסולה טפי בעינן חליצה מעלייתא.</w:t>
      </w:r>
    </w:p>
    <w:p w14:paraId="32ECAC9F" w14:textId="77777777" w:rsidR="006074A5" w:rsidRPr="0041053F" w:rsidRDefault="006074A5" w:rsidP="006074A5">
      <w:pPr>
        <w:bidi/>
        <w:rPr>
          <w:rFonts w:ascii="Narkisim" w:hAnsi="Narkisim" w:cs="Narkisim"/>
        </w:rPr>
      </w:pPr>
      <w:r w:rsidRPr="0041053F">
        <w:rPr>
          <w:rFonts w:ascii="Narkisim" w:hAnsi="Narkisim" w:cs="Narkisim"/>
          <w:u w:val="single"/>
          <w:rtl/>
        </w:rPr>
        <w:t>ואיבע"א וכו' ה"מ למיפטר צרתה, אבל מיפטר נפשא וכו'.</w:t>
      </w:r>
      <w:r w:rsidRPr="0041053F">
        <w:rPr>
          <w:rFonts w:ascii="Narkisim" w:hAnsi="Narkisim" w:cs="Narkisim"/>
          <w:rtl/>
        </w:rPr>
        <w:t xml:space="preserve"> דיש חילוק בין גדרי זיקה לב' אחים, לגדר ב' צרות.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פי' דכל יבם רמי עליה מצוות יבום דכל הבית, ובזה נאמר דין לפטור העדיפא. אבל הא שאפשר לפטור ע"י אחיו הוה גדר שונה.</w:t>
      </w:r>
    </w:p>
    <w:p w14:paraId="3CA712E6"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פי' לא עבדא שליחות חברתה בחליצה פסולה כל היכא דאפשר בחליצה מעולה. אבל יבם עושה שליחות חבריה אע"ג דאפשר בחליצה כשירה לגמרי.</w:t>
      </w:r>
    </w:p>
    <w:p w14:paraId="708CD1CD" w14:textId="77777777" w:rsidR="006074A5" w:rsidRPr="0041053F" w:rsidRDefault="006074A5" w:rsidP="006074A5">
      <w:pPr>
        <w:pStyle w:val="aa"/>
        <w:bidi/>
        <w:rPr>
          <w:rFonts w:ascii="Narkisim" w:hAnsi="Narkisim"/>
        </w:rPr>
      </w:pPr>
      <w:r w:rsidRPr="0041053F">
        <w:rPr>
          <w:rFonts w:ascii="Narkisim" w:hAnsi="Narkisim"/>
          <w:u w:val="single"/>
          <w:rtl/>
        </w:rPr>
        <w:t>שם.</w:t>
      </w:r>
      <w:r w:rsidRPr="0041053F">
        <w:rPr>
          <w:rFonts w:ascii="Narkisim" w:hAnsi="Narkisim"/>
          <w:rtl/>
        </w:rPr>
        <w:t xml:space="preserve"> ה</w:t>
      </w:r>
      <w:r w:rsidRPr="0041053F">
        <w:rPr>
          <w:rFonts w:ascii="Narkisim" w:hAnsi="Narkisim"/>
          <w:b/>
          <w:bCs/>
          <w:rtl/>
        </w:rPr>
        <w:t>ראשונים</w:t>
      </w:r>
      <w:r w:rsidRPr="0041053F">
        <w:rPr>
          <w:rFonts w:ascii="Narkisim" w:hAnsi="Narkisim"/>
          <w:rtl/>
        </w:rPr>
        <w:t xml:space="preserve"> נקטו דלהך לישנא אף שמואל ס"ל דחליצה פסולה בשווה בעי חיזור לצרות [וכדעת רב], ולא רק כשגרוע יותר. (וע' בסמוך).</w:t>
      </w:r>
    </w:p>
    <w:p w14:paraId="655993EA" w14:textId="77777777" w:rsidR="006074A5" w:rsidRPr="0041053F" w:rsidRDefault="006074A5" w:rsidP="006074A5">
      <w:pPr>
        <w:bidi/>
        <w:rPr>
          <w:rFonts w:ascii="Narkisim" w:hAnsi="Narkisim" w:cs="Narkisim"/>
        </w:rPr>
      </w:pPr>
      <w:r w:rsidRPr="0041053F">
        <w:rPr>
          <w:rFonts w:ascii="Narkisim" w:hAnsi="Narkisim" w:cs="Narkisim"/>
          <w:u w:val="single"/>
          <w:rtl/>
        </w:rPr>
        <w:t>גופא וכו' חלץ לבעלת הגט לא נפטרו צרות, לצרות נפטרה בעלת הגט</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דכיון שנתן גט קלישתא זיקתה, ושוב אין חליצתה הוגנת. וחליצתה אינה פוטרת צרתה.</w:t>
      </w:r>
    </w:p>
    <w:p w14:paraId="388C6E52"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הק' דכיון דנתן לה גט נאסר אף לייבם הצרה. א"כ תרוייהו אסורות לו, ואף לצרה הוה חליצה פסולה. [וכעין קו' הגמ' בסמוך בצרת אחות זקוקה</w:t>
      </w:r>
      <w:r w:rsidRPr="0041053F">
        <w:rPr>
          <w:rStyle w:val="ac"/>
          <w:rFonts w:ascii="Narkisim" w:hAnsi="Narkisim"/>
          <w:rtl/>
        </w:rPr>
        <w:footnoteReference w:id="1598"/>
      </w:r>
      <w:r w:rsidRPr="0041053F">
        <w:rPr>
          <w:rFonts w:ascii="Narkisim" w:hAnsi="Narkisim"/>
          <w:rtl/>
        </w:rPr>
        <w:t>]. והרמב"ן תי' דגט אסר רק מדרבנן, והך דעבד בה מעשה מקריא חליצה פסולה. וזיקת הצרה [דלא עביד בה מעשה] אלימא מזיקה דבעלת הגט. דהצרה יוצאה ממנו בחליצה לחודה, והך יוצאת בגט וחליצה</w:t>
      </w:r>
      <w:r w:rsidRPr="0041053F">
        <w:rPr>
          <w:rStyle w:val="ac"/>
          <w:rFonts w:ascii="Narkisim" w:hAnsi="Narkisim"/>
          <w:rtl/>
        </w:rPr>
        <w:footnoteReference w:id="1599"/>
      </w:r>
      <w:r w:rsidRPr="0041053F">
        <w:rPr>
          <w:rFonts w:ascii="Narkisim" w:hAnsi="Narkisim"/>
          <w:rtl/>
        </w:rPr>
        <w:t>. ועד"ז את בעלת מאמר וצרתה</w:t>
      </w:r>
      <w:r w:rsidRPr="0041053F">
        <w:rPr>
          <w:rStyle w:val="ac"/>
          <w:rFonts w:ascii="Narkisim" w:hAnsi="Narkisim"/>
          <w:rtl/>
        </w:rPr>
        <w:footnoteReference w:id="1600"/>
      </w:r>
      <w:r w:rsidRPr="0041053F">
        <w:rPr>
          <w:rFonts w:ascii="Narkisim" w:hAnsi="Narkisim"/>
          <w:rtl/>
        </w:rPr>
        <w:t>.</w:t>
      </w:r>
    </w:p>
    <w:p w14:paraId="7E71125B" w14:textId="77777777" w:rsidR="006074A5" w:rsidRPr="0041053F" w:rsidRDefault="006074A5" w:rsidP="006074A5">
      <w:pPr>
        <w:pStyle w:val="a8"/>
        <w:bidi/>
        <w:rPr>
          <w:rFonts w:ascii="Narkisim" w:hAnsi="Narkisim"/>
        </w:rPr>
      </w:pPr>
      <w:r w:rsidRPr="0041053F">
        <w:rPr>
          <w:rFonts w:ascii="Narkisim" w:hAnsi="Narkisim"/>
          <w:rtl/>
        </w:rPr>
        <w:t>והרמב"ן הביא ד</w:t>
      </w:r>
      <w:r w:rsidRPr="0041053F">
        <w:rPr>
          <w:rFonts w:ascii="Narkisim" w:hAnsi="Narkisim"/>
          <w:b/>
          <w:bCs/>
          <w:rtl/>
        </w:rPr>
        <w:t>אחרים</w:t>
      </w:r>
      <w:r w:rsidRPr="0041053F">
        <w:rPr>
          <w:rFonts w:ascii="Narkisim" w:hAnsi="Narkisim"/>
          <w:rtl/>
        </w:rPr>
        <w:t xml:space="preserve"> פי' חלץ לבעלת הגט של אחיו [דנאסרה משום גרושת אחיו, והוה חליצה פסולה]. דל"ש בזה פטור צרה כלל. ולצרה [דגט דאחיו] נפטרה בעלת הגט. דהוה חליצה כשירה, שלא גזרו בה כלום, שאפי' גרושת אחיו גמורה צרתה מותרת. [והרמב"ן דחה פי' זה שהנותן גט ליבמתו פסל היא וכל צרותיה עליו ועל כל האחין כמי שחלץ לה].</w:t>
      </w:r>
    </w:p>
    <w:p w14:paraId="52DA33B4" w14:textId="77777777" w:rsidR="006074A5" w:rsidRPr="0041053F" w:rsidRDefault="006074A5" w:rsidP="006074A5">
      <w:pPr>
        <w:bidi/>
        <w:rPr>
          <w:rFonts w:ascii="Narkisim" w:hAnsi="Narkisim" w:cs="Narkisim"/>
        </w:rPr>
      </w:pPr>
      <w:r w:rsidRPr="0041053F">
        <w:rPr>
          <w:rFonts w:ascii="Narkisim" w:hAnsi="Narkisim" w:cs="Narkisim"/>
          <w:rtl/>
        </w:rPr>
        <w:t xml:space="preserve">ובברייתא </w:t>
      </w:r>
      <w:r w:rsidRPr="0041053F">
        <w:rPr>
          <w:rFonts w:ascii="Narkisim" w:hAnsi="Narkisim" w:cs="Narkisim"/>
          <w:szCs w:val="20"/>
          <w:rtl/>
        </w:rPr>
        <w:t>(לקמן נא., הו' ב</w:t>
      </w:r>
      <w:r w:rsidRPr="0041053F">
        <w:rPr>
          <w:rFonts w:ascii="Narkisim" w:hAnsi="Narkisim" w:cs="Narkisim"/>
          <w:b/>
          <w:bCs/>
          <w:sz w:val="20"/>
          <w:szCs w:val="20"/>
          <w:rtl/>
        </w:rPr>
        <w:t>תוס'</w:t>
      </w:r>
      <w:r w:rsidRPr="0041053F">
        <w:rPr>
          <w:rFonts w:ascii="Narkisim" w:hAnsi="Narkisim" w:cs="Narkisim"/>
          <w:sz w:val="20"/>
          <w:szCs w:val="20"/>
          <w:rtl/>
        </w:rPr>
        <w:t xml:space="preserve"> כו: ד"ה מדקאמרת) </w:t>
      </w:r>
      <w:r w:rsidRPr="0041053F">
        <w:rPr>
          <w:rFonts w:ascii="Narkisim" w:hAnsi="Narkisim" w:cs="Narkisim"/>
          <w:rtl/>
        </w:rPr>
        <w:t>אי' דסגי בחליצה לבעלת הגט. והגמ' תי' דהברייתא ר' גמליאל לשיטתו דס"ל (לקמן קט. לעיל יח.) דאין זיקה</w:t>
      </w:r>
      <w:r w:rsidRPr="0041053F">
        <w:rPr>
          <w:rStyle w:val="ac"/>
          <w:rFonts w:ascii="Narkisim" w:hAnsi="Narkisim" w:cs="Narkisim"/>
          <w:rtl/>
        </w:rPr>
        <w:footnoteReference w:id="1601"/>
      </w:r>
      <w:r w:rsidRPr="0041053F">
        <w:rPr>
          <w:rFonts w:ascii="Narkisim" w:hAnsi="Narkisim" w:cs="Narkisim"/>
          <w:rtl/>
        </w:rPr>
        <w:t>. ושמואל קאי כמ"ד יש זיקה. [ופ</w:t>
      </w:r>
      <w:r w:rsidRPr="0041053F">
        <w:rPr>
          <w:rFonts w:ascii="Narkisim" w:hAnsi="Narkisim" w:cs="Narkisim"/>
          <w:b/>
          <w:bCs/>
          <w:rtl/>
        </w:rPr>
        <w:t>רש"י</w:t>
      </w:r>
      <w:r w:rsidRPr="0041053F">
        <w:rPr>
          <w:rFonts w:ascii="Narkisim" w:hAnsi="Narkisim" w:cs="Narkisim"/>
          <w:rtl/>
        </w:rPr>
        <w:t xml:space="preserve"> דלא פקעה זיקה שלימה אלא בחליצה מעלייתא. ע' מה שהובא לעיל].</w:t>
      </w:r>
    </w:p>
    <w:p w14:paraId="17FE69F8" w14:textId="77777777" w:rsidR="006074A5" w:rsidRPr="0041053F" w:rsidRDefault="006074A5" w:rsidP="006074A5">
      <w:pPr>
        <w:pStyle w:val="a8"/>
        <w:bidi/>
        <w:rPr>
          <w:rFonts w:ascii="Narkisim" w:hAnsi="Narkisim"/>
        </w:rPr>
      </w:pPr>
      <w:r w:rsidRPr="0041053F">
        <w:rPr>
          <w:rFonts w:ascii="Narkisim" w:hAnsi="Narkisim"/>
          <w:sz w:val="24"/>
          <w:rtl/>
        </w:rPr>
        <w:t>ופ</w:t>
      </w:r>
      <w:r w:rsidRPr="0041053F">
        <w:rPr>
          <w:rFonts w:ascii="Narkisim" w:hAnsi="Narkisim"/>
          <w:b/>
          <w:bCs/>
          <w:sz w:val="24"/>
          <w:rtl/>
        </w:rPr>
        <w:t>רש"י</w:t>
      </w:r>
      <w:r w:rsidRPr="0041053F">
        <w:rPr>
          <w:rFonts w:ascii="Narkisim" w:hAnsi="Narkisim"/>
          <w:sz w:val="24"/>
          <w:rtl/>
        </w:rPr>
        <w:t xml:space="preserve"> (נא.) דרבנן דברייתא (שם) איירי כשנתן גט לשתיהן, ותרוייהו זיקתא קלישתא. ומש"ה לשמואל סגי בחליצה של א' לפטור חברתה בשוות [ואף דרבנן ס"ל דיש זיקה]. [וכל"ק דסוגיין דשמואל ס"ל דבשוות מהני חליצתה לפטור, אף דפסולה].</w:t>
      </w:r>
    </w:p>
    <w:p w14:paraId="1633FFF3" w14:textId="77777777" w:rsidR="006074A5" w:rsidRPr="0041053F" w:rsidRDefault="006074A5" w:rsidP="006074A5">
      <w:pPr>
        <w:pStyle w:val="a8"/>
        <w:bidi/>
        <w:rPr>
          <w:rFonts w:ascii="Narkisim" w:hAnsi="Narkisim"/>
          <w:sz w:val="24"/>
        </w:rPr>
      </w:pPr>
      <w:r w:rsidRPr="0041053F">
        <w:rPr>
          <w:rFonts w:ascii="Narkisim" w:hAnsi="Narkisim"/>
          <w:sz w:val="24"/>
          <w:rtl/>
        </w:rPr>
        <w:t>והגמ' (נא:) מק' לדברי רב דחליצה פסולה צריכה לחזור. ותי' דאף דרבנן דהך ברייתא ס"ל דאין זיקה. [ומש"ה אי"צ לחזור].</w:t>
      </w:r>
    </w:p>
    <w:p w14:paraId="63EED13C" w14:textId="77777777" w:rsidR="006074A5" w:rsidRPr="0041053F" w:rsidRDefault="006074A5" w:rsidP="006074A5">
      <w:pPr>
        <w:bidi/>
        <w:rPr>
          <w:rFonts w:ascii="Narkisim" w:hAnsi="Narkisim" w:cs="Narkisim"/>
        </w:rPr>
      </w:pPr>
      <w:r w:rsidRPr="0041053F">
        <w:rPr>
          <w:rFonts w:ascii="Narkisim" w:hAnsi="Narkisim" w:cs="Narkisim"/>
          <w:u w:val="single"/>
          <w:rtl/>
        </w:rPr>
        <w:t>רש"י ד"ה חלץ לבעלת מאמר.</w:t>
      </w:r>
      <w:r w:rsidRPr="0041053F">
        <w:rPr>
          <w:rFonts w:ascii="Narkisim" w:hAnsi="Narkisim" w:cs="Narkisim"/>
          <w:rtl/>
        </w:rPr>
        <w:t xml:space="preserve"> שחליצה זו אינה פוטרת לגמרי, שעדיין צריכה גט</w:t>
      </w:r>
      <w:r w:rsidRPr="0041053F">
        <w:rPr>
          <w:rStyle w:val="ac"/>
          <w:rFonts w:ascii="Narkisim" w:hAnsi="Narkisim" w:cs="Narkisim"/>
          <w:rtl/>
        </w:rPr>
        <w:footnoteReference w:id="1602"/>
      </w:r>
      <w:r w:rsidRPr="0041053F">
        <w:rPr>
          <w:rFonts w:ascii="Narkisim" w:hAnsi="Narkisim" w:cs="Narkisim"/>
          <w:rtl/>
        </w:rPr>
        <w:t xml:space="preserve"> וכו' ואע"ג דיהיב לה גט אחר שחלץ וכו'. </w:t>
      </w:r>
      <w:r w:rsidRPr="0041053F">
        <w:rPr>
          <w:rFonts w:ascii="Narkisim" w:hAnsi="Narkisim" w:cs="Narkisim"/>
          <w:sz w:val="20"/>
          <w:szCs w:val="20"/>
          <w:rtl/>
        </w:rPr>
        <w:t>[ה</w:t>
      </w:r>
      <w:r w:rsidRPr="0041053F">
        <w:rPr>
          <w:rFonts w:ascii="Narkisim" w:hAnsi="Narkisim" w:cs="Narkisim"/>
          <w:b/>
          <w:bCs/>
          <w:sz w:val="20"/>
          <w:szCs w:val="20"/>
          <w:rtl/>
        </w:rPr>
        <w:t>רש"ש</w:t>
      </w:r>
      <w:r w:rsidRPr="0041053F">
        <w:rPr>
          <w:rFonts w:ascii="Narkisim" w:hAnsi="Narkisim" w:cs="Narkisim"/>
          <w:sz w:val="20"/>
          <w:szCs w:val="20"/>
          <w:rtl/>
        </w:rPr>
        <w:t xml:space="preserve"> דייק דאילו נתן גט ואח"כ חלץ יחשב חליצה מעלייתא. דמהני החליצה לפוטרו לגמרי].</w:t>
      </w:r>
      <w:r w:rsidRPr="0041053F">
        <w:rPr>
          <w:rFonts w:ascii="Narkisim" w:hAnsi="Narkisim" w:cs="Narkisim"/>
          <w:rtl/>
        </w:rPr>
        <w:t xml:space="preserve"> אבל </w:t>
      </w:r>
      <w:r w:rsidRPr="0041053F">
        <w:rPr>
          <w:rFonts w:ascii="Narkisim" w:hAnsi="Narkisim" w:cs="Narkisim"/>
          <w:b/>
          <w:bCs/>
          <w:rtl/>
        </w:rPr>
        <w:t>תוס</w:t>
      </w:r>
      <w:r w:rsidRPr="0041053F">
        <w:rPr>
          <w:rFonts w:ascii="Narkisim" w:hAnsi="Narkisim" w:cs="Narkisim"/>
          <w:rtl/>
        </w:rPr>
        <w:t>' (כו: ד"ה וחליצה) מבואר דהסברא בבעלת מאמר משום דדמי לכנוסה, ואיקליש הזיקה</w:t>
      </w:r>
      <w:r w:rsidRPr="0041053F">
        <w:rPr>
          <w:rStyle w:val="ac"/>
          <w:rFonts w:ascii="Narkisim" w:hAnsi="Narkisim" w:cs="Narkisim"/>
          <w:rtl/>
        </w:rPr>
        <w:footnoteReference w:id="1603"/>
      </w:r>
      <w:r w:rsidRPr="0041053F">
        <w:rPr>
          <w:rFonts w:ascii="Narkisim" w:hAnsi="Narkisim" w:cs="Narkisim"/>
          <w:rtl/>
        </w:rPr>
        <w:t>.</w:t>
      </w:r>
    </w:p>
    <w:p w14:paraId="5BDDE155" w14:textId="77777777" w:rsidR="006074A5" w:rsidRPr="0041053F" w:rsidRDefault="006074A5" w:rsidP="006074A5">
      <w:pPr>
        <w:bidi/>
        <w:rPr>
          <w:rFonts w:ascii="Narkisim" w:hAnsi="Narkisim" w:cs="Narkisim"/>
        </w:rPr>
      </w:pPr>
      <w:r w:rsidRPr="0041053F">
        <w:rPr>
          <w:rFonts w:ascii="Narkisim" w:hAnsi="Narkisim" w:cs="Narkisim"/>
          <w:u w:val="single"/>
          <w:rtl/>
        </w:rPr>
        <w:t>מ"ש לאחיות וכו' דהו"ל אחות אשה בזיקה, חלץ לצרות נמי לא ליפטרו אחיות דהו"ל צרת אחות אשה בזיקה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דצרה במקום ערוה קיימי. וכ"כ ה</w:t>
      </w:r>
      <w:r w:rsidRPr="0041053F">
        <w:rPr>
          <w:rFonts w:ascii="Narkisim" w:hAnsi="Narkisim" w:cs="Narkisim"/>
          <w:b/>
          <w:bCs/>
          <w:rtl/>
        </w:rPr>
        <w:t>רמב"ן</w:t>
      </w:r>
      <w:r w:rsidRPr="0041053F">
        <w:rPr>
          <w:rFonts w:ascii="Narkisim" w:hAnsi="Narkisim" w:cs="Narkisim"/>
          <w:rtl/>
        </w:rPr>
        <w:t xml:space="preserve"> [דסברת המקשן] דאחיות וצרות כי הדדי נינהו, דגזרו בהם כדין עריות וכל אבזרייהו. </w:t>
      </w:r>
      <w:r w:rsidRPr="0041053F">
        <w:rPr>
          <w:rFonts w:ascii="Narkisim" w:hAnsi="Narkisim" w:cs="Narkisim"/>
          <w:szCs w:val="20"/>
          <w:rtl/>
        </w:rPr>
        <w:t>וה</w:t>
      </w:r>
      <w:r w:rsidRPr="0041053F">
        <w:rPr>
          <w:rFonts w:ascii="Narkisim" w:hAnsi="Narkisim" w:cs="Narkisim"/>
          <w:b/>
          <w:bCs/>
          <w:szCs w:val="20"/>
          <w:rtl/>
        </w:rPr>
        <w:t>ריטב"א</w:t>
      </w:r>
      <w:r w:rsidRPr="0041053F">
        <w:rPr>
          <w:rFonts w:ascii="Narkisim" w:hAnsi="Narkisim" w:cs="Narkisim"/>
          <w:szCs w:val="20"/>
          <w:rtl/>
        </w:rPr>
        <w:t xml:space="preserve"> הוסיף דאחות אשה </w:t>
      </w:r>
      <w:r w:rsidRPr="0041053F">
        <w:rPr>
          <w:rFonts w:ascii="Narkisim" w:hAnsi="Narkisim" w:cs="Narkisim"/>
          <w:szCs w:val="20"/>
          <w:rtl/>
        </w:rPr>
        <w:lastRenderedPageBreak/>
        <w:t>וצרה שוות בכרת</w:t>
      </w:r>
      <w:r w:rsidRPr="0041053F">
        <w:rPr>
          <w:rStyle w:val="ac"/>
          <w:rFonts w:ascii="Narkisim" w:hAnsi="Narkisim" w:cs="Narkisim"/>
          <w:szCs w:val="20"/>
          <w:rtl/>
        </w:rPr>
        <w:footnoteReference w:id="1604"/>
      </w:r>
      <w:r w:rsidRPr="0041053F">
        <w:rPr>
          <w:rFonts w:ascii="Narkisim" w:hAnsi="Narkisim" w:cs="Narkisim"/>
          <w:rtl/>
        </w:rPr>
        <w:t>.</w:t>
      </w:r>
    </w:p>
    <w:p w14:paraId="6A1A615A" w14:textId="77777777" w:rsidR="006074A5" w:rsidRPr="0041053F" w:rsidRDefault="006074A5" w:rsidP="006074A5">
      <w:pPr>
        <w:pStyle w:val="aa"/>
        <w:bidi/>
        <w:rPr>
          <w:rFonts w:ascii="Narkisim" w:hAnsi="Narkisim"/>
        </w:rPr>
      </w:pPr>
      <w:r w:rsidRPr="0041053F">
        <w:rPr>
          <w:rFonts w:ascii="Narkisim" w:hAnsi="Narkisim"/>
          <w:rtl/>
        </w:rPr>
        <w:t>ומבואר בקו' הגמ' דאף דתרוייהו פסולות בשווה ל"מ כל א' לפטור את חברתה. [ו</w:t>
      </w:r>
      <w:r w:rsidRPr="0041053F">
        <w:rPr>
          <w:rFonts w:ascii="Narkisim" w:hAnsi="Narkisim"/>
          <w:b/>
          <w:bCs/>
          <w:rtl/>
        </w:rPr>
        <w:t>תוס</w:t>
      </w:r>
      <w:r w:rsidRPr="0041053F">
        <w:rPr>
          <w:rFonts w:ascii="Narkisim" w:hAnsi="Narkisim"/>
          <w:rtl/>
        </w:rPr>
        <w:t>' (ד"ה מאי) הוכיחו כן מדברי הגמ' בסמוך התחיל וכו']. וי"ל דהוה מכלל סברת המקשן דבמקום ערוה קיימי, ושניהם פסולים בשווה. ואפ"ה אחיות לא פטרי לצרות. [וא"כ הוה בכלל קו' הגמ' מ"ש לאחיות].</w:t>
      </w:r>
    </w:p>
    <w:p w14:paraId="1115B3FB" w14:textId="77777777" w:rsidR="006074A5" w:rsidRPr="0041053F" w:rsidRDefault="006074A5" w:rsidP="006074A5">
      <w:pPr>
        <w:bidi/>
        <w:rPr>
          <w:rFonts w:ascii="Narkisim" w:hAnsi="Narkisim" w:cs="Narkisim"/>
        </w:rPr>
      </w:pPr>
      <w:r w:rsidRPr="0041053F">
        <w:rPr>
          <w:rFonts w:ascii="Narkisim" w:hAnsi="Narkisim" w:cs="Narkisim"/>
          <w:u w:val="single"/>
          <w:rtl/>
        </w:rPr>
        <w:t>שם. דהו"ל צרת אחות אשה בזיקה</w:t>
      </w:r>
      <w:r w:rsidRPr="0041053F">
        <w:rPr>
          <w:rFonts w:ascii="Narkisim" w:hAnsi="Narkisim" w:cs="Narkisim"/>
          <w:rtl/>
        </w:rPr>
        <w:t>. ב</w:t>
      </w:r>
      <w:r w:rsidRPr="0041053F">
        <w:rPr>
          <w:rFonts w:ascii="Narkisim" w:hAnsi="Narkisim" w:cs="Narkisim"/>
          <w:b/>
          <w:bCs/>
          <w:rtl/>
        </w:rPr>
        <w:t>שו"ת הרשב"א</w:t>
      </w:r>
      <w:r w:rsidRPr="0041053F">
        <w:rPr>
          <w:rFonts w:ascii="Narkisim" w:hAnsi="Narkisim" w:cs="Narkisim"/>
          <w:rtl/>
        </w:rPr>
        <w:t xml:space="preserve"> (ו כה) הקשה דבשלמא הנופלת שניה, בשעת נפילה הוה צרת אחות זקוקתו. אבל זה שנפלה ראשונה לא הוה צרת ערוה בשעת נפילה. ולא שנא איסור צרת ערוה לאחר נפילה. וה</w:t>
      </w:r>
      <w:r w:rsidRPr="0041053F">
        <w:rPr>
          <w:rFonts w:ascii="Narkisim" w:hAnsi="Narkisim" w:cs="Narkisim"/>
          <w:b/>
          <w:bCs/>
          <w:rtl/>
        </w:rPr>
        <w:t>רשב"א</w:t>
      </w:r>
      <w:r w:rsidRPr="0041053F">
        <w:rPr>
          <w:rFonts w:ascii="Narkisim" w:hAnsi="Narkisim" w:cs="Narkisim"/>
          <w:rtl/>
        </w:rPr>
        <w:t xml:space="preserve"> כת' דא"כ פשיטא. </w:t>
      </w:r>
      <w:r w:rsidRPr="0041053F">
        <w:rPr>
          <w:rFonts w:ascii="Narkisim" w:hAnsi="Narkisim" w:cs="Narkisim"/>
          <w:szCs w:val="20"/>
          <w:rtl/>
        </w:rPr>
        <w:t>[ואה"נ אם חלץ לצרת הראשונה הוה חליצה כשירה]</w:t>
      </w:r>
      <w:r w:rsidRPr="0041053F">
        <w:rPr>
          <w:rFonts w:ascii="Narkisim" w:hAnsi="Narkisim" w:cs="Narkisim"/>
          <w:rtl/>
        </w:rPr>
        <w:t xml:space="preserve">. אבל </w:t>
      </w:r>
      <w:r w:rsidRPr="0041053F">
        <w:rPr>
          <w:rFonts w:ascii="Narkisim" w:hAnsi="Narkisim" w:cs="Narkisim"/>
          <w:b/>
          <w:bCs/>
          <w:rtl/>
        </w:rPr>
        <w:t>תוס</w:t>
      </w:r>
      <w:r w:rsidRPr="0041053F">
        <w:rPr>
          <w:rFonts w:ascii="Narkisim" w:hAnsi="Narkisim" w:cs="Narkisim"/>
          <w:rtl/>
        </w:rPr>
        <w:t>' (כו: ד"ה וחליצה) מבואר דמדרבנן אף צרת ראשונה אסורה.</w:t>
      </w:r>
    </w:p>
    <w:p w14:paraId="08A66872"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(ט) חידש דגדר איסור אחות זקוקה הוה כאילו היא אשתו מקודם [ועל דרך מש"כ בגדר אחות חלוצתו, הו' בתוס' כו:], ומדרבנן נחשב דאף קודם נפילה היתה אחות אשתו, ואוסרת צרתה.</w:t>
      </w:r>
    </w:p>
    <w:p w14:paraId="7301A318" w14:textId="77777777" w:rsidR="006074A5" w:rsidRPr="0041053F" w:rsidRDefault="006074A5" w:rsidP="006074A5">
      <w:pPr>
        <w:bidi/>
        <w:rPr>
          <w:rFonts w:ascii="Narkisim" w:hAnsi="Narkisim" w:cs="Narkisim"/>
        </w:rPr>
      </w:pPr>
      <w:r w:rsidRPr="0041053F">
        <w:rPr>
          <w:rFonts w:ascii="Narkisim" w:hAnsi="Narkisim" w:cs="Narkisim"/>
          <w:u w:val="single"/>
          <w:rtl/>
        </w:rPr>
        <w:t>אלא צרה דלאה תיפטר.</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דאי בעי מצי מייבם. ו</w:t>
      </w:r>
      <w:r w:rsidRPr="0041053F">
        <w:rPr>
          <w:rFonts w:ascii="Narkisim" w:hAnsi="Narkisim" w:cs="Narkisim"/>
          <w:b/>
          <w:bCs/>
          <w:rtl/>
        </w:rPr>
        <w:t>תוס'</w:t>
      </w:r>
      <w:r w:rsidRPr="0041053F">
        <w:rPr>
          <w:rFonts w:ascii="Narkisim" w:hAnsi="Narkisim" w:cs="Narkisim"/>
          <w:rtl/>
        </w:rPr>
        <w:t xml:space="preserve"> (ד"ה אלא) הק' דמ"מ אסור לבטל מצוות יבמין</w:t>
      </w:r>
      <w:r w:rsidRPr="0041053F">
        <w:rPr>
          <w:rStyle w:val="ac"/>
          <w:rFonts w:ascii="Narkisim" w:hAnsi="Narkisim" w:cs="Narkisim"/>
          <w:rtl/>
        </w:rPr>
        <w:footnoteReference w:id="1605"/>
      </w:r>
      <w:r w:rsidRPr="0041053F">
        <w:rPr>
          <w:rFonts w:ascii="Narkisim" w:hAnsi="Narkisim" w:cs="Narkisim"/>
          <w:rtl/>
        </w:rPr>
        <w:t xml:space="preserve">. </w:t>
      </w:r>
      <w:r w:rsidRPr="0041053F">
        <w:rPr>
          <w:rFonts w:ascii="Narkisim" w:hAnsi="Narkisim" w:cs="Narkisim"/>
          <w:sz w:val="20"/>
          <w:szCs w:val="20"/>
          <w:rtl/>
        </w:rPr>
        <w:t>ו</w:t>
      </w:r>
      <w:r w:rsidRPr="0041053F">
        <w:rPr>
          <w:rFonts w:ascii="Narkisim" w:hAnsi="Narkisim" w:cs="Narkisim"/>
          <w:b/>
          <w:bCs/>
          <w:sz w:val="20"/>
          <w:szCs w:val="20"/>
          <w:rtl/>
        </w:rPr>
        <w:t>תוס'</w:t>
      </w:r>
      <w:r w:rsidRPr="0041053F">
        <w:rPr>
          <w:rFonts w:ascii="Narkisim" w:hAnsi="Narkisim" w:cs="Narkisim"/>
          <w:sz w:val="20"/>
          <w:szCs w:val="20"/>
          <w:rtl/>
        </w:rPr>
        <w:t xml:space="preserve"> (כו: ד"ה וחליצה) נקטו דלרש"י אף איסור לבטל מצוות יבמין עושה חליצה פסולה.</w:t>
      </w:r>
    </w:p>
    <w:p w14:paraId="20DACD13"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תי' דכיון דראוי לייבם אלא משום גזירה שמא ימות לחוד</w:t>
      </w:r>
      <w:r w:rsidRPr="0041053F">
        <w:rPr>
          <w:rStyle w:val="ac"/>
          <w:rFonts w:ascii="Narkisim" w:hAnsi="Narkisim"/>
          <w:rtl/>
        </w:rPr>
        <w:footnoteReference w:id="1606"/>
      </w:r>
      <w:r w:rsidRPr="0041053F">
        <w:rPr>
          <w:rFonts w:ascii="Narkisim" w:hAnsi="Narkisim"/>
          <w:rtl/>
        </w:rPr>
        <w:t>, לא קרינן ביה חליצה פסולה. וכתב דאפשר דאף רש"י נתכוון לזה</w:t>
      </w:r>
      <w:r w:rsidRPr="0041053F">
        <w:rPr>
          <w:rStyle w:val="ac"/>
          <w:rFonts w:ascii="Narkisim" w:hAnsi="Narkisim"/>
          <w:rtl/>
        </w:rPr>
        <w:footnoteReference w:id="1607"/>
      </w:r>
      <w:r w:rsidRPr="0041053F">
        <w:rPr>
          <w:rFonts w:ascii="Narkisim" w:hAnsi="Narkisim"/>
          <w:rtl/>
        </w:rPr>
        <w:t>.</w:t>
      </w:r>
      <w:r w:rsidRPr="0041053F">
        <w:rPr>
          <w:rFonts w:ascii="Narkisim" w:hAnsi="Narkisim"/>
          <w:i/>
          <w:iCs/>
          <w:rtl/>
        </w:rPr>
        <w:t xml:space="preserve"> א"נ</w:t>
      </w:r>
      <w:r w:rsidRPr="0041053F">
        <w:rPr>
          <w:rFonts w:ascii="Narkisim" w:hAnsi="Narkisim"/>
          <w:rtl/>
        </w:rPr>
        <w:t xml:space="preserve"> כיון מתחילה היה אפשר לה לייבם ללאה, דאי חליץ לצרת רחל הוה שרי לאה ליבום. דהוה צרת קרובת חלוצתו. [דכיון דיש צד היתר נחשב חליצה כשירה</w:t>
      </w:r>
      <w:r w:rsidRPr="0041053F">
        <w:rPr>
          <w:rFonts w:ascii="Narkisim" w:hAnsi="Narkisim"/>
          <w:sz w:val="20"/>
          <w:szCs w:val="20"/>
          <w:rtl/>
        </w:rPr>
        <w:t>. וע"ע בסמוך מש"כ האו"ש בזה</w:t>
      </w:r>
      <w:r w:rsidRPr="0041053F">
        <w:rPr>
          <w:rFonts w:ascii="Narkisim" w:hAnsi="Narkisim"/>
          <w:rtl/>
        </w:rPr>
        <w:t>].</w:t>
      </w:r>
    </w:p>
    <w:p w14:paraId="04FA2766"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הקשו ד</w:t>
      </w:r>
      <w:r w:rsidRPr="0041053F">
        <w:rPr>
          <w:rFonts w:ascii="Narkisim" w:hAnsi="Narkisim"/>
          <w:b/>
          <w:bCs/>
          <w:rtl/>
        </w:rPr>
        <w:t>רש"י</w:t>
      </w:r>
      <w:r w:rsidRPr="0041053F">
        <w:rPr>
          <w:rFonts w:ascii="Narkisim" w:hAnsi="Narkisim"/>
          <w:rtl/>
        </w:rPr>
        <w:t xml:space="preserve"> (כד.) כתב דע"י אסור לבטל מצוות יבמין אמרי' נאסרה</w:t>
      </w:r>
      <w:r w:rsidRPr="0041053F">
        <w:rPr>
          <w:rStyle w:val="ac"/>
          <w:rFonts w:ascii="Narkisim" w:hAnsi="Narkisim"/>
          <w:rtl/>
        </w:rPr>
        <w:footnoteReference w:id="1608"/>
      </w:r>
      <w:r w:rsidRPr="0041053F">
        <w:rPr>
          <w:rFonts w:ascii="Narkisim" w:hAnsi="Narkisim"/>
          <w:rtl/>
        </w:rPr>
        <w:t>. וע"כ דיש חסרון בעצם הדין יבום, ולא רק דין חיצוני בעלמא, וא"כ כ"ש דהוה חליצה פסולה. וצ"ע.</w:t>
      </w:r>
    </w:p>
    <w:p w14:paraId="0BC63133" w14:textId="77777777" w:rsidR="006074A5" w:rsidRPr="0041053F" w:rsidRDefault="006074A5" w:rsidP="006074A5">
      <w:pPr>
        <w:bidi/>
        <w:rPr>
          <w:rFonts w:ascii="Narkisim" w:hAnsi="Narkisim" w:cs="Narkisim"/>
        </w:rPr>
      </w:pPr>
      <w:r w:rsidRPr="0041053F">
        <w:rPr>
          <w:rFonts w:ascii="Narkisim" w:hAnsi="Narkisim" w:cs="Narkisim"/>
          <w:u w:val="single"/>
          <w:rtl/>
        </w:rPr>
        <w:t>א"ה חלץ לצרות נפטרו אחיות וכו'.</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xml:space="preserve">' (כו: ד"ה מדקאמרת) הביאו מכאן דסוגיין ס"ל דאף כשפסולים בשווה בעי חיזור, ואף למ"ד אין זיקה. </w:t>
      </w:r>
      <w:r w:rsidRPr="0041053F">
        <w:rPr>
          <w:rFonts w:ascii="Narkisim" w:hAnsi="Narkisim" w:cs="Narkisim"/>
          <w:sz w:val="20"/>
          <w:szCs w:val="20"/>
          <w:rtl/>
        </w:rPr>
        <w:t>[ואינה לפי האמת, דהגמ' (נא.) תי' את הברייתא דלר"ג אי"צ חיזור כמ"ד אין זיקה]</w:t>
      </w:r>
      <w:r w:rsidRPr="0041053F">
        <w:rPr>
          <w:rFonts w:ascii="Narkisim" w:hAnsi="Narkisim" w:cs="Narkisim"/>
          <w:rtl/>
        </w:rPr>
        <w:t>.</w:t>
      </w:r>
    </w:p>
    <w:p w14:paraId="4D5A2D65"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רמב"ן</w:t>
      </w:r>
      <w:r w:rsidRPr="0041053F">
        <w:rPr>
          <w:rFonts w:ascii="Narkisim" w:hAnsi="Narkisim"/>
          <w:rtl/>
        </w:rPr>
        <w:t xml:space="preserve"> נקט דלל"ב [איבע"א מיפטר נפשא] נשאר כן למסקנא, דאף למ"ד אי זיקה ל"מ חליצה פסולה אפי' בשוות.</w:t>
      </w:r>
      <w:r w:rsidRPr="0041053F">
        <w:rPr>
          <w:rFonts w:ascii="Narkisim" w:hAnsi="Narkisim"/>
          <w:sz w:val="20"/>
          <w:szCs w:val="20"/>
          <w:rtl/>
        </w:rPr>
        <w:t xml:space="preserve"> [והגמ' (כו: ונא.) דלמ"ד אין זיקה אין חסרון חליצה פסולה</w:t>
      </w:r>
      <w:r w:rsidRPr="0041053F">
        <w:rPr>
          <w:rStyle w:val="ac"/>
          <w:rFonts w:ascii="Narkisim" w:hAnsi="Narkisim"/>
          <w:sz w:val="20"/>
          <w:szCs w:val="20"/>
          <w:rtl/>
        </w:rPr>
        <w:footnoteReference w:id="1609"/>
      </w:r>
      <w:r w:rsidRPr="0041053F">
        <w:rPr>
          <w:rFonts w:ascii="Narkisim" w:hAnsi="Narkisim"/>
          <w:sz w:val="20"/>
          <w:szCs w:val="20"/>
          <w:rtl/>
        </w:rPr>
        <w:t xml:space="preserve"> ס"ל כלישנא קמא דאאמצעית, ודוקא גרועה טפי. וכרב אשי בסמוך</w:t>
      </w:r>
      <w:r w:rsidRPr="0041053F">
        <w:rPr>
          <w:rStyle w:val="ac"/>
          <w:rFonts w:ascii="Narkisim" w:hAnsi="Narkisim"/>
          <w:sz w:val="20"/>
          <w:szCs w:val="20"/>
          <w:rtl/>
        </w:rPr>
        <w:footnoteReference w:id="1610"/>
      </w:r>
      <w:r w:rsidRPr="0041053F">
        <w:rPr>
          <w:rFonts w:ascii="Narkisim" w:hAnsi="Narkisim"/>
          <w:sz w:val="20"/>
          <w:szCs w:val="20"/>
          <w:rtl/>
        </w:rPr>
        <w:t>]</w:t>
      </w:r>
      <w:r w:rsidRPr="0041053F">
        <w:rPr>
          <w:rFonts w:ascii="Narkisim" w:hAnsi="Narkisim"/>
          <w:rtl/>
        </w:rPr>
        <w:t>.</w:t>
      </w:r>
    </w:p>
    <w:p w14:paraId="178C5A8E"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תוס' מהר"ם ור"פ</w:t>
      </w:r>
      <w:r w:rsidRPr="0041053F">
        <w:rPr>
          <w:rFonts w:ascii="Narkisim" w:hAnsi="Narkisim"/>
          <w:rtl/>
        </w:rPr>
        <w:t xml:space="preserve"> (ותו"י) הביא בשם ה</w:t>
      </w:r>
      <w:r w:rsidRPr="0041053F">
        <w:rPr>
          <w:rFonts w:ascii="Narkisim" w:hAnsi="Narkisim"/>
          <w:b/>
          <w:bCs/>
          <w:rtl/>
        </w:rPr>
        <w:t>ר"מ מאיורא</w:t>
      </w:r>
      <w:r w:rsidRPr="0041053F">
        <w:rPr>
          <w:rFonts w:ascii="Narkisim" w:hAnsi="Narkisim"/>
          <w:rtl/>
        </w:rPr>
        <w:t xml:space="preserve"> דלמ"ד אין זיקה יש לחלק בין מיפטר צרתה למיפטר נפשה. ובב' צרות אף למ"ד אין זיקה אינה פוטרת צרתה. אבל בב' אחים, דוקא למ"ד יש זיקה צריך חיזור אצל האחים.</w:t>
      </w:r>
    </w:p>
    <w:p w14:paraId="7E7AAB69" w14:textId="77777777" w:rsidR="006074A5" w:rsidRPr="0041053F" w:rsidRDefault="006074A5" w:rsidP="006074A5">
      <w:pPr>
        <w:bidi/>
        <w:rPr>
          <w:rFonts w:ascii="Narkisim" w:hAnsi="Narkisim" w:cs="Narkisim"/>
        </w:rPr>
      </w:pPr>
      <w:r w:rsidRPr="0041053F">
        <w:rPr>
          <w:rFonts w:ascii="Narkisim" w:hAnsi="Narkisim" w:cs="Narkisim"/>
          <w:u w:val="single"/>
          <w:rtl/>
        </w:rPr>
        <w:t>ואצרה דרחל מי מיפטרא והא תנן אסור אדם בצרת קרובת חלוצתו.</w:t>
      </w:r>
      <w:r w:rsidRPr="0041053F">
        <w:rPr>
          <w:rFonts w:ascii="Narkisim" w:hAnsi="Narkisim" w:cs="Narkisim"/>
          <w:rtl/>
        </w:rPr>
        <w:t xml:space="preserve"> ה</w:t>
      </w:r>
      <w:r w:rsidRPr="0041053F">
        <w:rPr>
          <w:rFonts w:ascii="Narkisim" w:hAnsi="Narkisim" w:cs="Narkisim"/>
          <w:b/>
          <w:bCs/>
          <w:rtl/>
        </w:rPr>
        <w:t>או"ש</w:t>
      </w:r>
      <w:r w:rsidRPr="0041053F">
        <w:rPr>
          <w:rFonts w:ascii="Narkisim" w:hAnsi="Narkisim" w:cs="Narkisim"/>
          <w:rtl/>
        </w:rPr>
        <w:t xml:space="preserve"> (קו' זיקה יד) תמה דאיירי שחלץ אחר נפילת שניה, והוה צרת ערוה לאחר נפילה. [ע' לעיל בשם שו"ת הרשב"א]. וכתב דרש"י כיוון לסלק קושיה זו, דכתב דצרה אפי' מנכרי, ואינו גדר פטור צרה.</w:t>
      </w:r>
    </w:p>
    <w:p w14:paraId="430ED354"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כתב דבסוגיין מבואר דאיסור אחות חלוצה הוה המשך מאיסור אחות זקוקה, ולכן נחשב איסור משעת נפילה</w:t>
      </w:r>
      <w:r w:rsidRPr="0041053F">
        <w:rPr>
          <w:rStyle w:val="ac"/>
          <w:rFonts w:ascii="Narkisim" w:hAnsi="Narkisim"/>
          <w:rtl/>
        </w:rPr>
        <w:footnoteReference w:id="1611"/>
      </w:r>
      <w:r w:rsidRPr="0041053F">
        <w:rPr>
          <w:rFonts w:ascii="Narkisim" w:hAnsi="Narkisim"/>
          <w:rtl/>
        </w:rPr>
        <w:t>. אבל ה</w:t>
      </w:r>
      <w:r w:rsidRPr="0041053F">
        <w:rPr>
          <w:rFonts w:ascii="Narkisim" w:hAnsi="Narkisim"/>
          <w:b/>
          <w:bCs/>
          <w:rtl/>
        </w:rPr>
        <w:t>חזו"א</w:t>
      </w:r>
      <w:r w:rsidRPr="0041053F">
        <w:rPr>
          <w:rFonts w:ascii="Narkisim" w:hAnsi="Narkisim"/>
          <w:rtl/>
        </w:rPr>
        <w:t xml:space="preserve"> (קכז ט, הו' לעיל) כת' דגדר איסור אחות חלוצה, דהחשיבו את זקוקתו כאשתו משעה ראשונה, וכאילו אסרה צרתה משעת נפילה.</w:t>
      </w:r>
    </w:p>
    <w:p w14:paraId="2ACE24D8" w14:textId="77777777" w:rsidR="006074A5" w:rsidRPr="0041053F" w:rsidRDefault="006074A5" w:rsidP="006074A5">
      <w:pPr>
        <w:pStyle w:val="aa"/>
        <w:bidi/>
        <w:rPr>
          <w:rFonts w:ascii="Narkisim" w:hAnsi="Narkisim"/>
        </w:rPr>
      </w:pPr>
      <w:r w:rsidRPr="0041053F">
        <w:rPr>
          <w:rFonts w:ascii="Narkisim" w:hAnsi="Narkisim"/>
          <w:u w:val="single"/>
          <w:rtl/>
        </w:rPr>
        <w:t>רש"י ד"ה אסור אדם בצרת קרובת חלוצתו.</w:t>
      </w:r>
      <w:r w:rsidRPr="0041053F">
        <w:rPr>
          <w:rFonts w:ascii="Narkisim" w:hAnsi="Narkisim"/>
          <w:rtl/>
        </w:rPr>
        <w:t xml:space="preserve"> אפי' מנכרי. [וגזרו איסור 'צרה' זו אף בצרה שלא במקום מצווה]. וכ"ד </w:t>
      </w:r>
      <w:r w:rsidRPr="0041053F">
        <w:rPr>
          <w:rFonts w:ascii="Narkisim" w:hAnsi="Narkisim"/>
          <w:b/>
          <w:bCs/>
          <w:rtl/>
        </w:rPr>
        <w:t>רש"י</w:t>
      </w:r>
      <w:r w:rsidRPr="0041053F">
        <w:rPr>
          <w:rFonts w:ascii="Narkisim" w:hAnsi="Narkisim"/>
          <w:rtl/>
        </w:rPr>
        <w:t xml:space="preserve"> (לקמן מ:) [עי"ש]. ולפ"ז הו' תקנ"ח חדש, ואינו בגדר ערוה פוטרת צרתה.</w:t>
      </w:r>
    </w:p>
    <w:p w14:paraId="41683874" w14:textId="77777777" w:rsidR="006074A5" w:rsidRPr="0041053F" w:rsidRDefault="006074A5" w:rsidP="006074A5">
      <w:pPr>
        <w:bidi/>
        <w:rPr>
          <w:rFonts w:ascii="Narkisim" w:hAnsi="Narkisim" w:cs="Narkisim"/>
        </w:rPr>
      </w:pPr>
      <w:r w:rsidRPr="0041053F">
        <w:rPr>
          <w:rFonts w:ascii="Narkisim" w:hAnsi="Narkisim" w:cs="Narkisim"/>
          <w:u w:val="single"/>
          <w:rtl/>
        </w:rPr>
        <w:lastRenderedPageBreak/>
        <w:t>שמואל נמי התחיל ולא התחיל קאמר.</w:t>
      </w:r>
      <w:r w:rsidRPr="0041053F">
        <w:rPr>
          <w:rFonts w:ascii="Narkisim" w:hAnsi="Narkisim" w:cs="Narkisim"/>
          <w:rtl/>
        </w:rPr>
        <w:t xml:space="preserve"> בפשוטו אף זה קאי למ"ד אין זיקה. וכ"כ ה</w:t>
      </w:r>
      <w:r w:rsidRPr="0041053F">
        <w:rPr>
          <w:rFonts w:ascii="Narkisim" w:hAnsi="Narkisim" w:cs="Narkisim"/>
          <w:b/>
          <w:bCs/>
          <w:rtl/>
        </w:rPr>
        <w:t>רמב"ן</w:t>
      </w:r>
      <w:r w:rsidRPr="0041053F">
        <w:rPr>
          <w:rFonts w:ascii="Narkisim" w:hAnsi="Narkisim" w:cs="Narkisim"/>
          <w:rtl/>
        </w:rPr>
        <w:t xml:space="preserve"> ו</w:t>
      </w:r>
      <w:r w:rsidRPr="0041053F">
        <w:rPr>
          <w:rFonts w:ascii="Narkisim" w:hAnsi="Narkisim" w:cs="Narkisim"/>
          <w:b/>
          <w:bCs/>
          <w:rtl/>
        </w:rPr>
        <w:t>רשב"א</w:t>
      </w:r>
      <w:r w:rsidRPr="0041053F">
        <w:rPr>
          <w:rFonts w:ascii="Narkisim" w:hAnsi="Narkisim" w:cs="Narkisim"/>
          <w:rtl/>
        </w:rPr>
        <w:t xml:space="preserve"> (וכ"מ ב</w:t>
      </w:r>
      <w:r w:rsidRPr="0041053F">
        <w:rPr>
          <w:rFonts w:ascii="Narkisim" w:hAnsi="Narkisim" w:cs="Narkisim"/>
          <w:b/>
          <w:bCs/>
          <w:rtl/>
        </w:rPr>
        <w:t>רש"י</w:t>
      </w:r>
      <w:r w:rsidRPr="0041053F">
        <w:rPr>
          <w:rFonts w:ascii="Narkisim" w:hAnsi="Narkisim" w:cs="Narkisim"/>
          <w:rtl/>
        </w:rPr>
        <w:t xml:space="preserve"> ד"ה יגמור). וה</w:t>
      </w:r>
      <w:r w:rsidRPr="0041053F">
        <w:rPr>
          <w:rFonts w:ascii="Narkisim" w:hAnsi="Narkisim" w:cs="Narkisim"/>
          <w:b/>
          <w:bCs/>
          <w:rtl/>
        </w:rPr>
        <w:t>רמב"ן</w:t>
      </w:r>
      <w:r w:rsidRPr="0041053F">
        <w:rPr>
          <w:rFonts w:ascii="Narkisim" w:hAnsi="Narkisim" w:cs="Narkisim"/>
          <w:rtl/>
        </w:rPr>
        <w:t xml:space="preserve"> ביאר דלמ"ד יש זיקה א"כ אף צרת אחות זקוקתו הוה במקום ערוה. וכיון דתרוייהו הוה חליצה פסולה כל א' לא פטרה חברתה.</w:t>
      </w:r>
    </w:p>
    <w:p w14:paraId="564A86A4" w14:textId="77777777" w:rsidR="006074A5" w:rsidRPr="0041053F" w:rsidRDefault="006074A5" w:rsidP="006074A5">
      <w:pPr>
        <w:pStyle w:val="a8"/>
        <w:bidi/>
        <w:rPr>
          <w:rFonts w:ascii="Narkisim" w:hAnsi="Narkisim"/>
        </w:rPr>
      </w:pPr>
      <w:r w:rsidRPr="0041053F">
        <w:rPr>
          <w:rFonts w:ascii="Narkisim" w:hAnsi="Narkisim"/>
          <w:rtl/>
        </w:rPr>
        <w:t>והרמב"ן הוסיף דהשתא קיימי לל"ב דלעיל דשמואל חילק בין מפטר נפשא לפטור צרה. [ונקט דלהך לישנא אף שמואל ס"ל דהיכא דשניהם פסולות בשווה חליצה פסולה אינה פוסלת].</w:t>
      </w:r>
    </w:p>
    <w:p w14:paraId="041C2CE1" w14:textId="77777777" w:rsidR="006074A5" w:rsidRPr="0041053F" w:rsidRDefault="006074A5" w:rsidP="006074A5">
      <w:pPr>
        <w:pStyle w:val="a7"/>
        <w:bidi/>
        <w:rPr>
          <w:rFonts w:ascii="Narkisim" w:hAnsi="Narkisim"/>
        </w:rPr>
      </w:pPr>
      <w:r w:rsidRPr="0041053F">
        <w:rPr>
          <w:rFonts w:ascii="Narkisim" w:hAnsi="Narkisim"/>
          <w:rtl/>
        </w:rPr>
        <w:t xml:space="preserve">אבל </w:t>
      </w:r>
      <w:r w:rsidRPr="0041053F">
        <w:rPr>
          <w:rFonts w:ascii="Narkisim" w:hAnsi="Narkisim"/>
          <w:b/>
          <w:bCs/>
          <w:rtl/>
        </w:rPr>
        <w:t>תוס</w:t>
      </w:r>
      <w:r w:rsidRPr="0041053F">
        <w:rPr>
          <w:rFonts w:ascii="Narkisim" w:hAnsi="Narkisim"/>
          <w:rtl/>
        </w:rPr>
        <w:t>' (ד"ה שמואל) העמיד דלמסקנא קאי למ"ד יש זיקה. [וכגון שחלץ לראשון קודם נפילת שניה. ור"י פי' שהתחיל בצרה, ואח"כ צריך חליצת חיזור באחות. ואפ"ה אינה אוסרת אחותה].</w:t>
      </w:r>
    </w:p>
    <w:p w14:paraId="47F26B69" w14:textId="77777777" w:rsidR="006074A5" w:rsidRPr="0041053F" w:rsidRDefault="006074A5" w:rsidP="006074A5">
      <w:pPr>
        <w:bidi/>
        <w:rPr>
          <w:rFonts w:ascii="Narkisim" w:hAnsi="Narkisim" w:cs="Narkisim"/>
        </w:rPr>
      </w:pPr>
      <w:r w:rsidRPr="0041053F">
        <w:rPr>
          <w:rFonts w:ascii="Narkisim" w:hAnsi="Narkisim" w:cs="Narkisim"/>
          <w:u w:val="single"/>
          <w:rtl/>
        </w:rPr>
        <w:t>תוד"ה שמואל.</w:t>
      </w:r>
      <w:r w:rsidRPr="0041053F">
        <w:rPr>
          <w:rFonts w:ascii="Narkisim" w:hAnsi="Narkisim" w:cs="Narkisim"/>
          <w:rtl/>
        </w:rPr>
        <w:t xml:space="preserve"> ואע"ג דחליצת הצרה הויא חליצה פסולה וכו' מ"מ חשיב חליצת רחל כשירה, כיון דלא נשתייר אלא זיקה מועטת, וכעין שפירש ה"ר אברהם וכו'. </w:t>
      </w:r>
      <w:r w:rsidRPr="0041053F">
        <w:rPr>
          <w:rFonts w:ascii="Narkisim" w:hAnsi="Narkisim" w:cs="Narkisim"/>
          <w:szCs w:val="20"/>
          <w:rtl/>
        </w:rPr>
        <w:t>(בתוס' כו: ד"ה דנפול)</w:t>
      </w:r>
      <w:r w:rsidRPr="0041053F">
        <w:rPr>
          <w:rFonts w:ascii="Narkisim" w:hAnsi="Narkisim" w:cs="Narkisim"/>
          <w:rtl/>
        </w:rPr>
        <w:t>. וכ,כ ה</w:t>
      </w:r>
      <w:r w:rsidRPr="0041053F">
        <w:rPr>
          <w:rFonts w:ascii="Narkisim" w:hAnsi="Narkisim" w:cs="Narkisim"/>
          <w:b/>
          <w:bCs/>
          <w:rtl/>
        </w:rPr>
        <w:t>תוס' מהר"ם והר"פ</w:t>
      </w:r>
      <w:r w:rsidRPr="0041053F">
        <w:rPr>
          <w:rFonts w:ascii="Narkisim" w:hAnsi="Narkisim" w:cs="Narkisim"/>
          <w:rtl/>
        </w:rPr>
        <w:t xml:space="preserve"> דלדברי הר"א ניחא דלא גזרו אחות חלוצתו היכא דהוה ע"י חיזור. וכת' ועוד פי' </w:t>
      </w:r>
      <w:r w:rsidRPr="0041053F">
        <w:rPr>
          <w:rFonts w:ascii="Narkisim" w:hAnsi="Narkisim" w:cs="Narkisim"/>
          <w:b/>
          <w:bCs/>
          <w:rtl/>
        </w:rPr>
        <w:t>ר"י</w:t>
      </w:r>
      <w:r w:rsidRPr="0041053F">
        <w:rPr>
          <w:rFonts w:ascii="Narkisim" w:hAnsi="Narkisim" w:cs="Narkisim"/>
          <w:rtl/>
        </w:rPr>
        <w:t xml:space="preserve"> דאפי' אי נימא דגזרו על אחות חלוצתו ע"י חיזור [וכמסקנת התוס' לעיל], אבל הכא חלץ לרחל קודם שעשה חליצת חיזור ללאה</w:t>
      </w:r>
      <w:r w:rsidRPr="0041053F">
        <w:rPr>
          <w:rStyle w:val="ac"/>
          <w:rFonts w:ascii="Narkisim" w:hAnsi="Narkisim" w:cs="Narkisim"/>
          <w:rtl/>
        </w:rPr>
        <w:footnoteReference w:id="1612"/>
      </w:r>
      <w:r w:rsidRPr="0041053F">
        <w:rPr>
          <w:rFonts w:ascii="Narkisim" w:hAnsi="Narkisim" w:cs="Narkisim"/>
          <w:rtl/>
        </w:rPr>
        <w:t xml:space="preserve">. </w:t>
      </w:r>
      <w:r w:rsidRPr="0041053F">
        <w:rPr>
          <w:rFonts w:ascii="Narkisim" w:hAnsi="Narkisim" w:cs="Narkisim"/>
          <w:szCs w:val="20"/>
          <w:rtl/>
        </w:rPr>
        <w:t>[ומשום זיקה מועטת דזקוקה לחיזור אינו נאסר בקרובותיה</w:t>
      </w:r>
      <w:r w:rsidRPr="0041053F">
        <w:rPr>
          <w:rStyle w:val="ac"/>
          <w:rFonts w:ascii="Narkisim" w:hAnsi="Narkisim" w:cs="Narkisim"/>
          <w:szCs w:val="20"/>
          <w:rtl/>
        </w:rPr>
        <w:footnoteReference w:id="1613"/>
      </w:r>
      <w:r w:rsidRPr="0041053F">
        <w:rPr>
          <w:rFonts w:ascii="Narkisim" w:hAnsi="Narkisim" w:cs="Narkisim"/>
          <w:szCs w:val="20"/>
          <w:rtl/>
        </w:rPr>
        <w:t>].</w:t>
      </w:r>
    </w:p>
    <w:p w14:paraId="3A0F7369"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תוס' הרא"ש</w:t>
      </w:r>
      <w:r w:rsidRPr="0041053F">
        <w:rPr>
          <w:rFonts w:ascii="Narkisim" w:hAnsi="Narkisim"/>
          <w:rtl/>
        </w:rPr>
        <w:t xml:space="preserve"> הביא דלעיל סתר לדברי הר"א מבורגוייל, ומ"מ הוה איסור קל, ונחשב חליצה פחות גרועה. </w:t>
      </w:r>
      <w:r w:rsidRPr="0041053F">
        <w:rPr>
          <w:rFonts w:ascii="Narkisim" w:hAnsi="Narkisim"/>
          <w:sz w:val="20"/>
          <w:szCs w:val="20"/>
          <w:rtl/>
        </w:rPr>
        <w:t>[וע"ע בית מאיר (קסב ג) וחזו"א דדנו בכוונת התוס'].</w:t>
      </w:r>
    </w:p>
    <w:p w14:paraId="7DCB5BEE" w14:textId="77777777" w:rsidR="006074A5" w:rsidRPr="0041053F" w:rsidRDefault="006074A5" w:rsidP="006074A5">
      <w:pPr>
        <w:bidi/>
        <w:rPr>
          <w:rFonts w:ascii="Narkisim" w:hAnsi="Narkisim" w:cs="Narkisim"/>
        </w:rPr>
      </w:pPr>
      <w:r w:rsidRPr="0041053F">
        <w:rPr>
          <w:rFonts w:ascii="Narkisim" w:hAnsi="Narkisim" w:cs="Narkisim"/>
          <w:u w:val="single"/>
          <w:rtl/>
        </w:rPr>
        <w:t>בא"ד ואע"ג דקודם חליצה כבר נאסרה</w:t>
      </w:r>
      <w:r w:rsidRPr="0041053F">
        <w:rPr>
          <w:rStyle w:val="ac"/>
          <w:rFonts w:ascii="Narkisim" w:hAnsi="Narkisim" w:cs="Narkisim"/>
          <w:u w:val="single"/>
          <w:rtl/>
        </w:rPr>
        <w:footnoteReference w:id="1614"/>
      </w:r>
      <w:r w:rsidRPr="0041053F">
        <w:rPr>
          <w:rFonts w:ascii="Narkisim" w:hAnsi="Narkisim" w:cs="Narkisim"/>
          <w:u w:val="single"/>
          <w:rtl/>
        </w:rPr>
        <w:t xml:space="preserve"> וכו' מ"מ הוי חליצת רחל חליצה כשירה וכו'.</w:t>
      </w:r>
      <w:r w:rsidRPr="0041053F">
        <w:rPr>
          <w:rFonts w:ascii="Narkisim" w:hAnsi="Narkisim" w:cs="Narkisim"/>
          <w:rtl/>
        </w:rPr>
        <w:t xml:space="preserve"> ואיסור יבום משום דין 'נאסרה' לא נחשב חליצה פסולה. [דליכא סיבת האוסר]. וה</w:t>
      </w:r>
      <w:r w:rsidRPr="0041053F">
        <w:rPr>
          <w:rFonts w:ascii="Narkisim" w:hAnsi="Narkisim" w:cs="Narkisim"/>
          <w:b/>
          <w:bCs/>
          <w:rtl/>
        </w:rPr>
        <w:t>אחרונים</w:t>
      </w:r>
      <w:r w:rsidRPr="0041053F">
        <w:rPr>
          <w:rFonts w:ascii="Narkisim" w:hAnsi="Narkisim" w:cs="Narkisim"/>
          <w:rtl/>
        </w:rPr>
        <w:t xml:space="preserve"> נתקשו דגדר נאסרה שאין כאן נפילה ליבום, ואף הכא באיסור דרבנן הוה מעין איסור אשת אח,  אמאי לא הוה חליצה פסולה. </w:t>
      </w:r>
      <w:r w:rsidRPr="0041053F">
        <w:rPr>
          <w:rFonts w:ascii="Narkisim" w:hAnsi="Narkisim" w:cs="Narkisim"/>
          <w:szCs w:val="20"/>
          <w:rtl/>
        </w:rPr>
        <w:t>ומבואר בתוס' דנחשב דאין כאן קלישות בזיקה, וצ"ב</w:t>
      </w:r>
      <w:r w:rsidRPr="0041053F">
        <w:rPr>
          <w:rFonts w:ascii="Narkisim" w:hAnsi="Narkisim" w:cs="Narkisim"/>
          <w:rtl/>
        </w:rPr>
        <w:t>. וב</w:t>
      </w:r>
      <w:r w:rsidRPr="0041053F">
        <w:rPr>
          <w:rFonts w:ascii="Narkisim" w:hAnsi="Narkisim" w:cs="Narkisim"/>
          <w:b/>
          <w:bCs/>
          <w:rtl/>
        </w:rPr>
        <w:t>חי' ר' שמעון</w:t>
      </w:r>
      <w:r w:rsidRPr="0041053F">
        <w:rPr>
          <w:rFonts w:ascii="Narkisim" w:hAnsi="Narkisim" w:cs="Narkisim"/>
          <w:rtl/>
        </w:rPr>
        <w:t xml:space="preserve"> (כז) כת' דדברי התוס' קאי רק בהותרה ונאסרה, כיון דכבר הותר בשעת נפילה. ואיירי דוקא כשאחיו חלץ לנופלת שניה</w:t>
      </w:r>
      <w:r w:rsidRPr="0041053F">
        <w:rPr>
          <w:rStyle w:val="ac"/>
          <w:rFonts w:ascii="Narkisim" w:hAnsi="Narkisim" w:cs="Narkisim"/>
          <w:rtl/>
        </w:rPr>
        <w:footnoteReference w:id="1615"/>
      </w:r>
      <w:r w:rsidRPr="0041053F">
        <w:rPr>
          <w:rFonts w:ascii="Narkisim" w:hAnsi="Narkisim" w:cs="Narkisim"/>
          <w:rtl/>
        </w:rPr>
        <w:t>.</w:t>
      </w:r>
    </w:p>
    <w:p w14:paraId="7D92C307"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(קו' זיקה טז) כת' לפרש [בדעת הרמב"ם] דסוגיא דידן ס"ל דע"י שחלץ לצרת לאה, הזיקה שעל לאה פקע למפרע. ולא אמרי' נאסרה. ודעת שמואל דלא אמרי' נאסרה כשנעקר למפרע. ופליג אסוגיא דלקמן בע"ב. וה</w:t>
      </w:r>
      <w:r w:rsidRPr="0041053F">
        <w:rPr>
          <w:rFonts w:ascii="Narkisim" w:hAnsi="Narkisim"/>
          <w:b/>
          <w:bCs/>
          <w:rtl/>
        </w:rPr>
        <w:t>חזו"א</w:t>
      </w:r>
      <w:r w:rsidRPr="0041053F">
        <w:rPr>
          <w:rFonts w:ascii="Narkisim" w:hAnsi="Narkisim"/>
          <w:rtl/>
        </w:rPr>
        <w:t xml:space="preserve"> האריך לחלוק על דבריו.</w:t>
      </w:r>
    </w:p>
    <w:p w14:paraId="0250D045" w14:textId="77777777" w:rsidR="006074A5" w:rsidRPr="0041053F" w:rsidRDefault="006074A5" w:rsidP="006074A5">
      <w:pPr>
        <w:bidi/>
        <w:rPr>
          <w:rFonts w:ascii="Narkisim" w:hAnsi="Narkisim" w:cs="Narkisim"/>
        </w:rPr>
      </w:pPr>
      <w:r w:rsidRPr="0041053F">
        <w:rPr>
          <w:rFonts w:ascii="Narkisim" w:hAnsi="Narkisim" w:cs="Narkisim"/>
          <w:u w:val="single"/>
          <w:rtl/>
        </w:rPr>
        <w:t>רב אשי אמר וכו' דלא אלימא זיקה לשויי לצרה כערוה.</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w:t>
      </w:r>
      <w:r w:rsidRPr="0041053F">
        <w:rPr>
          <w:rFonts w:ascii="Narkisim" w:hAnsi="Narkisim" w:cs="Narkisim"/>
          <w:sz w:val="20"/>
          <w:szCs w:val="20"/>
          <w:rtl/>
        </w:rPr>
        <w:t>(סוד"ה לעולם)</w:t>
      </w:r>
      <w:r w:rsidRPr="0041053F">
        <w:rPr>
          <w:rFonts w:ascii="Narkisim" w:hAnsi="Narkisim" w:cs="Narkisim"/>
          <w:rtl/>
        </w:rPr>
        <w:t xml:space="preserve"> ולא גזרו חכמים אלא באחות זקוקה. וה</w:t>
      </w:r>
      <w:r w:rsidRPr="0041053F">
        <w:rPr>
          <w:rFonts w:ascii="Narkisim" w:hAnsi="Narkisim" w:cs="Narkisim"/>
          <w:b/>
          <w:bCs/>
          <w:rtl/>
        </w:rPr>
        <w:t>רשב"א</w:t>
      </w:r>
      <w:r w:rsidRPr="0041053F">
        <w:rPr>
          <w:rFonts w:ascii="Narkisim" w:hAnsi="Narkisim" w:cs="Narkisim"/>
          <w:rtl/>
        </w:rPr>
        <w:t xml:space="preserve"> דייק מדבריו דלא גזרו חכמים [כלל], ומותרת להתייבם. וכן </w:t>
      </w:r>
      <w:r w:rsidRPr="0041053F">
        <w:rPr>
          <w:rFonts w:ascii="Narkisim" w:hAnsi="Narkisim" w:cs="Narkisim"/>
          <w:b/>
          <w:bCs/>
          <w:rtl/>
        </w:rPr>
        <w:t>תוס</w:t>
      </w:r>
      <w:r w:rsidRPr="0041053F">
        <w:rPr>
          <w:rFonts w:ascii="Narkisim" w:hAnsi="Narkisim" w:cs="Narkisim"/>
          <w:rtl/>
        </w:rPr>
        <w:t>'</w:t>
      </w:r>
      <w:r w:rsidRPr="0041053F">
        <w:rPr>
          <w:rFonts w:ascii="Narkisim" w:hAnsi="Narkisim" w:cs="Narkisim"/>
          <w:sz w:val="20"/>
          <w:szCs w:val="20"/>
          <w:rtl/>
        </w:rPr>
        <w:t xml:space="preserve"> (ד"ה מאי) </w:t>
      </w:r>
      <w:r w:rsidRPr="0041053F">
        <w:rPr>
          <w:rFonts w:ascii="Narkisim" w:hAnsi="Narkisim" w:cs="Narkisim"/>
          <w:rtl/>
        </w:rPr>
        <w:t>כת' דהוה חליצה כשירה לגמרי. וה</w:t>
      </w:r>
      <w:r w:rsidRPr="0041053F">
        <w:rPr>
          <w:rFonts w:ascii="Narkisim" w:hAnsi="Narkisim" w:cs="Narkisim"/>
          <w:b/>
          <w:bCs/>
          <w:rtl/>
        </w:rPr>
        <w:t>לח"מ</w:t>
      </w:r>
      <w:r w:rsidRPr="0041053F">
        <w:rPr>
          <w:rFonts w:ascii="Narkisim" w:hAnsi="Narkisim" w:cs="Narkisim"/>
          <w:rtl/>
        </w:rPr>
        <w:t xml:space="preserve"> (ה יב) הביא מדברי התוס' דצרת אחות זקוקה מותרת לייבם. ונקט דכ"ד ה</w:t>
      </w:r>
      <w:r w:rsidRPr="0041053F">
        <w:rPr>
          <w:rFonts w:ascii="Narkisim" w:hAnsi="Narkisim" w:cs="Narkisim"/>
          <w:b/>
          <w:bCs/>
          <w:rtl/>
        </w:rPr>
        <w:t>רמב"ם</w:t>
      </w:r>
      <w:r w:rsidRPr="0041053F">
        <w:rPr>
          <w:rFonts w:ascii="Narkisim" w:hAnsi="Narkisim" w:cs="Narkisim"/>
          <w:rtl/>
        </w:rPr>
        <w:t>.</w:t>
      </w:r>
    </w:p>
    <w:p w14:paraId="715289C1"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רמב"ן</w:t>
      </w:r>
      <w:r w:rsidRPr="0041053F">
        <w:rPr>
          <w:rFonts w:ascii="Narkisim" w:hAnsi="Narkisim"/>
          <w:rtl/>
        </w:rPr>
        <w:t xml:space="preserve"> [ושא"ר] כת' דאע"פ דאסור לייבם, מ"מ קל איסורן משל אחיות. ואף חליצתן מעולות משל אחיות</w:t>
      </w:r>
      <w:r w:rsidRPr="0041053F">
        <w:rPr>
          <w:rStyle w:val="ac"/>
          <w:rFonts w:ascii="Narkisim" w:hAnsi="Narkisim"/>
          <w:rtl/>
        </w:rPr>
        <w:footnoteReference w:id="1616"/>
      </w:r>
      <w:r w:rsidRPr="0041053F">
        <w:rPr>
          <w:rFonts w:ascii="Narkisim" w:hAnsi="Narkisim"/>
          <w:rtl/>
        </w:rPr>
        <w:t>. וה</w:t>
      </w:r>
      <w:r w:rsidRPr="0041053F">
        <w:rPr>
          <w:rFonts w:ascii="Narkisim" w:hAnsi="Narkisim"/>
          <w:b/>
          <w:bCs/>
          <w:rtl/>
        </w:rPr>
        <w:t>ריטב"א</w:t>
      </w:r>
      <w:r w:rsidRPr="0041053F">
        <w:rPr>
          <w:rFonts w:ascii="Narkisim" w:hAnsi="Narkisim"/>
          <w:rtl/>
        </w:rPr>
        <w:t xml:space="preserve"> כת' די"ל כן אף בלשון רש"י.</w:t>
      </w:r>
    </w:p>
    <w:p w14:paraId="067BB525" w14:textId="77777777" w:rsidR="006074A5" w:rsidRPr="0041053F" w:rsidRDefault="006074A5" w:rsidP="006074A5">
      <w:pPr>
        <w:pStyle w:val="a7"/>
        <w:bidi/>
        <w:rPr>
          <w:rFonts w:ascii="Narkisim" w:hAnsi="Narkisim"/>
        </w:rPr>
      </w:pPr>
      <w:r w:rsidRPr="0041053F">
        <w:rPr>
          <w:rFonts w:ascii="Narkisim" w:hAnsi="Narkisim"/>
          <w:rtl/>
        </w:rPr>
        <w:t>ובחי' ה</w:t>
      </w:r>
      <w:r w:rsidRPr="0041053F">
        <w:rPr>
          <w:rFonts w:ascii="Narkisim" w:hAnsi="Narkisim"/>
          <w:b/>
          <w:bCs/>
          <w:rtl/>
        </w:rPr>
        <w:t xml:space="preserve">רשב"א </w:t>
      </w:r>
      <w:r w:rsidRPr="0041053F">
        <w:rPr>
          <w:rFonts w:ascii="Narkisim" w:hAnsi="Narkisim"/>
          <w:rtl/>
        </w:rPr>
        <w:t xml:space="preserve">הו' הג"ה שכת' דאף כוונת רש"י כן, והביא שכ"כ </w:t>
      </w:r>
      <w:r w:rsidRPr="0041053F">
        <w:rPr>
          <w:rFonts w:ascii="Narkisim" w:hAnsi="Narkisim"/>
          <w:b/>
          <w:bCs/>
          <w:rtl/>
        </w:rPr>
        <w:t>רש"י</w:t>
      </w:r>
      <w:r w:rsidRPr="0041053F">
        <w:rPr>
          <w:rFonts w:ascii="Narkisim" w:hAnsi="Narkisim"/>
          <w:rtl/>
        </w:rPr>
        <w:t xml:space="preserve"> </w:t>
      </w:r>
      <w:r w:rsidRPr="0041053F">
        <w:rPr>
          <w:rFonts w:ascii="Narkisim" w:hAnsi="Narkisim"/>
          <w:sz w:val="20"/>
          <w:szCs w:val="20"/>
          <w:rtl/>
        </w:rPr>
        <w:t>(בתחילת העמ' ד"ה חלץ)</w:t>
      </w:r>
      <w:r w:rsidRPr="0041053F">
        <w:rPr>
          <w:rStyle w:val="ac"/>
          <w:rFonts w:ascii="Narkisim" w:hAnsi="Narkisim"/>
          <w:sz w:val="20"/>
          <w:szCs w:val="20"/>
          <w:rtl/>
        </w:rPr>
        <w:footnoteReference w:id="1617"/>
      </w:r>
      <w:r w:rsidRPr="0041053F">
        <w:rPr>
          <w:rFonts w:ascii="Narkisim" w:hAnsi="Narkisim"/>
          <w:sz w:val="20"/>
          <w:szCs w:val="20"/>
          <w:rtl/>
        </w:rPr>
        <w:t>.</w:t>
      </w:r>
    </w:p>
    <w:p w14:paraId="52E0F294" w14:textId="77777777" w:rsidR="006074A5" w:rsidRPr="0041053F" w:rsidRDefault="006074A5" w:rsidP="006074A5">
      <w:pPr>
        <w:bidi/>
        <w:rPr>
          <w:rFonts w:ascii="Narkisim" w:hAnsi="Narkisim" w:cs="Narkisim"/>
        </w:rPr>
      </w:pPr>
      <w:r w:rsidRPr="0041053F">
        <w:rPr>
          <w:rFonts w:ascii="Narkisim" w:hAnsi="Narkisim" w:cs="Narkisim"/>
          <w:u w:val="single"/>
          <w:rtl/>
        </w:rPr>
        <w:t>שם. לא אלימא.</w:t>
      </w:r>
      <w:r w:rsidRPr="0041053F">
        <w:rPr>
          <w:rFonts w:ascii="Narkisim" w:hAnsi="Narkisim" w:cs="Narkisim"/>
          <w:rtl/>
        </w:rPr>
        <w:t xml:space="preserve"> ה</w:t>
      </w:r>
      <w:r w:rsidRPr="0041053F">
        <w:rPr>
          <w:rFonts w:ascii="Narkisim" w:hAnsi="Narkisim" w:cs="Narkisim"/>
          <w:b/>
          <w:bCs/>
          <w:rtl/>
        </w:rPr>
        <w:t>ריטב"א</w:t>
      </w:r>
      <w:r w:rsidRPr="0041053F">
        <w:rPr>
          <w:rFonts w:ascii="Narkisim" w:hAnsi="Narkisim" w:cs="Narkisim"/>
          <w:rtl/>
        </w:rPr>
        <w:t xml:space="preserve"> כתב דכך גזרו בהם, דהם אמרו והם אמרו, ושבקוה דלענין חליצה </w:t>
      </w:r>
      <w:r w:rsidRPr="0041053F">
        <w:rPr>
          <w:rFonts w:ascii="Narkisim" w:hAnsi="Narkisim" w:cs="Narkisim"/>
          <w:rtl/>
        </w:rPr>
        <w:lastRenderedPageBreak/>
        <w:t>נחשב מעולה</w:t>
      </w:r>
      <w:r w:rsidRPr="0041053F">
        <w:rPr>
          <w:rStyle w:val="ac"/>
          <w:rFonts w:ascii="Narkisim" w:hAnsi="Narkisim" w:cs="Narkisim"/>
          <w:rtl/>
        </w:rPr>
        <w:footnoteReference w:id="1618"/>
      </w:r>
      <w:r w:rsidRPr="0041053F">
        <w:rPr>
          <w:rFonts w:ascii="Narkisim" w:hAnsi="Narkisim" w:cs="Narkisim"/>
          <w:rtl/>
        </w:rPr>
        <w:t>. אבל ב</w:t>
      </w:r>
      <w:r w:rsidRPr="0041053F">
        <w:rPr>
          <w:rFonts w:ascii="Narkisim" w:hAnsi="Narkisim" w:cs="Narkisim"/>
          <w:b/>
          <w:bCs/>
          <w:rtl/>
        </w:rPr>
        <w:t>שו"ת הרשב"א</w:t>
      </w:r>
      <w:r w:rsidRPr="0041053F">
        <w:rPr>
          <w:rFonts w:ascii="Narkisim" w:hAnsi="Narkisim" w:cs="Narkisim"/>
          <w:rtl/>
        </w:rPr>
        <w:t xml:space="preserve"> (ד צו) כתב סברת 'לא אלימא' אף לענין מחזיר גרושתו, ולכן מהני חליצת הצרה לפוטרה. </w:t>
      </w:r>
      <w:r w:rsidRPr="0041053F">
        <w:rPr>
          <w:rFonts w:ascii="Narkisim" w:hAnsi="Narkisim" w:cs="Narkisim"/>
          <w:sz w:val="20"/>
          <w:szCs w:val="20"/>
          <w:rtl/>
        </w:rPr>
        <w:t>[וכ"פ ה</w:t>
      </w:r>
      <w:r w:rsidRPr="0041053F">
        <w:rPr>
          <w:rFonts w:ascii="Narkisim" w:hAnsi="Narkisim" w:cs="Narkisim"/>
          <w:b/>
          <w:bCs/>
          <w:sz w:val="20"/>
          <w:szCs w:val="20"/>
          <w:rtl/>
        </w:rPr>
        <w:t>בי"ש</w:t>
      </w:r>
      <w:r w:rsidRPr="0041053F">
        <w:rPr>
          <w:rFonts w:ascii="Narkisim" w:hAnsi="Narkisim" w:cs="Narkisim"/>
          <w:sz w:val="20"/>
          <w:szCs w:val="20"/>
          <w:rtl/>
        </w:rPr>
        <w:t xml:space="preserve"> (קעג יב) גבי צרת סוטה, וה</w:t>
      </w:r>
      <w:r w:rsidRPr="0041053F">
        <w:rPr>
          <w:rFonts w:ascii="Narkisim" w:hAnsi="Narkisim" w:cs="Narkisim"/>
          <w:b/>
          <w:bCs/>
          <w:sz w:val="20"/>
          <w:szCs w:val="20"/>
          <w:rtl/>
        </w:rPr>
        <w:t xml:space="preserve">חזו"א </w:t>
      </w:r>
      <w:r w:rsidRPr="0041053F">
        <w:rPr>
          <w:rFonts w:ascii="Narkisim" w:hAnsi="Narkisim" w:cs="Narkisim"/>
          <w:sz w:val="20"/>
          <w:szCs w:val="20"/>
          <w:rtl/>
        </w:rPr>
        <w:t>(קכז ד) הקשה עליו].</w:t>
      </w:r>
    </w:p>
    <w:p w14:paraId="1AC70311" w14:textId="77777777" w:rsidR="006074A5" w:rsidRPr="0041053F" w:rsidRDefault="006074A5" w:rsidP="006074A5">
      <w:pPr>
        <w:pStyle w:val="aa"/>
        <w:bidi/>
        <w:rPr>
          <w:rFonts w:ascii="Narkisim" w:hAnsi="Narkisim"/>
        </w:rPr>
      </w:pPr>
      <w:r w:rsidRPr="0041053F">
        <w:rPr>
          <w:rFonts w:ascii="Narkisim" w:hAnsi="Narkisim"/>
          <w:u w:val="single"/>
          <w:rtl/>
        </w:rPr>
        <w:t>הא מני בית שמאי היא, דתנן בי"ש מתירין 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ואפי' צרת אחות אשה שרי, וכ"ש צרת אחות זקוקה. ה</w:t>
      </w:r>
      <w:r w:rsidRPr="0041053F">
        <w:rPr>
          <w:rFonts w:ascii="Narkisim" w:hAnsi="Narkisim"/>
          <w:b/>
          <w:bCs/>
          <w:rtl/>
        </w:rPr>
        <w:t>אחרונים</w:t>
      </w:r>
      <w:r w:rsidRPr="0041053F">
        <w:rPr>
          <w:rFonts w:ascii="Narkisim" w:hAnsi="Narkisim"/>
          <w:rtl/>
        </w:rPr>
        <w:t xml:space="preserve"> הק' דמבואר (לעיל יג:) דסברת בי"ש דאין איסור חל על איסור. א"כ ה"מ איסור דאורייתא, אבל באיסור ערוה דרבנן לעולם יהא פטור צרה</w:t>
      </w:r>
      <w:r w:rsidRPr="0041053F">
        <w:rPr>
          <w:rStyle w:val="ac"/>
          <w:rFonts w:ascii="Narkisim" w:hAnsi="Narkisim"/>
          <w:rtl/>
        </w:rPr>
        <w:footnoteReference w:id="1619"/>
      </w:r>
      <w:r w:rsidRPr="0041053F">
        <w:rPr>
          <w:rFonts w:ascii="Narkisim" w:hAnsi="Narkisim"/>
          <w:rtl/>
        </w:rPr>
        <w:t>. וי"ל דתקנו כעין ערוה דאורייתא.</w:t>
      </w:r>
    </w:p>
    <w:p w14:paraId="5FCD5AD9" w14:textId="77777777" w:rsidR="006074A5" w:rsidRPr="0041053F" w:rsidRDefault="006074A5" w:rsidP="006074A5">
      <w:pPr>
        <w:pStyle w:val="aa"/>
        <w:bidi/>
        <w:rPr>
          <w:rFonts w:ascii="Narkisim" w:hAnsi="Narkisim"/>
        </w:rPr>
      </w:pPr>
      <w:r w:rsidRPr="0041053F">
        <w:rPr>
          <w:rFonts w:ascii="Narkisim" w:hAnsi="Narkisim"/>
          <w:u w:val="single"/>
          <w:rtl/>
        </w:rPr>
        <w:t>שם.</w:t>
      </w:r>
      <w:r w:rsidRPr="0041053F">
        <w:rPr>
          <w:rFonts w:ascii="Narkisim" w:hAnsi="Narkisim"/>
          <w:rtl/>
        </w:rPr>
        <w:t xml:space="preserve"> ה</w:t>
      </w:r>
      <w:r w:rsidRPr="0041053F">
        <w:rPr>
          <w:rFonts w:ascii="Narkisim" w:hAnsi="Narkisim"/>
          <w:b/>
          <w:bCs/>
          <w:rtl/>
        </w:rPr>
        <w:t>חזו"א</w:t>
      </w:r>
      <w:r w:rsidRPr="0041053F">
        <w:rPr>
          <w:rFonts w:ascii="Narkisim" w:hAnsi="Narkisim"/>
          <w:rtl/>
        </w:rPr>
        <w:t xml:space="preserve"> הק' לדברי רש"י דאיסור צרת קרובת חלוצתו הוה איסור חדש, ולא מדין עריות, א"כ אמאי תליא בבי"ש.</w:t>
      </w:r>
    </w:p>
    <w:p w14:paraId="64230F18" w14:textId="77777777" w:rsidR="006074A5" w:rsidRPr="0041053F" w:rsidRDefault="006074A5" w:rsidP="006074A5">
      <w:pPr>
        <w:pStyle w:val="aa"/>
        <w:bidi/>
        <w:rPr>
          <w:rFonts w:ascii="Narkisim" w:hAnsi="Narkisim"/>
        </w:rPr>
      </w:pPr>
      <w:r w:rsidRPr="0041053F">
        <w:rPr>
          <w:rFonts w:ascii="Narkisim" w:hAnsi="Narkisim"/>
          <w:u w:val="single"/>
          <w:rtl/>
        </w:rPr>
        <w:t>א"ה יבומי נמי תתייבם</w:t>
      </w:r>
      <w:r w:rsidRPr="0041053F">
        <w:rPr>
          <w:rFonts w:ascii="Narkisim" w:hAnsi="Narkisim"/>
          <w:rtl/>
        </w:rPr>
        <w:t>. ה</w:t>
      </w:r>
      <w:r w:rsidRPr="0041053F">
        <w:rPr>
          <w:rFonts w:ascii="Narkisim" w:hAnsi="Narkisim"/>
          <w:b/>
          <w:bCs/>
          <w:rtl/>
        </w:rPr>
        <w:t>רשב"א</w:t>
      </w:r>
      <w:r w:rsidRPr="0041053F">
        <w:rPr>
          <w:rFonts w:ascii="Narkisim" w:hAnsi="Narkisim"/>
          <w:rtl/>
        </w:rPr>
        <w:t xml:space="preserve"> דייק דאי אמרת בשלמא כרב אשי אינה מתייבמת, דצרת אחות זקוקה אסורה, ואף דלא אלימא לשוייא כערוה. והוכיח מכאן דיש איסור [וכדעת הרמב"ן הנ"ל, והק' על דברי רש"י ותוס' הנ"ל].</w:t>
      </w:r>
    </w:p>
    <w:p w14:paraId="30070AE0" w14:textId="77777777" w:rsidR="006074A5" w:rsidRPr="0041053F" w:rsidRDefault="006074A5" w:rsidP="006074A5">
      <w:pPr>
        <w:bidi/>
        <w:rPr>
          <w:rFonts w:ascii="Narkisim" w:hAnsi="Narkisim" w:cs="Narkisim"/>
        </w:rPr>
      </w:pPr>
      <w:r w:rsidRPr="0041053F">
        <w:rPr>
          <w:rFonts w:ascii="Narkisim" w:hAnsi="Narkisim" w:cs="Narkisim"/>
          <w:i/>
          <w:iCs/>
          <w:sz w:val="21"/>
          <w:szCs w:val="21"/>
          <w:rtl/>
        </w:rPr>
        <w:t>למסקנא</w:t>
      </w:r>
      <w:r w:rsidRPr="0041053F">
        <w:rPr>
          <w:rFonts w:ascii="Narkisim" w:hAnsi="Narkisim" w:cs="Narkisim"/>
          <w:rtl/>
        </w:rPr>
        <w:t xml:space="preserve"> - ה</w:t>
      </w:r>
      <w:r w:rsidRPr="0041053F">
        <w:rPr>
          <w:rFonts w:ascii="Narkisim" w:hAnsi="Narkisim" w:cs="Narkisim"/>
          <w:b/>
          <w:bCs/>
          <w:rtl/>
        </w:rPr>
        <w:t>רי"ף</w:t>
      </w:r>
      <w:r w:rsidRPr="0041053F">
        <w:rPr>
          <w:rFonts w:ascii="Narkisim" w:hAnsi="Narkisim" w:cs="Narkisim"/>
          <w:rtl/>
        </w:rPr>
        <w:t xml:space="preserve"> הביא את הלישנא בתרא, דלשמואל חליצה גרועה מהני למיפטר נפשה</w:t>
      </w:r>
      <w:r w:rsidRPr="0041053F">
        <w:rPr>
          <w:rStyle w:val="ac"/>
          <w:rFonts w:ascii="Narkisim" w:hAnsi="Narkisim" w:cs="Narkisim"/>
          <w:rtl/>
        </w:rPr>
        <w:footnoteReference w:id="1620"/>
      </w:r>
      <w:r w:rsidRPr="0041053F">
        <w:rPr>
          <w:rFonts w:ascii="Narkisim" w:hAnsi="Narkisim" w:cs="Narkisim"/>
          <w:rtl/>
        </w:rPr>
        <w:t>. אבל למיפטר צרה בעינן חליצה מעליא. וה</w:t>
      </w:r>
      <w:r w:rsidRPr="0041053F">
        <w:rPr>
          <w:rFonts w:ascii="Narkisim" w:hAnsi="Narkisim" w:cs="Narkisim"/>
          <w:b/>
          <w:bCs/>
          <w:rtl/>
        </w:rPr>
        <w:t>ראשונים</w:t>
      </w:r>
      <w:r w:rsidRPr="0041053F">
        <w:rPr>
          <w:rFonts w:ascii="Narkisim" w:hAnsi="Narkisim" w:cs="Narkisim"/>
          <w:rtl/>
        </w:rPr>
        <w:t xml:space="preserve"> דייקו דדעת הרי"ף לפסוק כשמואל.</w:t>
      </w:r>
    </w:p>
    <w:p w14:paraId="1938F038"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ראב"ד</w:t>
      </w:r>
      <w:r w:rsidRPr="0041053F">
        <w:rPr>
          <w:rFonts w:ascii="Narkisim" w:hAnsi="Narkisim"/>
          <w:rtl/>
        </w:rPr>
        <w:t xml:space="preserve"> (לרי"ף, והו' ברא"ש) פסק כל"ק דשמואל דבאמצעית [דתרוייהו פסולים] סגי בחליצת הא'</w:t>
      </w:r>
      <w:r w:rsidRPr="0041053F">
        <w:rPr>
          <w:rStyle w:val="ac"/>
          <w:rFonts w:ascii="Narkisim" w:hAnsi="Narkisim"/>
          <w:rtl/>
        </w:rPr>
        <w:footnoteReference w:id="1621"/>
      </w:r>
      <w:r w:rsidRPr="0041053F">
        <w:rPr>
          <w:rFonts w:ascii="Narkisim" w:hAnsi="Narkisim"/>
          <w:rtl/>
        </w:rPr>
        <w:t>. אבל כל היכא דאפשר בכשר מהדרינן אכשר לכתחילה, ואפי' למיפטר נפשא</w:t>
      </w:r>
      <w:r w:rsidRPr="0041053F">
        <w:rPr>
          <w:rStyle w:val="ac"/>
          <w:rFonts w:ascii="Narkisim" w:hAnsi="Narkisim"/>
          <w:rtl/>
        </w:rPr>
        <w:footnoteReference w:id="1622"/>
      </w:r>
      <w:r w:rsidRPr="0041053F">
        <w:rPr>
          <w:rFonts w:ascii="Narkisim" w:hAnsi="Narkisim"/>
          <w:rtl/>
        </w:rPr>
        <w:t>. והרא"ש ביאר דרב אשי קאי כהך לישנא</w:t>
      </w:r>
      <w:r w:rsidRPr="0041053F">
        <w:rPr>
          <w:rStyle w:val="ac"/>
          <w:rFonts w:ascii="Narkisim" w:hAnsi="Narkisim"/>
          <w:rtl/>
        </w:rPr>
        <w:footnoteReference w:id="1623"/>
      </w:r>
      <w:r w:rsidRPr="0041053F">
        <w:rPr>
          <w:rFonts w:ascii="Narkisim" w:hAnsi="Narkisim"/>
          <w:rtl/>
        </w:rPr>
        <w:t>.</w:t>
      </w:r>
    </w:p>
    <w:p w14:paraId="38645AB4"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נמוק"י</w:t>
      </w:r>
      <w:r w:rsidRPr="0041053F">
        <w:rPr>
          <w:rFonts w:ascii="Narkisim" w:hAnsi="Narkisim"/>
          <w:rtl/>
        </w:rPr>
        <w:t xml:space="preserve"> כת' דקי"ל כשמואל, ואף דבעלמא קי"ל כרב באיסורא. הכא רב אליבא דנפשיה ס"ל אין זיקה ומותר. אלא דרב אמרה אליבא דשמואל, ושמואל גופיה מתיר</w:t>
      </w:r>
      <w:r w:rsidRPr="0041053F">
        <w:rPr>
          <w:rStyle w:val="ac"/>
          <w:rFonts w:ascii="Narkisim" w:hAnsi="Narkisim"/>
          <w:rtl/>
        </w:rPr>
        <w:footnoteReference w:id="1624"/>
      </w:r>
      <w:r w:rsidRPr="0041053F">
        <w:rPr>
          <w:rFonts w:ascii="Narkisim" w:hAnsi="Narkisim"/>
          <w:rtl/>
        </w:rPr>
        <w:t>.</w:t>
      </w:r>
    </w:p>
    <w:p w14:paraId="7CF8745E"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רמב"ן</w:t>
      </w:r>
      <w:r w:rsidRPr="0041053F">
        <w:rPr>
          <w:rFonts w:ascii="Narkisim" w:hAnsi="Narkisim"/>
          <w:rtl/>
        </w:rPr>
        <w:t xml:space="preserve"> וה</w:t>
      </w:r>
      <w:r w:rsidRPr="0041053F">
        <w:rPr>
          <w:rFonts w:ascii="Narkisim" w:hAnsi="Narkisim"/>
          <w:b/>
          <w:bCs/>
          <w:rtl/>
        </w:rPr>
        <w:t>רמ"ה</w:t>
      </w:r>
      <w:r w:rsidRPr="0041053F">
        <w:rPr>
          <w:rFonts w:ascii="Narkisim" w:hAnsi="Narkisim"/>
          <w:rtl/>
        </w:rPr>
        <w:t xml:space="preserve"> (הו' ברא"ש) פסקו כרב דהיכא דפסולים בשווה צריכה חיזור. </w:t>
      </w:r>
      <w:r w:rsidRPr="0041053F">
        <w:rPr>
          <w:rFonts w:ascii="Narkisim" w:hAnsi="Narkisim"/>
          <w:sz w:val="20"/>
          <w:szCs w:val="20"/>
          <w:rtl/>
        </w:rPr>
        <w:t>והרמב"ן כתב דאף דה</w:t>
      </w:r>
      <w:r w:rsidRPr="0041053F">
        <w:rPr>
          <w:rFonts w:ascii="Narkisim" w:hAnsi="Narkisim"/>
          <w:b/>
          <w:bCs/>
          <w:sz w:val="20"/>
          <w:szCs w:val="20"/>
          <w:rtl/>
        </w:rPr>
        <w:t>רי"ף</w:t>
      </w:r>
      <w:r w:rsidRPr="0041053F">
        <w:rPr>
          <w:rFonts w:ascii="Narkisim" w:hAnsi="Narkisim"/>
          <w:sz w:val="20"/>
          <w:szCs w:val="20"/>
          <w:rtl/>
        </w:rPr>
        <w:t xml:space="preserve"> פסק כשמואל בחליצה גרועה טפי. מ"מ פסק אף כרב דבחליצת שוות צריכה חיזור.</w:t>
      </w:r>
    </w:p>
    <w:p w14:paraId="62953734" w14:textId="77777777" w:rsidR="006074A5" w:rsidRPr="0041053F" w:rsidRDefault="006074A5" w:rsidP="006074A5">
      <w:pPr>
        <w:bidi/>
        <w:rPr>
          <w:rFonts w:ascii="Narkisim" w:hAnsi="Narkisim" w:cs="Narkisim"/>
        </w:rPr>
      </w:pPr>
      <w:r w:rsidRPr="0041053F">
        <w:rPr>
          <w:rFonts w:ascii="Narkisim" w:hAnsi="Narkisim" w:cs="Narkisim"/>
          <w:rtl/>
        </w:rPr>
        <w:t>ה</w:t>
      </w:r>
      <w:r w:rsidRPr="0041053F">
        <w:rPr>
          <w:rFonts w:ascii="Narkisim" w:hAnsi="Narkisim" w:cs="Narkisim"/>
          <w:b/>
          <w:bCs/>
          <w:rtl/>
        </w:rPr>
        <w:t>רמב"ם</w:t>
      </w:r>
      <w:r w:rsidRPr="0041053F">
        <w:rPr>
          <w:rFonts w:ascii="Narkisim" w:hAnsi="Narkisim" w:cs="Narkisim"/>
          <w:rtl/>
        </w:rPr>
        <w:t xml:space="preserve"> (ה יב) פסק דיבמה שנחלצה חליצה פחותה, הותרה לינשא. אבל צרתה אסורה עד שתחלוץ אף היא. או עד שיחלצו כל האחים לראשונה. שאין החליצה פחותה</w:t>
      </w:r>
      <w:r w:rsidRPr="0041053F">
        <w:rPr>
          <w:rStyle w:val="ac"/>
          <w:rFonts w:ascii="Narkisim" w:hAnsi="Narkisim" w:cs="Narkisim"/>
          <w:rtl/>
        </w:rPr>
        <w:footnoteReference w:id="1625"/>
      </w:r>
      <w:r w:rsidRPr="0041053F">
        <w:rPr>
          <w:rFonts w:ascii="Narkisim" w:hAnsi="Narkisim" w:cs="Narkisim"/>
          <w:rtl/>
        </w:rPr>
        <w:t xml:space="preserve"> מסלקת את זיקת היבום מהבית עד שתחזור על כל האחים. ומבואר דס"ל דמהני למיפטר נפשא [וכל"ב דשמואל</w:t>
      </w:r>
      <w:r w:rsidRPr="0041053F">
        <w:rPr>
          <w:rStyle w:val="ac"/>
          <w:rFonts w:ascii="Narkisim" w:hAnsi="Narkisim" w:cs="Narkisim"/>
          <w:rtl/>
        </w:rPr>
        <w:footnoteReference w:id="1626"/>
      </w:r>
      <w:r w:rsidRPr="0041053F">
        <w:rPr>
          <w:rFonts w:ascii="Narkisim" w:hAnsi="Narkisim" w:cs="Narkisim"/>
          <w:rtl/>
        </w:rPr>
        <w:t>]. אבל לפטור צרות צריך חיזור מהאחים.</w:t>
      </w:r>
    </w:p>
    <w:p w14:paraId="1173A5E0" w14:textId="77777777" w:rsidR="006074A5" w:rsidRPr="0041053F" w:rsidRDefault="006074A5" w:rsidP="006074A5">
      <w:pPr>
        <w:bidi/>
        <w:rPr>
          <w:rFonts w:ascii="Narkisim" w:hAnsi="Narkisim" w:cs="Narkisim"/>
        </w:rPr>
      </w:pPr>
      <w:r w:rsidRPr="0041053F">
        <w:rPr>
          <w:rFonts w:ascii="Narkisim" w:hAnsi="Narkisim" w:cs="Narkisim"/>
          <w:rtl/>
        </w:rPr>
        <w:t>ונתחדש ברמב"ם דאף דאשה זו מותרת לינשא, אפ"ה היכא דיבמה זו עושה חיזור וחולצת מהאחים, עי"ז מהני לפטור הצרות. וצ"ב</w:t>
      </w:r>
      <w:r w:rsidRPr="0041053F">
        <w:rPr>
          <w:rStyle w:val="ac"/>
          <w:rFonts w:ascii="Narkisim" w:hAnsi="Narkisim" w:cs="Narkisim"/>
          <w:rtl/>
        </w:rPr>
        <w:footnoteReference w:id="1627"/>
      </w:r>
      <w:r w:rsidRPr="0041053F">
        <w:rPr>
          <w:rFonts w:ascii="Narkisim" w:hAnsi="Narkisim" w:cs="Narkisim"/>
          <w:rtl/>
        </w:rPr>
        <w:t>.</w:t>
      </w:r>
    </w:p>
    <w:p w14:paraId="1CAF5001" w14:textId="77777777" w:rsidR="006074A5" w:rsidRPr="0041053F" w:rsidRDefault="006074A5" w:rsidP="006074A5">
      <w:pPr>
        <w:pStyle w:val="a8"/>
        <w:bidi/>
        <w:rPr>
          <w:rFonts w:ascii="Narkisim" w:hAnsi="Narkisim"/>
        </w:rPr>
      </w:pPr>
      <w:r w:rsidRPr="0041053F">
        <w:rPr>
          <w:rFonts w:ascii="Narkisim" w:hAnsi="Narkisim"/>
          <w:rtl/>
        </w:rPr>
        <w:t>וכ"כ ב</w:t>
      </w:r>
      <w:r w:rsidRPr="0041053F">
        <w:rPr>
          <w:rFonts w:ascii="Narkisim" w:hAnsi="Narkisim"/>
          <w:b/>
          <w:bCs/>
          <w:rtl/>
        </w:rPr>
        <w:t xml:space="preserve">פיה"מ לרמב"ם </w:t>
      </w:r>
      <w:r w:rsidRPr="0041053F">
        <w:rPr>
          <w:rFonts w:ascii="Narkisim" w:hAnsi="Narkisim"/>
          <w:rtl/>
        </w:rPr>
        <w:t>(ספ"ה) דצרתה לא הותרה לשוק עד שיחלצו כל האחים לזו שנחלצה חליצה פסולה, או תחלוץ זו הצרה וכו' וענין שלמותה כמו שזכר חליצה פסולה צריכה לחזור צריכה לחזור על כל האחים כולם ומיד הותרה צרתה לשוק.</w:t>
      </w:r>
    </w:p>
    <w:p w14:paraId="0C9CF0BC"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ברכ"ש</w:t>
      </w:r>
      <w:r w:rsidRPr="0041053F">
        <w:rPr>
          <w:rFonts w:ascii="Narkisim" w:hAnsi="Narkisim"/>
          <w:rtl/>
        </w:rPr>
        <w:t xml:space="preserve"> (יב) כת' דמבואר ברמב"ם דע"י שחוזרת על האחים, נעשה החליצה הראשונה למעולה לפטור צרתה. וחליצה שאר האחים הוה תנאי, וע"י נעשה החליצה הראשונה מעולה </w:t>
      </w:r>
      <w:r w:rsidRPr="0041053F">
        <w:rPr>
          <w:rFonts w:ascii="Narkisim" w:hAnsi="Narkisim"/>
          <w:i/>
          <w:iCs/>
          <w:rtl/>
        </w:rPr>
        <w:t>למפרע</w:t>
      </w:r>
      <w:r w:rsidRPr="0041053F">
        <w:rPr>
          <w:rStyle w:val="ac"/>
          <w:rFonts w:ascii="Narkisim" w:hAnsi="Narkisim"/>
          <w:rtl/>
        </w:rPr>
        <w:footnoteReference w:id="1628"/>
      </w:r>
      <w:r w:rsidRPr="0041053F">
        <w:rPr>
          <w:rFonts w:ascii="Narkisim" w:hAnsi="Narkisim"/>
          <w:rtl/>
        </w:rPr>
        <w:t>.</w:t>
      </w:r>
    </w:p>
    <w:p w14:paraId="7BCC22E0" w14:textId="77777777" w:rsidR="006074A5" w:rsidRPr="0041053F" w:rsidRDefault="006074A5" w:rsidP="006074A5">
      <w:pPr>
        <w:bidi/>
        <w:rPr>
          <w:rFonts w:ascii="Narkisim" w:hAnsi="Narkisim" w:cs="Narkisim"/>
        </w:rPr>
      </w:pPr>
      <w:r w:rsidRPr="0041053F">
        <w:rPr>
          <w:rFonts w:ascii="Narkisim" w:hAnsi="Narkisim" w:cs="Narkisim"/>
          <w:rtl/>
        </w:rPr>
        <w:lastRenderedPageBreak/>
        <w:t>ועוד הקשו על הרמב"ם דמבואר דאפי' ביבם א' ל"מ חליצה גרועה לפטור. וע"י חיזור על כל האחים לא עדיף מאח א'. וה</w:t>
      </w:r>
      <w:r w:rsidRPr="0041053F">
        <w:rPr>
          <w:rFonts w:ascii="Narkisim" w:hAnsi="Narkisim" w:cs="Narkisim"/>
          <w:b/>
          <w:bCs/>
          <w:rtl/>
        </w:rPr>
        <w:t>גר"א</w:t>
      </w:r>
      <w:r w:rsidRPr="0041053F">
        <w:rPr>
          <w:rFonts w:ascii="Narkisim" w:hAnsi="Narkisim" w:cs="Narkisim"/>
          <w:rtl/>
        </w:rPr>
        <w:t xml:space="preserve"> (קע מח) פי' בדעת הרמב"ם דחליצה גרועה אינה פוטרת הצרה, אפי' ע"י חיזור האחים. אבל בשוות ס"ל לרמב"ם דדברי שמואל קאי רק ביבם א', או בב' יבמין ע"י חיזור האחים.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הביאו מזה דהדין חליצה גרועה הוא דין בפנ"ע, ולא תליא בדין חליצה פסולה בשווה שצריך חיזור.</w:t>
      </w:r>
    </w:p>
    <w:p w14:paraId="6162EF9F" w14:textId="77777777" w:rsidR="006074A5" w:rsidRPr="0041053F" w:rsidRDefault="006074A5" w:rsidP="006074A5">
      <w:pPr>
        <w:pStyle w:val="3"/>
        <w:bidi/>
        <w:rPr>
          <w:rFonts w:ascii="Narkisim" w:hAnsi="Narkisim"/>
        </w:rPr>
      </w:pPr>
      <w:r w:rsidRPr="0041053F">
        <w:rPr>
          <w:rFonts w:ascii="Narkisim" w:hAnsi="Narkisim"/>
          <w:rtl/>
        </w:rPr>
        <w:t>דף כז:</w:t>
      </w:r>
    </w:p>
    <w:p w14:paraId="2B8F9788" w14:textId="77777777" w:rsidR="006074A5" w:rsidRPr="0041053F" w:rsidRDefault="006074A5" w:rsidP="006074A5">
      <w:pPr>
        <w:pStyle w:val="2"/>
        <w:bidi/>
        <w:rPr>
          <w:rFonts w:ascii="Narkisim" w:hAnsi="Narkisim"/>
        </w:rPr>
      </w:pPr>
      <w:r w:rsidRPr="0041053F">
        <w:rPr>
          <w:rFonts w:ascii="Narkisim" w:hAnsi="Narkisim"/>
          <w:rtl/>
        </w:rPr>
        <w:t>בעלת הגט ובעלת מאמר</w:t>
      </w:r>
    </w:p>
    <w:p w14:paraId="3EB4FE0B" w14:textId="77777777" w:rsidR="006074A5" w:rsidRPr="0041053F" w:rsidRDefault="006074A5" w:rsidP="006074A5">
      <w:pPr>
        <w:bidi/>
        <w:rPr>
          <w:rFonts w:ascii="Narkisim" w:hAnsi="Narkisim" w:cs="Narkisim"/>
        </w:rPr>
      </w:pPr>
      <w:r w:rsidRPr="0041053F">
        <w:rPr>
          <w:rFonts w:ascii="Narkisim" w:hAnsi="Narkisim" w:cs="Narkisim"/>
          <w:u w:val="single"/>
          <w:rtl/>
        </w:rPr>
        <w:t>איבע"ל בעלת הגט ובעלת מאמר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דכיון שנתן גט, עי"ז אסור לייבם אף לבעלת מאמר. משמע דכל הנידון משום דאף בעלת המאמר אסורה לייבם. אבל משום מאמר לחוד לא אמרי' דנגרע הזיקה. [דאדרבה קרובה ליבום</w:t>
      </w:r>
      <w:r w:rsidRPr="0041053F">
        <w:rPr>
          <w:rStyle w:val="ac"/>
          <w:rFonts w:ascii="Narkisim" w:hAnsi="Narkisim" w:cs="Narkisim"/>
          <w:rtl/>
        </w:rPr>
        <w:footnoteReference w:id="1629"/>
      </w:r>
      <w:r w:rsidRPr="0041053F">
        <w:rPr>
          <w:rFonts w:ascii="Narkisim" w:hAnsi="Narkisim" w:cs="Narkisim"/>
          <w:rtl/>
        </w:rPr>
        <w:t xml:space="preserve">]. אבל לדברי </w:t>
      </w:r>
      <w:r w:rsidRPr="0041053F">
        <w:rPr>
          <w:rFonts w:ascii="Narkisim" w:hAnsi="Narkisim" w:cs="Narkisim"/>
          <w:b/>
          <w:bCs/>
          <w:rtl/>
        </w:rPr>
        <w:t>תוס</w:t>
      </w:r>
      <w:r w:rsidRPr="0041053F">
        <w:rPr>
          <w:rFonts w:ascii="Narkisim" w:hAnsi="Narkisim" w:cs="Narkisim"/>
          <w:rtl/>
        </w:rPr>
        <w:t>' (כו: ד"ה וחליצה) משמע דכל בעלת מאמר, כיון דדמי לכנוסה, עי"ז נחלש הזיקה.</w:t>
      </w:r>
    </w:p>
    <w:p w14:paraId="4082CA55" w14:textId="77777777" w:rsidR="006074A5" w:rsidRPr="0041053F" w:rsidRDefault="006074A5" w:rsidP="006074A5">
      <w:pPr>
        <w:pStyle w:val="aa"/>
        <w:bidi/>
        <w:rPr>
          <w:rFonts w:ascii="Narkisim" w:hAnsi="Narkisim"/>
        </w:rPr>
      </w:pPr>
      <w:r w:rsidRPr="0041053F">
        <w:rPr>
          <w:rFonts w:ascii="Narkisim" w:hAnsi="Narkisim"/>
          <w:u w:val="single"/>
          <w:rtl/>
        </w:rPr>
        <w:t>תוד"ה בעלת.</w:t>
      </w:r>
      <w:r w:rsidRPr="0041053F">
        <w:rPr>
          <w:rFonts w:ascii="Narkisim" w:hAnsi="Narkisim"/>
          <w:rtl/>
        </w:rPr>
        <w:t xml:space="preserve"> פי' שנעשה בה מעשה עדיף. [והתו"י ביאר דלפ"ז כוונת הגמ' דבעלת הגט עדיפא ליפטר בחליצת חברתה]. וה</w:t>
      </w:r>
      <w:r w:rsidRPr="0041053F">
        <w:rPr>
          <w:rFonts w:ascii="Narkisim" w:hAnsi="Narkisim"/>
          <w:b/>
          <w:bCs/>
          <w:rtl/>
        </w:rPr>
        <w:t>תוס' הרא"ש</w:t>
      </w:r>
      <w:r w:rsidRPr="0041053F">
        <w:rPr>
          <w:rFonts w:ascii="Narkisim" w:hAnsi="Narkisim"/>
          <w:rtl/>
        </w:rPr>
        <w:t xml:space="preserve"> הוסיף דנפקע זיקתה</w:t>
      </w:r>
      <w:r w:rsidRPr="0041053F">
        <w:rPr>
          <w:rStyle w:val="ac"/>
          <w:rFonts w:ascii="Narkisim" w:hAnsi="Narkisim"/>
          <w:rtl/>
        </w:rPr>
        <w:footnoteReference w:id="1630"/>
      </w:r>
      <w:r w:rsidRPr="0041053F">
        <w:rPr>
          <w:rFonts w:ascii="Narkisim" w:hAnsi="Narkisim"/>
          <w:rtl/>
        </w:rPr>
        <w:t>, והוה חליצה פסולה יותר. או דילמא מאמר כיון דקרובה לביאה לא נשאר עוד זיקה, ולכך חליצתו פסולה יותר.</w:t>
      </w:r>
    </w:p>
    <w:p w14:paraId="7498ECA7" w14:textId="77777777" w:rsidR="006074A5" w:rsidRPr="0041053F" w:rsidRDefault="006074A5" w:rsidP="006074A5">
      <w:pPr>
        <w:bidi/>
        <w:rPr>
          <w:rFonts w:ascii="Narkisim" w:hAnsi="Narkisim" w:cs="Narkisim"/>
        </w:rPr>
      </w:pPr>
      <w:r w:rsidRPr="0041053F">
        <w:rPr>
          <w:rFonts w:ascii="Narkisim" w:hAnsi="Narkisim" w:cs="Narkisim"/>
          <w:u w:val="single"/>
          <w:rtl/>
        </w:rPr>
        <w:t>בא"ד אבל ריב"ן פי' עדיפא דאתחיל וכו'</w:t>
      </w:r>
      <w:r w:rsidRPr="0041053F">
        <w:rPr>
          <w:rFonts w:ascii="Narkisim" w:hAnsi="Narkisim" w:cs="Narkisim"/>
          <w:rtl/>
        </w:rPr>
        <w:t>. [וכן דייק ה</w:t>
      </w:r>
      <w:r w:rsidRPr="0041053F">
        <w:rPr>
          <w:rFonts w:ascii="Narkisim" w:hAnsi="Narkisim" w:cs="Narkisim"/>
          <w:b/>
          <w:bCs/>
          <w:rtl/>
        </w:rPr>
        <w:t>תו"י</w:t>
      </w:r>
      <w:r w:rsidRPr="0041053F">
        <w:rPr>
          <w:rFonts w:ascii="Narkisim" w:hAnsi="Narkisim" w:cs="Narkisim"/>
          <w:rtl/>
        </w:rPr>
        <w:t xml:space="preserve"> מדברי רש"י]. </w:t>
      </w:r>
      <w:r w:rsidRPr="0041053F">
        <w:rPr>
          <w:rFonts w:ascii="Narkisim" w:hAnsi="Narkisim" w:cs="Narkisim"/>
          <w:sz w:val="20"/>
          <w:szCs w:val="20"/>
          <w:rtl/>
        </w:rPr>
        <w:t>ותוס' בסו"ד כתבו דלפ"ז עדיפא הוא טעם יותר לעשות בה חליצה</w:t>
      </w:r>
      <w:r w:rsidRPr="0041053F">
        <w:rPr>
          <w:rStyle w:val="ac"/>
          <w:rFonts w:ascii="Narkisim" w:hAnsi="Narkisim" w:cs="Narkisim"/>
          <w:sz w:val="20"/>
          <w:szCs w:val="20"/>
          <w:rtl/>
        </w:rPr>
        <w:footnoteReference w:id="1631"/>
      </w:r>
      <w:r w:rsidRPr="0041053F">
        <w:rPr>
          <w:rFonts w:ascii="Narkisim" w:hAnsi="Narkisim" w:cs="Narkisim"/>
          <w:sz w:val="20"/>
          <w:szCs w:val="20"/>
          <w:rtl/>
        </w:rPr>
        <w:t>. ותוס' הקשה ע"ז דבגמ' בסמוך מבואר ד'עדיפא' הוא טעם שלא יהני אח"כ גט.</w:t>
      </w:r>
    </w:p>
    <w:p w14:paraId="29BBB157"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כתב דכוונת הגמ' דשניהם גרועות מב' חסרונות, דבעלת הגט הוה גריעותא בגוף החליצה, דאקליש קצת כיון דאתחיל בחליצה, ובעלת מאמר כח חליצתה קיים, ואדרבה נתחזק זיקתה טובא, וגריעותא דידה היינו משום דאינה פועלת בעצמה פעולה גמורה. ומספקא איזה עדיף לקדם</w:t>
      </w:r>
      <w:r w:rsidRPr="0041053F">
        <w:rPr>
          <w:rStyle w:val="ac"/>
          <w:rFonts w:ascii="Narkisim" w:hAnsi="Narkisim"/>
          <w:rtl/>
        </w:rPr>
        <w:footnoteReference w:id="1632"/>
      </w:r>
      <w:r w:rsidRPr="0041053F">
        <w:rPr>
          <w:rFonts w:ascii="Narkisim" w:hAnsi="Narkisim"/>
          <w:rtl/>
        </w:rPr>
        <w:t xml:space="preserve">. ופשיט כי הדדי שוינהו. </w:t>
      </w:r>
      <w:r w:rsidRPr="0041053F">
        <w:rPr>
          <w:rFonts w:ascii="Narkisim" w:hAnsi="Narkisim"/>
          <w:sz w:val="20"/>
          <w:szCs w:val="20"/>
          <w:rtl/>
        </w:rPr>
        <w:t>[וצ"ב היאך פשטו כן מדברי ר' גמליאל].</w:t>
      </w:r>
    </w:p>
    <w:p w14:paraId="208F1506" w14:textId="77777777" w:rsidR="006074A5" w:rsidRPr="0041053F" w:rsidRDefault="006074A5" w:rsidP="006074A5">
      <w:pPr>
        <w:bidi/>
        <w:rPr>
          <w:rFonts w:ascii="Narkisim" w:hAnsi="Narkisim" w:cs="Narkisim"/>
        </w:rPr>
      </w:pPr>
      <w:r w:rsidRPr="0041053F">
        <w:rPr>
          <w:rFonts w:ascii="Narkisim" w:hAnsi="Narkisim" w:cs="Narkisim"/>
          <w:u w:val="single"/>
          <w:rtl/>
        </w:rPr>
        <w:t>אי גט עדיף לא להני מאמר אבתריה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דלא אמרי' דגט במקום חליצה, ותו לא קני מאמר בצרה.</w:t>
      </w:r>
    </w:p>
    <w:p w14:paraId="2C26466C" w14:textId="77777777" w:rsidR="006074A5" w:rsidRPr="0041053F" w:rsidRDefault="006074A5" w:rsidP="006074A5">
      <w:pPr>
        <w:pStyle w:val="a7"/>
        <w:bidi/>
        <w:rPr>
          <w:rFonts w:ascii="Narkisim" w:hAnsi="Narkisim"/>
        </w:rPr>
      </w:pPr>
      <w:r w:rsidRPr="0041053F">
        <w:rPr>
          <w:rFonts w:ascii="Narkisim" w:hAnsi="Narkisim"/>
          <w:rtl/>
        </w:rPr>
        <w:t xml:space="preserve">אבל בגמ' (לקמן נא.) מבואר הא דמהני מאמר אחר גט לר"ג, דבחד צד מהני בה גט ובחד צד מהני בה מאמר. </w:t>
      </w:r>
      <w:r w:rsidRPr="0041053F">
        <w:rPr>
          <w:rFonts w:ascii="Narkisim" w:hAnsi="Narkisim"/>
          <w:sz w:val="20"/>
          <w:szCs w:val="20"/>
          <w:rtl/>
        </w:rPr>
        <w:t>[ומשמע דמהני זה אחר זה הוא משום שאין כאן סתירה, ולא משום דעדיפא]</w:t>
      </w:r>
      <w:r w:rsidRPr="0041053F">
        <w:rPr>
          <w:rFonts w:ascii="Narkisim" w:hAnsi="Narkisim"/>
          <w:rtl/>
        </w:rPr>
        <w:t>. וה</w:t>
      </w:r>
      <w:r w:rsidRPr="0041053F">
        <w:rPr>
          <w:rFonts w:ascii="Narkisim" w:hAnsi="Narkisim"/>
          <w:b/>
          <w:bCs/>
          <w:rtl/>
        </w:rPr>
        <w:t>אחרונים</w:t>
      </w:r>
      <w:r w:rsidRPr="0041053F">
        <w:rPr>
          <w:rFonts w:ascii="Narkisim" w:hAnsi="Narkisim"/>
          <w:rtl/>
        </w:rPr>
        <w:t xml:space="preserve"> הקשו א"כ היאך יש מזה ראיה דכי הדדי נינהו</w:t>
      </w:r>
      <w:r w:rsidRPr="0041053F">
        <w:rPr>
          <w:rStyle w:val="ac"/>
          <w:rFonts w:ascii="Narkisim" w:hAnsi="Narkisim"/>
          <w:rtl/>
        </w:rPr>
        <w:footnoteReference w:id="1633"/>
      </w:r>
      <w:r w:rsidRPr="0041053F">
        <w:rPr>
          <w:rFonts w:ascii="Narkisim" w:hAnsi="Narkisim"/>
          <w:rtl/>
        </w:rPr>
        <w:t>.</w:t>
      </w:r>
    </w:p>
    <w:p w14:paraId="53685C66" w14:textId="77777777" w:rsidR="006074A5" w:rsidRPr="0041053F" w:rsidRDefault="006074A5" w:rsidP="006074A5">
      <w:pPr>
        <w:pStyle w:val="aa"/>
        <w:bidi/>
        <w:rPr>
          <w:rFonts w:ascii="Narkisim" w:hAnsi="Narkisim"/>
        </w:rPr>
      </w:pPr>
      <w:r w:rsidRPr="0041053F">
        <w:rPr>
          <w:rFonts w:ascii="Narkisim" w:hAnsi="Narkisim"/>
          <w:u w:val="single"/>
          <w:rtl/>
        </w:rPr>
        <w:t>תוד"ה אי גט.</w:t>
      </w:r>
      <w:r w:rsidRPr="0041053F">
        <w:rPr>
          <w:rFonts w:ascii="Narkisim" w:hAnsi="Narkisim"/>
          <w:rtl/>
        </w:rPr>
        <w:t xml:space="preserve"> אבל ביבמה דלא הוי מאמר אלא מדרבנן, אין לו להועיל אחר הגט, אי גט עדיף וכו'. [וע"ד מש"כ </w:t>
      </w:r>
      <w:r w:rsidRPr="0041053F">
        <w:rPr>
          <w:rFonts w:ascii="Narkisim" w:hAnsi="Narkisim"/>
          <w:b/>
          <w:bCs/>
          <w:rtl/>
        </w:rPr>
        <w:t>רש"י</w:t>
      </w:r>
      <w:r w:rsidRPr="0041053F">
        <w:rPr>
          <w:rFonts w:ascii="Narkisim" w:hAnsi="Narkisim"/>
          <w:rtl/>
        </w:rPr>
        <w:t xml:space="preserve"> (לקמן נב.) דמדאורייתא לא מהני מאמר כלל, משום איסור אשת אח]. וע"ע </w:t>
      </w:r>
      <w:r w:rsidRPr="0041053F">
        <w:rPr>
          <w:rFonts w:ascii="Narkisim" w:hAnsi="Narkisim"/>
          <w:b/>
          <w:bCs/>
          <w:rtl/>
        </w:rPr>
        <w:t>תוס</w:t>
      </w:r>
      <w:r w:rsidRPr="0041053F">
        <w:rPr>
          <w:rFonts w:ascii="Narkisim" w:hAnsi="Narkisim"/>
          <w:rtl/>
        </w:rPr>
        <w:t>' (לקמן נ. ר"פ ר"ג) דדנו כעי"ז.</w:t>
      </w:r>
    </w:p>
    <w:p w14:paraId="65AD939D" w14:textId="77777777" w:rsidR="006074A5" w:rsidRPr="0041053F" w:rsidRDefault="006074A5" w:rsidP="006074A5">
      <w:pPr>
        <w:bidi/>
        <w:rPr>
          <w:rFonts w:ascii="Narkisim" w:hAnsi="Narkisim" w:cs="Narkisim"/>
        </w:rPr>
      </w:pPr>
      <w:r w:rsidRPr="0041053F">
        <w:rPr>
          <w:rFonts w:ascii="Narkisim" w:hAnsi="Narkisim" w:cs="Narkisim"/>
          <w:u w:val="single"/>
          <w:rtl/>
        </w:rPr>
        <w:t>אלא לאו ש"מ כי הדדי נינהו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שהא' פוטרת חברתה. וכיון דשתיהן חליצה גרועה חולץ לאיזה שירצה. ודוקא היכא דא' גרועה טפי ל"מ לאידך. ו</w:t>
      </w:r>
      <w:r w:rsidRPr="0041053F">
        <w:rPr>
          <w:rFonts w:ascii="Narkisim" w:hAnsi="Narkisim" w:cs="Narkisim"/>
          <w:b/>
          <w:bCs/>
          <w:rtl/>
        </w:rPr>
        <w:t>תוס'</w:t>
      </w:r>
      <w:r w:rsidRPr="0041053F">
        <w:rPr>
          <w:rFonts w:ascii="Narkisim" w:hAnsi="Narkisim" w:cs="Narkisim"/>
          <w:rtl/>
        </w:rPr>
        <w:t xml:space="preserve"> (ד"ה אלא) כת' דתלי בב' לשונות אליבא דשמואל (בע"א).</w:t>
      </w:r>
    </w:p>
    <w:p w14:paraId="4F04D0B7"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רא"ש</w:t>
      </w:r>
      <w:r w:rsidRPr="0041053F">
        <w:rPr>
          <w:rFonts w:ascii="Narkisim" w:hAnsi="Narkisim"/>
          <w:rtl/>
        </w:rPr>
        <w:t xml:space="preserve"> הביא בשם </w:t>
      </w:r>
      <w:r w:rsidRPr="0041053F">
        <w:rPr>
          <w:rFonts w:ascii="Narkisim" w:hAnsi="Narkisim"/>
          <w:b/>
          <w:bCs/>
          <w:rtl/>
        </w:rPr>
        <w:t xml:space="preserve">ריב"ם </w:t>
      </w:r>
      <w:r w:rsidRPr="0041053F">
        <w:rPr>
          <w:rFonts w:ascii="Narkisim" w:hAnsi="Narkisim"/>
          <w:rtl/>
        </w:rPr>
        <w:t xml:space="preserve">(וכן בתוס' הרא"ש, וכ"כ הרמב"ן) דאפי' היכא דליכא מעלייתא בעי חיזור, אלא כי הדדי ויעשה חליצה לשניהם. </w:t>
      </w:r>
      <w:r w:rsidRPr="0041053F">
        <w:rPr>
          <w:rFonts w:ascii="Narkisim" w:hAnsi="Narkisim"/>
          <w:sz w:val="20"/>
          <w:szCs w:val="20"/>
          <w:rtl/>
        </w:rPr>
        <w:t>אבל אילו א' מהן עדיפא, היה מהני החליצה [אף של הפסולה] לפטור הזיקה הקלושה. [וע"ד סברת הרמב"ן דאף כששניהם פסולות מהני הטובה].</w:t>
      </w:r>
    </w:p>
    <w:p w14:paraId="06C7DECA"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בי"ש</w:t>
      </w:r>
      <w:r w:rsidRPr="0041053F">
        <w:rPr>
          <w:rFonts w:ascii="Narkisim" w:hAnsi="Narkisim" w:cs="Narkisim"/>
          <w:rtl/>
        </w:rPr>
        <w:t xml:space="preserve"> (קע ב) כתב דלדעת </w:t>
      </w:r>
      <w:r w:rsidRPr="0041053F">
        <w:rPr>
          <w:rFonts w:ascii="Narkisim" w:hAnsi="Narkisim" w:cs="Narkisim"/>
          <w:b/>
          <w:bCs/>
          <w:rtl/>
        </w:rPr>
        <w:t>רש"י</w:t>
      </w:r>
      <w:r w:rsidRPr="0041053F">
        <w:rPr>
          <w:rFonts w:ascii="Narkisim" w:hAnsi="Narkisim" w:cs="Narkisim"/>
          <w:rtl/>
        </w:rPr>
        <w:t xml:space="preserve"> אף לרב מהני לפטור צרתה. כיון דתרוייהו פסולים, וכמ"ש ה</w:t>
      </w:r>
      <w:r w:rsidRPr="0041053F">
        <w:rPr>
          <w:rFonts w:ascii="Narkisim" w:hAnsi="Narkisim" w:cs="Narkisim"/>
          <w:b/>
          <w:bCs/>
          <w:rtl/>
        </w:rPr>
        <w:t>טור</w:t>
      </w:r>
      <w:r w:rsidRPr="0041053F">
        <w:rPr>
          <w:rFonts w:ascii="Narkisim" w:hAnsi="Narkisim" w:cs="Narkisim"/>
          <w:rtl/>
        </w:rPr>
        <w:t xml:space="preserve"> (קע יט) בשם </w:t>
      </w:r>
      <w:r w:rsidRPr="0041053F">
        <w:rPr>
          <w:rFonts w:ascii="Narkisim" w:hAnsi="Narkisim" w:cs="Narkisim"/>
          <w:b/>
          <w:bCs/>
          <w:rtl/>
        </w:rPr>
        <w:t>רש"י</w:t>
      </w:r>
      <w:r w:rsidRPr="0041053F">
        <w:rPr>
          <w:rStyle w:val="ac"/>
          <w:rFonts w:ascii="Narkisim" w:hAnsi="Narkisim" w:cs="Narkisim"/>
          <w:rtl/>
        </w:rPr>
        <w:footnoteReference w:id="1634"/>
      </w:r>
      <w:r w:rsidRPr="0041053F">
        <w:rPr>
          <w:rFonts w:ascii="Narkisim" w:hAnsi="Narkisim" w:cs="Narkisim"/>
          <w:rtl/>
        </w:rPr>
        <w:t xml:space="preserve"> דכל הדין חליצה פסולה בעי חיזור מהאחים, אבל פוטרת צרתה.</w:t>
      </w:r>
    </w:p>
    <w:p w14:paraId="3CBAAAD9"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גר"א</w:t>
      </w:r>
      <w:r w:rsidRPr="0041053F">
        <w:rPr>
          <w:rFonts w:ascii="Narkisim" w:hAnsi="Narkisim"/>
          <w:rtl/>
        </w:rPr>
        <w:t xml:space="preserve"> (קע יג) חלק דלכאורה אין חילוק, דכ"ש מב' יבמות דגריעה וכדאי' (בע"א) לשמואל </w:t>
      </w:r>
      <w:r w:rsidRPr="0041053F">
        <w:rPr>
          <w:rFonts w:ascii="Narkisim" w:hAnsi="Narkisim"/>
          <w:rtl/>
        </w:rPr>
        <w:lastRenderedPageBreak/>
        <w:t>דמיפטר נפשה פוטרת</w:t>
      </w:r>
      <w:r w:rsidRPr="0041053F">
        <w:rPr>
          <w:rStyle w:val="ac"/>
          <w:rFonts w:ascii="Narkisim" w:hAnsi="Narkisim"/>
          <w:rtl/>
        </w:rPr>
        <w:footnoteReference w:id="1635"/>
      </w:r>
      <w:r w:rsidRPr="0041053F">
        <w:rPr>
          <w:rFonts w:ascii="Narkisim" w:hAnsi="Narkisim"/>
          <w:rtl/>
        </w:rPr>
        <w:t>.</w:t>
      </w:r>
    </w:p>
    <w:p w14:paraId="60391AE6" w14:textId="77777777" w:rsidR="006074A5" w:rsidRPr="0041053F" w:rsidRDefault="006074A5" w:rsidP="006074A5">
      <w:pPr>
        <w:pStyle w:val="2"/>
        <w:bidi/>
        <w:rPr>
          <w:rFonts w:ascii="Narkisim" w:hAnsi="Narkisim"/>
        </w:rPr>
      </w:pPr>
      <w:r w:rsidRPr="0041053F">
        <w:rPr>
          <w:rFonts w:ascii="Narkisim" w:hAnsi="Narkisim"/>
          <w:rtl/>
        </w:rPr>
        <w:t>נאסרה דאחות זקוקה</w:t>
      </w:r>
    </w:p>
    <w:p w14:paraId="09C9E21E" w14:textId="77777777" w:rsidR="006074A5" w:rsidRPr="0041053F" w:rsidRDefault="006074A5" w:rsidP="006074A5">
      <w:pPr>
        <w:bidi/>
        <w:rPr>
          <w:rFonts w:ascii="Narkisim" w:hAnsi="Narkisim" w:cs="Narkisim"/>
        </w:rPr>
      </w:pPr>
      <w:r w:rsidRPr="0041053F">
        <w:rPr>
          <w:rFonts w:ascii="Narkisim" w:hAnsi="Narkisim" w:cs="Narkisim"/>
          <w:u w:val="single"/>
          <w:rtl/>
        </w:rPr>
        <w:t>אמר רב הונא אמר רב וכו' חלץ לראשונה הותרה</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פי' דאפי' צרתה הותרה. דלמ"ד אין זיקה אין חסרון חליצה פסולה</w:t>
      </w:r>
      <w:r w:rsidRPr="0041053F">
        <w:rPr>
          <w:rStyle w:val="ac"/>
          <w:rFonts w:ascii="Narkisim" w:hAnsi="Narkisim" w:cs="Narkisim"/>
          <w:rtl/>
        </w:rPr>
        <w:footnoteReference w:id="1636"/>
      </w:r>
      <w:r w:rsidRPr="0041053F">
        <w:rPr>
          <w:rFonts w:ascii="Narkisim" w:hAnsi="Narkisim" w:cs="Narkisim"/>
          <w:rtl/>
        </w:rPr>
        <w:t xml:space="preserve">. </w:t>
      </w:r>
      <w:r w:rsidRPr="0041053F">
        <w:rPr>
          <w:rFonts w:ascii="Narkisim" w:hAnsi="Narkisim" w:cs="Narkisim"/>
          <w:sz w:val="20"/>
          <w:szCs w:val="20"/>
          <w:rtl/>
        </w:rPr>
        <w:t>[ולפ"ז רב קאי לשיטתו דאין זיקה, וכ"פ ר"ח בתוד"ה אבל, ע"ע בסמוך</w:t>
      </w:r>
      <w:r w:rsidRPr="0041053F">
        <w:rPr>
          <w:rFonts w:ascii="Narkisim" w:hAnsi="Narkisim" w:cs="Narkisim"/>
          <w:rtl/>
        </w:rPr>
        <w:t>]. אבל ה</w:t>
      </w:r>
      <w:r w:rsidRPr="0041053F">
        <w:rPr>
          <w:rFonts w:ascii="Narkisim" w:hAnsi="Narkisim" w:cs="Narkisim"/>
          <w:b/>
          <w:bCs/>
          <w:rtl/>
        </w:rPr>
        <w:t>רמב"ן</w:t>
      </w:r>
      <w:r w:rsidRPr="0041053F">
        <w:rPr>
          <w:rFonts w:ascii="Narkisim" w:hAnsi="Narkisim" w:cs="Narkisim"/>
          <w:rtl/>
        </w:rPr>
        <w:t xml:space="preserve"> מביא גירסא 'הותרה אבל לא צרתה'. וביאר דקאי למ"ד יש זיקה, והוה חליצה פסולה וצריכה חיזור.</w:t>
      </w:r>
    </w:p>
    <w:p w14:paraId="20F45658" w14:textId="77777777" w:rsidR="006074A5" w:rsidRPr="0041053F" w:rsidRDefault="006074A5" w:rsidP="006074A5">
      <w:pPr>
        <w:pStyle w:val="aa"/>
        <w:bidi/>
        <w:rPr>
          <w:rFonts w:ascii="Narkisim" w:hAnsi="Narkisim"/>
        </w:rPr>
      </w:pPr>
      <w:r w:rsidRPr="0041053F">
        <w:rPr>
          <w:rFonts w:ascii="Narkisim" w:hAnsi="Narkisim"/>
          <w:u w:val="single"/>
          <w:rtl/>
        </w:rPr>
        <w:t>מתה ראשונה מותר בשניה וכו</w:t>
      </w:r>
      <w:r w:rsidRPr="0041053F">
        <w:rPr>
          <w:rFonts w:ascii="Narkisim" w:hAnsi="Narkisim"/>
          <w:rtl/>
        </w:rPr>
        <w:t>'. לכאורה הו"ל למימר חלץ לצרת ראשונה, הותר בשניה. [לדעת תוס' דאיירי למ"ד אין זיקה]. אבל לדברי הרמב"ן אף אי חלץ לצרה אינו פוטרתה, דחליצת הצרה הוה חליצה פסולה</w:t>
      </w:r>
      <w:r w:rsidRPr="0041053F">
        <w:rPr>
          <w:rStyle w:val="ac"/>
          <w:rFonts w:ascii="Narkisim" w:hAnsi="Narkisim"/>
          <w:rtl/>
        </w:rPr>
        <w:footnoteReference w:id="1637"/>
      </w:r>
      <w:r w:rsidRPr="0041053F">
        <w:rPr>
          <w:rFonts w:ascii="Narkisim" w:hAnsi="Narkisim"/>
          <w:rtl/>
        </w:rPr>
        <w:t>, ולדעת רב צריכה חיזור</w:t>
      </w:r>
      <w:r w:rsidRPr="0041053F">
        <w:rPr>
          <w:rStyle w:val="ac"/>
          <w:rFonts w:ascii="Narkisim" w:hAnsi="Narkisim"/>
          <w:rtl/>
        </w:rPr>
        <w:footnoteReference w:id="1638"/>
      </w:r>
      <w:r w:rsidRPr="0041053F">
        <w:rPr>
          <w:rFonts w:ascii="Narkisim" w:hAnsi="Narkisim"/>
          <w:rtl/>
        </w:rPr>
        <w:t xml:space="preserve"> [למ"ד יש זיקה].</w:t>
      </w:r>
    </w:p>
    <w:p w14:paraId="58A11F58" w14:textId="77777777" w:rsidR="006074A5" w:rsidRPr="0041053F" w:rsidRDefault="006074A5" w:rsidP="006074A5">
      <w:pPr>
        <w:bidi/>
        <w:rPr>
          <w:rFonts w:ascii="Narkisim" w:hAnsi="Narkisim" w:cs="Narkisim"/>
        </w:rPr>
      </w:pPr>
      <w:r w:rsidRPr="0041053F">
        <w:rPr>
          <w:rFonts w:ascii="Narkisim" w:hAnsi="Narkisim" w:cs="Narkisim"/>
          <w:u w:val="single"/>
          <w:rtl/>
        </w:rPr>
        <w:t>ור' יוחנן אמר מתה שניה מותר בראשונה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הואיל ובשעת נפילה היתה ראויה לו. [וכאין צריך לומר בדברי רב]. וה</w:t>
      </w:r>
      <w:r w:rsidRPr="0041053F">
        <w:rPr>
          <w:rFonts w:ascii="Narkisim" w:hAnsi="Narkisim" w:cs="Narkisim"/>
          <w:b/>
          <w:bCs/>
          <w:rtl/>
        </w:rPr>
        <w:t>רי"ף</w:t>
      </w:r>
      <w:r w:rsidRPr="0041053F">
        <w:rPr>
          <w:rFonts w:ascii="Narkisim" w:hAnsi="Narkisim" w:cs="Narkisim"/>
          <w:rtl/>
        </w:rPr>
        <w:t xml:space="preserve"> (לקמן מא. יג: בדה"ס) הביא דדעת ר' יוחנן כדעת ר' חנינא ורב (לקמן מא.) דאף בדאורייתא אמרי' הותרה ונאסרה תחזור להתירא. וה</w:t>
      </w:r>
      <w:r w:rsidRPr="0041053F">
        <w:rPr>
          <w:rFonts w:ascii="Narkisim" w:hAnsi="Narkisim" w:cs="Narkisim"/>
          <w:b/>
          <w:bCs/>
          <w:rtl/>
        </w:rPr>
        <w:t>רא"ש</w:t>
      </w:r>
      <w:r w:rsidRPr="0041053F">
        <w:rPr>
          <w:rFonts w:ascii="Narkisim" w:hAnsi="Narkisim" w:cs="Narkisim"/>
          <w:rtl/>
        </w:rPr>
        <w:t xml:space="preserve"> (ד כג) דחה די"ל דר' יוחנן קאי דוקא במקום זיקה דרבנן תחזור להיתירא.</w:t>
      </w:r>
    </w:p>
    <w:p w14:paraId="383C67B5" w14:textId="77777777" w:rsidR="006074A5" w:rsidRPr="0041053F" w:rsidRDefault="006074A5" w:rsidP="006074A5">
      <w:pPr>
        <w:pStyle w:val="aa"/>
        <w:bidi/>
        <w:rPr>
          <w:rFonts w:ascii="Narkisim" w:hAnsi="Narkisim"/>
        </w:rPr>
      </w:pPr>
      <w:r w:rsidRPr="0041053F">
        <w:rPr>
          <w:rFonts w:ascii="Narkisim" w:hAnsi="Narkisim"/>
          <w:rtl/>
        </w:rPr>
        <w:t>ובגמ' (לקמן מא.) נח' בזה [גבי אחות אשתו דאורייתא], דדעת רב ור' חנינא דהותרה ונאסרה וחזרה הותרה תחזור להיתירה. ואילו דעת שמואל ורב אסי דאף הותרה ונאסרה, אינה חוזרת וניתרת. וכ"ד ר' אליעזר (בברייתא מא., והובא בסמוך כח.).</w:t>
      </w:r>
    </w:p>
    <w:p w14:paraId="00636473"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העמידו דשורש הנידון בגדר נאסרה, האם הוה מגדרי הנפילה ליבום, או בגדרי היתר האשת אח.</w:t>
      </w:r>
    </w:p>
    <w:p w14:paraId="00112D27" w14:textId="77777777" w:rsidR="006074A5" w:rsidRPr="0041053F" w:rsidRDefault="006074A5" w:rsidP="006074A5">
      <w:pPr>
        <w:pStyle w:val="a8"/>
        <w:bidi/>
        <w:rPr>
          <w:rFonts w:ascii="Narkisim" w:hAnsi="Narkisim"/>
        </w:rPr>
      </w:pPr>
      <w:r w:rsidRPr="0041053F">
        <w:rPr>
          <w:rFonts w:ascii="Narkisim" w:hAnsi="Narkisim"/>
          <w:rtl/>
        </w:rPr>
        <w:t>ולדעת שמואל לכאורה אסורה משום 'שם אשת אח'. ומבואר דאף דהותר איסור אשת אח בשעת נפילה, חוזר לאיסור ע"י שנעשית ערוה, ושוב לא חל היתר. וה</w:t>
      </w:r>
      <w:r w:rsidRPr="0041053F">
        <w:rPr>
          <w:rFonts w:ascii="Narkisim" w:hAnsi="Narkisim"/>
          <w:b/>
          <w:bCs/>
          <w:rtl/>
        </w:rPr>
        <w:t>רשב"א</w:t>
      </w:r>
      <w:r w:rsidRPr="0041053F">
        <w:rPr>
          <w:rFonts w:ascii="Narkisim" w:hAnsi="Narkisim"/>
          <w:rtl/>
        </w:rPr>
        <w:t xml:space="preserve"> (לקמן מא.) נקט בדעת רב ור' חנינא דאיסור אשת אח הותר בשעת נפילה, ושוב אינו חוזר לאיסור [אף לולי מצוות יבום]. ונח' בסברא זו. והאחרונים האריכו בזה. [וע"ע לקמן מא.].</w:t>
      </w:r>
    </w:p>
    <w:p w14:paraId="2DFDEC70" w14:textId="77777777" w:rsidR="006074A5" w:rsidRPr="0041053F" w:rsidRDefault="006074A5" w:rsidP="006074A5">
      <w:pPr>
        <w:pStyle w:val="aa"/>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xml:space="preserve"> (לעיל כד. ד"ה אי) כת' דהגמ' (כד.) קאי כמ"ד דאף הותרה ונאסרה אמרי' נאסרה. ועפ"ז אתי שפיר המשנה [דאחיות כו.], דאי אפשר לייבם לשניהם כיון דאמרי' נאסרה. ולא תחזור להיתירא. אבל ר' יוחנן ס"ל הותרה ונאסרה תחזור להיתירא, ומש"ה איצטריך למימר איני יודע מי שנאן.</w:t>
      </w:r>
    </w:p>
    <w:p w14:paraId="0164608B" w14:textId="77777777" w:rsidR="006074A5" w:rsidRPr="0041053F" w:rsidRDefault="006074A5" w:rsidP="006074A5">
      <w:pPr>
        <w:pStyle w:val="aa"/>
        <w:bidi/>
        <w:rPr>
          <w:rFonts w:ascii="Narkisim" w:hAnsi="Narkisim"/>
        </w:rPr>
      </w:pPr>
      <w:r w:rsidRPr="0041053F">
        <w:rPr>
          <w:rFonts w:ascii="Narkisim" w:hAnsi="Narkisim"/>
          <w:u w:val="single"/>
          <w:rtl/>
        </w:rPr>
        <w:t>אבל מתה ראשונה אסור בשניה, מ"ט שכל יבמה שאין אני קורא לה בשעת נפילה וכו'</w:t>
      </w:r>
      <w:r w:rsidRPr="0041053F">
        <w:rPr>
          <w:rFonts w:ascii="Narkisim" w:hAnsi="Narkisim"/>
          <w:rtl/>
        </w:rPr>
        <w:t>. ואף דצריכה חליצה אמרי' דנאסרה (ע' בסמוך). ובגמ' (בסמוך) מבואר דאף כשיש לו אח אמרי' דנאסרה. וכן משמע דאיירי אף היכא דיש לאחות צרה [ע' תוד"ה חלץ].</w:t>
      </w:r>
    </w:p>
    <w:p w14:paraId="02D855C5"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 דנימא דבידו לחלוץ לצרה, ועי"ז להתיר לזו. ומ"ש ממש"כ </w:t>
      </w:r>
      <w:r w:rsidRPr="0041053F">
        <w:rPr>
          <w:rFonts w:ascii="Narkisim" w:hAnsi="Narkisim"/>
          <w:b/>
          <w:bCs/>
          <w:rtl/>
        </w:rPr>
        <w:t>תוס</w:t>
      </w:r>
      <w:r w:rsidRPr="0041053F">
        <w:rPr>
          <w:rFonts w:ascii="Narkisim" w:hAnsi="Narkisim"/>
          <w:rtl/>
        </w:rPr>
        <w:t>' (טז.) דהיכא דבידו לגרשה לא אמרי' נאסרה</w:t>
      </w:r>
      <w:r w:rsidRPr="0041053F">
        <w:rPr>
          <w:rStyle w:val="ac"/>
          <w:rFonts w:ascii="Narkisim" w:hAnsi="Narkisim"/>
          <w:rtl/>
        </w:rPr>
        <w:footnoteReference w:id="1639"/>
      </w:r>
      <w:r w:rsidRPr="0041053F">
        <w:rPr>
          <w:rFonts w:ascii="Narkisim" w:hAnsi="Narkisim"/>
          <w:rtl/>
        </w:rPr>
        <w:t xml:space="preserve">. ויש </w:t>
      </w:r>
      <w:r w:rsidRPr="0041053F">
        <w:rPr>
          <w:rFonts w:ascii="Narkisim" w:hAnsi="Narkisim"/>
          <w:b/>
          <w:bCs/>
          <w:rtl/>
        </w:rPr>
        <w:t>אחרונים</w:t>
      </w:r>
      <w:r w:rsidRPr="0041053F">
        <w:rPr>
          <w:rFonts w:ascii="Narkisim" w:hAnsi="Narkisim"/>
          <w:rtl/>
        </w:rPr>
        <w:t xml:space="preserve"> (ע' מה שהו' לעיל שם) שחילקו דהתם איירי בהותרה ונאסרה [לשמואל דאוסר]. ולא מצאנו בסוגיין להדיא מאן דפליג בזה.</w:t>
      </w:r>
    </w:p>
    <w:p w14:paraId="405F0C8E" w14:textId="77777777" w:rsidR="006074A5" w:rsidRPr="0041053F" w:rsidRDefault="006074A5" w:rsidP="006074A5">
      <w:pPr>
        <w:pStyle w:val="aa"/>
        <w:bidi/>
        <w:rPr>
          <w:rFonts w:ascii="Narkisim" w:hAnsi="Narkisim"/>
        </w:rPr>
      </w:pPr>
      <w:r w:rsidRPr="0041053F">
        <w:rPr>
          <w:rFonts w:ascii="Narkisim" w:hAnsi="Narkisim"/>
          <w:u w:val="single"/>
          <w:rtl/>
        </w:rPr>
        <w:t>רש"י ד"ה חלץ לשניה.</w:t>
      </w:r>
      <w:r w:rsidRPr="0041053F">
        <w:rPr>
          <w:rFonts w:ascii="Narkisim" w:hAnsi="Narkisim"/>
          <w:rtl/>
        </w:rPr>
        <w:t xml:space="preserve"> וה"ה לראשונה ואח"כ לשניה. ה</w:t>
      </w:r>
      <w:r w:rsidRPr="0041053F">
        <w:rPr>
          <w:rFonts w:ascii="Narkisim" w:hAnsi="Narkisim"/>
          <w:b/>
          <w:bCs/>
          <w:rtl/>
        </w:rPr>
        <w:t>רש"ש</w:t>
      </w:r>
      <w:r w:rsidRPr="0041053F">
        <w:rPr>
          <w:rFonts w:ascii="Narkisim" w:hAnsi="Narkisim"/>
          <w:rtl/>
        </w:rPr>
        <w:t xml:space="preserve"> כת' דבדוקא יחלוץ לראשונה, דזיקת ראשונה אלים, דבשעת נפילתה היתה ראויה להתייבם</w:t>
      </w:r>
      <w:r w:rsidRPr="0041053F">
        <w:rPr>
          <w:rStyle w:val="ac"/>
          <w:rFonts w:ascii="Narkisim" w:hAnsi="Narkisim"/>
          <w:rtl/>
        </w:rPr>
        <w:footnoteReference w:id="1640"/>
      </w:r>
      <w:r w:rsidRPr="0041053F">
        <w:rPr>
          <w:rFonts w:ascii="Narkisim" w:hAnsi="Narkisim"/>
          <w:rtl/>
        </w:rPr>
        <w:t>. וא"כ לכתחילה יחלוץ לה קודם, שלא תהא אחות חלוצתו</w:t>
      </w:r>
      <w:r w:rsidRPr="0041053F">
        <w:rPr>
          <w:rStyle w:val="ac"/>
          <w:rFonts w:ascii="Narkisim" w:hAnsi="Narkisim"/>
          <w:rtl/>
        </w:rPr>
        <w:footnoteReference w:id="1641"/>
      </w:r>
      <w:r w:rsidRPr="0041053F">
        <w:rPr>
          <w:rFonts w:ascii="Narkisim" w:hAnsi="Narkisim"/>
          <w:rtl/>
        </w:rPr>
        <w:t>.</w:t>
      </w:r>
    </w:p>
    <w:p w14:paraId="19718C73" w14:textId="77777777" w:rsidR="006074A5" w:rsidRPr="0041053F" w:rsidRDefault="006074A5" w:rsidP="006074A5">
      <w:pPr>
        <w:bidi/>
        <w:rPr>
          <w:rFonts w:ascii="Narkisim" w:hAnsi="Narkisim" w:cs="Narkisim"/>
        </w:rPr>
      </w:pPr>
      <w:r w:rsidRPr="0041053F">
        <w:rPr>
          <w:rFonts w:ascii="Narkisim" w:hAnsi="Narkisim" w:cs="Narkisim"/>
          <w:u w:val="single"/>
          <w:rtl/>
        </w:rPr>
        <w:t>רש"י ד"ה מתה ראשונה.</w:t>
      </w:r>
      <w:r w:rsidRPr="0041053F">
        <w:rPr>
          <w:rFonts w:ascii="Narkisim" w:hAnsi="Narkisim" w:cs="Narkisim"/>
          <w:rtl/>
        </w:rPr>
        <w:t xml:space="preserve"> בלא חליצה. משמע דאם חלצה אסורה, וצ"ב דאחות חלוצתו מותרת לאחר מיתת החלוצה (כדתנן לקמן מא.), וכדין אחות אשתו. וצ"ל דהוה מטעם דנאסרה בשעת נפילה. </w:t>
      </w:r>
      <w:r w:rsidRPr="0041053F">
        <w:rPr>
          <w:rFonts w:ascii="Narkisim" w:hAnsi="Narkisim" w:cs="Narkisim"/>
          <w:sz w:val="20"/>
          <w:szCs w:val="20"/>
          <w:rtl/>
        </w:rPr>
        <w:t>(וכ"כ הערול"נ)</w:t>
      </w:r>
      <w:r w:rsidRPr="0041053F">
        <w:rPr>
          <w:rFonts w:ascii="Narkisim" w:hAnsi="Narkisim" w:cs="Narkisim"/>
          <w:rtl/>
        </w:rPr>
        <w:t>. ואפ"ה מבואר דאי מתה קודם חליצה פקע האיסור. ולא אמרי' דנאסרה משום אחות זקוקה. וצ"ב מ"ש אחות חלוצה מאחות זקוקה. [ע' בסמוך בשם הקובה"ע].</w:t>
      </w:r>
    </w:p>
    <w:p w14:paraId="3425CF60" w14:textId="77777777" w:rsidR="006074A5" w:rsidRPr="0041053F" w:rsidRDefault="006074A5" w:rsidP="006074A5">
      <w:pPr>
        <w:pStyle w:val="aa"/>
        <w:bidi/>
        <w:rPr>
          <w:rFonts w:ascii="Narkisim" w:hAnsi="Narkisim"/>
        </w:rPr>
      </w:pPr>
      <w:r w:rsidRPr="0041053F">
        <w:rPr>
          <w:rFonts w:ascii="Narkisim" w:hAnsi="Narkisim"/>
          <w:u w:val="single"/>
          <w:rtl/>
        </w:rPr>
        <w:t>בא"ד כי מתה קמייתא פקע זיקה ושריא הך וכו'</w:t>
      </w:r>
      <w:r w:rsidRPr="0041053F">
        <w:rPr>
          <w:rFonts w:ascii="Narkisim" w:hAnsi="Narkisim"/>
          <w:rtl/>
        </w:rPr>
        <w:t>. ה</w:t>
      </w:r>
      <w:r w:rsidRPr="0041053F">
        <w:rPr>
          <w:rFonts w:ascii="Narkisim" w:hAnsi="Narkisim"/>
          <w:b/>
          <w:bCs/>
          <w:rtl/>
        </w:rPr>
        <w:t>רש"ש</w:t>
      </w:r>
      <w:r w:rsidRPr="0041053F">
        <w:rPr>
          <w:rFonts w:ascii="Narkisim" w:hAnsi="Narkisim"/>
          <w:rtl/>
        </w:rPr>
        <w:t xml:space="preserve"> דן אי כוונת רש"י משום דוקא משום דהזיקה פקע </w:t>
      </w:r>
      <w:r w:rsidRPr="0041053F">
        <w:rPr>
          <w:rFonts w:ascii="Narkisim" w:hAnsi="Narkisim"/>
          <w:rtl/>
        </w:rPr>
        <w:lastRenderedPageBreak/>
        <w:t>(וכמ"ד לעיל יז:) דמיתה מפקעת זיקה [ודלא כדברי הגמ' שם דזיקה בכדי לא פקע</w:t>
      </w:r>
      <w:r w:rsidRPr="0041053F">
        <w:rPr>
          <w:rStyle w:val="ac"/>
          <w:rFonts w:ascii="Narkisim" w:hAnsi="Narkisim"/>
          <w:rtl/>
        </w:rPr>
        <w:footnoteReference w:id="1642"/>
      </w:r>
      <w:r w:rsidRPr="0041053F">
        <w:rPr>
          <w:rFonts w:ascii="Narkisim" w:hAnsi="Narkisim"/>
          <w:rtl/>
        </w:rPr>
        <w:t>]. אך בסוגיין איירי לענין אחות זקוקתו, דאחות אשתו מותרת לאחר מיתה. וצ"ל דכוונת רש"י דפקע ה'איסור' אחות זקוקה.</w:t>
      </w:r>
    </w:p>
    <w:p w14:paraId="2991672D" w14:textId="77777777" w:rsidR="006074A5" w:rsidRPr="0041053F" w:rsidRDefault="006074A5" w:rsidP="006074A5">
      <w:pPr>
        <w:pStyle w:val="aa"/>
        <w:bidi/>
        <w:rPr>
          <w:rFonts w:ascii="Narkisim" w:hAnsi="Narkisim"/>
        </w:rPr>
      </w:pPr>
      <w:r w:rsidRPr="0041053F">
        <w:rPr>
          <w:rFonts w:ascii="Narkisim" w:hAnsi="Narkisim"/>
          <w:u w:val="single"/>
          <w:rtl/>
        </w:rPr>
        <w:t>בא"ד ואיכא לאותובי ממתני' וכו' אמאי ליחלוץ לחדא וכו' ולא מתרץ</w:t>
      </w:r>
      <w:r w:rsidRPr="0041053F">
        <w:rPr>
          <w:rFonts w:ascii="Narkisim" w:hAnsi="Narkisim"/>
          <w:rtl/>
        </w:rPr>
        <w:t>. משמע ברש"י דאף לרב המשנה דלא כמאן. וע' תוס'.</w:t>
      </w:r>
    </w:p>
    <w:p w14:paraId="4A2FDFE5" w14:textId="77777777" w:rsidR="006074A5" w:rsidRPr="0041053F" w:rsidRDefault="006074A5" w:rsidP="006074A5">
      <w:pPr>
        <w:pStyle w:val="aa"/>
        <w:bidi/>
        <w:rPr>
          <w:rFonts w:ascii="Narkisim" w:hAnsi="Narkisim"/>
        </w:rPr>
      </w:pPr>
      <w:r w:rsidRPr="0041053F">
        <w:rPr>
          <w:rFonts w:ascii="Narkisim" w:hAnsi="Narkisim"/>
          <w:u w:val="single"/>
          <w:rtl/>
        </w:rPr>
        <w:t>רש"י ד"ה ואין צ"ל.</w:t>
      </w:r>
      <w:r w:rsidRPr="0041053F">
        <w:rPr>
          <w:rFonts w:ascii="Narkisim" w:hAnsi="Narkisim"/>
          <w:rtl/>
        </w:rPr>
        <w:t xml:space="preserve"> ולא חלצה. לכאו' כוונת רש"י דאי חלצה שנייה ואח"כ מתה, ראשונה אסורה [דהוה אחות חלוצתו]. וצ"ע דאחות חלוצתו מותרת לאחר מיתה (כדלקמן מא., הו' לעיל). והראשונה הוה הותרה ונאסרה, ורב ס"ל דחוזרת להיתירא.</w:t>
      </w:r>
    </w:p>
    <w:p w14:paraId="29AD3706" w14:textId="77777777" w:rsidR="006074A5" w:rsidRPr="0041053F" w:rsidRDefault="006074A5" w:rsidP="006074A5">
      <w:pPr>
        <w:bidi/>
        <w:rPr>
          <w:rFonts w:ascii="Narkisim" w:hAnsi="Narkisim" w:cs="Narkisim"/>
        </w:rPr>
      </w:pPr>
      <w:r w:rsidRPr="0041053F">
        <w:rPr>
          <w:rFonts w:ascii="Narkisim" w:hAnsi="Narkisim" w:cs="Narkisim"/>
          <w:u w:val="single"/>
          <w:rtl/>
        </w:rPr>
        <w:t>תוד"ה ורב.</w:t>
      </w:r>
      <w:r w:rsidRPr="0041053F">
        <w:rPr>
          <w:rFonts w:ascii="Narkisim" w:hAnsi="Narkisim" w:cs="Narkisim"/>
          <w:rtl/>
        </w:rPr>
        <w:t xml:space="preserve"> (סו"ד) דהתם דכבר נפטרה לשוק, אבל היכא דעדיין זקוקה לחליצה. ב</w:t>
      </w:r>
      <w:r w:rsidRPr="0041053F">
        <w:rPr>
          <w:rFonts w:ascii="Narkisim" w:hAnsi="Narkisim" w:cs="Narkisim"/>
          <w:b/>
          <w:bCs/>
          <w:rtl/>
        </w:rPr>
        <w:t>גהש"ס</w:t>
      </w:r>
      <w:r w:rsidRPr="0041053F">
        <w:rPr>
          <w:rFonts w:ascii="Narkisim" w:hAnsi="Narkisim" w:cs="Narkisim"/>
          <w:rtl/>
        </w:rPr>
        <w:t xml:space="preserve"> ציין לדברי ה</w:t>
      </w:r>
      <w:r w:rsidRPr="0041053F">
        <w:rPr>
          <w:rFonts w:ascii="Narkisim" w:hAnsi="Narkisim" w:cs="Narkisim"/>
          <w:b/>
          <w:bCs/>
          <w:rtl/>
        </w:rPr>
        <w:t>תוס'</w:t>
      </w:r>
      <w:r w:rsidRPr="0041053F">
        <w:rPr>
          <w:rFonts w:ascii="Narkisim" w:hAnsi="Narkisim" w:cs="Narkisim"/>
          <w:rtl/>
        </w:rPr>
        <w:t xml:space="preserve"> (לעיל ב. בתי' הב' ויז:) דנקטו ד'נאסרה' הוה מטעם דרכי נועם.</w:t>
      </w:r>
    </w:p>
    <w:p w14:paraId="7524AB0E" w14:textId="77777777" w:rsidR="006074A5" w:rsidRPr="0041053F" w:rsidRDefault="006074A5" w:rsidP="006074A5">
      <w:pPr>
        <w:pStyle w:val="a7"/>
        <w:bidi/>
        <w:rPr>
          <w:rFonts w:ascii="Narkisim" w:hAnsi="Narkisim"/>
        </w:rPr>
      </w:pPr>
      <w:r w:rsidRPr="0041053F">
        <w:rPr>
          <w:rFonts w:ascii="Narkisim" w:hAnsi="Narkisim"/>
          <w:rtl/>
        </w:rPr>
        <w:t>וב</w:t>
      </w:r>
      <w:r w:rsidRPr="0041053F">
        <w:rPr>
          <w:rFonts w:ascii="Narkisim" w:hAnsi="Narkisim"/>
          <w:b/>
          <w:bCs/>
          <w:rtl/>
        </w:rPr>
        <w:t>חי' הגר"נ</w:t>
      </w:r>
      <w:r w:rsidRPr="0041053F">
        <w:rPr>
          <w:rFonts w:ascii="Narkisim" w:hAnsi="Narkisim"/>
          <w:rtl/>
        </w:rPr>
        <w:t xml:space="preserve"> ביאר דכוונתו להקשות דבסוגיין לא שייך דרכי נועם, כיון דעדיין זקוקה לו לחליצה </w:t>
      </w:r>
      <w:r w:rsidRPr="0041053F">
        <w:rPr>
          <w:rFonts w:ascii="Narkisim" w:hAnsi="Narkisim"/>
          <w:sz w:val="20"/>
          <w:szCs w:val="20"/>
          <w:rtl/>
        </w:rPr>
        <w:t>[וכצריכותא דתוס'].</w:t>
      </w:r>
      <w:r w:rsidRPr="0041053F">
        <w:rPr>
          <w:rFonts w:ascii="Narkisim" w:hAnsi="Narkisim"/>
          <w:rtl/>
        </w:rPr>
        <w:t xml:space="preserve"> ומבואר דמ"מ כיון דנאסרה ונפטרה ממנו לענין שא"א לייבם, שוב אינה חוזרת</w:t>
      </w:r>
      <w:r w:rsidRPr="0041053F">
        <w:rPr>
          <w:rStyle w:val="ac"/>
          <w:rFonts w:ascii="Narkisim" w:hAnsi="Narkisim"/>
          <w:rtl/>
        </w:rPr>
        <w:footnoteReference w:id="1643"/>
      </w:r>
      <w:r w:rsidRPr="0041053F">
        <w:rPr>
          <w:rFonts w:ascii="Narkisim" w:hAnsi="Narkisim"/>
          <w:rtl/>
        </w:rPr>
        <w:t>.</w:t>
      </w:r>
    </w:p>
    <w:p w14:paraId="1AC33C0A"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האם נחשב שמדרבנן יש כאן פטור [אלא שזקוקה מדאורייתא], או אף מדרבנן הוה רק חסרון במצוות יבום, ועדיין זקוקה לחליצה [וכחייבי לאו ועשה]. ומ"מ נחשב שנפטרה מיבם זה להחשב חסרון בדרכי נועם.</w:t>
      </w:r>
    </w:p>
    <w:p w14:paraId="4EE2FA2A"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ועוד תי' ה</w:t>
      </w:r>
      <w:r w:rsidRPr="0041053F">
        <w:rPr>
          <w:rFonts w:ascii="Narkisim" w:hAnsi="Narkisim" w:cs="Narkisim"/>
          <w:b/>
          <w:bCs/>
          <w:rtl/>
        </w:rPr>
        <w:t>רמב"ן</w:t>
      </w:r>
      <w:r w:rsidRPr="0041053F">
        <w:rPr>
          <w:rFonts w:ascii="Narkisim" w:hAnsi="Narkisim" w:cs="Narkisim"/>
          <w:rtl/>
        </w:rPr>
        <w:t xml:space="preserve"> דאי ממתני' הו"א דוקא איסור אחות אשה, אבל רב אמר 'כל יבמה', וס"ד דאף זיקה דרבנן. וכעי"ז כת' ב</w:t>
      </w:r>
      <w:r w:rsidRPr="0041053F">
        <w:rPr>
          <w:rFonts w:ascii="Narkisim" w:hAnsi="Narkisim" w:cs="Narkisim"/>
          <w:b/>
          <w:bCs/>
          <w:rtl/>
        </w:rPr>
        <w:t>תוס' מהר"ם והר"פ</w:t>
      </w:r>
      <w:r w:rsidRPr="0041053F">
        <w:rPr>
          <w:rFonts w:ascii="Narkisim" w:hAnsi="Narkisim" w:cs="Narkisim"/>
          <w:rtl/>
        </w:rPr>
        <w:t xml:space="preserve"> דאיסורן קל.</w:t>
      </w:r>
    </w:p>
    <w:p w14:paraId="74A3EF60" w14:textId="77777777" w:rsidR="006074A5" w:rsidRPr="0041053F" w:rsidRDefault="006074A5" w:rsidP="006074A5">
      <w:pPr>
        <w:bidi/>
        <w:rPr>
          <w:rFonts w:ascii="Narkisim" w:hAnsi="Narkisim" w:cs="Narkisim"/>
        </w:rPr>
      </w:pPr>
      <w:r w:rsidRPr="0041053F">
        <w:rPr>
          <w:rFonts w:ascii="Narkisim" w:hAnsi="Narkisim" w:cs="Narkisim"/>
          <w:u w:val="single"/>
          <w:rtl/>
        </w:rPr>
        <w:t>ה"מ היכא דקאי באפה וכו' דאורייתא, אבל הכא זיקה דרבנן היא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וכיון דמתה שריא </w:t>
      </w:r>
      <w:r w:rsidRPr="0041053F">
        <w:rPr>
          <w:rFonts w:ascii="Narkisim" w:hAnsi="Narkisim" w:cs="Narkisim"/>
          <w:szCs w:val="20"/>
          <w:rtl/>
        </w:rPr>
        <w:t>[איסור אחות זקוקה]</w:t>
      </w:r>
      <w:r w:rsidRPr="0041053F">
        <w:rPr>
          <w:rFonts w:ascii="Narkisim" w:hAnsi="Narkisim" w:cs="Narkisim"/>
          <w:rtl/>
        </w:rPr>
        <w:t>. ולפ</w:t>
      </w:r>
      <w:r w:rsidRPr="0041053F">
        <w:rPr>
          <w:rFonts w:ascii="Narkisim" w:hAnsi="Narkisim" w:cs="Narkisim"/>
          <w:b/>
          <w:bCs/>
          <w:rtl/>
        </w:rPr>
        <w:t>ר"ח</w:t>
      </w:r>
      <w:r w:rsidRPr="0041053F">
        <w:rPr>
          <w:rFonts w:ascii="Narkisim" w:hAnsi="Narkisim" w:cs="Narkisim"/>
          <w:rtl/>
        </w:rPr>
        <w:t xml:space="preserve"> (בתוס') כוונת הגמ' משום איסור לבטל מצוות יבמין דרבנן</w:t>
      </w:r>
      <w:r w:rsidRPr="0041053F">
        <w:rPr>
          <w:rStyle w:val="ac"/>
          <w:rFonts w:ascii="Narkisim" w:hAnsi="Narkisim" w:cs="Narkisim"/>
          <w:rtl/>
        </w:rPr>
        <w:footnoteReference w:id="1644"/>
      </w:r>
      <w:r w:rsidRPr="0041053F">
        <w:rPr>
          <w:rFonts w:ascii="Narkisim" w:hAnsi="Narkisim" w:cs="Narkisim"/>
          <w:rtl/>
        </w:rPr>
        <w:t>.</w:t>
      </w:r>
    </w:p>
    <w:p w14:paraId="50233913" w14:textId="77777777" w:rsidR="006074A5" w:rsidRPr="0041053F" w:rsidRDefault="006074A5" w:rsidP="006074A5">
      <w:pPr>
        <w:pStyle w:val="a8"/>
        <w:bidi/>
        <w:rPr>
          <w:rFonts w:ascii="Narkisim" w:hAnsi="Narkisim"/>
        </w:rPr>
      </w:pPr>
      <w:r w:rsidRPr="0041053F">
        <w:rPr>
          <w:rFonts w:ascii="Narkisim" w:hAnsi="Narkisim"/>
          <w:rtl/>
        </w:rPr>
        <w:t>ולפ</w:t>
      </w:r>
      <w:r w:rsidRPr="0041053F">
        <w:rPr>
          <w:rFonts w:ascii="Narkisim" w:hAnsi="Narkisim"/>
          <w:b/>
          <w:bCs/>
          <w:rtl/>
        </w:rPr>
        <w:t>רש"י</w:t>
      </w:r>
      <w:r w:rsidRPr="0041053F">
        <w:rPr>
          <w:rFonts w:ascii="Narkisim" w:hAnsi="Narkisim"/>
          <w:rtl/>
        </w:rPr>
        <w:t xml:space="preserve"> איסור אחות זקוקה הותר ע"י מיתתה [וכנ"ל, ולא איכפ"ל דנאסרה בשעת נפילה]. ה</w:t>
      </w:r>
      <w:r w:rsidRPr="0041053F">
        <w:rPr>
          <w:rFonts w:ascii="Narkisim" w:hAnsi="Narkisim"/>
          <w:b/>
          <w:bCs/>
          <w:rtl/>
        </w:rPr>
        <w:t>אחרונים</w:t>
      </w:r>
      <w:r w:rsidRPr="0041053F">
        <w:rPr>
          <w:rFonts w:ascii="Narkisim" w:hAnsi="Narkisim"/>
          <w:rtl/>
        </w:rPr>
        <w:t xml:space="preserve"> העירו דלכאורה גדר 'נאסרה' הוה משום גדרי הנפילה ליבום, דכיון דאסורה בשעה ראשונה, לא חל היתר [או דליכא נפילה ליבום]. ולא שייכא לגדר איסור אחות אשה. ואילו רש"י כת' הטעם כלפי איסור אחות זקוקה דרבנן, דכיון דמתה שריא. [וכיון דהוה מדרבנן פקע איסור אחות זקוקה]. ומשמע מדבריו דאחות אשתו דאורייתא נחשב שעדיין אסורה עליו, מחמת 'שם אחות אשה'.</w:t>
      </w:r>
    </w:p>
    <w:p w14:paraId="725169D6" w14:textId="77777777" w:rsidR="006074A5" w:rsidRPr="0041053F" w:rsidRDefault="006074A5" w:rsidP="006074A5">
      <w:pPr>
        <w:bidi/>
        <w:rPr>
          <w:rFonts w:ascii="Narkisim" w:hAnsi="Narkisim" w:cs="Narkisim"/>
        </w:rPr>
      </w:pPr>
      <w:r w:rsidRPr="0041053F">
        <w:rPr>
          <w:rFonts w:ascii="Narkisim" w:hAnsi="Narkisim" w:cs="Narkisim"/>
          <w:u w:val="single"/>
          <w:rtl/>
        </w:rPr>
        <w:t>תוד"ה אבל.</w:t>
      </w:r>
      <w:r w:rsidRPr="0041053F">
        <w:rPr>
          <w:rFonts w:ascii="Narkisim" w:hAnsi="Narkisim" w:cs="Narkisim"/>
          <w:rtl/>
        </w:rPr>
        <w:t xml:space="preserve"> פר"ח דרב לטעמיה (לעיל יז:) דאמר אין זיקה</w:t>
      </w:r>
      <w:r w:rsidRPr="0041053F">
        <w:rPr>
          <w:rStyle w:val="ac"/>
          <w:rFonts w:ascii="Narkisim" w:hAnsi="Narkisim" w:cs="Narkisim"/>
          <w:rtl/>
        </w:rPr>
        <w:footnoteReference w:id="1645"/>
      </w:r>
      <w:r w:rsidRPr="0041053F">
        <w:rPr>
          <w:rFonts w:ascii="Narkisim" w:hAnsi="Narkisim" w:cs="Narkisim"/>
          <w:rtl/>
        </w:rPr>
        <w:t xml:space="preserve"> וכו' אבל למ"ד יש זיקה ראוי לאסור משום שנאסרה וכו'. וה</w:t>
      </w:r>
      <w:r w:rsidRPr="0041053F">
        <w:rPr>
          <w:rFonts w:ascii="Narkisim" w:hAnsi="Narkisim" w:cs="Narkisim"/>
          <w:b/>
          <w:bCs/>
          <w:rtl/>
        </w:rPr>
        <w:t>רמב"ן</w:t>
      </w:r>
      <w:r w:rsidRPr="0041053F">
        <w:rPr>
          <w:rFonts w:ascii="Narkisim" w:hAnsi="Narkisim" w:cs="Narkisim"/>
          <w:rtl/>
        </w:rPr>
        <w:t xml:space="preserve"> ו</w:t>
      </w:r>
      <w:r w:rsidRPr="0041053F">
        <w:rPr>
          <w:rFonts w:ascii="Narkisim" w:hAnsi="Narkisim" w:cs="Narkisim"/>
          <w:b/>
          <w:bCs/>
          <w:rtl/>
        </w:rPr>
        <w:t>רשב"א</w:t>
      </w:r>
      <w:r w:rsidRPr="0041053F">
        <w:rPr>
          <w:rFonts w:ascii="Narkisim" w:hAnsi="Narkisim" w:cs="Narkisim"/>
          <w:rtl/>
        </w:rPr>
        <w:t xml:space="preserve"> כת' דמשמע מדברי ר"ח דלמ"ד 'יש זיקה' הוה מדאורייתא. ומש"ה אמרי' נאסרה. וה</w:t>
      </w:r>
      <w:r w:rsidRPr="0041053F">
        <w:rPr>
          <w:rFonts w:ascii="Narkisim" w:hAnsi="Narkisim" w:cs="Narkisim"/>
          <w:b/>
          <w:bCs/>
          <w:rtl/>
        </w:rPr>
        <w:t>רמב"ן</w:t>
      </w:r>
      <w:r w:rsidRPr="0041053F">
        <w:rPr>
          <w:rFonts w:ascii="Narkisim" w:hAnsi="Narkisim" w:cs="Narkisim"/>
          <w:rtl/>
        </w:rPr>
        <w:t xml:space="preserve"> ו</w:t>
      </w:r>
      <w:r w:rsidRPr="0041053F">
        <w:rPr>
          <w:rFonts w:ascii="Narkisim" w:hAnsi="Narkisim" w:cs="Narkisim"/>
          <w:b/>
          <w:bCs/>
          <w:rtl/>
        </w:rPr>
        <w:t>רשב"א</w:t>
      </w:r>
      <w:r w:rsidRPr="0041053F">
        <w:rPr>
          <w:rFonts w:ascii="Narkisim" w:hAnsi="Narkisim" w:cs="Narkisim"/>
          <w:rtl/>
        </w:rPr>
        <w:t xml:space="preserve"> חלקו דע"כ זיקה דרבנן, דהא חולצת</w:t>
      </w:r>
      <w:r w:rsidRPr="0041053F">
        <w:rPr>
          <w:rStyle w:val="ac"/>
          <w:rFonts w:ascii="Narkisim" w:hAnsi="Narkisim" w:cs="Narkisim"/>
          <w:rtl/>
        </w:rPr>
        <w:footnoteReference w:id="1646"/>
      </w:r>
      <w:r w:rsidRPr="0041053F">
        <w:rPr>
          <w:rFonts w:ascii="Narkisim" w:hAnsi="Narkisim" w:cs="Narkisim"/>
          <w:rtl/>
        </w:rPr>
        <w:t>. וכת' דכוונת הגמ' משום איסור אחות זקוקה דרבנן. ולכו"ע זיקה דרבנן, ור' יוחנן נמי הוה 'כעין' נאסרה. ובזה נח' רב ור' יוחנן אי מדרבנן החמירו בו כשל תורה.</w:t>
      </w:r>
    </w:p>
    <w:p w14:paraId="38563213" w14:textId="77777777" w:rsidR="006074A5" w:rsidRPr="0041053F" w:rsidRDefault="006074A5" w:rsidP="006074A5">
      <w:pPr>
        <w:pStyle w:val="a7"/>
        <w:bidi/>
        <w:rPr>
          <w:rFonts w:ascii="Narkisim" w:hAnsi="Narkisim"/>
        </w:rPr>
      </w:pPr>
      <w:r w:rsidRPr="0041053F">
        <w:rPr>
          <w:rFonts w:ascii="Narkisim" w:hAnsi="Narkisim"/>
          <w:rtl/>
        </w:rPr>
        <w:t>וכת' דאפשר דר"ח נתכוון דלמ"ד 'אין זיקה' לא אלימא מילתא שתאסר אחרי מיתת ראשונה. אבל למ"ד יש זיקה כעין דאורייתא תקון.</w:t>
      </w:r>
    </w:p>
    <w:p w14:paraId="5DCBDC24" w14:textId="77777777" w:rsidR="006074A5" w:rsidRPr="0041053F" w:rsidRDefault="006074A5" w:rsidP="006074A5">
      <w:pPr>
        <w:pStyle w:val="a8"/>
        <w:bidi/>
        <w:rPr>
          <w:rFonts w:ascii="Narkisim" w:hAnsi="Narkisim"/>
        </w:rPr>
      </w:pPr>
      <w:r w:rsidRPr="0041053F">
        <w:rPr>
          <w:rFonts w:ascii="Narkisim" w:hAnsi="Narkisim"/>
          <w:rtl/>
        </w:rPr>
        <w:t xml:space="preserve">וכ"כ </w:t>
      </w:r>
      <w:r w:rsidRPr="0041053F">
        <w:rPr>
          <w:rFonts w:ascii="Narkisim" w:hAnsi="Narkisim"/>
          <w:b/>
          <w:bCs/>
          <w:rtl/>
        </w:rPr>
        <w:t>רוב הראשונים</w:t>
      </w:r>
      <w:r w:rsidRPr="0041053F">
        <w:rPr>
          <w:rFonts w:ascii="Narkisim" w:hAnsi="Narkisim"/>
          <w:rtl/>
        </w:rPr>
        <w:t xml:space="preserve"> (בכ"מ</w:t>
      </w:r>
      <w:r w:rsidRPr="0041053F">
        <w:rPr>
          <w:rStyle w:val="ac"/>
          <w:rFonts w:ascii="Narkisim" w:hAnsi="Narkisim"/>
          <w:rtl/>
        </w:rPr>
        <w:footnoteReference w:id="1647"/>
      </w:r>
      <w:r w:rsidRPr="0041053F">
        <w:rPr>
          <w:rFonts w:ascii="Narkisim" w:hAnsi="Narkisim"/>
          <w:rtl/>
        </w:rPr>
        <w:t>) דאחות זקוקתו הוה איסור דרבנן</w:t>
      </w:r>
      <w:r w:rsidRPr="0041053F">
        <w:rPr>
          <w:rStyle w:val="ac"/>
          <w:rFonts w:ascii="Narkisim" w:hAnsi="Narkisim"/>
          <w:rtl/>
        </w:rPr>
        <w:footnoteReference w:id="1648"/>
      </w:r>
      <w:r w:rsidRPr="0041053F">
        <w:rPr>
          <w:rFonts w:ascii="Narkisim" w:hAnsi="Narkisim"/>
          <w:rtl/>
        </w:rPr>
        <w:t>. אבל ב</w:t>
      </w:r>
      <w:r w:rsidRPr="0041053F">
        <w:rPr>
          <w:rFonts w:ascii="Narkisim" w:hAnsi="Narkisim"/>
          <w:b/>
          <w:bCs/>
          <w:rtl/>
        </w:rPr>
        <w:t>תוס' חד מקמאי</w:t>
      </w:r>
      <w:r w:rsidRPr="0041053F">
        <w:rPr>
          <w:rFonts w:ascii="Narkisim" w:hAnsi="Narkisim"/>
          <w:rtl/>
        </w:rPr>
        <w:t xml:space="preserve"> (כו:) מבואר דהוה דאורייתא, ואף בסוגיין (הודפס עה"ג כח. בסופו) פי' כפר"ח.</w:t>
      </w:r>
    </w:p>
    <w:p w14:paraId="70C937BA" w14:textId="77777777" w:rsidR="006074A5" w:rsidRPr="0041053F" w:rsidRDefault="006074A5" w:rsidP="006074A5">
      <w:pPr>
        <w:bidi/>
        <w:rPr>
          <w:rFonts w:ascii="Narkisim" w:hAnsi="Narkisim" w:cs="Narkisim"/>
        </w:rPr>
      </w:pPr>
      <w:r w:rsidRPr="0041053F">
        <w:rPr>
          <w:rFonts w:ascii="Narkisim" w:hAnsi="Narkisim" w:cs="Narkisim"/>
          <w:u w:val="single"/>
          <w:rtl/>
        </w:rPr>
        <w:t>שם. אבל למ"ד יש זיקה וכו'</w:t>
      </w:r>
      <w:r w:rsidRPr="0041053F">
        <w:rPr>
          <w:rFonts w:ascii="Narkisim" w:hAnsi="Narkisim" w:cs="Narkisim"/>
          <w:rtl/>
        </w:rPr>
        <w:t>. אך פשטות הגמ' משמע דרב קאי אף למ"ד יש זיקה</w:t>
      </w:r>
      <w:r w:rsidRPr="0041053F">
        <w:rPr>
          <w:rFonts w:ascii="Narkisim" w:hAnsi="Narkisim" w:cs="Narkisim"/>
          <w:sz w:val="20"/>
          <w:szCs w:val="20"/>
          <w:rtl/>
        </w:rPr>
        <w:t xml:space="preserve"> [וכ"ה ל</w:t>
      </w:r>
      <w:r w:rsidRPr="0041053F">
        <w:rPr>
          <w:rFonts w:ascii="Narkisim" w:hAnsi="Narkisim" w:cs="Narkisim"/>
          <w:b/>
          <w:bCs/>
          <w:sz w:val="20"/>
          <w:szCs w:val="20"/>
          <w:rtl/>
        </w:rPr>
        <w:t>רש"י</w:t>
      </w:r>
      <w:r w:rsidRPr="0041053F">
        <w:rPr>
          <w:rFonts w:ascii="Narkisim" w:hAnsi="Narkisim" w:cs="Narkisim"/>
          <w:sz w:val="20"/>
          <w:szCs w:val="20"/>
          <w:rtl/>
        </w:rPr>
        <w:t xml:space="preserve"> ד"ה מתה. וכן בתוס' ד"ה איתיביה הו' צד נוסף]</w:t>
      </w:r>
      <w:r w:rsidRPr="0041053F">
        <w:rPr>
          <w:rFonts w:ascii="Narkisim" w:hAnsi="Narkisim" w:cs="Narkisim"/>
          <w:rtl/>
        </w:rPr>
        <w:t>, ואפ"ה דעת רב דאין נאסרה כיון דזיקה מדרבנן. ור' יוחנן פליג דיש נאסרה אף באיסור דרבנן. וכ"כ</w:t>
      </w:r>
      <w:r w:rsidRPr="0041053F">
        <w:rPr>
          <w:rFonts w:ascii="Narkisim" w:hAnsi="Narkisim" w:cs="Narkisim"/>
          <w:b/>
          <w:bCs/>
          <w:rtl/>
        </w:rPr>
        <w:t xml:space="preserve"> בשו"ת מהר"ם רוטנברג</w:t>
      </w:r>
      <w:r w:rsidRPr="0041053F">
        <w:rPr>
          <w:rFonts w:ascii="Narkisim" w:hAnsi="Narkisim" w:cs="Narkisim"/>
          <w:rtl/>
        </w:rPr>
        <w:t xml:space="preserve"> (ד תתסו) דנח' רב ור' יוחנן אי אמרי' נאסרה באיסור דרבנן.</w:t>
      </w:r>
    </w:p>
    <w:p w14:paraId="726BD4ED" w14:textId="77777777" w:rsidR="006074A5" w:rsidRPr="0041053F" w:rsidRDefault="006074A5" w:rsidP="006074A5">
      <w:pPr>
        <w:pStyle w:val="a7"/>
        <w:bidi/>
        <w:rPr>
          <w:rFonts w:ascii="Narkisim" w:hAnsi="Narkisim"/>
        </w:rPr>
      </w:pPr>
      <w:r w:rsidRPr="0041053F">
        <w:rPr>
          <w:rFonts w:ascii="Narkisim" w:hAnsi="Narkisim"/>
          <w:rtl/>
        </w:rPr>
        <w:lastRenderedPageBreak/>
        <w:t>אך ה</w:t>
      </w:r>
      <w:r w:rsidRPr="0041053F">
        <w:rPr>
          <w:rFonts w:ascii="Narkisim" w:hAnsi="Narkisim"/>
          <w:b/>
          <w:bCs/>
          <w:rtl/>
        </w:rPr>
        <w:t xml:space="preserve">קובה"ע </w:t>
      </w:r>
      <w:r w:rsidRPr="0041053F">
        <w:rPr>
          <w:rFonts w:ascii="Narkisim" w:hAnsi="Narkisim"/>
          <w:rtl/>
        </w:rPr>
        <w:t>(יב ג) כת' די"ל דאף לרב אמרי' נאסרה בדרבנן, אלא דס"ל דגדר איסור 'זיקה' הוה איסור המתחדש [ותלי כל רגע בסיבת הזיקה]. ומש"ה נחשב דנאסר רק לשעתה, וחוזר להיתירו.</w:t>
      </w:r>
    </w:p>
    <w:p w14:paraId="2DD479C4"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מהר"ם</w:t>
      </w:r>
      <w:r w:rsidRPr="0041053F">
        <w:rPr>
          <w:rFonts w:ascii="Narkisim" w:hAnsi="Narkisim"/>
          <w:rtl/>
        </w:rPr>
        <w:t xml:space="preserve"> (שם) דן עפ"ז כשהיה ליבם אשה נוספת ומתה אי אמרי' נאסרה מחמת חרם דרבינו גרשום</w:t>
      </w:r>
      <w:r w:rsidRPr="0041053F">
        <w:rPr>
          <w:rStyle w:val="ac"/>
          <w:rFonts w:ascii="Narkisim" w:hAnsi="Narkisim"/>
          <w:rtl/>
        </w:rPr>
        <w:footnoteReference w:id="1649"/>
      </w:r>
      <w:r w:rsidRPr="0041053F">
        <w:rPr>
          <w:rFonts w:ascii="Narkisim" w:hAnsi="Narkisim"/>
          <w:rtl/>
        </w:rPr>
        <w:t xml:space="preserve"> [ונקט דמש"ה אסור לייבמה</w:t>
      </w:r>
      <w:r w:rsidRPr="0041053F">
        <w:rPr>
          <w:rStyle w:val="ac"/>
          <w:rFonts w:ascii="Narkisim" w:hAnsi="Narkisim"/>
          <w:rtl/>
        </w:rPr>
        <w:footnoteReference w:id="1650"/>
      </w:r>
      <w:r w:rsidRPr="0041053F">
        <w:rPr>
          <w:rFonts w:ascii="Narkisim" w:hAnsi="Narkisim"/>
          <w:rtl/>
        </w:rPr>
        <w:t>]. ותי' דל"ש בזה נאסרה</w:t>
      </w:r>
      <w:r w:rsidRPr="0041053F">
        <w:rPr>
          <w:rStyle w:val="ac"/>
          <w:rFonts w:ascii="Narkisim" w:hAnsi="Narkisim"/>
          <w:rtl/>
        </w:rPr>
        <w:footnoteReference w:id="1651"/>
      </w:r>
      <w:r w:rsidRPr="0041053F">
        <w:rPr>
          <w:rFonts w:ascii="Narkisim" w:hAnsi="Narkisim"/>
          <w:rtl/>
        </w:rPr>
        <w:t>. [וציין לדברי התוס' לעיל ב. גבי נדה</w:t>
      </w:r>
      <w:r w:rsidRPr="0041053F">
        <w:rPr>
          <w:rStyle w:val="ac"/>
          <w:rFonts w:ascii="Narkisim" w:hAnsi="Narkisim"/>
          <w:rtl/>
        </w:rPr>
        <w:footnoteReference w:id="1652"/>
      </w:r>
      <w:r w:rsidRPr="0041053F">
        <w:rPr>
          <w:rFonts w:ascii="Narkisim" w:hAnsi="Narkisim"/>
          <w:rtl/>
        </w:rPr>
        <w:t xml:space="preserve">]. וע"ע </w:t>
      </w:r>
      <w:r w:rsidRPr="0041053F">
        <w:rPr>
          <w:rFonts w:ascii="Narkisim" w:hAnsi="Narkisim"/>
          <w:b/>
          <w:bCs/>
          <w:rtl/>
        </w:rPr>
        <w:t>חזו"א</w:t>
      </w:r>
      <w:r w:rsidRPr="0041053F">
        <w:rPr>
          <w:rFonts w:ascii="Narkisim" w:hAnsi="Narkisim"/>
          <w:rtl/>
        </w:rPr>
        <w:t xml:space="preserve"> (קכב יג).</w:t>
      </w:r>
    </w:p>
    <w:p w14:paraId="4B501CCF"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אחרונים</w:t>
      </w:r>
      <w:r w:rsidRPr="0041053F">
        <w:rPr>
          <w:rFonts w:ascii="Narkisim" w:hAnsi="Narkisim" w:cs="Narkisim"/>
          <w:rtl/>
        </w:rPr>
        <w:t xml:space="preserve"> הביאו דמבואר בסוגיין [מדברי ר' יוחנן, ולדעת ר"ח אף לרב] דאמרי' נאסרה משום איסור זיקה. ואף שזקוקה לחליצה</w:t>
      </w:r>
      <w:r w:rsidRPr="0041053F">
        <w:rPr>
          <w:rStyle w:val="ac"/>
          <w:rFonts w:ascii="Narkisim" w:hAnsi="Narkisim" w:cs="Narkisim"/>
          <w:rtl/>
        </w:rPr>
        <w:footnoteReference w:id="1653"/>
      </w:r>
      <w:r w:rsidRPr="0041053F">
        <w:rPr>
          <w:rFonts w:ascii="Narkisim" w:hAnsi="Narkisim" w:cs="Narkisim"/>
          <w:rtl/>
        </w:rPr>
        <w:t>.</w:t>
      </w:r>
    </w:p>
    <w:p w14:paraId="5B6E0B69"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מנח"ח</w:t>
      </w:r>
      <w:r w:rsidRPr="0041053F">
        <w:rPr>
          <w:rFonts w:ascii="Narkisim" w:hAnsi="Narkisim"/>
          <w:rtl/>
        </w:rPr>
        <w:t xml:space="preserve"> (רעג ד) דן האם בחייבי לאו ועשה יש נאסרה</w:t>
      </w:r>
      <w:r w:rsidRPr="0041053F">
        <w:rPr>
          <w:rStyle w:val="ac"/>
          <w:rFonts w:ascii="Narkisim" w:hAnsi="Narkisim"/>
          <w:rtl/>
        </w:rPr>
        <w:footnoteReference w:id="1654"/>
      </w:r>
      <w:r w:rsidRPr="0041053F">
        <w:rPr>
          <w:rFonts w:ascii="Narkisim" w:hAnsi="Narkisim"/>
          <w:rtl/>
        </w:rPr>
        <w:t>, או כיון דחולצת נחשב שנופלת ליבום [ואין איסור אשת אח]. וה</w:t>
      </w:r>
      <w:r w:rsidRPr="0041053F">
        <w:rPr>
          <w:rFonts w:ascii="Narkisim" w:hAnsi="Narkisim"/>
          <w:b/>
          <w:bCs/>
          <w:rtl/>
        </w:rPr>
        <w:t>אחרונים</w:t>
      </w:r>
      <w:r w:rsidRPr="0041053F">
        <w:rPr>
          <w:rFonts w:ascii="Narkisim" w:hAnsi="Narkisim"/>
          <w:rtl/>
        </w:rPr>
        <w:t xml:space="preserve"> הביאו דבסוגיין מבואר דאפי' איסור אחות זקוקה דרבנן אמרי' נאסרה, ואף דליכא איסור אשת אח. אך דחו דגדר אחות זקוקה דהוה כעין ערוה מדרבנן [דהא פוטרת צרתה].</w:t>
      </w:r>
    </w:p>
    <w:p w14:paraId="27B8AFA9" w14:textId="77777777" w:rsidR="006074A5" w:rsidRPr="0041053F" w:rsidRDefault="006074A5" w:rsidP="006074A5">
      <w:pPr>
        <w:pStyle w:val="a8"/>
        <w:bidi/>
        <w:rPr>
          <w:rFonts w:ascii="Narkisim" w:hAnsi="Narkisim"/>
        </w:rPr>
      </w:pPr>
      <w:r w:rsidRPr="0041053F">
        <w:rPr>
          <w:rFonts w:ascii="Narkisim" w:hAnsi="Narkisim"/>
          <w:rtl/>
        </w:rPr>
        <w:t>ויש שדנו דגדר התקנה דחשיב ערוה גמורה, ומדרבנן פטורה מחליצה. אלא דצרכיה חליצה מחמת דין הדאורייתא.</w:t>
      </w:r>
    </w:p>
    <w:p w14:paraId="7337AB2D" w14:textId="77777777" w:rsidR="006074A5" w:rsidRPr="0041053F" w:rsidRDefault="006074A5" w:rsidP="006074A5">
      <w:pPr>
        <w:bidi/>
        <w:rPr>
          <w:rFonts w:ascii="Narkisim" w:hAnsi="Narkisim" w:cs="Narkisim"/>
        </w:rPr>
      </w:pPr>
      <w:r w:rsidRPr="0041053F">
        <w:rPr>
          <w:rFonts w:ascii="Narkisim" w:hAnsi="Narkisim" w:cs="Narkisim"/>
          <w:u w:val="single"/>
          <w:rtl/>
        </w:rPr>
        <w:t>בא"ד אע"ג דאסור לבטל מצוות יבמין לא חשיב הך איסור לאוסרה וכו'</w:t>
      </w:r>
      <w:r w:rsidRPr="0041053F">
        <w:rPr>
          <w:rFonts w:ascii="Narkisim" w:hAnsi="Narkisim" w:cs="Narkisim"/>
          <w:rtl/>
        </w:rPr>
        <w:t xml:space="preserve">. יש שביארו דגדר אסור לבטל מצוות יבמין לא הוה איסור ערוה. אלא חסרון בהיכי תמצא של יבום. </w:t>
      </w:r>
      <w:r w:rsidRPr="0041053F">
        <w:rPr>
          <w:rFonts w:ascii="Narkisim" w:hAnsi="Narkisim" w:cs="Narkisim"/>
          <w:sz w:val="20"/>
          <w:szCs w:val="20"/>
          <w:rtl/>
        </w:rPr>
        <w:t>אבל ב</w:t>
      </w:r>
      <w:r w:rsidRPr="0041053F">
        <w:rPr>
          <w:rFonts w:ascii="Narkisim" w:hAnsi="Narkisim" w:cs="Narkisim"/>
          <w:b/>
          <w:bCs/>
          <w:sz w:val="20"/>
          <w:szCs w:val="20"/>
          <w:rtl/>
        </w:rPr>
        <w:t>חי' ר' שלמה</w:t>
      </w:r>
      <w:r w:rsidRPr="0041053F">
        <w:rPr>
          <w:rFonts w:ascii="Narkisim" w:hAnsi="Narkisim" w:cs="Narkisim"/>
          <w:sz w:val="20"/>
          <w:szCs w:val="20"/>
          <w:rtl/>
        </w:rPr>
        <w:t xml:space="preserve"> (ו, ובחי' הגר"נ) דייק דהגמ' תולה בהא דהוה מדרבנן [והך איסור לא חשיבה].. ומבואר דאילו הוה איסור לבטל מצוות יבמין מדאורייתא הוה אמרי' נאסרה.</w:t>
      </w:r>
    </w:p>
    <w:p w14:paraId="39AED3CF" w14:textId="77777777" w:rsidR="006074A5" w:rsidRPr="0041053F" w:rsidRDefault="006074A5" w:rsidP="006074A5">
      <w:pPr>
        <w:bidi/>
        <w:rPr>
          <w:rFonts w:ascii="Narkisim" w:hAnsi="Narkisim" w:cs="Narkisim"/>
        </w:rPr>
      </w:pPr>
      <w:r w:rsidRPr="0041053F">
        <w:rPr>
          <w:rFonts w:ascii="Narkisim" w:hAnsi="Narkisim" w:cs="Narkisim"/>
          <w:rtl/>
        </w:rPr>
        <w:t>ומשמע מדברי ר"ח דר' יוחנן פליג משום דס"ל יש זיקה</w:t>
      </w:r>
      <w:r w:rsidRPr="0041053F">
        <w:rPr>
          <w:rStyle w:val="ac"/>
          <w:rFonts w:ascii="Narkisim" w:hAnsi="Narkisim" w:cs="Narkisim"/>
          <w:rtl/>
        </w:rPr>
        <w:footnoteReference w:id="1655"/>
      </w:r>
      <w:r w:rsidRPr="0041053F">
        <w:rPr>
          <w:rFonts w:ascii="Narkisim" w:hAnsi="Narkisim" w:cs="Narkisim"/>
          <w:rtl/>
        </w:rPr>
        <w:t xml:space="preserve">. ואף ר' יוחנן ס"ל דלמ"ד אסור לבטל ל"ש נאסרה. אבל </w:t>
      </w:r>
      <w:r w:rsidRPr="0041053F">
        <w:rPr>
          <w:rFonts w:ascii="Narkisim" w:hAnsi="Narkisim" w:cs="Narkisim"/>
          <w:b/>
          <w:bCs/>
          <w:rtl/>
        </w:rPr>
        <w:t>רש"י</w:t>
      </w:r>
      <w:r w:rsidRPr="0041053F">
        <w:rPr>
          <w:rFonts w:ascii="Narkisim" w:hAnsi="Narkisim" w:cs="Narkisim"/>
          <w:rtl/>
        </w:rPr>
        <w:t xml:space="preserve"> (לעיל כד.) וכן </w:t>
      </w:r>
      <w:r w:rsidRPr="0041053F">
        <w:rPr>
          <w:rFonts w:ascii="Narkisim" w:hAnsi="Narkisim" w:cs="Narkisim"/>
          <w:b/>
          <w:bCs/>
          <w:rtl/>
        </w:rPr>
        <w:t>ריב"ן</w:t>
      </w:r>
      <w:r w:rsidRPr="0041053F">
        <w:rPr>
          <w:rFonts w:ascii="Narkisim" w:hAnsi="Narkisim" w:cs="Narkisim"/>
          <w:rtl/>
        </w:rPr>
        <w:t xml:space="preserve"> (בתוס' יח.) כת' דאף למ"ד אין זיקה אמרי' נאסרה, משום איסור לבטל מצוות יבמין. </w:t>
      </w:r>
      <w:r w:rsidRPr="0041053F">
        <w:rPr>
          <w:rFonts w:ascii="Narkisim" w:hAnsi="Narkisim" w:cs="Narkisim"/>
          <w:sz w:val="20"/>
          <w:szCs w:val="20"/>
          <w:rtl/>
        </w:rPr>
        <w:t>[ולר' יוחנן אמרי' נאסרה באיסור דרבנן</w:t>
      </w:r>
      <w:r w:rsidRPr="0041053F">
        <w:rPr>
          <w:rStyle w:val="ac"/>
          <w:rFonts w:ascii="Narkisim" w:hAnsi="Narkisim" w:cs="Narkisim"/>
          <w:sz w:val="20"/>
          <w:szCs w:val="20"/>
          <w:rtl/>
        </w:rPr>
        <w:footnoteReference w:id="1656"/>
      </w:r>
      <w:r w:rsidRPr="0041053F">
        <w:rPr>
          <w:rFonts w:ascii="Narkisim" w:hAnsi="Narkisim" w:cs="Narkisim"/>
          <w:sz w:val="20"/>
          <w:szCs w:val="20"/>
          <w:rtl/>
        </w:rPr>
        <w:t>]</w:t>
      </w:r>
      <w:r w:rsidRPr="0041053F">
        <w:rPr>
          <w:rFonts w:ascii="Narkisim" w:hAnsi="Narkisim" w:cs="Narkisim"/>
          <w:rtl/>
        </w:rPr>
        <w:t>.</w:t>
      </w:r>
    </w:p>
    <w:p w14:paraId="03008CC9"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 דלכאורה אסור לבטל הוה איסור חיצוני, ואין סברא לומר נאסרה. ולכאורה מבואר דכל היכא דאסורה עליו, ואינה זקוקה ליבם זה</w:t>
      </w:r>
      <w:r w:rsidRPr="0041053F">
        <w:rPr>
          <w:rStyle w:val="ac"/>
          <w:rFonts w:ascii="Narkisim" w:hAnsi="Narkisim"/>
          <w:rtl/>
        </w:rPr>
        <w:footnoteReference w:id="1657"/>
      </w:r>
      <w:r w:rsidRPr="0041053F">
        <w:rPr>
          <w:rFonts w:ascii="Narkisim" w:hAnsi="Narkisim"/>
          <w:rtl/>
        </w:rPr>
        <w:t xml:space="preserve"> [אלא לחליצה], נאמר סברת נאסרה. ויש </w:t>
      </w:r>
      <w:r w:rsidRPr="0041053F">
        <w:rPr>
          <w:rFonts w:ascii="Narkisim" w:hAnsi="Narkisim"/>
          <w:b/>
          <w:bCs/>
          <w:rtl/>
        </w:rPr>
        <w:t>אחרונים</w:t>
      </w:r>
      <w:r w:rsidRPr="0041053F">
        <w:rPr>
          <w:rFonts w:ascii="Narkisim" w:hAnsi="Narkisim"/>
          <w:rtl/>
        </w:rPr>
        <w:t xml:space="preserve"> שתי' דמ"מ גדר התקנה שביטלו דין היבום. ותקנו איסור בגוף היבום, וכלשון </w:t>
      </w:r>
      <w:r w:rsidRPr="0041053F">
        <w:rPr>
          <w:rFonts w:ascii="Narkisim" w:hAnsi="Narkisim"/>
          <w:b/>
          <w:bCs/>
          <w:rtl/>
        </w:rPr>
        <w:t>רש"י</w:t>
      </w:r>
      <w:r w:rsidRPr="0041053F">
        <w:rPr>
          <w:rFonts w:ascii="Narkisim" w:hAnsi="Narkisim"/>
          <w:rtl/>
        </w:rPr>
        <w:t xml:space="preserve"> דשקול דין יבום מאחיות</w:t>
      </w:r>
      <w:r w:rsidRPr="0041053F">
        <w:rPr>
          <w:rStyle w:val="ac"/>
          <w:rFonts w:ascii="Narkisim" w:hAnsi="Narkisim"/>
          <w:rtl/>
        </w:rPr>
        <w:footnoteReference w:id="1658"/>
      </w:r>
      <w:r w:rsidRPr="0041053F">
        <w:rPr>
          <w:rFonts w:ascii="Narkisim" w:hAnsi="Narkisim"/>
          <w:rtl/>
        </w:rPr>
        <w:t>.</w:t>
      </w:r>
    </w:p>
    <w:p w14:paraId="4725B3AA" w14:textId="77777777" w:rsidR="006074A5" w:rsidRPr="0041053F" w:rsidRDefault="006074A5" w:rsidP="006074A5">
      <w:pPr>
        <w:pStyle w:val="aa"/>
        <w:bidi/>
        <w:rPr>
          <w:rFonts w:ascii="Narkisim" w:hAnsi="Narkisim"/>
        </w:rPr>
      </w:pPr>
      <w:r w:rsidRPr="0041053F">
        <w:rPr>
          <w:rFonts w:ascii="Narkisim" w:hAnsi="Narkisim"/>
          <w:u w:val="single"/>
          <w:rtl/>
        </w:rPr>
        <w:t>איתיביה ר' יוסי בר"ח לר' יוחנן וכו' הרי אלו חולצות ולא מתייבמות, ואמאי וכו'</w:t>
      </w:r>
      <w:r w:rsidRPr="0041053F">
        <w:rPr>
          <w:rFonts w:ascii="Narkisim" w:hAnsi="Narkisim"/>
          <w:rtl/>
        </w:rPr>
        <w:t xml:space="preserve">. הגמ' (לעיל יח.) הביאה מסתם משנה זו דר' מאיר סבר יש זיקה, ומש"ה אסור לייבם אחות זקוקתו. והגמ' דוחה דר"מ סבר אין זיקה, </w:t>
      </w:r>
      <w:r w:rsidRPr="0041053F">
        <w:rPr>
          <w:rFonts w:ascii="Narkisim" w:hAnsi="Narkisim"/>
          <w:rtl/>
        </w:rPr>
        <w:lastRenderedPageBreak/>
        <w:t>ומשום דאסור לבטל מצוות יבמין</w:t>
      </w:r>
      <w:r w:rsidRPr="0041053F">
        <w:rPr>
          <w:rStyle w:val="ac"/>
          <w:rFonts w:ascii="Narkisim" w:hAnsi="Narkisim"/>
          <w:rtl/>
        </w:rPr>
        <w:footnoteReference w:id="1659"/>
      </w:r>
      <w:r w:rsidRPr="0041053F">
        <w:rPr>
          <w:rFonts w:ascii="Narkisim" w:hAnsi="Narkisim"/>
          <w:rtl/>
        </w:rPr>
        <w:t>. [אך ר' יוחנן דסוגיין ס"ל דמתני' כמ"ד יש זיקה</w:t>
      </w:r>
      <w:r w:rsidRPr="0041053F">
        <w:rPr>
          <w:rStyle w:val="ac"/>
          <w:rFonts w:ascii="Narkisim" w:hAnsi="Narkisim"/>
          <w:rtl/>
        </w:rPr>
        <w:footnoteReference w:id="1660"/>
      </w:r>
      <w:r w:rsidRPr="0041053F">
        <w:rPr>
          <w:rFonts w:ascii="Narkisim" w:hAnsi="Narkisim"/>
          <w:rtl/>
        </w:rPr>
        <w:t>, ע' תוס'].</w:t>
      </w:r>
    </w:p>
    <w:p w14:paraId="0C6A66E4" w14:textId="77777777" w:rsidR="006074A5" w:rsidRPr="0041053F" w:rsidRDefault="006074A5" w:rsidP="006074A5">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xml:space="preserve"> (לעיל יח.) הק' דלמ"ד דטעם המשנה משום אסור לבטל מצוות יבמין זיקה, א"כ יחלוץ לא', ואח"כ ייבם אידך</w:t>
      </w:r>
      <w:r w:rsidRPr="0041053F">
        <w:rPr>
          <w:rStyle w:val="ac"/>
          <w:rFonts w:ascii="Narkisim" w:hAnsi="Narkisim"/>
          <w:rtl/>
        </w:rPr>
        <w:footnoteReference w:id="1661"/>
      </w:r>
      <w:r w:rsidRPr="0041053F">
        <w:rPr>
          <w:rFonts w:ascii="Narkisim" w:hAnsi="Narkisim"/>
          <w:rtl/>
        </w:rPr>
        <w:t>. [דלאחר שחלץ לא' תו ל"ש ביטול מצוות יבמין</w:t>
      </w:r>
      <w:r w:rsidRPr="0041053F">
        <w:rPr>
          <w:rStyle w:val="ac"/>
          <w:rFonts w:ascii="Narkisim" w:hAnsi="Narkisim"/>
          <w:rtl/>
        </w:rPr>
        <w:footnoteReference w:id="1662"/>
      </w:r>
      <w:r w:rsidRPr="0041053F">
        <w:rPr>
          <w:rFonts w:ascii="Narkisim" w:hAnsi="Narkisim"/>
          <w:rtl/>
        </w:rPr>
        <w:t>]. ותוס' תי' משום גזירה דילמא אתי לייבם ברישא. ו</w:t>
      </w:r>
      <w:r w:rsidRPr="0041053F">
        <w:rPr>
          <w:rFonts w:ascii="Narkisim" w:hAnsi="Narkisim"/>
          <w:b/>
          <w:bCs/>
          <w:rtl/>
        </w:rPr>
        <w:t>תוס'</w:t>
      </w:r>
      <w:r w:rsidRPr="0041053F">
        <w:rPr>
          <w:rFonts w:ascii="Narkisim" w:hAnsi="Narkisim"/>
          <w:rtl/>
        </w:rPr>
        <w:t xml:space="preserve"> (כד. וכאן ד"ה איתיביה) פי' דהיינו למ"ד אין זיקה [עי"ש].</w:t>
      </w:r>
    </w:p>
    <w:p w14:paraId="68F9F30C" w14:textId="77777777" w:rsidR="006074A5" w:rsidRPr="0041053F" w:rsidRDefault="006074A5" w:rsidP="006074A5">
      <w:pPr>
        <w:pStyle w:val="a8"/>
        <w:bidi/>
        <w:rPr>
          <w:rFonts w:ascii="Narkisim" w:hAnsi="Narkisim"/>
        </w:rPr>
      </w:pPr>
      <w:r w:rsidRPr="0041053F">
        <w:rPr>
          <w:rFonts w:ascii="Narkisim" w:hAnsi="Narkisim"/>
          <w:rtl/>
        </w:rPr>
        <w:t xml:space="preserve">ועוד הביאו </w:t>
      </w:r>
      <w:r w:rsidRPr="0041053F">
        <w:rPr>
          <w:rFonts w:ascii="Narkisim" w:hAnsi="Narkisim"/>
          <w:b/>
          <w:bCs/>
          <w:rtl/>
        </w:rPr>
        <w:t>תוס</w:t>
      </w:r>
      <w:r w:rsidRPr="0041053F">
        <w:rPr>
          <w:rFonts w:ascii="Narkisim" w:hAnsi="Narkisim"/>
          <w:rtl/>
        </w:rPr>
        <w:t xml:space="preserve">' בשם </w:t>
      </w:r>
      <w:r w:rsidRPr="0041053F">
        <w:rPr>
          <w:rFonts w:ascii="Narkisim" w:hAnsi="Narkisim"/>
          <w:b/>
          <w:bCs/>
          <w:rtl/>
        </w:rPr>
        <w:t>ריב"ן</w:t>
      </w:r>
      <w:r w:rsidRPr="0041053F">
        <w:rPr>
          <w:rFonts w:ascii="Narkisim" w:hAnsi="Narkisim"/>
          <w:rtl/>
        </w:rPr>
        <w:t xml:space="preserve"> [וכ"כ רש"י לעיל כד.] דבשעת נפילה לא חזי [עד שיחלוץ], משום ביטול מצוות יבמין. ואמרי' נאסרה. ותוס' הק' דעכ"פ מי שנפלה ראשונה הוה הותרה ונאסרה, ותחזור להיתר הראשון. [וכקו' הגמ' כאן לר' יוחנן</w:t>
      </w:r>
      <w:r w:rsidRPr="0041053F">
        <w:rPr>
          <w:rStyle w:val="ac"/>
          <w:rFonts w:ascii="Narkisim" w:hAnsi="Narkisim"/>
          <w:rtl/>
        </w:rPr>
        <w:footnoteReference w:id="1663"/>
      </w:r>
      <w:r w:rsidRPr="0041053F">
        <w:rPr>
          <w:rFonts w:ascii="Narkisim" w:hAnsi="Narkisim"/>
          <w:rtl/>
        </w:rPr>
        <w:t>].</w:t>
      </w:r>
    </w:p>
    <w:p w14:paraId="57EDF25E" w14:textId="77777777" w:rsidR="006074A5" w:rsidRPr="0041053F" w:rsidRDefault="006074A5" w:rsidP="006074A5">
      <w:pPr>
        <w:bidi/>
        <w:rPr>
          <w:rFonts w:ascii="Narkisim" w:hAnsi="Narkisim" w:cs="Narkisim"/>
        </w:rPr>
      </w:pPr>
      <w:r w:rsidRPr="0041053F">
        <w:rPr>
          <w:rFonts w:ascii="Narkisim" w:hAnsi="Narkisim" w:cs="Narkisim"/>
          <w:u w:val="single"/>
          <w:rtl/>
        </w:rPr>
        <w:t>תוד"ה איתיביה.</w:t>
      </w:r>
      <w:r w:rsidRPr="0041053F">
        <w:rPr>
          <w:rFonts w:ascii="Narkisim" w:hAnsi="Narkisim" w:cs="Narkisim"/>
          <w:rtl/>
        </w:rPr>
        <w:t xml:space="preserve"> אבל ריב"ן פי' וכו' דרב ס"ל ח"פ צריכה לחזור וכו' ושוב השנית א"א לייבם וכו'. ודעת ריב"ן דע"י חליצת חיזור נאסר באחותה. ודלא כ</w:t>
      </w:r>
      <w:r w:rsidRPr="0041053F">
        <w:rPr>
          <w:rFonts w:ascii="Narkisim" w:hAnsi="Narkisim" w:cs="Narkisim"/>
          <w:b/>
          <w:bCs/>
          <w:rtl/>
        </w:rPr>
        <w:t>ר"א מבורגוייל</w:t>
      </w:r>
      <w:r w:rsidRPr="0041053F">
        <w:rPr>
          <w:rFonts w:ascii="Narkisim" w:hAnsi="Narkisim" w:cs="Narkisim"/>
          <w:rtl/>
        </w:rPr>
        <w:t xml:space="preserve"> </w:t>
      </w:r>
      <w:r w:rsidRPr="0041053F">
        <w:rPr>
          <w:rFonts w:ascii="Narkisim" w:hAnsi="Narkisim" w:cs="Narkisim"/>
          <w:szCs w:val="20"/>
          <w:rtl/>
        </w:rPr>
        <w:t>(בתוס' כו: ד"ה דנפול, וע' תוס' כז.</w:t>
      </w:r>
      <w:r w:rsidRPr="0041053F">
        <w:rPr>
          <w:rFonts w:ascii="Narkisim" w:hAnsi="Narkisim" w:cs="Narkisim"/>
          <w:rtl/>
        </w:rPr>
        <w:t>) דלא נאסר בקרובותיה, דלא עשה חליצה זו אלא משום חיזור. והר"א למד כן מקו' הגמ' לר' יוחנן (כאן) תתייבם שניה</w:t>
      </w:r>
      <w:r w:rsidRPr="0041053F">
        <w:rPr>
          <w:rStyle w:val="ac"/>
          <w:rFonts w:ascii="Narkisim" w:hAnsi="Narkisim" w:cs="Narkisim"/>
          <w:rtl/>
        </w:rPr>
        <w:footnoteReference w:id="1664"/>
      </w:r>
      <w:r w:rsidRPr="0041053F">
        <w:rPr>
          <w:rFonts w:ascii="Narkisim" w:hAnsi="Narkisim" w:cs="Narkisim"/>
          <w:rtl/>
        </w:rPr>
        <w:t xml:space="preserve">. </w:t>
      </w:r>
      <w:r w:rsidRPr="0041053F">
        <w:rPr>
          <w:rFonts w:ascii="Narkisim" w:hAnsi="Narkisim" w:cs="Narkisim"/>
          <w:szCs w:val="20"/>
          <w:rtl/>
        </w:rPr>
        <w:t>וע"כ אין חסרון מצד חליצת החיזור [אלא משום נאסרה]</w:t>
      </w:r>
      <w:r w:rsidRPr="0041053F">
        <w:rPr>
          <w:rFonts w:ascii="Narkisim" w:hAnsi="Narkisim" w:cs="Narkisim"/>
          <w:rtl/>
        </w:rPr>
        <w:t>. [והר"א יתרץ כדברי ר"י (בסמוך, וכד.) דרב אסר משום גזירה שמא ייבם ברישא].</w:t>
      </w:r>
    </w:p>
    <w:p w14:paraId="5E77E646" w14:textId="77777777" w:rsidR="006074A5" w:rsidRPr="0041053F" w:rsidRDefault="006074A5" w:rsidP="006074A5">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(שם) דחו די"ל דר' יוחנן ס"ל כשמואל דאי"צ חיזור</w:t>
      </w:r>
      <w:r w:rsidRPr="0041053F">
        <w:rPr>
          <w:rStyle w:val="ac"/>
          <w:rFonts w:ascii="Narkisim" w:hAnsi="Narkisim"/>
          <w:rtl/>
        </w:rPr>
        <w:footnoteReference w:id="1665"/>
      </w:r>
      <w:r w:rsidRPr="0041053F">
        <w:rPr>
          <w:rFonts w:ascii="Narkisim" w:hAnsi="Narkisim"/>
          <w:rtl/>
        </w:rPr>
        <w:t>. וכ"כ תוס' (כאן) בדעת ריב"ן.</w:t>
      </w:r>
    </w:p>
    <w:p w14:paraId="38C9FB60" w14:textId="77777777" w:rsidR="006074A5" w:rsidRPr="0041053F" w:rsidRDefault="006074A5" w:rsidP="006074A5">
      <w:pPr>
        <w:pStyle w:val="aa"/>
        <w:bidi/>
        <w:rPr>
          <w:rFonts w:ascii="Narkisim" w:hAnsi="Narkisim"/>
        </w:rPr>
      </w:pPr>
      <w:r w:rsidRPr="0041053F">
        <w:rPr>
          <w:rFonts w:ascii="Narkisim" w:hAnsi="Narkisim"/>
          <w:u w:val="single"/>
          <w:rtl/>
        </w:rPr>
        <w:t>בא"ד [שם] ושוב השנית א"א לייבם וכו' הויא אחות חלוצתו</w:t>
      </w:r>
      <w:r w:rsidRPr="0041053F">
        <w:rPr>
          <w:rFonts w:ascii="Narkisim" w:hAnsi="Narkisim"/>
          <w:rtl/>
        </w:rPr>
        <w:t>. משמעות הריב"ן דכל הקו' לאחר שחלצו תרוייהו. ויל"ד בדעת ריב"ן האם יש איסור אף משום אחות זקוקתו, שיש קצת זיקה משום חליצת חיזור. ועד"ז חילק ה</w:t>
      </w:r>
      <w:r w:rsidRPr="0041053F">
        <w:rPr>
          <w:rFonts w:ascii="Narkisim" w:hAnsi="Narkisim"/>
          <w:b/>
          <w:bCs/>
          <w:rtl/>
        </w:rPr>
        <w:t>תוס' מהר"ם והר"פ</w:t>
      </w:r>
      <w:r w:rsidRPr="0041053F">
        <w:rPr>
          <w:rFonts w:ascii="Narkisim" w:hAnsi="Narkisim"/>
          <w:rtl/>
        </w:rPr>
        <w:t xml:space="preserve"> (לעיל בע"א, ע' מש"כ בתוס' שם).</w:t>
      </w:r>
    </w:p>
    <w:p w14:paraId="37BD5397"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תוס' מהר"ם והר"פ</w:t>
      </w:r>
      <w:r w:rsidRPr="0041053F">
        <w:rPr>
          <w:rFonts w:ascii="Narkisim" w:hAnsi="Narkisim"/>
          <w:rtl/>
        </w:rPr>
        <w:t xml:space="preserve"> (כאן) הק' כן, דמשכח"ל שחלץ הא', ואח"כ יבם השני. ואף דצריך לחלוץ לראשונה [משום חיזור, ועי"ז יאסר באשתו</w:t>
      </w:r>
      <w:r w:rsidRPr="0041053F">
        <w:rPr>
          <w:rStyle w:val="ac"/>
          <w:rFonts w:ascii="Narkisim" w:hAnsi="Narkisim"/>
          <w:rtl/>
        </w:rPr>
        <w:footnoteReference w:id="1666"/>
      </w:r>
      <w:r w:rsidRPr="0041053F">
        <w:rPr>
          <w:rFonts w:ascii="Narkisim" w:hAnsi="Narkisim"/>
          <w:rtl/>
        </w:rPr>
        <w:t>]. וכת' דמ"מ נפק"מ היכא דלא חלץ עד שמתה. א"נ כגון שאינה רוצה לינשא לשוק</w:t>
      </w:r>
      <w:r w:rsidRPr="0041053F">
        <w:rPr>
          <w:rStyle w:val="ac"/>
          <w:rFonts w:ascii="Narkisim" w:hAnsi="Narkisim"/>
          <w:rtl/>
        </w:rPr>
        <w:footnoteReference w:id="1667"/>
      </w:r>
      <w:r w:rsidRPr="0041053F">
        <w:rPr>
          <w:rFonts w:ascii="Narkisim" w:hAnsi="Narkisim"/>
          <w:rtl/>
        </w:rPr>
        <w:t>.</w:t>
      </w:r>
    </w:p>
    <w:p w14:paraId="753C86CB" w14:textId="77777777" w:rsidR="006074A5" w:rsidRPr="0041053F" w:rsidRDefault="006074A5" w:rsidP="006074A5">
      <w:pPr>
        <w:bidi/>
        <w:rPr>
          <w:rFonts w:ascii="Narkisim" w:hAnsi="Narkisim" w:cs="Narkisim"/>
        </w:rPr>
      </w:pPr>
      <w:r w:rsidRPr="0041053F">
        <w:rPr>
          <w:rFonts w:ascii="Narkisim" w:hAnsi="Narkisim" w:cs="Narkisim"/>
          <w:u w:val="single"/>
          <w:rtl/>
        </w:rPr>
        <w:t>בא"ד אבל ר' יוחנן סבר כשמואל</w:t>
      </w:r>
      <w:r w:rsidRPr="0041053F">
        <w:rPr>
          <w:rStyle w:val="ac"/>
          <w:rFonts w:ascii="Narkisim" w:hAnsi="Narkisim" w:cs="Narkisim"/>
          <w:rtl/>
        </w:rPr>
        <w:footnoteReference w:id="1668"/>
      </w:r>
      <w:r w:rsidRPr="0041053F">
        <w:rPr>
          <w:rFonts w:ascii="Narkisim" w:hAnsi="Narkisim" w:cs="Narkisim"/>
          <w:rtl/>
        </w:rPr>
        <w:t xml:space="preserve">. </w:t>
      </w:r>
      <w:r w:rsidRPr="0041053F">
        <w:rPr>
          <w:rFonts w:ascii="Narkisim" w:hAnsi="Narkisim" w:cs="Narkisim"/>
          <w:sz w:val="20"/>
          <w:szCs w:val="20"/>
          <w:rtl/>
        </w:rPr>
        <w:t>[וה</w:t>
      </w:r>
      <w:r w:rsidRPr="0041053F">
        <w:rPr>
          <w:rFonts w:ascii="Narkisim" w:hAnsi="Narkisim" w:cs="Narkisim"/>
          <w:b/>
          <w:bCs/>
          <w:sz w:val="20"/>
          <w:szCs w:val="20"/>
          <w:rtl/>
        </w:rPr>
        <w:t xml:space="preserve">רא"ש </w:t>
      </w:r>
      <w:r w:rsidRPr="0041053F">
        <w:rPr>
          <w:rFonts w:ascii="Narkisim" w:hAnsi="Narkisim" w:cs="Narkisim"/>
          <w:sz w:val="20"/>
          <w:szCs w:val="20"/>
          <w:rtl/>
        </w:rPr>
        <w:t>הביא מזה דהלכה כשמואל, דר' יוחנן לא ס"ל כרב]</w:t>
      </w:r>
      <w:r w:rsidRPr="0041053F">
        <w:rPr>
          <w:rFonts w:ascii="Narkisim" w:hAnsi="Narkisim" w:cs="Narkisim"/>
          <w:rtl/>
        </w:rPr>
        <w:t>. ועוד כת' ה</w:t>
      </w:r>
      <w:r w:rsidRPr="0041053F">
        <w:rPr>
          <w:rFonts w:ascii="Narkisim" w:hAnsi="Narkisim" w:cs="Narkisim"/>
          <w:b/>
          <w:bCs/>
          <w:rtl/>
        </w:rPr>
        <w:t>רמב"ן</w:t>
      </w:r>
      <w:r w:rsidRPr="0041053F">
        <w:rPr>
          <w:rFonts w:ascii="Narkisim" w:hAnsi="Narkisim" w:cs="Narkisim"/>
          <w:rtl/>
        </w:rPr>
        <w:t xml:space="preserve"> דלא העמידו לר' יוחנן משום חליצה פסולה, דמשמע ליה דאיירי אפי' נפלו עם צרות. ואילו חלץ לצרת שניה הותרה לו</w:t>
      </w:r>
      <w:r w:rsidRPr="0041053F">
        <w:rPr>
          <w:rStyle w:val="ac"/>
          <w:rFonts w:ascii="Narkisim" w:hAnsi="Narkisim" w:cs="Narkisim"/>
          <w:rtl/>
        </w:rPr>
        <w:footnoteReference w:id="1669"/>
      </w:r>
      <w:r w:rsidRPr="0041053F">
        <w:rPr>
          <w:rFonts w:ascii="Narkisim" w:hAnsi="Narkisim" w:cs="Narkisim"/>
          <w:rtl/>
        </w:rPr>
        <w:t>.</w:t>
      </w:r>
    </w:p>
    <w:p w14:paraId="2E0C09C4" w14:textId="77777777" w:rsidR="006074A5" w:rsidRPr="0041053F" w:rsidRDefault="006074A5" w:rsidP="006074A5">
      <w:pPr>
        <w:bidi/>
        <w:rPr>
          <w:rFonts w:ascii="Narkisim" w:hAnsi="Narkisim" w:cs="Narkisim"/>
        </w:rPr>
      </w:pPr>
      <w:r w:rsidRPr="0041053F">
        <w:rPr>
          <w:rFonts w:ascii="Narkisim" w:hAnsi="Narkisim" w:cs="Narkisim"/>
          <w:u w:val="single"/>
          <w:rtl/>
        </w:rPr>
        <w:t>בא"ד ולר"ח נמי וכו' לרב דמוקי מתני' כמ"ד יש זיקה.</w:t>
      </w:r>
      <w:r w:rsidRPr="0041053F">
        <w:rPr>
          <w:rFonts w:ascii="Narkisim" w:hAnsi="Narkisim" w:cs="Narkisim"/>
          <w:rtl/>
        </w:rPr>
        <w:t xml:space="preserve"> ה</w:t>
      </w:r>
      <w:r w:rsidRPr="0041053F">
        <w:rPr>
          <w:rFonts w:ascii="Narkisim" w:hAnsi="Narkisim" w:cs="Narkisim"/>
          <w:b/>
          <w:bCs/>
          <w:rtl/>
        </w:rPr>
        <w:t>אחרונים</w:t>
      </w:r>
      <w:r w:rsidRPr="0041053F">
        <w:rPr>
          <w:rFonts w:ascii="Narkisim" w:hAnsi="Narkisim" w:cs="Narkisim"/>
          <w:rtl/>
        </w:rPr>
        <w:t xml:space="preserve"> (בית מאיר קע ה, קר"א) תמהו דרב (לקמן מא.) ס"ל הותרה ונאסרה חוזר להיתירא [באחות אשה דאורייתא], א"כ אף לרב קשה, כר' יוחנן.</w:t>
      </w:r>
    </w:p>
    <w:p w14:paraId="1EDF6CF6" w14:textId="77777777" w:rsidR="006074A5" w:rsidRPr="0041053F" w:rsidRDefault="006074A5" w:rsidP="006074A5">
      <w:pPr>
        <w:pStyle w:val="aa"/>
        <w:bidi/>
        <w:rPr>
          <w:rFonts w:ascii="Narkisim" w:hAnsi="Narkisim"/>
        </w:rPr>
      </w:pPr>
      <w:r w:rsidRPr="0041053F">
        <w:rPr>
          <w:rFonts w:ascii="Narkisim" w:hAnsi="Narkisim"/>
          <w:u w:val="single"/>
          <w:rtl/>
        </w:rPr>
        <w:t>בא"ד אבל לעיל במתה א' מהן ליכא למיגזר וכו' דליכא אלא אח א'</w:t>
      </w:r>
      <w:r w:rsidRPr="0041053F">
        <w:rPr>
          <w:rFonts w:ascii="Narkisim" w:hAnsi="Narkisim"/>
          <w:rtl/>
        </w:rPr>
        <w:t>. מבואר בתוס' דהיכא דיש ב' אחים, ואח"כ מתה היבמה, עדיין הגזירה שלא ייבם במקומה עומדת. ע' תוס' (ד"ה ולימא, בסמוך) והמפרשים.</w:t>
      </w:r>
    </w:p>
    <w:p w14:paraId="7C63DB27" w14:textId="77777777" w:rsidR="006074A5" w:rsidRPr="0041053F" w:rsidRDefault="006074A5" w:rsidP="006074A5">
      <w:pPr>
        <w:pStyle w:val="3"/>
        <w:bidi/>
        <w:rPr>
          <w:rFonts w:ascii="Narkisim" w:hAnsi="Narkisim"/>
        </w:rPr>
      </w:pPr>
      <w:r w:rsidRPr="0041053F">
        <w:rPr>
          <w:rFonts w:ascii="Narkisim" w:hAnsi="Narkisim"/>
          <w:rtl/>
        </w:rPr>
        <w:t>דף כח.</w:t>
      </w:r>
    </w:p>
    <w:p w14:paraId="1DDB5371" w14:textId="77777777" w:rsidR="006074A5" w:rsidRPr="0041053F" w:rsidRDefault="006074A5" w:rsidP="006074A5">
      <w:pPr>
        <w:pStyle w:val="aa"/>
        <w:bidi/>
        <w:rPr>
          <w:rFonts w:ascii="Narkisim" w:hAnsi="Narkisim"/>
        </w:rPr>
      </w:pPr>
      <w:r w:rsidRPr="0041053F">
        <w:rPr>
          <w:rFonts w:ascii="Narkisim" w:hAnsi="Narkisim"/>
          <w:u w:val="single"/>
          <w:rtl/>
        </w:rPr>
        <w:t>ולימא גזירה דילמא קדים וחליץ ברישא.</w:t>
      </w:r>
      <w:r w:rsidRPr="0041053F">
        <w:rPr>
          <w:rFonts w:ascii="Narkisim" w:hAnsi="Narkisim"/>
          <w:rtl/>
        </w:rPr>
        <w:t xml:space="preserve"> פ</w:t>
      </w:r>
      <w:r w:rsidRPr="0041053F">
        <w:rPr>
          <w:rFonts w:ascii="Narkisim" w:hAnsi="Narkisim"/>
          <w:b/>
          <w:bCs/>
          <w:rtl/>
        </w:rPr>
        <w:t>רש"י</w:t>
      </w:r>
      <w:r w:rsidRPr="0041053F">
        <w:rPr>
          <w:rFonts w:ascii="Narkisim" w:hAnsi="Narkisim"/>
          <w:rtl/>
        </w:rPr>
        <w:t xml:space="preserve"> ובדיעבד שחלץ לשנייה תחילה מותרת. וצ"ב אמאי איצטריך </w:t>
      </w:r>
      <w:r w:rsidRPr="0041053F">
        <w:rPr>
          <w:rFonts w:ascii="Narkisim" w:hAnsi="Narkisim"/>
          <w:rtl/>
        </w:rPr>
        <w:lastRenderedPageBreak/>
        <w:t>להכי. ולכאו' כוונת רש"י לפרש דא"כ אף היכא דמת יש לגזור כן. והאיך ר' יוחנן התיר במתה שנייה. [וע"ע תוס'].</w:t>
      </w:r>
    </w:p>
    <w:p w14:paraId="021CDBAA" w14:textId="77777777" w:rsidR="006074A5" w:rsidRPr="0041053F" w:rsidRDefault="006074A5" w:rsidP="006074A5">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(והרמב"ן, והראב"ד ס' כתוב שם) פי' ע"פ דברי רש"י דתלי אי באו לימלך, ועי"ז אסרו להם</w:t>
      </w:r>
      <w:r w:rsidRPr="0041053F">
        <w:rPr>
          <w:rStyle w:val="ac"/>
          <w:rFonts w:ascii="Narkisim" w:hAnsi="Narkisim"/>
          <w:rtl/>
        </w:rPr>
        <w:footnoteReference w:id="1670"/>
      </w:r>
      <w:r w:rsidRPr="0041053F">
        <w:rPr>
          <w:rFonts w:ascii="Narkisim" w:hAnsi="Narkisim"/>
          <w:rtl/>
        </w:rPr>
        <w:t>. ולפ"ז בד' אחים שבאו לימלך יש גזירה אף שמת אח"כ. ור' יוחנן איירי בנפלו לפני יבם א', א"נ בלא בא לימלך.</w:t>
      </w:r>
    </w:p>
    <w:p w14:paraId="2823B26B" w14:textId="77777777" w:rsidR="006074A5" w:rsidRPr="0041053F" w:rsidRDefault="006074A5" w:rsidP="006074A5">
      <w:pPr>
        <w:bidi/>
        <w:rPr>
          <w:rFonts w:ascii="Narkisim" w:hAnsi="Narkisim" w:cs="Narkisim"/>
        </w:rPr>
      </w:pPr>
      <w:r w:rsidRPr="0041053F">
        <w:rPr>
          <w:rFonts w:ascii="Narkisim" w:hAnsi="Narkisim" w:cs="Narkisim"/>
          <w:u w:val="single"/>
          <w:rtl/>
        </w:rPr>
        <w:t>ולימא ליה גזירה שמא ימות, ואסור לבטל מצוות יבמין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ולאו משום זיקה, אלא משום אסור לבטל. וצ"ב דלאחר שחלץ לא', תו ל"ש ביטול מצוות יבמין. ו</w:t>
      </w:r>
      <w:r w:rsidRPr="0041053F">
        <w:rPr>
          <w:rFonts w:ascii="Narkisim" w:hAnsi="Narkisim" w:cs="Narkisim"/>
          <w:b/>
          <w:bCs/>
          <w:rtl/>
        </w:rPr>
        <w:t>רש"י</w:t>
      </w:r>
      <w:r w:rsidRPr="0041053F">
        <w:rPr>
          <w:rFonts w:ascii="Narkisim" w:hAnsi="Narkisim" w:cs="Narkisim"/>
          <w:rtl/>
        </w:rPr>
        <w:t xml:space="preserve"> פי' דלגמרי שקול רבנן דין יבום מאחיות. ואפי' לאחר שחלץ, דלא ירגילו יבום באחיות</w:t>
      </w:r>
      <w:r w:rsidRPr="0041053F">
        <w:rPr>
          <w:rStyle w:val="ac"/>
          <w:rFonts w:ascii="Narkisim" w:hAnsi="Narkisim" w:cs="Narkisim"/>
          <w:rtl/>
        </w:rPr>
        <w:footnoteReference w:id="1671"/>
      </w:r>
      <w:r w:rsidRPr="0041053F">
        <w:rPr>
          <w:rFonts w:ascii="Narkisim" w:hAnsi="Narkisim" w:cs="Narkisim"/>
          <w:rtl/>
        </w:rPr>
        <w:t>.</w:t>
      </w:r>
    </w:p>
    <w:p w14:paraId="7C808C69" w14:textId="77777777" w:rsidR="006074A5" w:rsidRPr="0041053F" w:rsidRDefault="006074A5" w:rsidP="006074A5">
      <w:pPr>
        <w:pStyle w:val="a7"/>
        <w:bidi/>
        <w:rPr>
          <w:rFonts w:ascii="Narkisim" w:hAnsi="Narkisim"/>
        </w:rPr>
      </w:pPr>
      <w:r w:rsidRPr="0041053F">
        <w:rPr>
          <w:rFonts w:ascii="Narkisim" w:hAnsi="Narkisim"/>
          <w:rtl/>
        </w:rPr>
        <w:t>וצ"ב דאף לר' יוחנן נימא הכי, שלא להרגיל ביבום אחיות, שקול יבום לגמרי. ומש"ה יאסר אף לאחר שחלץ. וה</w:t>
      </w:r>
      <w:r w:rsidRPr="0041053F">
        <w:rPr>
          <w:rFonts w:ascii="Narkisim" w:hAnsi="Narkisim"/>
          <w:b/>
          <w:bCs/>
          <w:rtl/>
        </w:rPr>
        <w:t>רמב"ן</w:t>
      </w:r>
      <w:r w:rsidRPr="0041053F">
        <w:rPr>
          <w:rFonts w:ascii="Narkisim" w:hAnsi="Narkisim"/>
          <w:rtl/>
        </w:rPr>
        <w:t xml:space="preserve"> פי' [כמ"ש </w:t>
      </w:r>
      <w:r w:rsidRPr="0041053F">
        <w:rPr>
          <w:rFonts w:ascii="Narkisim" w:hAnsi="Narkisim"/>
          <w:b/>
          <w:bCs/>
          <w:rtl/>
        </w:rPr>
        <w:t>תוס</w:t>
      </w:r>
      <w:r w:rsidRPr="0041053F">
        <w:rPr>
          <w:rFonts w:ascii="Narkisim" w:hAnsi="Narkisim"/>
          <w:rtl/>
        </w:rPr>
        <w:t>' לעיל כד. וכז: ד"ה איתיביה] דלמ"ד יש זיקה ל"ש חשש זה, דפוגע באחות זקוקתו. ודוקא למ"ד דמשום ביטול מצוות יבמין, ואינו פגוע בשום צד ערוה. ועוד דלא משמע לאינשי חשש מיתה</w:t>
      </w:r>
      <w:r w:rsidRPr="0041053F">
        <w:rPr>
          <w:rStyle w:val="ac"/>
          <w:rFonts w:ascii="Narkisim" w:hAnsi="Narkisim"/>
          <w:rtl/>
        </w:rPr>
        <w:footnoteReference w:id="1672"/>
      </w:r>
      <w:r w:rsidRPr="0041053F">
        <w:rPr>
          <w:rFonts w:ascii="Narkisim" w:hAnsi="Narkisim"/>
          <w:rtl/>
        </w:rPr>
        <w:t>.</w:t>
      </w:r>
    </w:p>
    <w:p w14:paraId="6A978B4F"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ראב"ד</w:t>
      </w:r>
      <w:r w:rsidRPr="0041053F">
        <w:rPr>
          <w:rFonts w:ascii="Narkisim" w:hAnsi="Narkisim" w:cs="Narkisim"/>
          <w:sz w:val="20"/>
          <w:szCs w:val="20"/>
          <w:rtl/>
        </w:rPr>
        <w:t xml:space="preserve"> (כתוב שם)</w:t>
      </w:r>
      <w:r w:rsidRPr="0041053F">
        <w:rPr>
          <w:rFonts w:ascii="Narkisim" w:hAnsi="Narkisim" w:cs="Narkisim"/>
          <w:rtl/>
        </w:rPr>
        <w:t xml:space="preserve"> חידש דאף לאחר שחלץ לא' צריך השני לחלוץ משום חשש ביטול מצוות יבמין. וביאר דשמא לאחר שיחלוץ לא', זה שרוצה לייבם יתעכב וימות, ותיפול לפני החולץ. וכלפי הך חולץ הוה חליצה פסולה, ונחשב ביטול המצווה, דהמצווה הוה או יבום או חליצה כשירה במקום שאפשר לייבם. והוה אחות חלוצתו שהיא חליצה פסולה. </w:t>
      </w:r>
      <w:r w:rsidRPr="0041053F">
        <w:rPr>
          <w:rFonts w:ascii="Narkisim" w:hAnsi="Narkisim" w:cs="Narkisim"/>
          <w:szCs w:val="20"/>
          <w:rtl/>
        </w:rPr>
        <w:t>והראב"ד ביאר דמש"ה אמרי' שיחלוץ. דאילו לייבם יש טורח גדול ביבום ונישואין</w:t>
      </w:r>
      <w:r w:rsidRPr="0041053F">
        <w:rPr>
          <w:rStyle w:val="ac"/>
          <w:rFonts w:ascii="Narkisim" w:hAnsi="Narkisim" w:cs="Narkisim"/>
          <w:szCs w:val="20"/>
          <w:rtl/>
        </w:rPr>
        <w:footnoteReference w:id="1673"/>
      </w:r>
      <w:r w:rsidRPr="0041053F">
        <w:rPr>
          <w:rFonts w:ascii="Narkisim" w:hAnsi="Narkisim" w:cs="Narkisim"/>
          <w:szCs w:val="20"/>
          <w:rtl/>
        </w:rPr>
        <w:t>, חיישינן שעי"ז יתעכב וימות המייבם. ויתבטל מצוות יבמין.</w:t>
      </w:r>
    </w:p>
    <w:p w14:paraId="52C83695" w14:textId="77777777" w:rsidR="006074A5" w:rsidRPr="0041053F" w:rsidRDefault="006074A5" w:rsidP="006074A5">
      <w:pPr>
        <w:pStyle w:val="a8"/>
        <w:bidi/>
        <w:rPr>
          <w:rFonts w:ascii="Narkisim" w:hAnsi="Narkisim"/>
        </w:rPr>
      </w:pPr>
      <w:r w:rsidRPr="0041053F">
        <w:rPr>
          <w:rFonts w:ascii="Narkisim" w:hAnsi="Narkisim"/>
          <w:rtl/>
        </w:rPr>
        <w:t>[ונתחדש בדברי הראב"ד דחליצה כשירה (במקום הראוי ליבום) נחשב קיום מצוות יבמין. ואילו חליצה במקום שאסורה עליו חליצה הוה פטור בעלמא, משום דבכדי לא תיפוק</w:t>
      </w:r>
      <w:r w:rsidRPr="0041053F">
        <w:rPr>
          <w:rStyle w:val="ac"/>
          <w:rFonts w:ascii="Narkisim" w:hAnsi="Narkisim"/>
          <w:rtl/>
        </w:rPr>
        <w:footnoteReference w:id="1674"/>
      </w:r>
      <w:r w:rsidRPr="0041053F">
        <w:rPr>
          <w:rFonts w:ascii="Narkisim" w:hAnsi="Narkisim"/>
          <w:rtl/>
        </w:rPr>
        <w:t>. ולכאורה חילוק זה הוה מדאורייתא. ועפ"ז נתבאר הא (לעיל כז.) דמהדרינן אחליצה המעולה טפי</w:t>
      </w:r>
      <w:r w:rsidRPr="0041053F">
        <w:rPr>
          <w:rStyle w:val="ac"/>
          <w:rFonts w:ascii="Narkisim" w:hAnsi="Narkisim"/>
          <w:rtl/>
        </w:rPr>
        <w:footnoteReference w:id="1675"/>
      </w:r>
      <w:r w:rsidRPr="0041053F">
        <w:rPr>
          <w:rFonts w:ascii="Narkisim" w:hAnsi="Narkisim"/>
          <w:rtl/>
        </w:rPr>
        <w:t>].</w:t>
      </w:r>
    </w:p>
    <w:p w14:paraId="65E2C6A5" w14:textId="77777777" w:rsidR="006074A5" w:rsidRPr="0041053F" w:rsidRDefault="006074A5" w:rsidP="006074A5">
      <w:pPr>
        <w:pStyle w:val="a8"/>
        <w:bidi/>
        <w:rPr>
          <w:rFonts w:ascii="Narkisim" w:hAnsi="Narkisim"/>
        </w:rPr>
      </w:pPr>
      <w:r w:rsidRPr="0041053F">
        <w:rPr>
          <w:rFonts w:ascii="Narkisim" w:hAnsi="Narkisim"/>
          <w:rtl/>
        </w:rPr>
        <w:t>וכן ה</w:t>
      </w:r>
      <w:r w:rsidRPr="0041053F">
        <w:rPr>
          <w:rFonts w:ascii="Narkisim" w:hAnsi="Narkisim"/>
          <w:b/>
          <w:bCs/>
          <w:rtl/>
        </w:rPr>
        <w:t>תוס' חד מקמאי</w:t>
      </w:r>
      <w:r w:rsidRPr="0041053F">
        <w:rPr>
          <w:rFonts w:ascii="Narkisim" w:hAnsi="Narkisim"/>
          <w:rtl/>
        </w:rPr>
        <w:t xml:space="preserve"> כת' וליחוש שמא ימות ואסור לבטל מצוות יבמין, וקעבדא חליצה פסולה. וצ"ב כוונתו</w:t>
      </w:r>
      <w:r w:rsidRPr="0041053F">
        <w:rPr>
          <w:rStyle w:val="ac"/>
          <w:rFonts w:ascii="Narkisim" w:hAnsi="Narkisim"/>
          <w:rtl/>
        </w:rPr>
        <w:footnoteReference w:id="1676"/>
      </w:r>
      <w:r w:rsidRPr="0041053F">
        <w:rPr>
          <w:rFonts w:ascii="Narkisim" w:hAnsi="Narkisim"/>
          <w:rtl/>
        </w:rPr>
        <w:t>. וה</w:t>
      </w:r>
      <w:r w:rsidRPr="0041053F">
        <w:rPr>
          <w:rFonts w:ascii="Narkisim" w:hAnsi="Narkisim"/>
          <w:b/>
          <w:bCs/>
          <w:rtl/>
        </w:rPr>
        <w:t>אחרונים</w:t>
      </w:r>
      <w:r w:rsidRPr="0041053F">
        <w:rPr>
          <w:rFonts w:ascii="Narkisim" w:hAnsi="Narkisim"/>
          <w:rtl/>
        </w:rPr>
        <w:t xml:space="preserve"> ביארו כוונתו [כמ"ש הראב"ד], דאם ימות תעשה חליצה שאינה מושלמת.</w:t>
      </w:r>
    </w:p>
    <w:p w14:paraId="47EBA3F3"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אבל ה</w:t>
      </w:r>
      <w:r w:rsidRPr="0041053F">
        <w:rPr>
          <w:rFonts w:ascii="Narkisim" w:hAnsi="Narkisim" w:cs="Narkisim"/>
          <w:b/>
          <w:bCs/>
          <w:rtl/>
        </w:rPr>
        <w:t>בעה"מ</w:t>
      </w:r>
      <w:r w:rsidRPr="0041053F">
        <w:rPr>
          <w:rFonts w:ascii="Narkisim" w:hAnsi="Narkisim" w:cs="Narkisim"/>
          <w:rtl/>
        </w:rPr>
        <w:t xml:space="preserve"> פי' [להך לישנא] דלשון המשנה דהרי אלו חולצות, כדי שלא לבא לידי 'ולא מתייבמות'. כלומר שלא תעקר מצוות יבום. אבל אחרי שאחד חולץ השני יכול לייבם.</w:t>
      </w:r>
    </w:p>
    <w:p w14:paraId="35FD6C5B" w14:textId="77777777" w:rsidR="006074A5" w:rsidRPr="0041053F" w:rsidRDefault="006074A5" w:rsidP="006074A5">
      <w:pPr>
        <w:pStyle w:val="aa"/>
        <w:bidi/>
        <w:rPr>
          <w:rFonts w:ascii="Narkisim" w:hAnsi="Narkisim"/>
        </w:rPr>
      </w:pPr>
      <w:r w:rsidRPr="0041053F">
        <w:rPr>
          <w:rFonts w:ascii="Narkisim" w:hAnsi="Narkisim"/>
          <w:u w:val="single"/>
          <w:rtl/>
        </w:rPr>
        <w:t>שם. ואסור לבטל מצוות יבמין</w:t>
      </w:r>
      <w:r w:rsidRPr="0041053F">
        <w:rPr>
          <w:rFonts w:ascii="Narkisim" w:hAnsi="Narkisim"/>
          <w:rtl/>
        </w:rPr>
        <w:t xml:space="preserve">. </w:t>
      </w:r>
      <w:r w:rsidRPr="0041053F">
        <w:rPr>
          <w:rFonts w:ascii="Narkisim" w:hAnsi="Narkisim"/>
          <w:b/>
          <w:bCs/>
          <w:rtl/>
        </w:rPr>
        <w:t>רש"י</w:t>
      </w:r>
      <w:r w:rsidRPr="0041053F">
        <w:rPr>
          <w:rFonts w:ascii="Narkisim" w:hAnsi="Narkisim"/>
          <w:rtl/>
        </w:rPr>
        <w:t xml:space="preserve"> (לעיל יח.) פי' דאם ייבם, ואח"כ ימות אחיו, א"כ האחות תצא בלא חליצה</w:t>
      </w:r>
      <w:r w:rsidRPr="0041053F">
        <w:rPr>
          <w:rStyle w:val="ac"/>
          <w:rFonts w:ascii="Narkisim" w:hAnsi="Narkisim"/>
          <w:rtl/>
        </w:rPr>
        <w:footnoteReference w:id="1677"/>
      </w:r>
      <w:r w:rsidRPr="0041053F">
        <w:rPr>
          <w:rFonts w:ascii="Narkisim" w:hAnsi="Narkisim"/>
          <w:rtl/>
        </w:rPr>
        <w:t>. אבל ה</w:t>
      </w:r>
      <w:r w:rsidRPr="0041053F">
        <w:rPr>
          <w:rFonts w:ascii="Narkisim" w:hAnsi="Narkisim"/>
          <w:b/>
          <w:bCs/>
          <w:rtl/>
        </w:rPr>
        <w:t>ראב"ד</w:t>
      </w:r>
      <w:r w:rsidRPr="0041053F">
        <w:rPr>
          <w:rFonts w:ascii="Narkisim" w:hAnsi="Narkisim"/>
          <w:rtl/>
        </w:rPr>
        <w:t xml:space="preserve"> (הנ"ל) פי' דאף דחולצת, חליצה פסולה חשיב ביטול מצוות יבמין.</w:t>
      </w:r>
    </w:p>
    <w:p w14:paraId="5632B90C" w14:textId="77777777" w:rsidR="006074A5" w:rsidRPr="0041053F" w:rsidRDefault="006074A5" w:rsidP="006074A5">
      <w:pPr>
        <w:pStyle w:val="aa"/>
        <w:bidi/>
        <w:rPr>
          <w:rFonts w:ascii="Narkisim" w:hAnsi="Narkisim"/>
        </w:rPr>
      </w:pPr>
      <w:r w:rsidRPr="0041053F">
        <w:rPr>
          <w:rFonts w:ascii="Narkisim" w:hAnsi="Narkisim"/>
          <w:u w:val="single"/>
          <w:rtl/>
        </w:rPr>
        <w:t>רש"י ד"ה ולימא ליה גזירה שמא ימות.</w:t>
      </w:r>
      <w:r w:rsidRPr="0041053F">
        <w:rPr>
          <w:rFonts w:ascii="Narkisim" w:hAnsi="Narkisim"/>
          <w:rtl/>
        </w:rPr>
        <w:t xml:space="preserve"> ומש"ה שקול רבנן דין יבום מאחיות לגמרי. [ומשמע דגדר התקנה שבטלו את הדין יבום</w:t>
      </w:r>
      <w:r w:rsidRPr="0041053F">
        <w:rPr>
          <w:rStyle w:val="ac"/>
          <w:rFonts w:ascii="Narkisim" w:hAnsi="Narkisim"/>
          <w:rtl/>
        </w:rPr>
        <w:footnoteReference w:id="1678"/>
      </w:r>
      <w:r w:rsidRPr="0041053F">
        <w:rPr>
          <w:rFonts w:ascii="Narkisim" w:hAnsi="Narkisim"/>
          <w:rtl/>
        </w:rPr>
        <w:t>].</w:t>
      </w:r>
    </w:p>
    <w:p w14:paraId="72F1E0F7" w14:textId="77777777" w:rsidR="006074A5" w:rsidRPr="0041053F" w:rsidRDefault="006074A5" w:rsidP="006074A5">
      <w:pPr>
        <w:bidi/>
        <w:rPr>
          <w:rFonts w:ascii="Narkisim" w:hAnsi="Narkisim" w:cs="Narkisim"/>
        </w:rPr>
      </w:pPr>
      <w:r w:rsidRPr="0041053F">
        <w:rPr>
          <w:rFonts w:ascii="Narkisim" w:hAnsi="Narkisim" w:cs="Narkisim"/>
          <w:u w:val="single"/>
          <w:rtl/>
        </w:rPr>
        <w:lastRenderedPageBreak/>
        <w:t>ר' יוחנן לא חייש למיתה.</w:t>
      </w:r>
      <w:r w:rsidRPr="0041053F">
        <w:rPr>
          <w:rFonts w:ascii="Narkisim" w:hAnsi="Narkisim" w:cs="Narkisim"/>
          <w:rtl/>
        </w:rPr>
        <w:t xml:space="preserve"> ה</w:t>
      </w:r>
      <w:r w:rsidRPr="0041053F">
        <w:rPr>
          <w:rFonts w:ascii="Narkisim" w:hAnsi="Narkisim" w:cs="Narkisim"/>
          <w:b/>
          <w:bCs/>
          <w:rtl/>
        </w:rPr>
        <w:t>רשב"א</w:t>
      </w:r>
      <w:r w:rsidRPr="0041053F">
        <w:rPr>
          <w:rFonts w:ascii="Narkisim" w:hAnsi="Narkisim" w:cs="Narkisim"/>
          <w:rtl/>
        </w:rPr>
        <w:t xml:space="preserve"> הוסיף וס"ל דלא סתים תנא לחשוש למיתה. </w:t>
      </w:r>
      <w:r w:rsidRPr="0041053F">
        <w:rPr>
          <w:rFonts w:ascii="Narkisim" w:hAnsi="Narkisim" w:cs="Narkisim"/>
          <w:sz w:val="20"/>
          <w:szCs w:val="20"/>
          <w:rtl/>
        </w:rPr>
        <w:t>וה</w:t>
      </w:r>
      <w:r w:rsidRPr="0041053F">
        <w:rPr>
          <w:rFonts w:ascii="Narkisim" w:hAnsi="Narkisim" w:cs="Narkisim"/>
          <w:b/>
          <w:bCs/>
          <w:sz w:val="20"/>
          <w:szCs w:val="20"/>
          <w:rtl/>
        </w:rPr>
        <w:t>מצפ"א</w:t>
      </w:r>
      <w:r w:rsidRPr="0041053F">
        <w:rPr>
          <w:rFonts w:ascii="Narkisim" w:hAnsi="Narkisim" w:cs="Narkisim"/>
          <w:sz w:val="20"/>
          <w:szCs w:val="20"/>
          <w:rtl/>
        </w:rPr>
        <w:t xml:space="preserve"> הק' דאשכחן תנאים בעלמא (גיטין כח., סוכה כד) שנח' אי חיישינן למיתה. ותי' דר' יוחנן סבר דבאיסור קל דביטול מצוות יבמין לא גזרו. ועוד דמבטל בשב ואל תעשה</w:t>
      </w:r>
      <w:r w:rsidRPr="0041053F">
        <w:rPr>
          <w:rStyle w:val="ac"/>
          <w:rFonts w:ascii="Narkisim" w:hAnsi="Narkisim" w:cs="Narkisim"/>
          <w:sz w:val="20"/>
          <w:szCs w:val="20"/>
          <w:rtl/>
        </w:rPr>
        <w:footnoteReference w:id="1679"/>
      </w:r>
      <w:r w:rsidRPr="0041053F">
        <w:rPr>
          <w:rFonts w:ascii="Narkisim" w:hAnsi="Narkisim" w:cs="Narkisim"/>
          <w:sz w:val="20"/>
          <w:szCs w:val="20"/>
          <w:rtl/>
        </w:rPr>
        <w:t>.</w:t>
      </w:r>
    </w:p>
    <w:p w14:paraId="44505B3E" w14:textId="77777777" w:rsidR="006074A5" w:rsidRPr="0041053F" w:rsidRDefault="006074A5" w:rsidP="006074A5">
      <w:pPr>
        <w:bidi/>
        <w:rPr>
          <w:rFonts w:ascii="Narkisim" w:hAnsi="Narkisim" w:cs="Narkisim"/>
        </w:rPr>
      </w:pPr>
      <w:r w:rsidRPr="0041053F">
        <w:rPr>
          <w:rFonts w:ascii="Narkisim" w:hAnsi="Narkisim" w:cs="Narkisim"/>
          <w:u w:val="single"/>
          <w:rtl/>
        </w:rPr>
        <w:t>ולימא ליה ר"א היא דאמר וכו' נאסרה עליו עולמית</w:t>
      </w:r>
      <w:r w:rsidRPr="0041053F">
        <w:rPr>
          <w:rFonts w:ascii="Narkisim" w:hAnsi="Narkisim" w:cs="Narkisim"/>
          <w:rtl/>
        </w:rPr>
        <w:t xml:space="preserve">. דבברייתא (לקמן מא.) ר"א ס"ל דהותרה ונאסרה אסור. אך </w:t>
      </w:r>
      <w:r w:rsidRPr="0041053F">
        <w:rPr>
          <w:rFonts w:ascii="Narkisim" w:hAnsi="Narkisim" w:cs="Narkisim"/>
          <w:b/>
          <w:bCs/>
          <w:rtl/>
        </w:rPr>
        <w:t>רש"י</w:t>
      </w:r>
      <w:r w:rsidRPr="0041053F">
        <w:rPr>
          <w:rFonts w:ascii="Narkisim" w:hAnsi="Narkisim" w:cs="Narkisim"/>
          <w:rtl/>
        </w:rPr>
        <w:t xml:space="preserve"> ציין לדברי ר"א (לקמן קט.) דמקדש ומגרש [לחד לישנא שם], דהוה עיקר דין 'נאסרה'. [אך הגמ' (מא.) דוחה דהיכא דחזיא בשעת נפילה מי אמר. הדר אמר אין, דתניא להדיא דר"א אוסר בהותרה ונאסרה</w:t>
      </w:r>
      <w:r w:rsidRPr="0041053F">
        <w:rPr>
          <w:rStyle w:val="ac"/>
          <w:rFonts w:ascii="Narkisim" w:hAnsi="Narkisim" w:cs="Narkisim"/>
          <w:rtl/>
        </w:rPr>
        <w:footnoteReference w:id="1680"/>
      </w:r>
      <w:r w:rsidRPr="0041053F">
        <w:rPr>
          <w:rFonts w:ascii="Narkisim" w:hAnsi="Narkisim" w:cs="Narkisim"/>
          <w:rtl/>
        </w:rPr>
        <w:t>.</w:t>
      </w:r>
    </w:p>
    <w:p w14:paraId="59C92892" w14:textId="77777777" w:rsidR="006074A5" w:rsidRPr="0041053F" w:rsidRDefault="006074A5" w:rsidP="006074A5">
      <w:pPr>
        <w:bidi/>
        <w:rPr>
          <w:rFonts w:ascii="Narkisim" w:hAnsi="Narkisim" w:cs="Narkisim"/>
        </w:rPr>
      </w:pPr>
      <w:r w:rsidRPr="0041053F">
        <w:rPr>
          <w:rFonts w:ascii="Narkisim" w:hAnsi="Narkisim" w:cs="Narkisim"/>
          <w:u w:val="single"/>
          <w:rtl/>
        </w:rPr>
        <w:t>ונימא ליה דנפלה בבת אחת, וריה"ג היא דאמר אפשר לצמצם וכו'.</w:t>
      </w:r>
      <w:r w:rsidRPr="0041053F">
        <w:rPr>
          <w:rFonts w:ascii="Narkisim" w:hAnsi="Narkisim" w:cs="Narkisim"/>
          <w:rtl/>
        </w:rPr>
        <w:t xml:space="preserve"> ה</w:t>
      </w:r>
      <w:r w:rsidRPr="0041053F">
        <w:rPr>
          <w:rFonts w:ascii="Narkisim" w:hAnsi="Narkisim" w:cs="Narkisim"/>
          <w:b/>
          <w:bCs/>
          <w:rtl/>
        </w:rPr>
        <w:t xml:space="preserve">ברכ"ש </w:t>
      </w:r>
      <w:r w:rsidRPr="0041053F">
        <w:rPr>
          <w:rFonts w:ascii="Narkisim" w:hAnsi="Narkisim" w:cs="Narkisim"/>
          <w:rtl/>
        </w:rPr>
        <w:t>(יד ו) הביא דנחשב נאסרה בשעת נפילה, דאף אחותה נזדקקה לו מיד בשעת מיתת היבם, ולא הותר רגע א'</w:t>
      </w:r>
      <w:r w:rsidRPr="0041053F">
        <w:rPr>
          <w:rStyle w:val="ac"/>
          <w:rFonts w:ascii="Narkisim" w:hAnsi="Narkisim" w:cs="Narkisim"/>
          <w:rtl/>
        </w:rPr>
        <w:footnoteReference w:id="1681"/>
      </w:r>
      <w:r w:rsidRPr="0041053F">
        <w:rPr>
          <w:rFonts w:ascii="Narkisim" w:hAnsi="Narkisim" w:cs="Narkisim"/>
          <w:rtl/>
        </w:rPr>
        <w:t xml:space="preserve">. ואף דקודם מיתה היתה מותרת לו. </w:t>
      </w:r>
      <w:r w:rsidRPr="0041053F">
        <w:rPr>
          <w:rFonts w:ascii="Narkisim" w:hAnsi="Narkisim" w:cs="Narkisim"/>
          <w:sz w:val="20"/>
          <w:szCs w:val="20"/>
          <w:rtl/>
        </w:rPr>
        <w:t>[וגדר 'נאסרה' תלי ברגע שלאחר המיתה, ולא בסוף החיים].</w:t>
      </w:r>
    </w:p>
    <w:p w14:paraId="15265B15" w14:textId="77777777" w:rsidR="006074A5" w:rsidRPr="0041053F" w:rsidRDefault="006074A5" w:rsidP="006074A5">
      <w:pPr>
        <w:pStyle w:val="a8"/>
        <w:bidi/>
        <w:rPr>
          <w:rFonts w:ascii="Narkisim" w:hAnsi="Narkisim"/>
        </w:rPr>
      </w:pPr>
      <w:r w:rsidRPr="0041053F">
        <w:rPr>
          <w:rFonts w:ascii="Narkisim" w:hAnsi="Narkisim"/>
          <w:rtl/>
        </w:rPr>
        <w:t>וכתב דכ"ז לענין נאסרה, אבל פטור צרה תלי בהא שהיא צרת ערוה קודם נפילה. וכדמבואר מדברי בית שמאי (לעיל יג:) דנחשב לאחר נפילה כשנעשית צרת ערוה בשעת נפילה [דחל איסור אחות אשה ע"י היתר האיסור אשת אח</w:t>
      </w:r>
      <w:r w:rsidRPr="0041053F">
        <w:rPr>
          <w:rStyle w:val="ac"/>
          <w:rFonts w:ascii="Narkisim" w:hAnsi="Narkisim"/>
          <w:rtl/>
        </w:rPr>
        <w:footnoteReference w:id="1682"/>
      </w:r>
      <w:r w:rsidRPr="0041053F">
        <w:rPr>
          <w:rFonts w:ascii="Narkisim" w:hAnsi="Narkisim"/>
          <w:rtl/>
        </w:rPr>
        <w:t>].</w:t>
      </w:r>
    </w:p>
    <w:p w14:paraId="7B80F9A2" w14:textId="77777777" w:rsidR="006074A5" w:rsidRPr="0041053F" w:rsidRDefault="006074A5" w:rsidP="006074A5">
      <w:pPr>
        <w:pStyle w:val="aa"/>
        <w:bidi/>
        <w:rPr>
          <w:rFonts w:ascii="Narkisim" w:hAnsi="Narkisim"/>
        </w:rPr>
      </w:pPr>
      <w:r w:rsidRPr="0041053F">
        <w:rPr>
          <w:rFonts w:ascii="Narkisim" w:hAnsi="Narkisim"/>
          <w:u w:val="single"/>
          <w:rtl/>
        </w:rPr>
        <w:t>תוד"ה לא סתם לן</w:t>
      </w:r>
      <w:r w:rsidRPr="0041053F">
        <w:rPr>
          <w:rFonts w:ascii="Narkisim" w:hAnsi="Narkisim"/>
          <w:rtl/>
        </w:rPr>
        <w:t>. ובידי שמים נמי משמע לרבא (בכורות ס:) דאפשר לצמצם</w:t>
      </w:r>
      <w:r w:rsidRPr="0041053F">
        <w:rPr>
          <w:rStyle w:val="ac"/>
          <w:rFonts w:ascii="Narkisim" w:hAnsi="Narkisim"/>
          <w:rtl/>
        </w:rPr>
        <w:footnoteReference w:id="1683"/>
      </w:r>
      <w:r w:rsidRPr="0041053F">
        <w:rPr>
          <w:rFonts w:ascii="Narkisim" w:hAnsi="Narkisim"/>
          <w:rtl/>
        </w:rPr>
        <w:t xml:space="preserve">. ודלא כר' יוחנן דסוגיין. אבל </w:t>
      </w:r>
      <w:r w:rsidRPr="0041053F">
        <w:rPr>
          <w:rFonts w:ascii="Narkisim" w:hAnsi="Narkisim"/>
          <w:b/>
          <w:bCs/>
          <w:rtl/>
        </w:rPr>
        <w:t>תוס</w:t>
      </w:r>
      <w:r w:rsidRPr="0041053F">
        <w:rPr>
          <w:rFonts w:ascii="Narkisim" w:hAnsi="Narkisim"/>
          <w:rtl/>
        </w:rPr>
        <w:t>' (סוכה טו: ועירובין ה:) הביאו מסוגיין דקי"ל בידי שמים א"א לצמצם.</w:t>
      </w:r>
    </w:p>
    <w:p w14:paraId="1DF5C738" w14:textId="77777777" w:rsidR="006074A5" w:rsidRPr="0041053F" w:rsidRDefault="006074A5" w:rsidP="006074A5">
      <w:pPr>
        <w:bidi/>
        <w:rPr>
          <w:rFonts w:ascii="Narkisim" w:hAnsi="Narkisim" w:cs="Narkisim"/>
        </w:rPr>
      </w:pPr>
      <w:r w:rsidRPr="0041053F">
        <w:rPr>
          <w:rFonts w:ascii="Narkisim" w:hAnsi="Narkisim" w:cs="Narkisim"/>
          <w:u w:val="single"/>
          <w:rtl/>
        </w:rPr>
        <w:t>ולימא ליה דלא ידעינן וכו' אלא שניה אמר חבראי וכו'.</w:t>
      </w:r>
      <w:r w:rsidRPr="0041053F">
        <w:rPr>
          <w:rFonts w:ascii="Narkisim" w:hAnsi="Narkisim" w:cs="Narkisim"/>
          <w:rtl/>
        </w:rPr>
        <w:t xml:space="preserve"> והוה ספק האם נאסרה בשעת נפילה, מחמת איסור אחות זקוקה. ופ</w:t>
      </w:r>
      <w:r w:rsidRPr="0041053F">
        <w:rPr>
          <w:rFonts w:ascii="Narkisim" w:hAnsi="Narkisim" w:cs="Narkisim"/>
          <w:b/>
          <w:bCs/>
          <w:rtl/>
        </w:rPr>
        <w:t>רש"י</w:t>
      </w:r>
      <w:r w:rsidRPr="0041053F">
        <w:rPr>
          <w:rFonts w:ascii="Narkisim" w:hAnsi="Narkisim" w:cs="Narkisim"/>
          <w:rtl/>
        </w:rPr>
        <w:t xml:space="preserve"> (בסו"ד) דהכי אמר (לעיל כג: כד.) דבספק אחות זקוקה אין מוציאין מידם. [ולכאו' כוונת ר' יוחנן ע"פ המשנה כג:</w:t>
      </w:r>
      <w:r w:rsidRPr="0041053F">
        <w:rPr>
          <w:rStyle w:val="ac"/>
          <w:rFonts w:ascii="Narkisim" w:hAnsi="Narkisim" w:cs="Narkisim"/>
          <w:rtl/>
        </w:rPr>
        <w:footnoteReference w:id="1684"/>
      </w:r>
      <w:r w:rsidRPr="0041053F">
        <w:rPr>
          <w:rFonts w:ascii="Narkisim" w:hAnsi="Narkisim" w:cs="Narkisim"/>
          <w:rtl/>
        </w:rPr>
        <w:t>]. [ע' בסמוך בשם הרמב"ם].</w:t>
      </w:r>
    </w:p>
    <w:p w14:paraId="78E8837C"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הק' דכיון [דיבם זה אומר] שהראשון פגע באחות זקוקתו. וא"כ לדבריו אחיו לא קנה קנין גמור, דהוה ביאה פסולה. דומיא דחליצה פסולה. ומבואר (לקמן נ:) דביאה פסולה צריך גט וחליצה, א"כ עדיין הוה אחות זקוקתו.</w:t>
      </w:r>
    </w:p>
    <w:p w14:paraId="0B092B94"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(קו' זיקה ל) כתב דכיון דיש היתר לאיסורו לא נחשב ביאה פסולה. </w:t>
      </w:r>
      <w:r w:rsidRPr="0041053F">
        <w:rPr>
          <w:rFonts w:ascii="Narkisim" w:hAnsi="Narkisim"/>
          <w:sz w:val="20"/>
          <w:szCs w:val="20"/>
          <w:rtl/>
        </w:rPr>
        <w:t>[וכעין מש"כ ה</w:t>
      </w:r>
      <w:r w:rsidRPr="0041053F">
        <w:rPr>
          <w:rFonts w:ascii="Narkisim" w:hAnsi="Narkisim"/>
          <w:b/>
          <w:bCs/>
          <w:sz w:val="20"/>
          <w:szCs w:val="20"/>
          <w:rtl/>
        </w:rPr>
        <w:t>רשב"א</w:t>
      </w:r>
      <w:r w:rsidRPr="0041053F">
        <w:rPr>
          <w:rFonts w:ascii="Narkisim" w:hAnsi="Narkisim"/>
          <w:sz w:val="20"/>
          <w:szCs w:val="20"/>
          <w:rtl/>
        </w:rPr>
        <w:t xml:space="preserve"> כז. בחד תי']</w:t>
      </w:r>
      <w:r w:rsidRPr="0041053F">
        <w:rPr>
          <w:rFonts w:ascii="Narkisim" w:hAnsi="Narkisim"/>
          <w:rtl/>
        </w:rPr>
        <w:t xml:space="preserve">. וה"נ הנופלת שניה יש היתר לאיסור, דהוה הותרה ונאסרה. וה"נ במקום ספק נחשב דלתרוייהו יש היתר לאיסורם </w:t>
      </w:r>
      <w:r w:rsidRPr="0041053F">
        <w:rPr>
          <w:rFonts w:ascii="Narkisim" w:hAnsi="Narkisim"/>
          <w:sz w:val="20"/>
          <w:szCs w:val="20"/>
          <w:rtl/>
        </w:rPr>
        <w:t>[כיון דמספק אין מוציאין מהשני, דמספק לא החשיבוה כביאה פסולה]</w:t>
      </w:r>
      <w:r w:rsidRPr="0041053F">
        <w:rPr>
          <w:rFonts w:ascii="Narkisim" w:hAnsi="Narkisim"/>
          <w:rtl/>
        </w:rPr>
        <w:t>.</w:t>
      </w:r>
    </w:p>
    <w:p w14:paraId="79D9863C"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אמר"מ</w:t>
      </w:r>
      <w:r w:rsidRPr="0041053F">
        <w:rPr>
          <w:rFonts w:ascii="Narkisim" w:hAnsi="Narkisim"/>
          <w:rtl/>
        </w:rPr>
        <w:t xml:space="preserve"> (ח ב) תי' דאף דביאה פסולה צריכה חליצה [וכן צרותיה], היינו דוקא כלפי יבם זה. אבל מ"מ נפטרה מהאחים. דכיון דהמייבם קנאה מדאור' נאסרת על שאר אחים מדין אשת אח, ופקע הנפילה של המת. </w:t>
      </w:r>
      <w:r w:rsidRPr="0041053F">
        <w:rPr>
          <w:rFonts w:ascii="Narkisim" w:hAnsi="Narkisim"/>
          <w:sz w:val="20"/>
          <w:szCs w:val="20"/>
          <w:rtl/>
        </w:rPr>
        <w:t>(וע"ע לקמן נ:).</w:t>
      </w:r>
    </w:p>
    <w:p w14:paraId="28FF91DA"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חזו"א</w:t>
      </w:r>
      <w:r w:rsidRPr="0041053F">
        <w:rPr>
          <w:rFonts w:ascii="Narkisim" w:hAnsi="Narkisim"/>
          <w:sz w:val="20"/>
          <w:szCs w:val="20"/>
          <w:rtl/>
        </w:rPr>
        <w:t xml:space="preserve"> (קכז ו, קלב ד וכן נקטו ה</w:t>
      </w:r>
      <w:r w:rsidRPr="0041053F">
        <w:rPr>
          <w:rFonts w:ascii="Narkisim" w:hAnsi="Narkisim"/>
          <w:b/>
          <w:bCs/>
          <w:sz w:val="20"/>
          <w:szCs w:val="20"/>
          <w:rtl/>
        </w:rPr>
        <w:t>אחרונים</w:t>
      </w:r>
      <w:r w:rsidRPr="0041053F">
        <w:rPr>
          <w:rFonts w:ascii="Narkisim" w:hAnsi="Narkisim"/>
          <w:sz w:val="20"/>
          <w:szCs w:val="20"/>
          <w:rtl/>
        </w:rPr>
        <w:t xml:space="preserve">) </w:t>
      </w:r>
      <w:r w:rsidRPr="0041053F">
        <w:rPr>
          <w:rFonts w:ascii="Narkisim" w:hAnsi="Narkisim"/>
          <w:rtl/>
        </w:rPr>
        <w:t xml:space="preserve">הביא מכאן דאחות זקוקה לא נחשב ביאה פסולה, והכונס אחות זקוקה, אף שכופין להוציא בגט אבל לא צריך חליצה. </w:t>
      </w:r>
      <w:r w:rsidRPr="0041053F">
        <w:rPr>
          <w:rFonts w:ascii="Narkisim" w:hAnsi="Narkisim"/>
          <w:szCs w:val="20"/>
          <w:rtl/>
        </w:rPr>
        <w:t xml:space="preserve">וביאר דלא העמידו דבריהם </w:t>
      </w:r>
      <w:r w:rsidRPr="0041053F">
        <w:rPr>
          <w:rFonts w:ascii="Narkisim" w:hAnsi="Narkisim"/>
          <w:szCs w:val="20"/>
          <w:rtl/>
        </w:rPr>
        <w:lastRenderedPageBreak/>
        <w:t>לענין זה, ודין ביאה פסולה</w:t>
      </w:r>
      <w:r w:rsidRPr="0041053F">
        <w:rPr>
          <w:rStyle w:val="ac"/>
          <w:rFonts w:ascii="Narkisim" w:hAnsi="Narkisim"/>
          <w:szCs w:val="20"/>
          <w:rtl/>
        </w:rPr>
        <w:footnoteReference w:id="1685"/>
      </w:r>
      <w:r w:rsidRPr="0041053F">
        <w:rPr>
          <w:rFonts w:ascii="Narkisim" w:hAnsi="Narkisim"/>
          <w:szCs w:val="20"/>
          <w:rtl/>
        </w:rPr>
        <w:t xml:space="preserve"> לא תליא בדין חליצה פסולה</w:t>
      </w:r>
      <w:r w:rsidRPr="0041053F">
        <w:rPr>
          <w:rStyle w:val="ac"/>
          <w:rFonts w:ascii="Narkisim" w:hAnsi="Narkisim"/>
          <w:szCs w:val="20"/>
          <w:rtl/>
        </w:rPr>
        <w:footnoteReference w:id="1686"/>
      </w:r>
      <w:r w:rsidRPr="0041053F">
        <w:rPr>
          <w:rFonts w:ascii="Narkisim" w:hAnsi="Narkisim"/>
          <w:rtl/>
        </w:rPr>
        <w:t xml:space="preserve">.  </w:t>
      </w:r>
    </w:p>
    <w:p w14:paraId="6F8B1AF4" w14:textId="77777777" w:rsidR="006074A5" w:rsidRPr="0041053F" w:rsidRDefault="006074A5" w:rsidP="006074A5">
      <w:pPr>
        <w:bidi/>
        <w:rPr>
          <w:rFonts w:ascii="Narkisim" w:hAnsi="Narkisim" w:cs="Narkisim"/>
        </w:rPr>
      </w:pPr>
      <w:r w:rsidRPr="0041053F">
        <w:rPr>
          <w:rFonts w:ascii="Narkisim" w:hAnsi="Narkisim" w:cs="Narkisim"/>
          <w:u w:val="single"/>
          <w:rtl/>
        </w:rPr>
        <w:t>רש"י ד"ה בשלמא לראשון.</w:t>
      </w:r>
      <w:r w:rsidRPr="0041053F">
        <w:rPr>
          <w:rFonts w:ascii="Narkisim" w:hAnsi="Narkisim" w:cs="Narkisim"/>
          <w:rtl/>
        </w:rPr>
        <w:t xml:space="preserve"> דהכי אמר בפ' כיצד, דליכא אלא ספק פגע באחות זקוקתו, וה"נ וכו'. </w:t>
      </w:r>
      <w:r w:rsidRPr="0041053F">
        <w:rPr>
          <w:rFonts w:ascii="Narkisim" w:hAnsi="Narkisim" w:cs="Narkisim"/>
          <w:b/>
          <w:bCs/>
          <w:rtl/>
        </w:rPr>
        <w:t>רע"א</w:t>
      </w:r>
      <w:r w:rsidRPr="0041053F">
        <w:rPr>
          <w:rFonts w:ascii="Narkisim" w:hAnsi="Narkisim" w:cs="Narkisim"/>
          <w:rtl/>
        </w:rPr>
        <w:t xml:space="preserve"> תמה דהתם פקע הזיקה אח"כ, ואיסורא דעבד עבד [וכמ"ש רש"י כג:], וכל הנידון משום קנס [וכמ"ש תוס' כג:]. אבל הכא יש לחוש דהוה נאסרה. וה</w:t>
      </w:r>
      <w:r w:rsidRPr="0041053F">
        <w:rPr>
          <w:rFonts w:ascii="Narkisim" w:hAnsi="Narkisim" w:cs="Narkisim"/>
          <w:b/>
          <w:bCs/>
          <w:rtl/>
        </w:rPr>
        <w:t>רש"ש</w:t>
      </w:r>
      <w:r w:rsidRPr="0041053F">
        <w:rPr>
          <w:rFonts w:ascii="Narkisim" w:hAnsi="Narkisim" w:cs="Narkisim"/>
          <w:rtl/>
        </w:rPr>
        <w:t xml:space="preserve"> כת' דזה ידעינן דמשום ספק נאסרה דרבנן לא מוציאין. דספק דרבנן בדיעבד לקולא </w:t>
      </w:r>
      <w:r w:rsidRPr="0041053F">
        <w:rPr>
          <w:rFonts w:ascii="Narkisim" w:hAnsi="Narkisim" w:cs="Narkisim"/>
          <w:szCs w:val="20"/>
          <w:rtl/>
        </w:rPr>
        <w:t>[וכדלעיל כד.]</w:t>
      </w:r>
      <w:r w:rsidRPr="0041053F">
        <w:rPr>
          <w:rFonts w:ascii="Narkisim" w:hAnsi="Narkisim" w:cs="Narkisim"/>
          <w:rtl/>
        </w:rPr>
        <w:t>, והנידון של רש"י מ"ט אין כאן קנס.</w:t>
      </w:r>
    </w:p>
    <w:p w14:paraId="4695FCC6"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(שם) הוכיח מהכא דאיסור אחות זקוקה הוה דרבנן, דאל"כ היאך הקילו בספיקא. [וצ"ע לדעת תוס' חד מקמאי דהוה דאורייתא, ובפשוטו ה"נ הדין נאסרה הוה דאורייתא].</w:t>
      </w:r>
    </w:p>
    <w:p w14:paraId="030F14C5" w14:textId="77777777" w:rsidR="006074A5" w:rsidRPr="0041053F" w:rsidRDefault="006074A5" w:rsidP="006074A5">
      <w:pPr>
        <w:bidi/>
        <w:rPr>
          <w:rFonts w:ascii="Narkisim" w:hAnsi="Narkisim" w:cs="Narkisim"/>
        </w:rPr>
      </w:pPr>
      <w:r w:rsidRPr="0041053F">
        <w:rPr>
          <w:rFonts w:ascii="Narkisim" w:hAnsi="Narkisim" w:cs="Narkisim"/>
          <w:u w:val="single"/>
          <w:rtl/>
        </w:rPr>
        <w:t>והיינו דקאמר אחיות א"י מי שנאן.</w:t>
      </w:r>
      <w:r w:rsidRPr="0041053F">
        <w:rPr>
          <w:rFonts w:ascii="Narkisim" w:hAnsi="Narkisim" w:cs="Narkisim"/>
          <w:rtl/>
        </w:rPr>
        <w:t xml:space="preserve"> דר' יוחנן אמר שאינה משנה</w:t>
      </w:r>
      <w:r w:rsidRPr="0041053F">
        <w:rPr>
          <w:rStyle w:val="ac"/>
          <w:rFonts w:ascii="Narkisim" w:hAnsi="Narkisim" w:cs="Narkisim"/>
          <w:rtl/>
        </w:rPr>
        <w:footnoteReference w:id="1687"/>
      </w:r>
      <w:r w:rsidRPr="0041053F">
        <w:rPr>
          <w:rFonts w:ascii="Narkisim" w:hAnsi="Narkisim" w:cs="Narkisim"/>
          <w:rtl/>
        </w:rPr>
        <w:t>. ולדעת שמואל ורב אסי (לקמן מא.) דהותרה ונאסרה אינה חוזרת להיתר אתי שפיר, דמש"ה אינה חוזרת להיתר.</w:t>
      </w:r>
    </w:p>
    <w:p w14:paraId="749C7F10" w14:textId="77777777" w:rsidR="006074A5" w:rsidRPr="0041053F" w:rsidRDefault="006074A5" w:rsidP="006074A5">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וה</w:t>
      </w:r>
      <w:r w:rsidRPr="0041053F">
        <w:rPr>
          <w:rFonts w:ascii="Narkisim" w:hAnsi="Narkisim" w:cs="Narkisim"/>
          <w:b/>
          <w:bCs/>
          <w:rtl/>
        </w:rPr>
        <w:t>ראשונים</w:t>
      </w:r>
      <w:r w:rsidRPr="0041053F">
        <w:rPr>
          <w:rFonts w:ascii="Narkisim" w:hAnsi="Narkisim" w:cs="Narkisim"/>
          <w:rtl/>
        </w:rPr>
        <w:t xml:space="preserve"> דנו האיך תתיישב המשנה לדעת רב, דלדעת רב קשה טפי, דאפי' ראשונה יכול לייבם. ולא אמרי' כלל נאסרה באחות זקוקה דרבנן. ו</w:t>
      </w:r>
      <w:r w:rsidRPr="0041053F">
        <w:rPr>
          <w:rFonts w:ascii="Narkisim" w:hAnsi="Narkisim" w:cs="Narkisim"/>
          <w:b/>
          <w:bCs/>
          <w:rtl/>
        </w:rPr>
        <w:t>רש"י</w:t>
      </w:r>
      <w:r w:rsidRPr="0041053F">
        <w:rPr>
          <w:rFonts w:ascii="Narkisim" w:hAnsi="Narkisim" w:cs="Narkisim"/>
          <w:rtl/>
        </w:rPr>
        <w:t xml:space="preserve"> </w:t>
      </w:r>
      <w:r w:rsidRPr="0041053F">
        <w:rPr>
          <w:rFonts w:ascii="Narkisim" w:hAnsi="Narkisim" w:cs="Narkisim"/>
          <w:szCs w:val="20"/>
          <w:rtl/>
        </w:rPr>
        <w:t>(כז: סוד"ה מתה)</w:t>
      </w:r>
      <w:r w:rsidRPr="0041053F">
        <w:rPr>
          <w:rFonts w:ascii="Narkisim" w:hAnsi="Narkisim" w:cs="Narkisim"/>
          <w:rtl/>
        </w:rPr>
        <w:t xml:space="preserve"> ציין [על דברי רב] דהגמ' מק' כן, ולא מתרץ. </w:t>
      </w:r>
      <w:r w:rsidRPr="0041053F">
        <w:rPr>
          <w:rFonts w:ascii="Narkisim" w:hAnsi="Narkisim" w:cs="Narkisim"/>
          <w:szCs w:val="20"/>
          <w:rtl/>
        </w:rPr>
        <w:t>אבל ה</w:t>
      </w:r>
      <w:r w:rsidRPr="0041053F">
        <w:rPr>
          <w:rFonts w:ascii="Narkisim" w:hAnsi="Narkisim" w:cs="Narkisim"/>
          <w:b/>
          <w:bCs/>
          <w:szCs w:val="20"/>
          <w:rtl/>
        </w:rPr>
        <w:t>רשב"א</w:t>
      </w:r>
      <w:r w:rsidRPr="0041053F">
        <w:rPr>
          <w:rFonts w:ascii="Narkisim" w:hAnsi="Narkisim" w:cs="Narkisim"/>
          <w:szCs w:val="20"/>
          <w:rtl/>
        </w:rPr>
        <w:t xml:space="preserve"> הק' דלדעת רב אין צד נאסרה. וכולי האי לא משתבש תנא וליזיל</w:t>
      </w:r>
      <w:r w:rsidRPr="0041053F">
        <w:rPr>
          <w:rFonts w:ascii="Narkisim" w:hAnsi="Narkisim" w:cs="Narkisim"/>
          <w:rtl/>
        </w:rPr>
        <w:t>.</w:t>
      </w:r>
    </w:p>
    <w:p w14:paraId="32C37D2E"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ריב"ן</w:t>
      </w:r>
      <w:r w:rsidRPr="0041053F">
        <w:rPr>
          <w:rFonts w:ascii="Narkisim" w:hAnsi="Narkisim"/>
          <w:rtl/>
        </w:rPr>
        <w:t xml:space="preserve"> (בתוס' כז: ד"ה איתיביה) כת' דרב פי' את המשנה משום חליצה פסולה [וכמ"ד יש זיקה], וע"י חליצת החיזור נאסר באחותה, ואינו יכול לייבם.</w:t>
      </w:r>
    </w:p>
    <w:p w14:paraId="10A61B91"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ר"י</w:t>
      </w:r>
      <w:r w:rsidRPr="0041053F">
        <w:rPr>
          <w:rFonts w:ascii="Narkisim" w:hAnsi="Narkisim"/>
          <w:rtl/>
        </w:rPr>
        <w:t xml:space="preserve"> (בתוס' שם וכד.) תי' דרב ס"ל דגזרינן שמא ייבם ברישא, ויבטל מצוות יבמין. דלמ"ד אין זיקה יש לחוש לזה.</w:t>
      </w:r>
    </w:p>
    <w:p w14:paraId="4F7C3296" w14:textId="77777777" w:rsidR="006074A5" w:rsidRPr="0041053F" w:rsidRDefault="006074A5" w:rsidP="006074A5">
      <w:pPr>
        <w:pStyle w:val="a7"/>
        <w:bidi/>
        <w:rPr>
          <w:rFonts w:ascii="Narkisim" w:hAnsi="Narkisim"/>
        </w:rPr>
      </w:pPr>
      <w:r w:rsidRPr="0041053F">
        <w:rPr>
          <w:rFonts w:ascii="Narkisim" w:hAnsi="Narkisim"/>
          <w:rtl/>
        </w:rPr>
        <w:t>וב</w:t>
      </w:r>
      <w:r w:rsidRPr="0041053F">
        <w:rPr>
          <w:rFonts w:ascii="Narkisim" w:hAnsi="Narkisim"/>
          <w:b/>
          <w:bCs/>
          <w:rtl/>
        </w:rPr>
        <w:t>תוס' חד מקמאי</w:t>
      </w:r>
      <w:r w:rsidRPr="0041053F">
        <w:rPr>
          <w:rFonts w:ascii="Narkisim" w:hAnsi="Narkisim"/>
          <w:rtl/>
        </w:rPr>
        <w:t xml:space="preserve"> (בסוה"ע) תי' [ע"פ דברי ר"ח בתוד"ה אבל] דרב קאי כמ"ד אין זיקה. אבל מתני' קאי כמ"ד יש זיקה, וס"ל דאמרי' נאסרה. וצ"ל דאפי' הותרה ונאסרה אינה חוזרת להיתר. וצ"ע דרב (לקמן מא.) ס"ל דאפי' באחות אשתו דאורייתא אמרי' נאסרה</w:t>
      </w:r>
      <w:r w:rsidRPr="0041053F">
        <w:rPr>
          <w:rStyle w:val="ac"/>
          <w:rFonts w:ascii="Narkisim" w:hAnsi="Narkisim"/>
          <w:rtl/>
        </w:rPr>
        <w:footnoteReference w:id="1688"/>
      </w:r>
      <w:r w:rsidRPr="0041053F">
        <w:rPr>
          <w:rFonts w:ascii="Narkisim" w:hAnsi="Narkisim"/>
          <w:rtl/>
        </w:rPr>
        <w:t>.</w:t>
      </w:r>
    </w:p>
    <w:p w14:paraId="6AAD8513"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רמב"ם</w:t>
      </w:r>
      <w:r w:rsidRPr="0041053F">
        <w:rPr>
          <w:rFonts w:ascii="Narkisim" w:hAnsi="Narkisim" w:cs="Narkisim"/>
          <w:rtl/>
        </w:rPr>
        <w:t xml:space="preserve"> </w:t>
      </w:r>
      <w:r w:rsidRPr="0041053F">
        <w:rPr>
          <w:rFonts w:ascii="Narkisim" w:hAnsi="Narkisim" w:cs="Narkisim"/>
          <w:szCs w:val="20"/>
          <w:rtl/>
        </w:rPr>
        <w:t>(ז א)</w:t>
      </w:r>
      <w:r w:rsidRPr="0041053F">
        <w:rPr>
          <w:rFonts w:ascii="Narkisim" w:hAnsi="Narkisim" w:cs="Narkisim"/>
          <w:rtl/>
        </w:rPr>
        <w:t xml:space="preserve"> הביא את המשנה באופן שלא נודע איזה מת ראשון, ומש"ה דשניהם חולצות ולא מתייבמות. והיכא דנפלו בזה אחר זה פסק (שם ד) כר' יוחנן, דמתה ראשונה, השניה נאסרה משעת נפילה. אבל מתה אחרונה, ראשונה חוזרת להיתר. וכן היכא דא' מהאחים חלץ לאחרונה, שאר האחים יכולים לייבם ראשונה</w:t>
      </w:r>
      <w:r w:rsidRPr="0041053F">
        <w:rPr>
          <w:rStyle w:val="ac"/>
          <w:rFonts w:ascii="Narkisim" w:hAnsi="Narkisim" w:cs="Narkisim"/>
          <w:rtl/>
        </w:rPr>
        <w:footnoteReference w:id="1689"/>
      </w:r>
      <w:r w:rsidRPr="0041053F">
        <w:rPr>
          <w:rFonts w:ascii="Narkisim" w:hAnsi="Narkisim" w:cs="Narkisim"/>
          <w:rtl/>
        </w:rPr>
        <w:t>.</w:t>
      </w:r>
    </w:p>
    <w:p w14:paraId="1DD708EA"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רמב"ם</w:t>
      </w:r>
      <w:r w:rsidRPr="0041053F">
        <w:rPr>
          <w:rFonts w:ascii="Narkisim" w:hAnsi="Narkisim"/>
          <w:rtl/>
        </w:rPr>
        <w:t xml:space="preserve"> (שם ה) פסק [דבאופן שאסור לייבם] אם קדמו וכנסו יוציאו. ו</w:t>
      </w:r>
      <w:r w:rsidRPr="0041053F">
        <w:rPr>
          <w:rFonts w:ascii="Narkisim" w:hAnsi="Narkisim"/>
          <w:b/>
          <w:bCs/>
          <w:rtl/>
        </w:rPr>
        <w:t>ה"ה</w:t>
      </w:r>
      <w:r w:rsidRPr="0041053F">
        <w:rPr>
          <w:rFonts w:ascii="Narkisim" w:hAnsi="Narkisim"/>
          <w:rtl/>
        </w:rPr>
        <w:t xml:space="preserve"> כתב דקאי אף </w:t>
      </w:r>
      <w:r w:rsidRPr="0041053F">
        <w:rPr>
          <w:rFonts w:ascii="Narkisim" w:hAnsi="Narkisim"/>
          <w:sz w:val="20"/>
          <w:szCs w:val="20"/>
          <w:rtl/>
        </w:rPr>
        <w:t>[אהלכה א'</w:t>
      </w:r>
      <w:r w:rsidRPr="0041053F">
        <w:rPr>
          <w:rFonts w:ascii="Narkisim" w:hAnsi="Narkisim"/>
          <w:rtl/>
        </w:rPr>
        <w:t>] כשאינו יודע מי נפל קודם. וכ"כ ב</w:t>
      </w:r>
      <w:r w:rsidRPr="0041053F">
        <w:rPr>
          <w:rFonts w:ascii="Narkisim" w:hAnsi="Narkisim"/>
          <w:b/>
          <w:bCs/>
          <w:rtl/>
        </w:rPr>
        <w:t>חי' ר"א מן ההר</w:t>
      </w:r>
      <w:r w:rsidRPr="0041053F">
        <w:rPr>
          <w:rFonts w:ascii="Narkisim" w:hAnsi="Narkisim"/>
          <w:rtl/>
        </w:rPr>
        <w:t>. וה</w:t>
      </w:r>
      <w:r w:rsidRPr="0041053F">
        <w:rPr>
          <w:rFonts w:ascii="Narkisim" w:hAnsi="Narkisim"/>
          <w:b/>
          <w:bCs/>
          <w:rtl/>
        </w:rPr>
        <w:t xml:space="preserve">תוי"ט </w:t>
      </w:r>
      <w:r w:rsidRPr="0041053F">
        <w:rPr>
          <w:rFonts w:ascii="Narkisim" w:hAnsi="Narkisim"/>
          <w:rtl/>
        </w:rPr>
        <w:t>תמה דבגמ' דידן מפורש דבספק אם קדמו וכנסו, השני אי"צ להוציא. וכה"ק ב</w:t>
      </w:r>
      <w:r w:rsidRPr="0041053F">
        <w:rPr>
          <w:rFonts w:ascii="Narkisim" w:hAnsi="Narkisim"/>
          <w:b/>
          <w:bCs/>
          <w:rtl/>
        </w:rPr>
        <w:t>חי' ר"א מן ההר</w:t>
      </w:r>
      <w:r w:rsidRPr="0041053F">
        <w:rPr>
          <w:rFonts w:ascii="Narkisim" w:hAnsi="Narkisim"/>
          <w:rtl/>
        </w:rPr>
        <w:t xml:space="preserve"> ותי' דהרמב"ם פסק דיוציאו, וכסתם משנה. דכיון דבודאי אחות זקוקה יוציאו, גזרו אף בספק אטו ודאי.</w:t>
      </w:r>
    </w:p>
    <w:p w14:paraId="5D7DB8C5" w14:textId="77777777" w:rsidR="006074A5" w:rsidRPr="0041053F" w:rsidRDefault="006074A5" w:rsidP="006074A5">
      <w:pPr>
        <w:pStyle w:val="a7"/>
        <w:bidi/>
        <w:rPr>
          <w:rFonts w:ascii="Narkisim" w:hAnsi="Narkisim"/>
        </w:rPr>
      </w:pPr>
      <w:r w:rsidRPr="0041053F">
        <w:rPr>
          <w:rFonts w:ascii="Narkisim" w:hAnsi="Narkisim"/>
          <w:rtl/>
        </w:rPr>
        <w:t>אבל בפשוטו נקטו ה</w:t>
      </w:r>
      <w:r w:rsidRPr="0041053F">
        <w:rPr>
          <w:rFonts w:ascii="Narkisim" w:hAnsi="Narkisim"/>
          <w:b/>
          <w:bCs/>
          <w:rtl/>
        </w:rPr>
        <w:t>אחרונים</w:t>
      </w:r>
      <w:r w:rsidRPr="0041053F">
        <w:rPr>
          <w:rFonts w:ascii="Narkisim" w:hAnsi="Narkisim"/>
          <w:rtl/>
        </w:rPr>
        <w:t xml:space="preserve"> דהרמב"ם קאי דוקא היכא דאחד נפל קודם, ובזה אף השני שכנס צריך להוציא, אבל בספק מי נפל קודם, מי שכנס שני אי"צ להוציא [ודלא כמגיד משנה]. </w:t>
      </w:r>
      <w:r w:rsidRPr="0041053F">
        <w:rPr>
          <w:rFonts w:ascii="Narkisim" w:hAnsi="Narkisim"/>
          <w:sz w:val="20"/>
          <w:szCs w:val="20"/>
          <w:rtl/>
        </w:rPr>
        <w:t>וה</w:t>
      </w:r>
      <w:r w:rsidRPr="0041053F">
        <w:rPr>
          <w:rFonts w:ascii="Narkisim" w:hAnsi="Narkisim"/>
          <w:b/>
          <w:bCs/>
          <w:sz w:val="20"/>
          <w:szCs w:val="20"/>
          <w:rtl/>
        </w:rPr>
        <w:t>או"ש</w:t>
      </w:r>
      <w:r w:rsidRPr="0041053F">
        <w:rPr>
          <w:rFonts w:ascii="Narkisim" w:hAnsi="Narkisim"/>
          <w:sz w:val="20"/>
          <w:szCs w:val="20"/>
          <w:rtl/>
        </w:rPr>
        <w:t xml:space="preserve"> (קו' זיקה ל) ביאר דבנפלו בזה אחר זה, מי שנפלה שניה לא היה אפשרות לבא להיתר, ולכן נחשב ביאה פסולה, ולכן אף השני שכנס אח"כ צריך להוציא. ורק בספק אמרי' דיש צד שיבוא להתיר, ולא נחשב ביאה פסולה [וכמו שהו' לעיל].</w:t>
      </w:r>
    </w:p>
    <w:p w14:paraId="3B264D83" w14:textId="77777777" w:rsidR="006074A5" w:rsidRPr="0041053F" w:rsidRDefault="006074A5" w:rsidP="006074A5">
      <w:pPr>
        <w:bidi/>
        <w:rPr>
          <w:rFonts w:ascii="Narkisim" w:hAnsi="Narkisim" w:cs="Narkisim"/>
        </w:rPr>
      </w:pPr>
      <w:r w:rsidRPr="0041053F">
        <w:rPr>
          <w:rFonts w:ascii="Narkisim" w:hAnsi="Narkisim" w:cs="Narkisim"/>
          <w:rtl/>
        </w:rPr>
        <w:t>אבל ה</w:t>
      </w:r>
      <w:r w:rsidRPr="0041053F">
        <w:rPr>
          <w:rFonts w:ascii="Narkisim" w:hAnsi="Narkisim" w:cs="Narkisim"/>
          <w:b/>
          <w:bCs/>
          <w:rtl/>
        </w:rPr>
        <w:t>רי"ף</w:t>
      </w:r>
      <w:r w:rsidRPr="0041053F">
        <w:rPr>
          <w:rFonts w:ascii="Narkisim" w:hAnsi="Narkisim" w:cs="Narkisim"/>
          <w:rtl/>
        </w:rPr>
        <w:t xml:space="preserve"> וה</w:t>
      </w:r>
      <w:r w:rsidRPr="0041053F">
        <w:rPr>
          <w:rFonts w:ascii="Narkisim" w:hAnsi="Narkisim" w:cs="Narkisim"/>
          <w:b/>
          <w:bCs/>
          <w:rtl/>
        </w:rPr>
        <w:t>רא"ש</w:t>
      </w:r>
      <w:r w:rsidRPr="0041053F">
        <w:rPr>
          <w:rFonts w:ascii="Narkisim" w:hAnsi="Narkisim" w:cs="Narkisim"/>
          <w:rtl/>
        </w:rPr>
        <w:t xml:space="preserve"> העתיקו את המשנה כצורתו</w:t>
      </w:r>
      <w:r w:rsidRPr="0041053F">
        <w:rPr>
          <w:rStyle w:val="ac"/>
          <w:rFonts w:ascii="Narkisim" w:hAnsi="Narkisim" w:cs="Narkisim"/>
          <w:rtl/>
        </w:rPr>
        <w:footnoteReference w:id="1690"/>
      </w:r>
      <w:r w:rsidRPr="0041053F">
        <w:rPr>
          <w:rFonts w:ascii="Narkisim" w:hAnsi="Narkisim" w:cs="Narkisim"/>
          <w:rtl/>
        </w:rPr>
        <w:t>. והראשונים הק' דלמסקנא אינה משנה. וה</w:t>
      </w:r>
      <w:r w:rsidRPr="0041053F">
        <w:rPr>
          <w:rFonts w:ascii="Narkisim" w:hAnsi="Narkisim" w:cs="Narkisim"/>
          <w:b/>
          <w:bCs/>
          <w:rtl/>
        </w:rPr>
        <w:t>תוס' חד מקמאי</w:t>
      </w:r>
      <w:r w:rsidRPr="0041053F">
        <w:rPr>
          <w:rFonts w:ascii="Narkisim" w:hAnsi="Narkisim" w:cs="Narkisim"/>
          <w:rtl/>
        </w:rPr>
        <w:t xml:space="preserve"> תי' דמשום גזירה שמא ייבם תחילה</w:t>
      </w:r>
      <w:r w:rsidRPr="0041053F">
        <w:rPr>
          <w:rStyle w:val="ac"/>
          <w:rFonts w:ascii="Narkisim" w:hAnsi="Narkisim" w:cs="Narkisim"/>
          <w:rtl/>
        </w:rPr>
        <w:footnoteReference w:id="1691"/>
      </w:r>
      <w:r w:rsidRPr="0041053F">
        <w:rPr>
          <w:rFonts w:ascii="Narkisim" w:hAnsi="Narkisim" w:cs="Narkisim"/>
          <w:rtl/>
        </w:rPr>
        <w:t>. וה</w:t>
      </w:r>
      <w:r w:rsidRPr="0041053F">
        <w:rPr>
          <w:rFonts w:ascii="Narkisim" w:hAnsi="Narkisim" w:cs="Narkisim"/>
          <w:b/>
          <w:bCs/>
          <w:rtl/>
        </w:rPr>
        <w:t>רשב"א</w:t>
      </w:r>
      <w:r w:rsidRPr="0041053F">
        <w:rPr>
          <w:rFonts w:ascii="Narkisim" w:hAnsi="Narkisim" w:cs="Narkisim"/>
          <w:rtl/>
        </w:rPr>
        <w:t xml:space="preserve"> כת' דגזרינן </w:t>
      </w:r>
      <w:r w:rsidRPr="0041053F">
        <w:rPr>
          <w:rFonts w:ascii="Narkisim" w:hAnsi="Narkisim" w:cs="Narkisim"/>
          <w:rtl/>
        </w:rPr>
        <w:lastRenderedPageBreak/>
        <w:t>שמא יחלוץ לראשון, וייבם לשני. [וע"ד קו' הגמ' לעיל].</w:t>
      </w:r>
    </w:p>
    <w:p w14:paraId="47785C4D"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הקשה מהגמ' (בסמוך) דאיסור ערוה, דהתם ל"ש הך גזירה.</w:t>
      </w:r>
    </w:p>
    <w:p w14:paraId="6F79DB46"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תי' דקי"ל דאסור משום איסור ביטול מצוות יבמין [אף דקי"ל יש זיקה]. ואף דר' יוחנן לא חייש למיתה, אנחנו חיישינן.</w:t>
      </w:r>
      <w:r w:rsidRPr="0041053F">
        <w:rPr>
          <w:rFonts w:ascii="Narkisim" w:hAnsi="Narkisim"/>
          <w:szCs w:val="20"/>
          <w:rtl/>
        </w:rPr>
        <w:t xml:space="preserve"> (וכ"כ ב</w:t>
      </w:r>
      <w:r w:rsidRPr="0041053F">
        <w:rPr>
          <w:rFonts w:ascii="Narkisim" w:hAnsi="Narkisim"/>
          <w:b/>
          <w:bCs/>
          <w:szCs w:val="20"/>
          <w:rtl/>
        </w:rPr>
        <w:t>ק"נ</w:t>
      </w:r>
      <w:r w:rsidRPr="0041053F">
        <w:rPr>
          <w:rFonts w:ascii="Narkisim" w:hAnsi="Narkisim"/>
          <w:szCs w:val="20"/>
          <w:rtl/>
        </w:rPr>
        <w:t xml:space="preserve"> כ)</w:t>
      </w:r>
      <w:r w:rsidRPr="0041053F">
        <w:rPr>
          <w:rFonts w:ascii="Narkisim" w:hAnsi="Narkisim"/>
          <w:rtl/>
        </w:rPr>
        <w:t>.</w:t>
      </w:r>
    </w:p>
    <w:p w14:paraId="30DDFC73" w14:textId="77777777" w:rsidR="006074A5" w:rsidRPr="0041053F" w:rsidRDefault="006074A5" w:rsidP="006074A5">
      <w:pPr>
        <w:pStyle w:val="a8"/>
        <w:bidi/>
        <w:rPr>
          <w:rFonts w:ascii="Narkisim" w:hAnsi="Narkisim"/>
        </w:rPr>
      </w:pPr>
      <w:r w:rsidRPr="0041053F">
        <w:rPr>
          <w:rFonts w:ascii="Narkisim" w:hAnsi="Narkisim"/>
          <w:rtl/>
        </w:rPr>
        <w:t>ומבואר דיש איסור לבטל מצוות יבמין אף למ"ד יש זיקה. אבל ב</w:t>
      </w:r>
      <w:r w:rsidRPr="0041053F">
        <w:rPr>
          <w:rFonts w:ascii="Narkisim" w:hAnsi="Narkisim"/>
          <w:b/>
          <w:bCs/>
          <w:rtl/>
        </w:rPr>
        <w:t>תוס' חד מקמאי</w:t>
      </w:r>
      <w:r w:rsidRPr="0041053F">
        <w:rPr>
          <w:rFonts w:ascii="Narkisim" w:hAnsi="Narkisim"/>
          <w:rtl/>
        </w:rPr>
        <w:t xml:space="preserve"> (כו:) וה</w:t>
      </w:r>
      <w:r w:rsidRPr="0041053F">
        <w:rPr>
          <w:rFonts w:ascii="Narkisim" w:hAnsi="Narkisim"/>
          <w:b/>
          <w:bCs/>
          <w:rtl/>
        </w:rPr>
        <w:t xml:space="preserve">ריטב"א </w:t>
      </w:r>
      <w:r w:rsidRPr="0041053F">
        <w:rPr>
          <w:rFonts w:ascii="Narkisim" w:hAnsi="Narkisim"/>
          <w:rtl/>
        </w:rPr>
        <w:t>(יז:) כת' דלמ"ד יש זיקה וקידושין לא מפקיעי זיקה ל"ש איסור לבטל, כיון דעדיין זקוקה לחליצה</w:t>
      </w:r>
      <w:r w:rsidRPr="0041053F">
        <w:rPr>
          <w:rStyle w:val="ac"/>
          <w:rFonts w:ascii="Narkisim" w:hAnsi="Narkisim"/>
          <w:rtl/>
        </w:rPr>
        <w:footnoteReference w:id="1692"/>
      </w:r>
      <w:r w:rsidRPr="0041053F">
        <w:rPr>
          <w:rFonts w:ascii="Narkisim" w:hAnsi="Narkisim"/>
          <w:rtl/>
        </w:rPr>
        <w:t>.</w:t>
      </w:r>
    </w:p>
    <w:p w14:paraId="4F2A9088" w14:textId="77777777" w:rsidR="006074A5" w:rsidRPr="0041053F" w:rsidRDefault="006074A5" w:rsidP="006074A5">
      <w:pPr>
        <w:bidi/>
        <w:rPr>
          <w:rFonts w:ascii="Narkisim" w:hAnsi="Narkisim" w:cs="Narkisim"/>
        </w:rPr>
      </w:pPr>
      <w:r w:rsidRPr="0041053F">
        <w:rPr>
          <w:rFonts w:ascii="Narkisim" w:hAnsi="Narkisim" w:cs="Narkisim"/>
          <w:u w:val="single"/>
          <w:rtl/>
        </w:rPr>
        <w:t>אמאי וליקו חתן ולייבם וכו'.</w:t>
      </w:r>
      <w:r w:rsidRPr="0041053F">
        <w:rPr>
          <w:rFonts w:ascii="Narkisim" w:hAnsi="Narkisim" w:cs="Narkisim"/>
          <w:rtl/>
        </w:rPr>
        <w:t xml:space="preserve"> ה</w:t>
      </w:r>
      <w:r w:rsidRPr="0041053F">
        <w:rPr>
          <w:rFonts w:ascii="Narkisim" w:hAnsi="Narkisim" w:cs="Narkisim"/>
          <w:b/>
          <w:bCs/>
          <w:rtl/>
        </w:rPr>
        <w:t>רשב"א</w:t>
      </w:r>
      <w:r w:rsidRPr="0041053F">
        <w:rPr>
          <w:rFonts w:ascii="Narkisim" w:hAnsi="Narkisim" w:cs="Narkisim"/>
          <w:rtl/>
        </w:rPr>
        <w:t xml:space="preserve"> ו</w:t>
      </w:r>
      <w:r w:rsidRPr="0041053F">
        <w:rPr>
          <w:rFonts w:ascii="Narkisim" w:hAnsi="Narkisim" w:cs="Narkisim"/>
          <w:b/>
          <w:bCs/>
          <w:rtl/>
        </w:rPr>
        <w:t>ריטב"א</w:t>
      </w:r>
      <w:r w:rsidRPr="0041053F">
        <w:rPr>
          <w:rFonts w:ascii="Narkisim" w:hAnsi="Narkisim" w:cs="Narkisim"/>
          <w:rtl/>
        </w:rPr>
        <w:t xml:space="preserve"> הקשו אמאי לא גזרינן הא אטו הא (וכדלעיל). ועי"ש שדנו בזה. </w:t>
      </w:r>
      <w:r w:rsidRPr="0041053F">
        <w:rPr>
          <w:rFonts w:ascii="Narkisim" w:hAnsi="Narkisim" w:cs="Narkisim"/>
          <w:sz w:val="20"/>
          <w:szCs w:val="20"/>
          <w:rtl/>
        </w:rPr>
        <w:t>וה</w:t>
      </w:r>
      <w:r w:rsidRPr="0041053F">
        <w:rPr>
          <w:rFonts w:ascii="Narkisim" w:hAnsi="Narkisim" w:cs="Narkisim"/>
          <w:b/>
          <w:bCs/>
          <w:sz w:val="20"/>
          <w:szCs w:val="20"/>
          <w:rtl/>
        </w:rPr>
        <w:t>בי"ש</w:t>
      </w:r>
      <w:r w:rsidRPr="0041053F">
        <w:rPr>
          <w:rFonts w:ascii="Narkisim" w:hAnsi="Narkisim" w:cs="Narkisim"/>
          <w:sz w:val="20"/>
          <w:szCs w:val="20"/>
          <w:rtl/>
        </w:rPr>
        <w:t xml:space="preserve"> (קעה ב) הביא דאף לכתחילה מותרת, דלא דמי להתם דחששו שייבם ראשון.</w:t>
      </w:r>
      <w:r w:rsidRPr="0041053F">
        <w:rPr>
          <w:rFonts w:ascii="Narkisim" w:hAnsi="Narkisim" w:cs="Narkisim"/>
          <w:rtl/>
        </w:rPr>
        <w:t xml:space="preserve"> אבל ה</w:t>
      </w:r>
      <w:r w:rsidRPr="0041053F">
        <w:rPr>
          <w:rFonts w:ascii="Narkisim" w:hAnsi="Narkisim" w:cs="Narkisim"/>
          <w:b/>
          <w:bCs/>
          <w:rtl/>
        </w:rPr>
        <w:t>רשב"א</w:t>
      </w:r>
      <w:r w:rsidRPr="0041053F">
        <w:rPr>
          <w:rFonts w:ascii="Narkisim" w:hAnsi="Narkisim" w:cs="Narkisim"/>
          <w:rtl/>
        </w:rPr>
        <w:t xml:space="preserve"> ו</w:t>
      </w:r>
      <w:r w:rsidRPr="0041053F">
        <w:rPr>
          <w:rFonts w:ascii="Narkisim" w:hAnsi="Narkisim" w:cs="Narkisim"/>
          <w:b/>
          <w:bCs/>
          <w:rtl/>
        </w:rPr>
        <w:t xml:space="preserve">תוס' חד מקמאי </w:t>
      </w:r>
      <w:r w:rsidRPr="0041053F">
        <w:rPr>
          <w:rFonts w:ascii="Narkisim" w:hAnsi="Narkisim" w:cs="Narkisim"/>
          <w:rtl/>
        </w:rPr>
        <w:t>דייקו דה</w:t>
      </w:r>
      <w:r w:rsidRPr="0041053F">
        <w:rPr>
          <w:rFonts w:ascii="Narkisim" w:hAnsi="Narkisim" w:cs="Narkisim"/>
          <w:b/>
          <w:bCs/>
          <w:rtl/>
        </w:rPr>
        <w:t>רי"ף</w:t>
      </w:r>
      <w:r w:rsidRPr="0041053F">
        <w:rPr>
          <w:rFonts w:ascii="Narkisim" w:hAnsi="Narkisim" w:cs="Narkisim"/>
          <w:rtl/>
        </w:rPr>
        <w:t xml:space="preserve"> השמיט דברי רב פפא, וס"ל דאף בזה גזרו. </w:t>
      </w:r>
      <w:r w:rsidRPr="0041053F">
        <w:rPr>
          <w:rFonts w:ascii="Narkisim" w:hAnsi="Narkisim" w:cs="Narkisim"/>
          <w:sz w:val="20"/>
          <w:szCs w:val="20"/>
          <w:rtl/>
        </w:rPr>
        <w:t>ובתוס' חד מקמאי כתב דאף רב פפא ס"ל דגזרו, אבל דייק דמשמע דאסורים בשווה</w:t>
      </w:r>
      <w:r w:rsidRPr="0041053F">
        <w:rPr>
          <w:rStyle w:val="ac"/>
          <w:rFonts w:ascii="Narkisim" w:hAnsi="Narkisim" w:cs="Narkisim"/>
          <w:sz w:val="20"/>
          <w:szCs w:val="20"/>
          <w:rtl/>
        </w:rPr>
        <w:footnoteReference w:id="1693"/>
      </w:r>
      <w:r w:rsidRPr="0041053F">
        <w:rPr>
          <w:rFonts w:ascii="Narkisim" w:hAnsi="Narkisim" w:cs="Narkisim"/>
          <w:sz w:val="20"/>
          <w:szCs w:val="20"/>
          <w:rtl/>
        </w:rPr>
        <w:t>.</w:t>
      </w:r>
    </w:p>
    <w:p w14:paraId="2EF7998F" w14:textId="77777777" w:rsidR="006074A5" w:rsidRPr="0041053F" w:rsidRDefault="006074A5" w:rsidP="006074A5">
      <w:pPr>
        <w:bidi/>
        <w:rPr>
          <w:rFonts w:ascii="Narkisim" w:hAnsi="Narkisim" w:cs="Narkisim"/>
        </w:rPr>
      </w:pPr>
      <w:r w:rsidRPr="0041053F">
        <w:rPr>
          <w:rFonts w:ascii="Narkisim" w:hAnsi="Narkisim" w:cs="Narkisim"/>
          <w:u w:val="single"/>
          <w:rtl/>
        </w:rPr>
        <w:t>תניא ר"א אומר בי"ש אומרים יקיימו וב"ה אומרים יוציאו, רש"א אומר יקיימו וכו'</w:t>
      </w:r>
      <w:r w:rsidRPr="0041053F">
        <w:rPr>
          <w:rFonts w:ascii="Narkisim" w:hAnsi="Narkisim" w:cs="Narkisim"/>
          <w:rtl/>
        </w:rPr>
        <w:t>. מ"ד דיוציאו הוה משום נאסרה או משום קנס. ו</w:t>
      </w:r>
      <w:r w:rsidRPr="0041053F">
        <w:rPr>
          <w:rFonts w:ascii="Narkisim" w:hAnsi="Narkisim" w:cs="Narkisim"/>
          <w:b/>
          <w:bCs/>
          <w:rtl/>
        </w:rPr>
        <w:t>תוס</w:t>
      </w:r>
      <w:r w:rsidRPr="0041053F">
        <w:rPr>
          <w:rFonts w:ascii="Narkisim" w:hAnsi="Narkisim" w:cs="Narkisim"/>
          <w:rtl/>
        </w:rPr>
        <w:t>' (לעיל כג:) פי' משום דפגע בביאת איסור החמירו.</w:t>
      </w:r>
    </w:p>
    <w:p w14:paraId="6BCAC8DB" w14:textId="77777777" w:rsidR="006074A5" w:rsidRPr="0041053F" w:rsidRDefault="006074A5" w:rsidP="006074A5">
      <w:pPr>
        <w:pStyle w:val="a7"/>
        <w:bidi/>
        <w:rPr>
          <w:rFonts w:ascii="Narkisim" w:hAnsi="Narkisim"/>
        </w:rPr>
      </w:pPr>
      <w:r w:rsidRPr="0041053F">
        <w:rPr>
          <w:rFonts w:ascii="Narkisim" w:hAnsi="Narkisim"/>
          <w:rtl/>
        </w:rPr>
        <w:t>ולמ"ד דטעם המשנה משום אסור לבטל מצוות יבמין צ"ב אמאי יוציאו, ומ"ש ממקדש אחות יבמתו דמותרת בדיעבד [אף שעבר איסור בקידושין</w:t>
      </w:r>
      <w:r w:rsidRPr="0041053F">
        <w:rPr>
          <w:rStyle w:val="ac"/>
          <w:rFonts w:ascii="Narkisim" w:hAnsi="Narkisim"/>
          <w:rtl/>
        </w:rPr>
        <w:footnoteReference w:id="1694"/>
      </w:r>
      <w:r w:rsidRPr="0041053F">
        <w:rPr>
          <w:rFonts w:ascii="Narkisim" w:hAnsi="Narkisim"/>
          <w:rtl/>
        </w:rPr>
        <w:t>]. וכה"ק ה</w:t>
      </w:r>
      <w:r w:rsidRPr="0041053F">
        <w:rPr>
          <w:rFonts w:ascii="Narkisim" w:hAnsi="Narkisim"/>
          <w:b/>
          <w:bCs/>
          <w:rtl/>
        </w:rPr>
        <w:t>רשב"א</w:t>
      </w:r>
      <w:r w:rsidRPr="0041053F">
        <w:rPr>
          <w:rFonts w:ascii="Narkisim" w:hAnsi="Narkisim"/>
          <w:rtl/>
        </w:rPr>
        <w:t xml:space="preserve"> (לקמן מא.). ויש שתי' דהכא ביטלו דין יבום מאחיות כלל [וכמ"ש רש"י לעיל], ומש"ה אף לאחר שכנס אמרי' שבעלו ל"ק מדרבנן.  </w:t>
      </w:r>
    </w:p>
    <w:p w14:paraId="5D886574"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(לעיל יח:) תי' דקנסו טפי באחיות שנפלו לפניו, דלא היו באין לידי היתר. אבל בקידושין בעלמא לא צריך לגזור כ"כ. [והרשב"א הנ"ל חלק]. והרשב"א כת' דלמ"ד אין זיקה ע"כ יקיימו. וכאבא שאול בסוגיין.</w:t>
      </w:r>
    </w:p>
    <w:p w14:paraId="54A9028F" w14:textId="77777777" w:rsidR="006074A5" w:rsidRPr="0041053F" w:rsidRDefault="006074A5" w:rsidP="006074A5">
      <w:pPr>
        <w:bidi/>
        <w:rPr>
          <w:rFonts w:ascii="Narkisim" w:hAnsi="Narkisim" w:cs="Narkisim"/>
        </w:rPr>
      </w:pPr>
      <w:r w:rsidRPr="0041053F">
        <w:rPr>
          <w:rFonts w:ascii="Narkisim" w:hAnsi="Narkisim" w:cs="Narkisim"/>
          <w:u w:val="single"/>
          <w:rtl/>
        </w:rPr>
        <w:t>שם. יקיימו</w:t>
      </w:r>
      <w:r w:rsidRPr="0041053F">
        <w:rPr>
          <w:rFonts w:ascii="Narkisim" w:hAnsi="Narkisim" w:cs="Narkisim"/>
          <w:rtl/>
        </w:rPr>
        <w:t>. בפשוטו הנך מ"ד לא ס"ל הך קנס. וכיון דהשני יבם [או חלץ] הותר האיסור אחות זקוקתו, ומותרת לו. [וכמו במשנה כג:]. אך ה</w:t>
      </w:r>
      <w:r w:rsidRPr="0041053F">
        <w:rPr>
          <w:rFonts w:ascii="Narkisim" w:hAnsi="Narkisim" w:cs="Narkisim"/>
          <w:b/>
          <w:bCs/>
          <w:rtl/>
        </w:rPr>
        <w:t>מאירי</w:t>
      </w:r>
      <w:r w:rsidRPr="0041053F">
        <w:rPr>
          <w:rFonts w:ascii="Narkisim" w:hAnsi="Narkisim" w:cs="Narkisim"/>
          <w:rtl/>
        </w:rPr>
        <w:t xml:space="preserve"> (במשנה) כת' דמ"ד יקיימו ע"כ ס"ל דאין זיקה, ומשום אסור לבטל לא גזרו להוציא.</w:t>
      </w:r>
    </w:p>
    <w:p w14:paraId="72D4059B"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 אמאי אינה אסורה מדין </w:t>
      </w:r>
      <w:r w:rsidRPr="0041053F">
        <w:rPr>
          <w:rFonts w:ascii="Narkisim" w:hAnsi="Narkisim"/>
          <w:i/>
          <w:iCs/>
          <w:rtl/>
        </w:rPr>
        <w:t>נאסרה</w:t>
      </w:r>
      <w:r w:rsidRPr="0041053F">
        <w:rPr>
          <w:rFonts w:ascii="Narkisim" w:hAnsi="Narkisim"/>
          <w:rtl/>
        </w:rPr>
        <w:t>, ואף לאחר שייבם תאסר עליו בגדר אשת אח שיש לה בנים. וה</w:t>
      </w:r>
      <w:r w:rsidRPr="0041053F">
        <w:rPr>
          <w:rFonts w:ascii="Narkisim" w:hAnsi="Narkisim"/>
          <w:b/>
          <w:bCs/>
          <w:rtl/>
        </w:rPr>
        <w:t>קר"א</w:t>
      </w:r>
      <w:r w:rsidRPr="0041053F">
        <w:rPr>
          <w:rFonts w:ascii="Narkisim" w:hAnsi="Narkisim"/>
          <w:rtl/>
        </w:rPr>
        <w:t xml:space="preserve"> תי' דאחר שכנס השני פקע למפרע זיקה מאידך, וכ"א ייבם את שלו דזקוקה לו מעיקרא. </w:t>
      </w:r>
      <w:r w:rsidRPr="0041053F">
        <w:rPr>
          <w:rFonts w:ascii="Narkisim" w:hAnsi="Narkisim"/>
          <w:sz w:val="20"/>
          <w:szCs w:val="20"/>
          <w:rtl/>
        </w:rPr>
        <w:t>[וצ"ב דמבואר דנחשב נאסרה. ומשמע מדבריו דבזה פליגי בי"ש</w:t>
      </w:r>
      <w:r w:rsidRPr="0041053F">
        <w:rPr>
          <w:rStyle w:val="ac"/>
          <w:rFonts w:ascii="Narkisim" w:hAnsi="Narkisim"/>
          <w:sz w:val="20"/>
          <w:szCs w:val="20"/>
          <w:rtl/>
        </w:rPr>
        <w:footnoteReference w:id="1695"/>
      </w:r>
      <w:r w:rsidRPr="0041053F">
        <w:rPr>
          <w:rFonts w:ascii="Narkisim" w:hAnsi="Narkisim"/>
          <w:sz w:val="20"/>
          <w:szCs w:val="20"/>
          <w:rtl/>
        </w:rPr>
        <w:t>]</w:t>
      </w:r>
      <w:r w:rsidRPr="0041053F">
        <w:rPr>
          <w:rFonts w:ascii="Narkisim" w:hAnsi="Narkisim"/>
          <w:rtl/>
        </w:rPr>
        <w:t>.</w:t>
      </w:r>
    </w:p>
    <w:p w14:paraId="4AE80D75" w14:textId="77777777" w:rsidR="006074A5" w:rsidRPr="0041053F" w:rsidRDefault="006074A5" w:rsidP="006074A5">
      <w:pPr>
        <w:pStyle w:val="a7"/>
        <w:bidi/>
        <w:rPr>
          <w:rFonts w:ascii="Narkisim" w:hAnsi="Narkisim"/>
        </w:rPr>
      </w:pPr>
      <w:r w:rsidRPr="0041053F">
        <w:rPr>
          <w:rFonts w:ascii="Narkisim" w:hAnsi="Narkisim"/>
          <w:rtl/>
        </w:rPr>
        <w:t>ועוד תי' ה</w:t>
      </w:r>
      <w:r w:rsidRPr="0041053F">
        <w:rPr>
          <w:rFonts w:ascii="Narkisim" w:hAnsi="Narkisim"/>
          <w:b/>
          <w:bCs/>
          <w:rtl/>
        </w:rPr>
        <w:t>אחרונים</w:t>
      </w:r>
      <w:r w:rsidRPr="0041053F">
        <w:rPr>
          <w:rFonts w:ascii="Narkisim" w:hAnsi="Narkisim"/>
          <w:rtl/>
        </w:rPr>
        <w:t xml:space="preserve"> (שיע' ר' שמואל) דכיון שקנאה ביבום אמרי' כיון שלקחה נעשית כאשתו לכל דבר, ופקע אף איסור נאסרה. אבל בעלמא דין נאסרה מונע שלא יחול דין היבום, אבל הכא לא העמידו דבריהם, וקנה היבום. ולכן אינה נאסרת מחמת הראשון</w:t>
      </w:r>
      <w:r w:rsidRPr="0041053F">
        <w:rPr>
          <w:rStyle w:val="ac"/>
          <w:rFonts w:ascii="Narkisim" w:hAnsi="Narkisim"/>
          <w:rtl/>
        </w:rPr>
        <w:footnoteReference w:id="1696"/>
      </w:r>
      <w:r w:rsidRPr="0041053F">
        <w:rPr>
          <w:rFonts w:ascii="Narkisim" w:hAnsi="Narkisim"/>
          <w:rtl/>
        </w:rPr>
        <w:t>.</w:t>
      </w:r>
    </w:p>
    <w:p w14:paraId="43592EF9"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וה</w:t>
      </w:r>
      <w:r w:rsidRPr="0041053F">
        <w:rPr>
          <w:rFonts w:ascii="Narkisim" w:hAnsi="Narkisim" w:cs="Narkisim"/>
          <w:b/>
          <w:bCs/>
          <w:rtl/>
        </w:rPr>
        <w:t>אחרונים</w:t>
      </w:r>
      <w:r w:rsidRPr="0041053F">
        <w:rPr>
          <w:rFonts w:ascii="Narkisim" w:hAnsi="Narkisim" w:cs="Narkisim"/>
          <w:rtl/>
        </w:rPr>
        <w:t xml:space="preserve"> הקשו דהוה ביאה פסולה, וכמו דהוה חליצה פסולה. וה</w:t>
      </w:r>
      <w:r w:rsidRPr="0041053F">
        <w:rPr>
          <w:rFonts w:ascii="Narkisim" w:hAnsi="Narkisim" w:cs="Narkisim"/>
          <w:b/>
          <w:bCs/>
          <w:rtl/>
        </w:rPr>
        <w:t>חזו"א</w:t>
      </w:r>
      <w:r w:rsidRPr="0041053F">
        <w:rPr>
          <w:rFonts w:ascii="Narkisim" w:hAnsi="Narkisim" w:cs="Narkisim"/>
          <w:rtl/>
        </w:rPr>
        <w:t xml:space="preserve"> הביא דמבואר דאחות זקוקתו לא הוה ביאה פסולה.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כתבו די"ל דהיינו רק למ"ד דלא החשיבוהו איסור בדיעבד, דמה שהוה ערוה לכתחילה לא נחשב ביאה פסולה].</w:t>
      </w:r>
      <w:r w:rsidRPr="0041053F">
        <w:rPr>
          <w:rFonts w:ascii="Narkisim" w:hAnsi="Narkisim" w:cs="Narkisim"/>
          <w:rtl/>
        </w:rPr>
        <w:t xml:space="preserve"> וה</w:t>
      </w:r>
      <w:r w:rsidRPr="0041053F">
        <w:rPr>
          <w:rFonts w:ascii="Narkisim" w:hAnsi="Narkisim" w:cs="Narkisim"/>
          <w:b/>
          <w:bCs/>
          <w:rtl/>
        </w:rPr>
        <w:t>קר"א</w:t>
      </w:r>
      <w:r w:rsidRPr="0041053F">
        <w:rPr>
          <w:rFonts w:ascii="Narkisim" w:hAnsi="Narkisim" w:cs="Narkisim"/>
          <w:rtl/>
        </w:rPr>
        <w:t xml:space="preserve"> הביא מה</w:t>
      </w:r>
      <w:r w:rsidRPr="0041053F">
        <w:rPr>
          <w:rFonts w:ascii="Narkisim" w:hAnsi="Narkisim" w:cs="Narkisim"/>
          <w:b/>
          <w:bCs/>
          <w:rtl/>
        </w:rPr>
        <w:t>ירושלמי</w:t>
      </w:r>
      <w:r w:rsidRPr="0041053F">
        <w:rPr>
          <w:rFonts w:ascii="Narkisim" w:hAnsi="Narkisim" w:cs="Narkisim"/>
          <w:rtl/>
        </w:rPr>
        <w:t xml:space="preserve"> דלמ"ד יקיימו לא נחשב חליצה פסולה.</w:t>
      </w:r>
    </w:p>
    <w:p w14:paraId="4F6BEEC2" w14:textId="77777777" w:rsidR="006074A5" w:rsidRPr="0041053F" w:rsidRDefault="006074A5" w:rsidP="006074A5">
      <w:pPr>
        <w:bidi/>
        <w:rPr>
          <w:rFonts w:ascii="Narkisim" w:hAnsi="Narkisim" w:cs="Narkisim"/>
        </w:rPr>
      </w:pPr>
      <w:r w:rsidRPr="0041053F">
        <w:rPr>
          <w:rFonts w:ascii="Narkisim" w:hAnsi="Narkisim" w:cs="Narkisim"/>
          <w:u w:val="single"/>
          <w:rtl/>
        </w:rPr>
        <w:t>תוד"ה הך.</w:t>
      </w:r>
      <w:r w:rsidRPr="0041053F">
        <w:rPr>
          <w:rFonts w:ascii="Narkisim" w:hAnsi="Narkisim" w:cs="Narkisim"/>
          <w:rtl/>
        </w:rPr>
        <w:t xml:space="preserve"> דרב אית ליה אין זיקה וכו' ביטול מצוות יבמין, וגזרי' וכו'. וכמ"ש </w:t>
      </w:r>
      <w:r w:rsidRPr="0041053F">
        <w:rPr>
          <w:rFonts w:ascii="Narkisim" w:hAnsi="Narkisim" w:cs="Narkisim"/>
          <w:b/>
          <w:bCs/>
          <w:rtl/>
        </w:rPr>
        <w:t>ר"י</w:t>
      </w:r>
      <w:r w:rsidRPr="0041053F">
        <w:rPr>
          <w:rFonts w:ascii="Narkisim" w:hAnsi="Narkisim" w:cs="Narkisim"/>
          <w:sz w:val="20"/>
          <w:szCs w:val="20"/>
          <w:rtl/>
        </w:rPr>
        <w:t xml:space="preserve"> (ב</w:t>
      </w:r>
      <w:r w:rsidRPr="0041053F">
        <w:rPr>
          <w:rFonts w:ascii="Narkisim" w:hAnsi="Narkisim" w:cs="Narkisim"/>
          <w:b/>
          <w:bCs/>
          <w:sz w:val="20"/>
          <w:szCs w:val="20"/>
          <w:rtl/>
        </w:rPr>
        <w:t>תוס'</w:t>
      </w:r>
      <w:r w:rsidRPr="0041053F">
        <w:rPr>
          <w:rFonts w:ascii="Narkisim" w:hAnsi="Narkisim" w:cs="Narkisim"/>
          <w:sz w:val="20"/>
          <w:szCs w:val="20"/>
          <w:rtl/>
        </w:rPr>
        <w:t xml:space="preserve"> כז: ד"ה איתיביה)</w:t>
      </w:r>
      <w:r w:rsidRPr="0041053F">
        <w:rPr>
          <w:rFonts w:ascii="Narkisim" w:hAnsi="Narkisim" w:cs="Narkisim"/>
          <w:rtl/>
        </w:rPr>
        <w:t xml:space="preserve"> דלרב המשנה הוא משום גזירה שמא יקדים.</w:t>
      </w:r>
    </w:p>
    <w:p w14:paraId="7AB35C51"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מהרש"א</w:t>
      </w:r>
      <w:r w:rsidRPr="0041053F">
        <w:rPr>
          <w:rFonts w:ascii="Narkisim" w:hAnsi="Narkisim"/>
          <w:rtl/>
        </w:rPr>
        <w:t xml:space="preserve"> הק' לדעת ריב"ן (שם) שפי' טעם המשנה [למ"ד יש זיקה] הוה מטעם חיזור דחליצה פסולה, א"כ אחת ערוה, [וכתב דע"כ יפרש את המשנה כר"ח או ר"י]. וע"ע </w:t>
      </w:r>
      <w:r w:rsidRPr="0041053F">
        <w:rPr>
          <w:rFonts w:ascii="Narkisim" w:hAnsi="Narkisim"/>
          <w:b/>
          <w:bCs/>
          <w:rtl/>
        </w:rPr>
        <w:t>קרנ"ר</w:t>
      </w:r>
      <w:r w:rsidRPr="0041053F">
        <w:rPr>
          <w:rFonts w:ascii="Narkisim" w:hAnsi="Narkisim"/>
          <w:rtl/>
        </w:rPr>
        <w:t xml:space="preserve"> </w:t>
      </w:r>
      <w:r w:rsidRPr="0041053F">
        <w:rPr>
          <w:rFonts w:ascii="Narkisim" w:hAnsi="Narkisim"/>
          <w:rtl/>
        </w:rPr>
        <w:lastRenderedPageBreak/>
        <w:t>ו</w:t>
      </w:r>
      <w:r w:rsidRPr="0041053F">
        <w:rPr>
          <w:rFonts w:ascii="Narkisim" w:hAnsi="Narkisim"/>
          <w:b/>
          <w:bCs/>
          <w:rtl/>
        </w:rPr>
        <w:t>חזו"א</w:t>
      </w:r>
      <w:r w:rsidRPr="0041053F">
        <w:rPr>
          <w:rFonts w:ascii="Narkisim" w:hAnsi="Narkisim"/>
          <w:rtl/>
        </w:rPr>
        <w:t xml:space="preserve"> (קכז א).</w:t>
      </w:r>
    </w:p>
    <w:p w14:paraId="4DE99971"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(הנדמ"ח) תי' ע"פ דברי </w:t>
      </w:r>
      <w:r w:rsidRPr="0041053F">
        <w:rPr>
          <w:rFonts w:ascii="Narkisim" w:hAnsi="Narkisim"/>
          <w:b/>
          <w:bCs/>
          <w:rtl/>
        </w:rPr>
        <w:t>ר"ח</w:t>
      </w:r>
      <w:r w:rsidRPr="0041053F">
        <w:rPr>
          <w:rFonts w:ascii="Narkisim" w:hAnsi="Narkisim"/>
          <w:rtl/>
        </w:rPr>
        <w:t xml:space="preserve"> (בתוס' כז: ד"ה אבל) דרב קאי למ"ד אין זיקה. ואילו המשנה כמ"ד יש זיקה, ומש"ה ס"ל דאמרי' נאסרה, ואף לרב</w:t>
      </w:r>
      <w:r w:rsidRPr="0041053F">
        <w:rPr>
          <w:rStyle w:val="ac"/>
          <w:rFonts w:ascii="Narkisim" w:hAnsi="Narkisim"/>
          <w:rtl/>
        </w:rPr>
        <w:footnoteReference w:id="1697"/>
      </w:r>
      <w:r w:rsidRPr="0041053F">
        <w:rPr>
          <w:rFonts w:ascii="Narkisim" w:hAnsi="Narkisim"/>
          <w:rtl/>
        </w:rPr>
        <w:t>.</w:t>
      </w:r>
    </w:p>
    <w:p w14:paraId="15B0745F" w14:textId="77777777" w:rsidR="006074A5" w:rsidRPr="0041053F" w:rsidRDefault="006074A5" w:rsidP="006074A5">
      <w:pPr>
        <w:bidi/>
        <w:rPr>
          <w:rFonts w:ascii="Narkisim" w:hAnsi="Narkisim" w:cs="Narkisim"/>
        </w:rPr>
      </w:pPr>
      <w:r w:rsidRPr="0041053F">
        <w:rPr>
          <w:rFonts w:ascii="Narkisim" w:hAnsi="Narkisim" w:cs="Narkisim"/>
          <w:u w:val="single"/>
          <w:rtl/>
        </w:rPr>
        <w:t>אבא שאול אמר קל היה להם וכו'.</w:t>
      </w:r>
      <w:r w:rsidRPr="0041053F">
        <w:rPr>
          <w:rFonts w:ascii="Narkisim" w:hAnsi="Narkisim" w:cs="Narkisim"/>
          <w:rtl/>
        </w:rPr>
        <w:t xml:space="preserve"> ה</w:t>
      </w:r>
      <w:r w:rsidRPr="0041053F">
        <w:rPr>
          <w:rFonts w:ascii="Narkisim" w:hAnsi="Narkisim" w:cs="Narkisim"/>
          <w:b/>
          <w:bCs/>
          <w:rtl/>
        </w:rPr>
        <w:t>רמב"ם</w:t>
      </w:r>
      <w:r w:rsidRPr="0041053F">
        <w:rPr>
          <w:rFonts w:ascii="Narkisim" w:hAnsi="Narkisim" w:cs="Narkisim"/>
          <w:rtl/>
        </w:rPr>
        <w:t xml:space="preserve"> ב</w:t>
      </w:r>
      <w:r w:rsidRPr="0041053F">
        <w:rPr>
          <w:rFonts w:ascii="Narkisim" w:hAnsi="Narkisim" w:cs="Narkisim"/>
          <w:b/>
          <w:bCs/>
          <w:rtl/>
        </w:rPr>
        <w:t xml:space="preserve">פיה"מ </w:t>
      </w:r>
      <w:r w:rsidRPr="0041053F">
        <w:rPr>
          <w:rFonts w:ascii="Narkisim" w:hAnsi="Narkisim" w:cs="Narkisim"/>
          <w:rtl/>
        </w:rPr>
        <w:t>כת' להפוך הגירסא במשנה [וכדברי אבא שאול]. שהרי בכל מקום בי"ש מחמירים</w:t>
      </w:r>
      <w:r w:rsidRPr="0041053F">
        <w:rPr>
          <w:rFonts w:ascii="Narkisim" w:hAnsi="Narkisim" w:cs="Narkisim"/>
          <w:sz w:val="20"/>
          <w:szCs w:val="20"/>
          <w:rtl/>
        </w:rPr>
        <w:t xml:space="preserve"> [מלבד הנך שמנו במס' עדיות</w:t>
      </w:r>
      <w:r w:rsidRPr="0041053F">
        <w:rPr>
          <w:rStyle w:val="ac"/>
          <w:rFonts w:ascii="Narkisim" w:hAnsi="Narkisim" w:cs="Narkisim"/>
          <w:sz w:val="20"/>
          <w:szCs w:val="20"/>
          <w:rtl/>
        </w:rPr>
        <w:footnoteReference w:id="1698"/>
      </w:r>
      <w:r w:rsidRPr="0041053F">
        <w:rPr>
          <w:rFonts w:ascii="Narkisim" w:hAnsi="Narkisim" w:cs="Narkisim"/>
          <w:sz w:val="20"/>
          <w:szCs w:val="20"/>
          <w:rtl/>
        </w:rPr>
        <w:t>]</w:t>
      </w:r>
      <w:r w:rsidRPr="0041053F">
        <w:rPr>
          <w:rFonts w:ascii="Narkisim" w:hAnsi="Narkisim" w:cs="Narkisim"/>
          <w:rtl/>
        </w:rPr>
        <w:t>, ולכן פסק יקיימו</w:t>
      </w:r>
      <w:r w:rsidRPr="0041053F">
        <w:rPr>
          <w:rStyle w:val="ac"/>
          <w:rFonts w:ascii="Narkisim" w:hAnsi="Narkisim" w:cs="Narkisim"/>
          <w:rtl/>
        </w:rPr>
        <w:footnoteReference w:id="1699"/>
      </w:r>
      <w:r w:rsidRPr="0041053F">
        <w:rPr>
          <w:rFonts w:ascii="Narkisim" w:hAnsi="Narkisim" w:cs="Narkisim"/>
          <w:rtl/>
        </w:rPr>
        <w:t>. אבל ה</w:t>
      </w:r>
      <w:r w:rsidRPr="0041053F">
        <w:rPr>
          <w:rFonts w:ascii="Narkisim" w:hAnsi="Narkisim" w:cs="Narkisim"/>
          <w:b/>
          <w:bCs/>
          <w:rtl/>
        </w:rPr>
        <w:t>רמב"ם</w:t>
      </w:r>
      <w:r w:rsidRPr="0041053F">
        <w:rPr>
          <w:rFonts w:ascii="Narkisim" w:hAnsi="Narkisim" w:cs="Narkisim"/>
          <w:rtl/>
        </w:rPr>
        <w:t xml:space="preserve"> בהלכות </w:t>
      </w:r>
      <w:r w:rsidRPr="0041053F">
        <w:rPr>
          <w:rFonts w:ascii="Narkisim" w:hAnsi="Narkisim" w:cs="Narkisim"/>
          <w:szCs w:val="20"/>
          <w:rtl/>
        </w:rPr>
        <w:t>(</w:t>
      </w:r>
      <w:r w:rsidRPr="0041053F">
        <w:rPr>
          <w:rFonts w:ascii="Narkisim" w:hAnsi="Narkisim" w:cs="Narkisim"/>
          <w:sz w:val="20"/>
          <w:szCs w:val="20"/>
          <w:rtl/>
        </w:rPr>
        <w:t xml:space="preserve">ז ה) </w:t>
      </w:r>
      <w:r w:rsidRPr="0041053F">
        <w:rPr>
          <w:rFonts w:ascii="Narkisim" w:hAnsi="Narkisim" w:cs="Narkisim"/>
          <w:rtl/>
        </w:rPr>
        <w:t xml:space="preserve">פסק יוציאו [וכמשנה לפנינו]. </w:t>
      </w:r>
      <w:r w:rsidRPr="0041053F">
        <w:rPr>
          <w:rFonts w:ascii="Narkisim" w:hAnsi="Narkisim" w:cs="Narkisim"/>
          <w:sz w:val="20"/>
          <w:szCs w:val="20"/>
          <w:rtl/>
        </w:rPr>
        <w:t>וה</w:t>
      </w:r>
      <w:r w:rsidRPr="0041053F">
        <w:rPr>
          <w:rFonts w:ascii="Narkisim" w:hAnsi="Narkisim" w:cs="Narkisim"/>
          <w:b/>
          <w:bCs/>
          <w:sz w:val="20"/>
          <w:szCs w:val="20"/>
          <w:rtl/>
        </w:rPr>
        <w:t>כס"מ</w:t>
      </w:r>
      <w:r w:rsidRPr="0041053F">
        <w:rPr>
          <w:rFonts w:ascii="Narkisim" w:hAnsi="Narkisim" w:cs="Narkisim"/>
          <w:sz w:val="20"/>
          <w:szCs w:val="20"/>
          <w:rtl/>
        </w:rPr>
        <w:t xml:space="preserve"> כת' דחזר בו.</w:t>
      </w:r>
    </w:p>
    <w:p w14:paraId="2D6D1EB4" w14:textId="77777777" w:rsidR="006074A5" w:rsidRPr="0041053F" w:rsidRDefault="006074A5" w:rsidP="006074A5">
      <w:pPr>
        <w:pStyle w:val="3"/>
        <w:bidi/>
        <w:rPr>
          <w:rFonts w:ascii="Narkisim" w:hAnsi="Narkisim"/>
        </w:rPr>
      </w:pPr>
      <w:r w:rsidRPr="0041053F">
        <w:rPr>
          <w:rFonts w:ascii="Narkisim" w:hAnsi="Narkisim"/>
          <w:rtl/>
        </w:rPr>
        <w:t>דף כח:</w:t>
      </w:r>
    </w:p>
    <w:p w14:paraId="4E3FB016" w14:textId="77777777" w:rsidR="006074A5" w:rsidRPr="0041053F" w:rsidRDefault="006074A5" w:rsidP="006074A5">
      <w:pPr>
        <w:pStyle w:val="aa"/>
        <w:bidi/>
        <w:rPr>
          <w:rFonts w:ascii="Narkisim" w:hAnsi="Narkisim"/>
        </w:rPr>
      </w:pPr>
      <w:r w:rsidRPr="0041053F">
        <w:rPr>
          <w:rFonts w:ascii="Narkisim" w:hAnsi="Narkisim"/>
          <w:u w:val="single"/>
          <w:rtl/>
        </w:rPr>
        <w:t>סד"א משום מצוה עבוד רבנן.</w:t>
      </w:r>
      <w:r w:rsidRPr="0041053F">
        <w:rPr>
          <w:rFonts w:ascii="Narkisim" w:hAnsi="Narkisim"/>
          <w:rtl/>
        </w:rPr>
        <w:t xml:space="preserve"> פ</w:t>
      </w:r>
      <w:r w:rsidRPr="0041053F">
        <w:rPr>
          <w:rFonts w:ascii="Narkisim" w:hAnsi="Narkisim"/>
          <w:b/>
          <w:bCs/>
          <w:rtl/>
        </w:rPr>
        <w:t>רש"י</w:t>
      </w:r>
      <w:r w:rsidRPr="0041053F">
        <w:rPr>
          <w:rFonts w:ascii="Narkisim" w:hAnsi="Narkisim"/>
          <w:rtl/>
        </w:rPr>
        <w:t xml:space="preserve"> [דס"ד דתקנו] כדי שתתקיים מצוות יבום, ולא העמידו איסור זיקה דדבריהם</w:t>
      </w:r>
      <w:r w:rsidRPr="0041053F">
        <w:rPr>
          <w:rStyle w:val="ac"/>
          <w:rFonts w:ascii="Narkisim" w:hAnsi="Narkisim"/>
          <w:rtl/>
        </w:rPr>
        <w:footnoteReference w:id="1700"/>
      </w:r>
      <w:r w:rsidRPr="0041053F">
        <w:rPr>
          <w:rFonts w:ascii="Narkisim" w:hAnsi="Narkisim"/>
          <w:rtl/>
        </w:rPr>
        <w:t>. וה</w:t>
      </w:r>
      <w:r w:rsidRPr="0041053F">
        <w:rPr>
          <w:rFonts w:ascii="Narkisim" w:hAnsi="Narkisim"/>
          <w:b/>
          <w:bCs/>
          <w:rtl/>
        </w:rPr>
        <w:t>ריטב"א</w:t>
      </w:r>
      <w:r w:rsidRPr="0041053F">
        <w:rPr>
          <w:rFonts w:ascii="Narkisim" w:hAnsi="Narkisim"/>
          <w:rtl/>
        </w:rPr>
        <w:t xml:space="preserve"> ביאר דס"ד דמש"ה עבדי איסור מצווה כאיסור ערוה. כדי לקיים מצוות יבום.</w:t>
      </w:r>
    </w:p>
    <w:p w14:paraId="7C532DE1" w14:textId="77777777" w:rsidR="006074A5" w:rsidRPr="0041053F" w:rsidRDefault="006074A5" w:rsidP="006074A5">
      <w:pPr>
        <w:pStyle w:val="a7"/>
        <w:bidi/>
        <w:rPr>
          <w:rFonts w:ascii="Narkisim" w:hAnsi="Narkisim"/>
        </w:rPr>
      </w:pPr>
      <w:r w:rsidRPr="0041053F">
        <w:rPr>
          <w:rFonts w:ascii="Narkisim" w:hAnsi="Narkisim"/>
          <w:rtl/>
        </w:rPr>
        <w:t>ומבואר ב</w:t>
      </w:r>
      <w:r w:rsidRPr="0041053F">
        <w:rPr>
          <w:rFonts w:ascii="Narkisim" w:hAnsi="Narkisim"/>
          <w:b/>
          <w:bCs/>
          <w:rtl/>
        </w:rPr>
        <w:t>רש"י</w:t>
      </w:r>
      <w:r w:rsidRPr="0041053F">
        <w:rPr>
          <w:rFonts w:ascii="Narkisim" w:hAnsi="Narkisim"/>
          <w:rtl/>
        </w:rPr>
        <w:t xml:space="preserve"> דאיסור זיקה הוה מדבריהם</w:t>
      </w:r>
      <w:r w:rsidRPr="0041053F">
        <w:rPr>
          <w:rStyle w:val="ac"/>
          <w:rFonts w:ascii="Narkisim" w:hAnsi="Narkisim"/>
          <w:rtl/>
        </w:rPr>
        <w:footnoteReference w:id="1701"/>
      </w:r>
      <w:r w:rsidRPr="0041053F">
        <w:rPr>
          <w:rFonts w:ascii="Narkisim" w:hAnsi="Narkisim"/>
          <w:rtl/>
        </w:rPr>
        <w:t>. וכן ה</w:t>
      </w:r>
      <w:r w:rsidRPr="0041053F">
        <w:rPr>
          <w:rFonts w:ascii="Narkisim" w:hAnsi="Narkisim"/>
          <w:b/>
          <w:bCs/>
          <w:rtl/>
        </w:rPr>
        <w:t>רמב"ן</w:t>
      </w:r>
      <w:r w:rsidRPr="0041053F">
        <w:rPr>
          <w:rFonts w:ascii="Narkisim" w:hAnsi="Narkisim"/>
          <w:rtl/>
        </w:rPr>
        <w:t xml:space="preserve"> (לקמן כז:) הביא דמבואר (כאן) דזיקה דרבנן, דס"ד שידחה משום מצוות יבום.</w:t>
      </w:r>
      <w:r w:rsidRPr="0041053F">
        <w:rPr>
          <w:rFonts w:ascii="Narkisim" w:hAnsi="Narkisim"/>
          <w:sz w:val="20"/>
          <w:szCs w:val="20"/>
          <w:rtl/>
        </w:rPr>
        <w:t xml:space="preserve"> וצ"ע ל</w:t>
      </w:r>
      <w:r w:rsidRPr="0041053F">
        <w:rPr>
          <w:rFonts w:ascii="Narkisim" w:hAnsi="Narkisim"/>
          <w:b/>
          <w:bCs/>
          <w:sz w:val="20"/>
          <w:szCs w:val="20"/>
          <w:rtl/>
        </w:rPr>
        <w:t>תוס' חד מקמאי</w:t>
      </w:r>
      <w:r w:rsidRPr="0041053F">
        <w:rPr>
          <w:rFonts w:ascii="Narkisim" w:hAnsi="Narkisim"/>
          <w:sz w:val="20"/>
          <w:szCs w:val="20"/>
          <w:rtl/>
        </w:rPr>
        <w:t xml:space="preserve"> (לעיל שם) דס"ל דהוה דאורייתא. ויש שתי' דאפשר דזיקה אוסרת מדאורייתא רק בעומדת ליבום, ובאיסור מצוה וקדושה כיון דרבנן אסרו אינה אינה עומדת ליבום. וצ"ע.</w:t>
      </w:r>
    </w:p>
    <w:p w14:paraId="1E14148A" w14:textId="77777777" w:rsidR="006074A5" w:rsidRPr="0041053F" w:rsidRDefault="006074A5" w:rsidP="006074A5">
      <w:pPr>
        <w:pStyle w:val="aa"/>
        <w:bidi/>
        <w:rPr>
          <w:rFonts w:ascii="Narkisim" w:hAnsi="Narkisim"/>
        </w:rPr>
      </w:pPr>
      <w:r w:rsidRPr="0041053F">
        <w:rPr>
          <w:rFonts w:ascii="Narkisim" w:hAnsi="Narkisim"/>
          <w:u w:val="single"/>
          <w:rtl/>
        </w:rPr>
        <w:t>תוד"ה אבל</w:t>
      </w:r>
      <w:r w:rsidRPr="0041053F">
        <w:rPr>
          <w:rFonts w:ascii="Narkisim" w:hAnsi="Narkisim"/>
          <w:rtl/>
        </w:rPr>
        <w:t>. וא"ת הא נמי ידעינן מההיא (לעיל כ.) כדאמרי' (בע"א), וי"ל דהתם איכא ערוה וכו'. וה</w:t>
      </w:r>
      <w:r w:rsidRPr="0041053F">
        <w:rPr>
          <w:rFonts w:ascii="Narkisim" w:hAnsi="Narkisim"/>
          <w:b/>
          <w:bCs/>
          <w:rtl/>
        </w:rPr>
        <w:t>רשב"א</w:t>
      </w:r>
      <w:r w:rsidRPr="0041053F">
        <w:rPr>
          <w:rFonts w:ascii="Narkisim" w:hAnsi="Narkisim"/>
          <w:rtl/>
        </w:rPr>
        <w:t xml:space="preserve"> כת' [כעי"ז] דהתם ליכא שני כלל. אבל הכא דאיכא שני, וכל חד וחד מיבם, א"כ השני אינו מוכיח [דליכא שני שאינו מייבם].</w:t>
      </w:r>
    </w:p>
    <w:p w14:paraId="0364B918" w14:textId="77777777" w:rsidR="006074A5" w:rsidRPr="0041053F" w:rsidRDefault="006074A5" w:rsidP="006074A5">
      <w:pPr>
        <w:pStyle w:val="aa"/>
        <w:bidi/>
        <w:rPr>
          <w:rFonts w:ascii="Narkisim" w:hAnsi="Narkisim"/>
        </w:rPr>
      </w:pPr>
      <w:r w:rsidRPr="0041053F">
        <w:rPr>
          <w:rFonts w:ascii="Narkisim" w:hAnsi="Narkisim"/>
          <w:u w:val="single"/>
          <w:rtl/>
        </w:rPr>
        <w:t>בכולן אני קורא בהן האסורה לזה מותרת לזה, ואחותה שהיא יבמתה וכו'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ומתוך כך נמצאו ב' אחיות מתייבמות, ולא פגעו באחות זקוקה. [ע' רש"י (לעיל ט:) באריכות]. ויל"ד האם קמ"ל הך חשבון בעלמא, דמשכח"ל עריות הללו בהדדי. ועיל"פ דקמ"ל דלא גזרו כה"ג אטו אחות זקוקה [וע"ד הנך צריכותא דלעיל].</w:t>
      </w:r>
    </w:p>
    <w:p w14:paraId="4A1D81B8" w14:textId="77777777" w:rsidR="006074A5" w:rsidRPr="0041053F" w:rsidRDefault="006074A5" w:rsidP="006074A5">
      <w:pPr>
        <w:pStyle w:val="2"/>
        <w:bidi/>
        <w:rPr>
          <w:rFonts w:ascii="Narkisim" w:hAnsi="Narkisim"/>
        </w:rPr>
      </w:pPr>
      <w:r w:rsidRPr="0041053F">
        <w:rPr>
          <w:rFonts w:ascii="Narkisim" w:hAnsi="Narkisim"/>
          <w:rtl/>
        </w:rPr>
        <w:t>אחיות צרות בזיקה</w:t>
      </w:r>
    </w:p>
    <w:p w14:paraId="69064BEE" w14:textId="77777777" w:rsidR="006074A5" w:rsidRPr="0041053F" w:rsidRDefault="006074A5" w:rsidP="006074A5">
      <w:pPr>
        <w:pStyle w:val="aa"/>
        <w:bidi/>
        <w:rPr>
          <w:rFonts w:ascii="Narkisim" w:hAnsi="Narkisim"/>
        </w:rPr>
      </w:pPr>
      <w:r w:rsidRPr="0041053F">
        <w:rPr>
          <w:rFonts w:ascii="Narkisim" w:hAnsi="Narkisim"/>
          <w:u w:val="single"/>
          <w:rtl/>
        </w:rPr>
        <w:t>ב' אחיות או אשה ובתה וכו'.</w:t>
      </w:r>
      <w:r w:rsidRPr="0041053F">
        <w:rPr>
          <w:rFonts w:ascii="Narkisim" w:hAnsi="Narkisim"/>
          <w:rtl/>
        </w:rPr>
        <w:t xml:space="preserve"> ה</w:t>
      </w:r>
      <w:r w:rsidRPr="0041053F">
        <w:rPr>
          <w:rFonts w:ascii="Narkisim" w:hAnsi="Narkisim"/>
          <w:b/>
          <w:bCs/>
          <w:rtl/>
        </w:rPr>
        <w:t>תוי"ט</w:t>
      </w:r>
      <w:r w:rsidRPr="0041053F">
        <w:rPr>
          <w:rFonts w:ascii="Narkisim" w:hAnsi="Narkisim"/>
          <w:rtl/>
        </w:rPr>
        <w:t xml:space="preserve"> ביאר שכאן הזכיר אשה ובתה וכו' [ואילו באינך משניות נקט אחיות], משום ר' שמעון, דלמד מקרא דלצרור גבי אחות אשתו. קמ"ל דילפי' אף שאר עריות.</w:t>
      </w:r>
    </w:p>
    <w:p w14:paraId="319BCC5E" w14:textId="77777777" w:rsidR="006074A5" w:rsidRPr="0041053F" w:rsidRDefault="006074A5" w:rsidP="006074A5">
      <w:pPr>
        <w:bidi/>
        <w:rPr>
          <w:rFonts w:ascii="Narkisim" w:hAnsi="Narkisim" w:cs="Narkisim"/>
        </w:rPr>
      </w:pPr>
      <w:r w:rsidRPr="0041053F">
        <w:rPr>
          <w:rFonts w:ascii="Narkisim" w:hAnsi="Narkisim" w:cs="Narkisim"/>
          <w:u w:val="single"/>
          <w:rtl/>
        </w:rPr>
        <w:t>ר' שמעון פוטר בשניהם וכו' בשעה שנעשו צרות זו לזו</w:t>
      </w:r>
      <w:r w:rsidRPr="0041053F">
        <w:rPr>
          <w:rFonts w:ascii="Narkisim" w:hAnsi="Narkisim" w:cs="Narkisim"/>
          <w:rtl/>
        </w:rPr>
        <w:t>. ה</w:t>
      </w:r>
      <w:r w:rsidRPr="0041053F">
        <w:rPr>
          <w:rFonts w:ascii="Narkisim" w:hAnsi="Narkisim" w:cs="Narkisim"/>
          <w:b/>
          <w:bCs/>
          <w:rtl/>
        </w:rPr>
        <w:t>מאירי</w:t>
      </w:r>
      <w:r w:rsidRPr="0041053F">
        <w:rPr>
          <w:rFonts w:ascii="Narkisim" w:hAnsi="Narkisim" w:cs="Narkisim"/>
          <w:rtl/>
        </w:rPr>
        <w:t xml:space="preserve"> כת' דנחשבת כאחות אשתו.</w:t>
      </w:r>
    </w:p>
    <w:p w14:paraId="40FC02FF"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xml:space="preserve"> </w:t>
      </w:r>
      <w:r w:rsidRPr="0041053F">
        <w:rPr>
          <w:rFonts w:ascii="Narkisim" w:hAnsi="Narkisim"/>
          <w:szCs w:val="20"/>
          <w:rtl/>
        </w:rPr>
        <w:t>(קידושין נ: ד"ה אי)</w:t>
      </w:r>
      <w:r w:rsidRPr="0041053F">
        <w:rPr>
          <w:rFonts w:ascii="Narkisim" w:hAnsi="Narkisim"/>
          <w:rtl/>
        </w:rPr>
        <w:t xml:space="preserve"> דייק מדפוטר מחליצה ויבום משמע דיש כרת. ותוס' הק' דכיון דשניהם פטורים, א"כ אמאי יש בהם כרת. </w:t>
      </w:r>
      <w:r w:rsidRPr="0041053F">
        <w:rPr>
          <w:rFonts w:ascii="Narkisim" w:hAnsi="Narkisim"/>
          <w:szCs w:val="20"/>
          <w:rtl/>
        </w:rPr>
        <w:t>וכקו' הגמ' (קידושין שם) דא"א לדרוש קרא במקדש ב' אחיות</w:t>
      </w:r>
      <w:r w:rsidRPr="0041053F">
        <w:rPr>
          <w:rStyle w:val="ac"/>
          <w:rFonts w:ascii="Narkisim" w:hAnsi="Narkisim"/>
          <w:sz w:val="20"/>
          <w:szCs w:val="20"/>
          <w:rtl/>
        </w:rPr>
        <w:footnoteReference w:id="1702"/>
      </w:r>
      <w:r w:rsidRPr="0041053F">
        <w:rPr>
          <w:rFonts w:ascii="Narkisim" w:hAnsi="Narkisim"/>
          <w:szCs w:val="20"/>
          <w:rtl/>
        </w:rPr>
        <w:t xml:space="preserve">, דכיון דלא תפסי קידושין ליכא כרת, </w:t>
      </w:r>
      <w:r w:rsidRPr="0041053F">
        <w:rPr>
          <w:rFonts w:ascii="Narkisim" w:hAnsi="Narkisim"/>
          <w:sz w:val="20"/>
          <w:szCs w:val="20"/>
          <w:rtl/>
        </w:rPr>
        <w:t>דאי לא תפסי קידושין כרת מי מחייב</w:t>
      </w:r>
      <w:r w:rsidRPr="0041053F">
        <w:rPr>
          <w:rStyle w:val="ac"/>
          <w:rFonts w:ascii="Narkisim" w:hAnsi="Narkisim"/>
          <w:sz w:val="20"/>
          <w:szCs w:val="20"/>
          <w:rtl/>
        </w:rPr>
        <w:footnoteReference w:id="1703"/>
      </w:r>
      <w:r w:rsidRPr="0041053F">
        <w:rPr>
          <w:rFonts w:ascii="Narkisim" w:hAnsi="Narkisim"/>
          <w:sz w:val="20"/>
          <w:szCs w:val="20"/>
          <w:rtl/>
        </w:rPr>
        <w:t xml:space="preserve">. </w:t>
      </w:r>
      <w:r w:rsidRPr="0041053F">
        <w:rPr>
          <w:rFonts w:ascii="Narkisim" w:hAnsi="Narkisim"/>
          <w:rtl/>
        </w:rPr>
        <w:t>ותוס' תי' דממילא קאי באיסור אשת אח. וה</w:t>
      </w:r>
      <w:r w:rsidRPr="0041053F">
        <w:rPr>
          <w:rFonts w:ascii="Narkisim" w:hAnsi="Narkisim"/>
          <w:b/>
          <w:bCs/>
          <w:rtl/>
        </w:rPr>
        <w:t>אמר"מ</w:t>
      </w:r>
      <w:r w:rsidRPr="0041053F">
        <w:rPr>
          <w:rFonts w:ascii="Narkisim" w:hAnsi="Narkisim"/>
          <w:rtl/>
        </w:rPr>
        <w:t xml:space="preserve"> (ז יח) הביא מדברי התוס' דלר"ש אסורה מחמת איסור אשת אח</w:t>
      </w:r>
      <w:r w:rsidRPr="0041053F">
        <w:rPr>
          <w:rStyle w:val="ac"/>
          <w:rFonts w:ascii="Narkisim" w:hAnsi="Narkisim"/>
          <w:rtl/>
        </w:rPr>
        <w:footnoteReference w:id="1704"/>
      </w:r>
      <w:r w:rsidRPr="0041053F">
        <w:rPr>
          <w:rFonts w:ascii="Narkisim" w:hAnsi="Narkisim"/>
          <w:rtl/>
        </w:rPr>
        <w:t xml:space="preserve">. </w:t>
      </w:r>
      <w:r w:rsidRPr="0041053F">
        <w:rPr>
          <w:rFonts w:ascii="Narkisim" w:hAnsi="Narkisim"/>
          <w:szCs w:val="20"/>
          <w:rtl/>
        </w:rPr>
        <w:t xml:space="preserve">וכן </w:t>
      </w:r>
      <w:r w:rsidRPr="0041053F">
        <w:rPr>
          <w:rFonts w:ascii="Narkisim" w:hAnsi="Narkisim"/>
          <w:b/>
          <w:bCs/>
          <w:szCs w:val="20"/>
          <w:rtl/>
        </w:rPr>
        <w:t>רש"י</w:t>
      </w:r>
      <w:r w:rsidRPr="0041053F">
        <w:rPr>
          <w:rFonts w:ascii="Narkisim" w:hAnsi="Narkisim"/>
          <w:szCs w:val="20"/>
          <w:rtl/>
        </w:rPr>
        <w:t xml:space="preserve"> (ד"ה ליגזור) כת' דרחמנא פטרה וממילא קיימא עלה באיסור אשת אח.</w:t>
      </w:r>
    </w:p>
    <w:p w14:paraId="1F0BCA1A"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w:t>
      </w:r>
      <w:r w:rsidRPr="0041053F">
        <w:rPr>
          <w:rFonts w:ascii="Narkisim" w:hAnsi="Narkisim"/>
          <w:szCs w:val="20"/>
          <w:rtl/>
        </w:rPr>
        <w:t>(אמר"מ, חי' ר' שמעון טו)</w:t>
      </w:r>
      <w:r w:rsidRPr="0041053F">
        <w:rPr>
          <w:rFonts w:ascii="Narkisim" w:hAnsi="Narkisim"/>
          <w:rtl/>
        </w:rPr>
        <w:t xml:space="preserve"> הביאו דמבואר דחוזר האיסור אח אף לזו שנפלה ראשונה, ואף דבשעת נפילה הותרה חוזרת לאיסורה. [</w:t>
      </w:r>
      <w:r w:rsidRPr="0041053F">
        <w:rPr>
          <w:rFonts w:ascii="Narkisim" w:hAnsi="Narkisim"/>
          <w:szCs w:val="20"/>
          <w:rtl/>
        </w:rPr>
        <w:t>והקשו על דברי ה</w:t>
      </w:r>
      <w:r w:rsidRPr="0041053F">
        <w:rPr>
          <w:rFonts w:ascii="Narkisim" w:hAnsi="Narkisim"/>
          <w:b/>
          <w:bCs/>
          <w:szCs w:val="20"/>
          <w:rtl/>
        </w:rPr>
        <w:t>רשב"א</w:t>
      </w:r>
      <w:r w:rsidRPr="0041053F">
        <w:rPr>
          <w:rFonts w:ascii="Narkisim" w:hAnsi="Narkisim"/>
          <w:szCs w:val="20"/>
          <w:rtl/>
        </w:rPr>
        <w:t xml:space="preserve"> (לקמן מא.) דאיסור אשת אח </w:t>
      </w:r>
      <w:r w:rsidRPr="0041053F">
        <w:rPr>
          <w:rFonts w:ascii="Narkisim" w:hAnsi="Narkisim"/>
          <w:szCs w:val="20"/>
          <w:rtl/>
        </w:rPr>
        <w:lastRenderedPageBreak/>
        <w:t>הותרה בשעת נפילה, ואף שנעשית ערוה אח"כ</w:t>
      </w:r>
      <w:r w:rsidRPr="0041053F">
        <w:rPr>
          <w:rFonts w:ascii="Narkisim" w:hAnsi="Narkisim"/>
          <w:rtl/>
        </w:rPr>
        <w:t>].</w:t>
      </w:r>
    </w:p>
    <w:p w14:paraId="22551CA4"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חזו"א</w:t>
      </w:r>
      <w:r w:rsidRPr="0041053F">
        <w:rPr>
          <w:rFonts w:ascii="Narkisim" w:hAnsi="Narkisim"/>
          <w:rtl/>
        </w:rPr>
        <w:t xml:space="preserve"> (קמח נ:) כתב דלעולם הפטור [לתוס'] משום דין לצרור דאחות אשה. אלא דתוס' הקשו דבקרא כתיב 'ונכרתו', וע"כ אם יבא עליה חייב. ובזה תי' דהוה משום אשת אח, אבל עצם הפטור מחמת אחות אשה.</w:t>
      </w:r>
    </w:p>
    <w:p w14:paraId="36388736"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בגמ' (לעיל ח:) מבואר דלר"ש יליף מ'לצרור'. ודרש פטור ערוה מקרא 'ולקחה', וכרבי</w:t>
      </w:r>
      <w:r w:rsidRPr="0041053F">
        <w:rPr>
          <w:rStyle w:val="ac"/>
          <w:rFonts w:ascii="Narkisim" w:hAnsi="Narkisim" w:cs="Narkisim"/>
          <w:rtl/>
        </w:rPr>
        <w:footnoteReference w:id="1705"/>
      </w:r>
      <w:r w:rsidRPr="0041053F">
        <w:rPr>
          <w:rFonts w:ascii="Narkisim" w:hAnsi="Narkisim" w:cs="Narkisim"/>
          <w:rtl/>
        </w:rPr>
        <w:t>. וה</w:t>
      </w:r>
      <w:r w:rsidRPr="0041053F">
        <w:rPr>
          <w:rFonts w:ascii="Narkisim" w:hAnsi="Narkisim" w:cs="Narkisim"/>
          <w:b/>
          <w:bCs/>
          <w:rtl/>
        </w:rPr>
        <w:t>תו"י</w:t>
      </w:r>
      <w:r w:rsidRPr="0041053F">
        <w:rPr>
          <w:rFonts w:ascii="Narkisim" w:hAnsi="Narkisim" w:cs="Narkisim"/>
          <w:rtl/>
        </w:rPr>
        <w:t xml:space="preserve"> (ח:) כת' דר' שמעון יליף כרת בכל צרת ערוה מהכא [ע' תוס' שם ד"ה כל]. דכיון דגלי קרא בצרה א' דיש כרת, ילפי' דאף בכל צרת ערוה יש כרת.</w:t>
      </w:r>
      <w:r w:rsidRPr="0041053F">
        <w:rPr>
          <w:rFonts w:ascii="Narkisim" w:hAnsi="Narkisim" w:cs="Narkisim"/>
          <w:sz w:val="20"/>
          <w:szCs w:val="20"/>
          <w:rtl/>
        </w:rPr>
        <w:t xml:space="preserve"> ומבואר בדבריו דגדר הפטור דכ"א הוה צרה לחברתה.</w:t>
      </w:r>
    </w:p>
    <w:p w14:paraId="31A7EEF8"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דנו בדעת בי"ש (ע' לעיל יג:) דמתירין את הצרות לאחים, אי דרשי לצרור כר' שמעון.</w:t>
      </w:r>
    </w:p>
    <w:p w14:paraId="12877D75"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וב</w:t>
      </w:r>
      <w:r w:rsidRPr="0041053F">
        <w:rPr>
          <w:rFonts w:ascii="Narkisim" w:hAnsi="Narkisim" w:cs="Narkisim"/>
          <w:b/>
          <w:bCs/>
          <w:rtl/>
        </w:rPr>
        <w:t>שו"ת הרשב"א</w:t>
      </w:r>
      <w:r w:rsidRPr="0041053F">
        <w:rPr>
          <w:rStyle w:val="ac"/>
          <w:rFonts w:ascii="Narkisim" w:hAnsi="Narkisim" w:cs="Narkisim"/>
          <w:rtl/>
        </w:rPr>
        <w:footnoteReference w:id="1706"/>
      </w:r>
      <w:r w:rsidRPr="0041053F">
        <w:rPr>
          <w:rFonts w:ascii="Narkisim" w:hAnsi="Narkisim" w:cs="Narkisim"/>
          <w:rtl/>
        </w:rPr>
        <w:t xml:space="preserve"> </w:t>
      </w:r>
      <w:r w:rsidRPr="0041053F">
        <w:rPr>
          <w:rFonts w:ascii="Narkisim" w:hAnsi="Narkisim" w:cs="Narkisim"/>
          <w:sz w:val="20"/>
          <w:szCs w:val="20"/>
          <w:rtl/>
        </w:rPr>
        <w:t>(ו כא)</w:t>
      </w:r>
      <w:r w:rsidRPr="0041053F">
        <w:rPr>
          <w:rFonts w:ascii="Narkisim" w:hAnsi="Narkisim" w:cs="Narkisim"/>
          <w:rtl/>
        </w:rPr>
        <w:t xml:space="preserve"> נקט דלר' שמעון פוטרת צרתה</w:t>
      </w:r>
      <w:r w:rsidRPr="0041053F">
        <w:rPr>
          <w:rStyle w:val="ac"/>
          <w:rFonts w:ascii="Narkisim" w:hAnsi="Narkisim" w:cs="Narkisim"/>
          <w:rtl/>
        </w:rPr>
        <w:footnoteReference w:id="1707"/>
      </w:r>
      <w:r w:rsidRPr="0041053F">
        <w:rPr>
          <w:rFonts w:ascii="Narkisim" w:hAnsi="Narkisim" w:cs="Narkisim"/>
          <w:rtl/>
        </w:rPr>
        <w:t xml:space="preserve">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ביארו דהנופלת שנית תפטור, דלראשונה הוה אחר נפילה].</w:t>
      </w:r>
    </w:p>
    <w:p w14:paraId="72E4B16A" w14:textId="77777777" w:rsidR="006074A5" w:rsidRPr="0041053F" w:rsidRDefault="006074A5" w:rsidP="006074A5">
      <w:pPr>
        <w:bidi/>
        <w:rPr>
          <w:rFonts w:ascii="Narkisim" w:hAnsi="Narkisim" w:cs="Narkisim"/>
        </w:rPr>
      </w:pPr>
      <w:r w:rsidRPr="0041053F">
        <w:rPr>
          <w:rFonts w:ascii="Narkisim" w:hAnsi="Narkisim" w:cs="Narkisim"/>
          <w:u w:val="single"/>
          <w:rtl/>
        </w:rPr>
        <w:t>רש"י ד"ה בשעה שנעשו צרות.</w:t>
      </w:r>
      <w:r w:rsidRPr="0041053F">
        <w:rPr>
          <w:rFonts w:ascii="Narkisim" w:hAnsi="Narkisim" w:cs="Narkisim"/>
          <w:rtl/>
        </w:rPr>
        <w:t xml:space="preserve"> נעשו צרות זו לזו בזיקה. [וכ"כ </w:t>
      </w:r>
      <w:r w:rsidRPr="0041053F">
        <w:rPr>
          <w:rFonts w:ascii="Narkisim" w:hAnsi="Narkisim" w:cs="Narkisim"/>
          <w:b/>
          <w:bCs/>
          <w:rtl/>
        </w:rPr>
        <w:t>רש"י</w:t>
      </w:r>
      <w:r w:rsidRPr="0041053F">
        <w:rPr>
          <w:rFonts w:ascii="Narkisim" w:hAnsi="Narkisim" w:cs="Narkisim"/>
          <w:rtl/>
        </w:rPr>
        <w:t xml:space="preserve"> לעיל ח:]. משמע מרש"י דשייך לדין זיקה, וכ"כ ה</w:t>
      </w:r>
      <w:r w:rsidRPr="0041053F">
        <w:rPr>
          <w:rFonts w:ascii="Narkisim" w:hAnsi="Narkisim" w:cs="Narkisim"/>
          <w:b/>
          <w:bCs/>
          <w:rtl/>
        </w:rPr>
        <w:t>מאירי</w:t>
      </w:r>
      <w:r w:rsidRPr="0041053F">
        <w:rPr>
          <w:rFonts w:ascii="Narkisim" w:hAnsi="Narkisim" w:cs="Narkisim"/>
          <w:rtl/>
        </w:rPr>
        <w:t xml:space="preserve"> (כאן ויט. וח:) דנחשב אחות אשתו ממש מצד הזיקה</w:t>
      </w:r>
      <w:r w:rsidRPr="0041053F">
        <w:rPr>
          <w:rStyle w:val="ac"/>
          <w:rFonts w:ascii="Narkisim" w:hAnsi="Narkisim" w:cs="Narkisim"/>
          <w:rtl/>
        </w:rPr>
        <w:footnoteReference w:id="1708"/>
      </w:r>
      <w:r w:rsidRPr="0041053F">
        <w:rPr>
          <w:rFonts w:ascii="Narkisim" w:hAnsi="Narkisim" w:cs="Narkisim"/>
          <w:rtl/>
        </w:rPr>
        <w:t xml:space="preserve">. אבל </w:t>
      </w:r>
      <w:r w:rsidRPr="0041053F">
        <w:rPr>
          <w:rFonts w:ascii="Narkisim" w:hAnsi="Narkisim" w:cs="Narkisim"/>
          <w:b/>
          <w:bCs/>
          <w:rtl/>
        </w:rPr>
        <w:t>תוס</w:t>
      </w:r>
      <w:r w:rsidRPr="0041053F">
        <w:rPr>
          <w:rFonts w:ascii="Narkisim" w:hAnsi="Narkisim" w:cs="Narkisim"/>
          <w:rtl/>
        </w:rPr>
        <w:t>' (לעיל יט:) כת' דר' שמעון ס"ל אין זיקה.</w:t>
      </w:r>
    </w:p>
    <w:p w14:paraId="4A772D63"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 xml:space="preserve">נמוק"י </w:t>
      </w:r>
      <w:r w:rsidRPr="0041053F">
        <w:rPr>
          <w:rFonts w:ascii="Narkisim" w:hAnsi="Narkisim" w:cs="Narkisim"/>
          <w:rtl/>
        </w:rPr>
        <w:t>כת' שטעם ר' שמעון דמדאורי' זיקה ככנוסה, נמצא דאחות זקוקה הוה כאחות אשתו. וה</w:t>
      </w:r>
      <w:r w:rsidRPr="0041053F">
        <w:rPr>
          <w:rFonts w:ascii="Narkisim" w:hAnsi="Narkisim" w:cs="Narkisim"/>
          <w:b/>
          <w:bCs/>
          <w:rtl/>
        </w:rPr>
        <w:t>אחרונים</w:t>
      </w:r>
      <w:r w:rsidRPr="0041053F">
        <w:rPr>
          <w:rFonts w:ascii="Narkisim" w:hAnsi="Narkisim" w:cs="Narkisim"/>
          <w:rtl/>
        </w:rPr>
        <w:t xml:space="preserve"> תמהו דכ"ד ר' אושעיא (יח:) דזיקה ככנוסה, ואיתותיב (לעיל יט:), ולדבריו הגמ' כתבה דרק השניה פטורה. וב</w:t>
      </w:r>
      <w:r w:rsidRPr="0041053F">
        <w:rPr>
          <w:rFonts w:ascii="Narkisim" w:hAnsi="Narkisim" w:cs="Narkisim"/>
          <w:b/>
          <w:bCs/>
          <w:rtl/>
        </w:rPr>
        <w:t>חי' אנשי שם</w:t>
      </w:r>
      <w:r w:rsidRPr="0041053F">
        <w:rPr>
          <w:rFonts w:ascii="Narkisim" w:hAnsi="Narkisim" w:cs="Narkisim"/>
          <w:rtl/>
        </w:rPr>
        <w:t xml:space="preserve"> (עה"ג) העמיד דברי הנמוק"י בנפלו בבת א', וכמ"ד אפשר לצמצם [כדאמרי' לעיל יט.</w:t>
      </w:r>
      <w:r w:rsidRPr="0041053F">
        <w:rPr>
          <w:rStyle w:val="ac"/>
          <w:rFonts w:ascii="Narkisim" w:hAnsi="Narkisim" w:cs="Narkisim"/>
          <w:rtl/>
        </w:rPr>
        <w:footnoteReference w:id="1709"/>
      </w:r>
      <w:r w:rsidRPr="0041053F">
        <w:rPr>
          <w:rFonts w:ascii="Narkisim" w:hAnsi="Narkisim" w:cs="Narkisim"/>
          <w:rtl/>
        </w:rPr>
        <w:t>].</w:t>
      </w:r>
    </w:p>
    <w:p w14:paraId="59150ECC"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לפרש כוונת הנמוק"י דאף דלא קי"ל דזיקה ככנוסה לפטור אחותה שנופלת אחריה, מ"מ גדר הפטור דצרות זו לזו הוא משום גדר הזיקה, דיש סתירה בין שניהם.</w:t>
      </w:r>
    </w:p>
    <w:p w14:paraId="17E58E2A" w14:textId="77777777" w:rsidR="006074A5" w:rsidRPr="0041053F" w:rsidRDefault="006074A5" w:rsidP="006074A5">
      <w:pPr>
        <w:bidi/>
        <w:rPr>
          <w:rFonts w:ascii="Narkisim" w:hAnsi="Narkisim" w:cs="Narkisim"/>
        </w:rPr>
      </w:pPr>
      <w:r w:rsidRPr="0041053F">
        <w:rPr>
          <w:rFonts w:ascii="Narkisim" w:hAnsi="Narkisim" w:cs="Narkisim"/>
          <w:u w:val="single"/>
          <w:rtl/>
        </w:rPr>
        <w:t>תוד"ה שנעשו.</w:t>
      </w:r>
      <w:r w:rsidRPr="0041053F">
        <w:rPr>
          <w:rFonts w:ascii="Narkisim" w:hAnsi="Narkisim" w:cs="Narkisim"/>
          <w:rtl/>
        </w:rPr>
        <w:t xml:space="preserve"> היינו דוקא כשנפלו לפני יבם א', כדתניא וכו'. </w:t>
      </w:r>
      <w:r w:rsidRPr="0041053F">
        <w:rPr>
          <w:rFonts w:ascii="Narkisim" w:hAnsi="Narkisim" w:cs="Narkisim"/>
          <w:sz w:val="20"/>
          <w:szCs w:val="20"/>
          <w:rtl/>
        </w:rPr>
        <w:t>[וכ"כ ב</w:t>
      </w:r>
      <w:r w:rsidRPr="0041053F">
        <w:rPr>
          <w:rFonts w:ascii="Narkisim" w:hAnsi="Narkisim" w:cs="Narkisim"/>
          <w:b/>
          <w:bCs/>
          <w:sz w:val="20"/>
          <w:szCs w:val="20"/>
          <w:rtl/>
        </w:rPr>
        <w:t>שו"ת הרשב"א</w:t>
      </w:r>
      <w:r w:rsidRPr="0041053F">
        <w:rPr>
          <w:rFonts w:ascii="Narkisim" w:hAnsi="Narkisim" w:cs="Narkisim"/>
          <w:sz w:val="20"/>
          <w:szCs w:val="20"/>
          <w:rtl/>
        </w:rPr>
        <w:t xml:space="preserve"> (הנ"ל) בשם תוס'</w:t>
      </w:r>
      <w:r w:rsidRPr="0041053F">
        <w:rPr>
          <w:rStyle w:val="ac"/>
          <w:rFonts w:ascii="Narkisim" w:hAnsi="Narkisim" w:cs="Narkisim"/>
          <w:sz w:val="20"/>
          <w:szCs w:val="20"/>
          <w:rtl/>
        </w:rPr>
        <w:footnoteReference w:id="1710"/>
      </w:r>
      <w:r w:rsidRPr="0041053F">
        <w:rPr>
          <w:rFonts w:ascii="Narkisim" w:hAnsi="Narkisim" w:cs="Narkisim"/>
          <w:sz w:val="20"/>
          <w:szCs w:val="20"/>
          <w:rtl/>
        </w:rPr>
        <w:t xml:space="preserve">]. </w:t>
      </w:r>
      <w:r w:rsidRPr="0041053F">
        <w:rPr>
          <w:rFonts w:ascii="Narkisim" w:hAnsi="Narkisim" w:cs="Narkisim"/>
          <w:rtl/>
          <w:lang w:val="he-IL"/>
        </w:rPr>
        <w:t>אבל ה</w:t>
      </w:r>
      <w:r w:rsidRPr="0041053F">
        <w:rPr>
          <w:rFonts w:ascii="Narkisim" w:hAnsi="Narkisim" w:cs="Narkisim"/>
          <w:b/>
          <w:bCs/>
          <w:rtl/>
          <w:lang w:val="he-IL"/>
        </w:rPr>
        <w:t>ריטב"א</w:t>
      </w:r>
      <w:r w:rsidRPr="0041053F">
        <w:rPr>
          <w:rFonts w:ascii="Narkisim" w:hAnsi="Narkisim" w:cs="Narkisim"/>
          <w:rtl/>
          <w:lang w:val="he-IL"/>
        </w:rPr>
        <w:t xml:space="preserve"> </w:t>
      </w:r>
      <w:r w:rsidRPr="0041053F">
        <w:rPr>
          <w:rFonts w:ascii="Narkisim" w:hAnsi="Narkisim" w:cs="Narkisim"/>
          <w:sz w:val="20"/>
          <w:szCs w:val="20"/>
          <w:rtl/>
          <w:lang w:val="he-IL"/>
        </w:rPr>
        <w:t xml:space="preserve">(כט.) </w:t>
      </w:r>
      <w:r w:rsidRPr="0041053F">
        <w:rPr>
          <w:rFonts w:ascii="Narkisim" w:hAnsi="Narkisim" w:cs="Narkisim"/>
          <w:rtl/>
          <w:lang w:val="he-IL"/>
        </w:rPr>
        <w:t xml:space="preserve">כת' לב' אחים או לא' [משמע דפליג אתוס']. </w:t>
      </w:r>
      <w:r w:rsidRPr="0041053F">
        <w:rPr>
          <w:rFonts w:ascii="Narkisim" w:hAnsi="Narkisim" w:cs="Narkisim"/>
          <w:sz w:val="20"/>
          <w:szCs w:val="20"/>
          <w:rtl/>
        </w:rPr>
        <w:t>וה</w:t>
      </w:r>
      <w:r w:rsidRPr="0041053F">
        <w:rPr>
          <w:rFonts w:ascii="Narkisim" w:hAnsi="Narkisim" w:cs="Narkisim"/>
          <w:b/>
          <w:bCs/>
          <w:sz w:val="20"/>
          <w:szCs w:val="20"/>
          <w:rtl/>
        </w:rPr>
        <w:t xml:space="preserve">אחרונים </w:t>
      </w:r>
      <w:r w:rsidRPr="0041053F">
        <w:rPr>
          <w:rFonts w:ascii="Narkisim" w:hAnsi="Narkisim" w:cs="Narkisim"/>
          <w:sz w:val="20"/>
          <w:szCs w:val="20"/>
          <w:rtl/>
        </w:rPr>
        <w:t>דנו לפרש [סברת התוס'] דע"י שיש אח נוסף נחשב שאין סתירה בזה לומר שנפלו לאישות א'</w:t>
      </w:r>
      <w:r w:rsidRPr="0041053F">
        <w:rPr>
          <w:rStyle w:val="ac"/>
          <w:rFonts w:ascii="Narkisim" w:hAnsi="Narkisim" w:cs="Narkisim"/>
          <w:sz w:val="20"/>
          <w:szCs w:val="20"/>
          <w:rtl/>
        </w:rPr>
        <w:footnoteReference w:id="1711"/>
      </w:r>
      <w:r w:rsidRPr="0041053F">
        <w:rPr>
          <w:rFonts w:ascii="Narkisim" w:hAnsi="Narkisim" w:cs="Narkisim"/>
          <w:sz w:val="20"/>
          <w:szCs w:val="20"/>
          <w:rtl/>
        </w:rPr>
        <w:t xml:space="preserve">. </w:t>
      </w:r>
      <w:r w:rsidRPr="0041053F">
        <w:rPr>
          <w:rFonts w:ascii="Narkisim" w:hAnsi="Narkisim" w:cs="Narkisim"/>
          <w:i/>
          <w:iCs/>
          <w:sz w:val="20"/>
          <w:szCs w:val="20"/>
          <w:rtl/>
        </w:rPr>
        <w:t>ועוד</w:t>
      </w:r>
      <w:r w:rsidRPr="0041053F">
        <w:rPr>
          <w:rFonts w:ascii="Narkisim" w:hAnsi="Narkisim" w:cs="Narkisim"/>
          <w:sz w:val="20"/>
          <w:szCs w:val="20"/>
          <w:rtl/>
        </w:rPr>
        <w:t xml:space="preserve"> כתבו דלצד דהפטור תליא בדין זיקה, זיקה לב' הוה זיקה קלושה יותר</w:t>
      </w:r>
      <w:r w:rsidRPr="0041053F">
        <w:rPr>
          <w:rStyle w:val="ac"/>
          <w:rFonts w:ascii="Narkisim" w:hAnsi="Narkisim" w:cs="Narkisim"/>
          <w:sz w:val="20"/>
          <w:szCs w:val="20"/>
          <w:rtl/>
        </w:rPr>
        <w:footnoteReference w:id="1712"/>
      </w:r>
      <w:r w:rsidRPr="0041053F">
        <w:rPr>
          <w:rFonts w:ascii="Narkisim" w:hAnsi="Narkisim" w:cs="Narkisim"/>
          <w:sz w:val="20"/>
          <w:szCs w:val="20"/>
          <w:rtl/>
        </w:rPr>
        <w:t>.</w:t>
      </w:r>
    </w:p>
    <w:p w14:paraId="5C8BA3DE"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או"ש</w:t>
      </w:r>
      <w:r w:rsidRPr="0041053F">
        <w:rPr>
          <w:rFonts w:ascii="Narkisim" w:hAnsi="Narkisim" w:cs="Narkisim"/>
          <w:sz w:val="20"/>
          <w:szCs w:val="20"/>
          <w:rtl/>
        </w:rPr>
        <w:t xml:space="preserve"> (קו' זיקה כ, כב)</w:t>
      </w:r>
      <w:r w:rsidRPr="0041053F">
        <w:rPr>
          <w:rFonts w:ascii="Narkisim" w:hAnsi="Narkisim" w:cs="Narkisim"/>
          <w:rtl/>
        </w:rPr>
        <w:t xml:space="preserve"> נסתפק כשבשעת נפילה היו ב' יבמין ואח"כ מת א'. האם נפטרין כשנשאר יבם א'. וה</w:t>
      </w:r>
      <w:r w:rsidRPr="0041053F">
        <w:rPr>
          <w:rFonts w:ascii="Narkisim" w:hAnsi="Narkisim" w:cs="Narkisim"/>
          <w:b/>
          <w:bCs/>
          <w:rtl/>
        </w:rPr>
        <w:t>חזו"א</w:t>
      </w:r>
      <w:r w:rsidRPr="0041053F">
        <w:rPr>
          <w:rFonts w:ascii="Narkisim" w:hAnsi="Narkisim" w:cs="Narkisim"/>
          <w:rtl/>
        </w:rPr>
        <w:t xml:space="preserve"> (קלא ג) נקט שפטורים אח"כ.</w:t>
      </w:r>
    </w:p>
    <w:p w14:paraId="741A67D8" w14:textId="77777777" w:rsidR="006074A5" w:rsidRPr="0041053F" w:rsidRDefault="006074A5" w:rsidP="006074A5">
      <w:pPr>
        <w:pStyle w:val="aa"/>
        <w:bidi/>
        <w:rPr>
          <w:rFonts w:ascii="Narkisim" w:hAnsi="Narkisim"/>
        </w:rPr>
      </w:pPr>
      <w:r w:rsidRPr="0041053F">
        <w:rPr>
          <w:rFonts w:ascii="Narkisim" w:hAnsi="Narkisim"/>
          <w:u w:val="single"/>
          <w:rtl/>
        </w:rPr>
        <w:t>שם. היינו דוקא כשנפלו לפני יבם א'</w:t>
      </w:r>
      <w:r w:rsidRPr="0041053F">
        <w:rPr>
          <w:rFonts w:ascii="Narkisim" w:hAnsi="Narkisim"/>
          <w:rtl/>
        </w:rPr>
        <w:t>. ה</w:t>
      </w:r>
      <w:r w:rsidRPr="0041053F">
        <w:rPr>
          <w:rFonts w:ascii="Narkisim" w:hAnsi="Narkisim"/>
          <w:b/>
          <w:bCs/>
          <w:rtl/>
        </w:rPr>
        <w:t>אחרונים</w:t>
      </w:r>
      <w:r w:rsidRPr="0041053F">
        <w:rPr>
          <w:rFonts w:ascii="Narkisim" w:hAnsi="Narkisim"/>
          <w:rtl/>
        </w:rPr>
        <w:t xml:space="preserve"> דנו היכא דנפלו עם צרותיהן, האם אמרי' דלא נתייחדו להיות צרות זל"ז. אבל ב</w:t>
      </w:r>
      <w:r w:rsidRPr="0041053F">
        <w:rPr>
          <w:rFonts w:ascii="Narkisim" w:hAnsi="Narkisim"/>
          <w:b/>
          <w:bCs/>
          <w:rtl/>
        </w:rPr>
        <w:t>שו"ת הרשב"א</w:t>
      </w:r>
      <w:r w:rsidRPr="0041053F">
        <w:rPr>
          <w:rFonts w:ascii="Narkisim" w:hAnsi="Narkisim"/>
          <w:rtl/>
        </w:rPr>
        <w:t xml:space="preserve"> (הנ"ל) מבואר דמשכח"ל פטור צרה. וה</w:t>
      </w:r>
      <w:r w:rsidRPr="0041053F">
        <w:rPr>
          <w:rFonts w:ascii="Narkisim" w:hAnsi="Narkisim"/>
          <w:b/>
          <w:bCs/>
          <w:rtl/>
        </w:rPr>
        <w:t>אחרונים</w:t>
      </w:r>
      <w:r w:rsidRPr="0041053F">
        <w:rPr>
          <w:rFonts w:ascii="Narkisim" w:hAnsi="Narkisim"/>
          <w:rtl/>
        </w:rPr>
        <w:t xml:space="preserve"> ביארו דיש חילוק בין אחים לצרות</w:t>
      </w:r>
      <w:r w:rsidRPr="0041053F">
        <w:rPr>
          <w:rStyle w:val="ac"/>
          <w:rFonts w:ascii="Narkisim" w:hAnsi="Narkisim"/>
          <w:rtl/>
        </w:rPr>
        <w:footnoteReference w:id="1713"/>
      </w:r>
      <w:r w:rsidRPr="0041053F">
        <w:rPr>
          <w:rFonts w:ascii="Narkisim" w:hAnsi="Narkisim"/>
          <w:rtl/>
        </w:rPr>
        <w:t>.</w:t>
      </w:r>
    </w:p>
    <w:p w14:paraId="340EAE66" w14:textId="77777777" w:rsidR="006074A5" w:rsidRPr="0041053F" w:rsidRDefault="006074A5" w:rsidP="006074A5">
      <w:pPr>
        <w:pStyle w:val="3"/>
        <w:bidi/>
        <w:rPr>
          <w:rFonts w:ascii="Narkisim" w:hAnsi="Narkisim"/>
        </w:rPr>
      </w:pPr>
      <w:r w:rsidRPr="0041053F">
        <w:rPr>
          <w:rFonts w:ascii="Narkisim" w:hAnsi="Narkisim"/>
          <w:rtl/>
        </w:rPr>
        <w:t>דף כט.</w:t>
      </w:r>
    </w:p>
    <w:p w14:paraId="32454C4F" w14:textId="77777777" w:rsidR="006074A5" w:rsidRPr="0041053F" w:rsidRDefault="006074A5" w:rsidP="006074A5">
      <w:pPr>
        <w:bidi/>
        <w:rPr>
          <w:rFonts w:ascii="Narkisim" w:hAnsi="Narkisim" w:cs="Narkisim"/>
        </w:rPr>
      </w:pPr>
      <w:r w:rsidRPr="0041053F">
        <w:rPr>
          <w:rFonts w:ascii="Narkisim" w:hAnsi="Narkisim" w:cs="Narkisim"/>
          <w:u w:val="single"/>
          <w:rtl/>
        </w:rPr>
        <w:t>והא א"ר שמעון ב' אחיות וכו'.</w:t>
      </w:r>
      <w:r w:rsidRPr="0041053F">
        <w:rPr>
          <w:rFonts w:ascii="Narkisim" w:hAnsi="Narkisim" w:cs="Narkisim"/>
          <w:rtl/>
        </w:rPr>
        <w:t xml:space="preserve"> פ</w:t>
      </w:r>
      <w:r w:rsidRPr="0041053F">
        <w:rPr>
          <w:rFonts w:ascii="Narkisim" w:hAnsi="Narkisim" w:cs="Narkisim"/>
          <w:b/>
          <w:bCs/>
          <w:rtl/>
        </w:rPr>
        <w:t xml:space="preserve">רש"י </w:t>
      </w:r>
      <w:r w:rsidRPr="0041053F">
        <w:rPr>
          <w:rFonts w:ascii="Narkisim" w:hAnsi="Narkisim" w:cs="Narkisim"/>
          <w:rtl/>
        </w:rPr>
        <w:t>כיון דמדאורייתא חזיא</w:t>
      </w:r>
      <w:r w:rsidRPr="0041053F">
        <w:rPr>
          <w:rStyle w:val="ac"/>
          <w:rFonts w:ascii="Narkisim" w:hAnsi="Narkisim" w:cs="Narkisim"/>
          <w:rtl/>
        </w:rPr>
        <w:footnoteReference w:id="1714"/>
      </w:r>
      <w:r w:rsidRPr="0041053F">
        <w:rPr>
          <w:rFonts w:ascii="Narkisim" w:hAnsi="Narkisim" w:cs="Narkisim"/>
          <w:rtl/>
        </w:rPr>
        <w:t xml:space="preserve"> ליבומי, זקוקה היא, והו"ל </w:t>
      </w:r>
      <w:r w:rsidRPr="0041053F">
        <w:rPr>
          <w:rFonts w:ascii="Narkisim" w:hAnsi="Narkisim" w:cs="Narkisim"/>
          <w:rtl/>
        </w:rPr>
        <w:lastRenderedPageBreak/>
        <w:t>כשאר ב' אחיות זקוקות וכו'. מבואר דרש"י נתקשה דכיון דזקוקה רק לחליצה, מנ"ל דר"ש איירי כה"ג. ועד"ז הק' ה</w:t>
      </w:r>
      <w:r w:rsidRPr="0041053F">
        <w:rPr>
          <w:rFonts w:ascii="Narkisim" w:hAnsi="Narkisim" w:cs="Narkisim"/>
          <w:b/>
          <w:bCs/>
          <w:rtl/>
        </w:rPr>
        <w:t>תו"י</w:t>
      </w:r>
      <w:r w:rsidRPr="0041053F">
        <w:rPr>
          <w:rFonts w:ascii="Narkisim" w:hAnsi="Narkisim" w:cs="Narkisim"/>
          <w:rtl/>
        </w:rPr>
        <w:t xml:space="preserve"> דאיסור מצווה פקעה קצת הזיקה.  </w:t>
      </w:r>
    </w:p>
    <w:p w14:paraId="278D3098" w14:textId="77777777" w:rsidR="006074A5" w:rsidRPr="0041053F" w:rsidRDefault="006074A5" w:rsidP="006074A5">
      <w:pPr>
        <w:pStyle w:val="a7"/>
        <w:bidi/>
        <w:rPr>
          <w:rFonts w:ascii="Narkisim" w:hAnsi="Narkisim"/>
        </w:rPr>
      </w:pPr>
      <w:r w:rsidRPr="0041053F">
        <w:rPr>
          <w:rFonts w:ascii="Narkisim" w:hAnsi="Narkisim"/>
          <w:rtl/>
        </w:rPr>
        <w:t>וב</w:t>
      </w:r>
      <w:r w:rsidRPr="0041053F">
        <w:rPr>
          <w:rFonts w:ascii="Narkisim" w:hAnsi="Narkisim"/>
          <w:b/>
          <w:bCs/>
          <w:rtl/>
        </w:rPr>
        <w:t>תוס' מהר"ם ור"פ</w:t>
      </w:r>
      <w:r w:rsidRPr="0041053F">
        <w:rPr>
          <w:rFonts w:ascii="Narkisim" w:hAnsi="Narkisim"/>
          <w:rtl/>
        </w:rPr>
        <w:t xml:space="preserve"> הקשה נהי דמדאורייתא הוה אחות זקוקה, מ"מ איסור מצוה [שניות] לא הוה זקוקה מדרבנן</w:t>
      </w:r>
      <w:r w:rsidRPr="0041053F">
        <w:rPr>
          <w:rStyle w:val="ac"/>
          <w:rFonts w:ascii="Narkisim" w:hAnsi="Narkisim"/>
          <w:rtl/>
        </w:rPr>
        <w:footnoteReference w:id="1715"/>
      </w:r>
      <w:r w:rsidRPr="0041053F">
        <w:rPr>
          <w:rFonts w:ascii="Narkisim" w:hAnsi="Narkisim"/>
          <w:rtl/>
        </w:rPr>
        <w:t>.</w:t>
      </w:r>
    </w:p>
    <w:p w14:paraId="6E8DEC0A"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ר"מ</w:t>
      </w:r>
      <w:r w:rsidRPr="0041053F">
        <w:rPr>
          <w:rFonts w:ascii="Narkisim" w:hAnsi="Narkisim"/>
          <w:rtl/>
        </w:rPr>
        <w:t xml:space="preserve"> </w:t>
      </w:r>
      <w:r w:rsidRPr="0041053F">
        <w:rPr>
          <w:rFonts w:ascii="Narkisim" w:hAnsi="Narkisim"/>
          <w:szCs w:val="20"/>
          <w:rtl/>
        </w:rPr>
        <w:t>(בתו"י ותוס' מהר"ם ור"פ)</w:t>
      </w:r>
      <w:r w:rsidRPr="0041053F">
        <w:rPr>
          <w:rFonts w:ascii="Narkisim" w:hAnsi="Narkisim"/>
          <w:rtl/>
        </w:rPr>
        <w:t xml:space="preserve"> תי' דקושיית הגמ' ממ"נ, דאי הוה ערוה פטורה מחליצה</w:t>
      </w:r>
      <w:r w:rsidRPr="0041053F">
        <w:rPr>
          <w:rStyle w:val="ac"/>
          <w:rFonts w:ascii="Narkisim" w:hAnsi="Narkisim"/>
          <w:rtl/>
        </w:rPr>
        <w:footnoteReference w:id="1716"/>
      </w:r>
      <w:r w:rsidRPr="0041053F">
        <w:rPr>
          <w:rFonts w:ascii="Narkisim" w:hAnsi="Narkisim"/>
          <w:rtl/>
        </w:rPr>
        <w:t xml:space="preserve">, ואי לא הוה אחות זקוקה ופטורה לר' שמעון. </w:t>
      </w:r>
      <w:r w:rsidRPr="0041053F">
        <w:rPr>
          <w:rFonts w:ascii="Narkisim" w:hAnsi="Narkisim"/>
          <w:sz w:val="20"/>
          <w:szCs w:val="20"/>
          <w:rtl/>
        </w:rPr>
        <w:t>[ותי' זה מתרץ גבי שניות, דמדרבנן נחשב ערוה ופטור [וע' מש"כ בזה לעיל כא.]. וצ"ל דלא הקשה מהא דאיסור קדושה מדרבנן רמי לחליצה, דאף מדרבנן נחשב שזקוקה לו, וסגי במה שזקוקה לחליצה].</w:t>
      </w:r>
    </w:p>
    <w:p w14:paraId="55A53E02" w14:textId="77777777" w:rsidR="006074A5" w:rsidRPr="0041053F" w:rsidRDefault="006074A5" w:rsidP="006074A5">
      <w:pPr>
        <w:bidi/>
        <w:rPr>
          <w:rFonts w:ascii="Narkisim" w:hAnsi="Narkisim" w:cs="Narkisim"/>
        </w:rPr>
      </w:pPr>
      <w:r w:rsidRPr="0041053F">
        <w:rPr>
          <w:rFonts w:ascii="Narkisim" w:hAnsi="Narkisim" w:cs="Narkisim"/>
          <w:rtl/>
        </w:rPr>
        <w:t>ו</w:t>
      </w:r>
      <w:r w:rsidRPr="0041053F">
        <w:rPr>
          <w:rFonts w:ascii="Narkisim" w:hAnsi="Narkisim" w:cs="Narkisim"/>
          <w:b/>
          <w:bCs/>
          <w:rtl/>
        </w:rPr>
        <w:t>רש"י</w:t>
      </w:r>
      <w:r w:rsidRPr="0041053F">
        <w:rPr>
          <w:rFonts w:ascii="Narkisim" w:hAnsi="Narkisim" w:cs="Narkisim"/>
          <w:rtl/>
        </w:rPr>
        <w:t xml:space="preserve"> תי' דמדאורייתא חזיא ליבומי, והוה כשאר ב' אחיות שנעשו צרות זל"ז. ולכאו' כוונתו דכיון דמדאורייתא פטורה, מסתבר דלא העמידו דבריהם לפוטרו.</w:t>
      </w:r>
    </w:p>
    <w:p w14:paraId="3F48AEAA"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(קלד) דייק מדברי רש"י דבאופן שמדאורייתא חולצת [כגון חייבי עשה, וכן סוטה ספק ומחזיר גרושתו] כיון דלא רמי ליבום מדאוריי' [אלא לחליצה] אינן נפטרין לר' שמעון מדין צרות זו לזו. וקו' הגמ' (כאן) רק מאלמנה מהאירוסין ושניות</w:t>
      </w:r>
      <w:r w:rsidRPr="0041053F">
        <w:rPr>
          <w:rStyle w:val="ac"/>
          <w:rFonts w:ascii="Narkisim" w:hAnsi="Narkisim"/>
          <w:rtl/>
        </w:rPr>
        <w:footnoteReference w:id="1717"/>
      </w:r>
      <w:r w:rsidRPr="0041053F">
        <w:rPr>
          <w:rFonts w:ascii="Narkisim" w:hAnsi="Narkisim"/>
          <w:rtl/>
        </w:rPr>
        <w:t>.</w:t>
      </w:r>
    </w:p>
    <w:p w14:paraId="626184BA"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אמר"מ</w:t>
      </w:r>
      <w:r w:rsidRPr="0041053F">
        <w:rPr>
          <w:rFonts w:ascii="Narkisim" w:hAnsi="Narkisim"/>
          <w:rtl/>
        </w:rPr>
        <w:t xml:space="preserve"> (ז כח) נקט דקאי הכא אף בחייבי עשה, דמדאורייתא רמי קמיה. והוכיח מהכא דדין זיקה ככנוסה לא תליא בהא דעומדת להתייבם</w:t>
      </w:r>
      <w:r w:rsidRPr="0041053F">
        <w:rPr>
          <w:rStyle w:val="ac"/>
          <w:rFonts w:ascii="Narkisim" w:hAnsi="Narkisim"/>
          <w:rtl/>
        </w:rPr>
        <w:footnoteReference w:id="1718"/>
      </w:r>
      <w:r w:rsidRPr="0041053F">
        <w:rPr>
          <w:rFonts w:ascii="Narkisim" w:hAnsi="Narkisim"/>
          <w:rtl/>
        </w:rPr>
        <w:t>.</w:t>
      </w:r>
    </w:p>
    <w:p w14:paraId="522DACA9" w14:textId="77777777" w:rsidR="006074A5" w:rsidRPr="0041053F" w:rsidRDefault="006074A5" w:rsidP="006074A5">
      <w:pPr>
        <w:bidi/>
        <w:rPr>
          <w:rFonts w:ascii="Narkisim" w:hAnsi="Narkisim" w:cs="Narkisim"/>
        </w:rPr>
      </w:pPr>
      <w:r w:rsidRPr="0041053F">
        <w:rPr>
          <w:rFonts w:ascii="Narkisim" w:hAnsi="Narkisim" w:cs="Narkisim"/>
          <w:u w:val="single"/>
          <w:rtl/>
        </w:rPr>
        <w:t>והא גבי ערוה לא גזרינן.</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ולא אמרי' גזירה משום אחותה. [משמע דקאי בכל ערוה]. אבל ה</w:t>
      </w:r>
      <w:r w:rsidRPr="0041053F">
        <w:rPr>
          <w:rFonts w:ascii="Narkisim" w:hAnsi="Narkisim" w:cs="Narkisim"/>
          <w:b/>
          <w:bCs/>
          <w:rtl/>
        </w:rPr>
        <w:t xml:space="preserve">רמב"ן </w:t>
      </w:r>
      <w:r w:rsidRPr="0041053F">
        <w:rPr>
          <w:rFonts w:ascii="Narkisim" w:hAnsi="Narkisim" w:cs="Narkisim"/>
          <w:rtl/>
        </w:rPr>
        <w:t>ו</w:t>
      </w:r>
      <w:r w:rsidRPr="0041053F">
        <w:rPr>
          <w:rFonts w:ascii="Narkisim" w:hAnsi="Narkisim" w:cs="Narkisim"/>
          <w:b/>
          <w:bCs/>
          <w:rtl/>
        </w:rPr>
        <w:t>בעה"מ</w:t>
      </w:r>
      <w:r w:rsidRPr="0041053F">
        <w:rPr>
          <w:rFonts w:ascii="Narkisim" w:hAnsi="Narkisim" w:cs="Narkisim"/>
          <w:rtl/>
        </w:rPr>
        <w:t xml:space="preserve"> פי' ערוה שהיא איסור מצוה. דלא גזרינן אטו איסור מצוה.</w:t>
      </w:r>
    </w:p>
    <w:p w14:paraId="3D45A81C" w14:textId="77777777" w:rsidR="006074A5" w:rsidRPr="0041053F" w:rsidRDefault="006074A5" w:rsidP="006074A5">
      <w:pPr>
        <w:pStyle w:val="2"/>
        <w:bidi/>
        <w:rPr>
          <w:rFonts w:ascii="Narkisim" w:hAnsi="Narkisim"/>
        </w:rPr>
      </w:pPr>
      <w:r w:rsidRPr="0041053F">
        <w:rPr>
          <w:rFonts w:ascii="Narkisim" w:hAnsi="Narkisim"/>
          <w:rtl/>
        </w:rPr>
        <w:t>מאמר לבית שמאי</w:t>
      </w:r>
    </w:p>
    <w:p w14:paraId="344F1669" w14:textId="77777777" w:rsidR="006074A5" w:rsidRPr="0041053F" w:rsidRDefault="006074A5" w:rsidP="006074A5">
      <w:pPr>
        <w:pStyle w:val="aa"/>
        <w:bidi/>
        <w:rPr>
          <w:rFonts w:ascii="Narkisim" w:hAnsi="Narkisim"/>
        </w:rPr>
      </w:pPr>
      <w:r w:rsidRPr="0041053F">
        <w:rPr>
          <w:rFonts w:ascii="Narkisim" w:hAnsi="Narkisim"/>
          <w:u w:val="single"/>
          <w:rtl/>
        </w:rPr>
        <w:t>וא' מופנה וכו'</w:t>
      </w:r>
      <w:r w:rsidRPr="0041053F">
        <w:rPr>
          <w:rFonts w:ascii="Narkisim" w:hAnsi="Narkisim"/>
          <w:rtl/>
        </w:rPr>
        <w:t>. ה</w:t>
      </w:r>
      <w:r w:rsidRPr="0041053F">
        <w:rPr>
          <w:rFonts w:ascii="Narkisim" w:hAnsi="Narkisim"/>
          <w:b/>
          <w:bCs/>
          <w:rtl/>
        </w:rPr>
        <w:t>ראשונים</w:t>
      </w:r>
      <w:r w:rsidRPr="0041053F">
        <w:rPr>
          <w:rFonts w:ascii="Narkisim" w:hAnsi="Narkisim"/>
          <w:rtl/>
        </w:rPr>
        <w:t xml:space="preserve"> הק' דהול"ל נשוי נכרית, וכאידך מתני' (לקמן ל.). וה</w:t>
      </w:r>
      <w:r w:rsidRPr="0041053F">
        <w:rPr>
          <w:rFonts w:ascii="Narkisim" w:hAnsi="Narkisim"/>
          <w:b/>
          <w:bCs/>
          <w:rtl/>
        </w:rPr>
        <w:t>ריטב"א</w:t>
      </w:r>
      <w:r w:rsidRPr="0041053F">
        <w:rPr>
          <w:rFonts w:ascii="Narkisim" w:hAnsi="Narkisim"/>
          <w:rtl/>
        </w:rPr>
        <w:t xml:space="preserve"> תי' דבדינא דהכא אין בזה נפק"מ כלל. וה</w:t>
      </w:r>
      <w:r w:rsidRPr="0041053F">
        <w:rPr>
          <w:rFonts w:ascii="Narkisim" w:hAnsi="Narkisim"/>
          <w:b/>
          <w:bCs/>
          <w:rtl/>
        </w:rPr>
        <w:t>תו"י</w:t>
      </w:r>
      <w:r w:rsidRPr="0041053F">
        <w:rPr>
          <w:rFonts w:ascii="Narkisim" w:hAnsi="Narkisim"/>
          <w:rtl/>
        </w:rPr>
        <w:t xml:space="preserve"> כת' דנקט הכי משום סברת אוי לו על אשתו, דהוה בלא אשה כלל</w:t>
      </w:r>
      <w:r w:rsidRPr="0041053F">
        <w:rPr>
          <w:rStyle w:val="ac"/>
          <w:rFonts w:ascii="Narkisim" w:hAnsi="Narkisim"/>
          <w:rtl/>
        </w:rPr>
        <w:footnoteReference w:id="1719"/>
      </w:r>
      <w:r w:rsidRPr="0041053F">
        <w:rPr>
          <w:rFonts w:ascii="Narkisim" w:hAnsi="Narkisim"/>
          <w:rtl/>
        </w:rPr>
        <w:t>.</w:t>
      </w:r>
    </w:p>
    <w:p w14:paraId="591B849F" w14:textId="77777777" w:rsidR="006074A5" w:rsidRPr="0041053F" w:rsidRDefault="006074A5" w:rsidP="006074A5">
      <w:pPr>
        <w:bidi/>
        <w:rPr>
          <w:rFonts w:ascii="Narkisim" w:hAnsi="Narkisim" w:cs="Narkisim"/>
        </w:rPr>
      </w:pPr>
      <w:r w:rsidRPr="0041053F">
        <w:rPr>
          <w:rFonts w:ascii="Narkisim" w:hAnsi="Narkisim" w:cs="Narkisim"/>
          <w:u w:val="single"/>
          <w:rtl/>
        </w:rPr>
        <w:t>בי"ש אומרים אשתו עמו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[בדעת בי"ש] דמאמר ככנוסה דמי. ומבואר בגמ' (לעיל יח. וכ"מ) דבי"ש ס"ל דמאמר קונה קנין גמור</w:t>
      </w:r>
      <w:r w:rsidRPr="0041053F">
        <w:rPr>
          <w:rStyle w:val="ac"/>
          <w:rFonts w:ascii="Narkisim" w:hAnsi="Narkisim" w:cs="Narkisim"/>
          <w:rtl/>
        </w:rPr>
        <w:footnoteReference w:id="1720"/>
      </w:r>
      <w:r w:rsidRPr="0041053F">
        <w:rPr>
          <w:rFonts w:ascii="Narkisim" w:hAnsi="Narkisim" w:cs="Narkisim"/>
          <w:rtl/>
        </w:rPr>
        <w:t>.</w:t>
      </w:r>
    </w:p>
    <w:p w14:paraId="0FBBB6BC"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הביאו דמאמר קונה אף מדאורייתא. [ע"ע בסמוך לדעת רש"י]. ו</w:t>
      </w:r>
      <w:r w:rsidRPr="0041053F">
        <w:rPr>
          <w:rFonts w:ascii="Narkisim" w:hAnsi="Narkisim"/>
          <w:b/>
          <w:bCs/>
          <w:rtl/>
        </w:rPr>
        <w:t>תוס</w:t>
      </w:r>
      <w:r w:rsidRPr="0041053F">
        <w:rPr>
          <w:rFonts w:ascii="Narkisim" w:hAnsi="Narkisim"/>
          <w:rtl/>
        </w:rPr>
        <w:t>' כת' דילפי' מקידושין. וה</w:t>
      </w:r>
      <w:r w:rsidRPr="0041053F">
        <w:rPr>
          <w:rFonts w:ascii="Narkisim" w:hAnsi="Narkisim"/>
          <w:b/>
          <w:bCs/>
          <w:rtl/>
        </w:rPr>
        <w:t>ראשונים</w:t>
      </w:r>
      <w:r w:rsidRPr="0041053F">
        <w:rPr>
          <w:rFonts w:ascii="Narkisim" w:hAnsi="Narkisim"/>
          <w:rtl/>
        </w:rPr>
        <w:t xml:space="preserve"> הביאו בשם ה</w:t>
      </w:r>
      <w:r w:rsidRPr="0041053F">
        <w:rPr>
          <w:rFonts w:ascii="Narkisim" w:hAnsi="Narkisim"/>
          <w:b/>
          <w:bCs/>
          <w:rtl/>
        </w:rPr>
        <w:t>ירושלמי</w:t>
      </w:r>
      <w:r w:rsidRPr="0041053F">
        <w:rPr>
          <w:rFonts w:ascii="Narkisim" w:hAnsi="Narkisim"/>
          <w:rtl/>
        </w:rPr>
        <w:t xml:space="preserve"> דדרשי' יבמה יבא עליה זו הביאה, ולקחה זו המאמר. וה</w:t>
      </w:r>
      <w:r w:rsidRPr="0041053F">
        <w:rPr>
          <w:rFonts w:ascii="Narkisim" w:hAnsi="Narkisim"/>
          <w:b/>
          <w:bCs/>
          <w:rtl/>
        </w:rPr>
        <w:t>תו"י</w:t>
      </w:r>
      <w:r w:rsidRPr="0041053F">
        <w:rPr>
          <w:rFonts w:ascii="Narkisim" w:hAnsi="Narkisim"/>
          <w:rtl/>
        </w:rPr>
        <w:t xml:space="preserve"> כת' דדרשי' ולקחה לו לאשה, מה אשה בשטר, אף יבמה בשטר.</w:t>
      </w:r>
    </w:p>
    <w:p w14:paraId="2F5DFE26" w14:textId="77777777" w:rsidR="006074A5" w:rsidRPr="0041053F" w:rsidRDefault="006074A5" w:rsidP="006074A5">
      <w:pPr>
        <w:bidi/>
        <w:rPr>
          <w:rFonts w:ascii="Narkisim" w:hAnsi="Narkisim" w:cs="Narkisim"/>
        </w:rPr>
      </w:pPr>
      <w:r w:rsidRPr="0041053F">
        <w:rPr>
          <w:rFonts w:ascii="Narkisim" w:hAnsi="Narkisim" w:cs="Narkisim"/>
          <w:rtl/>
        </w:rPr>
        <w:t>ובגמ' דנו האם בי"ש ס"ל דמאמר קונה קנין גמור [ובגמ' (בסוף הע"ב) משמע דכ"ד ר' אמי</w:t>
      </w:r>
      <w:r w:rsidRPr="0041053F">
        <w:rPr>
          <w:rStyle w:val="ac"/>
          <w:rFonts w:ascii="Narkisim" w:hAnsi="Narkisim" w:cs="Narkisim"/>
          <w:rtl/>
        </w:rPr>
        <w:footnoteReference w:id="1721"/>
      </w:r>
      <w:r w:rsidRPr="0041053F">
        <w:rPr>
          <w:rFonts w:ascii="Narkisim" w:hAnsi="Narkisim" w:cs="Narkisim"/>
          <w:rtl/>
        </w:rPr>
        <w:t>]. ודעת ר"א דקונה רק לענין לדחות. ולל"ב דר"א דוחה ומשייר. [ויתבאר בסמוך].</w:t>
      </w:r>
    </w:p>
    <w:p w14:paraId="43EBC5F4"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ביאר דמ"ד דהוה קנין גמור ממש, יליף דהוקש מאמר לביאה. וה</w:t>
      </w:r>
      <w:r w:rsidRPr="0041053F">
        <w:rPr>
          <w:rFonts w:ascii="Narkisim" w:hAnsi="Narkisim"/>
          <w:b/>
          <w:bCs/>
          <w:rtl/>
        </w:rPr>
        <w:t>רמב"ן</w:t>
      </w:r>
      <w:r w:rsidRPr="0041053F">
        <w:rPr>
          <w:rFonts w:ascii="Narkisim" w:hAnsi="Narkisim"/>
          <w:rtl/>
        </w:rPr>
        <w:t xml:space="preserve"> (בע"ב) כתב </w:t>
      </w:r>
      <w:r w:rsidRPr="0041053F">
        <w:rPr>
          <w:rFonts w:ascii="Narkisim" w:hAnsi="Narkisim"/>
          <w:sz w:val="20"/>
          <w:szCs w:val="20"/>
          <w:rtl/>
        </w:rPr>
        <w:t>[דאף למ"ד דמאמר קונה קנין גמור, ומוציא בגט]</w:t>
      </w:r>
      <w:r w:rsidRPr="0041053F">
        <w:rPr>
          <w:rFonts w:ascii="Narkisim" w:hAnsi="Narkisim"/>
          <w:rtl/>
        </w:rPr>
        <w:t xml:space="preserve"> מ"מ לא קיים </w:t>
      </w:r>
      <w:r w:rsidRPr="0041053F">
        <w:rPr>
          <w:rFonts w:ascii="Narkisim" w:hAnsi="Narkisim"/>
          <w:i/>
          <w:iCs/>
          <w:rtl/>
        </w:rPr>
        <w:t>מצוות</w:t>
      </w:r>
      <w:r w:rsidRPr="0041053F">
        <w:rPr>
          <w:rFonts w:ascii="Narkisim" w:hAnsi="Narkisim"/>
          <w:rtl/>
        </w:rPr>
        <w:t xml:space="preserve"> יבום</w:t>
      </w:r>
      <w:r w:rsidRPr="0041053F">
        <w:rPr>
          <w:rStyle w:val="ac"/>
          <w:rFonts w:ascii="Narkisim" w:hAnsi="Narkisim"/>
          <w:rtl/>
        </w:rPr>
        <w:footnoteReference w:id="1722"/>
      </w:r>
      <w:r w:rsidRPr="0041053F">
        <w:rPr>
          <w:rFonts w:ascii="Narkisim" w:hAnsi="Narkisim"/>
          <w:rtl/>
        </w:rPr>
        <w:t>, אלא בביאה שאח"כ</w:t>
      </w:r>
      <w:r w:rsidRPr="0041053F">
        <w:rPr>
          <w:rStyle w:val="ac"/>
          <w:rFonts w:ascii="Narkisim" w:hAnsi="Narkisim"/>
          <w:rtl/>
        </w:rPr>
        <w:footnoteReference w:id="1723"/>
      </w:r>
      <w:r w:rsidRPr="0041053F">
        <w:rPr>
          <w:rFonts w:ascii="Narkisim" w:hAnsi="Narkisim"/>
          <w:rtl/>
        </w:rPr>
        <w:t>.</w:t>
      </w:r>
    </w:p>
    <w:p w14:paraId="47160CCA"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חקרו בגדר מאמר לבית שמאי </w:t>
      </w:r>
      <w:r w:rsidRPr="0041053F">
        <w:rPr>
          <w:rFonts w:ascii="Narkisim" w:hAnsi="Narkisim" w:cs="Narkisim"/>
          <w:sz w:val="20"/>
          <w:szCs w:val="20"/>
          <w:rtl/>
        </w:rPr>
        <w:t>[בין למ"ד קנין גמור, ובין למ"ד דוחה בצרה]</w:t>
      </w:r>
      <w:r w:rsidRPr="0041053F">
        <w:rPr>
          <w:rFonts w:ascii="Narkisim" w:hAnsi="Narkisim" w:cs="Narkisim"/>
          <w:rtl/>
        </w:rPr>
        <w:t>, האם הוה גדר 'קנין יבום' או דשייך לפרשת קידושין. וה</w:t>
      </w:r>
      <w:r w:rsidRPr="0041053F">
        <w:rPr>
          <w:rFonts w:ascii="Narkisim" w:hAnsi="Narkisim" w:cs="Narkisim"/>
          <w:b/>
          <w:bCs/>
          <w:rtl/>
        </w:rPr>
        <w:t>אחרונים</w:t>
      </w:r>
      <w:r w:rsidRPr="0041053F">
        <w:rPr>
          <w:rFonts w:ascii="Narkisim" w:hAnsi="Narkisim" w:cs="Narkisim"/>
          <w:rtl/>
        </w:rPr>
        <w:t xml:space="preserve"> </w:t>
      </w:r>
      <w:r w:rsidRPr="0041053F">
        <w:rPr>
          <w:rFonts w:ascii="Narkisim" w:hAnsi="Narkisim" w:cs="Narkisim"/>
          <w:sz w:val="20"/>
          <w:szCs w:val="20"/>
          <w:rtl/>
        </w:rPr>
        <w:t>(ברכ"ש ט ח, קובה"ע לה ז)</w:t>
      </w:r>
      <w:r w:rsidRPr="0041053F">
        <w:rPr>
          <w:rFonts w:ascii="Narkisim" w:hAnsi="Narkisim" w:cs="Narkisim"/>
          <w:rtl/>
        </w:rPr>
        <w:t xml:space="preserve"> העמידו דנח' </w:t>
      </w:r>
      <w:r w:rsidRPr="0041053F">
        <w:rPr>
          <w:rFonts w:ascii="Narkisim" w:hAnsi="Narkisim" w:cs="Narkisim"/>
          <w:rtl/>
        </w:rPr>
        <w:lastRenderedPageBreak/>
        <w:t>בזה תוס' והתו"י, ד</w:t>
      </w:r>
      <w:r w:rsidRPr="0041053F">
        <w:rPr>
          <w:rFonts w:ascii="Narkisim" w:hAnsi="Narkisim" w:cs="Narkisim"/>
          <w:b/>
          <w:bCs/>
          <w:rtl/>
        </w:rPr>
        <w:t>תוס</w:t>
      </w:r>
      <w:r w:rsidRPr="0041053F">
        <w:rPr>
          <w:rFonts w:ascii="Narkisim" w:hAnsi="Narkisim" w:cs="Narkisim"/>
          <w:rtl/>
        </w:rPr>
        <w:t>' כת' דע"י מאמר נחשב שהתחיל לבנות, ואינו בונה ב' בתים. ו</w:t>
      </w:r>
      <w:r w:rsidRPr="0041053F">
        <w:rPr>
          <w:rFonts w:ascii="Narkisim" w:hAnsi="Narkisim" w:cs="Narkisim"/>
          <w:b/>
          <w:bCs/>
          <w:rtl/>
        </w:rPr>
        <w:t>רבינו נתנאל</w:t>
      </w:r>
      <w:r w:rsidRPr="0041053F">
        <w:rPr>
          <w:rFonts w:ascii="Narkisim" w:hAnsi="Narkisim" w:cs="Narkisim"/>
          <w:rtl/>
        </w:rPr>
        <w:t xml:space="preserve"> (בתו"י) חלק דמהני מדין קידושין דעלמא, דאטו מאמר מקרי בנין. (ע' בסמוך).</w:t>
      </w:r>
    </w:p>
    <w:p w14:paraId="33F5717B" w14:textId="77777777" w:rsidR="006074A5" w:rsidRPr="0041053F" w:rsidRDefault="006074A5" w:rsidP="006074A5">
      <w:pPr>
        <w:bidi/>
        <w:rPr>
          <w:rFonts w:ascii="Narkisim" w:hAnsi="Narkisim" w:cs="Narkisim"/>
        </w:rPr>
      </w:pPr>
      <w:r w:rsidRPr="0041053F">
        <w:rPr>
          <w:rFonts w:ascii="Narkisim" w:hAnsi="Narkisim" w:cs="Narkisim"/>
          <w:u w:val="single"/>
          <w:rtl/>
        </w:rPr>
        <w:t>שם. אשתו עמו</w:t>
      </w:r>
      <w:r w:rsidRPr="0041053F">
        <w:rPr>
          <w:rFonts w:ascii="Narkisim" w:hAnsi="Narkisim" w:cs="Narkisim"/>
          <w:rtl/>
        </w:rPr>
        <w:t>. ב</w:t>
      </w:r>
      <w:r w:rsidRPr="0041053F">
        <w:rPr>
          <w:rFonts w:ascii="Narkisim" w:hAnsi="Narkisim" w:cs="Narkisim"/>
          <w:b/>
          <w:bCs/>
          <w:rtl/>
        </w:rPr>
        <w:t>גמ'</w:t>
      </w:r>
      <w:r w:rsidRPr="0041053F">
        <w:rPr>
          <w:rFonts w:ascii="Narkisim" w:hAnsi="Narkisim" w:cs="Narkisim"/>
          <w:rtl/>
        </w:rPr>
        <w:t xml:space="preserve"> </w:t>
      </w:r>
      <w:r w:rsidRPr="0041053F">
        <w:rPr>
          <w:rFonts w:ascii="Narkisim" w:hAnsi="Narkisim" w:cs="Narkisim"/>
          <w:szCs w:val="20"/>
          <w:rtl/>
        </w:rPr>
        <w:t>(נדרים עה.,</w:t>
      </w:r>
      <w:r w:rsidRPr="0041053F">
        <w:rPr>
          <w:rFonts w:ascii="Narkisim" w:hAnsi="Narkisim" w:cs="Narkisim"/>
          <w:rtl/>
        </w:rPr>
        <w:t xml:space="preserve"> </w:t>
      </w:r>
      <w:r w:rsidRPr="0041053F">
        <w:rPr>
          <w:rFonts w:ascii="Narkisim" w:hAnsi="Narkisim" w:cs="Narkisim"/>
          <w:sz w:val="20"/>
          <w:szCs w:val="20"/>
          <w:rtl/>
        </w:rPr>
        <w:t xml:space="preserve">הו' בתוס' בע"ב) </w:t>
      </w:r>
      <w:r w:rsidRPr="0041053F">
        <w:rPr>
          <w:rFonts w:ascii="Narkisim" w:hAnsi="Narkisim" w:cs="Narkisim"/>
          <w:rtl/>
        </w:rPr>
        <w:t>אי' אי אתה מודה שאין חייבין עליו סקילה כנערה המאורסה</w:t>
      </w:r>
      <w:r w:rsidRPr="0041053F">
        <w:rPr>
          <w:rFonts w:ascii="Narkisim" w:hAnsi="Narkisim" w:cs="Narkisim"/>
          <w:sz w:val="20"/>
          <w:szCs w:val="20"/>
          <w:rtl/>
        </w:rPr>
        <w:t xml:space="preserve"> [ומש"ה אינו מיפר נדריה].</w:t>
      </w:r>
      <w:r w:rsidRPr="0041053F">
        <w:rPr>
          <w:rFonts w:ascii="Narkisim" w:hAnsi="Narkisim" w:cs="Narkisim"/>
          <w:rtl/>
        </w:rPr>
        <w:t xml:space="preserve"> ומבואר ב</w:t>
      </w:r>
      <w:r w:rsidRPr="0041053F">
        <w:rPr>
          <w:rFonts w:ascii="Narkisim" w:hAnsi="Narkisim" w:cs="Narkisim"/>
          <w:b/>
          <w:bCs/>
          <w:rtl/>
        </w:rPr>
        <w:t>רמב"ן</w:t>
      </w:r>
      <w:r w:rsidRPr="0041053F">
        <w:rPr>
          <w:rFonts w:ascii="Narkisim" w:hAnsi="Narkisim" w:cs="Narkisim"/>
          <w:rtl/>
        </w:rPr>
        <w:t xml:space="preserve"> ו</w:t>
      </w:r>
      <w:r w:rsidRPr="0041053F">
        <w:rPr>
          <w:rFonts w:ascii="Narkisim" w:hAnsi="Narkisim" w:cs="Narkisim"/>
          <w:b/>
          <w:bCs/>
          <w:rtl/>
        </w:rPr>
        <w:t>רשב"א</w:t>
      </w:r>
      <w:r w:rsidRPr="0041053F">
        <w:rPr>
          <w:rFonts w:ascii="Narkisim" w:hAnsi="Narkisim" w:cs="Narkisim"/>
          <w:rtl/>
        </w:rPr>
        <w:t xml:space="preserve"> (בע"ב) וה</w:t>
      </w:r>
      <w:r w:rsidRPr="0041053F">
        <w:rPr>
          <w:rFonts w:ascii="Narkisim" w:hAnsi="Narkisim" w:cs="Narkisim"/>
          <w:b/>
          <w:bCs/>
          <w:rtl/>
        </w:rPr>
        <w:t>ר"ן</w:t>
      </w:r>
      <w:r w:rsidRPr="0041053F">
        <w:rPr>
          <w:rFonts w:ascii="Narkisim" w:hAnsi="Narkisim" w:cs="Narkisim"/>
          <w:rtl/>
        </w:rPr>
        <w:t xml:space="preserve"> </w:t>
      </w:r>
      <w:r w:rsidRPr="0041053F">
        <w:rPr>
          <w:rFonts w:ascii="Narkisim" w:hAnsi="Narkisim" w:cs="Narkisim"/>
          <w:szCs w:val="20"/>
          <w:rtl/>
        </w:rPr>
        <w:t>(נדרים שם)</w:t>
      </w:r>
      <w:r w:rsidRPr="0041053F">
        <w:rPr>
          <w:rFonts w:ascii="Narkisim" w:hAnsi="Narkisim" w:cs="Narkisim"/>
          <w:rtl/>
        </w:rPr>
        <w:t xml:space="preserve"> דאף לבית שמאי אין חייבין מיתה</w:t>
      </w:r>
      <w:r w:rsidRPr="0041053F">
        <w:rPr>
          <w:rStyle w:val="ac"/>
          <w:rFonts w:ascii="Narkisim" w:hAnsi="Narkisim" w:cs="Narkisim"/>
          <w:rtl/>
        </w:rPr>
        <w:footnoteReference w:id="1724"/>
      </w:r>
      <w:r w:rsidRPr="0041053F">
        <w:rPr>
          <w:rFonts w:ascii="Narkisim" w:hAnsi="Narkisim" w:cs="Narkisim"/>
          <w:rtl/>
        </w:rPr>
        <w:t>, דגרע מאמר מאירוסין.</w:t>
      </w:r>
    </w:p>
    <w:p w14:paraId="6A0F5C30"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הקשו דבסוגיין מבואר דאחותה פטורה, ולכאורה מבואר דאחותה היבמה הוה 'ערוה' ויש חיוב כרת. ומ"ש דלא הוה איסור אשת איש לכל העולם לענין חיוב מיתה</w:t>
      </w:r>
      <w:r w:rsidRPr="0041053F">
        <w:rPr>
          <w:rStyle w:val="ac"/>
          <w:rFonts w:ascii="Narkisim" w:hAnsi="Narkisim"/>
          <w:rtl/>
        </w:rPr>
        <w:footnoteReference w:id="1725"/>
      </w:r>
      <w:r w:rsidRPr="0041053F">
        <w:rPr>
          <w:rFonts w:ascii="Narkisim" w:hAnsi="Narkisim"/>
          <w:rtl/>
        </w:rPr>
        <w:t>. וחילקו דשאני איסור אחות אשתו דהוה מדין קורבא, וסגי באיסור במקצת לאסור, משא"כ איסור אשת איש.</w:t>
      </w:r>
    </w:p>
    <w:p w14:paraId="6A509BD7" w14:textId="77777777" w:rsidR="006074A5" w:rsidRPr="0041053F" w:rsidRDefault="006074A5" w:rsidP="006074A5">
      <w:pPr>
        <w:bidi/>
        <w:rPr>
          <w:rFonts w:ascii="Narkisim" w:hAnsi="Narkisim" w:cs="Narkisim"/>
        </w:rPr>
      </w:pPr>
      <w:r w:rsidRPr="0041053F">
        <w:rPr>
          <w:rFonts w:ascii="Narkisim" w:hAnsi="Narkisim" w:cs="Narkisim"/>
          <w:rtl/>
        </w:rPr>
        <w:t xml:space="preserve">אבל </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Cs w:val="20"/>
          <w:rtl/>
        </w:rPr>
        <w:t>(</w:t>
      </w:r>
      <w:r w:rsidRPr="0041053F">
        <w:rPr>
          <w:rFonts w:ascii="Narkisim" w:hAnsi="Narkisim" w:cs="Narkisim"/>
          <w:sz w:val="20"/>
          <w:szCs w:val="20"/>
          <w:rtl/>
        </w:rPr>
        <w:t>נדרים, מכת"י)</w:t>
      </w:r>
      <w:r w:rsidRPr="0041053F">
        <w:rPr>
          <w:rFonts w:ascii="Narkisim" w:hAnsi="Narkisim" w:cs="Narkisim"/>
          <w:rtl/>
        </w:rPr>
        <w:t xml:space="preserve"> תמהו כיון דמאמר קונה קנין גמור מה"ת לבי"ש, א"כ אמאי אינו חייב עליו סקילה. וה</w:t>
      </w:r>
      <w:r w:rsidRPr="0041053F">
        <w:rPr>
          <w:rFonts w:ascii="Narkisim" w:hAnsi="Narkisim" w:cs="Narkisim"/>
          <w:b/>
          <w:bCs/>
          <w:rtl/>
        </w:rPr>
        <w:t>תוס' הרא"ש</w:t>
      </w:r>
      <w:r w:rsidRPr="0041053F">
        <w:rPr>
          <w:rFonts w:ascii="Narkisim" w:hAnsi="Narkisim" w:cs="Narkisim"/>
          <w:rtl/>
        </w:rPr>
        <w:t xml:space="preserve"> </w:t>
      </w:r>
      <w:r w:rsidRPr="0041053F">
        <w:rPr>
          <w:rFonts w:ascii="Narkisim" w:hAnsi="Narkisim" w:cs="Narkisim"/>
          <w:sz w:val="20"/>
          <w:szCs w:val="20"/>
          <w:rtl/>
        </w:rPr>
        <w:t>(בע"ב, וכן נדרים שם)</w:t>
      </w:r>
      <w:r w:rsidRPr="0041053F">
        <w:rPr>
          <w:rFonts w:ascii="Narkisim" w:hAnsi="Narkisim" w:cs="Narkisim"/>
          <w:rtl/>
        </w:rPr>
        <w:t xml:space="preserve"> מבואר דלמ"ד קנין גמור יש חיוב סקילה, ואחיו אינו פוסל עליו. ובזה פליג ר' יהושע שאין חייבין סקילה, ואחיו פוסל בגט וביאה.</w:t>
      </w:r>
    </w:p>
    <w:p w14:paraId="3177715B"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[האם אחיו פוסל עליו]. ובגמ' (לקמן</w:t>
      </w:r>
      <w:r w:rsidRPr="0041053F">
        <w:rPr>
          <w:rFonts w:ascii="Narkisim" w:hAnsi="Narkisim" w:cs="Narkisim"/>
          <w:b/>
          <w:bCs/>
          <w:rtl/>
        </w:rPr>
        <w:t xml:space="preserve"> </w:t>
      </w:r>
      <w:r w:rsidRPr="0041053F">
        <w:rPr>
          <w:rFonts w:ascii="Narkisim" w:hAnsi="Narkisim" w:cs="Narkisim"/>
          <w:rtl/>
        </w:rPr>
        <w:t>צה.) איתא דיבמה שעשה מאמר, השני יכול לאסור עליו אם בא עליה. או אפי' יעשה מאמר, או יתן גט. ו</w:t>
      </w:r>
      <w:r w:rsidRPr="0041053F">
        <w:rPr>
          <w:rFonts w:ascii="Narkisim" w:hAnsi="Narkisim" w:cs="Narkisim"/>
          <w:b/>
          <w:bCs/>
          <w:rtl/>
        </w:rPr>
        <w:t>תוס</w:t>
      </w:r>
      <w:r w:rsidRPr="0041053F">
        <w:rPr>
          <w:rFonts w:ascii="Narkisim" w:hAnsi="Narkisim" w:cs="Narkisim"/>
          <w:rtl/>
        </w:rPr>
        <w:t>' (שם) כת' דקאי למ"ד [בית שמאי</w:t>
      </w:r>
      <w:r w:rsidRPr="0041053F">
        <w:rPr>
          <w:rStyle w:val="ac"/>
          <w:rFonts w:ascii="Narkisim" w:hAnsi="Narkisim" w:cs="Narkisim"/>
          <w:rtl/>
        </w:rPr>
        <w:footnoteReference w:id="1726"/>
      </w:r>
      <w:r w:rsidRPr="0041053F">
        <w:rPr>
          <w:rFonts w:ascii="Narkisim" w:hAnsi="Narkisim" w:cs="Narkisim"/>
          <w:rtl/>
        </w:rPr>
        <w:t>] דמאמר קני מדאורייתא</w:t>
      </w:r>
      <w:r w:rsidRPr="0041053F">
        <w:rPr>
          <w:rStyle w:val="ac"/>
          <w:rFonts w:ascii="Narkisim" w:hAnsi="Narkisim" w:cs="Narkisim"/>
          <w:rtl/>
        </w:rPr>
        <w:footnoteReference w:id="1727"/>
      </w:r>
      <w:r w:rsidRPr="0041053F">
        <w:rPr>
          <w:rFonts w:ascii="Narkisim" w:hAnsi="Narkisim" w:cs="Narkisim"/>
          <w:rtl/>
        </w:rPr>
        <w:t>. ואפ"ה אחיו פוסל עליו</w:t>
      </w:r>
      <w:r w:rsidRPr="0041053F">
        <w:rPr>
          <w:rStyle w:val="ac"/>
          <w:rFonts w:ascii="Narkisim" w:hAnsi="Narkisim" w:cs="Narkisim"/>
          <w:rtl/>
        </w:rPr>
        <w:footnoteReference w:id="1728"/>
      </w:r>
      <w:r w:rsidRPr="0041053F">
        <w:rPr>
          <w:rFonts w:ascii="Narkisim" w:hAnsi="Narkisim" w:cs="Narkisim"/>
          <w:rtl/>
        </w:rPr>
        <w:t>.</w:t>
      </w:r>
    </w:p>
    <w:p w14:paraId="4E447943" w14:textId="77777777" w:rsidR="006074A5" w:rsidRPr="0041053F" w:rsidRDefault="006074A5" w:rsidP="006074A5">
      <w:pPr>
        <w:pStyle w:val="a7"/>
        <w:bidi/>
        <w:rPr>
          <w:rFonts w:ascii="Narkisim" w:hAnsi="Narkisim"/>
        </w:rPr>
      </w:pPr>
      <w:r w:rsidRPr="0041053F">
        <w:rPr>
          <w:rFonts w:ascii="Narkisim" w:hAnsi="Narkisim"/>
          <w:rtl/>
        </w:rPr>
        <w:t>וכן מבואר ב</w:t>
      </w:r>
      <w:r w:rsidRPr="0041053F">
        <w:rPr>
          <w:rFonts w:ascii="Narkisim" w:hAnsi="Narkisim"/>
          <w:b/>
          <w:bCs/>
          <w:rtl/>
        </w:rPr>
        <w:t xml:space="preserve">משנה </w:t>
      </w:r>
      <w:r w:rsidRPr="0041053F">
        <w:rPr>
          <w:rFonts w:ascii="Narkisim" w:hAnsi="Narkisim"/>
          <w:rtl/>
        </w:rPr>
        <w:t xml:space="preserve">(נדרים עד.) דבב' יבמין יש לאחרים חלק בה. </w:t>
      </w:r>
      <w:r w:rsidRPr="0041053F">
        <w:rPr>
          <w:rFonts w:ascii="Narkisim" w:hAnsi="Narkisim"/>
          <w:sz w:val="20"/>
          <w:szCs w:val="20"/>
          <w:rtl/>
        </w:rPr>
        <w:t>[ומוקמינן ע"י מאמר כבי"ש. וה</w:t>
      </w:r>
      <w:r w:rsidRPr="0041053F">
        <w:rPr>
          <w:rFonts w:ascii="Narkisim" w:hAnsi="Narkisim"/>
          <w:b/>
          <w:bCs/>
          <w:sz w:val="20"/>
          <w:szCs w:val="20"/>
          <w:rtl/>
        </w:rPr>
        <w:t>ר"ן</w:t>
      </w:r>
      <w:r w:rsidRPr="0041053F">
        <w:rPr>
          <w:rFonts w:ascii="Narkisim" w:hAnsi="Narkisim"/>
          <w:sz w:val="20"/>
          <w:szCs w:val="20"/>
          <w:rtl/>
        </w:rPr>
        <w:t xml:space="preserve"> (שם עד:) כתב דקאי אף למ"ד קנין גמור],</w:t>
      </w:r>
      <w:r w:rsidRPr="0041053F">
        <w:rPr>
          <w:rFonts w:ascii="Narkisim" w:hAnsi="Narkisim"/>
          <w:rtl/>
        </w:rPr>
        <w:t xml:space="preserve"> והגמ'</w:t>
      </w:r>
      <w:r w:rsidRPr="0041053F">
        <w:rPr>
          <w:rFonts w:ascii="Narkisim" w:hAnsi="Narkisim"/>
          <w:sz w:val="20"/>
          <w:szCs w:val="20"/>
          <w:rtl/>
        </w:rPr>
        <w:t xml:space="preserve"> (שם עד., הו' בתוס' בע"ב)</w:t>
      </w:r>
      <w:r w:rsidRPr="0041053F">
        <w:rPr>
          <w:rFonts w:ascii="Narkisim" w:hAnsi="Narkisim"/>
          <w:rtl/>
        </w:rPr>
        <w:t xml:space="preserve"> פי' דמצי פסל ליה בגט. </w:t>
      </w:r>
      <w:r w:rsidRPr="0041053F">
        <w:rPr>
          <w:rFonts w:ascii="Narkisim" w:hAnsi="Narkisim"/>
          <w:sz w:val="20"/>
          <w:szCs w:val="20"/>
          <w:rtl/>
        </w:rPr>
        <w:t>וה</w:t>
      </w:r>
      <w:r w:rsidRPr="0041053F">
        <w:rPr>
          <w:rFonts w:ascii="Narkisim" w:hAnsi="Narkisim"/>
          <w:b/>
          <w:bCs/>
          <w:sz w:val="20"/>
          <w:szCs w:val="20"/>
          <w:rtl/>
        </w:rPr>
        <w:t xml:space="preserve">חזו"א </w:t>
      </w:r>
      <w:r w:rsidRPr="0041053F">
        <w:rPr>
          <w:rFonts w:ascii="Narkisim" w:hAnsi="Narkisim"/>
          <w:sz w:val="20"/>
          <w:szCs w:val="20"/>
          <w:rtl/>
        </w:rPr>
        <w:t>(קלב) הביא מהתם דאף לבית שמאי אחרי מאמר עדיין 'זקוקה'. וביאר דאף שמותרת בגט בלא חליצה, משום שמאמר הוה מתיר כמו חליצה. [וצ"ב]. וה</w:t>
      </w:r>
      <w:r w:rsidRPr="0041053F">
        <w:rPr>
          <w:rFonts w:ascii="Narkisim" w:hAnsi="Narkisim"/>
          <w:b/>
          <w:bCs/>
          <w:sz w:val="20"/>
          <w:szCs w:val="20"/>
          <w:rtl/>
        </w:rPr>
        <w:t>אחרונים</w:t>
      </w:r>
      <w:r w:rsidRPr="0041053F">
        <w:rPr>
          <w:rFonts w:ascii="Narkisim" w:hAnsi="Narkisim"/>
          <w:sz w:val="20"/>
          <w:szCs w:val="20"/>
          <w:rtl/>
        </w:rPr>
        <w:t xml:space="preserve"> הביאו דמבואר דאין כרת דאשת אח [של היבם] כלפי האחים, דא"כ ל"מ מאמר ויפקע הזיקה (וע' בסמוך).</w:t>
      </w:r>
    </w:p>
    <w:p w14:paraId="33ECEAF0" w14:textId="77777777" w:rsidR="006074A5" w:rsidRPr="0041053F" w:rsidRDefault="006074A5" w:rsidP="006074A5">
      <w:pPr>
        <w:pStyle w:val="a7"/>
        <w:bidi/>
        <w:rPr>
          <w:rFonts w:ascii="Narkisim" w:hAnsi="Narkisim"/>
        </w:rPr>
      </w:pPr>
      <w:r w:rsidRPr="0041053F">
        <w:rPr>
          <w:rFonts w:ascii="Narkisim" w:hAnsi="Narkisim"/>
          <w:rtl/>
        </w:rPr>
        <w:t>אבל בפי' ה</w:t>
      </w:r>
      <w:r w:rsidRPr="0041053F">
        <w:rPr>
          <w:rFonts w:ascii="Narkisim" w:hAnsi="Narkisim"/>
          <w:b/>
          <w:bCs/>
          <w:rtl/>
        </w:rPr>
        <w:t>רא"ש</w:t>
      </w:r>
      <w:r w:rsidRPr="0041053F">
        <w:rPr>
          <w:rFonts w:ascii="Narkisim" w:hAnsi="Narkisim"/>
          <w:rtl/>
        </w:rPr>
        <w:t xml:space="preserve"> (נדרים שם) כת' דר' יהושע לא ס"ל כבי"ש</w:t>
      </w:r>
      <w:r w:rsidRPr="0041053F">
        <w:rPr>
          <w:rStyle w:val="ac"/>
          <w:rFonts w:ascii="Narkisim" w:hAnsi="Narkisim"/>
          <w:rtl/>
        </w:rPr>
        <w:footnoteReference w:id="1729"/>
      </w:r>
      <w:r w:rsidRPr="0041053F">
        <w:rPr>
          <w:rFonts w:ascii="Narkisim" w:hAnsi="Narkisim"/>
          <w:rtl/>
        </w:rPr>
        <w:t>. [ומש"ה אחיו יכול לפסול בגט]. וה</w:t>
      </w:r>
      <w:r w:rsidRPr="0041053F">
        <w:rPr>
          <w:rFonts w:ascii="Narkisim" w:hAnsi="Narkisim"/>
          <w:b/>
          <w:bCs/>
          <w:rtl/>
        </w:rPr>
        <w:t>תוס' הרא"ש</w:t>
      </w:r>
      <w:r w:rsidRPr="0041053F">
        <w:rPr>
          <w:rFonts w:ascii="Narkisim" w:hAnsi="Narkisim"/>
          <w:rtl/>
        </w:rPr>
        <w:t xml:space="preserve"> </w:t>
      </w:r>
      <w:r w:rsidRPr="0041053F">
        <w:rPr>
          <w:rFonts w:ascii="Narkisim" w:hAnsi="Narkisim"/>
          <w:sz w:val="20"/>
          <w:szCs w:val="20"/>
          <w:rtl/>
        </w:rPr>
        <w:t>(צה.)</w:t>
      </w:r>
      <w:r w:rsidRPr="0041053F">
        <w:rPr>
          <w:rFonts w:ascii="Narkisim" w:hAnsi="Narkisim"/>
          <w:rtl/>
        </w:rPr>
        <w:t xml:space="preserve"> הק' [על תוס' שם] דאם מאמר קני מה"ת, לא יתפוס מאמר אחריו. ועוד אמאי קרי ליה איסור קל, דכיון דקני מה"ת הוה כנערה המאורסה </w:t>
      </w:r>
      <w:r w:rsidRPr="0041053F">
        <w:rPr>
          <w:rFonts w:ascii="Narkisim" w:hAnsi="Narkisim"/>
          <w:sz w:val="20"/>
          <w:szCs w:val="20"/>
          <w:rtl/>
        </w:rPr>
        <w:t>[ולשיטתו דלמ"ד דקונה מה"ת יש חיוב מיתה, ודלא כר"ן]</w:t>
      </w:r>
      <w:r w:rsidRPr="0041053F">
        <w:rPr>
          <w:rFonts w:ascii="Narkisim" w:hAnsi="Narkisim"/>
          <w:rtl/>
        </w:rPr>
        <w:t>. ו</w:t>
      </w:r>
      <w:r w:rsidRPr="0041053F">
        <w:rPr>
          <w:rFonts w:ascii="Narkisim" w:hAnsi="Narkisim"/>
          <w:b/>
          <w:bCs/>
          <w:rtl/>
        </w:rPr>
        <w:t>תוס'</w:t>
      </w:r>
      <w:r w:rsidRPr="0041053F">
        <w:rPr>
          <w:rFonts w:ascii="Narkisim" w:hAnsi="Narkisim"/>
          <w:rtl/>
        </w:rPr>
        <w:t xml:space="preserve"> (נדרים שם מכת"י) כת' דלבי"ש מהני גט לפוסלו מדרבנן</w:t>
      </w:r>
      <w:r w:rsidRPr="0041053F">
        <w:rPr>
          <w:rStyle w:val="ac"/>
          <w:rFonts w:ascii="Narkisim" w:hAnsi="Narkisim"/>
          <w:rtl/>
        </w:rPr>
        <w:footnoteReference w:id="1730"/>
      </w:r>
      <w:r w:rsidRPr="0041053F">
        <w:rPr>
          <w:rFonts w:ascii="Narkisim" w:hAnsi="Narkisim"/>
          <w:rtl/>
        </w:rPr>
        <w:t>. וכיון דמצי פסיל ליה אינו מפר נדריה.</w:t>
      </w:r>
    </w:p>
    <w:p w14:paraId="22FDCCBC" w14:textId="77777777" w:rsidR="006074A5" w:rsidRPr="0041053F" w:rsidRDefault="006074A5" w:rsidP="006074A5">
      <w:pPr>
        <w:bidi/>
        <w:rPr>
          <w:rFonts w:ascii="Narkisim" w:hAnsi="Narkisim" w:cs="Narkisim"/>
        </w:rPr>
      </w:pPr>
      <w:r w:rsidRPr="0041053F">
        <w:rPr>
          <w:rFonts w:ascii="Narkisim" w:hAnsi="Narkisim" w:cs="Narkisim"/>
          <w:u w:val="single"/>
          <w:rtl/>
        </w:rPr>
        <w:t>תוד"ה ב"ש</w:t>
      </w:r>
      <w:r w:rsidRPr="0041053F">
        <w:rPr>
          <w:rFonts w:ascii="Narkisim" w:hAnsi="Narkisim" w:cs="Narkisim"/>
          <w:rtl/>
        </w:rPr>
        <w:t>. פ' בקונ' מדרבנן</w:t>
      </w:r>
      <w:r w:rsidRPr="0041053F">
        <w:rPr>
          <w:rStyle w:val="ac"/>
          <w:rFonts w:ascii="Narkisim" w:hAnsi="Narkisim" w:cs="Narkisim"/>
          <w:rtl/>
        </w:rPr>
        <w:footnoteReference w:id="1731"/>
      </w:r>
      <w:r w:rsidRPr="0041053F">
        <w:rPr>
          <w:rFonts w:ascii="Narkisim" w:hAnsi="Narkisim" w:cs="Narkisim"/>
          <w:rtl/>
        </w:rPr>
        <w:t xml:space="preserve">, ומיהו י"ל דתצא היינו אחר שיבעול וכו'. </w:t>
      </w:r>
      <w:r w:rsidRPr="0041053F">
        <w:rPr>
          <w:rFonts w:ascii="Narkisim" w:hAnsi="Narkisim" w:cs="Narkisim"/>
          <w:sz w:val="20"/>
          <w:szCs w:val="20"/>
          <w:rtl/>
        </w:rPr>
        <w:t>וה</w:t>
      </w:r>
      <w:r w:rsidRPr="0041053F">
        <w:rPr>
          <w:rFonts w:ascii="Narkisim" w:hAnsi="Narkisim" w:cs="Narkisim"/>
          <w:b/>
          <w:bCs/>
          <w:sz w:val="20"/>
          <w:szCs w:val="20"/>
          <w:rtl/>
        </w:rPr>
        <w:t>תוס' הרא"ש</w:t>
      </w:r>
      <w:r w:rsidRPr="0041053F">
        <w:rPr>
          <w:rFonts w:ascii="Narkisim" w:hAnsi="Narkisim" w:cs="Narkisim"/>
          <w:sz w:val="20"/>
          <w:szCs w:val="20"/>
          <w:rtl/>
        </w:rPr>
        <w:t xml:space="preserve"> ו</w:t>
      </w:r>
      <w:r w:rsidRPr="0041053F">
        <w:rPr>
          <w:rFonts w:ascii="Narkisim" w:hAnsi="Narkisim" w:cs="Narkisim"/>
          <w:b/>
          <w:bCs/>
          <w:sz w:val="20"/>
          <w:szCs w:val="20"/>
          <w:rtl/>
        </w:rPr>
        <w:t>מהרש"א</w:t>
      </w:r>
      <w:r w:rsidRPr="0041053F">
        <w:rPr>
          <w:rFonts w:ascii="Narkisim" w:hAnsi="Narkisim" w:cs="Narkisim"/>
          <w:sz w:val="20"/>
          <w:szCs w:val="20"/>
          <w:rtl/>
        </w:rPr>
        <w:t xml:space="preserve"> כת' דבדברי רש"י מבואר דלא כן [ע"פ מש"כ תוס' (ד"ה אלא) בדעת רש"י].</w:t>
      </w:r>
      <w:r w:rsidRPr="0041053F">
        <w:rPr>
          <w:rFonts w:ascii="Narkisim" w:hAnsi="Narkisim" w:cs="Narkisim"/>
          <w:rtl/>
        </w:rPr>
        <w:t xml:space="preserve"> וה</w:t>
      </w:r>
      <w:r w:rsidRPr="0041053F">
        <w:rPr>
          <w:rFonts w:ascii="Narkisim" w:hAnsi="Narkisim" w:cs="Narkisim"/>
          <w:b/>
          <w:bCs/>
          <w:rtl/>
        </w:rPr>
        <w:t>ערול"נ</w:t>
      </w:r>
      <w:r w:rsidRPr="0041053F">
        <w:rPr>
          <w:rFonts w:ascii="Narkisim" w:hAnsi="Narkisim" w:cs="Narkisim"/>
          <w:rtl/>
        </w:rPr>
        <w:t xml:space="preserve"> כת' דתלי במח' בגמ', דלמ"ד דאינו קונה קנין גמור ס"ל לרש"י דהוה דרבנן. אבל למ"ד קונה קנין גמור הוה דאורייתא. ומש"כ בגמ' לאפוקי מבי"ש, היינו לאפוקי ממ"ד קונה קנין גמור</w:t>
      </w:r>
      <w:r w:rsidRPr="0041053F">
        <w:rPr>
          <w:rStyle w:val="ac"/>
          <w:rFonts w:ascii="Narkisim" w:hAnsi="Narkisim" w:cs="Narkisim"/>
          <w:rtl/>
        </w:rPr>
        <w:footnoteReference w:id="1732"/>
      </w:r>
      <w:r w:rsidRPr="0041053F">
        <w:rPr>
          <w:rFonts w:ascii="Narkisim" w:hAnsi="Narkisim" w:cs="Narkisim"/>
          <w:rtl/>
        </w:rPr>
        <w:t xml:space="preserve">. </w:t>
      </w:r>
      <w:r w:rsidRPr="0041053F">
        <w:rPr>
          <w:rFonts w:ascii="Narkisim" w:hAnsi="Narkisim" w:cs="Narkisim"/>
          <w:sz w:val="20"/>
          <w:szCs w:val="20"/>
          <w:rtl/>
        </w:rPr>
        <w:t>וע"ע בע"ב.</w:t>
      </w:r>
    </w:p>
    <w:p w14:paraId="7DA41013" w14:textId="77777777" w:rsidR="006074A5" w:rsidRPr="0041053F" w:rsidRDefault="006074A5" w:rsidP="006074A5">
      <w:pPr>
        <w:pStyle w:val="aa"/>
        <w:bidi/>
        <w:rPr>
          <w:rFonts w:ascii="Narkisim" w:hAnsi="Narkisim"/>
        </w:rPr>
      </w:pPr>
      <w:r w:rsidRPr="0041053F">
        <w:rPr>
          <w:rFonts w:ascii="Narkisim" w:hAnsi="Narkisim"/>
          <w:u w:val="single"/>
          <w:rtl/>
        </w:rPr>
        <w:t>למעוטי הך דר' יהושע</w:t>
      </w:r>
      <w:r w:rsidRPr="0041053F">
        <w:rPr>
          <w:rFonts w:ascii="Narkisim" w:hAnsi="Narkisim"/>
          <w:rtl/>
        </w:rPr>
        <w:t>. [דתנן לקמן קט.] כשהיבם נשוי אחות היבמה קטנה [בקידושי מיאון]. ופ</w:t>
      </w:r>
      <w:r w:rsidRPr="0041053F">
        <w:rPr>
          <w:rFonts w:ascii="Narkisim" w:hAnsi="Narkisim"/>
          <w:b/>
          <w:bCs/>
          <w:rtl/>
        </w:rPr>
        <w:t>רש"י</w:t>
      </w:r>
      <w:r w:rsidRPr="0041053F">
        <w:rPr>
          <w:rFonts w:ascii="Narkisim" w:hAnsi="Narkisim"/>
          <w:rtl/>
        </w:rPr>
        <w:t xml:space="preserve"> דהגדולה זקוקה לפניו מדאורייתא, ואוסרת הקטנה עליו</w:t>
      </w:r>
      <w:r w:rsidRPr="0041053F">
        <w:rPr>
          <w:rStyle w:val="ac"/>
          <w:rFonts w:ascii="Narkisim" w:hAnsi="Narkisim"/>
          <w:rtl/>
        </w:rPr>
        <w:footnoteReference w:id="1733"/>
      </w:r>
      <w:r w:rsidRPr="0041053F">
        <w:rPr>
          <w:rFonts w:ascii="Narkisim" w:hAnsi="Narkisim"/>
          <w:rtl/>
        </w:rPr>
        <w:t>, דנישואיה דרבנן. ולא אלימא לאפקועי זיקה דאורייתא. ור' יהושע אמר 'אוי לו על אשתו', מוציא את אשתו בגט</w:t>
      </w:r>
      <w:r w:rsidRPr="0041053F">
        <w:rPr>
          <w:rStyle w:val="ac"/>
          <w:rFonts w:ascii="Narkisim" w:hAnsi="Narkisim"/>
          <w:rtl/>
        </w:rPr>
        <w:footnoteReference w:id="1734"/>
      </w:r>
      <w:r w:rsidRPr="0041053F">
        <w:rPr>
          <w:rFonts w:ascii="Narkisim" w:hAnsi="Narkisim"/>
          <w:rtl/>
        </w:rPr>
        <w:t>, ואשת אחיו בחליצה.</w:t>
      </w:r>
    </w:p>
    <w:p w14:paraId="1A09A98F" w14:textId="77777777" w:rsidR="006074A5" w:rsidRPr="0041053F" w:rsidRDefault="006074A5" w:rsidP="006074A5">
      <w:pPr>
        <w:pStyle w:val="a8"/>
        <w:bidi/>
        <w:rPr>
          <w:rFonts w:ascii="Narkisim" w:hAnsi="Narkisim"/>
        </w:rPr>
      </w:pPr>
      <w:r w:rsidRPr="0041053F">
        <w:rPr>
          <w:rFonts w:ascii="Narkisim" w:hAnsi="Narkisim"/>
          <w:rtl/>
        </w:rPr>
        <w:t>ודעת ר"א דמלמדים את הקטנה למאן [ותתייבם גדולה]. ור"ג אמר תמתין עד שתגדיל, ותצא הלזו משום אחות אשה. [והגמ' (לעיל יח.) מביאה דר"ג ס"ל אין זיקה, ומש"ה כשתגדיל הקטנה רשאי לישאנה</w:t>
      </w:r>
      <w:r w:rsidRPr="0041053F">
        <w:rPr>
          <w:rStyle w:val="ac"/>
          <w:rFonts w:ascii="Narkisim" w:hAnsi="Narkisim"/>
          <w:rtl/>
        </w:rPr>
        <w:footnoteReference w:id="1735"/>
      </w:r>
      <w:r w:rsidRPr="0041053F">
        <w:rPr>
          <w:rFonts w:ascii="Narkisim" w:hAnsi="Narkisim"/>
          <w:rtl/>
        </w:rPr>
        <w:t xml:space="preserve">, ואף דהוה אחות </w:t>
      </w:r>
      <w:r w:rsidRPr="0041053F">
        <w:rPr>
          <w:rFonts w:ascii="Narkisim" w:hAnsi="Narkisim"/>
          <w:rtl/>
        </w:rPr>
        <w:lastRenderedPageBreak/>
        <w:t>זקוקתו].</w:t>
      </w:r>
    </w:p>
    <w:p w14:paraId="7FBA81C7" w14:textId="77777777" w:rsidR="006074A5" w:rsidRPr="0041053F" w:rsidRDefault="006074A5" w:rsidP="006074A5">
      <w:pPr>
        <w:pStyle w:val="a8"/>
        <w:bidi/>
        <w:rPr>
          <w:rFonts w:ascii="Narkisim" w:hAnsi="Narkisim"/>
        </w:rPr>
      </w:pPr>
      <w:r w:rsidRPr="0041053F">
        <w:rPr>
          <w:rFonts w:ascii="Narkisim" w:hAnsi="Narkisim"/>
          <w:rtl/>
        </w:rPr>
        <w:t>ופ</w:t>
      </w:r>
      <w:r w:rsidRPr="0041053F">
        <w:rPr>
          <w:rFonts w:ascii="Narkisim" w:hAnsi="Narkisim"/>
          <w:b/>
          <w:bCs/>
          <w:rtl/>
        </w:rPr>
        <w:t>רש"י</w:t>
      </w:r>
      <w:r w:rsidRPr="0041053F">
        <w:rPr>
          <w:rFonts w:ascii="Narkisim" w:hAnsi="Narkisim"/>
          <w:rtl/>
        </w:rPr>
        <w:t xml:space="preserve"> (קט.) דר' יהושע ס"ל דאין מלמדין למאן, דקי"ל (שם) התרחק מהמיאונים</w:t>
      </w:r>
      <w:r w:rsidRPr="0041053F">
        <w:rPr>
          <w:rStyle w:val="ac"/>
          <w:rFonts w:ascii="Narkisim" w:hAnsi="Narkisim"/>
          <w:rtl/>
        </w:rPr>
        <w:footnoteReference w:id="1736"/>
      </w:r>
      <w:r w:rsidRPr="0041053F">
        <w:rPr>
          <w:rFonts w:ascii="Narkisim" w:hAnsi="Narkisim"/>
          <w:rtl/>
        </w:rPr>
        <w:t>. ואינו רשאי לישא הקטנה [כשתגדיל], דס"ל יש זיקה.</w:t>
      </w:r>
    </w:p>
    <w:p w14:paraId="31119D4A" w14:textId="77777777" w:rsidR="006074A5" w:rsidRPr="0041053F" w:rsidRDefault="006074A5" w:rsidP="006074A5">
      <w:pPr>
        <w:pStyle w:val="aa"/>
        <w:bidi/>
        <w:rPr>
          <w:rFonts w:ascii="Narkisim" w:hAnsi="Narkisim"/>
        </w:rPr>
      </w:pPr>
      <w:r w:rsidRPr="0041053F">
        <w:rPr>
          <w:rFonts w:ascii="Narkisim" w:hAnsi="Narkisim"/>
          <w:u w:val="single"/>
          <w:rtl/>
        </w:rPr>
        <w:t>אלא אי כר"ג</w:t>
      </w:r>
      <w:r w:rsidRPr="0041053F">
        <w:rPr>
          <w:rFonts w:ascii="Narkisim" w:hAnsi="Narkisim"/>
          <w:rtl/>
        </w:rPr>
        <w:t>. [דאין זיקה</w:t>
      </w:r>
      <w:r w:rsidRPr="0041053F">
        <w:rPr>
          <w:rStyle w:val="ac"/>
          <w:rFonts w:ascii="Narkisim" w:hAnsi="Narkisim"/>
          <w:rtl/>
        </w:rPr>
        <w:footnoteReference w:id="1737"/>
      </w:r>
      <w:r w:rsidRPr="0041053F">
        <w:rPr>
          <w:rFonts w:ascii="Narkisim" w:hAnsi="Narkisim"/>
          <w:rtl/>
        </w:rPr>
        <w:t>, וכה"ג מותר לבטל מצוות יבמין. והגמ' (קט:) פי' סברת ר"ג עוד משום דגדלי בהדא]. אי כר"א [דבמקום מצווה מלמדין למאן] וכ"פ רב יהודה אמר שמואל (לקמן קי.) ור' אלעזר כר"א דמלמדין למאן.</w:t>
      </w:r>
    </w:p>
    <w:p w14:paraId="0BCBEC3D" w14:textId="77777777" w:rsidR="006074A5" w:rsidRPr="0041053F" w:rsidRDefault="006074A5" w:rsidP="006074A5">
      <w:pPr>
        <w:pStyle w:val="aa"/>
        <w:bidi/>
        <w:rPr>
          <w:rFonts w:ascii="Narkisim" w:hAnsi="Narkisim"/>
        </w:rPr>
      </w:pPr>
      <w:r w:rsidRPr="0041053F">
        <w:rPr>
          <w:rFonts w:ascii="Narkisim" w:hAnsi="Narkisim"/>
          <w:u w:val="single"/>
          <w:rtl/>
        </w:rPr>
        <w:t>תוד"ה אי כר' אלעזר.</w:t>
      </w:r>
      <w:r w:rsidRPr="0041053F">
        <w:rPr>
          <w:rFonts w:ascii="Narkisim" w:hAnsi="Narkisim"/>
          <w:rtl/>
        </w:rPr>
        <w:t xml:space="preserve"> והא בשעת נפילה נראית כאחות אשה, כדאמרי' (לעיל יב.) וכו' בשעת נפילה נראית כצרת בתו. [א"כ מה מהני שנעקר האישות למפרע ע"י המיאון]. ותוס' חילקו דה"מ במיאון כשהבעל מת. ואילו בסוגיין איירי במיאון כלפי הבעל. [וע' מש"כ בזה לעיל יב.].</w:t>
      </w:r>
    </w:p>
    <w:p w14:paraId="29329729" w14:textId="77777777" w:rsidR="006074A5" w:rsidRPr="0041053F" w:rsidRDefault="006074A5" w:rsidP="006074A5">
      <w:pPr>
        <w:pStyle w:val="aa"/>
        <w:bidi/>
        <w:rPr>
          <w:rFonts w:ascii="Narkisim" w:hAnsi="Narkisim"/>
        </w:rPr>
      </w:pPr>
      <w:r w:rsidRPr="0041053F">
        <w:rPr>
          <w:rFonts w:ascii="Narkisim" w:hAnsi="Narkisim"/>
          <w:u w:val="single"/>
          <w:rtl/>
        </w:rPr>
        <w:t>שם.</w:t>
      </w:r>
      <w:r w:rsidRPr="0041053F">
        <w:rPr>
          <w:rFonts w:ascii="Narkisim" w:hAnsi="Narkisim"/>
          <w:rtl/>
        </w:rPr>
        <w:t xml:space="preserve"> ה</w:t>
      </w:r>
      <w:r w:rsidRPr="0041053F">
        <w:rPr>
          <w:rFonts w:ascii="Narkisim" w:hAnsi="Narkisim"/>
          <w:b/>
          <w:bCs/>
          <w:rtl/>
        </w:rPr>
        <w:t>אחרונים</w:t>
      </w:r>
      <w:r w:rsidRPr="0041053F">
        <w:rPr>
          <w:rFonts w:ascii="Narkisim" w:hAnsi="Narkisim"/>
          <w:rtl/>
        </w:rPr>
        <w:t xml:space="preserve"> דנו דמ"מ מחוסרת מיאון, ובשעת נפילה הוה אחות אשתו [מדרבנן], אלא דע"י מעשה המיאון נעקר האישות למפרע. ואמאי לא אמרי' דנאסרה בשעת נפילה</w:t>
      </w:r>
      <w:r w:rsidRPr="0041053F">
        <w:rPr>
          <w:rStyle w:val="ac"/>
          <w:rFonts w:ascii="Narkisim" w:hAnsi="Narkisim"/>
          <w:rtl/>
        </w:rPr>
        <w:footnoteReference w:id="1738"/>
      </w:r>
      <w:r w:rsidRPr="0041053F">
        <w:rPr>
          <w:rFonts w:ascii="Narkisim" w:hAnsi="Narkisim"/>
          <w:rtl/>
        </w:rPr>
        <w:t>. וי"ל דמיאון עוקר האישות למפרע, ונחשב דלא נאסרה מעולם. וצ"ע.</w:t>
      </w:r>
    </w:p>
    <w:p w14:paraId="14DDBFD0" w14:textId="77777777" w:rsidR="006074A5" w:rsidRPr="0041053F" w:rsidRDefault="006074A5" w:rsidP="006074A5">
      <w:pPr>
        <w:bidi/>
        <w:rPr>
          <w:rFonts w:ascii="Narkisim" w:hAnsi="Narkisim" w:cs="Narkisim"/>
        </w:rPr>
      </w:pPr>
      <w:r w:rsidRPr="0041053F">
        <w:rPr>
          <w:rFonts w:ascii="Narkisim" w:hAnsi="Narkisim" w:cs="Narkisim"/>
          <w:u w:val="single"/>
          <w:rtl/>
        </w:rPr>
        <w:t>אר"א וכו' אלא לדחות בצרה בלבד.</w:t>
      </w:r>
      <w:r w:rsidRPr="0041053F">
        <w:rPr>
          <w:rFonts w:ascii="Narkisim" w:hAnsi="Narkisim" w:cs="Narkisim"/>
          <w:rtl/>
        </w:rPr>
        <w:t xml:space="preserve"> לדעת </w:t>
      </w:r>
      <w:r w:rsidRPr="0041053F">
        <w:rPr>
          <w:rFonts w:ascii="Narkisim" w:hAnsi="Narkisim" w:cs="Narkisim"/>
          <w:b/>
          <w:bCs/>
          <w:rtl/>
        </w:rPr>
        <w:t>רש"י</w:t>
      </w:r>
      <w:r w:rsidRPr="0041053F">
        <w:rPr>
          <w:rFonts w:ascii="Narkisim" w:hAnsi="Narkisim" w:cs="Narkisim"/>
          <w:rtl/>
        </w:rPr>
        <w:t xml:space="preserve"> שאוסרת אחותה [אחות היבמה שנופלת ליבום מאח אחר</w:t>
      </w:r>
      <w:r w:rsidRPr="0041053F">
        <w:rPr>
          <w:rStyle w:val="ac"/>
          <w:rFonts w:ascii="Narkisim" w:hAnsi="Narkisim" w:cs="Narkisim"/>
          <w:rtl/>
        </w:rPr>
        <w:footnoteReference w:id="1739"/>
      </w:r>
      <w:r w:rsidRPr="0041053F">
        <w:rPr>
          <w:rFonts w:ascii="Narkisim" w:hAnsi="Narkisim" w:cs="Narkisim"/>
          <w:rtl/>
        </w:rPr>
        <w:t>, דהוה צרה בזיקה</w:t>
      </w:r>
      <w:r w:rsidRPr="0041053F">
        <w:rPr>
          <w:rStyle w:val="ac"/>
          <w:rFonts w:ascii="Narkisim" w:hAnsi="Narkisim" w:cs="Narkisim"/>
          <w:rtl/>
        </w:rPr>
        <w:footnoteReference w:id="1740"/>
      </w:r>
      <w:r w:rsidRPr="0041053F">
        <w:rPr>
          <w:rFonts w:ascii="Narkisim" w:hAnsi="Narkisim" w:cs="Narkisim"/>
          <w:rtl/>
        </w:rPr>
        <w:t>]. ול</w:t>
      </w:r>
      <w:r w:rsidRPr="0041053F">
        <w:rPr>
          <w:rFonts w:ascii="Narkisim" w:hAnsi="Narkisim" w:cs="Narkisim"/>
          <w:b/>
          <w:bCs/>
          <w:rtl/>
        </w:rPr>
        <w:t>תוס'</w:t>
      </w:r>
      <w:r w:rsidRPr="0041053F">
        <w:rPr>
          <w:rFonts w:ascii="Narkisim" w:hAnsi="Narkisim" w:cs="Narkisim"/>
          <w:rtl/>
        </w:rPr>
        <w:t xml:space="preserve"> שפוטרת צרתה [ומתיר את הצרה לינשא לשוק].</w:t>
      </w:r>
    </w:p>
    <w:p w14:paraId="1A143FB8" w14:textId="77777777" w:rsidR="006074A5" w:rsidRPr="0041053F" w:rsidRDefault="006074A5" w:rsidP="006074A5">
      <w:pPr>
        <w:bidi/>
        <w:rPr>
          <w:rFonts w:ascii="Narkisim" w:hAnsi="Narkisim" w:cs="Narkisim"/>
        </w:rPr>
      </w:pPr>
      <w:r w:rsidRPr="0041053F">
        <w:rPr>
          <w:rFonts w:ascii="Narkisim" w:hAnsi="Narkisim" w:cs="Narkisim"/>
          <w:rtl/>
        </w:rPr>
        <w:t>ופ</w:t>
      </w:r>
      <w:r w:rsidRPr="0041053F">
        <w:rPr>
          <w:rFonts w:ascii="Narkisim" w:hAnsi="Narkisim" w:cs="Narkisim"/>
          <w:b/>
          <w:bCs/>
          <w:rtl/>
        </w:rPr>
        <w:t>רש"י</w:t>
      </w:r>
      <w:r w:rsidRPr="0041053F">
        <w:rPr>
          <w:rFonts w:ascii="Narkisim" w:hAnsi="Narkisim" w:cs="Narkisim"/>
          <w:rtl/>
        </w:rPr>
        <w:t xml:space="preserve"> לדחות אחותה שלא תאסרנה לזו משום אחות זקוקה. </w:t>
      </w:r>
      <w:r w:rsidRPr="0041053F">
        <w:rPr>
          <w:rFonts w:ascii="Narkisim" w:hAnsi="Narkisim" w:cs="Narkisim"/>
          <w:szCs w:val="20"/>
          <w:rtl/>
        </w:rPr>
        <w:t>[בפשוטו משמע דאחותה נופלת לפניו, אלא דמהני קנין הראשון לענין שאחותה אינה אוסרתה. וצ"ב]</w:t>
      </w:r>
      <w:r w:rsidRPr="0041053F">
        <w:rPr>
          <w:rFonts w:ascii="Narkisim" w:hAnsi="Narkisim" w:cs="Narkisim"/>
          <w:rtl/>
        </w:rPr>
        <w:t>.</w:t>
      </w:r>
    </w:p>
    <w:p w14:paraId="15DD2F51" w14:textId="77777777" w:rsidR="006074A5" w:rsidRPr="0041053F" w:rsidRDefault="006074A5" w:rsidP="006074A5">
      <w:pPr>
        <w:pStyle w:val="a7"/>
        <w:bidi/>
        <w:rPr>
          <w:rFonts w:ascii="Narkisim" w:hAnsi="Narkisim"/>
        </w:rPr>
      </w:pPr>
      <w:r w:rsidRPr="0041053F">
        <w:rPr>
          <w:rFonts w:ascii="Narkisim" w:hAnsi="Narkisim"/>
          <w:rtl/>
        </w:rPr>
        <w:t xml:space="preserve">אבל </w:t>
      </w:r>
      <w:r w:rsidRPr="0041053F">
        <w:rPr>
          <w:rFonts w:ascii="Narkisim" w:hAnsi="Narkisim"/>
          <w:b/>
          <w:bCs/>
          <w:rtl/>
        </w:rPr>
        <w:t>רש"י</w:t>
      </w:r>
      <w:r w:rsidRPr="0041053F">
        <w:rPr>
          <w:rFonts w:ascii="Narkisim" w:hAnsi="Narkisim"/>
          <w:rtl/>
        </w:rPr>
        <w:t xml:space="preserve"> (בע"ב) מבואר שפוטרת אחותה בלא חליצה. </w:t>
      </w:r>
      <w:r w:rsidRPr="0041053F">
        <w:rPr>
          <w:rFonts w:ascii="Narkisim" w:hAnsi="Narkisim"/>
          <w:sz w:val="20"/>
          <w:szCs w:val="20"/>
          <w:rtl/>
        </w:rPr>
        <w:t>[ולישנא דרב אשי (דוחה ומשייר) פליג דבעי חליצה, ולדעת רש"י רב אשי חזר בו למסקנא]</w:t>
      </w:r>
      <w:r w:rsidRPr="0041053F">
        <w:rPr>
          <w:rFonts w:ascii="Narkisim" w:hAnsi="Narkisim"/>
          <w:rtl/>
        </w:rPr>
        <w:t>. וצ"ב מש"כ רש"י (כאן) דמהני רק שלא תאסר לזה.</w:t>
      </w:r>
    </w:p>
    <w:p w14:paraId="616CF61D" w14:textId="77777777" w:rsidR="006074A5" w:rsidRPr="0041053F" w:rsidRDefault="006074A5" w:rsidP="006074A5">
      <w:pPr>
        <w:pStyle w:val="a7"/>
        <w:bidi/>
        <w:rPr>
          <w:rFonts w:ascii="Narkisim" w:hAnsi="Narkisim"/>
        </w:rPr>
      </w:pPr>
      <w:r w:rsidRPr="0041053F">
        <w:rPr>
          <w:rFonts w:ascii="Narkisim" w:hAnsi="Narkisim"/>
          <w:rtl/>
        </w:rPr>
        <w:t xml:space="preserve">ולמש"כ </w:t>
      </w:r>
      <w:r w:rsidRPr="0041053F">
        <w:rPr>
          <w:rFonts w:ascii="Narkisim" w:hAnsi="Narkisim"/>
          <w:b/>
          <w:bCs/>
          <w:rtl/>
        </w:rPr>
        <w:t>תוס</w:t>
      </w:r>
      <w:r w:rsidRPr="0041053F">
        <w:rPr>
          <w:rFonts w:ascii="Narkisim" w:hAnsi="Narkisim"/>
          <w:rtl/>
        </w:rPr>
        <w:t xml:space="preserve">' </w:t>
      </w:r>
      <w:r w:rsidRPr="0041053F">
        <w:rPr>
          <w:rFonts w:ascii="Narkisim" w:hAnsi="Narkisim"/>
          <w:sz w:val="20"/>
          <w:szCs w:val="20"/>
          <w:rtl/>
        </w:rPr>
        <w:t>(ד"ה ב"ש)</w:t>
      </w:r>
      <w:r w:rsidRPr="0041053F">
        <w:rPr>
          <w:rFonts w:ascii="Narkisim" w:hAnsi="Narkisim"/>
          <w:rtl/>
        </w:rPr>
        <w:t xml:space="preserve"> בדעת רש"י ניחא. דמאמר הוה מדרבנן, ול"מ לפטור עד שיבא עליה אחר. </w:t>
      </w:r>
      <w:r w:rsidRPr="0041053F">
        <w:rPr>
          <w:rFonts w:ascii="Narkisim" w:hAnsi="Narkisim"/>
          <w:szCs w:val="20"/>
          <w:rtl/>
        </w:rPr>
        <w:t>[א"כ המאמר מהני להתיר לייבם לראשונה, שאחותה אינה אוסרתה. ו</w:t>
      </w:r>
      <w:r w:rsidRPr="0041053F">
        <w:rPr>
          <w:rFonts w:ascii="Narkisim" w:hAnsi="Narkisim"/>
          <w:b/>
          <w:bCs/>
          <w:szCs w:val="20"/>
          <w:rtl/>
        </w:rPr>
        <w:t>רש"י</w:t>
      </w:r>
      <w:r w:rsidRPr="0041053F">
        <w:rPr>
          <w:rFonts w:ascii="Narkisim" w:hAnsi="Narkisim"/>
          <w:szCs w:val="20"/>
          <w:rtl/>
        </w:rPr>
        <w:t xml:space="preserve"> (בע"ב) קאי דלאחר שייבם את הראשונה אחותה פטורה</w:t>
      </w:r>
      <w:r w:rsidRPr="0041053F">
        <w:rPr>
          <w:rStyle w:val="ac"/>
          <w:rFonts w:ascii="Narkisim" w:hAnsi="Narkisim"/>
          <w:szCs w:val="20"/>
          <w:rtl/>
        </w:rPr>
        <w:footnoteReference w:id="1741"/>
      </w:r>
      <w:r w:rsidRPr="0041053F">
        <w:rPr>
          <w:rFonts w:ascii="Narkisim" w:hAnsi="Narkisim"/>
          <w:szCs w:val="20"/>
          <w:rtl/>
        </w:rPr>
        <w:t>]</w:t>
      </w:r>
      <w:r w:rsidRPr="0041053F">
        <w:rPr>
          <w:rFonts w:ascii="Narkisim" w:hAnsi="Narkisim"/>
          <w:rtl/>
        </w:rPr>
        <w:t xml:space="preserve">.  </w:t>
      </w:r>
    </w:p>
    <w:p w14:paraId="2C2A9F83" w14:textId="77777777" w:rsidR="006074A5" w:rsidRPr="0041053F" w:rsidRDefault="006074A5" w:rsidP="006074A5">
      <w:pPr>
        <w:bidi/>
        <w:rPr>
          <w:rFonts w:ascii="Narkisim" w:hAnsi="Narkisim" w:cs="Narkisim"/>
        </w:rPr>
      </w:pPr>
      <w:r w:rsidRPr="0041053F">
        <w:rPr>
          <w:rFonts w:ascii="Narkisim" w:hAnsi="Narkisim" w:cs="Narkisim"/>
          <w:rtl/>
        </w:rPr>
        <w:t xml:space="preserve">אבל דעת </w:t>
      </w:r>
      <w:r w:rsidRPr="0041053F">
        <w:rPr>
          <w:rFonts w:ascii="Narkisim" w:hAnsi="Narkisim" w:cs="Narkisim"/>
          <w:b/>
          <w:bCs/>
          <w:rtl/>
        </w:rPr>
        <w:t>תוס'</w:t>
      </w:r>
      <w:r w:rsidRPr="0041053F">
        <w:rPr>
          <w:rFonts w:ascii="Narkisim" w:hAnsi="Narkisim" w:cs="Narkisim"/>
          <w:rtl/>
        </w:rPr>
        <w:t xml:space="preserve"> (ד"ה אלא) המאמר פוטרת את צרתה [שנפלה מאותה בית], דנחשב בית א' הוא בונה. ואף דעדיין לא גמר מצוות יבום.</w:t>
      </w:r>
    </w:p>
    <w:p w14:paraId="7A362A6B"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(ב) הביא בשם </w:t>
      </w:r>
      <w:r w:rsidRPr="0041053F">
        <w:rPr>
          <w:rFonts w:ascii="Narkisim" w:hAnsi="Narkisim"/>
          <w:b/>
          <w:bCs/>
          <w:rtl/>
        </w:rPr>
        <w:t>רבינו נתנאל</w:t>
      </w:r>
      <w:r w:rsidRPr="0041053F">
        <w:rPr>
          <w:rFonts w:ascii="Narkisim" w:hAnsi="Narkisim"/>
          <w:rtl/>
        </w:rPr>
        <w:t xml:space="preserve"> </w:t>
      </w:r>
      <w:r w:rsidRPr="0041053F">
        <w:rPr>
          <w:rFonts w:ascii="Narkisim" w:hAnsi="Narkisim"/>
          <w:sz w:val="20"/>
          <w:szCs w:val="20"/>
          <w:rtl/>
        </w:rPr>
        <w:t>[ע"ד דעת רש"י]</w:t>
      </w:r>
      <w:r w:rsidRPr="0041053F">
        <w:rPr>
          <w:rFonts w:ascii="Narkisim" w:hAnsi="Narkisim"/>
          <w:rtl/>
        </w:rPr>
        <w:t xml:space="preserve"> דפוטרת אחותה</w:t>
      </w:r>
      <w:r w:rsidRPr="0041053F">
        <w:rPr>
          <w:rStyle w:val="ac"/>
          <w:rFonts w:ascii="Narkisim" w:hAnsi="Narkisim"/>
          <w:rtl/>
        </w:rPr>
        <w:footnoteReference w:id="1742"/>
      </w:r>
      <w:r w:rsidRPr="0041053F">
        <w:rPr>
          <w:rFonts w:ascii="Narkisim" w:hAnsi="Narkisim"/>
          <w:rtl/>
        </w:rPr>
        <w:t>, דהמאמר לא גרע מקידושין דעלמא. ועי"ז פוטרת אחותה דנחשבת אחות אשתו</w:t>
      </w:r>
      <w:r w:rsidRPr="0041053F">
        <w:rPr>
          <w:rStyle w:val="ac"/>
          <w:rFonts w:ascii="Narkisim" w:hAnsi="Narkisim"/>
          <w:rtl/>
        </w:rPr>
        <w:footnoteReference w:id="1743"/>
      </w:r>
      <w:r w:rsidRPr="0041053F">
        <w:rPr>
          <w:rFonts w:ascii="Narkisim" w:hAnsi="Narkisim"/>
          <w:rtl/>
        </w:rPr>
        <w:t>. אבל היבמה עצמה אינה נפטרת ע"י גט בלא חליצה, דדרשינן ביאה גומרת בה, ואין כסף ושטר גומרים.</w:t>
      </w:r>
    </w:p>
    <w:p w14:paraId="0B06562B"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(הנ"ל) העמידו דנח' בגדר מאמר לבי"ש, אי הוה דין קידושין, או קנין יבום.</w:t>
      </w:r>
    </w:p>
    <w:p w14:paraId="0D245683" w14:textId="77777777" w:rsidR="006074A5" w:rsidRPr="0041053F" w:rsidRDefault="006074A5" w:rsidP="006074A5">
      <w:pPr>
        <w:bidi/>
        <w:rPr>
          <w:rFonts w:ascii="Narkisim" w:hAnsi="Narkisim" w:cs="Narkisim"/>
        </w:rPr>
      </w:pPr>
      <w:r w:rsidRPr="0041053F">
        <w:rPr>
          <w:rFonts w:ascii="Narkisim" w:hAnsi="Narkisim" w:cs="Narkisim"/>
          <w:u w:val="single"/>
          <w:rtl/>
        </w:rPr>
        <w:t>שם. אר"א לא תימא מאמר לבי"ש קונה קנין גמור</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xml:space="preserve">' (והריטב"א ועוד ראשונים) ביארו דלפ"ז אף בי"ש דרשי 'ויבמה', ביאה גומרת בה ואין כסף ושטר גומרים בה </w:t>
      </w:r>
      <w:r w:rsidRPr="0041053F">
        <w:rPr>
          <w:rFonts w:ascii="Narkisim" w:hAnsi="Narkisim" w:cs="Narkisim"/>
          <w:sz w:val="20"/>
          <w:szCs w:val="20"/>
          <w:rtl/>
        </w:rPr>
        <w:t>[וכדדרשי' קידושין יד: ולקמן נד., וכן בירושלמי כאן]</w:t>
      </w:r>
      <w:r w:rsidRPr="0041053F">
        <w:rPr>
          <w:rFonts w:ascii="Narkisim" w:hAnsi="Narkisim" w:cs="Narkisim"/>
          <w:rtl/>
        </w:rPr>
        <w:t>. ומש"ה עדיין זקוקה לחליצה.</w:t>
      </w:r>
    </w:p>
    <w:p w14:paraId="46179D7B" w14:textId="77777777" w:rsidR="006074A5" w:rsidRPr="0041053F" w:rsidRDefault="006074A5" w:rsidP="006074A5">
      <w:pPr>
        <w:pStyle w:val="aa"/>
        <w:bidi/>
        <w:rPr>
          <w:rFonts w:ascii="Narkisim" w:hAnsi="Narkisim"/>
        </w:rPr>
      </w:pPr>
      <w:r w:rsidRPr="0041053F">
        <w:rPr>
          <w:rFonts w:ascii="Narkisim" w:hAnsi="Narkisim"/>
          <w:u w:val="single"/>
          <w:rtl/>
        </w:rPr>
        <w:t>תוד"ה לא תימא.</w:t>
      </w:r>
      <w:r w:rsidRPr="0041053F">
        <w:rPr>
          <w:rFonts w:ascii="Narkisim" w:hAnsi="Narkisim"/>
          <w:rtl/>
        </w:rPr>
        <w:t xml:space="preserve"> אע"ג דאינה קונה קנין גמור, מ"מ גבי אחות אשה פוטרת [צרתה] וכו'</w:t>
      </w:r>
      <w:r w:rsidRPr="0041053F">
        <w:rPr>
          <w:rStyle w:val="ac"/>
          <w:rFonts w:ascii="Narkisim" w:hAnsi="Narkisim"/>
          <w:rtl/>
        </w:rPr>
        <w:footnoteReference w:id="1744"/>
      </w:r>
      <w:r w:rsidRPr="0041053F">
        <w:rPr>
          <w:rFonts w:ascii="Narkisim" w:hAnsi="Narkisim"/>
          <w:rtl/>
        </w:rPr>
        <w:t xml:space="preserve">. דלבי"ש סגי </w:t>
      </w:r>
      <w:r w:rsidRPr="0041053F">
        <w:rPr>
          <w:rFonts w:ascii="Narkisim" w:hAnsi="Narkisim"/>
          <w:rtl/>
        </w:rPr>
        <w:lastRenderedPageBreak/>
        <w:t>באישות המאמר [אף דאינו קונה קנין גמור] לפטור צרתה. וה</w:t>
      </w:r>
      <w:r w:rsidRPr="0041053F">
        <w:rPr>
          <w:rFonts w:ascii="Narkisim" w:hAnsi="Narkisim"/>
          <w:b/>
          <w:bCs/>
          <w:rtl/>
        </w:rPr>
        <w:t>אחרונים</w:t>
      </w:r>
      <w:r w:rsidRPr="0041053F">
        <w:rPr>
          <w:rFonts w:ascii="Narkisim" w:hAnsi="Narkisim"/>
          <w:rtl/>
        </w:rPr>
        <w:t xml:space="preserve"> ביארו דגדר פטור צרת ערוה משום שנופלת עמה ליבום. ואף דאין לה אישות גמור לחיוב חנק (ע' בע"ב), סגי לפטור צרה</w:t>
      </w:r>
      <w:r w:rsidRPr="0041053F">
        <w:rPr>
          <w:rStyle w:val="ac"/>
          <w:rFonts w:ascii="Narkisim" w:hAnsi="Narkisim"/>
          <w:rtl/>
        </w:rPr>
        <w:footnoteReference w:id="1745"/>
      </w:r>
      <w:r w:rsidRPr="0041053F">
        <w:rPr>
          <w:rFonts w:ascii="Narkisim" w:hAnsi="Narkisim"/>
          <w:rtl/>
        </w:rPr>
        <w:t>.</w:t>
      </w:r>
    </w:p>
    <w:p w14:paraId="130152E0" w14:textId="77777777" w:rsidR="006074A5" w:rsidRPr="0041053F" w:rsidRDefault="006074A5" w:rsidP="006074A5">
      <w:pPr>
        <w:bidi/>
        <w:rPr>
          <w:rFonts w:ascii="Narkisim" w:hAnsi="Narkisim" w:cs="Narkisim"/>
        </w:rPr>
      </w:pPr>
      <w:r w:rsidRPr="0041053F">
        <w:rPr>
          <w:rFonts w:ascii="Narkisim" w:hAnsi="Narkisim" w:cs="Narkisim"/>
          <w:u w:val="single"/>
          <w:rtl/>
        </w:rPr>
        <w:t>בא"ד תימה מאי קאמר לר' שמעון (לעיל יט.) וכו' דהא אפי' לבי"ש קונה ומשייר וכו'</w:t>
      </w:r>
      <w:r w:rsidRPr="0041053F">
        <w:rPr>
          <w:rFonts w:ascii="Narkisim" w:hAnsi="Narkisim" w:cs="Narkisim"/>
          <w:rtl/>
        </w:rPr>
        <w:t xml:space="preserve">. מבואר בתוס' דלבית שמאי </w:t>
      </w:r>
      <w:r w:rsidRPr="0041053F">
        <w:rPr>
          <w:rFonts w:ascii="Narkisim" w:hAnsi="Narkisim" w:cs="Narkisim"/>
          <w:sz w:val="20"/>
          <w:szCs w:val="20"/>
          <w:rtl/>
        </w:rPr>
        <w:t>[לר' אלעזר</w:t>
      </w:r>
      <w:r w:rsidRPr="0041053F">
        <w:rPr>
          <w:rStyle w:val="ac"/>
          <w:rFonts w:ascii="Narkisim" w:hAnsi="Narkisim" w:cs="Narkisim"/>
          <w:sz w:val="20"/>
          <w:szCs w:val="20"/>
          <w:rtl/>
        </w:rPr>
        <w:footnoteReference w:id="1746"/>
      </w:r>
      <w:r w:rsidRPr="0041053F">
        <w:rPr>
          <w:rFonts w:ascii="Narkisim" w:hAnsi="Narkisim" w:cs="Narkisim"/>
          <w:sz w:val="20"/>
          <w:szCs w:val="20"/>
          <w:rtl/>
        </w:rPr>
        <w:t>]</w:t>
      </w:r>
      <w:r w:rsidRPr="0041053F">
        <w:rPr>
          <w:rFonts w:ascii="Narkisim" w:hAnsi="Narkisim" w:cs="Narkisim"/>
          <w:rtl/>
        </w:rPr>
        <w:t xml:space="preserve"> נחשב אשת ב' מתים.</w:t>
      </w:r>
      <w:r w:rsidRPr="0041053F">
        <w:rPr>
          <w:rFonts w:ascii="Narkisim" w:hAnsi="Narkisim" w:cs="Narkisim"/>
          <w:sz w:val="20"/>
          <w:szCs w:val="20"/>
          <w:rtl/>
        </w:rPr>
        <w:t xml:space="preserve"> [וע"ע לקמן לא: הגדר בזה].</w:t>
      </w:r>
    </w:p>
    <w:p w14:paraId="34D51106"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קר"א</w:t>
      </w:r>
      <w:r w:rsidRPr="0041053F">
        <w:rPr>
          <w:rFonts w:ascii="Narkisim" w:hAnsi="Narkisim"/>
          <w:rtl/>
        </w:rPr>
        <w:t xml:space="preserve"> תי' דאף למ"ד דאינו קונה קנין גמור, מהני מאמר להתיר צרתה </w:t>
      </w:r>
      <w:r w:rsidRPr="0041053F">
        <w:rPr>
          <w:rFonts w:ascii="Narkisim" w:hAnsi="Narkisim"/>
          <w:sz w:val="20"/>
          <w:szCs w:val="20"/>
          <w:rtl/>
        </w:rPr>
        <w:t>[לרש"י אחותה, ולתוס' שנופלת עמה]</w:t>
      </w:r>
      <w:r w:rsidRPr="0041053F">
        <w:rPr>
          <w:rFonts w:ascii="Narkisim" w:hAnsi="Narkisim"/>
          <w:rtl/>
        </w:rPr>
        <w:t>, א"כ ה"נ יהני מאמר להתיר כלפי האחים, שאינה זקוקה מחמתם. וה</w:t>
      </w:r>
      <w:r w:rsidRPr="0041053F">
        <w:rPr>
          <w:rFonts w:ascii="Narkisim" w:hAnsi="Narkisim"/>
          <w:b/>
          <w:bCs/>
          <w:rtl/>
        </w:rPr>
        <w:t>חזו"א</w:t>
      </w:r>
      <w:r w:rsidRPr="0041053F">
        <w:rPr>
          <w:rFonts w:ascii="Narkisim" w:hAnsi="Narkisim"/>
          <w:rtl/>
        </w:rPr>
        <w:t xml:space="preserve"> (קלב ו) כת' דתוס' למדו כן מהגמ' (לקמן צה.) דמבואר דעדיין זקוקה לשאר אחים.</w:t>
      </w:r>
    </w:p>
    <w:p w14:paraId="6CFAEF1D"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(וכעי"ז כתב האו"ש) יישב קו' התוס', די"ל דמדאורייתא ליכא למ"ד דקונה בלא שיור, ואף ר' שמעון מספקא ליה לענין מדרבנן. ולא נחשב אשת ב' מתים דלענין דין דרבנן נחשבת רק אשת הב'. וממ"נ מותרת, דמדאורייתא היא אשת הא'. ורבנן פליגי דנתנו חומרי קנין וחומרי שיור, ולכן לא שייך ממ"נ.</w:t>
      </w:r>
    </w:p>
    <w:p w14:paraId="71B426DD"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וה</w:t>
      </w:r>
      <w:r w:rsidRPr="0041053F">
        <w:rPr>
          <w:rFonts w:ascii="Narkisim" w:hAnsi="Narkisim" w:cs="Narkisim"/>
          <w:b/>
          <w:bCs/>
          <w:rtl/>
        </w:rPr>
        <w:t>גר"ח</w:t>
      </w:r>
      <w:r w:rsidRPr="0041053F">
        <w:rPr>
          <w:rFonts w:ascii="Narkisim" w:hAnsi="Narkisim" w:cs="Narkisim"/>
          <w:rtl/>
        </w:rPr>
        <w:t xml:space="preserve"> </w:t>
      </w:r>
      <w:r w:rsidRPr="0041053F">
        <w:rPr>
          <w:rFonts w:ascii="Narkisim" w:hAnsi="Narkisim" w:cs="Narkisim"/>
          <w:szCs w:val="20"/>
          <w:rtl/>
        </w:rPr>
        <w:t>[הו' ב</w:t>
      </w:r>
      <w:r w:rsidRPr="0041053F">
        <w:rPr>
          <w:rFonts w:ascii="Narkisim" w:hAnsi="Narkisim" w:cs="Narkisim"/>
          <w:b/>
          <w:bCs/>
          <w:szCs w:val="20"/>
          <w:rtl/>
        </w:rPr>
        <w:t>אמר"מ</w:t>
      </w:r>
      <w:r w:rsidRPr="0041053F">
        <w:rPr>
          <w:rFonts w:ascii="Narkisim" w:hAnsi="Narkisim" w:cs="Narkisim"/>
          <w:szCs w:val="20"/>
          <w:rtl/>
        </w:rPr>
        <w:t xml:space="preserve"> (ח ב) ו</w:t>
      </w:r>
      <w:r w:rsidRPr="0041053F">
        <w:rPr>
          <w:rFonts w:ascii="Narkisim" w:hAnsi="Narkisim" w:cs="Narkisim"/>
          <w:b/>
          <w:bCs/>
          <w:szCs w:val="20"/>
          <w:rtl/>
        </w:rPr>
        <w:t>ברכ"ש</w:t>
      </w:r>
      <w:r w:rsidRPr="0041053F">
        <w:rPr>
          <w:rFonts w:ascii="Narkisim" w:hAnsi="Narkisim" w:cs="Narkisim"/>
          <w:szCs w:val="20"/>
          <w:rtl/>
        </w:rPr>
        <w:t xml:space="preserve"> (ט)]</w:t>
      </w:r>
      <w:r w:rsidRPr="0041053F">
        <w:rPr>
          <w:rFonts w:ascii="Narkisim" w:hAnsi="Narkisim" w:cs="Narkisim"/>
          <w:rtl/>
        </w:rPr>
        <w:t xml:space="preserve"> תי' דאע"ג דלבי"ש אינו קונה קנין גמור כלפי היבם, מ"מ נחשב אשתו של יבם, ומהני להפקיע הזיקה כלפי אחיו. ועי"ז לא יחשב אשת ב' מתים. וביאר דע"י מאמר נחשב שיש איסור אשת אח [של המייבם], והוה ערוה ומפקיע לזיקת אחיו</w:t>
      </w:r>
      <w:r w:rsidRPr="0041053F">
        <w:rPr>
          <w:rStyle w:val="ac"/>
          <w:rFonts w:ascii="Narkisim" w:hAnsi="Narkisim" w:cs="Narkisim"/>
          <w:rtl/>
        </w:rPr>
        <w:footnoteReference w:id="1747"/>
      </w:r>
      <w:r w:rsidRPr="0041053F">
        <w:rPr>
          <w:rFonts w:ascii="Narkisim" w:hAnsi="Narkisim" w:cs="Narkisim"/>
          <w:rtl/>
        </w:rPr>
        <w:t xml:space="preserve">.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הקשו מהגמ' (לקמן לא:) עי"ש. ועוד הקשו מהא דאחיו יכול לאוסרה בגט או מאמר אחרי מאמר, וכדמבואר ע"פ תוס' צה. הנ"ל].</w:t>
      </w:r>
    </w:p>
    <w:p w14:paraId="2743EBE4"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ברכ"ש</w:t>
      </w:r>
      <w:r w:rsidRPr="0041053F">
        <w:rPr>
          <w:rFonts w:ascii="Narkisim" w:hAnsi="Narkisim"/>
          <w:rtl/>
        </w:rPr>
        <w:t xml:space="preserve"> (ט ח) ביאר דתוס' ס"ל דאף זיקת האחין לא פקע, כיון דממעטינן מקרא דאין כסף ושטר גומר בו, דליכא </w:t>
      </w:r>
      <w:r w:rsidRPr="0041053F">
        <w:rPr>
          <w:rFonts w:ascii="Narkisim" w:hAnsi="Narkisim"/>
          <w:i/>
          <w:iCs/>
          <w:rtl/>
        </w:rPr>
        <w:t>גמר יבום,</w:t>
      </w:r>
      <w:r w:rsidRPr="0041053F">
        <w:rPr>
          <w:rFonts w:ascii="Narkisim" w:hAnsi="Narkisim"/>
          <w:rtl/>
        </w:rPr>
        <w:t xml:space="preserve"> ולכן אין איסור אשת אח. ומ"מ נדחית הצרה, דהוה תחילת קנין יבום וחל עי"ז דין בית א' הוא בונה.</w:t>
      </w:r>
    </w:p>
    <w:p w14:paraId="73BD4A30" w14:textId="77777777" w:rsidR="006074A5" w:rsidRPr="0041053F" w:rsidRDefault="006074A5" w:rsidP="006074A5">
      <w:pPr>
        <w:pStyle w:val="aa"/>
        <w:bidi/>
        <w:rPr>
          <w:rFonts w:ascii="Narkisim" w:hAnsi="Narkisim"/>
        </w:rPr>
      </w:pPr>
      <w:r w:rsidRPr="0041053F">
        <w:rPr>
          <w:rFonts w:ascii="Narkisim" w:hAnsi="Narkisim"/>
          <w:u w:val="single"/>
          <w:rtl/>
        </w:rPr>
        <w:t>תוס' ד"ה אלא.</w:t>
      </w:r>
      <w:r w:rsidRPr="0041053F">
        <w:rPr>
          <w:rFonts w:ascii="Narkisim" w:hAnsi="Narkisim"/>
          <w:rtl/>
        </w:rPr>
        <w:t xml:space="preserve"> וי"ל דסבר רב אשי דמהני מאמר להסיר הזיקה וכו' ואחר שיבעל בעלת המאמר קאמר דתצא אחותה וכו'</w:t>
      </w:r>
      <w:r w:rsidRPr="0041053F">
        <w:rPr>
          <w:rStyle w:val="ac"/>
          <w:rFonts w:ascii="Narkisim" w:hAnsi="Narkisim"/>
          <w:rtl/>
        </w:rPr>
        <w:footnoteReference w:id="1748"/>
      </w:r>
      <w:r w:rsidRPr="0041053F">
        <w:rPr>
          <w:rFonts w:ascii="Narkisim" w:hAnsi="Narkisim"/>
          <w:rtl/>
        </w:rPr>
        <w:t>. ואילו לל"ק דר"א דמאמר דוחה בצרה, א"כ פוטרת אחותה אף בלא שבא עליה. [וצ"ע לשונות רש"י בזה].</w:t>
      </w:r>
    </w:p>
    <w:p w14:paraId="3FD414C4" w14:textId="77777777" w:rsidR="006074A5" w:rsidRPr="0041053F" w:rsidRDefault="006074A5" w:rsidP="006074A5">
      <w:pPr>
        <w:bidi/>
        <w:rPr>
          <w:rFonts w:ascii="Narkisim" w:hAnsi="Narkisim" w:cs="Narkisim"/>
        </w:rPr>
      </w:pPr>
      <w:r w:rsidRPr="0041053F">
        <w:rPr>
          <w:rFonts w:ascii="Narkisim" w:hAnsi="Narkisim" w:cs="Narkisim"/>
          <w:u w:val="single"/>
          <w:rtl/>
        </w:rPr>
        <w:t>בא"ד ונר' לר"י וכו' שאם נתן מאמר לא' מב' יבמות שנפלו מבית א' וכו' צרתה פטורה לגמרי בלא חליצה, דכיון שהתחיל הקנין וכו'</w:t>
      </w:r>
      <w:r w:rsidRPr="0041053F">
        <w:rPr>
          <w:rFonts w:ascii="Narkisim" w:hAnsi="Narkisim" w:cs="Narkisim"/>
          <w:rtl/>
        </w:rPr>
        <w:t>. ואף דמאמר לא נחשב 'מצוות יבום', אפ"ה סגי בזה כלפי הצרה. וקרינן ביה אינו בונה ב' בתים [דדרשי' לקמן מד. דאינו מייבם לתרוייהו. וע"ע לעיל יא.].</w:t>
      </w:r>
    </w:p>
    <w:p w14:paraId="462D6A76"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תו"י</w:t>
      </w:r>
      <w:r w:rsidRPr="0041053F">
        <w:rPr>
          <w:rFonts w:ascii="Narkisim" w:hAnsi="Narkisim" w:cs="Narkisim"/>
          <w:rtl/>
        </w:rPr>
        <w:t xml:space="preserve"> חלק דל"ש לדרוש בית א' הוא בונה ע"י מאמר, אטו מאמר בנין מקרי</w:t>
      </w:r>
      <w:r w:rsidRPr="0041053F">
        <w:rPr>
          <w:rStyle w:val="ac"/>
          <w:rFonts w:ascii="Narkisim" w:hAnsi="Narkisim" w:cs="Narkisim"/>
          <w:rtl/>
        </w:rPr>
        <w:footnoteReference w:id="1749"/>
      </w:r>
      <w:r w:rsidRPr="0041053F">
        <w:rPr>
          <w:rFonts w:ascii="Narkisim" w:hAnsi="Narkisim" w:cs="Narkisim"/>
          <w:rtl/>
        </w:rPr>
        <w:t>. וה</w:t>
      </w:r>
      <w:r w:rsidRPr="0041053F">
        <w:rPr>
          <w:rFonts w:ascii="Narkisim" w:hAnsi="Narkisim" w:cs="Narkisim"/>
          <w:b/>
          <w:bCs/>
          <w:rtl/>
        </w:rPr>
        <w:t>אחרונים</w:t>
      </w:r>
      <w:r w:rsidRPr="0041053F">
        <w:rPr>
          <w:rFonts w:ascii="Narkisim" w:hAnsi="Narkisim" w:cs="Narkisim"/>
          <w:rtl/>
        </w:rPr>
        <w:t xml:space="preserve"> הביאו דדעת תוס' דמאמר נלמד מדיני יבום</w:t>
      </w:r>
      <w:r w:rsidRPr="0041053F">
        <w:rPr>
          <w:rStyle w:val="ac"/>
          <w:rFonts w:ascii="Narkisim" w:hAnsi="Narkisim" w:cs="Narkisim"/>
          <w:rtl/>
        </w:rPr>
        <w:footnoteReference w:id="1750"/>
      </w:r>
      <w:r w:rsidRPr="0041053F">
        <w:rPr>
          <w:rFonts w:ascii="Narkisim" w:hAnsi="Narkisim" w:cs="Narkisim"/>
          <w:rtl/>
        </w:rPr>
        <w:t>, ומקרי 'בנין', אלא גזיה"כ דמאמר אינו גומר בה להחשב יבום שלם.</w:t>
      </w:r>
    </w:p>
    <w:p w14:paraId="575A00BD" w14:textId="77777777" w:rsidR="006074A5" w:rsidRPr="0041053F" w:rsidRDefault="006074A5" w:rsidP="006074A5">
      <w:pPr>
        <w:bidi/>
        <w:rPr>
          <w:rFonts w:ascii="Narkisim" w:hAnsi="Narkisim" w:cs="Narkisim"/>
        </w:rPr>
      </w:pPr>
      <w:r w:rsidRPr="0041053F">
        <w:rPr>
          <w:rFonts w:ascii="Narkisim" w:hAnsi="Narkisim" w:cs="Narkisim"/>
          <w:u w:val="single"/>
          <w:rtl/>
        </w:rPr>
        <w:t>שם. כיון שהתחיל הקנין</w:t>
      </w:r>
      <w:r w:rsidRPr="0041053F">
        <w:rPr>
          <w:rFonts w:ascii="Narkisim" w:hAnsi="Narkisim" w:cs="Narkisim"/>
          <w:rtl/>
        </w:rPr>
        <w:t>. דמאמר הוה תחילת קנין יבום. ועי"ז חל איסור ערוה על קרובותיה, ואחותה שנופלת לאחר המאמר פטורה [וכמ"ש תוס' בסמוך]. וסגי בזה לפטור הצרות שנופלות עמה.</w:t>
      </w:r>
    </w:p>
    <w:p w14:paraId="32DB44A1" w14:textId="77777777" w:rsidR="006074A5" w:rsidRPr="0041053F" w:rsidRDefault="006074A5" w:rsidP="006074A5">
      <w:pPr>
        <w:pStyle w:val="a8"/>
        <w:bidi/>
        <w:rPr>
          <w:rFonts w:ascii="Narkisim" w:hAnsi="Narkisim"/>
        </w:rPr>
      </w:pPr>
      <w:r w:rsidRPr="0041053F">
        <w:rPr>
          <w:rFonts w:ascii="Narkisim" w:hAnsi="Narkisim"/>
          <w:rtl/>
        </w:rPr>
        <w:t>ולכאורה הגדר דנתייחד זיקת היבום ליבמה זו, ועי"ז פקע מהצרות</w:t>
      </w:r>
      <w:r w:rsidRPr="0041053F">
        <w:rPr>
          <w:rStyle w:val="ac"/>
          <w:rFonts w:ascii="Narkisim" w:hAnsi="Narkisim"/>
          <w:rtl/>
        </w:rPr>
        <w:footnoteReference w:id="1751"/>
      </w:r>
      <w:r w:rsidRPr="0041053F">
        <w:rPr>
          <w:rFonts w:ascii="Narkisim" w:hAnsi="Narkisim"/>
          <w:rtl/>
        </w:rPr>
        <w:t>. ויל"ד דלדעת ר' יוחנן (לעיל יא.) אמרי' דהיבום הוה שליחותה דצרות, ואילו כאן מבואר דהצרות נדחית קודם למצוות יבום. וצ"ל דהמאמר הוה תחילת קנין היבום, ובזה יש שליחות הצרות. ואף דליכא שליח בגמר הקנין.</w:t>
      </w:r>
    </w:p>
    <w:p w14:paraId="20E49288" w14:textId="77777777" w:rsidR="006074A5" w:rsidRPr="0041053F" w:rsidRDefault="006074A5" w:rsidP="006074A5">
      <w:pPr>
        <w:pStyle w:val="a8"/>
        <w:bidi/>
        <w:rPr>
          <w:rFonts w:ascii="Narkisim" w:hAnsi="Narkisim"/>
        </w:rPr>
      </w:pPr>
      <w:r w:rsidRPr="0041053F">
        <w:rPr>
          <w:rFonts w:ascii="Narkisim" w:hAnsi="Narkisim"/>
          <w:rtl/>
        </w:rPr>
        <w:lastRenderedPageBreak/>
        <w:t>וה</w:t>
      </w:r>
      <w:r w:rsidRPr="0041053F">
        <w:rPr>
          <w:rFonts w:ascii="Narkisim" w:hAnsi="Narkisim"/>
          <w:b/>
          <w:bCs/>
          <w:rtl/>
        </w:rPr>
        <w:t>אבי עזרי</w:t>
      </w:r>
      <w:r w:rsidRPr="0041053F">
        <w:rPr>
          <w:rFonts w:ascii="Narkisim" w:hAnsi="Narkisim"/>
          <w:rtl/>
        </w:rPr>
        <w:t xml:space="preserve"> (ז ח) כת' דקנה אף את היבמה, אלא דמ"מ בעינן חליצה להפקיע הזיקה, וכמו בס"ד דהגמ' (ח: יט: לט.) דאף לאחר שייבם בעי חליצה, לולי הא דנעשית כאשתו לכל דבר.</w:t>
      </w:r>
    </w:p>
    <w:p w14:paraId="7BD62E2A" w14:textId="77777777" w:rsidR="006074A5" w:rsidRPr="0041053F" w:rsidRDefault="006074A5" w:rsidP="006074A5">
      <w:pPr>
        <w:bidi/>
        <w:rPr>
          <w:rFonts w:ascii="Narkisim" w:hAnsi="Narkisim" w:cs="Narkisim"/>
        </w:rPr>
      </w:pPr>
      <w:r w:rsidRPr="0041053F">
        <w:rPr>
          <w:rFonts w:ascii="Narkisim" w:hAnsi="Narkisim" w:cs="Narkisim"/>
          <w:u w:val="single"/>
          <w:rtl/>
        </w:rPr>
        <w:t>בא"ד ורב אשי סבר דל"מ מאמר לפטור צרתה וכו' ומשייר קצת זיקה לאוסרה לשוק עד שתחלוץ וכו</w:t>
      </w:r>
      <w:r w:rsidRPr="0041053F">
        <w:rPr>
          <w:rFonts w:ascii="Narkisim" w:hAnsi="Narkisim" w:cs="Narkisim"/>
          <w:rtl/>
        </w:rPr>
        <w:t>'. [ומשמע דכ"ה מדאורייתא]. וצ"ב ממ"נ דכיון דאסר ליבם, דעובר משום בית א' הוא בונה, א"כ אמאי אינה פטורה לשוק. ולכאו' הטעם דעיקר היתר הצרה הוה ע"י שליחותה דיבמה, וכל זמן שלא עשה 'בנין' ביבמה לא פטרה את הצרה.</w:t>
      </w:r>
    </w:p>
    <w:p w14:paraId="62B5FB64" w14:textId="77777777" w:rsidR="006074A5" w:rsidRPr="0041053F" w:rsidRDefault="006074A5" w:rsidP="006074A5">
      <w:pPr>
        <w:pStyle w:val="a8"/>
        <w:bidi/>
        <w:rPr>
          <w:rFonts w:ascii="Narkisim" w:hAnsi="Narkisim"/>
        </w:rPr>
      </w:pPr>
      <w:r w:rsidRPr="0041053F">
        <w:rPr>
          <w:rFonts w:ascii="Narkisim" w:hAnsi="Narkisim"/>
          <w:rtl/>
        </w:rPr>
        <w:t>ויל"פ ד'בית א' הוא בונה' הוה ילפותא וסימן דל"צ יבום בתרוייהו</w:t>
      </w:r>
      <w:r w:rsidRPr="0041053F">
        <w:rPr>
          <w:rStyle w:val="ac"/>
          <w:rFonts w:ascii="Narkisim" w:hAnsi="Narkisim"/>
          <w:rtl/>
        </w:rPr>
        <w:footnoteReference w:id="1752"/>
      </w:r>
      <w:r w:rsidRPr="0041053F">
        <w:rPr>
          <w:rFonts w:ascii="Narkisim" w:hAnsi="Narkisim"/>
          <w:rtl/>
        </w:rPr>
        <w:t>. אבל לעולם גדר הפטור משום שליחות (ע' לעיל י: יא.).</w:t>
      </w:r>
    </w:p>
    <w:p w14:paraId="7A7A0829" w14:textId="77777777" w:rsidR="006074A5" w:rsidRPr="0041053F" w:rsidRDefault="006074A5" w:rsidP="006074A5">
      <w:pPr>
        <w:pStyle w:val="aa"/>
        <w:bidi/>
        <w:rPr>
          <w:rFonts w:ascii="Narkisim" w:hAnsi="Narkisim"/>
        </w:rPr>
      </w:pPr>
      <w:r w:rsidRPr="0041053F">
        <w:rPr>
          <w:rFonts w:ascii="Narkisim" w:hAnsi="Narkisim"/>
          <w:u w:val="single"/>
          <w:rtl/>
        </w:rPr>
        <w:t>בא"ד ואע"ג דלענין אחותה דחי מאמר לגמרי לפוטרה וכו'</w:t>
      </w:r>
      <w:r w:rsidRPr="0041053F">
        <w:rPr>
          <w:rFonts w:ascii="Narkisim" w:hAnsi="Narkisim"/>
          <w:rtl/>
        </w:rPr>
        <w:t>. מבואר דאף לרב אשי מאמר קונה להחשב אשתו של יבם, ואוסרת אחותה משום אחות אשתו.</w:t>
      </w:r>
    </w:p>
    <w:p w14:paraId="36980F1F" w14:textId="77777777" w:rsidR="006074A5" w:rsidRPr="0041053F" w:rsidRDefault="006074A5" w:rsidP="006074A5">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חילקו דה"מ היכא דאחותה נפלה אחר המאמר. אבל היכא דכבר זקוקה ועומדת, ל"מ מאמר להתירה. [וכעין הא דקידושין לא מפקעי זיקה].</w:t>
      </w:r>
    </w:p>
    <w:p w14:paraId="0288E66A" w14:textId="77777777" w:rsidR="006074A5" w:rsidRPr="0041053F" w:rsidRDefault="006074A5" w:rsidP="006074A5">
      <w:pPr>
        <w:pStyle w:val="aa"/>
        <w:bidi/>
        <w:rPr>
          <w:rFonts w:ascii="Narkisim" w:hAnsi="Narkisim"/>
        </w:rPr>
      </w:pPr>
      <w:r w:rsidRPr="0041053F">
        <w:rPr>
          <w:rFonts w:ascii="Narkisim" w:hAnsi="Narkisim"/>
          <w:u w:val="single"/>
          <w:rtl/>
        </w:rPr>
        <w:t>בא"ד וי"ל דלא מסתבר שיהא שום תנא מיקל להדיא לבטל בהדיא מצוות יבמין</w:t>
      </w:r>
      <w:r w:rsidRPr="0041053F">
        <w:rPr>
          <w:rFonts w:ascii="Narkisim" w:hAnsi="Narkisim"/>
          <w:rtl/>
        </w:rPr>
        <w:t>. וה</w:t>
      </w:r>
      <w:r w:rsidRPr="0041053F">
        <w:rPr>
          <w:rFonts w:ascii="Narkisim" w:hAnsi="Narkisim"/>
          <w:b/>
          <w:bCs/>
          <w:rtl/>
        </w:rPr>
        <w:t>אחרונים</w:t>
      </w:r>
      <w:r w:rsidRPr="0041053F">
        <w:rPr>
          <w:rFonts w:ascii="Narkisim" w:hAnsi="Narkisim"/>
          <w:rtl/>
        </w:rPr>
        <w:t xml:space="preserve"> העירו דבגמ' (לעיל יח.) מבואר הו"א דלא חיישינן כלל לביטול מצוות יבמין. והגמ' הביאה דכן דעת ר"ג. אלא ד</w:t>
      </w:r>
      <w:r w:rsidRPr="0041053F">
        <w:rPr>
          <w:rFonts w:ascii="Narkisim" w:hAnsi="Narkisim"/>
          <w:b/>
          <w:bCs/>
          <w:rtl/>
        </w:rPr>
        <w:t>תוס'</w:t>
      </w:r>
      <w:r w:rsidRPr="0041053F">
        <w:rPr>
          <w:rFonts w:ascii="Narkisim" w:hAnsi="Narkisim"/>
          <w:rtl/>
        </w:rPr>
        <w:t xml:space="preserve"> (לעיל ד"ה אי כר"ג, ויז: ד"ה אבל) כת' דאף ר"ג התיר דוקא קטנה שהיתה נשואה אצלו מעיקרא. ואילו ע"י מאמר לא היתה נשואה אצלו.</w:t>
      </w:r>
    </w:p>
    <w:p w14:paraId="58FC354A" w14:textId="77777777" w:rsidR="006074A5" w:rsidRPr="0041053F" w:rsidRDefault="006074A5" w:rsidP="006074A5">
      <w:pPr>
        <w:pStyle w:val="aa"/>
        <w:bidi/>
        <w:rPr>
          <w:rFonts w:ascii="Narkisim" w:hAnsi="Narkisim"/>
        </w:rPr>
      </w:pPr>
      <w:r w:rsidRPr="0041053F">
        <w:rPr>
          <w:rFonts w:ascii="Narkisim" w:hAnsi="Narkisim"/>
          <w:u w:val="single"/>
          <w:rtl/>
        </w:rPr>
        <w:t>בא"ד [סו"ד] ועוד הקשה דלמא טעמא דבי"ש משום דזיקה ככנוסה, וי"ל דלא מסתבר למימר דלא נקט מאמר אלא משום בי"ה</w:t>
      </w:r>
      <w:r w:rsidRPr="0041053F">
        <w:rPr>
          <w:rFonts w:ascii="Narkisim" w:hAnsi="Narkisim"/>
          <w:rtl/>
        </w:rPr>
        <w:t>. וה</w:t>
      </w:r>
      <w:r w:rsidRPr="0041053F">
        <w:rPr>
          <w:rFonts w:ascii="Narkisim" w:hAnsi="Narkisim"/>
          <w:b/>
          <w:bCs/>
          <w:rtl/>
        </w:rPr>
        <w:t>רמב"ן</w:t>
      </w:r>
      <w:r w:rsidRPr="0041053F">
        <w:rPr>
          <w:rFonts w:ascii="Narkisim" w:hAnsi="Narkisim"/>
          <w:rtl/>
        </w:rPr>
        <w:t xml:space="preserve"> הוסיף דכח דהיתירא עדיף. ועוד דלא ניחא לתלות דברי בי"ש בהך סברא [ולא אמרו כן אלא לר' שמעון, ואף לר' שמעון לא קאי</w:t>
      </w:r>
      <w:r w:rsidRPr="0041053F">
        <w:rPr>
          <w:rStyle w:val="ac"/>
          <w:rFonts w:ascii="Narkisim" w:hAnsi="Narkisim"/>
          <w:rtl/>
        </w:rPr>
        <w:footnoteReference w:id="1753"/>
      </w:r>
      <w:r w:rsidRPr="0041053F">
        <w:rPr>
          <w:rFonts w:ascii="Narkisim" w:hAnsi="Narkisim"/>
          <w:rtl/>
        </w:rPr>
        <w:t>]. אבל הביא דב</w:t>
      </w:r>
      <w:r w:rsidRPr="0041053F">
        <w:rPr>
          <w:rFonts w:ascii="Narkisim" w:hAnsi="Narkisim"/>
          <w:b/>
          <w:bCs/>
          <w:rtl/>
        </w:rPr>
        <w:t>ירושלמי</w:t>
      </w:r>
      <w:r w:rsidRPr="0041053F">
        <w:rPr>
          <w:rFonts w:ascii="Narkisim" w:hAnsi="Narkisim"/>
          <w:rtl/>
        </w:rPr>
        <w:t xml:space="preserve"> אמרו מאמר לבי"ש כזיקת ר"ש.</w:t>
      </w:r>
    </w:p>
    <w:p w14:paraId="5E954E58" w14:textId="77777777" w:rsidR="006074A5" w:rsidRPr="0041053F" w:rsidRDefault="006074A5" w:rsidP="006074A5">
      <w:pPr>
        <w:pStyle w:val="3"/>
        <w:bidi/>
        <w:rPr>
          <w:rFonts w:ascii="Narkisim" w:hAnsi="Narkisim"/>
        </w:rPr>
      </w:pPr>
      <w:r w:rsidRPr="0041053F">
        <w:rPr>
          <w:rFonts w:ascii="Narkisim" w:hAnsi="Narkisim"/>
          <w:rtl/>
        </w:rPr>
        <w:t>דף כט:</w:t>
      </w:r>
    </w:p>
    <w:p w14:paraId="20EB7D7B" w14:textId="77777777" w:rsidR="006074A5" w:rsidRPr="0041053F" w:rsidRDefault="006074A5" w:rsidP="006074A5">
      <w:pPr>
        <w:bidi/>
        <w:rPr>
          <w:rFonts w:ascii="Narkisim" w:hAnsi="Narkisim" w:cs="Narkisim"/>
        </w:rPr>
      </w:pPr>
      <w:r w:rsidRPr="0041053F">
        <w:rPr>
          <w:rFonts w:ascii="Narkisim" w:hAnsi="Narkisim" w:cs="Narkisim"/>
          <w:u w:val="single"/>
          <w:rtl/>
        </w:rPr>
        <w:t>זה יעשה מאמר ויקנה.</w:t>
      </w:r>
      <w:r w:rsidRPr="0041053F">
        <w:rPr>
          <w:rFonts w:ascii="Narkisim" w:hAnsi="Narkisim" w:cs="Narkisim"/>
          <w:rtl/>
        </w:rPr>
        <w:t xml:space="preserve"> פ</w:t>
      </w:r>
      <w:r w:rsidRPr="0041053F">
        <w:rPr>
          <w:rFonts w:ascii="Narkisim" w:hAnsi="Narkisim" w:cs="Narkisim"/>
          <w:b/>
          <w:bCs/>
          <w:rtl/>
        </w:rPr>
        <w:t xml:space="preserve">רש"י </w:t>
      </w:r>
      <w:r w:rsidRPr="0041053F">
        <w:rPr>
          <w:rFonts w:ascii="Narkisim" w:hAnsi="Narkisim" w:cs="Narkisim"/>
          <w:rtl/>
        </w:rPr>
        <w:t>דהא אין איסור במאמר</w:t>
      </w:r>
      <w:r w:rsidRPr="0041053F">
        <w:rPr>
          <w:rFonts w:ascii="Narkisim" w:hAnsi="Narkisim" w:cs="Narkisim"/>
          <w:sz w:val="20"/>
          <w:szCs w:val="20"/>
          <w:rtl/>
        </w:rPr>
        <w:t xml:space="preserve"> [לכאו' כוונתו דאין איסור לקדש עריות</w:t>
      </w:r>
      <w:r w:rsidRPr="0041053F">
        <w:rPr>
          <w:rStyle w:val="ac"/>
          <w:rFonts w:ascii="Narkisim" w:hAnsi="Narkisim" w:cs="Narkisim"/>
          <w:sz w:val="20"/>
          <w:szCs w:val="20"/>
          <w:rtl/>
        </w:rPr>
        <w:footnoteReference w:id="1754"/>
      </w:r>
      <w:r w:rsidRPr="0041053F">
        <w:rPr>
          <w:rFonts w:ascii="Narkisim" w:hAnsi="Narkisim" w:cs="Narkisim"/>
          <w:sz w:val="20"/>
          <w:szCs w:val="20"/>
          <w:rtl/>
        </w:rPr>
        <w:t>]</w:t>
      </w:r>
      <w:r w:rsidRPr="0041053F">
        <w:rPr>
          <w:rFonts w:ascii="Narkisim" w:hAnsi="Narkisim" w:cs="Narkisim"/>
          <w:rtl/>
        </w:rPr>
        <w:t>. ועי"ז פקע האיסור אחות זקוקתו. וה</w:t>
      </w:r>
      <w:r w:rsidRPr="0041053F">
        <w:rPr>
          <w:rFonts w:ascii="Narkisim" w:hAnsi="Narkisim" w:cs="Narkisim"/>
          <w:b/>
          <w:bCs/>
          <w:rtl/>
        </w:rPr>
        <w:t>רמב"ן</w:t>
      </w:r>
      <w:r w:rsidRPr="0041053F">
        <w:rPr>
          <w:rFonts w:ascii="Narkisim" w:hAnsi="Narkisim" w:cs="Narkisim"/>
          <w:rtl/>
        </w:rPr>
        <w:t xml:space="preserve"> כת' דלפ"ז לאו דוקא שניהם, דכיון דא' עשה מאמר נפקעה זיקה של זה [דהוה ערוה], והותרו שניהם לייבם.</w:t>
      </w:r>
    </w:p>
    <w:p w14:paraId="0539A6A9" w14:textId="77777777" w:rsidR="006074A5" w:rsidRPr="0041053F" w:rsidRDefault="006074A5" w:rsidP="006074A5">
      <w:pPr>
        <w:pStyle w:val="a7"/>
        <w:bidi/>
        <w:rPr>
          <w:rFonts w:ascii="Narkisim" w:hAnsi="Narkisim"/>
        </w:rPr>
      </w:pPr>
      <w:r w:rsidRPr="0041053F">
        <w:rPr>
          <w:rFonts w:ascii="Narkisim" w:hAnsi="Narkisim"/>
          <w:rtl/>
        </w:rPr>
        <w:t xml:space="preserve">אבל </w:t>
      </w:r>
      <w:r w:rsidRPr="0041053F">
        <w:rPr>
          <w:rFonts w:ascii="Narkisim" w:hAnsi="Narkisim"/>
          <w:b/>
          <w:bCs/>
          <w:rtl/>
        </w:rPr>
        <w:t>תוס'</w:t>
      </w:r>
      <w:r w:rsidRPr="0041053F">
        <w:rPr>
          <w:rFonts w:ascii="Narkisim" w:hAnsi="Narkisim"/>
          <w:rtl/>
        </w:rPr>
        <w:t xml:space="preserve"> (לעיל יח:) משמע דיש איסור בקידושין. ודוקא הכא שעשו ב' מאמר</w:t>
      </w:r>
      <w:r w:rsidRPr="0041053F">
        <w:rPr>
          <w:rStyle w:val="ac"/>
          <w:rFonts w:ascii="Narkisim" w:hAnsi="Narkisim"/>
          <w:rtl/>
        </w:rPr>
        <w:footnoteReference w:id="1755"/>
      </w:r>
      <w:r w:rsidRPr="0041053F">
        <w:rPr>
          <w:rFonts w:ascii="Narkisim" w:hAnsi="Narkisim"/>
          <w:rtl/>
        </w:rPr>
        <w:t>.</w:t>
      </w:r>
    </w:p>
    <w:p w14:paraId="0FBB661B" w14:textId="77777777" w:rsidR="006074A5" w:rsidRPr="0041053F" w:rsidRDefault="006074A5" w:rsidP="006074A5">
      <w:pPr>
        <w:bidi/>
        <w:rPr>
          <w:rFonts w:ascii="Narkisim" w:hAnsi="Narkisim" w:cs="Narkisim"/>
        </w:rPr>
      </w:pPr>
      <w:r w:rsidRPr="0041053F">
        <w:rPr>
          <w:rFonts w:ascii="Narkisim" w:hAnsi="Narkisim" w:cs="Narkisim"/>
          <w:u w:val="single"/>
          <w:rtl/>
        </w:rPr>
        <w:t>שם. זה יעשה מאמר ויקנה</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ותצא אחותה מעליו. ה</w:t>
      </w:r>
      <w:r w:rsidRPr="0041053F">
        <w:rPr>
          <w:rFonts w:ascii="Narkisim" w:hAnsi="Narkisim" w:cs="Narkisim"/>
          <w:b/>
          <w:bCs/>
          <w:rtl/>
        </w:rPr>
        <w:t>ראשונים</w:t>
      </w:r>
      <w:r w:rsidRPr="0041053F">
        <w:rPr>
          <w:rFonts w:ascii="Narkisim" w:hAnsi="Narkisim" w:cs="Narkisim"/>
          <w:sz w:val="20"/>
          <w:szCs w:val="20"/>
          <w:rtl/>
        </w:rPr>
        <w:t xml:space="preserve"> (תוס' ושא"ר יח:, רשב"א מא.) </w:t>
      </w:r>
      <w:r w:rsidRPr="0041053F">
        <w:rPr>
          <w:rFonts w:ascii="Narkisim" w:hAnsi="Narkisim" w:cs="Narkisim"/>
          <w:rtl/>
        </w:rPr>
        <w:t>הק' מ"ש מהמקדש אחות זקוקתו, דלר' יהודה ב"ב (מא.) קידושין לא מפקיעי זיקה</w:t>
      </w:r>
      <w:r w:rsidRPr="0041053F">
        <w:rPr>
          <w:rStyle w:val="ac"/>
          <w:rFonts w:ascii="Narkisim" w:hAnsi="Narkisim" w:cs="Narkisim"/>
          <w:rtl/>
        </w:rPr>
        <w:footnoteReference w:id="1756"/>
      </w:r>
      <w:r w:rsidRPr="0041053F">
        <w:rPr>
          <w:rFonts w:ascii="Narkisim" w:hAnsi="Narkisim" w:cs="Narkisim"/>
          <w:rtl/>
        </w:rPr>
        <w:t>.</w:t>
      </w:r>
    </w:p>
    <w:p w14:paraId="2348E2F1"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תי' דלמ"ד דמאמר קונה קנין גמור נחשב נישואין. ואף דקידושין לא מפקיעי זיקה, נישואין מפקיעים</w:t>
      </w:r>
      <w:r w:rsidRPr="0041053F">
        <w:rPr>
          <w:rStyle w:val="ac"/>
          <w:rFonts w:ascii="Narkisim" w:hAnsi="Narkisim"/>
          <w:rtl/>
        </w:rPr>
        <w:footnoteReference w:id="1757"/>
      </w:r>
      <w:r w:rsidRPr="0041053F">
        <w:rPr>
          <w:rFonts w:ascii="Narkisim" w:hAnsi="Narkisim"/>
          <w:rtl/>
        </w:rPr>
        <w:t>. וה</w:t>
      </w:r>
      <w:r w:rsidRPr="0041053F">
        <w:rPr>
          <w:rFonts w:ascii="Narkisim" w:hAnsi="Narkisim"/>
          <w:b/>
          <w:bCs/>
          <w:rtl/>
        </w:rPr>
        <w:t>רשב"א</w:t>
      </w:r>
      <w:r w:rsidRPr="0041053F">
        <w:rPr>
          <w:rFonts w:ascii="Narkisim" w:hAnsi="Narkisim"/>
          <w:rtl/>
        </w:rPr>
        <w:t xml:space="preserve"> (מא.) הוסיף דהוה קנין יבום ככניסה בביאה, ועדיף מקידושין. </w:t>
      </w:r>
      <w:r w:rsidRPr="0041053F">
        <w:rPr>
          <w:rFonts w:ascii="Narkisim" w:hAnsi="Narkisim"/>
          <w:szCs w:val="20"/>
          <w:rtl/>
        </w:rPr>
        <w:t>[וציין לספק של רבה (בסמוך) אי נישואין עושה. וכן לקמן לח:, ע' תוס'].</w:t>
      </w:r>
    </w:p>
    <w:p w14:paraId="3E36F5D1"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ריטב"א</w:t>
      </w:r>
      <w:r w:rsidRPr="0041053F">
        <w:rPr>
          <w:rFonts w:ascii="Narkisim" w:hAnsi="Narkisim"/>
          <w:rtl/>
        </w:rPr>
        <w:t xml:space="preserve"> (לעיל יח:) בשם</w:t>
      </w:r>
      <w:r w:rsidRPr="0041053F">
        <w:rPr>
          <w:rFonts w:ascii="Narkisim" w:hAnsi="Narkisim"/>
          <w:b/>
          <w:bCs/>
          <w:rtl/>
        </w:rPr>
        <w:t xml:space="preserve"> ר' יונה</w:t>
      </w:r>
      <w:r w:rsidRPr="0041053F">
        <w:rPr>
          <w:rFonts w:ascii="Narkisim" w:hAnsi="Narkisim"/>
          <w:rtl/>
        </w:rPr>
        <w:t xml:space="preserve"> דעושה מאמר וכונסה. ועי"ז הותרה צרתה לשוק, ופקע האיסור אחות זקוקה</w:t>
      </w:r>
      <w:r w:rsidRPr="0041053F">
        <w:rPr>
          <w:rStyle w:val="ac"/>
          <w:rFonts w:ascii="Narkisim" w:hAnsi="Narkisim"/>
          <w:rtl/>
        </w:rPr>
        <w:footnoteReference w:id="1758"/>
      </w:r>
      <w:r w:rsidRPr="0041053F">
        <w:rPr>
          <w:rFonts w:ascii="Narkisim" w:hAnsi="Narkisim"/>
          <w:rtl/>
        </w:rPr>
        <w:t>.</w:t>
      </w:r>
      <w:r w:rsidRPr="0041053F">
        <w:rPr>
          <w:rFonts w:ascii="Narkisim" w:hAnsi="Narkisim"/>
          <w:sz w:val="20"/>
          <w:szCs w:val="20"/>
          <w:rtl/>
        </w:rPr>
        <w:t xml:space="preserve"> [וכוונת ר' אבין דכל א' קנה את יבמתו, ועי"ז הותרה צרתה ומותרת לו. ולא שנפטרת מדין ערוה].</w:t>
      </w:r>
    </w:p>
    <w:p w14:paraId="5D812A97" w14:textId="77777777" w:rsidR="006074A5" w:rsidRPr="0041053F" w:rsidRDefault="006074A5" w:rsidP="006074A5">
      <w:pPr>
        <w:bidi/>
        <w:rPr>
          <w:rFonts w:ascii="Narkisim" w:hAnsi="Narkisim" w:cs="Narkisim"/>
        </w:rPr>
      </w:pPr>
      <w:r w:rsidRPr="0041053F">
        <w:rPr>
          <w:rFonts w:ascii="Narkisim" w:hAnsi="Narkisim" w:cs="Narkisim"/>
          <w:rtl/>
        </w:rPr>
        <w:t>ו</w:t>
      </w:r>
      <w:r w:rsidRPr="0041053F">
        <w:rPr>
          <w:rFonts w:ascii="Narkisim" w:hAnsi="Narkisim" w:cs="Narkisim"/>
          <w:b/>
          <w:bCs/>
          <w:rtl/>
        </w:rPr>
        <w:t xml:space="preserve">תוס' </w:t>
      </w:r>
      <w:r w:rsidRPr="0041053F">
        <w:rPr>
          <w:rFonts w:ascii="Narkisim" w:hAnsi="Narkisim" w:cs="Narkisim"/>
          <w:szCs w:val="20"/>
          <w:rtl/>
        </w:rPr>
        <w:t>(לעיל יח:</w:t>
      </w:r>
      <w:r w:rsidRPr="0041053F">
        <w:rPr>
          <w:rFonts w:ascii="Narkisim" w:hAnsi="Narkisim" w:cs="Narkisim"/>
          <w:sz w:val="20"/>
          <w:szCs w:val="20"/>
          <w:rtl/>
        </w:rPr>
        <w:t xml:space="preserve"> ד"ה אומרים)</w:t>
      </w:r>
      <w:r w:rsidRPr="0041053F">
        <w:rPr>
          <w:rFonts w:ascii="Narkisim" w:hAnsi="Narkisim" w:cs="Narkisim"/>
          <w:rtl/>
        </w:rPr>
        <w:t xml:space="preserve"> פי' דרב אבין ס"ל אין זיקה, ומש"ה אין כאן איסור אחות זקוקתו אלא משום איסור ביטול מצוות יבמין. ו</w:t>
      </w:r>
      <w:r w:rsidRPr="0041053F">
        <w:rPr>
          <w:rFonts w:ascii="Narkisim" w:hAnsi="Narkisim" w:cs="Narkisim"/>
          <w:b/>
          <w:bCs/>
          <w:rtl/>
        </w:rPr>
        <w:t>תוס</w:t>
      </w:r>
      <w:r w:rsidRPr="0041053F">
        <w:rPr>
          <w:rFonts w:ascii="Narkisim" w:hAnsi="Narkisim" w:cs="Narkisim"/>
          <w:rtl/>
        </w:rPr>
        <w:t xml:space="preserve">' פי' דקו' ר' אבין דיכולים לעשות ע"י שליח בבת </w:t>
      </w:r>
      <w:r w:rsidRPr="0041053F">
        <w:rPr>
          <w:rFonts w:ascii="Narkisim" w:hAnsi="Narkisim" w:cs="Narkisim"/>
          <w:rtl/>
        </w:rPr>
        <w:lastRenderedPageBreak/>
        <w:t>אחת</w:t>
      </w:r>
      <w:r w:rsidRPr="0041053F">
        <w:rPr>
          <w:rStyle w:val="ac"/>
          <w:rFonts w:ascii="Narkisim" w:hAnsi="Narkisim" w:cs="Narkisim"/>
          <w:rtl/>
        </w:rPr>
        <w:footnoteReference w:id="1759"/>
      </w:r>
      <w:r w:rsidRPr="0041053F">
        <w:rPr>
          <w:rFonts w:ascii="Narkisim" w:hAnsi="Narkisim" w:cs="Narkisim"/>
          <w:rtl/>
        </w:rPr>
        <w:t>. [וכה"ג ל"ש ביטול מצוות יבמין].</w:t>
      </w:r>
    </w:p>
    <w:p w14:paraId="3F4BD0A0"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הק' דא"כ עדיין יש לגזור שמא לא יעשו שליח, וה</w:t>
      </w:r>
      <w:r w:rsidRPr="0041053F">
        <w:rPr>
          <w:rFonts w:ascii="Narkisim" w:hAnsi="Narkisim"/>
          <w:b/>
          <w:bCs/>
          <w:rtl/>
        </w:rPr>
        <w:t>רשב"א</w:t>
      </w:r>
      <w:r w:rsidRPr="0041053F">
        <w:rPr>
          <w:rFonts w:ascii="Narkisim" w:hAnsi="Narkisim"/>
          <w:rtl/>
        </w:rPr>
        <w:t xml:space="preserve"> הוסיף דחכמים סילקו מהם תורת יבום לגמרי</w:t>
      </w:r>
      <w:r w:rsidRPr="0041053F">
        <w:rPr>
          <w:rFonts w:ascii="Narkisim" w:hAnsi="Narkisim"/>
          <w:sz w:val="20"/>
          <w:szCs w:val="20"/>
          <w:rtl/>
        </w:rPr>
        <w:t xml:space="preserve"> [וכדאמרי' לעיל כח.</w:t>
      </w:r>
      <w:r w:rsidRPr="0041053F">
        <w:rPr>
          <w:rStyle w:val="ac"/>
          <w:rFonts w:ascii="Narkisim" w:hAnsi="Narkisim"/>
          <w:sz w:val="20"/>
          <w:szCs w:val="20"/>
          <w:rtl/>
        </w:rPr>
        <w:footnoteReference w:id="1760"/>
      </w:r>
      <w:r w:rsidRPr="0041053F">
        <w:rPr>
          <w:rFonts w:ascii="Narkisim" w:hAnsi="Narkisim"/>
          <w:sz w:val="20"/>
          <w:szCs w:val="20"/>
          <w:rtl/>
        </w:rPr>
        <w:t>]</w:t>
      </w:r>
      <w:r w:rsidRPr="0041053F">
        <w:rPr>
          <w:rFonts w:ascii="Narkisim" w:hAnsi="Narkisim"/>
          <w:rtl/>
        </w:rPr>
        <w:t>. ועוה"ק ה</w:t>
      </w:r>
      <w:r w:rsidRPr="0041053F">
        <w:rPr>
          <w:rFonts w:ascii="Narkisim" w:hAnsi="Narkisim"/>
          <w:b/>
          <w:bCs/>
          <w:rtl/>
        </w:rPr>
        <w:t xml:space="preserve">רמב"ן </w:t>
      </w:r>
      <w:r w:rsidRPr="0041053F">
        <w:rPr>
          <w:rFonts w:ascii="Narkisim" w:hAnsi="Narkisim"/>
          <w:rtl/>
        </w:rPr>
        <w:t xml:space="preserve">אפי' לבי"ש קיום מצוה ליכא אלא בביאה, אע"ג דקני במאמר </w:t>
      </w:r>
      <w:r w:rsidRPr="0041053F">
        <w:rPr>
          <w:rFonts w:ascii="Narkisim" w:hAnsi="Narkisim"/>
          <w:szCs w:val="20"/>
          <w:rtl/>
        </w:rPr>
        <w:t>[א"כ עדיין שייך בזה ביטול מצוות יבמין]</w:t>
      </w:r>
      <w:r w:rsidRPr="0041053F">
        <w:rPr>
          <w:rStyle w:val="ac"/>
          <w:rFonts w:ascii="Narkisim" w:hAnsi="Narkisim"/>
          <w:rtl/>
        </w:rPr>
        <w:footnoteReference w:id="1761"/>
      </w:r>
      <w:r w:rsidRPr="0041053F">
        <w:rPr>
          <w:rFonts w:ascii="Narkisim" w:hAnsi="Narkisim"/>
          <w:rtl/>
        </w:rPr>
        <w:t>.</w:t>
      </w:r>
    </w:p>
    <w:p w14:paraId="5A8F67EF"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כת' דקאי למ"ד יש זיקה, וכמ"ד (כח.) דלא חייש למיתה. ומש"ה לא חששו לביטול מצוות יבמין.</w:t>
      </w:r>
    </w:p>
    <w:p w14:paraId="4A93258C" w14:textId="77777777" w:rsidR="006074A5" w:rsidRPr="0041053F" w:rsidRDefault="006074A5" w:rsidP="006074A5">
      <w:pPr>
        <w:pStyle w:val="aa"/>
        <w:bidi/>
        <w:rPr>
          <w:rFonts w:ascii="Narkisim" w:hAnsi="Narkisim"/>
        </w:rPr>
      </w:pPr>
      <w:r w:rsidRPr="0041053F">
        <w:rPr>
          <w:rFonts w:ascii="Narkisim" w:hAnsi="Narkisim"/>
          <w:u w:val="single"/>
          <w:rtl/>
        </w:rPr>
        <w:t>שם. זה יעשה מאמר וכו' וזה יעשה.</w:t>
      </w:r>
      <w:r w:rsidRPr="0041053F">
        <w:rPr>
          <w:rFonts w:ascii="Narkisim" w:hAnsi="Narkisim"/>
          <w:rtl/>
        </w:rPr>
        <w:t xml:space="preserve"> ה</w:t>
      </w:r>
      <w:r w:rsidRPr="0041053F">
        <w:rPr>
          <w:rFonts w:ascii="Narkisim" w:hAnsi="Narkisim"/>
          <w:b/>
          <w:bCs/>
          <w:rtl/>
        </w:rPr>
        <w:t>רשב"א</w:t>
      </w:r>
      <w:r w:rsidRPr="0041053F">
        <w:rPr>
          <w:rFonts w:ascii="Narkisim" w:hAnsi="Narkisim"/>
          <w:rtl/>
        </w:rPr>
        <w:t xml:space="preserve"> וה</w:t>
      </w:r>
      <w:r w:rsidRPr="0041053F">
        <w:rPr>
          <w:rFonts w:ascii="Narkisim" w:hAnsi="Narkisim"/>
          <w:b/>
          <w:bCs/>
          <w:rtl/>
        </w:rPr>
        <w:t>ריטב"א</w:t>
      </w:r>
      <w:r w:rsidRPr="0041053F">
        <w:rPr>
          <w:rFonts w:ascii="Narkisim" w:hAnsi="Narkisim"/>
          <w:rtl/>
        </w:rPr>
        <w:t xml:space="preserve"> הק' דהנופלת שניה אסורה מדין נאסרה, ועוד דנגזור ראשונה אטו שניה וכדאי' (לעיל כח.). וה</w:t>
      </w:r>
      <w:r w:rsidRPr="0041053F">
        <w:rPr>
          <w:rFonts w:ascii="Narkisim" w:hAnsi="Narkisim"/>
          <w:b/>
          <w:bCs/>
          <w:rtl/>
        </w:rPr>
        <w:t>רשב"א</w:t>
      </w:r>
      <w:r w:rsidRPr="0041053F">
        <w:rPr>
          <w:rFonts w:ascii="Narkisim" w:hAnsi="Narkisim"/>
          <w:rtl/>
        </w:rPr>
        <w:t xml:space="preserve"> כת' דהשתא קאי כצד דהוה משום ביטול מצוות יבמין. והריטב"א הביא </w:t>
      </w:r>
      <w:r w:rsidRPr="0041053F">
        <w:rPr>
          <w:rFonts w:ascii="Narkisim" w:hAnsi="Narkisim"/>
          <w:b/>
          <w:bCs/>
          <w:rtl/>
        </w:rPr>
        <w:t xml:space="preserve">י"א </w:t>
      </w:r>
      <w:r w:rsidRPr="0041053F">
        <w:rPr>
          <w:rFonts w:ascii="Narkisim" w:hAnsi="Narkisim"/>
          <w:rtl/>
        </w:rPr>
        <w:t>דקו' הגמ' למישרי ראשונה מיהת, ולאו דוקא נקט תרוייהו. אלא דניחא ליה לתרץ דאף היא.</w:t>
      </w:r>
    </w:p>
    <w:p w14:paraId="0A145104" w14:textId="77777777" w:rsidR="006074A5" w:rsidRPr="0041053F" w:rsidRDefault="006074A5" w:rsidP="006074A5">
      <w:pPr>
        <w:bidi/>
        <w:rPr>
          <w:rFonts w:ascii="Narkisim" w:hAnsi="Narkisim" w:cs="Narkisim"/>
        </w:rPr>
      </w:pPr>
      <w:r w:rsidRPr="0041053F">
        <w:rPr>
          <w:rFonts w:ascii="Narkisim" w:hAnsi="Narkisim" w:cs="Narkisim"/>
          <w:u w:val="single"/>
          <w:rtl/>
        </w:rPr>
        <w:t>אלא מאי דוחה, זה יעשה מאמר וידחה.</w:t>
      </w:r>
      <w:r w:rsidRPr="0041053F">
        <w:rPr>
          <w:rFonts w:ascii="Narkisim" w:hAnsi="Narkisim" w:cs="Narkisim"/>
          <w:rtl/>
        </w:rPr>
        <w:t xml:space="preserve"> מבואר דס"ד דרב אבין דלר"א [דהוה רק לדחות בצרה] ניחא. [דמאמר זו ל"מ לפטור]. והמקשן פליג דאף לר' אלעזר מותר </w:t>
      </w:r>
      <w:r w:rsidRPr="0041053F">
        <w:rPr>
          <w:rFonts w:ascii="Narkisim" w:hAnsi="Narkisim" w:cs="Narkisim"/>
          <w:sz w:val="20"/>
          <w:szCs w:val="20"/>
          <w:rtl/>
        </w:rPr>
        <w:t>[לולי הא דהוה דאיסורא]</w:t>
      </w:r>
      <w:r w:rsidRPr="0041053F">
        <w:rPr>
          <w:rFonts w:ascii="Narkisim" w:hAnsi="Narkisim" w:cs="Narkisim"/>
          <w:rtl/>
        </w:rPr>
        <w:t xml:space="preserve">. וצריך לפרש במה פליגי. </w:t>
      </w:r>
      <w:r w:rsidRPr="0041053F">
        <w:rPr>
          <w:rFonts w:ascii="Narkisim" w:hAnsi="Narkisim" w:cs="Narkisim"/>
          <w:sz w:val="20"/>
          <w:szCs w:val="20"/>
          <w:rtl/>
        </w:rPr>
        <w:t>[האם הנידון ליאסר לכתחילה, או אף בדיעבד]. ותלי בדברי הראשונים (הנ"ל).</w:t>
      </w:r>
    </w:p>
    <w:p w14:paraId="4874C22C"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w:t>
      </w:r>
      <w:r w:rsidRPr="0041053F">
        <w:rPr>
          <w:rFonts w:ascii="Narkisim" w:hAnsi="Narkisim" w:cs="Narkisim"/>
          <w:szCs w:val="20"/>
          <w:rtl/>
        </w:rPr>
        <w:t>(או"ש יז, אמר"מ ח ח ועוד)</w:t>
      </w:r>
      <w:r w:rsidRPr="0041053F">
        <w:rPr>
          <w:rFonts w:ascii="Narkisim" w:hAnsi="Narkisim" w:cs="Narkisim"/>
          <w:rtl/>
        </w:rPr>
        <w:t xml:space="preserve"> הקשו למש"כ </w:t>
      </w:r>
      <w:r w:rsidRPr="0041053F">
        <w:rPr>
          <w:rFonts w:ascii="Narkisim" w:hAnsi="Narkisim" w:cs="Narkisim"/>
          <w:b/>
          <w:bCs/>
          <w:rtl/>
        </w:rPr>
        <w:t>תוס</w:t>
      </w:r>
      <w:r w:rsidRPr="0041053F">
        <w:rPr>
          <w:rFonts w:ascii="Narkisim" w:hAnsi="Narkisim" w:cs="Narkisim"/>
          <w:rtl/>
        </w:rPr>
        <w:t>' (יח:) דקושיית הגמ' [זה יעשה וזה יעשה] דע"י מאמר בבת א' ל"ש ביטול מצוות יבמין. אבל לדעת ר' אלעזר עדיין זקוקה לחליצה, א"כ שייך ביטול מצוות יבמין</w:t>
      </w:r>
      <w:r w:rsidRPr="0041053F">
        <w:rPr>
          <w:rStyle w:val="ac"/>
          <w:rFonts w:ascii="Narkisim" w:hAnsi="Narkisim" w:cs="Narkisim"/>
          <w:rtl/>
        </w:rPr>
        <w:footnoteReference w:id="1762"/>
      </w:r>
      <w:r w:rsidRPr="0041053F">
        <w:rPr>
          <w:rFonts w:ascii="Narkisim" w:hAnsi="Narkisim" w:cs="Narkisim"/>
          <w:rtl/>
        </w:rPr>
        <w:t xml:space="preserve">. [וצ"ב קו' הגמ'].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דנו דתוס' ס"ל דכיון דמאמר הוה קנין יבום במקצת, ולכן לא שייך בזה ביטול מצוות יבמין, כיון דבכ"א מתעסק בהיתרה ואף דמהני רק במקצת</w:t>
      </w:r>
      <w:r w:rsidRPr="0041053F">
        <w:rPr>
          <w:rStyle w:val="ac"/>
          <w:rFonts w:ascii="Narkisim" w:hAnsi="Narkisim" w:cs="Narkisim"/>
          <w:sz w:val="20"/>
          <w:szCs w:val="20"/>
          <w:rtl/>
        </w:rPr>
        <w:footnoteReference w:id="1763"/>
      </w:r>
      <w:r w:rsidRPr="0041053F">
        <w:rPr>
          <w:rFonts w:ascii="Narkisim" w:hAnsi="Narkisim" w:cs="Narkisim"/>
          <w:sz w:val="20"/>
          <w:szCs w:val="20"/>
          <w:rtl/>
        </w:rPr>
        <w:t>.</w:t>
      </w:r>
    </w:p>
    <w:p w14:paraId="4249E2E8" w14:textId="77777777" w:rsidR="006074A5" w:rsidRPr="0041053F" w:rsidRDefault="006074A5" w:rsidP="006074A5">
      <w:pPr>
        <w:pStyle w:val="a8"/>
        <w:bidi/>
        <w:rPr>
          <w:rFonts w:ascii="Narkisim" w:hAnsi="Narkisim"/>
        </w:rPr>
      </w:pPr>
      <w:r w:rsidRPr="0041053F">
        <w:rPr>
          <w:rFonts w:ascii="Narkisim" w:hAnsi="Narkisim"/>
          <w:rtl/>
        </w:rPr>
        <w:t>וב</w:t>
      </w:r>
      <w:r w:rsidRPr="0041053F">
        <w:rPr>
          <w:rFonts w:ascii="Narkisim" w:hAnsi="Narkisim"/>
          <w:b/>
          <w:bCs/>
          <w:rtl/>
        </w:rPr>
        <w:t>חי' הגר"נ</w:t>
      </w:r>
      <w:r w:rsidRPr="0041053F">
        <w:rPr>
          <w:rFonts w:ascii="Narkisim" w:hAnsi="Narkisim"/>
          <w:rtl/>
        </w:rPr>
        <w:t xml:space="preserve"> תי' דמ"מ אינו ראוי ליבום, אלא לחליצה ומש"ה בבת א' אין בזה ביטול מצוות יבמין. (וע' לעיל כו.).</w:t>
      </w:r>
    </w:p>
    <w:p w14:paraId="2792BEB7" w14:textId="77777777" w:rsidR="006074A5" w:rsidRPr="0041053F" w:rsidRDefault="006074A5" w:rsidP="006074A5">
      <w:pPr>
        <w:bidi/>
        <w:rPr>
          <w:rFonts w:ascii="Narkisim" w:hAnsi="Narkisim" w:cs="Narkisim"/>
        </w:rPr>
      </w:pPr>
      <w:r w:rsidRPr="0041053F">
        <w:rPr>
          <w:rFonts w:ascii="Narkisim" w:hAnsi="Narkisim" w:cs="Narkisim"/>
          <w:u w:val="single"/>
          <w:rtl/>
        </w:rPr>
        <w:t>מאמר דהיתירא דחי, מאמר דאיסורא לא דחי וכו'.</w:t>
      </w:r>
      <w:r w:rsidRPr="0041053F">
        <w:rPr>
          <w:rFonts w:ascii="Narkisim" w:hAnsi="Narkisim" w:cs="Narkisim"/>
          <w:rtl/>
        </w:rPr>
        <w:t xml:space="preserve"> [פ</w:t>
      </w:r>
      <w:r w:rsidRPr="0041053F">
        <w:rPr>
          <w:rFonts w:ascii="Narkisim" w:hAnsi="Narkisim" w:cs="Narkisim"/>
          <w:b/>
          <w:bCs/>
          <w:rtl/>
        </w:rPr>
        <w:t xml:space="preserve">רש"י </w:t>
      </w:r>
      <w:r w:rsidRPr="0041053F">
        <w:rPr>
          <w:rFonts w:ascii="Narkisim" w:hAnsi="Narkisim" w:cs="Narkisim"/>
          <w:rtl/>
        </w:rPr>
        <w:t>דאי בעי ליבומי. אבל אין איסור במאמר</w:t>
      </w:r>
      <w:r w:rsidRPr="0041053F">
        <w:rPr>
          <w:rStyle w:val="ac"/>
          <w:rFonts w:ascii="Narkisim" w:hAnsi="Narkisim" w:cs="Narkisim"/>
          <w:rtl/>
        </w:rPr>
        <w:footnoteReference w:id="1764"/>
      </w:r>
      <w:r w:rsidRPr="0041053F">
        <w:rPr>
          <w:rFonts w:ascii="Narkisim" w:hAnsi="Narkisim" w:cs="Narkisim"/>
          <w:rtl/>
        </w:rPr>
        <w:t>]. משמע דמאמר דאיסורא [דאחות זקוקה</w:t>
      </w:r>
      <w:r w:rsidRPr="0041053F">
        <w:rPr>
          <w:rStyle w:val="ac"/>
          <w:rFonts w:ascii="Narkisim" w:hAnsi="Narkisim" w:cs="Narkisim"/>
          <w:rtl/>
        </w:rPr>
        <w:footnoteReference w:id="1765"/>
      </w:r>
      <w:r w:rsidRPr="0041053F">
        <w:rPr>
          <w:rFonts w:ascii="Narkisim" w:hAnsi="Narkisim" w:cs="Narkisim"/>
          <w:rtl/>
        </w:rPr>
        <w:t>] חל רק במקצת, ואין לו כח לפטור. וה</w:t>
      </w:r>
      <w:r w:rsidRPr="0041053F">
        <w:rPr>
          <w:rFonts w:ascii="Narkisim" w:hAnsi="Narkisim" w:cs="Narkisim"/>
          <w:b/>
          <w:bCs/>
          <w:rtl/>
        </w:rPr>
        <w:t>ריטב"א</w:t>
      </w:r>
      <w:r w:rsidRPr="0041053F">
        <w:rPr>
          <w:rFonts w:ascii="Narkisim" w:hAnsi="Narkisim" w:cs="Narkisim"/>
          <w:rtl/>
        </w:rPr>
        <w:t xml:space="preserve"> הק' דא"כ מדאורייתא עולה לחליצה, ואינה עולה ליבום, וזה אי אפשר</w:t>
      </w:r>
      <w:r w:rsidRPr="0041053F">
        <w:rPr>
          <w:rStyle w:val="ac"/>
          <w:rFonts w:ascii="Narkisim" w:hAnsi="Narkisim" w:cs="Narkisim"/>
          <w:rtl/>
        </w:rPr>
        <w:footnoteReference w:id="1766"/>
      </w:r>
      <w:r w:rsidRPr="0041053F">
        <w:rPr>
          <w:rFonts w:ascii="Narkisim" w:hAnsi="Narkisim" w:cs="Narkisim"/>
          <w:rtl/>
        </w:rPr>
        <w:t>.</w:t>
      </w:r>
    </w:p>
    <w:p w14:paraId="43AB438E"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תוס' הרא"ש</w:t>
      </w:r>
      <w:r w:rsidRPr="0041053F">
        <w:rPr>
          <w:rFonts w:ascii="Narkisim" w:hAnsi="Narkisim"/>
          <w:rtl/>
        </w:rPr>
        <w:t xml:space="preserve"> הקשה כיון דמאמר קונה מה"ת אין לחלק בין מאמר דאיסורא. אלא ביאר כוונת הגמ' דלא רצו לתקן מאמר באיסור.</w:t>
      </w:r>
    </w:p>
    <w:p w14:paraId="1C4B6698"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 xml:space="preserve">רמב"ן </w:t>
      </w:r>
      <w:r w:rsidRPr="0041053F">
        <w:rPr>
          <w:rFonts w:ascii="Narkisim" w:hAnsi="Narkisim"/>
          <w:rtl/>
        </w:rPr>
        <w:t xml:space="preserve">(יח:) הביא </w:t>
      </w:r>
      <w:r w:rsidRPr="0041053F">
        <w:rPr>
          <w:rFonts w:ascii="Narkisim" w:hAnsi="Narkisim"/>
          <w:b/>
          <w:bCs/>
          <w:rtl/>
        </w:rPr>
        <w:t>י"מ</w:t>
      </w:r>
      <w:r w:rsidRPr="0041053F">
        <w:rPr>
          <w:rStyle w:val="ac"/>
          <w:rFonts w:ascii="Narkisim" w:hAnsi="Narkisim"/>
          <w:rtl/>
        </w:rPr>
        <w:footnoteReference w:id="1767"/>
      </w:r>
      <w:r w:rsidRPr="0041053F">
        <w:rPr>
          <w:rFonts w:ascii="Narkisim" w:hAnsi="Narkisim"/>
          <w:rtl/>
        </w:rPr>
        <w:t xml:space="preserve"> קידושין דהיתירא מפקיעין זיקה, ופוטרין אחותה, אבל לא קידושין דאיסורא. [ולכאורה כוונתם ללשון הגמ' כאן]. וה</w:t>
      </w:r>
      <w:r w:rsidRPr="0041053F">
        <w:rPr>
          <w:rFonts w:ascii="Narkisim" w:hAnsi="Narkisim"/>
          <w:b/>
          <w:bCs/>
          <w:rtl/>
        </w:rPr>
        <w:t xml:space="preserve">רמב"ן </w:t>
      </w:r>
      <w:r w:rsidRPr="0041053F">
        <w:rPr>
          <w:rFonts w:ascii="Narkisim" w:hAnsi="Narkisim"/>
          <w:rtl/>
        </w:rPr>
        <w:t>דחה דדוקא מאמר במקום יבום קיימא, וכל שאינו עולה ליבום אין מאמר קונה.</w:t>
      </w:r>
    </w:p>
    <w:p w14:paraId="13AB9E0D" w14:textId="77777777" w:rsidR="006074A5" w:rsidRPr="0041053F" w:rsidRDefault="006074A5" w:rsidP="006074A5">
      <w:pPr>
        <w:pStyle w:val="aa"/>
        <w:bidi/>
        <w:rPr>
          <w:rFonts w:ascii="Narkisim" w:hAnsi="Narkisim"/>
        </w:rPr>
      </w:pPr>
      <w:r w:rsidRPr="0041053F">
        <w:rPr>
          <w:rFonts w:ascii="Narkisim" w:hAnsi="Narkisim"/>
          <w:u w:val="single"/>
          <w:rtl/>
        </w:rPr>
        <w:t>שם. מאמר דאיסורא</w:t>
      </w:r>
      <w:r w:rsidRPr="0041053F">
        <w:rPr>
          <w:rFonts w:ascii="Narkisim" w:hAnsi="Narkisim"/>
          <w:rtl/>
        </w:rPr>
        <w:t>. ה</w:t>
      </w:r>
      <w:r w:rsidRPr="0041053F">
        <w:rPr>
          <w:rFonts w:ascii="Narkisim" w:hAnsi="Narkisim"/>
          <w:b/>
          <w:bCs/>
          <w:rtl/>
        </w:rPr>
        <w:t>קר"א</w:t>
      </w:r>
      <w:r w:rsidRPr="0041053F">
        <w:rPr>
          <w:rFonts w:ascii="Narkisim" w:hAnsi="Narkisim"/>
          <w:rtl/>
        </w:rPr>
        <w:t xml:space="preserve"> דן האם יבמה שהיא חייבי לאו ועשה יכול להתירה ע"י מאמר לבי"ש. ויש שדנו ע"פ סוגיין דהוה מאמר דאיסורא.</w:t>
      </w:r>
    </w:p>
    <w:p w14:paraId="39DB217B"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ר"ן</w:t>
      </w:r>
      <w:r w:rsidRPr="0041053F">
        <w:rPr>
          <w:rFonts w:ascii="Narkisim" w:hAnsi="Narkisim"/>
          <w:rtl/>
        </w:rPr>
        <w:t xml:space="preserve"> (קידושין י. ה: בדה"ר, הו' בבי"ש נה ג) כ' דביאה בתר אירוסין [בלא חופה] אינו קונה קנין נישואין, דאינו בדין דביאת איסור</w:t>
      </w:r>
      <w:r w:rsidRPr="0041053F">
        <w:rPr>
          <w:rStyle w:val="ac"/>
          <w:rFonts w:ascii="Narkisim" w:hAnsi="Narkisim"/>
          <w:rtl/>
        </w:rPr>
        <w:footnoteReference w:id="1768"/>
      </w:r>
      <w:r w:rsidRPr="0041053F">
        <w:rPr>
          <w:rFonts w:ascii="Narkisim" w:hAnsi="Narkisim"/>
          <w:rtl/>
        </w:rPr>
        <w:t xml:space="preserve"> יקנה, ולמד כן מסוגיין. וצ"ב דהתם האשה מותרת לו, ומ"ט לא יקנה. ולכא' הר"ן למד דכיון דהוה צורת מעשה איסור אינו בדין שיקנה</w:t>
      </w:r>
      <w:r w:rsidRPr="0041053F">
        <w:rPr>
          <w:rStyle w:val="ac"/>
          <w:rFonts w:ascii="Narkisim" w:hAnsi="Narkisim"/>
          <w:rtl/>
        </w:rPr>
        <w:footnoteReference w:id="1769"/>
      </w:r>
      <w:r w:rsidRPr="0041053F">
        <w:rPr>
          <w:rFonts w:ascii="Narkisim" w:hAnsi="Narkisim"/>
          <w:rtl/>
        </w:rPr>
        <w:t xml:space="preserve">. [וצ"ע האיך למד מסוגיין. ועוד דלכאורה בסוגיין סברא </w:t>
      </w:r>
      <w:r w:rsidRPr="0041053F">
        <w:rPr>
          <w:rFonts w:ascii="Narkisim" w:hAnsi="Narkisim"/>
          <w:rtl/>
        </w:rPr>
        <w:lastRenderedPageBreak/>
        <w:t>בקנין היבום</w:t>
      </w:r>
      <w:r w:rsidRPr="0041053F">
        <w:rPr>
          <w:rStyle w:val="ac"/>
          <w:rFonts w:ascii="Narkisim" w:hAnsi="Narkisim"/>
          <w:rtl/>
        </w:rPr>
        <w:footnoteReference w:id="1770"/>
      </w:r>
      <w:r w:rsidRPr="0041053F">
        <w:rPr>
          <w:rFonts w:ascii="Narkisim" w:hAnsi="Narkisim"/>
          <w:rtl/>
        </w:rPr>
        <w:t>. ועוד דהכא איירי משום איסור אחות זקוקתו, ומנ"ל לשאר איסורין</w:t>
      </w:r>
      <w:r w:rsidRPr="0041053F">
        <w:rPr>
          <w:rStyle w:val="ac"/>
          <w:rFonts w:ascii="Narkisim" w:hAnsi="Narkisim"/>
          <w:rtl/>
        </w:rPr>
        <w:footnoteReference w:id="1771"/>
      </w:r>
      <w:r w:rsidRPr="0041053F">
        <w:rPr>
          <w:rFonts w:ascii="Narkisim" w:hAnsi="Narkisim"/>
          <w:rtl/>
        </w:rPr>
        <w:t>].</w:t>
      </w:r>
    </w:p>
    <w:p w14:paraId="26A02D79" w14:textId="77777777" w:rsidR="006074A5" w:rsidRPr="0041053F" w:rsidRDefault="006074A5" w:rsidP="006074A5">
      <w:pPr>
        <w:bidi/>
        <w:rPr>
          <w:rFonts w:ascii="Narkisim" w:hAnsi="Narkisim" w:cs="Narkisim"/>
        </w:rPr>
      </w:pPr>
      <w:r w:rsidRPr="0041053F">
        <w:rPr>
          <w:rFonts w:ascii="Narkisim" w:hAnsi="Narkisim" w:cs="Narkisim"/>
          <w:u w:val="single"/>
          <w:rtl/>
        </w:rPr>
        <w:t>רב אשי מתני' הכי וכו' אלא דוחה ומשייר.</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ואחותה בעי חליצה. </w:t>
      </w:r>
      <w:r w:rsidRPr="0041053F">
        <w:rPr>
          <w:rFonts w:ascii="Narkisim" w:hAnsi="Narkisim" w:cs="Narkisim"/>
          <w:szCs w:val="20"/>
          <w:rtl/>
        </w:rPr>
        <w:t>[ופרש"י שדוחה לענין שלא תאסור את זו עליו]</w:t>
      </w:r>
      <w:r w:rsidRPr="0041053F">
        <w:rPr>
          <w:rFonts w:ascii="Narkisim" w:hAnsi="Narkisim" w:cs="Narkisim"/>
          <w:rtl/>
        </w:rPr>
        <w:t>.</w:t>
      </w:r>
    </w:p>
    <w:p w14:paraId="69FD40DD"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גמ'</w:t>
      </w:r>
      <w:r w:rsidRPr="0041053F">
        <w:rPr>
          <w:rFonts w:ascii="Narkisim" w:hAnsi="Narkisim"/>
          <w:rtl/>
        </w:rPr>
        <w:t xml:space="preserve"> מקשה </w:t>
      </w:r>
      <w:r w:rsidRPr="0041053F">
        <w:rPr>
          <w:rFonts w:ascii="Narkisim" w:hAnsi="Narkisim"/>
          <w:i/>
          <w:iCs/>
          <w:rtl/>
        </w:rPr>
        <w:t>ואלא</w:t>
      </w:r>
      <w:r w:rsidRPr="0041053F">
        <w:rPr>
          <w:rFonts w:ascii="Narkisim" w:hAnsi="Narkisim"/>
          <w:rtl/>
        </w:rPr>
        <w:t xml:space="preserve"> הא קתני בי"ש אומרים וכו' והלזו תצא משום אחות אשה. ומבואר דאחותה פטורה</w:t>
      </w:r>
      <w:r w:rsidRPr="0041053F">
        <w:rPr>
          <w:rStyle w:val="ac"/>
          <w:rFonts w:ascii="Narkisim" w:hAnsi="Narkisim"/>
          <w:rtl/>
        </w:rPr>
        <w:footnoteReference w:id="1772"/>
      </w:r>
      <w:r w:rsidRPr="0041053F">
        <w:rPr>
          <w:rFonts w:ascii="Narkisim" w:hAnsi="Narkisim"/>
          <w:rtl/>
        </w:rPr>
        <w:t xml:space="preserve">. הגמ' חוזרת וס"ל דדוחה דחייה גמור [וכלישנא קמא, ולישנא דרב אשי נדחה]. </w:t>
      </w:r>
      <w:r w:rsidRPr="0041053F">
        <w:rPr>
          <w:rFonts w:ascii="Narkisim" w:hAnsi="Narkisim"/>
          <w:sz w:val="20"/>
          <w:szCs w:val="20"/>
          <w:rtl/>
        </w:rPr>
        <w:t>ובמשנה דד' אחים ל"מ מאמר, דאינה ראויה ליבום [וכתי' הגמ' לעיל דמאמר דאיסורא לא פטרה].</w:t>
      </w:r>
    </w:p>
    <w:p w14:paraId="33AE4A2F" w14:textId="77777777" w:rsidR="006074A5" w:rsidRPr="0041053F" w:rsidRDefault="006074A5" w:rsidP="006074A5">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(בע"א ד"ה אלא) פי' [בדעת רש"י] דמאמר מהני להסיר הזיקה ודחי לצרה, לענין שלא תאסר את זו. וה</w:t>
      </w:r>
      <w:r w:rsidRPr="0041053F">
        <w:rPr>
          <w:rFonts w:ascii="Narkisim" w:hAnsi="Narkisim" w:cs="Narkisim"/>
          <w:b/>
          <w:bCs/>
          <w:rtl/>
        </w:rPr>
        <w:t>אחרונים</w:t>
      </w:r>
      <w:r w:rsidRPr="0041053F">
        <w:rPr>
          <w:rFonts w:ascii="Narkisim" w:hAnsi="Narkisim" w:cs="Narkisim"/>
          <w:rtl/>
        </w:rPr>
        <w:t xml:space="preserve"> ביארו דהמאמר מהני לענין שלא חל אישות הזיקה, דחשיב ערוה [לענין זה]. אבל מ"מ זקוקה לעיקר דין יבום. ועוד יש שדנו דאפשר דמדרבנן נחשב שאינה זקוקה כלל [וצריכה חליצה מחמת הדין דאורייתא], ולכן לא גזרו בזה איסור דרבנן דאחות זקוקתו.</w:t>
      </w:r>
    </w:p>
    <w:p w14:paraId="4060B621" w14:textId="77777777" w:rsidR="006074A5" w:rsidRPr="0041053F" w:rsidRDefault="006074A5" w:rsidP="006074A5">
      <w:pPr>
        <w:pStyle w:val="aa"/>
        <w:bidi/>
        <w:rPr>
          <w:rFonts w:ascii="Narkisim" w:hAnsi="Narkisim"/>
        </w:rPr>
      </w:pPr>
      <w:r w:rsidRPr="0041053F">
        <w:rPr>
          <w:rFonts w:ascii="Narkisim" w:hAnsi="Narkisim"/>
          <w:rtl/>
        </w:rPr>
        <w:t>ו</w:t>
      </w:r>
      <w:r w:rsidRPr="0041053F">
        <w:rPr>
          <w:rFonts w:ascii="Narkisim" w:hAnsi="Narkisim"/>
          <w:b/>
          <w:bCs/>
          <w:rtl/>
        </w:rPr>
        <w:t xml:space="preserve">תוס' </w:t>
      </w:r>
      <w:r w:rsidRPr="0041053F">
        <w:rPr>
          <w:rFonts w:ascii="Narkisim" w:hAnsi="Narkisim"/>
          <w:rtl/>
        </w:rPr>
        <w:t>פי' דקו' הגמ' דאף מאמר דאיסורא [דלא חזיא לכולהו] ידחה שלא לאסור. והגמ' נקטה דאי מאמר דהיתר פוטר בלא חליצה, א"כ מאמר דאיסורא דחי לענין שלא תאסר לזו. [וצ"ע היטב].</w:t>
      </w:r>
    </w:p>
    <w:p w14:paraId="5937EDA6" w14:textId="77777777" w:rsidR="006074A5" w:rsidRPr="0041053F" w:rsidRDefault="006074A5" w:rsidP="006074A5">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xml:space="preserve"> פי' דדעת רב אשי דמאמר לא מהני לפטור צרתה הנופלת עמה. [אבל אחותה נפטרת מדין ערוה]. ולכן ל"מ לרב אבין לעשות מאמר, כיון דעדיין לא נגמר הזיקה.</w:t>
      </w:r>
    </w:p>
    <w:p w14:paraId="51A4D517" w14:textId="77777777" w:rsidR="006074A5" w:rsidRPr="0041053F" w:rsidRDefault="006074A5" w:rsidP="006074A5">
      <w:pPr>
        <w:pStyle w:val="a7"/>
        <w:bidi/>
        <w:rPr>
          <w:rFonts w:ascii="Narkisim" w:hAnsi="Narkisim"/>
        </w:rPr>
      </w:pPr>
      <w:r w:rsidRPr="0041053F">
        <w:rPr>
          <w:rFonts w:ascii="Narkisim" w:hAnsi="Narkisim"/>
          <w:rtl/>
        </w:rPr>
        <w:t>והגמ' תי' דחזי לכולה חזיא למקצתייהו, דיש חילוק בין צרתה לאחותה, דאחותה פטורה בשעת נפילה [וכוונת הגמ' דהוה ערוה בשעת נפילה, וצ"ב אמאי כתב בלשון זה</w:t>
      </w:r>
      <w:r w:rsidRPr="0041053F">
        <w:rPr>
          <w:rStyle w:val="ac"/>
          <w:rFonts w:ascii="Narkisim" w:hAnsi="Narkisim"/>
          <w:rtl/>
        </w:rPr>
        <w:footnoteReference w:id="1773"/>
      </w:r>
      <w:r w:rsidRPr="0041053F">
        <w:rPr>
          <w:rFonts w:ascii="Narkisim" w:hAnsi="Narkisim"/>
          <w:rtl/>
        </w:rPr>
        <w:t>].</w:t>
      </w:r>
    </w:p>
    <w:p w14:paraId="3B8FC0C0" w14:textId="77777777" w:rsidR="006074A5" w:rsidRPr="0041053F" w:rsidRDefault="006074A5" w:rsidP="006074A5">
      <w:pPr>
        <w:bidi/>
        <w:rPr>
          <w:rFonts w:ascii="Narkisim" w:hAnsi="Narkisim" w:cs="Narkisim"/>
        </w:rPr>
      </w:pPr>
      <w:r w:rsidRPr="0041053F">
        <w:rPr>
          <w:rFonts w:ascii="Narkisim" w:hAnsi="Narkisim" w:cs="Narkisim"/>
          <w:u w:val="single"/>
          <w:rtl/>
        </w:rPr>
        <w:t>אלא יבמה דחזיא לכולהו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דהגמ' חזרה בה דדוחה דחייה גמורה [וכל"ק דר"א]. והכא הוה יבמה דלא חזיא לכולהו מילי</w:t>
      </w:r>
      <w:r w:rsidRPr="0041053F">
        <w:rPr>
          <w:rStyle w:val="ac"/>
          <w:rFonts w:ascii="Narkisim" w:hAnsi="Narkisim" w:cs="Narkisim"/>
          <w:rtl/>
        </w:rPr>
        <w:footnoteReference w:id="1774"/>
      </w:r>
      <w:r w:rsidRPr="0041053F">
        <w:rPr>
          <w:rFonts w:ascii="Narkisim" w:hAnsi="Narkisim" w:cs="Narkisim"/>
          <w:rtl/>
        </w:rPr>
        <w:t xml:space="preserve">. וכדברי הגמ' (לעיל) דהוה מאמר דאיסורא. </w:t>
      </w:r>
      <w:r w:rsidRPr="0041053F">
        <w:rPr>
          <w:rFonts w:ascii="Narkisim" w:hAnsi="Narkisim" w:cs="Narkisim"/>
          <w:szCs w:val="20"/>
          <w:rtl/>
        </w:rPr>
        <w:t>[ותוס' והראשונים הק' מ"ט הגמ' שינתה הלשון מל"ק]</w:t>
      </w:r>
      <w:r w:rsidRPr="0041053F">
        <w:rPr>
          <w:rFonts w:ascii="Narkisim" w:hAnsi="Narkisim" w:cs="Narkisim"/>
          <w:rtl/>
        </w:rPr>
        <w:t xml:space="preserve">. אבל </w:t>
      </w:r>
      <w:r w:rsidRPr="0041053F">
        <w:rPr>
          <w:rFonts w:ascii="Narkisim" w:hAnsi="Narkisim" w:cs="Narkisim"/>
          <w:b/>
          <w:bCs/>
          <w:rtl/>
        </w:rPr>
        <w:t>תוס</w:t>
      </w:r>
      <w:r w:rsidRPr="0041053F">
        <w:rPr>
          <w:rFonts w:ascii="Narkisim" w:hAnsi="Narkisim" w:cs="Narkisim"/>
          <w:rtl/>
        </w:rPr>
        <w:t>' (בע"א) ושא"ר לא גרסו 'אלא', וכוונת הגמ' דבי"ש איירי היכא דהיתה פטורה בשעת נפילה. ול"מ לפטור לאחר נפילה אלא לדחות.</w:t>
      </w:r>
    </w:p>
    <w:p w14:paraId="14E26716" w14:textId="77777777" w:rsidR="006074A5" w:rsidRPr="0041053F" w:rsidRDefault="006074A5" w:rsidP="006074A5">
      <w:pPr>
        <w:pStyle w:val="2"/>
        <w:bidi/>
        <w:rPr>
          <w:rFonts w:ascii="Narkisim" w:hAnsi="Narkisim"/>
        </w:rPr>
      </w:pPr>
      <w:r w:rsidRPr="0041053F">
        <w:rPr>
          <w:rFonts w:ascii="Narkisim" w:hAnsi="Narkisim"/>
          <w:rtl/>
        </w:rPr>
        <w:t>מאמר אירוסין עושה</w:t>
      </w:r>
    </w:p>
    <w:p w14:paraId="4C996898" w14:textId="77777777" w:rsidR="006074A5" w:rsidRPr="0041053F" w:rsidRDefault="006074A5" w:rsidP="006074A5">
      <w:pPr>
        <w:bidi/>
        <w:rPr>
          <w:rFonts w:ascii="Narkisim" w:hAnsi="Narkisim" w:cs="Narkisim"/>
        </w:rPr>
      </w:pPr>
      <w:r w:rsidRPr="0041053F">
        <w:rPr>
          <w:rFonts w:ascii="Narkisim" w:hAnsi="Narkisim" w:cs="Narkisim"/>
          <w:u w:val="single"/>
          <w:rtl/>
        </w:rPr>
        <w:t>בעי רבה מאמר לבי"ש נישואין עושה וכו'.</w:t>
      </w:r>
      <w:r w:rsidRPr="0041053F">
        <w:rPr>
          <w:rFonts w:ascii="Narkisim" w:hAnsi="Narkisim" w:cs="Narkisim"/>
          <w:rtl/>
        </w:rPr>
        <w:t xml:space="preserve"> ה</w:t>
      </w:r>
      <w:r w:rsidRPr="0041053F">
        <w:rPr>
          <w:rFonts w:ascii="Narkisim" w:hAnsi="Narkisim" w:cs="Narkisim"/>
          <w:b/>
          <w:bCs/>
          <w:rtl/>
        </w:rPr>
        <w:t>תו"י</w:t>
      </w:r>
      <w:r w:rsidRPr="0041053F">
        <w:rPr>
          <w:rFonts w:ascii="Narkisim" w:hAnsi="Narkisim" w:cs="Narkisim"/>
          <w:rtl/>
        </w:rPr>
        <w:t xml:space="preserve"> העמיד ספק הגמ' למ"ד דקונה קנין גמור, דלר' אלעזר גרע מארוסה. אבל </w:t>
      </w:r>
      <w:r w:rsidRPr="0041053F">
        <w:rPr>
          <w:rFonts w:ascii="Narkisim" w:hAnsi="Narkisim" w:cs="Narkisim"/>
          <w:b/>
          <w:bCs/>
          <w:rtl/>
        </w:rPr>
        <w:t>רש"י</w:t>
      </w:r>
      <w:r w:rsidRPr="0041053F">
        <w:rPr>
          <w:rFonts w:ascii="Narkisim" w:hAnsi="Narkisim" w:cs="Narkisim"/>
          <w:rtl/>
        </w:rPr>
        <w:t xml:space="preserve"> (ד"ה ולא בעיא מסירה) מבואר דקאי למ"ד אינו קונה קנין גמור. דרש"י כתב דאי בעי לאפוקי בלא גט סגי ליה, מבואר דע"י מאמר אינו יכול להוציא בגט</w:t>
      </w:r>
      <w:r w:rsidRPr="0041053F">
        <w:rPr>
          <w:rStyle w:val="ac"/>
          <w:rFonts w:ascii="Narkisim" w:hAnsi="Narkisim" w:cs="Narkisim"/>
          <w:rtl/>
        </w:rPr>
        <w:footnoteReference w:id="1775"/>
      </w:r>
      <w:r w:rsidRPr="0041053F">
        <w:rPr>
          <w:rFonts w:ascii="Narkisim" w:hAnsi="Narkisim" w:cs="Narkisim"/>
          <w:rtl/>
        </w:rPr>
        <w:t xml:space="preserve">. </w:t>
      </w:r>
      <w:r w:rsidRPr="0041053F">
        <w:rPr>
          <w:rFonts w:ascii="Narkisim" w:hAnsi="Narkisim" w:cs="Narkisim"/>
          <w:sz w:val="20"/>
          <w:szCs w:val="20"/>
          <w:rtl/>
        </w:rPr>
        <w:t>וה</w:t>
      </w:r>
      <w:r w:rsidRPr="0041053F">
        <w:rPr>
          <w:rFonts w:ascii="Narkisim" w:hAnsi="Narkisim" w:cs="Narkisim"/>
          <w:b/>
          <w:bCs/>
          <w:sz w:val="20"/>
          <w:szCs w:val="20"/>
          <w:rtl/>
        </w:rPr>
        <w:t>רשב"א</w:t>
      </w:r>
      <w:r w:rsidRPr="0041053F">
        <w:rPr>
          <w:rFonts w:ascii="Narkisim" w:hAnsi="Narkisim" w:cs="Narkisim"/>
          <w:sz w:val="20"/>
          <w:szCs w:val="20"/>
          <w:rtl/>
        </w:rPr>
        <w:t xml:space="preserve"> (בסמוך) כת' דלמ"ד קונה קנין גמור עדיף מארוסה.</w:t>
      </w:r>
    </w:p>
    <w:p w14:paraId="344E7280" w14:textId="77777777" w:rsidR="006074A5" w:rsidRPr="0041053F" w:rsidRDefault="006074A5" w:rsidP="006074A5">
      <w:pPr>
        <w:bidi/>
        <w:rPr>
          <w:rFonts w:ascii="Narkisim" w:hAnsi="Narkisim" w:cs="Narkisim"/>
        </w:rPr>
      </w:pPr>
      <w:r w:rsidRPr="0041053F">
        <w:rPr>
          <w:rFonts w:ascii="Narkisim" w:hAnsi="Narkisim" w:cs="Narkisim"/>
          <w:u w:val="single"/>
          <w:rtl/>
        </w:rPr>
        <w:t>השתא ארוסה בעלמא וכו'.</w:t>
      </w:r>
      <w:r w:rsidRPr="0041053F">
        <w:rPr>
          <w:rFonts w:ascii="Narkisim" w:hAnsi="Narkisim" w:cs="Narkisim"/>
          <w:rtl/>
        </w:rPr>
        <w:t xml:space="preserve"> </w:t>
      </w:r>
      <w:r w:rsidRPr="0041053F">
        <w:rPr>
          <w:rFonts w:ascii="Narkisim" w:hAnsi="Narkisim" w:cs="Narkisim"/>
          <w:b/>
          <w:bCs/>
          <w:rtl/>
        </w:rPr>
        <w:t>רש"י</w:t>
      </w:r>
      <w:r w:rsidRPr="0041053F">
        <w:rPr>
          <w:rFonts w:ascii="Narkisim" w:hAnsi="Narkisim" w:cs="Narkisim"/>
          <w:rtl/>
        </w:rPr>
        <w:t xml:space="preserve"> פי' דמאמר מדרבנן</w:t>
      </w:r>
      <w:r w:rsidRPr="0041053F">
        <w:rPr>
          <w:rStyle w:val="ac"/>
          <w:rFonts w:ascii="Narkisim" w:hAnsi="Narkisim" w:cs="Narkisim"/>
          <w:rtl/>
        </w:rPr>
        <w:footnoteReference w:id="1776"/>
      </w:r>
      <w:r w:rsidRPr="0041053F">
        <w:rPr>
          <w:rFonts w:ascii="Narkisim" w:hAnsi="Narkisim" w:cs="Narkisim"/>
          <w:sz w:val="20"/>
          <w:szCs w:val="20"/>
          <w:rtl/>
        </w:rPr>
        <w:t xml:space="preserve"> ו</w:t>
      </w:r>
      <w:r w:rsidRPr="0041053F">
        <w:rPr>
          <w:rFonts w:ascii="Narkisim" w:hAnsi="Narkisim" w:cs="Narkisim"/>
          <w:b/>
          <w:bCs/>
          <w:sz w:val="20"/>
          <w:szCs w:val="20"/>
          <w:rtl/>
        </w:rPr>
        <w:t>תוס</w:t>
      </w:r>
      <w:r w:rsidRPr="0041053F">
        <w:rPr>
          <w:rFonts w:ascii="Narkisim" w:hAnsi="Narkisim" w:cs="Narkisim"/>
          <w:sz w:val="20"/>
          <w:szCs w:val="20"/>
          <w:rtl/>
        </w:rPr>
        <w:t>' (בע"א ד"ה ב"ש) דחו דמאמר הוה מדאורייתא.</w:t>
      </w:r>
    </w:p>
    <w:p w14:paraId="408B65D4"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xml:space="preserve"> (שם) כת' דכיון דילפי' מאירוסין, דיו לבא מהדין להיות כנידון</w:t>
      </w:r>
      <w:r w:rsidRPr="0041053F">
        <w:rPr>
          <w:rStyle w:val="ac"/>
          <w:rFonts w:ascii="Narkisim" w:hAnsi="Narkisim"/>
          <w:rtl/>
        </w:rPr>
        <w:footnoteReference w:id="1777"/>
      </w:r>
      <w:r w:rsidRPr="0041053F">
        <w:rPr>
          <w:rFonts w:ascii="Narkisim" w:hAnsi="Narkisim"/>
          <w:rtl/>
        </w:rPr>
        <w:t>. וה</w:t>
      </w:r>
      <w:r w:rsidRPr="0041053F">
        <w:rPr>
          <w:rFonts w:ascii="Narkisim" w:hAnsi="Narkisim"/>
          <w:b/>
          <w:bCs/>
          <w:rtl/>
        </w:rPr>
        <w:t>רשב"א</w:t>
      </w:r>
      <w:r w:rsidRPr="0041053F">
        <w:rPr>
          <w:rFonts w:ascii="Narkisim" w:hAnsi="Narkisim"/>
          <w:rtl/>
        </w:rPr>
        <w:t xml:space="preserve"> ו</w:t>
      </w:r>
      <w:r w:rsidRPr="0041053F">
        <w:rPr>
          <w:rFonts w:ascii="Narkisim" w:hAnsi="Narkisim"/>
          <w:b/>
          <w:bCs/>
          <w:rtl/>
        </w:rPr>
        <w:t>ריטב"א</w:t>
      </w:r>
      <w:r w:rsidRPr="0041053F">
        <w:rPr>
          <w:rFonts w:ascii="Narkisim" w:hAnsi="Narkisim"/>
          <w:rtl/>
        </w:rPr>
        <w:t xml:space="preserve"> כת' דכוונת הגמ' דכיון דמאמר אינו גומר כקידושין, ואין סוקלין ע"י, כ"ש שלא יהני לירושה.</w:t>
      </w:r>
    </w:p>
    <w:p w14:paraId="3ECE3AE0" w14:textId="77777777" w:rsidR="006074A5" w:rsidRPr="0041053F" w:rsidRDefault="006074A5" w:rsidP="006074A5">
      <w:pPr>
        <w:pStyle w:val="a8"/>
        <w:bidi/>
        <w:rPr>
          <w:rFonts w:ascii="Narkisim" w:hAnsi="Narkisim"/>
        </w:rPr>
      </w:pPr>
      <w:r w:rsidRPr="0041053F">
        <w:rPr>
          <w:rFonts w:ascii="Narkisim" w:hAnsi="Narkisim"/>
          <w:rtl/>
        </w:rPr>
        <w:t>דאי' (נדרים עה.) דר"ע השיב דיבם אינו מיפר נדרים, אפי' ע"י מאמר. שאין חייבין סקילה כנערה המאורסה</w:t>
      </w:r>
      <w:r w:rsidRPr="0041053F">
        <w:rPr>
          <w:rStyle w:val="ac"/>
          <w:rFonts w:ascii="Narkisim" w:hAnsi="Narkisim"/>
          <w:rtl/>
        </w:rPr>
        <w:footnoteReference w:id="1778"/>
      </w:r>
      <w:r w:rsidRPr="0041053F">
        <w:rPr>
          <w:rFonts w:ascii="Narkisim" w:hAnsi="Narkisim"/>
          <w:rtl/>
        </w:rPr>
        <w:t>.</w:t>
      </w:r>
    </w:p>
    <w:p w14:paraId="08B57A72" w14:textId="77777777" w:rsidR="006074A5" w:rsidRPr="0041053F" w:rsidRDefault="006074A5" w:rsidP="006074A5">
      <w:pPr>
        <w:bidi/>
        <w:rPr>
          <w:rFonts w:ascii="Narkisim" w:hAnsi="Narkisim" w:cs="Narkisim"/>
        </w:rPr>
      </w:pPr>
      <w:r w:rsidRPr="0041053F">
        <w:rPr>
          <w:rFonts w:ascii="Narkisim" w:hAnsi="Narkisim" w:cs="Narkisim"/>
          <w:u w:val="single"/>
          <w:rtl/>
        </w:rPr>
        <w:lastRenderedPageBreak/>
        <w:t>תוד"ה עבד.</w:t>
      </w:r>
      <w:r w:rsidRPr="0041053F">
        <w:rPr>
          <w:rFonts w:ascii="Narkisim" w:hAnsi="Narkisim" w:cs="Narkisim"/>
          <w:rtl/>
        </w:rPr>
        <w:t xml:space="preserve"> קאמר רבא (לקמן לט.) וכו' ודאי ארוסה, וספק נשואה וכו' אלמא מהני ליורשה</w:t>
      </w:r>
      <w:r w:rsidRPr="0041053F">
        <w:rPr>
          <w:rStyle w:val="ac"/>
          <w:rFonts w:ascii="Narkisim" w:hAnsi="Narkisim" w:cs="Narkisim"/>
          <w:rtl/>
        </w:rPr>
        <w:footnoteReference w:id="1779"/>
      </w:r>
      <w:r w:rsidRPr="0041053F">
        <w:rPr>
          <w:rFonts w:ascii="Narkisim" w:hAnsi="Narkisim" w:cs="Narkisim"/>
          <w:rtl/>
        </w:rPr>
        <w:t xml:space="preserve"> וכו' ולקמן גרס רבא. מבואר בתוס' דרבא פליג [אק"ו דסוגיין], וס"ל דמאמר עדיף מאירוסין [לענין זכייה בנכסים]. [וה</w:t>
      </w:r>
      <w:r w:rsidRPr="0041053F">
        <w:rPr>
          <w:rFonts w:ascii="Narkisim" w:hAnsi="Narkisim" w:cs="Narkisim"/>
          <w:b/>
          <w:bCs/>
          <w:rtl/>
        </w:rPr>
        <w:t>רשב"א</w:t>
      </w:r>
      <w:r w:rsidRPr="0041053F">
        <w:rPr>
          <w:rFonts w:ascii="Narkisim" w:hAnsi="Narkisim" w:cs="Narkisim"/>
          <w:rtl/>
        </w:rPr>
        <w:t xml:space="preserve"> ו</w:t>
      </w:r>
      <w:r w:rsidRPr="0041053F">
        <w:rPr>
          <w:rFonts w:ascii="Narkisim" w:hAnsi="Narkisim" w:cs="Narkisim"/>
          <w:b/>
          <w:bCs/>
          <w:rtl/>
        </w:rPr>
        <w:t>ריטב"א</w:t>
      </w:r>
      <w:r w:rsidRPr="0041053F">
        <w:rPr>
          <w:rFonts w:ascii="Narkisim" w:hAnsi="Narkisim" w:cs="Narkisim"/>
          <w:rtl/>
        </w:rPr>
        <w:t xml:space="preserve"> (ע' בסמוך) כת' דדעת התרצן (בסוגיין) דעדיף מאירוסין].</w:t>
      </w:r>
    </w:p>
    <w:p w14:paraId="35271D70" w14:textId="77777777" w:rsidR="006074A5" w:rsidRPr="0041053F" w:rsidRDefault="006074A5" w:rsidP="006074A5">
      <w:pPr>
        <w:pStyle w:val="a8"/>
        <w:bidi/>
        <w:rPr>
          <w:rFonts w:ascii="Narkisim" w:hAnsi="Narkisim"/>
        </w:rPr>
      </w:pPr>
      <w:r w:rsidRPr="0041053F">
        <w:rPr>
          <w:rFonts w:ascii="Narkisim" w:hAnsi="Narkisim"/>
          <w:rtl/>
        </w:rPr>
        <w:t>וב</w:t>
      </w:r>
      <w:r w:rsidRPr="0041053F">
        <w:rPr>
          <w:rFonts w:ascii="Narkisim" w:hAnsi="Narkisim"/>
          <w:b/>
          <w:bCs/>
          <w:rtl/>
        </w:rPr>
        <w:t>חי' ר' שמואל</w:t>
      </w:r>
      <w:r w:rsidRPr="0041053F">
        <w:rPr>
          <w:rFonts w:ascii="Narkisim" w:hAnsi="Narkisim"/>
          <w:rtl/>
        </w:rPr>
        <w:t xml:space="preserve"> דן לתרץ [לולי דברי התוס'] דלענין 'קנין' מאמר עדיף מאירוסין. ורק לענין 'שאר' ו'קורבא' ארוסה עדיפה ממאמר. [וע"ד מש"כ השיטמ"ק נדרים, ע' בסמוך].</w:t>
      </w:r>
    </w:p>
    <w:p w14:paraId="38A12A1B" w14:textId="77777777" w:rsidR="006074A5" w:rsidRPr="0041053F" w:rsidRDefault="006074A5" w:rsidP="006074A5">
      <w:pPr>
        <w:pStyle w:val="aa"/>
        <w:bidi/>
        <w:rPr>
          <w:rFonts w:ascii="Narkisim" w:hAnsi="Narkisim"/>
        </w:rPr>
      </w:pPr>
      <w:r w:rsidRPr="0041053F">
        <w:rPr>
          <w:rFonts w:ascii="Narkisim" w:hAnsi="Narkisim"/>
          <w:u w:val="single"/>
          <w:rtl/>
        </w:rPr>
        <w:t>רש"י ד"ה ולא מיטמאת.</w:t>
      </w:r>
      <w:r w:rsidRPr="0041053F">
        <w:rPr>
          <w:rFonts w:ascii="Narkisim" w:hAnsi="Narkisim"/>
          <w:rtl/>
        </w:rPr>
        <w:t xml:space="preserve"> אינה צריכה להתעסק בו וכו' ולאו דוקא. ו</w:t>
      </w:r>
      <w:r w:rsidRPr="0041053F">
        <w:rPr>
          <w:rFonts w:ascii="Narkisim" w:hAnsi="Narkisim"/>
          <w:b/>
          <w:bCs/>
          <w:rtl/>
        </w:rPr>
        <w:t>תוס</w:t>
      </w:r>
      <w:r w:rsidRPr="0041053F">
        <w:rPr>
          <w:rFonts w:ascii="Narkisim" w:hAnsi="Narkisim"/>
          <w:rtl/>
        </w:rPr>
        <w:t xml:space="preserve">' ביארו דאינה מצווה להתעסק. (וכ"כ </w:t>
      </w:r>
      <w:r w:rsidRPr="0041053F">
        <w:rPr>
          <w:rFonts w:ascii="Narkisim" w:hAnsi="Narkisim"/>
          <w:b/>
          <w:bCs/>
          <w:rtl/>
        </w:rPr>
        <w:t>רש"י</w:t>
      </w:r>
      <w:r w:rsidRPr="0041053F">
        <w:rPr>
          <w:rFonts w:ascii="Narkisim" w:hAnsi="Narkisim"/>
          <w:rtl/>
        </w:rPr>
        <w:t xml:space="preserve"> כתובות נג.</w:t>
      </w:r>
      <w:r w:rsidRPr="0041053F">
        <w:rPr>
          <w:rStyle w:val="ac"/>
          <w:rFonts w:ascii="Narkisim" w:hAnsi="Narkisim"/>
          <w:rtl/>
        </w:rPr>
        <w:footnoteReference w:id="1780"/>
      </w:r>
      <w:r w:rsidRPr="0041053F">
        <w:rPr>
          <w:rFonts w:ascii="Narkisim" w:hAnsi="Narkisim"/>
          <w:rtl/>
        </w:rPr>
        <w:t>). וה</w:t>
      </w:r>
      <w:r w:rsidRPr="0041053F">
        <w:rPr>
          <w:rFonts w:ascii="Narkisim" w:hAnsi="Narkisim"/>
          <w:b/>
          <w:bCs/>
          <w:rtl/>
        </w:rPr>
        <w:t>רמב"ם</w:t>
      </w:r>
      <w:r w:rsidRPr="0041053F">
        <w:rPr>
          <w:rFonts w:ascii="Narkisim" w:hAnsi="Narkisim"/>
          <w:rtl/>
        </w:rPr>
        <w:t xml:space="preserve"> (אבל ב ו) ס"ל דנשים אינן מצוות להטמאות [דמצוות לה יטמא הוא רק במי שמצווה שלא לטמאות], וה</w:t>
      </w:r>
      <w:r w:rsidRPr="0041053F">
        <w:rPr>
          <w:rFonts w:ascii="Narkisim" w:hAnsi="Narkisim"/>
          <w:b/>
          <w:bCs/>
          <w:rtl/>
        </w:rPr>
        <w:t>ראב"ד</w:t>
      </w:r>
      <w:r w:rsidRPr="0041053F">
        <w:rPr>
          <w:rFonts w:ascii="Narkisim" w:hAnsi="Narkisim"/>
          <w:rtl/>
        </w:rPr>
        <w:t xml:space="preserve"> השיג מהכא</w:t>
      </w:r>
      <w:r w:rsidRPr="0041053F">
        <w:rPr>
          <w:rStyle w:val="ac"/>
          <w:rFonts w:ascii="Narkisim" w:hAnsi="Narkisim"/>
          <w:rtl/>
        </w:rPr>
        <w:footnoteReference w:id="1781"/>
      </w:r>
      <w:r w:rsidRPr="0041053F">
        <w:rPr>
          <w:rFonts w:ascii="Narkisim" w:hAnsi="Narkisim"/>
          <w:rtl/>
        </w:rPr>
        <w:t>.</w:t>
      </w:r>
    </w:p>
    <w:p w14:paraId="19D90E2D" w14:textId="77777777" w:rsidR="006074A5" w:rsidRPr="0041053F" w:rsidRDefault="006074A5" w:rsidP="006074A5">
      <w:pPr>
        <w:bidi/>
        <w:rPr>
          <w:rFonts w:ascii="Narkisim" w:hAnsi="Narkisim" w:cs="Narkisim"/>
        </w:rPr>
      </w:pPr>
      <w:r w:rsidRPr="0041053F">
        <w:rPr>
          <w:rFonts w:ascii="Narkisim" w:hAnsi="Narkisim" w:cs="Narkisim"/>
          <w:u w:val="single"/>
          <w:rtl/>
        </w:rPr>
        <w:t>פרחה ממנו זיקת יבמין.</w:t>
      </w:r>
      <w:r w:rsidRPr="0041053F">
        <w:rPr>
          <w:rFonts w:ascii="Narkisim" w:hAnsi="Narkisim" w:cs="Narkisim"/>
          <w:rtl/>
        </w:rPr>
        <w:t xml:space="preserve"> ה</w:t>
      </w:r>
      <w:r w:rsidRPr="0041053F">
        <w:rPr>
          <w:rFonts w:ascii="Narkisim" w:hAnsi="Narkisim" w:cs="Narkisim"/>
          <w:b/>
          <w:bCs/>
          <w:rtl/>
        </w:rPr>
        <w:t>תו"י</w:t>
      </w:r>
      <w:r w:rsidRPr="0041053F">
        <w:rPr>
          <w:rFonts w:ascii="Narkisim" w:hAnsi="Narkisim" w:cs="Narkisim"/>
          <w:rtl/>
        </w:rPr>
        <w:t xml:space="preserve"> ו</w:t>
      </w:r>
      <w:r w:rsidRPr="0041053F">
        <w:rPr>
          <w:rFonts w:ascii="Narkisim" w:hAnsi="Narkisim" w:cs="Narkisim"/>
          <w:b/>
          <w:bCs/>
          <w:rtl/>
        </w:rPr>
        <w:t>תוס' הרא"ש</w:t>
      </w:r>
      <w:r w:rsidRPr="0041053F">
        <w:rPr>
          <w:rFonts w:ascii="Narkisim" w:hAnsi="Narkisim" w:cs="Narkisim"/>
          <w:rtl/>
        </w:rPr>
        <w:t xml:space="preserve"> מבואר דספק הגמ' אי אמרי' פרחה או לא. </w:t>
      </w:r>
      <w:r w:rsidRPr="0041053F">
        <w:rPr>
          <w:rFonts w:ascii="Narkisim" w:hAnsi="Narkisim" w:cs="Narkisim"/>
          <w:sz w:val="20"/>
          <w:szCs w:val="20"/>
          <w:rtl/>
        </w:rPr>
        <w:t>[ולפ"ז כוונת הגמ' דנשאר דינה כנישואין ע"י ביאה, ולא שהמאמר פועל את הנישואין</w:t>
      </w:r>
      <w:r w:rsidRPr="0041053F">
        <w:rPr>
          <w:rFonts w:ascii="Narkisim" w:hAnsi="Narkisim" w:cs="Narkisim"/>
          <w:rtl/>
        </w:rPr>
        <w:t>]. אבל ה</w:t>
      </w:r>
      <w:r w:rsidRPr="0041053F">
        <w:rPr>
          <w:rFonts w:ascii="Narkisim" w:hAnsi="Narkisim" w:cs="Narkisim"/>
          <w:b/>
          <w:bCs/>
          <w:rtl/>
        </w:rPr>
        <w:t>ריטב"א</w:t>
      </w:r>
      <w:r w:rsidRPr="0041053F">
        <w:rPr>
          <w:rFonts w:ascii="Narkisim" w:hAnsi="Narkisim" w:cs="Narkisim"/>
          <w:rtl/>
        </w:rPr>
        <w:t xml:space="preserve"> כת' דפרחה זיקת יבמין, אלא דמיבעי אי מאמר עושה נישואין במקום חופה. דדרשי' כיון שלקחה בכסף נעשית כאשתו להיות במקום חופה.</w:t>
      </w:r>
    </w:p>
    <w:p w14:paraId="370188F3" w14:textId="77777777" w:rsidR="006074A5" w:rsidRPr="0041053F" w:rsidRDefault="006074A5" w:rsidP="006074A5">
      <w:pPr>
        <w:bidi/>
        <w:rPr>
          <w:rFonts w:ascii="Narkisim" w:hAnsi="Narkisim" w:cs="Narkisim"/>
        </w:rPr>
      </w:pPr>
      <w:r w:rsidRPr="0041053F">
        <w:rPr>
          <w:rFonts w:ascii="Narkisim" w:hAnsi="Narkisim" w:cs="Narkisim"/>
          <w:rtl/>
        </w:rPr>
        <w:t>ו</w:t>
      </w:r>
      <w:r w:rsidRPr="0041053F">
        <w:rPr>
          <w:rFonts w:ascii="Narkisim" w:hAnsi="Narkisim" w:cs="Narkisim"/>
          <w:b/>
          <w:bCs/>
          <w:rtl/>
        </w:rPr>
        <w:t>רש"י</w:t>
      </w:r>
      <w:r w:rsidRPr="0041053F">
        <w:rPr>
          <w:rFonts w:ascii="Narkisim" w:hAnsi="Narkisim" w:cs="Narkisim"/>
          <w:rtl/>
        </w:rPr>
        <w:t xml:space="preserve"> כת' דאם בא עליה בעל כרחך קני, ואי בעי בגט סגי לה. משמע דלצד דפרחה זיקת יבמין, לא קנה בביאה בע"כ. ובעי חליצה. אבל ה</w:t>
      </w:r>
      <w:r w:rsidRPr="0041053F">
        <w:rPr>
          <w:rFonts w:ascii="Narkisim" w:hAnsi="Narkisim" w:cs="Narkisim"/>
          <w:b/>
          <w:bCs/>
          <w:rtl/>
        </w:rPr>
        <w:t>רמב"ן</w:t>
      </w:r>
      <w:r w:rsidRPr="0041053F">
        <w:rPr>
          <w:rFonts w:ascii="Narkisim" w:hAnsi="Narkisim" w:cs="Narkisim"/>
          <w:rtl/>
        </w:rPr>
        <w:t xml:space="preserve"> (לקמן נו) מבואר דהנידון האם קנה להחשב נשואה לו, אבל ודאי קנאה לעיקר מצוות יבום. ואי"צ חליצה</w:t>
      </w:r>
      <w:r w:rsidRPr="0041053F">
        <w:rPr>
          <w:rStyle w:val="ac"/>
          <w:rFonts w:ascii="Narkisim" w:hAnsi="Narkisim" w:cs="Narkisim"/>
          <w:rtl/>
        </w:rPr>
        <w:footnoteReference w:id="1782"/>
      </w:r>
      <w:r w:rsidRPr="0041053F">
        <w:rPr>
          <w:rFonts w:ascii="Narkisim" w:hAnsi="Narkisim" w:cs="Narkisim"/>
          <w:rtl/>
        </w:rPr>
        <w:t>.</w:t>
      </w:r>
    </w:p>
    <w:p w14:paraId="50EF9962" w14:textId="77777777" w:rsidR="006074A5" w:rsidRPr="0041053F" w:rsidRDefault="006074A5" w:rsidP="006074A5">
      <w:pPr>
        <w:bidi/>
        <w:rPr>
          <w:rFonts w:ascii="Narkisim" w:hAnsi="Narkisim" w:cs="Narkisim"/>
        </w:rPr>
      </w:pPr>
      <w:r w:rsidRPr="0041053F">
        <w:rPr>
          <w:rFonts w:ascii="Narkisim" w:hAnsi="Narkisim" w:cs="Narkisim"/>
          <w:u w:val="single"/>
          <w:rtl/>
        </w:rPr>
        <w:t>תוד"ה אלא.</w:t>
      </w:r>
      <w:r w:rsidRPr="0041053F">
        <w:rPr>
          <w:rFonts w:ascii="Narkisim" w:hAnsi="Narkisim" w:cs="Narkisim"/>
          <w:rtl/>
        </w:rPr>
        <w:t xml:space="preserve"> דעבד בה מאמר ובה עליה, דהביאה עושה אותה ככנוסה</w:t>
      </w:r>
      <w:r w:rsidRPr="0041053F">
        <w:rPr>
          <w:rStyle w:val="ac"/>
          <w:rFonts w:ascii="Narkisim" w:hAnsi="Narkisim" w:cs="Narkisim"/>
          <w:rtl/>
        </w:rPr>
        <w:footnoteReference w:id="1783"/>
      </w:r>
      <w:r w:rsidRPr="0041053F">
        <w:rPr>
          <w:rFonts w:ascii="Narkisim" w:hAnsi="Narkisim" w:cs="Narkisim"/>
          <w:rtl/>
        </w:rPr>
        <w:t xml:space="preserve">. </w:t>
      </w:r>
      <w:r w:rsidRPr="0041053F">
        <w:rPr>
          <w:rFonts w:ascii="Narkisim" w:hAnsi="Narkisim" w:cs="Narkisim"/>
          <w:sz w:val="20"/>
          <w:szCs w:val="20"/>
          <w:rtl/>
        </w:rPr>
        <w:t>וב</w:t>
      </w:r>
      <w:r w:rsidRPr="0041053F">
        <w:rPr>
          <w:rFonts w:ascii="Narkisim" w:hAnsi="Narkisim" w:cs="Narkisim"/>
          <w:b/>
          <w:bCs/>
          <w:sz w:val="20"/>
          <w:szCs w:val="20"/>
          <w:rtl/>
        </w:rPr>
        <w:t>תוס' מהר"ם ור"פ</w:t>
      </w:r>
      <w:r w:rsidRPr="0041053F">
        <w:rPr>
          <w:rFonts w:ascii="Narkisim" w:hAnsi="Narkisim" w:cs="Narkisim"/>
          <w:sz w:val="20"/>
          <w:szCs w:val="20"/>
          <w:rtl/>
        </w:rPr>
        <w:t xml:space="preserve"> הוסיף דל"ש לומר דיו כארוסה, דאדרבה ילפי' בק"ו מביאה דקודם מאמר.</w:t>
      </w:r>
    </w:p>
    <w:p w14:paraId="12DC2CE8"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תוס' הרא"ש</w:t>
      </w:r>
      <w:r w:rsidRPr="0041053F">
        <w:rPr>
          <w:rFonts w:ascii="Narkisim" w:hAnsi="Narkisim"/>
          <w:rtl/>
        </w:rPr>
        <w:t xml:space="preserve"> כת' דלענין זה [ע"י מאמר] הוה כנשואה קצת, דמהני בה ביאה בע"כ.</w:t>
      </w:r>
    </w:p>
    <w:p w14:paraId="23B36DC4"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רמ"א</w:t>
      </w:r>
      <w:r w:rsidRPr="0041053F">
        <w:rPr>
          <w:rFonts w:ascii="Narkisim" w:hAnsi="Narkisim"/>
          <w:rtl/>
        </w:rPr>
        <w:t xml:space="preserve"> (קסו ב) פסק דחכמים תקנו שיעשה מאמר, ואח"כ צריכה חופה</w:t>
      </w:r>
      <w:r w:rsidRPr="0041053F">
        <w:rPr>
          <w:rStyle w:val="ac"/>
          <w:rFonts w:ascii="Narkisim" w:hAnsi="Narkisim"/>
          <w:rtl/>
        </w:rPr>
        <w:footnoteReference w:id="1784"/>
      </w:r>
      <w:r w:rsidRPr="0041053F">
        <w:rPr>
          <w:rFonts w:ascii="Narkisim" w:hAnsi="Narkisim"/>
          <w:rtl/>
        </w:rPr>
        <w:t>. וכמו שאר אשה</w:t>
      </w:r>
      <w:r w:rsidRPr="0041053F">
        <w:rPr>
          <w:rStyle w:val="ac"/>
          <w:rFonts w:ascii="Narkisim" w:hAnsi="Narkisim"/>
          <w:rtl/>
        </w:rPr>
        <w:footnoteReference w:id="1785"/>
      </w:r>
      <w:r w:rsidRPr="0041053F">
        <w:rPr>
          <w:rFonts w:ascii="Narkisim" w:hAnsi="Narkisim"/>
          <w:rtl/>
        </w:rPr>
        <w:t>. וה</w:t>
      </w:r>
      <w:r w:rsidRPr="0041053F">
        <w:rPr>
          <w:rFonts w:ascii="Narkisim" w:hAnsi="Narkisim"/>
          <w:b/>
          <w:bCs/>
          <w:rtl/>
        </w:rPr>
        <w:t>גר"א</w:t>
      </w:r>
      <w:r w:rsidRPr="0041053F">
        <w:rPr>
          <w:rFonts w:ascii="Narkisim" w:hAnsi="Narkisim"/>
          <w:rtl/>
        </w:rPr>
        <w:t xml:space="preserve"> (שם ז) ציין מקורו מסוגיין. ושוב הקשה דהכא קאי למ"ד מאמר מדאורייתא [ולכן אמרי' פרחה זיקת יבום], אבל להלכה דהוה דרבנן לא יפקע זיקת יבום [וודאי קנה בע"כ]</w:t>
      </w:r>
      <w:r w:rsidRPr="0041053F">
        <w:rPr>
          <w:rStyle w:val="ac"/>
          <w:rFonts w:ascii="Narkisim" w:hAnsi="Narkisim"/>
          <w:rtl/>
        </w:rPr>
        <w:footnoteReference w:id="1786"/>
      </w:r>
      <w:r w:rsidRPr="0041053F">
        <w:rPr>
          <w:rFonts w:ascii="Narkisim" w:hAnsi="Narkisim"/>
          <w:rtl/>
        </w:rPr>
        <w:t>. וה</w:t>
      </w:r>
      <w:r w:rsidRPr="0041053F">
        <w:rPr>
          <w:rFonts w:ascii="Narkisim" w:hAnsi="Narkisim"/>
          <w:b/>
          <w:bCs/>
          <w:rtl/>
        </w:rPr>
        <w:t>אחרונים</w:t>
      </w:r>
      <w:r w:rsidRPr="0041053F">
        <w:rPr>
          <w:rFonts w:ascii="Narkisim" w:hAnsi="Narkisim"/>
          <w:rtl/>
        </w:rPr>
        <w:t xml:space="preserve"> תי' דמ"מ מדרבנן סדר המצוה ע"י חופה, אבל אם בא עליה בלא חופה ודאי קנאה. (וע"ע לקמן נב.).</w:t>
      </w:r>
    </w:p>
    <w:p w14:paraId="3586B57F" w14:textId="77777777" w:rsidR="006074A5" w:rsidRPr="0041053F" w:rsidRDefault="006074A5" w:rsidP="006074A5">
      <w:pPr>
        <w:bidi/>
        <w:rPr>
          <w:rFonts w:ascii="Narkisim" w:hAnsi="Narkisim" w:cs="Narkisim"/>
        </w:rPr>
      </w:pPr>
      <w:r w:rsidRPr="0041053F">
        <w:rPr>
          <w:rFonts w:ascii="Narkisim" w:hAnsi="Narkisim" w:cs="Narkisim"/>
          <w:u w:val="single"/>
          <w:rtl/>
        </w:rPr>
        <w:t>בשלמא ר' עקיבא סבר אין זיקה.</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דתהוי ככנוסה. ו</w:t>
      </w:r>
      <w:r w:rsidRPr="0041053F">
        <w:rPr>
          <w:rFonts w:ascii="Narkisim" w:hAnsi="Narkisim" w:cs="Narkisim"/>
          <w:b/>
          <w:bCs/>
          <w:rtl/>
        </w:rPr>
        <w:t>רש"י</w:t>
      </w:r>
      <w:r w:rsidRPr="0041053F">
        <w:rPr>
          <w:rFonts w:ascii="Narkisim" w:hAnsi="Narkisim" w:cs="Narkisim"/>
          <w:rtl/>
        </w:rPr>
        <w:t xml:space="preserve"> (לעיל יז:) הביא מזה דר"ע הוא ס"ל דאין זיקה [לאסור בקרובותיה] אפי' בחד יבם</w:t>
      </w:r>
      <w:r w:rsidRPr="0041053F">
        <w:rPr>
          <w:rStyle w:val="ac"/>
          <w:rFonts w:ascii="Narkisim" w:hAnsi="Narkisim" w:cs="Narkisim"/>
          <w:rtl/>
        </w:rPr>
        <w:footnoteReference w:id="1787"/>
      </w:r>
      <w:r w:rsidRPr="0041053F">
        <w:rPr>
          <w:rFonts w:ascii="Narkisim" w:hAnsi="Narkisim" w:cs="Narkisim"/>
          <w:rtl/>
        </w:rPr>
        <w:t xml:space="preserve">. </w:t>
      </w:r>
      <w:r w:rsidRPr="0041053F">
        <w:rPr>
          <w:rFonts w:ascii="Narkisim" w:hAnsi="Narkisim" w:cs="Narkisim"/>
          <w:sz w:val="20"/>
          <w:szCs w:val="20"/>
          <w:rtl/>
        </w:rPr>
        <w:t>ו</w:t>
      </w:r>
      <w:r w:rsidRPr="0041053F">
        <w:rPr>
          <w:rFonts w:ascii="Narkisim" w:hAnsi="Narkisim" w:cs="Narkisim"/>
          <w:b/>
          <w:bCs/>
          <w:sz w:val="20"/>
          <w:szCs w:val="20"/>
          <w:rtl/>
        </w:rPr>
        <w:t>תוס'</w:t>
      </w:r>
      <w:r w:rsidRPr="0041053F">
        <w:rPr>
          <w:rFonts w:ascii="Narkisim" w:hAnsi="Narkisim" w:cs="Narkisim"/>
          <w:sz w:val="20"/>
          <w:szCs w:val="20"/>
          <w:rtl/>
        </w:rPr>
        <w:t xml:space="preserve"> (סוד"ה כגון) הק' דלמסקנא סברת ר' עקיבא דקנאה, ואפ"ה גרע מארוסה ואינו מפר.</w:t>
      </w:r>
    </w:p>
    <w:p w14:paraId="0BED92F2"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תוס' הרא"ש</w:t>
      </w:r>
      <w:r w:rsidRPr="0041053F">
        <w:rPr>
          <w:rFonts w:ascii="Narkisim" w:hAnsi="Narkisim"/>
          <w:rtl/>
        </w:rPr>
        <w:t xml:space="preserve"> הק' [ע"ד רש"י] דע"כ ר"א ור"י דס"ל יש זיקה היינו מדאורייתא, דסברי זיקה ככנוסה מדאורייתא. דל"מ זיקה דרבנן להפרת נדרים</w:t>
      </w:r>
      <w:r w:rsidRPr="0041053F">
        <w:rPr>
          <w:rStyle w:val="ac"/>
          <w:rFonts w:ascii="Narkisim" w:hAnsi="Narkisim"/>
          <w:rtl/>
        </w:rPr>
        <w:footnoteReference w:id="1788"/>
      </w:r>
      <w:r w:rsidRPr="0041053F">
        <w:rPr>
          <w:rFonts w:ascii="Narkisim" w:hAnsi="Narkisim"/>
          <w:rtl/>
        </w:rPr>
        <w:t>. ואהא פליג ר"ע, אבל אפשר דס"ל דמדרבנן יש זיקה.</w:t>
      </w:r>
    </w:p>
    <w:p w14:paraId="342AFE2B" w14:textId="77777777" w:rsidR="006074A5" w:rsidRPr="0041053F" w:rsidRDefault="006074A5" w:rsidP="006074A5">
      <w:pPr>
        <w:pStyle w:val="a8"/>
        <w:bidi/>
        <w:rPr>
          <w:rFonts w:ascii="Narkisim" w:hAnsi="Narkisim"/>
        </w:rPr>
      </w:pPr>
      <w:r w:rsidRPr="0041053F">
        <w:rPr>
          <w:rFonts w:ascii="Narkisim" w:hAnsi="Narkisim"/>
          <w:rtl/>
        </w:rPr>
        <w:t xml:space="preserve">ובס' </w:t>
      </w:r>
      <w:r w:rsidRPr="0041053F">
        <w:rPr>
          <w:rFonts w:ascii="Narkisim" w:hAnsi="Narkisim"/>
          <w:b/>
          <w:bCs/>
          <w:rtl/>
        </w:rPr>
        <w:t>אהל דוד</w:t>
      </w:r>
      <w:r w:rsidRPr="0041053F">
        <w:rPr>
          <w:rFonts w:ascii="Narkisim" w:hAnsi="Narkisim"/>
          <w:rtl/>
        </w:rPr>
        <w:t xml:space="preserve"> תי' דמהני מדרבנן, משום דנודרת על דעת בעלה [ע' במסקנא], וכמו כל קידושין דרבנן</w:t>
      </w:r>
      <w:r w:rsidRPr="0041053F">
        <w:rPr>
          <w:rStyle w:val="ac"/>
          <w:rFonts w:ascii="Narkisim" w:hAnsi="Narkisim"/>
          <w:rtl/>
        </w:rPr>
        <w:footnoteReference w:id="1789"/>
      </w:r>
      <w:r w:rsidRPr="0041053F">
        <w:rPr>
          <w:rFonts w:ascii="Narkisim" w:hAnsi="Narkisim"/>
          <w:rtl/>
        </w:rPr>
        <w:t>.</w:t>
      </w:r>
    </w:p>
    <w:p w14:paraId="7065908F"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 xml:space="preserve">אחרונים </w:t>
      </w:r>
      <w:r w:rsidRPr="0041053F">
        <w:rPr>
          <w:rFonts w:ascii="Narkisim" w:hAnsi="Narkisim"/>
          <w:rtl/>
        </w:rPr>
        <w:t>תי' דדעת רש"י דלמ"ד יש זיקה, עיקר הזיקה הוה מדאורייתא, ומהני לענין הפרת נדריה. אלא דלא סגי בזה להחשב אחות אשתו</w:t>
      </w:r>
      <w:r w:rsidRPr="0041053F">
        <w:rPr>
          <w:rStyle w:val="ac"/>
          <w:rFonts w:ascii="Narkisim" w:hAnsi="Narkisim"/>
          <w:rtl/>
        </w:rPr>
        <w:footnoteReference w:id="1790"/>
      </w:r>
      <w:r w:rsidRPr="0041053F">
        <w:rPr>
          <w:rFonts w:ascii="Narkisim" w:hAnsi="Narkisim"/>
          <w:rtl/>
        </w:rPr>
        <w:t>, ובזה תקנו זיקה דרבנן רק למ"ד דיש זיקה מה"ת. ע' מש"כ לעיל יז:].</w:t>
      </w:r>
    </w:p>
    <w:p w14:paraId="0367AF18" w14:textId="77777777" w:rsidR="006074A5" w:rsidRPr="0041053F" w:rsidRDefault="006074A5" w:rsidP="006074A5">
      <w:pPr>
        <w:bidi/>
        <w:rPr>
          <w:rFonts w:ascii="Narkisim" w:hAnsi="Narkisim" w:cs="Narkisim"/>
        </w:rPr>
      </w:pPr>
      <w:r w:rsidRPr="0041053F">
        <w:rPr>
          <w:rFonts w:ascii="Narkisim" w:hAnsi="Narkisim" w:cs="Narkisim"/>
          <w:u w:val="single"/>
          <w:rtl/>
        </w:rPr>
        <w:lastRenderedPageBreak/>
        <w:t>לר' יהושע לחד יש זיקה</w:t>
      </w:r>
      <w:r w:rsidRPr="0041053F">
        <w:rPr>
          <w:rFonts w:ascii="Narkisim" w:hAnsi="Narkisim" w:cs="Narkisim"/>
          <w:rtl/>
        </w:rPr>
        <w:t>. ה</w:t>
      </w:r>
      <w:r w:rsidRPr="0041053F">
        <w:rPr>
          <w:rFonts w:ascii="Narkisim" w:hAnsi="Narkisim" w:cs="Narkisim"/>
          <w:b/>
          <w:bCs/>
          <w:rtl/>
        </w:rPr>
        <w:t>שיטמ"ק</w:t>
      </w:r>
      <w:r w:rsidRPr="0041053F">
        <w:rPr>
          <w:rFonts w:ascii="Narkisim" w:hAnsi="Narkisim" w:cs="Narkisim"/>
          <w:rtl/>
        </w:rPr>
        <w:t xml:space="preserve"> (נדרים עד. בשם רא"ם) הק' האיך זיקה עדיף מאירוסין, דארוס אינו מיפר נדריה אלא בשותפות. ואמרי' (לעיל) דאפי' מאמר לבי"ש לא עדיף מארוסה בעלמא. (ע"ע בסמוך).</w:t>
      </w:r>
    </w:p>
    <w:p w14:paraId="3BB4E9FC"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רא"ם</w:t>
      </w:r>
      <w:r w:rsidRPr="0041053F">
        <w:rPr>
          <w:rFonts w:ascii="Narkisim" w:hAnsi="Narkisim"/>
          <w:rtl/>
        </w:rPr>
        <w:t xml:space="preserve"> תי' דאירוסין עדיף ליורשה וליטמא לה, דבעי שאר בשר וקירוב בשר דארוסה קרוב טפי מיבמה, שאינו רגיל אצלו כלל. אבל לענין הפרת נדרים למ"ד יש זיקה אלים קנין יבם מקנין ארוסה. </w:t>
      </w:r>
      <w:r w:rsidRPr="0041053F">
        <w:rPr>
          <w:rFonts w:ascii="Narkisim" w:hAnsi="Narkisim"/>
          <w:sz w:val="20"/>
          <w:szCs w:val="20"/>
          <w:rtl/>
        </w:rPr>
        <w:t>[וה</w:t>
      </w:r>
      <w:r w:rsidRPr="0041053F">
        <w:rPr>
          <w:rFonts w:ascii="Narkisim" w:hAnsi="Narkisim"/>
          <w:b/>
          <w:bCs/>
          <w:sz w:val="20"/>
          <w:szCs w:val="20"/>
          <w:rtl/>
        </w:rPr>
        <w:t>אחרונים</w:t>
      </w:r>
      <w:r w:rsidRPr="0041053F">
        <w:rPr>
          <w:rFonts w:ascii="Narkisim" w:hAnsi="Narkisim"/>
          <w:sz w:val="20"/>
          <w:szCs w:val="20"/>
          <w:rtl/>
        </w:rPr>
        <w:t xml:space="preserve"> ביארו דלענין קנין האישות מאמר עדיף, אלא דלא מהני להחשיב את האשה כ'מקודשת', לענין גדר הקורבה שע"י קידושין</w:t>
      </w:r>
      <w:r w:rsidRPr="0041053F">
        <w:rPr>
          <w:rStyle w:val="ac"/>
          <w:rFonts w:ascii="Narkisim" w:hAnsi="Narkisim"/>
          <w:sz w:val="20"/>
          <w:szCs w:val="20"/>
          <w:rtl/>
        </w:rPr>
        <w:footnoteReference w:id="1791"/>
      </w:r>
      <w:r w:rsidRPr="0041053F">
        <w:rPr>
          <w:rFonts w:ascii="Narkisim" w:hAnsi="Narkisim"/>
          <w:sz w:val="20"/>
          <w:szCs w:val="20"/>
          <w:rtl/>
        </w:rPr>
        <w:t>].</w:t>
      </w:r>
    </w:p>
    <w:p w14:paraId="26814037"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ר"ן</w:t>
      </w:r>
      <w:r w:rsidRPr="0041053F">
        <w:rPr>
          <w:rFonts w:ascii="Narkisim" w:hAnsi="Narkisim"/>
          <w:rtl/>
        </w:rPr>
        <w:t xml:space="preserve"> (נדרים שם) כת' דלר' יהושע מיפר נדריה משום זיקה, דס"ל זיקה ככנוסה [כר' אושעיא לעיל יח:</w:t>
      </w:r>
      <w:r w:rsidRPr="0041053F">
        <w:rPr>
          <w:rStyle w:val="ac"/>
          <w:rFonts w:ascii="Narkisim" w:hAnsi="Narkisim"/>
          <w:rtl/>
        </w:rPr>
        <w:footnoteReference w:id="1792"/>
      </w:r>
      <w:r w:rsidRPr="0041053F">
        <w:rPr>
          <w:rFonts w:ascii="Narkisim" w:hAnsi="Narkisim"/>
          <w:rtl/>
        </w:rPr>
        <w:t>]. ומש"ה אלימא זיקה טפי מאירוסין</w:t>
      </w:r>
      <w:r w:rsidRPr="0041053F">
        <w:rPr>
          <w:rStyle w:val="ac"/>
          <w:rFonts w:ascii="Narkisim" w:hAnsi="Narkisim"/>
          <w:rtl/>
        </w:rPr>
        <w:footnoteReference w:id="1793"/>
      </w:r>
      <w:r w:rsidRPr="0041053F">
        <w:rPr>
          <w:rFonts w:ascii="Narkisim" w:hAnsi="Narkisim"/>
          <w:rtl/>
        </w:rPr>
        <w:t>, והויא ככנוסה ויכול להפר לבד.</w:t>
      </w:r>
    </w:p>
    <w:p w14:paraId="47894563"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הביאו ד</w:t>
      </w:r>
      <w:r w:rsidRPr="0041053F">
        <w:rPr>
          <w:rFonts w:ascii="Narkisim" w:hAnsi="Narkisim"/>
          <w:b/>
          <w:bCs/>
          <w:rtl/>
        </w:rPr>
        <w:t>רש"י</w:t>
      </w:r>
      <w:r w:rsidRPr="0041053F">
        <w:rPr>
          <w:rFonts w:ascii="Narkisim" w:hAnsi="Narkisim"/>
          <w:rtl/>
        </w:rPr>
        <w:t xml:space="preserve"> (לעיל יז: ועוד ראשונים) נקט גבי איסור קרובת זקוקתו הלשון זיקה 'ככנוסה' [ואף לולי דברי ר' אושעיא דהוה ככנוסה לגמרי ומהני לפטור צרתה]. וי"ל דמ"ד בעלמא דיש זיקה והוה מקצת אישות, הוה מקצת ככנוסה ונשואה. [וסגי בזה להפרת נדרים לבד. ועוד יל"פ ע"ד הרא"ם].</w:t>
      </w:r>
    </w:p>
    <w:p w14:paraId="7837C4C6" w14:textId="77777777" w:rsidR="006074A5" w:rsidRPr="0041053F" w:rsidRDefault="006074A5" w:rsidP="006074A5">
      <w:pPr>
        <w:pStyle w:val="a7"/>
        <w:bidi/>
        <w:rPr>
          <w:rFonts w:ascii="Narkisim" w:hAnsi="Narkisim"/>
        </w:rPr>
      </w:pPr>
      <w:r w:rsidRPr="0041053F">
        <w:rPr>
          <w:rFonts w:ascii="Narkisim" w:hAnsi="Narkisim"/>
          <w:rtl/>
        </w:rPr>
        <w:t>ועוד כת' ה</w:t>
      </w:r>
      <w:r w:rsidRPr="0041053F">
        <w:rPr>
          <w:rFonts w:ascii="Narkisim" w:hAnsi="Narkisim"/>
          <w:b/>
          <w:bCs/>
          <w:rtl/>
        </w:rPr>
        <w:t>ר"ן</w:t>
      </w:r>
      <w:r w:rsidRPr="0041053F">
        <w:rPr>
          <w:rFonts w:ascii="Narkisim" w:hAnsi="Narkisim"/>
          <w:rtl/>
        </w:rPr>
        <w:t xml:space="preserve"> דלר' יהושע מיפר בשותפות.</w:t>
      </w:r>
      <w:r w:rsidRPr="0041053F">
        <w:rPr>
          <w:rFonts w:ascii="Narkisim" w:hAnsi="Narkisim"/>
          <w:sz w:val="20"/>
          <w:szCs w:val="20"/>
          <w:rtl/>
        </w:rPr>
        <w:t xml:space="preserve"> [וכדאי' בהמשך הגמ' שם].</w:t>
      </w:r>
    </w:p>
    <w:p w14:paraId="0E84C9A8" w14:textId="77777777" w:rsidR="006074A5" w:rsidRPr="0041053F" w:rsidRDefault="006074A5" w:rsidP="006074A5">
      <w:pPr>
        <w:bidi/>
        <w:rPr>
          <w:rFonts w:ascii="Narkisim" w:hAnsi="Narkisim" w:cs="Narkisim"/>
        </w:rPr>
      </w:pPr>
      <w:r w:rsidRPr="0041053F">
        <w:rPr>
          <w:rFonts w:ascii="Narkisim" w:hAnsi="Narkisim" w:cs="Narkisim"/>
          <w:u w:val="single"/>
          <w:rtl/>
        </w:rPr>
        <w:t>לתרי אין זיקה.</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ואפי' ב' כא' אין הפרתן הפרה דקלישא זיקתן. אבל בגמ' (נדרים עד.) גרסי' אי יש זיקה אין ברירה. משמע הטעם דהוה ספק. </w:t>
      </w:r>
      <w:r w:rsidRPr="0041053F">
        <w:rPr>
          <w:rFonts w:ascii="Narkisim" w:hAnsi="Narkisim" w:cs="Narkisim"/>
          <w:sz w:val="20"/>
          <w:szCs w:val="20"/>
          <w:rtl/>
        </w:rPr>
        <w:t>[ולעיל יז: משמע דיש זיקה בתרי</w:t>
      </w:r>
      <w:r w:rsidRPr="0041053F">
        <w:rPr>
          <w:rStyle w:val="ac"/>
          <w:rFonts w:ascii="Narkisim" w:hAnsi="Narkisim" w:cs="Narkisim"/>
          <w:sz w:val="20"/>
          <w:szCs w:val="20"/>
          <w:rtl/>
        </w:rPr>
        <w:footnoteReference w:id="1794"/>
      </w:r>
      <w:r w:rsidRPr="0041053F">
        <w:rPr>
          <w:rFonts w:ascii="Narkisim" w:hAnsi="Narkisim" w:cs="Narkisim"/>
          <w:sz w:val="20"/>
          <w:szCs w:val="20"/>
          <w:rtl/>
        </w:rPr>
        <w:t xml:space="preserve"> הוה בתורת ודאי</w:t>
      </w:r>
      <w:r w:rsidRPr="0041053F">
        <w:rPr>
          <w:rStyle w:val="ac"/>
          <w:rFonts w:ascii="Narkisim" w:hAnsi="Narkisim" w:cs="Narkisim"/>
          <w:sz w:val="20"/>
          <w:szCs w:val="20"/>
          <w:rtl/>
        </w:rPr>
        <w:footnoteReference w:id="1795"/>
      </w:r>
      <w:r w:rsidRPr="0041053F">
        <w:rPr>
          <w:rFonts w:ascii="Narkisim" w:hAnsi="Narkisim" w:cs="Narkisim"/>
          <w:sz w:val="20"/>
          <w:szCs w:val="20"/>
          <w:rtl/>
        </w:rPr>
        <w:t>].</w:t>
      </w:r>
      <w:r w:rsidRPr="0041053F">
        <w:rPr>
          <w:rFonts w:ascii="Narkisim" w:hAnsi="Narkisim" w:cs="Narkisim"/>
          <w:rtl/>
        </w:rPr>
        <w:t xml:space="preserve"> וב</w:t>
      </w:r>
      <w:r w:rsidRPr="0041053F">
        <w:rPr>
          <w:rFonts w:ascii="Narkisim" w:hAnsi="Narkisim" w:cs="Narkisim"/>
          <w:b/>
          <w:bCs/>
          <w:rtl/>
        </w:rPr>
        <w:t>משנת ר"א</w:t>
      </w:r>
      <w:r w:rsidRPr="0041053F">
        <w:rPr>
          <w:rFonts w:ascii="Narkisim" w:hAnsi="Narkisim" w:cs="Narkisim"/>
          <w:rtl/>
        </w:rPr>
        <w:t xml:space="preserve"> (טו) העמיד דנח' הסוגיות בטעם דאין זיקה לב', האם הוא משום דקלישא זיקה, או דכיון דיש ב', דין הזיקה תליא בעתיד.</w:t>
      </w:r>
    </w:p>
    <w:p w14:paraId="1738F0E6"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רמב"ן</w:t>
      </w:r>
      <w:r w:rsidRPr="0041053F">
        <w:rPr>
          <w:rFonts w:ascii="Narkisim" w:hAnsi="Narkisim" w:cs="Narkisim"/>
          <w:rtl/>
        </w:rPr>
        <w:t xml:space="preserve"> </w:t>
      </w:r>
      <w:r w:rsidRPr="0041053F">
        <w:rPr>
          <w:rFonts w:ascii="Narkisim" w:hAnsi="Narkisim" w:cs="Narkisim"/>
          <w:szCs w:val="20"/>
          <w:rtl/>
        </w:rPr>
        <w:t>(ושא"ר, וכן הר"ן בנדרים שם)</w:t>
      </w:r>
      <w:r w:rsidRPr="0041053F">
        <w:rPr>
          <w:rFonts w:ascii="Narkisim" w:hAnsi="Narkisim" w:cs="Narkisim"/>
          <w:rtl/>
        </w:rPr>
        <w:t xml:space="preserve"> כת' דמשמע דאף אם יפרו שניהם לא יהא מופר, אלא האי ברירה דמשעה ראשונה צריך לידע על איזה מהם מיפר. דרחמנא אמר אישה, שתהא אשתו ברור שתדור על דעתו</w:t>
      </w:r>
      <w:r w:rsidRPr="0041053F">
        <w:rPr>
          <w:rStyle w:val="ac"/>
          <w:rFonts w:ascii="Narkisim" w:hAnsi="Narkisim" w:cs="Narkisim"/>
          <w:rtl/>
        </w:rPr>
        <w:footnoteReference w:id="1796"/>
      </w:r>
      <w:r w:rsidRPr="0041053F">
        <w:rPr>
          <w:rFonts w:ascii="Narkisim" w:hAnsi="Narkisim" w:cs="Narkisim"/>
          <w:rtl/>
        </w:rPr>
        <w:t>.</w:t>
      </w:r>
    </w:p>
    <w:p w14:paraId="7E7E6A3D" w14:textId="77777777" w:rsidR="006074A5" w:rsidRPr="0041053F" w:rsidRDefault="006074A5" w:rsidP="006074A5">
      <w:pPr>
        <w:bidi/>
        <w:rPr>
          <w:rFonts w:ascii="Narkisim" w:hAnsi="Narkisim" w:cs="Narkisim"/>
        </w:rPr>
      </w:pPr>
      <w:r w:rsidRPr="0041053F">
        <w:rPr>
          <w:rFonts w:ascii="Narkisim" w:hAnsi="Narkisim" w:cs="Narkisim"/>
          <w:u w:val="single"/>
          <w:rtl/>
        </w:rPr>
        <w:t>אלא לר"א וכו' אלא לתרי אמאי.</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נהי דיש זיקה, עכ"פ צריך דשניהם יפרו יחד. </w:t>
      </w:r>
      <w:r w:rsidRPr="0041053F">
        <w:rPr>
          <w:rFonts w:ascii="Narkisim" w:hAnsi="Narkisim" w:cs="Narkisim"/>
          <w:sz w:val="20"/>
          <w:szCs w:val="20"/>
          <w:rtl/>
        </w:rPr>
        <w:t>אבל ה</w:t>
      </w:r>
      <w:r w:rsidRPr="0041053F">
        <w:rPr>
          <w:rFonts w:ascii="Narkisim" w:hAnsi="Narkisim" w:cs="Narkisim"/>
          <w:b/>
          <w:bCs/>
          <w:sz w:val="20"/>
          <w:szCs w:val="20"/>
          <w:rtl/>
        </w:rPr>
        <w:t>רשב"א</w:t>
      </w:r>
      <w:r w:rsidRPr="0041053F">
        <w:rPr>
          <w:rFonts w:ascii="Narkisim" w:hAnsi="Narkisim" w:cs="Narkisim"/>
          <w:sz w:val="20"/>
          <w:szCs w:val="20"/>
          <w:rtl/>
        </w:rPr>
        <w:t xml:space="preserve"> כתב בשם ה</w:t>
      </w:r>
      <w:r w:rsidRPr="0041053F">
        <w:rPr>
          <w:rFonts w:ascii="Narkisim" w:hAnsi="Narkisim" w:cs="Narkisim"/>
          <w:b/>
          <w:bCs/>
          <w:sz w:val="20"/>
          <w:szCs w:val="20"/>
          <w:rtl/>
        </w:rPr>
        <w:t>ראב"ד</w:t>
      </w:r>
      <w:r w:rsidRPr="0041053F">
        <w:rPr>
          <w:rFonts w:ascii="Narkisim" w:hAnsi="Narkisim" w:cs="Narkisim"/>
          <w:sz w:val="20"/>
          <w:szCs w:val="20"/>
          <w:rtl/>
        </w:rPr>
        <w:t xml:space="preserve"> דלא משמע הלשון יפרו בשותפות בין ב' יבמין</w:t>
      </w:r>
      <w:r w:rsidRPr="0041053F">
        <w:rPr>
          <w:rStyle w:val="ac"/>
          <w:rFonts w:ascii="Narkisim" w:hAnsi="Narkisim" w:cs="Narkisim"/>
          <w:sz w:val="20"/>
          <w:szCs w:val="20"/>
          <w:rtl/>
        </w:rPr>
        <w:footnoteReference w:id="1797"/>
      </w:r>
      <w:r w:rsidRPr="0041053F">
        <w:rPr>
          <w:rFonts w:ascii="Narkisim" w:hAnsi="Narkisim" w:cs="Narkisim"/>
          <w:sz w:val="20"/>
          <w:szCs w:val="20"/>
          <w:rtl/>
        </w:rPr>
        <w:t>.</w:t>
      </w:r>
    </w:p>
    <w:p w14:paraId="52BE9953"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 xml:space="preserve">תוס' מהר"ם ור"פ </w:t>
      </w:r>
      <w:r w:rsidRPr="0041053F">
        <w:rPr>
          <w:rFonts w:ascii="Narkisim" w:hAnsi="Narkisim" w:cs="Narkisim"/>
          <w:rtl/>
        </w:rPr>
        <w:t>הק' דכמה תנאים ס"ל דיש זיקה אפי' בב'</w:t>
      </w:r>
      <w:r w:rsidRPr="0041053F">
        <w:rPr>
          <w:rStyle w:val="ac"/>
          <w:rFonts w:ascii="Narkisim" w:hAnsi="Narkisim" w:cs="Narkisim"/>
          <w:rtl/>
        </w:rPr>
        <w:footnoteReference w:id="1798"/>
      </w:r>
      <w:r w:rsidRPr="0041053F">
        <w:rPr>
          <w:rFonts w:ascii="Narkisim" w:hAnsi="Narkisim" w:cs="Narkisim"/>
          <w:rtl/>
        </w:rPr>
        <w:t>. וה</w:t>
      </w:r>
      <w:r w:rsidRPr="0041053F">
        <w:rPr>
          <w:rFonts w:ascii="Narkisim" w:hAnsi="Narkisim" w:cs="Narkisim"/>
          <w:b/>
          <w:bCs/>
          <w:rtl/>
        </w:rPr>
        <w:t>תוס' מהר"ם ור"פ</w:t>
      </w:r>
      <w:r w:rsidRPr="0041053F">
        <w:rPr>
          <w:rFonts w:ascii="Narkisim" w:hAnsi="Narkisim" w:cs="Narkisim"/>
          <w:rtl/>
        </w:rPr>
        <w:t xml:space="preserve"> כתב דאינו יכול להפר כיון דלא נתברר מי הוא בעלה</w:t>
      </w:r>
      <w:r w:rsidRPr="0041053F">
        <w:rPr>
          <w:rFonts w:ascii="Narkisim" w:hAnsi="Narkisim" w:cs="Narkisim"/>
          <w:sz w:val="20"/>
          <w:szCs w:val="20"/>
          <w:rtl/>
        </w:rPr>
        <w:t xml:space="preserve"> [וכסברת הרמב"ן הנ"ל]</w:t>
      </w:r>
      <w:r w:rsidRPr="0041053F">
        <w:rPr>
          <w:rFonts w:ascii="Narkisim" w:hAnsi="Narkisim" w:cs="Narkisim"/>
          <w:rtl/>
        </w:rPr>
        <w:t>, ואין סברא שיחלוק ע"ז ר"א.</w:t>
      </w:r>
    </w:p>
    <w:p w14:paraId="750CE608" w14:textId="77777777" w:rsidR="006074A5" w:rsidRPr="0041053F" w:rsidRDefault="006074A5" w:rsidP="006074A5">
      <w:pPr>
        <w:bidi/>
        <w:rPr>
          <w:rFonts w:ascii="Narkisim" w:hAnsi="Narkisim" w:cs="Narkisim"/>
        </w:rPr>
      </w:pPr>
      <w:r w:rsidRPr="0041053F">
        <w:rPr>
          <w:rFonts w:ascii="Narkisim" w:hAnsi="Narkisim" w:cs="Narkisim"/>
          <w:u w:val="single"/>
          <w:rtl/>
        </w:rPr>
        <w:t>אי אמרת בשלמא נישואין עושה מש"ה מיפר.</w:t>
      </w:r>
      <w:r w:rsidRPr="0041053F">
        <w:rPr>
          <w:rFonts w:ascii="Narkisim" w:hAnsi="Narkisim" w:cs="Narkisim"/>
          <w:rtl/>
        </w:rPr>
        <w:t xml:space="preserve"> ה</w:t>
      </w:r>
      <w:r w:rsidRPr="0041053F">
        <w:rPr>
          <w:rFonts w:ascii="Narkisim" w:hAnsi="Narkisim" w:cs="Narkisim"/>
          <w:b/>
          <w:bCs/>
          <w:rtl/>
        </w:rPr>
        <w:t>רשב"א</w:t>
      </w:r>
      <w:r w:rsidRPr="0041053F">
        <w:rPr>
          <w:rFonts w:ascii="Narkisim" w:hAnsi="Narkisim" w:cs="Narkisim"/>
          <w:rtl/>
        </w:rPr>
        <w:t xml:space="preserve"> (וריטב"א) הקשה דאמרי' לעיל </w:t>
      </w:r>
      <w:r w:rsidRPr="0041053F">
        <w:rPr>
          <w:rFonts w:ascii="Narkisim" w:hAnsi="Narkisim" w:cs="Narkisim"/>
          <w:sz w:val="20"/>
          <w:szCs w:val="20"/>
          <w:rtl/>
        </w:rPr>
        <w:t>[דבין לרבה ובין לאביי]</w:t>
      </w:r>
      <w:r w:rsidRPr="0041053F">
        <w:rPr>
          <w:rFonts w:ascii="Narkisim" w:hAnsi="Narkisim" w:cs="Narkisim"/>
          <w:rtl/>
        </w:rPr>
        <w:t xml:space="preserve"> מאמר גרע מארוסה. ותי' דלאו אביי קאמר אלא תלמודא. ולפי הגמ' כאן עדיפא מארוסה [ולא איפשיטא</w:t>
      </w:r>
      <w:r w:rsidRPr="0041053F">
        <w:rPr>
          <w:rStyle w:val="ac"/>
          <w:rFonts w:ascii="Narkisim" w:hAnsi="Narkisim" w:cs="Narkisim"/>
          <w:rtl/>
        </w:rPr>
        <w:footnoteReference w:id="1799"/>
      </w:r>
      <w:r w:rsidRPr="0041053F">
        <w:rPr>
          <w:rFonts w:ascii="Narkisim" w:hAnsi="Narkisim" w:cs="Narkisim"/>
          <w:rtl/>
        </w:rPr>
        <w:t>].</w:t>
      </w:r>
    </w:p>
    <w:p w14:paraId="0AE1BBCB"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מהרש"ל</w:t>
      </w:r>
      <w:r w:rsidRPr="0041053F">
        <w:rPr>
          <w:rFonts w:ascii="Narkisim" w:hAnsi="Narkisim"/>
          <w:rtl/>
        </w:rPr>
        <w:t xml:space="preserve"> כת' דדוקא לענין הפרת נדרים</w:t>
      </w:r>
      <w:r w:rsidRPr="0041053F">
        <w:rPr>
          <w:rStyle w:val="ac"/>
          <w:rFonts w:ascii="Narkisim" w:hAnsi="Narkisim"/>
          <w:rtl/>
        </w:rPr>
        <w:footnoteReference w:id="1800"/>
      </w:r>
      <w:r w:rsidRPr="0041053F">
        <w:rPr>
          <w:rFonts w:ascii="Narkisim" w:hAnsi="Narkisim"/>
          <w:rtl/>
        </w:rPr>
        <w:t xml:space="preserve"> עדיף מאמר מקידושין. וכ"כ ב</w:t>
      </w:r>
      <w:r w:rsidRPr="0041053F">
        <w:rPr>
          <w:rFonts w:ascii="Narkisim" w:hAnsi="Narkisim"/>
          <w:b/>
          <w:bCs/>
          <w:rtl/>
        </w:rPr>
        <w:t>שיטמ"ק</w:t>
      </w:r>
      <w:r w:rsidRPr="0041053F">
        <w:rPr>
          <w:rFonts w:ascii="Narkisim" w:hAnsi="Narkisim"/>
          <w:rtl/>
        </w:rPr>
        <w:t xml:space="preserve"> (נדרים </w:t>
      </w:r>
      <w:r w:rsidRPr="0041053F">
        <w:rPr>
          <w:rFonts w:ascii="Narkisim" w:hAnsi="Narkisim"/>
          <w:rtl/>
        </w:rPr>
        <w:lastRenderedPageBreak/>
        <w:t xml:space="preserve">הנ"ל) בשם </w:t>
      </w:r>
      <w:r w:rsidRPr="0041053F">
        <w:rPr>
          <w:rFonts w:ascii="Narkisim" w:hAnsi="Narkisim"/>
          <w:b/>
          <w:bCs/>
          <w:rtl/>
        </w:rPr>
        <w:t>רא"ם</w:t>
      </w:r>
      <w:r w:rsidRPr="0041053F">
        <w:rPr>
          <w:rFonts w:ascii="Narkisim" w:hAnsi="Narkisim"/>
          <w:rtl/>
        </w:rPr>
        <w:t xml:space="preserve"> דלענין הפרת נדרים לא כתיב 'שאר' ומהני מאמר, ודוקא לענין ירושה וליטמא אמרי' דל"מ כיון דכתיב שאר</w:t>
      </w:r>
      <w:r w:rsidRPr="0041053F">
        <w:rPr>
          <w:rStyle w:val="ac"/>
          <w:rFonts w:ascii="Narkisim" w:hAnsi="Narkisim"/>
          <w:rtl/>
        </w:rPr>
        <w:footnoteReference w:id="1801"/>
      </w:r>
      <w:r w:rsidRPr="0041053F">
        <w:rPr>
          <w:rFonts w:ascii="Narkisim" w:hAnsi="Narkisim"/>
          <w:rtl/>
        </w:rPr>
        <w:t>.</w:t>
      </w:r>
    </w:p>
    <w:p w14:paraId="10EE0A07"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מהרש"א</w:t>
      </w:r>
      <w:r w:rsidRPr="0041053F">
        <w:rPr>
          <w:rFonts w:ascii="Narkisim" w:hAnsi="Narkisim"/>
          <w:rtl/>
        </w:rPr>
        <w:t xml:space="preserve"> הק' דלפ"ז האיך הגמ' פושטת לענין מסירה לחופה. וה</w:t>
      </w:r>
      <w:r w:rsidRPr="0041053F">
        <w:rPr>
          <w:rFonts w:ascii="Narkisim" w:hAnsi="Narkisim"/>
          <w:b/>
          <w:bCs/>
          <w:rtl/>
        </w:rPr>
        <w:t>מהרש"א</w:t>
      </w:r>
      <w:r w:rsidRPr="0041053F">
        <w:rPr>
          <w:rFonts w:ascii="Narkisim" w:hAnsi="Narkisim"/>
          <w:rtl/>
        </w:rPr>
        <w:t xml:space="preserve"> ביאר דאיירי הכא להפר אחרי שבא עליה בע"כ</w:t>
      </w:r>
      <w:r w:rsidRPr="0041053F">
        <w:rPr>
          <w:rFonts w:ascii="Narkisim" w:hAnsi="Narkisim"/>
          <w:sz w:val="20"/>
          <w:szCs w:val="20"/>
          <w:rtl/>
        </w:rPr>
        <w:t xml:space="preserve"> [וע"ד מש"כ תוד"ה אלא].</w:t>
      </w:r>
      <w:r w:rsidRPr="0041053F">
        <w:rPr>
          <w:rFonts w:ascii="Narkisim" w:hAnsi="Narkisim"/>
          <w:rtl/>
        </w:rPr>
        <w:t xml:space="preserve"> וכ"כ ה</w:t>
      </w:r>
      <w:r w:rsidRPr="0041053F">
        <w:rPr>
          <w:rFonts w:ascii="Narkisim" w:hAnsi="Narkisim"/>
          <w:b/>
          <w:bCs/>
          <w:rtl/>
        </w:rPr>
        <w:t>תוס' הרא"ש</w:t>
      </w:r>
      <w:r w:rsidRPr="0041053F">
        <w:rPr>
          <w:rFonts w:ascii="Narkisim" w:hAnsi="Narkisim"/>
          <w:rtl/>
        </w:rPr>
        <w:t xml:space="preserve"> [בפי' הא'].</w:t>
      </w:r>
    </w:p>
    <w:p w14:paraId="170379A0" w14:textId="77777777" w:rsidR="006074A5" w:rsidRPr="0041053F" w:rsidRDefault="006074A5" w:rsidP="006074A5">
      <w:pPr>
        <w:pStyle w:val="a7"/>
        <w:bidi/>
        <w:rPr>
          <w:rFonts w:ascii="Narkisim" w:hAnsi="Narkisim"/>
        </w:rPr>
      </w:pPr>
      <w:r w:rsidRPr="0041053F">
        <w:rPr>
          <w:rFonts w:ascii="Narkisim" w:hAnsi="Narkisim"/>
          <w:rtl/>
        </w:rPr>
        <w:t>והגמ' תולה בנישואין, דאין צד שע"י הביאה תחשב כארוסה לו</w:t>
      </w:r>
      <w:r w:rsidRPr="0041053F">
        <w:rPr>
          <w:rStyle w:val="ac"/>
          <w:rFonts w:ascii="Narkisim" w:hAnsi="Narkisim"/>
          <w:rtl/>
        </w:rPr>
        <w:footnoteReference w:id="1802"/>
      </w:r>
      <w:r w:rsidRPr="0041053F">
        <w:rPr>
          <w:rFonts w:ascii="Narkisim" w:hAnsi="Narkisim"/>
          <w:rtl/>
        </w:rPr>
        <w:t xml:space="preserve">. </w:t>
      </w:r>
      <w:r w:rsidRPr="0041053F">
        <w:rPr>
          <w:rFonts w:ascii="Narkisim" w:hAnsi="Narkisim"/>
          <w:sz w:val="20"/>
          <w:szCs w:val="20"/>
          <w:rtl/>
        </w:rPr>
        <w:t>וה</w:t>
      </w:r>
      <w:r w:rsidRPr="0041053F">
        <w:rPr>
          <w:rFonts w:ascii="Narkisim" w:hAnsi="Narkisim"/>
          <w:b/>
          <w:bCs/>
          <w:sz w:val="20"/>
          <w:szCs w:val="20"/>
          <w:rtl/>
        </w:rPr>
        <w:t>מהרש"א</w:t>
      </w:r>
      <w:r w:rsidRPr="0041053F">
        <w:rPr>
          <w:rFonts w:ascii="Narkisim" w:hAnsi="Narkisim"/>
          <w:sz w:val="20"/>
          <w:szCs w:val="20"/>
          <w:rtl/>
        </w:rPr>
        <w:t xml:space="preserve"> כת' דלפ"ז יתכן דאף לב"ה דמאמר קונה מדרבנן, מ"מ מהני במקצת, והחשיבו דפרחה זיקת אירוסין.</w:t>
      </w:r>
    </w:p>
    <w:p w14:paraId="7B5DA2BF" w14:textId="77777777" w:rsidR="006074A5" w:rsidRPr="0041053F" w:rsidRDefault="006074A5" w:rsidP="006074A5">
      <w:pPr>
        <w:bidi/>
        <w:rPr>
          <w:rFonts w:ascii="Narkisim" w:hAnsi="Narkisim" w:cs="Narkisim"/>
        </w:rPr>
      </w:pPr>
      <w:r w:rsidRPr="0041053F">
        <w:rPr>
          <w:rFonts w:ascii="Narkisim" w:hAnsi="Narkisim" w:cs="Narkisim"/>
          <w:u w:val="single"/>
          <w:rtl/>
        </w:rPr>
        <w:t>ולר"א דאמר מאמר לבי"ש אינו קונה אלא לדחות בצרה בלבד וכו'</w:t>
      </w:r>
      <w:r w:rsidRPr="0041053F">
        <w:rPr>
          <w:rFonts w:ascii="Narkisim" w:hAnsi="Narkisim" w:cs="Narkisim"/>
          <w:rtl/>
        </w:rPr>
        <w:t>. מבואר בגמ' דלמ"ד קנין גמור ממש, עי"ז חשיב נשואה. ואילו לר"א דקונה לדחות בצרה [וצריכה חליצה], ופ</w:t>
      </w:r>
      <w:r w:rsidRPr="0041053F">
        <w:rPr>
          <w:rFonts w:ascii="Narkisim" w:hAnsi="Narkisim" w:cs="Narkisim"/>
          <w:b/>
          <w:bCs/>
          <w:rtl/>
        </w:rPr>
        <w:t>רש"י</w:t>
      </w:r>
      <w:r w:rsidRPr="0041053F">
        <w:rPr>
          <w:rFonts w:ascii="Narkisim" w:hAnsi="Narkisim" w:cs="Narkisim"/>
          <w:rtl/>
        </w:rPr>
        <w:t xml:space="preserve"> דלא אמרי' דהוה ככנוסה לענין דסגי לה בגט. א"כ אין סברא שיחשב אישות גמורה להפרת נדרים.</w:t>
      </w:r>
    </w:p>
    <w:p w14:paraId="52397F5C" w14:textId="77777777" w:rsidR="006074A5" w:rsidRPr="0041053F" w:rsidRDefault="006074A5" w:rsidP="006074A5">
      <w:pPr>
        <w:pStyle w:val="a8"/>
        <w:bidi/>
        <w:rPr>
          <w:rFonts w:ascii="Narkisim" w:hAnsi="Narkisim"/>
        </w:rPr>
      </w:pPr>
      <w:r w:rsidRPr="0041053F">
        <w:rPr>
          <w:rFonts w:ascii="Narkisim" w:hAnsi="Narkisim"/>
          <w:rtl/>
        </w:rPr>
        <w:t>[ולצד בראשונים דלמ"ד קנין גמור יש חיוב סקילה, א"כ י"ל דהוה אישות ממש. אבל לצד דכו"ע אינו אישות גמור, וכל המח' קנין גמור או לדחות בצרה הוה בגדרי יבום. א"כ צ"ב מנ"ל דמישך זה לזה].</w:t>
      </w:r>
    </w:p>
    <w:p w14:paraId="02D7BD93" w14:textId="77777777" w:rsidR="006074A5" w:rsidRPr="0041053F" w:rsidRDefault="006074A5" w:rsidP="006074A5">
      <w:pPr>
        <w:pStyle w:val="a7"/>
        <w:bidi/>
        <w:rPr>
          <w:rFonts w:ascii="Narkisim" w:hAnsi="Narkisim"/>
        </w:rPr>
      </w:pPr>
      <w:r w:rsidRPr="0041053F">
        <w:rPr>
          <w:rFonts w:ascii="Narkisim" w:hAnsi="Narkisim"/>
          <w:rtl/>
        </w:rPr>
        <w:t>והגמ' דוחה דאף לר"א מהני לענין הפרת נדרים. [והגמ' חזרה בה בסברא זו].</w:t>
      </w:r>
    </w:p>
    <w:p w14:paraId="29905904" w14:textId="77777777" w:rsidR="006074A5" w:rsidRPr="0041053F" w:rsidRDefault="006074A5" w:rsidP="006074A5">
      <w:pPr>
        <w:pStyle w:val="a8"/>
        <w:bidi/>
        <w:rPr>
          <w:rFonts w:ascii="Narkisim" w:hAnsi="Narkisim"/>
        </w:rPr>
      </w:pPr>
      <w:r w:rsidRPr="0041053F">
        <w:rPr>
          <w:rFonts w:ascii="Narkisim" w:hAnsi="Narkisim"/>
          <w:rtl/>
        </w:rPr>
        <w:t>אבל ה</w:t>
      </w:r>
      <w:r w:rsidRPr="0041053F">
        <w:rPr>
          <w:rFonts w:ascii="Narkisim" w:hAnsi="Narkisim"/>
          <w:b/>
          <w:bCs/>
          <w:rtl/>
        </w:rPr>
        <w:t>גמ'</w:t>
      </w:r>
      <w:r w:rsidRPr="0041053F">
        <w:rPr>
          <w:rFonts w:ascii="Narkisim" w:hAnsi="Narkisim"/>
          <w:rtl/>
        </w:rPr>
        <w:t xml:space="preserve"> (נדרים עד.) לא תי' כן, אלא תי' דעמד בדין. [ונשאר כסברת המקשן דלר"א ל"מ מאמר]. וה</w:t>
      </w:r>
      <w:r w:rsidRPr="0041053F">
        <w:rPr>
          <w:rFonts w:ascii="Narkisim" w:hAnsi="Narkisim"/>
          <w:b/>
          <w:bCs/>
          <w:rtl/>
        </w:rPr>
        <w:t>תוס' מכת"י</w:t>
      </w:r>
      <w:r w:rsidRPr="0041053F">
        <w:rPr>
          <w:rFonts w:ascii="Narkisim" w:hAnsi="Narkisim"/>
          <w:rtl/>
        </w:rPr>
        <w:t xml:space="preserve"> (שם) פי' דבסוגיין קאי לענין שיפר בשותפות האב. ולזה סגי בקנין מאמר לר"א. אבל בגמ' נדרים קאי לענין שיפר לחוד, ולסברת ר"א ל"מ מאמר להחשב כנשואה להפר לבד.</w:t>
      </w:r>
    </w:p>
    <w:p w14:paraId="21B3B32B" w14:textId="77777777" w:rsidR="006074A5" w:rsidRPr="0041053F" w:rsidRDefault="006074A5" w:rsidP="006074A5">
      <w:pPr>
        <w:pStyle w:val="aa"/>
        <w:bidi/>
        <w:rPr>
          <w:rFonts w:ascii="Narkisim" w:hAnsi="Narkisim"/>
        </w:rPr>
      </w:pPr>
      <w:r w:rsidRPr="0041053F">
        <w:rPr>
          <w:rFonts w:ascii="Narkisim" w:hAnsi="Narkisim"/>
          <w:u w:val="single"/>
          <w:rtl/>
        </w:rPr>
        <w:t>אלא הב"ע שעמדה בדין</w:t>
      </w:r>
      <w:r w:rsidRPr="0041053F">
        <w:rPr>
          <w:rFonts w:ascii="Narkisim" w:hAnsi="Narkisim"/>
          <w:rtl/>
        </w:rPr>
        <w:t>. פ</w:t>
      </w:r>
      <w:r w:rsidRPr="0041053F">
        <w:rPr>
          <w:rFonts w:ascii="Narkisim" w:hAnsi="Narkisim"/>
          <w:b/>
          <w:bCs/>
          <w:rtl/>
        </w:rPr>
        <w:t>רש"י</w:t>
      </w:r>
      <w:r w:rsidRPr="0041053F">
        <w:rPr>
          <w:rFonts w:ascii="Narkisim" w:hAnsi="Narkisim"/>
          <w:rtl/>
        </w:rPr>
        <w:t xml:space="preserve"> אפי' בלא מאמר, כיון דהיבם חייב במזונותיה מיפר נדריה. [וכ"כ הרא"ש נדרים עד.]. ו</w:t>
      </w:r>
      <w:r w:rsidRPr="0041053F">
        <w:rPr>
          <w:rFonts w:ascii="Narkisim" w:hAnsi="Narkisim"/>
          <w:b/>
          <w:bCs/>
          <w:rtl/>
        </w:rPr>
        <w:t>תוס</w:t>
      </w:r>
      <w:r w:rsidRPr="0041053F">
        <w:rPr>
          <w:rFonts w:ascii="Narkisim" w:hAnsi="Narkisim"/>
          <w:rtl/>
        </w:rPr>
        <w:t>' פי' דוקא אחרי מאמר.</w:t>
      </w:r>
    </w:p>
    <w:p w14:paraId="05ED3265" w14:textId="77777777" w:rsidR="006074A5" w:rsidRPr="0041053F" w:rsidRDefault="006074A5" w:rsidP="006074A5">
      <w:pPr>
        <w:bidi/>
        <w:rPr>
          <w:rFonts w:ascii="Narkisim" w:hAnsi="Narkisim" w:cs="Narkisim"/>
        </w:rPr>
      </w:pPr>
      <w:r w:rsidRPr="0041053F">
        <w:rPr>
          <w:rFonts w:ascii="Narkisim" w:hAnsi="Narkisim" w:cs="Narkisim"/>
          <w:u w:val="single"/>
          <w:rtl/>
        </w:rPr>
        <w:t>וכדרב פנחס וכו' כל הנודרת ע"ד בעלה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על מנת שירצה. ומש"ה אף היכא דנזונת משל יבם, מהשתא הוה בעלה, ונודרת ע"ד. [ואף שאינו בעלה ע"פ דין</w:t>
      </w:r>
      <w:r w:rsidRPr="0041053F">
        <w:rPr>
          <w:rStyle w:val="ac"/>
          <w:rFonts w:ascii="Narkisim" w:hAnsi="Narkisim" w:cs="Narkisim"/>
          <w:rtl/>
        </w:rPr>
        <w:footnoteReference w:id="1803"/>
      </w:r>
      <w:r w:rsidRPr="0041053F">
        <w:rPr>
          <w:rFonts w:ascii="Narkisim" w:hAnsi="Narkisim" w:cs="Narkisim"/>
          <w:rtl/>
        </w:rPr>
        <w:t>]. ובפשוטו</w:t>
      </w:r>
      <w:r w:rsidRPr="0041053F">
        <w:rPr>
          <w:rStyle w:val="ac"/>
          <w:rFonts w:ascii="Narkisim" w:hAnsi="Narkisim" w:cs="Narkisim"/>
          <w:rtl/>
        </w:rPr>
        <w:footnoteReference w:id="1804"/>
      </w:r>
      <w:r w:rsidRPr="0041053F">
        <w:rPr>
          <w:rFonts w:ascii="Narkisim" w:hAnsi="Narkisim" w:cs="Narkisim"/>
          <w:rtl/>
        </w:rPr>
        <w:t xml:space="preserve"> הוה נדר בתנאי בעלמא</w:t>
      </w:r>
      <w:r w:rsidRPr="0041053F">
        <w:rPr>
          <w:rStyle w:val="ac"/>
          <w:rFonts w:ascii="Narkisim" w:hAnsi="Narkisim" w:cs="Narkisim"/>
          <w:rtl/>
        </w:rPr>
        <w:footnoteReference w:id="1805"/>
      </w:r>
      <w:r w:rsidRPr="0041053F">
        <w:rPr>
          <w:rFonts w:ascii="Narkisim" w:hAnsi="Narkisim" w:cs="Narkisim"/>
          <w:rtl/>
        </w:rPr>
        <w:t>.</w:t>
      </w:r>
    </w:p>
    <w:p w14:paraId="77B301E3"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w:t>
      </w:r>
      <w:r w:rsidRPr="0041053F">
        <w:rPr>
          <w:rFonts w:ascii="Narkisim" w:hAnsi="Narkisim"/>
          <w:szCs w:val="20"/>
          <w:rtl/>
        </w:rPr>
        <w:t xml:space="preserve">(וכן תוס' נדה מו: </w:t>
      </w:r>
      <w:r w:rsidRPr="0041053F">
        <w:rPr>
          <w:rFonts w:ascii="Narkisim" w:hAnsi="Narkisim"/>
          <w:sz w:val="20"/>
          <w:szCs w:val="20"/>
          <w:rtl/>
        </w:rPr>
        <w:t>ד"ה וכדרב פנחס</w:t>
      </w:r>
      <w:r w:rsidRPr="0041053F">
        <w:rPr>
          <w:rFonts w:ascii="Narkisim" w:hAnsi="Narkisim"/>
          <w:rtl/>
        </w:rPr>
        <w:t>) הקשה א"כ למה נכתבה פרשת נדרים בתורה [דהוה סברא שנדרה ע"ד שירצה, ואף מי שנודר ע"ד חבירו יפר]</w:t>
      </w:r>
      <w:r w:rsidRPr="0041053F">
        <w:rPr>
          <w:rStyle w:val="ac"/>
          <w:rFonts w:ascii="Narkisim" w:hAnsi="Narkisim"/>
          <w:rtl/>
        </w:rPr>
        <w:footnoteReference w:id="1806"/>
      </w:r>
      <w:r w:rsidRPr="0041053F">
        <w:rPr>
          <w:rFonts w:ascii="Narkisim" w:hAnsi="Narkisim"/>
          <w:rtl/>
        </w:rPr>
        <w:t>. ותי' דבתר דכתיב פרשת נדרים נודרת ע"ד</w:t>
      </w:r>
      <w:r w:rsidRPr="0041053F">
        <w:rPr>
          <w:rStyle w:val="ac"/>
          <w:rFonts w:ascii="Narkisim" w:hAnsi="Narkisim"/>
          <w:rtl/>
        </w:rPr>
        <w:footnoteReference w:id="1807"/>
      </w:r>
      <w:r w:rsidRPr="0041053F">
        <w:rPr>
          <w:rFonts w:ascii="Narkisim" w:hAnsi="Narkisim"/>
          <w:rtl/>
        </w:rPr>
        <w:t>. וה</w:t>
      </w:r>
      <w:r w:rsidRPr="0041053F">
        <w:rPr>
          <w:rFonts w:ascii="Narkisim" w:hAnsi="Narkisim"/>
          <w:b/>
          <w:bCs/>
          <w:rtl/>
        </w:rPr>
        <w:t>תוס'</w:t>
      </w:r>
      <w:r w:rsidRPr="0041053F">
        <w:rPr>
          <w:rFonts w:ascii="Narkisim" w:hAnsi="Narkisim"/>
          <w:rtl/>
        </w:rPr>
        <w:t xml:space="preserve"> (נדה) הוסיף אע"ג דהכא לא הוה נישואין, ולא אמרה תורה שיפר, מ"מ היא סבורה שבידה להפר.</w:t>
      </w:r>
    </w:p>
    <w:p w14:paraId="295C6052"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ר"ן</w:t>
      </w:r>
      <w:r w:rsidRPr="0041053F">
        <w:rPr>
          <w:rFonts w:ascii="Narkisim" w:hAnsi="Narkisim"/>
          <w:rtl/>
        </w:rPr>
        <w:t xml:space="preserve"> (נדרים עג:) כתב דהנודר ע"ד חבירו ל"מ הפרה, דהפרת הבעל הוה גזיה"כ. אלא דכל היכא דנודרת ע"ד חל הך גזיה"כ. </w:t>
      </w:r>
      <w:r w:rsidRPr="0041053F">
        <w:rPr>
          <w:rFonts w:ascii="Narkisim" w:hAnsi="Narkisim"/>
          <w:sz w:val="20"/>
          <w:szCs w:val="20"/>
          <w:rtl/>
        </w:rPr>
        <w:t>וה</w:t>
      </w:r>
      <w:r w:rsidRPr="0041053F">
        <w:rPr>
          <w:rFonts w:ascii="Narkisim" w:hAnsi="Narkisim"/>
          <w:b/>
          <w:bCs/>
          <w:sz w:val="20"/>
          <w:szCs w:val="20"/>
          <w:rtl/>
        </w:rPr>
        <w:t xml:space="preserve">קובה"ע </w:t>
      </w:r>
      <w:r w:rsidRPr="0041053F">
        <w:rPr>
          <w:rFonts w:ascii="Narkisim" w:hAnsi="Narkisim"/>
          <w:sz w:val="20"/>
          <w:szCs w:val="20"/>
          <w:rtl/>
        </w:rPr>
        <w:t>(כו) ביאר דבכלל הגזיה"כ בכל מי שנודרת על דעתו דיכול להפר [ואף דאינה בעלה בדין].</w:t>
      </w:r>
    </w:p>
    <w:p w14:paraId="57E7F132" w14:textId="77777777" w:rsidR="006074A5" w:rsidRPr="0041053F" w:rsidRDefault="006074A5" w:rsidP="006074A5">
      <w:pPr>
        <w:pStyle w:val="3"/>
        <w:bidi/>
        <w:rPr>
          <w:rFonts w:ascii="Narkisim" w:hAnsi="Narkisim"/>
        </w:rPr>
      </w:pPr>
      <w:r w:rsidRPr="0041053F">
        <w:rPr>
          <w:rFonts w:ascii="Narkisim" w:hAnsi="Narkisim"/>
          <w:rtl/>
        </w:rPr>
        <w:t>דף ל.</w:t>
      </w:r>
    </w:p>
    <w:p w14:paraId="781CE8F9" w14:textId="77777777" w:rsidR="006074A5" w:rsidRPr="0041053F" w:rsidRDefault="006074A5" w:rsidP="006074A5">
      <w:pPr>
        <w:pStyle w:val="aa"/>
        <w:bidi/>
        <w:rPr>
          <w:rFonts w:ascii="Narkisim" w:hAnsi="Narkisim"/>
        </w:rPr>
      </w:pPr>
      <w:r w:rsidRPr="0041053F">
        <w:rPr>
          <w:rFonts w:ascii="Narkisim" w:hAnsi="Narkisim"/>
          <w:u w:val="single"/>
          <w:rtl/>
        </w:rPr>
        <w:t>עשה בה שני מאמר ומת, נכרית חולצת וכו'</w:t>
      </w:r>
      <w:r w:rsidRPr="0041053F">
        <w:rPr>
          <w:rFonts w:ascii="Narkisim" w:hAnsi="Narkisim"/>
          <w:rtl/>
        </w:rPr>
        <w:t>. דאחות אשתו נופלת לפניו ע"י קידושי המאמר. וע"י המאמר אשתו הוה צרת ערוה.</w:t>
      </w:r>
    </w:p>
    <w:p w14:paraId="0822822F" w14:textId="77777777" w:rsidR="006074A5" w:rsidRPr="0041053F" w:rsidRDefault="006074A5" w:rsidP="006074A5">
      <w:pPr>
        <w:pStyle w:val="a8"/>
        <w:bidi/>
        <w:rPr>
          <w:rFonts w:ascii="Narkisim" w:hAnsi="Narkisim"/>
        </w:rPr>
      </w:pPr>
      <w:r w:rsidRPr="0041053F">
        <w:rPr>
          <w:rFonts w:ascii="Narkisim" w:hAnsi="Narkisim"/>
          <w:rtl/>
        </w:rPr>
        <w:lastRenderedPageBreak/>
        <w:t>ואף לולי דהוה ערוה, כשהשני עושה מאמר הוה אשת ב' מתים. ואשת השני חולצת משום צרת אשת ב' מתים (כדלקמן לא:). אלא דבצרת ערוה הראשונה אינה נופלת לפניו כלל, ולא שייך בזה אשת ב' מתים. (ע' מהרש"א בסמוך).</w:t>
      </w:r>
    </w:p>
    <w:p w14:paraId="2EE903F1" w14:textId="77777777" w:rsidR="006074A5" w:rsidRPr="0041053F" w:rsidRDefault="006074A5" w:rsidP="006074A5">
      <w:pPr>
        <w:pStyle w:val="aa"/>
        <w:bidi/>
        <w:rPr>
          <w:rFonts w:ascii="Narkisim" w:hAnsi="Narkisim"/>
        </w:rPr>
      </w:pPr>
      <w:r w:rsidRPr="0041053F">
        <w:rPr>
          <w:rFonts w:ascii="Narkisim" w:hAnsi="Narkisim"/>
          <w:u w:val="single"/>
          <w:rtl/>
        </w:rPr>
        <w:t>עשה בה מאמר ומת, נכרית חולצת וכו'</w:t>
      </w:r>
      <w:r w:rsidRPr="0041053F">
        <w:rPr>
          <w:rFonts w:ascii="Narkisim" w:hAnsi="Narkisim"/>
          <w:rtl/>
        </w:rPr>
        <w:t>. ה</w:t>
      </w:r>
      <w:r w:rsidRPr="0041053F">
        <w:rPr>
          <w:rFonts w:ascii="Narkisim" w:hAnsi="Narkisim"/>
          <w:b/>
          <w:bCs/>
          <w:rtl/>
        </w:rPr>
        <w:t>אחרונים</w:t>
      </w:r>
      <w:r w:rsidRPr="0041053F">
        <w:rPr>
          <w:rFonts w:ascii="Narkisim" w:hAnsi="Narkisim"/>
          <w:rtl/>
        </w:rPr>
        <w:t xml:space="preserve"> הקשו דנימא דע"י שמת פקע מאמר דידיה, וכדאי' (לקמן לב.) היכא שנותן גט למאמרו. ועי"ש.</w:t>
      </w:r>
    </w:p>
    <w:p w14:paraId="3C48F73D" w14:textId="77777777" w:rsidR="006074A5" w:rsidRPr="0041053F" w:rsidRDefault="006074A5" w:rsidP="006074A5">
      <w:pPr>
        <w:bidi/>
        <w:rPr>
          <w:rFonts w:ascii="Narkisim" w:hAnsi="Narkisim" w:cs="Narkisim"/>
        </w:rPr>
      </w:pPr>
      <w:r w:rsidRPr="0041053F">
        <w:rPr>
          <w:rFonts w:ascii="Narkisim" w:hAnsi="Narkisim" w:cs="Narkisim"/>
          <w:u w:val="single"/>
          <w:rtl/>
        </w:rPr>
        <w:t>אמר רב נחמן זאת אומרת אין זיקה.</w:t>
      </w:r>
      <w:r w:rsidRPr="0041053F">
        <w:rPr>
          <w:rFonts w:ascii="Narkisim" w:hAnsi="Narkisim" w:cs="Narkisim"/>
          <w:rtl/>
        </w:rPr>
        <w:t xml:space="preserve"> אבל למ"ד יש זיקה אפי' לא עבד מאמר, דע"י הזיקה הוה צרת ערוה.</w:t>
      </w:r>
      <w:r w:rsidRPr="0041053F">
        <w:rPr>
          <w:rFonts w:ascii="Narkisim" w:hAnsi="Narkisim" w:cs="Narkisim"/>
          <w:sz w:val="20"/>
          <w:szCs w:val="20"/>
          <w:rtl/>
        </w:rPr>
        <w:t xml:space="preserve"> והגמ' בסוף העמ' דוחה דה"ה בלא מאמר. וכן איתא (לעיל יח.) לגבי צרת אשת אחיו שלא מעולמו בזיקה.</w:t>
      </w:r>
    </w:p>
    <w:p w14:paraId="5641ABF6"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רמב"ם</w:t>
      </w:r>
      <w:r w:rsidRPr="0041053F">
        <w:rPr>
          <w:rFonts w:ascii="Narkisim" w:hAnsi="Narkisim"/>
          <w:rtl/>
        </w:rPr>
        <w:t xml:space="preserve"> (ז ז, וכן ו יח) נקט דעשה מאמר, ואף דקי"ל יש זיקה. וה</w:t>
      </w:r>
      <w:r w:rsidRPr="0041053F">
        <w:rPr>
          <w:rFonts w:ascii="Narkisim" w:hAnsi="Narkisim"/>
          <w:b/>
          <w:bCs/>
          <w:rtl/>
        </w:rPr>
        <w:t>טור</w:t>
      </w:r>
      <w:r w:rsidRPr="0041053F">
        <w:rPr>
          <w:rFonts w:ascii="Narkisim" w:hAnsi="Narkisim"/>
          <w:rtl/>
        </w:rPr>
        <w:t xml:space="preserve"> (קעה ו, וכן קעג יב) הביא דדעת הרמב"ם דדוקא ע"י המאמר</w:t>
      </w:r>
      <w:r w:rsidRPr="0041053F">
        <w:rPr>
          <w:rStyle w:val="ac"/>
          <w:rFonts w:ascii="Narkisim" w:hAnsi="Narkisim"/>
          <w:rtl/>
        </w:rPr>
        <w:footnoteReference w:id="1808"/>
      </w:r>
      <w:r w:rsidRPr="0041053F">
        <w:rPr>
          <w:rFonts w:ascii="Narkisim" w:hAnsi="Narkisim"/>
          <w:rtl/>
        </w:rPr>
        <w:t>. אבל ה</w:t>
      </w:r>
      <w:r w:rsidRPr="0041053F">
        <w:rPr>
          <w:rFonts w:ascii="Narkisim" w:hAnsi="Narkisim"/>
          <w:b/>
          <w:bCs/>
          <w:rtl/>
        </w:rPr>
        <w:t>כס"מ</w:t>
      </w:r>
      <w:r w:rsidRPr="0041053F">
        <w:rPr>
          <w:rFonts w:ascii="Narkisim" w:hAnsi="Narkisim"/>
          <w:rtl/>
        </w:rPr>
        <w:t xml:space="preserve"> (ו י וב"י קעג) כת' דהרמב"ם סמך על הגמ' דאע"ג דלא עשה מאמר</w:t>
      </w:r>
      <w:r w:rsidRPr="0041053F">
        <w:rPr>
          <w:rStyle w:val="ac"/>
          <w:rFonts w:ascii="Narkisim" w:hAnsi="Narkisim"/>
          <w:rtl/>
        </w:rPr>
        <w:footnoteReference w:id="1809"/>
      </w:r>
      <w:r w:rsidRPr="0041053F">
        <w:rPr>
          <w:rFonts w:ascii="Narkisim" w:hAnsi="Narkisim"/>
          <w:rtl/>
        </w:rPr>
        <w:t>.</w:t>
      </w:r>
    </w:p>
    <w:p w14:paraId="306EDD2D"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כת' </w:t>
      </w:r>
      <w:r w:rsidRPr="0041053F">
        <w:rPr>
          <w:rFonts w:ascii="Narkisim" w:hAnsi="Narkisim"/>
          <w:sz w:val="20"/>
          <w:szCs w:val="20"/>
          <w:rtl/>
        </w:rPr>
        <w:t xml:space="preserve">[ליישב לדעת הטור] </w:t>
      </w:r>
      <w:r w:rsidRPr="0041053F">
        <w:rPr>
          <w:rFonts w:ascii="Narkisim" w:hAnsi="Narkisim"/>
          <w:rtl/>
        </w:rPr>
        <w:t>דהרמב"ם ס"ל דהכא בעינן דוקא מאמר, דכיון דמת פקע הזיקה שלו</w:t>
      </w:r>
      <w:r w:rsidRPr="0041053F">
        <w:rPr>
          <w:rStyle w:val="ac"/>
          <w:rFonts w:ascii="Narkisim" w:hAnsi="Narkisim"/>
          <w:rtl/>
        </w:rPr>
        <w:footnoteReference w:id="1810"/>
      </w:r>
      <w:r w:rsidRPr="0041053F">
        <w:rPr>
          <w:rFonts w:ascii="Narkisim" w:hAnsi="Narkisim"/>
          <w:rtl/>
        </w:rPr>
        <w:t xml:space="preserve">, ונופלת רק מחמת זיקת הראשון. </w:t>
      </w:r>
      <w:r w:rsidRPr="0041053F">
        <w:rPr>
          <w:rFonts w:ascii="Narkisim" w:hAnsi="Narkisim"/>
          <w:sz w:val="20"/>
          <w:szCs w:val="20"/>
          <w:rtl/>
        </w:rPr>
        <w:t>[וצ"ל דהרמב"ם גרס באופ"א כאן, או דס"ל דהגמ' בסוף העמ' פליגא</w:t>
      </w:r>
      <w:r w:rsidRPr="0041053F">
        <w:rPr>
          <w:rFonts w:ascii="Narkisim" w:hAnsi="Narkisim"/>
          <w:rtl/>
        </w:rPr>
        <w:t>].</w:t>
      </w:r>
    </w:p>
    <w:p w14:paraId="2827D4E6"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w:t>
      </w:r>
      <w:r w:rsidRPr="0041053F">
        <w:rPr>
          <w:rFonts w:ascii="Narkisim" w:hAnsi="Narkisim"/>
          <w:sz w:val="20"/>
          <w:szCs w:val="20"/>
          <w:rtl/>
        </w:rPr>
        <w:t>(קו' זיקה לג)</w:t>
      </w:r>
      <w:r w:rsidRPr="0041053F">
        <w:rPr>
          <w:rFonts w:ascii="Narkisim" w:hAnsi="Narkisim"/>
          <w:rtl/>
        </w:rPr>
        <w:t xml:space="preserve"> כת' דדעת הרמב"ם לחלק בין היכא דהערוה היא אשה גמורה, שאוסרת את צרתה בזיקה, אבל הכא דהערוה הוה צרה רק במאמר אינה אוסרתו [וע"פ הצריכותא דהגמ' בסמוך. עי"ש].</w:t>
      </w:r>
    </w:p>
    <w:p w14:paraId="1B1F5552" w14:textId="77777777" w:rsidR="006074A5" w:rsidRPr="0041053F" w:rsidRDefault="006074A5" w:rsidP="006074A5">
      <w:pPr>
        <w:pStyle w:val="aa"/>
        <w:bidi/>
        <w:rPr>
          <w:rFonts w:ascii="Narkisim" w:hAnsi="Narkisim"/>
        </w:rPr>
      </w:pPr>
      <w:r w:rsidRPr="0041053F">
        <w:rPr>
          <w:rFonts w:ascii="Narkisim" w:hAnsi="Narkisim"/>
          <w:u w:val="single"/>
          <w:rtl/>
        </w:rPr>
        <w:t>תוד"ה אמר רב נחמן ז"א אין זיקה</w:t>
      </w:r>
      <w:r w:rsidRPr="0041053F">
        <w:rPr>
          <w:rFonts w:ascii="Narkisim" w:hAnsi="Narkisim"/>
          <w:rtl/>
        </w:rPr>
        <w:t>. תימה שלא דקדק רב נחמן על מתני' דר"פ כיצד (לעיל יז.). דגבי אשת אחיו שלא בעולמו נקטו עשה מאמר ומת, חולצת. משמע דלולי מאמר מתייבמת. אף דהוה צרה ע"י זיקה. וכה"ק הגמ' (לעיל יח.), ותי' דה"ה אע"ג דלא עבד מאמר, ומאמר לאפוקי מבי"ש. וכן תי' רב אשי (כאן בסוף העמ') אמתני' דהכא. ולכאו' כוונת התוס' להק' דרב נחמן (כאן) לא ס"ל הכי, א"כ הו"ל להק' אמתני' דלעיל.</w:t>
      </w:r>
    </w:p>
    <w:p w14:paraId="1C18F57F" w14:textId="77777777" w:rsidR="006074A5" w:rsidRPr="0041053F" w:rsidRDefault="006074A5" w:rsidP="006074A5">
      <w:pPr>
        <w:pStyle w:val="a8"/>
        <w:bidi/>
        <w:rPr>
          <w:rFonts w:ascii="Narkisim" w:hAnsi="Narkisim"/>
        </w:rPr>
      </w:pPr>
      <w:r w:rsidRPr="0041053F">
        <w:rPr>
          <w:rFonts w:ascii="Narkisim" w:hAnsi="Narkisim"/>
          <w:rtl/>
        </w:rPr>
        <w:t>ו</w:t>
      </w:r>
      <w:r w:rsidRPr="0041053F">
        <w:rPr>
          <w:rFonts w:ascii="Narkisim" w:hAnsi="Narkisim"/>
          <w:b/>
          <w:bCs/>
          <w:rtl/>
        </w:rPr>
        <w:t>רע"א</w:t>
      </w:r>
      <w:r w:rsidRPr="0041053F">
        <w:rPr>
          <w:rFonts w:ascii="Narkisim" w:hAnsi="Narkisim"/>
          <w:rtl/>
        </w:rPr>
        <w:t xml:space="preserve"> ציין ד</w:t>
      </w:r>
      <w:r w:rsidRPr="0041053F">
        <w:rPr>
          <w:rFonts w:ascii="Narkisim" w:hAnsi="Narkisim"/>
          <w:b/>
          <w:bCs/>
          <w:rtl/>
        </w:rPr>
        <w:t>תוס</w:t>
      </w:r>
      <w:r w:rsidRPr="0041053F">
        <w:rPr>
          <w:rFonts w:ascii="Narkisim" w:hAnsi="Narkisim"/>
          <w:rtl/>
        </w:rPr>
        <w:t>' (לעיל יח. ד"ה והאי) דנו אמאי איצטריך ב' משניות לאפוקי מבי"ש. ועפ"ז י"ל דרב נחמן תי' מתני' דלעיל לאפוקי מבי"ש. אלא דהק' אמאי איצטריך ב' משניות לאפוקי מבי"ש. וע"כ איצטריך לגופה, דדוקא עבד מאמר.</w:t>
      </w:r>
    </w:p>
    <w:p w14:paraId="048EC04A" w14:textId="77777777" w:rsidR="006074A5" w:rsidRPr="0041053F" w:rsidRDefault="006074A5" w:rsidP="006074A5">
      <w:pPr>
        <w:bidi/>
        <w:rPr>
          <w:rFonts w:ascii="Narkisim" w:hAnsi="Narkisim" w:cs="Narkisim"/>
        </w:rPr>
      </w:pPr>
      <w:r w:rsidRPr="0041053F">
        <w:rPr>
          <w:rFonts w:ascii="Narkisim" w:hAnsi="Narkisim" w:cs="Narkisim"/>
          <w:u w:val="single"/>
          <w:rtl/>
        </w:rPr>
        <w:t>[משנה הב'] מת נשוי נכרית וכו' עשה בה מאמר ומת, נכרית חולצת.</w:t>
      </w:r>
      <w:r w:rsidRPr="0041053F">
        <w:rPr>
          <w:rFonts w:ascii="Narkisim" w:hAnsi="Narkisim" w:cs="Narkisim"/>
          <w:rtl/>
        </w:rPr>
        <w:t xml:space="preserve"> דע"י המאמר הוה צרה של הערוה. וה</w:t>
      </w:r>
      <w:r w:rsidRPr="0041053F">
        <w:rPr>
          <w:rFonts w:ascii="Narkisim" w:hAnsi="Narkisim" w:cs="Narkisim"/>
          <w:b/>
          <w:bCs/>
          <w:rtl/>
        </w:rPr>
        <w:t>מהרש"א</w:t>
      </w:r>
      <w:r w:rsidRPr="0041053F">
        <w:rPr>
          <w:rFonts w:ascii="Narkisim" w:hAnsi="Narkisim" w:cs="Narkisim"/>
          <w:rtl/>
        </w:rPr>
        <w:t xml:space="preserve"> הק' דבלאו איסור אחיות, אסורה משום אשת ב' מתים, כיון דעשה בה מאמר. וצ"ע. </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כתבו דל"ש כאן אשת ב' מתים, כיון דאינה זקוקה מחמת האח השני דהוה צרת ערוה. ואילו אמרי' דצרה במאמר אינו צרה, תתייבם רק מחמת ראשונה</w:t>
      </w:r>
      <w:r w:rsidRPr="0041053F">
        <w:rPr>
          <w:rStyle w:val="ac"/>
          <w:rFonts w:ascii="Narkisim" w:hAnsi="Narkisim" w:cs="Narkisim"/>
          <w:sz w:val="20"/>
          <w:szCs w:val="20"/>
          <w:rtl/>
        </w:rPr>
        <w:footnoteReference w:id="1811"/>
      </w:r>
      <w:r w:rsidRPr="0041053F">
        <w:rPr>
          <w:rFonts w:ascii="Narkisim" w:hAnsi="Narkisim" w:cs="Narkisim"/>
          <w:sz w:val="20"/>
          <w:szCs w:val="20"/>
          <w:rtl/>
        </w:rPr>
        <w:t>. ע' רש"ש].</w:t>
      </w:r>
    </w:p>
    <w:p w14:paraId="73737E5E"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קר"א</w:t>
      </w:r>
      <w:r w:rsidRPr="0041053F">
        <w:rPr>
          <w:rFonts w:ascii="Narkisim" w:hAnsi="Narkisim" w:cs="Narkisim"/>
          <w:rtl/>
        </w:rPr>
        <w:t xml:space="preserve"> הביא מה</w:t>
      </w:r>
      <w:r w:rsidRPr="0041053F">
        <w:rPr>
          <w:rFonts w:ascii="Narkisim" w:hAnsi="Narkisim" w:cs="Narkisim"/>
          <w:b/>
          <w:bCs/>
          <w:rtl/>
        </w:rPr>
        <w:t>ירושלמי</w:t>
      </w:r>
      <w:r w:rsidRPr="0041053F">
        <w:rPr>
          <w:rFonts w:ascii="Narkisim" w:hAnsi="Narkisim" w:cs="Narkisim"/>
          <w:rtl/>
        </w:rPr>
        <w:t xml:space="preserve"> דהך משנה קאי אפי' לר' שמעון (לעיל יט. ע' לקמן לא:). ואף דר"ש ס"ל דע"י מאמר הוה ספק אי קנה קנין גמור</w:t>
      </w:r>
      <w:r w:rsidRPr="0041053F">
        <w:rPr>
          <w:rStyle w:val="ac"/>
          <w:rFonts w:ascii="Narkisim" w:hAnsi="Narkisim" w:cs="Narkisim"/>
          <w:rtl/>
        </w:rPr>
        <w:footnoteReference w:id="1812"/>
      </w:r>
      <w:r w:rsidRPr="0041053F">
        <w:rPr>
          <w:rFonts w:ascii="Narkisim" w:hAnsi="Narkisim" w:cs="Narkisim"/>
          <w:rtl/>
        </w:rPr>
        <w:t>, אפ"ה ספק קונה, והוה ספק צרת ערוה.</w:t>
      </w:r>
    </w:p>
    <w:p w14:paraId="30C3D1CA" w14:textId="77777777" w:rsidR="006074A5" w:rsidRPr="0041053F" w:rsidRDefault="006074A5" w:rsidP="006074A5">
      <w:pPr>
        <w:pStyle w:val="aa"/>
        <w:bidi/>
        <w:rPr>
          <w:rFonts w:ascii="Narkisim" w:hAnsi="Narkisim"/>
        </w:rPr>
      </w:pPr>
      <w:r w:rsidRPr="0041053F">
        <w:rPr>
          <w:rFonts w:ascii="Narkisim" w:hAnsi="Narkisim"/>
          <w:u w:val="single"/>
          <w:rtl/>
        </w:rPr>
        <w:t>שם. חולצת ולא מתייבמת</w:t>
      </w:r>
      <w:r w:rsidRPr="0041053F">
        <w:rPr>
          <w:rFonts w:ascii="Narkisim" w:hAnsi="Narkisim"/>
          <w:rtl/>
        </w:rPr>
        <w:t>. יש שהעירו דהנכרית זקוקה לו מחמת אח הראשון, ונהי שחל עליה שם צרת ערוה, ופטורה ואינה מתייבמת מחמת שני. מ"מ הזיקה מחמת הראשון קיימת.</w:t>
      </w:r>
    </w:p>
    <w:p w14:paraId="6353ECC0" w14:textId="77777777" w:rsidR="006074A5" w:rsidRPr="0041053F" w:rsidRDefault="006074A5" w:rsidP="006074A5">
      <w:pPr>
        <w:pStyle w:val="a8"/>
        <w:bidi/>
        <w:rPr>
          <w:rFonts w:ascii="Narkisim" w:hAnsi="Narkisim"/>
        </w:rPr>
      </w:pPr>
      <w:r w:rsidRPr="0041053F">
        <w:rPr>
          <w:rFonts w:ascii="Narkisim" w:hAnsi="Narkisim"/>
          <w:rtl/>
        </w:rPr>
        <w:t>ולצד דגדר צרת ערוה דהוה 'איסור' א"ש שאוסרתה. אבל לצד דהוה פטור בעלמא, הכא יש חיוב יבום מצד אחר. וי"ל דמ"מ איסור אשת אח מחמת השני אוסר, וכיון דהוה צרת ערוה יש איסור אשת אח וכמו שלא במקום יבום.</w:t>
      </w:r>
    </w:p>
    <w:p w14:paraId="25AE6EB3" w14:textId="77777777" w:rsidR="006074A5" w:rsidRPr="0041053F" w:rsidRDefault="006074A5" w:rsidP="006074A5">
      <w:pPr>
        <w:bidi/>
        <w:rPr>
          <w:rFonts w:ascii="Narkisim" w:hAnsi="Narkisim" w:cs="Narkisim"/>
        </w:rPr>
      </w:pPr>
      <w:r w:rsidRPr="0041053F">
        <w:rPr>
          <w:rFonts w:ascii="Narkisim" w:hAnsi="Narkisim" w:cs="Narkisim"/>
          <w:u w:val="single"/>
          <w:rtl/>
        </w:rPr>
        <w:t>ומה התם דאחות אשה הויא צרה לנכרית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דנכרית עיקר נשואה היא, ואפ"ה אחות אשה נפלה עליה, ונעשית צרה במאמר, אסרתה. [כ"ש היכא דהערוה עיקר נשואה]. משמע דיש סברא דכשהערוה עיקרית יותר פוטרת את הטפל [במאמר</w:t>
      </w:r>
      <w:r w:rsidRPr="0041053F">
        <w:rPr>
          <w:rStyle w:val="ac"/>
          <w:rFonts w:ascii="Narkisim" w:hAnsi="Narkisim" w:cs="Narkisim"/>
          <w:rtl/>
        </w:rPr>
        <w:footnoteReference w:id="1813"/>
      </w:r>
      <w:r w:rsidRPr="0041053F">
        <w:rPr>
          <w:rFonts w:ascii="Narkisim" w:hAnsi="Narkisim" w:cs="Narkisim"/>
          <w:rtl/>
        </w:rPr>
        <w:t xml:space="preserve">]. </w:t>
      </w:r>
      <w:r w:rsidRPr="0041053F">
        <w:rPr>
          <w:rFonts w:ascii="Narkisim" w:hAnsi="Narkisim" w:cs="Narkisim"/>
          <w:sz w:val="20"/>
          <w:szCs w:val="20"/>
          <w:rtl/>
        </w:rPr>
        <w:t xml:space="preserve">[דיש סברא דהאשה </w:t>
      </w:r>
      <w:r w:rsidRPr="0041053F">
        <w:rPr>
          <w:rFonts w:ascii="Narkisim" w:hAnsi="Narkisim" w:cs="Narkisim"/>
          <w:sz w:val="20"/>
          <w:szCs w:val="20"/>
          <w:rtl/>
        </w:rPr>
        <w:lastRenderedPageBreak/>
        <w:t>העיקרית נותנת שם ערוה על הבית. ועוד יל"פ דיש סברא דאישות קלושא אין כח לדחות ולפטור אישות גמורה</w:t>
      </w:r>
      <w:r w:rsidRPr="0041053F">
        <w:rPr>
          <w:rStyle w:val="ac"/>
          <w:rFonts w:ascii="Narkisim" w:hAnsi="Narkisim" w:cs="Narkisim"/>
          <w:sz w:val="20"/>
          <w:szCs w:val="20"/>
          <w:rtl/>
        </w:rPr>
        <w:footnoteReference w:id="1814"/>
      </w:r>
      <w:r w:rsidRPr="0041053F">
        <w:rPr>
          <w:rFonts w:ascii="Narkisim" w:hAnsi="Narkisim" w:cs="Narkisim"/>
          <w:sz w:val="20"/>
          <w:szCs w:val="20"/>
          <w:rtl/>
        </w:rPr>
        <w:t>].</w:t>
      </w:r>
    </w:p>
    <w:p w14:paraId="2FD9808D" w14:textId="77777777" w:rsidR="006074A5" w:rsidRPr="0041053F" w:rsidRDefault="006074A5" w:rsidP="006074A5">
      <w:pPr>
        <w:pStyle w:val="a8"/>
        <w:bidi/>
        <w:rPr>
          <w:rFonts w:ascii="Narkisim" w:hAnsi="Narkisim"/>
        </w:rPr>
      </w:pPr>
      <w:r w:rsidRPr="0041053F">
        <w:rPr>
          <w:rFonts w:ascii="Narkisim" w:hAnsi="Narkisim"/>
          <w:rtl/>
        </w:rPr>
        <w:t>ועוד כת' ה</w:t>
      </w:r>
      <w:r w:rsidRPr="0041053F">
        <w:rPr>
          <w:rFonts w:ascii="Narkisim" w:hAnsi="Narkisim"/>
          <w:b/>
          <w:bCs/>
          <w:rtl/>
        </w:rPr>
        <w:t>או"ש</w:t>
      </w:r>
      <w:r w:rsidRPr="0041053F">
        <w:rPr>
          <w:rFonts w:ascii="Narkisim" w:hAnsi="Narkisim"/>
          <w:rtl/>
        </w:rPr>
        <w:t xml:space="preserve"> (קו' זיקה לג) דס"ד דלא העמידו חכמים דבריהם לבטל דין יבום מאשה שנופלת עכשיו. אבל אשה שכבר נפלה ליבום, והיה אפשר שתתייבם קודם, ולכן ראו לאסור ע"י מאמר [דלא נחשב שהפקיעו מצווה].</w:t>
      </w:r>
    </w:p>
    <w:p w14:paraId="46256B8D" w14:textId="77777777" w:rsidR="006074A5" w:rsidRPr="0041053F" w:rsidRDefault="006074A5" w:rsidP="006074A5">
      <w:pPr>
        <w:bidi/>
        <w:rPr>
          <w:rFonts w:ascii="Narkisim" w:hAnsi="Narkisim" w:cs="Narkisim"/>
        </w:rPr>
      </w:pPr>
      <w:r w:rsidRPr="0041053F">
        <w:rPr>
          <w:rFonts w:ascii="Narkisim" w:hAnsi="Narkisim" w:cs="Narkisim"/>
          <w:sz w:val="20"/>
          <w:szCs w:val="20"/>
          <w:u w:val="single"/>
          <w:rtl/>
        </w:rPr>
        <w:t>שם.</w:t>
      </w:r>
      <w:r w:rsidRPr="0041053F">
        <w:rPr>
          <w:rFonts w:ascii="Narkisim" w:hAnsi="Narkisim" w:cs="Narkisim"/>
          <w:sz w:val="20"/>
          <w:szCs w:val="20"/>
          <w:rtl/>
        </w:rPr>
        <w:t xml:space="preserve"> ה</w:t>
      </w:r>
      <w:r w:rsidRPr="0041053F">
        <w:rPr>
          <w:rFonts w:ascii="Narkisim" w:hAnsi="Narkisim" w:cs="Narkisim"/>
          <w:b/>
          <w:bCs/>
          <w:sz w:val="20"/>
          <w:szCs w:val="20"/>
          <w:rtl/>
        </w:rPr>
        <w:t>קר"א</w:t>
      </w:r>
      <w:r w:rsidRPr="0041053F">
        <w:rPr>
          <w:rFonts w:ascii="Narkisim" w:hAnsi="Narkisim" w:cs="Narkisim"/>
          <w:sz w:val="20"/>
          <w:szCs w:val="20"/>
          <w:rtl/>
        </w:rPr>
        <w:t xml:space="preserve"> הק' דאף בזיקה יש לחלק כן, והק' האיך רב נחמן למד [במשנה דלעיל] דאין זיקה, נימא דדוקא התם דנכרית עיקר ל"מ זיקה לפטור. אבל במשנה דידן דערוה עיקר י"ל דמהני זיקה לפסול.</w:t>
      </w:r>
    </w:p>
    <w:p w14:paraId="249BE142" w14:textId="77777777" w:rsidR="006074A5" w:rsidRPr="0041053F" w:rsidRDefault="006074A5" w:rsidP="006074A5">
      <w:pPr>
        <w:pStyle w:val="2"/>
        <w:bidi/>
        <w:rPr>
          <w:rFonts w:ascii="Narkisim" w:hAnsi="Narkisim"/>
        </w:rPr>
      </w:pPr>
      <w:r w:rsidRPr="0041053F">
        <w:rPr>
          <w:rFonts w:ascii="Narkisim" w:hAnsi="Narkisim"/>
          <w:rtl/>
        </w:rPr>
        <w:t>נאסרה</w:t>
      </w:r>
    </w:p>
    <w:p w14:paraId="0B1D5D13" w14:textId="77777777" w:rsidR="006074A5" w:rsidRPr="0041053F" w:rsidRDefault="006074A5" w:rsidP="006074A5">
      <w:pPr>
        <w:bidi/>
        <w:rPr>
          <w:rFonts w:ascii="Narkisim" w:hAnsi="Narkisim" w:cs="Narkisim"/>
        </w:rPr>
      </w:pPr>
      <w:r w:rsidRPr="0041053F">
        <w:rPr>
          <w:rFonts w:ascii="Narkisim" w:hAnsi="Narkisim" w:cs="Narkisim"/>
          <w:u w:val="single"/>
          <w:rtl/>
        </w:rPr>
        <w:t>הרי זו אסורה עלמית הואיל ונאסרה שעה א'.</w:t>
      </w:r>
      <w:r w:rsidRPr="0041053F">
        <w:rPr>
          <w:rFonts w:ascii="Narkisim" w:hAnsi="Narkisim" w:cs="Narkisim"/>
          <w:rtl/>
        </w:rPr>
        <w:t xml:space="preserve"> ורב [בסמוך] הגדיר דהוה כאשת אח שיש לה בנים. ה</w:t>
      </w:r>
      <w:r w:rsidRPr="0041053F">
        <w:rPr>
          <w:rFonts w:ascii="Narkisim" w:hAnsi="Narkisim" w:cs="Narkisim"/>
          <w:b/>
          <w:bCs/>
          <w:rtl/>
        </w:rPr>
        <w:t>אחרונים</w:t>
      </w:r>
      <w:r w:rsidRPr="0041053F">
        <w:rPr>
          <w:rFonts w:ascii="Narkisim" w:hAnsi="Narkisim" w:cs="Narkisim"/>
          <w:rtl/>
        </w:rPr>
        <w:t xml:space="preserve"> (גרנ"ט א, קובה"ע ו) חקרו בגדר הדין נאסרה, האם יסודו שלא מתחדש נפילה ליבום [או היתר אשת אח] אלא בשעת מיתה</w:t>
      </w:r>
      <w:r w:rsidRPr="0041053F">
        <w:rPr>
          <w:rStyle w:val="ac"/>
          <w:rFonts w:ascii="Narkisim" w:hAnsi="Narkisim" w:cs="Narkisim"/>
          <w:rtl/>
        </w:rPr>
        <w:footnoteReference w:id="1815"/>
      </w:r>
      <w:r w:rsidRPr="0041053F">
        <w:rPr>
          <w:rFonts w:ascii="Narkisim" w:hAnsi="Narkisim" w:cs="Narkisim"/>
          <w:rtl/>
        </w:rPr>
        <w:t>, או דהגדר דחל 'דין פטור' כיון דהיתה ערוה בשעת נפילה</w:t>
      </w:r>
      <w:r w:rsidRPr="0041053F">
        <w:rPr>
          <w:rStyle w:val="ac"/>
          <w:rFonts w:ascii="Narkisim" w:hAnsi="Narkisim" w:cs="Narkisim"/>
          <w:rtl/>
        </w:rPr>
        <w:footnoteReference w:id="1816"/>
      </w:r>
      <w:r w:rsidRPr="0041053F">
        <w:rPr>
          <w:rFonts w:ascii="Narkisim" w:hAnsi="Narkisim" w:cs="Narkisim"/>
          <w:rtl/>
        </w:rPr>
        <w:t>.</w:t>
      </w:r>
      <w:r w:rsidRPr="0041053F">
        <w:rPr>
          <w:rStyle w:val="ac"/>
          <w:rFonts w:ascii="Narkisim" w:hAnsi="Narkisim" w:cs="Narkisim"/>
          <w:rtl/>
        </w:rPr>
        <w:footnoteReference w:id="1817"/>
      </w:r>
    </w:p>
    <w:p w14:paraId="008848F2"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מנח"ח</w:t>
      </w:r>
      <w:r w:rsidRPr="0041053F">
        <w:rPr>
          <w:rFonts w:ascii="Narkisim" w:hAnsi="Narkisim"/>
          <w:rtl/>
        </w:rPr>
        <w:t xml:space="preserve"> (רעג ד) הביא נידון בחייבי לאו ועשה, שאינה פטורה מחליצה</w:t>
      </w:r>
      <w:r w:rsidRPr="0041053F">
        <w:rPr>
          <w:rStyle w:val="ac"/>
          <w:rFonts w:ascii="Narkisim" w:hAnsi="Narkisim"/>
          <w:rtl/>
        </w:rPr>
        <w:footnoteReference w:id="1818"/>
      </w:r>
      <w:r w:rsidRPr="0041053F">
        <w:rPr>
          <w:rFonts w:ascii="Narkisim" w:hAnsi="Narkisim"/>
          <w:rtl/>
        </w:rPr>
        <w:t>, האם אמרי' נאסרה</w:t>
      </w:r>
      <w:r w:rsidRPr="0041053F">
        <w:rPr>
          <w:rStyle w:val="ac"/>
          <w:rFonts w:ascii="Narkisim" w:hAnsi="Narkisim"/>
          <w:rtl/>
        </w:rPr>
        <w:footnoteReference w:id="1819"/>
      </w:r>
      <w:r w:rsidRPr="0041053F">
        <w:rPr>
          <w:rFonts w:ascii="Narkisim" w:hAnsi="Narkisim"/>
          <w:rtl/>
        </w:rPr>
        <w:t>. וכת' דתלי בספק הפרשת דרכים (הו' לעיל כ. וכ"מ) אי יש איסור אשת אח בחייבי עשה.</w:t>
      </w:r>
    </w:p>
    <w:p w14:paraId="07631162"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כת' דיתכן דיש דין נאסרה כלפי כל חלק מהנפילה בפנ"ע, וכמו דערוה שפטורה לגמרי אמרי' דנשאר הפטור, ה"נ במקום דלא חל היתר למצוות יבום.</w:t>
      </w:r>
    </w:p>
    <w:p w14:paraId="7E9E892E"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ו</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Cs w:val="20"/>
          <w:rtl/>
        </w:rPr>
        <w:t>(לעיל ב.</w:t>
      </w:r>
      <w:r w:rsidRPr="0041053F">
        <w:rPr>
          <w:rFonts w:ascii="Narkisim" w:hAnsi="Narkisim" w:cs="Narkisim"/>
          <w:rtl/>
        </w:rPr>
        <w:t xml:space="preserve"> </w:t>
      </w:r>
      <w:r w:rsidRPr="0041053F">
        <w:rPr>
          <w:rFonts w:ascii="Narkisim" w:hAnsi="Narkisim" w:cs="Narkisim"/>
          <w:sz w:val="20"/>
          <w:szCs w:val="20"/>
          <w:rtl/>
        </w:rPr>
        <w:t>ד"ה ואחות, בתי' הב')</w:t>
      </w:r>
      <w:r w:rsidRPr="0041053F">
        <w:rPr>
          <w:rFonts w:ascii="Narkisim" w:hAnsi="Narkisim" w:cs="Narkisim"/>
          <w:rtl/>
        </w:rPr>
        <w:t xml:space="preserve"> כת' דנאסרה הוה משום דרכי נועם (כדאי' לקמן פז:</w:t>
      </w:r>
      <w:r w:rsidRPr="0041053F">
        <w:rPr>
          <w:rStyle w:val="ac"/>
          <w:rFonts w:ascii="Narkisim" w:hAnsi="Narkisim" w:cs="Narkisim"/>
          <w:rtl/>
        </w:rPr>
        <w:footnoteReference w:id="1820"/>
      </w:r>
      <w:r w:rsidRPr="0041053F">
        <w:rPr>
          <w:rFonts w:ascii="Narkisim" w:hAnsi="Narkisim" w:cs="Narkisim"/>
          <w:rtl/>
        </w:rPr>
        <w:t>), דכיון דנפטרה ממנו שעה א', שוב לא תזקק ליבום לזה שנפטרה ממנו [אף כשמתה אחותה].</w:t>
      </w:r>
    </w:p>
    <w:p w14:paraId="2301B857" w14:textId="77777777" w:rsidR="006074A5" w:rsidRPr="0041053F" w:rsidRDefault="006074A5" w:rsidP="006074A5">
      <w:pPr>
        <w:pStyle w:val="a8"/>
        <w:bidi/>
        <w:rPr>
          <w:rFonts w:ascii="Narkisim" w:hAnsi="Narkisim"/>
        </w:rPr>
      </w:pPr>
      <w:r w:rsidRPr="0041053F">
        <w:rPr>
          <w:rFonts w:ascii="Narkisim" w:hAnsi="Narkisim"/>
          <w:rtl/>
        </w:rPr>
        <w:t>וב</w:t>
      </w:r>
      <w:r w:rsidRPr="0041053F">
        <w:rPr>
          <w:rFonts w:ascii="Narkisim" w:hAnsi="Narkisim"/>
          <w:b/>
          <w:bCs/>
          <w:rtl/>
        </w:rPr>
        <w:t>תוס' מהר"ם ור"פ</w:t>
      </w:r>
      <w:r w:rsidRPr="0041053F">
        <w:rPr>
          <w:rFonts w:ascii="Narkisim" w:hAnsi="Narkisim"/>
          <w:rtl/>
        </w:rPr>
        <w:t xml:space="preserve"> (לעיל ט:) הוסיף דע"כ ילפי' מקרא דדרכי נועם, דאי מילתא דרב גמרא גמיר לה</w:t>
      </w:r>
      <w:r w:rsidRPr="0041053F">
        <w:rPr>
          <w:rStyle w:val="ac"/>
          <w:rFonts w:ascii="Narkisim" w:hAnsi="Narkisim"/>
          <w:rtl/>
        </w:rPr>
        <w:footnoteReference w:id="1821"/>
      </w:r>
      <w:r w:rsidRPr="0041053F">
        <w:rPr>
          <w:rFonts w:ascii="Narkisim" w:hAnsi="Narkisim"/>
          <w:rtl/>
        </w:rPr>
        <w:t>, א"כ אף גבי היו לו בנים נילף (לקמן פז:) משום הילכתא דנאסרה.</w:t>
      </w:r>
    </w:p>
    <w:p w14:paraId="14099ED3"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אחרונים</w:t>
      </w:r>
      <w:r w:rsidRPr="0041053F">
        <w:rPr>
          <w:rFonts w:ascii="Narkisim" w:hAnsi="Narkisim"/>
          <w:rtl/>
        </w:rPr>
        <w:t xml:space="preserve"> הביאו דמוכח מכמה </w:t>
      </w:r>
      <w:r w:rsidRPr="0041053F">
        <w:rPr>
          <w:rFonts w:ascii="Narkisim" w:hAnsi="Narkisim"/>
          <w:b/>
          <w:bCs/>
          <w:rtl/>
        </w:rPr>
        <w:t>ראשונים</w:t>
      </w:r>
      <w:r w:rsidRPr="0041053F">
        <w:rPr>
          <w:rFonts w:ascii="Narkisim" w:hAnsi="Narkisim"/>
          <w:rtl/>
        </w:rPr>
        <w:t xml:space="preserve"> דנאסרה לא תליא בדין דרכי נועם. דה</w:t>
      </w:r>
      <w:r w:rsidRPr="0041053F">
        <w:rPr>
          <w:rFonts w:ascii="Narkisim" w:hAnsi="Narkisim"/>
          <w:b/>
          <w:bCs/>
          <w:rtl/>
        </w:rPr>
        <w:t>רשב"א</w:t>
      </w:r>
      <w:r w:rsidRPr="0041053F">
        <w:rPr>
          <w:rFonts w:ascii="Narkisim" w:hAnsi="Narkisim"/>
          <w:rtl/>
        </w:rPr>
        <w:t xml:space="preserve"> (ושא"ר יז:) כת' גבי אשת אחיו שלא מעולמו, דכיון דזקוקה לשאר אחים אין חסרון דרכי נועם. ומ"מ אמרי' נאסרה כלפי אח א' [וכדאמרי' בסמוך] דלא אידחי מהאי ביתא. וה</w:t>
      </w:r>
      <w:r w:rsidRPr="0041053F">
        <w:rPr>
          <w:rFonts w:ascii="Narkisim" w:hAnsi="Narkisim"/>
          <w:b/>
          <w:bCs/>
          <w:rtl/>
        </w:rPr>
        <w:t>אחרונים</w:t>
      </w:r>
      <w:r w:rsidRPr="0041053F">
        <w:rPr>
          <w:rFonts w:ascii="Narkisim" w:hAnsi="Narkisim"/>
          <w:rtl/>
        </w:rPr>
        <w:t xml:space="preserve"> </w:t>
      </w:r>
      <w:r w:rsidRPr="0041053F">
        <w:rPr>
          <w:rFonts w:ascii="Narkisim" w:hAnsi="Narkisim"/>
          <w:sz w:val="20"/>
          <w:szCs w:val="20"/>
          <w:rtl/>
        </w:rPr>
        <w:t>(קובה"ע ו)</w:t>
      </w:r>
      <w:r w:rsidRPr="0041053F">
        <w:rPr>
          <w:rFonts w:ascii="Narkisim" w:hAnsi="Narkisim"/>
          <w:rtl/>
        </w:rPr>
        <w:t xml:space="preserve"> ביארו דגבי היו לו בנים ומתו ל"מ פטור נאסרה, דבשעה שהיו לו בנים לא נחשב מקום מצוה, ונאסרה תליא בהא דנזקקה לו ונפטרה. וכן באשת אחיו שלא היה בעולמו, לא נפלה לפניו מעולם. ולכן בעינן פטור חדש דדרכי נועם.</w:t>
      </w:r>
    </w:p>
    <w:p w14:paraId="501EC77D" w14:textId="77777777" w:rsidR="006074A5" w:rsidRPr="0041053F" w:rsidRDefault="006074A5" w:rsidP="006074A5">
      <w:pPr>
        <w:pStyle w:val="aa"/>
        <w:bidi/>
        <w:rPr>
          <w:rFonts w:ascii="Narkisim" w:hAnsi="Narkisim"/>
        </w:rPr>
      </w:pPr>
      <w:r w:rsidRPr="0041053F">
        <w:rPr>
          <w:rFonts w:ascii="Narkisim" w:hAnsi="Narkisim"/>
          <w:u w:val="single"/>
          <w:rtl/>
        </w:rPr>
        <w:t>מהו דתימא וכו' אבל היכא דאיחזיא בנפילה ראשונה תישתרי.</w:t>
      </w:r>
      <w:r w:rsidRPr="0041053F">
        <w:rPr>
          <w:rFonts w:ascii="Narkisim" w:hAnsi="Narkisim"/>
          <w:rtl/>
        </w:rPr>
        <w:t xml:space="preserve"> דס"ד דשייך נפילה ליבום אף לאחר זמן [ולא רק בשעת מיתה]. ומ"מ בנפילה שניה [לאחר שהאח ייבם] תו לא שייך היתר על אשת אח דראשון.</w:t>
      </w:r>
    </w:p>
    <w:p w14:paraId="47D7E126" w14:textId="77777777" w:rsidR="006074A5" w:rsidRPr="0041053F" w:rsidRDefault="006074A5" w:rsidP="006074A5">
      <w:pPr>
        <w:pStyle w:val="a8"/>
        <w:bidi/>
        <w:rPr>
          <w:rFonts w:ascii="Narkisim" w:hAnsi="Narkisim"/>
        </w:rPr>
      </w:pPr>
      <w:r w:rsidRPr="0041053F">
        <w:rPr>
          <w:rFonts w:ascii="Narkisim" w:hAnsi="Narkisim"/>
          <w:rtl/>
        </w:rPr>
        <w:t>ולצד דע"י נאסרה נחשב דהוה ערוה, יל"פ דכיון דהדר חזיא מתברר שתבא לבסוף לידי יבום, ולכן מתחילה לא נחשב ערוה</w:t>
      </w:r>
      <w:r w:rsidRPr="0041053F">
        <w:rPr>
          <w:rStyle w:val="ac"/>
          <w:rFonts w:ascii="Narkisim" w:hAnsi="Narkisim"/>
          <w:rtl/>
        </w:rPr>
        <w:footnoteReference w:id="1822"/>
      </w:r>
      <w:r w:rsidRPr="0041053F">
        <w:rPr>
          <w:rFonts w:ascii="Narkisim" w:hAnsi="Narkisim"/>
          <w:rtl/>
        </w:rPr>
        <w:t>.</w:t>
      </w:r>
    </w:p>
    <w:p w14:paraId="3FE5475F" w14:textId="77777777" w:rsidR="006074A5" w:rsidRPr="0041053F" w:rsidRDefault="006074A5" w:rsidP="006074A5">
      <w:pPr>
        <w:bidi/>
        <w:rPr>
          <w:rFonts w:ascii="Narkisim" w:hAnsi="Narkisim" w:cs="Narkisim"/>
        </w:rPr>
      </w:pPr>
      <w:r w:rsidRPr="0041053F">
        <w:rPr>
          <w:rFonts w:ascii="Narkisim" w:hAnsi="Narkisim" w:cs="Narkisim"/>
          <w:u w:val="single"/>
          <w:rtl/>
        </w:rPr>
        <w:t>שם. דלא איחזיא לה בנפילה ראשונה</w:t>
      </w:r>
      <w:r w:rsidRPr="0041053F">
        <w:rPr>
          <w:rFonts w:ascii="Narkisim" w:hAnsi="Narkisim" w:cs="Narkisim"/>
          <w:rtl/>
        </w:rPr>
        <w:t>. ומש"ה אסורה בנפילה שניה. ה</w:t>
      </w:r>
      <w:r w:rsidRPr="0041053F">
        <w:rPr>
          <w:rFonts w:ascii="Narkisim" w:hAnsi="Narkisim" w:cs="Narkisim"/>
          <w:b/>
          <w:bCs/>
          <w:rtl/>
        </w:rPr>
        <w:t>קובה"ע</w:t>
      </w:r>
      <w:r w:rsidRPr="0041053F">
        <w:rPr>
          <w:rFonts w:ascii="Narkisim" w:hAnsi="Narkisim" w:cs="Narkisim"/>
          <w:rtl/>
        </w:rPr>
        <w:t xml:space="preserve"> (א ד, וסי' ו) </w:t>
      </w:r>
      <w:r w:rsidRPr="0041053F">
        <w:rPr>
          <w:rFonts w:ascii="Narkisim" w:hAnsi="Narkisim" w:cs="Narkisim"/>
          <w:rtl/>
        </w:rPr>
        <w:lastRenderedPageBreak/>
        <w:t>הק' לצד דגדר נאסרה הוא דלא חל היתר נפילה אלא בשעת מיתה. א"כ בנפילה שניה ל"ש סברא זו</w:t>
      </w:r>
      <w:r w:rsidRPr="0041053F">
        <w:rPr>
          <w:rStyle w:val="ac"/>
          <w:rFonts w:ascii="Narkisim" w:hAnsi="Narkisim" w:cs="Narkisim"/>
          <w:rtl/>
        </w:rPr>
        <w:footnoteReference w:id="1823"/>
      </w:r>
      <w:r w:rsidRPr="0041053F">
        <w:rPr>
          <w:rFonts w:ascii="Narkisim" w:hAnsi="Narkisim" w:cs="Narkisim"/>
          <w:rtl/>
        </w:rPr>
        <w:t xml:space="preserve">. ועוד הק' למש"כ </w:t>
      </w:r>
      <w:r w:rsidRPr="0041053F">
        <w:rPr>
          <w:rFonts w:ascii="Narkisim" w:hAnsi="Narkisim" w:cs="Narkisim"/>
          <w:b/>
          <w:bCs/>
          <w:rtl/>
        </w:rPr>
        <w:t>תוס</w:t>
      </w:r>
      <w:r w:rsidRPr="0041053F">
        <w:rPr>
          <w:rFonts w:ascii="Narkisim" w:hAnsi="Narkisim" w:cs="Narkisim"/>
          <w:rtl/>
        </w:rPr>
        <w:t>' (ב. הנ"ל) דנאסרה הוה משום דרכי נועם, הא בנפילה שניה ל"ש דרכי נועם</w:t>
      </w:r>
      <w:r w:rsidRPr="0041053F">
        <w:rPr>
          <w:rStyle w:val="ac"/>
          <w:rFonts w:ascii="Narkisim" w:hAnsi="Narkisim" w:cs="Narkisim"/>
          <w:rtl/>
        </w:rPr>
        <w:footnoteReference w:id="1824"/>
      </w:r>
      <w:r w:rsidRPr="0041053F">
        <w:rPr>
          <w:rFonts w:ascii="Narkisim" w:hAnsi="Narkisim" w:cs="Narkisim"/>
          <w:rtl/>
        </w:rPr>
        <w:t>. וע"כ דבנפילה שניה הוה סברא בפנ"ע, דאיסור אשת אח דלא הותר בנפילה ראשונה אוסר בנפילה שניה</w:t>
      </w:r>
      <w:r w:rsidRPr="0041053F">
        <w:rPr>
          <w:rStyle w:val="ac"/>
          <w:rFonts w:ascii="Narkisim" w:hAnsi="Narkisim" w:cs="Narkisim"/>
          <w:rtl/>
        </w:rPr>
        <w:footnoteReference w:id="1825"/>
      </w:r>
      <w:r w:rsidRPr="0041053F">
        <w:rPr>
          <w:rFonts w:ascii="Narkisim" w:hAnsi="Narkisim" w:cs="Narkisim"/>
          <w:rtl/>
        </w:rPr>
        <w:t>. [ולפ"ז לכאורה הוה ב' דיני נאסרה. ודוחק, דבגמ' משמע דהוה צריכותא בעלמא, ולמסקנא הוה דין א'].</w:t>
      </w:r>
    </w:p>
    <w:p w14:paraId="59EFD5CF" w14:textId="77777777" w:rsidR="006074A5" w:rsidRPr="0041053F" w:rsidRDefault="006074A5" w:rsidP="006074A5">
      <w:pPr>
        <w:pStyle w:val="aa"/>
        <w:bidi/>
        <w:rPr>
          <w:rFonts w:ascii="Narkisim" w:hAnsi="Narkisim"/>
        </w:rPr>
      </w:pPr>
      <w:r w:rsidRPr="0041053F">
        <w:rPr>
          <w:rFonts w:ascii="Narkisim" w:hAnsi="Narkisim"/>
          <w:u w:val="single"/>
          <w:rtl/>
        </w:rPr>
        <w:t>שם.</w:t>
      </w:r>
      <w:r w:rsidRPr="0041053F">
        <w:rPr>
          <w:rFonts w:ascii="Narkisim" w:hAnsi="Narkisim"/>
          <w:rtl/>
        </w:rPr>
        <w:t xml:space="preserve"> ו</w:t>
      </w:r>
      <w:r w:rsidRPr="0041053F">
        <w:rPr>
          <w:rFonts w:ascii="Narkisim" w:hAnsi="Narkisim"/>
          <w:b/>
          <w:bCs/>
          <w:rtl/>
        </w:rPr>
        <w:t>רש"י</w:t>
      </w:r>
      <w:r w:rsidRPr="0041053F">
        <w:rPr>
          <w:rFonts w:ascii="Narkisim" w:hAnsi="Narkisim"/>
          <w:rtl/>
        </w:rPr>
        <w:t xml:space="preserve"> (לעיל ב: ד"ה כשם) משמע דהפטור צרת ערוה בנפילה שניה [שפוטרת צרת צרה] הוה משום דנאסרה בנפילה ראשונה</w:t>
      </w:r>
      <w:r w:rsidRPr="0041053F">
        <w:rPr>
          <w:rStyle w:val="ac"/>
          <w:rFonts w:ascii="Narkisim" w:hAnsi="Narkisim"/>
          <w:rtl/>
        </w:rPr>
        <w:footnoteReference w:id="1826"/>
      </w:r>
      <w:r w:rsidRPr="0041053F">
        <w:rPr>
          <w:rFonts w:ascii="Narkisim" w:hAnsi="Narkisim"/>
          <w:rtl/>
        </w:rPr>
        <w:t>, ומשום איסור אשת אח [דהיתה פטור ערוה בנפילה ראשונה], ולא משום שם צרת ערוה [דבנפילה שניה  כבר אינה נופלת עם הערוה]. וה</w:t>
      </w:r>
      <w:r w:rsidRPr="0041053F">
        <w:rPr>
          <w:rFonts w:ascii="Narkisim" w:hAnsi="Narkisim"/>
          <w:b/>
          <w:bCs/>
          <w:rtl/>
        </w:rPr>
        <w:t>אחרונים</w:t>
      </w:r>
      <w:r w:rsidRPr="0041053F">
        <w:rPr>
          <w:rFonts w:ascii="Narkisim" w:hAnsi="Narkisim"/>
          <w:rtl/>
        </w:rPr>
        <w:t xml:space="preserve"> העירו א"כ אמאי בעינן משנה נוספת לדין </w:t>
      </w:r>
      <w:r w:rsidRPr="0041053F">
        <w:rPr>
          <w:rFonts w:ascii="Narkisim" w:hAnsi="Narkisim"/>
          <w:i/>
          <w:iCs/>
          <w:rtl/>
        </w:rPr>
        <w:t>נאסרה</w:t>
      </w:r>
      <w:r w:rsidRPr="0041053F">
        <w:rPr>
          <w:rFonts w:ascii="Narkisim" w:hAnsi="Narkisim"/>
          <w:rtl/>
        </w:rPr>
        <w:t xml:space="preserve"> [בנפילה שניה], הא כבר אשמועינן מכל הדין צרת צרה.  </w:t>
      </w:r>
    </w:p>
    <w:p w14:paraId="60EA5F48" w14:textId="77777777" w:rsidR="006074A5" w:rsidRPr="0041053F" w:rsidRDefault="006074A5" w:rsidP="006074A5">
      <w:pPr>
        <w:bidi/>
        <w:rPr>
          <w:rFonts w:ascii="Narkisim" w:hAnsi="Narkisim" w:cs="Narkisim"/>
        </w:rPr>
      </w:pPr>
      <w:r w:rsidRPr="0041053F">
        <w:rPr>
          <w:rFonts w:ascii="Narkisim" w:hAnsi="Narkisim" w:cs="Narkisim"/>
          <w:u w:val="single"/>
          <w:rtl/>
        </w:rPr>
        <w:t>מהד"ת התם דאידחי מהאי ביתא לגמרי וכו', אבל הכא דלא אידחי לה מהאי ביתא לגמרי, מיגו וכו'</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דעדיין זיקתו [של נשוי נכרית] עליה, ומיגו דחזיא לזה, מותרת אף לאחיו. וה</w:t>
      </w:r>
      <w:r w:rsidRPr="0041053F">
        <w:rPr>
          <w:rFonts w:ascii="Narkisim" w:hAnsi="Narkisim" w:cs="Narkisim"/>
          <w:b/>
          <w:bCs/>
          <w:rtl/>
        </w:rPr>
        <w:t>אחרונים</w:t>
      </w:r>
      <w:r w:rsidRPr="0041053F">
        <w:rPr>
          <w:rFonts w:ascii="Narkisim" w:hAnsi="Narkisim" w:cs="Narkisim"/>
          <w:rtl/>
        </w:rPr>
        <w:t xml:space="preserve"> העירו דיבמה נופלת ליבום לאח א', ואף כשהיא ערוה לאחיו. והנפילה כלפי כל אח לא תלי באחיו. וצ"ל דמ"מ ס"ד דאמרי' 'מיגו', ומהני לענין דלא נימא נאסרה.</w:t>
      </w:r>
    </w:p>
    <w:p w14:paraId="1A563B61" w14:textId="77777777" w:rsidR="006074A5" w:rsidRPr="0041053F" w:rsidRDefault="006074A5" w:rsidP="006074A5">
      <w:pPr>
        <w:bidi/>
        <w:rPr>
          <w:rFonts w:ascii="Narkisim" w:hAnsi="Narkisim" w:cs="Narkisim"/>
        </w:rPr>
      </w:pPr>
      <w:r w:rsidRPr="0041053F">
        <w:rPr>
          <w:rFonts w:ascii="Narkisim" w:hAnsi="Narkisim" w:cs="Narkisim"/>
          <w:rtl/>
        </w:rPr>
        <w:t>ולדברי ה</w:t>
      </w:r>
      <w:r w:rsidRPr="0041053F">
        <w:rPr>
          <w:rFonts w:ascii="Narkisim" w:hAnsi="Narkisim" w:cs="Narkisim"/>
          <w:b/>
          <w:bCs/>
          <w:rtl/>
        </w:rPr>
        <w:t>תוס'</w:t>
      </w:r>
      <w:r w:rsidRPr="0041053F">
        <w:rPr>
          <w:rFonts w:ascii="Narkisim" w:hAnsi="Narkisim" w:cs="Narkisim"/>
          <w:rtl/>
        </w:rPr>
        <w:t xml:space="preserve"> (לעיל ב. בתי' הב') דהנידון משום דרכי נועם, א"כ בס"ד הוה סברא הפשוטה דהיכא דלא הותרה לשוק ל"ש דרכי נועם [וכמ"ש הרשב"א לעיל יז: ולקמן מא.]. וקמ"ל דאף היכא דלא אידחי מהאי ביתא לגמרי, אפ"ה כלפי יבם זה אמרי' דאינו דרכי נועם שתחזור להזקק</w:t>
      </w:r>
      <w:r w:rsidRPr="0041053F">
        <w:rPr>
          <w:rStyle w:val="ac"/>
          <w:rFonts w:ascii="Narkisim" w:hAnsi="Narkisim" w:cs="Narkisim"/>
          <w:rtl/>
        </w:rPr>
        <w:footnoteReference w:id="1827"/>
      </w:r>
      <w:r w:rsidRPr="0041053F">
        <w:rPr>
          <w:rFonts w:ascii="Narkisim" w:hAnsi="Narkisim" w:cs="Narkisim"/>
          <w:rtl/>
        </w:rPr>
        <w:t>. [וכמ"ש תוס' שם להדיא].</w:t>
      </w:r>
    </w:p>
    <w:p w14:paraId="7930B321" w14:textId="77777777" w:rsidR="006074A5" w:rsidRPr="0041053F" w:rsidRDefault="006074A5" w:rsidP="006074A5">
      <w:pPr>
        <w:pStyle w:val="aa"/>
        <w:bidi/>
        <w:rPr>
          <w:rFonts w:ascii="Narkisim" w:hAnsi="Narkisim"/>
        </w:rPr>
      </w:pPr>
      <w:r w:rsidRPr="0041053F">
        <w:rPr>
          <w:rFonts w:ascii="Narkisim" w:hAnsi="Narkisim"/>
          <w:u w:val="single"/>
          <w:rtl/>
        </w:rPr>
        <w:t>שם. אבל הכא דלא אידחי לה מהאי ביתא וכו'</w:t>
      </w:r>
      <w:r w:rsidRPr="0041053F">
        <w:rPr>
          <w:rFonts w:ascii="Narkisim" w:hAnsi="Narkisim"/>
          <w:rtl/>
        </w:rPr>
        <w:t xml:space="preserve">. דעדיין זקוקה לאחיו. אבל </w:t>
      </w:r>
      <w:r w:rsidRPr="0041053F">
        <w:rPr>
          <w:rFonts w:ascii="Narkisim" w:hAnsi="Narkisim"/>
          <w:b/>
          <w:bCs/>
          <w:rtl/>
        </w:rPr>
        <w:t>תוס</w:t>
      </w:r>
      <w:r w:rsidRPr="0041053F">
        <w:rPr>
          <w:rFonts w:ascii="Narkisim" w:hAnsi="Narkisim"/>
          <w:rtl/>
        </w:rPr>
        <w:t>' (לעיל כז: סוד"ה ורב) כת' דהא דהגמ' (שם) דנה שיהא נאסרה באחות זקוקה הוה חידוש, דעדיין זקוקה לחליצה. ותוס' דימו לסוגיין דלא מידחי מהאי ביתא לגמרי. ומשמע דסברת הגמ' 'לא אידחי' משום דלא הותרה לשוק בפועל. [דאי הוה גדר 'מיגו' דזקוקה לאח הב', הא התם ליכא אח נוסף</w:t>
      </w:r>
      <w:r w:rsidRPr="0041053F">
        <w:rPr>
          <w:rStyle w:val="ac"/>
          <w:rFonts w:ascii="Narkisim" w:hAnsi="Narkisim"/>
          <w:rtl/>
        </w:rPr>
        <w:footnoteReference w:id="1828"/>
      </w:r>
      <w:r w:rsidRPr="0041053F">
        <w:rPr>
          <w:rFonts w:ascii="Narkisim" w:hAnsi="Narkisim"/>
          <w:rtl/>
        </w:rPr>
        <w:t>].</w:t>
      </w:r>
    </w:p>
    <w:p w14:paraId="5C54F059" w14:textId="77777777" w:rsidR="006074A5" w:rsidRPr="0041053F" w:rsidRDefault="006074A5" w:rsidP="006074A5">
      <w:pPr>
        <w:bidi/>
        <w:rPr>
          <w:rFonts w:ascii="Narkisim" w:hAnsi="Narkisim" w:cs="Narkisim"/>
        </w:rPr>
      </w:pPr>
      <w:r w:rsidRPr="0041053F">
        <w:rPr>
          <w:rFonts w:ascii="Narkisim" w:hAnsi="Narkisim" w:cs="Narkisim"/>
          <w:u w:val="single"/>
          <w:rtl/>
        </w:rPr>
        <w:t>תוד"ה ונאסרה.</w:t>
      </w:r>
      <w:r w:rsidRPr="0041053F">
        <w:rPr>
          <w:rFonts w:ascii="Narkisim" w:hAnsi="Narkisim" w:cs="Narkisim"/>
          <w:rtl/>
        </w:rPr>
        <w:t xml:space="preserve"> לפי שהיתה צרת אחות אשה שעה א'. ה</w:t>
      </w:r>
      <w:r w:rsidRPr="0041053F">
        <w:rPr>
          <w:rFonts w:ascii="Narkisim" w:hAnsi="Narkisim" w:cs="Narkisim"/>
          <w:b/>
          <w:bCs/>
          <w:rtl/>
        </w:rPr>
        <w:t>רש"ש</w:t>
      </w:r>
      <w:r w:rsidRPr="0041053F">
        <w:rPr>
          <w:rFonts w:ascii="Narkisim" w:hAnsi="Narkisim" w:cs="Narkisim"/>
          <w:rtl/>
        </w:rPr>
        <w:t xml:space="preserve"> כת' דמשמע דדוקא משום שהיתה צרה בשעה שהיא אחות אשה. אבל אי נאסרה בשעת נפילה, ואח"כ מתה אחותה, ואח"כ נשא נכרית [דלא היתה צרה של אחות אשה מעולם], תהא מותרת</w:t>
      </w:r>
      <w:r w:rsidRPr="0041053F">
        <w:rPr>
          <w:rStyle w:val="ac"/>
          <w:rFonts w:ascii="Narkisim" w:hAnsi="Narkisim" w:cs="Narkisim"/>
          <w:rtl/>
        </w:rPr>
        <w:footnoteReference w:id="1829"/>
      </w:r>
      <w:r w:rsidRPr="0041053F">
        <w:rPr>
          <w:rFonts w:ascii="Narkisim" w:hAnsi="Narkisim" w:cs="Narkisim"/>
          <w:rtl/>
        </w:rPr>
        <w:t>.</w:t>
      </w:r>
    </w:p>
    <w:p w14:paraId="41956DCF"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רש"ש</w:t>
      </w:r>
      <w:r w:rsidRPr="0041053F">
        <w:rPr>
          <w:rFonts w:ascii="Narkisim" w:hAnsi="Narkisim"/>
          <w:rtl/>
        </w:rPr>
        <w:t xml:space="preserve"> דחה דמ"מ אחות אשה נאסרה, ועי"ז הוה ערוה, כאשת אח שיש לה בנים. ומש"ה פוטרת צרתה [משום איסור אשת אח</w:t>
      </w:r>
      <w:r w:rsidRPr="0041053F">
        <w:rPr>
          <w:rStyle w:val="ac"/>
          <w:rFonts w:ascii="Narkisim" w:hAnsi="Narkisim"/>
          <w:rtl/>
        </w:rPr>
        <w:footnoteReference w:id="1830"/>
      </w:r>
      <w:r w:rsidRPr="0041053F">
        <w:rPr>
          <w:rFonts w:ascii="Narkisim" w:hAnsi="Narkisim"/>
          <w:rtl/>
        </w:rPr>
        <w:t xml:space="preserve">]. </w:t>
      </w:r>
      <w:r w:rsidRPr="0041053F">
        <w:rPr>
          <w:rFonts w:ascii="Narkisim" w:hAnsi="Narkisim"/>
          <w:szCs w:val="20"/>
          <w:rtl/>
        </w:rPr>
        <w:t>וה</w:t>
      </w:r>
      <w:r w:rsidRPr="0041053F">
        <w:rPr>
          <w:rFonts w:ascii="Narkisim" w:hAnsi="Narkisim"/>
          <w:b/>
          <w:bCs/>
          <w:szCs w:val="20"/>
          <w:rtl/>
        </w:rPr>
        <w:t>רש"ש</w:t>
      </w:r>
      <w:r w:rsidRPr="0041053F">
        <w:rPr>
          <w:rFonts w:ascii="Narkisim" w:hAnsi="Narkisim"/>
          <w:szCs w:val="20"/>
          <w:rtl/>
        </w:rPr>
        <w:t xml:space="preserve"> הגיה בדברי התוס' לפי 'שהיא' צרת אחות אשה</w:t>
      </w:r>
      <w:r w:rsidRPr="0041053F">
        <w:rPr>
          <w:rStyle w:val="ac"/>
          <w:rFonts w:ascii="Narkisim" w:hAnsi="Narkisim"/>
          <w:szCs w:val="20"/>
          <w:rtl/>
        </w:rPr>
        <w:footnoteReference w:id="1831"/>
      </w:r>
      <w:r w:rsidRPr="0041053F">
        <w:rPr>
          <w:rFonts w:ascii="Narkisim" w:hAnsi="Narkisim"/>
          <w:szCs w:val="20"/>
          <w:rtl/>
        </w:rPr>
        <w:t xml:space="preserve"> [והערוה היתה אחות אשה שעה א', וקאי אאחות אשה</w:t>
      </w:r>
      <w:r w:rsidRPr="0041053F">
        <w:rPr>
          <w:rStyle w:val="ac"/>
          <w:rFonts w:ascii="Narkisim" w:hAnsi="Narkisim"/>
          <w:szCs w:val="20"/>
          <w:rtl/>
        </w:rPr>
        <w:footnoteReference w:id="1832"/>
      </w:r>
      <w:r w:rsidRPr="0041053F">
        <w:rPr>
          <w:rFonts w:ascii="Narkisim" w:hAnsi="Narkisim"/>
          <w:szCs w:val="20"/>
          <w:rtl/>
        </w:rPr>
        <w:t>]</w:t>
      </w:r>
      <w:r w:rsidRPr="0041053F">
        <w:rPr>
          <w:rFonts w:ascii="Narkisim" w:hAnsi="Narkisim"/>
          <w:rtl/>
        </w:rPr>
        <w:t>.</w:t>
      </w:r>
    </w:p>
    <w:p w14:paraId="1CA2721F"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מבואר בתוס' דצרת הנאסרה פטורה. אבל ה</w:t>
      </w:r>
      <w:r w:rsidRPr="0041053F">
        <w:rPr>
          <w:rFonts w:ascii="Narkisim" w:hAnsi="Narkisim" w:cs="Narkisim"/>
          <w:b/>
          <w:bCs/>
          <w:rtl/>
        </w:rPr>
        <w:t>רמב"ם</w:t>
      </w:r>
      <w:r w:rsidRPr="0041053F">
        <w:rPr>
          <w:rFonts w:ascii="Narkisim" w:hAnsi="Narkisim" w:cs="Narkisim"/>
          <w:rtl/>
        </w:rPr>
        <w:t xml:space="preserve"> בפיה"מ נסתפק האם מדין נאסרה אסורה רק מדרבנן</w:t>
      </w:r>
      <w:r w:rsidRPr="0041053F">
        <w:rPr>
          <w:rStyle w:val="ac"/>
          <w:rFonts w:ascii="Narkisim" w:hAnsi="Narkisim" w:cs="Narkisim"/>
          <w:rtl/>
        </w:rPr>
        <w:footnoteReference w:id="1833"/>
      </w:r>
      <w:r w:rsidRPr="0041053F">
        <w:rPr>
          <w:rFonts w:ascii="Narkisim" w:hAnsi="Narkisim" w:cs="Narkisim"/>
          <w:rtl/>
        </w:rPr>
        <w:t>. והיא כמו שנייה, וצרתה מתייבמת, או דהוה דין ערוה ופטורה. ופסק דמספק צרתה חולצת</w:t>
      </w:r>
      <w:r w:rsidRPr="0041053F">
        <w:rPr>
          <w:rStyle w:val="ac"/>
          <w:rFonts w:ascii="Narkisim" w:hAnsi="Narkisim" w:cs="Narkisim"/>
          <w:rtl/>
        </w:rPr>
        <w:footnoteReference w:id="1834"/>
      </w:r>
      <w:r w:rsidRPr="0041053F">
        <w:rPr>
          <w:rFonts w:ascii="Narkisim" w:hAnsi="Narkisim" w:cs="Narkisim"/>
          <w:rtl/>
        </w:rPr>
        <w:t>.</w:t>
      </w:r>
    </w:p>
    <w:p w14:paraId="1F00D386"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תמהו דאי נאסרה הוה רק מדרבנן, א"כ אף עצמה תבעי חליצה. ומ"ש היא עצמה </w:t>
      </w:r>
      <w:r w:rsidRPr="0041053F">
        <w:rPr>
          <w:rFonts w:ascii="Narkisim" w:hAnsi="Narkisim"/>
          <w:rtl/>
        </w:rPr>
        <w:lastRenderedPageBreak/>
        <w:t>שכתב הרמב"ם דפטורה, ונסתפק רק על צרתה</w:t>
      </w:r>
      <w:r w:rsidRPr="0041053F">
        <w:rPr>
          <w:rStyle w:val="ac"/>
          <w:rFonts w:ascii="Narkisim" w:hAnsi="Narkisim"/>
          <w:rtl/>
        </w:rPr>
        <w:footnoteReference w:id="1835"/>
      </w:r>
      <w:r w:rsidRPr="0041053F">
        <w:rPr>
          <w:rFonts w:ascii="Narkisim" w:hAnsi="Narkisim"/>
          <w:rtl/>
        </w:rPr>
        <w:t>. וה</w:t>
      </w:r>
      <w:r w:rsidRPr="0041053F">
        <w:rPr>
          <w:rFonts w:ascii="Narkisim" w:hAnsi="Narkisim"/>
          <w:b/>
          <w:bCs/>
          <w:rtl/>
        </w:rPr>
        <w:t>קר"א</w:t>
      </w:r>
      <w:r w:rsidRPr="0041053F">
        <w:rPr>
          <w:rFonts w:ascii="Narkisim" w:hAnsi="Narkisim"/>
          <w:rtl/>
        </w:rPr>
        <w:t xml:space="preserve"> כת' דהרמב"ם איירי רק כלפי נפילה שניה, אבל באותה נפילה פשיטא דפטור. </w:t>
      </w:r>
      <w:r w:rsidRPr="0041053F">
        <w:rPr>
          <w:rFonts w:ascii="Narkisim" w:hAnsi="Narkisim"/>
          <w:sz w:val="20"/>
          <w:szCs w:val="20"/>
          <w:rtl/>
        </w:rPr>
        <w:t xml:space="preserve">וע"ע </w:t>
      </w:r>
      <w:r w:rsidRPr="0041053F">
        <w:rPr>
          <w:rFonts w:ascii="Narkisim" w:hAnsi="Narkisim"/>
          <w:b/>
          <w:bCs/>
          <w:sz w:val="20"/>
          <w:szCs w:val="20"/>
          <w:rtl/>
        </w:rPr>
        <w:t>גרנ"ט</w:t>
      </w:r>
      <w:r w:rsidRPr="0041053F">
        <w:rPr>
          <w:rFonts w:ascii="Narkisim" w:hAnsi="Narkisim"/>
          <w:sz w:val="20"/>
          <w:szCs w:val="20"/>
          <w:rtl/>
        </w:rPr>
        <w:t xml:space="preserve"> (ג) ושאר אחרונים שדנו בדברי הרמב"ם.</w:t>
      </w:r>
    </w:p>
    <w:p w14:paraId="7DBF815C" w14:textId="77777777" w:rsidR="006074A5" w:rsidRPr="0041053F" w:rsidRDefault="006074A5" w:rsidP="006074A5">
      <w:pPr>
        <w:bidi/>
        <w:rPr>
          <w:rFonts w:ascii="Narkisim" w:hAnsi="Narkisim" w:cs="Narkisim"/>
        </w:rPr>
      </w:pPr>
      <w:r w:rsidRPr="0041053F">
        <w:rPr>
          <w:rFonts w:ascii="Narkisim" w:hAnsi="Narkisim" w:cs="Narkisim"/>
          <w:u w:val="single"/>
          <w:rtl/>
        </w:rPr>
        <w:t>בא"ד וי"ל דלא מהני לומר נישואין מפילין אלא לענין שאם היתה צרת ערוה וכו' אבל כאן וכו' לא נחשבנה כאילו נפלה בחיי אשתו ויצאה</w:t>
      </w:r>
      <w:r w:rsidRPr="0041053F">
        <w:rPr>
          <w:rFonts w:ascii="Narkisim" w:hAnsi="Narkisim" w:cs="Narkisim"/>
          <w:rtl/>
        </w:rPr>
        <w:t>. [דלא שייך נאסרה בנישואין מפילין</w:t>
      </w:r>
      <w:r w:rsidRPr="0041053F">
        <w:rPr>
          <w:rStyle w:val="ac"/>
          <w:rFonts w:ascii="Narkisim" w:hAnsi="Narkisim" w:cs="Narkisim"/>
          <w:rtl/>
        </w:rPr>
        <w:footnoteReference w:id="1836"/>
      </w:r>
      <w:r w:rsidRPr="0041053F">
        <w:rPr>
          <w:rFonts w:ascii="Narkisim" w:hAnsi="Narkisim" w:cs="Narkisim"/>
          <w:rtl/>
        </w:rPr>
        <w:t xml:space="preserve">]. </w:t>
      </w:r>
      <w:r w:rsidRPr="0041053F">
        <w:rPr>
          <w:rFonts w:ascii="Narkisim" w:hAnsi="Narkisim" w:cs="Narkisim"/>
          <w:sz w:val="20"/>
          <w:szCs w:val="20"/>
          <w:rtl/>
        </w:rPr>
        <w:t>וב</w:t>
      </w:r>
      <w:r w:rsidRPr="0041053F">
        <w:rPr>
          <w:rFonts w:ascii="Narkisim" w:hAnsi="Narkisim" w:cs="Narkisim"/>
          <w:b/>
          <w:bCs/>
          <w:sz w:val="20"/>
          <w:szCs w:val="20"/>
          <w:rtl/>
        </w:rPr>
        <w:t>חי' ר' שמעון</w:t>
      </w:r>
      <w:r w:rsidRPr="0041053F">
        <w:rPr>
          <w:rFonts w:ascii="Narkisim" w:hAnsi="Narkisim" w:cs="Narkisim"/>
          <w:sz w:val="20"/>
          <w:szCs w:val="20"/>
          <w:rtl/>
        </w:rPr>
        <w:t xml:space="preserve"> (טו ד) ביאר סברת תוס' לשיטתם (ב. בתי' הב') דנאסרה מטעם דרכי נועם, ולא שייך דרכי נועם מחיים.</w:t>
      </w:r>
    </w:p>
    <w:p w14:paraId="36D2A3C7"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(קובה"ע, וחזו"א) ביארו דסברת התוס' לגבי דין 'נאסרה', דלא שייך נאסרה אלא בשעת נפילה בפועל, ולא בגורם הנפילה</w:t>
      </w:r>
      <w:r w:rsidRPr="0041053F">
        <w:rPr>
          <w:rStyle w:val="ac"/>
          <w:rFonts w:ascii="Narkisim" w:hAnsi="Narkisim"/>
          <w:rtl/>
        </w:rPr>
        <w:footnoteReference w:id="1837"/>
      </w:r>
      <w:r w:rsidRPr="0041053F">
        <w:rPr>
          <w:rFonts w:ascii="Narkisim" w:hAnsi="Narkisim"/>
          <w:rtl/>
        </w:rPr>
        <w:t>. ודוקא לענין צרת ערוה סגי במה שבתחילת המחייב היתה צרת ערוה להחשב שיש בה שם צרה, ופטור.</w:t>
      </w:r>
    </w:p>
    <w:p w14:paraId="49E1DEC9"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 xml:space="preserve">גרי"ז </w:t>
      </w:r>
      <w:r w:rsidRPr="0041053F">
        <w:rPr>
          <w:rFonts w:ascii="Narkisim" w:hAnsi="Narkisim"/>
          <w:rtl/>
        </w:rPr>
        <w:t xml:space="preserve">(הל' יבום) הוסיף דגדר פטור צרה, דחל עליה איסור צרת ערוה </w:t>
      </w:r>
      <w:r w:rsidRPr="0041053F">
        <w:rPr>
          <w:rFonts w:ascii="Narkisim" w:hAnsi="Narkisim"/>
          <w:sz w:val="20"/>
          <w:szCs w:val="20"/>
          <w:rtl/>
        </w:rPr>
        <w:t>[ע"פ מה שנקט (שם, ע' לעיל י. ולקמן לב.) שצרת ערוה הוה שם איסור מחודש]</w:t>
      </w:r>
      <w:r w:rsidRPr="0041053F">
        <w:rPr>
          <w:rFonts w:ascii="Narkisim" w:hAnsi="Narkisim"/>
          <w:rtl/>
        </w:rPr>
        <w:t>. וסגי בתחילת הנפילה שחל עליה שם אשת אח. וכעי"ז כת' ה</w:t>
      </w:r>
      <w:r w:rsidRPr="0041053F">
        <w:rPr>
          <w:rFonts w:ascii="Narkisim" w:hAnsi="Narkisim"/>
          <w:b/>
          <w:bCs/>
          <w:rtl/>
        </w:rPr>
        <w:t>קובה"ע</w:t>
      </w:r>
      <w:r w:rsidRPr="0041053F">
        <w:rPr>
          <w:rFonts w:ascii="Narkisim" w:hAnsi="Narkisim"/>
          <w:rtl/>
        </w:rPr>
        <w:t xml:space="preserve"> (ו ג) דע"י נישואין מפילין חל 'שם צרת ערוה' על הצרה, ועי"ז יש פטור בשעת נפילה. </w:t>
      </w:r>
      <w:r w:rsidRPr="0041053F">
        <w:rPr>
          <w:rFonts w:ascii="Narkisim" w:hAnsi="Narkisim"/>
          <w:sz w:val="20"/>
          <w:szCs w:val="20"/>
          <w:rtl/>
        </w:rPr>
        <w:t>[ואף דצרה הוה 'פטור' מיבום, ולא בעינן שהערוה תפטור את הצרה בשעת מיתה ונפילה בפועל]</w:t>
      </w:r>
      <w:r w:rsidRPr="0041053F">
        <w:rPr>
          <w:rFonts w:ascii="Narkisim" w:hAnsi="Narkisim"/>
          <w:rtl/>
        </w:rPr>
        <w:t>.</w:t>
      </w:r>
    </w:p>
    <w:p w14:paraId="792CA885" w14:textId="77777777" w:rsidR="006074A5" w:rsidRPr="0041053F" w:rsidRDefault="006074A5" w:rsidP="006074A5">
      <w:pPr>
        <w:pStyle w:val="aa"/>
        <w:bidi/>
        <w:rPr>
          <w:rFonts w:ascii="Narkisim" w:hAnsi="Narkisim"/>
        </w:rPr>
      </w:pPr>
      <w:r w:rsidRPr="0041053F">
        <w:rPr>
          <w:rFonts w:ascii="Narkisim" w:hAnsi="Narkisim"/>
          <w:u w:val="single"/>
          <w:rtl/>
        </w:rPr>
        <w:t>שם. לא נחשבנה כאילו נפלה וכו'</w:t>
      </w:r>
      <w:r w:rsidRPr="0041053F">
        <w:rPr>
          <w:rFonts w:ascii="Narkisim" w:hAnsi="Narkisim"/>
          <w:rtl/>
        </w:rPr>
        <w:t xml:space="preserve">. בס' </w:t>
      </w:r>
      <w:r w:rsidRPr="0041053F">
        <w:rPr>
          <w:rFonts w:ascii="Narkisim" w:hAnsi="Narkisim"/>
          <w:b/>
          <w:bCs/>
          <w:rtl/>
        </w:rPr>
        <w:t>דורש לציון</w:t>
      </w:r>
      <w:r w:rsidRPr="0041053F">
        <w:rPr>
          <w:rFonts w:ascii="Narkisim" w:hAnsi="Narkisim"/>
          <w:rtl/>
        </w:rPr>
        <w:t xml:space="preserve"> (לנוב"י) דן דלמ"ד נישואין מפילין משכח"ל צרת צרה בנפילה ראשונה. וכגון שנשא ערוה וצרה, וגירש את הערוה, ונשא אשה נוספת דהוה צרת צרה בנישואין מפילין, וגירש את הצרה הראשונה, ומת</w:t>
      </w:r>
      <w:r w:rsidRPr="0041053F">
        <w:rPr>
          <w:rStyle w:val="ac"/>
          <w:rFonts w:ascii="Narkisim" w:hAnsi="Narkisim"/>
          <w:rtl/>
        </w:rPr>
        <w:footnoteReference w:id="1838"/>
      </w:r>
      <w:r w:rsidRPr="0041053F">
        <w:rPr>
          <w:rFonts w:ascii="Narkisim" w:hAnsi="Narkisim"/>
          <w:rtl/>
        </w:rPr>
        <w:t>.</w:t>
      </w:r>
      <w:r w:rsidRPr="0041053F">
        <w:rPr>
          <w:rStyle w:val="ac"/>
          <w:rFonts w:ascii="Narkisim" w:hAnsi="Narkisim"/>
          <w:rtl/>
        </w:rPr>
        <w:footnoteReference w:id="1839"/>
      </w:r>
    </w:p>
    <w:p w14:paraId="4149FEE9" w14:textId="77777777" w:rsidR="006074A5" w:rsidRPr="0041053F" w:rsidRDefault="006074A5" w:rsidP="006074A5">
      <w:pPr>
        <w:pStyle w:val="aa"/>
        <w:bidi/>
        <w:rPr>
          <w:rFonts w:ascii="Narkisim" w:hAnsi="Narkisim"/>
        </w:rPr>
      </w:pPr>
      <w:r w:rsidRPr="0041053F">
        <w:rPr>
          <w:rFonts w:ascii="Narkisim" w:hAnsi="Narkisim"/>
          <w:u w:val="single"/>
          <w:rtl/>
        </w:rPr>
        <w:t>שם.</w:t>
      </w:r>
      <w:r w:rsidRPr="0041053F">
        <w:rPr>
          <w:rFonts w:ascii="Narkisim" w:hAnsi="Narkisim"/>
          <w:rtl/>
        </w:rPr>
        <w:t xml:space="preserve"> ב</w:t>
      </w:r>
      <w:r w:rsidRPr="0041053F">
        <w:rPr>
          <w:rFonts w:ascii="Narkisim" w:hAnsi="Narkisim"/>
          <w:b/>
          <w:bCs/>
          <w:rtl/>
        </w:rPr>
        <w:t>חי' הגר"ח</w:t>
      </w:r>
      <w:r w:rsidRPr="0041053F">
        <w:rPr>
          <w:rFonts w:ascii="Narkisim" w:hAnsi="Narkisim"/>
          <w:rtl/>
        </w:rPr>
        <w:t xml:space="preserve"> (סטנסל עו מהגרי"ז) כתב דלפ"ז היכא דמתה אחותה [דהותר הערוה], אף שהערוה מותרת, אפ"ה צרתה אסורה. דהיתה צרת ערוה מנישואין מפילין</w:t>
      </w:r>
      <w:r w:rsidRPr="0041053F">
        <w:rPr>
          <w:rStyle w:val="ac"/>
          <w:rFonts w:ascii="Narkisim" w:hAnsi="Narkisim"/>
          <w:rtl/>
        </w:rPr>
        <w:footnoteReference w:id="1840"/>
      </w:r>
      <w:r w:rsidRPr="0041053F">
        <w:rPr>
          <w:rFonts w:ascii="Narkisim" w:hAnsi="Narkisim"/>
          <w:rtl/>
        </w:rPr>
        <w:t>. [והצרה גרוע יותר מהערוה]</w:t>
      </w:r>
      <w:r w:rsidRPr="0041053F">
        <w:rPr>
          <w:rStyle w:val="ac"/>
          <w:rFonts w:ascii="Narkisim" w:hAnsi="Narkisim"/>
          <w:rtl/>
        </w:rPr>
        <w:footnoteReference w:id="1841"/>
      </w:r>
      <w:r w:rsidRPr="0041053F">
        <w:rPr>
          <w:rFonts w:ascii="Narkisim" w:hAnsi="Narkisim"/>
          <w:rtl/>
        </w:rPr>
        <w:t>.</w:t>
      </w:r>
    </w:p>
    <w:p w14:paraId="4EC50F94" w14:textId="77777777" w:rsidR="006074A5" w:rsidRPr="0041053F" w:rsidRDefault="006074A5" w:rsidP="006074A5">
      <w:pPr>
        <w:pStyle w:val="a8"/>
        <w:bidi/>
        <w:rPr>
          <w:rFonts w:ascii="Narkisim" w:hAnsi="Narkisim"/>
        </w:rPr>
      </w:pPr>
      <w:r w:rsidRPr="0041053F">
        <w:rPr>
          <w:rFonts w:ascii="Narkisim" w:hAnsi="Narkisim"/>
          <w:rtl/>
        </w:rPr>
        <w:t>אבל ה</w:t>
      </w:r>
      <w:r w:rsidRPr="0041053F">
        <w:rPr>
          <w:rFonts w:ascii="Narkisim" w:hAnsi="Narkisim"/>
          <w:b/>
          <w:bCs/>
          <w:rtl/>
        </w:rPr>
        <w:t>קובה"ע</w:t>
      </w:r>
      <w:r w:rsidRPr="0041053F">
        <w:rPr>
          <w:rFonts w:ascii="Narkisim" w:hAnsi="Narkisim"/>
          <w:rtl/>
        </w:rPr>
        <w:t xml:space="preserve"> (ו ד) כתב דגדר צרת ערוה דנחשבת כמותה, דצרת בתו כבתו, והיכא דהותר איסור הערוה אף הצרה מותרת. [ונישואין מפילין לענין שגירש את הערוה, דאף עכשיו באיסורה עומדת, אבל כשהערוה הותר, כ"ש דהצרה ניתרת].</w:t>
      </w:r>
    </w:p>
    <w:p w14:paraId="78F37FEC" w14:textId="77777777" w:rsidR="006074A5" w:rsidRPr="0041053F" w:rsidRDefault="006074A5" w:rsidP="006074A5">
      <w:pPr>
        <w:bidi/>
        <w:rPr>
          <w:rFonts w:ascii="Narkisim" w:hAnsi="Narkisim" w:cs="Narkisim"/>
        </w:rPr>
      </w:pPr>
      <w:r w:rsidRPr="0041053F">
        <w:rPr>
          <w:rFonts w:ascii="Narkisim" w:hAnsi="Narkisim" w:cs="Narkisim"/>
          <w:u w:val="single"/>
          <w:rtl/>
        </w:rPr>
        <w:t>שם. אבל כאן משום נישואין מפילין לא נחשבנה כאילו נפלה בחיי אשתו, ויצאה ממנו וכו'</w:t>
      </w:r>
      <w:r w:rsidRPr="0041053F">
        <w:rPr>
          <w:rFonts w:ascii="Narkisim" w:hAnsi="Narkisim" w:cs="Narkisim"/>
          <w:rtl/>
        </w:rPr>
        <w:t>. אבל ה</w:t>
      </w:r>
      <w:r w:rsidRPr="0041053F">
        <w:rPr>
          <w:rFonts w:ascii="Narkisim" w:hAnsi="Narkisim" w:cs="Narkisim"/>
          <w:b/>
          <w:bCs/>
          <w:rtl/>
        </w:rPr>
        <w:t>מלחמות</w:t>
      </w:r>
      <w:r w:rsidRPr="0041053F">
        <w:rPr>
          <w:rFonts w:ascii="Narkisim" w:hAnsi="Narkisim" w:cs="Narkisim"/>
          <w:rtl/>
        </w:rPr>
        <w:t xml:space="preserve"> (ח: בדה"ר) מבואר דלמ"ד נישואין מפילין היכא דמתה הערוה בחיי האח פטורה, דאמרי' נאסרה בנישואין מפילין</w:t>
      </w:r>
      <w:r w:rsidRPr="0041053F">
        <w:rPr>
          <w:rStyle w:val="ac"/>
          <w:rFonts w:ascii="Narkisim" w:hAnsi="Narkisim" w:cs="Narkisim"/>
          <w:rtl/>
        </w:rPr>
        <w:footnoteReference w:id="1842"/>
      </w:r>
      <w:r w:rsidRPr="0041053F">
        <w:rPr>
          <w:rFonts w:ascii="Narkisim" w:hAnsi="Narkisim" w:cs="Narkisim"/>
          <w:rtl/>
        </w:rPr>
        <w:t>. [ודלא כתוס'].</w:t>
      </w:r>
    </w:p>
    <w:p w14:paraId="307F74CD" w14:textId="77777777" w:rsidR="006074A5" w:rsidRPr="0041053F" w:rsidRDefault="006074A5" w:rsidP="006074A5">
      <w:pPr>
        <w:bidi/>
        <w:rPr>
          <w:rFonts w:ascii="Narkisim" w:hAnsi="Narkisim" w:cs="Narkisim"/>
        </w:rPr>
      </w:pPr>
      <w:r w:rsidRPr="0041053F">
        <w:rPr>
          <w:rFonts w:ascii="Narkisim" w:hAnsi="Narkisim" w:cs="Narkisim"/>
          <w:i/>
          <w:iCs/>
          <w:sz w:val="21"/>
          <w:szCs w:val="21"/>
          <w:rtl/>
        </w:rPr>
        <w:t>גדר נישואין מפילין</w:t>
      </w:r>
      <w:r w:rsidRPr="0041053F">
        <w:rPr>
          <w:rFonts w:ascii="Narkisim" w:hAnsi="Narkisim" w:cs="Narkisim"/>
          <w:rtl/>
        </w:rPr>
        <w:t xml:space="preserve"> - ה</w:t>
      </w:r>
      <w:r w:rsidRPr="0041053F">
        <w:rPr>
          <w:rFonts w:ascii="Narkisim" w:hAnsi="Narkisim" w:cs="Narkisim"/>
          <w:b/>
          <w:bCs/>
          <w:rtl/>
        </w:rPr>
        <w:t>אחרונים</w:t>
      </w:r>
      <w:r w:rsidRPr="0041053F">
        <w:rPr>
          <w:rFonts w:ascii="Narkisim" w:hAnsi="Narkisim" w:cs="Narkisim"/>
          <w:rtl/>
        </w:rPr>
        <w:t xml:space="preserve"> (קובה"ע ו, וחזו"א קלא ו) ביארו דע"י נישואין מפילין לא נחשב שכבר נפלה ליבום, שהרי בעלה חי ואי"צ בהקמת שם. אלא דאמרי' דמשעת נישואין נחשב </w:t>
      </w:r>
      <w:r w:rsidRPr="0041053F">
        <w:rPr>
          <w:rFonts w:ascii="Narkisim" w:hAnsi="Narkisim" w:cs="Narkisim"/>
          <w:i/>
          <w:iCs/>
          <w:rtl/>
        </w:rPr>
        <w:t>סיבה</w:t>
      </w:r>
      <w:r w:rsidRPr="0041053F">
        <w:rPr>
          <w:rFonts w:ascii="Narkisim" w:hAnsi="Narkisim" w:cs="Narkisim"/>
          <w:rtl/>
        </w:rPr>
        <w:t xml:space="preserve"> כשימות הבעל תהיה זקוקה. ואפי' שיש לה בנים [ומתו בחיי הבעל], וכן קודם שנולד יבם, מ"מ הנישואין הוא סיבה להפיל ליבום</w:t>
      </w:r>
      <w:r w:rsidRPr="0041053F">
        <w:rPr>
          <w:rStyle w:val="ac"/>
          <w:rFonts w:ascii="Narkisim" w:hAnsi="Narkisim" w:cs="Narkisim"/>
          <w:rtl/>
        </w:rPr>
        <w:footnoteReference w:id="1843"/>
      </w:r>
      <w:r w:rsidRPr="0041053F">
        <w:rPr>
          <w:rFonts w:ascii="Narkisim" w:hAnsi="Narkisim" w:cs="Narkisim"/>
          <w:rtl/>
        </w:rPr>
        <w:t xml:space="preserve">. ולכן לא שייך נאסרה, כיון דלא היתה </w:t>
      </w:r>
      <w:r w:rsidRPr="0041053F">
        <w:rPr>
          <w:rFonts w:ascii="Narkisim" w:hAnsi="Narkisim" w:cs="Narkisim"/>
          <w:rtl/>
        </w:rPr>
        <w:lastRenderedPageBreak/>
        <w:t>נפילה ליבום.</w:t>
      </w:r>
    </w:p>
    <w:p w14:paraId="24B09DE3" w14:textId="77777777" w:rsidR="006074A5" w:rsidRPr="0041053F" w:rsidRDefault="006074A5" w:rsidP="006074A5">
      <w:pPr>
        <w:bidi/>
        <w:rPr>
          <w:rFonts w:ascii="Narkisim" w:hAnsi="Narkisim" w:cs="Narkisim"/>
        </w:rPr>
      </w:pPr>
      <w:r w:rsidRPr="0041053F">
        <w:rPr>
          <w:rFonts w:ascii="Narkisim" w:hAnsi="Narkisim" w:cs="Narkisim"/>
          <w:rtl/>
        </w:rPr>
        <w:t>וב</w:t>
      </w:r>
      <w:r w:rsidRPr="0041053F">
        <w:rPr>
          <w:rFonts w:ascii="Narkisim" w:hAnsi="Narkisim" w:cs="Narkisim"/>
          <w:b/>
          <w:bCs/>
          <w:rtl/>
        </w:rPr>
        <w:t>גמ'</w:t>
      </w:r>
      <w:r w:rsidRPr="0041053F">
        <w:rPr>
          <w:rFonts w:ascii="Narkisim" w:hAnsi="Narkisim" w:cs="Narkisim"/>
          <w:rtl/>
        </w:rPr>
        <w:t xml:space="preserve"> (לקמן קט.) אמרי' דלדעת ר' אלעזר [לחד אוקימתא] דהמגרש את האשה והחזירה אסורה לייבם, משום נישואין מפילין. ואמרי' נאסרה משעה שגירשה</w:t>
      </w:r>
      <w:r w:rsidRPr="0041053F">
        <w:rPr>
          <w:rStyle w:val="ac"/>
          <w:rFonts w:ascii="Narkisim" w:hAnsi="Narkisim" w:cs="Narkisim"/>
          <w:rtl/>
        </w:rPr>
        <w:footnoteReference w:id="1844"/>
      </w:r>
      <w:r w:rsidRPr="0041053F">
        <w:rPr>
          <w:rFonts w:ascii="Narkisim" w:hAnsi="Narkisim" w:cs="Narkisim"/>
          <w:rtl/>
        </w:rPr>
        <w:t xml:space="preserve"> [וכן מבואר לקמן מא. דסברת ר"א משום נאסרה]. וה</w:t>
      </w:r>
      <w:r w:rsidRPr="0041053F">
        <w:rPr>
          <w:rFonts w:ascii="Narkisim" w:hAnsi="Narkisim" w:cs="Narkisim"/>
          <w:b/>
          <w:bCs/>
          <w:rtl/>
        </w:rPr>
        <w:t>אחרונים</w:t>
      </w:r>
      <w:r w:rsidRPr="0041053F">
        <w:rPr>
          <w:rFonts w:ascii="Narkisim" w:hAnsi="Narkisim" w:cs="Narkisim"/>
          <w:rtl/>
        </w:rPr>
        <w:t xml:space="preserve"> הק' דלתוס' לא אמרי' נאסרה בנישואין מפילין.</w:t>
      </w:r>
    </w:p>
    <w:p w14:paraId="26A5D6E5"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קובה"ע</w:t>
      </w:r>
      <w:r w:rsidRPr="0041053F">
        <w:rPr>
          <w:rFonts w:ascii="Narkisim" w:hAnsi="Narkisim"/>
          <w:rtl/>
        </w:rPr>
        <w:t xml:space="preserve"> </w:t>
      </w:r>
      <w:r w:rsidRPr="0041053F">
        <w:rPr>
          <w:rFonts w:ascii="Narkisim" w:hAnsi="Narkisim"/>
          <w:sz w:val="20"/>
          <w:szCs w:val="20"/>
          <w:rtl/>
        </w:rPr>
        <w:t>(א ד וס"ס ו)</w:t>
      </w:r>
      <w:r w:rsidRPr="0041053F">
        <w:rPr>
          <w:rFonts w:ascii="Narkisim" w:hAnsi="Narkisim"/>
          <w:rtl/>
        </w:rPr>
        <w:t xml:space="preserve"> דן דע"י גירושין גרע דהוה הפקעה על הסיבה הראשונית וגרע. וה</w:t>
      </w:r>
      <w:r w:rsidRPr="0041053F">
        <w:rPr>
          <w:rFonts w:ascii="Narkisim" w:hAnsi="Narkisim"/>
          <w:b/>
          <w:bCs/>
          <w:rtl/>
        </w:rPr>
        <w:t>חזו"א</w:t>
      </w:r>
      <w:r w:rsidRPr="0041053F">
        <w:rPr>
          <w:rFonts w:ascii="Narkisim" w:hAnsi="Narkisim"/>
          <w:rtl/>
        </w:rPr>
        <w:t xml:space="preserve"> (קלא ז) כתב דהגמ' (קט.) אינה מטעם נאסרה, אלא משום דהאישות שקודם הגירושין אינה גורם לדין יבום, ולמ"ד נישואין מפילין אין היתר ליבום אא"כ כל האישות גורם להיתר. ולא תליא בדין נאסרה</w:t>
      </w:r>
      <w:r w:rsidRPr="0041053F">
        <w:rPr>
          <w:rStyle w:val="ac"/>
          <w:rFonts w:ascii="Narkisim" w:hAnsi="Narkisim"/>
          <w:rtl/>
        </w:rPr>
        <w:footnoteReference w:id="1845"/>
      </w:r>
      <w:r w:rsidRPr="0041053F">
        <w:rPr>
          <w:rFonts w:ascii="Narkisim" w:hAnsi="Narkisim"/>
          <w:rtl/>
        </w:rPr>
        <w:t>. אבל ה</w:t>
      </w:r>
      <w:r w:rsidRPr="0041053F">
        <w:rPr>
          <w:rFonts w:ascii="Narkisim" w:hAnsi="Narkisim"/>
          <w:b/>
          <w:bCs/>
          <w:rtl/>
        </w:rPr>
        <w:t>מלחמות</w:t>
      </w:r>
      <w:r w:rsidRPr="0041053F">
        <w:rPr>
          <w:rFonts w:ascii="Narkisim" w:hAnsi="Narkisim"/>
          <w:sz w:val="20"/>
          <w:szCs w:val="20"/>
          <w:rtl/>
        </w:rPr>
        <w:t xml:space="preserve"> (שם) </w:t>
      </w:r>
      <w:r w:rsidRPr="0041053F">
        <w:rPr>
          <w:rFonts w:ascii="Narkisim" w:hAnsi="Narkisim"/>
          <w:rtl/>
        </w:rPr>
        <w:t>הביא דלא קי"ל נישואין מפילין, דקי"ל דהמגרש את אשתו והחזירה מותרת להתייבם</w:t>
      </w:r>
      <w:r w:rsidRPr="0041053F">
        <w:rPr>
          <w:rStyle w:val="ac"/>
          <w:rFonts w:ascii="Narkisim" w:hAnsi="Narkisim"/>
          <w:rtl/>
        </w:rPr>
        <w:footnoteReference w:id="1846"/>
      </w:r>
      <w:r w:rsidRPr="0041053F">
        <w:rPr>
          <w:rFonts w:ascii="Narkisim" w:hAnsi="Narkisim"/>
          <w:rtl/>
        </w:rPr>
        <w:t>. ומבואר דתליא הא בהא</w:t>
      </w:r>
      <w:r w:rsidRPr="0041053F">
        <w:rPr>
          <w:rStyle w:val="ac"/>
          <w:rFonts w:ascii="Narkisim" w:hAnsi="Narkisim"/>
          <w:rtl/>
        </w:rPr>
        <w:footnoteReference w:id="1847"/>
      </w:r>
      <w:r w:rsidRPr="0041053F">
        <w:rPr>
          <w:rFonts w:ascii="Narkisim" w:hAnsi="Narkisim"/>
          <w:rtl/>
        </w:rPr>
        <w:t>. וצ"ב.</w:t>
      </w:r>
    </w:p>
    <w:p w14:paraId="4331E955" w14:textId="77777777" w:rsidR="006074A5" w:rsidRPr="0041053F" w:rsidRDefault="006074A5" w:rsidP="006074A5">
      <w:pPr>
        <w:pStyle w:val="2"/>
        <w:bidi/>
        <w:rPr>
          <w:rFonts w:ascii="Narkisim" w:hAnsi="Narkisim"/>
        </w:rPr>
      </w:pPr>
      <w:r w:rsidRPr="0041053F">
        <w:rPr>
          <w:rFonts w:ascii="Narkisim" w:hAnsi="Narkisim"/>
          <w:rtl/>
        </w:rPr>
        <w:t>גירש ואח"כ מת</w:t>
      </w:r>
    </w:p>
    <w:p w14:paraId="6CD1290F" w14:textId="77777777" w:rsidR="006074A5" w:rsidRPr="0041053F" w:rsidRDefault="006074A5" w:rsidP="006074A5">
      <w:pPr>
        <w:bidi/>
        <w:rPr>
          <w:rFonts w:ascii="Narkisim" w:hAnsi="Narkisim" w:cs="Narkisim"/>
        </w:rPr>
      </w:pPr>
      <w:r w:rsidRPr="0041053F">
        <w:rPr>
          <w:rFonts w:ascii="Narkisim" w:hAnsi="Narkisim" w:cs="Narkisim"/>
          <w:u w:val="single"/>
          <w:rtl/>
        </w:rPr>
        <w:t>גירש א' מבעלי אחיות את אשתו, ומת וכו' וכנסה המגרש וכו'</w:t>
      </w:r>
      <w:r w:rsidRPr="0041053F">
        <w:rPr>
          <w:rFonts w:ascii="Narkisim" w:hAnsi="Narkisim" w:cs="Narkisim"/>
          <w:rtl/>
        </w:rPr>
        <w:t>. הגמ' (לעיל יג., הו' בע"ב) מדייקת טעמא דגירש ואח"כ כנס, הא כנס ואח"כ גירש פוטרת. ואף דבשעת מיתת הבעל לא היתה צרת ערוה, וכמ"ד נישואין מפילין</w:t>
      </w:r>
      <w:r w:rsidRPr="0041053F">
        <w:rPr>
          <w:rStyle w:val="ac"/>
          <w:rFonts w:ascii="Narkisim" w:hAnsi="Narkisim" w:cs="Narkisim"/>
          <w:rtl/>
        </w:rPr>
        <w:footnoteReference w:id="1848"/>
      </w:r>
      <w:r w:rsidRPr="0041053F">
        <w:rPr>
          <w:rFonts w:ascii="Narkisim" w:hAnsi="Narkisim" w:cs="Narkisim"/>
          <w:rtl/>
        </w:rPr>
        <w:t>.</w:t>
      </w:r>
    </w:p>
    <w:p w14:paraId="2F2113B8" w14:textId="77777777" w:rsidR="006074A5" w:rsidRPr="0041053F" w:rsidRDefault="006074A5" w:rsidP="006074A5">
      <w:pPr>
        <w:pStyle w:val="a7"/>
        <w:bidi/>
        <w:rPr>
          <w:rFonts w:ascii="Narkisim" w:hAnsi="Narkisim"/>
        </w:rPr>
      </w:pPr>
      <w:r w:rsidRPr="0041053F">
        <w:rPr>
          <w:rFonts w:ascii="Narkisim" w:hAnsi="Narkisim"/>
          <w:rtl/>
        </w:rPr>
        <w:t xml:space="preserve">וא"ר ירמיה תברא, ומתני' דידן פליג אמתני' </w:t>
      </w:r>
      <w:r w:rsidRPr="0041053F">
        <w:rPr>
          <w:rFonts w:ascii="Narkisim" w:hAnsi="Narkisim"/>
          <w:szCs w:val="20"/>
          <w:rtl/>
        </w:rPr>
        <w:t>(לעיל ב:)</w:t>
      </w:r>
      <w:r w:rsidRPr="0041053F">
        <w:rPr>
          <w:rFonts w:ascii="Narkisim" w:hAnsi="Narkisim"/>
          <w:rtl/>
        </w:rPr>
        <w:t xml:space="preserve"> דבכל ט"ו עריות מתו או נתגרשו מותרת, ואף כנס ולבסוף גירש. </w:t>
      </w:r>
      <w:r w:rsidRPr="0041053F">
        <w:rPr>
          <w:rFonts w:ascii="Narkisim" w:hAnsi="Narkisim"/>
          <w:szCs w:val="20"/>
          <w:rtl/>
        </w:rPr>
        <w:t>פ</w:t>
      </w:r>
      <w:r w:rsidRPr="0041053F">
        <w:rPr>
          <w:rFonts w:ascii="Narkisim" w:hAnsi="Narkisim"/>
          <w:b/>
          <w:bCs/>
          <w:szCs w:val="20"/>
          <w:rtl/>
        </w:rPr>
        <w:t>רש"י</w:t>
      </w:r>
      <w:r w:rsidRPr="0041053F">
        <w:rPr>
          <w:rFonts w:ascii="Narkisim" w:hAnsi="Narkisim"/>
          <w:szCs w:val="20"/>
          <w:rtl/>
        </w:rPr>
        <w:t xml:space="preserve"> דמיתת הבעל מפלת, ובשעת מיתה אינה צרת הבת</w:t>
      </w:r>
      <w:r w:rsidRPr="0041053F">
        <w:rPr>
          <w:rFonts w:ascii="Narkisim" w:hAnsi="Narkisim"/>
          <w:rtl/>
        </w:rPr>
        <w:t xml:space="preserve">. ורבא תי' דה"ה כנס ואח"כ גירש, וזו ואי"צ זו קתני. </w:t>
      </w:r>
      <w:r w:rsidRPr="0041053F">
        <w:rPr>
          <w:rFonts w:ascii="Narkisim" w:hAnsi="Narkisim"/>
          <w:szCs w:val="20"/>
          <w:rtl/>
        </w:rPr>
        <w:t>(ע' בסמוך)</w:t>
      </w:r>
      <w:r w:rsidRPr="0041053F">
        <w:rPr>
          <w:rFonts w:ascii="Narkisim" w:hAnsi="Narkisim"/>
          <w:rtl/>
        </w:rPr>
        <w:t>.</w:t>
      </w:r>
    </w:p>
    <w:p w14:paraId="22FE49A5" w14:textId="77777777" w:rsidR="006074A5" w:rsidRPr="0041053F" w:rsidRDefault="006074A5" w:rsidP="006074A5">
      <w:pPr>
        <w:bidi/>
        <w:rPr>
          <w:rFonts w:ascii="Narkisim" w:hAnsi="Narkisim" w:cs="Narkisim"/>
        </w:rPr>
      </w:pPr>
      <w:r w:rsidRPr="0041053F">
        <w:rPr>
          <w:rFonts w:ascii="Narkisim" w:hAnsi="Narkisim" w:cs="Narkisim"/>
          <w:u w:val="single"/>
          <w:rtl/>
        </w:rPr>
        <w:t>טעמא דגירש ואח"כ מת, אבל מת ואח"כ גירש אסורה וכו'</w:t>
      </w:r>
      <w:r w:rsidRPr="0041053F">
        <w:rPr>
          <w:rFonts w:ascii="Narkisim" w:hAnsi="Narkisim" w:cs="Narkisim"/>
          <w:rtl/>
        </w:rPr>
        <w:t xml:space="preserve">. </w:t>
      </w:r>
      <w:r w:rsidRPr="0041053F">
        <w:rPr>
          <w:rFonts w:ascii="Narkisim" w:hAnsi="Narkisim" w:cs="Narkisim"/>
          <w:b/>
          <w:bCs/>
          <w:rtl/>
        </w:rPr>
        <w:t>רש"י</w:t>
      </w:r>
      <w:r w:rsidRPr="0041053F">
        <w:rPr>
          <w:rFonts w:ascii="Narkisim" w:hAnsi="Narkisim" w:cs="Narkisim"/>
          <w:rtl/>
        </w:rPr>
        <w:t xml:space="preserve"> (בע"ב) כת' דהך דיוק כר' ירמיה, אבל רבא (הנ"ל) אינו מדייק את המשנה כן. אלא אפי' מת וכנס ואח"כ גירש מתייבמת. דבשעת מיתה לאו צרות נינהו.</w:t>
      </w:r>
    </w:p>
    <w:p w14:paraId="105C0394" w14:textId="77777777" w:rsidR="006074A5" w:rsidRPr="0041053F" w:rsidRDefault="006074A5" w:rsidP="006074A5">
      <w:pPr>
        <w:pStyle w:val="a7"/>
        <w:bidi/>
        <w:rPr>
          <w:rFonts w:ascii="Narkisim" w:hAnsi="Narkisim"/>
        </w:rPr>
      </w:pPr>
      <w:r w:rsidRPr="0041053F">
        <w:rPr>
          <w:rFonts w:ascii="Narkisim" w:hAnsi="Narkisim"/>
          <w:rtl/>
        </w:rPr>
        <w:t>והגמ' כאן קאי ע"פ דיוק ר' ירמיה דכנס ואח"כ גירש פטורה, וכמ"ד נישואין מפילין. והגמ' כאן [ורב אשי] דייק דאפי' מת ואח"כ גירש, דהוה צרת ערוה ע"י זיקה [למ"ד נישואין מפילין]. [ע"ע בסמוך דעת הרי"ף].</w:t>
      </w:r>
    </w:p>
    <w:p w14:paraId="350206EE" w14:textId="77777777" w:rsidR="006074A5" w:rsidRPr="0041053F" w:rsidRDefault="006074A5" w:rsidP="006074A5">
      <w:pPr>
        <w:bidi/>
        <w:rPr>
          <w:rFonts w:ascii="Narkisim" w:hAnsi="Narkisim" w:cs="Narkisim"/>
        </w:rPr>
      </w:pPr>
      <w:r w:rsidRPr="0041053F">
        <w:rPr>
          <w:rFonts w:ascii="Narkisim" w:hAnsi="Narkisim" w:cs="Narkisim"/>
          <w:u w:val="single"/>
          <w:rtl/>
        </w:rPr>
        <w:t>תוד"ה גירש.</w:t>
      </w:r>
      <w:r w:rsidRPr="0041053F">
        <w:rPr>
          <w:rFonts w:ascii="Narkisim" w:hAnsi="Narkisim" w:cs="Narkisim"/>
          <w:rtl/>
        </w:rPr>
        <w:t xml:space="preserve"> כזקוקה לו משעה שנשאת לאחיו דנישואין מפילים, דלא אסרינן אא"כ תרי נישואין מפילים</w:t>
      </w:r>
      <w:r w:rsidRPr="0041053F">
        <w:rPr>
          <w:rStyle w:val="ac"/>
          <w:rFonts w:ascii="Narkisim" w:hAnsi="Narkisim" w:cs="Narkisim"/>
          <w:rtl/>
        </w:rPr>
        <w:footnoteReference w:id="1849"/>
      </w:r>
      <w:r w:rsidRPr="0041053F">
        <w:rPr>
          <w:rFonts w:ascii="Narkisim" w:hAnsi="Narkisim" w:cs="Narkisim"/>
          <w:rtl/>
        </w:rPr>
        <w:t>. מבואר בתוס' דע"י נישואין מפילין נחשב צרת ערוה [לאשתו של שני] בזיקה משעת נישואי אחיו. וה</w:t>
      </w:r>
      <w:r w:rsidRPr="0041053F">
        <w:rPr>
          <w:rFonts w:ascii="Narkisim" w:hAnsi="Narkisim" w:cs="Narkisim"/>
          <w:b/>
          <w:bCs/>
          <w:rtl/>
        </w:rPr>
        <w:t>אחרונים</w:t>
      </w:r>
      <w:r w:rsidRPr="0041053F">
        <w:rPr>
          <w:rFonts w:ascii="Narkisim" w:hAnsi="Narkisim" w:cs="Narkisim"/>
          <w:rtl/>
        </w:rPr>
        <w:t xml:space="preserve"> תמהו דאין סברא דמחמת נישואין מפילין יהא </w:t>
      </w:r>
      <w:r w:rsidRPr="0041053F">
        <w:rPr>
          <w:rFonts w:ascii="Narkisim" w:hAnsi="Narkisim" w:cs="Narkisim"/>
          <w:i/>
          <w:iCs/>
          <w:rtl/>
        </w:rPr>
        <w:t>זיקה</w:t>
      </w:r>
      <w:r w:rsidRPr="0041053F">
        <w:rPr>
          <w:rFonts w:ascii="Narkisim" w:hAnsi="Narkisim" w:cs="Narkisim"/>
          <w:rtl/>
        </w:rPr>
        <w:t xml:space="preserve"> בחיי האח [דבפשוטו הוה רק סיבה וגורם ליבום]. ועוד צ"ע היאך יתכן לומר דיש מקצת אישות ליבם בעודה נשואה לאחיו החי.</w:t>
      </w:r>
    </w:p>
    <w:p w14:paraId="29D09AD9" w14:textId="77777777" w:rsidR="006074A5" w:rsidRPr="0041053F" w:rsidRDefault="006074A5" w:rsidP="006074A5">
      <w:pPr>
        <w:pStyle w:val="aa"/>
        <w:bidi/>
        <w:rPr>
          <w:rFonts w:ascii="Narkisim" w:hAnsi="Narkisim"/>
        </w:rPr>
      </w:pPr>
      <w:r w:rsidRPr="0041053F">
        <w:rPr>
          <w:rFonts w:ascii="Narkisim" w:hAnsi="Narkisim"/>
          <w:u w:val="single"/>
          <w:rtl/>
        </w:rPr>
        <w:t>רש"י ד"ה טעמא.</w:t>
      </w:r>
      <w:r w:rsidRPr="0041053F">
        <w:rPr>
          <w:rFonts w:ascii="Narkisim" w:hAnsi="Narkisim"/>
          <w:rtl/>
        </w:rPr>
        <w:t xml:space="preserve"> בשלמא אי לא כנסה הויא מותרת לזה מחמת זיקת אחיו הראשון וכו'. דהוה צרה בזיקה רק אם כנסה לבסוף. [וכמ"ד נישואין מפילין, וכדאיתא בגמ' בע"ב]. אבל </w:t>
      </w:r>
      <w:r w:rsidRPr="0041053F">
        <w:rPr>
          <w:rFonts w:ascii="Narkisim" w:hAnsi="Narkisim"/>
          <w:b/>
          <w:bCs/>
          <w:rtl/>
        </w:rPr>
        <w:t>רש"י</w:t>
      </w:r>
      <w:r w:rsidRPr="0041053F">
        <w:rPr>
          <w:rFonts w:ascii="Narkisim" w:hAnsi="Narkisim"/>
          <w:rtl/>
        </w:rPr>
        <w:t xml:space="preserve"> (בע"ב) כת' דאסורה מחמת זיקת השני. עי"ש. וה</w:t>
      </w:r>
      <w:r w:rsidRPr="0041053F">
        <w:rPr>
          <w:rFonts w:ascii="Narkisim" w:hAnsi="Narkisim"/>
          <w:b/>
          <w:bCs/>
          <w:rtl/>
        </w:rPr>
        <w:t>מפרשים</w:t>
      </w:r>
      <w:r w:rsidRPr="0041053F">
        <w:rPr>
          <w:rFonts w:ascii="Narkisim" w:hAnsi="Narkisim"/>
          <w:rtl/>
        </w:rPr>
        <w:t xml:space="preserve"> (רש"ש ועוד) כת' דרש"י ס"ל דרב אשי ל"ל הך סברא, ורק אליבא דרבא הוכרח לומר כן. [ודלא כ</w:t>
      </w:r>
      <w:r w:rsidRPr="0041053F">
        <w:rPr>
          <w:rFonts w:ascii="Narkisim" w:hAnsi="Narkisim"/>
          <w:b/>
          <w:bCs/>
          <w:rtl/>
        </w:rPr>
        <w:t>תוס</w:t>
      </w:r>
      <w:r w:rsidRPr="0041053F">
        <w:rPr>
          <w:rFonts w:ascii="Narkisim" w:hAnsi="Narkisim"/>
          <w:rtl/>
        </w:rPr>
        <w:t>' (ד"ה זאת) דכת' כן אף בדעת רב אשי].</w:t>
      </w:r>
    </w:p>
    <w:p w14:paraId="42D14E20" w14:textId="77777777" w:rsidR="006074A5" w:rsidRPr="0041053F" w:rsidRDefault="006074A5" w:rsidP="006074A5">
      <w:pPr>
        <w:pStyle w:val="a8"/>
        <w:bidi/>
        <w:rPr>
          <w:rFonts w:ascii="Narkisim" w:hAnsi="Narkisim"/>
        </w:rPr>
      </w:pPr>
      <w:r w:rsidRPr="0041053F">
        <w:rPr>
          <w:rFonts w:ascii="Narkisim" w:hAnsi="Narkisim"/>
          <w:rtl/>
        </w:rPr>
        <w:t>אבל ה</w:t>
      </w:r>
      <w:r w:rsidRPr="0041053F">
        <w:rPr>
          <w:rFonts w:ascii="Narkisim" w:hAnsi="Narkisim"/>
          <w:b/>
          <w:bCs/>
          <w:rtl/>
        </w:rPr>
        <w:t>יש"ש</w:t>
      </w:r>
      <w:r w:rsidRPr="0041053F">
        <w:rPr>
          <w:rFonts w:ascii="Narkisim" w:hAnsi="Narkisim"/>
          <w:rtl/>
        </w:rPr>
        <w:t xml:space="preserve"> (י) וה</w:t>
      </w:r>
      <w:r w:rsidRPr="0041053F">
        <w:rPr>
          <w:rFonts w:ascii="Narkisim" w:hAnsi="Narkisim"/>
          <w:b/>
          <w:bCs/>
          <w:rtl/>
        </w:rPr>
        <w:t>או"ש</w:t>
      </w:r>
      <w:r w:rsidRPr="0041053F">
        <w:rPr>
          <w:rFonts w:ascii="Narkisim" w:hAnsi="Narkisim"/>
          <w:rtl/>
        </w:rPr>
        <w:t xml:space="preserve"> (קו' זיקה ז) כת' דלרש"י למ"ד נישואין מפילין [וגירש] נחשבת צרת ערוה רק אם כנסה לבסוף [למפרע]. אבל למ"ד מיתה מפלת מהני אע"ג דלא כנס. וצ"ב החילוק.</w:t>
      </w:r>
    </w:p>
    <w:p w14:paraId="72AEEC8D" w14:textId="77777777" w:rsidR="006074A5" w:rsidRPr="0041053F" w:rsidRDefault="006074A5" w:rsidP="006074A5">
      <w:pPr>
        <w:bidi/>
        <w:rPr>
          <w:rFonts w:ascii="Narkisim" w:hAnsi="Narkisim" w:cs="Narkisim"/>
        </w:rPr>
      </w:pPr>
      <w:r w:rsidRPr="0041053F">
        <w:rPr>
          <w:rFonts w:ascii="Narkisim" w:hAnsi="Narkisim" w:cs="Narkisim"/>
          <w:u w:val="single"/>
          <w:rtl/>
        </w:rPr>
        <w:t>תוד"ה זאת.</w:t>
      </w:r>
      <w:r w:rsidRPr="0041053F">
        <w:rPr>
          <w:rFonts w:ascii="Narkisim" w:hAnsi="Narkisim" w:cs="Narkisim"/>
          <w:rtl/>
        </w:rPr>
        <w:t xml:space="preserve"> הא הוה צרת אחות אשה בזיקה. ה</w:t>
      </w:r>
      <w:r w:rsidRPr="0041053F">
        <w:rPr>
          <w:rFonts w:ascii="Narkisim" w:hAnsi="Narkisim" w:cs="Narkisim"/>
          <w:b/>
          <w:bCs/>
          <w:rtl/>
        </w:rPr>
        <w:t>קה"י</w:t>
      </w:r>
      <w:r w:rsidRPr="0041053F">
        <w:rPr>
          <w:rFonts w:ascii="Narkisim" w:hAnsi="Narkisim" w:cs="Narkisim"/>
          <w:rtl/>
        </w:rPr>
        <w:t xml:space="preserve"> (כה ב) תמה [על קושיית התוס'] דאין צרה אלא בשעת נפילה, והכא היתה זקוקה לבעל אחותה, אבל לא מת ולא היתה כלל נפילה </w:t>
      </w:r>
      <w:r w:rsidRPr="0041053F">
        <w:rPr>
          <w:rFonts w:ascii="Narkisim" w:hAnsi="Narkisim" w:cs="Narkisim"/>
          <w:sz w:val="20"/>
          <w:szCs w:val="20"/>
          <w:rtl/>
        </w:rPr>
        <w:t>[וכ"כ ה</w:t>
      </w:r>
      <w:r w:rsidRPr="0041053F">
        <w:rPr>
          <w:rFonts w:ascii="Narkisim" w:hAnsi="Narkisim" w:cs="Narkisim"/>
          <w:b/>
          <w:bCs/>
          <w:sz w:val="20"/>
          <w:szCs w:val="20"/>
          <w:rtl/>
        </w:rPr>
        <w:t>רשב"א</w:t>
      </w:r>
      <w:r w:rsidRPr="0041053F">
        <w:rPr>
          <w:rFonts w:ascii="Narkisim" w:hAnsi="Narkisim" w:cs="Narkisim"/>
          <w:sz w:val="20"/>
          <w:szCs w:val="20"/>
          <w:rtl/>
        </w:rPr>
        <w:t xml:space="preserve"> (בע"ב)]. והקה"י כתב דצ"ל דזה תי' התוס'</w:t>
      </w:r>
      <w:r w:rsidRPr="0041053F">
        <w:rPr>
          <w:rFonts w:ascii="Narkisim" w:hAnsi="Narkisim" w:cs="Narkisim"/>
          <w:rtl/>
        </w:rPr>
        <w:t>.</w:t>
      </w:r>
    </w:p>
    <w:p w14:paraId="3BB5CFA4" w14:textId="77777777" w:rsidR="006074A5" w:rsidRPr="0041053F" w:rsidRDefault="006074A5" w:rsidP="006074A5">
      <w:pPr>
        <w:bidi/>
        <w:rPr>
          <w:rFonts w:ascii="Narkisim" w:hAnsi="Narkisim" w:cs="Narkisim"/>
        </w:rPr>
      </w:pPr>
      <w:r w:rsidRPr="0041053F">
        <w:rPr>
          <w:rFonts w:ascii="Narkisim" w:hAnsi="Narkisim" w:cs="Narkisim"/>
          <w:rtl/>
        </w:rPr>
        <w:t>ועוד הק' ה</w:t>
      </w:r>
      <w:r w:rsidRPr="0041053F">
        <w:rPr>
          <w:rFonts w:ascii="Narkisim" w:hAnsi="Narkisim" w:cs="Narkisim"/>
          <w:b/>
          <w:bCs/>
          <w:rtl/>
        </w:rPr>
        <w:t>אחרונים</w:t>
      </w:r>
      <w:r w:rsidRPr="0041053F">
        <w:rPr>
          <w:rFonts w:ascii="Narkisim" w:hAnsi="Narkisim" w:cs="Narkisim"/>
          <w:rtl/>
        </w:rPr>
        <w:t xml:space="preserve"> דבכל ב' יבמין אינה אסורה מחמת איסור אשת אח [בזיקה] דהיבם </w:t>
      </w:r>
      <w:r w:rsidRPr="0041053F">
        <w:rPr>
          <w:rFonts w:ascii="Narkisim" w:hAnsi="Narkisim" w:cs="Narkisim"/>
          <w:rtl/>
        </w:rPr>
        <w:lastRenderedPageBreak/>
        <w:t>השני, ומותרת לכל יבם [דיש לו זכות לייבם, או דמתברר דזקוקה לו], א"כ היאך יתכן דמה שהיא צרת ערוה מחמתו אוסרת טפי</w:t>
      </w:r>
      <w:r w:rsidRPr="0041053F">
        <w:rPr>
          <w:rStyle w:val="ac"/>
          <w:rFonts w:ascii="Narkisim" w:hAnsi="Narkisim" w:cs="Narkisim"/>
          <w:rtl/>
        </w:rPr>
        <w:footnoteReference w:id="1850"/>
      </w:r>
      <w:r w:rsidRPr="0041053F">
        <w:rPr>
          <w:rFonts w:ascii="Narkisim" w:hAnsi="Narkisim" w:cs="Narkisim"/>
          <w:rtl/>
        </w:rPr>
        <w:t>. וצע"ג. ומבואר בקושיית התוס' דמהני איסור צרת ערוה דהשני לאסור את נפילתה מהראשון. וצ"ב.</w:t>
      </w:r>
    </w:p>
    <w:p w14:paraId="48EB8824" w14:textId="77777777" w:rsidR="006074A5" w:rsidRPr="0041053F" w:rsidRDefault="006074A5" w:rsidP="006074A5">
      <w:pPr>
        <w:pStyle w:val="3"/>
        <w:bidi/>
        <w:rPr>
          <w:rFonts w:ascii="Narkisim" w:hAnsi="Narkisim"/>
        </w:rPr>
      </w:pPr>
      <w:r w:rsidRPr="0041053F">
        <w:rPr>
          <w:rFonts w:ascii="Narkisim" w:hAnsi="Narkisim"/>
          <w:rtl/>
        </w:rPr>
        <w:t>דף ל:</w:t>
      </w:r>
    </w:p>
    <w:p w14:paraId="0ED2A473" w14:textId="77777777" w:rsidR="006074A5" w:rsidRPr="0041053F" w:rsidRDefault="006074A5" w:rsidP="006074A5">
      <w:pPr>
        <w:bidi/>
        <w:rPr>
          <w:rFonts w:ascii="Narkisim" w:hAnsi="Narkisim" w:cs="Narkisim"/>
        </w:rPr>
      </w:pPr>
      <w:r w:rsidRPr="0041053F">
        <w:rPr>
          <w:rFonts w:ascii="Narkisim" w:hAnsi="Narkisim" w:cs="Narkisim"/>
          <w:u w:val="single"/>
          <w:rtl/>
        </w:rPr>
        <w:t>רש"י ד"ה זו היא למעוטי מת.</w:t>
      </w:r>
      <w:r w:rsidRPr="0041053F">
        <w:rPr>
          <w:rFonts w:ascii="Narkisim" w:hAnsi="Narkisim" w:cs="Narkisim"/>
          <w:rtl/>
        </w:rPr>
        <w:t xml:space="preserve"> ואפי' לא כנס וכו' דהואי צרת אחו"א בזיקה. </w:t>
      </w:r>
      <w:r w:rsidRPr="0041053F">
        <w:rPr>
          <w:rFonts w:ascii="Narkisim" w:hAnsi="Narkisim" w:cs="Narkisim"/>
          <w:szCs w:val="20"/>
          <w:rtl/>
        </w:rPr>
        <w:t>ורש"י דן עוד דע"י זיקה יחשב אשת ב' מתים. ותי' דמ"מ לא גזרו כה"ג</w:t>
      </w:r>
      <w:r w:rsidRPr="0041053F">
        <w:rPr>
          <w:rFonts w:ascii="Narkisim" w:hAnsi="Narkisim" w:cs="Narkisim"/>
          <w:rtl/>
        </w:rPr>
        <w:t>.</w:t>
      </w:r>
    </w:p>
    <w:p w14:paraId="41FB7B50"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(ושא"ר) הק' דלדברי רש"י שתי יבמות שנפלו מב' בתים תתייבם רק א'</w:t>
      </w:r>
      <w:r w:rsidRPr="0041053F">
        <w:rPr>
          <w:rStyle w:val="ac"/>
          <w:rFonts w:ascii="Narkisim" w:hAnsi="Narkisim"/>
          <w:rtl/>
        </w:rPr>
        <w:footnoteReference w:id="1851"/>
      </w:r>
      <w:r w:rsidRPr="0041053F">
        <w:rPr>
          <w:rFonts w:ascii="Narkisim" w:hAnsi="Narkisim"/>
          <w:rtl/>
        </w:rPr>
        <w:t>, דהוה צרות בזיקה. [וכתב די"ל כמ"ש רש"י דזיקה דרבנן ולא גזרו]. ועוה"ק הרמב"ן דכיון דמחיים רצה זה כונס וזה כונס, א"כ כשמת השני למה חזרה זיקה זו וניעורה. דהא מחיים אינה זיקה, שא"כ כל יבמה שנפלה לפני ב' אחין לא תתיבם</w:t>
      </w:r>
      <w:r w:rsidRPr="0041053F">
        <w:rPr>
          <w:rStyle w:val="ac"/>
          <w:rFonts w:ascii="Narkisim" w:hAnsi="Narkisim"/>
          <w:rtl/>
        </w:rPr>
        <w:footnoteReference w:id="1852"/>
      </w:r>
      <w:r w:rsidRPr="0041053F">
        <w:rPr>
          <w:rFonts w:ascii="Narkisim" w:hAnsi="Narkisim"/>
          <w:rtl/>
        </w:rPr>
        <w:t>.</w:t>
      </w:r>
    </w:p>
    <w:p w14:paraId="67B673FE" w14:textId="77777777" w:rsidR="006074A5" w:rsidRPr="0041053F" w:rsidRDefault="006074A5" w:rsidP="006074A5">
      <w:pPr>
        <w:pStyle w:val="a7"/>
        <w:bidi/>
        <w:rPr>
          <w:rFonts w:ascii="Narkisim" w:hAnsi="Narkisim"/>
        </w:rPr>
      </w:pPr>
      <w:r w:rsidRPr="0041053F">
        <w:rPr>
          <w:rFonts w:ascii="Narkisim" w:hAnsi="Narkisim"/>
          <w:rtl/>
        </w:rPr>
        <w:t>ועוה"ק הרמב"ן דהערוה עומדת עם בעלה, א"כ הוה צרת ערוה שלא במקום מצוה ושריא</w:t>
      </w:r>
      <w:r w:rsidRPr="0041053F">
        <w:rPr>
          <w:rStyle w:val="ac"/>
          <w:rFonts w:ascii="Narkisim" w:hAnsi="Narkisim"/>
          <w:rtl/>
        </w:rPr>
        <w:footnoteReference w:id="1853"/>
      </w:r>
      <w:r w:rsidRPr="0041053F">
        <w:rPr>
          <w:rFonts w:ascii="Narkisim" w:hAnsi="Narkisim"/>
          <w:rtl/>
        </w:rPr>
        <w:t>, א"כ אף כשמת האיך אסור. ודוקא היכא מת א' מבעלי אחיות הוה צרות בזיקה, דעומדות להתיבם, ומש"ה הויין להו צרות ואסורות. וע"ד הא דאי' (לעיל יח:) לר' שמעון דזיקה ככנוסה דמיא. [וע"ע רשב"א ותוס' רא"ש לעיל שם].</w:t>
      </w:r>
    </w:p>
    <w:p w14:paraId="5D8CBF7F"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ביאר דחשבינן לה כאילו נתייבמה אצל זה שמת, ונפלה היא והערוה מביתו</w:t>
      </w:r>
      <w:r w:rsidRPr="0041053F">
        <w:rPr>
          <w:rStyle w:val="ac"/>
          <w:rFonts w:ascii="Narkisim" w:hAnsi="Narkisim"/>
          <w:rtl/>
        </w:rPr>
        <w:footnoteReference w:id="1854"/>
      </w:r>
      <w:r w:rsidRPr="0041053F">
        <w:rPr>
          <w:rFonts w:ascii="Narkisim" w:hAnsi="Narkisim"/>
          <w:rtl/>
        </w:rPr>
        <w:t>.</w:t>
      </w:r>
    </w:p>
    <w:p w14:paraId="7B9B5E60" w14:textId="77777777" w:rsidR="006074A5" w:rsidRPr="0041053F" w:rsidRDefault="006074A5" w:rsidP="006074A5">
      <w:pPr>
        <w:pStyle w:val="a7"/>
        <w:bidi/>
        <w:rPr>
          <w:rFonts w:ascii="Narkisim" w:hAnsi="Narkisim"/>
        </w:rPr>
      </w:pPr>
      <w:r w:rsidRPr="0041053F">
        <w:rPr>
          <w:rFonts w:ascii="Narkisim" w:hAnsi="Narkisim"/>
          <w:rtl/>
        </w:rPr>
        <w:t>ושוב דחה הרשב"א דאינו מחוור, דא"כ אתה עושה אותן צרות לאחר מיתה, וב</w:t>
      </w:r>
      <w:r w:rsidRPr="0041053F">
        <w:rPr>
          <w:rFonts w:ascii="Narkisim" w:hAnsi="Narkisim"/>
          <w:b/>
          <w:bCs/>
          <w:rtl/>
        </w:rPr>
        <w:t>ירושלמי</w:t>
      </w:r>
      <w:r w:rsidRPr="0041053F">
        <w:rPr>
          <w:rFonts w:ascii="Narkisim" w:hAnsi="Narkisim"/>
          <w:rtl/>
        </w:rPr>
        <w:t xml:space="preserve"> אית' דאין צרות לאחר מיתה</w:t>
      </w:r>
      <w:r w:rsidRPr="0041053F">
        <w:rPr>
          <w:rStyle w:val="ac"/>
          <w:rFonts w:ascii="Narkisim" w:hAnsi="Narkisim"/>
          <w:rtl/>
        </w:rPr>
        <w:footnoteReference w:id="1855"/>
      </w:r>
      <w:r w:rsidRPr="0041053F">
        <w:rPr>
          <w:rFonts w:ascii="Narkisim" w:hAnsi="Narkisim"/>
          <w:rtl/>
        </w:rPr>
        <w:t xml:space="preserve">. ויבמה זו שמתחילה ועד סוף זקוקה היתה זקוקה, עכשיו תעכב זיקת אחיו שמת. </w:t>
      </w:r>
      <w:r w:rsidRPr="0041053F">
        <w:rPr>
          <w:rFonts w:ascii="Narkisim" w:hAnsi="Narkisim"/>
          <w:sz w:val="20"/>
          <w:szCs w:val="20"/>
          <w:rtl/>
        </w:rPr>
        <w:t>יציבא בארעא וגיורא בשמי שמיא.</w:t>
      </w:r>
    </w:p>
    <w:p w14:paraId="128070A7"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ביארו דלרש"י י"ל דנחשב שיש חיוב יבום מחמת מקצת האישות שע"י הזיקה לשני. ובנפילה שניה זו הוה ערוה בשעת נפילה. ואף דמחיים אמרי' דיש ליבם זכות כנגד זיקת אחיו </w:t>
      </w:r>
      <w:r w:rsidRPr="0041053F">
        <w:rPr>
          <w:rFonts w:ascii="Narkisim" w:hAnsi="Narkisim" w:cs="Narkisim"/>
          <w:sz w:val="20"/>
          <w:szCs w:val="20"/>
          <w:rtl/>
        </w:rPr>
        <w:t>[דגדר הזיקה שזקוקה לשניהם, ויכול לבטל זכות השני, או משום דנתברר שזקוקה לו ולא לאחיו]</w:t>
      </w:r>
      <w:r w:rsidRPr="0041053F">
        <w:rPr>
          <w:rFonts w:ascii="Narkisim" w:hAnsi="Narkisim" w:cs="Narkisim"/>
          <w:rtl/>
        </w:rPr>
        <w:t>, כיון דמת אינו יכול לבטל זכות השני. וכ"כ ה</w:t>
      </w:r>
      <w:r w:rsidRPr="0041053F">
        <w:rPr>
          <w:rFonts w:ascii="Narkisim" w:hAnsi="Narkisim" w:cs="Narkisim"/>
          <w:b/>
          <w:bCs/>
          <w:rtl/>
        </w:rPr>
        <w:t>רשב"א</w:t>
      </w:r>
      <w:r w:rsidRPr="0041053F">
        <w:rPr>
          <w:rFonts w:ascii="Narkisim" w:hAnsi="Narkisim" w:cs="Narkisim"/>
          <w:rtl/>
        </w:rPr>
        <w:t xml:space="preserve"> ו</w:t>
      </w:r>
      <w:r w:rsidRPr="0041053F">
        <w:rPr>
          <w:rFonts w:ascii="Narkisim" w:hAnsi="Narkisim" w:cs="Narkisim"/>
          <w:b/>
          <w:bCs/>
          <w:rtl/>
        </w:rPr>
        <w:t>תוס' הרא"ש</w:t>
      </w:r>
      <w:r w:rsidRPr="0041053F">
        <w:rPr>
          <w:rFonts w:ascii="Narkisim" w:hAnsi="Narkisim" w:cs="Narkisim"/>
          <w:rtl/>
        </w:rPr>
        <w:t xml:space="preserve"> (יח:) בדעת ר"א לר' שמעון דזיזקה ככנוסה דכשמת ולא ייבם אמרי' דהותר מדין אשת אחיו שלא היה בעולמו. </w:t>
      </w:r>
      <w:r w:rsidRPr="0041053F">
        <w:rPr>
          <w:rFonts w:ascii="Narkisim" w:hAnsi="Narkisim" w:cs="Narkisim"/>
          <w:sz w:val="20"/>
          <w:szCs w:val="20"/>
          <w:rtl/>
        </w:rPr>
        <w:t>[וצ"ב אמאי תמה הרשב"א כאן על דברי רש"י</w:t>
      </w:r>
      <w:r w:rsidRPr="0041053F">
        <w:rPr>
          <w:rStyle w:val="ac"/>
          <w:rFonts w:ascii="Narkisim" w:hAnsi="Narkisim" w:cs="Narkisim"/>
          <w:sz w:val="20"/>
          <w:szCs w:val="20"/>
          <w:rtl/>
        </w:rPr>
        <w:footnoteReference w:id="1856"/>
      </w:r>
      <w:r w:rsidRPr="0041053F">
        <w:rPr>
          <w:rFonts w:ascii="Narkisim" w:hAnsi="Narkisim" w:cs="Narkisim"/>
          <w:sz w:val="20"/>
          <w:szCs w:val="20"/>
          <w:rtl/>
        </w:rPr>
        <w:t>].</w:t>
      </w:r>
    </w:p>
    <w:p w14:paraId="646E802C" w14:textId="77777777" w:rsidR="006074A5" w:rsidRPr="0041053F" w:rsidRDefault="006074A5" w:rsidP="006074A5">
      <w:pPr>
        <w:pStyle w:val="a8"/>
        <w:bidi/>
        <w:rPr>
          <w:rFonts w:ascii="Narkisim" w:hAnsi="Narkisim"/>
        </w:rPr>
      </w:pPr>
      <w:r w:rsidRPr="0041053F">
        <w:rPr>
          <w:rFonts w:ascii="Narkisim" w:hAnsi="Narkisim"/>
          <w:rtl/>
        </w:rPr>
        <w:t>[ועוד צ"ב קו' הרשב"א דנחשב צרת ערוה שלא בשעת נפילה, הרי יש כאן נפילה שניה מחמת השני, בזיקה</w:t>
      </w:r>
      <w:r w:rsidRPr="0041053F">
        <w:rPr>
          <w:rStyle w:val="ac"/>
          <w:rFonts w:ascii="Narkisim" w:hAnsi="Narkisim"/>
          <w:rtl/>
        </w:rPr>
        <w:footnoteReference w:id="1857"/>
      </w:r>
      <w:r w:rsidRPr="0041053F">
        <w:rPr>
          <w:rFonts w:ascii="Narkisim" w:hAnsi="Narkisim"/>
          <w:rtl/>
        </w:rPr>
        <w:t>. ומשמע דס"ד דהרשב"א דהאיסור צרת ערוה דנפילה בזיקה אוסרת את הנפילה הראשונה, אלא דהקשה דהוה צרה לאחר נפילה</w:t>
      </w:r>
      <w:r w:rsidRPr="0041053F">
        <w:rPr>
          <w:rStyle w:val="ac"/>
          <w:rFonts w:ascii="Narkisim" w:hAnsi="Narkisim"/>
          <w:rtl/>
        </w:rPr>
        <w:footnoteReference w:id="1858"/>
      </w:r>
      <w:r w:rsidRPr="0041053F">
        <w:rPr>
          <w:rFonts w:ascii="Narkisim" w:hAnsi="Narkisim"/>
          <w:rtl/>
        </w:rPr>
        <w:t>].</w:t>
      </w:r>
    </w:p>
    <w:p w14:paraId="7E37F917"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ריא"ז</w:t>
      </w:r>
      <w:r w:rsidRPr="0041053F">
        <w:rPr>
          <w:rFonts w:ascii="Narkisim" w:hAnsi="Narkisim" w:cs="Narkisim"/>
          <w:b/>
          <w:bCs/>
          <w:sz w:val="20"/>
          <w:szCs w:val="20"/>
          <w:rtl/>
        </w:rPr>
        <w:t xml:space="preserve"> </w:t>
      </w:r>
      <w:r w:rsidRPr="0041053F">
        <w:rPr>
          <w:rFonts w:ascii="Narkisim" w:hAnsi="Narkisim" w:cs="Narkisim"/>
          <w:sz w:val="20"/>
          <w:szCs w:val="20"/>
          <w:rtl/>
        </w:rPr>
        <w:t xml:space="preserve">(הו' בשלט"ג ח: ורמ"א קעה ח) </w:t>
      </w:r>
      <w:r w:rsidRPr="0041053F">
        <w:rPr>
          <w:rFonts w:ascii="Narkisim" w:hAnsi="Narkisim" w:cs="Narkisim"/>
          <w:rtl/>
        </w:rPr>
        <w:t xml:space="preserve">כתב דג' אחים, ומת א' מהם ואשתו זקוקה לב' אחיו. אם היו בנים לא' מהם ומת, אסורה לאח שנשאר הואיל והיתה זקוקה לאחיו שיש לו בנים, והרי היא כאשת אחיו שיש לו בנים, ואסורה. </w:t>
      </w:r>
      <w:r w:rsidRPr="0041053F">
        <w:rPr>
          <w:rFonts w:ascii="Narkisim" w:hAnsi="Narkisim" w:cs="Narkisim"/>
          <w:sz w:val="20"/>
          <w:szCs w:val="20"/>
          <w:rtl/>
        </w:rPr>
        <w:t>וע"פ דעת רש"י דכיון דזקוקה לאח השני נחשבת צרת ערוה מחמתו. אבל ה</w:t>
      </w:r>
      <w:r w:rsidRPr="0041053F">
        <w:rPr>
          <w:rFonts w:ascii="Narkisim" w:hAnsi="Narkisim" w:cs="Narkisim"/>
          <w:b/>
          <w:bCs/>
          <w:sz w:val="20"/>
          <w:szCs w:val="20"/>
          <w:rtl/>
        </w:rPr>
        <w:t>קר"א</w:t>
      </w:r>
      <w:r w:rsidRPr="0041053F">
        <w:rPr>
          <w:rFonts w:ascii="Narkisim" w:hAnsi="Narkisim" w:cs="Narkisim"/>
          <w:sz w:val="20"/>
          <w:szCs w:val="20"/>
          <w:rtl/>
        </w:rPr>
        <w:t xml:space="preserve"> כת' די"ל דדוקא היכא דאחיו השני מת בלא בנים, ומיחזי שנפלה אף מחמתו.</w:t>
      </w:r>
    </w:p>
    <w:p w14:paraId="445BD0C8" w14:textId="77777777" w:rsidR="006074A5" w:rsidRPr="0041053F" w:rsidRDefault="006074A5" w:rsidP="006074A5">
      <w:pPr>
        <w:bidi/>
        <w:rPr>
          <w:rFonts w:ascii="Narkisim" w:hAnsi="Narkisim" w:cs="Narkisim"/>
        </w:rPr>
      </w:pPr>
      <w:r w:rsidRPr="0041053F">
        <w:rPr>
          <w:rFonts w:ascii="Narkisim" w:hAnsi="Narkisim" w:cs="Narkisim"/>
          <w:u w:val="single"/>
          <w:rtl/>
        </w:rPr>
        <w:t>ע"כ כרב אשי ס"ל.</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(שם) דרבא לא דייק למתני' כרב אשי, דהא רבא מיתה מפלת ס"ל. אבל רב אשי דייק מהמשנה דנישואין מפילין.</w:t>
      </w:r>
    </w:p>
    <w:p w14:paraId="11655204" w14:textId="77777777" w:rsidR="006074A5" w:rsidRPr="0041053F" w:rsidRDefault="006074A5" w:rsidP="006074A5">
      <w:pPr>
        <w:pStyle w:val="a7"/>
        <w:bidi/>
        <w:rPr>
          <w:rFonts w:ascii="Narkisim" w:hAnsi="Narkisim"/>
        </w:rPr>
      </w:pPr>
      <w:r w:rsidRPr="0041053F">
        <w:rPr>
          <w:rFonts w:ascii="Narkisim" w:hAnsi="Narkisim"/>
          <w:rtl/>
        </w:rPr>
        <w:t>ועפ"ז כת' ה</w:t>
      </w:r>
      <w:r w:rsidRPr="0041053F">
        <w:rPr>
          <w:rFonts w:ascii="Narkisim" w:hAnsi="Narkisim"/>
          <w:b/>
          <w:bCs/>
          <w:rtl/>
        </w:rPr>
        <w:t>בעה"מ</w:t>
      </w:r>
      <w:r w:rsidRPr="0041053F">
        <w:rPr>
          <w:rFonts w:ascii="Narkisim" w:hAnsi="Narkisim"/>
          <w:rtl/>
        </w:rPr>
        <w:t xml:space="preserve"> דנקטינן לחומרא כרב אשי [דנישואין מפילים]. וה</w:t>
      </w:r>
      <w:r w:rsidRPr="0041053F">
        <w:rPr>
          <w:rFonts w:ascii="Narkisim" w:hAnsi="Narkisim"/>
          <w:b/>
          <w:bCs/>
          <w:rtl/>
        </w:rPr>
        <w:t>מלחמות</w:t>
      </w:r>
      <w:r w:rsidRPr="0041053F">
        <w:rPr>
          <w:rFonts w:ascii="Narkisim" w:hAnsi="Narkisim"/>
          <w:rtl/>
        </w:rPr>
        <w:t xml:space="preserve"> האריך לחלוק </w:t>
      </w:r>
      <w:r w:rsidRPr="0041053F">
        <w:rPr>
          <w:rFonts w:ascii="Narkisim" w:hAnsi="Narkisim"/>
          <w:rtl/>
        </w:rPr>
        <w:lastRenderedPageBreak/>
        <w:t>דלא קי"ל נישואין מפילין, דקי"ל כמשנה (לעיל ב:).</w:t>
      </w:r>
      <w:r w:rsidRPr="0041053F">
        <w:rPr>
          <w:rFonts w:ascii="Narkisim" w:hAnsi="Narkisim"/>
          <w:sz w:val="20"/>
          <w:szCs w:val="20"/>
          <w:rtl/>
        </w:rPr>
        <w:t xml:space="preserve"> ואף דתנא דפירקין ס"ל נישואין מפילין, הא תנא דפ"ק, ולקמן (סז: דנפל הבית, הו' לא.) ס"ל מתה מפלת. ועוד דלא קי"ל כר' אלעזר (במשנה לקמן קט. והו' מא.) דהמגרש את האשה והחזירה אינה מתייבמת [ודן בדברי הגמ' מא.].</w:t>
      </w:r>
    </w:p>
    <w:p w14:paraId="77081042"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ראב"ד</w:t>
      </w:r>
      <w:r w:rsidRPr="0041053F">
        <w:rPr>
          <w:rFonts w:ascii="Narkisim" w:hAnsi="Narkisim"/>
          <w:rtl/>
        </w:rPr>
        <w:t xml:space="preserve"> </w:t>
      </w:r>
      <w:r w:rsidRPr="0041053F">
        <w:rPr>
          <w:rFonts w:ascii="Narkisim" w:hAnsi="Narkisim"/>
          <w:sz w:val="20"/>
          <w:szCs w:val="20"/>
          <w:rtl/>
        </w:rPr>
        <w:t>(כתוב שם, והו' בראשונים ובתו' חד מקמאי ועוי"ל)</w:t>
      </w:r>
      <w:r w:rsidRPr="0041053F">
        <w:rPr>
          <w:rFonts w:ascii="Narkisim" w:hAnsi="Narkisim"/>
          <w:rtl/>
        </w:rPr>
        <w:t xml:space="preserve"> כת' דרב אשי אמר רק ש"מ יש זיקה. וסתמא דגמ' דייק מת ואח"כ גירש, ולא קי"ל כהך דיוק. וי"ל דאף רב אשי לא ס"ל הך דיוק, וי"ל דרב אשי ס"ל מיתה מפלת. ולמסקנ' י"ל דר"א דייק כרבא מת ולא גירש.</w:t>
      </w:r>
    </w:p>
    <w:p w14:paraId="0B64A5A5" w14:textId="77777777" w:rsidR="006074A5" w:rsidRPr="0041053F" w:rsidRDefault="006074A5" w:rsidP="006074A5">
      <w:pPr>
        <w:bidi/>
        <w:rPr>
          <w:rFonts w:ascii="Narkisim" w:hAnsi="Narkisim" w:cs="Narkisim"/>
        </w:rPr>
      </w:pPr>
      <w:r w:rsidRPr="0041053F">
        <w:rPr>
          <w:rFonts w:ascii="Narkisim" w:hAnsi="Narkisim" w:cs="Narkisim"/>
          <w:i/>
          <w:iCs/>
          <w:sz w:val="21"/>
          <w:szCs w:val="21"/>
          <w:rtl/>
        </w:rPr>
        <w:t>דעת הרי"ף</w:t>
      </w:r>
      <w:r w:rsidRPr="0041053F">
        <w:rPr>
          <w:rFonts w:ascii="Narkisim" w:hAnsi="Narkisim" w:cs="Narkisim"/>
          <w:rtl/>
        </w:rPr>
        <w:t xml:space="preserve"> - ב</w:t>
      </w:r>
      <w:r w:rsidRPr="0041053F">
        <w:rPr>
          <w:rFonts w:ascii="Narkisim" w:hAnsi="Narkisim" w:cs="Narkisim"/>
          <w:b/>
          <w:bCs/>
          <w:rtl/>
        </w:rPr>
        <w:t>רי"ף</w:t>
      </w:r>
      <w:r w:rsidRPr="0041053F">
        <w:rPr>
          <w:rFonts w:ascii="Narkisim" w:hAnsi="Narkisim" w:cs="Narkisim"/>
          <w:rtl/>
        </w:rPr>
        <w:t xml:space="preserve"> מבואר דדברי רב אשי [לאסור מת ואח"כ גירש] קאי אף למ"ד מתה מפלת. וה</w:t>
      </w:r>
      <w:r w:rsidRPr="0041053F">
        <w:rPr>
          <w:rFonts w:ascii="Narkisim" w:hAnsi="Narkisim" w:cs="Narkisim"/>
          <w:b/>
          <w:bCs/>
          <w:rtl/>
        </w:rPr>
        <w:t>רי"ף</w:t>
      </w:r>
      <w:r w:rsidRPr="0041053F">
        <w:rPr>
          <w:rFonts w:ascii="Narkisim" w:hAnsi="Narkisim" w:cs="Narkisim"/>
          <w:rtl/>
        </w:rPr>
        <w:t xml:space="preserve"> ביאר דאף דמשום ערוה לא גזרי', ערוה מיגמר גמירי ויש קול. א"נ התם מהני גירושין, שמגרש מקמי נפילה, אבל גבי נכרית באיסור זיקה נופלת, ול"מ גירושין.</w:t>
      </w:r>
    </w:p>
    <w:p w14:paraId="2F33738C"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ביארו דהוה תקנה, וגזרו משום דמיחזי שנפלה לפניו בנפילה ראשונה. דכיון דנפלה לו ביבום מאחיו, גזרו כאילו היתה צרתה מנפילה ראשונה</w:t>
      </w:r>
      <w:r w:rsidRPr="0041053F">
        <w:rPr>
          <w:rStyle w:val="ac"/>
          <w:rFonts w:ascii="Narkisim" w:hAnsi="Narkisim"/>
          <w:rtl/>
        </w:rPr>
        <w:footnoteReference w:id="1859"/>
      </w:r>
      <w:r w:rsidRPr="0041053F">
        <w:rPr>
          <w:rFonts w:ascii="Narkisim" w:hAnsi="Narkisim"/>
          <w:rtl/>
        </w:rPr>
        <w:t>. אבל כשנשא [אח"כ] אשה מעלמא, אינה נחשב צרת ערוה אלא בשעת מיתה.</w:t>
      </w:r>
    </w:p>
    <w:p w14:paraId="63E49C12"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כת' [בדעת הרי"ף] דאיירי דוקא אם כנסה השני, ועי"ז גזרו כשנופלת בנפילה שניה [עי"ש שדן עפ"ז בגירסא]. אבל אם לא כנס אינה נאסרת </w:t>
      </w:r>
      <w:r w:rsidRPr="0041053F">
        <w:rPr>
          <w:rFonts w:ascii="Narkisim" w:hAnsi="Narkisim"/>
          <w:sz w:val="20"/>
          <w:szCs w:val="20"/>
          <w:rtl/>
        </w:rPr>
        <w:t>[דנתברר דאינה זקוקה לו</w:t>
      </w:r>
      <w:r w:rsidRPr="0041053F">
        <w:rPr>
          <w:rFonts w:ascii="Narkisim" w:hAnsi="Narkisim"/>
          <w:rtl/>
        </w:rPr>
        <w:t>]. וה</w:t>
      </w:r>
      <w:r w:rsidRPr="0041053F">
        <w:rPr>
          <w:rFonts w:ascii="Narkisim" w:hAnsi="Narkisim"/>
          <w:b/>
          <w:bCs/>
          <w:rtl/>
        </w:rPr>
        <w:t>רמב"ן</w:t>
      </w:r>
      <w:r w:rsidRPr="0041053F">
        <w:rPr>
          <w:rFonts w:ascii="Narkisim" w:hAnsi="Narkisim"/>
          <w:rtl/>
        </w:rPr>
        <w:t xml:space="preserve"> נסתפק בזה בדעת הרי"ף.</w:t>
      </w:r>
    </w:p>
    <w:p w14:paraId="5444530D"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מהרש"ל</w:t>
      </w:r>
      <w:r w:rsidRPr="0041053F">
        <w:rPr>
          <w:rFonts w:ascii="Narkisim" w:hAnsi="Narkisim"/>
          <w:rtl/>
        </w:rPr>
        <w:t xml:space="preserve"> כת' בדעת הרי"ף דאם כנסה השני מותרת. דלא גרע מנשא אשה מעלמא, דניתרת כשגירש את הערוה וזקוקה מחמת נישואין השניים </w:t>
      </w:r>
      <w:r w:rsidRPr="0041053F">
        <w:rPr>
          <w:rFonts w:ascii="Narkisim" w:hAnsi="Narkisim"/>
          <w:sz w:val="20"/>
          <w:szCs w:val="20"/>
          <w:rtl/>
        </w:rPr>
        <w:t>[דקי"ל מיתה מפלת].</w:t>
      </w:r>
      <w:r w:rsidRPr="0041053F">
        <w:rPr>
          <w:rFonts w:ascii="Narkisim" w:hAnsi="Narkisim"/>
          <w:rtl/>
        </w:rPr>
        <w:t xml:space="preserve"> והכא איירי דלא כנס, וכשמת נראית כצרת ערוה [משעת מיתת אחיו, דנראה כמקום מצוה]. </w:t>
      </w:r>
      <w:r w:rsidRPr="0041053F">
        <w:rPr>
          <w:rFonts w:ascii="Narkisim" w:hAnsi="Narkisim"/>
          <w:sz w:val="20"/>
          <w:szCs w:val="20"/>
          <w:rtl/>
        </w:rPr>
        <w:t>[והמהרש"א פליג, וכרשב"א].</w:t>
      </w:r>
      <w:r w:rsidRPr="0041053F">
        <w:rPr>
          <w:rFonts w:ascii="Narkisim" w:hAnsi="Narkisim"/>
          <w:rtl/>
        </w:rPr>
        <w:t xml:space="preserve"> וה</w:t>
      </w:r>
      <w:r w:rsidRPr="0041053F">
        <w:rPr>
          <w:rFonts w:ascii="Narkisim" w:hAnsi="Narkisim"/>
          <w:b/>
          <w:bCs/>
          <w:rtl/>
        </w:rPr>
        <w:t>גר"א</w:t>
      </w:r>
      <w:r w:rsidRPr="0041053F">
        <w:rPr>
          <w:rFonts w:ascii="Narkisim" w:hAnsi="Narkisim"/>
          <w:rtl/>
        </w:rPr>
        <w:t xml:space="preserve"> (קעה יח ושאר אחרונים) הביא דב</w:t>
      </w:r>
      <w:r w:rsidRPr="0041053F">
        <w:rPr>
          <w:rFonts w:ascii="Narkisim" w:hAnsi="Narkisim"/>
          <w:b/>
          <w:bCs/>
          <w:rtl/>
        </w:rPr>
        <w:t>רמב"ם</w:t>
      </w:r>
      <w:r w:rsidRPr="0041053F">
        <w:rPr>
          <w:rFonts w:ascii="Narkisim" w:hAnsi="Narkisim"/>
          <w:rtl/>
        </w:rPr>
        <w:t xml:space="preserve"> (ו כה) משמע כמהרש"ל</w:t>
      </w:r>
      <w:r w:rsidRPr="0041053F">
        <w:rPr>
          <w:rStyle w:val="ac"/>
          <w:rFonts w:ascii="Narkisim" w:hAnsi="Narkisim"/>
          <w:rtl/>
        </w:rPr>
        <w:footnoteReference w:id="1860"/>
      </w:r>
      <w:r w:rsidRPr="0041053F">
        <w:rPr>
          <w:rFonts w:ascii="Narkisim" w:hAnsi="Narkisim"/>
          <w:rtl/>
        </w:rPr>
        <w:t xml:space="preserve">. </w:t>
      </w:r>
      <w:r w:rsidRPr="0041053F">
        <w:rPr>
          <w:rFonts w:ascii="Narkisim" w:hAnsi="Narkisim"/>
          <w:sz w:val="20"/>
          <w:szCs w:val="20"/>
          <w:rtl/>
        </w:rPr>
        <w:t>[וה</w:t>
      </w:r>
      <w:r w:rsidRPr="0041053F">
        <w:rPr>
          <w:rFonts w:ascii="Narkisim" w:hAnsi="Narkisim"/>
          <w:b/>
          <w:bCs/>
          <w:sz w:val="20"/>
          <w:szCs w:val="20"/>
          <w:rtl/>
        </w:rPr>
        <w:t>אחרונים</w:t>
      </w:r>
      <w:r w:rsidRPr="0041053F">
        <w:rPr>
          <w:rFonts w:ascii="Narkisim" w:hAnsi="Narkisim"/>
          <w:sz w:val="20"/>
          <w:szCs w:val="20"/>
          <w:rtl/>
        </w:rPr>
        <w:t xml:space="preserve"> דנו דתליא בב' הטעמים ברי"ף].</w:t>
      </w:r>
    </w:p>
    <w:p w14:paraId="5C3304DE" w14:textId="77777777" w:rsidR="006074A5" w:rsidRPr="0041053F" w:rsidRDefault="006074A5" w:rsidP="006074A5">
      <w:pPr>
        <w:pStyle w:val="2"/>
        <w:bidi/>
        <w:rPr>
          <w:rFonts w:ascii="Narkisim" w:hAnsi="Narkisim"/>
        </w:rPr>
      </w:pPr>
      <w:r w:rsidRPr="0041053F">
        <w:rPr>
          <w:rFonts w:ascii="Narkisim" w:hAnsi="Narkisim"/>
          <w:rtl/>
        </w:rPr>
        <w:t>ספק קידושין וגירושין</w:t>
      </w:r>
    </w:p>
    <w:p w14:paraId="2C4EAF1D" w14:textId="77777777" w:rsidR="006074A5" w:rsidRPr="0041053F" w:rsidRDefault="006074A5" w:rsidP="006074A5">
      <w:pPr>
        <w:bidi/>
        <w:rPr>
          <w:rFonts w:ascii="Narkisim" w:hAnsi="Narkisim" w:cs="Narkisim"/>
        </w:rPr>
      </w:pPr>
      <w:r w:rsidRPr="0041053F">
        <w:rPr>
          <w:rFonts w:ascii="Narkisim" w:hAnsi="Narkisim" w:cs="Narkisim"/>
          <w:u w:val="single"/>
          <w:rtl/>
        </w:rPr>
        <w:t>רש"י ד"ה ספק קרוב לו.</w:t>
      </w:r>
      <w:r w:rsidRPr="0041053F">
        <w:rPr>
          <w:rFonts w:ascii="Narkisim" w:hAnsi="Narkisim" w:cs="Narkisim"/>
          <w:rtl/>
        </w:rPr>
        <w:t xml:space="preserve"> שהיו ח' אמות מצומצמות ביניהם</w:t>
      </w:r>
      <w:r w:rsidRPr="0041053F">
        <w:rPr>
          <w:rStyle w:val="ac"/>
          <w:rFonts w:ascii="Narkisim" w:hAnsi="Narkisim" w:cs="Narkisim"/>
          <w:rtl/>
        </w:rPr>
        <w:footnoteReference w:id="1861"/>
      </w:r>
      <w:r w:rsidRPr="0041053F">
        <w:rPr>
          <w:rFonts w:ascii="Narkisim" w:hAnsi="Narkisim" w:cs="Narkisim"/>
          <w:rtl/>
        </w:rPr>
        <w:t>. ה</w:t>
      </w:r>
      <w:r w:rsidRPr="0041053F">
        <w:rPr>
          <w:rFonts w:ascii="Narkisim" w:hAnsi="Narkisim" w:cs="Narkisim"/>
          <w:b/>
          <w:bCs/>
          <w:rtl/>
        </w:rPr>
        <w:t>רשב"א</w:t>
      </w:r>
      <w:r w:rsidRPr="0041053F">
        <w:rPr>
          <w:rFonts w:ascii="Narkisim" w:hAnsi="Narkisim" w:cs="Narkisim"/>
          <w:rtl/>
        </w:rPr>
        <w:t xml:space="preserve"> הק' למה נדחק להעמיד כן, הא בפשוטו איירי דהעדים נסתפקו למי קרוב [או האם יכולים לשומרה]. [ע' בגמ'].</w:t>
      </w:r>
    </w:p>
    <w:p w14:paraId="61A0A5AE" w14:textId="77777777" w:rsidR="006074A5" w:rsidRPr="0041053F" w:rsidRDefault="006074A5" w:rsidP="006074A5">
      <w:pPr>
        <w:pStyle w:val="a8"/>
        <w:bidi/>
        <w:rPr>
          <w:rFonts w:ascii="Narkisim" w:hAnsi="Narkisim"/>
        </w:rPr>
      </w:pPr>
      <w:r w:rsidRPr="0041053F">
        <w:rPr>
          <w:rFonts w:ascii="Narkisim" w:hAnsi="Narkisim"/>
          <w:rtl/>
        </w:rPr>
        <w:t>וב</w:t>
      </w:r>
      <w:r w:rsidRPr="0041053F">
        <w:rPr>
          <w:rFonts w:ascii="Narkisim" w:hAnsi="Narkisim"/>
          <w:b/>
          <w:bCs/>
          <w:rtl/>
        </w:rPr>
        <w:t>גמ'</w:t>
      </w:r>
      <w:r w:rsidRPr="0041053F">
        <w:rPr>
          <w:rFonts w:ascii="Narkisim" w:hAnsi="Narkisim"/>
          <w:rtl/>
        </w:rPr>
        <w:t xml:space="preserve"> (גיטין עח.) מק' [על המשנה שם]. וליחזי האי מינייהו קדים. ורב כהנא תי' דח' אמות מצומצמות. והגמ' מק' דהגט אגיד גביה. ורבה ורב יוסף תי' בתרי ותרי. ו</w:t>
      </w:r>
      <w:r w:rsidRPr="0041053F">
        <w:rPr>
          <w:rFonts w:ascii="Narkisim" w:hAnsi="Narkisim"/>
          <w:b/>
          <w:bCs/>
          <w:rtl/>
        </w:rPr>
        <w:t>רש"י</w:t>
      </w:r>
      <w:r w:rsidRPr="0041053F">
        <w:rPr>
          <w:rFonts w:ascii="Narkisim" w:hAnsi="Narkisim"/>
          <w:rtl/>
        </w:rPr>
        <w:t xml:space="preserve"> בסוגיין נקט כהו"א. אבל ה</w:t>
      </w:r>
      <w:r w:rsidRPr="0041053F">
        <w:rPr>
          <w:rFonts w:ascii="Narkisim" w:hAnsi="Narkisim"/>
          <w:b/>
          <w:bCs/>
          <w:rtl/>
        </w:rPr>
        <w:t>רשב"א</w:t>
      </w:r>
      <w:r w:rsidRPr="0041053F">
        <w:rPr>
          <w:rFonts w:ascii="Narkisim" w:hAnsi="Narkisim"/>
          <w:rtl/>
        </w:rPr>
        <w:t xml:space="preserve"> דחה דקאי אמתני' דהתם דאיתא מחצה על מחצה. אבל במשנה דידן איתא ספק. ואי"צ להעמיד כה"ג.</w:t>
      </w:r>
    </w:p>
    <w:p w14:paraId="6B00DC40" w14:textId="77777777" w:rsidR="006074A5" w:rsidRPr="0041053F" w:rsidRDefault="006074A5" w:rsidP="006074A5">
      <w:pPr>
        <w:bidi/>
        <w:rPr>
          <w:rFonts w:ascii="Narkisim" w:hAnsi="Narkisim" w:cs="Narkisim"/>
        </w:rPr>
      </w:pPr>
      <w:r w:rsidRPr="0041053F">
        <w:rPr>
          <w:rFonts w:ascii="Narkisim" w:hAnsi="Narkisim" w:cs="Narkisim"/>
          <w:u w:val="single"/>
          <w:rtl/>
        </w:rPr>
        <w:t>ספק גירושין, כתב בכת"י וכו'.</w:t>
      </w:r>
      <w:r w:rsidRPr="0041053F">
        <w:rPr>
          <w:rFonts w:ascii="Narkisim" w:hAnsi="Narkisim" w:cs="Narkisim"/>
          <w:rtl/>
        </w:rPr>
        <w:t xml:space="preserve"> [דתנן </w:t>
      </w:r>
      <w:r w:rsidRPr="0041053F">
        <w:rPr>
          <w:rFonts w:ascii="Narkisim" w:hAnsi="Narkisim" w:cs="Narkisim"/>
          <w:szCs w:val="20"/>
          <w:rtl/>
        </w:rPr>
        <w:t>(גיטין פו.)</w:t>
      </w:r>
      <w:r w:rsidRPr="0041053F">
        <w:rPr>
          <w:rFonts w:ascii="Narkisim" w:hAnsi="Narkisim" w:cs="Narkisim"/>
          <w:rtl/>
        </w:rPr>
        <w:t xml:space="preserve"> דהנך ג' גיטין פסולים {מדרבנן}, ואם נשאת הולד כשר]. ופ</w:t>
      </w:r>
      <w:r w:rsidRPr="0041053F">
        <w:rPr>
          <w:rFonts w:ascii="Narkisim" w:hAnsi="Narkisim" w:cs="Narkisim"/>
          <w:b/>
          <w:bCs/>
          <w:rtl/>
        </w:rPr>
        <w:t>רש"י</w:t>
      </w:r>
      <w:r w:rsidRPr="0041053F">
        <w:rPr>
          <w:rFonts w:ascii="Narkisim" w:hAnsi="Narkisim" w:cs="Narkisim"/>
          <w:rtl/>
        </w:rPr>
        <w:t xml:space="preserve"> דה"נ צרת הערוה חולצת, דמדינא הוה גט</w:t>
      </w:r>
      <w:r w:rsidRPr="0041053F">
        <w:rPr>
          <w:rStyle w:val="ac"/>
          <w:rFonts w:ascii="Narkisim" w:hAnsi="Narkisim" w:cs="Narkisim"/>
          <w:rtl/>
        </w:rPr>
        <w:footnoteReference w:id="1862"/>
      </w:r>
      <w:r w:rsidRPr="0041053F">
        <w:rPr>
          <w:rFonts w:ascii="Narkisim" w:hAnsi="Narkisim" w:cs="Narkisim"/>
          <w:rtl/>
        </w:rPr>
        <w:t xml:space="preserve"> [ומש"ה מדינא לא הוה צרת ערוה]. ולא מתייבמת, דלאו גיטא מעליא היא, דלכתחילה קרי להו פסול. ואי שרית ליה אמרי דצרת ערוה מתייבמת</w:t>
      </w:r>
      <w:r w:rsidRPr="0041053F">
        <w:rPr>
          <w:rStyle w:val="ac"/>
          <w:rFonts w:ascii="Narkisim" w:hAnsi="Narkisim" w:cs="Narkisim"/>
          <w:rtl/>
        </w:rPr>
        <w:footnoteReference w:id="1863"/>
      </w:r>
      <w:r w:rsidRPr="0041053F">
        <w:rPr>
          <w:rFonts w:ascii="Narkisim" w:hAnsi="Narkisim" w:cs="Narkisim"/>
          <w:rtl/>
        </w:rPr>
        <w:t>.</w:t>
      </w:r>
    </w:p>
    <w:p w14:paraId="1B0E6D80"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כתב דהוה פסול ברור מדרבנן, אלא משום דכשרים מדאורייתא נקרא ספק גירושין. כלומר שהם נידונים כספק, וחולצת.</w:t>
      </w:r>
    </w:p>
    <w:p w14:paraId="138B90DC" w14:textId="77777777" w:rsidR="006074A5" w:rsidRPr="0041053F" w:rsidRDefault="006074A5" w:rsidP="006074A5">
      <w:pPr>
        <w:bidi/>
        <w:rPr>
          <w:rFonts w:ascii="Narkisim" w:hAnsi="Narkisim" w:cs="Narkisim"/>
        </w:rPr>
      </w:pPr>
      <w:r w:rsidRPr="0041053F">
        <w:rPr>
          <w:rFonts w:ascii="Narkisim" w:hAnsi="Narkisim" w:cs="Narkisim"/>
          <w:u w:val="single"/>
          <w:rtl/>
        </w:rPr>
        <w:t>כתב בכת"י ואין עליו עדים.</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דקי"ל (ב"ב קעה:) הוציא עליו כת"י וכו' אלמא כת"י מילתא היא. וה</w:t>
      </w:r>
      <w:r w:rsidRPr="0041053F">
        <w:rPr>
          <w:rFonts w:ascii="Narkisim" w:hAnsi="Narkisim" w:cs="Narkisim"/>
          <w:b/>
          <w:bCs/>
          <w:rtl/>
        </w:rPr>
        <w:t>ריטב"א</w:t>
      </w:r>
      <w:r w:rsidRPr="0041053F">
        <w:rPr>
          <w:rFonts w:ascii="Narkisim" w:hAnsi="Narkisim" w:cs="Narkisim"/>
          <w:rtl/>
        </w:rPr>
        <w:t xml:space="preserve"> ו</w:t>
      </w:r>
      <w:r w:rsidRPr="0041053F">
        <w:rPr>
          <w:rFonts w:ascii="Narkisim" w:hAnsi="Narkisim" w:cs="Narkisim"/>
          <w:b/>
          <w:bCs/>
          <w:rtl/>
        </w:rPr>
        <w:t>נמוק"י</w:t>
      </w:r>
      <w:r w:rsidRPr="0041053F">
        <w:rPr>
          <w:rFonts w:ascii="Narkisim" w:hAnsi="Narkisim" w:cs="Narkisim"/>
          <w:rtl/>
        </w:rPr>
        <w:t xml:space="preserve"> הקשו דהתם ראיה בלחוד בעינן, והא איכא הודאת בעל דין. </w:t>
      </w:r>
      <w:r w:rsidRPr="0041053F">
        <w:rPr>
          <w:rFonts w:ascii="Narkisim" w:hAnsi="Narkisim" w:cs="Narkisim"/>
          <w:rtl/>
        </w:rPr>
        <w:lastRenderedPageBreak/>
        <w:t>אבל גבי גט כריתות בעינן.</w:t>
      </w:r>
    </w:p>
    <w:p w14:paraId="6C40F4BA"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 xml:space="preserve">רש"י </w:t>
      </w:r>
      <w:r w:rsidRPr="0041053F">
        <w:rPr>
          <w:rFonts w:ascii="Narkisim" w:hAnsi="Narkisim"/>
          <w:rtl/>
        </w:rPr>
        <w:t>(גיטין פו.) כת' דהוה דלא כר' מאיר, דעדי חתימה כרתי. [ול"מ גט בלא עדי מסירה]</w:t>
      </w:r>
      <w:r w:rsidRPr="0041053F">
        <w:rPr>
          <w:rStyle w:val="ac"/>
          <w:rFonts w:ascii="Narkisim" w:hAnsi="Narkisim"/>
          <w:rtl/>
        </w:rPr>
        <w:footnoteReference w:id="1864"/>
      </w:r>
      <w:r w:rsidRPr="0041053F">
        <w:rPr>
          <w:rFonts w:ascii="Narkisim" w:hAnsi="Narkisim"/>
          <w:rtl/>
        </w:rPr>
        <w:t>. ושוב כתב [בהג"ה] דאפי' למ"ד</w:t>
      </w:r>
      <w:r w:rsidRPr="0041053F">
        <w:rPr>
          <w:rStyle w:val="ac"/>
          <w:rFonts w:ascii="Narkisim" w:hAnsi="Narkisim"/>
          <w:rtl/>
        </w:rPr>
        <w:footnoteReference w:id="1865"/>
      </w:r>
      <w:r w:rsidRPr="0041053F">
        <w:rPr>
          <w:rFonts w:ascii="Narkisim" w:hAnsi="Narkisim"/>
          <w:rtl/>
        </w:rPr>
        <w:t xml:space="preserve"> דקאי כר' מאיר, ואפ"ה מהני משום דהודאת בע"ד כק' עדים. </w:t>
      </w:r>
      <w:r w:rsidRPr="0041053F">
        <w:rPr>
          <w:rFonts w:ascii="Narkisim" w:hAnsi="Narkisim"/>
          <w:sz w:val="20"/>
          <w:szCs w:val="20"/>
          <w:rtl/>
        </w:rPr>
        <w:t>[והאחרונים ביארו דכוונת רש"י כאן להוסיף דמהני כת"י לאשוויי שטרא</w:t>
      </w:r>
      <w:r w:rsidRPr="0041053F">
        <w:rPr>
          <w:rStyle w:val="ac"/>
          <w:rFonts w:ascii="Narkisim" w:hAnsi="Narkisim"/>
          <w:sz w:val="20"/>
          <w:szCs w:val="20"/>
          <w:rtl/>
        </w:rPr>
        <w:footnoteReference w:id="1866"/>
      </w:r>
      <w:r w:rsidRPr="0041053F">
        <w:rPr>
          <w:rFonts w:ascii="Narkisim" w:hAnsi="Narkisim"/>
          <w:sz w:val="20"/>
          <w:szCs w:val="20"/>
          <w:rtl/>
        </w:rPr>
        <w:t>].</w:t>
      </w:r>
    </w:p>
    <w:p w14:paraId="12F9753D" w14:textId="77777777" w:rsidR="006074A5" w:rsidRPr="0041053F" w:rsidRDefault="006074A5" w:rsidP="006074A5">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(גיטין ג:) כת' דמהני משום דאין לך חתימה גדול מזו</w:t>
      </w:r>
      <w:r w:rsidRPr="0041053F">
        <w:rPr>
          <w:rStyle w:val="ac"/>
          <w:rFonts w:ascii="Narkisim" w:hAnsi="Narkisim" w:cs="Narkisim"/>
          <w:rtl/>
        </w:rPr>
        <w:footnoteReference w:id="1867"/>
      </w:r>
      <w:r w:rsidRPr="0041053F">
        <w:rPr>
          <w:rFonts w:ascii="Narkisim" w:hAnsi="Narkisim" w:cs="Narkisim"/>
          <w:rtl/>
        </w:rPr>
        <w:t>.</w:t>
      </w:r>
    </w:p>
    <w:p w14:paraId="07136DC5"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כתב דאף כוונת רש"י מדכתיב וכתב לה, הרי כת"י כעדים גמורים</w:t>
      </w:r>
      <w:r w:rsidRPr="0041053F">
        <w:rPr>
          <w:rStyle w:val="ac"/>
          <w:rFonts w:ascii="Narkisim" w:hAnsi="Narkisim"/>
          <w:rtl/>
        </w:rPr>
        <w:footnoteReference w:id="1868"/>
      </w:r>
      <w:r w:rsidRPr="0041053F">
        <w:rPr>
          <w:rFonts w:ascii="Narkisim" w:hAnsi="Narkisim"/>
          <w:rtl/>
        </w:rPr>
        <w:t>. ועד"ז ה</w:t>
      </w:r>
      <w:r w:rsidRPr="0041053F">
        <w:rPr>
          <w:rFonts w:ascii="Narkisim" w:hAnsi="Narkisim"/>
          <w:b/>
          <w:bCs/>
          <w:rtl/>
        </w:rPr>
        <w:t>רשב"א</w:t>
      </w:r>
      <w:r w:rsidRPr="0041053F">
        <w:rPr>
          <w:rFonts w:ascii="Narkisim" w:hAnsi="Narkisim"/>
          <w:rtl/>
        </w:rPr>
        <w:t xml:space="preserve"> (לא:) כת' דמהני משום דלא מחייב לאחרים, או משום דכתיב וכתב לה, ואפי' כתב לה הוא בעצמה די. </w:t>
      </w:r>
      <w:r w:rsidRPr="0041053F">
        <w:rPr>
          <w:rFonts w:ascii="Narkisim" w:hAnsi="Narkisim"/>
          <w:szCs w:val="20"/>
          <w:rtl/>
        </w:rPr>
        <w:t>וה</w:t>
      </w:r>
      <w:r w:rsidRPr="0041053F">
        <w:rPr>
          <w:rFonts w:ascii="Narkisim" w:hAnsi="Narkisim"/>
          <w:b/>
          <w:bCs/>
          <w:szCs w:val="20"/>
          <w:rtl/>
        </w:rPr>
        <w:t>רשב"א</w:t>
      </w:r>
      <w:r w:rsidRPr="0041053F">
        <w:rPr>
          <w:rFonts w:ascii="Narkisim" w:hAnsi="Narkisim"/>
          <w:szCs w:val="20"/>
          <w:rtl/>
        </w:rPr>
        <w:t xml:space="preserve"> (קידושין סה:) הוסיף דכוותיה שהכשיר הכתוב עד א' בסוטה אחרי קינוי וסתירה, ואין לך בהם אלא מקומן.</w:t>
      </w:r>
      <w:r w:rsidRPr="0041053F">
        <w:rPr>
          <w:rFonts w:ascii="Narkisim" w:hAnsi="Narkisim"/>
          <w:rtl/>
        </w:rPr>
        <w:t xml:space="preserve"> </w:t>
      </w:r>
      <w:r w:rsidRPr="0041053F">
        <w:rPr>
          <w:rFonts w:ascii="Narkisim" w:hAnsi="Narkisim"/>
          <w:szCs w:val="20"/>
          <w:rtl/>
        </w:rPr>
        <w:t>[וגזיה"כ דמהני ע"י הבעל]</w:t>
      </w:r>
      <w:r w:rsidRPr="0041053F">
        <w:rPr>
          <w:rFonts w:ascii="Narkisim" w:hAnsi="Narkisim"/>
          <w:rtl/>
        </w:rPr>
        <w:t>.</w:t>
      </w:r>
    </w:p>
    <w:p w14:paraId="0F66D26C" w14:textId="77777777" w:rsidR="006074A5" w:rsidRPr="0041053F" w:rsidRDefault="006074A5" w:rsidP="006074A5">
      <w:pPr>
        <w:pStyle w:val="aa"/>
        <w:bidi/>
        <w:rPr>
          <w:rFonts w:ascii="Narkisim" w:hAnsi="Narkisim"/>
        </w:rPr>
      </w:pPr>
      <w:r w:rsidRPr="0041053F">
        <w:rPr>
          <w:rFonts w:ascii="Narkisim" w:hAnsi="Narkisim"/>
          <w:u w:val="single"/>
          <w:rtl/>
        </w:rPr>
        <w:t>שם.</w:t>
      </w:r>
      <w:r w:rsidRPr="0041053F">
        <w:rPr>
          <w:rFonts w:ascii="Narkisim" w:hAnsi="Narkisim"/>
          <w:rtl/>
        </w:rPr>
        <w:t xml:space="preserve"> וה</w:t>
      </w:r>
      <w:r w:rsidRPr="0041053F">
        <w:rPr>
          <w:rFonts w:ascii="Narkisim" w:hAnsi="Narkisim"/>
          <w:b/>
          <w:bCs/>
          <w:rtl/>
        </w:rPr>
        <w:t>אחרונים</w:t>
      </w:r>
      <w:r w:rsidRPr="0041053F">
        <w:rPr>
          <w:rFonts w:ascii="Narkisim" w:hAnsi="Narkisim"/>
          <w:rtl/>
        </w:rPr>
        <w:t xml:space="preserve"> דנו האם גט כתב יד מהני דוקא היכא דהוחזק בפני עדים</w:t>
      </w:r>
      <w:r w:rsidRPr="0041053F">
        <w:rPr>
          <w:rStyle w:val="ac"/>
          <w:rFonts w:ascii="Narkisim" w:hAnsi="Narkisim"/>
          <w:rtl/>
        </w:rPr>
        <w:footnoteReference w:id="1869"/>
      </w:r>
      <w:r w:rsidRPr="0041053F">
        <w:rPr>
          <w:rFonts w:ascii="Narkisim" w:hAnsi="Narkisim"/>
          <w:rtl/>
        </w:rPr>
        <w:t xml:space="preserve"> [אבל אילו עדים לא ראו את הגט מעולם ל"מ]. או דסגי דראוי להתברר לפני עדים</w:t>
      </w:r>
      <w:r w:rsidRPr="0041053F">
        <w:rPr>
          <w:rStyle w:val="ac"/>
          <w:rFonts w:ascii="Narkisim" w:hAnsi="Narkisim"/>
          <w:rtl/>
        </w:rPr>
        <w:footnoteReference w:id="1870"/>
      </w:r>
      <w:r w:rsidRPr="0041053F">
        <w:rPr>
          <w:rFonts w:ascii="Narkisim" w:hAnsi="Narkisim"/>
          <w:rtl/>
        </w:rPr>
        <w:t>. [ולכאורה תלי בטעמים הנ"ל].</w:t>
      </w:r>
    </w:p>
    <w:p w14:paraId="76A32105" w14:textId="77777777" w:rsidR="006074A5" w:rsidRPr="0041053F" w:rsidRDefault="006074A5" w:rsidP="006074A5">
      <w:pPr>
        <w:pStyle w:val="aa"/>
        <w:bidi/>
        <w:rPr>
          <w:rFonts w:ascii="Narkisim" w:hAnsi="Narkisim"/>
        </w:rPr>
      </w:pPr>
      <w:r w:rsidRPr="0041053F">
        <w:rPr>
          <w:rFonts w:ascii="Narkisim" w:hAnsi="Narkisim"/>
          <w:u w:val="single"/>
          <w:rtl/>
        </w:rPr>
        <w:t>תוד"ה כתב</w:t>
      </w:r>
      <w:r w:rsidRPr="0041053F">
        <w:rPr>
          <w:rFonts w:ascii="Narkisim" w:hAnsi="Narkisim"/>
          <w:rtl/>
        </w:rPr>
        <w:t xml:space="preserve">. אור"י דכתב ידו בלא עדים פסול משום דיכול זמן, דיכול להקדים וכו'. [וכ"כ תוס' גיטין ג:]. אבל </w:t>
      </w:r>
      <w:r w:rsidRPr="0041053F">
        <w:rPr>
          <w:rFonts w:ascii="Narkisim" w:hAnsi="Narkisim"/>
          <w:b/>
          <w:bCs/>
          <w:rtl/>
        </w:rPr>
        <w:t>רש"י</w:t>
      </w:r>
      <w:r w:rsidRPr="0041053F">
        <w:rPr>
          <w:rFonts w:ascii="Narkisim" w:hAnsi="Narkisim"/>
          <w:rtl/>
        </w:rPr>
        <w:t xml:space="preserve"> (גיטין פו.) כת' </w:t>
      </w:r>
      <w:r w:rsidRPr="0041053F">
        <w:rPr>
          <w:rFonts w:ascii="Narkisim" w:eastAsia="Narkisim" w:hAnsi="Narkisim"/>
          <w:rtl/>
        </w:rPr>
        <w:t>דרבנן פסלינהו אטו כתב סופר.</w:t>
      </w:r>
    </w:p>
    <w:p w14:paraId="6B36A7F6" w14:textId="77777777" w:rsidR="006074A5" w:rsidRPr="0041053F" w:rsidRDefault="006074A5" w:rsidP="006074A5">
      <w:pPr>
        <w:pStyle w:val="aa"/>
        <w:bidi/>
        <w:rPr>
          <w:rFonts w:ascii="Narkisim" w:hAnsi="Narkisim"/>
        </w:rPr>
      </w:pPr>
      <w:r w:rsidRPr="0041053F">
        <w:rPr>
          <w:rFonts w:ascii="Narkisim" w:hAnsi="Narkisim"/>
          <w:u w:val="single"/>
          <w:rtl/>
        </w:rPr>
        <w:t>בא"ד וא"ת מאחר שדעתו לגרשה, אמאי חיישי' לקנוניה וכו'</w:t>
      </w:r>
      <w:r w:rsidRPr="0041053F">
        <w:rPr>
          <w:rFonts w:ascii="Narkisim" w:hAnsi="Narkisim"/>
          <w:rtl/>
        </w:rPr>
        <w:t>. [דעיקר תקנת זמן שמא הבעל יפסיד לאשה שלא כדין. אך הכא כתב בו זמן, ומהני לחייב את הבעל משום הודאתו. ובזה הק' התוס' א"כ מה חסרון בזה, אלא משום קנוניה דלקוחות]. וע"ע תוס' (גיטין ג:) ומהר"ם (שם) וקצות (סט א).</w:t>
      </w:r>
    </w:p>
    <w:p w14:paraId="2AD67EFB" w14:textId="77777777" w:rsidR="006074A5" w:rsidRPr="0041053F" w:rsidRDefault="006074A5" w:rsidP="006074A5">
      <w:pPr>
        <w:pStyle w:val="aa"/>
        <w:bidi/>
        <w:rPr>
          <w:rFonts w:ascii="Narkisim" w:hAnsi="Narkisim"/>
        </w:rPr>
      </w:pPr>
      <w:r w:rsidRPr="0041053F">
        <w:rPr>
          <w:rFonts w:ascii="Narkisim" w:hAnsi="Narkisim"/>
          <w:u w:val="single"/>
          <w:rtl/>
        </w:rPr>
        <w:t>יש בו זמן</w:t>
      </w:r>
      <w:r w:rsidRPr="0041053F">
        <w:rPr>
          <w:rStyle w:val="ac"/>
          <w:rFonts w:ascii="Narkisim" w:hAnsi="Narkisim"/>
          <w:u w:val="single"/>
          <w:rtl/>
        </w:rPr>
        <w:footnoteReference w:id="1871"/>
      </w:r>
      <w:r w:rsidRPr="0041053F">
        <w:rPr>
          <w:rFonts w:ascii="Narkisim" w:hAnsi="Narkisim"/>
          <w:u w:val="single"/>
          <w:rtl/>
        </w:rPr>
        <w:t>, ואין בו אלא ע"א</w:t>
      </w:r>
      <w:r w:rsidRPr="0041053F">
        <w:rPr>
          <w:rFonts w:ascii="Narkisim" w:hAnsi="Narkisim"/>
          <w:rtl/>
        </w:rPr>
        <w:t>. פ</w:t>
      </w:r>
      <w:r w:rsidRPr="0041053F">
        <w:rPr>
          <w:rFonts w:ascii="Narkisim" w:hAnsi="Narkisim"/>
          <w:b/>
          <w:bCs/>
          <w:rtl/>
        </w:rPr>
        <w:t>רש"י</w:t>
      </w:r>
      <w:r w:rsidRPr="0041053F">
        <w:rPr>
          <w:rFonts w:ascii="Narkisim" w:hAnsi="Narkisim"/>
          <w:rtl/>
        </w:rPr>
        <w:t xml:space="preserve"> (ד"ה יש) דאיירי שאינו כתב יד הבעל. ומהני כתב יד הסופר בצירוף עד נוסף. ונח' בזה בגמ' (גיטין שם) דיש מ"ד דאיירי בכתב הבעל. ו</w:t>
      </w:r>
      <w:r w:rsidRPr="0041053F">
        <w:rPr>
          <w:rFonts w:ascii="Narkisim" w:hAnsi="Narkisim"/>
          <w:b/>
          <w:bCs/>
          <w:rtl/>
        </w:rPr>
        <w:t>רע"א</w:t>
      </w:r>
      <w:r w:rsidRPr="0041053F">
        <w:rPr>
          <w:rFonts w:ascii="Narkisim" w:hAnsi="Narkisim"/>
          <w:rtl/>
        </w:rPr>
        <w:t xml:space="preserve"> דן דרש"י</w:t>
      </w:r>
      <w:r w:rsidRPr="0041053F">
        <w:rPr>
          <w:rStyle w:val="ac"/>
          <w:rFonts w:ascii="Narkisim" w:hAnsi="Narkisim"/>
          <w:rtl/>
        </w:rPr>
        <w:footnoteReference w:id="1872"/>
      </w:r>
      <w:r w:rsidRPr="0041053F">
        <w:rPr>
          <w:rFonts w:ascii="Narkisim" w:hAnsi="Narkisim"/>
          <w:rtl/>
        </w:rPr>
        <w:t xml:space="preserve"> לא נקט כמסקנא דהתם. [עי"ש מש"כ בזה].</w:t>
      </w:r>
    </w:p>
    <w:p w14:paraId="01D22B58" w14:textId="77777777" w:rsidR="006074A5" w:rsidRPr="0041053F" w:rsidRDefault="006074A5" w:rsidP="006074A5">
      <w:pPr>
        <w:pStyle w:val="aa"/>
        <w:bidi/>
        <w:rPr>
          <w:rFonts w:ascii="Narkisim" w:hAnsi="Narkisim"/>
        </w:rPr>
      </w:pPr>
      <w:r w:rsidRPr="0041053F">
        <w:rPr>
          <w:rFonts w:ascii="Narkisim" w:hAnsi="Narkisim"/>
          <w:u w:val="single"/>
          <w:rtl/>
        </w:rPr>
        <w:t>תוד"ה יש</w:t>
      </w:r>
      <w:r w:rsidRPr="0041053F">
        <w:rPr>
          <w:rFonts w:ascii="Narkisim" w:hAnsi="Narkisim"/>
          <w:rtl/>
        </w:rPr>
        <w:t xml:space="preserve">. וי"ל שהסופרים חוששים וכו' ומ"מ לא חשיב סופר ועד כב' עדים לגרש בו לכתחילה. [וכ"כ </w:t>
      </w:r>
      <w:r w:rsidRPr="0041053F">
        <w:rPr>
          <w:rFonts w:ascii="Narkisim" w:hAnsi="Narkisim"/>
          <w:b/>
          <w:bCs/>
          <w:rtl/>
        </w:rPr>
        <w:t>תוס</w:t>
      </w:r>
      <w:r w:rsidRPr="0041053F">
        <w:rPr>
          <w:rFonts w:ascii="Narkisim" w:hAnsi="Narkisim"/>
          <w:rtl/>
        </w:rPr>
        <w:t>' גיטין ג:]. דבדיעבד סמכינן אהא דהסופרים חוששין משום תקלה, אבל לכתחילה חששו דאין זה עדות ממש. [ע"ע תוס' רא"ש גיטין פו:].</w:t>
      </w:r>
    </w:p>
    <w:p w14:paraId="76D57F5F" w14:textId="77777777" w:rsidR="006074A5" w:rsidRPr="0041053F" w:rsidRDefault="006074A5" w:rsidP="006074A5">
      <w:pPr>
        <w:pStyle w:val="2"/>
        <w:bidi/>
        <w:rPr>
          <w:rFonts w:ascii="Narkisim" w:hAnsi="Narkisim"/>
        </w:rPr>
      </w:pPr>
      <w:r w:rsidRPr="0041053F">
        <w:rPr>
          <w:rFonts w:ascii="Narkisim" w:hAnsi="Narkisim"/>
          <w:rtl/>
        </w:rPr>
        <w:t>חזקת היתר לשוק</w:t>
      </w:r>
    </w:p>
    <w:p w14:paraId="77844663" w14:textId="77777777" w:rsidR="006074A5" w:rsidRPr="0041053F" w:rsidRDefault="006074A5" w:rsidP="006074A5">
      <w:pPr>
        <w:bidi/>
        <w:rPr>
          <w:rFonts w:ascii="Narkisim" w:hAnsi="Narkisim" w:cs="Narkisim"/>
        </w:rPr>
      </w:pPr>
      <w:r w:rsidRPr="0041053F">
        <w:rPr>
          <w:rFonts w:ascii="Narkisim" w:hAnsi="Narkisim" w:cs="Narkisim"/>
          <w:u w:val="single"/>
          <w:rtl/>
        </w:rPr>
        <w:t>אמר רבה אשה זו בחזקת היתר לשוק עומדת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קודם לכן [קודם ספק גירושין], אם ימות בעלה. וה</w:t>
      </w:r>
      <w:r w:rsidRPr="0041053F">
        <w:rPr>
          <w:rFonts w:ascii="Narkisim" w:hAnsi="Narkisim" w:cs="Narkisim"/>
          <w:b/>
          <w:bCs/>
          <w:rtl/>
        </w:rPr>
        <w:t>תו"י</w:t>
      </w:r>
      <w:r w:rsidRPr="0041053F">
        <w:rPr>
          <w:rFonts w:ascii="Narkisim" w:hAnsi="Narkisim" w:cs="Narkisim"/>
          <w:rtl/>
        </w:rPr>
        <w:t xml:space="preserve"> ביאר דאע"ג דהשתא בחזקת אשת איש היתה, מ"מ כיון דסופו למות [ולבסוף מת] קרינן ביה שפיר חזקת היתר לשוק. וה</w:t>
      </w:r>
      <w:r w:rsidRPr="0041053F">
        <w:rPr>
          <w:rFonts w:ascii="Narkisim" w:hAnsi="Narkisim" w:cs="Narkisim"/>
          <w:b/>
          <w:bCs/>
          <w:rtl/>
        </w:rPr>
        <w:t>ש"ש</w:t>
      </w:r>
      <w:r w:rsidRPr="0041053F">
        <w:rPr>
          <w:rFonts w:ascii="Narkisim" w:hAnsi="Narkisim" w:cs="Narkisim"/>
          <w:rtl/>
        </w:rPr>
        <w:t xml:space="preserve"> (ה ה) הביא דנתחדש בדברי רבה דמוקמינן אחזקה [שכשימות תהי' מותרת ליבם</w:t>
      </w:r>
      <w:r w:rsidRPr="0041053F">
        <w:rPr>
          <w:rStyle w:val="ac"/>
          <w:rFonts w:ascii="Narkisim" w:hAnsi="Narkisim" w:cs="Narkisim"/>
          <w:rtl/>
        </w:rPr>
        <w:footnoteReference w:id="1873"/>
      </w:r>
      <w:r w:rsidRPr="0041053F">
        <w:rPr>
          <w:rFonts w:ascii="Narkisim" w:hAnsi="Narkisim" w:cs="Narkisim"/>
          <w:rtl/>
        </w:rPr>
        <w:t>], ואף דנולד הספק בעידן איסורא. [דבשעה שנולד הריעותא עומדת באיסור אשת איש, וכמ"ש תוס'].</w:t>
      </w:r>
    </w:p>
    <w:p w14:paraId="288D43DF" w14:textId="77777777" w:rsidR="006074A5" w:rsidRPr="0041053F" w:rsidRDefault="006074A5" w:rsidP="006074A5">
      <w:pPr>
        <w:bidi/>
        <w:rPr>
          <w:rFonts w:ascii="Narkisim" w:hAnsi="Narkisim" w:cs="Narkisim"/>
        </w:rPr>
      </w:pPr>
      <w:r w:rsidRPr="0041053F">
        <w:rPr>
          <w:rFonts w:ascii="Narkisim" w:hAnsi="Narkisim" w:cs="Narkisim"/>
          <w:rtl/>
        </w:rPr>
        <w:t xml:space="preserve">ואביי הקשה על דברי רבה, ואביי (לא.) הביא מהמשנה (לקמן סז:) דהיכא שיש ספק האם הערוה מתה בחייו, חולצת ולא מתייבמת. והגמ' דוחה וכ"ת לחומרא. ובפשוטו משמע דסברת אביי דמדינא לא אזלי' בתר חזקה [דאי הוה משום חומרא, הא אתי לידי קולא עי"ש]. </w:t>
      </w:r>
      <w:r w:rsidRPr="0041053F">
        <w:rPr>
          <w:rFonts w:ascii="Narkisim" w:hAnsi="Narkisim" w:cs="Narkisim"/>
          <w:rtl/>
        </w:rPr>
        <w:lastRenderedPageBreak/>
        <w:t>ולמסקנא (לא:) רבא ואביי נקטו דאף בגירושין ספק קרוב לו חולצת [ולא סגי בחזקת היתר לשוק].</w:t>
      </w:r>
    </w:p>
    <w:p w14:paraId="4E7177E2" w14:textId="77777777" w:rsidR="006074A5" w:rsidRPr="0041053F" w:rsidRDefault="006074A5" w:rsidP="006074A5">
      <w:pPr>
        <w:pStyle w:val="a7"/>
        <w:bidi/>
        <w:rPr>
          <w:rFonts w:ascii="Narkisim" w:hAnsi="Narkisim"/>
        </w:rPr>
      </w:pPr>
      <w:r w:rsidRPr="0041053F">
        <w:rPr>
          <w:rFonts w:ascii="Narkisim" w:hAnsi="Narkisim"/>
          <w:rtl/>
        </w:rPr>
        <w:t>ובפשוטו סברת אביי ורבא דהחמירו באיסור ערוה שלא להעמיד על חזקתו. וכ"מ בדברי ה</w:t>
      </w:r>
      <w:r w:rsidRPr="0041053F">
        <w:rPr>
          <w:rFonts w:ascii="Narkisim" w:hAnsi="Narkisim"/>
          <w:b/>
          <w:bCs/>
          <w:rtl/>
        </w:rPr>
        <w:t>ראשונים</w:t>
      </w:r>
      <w:r w:rsidRPr="0041053F">
        <w:rPr>
          <w:rFonts w:ascii="Narkisim" w:hAnsi="Narkisim"/>
          <w:rtl/>
        </w:rPr>
        <w:t xml:space="preserve"> (</w:t>
      </w:r>
      <w:r w:rsidRPr="0041053F">
        <w:rPr>
          <w:rFonts w:ascii="Narkisim" w:hAnsi="Narkisim"/>
          <w:b/>
          <w:bCs/>
          <w:rtl/>
        </w:rPr>
        <w:t>ריטב"א</w:t>
      </w:r>
      <w:r w:rsidRPr="0041053F">
        <w:rPr>
          <w:rFonts w:ascii="Narkisim" w:hAnsi="Narkisim"/>
          <w:rtl/>
        </w:rPr>
        <w:t xml:space="preserve"> ו</w:t>
      </w:r>
      <w:r w:rsidRPr="0041053F">
        <w:rPr>
          <w:rFonts w:ascii="Narkisim" w:hAnsi="Narkisim"/>
          <w:b/>
          <w:bCs/>
          <w:rtl/>
        </w:rPr>
        <w:t>נמוק"י</w:t>
      </w:r>
      <w:r w:rsidRPr="0041053F">
        <w:rPr>
          <w:rFonts w:ascii="Narkisim" w:hAnsi="Narkisim"/>
          <w:rtl/>
        </w:rPr>
        <w:t>, וכ"מ ברמב"ן) [ע"ע בסמוך]. אבל ה</w:t>
      </w:r>
      <w:r w:rsidRPr="0041053F">
        <w:rPr>
          <w:rFonts w:ascii="Narkisim" w:hAnsi="Narkisim"/>
          <w:b/>
          <w:bCs/>
          <w:rtl/>
        </w:rPr>
        <w:t>ש"ך</w:t>
      </w:r>
      <w:r w:rsidRPr="0041053F">
        <w:rPr>
          <w:rFonts w:ascii="Narkisim" w:hAnsi="Narkisim"/>
          <w:rtl/>
        </w:rPr>
        <w:t xml:space="preserve"> (יו"ד נ ג, והו' בש"ש א ז ושמעתתא ה) כתב בדעת ה</w:t>
      </w:r>
      <w:r w:rsidRPr="0041053F">
        <w:rPr>
          <w:rFonts w:ascii="Narkisim" w:hAnsi="Narkisim"/>
          <w:b/>
          <w:bCs/>
          <w:rtl/>
        </w:rPr>
        <w:t>דרכ"מ</w:t>
      </w:r>
      <w:r w:rsidRPr="0041053F">
        <w:rPr>
          <w:rFonts w:ascii="Narkisim" w:hAnsi="Narkisim"/>
          <w:rtl/>
        </w:rPr>
        <w:t xml:space="preserve"> (יו"ד לא, הו' בסמוך) דאביי ורבא פליגי על רבה, וס"ל דל"מ חזקה כיון שנולד הריעותא מחיים. והש"ך כת' דכ"ה רהיטת סוגיין, דאביי פליג אף בלא סברת 'לחומרא'</w:t>
      </w:r>
      <w:r w:rsidRPr="0041053F">
        <w:rPr>
          <w:rStyle w:val="ac"/>
          <w:rFonts w:ascii="Narkisim" w:hAnsi="Narkisim"/>
          <w:rtl/>
        </w:rPr>
        <w:footnoteReference w:id="1874"/>
      </w:r>
      <w:r w:rsidRPr="0041053F">
        <w:rPr>
          <w:rFonts w:ascii="Narkisim" w:hAnsi="Narkisim"/>
          <w:rtl/>
        </w:rPr>
        <w:t>. (וע' בסמוך).</w:t>
      </w:r>
    </w:p>
    <w:p w14:paraId="721109F1" w14:textId="77777777" w:rsidR="006074A5" w:rsidRPr="0041053F" w:rsidRDefault="006074A5" w:rsidP="006074A5">
      <w:pPr>
        <w:pStyle w:val="aa"/>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(לקמן לז. ד"ה וזו) הביאו מכאן דמוקמינן אחזקת היתר ליבם. [ולכאו' מבואר דאביי ורבא לא פליגי בזה. אך יש לדחות דהתם בשעת מיתה מהני הך חזקה, וכה"ג כו"ע מודו</w:t>
      </w:r>
      <w:r w:rsidRPr="0041053F">
        <w:rPr>
          <w:rStyle w:val="ac"/>
          <w:rFonts w:ascii="Narkisim" w:hAnsi="Narkisim"/>
          <w:rtl/>
        </w:rPr>
        <w:footnoteReference w:id="1875"/>
      </w:r>
      <w:r w:rsidRPr="0041053F">
        <w:rPr>
          <w:rFonts w:ascii="Narkisim" w:hAnsi="Narkisim"/>
          <w:rtl/>
        </w:rPr>
        <w:t>].</w:t>
      </w:r>
    </w:p>
    <w:p w14:paraId="12B75186" w14:textId="77777777" w:rsidR="006074A5" w:rsidRPr="0041053F" w:rsidRDefault="006074A5" w:rsidP="006074A5">
      <w:pPr>
        <w:pStyle w:val="aa"/>
        <w:bidi/>
        <w:rPr>
          <w:rFonts w:ascii="Narkisim" w:hAnsi="Narkisim"/>
        </w:rPr>
      </w:pPr>
      <w:r w:rsidRPr="0041053F">
        <w:rPr>
          <w:rFonts w:ascii="Narkisim" w:hAnsi="Narkisim"/>
          <w:u w:val="single"/>
          <w:rtl/>
        </w:rPr>
        <w:t>א"ל אביי א"ה בקידושין נמי וכו'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נימא דאשה זו בחזקת היתר ליבום, קודם שקידש בעלה את הערוה. וה</w:t>
      </w:r>
      <w:r w:rsidRPr="0041053F">
        <w:rPr>
          <w:rFonts w:ascii="Narkisim" w:hAnsi="Narkisim"/>
          <w:b/>
          <w:bCs/>
          <w:rtl/>
        </w:rPr>
        <w:t>רמב"ן</w:t>
      </w:r>
      <w:r w:rsidRPr="0041053F">
        <w:rPr>
          <w:rFonts w:ascii="Narkisim" w:hAnsi="Narkisim"/>
          <w:rtl/>
        </w:rPr>
        <w:t xml:space="preserve"> כת' דקו' הגמ' באופן שקידש הכשירה [הצרה] תחילה</w:t>
      </w:r>
      <w:r w:rsidRPr="0041053F">
        <w:rPr>
          <w:rStyle w:val="ac"/>
          <w:rFonts w:ascii="Narkisim" w:hAnsi="Narkisim"/>
          <w:rtl/>
        </w:rPr>
        <w:footnoteReference w:id="1876"/>
      </w:r>
      <w:r w:rsidRPr="0041053F">
        <w:rPr>
          <w:rFonts w:ascii="Narkisim" w:hAnsi="Narkisim"/>
          <w:rtl/>
        </w:rPr>
        <w:t>, דהוחזקה בהיתר ליבם ומספק אל תאסרנה. דאי קידש הערוה תחילה, לא עמדה בחזקת היתר ליבם</w:t>
      </w:r>
      <w:r w:rsidRPr="0041053F">
        <w:rPr>
          <w:rStyle w:val="ac"/>
          <w:rFonts w:ascii="Narkisim" w:hAnsi="Narkisim"/>
          <w:rtl/>
        </w:rPr>
        <w:footnoteReference w:id="1877"/>
      </w:r>
      <w:r w:rsidRPr="0041053F">
        <w:rPr>
          <w:rFonts w:ascii="Narkisim" w:hAnsi="Narkisim"/>
          <w:rtl/>
        </w:rPr>
        <w:t>. והרמב"ן הוסיף דאין לומר דיש חזקת היתר קודם שנשאת לזה [שמותרת ליבם כמו לשאר בני אדם], אין זו חזקת היתר ליבום אלא לשוק. (וע"ע בסמוך).</w:t>
      </w:r>
    </w:p>
    <w:p w14:paraId="1DBF359B" w14:textId="77777777" w:rsidR="006074A5" w:rsidRPr="0041053F" w:rsidRDefault="006074A5" w:rsidP="006074A5">
      <w:pPr>
        <w:pStyle w:val="a8"/>
        <w:bidi/>
        <w:rPr>
          <w:rFonts w:ascii="Narkisim" w:hAnsi="Narkisim"/>
        </w:rPr>
      </w:pPr>
      <w:r w:rsidRPr="0041053F">
        <w:rPr>
          <w:rFonts w:ascii="Narkisim" w:hAnsi="Narkisim"/>
          <w:rtl/>
        </w:rPr>
        <w:t>אך לדברי התוס' (ע' בסמוך) י"ל דמוקמינן הערוה בחזקת פנויה, ועי"ז הוכרע דזו בחזקת יבום.</w:t>
      </w:r>
    </w:p>
    <w:p w14:paraId="4B78506D" w14:textId="77777777" w:rsidR="006074A5" w:rsidRPr="0041053F" w:rsidRDefault="006074A5" w:rsidP="006074A5">
      <w:pPr>
        <w:pStyle w:val="aa"/>
        <w:bidi/>
        <w:rPr>
          <w:rFonts w:ascii="Narkisim" w:hAnsi="Narkisim"/>
        </w:rPr>
      </w:pPr>
      <w:r w:rsidRPr="0041053F">
        <w:rPr>
          <w:rFonts w:ascii="Narkisim" w:hAnsi="Narkisim"/>
          <w:u w:val="single"/>
          <w:rtl/>
        </w:rPr>
        <w:t>שם. אי הכי בקידושין נמי וכו' אל תאסרנה מספק וכו'</w:t>
      </w:r>
      <w:r w:rsidRPr="0041053F">
        <w:rPr>
          <w:rFonts w:ascii="Narkisim" w:hAnsi="Narkisim"/>
          <w:rtl/>
        </w:rPr>
        <w:t>. ולדברי רבה תתייבם. וה</w:t>
      </w:r>
      <w:r w:rsidRPr="0041053F">
        <w:rPr>
          <w:rFonts w:ascii="Narkisim" w:hAnsi="Narkisim"/>
          <w:b/>
          <w:bCs/>
          <w:rtl/>
        </w:rPr>
        <w:t>אחרונים</w:t>
      </w:r>
      <w:r w:rsidRPr="0041053F">
        <w:rPr>
          <w:rFonts w:ascii="Narkisim" w:hAnsi="Narkisim"/>
          <w:rtl/>
        </w:rPr>
        <w:t xml:space="preserve"> כת' דאביי ס"ל דאין חילוק בין איסור לאו לאיסור כרת</w:t>
      </w:r>
      <w:r w:rsidRPr="0041053F">
        <w:rPr>
          <w:rStyle w:val="ac"/>
          <w:rFonts w:ascii="Narkisim" w:hAnsi="Narkisim"/>
          <w:rtl/>
        </w:rPr>
        <w:footnoteReference w:id="1878"/>
      </w:r>
      <w:r w:rsidRPr="0041053F">
        <w:rPr>
          <w:rFonts w:ascii="Narkisim" w:hAnsi="Narkisim"/>
          <w:rtl/>
        </w:rPr>
        <w:t>. והגמ' (לקמן פב.) מק' סתירה בדעת רבה אי החמירו טפי באיסור כרת מאיסור לאו.</w:t>
      </w:r>
    </w:p>
    <w:p w14:paraId="61B24C9F" w14:textId="77777777" w:rsidR="006074A5" w:rsidRPr="0041053F" w:rsidRDefault="006074A5" w:rsidP="006074A5">
      <w:pPr>
        <w:pStyle w:val="aa"/>
        <w:bidi/>
        <w:rPr>
          <w:rFonts w:ascii="Narkisim" w:hAnsi="Narkisim"/>
        </w:rPr>
      </w:pPr>
      <w:r w:rsidRPr="0041053F">
        <w:rPr>
          <w:rFonts w:ascii="Narkisim" w:hAnsi="Narkisim"/>
          <w:u w:val="single"/>
          <w:rtl/>
        </w:rPr>
        <w:t>התם לחומרא וכו'</w:t>
      </w:r>
      <w:r w:rsidRPr="0041053F">
        <w:rPr>
          <w:rFonts w:ascii="Narkisim" w:hAnsi="Narkisim"/>
          <w:rtl/>
        </w:rPr>
        <w:t>. ולדעת רבה מדינא מוקמינן אחזקה, ומדרבנן החמירו [היכא דלא אתי לידי קולא]. [ולדעת הראשונים אף דעת אביי דבסוגיין ל"מ חזקה, משום חומרא].</w:t>
      </w:r>
    </w:p>
    <w:p w14:paraId="1032669A" w14:textId="77777777" w:rsidR="006074A5" w:rsidRPr="0041053F" w:rsidRDefault="006074A5" w:rsidP="006074A5">
      <w:pPr>
        <w:pStyle w:val="a8"/>
        <w:bidi/>
        <w:rPr>
          <w:rFonts w:ascii="Narkisim" w:hAnsi="Narkisim"/>
        </w:rPr>
      </w:pPr>
      <w:r w:rsidRPr="0041053F">
        <w:rPr>
          <w:rFonts w:ascii="Narkisim" w:hAnsi="Narkisim"/>
          <w:rtl/>
        </w:rPr>
        <w:t>וצ"ב מ"ש הכא דהחמירו, הא בכל התורה אזלי' בתר חזקה. ו</w:t>
      </w:r>
      <w:r w:rsidRPr="0041053F">
        <w:rPr>
          <w:rFonts w:ascii="Narkisim" w:hAnsi="Narkisim"/>
          <w:b/>
          <w:bCs/>
          <w:rtl/>
        </w:rPr>
        <w:t>תוס</w:t>
      </w:r>
      <w:r w:rsidRPr="0041053F">
        <w:rPr>
          <w:rFonts w:ascii="Narkisim" w:hAnsi="Narkisim"/>
          <w:rtl/>
        </w:rPr>
        <w:t>' (כתובות כג. ד"ה תרוייהו) כת' דבספק קרוב לה אין להעמיד על חזקתה להתיר לכתחילה. ורוב ה</w:t>
      </w:r>
      <w:r w:rsidRPr="0041053F">
        <w:rPr>
          <w:rFonts w:ascii="Narkisim" w:hAnsi="Narkisim"/>
          <w:b/>
          <w:bCs/>
          <w:rtl/>
        </w:rPr>
        <w:t>אחרונים</w:t>
      </w:r>
      <w:r w:rsidRPr="0041053F">
        <w:rPr>
          <w:rFonts w:ascii="Narkisim" w:hAnsi="Narkisim"/>
          <w:rtl/>
        </w:rPr>
        <w:t xml:space="preserve"> כת' דהוה מדרבנן</w:t>
      </w:r>
      <w:r w:rsidRPr="0041053F">
        <w:rPr>
          <w:rStyle w:val="ac"/>
          <w:rFonts w:ascii="Narkisim" w:hAnsi="Narkisim"/>
          <w:rtl/>
        </w:rPr>
        <w:footnoteReference w:id="1879"/>
      </w:r>
      <w:r w:rsidRPr="0041053F">
        <w:rPr>
          <w:rFonts w:ascii="Narkisim" w:hAnsi="Narkisim"/>
          <w:rtl/>
        </w:rPr>
        <w:t>. [וה</w:t>
      </w:r>
      <w:r w:rsidRPr="0041053F">
        <w:rPr>
          <w:rFonts w:ascii="Narkisim" w:hAnsi="Narkisim"/>
          <w:b/>
          <w:bCs/>
          <w:rtl/>
        </w:rPr>
        <w:t>חזו"א</w:t>
      </w:r>
      <w:r w:rsidRPr="0041053F">
        <w:rPr>
          <w:rFonts w:ascii="Narkisim" w:hAnsi="Narkisim"/>
          <w:rtl/>
        </w:rPr>
        <w:t xml:space="preserve"> (פא) כתב דמקורו מסוגיין]. ומשמע דהטעם משום דנתעורר ספק לפנינו.</w:t>
      </w:r>
    </w:p>
    <w:p w14:paraId="7896D891"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ר"ן</w:t>
      </w:r>
      <w:r w:rsidRPr="0041053F">
        <w:rPr>
          <w:rFonts w:ascii="Narkisim" w:hAnsi="Narkisim"/>
          <w:rtl/>
        </w:rPr>
        <w:t xml:space="preserve"> (קידושין ה: ב. בדה"ר) כת' דמפני חומרא דערוה אסרוה רבנן. ומשמע דהוה כלל דהחמירו בכל ספיקות בעריות דלא סמכי' אחזקה [וע"ע בהמשך הסוגיא]. וה</w:t>
      </w:r>
      <w:r w:rsidRPr="0041053F">
        <w:rPr>
          <w:rFonts w:ascii="Narkisim" w:hAnsi="Narkisim"/>
          <w:b/>
          <w:bCs/>
          <w:rtl/>
        </w:rPr>
        <w:t>אחרונים</w:t>
      </w:r>
      <w:r w:rsidRPr="0041053F">
        <w:rPr>
          <w:rFonts w:ascii="Narkisim" w:hAnsi="Narkisim"/>
          <w:rtl/>
        </w:rPr>
        <w:t xml:space="preserve"> העירו דבסוגיין קאי אף גבי איסור יבמה לשוק, ומבואר דיש בזה חומר ערוה. [וה</w:t>
      </w:r>
      <w:r w:rsidRPr="0041053F">
        <w:rPr>
          <w:rFonts w:ascii="Narkisim" w:hAnsi="Narkisim"/>
          <w:b/>
          <w:bCs/>
          <w:rtl/>
        </w:rPr>
        <w:t>אחרונים</w:t>
      </w:r>
      <w:r w:rsidRPr="0041053F">
        <w:rPr>
          <w:rFonts w:ascii="Narkisim" w:hAnsi="Narkisim"/>
          <w:rtl/>
        </w:rPr>
        <w:t xml:space="preserve"> האריכו לדון בזה</w:t>
      </w:r>
      <w:r w:rsidRPr="0041053F">
        <w:rPr>
          <w:rStyle w:val="ac"/>
          <w:rFonts w:ascii="Narkisim" w:hAnsi="Narkisim"/>
          <w:rtl/>
        </w:rPr>
        <w:footnoteReference w:id="1880"/>
      </w:r>
      <w:r w:rsidRPr="0041053F">
        <w:rPr>
          <w:rFonts w:ascii="Narkisim" w:hAnsi="Narkisim"/>
          <w:rtl/>
        </w:rPr>
        <w:t>. ע' אתוון דאורייתא כלל ח].</w:t>
      </w:r>
    </w:p>
    <w:p w14:paraId="4DFF1C79" w14:textId="77777777" w:rsidR="006074A5" w:rsidRPr="0041053F" w:rsidRDefault="006074A5" w:rsidP="006074A5">
      <w:pPr>
        <w:pStyle w:val="a8"/>
        <w:bidi/>
        <w:rPr>
          <w:rFonts w:ascii="Narkisim" w:hAnsi="Narkisim"/>
        </w:rPr>
      </w:pPr>
      <w:r w:rsidRPr="0041053F">
        <w:rPr>
          <w:rFonts w:ascii="Narkisim" w:hAnsi="Narkisim"/>
          <w:rtl/>
        </w:rPr>
        <w:t>ו</w:t>
      </w:r>
      <w:r w:rsidRPr="0041053F">
        <w:rPr>
          <w:rFonts w:ascii="Narkisim" w:hAnsi="Narkisim"/>
          <w:b/>
          <w:bCs/>
          <w:rtl/>
        </w:rPr>
        <w:t>רבינו יונה</w:t>
      </w:r>
      <w:r w:rsidRPr="0041053F">
        <w:rPr>
          <w:rFonts w:ascii="Narkisim" w:hAnsi="Narkisim"/>
          <w:rtl/>
        </w:rPr>
        <w:t xml:space="preserve"> (ב"ב קלה. והרשב"א שם) הביא פי'</w:t>
      </w:r>
      <w:r w:rsidRPr="0041053F">
        <w:rPr>
          <w:rStyle w:val="ac"/>
          <w:rFonts w:ascii="Narkisim" w:hAnsi="Narkisim"/>
          <w:rtl/>
        </w:rPr>
        <w:footnoteReference w:id="1881"/>
      </w:r>
      <w:r w:rsidRPr="0041053F">
        <w:rPr>
          <w:rFonts w:ascii="Narkisim" w:hAnsi="Narkisim"/>
          <w:rtl/>
        </w:rPr>
        <w:t xml:space="preserve"> דהא דאי' (שם) דמשום איסור אשת איש החמירו, דמחזיקין מאיסור לאיסור</w:t>
      </w:r>
      <w:r w:rsidRPr="0041053F">
        <w:rPr>
          <w:rStyle w:val="ac"/>
          <w:rFonts w:ascii="Narkisim" w:hAnsi="Narkisim"/>
          <w:rtl/>
        </w:rPr>
        <w:footnoteReference w:id="1882"/>
      </w:r>
      <w:r w:rsidRPr="0041053F">
        <w:rPr>
          <w:rFonts w:ascii="Narkisim" w:hAnsi="Narkisim"/>
          <w:rtl/>
        </w:rPr>
        <w:t>. [ע' בסמוך]. ודחה דאמרי' (בסוגיין) דאשה זו בחזקת היתר עומדת, מספק אתה בא לאוסרה. [ואדרבה יש חזקה שתהא מותרת אחר מיתה]</w:t>
      </w:r>
      <w:r w:rsidRPr="0041053F">
        <w:rPr>
          <w:rStyle w:val="ac"/>
          <w:rFonts w:ascii="Narkisim" w:hAnsi="Narkisim"/>
          <w:rtl/>
        </w:rPr>
        <w:footnoteReference w:id="1883"/>
      </w:r>
      <w:r w:rsidRPr="0041053F">
        <w:rPr>
          <w:rFonts w:ascii="Narkisim" w:hAnsi="Narkisim"/>
          <w:rtl/>
        </w:rPr>
        <w:t>.</w:t>
      </w:r>
    </w:p>
    <w:p w14:paraId="4EF43A14" w14:textId="77777777" w:rsidR="006074A5" w:rsidRPr="0041053F" w:rsidRDefault="006074A5" w:rsidP="006074A5">
      <w:pPr>
        <w:pStyle w:val="aa"/>
        <w:bidi/>
        <w:rPr>
          <w:rFonts w:ascii="Narkisim" w:hAnsi="Narkisim"/>
        </w:rPr>
      </w:pPr>
      <w:r w:rsidRPr="0041053F">
        <w:rPr>
          <w:rFonts w:ascii="Narkisim" w:hAnsi="Narkisim"/>
          <w:rtl/>
        </w:rPr>
        <w:lastRenderedPageBreak/>
        <w:t>וה</w:t>
      </w:r>
      <w:r w:rsidRPr="0041053F">
        <w:rPr>
          <w:rFonts w:ascii="Narkisim" w:hAnsi="Narkisim"/>
          <w:b/>
          <w:bCs/>
          <w:rtl/>
        </w:rPr>
        <w:t xml:space="preserve">פרמ"ג </w:t>
      </w:r>
      <w:r w:rsidRPr="0041053F">
        <w:rPr>
          <w:rFonts w:ascii="Narkisim" w:hAnsi="Narkisim"/>
          <w:rtl/>
        </w:rPr>
        <w:t>(פתיחה להל' טריפות) הביא [עד"ז] דהחמירו רבנן בכל חייבי מיתות או כרת דלא לסמוך על חזקה</w:t>
      </w:r>
      <w:r w:rsidRPr="0041053F">
        <w:rPr>
          <w:rStyle w:val="ac"/>
          <w:rFonts w:ascii="Narkisim" w:hAnsi="Narkisim"/>
          <w:rtl/>
        </w:rPr>
        <w:footnoteReference w:id="1884"/>
      </w:r>
      <w:r w:rsidRPr="0041053F">
        <w:rPr>
          <w:rFonts w:ascii="Narkisim" w:hAnsi="Narkisim"/>
          <w:rtl/>
        </w:rPr>
        <w:t>. אבל הביא דעת ה</w:t>
      </w:r>
      <w:r w:rsidRPr="0041053F">
        <w:rPr>
          <w:rFonts w:ascii="Narkisim" w:hAnsi="Narkisim"/>
          <w:b/>
          <w:bCs/>
          <w:rtl/>
        </w:rPr>
        <w:t>פר"ח</w:t>
      </w:r>
      <w:r w:rsidRPr="0041053F">
        <w:rPr>
          <w:rFonts w:ascii="Narkisim" w:hAnsi="Narkisim"/>
          <w:rtl/>
        </w:rPr>
        <w:t xml:space="preserve"> דבמקום ספק השקול בכל התורה לא סומכים על חזקה, וביאר דהיינו מדרבנן. [ע' בסמוך בשם הט"ז].</w:t>
      </w:r>
    </w:p>
    <w:p w14:paraId="0A64EF3B" w14:textId="77777777" w:rsidR="006074A5" w:rsidRPr="0041053F" w:rsidRDefault="006074A5" w:rsidP="006074A5">
      <w:pPr>
        <w:pStyle w:val="aa"/>
        <w:bidi/>
        <w:rPr>
          <w:rFonts w:ascii="Narkisim" w:hAnsi="Narkisim"/>
        </w:rPr>
      </w:pPr>
      <w:r w:rsidRPr="0041053F">
        <w:rPr>
          <w:rFonts w:ascii="Narkisim" w:hAnsi="Narkisim"/>
          <w:u w:val="single"/>
          <w:rtl/>
        </w:rPr>
        <w:t>תוד"ה אשה.</w:t>
      </w:r>
      <w:r w:rsidRPr="0041053F">
        <w:rPr>
          <w:rFonts w:ascii="Narkisim" w:hAnsi="Narkisim"/>
          <w:rtl/>
        </w:rPr>
        <w:t xml:space="preserve"> וא"ת וכו' אבל גירש ואח"כ כנס הא לא הויא בחזקת היתר לשוק וכו'. מבואר בתוס' דגדר חזקה דמעיקרא שייך רק להחזיק דין באשה. אבל אילו הספק קודם שנתקדשה, א"כ ל"ש חזקה [דהוה ספק על המצב הראשוני]. ואף דהגירושין הוה התחדשות.</w:t>
      </w:r>
    </w:p>
    <w:p w14:paraId="5D3A555E" w14:textId="77777777" w:rsidR="006074A5" w:rsidRPr="0041053F" w:rsidRDefault="006074A5" w:rsidP="006074A5">
      <w:pPr>
        <w:pStyle w:val="aa"/>
        <w:bidi/>
        <w:rPr>
          <w:rFonts w:ascii="Narkisim" w:hAnsi="Narkisim"/>
        </w:rPr>
      </w:pPr>
      <w:r w:rsidRPr="0041053F">
        <w:rPr>
          <w:rFonts w:ascii="Narkisim" w:hAnsi="Narkisim"/>
          <w:u w:val="single"/>
          <w:rtl/>
        </w:rPr>
        <w:t>בא"ד ועוד לר' ירמיה (לעיל) דוקא גירש ולבסוף כנס</w:t>
      </w:r>
      <w:r w:rsidRPr="0041053F">
        <w:rPr>
          <w:rFonts w:ascii="Narkisim" w:hAnsi="Narkisim"/>
          <w:rtl/>
        </w:rPr>
        <w:t>. דדעת ר' ירמיה (בסוגיא לעיל) דתנא דפירקין כנס ולבסוף גירש פטורה משום נישואין מפילין. וכל הסוגיא בגירש ואח"כ כנס. אבל ה</w:t>
      </w:r>
      <w:r w:rsidRPr="0041053F">
        <w:rPr>
          <w:rFonts w:ascii="Narkisim" w:hAnsi="Narkisim"/>
          <w:b/>
          <w:bCs/>
          <w:rtl/>
        </w:rPr>
        <w:t>רמב"ן</w:t>
      </w:r>
      <w:r w:rsidRPr="0041053F">
        <w:rPr>
          <w:rFonts w:ascii="Narkisim" w:hAnsi="Narkisim"/>
          <w:rtl/>
        </w:rPr>
        <w:t xml:space="preserve"> כ' דרבה סבר מיתה מפלת, ואיירי בשכנס וגירש וזו היא חזקת השוק. שאם תאמר בגירש וכנס מה חזקת השוק יש כאן מתחילתה בספיקה עומדת.</w:t>
      </w:r>
    </w:p>
    <w:p w14:paraId="21E9D410" w14:textId="77777777" w:rsidR="006074A5" w:rsidRPr="0041053F" w:rsidRDefault="006074A5" w:rsidP="006074A5">
      <w:pPr>
        <w:bidi/>
        <w:rPr>
          <w:rFonts w:ascii="Narkisim" w:hAnsi="Narkisim" w:cs="Narkisim"/>
        </w:rPr>
      </w:pPr>
      <w:r w:rsidRPr="0041053F">
        <w:rPr>
          <w:rFonts w:ascii="Narkisim" w:hAnsi="Narkisim" w:cs="Narkisim"/>
          <w:u w:val="single"/>
          <w:rtl/>
        </w:rPr>
        <w:t>בא"ד וי"ל דמ"מ היא בחזקת היתר לשוק, דמוקמינן לערוה בחזקה שלא נתגרשה</w:t>
      </w:r>
      <w:r w:rsidRPr="0041053F">
        <w:rPr>
          <w:rFonts w:ascii="Narkisim" w:hAnsi="Narkisim" w:cs="Narkisim"/>
          <w:rtl/>
        </w:rPr>
        <w:t xml:space="preserve">. </w:t>
      </w:r>
      <w:r w:rsidRPr="0041053F">
        <w:rPr>
          <w:rFonts w:ascii="Narkisim" w:hAnsi="Narkisim" w:cs="Narkisim"/>
          <w:sz w:val="20"/>
          <w:szCs w:val="20"/>
          <w:rtl/>
        </w:rPr>
        <w:t>[וכיון דיש חזקה שהערוה לא נתגרשה, מהני חזקה בשורש הספק להכריע על הצרה. שהיא תולדה מנידון הערוה].</w:t>
      </w:r>
      <w:r w:rsidRPr="0041053F">
        <w:rPr>
          <w:rFonts w:ascii="Narkisim" w:hAnsi="Narkisim" w:cs="Narkisim"/>
          <w:rtl/>
        </w:rPr>
        <w:t xml:space="preserve"> וה</w:t>
      </w:r>
      <w:r w:rsidRPr="0041053F">
        <w:rPr>
          <w:rFonts w:ascii="Narkisim" w:hAnsi="Narkisim" w:cs="Narkisim"/>
          <w:b/>
          <w:bCs/>
          <w:rtl/>
        </w:rPr>
        <w:t>רמב"ן</w:t>
      </w:r>
      <w:r w:rsidRPr="0041053F">
        <w:rPr>
          <w:rFonts w:ascii="Narkisim" w:hAnsi="Narkisim" w:cs="Narkisim"/>
          <w:rtl/>
        </w:rPr>
        <w:t xml:space="preserve"> חלק וכתב ואין זה כלום, ואיירי דוקא כשכנס את הצרה ואח"כ נולד הספק בערוה. [דיש חזקה על הצרה עצמה].</w:t>
      </w:r>
    </w:p>
    <w:p w14:paraId="22792648"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(קובה"ע כז ג ואמרי בינה שחיטה כ) ביארו דה</w:t>
      </w:r>
      <w:r w:rsidRPr="0041053F">
        <w:rPr>
          <w:rFonts w:ascii="Narkisim" w:hAnsi="Narkisim"/>
          <w:b/>
          <w:bCs/>
          <w:rtl/>
        </w:rPr>
        <w:t>רמב"ן</w:t>
      </w:r>
      <w:r w:rsidRPr="0041053F">
        <w:rPr>
          <w:rFonts w:ascii="Narkisim" w:hAnsi="Narkisim"/>
          <w:rtl/>
        </w:rPr>
        <w:t xml:space="preserve"> לשיטתו (גיטין סד.) גבי שליח לקדש אשה סתם ומת, דהמשלח אסור בכל נשים שבעולם, שמא קידש קרובותיה. ולא מהני חזקת הקרובות שאינם לפנינו</w:t>
      </w:r>
      <w:r w:rsidRPr="0041053F">
        <w:rPr>
          <w:rStyle w:val="ac"/>
          <w:rFonts w:ascii="Narkisim" w:hAnsi="Narkisim"/>
          <w:rtl/>
        </w:rPr>
        <w:footnoteReference w:id="1885"/>
      </w:r>
      <w:r w:rsidRPr="0041053F">
        <w:rPr>
          <w:rFonts w:ascii="Narkisim" w:hAnsi="Narkisim"/>
          <w:rtl/>
        </w:rPr>
        <w:t xml:space="preserve"> [להתיר הקרובות למשלח]</w:t>
      </w:r>
      <w:r w:rsidRPr="0041053F">
        <w:rPr>
          <w:rStyle w:val="ac"/>
          <w:rFonts w:ascii="Narkisim" w:hAnsi="Narkisim"/>
          <w:rtl/>
        </w:rPr>
        <w:footnoteReference w:id="1886"/>
      </w:r>
      <w:r w:rsidRPr="0041053F">
        <w:rPr>
          <w:rFonts w:ascii="Narkisim" w:hAnsi="Narkisim"/>
          <w:rtl/>
        </w:rPr>
        <w:t>. וה"נ בנפילה ליבום אין נידון על הערוה, ולכן ל"מ חזקתה לצרה</w:t>
      </w:r>
      <w:r w:rsidRPr="0041053F">
        <w:rPr>
          <w:rStyle w:val="ac"/>
          <w:rFonts w:ascii="Narkisim" w:hAnsi="Narkisim"/>
          <w:rtl/>
        </w:rPr>
        <w:footnoteReference w:id="1887"/>
      </w:r>
      <w:r w:rsidRPr="0041053F">
        <w:rPr>
          <w:rFonts w:ascii="Narkisim" w:hAnsi="Narkisim"/>
          <w:rtl/>
        </w:rPr>
        <w:t>. [וע"ע מש"כ בזה השער"י ב יב, וחזו"א פא].</w:t>
      </w:r>
    </w:p>
    <w:p w14:paraId="1CBE620A" w14:textId="77777777" w:rsidR="006074A5" w:rsidRPr="0041053F" w:rsidRDefault="006074A5" w:rsidP="006074A5">
      <w:pPr>
        <w:bidi/>
        <w:rPr>
          <w:rFonts w:ascii="Narkisim" w:hAnsi="Narkisim" w:cs="Narkisim"/>
        </w:rPr>
      </w:pPr>
      <w:r w:rsidRPr="0041053F">
        <w:rPr>
          <w:rFonts w:ascii="Narkisim" w:hAnsi="Narkisim" w:cs="Narkisim"/>
          <w:u w:val="single"/>
          <w:rtl/>
        </w:rPr>
        <w:t>שם. דמוקמינן לערוה בחזקה שלא נתגרשה</w:t>
      </w:r>
      <w:r w:rsidRPr="0041053F">
        <w:rPr>
          <w:rFonts w:ascii="Narkisim" w:hAnsi="Narkisim" w:cs="Narkisim"/>
          <w:rtl/>
        </w:rPr>
        <w:t>. וה</w:t>
      </w:r>
      <w:r w:rsidRPr="0041053F">
        <w:rPr>
          <w:rFonts w:ascii="Narkisim" w:hAnsi="Narkisim" w:cs="Narkisim"/>
          <w:b/>
          <w:bCs/>
          <w:rtl/>
        </w:rPr>
        <w:t>אחרונים</w:t>
      </w:r>
      <w:r w:rsidRPr="0041053F">
        <w:rPr>
          <w:rFonts w:ascii="Narkisim" w:hAnsi="Narkisim" w:cs="Narkisim"/>
          <w:rtl/>
        </w:rPr>
        <w:t xml:space="preserve"> הביאו דמצאנו בכ"מ דמהני חזקת הסכין וחזקת המקווה, דהוה שורש הספק. ועי"ז  מהני להתיר את התולדה. וא"כ לכאו' פשוט דאף בסוגיין מהני חזקת הערוה, לפטור הצרה [וכמ"ש תוס'].</w:t>
      </w:r>
    </w:p>
    <w:p w14:paraId="4EC3D0DB" w14:textId="77777777" w:rsidR="006074A5" w:rsidRPr="0041053F" w:rsidRDefault="006074A5" w:rsidP="006074A5">
      <w:pPr>
        <w:pStyle w:val="a8"/>
        <w:bidi/>
        <w:rPr>
          <w:rFonts w:ascii="Narkisim" w:hAnsi="Narkisim"/>
        </w:rPr>
      </w:pPr>
      <w:r w:rsidRPr="0041053F">
        <w:rPr>
          <w:rFonts w:ascii="Narkisim" w:hAnsi="Narkisim"/>
          <w:rtl/>
        </w:rPr>
        <w:t>ולדברי הרמב"ן צ"ב מ"ש. וכן בתוס' משמע דיש כאן חידוש דמהני, ועוד דה</w:t>
      </w:r>
      <w:r w:rsidRPr="0041053F">
        <w:rPr>
          <w:rFonts w:ascii="Narkisim" w:hAnsi="Narkisim"/>
          <w:b/>
          <w:bCs/>
          <w:rtl/>
        </w:rPr>
        <w:t>פוסקים</w:t>
      </w:r>
      <w:r w:rsidRPr="0041053F">
        <w:rPr>
          <w:rFonts w:ascii="Narkisim" w:hAnsi="Narkisim"/>
          <w:rtl/>
        </w:rPr>
        <w:t xml:space="preserve"> דנו די"ל דאביי ורבא פליגי בסוגיין דל"מ חזקה.</w:t>
      </w:r>
    </w:p>
    <w:p w14:paraId="49303661"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עונג יו"ט</w:t>
      </w:r>
      <w:r w:rsidRPr="0041053F">
        <w:rPr>
          <w:rFonts w:ascii="Narkisim" w:hAnsi="Narkisim"/>
          <w:rtl/>
        </w:rPr>
        <w:t xml:space="preserve"> (סט) תי' דהסכין מכשיר את הבהמה, וכן המקוה מטהרת את הטובל, ומש"ה מהני חזקת המכשיר לדבר שהוכשר בה. אבל צרה וערוה תרי גופי נינהו, ואין הערוה 'פועלת' בצרה. רק שהתורה גזרה דהיכא דאיכא ערוה ליכא דין יבום כלל בהצרה.</w:t>
      </w:r>
    </w:p>
    <w:p w14:paraId="59A2F264" w14:textId="77777777" w:rsidR="006074A5" w:rsidRPr="0041053F" w:rsidRDefault="006074A5" w:rsidP="006074A5">
      <w:pPr>
        <w:bidi/>
        <w:rPr>
          <w:rFonts w:ascii="Narkisim" w:hAnsi="Narkisim" w:cs="Narkisim"/>
        </w:rPr>
      </w:pPr>
      <w:r w:rsidRPr="0041053F">
        <w:rPr>
          <w:rFonts w:ascii="Narkisim" w:hAnsi="Narkisim" w:cs="Narkisim"/>
          <w:u w:val="single"/>
          <w:rtl/>
        </w:rPr>
        <w:t>שם. דמוקמינן לערוה בחזקת וכו'</w:t>
      </w:r>
      <w:r w:rsidRPr="0041053F">
        <w:rPr>
          <w:rFonts w:ascii="Narkisim" w:hAnsi="Narkisim" w:cs="Narkisim"/>
          <w:rtl/>
        </w:rPr>
        <w:t>. ה</w:t>
      </w:r>
      <w:r w:rsidRPr="0041053F">
        <w:rPr>
          <w:rFonts w:ascii="Narkisim" w:hAnsi="Narkisim" w:cs="Narkisim"/>
          <w:b/>
          <w:bCs/>
          <w:rtl/>
        </w:rPr>
        <w:t>שמעתתא</w:t>
      </w:r>
      <w:r w:rsidRPr="0041053F">
        <w:rPr>
          <w:rFonts w:ascii="Narkisim" w:hAnsi="Narkisim" w:cs="Narkisim"/>
          <w:rtl/>
        </w:rPr>
        <w:t xml:space="preserve"> (ה ז,ח) הק' דהגמ' (בסמוך) מקשה מנפל הבית עליו ועל בת אחותו, והתם ליכא למימר דהוכרע שהערוה אשת איש, והוכרע שהצרה אסורה. וכתב דע"כ דב' הטעמים אמת.</w:t>
      </w:r>
    </w:p>
    <w:p w14:paraId="5B39C749" w14:textId="77777777" w:rsidR="006074A5" w:rsidRPr="0041053F" w:rsidRDefault="006074A5" w:rsidP="006074A5">
      <w:pPr>
        <w:pStyle w:val="a7"/>
        <w:bidi/>
        <w:rPr>
          <w:rFonts w:ascii="Narkisim" w:hAnsi="Narkisim"/>
        </w:rPr>
      </w:pPr>
      <w:r w:rsidRPr="0041053F">
        <w:rPr>
          <w:rFonts w:ascii="Narkisim" w:hAnsi="Narkisim"/>
          <w:rtl/>
        </w:rPr>
        <w:t>ורבה אתי עלה מב' טעמים, דהיכא דכנס ולבסוף גירש מהני חזקת הצרה. והיכא דגירש ולבסוף כנס מהני ע"י שהוכרע על הערוה.</w:t>
      </w:r>
    </w:p>
    <w:p w14:paraId="529F1702"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ש"ש</w:t>
      </w:r>
      <w:r w:rsidRPr="0041053F">
        <w:rPr>
          <w:rFonts w:ascii="Narkisim" w:hAnsi="Narkisim"/>
          <w:rtl/>
        </w:rPr>
        <w:t xml:space="preserve"> העיר דמדברי רבה אפשר לומר דהטעם משום דמוקמינן לערוה אחזקתה. ואין ראיה דאיירי משום חזקת הצרה [בכנס ולבסוף גירש]. אלא דילפי' לה מקו' אביי.</w:t>
      </w:r>
    </w:p>
    <w:p w14:paraId="3C427940"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שמעתתא</w:t>
      </w:r>
      <w:r w:rsidRPr="0041053F">
        <w:rPr>
          <w:rFonts w:ascii="Narkisim" w:hAnsi="Narkisim"/>
          <w:rtl/>
        </w:rPr>
        <w:t xml:space="preserve"> (ה ה) הק' אמאי ל"מ חזקת פנויה של הצרה, דקודם שנשאה היתה מותרת לשוק, וכשמת חוזרת לחזקתה. הביא מדברי התוס' דכיון דנולד הספק בעידן איסורא ל"מ חזקת הפנויה [דהיתר שקודם פקע ע"י קידושין, ולכן תליא במחזיקין מאיסור לאיסור].</w:t>
      </w:r>
    </w:p>
    <w:p w14:paraId="5D3257B4" w14:textId="77777777" w:rsidR="006074A5" w:rsidRPr="0041053F" w:rsidRDefault="006074A5" w:rsidP="006074A5">
      <w:pPr>
        <w:pStyle w:val="a8"/>
        <w:bidi/>
        <w:rPr>
          <w:rFonts w:ascii="Narkisim" w:hAnsi="Narkisim"/>
        </w:rPr>
      </w:pPr>
      <w:r w:rsidRPr="0041053F">
        <w:rPr>
          <w:rFonts w:ascii="Narkisim" w:hAnsi="Narkisim"/>
          <w:rtl/>
        </w:rPr>
        <w:t>אבל הביא דה</w:t>
      </w:r>
      <w:r w:rsidRPr="0041053F">
        <w:rPr>
          <w:rFonts w:ascii="Narkisim" w:hAnsi="Narkisim"/>
          <w:b/>
          <w:bCs/>
          <w:rtl/>
        </w:rPr>
        <w:t>מהרי"ט</w:t>
      </w:r>
      <w:r w:rsidRPr="0041053F">
        <w:rPr>
          <w:rFonts w:ascii="Narkisim" w:hAnsi="Narkisim"/>
          <w:rtl/>
        </w:rPr>
        <w:t xml:space="preserve"> (א פב) נקט דמהני חזקה כה"ג. דהמהרי"ט דן באשה שלא נודע האם יש לבעלה אחים, לסמוך על חזקת היתר דקודם נישואין</w:t>
      </w:r>
      <w:r w:rsidRPr="0041053F">
        <w:rPr>
          <w:rStyle w:val="ac"/>
          <w:rFonts w:ascii="Narkisim" w:hAnsi="Narkisim"/>
          <w:rtl/>
        </w:rPr>
        <w:footnoteReference w:id="1888"/>
      </w:r>
      <w:r w:rsidRPr="0041053F">
        <w:rPr>
          <w:rFonts w:ascii="Narkisim" w:hAnsi="Narkisim"/>
          <w:rtl/>
        </w:rPr>
        <w:t>. [אלא שהמהרי"ט דן אי מחזיקין מאיסור אשת איש לאיסור יבמה לשוק]. ומבואר דמהני חזקה דקודם קידושין.</w:t>
      </w:r>
    </w:p>
    <w:p w14:paraId="6F5B6ADB"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(פא ה) תי' דל"מ כאן חזקת פנויה, דא"כ מותרת אף ליבם</w:t>
      </w:r>
      <w:r w:rsidRPr="0041053F">
        <w:rPr>
          <w:rStyle w:val="ac"/>
          <w:rFonts w:ascii="Narkisim" w:hAnsi="Narkisim"/>
          <w:rtl/>
        </w:rPr>
        <w:footnoteReference w:id="1889"/>
      </w:r>
      <w:r w:rsidRPr="0041053F">
        <w:rPr>
          <w:rFonts w:ascii="Narkisim" w:hAnsi="Narkisim"/>
          <w:rtl/>
        </w:rPr>
        <w:t xml:space="preserve">. ואי אפשר להתיר גם לשוק וגם ליבם </w:t>
      </w:r>
      <w:r w:rsidRPr="0041053F">
        <w:rPr>
          <w:rFonts w:ascii="Narkisim" w:hAnsi="Narkisim"/>
          <w:rtl/>
        </w:rPr>
        <w:lastRenderedPageBreak/>
        <w:t>ע"פ חזקה, ולכן ל"מ חזקתה</w:t>
      </w:r>
      <w:r w:rsidRPr="0041053F">
        <w:rPr>
          <w:rStyle w:val="ac"/>
          <w:rFonts w:ascii="Narkisim" w:hAnsi="Narkisim"/>
          <w:rtl/>
        </w:rPr>
        <w:footnoteReference w:id="1890"/>
      </w:r>
      <w:r w:rsidRPr="0041053F">
        <w:rPr>
          <w:rFonts w:ascii="Narkisim" w:hAnsi="Narkisim"/>
          <w:rtl/>
        </w:rPr>
        <w:t>.</w:t>
      </w:r>
    </w:p>
    <w:p w14:paraId="211F44ED" w14:textId="77777777" w:rsidR="006074A5" w:rsidRPr="0041053F" w:rsidRDefault="006074A5" w:rsidP="006074A5">
      <w:pPr>
        <w:pStyle w:val="a8"/>
        <w:bidi/>
        <w:rPr>
          <w:rFonts w:ascii="Narkisim" w:hAnsi="Narkisim"/>
        </w:rPr>
      </w:pPr>
      <w:r w:rsidRPr="0041053F">
        <w:rPr>
          <w:rFonts w:ascii="Narkisim" w:hAnsi="Narkisim"/>
          <w:rtl/>
        </w:rPr>
        <w:t>אך ה</w:t>
      </w:r>
      <w:r w:rsidRPr="0041053F">
        <w:rPr>
          <w:rFonts w:ascii="Narkisim" w:hAnsi="Narkisim"/>
          <w:b/>
          <w:bCs/>
          <w:rtl/>
        </w:rPr>
        <w:t>רמב"ן</w:t>
      </w:r>
      <w:r w:rsidRPr="0041053F">
        <w:rPr>
          <w:rFonts w:ascii="Narkisim" w:hAnsi="Narkisim"/>
          <w:rtl/>
        </w:rPr>
        <w:t xml:space="preserve"> (בסוגיין גבי ספק קידושין בערוה, הו' לעיל) נקט דמהני חזקת פנויה</w:t>
      </w:r>
      <w:r w:rsidRPr="0041053F">
        <w:rPr>
          <w:rStyle w:val="ac"/>
          <w:rFonts w:ascii="Narkisim" w:hAnsi="Narkisim"/>
          <w:rtl/>
        </w:rPr>
        <w:footnoteReference w:id="1891"/>
      </w:r>
      <w:r w:rsidRPr="0041053F">
        <w:rPr>
          <w:rFonts w:ascii="Narkisim" w:hAnsi="Narkisim"/>
          <w:rtl/>
        </w:rPr>
        <w:t>.</w:t>
      </w:r>
    </w:p>
    <w:p w14:paraId="47A40B31" w14:textId="77777777" w:rsidR="006074A5" w:rsidRPr="0041053F" w:rsidRDefault="006074A5" w:rsidP="006074A5">
      <w:pPr>
        <w:bidi/>
        <w:rPr>
          <w:rFonts w:ascii="Narkisim" w:hAnsi="Narkisim" w:cs="Narkisim"/>
        </w:rPr>
      </w:pPr>
      <w:r w:rsidRPr="0041053F">
        <w:rPr>
          <w:rFonts w:ascii="Narkisim" w:hAnsi="Narkisim" w:cs="Narkisim"/>
          <w:u w:val="single"/>
          <w:rtl/>
        </w:rPr>
        <w:t>בא"ד וא"ת דהכא מוקמינן וכו' אע"פ שבשעה שנולד הספק היתה עומדת בחזקת איסור, ובפ"ק דחולין וכו</w:t>
      </w:r>
      <w:r w:rsidRPr="0041053F">
        <w:rPr>
          <w:rFonts w:ascii="Narkisim" w:hAnsi="Narkisim" w:cs="Narkisim"/>
          <w:rtl/>
        </w:rPr>
        <w:t>'. וכעי"ז הקשו ה</w:t>
      </w:r>
      <w:r w:rsidRPr="0041053F">
        <w:rPr>
          <w:rFonts w:ascii="Narkisim" w:hAnsi="Narkisim" w:cs="Narkisim"/>
          <w:b/>
          <w:bCs/>
          <w:rtl/>
        </w:rPr>
        <w:t>רמב"ן</w:t>
      </w:r>
      <w:r w:rsidRPr="0041053F">
        <w:rPr>
          <w:rFonts w:ascii="Narkisim" w:hAnsi="Narkisim" w:cs="Narkisim"/>
          <w:rtl/>
        </w:rPr>
        <w:t xml:space="preserve"> ור</w:t>
      </w:r>
      <w:r w:rsidRPr="0041053F">
        <w:rPr>
          <w:rFonts w:ascii="Narkisim" w:hAnsi="Narkisim" w:cs="Narkisim"/>
          <w:b/>
          <w:bCs/>
          <w:rtl/>
        </w:rPr>
        <w:t>שב"א</w:t>
      </w:r>
      <w:r w:rsidRPr="0041053F">
        <w:rPr>
          <w:rFonts w:ascii="Narkisim" w:hAnsi="Narkisim" w:cs="Narkisim"/>
          <w:rtl/>
        </w:rPr>
        <w:t xml:space="preserve"> היכי אמרי' חזקת היתר לשוק, הלא אסורה משום אשת איש. ובעלמא מחזיקין מאיסור לאיסור כדאמרי' (חולין ט.) בהמה בחזקת איסור עומדת משום אבר מן החי, עד שיוודע במה נשחטה</w:t>
      </w:r>
      <w:r w:rsidRPr="0041053F">
        <w:rPr>
          <w:rStyle w:val="ac"/>
          <w:rFonts w:ascii="Narkisim" w:hAnsi="Narkisim" w:cs="Narkisim"/>
          <w:rtl/>
        </w:rPr>
        <w:footnoteReference w:id="1892"/>
      </w:r>
      <w:r w:rsidRPr="0041053F">
        <w:rPr>
          <w:rFonts w:ascii="Narkisim" w:hAnsi="Narkisim" w:cs="Narkisim"/>
          <w:rtl/>
        </w:rPr>
        <w:t>.</w:t>
      </w:r>
    </w:p>
    <w:p w14:paraId="7B4E417F" w14:textId="77777777" w:rsidR="006074A5" w:rsidRPr="0041053F" w:rsidRDefault="006074A5" w:rsidP="006074A5">
      <w:pPr>
        <w:pStyle w:val="a8"/>
        <w:bidi/>
        <w:rPr>
          <w:rFonts w:ascii="Narkisim" w:hAnsi="Narkisim"/>
        </w:rPr>
      </w:pPr>
      <w:r w:rsidRPr="0041053F">
        <w:rPr>
          <w:rFonts w:ascii="Narkisim" w:hAnsi="Narkisim"/>
          <w:rtl/>
        </w:rPr>
        <w:t xml:space="preserve">וכוונתם למש"כ </w:t>
      </w:r>
      <w:r w:rsidRPr="0041053F">
        <w:rPr>
          <w:rFonts w:ascii="Narkisim" w:hAnsi="Narkisim"/>
          <w:b/>
          <w:bCs/>
          <w:rtl/>
        </w:rPr>
        <w:t>רש"י</w:t>
      </w:r>
      <w:r w:rsidRPr="0041053F">
        <w:rPr>
          <w:rFonts w:ascii="Narkisim" w:hAnsi="Narkisim"/>
          <w:rtl/>
        </w:rPr>
        <w:t xml:space="preserve"> (ביצה כה.) דבהמה בחזקת אבר מן החי עומדת, עד שיודע לך במה נשחטה. דמחזיקין מאיסור אמ"ה לאיסור נבילה. ו</w:t>
      </w:r>
      <w:r w:rsidRPr="0041053F">
        <w:rPr>
          <w:rFonts w:ascii="Narkisim" w:hAnsi="Narkisim"/>
          <w:b/>
          <w:bCs/>
          <w:rtl/>
        </w:rPr>
        <w:t>תוס</w:t>
      </w:r>
      <w:r w:rsidRPr="0041053F">
        <w:rPr>
          <w:rFonts w:ascii="Narkisim" w:hAnsi="Narkisim"/>
          <w:rtl/>
        </w:rPr>
        <w:t>' (שם ד"ה בחזקת) חלקו דכיון דחזינן שמתה א"כ לא שייך איסור אבר מן החי, ותוס' פי' דהוה בחזקת איסור עשה דאינו זבוח</w:t>
      </w:r>
      <w:r w:rsidRPr="0041053F">
        <w:rPr>
          <w:rStyle w:val="ac"/>
          <w:rFonts w:ascii="Narkisim" w:hAnsi="Narkisim"/>
          <w:rtl/>
        </w:rPr>
        <w:footnoteReference w:id="1893"/>
      </w:r>
      <w:r w:rsidRPr="0041053F">
        <w:rPr>
          <w:rFonts w:ascii="Narkisim" w:hAnsi="Narkisim"/>
          <w:rtl/>
        </w:rPr>
        <w:t>. ואין מחזיקין מאיסור לאיסור. וה</w:t>
      </w:r>
      <w:r w:rsidRPr="0041053F">
        <w:rPr>
          <w:rFonts w:ascii="Narkisim" w:hAnsi="Narkisim"/>
          <w:b/>
          <w:bCs/>
          <w:rtl/>
        </w:rPr>
        <w:t>מהרי"ט</w:t>
      </w:r>
      <w:r w:rsidRPr="0041053F">
        <w:rPr>
          <w:rFonts w:ascii="Narkisim" w:hAnsi="Narkisim"/>
          <w:rtl/>
        </w:rPr>
        <w:t xml:space="preserve"> (א פב) האריך להוכיח מכ"מ דמחזיקין מאיסור לאיסור. וה</w:t>
      </w:r>
      <w:r w:rsidRPr="0041053F">
        <w:rPr>
          <w:rFonts w:ascii="Narkisim" w:hAnsi="Narkisim"/>
          <w:b/>
          <w:bCs/>
          <w:rtl/>
        </w:rPr>
        <w:t>ש"ש</w:t>
      </w:r>
      <w:r w:rsidRPr="0041053F">
        <w:rPr>
          <w:rFonts w:ascii="Narkisim" w:hAnsi="Narkisim"/>
          <w:rtl/>
        </w:rPr>
        <w:t xml:space="preserve"> (ה א-ד) חלק דאין מחזיקין, וכתב דזהו סברת רבה (בסוגיין).</w:t>
      </w:r>
    </w:p>
    <w:p w14:paraId="04339828" w14:textId="77777777" w:rsidR="006074A5" w:rsidRPr="0041053F" w:rsidRDefault="006074A5" w:rsidP="006074A5">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תי' דמהני חזקה אף כה"ג. וה</w:t>
      </w:r>
      <w:r w:rsidRPr="0041053F">
        <w:rPr>
          <w:rFonts w:ascii="Narkisim" w:hAnsi="Narkisim" w:cs="Narkisim"/>
          <w:b/>
          <w:bCs/>
          <w:rtl/>
        </w:rPr>
        <w:t>ש"ש</w:t>
      </w:r>
      <w:r w:rsidRPr="0041053F">
        <w:rPr>
          <w:rFonts w:ascii="Narkisim" w:hAnsi="Narkisim" w:cs="Narkisim"/>
          <w:rtl/>
        </w:rPr>
        <w:t xml:space="preserve"> (ה ב) הביא דדעת רבה דאין מחזיקין מאיסור לאיסור.</w:t>
      </w:r>
    </w:p>
    <w:p w14:paraId="4A60E31D"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ש"ש</w:t>
      </w:r>
      <w:r w:rsidRPr="0041053F">
        <w:rPr>
          <w:rFonts w:ascii="Narkisim" w:hAnsi="Narkisim"/>
          <w:rtl/>
        </w:rPr>
        <w:t xml:space="preserve"> (ה ז) כת' דלפ"ז רבה חידש ב' חידושים, דהצרה עצמה בחזקת היתר לשוק, דאין מחזיקין מאיסור לאיסור [בכנס ואח"כ גירש]</w:t>
      </w:r>
      <w:r w:rsidRPr="0041053F">
        <w:rPr>
          <w:rStyle w:val="ac"/>
          <w:rFonts w:ascii="Narkisim" w:hAnsi="Narkisim"/>
          <w:rtl/>
        </w:rPr>
        <w:footnoteReference w:id="1894"/>
      </w:r>
      <w:r w:rsidRPr="0041053F">
        <w:rPr>
          <w:rFonts w:ascii="Narkisim" w:hAnsi="Narkisim"/>
          <w:rtl/>
        </w:rPr>
        <w:t>. ובגירש ואח"כ כנס דמהני חזקת הערוה לצרתה</w:t>
      </w:r>
      <w:r w:rsidRPr="0041053F">
        <w:rPr>
          <w:rStyle w:val="ac"/>
          <w:rFonts w:ascii="Narkisim" w:hAnsi="Narkisim"/>
          <w:rtl/>
        </w:rPr>
        <w:footnoteReference w:id="1895"/>
      </w:r>
      <w:r w:rsidRPr="0041053F">
        <w:rPr>
          <w:rFonts w:ascii="Narkisim" w:hAnsi="Narkisim"/>
          <w:rtl/>
        </w:rPr>
        <w:t>. ולדברי הדרכ"מ אביי פליג עליו בתרתי.</w:t>
      </w:r>
    </w:p>
    <w:p w14:paraId="01F5AC4D" w14:textId="77777777" w:rsidR="006074A5" w:rsidRPr="0041053F" w:rsidRDefault="006074A5" w:rsidP="006074A5">
      <w:pPr>
        <w:bidi/>
        <w:rPr>
          <w:rFonts w:ascii="Narkisim" w:hAnsi="Narkisim" w:cs="Narkisim"/>
        </w:rPr>
      </w:pPr>
      <w:r w:rsidRPr="0041053F">
        <w:rPr>
          <w:rFonts w:ascii="Narkisim" w:hAnsi="Narkisim" w:cs="Narkisim"/>
          <w:rtl/>
        </w:rPr>
        <w:t xml:space="preserve">אבל </w:t>
      </w:r>
      <w:r w:rsidRPr="0041053F">
        <w:rPr>
          <w:rFonts w:ascii="Narkisim" w:hAnsi="Narkisim" w:cs="Narkisim"/>
          <w:b/>
          <w:bCs/>
          <w:rtl/>
        </w:rPr>
        <w:t>רע"א</w:t>
      </w:r>
      <w:r w:rsidRPr="0041053F">
        <w:rPr>
          <w:rFonts w:ascii="Narkisim" w:hAnsi="Narkisim" w:cs="Narkisim"/>
          <w:rtl/>
        </w:rPr>
        <w:t xml:space="preserve"> כת' דכוונת התוס' דלרבה מוקמינן אחזקתיה אע"ג דנולד הריעותא בשעה שהיא בחזקת א"א [דמחיים נקבע מצב דלאחר מיתת בעלה מותרת], וא"כ ה"ה חזקת הבהמה. </w:t>
      </w:r>
      <w:r w:rsidRPr="0041053F">
        <w:rPr>
          <w:rFonts w:ascii="Narkisim" w:hAnsi="Narkisim" w:cs="Narkisim"/>
          <w:sz w:val="20"/>
          <w:szCs w:val="20"/>
          <w:rtl/>
        </w:rPr>
        <w:t>ונידון התוס' לא תליא בהא דהוה מאיסור לאיסור, אלא אף באותו איסור ל"מ החזקה כשיש ריעותא מחיים</w:t>
      </w:r>
      <w:r w:rsidRPr="0041053F">
        <w:rPr>
          <w:rStyle w:val="ac"/>
          <w:rFonts w:ascii="Narkisim" w:hAnsi="Narkisim" w:cs="Narkisim"/>
          <w:sz w:val="20"/>
          <w:szCs w:val="20"/>
          <w:rtl/>
        </w:rPr>
        <w:footnoteReference w:id="1896"/>
      </w:r>
      <w:r w:rsidRPr="0041053F">
        <w:rPr>
          <w:rFonts w:ascii="Narkisim" w:hAnsi="Narkisim" w:cs="Narkisim"/>
          <w:sz w:val="20"/>
          <w:szCs w:val="20"/>
          <w:rtl/>
        </w:rPr>
        <w:t>.</w:t>
      </w:r>
      <w:r w:rsidRPr="0041053F">
        <w:rPr>
          <w:rFonts w:ascii="Narkisim" w:hAnsi="Narkisim" w:cs="Narkisim"/>
          <w:rtl/>
        </w:rPr>
        <w:t xml:space="preserve"> קמ"ל דמהני חזקה לומר דלא אמרי' דנתחדש דבר שמיתתו לא תהא מתרת אותה.</w:t>
      </w:r>
    </w:p>
    <w:p w14:paraId="48DFB481" w14:textId="77777777" w:rsidR="006074A5" w:rsidRPr="0041053F" w:rsidRDefault="006074A5" w:rsidP="006074A5">
      <w:pPr>
        <w:pStyle w:val="a8"/>
        <w:bidi/>
        <w:rPr>
          <w:rFonts w:ascii="Narkisim" w:hAnsi="Narkisim"/>
        </w:rPr>
      </w:pPr>
      <w:r w:rsidRPr="0041053F">
        <w:rPr>
          <w:rFonts w:ascii="Narkisim" w:hAnsi="Narkisim"/>
          <w:rtl/>
        </w:rPr>
        <w:t>אלא דהראשונים הק' דסברת מחזיקין מאיסור לאיסור סותר לסברא הזה. דאי יש חזקה שהוכרע שתהא מותרת לאחר מיתתו, א"כ א"א להמשיך ולהחזיק את דין האיסור</w:t>
      </w:r>
      <w:r w:rsidRPr="0041053F">
        <w:rPr>
          <w:rStyle w:val="ac"/>
          <w:rFonts w:ascii="Narkisim" w:hAnsi="Narkisim"/>
          <w:rtl/>
        </w:rPr>
        <w:footnoteReference w:id="1897"/>
      </w:r>
      <w:r w:rsidRPr="0041053F">
        <w:rPr>
          <w:rFonts w:ascii="Narkisim" w:hAnsi="Narkisim"/>
          <w:rtl/>
        </w:rPr>
        <w:t>.</w:t>
      </w:r>
    </w:p>
    <w:p w14:paraId="491C8AFD"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שער"י</w:t>
      </w:r>
      <w:r w:rsidRPr="0041053F">
        <w:rPr>
          <w:rFonts w:ascii="Narkisim" w:hAnsi="Narkisim"/>
          <w:rtl/>
        </w:rPr>
        <w:t xml:space="preserve"> (ב יט) ביאר דלא יתכן להכריע מחיים כיון דאין נפק"מ לדינא. ורק אחרי מיתתה דנים. וס"ד דכיון דנתעורר הספק ולא הוכרע, שוב לא תועיל חזקתו. קמ"ל דאחרי גירושין מהני החזקה למפרע</w:t>
      </w:r>
      <w:r w:rsidRPr="0041053F">
        <w:rPr>
          <w:rStyle w:val="ac"/>
          <w:rFonts w:ascii="Narkisim" w:hAnsi="Narkisim"/>
          <w:rtl/>
        </w:rPr>
        <w:footnoteReference w:id="1898"/>
      </w:r>
      <w:r w:rsidRPr="0041053F">
        <w:rPr>
          <w:rFonts w:ascii="Narkisim" w:hAnsi="Narkisim"/>
          <w:rtl/>
        </w:rPr>
        <w:t>.</w:t>
      </w:r>
    </w:p>
    <w:p w14:paraId="670CD962" w14:textId="77777777" w:rsidR="006074A5" w:rsidRPr="0041053F" w:rsidRDefault="006074A5" w:rsidP="006074A5">
      <w:pPr>
        <w:pStyle w:val="aa"/>
        <w:bidi/>
        <w:rPr>
          <w:rFonts w:ascii="Narkisim" w:hAnsi="Narkisim"/>
        </w:rPr>
      </w:pPr>
      <w:r w:rsidRPr="0041053F">
        <w:rPr>
          <w:rFonts w:ascii="Narkisim" w:hAnsi="Narkisim"/>
          <w:rtl/>
        </w:rPr>
        <w:t>[ובהא דמחזיקין מאיסור לאיסור יש ב' נידונים א' האם מהני חזקה לגרום 'שם איסור' אחר</w:t>
      </w:r>
      <w:r w:rsidRPr="0041053F">
        <w:rPr>
          <w:rStyle w:val="ac"/>
          <w:rFonts w:ascii="Narkisim" w:hAnsi="Narkisim"/>
          <w:rtl/>
        </w:rPr>
        <w:footnoteReference w:id="1899"/>
      </w:r>
      <w:r w:rsidRPr="0041053F">
        <w:rPr>
          <w:rFonts w:ascii="Narkisim" w:hAnsi="Narkisim"/>
          <w:rtl/>
        </w:rPr>
        <w:t>. וב' האם נאמר דין חזקה להמציא סיבות חדשות להמשיך את המצב הראשון</w:t>
      </w:r>
      <w:r w:rsidRPr="0041053F">
        <w:rPr>
          <w:rStyle w:val="ac"/>
          <w:rFonts w:ascii="Narkisim" w:hAnsi="Narkisim"/>
          <w:rtl/>
        </w:rPr>
        <w:footnoteReference w:id="1900"/>
      </w:r>
      <w:r w:rsidRPr="0041053F">
        <w:rPr>
          <w:rFonts w:ascii="Narkisim" w:hAnsi="Narkisim"/>
          <w:rtl/>
        </w:rPr>
        <w:t>, או דיסוד החזקה שלא להמציא סיבות חדשות].</w:t>
      </w:r>
    </w:p>
    <w:p w14:paraId="72FC7DC2"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וה</w:t>
      </w:r>
      <w:r w:rsidRPr="0041053F">
        <w:rPr>
          <w:rFonts w:ascii="Narkisim" w:hAnsi="Narkisim" w:cs="Narkisim"/>
          <w:b/>
          <w:bCs/>
          <w:rtl/>
        </w:rPr>
        <w:t>רמב"ן</w:t>
      </w:r>
      <w:r w:rsidRPr="0041053F">
        <w:rPr>
          <w:rFonts w:ascii="Narkisim" w:hAnsi="Narkisim" w:cs="Narkisim"/>
          <w:rtl/>
        </w:rPr>
        <w:t xml:space="preserve"> תי' </w:t>
      </w:r>
      <w:r w:rsidRPr="0041053F">
        <w:rPr>
          <w:rFonts w:ascii="Narkisim" w:hAnsi="Narkisim" w:cs="Narkisim"/>
          <w:szCs w:val="20"/>
          <w:rtl/>
        </w:rPr>
        <w:t>[על הקו' דבהמה בחזקת איסור]</w:t>
      </w:r>
      <w:r w:rsidRPr="0041053F">
        <w:rPr>
          <w:rFonts w:ascii="Narkisim" w:hAnsi="Narkisim" w:cs="Narkisim"/>
          <w:rtl/>
        </w:rPr>
        <w:t xml:space="preserve"> דהתם אפשר שתצא מאיסור לאיסור ע"י </w:t>
      </w:r>
      <w:r w:rsidRPr="0041053F">
        <w:rPr>
          <w:rFonts w:ascii="Narkisim" w:hAnsi="Narkisim" w:cs="Narkisim"/>
          <w:rtl/>
        </w:rPr>
        <w:lastRenderedPageBreak/>
        <w:t>שתתנבל. אבל הכא א"א שתצא מבעלה אם לא תהא מותרת לשוק</w:t>
      </w:r>
      <w:r w:rsidRPr="0041053F">
        <w:rPr>
          <w:rStyle w:val="ac"/>
          <w:rFonts w:ascii="Narkisim" w:hAnsi="Narkisim" w:cs="Narkisim"/>
          <w:rtl/>
        </w:rPr>
        <w:footnoteReference w:id="1901"/>
      </w:r>
      <w:r w:rsidRPr="0041053F">
        <w:rPr>
          <w:rFonts w:ascii="Narkisim" w:hAnsi="Narkisim" w:cs="Narkisim"/>
          <w:rtl/>
        </w:rPr>
        <w:t xml:space="preserve">. </w:t>
      </w:r>
      <w:r w:rsidRPr="0041053F">
        <w:rPr>
          <w:rFonts w:ascii="Narkisim" w:hAnsi="Narkisim" w:cs="Narkisim"/>
          <w:szCs w:val="20"/>
          <w:rtl/>
        </w:rPr>
        <w:t>ועוד שזו ודאי בחזקת איסור ליבם עומדת, וע"כ בחזקת היתר לשוק לכשימות הבעל.</w:t>
      </w:r>
    </w:p>
    <w:p w14:paraId="5B7170AA"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תי' דכל בהמה שמתה ממילא אסורה, עד שיתחדש ענין המכשירה. ואלו בסוגיין מת הבעל ממילא הותרה זו לשוק, כשאתה בא לומר שהיה מעשה האוסרה עליך להביא ראיה</w:t>
      </w:r>
      <w:r w:rsidRPr="0041053F">
        <w:rPr>
          <w:rStyle w:val="ac"/>
          <w:rFonts w:ascii="Narkisim" w:hAnsi="Narkisim"/>
          <w:rtl/>
        </w:rPr>
        <w:footnoteReference w:id="1902"/>
      </w:r>
      <w:r w:rsidRPr="0041053F">
        <w:rPr>
          <w:rFonts w:ascii="Narkisim" w:hAnsi="Narkisim"/>
          <w:rtl/>
        </w:rPr>
        <w:t>.</w:t>
      </w:r>
    </w:p>
    <w:p w14:paraId="29FC06E5"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תי' דגבי בהמה עומדת בחזקת איסור אינו זבוח [וכתוס' ביצה הנ"ל], ומוקמינן על חזקה זו, דאיסור זה הוה אפי' מחיים.</w:t>
      </w:r>
    </w:p>
    <w:p w14:paraId="44A15090" w14:textId="77777777" w:rsidR="006074A5" w:rsidRPr="0041053F" w:rsidRDefault="006074A5" w:rsidP="006074A5">
      <w:pPr>
        <w:pStyle w:val="aa"/>
        <w:bidi/>
        <w:rPr>
          <w:rFonts w:ascii="Narkisim" w:hAnsi="Narkisim"/>
        </w:rPr>
      </w:pPr>
      <w:r w:rsidRPr="0041053F">
        <w:rPr>
          <w:rFonts w:ascii="Narkisim" w:hAnsi="Narkisim"/>
          <w:u w:val="single"/>
          <w:rtl/>
        </w:rPr>
        <w:t>שם. נשחטה בחזקת היתר עומדת וכו'</w:t>
      </w:r>
      <w:r w:rsidRPr="0041053F">
        <w:rPr>
          <w:rFonts w:ascii="Narkisim" w:hAnsi="Narkisim"/>
          <w:rtl/>
        </w:rPr>
        <w:t>. ה</w:t>
      </w:r>
      <w:r w:rsidRPr="0041053F">
        <w:rPr>
          <w:rFonts w:ascii="Narkisim" w:hAnsi="Narkisim"/>
          <w:b/>
          <w:bCs/>
          <w:rtl/>
        </w:rPr>
        <w:t>אחרונים</w:t>
      </w:r>
      <w:r w:rsidRPr="0041053F">
        <w:rPr>
          <w:rFonts w:ascii="Narkisim" w:hAnsi="Narkisim"/>
          <w:rtl/>
        </w:rPr>
        <w:t xml:space="preserve"> דנו איזה חזקה יש להתיר שאינה טריפה, הא דעת </w:t>
      </w:r>
      <w:r w:rsidRPr="0041053F">
        <w:rPr>
          <w:rFonts w:ascii="Narkisim" w:hAnsi="Narkisim"/>
          <w:b/>
          <w:bCs/>
          <w:rtl/>
        </w:rPr>
        <w:t>תוס</w:t>
      </w:r>
      <w:r w:rsidRPr="0041053F">
        <w:rPr>
          <w:rFonts w:ascii="Narkisim" w:hAnsi="Narkisim"/>
          <w:rtl/>
        </w:rPr>
        <w:t>' (חולין יא, נדה ב: ד"ה דיקא) דלא מהני חזקה שלא נתבררה בשעתה. א"כ צ"ב איזה חזקה יש כאן.</w:t>
      </w:r>
    </w:p>
    <w:p w14:paraId="7B9C8830" w14:textId="77777777" w:rsidR="006074A5" w:rsidRPr="0041053F" w:rsidRDefault="006074A5" w:rsidP="006074A5">
      <w:pPr>
        <w:pStyle w:val="a8"/>
        <w:bidi/>
        <w:rPr>
          <w:rFonts w:ascii="Narkisim" w:hAnsi="Narkisim"/>
        </w:rPr>
      </w:pPr>
      <w:r w:rsidRPr="0041053F">
        <w:rPr>
          <w:rFonts w:ascii="Narkisim" w:hAnsi="Narkisim"/>
          <w:rtl/>
        </w:rPr>
        <w:t>אבל דעת ה</w:t>
      </w:r>
      <w:r w:rsidRPr="0041053F">
        <w:rPr>
          <w:rFonts w:ascii="Narkisim" w:hAnsi="Narkisim"/>
          <w:b/>
          <w:bCs/>
          <w:rtl/>
        </w:rPr>
        <w:t>רא"ש</w:t>
      </w:r>
      <w:r w:rsidRPr="0041053F">
        <w:rPr>
          <w:rFonts w:ascii="Narkisim" w:hAnsi="Narkisim"/>
          <w:rtl/>
        </w:rPr>
        <w:t xml:space="preserve"> (ושא"ר שם) דמהני חזקה מכח הכרעת הרוב דאינו טריפה. וה</w:t>
      </w:r>
      <w:r w:rsidRPr="0041053F">
        <w:rPr>
          <w:rFonts w:ascii="Narkisim" w:hAnsi="Narkisim"/>
          <w:b/>
          <w:bCs/>
          <w:rtl/>
        </w:rPr>
        <w:t>פוסקים</w:t>
      </w:r>
      <w:r w:rsidRPr="0041053F">
        <w:rPr>
          <w:rFonts w:ascii="Narkisim" w:hAnsi="Narkisim"/>
          <w:rtl/>
        </w:rPr>
        <w:t xml:space="preserve"> דנו דכוונת התוס' דרוב בהמות אינן טריפות. וה</w:t>
      </w:r>
      <w:r w:rsidRPr="0041053F">
        <w:rPr>
          <w:rFonts w:ascii="Narkisim" w:hAnsi="Narkisim"/>
          <w:b/>
          <w:bCs/>
          <w:rtl/>
        </w:rPr>
        <w:t>תבו"ש</w:t>
      </w:r>
      <w:r w:rsidRPr="0041053F">
        <w:rPr>
          <w:rFonts w:ascii="Narkisim" w:hAnsi="Narkisim"/>
          <w:rtl/>
        </w:rPr>
        <w:t xml:space="preserve"> (כט) דן עפ"ז דבהמה שיש לה ריעותא יצאה מהרוב, דאין רוב שבהמה כזו היא כשירה. וה</w:t>
      </w:r>
      <w:r w:rsidRPr="0041053F">
        <w:rPr>
          <w:rFonts w:ascii="Narkisim" w:hAnsi="Narkisim"/>
          <w:b/>
          <w:bCs/>
          <w:rtl/>
        </w:rPr>
        <w:t>חוו"ד</w:t>
      </w:r>
      <w:r w:rsidRPr="0041053F">
        <w:rPr>
          <w:rFonts w:ascii="Narkisim" w:hAnsi="Narkisim"/>
          <w:rtl/>
        </w:rPr>
        <w:t xml:space="preserve"> (נ) חלק. וה</w:t>
      </w:r>
      <w:r w:rsidRPr="0041053F">
        <w:rPr>
          <w:rFonts w:ascii="Narkisim" w:hAnsi="Narkisim"/>
          <w:b/>
          <w:bCs/>
          <w:rtl/>
        </w:rPr>
        <w:t>אחרונים</w:t>
      </w:r>
      <w:r w:rsidRPr="0041053F">
        <w:rPr>
          <w:rFonts w:ascii="Narkisim" w:hAnsi="Narkisim"/>
          <w:rtl/>
        </w:rPr>
        <w:t xml:space="preserve"> האריכו בזה.</w:t>
      </w:r>
    </w:p>
    <w:p w14:paraId="3F219E83"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(כח ג) כת</w:t>
      </w:r>
      <w:r w:rsidRPr="0041053F">
        <w:rPr>
          <w:rFonts w:ascii="Narkisim" w:hAnsi="Narkisim"/>
          <w:b/>
          <w:bCs/>
          <w:rtl/>
        </w:rPr>
        <w:t>'</w:t>
      </w:r>
      <w:r w:rsidRPr="0041053F">
        <w:rPr>
          <w:rFonts w:ascii="Narkisim" w:hAnsi="Narkisim"/>
          <w:rtl/>
        </w:rPr>
        <w:t xml:space="preserve"> דכוונת התוס' דיש חזקת הגוף [דספק דרוסה הוה שינוי בגוף אחרי הלידה, אבל בדבר שספק משעת לידה לא].</w:t>
      </w:r>
    </w:p>
    <w:p w14:paraId="07CAD1D9" w14:textId="77777777" w:rsidR="006074A5" w:rsidRPr="0041053F" w:rsidRDefault="006074A5" w:rsidP="006074A5">
      <w:pPr>
        <w:bidi/>
        <w:rPr>
          <w:rFonts w:ascii="Narkisim" w:hAnsi="Narkisim" w:cs="Narkisim"/>
        </w:rPr>
      </w:pPr>
      <w:r w:rsidRPr="0041053F">
        <w:rPr>
          <w:rFonts w:ascii="Narkisim" w:hAnsi="Narkisim" w:cs="Narkisim"/>
          <w:u w:val="single"/>
          <w:rtl/>
        </w:rPr>
        <w:t>בא"ד ואור"י דהתם חיישינן וכו' משום דשכיחא ומוכחא מילתא לאיסורא טפי</w:t>
      </w:r>
      <w:r w:rsidRPr="0041053F">
        <w:rPr>
          <w:rStyle w:val="ac"/>
          <w:rFonts w:ascii="Narkisim" w:hAnsi="Narkisim" w:cs="Narkisim"/>
          <w:u w:val="single"/>
          <w:rtl/>
        </w:rPr>
        <w:footnoteReference w:id="1903"/>
      </w:r>
      <w:r w:rsidRPr="0041053F">
        <w:rPr>
          <w:rFonts w:ascii="Narkisim" w:hAnsi="Narkisim" w:cs="Narkisim"/>
          <w:u w:val="single"/>
          <w:rtl/>
        </w:rPr>
        <w:t xml:space="preserve"> מדלהתירא וכו'.</w:t>
      </w:r>
      <w:r w:rsidRPr="0041053F">
        <w:rPr>
          <w:rFonts w:ascii="Narkisim" w:hAnsi="Narkisim" w:cs="Narkisim"/>
          <w:rtl/>
        </w:rPr>
        <w:t xml:space="preserve"> [וכ"כ </w:t>
      </w:r>
      <w:r w:rsidRPr="0041053F">
        <w:rPr>
          <w:rFonts w:ascii="Narkisim" w:hAnsi="Narkisim" w:cs="Narkisim"/>
          <w:b/>
          <w:bCs/>
          <w:rtl/>
        </w:rPr>
        <w:t>תוס</w:t>
      </w:r>
      <w:r w:rsidRPr="0041053F">
        <w:rPr>
          <w:rFonts w:ascii="Narkisim" w:hAnsi="Narkisim" w:cs="Narkisim"/>
          <w:rtl/>
        </w:rPr>
        <w:t xml:space="preserve">' חולין מג: ד"ה קסבר]. ולפ"ז בשאר ספק טריפה מוקמינן אחזקת היתר. </w:t>
      </w:r>
      <w:r w:rsidRPr="0041053F">
        <w:rPr>
          <w:rFonts w:ascii="Narkisim" w:hAnsi="Narkisim" w:cs="Narkisim"/>
          <w:sz w:val="20"/>
          <w:szCs w:val="20"/>
          <w:rtl/>
        </w:rPr>
        <w:t>אבל ה</w:t>
      </w:r>
      <w:r w:rsidRPr="0041053F">
        <w:rPr>
          <w:rFonts w:ascii="Narkisim" w:hAnsi="Narkisim" w:cs="Narkisim"/>
          <w:b/>
          <w:bCs/>
          <w:sz w:val="20"/>
          <w:szCs w:val="20"/>
          <w:rtl/>
        </w:rPr>
        <w:t>רשב"א</w:t>
      </w:r>
      <w:r w:rsidRPr="0041053F">
        <w:rPr>
          <w:rFonts w:ascii="Narkisim" w:hAnsi="Narkisim" w:cs="Narkisim"/>
          <w:sz w:val="20"/>
          <w:szCs w:val="20"/>
          <w:rtl/>
        </w:rPr>
        <w:t xml:space="preserve"> (חולין י: ד"ה ולענין) הביא בשם </w:t>
      </w:r>
      <w:r w:rsidRPr="0041053F">
        <w:rPr>
          <w:rFonts w:ascii="Narkisim" w:hAnsi="Narkisim" w:cs="Narkisim"/>
          <w:b/>
          <w:bCs/>
          <w:sz w:val="20"/>
          <w:szCs w:val="20"/>
          <w:rtl/>
        </w:rPr>
        <w:t>ר' יונה</w:t>
      </w:r>
      <w:r w:rsidRPr="0041053F">
        <w:rPr>
          <w:rFonts w:ascii="Narkisim" w:hAnsi="Narkisim" w:cs="Narkisim"/>
          <w:sz w:val="20"/>
          <w:szCs w:val="20"/>
          <w:rtl/>
        </w:rPr>
        <w:t xml:space="preserve"> דכל ספק [נשמט גף או נשברה רגלה] אי נעשית לפני שחיטה או אח"כ, הוה ספק דאורייתא ולחומרא. כיון דאין תלייה לפנינו לאחר שחיטה.</w:t>
      </w:r>
    </w:p>
    <w:p w14:paraId="0AE12589"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דרכ"מ</w:t>
      </w:r>
      <w:r w:rsidRPr="0041053F">
        <w:rPr>
          <w:rFonts w:ascii="Narkisim" w:hAnsi="Narkisim" w:cs="Narkisim"/>
          <w:rtl/>
        </w:rPr>
        <w:t xml:space="preserve"> (יו"ד לא) הביא בשם </w:t>
      </w:r>
      <w:r w:rsidRPr="0041053F">
        <w:rPr>
          <w:rFonts w:ascii="Narkisim" w:hAnsi="Narkisim" w:cs="Narkisim"/>
          <w:b/>
          <w:bCs/>
          <w:rtl/>
        </w:rPr>
        <w:t>תוס</w:t>
      </w:r>
      <w:r w:rsidRPr="0041053F">
        <w:rPr>
          <w:rFonts w:ascii="Narkisim" w:hAnsi="Narkisim" w:cs="Narkisim"/>
          <w:rtl/>
        </w:rPr>
        <w:t>' (כאן) דבהמה שיש לה ריעותא לפנינו [שיש מים במח] הוה ספק. ול"מ חזקתה כיון דודאי היתה ריעותא מחיים. וב</w:t>
      </w:r>
      <w:r w:rsidRPr="0041053F">
        <w:rPr>
          <w:rFonts w:ascii="Narkisim" w:hAnsi="Narkisim" w:cs="Narkisim"/>
          <w:b/>
          <w:bCs/>
          <w:rtl/>
        </w:rPr>
        <w:t>שו"ת מהר"ם לובלין</w:t>
      </w:r>
      <w:r w:rsidRPr="0041053F">
        <w:rPr>
          <w:rFonts w:ascii="Narkisim" w:hAnsi="Narkisim" w:cs="Narkisim"/>
          <w:rtl/>
        </w:rPr>
        <w:t xml:space="preserve"> (סו) תמה דבתוס' מבואר להיפך, דאף כשיש ריעותא מחיים מוקמינן אחזקה</w:t>
      </w:r>
      <w:r w:rsidRPr="0041053F">
        <w:rPr>
          <w:rStyle w:val="ac"/>
          <w:rFonts w:ascii="Narkisim" w:hAnsi="Narkisim" w:cs="Narkisim"/>
          <w:rtl/>
        </w:rPr>
        <w:footnoteReference w:id="1904"/>
      </w:r>
      <w:r w:rsidRPr="0041053F">
        <w:rPr>
          <w:rFonts w:ascii="Narkisim" w:hAnsi="Narkisim" w:cs="Narkisim"/>
          <w:rtl/>
        </w:rPr>
        <w:t>. ודוקא היכא דשכיח איסורא טפי ל"מ</w:t>
      </w:r>
      <w:r w:rsidRPr="0041053F">
        <w:rPr>
          <w:rStyle w:val="ac"/>
          <w:rFonts w:ascii="Narkisim" w:hAnsi="Narkisim" w:cs="Narkisim"/>
          <w:rtl/>
        </w:rPr>
        <w:footnoteReference w:id="1905"/>
      </w:r>
      <w:r w:rsidRPr="0041053F">
        <w:rPr>
          <w:rFonts w:ascii="Narkisim" w:hAnsi="Narkisim" w:cs="Narkisim"/>
          <w:rtl/>
        </w:rPr>
        <w:t>.</w:t>
      </w:r>
    </w:p>
    <w:p w14:paraId="7A69B8FB"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ש"ך</w:t>
      </w:r>
      <w:r w:rsidRPr="0041053F">
        <w:rPr>
          <w:rFonts w:ascii="Narkisim" w:hAnsi="Narkisim"/>
          <w:rtl/>
        </w:rPr>
        <w:t xml:space="preserve"> (יו"ד נ ג) ביאר דכוונת הדרכ"מ דאביי ורבא פליגי אדברי רבה, וס"ל דל"מ חזקה כה"ג. ותוס' קאי אליבא דרבה</w:t>
      </w:r>
      <w:r w:rsidRPr="0041053F">
        <w:rPr>
          <w:rStyle w:val="ac"/>
          <w:rFonts w:ascii="Narkisim" w:hAnsi="Narkisim"/>
          <w:rtl/>
        </w:rPr>
        <w:footnoteReference w:id="1906"/>
      </w:r>
      <w:r w:rsidRPr="0041053F">
        <w:rPr>
          <w:rFonts w:ascii="Narkisim" w:hAnsi="Narkisim"/>
          <w:rtl/>
        </w:rPr>
        <w:t xml:space="preserve">. </w:t>
      </w:r>
      <w:r w:rsidRPr="0041053F">
        <w:rPr>
          <w:rFonts w:ascii="Narkisim" w:hAnsi="Narkisim"/>
          <w:sz w:val="20"/>
          <w:szCs w:val="20"/>
          <w:rtl/>
        </w:rPr>
        <w:t>וה</w:t>
      </w:r>
      <w:r w:rsidRPr="0041053F">
        <w:rPr>
          <w:rFonts w:ascii="Narkisim" w:hAnsi="Narkisim"/>
          <w:b/>
          <w:bCs/>
          <w:sz w:val="20"/>
          <w:szCs w:val="20"/>
          <w:rtl/>
        </w:rPr>
        <w:t>שמעתתא</w:t>
      </w:r>
      <w:r w:rsidRPr="0041053F">
        <w:rPr>
          <w:rFonts w:ascii="Narkisim" w:hAnsi="Narkisim"/>
          <w:sz w:val="20"/>
          <w:szCs w:val="20"/>
          <w:rtl/>
        </w:rPr>
        <w:t xml:space="preserve"> הוסיף דס"ל דמחזיקין מאיסור לאיסור.</w:t>
      </w:r>
      <w:r w:rsidRPr="0041053F">
        <w:rPr>
          <w:rFonts w:ascii="Narkisim" w:hAnsi="Narkisim"/>
          <w:rtl/>
        </w:rPr>
        <w:t xml:space="preserve"> אך הש"ך הביא דה</w:t>
      </w:r>
      <w:r w:rsidRPr="0041053F">
        <w:rPr>
          <w:rFonts w:ascii="Narkisim" w:hAnsi="Narkisim"/>
          <w:b/>
          <w:bCs/>
          <w:rtl/>
        </w:rPr>
        <w:t>ב"י</w:t>
      </w:r>
      <w:r w:rsidRPr="0041053F">
        <w:rPr>
          <w:rFonts w:ascii="Narkisim" w:hAnsi="Narkisim"/>
          <w:rtl/>
        </w:rPr>
        <w:t xml:space="preserve"> כת' דאביי ורבא החמירו משום ערוה [ודלא כדרכ"מ</w:t>
      </w:r>
      <w:r w:rsidRPr="0041053F">
        <w:rPr>
          <w:rStyle w:val="ac"/>
          <w:rFonts w:ascii="Narkisim" w:hAnsi="Narkisim"/>
          <w:rtl/>
        </w:rPr>
        <w:footnoteReference w:id="1907"/>
      </w:r>
      <w:r w:rsidRPr="0041053F">
        <w:rPr>
          <w:rFonts w:ascii="Narkisim" w:hAnsi="Narkisim"/>
          <w:rtl/>
        </w:rPr>
        <w:t>].</w:t>
      </w:r>
    </w:p>
    <w:p w14:paraId="44EA6893"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פלתי</w:t>
      </w:r>
      <w:r w:rsidRPr="0041053F">
        <w:rPr>
          <w:rFonts w:ascii="Narkisim" w:hAnsi="Narkisim"/>
          <w:rtl/>
        </w:rPr>
        <w:t xml:space="preserve"> (נ) דן די"ל דהדרכ"מ איירי במים במח דיצאה מרוב בהמות אינן טריפות, ואין חזקת הגוף כיון שיתכן שנולד כן. ולכן אסור מספק, אבל עדיין צ"ב ראיית הדרכ"מ מסוגיין. וה</w:t>
      </w:r>
      <w:r w:rsidRPr="0041053F">
        <w:rPr>
          <w:rFonts w:ascii="Narkisim" w:hAnsi="Narkisim"/>
          <w:b/>
          <w:bCs/>
          <w:rtl/>
        </w:rPr>
        <w:t>שער"י</w:t>
      </w:r>
      <w:r w:rsidRPr="0041053F">
        <w:rPr>
          <w:rFonts w:ascii="Narkisim" w:hAnsi="Narkisim"/>
          <w:rtl/>
        </w:rPr>
        <w:t xml:space="preserve"> (ב טז) יישב דהחולקים על הדרכ"מ ס"ל דנחשב שנתעורר הספק לאחר שחיטה, ומהני חזקה [וכמ"ש תוס'], ובזה הביא הדרכ"מ מדברי התוס' דנחשב דנתעורר הספק למפרע, מחיים. [ולכן במקום דיצא מהרוב אסור].</w:t>
      </w:r>
    </w:p>
    <w:p w14:paraId="6FBA9EC0" w14:textId="77777777" w:rsidR="006074A5" w:rsidRPr="0041053F" w:rsidRDefault="006074A5" w:rsidP="006074A5">
      <w:pPr>
        <w:pStyle w:val="aa"/>
        <w:bidi/>
        <w:rPr>
          <w:rFonts w:ascii="Narkisim" w:hAnsi="Narkisim"/>
        </w:rPr>
      </w:pPr>
      <w:r w:rsidRPr="0041053F">
        <w:rPr>
          <w:rFonts w:ascii="Narkisim" w:hAnsi="Narkisim"/>
          <w:u w:val="single"/>
          <w:rtl/>
        </w:rPr>
        <w:t>שם. משום דשכיח ומוכחא מילתא לאיסורא טפי</w:t>
      </w:r>
      <w:r w:rsidRPr="0041053F">
        <w:rPr>
          <w:rStyle w:val="ac"/>
          <w:rFonts w:ascii="Narkisim" w:hAnsi="Narkisim"/>
          <w:rtl/>
        </w:rPr>
        <w:footnoteReference w:id="1908"/>
      </w:r>
      <w:r w:rsidRPr="0041053F">
        <w:rPr>
          <w:rFonts w:ascii="Narkisim" w:hAnsi="Narkisim"/>
          <w:rtl/>
        </w:rPr>
        <w:t>. ה</w:t>
      </w:r>
      <w:r w:rsidRPr="0041053F">
        <w:rPr>
          <w:rFonts w:ascii="Narkisim" w:hAnsi="Narkisim"/>
          <w:b/>
          <w:bCs/>
          <w:rtl/>
        </w:rPr>
        <w:t>פלתי</w:t>
      </w:r>
      <w:r w:rsidRPr="0041053F">
        <w:rPr>
          <w:rFonts w:ascii="Narkisim" w:hAnsi="Narkisim"/>
          <w:rtl/>
        </w:rPr>
        <w:t xml:space="preserve"> (נ) הק' דקי"ל דמוקמינן אחזקה אף בספק דלא שכיחא</w:t>
      </w:r>
      <w:r w:rsidRPr="0041053F">
        <w:rPr>
          <w:rStyle w:val="ac"/>
          <w:rFonts w:ascii="Narkisim" w:hAnsi="Narkisim"/>
          <w:rtl/>
        </w:rPr>
        <w:footnoteReference w:id="1909"/>
      </w:r>
      <w:r w:rsidRPr="0041053F">
        <w:rPr>
          <w:rFonts w:ascii="Narkisim" w:hAnsi="Narkisim"/>
          <w:rtl/>
        </w:rPr>
        <w:t xml:space="preserve">. וכת' דתוס' כאן קאי לדעת רבה, וי"ל דרבה ס"ל דל"מ חזקה במקום דלא שכיח. ולמסקנא [לאביי </w:t>
      </w:r>
      <w:r w:rsidRPr="0041053F">
        <w:rPr>
          <w:rFonts w:ascii="Narkisim" w:hAnsi="Narkisim"/>
          <w:rtl/>
        </w:rPr>
        <w:lastRenderedPageBreak/>
        <w:t>ורבא, וכנ"ל] ל"ש בזה חזקה כלל.</w:t>
      </w:r>
    </w:p>
    <w:p w14:paraId="6569134D" w14:textId="77777777" w:rsidR="006074A5" w:rsidRPr="0041053F" w:rsidRDefault="006074A5" w:rsidP="006074A5">
      <w:pPr>
        <w:bidi/>
        <w:rPr>
          <w:rFonts w:ascii="Narkisim" w:hAnsi="Narkisim" w:cs="Narkisim"/>
        </w:rPr>
      </w:pPr>
      <w:r w:rsidRPr="0041053F">
        <w:rPr>
          <w:rFonts w:ascii="Narkisim" w:hAnsi="Narkisim" w:cs="Narkisim"/>
          <w:u w:val="single"/>
          <w:rtl/>
        </w:rPr>
        <w:t>בא"ד וכן ההיא דישב קוץ</w:t>
      </w:r>
      <w:r w:rsidRPr="0041053F">
        <w:rPr>
          <w:rStyle w:val="ac"/>
          <w:rFonts w:ascii="Narkisim" w:hAnsi="Narkisim" w:cs="Narkisim"/>
          <w:u w:val="single"/>
          <w:rtl/>
        </w:rPr>
        <w:footnoteReference w:id="1910"/>
      </w:r>
      <w:r w:rsidRPr="0041053F">
        <w:rPr>
          <w:rFonts w:ascii="Narkisim" w:hAnsi="Narkisim" w:cs="Narkisim"/>
          <w:u w:val="single"/>
          <w:rtl/>
        </w:rPr>
        <w:t xml:space="preserve"> וכו'.</w:t>
      </w:r>
      <w:r w:rsidRPr="0041053F">
        <w:rPr>
          <w:rFonts w:ascii="Narkisim" w:hAnsi="Narkisim" w:cs="Narkisim"/>
          <w:rtl/>
        </w:rPr>
        <w:t xml:space="preserve"> ה</w:t>
      </w:r>
      <w:r w:rsidRPr="0041053F">
        <w:rPr>
          <w:rFonts w:ascii="Narkisim" w:hAnsi="Narkisim" w:cs="Narkisim"/>
          <w:b/>
          <w:bCs/>
          <w:rtl/>
        </w:rPr>
        <w:t>פלתי</w:t>
      </w:r>
      <w:r w:rsidRPr="0041053F">
        <w:rPr>
          <w:rFonts w:ascii="Narkisim" w:hAnsi="Narkisim" w:cs="Narkisim"/>
          <w:rtl/>
        </w:rPr>
        <w:t xml:space="preserve"> (לג יד, הו' בש"ש ה ו) הק' דהתם הוה חסרון במעשה השחיטה, דנקובת הושט הוה נבילה. א"כ ל"מ החזקה שהיתה עומדת להיתר ע"י שחיטה. ודוקא היכא דידעי' שנשחט כראוי, אלא דיש בו איסור טריפה שייך חזקה</w:t>
      </w:r>
      <w:r w:rsidRPr="0041053F">
        <w:rPr>
          <w:rStyle w:val="ac"/>
          <w:rFonts w:ascii="Narkisim" w:hAnsi="Narkisim" w:cs="Narkisim"/>
          <w:rtl/>
        </w:rPr>
        <w:footnoteReference w:id="1911"/>
      </w:r>
      <w:r w:rsidRPr="0041053F">
        <w:rPr>
          <w:rFonts w:ascii="Narkisim" w:hAnsi="Narkisim" w:cs="Narkisim"/>
          <w:rtl/>
        </w:rPr>
        <w:t>.</w:t>
      </w:r>
    </w:p>
    <w:p w14:paraId="0B164C04"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שמעתתא</w:t>
      </w:r>
      <w:r w:rsidRPr="0041053F">
        <w:rPr>
          <w:rFonts w:ascii="Narkisim" w:hAnsi="Narkisim"/>
          <w:rtl/>
        </w:rPr>
        <w:t xml:space="preserve"> חלק דאף בדבר הפוסל לשחיטה מוקמינן לבהמה בחזקה שתהא מותרת ע"י מעשה שחיטה</w:t>
      </w:r>
      <w:r w:rsidRPr="0041053F">
        <w:rPr>
          <w:rStyle w:val="ac"/>
          <w:rFonts w:ascii="Narkisim" w:hAnsi="Narkisim"/>
          <w:rtl/>
        </w:rPr>
        <w:footnoteReference w:id="1912"/>
      </w:r>
      <w:r w:rsidRPr="0041053F">
        <w:rPr>
          <w:rFonts w:ascii="Narkisim" w:hAnsi="Narkisim"/>
          <w:rtl/>
        </w:rPr>
        <w:t xml:space="preserve">, ומהני אף במקום חזקת אינו זבוח. וכעי"ז כת' </w:t>
      </w:r>
      <w:r w:rsidRPr="0041053F">
        <w:rPr>
          <w:rFonts w:ascii="Narkisim" w:hAnsi="Narkisim"/>
          <w:b/>
          <w:bCs/>
          <w:rtl/>
        </w:rPr>
        <w:t>רע"א</w:t>
      </w:r>
      <w:r w:rsidRPr="0041053F">
        <w:rPr>
          <w:rFonts w:ascii="Narkisim" w:hAnsi="Narkisim"/>
          <w:rtl/>
        </w:rPr>
        <w:t xml:space="preserve"> (ק' קסז הו' בחי' כאן) דבישב קוץ השחיטה היה כתיקונה, והחזקה היה מורה דאם יעשה כן תהיה מותרת. והרי נעשה כן בפנינו, אלא דבאת לומר דנתחדש דבר נקובת הקוץ שגורם שלא תתיר השחיטה, דזה הוי כמו חזקת היתר ליבם. והוה התחדשות ולא תולים דנתחדש דבר שמונע את ההיתר שחיטה. [ע"ע קובה"ע ס"ס כח].</w:t>
      </w:r>
    </w:p>
    <w:p w14:paraId="716EDD2A" w14:textId="77777777" w:rsidR="006074A5" w:rsidRPr="0041053F" w:rsidRDefault="006074A5" w:rsidP="006074A5">
      <w:pPr>
        <w:pStyle w:val="aa"/>
        <w:bidi/>
        <w:rPr>
          <w:rFonts w:ascii="Narkisim" w:hAnsi="Narkisim"/>
        </w:rPr>
      </w:pPr>
      <w:r w:rsidRPr="0041053F">
        <w:rPr>
          <w:rFonts w:ascii="Narkisim" w:hAnsi="Narkisim"/>
          <w:u w:val="single"/>
          <w:rtl/>
        </w:rPr>
        <w:t>רש"י ד"ה ודבתרא.</w:t>
      </w:r>
      <w:r w:rsidRPr="0041053F">
        <w:rPr>
          <w:rFonts w:ascii="Narkisim" w:hAnsi="Narkisim"/>
          <w:rtl/>
        </w:rPr>
        <w:t xml:space="preserve"> וישאנה אחיו מאמו כנכרית בעלמא ופגע בערוה. ה</w:t>
      </w:r>
      <w:r w:rsidRPr="0041053F">
        <w:rPr>
          <w:rFonts w:ascii="Narkisim" w:hAnsi="Narkisim"/>
          <w:b/>
          <w:bCs/>
          <w:rtl/>
        </w:rPr>
        <w:t xml:space="preserve">רשב"א </w:t>
      </w:r>
      <w:r w:rsidRPr="0041053F">
        <w:rPr>
          <w:rFonts w:ascii="Narkisim" w:hAnsi="Narkisim"/>
          <w:rtl/>
        </w:rPr>
        <w:t>הק' אמאי נקט אחיו מאמו, אפי' מאביו. וב</w:t>
      </w:r>
      <w:r w:rsidRPr="0041053F">
        <w:rPr>
          <w:rFonts w:ascii="Narkisim" w:hAnsi="Narkisim"/>
          <w:b/>
          <w:bCs/>
          <w:rtl/>
        </w:rPr>
        <w:t>שו"ת הרשב"א</w:t>
      </w:r>
      <w:r w:rsidRPr="0041053F">
        <w:rPr>
          <w:rFonts w:ascii="Narkisim" w:hAnsi="Narkisim"/>
          <w:rtl/>
        </w:rPr>
        <w:t xml:space="preserve"> (ד שב) כתב דע"כ אין אחים מאב, דא"כ זקוקה להם ממ"נ.</w:t>
      </w:r>
    </w:p>
    <w:p w14:paraId="45277870"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תוס' הרא"ש</w:t>
      </w:r>
      <w:r w:rsidRPr="0041053F">
        <w:rPr>
          <w:rFonts w:ascii="Narkisim" w:hAnsi="Narkisim"/>
          <w:rtl/>
        </w:rPr>
        <w:t xml:space="preserve"> הביא בשם </w:t>
      </w:r>
      <w:r w:rsidRPr="0041053F">
        <w:rPr>
          <w:rFonts w:ascii="Narkisim" w:hAnsi="Narkisim"/>
          <w:b/>
          <w:bCs/>
          <w:rtl/>
        </w:rPr>
        <w:t>רבינו מאיר</w:t>
      </w:r>
      <w:r w:rsidRPr="0041053F">
        <w:rPr>
          <w:rFonts w:ascii="Narkisim" w:hAnsi="Narkisim"/>
          <w:rtl/>
        </w:rPr>
        <w:t xml:space="preserve"> דאחיו מאביו לא ישאנה דהוה אחות זקוקתו. והמ"ל יבמה לשוק. אלא דרש"י כתב דמשכח"ל איסור כרת. ומ"מ הקשה בשו"ת הרא"ש דהמ"ל שיקדש אחותה.</w:t>
      </w:r>
    </w:p>
    <w:p w14:paraId="164434FC" w14:textId="77777777" w:rsidR="006074A5" w:rsidRPr="0041053F" w:rsidRDefault="006074A5" w:rsidP="006074A5">
      <w:pPr>
        <w:pStyle w:val="3"/>
        <w:bidi/>
        <w:rPr>
          <w:rFonts w:ascii="Narkisim" w:hAnsi="Narkisim"/>
        </w:rPr>
      </w:pPr>
      <w:r w:rsidRPr="0041053F">
        <w:rPr>
          <w:rFonts w:ascii="Narkisim" w:hAnsi="Narkisim"/>
          <w:rtl/>
        </w:rPr>
        <w:t>דף לא.</w:t>
      </w:r>
    </w:p>
    <w:p w14:paraId="51B16849" w14:textId="77777777" w:rsidR="006074A5" w:rsidRPr="0041053F" w:rsidRDefault="006074A5" w:rsidP="006074A5">
      <w:pPr>
        <w:pStyle w:val="aa"/>
        <w:bidi/>
        <w:rPr>
          <w:rFonts w:ascii="Narkisim" w:hAnsi="Narkisim"/>
        </w:rPr>
      </w:pPr>
      <w:r w:rsidRPr="0041053F">
        <w:rPr>
          <w:rFonts w:ascii="Narkisim" w:hAnsi="Narkisim"/>
          <w:u w:val="single"/>
          <w:rtl/>
        </w:rPr>
        <w:t>ה"נ אם אתה אומר חולצת מתייבמת.</w:t>
      </w:r>
      <w:r w:rsidRPr="0041053F">
        <w:rPr>
          <w:rFonts w:ascii="Narkisim" w:hAnsi="Narkisim"/>
          <w:rtl/>
        </w:rPr>
        <w:t xml:space="preserve"> </w:t>
      </w:r>
      <w:r w:rsidRPr="0041053F">
        <w:rPr>
          <w:rFonts w:ascii="Narkisim" w:hAnsi="Narkisim"/>
          <w:b/>
          <w:bCs/>
          <w:rtl/>
        </w:rPr>
        <w:t>תוס</w:t>
      </w:r>
      <w:r w:rsidRPr="0041053F">
        <w:rPr>
          <w:rFonts w:ascii="Narkisim" w:hAnsi="Narkisim"/>
          <w:rtl/>
        </w:rPr>
        <w:t xml:space="preserve">' פי' דקו' הגמ' מה מועיל שאתה אוסרה וכו'. [ותי' הגמ' דע"פ רוב מהני]. אבל </w:t>
      </w:r>
      <w:r w:rsidRPr="0041053F">
        <w:rPr>
          <w:rFonts w:ascii="Narkisim" w:hAnsi="Narkisim"/>
          <w:b/>
          <w:bCs/>
          <w:rtl/>
        </w:rPr>
        <w:t>רש"י</w:t>
      </w:r>
      <w:r w:rsidRPr="0041053F">
        <w:rPr>
          <w:rFonts w:ascii="Narkisim" w:hAnsi="Narkisim"/>
          <w:rtl/>
        </w:rPr>
        <w:t xml:space="preserve"> (ד"ה הכא) פי' קו' הגמ' דקמייבם צרת ערוה. וצ"ב דמדינא מותרת לייבם, דמוקמינן אחזקה. ועוד דמה יש לנו לעשות בספיקות, דע"כ תחלוץ, דהא אי אפשר להתירה בלא חליצה. וצ"ב.</w:t>
      </w:r>
    </w:p>
    <w:p w14:paraId="1DFA8FF7" w14:textId="77777777" w:rsidR="006074A5" w:rsidRPr="0041053F" w:rsidRDefault="006074A5" w:rsidP="006074A5">
      <w:pPr>
        <w:bidi/>
        <w:rPr>
          <w:rFonts w:ascii="Narkisim" w:hAnsi="Narkisim" w:cs="Narkisim"/>
        </w:rPr>
      </w:pPr>
      <w:r w:rsidRPr="0041053F">
        <w:rPr>
          <w:rFonts w:ascii="Narkisim" w:hAnsi="Narkisim" w:cs="Narkisim"/>
          <w:u w:val="single"/>
          <w:rtl/>
        </w:rPr>
        <w:t>איתיביה אביי נפל וכו' נימא אשה זו בחזקת היתר לשוק עומדת וכו'.</w:t>
      </w:r>
      <w:r w:rsidRPr="0041053F">
        <w:rPr>
          <w:rFonts w:ascii="Narkisim" w:hAnsi="Narkisim" w:cs="Narkisim"/>
          <w:rtl/>
        </w:rPr>
        <w:t xml:space="preserve"> ב</w:t>
      </w:r>
      <w:r w:rsidRPr="0041053F">
        <w:rPr>
          <w:rFonts w:ascii="Narkisim" w:hAnsi="Narkisim" w:cs="Narkisim"/>
          <w:b/>
          <w:bCs/>
          <w:rtl/>
        </w:rPr>
        <w:t>ריטב"א</w:t>
      </w:r>
      <w:r w:rsidRPr="0041053F">
        <w:rPr>
          <w:rFonts w:ascii="Narkisim" w:hAnsi="Narkisim" w:cs="Narkisim"/>
          <w:rtl/>
        </w:rPr>
        <w:t xml:space="preserve"> מבואר דכוונת אביי להוכיח דהחמירו לא לסמוך על חזקה. ולדברי ה</w:t>
      </w:r>
      <w:r w:rsidRPr="0041053F">
        <w:rPr>
          <w:rFonts w:ascii="Narkisim" w:hAnsi="Narkisim" w:cs="Narkisim"/>
          <w:b/>
          <w:bCs/>
          <w:rtl/>
        </w:rPr>
        <w:t>ש"ך</w:t>
      </w:r>
      <w:r w:rsidRPr="0041053F">
        <w:rPr>
          <w:rFonts w:ascii="Narkisim" w:hAnsi="Narkisim" w:cs="Narkisim"/>
          <w:rtl/>
        </w:rPr>
        <w:t xml:space="preserve"> (הו' לעיל) לדעת הדרכ"מ אביי מוכיח דלא מעמידים בחזקת היתר לשוק</w:t>
      </w:r>
      <w:r w:rsidRPr="0041053F">
        <w:rPr>
          <w:rFonts w:ascii="Narkisim" w:hAnsi="Narkisim" w:cs="Narkisim"/>
          <w:sz w:val="20"/>
          <w:szCs w:val="20"/>
          <w:rtl/>
        </w:rPr>
        <w:t xml:space="preserve"> [לפירוש השמעתתא כיון דמחזיקים מאיסור לאיסור, ולפי' רע"א והשער"י דנחשב שנולד הריעותא מחיים]</w:t>
      </w:r>
      <w:r w:rsidRPr="0041053F">
        <w:rPr>
          <w:rFonts w:ascii="Narkisim" w:hAnsi="Narkisim" w:cs="Narkisim"/>
          <w:rtl/>
        </w:rPr>
        <w:t>, ול"מ חזקתה. [וע' מה שהובא בזה בתחילת הגמ'].</w:t>
      </w:r>
    </w:p>
    <w:p w14:paraId="3071A93C"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בית הלוי</w:t>
      </w:r>
      <w:r w:rsidRPr="0041053F">
        <w:rPr>
          <w:rFonts w:ascii="Narkisim" w:hAnsi="Narkisim"/>
          <w:rtl/>
        </w:rPr>
        <w:t xml:space="preserve"> (ג יג בסופו) הביא שה</w:t>
      </w:r>
      <w:r w:rsidRPr="0041053F">
        <w:rPr>
          <w:rFonts w:ascii="Narkisim" w:hAnsi="Narkisim"/>
          <w:b/>
          <w:bCs/>
          <w:rtl/>
        </w:rPr>
        <w:t>בעה"מ</w:t>
      </w:r>
      <w:r w:rsidRPr="0041053F">
        <w:rPr>
          <w:rFonts w:ascii="Narkisim" w:hAnsi="Narkisim"/>
          <w:rtl/>
        </w:rPr>
        <w:t xml:space="preserve"> </w:t>
      </w:r>
      <w:r w:rsidRPr="0041053F">
        <w:rPr>
          <w:rFonts w:ascii="Narkisim" w:hAnsi="Narkisim"/>
          <w:sz w:val="20"/>
          <w:szCs w:val="20"/>
          <w:rtl/>
        </w:rPr>
        <w:t>(לקמן צג:, כט: בדה"ר)</w:t>
      </w:r>
      <w:r w:rsidRPr="0041053F">
        <w:rPr>
          <w:rFonts w:ascii="Narkisim" w:hAnsi="Narkisim"/>
          <w:rtl/>
        </w:rPr>
        <w:t xml:space="preserve"> כת' [על כעין משנתינו</w:t>
      </w:r>
      <w:r w:rsidRPr="0041053F">
        <w:rPr>
          <w:rStyle w:val="ac"/>
          <w:rFonts w:ascii="Narkisim" w:hAnsi="Narkisim"/>
          <w:rtl/>
        </w:rPr>
        <w:footnoteReference w:id="1913"/>
      </w:r>
      <w:r w:rsidRPr="0041053F">
        <w:rPr>
          <w:rFonts w:ascii="Narkisim" w:hAnsi="Narkisim"/>
          <w:rtl/>
        </w:rPr>
        <w:t>] דבחזקת איסור עומדת וכו' שמאחר שאינן בחזקת קיימין, אינה בחזקת [היתר] השוק</w:t>
      </w:r>
      <w:r w:rsidRPr="0041053F">
        <w:rPr>
          <w:rStyle w:val="ac"/>
          <w:rFonts w:ascii="Narkisim" w:hAnsi="Narkisim"/>
          <w:rtl/>
        </w:rPr>
        <w:footnoteReference w:id="1914"/>
      </w:r>
      <w:r w:rsidRPr="0041053F">
        <w:rPr>
          <w:rFonts w:ascii="Narkisim" w:hAnsi="Narkisim"/>
          <w:rtl/>
        </w:rPr>
        <w:t>. [ומבואר כש"ך בדעת הדרכ"מ]. וה</w:t>
      </w:r>
      <w:r w:rsidRPr="0041053F">
        <w:rPr>
          <w:rFonts w:ascii="Narkisim" w:hAnsi="Narkisim"/>
          <w:b/>
          <w:bCs/>
          <w:rtl/>
        </w:rPr>
        <w:t>מלחמות</w:t>
      </w:r>
      <w:r w:rsidRPr="0041053F">
        <w:rPr>
          <w:rFonts w:ascii="Narkisim" w:hAnsi="Narkisim"/>
          <w:rtl/>
        </w:rPr>
        <w:t xml:space="preserve"> חלק דאכתי בחזקת היתר לשוק קיימי. וכדאמרי' (כאן). </w:t>
      </w:r>
      <w:r w:rsidRPr="0041053F">
        <w:rPr>
          <w:rFonts w:ascii="Narkisim" w:hAnsi="Narkisim"/>
          <w:sz w:val="20"/>
          <w:szCs w:val="20"/>
          <w:rtl/>
        </w:rPr>
        <w:t>[וכדעת רבה, ונקט דאין בזה חולק].</w:t>
      </w:r>
    </w:p>
    <w:p w14:paraId="1376269C" w14:textId="77777777" w:rsidR="006074A5" w:rsidRPr="0041053F" w:rsidRDefault="006074A5" w:rsidP="006074A5">
      <w:pPr>
        <w:bidi/>
        <w:rPr>
          <w:rFonts w:ascii="Narkisim" w:hAnsi="Narkisim" w:cs="Narkisim"/>
        </w:rPr>
      </w:pPr>
      <w:r w:rsidRPr="0041053F">
        <w:rPr>
          <w:rFonts w:ascii="Narkisim" w:hAnsi="Narkisim" w:cs="Narkisim"/>
          <w:u w:val="single"/>
          <w:rtl/>
        </w:rPr>
        <w:t>תוד"ה נפל הבית.</w:t>
      </w:r>
      <w:r w:rsidRPr="0041053F">
        <w:rPr>
          <w:rFonts w:ascii="Narkisim" w:hAnsi="Narkisim" w:cs="Narkisim"/>
          <w:rtl/>
        </w:rPr>
        <w:t xml:space="preserve"> כאן יש תימה אמאי חשיב טפי בחזקת היתר לשוק מלייבם, הא קמן ששניהם מתו וכו'. משמע מתוס' דשייך להעמיד אחזקת עומדת ליבום, כיון דהערוה מתה לפנינו. וצ"ב מה שייך בזה חזקה.</w:t>
      </w:r>
    </w:p>
    <w:p w14:paraId="36B3F0E9"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ש"ש</w:t>
      </w:r>
      <w:r w:rsidRPr="0041053F">
        <w:rPr>
          <w:rFonts w:ascii="Narkisim" w:hAnsi="Narkisim"/>
          <w:rtl/>
        </w:rPr>
        <w:t xml:space="preserve"> (ה ספ"י) הביא מסוגיין דיש חזקת הגוף שהבעל חי, וכן חזקה שהערוה חיה. ואפ"ה כיון דהחזקות מתנגדות מהני חזקת היתר לשוק</w:t>
      </w:r>
      <w:r w:rsidRPr="0041053F">
        <w:rPr>
          <w:rStyle w:val="ac"/>
          <w:rFonts w:ascii="Narkisim" w:hAnsi="Narkisim"/>
          <w:rtl/>
        </w:rPr>
        <w:footnoteReference w:id="1915"/>
      </w:r>
      <w:r w:rsidRPr="0041053F">
        <w:rPr>
          <w:rFonts w:ascii="Narkisim" w:hAnsi="Narkisim"/>
          <w:rtl/>
        </w:rPr>
        <w:t>.</w:t>
      </w:r>
    </w:p>
    <w:p w14:paraId="302DE400" w14:textId="77777777" w:rsidR="006074A5" w:rsidRPr="0041053F" w:rsidRDefault="006074A5" w:rsidP="006074A5">
      <w:pPr>
        <w:pStyle w:val="a7"/>
        <w:bidi/>
        <w:rPr>
          <w:rFonts w:ascii="Narkisim" w:hAnsi="Narkisim"/>
        </w:rPr>
      </w:pPr>
      <w:r w:rsidRPr="0041053F">
        <w:rPr>
          <w:rFonts w:ascii="Narkisim" w:hAnsi="Narkisim"/>
          <w:rtl/>
        </w:rPr>
        <w:t>וב</w:t>
      </w:r>
      <w:r w:rsidRPr="0041053F">
        <w:rPr>
          <w:rFonts w:ascii="Narkisim" w:hAnsi="Narkisim"/>
          <w:b/>
          <w:bCs/>
          <w:rtl/>
        </w:rPr>
        <w:t>חי' ר' ראובן</w:t>
      </w:r>
      <w:r w:rsidRPr="0041053F">
        <w:rPr>
          <w:rFonts w:ascii="Narkisim" w:hAnsi="Narkisim"/>
          <w:rtl/>
        </w:rPr>
        <w:t xml:space="preserve"> </w:t>
      </w:r>
      <w:r w:rsidRPr="0041053F">
        <w:rPr>
          <w:rFonts w:ascii="Narkisim" w:hAnsi="Narkisim"/>
          <w:sz w:val="20"/>
          <w:szCs w:val="20"/>
          <w:rtl/>
        </w:rPr>
        <w:t xml:space="preserve">(ס"ס כז) </w:t>
      </w:r>
      <w:r w:rsidRPr="0041053F">
        <w:rPr>
          <w:rFonts w:ascii="Narkisim" w:hAnsi="Narkisim"/>
          <w:rtl/>
        </w:rPr>
        <w:t xml:space="preserve">ביאר קושיית התוס' דיש לצרה חזקת היתר ליבם לכשתמות הערוה. </w:t>
      </w:r>
      <w:r w:rsidRPr="0041053F">
        <w:rPr>
          <w:rFonts w:ascii="Narkisim" w:hAnsi="Narkisim"/>
          <w:rtl/>
        </w:rPr>
        <w:lastRenderedPageBreak/>
        <w:t>א"כ מאי חזית שאסרנו מחמת חזקת איסור. ובזה תוס' תי' דכיון דחזקה זו תליא בב' מיתות לא מהני חזקתה.</w:t>
      </w:r>
    </w:p>
    <w:p w14:paraId="6B90A72B" w14:textId="77777777" w:rsidR="006074A5" w:rsidRPr="0041053F" w:rsidRDefault="006074A5" w:rsidP="006074A5">
      <w:pPr>
        <w:pStyle w:val="2"/>
        <w:bidi/>
        <w:rPr>
          <w:rFonts w:ascii="Narkisim" w:hAnsi="Narkisim"/>
        </w:rPr>
      </w:pPr>
      <w:r w:rsidRPr="0041053F">
        <w:rPr>
          <w:rFonts w:ascii="Narkisim" w:hAnsi="Narkisim"/>
          <w:rtl/>
        </w:rPr>
        <w:t>כת אחת  -  ותרי ותרי</w:t>
      </w:r>
    </w:p>
    <w:p w14:paraId="276A0E4A" w14:textId="77777777" w:rsidR="006074A5" w:rsidRPr="0041053F" w:rsidRDefault="006074A5" w:rsidP="006074A5">
      <w:pPr>
        <w:bidi/>
        <w:rPr>
          <w:rFonts w:ascii="Narkisim" w:hAnsi="Narkisim" w:cs="Narkisim"/>
        </w:rPr>
      </w:pPr>
      <w:r w:rsidRPr="0041053F">
        <w:rPr>
          <w:rFonts w:ascii="Narkisim" w:hAnsi="Narkisim" w:cs="Narkisim"/>
          <w:u w:val="single"/>
          <w:rtl/>
        </w:rPr>
        <w:t>ומתני' דהכא בכת אחת וכו'.</w:t>
      </w:r>
      <w:r w:rsidRPr="0041053F">
        <w:rPr>
          <w:rFonts w:ascii="Narkisim" w:hAnsi="Narkisim" w:cs="Narkisim"/>
          <w:rtl/>
        </w:rPr>
        <w:t xml:space="preserve"> פ</w:t>
      </w:r>
      <w:r w:rsidRPr="0041053F">
        <w:rPr>
          <w:rFonts w:ascii="Narkisim" w:hAnsi="Narkisim" w:cs="Narkisim"/>
          <w:b/>
          <w:bCs/>
          <w:rtl/>
        </w:rPr>
        <w:t xml:space="preserve">רש"י </w:t>
      </w:r>
      <w:r w:rsidRPr="0041053F">
        <w:rPr>
          <w:rFonts w:ascii="Narkisim" w:hAnsi="Narkisim" w:cs="Narkisim"/>
          <w:rtl/>
        </w:rPr>
        <w:t>עד אומר קרוב לו ועד אומר קרוב לה. וה</w:t>
      </w:r>
      <w:r w:rsidRPr="0041053F">
        <w:rPr>
          <w:rFonts w:ascii="Narkisim" w:hAnsi="Narkisim" w:cs="Narkisim"/>
          <w:b/>
          <w:bCs/>
          <w:rtl/>
        </w:rPr>
        <w:t>רשב"א</w:t>
      </w:r>
      <w:r w:rsidRPr="0041053F">
        <w:rPr>
          <w:rFonts w:ascii="Narkisim" w:hAnsi="Narkisim" w:cs="Narkisim"/>
          <w:rtl/>
        </w:rPr>
        <w:t xml:space="preserve"> הק' דא"כ הו"ל עד א' בהכחשה, ולאו כלום הוא [וכדאיתא כתובות כג.</w:t>
      </w:r>
      <w:r w:rsidRPr="0041053F">
        <w:rPr>
          <w:rStyle w:val="ac"/>
          <w:rFonts w:ascii="Narkisim" w:hAnsi="Narkisim" w:cs="Narkisim"/>
          <w:rtl/>
        </w:rPr>
        <w:footnoteReference w:id="1916"/>
      </w:r>
      <w:r w:rsidRPr="0041053F">
        <w:rPr>
          <w:rFonts w:ascii="Narkisim" w:hAnsi="Narkisim" w:cs="Narkisim"/>
          <w:rtl/>
        </w:rPr>
        <w:t>]. ואפי' ספיקא דרבנן ליכא. ועוד דלא מהני עד א' בדבר שבערוה.</w:t>
      </w:r>
    </w:p>
    <w:p w14:paraId="2AB2F57D" w14:textId="77777777" w:rsidR="006074A5" w:rsidRPr="0041053F" w:rsidRDefault="006074A5" w:rsidP="006074A5">
      <w:pPr>
        <w:pStyle w:val="a7"/>
        <w:bidi/>
        <w:rPr>
          <w:rFonts w:ascii="Narkisim" w:hAnsi="Narkisim"/>
        </w:rPr>
      </w:pPr>
      <w:r w:rsidRPr="0041053F">
        <w:rPr>
          <w:rFonts w:ascii="Narkisim" w:hAnsi="Narkisim"/>
          <w:rtl/>
        </w:rPr>
        <w:t>וב</w:t>
      </w:r>
      <w:r w:rsidRPr="0041053F">
        <w:rPr>
          <w:rFonts w:ascii="Narkisim" w:hAnsi="Narkisim"/>
          <w:b/>
          <w:bCs/>
          <w:rtl/>
        </w:rPr>
        <w:t>חי' ר"א מן ההר</w:t>
      </w:r>
      <w:r w:rsidRPr="0041053F">
        <w:rPr>
          <w:rFonts w:ascii="Narkisim" w:hAnsi="Narkisim"/>
          <w:rtl/>
        </w:rPr>
        <w:t xml:space="preserve"> כת' דחיישינן שמא יבוא עד נוסף דהיה קרוב לה</w:t>
      </w:r>
      <w:r w:rsidRPr="0041053F">
        <w:rPr>
          <w:rStyle w:val="ac"/>
          <w:rFonts w:ascii="Narkisim" w:hAnsi="Narkisim"/>
          <w:rtl/>
        </w:rPr>
        <w:footnoteReference w:id="1917"/>
      </w:r>
      <w:r w:rsidRPr="0041053F">
        <w:rPr>
          <w:rFonts w:ascii="Narkisim" w:hAnsi="Narkisim"/>
          <w:rtl/>
        </w:rPr>
        <w:t>. וה</w:t>
      </w:r>
      <w:r w:rsidRPr="0041053F">
        <w:rPr>
          <w:rFonts w:ascii="Narkisim" w:hAnsi="Narkisim"/>
          <w:b/>
          <w:bCs/>
          <w:rtl/>
        </w:rPr>
        <w:t>ר"ן</w:t>
      </w:r>
      <w:r w:rsidRPr="0041053F">
        <w:rPr>
          <w:rFonts w:ascii="Narkisim" w:hAnsi="Narkisim"/>
          <w:rtl/>
        </w:rPr>
        <w:t xml:space="preserve"> (כתובות שם, י. בדה"ר) כת' דהיכא שב' ראו שזרק לה קדושין, אלא שהם חלוקין אם קרוב לה, כיון שיש כאן שני עדים בזריקת הקדושין ועבידי אינשי דטעו בקרוב לו ובקרוב לה, מדרבנן לא תנשא. דחיישינן שמא בשעת הקדושין שניהם ראו שקרובים לה היו וזה טועה עכשיו.</w:t>
      </w:r>
    </w:p>
    <w:p w14:paraId="2E8096A0"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הביא בשם </w:t>
      </w:r>
      <w:r w:rsidRPr="0041053F">
        <w:rPr>
          <w:rFonts w:ascii="Narkisim" w:hAnsi="Narkisim"/>
          <w:b/>
          <w:bCs/>
          <w:rtl/>
        </w:rPr>
        <w:t>ר"ח</w:t>
      </w:r>
      <w:r w:rsidRPr="0041053F">
        <w:rPr>
          <w:rFonts w:ascii="Narkisim" w:hAnsi="Narkisim"/>
          <w:rtl/>
        </w:rPr>
        <w:t xml:space="preserve"> דאיירי בכת אחת שמסתפקת האם היה קרוב לו או קרוב לה. אבל ב</w:t>
      </w:r>
      <w:r w:rsidRPr="0041053F">
        <w:rPr>
          <w:rFonts w:ascii="Narkisim" w:hAnsi="Narkisim"/>
          <w:b/>
          <w:bCs/>
          <w:rtl/>
        </w:rPr>
        <w:t>תשובות מיימוני</w:t>
      </w:r>
      <w:r w:rsidRPr="0041053F">
        <w:rPr>
          <w:rFonts w:ascii="Narkisim" w:hAnsi="Narkisim"/>
          <w:rtl/>
        </w:rPr>
        <w:t xml:space="preserve"> </w:t>
      </w:r>
      <w:r w:rsidRPr="0041053F">
        <w:rPr>
          <w:rFonts w:ascii="Narkisim" w:hAnsi="Narkisim"/>
          <w:sz w:val="20"/>
          <w:szCs w:val="20"/>
          <w:rtl/>
        </w:rPr>
        <w:t>(נשים א, הו' בבי"ש ל ט)</w:t>
      </w:r>
      <w:r w:rsidRPr="0041053F">
        <w:rPr>
          <w:rFonts w:ascii="Narkisim" w:hAnsi="Narkisim"/>
          <w:rtl/>
        </w:rPr>
        <w:t xml:space="preserve"> כתב דהיכא שהעדים לא ראו אי קרוב לו או לה אין כאן בית מיחוש, דהוה מקדש בלא עדים </w:t>
      </w:r>
      <w:r w:rsidRPr="0041053F">
        <w:rPr>
          <w:rFonts w:ascii="Narkisim" w:hAnsi="Narkisim"/>
          <w:sz w:val="20"/>
          <w:szCs w:val="20"/>
          <w:rtl/>
        </w:rPr>
        <w:t>[דעדי קיום בעינן שידעו שהאשה מקודשת, והאריכו בזה האחרונים</w:t>
      </w:r>
      <w:r w:rsidRPr="0041053F">
        <w:rPr>
          <w:rStyle w:val="ac"/>
          <w:rFonts w:ascii="Narkisim" w:hAnsi="Narkisim"/>
          <w:sz w:val="20"/>
          <w:szCs w:val="20"/>
          <w:rtl/>
        </w:rPr>
        <w:footnoteReference w:id="1918"/>
      </w:r>
      <w:r w:rsidRPr="0041053F">
        <w:rPr>
          <w:rFonts w:ascii="Narkisim" w:hAnsi="Narkisim"/>
          <w:rtl/>
        </w:rPr>
        <w:t>], ועוד דמוקמינן לאשה בחזקתה</w:t>
      </w:r>
      <w:r w:rsidRPr="0041053F">
        <w:rPr>
          <w:rStyle w:val="ac"/>
          <w:rFonts w:ascii="Narkisim" w:hAnsi="Narkisim"/>
          <w:rtl/>
        </w:rPr>
        <w:footnoteReference w:id="1919"/>
      </w:r>
      <w:r w:rsidRPr="0041053F">
        <w:rPr>
          <w:rFonts w:ascii="Narkisim" w:hAnsi="Narkisim"/>
          <w:rtl/>
        </w:rPr>
        <w:t>. ולכן כתב כרש"י</w:t>
      </w:r>
      <w:r w:rsidRPr="0041053F">
        <w:rPr>
          <w:rStyle w:val="ac"/>
          <w:rFonts w:ascii="Narkisim" w:hAnsi="Narkisim"/>
          <w:rtl/>
        </w:rPr>
        <w:footnoteReference w:id="1920"/>
      </w:r>
      <w:r w:rsidRPr="0041053F">
        <w:rPr>
          <w:rFonts w:ascii="Narkisim" w:hAnsi="Narkisim"/>
          <w:rtl/>
        </w:rPr>
        <w:t>.</w:t>
      </w:r>
    </w:p>
    <w:p w14:paraId="161F4647" w14:textId="77777777" w:rsidR="006074A5" w:rsidRPr="0041053F" w:rsidRDefault="006074A5" w:rsidP="006074A5">
      <w:pPr>
        <w:bidi/>
        <w:rPr>
          <w:rFonts w:ascii="Narkisim" w:hAnsi="Narkisim" w:cs="Narkisim"/>
        </w:rPr>
      </w:pPr>
      <w:r w:rsidRPr="0041053F">
        <w:rPr>
          <w:rFonts w:ascii="Narkisim" w:hAnsi="Narkisim" w:cs="Narkisim"/>
          <w:u w:val="single"/>
          <w:rtl/>
        </w:rPr>
        <w:t>בכת א' דהו"ל ספיקא דרבנן וכו'</w:t>
      </w:r>
      <w:r w:rsidRPr="0041053F">
        <w:rPr>
          <w:rFonts w:ascii="Narkisim" w:hAnsi="Narkisim" w:cs="Narkisim"/>
          <w:rtl/>
        </w:rPr>
        <w:t>. ה</w:t>
      </w:r>
      <w:r w:rsidRPr="0041053F">
        <w:rPr>
          <w:rFonts w:ascii="Narkisim" w:hAnsi="Narkisim" w:cs="Narkisim"/>
          <w:b/>
          <w:bCs/>
          <w:rtl/>
        </w:rPr>
        <w:t>ריטב"א</w:t>
      </w:r>
      <w:r w:rsidRPr="0041053F">
        <w:rPr>
          <w:rFonts w:ascii="Narkisim" w:hAnsi="Narkisim" w:cs="Narkisim"/>
          <w:rtl/>
        </w:rPr>
        <w:t xml:space="preserve"> כת' דלמסקנא הכא החמירו מספק, ולא חששו משום 'אם אתה אומר חולצת מתייבמת'.</w:t>
      </w:r>
      <w:r w:rsidRPr="0041053F">
        <w:rPr>
          <w:rFonts w:ascii="Narkisim" w:hAnsi="Narkisim" w:cs="Narkisim"/>
          <w:sz w:val="20"/>
          <w:szCs w:val="20"/>
          <w:rtl/>
        </w:rPr>
        <w:t xml:space="preserve"> [וכ"מ ב</w:t>
      </w:r>
      <w:r w:rsidRPr="0041053F">
        <w:rPr>
          <w:rFonts w:ascii="Narkisim" w:hAnsi="Narkisim" w:cs="Narkisim"/>
          <w:b/>
          <w:bCs/>
          <w:sz w:val="20"/>
          <w:szCs w:val="20"/>
          <w:rtl/>
        </w:rPr>
        <w:t>רשב"א</w:t>
      </w:r>
      <w:r w:rsidRPr="0041053F">
        <w:rPr>
          <w:rFonts w:ascii="Narkisim" w:hAnsi="Narkisim" w:cs="Narkisim"/>
          <w:sz w:val="20"/>
          <w:szCs w:val="20"/>
          <w:rtl/>
        </w:rPr>
        <w:t xml:space="preserve"> (בסוגיין ולקמן מא.</w:t>
      </w:r>
      <w:r w:rsidRPr="0041053F">
        <w:rPr>
          <w:rStyle w:val="ac"/>
          <w:rFonts w:ascii="Narkisim" w:hAnsi="Narkisim" w:cs="Narkisim"/>
          <w:sz w:val="20"/>
          <w:szCs w:val="20"/>
          <w:rtl/>
        </w:rPr>
        <w:footnoteReference w:id="1921"/>
      </w:r>
      <w:r w:rsidRPr="0041053F">
        <w:rPr>
          <w:rFonts w:ascii="Narkisim" w:hAnsi="Narkisim" w:cs="Narkisim"/>
          <w:sz w:val="20"/>
          <w:szCs w:val="20"/>
          <w:rtl/>
        </w:rPr>
        <w:t>) דהוה ס"ד בעלמא</w:t>
      </w:r>
      <w:r w:rsidRPr="0041053F">
        <w:rPr>
          <w:rStyle w:val="ac"/>
          <w:rFonts w:ascii="Narkisim" w:hAnsi="Narkisim" w:cs="Narkisim"/>
          <w:sz w:val="20"/>
          <w:szCs w:val="20"/>
          <w:rtl/>
        </w:rPr>
        <w:footnoteReference w:id="1922"/>
      </w:r>
      <w:r w:rsidRPr="0041053F">
        <w:rPr>
          <w:rFonts w:ascii="Narkisim" w:hAnsi="Narkisim" w:cs="Narkisim"/>
          <w:sz w:val="20"/>
          <w:szCs w:val="20"/>
          <w:rtl/>
        </w:rPr>
        <w:t xml:space="preserve">]. </w:t>
      </w:r>
      <w:r w:rsidRPr="0041053F">
        <w:rPr>
          <w:rFonts w:ascii="Narkisim" w:hAnsi="Narkisim" w:cs="Narkisim"/>
          <w:rtl/>
        </w:rPr>
        <w:t>ומשמע דהחמירו בכל ספק קרוב לה. אבל ה</w:t>
      </w:r>
      <w:r w:rsidRPr="0041053F">
        <w:rPr>
          <w:rFonts w:ascii="Narkisim" w:hAnsi="Narkisim" w:cs="Narkisim"/>
          <w:b/>
          <w:bCs/>
          <w:rtl/>
        </w:rPr>
        <w:t>חזו"א</w:t>
      </w:r>
      <w:r w:rsidRPr="0041053F">
        <w:rPr>
          <w:rFonts w:ascii="Narkisim" w:hAnsi="Narkisim" w:cs="Narkisim"/>
          <w:rtl/>
        </w:rPr>
        <w:t xml:space="preserve"> (פ כא) כת' דלצד דהוה ספיקא דרבנן, יש מקום להחמיר מצד עצמו ולא חששו אם אתה אומר חולצת מתייבמת, וקושיית הגמ' (לעיל) לצד דהוה חומרא בעלמא שלא להעמיד על חזקתו.</w:t>
      </w:r>
    </w:p>
    <w:p w14:paraId="48D7D694" w14:textId="77777777" w:rsidR="006074A5" w:rsidRPr="0041053F" w:rsidRDefault="006074A5" w:rsidP="006074A5">
      <w:pPr>
        <w:bidi/>
        <w:rPr>
          <w:rFonts w:ascii="Narkisim" w:hAnsi="Narkisim" w:cs="Narkisim"/>
        </w:rPr>
      </w:pPr>
      <w:r w:rsidRPr="0041053F">
        <w:rPr>
          <w:rFonts w:ascii="Narkisim" w:hAnsi="Narkisim" w:cs="Narkisim"/>
          <w:u w:val="single"/>
          <w:rtl/>
        </w:rPr>
        <w:t>אי בב' כתי עדים תתייבם ואין בכך כלום.</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דסברת הך תי' דתרי ותרי מוקמינן אחזקה, ותתייבם. [והגמ' מק' קיימי עדים וכו']. מבואר דלס"ד ב' כיתי עדים עדיף מכת א'. דבכת א' חולצת, ואילו בב' עדים אוקמא אחזקה. ו</w:t>
      </w:r>
      <w:r w:rsidRPr="0041053F">
        <w:rPr>
          <w:rFonts w:ascii="Narkisim" w:hAnsi="Narkisim" w:cs="Narkisim"/>
          <w:b/>
          <w:bCs/>
          <w:rtl/>
        </w:rPr>
        <w:t>תוס'</w:t>
      </w:r>
      <w:r w:rsidRPr="0041053F">
        <w:rPr>
          <w:rFonts w:ascii="Narkisim" w:hAnsi="Narkisim" w:cs="Narkisim"/>
          <w:rtl/>
        </w:rPr>
        <w:t xml:space="preserve"> הק' היאך עלה ע"ד המתרץ לומר כן. וה</w:t>
      </w:r>
      <w:r w:rsidRPr="0041053F">
        <w:rPr>
          <w:rFonts w:ascii="Narkisim" w:hAnsi="Narkisim" w:cs="Narkisim"/>
          <w:b/>
          <w:bCs/>
          <w:rtl/>
        </w:rPr>
        <w:t>רמב"ן</w:t>
      </w:r>
      <w:r w:rsidRPr="0041053F">
        <w:rPr>
          <w:rFonts w:ascii="Narkisim" w:hAnsi="Narkisim" w:cs="Narkisim"/>
          <w:rtl/>
        </w:rPr>
        <w:t xml:space="preserve"> וה</w:t>
      </w:r>
      <w:r w:rsidRPr="0041053F">
        <w:rPr>
          <w:rFonts w:ascii="Narkisim" w:hAnsi="Narkisim" w:cs="Narkisim"/>
          <w:b/>
          <w:bCs/>
          <w:rtl/>
        </w:rPr>
        <w:t>רשב"א</w:t>
      </w:r>
      <w:r w:rsidRPr="0041053F">
        <w:rPr>
          <w:rFonts w:ascii="Narkisim" w:hAnsi="Narkisim" w:cs="Narkisim"/>
          <w:rtl/>
        </w:rPr>
        <w:t xml:space="preserve"> כת' אולי נאמר דכל שיש ב' עדים מסייעים לחזקתה, אלימי חזקה טפי. וכתבו דזה דחוק ורחוק. </w:t>
      </w:r>
      <w:r w:rsidRPr="0041053F">
        <w:rPr>
          <w:rFonts w:ascii="Narkisim" w:hAnsi="Narkisim" w:cs="Narkisim"/>
          <w:sz w:val="20"/>
          <w:szCs w:val="20"/>
          <w:rtl/>
        </w:rPr>
        <w:t>[ויש שביארו דס"ד כיון דמסייע לה עדים, א"א לאסור עליה ולהוציאה מחזקתה, דאין כח לבי"ד להוציא נגד עדים (ע' לקמן פח:). אבל בעד א' החמירו בספיקות].</w:t>
      </w:r>
    </w:p>
    <w:p w14:paraId="1B4FBBDE"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כת' דכוונת הגמ' דספיקא דרבנן, דומיא דאינך בבי דהוה חומרא דרבנן. וע"ע </w:t>
      </w:r>
      <w:r w:rsidRPr="0041053F">
        <w:rPr>
          <w:rFonts w:ascii="Narkisim" w:hAnsi="Narkisim"/>
          <w:b/>
          <w:bCs/>
          <w:rtl/>
        </w:rPr>
        <w:t>תו"י</w:t>
      </w:r>
      <w:r w:rsidRPr="0041053F">
        <w:rPr>
          <w:rFonts w:ascii="Narkisim" w:hAnsi="Narkisim"/>
          <w:rtl/>
        </w:rPr>
        <w:t xml:space="preserve"> דביאר באופ"א.</w:t>
      </w:r>
    </w:p>
    <w:p w14:paraId="5CE6EDCB" w14:textId="77777777" w:rsidR="006074A5" w:rsidRPr="0041053F" w:rsidRDefault="006074A5" w:rsidP="006074A5">
      <w:pPr>
        <w:bidi/>
        <w:rPr>
          <w:rFonts w:ascii="Narkisim" w:hAnsi="Narkisim" w:cs="Narkisim"/>
        </w:rPr>
      </w:pPr>
      <w:r w:rsidRPr="0041053F">
        <w:rPr>
          <w:rFonts w:ascii="Narkisim" w:hAnsi="Narkisim" w:cs="Narkisim"/>
          <w:u w:val="single"/>
          <w:rtl/>
        </w:rPr>
        <w:t>ותו בשתי כיתי עדים נמי ספיקא דרבנן</w:t>
      </w:r>
      <w:r w:rsidRPr="0041053F">
        <w:rPr>
          <w:rStyle w:val="ac"/>
          <w:rFonts w:ascii="Narkisim" w:hAnsi="Narkisim" w:cs="Narkisim"/>
          <w:rtl/>
        </w:rPr>
        <w:footnoteReference w:id="1923"/>
      </w:r>
      <w:r w:rsidRPr="0041053F">
        <w:rPr>
          <w:rFonts w:ascii="Narkisim" w:hAnsi="Narkisim" w:cs="Narkisim"/>
          <w:rtl/>
        </w:rPr>
        <w:t>. ומדאורייתא מעמידים על חזקה, אלא דהחמירו חכמים.</w:t>
      </w:r>
    </w:p>
    <w:p w14:paraId="223D5CCA"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שמעתתא</w:t>
      </w:r>
      <w:r w:rsidRPr="0041053F">
        <w:rPr>
          <w:rFonts w:ascii="Narkisim" w:hAnsi="Narkisim"/>
          <w:rtl/>
        </w:rPr>
        <w:t xml:space="preserve"> (א ח) ביאר דלמ"ד ספיקא דאורייתא תרי ותרי כמאן דאיתנהו, ותרי עדים מפקי </w:t>
      </w:r>
      <w:r w:rsidRPr="0041053F">
        <w:rPr>
          <w:rFonts w:ascii="Narkisim" w:hAnsi="Narkisim"/>
          <w:rtl/>
        </w:rPr>
        <w:lastRenderedPageBreak/>
        <w:t>מחזקה קמייתא [וא"א להכריע כנגד עדים]</w:t>
      </w:r>
      <w:r w:rsidRPr="0041053F">
        <w:rPr>
          <w:rStyle w:val="ac"/>
          <w:rFonts w:ascii="Narkisim" w:hAnsi="Narkisim"/>
          <w:rtl/>
        </w:rPr>
        <w:footnoteReference w:id="1924"/>
      </w:r>
      <w:r w:rsidRPr="0041053F">
        <w:rPr>
          <w:rFonts w:ascii="Narkisim" w:hAnsi="Narkisim"/>
          <w:rtl/>
        </w:rPr>
        <w:t>. ואילו למ"ד ספיקא דרבנן אוקי תרי בהדי תרי, וכמאן דליתא. ועי"ז דנים ע"פ חזקה.</w:t>
      </w:r>
    </w:p>
    <w:p w14:paraId="271D7545" w14:textId="77777777" w:rsidR="006074A5" w:rsidRPr="0041053F" w:rsidRDefault="006074A5" w:rsidP="006074A5">
      <w:pPr>
        <w:pStyle w:val="a7"/>
        <w:bidi/>
        <w:rPr>
          <w:rFonts w:ascii="Narkisim" w:hAnsi="Narkisim"/>
        </w:rPr>
      </w:pPr>
      <w:r w:rsidRPr="0041053F">
        <w:rPr>
          <w:rFonts w:ascii="Narkisim" w:hAnsi="Narkisim"/>
          <w:rtl/>
        </w:rPr>
        <w:t xml:space="preserve">ובשו"ת </w:t>
      </w:r>
      <w:r w:rsidRPr="0041053F">
        <w:rPr>
          <w:rFonts w:ascii="Narkisim" w:hAnsi="Narkisim"/>
          <w:b/>
          <w:bCs/>
          <w:rtl/>
        </w:rPr>
        <w:t>רע"א</w:t>
      </w:r>
      <w:r w:rsidRPr="0041053F">
        <w:rPr>
          <w:rFonts w:ascii="Narkisim" w:hAnsi="Narkisim"/>
          <w:sz w:val="20"/>
          <w:szCs w:val="20"/>
          <w:rtl/>
        </w:rPr>
        <w:t xml:space="preserve"> (ק' קלו)</w:t>
      </w:r>
      <w:r w:rsidRPr="0041053F">
        <w:rPr>
          <w:rFonts w:ascii="Narkisim" w:hAnsi="Narkisim"/>
          <w:rtl/>
        </w:rPr>
        <w:t xml:space="preserve"> כת' דכל הנידון משום חזקה קמייתא דאיסוריין. אבל חזקת אומדנא</w:t>
      </w:r>
      <w:r w:rsidRPr="0041053F">
        <w:rPr>
          <w:rStyle w:val="ac"/>
          <w:rFonts w:ascii="Narkisim" w:hAnsi="Narkisim"/>
          <w:rtl/>
        </w:rPr>
        <w:footnoteReference w:id="1925"/>
      </w:r>
      <w:r w:rsidRPr="0041053F">
        <w:rPr>
          <w:rFonts w:ascii="Narkisim" w:hAnsi="Narkisim"/>
          <w:rtl/>
        </w:rPr>
        <w:t xml:space="preserve"> ל"מ להכריע במקום תרי ותרי</w:t>
      </w:r>
      <w:r w:rsidRPr="0041053F">
        <w:rPr>
          <w:rStyle w:val="ac"/>
          <w:rFonts w:ascii="Narkisim" w:hAnsi="Narkisim"/>
          <w:rtl/>
        </w:rPr>
        <w:footnoteReference w:id="1926"/>
      </w:r>
      <w:r w:rsidRPr="0041053F">
        <w:rPr>
          <w:rFonts w:ascii="Narkisim" w:hAnsi="Narkisim"/>
          <w:rtl/>
        </w:rPr>
        <w:t>.</w:t>
      </w:r>
    </w:p>
    <w:p w14:paraId="3028A146" w14:textId="77777777" w:rsidR="006074A5" w:rsidRPr="0041053F" w:rsidRDefault="006074A5" w:rsidP="006074A5">
      <w:pPr>
        <w:pStyle w:val="a8"/>
        <w:bidi/>
        <w:rPr>
          <w:rFonts w:ascii="Narkisim" w:hAnsi="Narkisim"/>
        </w:rPr>
      </w:pPr>
      <w:r w:rsidRPr="0041053F">
        <w:rPr>
          <w:rFonts w:ascii="Narkisim" w:hAnsi="Narkisim"/>
          <w:rtl/>
        </w:rPr>
        <w:t>ו</w:t>
      </w:r>
      <w:r w:rsidRPr="0041053F">
        <w:rPr>
          <w:rFonts w:ascii="Narkisim" w:hAnsi="Narkisim"/>
          <w:b/>
          <w:bCs/>
          <w:rtl/>
        </w:rPr>
        <w:t>רע"א</w:t>
      </w:r>
      <w:r w:rsidRPr="0041053F">
        <w:rPr>
          <w:rFonts w:ascii="Narkisim" w:hAnsi="Narkisim"/>
          <w:rtl/>
        </w:rPr>
        <w:t xml:space="preserve"> ביאר דמ"ד ספיקא דאורייתא אמרי' דתרי כמאה, ואף החזקה ל"מ טפי מב' עדים</w:t>
      </w:r>
      <w:r w:rsidRPr="0041053F">
        <w:rPr>
          <w:rStyle w:val="ac"/>
          <w:rFonts w:ascii="Narkisim" w:hAnsi="Narkisim"/>
          <w:rtl/>
        </w:rPr>
        <w:footnoteReference w:id="1927"/>
      </w:r>
      <w:r w:rsidRPr="0041053F">
        <w:rPr>
          <w:rFonts w:ascii="Narkisim" w:hAnsi="Narkisim"/>
          <w:rtl/>
        </w:rPr>
        <w:t>. אבל למ"ד ספיקא דרבנן מסלקין העדות, ומהני חזקה דמעיקרא, דאינו בגדר בירור והוכחה.</w:t>
      </w:r>
    </w:p>
    <w:p w14:paraId="21BFBFAA" w14:textId="77777777" w:rsidR="006074A5" w:rsidRPr="0041053F" w:rsidRDefault="006074A5" w:rsidP="006074A5">
      <w:pPr>
        <w:pStyle w:val="a7"/>
        <w:bidi/>
        <w:rPr>
          <w:rFonts w:ascii="Narkisim" w:hAnsi="Narkisim"/>
        </w:rPr>
      </w:pPr>
      <w:r w:rsidRPr="0041053F">
        <w:rPr>
          <w:rFonts w:ascii="Narkisim" w:hAnsi="Narkisim"/>
          <w:rtl/>
        </w:rPr>
        <w:t>ועוד כתבו ה</w:t>
      </w:r>
      <w:r w:rsidRPr="0041053F">
        <w:rPr>
          <w:rFonts w:ascii="Narkisim" w:hAnsi="Narkisim"/>
          <w:b/>
          <w:bCs/>
          <w:rtl/>
        </w:rPr>
        <w:t>אחרונים</w:t>
      </w:r>
      <w:r w:rsidRPr="0041053F">
        <w:rPr>
          <w:rFonts w:ascii="Narkisim" w:hAnsi="Narkisim"/>
          <w:rtl/>
        </w:rPr>
        <w:t xml:space="preserve"> </w:t>
      </w:r>
      <w:r w:rsidRPr="0041053F">
        <w:rPr>
          <w:rFonts w:ascii="Narkisim" w:hAnsi="Narkisim"/>
          <w:sz w:val="20"/>
          <w:szCs w:val="20"/>
          <w:rtl/>
        </w:rPr>
        <w:t>(חמד"ש כתובות כב: ועוד</w:t>
      </w:r>
      <w:r w:rsidRPr="0041053F">
        <w:rPr>
          <w:rStyle w:val="ac"/>
          <w:rFonts w:ascii="Narkisim" w:hAnsi="Narkisim"/>
          <w:sz w:val="20"/>
          <w:szCs w:val="20"/>
          <w:rtl/>
        </w:rPr>
        <w:footnoteReference w:id="1928"/>
      </w:r>
      <w:r w:rsidRPr="0041053F">
        <w:rPr>
          <w:rFonts w:ascii="Narkisim" w:hAnsi="Narkisim"/>
          <w:sz w:val="20"/>
          <w:szCs w:val="20"/>
          <w:rtl/>
        </w:rPr>
        <w:t xml:space="preserve">) </w:t>
      </w:r>
      <w:r w:rsidRPr="0041053F">
        <w:rPr>
          <w:rFonts w:ascii="Narkisim" w:hAnsi="Narkisim"/>
          <w:rtl/>
        </w:rPr>
        <w:t>דאף למ"ד ספיקא דרבנן לא שייך גדר 'הכרעה' נגד עדים. אלא דס"ל דיש גדר חזקת הנהגה מספק, דאף בדבר דלא שייך הכרעה על מקור הספק מוקמינן אחזקה.</w:t>
      </w:r>
    </w:p>
    <w:p w14:paraId="5428B04D" w14:textId="77777777" w:rsidR="006074A5" w:rsidRPr="0041053F" w:rsidRDefault="006074A5" w:rsidP="006074A5">
      <w:pPr>
        <w:pStyle w:val="a8"/>
        <w:bidi/>
        <w:rPr>
          <w:rFonts w:ascii="Narkisim" w:hAnsi="Narkisim"/>
        </w:rPr>
      </w:pPr>
      <w:r w:rsidRPr="0041053F">
        <w:rPr>
          <w:rFonts w:ascii="Narkisim" w:hAnsi="Narkisim"/>
          <w:rtl/>
        </w:rPr>
        <w:t>ולכאורה לפ"ז מ"ד ספיקא דאורייתא פליג בגדרי חזקות, דל"מ חזקה כה"ג, כיון דגוף הדבר הוה תרי ותרי. [ואילו בפשוטו הוה נידון בגדר העמדת הספק בתרי ותרי, אי שייך בזה גדרי הכרעות</w:t>
      </w:r>
      <w:r w:rsidRPr="0041053F">
        <w:rPr>
          <w:rStyle w:val="ac"/>
          <w:rFonts w:ascii="Narkisim" w:hAnsi="Narkisim"/>
          <w:rtl/>
        </w:rPr>
        <w:footnoteReference w:id="1929"/>
      </w:r>
      <w:r w:rsidRPr="0041053F">
        <w:rPr>
          <w:rFonts w:ascii="Narkisim" w:hAnsi="Narkisim"/>
          <w:rtl/>
        </w:rPr>
        <w:t>].</w:t>
      </w:r>
    </w:p>
    <w:p w14:paraId="3800681E" w14:textId="77777777" w:rsidR="006074A5" w:rsidRPr="0041053F" w:rsidRDefault="006074A5" w:rsidP="006074A5">
      <w:pPr>
        <w:bidi/>
        <w:rPr>
          <w:rFonts w:ascii="Narkisim" w:hAnsi="Narkisim" w:cs="Narkisim"/>
        </w:rPr>
      </w:pPr>
      <w:r w:rsidRPr="0041053F">
        <w:rPr>
          <w:rFonts w:ascii="Narkisim" w:hAnsi="Narkisim" w:cs="Narkisim"/>
          <w:u w:val="single"/>
          <w:rtl/>
        </w:rPr>
        <w:t>שם. ספיקא דרבנן</w:t>
      </w:r>
      <w:r w:rsidRPr="0041053F">
        <w:rPr>
          <w:rFonts w:ascii="Narkisim" w:hAnsi="Narkisim" w:cs="Narkisim"/>
          <w:rtl/>
        </w:rPr>
        <w:t>. ו</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Cs w:val="20"/>
          <w:rtl/>
        </w:rPr>
        <w:t>(כאן, וב"ב לב. כתובות כו: וכ"מ, והש"ש ו טז הביא דכ"ד רוב הפוסקים</w:t>
      </w:r>
      <w:r w:rsidRPr="0041053F">
        <w:rPr>
          <w:rFonts w:ascii="Narkisim" w:hAnsi="Narkisim" w:cs="Narkisim"/>
          <w:rtl/>
        </w:rPr>
        <w:t xml:space="preserve">) הביאו דמסקנת סוגיין דתרי ותרי ספיקא דרבנן, ומדאורייתא מוקמינן אחזקה. וכן עולה מדברי </w:t>
      </w:r>
      <w:r w:rsidRPr="0041053F">
        <w:rPr>
          <w:rFonts w:ascii="Narkisim" w:hAnsi="Narkisim" w:cs="Narkisim"/>
          <w:b/>
          <w:bCs/>
          <w:rtl/>
        </w:rPr>
        <w:t>רש"י</w:t>
      </w:r>
      <w:r w:rsidRPr="0041053F">
        <w:rPr>
          <w:rStyle w:val="ac"/>
          <w:rFonts w:ascii="Narkisim" w:hAnsi="Narkisim" w:cs="Narkisim"/>
          <w:rtl/>
        </w:rPr>
        <w:footnoteReference w:id="1930"/>
      </w:r>
      <w:r w:rsidRPr="0041053F">
        <w:rPr>
          <w:rFonts w:ascii="Narkisim" w:hAnsi="Narkisim" w:cs="Narkisim"/>
          <w:rtl/>
        </w:rPr>
        <w:t>. אבל ה</w:t>
      </w:r>
      <w:r w:rsidRPr="0041053F">
        <w:rPr>
          <w:rFonts w:ascii="Narkisim" w:hAnsi="Narkisim" w:cs="Narkisim"/>
          <w:b/>
          <w:bCs/>
          <w:rtl/>
        </w:rPr>
        <w:t>ראשונים</w:t>
      </w:r>
      <w:r w:rsidRPr="0041053F">
        <w:rPr>
          <w:rFonts w:ascii="Narkisim" w:hAnsi="Narkisim" w:cs="Narkisim"/>
          <w:rtl/>
        </w:rPr>
        <w:t xml:space="preserve"> גרסו 'ודילמא'. וה</w:t>
      </w:r>
      <w:r w:rsidRPr="0041053F">
        <w:rPr>
          <w:rFonts w:ascii="Narkisim" w:hAnsi="Narkisim" w:cs="Narkisim"/>
          <w:b/>
          <w:bCs/>
          <w:rtl/>
        </w:rPr>
        <w:t>ריטב"א</w:t>
      </w:r>
      <w:r w:rsidRPr="0041053F">
        <w:rPr>
          <w:rFonts w:ascii="Narkisim" w:hAnsi="Narkisim" w:cs="Narkisim"/>
          <w:rtl/>
        </w:rPr>
        <w:t xml:space="preserve"> פי' הלשון דילמא, דאפשר דבאיסורא הוה ספיקא דאורייתא, ולא ילפי' איסורא מממונא</w:t>
      </w:r>
      <w:r w:rsidRPr="0041053F">
        <w:rPr>
          <w:rStyle w:val="ac"/>
          <w:rFonts w:ascii="Narkisim" w:hAnsi="Narkisim" w:cs="Narkisim"/>
          <w:rtl/>
        </w:rPr>
        <w:footnoteReference w:id="1931"/>
      </w:r>
      <w:r w:rsidRPr="0041053F">
        <w:rPr>
          <w:rFonts w:ascii="Narkisim" w:hAnsi="Narkisim" w:cs="Narkisim"/>
          <w:rtl/>
        </w:rPr>
        <w:t>. וגבי איסורא ספיקא דאורייתא</w:t>
      </w:r>
      <w:r w:rsidRPr="0041053F">
        <w:rPr>
          <w:rStyle w:val="ac"/>
          <w:rFonts w:ascii="Narkisim" w:hAnsi="Narkisim" w:cs="Narkisim"/>
          <w:rtl/>
        </w:rPr>
        <w:footnoteReference w:id="1932"/>
      </w:r>
      <w:r w:rsidRPr="0041053F">
        <w:rPr>
          <w:rFonts w:ascii="Narkisim" w:hAnsi="Narkisim" w:cs="Narkisim"/>
          <w:rtl/>
        </w:rPr>
        <w:t>.</w:t>
      </w:r>
    </w:p>
    <w:p w14:paraId="02A72131" w14:textId="77777777" w:rsidR="006074A5" w:rsidRPr="0041053F" w:rsidRDefault="006074A5" w:rsidP="006074A5">
      <w:pPr>
        <w:pStyle w:val="a7"/>
        <w:bidi/>
        <w:rPr>
          <w:rFonts w:ascii="Narkisim" w:hAnsi="Narkisim"/>
        </w:rPr>
      </w:pPr>
      <w:r w:rsidRPr="0041053F">
        <w:rPr>
          <w:rFonts w:ascii="Narkisim" w:hAnsi="Narkisim"/>
          <w:rtl/>
        </w:rPr>
        <w:t xml:space="preserve">ויש </w:t>
      </w:r>
      <w:r w:rsidRPr="0041053F">
        <w:rPr>
          <w:rFonts w:ascii="Narkisim" w:hAnsi="Narkisim"/>
          <w:b/>
          <w:bCs/>
          <w:rtl/>
        </w:rPr>
        <w:t>ראשונים</w:t>
      </w:r>
      <w:r w:rsidRPr="0041053F">
        <w:rPr>
          <w:rFonts w:ascii="Narkisim" w:hAnsi="Narkisim"/>
          <w:rtl/>
        </w:rPr>
        <w:t xml:space="preserve"> (בכ"מ)</w:t>
      </w:r>
      <w:r w:rsidRPr="0041053F">
        <w:rPr>
          <w:rStyle w:val="ac"/>
          <w:rFonts w:ascii="Narkisim" w:hAnsi="Narkisim"/>
          <w:rtl/>
        </w:rPr>
        <w:footnoteReference w:id="1933"/>
      </w:r>
      <w:r w:rsidRPr="0041053F">
        <w:rPr>
          <w:rFonts w:ascii="Narkisim" w:hAnsi="Narkisim"/>
          <w:rtl/>
        </w:rPr>
        <w:t xml:space="preserve"> שהביאו צד דקי"ל דהוה ספיקא דאורייתא</w:t>
      </w:r>
      <w:r w:rsidRPr="0041053F">
        <w:rPr>
          <w:rStyle w:val="ac"/>
          <w:rFonts w:ascii="Narkisim" w:hAnsi="Narkisim"/>
          <w:rtl/>
        </w:rPr>
        <w:footnoteReference w:id="1934"/>
      </w:r>
      <w:r w:rsidRPr="0041053F">
        <w:rPr>
          <w:rFonts w:ascii="Narkisim" w:hAnsi="Narkisim"/>
          <w:rtl/>
        </w:rPr>
        <w:t>.</w:t>
      </w:r>
    </w:p>
    <w:p w14:paraId="60B1038E" w14:textId="77777777" w:rsidR="006074A5" w:rsidRPr="0041053F" w:rsidRDefault="006074A5" w:rsidP="006074A5">
      <w:pPr>
        <w:bidi/>
        <w:rPr>
          <w:rFonts w:ascii="Narkisim" w:hAnsi="Narkisim" w:cs="Narkisim"/>
        </w:rPr>
      </w:pPr>
      <w:r w:rsidRPr="0041053F">
        <w:rPr>
          <w:rFonts w:ascii="Narkisim" w:hAnsi="Narkisim" w:cs="Narkisim"/>
          <w:u w:val="single"/>
          <w:rtl/>
        </w:rPr>
        <w:t>מידי דהוה אבר שטיא וכו'.</w:t>
      </w:r>
      <w:r w:rsidRPr="0041053F">
        <w:rPr>
          <w:rFonts w:ascii="Narkisim" w:hAnsi="Narkisim" w:cs="Narkisim"/>
          <w:rtl/>
        </w:rPr>
        <w:t xml:space="preserve"> דמוקמינן בחזקת מרא קמא, והגמ' מביאה מכאן [דמדאורייתא] מהני חזקה בתרי ותרי.</w:t>
      </w:r>
    </w:p>
    <w:p w14:paraId="01E2459E"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 xml:space="preserve">אחרונים </w:t>
      </w:r>
      <w:r w:rsidRPr="0041053F">
        <w:rPr>
          <w:rFonts w:ascii="Narkisim" w:hAnsi="Narkisim"/>
          <w:sz w:val="20"/>
          <w:szCs w:val="20"/>
          <w:rtl/>
        </w:rPr>
        <w:t>(קובה"ע כז, שער"י ה יד, וכן רע"א שם רמז לזה)</w:t>
      </w:r>
      <w:r w:rsidRPr="0041053F">
        <w:rPr>
          <w:rFonts w:ascii="Narkisim" w:hAnsi="Narkisim"/>
          <w:rtl/>
        </w:rPr>
        <w:t xml:space="preserve"> הביאו מכאן דגדר חזקת מרא קמא הוה </w:t>
      </w:r>
      <w:r w:rsidRPr="0041053F">
        <w:rPr>
          <w:rFonts w:ascii="Narkisim" w:hAnsi="Narkisim"/>
          <w:rtl/>
        </w:rPr>
        <w:lastRenderedPageBreak/>
        <w:t>כחזקה דמעיקרא באיסורין. דאילו הוה גדר מוחזק</w:t>
      </w:r>
      <w:r w:rsidRPr="0041053F">
        <w:rPr>
          <w:rStyle w:val="ac"/>
          <w:rFonts w:ascii="Narkisim" w:hAnsi="Narkisim"/>
          <w:rtl/>
        </w:rPr>
        <w:footnoteReference w:id="1935"/>
      </w:r>
      <w:r w:rsidRPr="0041053F">
        <w:rPr>
          <w:rFonts w:ascii="Narkisim" w:hAnsi="Narkisim"/>
          <w:rtl/>
        </w:rPr>
        <w:t>, אף למ"ד ספיקא דאורייתא מוקמינן ביד מוחזק [וכדאמרי' כתובות כ.].</w:t>
      </w:r>
    </w:p>
    <w:p w14:paraId="60957F82" w14:textId="77777777" w:rsidR="006074A5" w:rsidRPr="0041053F" w:rsidRDefault="006074A5" w:rsidP="006074A5">
      <w:pPr>
        <w:pStyle w:val="a7"/>
        <w:bidi/>
        <w:rPr>
          <w:rFonts w:ascii="Narkisim" w:hAnsi="Narkisim"/>
        </w:rPr>
      </w:pPr>
      <w:r w:rsidRPr="0041053F">
        <w:rPr>
          <w:rFonts w:ascii="Narkisim" w:hAnsi="Narkisim"/>
          <w:rtl/>
        </w:rPr>
        <w:t xml:space="preserve">ויש </w:t>
      </w:r>
      <w:r w:rsidRPr="0041053F">
        <w:rPr>
          <w:rFonts w:ascii="Narkisim" w:hAnsi="Narkisim"/>
          <w:b/>
          <w:bCs/>
          <w:rtl/>
        </w:rPr>
        <w:t>אחרונים</w:t>
      </w:r>
      <w:r w:rsidRPr="0041053F">
        <w:rPr>
          <w:rFonts w:ascii="Narkisim" w:hAnsi="Narkisim"/>
          <w:rtl/>
        </w:rPr>
        <w:t xml:space="preserve"> שתי' דלמ"ד ספיקא דאורייתא מניחים ביד מי שתפוס בידו. אבל ל"מ אף גדר הכרעת מוחזק במקום תרי ותרי. [</w:t>
      </w:r>
      <w:r w:rsidRPr="0041053F">
        <w:rPr>
          <w:rFonts w:ascii="Narkisim" w:hAnsi="Narkisim"/>
          <w:szCs w:val="20"/>
          <w:rtl/>
        </w:rPr>
        <w:t>וכ"מ ברמב"ן ב"מ ו.]</w:t>
      </w:r>
      <w:r w:rsidRPr="0041053F">
        <w:rPr>
          <w:rFonts w:ascii="Narkisim" w:hAnsi="Narkisim"/>
          <w:rtl/>
        </w:rPr>
        <w:t>.</w:t>
      </w:r>
    </w:p>
    <w:p w14:paraId="62499883"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w:t>
      </w:r>
      <w:r w:rsidRPr="0041053F">
        <w:rPr>
          <w:rFonts w:ascii="Narkisim" w:hAnsi="Narkisim" w:cs="Narkisim"/>
          <w:b/>
          <w:bCs/>
          <w:rtl/>
        </w:rPr>
        <w:t>רע"א</w:t>
      </w:r>
      <w:r w:rsidRPr="0041053F">
        <w:rPr>
          <w:rFonts w:ascii="Narkisim" w:hAnsi="Narkisim" w:cs="Narkisim"/>
          <w:rtl/>
        </w:rPr>
        <w:t xml:space="preserve"> (שם) הק' דעכ"פ תרי ותרי הוה ספיקא דרבנן, א"כ אף בבר שטיא היה להם להחמיר, ולהוציא מידיו</w:t>
      </w:r>
      <w:r w:rsidRPr="0041053F">
        <w:rPr>
          <w:rStyle w:val="ac"/>
          <w:rFonts w:ascii="Narkisim" w:hAnsi="Narkisim" w:cs="Narkisim"/>
          <w:rtl/>
        </w:rPr>
        <w:footnoteReference w:id="1936"/>
      </w:r>
      <w:r w:rsidRPr="0041053F">
        <w:rPr>
          <w:rFonts w:ascii="Narkisim" w:hAnsi="Narkisim" w:cs="Narkisim"/>
          <w:rtl/>
        </w:rPr>
        <w:t>. וכת' (שם בסו"ד) דדוקא באיסורא החמירו, אבל לענין ממון הניחו בחזקתו. [וע"ע המהרש"א כתובות כו:].</w:t>
      </w:r>
    </w:p>
    <w:p w14:paraId="3C6CB4DA"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שואל</w:t>
      </w:r>
      <w:r w:rsidRPr="0041053F">
        <w:rPr>
          <w:rFonts w:ascii="Narkisim" w:hAnsi="Narkisim"/>
          <w:rtl/>
        </w:rPr>
        <w:t xml:space="preserve"> (בשו"ת רע"א) הביא מהגמ' (עירובין לו.) דהיכא דיש ב' חזקות מהני אף בתרי ותרי</w:t>
      </w:r>
      <w:r w:rsidRPr="0041053F">
        <w:rPr>
          <w:rStyle w:val="ac"/>
          <w:rFonts w:ascii="Narkisim" w:hAnsi="Narkisim"/>
          <w:rtl/>
        </w:rPr>
        <w:footnoteReference w:id="1937"/>
      </w:r>
      <w:r w:rsidRPr="0041053F">
        <w:rPr>
          <w:rFonts w:ascii="Narkisim" w:hAnsi="Narkisim"/>
          <w:rtl/>
        </w:rPr>
        <w:t>. ועפ"ז דן דהתם היו ב' חזקות.</w:t>
      </w:r>
    </w:p>
    <w:p w14:paraId="3162F22D" w14:textId="77777777" w:rsidR="006074A5" w:rsidRPr="0041053F" w:rsidRDefault="006074A5" w:rsidP="006074A5">
      <w:pPr>
        <w:pStyle w:val="aa"/>
        <w:bidi/>
        <w:rPr>
          <w:rFonts w:ascii="Narkisim" w:hAnsi="Narkisim"/>
        </w:rPr>
      </w:pPr>
      <w:r w:rsidRPr="0041053F">
        <w:rPr>
          <w:rFonts w:ascii="Narkisim" w:hAnsi="Narkisim"/>
          <w:u w:val="single"/>
          <w:rtl/>
        </w:rPr>
        <w:t>תוד"ה שתי</w:t>
      </w:r>
      <w:r w:rsidRPr="0041053F">
        <w:rPr>
          <w:rFonts w:ascii="Narkisim" w:hAnsi="Narkisim"/>
          <w:rtl/>
        </w:rPr>
        <w:t>. וא"ת כיון דמסקי' דב' כתי עדים הוי סד"ר, למה דחקו רבה ורב יוסף לאוקמי וכו'. אבל ה</w:t>
      </w:r>
      <w:r w:rsidRPr="0041053F">
        <w:rPr>
          <w:rFonts w:ascii="Narkisim" w:hAnsi="Narkisim"/>
          <w:b/>
          <w:bCs/>
          <w:rtl/>
        </w:rPr>
        <w:t>רמב"ן</w:t>
      </w:r>
      <w:r w:rsidRPr="0041053F">
        <w:rPr>
          <w:rFonts w:ascii="Narkisim" w:hAnsi="Narkisim"/>
          <w:rtl/>
        </w:rPr>
        <w:t xml:space="preserve"> (גיטין עח.) כת' דרבה ורב יוסף העמידו בתרי ותרי</w:t>
      </w:r>
      <w:r w:rsidRPr="0041053F">
        <w:rPr>
          <w:rStyle w:val="ac"/>
          <w:rFonts w:ascii="Narkisim" w:hAnsi="Narkisim"/>
          <w:rtl/>
        </w:rPr>
        <w:footnoteReference w:id="1938"/>
      </w:r>
      <w:r w:rsidRPr="0041053F">
        <w:rPr>
          <w:rFonts w:ascii="Narkisim" w:hAnsi="Narkisim"/>
          <w:rtl/>
        </w:rPr>
        <w:t xml:space="preserve"> ומש"ה החמירו [ולא מוקמינן אחזקת אשת איש]. אבל אי לא ידעינן איזה קדם, הוה ספיקא דרבנן</w:t>
      </w:r>
      <w:r w:rsidRPr="0041053F">
        <w:rPr>
          <w:rStyle w:val="ac"/>
          <w:rFonts w:ascii="Narkisim" w:hAnsi="Narkisim"/>
          <w:rtl/>
        </w:rPr>
        <w:footnoteReference w:id="1939"/>
      </w:r>
      <w:r w:rsidRPr="0041053F">
        <w:rPr>
          <w:rFonts w:ascii="Narkisim" w:hAnsi="Narkisim"/>
          <w:rtl/>
        </w:rPr>
        <w:t xml:space="preserve"> ומוקמינן אחזקת אשת איש, ואם מת צרתה לא תחלוץ. שאם אתה אומר חולצת מתייבמת. [ומשמע דרבה ורב יוסף ס"ל ספיקא דאורייתא. אלא דמסקנת הגמ' דלא כן].</w:t>
      </w:r>
    </w:p>
    <w:p w14:paraId="3BF1802A" w14:textId="77777777" w:rsidR="006074A5" w:rsidRPr="0041053F" w:rsidRDefault="006074A5" w:rsidP="006074A5">
      <w:pPr>
        <w:pStyle w:val="3"/>
        <w:bidi/>
        <w:rPr>
          <w:rFonts w:ascii="Narkisim" w:hAnsi="Narkisim"/>
        </w:rPr>
      </w:pPr>
      <w:r w:rsidRPr="0041053F">
        <w:rPr>
          <w:rFonts w:ascii="Narkisim" w:hAnsi="Narkisim"/>
          <w:rtl/>
        </w:rPr>
        <w:t>דף לא:</w:t>
      </w:r>
    </w:p>
    <w:p w14:paraId="3ACEA09A" w14:textId="77777777" w:rsidR="006074A5" w:rsidRPr="0041053F" w:rsidRDefault="006074A5" w:rsidP="006074A5">
      <w:pPr>
        <w:bidi/>
        <w:rPr>
          <w:rFonts w:ascii="Narkisim" w:hAnsi="Narkisim" w:cs="Narkisim"/>
        </w:rPr>
      </w:pPr>
      <w:r w:rsidRPr="0041053F">
        <w:rPr>
          <w:rFonts w:ascii="Narkisim" w:hAnsi="Narkisim" w:cs="Narkisim"/>
          <w:u w:val="single"/>
          <w:rtl/>
        </w:rPr>
        <w:t>תוד"ה למעוטי.</w:t>
      </w:r>
      <w:r w:rsidRPr="0041053F">
        <w:rPr>
          <w:rFonts w:ascii="Narkisim" w:hAnsi="Narkisim" w:cs="Narkisim"/>
          <w:rtl/>
        </w:rPr>
        <w:t xml:space="preserve"> מספקא לר"י כתב בכת"י וכו' אי מהני בקידושין וכו'. וה</w:t>
      </w:r>
      <w:r w:rsidRPr="0041053F">
        <w:rPr>
          <w:rFonts w:ascii="Narkisim" w:hAnsi="Narkisim" w:cs="Narkisim"/>
          <w:b/>
          <w:bCs/>
          <w:rtl/>
        </w:rPr>
        <w:t>רשב"א</w:t>
      </w:r>
      <w:r w:rsidRPr="0041053F">
        <w:rPr>
          <w:rFonts w:ascii="Narkisim" w:hAnsi="Narkisim" w:cs="Narkisim"/>
          <w:rtl/>
        </w:rPr>
        <w:t xml:space="preserve"> כתב דל"מ כתב ידו, דקידושין מחייב לאחרים [כדאי' (קידושין סה:) דמש"ה לא מהני הודאתם]. והוה דבר שבערוה ובעי עדים</w:t>
      </w:r>
      <w:r w:rsidRPr="0041053F">
        <w:rPr>
          <w:rStyle w:val="ac"/>
          <w:rFonts w:ascii="Narkisim" w:hAnsi="Narkisim" w:cs="Narkisim"/>
          <w:rtl/>
        </w:rPr>
        <w:footnoteReference w:id="1940"/>
      </w:r>
      <w:r w:rsidRPr="0041053F">
        <w:rPr>
          <w:rFonts w:ascii="Narkisim" w:hAnsi="Narkisim" w:cs="Narkisim"/>
          <w:rtl/>
        </w:rPr>
        <w:t>.</w:t>
      </w:r>
    </w:p>
    <w:p w14:paraId="23F40984"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הביא </w:t>
      </w:r>
      <w:r w:rsidRPr="0041053F">
        <w:rPr>
          <w:rFonts w:ascii="Narkisim" w:hAnsi="Narkisim"/>
          <w:b/>
          <w:bCs/>
          <w:rtl/>
        </w:rPr>
        <w:t>י"א</w:t>
      </w:r>
      <w:r w:rsidRPr="0041053F">
        <w:rPr>
          <w:rFonts w:ascii="Narkisim" w:hAnsi="Narkisim"/>
          <w:rtl/>
        </w:rPr>
        <w:t xml:space="preserve"> דילפי' [גזי"ש דבר דבר] מגירושין דמהני כת"י דכתיב וכתב לה, דאכשר רחמנא כתיבת ידו כק' עדים למעבד מעשה שטר [ע' מה שהו' לעיל ל:]. </w:t>
      </w:r>
      <w:r w:rsidRPr="0041053F">
        <w:rPr>
          <w:rFonts w:ascii="Narkisim" w:hAnsi="Narkisim"/>
          <w:sz w:val="20"/>
          <w:szCs w:val="20"/>
          <w:rtl/>
        </w:rPr>
        <w:t>[ומדברי ה</w:t>
      </w:r>
      <w:r w:rsidRPr="0041053F">
        <w:rPr>
          <w:rFonts w:ascii="Narkisim" w:hAnsi="Narkisim"/>
          <w:b/>
          <w:bCs/>
          <w:sz w:val="20"/>
          <w:szCs w:val="20"/>
          <w:rtl/>
        </w:rPr>
        <w:t>רא"ש</w:t>
      </w:r>
      <w:r w:rsidRPr="0041053F">
        <w:rPr>
          <w:rFonts w:ascii="Narkisim" w:hAnsi="Narkisim"/>
          <w:sz w:val="20"/>
          <w:szCs w:val="20"/>
          <w:rtl/>
        </w:rPr>
        <w:t xml:space="preserve"> מבואר דמהני כת"י בקידושין. וע"ע רמ"א ופוסקים לב ד</w:t>
      </w:r>
      <w:r w:rsidRPr="0041053F">
        <w:rPr>
          <w:rStyle w:val="ac"/>
          <w:rFonts w:ascii="Narkisim" w:hAnsi="Narkisim"/>
          <w:sz w:val="20"/>
          <w:szCs w:val="20"/>
          <w:rtl/>
        </w:rPr>
        <w:footnoteReference w:id="1941"/>
      </w:r>
      <w:r w:rsidRPr="0041053F">
        <w:rPr>
          <w:rFonts w:ascii="Narkisim" w:hAnsi="Narkisim"/>
          <w:sz w:val="20"/>
          <w:szCs w:val="20"/>
          <w:rtl/>
        </w:rPr>
        <w:t>].</w:t>
      </w:r>
    </w:p>
    <w:p w14:paraId="641DD110" w14:textId="77777777" w:rsidR="006074A5" w:rsidRPr="0041053F" w:rsidRDefault="006074A5" w:rsidP="006074A5">
      <w:pPr>
        <w:pStyle w:val="aa"/>
        <w:bidi/>
        <w:rPr>
          <w:rFonts w:ascii="Narkisim" w:hAnsi="Narkisim"/>
        </w:rPr>
      </w:pPr>
      <w:r w:rsidRPr="0041053F">
        <w:rPr>
          <w:rFonts w:ascii="Narkisim" w:hAnsi="Narkisim"/>
          <w:u w:val="single"/>
          <w:rtl/>
        </w:rPr>
        <w:t>ומפני מה תקנו לא תקנו זמן בקידושין.</w:t>
      </w:r>
      <w:r w:rsidRPr="0041053F">
        <w:rPr>
          <w:rFonts w:ascii="Narkisim" w:hAnsi="Narkisim"/>
          <w:rtl/>
        </w:rPr>
        <w:t xml:space="preserve"> ובגמ' (גיטין יז., והו' בסמוך) מבואר דאף זמן בגט הוה תקנ"ח. למ"ד משום בת אחותו ולמ"ד משום פירי. וה</w:t>
      </w:r>
      <w:r w:rsidRPr="0041053F">
        <w:rPr>
          <w:rFonts w:ascii="Narkisim" w:hAnsi="Narkisim"/>
          <w:b/>
          <w:bCs/>
          <w:rtl/>
        </w:rPr>
        <w:t>נמוק"י</w:t>
      </w:r>
      <w:r w:rsidRPr="0041053F">
        <w:rPr>
          <w:rFonts w:ascii="Narkisim" w:hAnsi="Narkisim"/>
          <w:rtl/>
        </w:rPr>
        <w:t xml:space="preserve"> (סנהדרין לב. י: בדה"ר) הק' דאיצטריך זמן משום דרישות וחקירות [וכשאר עדות]. והנמוק"י תי' דחכמים ביטלו דרישות וחקירות בדיני ממונות. ובכלל זה אף בגט וקידושין, דשכיחי טובא. ויש כח ביד חכמים לעקור, ואפקעינהו חכמים לקידושין</w:t>
      </w:r>
      <w:r w:rsidRPr="0041053F">
        <w:rPr>
          <w:rStyle w:val="ac"/>
          <w:rFonts w:ascii="Narkisim" w:hAnsi="Narkisim"/>
          <w:rtl/>
        </w:rPr>
        <w:footnoteReference w:id="1942"/>
      </w:r>
      <w:r w:rsidRPr="0041053F">
        <w:rPr>
          <w:rFonts w:ascii="Narkisim" w:hAnsi="Narkisim"/>
          <w:rtl/>
        </w:rPr>
        <w:t>.</w:t>
      </w:r>
    </w:p>
    <w:p w14:paraId="66EA30EC"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(לקמן קכב:) הביא בשם </w:t>
      </w:r>
      <w:r w:rsidRPr="0041053F">
        <w:rPr>
          <w:rFonts w:ascii="Narkisim" w:hAnsi="Narkisim"/>
          <w:b/>
          <w:bCs/>
          <w:rtl/>
        </w:rPr>
        <w:t>רבו</w:t>
      </w:r>
      <w:r w:rsidRPr="0041053F">
        <w:rPr>
          <w:rFonts w:ascii="Narkisim" w:hAnsi="Narkisim"/>
          <w:rtl/>
        </w:rPr>
        <w:t xml:space="preserve"> בשם </w:t>
      </w:r>
      <w:r w:rsidRPr="0041053F">
        <w:rPr>
          <w:rFonts w:ascii="Narkisim" w:hAnsi="Narkisim"/>
          <w:b/>
          <w:bCs/>
          <w:rtl/>
        </w:rPr>
        <w:t>ר' פנחס</w:t>
      </w:r>
      <w:r w:rsidRPr="0041053F">
        <w:rPr>
          <w:rFonts w:ascii="Narkisim" w:hAnsi="Narkisim"/>
          <w:rtl/>
        </w:rPr>
        <w:t xml:space="preserve"> דגיטין וקידושין לא בעי דרישה וחקירה מן התורה</w:t>
      </w:r>
      <w:r w:rsidRPr="0041053F">
        <w:rPr>
          <w:rStyle w:val="ac"/>
          <w:rFonts w:ascii="Narkisim" w:hAnsi="Narkisim"/>
          <w:rtl/>
        </w:rPr>
        <w:footnoteReference w:id="1943"/>
      </w:r>
      <w:r w:rsidRPr="0041053F">
        <w:rPr>
          <w:rFonts w:ascii="Narkisim" w:hAnsi="Narkisim"/>
          <w:rtl/>
        </w:rPr>
        <w:t>. דלא הוקשו דבר דבר לממון אלא לענין הא דבעי ב', אבל לא בעינן דרישה וחקירה</w:t>
      </w:r>
      <w:r w:rsidRPr="0041053F">
        <w:rPr>
          <w:rStyle w:val="ac"/>
          <w:rFonts w:ascii="Narkisim" w:hAnsi="Narkisim"/>
          <w:rtl/>
        </w:rPr>
        <w:footnoteReference w:id="1944"/>
      </w:r>
      <w:r w:rsidRPr="0041053F">
        <w:rPr>
          <w:rFonts w:ascii="Narkisim" w:hAnsi="Narkisim"/>
          <w:rtl/>
        </w:rPr>
        <w:t>.</w:t>
      </w:r>
    </w:p>
    <w:p w14:paraId="4163ACF8" w14:textId="77777777" w:rsidR="006074A5" w:rsidRPr="0041053F" w:rsidRDefault="006074A5" w:rsidP="006074A5">
      <w:pPr>
        <w:pStyle w:val="a8"/>
        <w:bidi/>
        <w:rPr>
          <w:rFonts w:ascii="Narkisim" w:hAnsi="Narkisim"/>
        </w:rPr>
      </w:pPr>
      <w:r w:rsidRPr="0041053F">
        <w:rPr>
          <w:rFonts w:ascii="Narkisim" w:hAnsi="Narkisim"/>
          <w:rtl/>
        </w:rPr>
        <w:t xml:space="preserve">וכמה </w:t>
      </w:r>
      <w:r w:rsidRPr="0041053F">
        <w:rPr>
          <w:rFonts w:ascii="Narkisim" w:hAnsi="Narkisim"/>
          <w:b/>
          <w:bCs/>
          <w:rtl/>
        </w:rPr>
        <w:t>אחרונים</w:t>
      </w:r>
      <w:r w:rsidRPr="0041053F">
        <w:rPr>
          <w:rFonts w:ascii="Narkisim" w:hAnsi="Narkisim"/>
          <w:rtl/>
        </w:rPr>
        <w:t xml:space="preserve"> (בית מאיר קכז, ע"ע נתיבות כח ז) </w:t>
      </w:r>
      <w:r w:rsidRPr="0041053F">
        <w:rPr>
          <w:rFonts w:ascii="Narkisim" w:hAnsi="Narkisim"/>
          <w:rtl/>
        </w:rPr>
        <w:tab/>
        <w:t>תי' דגט עיקרו לקנין, ומש"ה ל"צ דרישות וחקירות. ודוקא שטר בתורת ראיה צריך. וע' קצות (ל ב). וע"ע גר"ח (עדות ג).</w:t>
      </w:r>
    </w:p>
    <w:p w14:paraId="27EF7AC4" w14:textId="77777777" w:rsidR="006074A5" w:rsidRPr="0041053F" w:rsidRDefault="006074A5" w:rsidP="006074A5">
      <w:pPr>
        <w:pStyle w:val="aa"/>
        <w:bidi/>
        <w:rPr>
          <w:rFonts w:ascii="Narkisim" w:hAnsi="Narkisim"/>
        </w:rPr>
      </w:pPr>
      <w:r w:rsidRPr="0041053F">
        <w:rPr>
          <w:rFonts w:ascii="Narkisim" w:hAnsi="Narkisim"/>
          <w:u w:val="single"/>
          <w:rtl/>
        </w:rPr>
        <w:t>תוד"ה והא.</w:t>
      </w:r>
      <w:r w:rsidRPr="0041053F">
        <w:rPr>
          <w:rFonts w:ascii="Narkisim" w:hAnsi="Narkisim"/>
          <w:rtl/>
        </w:rPr>
        <w:t xml:space="preserve"> פ"ה שטר קניית עבד, וקשה לר"י וכו' דהו"מ למינקט שטר מכירת קרקע וכו' ועוד דהתם לא </w:t>
      </w:r>
      <w:r w:rsidRPr="0041053F">
        <w:rPr>
          <w:rFonts w:ascii="Narkisim" w:hAnsi="Narkisim"/>
          <w:rtl/>
        </w:rPr>
        <w:lastRenderedPageBreak/>
        <w:t>תקון רבנן זמן וכו'. ועוה"ק ה</w:t>
      </w:r>
      <w:r w:rsidRPr="0041053F">
        <w:rPr>
          <w:rFonts w:ascii="Narkisim" w:hAnsi="Narkisim"/>
          <w:b/>
          <w:bCs/>
          <w:rtl/>
        </w:rPr>
        <w:t>רמב"ן</w:t>
      </w:r>
      <w:r w:rsidRPr="0041053F">
        <w:rPr>
          <w:rFonts w:ascii="Narkisim" w:hAnsi="Narkisim"/>
          <w:rtl/>
        </w:rPr>
        <w:t xml:space="preserve"> האיך יתקנו זמן. וכי נימא דהמוכר עבד בשטר בלא זמן, שהשטר פסול</w:t>
      </w:r>
      <w:r w:rsidRPr="0041053F">
        <w:rPr>
          <w:rStyle w:val="ac"/>
          <w:rFonts w:ascii="Narkisim" w:hAnsi="Narkisim"/>
          <w:rtl/>
        </w:rPr>
        <w:footnoteReference w:id="1945"/>
      </w:r>
      <w:r w:rsidRPr="0041053F">
        <w:rPr>
          <w:rFonts w:ascii="Narkisim" w:hAnsi="Narkisim"/>
          <w:rtl/>
        </w:rPr>
        <w:t>. ועוה"ק דקונה את העבד מדיהבי זוזי, וכתבי שטרא לראיה בעלמא.</w:t>
      </w:r>
    </w:p>
    <w:p w14:paraId="29456E6C" w14:textId="77777777" w:rsidR="006074A5" w:rsidRPr="0041053F" w:rsidRDefault="006074A5" w:rsidP="006074A5">
      <w:pPr>
        <w:pStyle w:val="aa"/>
        <w:bidi/>
        <w:rPr>
          <w:rFonts w:ascii="Narkisim" w:hAnsi="Narkisim"/>
        </w:rPr>
      </w:pPr>
      <w:r w:rsidRPr="0041053F">
        <w:rPr>
          <w:rFonts w:ascii="Narkisim" w:hAnsi="Narkisim"/>
          <w:u w:val="single"/>
          <w:rtl/>
        </w:rPr>
        <w:t>בא"ד ונראה דאשטר שחרור קאי, דתקון זמן לידע מתי נאסר בשפחה והותר בבת ישראל</w:t>
      </w:r>
      <w:r w:rsidRPr="0041053F">
        <w:rPr>
          <w:rFonts w:ascii="Narkisim" w:hAnsi="Narkisim"/>
          <w:rtl/>
        </w:rPr>
        <w:t>. וה</w:t>
      </w:r>
      <w:r w:rsidRPr="0041053F">
        <w:rPr>
          <w:rFonts w:ascii="Narkisim" w:hAnsi="Narkisim"/>
          <w:b/>
          <w:bCs/>
          <w:rtl/>
        </w:rPr>
        <w:t xml:space="preserve">רמב"ן </w:t>
      </w:r>
      <w:r w:rsidRPr="0041053F">
        <w:rPr>
          <w:rFonts w:ascii="Narkisim" w:hAnsi="Narkisim"/>
          <w:rtl/>
        </w:rPr>
        <w:t>[ושא"ר] הוסיף דמחפה על הבנים [שלא יפסלו לכהונה, וע"ל מה]. ו</w:t>
      </w:r>
      <w:r w:rsidRPr="0041053F">
        <w:rPr>
          <w:rFonts w:ascii="Narkisim" w:hAnsi="Narkisim"/>
          <w:b/>
          <w:bCs/>
          <w:rtl/>
        </w:rPr>
        <w:t>תוס'</w:t>
      </w:r>
      <w:r w:rsidRPr="0041053F">
        <w:rPr>
          <w:rFonts w:ascii="Narkisim" w:hAnsi="Narkisim"/>
          <w:rtl/>
        </w:rPr>
        <w:t xml:space="preserve"> (גיטין יז. ד"ה מפני) כת' דבשחרור תקנו זמן שמא ימכור העבד, ואח"כ ישחרר. והעבד מוחזק בעצמו.</w:t>
      </w:r>
    </w:p>
    <w:p w14:paraId="67A9E811" w14:textId="77777777" w:rsidR="006074A5" w:rsidRPr="0041053F" w:rsidRDefault="006074A5" w:rsidP="006074A5">
      <w:pPr>
        <w:pStyle w:val="2"/>
        <w:bidi/>
        <w:rPr>
          <w:rFonts w:ascii="Narkisim" w:hAnsi="Narkisim"/>
        </w:rPr>
      </w:pPr>
      <w:r w:rsidRPr="0041053F">
        <w:rPr>
          <w:rFonts w:ascii="Narkisim" w:hAnsi="Narkisim"/>
          <w:rtl/>
        </w:rPr>
        <w:t>חזו מכתבא</w:t>
      </w:r>
    </w:p>
    <w:p w14:paraId="7C38D546" w14:textId="77777777" w:rsidR="006074A5" w:rsidRPr="0041053F" w:rsidRDefault="006074A5" w:rsidP="006074A5">
      <w:pPr>
        <w:bidi/>
        <w:rPr>
          <w:rFonts w:ascii="Narkisim" w:hAnsi="Narkisim" w:cs="Narkisim"/>
        </w:rPr>
      </w:pPr>
      <w:r w:rsidRPr="0041053F">
        <w:rPr>
          <w:rFonts w:ascii="Narkisim" w:hAnsi="Narkisim" w:cs="Narkisim"/>
          <w:u w:val="single"/>
          <w:rtl/>
        </w:rPr>
        <w:t>זימנין דחזו מכתבא וכו' ורחמנא אמר מפיהם ולא מפי כתבם.</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והאי לאו עדות הוא דרחמנא אמר, ולא שיעידו מפי כתבם. משמע דנתמעט דל"מ שמעידים ע"פ מה שנזכרים מתוך הכתב.</w:t>
      </w:r>
      <w:r w:rsidRPr="0041053F">
        <w:rPr>
          <w:rFonts w:ascii="Narkisim" w:hAnsi="Narkisim" w:cs="Narkisim"/>
          <w:szCs w:val="20"/>
          <w:rtl/>
        </w:rPr>
        <w:t xml:space="preserve"> [וע' בסוגיא כתובות כ. וב"ב קסח:</w:t>
      </w:r>
      <w:r w:rsidRPr="0041053F">
        <w:rPr>
          <w:rFonts w:ascii="Narkisim" w:hAnsi="Narkisim" w:cs="Narkisim"/>
          <w:rtl/>
        </w:rPr>
        <w:t>].</w:t>
      </w:r>
    </w:p>
    <w:p w14:paraId="2B5ADD5C"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(סוד"ה דחזו) הביאו הא דדרשי' (גיטין עא.) מפיהם, דלא מהני עדות בכתב. ומשמע דשייך לסוגיין. אבל הריטב"א כת' דשמעינן ב' דרשות מחד קרא, דדרשי' דל"מ שנזכרים ע"י הכתב. ול"מ הכתב מצד עצמו.</w:t>
      </w:r>
    </w:p>
    <w:p w14:paraId="57EAE0DF" w14:textId="77777777" w:rsidR="006074A5" w:rsidRPr="0041053F" w:rsidRDefault="006074A5" w:rsidP="006074A5">
      <w:pPr>
        <w:pStyle w:val="a8"/>
        <w:bidi/>
        <w:rPr>
          <w:rFonts w:ascii="Narkisim" w:hAnsi="Narkisim"/>
        </w:rPr>
      </w:pPr>
      <w:r w:rsidRPr="0041053F">
        <w:rPr>
          <w:rFonts w:ascii="Narkisim" w:hAnsi="Narkisim"/>
          <w:rtl/>
        </w:rPr>
        <w:t>וצ"ב הא דתוס' דימו דין מפי כתבם לסוגיין. וה</w:t>
      </w:r>
      <w:r w:rsidRPr="0041053F">
        <w:rPr>
          <w:rFonts w:ascii="Narkisim" w:hAnsi="Narkisim"/>
          <w:b/>
          <w:bCs/>
          <w:rtl/>
        </w:rPr>
        <w:t>אחרונים</w:t>
      </w:r>
      <w:r w:rsidRPr="0041053F">
        <w:rPr>
          <w:rFonts w:ascii="Narkisim" w:hAnsi="Narkisim"/>
          <w:rtl/>
        </w:rPr>
        <w:t xml:space="preserve"> (ע' גר"ח עדות ג, ברכ"ש טו, שער"י ז כג) כתבו דאלו מהני עדות בכתב היה מהני שמעידים שראו את הכתוב, ועי"ז מביאים את העדות לבי"ד. ואין בזה חסרון עד מפי עד, דעדות עצמן הוא.</w:t>
      </w:r>
    </w:p>
    <w:p w14:paraId="68C1ABAB" w14:textId="77777777" w:rsidR="006074A5" w:rsidRPr="0041053F" w:rsidRDefault="006074A5" w:rsidP="006074A5">
      <w:pPr>
        <w:bidi/>
        <w:rPr>
          <w:rFonts w:ascii="Narkisim" w:hAnsi="Narkisim" w:cs="Narkisim"/>
        </w:rPr>
      </w:pPr>
      <w:r w:rsidRPr="0041053F">
        <w:rPr>
          <w:rFonts w:ascii="Narkisim" w:hAnsi="Narkisim" w:cs="Narkisim"/>
          <w:u w:val="single"/>
          <w:rtl/>
        </w:rPr>
        <w:t>שם. ודחזו מכתבא, ורחמנא אמר מפיהם ולא מפי כתבם</w:t>
      </w:r>
      <w:r w:rsidRPr="0041053F">
        <w:rPr>
          <w:rFonts w:ascii="Narkisim" w:hAnsi="Narkisim" w:cs="Narkisim"/>
          <w:rtl/>
        </w:rPr>
        <w:t>. ה</w:t>
      </w:r>
      <w:r w:rsidRPr="0041053F">
        <w:rPr>
          <w:rFonts w:ascii="Narkisim" w:hAnsi="Narkisim" w:cs="Narkisim"/>
          <w:b/>
          <w:bCs/>
          <w:rtl/>
        </w:rPr>
        <w:t>רי"ף</w:t>
      </w:r>
      <w:r w:rsidRPr="0041053F">
        <w:rPr>
          <w:rFonts w:ascii="Narkisim" w:hAnsi="Narkisim" w:cs="Narkisim"/>
          <w:rtl/>
        </w:rPr>
        <w:t xml:space="preserve"> ו</w:t>
      </w:r>
      <w:r w:rsidRPr="0041053F">
        <w:rPr>
          <w:rFonts w:ascii="Narkisim" w:hAnsi="Narkisim" w:cs="Narkisim"/>
          <w:b/>
          <w:bCs/>
          <w:rtl/>
        </w:rPr>
        <w:t>תוס</w:t>
      </w:r>
      <w:r w:rsidRPr="0041053F">
        <w:rPr>
          <w:rFonts w:ascii="Narkisim" w:hAnsi="Narkisim" w:cs="Narkisim"/>
          <w:rtl/>
        </w:rPr>
        <w:t>' ו</w:t>
      </w:r>
      <w:r w:rsidRPr="0041053F">
        <w:rPr>
          <w:rFonts w:ascii="Narkisim" w:hAnsi="Narkisim" w:cs="Narkisim"/>
          <w:b/>
          <w:bCs/>
          <w:rtl/>
        </w:rPr>
        <w:t>שא"ר</w:t>
      </w:r>
      <w:r w:rsidRPr="0041053F">
        <w:rPr>
          <w:rFonts w:ascii="Narkisim" w:hAnsi="Narkisim" w:cs="Narkisim"/>
          <w:rtl/>
        </w:rPr>
        <w:t xml:space="preserve"> הק' דקי"ל דמהני עדות בשטר. ואין בזה חסרון 'מפי כתבם'</w:t>
      </w:r>
      <w:r w:rsidRPr="0041053F">
        <w:rPr>
          <w:rStyle w:val="ac"/>
          <w:rFonts w:ascii="Narkisim" w:hAnsi="Narkisim" w:cs="Narkisim"/>
          <w:rtl/>
        </w:rPr>
        <w:footnoteReference w:id="1946"/>
      </w:r>
      <w:r w:rsidRPr="0041053F">
        <w:rPr>
          <w:rFonts w:ascii="Narkisim" w:hAnsi="Narkisim" w:cs="Narkisim"/>
          <w:rtl/>
        </w:rPr>
        <w:t>.</w:t>
      </w:r>
    </w:p>
    <w:p w14:paraId="68E3A519"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 xml:space="preserve">תוס' </w:t>
      </w:r>
      <w:r w:rsidRPr="0041053F">
        <w:rPr>
          <w:rFonts w:ascii="Narkisim" w:hAnsi="Narkisim"/>
          <w:rtl/>
        </w:rPr>
        <w:t xml:space="preserve">(ד"ה דחזו) תי' דאה"נ רשאין להעיד שראו את הכתב כך. אלא חיישינן שמא יעידו על עיקר המעשה. </w:t>
      </w:r>
      <w:r w:rsidRPr="0041053F">
        <w:rPr>
          <w:rFonts w:ascii="Narkisim" w:hAnsi="Narkisim"/>
          <w:szCs w:val="20"/>
          <w:rtl/>
        </w:rPr>
        <w:t>וה</w:t>
      </w:r>
      <w:r w:rsidRPr="0041053F">
        <w:rPr>
          <w:rFonts w:ascii="Narkisim" w:hAnsi="Narkisim"/>
          <w:b/>
          <w:bCs/>
          <w:szCs w:val="20"/>
          <w:rtl/>
        </w:rPr>
        <w:t xml:space="preserve">אחרונים </w:t>
      </w:r>
      <w:r w:rsidRPr="0041053F">
        <w:rPr>
          <w:rFonts w:ascii="Narkisim" w:hAnsi="Narkisim"/>
          <w:szCs w:val="20"/>
          <w:rtl/>
        </w:rPr>
        <w:t>הקשו א"כ החשש דהוה עדות שקר, ולא חסרון מפי כתבם. ועוד לפ"ז בכל שטר נמי, אם הוא מונח אצל העד יש לחוש שעי"ז יזכר ויעיד על המעשה. (וע' ברכ"ש ושער"י הנ"ל)</w:t>
      </w:r>
      <w:r w:rsidRPr="0041053F">
        <w:rPr>
          <w:rFonts w:ascii="Narkisim" w:hAnsi="Narkisim"/>
          <w:rtl/>
        </w:rPr>
        <w:t>.</w:t>
      </w:r>
    </w:p>
    <w:p w14:paraId="00419218" w14:textId="77777777" w:rsidR="006074A5" w:rsidRPr="0041053F" w:rsidRDefault="006074A5" w:rsidP="006074A5">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(גיטין ד. ד"ה מודה) הביא מסוגיין דאע"פ שהדבר אמת אין לעשות אלא בעדות כשירה. דאפי' דאין חשש שיצא פסק שקר, מ"מ תקנו שלא יבא תקלה, שיקבלו עדות שלא כדין.</w:t>
      </w:r>
    </w:p>
    <w:p w14:paraId="6E8E464F"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בעה"מ</w:t>
      </w:r>
      <w:r w:rsidRPr="0041053F">
        <w:rPr>
          <w:rFonts w:ascii="Narkisim" w:hAnsi="Narkisim" w:cs="Narkisim"/>
          <w:rtl/>
        </w:rPr>
        <w:t xml:space="preserve"> תי' דבכל השטרות אין חסרון 'מפי כתבם', דכיון שהבע"ד צווה לכתוב מדעתו, נחשב 'כתבו שלו' ולא כתב העדים</w:t>
      </w:r>
      <w:r w:rsidRPr="0041053F">
        <w:rPr>
          <w:rStyle w:val="ac"/>
          <w:rFonts w:ascii="Narkisim" w:hAnsi="Narkisim" w:cs="Narkisim"/>
          <w:rtl/>
        </w:rPr>
        <w:footnoteReference w:id="1947"/>
      </w:r>
      <w:r w:rsidRPr="0041053F">
        <w:rPr>
          <w:rFonts w:ascii="Narkisim" w:hAnsi="Narkisim" w:cs="Narkisim"/>
          <w:rtl/>
        </w:rPr>
        <w:t xml:space="preserve">. ודוקא בסוגיין דהעדים כתבו שטר מנפשייהו [דלא אמר להם כתובו], והוה מפי כתבם. </w:t>
      </w:r>
      <w:r w:rsidRPr="0041053F">
        <w:rPr>
          <w:rFonts w:ascii="Narkisim" w:hAnsi="Narkisim" w:cs="Narkisim"/>
          <w:szCs w:val="20"/>
          <w:rtl/>
        </w:rPr>
        <w:t>וה</w:t>
      </w:r>
      <w:r w:rsidRPr="0041053F">
        <w:rPr>
          <w:rFonts w:ascii="Narkisim" w:hAnsi="Narkisim" w:cs="Narkisim"/>
          <w:b/>
          <w:bCs/>
          <w:szCs w:val="20"/>
          <w:rtl/>
        </w:rPr>
        <w:t>ראב"ד</w:t>
      </w:r>
      <w:r w:rsidRPr="0041053F">
        <w:rPr>
          <w:rFonts w:ascii="Narkisim" w:hAnsi="Narkisim" w:cs="Narkisim"/>
          <w:szCs w:val="20"/>
          <w:rtl/>
        </w:rPr>
        <w:t xml:space="preserve"> ו</w:t>
      </w:r>
      <w:r w:rsidRPr="0041053F">
        <w:rPr>
          <w:rFonts w:ascii="Narkisim" w:hAnsi="Narkisim" w:cs="Narkisim"/>
          <w:b/>
          <w:bCs/>
          <w:szCs w:val="20"/>
          <w:rtl/>
        </w:rPr>
        <w:t>מלחמות</w:t>
      </w:r>
      <w:r w:rsidRPr="0041053F">
        <w:rPr>
          <w:rFonts w:ascii="Narkisim" w:hAnsi="Narkisim" w:cs="Narkisim"/>
          <w:szCs w:val="20"/>
          <w:rtl/>
        </w:rPr>
        <w:t xml:space="preserve"> הק' דהו"ל לתקן שיאמר הבעל לעדים לכתוב זמן, ויכתב במצוותם והוה מדעת המתחייב</w:t>
      </w:r>
      <w:r w:rsidRPr="0041053F">
        <w:rPr>
          <w:rStyle w:val="ac"/>
          <w:rFonts w:ascii="Narkisim" w:hAnsi="Narkisim" w:cs="Narkisim"/>
          <w:szCs w:val="20"/>
          <w:rtl/>
        </w:rPr>
        <w:footnoteReference w:id="1948"/>
      </w:r>
      <w:r w:rsidRPr="0041053F">
        <w:rPr>
          <w:rFonts w:ascii="Narkisim" w:hAnsi="Narkisim" w:cs="Narkisim"/>
          <w:rtl/>
        </w:rPr>
        <w:t>.</w:t>
      </w:r>
    </w:p>
    <w:p w14:paraId="632C2941"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רי"ף</w:t>
      </w:r>
      <w:r w:rsidRPr="0041053F">
        <w:rPr>
          <w:rFonts w:ascii="Narkisim" w:hAnsi="Narkisim" w:cs="Narkisim"/>
          <w:rtl/>
        </w:rPr>
        <w:t xml:space="preserve"> תי' דבסוגיין איירי בעדות שבכתב היוצא מתחת יד העדים, דכיון דהשטר עדיין תחת ידי העדים</w:t>
      </w:r>
      <w:r w:rsidRPr="0041053F">
        <w:rPr>
          <w:rStyle w:val="ac"/>
          <w:rFonts w:ascii="Narkisim" w:hAnsi="Narkisim" w:cs="Narkisim"/>
          <w:rtl/>
        </w:rPr>
        <w:footnoteReference w:id="1949"/>
      </w:r>
      <w:r w:rsidRPr="0041053F">
        <w:rPr>
          <w:rFonts w:ascii="Narkisim" w:hAnsi="Narkisim" w:cs="Narkisim"/>
          <w:rtl/>
        </w:rPr>
        <w:t>, נחשב דלא העידו עדיין. [והוה עדות בכתב, ודרשינן ולא מפי כתבם</w:t>
      </w:r>
      <w:r w:rsidRPr="0041053F">
        <w:rPr>
          <w:rStyle w:val="ac"/>
          <w:rFonts w:ascii="Narkisim" w:hAnsi="Narkisim" w:cs="Narkisim"/>
          <w:rtl/>
        </w:rPr>
        <w:footnoteReference w:id="1950"/>
      </w:r>
      <w:r w:rsidRPr="0041053F">
        <w:rPr>
          <w:rFonts w:ascii="Narkisim" w:hAnsi="Narkisim" w:cs="Narkisim"/>
          <w:rtl/>
        </w:rPr>
        <w:t>]. ודוקא שטר היוצא מתחת ידי הבעל דבר, משעה שחתמו ומסרו לבעלים [ואינם יכולים לחזור בהם], נעשה כמי שנחקרה עדות בבי"ד. הילכך קרינן ביה מפיהם. והרי"ף הוסיף דמש"ה סמכינן על שטר, ולא איכפ"ל האם העדים שכחו עדותם.</w:t>
      </w:r>
    </w:p>
    <w:p w14:paraId="303781B3"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ראב"ד</w:t>
      </w:r>
      <w:r w:rsidRPr="0041053F">
        <w:rPr>
          <w:rFonts w:ascii="Narkisim" w:hAnsi="Narkisim"/>
          <w:rtl/>
        </w:rPr>
        <w:t xml:space="preserve"> (לרי"ף) הק' א"כ עדים שחתמו על שטר ושכחו עדותם עד שמסרו לבעליו לא יחשב עדות. וה</w:t>
      </w:r>
      <w:r w:rsidRPr="0041053F">
        <w:rPr>
          <w:rFonts w:ascii="Narkisim" w:hAnsi="Narkisim"/>
          <w:b/>
          <w:bCs/>
          <w:rtl/>
        </w:rPr>
        <w:t xml:space="preserve">ראב"ד </w:t>
      </w:r>
      <w:r w:rsidRPr="0041053F">
        <w:rPr>
          <w:rFonts w:ascii="Narkisim" w:hAnsi="Narkisim"/>
          <w:rtl/>
        </w:rPr>
        <w:t>כתב דשאני הכא דעיקר השטר אינו ראוי למסור, משום תקנת דילמא מחקי. ומש"ה שטר זו הוה כעדות ע"פ.</w:t>
      </w:r>
    </w:p>
    <w:p w14:paraId="5C7776C2"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(ס' הזכות) הק' עוד דבשטר קידושין נמסר לאשה [או לשליח לקבלה], ויצאה מתחת ידיהם. אלא שחזרו ומסור להם, וכעין שליש. ועוד דבכל השטרות שיוצא מתחת ידי העדים ודאי מהני, שהניחו הבעלים פקדון ביד עדים, וידם כיד בעלים.</w:t>
      </w:r>
    </w:p>
    <w:p w14:paraId="6E13DC4C" w14:textId="77777777" w:rsidR="006074A5" w:rsidRPr="0041053F" w:rsidRDefault="006074A5" w:rsidP="006074A5">
      <w:pPr>
        <w:pStyle w:val="a7"/>
        <w:bidi/>
        <w:rPr>
          <w:rFonts w:ascii="Narkisim" w:hAnsi="Narkisim"/>
        </w:rPr>
      </w:pPr>
      <w:r w:rsidRPr="0041053F">
        <w:rPr>
          <w:rFonts w:ascii="Narkisim" w:hAnsi="Narkisim"/>
          <w:rtl/>
        </w:rPr>
        <w:lastRenderedPageBreak/>
        <w:t>והרמב"ן ביאר דאף ה</w:t>
      </w:r>
      <w:r w:rsidRPr="0041053F">
        <w:rPr>
          <w:rFonts w:ascii="Narkisim" w:hAnsi="Narkisim"/>
          <w:b/>
          <w:bCs/>
          <w:rtl/>
        </w:rPr>
        <w:t>רי"ף</w:t>
      </w:r>
      <w:r w:rsidRPr="0041053F">
        <w:rPr>
          <w:rFonts w:ascii="Narkisim" w:hAnsi="Narkisim"/>
          <w:rtl/>
        </w:rPr>
        <w:t xml:space="preserve"> נתכוון דהכא שטר קידושין אינו ראוי להיות מונח ביד עדים</w:t>
      </w:r>
      <w:r w:rsidRPr="0041053F">
        <w:rPr>
          <w:rStyle w:val="ac"/>
          <w:rFonts w:ascii="Narkisim" w:hAnsi="Narkisim"/>
          <w:rtl/>
        </w:rPr>
        <w:footnoteReference w:id="1951"/>
      </w:r>
      <w:r w:rsidRPr="0041053F">
        <w:rPr>
          <w:rFonts w:ascii="Narkisim" w:hAnsi="Narkisim"/>
          <w:rtl/>
        </w:rPr>
        <w:t xml:space="preserve">. ומש"ה הוה כעין פנקס בעלמא. ולא דמי לשטר בעלמא, דעומד למסירה. </w:t>
      </w:r>
      <w:r w:rsidRPr="0041053F">
        <w:rPr>
          <w:rFonts w:ascii="Narkisim" w:hAnsi="Narkisim"/>
          <w:szCs w:val="20"/>
          <w:rtl/>
        </w:rPr>
        <w:t>והנמוק"י הוסיף דשטר קידושין הוה שטר קנין להתקדש בו, אבל אינו שטר ראיה</w:t>
      </w:r>
      <w:r w:rsidRPr="0041053F">
        <w:rPr>
          <w:rStyle w:val="ac"/>
          <w:rFonts w:ascii="Narkisim" w:hAnsi="Narkisim"/>
          <w:szCs w:val="20"/>
          <w:rtl/>
        </w:rPr>
        <w:footnoteReference w:id="1952"/>
      </w:r>
      <w:r w:rsidRPr="0041053F">
        <w:rPr>
          <w:rFonts w:ascii="Narkisim" w:hAnsi="Narkisim"/>
          <w:rtl/>
        </w:rPr>
        <w:t>.</w:t>
      </w:r>
    </w:p>
    <w:p w14:paraId="0AF73810"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נתיבות</w:t>
      </w:r>
      <w:r w:rsidRPr="0041053F">
        <w:rPr>
          <w:rFonts w:ascii="Narkisim" w:hAnsi="Narkisim" w:cs="Narkisim"/>
          <w:rtl/>
        </w:rPr>
        <w:t xml:space="preserve"> (מו יט) כת' דכוונת הרי"ף דאין הגדה בשטר נחשב הגדה אא"כ מי שרואהו יודע שהלוה וכו', אבל כשמונח ביד עדים הרואה את השטר אינו יודע שנתקדשה. </w:t>
      </w:r>
      <w:r w:rsidRPr="0041053F">
        <w:rPr>
          <w:rFonts w:ascii="Narkisim" w:hAnsi="Narkisim" w:cs="Narkisim"/>
          <w:sz w:val="20"/>
          <w:szCs w:val="20"/>
          <w:rtl/>
        </w:rPr>
        <w:t>וביאר דהראב"ד ורמב"ן הקשו ע"ז דכיון דהיה ביד האשה, א"כ אף שחזר והפקידו בידו לא איכפת לן. וע"ז תי' דכיון דלא תקנו בזה ראיה אצל האשה, ממילא לא מהני אף ביד העדים.</w:t>
      </w:r>
    </w:p>
    <w:p w14:paraId="492E7961"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כת' דחיישינן דהעדים לא יוציאו את השטר, שיאמרו לא יהא חתם ידינו גדול מעדות פינו. א"נ יכתבו ולא יחתמו כלל, ויעידו אחרי זמן גדול ע"פ מה שכתוב.</w:t>
      </w:r>
    </w:p>
    <w:p w14:paraId="16F36797"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 xml:space="preserve">רמב"ן </w:t>
      </w:r>
      <w:r w:rsidRPr="0041053F">
        <w:rPr>
          <w:rFonts w:ascii="Narkisim" w:hAnsi="Narkisim"/>
          <w:rtl/>
        </w:rPr>
        <w:t xml:space="preserve">הביא </w:t>
      </w:r>
      <w:r w:rsidRPr="0041053F">
        <w:rPr>
          <w:rFonts w:ascii="Narkisim" w:hAnsi="Narkisim"/>
          <w:b/>
          <w:bCs/>
          <w:rtl/>
        </w:rPr>
        <w:t>י"מ</w:t>
      </w:r>
      <w:r w:rsidRPr="0041053F">
        <w:rPr>
          <w:rFonts w:ascii="Narkisim" w:hAnsi="Narkisim"/>
          <w:rtl/>
        </w:rPr>
        <w:t xml:space="preserve"> דל"מ הזמן בשטר קידושין, שהעדים אינם יודעים אם נתקדשה באותו יום</w:t>
      </w:r>
      <w:r w:rsidRPr="0041053F">
        <w:rPr>
          <w:rStyle w:val="ac"/>
          <w:rFonts w:ascii="Narkisim" w:hAnsi="Narkisim"/>
          <w:rtl/>
        </w:rPr>
        <w:footnoteReference w:id="1953"/>
      </w:r>
      <w:r w:rsidRPr="0041053F">
        <w:rPr>
          <w:rFonts w:ascii="Narkisim" w:hAnsi="Narkisim"/>
          <w:rtl/>
        </w:rPr>
        <w:t xml:space="preserve">. והרמב"ן חלק דאם תקנו זמן לא היו כותבים אא"כ יראו, והמוקדם פסול. </w:t>
      </w:r>
      <w:r w:rsidRPr="0041053F">
        <w:rPr>
          <w:rFonts w:ascii="Narkisim" w:hAnsi="Narkisim"/>
          <w:i/>
          <w:iCs/>
          <w:rtl/>
        </w:rPr>
        <w:t>ועוד</w:t>
      </w:r>
      <w:r w:rsidRPr="0041053F">
        <w:rPr>
          <w:rFonts w:ascii="Narkisim" w:hAnsi="Narkisim"/>
          <w:rtl/>
        </w:rPr>
        <w:t xml:space="preserve"> כתב הרמב"ן איכא למימר אין זה עושה מעשה שטר, אלא כתבו של א' מבעלי דבר הוא. שהרי אינו עושה שום מעשה וכו'.</w:t>
      </w:r>
    </w:p>
    <w:p w14:paraId="12D9CE2C" w14:textId="77777777" w:rsidR="006074A5" w:rsidRPr="0041053F" w:rsidRDefault="006074A5" w:rsidP="006074A5">
      <w:pPr>
        <w:pStyle w:val="a8"/>
        <w:bidi/>
        <w:rPr>
          <w:rFonts w:ascii="Narkisim" w:hAnsi="Narkisim"/>
        </w:rPr>
      </w:pPr>
      <w:r w:rsidRPr="0041053F">
        <w:rPr>
          <w:rFonts w:ascii="Narkisim" w:hAnsi="Narkisim"/>
          <w:rtl/>
        </w:rPr>
        <w:t>ודעת ה</w:t>
      </w:r>
      <w:r w:rsidRPr="0041053F">
        <w:rPr>
          <w:rFonts w:ascii="Narkisim" w:hAnsi="Narkisim"/>
          <w:b/>
          <w:bCs/>
          <w:rtl/>
        </w:rPr>
        <w:t>רמב"ם</w:t>
      </w:r>
      <w:r w:rsidRPr="0041053F">
        <w:rPr>
          <w:rFonts w:ascii="Narkisim" w:hAnsi="Narkisim"/>
          <w:rtl/>
        </w:rPr>
        <w:t xml:space="preserve"> (עדות ג ד) דכל שטר מהני מדברי סופרים. וה</w:t>
      </w:r>
      <w:r w:rsidRPr="0041053F">
        <w:rPr>
          <w:rFonts w:ascii="Narkisim" w:hAnsi="Narkisim"/>
          <w:b/>
          <w:bCs/>
          <w:rtl/>
        </w:rPr>
        <w:t>רמב"ן</w:t>
      </w:r>
      <w:r w:rsidRPr="0041053F">
        <w:rPr>
          <w:rFonts w:ascii="Narkisim" w:hAnsi="Narkisim"/>
          <w:rtl/>
        </w:rPr>
        <w:t xml:space="preserve"> (בסוגיין, ובסה"מ שורש ב) חלק. [ואכ"מ].</w:t>
      </w:r>
    </w:p>
    <w:p w14:paraId="48C717F2"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קצות</w:t>
      </w:r>
      <w:r w:rsidRPr="0041053F">
        <w:rPr>
          <w:rFonts w:ascii="Narkisim" w:hAnsi="Narkisim"/>
          <w:rtl/>
        </w:rPr>
        <w:t xml:space="preserve"> (כח ו) סידר ד' דעות בראשונים האיך מהני שטר, ואמאי אין בזה חסרון מפי כתבם. א' דעת ה</w:t>
      </w:r>
      <w:r w:rsidRPr="0041053F">
        <w:rPr>
          <w:rFonts w:ascii="Narkisim" w:hAnsi="Narkisim"/>
          <w:b/>
          <w:bCs/>
          <w:rtl/>
        </w:rPr>
        <w:t>בעה"מ</w:t>
      </w:r>
      <w:r w:rsidRPr="0041053F">
        <w:rPr>
          <w:rFonts w:ascii="Narkisim" w:hAnsi="Narkisim"/>
          <w:rtl/>
        </w:rPr>
        <w:t xml:space="preserve"> דהוה מפי כתבו. ב' דעת ה</w:t>
      </w:r>
      <w:r w:rsidRPr="0041053F">
        <w:rPr>
          <w:rFonts w:ascii="Narkisim" w:hAnsi="Narkisim"/>
          <w:b/>
          <w:bCs/>
          <w:rtl/>
        </w:rPr>
        <w:t>רמב"ן</w:t>
      </w:r>
      <w:r w:rsidRPr="0041053F">
        <w:rPr>
          <w:rFonts w:ascii="Narkisim" w:hAnsi="Narkisim"/>
          <w:rtl/>
        </w:rPr>
        <w:t xml:space="preserve"> (כתובות כ.) דהיכא שכתב בנוסח שטר אמרי' כמי שנחקרה עדותם בבי"ד. ג' דעת </w:t>
      </w:r>
      <w:r w:rsidRPr="0041053F">
        <w:rPr>
          <w:rFonts w:ascii="Narkisim" w:hAnsi="Narkisim"/>
          <w:b/>
          <w:bCs/>
          <w:rtl/>
        </w:rPr>
        <w:t>ר"ת</w:t>
      </w:r>
      <w:r w:rsidRPr="0041053F">
        <w:rPr>
          <w:rFonts w:ascii="Narkisim" w:hAnsi="Narkisim"/>
          <w:rtl/>
        </w:rPr>
        <w:t xml:space="preserve"> (תוס' כאן וב"ב מ) דמהני עדות בכתב, ודוקא אלם נתמעט, שאינו יכול להגיד. ד' דעת ה</w:t>
      </w:r>
      <w:r w:rsidRPr="0041053F">
        <w:rPr>
          <w:rFonts w:ascii="Narkisim" w:hAnsi="Narkisim"/>
          <w:b/>
          <w:bCs/>
          <w:rtl/>
        </w:rPr>
        <w:t>רמב"ם</w:t>
      </w:r>
      <w:r w:rsidRPr="0041053F">
        <w:rPr>
          <w:rFonts w:ascii="Narkisim" w:hAnsi="Narkisim"/>
          <w:rtl/>
        </w:rPr>
        <w:t xml:space="preserve"> (עדות ג ד) דשטרות הוה מדברי סופרים. ומדאורייתא ל"מ משום מפי כתבם.</w:t>
      </w:r>
    </w:p>
    <w:p w14:paraId="18EE6DF7" w14:textId="77777777" w:rsidR="006074A5" w:rsidRPr="0041053F" w:rsidRDefault="006074A5" w:rsidP="006074A5">
      <w:pPr>
        <w:pStyle w:val="aa"/>
        <w:bidi/>
        <w:rPr>
          <w:rFonts w:ascii="Narkisim" w:hAnsi="Narkisim"/>
        </w:rPr>
      </w:pPr>
      <w:r w:rsidRPr="0041053F">
        <w:rPr>
          <w:rFonts w:ascii="Narkisim" w:hAnsi="Narkisim"/>
          <w:u w:val="single"/>
          <w:rtl/>
        </w:rPr>
        <w:t>תוד"ה להצלה.</w:t>
      </w:r>
      <w:r w:rsidRPr="0041053F">
        <w:rPr>
          <w:rFonts w:ascii="Narkisim" w:hAnsi="Narkisim"/>
          <w:rtl/>
        </w:rPr>
        <w:t xml:space="preserve"> פ' בקו' מוקמינן אחזקת א"א וקטלינן לה</w:t>
      </w:r>
      <w:r w:rsidRPr="0041053F">
        <w:rPr>
          <w:rStyle w:val="ac"/>
          <w:rFonts w:ascii="Narkisim" w:hAnsi="Narkisim"/>
          <w:rtl/>
        </w:rPr>
        <w:footnoteReference w:id="1954"/>
      </w:r>
      <w:r w:rsidRPr="0041053F">
        <w:rPr>
          <w:rFonts w:ascii="Narkisim" w:hAnsi="Narkisim"/>
          <w:rtl/>
        </w:rPr>
        <w:t>, ואין נראה וכו'. וה</w:t>
      </w:r>
      <w:r w:rsidRPr="0041053F">
        <w:rPr>
          <w:rFonts w:ascii="Narkisim" w:hAnsi="Narkisim"/>
          <w:b/>
          <w:bCs/>
          <w:rtl/>
        </w:rPr>
        <w:t xml:space="preserve">רמב"ן </w:t>
      </w:r>
      <w:r w:rsidRPr="0041053F">
        <w:rPr>
          <w:rFonts w:ascii="Narkisim" w:hAnsi="Narkisim"/>
          <w:rtl/>
        </w:rPr>
        <w:t>כתב ולא מחוור דלא אלימא הך טעמא למיקטל בה. [והאחרונים יישבו דברי רש"י בכמה אופנים, ע' קצות ל א, ש"ש ג יד].</w:t>
      </w:r>
    </w:p>
    <w:p w14:paraId="0DFD6869" w14:textId="77777777" w:rsidR="006074A5" w:rsidRPr="0041053F" w:rsidRDefault="006074A5" w:rsidP="006074A5">
      <w:pPr>
        <w:pStyle w:val="2"/>
        <w:bidi/>
        <w:rPr>
          <w:rFonts w:ascii="Narkisim" w:hAnsi="Narkisim"/>
        </w:rPr>
      </w:pPr>
      <w:r w:rsidRPr="0041053F">
        <w:rPr>
          <w:rFonts w:ascii="Narkisim" w:hAnsi="Narkisim"/>
          <w:rtl/>
        </w:rPr>
        <w:t>מאמר – אשת ב' מתים</w:t>
      </w:r>
    </w:p>
    <w:p w14:paraId="4D9B4927" w14:textId="77777777" w:rsidR="006074A5" w:rsidRPr="0041053F" w:rsidRDefault="006074A5" w:rsidP="006074A5">
      <w:pPr>
        <w:bidi/>
        <w:rPr>
          <w:rFonts w:ascii="Narkisim" w:hAnsi="Narkisim" w:cs="Narkisim"/>
        </w:rPr>
      </w:pPr>
      <w:r w:rsidRPr="0041053F">
        <w:rPr>
          <w:rFonts w:ascii="Narkisim" w:hAnsi="Narkisim" w:cs="Narkisim"/>
          <w:u w:val="single"/>
          <w:rtl/>
        </w:rPr>
        <w:t>עשה בה השני מאמר ומת וכו' זיקת ב' יבמין.</w:t>
      </w:r>
      <w:r w:rsidRPr="0041053F">
        <w:rPr>
          <w:rFonts w:ascii="Narkisim" w:hAnsi="Narkisim" w:cs="Narkisim"/>
          <w:rtl/>
        </w:rPr>
        <w:t xml:space="preserve"> </w:t>
      </w:r>
      <w:r w:rsidRPr="0041053F">
        <w:rPr>
          <w:rFonts w:ascii="Narkisim" w:hAnsi="Narkisim" w:cs="Narkisim"/>
          <w:b/>
          <w:bCs/>
          <w:rtl/>
        </w:rPr>
        <w:t>רש"י</w:t>
      </w:r>
      <w:r w:rsidRPr="0041053F">
        <w:rPr>
          <w:rFonts w:ascii="Narkisim" w:hAnsi="Narkisim" w:cs="Narkisim"/>
          <w:rtl/>
        </w:rPr>
        <w:t xml:space="preserve"> (לעיל ל:) הקשה דלמ"ד יש זיקה נימא דע"י הזיקה יחשב אשת ב' מתים. ותי' דזיקת ב' יבמין דרבנן [כדאי' בגמ' גזירה שלא יאמרו ב' יבמות הבאות מבית א' מתייבמות], ולא גזרו אלא כשעשה מאמר. </w:t>
      </w:r>
      <w:r w:rsidRPr="0041053F">
        <w:rPr>
          <w:rFonts w:ascii="Narkisim" w:hAnsi="Narkisim" w:cs="Narkisim"/>
          <w:sz w:val="20"/>
          <w:szCs w:val="20"/>
          <w:rtl/>
        </w:rPr>
        <w:t>[וב</w:t>
      </w:r>
      <w:r w:rsidRPr="0041053F">
        <w:rPr>
          <w:rFonts w:ascii="Narkisim" w:hAnsi="Narkisim" w:cs="Narkisim"/>
          <w:b/>
          <w:bCs/>
          <w:sz w:val="20"/>
          <w:szCs w:val="20"/>
          <w:rtl/>
        </w:rPr>
        <w:t xml:space="preserve">חי' ר"א מן ההר </w:t>
      </w:r>
      <w:r w:rsidRPr="0041053F">
        <w:rPr>
          <w:rFonts w:ascii="Narkisim" w:hAnsi="Narkisim" w:cs="Narkisim"/>
          <w:sz w:val="20"/>
          <w:szCs w:val="20"/>
          <w:rtl/>
        </w:rPr>
        <w:t>ביאר דע"י מאמר</w:t>
      </w:r>
      <w:r w:rsidRPr="0041053F">
        <w:rPr>
          <w:rFonts w:ascii="Narkisim" w:hAnsi="Narkisim" w:cs="Narkisim"/>
          <w:b/>
          <w:bCs/>
          <w:sz w:val="20"/>
          <w:szCs w:val="20"/>
          <w:rtl/>
        </w:rPr>
        <w:t xml:space="preserve"> </w:t>
      </w:r>
      <w:r w:rsidRPr="0041053F">
        <w:rPr>
          <w:rFonts w:ascii="Narkisim" w:hAnsi="Narkisim" w:cs="Narkisim"/>
          <w:sz w:val="20"/>
          <w:szCs w:val="20"/>
          <w:rtl/>
        </w:rPr>
        <w:t>נראית כאשתו].</w:t>
      </w:r>
      <w:r w:rsidRPr="0041053F">
        <w:rPr>
          <w:rFonts w:ascii="Narkisim" w:hAnsi="Narkisim" w:cs="Narkisim"/>
          <w:rtl/>
        </w:rPr>
        <w:t xml:space="preserve"> אבל בזיקה לחוד לא גזרו, אף דיש זיקת ב' המתים</w:t>
      </w:r>
      <w:r w:rsidRPr="0041053F">
        <w:rPr>
          <w:rStyle w:val="ac"/>
          <w:rFonts w:ascii="Narkisim" w:hAnsi="Narkisim" w:cs="Narkisim"/>
          <w:rtl/>
        </w:rPr>
        <w:footnoteReference w:id="1955"/>
      </w:r>
      <w:r w:rsidRPr="0041053F">
        <w:rPr>
          <w:rFonts w:ascii="Narkisim" w:hAnsi="Narkisim" w:cs="Narkisim"/>
          <w:rtl/>
        </w:rPr>
        <w:t xml:space="preserve"> [ומתייבמת מחמת תרוייהו]</w:t>
      </w:r>
      <w:r w:rsidRPr="0041053F">
        <w:rPr>
          <w:rStyle w:val="ac"/>
          <w:rFonts w:ascii="Narkisim" w:hAnsi="Narkisim" w:cs="Narkisim"/>
          <w:rtl/>
        </w:rPr>
        <w:footnoteReference w:id="1956"/>
      </w:r>
      <w:r w:rsidRPr="0041053F">
        <w:rPr>
          <w:rFonts w:ascii="Narkisim" w:hAnsi="Narkisim" w:cs="Narkisim"/>
          <w:rtl/>
        </w:rPr>
        <w:t>.</w:t>
      </w:r>
    </w:p>
    <w:p w14:paraId="5952422C" w14:textId="77777777" w:rsidR="006074A5" w:rsidRPr="0041053F" w:rsidRDefault="006074A5" w:rsidP="006074A5">
      <w:pPr>
        <w:pStyle w:val="a7"/>
        <w:bidi/>
        <w:rPr>
          <w:rFonts w:ascii="Narkisim" w:hAnsi="Narkisim"/>
        </w:rPr>
      </w:pPr>
      <w:r w:rsidRPr="0041053F">
        <w:rPr>
          <w:rFonts w:ascii="Narkisim" w:hAnsi="Narkisim"/>
          <w:rtl/>
        </w:rPr>
        <w:t>אבל דעת ה</w:t>
      </w:r>
      <w:r w:rsidRPr="0041053F">
        <w:rPr>
          <w:rFonts w:ascii="Narkisim" w:hAnsi="Narkisim"/>
          <w:b/>
          <w:bCs/>
          <w:rtl/>
        </w:rPr>
        <w:t>ראשונים</w:t>
      </w:r>
      <w:r w:rsidRPr="0041053F">
        <w:rPr>
          <w:rFonts w:ascii="Narkisim" w:hAnsi="Narkisim"/>
          <w:rtl/>
        </w:rPr>
        <w:t xml:space="preserve"> </w:t>
      </w:r>
      <w:r w:rsidRPr="0041053F">
        <w:rPr>
          <w:rFonts w:ascii="Narkisim" w:hAnsi="Narkisim"/>
          <w:szCs w:val="20"/>
          <w:rtl/>
        </w:rPr>
        <w:t>(לעיל ל:)</w:t>
      </w:r>
      <w:r w:rsidRPr="0041053F">
        <w:rPr>
          <w:rFonts w:ascii="Narkisim" w:hAnsi="Narkisim"/>
          <w:rtl/>
        </w:rPr>
        <w:t xml:space="preserve"> כיון דבחיי אחיו יכול לייבם וזיקת אחיו אינו מונע, ה"ה אף לאחר מיתתו, ואינו זיקת ב' יבמין. וכ"כ ה</w:t>
      </w:r>
      <w:r w:rsidRPr="0041053F">
        <w:rPr>
          <w:rFonts w:ascii="Narkisim" w:hAnsi="Narkisim"/>
          <w:b/>
          <w:bCs/>
          <w:rtl/>
        </w:rPr>
        <w:t>ריטב"א</w:t>
      </w:r>
      <w:r w:rsidRPr="0041053F">
        <w:rPr>
          <w:rFonts w:ascii="Narkisim" w:hAnsi="Narkisim"/>
          <w:rtl/>
        </w:rPr>
        <w:t xml:space="preserve"> (לב.).</w:t>
      </w:r>
    </w:p>
    <w:p w14:paraId="43C16621" w14:textId="77777777" w:rsidR="006074A5" w:rsidRPr="0041053F" w:rsidRDefault="006074A5" w:rsidP="006074A5">
      <w:pPr>
        <w:bidi/>
        <w:rPr>
          <w:rFonts w:ascii="Narkisim" w:hAnsi="Narkisim" w:cs="Narkisim"/>
        </w:rPr>
      </w:pPr>
      <w:r w:rsidRPr="0041053F">
        <w:rPr>
          <w:rFonts w:ascii="Narkisim" w:hAnsi="Narkisim" w:cs="Narkisim"/>
          <w:u w:val="single"/>
          <w:rtl/>
        </w:rPr>
        <w:t>אי זיקת ב' יבמין דאורייתא חליצה נמי לא תבעי</w:t>
      </w:r>
      <w:r w:rsidRPr="0041053F">
        <w:rPr>
          <w:rFonts w:ascii="Narkisim" w:hAnsi="Narkisim" w:cs="Narkisim"/>
          <w:rtl/>
        </w:rPr>
        <w:t>. מבואר דס"ד דמאמר קונה במקצת מדאורייתא, ומדינא יש עליה זיקה מב'. ומש"ה יש פטור מגזיה"כ, והגמ' מק' מ"ט בעי חליצה.</w:t>
      </w:r>
    </w:p>
    <w:p w14:paraId="6D77D927" w14:textId="77777777" w:rsidR="006074A5" w:rsidRPr="0041053F" w:rsidRDefault="006074A5" w:rsidP="006074A5">
      <w:pPr>
        <w:pStyle w:val="a8"/>
        <w:bidi/>
        <w:rPr>
          <w:rFonts w:ascii="Narkisim" w:hAnsi="Narkisim"/>
        </w:rPr>
      </w:pPr>
      <w:r w:rsidRPr="0041053F">
        <w:rPr>
          <w:rFonts w:ascii="Narkisim" w:hAnsi="Narkisim"/>
          <w:rtl/>
        </w:rPr>
        <w:t xml:space="preserve">ויש שפי' דלהך ס"ד אף לבית הלל מאמר קונה במקצת מדאורייתא, אלא דלא סגי לפטור אחותה. ועד"ז כת' </w:t>
      </w:r>
      <w:r w:rsidRPr="0041053F">
        <w:rPr>
          <w:rFonts w:ascii="Narkisim" w:hAnsi="Narkisim"/>
          <w:b/>
          <w:bCs/>
          <w:rtl/>
        </w:rPr>
        <w:t>ר' יצחק ב"ר ברוך</w:t>
      </w:r>
      <w:r w:rsidRPr="0041053F">
        <w:rPr>
          <w:rFonts w:ascii="Narkisim" w:hAnsi="Narkisim"/>
          <w:rtl/>
        </w:rPr>
        <w:t xml:space="preserve"> (בתוס' לקמן נא: ד"ה ביאה) לדעת ר' נחמיה. אבל דעת שאר כל ה</w:t>
      </w:r>
      <w:r w:rsidRPr="0041053F">
        <w:rPr>
          <w:rFonts w:ascii="Narkisim" w:hAnsi="Narkisim"/>
          <w:b/>
          <w:bCs/>
          <w:rtl/>
        </w:rPr>
        <w:t>ראשונים</w:t>
      </w:r>
      <w:r w:rsidRPr="0041053F">
        <w:rPr>
          <w:rFonts w:ascii="Narkisim" w:hAnsi="Narkisim"/>
          <w:rtl/>
        </w:rPr>
        <w:t xml:space="preserve"> (ותוס' שם ד"ה כולהו) דרק בית שמאי ס"ל דמאמר קונה מדאורייתא</w:t>
      </w:r>
      <w:r w:rsidRPr="0041053F">
        <w:rPr>
          <w:rStyle w:val="ac"/>
          <w:rFonts w:ascii="Narkisim" w:hAnsi="Narkisim"/>
          <w:rtl/>
        </w:rPr>
        <w:footnoteReference w:id="1957"/>
      </w:r>
      <w:r w:rsidRPr="0041053F">
        <w:rPr>
          <w:rFonts w:ascii="Narkisim" w:hAnsi="Narkisim"/>
          <w:rtl/>
        </w:rPr>
        <w:t>.</w:t>
      </w:r>
    </w:p>
    <w:p w14:paraId="29D28CDA"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 xml:space="preserve">תו"י </w:t>
      </w:r>
      <w:r w:rsidRPr="0041053F">
        <w:rPr>
          <w:rFonts w:ascii="Narkisim" w:hAnsi="Narkisim"/>
          <w:rtl/>
        </w:rPr>
        <w:t>ביאר דהך ס"ד כבית שמאי דמאמר קונה קנין גמור. ומש"ה ס"ד דהגמ' דפטורה בלא חליצה.</w:t>
      </w:r>
    </w:p>
    <w:p w14:paraId="0D725F64" w14:textId="77777777" w:rsidR="006074A5" w:rsidRPr="0041053F" w:rsidRDefault="006074A5" w:rsidP="006074A5">
      <w:pPr>
        <w:pStyle w:val="a7"/>
        <w:bidi/>
        <w:rPr>
          <w:rFonts w:ascii="Narkisim" w:hAnsi="Narkisim"/>
        </w:rPr>
      </w:pPr>
      <w:r w:rsidRPr="0041053F">
        <w:rPr>
          <w:rFonts w:ascii="Narkisim" w:hAnsi="Narkisim"/>
          <w:rtl/>
        </w:rPr>
        <w:t xml:space="preserve">ולכאורה כוונת התו"י לר' אלעזר (לעיל כט.) דלבי"ש מאמר קונה ומשייר, ועדיין זקוקה מחמת </w:t>
      </w:r>
      <w:r w:rsidRPr="0041053F">
        <w:rPr>
          <w:rFonts w:ascii="Narkisim" w:hAnsi="Narkisim"/>
          <w:rtl/>
        </w:rPr>
        <w:lastRenderedPageBreak/>
        <w:t xml:space="preserve">הראשון. ומש"ה הוה אשת ב' מתים. וכמ"ש </w:t>
      </w:r>
      <w:r w:rsidRPr="0041053F">
        <w:rPr>
          <w:rFonts w:ascii="Narkisim" w:hAnsi="Narkisim"/>
          <w:b/>
          <w:bCs/>
          <w:rtl/>
        </w:rPr>
        <w:t>תוס</w:t>
      </w:r>
      <w:r w:rsidRPr="0041053F">
        <w:rPr>
          <w:rFonts w:ascii="Narkisim" w:hAnsi="Narkisim"/>
          <w:rtl/>
        </w:rPr>
        <w:t>' (לעיל כט. ד"ה לא) דנחשב אשת ב' מתים.</w:t>
      </w:r>
    </w:p>
    <w:p w14:paraId="77C22AC9" w14:textId="77777777" w:rsidR="006074A5" w:rsidRPr="0041053F" w:rsidRDefault="006074A5" w:rsidP="006074A5">
      <w:pPr>
        <w:pStyle w:val="a8"/>
        <w:bidi/>
        <w:rPr>
          <w:rFonts w:ascii="Narkisim" w:hAnsi="Narkisim"/>
        </w:rPr>
      </w:pPr>
      <w:r w:rsidRPr="0041053F">
        <w:rPr>
          <w:rFonts w:ascii="Narkisim" w:hAnsi="Narkisim"/>
          <w:rtl/>
        </w:rPr>
        <w:t>[דאילו למ"ד דקונה קנין גמור, ומפיק בגט. א"כ הוה ככנוסה לשני. ולא הוה זיקת ב' מתים. וכן ר' שמעון (במשנה), דבברייתא (לעיל יט., הו' ברש"י במשנה) פי' דמאמר הוה ספק אי קונה קנין גמור, ומש"ה לא הוה זיקת ב' מתים. דממ"נ אי קונה, א"כ הוה אשת שני. ואינה זקוקה מחמת הראשון</w:t>
      </w:r>
      <w:r w:rsidRPr="0041053F">
        <w:rPr>
          <w:rStyle w:val="ac"/>
          <w:rFonts w:ascii="Narkisim" w:hAnsi="Narkisim"/>
          <w:rtl/>
        </w:rPr>
        <w:footnoteReference w:id="1958"/>
      </w:r>
      <w:r w:rsidRPr="0041053F">
        <w:rPr>
          <w:rFonts w:ascii="Narkisim" w:hAnsi="Narkisim"/>
          <w:rtl/>
        </w:rPr>
        <w:t>].</w:t>
      </w:r>
    </w:p>
    <w:p w14:paraId="6EF04858"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חזו"א</w:t>
      </w:r>
      <w:r w:rsidRPr="0041053F">
        <w:rPr>
          <w:rFonts w:ascii="Narkisim" w:hAnsi="Narkisim" w:cs="Narkisim"/>
          <w:rtl/>
        </w:rPr>
        <w:t xml:space="preserve"> (קלד) כת' דמבואר [לדעת ר"א לבי"ש] דמאמר אינו מפקיע זיקת האחים דמאמר קונה ומשייר, וחלק המשוייר שפיר זוקק ללוי. וביאר דאע"ג דכשעשה מאמר האח אינו יכול לייבם, שמקודשת לשמעון. הוה כחבוש בבית האסורים, ולא פקע זיקת ראובן. וזה דלא כתי' ה</w:t>
      </w:r>
      <w:r w:rsidRPr="0041053F">
        <w:rPr>
          <w:rFonts w:ascii="Narkisim" w:hAnsi="Narkisim" w:cs="Narkisim"/>
          <w:b/>
          <w:bCs/>
          <w:rtl/>
        </w:rPr>
        <w:t>גר"ח</w:t>
      </w:r>
      <w:r w:rsidRPr="0041053F">
        <w:rPr>
          <w:rFonts w:ascii="Narkisim" w:hAnsi="Narkisim" w:cs="Narkisim"/>
          <w:rtl/>
        </w:rPr>
        <w:t xml:space="preserve"> [על קושית ה</w:t>
      </w:r>
      <w:r w:rsidRPr="0041053F">
        <w:rPr>
          <w:rFonts w:ascii="Narkisim" w:hAnsi="Narkisim" w:cs="Narkisim"/>
          <w:b/>
          <w:bCs/>
          <w:rtl/>
        </w:rPr>
        <w:t>תוס</w:t>
      </w:r>
      <w:r w:rsidRPr="0041053F">
        <w:rPr>
          <w:rFonts w:ascii="Narkisim" w:hAnsi="Narkisim" w:cs="Narkisim"/>
          <w:rtl/>
        </w:rPr>
        <w:t xml:space="preserve">' כט. ד"ה לא], דע"י מאמר נחשב ערוה לאחים, ופקע זיקה דידהו. </w:t>
      </w:r>
      <w:r w:rsidRPr="0041053F">
        <w:rPr>
          <w:rFonts w:ascii="Narkisim" w:hAnsi="Narkisim" w:cs="Narkisim"/>
          <w:sz w:val="20"/>
          <w:szCs w:val="20"/>
          <w:rtl/>
        </w:rPr>
        <w:t>[וב</w:t>
      </w:r>
      <w:r w:rsidRPr="0041053F">
        <w:rPr>
          <w:rFonts w:ascii="Narkisim" w:hAnsi="Narkisim" w:cs="Narkisim"/>
          <w:b/>
          <w:bCs/>
          <w:sz w:val="20"/>
          <w:szCs w:val="20"/>
          <w:rtl/>
        </w:rPr>
        <w:t xml:space="preserve">חי' ר' שמואל </w:t>
      </w:r>
      <w:r w:rsidRPr="0041053F">
        <w:rPr>
          <w:rFonts w:ascii="Narkisim" w:hAnsi="Narkisim" w:cs="Narkisim"/>
          <w:sz w:val="20"/>
          <w:szCs w:val="20"/>
          <w:rtl/>
        </w:rPr>
        <w:t>(יד) כתב די"ל דסוגיין קאי כמ"ד יש זיקה, וערוה לא מפקיע זיקה</w:t>
      </w:r>
      <w:r w:rsidRPr="0041053F">
        <w:rPr>
          <w:rStyle w:val="ac"/>
          <w:rFonts w:ascii="Narkisim" w:hAnsi="Narkisim" w:cs="Narkisim"/>
          <w:sz w:val="20"/>
          <w:szCs w:val="20"/>
          <w:rtl/>
        </w:rPr>
        <w:footnoteReference w:id="1959"/>
      </w:r>
      <w:r w:rsidRPr="0041053F">
        <w:rPr>
          <w:rFonts w:ascii="Narkisim" w:hAnsi="Narkisim" w:cs="Narkisim"/>
          <w:sz w:val="20"/>
          <w:szCs w:val="20"/>
          <w:rtl/>
        </w:rPr>
        <w:t>. ואילו הגר"ח תי' למ"ד אין זיקה].</w:t>
      </w:r>
    </w:p>
    <w:p w14:paraId="13144465"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אמר"מ</w:t>
      </w:r>
      <w:r w:rsidRPr="0041053F">
        <w:rPr>
          <w:rFonts w:ascii="Narkisim" w:hAnsi="Narkisim"/>
          <w:rtl/>
        </w:rPr>
        <w:t xml:space="preserve"> (ז י) תי' דמ"מ כיון דמת בעל המאמר חוזרת להיתר. וכמ"ד (לקמן מא. ולעיל כז:) דהותרה ונאסרה חוזרת להיתר. [לולי הא דהוה אשת ב' מתים</w:t>
      </w:r>
      <w:r w:rsidRPr="0041053F">
        <w:rPr>
          <w:rStyle w:val="ac"/>
          <w:rFonts w:ascii="Narkisim" w:hAnsi="Narkisim"/>
          <w:rtl/>
        </w:rPr>
        <w:footnoteReference w:id="1960"/>
      </w:r>
      <w:r w:rsidRPr="0041053F">
        <w:rPr>
          <w:rFonts w:ascii="Narkisim" w:hAnsi="Narkisim"/>
          <w:rtl/>
        </w:rPr>
        <w:t>].</w:t>
      </w:r>
    </w:p>
    <w:p w14:paraId="0B9083E0" w14:textId="77777777" w:rsidR="006074A5" w:rsidRPr="0041053F" w:rsidRDefault="006074A5" w:rsidP="006074A5">
      <w:pPr>
        <w:bidi/>
        <w:rPr>
          <w:rFonts w:ascii="Narkisim" w:hAnsi="Narkisim" w:cs="Narkisim"/>
        </w:rPr>
      </w:pPr>
      <w:r w:rsidRPr="0041053F">
        <w:rPr>
          <w:rFonts w:ascii="Narkisim" w:hAnsi="Narkisim" w:cs="Narkisim"/>
          <w:u w:val="single"/>
          <w:rtl/>
        </w:rPr>
        <w:t>שם. זיקת ב' יבמין דאורייתא וכו'.</w:t>
      </w:r>
      <w:r w:rsidRPr="0041053F">
        <w:rPr>
          <w:rFonts w:ascii="Narkisim" w:hAnsi="Narkisim" w:cs="Narkisim"/>
          <w:rtl/>
        </w:rPr>
        <w:t xml:space="preserve"> דאביי (גיטין פב:) דן היכא דקידש חוץ משמעון [אחיו] ולוי, וקידשה שמעון, ומתו שניהם דלמ"ד דמהני לשייר בקידושין [חוץ מפלוני] משכח"ל אשת ב' מתים דאורייתא</w:t>
      </w:r>
      <w:r w:rsidRPr="0041053F">
        <w:rPr>
          <w:rStyle w:val="ac"/>
          <w:rFonts w:ascii="Narkisim" w:hAnsi="Narkisim" w:cs="Narkisim"/>
          <w:rtl/>
        </w:rPr>
        <w:footnoteReference w:id="1961"/>
      </w:r>
      <w:r w:rsidRPr="0041053F">
        <w:rPr>
          <w:rFonts w:ascii="Narkisim" w:hAnsi="Narkisim" w:cs="Narkisim"/>
          <w:rtl/>
        </w:rPr>
        <w:t>.</w:t>
      </w:r>
    </w:p>
    <w:p w14:paraId="421FF028" w14:textId="77777777" w:rsidR="006074A5" w:rsidRPr="0041053F" w:rsidRDefault="006074A5" w:rsidP="006074A5">
      <w:pPr>
        <w:pStyle w:val="a8"/>
        <w:bidi/>
        <w:rPr>
          <w:rFonts w:ascii="Narkisim" w:hAnsi="Narkisim"/>
        </w:rPr>
      </w:pPr>
      <w:r w:rsidRPr="0041053F">
        <w:rPr>
          <w:rFonts w:ascii="Narkisim" w:hAnsi="Narkisim"/>
          <w:rtl/>
        </w:rPr>
        <w:t>ועד"ז הגמ' (שם מג:) דנה דבקידושי שפחה חרופה, וחזרה ונשתחררה ונתקדשה לאחיו משכח"ל אשת ב' מתים. אלא דהגמ' דוחה דהוה אשתו של א', ותוס' פי' דבשעה שנשתחררה גמרי או פקעי.</w:t>
      </w:r>
    </w:p>
    <w:p w14:paraId="5E4D08D1" w14:textId="77777777" w:rsidR="006074A5" w:rsidRPr="0041053F" w:rsidRDefault="006074A5" w:rsidP="006074A5">
      <w:pPr>
        <w:pStyle w:val="a8"/>
        <w:bidi/>
        <w:rPr>
          <w:rFonts w:ascii="Narkisim" w:hAnsi="Narkisim"/>
        </w:rPr>
      </w:pPr>
      <w:r w:rsidRPr="0041053F">
        <w:rPr>
          <w:rFonts w:ascii="Narkisim" w:hAnsi="Narkisim"/>
          <w:rtl/>
        </w:rPr>
        <w:t xml:space="preserve">וכן </w:t>
      </w:r>
      <w:r w:rsidRPr="0041053F">
        <w:rPr>
          <w:rFonts w:ascii="Narkisim" w:hAnsi="Narkisim"/>
          <w:b/>
          <w:bCs/>
          <w:rtl/>
        </w:rPr>
        <w:t>תוס</w:t>
      </w:r>
      <w:r w:rsidRPr="0041053F">
        <w:rPr>
          <w:rFonts w:ascii="Narkisim" w:hAnsi="Narkisim"/>
          <w:rtl/>
        </w:rPr>
        <w:t>' (לעיל י.) דנו דלר' יוחנן (קידושין ס.) דהמקדש מהיום ולאחר ל' מהני כשרגא דליבני, דרווחא שביק, ועי"ז משכח"ל אשת ב' מתים דאורייתא. ופוטרת צרתה, וצרת צרתה. [ותוס' דחו דלצד דאשת ב' מתים לאו דאורייתא, ע' בסמוך].</w:t>
      </w:r>
    </w:p>
    <w:p w14:paraId="4C583568" w14:textId="77777777" w:rsidR="006074A5" w:rsidRPr="0041053F" w:rsidRDefault="006074A5" w:rsidP="006074A5">
      <w:pPr>
        <w:pStyle w:val="aa"/>
        <w:bidi/>
        <w:rPr>
          <w:rFonts w:ascii="Narkisim" w:hAnsi="Narkisim"/>
        </w:rPr>
      </w:pPr>
      <w:r w:rsidRPr="0041053F">
        <w:rPr>
          <w:rFonts w:ascii="Narkisim" w:hAnsi="Narkisim"/>
          <w:rtl/>
        </w:rPr>
        <w:t>ובפשוטו גדר אשת ב' מתים הוא משום שזקוקה ליבום מחמת תרוייהו (וכ"כ החזו"א בסוגיין והקובה"ע יב ד). אמנם במקדש 'חוץ לפלוני אחיו', דנו ה</w:t>
      </w:r>
      <w:r w:rsidRPr="0041053F">
        <w:rPr>
          <w:rFonts w:ascii="Narkisim" w:hAnsi="Narkisim"/>
          <w:b/>
          <w:bCs/>
          <w:rtl/>
        </w:rPr>
        <w:t>אחרונים</w:t>
      </w:r>
      <w:r w:rsidRPr="0041053F">
        <w:rPr>
          <w:rFonts w:ascii="Narkisim" w:hAnsi="Narkisim"/>
          <w:rtl/>
        </w:rPr>
        <w:t xml:space="preserve"> האם זקוקה ליבום מחמת השני. [דכלפי היבם הוה אשתו של ראשון, ולא השני]. ואפ"ה מבואר דנחשב אשת ב' מתים, אף דאינה זקוקה מחמתו. [וע' קה"י כו].</w:t>
      </w:r>
    </w:p>
    <w:p w14:paraId="6F05BDCE" w14:textId="77777777" w:rsidR="006074A5" w:rsidRPr="0041053F" w:rsidRDefault="006074A5" w:rsidP="006074A5">
      <w:pPr>
        <w:pStyle w:val="aa"/>
        <w:bidi/>
        <w:rPr>
          <w:rFonts w:ascii="Narkisim" w:hAnsi="Narkisim"/>
        </w:rPr>
      </w:pPr>
      <w:r w:rsidRPr="0041053F">
        <w:rPr>
          <w:rFonts w:ascii="Narkisim" w:hAnsi="Narkisim"/>
          <w:rtl/>
        </w:rPr>
        <w:t>וכן דנו ה</w:t>
      </w:r>
      <w:r w:rsidRPr="0041053F">
        <w:rPr>
          <w:rFonts w:ascii="Narkisim" w:hAnsi="Narkisim"/>
          <w:b/>
          <w:bCs/>
          <w:rtl/>
        </w:rPr>
        <w:t>אחרונים</w:t>
      </w:r>
      <w:r w:rsidRPr="0041053F">
        <w:rPr>
          <w:rFonts w:ascii="Narkisim" w:hAnsi="Narkisim"/>
          <w:rtl/>
        </w:rPr>
        <w:t xml:space="preserve"> (מנח"ח קצא ב וחזו"א גיטין מג.) באישות שפחה חרופה, האם זוקק ליבום</w:t>
      </w:r>
      <w:r w:rsidRPr="0041053F">
        <w:rPr>
          <w:rStyle w:val="ac"/>
          <w:rFonts w:ascii="Narkisim" w:hAnsi="Narkisim"/>
          <w:rtl/>
        </w:rPr>
        <w:footnoteReference w:id="1962"/>
      </w:r>
      <w:r w:rsidRPr="0041053F">
        <w:rPr>
          <w:rFonts w:ascii="Narkisim" w:hAnsi="Narkisim"/>
          <w:rtl/>
        </w:rPr>
        <w:t>. ואפ"ה דנו (גיטין שם) משום אשת ב' מתים.</w:t>
      </w:r>
    </w:p>
    <w:p w14:paraId="4A4F7EAC" w14:textId="77777777" w:rsidR="006074A5" w:rsidRPr="0041053F" w:rsidRDefault="006074A5" w:rsidP="006074A5">
      <w:pPr>
        <w:bidi/>
        <w:rPr>
          <w:rFonts w:ascii="Narkisim" w:hAnsi="Narkisim" w:cs="Narkisim"/>
        </w:rPr>
      </w:pPr>
      <w:r w:rsidRPr="0041053F">
        <w:rPr>
          <w:rFonts w:ascii="Narkisim" w:hAnsi="Narkisim" w:cs="Narkisim"/>
          <w:u w:val="single"/>
          <w:rtl/>
        </w:rPr>
        <w:t>אלא מדרבנן וגזירה וכו'.</w:t>
      </w:r>
      <w:r w:rsidRPr="0041053F">
        <w:rPr>
          <w:rFonts w:ascii="Narkisim" w:hAnsi="Narkisim" w:cs="Narkisim"/>
          <w:rtl/>
        </w:rPr>
        <w:t xml:space="preserve"> פ</w:t>
      </w:r>
      <w:r w:rsidRPr="0041053F">
        <w:rPr>
          <w:rFonts w:ascii="Narkisim" w:hAnsi="Narkisim" w:cs="Narkisim"/>
          <w:b/>
          <w:bCs/>
          <w:rtl/>
        </w:rPr>
        <w:t xml:space="preserve">רש"י </w:t>
      </w:r>
      <w:r w:rsidRPr="0041053F">
        <w:rPr>
          <w:rFonts w:ascii="Narkisim" w:hAnsi="Narkisim" w:cs="Narkisim"/>
          <w:rtl/>
        </w:rPr>
        <w:t>מדאורייתא מאמר ל"ק, ותרוייהו מצי ליבומי. משמע דדחיית הגמ' דע"י מאמר ליכא אשת ב' מתים דאורייתא. אבל עיקר אשת ב' מתים [באופן דמשכח"ל, ע' לעיל] הוה מדאורייתא</w:t>
      </w:r>
      <w:r w:rsidRPr="0041053F">
        <w:rPr>
          <w:rStyle w:val="ac"/>
          <w:rFonts w:ascii="Narkisim" w:hAnsi="Narkisim" w:cs="Narkisim"/>
          <w:rtl/>
        </w:rPr>
        <w:footnoteReference w:id="1963"/>
      </w:r>
      <w:r w:rsidRPr="0041053F">
        <w:rPr>
          <w:rFonts w:ascii="Narkisim" w:hAnsi="Narkisim" w:cs="Narkisim"/>
          <w:rtl/>
        </w:rPr>
        <w:t>.</w:t>
      </w:r>
    </w:p>
    <w:p w14:paraId="66BB699E" w14:textId="77777777" w:rsidR="006074A5" w:rsidRPr="0041053F" w:rsidRDefault="006074A5" w:rsidP="006074A5">
      <w:pPr>
        <w:pStyle w:val="a7"/>
        <w:bidi/>
        <w:rPr>
          <w:rFonts w:ascii="Narkisim" w:hAnsi="Narkisim"/>
        </w:rPr>
      </w:pPr>
      <w:r w:rsidRPr="0041053F">
        <w:rPr>
          <w:rFonts w:ascii="Narkisim" w:hAnsi="Narkisim"/>
          <w:rtl/>
        </w:rPr>
        <w:t xml:space="preserve">אך </w:t>
      </w:r>
      <w:r w:rsidRPr="0041053F">
        <w:rPr>
          <w:rFonts w:ascii="Narkisim" w:hAnsi="Narkisim"/>
          <w:b/>
          <w:bCs/>
          <w:rtl/>
        </w:rPr>
        <w:t>ר"י</w:t>
      </w:r>
      <w:r w:rsidRPr="0041053F">
        <w:rPr>
          <w:rFonts w:ascii="Narkisim" w:hAnsi="Narkisim"/>
          <w:rtl/>
        </w:rPr>
        <w:t xml:space="preserve"> ב</w:t>
      </w:r>
      <w:r w:rsidRPr="0041053F">
        <w:rPr>
          <w:rFonts w:ascii="Narkisim" w:hAnsi="Narkisim"/>
          <w:b/>
          <w:bCs/>
          <w:rtl/>
        </w:rPr>
        <w:t>תוס</w:t>
      </w:r>
      <w:r w:rsidRPr="0041053F">
        <w:rPr>
          <w:rFonts w:ascii="Narkisim" w:hAnsi="Narkisim"/>
          <w:rtl/>
        </w:rPr>
        <w:t>' דייקו דמסקנת הגמ' דעיקר אשת ב' מתים הוה מדרבנן, אלא משום גזירה דילמא מייבם תרוייהו. ולתנא דידן מדאורייתא ליכא דרשא 'ולא שעליה זיקת ב' יבמין', והוה אסמכתא בעלמא.</w:t>
      </w:r>
    </w:p>
    <w:p w14:paraId="3ECFCA22"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w:t>
      </w:r>
      <w:r w:rsidRPr="0041053F">
        <w:rPr>
          <w:rFonts w:ascii="Narkisim" w:hAnsi="Narkisim"/>
          <w:szCs w:val="20"/>
          <w:rtl/>
        </w:rPr>
        <w:t>(בתו"ד)</w:t>
      </w:r>
      <w:r w:rsidRPr="0041053F">
        <w:rPr>
          <w:rFonts w:ascii="Narkisim" w:hAnsi="Narkisim"/>
          <w:rtl/>
        </w:rPr>
        <w:t xml:space="preserve"> כת' דלמ"ד דמשכח"ל אשת ב' מתים בדאורייתא [כגון ע"י שקידש חוץ מפלוני], א"כ אף במאמר גזרינן משום צרה. אבל למ"ד דלא משכח"ל בדאורייתא, א"כ ע"כ הך קרא הוה אסמכתא. והוה משום גזירה בסוגיין.</w:t>
      </w:r>
    </w:p>
    <w:p w14:paraId="448A5E3B"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הק' לצד דדרשו 'ולא זיקת ב' יבמין', א"כ אמאי איצטריך הך דרשא</w:t>
      </w:r>
      <w:r w:rsidRPr="0041053F">
        <w:rPr>
          <w:rStyle w:val="ac"/>
          <w:rFonts w:ascii="Narkisim" w:hAnsi="Narkisim"/>
          <w:rtl/>
        </w:rPr>
        <w:footnoteReference w:id="1964"/>
      </w:r>
      <w:r w:rsidRPr="0041053F">
        <w:rPr>
          <w:rFonts w:ascii="Narkisim" w:hAnsi="Narkisim"/>
          <w:rtl/>
        </w:rPr>
        <w:t xml:space="preserve"> לדעת התנאים דלא משכח"ל </w:t>
      </w:r>
      <w:r w:rsidRPr="0041053F">
        <w:rPr>
          <w:rFonts w:ascii="Narkisim" w:hAnsi="Narkisim"/>
          <w:rtl/>
        </w:rPr>
        <w:lastRenderedPageBreak/>
        <w:t>אשת ב' מתים</w:t>
      </w:r>
      <w:r w:rsidRPr="0041053F">
        <w:rPr>
          <w:rStyle w:val="ac"/>
          <w:rFonts w:ascii="Narkisim" w:hAnsi="Narkisim"/>
          <w:rtl/>
        </w:rPr>
        <w:footnoteReference w:id="1965"/>
      </w:r>
      <w:r w:rsidRPr="0041053F">
        <w:rPr>
          <w:rFonts w:ascii="Narkisim" w:hAnsi="Narkisim"/>
          <w:rtl/>
        </w:rPr>
        <w:t>. ותי' (בסוגריים) דלא הוה דרשא מיתורא דקרא למעט אשת ב' מתים, אלא דהוה סברא דקרא דנפילה ליבום דוקא כשנופלת מחמת אח א'.</w:t>
      </w:r>
    </w:p>
    <w:p w14:paraId="0B4DDC26" w14:textId="77777777" w:rsidR="006074A5" w:rsidRPr="0041053F" w:rsidRDefault="006074A5" w:rsidP="006074A5">
      <w:pPr>
        <w:bidi/>
        <w:rPr>
          <w:rFonts w:ascii="Narkisim" w:hAnsi="Narkisim" w:cs="Narkisim"/>
        </w:rPr>
      </w:pPr>
      <w:r w:rsidRPr="0041053F">
        <w:rPr>
          <w:rFonts w:ascii="Narkisim" w:hAnsi="Narkisim" w:cs="Narkisim"/>
          <w:u w:val="single"/>
          <w:rtl/>
        </w:rPr>
        <w:t>שם. אלא מדרבנן וגזירה וכו</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הוכיחו דמדאורייתא ליכא כלל מיעוט אשת ב' מתים</w:t>
      </w:r>
      <w:r w:rsidRPr="0041053F">
        <w:rPr>
          <w:rStyle w:val="ac"/>
          <w:rFonts w:ascii="Narkisim" w:hAnsi="Narkisim" w:cs="Narkisim"/>
          <w:rtl/>
        </w:rPr>
        <w:footnoteReference w:id="1966"/>
      </w:r>
      <w:r w:rsidRPr="0041053F">
        <w:rPr>
          <w:rFonts w:ascii="Narkisim" w:hAnsi="Narkisim" w:cs="Narkisim"/>
          <w:rtl/>
        </w:rPr>
        <w:t xml:space="preserve">, דאל"כ אמאי לא אמרי' גזירה אטו אשת ב' מתים. ולדעת </w:t>
      </w:r>
      <w:r w:rsidRPr="0041053F">
        <w:rPr>
          <w:rFonts w:ascii="Narkisim" w:hAnsi="Narkisim" w:cs="Narkisim"/>
          <w:b/>
          <w:bCs/>
          <w:rtl/>
        </w:rPr>
        <w:t>ריב"ן</w:t>
      </w:r>
      <w:r w:rsidRPr="0041053F">
        <w:rPr>
          <w:rFonts w:ascii="Narkisim" w:hAnsi="Narkisim" w:cs="Narkisim"/>
          <w:rtl/>
        </w:rPr>
        <w:t xml:space="preserve"> (בסו"ד התוס') הוה גזירה משום אשת ב' מתים, היכא דמשכח"ל מדאורייתא.</w:t>
      </w:r>
    </w:p>
    <w:p w14:paraId="450341B2"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(בסו"ד) כת' דאף לגמ' דידן עיקר הטעם משום אשת ב' מתים, והגמ' הוסיפה טעם משום הצרה. וכן דייקו ה</w:t>
      </w:r>
      <w:r w:rsidRPr="0041053F">
        <w:rPr>
          <w:rFonts w:ascii="Narkisim" w:hAnsi="Narkisim"/>
          <w:b/>
          <w:bCs/>
          <w:rtl/>
        </w:rPr>
        <w:t>אחרונים</w:t>
      </w:r>
      <w:r w:rsidRPr="0041053F">
        <w:rPr>
          <w:rFonts w:ascii="Narkisim" w:hAnsi="Narkisim"/>
          <w:rtl/>
        </w:rPr>
        <w:t xml:space="preserve"> (</w:t>
      </w:r>
      <w:r w:rsidRPr="0041053F">
        <w:rPr>
          <w:rFonts w:ascii="Narkisim" w:hAnsi="Narkisim"/>
          <w:b/>
          <w:bCs/>
          <w:rtl/>
        </w:rPr>
        <w:t>קר"א</w:t>
      </w:r>
      <w:r w:rsidRPr="0041053F">
        <w:rPr>
          <w:rFonts w:ascii="Narkisim" w:hAnsi="Narkisim"/>
          <w:rtl/>
        </w:rPr>
        <w:t>) מדברי ה</w:t>
      </w:r>
      <w:r w:rsidRPr="0041053F">
        <w:rPr>
          <w:rFonts w:ascii="Narkisim" w:hAnsi="Narkisim"/>
          <w:b/>
          <w:bCs/>
          <w:rtl/>
        </w:rPr>
        <w:t>רמב"ם</w:t>
      </w:r>
      <w:r w:rsidRPr="0041053F">
        <w:rPr>
          <w:rFonts w:ascii="Narkisim" w:hAnsi="Narkisim"/>
          <w:rtl/>
        </w:rPr>
        <w:t xml:space="preserve"> (ו כז,כח) דהיא עצמה פטורה משום אשת ב' מתים. וצרתה פטורה משום גזירה דסוגיין</w:t>
      </w:r>
      <w:r w:rsidRPr="0041053F">
        <w:rPr>
          <w:rStyle w:val="ac"/>
          <w:rFonts w:ascii="Narkisim" w:hAnsi="Narkisim"/>
          <w:rtl/>
        </w:rPr>
        <w:footnoteReference w:id="1967"/>
      </w:r>
      <w:r w:rsidRPr="0041053F">
        <w:rPr>
          <w:rFonts w:ascii="Narkisim" w:hAnsi="Narkisim"/>
          <w:rtl/>
        </w:rPr>
        <w:t>. דס"ל דקושיית הגמ' דידן הוה רק מהצרה</w:t>
      </w:r>
      <w:r w:rsidRPr="0041053F">
        <w:rPr>
          <w:rStyle w:val="ac"/>
          <w:rFonts w:ascii="Narkisim" w:hAnsi="Narkisim"/>
          <w:rtl/>
        </w:rPr>
        <w:footnoteReference w:id="1968"/>
      </w:r>
      <w:r w:rsidRPr="0041053F">
        <w:rPr>
          <w:rFonts w:ascii="Narkisim" w:hAnsi="Narkisim"/>
          <w:rtl/>
        </w:rPr>
        <w:t xml:space="preserve">. </w:t>
      </w:r>
      <w:r w:rsidRPr="0041053F">
        <w:rPr>
          <w:rFonts w:ascii="Narkisim" w:hAnsi="Narkisim"/>
          <w:sz w:val="20"/>
          <w:szCs w:val="20"/>
          <w:rtl/>
        </w:rPr>
        <w:t xml:space="preserve">[ומסקנת הגמ' דדין אשת ב' מתים אינו אוסרת צרתה, ודלא כמ"ש </w:t>
      </w:r>
      <w:r w:rsidRPr="0041053F">
        <w:rPr>
          <w:rFonts w:ascii="Narkisim" w:hAnsi="Narkisim"/>
          <w:b/>
          <w:bCs/>
          <w:sz w:val="20"/>
          <w:szCs w:val="20"/>
          <w:rtl/>
        </w:rPr>
        <w:t>תוס</w:t>
      </w:r>
      <w:r w:rsidRPr="0041053F">
        <w:rPr>
          <w:rFonts w:ascii="Narkisim" w:hAnsi="Narkisim"/>
          <w:sz w:val="20"/>
          <w:szCs w:val="20"/>
          <w:rtl/>
        </w:rPr>
        <w:t>' (לעיל י.)</w:t>
      </w:r>
      <w:r w:rsidRPr="0041053F">
        <w:rPr>
          <w:rStyle w:val="ac"/>
          <w:rFonts w:ascii="Narkisim" w:hAnsi="Narkisim"/>
          <w:rtl/>
        </w:rPr>
        <w:footnoteReference w:id="1969"/>
      </w:r>
      <w:r w:rsidRPr="0041053F">
        <w:rPr>
          <w:rFonts w:ascii="Narkisim" w:hAnsi="Narkisim"/>
          <w:rtl/>
        </w:rPr>
        <w:t>].</w:t>
      </w:r>
    </w:p>
    <w:p w14:paraId="28FC23BB" w14:textId="77777777" w:rsidR="006074A5" w:rsidRPr="0041053F" w:rsidRDefault="006074A5" w:rsidP="006074A5">
      <w:pPr>
        <w:pStyle w:val="a8"/>
        <w:bidi/>
        <w:rPr>
          <w:rFonts w:ascii="Narkisim" w:hAnsi="Narkisim"/>
        </w:rPr>
      </w:pPr>
      <w:r w:rsidRPr="0041053F">
        <w:rPr>
          <w:rFonts w:ascii="Narkisim" w:hAnsi="Narkisim"/>
          <w:rtl/>
        </w:rPr>
        <w:t>אך צ"ב מסברא דאי יש פטור מדאורייתא משום אשת ב' מתים, א"כ אמאי אינה אוסרת צרתה. וה</w:t>
      </w:r>
      <w:r w:rsidRPr="0041053F">
        <w:rPr>
          <w:rFonts w:ascii="Narkisim" w:hAnsi="Narkisim"/>
          <w:b/>
          <w:bCs/>
          <w:rtl/>
        </w:rPr>
        <w:t>אמר"מ</w:t>
      </w:r>
      <w:r w:rsidRPr="0041053F">
        <w:rPr>
          <w:rFonts w:ascii="Narkisim" w:hAnsi="Narkisim"/>
          <w:rtl/>
        </w:rPr>
        <w:t xml:space="preserve"> (ז ז) דן די"ל דנחשב שלא במקום מצווה כלל, וכמו אילונית לרבא (ע' לעיל יב:). וע"ע חי' הגר"נ.</w:t>
      </w:r>
    </w:p>
    <w:p w14:paraId="6BF37D25"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אחרונים</w:t>
      </w:r>
      <w:r w:rsidRPr="0041053F">
        <w:rPr>
          <w:rFonts w:ascii="Narkisim" w:hAnsi="Narkisim" w:cs="Narkisim"/>
          <w:rtl/>
        </w:rPr>
        <w:t xml:space="preserve"> הק' לפרש"י דדחיית הגמ' דמאמר הוה מדרבנן יש אישות לבעלת המאמר, א"כ הוה ב' יבמות מבית א' </w:t>
      </w:r>
      <w:r w:rsidRPr="0041053F">
        <w:rPr>
          <w:rFonts w:ascii="Narkisim" w:hAnsi="Narkisim" w:cs="Narkisim"/>
          <w:sz w:val="20"/>
          <w:szCs w:val="20"/>
          <w:rtl/>
        </w:rPr>
        <w:t>[ולא רק גזירה אטו בעלמא], וע' חי' הגר"נ</w:t>
      </w:r>
      <w:r w:rsidRPr="0041053F">
        <w:rPr>
          <w:rFonts w:ascii="Narkisim" w:hAnsi="Narkisim" w:cs="Narkisim"/>
          <w:rtl/>
        </w:rPr>
        <w:t>. וה</w:t>
      </w:r>
      <w:r w:rsidRPr="0041053F">
        <w:rPr>
          <w:rFonts w:ascii="Narkisim" w:hAnsi="Narkisim" w:cs="Narkisim"/>
          <w:b/>
          <w:bCs/>
          <w:rtl/>
        </w:rPr>
        <w:t>גרנ"ט</w:t>
      </w:r>
      <w:r w:rsidRPr="0041053F">
        <w:rPr>
          <w:rFonts w:ascii="Narkisim" w:hAnsi="Narkisim" w:cs="Narkisim"/>
          <w:rtl/>
        </w:rPr>
        <w:t xml:space="preserve"> (יד) יישב דכיון דמת פקע מאמר דידיה, וכמו ע"י גירושין</w:t>
      </w:r>
      <w:r w:rsidRPr="0041053F">
        <w:rPr>
          <w:rStyle w:val="ac"/>
          <w:rFonts w:ascii="Narkisim" w:hAnsi="Narkisim" w:cs="Narkisim"/>
          <w:rtl/>
        </w:rPr>
        <w:footnoteReference w:id="1970"/>
      </w:r>
      <w:r w:rsidRPr="0041053F">
        <w:rPr>
          <w:rFonts w:ascii="Narkisim" w:hAnsi="Narkisim" w:cs="Narkisim"/>
          <w:rtl/>
        </w:rPr>
        <w:t xml:space="preserve"> </w:t>
      </w:r>
      <w:r w:rsidRPr="0041053F">
        <w:rPr>
          <w:rFonts w:ascii="Narkisim" w:hAnsi="Narkisim" w:cs="Narkisim"/>
          <w:szCs w:val="20"/>
          <w:rtl/>
        </w:rPr>
        <w:t>(ע' בסמוך)</w:t>
      </w:r>
      <w:r w:rsidRPr="0041053F">
        <w:rPr>
          <w:rFonts w:ascii="Narkisim" w:hAnsi="Narkisim" w:cs="Narkisim"/>
          <w:rtl/>
        </w:rPr>
        <w:t>, ואסורה רק משום גזירה, אבל אין כאן אישות ב' מתים.</w:t>
      </w:r>
    </w:p>
    <w:p w14:paraId="7714E7D4" w14:textId="77777777" w:rsidR="006074A5" w:rsidRPr="0041053F" w:rsidRDefault="006074A5" w:rsidP="006074A5">
      <w:pPr>
        <w:pStyle w:val="aa"/>
        <w:bidi/>
        <w:rPr>
          <w:rFonts w:ascii="Narkisim" w:hAnsi="Narkisim"/>
        </w:rPr>
      </w:pPr>
      <w:r w:rsidRPr="0041053F">
        <w:rPr>
          <w:rFonts w:ascii="Narkisim" w:hAnsi="Narkisim"/>
          <w:u w:val="single"/>
          <w:rtl/>
        </w:rPr>
        <w:t>שם</w:t>
      </w:r>
      <w:r w:rsidRPr="0041053F">
        <w:rPr>
          <w:rFonts w:ascii="Narkisim" w:hAnsi="Narkisim"/>
          <w:rtl/>
        </w:rPr>
        <w:t>. אלא מדרבנן וגזירה וכו'. ה</w:t>
      </w:r>
      <w:r w:rsidRPr="0041053F">
        <w:rPr>
          <w:rFonts w:ascii="Narkisim" w:hAnsi="Narkisim"/>
          <w:b/>
          <w:bCs/>
          <w:rtl/>
        </w:rPr>
        <w:t>תו"י</w:t>
      </w:r>
      <w:r w:rsidRPr="0041053F">
        <w:rPr>
          <w:rFonts w:ascii="Narkisim" w:hAnsi="Narkisim"/>
          <w:rtl/>
        </w:rPr>
        <w:t xml:space="preserve"> הק' א"כ מה השיב ר' שמעון (לעיל יט. הו' ברש"י) אם מאמרו של ראשון מאמר, אשת ראשון וכו'. ומבואר דהוה נידון אשת ב' מתים, ולא גזירה שמא ייבמו תרוייהו. [דאף אי הוה ספק וממ"נ שייך הך גזירה].</w:t>
      </w:r>
    </w:p>
    <w:p w14:paraId="780EA5BA"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 xml:space="preserve">חזו"א </w:t>
      </w:r>
      <w:r w:rsidRPr="0041053F">
        <w:rPr>
          <w:rFonts w:ascii="Narkisim" w:hAnsi="Narkisim"/>
          <w:rtl/>
        </w:rPr>
        <w:t>כת' לפרש דאף דהוה גזירה שמא ייבמו, מ"מ קבעו גדר הך גזירה מדרבנן דכל היכא דיש עליה זיקה מחמת ב' יבמין.</w:t>
      </w:r>
    </w:p>
    <w:p w14:paraId="64F8B832" w14:textId="77777777" w:rsidR="006074A5" w:rsidRPr="0041053F" w:rsidRDefault="006074A5" w:rsidP="006074A5">
      <w:pPr>
        <w:pStyle w:val="3"/>
        <w:bidi/>
        <w:rPr>
          <w:rFonts w:ascii="Narkisim" w:hAnsi="Narkisim"/>
        </w:rPr>
      </w:pPr>
      <w:r w:rsidRPr="0041053F">
        <w:rPr>
          <w:rFonts w:ascii="Narkisim" w:hAnsi="Narkisim"/>
          <w:rtl/>
        </w:rPr>
        <w:t>דף לב.</w:t>
      </w:r>
    </w:p>
    <w:p w14:paraId="34BF3819" w14:textId="77777777" w:rsidR="006074A5" w:rsidRPr="0041053F" w:rsidRDefault="006074A5" w:rsidP="006074A5">
      <w:pPr>
        <w:pStyle w:val="aa"/>
        <w:bidi/>
        <w:rPr>
          <w:rFonts w:ascii="Narkisim" w:hAnsi="Narkisim"/>
        </w:rPr>
      </w:pPr>
      <w:r w:rsidRPr="0041053F">
        <w:rPr>
          <w:rFonts w:ascii="Narkisim" w:hAnsi="Narkisim"/>
          <w:u w:val="single"/>
          <w:rtl/>
        </w:rPr>
        <w:t>אמר רבא נתן גט למאמרו וכו'.</w:t>
      </w:r>
      <w:r w:rsidRPr="0041053F">
        <w:rPr>
          <w:rFonts w:ascii="Narkisim" w:hAnsi="Narkisim"/>
          <w:rtl/>
        </w:rPr>
        <w:t xml:space="preserve"> בגמ' (לקמן נב:) רב חנניא מסתפק האם אפשר לתת גט למאמר לחוד, או דהוה כמגרש חצי אשה [דמאמר עלוי זיקה]. והצד דמהני דהאי לחודיה קאי והאי לחודיה קאי. וכן דעת רבא דמהני גט למאמר לחוד. ועפ"ז בסוגיין רבא לשיטתו.</w:t>
      </w:r>
    </w:p>
    <w:p w14:paraId="26D7DA12" w14:textId="77777777" w:rsidR="006074A5" w:rsidRPr="0041053F" w:rsidRDefault="006074A5" w:rsidP="006074A5">
      <w:pPr>
        <w:bidi/>
        <w:rPr>
          <w:rFonts w:ascii="Narkisim" w:hAnsi="Narkisim" w:cs="Narkisim"/>
        </w:rPr>
      </w:pPr>
      <w:r w:rsidRPr="0041053F">
        <w:rPr>
          <w:rFonts w:ascii="Narkisim" w:hAnsi="Narkisim" w:cs="Narkisim"/>
          <w:u w:val="single"/>
          <w:rtl/>
        </w:rPr>
        <w:t>נתן גט למאמרו, הותרה צרתה.</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הותרה אשתו הראשונה [של בעל המאמר]. </w:t>
      </w:r>
      <w:r w:rsidRPr="0041053F">
        <w:rPr>
          <w:rFonts w:ascii="Narkisim" w:hAnsi="Narkisim" w:cs="Narkisim"/>
          <w:szCs w:val="20"/>
          <w:rtl/>
        </w:rPr>
        <w:t>שהיא צרתה להתייבם [בנפילה שניה]</w:t>
      </w:r>
      <w:r w:rsidRPr="0041053F">
        <w:rPr>
          <w:rFonts w:ascii="Narkisim" w:hAnsi="Narkisim" w:cs="Narkisim"/>
          <w:rtl/>
        </w:rPr>
        <w:t xml:space="preserve">. דקאי אמתני'. </w:t>
      </w:r>
      <w:r w:rsidRPr="0041053F">
        <w:rPr>
          <w:rFonts w:ascii="Narkisim" w:hAnsi="Narkisim" w:cs="Narkisim"/>
          <w:sz w:val="20"/>
          <w:szCs w:val="20"/>
          <w:rtl/>
        </w:rPr>
        <w:t>[ו</w:t>
      </w:r>
      <w:r w:rsidRPr="0041053F">
        <w:rPr>
          <w:rFonts w:ascii="Narkisim" w:hAnsi="Narkisim" w:cs="Narkisim"/>
          <w:b/>
          <w:bCs/>
          <w:sz w:val="20"/>
          <w:szCs w:val="20"/>
          <w:rtl/>
        </w:rPr>
        <w:t>תוס</w:t>
      </w:r>
      <w:r w:rsidRPr="0041053F">
        <w:rPr>
          <w:rFonts w:ascii="Narkisim" w:hAnsi="Narkisim" w:cs="Narkisim"/>
          <w:sz w:val="20"/>
          <w:szCs w:val="20"/>
          <w:rtl/>
        </w:rPr>
        <w:t>' (נב: ד"ה או) פי' דכיון דבאות מב' בתים אינה אוסרת את חברתה. דהא אפי' נתן גט לזיקתו ולא למאמרו צרתה מותרת].</w:t>
      </w:r>
      <w:r w:rsidRPr="0041053F">
        <w:rPr>
          <w:rFonts w:ascii="Narkisim" w:hAnsi="Narkisim" w:cs="Narkisim"/>
          <w:rtl/>
        </w:rPr>
        <w:t xml:space="preserve"> ואילו צרתה ממש [שנפלה עמה בנפילה ראשונה] ודאי אסורה משום גזירת בעלת הגט [דומיא דבעלת הגט משום בית א' הוא בונה].</w:t>
      </w:r>
    </w:p>
    <w:p w14:paraId="41D5A6DA"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תוס' רא"ש</w:t>
      </w:r>
      <w:r w:rsidRPr="0041053F">
        <w:rPr>
          <w:rFonts w:ascii="Narkisim" w:hAnsi="Narkisim"/>
          <w:rtl/>
        </w:rPr>
        <w:t xml:space="preserve"> (לקמן נ: בשם ר' מנחם) ביאר דלגבי דידיה [בעל המאמר, כלפי הצרות] לא אמרי' מאי דעביד שקליה. וכן לגבי אחים נמי</w:t>
      </w:r>
      <w:r w:rsidRPr="0041053F">
        <w:rPr>
          <w:rStyle w:val="ac"/>
          <w:rFonts w:ascii="Narkisim" w:hAnsi="Narkisim"/>
          <w:rtl/>
        </w:rPr>
        <w:footnoteReference w:id="1971"/>
      </w:r>
      <w:r w:rsidRPr="0041053F">
        <w:rPr>
          <w:rFonts w:ascii="Narkisim" w:hAnsi="Narkisim"/>
          <w:rtl/>
        </w:rPr>
        <w:t xml:space="preserve">. [ומשמע דהגדר דל"מ גט להפקיע את המאמר, שיהיו רשאין לייבם. אלא לענין </w:t>
      </w:r>
      <w:r w:rsidRPr="0041053F">
        <w:rPr>
          <w:rFonts w:ascii="Narkisim" w:hAnsi="Narkisim"/>
          <w:rtl/>
        </w:rPr>
        <w:lastRenderedPageBreak/>
        <w:t>דלא נחשב שנופלת מחמת].</w:t>
      </w:r>
    </w:p>
    <w:p w14:paraId="3C6EC985"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(ושא"ר) הק' אמאי נקט נתן גט למאמרו, אפי' סתם גט [למאמר ולזיקה] תהא מותרת אשתו של מגרש. דהא מ"מ שקליה למאמר.</w:t>
      </w:r>
    </w:p>
    <w:p w14:paraId="0135C25F"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rtl/>
        </w:rPr>
        <w:t xml:space="preserve"> כת' דמסתבר דקאי אצרה דביתה [שנופלת עמה]. שפקע דין המאמר. וה</w:t>
      </w:r>
      <w:r w:rsidRPr="0041053F">
        <w:rPr>
          <w:rFonts w:ascii="Narkisim" w:hAnsi="Narkisim"/>
          <w:b/>
          <w:bCs/>
          <w:rtl/>
        </w:rPr>
        <w:t>רשב"א</w:t>
      </w:r>
      <w:r w:rsidRPr="0041053F">
        <w:rPr>
          <w:rFonts w:ascii="Narkisim" w:hAnsi="Narkisim"/>
          <w:rtl/>
        </w:rPr>
        <w:t xml:space="preserve"> ו</w:t>
      </w:r>
      <w:r w:rsidRPr="0041053F">
        <w:rPr>
          <w:rFonts w:ascii="Narkisim" w:hAnsi="Narkisim"/>
          <w:b/>
          <w:bCs/>
          <w:rtl/>
        </w:rPr>
        <w:t>ריטב"א</w:t>
      </w:r>
      <w:r w:rsidRPr="0041053F">
        <w:rPr>
          <w:rFonts w:ascii="Narkisim" w:hAnsi="Narkisim"/>
          <w:rtl/>
        </w:rPr>
        <w:t xml:space="preserve"> פי' דהך גזירה דבעלת הגט הוה דוקא למי שעשתה מאמר, ולא לצרתה. ורבא לא קאי אמתני', אלא אצרות דעלמא.</w:t>
      </w:r>
    </w:p>
    <w:p w14:paraId="066E5BD4" w14:textId="77777777" w:rsidR="006074A5" w:rsidRPr="0041053F" w:rsidRDefault="006074A5" w:rsidP="006074A5">
      <w:pPr>
        <w:pStyle w:val="aa"/>
        <w:bidi/>
        <w:rPr>
          <w:rFonts w:ascii="Narkisim" w:hAnsi="Narkisim"/>
        </w:rPr>
      </w:pPr>
      <w:r w:rsidRPr="0041053F">
        <w:rPr>
          <w:rFonts w:ascii="Narkisim" w:hAnsi="Narkisim"/>
          <w:u w:val="single"/>
          <w:rtl/>
        </w:rPr>
        <w:t>דמחלפה בבעלת הגט</w:t>
      </w:r>
      <w:r w:rsidRPr="0041053F">
        <w:rPr>
          <w:rFonts w:ascii="Narkisim" w:hAnsi="Narkisim"/>
          <w:rtl/>
        </w:rPr>
        <w:t>. פ</w:t>
      </w:r>
      <w:r w:rsidRPr="0041053F">
        <w:rPr>
          <w:rFonts w:ascii="Narkisim" w:hAnsi="Narkisim"/>
          <w:b/>
          <w:bCs/>
          <w:rtl/>
        </w:rPr>
        <w:t>רש"י</w:t>
      </w:r>
      <w:r w:rsidRPr="0041053F">
        <w:rPr>
          <w:rFonts w:ascii="Narkisim" w:hAnsi="Narkisim"/>
          <w:rtl/>
        </w:rPr>
        <w:t xml:space="preserve"> דליכא איסור משום לא יבנה [וכמו בגט לזיקתו], דא"כ אסורה אף לאחים. אלא הוה גזירה אטו בעלת הגט. וה</w:t>
      </w:r>
      <w:r w:rsidRPr="0041053F">
        <w:rPr>
          <w:rFonts w:ascii="Narkisim" w:hAnsi="Narkisim"/>
          <w:b/>
          <w:bCs/>
          <w:rtl/>
        </w:rPr>
        <w:t>ריטב"א</w:t>
      </w:r>
      <w:r w:rsidRPr="0041053F">
        <w:rPr>
          <w:rFonts w:ascii="Narkisim" w:hAnsi="Narkisim"/>
          <w:rtl/>
        </w:rPr>
        <w:t xml:space="preserve"> ביאר דלא הוה גזירה לגזירה, דכולה חדא גזירה.</w:t>
      </w:r>
    </w:p>
    <w:p w14:paraId="52C59906" w14:textId="77777777" w:rsidR="006074A5" w:rsidRPr="0041053F" w:rsidRDefault="006074A5" w:rsidP="006074A5">
      <w:pPr>
        <w:bidi/>
        <w:rPr>
          <w:rFonts w:ascii="Narkisim" w:hAnsi="Narkisim" w:cs="Narkisim"/>
        </w:rPr>
      </w:pPr>
      <w:r w:rsidRPr="0041053F">
        <w:rPr>
          <w:rFonts w:ascii="Narkisim" w:hAnsi="Narkisim" w:cs="Narkisim"/>
          <w:u w:val="single"/>
          <w:rtl/>
        </w:rPr>
        <w:t>איכא דאמרי וכו' הותרה אפי' היא.</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לאח שלישי, כשימות הב'</w:t>
      </w:r>
      <w:r w:rsidRPr="0041053F">
        <w:rPr>
          <w:rStyle w:val="ac"/>
          <w:rFonts w:ascii="Narkisim" w:hAnsi="Narkisim" w:cs="Narkisim"/>
          <w:rtl/>
        </w:rPr>
        <w:footnoteReference w:id="1972"/>
      </w:r>
      <w:r w:rsidRPr="0041053F">
        <w:rPr>
          <w:rFonts w:ascii="Narkisim" w:hAnsi="Narkisim" w:cs="Narkisim"/>
          <w:rtl/>
        </w:rPr>
        <w:t xml:space="preserve">. וכ"כ </w:t>
      </w:r>
      <w:r w:rsidRPr="0041053F">
        <w:rPr>
          <w:rFonts w:ascii="Narkisim" w:hAnsi="Narkisim" w:cs="Narkisim"/>
          <w:b/>
          <w:bCs/>
          <w:rtl/>
        </w:rPr>
        <w:t>רש"י</w:t>
      </w:r>
      <w:r w:rsidRPr="0041053F">
        <w:rPr>
          <w:rFonts w:ascii="Narkisim" w:hAnsi="Narkisim" w:cs="Narkisim"/>
          <w:rtl/>
        </w:rPr>
        <w:t xml:space="preserve"> (נב:) דמותרת רק לאחים, אבל אסורה ליבם שעשה מאמר ונתן גט. דמיחלף בבעלת הגט גמור</w:t>
      </w:r>
      <w:r w:rsidRPr="0041053F">
        <w:rPr>
          <w:rStyle w:val="ac"/>
          <w:rFonts w:ascii="Narkisim" w:hAnsi="Narkisim" w:cs="Narkisim"/>
          <w:rtl/>
        </w:rPr>
        <w:footnoteReference w:id="1973"/>
      </w:r>
      <w:r w:rsidRPr="0041053F">
        <w:rPr>
          <w:rFonts w:ascii="Narkisim" w:hAnsi="Narkisim" w:cs="Narkisim"/>
          <w:rtl/>
        </w:rPr>
        <w:t>, וכ"ד ה</w:t>
      </w:r>
      <w:r w:rsidRPr="0041053F">
        <w:rPr>
          <w:rFonts w:ascii="Narkisim" w:hAnsi="Narkisim" w:cs="Narkisim"/>
          <w:b/>
          <w:bCs/>
          <w:rtl/>
        </w:rPr>
        <w:t>רמב"ם</w:t>
      </w:r>
      <w:r w:rsidRPr="0041053F">
        <w:rPr>
          <w:rFonts w:ascii="Narkisim" w:hAnsi="Narkisim" w:cs="Narkisim"/>
          <w:rtl/>
        </w:rPr>
        <w:t xml:space="preserve"> (ה ד)</w:t>
      </w:r>
      <w:r w:rsidRPr="0041053F">
        <w:rPr>
          <w:rFonts w:ascii="Narkisim" w:hAnsi="Narkisim" w:cs="Narkisim"/>
          <w:sz w:val="20"/>
          <w:szCs w:val="20"/>
          <w:rtl/>
        </w:rPr>
        <w:t>.</w:t>
      </w:r>
      <w:r w:rsidRPr="0041053F">
        <w:rPr>
          <w:rFonts w:ascii="Narkisim" w:hAnsi="Narkisim" w:cs="Narkisim"/>
          <w:rtl/>
        </w:rPr>
        <w:t xml:space="preserve"> וה</w:t>
      </w:r>
      <w:r w:rsidRPr="0041053F">
        <w:rPr>
          <w:rFonts w:ascii="Narkisim" w:hAnsi="Narkisim" w:cs="Narkisim"/>
          <w:b/>
          <w:bCs/>
          <w:rtl/>
        </w:rPr>
        <w:t>רשב"א</w:t>
      </w:r>
      <w:r w:rsidRPr="0041053F">
        <w:rPr>
          <w:rFonts w:ascii="Narkisim" w:hAnsi="Narkisim" w:cs="Narkisim"/>
          <w:rtl/>
        </w:rPr>
        <w:t xml:space="preserve"> ביאר דדמי לממאנת ביבם (לקמן קח), דאסורה משום שעשה מעשה בה.</w:t>
      </w:r>
    </w:p>
    <w:p w14:paraId="018C6BAF" w14:textId="77777777" w:rsidR="006074A5" w:rsidRPr="0041053F" w:rsidRDefault="006074A5" w:rsidP="006074A5">
      <w:pPr>
        <w:pStyle w:val="a7"/>
        <w:bidi/>
        <w:rPr>
          <w:rFonts w:ascii="Narkisim" w:hAnsi="Narkisim"/>
        </w:rPr>
      </w:pPr>
      <w:r w:rsidRPr="0041053F">
        <w:rPr>
          <w:rFonts w:ascii="Narkisim" w:hAnsi="Narkisim"/>
          <w:rtl/>
        </w:rPr>
        <w:t xml:space="preserve">אבל </w:t>
      </w:r>
      <w:r w:rsidRPr="0041053F">
        <w:rPr>
          <w:rFonts w:ascii="Narkisim" w:hAnsi="Narkisim"/>
          <w:b/>
          <w:bCs/>
          <w:rtl/>
        </w:rPr>
        <w:t>תוס'</w:t>
      </w:r>
      <w:r w:rsidRPr="0041053F">
        <w:rPr>
          <w:rFonts w:ascii="Narkisim" w:hAnsi="Narkisim"/>
          <w:rtl/>
        </w:rPr>
        <w:t xml:space="preserve"> (נב: ד"ה או) כת' דמותרת אפי' לו. וכ"ד ה</w:t>
      </w:r>
      <w:r w:rsidRPr="0041053F">
        <w:rPr>
          <w:rFonts w:ascii="Narkisim" w:hAnsi="Narkisim"/>
          <w:b/>
          <w:bCs/>
          <w:rtl/>
        </w:rPr>
        <w:t>ראב"ד</w:t>
      </w:r>
      <w:r w:rsidRPr="0041053F">
        <w:rPr>
          <w:rFonts w:ascii="Narkisim" w:hAnsi="Narkisim"/>
          <w:rtl/>
        </w:rPr>
        <w:t xml:space="preserve"> (ה ד) ושא"ר.</w:t>
      </w:r>
    </w:p>
    <w:p w14:paraId="030BCD67" w14:textId="77777777" w:rsidR="006074A5" w:rsidRPr="0041053F" w:rsidRDefault="006074A5" w:rsidP="006074A5">
      <w:pPr>
        <w:bidi/>
        <w:rPr>
          <w:rFonts w:ascii="Narkisim" w:hAnsi="Narkisim" w:cs="Narkisim"/>
        </w:rPr>
      </w:pPr>
      <w:r w:rsidRPr="0041053F">
        <w:rPr>
          <w:rFonts w:ascii="Narkisim" w:hAnsi="Narkisim" w:cs="Narkisim"/>
          <w:u w:val="single"/>
          <w:rtl/>
        </w:rPr>
        <w:t>שם. הותרה אפי' היא</w:t>
      </w:r>
      <w:r w:rsidRPr="0041053F">
        <w:rPr>
          <w:rFonts w:ascii="Narkisim" w:hAnsi="Narkisim" w:cs="Narkisim"/>
          <w:rtl/>
        </w:rPr>
        <w:t>. ה</w:t>
      </w:r>
      <w:r w:rsidRPr="0041053F">
        <w:rPr>
          <w:rFonts w:ascii="Narkisim" w:hAnsi="Narkisim" w:cs="Narkisim"/>
          <w:b/>
          <w:bCs/>
          <w:rtl/>
        </w:rPr>
        <w:t>תו"י</w:t>
      </w:r>
      <w:r w:rsidRPr="0041053F">
        <w:rPr>
          <w:rFonts w:ascii="Narkisim" w:hAnsi="Narkisim" w:cs="Narkisim"/>
          <w:rtl/>
        </w:rPr>
        <w:t xml:space="preserve"> הק' דעכ"פ הוה גרושת אחיו, ואמאי הותרה</w:t>
      </w:r>
      <w:r w:rsidRPr="0041053F">
        <w:rPr>
          <w:rStyle w:val="ac"/>
          <w:rFonts w:ascii="Narkisim" w:hAnsi="Narkisim" w:cs="Narkisim"/>
          <w:rtl/>
        </w:rPr>
        <w:footnoteReference w:id="1974"/>
      </w:r>
      <w:r w:rsidRPr="0041053F">
        <w:rPr>
          <w:rFonts w:ascii="Narkisim" w:hAnsi="Narkisim" w:cs="Narkisim"/>
          <w:rtl/>
        </w:rPr>
        <w:t>. ותי' דכיון דלא נתן גט אלא להפקיע מאמר, ומאמר דעבד שקליה, נמצא כאילו לא היתה אשתו לעולם. [וה</w:t>
      </w:r>
      <w:r w:rsidRPr="0041053F">
        <w:rPr>
          <w:rFonts w:ascii="Narkisim" w:hAnsi="Narkisim" w:cs="Narkisim"/>
          <w:b/>
          <w:bCs/>
          <w:rtl/>
        </w:rPr>
        <w:t>חזו"א</w:t>
      </w:r>
      <w:r w:rsidRPr="0041053F">
        <w:rPr>
          <w:rFonts w:ascii="Narkisim" w:hAnsi="Narkisim" w:cs="Narkisim"/>
          <w:rtl/>
        </w:rPr>
        <w:t xml:space="preserve"> (קלד) תמה בזה, וע"ע קה"י כח].</w:t>
      </w:r>
    </w:p>
    <w:p w14:paraId="76D39E11"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האם כוונתו דגדר גט למאמר דעוקרו למפרע, או דע"י הגט פקע מכאן ולהבא, ואף איסור קרובים פקע</w:t>
      </w:r>
      <w:r w:rsidRPr="0041053F">
        <w:rPr>
          <w:rFonts w:ascii="Narkisim" w:hAnsi="Narkisim"/>
          <w:sz w:val="20"/>
          <w:szCs w:val="20"/>
          <w:rtl/>
        </w:rPr>
        <w:t xml:space="preserve"> [וכמו שאין איסור קרובים אי פקע זיקה ע' לעיל יח.</w:t>
      </w:r>
      <w:r w:rsidRPr="0041053F">
        <w:rPr>
          <w:rStyle w:val="ac"/>
          <w:rFonts w:ascii="Narkisim" w:hAnsi="Narkisim"/>
          <w:sz w:val="20"/>
          <w:szCs w:val="20"/>
          <w:rtl/>
        </w:rPr>
        <w:footnoteReference w:id="1975"/>
      </w:r>
      <w:r w:rsidRPr="0041053F">
        <w:rPr>
          <w:rFonts w:ascii="Narkisim" w:hAnsi="Narkisim"/>
          <w:sz w:val="20"/>
          <w:szCs w:val="20"/>
          <w:rtl/>
        </w:rPr>
        <w:t>]</w:t>
      </w:r>
      <w:r w:rsidRPr="0041053F">
        <w:rPr>
          <w:rFonts w:ascii="Narkisim" w:hAnsi="Narkisim"/>
          <w:rtl/>
        </w:rPr>
        <w:t>.</w:t>
      </w:r>
    </w:p>
    <w:p w14:paraId="2F63D99D"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גרנ"ט</w:t>
      </w:r>
      <w:r w:rsidRPr="0041053F">
        <w:rPr>
          <w:rFonts w:ascii="Narkisim" w:hAnsi="Narkisim"/>
          <w:rtl/>
        </w:rPr>
        <w:t xml:space="preserve"> (יד) ביאר דע"י הגט בטל המאמר למפרע. ועפ"ז כתב דאף כשמת היבם בטל המאמר, והא דמבואר במשנה [וכן לעיל ל.] דאסורה אחרי שמת, הוה רק משום גזירה. אבל ה</w:t>
      </w:r>
      <w:r w:rsidRPr="0041053F">
        <w:rPr>
          <w:rFonts w:ascii="Narkisim" w:hAnsi="Narkisim"/>
          <w:b/>
          <w:bCs/>
          <w:rtl/>
        </w:rPr>
        <w:t xml:space="preserve">חזו"א </w:t>
      </w:r>
      <w:r w:rsidRPr="0041053F">
        <w:rPr>
          <w:rFonts w:ascii="Narkisim" w:hAnsi="Narkisim"/>
          <w:rtl/>
        </w:rPr>
        <w:t>(קיח ח) כת' דמיתה אינה עוקרת את המאמר אלא מקיימת, ומתירתה במיתת הבעל.</w:t>
      </w:r>
    </w:p>
    <w:p w14:paraId="24A028B0" w14:textId="77777777" w:rsidR="006074A5" w:rsidRPr="0041053F" w:rsidRDefault="006074A5" w:rsidP="006074A5">
      <w:pPr>
        <w:pStyle w:val="a7"/>
        <w:bidi/>
        <w:rPr>
          <w:rFonts w:ascii="Narkisim" w:hAnsi="Narkisim"/>
        </w:rPr>
      </w:pPr>
      <w:r w:rsidRPr="0041053F">
        <w:rPr>
          <w:rFonts w:ascii="Narkisim" w:hAnsi="Narkisim"/>
          <w:rtl/>
        </w:rPr>
        <w:t>וב</w:t>
      </w:r>
      <w:r w:rsidRPr="0041053F">
        <w:rPr>
          <w:rFonts w:ascii="Narkisim" w:hAnsi="Narkisim"/>
          <w:b/>
          <w:bCs/>
          <w:rtl/>
        </w:rPr>
        <w:t>שו"ת הרשב"א</w:t>
      </w:r>
      <w:r w:rsidRPr="0041053F">
        <w:rPr>
          <w:rFonts w:ascii="Narkisim" w:hAnsi="Narkisim"/>
          <w:rtl/>
        </w:rPr>
        <w:t xml:space="preserve"> (ד שג) תי' דעיקר הטעם משום דמאמר דרבנן הוא, ולא החמירו בכה"ג טפי לומר שתהא ככנוסה גמורה לזה שעשה בה מאמר, לענין שתאסר על האחים משום גרושת אחיו. וכן קי"ל (לקמן נ) דיש מאמר אחר מאמר, ולא אמרו שתהא כמקודשת גמורה, ושלא יהא מאמר האחין קונה בה מעתה</w:t>
      </w:r>
      <w:r w:rsidRPr="0041053F">
        <w:rPr>
          <w:rStyle w:val="ac"/>
          <w:rFonts w:ascii="Narkisim" w:hAnsi="Narkisim"/>
          <w:rtl/>
        </w:rPr>
        <w:footnoteReference w:id="1976"/>
      </w:r>
      <w:r w:rsidRPr="0041053F">
        <w:rPr>
          <w:rFonts w:ascii="Narkisim" w:hAnsi="Narkisim"/>
          <w:rtl/>
        </w:rPr>
        <w:t xml:space="preserve">. </w:t>
      </w:r>
      <w:r w:rsidRPr="0041053F">
        <w:rPr>
          <w:rFonts w:ascii="Narkisim" w:hAnsi="Narkisim"/>
          <w:szCs w:val="20"/>
          <w:rtl/>
        </w:rPr>
        <w:t>[ולכאורה כוונתו דלא גזרו איסור קרובים בקידושי מאמר. והא דמאמר מהני לאסור על אחיו הוה מגדרי לא יבנה, שהתחיל לבנות. ומש"ה לאחר שנתן גט למאמרו מותרת לאחיו</w:t>
      </w:r>
      <w:r w:rsidRPr="0041053F">
        <w:rPr>
          <w:rFonts w:ascii="Narkisim" w:hAnsi="Narkisim"/>
          <w:rtl/>
        </w:rPr>
        <w:t>].</w:t>
      </w:r>
    </w:p>
    <w:p w14:paraId="2F45BACF" w14:textId="77777777" w:rsidR="006074A5" w:rsidRPr="0041053F" w:rsidRDefault="006074A5" w:rsidP="006074A5">
      <w:pPr>
        <w:pStyle w:val="2"/>
        <w:bidi/>
        <w:rPr>
          <w:rFonts w:ascii="Narkisim" w:hAnsi="Narkisim"/>
        </w:rPr>
      </w:pPr>
      <w:r w:rsidRPr="0041053F">
        <w:rPr>
          <w:rFonts w:ascii="Narkisim" w:hAnsi="Narkisim"/>
          <w:rtl/>
        </w:rPr>
        <w:t>אין איסור אחות אשה חל על אשת אח</w:t>
      </w:r>
    </w:p>
    <w:p w14:paraId="211C6CFF" w14:textId="77777777" w:rsidR="006074A5" w:rsidRPr="0041053F" w:rsidRDefault="006074A5" w:rsidP="006074A5">
      <w:pPr>
        <w:pStyle w:val="aa"/>
        <w:bidi/>
        <w:rPr>
          <w:rFonts w:ascii="Narkisim" w:hAnsi="Narkisim"/>
        </w:rPr>
      </w:pPr>
      <w:r w:rsidRPr="0041053F">
        <w:rPr>
          <w:rFonts w:ascii="Narkisim" w:hAnsi="Narkisim"/>
          <w:u w:val="single"/>
          <w:rtl/>
        </w:rPr>
        <w:t>פשיטא ומה התם דלא מידחיא מהאי ביתא לגמרי וכו'</w:t>
      </w:r>
      <w:r w:rsidRPr="0041053F">
        <w:rPr>
          <w:rFonts w:ascii="Narkisim" w:hAnsi="Narkisim"/>
          <w:rtl/>
        </w:rPr>
        <w:t>. ועד"ז בגמ' (לעיל ל.) יש צריכותא</w:t>
      </w:r>
      <w:r w:rsidRPr="0041053F">
        <w:rPr>
          <w:rStyle w:val="ac"/>
          <w:rFonts w:ascii="Narkisim" w:hAnsi="Narkisim"/>
          <w:rtl/>
        </w:rPr>
        <w:footnoteReference w:id="1977"/>
      </w:r>
      <w:r w:rsidRPr="0041053F">
        <w:rPr>
          <w:rFonts w:ascii="Narkisim" w:hAnsi="Narkisim"/>
          <w:rtl/>
        </w:rPr>
        <w:t>, דאימא מיגו דחזיא להאי, חזיא נמי להאי</w:t>
      </w:r>
      <w:r w:rsidRPr="0041053F">
        <w:rPr>
          <w:rStyle w:val="ac"/>
          <w:rFonts w:ascii="Narkisim" w:hAnsi="Narkisim"/>
          <w:rtl/>
        </w:rPr>
        <w:footnoteReference w:id="1978"/>
      </w:r>
      <w:r w:rsidRPr="0041053F">
        <w:rPr>
          <w:rFonts w:ascii="Narkisim" w:hAnsi="Narkisim"/>
          <w:rtl/>
        </w:rPr>
        <w:t>. קמ"ל. [וע' מש"כ שם].</w:t>
      </w:r>
    </w:p>
    <w:p w14:paraId="5A8E2549" w14:textId="77777777" w:rsidR="006074A5" w:rsidRPr="0041053F" w:rsidRDefault="006074A5" w:rsidP="006074A5">
      <w:pPr>
        <w:bidi/>
        <w:rPr>
          <w:rFonts w:ascii="Narkisim" w:hAnsi="Narkisim" w:cs="Narkisim"/>
        </w:rPr>
      </w:pPr>
      <w:r w:rsidRPr="0041053F">
        <w:rPr>
          <w:rFonts w:ascii="Narkisim" w:hAnsi="Narkisim" w:cs="Narkisim"/>
          <w:u w:val="single"/>
          <w:rtl/>
        </w:rPr>
        <w:t>ת"ר הבא עליה חייב משום אשת אח ומשום אחות אשה.</w:t>
      </w:r>
      <w:r w:rsidRPr="0041053F">
        <w:rPr>
          <w:rFonts w:ascii="Narkisim" w:hAnsi="Narkisim" w:cs="Narkisim"/>
          <w:rtl/>
        </w:rPr>
        <w:t xml:space="preserve"> ה</w:t>
      </w:r>
      <w:r w:rsidRPr="0041053F">
        <w:rPr>
          <w:rFonts w:ascii="Narkisim" w:hAnsi="Narkisim" w:cs="Narkisim"/>
          <w:b/>
          <w:bCs/>
          <w:rtl/>
        </w:rPr>
        <w:t>רשב"א</w:t>
      </w:r>
      <w:r w:rsidRPr="0041053F">
        <w:rPr>
          <w:rFonts w:ascii="Narkisim" w:hAnsi="Narkisim" w:cs="Narkisim"/>
          <w:rtl/>
        </w:rPr>
        <w:t xml:space="preserve"> הביא בשם </w:t>
      </w:r>
      <w:r w:rsidRPr="0041053F">
        <w:rPr>
          <w:rFonts w:ascii="Narkisim" w:hAnsi="Narkisim" w:cs="Narkisim"/>
          <w:b/>
          <w:bCs/>
          <w:rtl/>
        </w:rPr>
        <w:t>ר"ח</w:t>
      </w:r>
      <w:r w:rsidRPr="0041053F">
        <w:rPr>
          <w:rFonts w:ascii="Narkisim" w:hAnsi="Narkisim" w:cs="Narkisim"/>
          <w:rtl/>
        </w:rPr>
        <w:t xml:space="preserve"> דאפי' שמתה אשתו אח"כ חייב משום אחות אשה. וה</w:t>
      </w:r>
      <w:r w:rsidRPr="0041053F">
        <w:rPr>
          <w:rFonts w:ascii="Narkisim" w:hAnsi="Narkisim" w:cs="Narkisim"/>
          <w:b/>
          <w:bCs/>
          <w:rtl/>
        </w:rPr>
        <w:t>רשב"א</w:t>
      </w:r>
      <w:r w:rsidRPr="0041053F">
        <w:rPr>
          <w:rFonts w:ascii="Narkisim" w:hAnsi="Narkisim" w:cs="Narkisim"/>
          <w:rtl/>
        </w:rPr>
        <w:t xml:space="preserve"> תמה דאיסור אחות אשתו הוא רק בחיי אשתו. אך הביא שב</w:t>
      </w:r>
      <w:r w:rsidRPr="0041053F">
        <w:rPr>
          <w:rFonts w:ascii="Narkisim" w:hAnsi="Narkisim" w:cs="Narkisim"/>
          <w:b/>
          <w:bCs/>
          <w:rtl/>
        </w:rPr>
        <w:t>תוספתא</w:t>
      </w:r>
      <w:r w:rsidRPr="0041053F">
        <w:rPr>
          <w:rFonts w:ascii="Narkisim" w:hAnsi="Narkisim" w:cs="Narkisim"/>
          <w:rtl/>
        </w:rPr>
        <w:t xml:space="preserve"> מבואר כר"ח, הרי זו אסורה עליו עולמית הואיל ונאסרה </w:t>
      </w:r>
      <w:r w:rsidRPr="0041053F">
        <w:rPr>
          <w:rFonts w:ascii="Narkisim" w:hAnsi="Narkisim" w:cs="Narkisim"/>
          <w:rtl/>
        </w:rPr>
        <w:lastRenderedPageBreak/>
        <w:t>שעה אחת, ואם בא עליה חייב משום אשת אח ואחות אשה.</w:t>
      </w:r>
    </w:p>
    <w:p w14:paraId="1A3959A2"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ריטב"א</w:t>
      </w:r>
      <w:r w:rsidRPr="0041053F">
        <w:rPr>
          <w:rStyle w:val="ac"/>
          <w:rFonts w:ascii="Narkisim" w:hAnsi="Narkisim"/>
          <w:rtl/>
        </w:rPr>
        <w:footnoteReference w:id="1979"/>
      </w:r>
      <w:r w:rsidRPr="0041053F">
        <w:rPr>
          <w:rFonts w:ascii="Narkisim" w:hAnsi="Narkisim"/>
          <w:rtl/>
        </w:rPr>
        <w:t xml:space="preserve"> דחה דהתוספתא לצדדים קתני, ואיירי כשבא עליה קודם שמתה אשתו חייב.</w:t>
      </w:r>
    </w:p>
    <w:p w14:paraId="253055D9" w14:textId="77777777" w:rsidR="006074A5" w:rsidRPr="0041053F" w:rsidRDefault="006074A5" w:rsidP="006074A5">
      <w:pPr>
        <w:bidi/>
        <w:rPr>
          <w:rFonts w:ascii="Narkisim" w:hAnsi="Narkisim" w:cs="Narkisim"/>
        </w:rPr>
      </w:pPr>
      <w:r w:rsidRPr="0041053F">
        <w:rPr>
          <w:rFonts w:ascii="Narkisim" w:hAnsi="Narkisim" w:cs="Narkisim"/>
          <w:rtl/>
        </w:rPr>
        <w:t xml:space="preserve">ומבואר בדברי ר"ח דכיון ש'נאסרה' נחשב דעדיין עומדת באיסור אחות אשה. וצ"ב דלכאו' הא דנאסרה הוה מדיני היבום, להחשב אשת אח. ואיזה צד יש להחשב אחות אשתו. </w:t>
      </w:r>
      <w:r w:rsidRPr="0041053F">
        <w:rPr>
          <w:rFonts w:ascii="Narkisim" w:hAnsi="Narkisim" w:cs="Narkisim"/>
          <w:sz w:val="20"/>
          <w:szCs w:val="20"/>
          <w:rtl/>
        </w:rPr>
        <w:t>וב</w:t>
      </w:r>
      <w:r w:rsidRPr="0041053F">
        <w:rPr>
          <w:rFonts w:ascii="Narkisim" w:hAnsi="Narkisim" w:cs="Narkisim"/>
          <w:b/>
          <w:bCs/>
          <w:sz w:val="20"/>
          <w:szCs w:val="20"/>
          <w:rtl/>
        </w:rPr>
        <w:t>שיע' ר' שמואל</w:t>
      </w:r>
      <w:r w:rsidRPr="0041053F">
        <w:rPr>
          <w:rFonts w:ascii="Narkisim" w:hAnsi="Narkisim" w:cs="Narkisim"/>
          <w:sz w:val="20"/>
          <w:szCs w:val="20"/>
          <w:rtl/>
        </w:rPr>
        <w:t xml:space="preserve"> ביאר ע"פ הצד דצרת ערוה הוה איסור ערוה חדש [דעת הפורת יוסף, ע' לעיל ב. וג:]. ומש"ה נחשב דעדיין יש איסור צרת ערוה, ואף הערוה עצמה לא גרע מצרתה.</w:t>
      </w:r>
    </w:p>
    <w:p w14:paraId="4A5A2FF0" w14:textId="77777777" w:rsidR="006074A5" w:rsidRPr="0041053F" w:rsidRDefault="006074A5" w:rsidP="006074A5">
      <w:pPr>
        <w:pStyle w:val="aa"/>
        <w:bidi/>
        <w:rPr>
          <w:rFonts w:ascii="Narkisim" w:hAnsi="Narkisim"/>
        </w:rPr>
      </w:pPr>
      <w:r w:rsidRPr="0041053F">
        <w:rPr>
          <w:rFonts w:ascii="Narkisim" w:hAnsi="Narkisim"/>
          <w:u w:val="single"/>
          <w:rtl/>
        </w:rPr>
        <w:t>תוד"ה שנשא חי.</w:t>
      </w:r>
      <w:r w:rsidRPr="0041053F">
        <w:rPr>
          <w:rFonts w:ascii="Narkisim" w:hAnsi="Narkisim"/>
          <w:rtl/>
        </w:rPr>
        <w:t xml:space="preserve"> בי"ש (לעיל יג:) וכו' חשבי שלא במקום מצווה וכו'. דדעת בי"ש דע"י דין אין איסור חל על איסור נחשב דאינה אשת אח כלל</w:t>
      </w:r>
      <w:r w:rsidRPr="0041053F">
        <w:rPr>
          <w:rStyle w:val="ac"/>
          <w:rFonts w:ascii="Narkisim" w:hAnsi="Narkisim"/>
          <w:rtl/>
        </w:rPr>
        <w:footnoteReference w:id="1980"/>
      </w:r>
      <w:r w:rsidRPr="0041053F">
        <w:rPr>
          <w:rFonts w:ascii="Narkisim" w:hAnsi="Narkisim"/>
          <w:rtl/>
        </w:rPr>
        <w:t>. וצ"ב דאף דלא חל איסור, סוף סוף הרי היתה אשתו של אחיו, ואישות של אחיו זוקק להקמת שם. [וכמ"ש תוס' בדעת ר' שמעון].</w:t>
      </w:r>
    </w:p>
    <w:p w14:paraId="00EDD652"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מאירי</w:t>
      </w:r>
      <w:r w:rsidRPr="0041053F">
        <w:rPr>
          <w:rFonts w:ascii="Narkisim" w:hAnsi="Narkisim"/>
          <w:rtl/>
        </w:rPr>
        <w:t xml:space="preserve"> (יג:) פי' דכשם שאין אחות אשה נקראת אשת אח לענין שיחול עליה איסור אשת אח, לא חייל עליה נמי שם אשת אח לענין זיקת יבום, לאסור צרתה. והו"ל כצרת ערוה שלא במקום מצוה. [ויל"פ כוונתו דהוה ילפותא].</w:t>
      </w:r>
    </w:p>
    <w:p w14:paraId="3F43A9E2" w14:textId="77777777" w:rsidR="006074A5" w:rsidRPr="0041053F" w:rsidRDefault="006074A5" w:rsidP="006074A5">
      <w:pPr>
        <w:pStyle w:val="a8"/>
        <w:bidi/>
        <w:rPr>
          <w:rFonts w:ascii="Narkisim" w:hAnsi="Narkisim"/>
        </w:rPr>
      </w:pPr>
      <w:r w:rsidRPr="0041053F">
        <w:rPr>
          <w:rFonts w:ascii="Narkisim" w:hAnsi="Narkisim"/>
          <w:rtl/>
        </w:rPr>
        <w:t>ומשמע מדברי המאירי דבי"ש לשיטתם דלית להו מיתלא תלי (ע' בסמוך).</w:t>
      </w:r>
    </w:p>
    <w:p w14:paraId="21D90F62" w14:textId="77777777" w:rsidR="006074A5" w:rsidRPr="0041053F" w:rsidRDefault="006074A5" w:rsidP="006074A5">
      <w:pPr>
        <w:pStyle w:val="aa"/>
        <w:bidi/>
        <w:rPr>
          <w:rFonts w:ascii="Narkisim" w:hAnsi="Narkisim"/>
        </w:rPr>
      </w:pPr>
      <w:r w:rsidRPr="0041053F">
        <w:rPr>
          <w:rFonts w:ascii="Narkisim" w:hAnsi="Narkisim"/>
          <w:rtl/>
        </w:rPr>
        <w:t xml:space="preserve">ויש </w:t>
      </w:r>
      <w:r w:rsidRPr="0041053F">
        <w:rPr>
          <w:rFonts w:ascii="Narkisim" w:hAnsi="Narkisim"/>
          <w:b/>
          <w:bCs/>
          <w:rtl/>
        </w:rPr>
        <w:t>אחרונים</w:t>
      </w:r>
      <w:r w:rsidRPr="0041053F">
        <w:rPr>
          <w:rFonts w:ascii="Narkisim" w:hAnsi="Narkisim"/>
          <w:rtl/>
        </w:rPr>
        <w:t xml:space="preserve"> שביארו דגדר הנפילה ליבום הוה מחמת ערות אשת אח, דהתורה צוותה איסור עריות, ובמקום יבום צווי התורה דאדרבה היבם קם תחתיו</w:t>
      </w:r>
      <w:r w:rsidRPr="0041053F">
        <w:rPr>
          <w:rStyle w:val="ac"/>
          <w:rFonts w:ascii="Narkisim" w:hAnsi="Narkisim"/>
          <w:rtl/>
        </w:rPr>
        <w:footnoteReference w:id="1981"/>
      </w:r>
      <w:r w:rsidRPr="0041053F">
        <w:rPr>
          <w:rFonts w:ascii="Narkisim" w:hAnsi="Narkisim"/>
          <w:rtl/>
        </w:rPr>
        <w:t>. ומש"ה איירי דוקא במקום שיש פרשת ערווה דאשת אח. וכיון דאין איסור חל על איסור ליכא פרשת יבום.</w:t>
      </w:r>
    </w:p>
    <w:p w14:paraId="1F2FDE19" w14:textId="77777777" w:rsidR="006074A5" w:rsidRPr="0041053F" w:rsidRDefault="006074A5" w:rsidP="006074A5">
      <w:pPr>
        <w:pStyle w:val="a8"/>
        <w:bidi/>
        <w:rPr>
          <w:rFonts w:ascii="Narkisim" w:hAnsi="Narkisim"/>
        </w:rPr>
      </w:pPr>
      <w:r w:rsidRPr="0041053F">
        <w:rPr>
          <w:rFonts w:ascii="Narkisim" w:hAnsi="Narkisim"/>
          <w:rtl/>
        </w:rPr>
        <w:t>אך קשה אמאי תלי באיסור בפועל, דאף דאין איסור חל על איסור, מ"מ הוה אשתו של אחיו. ויש כאן סיבת האיסור (ע"ע בע"ב). ולכאו' צ"ל בדעת בית שמאי דגדר אין איסור חל על איסור דאינה בכלל פרשת ערות אשת אח כלל. [ולא חל אף סיבת האיסור].</w:t>
      </w:r>
    </w:p>
    <w:p w14:paraId="0A68211A" w14:textId="77777777" w:rsidR="006074A5" w:rsidRPr="0041053F" w:rsidRDefault="006074A5" w:rsidP="006074A5">
      <w:pPr>
        <w:pStyle w:val="a8"/>
        <w:bidi/>
        <w:rPr>
          <w:rFonts w:ascii="Narkisim" w:hAnsi="Narkisim"/>
        </w:rPr>
      </w:pPr>
      <w:r w:rsidRPr="0041053F">
        <w:rPr>
          <w:rFonts w:ascii="Narkisim" w:hAnsi="Narkisim"/>
          <w:rtl/>
        </w:rPr>
        <w:t>וב</w:t>
      </w:r>
      <w:r w:rsidRPr="0041053F">
        <w:rPr>
          <w:rFonts w:ascii="Narkisim" w:hAnsi="Narkisim"/>
          <w:b/>
          <w:bCs/>
          <w:rtl/>
        </w:rPr>
        <w:t>חי' ר' שמעון</w:t>
      </w:r>
      <w:r w:rsidRPr="0041053F">
        <w:rPr>
          <w:rFonts w:ascii="Narkisim" w:hAnsi="Narkisim"/>
          <w:rtl/>
        </w:rPr>
        <w:t xml:space="preserve"> (ד) פי' דגדר זיקת יבום הוה משום שאישות אחיו עדיין קיימת, ע"י שנשאר האיסור אשת אח. [ונקט דגדר איסור קרובים לאחר מיתה, דהאישות נשאר כלפי זה]. ומש"ה היכא דאין איסור חל על איסור, ופקע האיסור [כלפי יבם זה</w:t>
      </w:r>
      <w:r w:rsidRPr="0041053F">
        <w:rPr>
          <w:rStyle w:val="ac"/>
          <w:rFonts w:ascii="Narkisim" w:hAnsi="Narkisim"/>
          <w:rtl/>
        </w:rPr>
        <w:footnoteReference w:id="1982"/>
      </w:r>
      <w:r w:rsidRPr="0041053F">
        <w:rPr>
          <w:rFonts w:ascii="Narkisim" w:hAnsi="Narkisim"/>
          <w:rtl/>
        </w:rPr>
        <w:t>], א"כ לא נשאר אישות האח. ול"ש יבום.</w:t>
      </w:r>
    </w:p>
    <w:p w14:paraId="57CAA8E0" w14:textId="77777777" w:rsidR="006074A5" w:rsidRPr="0041053F" w:rsidRDefault="006074A5" w:rsidP="006074A5">
      <w:pPr>
        <w:pStyle w:val="aa"/>
        <w:bidi/>
        <w:rPr>
          <w:rFonts w:ascii="Narkisim" w:hAnsi="Narkisim"/>
        </w:rPr>
      </w:pPr>
      <w:r w:rsidRPr="0041053F">
        <w:rPr>
          <w:rFonts w:ascii="Narkisim" w:hAnsi="Narkisim"/>
          <w:u w:val="single"/>
          <w:rtl/>
        </w:rPr>
        <w:t>בא"ד ר' שמעון ל"ל הך סברא, דמ"מ היא אשת אחיו</w:t>
      </w:r>
      <w:r w:rsidRPr="0041053F">
        <w:rPr>
          <w:rFonts w:ascii="Narkisim" w:hAnsi="Narkisim"/>
          <w:rtl/>
        </w:rPr>
        <w:t>. ואף דלא חל 'איסור' [ופליג אסברא הנ"ל].</w:t>
      </w:r>
    </w:p>
    <w:p w14:paraId="14BD8FB1" w14:textId="77777777" w:rsidR="006074A5" w:rsidRPr="0041053F" w:rsidRDefault="006074A5" w:rsidP="006074A5">
      <w:pPr>
        <w:pStyle w:val="a8"/>
        <w:bidi/>
        <w:rPr>
          <w:rFonts w:ascii="Narkisim" w:hAnsi="Narkisim"/>
        </w:rPr>
      </w:pPr>
      <w:r w:rsidRPr="0041053F">
        <w:rPr>
          <w:rFonts w:ascii="Narkisim" w:hAnsi="Narkisim"/>
          <w:rtl/>
        </w:rPr>
        <w:t>אבל ה</w:t>
      </w:r>
      <w:r w:rsidRPr="0041053F">
        <w:rPr>
          <w:rFonts w:ascii="Narkisim" w:hAnsi="Narkisim"/>
          <w:b/>
          <w:bCs/>
          <w:rtl/>
        </w:rPr>
        <w:t>ריטב"א</w:t>
      </w:r>
      <w:r w:rsidRPr="0041053F">
        <w:rPr>
          <w:rFonts w:ascii="Narkisim" w:hAnsi="Narkisim"/>
          <w:rtl/>
        </w:rPr>
        <w:t xml:space="preserve"> (לעיל יג:) כת' דבית הלל ס"ל דחייל איסור אשת אח אשה דהוה איסור מוסיף, דמיגו שנאסרה בשאר אחים נאסרה עליו. [אך קשה מדברי ר' שמעון בסוגיין].</w:t>
      </w:r>
    </w:p>
    <w:p w14:paraId="473E2582"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(שם, והריטב"א בתי' הב' וכ"כ בשו"ת הרשב"א ו כה) תי' דכיון דלגבי שאר האחים הו"ל אשת אח, מש"ה נחשב שעת נפילה [כלפי שאר אחים</w:t>
      </w:r>
      <w:r w:rsidRPr="0041053F">
        <w:rPr>
          <w:rStyle w:val="ac"/>
          <w:rFonts w:ascii="Narkisim" w:hAnsi="Narkisim"/>
          <w:rtl/>
        </w:rPr>
        <w:footnoteReference w:id="1983"/>
      </w:r>
      <w:r w:rsidRPr="0041053F">
        <w:rPr>
          <w:rFonts w:ascii="Narkisim" w:hAnsi="Narkisim"/>
          <w:rtl/>
        </w:rPr>
        <w:t>], ונחשב מקום מצוה אף לאח זה. ופוטרת צרתה.</w:t>
      </w:r>
    </w:p>
    <w:p w14:paraId="3631CC83" w14:textId="77777777" w:rsidR="006074A5" w:rsidRPr="0041053F" w:rsidRDefault="006074A5" w:rsidP="006074A5">
      <w:pPr>
        <w:bidi/>
        <w:rPr>
          <w:rFonts w:ascii="Narkisim" w:hAnsi="Narkisim" w:cs="Narkisim"/>
        </w:rPr>
      </w:pPr>
      <w:r w:rsidRPr="0041053F">
        <w:rPr>
          <w:rFonts w:ascii="Narkisim" w:hAnsi="Narkisim" w:cs="Narkisim"/>
          <w:u w:val="single"/>
          <w:rtl/>
        </w:rPr>
        <w:t>כיון דאיסור אחות אשה לא חייל, תתייבם יבומי.</w:t>
      </w:r>
      <w:r w:rsidRPr="0041053F">
        <w:rPr>
          <w:rFonts w:ascii="Narkisim" w:hAnsi="Narkisim" w:cs="Narkisim"/>
          <w:rtl/>
        </w:rPr>
        <w:t xml:space="preserve"> משמע דקו' הגמ' דבפועל אפשר לייבם. וס"ד דאף בשעת היבום לא יחול איסור אחות אשה </w:t>
      </w:r>
      <w:r w:rsidRPr="0041053F">
        <w:rPr>
          <w:rFonts w:ascii="Narkisim" w:hAnsi="Narkisim" w:cs="Narkisim"/>
          <w:sz w:val="20"/>
          <w:szCs w:val="20"/>
          <w:rtl/>
        </w:rPr>
        <w:t>[דהמקשן לא סבר דמיתלא תליא]</w:t>
      </w:r>
      <w:r w:rsidRPr="0041053F">
        <w:rPr>
          <w:rFonts w:ascii="Narkisim" w:hAnsi="Narkisim" w:cs="Narkisim"/>
          <w:rtl/>
        </w:rPr>
        <w:t>.</w:t>
      </w:r>
    </w:p>
    <w:p w14:paraId="2F7F80BA" w14:textId="77777777" w:rsidR="006074A5" w:rsidRPr="0041053F" w:rsidRDefault="006074A5" w:rsidP="006074A5">
      <w:pPr>
        <w:pStyle w:val="a7"/>
        <w:bidi/>
        <w:rPr>
          <w:rFonts w:ascii="Narkisim" w:hAnsi="Narkisim"/>
        </w:rPr>
      </w:pPr>
      <w:r w:rsidRPr="0041053F">
        <w:rPr>
          <w:rFonts w:ascii="Narkisim" w:hAnsi="Narkisim"/>
          <w:rtl/>
        </w:rPr>
        <w:t>וצ"ב מה ס"ד דלא יחול איסור אחות אשה לאחר שנסתלק איסור אשת אח. הא מ"מ היא עכשיו אחות של אשתו, ויש סיבה מתחדשת לאוסרה</w:t>
      </w:r>
      <w:r w:rsidRPr="0041053F">
        <w:rPr>
          <w:rStyle w:val="ac"/>
          <w:rFonts w:ascii="Narkisim" w:hAnsi="Narkisim"/>
          <w:rtl/>
        </w:rPr>
        <w:footnoteReference w:id="1984"/>
      </w:r>
      <w:r w:rsidRPr="0041053F">
        <w:rPr>
          <w:rFonts w:ascii="Narkisim" w:hAnsi="Narkisim"/>
          <w:rtl/>
        </w:rPr>
        <w:t xml:space="preserve">. </w:t>
      </w:r>
      <w:r w:rsidRPr="0041053F">
        <w:rPr>
          <w:rFonts w:ascii="Narkisim" w:hAnsi="Narkisim"/>
          <w:sz w:val="20"/>
          <w:szCs w:val="20"/>
          <w:rtl/>
        </w:rPr>
        <w:t>ויש שדחו דקו' הגמ' דל"ש גדר 'פטור' ערוה. [ותתייבם לאו דוקא, אלא דשייכת לדין יבום]</w:t>
      </w:r>
      <w:r w:rsidRPr="0041053F">
        <w:rPr>
          <w:rFonts w:ascii="Narkisim" w:hAnsi="Narkisim"/>
          <w:rtl/>
        </w:rPr>
        <w:t>.</w:t>
      </w:r>
    </w:p>
    <w:p w14:paraId="497A2FD1"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אפיק"י</w:t>
      </w:r>
      <w:r w:rsidRPr="0041053F">
        <w:rPr>
          <w:rFonts w:ascii="Narkisim" w:hAnsi="Narkisim"/>
          <w:rtl/>
        </w:rPr>
        <w:t xml:space="preserve"> (א ז ד) פי' דס"ד דאיסור אשת אח דיבום הוה דחויה </w:t>
      </w:r>
      <w:r w:rsidRPr="0041053F">
        <w:rPr>
          <w:rFonts w:ascii="Narkisim" w:hAnsi="Narkisim"/>
          <w:sz w:val="20"/>
          <w:szCs w:val="20"/>
          <w:rtl/>
        </w:rPr>
        <w:t>[ובהמשך דבריו (שם יד) האריך לדון אי אשת אח הותרה או דחויה. וע' מש"כ בזה לעיל ג:]</w:t>
      </w:r>
      <w:r w:rsidRPr="0041053F">
        <w:rPr>
          <w:rFonts w:ascii="Narkisim" w:hAnsi="Narkisim"/>
          <w:rtl/>
        </w:rPr>
        <w:t>. ולא חל איסור אחות אשה כיון דעדיין עומדת באיסור אשת אח [וכיסוד זה כת' המהרש"ל לקמן לג.].</w:t>
      </w:r>
    </w:p>
    <w:p w14:paraId="6F89535E" w14:textId="77777777" w:rsidR="006074A5" w:rsidRPr="0041053F" w:rsidRDefault="006074A5" w:rsidP="006074A5">
      <w:pPr>
        <w:pStyle w:val="a8"/>
        <w:bidi/>
        <w:rPr>
          <w:rFonts w:ascii="Narkisim" w:hAnsi="Narkisim"/>
        </w:rPr>
      </w:pPr>
      <w:r w:rsidRPr="0041053F">
        <w:rPr>
          <w:rFonts w:ascii="Narkisim" w:hAnsi="Narkisim"/>
          <w:rtl/>
        </w:rPr>
        <w:t>ובפשוטו מסקנת הגמ' דאיסור אשת אח פקע, ועי"ז חל איסור אחות אשה. [ע' בסמוך בכמה אופנים]. וצ"ב במה נשתנה מקו' הגמ'. [ועד"ז הק' האחיעזר א ג</w:t>
      </w:r>
      <w:r w:rsidRPr="0041053F">
        <w:rPr>
          <w:rStyle w:val="ac"/>
          <w:rFonts w:ascii="Narkisim" w:hAnsi="Narkisim"/>
          <w:rtl/>
        </w:rPr>
        <w:footnoteReference w:id="1985"/>
      </w:r>
      <w:r w:rsidRPr="0041053F">
        <w:rPr>
          <w:rFonts w:ascii="Narkisim" w:hAnsi="Narkisim"/>
          <w:rtl/>
        </w:rPr>
        <w:t>].</w:t>
      </w:r>
    </w:p>
    <w:p w14:paraId="02503350" w14:textId="77777777" w:rsidR="006074A5" w:rsidRPr="0041053F" w:rsidRDefault="006074A5" w:rsidP="006074A5">
      <w:pPr>
        <w:bidi/>
        <w:rPr>
          <w:rFonts w:ascii="Narkisim" w:hAnsi="Narkisim" w:cs="Narkisim"/>
        </w:rPr>
      </w:pPr>
      <w:r w:rsidRPr="0041053F">
        <w:rPr>
          <w:rFonts w:ascii="Narkisim" w:hAnsi="Narkisim" w:cs="Narkisim"/>
          <w:u w:val="single"/>
          <w:rtl/>
        </w:rPr>
        <w:lastRenderedPageBreak/>
        <w:t>שם. כיון דאיסור אחו"א לא חייל</w:t>
      </w:r>
      <w:r w:rsidRPr="0041053F">
        <w:rPr>
          <w:rFonts w:ascii="Narkisim" w:hAnsi="Narkisim" w:cs="Narkisim"/>
          <w:rtl/>
        </w:rPr>
        <w:t>. ה</w:t>
      </w:r>
      <w:r w:rsidRPr="0041053F">
        <w:rPr>
          <w:rFonts w:ascii="Narkisim" w:hAnsi="Narkisim" w:cs="Narkisim"/>
          <w:b/>
          <w:bCs/>
          <w:rtl/>
        </w:rPr>
        <w:t>אחיעזר</w:t>
      </w:r>
      <w:r w:rsidRPr="0041053F">
        <w:rPr>
          <w:rFonts w:ascii="Narkisim" w:hAnsi="Narkisim" w:cs="Narkisim"/>
          <w:rtl/>
        </w:rPr>
        <w:t xml:space="preserve"> (א ג) ייסד דאף במקום דאין איסור חל על איסור, ולא חל האיסור הב', מ"מ לא תפסי קידושין</w:t>
      </w:r>
      <w:r w:rsidRPr="0041053F">
        <w:rPr>
          <w:rStyle w:val="ac"/>
          <w:rFonts w:ascii="Narkisim" w:hAnsi="Narkisim" w:cs="Narkisim"/>
          <w:rtl/>
        </w:rPr>
        <w:footnoteReference w:id="1986"/>
      </w:r>
      <w:r w:rsidRPr="0041053F">
        <w:rPr>
          <w:rFonts w:ascii="Narkisim" w:hAnsi="Narkisim" w:cs="Narkisim"/>
          <w:rtl/>
        </w:rPr>
        <w:t xml:space="preserve">. </w:t>
      </w:r>
      <w:r w:rsidRPr="0041053F">
        <w:rPr>
          <w:rFonts w:ascii="Narkisim" w:hAnsi="Narkisim" w:cs="Narkisim"/>
          <w:szCs w:val="20"/>
          <w:rtl/>
        </w:rPr>
        <w:t>[דאטו המקדש נדה, אי לא חל איסור אשת איש על איסור נדה, ויתפסו בה קידושין של אחר. וכן לא חל איסור אשת אח ואשת אב וכו'. ע' מה שהו' בזה לעיל יג.</w:t>
      </w:r>
      <w:r w:rsidRPr="0041053F">
        <w:rPr>
          <w:rFonts w:ascii="Narkisim" w:hAnsi="Narkisim" w:cs="Narkisim"/>
          <w:rtl/>
        </w:rPr>
        <w:t>]. וה</w:t>
      </w:r>
      <w:r w:rsidRPr="0041053F">
        <w:rPr>
          <w:rFonts w:ascii="Narkisim" w:hAnsi="Narkisim" w:cs="Narkisim"/>
          <w:b/>
          <w:bCs/>
          <w:rtl/>
        </w:rPr>
        <w:t>אחיעזר</w:t>
      </w:r>
      <w:r w:rsidRPr="0041053F">
        <w:rPr>
          <w:rFonts w:ascii="Narkisim" w:hAnsi="Narkisim" w:cs="Narkisim"/>
          <w:rtl/>
        </w:rPr>
        <w:t xml:space="preserve"> (ועוד אחרונים) הק' מסוגיין, דהגמ' מק' דכיון דלא חל האיסור תתייבם, הא יש כאן יש כאן שם ערוה ותפטר מיבום</w:t>
      </w:r>
      <w:r w:rsidRPr="0041053F">
        <w:rPr>
          <w:rStyle w:val="ac"/>
          <w:rFonts w:ascii="Narkisim" w:hAnsi="Narkisim" w:cs="Narkisim"/>
          <w:rtl/>
        </w:rPr>
        <w:footnoteReference w:id="1987"/>
      </w:r>
      <w:r w:rsidRPr="0041053F">
        <w:rPr>
          <w:rFonts w:ascii="Narkisim" w:hAnsi="Narkisim" w:cs="Narkisim"/>
          <w:rtl/>
        </w:rPr>
        <w:t>.</w:t>
      </w:r>
    </w:p>
    <w:p w14:paraId="59CD48C5" w14:textId="77777777" w:rsidR="006074A5" w:rsidRPr="0041053F" w:rsidRDefault="006074A5" w:rsidP="006074A5">
      <w:pPr>
        <w:pStyle w:val="a8"/>
        <w:bidi/>
        <w:rPr>
          <w:rFonts w:ascii="Narkisim" w:hAnsi="Narkisim"/>
        </w:rPr>
      </w:pPr>
      <w:r w:rsidRPr="0041053F">
        <w:rPr>
          <w:rFonts w:ascii="Narkisim" w:hAnsi="Narkisim"/>
          <w:rtl/>
        </w:rPr>
        <w:t>[וקושיה זו י"ל בכמה אופנים,</w:t>
      </w:r>
      <w:r w:rsidRPr="0041053F">
        <w:rPr>
          <w:rFonts w:ascii="Narkisim" w:hAnsi="Narkisim"/>
          <w:i/>
          <w:iCs/>
          <w:rtl/>
        </w:rPr>
        <w:t xml:space="preserve"> א'</w:t>
      </w:r>
      <w:r w:rsidRPr="0041053F">
        <w:rPr>
          <w:rFonts w:ascii="Narkisim" w:hAnsi="Narkisim"/>
          <w:rtl/>
        </w:rPr>
        <w:t xml:space="preserve"> דקנין היבום לא חל היכא דאינו ראוי לתפיסת קידושין [והאחרונים דנו בזה בכ"מ</w:t>
      </w:r>
      <w:r w:rsidRPr="0041053F">
        <w:rPr>
          <w:rStyle w:val="ac"/>
          <w:rFonts w:ascii="Narkisim" w:hAnsi="Narkisim"/>
          <w:rtl/>
        </w:rPr>
        <w:footnoteReference w:id="1988"/>
      </w:r>
      <w:r w:rsidRPr="0041053F">
        <w:rPr>
          <w:rFonts w:ascii="Narkisim" w:hAnsi="Narkisim"/>
          <w:rtl/>
        </w:rPr>
        <w:t xml:space="preserve">]. </w:t>
      </w:r>
      <w:r w:rsidRPr="0041053F">
        <w:rPr>
          <w:rFonts w:ascii="Narkisim" w:hAnsi="Narkisim"/>
          <w:i/>
          <w:iCs/>
          <w:rtl/>
        </w:rPr>
        <w:t>ב'</w:t>
      </w:r>
      <w:r w:rsidRPr="0041053F">
        <w:rPr>
          <w:rFonts w:ascii="Narkisim" w:hAnsi="Narkisim"/>
          <w:rtl/>
        </w:rPr>
        <w:t xml:space="preserve"> למש"כ הרמב"ן (לעיל כ.) דהיכא דלא חל קידושין לא תפס זיקה. </w:t>
      </w:r>
      <w:r w:rsidRPr="0041053F">
        <w:rPr>
          <w:rFonts w:ascii="Narkisim" w:hAnsi="Narkisim"/>
          <w:i/>
          <w:iCs/>
          <w:rtl/>
        </w:rPr>
        <w:t xml:space="preserve">ג' </w:t>
      </w:r>
      <w:r w:rsidRPr="0041053F">
        <w:rPr>
          <w:rFonts w:ascii="Narkisim" w:hAnsi="Narkisim"/>
          <w:rtl/>
        </w:rPr>
        <w:t>ועוד ילה"ק דנהי דלא חל האיסור בפועל, מ"מ ערוה פטורה מיבום [מגזיה"כ ד'עליה', לעיל ג:]. ומסתבר דפטור 'עליה' תליא ב'שם ערוה', דומיא דתפיסת קידושין. ולא תלי באיסור בפועל].</w:t>
      </w:r>
    </w:p>
    <w:p w14:paraId="336D9D10"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אחיעזר</w:t>
      </w:r>
      <w:r w:rsidRPr="0041053F">
        <w:rPr>
          <w:rFonts w:ascii="Narkisim" w:hAnsi="Narkisim" w:cs="Narkisim"/>
          <w:rtl/>
        </w:rPr>
        <w:t xml:space="preserve"> כת' דלס"ד לא אמרי' מיתלא תלי, ואין כאן שם אחות אשה כלל. ולפ"ז עיקר תי' הגמ' דמיתלא תלי, והאיסור קיימת. ומש"ה פטורה, דמעכשיו איסור אחות אשה מונע שלא יתפוס בה זיקת יבום</w:t>
      </w:r>
      <w:r w:rsidRPr="0041053F">
        <w:rPr>
          <w:rStyle w:val="ac"/>
          <w:rFonts w:ascii="Narkisim" w:hAnsi="Narkisim" w:cs="Narkisim"/>
          <w:rtl/>
        </w:rPr>
        <w:footnoteReference w:id="1989"/>
      </w:r>
      <w:r w:rsidRPr="0041053F">
        <w:rPr>
          <w:rFonts w:ascii="Narkisim" w:hAnsi="Narkisim" w:cs="Narkisim"/>
          <w:rtl/>
        </w:rPr>
        <w:t>. וכ"כ ה</w:t>
      </w:r>
      <w:r w:rsidRPr="0041053F">
        <w:rPr>
          <w:rFonts w:ascii="Narkisim" w:hAnsi="Narkisim" w:cs="Narkisim"/>
          <w:b/>
          <w:bCs/>
          <w:rtl/>
        </w:rPr>
        <w:t xml:space="preserve">חזו"א </w:t>
      </w:r>
      <w:r w:rsidRPr="0041053F">
        <w:rPr>
          <w:rFonts w:ascii="Narkisim" w:hAnsi="Narkisim" w:cs="Narkisim"/>
          <w:szCs w:val="20"/>
          <w:rtl/>
        </w:rPr>
        <w:t>(קלד לדף יג).</w:t>
      </w:r>
    </w:p>
    <w:p w14:paraId="0F2F4416" w14:textId="77777777" w:rsidR="006074A5" w:rsidRPr="0041053F" w:rsidRDefault="006074A5" w:rsidP="006074A5">
      <w:pPr>
        <w:pStyle w:val="a7"/>
        <w:bidi/>
        <w:rPr>
          <w:rFonts w:ascii="Narkisim" w:hAnsi="Narkisim"/>
        </w:rPr>
      </w:pPr>
      <w:r w:rsidRPr="0041053F">
        <w:rPr>
          <w:rFonts w:ascii="Narkisim" w:hAnsi="Narkisim"/>
          <w:i/>
          <w:iCs/>
          <w:rtl/>
        </w:rPr>
        <w:t>ועוד</w:t>
      </w:r>
      <w:r w:rsidRPr="0041053F">
        <w:rPr>
          <w:rFonts w:ascii="Narkisim" w:hAnsi="Narkisim"/>
          <w:rtl/>
        </w:rPr>
        <w:t xml:space="preserve"> כתבו דסוגיין אתיא כר' שמעון דל"ל (בע"ב) לקוברו עם רשעים גמורים. [ור' שמעון ס"ל דאף לא חל חפצא דאיסורא,</w:t>
      </w:r>
      <w:r w:rsidRPr="0041053F">
        <w:rPr>
          <w:rStyle w:val="ac"/>
          <w:rFonts w:ascii="Narkisim" w:hAnsi="Narkisim"/>
          <w:rtl/>
        </w:rPr>
        <w:footnoteReference w:id="1990"/>
      </w:r>
      <w:r w:rsidRPr="0041053F">
        <w:rPr>
          <w:rFonts w:ascii="Narkisim" w:hAnsi="Narkisim"/>
          <w:rtl/>
        </w:rPr>
        <w:t xml:space="preserve"> וע' בע"ב]. ועוד כתב ה</w:t>
      </w:r>
      <w:r w:rsidRPr="0041053F">
        <w:rPr>
          <w:rFonts w:ascii="Narkisim" w:hAnsi="Narkisim"/>
          <w:b/>
          <w:bCs/>
          <w:rtl/>
        </w:rPr>
        <w:t>חזו"א</w:t>
      </w:r>
      <w:r w:rsidRPr="0041053F">
        <w:rPr>
          <w:rFonts w:ascii="Narkisim" w:hAnsi="Narkisim"/>
          <w:rtl/>
        </w:rPr>
        <w:t xml:space="preserve"> (קלד כאן טו) דכיון דאין חיוב משום אחות אשה, אמרי' דעשה דוחה</w:t>
      </w:r>
      <w:r w:rsidRPr="0041053F">
        <w:rPr>
          <w:rStyle w:val="ac"/>
          <w:rFonts w:ascii="Narkisim" w:hAnsi="Narkisim"/>
          <w:rtl/>
        </w:rPr>
        <w:footnoteReference w:id="1991"/>
      </w:r>
      <w:r w:rsidRPr="0041053F">
        <w:rPr>
          <w:rFonts w:ascii="Narkisim" w:hAnsi="Narkisim"/>
          <w:rtl/>
        </w:rPr>
        <w:t>, ותפסי קידושין [ע"ד קו' הגמ' לעיל ג:].</w:t>
      </w:r>
    </w:p>
    <w:p w14:paraId="2353A83B"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קובה"ע</w:t>
      </w:r>
      <w:r w:rsidRPr="0041053F">
        <w:rPr>
          <w:rFonts w:ascii="Narkisim" w:hAnsi="Narkisim"/>
          <w:rtl/>
        </w:rPr>
        <w:t xml:space="preserve"> </w:t>
      </w:r>
      <w:r w:rsidRPr="0041053F">
        <w:rPr>
          <w:rFonts w:ascii="Narkisim" w:hAnsi="Narkisim"/>
          <w:szCs w:val="20"/>
          <w:rtl/>
        </w:rPr>
        <w:t>(ג י, ד ד)</w:t>
      </w:r>
      <w:r w:rsidRPr="0041053F">
        <w:rPr>
          <w:rFonts w:ascii="Narkisim" w:hAnsi="Narkisim"/>
          <w:rtl/>
        </w:rPr>
        <w:t xml:space="preserve"> כ' דיבום לא תלי ב'שם ערוה' לענין קידושין </w:t>
      </w:r>
      <w:r w:rsidRPr="0041053F">
        <w:rPr>
          <w:rFonts w:ascii="Narkisim" w:hAnsi="Narkisim"/>
          <w:szCs w:val="20"/>
          <w:rtl/>
        </w:rPr>
        <w:t>[דגבי יבום אשה הקנו לו מן השמים]</w:t>
      </w:r>
      <w:r w:rsidRPr="0041053F">
        <w:rPr>
          <w:rFonts w:ascii="Narkisim" w:hAnsi="Narkisim"/>
          <w:rtl/>
        </w:rPr>
        <w:t>. ופטור ט"ו נשים הוה דוקא היכא דגם אסורה לו.</w:t>
      </w:r>
    </w:p>
    <w:p w14:paraId="5B69A7AA" w14:textId="77777777" w:rsidR="006074A5" w:rsidRPr="0041053F" w:rsidRDefault="006074A5" w:rsidP="006074A5">
      <w:pPr>
        <w:pStyle w:val="a7"/>
        <w:bidi/>
        <w:rPr>
          <w:rFonts w:ascii="Narkisim" w:hAnsi="Narkisim"/>
        </w:rPr>
      </w:pPr>
      <w:r w:rsidRPr="0041053F">
        <w:rPr>
          <w:rFonts w:ascii="Narkisim" w:hAnsi="Narkisim"/>
          <w:rtl/>
        </w:rPr>
        <w:t>וב</w:t>
      </w:r>
      <w:r w:rsidRPr="0041053F">
        <w:rPr>
          <w:rFonts w:ascii="Narkisim" w:hAnsi="Narkisim"/>
          <w:b/>
          <w:bCs/>
          <w:rtl/>
        </w:rPr>
        <w:t>חי' ר' שמעון</w:t>
      </w:r>
      <w:r w:rsidRPr="0041053F">
        <w:rPr>
          <w:rFonts w:ascii="Narkisim" w:hAnsi="Narkisim"/>
          <w:rtl/>
        </w:rPr>
        <w:t xml:space="preserve"> </w:t>
      </w:r>
      <w:r w:rsidRPr="0041053F">
        <w:rPr>
          <w:rFonts w:ascii="Narkisim" w:hAnsi="Narkisim"/>
          <w:szCs w:val="20"/>
          <w:rtl/>
        </w:rPr>
        <w:t>(א בהג"ה)</w:t>
      </w:r>
      <w:r w:rsidRPr="0041053F">
        <w:rPr>
          <w:rFonts w:ascii="Narkisim" w:hAnsi="Narkisim"/>
          <w:rtl/>
        </w:rPr>
        <w:t xml:space="preserve"> כת' די"ל דכמו דאין איסור חל על איסור, ה"נ הדין מניעת קידושין דמחמת שם אחות אשה לא חל. דאין דין חל על דין</w:t>
      </w:r>
      <w:r w:rsidRPr="0041053F">
        <w:rPr>
          <w:rStyle w:val="ac"/>
          <w:rFonts w:ascii="Narkisim" w:hAnsi="Narkisim"/>
          <w:rtl/>
        </w:rPr>
        <w:footnoteReference w:id="1992"/>
      </w:r>
      <w:r w:rsidRPr="0041053F">
        <w:rPr>
          <w:rFonts w:ascii="Narkisim" w:hAnsi="Narkisim"/>
          <w:rtl/>
        </w:rPr>
        <w:t>.</w:t>
      </w:r>
    </w:p>
    <w:p w14:paraId="7F52027D"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(ד ד) דן היכא דערוה שנופלת לפני יבם קטן, דהא מבואר לקמן (לג. ולד.) דלענין איסור חל על איסור חל האיסור בהבאת שערות. [ונחשב דליכא איסור בפועל עד שיגדל], א"כ אמאי פטורה. וע"כ דגזיה"כ דפטור ערוה לא תליא באיסור בפועל. ותי' דמ"מ אינו יכול לייבם עד שיגדל, וכשיגדל הוה ערוה. והקשה דא"כ אינו בגדר 'פטור' ערוה.</w:t>
      </w:r>
    </w:p>
    <w:p w14:paraId="08367E88" w14:textId="77777777" w:rsidR="006074A5" w:rsidRPr="0041053F" w:rsidRDefault="006074A5" w:rsidP="006074A5">
      <w:pPr>
        <w:bidi/>
        <w:rPr>
          <w:rFonts w:ascii="Narkisim" w:hAnsi="Narkisim" w:cs="Narkisim"/>
        </w:rPr>
      </w:pPr>
      <w:r w:rsidRPr="0041053F">
        <w:rPr>
          <w:rFonts w:ascii="Narkisim" w:hAnsi="Narkisim" w:cs="Narkisim"/>
          <w:u w:val="single"/>
          <w:rtl/>
        </w:rPr>
        <w:t>אמר רב אשי איסור אחות אשה מיתלא תלי וקאי וכו' הילכך לא פקע.</w:t>
      </w:r>
      <w:r w:rsidRPr="0041053F">
        <w:rPr>
          <w:rFonts w:ascii="Narkisim" w:hAnsi="Narkisim" w:cs="Narkisim"/>
          <w:rtl/>
        </w:rPr>
        <w:t xml:space="preserve"> ובפשוטו משמע דעכשיו ליכא איסור אחות אשה. ואפ"ה פטורה ולא פקע איסור אשת אח, מחמת איסור אחות אשה דתלי. וכוונת הגמ' דכיון דאם תיפול ליבום תהא ערוה, ולכן אין היתר לאשת אח כלל. [והוה כמו גלגל החוזר].</w:t>
      </w:r>
    </w:p>
    <w:p w14:paraId="2DA0EA78" w14:textId="77777777" w:rsidR="006074A5" w:rsidRPr="0041053F" w:rsidRDefault="006074A5" w:rsidP="006074A5">
      <w:pPr>
        <w:pStyle w:val="a8"/>
        <w:bidi/>
        <w:rPr>
          <w:rFonts w:ascii="Narkisim" w:hAnsi="Narkisim"/>
        </w:rPr>
      </w:pPr>
      <w:r w:rsidRPr="0041053F">
        <w:rPr>
          <w:rFonts w:ascii="Narkisim" w:hAnsi="Narkisim"/>
          <w:rtl/>
        </w:rPr>
        <w:t xml:space="preserve">וכן בפשוטו כוונת </w:t>
      </w:r>
      <w:r w:rsidRPr="0041053F">
        <w:rPr>
          <w:rFonts w:ascii="Narkisim" w:hAnsi="Narkisim"/>
          <w:b/>
          <w:bCs/>
          <w:rtl/>
        </w:rPr>
        <w:t>תוס</w:t>
      </w:r>
      <w:r w:rsidRPr="0041053F">
        <w:rPr>
          <w:rFonts w:ascii="Narkisim" w:hAnsi="Narkisim"/>
          <w:rtl/>
        </w:rPr>
        <w:t>' (יג:) בדעת בית שמאי [וע' מש"כ שם בגדר הדבר]. וה</w:t>
      </w:r>
      <w:r w:rsidRPr="0041053F">
        <w:rPr>
          <w:rFonts w:ascii="Narkisim" w:hAnsi="Narkisim"/>
          <w:b/>
          <w:bCs/>
          <w:rtl/>
        </w:rPr>
        <w:t>רמב"ן</w:t>
      </w:r>
      <w:r w:rsidRPr="0041053F">
        <w:rPr>
          <w:rFonts w:ascii="Narkisim" w:hAnsi="Narkisim"/>
          <w:rtl/>
        </w:rPr>
        <w:t xml:space="preserve"> ו</w:t>
      </w:r>
      <w:r w:rsidRPr="0041053F">
        <w:rPr>
          <w:rFonts w:ascii="Narkisim" w:hAnsi="Narkisim"/>
          <w:b/>
          <w:bCs/>
          <w:rtl/>
        </w:rPr>
        <w:t>ראשונים</w:t>
      </w:r>
      <w:r w:rsidRPr="0041053F">
        <w:rPr>
          <w:rFonts w:ascii="Narkisim" w:hAnsi="Narkisim"/>
          <w:rtl/>
        </w:rPr>
        <w:t xml:space="preserve"> (לעיל שם) דנו דלבי"ש הוה ערוה לאחר נפילה. אך מדברי המאירי (שם) משמע דבית שמאי לא ס"ל דהוה מיתלא תלי.</w:t>
      </w:r>
    </w:p>
    <w:p w14:paraId="114FC6E0"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(ד"ה לא) פי' [דלדעת בי"ה] האיסור אשת אח פוטרת צרתה (ע' בסמוך).</w:t>
      </w:r>
    </w:p>
    <w:p w14:paraId="3C8D4B94" w14:textId="77777777" w:rsidR="006074A5" w:rsidRPr="0041053F" w:rsidRDefault="006074A5" w:rsidP="006074A5">
      <w:pPr>
        <w:pStyle w:val="a7"/>
        <w:bidi/>
        <w:rPr>
          <w:rFonts w:ascii="Narkisim" w:hAnsi="Narkisim"/>
        </w:rPr>
      </w:pPr>
      <w:r w:rsidRPr="0041053F">
        <w:rPr>
          <w:rFonts w:ascii="Narkisim" w:hAnsi="Narkisim"/>
          <w:rtl/>
        </w:rPr>
        <w:t xml:space="preserve">אבל </w:t>
      </w:r>
      <w:r w:rsidRPr="0041053F">
        <w:rPr>
          <w:rFonts w:ascii="Narkisim" w:hAnsi="Narkisim"/>
          <w:b/>
          <w:bCs/>
          <w:rtl/>
        </w:rPr>
        <w:t>רש"י</w:t>
      </w:r>
      <w:r w:rsidRPr="0041053F">
        <w:rPr>
          <w:rFonts w:ascii="Narkisim" w:hAnsi="Narkisim"/>
          <w:rtl/>
        </w:rPr>
        <w:t xml:space="preserve"> (ד"ה מיתלא) כתב דהואיל ואיסור אחות אשה </w:t>
      </w:r>
      <w:r w:rsidRPr="0041053F">
        <w:rPr>
          <w:rFonts w:ascii="Narkisim" w:hAnsi="Narkisim"/>
          <w:i/>
          <w:iCs/>
          <w:rtl/>
        </w:rPr>
        <w:t>מוכן</w:t>
      </w:r>
      <w:r w:rsidRPr="0041053F">
        <w:rPr>
          <w:rFonts w:ascii="Narkisim" w:hAnsi="Narkisim"/>
          <w:rtl/>
        </w:rPr>
        <w:t xml:space="preserve"> </w:t>
      </w:r>
      <w:r w:rsidRPr="0041053F">
        <w:rPr>
          <w:rFonts w:ascii="Narkisim" w:hAnsi="Narkisim"/>
          <w:i/>
          <w:iCs/>
          <w:rtl/>
        </w:rPr>
        <w:t>ועומד</w:t>
      </w:r>
      <w:r w:rsidRPr="0041053F">
        <w:rPr>
          <w:rFonts w:ascii="Narkisim" w:hAnsi="Narkisim"/>
          <w:rtl/>
        </w:rPr>
        <w:t xml:space="preserve"> לחול פטורה מהיבום. </w:t>
      </w:r>
      <w:r w:rsidRPr="0041053F">
        <w:rPr>
          <w:rFonts w:ascii="Narkisim" w:hAnsi="Narkisim"/>
          <w:rtl/>
        </w:rPr>
        <w:lastRenderedPageBreak/>
        <w:t>וה</w:t>
      </w:r>
      <w:r w:rsidRPr="0041053F">
        <w:rPr>
          <w:rFonts w:ascii="Narkisim" w:hAnsi="Narkisim"/>
          <w:b/>
          <w:bCs/>
          <w:rtl/>
        </w:rPr>
        <w:t>אחרונים</w:t>
      </w:r>
      <w:r w:rsidRPr="0041053F">
        <w:rPr>
          <w:rFonts w:ascii="Narkisim" w:hAnsi="Narkisim"/>
          <w:rtl/>
        </w:rPr>
        <w:t xml:space="preserve"> (אחיעזר הנ"ל ואפיק"י שם) העמידו דלדעת רש"י איסור אחות אשה פוטרת, ואילו לתוס' איסור אשת אח פוטרת לר"ש.</w:t>
      </w:r>
    </w:p>
    <w:p w14:paraId="13993C31"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(גרי"ז יבום) ביארו דדמי למש"כ </w:t>
      </w:r>
      <w:r w:rsidRPr="0041053F">
        <w:rPr>
          <w:rFonts w:ascii="Narkisim" w:hAnsi="Narkisim"/>
          <w:b/>
          <w:bCs/>
          <w:rtl/>
        </w:rPr>
        <w:t>תוס</w:t>
      </w:r>
      <w:r w:rsidRPr="0041053F">
        <w:rPr>
          <w:rFonts w:ascii="Narkisim" w:hAnsi="Narkisim"/>
          <w:rtl/>
        </w:rPr>
        <w:t>' (י. ד"ה לעולם) דאשה שנאסרת ליבום מחמת ערוה [בעלת התנאי], יש פטור. ואף דעדיין לא חל איסור אחות אשה. מ"מ כלפי יבום הוה שם אשת אח</w:t>
      </w:r>
      <w:r w:rsidRPr="0041053F">
        <w:rPr>
          <w:rStyle w:val="ac"/>
          <w:rFonts w:ascii="Narkisim" w:hAnsi="Narkisim"/>
          <w:rtl/>
        </w:rPr>
        <w:footnoteReference w:id="1993"/>
      </w:r>
      <w:r w:rsidRPr="0041053F">
        <w:rPr>
          <w:rFonts w:ascii="Narkisim" w:hAnsi="Narkisim"/>
          <w:rtl/>
        </w:rPr>
        <w:t>. אבל ה</w:t>
      </w:r>
      <w:r w:rsidRPr="0041053F">
        <w:rPr>
          <w:rFonts w:ascii="Narkisim" w:hAnsi="Narkisim"/>
          <w:b/>
          <w:bCs/>
          <w:rtl/>
        </w:rPr>
        <w:t>אחיעזר</w:t>
      </w:r>
      <w:r w:rsidRPr="0041053F">
        <w:rPr>
          <w:rFonts w:ascii="Narkisim" w:hAnsi="Narkisim"/>
          <w:rtl/>
        </w:rPr>
        <w:t xml:space="preserve"> (א ג) כתב דכוונת רש"י דכיון דמוכן האיסור לחול, פטורה מחמת שם ערוה דאחות אשה, דרק האיסור לא חל.</w:t>
      </w:r>
    </w:p>
    <w:p w14:paraId="78A6EBF4"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בפשוטו תוס' פליג על טעם זה, וס"ל דדוקא היכא שאיסור אחות אשה חל בפועל נחשב ערוה לפטור, ומש"ה פטורה רק מדין אשת אח. אבל ה</w:t>
      </w:r>
      <w:r w:rsidRPr="0041053F">
        <w:rPr>
          <w:rFonts w:ascii="Narkisim" w:hAnsi="Narkisim" w:cs="Narkisim"/>
          <w:b/>
          <w:bCs/>
          <w:rtl/>
        </w:rPr>
        <w:t>גרי"ז</w:t>
      </w:r>
      <w:r w:rsidRPr="0041053F">
        <w:rPr>
          <w:rFonts w:ascii="Narkisim" w:hAnsi="Narkisim" w:cs="Narkisim"/>
          <w:rtl/>
        </w:rPr>
        <w:t xml:space="preserve"> </w:t>
      </w:r>
      <w:r w:rsidRPr="0041053F">
        <w:rPr>
          <w:rFonts w:ascii="Narkisim" w:hAnsi="Narkisim" w:cs="Narkisim"/>
          <w:szCs w:val="20"/>
          <w:rtl/>
        </w:rPr>
        <w:t>(</w:t>
      </w:r>
      <w:r w:rsidRPr="0041053F">
        <w:rPr>
          <w:rFonts w:ascii="Narkisim" w:hAnsi="Narkisim" w:cs="Narkisim"/>
          <w:sz w:val="20"/>
          <w:szCs w:val="20"/>
          <w:rtl/>
        </w:rPr>
        <w:t>הל' יבום הו' לעיל יג:)</w:t>
      </w:r>
      <w:r w:rsidRPr="0041053F">
        <w:rPr>
          <w:rFonts w:ascii="Narkisim" w:hAnsi="Narkisim" w:cs="Narkisim"/>
          <w:rtl/>
        </w:rPr>
        <w:t xml:space="preserve"> כת' דסברת רש"י [דאסורה כלפי יבום] מהני רק לפטור את עצמה. ואילו פטור צרת ערוה הוה מחמת שהערוה אוסרת צרתה. ודוקא היכא שהערוה אסורה עם הצרה יחד. ומש"ה במקום דלא חל האיסור ל"מ האיסור להחשיבה צרת ערוה. ופוטרת צרתה רק משום אשת אח וכמ"ש בתוס'. [ורק אחרי שיש עליה פטור ערוה </w:t>
      </w:r>
      <w:r w:rsidRPr="0041053F">
        <w:rPr>
          <w:rFonts w:ascii="Narkisim" w:hAnsi="Narkisim" w:cs="Narkisim"/>
          <w:sz w:val="20"/>
          <w:szCs w:val="20"/>
          <w:rtl/>
        </w:rPr>
        <w:t>[ע"ד מש"כ רש"י]</w:t>
      </w:r>
      <w:r w:rsidRPr="0041053F">
        <w:rPr>
          <w:rFonts w:ascii="Narkisim" w:hAnsi="Narkisim" w:cs="Narkisim"/>
          <w:rtl/>
        </w:rPr>
        <w:t>, אף האיסור אשת אח נחשב ערוה לפטור צרתה].</w:t>
      </w:r>
    </w:p>
    <w:p w14:paraId="36B6ECC6" w14:textId="77777777" w:rsidR="006074A5" w:rsidRPr="0041053F" w:rsidRDefault="006074A5" w:rsidP="006074A5">
      <w:pPr>
        <w:bidi/>
        <w:rPr>
          <w:rFonts w:ascii="Narkisim" w:hAnsi="Narkisim" w:cs="Narkisim"/>
        </w:rPr>
      </w:pPr>
      <w:r w:rsidRPr="0041053F">
        <w:rPr>
          <w:rFonts w:ascii="Narkisim" w:hAnsi="Narkisim" w:cs="Narkisim"/>
          <w:u w:val="single"/>
          <w:rtl/>
        </w:rPr>
        <w:t>תוד"ה לא פקע.</w:t>
      </w:r>
      <w:r w:rsidRPr="0041053F">
        <w:rPr>
          <w:rFonts w:ascii="Narkisim" w:hAnsi="Narkisim" w:cs="Narkisim"/>
          <w:rtl/>
        </w:rPr>
        <w:t xml:space="preserve"> כיון דלא פקע איסור אשת אח כמו אילונית וכו'. מבואר דאיסור אשת אח דנפילה זו פוטרת צרתה</w:t>
      </w:r>
      <w:r w:rsidRPr="0041053F">
        <w:rPr>
          <w:rStyle w:val="ac"/>
          <w:rFonts w:ascii="Narkisim" w:hAnsi="Narkisim" w:cs="Narkisim"/>
          <w:rtl/>
        </w:rPr>
        <w:footnoteReference w:id="1994"/>
      </w:r>
      <w:r w:rsidRPr="0041053F">
        <w:rPr>
          <w:rFonts w:ascii="Narkisim" w:hAnsi="Narkisim" w:cs="Narkisim"/>
          <w:rtl/>
        </w:rPr>
        <w:t>, ודלא כיסוד ה</w:t>
      </w:r>
      <w:r w:rsidRPr="0041053F">
        <w:rPr>
          <w:rFonts w:ascii="Narkisim" w:hAnsi="Narkisim" w:cs="Narkisim"/>
          <w:b/>
          <w:bCs/>
          <w:rtl/>
        </w:rPr>
        <w:t>גר"ח</w:t>
      </w:r>
      <w:r w:rsidRPr="0041053F">
        <w:rPr>
          <w:rFonts w:ascii="Narkisim" w:hAnsi="Narkisim" w:cs="Narkisim"/>
          <w:rtl/>
        </w:rPr>
        <w:t xml:space="preserve"> </w:t>
      </w:r>
      <w:r w:rsidRPr="0041053F">
        <w:rPr>
          <w:rFonts w:ascii="Narkisim" w:hAnsi="Narkisim" w:cs="Narkisim"/>
          <w:sz w:val="20"/>
          <w:szCs w:val="20"/>
          <w:rtl/>
        </w:rPr>
        <w:t>(הו' לעיל ב.)</w:t>
      </w:r>
      <w:r w:rsidRPr="0041053F">
        <w:rPr>
          <w:rFonts w:ascii="Narkisim" w:hAnsi="Narkisim" w:cs="Narkisim"/>
          <w:rtl/>
        </w:rPr>
        <w:t xml:space="preserve"> דאשת אח [דנפילה זו] אינו פוטר</w:t>
      </w:r>
      <w:r w:rsidRPr="0041053F">
        <w:rPr>
          <w:rFonts w:ascii="Narkisim" w:hAnsi="Narkisim" w:cs="Narkisim"/>
          <w:sz w:val="20"/>
          <w:szCs w:val="20"/>
          <w:rtl/>
        </w:rPr>
        <w:t xml:space="preserve"> (וכ"כ האמר"מ ז וקה"י ו דבתוס' מבואר דלא כגר"ח).</w:t>
      </w:r>
      <w:r w:rsidRPr="0041053F">
        <w:rPr>
          <w:rFonts w:ascii="Narkisim" w:hAnsi="Narkisim" w:cs="Narkisim"/>
          <w:rtl/>
        </w:rPr>
        <w:t xml:space="preserve"> אבל ה</w:t>
      </w:r>
      <w:r w:rsidRPr="0041053F">
        <w:rPr>
          <w:rFonts w:ascii="Narkisim" w:hAnsi="Narkisim" w:cs="Narkisim"/>
          <w:b/>
          <w:bCs/>
          <w:rtl/>
        </w:rPr>
        <w:t>ברכ"ש</w:t>
      </w:r>
      <w:r w:rsidRPr="0041053F">
        <w:rPr>
          <w:rFonts w:ascii="Narkisim" w:hAnsi="Narkisim" w:cs="Narkisim"/>
          <w:rtl/>
        </w:rPr>
        <w:t xml:space="preserve"> (ב) כ' דאיסור אשת אח במקום ערוה שאני. וכיון דיש פטור [מחמת אחות אשה], מש"ה אף כלפי ערות האשת אח אין כאן נפילה ליבום [והוה כאשת אח שיש לה בנים].</w:t>
      </w:r>
      <w:r w:rsidRPr="0041053F">
        <w:rPr>
          <w:rFonts w:ascii="Narkisim" w:hAnsi="Narkisim" w:cs="Narkisim"/>
          <w:sz w:val="20"/>
          <w:szCs w:val="20"/>
          <w:rtl/>
        </w:rPr>
        <w:t xml:space="preserve"> ויש ש</w:t>
      </w:r>
      <w:r w:rsidRPr="0041053F">
        <w:rPr>
          <w:rFonts w:ascii="Narkisim" w:hAnsi="Narkisim" w:cs="Narkisim"/>
          <w:b/>
          <w:bCs/>
          <w:sz w:val="20"/>
          <w:szCs w:val="20"/>
          <w:rtl/>
        </w:rPr>
        <w:t>אחרונים</w:t>
      </w:r>
      <w:r w:rsidRPr="0041053F">
        <w:rPr>
          <w:rFonts w:ascii="Narkisim" w:hAnsi="Narkisim" w:cs="Narkisim"/>
          <w:sz w:val="20"/>
          <w:szCs w:val="20"/>
          <w:rtl/>
        </w:rPr>
        <w:t xml:space="preserve"> שביארו דהאיסור אשת אח הוא סיבה לנפילת יבום, ואינה יכולה להיות סיבת מניעה, לפי נפילה זו. אבל במקום מניעה נוספת אף האשת אח הוה ערוה ברמה זו.</w:t>
      </w:r>
    </w:p>
    <w:p w14:paraId="22A62898" w14:textId="77777777" w:rsidR="006074A5" w:rsidRPr="0041053F" w:rsidRDefault="006074A5" w:rsidP="006074A5">
      <w:pPr>
        <w:pStyle w:val="aa"/>
        <w:bidi/>
        <w:rPr>
          <w:rFonts w:ascii="Narkisim" w:hAnsi="Narkisim"/>
        </w:rPr>
      </w:pPr>
      <w:r w:rsidRPr="0041053F">
        <w:rPr>
          <w:rFonts w:ascii="Narkisim" w:hAnsi="Narkisim"/>
          <w:rtl/>
        </w:rPr>
        <w:t>ו</w:t>
      </w:r>
      <w:r w:rsidRPr="0041053F">
        <w:rPr>
          <w:rFonts w:ascii="Narkisim" w:hAnsi="Narkisim"/>
          <w:b/>
          <w:bCs/>
          <w:rtl/>
        </w:rPr>
        <w:t>רע"א</w:t>
      </w:r>
      <w:r w:rsidRPr="0041053F">
        <w:rPr>
          <w:rFonts w:ascii="Narkisim" w:hAnsi="Narkisim"/>
          <w:rtl/>
        </w:rPr>
        <w:t xml:space="preserve"> (ג: מהמשניות לעיל ב.) הק' למה צריך קרא לפטור צרת צרה, תיפו"ל שתפטר מדין ערות אשת אח. ורע"א העמיד קושייתו ע"פ דברי תוס' כאן, דמבואר דאשת אח דעריות פוטרת צרתה.</w:t>
      </w:r>
    </w:p>
    <w:p w14:paraId="5B701FB1" w14:textId="77777777" w:rsidR="006074A5" w:rsidRPr="0041053F" w:rsidRDefault="006074A5" w:rsidP="006074A5">
      <w:pPr>
        <w:pStyle w:val="aa"/>
        <w:bidi/>
        <w:rPr>
          <w:rFonts w:ascii="Narkisim" w:hAnsi="Narkisim"/>
        </w:rPr>
      </w:pPr>
      <w:r w:rsidRPr="0041053F">
        <w:rPr>
          <w:rFonts w:ascii="Narkisim" w:hAnsi="Narkisim"/>
          <w:u w:val="single"/>
          <w:rtl/>
        </w:rPr>
        <w:t>בא"ד וא"ת לר' שמעון משכחת וכו'.</w:t>
      </w:r>
      <w:r w:rsidRPr="0041053F">
        <w:rPr>
          <w:rFonts w:ascii="Narkisim" w:hAnsi="Narkisim"/>
          <w:rtl/>
        </w:rPr>
        <w:t xml:space="preserve"> ה</w:t>
      </w:r>
      <w:r w:rsidRPr="0041053F">
        <w:rPr>
          <w:rFonts w:ascii="Narkisim" w:hAnsi="Narkisim"/>
          <w:b/>
          <w:bCs/>
          <w:rtl/>
        </w:rPr>
        <w:t>רש"ש</w:t>
      </w:r>
      <w:r w:rsidRPr="0041053F">
        <w:rPr>
          <w:rFonts w:ascii="Narkisim" w:hAnsi="Narkisim"/>
          <w:rtl/>
        </w:rPr>
        <w:t xml:space="preserve"> כת' דלמש"כ </w:t>
      </w:r>
      <w:r w:rsidRPr="0041053F">
        <w:rPr>
          <w:rFonts w:ascii="Narkisim" w:hAnsi="Narkisim"/>
          <w:b/>
          <w:bCs/>
          <w:rtl/>
        </w:rPr>
        <w:t>רש"י</w:t>
      </w:r>
      <w:r w:rsidRPr="0041053F">
        <w:rPr>
          <w:rFonts w:ascii="Narkisim" w:hAnsi="Narkisim"/>
          <w:rtl/>
        </w:rPr>
        <w:t xml:space="preserve"> (ב:) דאשת אחיו שלא מעולמו פטורה מחמת האיסור אשת אח שנאסרה, א"כ הוזכר במשנה.</w:t>
      </w:r>
    </w:p>
    <w:p w14:paraId="777CA649" w14:textId="77777777" w:rsidR="006074A5" w:rsidRPr="0041053F" w:rsidRDefault="006074A5" w:rsidP="006074A5">
      <w:pPr>
        <w:pStyle w:val="aa"/>
        <w:bidi/>
        <w:rPr>
          <w:rFonts w:ascii="Narkisim" w:hAnsi="Narkisim"/>
        </w:rPr>
      </w:pPr>
      <w:r w:rsidRPr="0041053F">
        <w:rPr>
          <w:rFonts w:ascii="Narkisim" w:hAnsi="Narkisim"/>
          <w:u w:val="single"/>
          <w:rtl/>
        </w:rPr>
        <w:t>אשת איש ונעשית חמותו נידון באשת איש</w:t>
      </w:r>
      <w:r w:rsidRPr="0041053F">
        <w:rPr>
          <w:rFonts w:ascii="Narkisim" w:hAnsi="Narkisim"/>
          <w:rtl/>
        </w:rPr>
        <w:t>. פ</w:t>
      </w:r>
      <w:r w:rsidRPr="0041053F">
        <w:rPr>
          <w:rFonts w:ascii="Narkisim" w:hAnsi="Narkisim"/>
          <w:b/>
          <w:bCs/>
          <w:rtl/>
        </w:rPr>
        <w:t>רש"י</w:t>
      </w:r>
      <w:r w:rsidRPr="0041053F">
        <w:rPr>
          <w:rFonts w:ascii="Narkisim" w:hAnsi="Narkisim"/>
          <w:rtl/>
        </w:rPr>
        <w:t xml:space="preserve"> דלא חל איסור חמותו על איסור אשת איש [ואף דאיסור אשת איש חמור טפי, כיון דאינו איסור מוסיף</w:t>
      </w:r>
      <w:r w:rsidRPr="0041053F">
        <w:rPr>
          <w:rStyle w:val="ac"/>
          <w:rFonts w:ascii="Narkisim" w:hAnsi="Narkisim"/>
          <w:rtl/>
        </w:rPr>
        <w:footnoteReference w:id="1995"/>
      </w:r>
      <w:r w:rsidRPr="0041053F">
        <w:rPr>
          <w:rFonts w:ascii="Narkisim" w:hAnsi="Narkisim"/>
          <w:rtl/>
        </w:rPr>
        <w:t>]. אבל ה</w:t>
      </w:r>
      <w:r w:rsidRPr="0041053F">
        <w:rPr>
          <w:rFonts w:ascii="Narkisim" w:hAnsi="Narkisim"/>
          <w:b/>
          <w:bCs/>
          <w:rtl/>
        </w:rPr>
        <w:t>ריב"ן</w:t>
      </w:r>
      <w:r w:rsidRPr="0041053F">
        <w:rPr>
          <w:rFonts w:ascii="Narkisim" w:hAnsi="Narkisim"/>
          <w:rtl/>
        </w:rPr>
        <w:t xml:space="preserve"> (ברש"י מכות כב.) כת' דאשת איש ונעשית חמותו נחשב איסור מוסיף, דמעיקרא קאי בחנק והשתא בשריפה</w:t>
      </w:r>
      <w:r w:rsidRPr="0041053F">
        <w:rPr>
          <w:rStyle w:val="ac"/>
          <w:rFonts w:ascii="Narkisim" w:hAnsi="Narkisim"/>
          <w:rtl/>
        </w:rPr>
        <w:footnoteReference w:id="1996"/>
      </w:r>
      <w:r w:rsidRPr="0041053F">
        <w:rPr>
          <w:rFonts w:ascii="Narkisim" w:hAnsi="Narkisim"/>
          <w:rtl/>
        </w:rPr>
        <w:t>.</w:t>
      </w:r>
    </w:p>
    <w:p w14:paraId="04042852" w14:textId="77777777" w:rsidR="006074A5" w:rsidRPr="0041053F" w:rsidRDefault="006074A5" w:rsidP="006074A5">
      <w:pPr>
        <w:pStyle w:val="3"/>
        <w:bidi/>
        <w:rPr>
          <w:rFonts w:ascii="Narkisim" w:hAnsi="Narkisim"/>
        </w:rPr>
      </w:pPr>
      <w:r w:rsidRPr="0041053F">
        <w:rPr>
          <w:rFonts w:ascii="Narkisim" w:hAnsi="Narkisim"/>
          <w:rtl/>
        </w:rPr>
        <w:t>דף לב:</w:t>
      </w:r>
    </w:p>
    <w:p w14:paraId="2E8B978C" w14:textId="77777777" w:rsidR="006074A5" w:rsidRPr="0041053F" w:rsidRDefault="006074A5" w:rsidP="006074A5">
      <w:pPr>
        <w:pStyle w:val="2"/>
        <w:bidi/>
        <w:rPr>
          <w:rFonts w:ascii="Narkisim" w:hAnsi="Narkisim"/>
          <w:sz w:val="21"/>
        </w:rPr>
      </w:pPr>
      <w:r w:rsidRPr="0041053F">
        <w:rPr>
          <w:rFonts w:ascii="Narkisim" w:hAnsi="Narkisim"/>
          <w:sz w:val="21"/>
          <w:rtl/>
        </w:rPr>
        <w:t>אאחע"א - איסור כולל ומוסיף</w:t>
      </w:r>
    </w:p>
    <w:p w14:paraId="3C41B3D2" w14:textId="77777777" w:rsidR="006074A5" w:rsidRPr="0041053F" w:rsidRDefault="006074A5" w:rsidP="006074A5">
      <w:pPr>
        <w:bidi/>
        <w:rPr>
          <w:rFonts w:ascii="Narkisim" w:hAnsi="Narkisim" w:cs="Narkisim"/>
        </w:rPr>
      </w:pPr>
      <w:r w:rsidRPr="0041053F">
        <w:rPr>
          <w:rFonts w:ascii="Narkisim" w:hAnsi="Narkisim" w:cs="Narkisim"/>
          <w:u w:val="single"/>
          <w:rtl/>
        </w:rPr>
        <w:t>מודה ר' יוסי באיסור מוסיף</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דמיגו שחייל 'שם אשת אח' על האשה לגבי שאר האחים, חל אף לדידיה.</w:t>
      </w:r>
    </w:p>
    <w:p w14:paraId="3F9C5096" w14:textId="77777777" w:rsidR="006074A5" w:rsidRPr="0041053F" w:rsidRDefault="006074A5" w:rsidP="006074A5">
      <w:pPr>
        <w:pStyle w:val="a7"/>
        <w:bidi/>
        <w:rPr>
          <w:rFonts w:ascii="Narkisim" w:hAnsi="Narkisim"/>
        </w:rPr>
      </w:pPr>
      <w:r w:rsidRPr="0041053F">
        <w:rPr>
          <w:rFonts w:ascii="Narkisim" w:hAnsi="Narkisim"/>
          <w:rtl/>
        </w:rPr>
        <w:t>ואף דאין איסור חל על איסור, היכא דבלאו הכי איסור זו חל על אנשים אחרים, חל במיגו אף למי שכבר אסורה עליו.</w:t>
      </w:r>
    </w:p>
    <w:p w14:paraId="6ACC6767"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רש"י</w:t>
      </w:r>
      <w:r w:rsidRPr="0041053F">
        <w:rPr>
          <w:rFonts w:ascii="Narkisim" w:hAnsi="Narkisim"/>
          <w:rtl/>
        </w:rPr>
        <w:t xml:space="preserve"> (שבועות כד:) ביאר דאיסור מוסיף</w:t>
      </w:r>
      <w:r w:rsidRPr="0041053F">
        <w:rPr>
          <w:rStyle w:val="ac"/>
          <w:rFonts w:ascii="Narkisim" w:hAnsi="Narkisim"/>
          <w:rtl/>
        </w:rPr>
        <w:footnoteReference w:id="1997"/>
      </w:r>
      <w:r w:rsidRPr="0041053F">
        <w:rPr>
          <w:rFonts w:ascii="Narkisim" w:hAnsi="Narkisim"/>
          <w:rtl/>
        </w:rPr>
        <w:t xml:space="preserve"> הוא כשאיסור האחרון מוסיף על חתיכה עצמה דבר שלא היה בה ע"י איסור ראשון, [והאיסור השני] אוסר החתיכה האחרון במה שהיתה מותרת</w:t>
      </w:r>
      <w:r w:rsidRPr="0041053F">
        <w:rPr>
          <w:rStyle w:val="ac"/>
          <w:rFonts w:ascii="Narkisim" w:hAnsi="Narkisim"/>
          <w:rtl/>
        </w:rPr>
        <w:footnoteReference w:id="1998"/>
      </w:r>
      <w:r w:rsidRPr="0041053F">
        <w:rPr>
          <w:rFonts w:ascii="Narkisim" w:hAnsi="Narkisim"/>
          <w:rtl/>
        </w:rPr>
        <w:t xml:space="preserve"> קודם שבא איסור האחרון</w:t>
      </w:r>
      <w:r w:rsidRPr="0041053F">
        <w:rPr>
          <w:rStyle w:val="ac"/>
          <w:rFonts w:ascii="Narkisim" w:hAnsi="Narkisim"/>
          <w:rtl/>
        </w:rPr>
        <w:footnoteReference w:id="1999"/>
      </w:r>
      <w:r w:rsidRPr="0041053F">
        <w:rPr>
          <w:rFonts w:ascii="Narkisim" w:hAnsi="Narkisim"/>
          <w:rtl/>
        </w:rPr>
        <w:t>.</w:t>
      </w:r>
    </w:p>
    <w:p w14:paraId="3EA7BD40" w14:textId="77777777" w:rsidR="006074A5" w:rsidRPr="0041053F" w:rsidRDefault="006074A5" w:rsidP="006074A5">
      <w:pPr>
        <w:pStyle w:val="a7"/>
        <w:bidi/>
        <w:rPr>
          <w:rFonts w:ascii="Narkisim" w:hAnsi="Narkisim"/>
        </w:rPr>
      </w:pPr>
      <w:r w:rsidRPr="0041053F">
        <w:rPr>
          <w:rFonts w:ascii="Narkisim" w:hAnsi="Narkisim"/>
          <w:rtl/>
        </w:rPr>
        <w:lastRenderedPageBreak/>
        <w:t>ו</w:t>
      </w:r>
      <w:r w:rsidRPr="0041053F">
        <w:rPr>
          <w:rFonts w:ascii="Narkisim" w:hAnsi="Narkisim"/>
          <w:b/>
          <w:bCs/>
          <w:rtl/>
        </w:rPr>
        <w:t>רש"י</w:t>
      </w:r>
      <w:r w:rsidRPr="0041053F">
        <w:rPr>
          <w:rFonts w:ascii="Narkisim" w:hAnsi="Narkisim"/>
          <w:rtl/>
        </w:rPr>
        <w:t xml:space="preserve"> פי' ד'איסור כולל' קרי היכא דאיסור האחרון אינו מוסיף על החתיכה כלום, אבל מרבה איסור על האדם בדברים אחרים</w:t>
      </w:r>
      <w:r w:rsidRPr="0041053F">
        <w:rPr>
          <w:rStyle w:val="ac"/>
          <w:rFonts w:ascii="Narkisim" w:hAnsi="Narkisim"/>
          <w:rtl/>
        </w:rPr>
        <w:footnoteReference w:id="2000"/>
      </w:r>
      <w:r w:rsidRPr="0041053F">
        <w:rPr>
          <w:rFonts w:ascii="Narkisim" w:hAnsi="Narkisim"/>
          <w:rtl/>
        </w:rPr>
        <w:t>.</w:t>
      </w:r>
    </w:p>
    <w:p w14:paraId="44140A34" w14:textId="77777777" w:rsidR="006074A5" w:rsidRPr="0041053F" w:rsidRDefault="006074A5" w:rsidP="006074A5">
      <w:pPr>
        <w:pStyle w:val="aa"/>
        <w:bidi/>
        <w:rPr>
          <w:rFonts w:ascii="Narkisim" w:hAnsi="Narkisim"/>
        </w:rPr>
      </w:pPr>
      <w:r w:rsidRPr="0041053F">
        <w:rPr>
          <w:rFonts w:ascii="Narkisim" w:hAnsi="Narkisim"/>
          <w:rtl/>
        </w:rPr>
        <w:t>וב</w:t>
      </w:r>
      <w:r w:rsidRPr="0041053F">
        <w:rPr>
          <w:rFonts w:ascii="Narkisim" w:hAnsi="Narkisim"/>
          <w:b/>
          <w:bCs/>
          <w:rtl/>
        </w:rPr>
        <w:t>גמ</w:t>
      </w:r>
      <w:r w:rsidRPr="0041053F">
        <w:rPr>
          <w:rFonts w:ascii="Narkisim" w:hAnsi="Narkisim"/>
          <w:rtl/>
        </w:rPr>
        <w:t>' (שבועות שם) אי' דטעמא דמ"ד דמהני איסור כולל</w:t>
      </w:r>
      <w:r w:rsidRPr="0041053F">
        <w:rPr>
          <w:rStyle w:val="ac"/>
          <w:rFonts w:ascii="Narkisim" w:hAnsi="Narkisim"/>
          <w:rtl/>
        </w:rPr>
        <w:footnoteReference w:id="2001"/>
      </w:r>
      <w:r w:rsidRPr="0041053F">
        <w:rPr>
          <w:rFonts w:ascii="Narkisim" w:hAnsi="Narkisim"/>
          <w:rtl/>
        </w:rPr>
        <w:t>, מידי דהוה אאיסור מוסיף. ומ"ד דל"מ איסור כולל, דס"ל דאיסור מוסיף היינו בחדא חתיכה. אבל בב' חתיכות לא אמרי'. ופ</w:t>
      </w:r>
      <w:r w:rsidRPr="0041053F">
        <w:rPr>
          <w:rFonts w:ascii="Narkisim" w:hAnsi="Narkisim"/>
          <w:b/>
          <w:bCs/>
          <w:rtl/>
        </w:rPr>
        <w:t>רש"י</w:t>
      </w:r>
      <w:r w:rsidRPr="0041053F">
        <w:rPr>
          <w:rFonts w:ascii="Narkisim" w:hAnsi="Narkisim"/>
          <w:rtl/>
        </w:rPr>
        <w:t xml:space="preserve"> דבחדא חתיכה מהני איסור מוסיף, מתוך שחל עליה שם איסור שני אצל דבר שהיה מותר לו, חל עליה אף אצל דבר שהיתה אסורה לו כבר. אבל מחתיכה לחתיכה לא אמר מתוך שחל על האדם אצל חתיכה זו, יחול עליו אף אצל חתיכה אחרת בכולל.</w:t>
      </w:r>
    </w:p>
    <w:p w14:paraId="4FD85172" w14:textId="77777777" w:rsidR="006074A5" w:rsidRPr="0041053F" w:rsidRDefault="006074A5" w:rsidP="006074A5">
      <w:pPr>
        <w:bidi/>
        <w:rPr>
          <w:rFonts w:ascii="Narkisim" w:hAnsi="Narkisim" w:cs="Narkisim"/>
        </w:rPr>
      </w:pPr>
      <w:r w:rsidRPr="0041053F">
        <w:rPr>
          <w:rFonts w:ascii="Narkisim" w:hAnsi="Narkisim" w:cs="Narkisim"/>
          <w:u w:val="single"/>
          <w:rtl/>
        </w:rPr>
        <w:t>מיגו דאתווסף איסור לגבי אחים וכו'.</w:t>
      </w:r>
      <w:r w:rsidRPr="0041053F">
        <w:rPr>
          <w:rFonts w:ascii="Narkisim" w:hAnsi="Narkisim" w:cs="Narkisim"/>
          <w:rtl/>
        </w:rPr>
        <w:t xml:space="preserve"> ונוסף על החתיכה [האשה] איסור כלפי אנשים אחרים, ונחשב איסור מוסיף. וה</w:t>
      </w:r>
      <w:r w:rsidRPr="0041053F">
        <w:rPr>
          <w:rFonts w:ascii="Narkisim" w:hAnsi="Narkisim" w:cs="Narkisim"/>
          <w:b/>
          <w:bCs/>
          <w:rtl/>
        </w:rPr>
        <w:t>אחרונים</w:t>
      </w:r>
      <w:r w:rsidRPr="0041053F">
        <w:rPr>
          <w:rFonts w:ascii="Narkisim" w:hAnsi="Narkisim" w:cs="Narkisim"/>
          <w:rtl/>
        </w:rPr>
        <w:t xml:space="preserve"> הק' דה"מ כלפי האיש, אבל כלפי האשה מעיקרא היתה אסורה לאיש זה, ועכשיו אסור לה אף האחים. ויחשב איסור כולל.</w:t>
      </w:r>
    </w:p>
    <w:p w14:paraId="38B9531D"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ריב"ן</w:t>
      </w:r>
      <w:r w:rsidRPr="0041053F">
        <w:rPr>
          <w:rFonts w:ascii="Narkisim" w:hAnsi="Narkisim"/>
          <w:rtl/>
        </w:rPr>
        <w:t xml:space="preserve"> (ברש"י מכות כב.) כת' דחמותו ונעשית אשת איש הוה איסור כולל, דמיגו דכייליה כו"ע באיסור אשת איש כללה נמי לדידיה לחייבו ב'. וה</w:t>
      </w:r>
      <w:r w:rsidRPr="0041053F">
        <w:rPr>
          <w:rFonts w:ascii="Narkisim" w:hAnsi="Narkisim"/>
          <w:b/>
          <w:bCs/>
          <w:rtl/>
        </w:rPr>
        <w:t>אחרונים</w:t>
      </w:r>
      <w:r w:rsidRPr="0041053F">
        <w:rPr>
          <w:rFonts w:ascii="Narkisim" w:hAnsi="Narkisim"/>
          <w:rtl/>
        </w:rPr>
        <w:t xml:space="preserve"> (טור"א שם) תמהו דבסוגיין מבואר להיפך, דהוה איסור מוסיף.  </w:t>
      </w:r>
    </w:p>
    <w:p w14:paraId="38B64B10"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נוב"י</w:t>
      </w:r>
      <w:r w:rsidRPr="0041053F">
        <w:rPr>
          <w:rFonts w:ascii="Narkisim" w:hAnsi="Narkisim"/>
          <w:rtl/>
        </w:rPr>
        <w:t xml:space="preserve"> (או"ח ת' קכ) תי' דבסוגיין קאי כלפי דידיה, ואילו הריב"ן קאי כלפי האשה</w:t>
      </w:r>
      <w:r w:rsidRPr="0041053F">
        <w:rPr>
          <w:rStyle w:val="ac"/>
          <w:rFonts w:ascii="Narkisim" w:hAnsi="Narkisim"/>
          <w:rtl/>
        </w:rPr>
        <w:footnoteReference w:id="2002"/>
      </w:r>
      <w:r w:rsidRPr="0041053F">
        <w:rPr>
          <w:rFonts w:ascii="Narkisim" w:hAnsi="Narkisim"/>
          <w:rtl/>
        </w:rPr>
        <w:t>. וכלפיה הוה איסור כולל</w:t>
      </w:r>
      <w:r w:rsidRPr="0041053F">
        <w:rPr>
          <w:rStyle w:val="ac"/>
          <w:rFonts w:ascii="Narkisim" w:hAnsi="Narkisim"/>
          <w:rtl/>
        </w:rPr>
        <w:footnoteReference w:id="2003"/>
      </w:r>
      <w:r w:rsidRPr="0041053F">
        <w:rPr>
          <w:rFonts w:ascii="Narkisim" w:hAnsi="Narkisim"/>
          <w:rtl/>
        </w:rPr>
        <w:t>.</w:t>
      </w:r>
    </w:p>
    <w:p w14:paraId="446A8240" w14:textId="77777777" w:rsidR="006074A5" w:rsidRPr="0041053F" w:rsidRDefault="006074A5" w:rsidP="006074A5">
      <w:pPr>
        <w:pStyle w:val="a8"/>
        <w:bidi/>
        <w:rPr>
          <w:rFonts w:ascii="Narkisim" w:hAnsi="Narkisim"/>
        </w:rPr>
      </w:pPr>
      <w:r w:rsidRPr="0041053F">
        <w:rPr>
          <w:rFonts w:ascii="Narkisim" w:hAnsi="Narkisim"/>
          <w:rtl/>
        </w:rPr>
        <w:t>וכ"כ ה</w:t>
      </w:r>
      <w:r w:rsidRPr="0041053F">
        <w:rPr>
          <w:rFonts w:ascii="Narkisim" w:hAnsi="Narkisim"/>
          <w:b/>
          <w:bCs/>
          <w:rtl/>
        </w:rPr>
        <w:t>מקנה</w:t>
      </w:r>
      <w:r w:rsidRPr="0041053F">
        <w:rPr>
          <w:rFonts w:ascii="Narkisim" w:hAnsi="Narkisim"/>
          <w:rtl/>
        </w:rPr>
        <w:t xml:space="preserve"> (קידושין עז:) דנחשב איסור מוסיף כלפי האשה, וחל איסור עליה. ועי"ז יש פטור מיבום</w:t>
      </w:r>
      <w:r w:rsidRPr="0041053F">
        <w:rPr>
          <w:rStyle w:val="ac"/>
          <w:rFonts w:ascii="Narkisim" w:hAnsi="Narkisim"/>
          <w:rtl/>
        </w:rPr>
        <w:footnoteReference w:id="2004"/>
      </w:r>
      <w:r w:rsidRPr="0041053F">
        <w:rPr>
          <w:rFonts w:ascii="Narkisim" w:hAnsi="Narkisim"/>
          <w:rtl/>
        </w:rPr>
        <w:t>. [ועוד כתב דכיון דאצלה הוה מוסיף, נחשב מוסיף, וחל איסור גם עליו]. וביאר דקושיית הגמ' כאן משום דסתם, ואיירי אפי' בקטנה דלאו בת עונשים.</w:t>
      </w:r>
    </w:p>
    <w:p w14:paraId="45139822"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חזו"א</w:t>
      </w:r>
      <w:r w:rsidRPr="0041053F">
        <w:rPr>
          <w:rFonts w:ascii="Narkisim" w:hAnsi="Narkisim"/>
          <w:rtl/>
        </w:rPr>
        <w:t xml:space="preserve"> (קלד א) כת' דבעריות הולך אחר האיש, ואף האשה חייבת משום דכלפי האיש הוה מוסיף. </w:t>
      </w:r>
      <w:r w:rsidRPr="0041053F">
        <w:rPr>
          <w:rFonts w:ascii="Narkisim" w:hAnsi="Narkisim"/>
          <w:sz w:val="20"/>
          <w:szCs w:val="20"/>
          <w:rtl/>
        </w:rPr>
        <w:t>[וכל היכא דהאיש מצווה, אף האשה מצווה</w:t>
      </w:r>
      <w:r w:rsidRPr="0041053F">
        <w:rPr>
          <w:rStyle w:val="ac"/>
          <w:rFonts w:ascii="Narkisim" w:hAnsi="Narkisim"/>
          <w:sz w:val="20"/>
          <w:szCs w:val="20"/>
          <w:rtl/>
        </w:rPr>
        <w:footnoteReference w:id="2005"/>
      </w:r>
      <w:r w:rsidRPr="0041053F">
        <w:rPr>
          <w:rFonts w:ascii="Narkisim" w:hAnsi="Narkisim"/>
          <w:sz w:val="20"/>
          <w:szCs w:val="20"/>
          <w:rtl/>
        </w:rPr>
        <w:t>. ע' לקמן פד:]</w:t>
      </w:r>
      <w:r w:rsidRPr="0041053F">
        <w:rPr>
          <w:rFonts w:ascii="Narkisim" w:hAnsi="Narkisim"/>
          <w:rtl/>
        </w:rPr>
        <w:t>.</w:t>
      </w:r>
    </w:p>
    <w:p w14:paraId="1BC023C0" w14:textId="77777777" w:rsidR="006074A5" w:rsidRPr="0041053F" w:rsidRDefault="006074A5" w:rsidP="006074A5">
      <w:pPr>
        <w:pStyle w:val="a7"/>
        <w:bidi/>
        <w:rPr>
          <w:rFonts w:ascii="Narkisim" w:hAnsi="Narkisim"/>
        </w:rPr>
      </w:pPr>
      <w:r w:rsidRPr="0041053F">
        <w:rPr>
          <w:rFonts w:ascii="Narkisim" w:hAnsi="Narkisim"/>
          <w:rtl/>
        </w:rPr>
        <w:t>וב</w:t>
      </w:r>
      <w:r w:rsidRPr="0041053F">
        <w:rPr>
          <w:rFonts w:ascii="Narkisim" w:hAnsi="Narkisim"/>
          <w:b/>
          <w:bCs/>
          <w:rtl/>
        </w:rPr>
        <w:t>שיע' ר' שמואל</w:t>
      </w:r>
      <w:r w:rsidRPr="0041053F">
        <w:rPr>
          <w:rFonts w:ascii="Narkisim" w:hAnsi="Narkisim"/>
          <w:rtl/>
        </w:rPr>
        <w:t xml:space="preserve"> כת' דגדר האיסור עריות דחל על האשה, שהיא החפצא דאיסורא. ומש"ה נחשב איסור מוסיף, שמוסיף איסור בחפצא דאיסורא. והיכא דחל על נשים נוספות חשיב איסור כולל, על חתיכות נוספות. ואף כלפי האשה דנים כן, כלפי החפצא דאיסורא.</w:t>
      </w:r>
    </w:p>
    <w:p w14:paraId="35283698" w14:textId="77777777" w:rsidR="006074A5" w:rsidRPr="0041053F" w:rsidRDefault="006074A5" w:rsidP="006074A5">
      <w:pPr>
        <w:bidi/>
        <w:rPr>
          <w:rFonts w:ascii="Narkisim" w:hAnsi="Narkisim" w:cs="Narkisim"/>
        </w:rPr>
      </w:pPr>
      <w:r w:rsidRPr="0041053F">
        <w:rPr>
          <w:rFonts w:ascii="Narkisim" w:hAnsi="Narkisim" w:cs="Narkisim"/>
          <w:u w:val="single"/>
          <w:rtl/>
        </w:rPr>
        <w:t>שם. מיגו דאתוסף איסור לגבי אחים וכו'.</w:t>
      </w:r>
      <w:r w:rsidRPr="0041053F">
        <w:rPr>
          <w:rFonts w:ascii="Narkisim" w:hAnsi="Narkisim" w:cs="Narkisim"/>
          <w:rtl/>
        </w:rPr>
        <w:t xml:space="preserve"> בפשוטו לפ"ז איירי דוקא היכא דיש לו אחים נוספים, אבל היכא דהוה רק ב' מודה ר' יוסי דלא חל אשת אח על אחות אשה</w:t>
      </w:r>
      <w:r w:rsidRPr="0041053F">
        <w:rPr>
          <w:rStyle w:val="ac"/>
          <w:rFonts w:ascii="Narkisim" w:hAnsi="Narkisim" w:cs="Narkisim"/>
          <w:rtl/>
        </w:rPr>
        <w:footnoteReference w:id="2006"/>
      </w:r>
      <w:r w:rsidRPr="0041053F">
        <w:rPr>
          <w:rFonts w:ascii="Narkisim" w:hAnsi="Narkisim" w:cs="Narkisim"/>
          <w:rtl/>
        </w:rPr>
        <w:t>.</w:t>
      </w:r>
    </w:p>
    <w:p w14:paraId="62C347BF" w14:textId="77777777" w:rsidR="006074A5" w:rsidRPr="0041053F" w:rsidRDefault="006074A5" w:rsidP="006074A5">
      <w:pPr>
        <w:pStyle w:val="a7"/>
        <w:bidi/>
        <w:rPr>
          <w:rFonts w:ascii="Narkisim" w:hAnsi="Narkisim"/>
        </w:rPr>
      </w:pPr>
      <w:r w:rsidRPr="0041053F">
        <w:rPr>
          <w:rFonts w:ascii="Narkisim" w:hAnsi="Narkisim"/>
          <w:rtl/>
        </w:rPr>
        <w:t>וכ"כ ה</w:t>
      </w:r>
      <w:r w:rsidRPr="0041053F">
        <w:rPr>
          <w:rFonts w:ascii="Narkisim" w:hAnsi="Narkisim"/>
          <w:b/>
          <w:bCs/>
          <w:rtl/>
        </w:rPr>
        <w:t xml:space="preserve">רמב"ם </w:t>
      </w:r>
      <w:r w:rsidRPr="0041053F">
        <w:rPr>
          <w:rFonts w:ascii="Narkisim" w:hAnsi="Narkisim"/>
          <w:rtl/>
        </w:rPr>
        <w:t>(שגגות ד ג) כת' דאיסור מוסיף הוה דוקא היכא שהאנשים מצויים בעולם ויאסרו, ומתוך שנאסר עליהם יתווסף איסור אחר לזה. אבל אל"כ אין אומרים הואיל ואילו היו לו בנים או אחים תאסר עליהם וכו'</w:t>
      </w:r>
      <w:r w:rsidRPr="0041053F">
        <w:rPr>
          <w:rStyle w:val="ac"/>
          <w:rFonts w:ascii="Narkisim" w:hAnsi="Narkisim"/>
          <w:rtl/>
        </w:rPr>
        <w:footnoteReference w:id="2007"/>
      </w:r>
      <w:r w:rsidRPr="0041053F">
        <w:rPr>
          <w:rFonts w:ascii="Narkisim" w:hAnsi="Narkisim"/>
          <w:rtl/>
        </w:rPr>
        <w:t xml:space="preserve">. </w:t>
      </w:r>
      <w:r w:rsidRPr="0041053F">
        <w:rPr>
          <w:rFonts w:ascii="Narkisim" w:hAnsi="Narkisim"/>
          <w:sz w:val="20"/>
          <w:szCs w:val="20"/>
          <w:rtl/>
        </w:rPr>
        <w:t>וה</w:t>
      </w:r>
      <w:r w:rsidRPr="0041053F">
        <w:rPr>
          <w:rFonts w:ascii="Narkisim" w:hAnsi="Narkisim"/>
          <w:b/>
          <w:bCs/>
          <w:sz w:val="20"/>
          <w:szCs w:val="20"/>
          <w:rtl/>
        </w:rPr>
        <w:t>כס"מ</w:t>
      </w:r>
      <w:r w:rsidRPr="0041053F">
        <w:rPr>
          <w:rFonts w:ascii="Narkisim" w:hAnsi="Narkisim"/>
          <w:sz w:val="20"/>
          <w:szCs w:val="20"/>
          <w:rtl/>
        </w:rPr>
        <w:t xml:space="preserve"> הביא מקורו מהגמ' (כריתות יד:) 'דאיכא'</w:t>
      </w:r>
      <w:r w:rsidRPr="0041053F">
        <w:rPr>
          <w:rStyle w:val="ac"/>
          <w:rFonts w:ascii="Narkisim" w:hAnsi="Narkisim"/>
          <w:sz w:val="20"/>
          <w:szCs w:val="20"/>
          <w:rtl/>
        </w:rPr>
        <w:footnoteReference w:id="2008"/>
      </w:r>
      <w:r w:rsidRPr="0041053F">
        <w:rPr>
          <w:rFonts w:ascii="Narkisim" w:hAnsi="Narkisim"/>
          <w:sz w:val="20"/>
          <w:szCs w:val="20"/>
          <w:rtl/>
        </w:rPr>
        <w:t xml:space="preserve"> ברא </w:t>
      </w:r>
      <w:r w:rsidRPr="0041053F">
        <w:rPr>
          <w:rFonts w:ascii="Narkisim" w:hAnsi="Narkisim"/>
          <w:sz w:val="20"/>
          <w:szCs w:val="20"/>
          <w:rtl/>
        </w:rPr>
        <w:lastRenderedPageBreak/>
        <w:t>לסבא.</w:t>
      </w:r>
    </w:p>
    <w:p w14:paraId="78A4651E" w14:textId="77777777" w:rsidR="006074A5" w:rsidRPr="0041053F" w:rsidRDefault="006074A5" w:rsidP="006074A5">
      <w:pPr>
        <w:pStyle w:val="a7"/>
        <w:bidi/>
        <w:rPr>
          <w:rFonts w:ascii="Narkisim" w:hAnsi="Narkisim"/>
        </w:rPr>
      </w:pPr>
      <w:r w:rsidRPr="0041053F">
        <w:rPr>
          <w:rFonts w:ascii="Narkisim" w:hAnsi="Narkisim"/>
          <w:rtl/>
        </w:rPr>
        <w:t>אך ה</w:t>
      </w:r>
      <w:r w:rsidRPr="0041053F">
        <w:rPr>
          <w:rFonts w:ascii="Narkisim" w:hAnsi="Narkisim"/>
          <w:b/>
          <w:bCs/>
          <w:rtl/>
        </w:rPr>
        <w:t>אחרונים</w:t>
      </w:r>
      <w:r w:rsidRPr="0041053F">
        <w:rPr>
          <w:rFonts w:ascii="Narkisim" w:hAnsi="Narkisim"/>
          <w:rtl/>
        </w:rPr>
        <w:t xml:space="preserve"> (שעה"מ איסו"ב יז ח) הביאו דה</w:t>
      </w:r>
      <w:r w:rsidRPr="0041053F">
        <w:rPr>
          <w:rFonts w:ascii="Narkisim" w:hAnsi="Narkisim"/>
          <w:b/>
          <w:bCs/>
          <w:rtl/>
        </w:rPr>
        <w:t xml:space="preserve">רמב"ן </w:t>
      </w:r>
      <w:r w:rsidRPr="0041053F">
        <w:rPr>
          <w:rFonts w:ascii="Narkisim" w:hAnsi="Narkisim"/>
          <w:rtl/>
        </w:rPr>
        <w:t>ו</w:t>
      </w:r>
      <w:r w:rsidRPr="0041053F">
        <w:rPr>
          <w:rFonts w:ascii="Narkisim" w:hAnsi="Narkisim"/>
          <w:b/>
          <w:bCs/>
          <w:rtl/>
        </w:rPr>
        <w:t>ריטב"א</w:t>
      </w:r>
      <w:r w:rsidRPr="0041053F">
        <w:rPr>
          <w:rFonts w:ascii="Narkisim" w:hAnsi="Narkisim"/>
          <w:rtl/>
        </w:rPr>
        <w:t xml:space="preserve"> (קידושין עז:) כת' דאחותו שנעשית אלמנה נחשב איסור מוסיף לכה"ג, מתוך שחל איסור לכה"ג שיתמנה אחריו. ואף דאיירי שעדיין לא נתמנה כה"ג אחר, ולא נוסף איסור לשום אדם</w:t>
      </w:r>
      <w:r w:rsidRPr="0041053F">
        <w:rPr>
          <w:rStyle w:val="ac"/>
          <w:rFonts w:ascii="Narkisim" w:hAnsi="Narkisim"/>
          <w:rtl/>
        </w:rPr>
        <w:footnoteReference w:id="2009"/>
      </w:r>
      <w:r w:rsidRPr="0041053F">
        <w:rPr>
          <w:rFonts w:ascii="Narkisim" w:hAnsi="Narkisim"/>
          <w:rtl/>
        </w:rPr>
        <w:t>.</w:t>
      </w:r>
    </w:p>
    <w:p w14:paraId="55C81DF8"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חילקו דבאיסור כולל צריך שיהא מצוי בעולם אף לדעת ה</w:t>
      </w:r>
      <w:r w:rsidRPr="0041053F">
        <w:rPr>
          <w:rFonts w:ascii="Narkisim" w:hAnsi="Narkisim"/>
          <w:b/>
          <w:bCs/>
          <w:rtl/>
        </w:rPr>
        <w:t>ראשונים</w:t>
      </w:r>
      <w:r w:rsidRPr="0041053F">
        <w:rPr>
          <w:rFonts w:ascii="Narkisim" w:hAnsi="Narkisim"/>
          <w:rtl/>
        </w:rPr>
        <w:t>. ויש חילוק בין איסור כולל למוסיף</w:t>
      </w:r>
      <w:r w:rsidRPr="0041053F">
        <w:rPr>
          <w:rStyle w:val="ac"/>
          <w:rFonts w:ascii="Narkisim" w:hAnsi="Narkisim"/>
          <w:rtl/>
        </w:rPr>
        <w:footnoteReference w:id="2010"/>
      </w:r>
      <w:r w:rsidRPr="0041053F">
        <w:rPr>
          <w:rFonts w:ascii="Narkisim" w:hAnsi="Narkisim"/>
          <w:rtl/>
        </w:rPr>
        <w:t>. אבל ה</w:t>
      </w:r>
      <w:r w:rsidRPr="0041053F">
        <w:rPr>
          <w:rFonts w:ascii="Narkisim" w:hAnsi="Narkisim"/>
          <w:b/>
          <w:bCs/>
          <w:rtl/>
        </w:rPr>
        <w:t>מאירי</w:t>
      </w:r>
      <w:r w:rsidRPr="0041053F">
        <w:rPr>
          <w:rFonts w:ascii="Narkisim" w:hAnsi="Narkisim"/>
          <w:rtl/>
        </w:rPr>
        <w:t xml:space="preserve"> (לד.) מביא </w:t>
      </w:r>
      <w:r w:rsidRPr="0041053F">
        <w:rPr>
          <w:rFonts w:ascii="Narkisim" w:hAnsi="Narkisim"/>
          <w:b/>
          <w:bCs/>
          <w:rtl/>
        </w:rPr>
        <w:t>י"מ</w:t>
      </w:r>
      <w:r w:rsidRPr="0041053F">
        <w:rPr>
          <w:rFonts w:ascii="Narkisim" w:hAnsi="Narkisim"/>
          <w:rtl/>
        </w:rPr>
        <w:t xml:space="preserve"> דאף איסור כולל ל"צ שיהיה בעולם.</w:t>
      </w:r>
    </w:p>
    <w:p w14:paraId="7932867C" w14:textId="77777777" w:rsidR="006074A5" w:rsidRPr="0041053F" w:rsidRDefault="006074A5" w:rsidP="006074A5">
      <w:pPr>
        <w:pStyle w:val="aa"/>
        <w:bidi/>
        <w:rPr>
          <w:rFonts w:ascii="Narkisim" w:hAnsi="Narkisim"/>
        </w:rPr>
      </w:pPr>
      <w:r w:rsidRPr="0041053F">
        <w:rPr>
          <w:rFonts w:ascii="Narkisim" w:hAnsi="Narkisim"/>
          <w:rtl/>
        </w:rPr>
        <w:t>ו</w:t>
      </w:r>
      <w:r w:rsidRPr="0041053F">
        <w:rPr>
          <w:rFonts w:ascii="Narkisim" w:hAnsi="Narkisim"/>
          <w:b/>
          <w:bCs/>
          <w:rtl/>
        </w:rPr>
        <w:t>רע"א</w:t>
      </w:r>
      <w:r w:rsidRPr="0041053F">
        <w:rPr>
          <w:rFonts w:ascii="Narkisim" w:hAnsi="Narkisim"/>
          <w:rtl/>
        </w:rPr>
        <w:t xml:space="preserve"> (על השעה"מ, ובחי' כאן) הק' דאי נחשב 'מוסיף' במה שיבא לאחר זמן, א"כ אף אשת איש ונעשה חמותו, נימא דמוסיף איסור לזמן לאחר שימות בעלה או תתגרש. ותי' [דאף להנך ראשונים] ה"מ כשמוסיף איסור על גוף אחר, אבל מה שמוסיף איסור [לאדם זה] לזמן אחר לא נחשב כולל או מוסיף.</w:t>
      </w:r>
    </w:p>
    <w:p w14:paraId="225E499F"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ה</w:t>
      </w:r>
      <w:r w:rsidRPr="0041053F">
        <w:rPr>
          <w:rFonts w:ascii="Narkisim" w:hAnsi="Narkisim" w:cs="Narkisim"/>
          <w:b/>
          <w:bCs/>
          <w:rtl/>
        </w:rPr>
        <w:t>ריטב"א</w:t>
      </w:r>
      <w:r w:rsidRPr="0041053F">
        <w:rPr>
          <w:rFonts w:ascii="Narkisim" w:hAnsi="Narkisim" w:cs="Narkisim"/>
          <w:rtl/>
        </w:rPr>
        <w:t xml:space="preserve"> הק' אפי' אין לו אחים נימא מיגו דחל איסור אשת איש אעלמא, חל איסור אשת אח</w:t>
      </w:r>
      <w:r w:rsidRPr="0041053F">
        <w:rPr>
          <w:rStyle w:val="ac"/>
          <w:rFonts w:ascii="Narkisim" w:hAnsi="Narkisim" w:cs="Narkisim"/>
          <w:rtl/>
        </w:rPr>
        <w:footnoteReference w:id="2011"/>
      </w:r>
      <w:r w:rsidRPr="0041053F">
        <w:rPr>
          <w:rFonts w:ascii="Narkisim" w:hAnsi="Narkisim" w:cs="Narkisim"/>
          <w:rtl/>
        </w:rPr>
        <w:t>. ותי' דאה"נ. אלא דניח"ל שיהא שם דאשת אח בעצמו. ועוד דנקט איסור אחים דחמיר טפי, דאיתיה אפי' לאחר מיתת אחיהם. וה</w:t>
      </w:r>
      <w:r w:rsidRPr="0041053F">
        <w:rPr>
          <w:rFonts w:ascii="Narkisim" w:hAnsi="Narkisim" w:cs="Narkisim"/>
          <w:b/>
          <w:bCs/>
          <w:rtl/>
        </w:rPr>
        <w:t>שיטמ"ק</w:t>
      </w:r>
      <w:r w:rsidRPr="0041053F">
        <w:rPr>
          <w:rFonts w:ascii="Narkisim" w:hAnsi="Narkisim" w:cs="Narkisim"/>
          <w:rtl/>
        </w:rPr>
        <w:t xml:space="preserve"> </w:t>
      </w:r>
      <w:r w:rsidRPr="0041053F">
        <w:rPr>
          <w:rFonts w:ascii="Narkisim" w:hAnsi="Narkisim" w:cs="Narkisim"/>
          <w:szCs w:val="20"/>
          <w:rtl/>
        </w:rPr>
        <w:t>(כריתות</w:t>
      </w:r>
      <w:r w:rsidRPr="0041053F">
        <w:rPr>
          <w:rFonts w:ascii="Narkisim" w:hAnsi="Narkisim" w:cs="Narkisim"/>
          <w:rtl/>
        </w:rPr>
        <w:t xml:space="preserve"> </w:t>
      </w:r>
      <w:r w:rsidRPr="0041053F">
        <w:rPr>
          <w:rFonts w:ascii="Narkisim" w:hAnsi="Narkisim" w:cs="Narkisim"/>
          <w:sz w:val="20"/>
          <w:szCs w:val="20"/>
          <w:rtl/>
        </w:rPr>
        <w:t>יד: ט בהשמטות בשם גליון)</w:t>
      </w:r>
      <w:r w:rsidRPr="0041053F">
        <w:rPr>
          <w:rFonts w:ascii="Narkisim" w:hAnsi="Narkisim" w:cs="Narkisim"/>
          <w:rtl/>
        </w:rPr>
        <w:t xml:space="preserve"> תי' דשם אשת אח</w:t>
      </w:r>
      <w:r w:rsidRPr="0041053F">
        <w:rPr>
          <w:rStyle w:val="ac"/>
          <w:rFonts w:ascii="Narkisim" w:hAnsi="Narkisim" w:cs="Narkisim"/>
          <w:rtl/>
        </w:rPr>
        <w:footnoteReference w:id="2012"/>
      </w:r>
      <w:r w:rsidRPr="0041053F">
        <w:rPr>
          <w:rFonts w:ascii="Narkisim" w:hAnsi="Narkisim" w:cs="Narkisim"/>
          <w:rtl/>
        </w:rPr>
        <w:t xml:space="preserve"> אוסר לאחר מיתה, ואז ליכא אשת איש.</w:t>
      </w:r>
      <w:r w:rsidRPr="0041053F">
        <w:rPr>
          <w:rFonts w:ascii="Narkisim" w:hAnsi="Narkisim" w:cs="Narkisim"/>
          <w:sz w:val="20"/>
          <w:szCs w:val="20"/>
          <w:rtl/>
        </w:rPr>
        <w:t xml:space="preserve"> [וצ"ב דאם חל עכשיו לא יפקע כשיגרש או ימות בעלה</w:t>
      </w:r>
      <w:r w:rsidRPr="0041053F">
        <w:rPr>
          <w:rStyle w:val="ac"/>
          <w:rFonts w:ascii="Narkisim" w:hAnsi="Narkisim" w:cs="Narkisim"/>
          <w:sz w:val="20"/>
          <w:szCs w:val="20"/>
          <w:rtl/>
        </w:rPr>
        <w:footnoteReference w:id="2013"/>
      </w:r>
      <w:r w:rsidRPr="0041053F">
        <w:rPr>
          <w:rFonts w:ascii="Narkisim" w:hAnsi="Narkisim" w:cs="Narkisim"/>
          <w:sz w:val="20"/>
          <w:szCs w:val="20"/>
          <w:rtl/>
        </w:rPr>
        <w:t>].</w:t>
      </w:r>
    </w:p>
    <w:p w14:paraId="163B14EF" w14:textId="77777777" w:rsidR="006074A5" w:rsidRPr="0041053F" w:rsidRDefault="006074A5" w:rsidP="006074A5">
      <w:pPr>
        <w:pStyle w:val="aa"/>
        <w:bidi/>
        <w:rPr>
          <w:rFonts w:ascii="Narkisim" w:hAnsi="Narkisim"/>
        </w:rPr>
      </w:pPr>
      <w:r w:rsidRPr="0041053F">
        <w:rPr>
          <w:rFonts w:ascii="Narkisim" w:hAnsi="Narkisim"/>
          <w:u w:val="single"/>
          <w:rtl/>
        </w:rPr>
        <w:t>מאי איסור מוסיף איכא</w:t>
      </w:r>
      <w:r w:rsidRPr="0041053F">
        <w:rPr>
          <w:rStyle w:val="ac"/>
          <w:rFonts w:ascii="Narkisim" w:hAnsi="Narkisim"/>
          <w:u w:val="single"/>
          <w:rtl/>
        </w:rPr>
        <w:footnoteReference w:id="2014"/>
      </w:r>
      <w:r w:rsidRPr="0041053F">
        <w:rPr>
          <w:rFonts w:ascii="Narkisim" w:hAnsi="Narkisim"/>
          <w:u w:val="single"/>
          <w:rtl/>
        </w:rPr>
        <w:t>, וכ"ת מיגו דאיתסר בכולהו אחוותא.</w:t>
      </w:r>
      <w:r w:rsidRPr="0041053F">
        <w:rPr>
          <w:rFonts w:ascii="Narkisim" w:hAnsi="Narkisim"/>
          <w:rtl/>
        </w:rPr>
        <w:t xml:space="preserve"> בסוגין מוזכר 'מיגו' לגבי איסור כולל [דנאסרו חתיכות {נשים} נוספות באיסור זה], ולא לגבי איסור מוסיף</w:t>
      </w:r>
      <w:r w:rsidRPr="0041053F">
        <w:rPr>
          <w:rStyle w:val="ac"/>
          <w:rFonts w:ascii="Narkisim" w:hAnsi="Narkisim"/>
          <w:rtl/>
        </w:rPr>
        <w:footnoteReference w:id="2015"/>
      </w:r>
      <w:r w:rsidRPr="0041053F">
        <w:rPr>
          <w:rFonts w:ascii="Narkisim" w:hAnsi="Narkisim"/>
          <w:rtl/>
        </w:rPr>
        <w:t xml:space="preserve">. אך </w:t>
      </w:r>
      <w:r w:rsidRPr="0041053F">
        <w:rPr>
          <w:rFonts w:ascii="Narkisim" w:hAnsi="Narkisim"/>
          <w:b/>
          <w:bCs/>
          <w:rtl/>
        </w:rPr>
        <w:t>רש"י</w:t>
      </w:r>
      <w:r w:rsidRPr="0041053F">
        <w:rPr>
          <w:rFonts w:ascii="Narkisim" w:hAnsi="Narkisim"/>
          <w:rtl/>
        </w:rPr>
        <w:t xml:space="preserve"> (שבועות כד: הנ"ל) נקט אף גבי איסור מוסיף הלשון 'מתוך'.</w:t>
      </w:r>
    </w:p>
    <w:p w14:paraId="739EC2D4" w14:textId="77777777" w:rsidR="006074A5" w:rsidRPr="0041053F" w:rsidRDefault="006074A5" w:rsidP="006074A5">
      <w:pPr>
        <w:bidi/>
        <w:rPr>
          <w:rFonts w:ascii="Narkisim" w:hAnsi="Narkisim" w:cs="Narkisim"/>
        </w:rPr>
      </w:pPr>
      <w:r w:rsidRPr="0041053F">
        <w:rPr>
          <w:rFonts w:ascii="Narkisim" w:hAnsi="Narkisim" w:cs="Narkisim"/>
          <w:u w:val="single"/>
          <w:rtl/>
        </w:rPr>
        <w:t>תוד"ה איסור כולל.</w:t>
      </w:r>
      <w:r w:rsidRPr="0041053F">
        <w:rPr>
          <w:rFonts w:ascii="Narkisim" w:hAnsi="Narkisim" w:cs="Narkisim"/>
          <w:rtl/>
        </w:rPr>
        <w:t xml:space="preserve"> צ"ל דאשת איש ונעשית חמותו לא חשיב איסור כולל וכו' כיון שאין שם א' וכו'. [וכעי"ז כתב ה</w:t>
      </w:r>
      <w:r w:rsidRPr="0041053F">
        <w:rPr>
          <w:rFonts w:ascii="Narkisim" w:hAnsi="Narkisim" w:cs="Narkisim"/>
          <w:b/>
          <w:bCs/>
          <w:rtl/>
        </w:rPr>
        <w:t>תו"י</w:t>
      </w:r>
      <w:r w:rsidRPr="0041053F">
        <w:rPr>
          <w:rFonts w:ascii="Narkisim" w:hAnsi="Narkisim" w:cs="Narkisim"/>
          <w:rtl/>
        </w:rPr>
        <w:t xml:space="preserve"> לג.]. ומבואר בתוס' דכ"ז למ"ד דר' יוסי מחייב באיסור כולל, ונח' הלשונות (לג.) בהך סברא. אבל למסקנא דר' חייא איירי באיסור בת א' [ור' יוסי פוטר באיסור כולל], א"כ י"ל דאף בב' שמות הוה איסור כולל.</w:t>
      </w:r>
    </w:p>
    <w:p w14:paraId="2CA52D16"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רמב"ן</w:t>
      </w:r>
      <w:r w:rsidRPr="0041053F">
        <w:rPr>
          <w:rFonts w:ascii="Narkisim" w:hAnsi="Narkisim"/>
          <w:sz w:val="20"/>
          <w:szCs w:val="20"/>
          <w:rtl/>
        </w:rPr>
        <w:t xml:space="preserve"> (לג. הביא כן בשם אחרים)</w:t>
      </w:r>
      <w:r w:rsidRPr="0041053F">
        <w:rPr>
          <w:rFonts w:ascii="Narkisim" w:hAnsi="Narkisim"/>
          <w:rtl/>
        </w:rPr>
        <w:t xml:space="preserve"> חלק דלא בעי שם א' דאמרי' (שם) מיגו דחייל אאכילה חל אעבודה. ואף דהוה ב' שמות וב' לאוין, ואין איסורן שווה. ואפי' הכי כיון דשם טומאה הוא חל.</w:t>
      </w:r>
    </w:p>
    <w:p w14:paraId="57BF7863" w14:textId="77777777" w:rsidR="006074A5" w:rsidRPr="0041053F" w:rsidRDefault="006074A5" w:rsidP="006074A5">
      <w:pPr>
        <w:pStyle w:val="a8"/>
        <w:bidi/>
        <w:rPr>
          <w:rFonts w:ascii="Narkisim" w:hAnsi="Narkisim"/>
        </w:rPr>
      </w:pPr>
      <w:r w:rsidRPr="0041053F">
        <w:rPr>
          <w:rFonts w:ascii="Narkisim" w:hAnsi="Narkisim"/>
          <w:rtl/>
        </w:rPr>
        <w:t xml:space="preserve">אך </w:t>
      </w:r>
      <w:r w:rsidRPr="0041053F">
        <w:rPr>
          <w:rFonts w:ascii="Narkisim" w:hAnsi="Narkisim"/>
          <w:b/>
          <w:bCs/>
          <w:rtl/>
        </w:rPr>
        <w:t>רע"א</w:t>
      </w:r>
      <w:r w:rsidRPr="0041053F">
        <w:rPr>
          <w:rFonts w:ascii="Narkisim" w:hAnsi="Narkisim"/>
          <w:rtl/>
        </w:rPr>
        <w:t xml:space="preserve"> ו</w:t>
      </w:r>
      <w:r w:rsidRPr="0041053F">
        <w:rPr>
          <w:rFonts w:ascii="Narkisim" w:hAnsi="Narkisim"/>
          <w:b/>
          <w:bCs/>
          <w:rtl/>
        </w:rPr>
        <w:t>הג' ראמ"ה</w:t>
      </w:r>
      <w:r w:rsidRPr="0041053F">
        <w:rPr>
          <w:rFonts w:ascii="Narkisim" w:hAnsi="Narkisim"/>
          <w:rtl/>
        </w:rPr>
        <w:t xml:space="preserve"> כת' דאף לצד דלא בעינן שם א', היינו משום דכל עריות מקרי שם א'</w:t>
      </w:r>
      <w:r w:rsidRPr="0041053F">
        <w:rPr>
          <w:rStyle w:val="ac"/>
          <w:rFonts w:ascii="Narkisim" w:hAnsi="Narkisim"/>
          <w:rtl/>
        </w:rPr>
        <w:footnoteReference w:id="2016"/>
      </w:r>
      <w:r w:rsidRPr="0041053F">
        <w:rPr>
          <w:rFonts w:ascii="Narkisim" w:hAnsi="Narkisim"/>
          <w:rtl/>
        </w:rPr>
        <w:t>.</w:t>
      </w:r>
    </w:p>
    <w:p w14:paraId="677A4E2C" w14:textId="77777777" w:rsidR="006074A5" w:rsidRPr="0041053F" w:rsidRDefault="006074A5" w:rsidP="006074A5">
      <w:pPr>
        <w:bidi/>
        <w:rPr>
          <w:rFonts w:ascii="Narkisim" w:hAnsi="Narkisim" w:cs="Narkisim"/>
        </w:rPr>
      </w:pPr>
      <w:r w:rsidRPr="0041053F">
        <w:rPr>
          <w:rFonts w:ascii="Narkisim" w:hAnsi="Narkisim" w:cs="Narkisim"/>
          <w:u w:val="single"/>
          <w:rtl/>
        </w:rPr>
        <w:t>תוד"ה ותו.</w:t>
      </w:r>
      <w:r w:rsidRPr="0041053F">
        <w:rPr>
          <w:rFonts w:ascii="Narkisim" w:hAnsi="Narkisim" w:cs="Narkisim"/>
          <w:rtl/>
        </w:rPr>
        <w:t xml:space="preserve"> ואם לא התרו בו משום חמותו וכו' פטור. אבל ה</w:t>
      </w:r>
      <w:r w:rsidRPr="0041053F">
        <w:rPr>
          <w:rFonts w:ascii="Narkisim" w:hAnsi="Narkisim" w:cs="Narkisim"/>
          <w:b/>
          <w:bCs/>
          <w:rtl/>
        </w:rPr>
        <w:t>ריטב"א</w:t>
      </w:r>
      <w:r w:rsidRPr="0041053F">
        <w:rPr>
          <w:rFonts w:ascii="Narkisim" w:hAnsi="Narkisim" w:cs="Narkisim"/>
          <w:rtl/>
        </w:rPr>
        <w:t xml:space="preserve"> כת' והוי יודע דאפי' למ"ד איסור מוסיף [ולית ליה איסור כולל], אהני ליה דאי אתרו ביה משום אשת איש ולא משום חמותו, נידון משום אשת איש. וכ"כ ה</w:t>
      </w:r>
      <w:r w:rsidRPr="0041053F">
        <w:rPr>
          <w:rFonts w:ascii="Narkisim" w:hAnsi="Narkisim" w:cs="Narkisim"/>
          <w:b/>
          <w:bCs/>
          <w:rtl/>
        </w:rPr>
        <w:t>מהרי"ט</w:t>
      </w:r>
      <w:r w:rsidRPr="0041053F">
        <w:rPr>
          <w:rFonts w:ascii="Narkisim" w:hAnsi="Narkisim" w:cs="Narkisim"/>
          <w:rtl/>
        </w:rPr>
        <w:t xml:space="preserve"> (קידושין עח.) דהא דאין איסור חל על איסור ה"מ היכא דהתרו בו על שניהם, אבל התרו בו רק משום האיסור השני. או שהיה שוגג על האיסור הראשון ומזיד על השני חייב. </w:t>
      </w:r>
      <w:r w:rsidRPr="0041053F">
        <w:rPr>
          <w:rFonts w:ascii="Narkisim" w:hAnsi="Narkisim" w:cs="Narkisim"/>
          <w:sz w:val="20"/>
          <w:szCs w:val="20"/>
          <w:rtl/>
        </w:rPr>
        <w:t>[וצ"ב דהא לא חל האיסור השני כלל. וצ"ל דמצב זה שאינו בכלל האיסור הראשון, אמרי' דחל האיסור השני</w:t>
      </w:r>
      <w:r w:rsidRPr="0041053F">
        <w:rPr>
          <w:rStyle w:val="ac"/>
          <w:rFonts w:ascii="Narkisim" w:hAnsi="Narkisim" w:cs="Narkisim"/>
          <w:sz w:val="20"/>
          <w:szCs w:val="20"/>
          <w:rtl/>
        </w:rPr>
        <w:footnoteReference w:id="2017"/>
      </w:r>
      <w:r w:rsidRPr="0041053F">
        <w:rPr>
          <w:rFonts w:ascii="Narkisim" w:hAnsi="Narkisim" w:cs="Narkisim"/>
          <w:sz w:val="20"/>
          <w:szCs w:val="20"/>
          <w:rtl/>
        </w:rPr>
        <w:t>]. וה</w:t>
      </w:r>
      <w:r w:rsidRPr="0041053F">
        <w:rPr>
          <w:rFonts w:ascii="Narkisim" w:hAnsi="Narkisim" w:cs="Narkisim"/>
          <w:b/>
          <w:bCs/>
          <w:sz w:val="20"/>
          <w:szCs w:val="20"/>
          <w:rtl/>
        </w:rPr>
        <w:t xml:space="preserve">שעה"מ </w:t>
      </w:r>
      <w:r w:rsidRPr="0041053F">
        <w:rPr>
          <w:rFonts w:ascii="Narkisim" w:hAnsi="Narkisim" w:cs="Narkisim"/>
          <w:sz w:val="20"/>
          <w:szCs w:val="20"/>
          <w:rtl/>
        </w:rPr>
        <w:t>(איסו"ב יז ח) הקשה מתוס' כאן. [וע"ע רש"י לקמן לד.].</w:t>
      </w:r>
    </w:p>
    <w:p w14:paraId="5A15D084" w14:textId="77777777" w:rsidR="006074A5" w:rsidRPr="0041053F" w:rsidRDefault="006074A5" w:rsidP="006074A5">
      <w:pPr>
        <w:pStyle w:val="a8"/>
        <w:bidi/>
        <w:rPr>
          <w:rFonts w:ascii="Narkisim" w:hAnsi="Narkisim"/>
        </w:rPr>
      </w:pPr>
      <w:r w:rsidRPr="0041053F">
        <w:rPr>
          <w:rFonts w:ascii="Narkisim" w:hAnsi="Narkisim"/>
          <w:rtl/>
        </w:rPr>
        <w:t xml:space="preserve">והשעה"מ הביא דהריטב"א כת' כן רק למאן דאית ליה איסור מוסיף. [ואף דלית ליה איסור כולל, להך מ"ד </w:t>
      </w:r>
      <w:r w:rsidRPr="0041053F">
        <w:rPr>
          <w:rFonts w:ascii="Narkisim" w:hAnsi="Narkisim"/>
          <w:rtl/>
        </w:rPr>
        <w:lastRenderedPageBreak/>
        <w:t>אהני]. אבל למאן דלית ליה איסור חל על איסור כלל לא מהני.</w:t>
      </w:r>
    </w:p>
    <w:p w14:paraId="11ED2C53" w14:textId="77777777" w:rsidR="006074A5" w:rsidRPr="0041053F" w:rsidRDefault="006074A5" w:rsidP="006074A5">
      <w:pPr>
        <w:pStyle w:val="2"/>
        <w:bidi/>
        <w:rPr>
          <w:rFonts w:ascii="Narkisim" w:hAnsi="Narkisim"/>
        </w:rPr>
      </w:pPr>
      <w:r w:rsidRPr="0041053F">
        <w:rPr>
          <w:rFonts w:ascii="Narkisim" w:hAnsi="Narkisim"/>
          <w:rtl/>
        </w:rPr>
        <w:t>מעלה אני עליו כאילו עשה ב' – לקברו בין רשעים גמורים</w:t>
      </w:r>
    </w:p>
    <w:p w14:paraId="52CA33DC" w14:textId="77777777" w:rsidR="006074A5" w:rsidRPr="0041053F" w:rsidRDefault="006074A5" w:rsidP="006074A5">
      <w:pPr>
        <w:bidi/>
        <w:rPr>
          <w:rFonts w:ascii="Narkisim" w:hAnsi="Narkisim" w:cs="Narkisim"/>
        </w:rPr>
      </w:pPr>
      <w:r w:rsidRPr="0041053F">
        <w:rPr>
          <w:rFonts w:ascii="Narkisim" w:hAnsi="Narkisim" w:cs="Narkisim"/>
          <w:u w:val="single"/>
          <w:rtl/>
        </w:rPr>
        <w:t>לקברו בין רשעים גמורים</w:t>
      </w:r>
      <w:r w:rsidRPr="0041053F">
        <w:rPr>
          <w:rStyle w:val="ac"/>
          <w:rFonts w:ascii="Narkisim" w:hAnsi="Narkisim" w:cs="Narkisim"/>
          <w:rtl/>
        </w:rPr>
        <w:footnoteReference w:id="2018"/>
      </w:r>
      <w:r w:rsidRPr="0041053F">
        <w:rPr>
          <w:rFonts w:ascii="Narkisim" w:hAnsi="Narkisim" w:cs="Narkisim"/>
          <w:rtl/>
        </w:rPr>
        <w:t>. וכוונת ר' יוסי ד'חייב' ב' רק לענין לקוברו בין רשעים גמורים.</w:t>
      </w:r>
    </w:p>
    <w:p w14:paraId="3234523E" w14:textId="77777777" w:rsidR="006074A5" w:rsidRPr="0041053F" w:rsidRDefault="006074A5" w:rsidP="006074A5">
      <w:pPr>
        <w:pStyle w:val="a7"/>
        <w:bidi/>
        <w:rPr>
          <w:rFonts w:ascii="Narkisim" w:hAnsi="Narkisim"/>
        </w:rPr>
      </w:pPr>
      <w:r w:rsidRPr="0041053F">
        <w:rPr>
          <w:rFonts w:ascii="Narkisim" w:hAnsi="Narkisim"/>
          <w:rtl/>
        </w:rPr>
        <w:t>ומבואר דר' שמעון פליג</w:t>
      </w:r>
      <w:r w:rsidRPr="0041053F">
        <w:rPr>
          <w:rStyle w:val="ac"/>
          <w:rFonts w:ascii="Narkisim" w:hAnsi="Narkisim"/>
          <w:rtl/>
        </w:rPr>
        <w:footnoteReference w:id="2019"/>
      </w:r>
      <w:r w:rsidRPr="0041053F">
        <w:rPr>
          <w:rFonts w:ascii="Narkisim" w:hAnsi="Narkisim"/>
          <w:rtl/>
        </w:rPr>
        <w:t>. וה</w:t>
      </w:r>
      <w:r w:rsidRPr="0041053F">
        <w:rPr>
          <w:rFonts w:ascii="Narkisim" w:hAnsi="Narkisim"/>
          <w:b/>
          <w:bCs/>
          <w:rtl/>
        </w:rPr>
        <w:t>רשב"א</w:t>
      </w:r>
      <w:r w:rsidRPr="0041053F">
        <w:rPr>
          <w:rFonts w:ascii="Narkisim" w:hAnsi="Narkisim"/>
          <w:rtl/>
        </w:rPr>
        <w:t xml:space="preserve"> (לג.) הביא בשם ה</w:t>
      </w:r>
      <w:r w:rsidRPr="0041053F">
        <w:rPr>
          <w:rFonts w:ascii="Narkisim" w:hAnsi="Narkisim"/>
          <w:b/>
          <w:bCs/>
          <w:rtl/>
        </w:rPr>
        <w:t>ר"א אב"ד</w:t>
      </w:r>
      <w:r w:rsidRPr="0041053F">
        <w:rPr>
          <w:rFonts w:ascii="Narkisim" w:hAnsi="Narkisim"/>
          <w:rtl/>
        </w:rPr>
        <w:t xml:space="preserve"> [דלחד לישנא] במקום איסור כולל אמרי' דחל לענין לקוברו בין רשעים גמורים </w:t>
      </w:r>
      <w:r w:rsidRPr="0041053F">
        <w:rPr>
          <w:rFonts w:ascii="Narkisim" w:hAnsi="Narkisim"/>
          <w:sz w:val="20"/>
          <w:szCs w:val="20"/>
          <w:rtl/>
        </w:rPr>
        <w:t>[וכ"כ הרמב"ן שם ע"פ רש"י]</w:t>
      </w:r>
      <w:r w:rsidRPr="0041053F">
        <w:rPr>
          <w:rFonts w:ascii="Narkisim" w:hAnsi="Narkisim"/>
          <w:rtl/>
        </w:rPr>
        <w:t>. וה</w:t>
      </w:r>
      <w:r w:rsidRPr="0041053F">
        <w:rPr>
          <w:rFonts w:ascii="Narkisim" w:hAnsi="Narkisim"/>
          <w:b/>
          <w:bCs/>
          <w:rtl/>
        </w:rPr>
        <w:t>רמב"ן</w:t>
      </w:r>
      <w:r w:rsidRPr="0041053F">
        <w:rPr>
          <w:rFonts w:ascii="Narkisim" w:hAnsi="Narkisim"/>
          <w:rtl/>
        </w:rPr>
        <w:t xml:space="preserve"> (לג. וכ"כ ה</w:t>
      </w:r>
      <w:r w:rsidRPr="0041053F">
        <w:rPr>
          <w:rFonts w:ascii="Narkisim" w:hAnsi="Narkisim"/>
          <w:b/>
          <w:bCs/>
          <w:rtl/>
        </w:rPr>
        <w:t>תו"י</w:t>
      </w:r>
      <w:r w:rsidRPr="0041053F">
        <w:rPr>
          <w:rFonts w:ascii="Narkisim" w:hAnsi="Narkisim"/>
          <w:rtl/>
        </w:rPr>
        <w:t xml:space="preserve"> לג:) פליג דלמ"ד דאמרי' לקוברו, בכל איסור חע"א היינו לעונשין, אבל 'לקוברו' חל אפי' בלא כולל.</w:t>
      </w:r>
      <w:r w:rsidRPr="0041053F">
        <w:rPr>
          <w:rFonts w:ascii="Narkisim" w:hAnsi="Narkisim"/>
          <w:sz w:val="20"/>
          <w:szCs w:val="20"/>
          <w:rtl/>
        </w:rPr>
        <w:t xml:space="preserve"> [ואין מקום לומר דע"י כולל חל במקצת לקוברו].</w:t>
      </w:r>
    </w:p>
    <w:p w14:paraId="1C43EDC4" w14:textId="77777777" w:rsidR="006074A5" w:rsidRPr="0041053F" w:rsidRDefault="006074A5" w:rsidP="006074A5">
      <w:pPr>
        <w:bidi/>
        <w:rPr>
          <w:rFonts w:ascii="Narkisim" w:hAnsi="Narkisim" w:cs="Narkisim"/>
        </w:rPr>
      </w:pPr>
      <w:r w:rsidRPr="0041053F">
        <w:rPr>
          <w:rFonts w:ascii="Narkisim" w:hAnsi="Narkisim" w:cs="Narkisim"/>
          <w:u w:val="single"/>
          <w:rtl/>
        </w:rPr>
        <w:t>שם. לקברו בין רשעים</w:t>
      </w:r>
      <w:r w:rsidRPr="0041053F">
        <w:rPr>
          <w:rFonts w:ascii="Narkisim" w:hAnsi="Narkisim" w:cs="Narkisim"/>
          <w:rtl/>
        </w:rPr>
        <w:t>. צ"ב דאי לא חל איסור, א"כ אמאי מהני להחשב איסור חמור. וה</w:t>
      </w:r>
      <w:r w:rsidRPr="0041053F">
        <w:rPr>
          <w:rFonts w:ascii="Narkisim" w:hAnsi="Narkisim" w:cs="Narkisim"/>
          <w:b/>
          <w:bCs/>
          <w:rtl/>
        </w:rPr>
        <w:t xml:space="preserve">מאירי </w:t>
      </w:r>
      <w:r w:rsidRPr="0041053F">
        <w:rPr>
          <w:rFonts w:ascii="Narkisim" w:hAnsi="Narkisim" w:cs="Narkisim"/>
          <w:rtl/>
        </w:rPr>
        <w:t>ביאר אע"ג דאאחע"א, מ"מ בדיני שמים חייב, ואם לא עשה תשובה אף בי"ד קוברים אותו אצל רשעים חמורים. וה</w:t>
      </w:r>
      <w:r w:rsidRPr="0041053F">
        <w:rPr>
          <w:rFonts w:ascii="Narkisim" w:hAnsi="Narkisim" w:cs="Narkisim"/>
          <w:b/>
          <w:bCs/>
          <w:rtl/>
        </w:rPr>
        <w:t>אבנ"מ</w:t>
      </w:r>
      <w:r w:rsidRPr="0041053F">
        <w:rPr>
          <w:rFonts w:ascii="Narkisim" w:hAnsi="Narkisim" w:cs="Narkisim"/>
          <w:rtl/>
        </w:rPr>
        <w:t xml:space="preserve"> </w:t>
      </w:r>
      <w:r w:rsidRPr="0041053F">
        <w:rPr>
          <w:rFonts w:ascii="Narkisim" w:hAnsi="Narkisim" w:cs="Narkisim"/>
          <w:szCs w:val="20"/>
          <w:rtl/>
        </w:rPr>
        <w:t>(שו"ת יב)</w:t>
      </w:r>
      <w:r w:rsidRPr="0041053F">
        <w:rPr>
          <w:rFonts w:ascii="Narkisim" w:hAnsi="Narkisim" w:cs="Narkisim"/>
          <w:rtl/>
        </w:rPr>
        <w:t xml:space="preserve"> הביא בשם ה</w:t>
      </w:r>
      <w:r w:rsidRPr="0041053F">
        <w:rPr>
          <w:rFonts w:ascii="Narkisim" w:hAnsi="Narkisim" w:cs="Narkisim"/>
          <w:b/>
          <w:bCs/>
          <w:rtl/>
        </w:rPr>
        <w:t>פרמ"ג</w:t>
      </w:r>
      <w:r w:rsidRPr="0041053F">
        <w:rPr>
          <w:rFonts w:ascii="Narkisim" w:hAnsi="Narkisim" w:cs="Narkisim"/>
          <w:rtl/>
        </w:rPr>
        <w:t xml:space="preserve"> </w:t>
      </w:r>
      <w:r w:rsidRPr="0041053F">
        <w:rPr>
          <w:rFonts w:ascii="Narkisim" w:hAnsi="Narkisim" w:cs="Narkisim"/>
          <w:szCs w:val="20"/>
          <w:rtl/>
        </w:rPr>
        <w:t>(פתיחה כוללת פסח חלק ב פ"א טז)</w:t>
      </w:r>
      <w:r w:rsidRPr="0041053F">
        <w:rPr>
          <w:rFonts w:ascii="Narkisim" w:hAnsi="Narkisim" w:cs="Narkisim"/>
          <w:rtl/>
        </w:rPr>
        <w:t xml:space="preserve"> דהא דאין איסור חל על איסור היינו כלפי עונש</w:t>
      </w:r>
      <w:r w:rsidRPr="0041053F">
        <w:rPr>
          <w:rStyle w:val="ac"/>
          <w:rFonts w:ascii="Narkisim" w:hAnsi="Narkisim" w:cs="Narkisim"/>
          <w:rtl/>
        </w:rPr>
        <w:footnoteReference w:id="2020"/>
      </w:r>
      <w:r w:rsidRPr="0041053F">
        <w:rPr>
          <w:rFonts w:ascii="Narkisim" w:hAnsi="Narkisim" w:cs="Narkisim"/>
          <w:rtl/>
        </w:rPr>
        <w:t xml:space="preserve"> וקרבן, אבל איסורא מיהא חל</w:t>
      </w:r>
      <w:r w:rsidRPr="0041053F">
        <w:rPr>
          <w:rStyle w:val="ac"/>
          <w:rFonts w:ascii="Narkisim" w:hAnsi="Narkisim" w:cs="Narkisim"/>
          <w:rtl/>
        </w:rPr>
        <w:footnoteReference w:id="2021"/>
      </w:r>
      <w:r w:rsidRPr="0041053F">
        <w:rPr>
          <w:rFonts w:ascii="Narkisim" w:hAnsi="Narkisim" w:cs="Narkisim"/>
          <w:rtl/>
        </w:rPr>
        <w:t xml:space="preserve">. וכדאמרי' בסוגיין דאיסורא מיהא חל. </w:t>
      </w:r>
      <w:r w:rsidRPr="0041053F">
        <w:rPr>
          <w:rFonts w:ascii="Narkisim" w:hAnsi="Narkisim" w:cs="Narkisim"/>
          <w:sz w:val="20"/>
          <w:szCs w:val="20"/>
          <w:rtl/>
        </w:rPr>
        <w:t>והפרמ"ג תמה על מש"כ ה</w:t>
      </w:r>
      <w:r w:rsidRPr="0041053F">
        <w:rPr>
          <w:rFonts w:ascii="Narkisim" w:hAnsi="Narkisim" w:cs="Narkisim"/>
          <w:b/>
          <w:bCs/>
          <w:sz w:val="20"/>
          <w:szCs w:val="20"/>
          <w:rtl/>
        </w:rPr>
        <w:t>ש"ך</w:t>
      </w:r>
      <w:r w:rsidRPr="0041053F">
        <w:rPr>
          <w:rFonts w:ascii="Narkisim" w:hAnsi="Narkisim" w:cs="Narkisim"/>
          <w:sz w:val="20"/>
          <w:szCs w:val="20"/>
          <w:rtl/>
        </w:rPr>
        <w:t xml:space="preserve"> (יו"ד רלח ה) דהנשבע שלא יאכל נבילה אין שבועה חל על דבר האסור. ואפי' חלה וצריך לאוכלה מחמת סכנה, אי"צ לישאל על שבועתו</w:t>
      </w:r>
      <w:r w:rsidRPr="0041053F">
        <w:rPr>
          <w:rStyle w:val="ac"/>
          <w:rFonts w:ascii="Narkisim" w:hAnsi="Narkisim" w:cs="Narkisim"/>
          <w:rtl/>
        </w:rPr>
        <w:footnoteReference w:id="2022"/>
      </w:r>
      <w:r w:rsidRPr="0041053F">
        <w:rPr>
          <w:rFonts w:ascii="Narkisim" w:hAnsi="Narkisim" w:cs="Narkisim"/>
          <w:rtl/>
        </w:rPr>
        <w:t>.</w:t>
      </w:r>
    </w:p>
    <w:p w14:paraId="7505387D"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w:t>
      </w:r>
      <w:r w:rsidRPr="0041053F">
        <w:rPr>
          <w:rFonts w:ascii="Narkisim" w:hAnsi="Narkisim"/>
          <w:sz w:val="20"/>
          <w:szCs w:val="20"/>
          <w:rtl/>
        </w:rPr>
        <w:t>(חי' ר' שמעון נדרים א, אבי עזרי שבועות ה)</w:t>
      </w:r>
      <w:r w:rsidRPr="0041053F">
        <w:rPr>
          <w:rFonts w:ascii="Narkisim" w:hAnsi="Narkisim"/>
          <w:rtl/>
        </w:rPr>
        <w:t xml:space="preserve"> נתקשו בביאור הדבר, דאם חל האיסור, א"כ אמאי אינו נענש. וע"כ דלא חל צווי כלל.</w:t>
      </w:r>
      <w:r w:rsidRPr="0041053F">
        <w:rPr>
          <w:rFonts w:ascii="Narkisim" w:hAnsi="Narkisim"/>
          <w:sz w:val="20"/>
          <w:szCs w:val="20"/>
          <w:rtl/>
        </w:rPr>
        <w:t xml:space="preserve"> וה</w:t>
      </w:r>
      <w:r w:rsidRPr="0041053F">
        <w:rPr>
          <w:rFonts w:ascii="Narkisim" w:hAnsi="Narkisim"/>
          <w:b/>
          <w:bCs/>
          <w:sz w:val="20"/>
          <w:szCs w:val="20"/>
          <w:rtl/>
        </w:rPr>
        <w:t xml:space="preserve">גרז"ס </w:t>
      </w:r>
      <w:r w:rsidRPr="0041053F">
        <w:rPr>
          <w:rFonts w:ascii="Narkisim" w:hAnsi="Narkisim"/>
          <w:sz w:val="20"/>
          <w:szCs w:val="20"/>
          <w:rtl/>
        </w:rPr>
        <w:t>(קדשים שו"ת ט) כת' דנחשב איסור קלוש דאין בזה עונש, וכמו איסור חצי שיעור</w:t>
      </w:r>
      <w:r w:rsidRPr="0041053F">
        <w:rPr>
          <w:rStyle w:val="ac"/>
          <w:rFonts w:ascii="Narkisim" w:hAnsi="Narkisim"/>
          <w:sz w:val="20"/>
          <w:szCs w:val="20"/>
          <w:rtl/>
        </w:rPr>
        <w:footnoteReference w:id="2023"/>
      </w:r>
      <w:r w:rsidRPr="0041053F">
        <w:rPr>
          <w:rFonts w:ascii="Narkisim" w:hAnsi="Narkisim"/>
          <w:sz w:val="20"/>
          <w:szCs w:val="20"/>
          <w:rtl/>
        </w:rPr>
        <w:t>.</w:t>
      </w:r>
    </w:p>
    <w:p w14:paraId="64550DC4"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אחרונים</w:t>
      </w:r>
      <w:r w:rsidRPr="0041053F">
        <w:rPr>
          <w:rFonts w:ascii="Narkisim" w:hAnsi="Narkisim"/>
          <w:rtl/>
        </w:rPr>
        <w:t xml:space="preserve"> הביאו דמשמע בכמה מקומות דלא חל האיסור השני כלל</w:t>
      </w:r>
      <w:r w:rsidRPr="0041053F">
        <w:rPr>
          <w:rStyle w:val="ac"/>
          <w:rFonts w:ascii="Narkisim" w:hAnsi="Narkisim"/>
          <w:rtl/>
        </w:rPr>
        <w:footnoteReference w:id="2024"/>
      </w:r>
      <w:r w:rsidRPr="0041053F">
        <w:rPr>
          <w:rFonts w:ascii="Narkisim" w:hAnsi="Narkisim"/>
          <w:rtl/>
        </w:rPr>
        <w:t>.</w:t>
      </w:r>
      <w:r w:rsidRPr="0041053F">
        <w:rPr>
          <w:rFonts w:ascii="Narkisim" w:hAnsi="Narkisim"/>
          <w:sz w:val="20"/>
          <w:szCs w:val="20"/>
          <w:rtl/>
        </w:rPr>
        <w:t xml:space="preserve"> שה</w:t>
      </w:r>
      <w:r w:rsidRPr="0041053F">
        <w:rPr>
          <w:rFonts w:ascii="Narkisim" w:hAnsi="Narkisim"/>
          <w:b/>
          <w:bCs/>
          <w:sz w:val="20"/>
          <w:szCs w:val="20"/>
          <w:rtl/>
        </w:rPr>
        <w:t>רמב"ם</w:t>
      </w:r>
      <w:r w:rsidRPr="0041053F">
        <w:rPr>
          <w:rFonts w:ascii="Narkisim" w:hAnsi="Narkisim"/>
          <w:sz w:val="20"/>
          <w:szCs w:val="20"/>
          <w:rtl/>
        </w:rPr>
        <w:t xml:space="preserve"> בפיה"מ (כריתות יג:) כתב 'נקודה נפלאה' דהמבשל בשר נבילה בחלב אינו נאסר בהנאה, דכיון דאינו כולל או מוסיף לא חל איסור בשר בחלב, ולכן אינו נאסר בהנאה</w:t>
      </w:r>
      <w:r w:rsidRPr="0041053F">
        <w:rPr>
          <w:rStyle w:val="ac"/>
          <w:rFonts w:ascii="Narkisim" w:hAnsi="Narkisim"/>
          <w:sz w:val="20"/>
          <w:szCs w:val="20"/>
          <w:rtl/>
        </w:rPr>
        <w:footnoteReference w:id="2025"/>
      </w:r>
      <w:r w:rsidRPr="0041053F">
        <w:rPr>
          <w:rFonts w:ascii="Narkisim" w:hAnsi="Narkisim"/>
          <w:sz w:val="20"/>
          <w:szCs w:val="20"/>
          <w:rtl/>
        </w:rPr>
        <w:t>.</w:t>
      </w:r>
    </w:p>
    <w:p w14:paraId="2DFE09DF" w14:textId="77777777" w:rsidR="006074A5" w:rsidRPr="0041053F" w:rsidRDefault="006074A5" w:rsidP="006074A5">
      <w:pPr>
        <w:pStyle w:val="a7"/>
        <w:bidi/>
        <w:rPr>
          <w:rFonts w:ascii="Narkisim" w:hAnsi="Narkisim"/>
        </w:rPr>
      </w:pPr>
      <w:r w:rsidRPr="0041053F">
        <w:rPr>
          <w:rFonts w:ascii="Narkisim" w:hAnsi="Narkisim"/>
          <w:sz w:val="20"/>
          <w:szCs w:val="20"/>
          <w:rtl/>
        </w:rPr>
        <w:t>ועוד הביאו ד</w:t>
      </w:r>
      <w:r w:rsidRPr="0041053F">
        <w:rPr>
          <w:rFonts w:ascii="Narkisim" w:hAnsi="Narkisim"/>
          <w:b/>
          <w:bCs/>
          <w:sz w:val="20"/>
          <w:szCs w:val="20"/>
          <w:rtl/>
        </w:rPr>
        <w:t>תוס'</w:t>
      </w:r>
      <w:r w:rsidRPr="0041053F">
        <w:rPr>
          <w:rFonts w:ascii="Narkisim" w:hAnsi="Narkisim"/>
          <w:sz w:val="20"/>
          <w:szCs w:val="20"/>
          <w:rtl/>
        </w:rPr>
        <w:t xml:space="preserve"> (חולין צ.) כת' דלא חל איסור גיד במוקדשים, דכיון דמחיים לא חל, ילפי' מקרא דתו לא חל אחר שחיטה [ומותר באכילה</w:t>
      </w:r>
      <w:r w:rsidRPr="0041053F">
        <w:rPr>
          <w:rStyle w:val="ac"/>
          <w:rFonts w:ascii="Narkisim" w:hAnsi="Narkisim"/>
          <w:sz w:val="20"/>
          <w:szCs w:val="20"/>
          <w:rtl/>
        </w:rPr>
        <w:footnoteReference w:id="2026"/>
      </w:r>
      <w:r w:rsidRPr="0041053F">
        <w:rPr>
          <w:rFonts w:ascii="Narkisim" w:hAnsi="Narkisim"/>
          <w:sz w:val="20"/>
          <w:szCs w:val="20"/>
          <w:rtl/>
        </w:rPr>
        <w:t>].</w:t>
      </w:r>
    </w:p>
    <w:p w14:paraId="05CD788C"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יסדו דהא דאין איסור חל על איסור, היינו שאינו מצווה בדבר, אבל החפצא נחשב דבר האסור. ושם האיסור</w:t>
      </w:r>
      <w:r w:rsidRPr="0041053F">
        <w:rPr>
          <w:rStyle w:val="ac"/>
          <w:rFonts w:ascii="Narkisim" w:hAnsi="Narkisim"/>
          <w:rtl/>
        </w:rPr>
        <w:footnoteReference w:id="2027"/>
      </w:r>
      <w:r w:rsidRPr="0041053F">
        <w:rPr>
          <w:rFonts w:ascii="Narkisim" w:hAnsi="Narkisim"/>
          <w:rtl/>
        </w:rPr>
        <w:t xml:space="preserve"> קיים</w:t>
      </w:r>
      <w:r w:rsidRPr="0041053F">
        <w:rPr>
          <w:rStyle w:val="ac"/>
          <w:rFonts w:ascii="Narkisim" w:hAnsi="Narkisim"/>
          <w:rtl/>
        </w:rPr>
        <w:footnoteReference w:id="2028"/>
      </w:r>
      <w:r w:rsidRPr="0041053F">
        <w:rPr>
          <w:rFonts w:ascii="Narkisim" w:hAnsi="Narkisim"/>
          <w:rtl/>
        </w:rPr>
        <w:t>. ויש שביארו דבאמת אינו מצווה, ואפ"ה הוה דבר מתועב, ומהני לקוברו בין רשעים גמורים</w:t>
      </w:r>
      <w:r w:rsidRPr="0041053F">
        <w:rPr>
          <w:rStyle w:val="ac"/>
          <w:rFonts w:ascii="Narkisim" w:hAnsi="Narkisim"/>
          <w:rtl/>
        </w:rPr>
        <w:footnoteReference w:id="2029"/>
      </w:r>
      <w:r w:rsidRPr="0041053F">
        <w:rPr>
          <w:rFonts w:ascii="Narkisim" w:hAnsi="Narkisim"/>
          <w:rtl/>
        </w:rPr>
        <w:t xml:space="preserve"> [וצ"ב</w:t>
      </w:r>
      <w:r w:rsidRPr="0041053F">
        <w:rPr>
          <w:rStyle w:val="ac"/>
          <w:rFonts w:ascii="Narkisim" w:hAnsi="Narkisim"/>
          <w:rtl/>
        </w:rPr>
        <w:footnoteReference w:id="2030"/>
      </w:r>
      <w:r w:rsidRPr="0041053F">
        <w:rPr>
          <w:rFonts w:ascii="Narkisim" w:hAnsi="Narkisim"/>
          <w:rtl/>
        </w:rPr>
        <w:t xml:space="preserve">]. </w:t>
      </w:r>
      <w:r w:rsidRPr="0041053F">
        <w:rPr>
          <w:rFonts w:ascii="Narkisim" w:hAnsi="Narkisim"/>
          <w:sz w:val="20"/>
          <w:szCs w:val="20"/>
          <w:rtl/>
        </w:rPr>
        <w:t>וב</w:t>
      </w:r>
      <w:r w:rsidRPr="0041053F">
        <w:rPr>
          <w:rFonts w:ascii="Narkisim" w:hAnsi="Narkisim"/>
          <w:b/>
          <w:bCs/>
          <w:sz w:val="20"/>
          <w:szCs w:val="20"/>
          <w:rtl/>
        </w:rPr>
        <w:t>חי' ר' שמעון</w:t>
      </w:r>
      <w:r w:rsidRPr="0041053F">
        <w:rPr>
          <w:rFonts w:ascii="Narkisim" w:hAnsi="Narkisim"/>
          <w:sz w:val="20"/>
          <w:szCs w:val="20"/>
          <w:rtl/>
        </w:rPr>
        <w:t xml:space="preserve"> (יג ה) הוסיף דהאיסור </w:t>
      </w:r>
      <w:r w:rsidRPr="0041053F">
        <w:rPr>
          <w:rFonts w:ascii="Narkisim" w:hAnsi="Narkisim"/>
          <w:sz w:val="20"/>
          <w:szCs w:val="20"/>
          <w:rtl/>
        </w:rPr>
        <w:lastRenderedPageBreak/>
        <w:t>חפצא חל, ורק הגברא אינו מצווה [אבל לשונות הראשונים בכ"מ דלא חל איסור על החפצא. וצ"ל דהיינו כלפי הגברא].</w:t>
      </w:r>
    </w:p>
    <w:p w14:paraId="36963FBE"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חקרו</w:t>
      </w:r>
      <w:r w:rsidRPr="0041053F">
        <w:rPr>
          <w:rStyle w:val="ac"/>
          <w:rFonts w:ascii="Narkisim" w:hAnsi="Narkisim"/>
          <w:rtl/>
        </w:rPr>
        <w:footnoteReference w:id="2031"/>
      </w:r>
      <w:r w:rsidRPr="0041053F">
        <w:rPr>
          <w:rFonts w:ascii="Narkisim" w:hAnsi="Narkisim"/>
          <w:rtl/>
        </w:rPr>
        <w:t xml:space="preserve"> בגדר הדין [הסברא</w:t>
      </w:r>
      <w:r w:rsidRPr="0041053F">
        <w:rPr>
          <w:rStyle w:val="ac"/>
          <w:rFonts w:ascii="Narkisim" w:hAnsi="Narkisim"/>
          <w:rtl/>
        </w:rPr>
        <w:footnoteReference w:id="2032"/>
      </w:r>
      <w:r w:rsidRPr="0041053F">
        <w:rPr>
          <w:rFonts w:ascii="Narkisim" w:hAnsi="Narkisim"/>
          <w:rtl/>
        </w:rPr>
        <w:t>] דלא חל איסור על איסור, האם דבר האסור כבר לא אסרה תורה [כיון דבלאו הכי אינו עומד לאכילה, אין צורך שהתורה תחזור ותאסור שוב</w:t>
      </w:r>
      <w:r w:rsidRPr="0041053F">
        <w:rPr>
          <w:rStyle w:val="ac"/>
          <w:rFonts w:ascii="Narkisim" w:hAnsi="Narkisim"/>
          <w:rtl/>
        </w:rPr>
        <w:footnoteReference w:id="2033"/>
      </w:r>
      <w:r w:rsidRPr="0041053F">
        <w:rPr>
          <w:rFonts w:ascii="Narkisim" w:hAnsi="Narkisim"/>
          <w:rtl/>
        </w:rPr>
        <w:t>], או דאין הגדרה ומשמעות לאיסור, כיון דהדבר כבר אסור</w:t>
      </w:r>
      <w:r w:rsidRPr="0041053F">
        <w:rPr>
          <w:rStyle w:val="ac"/>
          <w:rFonts w:ascii="Narkisim" w:hAnsi="Narkisim"/>
          <w:rtl/>
        </w:rPr>
        <w:footnoteReference w:id="2034"/>
      </w:r>
      <w:r w:rsidRPr="0041053F">
        <w:rPr>
          <w:rFonts w:ascii="Narkisim" w:hAnsi="Narkisim"/>
          <w:rtl/>
        </w:rPr>
        <w:t>. [ועפ"ז צ"ב גדר כולל ומוסיף, וצ"ל דע"י כמיגו משתנה הגדרת האיסור הראשון].</w:t>
      </w:r>
    </w:p>
    <w:p w14:paraId="3D182E4C"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וה</w:t>
      </w:r>
      <w:r w:rsidRPr="0041053F">
        <w:rPr>
          <w:rFonts w:ascii="Narkisim" w:hAnsi="Narkisim" w:cs="Narkisim"/>
          <w:b/>
          <w:bCs/>
          <w:rtl/>
        </w:rPr>
        <w:t>בית הלוי</w:t>
      </w:r>
      <w:r w:rsidRPr="0041053F">
        <w:rPr>
          <w:rFonts w:ascii="Narkisim" w:hAnsi="Narkisim" w:cs="Narkisim"/>
          <w:rtl/>
        </w:rPr>
        <w:t xml:space="preserve"> (א מד והאחרונים) דן דבפשוטו ר' שמעון ס"ל דלא חל כלל [אף סיבת האיסור. וע"ע בע"א]. אבל אפשר דר' שמעון מודה דחל אלא דס"ל דאינו נקבר בין רשעים גמורים, דלא דמי לעבירות מחולקות</w:t>
      </w:r>
      <w:r w:rsidRPr="0041053F">
        <w:rPr>
          <w:rStyle w:val="ac"/>
          <w:rFonts w:ascii="Narkisim" w:hAnsi="Narkisim" w:cs="Narkisim"/>
          <w:rtl/>
        </w:rPr>
        <w:footnoteReference w:id="2035"/>
      </w:r>
      <w:r w:rsidRPr="0041053F">
        <w:rPr>
          <w:rFonts w:ascii="Narkisim" w:hAnsi="Narkisim" w:cs="Narkisim"/>
          <w:rtl/>
        </w:rPr>
        <w:t>.</w:t>
      </w:r>
    </w:p>
    <w:p w14:paraId="63B4DE04" w14:textId="77777777" w:rsidR="006074A5" w:rsidRPr="0041053F" w:rsidRDefault="006074A5" w:rsidP="006074A5">
      <w:pPr>
        <w:pStyle w:val="a7"/>
        <w:bidi/>
        <w:rPr>
          <w:rFonts w:ascii="Narkisim" w:hAnsi="Narkisim"/>
        </w:rPr>
      </w:pPr>
      <w:r w:rsidRPr="0041053F">
        <w:rPr>
          <w:rFonts w:ascii="Narkisim" w:hAnsi="Narkisim"/>
          <w:rtl/>
        </w:rPr>
        <w:t>ועוד דן ה</w:t>
      </w:r>
      <w:r w:rsidRPr="0041053F">
        <w:rPr>
          <w:rFonts w:ascii="Narkisim" w:hAnsi="Narkisim"/>
          <w:b/>
          <w:bCs/>
          <w:rtl/>
        </w:rPr>
        <w:t>בית הלוי</w:t>
      </w:r>
      <w:r w:rsidRPr="0041053F">
        <w:rPr>
          <w:rFonts w:ascii="Narkisim" w:hAnsi="Narkisim"/>
          <w:rtl/>
        </w:rPr>
        <w:t xml:space="preserve"> למ"ד דאיסור כולל חל [וכן קי"ל], א"כ אפשר דלא קי"ל לקוברו בין רשעים גמורים [דאין מקור לזה]. וה</w:t>
      </w:r>
      <w:r w:rsidRPr="0041053F">
        <w:rPr>
          <w:rFonts w:ascii="Narkisim" w:hAnsi="Narkisim"/>
          <w:b/>
          <w:bCs/>
          <w:rtl/>
        </w:rPr>
        <w:t>רמב"ם</w:t>
      </w:r>
      <w:r w:rsidRPr="0041053F">
        <w:rPr>
          <w:rFonts w:ascii="Narkisim" w:hAnsi="Narkisim"/>
          <w:rtl/>
        </w:rPr>
        <w:t xml:space="preserve"> ופוסקים לא הזכירו את הדין לקוברו בין רשעים בשום מקום. אך ה</w:t>
      </w:r>
      <w:r w:rsidRPr="0041053F">
        <w:rPr>
          <w:rFonts w:ascii="Narkisim" w:hAnsi="Narkisim"/>
          <w:b/>
          <w:bCs/>
          <w:rtl/>
        </w:rPr>
        <w:t>ראב"ד</w:t>
      </w:r>
      <w:r w:rsidRPr="0041053F">
        <w:rPr>
          <w:rFonts w:ascii="Narkisim" w:hAnsi="Narkisim"/>
          <w:rtl/>
        </w:rPr>
        <w:t xml:space="preserve"> (איסו"ב ב ו) כת' כן</w:t>
      </w:r>
      <w:r w:rsidRPr="0041053F">
        <w:rPr>
          <w:rStyle w:val="ac"/>
          <w:rFonts w:ascii="Narkisim" w:hAnsi="Narkisim"/>
          <w:rtl/>
        </w:rPr>
        <w:footnoteReference w:id="2036"/>
      </w:r>
      <w:r w:rsidRPr="0041053F">
        <w:rPr>
          <w:rFonts w:ascii="Narkisim" w:hAnsi="Narkisim"/>
          <w:rtl/>
        </w:rPr>
        <w:t>.</w:t>
      </w:r>
    </w:p>
    <w:p w14:paraId="2CB63970" w14:textId="77777777" w:rsidR="006074A5" w:rsidRPr="0041053F" w:rsidRDefault="006074A5" w:rsidP="006074A5">
      <w:pPr>
        <w:bidi/>
        <w:rPr>
          <w:rFonts w:ascii="Narkisim" w:hAnsi="Narkisim" w:cs="Narkisim"/>
        </w:rPr>
      </w:pPr>
      <w:r w:rsidRPr="0041053F">
        <w:rPr>
          <w:rFonts w:ascii="Narkisim" w:hAnsi="Narkisim" w:cs="Narkisim"/>
          <w:u w:val="single"/>
          <w:rtl/>
        </w:rPr>
        <w:t>רש"י ד"ה חייב ב'.</w:t>
      </w:r>
      <w:r w:rsidRPr="0041053F">
        <w:rPr>
          <w:rFonts w:ascii="Narkisim" w:hAnsi="Narkisim" w:cs="Narkisim"/>
          <w:rtl/>
        </w:rPr>
        <w:t xml:space="preserve"> ב' איסורי קחשיב, דהא משום זרות אין כאן חטאת. ו</w:t>
      </w:r>
      <w:r w:rsidRPr="0041053F">
        <w:rPr>
          <w:rFonts w:ascii="Narkisim" w:hAnsi="Narkisim" w:cs="Narkisim"/>
          <w:b/>
          <w:bCs/>
          <w:rtl/>
        </w:rPr>
        <w:t>הרמב"ן</w:t>
      </w:r>
      <w:r w:rsidRPr="0041053F">
        <w:rPr>
          <w:rFonts w:ascii="Narkisim" w:hAnsi="Narkisim" w:cs="Narkisim"/>
          <w:rtl/>
        </w:rPr>
        <w:t xml:space="preserve"> הביא </w:t>
      </w:r>
      <w:r w:rsidRPr="0041053F">
        <w:rPr>
          <w:rFonts w:ascii="Narkisim" w:hAnsi="Narkisim" w:cs="Narkisim"/>
          <w:b/>
          <w:bCs/>
          <w:rtl/>
        </w:rPr>
        <w:t>אחרים</w:t>
      </w:r>
      <w:r w:rsidRPr="0041053F">
        <w:rPr>
          <w:rFonts w:ascii="Narkisim" w:hAnsi="Narkisim" w:cs="Narkisim"/>
          <w:rtl/>
        </w:rPr>
        <w:t xml:space="preserve"> שהק' דמלקיות קתני. ותי' כשהתרו בו משום לאו, וס"ל דלאו שניתן לאזהרת מיתת בי"ד לוקין עליו (ע' מכות יג:).</w:t>
      </w:r>
    </w:p>
    <w:p w14:paraId="65C64C6F" w14:textId="77777777" w:rsidR="006074A5" w:rsidRPr="0041053F" w:rsidRDefault="006074A5" w:rsidP="006074A5">
      <w:pPr>
        <w:pStyle w:val="aa"/>
        <w:bidi/>
        <w:rPr>
          <w:rFonts w:ascii="Narkisim" w:hAnsi="Narkisim"/>
        </w:rPr>
      </w:pPr>
      <w:r w:rsidRPr="0041053F">
        <w:rPr>
          <w:rFonts w:ascii="Narkisim" w:hAnsi="Narkisim"/>
          <w:u w:val="single"/>
          <w:rtl/>
        </w:rPr>
        <w:t>התחיל בר קפרא לדון וכו' כשהותרה במקדש הותרה וכו'.</w:t>
      </w:r>
      <w:r w:rsidRPr="0041053F">
        <w:rPr>
          <w:rFonts w:ascii="Narkisim" w:hAnsi="Narkisim"/>
          <w:rtl/>
        </w:rPr>
        <w:t xml:space="preserve"> פ</w:t>
      </w:r>
      <w:r w:rsidRPr="0041053F">
        <w:rPr>
          <w:rFonts w:ascii="Narkisim" w:hAnsi="Narkisim"/>
          <w:b/>
          <w:bCs/>
          <w:rtl/>
        </w:rPr>
        <w:t>רש"י</w:t>
      </w:r>
      <w:r w:rsidRPr="0041053F">
        <w:rPr>
          <w:rFonts w:ascii="Narkisim" w:hAnsi="Narkisim"/>
          <w:rtl/>
        </w:rPr>
        <w:t xml:space="preserve"> הותרה סתם, הילכך אין כאן אלא משום זרות. משמע דלהך טעם ל"ש כלל איסור שבת [בקרבן ציבור]. ואף כלפי זר, שלא הותרה אצלו העבודה. (וע"ע בסמוך).</w:t>
      </w:r>
    </w:p>
    <w:p w14:paraId="036F3ADC"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(ע' חזו"א) דנו בקרבן ציבור שחל בו פסול, האם אמרי' דמ"מ הותרה שבת אצלו. או רק היכא דהוה בכשרות. וכן דנו היכא דדינו אם עלו לא ירדו, האם אמרי' דמהני סברא זו להכשיר העבודה, או דמ"מ אין כאן הכשר דקרבן ציבור. וי"ל דהכא זר [לר' חייא] גרע, דאינו מצווה כלל בקרבן זה.</w:t>
      </w:r>
    </w:p>
    <w:p w14:paraId="5D31B90D" w14:textId="77777777" w:rsidR="006074A5" w:rsidRPr="0041053F" w:rsidRDefault="006074A5" w:rsidP="006074A5">
      <w:pPr>
        <w:pStyle w:val="aa"/>
        <w:bidi/>
        <w:rPr>
          <w:rFonts w:ascii="Narkisim" w:hAnsi="Narkisim"/>
        </w:rPr>
      </w:pPr>
      <w:r w:rsidRPr="0041053F">
        <w:rPr>
          <w:rFonts w:ascii="Narkisim" w:hAnsi="Narkisim"/>
          <w:u w:val="single"/>
          <w:rtl/>
        </w:rPr>
        <w:t>זר שאכל מליקה וכו' כשהותרה במקדש אצל כהנים הותרה.</w:t>
      </w:r>
      <w:r w:rsidRPr="0041053F">
        <w:rPr>
          <w:rFonts w:ascii="Narkisim" w:hAnsi="Narkisim"/>
          <w:rtl/>
        </w:rPr>
        <w:t xml:space="preserve"> ה</w:t>
      </w:r>
      <w:r w:rsidRPr="0041053F">
        <w:rPr>
          <w:rFonts w:ascii="Narkisim" w:hAnsi="Narkisim"/>
          <w:b/>
          <w:bCs/>
          <w:rtl/>
        </w:rPr>
        <w:t>אחרונים</w:t>
      </w:r>
      <w:r w:rsidRPr="0041053F">
        <w:rPr>
          <w:rFonts w:ascii="Narkisim" w:hAnsi="Narkisim"/>
          <w:rtl/>
        </w:rPr>
        <w:t xml:space="preserve"> (אחיעזר ב ז ג, נאות יעקב טז) חקרו בהא דכהנים אוכלים מליקה, האם נחשב כשחוט</w:t>
      </w:r>
      <w:r w:rsidRPr="0041053F">
        <w:rPr>
          <w:rStyle w:val="ac"/>
          <w:rFonts w:ascii="Narkisim" w:hAnsi="Narkisim"/>
          <w:rtl/>
        </w:rPr>
        <w:footnoteReference w:id="2037"/>
      </w:r>
      <w:r w:rsidRPr="0041053F">
        <w:rPr>
          <w:rFonts w:ascii="Narkisim" w:hAnsi="Narkisim"/>
          <w:rtl/>
        </w:rPr>
        <w:t xml:space="preserve"> כלפי כהנים. [וכ"כ ה</w:t>
      </w:r>
      <w:r w:rsidRPr="0041053F">
        <w:rPr>
          <w:rFonts w:ascii="Narkisim" w:hAnsi="Narkisim"/>
          <w:b/>
          <w:bCs/>
          <w:rtl/>
        </w:rPr>
        <w:t>אתוון דאורייתא</w:t>
      </w:r>
      <w:r w:rsidRPr="0041053F">
        <w:rPr>
          <w:rFonts w:ascii="Narkisim" w:hAnsi="Narkisim"/>
          <w:rtl/>
        </w:rPr>
        <w:t xml:space="preserve"> א], או דהותר לכהנים לאכול נבילה. ובגמ' (מנחות מה.) ס"ד דהותרו נבילות אצל כהנים, הואיל ואישתרי מליקה</w:t>
      </w:r>
      <w:r w:rsidRPr="0041053F">
        <w:rPr>
          <w:rStyle w:val="ac"/>
          <w:rFonts w:ascii="Narkisim" w:hAnsi="Narkisim"/>
          <w:rtl/>
        </w:rPr>
        <w:footnoteReference w:id="2038"/>
      </w:r>
      <w:r w:rsidRPr="0041053F">
        <w:rPr>
          <w:rFonts w:ascii="Narkisim" w:hAnsi="Narkisim"/>
          <w:rtl/>
        </w:rPr>
        <w:t>. משמע דהותר להם אכילה זו אף דאינו שחוט</w:t>
      </w:r>
      <w:r w:rsidRPr="0041053F">
        <w:rPr>
          <w:rStyle w:val="ac"/>
          <w:rFonts w:ascii="Narkisim" w:hAnsi="Narkisim"/>
          <w:rtl/>
        </w:rPr>
        <w:footnoteReference w:id="2039"/>
      </w:r>
      <w:r w:rsidRPr="0041053F">
        <w:rPr>
          <w:rFonts w:ascii="Narkisim" w:hAnsi="Narkisim"/>
          <w:rtl/>
        </w:rPr>
        <w:t>. וכן מדברי בר קפרא מבואר דנחשב 'הותרה'.</w:t>
      </w:r>
    </w:p>
    <w:p w14:paraId="57950B3A" w14:textId="77777777" w:rsidR="006074A5" w:rsidRPr="0041053F" w:rsidRDefault="006074A5" w:rsidP="006074A5">
      <w:pPr>
        <w:pStyle w:val="aa"/>
        <w:bidi/>
        <w:rPr>
          <w:rFonts w:ascii="Narkisim" w:hAnsi="Narkisim"/>
        </w:rPr>
      </w:pPr>
      <w:r w:rsidRPr="0041053F">
        <w:rPr>
          <w:rFonts w:ascii="Narkisim" w:hAnsi="Narkisim"/>
          <w:rtl/>
        </w:rPr>
        <w:t>ובס' ה</w:t>
      </w:r>
      <w:r w:rsidRPr="0041053F">
        <w:rPr>
          <w:rFonts w:ascii="Narkisim" w:hAnsi="Narkisim"/>
          <w:b/>
          <w:bCs/>
          <w:rtl/>
        </w:rPr>
        <w:t>מחנה לוי</w:t>
      </w:r>
      <w:r w:rsidRPr="0041053F">
        <w:rPr>
          <w:rFonts w:ascii="Narkisim" w:hAnsi="Narkisim"/>
          <w:rtl/>
        </w:rPr>
        <w:t xml:space="preserve"> (הו' באחרונים) הק' דכיון דהוה נבילה, א"כ זר האוכל נטמא בבית הבליעה. ויתחייב אף משום מכניס טומאה לעזרה</w:t>
      </w:r>
      <w:r w:rsidRPr="0041053F">
        <w:rPr>
          <w:rStyle w:val="ac"/>
          <w:rFonts w:ascii="Narkisim" w:hAnsi="Narkisim"/>
          <w:rtl/>
        </w:rPr>
        <w:footnoteReference w:id="2040"/>
      </w:r>
      <w:r w:rsidRPr="0041053F">
        <w:rPr>
          <w:rFonts w:ascii="Narkisim" w:hAnsi="Narkisim"/>
          <w:rtl/>
        </w:rPr>
        <w:t>. וה</w:t>
      </w:r>
      <w:r w:rsidRPr="0041053F">
        <w:rPr>
          <w:rFonts w:ascii="Narkisim" w:hAnsi="Narkisim"/>
          <w:b/>
          <w:bCs/>
          <w:rtl/>
        </w:rPr>
        <w:t xml:space="preserve">קובה"ע </w:t>
      </w:r>
      <w:r w:rsidRPr="0041053F">
        <w:rPr>
          <w:rFonts w:ascii="Narkisim" w:hAnsi="Narkisim"/>
          <w:rtl/>
        </w:rPr>
        <w:t>(לח ב) כתב דלענין טומאת נבילות ודאי מהני מליקה להוציאה מטומאתה</w:t>
      </w:r>
      <w:r w:rsidRPr="0041053F">
        <w:rPr>
          <w:rStyle w:val="ac"/>
          <w:rFonts w:ascii="Narkisim" w:hAnsi="Narkisim"/>
          <w:rtl/>
        </w:rPr>
        <w:footnoteReference w:id="2041"/>
      </w:r>
      <w:r w:rsidRPr="0041053F">
        <w:rPr>
          <w:rFonts w:ascii="Narkisim" w:hAnsi="Narkisim"/>
          <w:rtl/>
        </w:rPr>
        <w:t>.</w:t>
      </w:r>
    </w:p>
    <w:p w14:paraId="0BDC924E" w14:textId="77777777" w:rsidR="006074A5" w:rsidRPr="0041053F" w:rsidRDefault="006074A5" w:rsidP="006074A5">
      <w:pPr>
        <w:pStyle w:val="3"/>
        <w:bidi/>
        <w:rPr>
          <w:rFonts w:ascii="Narkisim" w:hAnsi="Narkisim"/>
        </w:rPr>
      </w:pPr>
      <w:r w:rsidRPr="0041053F">
        <w:rPr>
          <w:rFonts w:ascii="Narkisim" w:hAnsi="Narkisim"/>
          <w:rtl/>
        </w:rPr>
        <w:lastRenderedPageBreak/>
        <w:t>דף לג.</w:t>
      </w:r>
    </w:p>
    <w:p w14:paraId="27E572D5" w14:textId="77777777" w:rsidR="006074A5" w:rsidRPr="0041053F" w:rsidRDefault="006074A5" w:rsidP="006074A5">
      <w:pPr>
        <w:pStyle w:val="aa"/>
        <w:bidi/>
        <w:rPr>
          <w:rFonts w:ascii="Narkisim" w:hAnsi="Narkisim"/>
        </w:rPr>
      </w:pPr>
      <w:r w:rsidRPr="0041053F">
        <w:rPr>
          <w:rFonts w:ascii="Narkisim" w:hAnsi="Narkisim"/>
          <w:u w:val="single"/>
          <w:rtl/>
        </w:rPr>
        <w:t>במאי קמיפלגי, באיסור כולל וכו'.</w:t>
      </w:r>
      <w:r w:rsidRPr="0041053F">
        <w:rPr>
          <w:rFonts w:ascii="Narkisim" w:hAnsi="Narkisim"/>
          <w:rtl/>
        </w:rPr>
        <w:t xml:space="preserve"> וצ"ב דבר קפרא פי' דבריו (לעיל) דלכל הותרה וכו'. וה</w:t>
      </w:r>
      <w:r w:rsidRPr="0041053F">
        <w:rPr>
          <w:rFonts w:ascii="Narkisim" w:hAnsi="Narkisim"/>
          <w:b/>
          <w:bCs/>
          <w:rtl/>
        </w:rPr>
        <w:t>ריטב"א</w:t>
      </w:r>
      <w:r w:rsidRPr="0041053F">
        <w:rPr>
          <w:rFonts w:ascii="Narkisim" w:hAnsi="Narkisim"/>
          <w:rtl/>
        </w:rPr>
        <w:t xml:space="preserve"> כת' דהגמ' (כאן) קאי אליבא דרבי, והם הוסיפו</w:t>
      </w:r>
      <w:r w:rsidRPr="0041053F">
        <w:rPr>
          <w:rStyle w:val="ac"/>
          <w:rFonts w:ascii="Narkisim" w:hAnsi="Narkisim"/>
          <w:rtl/>
        </w:rPr>
        <w:footnoteReference w:id="2042"/>
      </w:r>
      <w:r w:rsidRPr="0041053F">
        <w:rPr>
          <w:rFonts w:ascii="Narkisim" w:hAnsi="Narkisim"/>
          <w:rtl/>
        </w:rPr>
        <w:t xml:space="preserve"> טעמא דנפשייהו, לסייע למה שאמר רבי</w:t>
      </w:r>
      <w:r w:rsidRPr="0041053F">
        <w:rPr>
          <w:rStyle w:val="ac"/>
          <w:rFonts w:ascii="Narkisim" w:hAnsi="Narkisim"/>
          <w:rtl/>
        </w:rPr>
        <w:footnoteReference w:id="2043"/>
      </w:r>
      <w:r w:rsidRPr="0041053F">
        <w:rPr>
          <w:rFonts w:ascii="Narkisim" w:hAnsi="Narkisim"/>
          <w:rtl/>
        </w:rPr>
        <w:t>. וה</w:t>
      </w:r>
      <w:r w:rsidRPr="0041053F">
        <w:rPr>
          <w:rFonts w:ascii="Narkisim" w:hAnsi="Narkisim"/>
          <w:b/>
          <w:bCs/>
          <w:rtl/>
        </w:rPr>
        <w:t>רשב"א</w:t>
      </w:r>
      <w:r w:rsidRPr="0041053F">
        <w:rPr>
          <w:rFonts w:ascii="Narkisim" w:hAnsi="Narkisim"/>
          <w:rtl/>
        </w:rPr>
        <w:t xml:space="preserve"> כת' דע"כ עיקר פלוגתייהו לאו בהכי תלי. דא"כ חד מינייהו משקר [וכקו' הגמ' בסמוך], אלא דאינהו מהדרי אטעמי להוכיח כדבריהם [ודייק מלשון הגמ' התחיל לדון, דאין זה עיקר הטעם].</w:t>
      </w:r>
    </w:p>
    <w:p w14:paraId="28732D92" w14:textId="77777777" w:rsidR="006074A5" w:rsidRPr="0041053F" w:rsidRDefault="006074A5" w:rsidP="006074A5">
      <w:pPr>
        <w:pStyle w:val="a8"/>
        <w:bidi/>
        <w:rPr>
          <w:rFonts w:ascii="Narkisim" w:hAnsi="Narkisim"/>
        </w:rPr>
      </w:pPr>
      <w:r w:rsidRPr="0041053F">
        <w:rPr>
          <w:rFonts w:ascii="Narkisim" w:hAnsi="Narkisim"/>
          <w:rtl/>
        </w:rPr>
        <w:t xml:space="preserve">אבל </w:t>
      </w:r>
      <w:r w:rsidRPr="0041053F">
        <w:rPr>
          <w:rFonts w:ascii="Narkisim" w:hAnsi="Narkisim"/>
          <w:b/>
          <w:bCs/>
          <w:rtl/>
        </w:rPr>
        <w:t>תוס</w:t>
      </w:r>
      <w:r w:rsidRPr="0041053F">
        <w:rPr>
          <w:rFonts w:ascii="Narkisim" w:hAnsi="Narkisim"/>
          <w:rtl/>
        </w:rPr>
        <w:t>' (ד"ה בר קפרא) הביא סברת בר קפרא דכיון דהותרה מש"ה הכא לא חל איסור בת א'. וה</w:t>
      </w:r>
      <w:r w:rsidRPr="0041053F">
        <w:rPr>
          <w:rFonts w:ascii="Narkisim" w:hAnsi="Narkisim"/>
          <w:b/>
          <w:bCs/>
          <w:rtl/>
        </w:rPr>
        <w:t>חזו"א</w:t>
      </w:r>
      <w:r w:rsidRPr="0041053F">
        <w:rPr>
          <w:rFonts w:ascii="Narkisim" w:hAnsi="Narkisim"/>
          <w:rtl/>
        </w:rPr>
        <w:t xml:space="preserve"> ביאר דעפ"ז מתיישב הטעמים דלעיל, דהוה טעם מ"ט לא חל איסור בת א'</w:t>
      </w:r>
      <w:r w:rsidRPr="0041053F">
        <w:rPr>
          <w:rStyle w:val="ac"/>
          <w:rFonts w:ascii="Narkisim" w:hAnsi="Narkisim"/>
          <w:rtl/>
        </w:rPr>
        <w:footnoteReference w:id="2044"/>
      </w:r>
      <w:r w:rsidRPr="0041053F">
        <w:rPr>
          <w:rFonts w:ascii="Narkisim" w:hAnsi="Narkisim"/>
          <w:rtl/>
        </w:rPr>
        <w:t>. [ומ"מ החזו"א הק' דלס"ד דהגמ' צריך לפרש באופ"א].</w:t>
      </w:r>
    </w:p>
    <w:p w14:paraId="65A80BDC" w14:textId="77777777" w:rsidR="006074A5" w:rsidRPr="0041053F" w:rsidRDefault="006074A5" w:rsidP="006074A5">
      <w:pPr>
        <w:bidi/>
        <w:rPr>
          <w:rFonts w:ascii="Narkisim" w:hAnsi="Narkisim" w:cs="Narkisim"/>
        </w:rPr>
      </w:pPr>
      <w:r w:rsidRPr="0041053F">
        <w:rPr>
          <w:rFonts w:ascii="Narkisim" w:hAnsi="Narkisim" w:cs="Narkisim"/>
          <w:u w:val="single"/>
          <w:rtl/>
        </w:rPr>
        <w:t>באיסור כולל ואליבא דר' יוסי וכו'.</w:t>
      </w:r>
      <w:r w:rsidRPr="0041053F">
        <w:rPr>
          <w:rFonts w:ascii="Narkisim" w:hAnsi="Narkisim" w:cs="Narkisim"/>
          <w:rtl/>
        </w:rPr>
        <w:t xml:space="preserve"> ה</w:t>
      </w:r>
      <w:r w:rsidRPr="0041053F">
        <w:rPr>
          <w:rFonts w:ascii="Narkisim" w:hAnsi="Narkisim" w:cs="Narkisim"/>
          <w:b/>
          <w:bCs/>
          <w:rtl/>
        </w:rPr>
        <w:t>ראשונים</w:t>
      </w:r>
      <w:r w:rsidRPr="0041053F">
        <w:rPr>
          <w:rFonts w:ascii="Narkisim" w:hAnsi="Narkisim" w:cs="Narkisim"/>
          <w:rtl/>
        </w:rPr>
        <w:t xml:space="preserve"> (רשב"א) הק' מהברייתא דאשת איש ונעשית חמותו, דלא מהני כולל לר' יוסי. וליכא למימר דר' חייא תנא ופליג, דא"כ היכי מותבינן (בע"ב) תיובתא דבר קפרא, הו"ל לסייע מהך ברייתא. ועוד דהברייתא הוה פי' דמתני' </w:t>
      </w:r>
      <w:r w:rsidRPr="0041053F">
        <w:rPr>
          <w:rFonts w:ascii="Narkisim" w:hAnsi="Narkisim" w:cs="Narkisim"/>
          <w:sz w:val="20"/>
          <w:szCs w:val="20"/>
          <w:rtl/>
        </w:rPr>
        <w:t>(סנהדרין פא.)</w:t>
      </w:r>
      <w:r w:rsidRPr="0041053F">
        <w:rPr>
          <w:rFonts w:ascii="Narkisim" w:hAnsi="Narkisim" w:cs="Narkisim"/>
          <w:rtl/>
        </w:rPr>
        <w:t xml:space="preserve"> וליכא מאן דפליג ע"ז. </w:t>
      </w:r>
      <w:r w:rsidRPr="0041053F">
        <w:rPr>
          <w:rFonts w:ascii="Narkisim" w:hAnsi="Narkisim" w:cs="Narkisim"/>
          <w:sz w:val="20"/>
          <w:szCs w:val="20"/>
          <w:rtl/>
        </w:rPr>
        <w:t>[וה</w:t>
      </w:r>
      <w:r w:rsidRPr="0041053F">
        <w:rPr>
          <w:rFonts w:ascii="Narkisim" w:hAnsi="Narkisim" w:cs="Narkisim"/>
          <w:b/>
          <w:bCs/>
          <w:sz w:val="20"/>
          <w:szCs w:val="20"/>
          <w:rtl/>
        </w:rPr>
        <w:t xml:space="preserve">ריטב"א </w:t>
      </w:r>
      <w:r w:rsidRPr="0041053F">
        <w:rPr>
          <w:rFonts w:ascii="Narkisim" w:hAnsi="Narkisim" w:cs="Narkisim"/>
          <w:sz w:val="20"/>
          <w:szCs w:val="20"/>
          <w:rtl/>
        </w:rPr>
        <w:t>כתב די"ל דנח' הברייתות לעיל בזה].</w:t>
      </w:r>
    </w:p>
    <w:p w14:paraId="7ADBDE3F"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 xml:space="preserve">תוס' </w:t>
      </w:r>
      <w:r w:rsidRPr="0041053F">
        <w:rPr>
          <w:rFonts w:ascii="Narkisim" w:hAnsi="Narkisim"/>
          <w:rtl/>
        </w:rPr>
        <w:t>(לב: ד"ה איסור) תי' דס"ל דכשנעשית חמותו לא נחשב איסור כולל, דהוה 'שם איסור' אחר.</w:t>
      </w:r>
    </w:p>
    <w:p w14:paraId="5FEA033B"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הביא בשם ה</w:t>
      </w:r>
      <w:r w:rsidRPr="0041053F">
        <w:rPr>
          <w:rFonts w:ascii="Narkisim" w:hAnsi="Narkisim"/>
          <w:b/>
          <w:bCs/>
          <w:rtl/>
        </w:rPr>
        <w:t>ר"א אב"ד</w:t>
      </w:r>
      <w:r w:rsidRPr="0041053F">
        <w:rPr>
          <w:rFonts w:ascii="Narkisim" w:hAnsi="Narkisim"/>
          <w:rtl/>
        </w:rPr>
        <w:t xml:space="preserve"> (וכ"כ הרמב"ן בדעת רש"י) דר' חייא קאמר דחייב ב' לענין לקוברו בין רשעים גמורים [וכתי' הגמ' לעיל]. ולפ"ז בר קפרא פליג דלא חל אף לקוברו</w:t>
      </w:r>
      <w:r w:rsidRPr="0041053F">
        <w:rPr>
          <w:rStyle w:val="ac"/>
          <w:rFonts w:ascii="Narkisim" w:hAnsi="Narkisim"/>
          <w:rtl/>
        </w:rPr>
        <w:footnoteReference w:id="2045"/>
      </w:r>
      <w:r w:rsidRPr="0041053F">
        <w:rPr>
          <w:rFonts w:ascii="Narkisim" w:hAnsi="Narkisim"/>
          <w:rtl/>
        </w:rPr>
        <w:t xml:space="preserve">. </w:t>
      </w:r>
      <w:r w:rsidRPr="0041053F">
        <w:rPr>
          <w:rFonts w:ascii="Narkisim" w:hAnsi="Narkisim"/>
          <w:szCs w:val="20"/>
          <w:rtl/>
        </w:rPr>
        <w:t>וה</w:t>
      </w:r>
      <w:r w:rsidRPr="0041053F">
        <w:rPr>
          <w:rFonts w:ascii="Narkisim" w:hAnsi="Narkisim"/>
          <w:b/>
          <w:bCs/>
          <w:szCs w:val="20"/>
          <w:rtl/>
        </w:rPr>
        <w:t>ראשונים</w:t>
      </w:r>
      <w:r w:rsidRPr="0041053F">
        <w:rPr>
          <w:rFonts w:ascii="Narkisim" w:hAnsi="Narkisim"/>
          <w:szCs w:val="20"/>
          <w:rtl/>
        </w:rPr>
        <w:t xml:space="preserve"> חלקו דאף בלא איסור כולל חל האיסור לקוברו בין רשעים.</w:t>
      </w:r>
    </w:p>
    <w:p w14:paraId="2F8AE173"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 xml:space="preserve">רמב"ן </w:t>
      </w:r>
      <w:r w:rsidRPr="0041053F">
        <w:rPr>
          <w:rFonts w:ascii="Narkisim" w:hAnsi="Narkisim"/>
          <w:rtl/>
        </w:rPr>
        <w:t>תי' די"ל דקידש אשה שמתו אם אביה ואם אמה, דכיון דליתנהו לאו כולל הוא. וכ"כ ה</w:t>
      </w:r>
      <w:r w:rsidRPr="0041053F">
        <w:rPr>
          <w:rFonts w:ascii="Narkisim" w:hAnsi="Narkisim"/>
          <w:b/>
          <w:bCs/>
          <w:rtl/>
        </w:rPr>
        <w:t>ריטב"א</w:t>
      </w:r>
      <w:r w:rsidRPr="0041053F">
        <w:rPr>
          <w:rFonts w:ascii="Narkisim" w:hAnsi="Narkisim"/>
          <w:rtl/>
        </w:rPr>
        <w:t>.</w:t>
      </w:r>
    </w:p>
    <w:p w14:paraId="7DF7CBA5" w14:textId="77777777" w:rsidR="006074A5" w:rsidRPr="0041053F" w:rsidRDefault="006074A5" w:rsidP="006074A5">
      <w:pPr>
        <w:pStyle w:val="aa"/>
        <w:bidi/>
        <w:rPr>
          <w:rFonts w:ascii="Narkisim" w:hAnsi="Narkisim"/>
        </w:rPr>
      </w:pPr>
      <w:r w:rsidRPr="0041053F">
        <w:rPr>
          <w:rFonts w:ascii="Narkisim" w:hAnsi="Narkisim"/>
          <w:u w:val="single"/>
          <w:rtl/>
        </w:rPr>
        <w:t>מעיקרא שרי באכילה ואסור בעבודה וכו'.</w:t>
      </w:r>
      <w:r w:rsidRPr="0041053F">
        <w:rPr>
          <w:rFonts w:ascii="Narkisim" w:hAnsi="Narkisim"/>
          <w:rtl/>
        </w:rPr>
        <w:t xml:space="preserve"> ה</w:t>
      </w:r>
      <w:r w:rsidRPr="0041053F">
        <w:rPr>
          <w:rFonts w:ascii="Narkisim" w:hAnsi="Narkisim"/>
          <w:b/>
          <w:bCs/>
          <w:rtl/>
        </w:rPr>
        <w:t>ריטב"א</w:t>
      </w:r>
      <w:r w:rsidRPr="0041053F">
        <w:rPr>
          <w:rFonts w:ascii="Narkisim" w:hAnsi="Narkisim"/>
          <w:rtl/>
        </w:rPr>
        <w:t xml:space="preserve"> פ' דהוה כולל, מחתיכה העומדת לאכילה לעומדת להקרבה, והוה חתיכה לחתיכה.</w:t>
      </w:r>
    </w:p>
    <w:p w14:paraId="264C7519" w14:textId="77777777" w:rsidR="006074A5" w:rsidRPr="0041053F" w:rsidRDefault="006074A5" w:rsidP="006074A5">
      <w:pPr>
        <w:pStyle w:val="aa"/>
        <w:bidi/>
        <w:rPr>
          <w:rFonts w:ascii="Narkisim" w:hAnsi="Narkisim"/>
        </w:rPr>
      </w:pPr>
      <w:r w:rsidRPr="0041053F">
        <w:rPr>
          <w:rFonts w:ascii="Narkisim" w:hAnsi="Narkisim"/>
          <w:u w:val="single"/>
          <w:rtl/>
        </w:rPr>
        <w:t>תוד"ה במאי.</w:t>
      </w:r>
      <w:r w:rsidRPr="0041053F">
        <w:rPr>
          <w:rFonts w:ascii="Narkisim" w:hAnsi="Narkisim"/>
          <w:rtl/>
        </w:rPr>
        <w:t xml:space="preserve"> לאפוקי ר' יוסי מחזקיה, אלא לר' חייא ל"ל אשתבועי וכו'. </w:t>
      </w:r>
      <w:r w:rsidRPr="0041053F">
        <w:rPr>
          <w:rFonts w:ascii="Narkisim" w:hAnsi="Narkisim"/>
          <w:b/>
          <w:bCs/>
          <w:rtl/>
        </w:rPr>
        <w:t>רע"א</w:t>
      </w:r>
      <w:r w:rsidRPr="0041053F">
        <w:rPr>
          <w:rFonts w:ascii="Narkisim" w:hAnsi="Narkisim"/>
          <w:rtl/>
        </w:rPr>
        <w:t xml:space="preserve"> תי' דאף לר' חייא הוה אפוקי מחזקיה, דבפשוטו ר' יוסי ל"ל כולל בחמותו ונעשית אשת איש. וקמ"ל דב' שמות לא הוה כולל [וכמ"ש תוס' לעיל].</w:t>
      </w:r>
    </w:p>
    <w:p w14:paraId="5E35192C" w14:textId="77777777" w:rsidR="006074A5" w:rsidRPr="0041053F" w:rsidRDefault="006074A5" w:rsidP="006074A5">
      <w:pPr>
        <w:bidi/>
        <w:rPr>
          <w:rFonts w:ascii="Narkisim" w:hAnsi="Narkisim" w:cs="Narkisim"/>
        </w:rPr>
      </w:pPr>
      <w:r w:rsidRPr="0041053F">
        <w:rPr>
          <w:rFonts w:ascii="Narkisim" w:hAnsi="Narkisim" w:cs="Narkisim"/>
          <w:u w:val="single"/>
          <w:rtl/>
        </w:rPr>
        <w:t>אלא מליקה בב"א הוא דמשכח"ל.</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בשעת מליקה חיילי תרוייהו. ו</w:t>
      </w:r>
      <w:r w:rsidRPr="0041053F">
        <w:rPr>
          <w:rFonts w:ascii="Narkisim" w:hAnsi="Narkisim" w:cs="Narkisim"/>
          <w:b/>
          <w:bCs/>
          <w:rtl/>
        </w:rPr>
        <w:t>תוס'</w:t>
      </w:r>
      <w:r w:rsidRPr="0041053F">
        <w:rPr>
          <w:rFonts w:ascii="Narkisim" w:hAnsi="Narkisim" w:cs="Narkisim"/>
          <w:rtl/>
        </w:rPr>
        <w:t xml:space="preserve"> פי' בשעת זריקה.</w:t>
      </w:r>
    </w:p>
    <w:p w14:paraId="361385B3"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רמב"ן</w:t>
      </w:r>
      <w:r w:rsidRPr="0041053F">
        <w:rPr>
          <w:rFonts w:ascii="Narkisim" w:hAnsi="Narkisim"/>
          <w:rtl/>
        </w:rPr>
        <w:t xml:space="preserve"> ו</w:t>
      </w:r>
      <w:r w:rsidRPr="0041053F">
        <w:rPr>
          <w:rFonts w:ascii="Narkisim" w:hAnsi="Narkisim"/>
          <w:b/>
          <w:bCs/>
          <w:rtl/>
        </w:rPr>
        <w:t>רשב"א</w:t>
      </w:r>
      <w:r w:rsidRPr="0041053F">
        <w:rPr>
          <w:rFonts w:ascii="Narkisim" w:hAnsi="Narkisim"/>
          <w:rtl/>
        </w:rPr>
        <w:t xml:space="preserve"> הביאו בשם ה</w:t>
      </w:r>
      <w:r w:rsidRPr="0041053F">
        <w:rPr>
          <w:rFonts w:ascii="Narkisim" w:hAnsi="Narkisim"/>
          <w:b/>
          <w:bCs/>
          <w:rtl/>
        </w:rPr>
        <w:t>ראב"ד</w:t>
      </w:r>
      <w:r w:rsidRPr="0041053F">
        <w:rPr>
          <w:rFonts w:ascii="Narkisim" w:hAnsi="Narkisim"/>
          <w:rtl/>
        </w:rPr>
        <w:t xml:space="preserve"> דמשהביא ב' שערות חלו עליו כל האיסורין, ואע"ג דלא נמלק עוף זה עדיין, מ"מ איכא נבילות טובא שנאסר בהם. אבל טומאה עדיין לא חל עליו, דמחוסר מעשה דטומאה.</w:t>
      </w:r>
    </w:p>
    <w:p w14:paraId="25FD0044" w14:textId="77777777" w:rsidR="006074A5" w:rsidRPr="0041053F" w:rsidRDefault="006074A5" w:rsidP="006074A5">
      <w:pPr>
        <w:pStyle w:val="a8"/>
        <w:bidi/>
        <w:rPr>
          <w:rFonts w:ascii="Narkisim" w:hAnsi="Narkisim"/>
        </w:rPr>
      </w:pPr>
      <w:r w:rsidRPr="0041053F">
        <w:rPr>
          <w:rFonts w:ascii="Narkisim" w:hAnsi="Narkisim"/>
          <w:rtl/>
        </w:rPr>
        <w:t>וכן הביאו ה</w:t>
      </w:r>
      <w:r w:rsidRPr="0041053F">
        <w:rPr>
          <w:rFonts w:ascii="Narkisim" w:hAnsi="Narkisim"/>
          <w:b/>
          <w:bCs/>
          <w:rtl/>
        </w:rPr>
        <w:t>ראשונים</w:t>
      </w:r>
      <w:r w:rsidRPr="0041053F">
        <w:rPr>
          <w:rFonts w:ascii="Narkisim" w:hAnsi="Narkisim"/>
          <w:rtl/>
        </w:rPr>
        <w:t xml:space="preserve"> (קידושין עז:) בשם ה</w:t>
      </w:r>
      <w:r w:rsidRPr="0041053F">
        <w:rPr>
          <w:rFonts w:ascii="Narkisim" w:hAnsi="Narkisim"/>
          <w:b/>
          <w:bCs/>
          <w:rtl/>
        </w:rPr>
        <w:t>ראב"ד</w:t>
      </w:r>
      <w:r w:rsidRPr="0041053F">
        <w:rPr>
          <w:rFonts w:ascii="Narkisim" w:hAnsi="Narkisim"/>
          <w:rtl/>
        </w:rPr>
        <w:t xml:space="preserve"> דאיסור נבילה חל משהביא ב' שערות, ונחשב קודם לאיסור יוה"כ שחל רק מיוה"כ. ואף בבהמה שנתנבלה ביוה"כ נחשב דאיסור נבילה קדים, דאיכא כמה נבילות דנתחייב קודם. וה</w:t>
      </w:r>
      <w:r w:rsidRPr="0041053F">
        <w:rPr>
          <w:rFonts w:ascii="Narkisim" w:hAnsi="Narkisim"/>
          <w:b/>
          <w:bCs/>
          <w:rtl/>
        </w:rPr>
        <w:t>ראשונים</w:t>
      </w:r>
      <w:r w:rsidRPr="0041053F">
        <w:rPr>
          <w:rFonts w:ascii="Narkisim" w:hAnsi="Narkisim"/>
          <w:rtl/>
        </w:rPr>
        <w:t xml:space="preserve"> חלקו דאזלינן בתר חתיכה זו, וכדאי' (בסוגיין) אחות אשה ונעשית אשת אח וכו'</w:t>
      </w:r>
      <w:r w:rsidRPr="0041053F">
        <w:rPr>
          <w:rStyle w:val="ac"/>
          <w:rFonts w:ascii="Narkisim" w:hAnsi="Narkisim"/>
          <w:rtl/>
        </w:rPr>
        <w:footnoteReference w:id="2046"/>
      </w:r>
      <w:r w:rsidRPr="0041053F">
        <w:rPr>
          <w:rFonts w:ascii="Narkisim" w:hAnsi="Narkisim"/>
          <w:rtl/>
        </w:rPr>
        <w:t>.</w:t>
      </w:r>
    </w:p>
    <w:p w14:paraId="75FFFB2E"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רמב"ן</w:t>
      </w:r>
      <w:r w:rsidRPr="0041053F">
        <w:rPr>
          <w:rFonts w:ascii="Narkisim" w:hAnsi="Narkisim" w:cs="Narkisim"/>
          <w:rtl/>
        </w:rPr>
        <w:t xml:space="preserve"> הק' דא"כ אף איסור אשת איש, משהביא ב' שערות נתחייב משום אשת איש. ואף דאשה זו לא היתה אשת איש</w:t>
      </w:r>
      <w:r w:rsidRPr="0041053F">
        <w:rPr>
          <w:rStyle w:val="ac"/>
          <w:rFonts w:ascii="Narkisim" w:hAnsi="Narkisim" w:cs="Narkisim"/>
          <w:rtl/>
        </w:rPr>
        <w:footnoteReference w:id="2047"/>
      </w:r>
      <w:r w:rsidRPr="0041053F">
        <w:rPr>
          <w:rFonts w:ascii="Narkisim" w:hAnsi="Narkisim" w:cs="Narkisim"/>
          <w:rtl/>
        </w:rPr>
        <w:t>. וה</w:t>
      </w:r>
      <w:r w:rsidRPr="0041053F">
        <w:rPr>
          <w:rFonts w:ascii="Narkisim" w:hAnsi="Narkisim" w:cs="Narkisim"/>
          <w:b/>
          <w:bCs/>
          <w:rtl/>
        </w:rPr>
        <w:t xml:space="preserve">רשב"א </w:t>
      </w:r>
      <w:r w:rsidRPr="0041053F">
        <w:rPr>
          <w:rFonts w:ascii="Narkisim" w:hAnsi="Narkisim" w:cs="Narkisim"/>
          <w:rtl/>
        </w:rPr>
        <w:t>תי' דמ"מ חל איסור חמותו לפני שאשה זו היא אשת איש. וכשנעשית א"א לא אמרי' איסור דוחה איסור</w:t>
      </w:r>
      <w:r w:rsidRPr="0041053F">
        <w:rPr>
          <w:rStyle w:val="ac"/>
          <w:rFonts w:ascii="Narkisim" w:hAnsi="Narkisim" w:cs="Narkisim"/>
          <w:rtl/>
        </w:rPr>
        <w:footnoteReference w:id="2048"/>
      </w:r>
      <w:r w:rsidRPr="0041053F">
        <w:rPr>
          <w:rFonts w:ascii="Narkisim" w:hAnsi="Narkisim" w:cs="Narkisim"/>
          <w:rtl/>
        </w:rPr>
        <w:t xml:space="preserve"> </w:t>
      </w:r>
      <w:r w:rsidRPr="0041053F">
        <w:rPr>
          <w:rFonts w:ascii="Narkisim" w:hAnsi="Narkisim" w:cs="Narkisim"/>
          <w:sz w:val="20"/>
          <w:szCs w:val="20"/>
          <w:rtl/>
        </w:rPr>
        <w:t xml:space="preserve">[שיפקע איסור חמותו, משום דאשת </w:t>
      </w:r>
      <w:r w:rsidRPr="0041053F">
        <w:rPr>
          <w:rFonts w:ascii="Narkisim" w:hAnsi="Narkisim" w:cs="Narkisim"/>
          <w:sz w:val="20"/>
          <w:szCs w:val="20"/>
          <w:rtl/>
        </w:rPr>
        <w:lastRenderedPageBreak/>
        <w:t>איש קדם, וחייב ב'</w:t>
      </w:r>
      <w:r w:rsidRPr="0041053F">
        <w:rPr>
          <w:rStyle w:val="ac"/>
          <w:rFonts w:ascii="Narkisim" w:hAnsi="Narkisim" w:cs="Narkisim"/>
          <w:sz w:val="20"/>
          <w:szCs w:val="20"/>
          <w:rtl/>
        </w:rPr>
        <w:footnoteReference w:id="2049"/>
      </w:r>
      <w:r w:rsidRPr="0041053F">
        <w:rPr>
          <w:rFonts w:ascii="Narkisim" w:hAnsi="Narkisim" w:cs="Narkisim"/>
          <w:sz w:val="20"/>
          <w:szCs w:val="20"/>
          <w:rtl/>
        </w:rPr>
        <w:t>].</w:t>
      </w:r>
      <w:r w:rsidRPr="0041053F">
        <w:rPr>
          <w:rFonts w:ascii="Narkisim" w:hAnsi="Narkisim" w:cs="Narkisim"/>
          <w:rtl/>
        </w:rPr>
        <w:t xml:space="preserve"> אבל ה</w:t>
      </w:r>
      <w:r w:rsidRPr="0041053F">
        <w:rPr>
          <w:rFonts w:ascii="Narkisim" w:hAnsi="Narkisim" w:cs="Narkisim"/>
          <w:b/>
          <w:bCs/>
          <w:rtl/>
        </w:rPr>
        <w:t>רשב"א</w:t>
      </w:r>
      <w:r w:rsidRPr="0041053F">
        <w:rPr>
          <w:rFonts w:ascii="Narkisim" w:hAnsi="Narkisim" w:cs="Narkisim"/>
          <w:rtl/>
        </w:rPr>
        <w:t xml:space="preserve"> הק' דדנו </w:t>
      </w:r>
      <w:r w:rsidRPr="0041053F">
        <w:rPr>
          <w:rFonts w:ascii="Narkisim" w:hAnsi="Narkisim" w:cs="Narkisim"/>
          <w:szCs w:val="20"/>
          <w:rtl/>
        </w:rPr>
        <w:t>(לקמן לד.)</w:t>
      </w:r>
      <w:r w:rsidRPr="0041053F">
        <w:rPr>
          <w:rFonts w:ascii="Narkisim" w:hAnsi="Narkisim" w:cs="Narkisim"/>
          <w:rtl/>
        </w:rPr>
        <w:t xml:space="preserve"> היאך חל איסור על חלב מוקדשים, ואף דמצווה על הרבה חלב. וה</w:t>
      </w:r>
      <w:r w:rsidRPr="0041053F">
        <w:rPr>
          <w:rFonts w:ascii="Narkisim" w:hAnsi="Narkisim" w:cs="Narkisim"/>
          <w:b/>
          <w:bCs/>
          <w:rtl/>
        </w:rPr>
        <w:t>רמב"ן</w:t>
      </w:r>
      <w:r w:rsidRPr="0041053F">
        <w:rPr>
          <w:rFonts w:ascii="Narkisim" w:hAnsi="Narkisim" w:cs="Narkisim"/>
          <w:rtl/>
        </w:rPr>
        <w:t xml:space="preserve"> כתב אלא אף אשת איש ואיסור נבילה מחוסרין מעשה, שלא חל איסורו באלו הנשים, ובחתיכה זו. משא"כ איסור זרות ובעל מום הוה איסור בגוף האדם ולכן לא נחשב מחוסר מעשה.</w:t>
      </w:r>
    </w:p>
    <w:p w14:paraId="785402AD" w14:textId="77777777" w:rsidR="006074A5" w:rsidRPr="0041053F" w:rsidRDefault="006074A5" w:rsidP="006074A5">
      <w:pPr>
        <w:pStyle w:val="aa"/>
        <w:bidi/>
        <w:rPr>
          <w:rFonts w:ascii="Narkisim" w:hAnsi="Narkisim"/>
        </w:rPr>
      </w:pPr>
      <w:r w:rsidRPr="0041053F">
        <w:rPr>
          <w:rFonts w:ascii="Narkisim" w:hAnsi="Narkisim"/>
          <w:u w:val="single"/>
          <w:rtl/>
        </w:rPr>
        <w:t>תוד"ה אלא.</w:t>
      </w:r>
      <w:r w:rsidRPr="0041053F">
        <w:rPr>
          <w:rFonts w:ascii="Narkisim" w:hAnsi="Narkisim"/>
          <w:rtl/>
        </w:rPr>
        <w:t xml:space="preserve"> דכל היכא דקרינן ואכלו, קרינן וכל זר וכו'. אבל רש"י כת' דחל בשעת מליקה. וה</w:t>
      </w:r>
      <w:r w:rsidRPr="0041053F">
        <w:rPr>
          <w:rFonts w:ascii="Narkisim" w:hAnsi="Narkisim"/>
          <w:b/>
          <w:bCs/>
          <w:rtl/>
        </w:rPr>
        <w:t>גר"ח</w:t>
      </w:r>
      <w:r w:rsidRPr="0041053F">
        <w:rPr>
          <w:rFonts w:ascii="Narkisim" w:hAnsi="Narkisim"/>
          <w:rtl/>
        </w:rPr>
        <w:t xml:space="preserve"> (סטנסל פ) תי' דמשעת מליקה חל איסור זרות, אלא דיש </w:t>
      </w:r>
      <w:r w:rsidRPr="0041053F">
        <w:rPr>
          <w:rFonts w:ascii="Narkisim" w:hAnsi="Narkisim"/>
          <w:i/>
          <w:iCs/>
          <w:rtl/>
        </w:rPr>
        <w:t>תנאי</w:t>
      </w:r>
      <w:r w:rsidRPr="0041053F">
        <w:rPr>
          <w:rFonts w:ascii="Narkisim" w:hAnsi="Narkisim"/>
          <w:rtl/>
        </w:rPr>
        <w:t xml:space="preserve"> במעשה אכילה שיהא ראוי בפנים, והאיסור חל אף שעדיין אינו ראוי בפנים. ולא נחשב שחל האיסור זרות ע"י זריקה</w:t>
      </w:r>
      <w:r w:rsidRPr="0041053F">
        <w:rPr>
          <w:rStyle w:val="ac"/>
          <w:rFonts w:ascii="Narkisim" w:hAnsi="Narkisim"/>
          <w:rtl/>
        </w:rPr>
        <w:footnoteReference w:id="2050"/>
      </w:r>
      <w:r w:rsidRPr="0041053F">
        <w:rPr>
          <w:rFonts w:ascii="Narkisim" w:hAnsi="Narkisim"/>
          <w:rtl/>
        </w:rPr>
        <w:t>.</w:t>
      </w:r>
    </w:p>
    <w:p w14:paraId="49F7A780" w14:textId="77777777" w:rsidR="006074A5" w:rsidRPr="0041053F" w:rsidRDefault="006074A5" w:rsidP="006074A5">
      <w:pPr>
        <w:bidi/>
        <w:rPr>
          <w:rFonts w:ascii="Narkisim" w:hAnsi="Narkisim" w:cs="Narkisim"/>
        </w:rPr>
      </w:pPr>
      <w:r w:rsidRPr="0041053F">
        <w:rPr>
          <w:rFonts w:ascii="Narkisim" w:hAnsi="Narkisim" w:cs="Narkisim"/>
          <w:u w:val="single"/>
          <w:rtl/>
        </w:rPr>
        <w:t>בא"ד וי"ל דאיסור נבילה נמי לא חייל עד אחר זריקה דנפקא איסור מעילה וכו'.</w:t>
      </w:r>
      <w:r w:rsidRPr="0041053F">
        <w:rPr>
          <w:rFonts w:ascii="Narkisim" w:hAnsi="Narkisim" w:cs="Narkisim"/>
          <w:rtl/>
        </w:rPr>
        <w:t xml:space="preserve"> ומבואר בתוס' דהיכא דלא חל איסור על איסור, ונוסף איסור שלישי [ולא חל], ואח"כ נסתלק איסור הראשון. אמרי' דב' איסורין הוה בבת א' [ולא אמרי' דחל האיסור שהיה ראוי לחול קודם, כיון דקדים].</w:t>
      </w:r>
    </w:p>
    <w:p w14:paraId="3CE1AEB2"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(קובה"ע ל) העירו דמ"מ חל איסור נבילה משעת מליקה, אלא שאין נענשין עליו</w:t>
      </w:r>
      <w:r w:rsidRPr="0041053F">
        <w:rPr>
          <w:rFonts w:ascii="Narkisim" w:hAnsi="Narkisim"/>
          <w:sz w:val="20"/>
          <w:szCs w:val="20"/>
          <w:rtl/>
        </w:rPr>
        <w:t xml:space="preserve"> [לסברת הפרמ"ג הו' לעיל].</w:t>
      </w:r>
      <w:r w:rsidRPr="0041053F">
        <w:rPr>
          <w:rFonts w:ascii="Narkisim" w:hAnsi="Narkisim"/>
          <w:rtl/>
        </w:rPr>
        <w:t xml:space="preserve"> וא"כ איסור נבילה קדים, ואמאי חשיב בת א'. והביאו דכיון דאין נענשין על איסור זה, חל איסור על איסור שאין נענשין עליו.</w:t>
      </w:r>
    </w:p>
    <w:p w14:paraId="38F7AA4C" w14:textId="77777777" w:rsidR="006074A5" w:rsidRPr="0041053F" w:rsidRDefault="006074A5" w:rsidP="006074A5">
      <w:pPr>
        <w:pStyle w:val="a8"/>
        <w:bidi/>
        <w:rPr>
          <w:rFonts w:ascii="Narkisim" w:hAnsi="Narkisim"/>
        </w:rPr>
      </w:pPr>
      <w:r w:rsidRPr="0041053F">
        <w:rPr>
          <w:rFonts w:ascii="Narkisim" w:hAnsi="Narkisim"/>
          <w:rtl/>
        </w:rPr>
        <w:t>אך ה</w:t>
      </w:r>
      <w:r w:rsidRPr="0041053F">
        <w:rPr>
          <w:rFonts w:ascii="Narkisim" w:hAnsi="Narkisim"/>
          <w:b/>
          <w:bCs/>
          <w:rtl/>
        </w:rPr>
        <w:t>אחרונים</w:t>
      </w:r>
      <w:r w:rsidRPr="0041053F">
        <w:rPr>
          <w:rFonts w:ascii="Narkisim" w:hAnsi="Narkisim"/>
          <w:rtl/>
        </w:rPr>
        <w:t xml:space="preserve"> הקשו ד</w:t>
      </w:r>
      <w:r w:rsidRPr="0041053F">
        <w:rPr>
          <w:rFonts w:ascii="Narkisim" w:hAnsi="Narkisim"/>
          <w:b/>
          <w:bCs/>
          <w:rtl/>
        </w:rPr>
        <w:t>תוס</w:t>
      </w:r>
      <w:r w:rsidRPr="0041053F">
        <w:rPr>
          <w:rFonts w:ascii="Narkisim" w:hAnsi="Narkisim"/>
          <w:rtl/>
        </w:rPr>
        <w:t>' (שבועות כג:) כת' דלא חל לאו על איסור עשה. ובחי' ה</w:t>
      </w:r>
      <w:r w:rsidRPr="0041053F">
        <w:rPr>
          <w:rFonts w:ascii="Narkisim" w:hAnsi="Narkisim"/>
          <w:b/>
          <w:bCs/>
          <w:rtl/>
        </w:rPr>
        <w:t>גרז"ס</w:t>
      </w:r>
      <w:r w:rsidRPr="0041053F">
        <w:rPr>
          <w:rFonts w:ascii="Narkisim" w:hAnsi="Narkisim"/>
          <w:rtl/>
        </w:rPr>
        <w:t xml:space="preserve"> ו</w:t>
      </w:r>
      <w:r w:rsidRPr="0041053F">
        <w:rPr>
          <w:rFonts w:ascii="Narkisim" w:hAnsi="Narkisim"/>
          <w:b/>
          <w:bCs/>
          <w:rtl/>
        </w:rPr>
        <w:t>קה"י</w:t>
      </w:r>
      <w:r w:rsidRPr="0041053F">
        <w:rPr>
          <w:rFonts w:ascii="Narkisim" w:hAnsi="Narkisim"/>
          <w:rtl/>
        </w:rPr>
        <w:t xml:space="preserve"> (לא ג) כת' דע"כ גרע מחייבי עשה, וכמו איסור חצי שיעור, דכתבו תוס' שבועות שם דחל עליו איסור אחר.</w:t>
      </w:r>
    </w:p>
    <w:p w14:paraId="104CF1F7" w14:textId="77777777" w:rsidR="006074A5" w:rsidRPr="0041053F" w:rsidRDefault="006074A5" w:rsidP="006074A5">
      <w:pPr>
        <w:pStyle w:val="aa"/>
        <w:bidi/>
        <w:rPr>
          <w:rFonts w:ascii="Narkisim" w:hAnsi="Narkisim"/>
        </w:rPr>
      </w:pPr>
      <w:r w:rsidRPr="0041053F">
        <w:rPr>
          <w:rFonts w:ascii="Narkisim" w:hAnsi="Narkisim"/>
          <w:u w:val="single"/>
          <w:rtl/>
        </w:rPr>
        <w:t>בא"ד דלא חל איסור נבילה על איסור מעילה וכו'.</w:t>
      </w:r>
      <w:r w:rsidRPr="0041053F">
        <w:rPr>
          <w:rFonts w:ascii="Narkisim" w:hAnsi="Narkisim"/>
          <w:rtl/>
        </w:rPr>
        <w:t xml:space="preserve"> וה</w:t>
      </w:r>
      <w:r w:rsidRPr="0041053F">
        <w:rPr>
          <w:rFonts w:ascii="Narkisim" w:hAnsi="Narkisim"/>
          <w:b/>
          <w:bCs/>
          <w:rtl/>
        </w:rPr>
        <w:t>ערול"נ</w:t>
      </w:r>
      <w:r w:rsidRPr="0041053F">
        <w:rPr>
          <w:rFonts w:ascii="Narkisim" w:hAnsi="Narkisim"/>
          <w:rtl/>
        </w:rPr>
        <w:t xml:space="preserve"> הק' דשיעור מעילה בפרוטה, א"כ נימא דחל איסור נבילה לענין כזית שאין בו פרוטה</w:t>
      </w:r>
      <w:r w:rsidRPr="0041053F">
        <w:rPr>
          <w:rStyle w:val="ac"/>
          <w:rFonts w:ascii="Narkisim" w:hAnsi="Narkisim"/>
          <w:rtl/>
        </w:rPr>
        <w:footnoteReference w:id="2051"/>
      </w:r>
      <w:r w:rsidRPr="0041053F">
        <w:rPr>
          <w:rFonts w:ascii="Narkisim" w:hAnsi="Narkisim"/>
          <w:rtl/>
        </w:rPr>
        <w:t>. דחייב משום נבילה ולא משום מעילה</w:t>
      </w:r>
      <w:r w:rsidRPr="0041053F">
        <w:rPr>
          <w:rStyle w:val="ac"/>
          <w:rFonts w:ascii="Narkisim" w:hAnsi="Narkisim"/>
          <w:rtl/>
        </w:rPr>
        <w:footnoteReference w:id="2052"/>
      </w:r>
      <w:r w:rsidRPr="0041053F">
        <w:rPr>
          <w:rFonts w:ascii="Narkisim" w:hAnsi="Narkisim"/>
          <w:rtl/>
        </w:rPr>
        <w:t>. [ועי"ז יחול במוסיף אף ביותר מכשיעור].</w:t>
      </w:r>
    </w:p>
    <w:p w14:paraId="72EB47BA" w14:textId="77777777" w:rsidR="006074A5" w:rsidRPr="0041053F" w:rsidRDefault="006074A5" w:rsidP="006074A5">
      <w:pPr>
        <w:bidi/>
        <w:rPr>
          <w:rFonts w:ascii="Narkisim" w:hAnsi="Narkisim" w:cs="Narkisim"/>
        </w:rPr>
      </w:pPr>
      <w:r w:rsidRPr="0041053F">
        <w:rPr>
          <w:rFonts w:ascii="Narkisim" w:hAnsi="Narkisim" w:cs="Narkisim"/>
          <w:u w:val="single"/>
          <w:rtl/>
        </w:rPr>
        <w:t>תוד"ה באיסור.</w:t>
      </w:r>
      <w:r w:rsidRPr="0041053F">
        <w:rPr>
          <w:rFonts w:ascii="Narkisim" w:hAnsi="Narkisim" w:cs="Narkisim"/>
          <w:rtl/>
        </w:rPr>
        <w:t xml:space="preserve"> אשת אח דחמור חייל וכו'. מבואר בתוס' דלמ"ד דלא חל איסור בת א', חל האיסור החמור. אבל ה</w:t>
      </w:r>
      <w:r w:rsidRPr="0041053F">
        <w:rPr>
          <w:rFonts w:ascii="Narkisim" w:hAnsi="Narkisim" w:cs="Narkisim"/>
          <w:b/>
          <w:bCs/>
          <w:rtl/>
        </w:rPr>
        <w:t xml:space="preserve">ריטב"א </w:t>
      </w:r>
      <w:r w:rsidRPr="0041053F">
        <w:rPr>
          <w:rFonts w:ascii="Narkisim" w:hAnsi="Narkisim" w:cs="Narkisim"/>
          <w:sz w:val="20"/>
          <w:szCs w:val="20"/>
          <w:rtl/>
        </w:rPr>
        <w:t>[וכ"מ בשא"ר]</w:t>
      </w:r>
      <w:r w:rsidRPr="0041053F">
        <w:rPr>
          <w:rFonts w:ascii="Narkisim" w:hAnsi="Narkisim" w:cs="Narkisim"/>
          <w:rtl/>
        </w:rPr>
        <w:t xml:space="preserve"> כתב דכיון דלית ליה איסור בת א', א"א לתפוס אשת אח טפי מאחות אשה, והו"ל למתני אינו חייב אלא א'</w:t>
      </w:r>
      <w:r w:rsidRPr="0041053F">
        <w:rPr>
          <w:rStyle w:val="ac"/>
          <w:rFonts w:ascii="Narkisim" w:hAnsi="Narkisim" w:cs="Narkisim"/>
          <w:rtl/>
        </w:rPr>
        <w:footnoteReference w:id="2053"/>
      </w:r>
      <w:r w:rsidRPr="0041053F">
        <w:rPr>
          <w:rFonts w:ascii="Narkisim" w:hAnsi="Narkisim" w:cs="Narkisim"/>
          <w:rtl/>
        </w:rPr>
        <w:t>.</w:t>
      </w:r>
    </w:p>
    <w:p w14:paraId="472B90D9" w14:textId="77777777" w:rsidR="006074A5" w:rsidRPr="0041053F" w:rsidRDefault="006074A5" w:rsidP="006074A5">
      <w:pPr>
        <w:bidi/>
        <w:rPr>
          <w:rFonts w:ascii="Narkisim" w:hAnsi="Narkisim" w:cs="Narkisim"/>
        </w:rPr>
      </w:pPr>
      <w:r w:rsidRPr="0041053F">
        <w:rPr>
          <w:rFonts w:ascii="Narkisim" w:hAnsi="Narkisim" w:cs="Narkisim"/>
          <w:i/>
          <w:iCs/>
          <w:sz w:val="21"/>
          <w:szCs w:val="21"/>
          <w:rtl/>
        </w:rPr>
        <w:t>איסור בת אחת</w:t>
      </w:r>
      <w:r w:rsidRPr="0041053F">
        <w:rPr>
          <w:rFonts w:ascii="Narkisim" w:hAnsi="Narkisim" w:cs="Narkisim"/>
          <w:rtl/>
        </w:rPr>
        <w:t xml:space="preserve"> - ה</w:t>
      </w:r>
      <w:r w:rsidRPr="0041053F">
        <w:rPr>
          <w:rFonts w:ascii="Narkisim" w:hAnsi="Narkisim" w:cs="Narkisim"/>
          <w:b/>
          <w:bCs/>
          <w:rtl/>
        </w:rPr>
        <w:t>אחרונים</w:t>
      </w:r>
      <w:r w:rsidRPr="0041053F">
        <w:rPr>
          <w:rFonts w:ascii="Narkisim" w:hAnsi="Narkisim" w:cs="Narkisim"/>
          <w:rtl/>
        </w:rPr>
        <w:t xml:space="preserve"> חקרו בגדר דחל איסור בת אחת, האם הוה גדר תוספת איסור [ועל דרך הסברא דאיסור מוסיף], או דהוה סברא בפנ"ע דבשעה שהאיסור חל הדבר היה מותר, ואשכח רווחא. ועוד יש שפי'  דאמרי' הי מינייהו מפקת [וע"ע לקמן לד.].</w:t>
      </w:r>
    </w:p>
    <w:p w14:paraId="6D60AC6C"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שאג"א</w:t>
      </w:r>
      <w:r w:rsidRPr="0041053F">
        <w:rPr>
          <w:rFonts w:ascii="Narkisim" w:hAnsi="Narkisim"/>
          <w:rtl/>
        </w:rPr>
        <w:t xml:space="preserve"> (עב) דן דהיכא שא' מהאיסורין בלאו הכי הוה כולל או מוסיף, א"כ רק איסור זה יחול, דלא שייך בזה האי מינייהו מפקת</w:t>
      </w:r>
      <w:r w:rsidRPr="0041053F">
        <w:rPr>
          <w:rStyle w:val="ac"/>
          <w:rFonts w:ascii="Narkisim" w:hAnsi="Narkisim"/>
          <w:rtl/>
        </w:rPr>
        <w:footnoteReference w:id="2054"/>
      </w:r>
      <w:r w:rsidRPr="0041053F">
        <w:rPr>
          <w:rFonts w:ascii="Narkisim" w:hAnsi="Narkisim"/>
          <w:rtl/>
        </w:rPr>
        <w:t>.</w:t>
      </w:r>
    </w:p>
    <w:p w14:paraId="30C3920A"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תוס' רי"ד</w:t>
      </w:r>
      <w:r w:rsidRPr="0041053F">
        <w:rPr>
          <w:rFonts w:ascii="Narkisim" w:hAnsi="Narkisim"/>
          <w:rtl/>
        </w:rPr>
        <w:t xml:space="preserve"> (קידושין נ:) הק' האיך חל ב' האיסורין בבת א'. הא כל שאינו בזה אחר זה אפי' בבת א' אינו</w:t>
      </w:r>
      <w:r w:rsidRPr="0041053F">
        <w:rPr>
          <w:rStyle w:val="ac"/>
          <w:rFonts w:ascii="Narkisim" w:hAnsi="Narkisim"/>
          <w:rtl/>
        </w:rPr>
        <w:footnoteReference w:id="2055"/>
      </w:r>
      <w:r w:rsidRPr="0041053F">
        <w:rPr>
          <w:rFonts w:ascii="Narkisim" w:hAnsi="Narkisim"/>
          <w:rtl/>
        </w:rPr>
        <w:t>. [וכדברי רבה שם</w:t>
      </w:r>
      <w:r w:rsidRPr="0041053F">
        <w:rPr>
          <w:rStyle w:val="ac"/>
          <w:rFonts w:ascii="Narkisim" w:hAnsi="Narkisim"/>
          <w:rtl/>
        </w:rPr>
        <w:footnoteReference w:id="2056"/>
      </w:r>
      <w:r w:rsidRPr="0041053F">
        <w:rPr>
          <w:rFonts w:ascii="Narkisim" w:hAnsi="Narkisim"/>
          <w:rtl/>
        </w:rPr>
        <w:t>]. והתורי"ד תי' דהי מינייהו מפקת, וא"כ לא יחול שום א' מהם. וזה ודאי דברי בדות</w:t>
      </w:r>
      <w:r w:rsidRPr="0041053F">
        <w:rPr>
          <w:rStyle w:val="ac"/>
          <w:rFonts w:ascii="Narkisim" w:hAnsi="Narkisim"/>
          <w:rtl/>
        </w:rPr>
        <w:footnoteReference w:id="2057"/>
      </w:r>
      <w:r w:rsidRPr="0041053F">
        <w:rPr>
          <w:rFonts w:ascii="Narkisim" w:hAnsi="Narkisim"/>
          <w:rtl/>
        </w:rPr>
        <w:t>.</w:t>
      </w:r>
    </w:p>
    <w:p w14:paraId="59C64533" w14:textId="77777777" w:rsidR="006074A5" w:rsidRPr="0041053F" w:rsidRDefault="006074A5" w:rsidP="006074A5">
      <w:pPr>
        <w:bidi/>
        <w:rPr>
          <w:rFonts w:ascii="Narkisim" w:hAnsi="Narkisim" w:cs="Narkisim"/>
        </w:rPr>
      </w:pPr>
      <w:r w:rsidRPr="0041053F">
        <w:rPr>
          <w:rFonts w:ascii="Narkisim" w:hAnsi="Narkisim" w:cs="Narkisim"/>
          <w:u w:val="single"/>
          <w:rtl/>
        </w:rPr>
        <w:lastRenderedPageBreak/>
        <w:t>כגון דאייתי ב' שערות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דלא חל שום איסור עליו עד היום. וה</w:t>
      </w:r>
      <w:r w:rsidRPr="0041053F">
        <w:rPr>
          <w:rFonts w:ascii="Narkisim" w:hAnsi="Narkisim" w:cs="Narkisim"/>
          <w:b/>
          <w:bCs/>
          <w:rtl/>
        </w:rPr>
        <w:t xml:space="preserve">אחרונים </w:t>
      </w:r>
      <w:r w:rsidRPr="0041053F">
        <w:rPr>
          <w:rFonts w:ascii="Narkisim" w:hAnsi="Narkisim" w:cs="Narkisim"/>
          <w:rtl/>
        </w:rPr>
        <w:t>(קובה"ע לג ו, קה"י לא) הביאו דמבואר דלא חל איסור כלפי קטן כיון דאינו בדין עונשים, ונחשב שחל כשגודל. וה</w:t>
      </w:r>
      <w:r w:rsidRPr="0041053F">
        <w:rPr>
          <w:rFonts w:ascii="Narkisim" w:hAnsi="Narkisim" w:cs="Narkisim"/>
          <w:b/>
          <w:bCs/>
          <w:rtl/>
        </w:rPr>
        <w:t>אחרונים</w:t>
      </w:r>
      <w:r w:rsidRPr="0041053F">
        <w:rPr>
          <w:rFonts w:ascii="Narkisim" w:hAnsi="Narkisim" w:cs="Narkisim"/>
          <w:rtl/>
        </w:rPr>
        <w:t xml:space="preserve"> (ע' מה שהו' בקה"י) האריכו דבגמ' (סנהדרין נה:) מבואר דחל איסור כלפי קטן</w:t>
      </w:r>
      <w:r w:rsidRPr="0041053F">
        <w:rPr>
          <w:rStyle w:val="ac"/>
          <w:rFonts w:ascii="Narkisim" w:hAnsi="Narkisim" w:cs="Narkisim"/>
          <w:rtl/>
        </w:rPr>
        <w:footnoteReference w:id="2058"/>
      </w:r>
      <w:r w:rsidRPr="0041053F">
        <w:rPr>
          <w:rFonts w:ascii="Narkisim" w:hAnsi="Narkisim" w:cs="Narkisim"/>
          <w:rtl/>
        </w:rPr>
        <w:t>. וה</w:t>
      </w:r>
      <w:r w:rsidRPr="0041053F">
        <w:rPr>
          <w:rFonts w:ascii="Narkisim" w:hAnsi="Narkisim" w:cs="Narkisim"/>
          <w:b/>
          <w:bCs/>
          <w:rtl/>
        </w:rPr>
        <w:t>קובה"ע</w:t>
      </w:r>
      <w:r w:rsidRPr="0041053F">
        <w:rPr>
          <w:rFonts w:ascii="Narkisim" w:hAnsi="Narkisim" w:cs="Narkisim"/>
          <w:rtl/>
        </w:rPr>
        <w:t xml:space="preserve"> ביאר דהוה רק סיבת איסור, דחל חפצא דאיסורא</w:t>
      </w:r>
      <w:r w:rsidRPr="0041053F">
        <w:rPr>
          <w:rStyle w:val="ac"/>
          <w:rFonts w:ascii="Narkisim" w:hAnsi="Narkisim" w:cs="Narkisim"/>
          <w:rtl/>
        </w:rPr>
        <w:footnoteReference w:id="2059"/>
      </w:r>
      <w:r w:rsidRPr="0041053F">
        <w:rPr>
          <w:rFonts w:ascii="Narkisim" w:hAnsi="Narkisim" w:cs="Narkisim"/>
          <w:rtl/>
        </w:rPr>
        <w:t>, אבל הקטן אינו מצווה [וע"ע לקמן פ.]. וה</w:t>
      </w:r>
      <w:r w:rsidRPr="0041053F">
        <w:rPr>
          <w:rFonts w:ascii="Narkisim" w:hAnsi="Narkisim" w:cs="Narkisim"/>
          <w:b/>
          <w:bCs/>
          <w:rtl/>
        </w:rPr>
        <w:t>קה"י</w:t>
      </w:r>
      <w:r w:rsidRPr="0041053F">
        <w:rPr>
          <w:rFonts w:ascii="Narkisim" w:hAnsi="Narkisim" w:cs="Narkisim"/>
          <w:rtl/>
        </w:rPr>
        <w:t xml:space="preserve"> דן די"ל דחל איסור אלא דאינו בכלל עונשין. וכמ"כ במקום דאין אחע"א האיסור חל, ורק העונש לא חל. [ע' מה שהו' לעיל].</w:t>
      </w:r>
    </w:p>
    <w:p w14:paraId="26599EE1" w14:textId="77777777" w:rsidR="006074A5" w:rsidRPr="0041053F" w:rsidRDefault="006074A5" w:rsidP="006074A5">
      <w:pPr>
        <w:bidi/>
        <w:rPr>
          <w:rFonts w:ascii="Narkisim" w:hAnsi="Narkisim" w:cs="Narkisim"/>
        </w:rPr>
      </w:pPr>
      <w:r w:rsidRPr="0041053F">
        <w:rPr>
          <w:rFonts w:ascii="Narkisim" w:hAnsi="Narkisim" w:cs="Narkisim"/>
          <w:rtl/>
        </w:rPr>
        <w:t>ה</w:t>
      </w:r>
      <w:r w:rsidRPr="0041053F">
        <w:rPr>
          <w:rFonts w:ascii="Narkisim" w:hAnsi="Narkisim" w:cs="Narkisim"/>
          <w:b/>
          <w:bCs/>
          <w:rtl/>
        </w:rPr>
        <w:t>רמב"ם</w:t>
      </w:r>
      <w:r w:rsidRPr="0041053F">
        <w:rPr>
          <w:rFonts w:ascii="Narkisim" w:hAnsi="Narkisim" w:cs="Narkisim"/>
          <w:rtl/>
        </w:rPr>
        <w:t xml:space="preserve"> בפיה"מ (</w:t>
      </w:r>
      <w:r w:rsidRPr="0041053F">
        <w:rPr>
          <w:rFonts w:ascii="Narkisim" w:hAnsi="Narkisim" w:cs="Narkisim"/>
          <w:sz w:val="20"/>
          <w:szCs w:val="20"/>
          <w:rtl/>
        </w:rPr>
        <w:t>כריתות יג:)</w:t>
      </w:r>
      <w:r w:rsidRPr="0041053F">
        <w:rPr>
          <w:rFonts w:ascii="Narkisim" w:hAnsi="Narkisim" w:cs="Narkisim"/>
          <w:rtl/>
        </w:rPr>
        <w:t xml:space="preserve"> כתב דאם היה חלב מוקדשים, ונטמא בעודו הקטן, כשמביא ב' שערות חל עליו הכל יחד</w:t>
      </w:r>
      <w:r w:rsidRPr="0041053F">
        <w:rPr>
          <w:rStyle w:val="ac"/>
          <w:rFonts w:ascii="Narkisim" w:hAnsi="Narkisim" w:cs="Narkisim"/>
          <w:rtl/>
        </w:rPr>
        <w:footnoteReference w:id="2060"/>
      </w:r>
      <w:r w:rsidRPr="0041053F">
        <w:rPr>
          <w:rFonts w:ascii="Narkisim" w:hAnsi="Narkisim" w:cs="Narkisim"/>
          <w:rtl/>
        </w:rPr>
        <w:t>. וכן מבואר ב</w:t>
      </w:r>
      <w:r w:rsidRPr="0041053F">
        <w:rPr>
          <w:rFonts w:ascii="Narkisim" w:hAnsi="Narkisim" w:cs="Narkisim"/>
          <w:b/>
          <w:bCs/>
          <w:rtl/>
        </w:rPr>
        <w:t>תוס'</w:t>
      </w:r>
      <w:r w:rsidRPr="0041053F">
        <w:rPr>
          <w:rFonts w:ascii="Narkisim" w:hAnsi="Narkisim" w:cs="Narkisim"/>
          <w:rtl/>
        </w:rPr>
        <w:t xml:space="preserve"> (זבחים מה:). אבל ה</w:t>
      </w:r>
      <w:r w:rsidRPr="0041053F">
        <w:rPr>
          <w:rFonts w:ascii="Narkisim" w:hAnsi="Narkisim" w:cs="Narkisim"/>
          <w:b/>
          <w:bCs/>
          <w:rtl/>
        </w:rPr>
        <w:t>חזו"א</w:t>
      </w:r>
      <w:r w:rsidRPr="0041053F">
        <w:rPr>
          <w:rFonts w:ascii="Narkisim" w:hAnsi="Narkisim" w:cs="Narkisim"/>
          <w:rtl/>
        </w:rPr>
        <w:t xml:space="preserve"> (קלד יד) כתב דמסתבר דדוקא לענין איסור גברא אמרי' דחל, אבל מש"כ בגמ' (חולין קא) דלא חל איסור גיד היינו דלא חל כלל, דבאיסור חפצא אזלינן בתר שעה שנתנבלה. </w:t>
      </w:r>
      <w:r w:rsidRPr="0041053F">
        <w:rPr>
          <w:rFonts w:ascii="Narkisim" w:hAnsi="Narkisim" w:cs="Narkisim"/>
          <w:sz w:val="20"/>
          <w:szCs w:val="20"/>
          <w:rtl/>
        </w:rPr>
        <w:t>וכעי"ז כתב ה</w:t>
      </w:r>
      <w:r w:rsidRPr="0041053F">
        <w:rPr>
          <w:rFonts w:ascii="Narkisim" w:hAnsi="Narkisim" w:cs="Narkisim"/>
          <w:b/>
          <w:bCs/>
          <w:sz w:val="20"/>
          <w:szCs w:val="20"/>
          <w:rtl/>
        </w:rPr>
        <w:t>בן הנוב"י</w:t>
      </w:r>
      <w:r w:rsidRPr="0041053F">
        <w:rPr>
          <w:rFonts w:ascii="Narkisim" w:hAnsi="Narkisim" w:cs="Narkisim"/>
          <w:sz w:val="20"/>
          <w:szCs w:val="20"/>
          <w:rtl/>
        </w:rPr>
        <w:t xml:space="preserve"> (או"ח ת' קיח, וע' לקמן לד.).</w:t>
      </w:r>
    </w:p>
    <w:p w14:paraId="5730E00C"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w:t>
      </w:r>
      <w:r w:rsidRPr="0041053F">
        <w:rPr>
          <w:rFonts w:ascii="Narkisim" w:hAnsi="Narkisim" w:cs="Narkisim"/>
          <w:b/>
          <w:bCs/>
          <w:rtl/>
        </w:rPr>
        <w:t xml:space="preserve"> רע"א</w:t>
      </w:r>
      <w:r w:rsidRPr="0041053F">
        <w:rPr>
          <w:rFonts w:ascii="Narkisim" w:hAnsi="Narkisim" w:cs="Narkisim"/>
          <w:rtl/>
        </w:rPr>
        <w:t xml:space="preserve"> הק' בהא דלא חל יוה"כ על נבילה, הא חל על מי שמביא היום שערות, ועי"ז יחול על כל העולם דהוה מוסיף. [והביא דכעי"ז כת' ה</w:t>
      </w:r>
      <w:r w:rsidRPr="0041053F">
        <w:rPr>
          <w:rFonts w:ascii="Narkisim" w:hAnsi="Narkisim" w:cs="Narkisim"/>
          <w:b/>
          <w:bCs/>
          <w:rtl/>
        </w:rPr>
        <w:t>רמב"ם</w:t>
      </w:r>
      <w:r w:rsidRPr="0041053F">
        <w:rPr>
          <w:rFonts w:ascii="Narkisim" w:hAnsi="Narkisim" w:cs="Narkisim"/>
          <w:rtl/>
        </w:rPr>
        <w:t xml:space="preserve"> </w:t>
      </w:r>
      <w:r w:rsidRPr="0041053F">
        <w:rPr>
          <w:rFonts w:ascii="Narkisim" w:hAnsi="Narkisim" w:cs="Narkisim"/>
          <w:szCs w:val="20"/>
          <w:rtl/>
        </w:rPr>
        <w:t>(בפיה"מ כריתות ג ה)</w:t>
      </w:r>
      <w:r w:rsidRPr="0041053F">
        <w:rPr>
          <w:rFonts w:ascii="Narkisim" w:hAnsi="Narkisim" w:cs="Narkisim"/>
          <w:rtl/>
        </w:rPr>
        <w:t>]. ו</w:t>
      </w:r>
      <w:r w:rsidRPr="0041053F">
        <w:rPr>
          <w:rFonts w:ascii="Narkisim" w:hAnsi="Narkisim" w:cs="Narkisim"/>
          <w:b/>
          <w:bCs/>
          <w:rtl/>
        </w:rPr>
        <w:t>רע"א</w:t>
      </w:r>
      <w:r w:rsidRPr="0041053F">
        <w:rPr>
          <w:rFonts w:ascii="Narkisim" w:hAnsi="Narkisim" w:cs="Narkisim"/>
          <w:rtl/>
        </w:rPr>
        <w:t xml:space="preserve"> דן דאיסור מוסיף הוא דוקא באופן שמצד איסור הראשון ראוי שיהא מותר לזה</w:t>
      </w:r>
      <w:r w:rsidRPr="0041053F">
        <w:rPr>
          <w:rStyle w:val="ac"/>
          <w:rFonts w:ascii="Narkisim" w:hAnsi="Narkisim" w:cs="Narkisim"/>
          <w:rtl/>
        </w:rPr>
        <w:footnoteReference w:id="2061"/>
      </w:r>
      <w:r w:rsidRPr="0041053F">
        <w:rPr>
          <w:rFonts w:ascii="Narkisim" w:hAnsi="Narkisim" w:cs="Narkisim"/>
          <w:rtl/>
        </w:rPr>
        <w:t>. [אך הק' מדברי הרמב"ם].</w:t>
      </w:r>
    </w:p>
    <w:p w14:paraId="0910230D"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(יב) נסתפק דבעינן שיהא מוסיף בשעת קידושין וחלות האיסור, ול"מ אח"כ. </w:t>
      </w:r>
      <w:r w:rsidRPr="0041053F">
        <w:rPr>
          <w:rFonts w:ascii="Narkisim" w:hAnsi="Narkisim"/>
          <w:sz w:val="20"/>
          <w:szCs w:val="20"/>
          <w:rtl/>
        </w:rPr>
        <w:t>[וצ"ב דהאישות קיימת והסיבה מתחדשת תמיד].</w:t>
      </w:r>
    </w:p>
    <w:p w14:paraId="4B1D5269" w14:textId="77777777" w:rsidR="006074A5" w:rsidRPr="0041053F" w:rsidRDefault="006074A5" w:rsidP="006074A5">
      <w:pPr>
        <w:pStyle w:val="aa"/>
        <w:bidi/>
        <w:rPr>
          <w:rFonts w:ascii="Narkisim" w:hAnsi="Narkisim"/>
        </w:rPr>
      </w:pPr>
      <w:r w:rsidRPr="0041053F">
        <w:rPr>
          <w:rFonts w:ascii="Narkisim" w:hAnsi="Narkisim"/>
          <w:u w:val="single"/>
          <w:rtl/>
        </w:rPr>
        <w:t>כגון דאייתי ב' שערות בשבת.</w:t>
      </w:r>
      <w:r w:rsidRPr="0041053F">
        <w:rPr>
          <w:rFonts w:ascii="Narkisim" w:hAnsi="Narkisim"/>
          <w:rtl/>
        </w:rPr>
        <w:t xml:space="preserve"> ה</w:t>
      </w:r>
      <w:r w:rsidRPr="0041053F">
        <w:rPr>
          <w:rFonts w:ascii="Narkisim" w:hAnsi="Narkisim"/>
          <w:b/>
          <w:bCs/>
          <w:rtl/>
        </w:rPr>
        <w:t>רמב"ן</w:t>
      </w:r>
      <w:r w:rsidRPr="0041053F">
        <w:rPr>
          <w:rFonts w:ascii="Narkisim" w:hAnsi="Narkisim"/>
          <w:rtl/>
        </w:rPr>
        <w:t xml:space="preserve"> כת' דנחשב איסור בת א' לאותו שבת. אבל לשבת אחרת איסור זרות קודם. דבאיסור שדבר אחר גורם, בטל הגורם אף האיסור בטל.</w:t>
      </w:r>
    </w:p>
    <w:p w14:paraId="3EEF51D3" w14:textId="77777777" w:rsidR="006074A5" w:rsidRPr="0041053F" w:rsidRDefault="006074A5" w:rsidP="006074A5">
      <w:pPr>
        <w:pStyle w:val="aa"/>
        <w:bidi/>
        <w:rPr>
          <w:rFonts w:ascii="Narkisim" w:hAnsi="Narkisim"/>
        </w:rPr>
      </w:pPr>
      <w:r w:rsidRPr="0041053F">
        <w:rPr>
          <w:rFonts w:ascii="Narkisim" w:hAnsi="Narkisim"/>
          <w:u w:val="single"/>
          <w:rtl/>
        </w:rPr>
        <w:t>דהו"ל בעל מום וטומאה בהדי הדדי.</w:t>
      </w:r>
      <w:r w:rsidRPr="0041053F">
        <w:rPr>
          <w:rFonts w:ascii="Narkisim" w:hAnsi="Narkisim"/>
          <w:rtl/>
        </w:rPr>
        <w:t xml:space="preserve"> ה</w:t>
      </w:r>
      <w:r w:rsidRPr="0041053F">
        <w:rPr>
          <w:rFonts w:ascii="Narkisim" w:hAnsi="Narkisim"/>
          <w:b/>
          <w:bCs/>
          <w:rtl/>
        </w:rPr>
        <w:t>מהרש"ל</w:t>
      </w:r>
      <w:r w:rsidRPr="0041053F">
        <w:rPr>
          <w:rFonts w:ascii="Narkisim" w:hAnsi="Narkisim"/>
          <w:rtl/>
        </w:rPr>
        <w:t xml:space="preserve"> (חכמ"ש) הקשה דנוקמא כשנטמא ואח"כ נהיה בעל מום, ואתיא בבת א' כמו בהביא ב' שערות. [וע' תי' המהרש"א]. והמהרש"ל חידש דלמ"ד טומאה דחויה בציבור, עדיין יש איסור טומאה דהא לא שרי לכתחילה אא"כ נטמאו כל הכהנים. א"כ לא חל איסור בעל מום.</w:t>
      </w:r>
    </w:p>
    <w:p w14:paraId="7E22D0A8" w14:textId="77777777" w:rsidR="006074A5" w:rsidRPr="0041053F" w:rsidRDefault="006074A5" w:rsidP="006074A5">
      <w:pPr>
        <w:pStyle w:val="a8"/>
        <w:bidi/>
        <w:rPr>
          <w:rFonts w:ascii="Narkisim" w:hAnsi="Narkisim"/>
        </w:rPr>
      </w:pPr>
      <w:r w:rsidRPr="0041053F">
        <w:rPr>
          <w:rFonts w:ascii="Narkisim" w:hAnsi="Narkisim"/>
          <w:rtl/>
        </w:rPr>
        <w:t>ואף דבפועל רשאי לעבוד, וליכא איסור מחמת הטומאה. אפ"ה לא חל איסור בעל מום כיון דלא נסתלק איסור הטומאה. וה</w:t>
      </w:r>
      <w:r w:rsidRPr="0041053F">
        <w:rPr>
          <w:rFonts w:ascii="Narkisim" w:hAnsi="Narkisim"/>
          <w:b/>
          <w:bCs/>
          <w:rtl/>
        </w:rPr>
        <w:t>אחרונים</w:t>
      </w:r>
      <w:r w:rsidRPr="0041053F">
        <w:rPr>
          <w:rFonts w:ascii="Narkisim" w:hAnsi="Narkisim"/>
          <w:rtl/>
        </w:rPr>
        <w:t xml:space="preserve"> ביארו דהאיסור קיים, אלא שנדחה. ומש"ה לא חל האיסור הב'. [וה</w:t>
      </w:r>
      <w:r w:rsidRPr="0041053F">
        <w:rPr>
          <w:rFonts w:ascii="Narkisim" w:hAnsi="Narkisim"/>
          <w:b/>
          <w:bCs/>
          <w:rtl/>
        </w:rPr>
        <w:t>אפיק"י</w:t>
      </w:r>
      <w:r w:rsidRPr="0041053F">
        <w:rPr>
          <w:rFonts w:ascii="Narkisim" w:hAnsi="Narkisim"/>
          <w:rtl/>
        </w:rPr>
        <w:t xml:space="preserve"> (א ז) דן עפ"ז אף בהיתר אשת אח ליבום, דתלי אי הוה הותרה או דחויה]. אך ב</w:t>
      </w:r>
      <w:r w:rsidRPr="0041053F">
        <w:rPr>
          <w:rFonts w:ascii="Narkisim" w:hAnsi="Narkisim"/>
          <w:b/>
          <w:bCs/>
          <w:rtl/>
        </w:rPr>
        <w:t>חי' הגר"נ</w:t>
      </w:r>
      <w:r w:rsidRPr="0041053F">
        <w:rPr>
          <w:rFonts w:ascii="Narkisim" w:hAnsi="Narkisim"/>
          <w:rtl/>
        </w:rPr>
        <w:t xml:space="preserve"> כתב דמטעם זה נחשב רק שקודם, דהעדר הדחייה אינו חלות איסור מחודש [ועד"ז כתב החזו"א].</w:t>
      </w:r>
    </w:p>
    <w:p w14:paraId="18ABC867"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(קלד יא) חלק דמסתבר דמ"מ בשעה שכל הכהנים נטמאו חל האיסור. </w:t>
      </w:r>
      <w:r w:rsidRPr="0041053F">
        <w:rPr>
          <w:rFonts w:ascii="Narkisim" w:hAnsi="Narkisim"/>
          <w:sz w:val="20"/>
          <w:szCs w:val="20"/>
          <w:rtl/>
        </w:rPr>
        <w:t>[ועי"ש שדן דכיון דהוה בעל מום לא הותר אצלו כלל קרבן ציבור].</w:t>
      </w:r>
    </w:p>
    <w:p w14:paraId="1133C534" w14:textId="77777777" w:rsidR="006074A5" w:rsidRPr="0041053F" w:rsidRDefault="006074A5" w:rsidP="006074A5">
      <w:pPr>
        <w:bidi/>
        <w:rPr>
          <w:rFonts w:ascii="Narkisim" w:hAnsi="Narkisim" w:cs="Narkisim"/>
        </w:rPr>
      </w:pPr>
      <w:r w:rsidRPr="0041053F">
        <w:rPr>
          <w:rFonts w:ascii="Narkisim" w:hAnsi="Narkisim" w:cs="Narkisim"/>
          <w:u w:val="single"/>
          <w:rtl/>
        </w:rPr>
        <w:t>ר' חייא שקורי קא משקר.</w:t>
      </w:r>
      <w:r w:rsidRPr="0041053F">
        <w:rPr>
          <w:rFonts w:ascii="Narkisim" w:hAnsi="Narkisim" w:cs="Narkisim"/>
          <w:rtl/>
        </w:rPr>
        <w:t xml:space="preserve"> </w:t>
      </w:r>
      <w:r w:rsidRPr="0041053F">
        <w:rPr>
          <w:rFonts w:ascii="Narkisim" w:hAnsi="Narkisim" w:cs="Narkisim"/>
          <w:b/>
          <w:bCs/>
          <w:rtl/>
        </w:rPr>
        <w:t>תוס</w:t>
      </w:r>
      <w:r w:rsidRPr="0041053F">
        <w:rPr>
          <w:rFonts w:ascii="Narkisim" w:hAnsi="Narkisim" w:cs="Narkisim"/>
          <w:rtl/>
        </w:rPr>
        <w:t>' (שבועות כו.) הק' דדרשי' האדם בשבועה</w:t>
      </w:r>
      <w:r w:rsidRPr="0041053F">
        <w:rPr>
          <w:rStyle w:val="ac"/>
          <w:rFonts w:ascii="Narkisim" w:hAnsi="Narkisim" w:cs="Narkisim"/>
          <w:rtl/>
        </w:rPr>
        <w:footnoteReference w:id="2062"/>
      </w:r>
      <w:r w:rsidRPr="0041053F">
        <w:rPr>
          <w:rFonts w:ascii="Narkisim" w:hAnsi="Narkisim" w:cs="Narkisim"/>
          <w:rtl/>
        </w:rPr>
        <w:t>, דכה"ג לא חשיב שבועת שקר וליכא עונש</w:t>
      </w:r>
      <w:r w:rsidRPr="0041053F">
        <w:rPr>
          <w:rStyle w:val="ac"/>
          <w:rFonts w:ascii="Narkisim" w:hAnsi="Narkisim" w:cs="Narkisim"/>
          <w:rtl/>
        </w:rPr>
        <w:footnoteReference w:id="2063"/>
      </w:r>
      <w:r w:rsidRPr="0041053F">
        <w:rPr>
          <w:rFonts w:ascii="Narkisim" w:hAnsi="Narkisim" w:cs="Narkisim"/>
          <w:rtl/>
        </w:rPr>
        <w:t>. ותוס' ביארו דקושיית הגמ' היאך יצא תקלה על ידם, שהיה טועה לומר ששמע מרבו כדבריו</w:t>
      </w:r>
      <w:r w:rsidRPr="0041053F">
        <w:rPr>
          <w:rStyle w:val="ac"/>
          <w:rFonts w:ascii="Narkisim" w:hAnsi="Narkisim" w:cs="Narkisim"/>
          <w:rtl/>
        </w:rPr>
        <w:footnoteReference w:id="2064"/>
      </w:r>
      <w:r w:rsidRPr="0041053F">
        <w:rPr>
          <w:rFonts w:ascii="Narkisim" w:hAnsi="Narkisim" w:cs="Narkisim"/>
          <w:rtl/>
        </w:rPr>
        <w:t>. אבל ה</w:t>
      </w:r>
      <w:r w:rsidRPr="0041053F">
        <w:rPr>
          <w:rFonts w:ascii="Narkisim" w:hAnsi="Narkisim" w:cs="Narkisim"/>
          <w:b/>
          <w:bCs/>
          <w:rtl/>
        </w:rPr>
        <w:t>תוס' הרא"ש</w:t>
      </w:r>
      <w:r w:rsidRPr="0041053F">
        <w:rPr>
          <w:rFonts w:ascii="Narkisim" w:hAnsi="Narkisim" w:cs="Narkisim"/>
          <w:rtl/>
        </w:rPr>
        <w:t xml:space="preserve"> בשם </w:t>
      </w:r>
      <w:r w:rsidRPr="0041053F">
        <w:rPr>
          <w:rFonts w:ascii="Narkisim" w:hAnsi="Narkisim" w:cs="Narkisim"/>
          <w:b/>
          <w:bCs/>
          <w:rtl/>
        </w:rPr>
        <w:t>רבינו</w:t>
      </w:r>
      <w:r w:rsidRPr="0041053F">
        <w:rPr>
          <w:rFonts w:ascii="Narkisim" w:hAnsi="Narkisim" w:cs="Narkisim"/>
          <w:rtl/>
        </w:rPr>
        <w:t xml:space="preserve"> </w:t>
      </w:r>
      <w:r w:rsidRPr="0041053F">
        <w:rPr>
          <w:rFonts w:ascii="Narkisim" w:hAnsi="Narkisim" w:cs="Narkisim"/>
          <w:b/>
          <w:bCs/>
          <w:rtl/>
        </w:rPr>
        <w:t>מאיר</w:t>
      </w:r>
      <w:r w:rsidRPr="0041053F">
        <w:rPr>
          <w:rFonts w:ascii="Narkisim" w:hAnsi="Narkisim" w:cs="Narkisim"/>
          <w:rtl/>
        </w:rPr>
        <w:t xml:space="preserve"> כתב דל"ש הכא האדם בשבועה דלאו אונס הוא, דכיון דאיכא פלוגתא דתנאי טובא בעניני איסור חע"א לא הו"ל לאשתבועי.</w:t>
      </w:r>
    </w:p>
    <w:p w14:paraId="0A210EB2" w14:textId="77777777" w:rsidR="006074A5" w:rsidRPr="0041053F" w:rsidRDefault="006074A5" w:rsidP="006074A5">
      <w:pPr>
        <w:pStyle w:val="aa"/>
        <w:bidi/>
        <w:rPr>
          <w:rFonts w:ascii="Narkisim" w:hAnsi="Narkisim"/>
        </w:rPr>
      </w:pPr>
      <w:r w:rsidRPr="0041053F">
        <w:rPr>
          <w:rFonts w:ascii="Narkisim" w:hAnsi="Narkisim"/>
          <w:u w:val="single"/>
          <w:rtl/>
        </w:rPr>
        <w:t>תוד"ה בר קפרא.</w:t>
      </w:r>
      <w:r w:rsidRPr="0041053F">
        <w:rPr>
          <w:rFonts w:ascii="Narkisim" w:hAnsi="Narkisim"/>
          <w:rtl/>
        </w:rPr>
        <w:t xml:space="preserve"> וקשה לר"י דמשמע דבאיסור מוסיף חל טפי איסור על איסור מבאיסור בת א' וכו'. מבואר בתוס' דאיסור מוסיף ואיסור בת א' שייכי להדדי, ושייך ללמוד כ"ש מזה לזה. ויל"ד דלכאורה הוה ב' סברות דלא תלי אהדדי, וי"ל דלחד מ"ד איסור מוסיף אלים. ולאידך מ"ד בת א' חל.</w:t>
      </w:r>
    </w:p>
    <w:p w14:paraId="313D7BFC" w14:textId="77777777" w:rsidR="006074A5" w:rsidRPr="0041053F" w:rsidRDefault="006074A5" w:rsidP="006074A5">
      <w:pPr>
        <w:bidi/>
        <w:rPr>
          <w:rFonts w:ascii="Narkisim" w:hAnsi="Narkisim" w:cs="Narkisim"/>
        </w:rPr>
      </w:pPr>
      <w:r w:rsidRPr="0041053F">
        <w:rPr>
          <w:rFonts w:ascii="Narkisim" w:hAnsi="Narkisim" w:cs="Narkisim"/>
          <w:u w:val="single"/>
          <w:rtl/>
        </w:rPr>
        <w:t>בא"ד ואר"י וכו' דדוקא בת אחת דהכא וכו' היינו משום שהותרה וכו'</w:t>
      </w:r>
      <w:r w:rsidRPr="0041053F">
        <w:rPr>
          <w:rFonts w:ascii="Narkisim" w:hAnsi="Narkisim" w:cs="Narkisim"/>
          <w:rtl/>
        </w:rPr>
        <w:t xml:space="preserve">. ותוס' הסמיכו דבריהם על הטעם של בר קפרא, שבת לכל הותרה. לפ"ז הטעם שאמר בר קפרא שבת לכל </w:t>
      </w:r>
      <w:r w:rsidRPr="0041053F">
        <w:rPr>
          <w:rFonts w:ascii="Narkisim" w:hAnsi="Narkisim" w:cs="Narkisim"/>
          <w:rtl/>
        </w:rPr>
        <w:lastRenderedPageBreak/>
        <w:t>הותרה הוא טעם שיחול איסור זה. וב</w:t>
      </w:r>
      <w:r w:rsidRPr="0041053F">
        <w:rPr>
          <w:rFonts w:ascii="Narkisim" w:hAnsi="Narkisim" w:cs="Narkisim"/>
          <w:b/>
          <w:bCs/>
          <w:rtl/>
        </w:rPr>
        <w:t>הג'</w:t>
      </w:r>
      <w:r w:rsidRPr="0041053F">
        <w:rPr>
          <w:rFonts w:ascii="Narkisim" w:hAnsi="Narkisim" w:cs="Narkisim"/>
          <w:rtl/>
        </w:rPr>
        <w:t xml:space="preserve"> </w:t>
      </w:r>
      <w:r w:rsidRPr="0041053F">
        <w:rPr>
          <w:rFonts w:ascii="Narkisim" w:hAnsi="Narkisim" w:cs="Narkisim"/>
          <w:b/>
          <w:bCs/>
          <w:rtl/>
        </w:rPr>
        <w:t>ראמ"ה</w:t>
      </w:r>
      <w:r w:rsidRPr="0041053F">
        <w:rPr>
          <w:rFonts w:ascii="Narkisim" w:hAnsi="Narkisim" w:cs="Narkisim"/>
          <w:rtl/>
        </w:rPr>
        <w:t xml:space="preserve"> ביאר דכוונת התוס' דמטעם זה נחשב קולא בעלמא </w:t>
      </w:r>
      <w:r w:rsidRPr="0041053F">
        <w:rPr>
          <w:rFonts w:ascii="Narkisim" w:hAnsi="Narkisim" w:cs="Narkisim"/>
          <w:sz w:val="20"/>
          <w:szCs w:val="20"/>
          <w:rtl/>
        </w:rPr>
        <w:t>[וע"פ מש"כ התוס' (ד"ה באיסור) דבאיסור בת אחת החמור יותר חל]</w:t>
      </w:r>
      <w:r w:rsidRPr="0041053F">
        <w:rPr>
          <w:rFonts w:ascii="Narkisim" w:hAnsi="Narkisim" w:cs="Narkisim"/>
          <w:rtl/>
        </w:rPr>
        <w:t>.</w:t>
      </w:r>
    </w:p>
    <w:p w14:paraId="1ECA4AAA" w14:textId="77777777" w:rsidR="006074A5" w:rsidRPr="0041053F" w:rsidRDefault="006074A5" w:rsidP="006074A5">
      <w:pPr>
        <w:pStyle w:val="a7"/>
        <w:bidi/>
        <w:rPr>
          <w:rFonts w:ascii="Narkisim" w:hAnsi="Narkisim"/>
        </w:rPr>
      </w:pPr>
      <w:r w:rsidRPr="0041053F">
        <w:rPr>
          <w:rFonts w:ascii="Narkisim" w:hAnsi="Narkisim"/>
          <w:rtl/>
        </w:rPr>
        <w:t>אבל ה</w:t>
      </w:r>
      <w:r w:rsidRPr="0041053F">
        <w:rPr>
          <w:rFonts w:ascii="Narkisim" w:hAnsi="Narkisim"/>
          <w:b/>
          <w:bCs/>
          <w:rtl/>
        </w:rPr>
        <w:t>חזו"א</w:t>
      </w:r>
      <w:r w:rsidRPr="0041053F">
        <w:rPr>
          <w:rFonts w:ascii="Narkisim" w:hAnsi="Narkisim"/>
          <w:rtl/>
        </w:rPr>
        <w:t xml:space="preserve"> (קלד ג) ביאר דדוקא הכא ס"ל לבר קפרא דלא נחשב איסור בת א', כיון דהאיסור שבת וטומאה בא מכח הזרות ובעל מום, ולכן הוה כאילו קדם איסור זרות ומום, ושוב לא יחול איסור טומאה ונבילה. אבל בעלמא מודה דאיסור בת א' חל</w:t>
      </w:r>
      <w:r w:rsidRPr="0041053F">
        <w:rPr>
          <w:rStyle w:val="ac"/>
          <w:rFonts w:ascii="Narkisim" w:hAnsi="Narkisim"/>
          <w:rtl/>
        </w:rPr>
        <w:footnoteReference w:id="2065"/>
      </w:r>
      <w:r w:rsidRPr="0041053F">
        <w:rPr>
          <w:rFonts w:ascii="Narkisim" w:hAnsi="Narkisim"/>
          <w:rtl/>
        </w:rPr>
        <w:t>.</w:t>
      </w:r>
      <w:r w:rsidRPr="0041053F">
        <w:rPr>
          <w:rFonts w:ascii="Narkisim" w:hAnsi="Narkisim"/>
          <w:sz w:val="20"/>
          <w:szCs w:val="20"/>
          <w:rtl/>
        </w:rPr>
        <w:t xml:space="preserve"> ולפ"ז תוס' חזרו בהם ממש"כ (בתחילת דבריהם) דאשת אח ואחות אשה נפק"מ לקוברו.</w:t>
      </w:r>
    </w:p>
    <w:p w14:paraId="519F269C" w14:textId="77777777" w:rsidR="006074A5" w:rsidRPr="0041053F" w:rsidRDefault="006074A5" w:rsidP="006074A5">
      <w:pPr>
        <w:pStyle w:val="aa"/>
        <w:bidi/>
        <w:rPr>
          <w:rFonts w:ascii="Narkisim" w:hAnsi="Narkisim"/>
        </w:rPr>
      </w:pPr>
      <w:r w:rsidRPr="0041053F">
        <w:rPr>
          <w:rFonts w:ascii="Narkisim" w:hAnsi="Narkisim"/>
          <w:u w:val="single"/>
          <w:rtl/>
        </w:rPr>
        <w:t>בא"ד וכן משמע קצת לקמן דאיסור ב"א עדיף טפי, ומאן דמחייב בב"א היינו משום מידי דהוה אאיסור מוסיף וכו'.</w:t>
      </w:r>
      <w:r w:rsidRPr="0041053F">
        <w:rPr>
          <w:rFonts w:ascii="Narkisim" w:hAnsi="Narkisim"/>
          <w:rtl/>
        </w:rPr>
        <w:t xml:space="preserve"> דלמ"ד דאית ליה כולל הוה שווה לאיסור מוסיף. א"כ כיון דמבואר בגמ' דמ"ד כולל ע"כ אית ליה ב"א, א"כ ה"נ עדיף ממוסיף. וכ"כ שאר </w:t>
      </w:r>
      <w:r w:rsidRPr="0041053F">
        <w:rPr>
          <w:rFonts w:ascii="Narkisim" w:hAnsi="Narkisim"/>
          <w:b/>
          <w:bCs/>
          <w:rtl/>
        </w:rPr>
        <w:t>ראשונים</w:t>
      </w:r>
      <w:r w:rsidRPr="0041053F">
        <w:rPr>
          <w:rFonts w:ascii="Narkisim" w:hAnsi="Narkisim"/>
          <w:rtl/>
        </w:rPr>
        <w:t xml:space="preserve"> מסברא. אבל ב</w:t>
      </w:r>
      <w:r w:rsidRPr="0041053F">
        <w:rPr>
          <w:rFonts w:ascii="Narkisim" w:hAnsi="Narkisim"/>
          <w:b/>
          <w:bCs/>
          <w:rtl/>
        </w:rPr>
        <w:t>רש"י</w:t>
      </w:r>
      <w:r w:rsidRPr="0041053F">
        <w:rPr>
          <w:rFonts w:ascii="Narkisim" w:hAnsi="Narkisim"/>
          <w:rtl/>
        </w:rPr>
        <w:t xml:space="preserve"> מבואר דלהך מ"ד אית ליה מוסיף אבל לא בת אחת.</w:t>
      </w:r>
    </w:p>
    <w:p w14:paraId="61991A1E" w14:textId="77777777" w:rsidR="006074A5" w:rsidRPr="0041053F" w:rsidRDefault="006074A5" w:rsidP="006074A5">
      <w:pPr>
        <w:bidi/>
        <w:rPr>
          <w:rFonts w:ascii="Narkisim" w:hAnsi="Narkisim" w:cs="Narkisim"/>
        </w:rPr>
      </w:pPr>
      <w:r w:rsidRPr="0041053F">
        <w:rPr>
          <w:rFonts w:ascii="Narkisim" w:hAnsi="Narkisim" w:cs="Narkisim"/>
          <w:u w:val="single"/>
          <w:rtl/>
        </w:rPr>
        <w:t>תוד"ה אצבעו.</w:t>
      </w:r>
      <w:r w:rsidRPr="0041053F">
        <w:rPr>
          <w:rFonts w:ascii="Narkisim" w:hAnsi="Narkisim" w:cs="Narkisim"/>
          <w:rtl/>
        </w:rPr>
        <w:t xml:space="preserve"> שהיתה אצבעו חתוכה עד משהו אחרון. וה</w:t>
      </w:r>
      <w:r w:rsidRPr="0041053F">
        <w:rPr>
          <w:rFonts w:ascii="Narkisim" w:hAnsi="Narkisim" w:cs="Narkisim"/>
          <w:b/>
          <w:bCs/>
          <w:rtl/>
        </w:rPr>
        <w:t>תו"י</w:t>
      </w:r>
      <w:r w:rsidRPr="0041053F">
        <w:rPr>
          <w:rFonts w:ascii="Narkisim" w:hAnsi="Narkisim" w:cs="Narkisim"/>
          <w:rtl/>
        </w:rPr>
        <w:t xml:space="preserve"> כת' דהוה זמן מועט כבת אחת</w:t>
      </w:r>
      <w:r w:rsidRPr="0041053F">
        <w:rPr>
          <w:rStyle w:val="ac"/>
          <w:rFonts w:ascii="Narkisim" w:hAnsi="Narkisim" w:cs="Narkisim"/>
          <w:rtl/>
        </w:rPr>
        <w:footnoteReference w:id="2066"/>
      </w:r>
      <w:r w:rsidRPr="0041053F">
        <w:rPr>
          <w:rFonts w:ascii="Narkisim" w:hAnsi="Narkisim" w:cs="Narkisim"/>
          <w:rtl/>
        </w:rPr>
        <w:t xml:space="preserve">, וכדאי' </w:t>
      </w:r>
      <w:r w:rsidRPr="0041053F">
        <w:rPr>
          <w:rFonts w:ascii="Narkisim" w:hAnsi="Narkisim" w:cs="Narkisim"/>
          <w:sz w:val="20"/>
          <w:szCs w:val="20"/>
          <w:rtl/>
        </w:rPr>
        <w:t xml:space="preserve">(כתובות ל:) </w:t>
      </w:r>
      <w:r w:rsidRPr="0041053F">
        <w:rPr>
          <w:rFonts w:ascii="Narkisim" w:hAnsi="Narkisim" w:cs="Narkisim"/>
          <w:rtl/>
        </w:rPr>
        <w:t>גבי קים ליה בדרבה מיניה</w:t>
      </w:r>
      <w:r w:rsidRPr="0041053F">
        <w:rPr>
          <w:rStyle w:val="ac"/>
          <w:rFonts w:ascii="Narkisim" w:hAnsi="Narkisim" w:cs="Narkisim"/>
          <w:rtl/>
        </w:rPr>
        <w:footnoteReference w:id="2067"/>
      </w:r>
      <w:r w:rsidRPr="0041053F">
        <w:rPr>
          <w:rFonts w:ascii="Narkisim" w:hAnsi="Narkisim" w:cs="Narkisim"/>
          <w:rtl/>
        </w:rPr>
        <w:t>.</w:t>
      </w:r>
      <w:r w:rsidRPr="0041053F">
        <w:rPr>
          <w:rFonts w:ascii="Narkisim" w:hAnsi="Narkisim" w:cs="Narkisim"/>
          <w:sz w:val="20"/>
          <w:szCs w:val="20"/>
          <w:rtl/>
        </w:rPr>
        <w:t xml:space="preserve"> </w:t>
      </w:r>
      <w:r w:rsidRPr="0041053F">
        <w:rPr>
          <w:rFonts w:ascii="Narkisim" w:hAnsi="Narkisim" w:cs="Narkisim"/>
          <w:rtl/>
        </w:rPr>
        <w:t>וה</w:t>
      </w:r>
      <w:r w:rsidRPr="0041053F">
        <w:rPr>
          <w:rFonts w:ascii="Narkisim" w:hAnsi="Narkisim" w:cs="Narkisim"/>
          <w:b/>
          <w:bCs/>
          <w:rtl/>
        </w:rPr>
        <w:t>ריטב"א</w:t>
      </w:r>
      <w:r w:rsidRPr="0041053F">
        <w:rPr>
          <w:rFonts w:ascii="Narkisim" w:hAnsi="Narkisim" w:cs="Narkisim"/>
          <w:rtl/>
        </w:rPr>
        <w:t xml:space="preserve"> כת' כיון ד'אותו מעשה' נעשה בעל מום ותוך כדי דיבור חשיב בת א'</w:t>
      </w:r>
      <w:r w:rsidRPr="0041053F">
        <w:rPr>
          <w:rStyle w:val="ac"/>
          <w:rFonts w:ascii="Narkisim" w:hAnsi="Narkisim" w:cs="Narkisim"/>
          <w:rtl/>
        </w:rPr>
        <w:footnoteReference w:id="2068"/>
      </w:r>
      <w:r w:rsidRPr="0041053F">
        <w:rPr>
          <w:rFonts w:ascii="Narkisim" w:hAnsi="Narkisim" w:cs="Narkisim"/>
          <w:rtl/>
        </w:rPr>
        <w:t>. ואע"ג דנגע קודם שנחתך.</w:t>
      </w:r>
    </w:p>
    <w:p w14:paraId="498BDCDF"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w:t>
      </w:r>
      <w:r w:rsidRPr="0041053F">
        <w:rPr>
          <w:rFonts w:ascii="Narkisim" w:hAnsi="Narkisim"/>
          <w:b/>
          <w:bCs/>
          <w:rtl/>
        </w:rPr>
        <w:t xml:space="preserve">חזו"א </w:t>
      </w:r>
      <w:r w:rsidRPr="0041053F">
        <w:rPr>
          <w:rFonts w:ascii="Narkisim" w:hAnsi="Narkisim"/>
          <w:rtl/>
        </w:rPr>
        <w:t>ועוד) דנו דבמה שנטמא ע"י הסכין לא הוה טומאה שהנזיר מגלח עליו, ואינו חייב על ביאת מקדש. והביאו דמבואר דטמא בעבודה חייב אף בטומאה שאין הנזיר מגלח.</w:t>
      </w:r>
    </w:p>
    <w:p w14:paraId="15A5270A" w14:textId="77777777" w:rsidR="006074A5" w:rsidRPr="0041053F" w:rsidRDefault="006074A5" w:rsidP="006074A5">
      <w:pPr>
        <w:pStyle w:val="aa"/>
        <w:bidi/>
        <w:rPr>
          <w:rFonts w:ascii="Narkisim" w:hAnsi="Narkisim"/>
        </w:rPr>
      </w:pPr>
      <w:r w:rsidRPr="0041053F">
        <w:rPr>
          <w:rFonts w:ascii="Narkisim" w:hAnsi="Narkisim"/>
          <w:u w:val="single"/>
          <w:rtl/>
        </w:rPr>
        <w:t>אלא לבר קפרא ל"ל לאישתבועי.</w:t>
      </w:r>
      <w:r w:rsidRPr="0041053F">
        <w:rPr>
          <w:rFonts w:ascii="Narkisim" w:hAnsi="Narkisim"/>
          <w:rtl/>
        </w:rPr>
        <w:t xml:space="preserve"> ה</w:t>
      </w:r>
      <w:r w:rsidRPr="0041053F">
        <w:rPr>
          <w:rFonts w:ascii="Narkisim" w:hAnsi="Narkisim"/>
          <w:b/>
          <w:bCs/>
          <w:rtl/>
        </w:rPr>
        <w:t>ריטב"א</w:t>
      </w:r>
      <w:r w:rsidRPr="0041053F">
        <w:rPr>
          <w:rFonts w:ascii="Narkisim" w:hAnsi="Narkisim"/>
          <w:rtl/>
        </w:rPr>
        <w:t xml:space="preserve"> פי' דפשטא דמתני' מסייע ליה קצת, ולהוציא מלבו של ר' חייא סגי בדיבור קל.</w:t>
      </w:r>
    </w:p>
    <w:p w14:paraId="7BD75DCE" w14:textId="77777777" w:rsidR="006074A5" w:rsidRPr="0041053F" w:rsidRDefault="006074A5" w:rsidP="006074A5">
      <w:pPr>
        <w:pStyle w:val="3"/>
        <w:bidi/>
        <w:rPr>
          <w:rFonts w:ascii="Narkisim" w:hAnsi="Narkisim"/>
        </w:rPr>
      </w:pPr>
      <w:r w:rsidRPr="0041053F">
        <w:rPr>
          <w:rFonts w:ascii="Narkisim" w:hAnsi="Narkisim"/>
          <w:rtl/>
        </w:rPr>
        <w:t>דף לג:</w:t>
      </w:r>
    </w:p>
    <w:p w14:paraId="1036AA5D" w14:textId="77777777" w:rsidR="006074A5" w:rsidRPr="0041053F" w:rsidRDefault="006074A5" w:rsidP="006074A5">
      <w:pPr>
        <w:bidi/>
        <w:rPr>
          <w:rFonts w:ascii="Narkisim" w:hAnsi="Narkisim" w:cs="Narkisim"/>
        </w:rPr>
      </w:pPr>
      <w:r w:rsidRPr="0041053F">
        <w:rPr>
          <w:rFonts w:ascii="Narkisim" w:hAnsi="Narkisim" w:cs="Narkisim"/>
          <w:u w:val="single"/>
          <w:rtl/>
        </w:rPr>
        <w:t>מיתיבי זר וכו' יש כאן משום וכו' דברי ר' יוסי וכו'.</w:t>
      </w:r>
      <w:r w:rsidRPr="0041053F">
        <w:rPr>
          <w:rFonts w:ascii="Narkisim" w:hAnsi="Narkisim" w:cs="Narkisim"/>
          <w:rtl/>
        </w:rPr>
        <w:t xml:space="preserve"> והגמ' מעמידה באיסור כולל, וכדברי ר' חייא דר' יוסי מחייב באיסור כולל. [ומש"ה נקט ב' בבות אלו דוקא, דהוה איסור כולל].</w:t>
      </w:r>
    </w:p>
    <w:p w14:paraId="1C327573" w14:textId="77777777" w:rsidR="006074A5" w:rsidRPr="0041053F" w:rsidRDefault="006074A5" w:rsidP="006074A5">
      <w:pPr>
        <w:pStyle w:val="a7"/>
        <w:bidi/>
        <w:rPr>
          <w:rFonts w:ascii="Narkisim" w:hAnsi="Narkisim"/>
        </w:rPr>
      </w:pPr>
      <w:r w:rsidRPr="0041053F">
        <w:rPr>
          <w:rFonts w:ascii="Narkisim" w:hAnsi="Narkisim"/>
          <w:rtl/>
        </w:rPr>
        <w:t>אבל תוס' נקטו דדעת הגמ' (לעיל לב:) דר' יוסי ל"ל איסור כולל. וא"כ ה"נ כוונת ר' יוסי לקוברו בין רשעים גמורים</w:t>
      </w:r>
      <w:r w:rsidRPr="0041053F">
        <w:rPr>
          <w:rStyle w:val="ac"/>
          <w:rFonts w:ascii="Narkisim" w:hAnsi="Narkisim"/>
          <w:rtl/>
        </w:rPr>
        <w:footnoteReference w:id="2069"/>
      </w:r>
      <w:r w:rsidRPr="0041053F">
        <w:rPr>
          <w:rFonts w:ascii="Narkisim" w:hAnsi="Narkisim"/>
          <w:sz w:val="20"/>
          <w:szCs w:val="20"/>
          <w:rtl/>
        </w:rPr>
        <w:t xml:space="preserve"> [ולא משום איסור כולל].</w:t>
      </w:r>
    </w:p>
    <w:p w14:paraId="56D07114"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 xml:space="preserve">רמב"ן </w:t>
      </w:r>
      <w:r w:rsidRPr="0041053F">
        <w:rPr>
          <w:rFonts w:ascii="Narkisim" w:hAnsi="Narkisim"/>
          <w:rtl/>
        </w:rPr>
        <w:t>(לג.) הקשה דכיון דברייתא [דלעיל לב., וה"נ הכא] איירי בלקוברו מנ"ל דפליגי לענין עונשין כלל [באיסור מוסיף]. ותי' איכא למימר גמ' גמירא לה דלא פטר אלא בכולל וכו'.</w:t>
      </w:r>
    </w:p>
    <w:p w14:paraId="158EDDDE" w14:textId="77777777" w:rsidR="006074A5" w:rsidRPr="0041053F" w:rsidRDefault="006074A5" w:rsidP="006074A5">
      <w:pPr>
        <w:bidi/>
        <w:rPr>
          <w:rFonts w:ascii="Narkisim" w:hAnsi="Narkisim" w:cs="Narkisim"/>
        </w:rPr>
      </w:pPr>
      <w:r w:rsidRPr="0041053F">
        <w:rPr>
          <w:rFonts w:ascii="Narkisim" w:hAnsi="Narkisim" w:cs="Narkisim"/>
          <w:u w:val="single"/>
          <w:rtl/>
        </w:rPr>
        <w:t>אלא לר' שמעון ובאיסור כולל הוא דפטר וכו'.</w:t>
      </w:r>
      <w:r w:rsidRPr="0041053F">
        <w:rPr>
          <w:rFonts w:ascii="Narkisim" w:hAnsi="Narkisim" w:cs="Narkisim"/>
          <w:rtl/>
        </w:rPr>
        <w:t xml:space="preserve"> ה</w:t>
      </w:r>
      <w:r w:rsidRPr="0041053F">
        <w:rPr>
          <w:rFonts w:ascii="Narkisim" w:hAnsi="Narkisim" w:cs="Narkisim"/>
          <w:b/>
          <w:bCs/>
          <w:rtl/>
        </w:rPr>
        <w:t>רמב"ן</w:t>
      </w:r>
      <w:r w:rsidRPr="0041053F">
        <w:rPr>
          <w:rFonts w:ascii="Narkisim" w:hAnsi="Narkisim" w:cs="Narkisim"/>
          <w:rtl/>
        </w:rPr>
        <w:t xml:space="preserve"> (לג. וכעי"ז התו"י) הקש' דילמא באיסור בת אחת דאיכא תרתי מחייב ב' לענין לקוברו. ותי' כיון דשמעינן לר' שמעון דפטר אפי' מלקברו, ש"מ לא שאני ליה וס"ל דקבורה כמיתה וקרבן, ובכל מקום דאאחע"א אינו חל אף לקוברו.</w:t>
      </w:r>
    </w:p>
    <w:p w14:paraId="24E239B5" w14:textId="77777777" w:rsidR="006074A5" w:rsidRPr="0041053F" w:rsidRDefault="006074A5" w:rsidP="006074A5">
      <w:pPr>
        <w:bidi/>
        <w:rPr>
          <w:rFonts w:ascii="Narkisim" w:hAnsi="Narkisim" w:cs="Narkisim"/>
        </w:rPr>
      </w:pPr>
      <w:r w:rsidRPr="0041053F">
        <w:rPr>
          <w:rFonts w:ascii="Narkisim" w:hAnsi="Narkisim" w:cs="Narkisim"/>
          <w:u w:val="single"/>
          <w:rtl/>
        </w:rPr>
        <w:t>רש"י ד"ה שחיטה.</w:t>
      </w:r>
      <w:r w:rsidRPr="0041053F">
        <w:rPr>
          <w:rFonts w:ascii="Narkisim" w:hAnsi="Narkisim" w:cs="Narkisim"/>
          <w:rtl/>
        </w:rPr>
        <w:t xml:space="preserve"> ואין כאן זרות. ה</w:t>
      </w:r>
      <w:r w:rsidRPr="0041053F">
        <w:rPr>
          <w:rFonts w:ascii="Narkisim" w:hAnsi="Narkisim" w:cs="Narkisim"/>
          <w:b/>
          <w:bCs/>
          <w:rtl/>
        </w:rPr>
        <w:t>שעה"מ</w:t>
      </w:r>
      <w:r w:rsidRPr="0041053F">
        <w:rPr>
          <w:rFonts w:ascii="Narkisim" w:hAnsi="Narkisim" w:cs="Narkisim"/>
          <w:rtl/>
        </w:rPr>
        <w:t xml:space="preserve"> </w:t>
      </w:r>
      <w:r w:rsidRPr="0041053F">
        <w:rPr>
          <w:rFonts w:ascii="Narkisim" w:hAnsi="Narkisim" w:cs="Narkisim"/>
          <w:sz w:val="20"/>
          <w:szCs w:val="20"/>
          <w:rtl/>
        </w:rPr>
        <w:t>(יו"ט ג ד)</w:t>
      </w:r>
      <w:r w:rsidRPr="0041053F">
        <w:rPr>
          <w:rFonts w:ascii="Narkisim" w:hAnsi="Narkisim" w:cs="Narkisim"/>
          <w:rtl/>
        </w:rPr>
        <w:t xml:space="preserve"> וה</w:t>
      </w:r>
      <w:r w:rsidRPr="0041053F">
        <w:rPr>
          <w:rFonts w:ascii="Narkisim" w:hAnsi="Narkisim" w:cs="Narkisim"/>
          <w:b/>
          <w:bCs/>
          <w:rtl/>
        </w:rPr>
        <w:t>רש"ש</w:t>
      </w:r>
      <w:r w:rsidRPr="0041053F">
        <w:rPr>
          <w:rFonts w:ascii="Narkisim" w:hAnsi="Narkisim" w:cs="Narkisim"/>
          <w:rtl/>
        </w:rPr>
        <w:t xml:space="preserve"> דייקו דיש חיוב שבת, דאע"ג דקרבן ציבור דוחה שבת, היינו רק לכהנים. וה</w:t>
      </w:r>
      <w:r w:rsidRPr="0041053F">
        <w:rPr>
          <w:rFonts w:ascii="Narkisim" w:hAnsi="Narkisim" w:cs="Narkisim"/>
          <w:b/>
          <w:bCs/>
          <w:rtl/>
        </w:rPr>
        <w:t>בית הלוי</w:t>
      </w:r>
      <w:r w:rsidRPr="0041053F">
        <w:rPr>
          <w:rFonts w:ascii="Narkisim" w:hAnsi="Narkisim" w:cs="Narkisim"/>
          <w:rtl/>
        </w:rPr>
        <w:t xml:space="preserve"> </w:t>
      </w:r>
      <w:r w:rsidRPr="0041053F">
        <w:rPr>
          <w:rFonts w:ascii="Narkisim" w:hAnsi="Narkisim" w:cs="Narkisim"/>
          <w:sz w:val="20"/>
          <w:szCs w:val="20"/>
          <w:rtl/>
        </w:rPr>
        <w:t>(ב ט ג)</w:t>
      </w:r>
      <w:r w:rsidRPr="0041053F">
        <w:rPr>
          <w:rFonts w:ascii="Narkisim" w:hAnsi="Narkisim" w:cs="Narkisim"/>
          <w:rtl/>
        </w:rPr>
        <w:t xml:space="preserve"> ביאר דכיון דזר אינו מצווה על העבודה לא ניתן שבת לידחות אצלו. </w:t>
      </w:r>
      <w:r w:rsidRPr="0041053F">
        <w:rPr>
          <w:rFonts w:ascii="Narkisim" w:hAnsi="Narkisim" w:cs="Narkisim"/>
          <w:sz w:val="20"/>
          <w:szCs w:val="20"/>
          <w:rtl/>
        </w:rPr>
        <w:t>אבל מ"מ אם עבר ושחט שחיטתו כשירה.</w:t>
      </w:r>
      <w:r w:rsidRPr="0041053F">
        <w:rPr>
          <w:rFonts w:ascii="Narkisim" w:hAnsi="Narkisim" w:cs="Narkisim"/>
          <w:rtl/>
        </w:rPr>
        <w:t xml:space="preserve"> </w:t>
      </w:r>
      <w:r w:rsidRPr="0041053F">
        <w:rPr>
          <w:rFonts w:ascii="Narkisim" w:hAnsi="Narkisim" w:cs="Narkisim"/>
          <w:sz w:val="20"/>
          <w:szCs w:val="20"/>
          <w:rtl/>
        </w:rPr>
        <w:t>וכתבו ה</w:t>
      </w:r>
      <w:r w:rsidRPr="0041053F">
        <w:rPr>
          <w:rFonts w:ascii="Narkisim" w:hAnsi="Narkisim" w:cs="Narkisim"/>
          <w:b/>
          <w:bCs/>
          <w:sz w:val="20"/>
          <w:szCs w:val="20"/>
          <w:rtl/>
        </w:rPr>
        <w:t>אחרונים</w:t>
      </w:r>
      <w:r w:rsidRPr="0041053F">
        <w:rPr>
          <w:rFonts w:ascii="Narkisim" w:hAnsi="Narkisim" w:cs="Narkisim"/>
          <w:sz w:val="20"/>
          <w:szCs w:val="20"/>
          <w:rtl/>
        </w:rPr>
        <w:t xml:space="preserve"> דבשחיטת פסחים בשבת הותר אף שחיטת זר, דהוה קרבן יחיד והדין שחיטה מרי אבעלים.</w:t>
      </w:r>
      <w:r w:rsidRPr="0041053F">
        <w:rPr>
          <w:rFonts w:ascii="Narkisim" w:hAnsi="Narkisim" w:cs="Narkisim"/>
          <w:rtl/>
        </w:rPr>
        <w:t xml:space="preserve"> אבל ה</w:t>
      </w:r>
      <w:r w:rsidRPr="0041053F">
        <w:rPr>
          <w:rFonts w:ascii="Narkisim" w:hAnsi="Narkisim" w:cs="Narkisim"/>
          <w:b/>
          <w:bCs/>
          <w:rtl/>
        </w:rPr>
        <w:t xml:space="preserve">נמוק"י הגרי"ב </w:t>
      </w:r>
      <w:r w:rsidRPr="0041053F">
        <w:rPr>
          <w:rFonts w:ascii="Narkisim" w:hAnsi="Narkisim" w:cs="Narkisim"/>
          <w:rtl/>
        </w:rPr>
        <w:t>וה</w:t>
      </w:r>
      <w:r w:rsidRPr="0041053F">
        <w:rPr>
          <w:rFonts w:ascii="Narkisim" w:hAnsi="Narkisim" w:cs="Narkisim"/>
          <w:b/>
          <w:bCs/>
          <w:rtl/>
        </w:rPr>
        <w:t>חזו"א</w:t>
      </w:r>
      <w:r w:rsidRPr="0041053F">
        <w:rPr>
          <w:rFonts w:ascii="Narkisim" w:hAnsi="Narkisim" w:cs="Narkisim"/>
          <w:rtl/>
        </w:rPr>
        <w:t xml:space="preserve"> דחו דכוונת רש"י דאין איסור זרות, וכיון דמותר לזר לשחוט אין חיוב שבת.</w:t>
      </w:r>
    </w:p>
    <w:p w14:paraId="15CCA71A" w14:textId="77777777" w:rsidR="006074A5" w:rsidRPr="0041053F" w:rsidRDefault="006074A5" w:rsidP="006074A5">
      <w:pPr>
        <w:pStyle w:val="aa"/>
        <w:bidi/>
        <w:rPr>
          <w:rFonts w:ascii="Narkisim" w:hAnsi="Narkisim"/>
        </w:rPr>
      </w:pPr>
      <w:r w:rsidRPr="0041053F">
        <w:rPr>
          <w:rFonts w:ascii="Narkisim" w:hAnsi="Narkisim"/>
          <w:u w:val="single"/>
          <w:rtl/>
        </w:rPr>
        <w:t>אי בקבלה והולכה טלטול בעלמא היא.</w:t>
      </w:r>
      <w:r w:rsidRPr="0041053F">
        <w:rPr>
          <w:rFonts w:ascii="Narkisim" w:hAnsi="Narkisim"/>
          <w:rtl/>
        </w:rPr>
        <w:t xml:space="preserve"> </w:t>
      </w:r>
      <w:r w:rsidRPr="0041053F">
        <w:rPr>
          <w:rFonts w:ascii="Narkisim" w:hAnsi="Narkisim"/>
          <w:b/>
          <w:bCs/>
          <w:rtl/>
        </w:rPr>
        <w:t>תוס</w:t>
      </w:r>
      <w:r w:rsidRPr="0041053F">
        <w:rPr>
          <w:rFonts w:ascii="Narkisim" w:hAnsi="Narkisim"/>
          <w:rtl/>
        </w:rPr>
        <w:t>' (סוכה מב:) הביאו מכאן דמדרבנן אסור משום טלטול מוקצה</w:t>
      </w:r>
      <w:r w:rsidRPr="0041053F">
        <w:rPr>
          <w:rStyle w:val="ac"/>
          <w:rFonts w:ascii="Narkisim" w:hAnsi="Narkisim"/>
          <w:rtl/>
        </w:rPr>
        <w:footnoteReference w:id="2070"/>
      </w:r>
      <w:r w:rsidRPr="0041053F">
        <w:rPr>
          <w:rFonts w:ascii="Narkisim" w:hAnsi="Narkisim"/>
          <w:rtl/>
        </w:rPr>
        <w:t>. ו</w:t>
      </w:r>
      <w:r w:rsidRPr="0041053F">
        <w:rPr>
          <w:rFonts w:ascii="Narkisim" w:hAnsi="Narkisim"/>
          <w:b/>
          <w:bCs/>
          <w:rtl/>
        </w:rPr>
        <w:t>תוס'</w:t>
      </w:r>
      <w:r w:rsidRPr="0041053F">
        <w:rPr>
          <w:rFonts w:ascii="Narkisim" w:hAnsi="Narkisim"/>
          <w:rtl/>
        </w:rPr>
        <w:t xml:space="preserve"> הביאו דהוה מוקצה אע"ג דחזי למילתיה</w:t>
      </w:r>
      <w:r w:rsidRPr="0041053F">
        <w:rPr>
          <w:rStyle w:val="ac"/>
          <w:rFonts w:ascii="Narkisim" w:hAnsi="Narkisim"/>
          <w:rtl/>
        </w:rPr>
        <w:footnoteReference w:id="2071"/>
      </w:r>
      <w:r w:rsidRPr="0041053F">
        <w:rPr>
          <w:rFonts w:ascii="Narkisim" w:hAnsi="Narkisim"/>
          <w:rtl/>
        </w:rPr>
        <w:t>. ודחו דכיון דזר הוא [וכלפיו אינו ראוי כלל]. וה</w:t>
      </w:r>
      <w:r w:rsidRPr="0041053F">
        <w:rPr>
          <w:rFonts w:ascii="Narkisim" w:hAnsi="Narkisim"/>
          <w:b/>
          <w:bCs/>
          <w:rtl/>
        </w:rPr>
        <w:t>שעה"מ</w:t>
      </w:r>
      <w:r w:rsidRPr="0041053F">
        <w:rPr>
          <w:rFonts w:ascii="Narkisim" w:hAnsi="Narkisim"/>
          <w:rtl/>
        </w:rPr>
        <w:t xml:space="preserve"> (לולב ז כה בסופו) תמה אמאי לא מהני הא דראוי לאחרים. וכדאי' (ע' רש"י סוכה מב.) גבי לולב דמהני דמותר לאשה לטלטל, הואיל וראוי לאנשים</w:t>
      </w:r>
      <w:r w:rsidRPr="0041053F">
        <w:rPr>
          <w:rStyle w:val="ac"/>
          <w:rFonts w:ascii="Narkisim" w:hAnsi="Narkisim"/>
          <w:rtl/>
        </w:rPr>
        <w:footnoteReference w:id="2072"/>
      </w:r>
      <w:r w:rsidRPr="0041053F">
        <w:rPr>
          <w:rFonts w:ascii="Narkisim" w:hAnsi="Narkisim"/>
          <w:rtl/>
        </w:rPr>
        <w:t>.</w:t>
      </w:r>
    </w:p>
    <w:p w14:paraId="67335BD2" w14:textId="77777777" w:rsidR="006074A5" w:rsidRPr="0041053F" w:rsidRDefault="006074A5" w:rsidP="006074A5">
      <w:pPr>
        <w:pStyle w:val="aa"/>
        <w:bidi/>
        <w:rPr>
          <w:rFonts w:ascii="Narkisim" w:hAnsi="Narkisim"/>
        </w:rPr>
      </w:pPr>
      <w:r w:rsidRPr="0041053F">
        <w:rPr>
          <w:rFonts w:ascii="Narkisim" w:hAnsi="Narkisim"/>
          <w:u w:val="single"/>
          <w:rtl/>
        </w:rPr>
        <w:lastRenderedPageBreak/>
        <w:t>אי בהקטרה והא"ר יוסי וכו'.</w:t>
      </w:r>
      <w:r w:rsidRPr="0041053F">
        <w:rPr>
          <w:rFonts w:ascii="Narkisim" w:hAnsi="Narkisim"/>
          <w:rtl/>
        </w:rPr>
        <w:t xml:space="preserve"> ה</w:t>
      </w:r>
      <w:r w:rsidRPr="0041053F">
        <w:rPr>
          <w:rFonts w:ascii="Narkisim" w:hAnsi="Narkisim"/>
          <w:b/>
          <w:bCs/>
          <w:rtl/>
        </w:rPr>
        <w:t>עורל"נ</w:t>
      </w:r>
      <w:r w:rsidRPr="0041053F">
        <w:rPr>
          <w:rFonts w:ascii="Narkisim" w:hAnsi="Narkisim"/>
          <w:rtl/>
        </w:rPr>
        <w:t xml:space="preserve"> הק' דמ"מ יתחייב משום כיבוי ע"פ הגמ' (ביצה כב) עי"ש.</w:t>
      </w:r>
    </w:p>
    <w:p w14:paraId="38567D27"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גהש"ס</w:t>
      </w:r>
      <w:r w:rsidRPr="0041053F">
        <w:rPr>
          <w:rFonts w:ascii="Narkisim" w:hAnsi="Narkisim"/>
          <w:rtl/>
        </w:rPr>
        <w:t xml:space="preserve"> הביא בשם ה</w:t>
      </w:r>
      <w:r w:rsidRPr="0041053F">
        <w:rPr>
          <w:rFonts w:ascii="Narkisim" w:hAnsi="Narkisim"/>
          <w:b/>
          <w:bCs/>
          <w:rtl/>
        </w:rPr>
        <w:t>ירושלמי</w:t>
      </w:r>
      <w:r w:rsidRPr="0041053F">
        <w:rPr>
          <w:rFonts w:ascii="Narkisim" w:hAnsi="Narkisim"/>
          <w:rtl/>
        </w:rPr>
        <w:t xml:space="preserve"> (שבת ב ה) דחייב משום בישול. אבל ה</w:t>
      </w:r>
      <w:r w:rsidRPr="0041053F">
        <w:rPr>
          <w:rFonts w:ascii="Narkisim" w:hAnsi="Narkisim"/>
          <w:b/>
          <w:bCs/>
          <w:rtl/>
        </w:rPr>
        <w:t>רשב"א</w:t>
      </w:r>
      <w:r w:rsidRPr="0041053F">
        <w:rPr>
          <w:rFonts w:ascii="Narkisim" w:hAnsi="Narkisim"/>
          <w:rtl/>
        </w:rPr>
        <w:t xml:space="preserve"> ו</w:t>
      </w:r>
      <w:r w:rsidRPr="0041053F">
        <w:rPr>
          <w:rFonts w:ascii="Narkisim" w:hAnsi="Narkisim"/>
          <w:b/>
          <w:bCs/>
          <w:rtl/>
        </w:rPr>
        <w:t>ריטב"א</w:t>
      </w:r>
      <w:r w:rsidRPr="0041053F">
        <w:rPr>
          <w:rFonts w:ascii="Narkisim" w:hAnsi="Narkisim"/>
          <w:rtl/>
        </w:rPr>
        <w:t xml:space="preserve"> כת' דאימורים להבערה לחוד קיימי ולא לבישול. </w:t>
      </w:r>
      <w:r w:rsidRPr="0041053F">
        <w:rPr>
          <w:rFonts w:ascii="Narkisim" w:hAnsi="Narkisim"/>
          <w:sz w:val="20"/>
          <w:szCs w:val="20"/>
          <w:rtl/>
        </w:rPr>
        <w:t>[והוה מלאכה שאי"צ לגופה].</w:t>
      </w:r>
    </w:p>
    <w:p w14:paraId="690C104A" w14:textId="77777777" w:rsidR="006074A5" w:rsidRPr="0041053F" w:rsidRDefault="006074A5" w:rsidP="006074A5">
      <w:pPr>
        <w:pStyle w:val="a7"/>
        <w:bidi/>
        <w:rPr>
          <w:rFonts w:ascii="Narkisim" w:hAnsi="Narkisim"/>
        </w:rPr>
      </w:pPr>
      <w:r w:rsidRPr="0041053F">
        <w:rPr>
          <w:rFonts w:ascii="Narkisim" w:hAnsi="Narkisim"/>
          <w:rtl/>
        </w:rPr>
        <w:t>וב</w:t>
      </w:r>
      <w:r w:rsidRPr="0041053F">
        <w:rPr>
          <w:rFonts w:ascii="Narkisim" w:hAnsi="Narkisim"/>
          <w:b/>
          <w:bCs/>
          <w:rtl/>
        </w:rPr>
        <w:t>חי' הגר"נ</w:t>
      </w:r>
      <w:r w:rsidRPr="0041053F">
        <w:rPr>
          <w:rFonts w:ascii="Narkisim" w:hAnsi="Narkisim"/>
          <w:rtl/>
        </w:rPr>
        <w:t xml:space="preserve"> הק' לדברי הירושלמי דאין איסור זרות במלאכת הבישול, ומה שייך בזה אאחע"א </w:t>
      </w:r>
      <w:r w:rsidRPr="0041053F">
        <w:rPr>
          <w:rFonts w:ascii="Narkisim" w:hAnsi="Narkisim"/>
          <w:sz w:val="20"/>
          <w:szCs w:val="20"/>
          <w:rtl/>
        </w:rPr>
        <w:t xml:space="preserve">[וכעין מש"כ </w:t>
      </w:r>
      <w:r w:rsidRPr="0041053F">
        <w:rPr>
          <w:rFonts w:ascii="Narkisim" w:hAnsi="Narkisim"/>
          <w:b/>
          <w:bCs/>
          <w:sz w:val="20"/>
          <w:szCs w:val="20"/>
          <w:rtl/>
        </w:rPr>
        <w:t>תוס</w:t>
      </w:r>
      <w:r w:rsidRPr="0041053F">
        <w:rPr>
          <w:rFonts w:ascii="Narkisim" w:hAnsi="Narkisim"/>
          <w:sz w:val="20"/>
          <w:szCs w:val="20"/>
          <w:rtl/>
        </w:rPr>
        <w:t>' (לד. ד"ה והוציאו), וכעי"ז הק' הקה"י לדברי הערול"נ]</w:t>
      </w:r>
      <w:r w:rsidRPr="0041053F">
        <w:rPr>
          <w:rStyle w:val="ac"/>
          <w:rFonts w:ascii="Narkisim" w:hAnsi="Narkisim"/>
          <w:sz w:val="20"/>
          <w:szCs w:val="20"/>
          <w:rtl/>
        </w:rPr>
        <w:footnoteReference w:id="2073"/>
      </w:r>
      <w:r w:rsidRPr="0041053F">
        <w:rPr>
          <w:rFonts w:ascii="Narkisim" w:hAnsi="Narkisim"/>
          <w:sz w:val="20"/>
          <w:szCs w:val="20"/>
          <w:rtl/>
        </w:rPr>
        <w:t>.</w:t>
      </w:r>
    </w:p>
    <w:p w14:paraId="0ED9DFE5" w14:textId="77777777" w:rsidR="006074A5" w:rsidRPr="0041053F" w:rsidRDefault="006074A5" w:rsidP="006074A5">
      <w:pPr>
        <w:bidi/>
        <w:rPr>
          <w:rFonts w:ascii="Narkisim" w:hAnsi="Narkisim" w:cs="Narkisim"/>
        </w:rPr>
      </w:pPr>
      <w:r w:rsidRPr="0041053F">
        <w:rPr>
          <w:rFonts w:ascii="Narkisim" w:hAnsi="Narkisim" w:cs="Narkisim"/>
          <w:u w:val="single"/>
          <w:rtl/>
        </w:rPr>
        <w:t>והא"ר יוסי הבערה ללאו יצאתה.</w:t>
      </w:r>
      <w:r w:rsidRPr="0041053F">
        <w:rPr>
          <w:rFonts w:ascii="Narkisim" w:hAnsi="Narkisim" w:cs="Narkisim"/>
          <w:rtl/>
        </w:rPr>
        <w:t xml:space="preserve"> </w:t>
      </w:r>
      <w:r w:rsidRPr="0041053F">
        <w:rPr>
          <w:rFonts w:ascii="Narkisim" w:hAnsi="Narkisim" w:cs="Narkisim"/>
          <w:sz w:val="20"/>
          <w:szCs w:val="20"/>
          <w:rtl/>
        </w:rPr>
        <w:t>[וקאי ללישנא דבכולל חייב חטאת].</w:t>
      </w:r>
      <w:r w:rsidRPr="0041053F">
        <w:rPr>
          <w:rFonts w:ascii="Narkisim" w:hAnsi="Narkisim" w:cs="Narkisim"/>
          <w:rtl/>
        </w:rPr>
        <w:t xml:space="preserve"> ה</w:t>
      </w:r>
      <w:r w:rsidRPr="0041053F">
        <w:rPr>
          <w:rFonts w:ascii="Narkisim" w:hAnsi="Narkisim" w:cs="Narkisim"/>
          <w:b/>
          <w:bCs/>
          <w:rtl/>
        </w:rPr>
        <w:t>רמב"ן</w:t>
      </w:r>
      <w:r w:rsidRPr="0041053F">
        <w:rPr>
          <w:rFonts w:ascii="Narkisim" w:hAnsi="Narkisim" w:cs="Narkisim"/>
          <w:rtl/>
        </w:rPr>
        <w:t xml:space="preserve"> פי' דמשמע הלשון דיש כאן דין שבת אף לענין קרבן. אבל ל</w:t>
      </w:r>
      <w:r w:rsidRPr="0041053F">
        <w:rPr>
          <w:rFonts w:ascii="Narkisim" w:hAnsi="Narkisim" w:cs="Narkisim"/>
          <w:b/>
          <w:bCs/>
          <w:rtl/>
        </w:rPr>
        <w:t>תוס</w:t>
      </w:r>
      <w:r w:rsidRPr="0041053F">
        <w:rPr>
          <w:rFonts w:ascii="Narkisim" w:hAnsi="Narkisim" w:cs="Narkisim"/>
          <w:rtl/>
        </w:rPr>
        <w:t>' כוונת הגמ' דכיון דהוה לאו בעלמא, הוה איסור קל ולא חל בכולל.</w:t>
      </w:r>
    </w:p>
    <w:p w14:paraId="576F1514" w14:textId="77777777" w:rsidR="006074A5" w:rsidRPr="0041053F" w:rsidRDefault="006074A5" w:rsidP="006074A5">
      <w:pPr>
        <w:bidi/>
        <w:rPr>
          <w:rFonts w:ascii="Narkisim" w:hAnsi="Narkisim" w:cs="Narkisim"/>
        </w:rPr>
      </w:pPr>
      <w:r w:rsidRPr="0041053F">
        <w:rPr>
          <w:rFonts w:ascii="Narkisim" w:hAnsi="Narkisim" w:cs="Narkisim"/>
          <w:u w:val="single"/>
          <w:rtl/>
        </w:rPr>
        <w:t>תוד"ה אמר ר' יוסי.</w:t>
      </w:r>
      <w:r w:rsidRPr="0041053F">
        <w:rPr>
          <w:rFonts w:ascii="Narkisim" w:hAnsi="Narkisim" w:cs="Narkisim"/>
          <w:rtl/>
        </w:rPr>
        <w:t xml:space="preserve"> ולהכי פריך והאמר ר"י הבערה ללאו יצאת והיכי חייל. ולא חל איסור הבערה כיון שהוא קל. וה</w:t>
      </w:r>
      <w:r w:rsidRPr="0041053F">
        <w:rPr>
          <w:rFonts w:ascii="Narkisim" w:hAnsi="Narkisim" w:cs="Narkisim"/>
          <w:b/>
          <w:bCs/>
          <w:rtl/>
        </w:rPr>
        <w:t xml:space="preserve">רמב"ן </w:t>
      </w:r>
      <w:r w:rsidRPr="0041053F">
        <w:rPr>
          <w:rFonts w:ascii="Narkisim" w:hAnsi="Narkisim" w:cs="Narkisim"/>
          <w:rtl/>
        </w:rPr>
        <w:t>חלק דשאר מלאכות שבת הוה איסור חמור. וכיון דחל שם שבת, הכל שם א', וחל אפי' ללאו שבו</w:t>
      </w:r>
      <w:r w:rsidRPr="0041053F">
        <w:rPr>
          <w:rStyle w:val="ac"/>
          <w:rFonts w:ascii="Narkisim" w:hAnsi="Narkisim" w:cs="Narkisim"/>
          <w:rtl/>
        </w:rPr>
        <w:footnoteReference w:id="2074"/>
      </w:r>
      <w:r w:rsidRPr="0041053F">
        <w:rPr>
          <w:rFonts w:ascii="Narkisim" w:hAnsi="Narkisim" w:cs="Narkisim"/>
          <w:rtl/>
        </w:rPr>
        <w:t>.</w:t>
      </w:r>
    </w:p>
    <w:p w14:paraId="5B8885A4" w14:textId="77777777" w:rsidR="006074A5" w:rsidRPr="0041053F" w:rsidRDefault="006074A5" w:rsidP="006074A5">
      <w:pPr>
        <w:bidi/>
        <w:rPr>
          <w:rFonts w:ascii="Narkisim" w:hAnsi="Narkisim" w:cs="Narkisim"/>
        </w:rPr>
      </w:pPr>
      <w:r w:rsidRPr="0041053F">
        <w:rPr>
          <w:rFonts w:ascii="Narkisim" w:hAnsi="Narkisim" w:cs="Narkisim"/>
          <w:u w:val="single"/>
          <w:rtl/>
        </w:rPr>
        <w:t>בשחיטת פרו של אהרן וכו' שזר אצלו קאמר.</w:t>
      </w:r>
      <w:r w:rsidRPr="0041053F">
        <w:rPr>
          <w:rFonts w:ascii="Narkisim" w:hAnsi="Narkisim" w:cs="Narkisim"/>
          <w:rtl/>
        </w:rPr>
        <w:t xml:space="preserve"> מבואר בסוגיין דכיון דדינו בכה"ג, אף כהן עובר משום 'וכל זר'. </w:t>
      </w:r>
      <w:r w:rsidRPr="0041053F">
        <w:rPr>
          <w:rFonts w:ascii="Narkisim" w:hAnsi="Narkisim" w:cs="Narkisim"/>
          <w:sz w:val="20"/>
          <w:szCs w:val="20"/>
          <w:rtl/>
        </w:rPr>
        <w:t>וה</w:t>
      </w:r>
      <w:r w:rsidRPr="0041053F">
        <w:rPr>
          <w:rFonts w:ascii="Narkisim" w:hAnsi="Narkisim" w:cs="Narkisim"/>
          <w:b/>
          <w:bCs/>
          <w:sz w:val="20"/>
          <w:szCs w:val="20"/>
          <w:rtl/>
        </w:rPr>
        <w:t>חזו"א</w:t>
      </w:r>
      <w:r w:rsidRPr="0041053F">
        <w:rPr>
          <w:rFonts w:ascii="Narkisim" w:hAnsi="Narkisim" w:cs="Narkisim"/>
          <w:sz w:val="20"/>
          <w:szCs w:val="20"/>
          <w:rtl/>
        </w:rPr>
        <w:t xml:space="preserve"> הק' מנלן הא דחל לאו דזרות על כהן הדיוט.</w:t>
      </w:r>
    </w:p>
    <w:p w14:paraId="1F7BDB91" w14:textId="77777777" w:rsidR="006074A5" w:rsidRPr="0041053F" w:rsidRDefault="006074A5" w:rsidP="006074A5">
      <w:pPr>
        <w:pStyle w:val="a7"/>
        <w:bidi/>
        <w:rPr>
          <w:rFonts w:ascii="Narkisim" w:hAnsi="Narkisim"/>
        </w:rPr>
      </w:pPr>
      <w:r w:rsidRPr="0041053F">
        <w:rPr>
          <w:rFonts w:ascii="Narkisim" w:hAnsi="Narkisim"/>
          <w:rtl/>
        </w:rPr>
        <w:t xml:space="preserve">אך </w:t>
      </w:r>
      <w:r w:rsidRPr="0041053F">
        <w:rPr>
          <w:rFonts w:ascii="Narkisim" w:hAnsi="Narkisim"/>
          <w:b/>
          <w:bCs/>
          <w:rtl/>
        </w:rPr>
        <w:t>תוס</w:t>
      </w:r>
      <w:r w:rsidRPr="0041053F">
        <w:rPr>
          <w:rFonts w:ascii="Narkisim" w:hAnsi="Narkisim"/>
          <w:rtl/>
        </w:rPr>
        <w:t>' (יומא מב. סוד"ה שחיטה) כת' דאף בשחיטת פרו של אהרן אמרי' דשחיטה לאו עבודה, והא דבעי כה"ג הוא משום דין בעלים. וה</w:t>
      </w:r>
      <w:r w:rsidRPr="0041053F">
        <w:rPr>
          <w:rFonts w:ascii="Narkisim" w:hAnsi="Narkisim"/>
          <w:b/>
          <w:bCs/>
          <w:rtl/>
        </w:rPr>
        <w:t>אחרונים</w:t>
      </w:r>
      <w:r w:rsidRPr="0041053F">
        <w:rPr>
          <w:rFonts w:ascii="Narkisim" w:hAnsi="Narkisim"/>
          <w:rtl/>
        </w:rPr>
        <w:t xml:space="preserve"> הק' א"כ אמאי יתחייב משום זרות בסוגיין.</w:t>
      </w:r>
    </w:p>
    <w:p w14:paraId="6DA30E3C"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מאיר</w:t>
      </w:r>
      <w:r w:rsidRPr="0041053F">
        <w:rPr>
          <w:rFonts w:ascii="Narkisim" w:hAnsi="Narkisim"/>
          <w:rtl/>
        </w:rPr>
        <w:t>י כת' אע"ג דכל עבודת יוה"כ בכה"ג</w:t>
      </w:r>
      <w:r w:rsidRPr="0041053F">
        <w:rPr>
          <w:rStyle w:val="ac"/>
          <w:rFonts w:ascii="Narkisim" w:hAnsi="Narkisim"/>
          <w:rtl/>
        </w:rPr>
        <w:footnoteReference w:id="2075"/>
      </w:r>
      <w:r w:rsidRPr="0041053F">
        <w:rPr>
          <w:rFonts w:ascii="Narkisim" w:hAnsi="Narkisim"/>
          <w:rtl/>
        </w:rPr>
        <w:t>, מ"מ בשאר קרבנות שחיטה לאו עבודה. אבל בפרו בעינן 'ושחט אהרן'.</w:t>
      </w:r>
    </w:p>
    <w:p w14:paraId="2365F55B" w14:textId="77777777" w:rsidR="006074A5" w:rsidRPr="0041053F" w:rsidRDefault="006074A5" w:rsidP="006074A5">
      <w:pPr>
        <w:bidi/>
        <w:rPr>
          <w:rFonts w:ascii="Narkisim" w:hAnsi="Narkisim" w:cs="Narkisim"/>
        </w:rPr>
      </w:pPr>
      <w:r w:rsidRPr="0041053F">
        <w:rPr>
          <w:rFonts w:ascii="Narkisim" w:hAnsi="Narkisim" w:cs="Narkisim"/>
          <w:u w:val="single"/>
          <w:rtl/>
        </w:rPr>
        <w:t>מידי חטאות קתני או לאוי קתני.</w:t>
      </w:r>
      <w:r w:rsidRPr="0041053F">
        <w:rPr>
          <w:rFonts w:ascii="Narkisim" w:hAnsi="Narkisim" w:cs="Narkisim"/>
          <w:rtl/>
        </w:rPr>
        <w:t xml:space="preserve"> כ"ג </w:t>
      </w:r>
      <w:r w:rsidRPr="0041053F">
        <w:rPr>
          <w:rFonts w:ascii="Narkisim" w:hAnsi="Narkisim" w:cs="Narkisim"/>
          <w:b/>
          <w:bCs/>
          <w:rtl/>
        </w:rPr>
        <w:t>רש"י</w:t>
      </w:r>
      <w:r w:rsidRPr="0041053F">
        <w:rPr>
          <w:rFonts w:ascii="Narkisim" w:hAnsi="Narkisim" w:cs="Narkisim"/>
          <w:rtl/>
        </w:rPr>
        <w:t xml:space="preserve"> ו</w:t>
      </w:r>
      <w:r w:rsidRPr="0041053F">
        <w:rPr>
          <w:rFonts w:ascii="Narkisim" w:hAnsi="Narkisim" w:cs="Narkisim"/>
          <w:b/>
          <w:bCs/>
          <w:rtl/>
        </w:rPr>
        <w:t>ר"ח</w:t>
      </w:r>
      <w:r w:rsidRPr="0041053F">
        <w:rPr>
          <w:rFonts w:ascii="Narkisim" w:hAnsi="Narkisim" w:cs="Narkisim"/>
          <w:rtl/>
        </w:rPr>
        <w:t xml:space="preserve"> </w:t>
      </w:r>
      <w:r w:rsidRPr="0041053F">
        <w:rPr>
          <w:rFonts w:ascii="Narkisim" w:hAnsi="Narkisim" w:cs="Narkisim"/>
          <w:sz w:val="20"/>
          <w:szCs w:val="20"/>
          <w:rtl/>
        </w:rPr>
        <w:t>(הו' בתוס').</w:t>
      </w:r>
      <w:r w:rsidRPr="0041053F">
        <w:rPr>
          <w:rFonts w:ascii="Narkisim" w:hAnsi="Narkisim" w:cs="Narkisim"/>
          <w:rtl/>
        </w:rPr>
        <w:t xml:space="preserve"> ולתוס' תי' הגמ' אין כאן לאו, דהוה קל על חמור </w:t>
      </w:r>
      <w:r w:rsidRPr="0041053F">
        <w:rPr>
          <w:rFonts w:ascii="Narkisim" w:hAnsi="Narkisim" w:cs="Narkisim"/>
          <w:sz w:val="20"/>
          <w:szCs w:val="20"/>
          <w:rtl/>
        </w:rPr>
        <w:t>[ואף למ"ד דאיסור כולל].</w:t>
      </w:r>
      <w:r w:rsidRPr="0041053F">
        <w:rPr>
          <w:rFonts w:ascii="Narkisim" w:hAnsi="Narkisim" w:cs="Narkisim"/>
          <w:rtl/>
        </w:rPr>
        <w:t xml:space="preserve"> ול</w:t>
      </w:r>
      <w:r w:rsidRPr="0041053F">
        <w:rPr>
          <w:rFonts w:ascii="Narkisim" w:hAnsi="Narkisim" w:cs="Narkisim"/>
          <w:b/>
          <w:bCs/>
          <w:rtl/>
        </w:rPr>
        <w:t xml:space="preserve">רמב"ן </w:t>
      </w:r>
      <w:r w:rsidRPr="0041053F">
        <w:rPr>
          <w:rFonts w:ascii="Narkisim" w:hAnsi="Narkisim" w:cs="Narkisim"/>
          <w:rtl/>
        </w:rPr>
        <w:t>תי' הגמ' דאין משמעות בברייתא דחל ב' לענין עונשין. ואה"נ מני בברייתא איסורין</w:t>
      </w:r>
      <w:r w:rsidRPr="0041053F">
        <w:rPr>
          <w:rFonts w:ascii="Narkisim" w:hAnsi="Narkisim" w:cs="Narkisim"/>
          <w:sz w:val="20"/>
          <w:szCs w:val="20"/>
          <w:rtl/>
        </w:rPr>
        <w:t>. ללישנא דס"ל לר' יוסי איסור כולל המ"ל לאוין. ורב אשי תי' אליבא דלישנא דר' יוסי ס"ל לקוברו, ול"ל איסור כולל</w:t>
      </w:r>
      <w:r w:rsidRPr="0041053F">
        <w:rPr>
          <w:rFonts w:ascii="Narkisim" w:hAnsi="Narkisim" w:cs="Narkisim"/>
          <w:rtl/>
        </w:rPr>
        <w:t>.</w:t>
      </w:r>
    </w:p>
    <w:p w14:paraId="19826AB8"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הביא גירסא מידי חטאות קתני, לאוי קתני ואיסורי חשיב. </w:t>
      </w:r>
      <w:r w:rsidRPr="0041053F">
        <w:rPr>
          <w:rFonts w:ascii="Narkisim" w:hAnsi="Narkisim"/>
          <w:sz w:val="20"/>
          <w:szCs w:val="20"/>
          <w:rtl/>
        </w:rPr>
        <w:t>[ולדברי הרמב"ן מתיישב].</w:t>
      </w:r>
      <w:r w:rsidRPr="0041053F">
        <w:rPr>
          <w:rFonts w:ascii="Narkisim" w:hAnsi="Narkisim"/>
          <w:rtl/>
        </w:rPr>
        <w:t xml:space="preserve"> והריטב"א פי' אף לדברי התוס' דאע"ג דבעלמא אין איסור קל חל, הכא שאני דיש שם שבת ונחשב איסור חמור </w:t>
      </w:r>
      <w:r w:rsidRPr="0041053F">
        <w:rPr>
          <w:rFonts w:ascii="Narkisim" w:hAnsi="Narkisim"/>
          <w:sz w:val="20"/>
          <w:szCs w:val="20"/>
          <w:rtl/>
        </w:rPr>
        <w:t>[וכסברת הרמב"ן].</w:t>
      </w:r>
    </w:p>
    <w:p w14:paraId="3B44D356" w14:textId="77777777" w:rsidR="006074A5" w:rsidRPr="0041053F" w:rsidRDefault="006074A5" w:rsidP="006074A5">
      <w:pPr>
        <w:pStyle w:val="a8"/>
        <w:bidi/>
        <w:rPr>
          <w:rFonts w:ascii="Narkisim" w:hAnsi="Narkisim"/>
        </w:rPr>
      </w:pPr>
      <w:r w:rsidRPr="0041053F">
        <w:rPr>
          <w:rFonts w:ascii="Narkisim" w:hAnsi="Narkisim"/>
          <w:rtl/>
        </w:rPr>
        <w:t>ה</w:t>
      </w:r>
      <w:r w:rsidRPr="0041053F">
        <w:rPr>
          <w:rFonts w:ascii="Narkisim" w:hAnsi="Narkisim"/>
          <w:b/>
          <w:bCs/>
          <w:rtl/>
        </w:rPr>
        <w:t>תו"י</w:t>
      </w:r>
      <w:r w:rsidRPr="0041053F">
        <w:rPr>
          <w:rFonts w:ascii="Narkisim" w:hAnsi="Narkisim"/>
          <w:rtl/>
        </w:rPr>
        <w:t xml:space="preserve"> הביא בשם </w:t>
      </w:r>
      <w:r w:rsidRPr="0041053F">
        <w:rPr>
          <w:rFonts w:ascii="Narkisim" w:hAnsi="Narkisim"/>
          <w:b/>
          <w:bCs/>
          <w:rtl/>
        </w:rPr>
        <w:t>רש"י</w:t>
      </w:r>
      <w:r w:rsidRPr="0041053F">
        <w:rPr>
          <w:rFonts w:ascii="Narkisim" w:hAnsi="Narkisim"/>
          <w:rtl/>
        </w:rPr>
        <w:t xml:space="preserve"> (ליתא לפנינו) דלמסקנא קאי בקבלה והולכה. [ואיסורי קתני דהוה איסור דרבנן]. והתו"י חלק דאיירי בהבערה.</w:t>
      </w:r>
    </w:p>
    <w:p w14:paraId="5A6C5073" w14:textId="77777777" w:rsidR="006074A5" w:rsidRPr="0041053F" w:rsidRDefault="006074A5" w:rsidP="006074A5">
      <w:pPr>
        <w:pStyle w:val="2"/>
        <w:bidi/>
        <w:rPr>
          <w:rFonts w:ascii="Narkisim" w:hAnsi="Narkisim"/>
        </w:rPr>
      </w:pPr>
      <w:r w:rsidRPr="0041053F">
        <w:rPr>
          <w:rFonts w:ascii="Narkisim" w:hAnsi="Narkisim"/>
          <w:rtl/>
        </w:rPr>
        <w:t>חילוף</w:t>
      </w:r>
    </w:p>
    <w:p w14:paraId="08572D30" w14:textId="77777777" w:rsidR="006074A5" w:rsidRPr="0041053F" w:rsidRDefault="006074A5" w:rsidP="006074A5">
      <w:pPr>
        <w:bidi/>
        <w:rPr>
          <w:rFonts w:ascii="Narkisim" w:hAnsi="Narkisim" w:cs="Narkisim"/>
        </w:rPr>
      </w:pPr>
      <w:r w:rsidRPr="0041053F">
        <w:rPr>
          <w:rFonts w:ascii="Narkisim" w:hAnsi="Narkisim" w:cs="Narkisim"/>
          <w:u w:val="single"/>
          <w:rtl/>
        </w:rPr>
        <w:t>הרי אלו חייבין וכו'.</w:t>
      </w:r>
      <w:r w:rsidRPr="0041053F">
        <w:rPr>
          <w:rFonts w:ascii="Narkisim" w:hAnsi="Narkisim" w:cs="Narkisim"/>
          <w:rtl/>
        </w:rPr>
        <w:t xml:space="preserve"> ה</w:t>
      </w:r>
      <w:r w:rsidRPr="0041053F">
        <w:rPr>
          <w:rFonts w:ascii="Narkisim" w:hAnsi="Narkisim" w:cs="Narkisim"/>
          <w:b/>
          <w:bCs/>
          <w:rtl/>
        </w:rPr>
        <w:t>תוס' הרא"ש</w:t>
      </w:r>
      <w:r w:rsidRPr="0041053F">
        <w:rPr>
          <w:rFonts w:ascii="Narkisim" w:hAnsi="Narkisim" w:cs="Narkisim"/>
          <w:rtl/>
        </w:rPr>
        <w:t xml:space="preserve"> הקשה דמשכחת לה חטאת נוספות, ואי לפושי חטאות הו"ל לכתוב כגון שהיתה בת אשתו וכו'. ותי' דלא נחית אלא להשמיע איסור כולל ומוסיף ובת אחת.</w:t>
      </w:r>
    </w:p>
    <w:p w14:paraId="136D4303" w14:textId="77777777" w:rsidR="006074A5" w:rsidRPr="0041053F" w:rsidRDefault="006074A5" w:rsidP="006074A5">
      <w:pPr>
        <w:pStyle w:val="a8"/>
        <w:bidi/>
        <w:rPr>
          <w:rFonts w:ascii="Narkisim" w:hAnsi="Narkisim"/>
        </w:rPr>
      </w:pPr>
      <w:r w:rsidRPr="0041053F">
        <w:rPr>
          <w:rFonts w:ascii="Narkisim" w:hAnsi="Narkisim"/>
          <w:rtl/>
        </w:rPr>
        <w:t xml:space="preserve">והקשה בשם </w:t>
      </w:r>
      <w:r w:rsidRPr="0041053F">
        <w:rPr>
          <w:rFonts w:ascii="Narkisim" w:hAnsi="Narkisim"/>
          <w:b/>
          <w:bCs/>
          <w:rtl/>
        </w:rPr>
        <w:t>רבינו</w:t>
      </w:r>
      <w:r w:rsidRPr="0041053F">
        <w:rPr>
          <w:rFonts w:ascii="Narkisim" w:hAnsi="Narkisim"/>
          <w:rtl/>
        </w:rPr>
        <w:t xml:space="preserve"> </w:t>
      </w:r>
      <w:r w:rsidRPr="0041053F">
        <w:rPr>
          <w:rFonts w:ascii="Narkisim" w:hAnsi="Narkisim"/>
          <w:b/>
          <w:bCs/>
          <w:rtl/>
        </w:rPr>
        <w:t>מאיר</w:t>
      </w:r>
      <w:r w:rsidRPr="0041053F">
        <w:rPr>
          <w:rFonts w:ascii="Narkisim" w:hAnsi="Narkisim"/>
          <w:rtl/>
        </w:rPr>
        <w:t xml:space="preserve"> א"כ אמאי כתב נדה. ותי' שחידש דאפי' נדה דיש לה היתר תדיר חל במוסיף.</w:t>
      </w:r>
    </w:p>
    <w:p w14:paraId="61B082E2" w14:textId="77777777" w:rsidR="006074A5" w:rsidRPr="0041053F" w:rsidRDefault="006074A5" w:rsidP="006074A5">
      <w:pPr>
        <w:bidi/>
        <w:rPr>
          <w:rFonts w:ascii="Narkisim" w:hAnsi="Narkisim" w:cs="Narkisim"/>
        </w:rPr>
      </w:pPr>
      <w:r w:rsidRPr="0041053F">
        <w:rPr>
          <w:rFonts w:ascii="Narkisim" w:hAnsi="Narkisim" w:cs="Narkisim"/>
          <w:u w:val="single"/>
          <w:rtl/>
        </w:rPr>
        <w:t>אי במזיד מי איכא קרבן וכו'.</w:t>
      </w:r>
      <w:r w:rsidRPr="0041053F">
        <w:rPr>
          <w:rFonts w:ascii="Narkisim" w:hAnsi="Narkisim" w:cs="Narkisim"/>
          <w:rtl/>
        </w:rPr>
        <w:t xml:space="preserve"> </w:t>
      </w:r>
      <w:r w:rsidRPr="0041053F">
        <w:rPr>
          <w:rFonts w:ascii="Narkisim" w:hAnsi="Narkisim" w:cs="Narkisim"/>
          <w:b/>
          <w:bCs/>
          <w:rtl/>
        </w:rPr>
        <w:t>רע"א</w:t>
      </w:r>
      <w:r w:rsidRPr="0041053F">
        <w:rPr>
          <w:rFonts w:ascii="Narkisim" w:hAnsi="Narkisim" w:cs="Narkisim"/>
          <w:rtl/>
        </w:rPr>
        <w:t xml:space="preserve"> הק' דמשכחת בהזיד בלאו ושגג בכרת דמתחייב חטאת </w:t>
      </w:r>
      <w:r w:rsidRPr="0041053F">
        <w:rPr>
          <w:rFonts w:ascii="Narkisim" w:hAnsi="Narkisim" w:cs="Narkisim"/>
          <w:sz w:val="20"/>
          <w:szCs w:val="20"/>
          <w:rtl/>
        </w:rPr>
        <w:t>[לר' יוחנן שבת סט</w:t>
      </w:r>
      <w:r w:rsidRPr="0041053F">
        <w:rPr>
          <w:rStyle w:val="ac"/>
          <w:rFonts w:ascii="Narkisim" w:hAnsi="Narkisim" w:cs="Narkisim"/>
          <w:sz w:val="20"/>
          <w:szCs w:val="20"/>
          <w:rtl/>
        </w:rPr>
        <w:footnoteReference w:id="2076"/>
      </w:r>
      <w:r w:rsidRPr="0041053F">
        <w:rPr>
          <w:rFonts w:ascii="Narkisim" w:hAnsi="Narkisim" w:cs="Narkisim"/>
          <w:sz w:val="20"/>
          <w:szCs w:val="20"/>
          <w:rtl/>
        </w:rPr>
        <w:t>]</w:t>
      </w:r>
      <w:r w:rsidRPr="0041053F">
        <w:rPr>
          <w:rFonts w:ascii="Narkisim" w:hAnsi="Narkisim" w:cs="Narkisim"/>
          <w:rtl/>
        </w:rPr>
        <w:t>. וה</w:t>
      </w:r>
      <w:r w:rsidRPr="0041053F">
        <w:rPr>
          <w:rFonts w:ascii="Narkisim" w:hAnsi="Narkisim" w:cs="Narkisim"/>
          <w:b/>
          <w:bCs/>
          <w:rtl/>
        </w:rPr>
        <w:t>אחיעזר</w:t>
      </w:r>
      <w:r w:rsidRPr="0041053F">
        <w:rPr>
          <w:rFonts w:ascii="Narkisim" w:hAnsi="Narkisim" w:cs="Narkisim"/>
          <w:sz w:val="20"/>
          <w:szCs w:val="20"/>
          <w:rtl/>
        </w:rPr>
        <w:t xml:space="preserve"> (ג ב) </w:t>
      </w:r>
      <w:r w:rsidRPr="0041053F">
        <w:rPr>
          <w:rFonts w:ascii="Narkisim" w:hAnsi="Narkisim" w:cs="Narkisim"/>
          <w:rtl/>
        </w:rPr>
        <w:t>הביא בשם ה</w:t>
      </w:r>
      <w:r w:rsidRPr="0041053F">
        <w:rPr>
          <w:rFonts w:ascii="Narkisim" w:hAnsi="Narkisim" w:cs="Narkisim"/>
          <w:b/>
          <w:bCs/>
          <w:rtl/>
        </w:rPr>
        <w:t>גר"ח</w:t>
      </w:r>
      <w:r w:rsidRPr="0041053F">
        <w:rPr>
          <w:rFonts w:ascii="Narkisim" w:hAnsi="Narkisim" w:cs="Narkisim"/>
          <w:rtl/>
        </w:rPr>
        <w:t xml:space="preserve"> ליישב דהיכא דשגג רק בכרת אין חילוק חטאת להתחייב על כל ערוה בפנ"ע. דהא כתיב כרת א' על כל העריות, אלא שכיון שחלוקים ללאו חלוקים לחטאות. והיכא דהזיד בלאו, כלפי הכרת אין חילוק</w:t>
      </w:r>
      <w:r w:rsidRPr="0041053F">
        <w:rPr>
          <w:rStyle w:val="ac"/>
          <w:rFonts w:ascii="Narkisim" w:hAnsi="Narkisim" w:cs="Narkisim"/>
          <w:rtl/>
        </w:rPr>
        <w:footnoteReference w:id="2077"/>
      </w:r>
      <w:r w:rsidRPr="0041053F">
        <w:rPr>
          <w:rFonts w:ascii="Narkisim" w:hAnsi="Narkisim" w:cs="Narkisim"/>
          <w:rtl/>
        </w:rPr>
        <w:t>.</w:t>
      </w:r>
    </w:p>
    <w:p w14:paraId="4B9A0C2A" w14:textId="77777777" w:rsidR="006074A5" w:rsidRPr="0041053F" w:rsidRDefault="006074A5" w:rsidP="006074A5">
      <w:pPr>
        <w:bidi/>
        <w:rPr>
          <w:rFonts w:ascii="Narkisim" w:hAnsi="Narkisim" w:cs="Narkisim"/>
        </w:rPr>
      </w:pPr>
      <w:r w:rsidRPr="0041053F">
        <w:rPr>
          <w:rFonts w:ascii="Narkisim" w:hAnsi="Narkisim" w:cs="Narkisim"/>
          <w:u w:val="single"/>
          <w:rtl/>
        </w:rPr>
        <w:t>ואי במזיד מי שרי.</w:t>
      </w:r>
      <w:r w:rsidRPr="0041053F">
        <w:rPr>
          <w:rFonts w:ascii="Narkisim" w:hAnsi="Narkisim" w:cs="Narkisim"/>
          <w:rtl/>
        </w:rPr>
        <w:t xml:space="preserve"> ה</w:t>
      </w:r>
      <w:r w:rsidRPr="0041053F">
        <w:rPr>
          <w:rFonts w:ascii="Narkisim" w:hAnsi="Narkisim" w:cs="Narkisim"/>
          <w:b/>
          <w:bCs/>
          <w:rtl/>
        </w:rPr>
        <w:t xml:space="preserve">רמב"ן </w:t>
      </w:r>
      <w:r w:rsidRPr="0041053F">
        <w:rPr>
          <w:rFonts w:ascii="Narkisim" w:hAnsi="Narkisim" w:cs="Narkisim"/>
          <w:rtl/>
        </w:rPr>
        <w:t xml:space="preserve">הקשה דילמא הן היו שוגגות, והזכרים היו מזידים. וי"ל </w:t>
      </w:r>
      <w:r w:rsidRPr="0041053F">
        <w:rPr>
          <w:rFonts w:ascii="Narkisim" w:hAnsi="Narkisim" w:cs="Narkisim"/>
          <w:rtl/>
        </w:rPr>
        <w:lastRenderedPageBreak/>
        <w:t xml:space="preserve">דמסתמא כולה בחדא גוונא. </w:t>
      </w:r>
      <w:r w:rsidRPr="0041053F">
        <w:rPr>
          <w:rFonts w:ascii="Narkisim" w:hAnsi="Narkisim" w:cs="Narkisim"/>
          <w:sz w:val="20"/>
          <w:szCs w:val="20"/>
          <w:rtl/>
        </w:rPr>
        <w:t>ומבואר בסוגיין דאשת איש שזינתה בשוגג מותרת לבעלה. וה</w:t>
      </w:r>
      <w:r w:rsidRPr="0041053F">
        <w:rPr>
          <w:rFonts w:ascii="Narkisim" w:hAnsi="Narkisim" w:cs="Narkisim"/>
          <w:b/>
          <w:bCs/>
          <w:sz w:val="20"/>
          <w:szCs w:val="20"/>
          <w:rtl/>
        </w:rPr>
        <w:t>מהרי"ק</w:t>
      </w:r>
      <w:r w:rsidRPr="0041053F">
        <w:rPr>
          <w:rFonts w:ascii="Narkisim" w:hAnsi="Narkisim" w:cs="Narkisim"/>
          <w:sz w:val="20"/>
          <w:szCs w:val="20"/>
          <w:rtl/>
        </w:rPr>
        <w:t xml:space="preserve"> (קסז והו' ברמ"א קעח ג) כתב דהיינו דוקא שסבורה שהיא בעלה, אבל בשוגגת שסברא שאין איסור בזנות נאסרת על בעלה</w:t>
      </w:r>
      <w:r w:rsidRPr="0041053F">
        <w:rPr>
          <w:rStyle w:val="ac"/>
          <w:rFonts w:ascii="Narkisim" w:hAnsi="Narkisim" w:cs="Narkisim"/>
          <w:sz w:val="20"/>
          <w:szCs w:val="20"/>
          <w:rtl/>
        </w:rPr>
        <w:footnoteReference w:id="2078"/>
      </w:r>
      <w:r w:rsidRPr="0041053F">
        <w:rPr>
          <w:rFonts w:ascii="Narkisim" w:hAnsi="Narkisim" w:cs="Narkisim"/>
          <w:sz w:val="20"/>
          <w:szCs w:val="20"/>
          <w:rtl/>
        </w:rPr>
        <w:t>, דנחשב שיש כאן בגידה בבעלה.</w:t>
      </w:r>
    </w:p>
    <w:p w14:paraId="6FD18EF5" w14:textId="77777777" w:rsidR="006074A5" w:rsidRPr="0041053F" w:rsidRDefault="006074A5" w:rsidP="006074A5">
      <w:pPr>
        <w:pStyle w:val="aa"/>
        <w:bidi/>
        <w:rPr>
          <w:rFonts w:ascii="Narkisim" w:hAnsi="Narkisim"/>
        </w:rPr>
      </w:pPr>
      <w:r w:rsidRPr="0041053F">
        <w:rPr>
          <w:rFonts w:ascii="Narkisim" w:hAnsi="Narkisim"/>
          <w:u w:val="single"/>
          <w:rtl/>
        </w:rPr>
        <w:t>פיתוי קטנה אונס נינהו.</w:t>
      </w:r>
      <w:r w:rsidRPr="0041053F">
        <w:rPr>
          <w:rFonts w:ascii="Narkisim" w:hAnsi="Narkisim"/>
          <w:rtl/>
        </w:rPr>
        <w:t xml:space="preserve"> </w:t>
      </w:r>
      <w:r w:rsidRPr="0041053F">
        <w:rPr>
          <w:rFonts w:ascii="Narkisim" w:hAnsi="Narkisim"/>
          <w:b/>
          <w:bCs/>
          <w:rtl/>
        </w:rPr>
        <w:t>רע"א</w:t>
      </w:r>
      <w:r w:rsidRPr="0041053F">
        <w:rPr>
          <w:rFonts w:ascii="Narkisim" w:hAnsi="Narkisim"/>
          <w:rtl/>
        </w:rPr>
        <w:t xml:space="preserve"> (כתובות מב) הק' א"כ אף לענין קנס דמפתה, המפתה קטנה יתחייב כדין אונס</w:t>
      </w:r>
      <w:r w:rsidRPr="0041053F">
        <w:rPr>
          <w:rStyle w:val="ac"/>
          <w:rFonts w:ascii="Narkisim" w:hAnsi="Narkisim"/>
          <w:rtl/>
        </w:rPr>
        <w:footnoteReference w:id="2079"/>
      </w:r>
      <w:r w:rsidRPr="0041053F">
        <w:rPr>
          <w:rFonts w:ascii="Narkisim" w:hAnsi="Narkisim"/>
          <w:rtl/>
        </w:rPr>
        <w:t>. וה</w:t>
      </w:r>
      <w:r w:rsidRPr="0041053F">
        <w:rPr>
          <w:rFonts w:ascii="Narkisim" w:hAnsi="Narkisim"/>
          <w:b/>
          <w:bCs/>
          <w:rtl/>
        </w:rPr>
        <w:t>רש"ש</w:t>
      </w:r>
      <w:r w:rsidRPr="0041053F">
        <w:rPr>
          <w:rFonts w:ascii="Narkisim" w:hAnsi="Narkisim"/>
          <w:rtl/>
        </w:rPr>
        <w:t xml:space="preserve"> וה</w:t>
      </w:r>
      <w:r w:rsidRPr="0041053F">
        <w:rPr>
          <w:rFonts w:ascii="Narkisim" w:hAnsi="Narkisim"/>
          <w:b/>
          <w:bCs/>
          <w:rtl/>
        </w:rPr>
        <w:t>חזו"א</w:t>
      </w:r>
      <w:r w:rsidRPr="0041053F">
        <w:rPr>
          <w:rFonts w:ascii="Narkisim" w:hAnsi="Narkisim"/>
          <w:rtl/>
        </w:rPr>
        <w:t xml:space="preserve"> (כתובות מב.) כת' דהמפתה קטנה לא קרינן ביה 'תחת אשר עינה', ואינו בכלל פרשת קנס דאונס. והרש"ש ציין עוד לגמ' (סנהדרין נה:) דנחשב 'מזיד'. וה</w:t>
      </w:r>
      <w:r w:rsidRPr="0041053F">
        <w:rPr>
          <w:rFonts w:ascii="Narkisim" w:hAnsi="Narkisim"/>
          <w:b/>
          <w:bCs/>
          <w:rtl/>
        </w:rPr>
        <w:t>קוב"ש</w:t>
      </w:r>
      <w:r w:rsidRPr="0041053F">
        <w:rPr>
          <w:rFonts w:ascii="Narkisim" w:hAnsi="Narkisim"/>
          <w:rtl/>
        </w:rPr>
        <w:t xml:space="preserve"> (כתובות קמט) תי' דאף דפיתוי קטנה לא נחשב 'רצון', מ"מ ג"כ לא נחשב אונס. [ע"ע ב"ח ודרישה קעח]</w:t>
      </w:r>
      <w:r w:rsidRPr="0041053F">
        <w:rPr>
          <w:rStyle w:val="ac"/>
          <w:rFonts w:ascii="Narkisim" w:hAnsi="Narkisim"/>
          <w:rtl/>
        </w:rPr>
        <w:footnoteReference w:id="2080"/>
      </w:r>
      <w:r w:rsidRPr="0041053F">
        <w:rPr>
          <w:rFonts w:ascii="Narkisim" w:hAnsi="Narkisim"/>
          <w:rtl/>
        </w:rPr>
        <w:t>.</w:t>
      </w:r>
    </w:p>
    <w:p w14:paraId="556635D4" w14:textId="77777777" w:rsidR="006074A5" w:rsidRPr="0041053F" w:rsidRDefault="006074A5" w:rsidP="006074A5">
      <w:pPr>
        <w:bidi/>
        <w:rPr>
          <w:rFonts w:ascii="Narkisim" w:hAnsi="Narkisim" w:cs="Narkisim"/>
        </w:rPr>
      </w:pPr>
      <w:r w:rsidRPr="0041053F">
        <w:rPr>
          <w:rFonts w:ascii="Narkisim" w:hAnsi="Narkisim" w:cs="Narkisim"/>
          <w:rtl/>
        </w:rPr>
        <w:t>ו</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Cs w:val="20"/>
          <w:rtl/>
        </w:rPr>
        <w:t>(כתובות ט.)</w:t>
      </w:r>
      <w:r w:rsidRPr="0041053F">
        <w:rPr>
          <w:rFonts w:ascii="Narkisim" w:hAnsi="Narkisim" w:cs="Narkisim"/>
          <w:rtl/>
        </w:rPr>
        <w:t xml:space="preserve"> הביאו מכאן דקטנה אינה נאסרת כלל על בעלה [דבסוגיין קאי בכל אופן</w:t>
      </w:r>
      <w:r w:rsidRPr="0041053F">
        <w:rPr>
          <w:rStyle w:val="ac"/>
          <w:rFonts w:ascii="Narkisim" w:hAnsi="Narkisim" w:cs="Narkisim"/>
          <w:rtl/>
        </w:rPr>
        <w:footnoteReference w:id="2081"/>
      </w:r>
      <w:r w:rsidRPr="0041053F">
        <w:rPr>
          <w:rFonts w:ascii="Narkisim" w:hAnsi="Narkisim" w:cs="Narkisim"/>
          <w:rtl/>
        </w:rPr>
        <w:t>]. אבל ה</w:t>
      </w:r>
      <w:r w:rsidRPr="0041053F">
        <w:rPr>
          <w:rFonts w:ascii="Narkisim" w:hAnsi="Narkisim" w:cs="Narkisim"/>
          <w:b/>
          <w:bCs/>
          <w:rtl/>
        </w:rPr>
        <w:t>רמב"ם</w:t>
      </w:r>
      <w:r w:rsidRPr="0041053F">
        <w:rPr>
          <w:rFonts w:ascii="Narkisim" w:hAnsi="Narkisim" w:cs="Narkisim"/>
          <w:rtl/>
        </w:rPr>
        <w:t xml:space="preserve"> </w:t>
      </w:r>
      <w:r w:rsidRPr="0041053F">
        <w:rPr>
          <w:rFonts w:ascii="Narkisim" w:hAnsi="Narkisim" w:cs="Narkisim"/>
          <w:sz w:val="20"/>
          <w:szCs w:val="20"/>
          <w:rtl/>
        </w:rPr>
        <w:t xml:space="preserve">(סוטה ב ד, ואיסו"ב ג ב) </w:t>
      </w:r>
      <w:r w:rsidRPr="0041053F">
        <w:rPr>
          <w:rFonts w:ascii="Narkisim" w:hAnsi="Narkisim" w:cs="Narkisim"/>
          <w:rtl/>
        </w:rPr>
        <w:t>פסק דקטנה שזינתה ברצון נאסרת על בעלה. וה</w:t>
      </w:r>
      <w:r w:rsidRPr="0041053F">
        <w:rPr>
          <w:rFonts w:ascii="Narkisim" w:hAnsi="Narkisim" w:cs="Narkisim"/>
          <w:b/>
          <w:bCs/>
          <w:rtl/>
        </w:rPr>
        <w:t>ראב"ד</w:t>
      </w:r>
      <w:r w:rsidRPr="0041053F">
        <w:rPr>
          <w:rFonts w:ascii="Narkisim" w:hAnsi="Narkisim" w:cs="Narkisim"/>
          <w:rtl/>
        </w:rPr>
        <w:t xml:space="preserve"> השיג. </w:t>
      </w:r>
      <w:r w:rsidRPr="0041053F">
        <w:rPr>
          <w:rFonts w:ascii="Narkisim" w:hAnsi="Narkisim" w:cs="Narkisim"/>
          <w:szCs w:val="20"/>
          <w:rtl/>
        </w:rPr>
        <w:t>ו</w:t>
      </w:r>
      <w:r w:rsidRPr="0041053F">
        <w:rPr>
          <w:rFonts w:ascii="Narkisim" w:hAnsi="Narkisim" w:cs="Narkisim"/>
          <w:b/>
          <w:bCs/>
          <w:szCs w:val="20"/>
          <w:rtl/>
        </w:rPr>
        <w:t>ה"ה</w:t>
      </w:r>
      <w:r w:rsidRPr="0041053F">
        <w:rPr>
          <w:rFonts w:ascii="Narkisim" w:hAnsi="Narkisim" w:cs="Narkisim"/>
          <w:szCs w:val="20"/>
          <w:rtl/>
        </w:rPr>
        <w:t xml:space="preserve"> (איסו"ב) כת' דהרמב"ם דחה לסוגיין, דלא נאמר דרך הכרח, ומש"ה לא דקדקו בזה</w:t>
      </w:r>
      <w:r w:rsidRPr="0041053F">
        <w:rPr>
          <w:rStyle w:val="ac"/>
          <w:rFonts w:ascii="Narkisim" w:hAnsi="Narkisim" w:cs="Narkisim"/>
          <w:szCs w:val="20"/>
          <w:rtl/>
        </w:rPr>
        <w:footnoteReference w:id="2082"/>
      </w:r>
      <w:r w:rsidRPr="0041053F">
        <w:rPr>
          <w:rFonts w:ascii="Narkisim" w:hAnsi="Narkisim" w:cs="Narkisim"/>
          <w:rtl/>
        </w:rPr>
        <w:t>.</w:t>
      </w:r>
    </w:p>
    <w:p w14:paraId="4D2BE45A"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ראב"ד</w:t>
      </w:r>
      <w:r w:rsidRPr="0041053F">
        <w:rPr>
          <w:rFonts w:ascii="Narkisim" w:hAnsi="Narkisim"/>
          <w:rtl/>
        </w:rPr>
        <w:t xml:space="preserve"> (סוטה) הק' עוד דהתראה לקטנה אינה התראה, שאין לה דעת. וכת' דלא מצאתי הפרש בין קטנה לקטנה לענין פיתוי, לומר דקטנה בת מיאון אין לה רצון, ויתן את הצער כמו אנוסה. אלא כולן שוות להתפתות בקלות הדעת.</w:t>
      </w:r>
    </w:p>
    <w:p w14:paraId="27E41E79"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בית יעקב</w:t>
      </w:r>
      <w:r w:rsidRPr="0041053F">
        <w:rPr>
          <w:rFonts w:ascii="Narkisim" w:hAnsi="Narkisim"/>
          <w:rtl/>
        </w:rPr>
        <w:t xml:space="preserve"> (כתובות ט.) כתב דהרמב"ם איירי דוקא בהגיע לעונת הפעוטות</w:t>
      </w:r>
      <w:r w:rsidRPr="0041053F">
        <w:rPr>
          <w:rStyle w:val="ac"/>
          <w:rFonts w:ascii="Narkisim" w:hAnsi="Narkisim"/>
          <w:rtl/>
        </w:rPr>
        <w:footnoteReference w:id="2083"/>
      </w:r>
      <w:r w:rsidRPr="0041053F">
        <w:rPr>
          <w:rFonts w:ascii="Narkisim" w:hAnsi="Narkisim"/>
          <w:rtl/>
        </w:rPr>
        <w:t>. דאל"כ שוטה בעלמא היא, ול"ש אצלה 'רצון'.</w:t>
      </w:r>
    </w:p>
    <w:p w14:paraId="7571D043"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קה"י</w:t>
      </w:r>
      <w:r w:rsidRPr="0041053F">
        <w:rPr>
          <w:rFonts w:ascii="Narkisim" w:hAnsi="Narkisim"/>
          <w:rtl/>
        </w:rPr>
        <w:t xml:space="preserve"> (לב) כתב [ע"פ הירושלמי] דלדעת הרמב"ם פיתוי קטנה הוה ספק רצון. דכיון דיש לה דעת קצת נחשב הספק יש בה דעת לישאל [וספק טומאה ברה"י ילפי' דאסורה מסוטה, דיש בה דעת לישאל</w:t>
      </w:r>
      <w:r w:rsidRPr="0041053F">
        <w:rPr>
          <w:rStyle w:val="ac"/>
          <w:rFonts w:ascii="Narkisim" w:hAnsi="Narkisim"/>
          <w:rtl/>
        </w:rPr>
        <w:footnoteReference w:id="2084"/>
      </w:r>
      <w:r w:rsidRPr="0041053F">
        <w:rPr>
          <w:rFonts w:ascii="Narkisim" w:hAnsi="Narkisim"/>
          <w:rtl/>
        </w:rPr>
        <w:t>], ואסורה לבעלה מספק [אבל קטנה ממש נחשב אין בה דעת לישאל ומותרת לבעלה].</w:t>
      </w:r>
    </w:p>
    <w:p w14:paraId="2A4F7F0C"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(בי"מ קעח ג, רע"א) הביאו מהגמ' (סנהדרין נה:) דקטנה שנרבעה לבהמה נחשב תקלה וקלון, והגמ' פי' דהוה מזיד, אלא דרחמנא חס עליה [לחיוב מיתה]. וא"כ כ"ש דחשיב רצון ליאסר על בעלה. [וכדעת הרמב"ם]. והבי"מ דחה דהתם איירי בבהמה, שליכא אדם שפיתה אותה. [אבל דרך פיתוי בקטנה הוה אונס].</w:t>
      </w:r>
    </w:p>
    <w:p w14:paraId="46C9A7A1" w14:textId="77777777" w:rsidR="006074A5" w:rsidRPr="0041053F" w:rsidRDefault="006074A5" w:rsidP="006074A5">
      <w:pPr>
        <w:pStyle w:val="3"/>
        <w:bidi/>
        <w:rPr>
          <w:rFonts w:ascii="Narkisim" w:hAnsi="Narkisim"/>
        </w:rPr>
      </w:pPr>
      <w:r w:rsidRPr="0041053F">
        <w:rPr>
          <w:rFonts w:ascii="Narkisim" w:hAnsi="Narkisim"/>
          <w:rtl/>
        </w:rPr>
        <w:t>דף לד.</w:t>
      </w:r>
    </w:p>
    <w:p w14:paraId="4130B523" w14:textId="77777777" w:rsidR="006074A5" w:rsidRPr="0041053F" w:rsidRDefault="006074A5" w:rsidP="006074A5">
      <w:pPr>
        <w:pStyle w:val="aa"/>
        <w:bidi/>
        <w:rPr>
          <w:rFonts w:ascii="Narkisim" w:hAnsi="Narkisim"/>
        </w:rPr>
      </w:pPr>
      <w:r w:rsidRPr="0041053F">
        <w:rPr>
          <w:rFonts w:ascii="Narkisim" w:hAnsi="Narkisim"/>
          <w:u w:val="single"/>
          <w:rtl/>
        </w:rPr>
        <w:t>ומאן האי תנא וכו'.</w:t>
      </w:r>
      <w:r w:rsidRPr="0041053F">
        <w:rPr>
          <w:rFonts w:ascii="Narkisim" w:hAnsi="Narkisim"/>
          <w:rtl/>
        </w:rPr>
        <w:t xml:space="preserve"> ה</w:t>
      </w:r>
      <w:r w:rsidRPr="0041053F">
        <w:rPr>
          <w:rFonts w:ascii="Narkisim" w:hAnsi="Narkisim"/>
          <w:b/>
          <w:bCs/>
          <w:rtl/>
        </w:rPr>
        <w:t xml:space="preserve">תו"י </w:t>
      </w:r>
      <w:r w:rsidRPr="0041053F">
        <w:rPr>
          <w:rFonts w:ascii="Narkisim" w:hAnsi="Narkisim"/>
          <w:rtl/>
        </w:rPr>
        <w:t>כת' דאף דמ"ד איסור כולל כ"ש דאית ליה מוסיף ובת אחת, מ"מ הביאו דברי ר' מאיר דבהדיא ס"ל כל הני.</w:t>
      </w:r>
    </w:p>
    <w:p w14:paraId="04A1DDE7" w14:textId="77777777" w:rsidR="006074A5" w:rsidRPr="0041053F" w:rsidRDefault="006074A5" w:rsidP="006074A5">
      <w:pPr>
        <w:bidi/>
        <w:rPr>
          <w:rFonts w:ascii="Narkisim" w:hAnsi="Narkisim" w:cs="Narkisim"/>
        </w:rPr>
      </w:pPr>
      <w:r w:rsidRPr="0041053F">
        <w:rPr>
          <w:rFonts w:ascii="Narkisim" w:hAnsi="Narkisim" w:cs="Narkisim"/>
          <w:u w:val="single"/>
          <w:rtl/>
        </w:rPr>
        <w:t>שאכל חלב והוא נותר מן המוקדשין.</w:t>
      </w:r>
      <w:r w:rsidRPr="0041053F">
        <w:rPr>
          <w:rFonts w:ascii="Narkisim" w:hAnsi="Narkisim" w:cs="Narkisim"/>
          <w:rtl/>
        </w:rPr>
        <w:t xml:space="preserve"> ב</w:t>
      </w:r>
      <w:r w:rsidRPr="0041053F">
        <w:rPr>
          <w:rFonts w:ascii="Narkisim" w:hAnsi="Narkisim" w:cs="Narkisim"/>
          <w:b/>
          <w:bCs/>
          <w:rtl/>
        </w:rPr>
        <w:t xml:space="preserve">גמ' </w:t>
      </w:r>
      <w:r w:rsidRPr="0041053F">
        <w:rPr>
          <w:rFonts w:ascii="Narkisim" w:hAnsi="Narkisim" w:cs="Narkisim"/>
          <w:rtl/>
        </w:rPr>
        <w:t xml:space="preserve">(כריתות יד.) מבואר דע"י שהקדיש מיגו דאתוסף איסור הנאה חל איסור מעילה. ומשמע [בגמ' שם] דאיסור הנאה הוה איסור </w:t>
      </w:r>
      <w:r w:rsidRPr="0041053F">
        <w:rPr>
          <w:rFonts w:ascii="Narkisim" w:hAnsi="Narkisim" w:cs="Narkisim"/>
          <w:i/>
          <w:iCs/>
          <w:rtl/>
        </w:rPr>
        <w:t>מוסיף</w:t>
      </w:r>
      <w:r w:rsidRPr="0041053F">
        <w:rPr>
          <w:rFonts w:ascii="Narkisim" w:hAnsi="Narkisim" w:cs="Narkisim"/>
          <w:rtl/>
        </w:rPr>
        <w:t xml:space="preserve">, וכ"כ </w:t>
      </w:r>
      <w:r w:rsidRPr="0041053F">
        <w:rPr>
          <w:rFonts w:ascii="Narkisim" w:hAnsi="Narkisim" w:cs="Narkisim"/>
          <w:b/>
          <w:bCs/>
          <w:rtl/>
        </w:rPr>
        <w:t>רש"י</w:t>
      </w:r>
      <w:r w:rsidRPr="0041053F">
        <w:rPr>
          <w:rFonts w:ascii="Narkisim" w:hAnsi="Narkisim" w:cs="Narkisim"/>
          <w:rtl/>
        </w:rPr>
        <w:t xml:space="preserve"> וה</w:t>
      </w:r>
      <w:r w:rsidRPr="0041053F">
        <w:rPr>
          <w:rFonts w:ascii="Narkisim" w:hAnsi="Narkisim" w:cs="Narkisim"/>
          <w:b/>
          <w:bCs/>
          <w:rtl/>
        </w:rPr>
        <w:t>רי"ף</w:t>
      </w:r>
      <w:r w:rsidRPr="0041053F">
        <w:rPr>
          <w:rFonts w:ascii="Narkisim" w:hAnsi="Narkisim" w:cs="Narkisim"/>
          <w:rtl/>
        </w:rPr>
        <w:t xml:space="preserve"> (בסוגיין) וה</w:t>
      </w:r>
      <w:r w:rsidRPr="0041053F">
        <w:rPr>
          <w:rFonts w:ascii="Narkisim" w:hAnsi="Narkisim" w:cs="Narkisim"/>
          <w:b/>
          <w:bCs/>
          <w:rtl/>
        </w:rPr>
        <w:t>רמב"ם</w:t>
      </w:r>
      <w:r w:rsidRPr="0041053F">
        <w:rPr>
          <w:rFonts w:ascii="Narkisim" w:hAnsi="Narkisim" w:cs="Narkisim"/>
          <w:rtl/>
        </w:rPr>
        <w:t xml:space="preserve"> (בפיה"מ שם). אבל </w:t>
      </w:r>
      <w:r w:rsidRPr="0041053F">
        <w:rPr>
          <w:rFonts w:ascii="Narkisim" w:hAnsi="Narkisim" w:cs="Narkisim"/>
          <w:b/>
          <w:bCs/>
          <w:rtl/>
        </w:rPr>
        <w:t>תוס</w:t>
      </w:r>
      <w:r w:rsidRPr="0041053F">
        <w:rPr>
          <w:rFonts w:ascii="Narkisim" w:hAnsi="Narkisim" w:cs="Narkisim"/>
          <w:rtl/>
        </w:rPr>
        <w:t xml:space="preserve">' </w:t>
      </w:r>
      <w:r w:rsidRPr="0041053F">
        <w:rPr>
          <w:rFonts w:ascii="Narkisim" w:hAnsi="Narkisim" w:cs="Narkisim"/>
          <w:sz w:val="20"/>
          <w:szCs w:val="20"/>
          <w:rtl/>
        </w:rPr>
        <w:t>(חולין קא. וכעי"ז שבועות כד: ד"ה יש)</w:t>
      </w:r>
      <w:r w:rsidRPr="0041053F">
        <w:rPr>
          <w:rFonts w:ascii="Narkisim" w:hAnsi="Narkisim" w:cs="Narkisim"/>
          <w:rtl/>
        </w:rPr>
        <w:t xml:space="preserve"> כת' דכוונת הגמ' דהוה איסור כולל, דהוה איסור חמור על קל, ותוספת איסור הנאה לא נחשב מוסיף</w:t>
      </w:r>
      <w:r w:rsidRPr="0041053F">
        <w:rPr>
          <w:rStyle w:val="ac"/>
          <w:rFonts w:ascii="Narkisim" w:hAnsi="Narkisim" w:cs="Narkisim"/>
          <w:rtl/>
        </w:rPr>
        <w:footnoteReference w:id="2085"/>
      </w:r>
      <w:r w:rsidRPr="0041053F">
        <w:rPr>
          <w:rFonts w:ascii="Narkisim" w:hAnsi="Narkisim" w:cs="Narkisim"/>
          <w:rtl/>
        </w:rPr>
        <w:t xml:space="preserve">. וכן </w:t>
      </w:r>
      <w:r w:rsidRPr="0041053F">
        <w:rPr>
          <w:rFonts w:ascii="Narkisim" w:hAnsi="Narkisim" w:cs="Narkisim"/>
          <w:b/>
          <w:bCs/>
          <w:rtl/>
        </w:rPr>
        <w:t>רש"י</w:t>
      </w:r>
      <w:r w:rsidRPr="0041053F">
        <w:rPr>
          <w:rFonts w:ascii="Narkisim" w:hAnsi="Narkisim" w:cs="Narkisim"/>
          <w:rtl/>
        </w:rPr>
        <w:t xml:space="preserve"> (שבועות כד:) כתב דמיגו דחל איסור הקדש הבשר חל על החלב, והוה איסור כולל</w:t>
      </w:r>
      <w:r w:rsidRPr="0041053F">
        <w:rPr>
          <w:rStyle w:val="ac"/>
          <w:rFonts w:ascii="Narkisim" w:hAnsi="Narkisim" w:cs="Narkisim"/>
          <w:rtl/>
        </w:rPr>
        <w:footnoteReference w:id="2086"/>
      </w:r>
      <w:r w:rsidRPr="0041053F">
        <w:rPr>
          <w:rFonts w:ascii="Narkisim" w:hAnsi="Narkisim" w:cs="Narkisim"/>
          <w:rtl/>
        </w:rPr>
        <w:t xml:space="preserve">. </w:t>
      </w:r>
      <w:r w:rsidRPr="0041053F">
        <w:rPr>
          <w:rFonts w:ascii="Narkisim" w:hAnsi="Narkisim" w:cs="Narkisim"/>
          <w:sz w:val="20"/>
          <w:szCs w:val="20"/>
          <w:rtl/>
        </w:rPr>
        <w:t>[וע' בסמוך דעת ר"ח].</w:t>
      </w:r>
    </w:p>
    <w:p w14:paraId="50CAA6C2"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רמב"ם</w:t>
      </w:r>
      <w:r w:rsidRPr="0041053F">
        <w:rPr>
          <w:rFonts w:ascii="Narkisim" w:hAnsi="Narkisim"/>
          <w:rtl/>
        </w:rPr>
        <w:t xml:space="preserve"> ב</w:t>
      </w:r>
      <w:r w:rsidRPr="0041053F">
        <w:rPr>
          <w:rFonts w:ascii="Narkisim" w:hAnsi="Narkisim"/>
          <w:b/>
          <w:bCs/>
          <w:rtl/>
        </w:rPr>
        <w:t>פיה"מ</w:t>
      </w:r>
      <w:r w:rsidRPr="0041053F">
        <w:rPr>
          <w:rFonts w:ascii="Narkisim" w:hAnsi="Narkisim"/>
          <w:rtl/>
        </w:rPr>
        <w:t xml:space="preserve"> (כריתות שם) הקשה א"כ אף בשר נבילה בחלב נימא דחל איסור אכילה על הבשר, כיון דחל איסור הנאה. ותי' דכיון דלא חל איסור אכילה לא חל איסור הנאה. [וכתב דזו נקודה נפלאה]. וה</w:t>
      </w:r>
      <w:r w:rsidRPr="0041053F">
        <w:rPr>
          <w:rFonts w:ascii="Narkisim" w:hAnsi="Narkisim"/>
          <w:b/>
          <w:bCs/>
          <w:rtl/>
        </w:rPr>
        <w:t>אחרונים</w:t>
      </w:r>
      <w:r w:rsidRPr="0041053F">
        <w:rPr>
          <w:rFonts w:ascii="Narkisim" w:hAnsi="Narkisim"/>
          <w:rtl/>
        </w:rPr>
        <w:t xml:space="preserve"> </w:t>
      </w:r>
      <w:r w:rsidRPr="0041053F">
        <w:rPr>
          <w:rFonts w:ascii="Narkisim" w:hAnsi="Narkisim"/>
          <w:rtl/>
        </w:rPr>
        <w:lastRenderedPageBreak/>
        <w:t>(קובה"ע ל, שיע' ר' שמואל) האריכו בביאור דבריו.</w:t>
      </w:r>
    </w:p>
    <w:p w14:paraId="096C3107"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תו"י</w:t>
      </w:r>
      <w:r w:rsidRPr="0041053F">
        <w:rPr>
          <w:rFonts w:ascii="Narkisim" w:hAnsi="Narkisim"/>
          <w:rtl/>
        </w:rPr>
        <w:t xml:space="preserve"> (כריתות יג:) כת' דאיירי בקדושת הגוף דיש חיוב מעילה אע"ג דנותר אינו שווה מידי. אבל בקדושת דמים ליכא מעילה בדבר האסור בהנאה, דליכא שווה פרוטה. ואכ"מ.</w:t>
      </w:r>
    </w:p>
    <w:p w14:paraId="16A19723" w14:textId="77777777" w:rsidR="006074A5" w:rsidRPr="0041053F" w:rsidRDefault="006074A5" w:rsidP="006074A5">
      <w:pPr>
        <w:bidi/>
        <w:rPr>
          <w:rFonts w:ascii="Narkisim" w:hAnsi="Narkisim" w:cs="Narkisim"/>
        </w:rPr>
      </w:pPr>
      <w:r w:rsidRPr="0041053F">
        <w:rPr>
          <w:rFonts w:ascii="Narkisim" w:hAnsi="Narkisim" w:cs="Narkisim"/>
          <w:u w:val="single"/>
          <w:rtl/>
        </w:rPr>
        <w:t>תוד"ה אם.</w:t>
      </w:r>
      <w:r w:rsidRPr="0041053F">
        <w:rPr>
          <w:rFonts w:ascii="Narkisim" w:hAnsi="Narkisim" w:cs="Narkisim"/>
          <w:rtl/>
        </w:rPr>
        <w:t xml:space="preserve"> ומסיק דיש עירוב והוצאה ליוה"כ. [וכ"ד הרי"ף רא"ש והרמב"ם]. אבל </w:t>
      </w:r>
      <w:r w:rsidRPr="0041053F">
        <w:rPr>
          <w:rFonts w:ascii="Narkisim" w:hAnsi="Narkisim" w:cs="Narkisim"/>
          <w:b/>
          <w:bCs/>
          <w:rtl/>
        </w:rPr>
        <w:t>רש"י</w:t>
      </w:r>
      <w:r w:rsidRPr="0041053F">
        <w:rPr>
          <w:rFonts w:ascii="Narkisim" w:hAnsi="Narkisim" w:cs="Narkisim"/>
          <w:rtl/>
        </w:rPr>
        <w:t xml:space="preserve"> העתיק דקסבר אין עירוב והוצאה. וה</w:t>
      </w:r>
      <w:r w:rsidRPr="0041053F">
        <w:rPr>
          <w:rFonts w:ascii="Narkisim" w:hAnsi="Narkisim" w:cs="Narkisim"/>
          <w:b/>
          <w:bCs/>
          <w:rtl/>
        </w:rPr>
        <w:t>רשב"א</w:t>
      </w:r>
      <w:r w:rsidRPr="0041053F">
        <w:rPr>
          <w:rFonts w:ascii="Narkisim" w:hAnsi="Narkisim" w:cs="Narkisim"/>
          <w:rtl/>
        </w:rPr>
        <w:t xml:space="preserve"> כתב דלרש"י מסקנת הגמ' בכריתות דנדחית ראיית רפרם מהמשנה, אבל באמת ס"ל דיש עירוב והוצאה ליוה"כ, וכפשטות המשנה</w:t>
      </w:r>
      <w:r w:rsidRPr="0041053F">
        <w:rPr>
          <w:rStyle w:val="ac"/>
          <w:rFonts w:ascii="Narkisim" w:hAnsi="Narkisim" w:cs="Narkisim"/>
          <w:rtl/>
        </w:rPr>
        <w:footnoteReference w:id="2087"/>
      </w:r>
      <w:r w:rsidRPr="0041053F">
        <w:rPr>
          <w:rFonts w:ascii="Narkisim" w:hAnsi="Narkisim" w:cs="Narkisim"/>
          <w:rtl/>
        </w:rPr>
        <w:t xml:space="preserve">. </w:t>
      </w:r>
      <w:r w:rsidRPr="0041053F">
        <w:rPr>
          <w:rFonts w:ascii="Narkisim" w:hAnsi="Narkisim" w:cs="Narkisim"/>
          <w:sz w:val="20"/>
          <w:szCs w:val="20"/>
          <w:rtl/>
        </w:rPr>
        <w:t>[וה</w:t>
      </w:r>
      <w:r w:rsidRPr="0041053F">
        <w:rPr>
          <w:rFonts w:ascii="Narkisim" w:hAnsi="Narkisim" w:cs="Narkisim"/>
          <w:b/>
          <w:bCs/>
          <w:sz w:val="20"/>
          <w:szCs w:val="20"/>
          <w:rtl/>
        </w:rPr>
        <w:t>שאג"א</w:t>
      </w:r>
      <w:r w:rsidRPr="0041053F">
        <w:rPr>
          <w:rFonts w:ascii="Narkisim" w:hAnsi="Narkisim" w:cs="Narkisim"/>
          <w:sz w:val="20"/>
          <w:szCs w:val="20"/>
          <w:rtl/>
        </w:rPr>
        <w:t xml:space="preserve"> (ע) האריך בכמה סוגיות בזה].</w:t>
      </w:r>
    </w:p>
    <w:p w14:paraId="502FD907"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(צל"ח פסחים כט) הקשו דכיון דמתחייב משום שבת, א"כ ק"ל בדרבה מיניה ונפטר מחיוב מעילה, וממילא אין אשם וכדאיתא (פסחים כט.)</w:t>
      </w:r>
      <w:r w:rsidRPr="0041053F">
        <w:rPr>
          <w:rStyle w:val="ac"/>
          <w:rFonts w:ascii="Narkisim" w:hAnsi="Narkisim"/>
          <w:rtl/>
        </w:rPr>
        <w:footnoteReference w:id="2088"/>
      </w:r>
      <w:r w:rsidRPr="0041053F">
        <w:rPr>
          <w:rFonts w:ascii="Narkisim" w:hAnsi="Narkisim"/>
          <w:rtl/>
        </w:rPr>
        <w:t>. וה</w:t>
      </w:r>
      <w:r w:rsidRPr="0041053F">
        <w:rPr>
          <w:rFonts w:ascii="Narkisim" w:hAnsi="Narkisim"/>
          <w:b/>
          <w:bCs/>
          <w:rtl/>
        </w:rPr>
        <w:t>קצות</w:t>
      </w:r>
      <w:r w:rsidRPr="0041053F">
        <w:rPr>
          <w:rFonts w:ascii="Narkisim" w:hAnsi="Narkisim"/>
          <w:rtl/>
        </w:rPr>
        <w:t xml:space="preserve"> (כח א) כתב דכל שלא נעשית העונש אינו נפטר בידי שמים, וכיון דחייב ביד"ש, חייב אשם. וה</w:t>
      </w:r>
      <w:r w:rsidRPr="0041053F">
        <w:rPr>
          <w:rFonts w:ascii="Narkisim" w:hAnsi="Narkisim"/>
          <w:b/>
          <w:bCs/>
          <w:rtl/>
        </w:rPr>
        <w:t>נתיבות</w:t>
      </w:r>
      <w:r w:rsidRPr="0041053F">
        <w:rPr>
          <w:rFonts w:ascii="Narkisim" w:hAnsi="Narkisim"/>
          <w:rtl/>
        </w:rPr>
        <w:t xml:space="preserve"> (שם) תי' דאיירי במעילה דקדושת מזבח דהוה כפרה, ואין פטור קלב"מ. [והאחרונים האריכו בכל זה. ואכמ"ל].</w:t>
      </w:r>
    </w:p>
    <w:p w14:paraId="56A5CE0A" w14:textId="77777777" w:rsidR="006074A5" w:rsidRPr="0041053F" w:rsidRDefault="006074A5" w:rsidP="006074A5">
      <w:pPr>
        <w:bidi/>
        <w:rPr>
          <w:rFonts w:ascii="Narkisim" w:hAnsi="Narkisim" w:cs="Narkisim"/>
        </w:rPr>
      </w:pPr>
      <w:r w:rsidRPr="0041053F">
        <w:rPr>
          <w:rFonts w:ascii="Narkisim" w:hAnsi="Narkisim" w:cs="Narkisim"/>
          <w:u w:val="single"/>
          <w:rtl/>
        </w:rPr>
        <w:t>תוד"ה והוציאו.</w:t>
      </w:r>
      <w:r w:rsidRPr="0041053F">
        <w:rPr>
          <w:rFonts w:ascii="Narkisim" w:hAnsi="Narkisim" w:cs="Narkisim"/>
          <w:rtl/>
        </w:rPr>
        <w:t xml:space="preserve"> פי' הקו', חל עליו איסור אכילת יוה"כ ואיסור הוצאת שבת. וקש' לר"י דמה ענין זה לאיסור חל על איסור, דבשביל איסור מלאכה לא ימנע איסור יוה"כ</w:t>
      </w:r>
      <w:r w:rsidRPr="0041053F">
        <w:rPr>
          <w:rStyle w:val="ac"/>
          <w:rFonts w:ascii="Narkisim" w:hAnsi="Narkisim" w:cs="Narkisim"/>
          <w:rtl/>
        </w:rPr>
        <w:footnoteReference w:id="2089"/>
      </w:r>
      <w:r w:rsidRPr="0041053F">
        <w:rPr>
          <w:rFonts w:ascii="Narkisim" w:hAnsi="Narkisim" w:cs="Narkisim"/>
          <w:rtl/>
        </w:rPr>
        <w:t xml:space="preserve">. וכעי"ז הקשו </w:t>
      </w:r>
      <w:r w:rsidRPr="0041053F">
        <w:rPr>
          <w:rFonts w:ascii="Narkisim" w:hAnsi="Narkisim" w:cs="Narkisim"/>
          <w:b/>
          <w:bCs/>
          <w:rtl/>
        </w:rPr>
        <w:t>שא"ר</w:t>
      </w:r>
      <w:r w:rsidRPr="0041053F">
        <w:rPr>
          <w:rStyle w:val="ac"/>
          <w:rFonts w:ascii="Narkisim" w:hAnsi="Narkisim" w:cs="Narkisim"/>
          <w:rtl/>
        </w:rPr>
        <w:footnoteReference w:id="2090"/>
      </w:r>
      <w:r w:rsidRPr="0041053F">
        <w:rPr>
          <w:rFonts w:ascii="Narkisim" w:hAnsi="Narkisim" w:cs="Narkisim"/>
          <w:rtl/>
        </w:rPr>
        <w:t>.</w:t>
      </w:r>
    </w:p>
    <w:p w14:paraId="31DE3013"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(ר"ס לג) ביאר דאאחע"א שייך בב' איסורים על פעולה א', והכא האיסורין על פעולות חלוקות, ואף שעכשיו עשה ב' פעולות במעשה א'</w:t>
      </w:r>
      <w:r w:rsidRPr="0041053F">
        <w:rPr>
          <w:rStyle w:val="ac"/>
          <w:rFonts w:ascii="Narkisim" w:hAnsi="Narkisim"/>
          <w:rtl/>
        </w:rPr>
        <w:footnoteReference w:id="2091"/>
      </w:r>
      <w:r w:rsidRPr="0041053F">
        <w:rPr>
          <w:rFonts w:ascii="Narkisim" w:hAnsi="Narkisim"/>
          <w:rtl/>
        </w:rPr>
        <w:t>. [אבל לרש"י מב' דתליא במעשה].</w:t>
      </w:r>
    </w:p>
    <w:p w14:paraId="33E70598" w14:textId="77777777" w:rsidR="006074A5" w:rsidRPr="0041053F" w:rsidRDefault="006074A5" w:rsidP="006074A5">
      <w:pPr>
        <w:bidi/>
        <w:rPr>
          <w:rFonts w:ascii="Narkisim" w:hAnsi="Narkisim" w:cs="Narkisim"/>
        </w:rPr>
      </w:pPr>
      <w:r w:rsidRPr="0041053F">
        <w:rPr>
          <w:rFonts w:ascii="Narkisim" w:hAnsi="Narkisim" w:cs="Narkisim"/>
          <w:u w:val="single"/>
          <w:rtl/>
        </w:rPr>
        <w:t>שם.</w:t>
      </w:r>
      <w:r w:rsidRPr="0041053F">
        <w:rPr>
          <w:rFonts w:ascii="Narkisim" w:hAnsi="Narkisim" w:cs="Narkisim"/>
          <w:rtl/>
        </w:rPr>
        <w:t xml:space="preserve"> וב</w:t>
      </w:r>
      <w:r w:rsidRPr="0041053F">
        <w:rPr>
          <w:rFonts w:ascii="Narkisim" w:hAnsi="Narkisim" w:cs="Narkisim"/>
          <w:b/>
          <w:bCs/>
          <w:rtl/>
        </w:rPr>
        <w:t xml:space="preserve">גמ' </w:t>
      </w:r>
      <w:r w:rsidRPr="0041053F">
        <w:rPr>
          <w:rFonts w:ascii="Narkisim" w:hAnsi="Narkisim" w:cs="Narkisim"/>
          <w:rtl/>
        </w:rPr>
        <w:t>(חולין קא:) יש מ"ד דהעושה מלאכה בשבת שהוא יוה"כ אינו חייב אלא א'. והגמ' מק' סוף סוף תרוייהו בהדי הדדי קאתי. ופ</w:t>
      </w:r>
      <w:r w:rsidRPr="0041053F">
        <w:rPr>
          <w:rFonts w:ascii="Narkisim" w:hAnsi="Narkisim" w:cs="Narkisim"/>
          <w:b/>
          <w:bCs/>
          <w:rtl/>
        </w:rPr>
        <w:t>רש"י</w:t>
      </w:r>
      <w:r w:rsidRPr="0041053F">
        <w:rPr>
          <w:rFonts w:ascii="Narkisim" w:hAnsi="Narkisim" w:cs="Narkisim"/>
          <w:rtl/>
        </w:rPr>
        <w:t xml:space="preserve"> דא"נ הזיד בא' מהם ושגג בשני, הרי חיוב חבירו עומדת וחייב. משמע דלמ"ד דאיסור בת אחת</w:t>
      </w:r>
      <w:r w:rsidRPr="0041053F">
        <w:rPr>
          <w:rStyle w:val="ac"/>
          <w:rFonts w:ascii="Narkisim" w:hAnsi="Narkisim" w:cs="Narkisim"/>
          <w:rtl/>
        </w:rPr>
        <w:footnoteReference w:id="2092"/>
      </w:r>
      <w:r w:rsidRPr="0041053F">
        <w:rPr>
          <w:rFonts w:ascii="Narkisim" w:hAnsi="Narkisim" w:cs="Narkisim"/>
          <w:rtl/>
        </w:rPr>
        <w:t xml:space="preserve"> אינו חייב אלא א', מ"מ חייב על כ"א מהם</w:t>
      </w:r>
      <w:r w:rsidRPr="0041053F">
        <w:rPr>
          <w:rStyle w:val="ac"/>
          <w:rFonts w:ascii="Narkisim" w:hAnsi="Narkisim" w:cs="Narkisim"/>
          <w:rtl/>
        </w:rPr>
        <w:footnoteReference w:id="2093"/>
      </w:r>
      <w:r w:rsidRPr="0041053F">
        <w:rPr>
          <w:rFonts w:ascii="Narkisim" w:hAnsi="Narkisim" w:cs="Narkisim"/>
          <w:rtl/>
        </w:rPr>
        <w:t xml:space="preserve">. </w:t>
      </w:r>
      <w:r w:rsidRPr="0041053F">
        <w:rPr>
          <w:rFonts w:ascii="Narkisim" w:hAnsi="Narkisim" w:cs="Narkisim"/>
          <w:sz w:val="20"/>
          <w:szCs w:val="20"/>
          <w:rtl/>
        </w:rPr>
        <w:t>[ואף מ"ד דלא מהני איסור בת א', דאינו מתחייב ב' על עבירה א', וצ"ב].</w:t>
      </w:r>
      <w:r w:rsidRPr="0041053F">
        <w:rPr>
          <w:rFonts w:ascii="Narkisim" w:hAnsi="Narkisim" w:cs="Narkisim"/>
          <w:rtl/>
        </w:rPr>
        <w:t xml:space="preserve"> וה</w:t>
      </w:r>
      <w:r w:rsidRPr="0041053F">
        <w:rPr>
          <w:rFonts w:ascii="Narkisim" w:hAnsi="Narkisim" w:cs="Narkisim"/>
          <w:b/>
          <w:bCs/>
          <w:rtl/>
        </w:rPr>
        <w:t>ריטב"א</w:t>
      </w:r>
      <w:r w:rsidRPr="0041053F">
        <w:rPr>
          <w:rFonts w:ascii="Narkisim" w:hAnsi="Narkisim" w:cs="Narkisim"/>
          <w:rtl/>
        </w:rPr>
        <w:t xml:space="preserve"> (חולין שם) הביא בשם </w:t>
      </w:r>
      <w:r w:rsidRPr="0041053F">
        <w:rPr>
          <w:rFonts w:ascii="Narkisim" w:hAnsi="Narkisim" w:cs="Narkisim"/>
          <w:b/>
          <w:bCs/>
          <w:rtl/>
        </w:rPr>
        <w:t>תוס</w:t>
      </w:r>
      <w:r w:rsidRPr="0041053F">
        <w:rPr>
          <w:rFonts w:ascii="Narkisim" w:hAnsi="Narkisim" w:cs="Narkisim"/>
          <w:rtl/>
        </w:rPr>
        <w:t>' להקשות דלמ"ד אאחע"א לא חל כלל, ואפי' כשאין ע"י חיוב חטאת.</w:t>
      </w:r>
    </w:p>
    <w:p w14:paraId="40CE7701" w14:textId="77777777" w:rsidR="006074A5" w:rsidRPr="0041053F" w:rsidRDefault="006074A5" w:rsidP="006074A5">
      <w:pPr>
        <w:bidi/>
        <w:rPr>
          <w:rFonts w:ascii="Narkisim" w:hAnsi="Narkisim" w:cs="Narkisim"/>
        </w:rPr>
      </w:pPr>
      <w:r w:rsidRPr="0041053F">
        <w:rPr>
          <w:rFonts w:ascii="Narkisim" w:hAnsi="Narkisim" w:cs="Narkisim"/>
          <w:u w:val="single"/>
          <w:rtl/>
        </w:rPr>
        <w:t>בא"ד ואמר ר"י דאיסור בת א' היינו הוצאה דשבת ודיוה"כ.</w:t>
      </w:r>
      <w:r w:rsidRPr="0041053F">
        <w:rPr>
          <w:rFonts w:ascii="Narkisim" w:hAnsi="Narkisim" w:cs="Narkisim"/>
          <w:rtl/>
        </w:rPr>
        <w:t xml:space="preserve"> (וכ"כ ה</w:t>
      </w:r>
      <w:r w:rsidRPr="0041053F">
        <w:rPr>
          <w:rFonts w:ascii="Narkisim" w:hAnsi="Narkisim" w:cs="Narkisim"/>
          <w:b/>
          <w:bCs/>
          <w:rtl/>
        </w:rPr>
        <w:t>רי"ף</w:t>
      </w:r>
      <w:r w:rsidRPr="0041053F">
        <w:rPr>
          <w:rFonts w:ascii="Narkisim" w:hAnsi="Narkisim" w:cs="Narkisim"/>
          <w:rtl/>
        </w:rPr>
        <w:t>). ול</w:t>
      </w:r>
      <w:r w:rsidRPr="0041053F">
        <w:rPr>
          <w:rFonts w:ascii="Narkisim" w:hAnsi="Narkisim" w:cs="Narkisim"/>
          <w:b/>
          <w:bCs/>
          <w:rtl/>
        </w:rPr>
        <w:t>רש"י</w:t>
      </w:r>
      <w:r w:rsidRPr="0041053F">
        <w:rPr>
          <w:rFonts w:ascii="Narkisim" w:hAnsi="Narkisim" w:cs="Narkisim"/>
          <w:rtl/>
        </w:rPr>
        <w:t xml:space="preserve"> (ד"ה אם) בסוגיין ילפי' איסור בת א' משום אכילה דיוה"כ והוצאה דשבת.</w:t>
      </w:r>
    </w:p>
    <w:p w14:paraId="4BB83296"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רשב"א</w:t>
      </w:r>
      <w:r w:rsidRPr="0041053F">
        <w:rPr>
          <w:rFonts w:ascii="Narkisim" w:hAnsi="Narkisim"/>
          <w:rtl/>
        </w:rPr>
        <w:t xml:space="preserve"> כת' בשם </w:t>
      </w:r>
      <w:r w:rsidRPr="0041053F">
        <w:rPr>
          <w:rFonts w:ascii="Narkisim" w:hAnsi="Narkisim"/>
          <w:b/>
          <w:bCs/>
          <w:rtl/>
        </w:rPr>
        <w:t>ר"ח</w:t>
      </w:r>
      <w:r w:rsidRPr="0041053F">
        <w:rPr>
          <w:rFonts w:ascii="Narkisim" w:hAnsi="Narkisim"/>
          <w:rtl/>
        </w:rPr>
        <w:t xml:space="preserve"> </w:t>
      </w:r>
      <w:r w:rsidRPr="0041053F">
        <w:rPr>
          <w:rFonts w:ascii="Narkisim" w:hAnsi="Narkisim"/>
          <w:sz w:val="20"/>
          <w:szCs w:val="20"/>
          <w:rtl/>
        </w:rPr>
        <w:t xml:space="preserve">(וכ"כ הרי"ף בשם </w:t>
      </w:r>
      <w:r w:rsidRPr="0041053F">
        <w:rPr>
          <w:rFonts w:ascii="Narkisim" w:hAnsi="Narkisim"/>
          <w:b/>
          <w:bCs/>
          <w:sz w:val="20"/>
          <w:szCs w:val="20"/>
          <w:rtl/>
        </w:rPr>
        <w:t>רבוותא</w:t>
      </w:r>
      <w:r w:rsidRPr="0041053F">
        <w:rPr>
          <w:rFonts w:ascii="Narkisim" w:hAnsi="Narkisim"/>
          <w:sz w:val="20"/>
          <w:szCs w:val="20"/>
          <w:rtl/>
        </w:rPr>
        <w:t>, וכ"כ הרמב"ם בפיה"מ דפו"י שם)</w:t>
      </w:r>
      <w:r w:rsidRPr="0041053F">
        <w:rPr>
          <w:rFonts w:ascii="Narkisim" w:hAnsi="Narkisim"/>
          <w:rtl/>
        </w:rPr>
        <w:t xml:space="preserve"> דאיירי </w:t>
      </w:r>
      <w:r w:rsidRPr="0041053F">
        <w:rPr>
          <w:rFonts w:ascii="Narkisim" w:hAnsi="Narkisim"/>
          <w:sz w:val="20"/>
          <w:szCs w:val="20"/>
          <w:rtl/>
        </w:rPr>
        <w:t xml:space="preserve">[שנטמא, והבהמה הוקדשה] </w:t>
      </w:r>
      <w:r w:rsidRPr="0041053F">
        <w:rPr>
          <w:rFonts w:ascii="Narkisim" w:hAnsi="Narkisim"/>
          <w:rtl/>
        </w:rPr>
        <w:t xml:space="preserve">ואח"כ הביא ב' שערות, וחלו עליו בבת אחת איסור חלב ואיסור טומאה. </w:t>
      </w:r>
      <w:r w:rsidRPr="0041053F">
        <w:rPr>
          <w:rFonts w:ascii="Narkisim" w:hAnsi="Narkisim"/>
          <w:sz w:val="20"/>
          <w:szCs w:val="20"/>
          <w:rtl/>
        </w:rPr>
        <w:t>[והרשב"א הביא דגרס כן בכריתות, ועי"ש שיטמ"ק ב].</w:t>
      </w:r>
      <w:r w:rsidRPr="0041053F">
        <w:rPr>
          <w:rFonts w:ascii="Narkisim" w:hAnsi="Narkisim"/>
          <w:rtl/>
        </w:rPr>
        <w:t xml:space="preserve"> וה</w:t>
      </w:r>
      <w:r w:rsidRPr="0041053F">
        <w:rPr>
          <w:rFonts w:ascii="Narkisim" w:hAnsi="Narkisim"/>
          <w:b/>
          <w:bCs/>
          <w:rtl/>
        </w:rPr>
        <w:t>רשב"א</w:t>
      </w:r>
      <w:r w:rsidRPr="0041053F">
        <w:rPr>
          <w:rFonts w:ascii="Narkisim" w:hAnsi="Narkisim"/>
          <w:rtl/>
        </w:rPr>
        <w:t xml:space="preserve"> תמה דא"כ מנלן דיש כאן כולל ומוסיף</w:t>
      </w:r>
      <w:r w:rsidRPr="0041053F">
        <w:rPr>
          <w:rFonts w:ascii="Narkisim" w:hAnsi="Narkisim"/>
          <w:sz w:val="20"/>
          <w:szCs w:val="20"/>
          <w:rtl/>
        </w:rPr>
        <w:t xml:space="preserve"> [וכה"ק ב</w:t>
      </w:r>
      <w:r w:rsidRPr="0041053F">
        <w:rPr>
          <w:rFonts w:ascii="Narkisim" w:hAnsi="Narkisim"/>
          <w:b/>
          <w:bCs/>
          <w:sz w:val="20"/>
          <w:szCs w:val="20"/>
          <w:rtl/>
        </w:rPr>
        <w:t>שאג"א</w:t>
      </w:r>
      <w:r w:rsidRPr="0041053F">
        <w:rPr>
          <w:rFonts w:ascii="Narkisim" w:hAnsi="Narkisim"/>
          <w:sz w:val="20"/>
          <w:szCs w:val="20"/>
          <w:rtl/>
        </w:rPr>
        <w:t xml:space="preserve"> ע</w:t>
      </w:r>
      <w:r w:rsidRPr="0041053F">
        <w:rPr>
          <w:rStyle w:val="ac"/>
          <w:rFonts w:ascii="Narkisim" w:hAnsi="Narkisim"/>
          <w:sz w:val="20"/>
          <w:szCs w:val="20"/>
          <w:rtl/>
        </w:rPr>
        <w:footnoteReference w:id="2094"/>
      </w:r>
      <w:r w:rsidRPr="0041053F">
        <w:rPr>
          <w:rFonts w:ascii="Narkisim" w:hAnsi="Narkisim"/>
          <w:sz w:val="20"/>
          <w:szCs w:val="20"/>
          <w:rtl/>
        </w:rPr>
        <w:t>. וה</w:t>
      </w:r>
      <w:r w:rsidRPr="0041053F">
        <w:rPr>
          <w:rFonts w:ascii="Narkisim" w:hAnsi="Narkisim"/>
          <w:b/>
          <w:bCs/>
          <w:sz w:val="20"/>
          <w:szCs w:val="20"/>
          <w:rtl/>
        </w:rPr>
        <w:t>שאג"א</w:t>
      </w:r>
      <w:r w:rsidRPr="0041053F">
        <w:rPr>
          <w:rFonts w:ascii="Narkisim" w:hAnsi="Narkisim"/>
          <w:sz w:val="20"/>
          <w:szCs w:val="20"/>
          <w:rtl/>
        </w:rPr>
        <w:t xml:space="preserve"> (ס"ס ע) פי' עוד דלחד תי' בגמ' בשבועות כד: איירי מתני' בבכור [דליתא בשאלה], א"כ בשעת לידתו חל איסור חלב ומוקדשים בבת א'.</w:t>
      </w:r>
    </w:p>
    <w:p w14:paraId="74797A6F" w14:textId="77777777" w:rsidR="006074A5" w:rsidRPr="0041053F" w:rsidRDefault="006074A5" w:rsidP="006074A5">
      <w:pPr>
        <w:bidi/>
        <w:rPr>
          <w:rFonts w:ascii="Narkisim" w:hAnsi="Narkisim" w:cs="Narkisim"/>
        </w:rPr>
      </w:pPr>
      <w:r w:rsidRPr="0041053F">
        <w:rPr>
          <w:rFonts w:ascii="Narkisim" w:hAnsi="Narkisim" w:cs="Narkisim"/>
          <w:u w:val="single"/>
          <w:rtl/>
        </w:rPr>
        <w:t>ור' מאיר.</w:t>
      </w:r>
      <w:r w:rsidRPr="0041053F">
        <w:rPr>
          <w:rFonts w:ascii="Narkisim" w:hAnsi="Narkisim" w:cs="Narkisim"/>
          <w:rtl/>
        </w:rPr>
        <w:t xml:space="preserve"> ל</w:t>
      </w:r>
      <w:r w:rsidRPr="0041053F">
        <w:rPr>
          <w:rFonts w:ascii="Narkisim" w:hAnsi="Narkisim" w:cs="Narkisim"/>
          <w:b/>
          <w:bCs/>
          <w:rtl/>
        </w:rPr>
        <w:t>רש"י</w:t>
      </w:r>
      <w:r w:rsidRPr="0041053F">
        <w:rPr>
          <w:rFonts w:ascii="Narkisim" w:hAnsi="Narkisim" w:cs="Narkisim"/>
          <w:rtl/>
        </w:rPr>
        <w:t xml:space="preserve"> וה</w:t>
      </w:r>
      <w:r w:rsidRPr="0041053F">
        <w:rPr>
          <w:rFonts w:ascii="Narkisim" w:hAnsi="Narkisim" w:cs="Narkisim"/>
          <w:b/>
          <w:bCs/>
          <w:rtl/>
        </w:rPr>
        <w:t>רי"ף</w:t>
      </w:r>
      <w:r w:rsidRPr="0041053F">
        <w:rPr>
          <w:rFonts w:ascii="Narkisim" w:hAnsi="Narkisim" w:cs="Narkisim"/>
          <w:rtl/>
        </w:rPr>
        <w:t xml:space="preserve"> ראיית הגמ' מדברי ר' מאיר, אבל ל</w:t>
      </w:r>
      <w:r w:rsidRPr="0041053F">
        <w:rPr>
          <w:rFonts w:ascii="Narkisim" w:hAnsi="Narkisim" w:cs="Narkisim"/>
          <w:b/>
          <w:bCs/>
          <w:rtl/>
        </w:rPr>
        <w:t>ר"ח</w:t>
      </w:r>
      <w:r w:rsidRPr="0041053F">
        <w:rPr>
          <w:rFonts w:ascii="Narkisim" w:hAnsi="Narkisim" w:cs="Narkisim"/>
          <w:rtl/>
        </w:rPr>
        <w:t xml:space="preserve"> אף מת"ק דהמשנה מוכח דס"ל כולל ומוסיף ובת א'. אלא משום דהוה סתם משנה, ולא חלקו עליו חכמים אלא בסיפא.</w:t>
      </w:r>
    </w:p>
    <w:p w14:paraId="735ADB46" w14:textId="77777777" w:rsidR="006074A5" w:rsidRPr="0041053F" w:rsidRDefault="006074A5" w:rsidP="006074A5">
      <w:pPr>
        <w:bidi/>
        <w:rPr>
          <w:rFonts w:ascii="Narkisim" w:hAnsi="Narkisim" w:cs="Narkisim"/>
        </w:rPr>
      </w:pPr>
      <w:r w:rsidRPr="0041053F">
        <w:rPr>
          <w:rFonts w:ascii="Narkisim" w:hAnsi="Narkisim" w:cs="Narkisim"/>
          <w:u w:val="single"/>
          <w:rtl/>
        </w:rPr>
        <w:lastRenderedPageBreak/>
        <w:t>האמר טעה בדבר מצוה פטור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דמתכוין לישא אשה. ולהך מ"ד כל המתכוין לדבר מצוה פטור מחטאת</w:t>
      </w:r>
      <w:r w:rsidRPr="0041053F">
        <w:rPr>
          <w:rStyle w:val="ac"/>
          <w:rFonts w:ascii="Narkisim" w:hAnsi="Narkisim" w:cs="Narkisim"/>
          <w:rtl/>
        </w:rPr>
        <w:footnoteReference w:id="2095"/>
      </w:r>
      <w:r w:rsidRPr="0041053F">
        <w:rPr>
          <w:rFonts w:ascii="Narkisim" w:hAnsi="Narkisim" w:cs="Narkisim"/>
          <w:rtl/>
        </w:rPr>
        <w:t>. וע' בסוגיא (פסחים עב.).</w:t>
      </w:r>
    </w:p>
    <w:p w14:paraId="7F9AFC72"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או"ש</w:t>
      </w:r>
      <w:r w:rsidRPr="0041053F">
        <w:rPr>
          <w:rFonts w:ascii="Narkisim" w:hAnsi="Narkisim"/>
          <w:rtl/>
        </w:rPr>
        <w:t xml:space="preserve"> (שבת א ח ד"ה ויש להתבונן במאי) הביא דמבואר דאף בעריות יש פטור טעה בדבר מצווה, ואף שנהנה. ודוקא לענין מתעסק אמרו דחייב בעריות משום שנהנה</w:t>
      </w:r>
      <w:r w:rsidRPr="0041053F">
        <w:rPr>
          <w:rStyle w:val="ac"/>
          <w:rFonts w:ascii="Narkisim" w:hAnsi="Narkisim"/>
          <w:rtl/>
        </w:rPr>
        <w:footnoteReference w:id="2096"/>
      </w:r>
      <w:r w:rsidRPr="0041053F">
        <w:rPr>
          <w:rFonts w:ascii="Narkisim" w:hAnsi="Narkisim"/>
          <w:rtl/>
        </w:rPr>
        <w:t>. ודחה דלענין טעה בדבר מצווה מה שנהנה אינו סיבה לפטור, שהרי אף בהנאה נתכוון למצווה. עי"ש שהאריך בזה.</w:t>
      </w:r>
    </w:p>
    <w:p w14:paraId="77D39088" w14:textId="77777777" w:rsidR="006074A5" w:rsidRPr="0041053F" w:rsidRDefault="006074A5" w:rsidP="006074A5">
      <w:pPr>
        <w:pStyle w:val="aa"/>
        <w:bidi/>
        <w:rPr>
          <w:rFonts w:ascii="Narkisim" w:hAnsi="Narkisim"/>
        </w:rPr>
      </w:pPr>
      <w:r w:rsidRPr="0041053F">
        <w:rPr>
          <w:rFonts w:ascii="Narkisim" w:hAnsi="Narkisim"/>
          <w:u w:val="single"/>
          <w:rtl/>
        </w:rPr>
        <w:t>א"ר ביבי בר אביי הכא בערב פסח דזמנו בהול וכו'.</w:t>
      </w:r>
      <w:r w:rsidRPr="0041053F">
        <w:rPr>
          <w:rFonts w:ascii="Narkisim" w:hAnsi="Narkisim"/>
          <w:rtl/>
        </w:rPr>
        <w:t xml:space="preserve"> ומש"ה פטור משום טירדא דמצוה. אבל ה</w:t>
      </w:r>
      <w:r w:rsidRPr="0041053F">
        <w:rPr>
          <w:rFonts w:ascii="Narkisim" w:hAnsi="Narkisim"/>
          <w:b/>
          <w:bCs/>
          <w:rtl/>
        </w:rPr>
        <w:t>רמב"ם</w:t>
      </w:r>
      <w:r w:rsidRPr="0041053F">
        <w:rPr>
          <w:rFonts w:ascii="Narkisim" w:hAnsi="Narkisim"/>
          <w:rtl/>
        </w:rPr>
        <w:t xml:space="preserve"> (תרומות י יב, והו' במאירי) כת' דכיון דבהול פטור אף מקרן [דנחשב אונס]. ואכ"מ.</w:t>
      </w:r>
    </w:p>
    <w:p w14:paraId="0A5C99A3" w14:textId="77777777" w:rsidR="006074A5" w:rsidRPr="0041053F" w:rsidRDefault="006074A5" w:rsidP="006074A5">
      <w:pPr>
        <w:pStyle w:val="aa"/>
        <w:bidi/>
        <w:rPr>
          <w:rFonts w:ascii="Narkisim" w:hAnsi="Narkisim"/>
        </w:rPr>
      </w:pPr>
      <w:r w:rsidRPr="0041053F">
        <w:rPr>
          <w:rFonts w:ascii="Narkisim" w:hAnsi="Narkisim"/>
          <w:u w:val="single"/>
          <w:rtl/>
        </w:rPr>
        <w:t>תוד"ה בערב.</w:t>
      </w:r>
      <w:r w:rsidRPr="0041053F">
        <w:rPr>
          <w:rFonts w:ascii="Narkisim" w:hAnsi="Narkisim"/>
          <w:rtl/>
        </w:rPr>
        <w:t xml:space="preserve"> המ"ל וכו' דאיקרי עבודה וכו' כדאמר (פסחים עב:). דס"ד דהגמ' (פסחים) דסברת ר' יהושע דטעה בדבר מצווה פטור, ואף כשאין זמנו בהול. והגמ' דוחה בתרומה בערב פסח דהוה בהול. א"נ שאני תרומה דאיקרי עבודה וכו'. [וסברת ר' יהושע התם לא הוה משום טעה בדבר מצווה</w:t>
      </w:r>
      <w:r w:rsidRPr="0041053F">
        <w:rPr>
          <w:rStyle w:val="ac"/>
          <w:rFonts w:ascii="Narkisim" w:hAnsi="Narkisim"/>
          <w:rtl/>
        </w:rPr>
        <w:footnoteReference w:id="2097"/>
      </w:r>
      <w:r w:rsidRPr="0041053F">
        <w:rPr>
          <w:rFonts w:ascii="Narkisim" w:hAnsi="Narkisim"/>
          <w:rtl/>
        </w:rPr>
        <w:t>].</w:t>
      </w:r>
    </w:p>
    <w:p w14:paraId="1D7EA8CE" w14:textId="77777777" w:rsidR="006074A5" w:rsidRPr="0041053F" w:rsidRDefault="006074A5" w:rsidP="006074A5">
      <w:pPr>
        <w:pStyle w:val="a8"/>
        <w:bidi/>
        <w:rPr>
          <w:rFonts w:ascii="Narkisim" w:hAnsi="Narkisim"/>
        </w:rPr>
      </w:pPr>
      <w:r w:rsidRPr="0041053F">
        <w:rPr>
          <w:rFonts w:ascii="Narkisim" w:hAnsi="Narkisim"/>
          <w:rtl/>
        </w:rPr>
        <w:t>ו</w:t>
      </w:r>
      <w:r w:rsidRPr="0041053F">
        <w:rPr>
          <w:rFonts w:ascii="Narkisim" w:hAnsi="Narkisim"/>
          <w:b/>
          <w:bCs/>
          <w:rtl/>
        </w:rPr>
        <w:t>רע"א</w:t>
      </w:r>
      <w:r w:rsidRPr="0041053F">
        <w:rPr>
          <w:rFonts w:ascii="Narkisim" w:hAnsi="Narkisim"/>
          <w:rtl/>
        </w:rPr>
        <w:t xml:space="preserve"> (שם) תמה דנח' (ברישא שם) אף באכילת עבדים ואשת כהן שנתברר שגירשם, והתם הוה זר גמור ולא שייך הך טעמא</w:t>
      </w:r>
      <w:r w:rsidRPr="0041053F">
        <w:rPr>
          <w:rStyle w:val="ac"/>
          <w:rFonts w:ascii="Narkisim" w:hAnsi="Narkisim"/>
          <w:rtl/>
        </w:rPr>
        <w:footnoteReference w:id="2098"/>
      </w:r>
      <w:r w:rsidRPr="0041053F">
        <w:rPr>
          <w:rFonts w:ascii="Narkisim" w:hAnsi="Narkisim"/>
          <w:rtl/>
        </w:rPr>
        <w:t>. וע"כ דהרישא משום טעה בדבר מצווה בערב פסח בזמנו בהול. ומנ"ל דפליגי בתרתי. וצע"ג.</w:t>
      </w:r>
    </w:p>
    <w:p w14:paraId="1F1EAF38" w14:textId="77777777" w:rsidR="006074A5" w:rsidRPr="0041053F" w:rsidRDefault="006074A5" w:rsidP="006074A5">
      <w:pPr>
        <w:bidi/>
        <w:rPr>
          <w:rFonts w:ascii="Narkisim" w:hAnsi="Narkisim" w:cs="Narkisim"/>
        </w:rPr>
      </w:pPr>
      <w:r w:rsidRPr="0041053F">
        <w:rPr>
          <w:rFonts w:ascii="Narkisim" w:hAnsi="Narkisim" w:cs="Narkisim"/>
          <w:u w:val="single"/>
          <w:rtl/>
        </w:rPr>
        <w:t>בשופעות מתוך י"ג וכו'.</w:t>
      </w:r>
      <w:r w:rsidRPr="0041053F">
        <w:rPr>
          <w:rFonts w:ascii="Narkisim" w:hAnsi="Narkisim" w:cs="Narkisim"/>
          <w:rtl/>
        </w:rPr>
        <w:t xml:space="preserve"> פ</w:t>
      </w:r>
      <w:r w:rsidRPr="0041053F">
        <w:rPr>
          <w:rFonts w:ascii="Narkisim" w:hAnsi="Narkisim" w:cs="Narkisim"/>
          <w:b/>
          <w:bCs/>
          <w:rtl/>
        </w:rPr>
        <w:t>רש"י</w:t>
      </w:r>
      <w:r w:rsidRPr="0041053F">
        <w:rPr>
          <w:rFonts w:ascii="Narkisim" w:hAnsi="Narkisim" w:cs="Narkisim"/>
          <w:rtl/>
        </w:rPr>
        <w:t xml:space="preserve"> שנולדו בא' בתשרי וכו' ומסרו קידושין שיחול ביום מחרת </w:t>
      </w:r>
      <w:r w:rsidRPr="0041053F">
        <w:rPr>
          <w:rFonts w:ascii="Narkisim" w:hAnsi="Narkisim" w:cs="Narkisim"/>
          <w:sz w:val="20"/>
          <w:szCs w:val="20"/>
          <w:rtl/>
        </w:rPr>
        <w:t>[ע' בסמוך היאך מהני]</w:t>
      </w:r>
      <w:r w:rsidRPr="0041053F">
        <w:rPr>
          <w:rFonts w:ascii="Narkisim" w:hAnsi="Narkisim" w:cs="Narkisim"/>
          <w:rtl/>
        </w:rPr>
        <w:t xml:space="preserve">. ולא איירי דפגע שליח בשליח, אלא חל בבת א' בתחילת היום. </w:t>
      </w:r>
      <w:r w:rsidRPr="0041053F">
        <w:rPr>
          <w:rFonts w:ascii="Narkisim" w:hAnsi="Narkisim" w:cs="Narkisim"/>
          <w:sz w:val="20"/>
          <w:szCs w:val="20"/>
          <w:rtl/>
        </w:rPr>
        <w:t>ה</w:t>
      </w:r>
      <w:r w:rsidRPr="0041053F">
        <w:rPr>
          <w:rFonts w:ascii="Narkisim" w:hAnsi="Narkisim" w:cs="Narkisim"/>
          <w:b/>
          <w:bCs/>
          <w:sz w:val="20"/>
          <w:szCs w:val="20"/>
          <w:rtl/>
        </w:rPr>
        <w:t xml:space="preserve">משנ"ל </w:t>
      </w:r>
      <w:r w:rsidRPr="0041053F">
        <w:rPr>
          <w:rFonts w:ascii="Narkisim" w:hAnsi="Narkisim" w:cs="Narkisim"/>
          <w:sz w:val="20"/>
          <w:szCs w:val="20"/>
          <w:rtl/>
        </w:rPr>
        <w:t>(אישות ב כא) הביא דמבואר דחל הגדלות בתחילת היום [וכדעת הפוסקים</w:t>
      </w:r>
      <w:r w:rsidRPr="0041053F">
        <w:rPr>
          <w:rStyle w:val="ac"/>
          <w:rFonts w:ascii="Narkisim" w:hAnsi="Narkisim" w:cs="Narkisim"/>
          <w:sz w:val="20"/>
          <w:szCs w:val="20"/>
          <w:rtl/>
        </w:rPr>
        <w:footnoteReference w:id="2099"/>
      </w:r>
      <w:r w:rsidRPr="0041053F">
        <w:rPr>
          <w:rFonts w:ascii="Narkisim" w:hAnsi="Narkisim" w:cs="Narkisim"/>
          <w:sz w:val="20"/>
          <w:szCs w:val="20"/>
          <w:rtl/>
        </w:rPr>
        <w:t>], ול"צ להשלים מעת לעת דשעות. [ו</w:t>
      </w:r>
      <w:r w:rsidRPr="0041053F">
        <w:rPr>
          <w:rFonts w:ascii="Narkisim" w:hAnsi="Narkisim" w:cs="Narkisim"/>
          <w:b/>
          <w:bCs/>
          <w:sz w:val="20"/>
          <w:szCs w:val="20"/>
          <w:rtl/>
        </w:rPr>
        <w:t>תוס'</w:t>
      </w:r>
      <w:r w:rsidRPr="0041053F">
        <w:rPr>
          <w:rFonts w:ascii="Narkisim" w:hAnsi="Narkisim" w:cs="Narkisim"/>
          <w:sz w:val="20"/>
          <w:szCs w:val="20"/>
          <w:rtl/>
        </w:rPr>
        <w:t xml:space="preserve"> (ערכין לא. ד"ה מיום) הביאו בזה מח']. ו</w:t>
      </w:r>
      <w:r w:rsidRPr="0041053F">
        <w:rPr>
          <w:rFonts w:ascii="Narkisim" w:hAnsi="Narkisim" w:cs="Narkisim"/>
          <w:b/>
          <w:bCs/>
          <w:sz w:val="20"/>
          <w:szCs w:val="20"/>
          <w:rtl/>
        </w:rPr>
        <w:t>רע"א</w:t>
      </w:r>
      <w:r w:rsidRPr="0041053F">
        <w:rPr>
          <w:rFonts w:ascii="Narkisim" w:hAnsi="Narkisim" w:cs="Narkisim"/>
          <w:sz w:val="20"/>
          <w:szCs w:val="20"/>
          <w:rtl/>
        </w:rPr>
        <w:t xml:space="preserve"> כתב דלגירסת ר"ח אין ראיה.</w:t>
      </w:r>
    </w:p>
    <w:p w14:paraId="7734BCA6" w14:textId="77777777" w:rsidR="006074A5" w:rsidRPr="0041053F" w:rsidRDefault="006074A5" w:rsidP="006074A5">
      <w:pPr>
        <w:pStyle w:val="a7"/>
        <w:bidi/>
        <w:rPr>
          <w:rFonts w:ascii="Narkisim" w:hAnsi="Narkisim"/>
        </w:rPr>
      </w:pPr>
      <w:r w:rsidRPr="0041053F">
        <w:rPr>
          <w:rFonts w:ascii="Narkisim" w:hAnsi="Narkisim"/>
          <w:rtl/>
        </w:rPr>
        <w:t>אבל לגירסת</w:t>
      </w:r>
      <w:r w:rsidRPr="0041053F">
        <w:rPr>
          <w:rFonts w:ascii="Narkisim" w:hAnsi="Narkisim"/>
          <w:b/>
          <w:bCs/>
          <w:rtl/>
        </w:rPr>
        <w:t xml:space="preserve"> ר"ח</w:t>
      </w:r>
      <w:r w:rsidRPr="0041053F">
        <w:rPr>
          <w:rFonts w:ascii="Narkisim" w:hAnsi="Narkisim"/>
          <w:rtl/>
        </w:rPr>
        <w:t xml:space="preserve"> </w:t>
      </w:r>
      <w:r w:rsidRPr="0041053F">
        <w:rPr>
          <w:rFonts w:ascii="Narkisim" w:hAnsi="Narkisim"/>
          <w:sz w:val="20"/>
          <w:szCs w:val="20"/>
          <w:rtl/>
        </w:rPr>
        <w:t xml:space="preserve">(הו' בתוד"ה מתוך ושא"ר) </w:t>
      </w:r>
      <w:r w:rsidRPr="0041053F">
        <w:rPr>
          <w:rFonts w:ascii="Narkisim" w:hAnsi="Narkisim"/>
          <w:rtl/>
        </w:rPr>
        <w:t>הזכרים גדולים, והאב קיבל קידושין [בבת א']. וע"ע ריטב"א.</w:t>
      </w:r>
    </w:p>
    <w:p w14:paraId="3D362D2F" w14:textId="77777777" w:rsidR="006074A5" w:rsidRPr="0041053F" w:rsidRDefault="006074A5" w:rsidP="006074A5">
      <w:pPr>
        <w:pStyle w:val="a8"/>
        <w:bidi/>
        <w:rPr>
          <w:rFonts w:ascii="Narkisim" w:hAnsi="Narkisim"/>
        </w:rPr>
      </w:pPr>
      <w:r w:rsidRPr="0041053F">
        <w:rPr>
          <w:rFonts w:ascii="Narkisim" w:hAnsi="Narkisim"/>
          <w:rtl/>
        </w:rPr>
        <w:t>וב</w:t>
      </w:r>
      <w:r w:rsidRPr="0041053F">
        <w:rPr>
          <w:rFonts w:ascii="Narkisim" w:hAnsi="Narkisim"/>
          <w:b/>
          <w:bCs/>
          <w:rtl/>
        </w:rPr>
        <w:t>שו"ת נוב"י</w:t>
      </w:r>
      <w:r w:rsidRPr="0041053F">
        <w:rPr>
          <w:rFonts w:ascii="Narkisim" w:hAnsi="Narkisim"/>
          <w:rtl/>
        </w:rPr>
        <w:t xml:space="preserve"> (או"ח ת' קיח, מבן המחבר) כתב דלדברי רש"י מבואר דאף איסור נדה, דהוה על החפצא, כיון שגדלו נחשב שחל הכל בבת אחת. ודן דמסתבר דאיסור חפצא כבר חל, והיאך יחול שוב איסור אחות אשה ואשת אח. [וכתב דלדברי ר"ח אין ראיה לזה].</w:t>
      </w:r>
    </w:p>
    <w:p w14:paraId="627027BC"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 xml:space="preserve">חזו"א </w:t>
      </w:r>
      <w:r w:rsidRPr="0041053F">
        <w:rPr>
          <w:rFonts w:ascii="Narkisim" w:hAnsi="Narkisim"/>
          <w:rtl/>
        </w:rPr>
        <w:t>(קלד טז) חילק דנבילה כיון דלא חל על החפצא [מדין אאחע"א] בשעת מיתת הבהמה, לא תחול אח"כ למי שהביא ב' שערות אח"כ. אבל אחות אשה אשת אח ואשת איש, כיון דהאישות קיימת, אף דלא חל האיסור כלפי עלמא, חל איסור כלפי מי שהביא ב' שערות. דאצלו הוה בבת א'</w:t>
      </w:r>
      <w:r w:rsidRPr="0041053F">
        <w:rPr>
          <w:rStyle w:val="ac"/>
          <w:rFonts w:ascii="Narkisim" w:hAnsi="Narkisim"/>
          <w:rtl/>
        </w:rPr>
        <w:footnoteReference w:id="2100"/>
      </w:r>
      <w:r w:rsidRPr="0041053F">
        <w:rPr>
          <w:rFonts w:ascii="Narkisim" w:hAnsi="Narkisim"/>
          <w:rtl/>
        </w:rPr>
        <w:t xml:space="preserve">.  </w:t>
      </w:r>
    </w:p>
    <w:p w14:paraId="03B131F7" w14:textId="77777777" w:rsidR="006074A5" w:rsidRPr="0041053F" w:rsidRDefault="006074A5" w:rsidP="006074A5">
      <w:pPr>
        <w:bidi/>
        <w:rPr>
          <w:rFonts w:ascii="Narkisim" w:hAnsi="Narkisim" w:cs="Narkisim"/>
        </w:rPr>
      </w:pPr>
      <w:r w:rsidRPr="0041053F">
        <w:rPr>
          <w:rFonts w:ascii="Narkisim" w:hAnsi="Narkisim" w:cs="Narkisim"/>
          <w:u w:val="single"/>
          <w:rtl/>
        </w:rPr>
        <w:t>שם. מתוך י"ג</w:t>
      </w:r>
      <w:r w:rsidRPr="0041053F">
        <w:rPr>
          <w:rFonts w:ascii="Narkisim" w:hAnsi="Narkisim" w:cs="Narkisim"/>
          <w:rtl/>
        </w:rPr>
        <w:t>. וה</w:t>
      </w:r>
      <w:r w:rsidRPr="0041053F">
        <w:rPr>
          <w:rFonts w:ascii="Narkisim" w:hAnsi="Narkisim" w:cs="Narkisim"/>
          <w:b/>
          <w:bCs/>
          <w:rtl/>
        </w:rPr>
        <w:t>רמב"ן</w:t>
      </w:r>
      <w:r w:rsidRPr="0041053F">
        <w:rPr>
          <w:rFonts w:ascii="Narkisim" w:hAnsi="Narkisim" w:cs="Narkisim"/>
          <w:rtl/>
        </w:rPr>
        <w:t xml:space="preserve"> הק' עוד דגדלות תליא בשערות ולא רק בשנים, וא"א שיביאו כולם שערות בבת א'. וה</w:t>
      </w:r>
      <w:r w:rsidRPr="0041053F">
        <w:rPr>
          <w:rFonts w:ascii="Narkisim" w:hAnsi="Narkisim" w:cs="Narkisim"/>
          <w:b/>
          <w:bCs/>
          <w:rtl/>
        </w:rPr>
        <w:t>רשב"א</w:t>
      </w:r>
      <w:r w:rsidRPr="0041053F">
        <w:rPr>
          <w:rFonts w:ascii="Narkisim" w:hAnsi="Narkisim" w:cs="Narkisim"/>
          <w:rtl/>
        </w:rPr>
        <w:t xml:space="preserve"> תי' דאיירי דהביאו שערות באותו יום, ואמרי' מדהשתא גדול מצפרא נמי גדול</w:t>
      </w:r>
      <w:r w:rsidRPr="0041053F">
        <w:rPr>
          <w:rFonts w:ascii="Narkisim" w:hAnsi="Narkisim" w:cs="Narkisim"/>
          <w:sz w:val="20"/>
          <w:szCs w:val="20"/>
          <w:rtl/>
        </w:rPr>
        <w:t xml:space="preserve"> [דקי"ל כרב (קידושין עט.) דאמרי' כיון דבוגרת לפנינו אמרי' דהוה מצפרא],</w:t>
      </w:r>
      <w:r w:rsidRPr="0041053F">
        <w:rPr>
          <w:rFonts w:ascii="Narkisim" w:hAnsi="Narkisim" w:cs="Narkisim"/>
          <w:rtl/>
        </w:rPr>
        <w:t xml:space="preserve"> וכל חד אמרי' דמצפרא נמי גדול </w:t>
      </w:r>
      <w:r w:rsidRPr="0041053F">
        <w:rPr>
          <w:rFonts w:ascii="Narkisim" w:hAnsi="Narkisim" w:cs="Narkisim"/>
          <w:sz w:val="20"/>
          <w:szCs w:val="20"/>
          <w:rtl/>
        </w:rPr>
        <w:t>[וע"י חזקה הוכרע דהוה בבת א'],</w:t>
      </w:r>
      <w:r w:rsidRPr="0041053F">
        <w:rPr>
          <w:rFonts w:ascii="Narkisim" w:hAnsi="Narkisim" w:cs="Narkisim"/>
          <w:rtl/>
        </w:rPr>
        <w:t xml:space="preserve"> ומביא קרבן ונאכל.</w:t>
      </w:r>
    </w:p>
    <w:p w14:paraId="3FD67BF7" w14:textId="77777777" w:rsidR="006074A5" w:rsidRPr="0041053F" w:rsidRDefault="006074A5" w:rsidP="006074A5">
      <w:pPr>
        <w:pStyle w:val="aa"/>
        <w:bidi/>
        <w:rPr>
          <w:rFonts w:ascii="Narkisim" w:hAnsi="Narkisim"/>
        </w:rPr>
      </w:pPr>
      <w:r w:rsidRPr="0041053F">
        <w:rPr>
          <w:rFonts w:ascii="Narkisim" w:hAnsi="Narkisim"/>
          <w:u w:val="single"/>
          <w:rtl/>
        </w:rPr>
        <w:t>בשופעות.</w:t>
      </w:r>
      <w:r w:rsidRPr="0041053F">
        <w:rPr>
          <w:rFonts w:ascii="Narkisim" w:hAnsi="Narkisim"/>
          <w:rtl/>
        </w:rPr>
        <w:t xml:space="preserve"> </w:t>
      </w:r>
      <w:r w:rsidRPr="0041053F">
        <w:rPr>
          <w:rFonts w:ascii="Narkisim" w:hAnsi="Narkisim"/>
          <w:b/>
          <w:bCs/>
          <w:rtl/>
        </w:rPr>
        <w:t>תוס</w:t>
      </w:r>
      <w:r w:rsidRPr="0041053F">
        <w:rPr>
          <w:rFonts w:ascii="Narkisim" w:hAnsi="Narkisim"/>
          <w:rtl/>
        </w:rPr>
        <w:t>' (בע"ב) ושא"ר כת' דלאו דוקא, דכל שלא טבלה עדיין בנדתה היא</w:t>
      </w:r>
      <w:r w:rsidRPr="0041053F">
        <w:rPr>
          <w:rStyle w:val="ac"/>
          <w:rFonts w:ascii="Narkisim" w:hAnsi="Narkisim"/>
          <w:rtl/>
        </w:rPr>
        <w:footnoteReference w:id="2101"/>
      </w:r>
      <w:r w:rsidRPr="0041053F">
        <w:rPr>
          <w:rFonts w:ascii="Narkisim" w:hAnsi="Narkisim"/>
          <w:rtl/>
        </w:rPr>
        <w:t>. [ואף דמעיקרא לא חל 'איסור נדה' למי שעדיין לא גדל, אפ"ה הוה נדה בחפצא, וכשתגדל נאסרת עליו].</w:t>
      </w:r>
    </w:p>
    <w:p w14:paraId="225E8527" w14:textId="77777777" w:rsidR="006074A5" w:rsidRPr="0041053F" w:rsidRDefault="006074A5" w:rsidP="006074A5">
      <w:pPr>
        <w:bidi/>
        <w:rPr>
          <w:rFonts w:ascii="Narkisim" w:hAnsi="Narkisim" w:cs="Narkisim"/>
        </w:rPr>
      </w:pPr>
      <w:r w:rsidRPr="0041053F">
        <w:rPr>
          <w:rFonts w:ascii="Narkisim" w:hAnsi="Narkisim" w:cs="Narkisim"/>
          <w:u w:val="single"/>
          <w:rtl/>
        </w:rPr>
        <w:t>תוד"ה מתוך.</w:t>
      </w:r>
      <w:r w:rsidRPr="0041053F">
        <w:rPr>
          <w:rFonts w:ascii="Narkisim" w:hAnsi="Narkisim" w:cs="Narkisim"/>
          <w:rtl/>
        </w:rPr>
        <w:t xml:space="preserve"> שאין יכולים לקדש ולא לעשות שליח עד שיגדיל, שאין מעשה קטן כלום.</w:t>
      </w:r>
      <w:r w:rsidRPr="0041053F">
        <w:rPr>
          <w:rFonts w:ascii="Narkisim" w:hAnsi="Narkisim" w:cs="Narkisim"/>
          <w:sz w:val="20"/>
          <w:szCs w:val="20"/>
          <w:rtl/>
        </w:rPr>
        <w:t xml:space="preserve"> [וה</w:t>
      </w:r>
      <w:r w:rsidRPr="0041053F">
        <w:rPr>
          <w:rFonts w:ascii="Narkisim" w:hAnsi="Narkisim" w:cs="Narkisim"/>
          <w:b/>
          <w:bCs/>
          <w:sz w:val="20"/>
          <w:szCs w:val="20"/>
          <w:rtl/>
        </w:rPr>
        <w:t>אחרונים</w:t>
      </w:r>
      <w:r w:rsidRPr="0041053F">
        <w:rPr>
          <w:rFonts w:ascii="Narkisim" w:hAnsi="Narkisim" w:cs="Narkisim"/>
          <w:sz w:val="20"/>
          <w:szCs w:val="20"/>
          <w:rtl/>
        </w:rPr>
        <w:t xml:space="preserve"> האריכו לדון האם הוה חסרון 'מעשה' או בשליחות. וע"ע </w:t>
      </w:r>
      <w:r w:rsidRPr="0041053F">
        <w:rPr>
          <w:rFonts w:ascii="Narkisim" w:hAnsi="Narkisim" w:cs="Narkisim"/>
          <w:b/>
          <w:bCs/>
          <w:sz w:val="20"/>
          <w:szCs w:val="20"/>
          <w:rtl/>
        </w:rPr>
        <w:t>נוב"י</w:t>
      </w:r>
      <w:r w:rsidRPr="0041053F">
        <w:rPr>
          <w:rFonts w:ascii="Narkisim" w:hAnsi="Narkisim" w:cs="Narkisim"/>
          <w:sz w:val="20"/>
          <w:szCs w:val="20"/>
          <w:rtl/>
        </w:rPr>
        <w:t xml:space="preserve"> (אה"ע ת' נד י)]. </w:t>
      </w:r>
      <w:r w:rsidRPr="0041053F">
        <w:rPr>
          <w:rFonts w:ascii="Narkisim" w:hAnsi="Narkisim" w:cs="Narkisim"/>
          <w:rtl/>
        </w:rPr>
        <w:t>וה</w:t>
      </w:r>
      <w:r w:rsidRPr="0041053F">
        <w:rPr>
          <w:rFonts w:ascii="Narkisim" w:hAnsi="Narkisim" w:cs="Narkisim"/>
          <w:b/>
          <w:bCs/>
          <w:rtl/>
        </w:rPr>
        <w:t>תוס' הרא"ש</w:t>
      </w:r>
      <w:r w:rsidRPr="0041053F">
        <w:rPr>
          <w:rFonts w:ascii="Narkisim" w:hAnsi="Narkisim" w:cs="Narkisim"/>
          <w:rtl/>
        </w:rPr>
        <w:t xml:space="preserve"> כת' דאין למנוע שיהני דיבור של קטן, שחל הקידושין לאחר שיגדיל. מידי דהוה אלאחר שאתגייר, דאף דאין מעשה גוי כלום אפ"ה מהני לכשיגדל.</w:t>
      </w:r>
    </w:p>
    <w:p w14:paraId="1F26FB84" w14:textId="77777777" w:rsidR="006074A5" w:rsidRPr="0041053F" w:rsidRDefault="006074A5" w:rsidP="006074A5">
      <w:pPr>
        <w:pStyle w:val="a7"/>
        <w:bidi/>
        <w:rPr>
          <w:rFonts w:ascii="Narkisim" w:hAnsi="Narkisim"/>
        </w:rPr>
      </w:pPr>
      <w:r w:rsidRPr="0041053F">
        <w:rPr>
          <w:rFonts w:ascii="Narkisim" w:hAnsi="Narkisim"/>
          <w:rtl/>
        </w:rPr>
        <w:t>אך ה</w:t>
      </w:r>
      <w:r w:rsidRPr="0041053F">
        <w:rPr>
          <w:rFonts w:ascii="Narkisim" w:hAnsi="Narkisim"/>
          <w:b/>
          <w:bCs/>
          <w:rtl/>
        </w:rPr>
        <w:t>תוס' רא"ש</w:t>
      </w:r>
      <w:r w:rsidRPr="0041053F">
        <w:rPr>
          <w:rFonts w:ascii="Narkisim" w:hAnsi="Narkisim"/>
          <w:rtl/>
        </w:rPr>
        <w:t xml:space="preserve"> (והרמב"ן ושא"ר) הק' דהוה דבר שלא בא לעולם, והך לישנא לא קאי כר' מאיר.</w:t>
      </w:r>
    </w:p>
    <w:p w14:paraId="358BC255" w14:textId="77777777" w:rsidR="006074A5" w:rsidRPr="0041053F" w:rsidRDefault="006074A5" w:rsidP="006074A5">
      <w:pPr>
        <w:pStyle w:val="a7"/>
        <w:bidi/>
        <w:rPr>
          <w:rFonts w:ascii="Narkisim" w:hAnsi="Narkisim"/>
        </w:rPr>
      </w:pPr>
      <w:r w:rsidRPr="0041053F">
        <w:rPr>
          <w:rFonts w:ascii="Narkisim" w:hAnsi="Narkisim"/>
          <w:rtl/>
        </w:rPr>
        <w:lastRenderedPageBreak/>
        <w:t>וה</w:t>
      </w:r>
      <w:r w:rsidRPr="0041053F">
        <w:rPr>
          <w:rFonts w:ascii="Narkisim" w:hAnsi="Narkisim"/>
          <w:b/>
          <w:bCs/>
          <w:rtl/>
        </w:rPr>
        <w:t>משנ"ל</w:t>
      </w:r>
      <w:r w:rsidRPr="0041053F">
        <w:rPr>
          <w:rFonts w:ascii="Narkisim" w:hAnsi="Narkisim"/>
          <w:rtl/>
        </w:rPr>
        <w:t xml:space="preserve"> (אישות ד ז) תי' דזמן ממילא אתי</w:t>
      </w:r>
      <w:r w:rsidRPr="0041053F">
        <w:rPr>
          <w:rStyle w:val="ac"/>
          <w:rFonts w:ascii="Narkisim" w:hAnsi="Narkisim"/>
          <w:rtl/>
        </w:rPr>
        <w:footnoteReference w:id="2102"/>
      </w:r>
      <w:r w:rsidRPr="0041053F">
        <w:rPr>
          <w:rFonts w:ascii="Narkisim" w:hAnsi="Narkisim"/>
          <w:rtl/>
        </w:rPr>
        <w:t>, ולא דמי למחוסר מעשה</w:t>
      </w:r>
      <w:r w:rsidRPr="0041053F">
        <w:rPr>
          <w:rStyle w:val="ac"/>
          <w:rFonts w:ascii="Narkisim" w:hAnsi="Narkisim"/>
          <w:rtl/>
        </w:rPr>
        <w:footnoteReference w:id="2103"/>
      </w:r>
      <w:r w:rsidRPr="0041053F">
        <w:rPr>
          <w:rFonts w:ascii="Narkisim" w:hAnsi="Narkisim"/>
          <w:rtl/>
        </w:rPr>
        <w:t xml:space="preserve"> [ודן דבזה אף רבנן מודו לר' מאיר]</w:t>
      </w:r>
      <w:r w:rsidRPr="0041053F">
        <w:rPr>
          <w:rStyle w:val="ac"/>
          <w:rFonts w:ascii="Narkisim" w:hAnsi="Narkisim"/>
          <w:rtl/>
        </w:rPr>
        <w:footnoteReference w:id="2104"/>
      </w:r>
      <w:r w:rsidRPr="0041053F">
        <w:rPr>
          <w:rFonts w:ascii="Narkisim" w:hAnsi="Narkisim"/>
          <w:rtl/>
        </w:rPr>
        <w:t>. והמשנ"ל הביא דנח' רש"י ותוס' בסברא זו.</w:t>
      </w:r>
    </w:p>
    <w:p w14:paraId="4DAB0661"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משנ"ל</w:t>
      </w:r>
      <w:r w:rsidRPr="0041053F">
        <w:rPr>
          <w:rFonts w:ascii="Narkisim" w:hAnsi="Narkisim"/>
          <w:rtl/>
        </w:rPr>
        <w:t xml:space="preserve"> הביא שיש שדייקו מדברי </w:t>
      </w:r>
      <w:r w:rsidRPr="0041053F">
        <w:rPr>
          <w:rFonts w:ascii="Narkisim" w:hAnsi="Narkisim"/>
          <w:b/>
          <w:bCs/>
          <w:rtl/>
        </w:rPr>
        <w:t xml:space="preserve">רש"י </w:t>
      </w:r>
      <w:r w:rsidRPr="0041053F">
        <w:rPr>
          <w:rFonts w:ascii="Narkisim" w:hAnsi="Narkisim"/>
          <w:rtl/>
        </w:rPr>
        <w:t>דקאי כשקידש רק ביום אחרון. והמשנ"ל חלק דבפשוטו לאו דוקא, דל"מ דיש לקטן יותר דעת ביום האחרון לפני שגדל. ותי' דכוונת רש"י דאיירי דהביא שערות</w:t>
      </w:r>
      <w:r w:rsidRPr="0041053F">
        <w:rPr>
          <w:rFonts w:ascii="Narkisim" w:hAnsi="Narkisim"/>
          <w:sz w:val="20"/>
          <w:szCs w:val="20"/>
          <w:rtl/>
        </w:rPr>
        <w:t xml:space="preserve"> [וכצד דביום י"ג שנים לא אמרי' דהוה שומא</w:t>
      </w:r>
      <w:r w:rsidRPr="0041053F">
        <w:rPr>
          <w:rStyle w:val="ac"/>
          <w:rFonts w:ascii="Narkisim" w:hAnsi="Narkisim"/>
          <w:sz w:val="20"/>
          <w:szCs w:val="20"/>
          <w:rtl/>
        </w:rPr>
        <w:footnoteReference w:id="2105"/>
      </w:r>
      <w:r w:rsidRPr="0041053F">
        <w:rPr>
          <w:rFonts w:ascii="Narkisim" w:hAnsi="Narkisim"/>
          <w:sz w:val="20"/>
          <w:szCs w:val="20"/>
          <w:rtl/>
        </w:rPr>
        <w:t>],</w:t>
      </w:r>
      <w:r w:rsidRPr="0041053F">
        <w:rPr>
          <w:rFonts w:ascii="Narkisim" w:hAnsi="Narkisim"/>
          <w:rtl/>
        </w:rPr>
        <w:t xml:space="preserve"> ומ"מ מחוסר זמן עד שיגדל. וס"ל לרש"י דמחוסר הבאת שערות הוה דבר שלא בא לעולם, ולכן איירי במחוסר זמן. </w:t>
      </w:r>
      <w:r w:rsidRPr="0041053F">
        <w:rPr>
          <w:rFonts w:ascii="Narkisim" w:hAnsi="Narkisim"/>
          <w:sz w:val="20"/>
          <w:szCs w:val="20"/>
          <w:rtl/>
        </w:rPr>
        <w:t>[ובאבנ"מ (מג א) האריך בזה אי אמרי' דמחוסר זמן הוה דשבל"ע].</w:t>
      </w:r>
    </w:p>
    <w:p w14:paraId="3520865D"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מהר"ח או"ז</w:t>
      </w:r>
      <w:r w:rsidRPr="0041053F">
        <w:rPr>
          <w:rFonts w:ascii="Narkisim" w:hAnsi="Narkisim"/>
          <w:rtl/>
        </w:rPr>
        <w:t xml:space="preserve"> (קסד) כתב בשם </w:t>
      </w:r>
      <w:r w:rsidRPr="0041053F">
        <w:rPr>
          <w:rFonts w:ascii="Narkisim" w:hAnsi="Narkisim"/>
          <w:b/>
          <w:bCs/>
          <w:rtl/>
        </w:rPr>
        <w:t xml:space="preserve">ר"מ מאיורא </w:t>
      </w:r>
      <w:r w:rsidRPr="0041053F">
        <w:rPr>
          <w:rFonts w:ascii="Narkisim" w:hAnsi="Narkisim"/>
          <w:rtl/>
        </w:rPr>
        <w:t>לפרש דהכא מהני ע"י שליח, וכיון דהוה פעוטות יכולים לעשות שליח שיחולו הקידושין כשיגדיל</w:t>
      </w:r>
      <w:r w:rsidRPr="0041053F">
        <w:rPr>
          <w:rStyle w:val="ac"/>
          <w:rFonts w:ascii="Narkisim" w:hAnsi="Narkisim"/>
          <w:rtl/>
        </w:rPr>
        <w:footnoteReference w:id="2106"/>
      </w:r>
      <w:r w:rsidRPr="0041053F">
        <w:rPr>
          <w:rFonts w:ascii="Narkisim" w:hAnsi="Narkisim"/>
          <w:rtl/>
        </w:rPr>
        <w:t xml:space="preserve">. </w:t>
      </w:r>
      <w:r w:rsidRPr="0041053F">
        <w:rPr>
          <w:rFonts w:ascii="Narkisim" w:hAnsi="Narkisim"/>
          <w:sz w:val="20"/>
          <w:szCs w:val="20"/>
          <w:rtl/>
        </w:rPr>
        <w:t>והא דאמרי' דכל מילתא דאיהו לא מצי עבד היינו במעשה השליח</w:t>
      </w:r>
      <w:r w:rsidRPr="0041053F">
        <w:rPr>
          <w:rStyle w:val="ac"/>
          <w:rFonts w:ascii="Narkisim" w:hAnsi="Narkisim"/>
          <w:sz w:val="20"/>
          <w:szCs w:val="20"/>
          <w:rtl/>
        </w:rPr>
        <w:footnoteReference w:id="2107"/>
      </w:r>
      <w:r w:rsidRPr="0041053F">
        <w:rPr>
          <w:rFonts w:ascii="Narkisim" w:hAnsi="Narkisim"/>
          <w:sz w:val="20"/>
          <w:szCs w:val="20"/>
          <w:rtl/>
        </w:rPr>
        <w:t>, אבל לא בעינן מצי עביד בשעת מינוי</w:t>
      </w:r>
      <w:r w:rsidRPr="0041053F">
        <w:rPr>
          <w:rStyle w:val="ac"/>
          <w:rFonts w:ascii="Narkisim" w:hAnsi="Narkisim"/>
          <w:sz w:val="20"/>
          <w:szCs w:val="20"/>
          <w:rtl/>
        </w:rPr>
        <w:footnoteReference w:id="2108"/>
      </w:r>
      <w:r w:rsidRPr="0041053F">
        <w:rPr>
          <w:rFonts w:ascii="Narkisim" w:hAnsi="Narkisim"/>
          <w:sz w:val="20"/>
          <w:szCs w:val="20"/>
          <w:rtl/>
        </w:rPr>
        <w:t>.</w:t>
      </w:r>
      <w:r w:rsidRPr="0041053F">
        <w:rPr>
          <w:rFonts w:ascii="Narkisim" w:hAnsi="Narkisim"/>
          <w:rtl/>
        </w:rPr>
        <w:t xml:space="preserve"> וכתב דבשעת גדלותו היתה בידם למחות ולבטל הקידושין.</w:t>
      </w:r>
    </w:p>
    <w:p w14:paraId="3BCF706F" w14:textId="77777777" w:rsidR="006074A5" w:rsidRPr="0041053F" w:rsidRDefault="006074A5" w:rsidP="006074A5">
      <w:pPr>
        <w:pStyle w:val="aa"/>
        <w:bidi/>
        <w:rPr>
          <w:rFonts w:ascii="Narkisim" w:hAnsi="Narkisim"/>
        </w:rPr>
      </w:pPr>
      <w:r w:rsidRPr="0041053F">
        <w:rPr>
          <w:rFonts w:ascii="Narkisim" w:hAnsi="Narkisim"/>
          <w:rtl/>
        </w:rPr>
        <w:t>וה</w:t>
      </w:r>
      <w:r w:rsidRPr="0041053F">
        <w:rPr>
          <w:rFonts w:ascii="Narkisim" w:hAnsi="Narkisim"/>
          <w:b/>
          <w:bCs/>
          <w:rtl/>
        </w:rPr>
        <w:t>משנ"ל</w:t>
      </w:r>
      <w:r w:rsidRPr="0041053F">
        <w:rPr>
          <w:rFonts w:ascii="Narkisim" w:hAnsi="Narkisim"/>
          <w:rtl/>
        </w:rPr>
        <w:t xml:space="preserve"> דן אי איירי דוקא שהמעות בעין, או אף כשנתאכלו המעות</w:t>
      </w:r>
      <w:r w:rsidRPr="0041053F">
        <w:rPr>
          <w:rStyle w:val="ac"/>
          <w:rFonts w:ascii="Narkisim" w:hAnsi="Narkisim"/>
          <w:rtl/>
        </w:rPr>
        <w:footnoteReference w:id="2109"/>
      </w:r>
      <w:r w:rsidRPr="0041053F">
        <w:rPr>
          <w:rFonts w:ascii="Narkisim" w:hAnsi="Narkisim"/>
          <w:rtl/>
        </w:rPr>
        <w:t>.</w:t>
      </w:r>
    </w:p>
    <w:p w14:paraId="20191337"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אחרונים</w:t>
      </w:r>
      <w:r w:rsidRPr="0041053F">
        <w:rPr>
          <w:rFonts w:ascii="Narkisim" w:hAnsi="Narkisim" w:cs="Narkisim"/>
          <w:rtl/>
        </w:rPr>
        <w:t xml:space="preserve"> תמהו דקטן אין לו דעת, א"כ אינו יכול לעשות מעשה קידושין כלל, ואף לר' מאיר. וה</w:t>
      </w:r>
      <w:r w:rsidRPr="0041053F">
        <w:rPr>
          <w:rFonts w:ascii="Narkisim" w:hAnsi="Narkisim" w:cs="Narkisim"/>
          <w:b/>
          <w:bCs/>
          <w:rtl/>
        </w:rPr>
        <w:t>קר"א</w:t>
      </w:r>
      <w:r w:rsidRPr="0041053F">
        <w:rPr>
          <w:rFonts w:ascii="Narkisim" w:hAnsi="Narkisim" w:cs="Narkisim"/>
          <w:rtl/>
        </w:rPr>
        <w:t xml:space="preserve"> ו</w:t>
      </w:r>
      <w:r w:rsidRPr="0041053F">
        <w:rPr>
          <w:rFonts w:ascii="Narkisim" w:hAnsi="Narkisim" w:cs="Narkisim"/>
          <w:b/>
          <w:bCs/>
          <w:rtl/>
        </w:rPr>
        <w:t>חזו"א</w:t>
      </w:r>
      <w:r w:rsidRPr="0041053F">
        <w:rPr>
          <w:rFonts w:ascii="Narkisim" w:hAnsi="Narkisim" w:cs="Narkisim"/>
          <w:rtl/>
        </w:rPr>
        <w:t xml:space="preserve"> (סא) ביארו דע"כ איירי שעשו מעשה קידושין מבעוד יום, ובעודם עסוקין באותו הענין גדלו, ולכן חלים הקידושין מיד בשעת הקידושין בשתיקתם</w:t>
      </w:r>
      <w:r w:rsidRPr="0041053F">
        <w:rPr>
          <w:rStyle w:val="ac"/>
          <w:rFonts w:ascii="Narkisim" w:hAnsi="Narkisim" w:cs="Narkisim"/>
          <w:rtl/>
        </w:rPr>
        <w:footnoteReference w:id="2110"/>
      </w:r>
      <w:r w:rsidRPr="0041053F">
        <w:rPr>
          <w:rFonts w:ascii="Narkisim" w:hAnsi="Narkisim" w:cs="Narkisim"/>
          <w:rtl/>
        </w:rPr>
        <w:t>. אבל ה</w:t>
      </w:r>
      <w:r w:rsidRPr="0041053F">
        <w:rPr>
          <w:rFonts w:ascii="Narkisim" w:hAnsi="Narkisim" w:cs="Narkisim"/>
          <w:b/>
          <w:bCs/>
          <w:rtl/>
        </w:rPr>
        <w:t>קה"י</w:t>
      </w:r>
      <w:r w:rsidRPr="0041053F">
        <w:rPr>
          <w:rFonts w:ascii="Narkisim" w:hAnsi="Narkisim" w:cs="Narkisim"/>
          <w:rtl/>
        </w:rPr>
        <w:t xml:space="preserve"> (ל ב) כתב דלא מצאנו בהדיא דיש חסרון לקטן שאין לו גמירות דעת לקנינים</w:t>
      </w:r>
      <w:r w:rsidRPr="0041053F">
        <w:rPr>
          <w:rStyle w:val="ac"/>
          <w:rFonts w:ascii="Narkisim" w:hAnsi="Narkisim" w:cs="Narkisim"/>
          <w:rtl/>
        </w:rPr>
        <w:footnoteReference w:id="2111"/>
      </w:r>
      <w:r w:rsidRPr="0041053F">
        <w:rPr>
          <w:rFonts w:ascii="Narkisim" w:hAnsi="Narkisim" w:cs="Narkisim"/>
          <w:rtl/>
        </w:rPr>
        <w:t xml:space="preserve">. אלא דאמרי' בכלך מקום דאינו 'בר קנין', ולזה מהני לר' מאיר דבר שלא בא לעולם. </w:t>
      </w:r>
      <w:r w:rsidRPr="0041053F">
        <w:rPr>
          <w:rFonts w:ascii="Narkisim" w:hAnsi="Narkisim" w:cs="Narkisim"/>
          <w:sz w:val="20"/>
          <w:szCs w:val="20"/>
          <w:rtl/>
        </w:rPr>
        <w:t>וע"ע חי' הגר"נ.</w:t>
      </w:r>
    </w:p>
    <w:p w14:paraId="7D02E3FE" w14:textId="77777777" w:rsidR="006074A5" w:rsidRPr="0041053F" w:rsidRDefault="006074A5" w:rsidP="006074A5">
      <w:pPr>
        <w:pStyle w:val="a8"/>
        <w:bidi/>
        <w:rPr>
          <w:rFonts w:ascii="Narkisim" w:hAnsi="Narkisim"/>
        </w:rPr>
      </w:pPr>
      <w:r w:rsidRPr="0041053F">
        <w:rPr>
          <w:rFonts w:ascii="Narkisim" w:hAnsi="Narkisim"/>
          <w:rtl/>
        </w:rPr>
        <w:t xml:space="preserve">ועוד הקשה </w:t>
      </w:r>
      <w:r w:rsidRPr="0041053F">
        <w:rPr>
          <w:rFonts w:ascii="Narkisim" w:hAnsi="Narkisim"/>
          <w:b/>
          <w:bCs/>
          <w:rtl/>
        </w:rPr>
        <w:t>רע"א</w:t>
      </w:r>
      <w:r w:rsidRPr="0041053F">
        <w:rPr>
          <w:rFonts w:ascii="Narkisim" w:hAnsi="Narkisim"/>
          <w:rtl/>
        </w:rPr>
        <w:t xml:space="preserve"> (משניות קב) דאינו יכול להקנות הכסף. וב</w:t>
      </w:r>
      <w:r w:rsidRPr="0041053F">
        <w:rPr>
          <w:rFonts w:ascii="Narkisim" w:hAnsi="Narkisim"/>
          <w:b/>
          <w:bCs/>
          <w:rtl/>
        </w:rPr>
        <w:t xml:space="preserve">משנ"ל </w:t>
      </w:r>
      <w:r w:rsidRPr="0041053F">
        <w:rPr>
          <w:rFonts w:ascii="Narkisim" w:hAnsi="Narkisim"/>
          <w:rtl/>
        </w:rPr>
        <w:t>דן אי בעינן שיהא המעות בעין [ועי"ש, ואכ"מ].</w:t>
      </w:r>
    </w:p>
    <w:p w14:paraId="72F17E42" w14:textId="77777777" w:rsidR="006074A5" w:rsidRPr="0041053F" w:rsidRDefault="006074A5" w:rsidP="006074A5">
      <w:pPr>
        <w:pStyle w:val="aa"/>
        <w:bidi/>
        <w:rPr>
          <w:rFonts w:ascii="Narkisim" w:hAnsi="Narkisim"/>
        </w:rPr>
      </w:pPr>
      <w:r w:rsidRPr="0041053F">
        <w:rPr>
          <w:rFonts w:ascii="Narkisim" w:hAnsi="Narkisim"/>
          <w:u w:val="single"/>
          <w:rtl/>
        </w:rPr>
        <w:t>בא"ד [בע"ב] ואור"ת וכו' דבס' בשר ע"ג גחלים</w:t>
      </w:r>
      <w:r w:rsidRPr="0041053F">
        <w:rPr>
          <w:rStyle w:val="ac"/>
          <w:rFonts w:ascii="Narkisim" w:hAnsi="Narkisim"/>
          <w:u w:val="single"/>
          <w:rtl/>
        </w:rPr>
        <w:footnoteReference w:id="2112"/>
      </w:r>
      <w:r w:rsidRPr="0041053F">
        <w:rPr>
          <w:rFonts w:ascii="Narkisim" w:hAnsi="Narkisim"/>
          <w:u w:val="single"/>
          <w:rtl/>
        </w:rPr>
        <w:t xml:space="preserve"> גרס בשופעות מתוך ג' וכו' דחזיא לביאה וכו'</w:t>
      </w:r>
      <w:r w:rsidRPr="0041053F">
        <w:rPr>
          <w:rFonts w:ascii="Narkisim" w:hAnsi="Narkisim"/>
          <w:rtl/>
        </w:rPr>
        <w:t>. ולפ"ז הוה איסור בת א' בשעה שראוי לביאה.</w:t>
      </w:r>
    </w:p>
    <w:p w14:paraId="358594E6" w14:textId="77777777" w:rsidR="006074A5" w:rsidRPr="0041053F" w:rsidRDefault="006074A5" w:rsidP="006074A5">
      <w:pPr>
        <w:bidi/>
        <w:rPr>
          <w:rFonts w:ascii="Narkisim" w:hAnsi="Narkisim" w:cs="Narkisim"/>
        </w:rPr>
      </w:pPr>
      <w:r w:rsidRPr="0041053F">
        <w:rPr>
          <w:rFonts w:ascii="Narkisim" w:hAnsi="Narkisim" w:cs="Narkisim"/>
          <w:u w:val="single"/>
          <w:rtl/>
        </w:rPr>
        <w:t>שם. דלאחר ג' שנים ויום א' חזיא לביאה.</w:t>
      </w:r>
      <w:r w:rsidRPr="0041053F">
        <w:rPr>
          <w:rFonts w:ascii="Narkisim" w:hAnsi="Narkisim" w:cs="Narkisim"/>
          <w:rtl/>
        </w:rPr>
        <w:t xml:space="preserve"> ומבואר דאף דחל הקידושין קודם שהיא בת ג', </w:t>
      </w:r>
      <w:r w:rsidRPr="0041053F">
        <w:rPr>
          <w:rFonts w:ascii="Narkisim" w:hAnsi="Narkisim" w:cs="Narkisim"/>
          <w:rtl/>
        </w:rPr>
        <w:lastRenderedPageBreak/>
        <w:t>מ"מ כיון דאין אפשרות כלל לעבור על האיסור ביאה נחשב דלא חלו האיסורין</w:t>
      </w:r>
      <w:r w:rsidRPr="0041053F">
        <w:rPr>
          <w:rStyle w:val="ac"/>
          <w:rFonts w:ascii="Narkisim" w:hAnsi="Narkisim" w:cs="Narkisim"/>
          <w:rtl/>
        </w:rPr>
        <w:footnoteReference w:id="2113"/>
      </w:r>
      <w:r w:rsidRPr="0041053F">
        <w:rPr>
          <w:rFonts w:ascii="Narkisim" w:hAnsi="Narkisim" w:cs="Narkisim"/>
          <w:rtl/>
        </w:rPr>
        <w:t>.</w:t>
      </w:r>
      <w:r w:rsidRPr="0041053F">
        <w:rPr>
          <w:rFonts w:ascii="Narkisim" w:hAnsi="Narkisim" w:cs="Narkisim"/>
          <w:sz w:val="20"/>
          <w:szCs w:val="20"/>
          <w:rtl/>
        </w:rPr>
        <w:t xml:space="preserve"> [וה</w:t>
      </w:r>
      <w:r w:rsidRPr="0041053F">
        <w:rPr>
          <w:rFonts w:ascii="Narkisim" w:hAnsi="Narkisim" w:cs="Narkisim"/>
          <w:b/>
          <w:bCs/>
          <w:sz w:val="20"/>
          <w:szCs w:val="20"/>
          <w:rtl/>
        </w:rPr>
        <w:t>קוב"ש</w:t>
      </w:r>
      <w:r w:rsidRPr="0041053F">
        <w:rPr>
          <w:rFonts w:ascii="Narkisim" w:hAnsi="Narkisim" w:cs="Narkisim"/>
          <w:sz w:val="20"/>
          <w:szCs w:val="20"/>
          <w:rtl/>
        </w:rPr>
        <w:t xml:space="preserve"> (ב חולין נא) הקשה דאף חלב חי אין חייבין עליו עד שיבשלנו. ומ"מ נחשב דחל האיסור. ותי' דמ"מ בידו לבשלו].</w:t>
      </w:r>
      <w:r w:rsidRPr="0041053F">
        <w:rPr>
          <w:rFonts w:ascii="Narkisim" w:hAnsi="Narkisim" w:cs="Narkisim"/>
          <w:rtl/>
        </w:rPr>
        <w:t xml:space="preserve"> וה</w:t>
      </w:r>
      <w:r w:rsidRPr="0041053F">
        <w:rPr>
          <w:rFonts w:ascii="Narkisim" w:hAnsi="Narkisim" w:cs="Narkisim"/>
          <w:b/>
          <w:bCs/>
          <w:rtl/>
        </w:rPr>
        <w:t>אחרונים</w:t>
      </w:r>
      <w:r w:rsidRPr="0041053F">
        <w:rPr>
          <w:rFonts w:ascii="Narkisim" w:hAnsi="Narkisim" w:cs="Narkisim"/>
          <w:rtl/>
        </w:rPr>
        <w:t xml:space="preserve"> ביארו דרש"י לא ניחא ליה בפי' זה, דס"ל דחל האיסור דהחפץ קיים, והוה רק חסרון בצורת ביאת איסור.</w:t>
      </w:r>
    </w:p>
    <w:p w14:paraId="60AE1D2F" w14:textId="77777777" w:rsidR="006074A5" w:rsidRPr="0041053F" w:rsidRDefault="006074A5" w:rsidP="006074A5">
      <w:pPr>
        <w:bidi/>
        <w:rPr>
          <w:rFonts w:ascii="Narkisim" w:hAnsi="Narkisim" w:cs="Narkisim"/>
        </w:rPr>
      </w:pPr>
      <w:r w:rsidRPr="0041053F">
        <w:rPr>
          <w:rFonts w:ascii="Narkisim" w:hAnsi="Narkisim" w:cs="Narkisim"/>
          <w:u w:val="single"/>
          <w:rtl/>
        </w:rPr>
        <w:t>והא אין אשה מתעברת מביאה ראשונה.</w:t>
      </w:r>
      <w:r w:rsidRPr="0041053F">
        <w:rPr>
          <w:rFonts w:ascii="Narkisim" w:hAnsi="Narkisim" w:cs="Narkisim"/>
          <w:rtl/>
        </w:rPr>
        <w:t xml:space="preserve"> צ"ב אמאי פשוט לגמ' דאיירי בבתולות</w:t>
      </w:r>
      <w:r w:rsidRPr="0041053F">
        <w:rPr>
          <w:rStyle w:val="ac"/>
          <w:rFonts w:ascii="Narkisim" w:hAnsi="Narkisim" w:cs="Narkisim"/>
          <w:rtl/>
        </w:rPr>
        <w:footnoteReference w:id="2114"/>
      </w:r>
      <w:r w:rsidRPr="0041053F">
        <w:rPr>
          <w:rFonts w:ascii="Narkisim" w:hAnsi="Narkisim" w:cs="Narkisim"/>
          <w:rtl/>
        </w:rPr>
        <w:t>. וה</w:t>
      </w:r>
      <w:r w:rsidRPr="0041053F">
        <w:rPr>
          <w:rFonts w:ascii="Narkisim" w:hAnsi="Narkisim" w:cs="Narkisim"/>
          <w:b/>
          <w:bCs/>
          <w:rtl/>
        </w:rPr>
        <w:t>ראשונים</w:t>
      </w:r>
      <w:r w:rsidRPr="0041053F">
        <w:rPr>
          <w:rFonts w:ascii="Narkisim" w:hAnsi="Narkisim" w:cs="Narkisim"/>
          <w:rtl/>
        </w:rPr>
        <w:t xml:space="preserve"> כת' ע"פ דברי </w:t>
      </w:r>
      <w:r w:rsidRPr="0041053F">
        <w:rPr>
          <w:rFonts w:ascii="Narkisim" w:hAnsi="Narkisim" w:cs="Narkisim"/>
          <w:b/>
          <w:bCs/>
          <w:rtl/>
        </w:rPr>
        <w:t>ר"ח</w:t>
      </w:r>
      <w:r w:rsidRPr="0041053F">
        <w:rPr>
          <w:rFonts w:ascii="Narkisim" w:hAnsi="Narkisim" w:cs="Narkisim"/>
          <w:rtl/>
        </w:rPr>
        <w:t xml:space="preserve"> (הנ"ל) דאיירי שנתקדשה פחות מבת ג'. ומשמע דנפסלה עכשיו לכהונה ותרומה. ואילו נבעלה לאחר שנעשית בת ג' [לאחר שנתקדשה] היתה נפסלת לתרומה</w:t>
      </w:r>
      <w:r w:rsidRPr="0041053F">
        <w:rPr>
          <w:rStyle w:val="ac"/>
          <w:rFonts w:ascii="Narkisim" w:hAnsi="Narkisim" w:cs="Narkisim"/>
          <w:rtl/>
        </w:rPr>
        <w:footnoteReference w:id="2115"/>
      </w:r>
      <w:r w:rsidRPr="0041053F">
        <w:rPr>
          <w:rFonts w:ascii="Narkisim" w:hAnsi="Narkisim" w:cs="Narkisim"/>
          <w:rtl/>
        </w:rPr>
        <w:t>.</w:t>
      </w:r>
    </w:p>
    <w:p w14:paraId="12A287EB"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(רמב"ן) הק' לדעת </w:t>
      </w:r>
      <w:r w:rsidRPr="0041053F">
        <w:rPr>
          <w:rFonts w:ascii="Narkisim" w:hAnsi="Narkisim"/>
          <w:b/>
          <w:bCs/>
          <w:rtl/>
        </w:rPr>
        <w:t>רש"י</w:t>
      </w:r>
      <w:r w:rsidRPr="0041053F">
        <w:rPr>
          <w:rFonts w:ascii="Narkisim" w:hAnsi="Narkisim"/>
          <w:rtl/>
        </w:rPr>
        <w:t xml:space="preserve"> (לעיל) י"ל דזינתה קודם שנתקדשה [ולא נפסלה לכהונה</w:t>
      </w:r>
      <w:r w:rsidRPr="0041053F">
        <w:rPr>
          <w:rStyle w:val="ac"/>
          <w:rFonts w:ascii="Narkisim" w:hAnsi="Narkisim"/>
          <w:rtl/>
        </w:rPr>
        <w:footnoteReference w:id="2116"/>
      </w:r>
      <w:r w:rsidRPr="0041053F">
        <w:rPr>
          <w:rFonts w:ascii="Narkisim" w:hAnsi="Narkisim"/>
          <w:rtl/>
        </w:rPr>
        <w:t>], ומנלן דאיירי בבתולות.</w:t>
      </w:r>
    </w:p>
    <w:p w14:paraId="0044EECF"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תי' דמסתמא איירי בבתולות צנועות. שבאו לידי חילוף ע"י שהם לא היו בקיאים בהן, ולא היו בקיאות בהם.</w:t>
      </w:r>
    </w:p>
    <w:p w14:paraId="6F8A23A8"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תוס' הרא"ש</w:t>
      </w:r>
      <w:r w:rsidRPr="0041053F">
        <w:rPr>
          <w:rFonts w:ascii="Narkisim" w:hAnsi="Narkisim"/>
          <w:rtl/>
        </w:rPr>
        <w:t xml:space="preserve"> הביא ד</w:t>
      </w:r>
      <w:r w:rsidRPr="0041053F">
        <w:rPr>
          <w:rFonts w:ascii="Narkisim" w:hAnsi="Narkisim"/>
          <w:b/>
          <w:bCs/>
          <w:rtl/>
        </w:rPr>
        <w:t>רבינו מאיר</w:t>
      </w:r>
      <w:r w:rsidRPr="0041053F">
        <w:rPr>
          <w:rFonts w:ascii="Narkisim" w:hAnsi="Narkisim"/>
          <w:rtl/>
        </w:rPr>
        <w:t xml:space="preserve"> תי' דהגמ' מדייקת מדקתני בשעת כניסתן לחופה הוחלפו, אבל קודם חופה אין חיוב חטאת. דהוה נערה המאורסה ודינה בסקילה. וכת' דבנערה מאורסה אין חיוב חטאת, דלא הוזכר בכלל ל"ו כריתות. </w:t>
      </w:r>
      <w:r w:rsidRPr="0041053F">
        <w:rPr>
          <w:rFonts w:ascii="Narkisim" w:hAnsi="Narkisim"/>
          <w:sz w:val="20"/>
          <w:szCs w:val="20"/>
          <w:rtl/>
        </w:rPr>
        <w:t>[וזה חידוש גדול. וע' ערול"נ דהאריך בזה].</w:t>
      </w:r>
      <w:r w:rsidRPr="0041053F">
        <w:rPr>
          <w:rFonts w:ascii="Narkisim" w:hAnsi="Narkisim"/>
          <w:rtl/>
        </w:rPr>
        <w:t xml:space="preserve"> וב</w:t>
      </w:r>
      <w:r w:rsidRPr="0041053F">
        <w:rPr>
          <w:rFonts w:ascii="Narkisim" w:hAnsi="Narkisim"/>
          <w:b/>
          <w:bCs/>
          <w:rtl/>
        </w:rPr>
        <w:t xml:space="preserve">שו"ת מהר"ח או"ז </w:t>
      </w:r>
      <w:r w:rsidRPr="0041053F">
        <w:rPr>
          <w:rFonts w:ascii="Narkisim" w:hAnsi="Narkisim"/>
          <w:rtl/>
        </w:rPr>
        <w:t>(קסד) הביא דהמהר"ם חזר בו דנערה המאורסה הוה בכלל א"א לחיוב חטאת.</w:t>
      </w:r>
    </w:p>
    <w:p w14:paraId="2186E789"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מהר"ם מרוטנברג</w:t>
      </w:r>
      <w:r w:rsidRPr="0041053F">
        <w:rPr>
          <w:rFonts w:ascii="Narkisim" w:hAnsi="Narkisim"/>
          <w:rtl/>
        </w:rPr>
        <w:t xml:space="preserve"> </w:t>
      </w:r>
      <w:r w:rsidRPr="0041053F">
        <w:rPr>
          <w:rFonts w:ascii="Narkisim" w:hAnsi="Narkisim"/>
          <w:szCs w:val="20"/>
          <w:rtl/>
        </w:rPr>
        <w:t>(שו"ת קנא, ותשב"ץ קטן תנא</w:t>
      </w:r>
      <w:r w:rsidRPr="0041053F">
        <w:rPr>
          <w:rFonts w:ascii="Narkisim" w:hAnsi="Narkisim"/>
          <w:rtl/>
        </w:rPr>
        <w:t>) תי' דראיית הגמ' מהא דהוזכר כניסתם לחופה. וחופה אינה קונה בבעולה</w:t>
      </w:r>
      <w:r w:rsidRPr="0041053F">
        <w:rPr>
          <w:rStyle w:val="ac"/>
          <w:rFonts w:ascii="Narkisim" w:hAnsi="Narkisim"/>
          <w:rtl/>
        </w:rPr>
        <w:footnoteReference w:id="2117"/>
      </w:r>
      <w:r w:rsidRPr="0041053F">
        <w:rPr>
          <w:rFonts w:ascii="Narkisim" w:hAnsi="Narkisim"/>
          <w:rtl/>
        </w:rPr>
        <w:t>.</w:t>
      </w:r>
    </w:p>
    <w:p w14:paraId="4F6D2C3D" w14:textId="77777777" w:rsidR="006074A5" w:rsidRPr="0041053F" w:rsidRDefault="006074A5" w:rsidP="006074A5">
      <w:pPr>
        <w:bidi/>
        <w:rPr>
          <w:rFonts w:ascii="Narkisim" w:hAnsi="Narkisim" w:cs="Narkisim"/>
        </w:rPr>
      </w:pPr>
      <w:r w:rsidRPr="0041053F">
        <w:rPr>
          <w:rFonts w:ascii="Narkisim" w:hAnsi="Narkisim" w:cs="Narkisim"/>
          <w:u w:val="single"/>
          <w:rtl/>
        </w:rPr>
        <w:t>שם. והא אין אשה מתעברת מביאה ראשונה.</w:t>
      </w:r>
      <w:r w:rsidRPr="0041053F">
        <w:rPr>
          <w:rFonts w:ascii="Narkisim" w:hAnsi="Narkisim" w:cs="Narkisim"/>
          <w:rtl/>
        </w:rPr>
        <w:t xml:space="preserve"> ה</w:t>
      </w:r>
      <w:r w:rsidRPr="0041053F">
        <w:rPr>
          <w:rFonts w:ascii="Narkisim" w:hAnsi="Narkisim" w:cs="Narkisim"/>
          <w:b/>
          <w:bCs/>
          <w:rtl/>
        </w:rPr>
        <w:t>ר"ן</w:t>
      </w:r>
      <w:r w:rsidRPr="0041053F">
        <w:rPr>
          <w:rFonts w:ascii="Narkisim" w:hAnsi="Narkisim" w:cs="Narkisim"/>
          <w:rtl/>
        </w:rPr>
        <w:t xml:space="preserve"> (קידושין י., ו. בדה"ר) הביא מסוגיין דעל הרוב אינה מתעברת מביאה ראשונה, אבל זימנין שמתעברות</w:t>
      </w:r>
      <w:r w:rsidRPr="0041053F">
        <w:rPr>
          <w:rStyle w:val="ac"/>
          <w:rFonts w:ascii="Narkisim" w:hAnsi="Narkisim" w:cs="Narkisim"/>
          <w:rtl/>
        </w:rPr>
        <w:footnoteReference w:id="2118"/>
      </w:r>
      <w:r w:rsidRPr="0041053F">
        <w:rPr>
          <w:rFonts w:ascii="Narkisim" w:hAnsi="Narkisim" w:cs="Narkisim"/>
          <w:rtl/>
        </w:rPr>
        <w:t>. ומבואר מדבריו דלענין הבחנה סמכו על רוב זה</w:t>
      </w:r>
      <w:r w:rsidRPr="0041053F">
        <w:rPr>
          <w:rStyle w:val="ac"/>
          <w:rFonts w:ascii="Narkisim" w:hAnsi="Narkisim" w:cs="Narkisim"/>
          <w:rtl/>
        </w:rPr>
        <w:footnoteReference w:id="2119"/>
      </w:r>
      <w:r w:rsidRPr="0041053F">
        <w:rPr>
          <w:rFonts w:ascii="Narkisim" w:hAnsi="Narkisim" w:cs="Narkisim"/>
          <w:rtl/>
        </w:rPr>
        <w:t>. (ע' בסמוך).</w:t>
      </w:r>
    </w:p>
    <w:p w14:paraId="2A470637" w14:textId="77777777" w:rsidR="006074A5" w:rsidRPr="0041053F" w:rsidRDefault="006074A5" w:rsidP="006074A5">
      <w:pPr>
        <w:pStyle w:val="aa"/>
        <w:bidi/>
        <w:rPr>
          <w:rFonts w:ascii="Narkisim" w:hAnsi="Narkisim"/>
        </w:rPr>
      </w:pPr>
      <w:r w:rsidRPr="0041053F">
        <w:rPr>
          <w:rFonts w:ascii="Narkisim" w:hAnsi="Narkisim"/>
          <w:u w:val="single"/>
          <w:rtl/>
        </w:rPr>
        <w:t>ואלא הא דתנא ר"ח וכו', תלתין תריתין הויין וכו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דהא מתני' כר"א [דאף טעה בדבר מצווה חייב חטאת, וכתי' הא' דלעיל]. ופ</w:t>
      </w:r>
      <w:r w:rsidRPr="0041053F">
        <w:rPr>
          <w:rFonts w:ascii="Narkisim" w:hAnsi="Narkisim"/>
          <w:b/>
          <w:bCs/>
          <w:rtl/>
        </w:rPr>
        <w:t>רש"י</w:t>
      </w:r>
      <w:r w:rsidRPr="0041053F">
        <w:rPr>
          <w:rFonts w:ascii="Narkisim" w:hAnsi="Narkisim"/>
          <w:rtl/>
        </w:rPr>
        <w:t xml:space="preserve"> דלרבנן כולם בהעלם א', ואינו חייב על כל ביאה</w:t>
      </w:r>
      <w:r w:rsidRPr="0041053F">
        <w:rPr>
          <w:rStyle w:val="ac"/>
          <w:rFonts w:ascii="Narkisim" w:hAnsi="Narkisim"/>
          <w:rtl/>
        </w:rPr>
        <w:footnoteReference w:id="2120"/>
      </w:r>
      <w:r w:rsidRPr="0041053F">
        <w:rPr>
          <w:rFonts w:ascii="Narkisim" w:hAnsi="Narkisim"/>
          <w:rtl/>
        </w:rPr>
        <w:t>. והריטב"א ביאר דמסתמא איירי בהעלם א', דלא נודע בינתיים. דאטו ברשיעי עסקינן, שלא יזהרו עוד בהחלפה.</w:t>
      </w:r>
    </w:p>
    <w:p w14:paraId="01C62E99" w14:textId="77777777" w:rsidR="006074A5" w:rsidRPr="0041053F" w:rsidRDefault="006074A5" w:rsidP="006074A5">
      <w:pPr>
        <w:pStyle w:val="3"/>
        <w:bidi/>
        <w:rPr>
          <w:rFonts w:ascii="Narkisim" w:hAnsi="Narkisim"/>
        </w:rPr>
      </w:pPr>
      <w:r w:rsidRPr="0041053F">
        <w:rPr>
          <w:rFonts w:ascii="Narkisim" w:hAnsi="Narkisim"/>
          <w:rtl/>
        </w:rPr>
        <w:t>דף לד:</w:t>
      </w:r>
    </w:p>
    <w:p w14:paraId="2AF6430E" w14:textId="77777777" w:rsidR="006074A5" w:rsidRPr="0041053F" w:rsidRDefault="006074A5" w:rsidP="006074A5">
      <w:pPr>
        <w:pStyle w:val="aa"/>
        <w:bidi/>
        <w:rPr>
          <w:rFonts w:ascii="Narkisim" w:hAnsi="Narkisim"/>
        </w:rPr>
      </w:pPr>
      <w:r w:rsidRPr="0041053F">
        <w:rPr>
          <w:rFonts w:ascii="Narkisim" w:hAnsi="Narkisim"/>
          <w:u w:val="single"/>
          <w:rtl/>
        </w:rPr>
        <w:t>והא תמר וכו'.</w:t>
      </w:r>
      <w:r w:rsidRPr="0041053F">
        <w:rPr>
          <w:rFonts w:ascii="Narkisim" w:hAnsi="Narkisim"/>
          <w:rtl/>
        </w:rPr>
        <w:t xml:space="preserve"> ה</w:t>
      </w:r>
      <w:r w:rsidRPr="0041053F">
        <w:rPr>
          <w:rFonts w:ascii="Narkisim" w:hAnsi="Narkisim"/>
          <w:b/>
          <w:bCs/>
          <w:rtl/>
        </w:rPr>
        <w:t>נוב"י</w:t>
      </w:r>
      <w:r w:rsidRPr="0041053F">
        <w:rPr>
          <w:rFonts w:ascii="Narkisim" w:hAnsi="Narkisim"/>
          <w:rtl/>
        </w:rPr>
        <w:t xml:space="preserve"> (אה"ע ק' כב) ביאר דהקו' היאך סמכה תמר שתתעבר מיהודה, ומ"מ יש מיעוט מביאה ראשונה [וכמ"ש הר"ן].</w:t>
      </w:r>
    </w:p>
    <w:p w14:paraId="44772EA7" w14:textId="77777777" w:rsidR="006074A5" w:rsidRPr="0041053F" w:rsidRDefault="006074A5" w:rsidP="006074A5">
      <w:pPr>
        <w:pStyle w:val="aa"/>
        <w:bidi/>
        <w:rPr>
          <w:rFonts w:ascii="Narkisim" w:hAnsi="Narkisim"/>
        </w:rPr>
      </w:pPr>
      <w:r w:rsidRPr="0041053F">
        <w:rPr>
          <w:rFonts w:ascii="Narkisim" w:hAnsi="Narkisim"/>
          <w:u w:val="single"/>
          <w:rtl/>
        </w:rPr>
        <w:t>באצבע מיעכה וכו' כל מועכות של בית רבי תמר שמן.</w:t>
      </w:r>
      <w:r w:rsidRPr="0041053F">
        <w:rPr>
          <w:rFonts w:ascii="Narkisim" w:hAnsi="Narkisim"/>
          <w:rtl/>
        </w:rPr>
        <w:t xml:space="preserve"> ה</w:t>
      </w:r>
      <w:r w:rsidRPr="0041053F">
        <w:rPr>
          <w:rFonts w:ascii="Narkisim" w:hAnsi="Narkisim"/>
          <w:b/>
          <w:bCs/>
          <w:rtl/>
        </w:rPr>
        <w:t>ריטב"א</w:t>
      </w:r>
      <w:r w:rsidRPr="0041053F">
        <w:rPr>
          <w:rFonts w:ascii="Narkisim" w:hAnsi="Narkisim"/>
          <w:rtl/>
        </w:rPr>
        <w:t xml:space="preserve"> ביאר דלשם שמים נתכוונו, שהיו רוצות להקים זרע מבעליהם, וכדרך שנתכוונה תמר ולכן נקראו על שמה.</w:t>
      </w:r>
    </w:p>
    <w:p w14:paraId="2B45A0D9" w14:textId="77777777" w:rsidR="006074A5" w:rsidRPr="0041053F" w:rsidRDefault="006074A5" w:rsidP="006074A5">
      <w:pPr>
        <w:pStyle w:val="aa"/>
        <w:bidi/>
        <w:rPr>
          <w:rFonts w:ascii="Narkisim" w:hAnsi="Narkisim"/>
        </w:rPr>
      </w:pPr>
      <w:r w:rsidRPr="0041053F">
        <w:rPr>
          <w:rFonts w:ascii="Narkisim" w:hAnsi="Narkisim"/>
          <w:u w:val="single"/>
          <w:rtl/>
        </w:rPr>
        <w:t>שם.</w:t>
      </w:r>
      <w:r w:rsidRPr="0041053F">
        <w:rPr>
          <w:rFonts w:ascii="Narkisim" w:hAnsi="Narkisim"/>
          <w:rtl/>
        </w:rPr>
        <w:t xml:space="preserve"> </w:t>
      </w:r>
      <w:r w:rsidRPr="0041053F">
        <w:rPr>
          <w:rFonts w:ascii="Narkisim" w:hAnsi="Narkisim"/>
          <w:b/>
          <w:bCs/>
          <w:rtl/>
        </w:rPr>
        <w:t>תוס</w:t>
      </w:r>
      <w:r w:rsidRPr="0041053F">
        <w:rPr>
          <w:rFonts w:ascii="Narkisim" w:hAnsi="Narkisim"/>
          <w:rtl/>
        </w:rPr>
        <w:t>' (לקמן עו. ד"ה שלא) כת' דאף לאה מיעכה באצבע, דדרשי' (שם) כחי וראשית אוני, שנתעברה מטיפה ראשונה. דנתעברה מביאה ראשונה. וה</w:t>
      </w:r>
      <w:r w:rsidRPr="0041053F">
        <w:rPr>
          <w:rFonts w:ascii="Narkisim" w:hAnsi="Narkisim"/>
          <w:b/>
          <w:bCs/>
          <w:rtl/>
        </w:rPr>
        <w:t>מהרש"א</w:t>
      </w:r>
      <w:r w:rsidRPr="0041053F">
        <w:rPr>
          <w:rFonts w:ascii="Narkisim" w:hAnsi="Narkisim"/>
          <w:rtl/>
        </w:rPr>
        <w:t xml:space="preserve"> כת' דהיה אפ"ל דיעקב אבינו שלט בעצמו ולא הוציא זרע. [אך למסקנא הטעם משום שמיעכה</w:t>
      </w:r>
      <w:r w:rsidRPr="0041053F">
        <w:rPr>
          <w:rStyle w:val="ac"/>
          <w:rFonts w:ascii="Narkisim" w:hAnsi="Narkisim"/>
          <w:rtl/>
        </w:rPr>
        <w:footnoteReference w:id="2121"/>
      </w:r>
      <w:r w:rsidRPr="0041053F">
        <w:rPr>
          <w:rFonts w:ascii="Narkisim" w:hAnsi="Narkisim"/>
          <w:rtl/>
        </w:rPr>
        <w:t>].</w:t>
      </w:r>
    </w:p>
    <w:p w14:paraId="2938790E"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גהש"ס</w:t>
      </w:r>
      <w:r w:rsidRPr="0041053F">
        <w:rPr>
          <w:rFonts w:ascii="Narkisim" w:hAnsi="Narkisim"/>
          <w:rtl/>
        </w:rPr>
        <w:t xml:space="preserve"> ציין ד</w:t>
      </w:r>
      <w:r w:rsidRPr="0041053F">
        <w:rPr>
          <w:rFonts w:ascii="Narkisim" w:hAnsi="Narkisim"/>
          <w:b/>
          <w:bCs/>
          <w:rtl/>
        </w:rPr>
        <w:t xml:space="preserve">רש"י </w:t>
      </w:r>
      <w:r w:rsidRPr="0041053F">
        <w:rPr>
          <w:rFonts w:ascii="Narkisim" w:hAnsi="Narkisim"/>
          <w:rtl/>
        </w:rPr>
        <w:t>(בראשית יט לז) כת' דאף בנות לוט מביאה ראשונה נתעברו, וע"כ דמיאכו באצבע.</w:t>
      </w:r>
    </w:p>
    <w:p w14:paraId="7688C7DA" w14:textId="77777777" w:rsidR="006074A5" w:rsidRPr="0041053F" w:rsidRDefault="006074A5" w:rsidP="006074A5">
      <w:pPr>
        <w:pStyle w:val="aa"/>
        <w:bidi/>
        <w:rPr>
          <w:rFonts w:ascii="Narkisim" w:hAnsi="Narkisim"/>
        </w:rPr>
      </w:pPr>
      <w:r w:rsidRPr="0041053F">
        <w:rPr>
          <w:rFonts w:ascii="Narkisim" w:hAnsi="Narkisim"/>
          <w:u w:val="single"/>
          <w:rtl/>
        </w:rPr>
        <w:lastRenderedPageBreak/>
        <w:t>והא הוה ער ואונן, ער ואונן שימשו שלא כדרכן וכו'.</w:t>
      </w:r>
      <w:r w:rsidRPr="0041053F">
        <w:rPr>
          <w:rFonts w:ascii="Narkisim" w:hAnsi="Narkisim"/>
          <w:rtl/>
        </w:rPr>
        <w:t xml:space="preserve"> מבואר דפשיט"ל לרבא [ורב נחמן] דתמר היתה בתולה, וע"כ שימשו שלא כדרכן. [ולא נתפרש מנ"ל. והמהרש"א כת' דאולי יש איזה סמך בפסוקים].</w:t>
      </w:r>
    </w:p>
    <w:p w14:paraId="7867F81E" w14:textId="77777777" w:rsidR="006074A5" w:rsidRPr="0041053F" w:rsidRDefault="006074A5" w:rsidP="006074A5">
      <w:pPr>
        <w:pStyle w:val="a8"/>
        <w:bidi/>
        <w:rPr>
          <w:rFonts w:ascii="Narkisim" w:hAnsi="Narkisim"/>
        </w:rPr>
      </w:pPr>
      <w:r w:rsidRPr="0041053F">
        <w:rPr>
          <w:rFonts w:ascii="Narkisim" w:hAnsi="Narkisim"/>
          <w:rtl/>
        </w:rPr>
        <w:t xml:space="preserve">אבל </w:t>
      </w:r>
      <w:r w:rsidRPr="0041053F">
        <w:rPr>
          <w:rFonts w:ascii="Narkisim" w:hAnsi="Narkisim"/>
          <w:b/>
          <w:bCs/>
          <w:rtl/>
        </w:rPr>
        <w:t>רש"י</w:t>
      </w:r>
      <w:r w:rsidRPr="0041053F">
        <w:rPr>
          <w:rFonts w:ascii="Narkisim" w:hAnsi="Narkisim"/>
          <w:rtl/>
        </w:rPr>
        <w:t xml:space="preserve"> (עה"ת בראשית לח ט) כתב דדשו מבפנים וזורה מבחוץ</w:t>
      </w:r>
      <w:r w:rsidRPr="0041053F">
        <w:rPr>
          <w:rStyle w:val="ac"/>
          <w:rFonts w:ascii="Narkisim" w:hAnsi="Narkisim"/>
          <w:rtl/>
        </w:rPr>
        <w:footnoteReference w:id="2122"/>
      </w:r>
      <w:r w:rsidRPr="0041053F">
        <w:rPr>
          <w:rFonts w:ascii="Narkisim" w:hAnsi="Narkisim"/>
          <w:rtl/>
        </w:rPr>
        <w:t>. וה</w:t>
      </w:r>
      <w:r w:rsidRPr="0041053F">
        <w:rPr>
          <w:rFonts w:ascii="Narkisim" w:hAnsi="Narkisim"/>
          <w:b/>
          <w:bCs/>
          <w:rtl/>
        </w:rPr>
        <w:t>ריטב"א</w:t>
      </w:r>
      <w:r w:rsidRPr="0041053F">
        <w:rPr>
          <w:rFonts w:ascii="Narkisim" w:hAnsi="Narkisim"/>
          <w:rtl/>
        </w:rPr>
        <w:t xml:space="preserve"> כת' דרש"י ס"ל דהוה דחיה בעלמא</w:t>
      </w:r>
      <w:r w:rsidRPr="0041053F">
        <w:rPr>
          <w:rStyle w:val="ac"/>
          <w:rFonts w:ascii="Narkisim" w:hAnsi="Narkisim"/>
          <w:rtl/>
        </w:rPr>
        <w:footnoteReference w:id="2123"/>
      </w:r>
      <w:r w:rsidRPr="0041053F">
        <w:rPr>
          <w:rFonts w:ascii="Narkisim" w:hAnsi="Narkisim"/>
          <w:rtl/>
        </w:rPr>
        <w:t>. א"נ סמך על המדרש [נגד סוגיין].</w:t>
      </w:r>
    </w:p>
    <w:p w14:paraId="47A695E7" w14:textId="77777777" w:rsidR="006074A5" w:rsidRPr="0041053F" w:rsidRDefault="006074A5" w:rsidP="006074A5">
      <w:pPr>
        <w:pStyle w:val="aa"/>
        <w:bidi/>
        <w:rPr>
          <w:rFonts w:ascii="Narkisim" w:hAnsi="Narkisim"/>
        </w:rPr>
      </w:pPr>
      <w:r w:rsidRPr="0041053F">
        <w:rPr>
          <w:rFonts w:ascii="Narkisim" w:hAnsi="Narkisim"/>
          <w:u w:val="single"/>
          <w:rtl/>
        </w:rPr>
        <w:t>שם. שימשו שלא כדרכן</w:t>
      </w:r>
      <w:r w:rsidRPr="0041053F">
        <w:rPr>
          <w:rFonts w:ascii="Narkisim" w:hAnsi="Narkisim"/>
          <w:rtl/>
        </w:rPr>
        <w:t>. וה</w:t>
      </w:r>
      <w:r w:rsidRPr="0041053F">
        <w:rPr>
          <w:rFonts w:ascii="Narkisim" w:hAnsi="Narkisim"/>
          <w:b/>
          <w:bCs/>
          <w:rtl/>
        </w:rPr>
        <w:t>פרשת</w:t>
      </w:r>
      <w:r w:rsidRPr="0041053F">
        <w:rPr>
          <w:rFonts w:ascii="Narkisim" w:hAnsi="Narkisim"/>
          <w:rtl/>
        </w:rPr>
        <w:t xml:space="preserve"> </w:t>
      </w:r>
      <w:r w:rsidRPr="0041053F">
        <w:rPr>
          <w:rFonts w:ascii="Narkisim" w:hAnsi="Narkisim"/>
          <w:b/>
          <w:bCs/>
          <w:rtl/>
        </w:rPr>
        <w:t>דרכים</w:t>
      </w:r>
      <w:r w:rsidRPr="0041053F">
        <w:rPr>
          <w:rFonts w:ascii="Narkisim" w:hAnsi="Narkisim"/>
          <w:rtl/>
        </w:rPr>
        <w:t xml:space="preserve"> (למשנ"ל דרוש א) ביאר עד"ז הא דהיה מותר לתמר עם יהודה אף שהיה חמיה. דבבני נח אין האשה נקנית בבעילה שלא כדרכה</w:t>
      </w:r>
      <w:r w:rsidRPr="0041053F">
        <w:rPr>
          <w:rStyle w:val="ac"/>
          <w:rFonts w:ascii="Narkisim" w:hAnsi="Narkisim"/>
          <w:rtl/>
        </w:rPr>
        <w:footnoteReference w:id="2124"/>
      </w:r>
      <w:r w:rsidRPr="0041053F">
        <w:rPr>
          <w:rFonts w:ascii="Narkisim" w:hAnsi="Narkisim"/>
          <w:rtl/>
        </w:rPr>
        <w:t>. ומש"ה מעולם לא היתה תמר אשת ער ואונן</w:t>
      </w:r>
      <w:r w:rsidRPr="0041053F">
        <w:rPr>
          <w:rStyle w:val="ac"/>
          <w:rFonts w:ascii="Narkisim" w:hAnsi="Narkisim"/>
          <w:rtl/>
        </w:rPr>
        <w:footnoteReference w:id="2125"/>
      </w:r>
      <w:r w:rsidRPr="0041053F">
        <w:rPr>
          <w:rFonts w:ascii="Narkisim" w:hAnsi="Narkisim"/>
          <w:rtl/>
        </w:rPr>
        <w:t>, ויהודה לא היה חמיה.</w:t>
      </w:r>
    </w:p>
    <w:p w14:paraId="5CD19443" w14:textId="77777777" w:rsidR="006074A5" w:rsidRPr="0041053F" w:rsidRDefault="006074A5" w:rsidP="006074A5">
      <w:pPr>
        <w:pStyle w:val="a8"/>
        <w:bidi/>
        <w:rPr>
          <w:rFonts w:ascii="Narkisim" w:hAnsi="Narkisim"/>
        </w:rPr>
      </w:pPr>
      <w:r w:rsidRPr="0041053F">
        <w:rPr>
          <w:rFonts w:ascii="Narkisim" w:hAnsi="Narkisim"/>
          <w:rtl/>
        </w:rPr>
        <w:t>ועוד הביא בשם א' מחכמי אשכנז ע"פ הגמ' (סנהדרין נח:) דבן נח שבא על אשתו שלא כדרכה חייב מיתה, ולכן ער ואונן לא קנו את תמר, דכיון דבהך ביאה מתחייב מיתה אין תפיסת קידושין. [והאריך (שם) בדין האבות לפני מתן תורה]</w:t>
      </w:r>
      <w:r w:rsidRPr="0041053F">
        <w:rPr>
          <w:rStyle w:val="ac"/>
          <w:rFonts w:ascii="Narkisim" w:hAnsi="Narkisim"/>
          <w:rtl/>
        </w:rPr>
        <w:footnoteReference w:id="2126"/>
      </w:r>
      <w:r w:rsidRPr="0041053F">
        <w:rPr>
          <w:rFonts w:ascii="Narkisim" w:hAnsi="Narkisim"/>
          <w:rtl/>
        </w:rPr>
        <w:t>.</w:t>
      </w:r>
    </w:p>
    <w:p w14:paraId="6F31A3E8" w14:textId="77777777" w:rsidR="006074A5" w:rsidRPr="0041053F" w:rsidRDefault="006074A5" w:rsidP="006074A5">
      <w:pPr>
        <w:pStyle w:val="aa"/>
        <w:bidi/>
        <w:rPr>
          <w:rFonts w:ascii="Narkisim" w:hAnsi="Narkisim"/>
        </w:rPr>
      </w:pPr>
      <w:r w:rsidRPr="0041053F">
        <w:rPr>
          <w:rFonts w:ascii="Narkisim" w:hAnsi="Narkisim"/>
          <w:u w:val="single"/>
          <w:rtl/>
        </w:rPr>
        <w:t>מיתיבי כל כ"ד חודש דש מבפנים וזורה מבחוץ דברי ר"א וכו'</w:t>
      </w:r>
      <w:r w:rsidRPr="0041053F">
        <w:rPr>
          <w:rFonts w:ascii="Narkisim" w:hAnsi="Narkisim"/>
          <w:rtl/>
        </w:rPr>
        <w:t>. פ</w:t>
      </w:r>
      <w:r w:rsidRPr="0041053F">
        <w:rPr>
          <w:rFonts w:ascii="Narkisim" w:hAnsi="Narkisim"/>
          <w:b/>
          <w:bCs/>
          <w:rtl/>
        </w:rPr>
        <w:t>רש"י</w:t>
      </w:r>
      <w:r w:rsidRPr="0041053F">
        <w:rPr>
          <w:rFonts w:ascii="Narkisim" w:hAnsi="Narkisim"/>
          <w:rtl/>
        </w:rPr>
        <w:t xml:space="preserve"> כדי שלא תתעבר. ולר' מאיר (לעיל יב:) משמש במוך</w:t>
      </w:r>
      <w:r w:rsidRPr="0041053F">
        <w:rPr>
          <w:rStyle w:val="ac"/>
          <w:rFonts w:ascii="Narkisim" w:hAnsi="Narkisim"/>
          <w:rtl/>
        </w:rPr>
        <w:footnoteReference w:id="2127"/>
      </w:r>
      <w:r w:rsidRPr="0041053F">
        <w:rPr>
          <w:rFonts w:ascii="Narkisim" w:hAnsi="Narkisim"/>
          <w:rtl/>
        </w:rPr>
        <w:t>. ודעת חכמים דמשמש כדרך</w:t>
      </w:r>
      <w:r w:rsidRPr="0041053F">
        <w:rPr>
          <w:rStyle w:val="ac"/>
          <w:rFonts w:ascii="Narkisim" w:hAnsi="Narkisim"/>
          <w:rtl/>
        </w:rPr>
        <w:footnoteReference w:id="2128"/>
      </w:r>
      <w:r w:rsidRPr="0041053F">
        <w:rPr>
          <w:rFonts w:ascii="Narkisim" w:hAnsi="Narkisim"/>
          <w:rtl/>
        </w:rPr>
        <w:t>, ומן השמים ירחמו.</w:t>
      </w:r>
    </w:p>
    <w:p w14:paraId="5E69E5C1" w14:textId="77777777" w:rsidR="006074A5" w:rsidRPr="0041053F" w:rsidRDefault="006074A5" w:rsidP="006074A5">
      <w:pPr>
        <w:pStyle w:val="aa"/>
        <w:bidi/>
        <w:rPr>
          <w:rFonts w:ascii="Narkisim" w:hAnsi="Narkisim"/>
        </w:rPr>
      </w:pPr>
      <w:r w:rsidRPr="0041053F">
        <w:rPr>
          <w:rFonts w:ascii="Narkisim" w:hAnsi="Narkisim"/>
          <w:u w:val="single"/>
          <w:rtl/>
        </w:rPr>
        <w:t>תוד"ה ולא.</w:t>
      </w:r>
      <w:r w:rsidRPr="0041053F">
        <w:rPr>
          <w:rFonts w:ascii="Narkisim" w:hAnsi="Narkisim"/>
          <w:rtl/>
        </w:rPr>
        <w:t xml:space="preserve"> וכן אם תענה את בנותי, שלא כדרכן. </w:t>
      </w:r>
      <w:r w:rsidRPr="0041053F">
        <w:rPr>
          <w:rFonts w:ascii="Narkisim" w:hAnsi="Narkisim"/>
          <w:b/>
          <w:bCs/>
          <w:rtl/>
        </w:rPr>
        <w:t>רע"א</w:t>
      </w:r>
      <w:r w:rsidRPr="0041053F">
        <w:rPr>
          <w:rFonts w:ascii="Narkisim" w:hAnsi="Narkisim"/>
          <w:rtl/>
        </w:rPr>
        <w:t xml:space="preserve"> הק' דבגמ' (יומא עז:) מבואר דהיינו מניעת תשמיש.</w:t>
      </w:r>
    </w:p>
    <w:p w14:paraId="1F9FFB4D" w14:textId="77777777" w:rsidR="006074A5" w:rsidRPr="0041053F" w:rsidRDefault="006074A5" w:rsidP="006074A5">
      <w:pPr>
        <w:pStyle w:val="aa"/>
        <w:bidi/>
        <w:rPr>
          <w:rFonts w:ascii="Narkisim" w:hAnsi="Narkisim"/>
        </w:rPr>
      </w:pPr>
      <w:r w:rsidRPr="0041053F">
        <w:rPr>
          <w:rFonts w:ascii="Narkisim" w:hAnsi="Narkisim"/>
          <w:u w:val="single"/>
          <w:rtl/>
        </w:rPr>
        <w:t>בא"ד עוד אמר ר"י וכו'.</w:t>
      </w:r>
      <w:r w:rsidRPr="0041053F">
        <w:rPr>
          <w:rFonts w:ascii="Narkisim" w:hAnsi="Narkisim"/>
          <w:rtl/>
        </w:rPr>
        <w:t xml:space="preserve"> וה</w:t>
      </w:r>
      <w:r w:rsidRPr="0041053F">
        <w:rPr>
          <w:rFonts w:ascii="Narkisim" w:hAnsi="Narkisim"/>
          <w:b/>
          <w:bCs/>
          <w:rtl/>
        </w:rPr>
        <w:t>ב"י</w:t>
      </w:r>
      <w:r w:rsidRPr="0041053F">
        <w:rPr>
          <w:rFonts w:ascii="Narkisim" w:hAnsi="Narkisim"/>
          <w:rtl/>
        </w:rPr>
        <w:t xml:space="preserve"> (אה"ע כה) הביא דכ"פ ה</w:t>
      </w:r>
      <w:r w:rsidRPr="0041053F">
        <w:rPr>
          <w:rFonts w:ascii="Narkisim" w:hAnsi="Narkisim"/>
          <w:b/>
          <w:bCs/>
          <w:rtl/>
        </w:rPr>
        <w:t>רא"ש</w:t>
      </w:r>
      <w:r w:rsidRPr="0041053F">
        <w:rPr>
          <w:rFonts w:ascii="Narkisim" w:hAnsi="Narkisim"/>
          <w:rtl/>
        </w:rPr>
        <w:t>. וכתב (בבדק הבית שם) דאילו היו רואים דברי ה</w:t>
      </w:r>
      <w:r w:rsidRPr="0041053F">
        <w:rPr>
          <w:rFonts w:ascii="Narkisim" w:hAnsi="Narkisim"/>
          <w:b/>
          <w:bCs/>
          <w:rtl/>
        </w:rPr>
        <w:t>זוהר</w:t>
      </w:r>
      <w:r w:rsidRPr="0041053F">
        <w:rPr>
          <w:rFonts w:ascii="Narkisim" w:hAnsi="Narkisim"/>
          <w:rtl/>
        </w:rPr>
        <w:t xml:space="preserve"> בחומר האיסור הוז"ל לא היו כותבים כן. וה</w:t>
      </w:r>
      <w:r w:rsidRPr="0041053F">
        <w:rPr>
          <w:rFonts w:ascii="Narkisim" w:hAnsi="Narkisim"/>
          <w:b/>
          <w:bCs/>
          <w:rtl/>
        </w:rPr>
        <w:t>רמב"ם</w:t>
      </w:r>
      <w:r w:rsidRPr="0041053F">
        <w:rPr>
          <w:rFonts w:ascii="Narkisim" w:hAnsi="Narkisim"/>
          <w:rtl/>
        </w:rPr>
        <w:t xml:space="preserve"> (איסו"ב כא יב, הו' בר"ן נדרים כ:) כת' ובלבד שלא יוציא שז"ל. וכתי' הא' בתוס'.</w:t>
      </w:r>
    </w:p>
    <w:p w14:paraId="577878CF" w14:textId="77777777" w:rsidR="006074A5" w:rsidRPr="0041053F" w:rsidRDefault="006074A5" w:rsidP="006074A5">
      <w:pPr>
        <w:pStyle w:val="a8"/>
        <w:bidi/>
        <w:rPr>
          <w:rFonts w:ascii="Narkisim" w:hAnsi="Narkisim"/>
        </w:rPr>
      </w:pPr>
      <w:r w:rsidRPr="0041053F">
        <w:rPr>
          <w:rFonts w:ascii="Narkisim" w:hAnsi="Narkisim"/>
          <w:rtl/>
        </w:rPr>
        <w:t>וב</w:t>
      </w:r>
      <w:r w:rsidRPr="0041053F">
        <w:rPr>
          <w:rFonts w:ascii="Narkisim" w:hAnsi="Narkisim"/>
          <w:b/>
          <w:bCs/>
          <w:rtl/>
        </w:rPr>
        <w:t>הג' ראמ"ה</w:t>
      </w:r>
      <w:r w:rsidRPr="0041053F">
        <w:rPr>
          <w:rFonts w:ascii="Narkisim" w:hAnsi="Narkisim"/>
          <w:rtl/>
        </w:rPr>
        <w:t xml:space="preserve"> תי' [קו' התוס'] דלפני מתן תורה היה נחשב השחתת זרע, דלא היה דרך ביאה, אבל אחר שנתחדש דאף שלא כדרכה נחשב ביאה הותר.</w:t>
      </w:r>
    </w:p>
    <w:p w14:paraId="43BF941C" w14:textId="77777777" w:rsidR="006074A5" w:rsidRPr="0041053F" w:rsidRDefault="006074A5" w:rsidP="006074A5">
      <w:pPr>
        <w:pStyle w:val="aa"/>
        <w:bidi/>
        <w:rPr>
          <w:rFonts w:ascii="Narkisim" w:hAnsi="Narkisim"/>
        </w:rPr>
      </w:pPr>
      <w:r w:rsidRPr="0041053F">
        <w:rPr>
          <w:rFonts w:ascii="Narkisim" w:hAnsi="Narkisim"/>
          <w:u w:val="single"/>
          <w:rtl/>
        </w:rPr>
        <w:t>אותה פרט לכלה, לפי שאין אשה מתעברת וכו'.</w:t>
      </w:r>
      <w:r w:rsidRPr="0041053F">
        <w:rPr>
          <w:rFonts w:ascii="Narkisim" w:hAnsi="Narkisim"/>
          <w:rtl/>
        </w:rPr>
        <w:t xml:space="preserve"> ה</w:t>
      </w:r>
      <w:r w:rsidRPr="0041053F">
        <w:rPr>
          <w:rFonts w:ascii="Narkisim" w:hAnsi="Narkisim"/>
          <w:b/>
          <w:bCs/>
          <w:rtl/>
        </w:rPr>
        <w:t>ערול"נ</w:t>
      </w:r>
      <w:r w:rsidRPr="0041053F">
        <w:rPr>
          <w:rFonts w:ascii="Narkisim" w:hAnsi="Narkisim"/>
          <w:rtl/>
        </w:rPr>
        <w:t xml:space="preserve"> הקשה א"כ אף איילונית ועקרה לא תטמא.</w:t>
      </w:r>
    </w:p>
    <w:p w14:paraId="27A1DA21" w14:textId="77777777" w:rsidR="006074A5" w:rsidRPr="0041053F" w:rsidRDefault="006074A5" w:rsidP="006074A5">
      <w:pPr>
        <w:bidi/>
        <w:rPr>
          <w:rFonts w:ascii="Narkisim" w:hAnsi="Narkisim" w:cs="Narkisim"/>
        </w:rPr>
      </w:pPr>
      <w:r w:rsidRPr="0041053F">
        <w:rPr>
          <w:rFonts w:ascii="Narkisim" w:hAnsi="Narkisim" w:cs="Narkisim"/>
          <w:u w:val="single"/>
          <w:rtl/>
        </w:rPr>
        <w:t>כי אתא רבין אר"י כל ששהתה אחר בעלה י' שנים שוב אינה יולדת וכו'.</w:t>
      </w:r>
      <w:r w:rsidRPr="0041053F">
        <w:rPr>
          <w:rFonts w:ascii="Narkisim" w:hAnsi="Narkisim" w:cs="Narkisim"/>
          <w:rtl/>
        </w:rPr>
        <w:t xml:space="preserve"> ה</w:t>
      </w:r>
      <w:r w:rsidRPr="0041053F">
        <w:rPr>
          <w:rFonts w:ascii="Narkisim" w:hAnsi="Narkisim" w:cs="Narkisim"/>
          <w:b/>
          <w:bCs/>
          <w:rtl/>
        </w:rPr>
        <w:t>יש"ש</w:t>
      </w:r>
      <w:r w:rsidRPr="0041053F">
        <w:rPr>
          <w:rFonts w:ascii="Narkisim" w:hAnsi="Narkisim" w:cs="Narkisim"/>
          <w:rtl/>
        </w:rPr>
        <w:t xml:space="preserve"> כתב דנראה דקאי אמתני' דקטנות מחזירין מיד, וה"ה נשים ששהו י' שנים</w:t>
      </w:r>
      <w:r w:rsidRPr="0041053F">
        <w:rPr>
          <w:rStyle w:val="ac"/>
          <w:rFonts w:ascii="Narkisim" w:hAnsi="Narkisim" w:cs="Narkisim"/>
          <w:rtl/>
        </w:rPr>
        <w:footnoteReference w:id="2129"/>
      </w:r>
      <w:r w:rsidRPr="0041053F">
        <w:rPr>
          <w:rFonts w:ascii="Narkisim" w:hAnsi="Narkisim" w:cs="Narkisim"/>
          <w:rtl/>
        </w:rPr>
        <w:t xml:space="preserve"> וכו'. </w:t>
      </w:r>
      <w:r w:rsidRPr="0041053F">
        <w:rPr>
          <w:rFonts w:ascii="Narkisim" w:hAnsi="Narkisim" w:cs="Narkisim"/>
          <w:sz w:val="20"/>
          <w:szCs w:val="20"/>
          <w:rtl/>
        </w:rPr>
        <w:t>[וכל עקרה לא החמירו בהך הבחנה דסוגיין, דלא שכיחא].</w:t>
      </w:r>
    </w:p>
    <w:p w14:paraId="0739E34E" w14:textId="77777777" w:rsidR="006074A5" w:rsidRPr="0041053F" w:rsidRDefault="006074A5" w:rsidP="006074A5">
      <w:pPr>
        <w:bidi/>
        <w:rPr>
          <w:rFonts w:ascii="Narkisim" w:hAnsi="Narkisim" w:cs="Narkisim"/>
        </w:rPr>
      </w:pPr>
      <w:r w:rsidRPr="0041053F">
        <w:rPr>
          <w:rFonts w:ascii="Narkisim" w:hAnsi="Narkisim" w:cs="Narkisim"/>
          <w:u w:val="single"/>
          <w:rtl/>
        </w:rPr>
        <w:t>שאין דעתה לינשא</w:t>
      </w:r>
      <w:r w:rsidRPr="0041053F">
        <w:rPr>
          <w:rStyle w:val="ac"/>
          <w:rFonts w:ascii="Narkisim" w:hAnsi="Narkisim" w:cs="Narkisim"/>
          <w:rtl/>
        </w:rPr>
        <w:footnoteReference w:id="2130"/>
      </w:r>
      <w:r w:rsidRPr="0041053F">
        <w:rPr>
          <w:rFonts w:ascii="Narkisim" w:hAnsi="Narkisim" w:cs="Narkisim"/>
          <w:rtl/>
        </w:rPr>
        <w:t>. ה</w:t>
      </w:r>
      <w:r w:rsidRPr="0041053F">
        <w:rPr>
          <w:rFonts w:ascii="Narkisim" w:hAnsi="Narkisim" w:cs="Narkisim"/>
          <w:b/>
          <w:bCs/>
          <w:rtl/>
        </w:rPr>
        <w:t xml:space="preserve">יש"ש </w:t>
      </w:r>
      <w:r w:rsidRPr="0041053F">
        <w:rPr>
          <w:rFonts w:ascii="Narkisim" w:hAnsi="Narkisim" w:cs="Narkisim"/>
          <w:rtl/>
        </w:rPr>
        <w:t xml:space="preserve">(כ) הביא </w:t>
      </w:r>
      <w:r w:rsidRPr="0041053F">
        <w:rPr>
          <w:rFonts w:ascii="Narkisim" w:hAnsi="Narkisim" w:cs="Narkisim"/>
          <w:b/>
          <w:bCs/>
          <w:rtl/>
        </w:rPr>
        <w:t>י"מ</w:t>
      </w:r>
      <w:r w:rsidRPr="0041053F">
        <w:rPr>
          <w:rFonts w:ascii="Narkisim" w:hAnsi="Narkisim" w:cs="Narkisim"/>
          <w:rtl/>
        </w:rPr>
        <w:t xml:space="preserve"> דהיינו כשהיתה דעתה לינשא לאותו שנשאה לבסוף. אבל אם לא ידעה בו או שהיתה לו אשה, קי"ל דשוב אינה יולדת. ואם ילדה אסורה לבעלה [הכהן]. וה</w:t>
      </w:r>
      <w:r w:rsidRPr="0041053F">
        <w:rPr>
          <w:rFonts w:ascii="Narkisim" w:hAnsi="Narkisim" w:cs="Narkisim"/>
          <w:b/>
          <w:bCs/>
          <w:rtl/>
        </w:rPr>
        <w:t>יש"ש</w:t>
      </w:r>
      <w:r w:rsidRPr="0041053F">
        <w:rPr>
          <w:rFonts w:ascii="Narkisim" w:hAnsi="Narkisim" w:cs="Narkisim"/>
          <w:rtl/>
        </w:rPr>
        <w:t xml:space="preserve"> חלק דכל שדעתה לינשא יולדת, ודוקא היכא דלא רצתה לינשא משום כבוד בעלה נעקרת</w:t>
      </w:r>
      <w:r w:rsidRPr="0041053F">
        <w:rPr>
          <w:rStyle w:val="ac"/>
          <w:rFonts w:ascii="Narkisim" w:hAnsi="Narkisim" w:cs="Narkisim"/>
          <w:rtl/>
        </w:rPr>
        <w:footnoteReference w:id="2131"/>
      </w:r>
      <w:r w:rsidRPr="0041053F">
        <w:rPr>
          <w:rFonts w:ascii="Narkisim" w:hAnsi="Narkisim" w:cs="Narkisim"/>
          <w:rtl/>
        </w:rPr>
        <w:t>.</w:t>
      </w:r>
    </w:p>
    <w:p w14:paraId="52D1ED78" w14:textId="77777777" w:rsidR="006074A5" w:rsidRPr="0041053F" w:rsidRDefault="006074A5" w:rsidP="006074A5">
      <w:pPr>
        <w:pStyle w:val="aa"/>
        <w:bidi/>
        <w:rPr>
          <w:rFonts w:ascii="Narkisim" w:hAnsi="Narkisim"/>
        </w:rPr>
      </w:pPr>
      <w:r w:rsidRPr="0041053F">
        <w:rPr>
          <w:rFonts w:ascii="Narkisim" w:hAnsi="Narkisim"/>
          <w:rtl/>
        </w:rPr>
        <w:lastRenderedPageBreak/>
        <w:t>וה</w:t>
      </w:r>
      <w:r w:rsidRPr="0041053F">
        <w:rPr>
          <w:rFonts w:ascii="Narkisim" w:hAnsi="Narkisim"/>
          <w:b/>
          <w:bCs/>
          <w:rtl/>
        </w:rPr>
        <w:t>ערול"נ</w:t>
      </w:r>
      <w:r w:rsidRPr="0041053F">
        <w:rPr>
          <w:rFonts w:ascii="Narkisim" w:hAnsi="Narkisim"/>
          <w:rtl/>
        </w:rPr>
        <w:t xml:space="preserve"> העיר דה</w:t>
      </w:r>
      <w:r w:rsidRPr="0041053F">
        <w:rPr>
          <w:rFonts w:ascii="Narkisim" w:hAnsi="Narkisim"/>
          <w:b/>
          <w:bCs/>
          <w:rtl/>
        </w:rPr>
        <w:t>פוסקים</w:t>
      </w:r>
      <w:r w:rsidRPr="0041053F">
        <w:rPr>
          <w:rFonts w:ascii="Narkisim" w:hAnsi="Narkisim"/>
          <w:rtl/>
        </w:rPr>
        <w:t xml:space="preserve"> השמיטו דין זה דמי שאין לו בנים אסור לישא מי ששהתה אחרי בעלה.</w:t>
      </w:r>
    </w:p>
    <w:p w14:paraId="5A8FEF08" w14:textId="77777777" w:rsidR="006074A5" w:rsidRPr="0041053F" w:rsidRDefault="006074A5" w:rsidP="006074A5">
      <w:pPr>
        <w:pStyle w:val="aa"/>
        <w:bidi/>
        <w:rPr>
          <w:rFonts w:ascii="Narkisim" w:hAnsi="Narkisim"/>
        </w:rPr>
      </w:pPr>
      <w:r w:rsidRPr="0041053F">
        <w:rPr>
          <w:rFonts w:ascii="Narkisim" w:hAnsi="Narkisim"/>
          <w:rtl/>
        </w:rPr>
        <w:t>וב</w:t>
      </w:r>
      <w:r w:rsidRPr="0041053F">
        <w:rPr>
          <w:rFonts w:ascii="Narkisim" w:hAnsi="Narkisim"/>
          <w:b/>
          <w:bCs/>
          <w:rtl/>
        </w:rPr>
        <w:t>ס' חסידים</w:t>
      </w:r>
      <w:r w:rsidRPr="0041053F">
        <w:rPr>
          <w:rFonts w:ascii="Narkisim" w:hAnsi="Narkisim"/>
          <w:rtl/>
        </w:rPr>
        <w:t xml:space="preserve"> (תצג) כתב [טעמא דקרא] דדין אשת אח שלא היה מעולמו, משום להקים לאחיו שם, ועד שיהא בן י"ג</w:t>
      </w:r>
      <w:r w:rsidRPr="0041053F">
        <w:rPr>
          <w:rStyle w:val="ac"/>
          <w:rFonts w:ascii="Narkisim" w:hAnsi="Narkisim"/>
          <w:rtl/>
        </w:rPr>
        <w:footnoteReference w:id="2132"/>
      </w:r>
      <w:r w:rsidRPr="0041053F">
        <w:rPr>
          <w:rFonts w:ascii="Narkisim" w:hAnsi="Narkisim"/>
          <w:rtl/>
        </w:rPr>
        <w:t xml:space="preserve"> כבר בת שנים רבות, ואינה ראויה ללדת שהרי שהתה י' שנים אחר בעלה. ובקטן ל"מ הא דדעתה עליו, דאין תאוה בקטן. [וה</w:t>
      </w:r>
      <w:r w:rsidRPr="0041053F">
        <w:rPr>
          <w:rFonts w:ascii="Narkisim" w:hAnsi="Narkisim"/>
          <w:b/>
          <w:bCs/>
          <w:rtl/>
        </w:rPr>
        <w:t>יעב"ץ</w:t>
      </w:r>
      <w:r w:rsidRPr="0041053F">
        <w:rPr>
          <w:rFonts w:ascii="Narkisim" w:hAnsi="Narkisim"/>
          <w:rtl/>
        </w:rPr>
        <w:t xml:space="preserve"> התקיף סברא זו, והק' דאף זקינה ועקרה מתייבמת].</w:t>
      </w:r>
    </w:p>
    <w:p w14:paraId="5ED1E8F6" w14:textId="77777777" w:rsidR="006074A5" w:rsidRPr="0041053F" w:rsidRDefault="006074A5" w:rsidP="006074A5">
      <w:pPr>
        <w:pStyle w:val="aa"/>
        <w:bidi/>
        <w:rPr>
          <w:rFonts w:ascii="Narkisim" w:hAnsi="Narkisim"/>
        </w:rPr>
      </w:pPr>
      <w:r w:rsidRPr="0041053F">
        <w:rPr>
          <w:rFonts w:ascii="Narkisim" w:hAnsi="Narkisim"/>
          <w:u w:val="single"/>
          <w:rtl/>
        </w:rPr>
        <w:t>לנכרי נבעלתי.</w:t>
      </w:r>
      <w:r w:rsidRPr="0041053F">
        <w:rPr>
          <w:rFonts w:ascii="Narkisim" w:hAnsi="Narkisim"/>
          <w:rtl/>
        </w:rPr>
        <w:t xml:space="preserve"> ה</w:t>
      </w:r>
      <w:r w:rsidRPr="0041053F">
        <w:rPr>
          <w:rFonts w:ascii="Narkisim" w:hAnsi="Narkisim"/>
          <w:b/>
          <w:bCs/>
          <w:rtl/>
        </w:rPr>
        <w:t>ריטב"א</w:t>
      </w:r>
      <w:r w:rsidRPr="0041053F">
        <w:rPr>
          <w:rFonts w:ascii="Narkisim" w:hAnsi="Narkisim"/>
          <w:rtl/>
        </w:rPr>
        <w:t xml:space="preserve"> כתב לא שנבעלה ממש, אלא שנתאוה לו, ובענין זה המחשבה חשובה כמעשה דלא למהוי לה עקרות. אבל ה</w:t>
      </w:r>
      <w:r w:rsidRPr="0041053F">
        <w:rPr>
          <w:rFonts w:ascii="Narkisim" w:hAnsi="Narkisim"/>
          <w:b/>
          <w:bCs/>
          <w:rtl/>
        </w:rPr>
        <w:t>יש"ש</w:t>
      </w:r>
      <w:r w:rsidRPr="0041053F">
        <w:rPr>
          <w:rFonts w:ascii="Narkisim" w:hAnsi="Narkisim"/>
          <w:rtl/>
        </w:rPr>
        <w:t xml:space="preserve"> פי' דנבעלה באונס לנכרי</w:t>
      </w:r>
      <w:r w:rsidRPr="0041053F">
        <w:rPr>
          <w:rStyle w:val="ac"/>
          <w:rFonts w:ascii="Narkisim" w:hAnsi="Narkisim"/>
          <w:rtl/>
        </w:rPr>
        <w:footnoteReference w:id="2133"/>
      </w:r>
      <w:r w:rsidRPr="0041053F">
        <w:rPr>
          <w:rFonts w:ascii="Narkisim" w:hAnsi="Narkisim"/>
          <w:rtl/>
        </w:rPr>
        <w:t>. וביאר כיון דהיתה מצטערת ע"ז תמיד וכו'</w:t>
      </w:r>
      <w:r w:rsidRPr="0041053F">
        <w:rPr>
          <w:rStyle w:val="ac"/>
          <w:rFonts w:ascii="Narkisim" w:hAnsi="Narkisim"/>
          <w:rtl/>
        </w:rPr>
        <w:footnoteReference w:id="2134"/>
      </w:r>
      <w:r w:rsidRPr="0041053F">
        <w:rPr>
          <w:rFonts w:ascii="Narkisim" w:hAnsi="Narkisim"/>
          <w:rtl/>
        </w:rPr>
        <w:t xml:space="preserve"> ילדה אף אחרי י' שנים מביאת העכו"ם.</w:t>
      </w:r>
    </w:p>
    <w:p w14:paraId="35E30427" w14:textId="77777777" w:rsidR="006074A5" w:rsidRPr="0041053F" w:rsidRDefault="006074A5" w:rsidP="006074A5">
      <w:pPr>
        <w:pStyle w:val="aa"/>
        <w:bidi/>
        <w:rPr>
          <w:rFonts w:ascii="Narkisim" w:hAnsi="Narkisim"/>
        </w:rPr>
      </w:pPr>
      <w:r w:rsidRPr="0041053F">
        <w:rPr>
          <w:rFonts w:ascii="Narkisim" w:hAnsi="Narkisim"/>
          <w:u w:val="single"/>
          <w:rtl/>
        </w:rPr>
        <w:t>אמר שמואל וכולן צריכות להמתין ג' חדשים חוץ מגיורת ומשוחררת קטנה וכו'</w:t>
      </w:r>
      <w:r w:rsidRPr="0041053F">
        <w:rPr>
          <w:rFonts w:ascii="Narkisim" w:hAnsi="Narkisim"/>
          <w:rtl/>
        </w:rPr>
        <w:t>. דבגיורת ומשוחררת גזרו היכא דיש סברת הבחנה. אבל דרך אישות גזרו [משום לא פלוג] אף בכל אשה שאינה ראויה להוליד, אף שלא לארס קודם צ' יום. ונח' בזה בברייתא (לקמן מב:).</w:t>
      </w:r>
    </w:p>
    <w:p w14:paraId="61231D63"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ביארו דגיורת לא שכיחא, ומש"ה לא גזרו קטנה [ועקרה וכו']. וכן בחילוף דסוגיין לא גזרו בקטנה דאינה ראויה לילד.</w:t>
      </w:r>
    </w:p>
    <w:p w14:paraId="1B2B5B46" w14:textId="77777777" w:rsidR="006074A5" w:rsidRPr="0041053F" w:rsidRDefault="006074A5" w:rsidP="006074A5">
      <w:pPr>
        <w:pStyle w:val="aa"/>
        <w:bidi/>
        <w:rPr>
          <w:rFonts w:ascii="Narkisim" w:hAnsi="Narkisim"/>
        </w:rPr>
      </w:pPr>
      <w:r w:rsidRPr="0041053F">
        <w:rPr>
          <w:rFonts w:ascii="Narkisim" w:hAnsi="Narkisim"/>
          <w:u w:val="single"/>
          <w:rtl/>
        </w:rPr>
        <w:t>ובמאי אי במיאון וכו' ואלא בזנות, וגזרו וכו</w:t>
      </w:r>
      <w:r w:rsidRPr="0041053F">
        <w:rPr>
          <w:rFonts w:ascii="Narkisim" w:hAnsi="Narkisim"/>
          <w:rtl/>
        </w:rPr>
        <w:t>'. וצ"ב האיך הקילו במיאון, ואף דנעקר הנישואין למפרע לא גרע מזנות. ו</w:t>
      </w:r>
      <w:r w:rsidRPr="0041053F">
        <w:rPr>
          <w:rFonts w:ascii="Narkisim" w:hAnsi="Narkisim"/>
          <w:b/>
          <w:bCs/>
          <w:rtl/>
        </w:rPr>
        <w:t>רש"י</w:t>
      </w:r>
      <w:r w:rsidRPr="0041053F">
        <w:rPr>
          <w:rFonts w:ascii="Narkisim" w:hAnsi="Narkisim"/>
          <w:rtl/>
        </w:rPr>
        <w:t xml:space="preserve"> פי' דבמיאון ל"ש גזירה אטו גדולה [שהמיאון מוכיח עליה].</w:t>
      </w:r>
    </w:p>
    <w:p w14:paraId="69594D04" w14:textId="77777777" w:rsidR="006074A5" w:rsidRPr="0041053F" w:rsidRDefault="006074A5" w:rsidP="006074A5">
      <w:pPr>
        <w:pStyle w:val="3"/>
        <w:bidi/>
        <w:rPr>
          <w:rFonts w:ascii="Narkisim" w:hAnsi="Narkisim"/>
        </w:rPr>
      </w:pPr>
      <w:r w:rsidRPr="0041053F">
        <w:rPr>
          <w:rFonts w:ascii="Narkisim" w:hAnsi="Narkisim"/>
          <w:rtl/>
        </w:rPr>
        <w:t>דף לה.</w:t>
      </w:r>
    </w:p>
    <w:p w14:paraId="21EC8253" w14:textId="77777777" w:rsidR="006074A5" w:rsidRPr="0041053F" w:rsidRDefault="006074A5" w:rsidP="006074A5">
      <w:pPr>
        <w:bidi/>
        <w:rPr>
          <w:rFonts w:ascii="Narkisim" w:hAnsi="Narkisim" w:cs="Narkisim"/>
        </w:rPr>
      </w:pPr>
      <w:r w:rsidRPr="0041053F">
        <w:rPr>
          <w:rFonts w:ascii="Narkisim" w:hAnsi="Narkisim" w:cs="Narkisim"/>
          <w:u w:val="single"/>
          <w:rtl/>
        </w:rPr>
        <w:t>אלא כהוראת שעה היתה, וחילוף לא שכיח.</w:t>
      </w:r>
      <w:r w:rsidRPr="0041053F">
        <w:rPr>
          <w:rFonts w:ascii="Narkisim" w:hAnsi="Narkisim" w:cs="Narkisim"/>
          <w:rtl/>
        </w:rPr>
        <w:t xml:space="preserve"> [ומש"ה דוקא ראויה לילד תקנו המתנה. ולא גזרו קטנה אטו גדולה]. משמע דבעלמא אשת איש שזינתה גזרו, ושאני הכא דלא שכיחא דהוה דרך חילוף. וצ"ב מה איכפ"ל באיזה צורה נעשית. וה</w:t>
      </w:r>
      <w:r w:rsidRPr="0041053F">
        <w:rPr>
          <w:rFonts w:ascii="Narkisim" w:hAnsi="Narkisim" w:cs="Narkisim"/>
          <w:b/>
          <w:bCs/>
          <w:rtl/>
        </w:rPr>
        <w:t>חזו"א</w:t>
      </w:r>
      <w:r w:rsidRPr="0041053F">
        <w:rPr>
          <w:rFonts w:ascii="Narkisim" w:hAnsi="Narkisim" w:cs="Narkisim"/>
          <w:rtl/>
        </w:rPr>
        <w:t xml:space="preserve"> הביא דבעלמא זנות אשת איש ל"ש גזירת המתנה, כיון דנבעלה לבעלה קודם האונס (וכמ"ש ה</w:t>
      </w:r>
      <w:r w:rsidRPr="0041053F">
        <w:rPr>
          <w:rFonts w:ascii="Narkisim" w:hAnsi="Narkisim" w:cs="Narkisim"/>
          <w:b/>
          <w:bCs/>
          <w:rtl/>
        </w:rPr>
        <w:t>רמ"א</w:t>
      </w:r>
      <w:r w:rsidRPr="0041053F">
        <w:rPr>
          <w:rFonts w:ascii="Narkisim" w:hAnsi="Narkisim" w:cs="Narkisim"/>
          <w:rtl/>
        </w:rPr>
        <w:t xml:space="preserve"> יג ו). ודוקא הכא שלא היתה עם בעלה קודם שייך גזירה. וחילוף בשעת חופה לא שכיח. ולא שייך לגזור אטו מקרה אחר.</w:t>
      </w:r>
    </w:p>
    <w:p w14:paraId="095064E6" w14:textId="77777777" w:rsidR="006074A5" w:rsidRPr="0041053F" w:rsidRDefault="006074A5" w:rsidP="006074A5">
      <w:pPr>
        <w:bidi/>
        <w:rPr>
          <w:rFonts w:ascii="Narkisim" w:hAnsi="Narkisim" w:cs="Narkisim"/>
        </w:rPr>
      </w:pPr>
      <w:r w:rsidRPr="0041053F">
        <w:rPr>
          <w:rFonts w:ascii="Narkisim" w:hAnsi="Narkisim" w:cs="Narkisim"/>
          <w:u w:val="single"/>
          <w:rtl/>
        </w:rPr>
        <w:t>ל"א אמרי לה אמר שמואל וכו' אבל קטנה בת ישראל אי"צ להמתין, הוא דאמר כר' יוסי</w:t>
      </w:r>
      <w:r w:rsidRPr="0041053F">
        <w:rPr>
          <w:rFonts w:ascii="Narkisim" w:hAnsi="Narkisim" w:cs="Narkisim"/>
          <w:rtl/>
        </w:rPr>
        <w:t>. פ</w:t>
      </w:r>
      <w:r w:rsidRPr="0041053F">
        <w:rPr>
          <w:rFonts w:ascii="Narkisim" w:hAnsi="Narkisim" w:cs="Narkisim"/>
          <w:b/>
          <w:bCs/>
          <w:rtl/>
        </w:rPr>
        <w:t>רש"י</w:t>
      </w:r>
      <w:r w:rsidRPr="0041053F">
        <w:rPr>
          <w:rFonts w:ascii="Narkisim" w:hAnsi="Narkisim" w:cs="Narkisim"/>
          <w:rtl/>
        </w:rPr>
        <w:t xml:space="preserve"> ומיהו [בזנות] בישראלית גזר, ולא סבר כר' יוסי בהא. ובזנות ישראלית לא סמכי' אסברת מתהפכת, ודוקא בגיורת סמכינן.</w:t>
      </w:r>
    </w:p>
    <w:p w14:paraId="6C3B8E9D"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ר"ח</w:t>
      </w:r>
      <w:r w:rsidRPr="0041053F">
        <w:rPr>
          <w:rFonts w:ascii="Narkisim" w:hAnsi="Narkisim"/>
          <w:rtl/>
        </w:rPr>
        <w:t xml:space="preserve"> וה</w:t>
      </w:r>
      <w:r w:rsidRPr="0041053F">
        <w:rPr>
          <w:rFonts w:ascii="Narkisim" w:hAnsi="Narkisim"/>
          <w:b/>
          <w:bCs/>
          <w:rtl/>
        </w:rPr>
        <w:t>בעה"מ</w:t>
      </w:r>
      <w:r w:rsidRPr="0041053F">
        <w:rPr>
          <w:rFonts w:ascii="Narkisim" w:hAnsi="Narkisim"/>
          <w:rtl/>
        </w:rPr>
        <w:t xml:space="preserve"> פסקו כל"ב דשמואל דגזר זנות בישראלית. אבל ה</w:t>
      </w:r>
      <w:r w:rsidRPr="0041053F">
        <w:rPr>
          <w:rFonts w:ascii="Narkisim" w:hAnsi="Narkisim"/>
          <w:b/>
          <w:bCs/>
          <w:rtl/>
        </w:rPr>
        <w:t>רי"ף</w:t>
      </w:r>
      <w:r w:rsidRPr="0041053F">
        <w:rPr>
          <w:rFonts w:ascii="Narkisim" w:hAnsi="Narkisim"/>
          <w:rtl/>
        </w:rPr>
        <w:t xml:space="preserve"> פסק דהלכה כר' יוסי דבכל זנות אי"צ להמתין. וה</w:t>
      </w:r>
      <w:r w:rsidRPr="0041053F">
        <w:rPr>
          <w:rFonts w:ascii="Narkisim" w:hAnsi="Narkisim"/>
          <w:b/>
          <w:bCs/>
          <w:rtl/>
        </w:rPr>
        <w:t>רמב"ן</w:t>
      </w:r>
      <w:r w:rsidRPr="0041053F">
        <w:rPr>
          <w:rFonts w:ascii="Narkisim" w:hAnsi="Narkisim"/>
          <w:rtl/>
        </w:rPr>
        <w:t xml:space="preserve"> (ושא"ר) ביאר דס"ל דזנות לא שכיחא ולא גזרינן. וכיון דאפי' גיורת סמכו דמתהפכת כ"ש אנוסה ומפותה.</w:t>
      </w:r>
    </w:p>
    <w:p w14:paraId="43DB0CAE" w14:textId="77777777" w:rsidR="006074A5" w:rsidRPr="0041053F" w:rsidRDefault="006074A5" w:rsidP="006074A5">
      <w:pPr>
        <w:bidi/>
        <w:rPr>
          <w:rFonts w:ascii="Narkisim" w:hAnsi="Narkisim" w:cs="Narkisim"/>
        </w:rPr>
      </w:pPr>
      <w:r w:rsidRPr="0041053F">
        <w:rPr>
          <w:rFonts w:ascii="Narkisim" w:hAnsi="Narkisim" w:cs="Narkisim"/>
          <w:u w:val="single"/>
          <w:rtl/>
        </w:rPr>
        <w:t>תוד"ה חוץ.</w:t>
      </w:r>
      <w:r w:rsidRPr="0041053F">
        <w:rPr>
          <w:rFonts w:ascii="Narkisim" w:hAnsi="Narkisim" w:cs="Narkisim"/>
          <w:rtl/>
        </w:rPr>
        <w:t xml:space="preserve"> ועוד אור"י וכו' כשמתגיירת עם בעלה וכו' ואין חוששת להבחין. מבואר בתוס' דאף גיורת שהיתה נשואה לגוי לא חיישינן, דחוששת ומתהפכת. </w:t>
      </w:r>
      <w:r w:rsidRPr="0041053F">
        <w:rPr>
          <w:rFonts w:ascii="Narkisim" w:hAnsi="Narkisim" w:cs="Narkisim"/>
          <w:szCs w:val="20"/>
          <w:rtl/>
        </w:rPr>
        <w:t>[</w:t>
      </w:r>
      <w:r w:rsidRPr="0041053F">
        <w:rPr>
          <w:rFonts w:ascii="Narkisim" w:hAnsi="Narkisim" w:cs="Narkisim"/>
          <w:sz w:val="20"/>
          <w:szCs w:val="20"/>
          <w:rtl/>
        </w:rPr>
        <w:t>וה</w:t>
      </w:r>
      <w:r w:rsidRPr="0041053F">
        <w:rPr>
          <w:rFonts w:ascii="Narkisim" w:hAnsi="Narkisim" w:cs="Narkisim"/>
          <w:b/>
          <w:bCs/>
          <w:sz w:val="20"/>
          <w:szCs w:val="20"/>
          <w:rtl/>
        </w:rPr>
        <w:t>אחרונים</w:t>
      </w:r>
      <w:r w:rsidRPr="0041053F">
        <w:rPr>
          <w:rFonts w:ascii="Narkisim" w:hAnsi="Narkisim" w:cs="Narkisim"/>
          <w:sz w:val="20"/>
          <w:szCs w:val="20"/>
          <w:rtl/>
        </w:rPr>
        <w:t xml:space="preserve"> תמהו בזה].</w:t>
      </w:r>
      <w:r w:rsidRPr="0041053F">
        <w:rPr>
          <w:rFonts w:ascii="Narkisim" w:hAnsi="Narkisim" w:cs="Narkisim"/>
          <w:rtl/>
        </w:rPr>
        <w:t xml:space="preserve"> אבל לדברי ה</w:t>
      </w:r>
      <w:r w:rsidRPr="0041053F">
        <w:rPr>
          <w:rFonts w:ascii="Narkisim" w:hAnsi="Narkisim" w:cs="Narkisim"/>
          <w:b/>
          <w:bCs/>
          <w:rtl/>
        </w:rPr>
        <w:t>רי"ף</w:t>
      </w:r>
      <w:r w:rsidRPr="0041053F">
        <w:rPr>
          <w:rFonts w:ascii="Narkisim" w:hAnsi="Narkisim" w:cs="Narkisim"/>
          <w:rtl/>
        </w:rPr>
        <w:t xml:space="preserve"> איירי בסוגיין דרך זנות, אבל בנשואה [קודם] ודאי גזרו.</w:t>
      </w:r>
    </w:p>
    <w:p w14:paraId="45823B90" w14:textId="77777777" w:rsidR="006074A5" w:rsidRPr="0041053F" w:rsidRDefault="006074A5" w:rsidP="006074A5">
      <w:pPr>
        <w:bidi/>
        <w:rPr>
          <w:rFonts w:ascii="Narkisim" w:hAnsi="Narkisim" w:cs="Narkisim"/>
        </w:rPr>
      </w:pPr>
      <w:r w:rsidRPr="0041053F">
        <w:rPr>
          <w:rFonts w:ascii="Narkisim" w:hAnsi="Narkisim" w:cs="Narkisim"/>
          <w:rtl/>
        </w:rPr>
        <w:t>וה</w:t>
      </w:r>
      <w:r w:rsidRPr="0041053F">
        <w:rPr>
          <w:rFonts w:ascii="Narkisim" w:hAnsi="Narkisim" w:cs="Narkisim"/>
          <w:b/>
          <w:bCs/>
          <w:rtl/>
        </w:rPr>
        <w:t>מגיד משנה</w:t>
      </w:r>
      <w:r w:rsidRPr="0041053F">
        <w:rPr>
          <w:rFonts w:ascii="Narkisim" w:hAnsi="Narkisim" w:cs="Narkisim"/>
          <w:rtl/>
        </w:rPr>
        <w:t xml:space="preserve"> (גירושין יא כא, וכ"פ השו"ע יג ה) נקט דהיכא שהיו נשואות לבעל [בעודה שפחה ונכרית] ונשתחררה ומתגיירה צריכות להמתין. [דהיתה נשואה לראשון].</w:t>
      </w:r>
    </w:p>
    <w:p w14:paraId="3033E0AD" w14:textId="77777777" w:rsidR="006074A5" w:rsidRPr="0041053F" w:rsidRDefault="006074A5" w:rsidP="006074A5">
      <w:pPr>
        <w:pStyle w:val="a7"/>
        <w:bidi/>
        <w:rPr>
          <w:rFonts w:ascii="Narkisim" w:hAnsi="Narkisim"/>
        </w:rPr>
      </w:pPr>
      <w:r w:rsidRPr="0041053F">
        <w:rPr>
          <w:rFonts w:ascii="Narkisim" w:hAnsi="Narkisim"/>
          <w:rtl/>
        </w:rPr>
        <w:t>וה</w:t>
      </w:r>
      <w:r w:rsidRPr="0041053F">
        <w:rPr>
          <w:rFonts w:ascii="Narkisim" w:hAnsi="Narkisim"/>
          <w:b/>
          <w:bCs/>
          <w:rtl/>
        </w:rPr>
        <w:t>חלק"מ</w:t>
      </w:r>
      <w:r w:rsidRPr="0041053F">
        <w:rPr>
          <w:rFonts w:ascii="Narkisim" w:hAnsi="Narkisim"/>
          <w:rtl/>
        </w:rPr>
        <w:t xml:space="preserve"> (יג ד) נסתפק האם איירי דוקא בגדולה, או דגזרו בזה אף קטנה אטו גדולה.</w:t>
      </w:r>
    </w:p>
    <w:p w14:paraId="513F0CC3"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דגו"מ</w:t>
      </w:r>
      <w:r w:rsidRPr="0041053F">
        <w:rPr>
          <w:rFonts w:ascii="Narkisim" w:hAnsi="Narkisim"/>
          <w:rtl/>
        </w:rPr>
        <w:t xml:space="preserve"> (והו' בפתח"ת שם, ויו"ד רסט ב) כת' דה"מ כשנתגיירה לבד, דגזרו אטו שאר הבחנה. אבל כשנתגיירה עם בעלה בעקרה וזקינה [שאינה ראויה להוליד] אי"צ הפרשה</w:t>
      </w:r>
      <w:r w:rsidRPr="0041053F">
        <w:rPr>
          <w:rStyle w:val="ac"/>
          <w:rFonts w:ascii="Narkisim" w:hAnsi="Narkisim"/>
          <w:rtl/>
        </w:rPr>
        <w:footnoteReference w:id="2135"/>
      </w:r>
      <w:r w:rsidRPr="0041053F">
        <w:rPr>
          <w:rFonts w:ascii="Narkisim" w:hAnsi="Narkisim"/>
          <w:rtl/>
        </w:rPr>
        <w:t>. דכיון דהכל מאיש א' ל"ש גזירה אטו שאר הבחנה.</w:t>
      </w:r>
    </w:p>
    <w:p w14:paraId="7AD96C5A" w14:textId="77777777" w:rsidR="006074A5" w:rsidRPr="0041053F" w:rsidRDefault="006074A5" w:rsidP="006074A5">
      <w:pPr>
        <w:pStyle w:val="aa"/>
        <w:bidi/>
        <w:rPr>
          <w:rFonts w:ascii="Narkisim" w:hAnsi="Narkisim"/>
        </w:rPr>
      </w:pPr>
      <w:r w:rsidRPr="0041053F">
        <w:rPr>
          <w:rFonts w:ascii="Narkisim" w:hAnsi="Narkisim"/>
          <w:u w:val="single"/>
          <w:rtl/>
        </w:rPr>
        <w:t>דתניא הגיורת וכו' צריכות להמתין ג' חדשים דברי ר' יהודה וכו'</w:t>
      </w:r>
      <w:r w:rsidRPr="0041053F">
        <w:rPr>
          <w:rFonts w:ascii="Narkisim" w:hAnsi="Narkisim"/>
          <w:rtl/>
        </w:rPr>
        <w:t xml:space="preserve">. </w:t>
      </w:r>
      <w:r w:rsidRPr="0041053F">
        <w:rPr>
          <w:rFonts w:ascii="Narkisim" w:hAnsi="Narkisim"/>
          <w:b/>
          <w:bCs/>
          <w:rtl/>
        </w:rPr>
        <w:t>תוס</w:t>
      </w:r>
      <w:r w:rsidRPr="0041053F">
        <w:rPr>
          <w:rFonts w:ascii="Narkisim" w:hAnsi="Narkisim"/>
          <w:rtl/>
        </w:rPr>
        <w:t>' (לד:) הביאו דבברייתא (כתובות לז. וי"ג אף כאן) אי' בת ג', דאיירי אף בגיורת קטנה. ולר' יהודה אף גיורת קטנה גזרו. ואילו לישנא קמא דשמואל ס"ל כוותיה דוקא בגדולה, ולא גזר בגיורת שאינה ראויה לילד. (ע' לעיל).</w:t>
      </w:r>
    </w:p>
    <w:p w14:paraId="021EBEE5" w14:textId="77777777" w:rsidR="006074A5" w:rsidRPr="0041053F" w:rsidRDefault="006074A5" w:rsidP="006074A5">
      <w:pPr>
        <w:bidi/>
        <w:rPr>
          <w:rFonts w:ascii="Narkisim" w:hAnsi="Narkisim" w:cs="Narkisim"/>
        </w:rPr>
      </w:pPr>
      <w:r w:rsidRPr="0041053F">
        <w:rPr>
          <w:rFonts w:ascii="Narkisim" w:hAnsi="Narkisim" w:cs="Narkisim"/>
          <w:u w:val="single"/>
          <w:rtl/>
        </w:rPr>
        <w:lastRenderedPageBreak/>
        <w:t>רש"י ד"ה מתהפכת.</w:t>
      </w:r>
      <w:r w:rsidRPr="0041053F">
        <w:rPr>
          <w:rFonts w:ascii="Narkisim" w:hAnsi="Narkisim" w:cs="Narkisim"/>
          <w:rtl/>
        </w:rPr>
        <w:t xml:space="preserve"> דכיון דהיפוך קל, דכל אשה מזנה אינה רוצה להתעבר. וה</w:t>
      </w:r>
      <w:r w:rsidRPr="0041053F">
        <w:rPr>
          <w:rFonts w:ascii="Narkisim" w:hAnsi="Narkisim" w:cs="Narkisim"/>
          <w:b/>
          <w:bCs/>
          <w:rtl/>
        </w:rPr>
        <w:t>תו"י</w:t>
      </w:r>
      <w:r w:rsidRPr="0041053F">
        <w:rPr>
          <w:rFonts w:ascii="Narkisim" w:hAnsi="Narkisim" w:cs="Narkisim"/>
          <w:rtl/>
        </w:rPr>
        <w:t xml:space="preserve"> הק' דשפחה אינה מתהפכת, דרוצה להוליד עבדים. </w:t>
      </w:r>
      <w:r w:rsidRPr="0041053F">
        <w:rPr>
          <w:rFonts w:ascii="Narkisim" w:hAnsi="Narkisim" w:cs="Narkisim"/>
          <w:sz w:val="20"/>
          <w:szCs w:val="20"/>
          <w:rtl/>
        </w:rPr>
        <w:t>[וצ"ל לדעת רש"י דשפחה נשואה לעבד ודאי צריכה להמתין, ויוצאת בשן ועין קאי בשפחה שזינתה].</w:t>
      </w:r>
    </w:p>
    <w:p w14:paraId="708E16F4" w14:textId="77777777" w:rsidR="006074A5" w:rsidRPr="0041053F" w:rsidRDefault="006074A5" w:rsidP="006074A5">
      <w:pPr>
        <w:pStyle w:val="a7"/>
        <w:bidi/>
        <w:rPr>
          <w:rFonts w:ascii="Narkisim" w:hAnsi="Narkisim"/>
        </w:rPr>
      </w:pPr>
      <w:r w:rsidRPr="0041053F">
        <w:rPr>
          <w:rFonts w:ascii="Narkisim" w:hAnsi="Narkisim"/>
          <w:rtl/>
        </w:rPr>
        <w:t>ועוה"ק ה</w:t>
      </w:r>
      <w:r w:rsidRPr="0041053F">
        <w:rPr>
          <w:rFonts w:ascii="Narkisim" w:hAnsi="Narkisim"/>
          <w:b/>
          <w:bCs/>
          <w:rtl/>
        </w:rPr>
        <w:t>תו"י</w:t>
      </w:r>
      <w:r w:rsidRPr="0041053F">
        <w:rPr>
          <w:rFonts w:ascii="Narkisim" w:hAnsi="Narkisim"/>
          <w:rtl/>
        </w:rPr>
        <w:t xml:space="preserve"> דעיקר התי' חסר מהספר. ולכן כתב כתוס' דלמסקנא יוצאת בשן ועין צריכה להמתין, ותי' הגמ' דאנוסה מתהפכת ואף דממילא.</w:t>
      </w:r>
    </w:p>
    <w:p w14:paraId="16137E97" w14:textId="77777777" w:rsidR="006074A5" w:rsidRPr="0041053F" w:rsidRDefault="006074A5" w:rsidP="006074A5">
      <w:pPr>
        <w:pStyle w:val="aa"/>
        <w:bidi/>
        <w:rPr>
          <w:rFonts w:ascii="Narkisim" w:hAnsi="Narkisim"/>
        </w:rPr>
      </w:pPr>
      <w:r w:rsidRPr="0041053F">
        <w:rPr>
          <w:rFonts w:ascii="Narkisim" w:hAnsi="Narkisim"/>
          <w:u w:val="single"/>
          <w:rtl/>
        </w:rPr>
        <w:t>כהנות אין ישראלית לא וכו'</w:t>
      </w:r>
      <w:r w:rsidRPr="0041053F">
        <w:rPr>
          <w:rFonts w:ascii="Narkisim" w:hAnsi="Narkisim"/>
          <w:rtl/>
        </w:rPr>
        <w:t>. מבואר ברש"י דס"ד דאיירי בבת כהן אשת כהן. שנפסלת לכהונה. [ולכאורה לפ"ז הגירסא במשנה דפסלה מהכהונה, וכגירסת הריטב"א ומהרש"ל במשנה]. אבל למסקנא קאי לפסול לתרומה, וי"ל דגרסי' כן במסקנא [ומש"ה נקט כהנות</w:t>
      </w:r>
      <w:r w:rsidRPr="0041053F">
        <w:rPr>
          <w:rStyle w:val="ac"/>
          <w:rFonts w:ascii="Narkisim" w:hAnsi="Narkisim"/>
          <w:rtl/>
        </w:rPr>
        <w:footnoteReference w:id="2136"/>
      </w:r>
      <w:r w:rsidRPr="0041053F">
        <w:rPr>
          <w:rFonts w:ascii="Narkisim" w:hAnsi="Narkisim"/>
          <w:rtl/>
        </w:rPr>
        <w:t>].</w:t>
      </w:r>
    </w:p>
    <w:p w14:paraId="04EC1949" w14:textId="77777777" w:rsidR="006074A5" w:rsidRPr="0041053F" w:rsidRDefault="006074A5" w:rsidP="006074A5">
      <w:pPr>
        <w:bidi/>
        <w:rPr>
          <w:rFonts w:ascii="Narkisim" w:hAnsi="Narkisim" w:cs="Narkisim"/>
        </w:rPr>
      </w:pPr>
      <w:r w:rsidRPr="0041053F">
        <w:rPr>
          <w:rFonts w:ascii="Narkisim" w:hAnsi="Narkisim" w:cs="Narkisim"/>
          <w:u w:val="single"/>
          <w:rtl/>
        </w:rPr>
        <w:t>אשת ישראל שנאנסה וכו' פסולה לכהונה</w:t>
      </w:r>
      <w:r w:rsidRPr="0041053F">
        <w:rPr>
          <w:rFonts w:ascii="Narkisim" w:hAnsi="Narkisim" w:cs="Narkisim"/>
          <w:rtl/>
        </w:rPr>
        <w:t>. [ורבא במסקנא פי' דזה הפי' במשנה למסקנא, דאף שנאנסה פסולה בתרומה]. ונח' ה</w:t>
      </w:r>
      <w:r w:rsidRPr="0041053F">
        <w:rPr>
          <w:rFonts w:ascii="Narkisim" w:hAnsi="Narkisim" w:cs="Narkisim"/>
          <w:b/>
          <w:bCs/>
          <w:rtl/>
        </w:rPr>
        <w:t>ראשונים</w:t>
      </w:r>
      <w:r w:rsidRPr="0041053F">
        <w:rPr>
          <w:rFonts w:ascii="Narkisim" w:hAnsi="Narkisim" w:cs="Narkisim"/>
          <w:rtl/>
        </w:rPr>
        <w:t xml:space="preserve"> מאיזה פסוק ילפי' לפסול הנבעלה לחייבי כריתות. דבגמ' (לקמן סח:) כי תהיה לאיש זר דפסולי קהל שזר אצלה מעיקרא פסלי. וילפי' כי תהיה אלמנה וגרושה דעכו"ם ועבד פסלי. ולא נתפרש למסקנא מנ"ל דחייבי כריתות פסלי.</w:t>
      </w:r>
    </w:p>
    <w:p w14:paraId="7092C25C" w14:textId="77777777" w:rsidR="006074A5" w:rsidRPr="0041053F" w:rsidRDefault="006074A5" w:rsidP="006074A5">
      <w:pPr>
        <w:pStyle w:val="a7"/>
        <w:bidi/>
        <w:rPr>
          <w:rFonts w:ascii="Narkisim" w:hAnsi="Narkisim"/>
        </w:rPr>
      </w:pPr>
      <w:r w:rsidRPr="0041053F">
        <w:rPr>
          <w:rFonts w:ascii="Narkisim" w:hAnsi="Narkisim"/>
          <w:rtl/>
        </w:rPr>
        <w:t>ו</w:t>
      </w:r>
      <w:r w:rsidRPr="0041053F">
        <w:rPr>
          <w:rFonts w:ascii="Narkisim" w:hAnsi="Narkisim"/>
          <w:b/>
          <w:bCs/>
          <w:rtl/>
        </w:rPr>
        <w:t>רש"י</w:t>
      </w:r>
      <w:r w:rsidRPr="0041053F">
        <w:rPr>
          <w:rFonts w:ascii="Narkisim" w:hAnsi="Narkisim"/>
          <w:rtl/>
        </w:rPr>
        <w:t xml:space="preserve"> (כאן, ולקמן סח:) פי' דחייבי כריתות ילפי' מכי תהיה אלמנה וגרושה, דלא תפסי קידושין. אבל </w:t>
      </w:r>
      <w:r w:rsidRPr="0041053F">
        <w:rPr>
          <w:rFonts w:ascii="Narkisim" w:hAnsi="Narkisim"/>
          <w:b/>
          <w:bCs/>
          <w:rtl/>
        </w:rPr>
        <w:t>תוס</w:t>
      </w:r>
      <w:r w:rsidRPr="0041053F">
        <w:rPr>
          <w:rFonts w:ascii="Narkisim" w:hAnsi="Narkisim"/>
          <w:rtl/>
        </w:rPr>
        <w:t xml:space="preserve">' (כאן) הביאו בשם </w:t>
      </w:r>
      <w:r w:rsidRPr="0041053F">
        <w:rPr>
          <w:rFonts w:ascii="Narkisim" w:hAnsi="Narkisim"/>
          <w:b/>
          <w:bCs/>
          <w:rtl/>
        </w:rPr>
        <w:t>רש"י</w:t>
      </w:r>
      <w:r w:rsidRPr="0041053F">
        <w:rPr>
          <w:rFonts w:ascii="Narkisim" w:hAnsi="Narkisim"/>
          <w:rtl/>
        </w:rPr>
        <w:t xml:space="preserve"> דהוה בכלל איש זר</w:t>
      </w:r>
      <w:r w:rsidRPr="0041053F">
        <w:rPr>
          <w:rStyle w:val="ac"/>
          <w:rFonts w:ascii="Narkisim" w:hAnsi="Narkisim"/>
          <w:rtl/>
        </w:rPr>
        <w:footnoteReference w:id="2137"/>
      </w:r>
      <w:r w:rsidRPr="0041053F">
        <w:rPr>
          <w:rFonts w:ascii="Narkisim" w:hAnsi="Narkisim"/>
          <w:rtl/>
        </w:rPr>
        <w:t xml:space="preserve">, וכ"ד </w:t>
      </w:r>
      <w:r w:rsidRPr="0041053F">
        <w:rPr>
          <w:rFonts w:ascii="Narkisim" w:hAnsi="Narkisim"/>
          <w:b/>
          <w:bCs/>
          <w:rtl/>
        </w:rPr>
        <w:t>תוס</w:t>
      </w:r>
      <w:r w:rsidRPr="0041053F">
        <w:rPr>
          <w:rFonts w:ascii="Narkisim" w:hAnsi="Narkisim"/>
          <w:rtl/>
        </w:rPr>
        <w:t xml:space="preserve">' (לקמן סח: ד"ה עכו"ם) דכל היכא דלא תפסי קידושין הוה בכלל איש זר. </w:t>
      </w:r>
      <w:r w:rsidRPr="0041053F">
        <w:rPr>
          <w:rFonts w:ascii="Narkisim" w:hAnsi="Narkisim"/>
          <w:szCs w:val="20"/>
          <w:rtl/>
        </w:rPr>
        <w:t>ו</w:t>
      </w:r>
      <w:r w:rsidRPr="0041053F">
        <w:rPr>
          <w:rFonts w:ascii="Narkisim" w:hAnsi="Narkisim"/>
          <w:b/>
          <w:bCs/>
          <w:szCs w:val="20"/>
          <w:rtl/>
        </w:rPr>
        <w:t>תוס</w:t>
      </w:r>
      <w:r w:rsidRPr="0041053F">
        <w:rPr>
          <w:rFonts w:ascii="Narkisim" w:hAnsi="Narkisim"/>
          <w:szCs w:val="20"/>
          <w:rtl/>
        </w:rPr>
        <w:t>' דידן הק' דעריות שע"י קידושין לא הוי זר מעיקרא</w:t>
      </w:r>
      <w:r w:rsidRPr="0041053F">
        <w:rPr>
          <w:rFonts w:ascii="Narkisim" w:hAnsi="Narkisim"/>
          <w:rtl/>
        </w:rPr>
        <w:t>.</w:t>
      </w:r>
    </w:p>
    <w:p w14:paraId="49373025" w14:textId="77777777" w:rsidR="006074A5" w:rsidRPr="0041053F" w:rsidRDefault="006074A5" w:rsidP="006074A5">
      <w:pPr>
        <w:pStyle w:val="a7"/>
        <w:bidi/>
        <w:rPr>
          <w:rFonts w:ascii="Narkisim" w:hAnsi="Narkisim"/>
        </w:rPr>
      </w:pPr>
      <w:r w:rsidRPr="0041053F">
        <w:rPr>
          <w:rFonts w:ascii="Narkisim" w:hAnsi="Narkisim"/>
          <w:rtl/>
        </w:rPr>
        <w:t xml:space="preserve">ודעת </w:t>
      </w:r>
      <w:r w:rsidRPr="0041053F">
        <w:rPr>
          <w:rFonts w:ascii="Narkisim" w:hAnsi="Narkisim"/>
          <w:b/>
          <w:bCs/>
          <w:rtl/>
        </w:rPr>
        <w:t>רש"י</w:t>
      </w:r>
      <w:r w:rsidRPr="0041053F">
        <w:rPr>
          <w:rFonts w:ascii="Narkisim" w:hAnsi="Narkisim"/>
          <w:rtl/>
        </w:rPr>
        <w:t xml:space="preserve"> (לעיל יג: ד"ה וב"ה פסלי) דחייבי כריתות [צרת ערוה, שהיא באיסור אשת אח] פסולה לכהונה משום 'זונה'. אבל אינה נפסלת מאכילת תרומה</w:t>
      </w:r>
      <w:r w:rsidRPr="0041053F">
        <w:rPr>
          <w:rStyle w:val="ac"/>
          <w:rFonts w:ascii="Narkisim" w:hAnsi="Narkisim"/>
          <w:rtl/>
        </w:rPr>
        <w:footnoteReference w:id="2138"/>
      </w:r>
      <w:r w:rsidRPr="0041053F">
        <w:rPr>
          <w:rFonts w:ascii="Narkisim" w:hAnsi="Narkisim"/>
          <w:rtl/>
        </w:rPr>
        <w:t>. וצ"ע דבסוגיין מבואר דבאשת איש נפסלה מתרומה. וצ"ל כמ"ש ר"י בתוס' דהוה משום טומאה.</w:t>
      </w:r>
    </w:p>
    <w:p w14:paraId="653EC47F" w14:textId="77777777" w:rsidR="006074A5" w:rsidRPr="0041053F" w:rsidRDefault="006074A5" w:rsidP="006074A5">
      <w:pPr>
        <w:pStyle w:val="a8"/>
        <w:bidi/>
        <w:rPr>
          <w:rFonts w:ascii="Narkisim" w:hAnsi="Narkisim"/>
        </w:rPr>
      </w:pPr>
      <w:r w:rsidRPr="0041053F">
        <w:rPr>
          <w:rFonts w:ascii="Narkisim" w:hAnsi="Narkisim"/>
          <w:rtl/>
        </w:rPr>
        <w:t>ו</w:t>
      </w:r>
      <w:r w:rsidRPr="0041053F">
        <w:rPr>
          <w:rFonts w:ascii="Narkisim" w:hAnsi="Narkisim"/>
          <w:b/>
          <w:bCs/>
          <w:rtl/>
        </w:rPr>
        <w:t>תוס</w:t>
      </w:r>
      <w:r w:rsidRPr="0041053F">
        <w:rPr>
          <w:rFonts w:ascii="Narkisim" w:hAnsi="Narkisim"/>
          <w:rtl/>
        </w:rPr>
        <w:t>' (לקמן מד:, וכן סוף התוס' כאן) דנו האם זונה נפסלת מאכילת תרומה.</w:t>
      </w:r>
    </w:p>
    <w:p w14:paraId="340519CC" w14:textId="77777777" w:rsidR="006074A5" w:rsidRPr="0041053F" w:rsidRDefault="006074A5" w:rsidP="006074A5">
      <w:pPr>
        <w:pStyle w:val="aa"/>
        <w:bidi/>
        <w:rPr>
          <w:rFonts w:ascii="Narkisim" w:hAnsi="Narkisim"/>
        </w:rPr>
      </w:pPr>
      <w:r w:rsidRPr="0041053F">
        <w:rPr>
          <w:rFonts w:ascii="Narkisim" w:hAnsi="Narkisim"/>
          <w:u w:val="single"/>
          <w:rtl/>
        </w:rPr>
        <w:t>תוד"ה אע"פ.</w:t>
      </w:r>
      <w:r w:rsidRPr="0041053F">
        <w:rPr>
          <w:rFonts w:ascii="Narkisim" w:hAnsi="Narkisim"/>
          <w:rtl/>
        </w:rPr>
        <w:t xml:space="preserve"> ולר"י נר' דמבת איש כהן לא שמעי' אשת איש וכל חייבי כריתות הנאסרות ע"י קידושין, דלא הוה זר אצלה מעיקרא. ודלא כתוס' (לעיל סח:) דחייבי כריתות חשיב זר אצלה מעיקרא, כיון דחמירי. [בעזה"י יתבאר לקמן סח:, ע"ע תוס' לקמן מד:].</w:t>
      </w:r>
    </w:p>
    <w:p w14:paraId="42BB82E6" w14:textId="77777777" w:rsidR="006074A5" w:rsidRPr="0041053F" w:rsidRDefault="006074A5" w:rsidP="006074A5">
      <w:pPr>
        <w:pStyle w:val="aa"/>
        <w:bidi/>
        <w:rPr>
          <w:rFonts w:ascii="Narkisim" w:hAnsi="Narkisim"/>
        </w:rPr>
      </w:pPr>
      <w:r w:rsidRPr="0041053F">
        <w:rPr>
          <w:rFonts w:ascii="Narkisim" w:hAnsi="Narkisim"/>
          <w:u w:val="single"/>
          <w:rtl/>
        </w:rPr>
        <w:t>בא"ד א"כ יהא לוקה נמי מהאי קרא, דלכהונה נמי אסורות מק"ו וכו' גילוי מילתא בעלמא הוא</w:t>
      </w:r>
      <w:r w:rsidRPr="0041053F">
        <w:rPr>
          <w:rFonts w:ascii="Narkisim" w:hAnsi="Narkisim"/>
          <w:rtl/>
        </w:rPr>
        <w:t>. דהוה גילוי מילתא דהוה בכלל לאו דחללה [ע' תוס' לעיל טו:]. [ויתבאר לקמן סח:, וע"ע לקמן נו:].</w:t>
      </w:r>
    </w:p>
    <w:p w14:paraId="2E997897" w14:textId="77777777" w:rsidR="006074A5" w:rsidRPr="0041053F" w:rsidRDefault="006074A5" w:rsidP="006074A5">
      <w:pPr>
        <w:pStyle w:val="aa"/>
        <w:bidi/>
        <w:rPr>
          <w:rFonts w:ascii="Narkisim" w:hAnsi="Narkisim"/>
        </w:rPr>
      </w:pPr>
      <w:r w:rsidRPr="0041053F">
        <w:rPr>
          <w:rFonts w:ascii="Narkisim" w:hAnsi="Narkisim"/>
          <w:u w:val="single"/>
          <w:rtl/>
        </w:rPr>
        <w:t>בא"ד ואי פסולה מקרא דבת כהן פשיטא דאין לחלק בין אונס לרצון וכו'</w:t>
      </w:r>
      <w:r w:rsidRPr="0041053F">
        <w:rPr>
          <w:rFonts w:ascii="Narkisim" w:hAnsi="Narkisim"/>
          <w:rtl/>
        </w:rPr>
        <w:t>. [ע"ע ראשונים בסוגיא לקמן נו:].</w:t>
      </w:r>
    </w:p>
    <w:p w14:paraId="50B3F3D3" w14:textId="77777777" w:rsidR="006074A5" w:rsidRPr="0041053F" w:rsidRDefault="006074A5" w:rsidP="006074A5">
      <w:pPr>
        <w:pStyle w:val="aa"/>
        <w:bidi/>
        <w:rPr>
          <w:rFonts w:ascii="Narkisim" w:hAnsi="Narkisim"/>
        </w:rPr>
      </w:pPr>
      <w:r w:rsidRPr="0041053F">
        <w:rPr>
          <w:rFonts w:ascii="Narkisim" w:hAnsi="Narkisim"/>
          <w:u w:val="single"/>
          <w:rtl/>
        </w:rPr>
        <w:t>בא"ד אלא לר"י נראה וכו' מטעם טומאה וזונה</w:t>
      </w:r>
      <w:r w:rsidRPr="0041053F">
        <w:rPr>
          <w:rFonts w:ascii="Narkisim" w:hAnsi="Narkisim"/>
          <w:rtl/>
        </w:rPr>
        <w:t>. [וזנות אשת איש פוסל. אבל האונס את אשת אחיו ואחות אשתו</w:t>
      </w:r>
      <w:r w:rsidRPr="0041053F">
        <w:rPr>
          <w:rStyle w:val="ac"/>
          <w:rFonts w:ascii="Narkisim" w:hAnsi="Narkisim"/>
          <w:rtl/>
        </w:rPr>
        <w:footnoteReference w:id="2139"/>
      </w:r>
      <w:r w:rsidRPr="0041053F">
        <w:rPr>
          <w:rFonts w:ascii="Narkisim" w:hAnsi="Narkisim"/>
          <w:rtl/>
        </w:rPr>
        <w:t xml:space="preserve"> לא יפסול, ואף דהוה חייבי כריתות. עכ"פ ללישנא דבאונס לא הוה זונה</w:t>
      </w:r>
      <w:r w:rsidRPr="0041053F">
        <w:rPr>
          <w:rStyle w:val="ac"/>
          <w:rFonts w:ascii="Narkisim" w:hAnsi="Narkisim"/>
          <w:rtl/>
        </w:rPr>
        <w:footnoteReference w:id="2140"/>
      </w:r>
      <w:r w:rsidRPr="0041053F">
        <w:rPr>
          <w:rFonts w:ascii="Narkisim" w:hAnsi="Narkisim"/>
          <w:rtl/>
        </w:rPr>
        <w:t>]. ואף דאשת ישראל שנאנסה אין בה איסור סוטה, ה"מ לבעלה. אבל כלפי כהונה יש בה איסור סוטה.</w:t>
      </w:r>
    </w:p>
    <w:p w14:paraId="229DBD9F" w14:textId="77777777" w:rsidR="006074A5" w:rsidRPr="0041053F" w:rsidRDefault="006074A5" w:rsidP="006074A5">
      <w:pPr>
        <w:pStyle w:val="a8"/>
        <w:bidi/>
        <w:rPr>
          <w:rFonts w:ascii="Narkisim" w:hAnsi="Narkisim"/>
        </w:rPr>
      </w:pPr>
      <w:r w:rsidRPr="0041053F">
        <w:rPr>
          <w:rFonts w:ascii="Narkisim" w:hAnsi="Narkisim"/>
          <w:rtl/>
        </w:rPr>
        <w:t>ור"י בן אברהם (לגירסת הב"ח) פליג דאינה בכלל סוטה כלל. [וע"ע בסוגיא דלקמן נו: עי"ש].</w:t>
      </w:r>
    </w:p>
    <w:p w14:paraId="188039AE" w14:textId="77777777" w:rsidR="006074A5" w:rsidRPr="0041053F" w:rsidRDefault="006074A5" w:rsidP="006074A5">
      <w:pPr>
        <w:pStyle w:val="aa"/>
        <w:bidi/>
        <w:rPr>
          <w:rFonts w:ascii="Narkisim" w:hAnsi="Narkisim"/>
        </w:rPr>
      </w:pPr>
      <w:r w:rsidRPr="0041053F">
        <w:rPr>
          <w:rFonts w:ascii="Narkisim" w:hAnsi="Narkisim"/>
          <w:u w:val="single"/>
          <w:rtl/>
        </w:rPr>
        <w:t>בא"ד ומיהו גבי בועל אע"ג דלא כתיב ביה לא נתפסה יש לחלק בין אונס לרצון באשת ישראל, דסברא הוא דלא נאסרה וכו'</w:t>
      </w:r>
      <w:r w:rsidRPr="0041053F">
        <w:rPr>
          <w:rFonts w:ascii="Narkisim" w:hAnsi="Narkisim"/>
          <w:rtl/>
        </w:rPr>
        <w:t>. וכדאי' (בגמ' כתובות ט.) דאשת איש שנאנסה אינה נאסרת אף לבועל</w:t>
      </w:r>
      <w:r w:rsidRPr="0041053F">
        <w:rPr>
          <w:rStyle w:val="ac"/>
          <w:rFonts w:ascii="Narkisim" w:hAnsi="Narkisim"/>
          <w:rtl/>
        </w:rPr>
        <w:footnoteReference w:id="2141"/>
      </w:r>
      <w:r w:rsidRPr="0041053F">
        <w:rPr>
          <w:rFonts w:ascii="Narkisim" w:hAnsi="Narkisim"/>
          <w:rtl/>
        </w:rPr>
        <w:t xml:space="preserve">. [ותוס' הק' מ"ש </w:t>
      </w:r>
      <w:r w:rsidRPr="0041053F">
        <w:rPr>
          <w:rFonts w:ascii="Narkisim" w:hAnsi="Narkisim"/>
          <w:rtl/>
        </w:rPr>
        <w:lastRenderedPageBreak/>
        <w:t>דדרשי' קרא דכהונה דאפי' באונס, ואילו בועל דרשי' דוקא לא נתפסה].</w:t>
      </w:r>
    </w:p>
    <w:p w14:paraId="0A31958A" w14:textId="77777777" w:rsidR="006074A5" w:rsidRPr="0041053F" w:rsidRDefault="006074A5" w:rsidP="006074A5">
      <w:pPr>
        <w:pStyle w:val="a8"/>
        <w:bidi/>
        <w:rPr>
          <w:rFonts w:ascii="Narkisim" w:hAnsi="Narkisim"/>
        </w:rPr>
      </w:pPr>
      <w:r w:rsidRPr="0041053F">
        <w:rPr>
          <w:rFonts w:ascii="Narkisim" w:hAnsi="Narkisim"/>
          <w:rtl/>
        </w:rPr>
        <w:t>וה</w:t>
      </w:r>
      <w:r w:rsidRPr="0041053F">
        <w:rPr>
          <w:rFonts w:ascii="Narkisim" w:hAnsi="Narkisim"/>
          <w:b/>
          <w:bCs/>
          <w:rtl/>
        </w:rPr>
        <w:t>משנ"ל</w:t>
      </w:r>
      <w:r w:rsidRPr="0041053F">
        <w:rPr>
          <w:rFonts w:ascii="Narkisim" w:hAnsi="Narkisim"/>
          <w:rtl/>
        </w:rPr>
        <w:t xml:space="preserve"> (סוטה ב יב ד"ה עוד יש לי חקירה) דייק מדברי התוס' דכ"ז באשת ישראל [שאינה נאסרת על בעלה]. אבל אשת כהן שנאנסה אסורה על הבועל כיון שנאסרת לבעלה</w:t>
      </w:r>
      <w:r w:rsidRPr="0041053F">
        <w:rPr>
          <w:rStyle w:val="ac"/>
          <w:rFonts w:ascii="Narkisim" w:hAnsi="Narkisim"/>
          <w:rtl/>
        </w:rPr>
        <w:footnoteReference w:id="2142"/>
      </w:r>
      <w:r w:rsidRPr="0041053F">
        <w:rPr>
          <w:rFonts w:ascii="Narkisim" w:hAnsi="Narkisim"/>
          <w:rtl/>
        </w:rPr>
        <w:t>. וה</w:t>
      </w:r>
      <w:r w:rsidRPr="0041053F">
        <w:rPr>
          <w:rFonts w:ascii="Narkisim" w:hAnsi="Narkisim"/>
          <w:b/>
          <w:bCs/>
          <w:rtl/>
        </w:rPr>
        <w:t>חלק"מ</w:t>
      </w:r>
      <w:r w:rsidRPr="0041053F">
        <w:rPr>
          <w:rFonts w:ascii="Narkisim" w:hAnsi="Narkisim"/>
          <w:rtl/>
        </w:rPr>
        <w:t xml:space="preserve"> (יא י) ו</w:t>
      </w:r>
      <w:r w:rsidRPr="0041053F">
        <w:rPr>
          <w:rFonts w:ascii="Narkisim" w:hAnsi="Narkisim"/>
          <w:b/>
          <w:bCs/>
          <w:rtl/>
        </w:rPr>
        <w:t>בי"ש</w:t>
      </w:r>
      <w:r w:rsidRPr="0041053F">
        <w:rPr>
          <w:rFonts w:ascii="Narkisim" w:hAnsi="Narkisim"/>
          <w:rtl/>
        </w:rPr>
        <w:t xml:space="preserve"> (יא ג) נסתפקו בזה.</w:t>
      </w:r>
    </w:p>
    <w:p w14:paraId="2B4293FE" w14:textId="77777777" w:rsidR="006074A5" w:rsidRPr="0041053F" w:rsidRDefault="006074A5" w:rsidP="006074A5">
      <w:pPr>
        <w:pStyle w:val="2"/>
        <w:bidi/>
        <w:rPr>
          <w:rFonts w:ascii="Narkisim" w:hAnsi="Narkisim"/>
          <w:sz w:val="20"/>
        </w:rPr>
      </w:pPr>
      <w:r w:rsidRPr="0041053F">
        <w:rPr>
          <w:rFonts w:ascii="Narkisim" w:hAnsi="Narkisim"/>
          <w:sz w:val="20"/>
          <w:rtl/>
        </w:rPr>
        <w:t>הדרן עלך פרק ארבעה אחין</w:t>
      </w:r>
    </w:p>
    <w:p w14:paraId="1CA2A17F" w14:textId="77777777" w:rsidR="006074A5" w:rsidRPr="00AF1DC8" w:rsidRDefault="006074A5" w:rsidP="006074A5">
      <w:pPr>
        <w:pStyle w:val="a9"/>
        <w:bidi/>
        <w:rPr>
          <w:rFonts w:ascii="Narkisim" w:hAnsi="Narkisim"/>
        </w:rPr>
      </w:pPr>
      <w:r w:rsidRPr="00AF1DC8">
        <w:rPr>
          <w:rFonts w:ascii="Narkisim" w:hAnsi="Narkisim"/>
          <w:rtl/>
        </w:rPr>
        <w:t>בס"ד</w:t>
      </w:r>
    </w:p>
    <w:p w14:paraId="261A4EA5" w14:textId="77777777" w:rsidR="006074A5" w:rsidRPr="00AF1DC8" w:rsidRDefault="006074A5" w:rsidP="006074A5">
      <w:pPr>
        <w:pStyle w:val="3"/>
        <w:bidi/>
        <w:rPr>
          <w:rFonts w:ascii="Narkisim" w:hAnsi="Narkisim"/>
        </w:rPr>
      </w:pPr>
      <w:r w:rsidRPr="00AF1DC8">
        <w:rPr>
          <w:rFonts w:ascii="Narkisim" w:hAnsi="Narkisim"/>
          <w:rtl/>
        </w:rPr>
        <w:t>דף לה</w:t>
      </w:r>
      <w:r w:rsidRPr="00AF1DC8">
        <w:rPr>
          <w:rFonts w:ascii="Narkisim" w:hAnsi="Narkisim"/>
        </w:rPr>
        <w:t>:</w:t>
      </w:r>
    </w:p>
    <w:p w14:paraId="5A47CAAF" w14:textId="77777777" w:rsidR="006074A5" w:rsidRPr="00AF1DC8" w:rsidRDefault="006074A5" w:rsidP="006074A5">
      <w:pPr>
        <w:pStyle w:val="1"/>
        <w:bidi/>
        <w:rPr>
          <w:rFonts w:ascii="Narkisim" w:hAnsi="Narkisim"/>
        </w:rPr>
      </w:pPr>
      <w:r w:rsidRPr="00AF1DC8">
        <w:rPr>
          <w:rFonts w:ascii="Narkisim" w:hAnsi="Narkisim"/>
          <w:rtl/>
        </w:rPr>
        <w:t>פרק החולץ</w:t>
      </w:r>
    </w:p>
    <w:p w14:paraId="0F378500" w14:textId="77777777" w:rsidR="006074A5" w:rsidRPr="00AF1DC8" w:rsidRDefault="006074A5" w:rsidP="006074A5">
      <w:pPr>
        <w:bidi/>
        <w:rPr>
          <w:rFonts w:ascii="Narkisim" w:hAnsi="Narkisim" w:cs="Narkisim"/>
        </w:rPr>
      </w:pPr>
      <w:r w:rsidRPr="00AF1DC8">
        <w:rPr>
          <w:rFonts w:ascii="Narkisim" w:hAnsi="Narkisim" w:cs="Narkisim"/>
          <w:u w:val="single"/>
          <w:rtl/>
        </w:rPr>
        <w:t>תוד"ה החולץ.</w:t>
      </w:r>
      <w:r w:rsidRPr="00AF1DC8">
        <w:rPr>
          <w:rFonts w:ascii="Narkisim" w:hAnsi="Narkisim" w:cs="Narkisim"/>
          <w:rtl/>
        </w:rPr>
        <w:t xml:space="preserve"> א"כ מזיד הוא ולא מיחייב קרבן דלא שב מידיעתו. וה</w:t>
      </w:r>
      <w:r w:rsidRPr="00AF1DC8">
        <w:rPr>
          <w:rFonts w:ascii="Narkisim" w:hAnsi="Narkisim" w:cs="Narkisim"/>
          <w:b/>
          <w:bCs/>
          <w:rtl/>
        </w:rPr>
        <w:t xml:space="preserve">רמב"ן </w:t>
      </w:r>
      <w:r w:rsidRPr="00AF1DC8">
        <w:rPr>
          <w:rFonts w:ascii="Narkisim" w:hAnsi="Narkisim" w:cs="Narkisim"/>
          <w:rtl/>
        </w:rPr>
        <w:t>כת' דמזיד הוא ולא מחייב קרבן [דחטאת הוה דוקא בשוגג]. וה</w:t>
      </w:r>
      <w:r w:rsidRPr="00AF1DC8">
        <w:rPr>
          <w:rFonts w:ascii="Narkisim" w:hAnsi="Narkisim" w:cs="Narkisim"/>
          <w:b/>
          <w:bCs/>
          <w:rtl/>
        </w:rPr>
        <w:t xml:space="preserve">אחרונים </w:t>
      </w:r>
      <w:r w:rsidRPr="00AF1DC8">
        <w:rPr>
          <w:rFonts w:ascii="Narkisim" w:hAnsi="Narkisim" w:cs="Narkisim"/>
          <w:rtl/>
        </w:rPr>
        <w:t>הק' [על תוס'] דנקטו משום דלא שב מידיעתו</w:t>
      </w:r>
      <w:r w:rsidRPr="00AF1DC8">
        <w:rPr>
          <w:rStyle w:val="ac"/>
          <w:rFonts w:ascii="Narkisim" w:hAnsi="Narkisim" w:cs="Narkisim"/>
          <w:rtl/>
        </w:rPr>
        <w:footnoteReference w:id="2143"/>
      </w:r>
      <w:r w:rsidRPr="00AF1DC8">
        <w:rPr>
          <w:rFonts w:ascii="Narkisim" w:hAnsi="Narkisim" w:cs="Narkisim"/>
        </w:rPr>
        <w:t xml:space="preserve">, </w:t>
      </w:r>
      <w:r w:rsidRPr="00AF1DC8">
        <w:rPr>
          <w:rFonts w:ascii="Narkisim" w:hAnsi="Narkisim" w:cs="Narkisim"/>
          <w:rtl/>
        </w:rPr>
        <w:t xml:space="preserve">דהול"ל דאינו שוגג כלל ואין חטאת במזיד. [וכרמב"ן]. </w:t>
      </w:r>
      <w:r w:rsidRPr="00AF1DC8">
        <w:rPr>
          <w:rFonts w:ascii="Narkisim" w:hAnsi="Narkisim" w:cs="Narkisim"/>
          <w:sz w:val="20"/>
          <w:szCs w:val="20"/>
          <w:rtl/>
        </w:rPr>
        <w:t>ומשמע בתוס' דלא נחשב מזיד גמור כיון דיש מיעוט מפילות, במה שעבר על דין רוב, וכ"כ ב</w:t>
      </w:r>
      <w:r w:rsidRPr="00AF1DC8">
        <w:rPr>
          <w:rFonts w:ascii="Narkisim" w:hAnsi="Narkisim" w:cs="Narkisim"/>
          <w:b/>
          <w:bCs/>
          <w:sz w:val="20"/>
          <w:szCs w:val="20"/>
          <w:rtl/>
        </w:rPr>
        <w:t>ערול"נ</w:t>
      </w:r>
      <w:r w:rsidRPr="00AF1DC8">
        <w:rPr>
          <w:rFonts w:ascii="Narkisim" w:hAnsi="Narkisim" w:cs="Narkisim"/>
          <w:sz w:val="20"/>
          <w:szCs w:val="20"/>
        </w:rPr>
        <w:t>.</w:t>
      </w:r>
    </w:p>
    <w:p w14:paraId="5FF61A47" w14:textId="77777777" w:rsidR="006074A5" w:rsidRPr="00AF1DC8" w:rsidRDefault="006074A5" w:rsidP="006074A5">
      <w:pPr>
        <w:bidi/>
        <w:rPr>
          <w:rFonts w:ascii="Narkisim" w:hAnsi="Narkisim" w:cs="Narkisim"/>
        </w:rPr>
      </w:pPr>
      <w:r w:rsidRPr="00AF1DC8">
        <w:rPr>
          <w:rFonts w:ascii="Narkisim" w:hAnsi="Narkisim" w:cs="Narkisim"/>
          <w:u w:val="single"/>
          <w:rtl/>
        </w:rPr>
        <w:t>תוד"ה ונמצאת.</w:t>
      </w:r>
      <w:r w:rsidRPr="00AF1DC8">
        <w:rPr>
          <w:rFonts w:ascii="Narkisim" w:hAnsi="Narkisim" w:cs="Narkisim"/>
          <w:rtl/>
        </w:rPr>
        <w:t xml:space="preserve"> כיון דרוב נשים עוברן ניכר וכו' מאי הו"ל למיעבד</w:t>
      </w:r>
      <w:r w:rsidRPr="00AF1DC8">
        <w:rPr>
          <w:rStyle w:val="ac"/>
          <w:rFonts w:ascii="Narkisim" w:hAnsi="Narkisim" w:cs="Narkisim"/>
          <w:rtl/>
        </w:rPr>
        <w:footnoteReference w:id="2144"/>
      </w:r>
      <w:r w:rsidRPr="00AF1DC8">
        <w:rPr>
          <w:rFonts w:ascii="Narkisim" w:hAnsi="Narkisim" w:cs="Narkisim"/>
        </w:rPr>
        <w:t xml:space="preserve">. </w:t>
      </w:r>
      <w:r w:rsidRPr="00AF1DC8">
        <w:rPr>
          <w:rFonts w:ascii="Narkisim" w:hAnsi="Narkisim" w:cs="Narkisim"/>
          <w:rtl/>
        </w:rPr>
        <w:t>מבואר דכיון דמסייע לה רוב נחשב אונס ופטור מקרבן</w:t>
      </w:r>
      <w:r w:rsidRPr="00AF1DC8">
        <w:rPr>
          <w:rStyle w:val="ac"/>
          <w:rFonts w:ascii="Narkisim" w:hAnsi="Narkisim" w:cs="Narkisim"/>
          <w:rtl/>
        </w:rPr>
        <w:footnoteReference w:id="2145"/>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נוב"י</w:t>
      </w:r>
      <w:r w:rsidRPr="00AF1DC8">
        <w:rPr>
          <w:rFonts w:ascii="Narkisim" w:hAnsi="Narkisim" w:cs="Narkisim"/>
          <w:rtl/>
        </w:rPr>
        <w:t xml:space="preserve"> (יו"ד ת' צו) הק' דהנשאת ע"פ עדים שמת בעלה ושוב בא בעלה, חייבת קרבן [וכדתנן לקמן פז:]. ולא אמרי' דנחשב אונס משום דסמכה על עדים, כיון שנמצא שקר. וה</w:t>
      </w:r>
      <w:r w:rsidRPr="00AF1DC8">
        <w:rPr>
          <w:rFonts w:ascii="Narkisim" w:hAnsi="Narkisim" w:cs="Narkisim"/>
          <w:b/>
          <w:bCs/>
          <w:rtl/>
        </w:rPr>
        <w:t>נוב"י</w:t>
      </w:r>
      <w:r w:rsidRPr="00AF1DC8">
        <w:rPr>
          <w:rFonts w:ascii="Narkisim" w:hAnsi="Narkisim" w:cs="Narkisim"/>
          <w:rtl/>
        </w:rPr>
        <w:t xml:space="preserve"> תי' דהתם נתברר שהעדים שקרנים, ואין כאן עדות, ונשאת בטעות. אבל הכא אף אם נתברר שהיא מהמיעוט הרוב קיים</w:t>
      </w:r>
      <w:r w:rsidRPr="00AF1DC8">
        <w:rPr>
          <w:rStyle w:val="ac"/>
          <w:rFonts w:ascii="Narkisim" w:hAnsi="Narkisim" w:cs="Narkisim"/>
          <w:rtl/>
        </w:rPr>
        <w:footnoteReference w:id="2146"/>
      </w:r>
      <w:r w:rsidRPr="00AF1DC8">
        <w:rPr>
          <w:rFonts w:ascii="Narkisim" w:hAnsi="Narkisim" w:cs="Narkisim"/>
        </w:rPr>
        <w:t>.</w:t>
      </w:r>
      <w:r w:rsidRPr="00AF1DC8">
        <w:rPr>
          <w:rStyle w:val="ac"/>
          <w:rFonts w:ascii="Narkisim" w:hAnsi="Narkisim" w:cs="Narkisim"/>
        </w:rPr>
        <w:footnoteReference w:id="2147"/>
      </w:r>
    </w:p>
    <w:p w14:paraId="7F5B085B" w14:textId="77777777" w:rsidR="006074A5" w:rsidRPr="00AF1DC8" w:rsidRDefault="006074A5" w:rsidP="006074A5">
      <w:pPr>
        <w:bidi/>
        <w:rPr>
          <w:rFonts w:ascii="Narkisim" w:hAnsi="Narkisim" w:cs="Narkisim"/>
        </w:rPr>
      </w:pPr>
      <w:r w:rsidRPr="00AF1DC8">
        <w:rPr>
          <w:rFonts w:ascii="Narkisim" w:hAnsi="Narkisim" w:cs="Narkisim"/>
          <w:u w:val="single"/>
          <w:rtl/>
        </w:rPr>
        <w:t>בא"ד וא"ת וכו' תוך ג' חדשים לאו חליצה היא וכו'</w:t>
      </w:r>
      <w:r w:rsidRPr="00AF1DC8">
        <w:rPr>
          <w:rFonts w:ascii="Narkisim" w:hAnsi="Narkisim" w:cs="Narkisim"/>
          <w:rtl/>
        </w:rPr>
        <w:t>. [כדאי' בגמ' (לקמן מא:) דאינו רשאי לחלוץ תוך צ' יום כיון דעדיין אינו עולה ליבום, משום תקנת הבחנה]. ו</w:t>
      </w:r>
      <w:r w:rsidRPr="00AF1DC8">
        <w:rPr>
          <w:rFonts w:ascii="Narkisim" w:hAnsi="Narkisim" w:cs="Narkisim"/>
          <w:b/>
          <w:bCs/>
          <w:rtl/>
        </w:rPr>
        <w:t>תוס'</w:t>
      </w:r>
      <w:r w:rsidRPr="00AF1DC8">
        <w:rPr>
          <w:rFonts w:ascii="Narkisim" w:hAnsi="Narkisim" w:cs="Narkisim"/>
          <w:rtl/>
        </w:rPr>
        <w:t xml:space="preserve"> (בתי' הב') כת' דבדיעבד הוה חליצה. ואילו </w:t>
      </w:r>
      <w:r w:rsidRPr="00AF1DC8">
        <w:rPr>
          <w:rFonts w:ascii="Narkisim" w:hAnsi="Narkisim" w:cs="Narkisim"/>
          <w:b/>
          <w:bCs/>
          <w:rtl/>
        </w:rPr>
        <w:t>תוס</w:t>
      </w:r>
      <w:r w:rsidRPr="00AF1DC8">
        <w:rPr>
          <w:rFonts w:ascii="Narkisim" w:hAnsi="Narkisim" w:cs="Narkisim"/>
          <w:rtl/>
        </w:rPr>
        <w:t>' (בתי' הא') נקטו דמדרבנן לאו חליצה היא</w:t>
      </w:r>
      <w:r w:rsidRPr="00AF1DC8">
        <w:rPr>
          <w:rStyle w:val="ac"/>
          <w:rFonts w:ascii="Narkisim" w:hAnsi="Narkisim" w:cs="Narkisim"/>
          <w:rtl/>
        </w:rPr>
        <w:footnoteReference w:id="2148"/>
      </w:r>
      <w:r w:rsidRPr="00AF1DC8">
        <w:rPr>
          <w:rFonts w:ascii="Narkisim" w:hAnsi="Narkisim" w:cs="Narkisim"/>
        </w:rPr>
        <w:t>.</w:t>
      </w:r>
    </w:p>
    <w:p w14:paraId="625C80D8"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גר"א</w:t>
      </w:r>
      <w:r w:rsidRPr="00AF1DC8">
        <w:rPr>
          <w:rFonts w:ascii="Narkisim" w:hAnsi="Narkisim"/>
          <w:rtl/>
        </w:rPr>
        <w:t xml:space="preserve"> (עה"ג) כת' דאף ייבם תוך ג' חדשים קנה בדיעבד [היכא דנתברר שאינה מעוברת]. וכ"ש דהחליצה מהני בדיעבד</w:t>
      </w:r>
      <w:r w:rsidRPr="00AF1DC8">
        <w:rPr>
          <w:rFonts w:ascii="Narkisim" w:hAnsi="Narkisim"/>
        </w:rPr>
        <w:t>.</w:t>
      </w:r>
    </w:p>
    <w:p w14:paraId="11C7CCFE"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w:t>
      </w:r>
      <w:r w:rsidRPr="00AF1DC8">
        <w:rPr>
          <w:rFonts w:ascii="Narkisim" w:hAnsi="Narkisim" w:cs="Narkisim"/>
          <w:b/>
          <w:bCs/>
          <w:rtl/>
        </w:rPr>
        <w:t>רע"א</w:t>
      </w:r>
      <w:r w:rsidRPr="00AF1DC8">
        <w:rPr>
          <w:rFonts w:ascii="Narkisim" w:hAnsi="Narkisim" w:cs="Narkisim"/>
          <w:rtl/>
        </w:rPr>
        <w:t xml:space="preserve"> הקשה דלפ"ז מה הקשה ר"ל לר' יוחנן מהמשנה, הא המשנה איירי תוך ג' [וכמ"ש תוס'], א"כ אף לר' יוחנן ניבעי חליצה מהאחים [מדרבנן] מדין תוך ג' חדשים. וכה"ק ה</w:t>
      </w:r>
      <w:r w:rsidRPr="00AF1DC8">
        <w:rPr>
          <w:rFonts w:ascii="Narkisim" w:hAnsi="Narkisim" w:cs="Narkisim"/>
          <w:b/>
          <w:bCs/>
          <w:rtl/>
        </w:rPr>
        <w:t>מהר"ם</w:t>
      </w:r>
      <w:r w:rsidRPr="00AF1DC8">
        <w:rPr>
          <w:rFonts w:ascii="Narkisim" w:hAnsi="Narkisim" w:cs="Narkisim"/>
          <w:rtl/>
        </w:rPr>
        <w:t xml:space="preserve"> עי"ש</w:t>
      </w:r>
      <w:r w:rsidRPr="00AF1DC8">
        <w:rPr>
          <w:rFonts w:ascii="Narkisim" w:hAnsi="Narkisim" w:cs="Narkisim"/>
        </w:rPr>
        <w:t>.</w:t>
      </w:r>
    </w:p>
    <w:p w14:paraId="390FDCAE" w14:textId="77777777" w:rsidR="006074A5" w:rsidRPr="00AF1DC8" w:rsidRDefault="006074A5" w:rsidP="006074A5">
      <w:pPr>
        <w:pStyle w:val="aa"/>
        <w:bidi/>
        <w:rPr>
          <w:rFonts w:ascii="Narkisim" w:hAnsi="Narkisim"/>
        </w:rPr>
      </w:pPr>
      <w:r w:rsidRPr="00AF1DC8">
        <w:rPr>
          <w:rFonts w:ascii="Narkisim" w:hAnsi="Narkisim"/>
          <w:u w:val="single"/>
          <w:rtl/>
        </w:rPr>
        <w:t>בא"ד ואר"י דנהי דלאו חליצה היא, מ”מ אסור בקרובותיה כיון דמדאורייתא הוה חליצה</w:t>
      </w:r>
      <w:r w:rsidRPr="00AF1DC8">
        <w:rPr>
          <w:rStyle w:val="ac"/>
          <w:rFonts w:ascii="Narkisim" w:hAnsi="Narkisim"/>
          <w:rtl/>
        </w:rPr>
        <w:footnoteReference w:id="2149"/>
      </w:r>
      <w:r w:rsidRPr="00AF1DC8">
        <w:rPr>
          <w:rFonts w:ascii="Narkisim" w:hAnsi="Narkisim"/>
        </w:rPr>
        <w:t xml:space="preserve">. </w:t>
      </w:r>
      <w:r w:rsidRPr="00AF1DC8">
        <w:rPr>
          <w:rFonts w:ascii="Narkisim" w:hAnsi="Narkisim"/>
          <w:rtl/>
        </w:rPr>
        <w:t>[ואף דמדרבנן תוך צ' אינה חליצה כלל, מ"מ רבנן גזרו איסור קרובותיה מחמת הדין דאורייתא]</w:t>
      </w:r>
      <w:r w:rsidRPr="00AF1DC8">
        <w:rPr>
          <w:rFonts w:ascii="Narkisim" w:hAnsi="Narkisim"/>
        </w:rPr>
        <w:t>.</w:t>
      </w:r>
    </w:p>
    <w:p w14:paraId="3091BFBA" w14:textId="77777777" w:rsidR="006074A5" w:rsidRPr="00AF1DC8" w:rsidRDefault="006074A5" w:rsidP="006074A5">
      <w:pPr>
        <w:pStyle w:val="2"/>
        <w:bidi/>
        <w:rPr>
          <w:rFonts w:ascii="Narkisim" w:hAnsi="Narkisim"/>
        </w:rPr>
      </w:pPr>
      <w:r w:rsidRPr="00AF1DC8">
        <w:rPr>
          <w:rFonts w:ascii="Narkisim" w:hAnsi="Narkisim"/>
          <w:rtl/>
        </w:rPr>
        <w:t>חליצת מעוברת</w:t>
      </w:r>
    </w:p>
    <w:p w14:paraId="6275051B" w14:textId="77777777" w:rsidR="006074A5" w:rsidRPr="00AF1DC8" w:rsidRDefault="006074A5" w:rsidP="006074A5">
      <w:pPr>
        <w:bidi/>
        <w:rPr>
          <w:rFonts w:ascii="Narkisim" w:hAnsi="Narkisim" w:cs="Narkisim"/>
        </w:rPr>
      </w:pPr>
      <w:r w:rsidRPr="00AF1DC8">
        <w:rPr>
          <w:rFonts w:ascii="Narkisim" w:hAnsi="Narkisim" w:cs="Narkisim"/>
          <w:u w:val="single"/>
          <w:rtl/>
        </w:rPr>
        <w:t>איב"א סברא, ר' יוחנן סבר אם יבא אליהו וכו'</w:t>
      </w:r>
      <w:r w:rsidRPr="00AF1DC8">
        <w:rPr>
          <w:rFonts w:ascii="Narkisim" w:hAnsi="Narkisim" w:cs="Narkisim"/>
          <w:rtl/>
        </w:rPr>
        <w:t xml:space="preserve">. דאיגלאי מילתא דזקוקה ליבום וחליצה. </w:t>
      </w:r>
      <w:r w:rsidRPr="00AF1DC8">
        <w:rPr>
          <w:rFonts w:ascii="Narkisim" w:hAnsi="Narkisim" w:cs="Narkisim"/>
          <w:rtl/>
        </w:rPr>
        <w:lastRenderedPageBreak/>
        <w:t>[וע”ע בגמ' לקמן מא:]</w:t>
      </w:r>
      <w:r w:rsidRPr="00AF1DC8">
        <w:rPr>
          <w:rFonts w:ascii="Narkisim" w:hAnsi="Narkisim" w:cs="Narkisim"/>
        </w:rPr>
        <w:t>.</w:t>
      </w:r>
    </w:p>
    <w:p w14:paraId="3E51C20A" w14:textId="77777777" w:rsidR="006074A5" w:rsidRPr="00AF1DC8" w:rsidRDefault="006074A5" w:rsidP="006074A5">
      <w:pPr>
        <w:bidi/>
        <w:rPr>
          <w:rFonts w:ascii="Narkisim" w:hAnsi="Narkisim" w:cs="Narkisim"/>
        </w:rPr>
      </w:pPr>
      <w:r w:rsidRPr="00AF1DC8">
        <w:rPr>
          <w:rFonts w:ascii="Narkisim" w:hAnsi="Narkisim" w:cs="Narkisim"/>
          <w:u w:val="single"/>
          <w:rtl/>
        </w:rPr>
        <w:t>ר"ל אמר תגלי מילתא למפרע לא אמרי'.</w:t>
      </w:r>
      <w:r w:rsidRPr="00AF1DC8">
        <w:rPr>
          <w:rFonts w:ascii="Narkisim" w:hAnsi="Narkisim" w:cs="Narkisim"/>
          <w:rtl/>
        </w:rPr>
        <w:t xml:space="preserve"> ה</w:t>
      </w:r>
      <w:r w:rsidRPr="00AF1DC8">
        <w:rPr>
          <w:rFonts w:ascii="Narkisim" w:hAnsi="Narkisim" w:cs="Narkisim"/>
          <w:b/>
          <w:bCs/>
          <w:rtl/>
        </w:rPr>
        <w:t>ראשונים</w:t>
      </w:r>
      <w:r w:rsidRPr="00AF1DC8">
        <w:rPr>
          <w:rFonts w:ascii="Narkisim" w:hAnsi="Narkisim" w:cs="Narkisim"/>
          <w:rtl/>
        </w:rPr>
        <w:t xml:space="preserve"> (ריטב"א) הק' דבכולה תלמודא אמרי' איגלאי מילתא למפרע</w:t>
      </w:r>
      <w:r w:rsidRPr="00AF1DC8">
        <w:rPr>
          <w:rFonts w:ascii="Narkisim" w:hAnsi="Narkisim" w:cs="Narkisim"/>
        </w:rPr>
        <w:t>.</w:t>
      </w:r>
    </w:p>
    <w:p w14:paraId="618DBC51"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(ד"ה תגלי) פי' הטעם דא"א לידע עתידות</w:t>
      </w:r>
      <w:r w:rsidRPr="00AF1DC8">
        <w:rPr>
          <w:rStyle w:val="ac"/>
          <w:rFonts w:ascii="Narkisim" w:hAnsi="Narkisim"/>
          <w:rtl/>
        </w:rPr>
        <w:footnoteReference w:id="2150"/>
      </w:r>
      <w:r w:rsidRPr="00AF1DC8">
        <w:rPr>
          <w:rFonts w:ascii="Narkisim" w:hAnsi="Narkisim"/>
        </w:rPr>
        <w:t xml:space="preserve">, </w:t>
      </w:r>
      <w:r w:rsidRPr="00AF1DC8">
        <w:rPr>
          <w:rFonts w:ascii="Narkisim" w:hAnsi="Narkisim"/>
          <w:rtl/>
        </w:rPr>
        <w:t>ומש”ה לא אמרי' דנתברר למפרע</w:t>
      </w:r>
      <w:r w:rsidRPr="00AF1DC8">
        <w:rPr>
          <w:rStyle w:val="ac"/>
          <w:rFonts w:ascii="Narkisim" w:hAnsi="Narkisim"/>
          <w:rtl/>
        </w:rPr>
        <w:footnoteReference w:id="2151"/>
      </w:r>
      <w:r w:rsidRPr="00AF1DC8">
        <w:rPr>
          <w:rFonts w:ascii="Narkisim" w:hAnsi="Narkisim"/>
        </w:rPr>
        <w:t xml:space="preserve">. </w:t>
      </w:r>
      <w:r w:rsidRPr="00AF1DC8">
        <w:rPr>
          <w:rFonts w:ascii="Narkisim" w:hAnsi="Narkisim"/>
          <w:rtl/>
        </w:rPr>
        <w:t xml:space="preserve">ודוקא ספק לשעבר </w:t>
      </w:r>
      <w:r w:rsidRPr="00AF1DC8">
        <w:rPr>
          <w:rFonts w:ascii="Narkisim" w:hAnsi="Narkisim"/>
          <w:szCs w:val="20"/>
          <w:rtl/>
        </w:rPr>
        <w:t>[שראוי להתברר עכשיו]</w:t>
      </w:r>
      <w:r w:rsidRPr="00AF1DC8">
        <w:rPr>
          <w:rFonts w:ascii="Narkisim" w:hAnsi="Narkisim"/>
          <w:rtl/>
        </w:rPr>
        <w:t xml:space="preserve"> אמרי' אם יבא אליהו</w:t>
      </w:r>
      <w:r w:rsidRPr="00AF1DC8">
        <w:rPr>
          <w:rStyle w:val="ac"/>
          <w:rFonts w:ascii="Narkisim" w:hAnsi="Narkisim"/>
          <w:rtl/>
        </w:rPr>
        <w:footnoteReference w:id="2152"/>
      </w:r>
      <w:r w:rsidRPr="00AF1DC8">
        <w:rPr>
          <w:rFonts w:ascii="Narkisim" w:hAnsi="Narkisim"/>
        </w:rPr>
        <w:t>.</w:t>
      </w:r>
    </w:p>
    <w:p w14:paraId="157E6298"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 בשם </w:t>
      </w:r>
      <w:r w:rsidRPr="00AF1DC8">
        <w:rPr>
          <w:rFonts w:ascii="Narkisim" w:hAnsi="Narkisim"/>
          <w:b/>
          <w:bCs/>
          <w:rtl/>
        </w:rPr>
        <w:t>תוס</w:t>
      </w:r>
      <w:r w:rsidRPr="00AF1DC8">
        <w:rPr>
          <w:rFonts w:ascii="Narkisim" w:hAnsi="Narkisim"/>
          <w:rtl/>
        </w:rPr>
        <w:t>' דדין הוא שלא תועיל חליצה כל שהיא מעוברת בשום צד. שלא אמרה תורה לחלוץ אלא במקום שאין שום צד בן בעולם. ולהכי קאמר איגלאי מילתא למפרע לא אמרי</w:t>
      </w:r>
      <w:r w:rsidRPr="00AF1DC8">
        <w:rPr>
          <w:rFonts w:ascii="Narkisim" w:hAnsi="Narkisim"/>
        </w:rPr>
        <w:t>'.</w:t>
      </w:r>
    </w:p>
    <w:p w14:paraId="2C991BAA"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משנ"ל</w:t>
      </w:r>
      <w:r w:rsidRPr="00AF1DC8">
        <w:rPr>
          <w:rFonts w:ascii="Narkisim" w:hAnsi="Narkisim" w:cs="Narkisim"/>
          <w:rtl/>
        </w:rPr>
        <w:t xml:space="preserve"> (גירושין ו ג בסו"ד) הביא מסוגיין כדעת </w:t>
      </w:r>
      <w:r w:rsidRPr="00AF1DC8">
        <w:rPr>
          <w:rFonts w:ascii="Narkisim" w:hAnsi="Narkisim" w:cs="Narkisim"/>
          <w:b/>
          <w:bCs/>
          <w:rtl/>
        </w:rPr>
        <w:t>שו"ת הרשב"א</w:t>
      </w:r>
      <w:r w:rsidRPr="00AF1DC8">
        <w:rPr>
          <w:rFonts w:ascii="Narkisim" w:hAnsi="Narkisim" w:cs="Narkisim"/>
          <w:rtl/>
        </w:rPr>
        <w:t xml:space="preserve"> (א תשז) [שנסתפק] האם מי שקידש בתנאי יכול לגרש קודם שיתקיים התנאי, ואף דע"י קיום התנאי מקודשת למפרע. דכיון דבשעתו א”א לידע עתידות ל”מ מעשה הגירושין</w:t>
      </w:r>
      <w:r w:rsidRPr="00AF1DC8">
        <w:rPr>
          <w:rStyle w:val="ac"/>
          <w:rFonts w:ascii="Narkisim" w:hAnsi="Narkisim" w:cs="Narkisim"/>
          <w:rtl/>
        </w:rPr>
        <w:footnoteReference w:id="2153"/>
      </w:r>
      <w:r w:rsidRPr="00AF1DC8">
        <w:rPr>
          <w:rFonts w:ascii="Narkisim" w:hAnsi="Narkisim" w:cs="Narkisim"/>
        </w:rPr>
        <w:t xml:space="preserve">. </w:t>
      </w:r>
      <w:r w:rsidRPr="00AF1DC8">
        <w:rPr>
          <w:rFonts w:ascii="Narkisim" w:hAnsi="Narkisim" w:cs="Narkisim"/>
          <w:rtl/>
        </w:rPr>
        <w:t>[דכיון דאינו מבורר ל"מ, או משום דחל אח"כ למפרע]. אבל הביא דדעת ה</w:t>
      </w:r>
      <w:r w:rsidRPr="00AF1DC8">
        <w:rPr>
          <w:rFonts w:ascii="Narkisim" w:hAnsi="Narkisim" w:cs="Narkisim"/>
          <w:b/>
          <w:bCs/>
          <w:rtl/>
        </w:rPr>
        <w:t>רמ”ה</w:t>
      </w:r>
      <w:r w:rsidRPr="00AF1DC8">
        <w:rPr>
          <w:rFonts w:ascii="Narkisim" w:hAnsi="Narkisim" w:cs="Narkisim"/>
          <w:rtl/>
        </w:rPr>
        <w:t xml:space="preserve"> (הו' ב</w:t>
      </w:r>
      <w:r w:rsidRPr="00AF1DC8">
        <w:rPr>
          <w:rFonts w:ascii="Narkisim" w:hAnsi="Narkisim" w:cs="Narkisim"/>
          <w:b/>
          <w:bCs/>
          <w:rtl/>
        </w:rPr>
        <w:t>טור</w:t>
      </w:r>
      <w:r w:rsidRPr="00AF1DC8">
        <w:rPr>
          <w:rFonts w:ascii="Narkisim" w:hAnsi="Narkisim" w:cs="Narkisim"/>
          <w:rtl/>
        </w:rPr>
        <w:t xml:space="preserve"> אה”ע לח) דאפשר לגרש או לחלוץ קודם שיתקיים התנאי, דאילו איגלאי שיתקיים התנאי שפיר גירש</w:t>
      </w:r>
      <w:r w:rsidRPr="00AF1DC8">
        <w:rPr>
          <w:rStyle w:val="ac"/>
          <w:rFonts w:ascii="Narkisim" w:hAnsi="Narkisim" w:cs="Narkisim"/>
          <w:rtl/>
        </w:rPr>
        <w:footnoteReference w:id="2154"/>
      </w:r>
      <w:r w:rsidRPr="00AF1DC8">
        <w:rPr>
          <w:rFonts w:ascii="Narkisim" w:hAnsi="Narkisim" w:cs="Narkisim"/>
        </w:rPr>
        <w:t>.</w:t>
      </w:r>
    </w:p>
    <w:p w14:paraId="08C71650" w14:textId="77777777" w:rsidR="006074A5" w:rsidRPr="00AF1DC8" w:rsidRDefault="006074A5" w:rsidP="006074A5">
      <w:pPr>
        <w:pStyle w:val="a8"/>
        <w:bidi/>
        <w:rPr>
          <w:rFonts w:ascii="Narkisim" w:hAnsi="Narkisim"/>
        </w:rPr>
      </w:pPr>
      <w:r w:rsidRPr="00AF1DC8">
        <w:rPr>
          <w:rFonts w:ascii="Narkisim" w:hAnsi="Narkisim"/>
          <w:rtl/>
        </w:rPr>
        <w:t>והמשנ"ל הק' דהרמ"ה איירי בספק עתידי, א"כ לדברי התוס' ל"ש בזה איגלאי למפרע. והאיך חולצת</w:t>
      </w:r>
      <w:r w:rsidRPr="00AF1DC8">
        <w:rPr>
          <w:rFonts w:ascii="Narkisim" w:hAnsi="Narkisim"/>
        </w:rPr>
        <w:t>.</w:t>
      </w:r>
    </w:p>
    <w:p w14:paraId="58AFAE76"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ברכ"ש</w:t>
      </w:r>
      <w:r w:rsidRPr="00AF1DC8">
        <w:rPr>
          <w:rFonts w:ascii="Narkisim" w:hAnsi="Narkisim" w:cs="Narkisim"/>
          <w:rtl/>
        </w:rPr>
        <w:t xml:space="preserve"> (טז) ביאר דהכא יש חסרון בזיקה כיון דאינו מבורר, ובגירושין וחליצה בעי' שיהא הבעל 'מגרש' והיבם 'מתיר', ולא סגי שיהא לו זכות בקניני האישות</w:t>
      </w:r>
      <w:r w:rsidRPr="00AF1DC8">
        <w:rPr>
          <w:rStyle w:val="ac"/>
          <w:rFonts w:ascii="Narkisim" w:hAnsi="Narkisim" w:cs="Narkisim"/>
          <w:rtl/>
        </w:rPr>
        <w:footnoteReference w:id="2155"/>
      </w:r>
      <w:r w:rsidRPr="00AF1DC8">
        <w:rPr>
          <w:rFonts w:ascii="Narkisim" w:hAnsi="Narkisim" w:cs="Narkisim"/>
        </w:rPr>
        <w:t xml:space="preserve">. </w:t>
      </w:r>
      <w:r w:rsidRPr="00AF1DC8">
        <w:rPr>
          <w:rFonts w:ascii="Narkisim" w:hAnsi="Narkisim" w:cs="Narkisim"/>
          <w:rtl/>
        </w:rPr>
        <w:t>ועוד הוסיף דהוה חסרון בלשמה כשאינו בעלים בשעת כתיבת הגט</w:t>
      </w:r>
      <w:r w:rsidRPr="00AF1DC8">
        <w:rPr>
          <w:rFonts w:ascii="Narkisim" w:hAnsi="Narkisim" w:cs="Narkisim"/>
        </w:rPr>
        <w:t>.</w:t>
      </w:r>
    </w:p>
    <w:p w14:paraId="66C4D5E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שער"י</w:t>
      </w:r>
      <w:r w:rsidRPr="00AF1DC8">
        <w:rPr>
          <w:rFonts w:ascii="Narkisim" w:hAnsi="Narkisim"/>
          <w:rtl/>
        </w:rPr>
        <w:t xml:space="preserve"> (ז יח, ובחי' הגרש”ש לב) ביאר דסברת ר"ל דבשעה שיש עובר, עדיין אינה זקוקה ליבום וחליצה, אלא דע"י שמת העובר זקוקה מחמת הסיבה הראשונה, וחל הזיקה למפרע. ולכן אמרי' דבשעת חליצה עדיין לא היתה זקוקה. וה</w:t>
      </w:r>
      <w:r w:rsidRPr="00AF1DC8">
        <w:rPr>
          <w:rFonts w:ascii="Narkisim" w:hAnsi="Narkisim"/>
          <w:b/>
          <w:bCs/>
          <w:rtl/>
        </w:rPr>
        <w:t>חזו"א</w:t>
      </w:r>
      <w:r w:rsidRPr="00AF1DC8">
        <w:rPr>
          <w:rFonts w:ascii="Narkisim" w:hAnsi="Narkisim"/>
          <w:rtl/>
        </w:rPr>
        <w:t xml:space="preserve"> </w:t>
      </w:r>
      <w:r w:rsidRPr="00AF1DC8">
        <w:rPr>
          <w:rFonts w:ascii="Narkisim" w:hAnsi="Narkisim"/>
          <w:szCs w:val="20"/>
          <w:rtl/>
        </w:rPr>
        <w:t>(</w:t>
      </w:r>
      <w:r w:rsidRPr="00AF1DC8">
        <w:rPr>
          <w:rFonts w:ascii="Narkisim" w:hAnsi="Narkisim"/>
          <w:sz w:val="20"/>
          <w:szCs w:val="20"/>
          <w:rtl/>
        </w:rPr>
        <w:t xml:space="preserve">נא ב) </w:t>
      </w:r>
      <w:r w:rsidRPr="00AF1DC8">
        <w:rPr>
          <w:rFonts w:ascii="Narkisim" w:hAnsi="Narkisim"/>
          <w:rtl/>
        </w:rPr>
        <w:t xml:space="preserve">כתב דדוקא בחליצה, אין זה יבמה גמורה לענין מצוות יבום, ואף שזקוקה </w:t>
      </w:r>
      <w:r w:rsidRPr="00AF1DC8">
        <w:rPr>
          <w:rFonts w:ascii="Narkisim" w:hAnsi="Narkisim"/>
          <w:sz w:val="20"/>
          <w:szCs w:val="20"/>
          <w:rtl/>
        </w:rPr>
        <w:t>[ותמה על הרשב”א]</w:t>
      </w:r>
      <w:r w:rsidRPr="00AF1DC8">
        <w:rPr>
          <w:rFonts w:ascii="Narkisim" w:hAnsi="Narkisim"/>
          <w:sz w:val="20"/>
          <w:szCs w:val="20"/>
        </w:rPr>
        <w:t>.</w:t>
      </w:r>
    </w:p>
    <w:p w14:paraId="28500F56"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אבל ה</w:t>
      </w:r>
      <w:r w:rsidRPr="00AF1DC8">
        <w:rPr>
          <w:rFonts w:ascii="Narkisim" w:hAnsi="Narkisim" w:cs="Narkisim"/>
          <w:b/>
          <w:bCs/>
          <w:rtl/>
        </w:rPr>
        <w:t>ריטב"א</w:t>
      </w:r>
      <w:r w:rsidRPr="00AF1DC8">
        <w:rPr>
          <w:rFonts w:ascii="Narkisim" w:hAnsi="Narkisim" w:cs="Narkisim"/>
          <w:rtl/>
        </w:rPr>
        <w:t xml:space="preserve"> ו</w:t>
      </w:r>
      <w:r w:rsidRPr="00AF1DC8">
        <w:rPr>
          <w:rFonts w:ascii="Narkisim" w:hAnsi="Narkisim" w:cs="Narkisim"/>
          <w:b/>
          <w:bCs/>
          <w:rtl/>
        </w:rPr>
        <w:t>נמוק"י</w:t>
      </w:r>
      <w:r w:rsidRPr="00AF1DC8">
        <w:rPr>
          <w:rFonts w:ascii="Narkisim" w:hAnsi="Narkisim" w:cs="Narkisim"/>
          <w:rtl/>
        </w:rPr>
        <w:t xml:space="preserve"> תי' דר"ל חייש דילמא באותה שעה היתה ראויה לבא לכלל לידה, אלא שגרם לה אחרי כן להפיל, וחליצה דמעיקרא לאו חליצה היא כלל, ולהכי קאמר תגלי מילתא למפרע לא אמרי'. אבל אם יתברר שבשעת חליצה לא היתה ראויה לבא לכלל לידה, כמאן דליתא והחליצה כשירה</w:t>
      </w:r>
      <w:r w:rsidRPr="00AF1DC8">
        <w:rPr>
          <w:rStyle w:val="ac"/>
          <w:rFonts w:ascii="Narkisim" w:hAnsi="Narkisim" w:cs="Narkisim"/>
          <w:rtl/>
        </w:rPr>
        <w:footnoteReference w:id="2156"/>
      </w:r>
      <w:r w:rsidRPr="00AF1DC8">
        <w:rPr>
          <w:rFonts w:ascii="Narkisim" w:hAnsi="Narkisim" w:cs="Narkisim"/>
        </w:rPr>
        <w:t xml:space="preserve">. </w:t>
      </w:r>
      <w:r w:rsidRPr="00AF1DC8">
        <w:rPr>
          <w:rFonts w:ascii="Narkisim" w:hAnsi="Narkisim" w:cs="Narkisim"/>
          <w:sz w:val="20"/>
          <w:szCs w:val="20"/>
          <w:rtl/>
        </w:rPr>
        <w:t>וכת' דר' יוחנן ס”ל דכל דהפילה אין העיבור כלום</w:t>
      </w:r>
      <w:r w:rsidRPr="00AF1DC8">
        <w:rPr>
          <w:rFonts w:ascii="Narkisim" w:hAnsi="Narkisim" w:cs="Narkisim"/>
          <w:sz w:val="20"/>
          <w:szCs w:val="20"/>
        </w:rPr>
        <w:t>.</w:t>
      </w:r>
    </w:p>
    <w:p w14:paraId="22692418"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משנ"ל</w:t>
      </w:r>
      <w:r w:rsidRPr="00AF1DC8">
        <w:rPr>
          <w:rFonts w:ascii="Narkisim" w:hAnsi="Narkisim"/>
          <w:rtl/>
        </w:rPr>
        <w:t xml:space="preserve"> כתב דלפ"ז כוונת ר"ל דאין כאן גילוי למפרע [דשמא מת אח"כ]. אבל היכא דלבסוף יש גילוי למפרע, כו"ע מודו דמהני החליצה למפרע. </w:t>
      </w:r>
      <w:r w:rsidRPr="00AF1DC8">
        <w:rPr>
          <w:rFonts w:ascii="Narkisim" w:hAnsi="Narkisim"/>
          <w:szCs w:val="20"/>
          <w:rtl/>
        </w:rPr>
        <w:t>והמשנ"ל יישב בזה דעת ה</w:t>
      </w:r>
      <w:r w:rsidRPr="00AF1DC8">
        <w:rPr>
          <w:rFonts w:ascii="Narkisim" w:hAnsi="Narkisim"/>
          <w:b/>
          <w:bCs/>
          <w:szCs w:val="20"/>
          <w:rtl/>
        </w:rPr>
        <w:t>רמ"ה</w:t>
      </w:r>
      <w:r w:rsidRPr="00AF1DC8">
        <w:rPr>
          <w:rFonts w:ascii="Narkisim" w:hAnsi="Narkisim"/>
          <w:szCs w:val="20"/>
          <w:rtl/>
        </w:rPr>
        <w:t xml:space="preserve"> דמהני חליצה כשלא נתקיים התנאי</w:t>
      </w:r>
      <w:r w:rsidRPr="00AF1DC8">
        <w:rPr>
          <w:rFonts w:ascii="Narkisim" w:hAnsi="Narkisim"/>
        </w:rPr>
        <w:t>.</w:t>
      </w:r>
    </w:p>
    <w:p w14:paraId="369A7BFE" w14:textId="77777777" w:rsidR="006074A5" w:rsidRPr="00AF1DC8" w:rsidRDefault="006074A5" w:rsidP="006074A5">
      <w:pPr>
        <w:pStyle w:val="a8"/>
        <w:bidi/>
        <w:rPr>
          <w:rFonts w:ascii="Narkisim" w:hAnsi="Narkisim"/>
        </w:rPr>
      </w:pPr>
      <w:r w:rsidRPr="00AF1DC8">
        <w:rPr>
          <w:rFonts w:ascii="Narkisim" w:hAnsi="Narkisim"/>
          <w:rtl/>
        </w:rPr>
        <w:t>אך ה</w:t>
      </w:r>
      <w:r w:rsidRPr="00AF1DC8">
        <w:rPr>
          <w:rFonts w:ascii="Narkisim" w:hAnsi="Narkisim"/>
          <w:b/>
          <w:bCs/>
          <w:rtl/>
        </w:rPr>
        <w:t>אחרונים</w:t>
      </w:r>
      <w:r w:rsidRPr="00AF1DC8">
        <w:rPr>
          <w:rFonts w:ascii="Narkisim" w:hAnsi="Narkisim"/>
          <w:rtl/>
        </w:rPr>
        <w:t xml:space="preserve"> דנו דאף לדברי הריטב"א צ"ל דלא מהני שיתברר לבסוף. דהא אף עובר שהיה ראוי לבא לכלל </w:t>
      </w:r>
      <w:r w:rsidRPr="00AF1DC8">
        <w:rPr>
          <w:rFonts w:ascii="Narkisim" w:hAnsi="Narkisim"/>
          <w:rtl/>
        </w:rPr>
        <w:lastRenderedPageBreak/>
        <w:t>לידה ואח”כ הפילה, נימא דלבסוף נתברר דלא בא ללידה, וא"כ איגלאי למפרע דזקוקה. וע"כ דביבמה בעינן שיתברר שזקוקה [דילפי' 'עיין עליו']. אלא דאי איגלאי למפרע דמותרת יש נפילת יבום והיתר איסור אשת אח למפרע. [וע"ע גרנ"ט טו]</w:t>
      </w:r>
      <w:r w:rsidRPr="00AF1DC8">
        <w:rPr>
          <w:rFonts w:ascii="Narkisim" w:hAnsi="Narkisim"/>
        </w:rPr>
        <w:t>.</w:t>
      </w:r>
    </w:p>
    <w:p w14:paraId="5F939FDB" w14:textId="77777777" w:rsidR="006074A5" w:rsidRPr="00AF1DC8" w:rsidRDefault="006074A5" w:rsidP="006074A5">
      <w:pPr>
        <w:bidi/>
        <w:rPr>
          <w:rFonts w:ascii="Narkisim" w:hAnsi="Narkisim" w:cs="Narkisim"/>
        </w:rPr>
      </w:pPr>
      <w:r w:rsidRPr="00AF1DC8">
        <w:rPr>
          <w:rFonts w:ascii="Narkisim" w:hAnsi="Narkisim" w:cs="Narkisim"/>
          <w:u w:val="single"/>
          <w:rtl/>
        </w:rPr>
        <w:t>ור"ל סבר עיין עליו וכו'.</w:t>
      </w:r>
      <w:r w:rsidRPr="00AF1DC8">
        <w:rPr>
          <w:rFonts w:ascii="Narkisim" w:hAnsi="Narkisim" w:cs="Narkisim"/>
          <w:rtl/>
        </w:rPr>
        <w:t xml:space="preserve"> ה</w:t>
      </w:r>
      <w:r w:rsidRPr="00AF1DC8">
        <w:rPr>
          <w:rFonts w:ascii="Narkisim" w:hAnsi="Narkisim" w:cs="Narkisim"/>
          <w:b/>
          <w:bCs/>
          <w:rtl/>
        </w:rPr>
        <w:t xml:space="preserve">רמב"ן </w:t>
      </w:r>
      <w:r w:rsidRPr="00AF1DC8">
        <w:rPr>
          <w:rFonts w:ascii="Narkisim" w:hAnsi="Narkisim" w:cs="Narkisim"/>
          <w:rtl/>
        </w:rPr>
        <w:t>ו</w:t>
      </w:r>
      <w:r w:rsidRPr="00AF1DC8">
        <w:rPr>
          <w:rFonts w:ascii="Narkisim" w:hAnsi="Narkisim" w:cs="Narkisim"/>
          <w:b/>
          <w:bCs/>
          <w:rtl/>
        </w:rPr>
        <w:t>רשב"א</w:t>
      </w:r>
      <w:r w:rsidRPr="00AF1DC8">
        <w:rPr>
          <w:rFonts w:ascii="Narkisim" w:hAnsi="Narkisim" w:cs="Narkisim"/>
          <w:rtl/>
        </w:rPr>
        <w:t xml:space="preserve"> (וכן הרשב"א קיא:) ביארו דהוה דין עיונא בעלמא, שאין בה קנין יבום וחליצה עד שיתברר, וה</w:t>
      </w:r>
      <w:r w:rsidRPr="00AF1DC8">
        <w:rPr>
          <w:rFonts w:ascii="Narkisim" w:hAnsi="Narkisim" w:cs="Narkisim"/>
          <w:b/>
          <w:bCs/>
          <w:rtl/>
        </w:rPr>
        <w:t>רשב”א</w:t>
      </w:r>
      <w:r w:rsidRPr="00AF1DC8">
        <w:rPr>
          <w:rFonts w:ascii="Narkisim" w:hAnsi="Narkisim" w:cs="Narkisim"/>
          <w:rtl/>
        </w:rPr>
        <w:t xml:space="preserve"> (קיא:) הוסיף ואפי' אם יבא אליהו לא משגחינן ביה</w:t>
      </w:r>
      <w:r w:rsidRPr="00AF1DC8">
        <w:rPr>
          <w:rStyle w:val="ac"/>
          <w:rFonts w:ascii="Narkisim" w:hAnsi="Narkisim" w:cs="Narkisim"/>
          <w:rtl/>
        </w:rPr>
        <w:footnoteReference w:id="2157"/>
      </w:r>
      <w:r w:rsidRPr="00AF1DC8">
        <w:rPr>
          <w:rFonts w:ascii="Narkisim" w:hAnsi="Narkisim" w:cs="Narkisim"/>
        </w:rPr>
        <w:t xml:space="preserve">. </w:t>
      </w:r>
      <w:r w:rsidRPr="00AF1DC8">
        <w:rPr>
          <w:rFonts w:ascii="Narkisim" w:hAnsi="Narkisim" w:cs="Narkisim"/>
          <w:rtl/>
        </w:rPr>
        <w:t xml:space="preserve">אבל מ"מ נחשבת יבמתו. </w:t>
      </w:r>
      <w:r w:rsidRPr="00AF1DC8">
        <w:rPr>
          <w:rFonts w:ascii="Narkisim" w:hAnsi="Narkisim" w:cs="Narkisim"/>
          <w:sz w:val="20"/>
          <w:szCs w:val="20"/>
          <w:rtl/>
        </w:rPr>
        <w:t>[ע' תוד"ה תגלי]</w:t>
      </w:r>
      <w:r w:rsidRPr="00AF1DC8">
        <w:rPr>
          <w:rFonts w:ascii="Narkisim" w:hAnsi="Narkisim" w:cs="Narkisim"/>
          <w:rtl/>
        </w:rPr>
        <w:t>. ומשמע מדבריהם דאף להך לישנא הגדר [דילפי' מגזיה"כ] דליכא גילוי למפרע, וכמו ללישנא דסברא. [וכ”מ מדברי הרמב”ן הו' בסמוך]</w:t>
      </w:r>
      <w:r w:rsidRPr="00AF1DC8">
        <w:rPr>
          <w:rFonts w:ascii="Narkisim" w:hAnsi="Narkisim" w:cs="Narkisim"/>
        </w:rPr>
        <w:t>.</w:t>
      </w:r>
    </w:p>
    <w:p w14:paraId="3D687391" w14:textId="77777777" w:rsidR="006074A5" w:rsidRPr="00AF1DC8" w:rsidRDefault="006074A5" w:rsidP="006074A5">
      <w:pPr>
        <w:pStyle w:val="a8"/>
        <w:bidi/>
        <w:rPr>
          <w:rFonts w:ascii="Narkisim" w:hAnsi="Narkisim"/>
        </w:rPr>
      </w:pPr>
      <w:r w:rsidRPr="00AF1DC8">
        <w:rPr>
          <w:rFonts w:ascii="Narkisim" w:hAnsi="Narkisim"/>
          <w:rtl/>
        </w:rPr>
        <w:t>אבל ה</w:t>
      </w:r>
      <w:r w:rsidRPr="00AF1DC8">
        <w:rPr>
          <w:rFonts w:ascii="Narkisim" w:hAnsi="Narkisim"/>
          <w:b/>
          <w:bCs/>
          <w:rtl/>
        </w:rPr>
        <w:t xml:space="preserve">קר"א </w:t>
      </w:r>
      <w:r w:rsidRPr="00AF1DC8">
        <w:rPr>
          <w:rFonts w:ascii="Narkisim" w:hAnsi="Narkisim"/>
          <w:rtl/>
        </w:rPr>
        <w:t>כת' דנפק”מ דללישנא דקרא, אפי' אם יבא אליהו ויודיע את העתידות, מ”מ יש דין לעיין. אבל ללישנא דאיגלאי מילתא לא אמרי', אילו אליהו יברר לנו עתידות מותרת לינשא</w:t>
      </w:r>
      <w:r w:rsidRPr="00AF1DC8">
        <w:rPr>
          <w:rFonts w:ascii="Narkisim" w:hAnsi="Narkisim"/>
        </w:rPr>
        <w:t>.</w:t>
      </w:r>
    </w:p>
    <w:p w14:paraId="6B2667CD"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רש"ש</w:t>
      </w:r>
      <w:r w:rsidRPr="00AF1DC8">
        <w:rPr>
          <w:rFonts w:ascii="Narkisim" w:hAnsi="Narkisim"/>
          <w:rtl/>
        </w:rPr>
        <w:t xml:space="preserve"> כת' דאם הוחזקה להפיל ג' פעמים, הוה כמי שנתברר עכשיו, והוה חליצה. ואף לטעם דעיין עליו, עיינו ואין לו בן</w:t>
      </w:r>
      <w:r w:rsidRPr="00AF1DC8">
        <w:rPr>
          <w:rStyle w:val="ac"/>
          <w:rFonts w:ascii="Narkisim" w:hAnsi="Narkisim"/>
          <w:rtl/>
        </w:rPr>
        <w:footnoteReference w:id="2158"/>
      </w:r>
      <w:r w:rsidRPr="00AF1DC8">
        <w:rPr>
          <w:rFonts w:ascii="Narkisim" w:hAnsi="Narkisim"/>
        </w:rPr>
        <w:t>.</w:t>
      </w:r>
    </w:p>
    <w:p w14:paraId="3B69136B"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xml:space="preserve"> ה</w:t>
      </w:r>
      <w:r w:rsidRPr="00AF1DC8">
        <w:rPr>
          <w:rFonts w:ascii="Narkisim" w:hAnsi="Narkisim"/>
          <w:b/>
          <w:bCs/>
          <w:rtl/>
        </w:rPr>
        <w:t>רשב"א</w:t>
      </w:r>
      <w:r w:rsidRPr="00AF1DC8">
        <w:rPr>
          <w:rFonts w:ascii="Narkisim" w:hAnsi="Narkisim"/>
          <w:rtl/>
        </w:rPr>
        <w:t xml:space="preserve"> (לקמן קיט.) כת' דבעודה מעוברת אסורה לינשא מדאורייתא, ולא סמכי' ארוב דולד בן קיימא</w:t>
      </w:r>
      <w:r w:rsidRPr="00AF1DC8">
        <w:rPr>
          <w:rStyle w:val="ac"/>
          <w:rFonts w:ascii="Narkisim" w:hAnsi="Narkisim"/>
          <w:rtl/>
        </w:rPr>
        <w:footnoteReference w:id="2159"/>
      </w:r>
      <w:r w:rsidRPr="00AF1DC8">
        <w:rPr>
          <w:rFonts w:ascii="Narkisim" w:hAnsi="Narkisim"/>
        </w:rPr>
        <w:t xml:space="preserve">. </w:t>
      </w:r>
      <w:r w:rsidRPr="00AF1DC8">
        <w:rPr>
          <w:rFonts w:ascii="Narkisim" w:hAnsi="Narkisim"/>
          <w:rtl/>
        </w:rPr>
        <w:t>וכדאמרי' (בסוגיין) עיין עליו. ועוד דאילו מותרת לשוק איך יחשב חליצה וביאה דיבמה לר' יוחנן</w:t>
      </w:r>
      <w:r w:rsidRPr="00AF1DC8">
        <w:rPr>
          <w:rStyle w:val="ac"/>
          <w:rFonts w:ascii="Narkisim" w:hAnsi="Narkisim"/>
          <w:rtl/>
        </w:rPr>
        <w:footnoteReference w:id="2160"/>
      </w:r>
      <w:r w:rsidRPr="00AF1DC8">
        <w:rPr>
          <w:rFonts w:ascii="Narkisim" w:hAnsi="Narkisim"/>
        </w:rPr>
        <w:t xml:space="preserve">. </w:t>
      </w:r>
      <w:r w:rsidRPr="00AF1DC8">
        <w:rPr>
          <w:rFonts w:ascii="Narkisim" w:hAnsi="Narkisim"/>
          <w:rtl/>
        </w:rPr>
        <w:t>ועוד דכתיב דרכיה דרכי נועם, ואם הותרה לשוק [מחמת הכרעת הרוב], לא תחזור לאיסור</w:t>
      </w:r>
      <w:r w:rsidRPr="00AF1DC8">
        <w:rPr>
          <w:rStyle w:val="ac"/>
          <w:rFonts w:ascii="Narkisim" w:hAnsi="Narkisim"/>
          <w:rtl/>
        </w:rPr>
        <w:footnoteReference w:id="2161"/>
      </w:r>
      <w:r w:rsidRPr="00AF1DC8">
        <w:rPr>
          <w:rFonts w:ascii="Narkisim" w:hAnsi="Narkisim"/>
        </w:rPr>
        <w:t>.</w:t>
      </w:r>
    </w:p>
    <w:p w14:paraId="491AB1BC" w14:textId="77777777" w:rsidR="006074A5" w:rsidRPr="00AF1DC8" w:rsidRDefault="006074A5" w:rsidP="006074A5">
      <w:pPr>
        <w:pStyle w:val="a8"/>
        <w:bidi/>
        <w:rPr>
          <w:rFonts w:ascii="Narkisim" w:hAnsi="Narkisim"/>
        </w:rPr>
      </w:pPr>
      <w:r w:rsidRPr="00AF1DC8">
        <w:rPr>
          <w:rFonts w:ascii="Narkisim" w:hAnsi="Narkisim"/>
        </w:rPr>
        <w:t>[</w:t>
      </w:r>
      <w:r w:rsidRPr="00AF1DC8">
        <w:rPr>
          <w:rFonts w:ascii="Narkisim" w:hAnsi="Narkisim"/>
          <w:rtl/>
        </w:rPr>
        <w:t>וצ"ב כוונתו, דלדברי רבא (למסקנא לו.) בתוקת ודאי ולד אינו פוטר עד שיצא לאויר העולם. וצ”ל דקאי לס"ד, לולי דברי רבא</w:t>
      </w:r>
      <w:r w:rsidRPr="00AF1DC8">
        <w:rPr>
          <w:rFonts w:ascii="Narkisim" w:hAnsi="Narkisim"/>
        </w:rPr>
        <w:t>].</w:t>
      </w:r>
    </w:p>
    <w:p w14:paraId="2021462D" w14:textId="77777777" w:rsidR="006074A5" w:rsidRPr="00AF1DC8" w:rsidRDefault="006074A5" w:rsidP="006074A5">
      <w:pPr>
        <w:bidi/>
        <w:rPr>
          <w:rFonts w:ascii="Narkisim" w:hAnsi="Narkisim" w:cs="Narkisim"/>
        </w:rPr>
      </w:pPr>
      <w:r w:rsidRPr="00AF1DC8">
        <w:rPr>
          <w:rFonts w:ascii="Narkisim" w:hAnsi="Narkisim" w:cs="Narkisim"/>
          <w:i/>
          <w:iCs/>
          <w:sz w:val="21"/>
          <w:szCs w:val="21"/>
          <w:rtl/>
        </w:rPr>
        <w:t>לענין חליצה</w:t>
      </w:r>
      <w:r w:rsidRPr="00AF1DC8">
        <w:rPr>
          <w:rFonts w:ascii="Narkisim" w:hAnsi="Narkisim" w:cs="Narkisim"/>
          <w:rtl/>
        </w:rPr>
        <w:t xml:space="preserve"> - ה</w:t>
      </w:r>
      <w:r w:rsidRPr="00AF1DC8">
        <w:rPr>
          <w:rFonts w:ascii="Narkisim" w:hAnsi="Narkisim" w:cs="Narkisim"/>
          <w:b/>
          <w:bCs/>
          <w:rtl/>
        </w:rPr>
        <w:t>רמב"ן</w:t>
      </w:r>
      <w:r w:rsidRPr="00AF1DC8">
        <w:rPr>
          <w:rFonts w:ascii="Narkisim" w:hAnsi="Narkisim" w:cs="Narkisim"/>
          <w:rtl/>
        </w:rPr>
        <w:t xml:space="preserve"> ו</w:t>
      </w:r>
      <w:r w:rsidRPr="00AF1DC8">
        <w:rPr>
          <w:rFonts w:ascii="Narkisim" w:hAnsi="Narkisim" w:cs="Narkisim"/>
          <w:b/>
          <w:bCs/>
          <w:rtl/>
        </w:rPr>
        <w:t>רשב"א</w:t>
      </w:r>
      <w:r w:rsidRPr="00AF1DC8">
        <w:rPr>
          <w:rFonts w:ascii="Narkisim" w:hAnsi="Narkisim" w:cs="Narkisim"/>
          <w:rtl/>
        </w:rPr>
        <w:t xml:space="preserve"> (מא:) כת' דבן אין לו עיין עליו, משמע בין ליבום ובין לחליצה </w:t>
      </w:r>
      <w:r w:rsidRPr="00AF1DC8">
        <w:rPr>
          <w:rFonts w:ascii="Narkisim" w:hAnsi="Narkisim" w:cs="Narkisim"/>
          <w:sz w:val="20"/>
          <w:szCs w:val="20"/>
          <w:rtl/>
        </w:rPr>
        <w:t xml:space="preserve">[דעדיין אינה זקוקה]. </w:t>
      </w:r>
      <w:r w:rsidRPr="00AF1DC8">
        <w:rPr>
          <w:rFonts w:ascii="Narkisim" w:hAnsi="Narkisim" w:cs="Narkisim"/>
          <w:rtl/>
        </w:rPr>
        <w:t>אבל ה</w:t>
      </w:r>
      <w:r w:rsidRPr="00AF1DC8">
        <w:rPr>
          <w:rFonts w:ascii="Narkisim" w:hAnsi="Narkisim" w:cs="Narkisim"/>
          <w:b/>
          <w:bCs/>
          <w:rtl/>
        </w:rPr>
        <w:t>תוס' הרא"ש</w:t>
      </w:r>
      <w:r w:rsidRPr="00AF1DC8">
        <w:rPr>
          <w:rFonts w:ascii="Narkisim" w:hAnsi="Narkisim" w:cs="Narkisim"/>
          <w:rtl/>
        </w:rPr>
        <w:t xml:space="preserve"> (מא:) כתב ד'עיין עליו' אינה פטור גמור, וקאי איבמה יבא עליה, ודוקא לענין יבום. והא דאינה חולצת משום דאינה עולה ליבום </w:t>
      </w:r>
      <w:r w:rsidRPr="00AF1DC8">
        <w:rPr>
          <w:rFonts w:ascii="Narkisim" w:hAnsi="Narkisim" w:cs="Narkisim"/>
          <w:sz w:val="20"/>
          <w:szCs w:val="20"/>
          <w:rtl/>
        </w:rPr>
        <w:t>[ע' בסמוך].</w:t>
      </w:r>
      <w:r w:rsidRPr="00AF1DC8">
        <w:rPr>
          <w:rFonts w:ascii="Narkisim" w:hAnsi="Narkisim" w:cs="Narkisim"/>
          <w:rtl/>
        </w:rPr>
        <w:t xml:space="preserve"> וכן ה</w:t>
      </w:r>
      <w:r w:rsidRPr="00AF1DC8">
        <w:rPr>
          <w:rFonts w:ascii="Narkisim" w:hAnsi="Narkisim" w:cs="Narkisim"/>
          <w:b/>
          <w:bCs/>
          <w:rtl/>
        </w:rPr>
        <w:t>רא"ש</w:t>
      </w:r>
      <w:r w:rsidRPr="00AF1DC8">
        <w:rPr>
          <w:rFonts w:ascii="Narkisim" w:hAnsi="Narkisim" w:cs="Narkisim"/>
          <w:rtl/>
        </w:rPr>
        <w:t xml:space="preserve"> </w:t>
      </w:r>
      <w:r w:rsidRPr="00AF1DC8">
        <w:rPr>
          <w:rFonts w:ascii="Narkisim" w:hAnsi="Narkisim" w:cs="Narkisim"/>
          <w:sz w:val="20"/>
          <w:szCs w:val="20"/>
          <w:rtl/>
        </w:rPr>
        <w:t>(בפסקים כאן)</w:t>
      </w:r>
      <w:r w:rsidRPr="00AF1DC8">
        <w:rPr>
          <w:rFonts w:ascii="Narkisim" w:hAnsi="Narkisim" w:cs="Narkisim"/>
          <w:rtl/>
        </w:rPr>
        <w:t xml:space="preserve"> כתב הטעם משום דאינה עולה ליבום</w:t>
      </w:r>
      <w:r w:rsidRPr="00AF1DC8">
        <w:rPr>
          <w:rFonts w:ascii="Narkisim" w:hAnsi="Narkisim" w:cs="Narkisim"/>
        </w:rPr>
        <w:t>.</w:t>
      </w:r>
    </w:p>
    <w:p w14:paraId="378DEDC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מאירי</w:t>
      </w:r>
      <w:r w:rsidRPr="00AF1DC8">
        <w:rPr>
          <w:rFonts w:ascii="Narkisim" w:hAnsi="Narkisim"/>
          <w:rtl/>
        </w:rPr>
        <w:t xml:space="preserve"> (לו.) הביא ד</w:t>
      </w:r>
      <w:r w:rsidRPr="00AF1DC8">
        <w:rPr>
          <w:rFonts w:ascii="Narkisim" w:hAnsi="Narkisim"/>
          <w:b/>
          <w:bCs/>
          <w:rtl/>
        </w:rPr>
        <w:t>גדולי הדורות</w:t>
      </w:r>
      <w:r w:rsidRPr="00AF1DC8">
        <w:rPr>
          <w:rFonts w:ascii="Narkisim" w:hAnsi="Narkisim"/>
          <w:rtl/>
        </w:rPr>
        <w:t xml:space="preserve"> נסתפקו אם נולד לה בן, וחלצה תוך ל' יום, ומת הבן [דהוה ספק נפל], האם צריכה חליצה אחרת. ופשטו דאי"צ</w:t>
      </w:r>
      <w:r w:rsidRPr="00AF1DC8">
        <w:rPr>
          <w:rStyle w:val="ac"/>
          <w:rFonts w:ascii="Narkisim" w:hAnsi="Narkisim"/>
          <w:rtl/>
        </w:rPr>
        <w:footnoteReference w:id="2162"/>
      </w:r>
      <w:r w:rsidRPr="00AF1DC8">
        <w:rPr>
          <w:rFonts w:ascii="Narkisim" w:hAnsi="Narkisim"/>
        </w:rPr>
        <w:t xml:space="preserve">, </w:t>
      </w:r>
      <w:r w:rsidRPr="00AF1DC8">
        <w:rPr>
          <w:rFonts w:ascii="Narkisim" w:hAnsi="Narkisim"/>
          <w:rtl/>
        </w:rPr>
        <w:t>שר"ל לא אמרה אלא במעוברת. [וכן בערול"נ דן בזה]. וה</w:t>
      </w:r>
      <w:r w:rsidRPr="00AF1DC8">
        <w:rPr>
          <w:rFonts w:ascii="Narkisim" w:hAnsi="Narkisim"/>
          <w:b/>
          <w:bCs/>
          <w:rtl/>
        </w:rPr>
        <w:t>אחרונים</w:t>
      </w:r>
      <w:r w:rsidRPr="00AF1DC8">
        <w:rPr>
          <w:rFonts w:ascii="Narkisim" w:hAnsi="Narkisim"/>
          <w:rtl/>
        </w:rPr>
        <w:t xml:space="preserve"> דנו הטעם בזה, דמ”מ הוה ספק, ואינה זקוקה למפרע</w:t>
      </w:r>
      <w:r w:rsidRPr="00AF1DC8">
        <w:rPr>
          <w:rFonts w:ascii="Narkisim" w:hAnsi="Narkisim"/>
        </w:rPr>
        <w:t>.</w:t>
      </w:r>
    </w:p>
    <w:p w14:paraId="5AE71B45" w14:textId="77777777" w:rsidR="006074A5" w:rsidRPr="00AF1DC8" w:rsidRDefault="006074A5" w:rsidP="006074A5">
      <w:pPr>
        <w:bidi/>
        <w:rPr>
          <w:rFonts w:ascii="Narkisim" w:hAnsi="Narkisim" w:cs="Narkisim"/>
        </w:rPr>
      </w:pPr>
      <w:r w:rsidRPr="00AF1DC8">
        <w:rPr>
          <w:rFonts w:ascii="Narkisim" w:hAnsi="Narkisim" w:cs="Narkisim"/>
          <w:u w:val="single"/>
          <w:rtl/>
        </w:rPr>
        <w:t>תוד"ה צריכה.</w:t>
      </w:r>
      <w:r w:rsidRPr="00AF1DC8">
        <w:rPr>
          <w:rFonts w:ascii="Narkisim" w:hAnsi="Narkisim" w:cs="Narkisim"/>
          <w:rtl/>
        </w:rPr>
        <w:t xml:space="preserve"> לאו דוקא מהאחים. </w:t>
      </w:r>
      <w:r w:rsidRPr="00AF1DC8">
        <w:rPr>
          <w:rFonts w:ascii="Narkisim" w:hAnsi="Narkisim" w:cs="Narkisim"/>
          <w:szCs w:val="20"/>
          <w:rtl/>
        </w:rPr>
        <w:t>[וכ"פ ה</w:t>
      </w:r>
      <w:r w:rsidRPr="00AF1DC8">
        <w:rPr>
          <w:rFonts w:ascii="Narkisim" w:hAnsi="Narkisim" w:cs="Narkisim"/>
          <w:b/>
          <w:bCs/>
          <w:szCs w:val="20"/>
          <w:rtl/>
        </w:rPr>
        <w:t>רמב"ם</w:t>
      </w:r>
      <w:r w:rsidRPr="00AF1DC8">
        <w:rPr>
          <w:rFonts w:ascii="Narkisim" w:hAnsi="Narkisim" w:cs="Narkisim"/>
          <w:szCs w:val="20"/>
          <w:rtl/>
        </w:rPr>
        <w:t xml:space="preserve"> (א כ) ממנו או מהאחים]</w:t>
      </w:r>
      <w:r w:rsidRPr="00AF1DC8">
        <w:rPr>
          <w:rFonts w:ascii="Narkisim" w:hAnsi="Narkisim" w:cs="Narkisim"/>
          <w:rtl/>
        </w:rPr>
        <w:t>. אבל ה</w:t>
      </w:r>
      <w:r w:rsidRPr="00AF1DC8">
        <w:rPr>
          <w:rFonts w:ascii="Narkisim" w:hAnsi="Narkisim" w:cs="Narkisim"/>
          <w:b/>
          <w:bCs/>
          <w:rtl/>
        </w:rPr>
        <w:t>רמב"ן</w:t>
      </w:r>
      <w:r w:rsidRPr="00AF1DC8">
        <w:rPr>
          <w:rFonts w:ascii="Narkisim" w:hAnsi="Narkisim" w:cs="Narkisim"/>
          <w:rtl/>
        </w:rPr>
        <w:t xml:space="preserve"> תי' דמהאחים דוקא, דחליצה דידיה הוה חליצה פסולה </w:t>
      </w:r>
      <w:r w:rsidRPr="00AF1DC8">
        <w:rPr>
          <w:rFonts w:ascii="Narkisim" w:hAnsi="Narkisim" w:cs="Narkisim"/>
          <w:sz w:val="20"/>
          <w:szCs w:val="20"/>
          <w:rtl/>
        </w:rPr>
        <w:t>[כיון דעבידא בה מעשה</w:t>
      </w:r>
      <w:r w:rsidRPr="00AF1DC8">
        <w:rPr>
          <w:rStyle w:val="ac"/>
          <w:rFonts w:ascii="Narkisim" w:hAnsi="Narkisim" w:cs="Narkisim"/>
          <w:sz w:val="20"/>
          <w:szCs w:val="20"/>
          <w:rtl/>
        </w:rPr>
        <w:footnoteReference w:id="2163"/>
      </w:r>
      <w:r w:rsidRPr="00AF1DC8">
        <w:rPr>
          <w:rFonts w:ascii="Narkisim" w:hAnsi="Narkisim" w:cs="Narkisim"/>
          <w:sz w:val="20"/>
          <w:szCs w:val="20"/>
        </w:rPr>
        <w:t xml:space="preserve"> </w:t>
      </w:r>
      <w:r w:rsidRPr="00AF1DC8">
        <w:rPr>
          <w:rFonts w:ascii="Narkisim" w:hAnsi="Narkisim" w:cs="Narkisim"/>
          <w:sz w:val="20"/>
          <w:szCs w:val="20"/>
          <w:rtl/>
        </w:rPr>
        <w:t>אסורה עליו, וכמו בנתן לה גט</w:t>
      </w:r>
      <w:r w:rsidRPr="00AF1DC8">
        <w:rPr>
          <w:rStyle w:val="ac"/>
          <w:rFonts w:ascii="Narkisim" w:hAnsi="Narkisim" w:cs="Narkisim"/>
          <w:sz w:val="20"/>
          <w:szCs w:val="20"/>
          <w:rtl/>
        </w:rPr>
        <w:footnoteReference w:id="2164"/>
      </w:r>
      <w:r w:rsidRPr="00AF1DC8">
        <w:rPr>
          <w:rFonts w:ascii="Narkisim" w:hAnsi="Narkisim" w:cs="Narkisim"/>
          <w:rtl/>
        </w:rPr>
        <w:t>]. ומש"ה אם חלץ לה צריכה חיזור, דומיא דבעלת הגט</w:t>
      </w:r>
      <w:r w:rsidRPr="00AF1DC8">
        <w:rPr>
          <w:rFonts w:ascii="Narkisim" w:hAnsi="Narkisim" w:cs="Narkisim"/>
        </w:rPr>
        <w:t>.</w:t>
      </w:r>
    </w:p>
    <w:p w14:paraId="6F0E0034"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כת' דאע"ג דחליצה קמייתא לאו כלום הוא, הורעה זיקה, והוה כמו כשנתן גט. [ואסורה עליו, ומש"ה הוה חליצה פסולה]</w:t>
      </w:r>
      <w:r w:rsidRPr="00AF1DC8">
        <w:rPr>
          <w:rFonts w:ascii="Narkisim" w:hAnsi="Narkisim"/>
        </w:rPr>
        <w:t>.</w:t>
      </w:r>
    </w:p>
    <w:p w14:paraId="072AB871" w14:textId="77777777" w:rsidR="006074A5" w:rsidRPr="00AF1DC8" w:rsidRDefault="006074A5" w:rsidP="006074A5">
      <w:pPr>
        <w:pStyle w:val="aa"/>
        <w:bidi/>
        <w:rPr>
          <w:rFonts w:ascii="Narkisim" w:hAnsi="Narkisim"/>
        </w:rPr>
      </w:pPr>
      <w:r w:rsidRPr="00AF1DC8">
        <w:rPr>
          <w:rFonts w:ascii="Narkisim" w:hAnsi="Narkisim"/>
          <w:u w:val="single"/>
          <w:rtl/>
        </w:rPr>
        <w:t>תוד"ה והא.</w:t>
      </w:r>
      <w:r w:rsidRPr="00AF1DC8">
        <w:rPr>
          <w:rFonts w:ascii="Narkisim" w:hAnsi="Narkisim"/>
          <w:rtl/>
        </w:rPr>
        <w:t xml:space="preserve"> א"נ כשהוא בר קיימא, פרט לזה שאין שמו מחוי. ולפ"ז דה"ה תוך ג' ימים, שראוי עדיין ליקלט הזרע [ואף שעדיין אינה מעוברת], אם ילדה לבסוף. אבל ה</w:t>
      </w:r>
      <w:r w:rsidRPr="00AF1DC8">
        <w:rPr>
          <w:rFonts w:ascii="Narkisim" w:hAnsi="Narkisim"/>
          <w:b/>
          <w:bCs/>
          <w:rtl/>
        </w:rPr>
        <w:t>נוב"י</w:t>
      </w:r>
      <w:r w:rsidRPr="00AF1DC8">
        <w:rPr>
          <w:rFonts w:ascii="Narkisim" w:hAnsi="Narkisim"/>
          <w:rtl/>
        </w:rPr>
        <w:t xml:space="preserve"> (ק' ס"ס סט) למד מדברי ה</w:t>
      </w:r>
      <w:r w:rsidRPr="00AF1DC8">
        <w:rPr>
          <w:rFonts w:ascii="Narkisim" w:hAnsi="Narkisim"/>
          <w:b/>
          <w:bCs/>
          <w:rtl/>
        </w:rPr>
        <w:t>תוס</w:t>
      </w:r>
      <w:r w:rsidRPr="00AF1DC8">
        <w:rPr>
          <w:rFonts w:ascii="Narkisim" w:hAnsi="Narkisim"/>
          <w:rtl/>
        </w:rPr>
        <w:t>' (לקמן לז.) דאם נקלט הזרע אחרי מיתתו, היבמה מתייבמת. וה</w:t>
      </w:r>
      <w:r w:rsidRPr="00AF1DC8">
        <w:rPr>
          <w:rFonts w:ascii="Narkisim" w:hAnsi="Narkisim"/>
          <w:b/>
          <w:bCs/>
          <w:rtl/>
        </w:rPr>
        <w:t>אחרונים</w:t>
      </w:r>
      <w:r w:rsidRPr="00AF1DC8">
        <w:rPr>
          <w:rFonts w:ascii="Narkisim" w:hAnsi="Narkisim"/>
          <w:rtl/>
        </w:rPr>
        <w:t xml:space="preserve"> הקשו מכאן [וע”כ דהנוב”י קאי לאידך תי', דדוקא 'מעוברת' נחשב עובר. וע' מש”כ לקמן לז.]</w:t>
      </w:r>
      <w:r w:rsidRPr="00AF1DC8">
        <w:rPr>
          <w:rFonts w:ascii="Narkisim" w:hAnsi="Narkisim"/>
        </w:rPr>
        <w:t>.</w:t>
      </w:r>
    </w:p>
    <w:p w14:paraId="0CF269BF" w14:textId="77777777" w:rsidR="006074A5" w:rsidRPr="00AF1DC8" w:rsidRDefault="006074A5" w:rsidP="006074A5">
      <w:pPr>
        <w:bidi/>
        <w:rPr>
          <w:rFonts w:ascii="Narkisim" w:hAnsi="Narkisim" w:cs="Narkisim"/>
        </w:rPr>
      </w:pPr>
      <w:r w:rsidRPr="00AF1DC8">
        <w:rPr>
          <w:rFonts w:ascii="Narkisim" w:hAnsi="Narkisim" w:cs="Narkisim"/>
          <w:u w:val="single"/>
          <w:rtl/>
        </w:rPr>
        <w:t>תוד"ה תגלי.</w:t>
      </w:r>
      <w:r w:rsidRPr="00AF1DC8">
        <w:rPr>
          <w:rFonts w:ascii="Narkisim" w:hAnsi="Narkisim" w:cs="Narkisim"/>
          <w:rtl/>
        </w:rPr>
        <w:t xml:space="preserve"> וא"ת לר"ל כיון דביאת מעוברת ל"ש ביאה א"כ אשת אח שלא במקום מצוה היא. </w:t>
      </w:r>
      <w:r w:rsidRPr="00AF1DC8">
        <w:rPr>
          <w:rFonts w:ascii="Narkisim" w:hAnsi="Narkisim" w:cs="Narkisim"/>
          <w:sz w:val="20"/>
          <w:szCs w:val="20"/>
          <w:rtl/>
        </w:rPr>
        <w:t>[ובפשוטו קושיית התוס' דאינה ביאת יבום, אבל ב</w:t>
      </w:r>
      <w:r w:rsidRPr="00AF1DC8">
        <w:rPr>
          <w:rFonts w:ascii="Narkisim" w:hAnsi="Narkisim" w:cs="Narkisim"/>
          <w:b/>
          <w:bCs/>
          <w:sz w:val="20"/>
          <w:szCs w:val="20"/>
          <w:rtl/>
        </w:rPr>
        <w:t>ראשונים</w:t>
      </w:r>
      <w:r w:rsidRPr="00AF1DC8">
        <w:rPr>
          <w:rFonts w:ascii="Narkisim" w:hAnsi="Narkisim" w:cs="Narkisim"/>
          <w:sz w:val="20"/>
          <w:szCs w:val="20"/>
          <w:rtl/>
        </w:rPr>
        <w:t xml:space="preserve"> מבואר דהקשו דאינה זקוקה ליבום כלל, </w:t>
      </w:r>
      <w:r w:rsidRPr="00AF1DC8">
        <w:rPr>
          <w:rFonts w:ascii="Narkisim" w:hAnsi="Narkisim" w:cs="Narkisim"/>
          <w:sz w:val="20"/>
          <w:szCs w:val="20"/>
          <w:rtl/>
        </w:rPr>
        <w:lastRenderedPageBreak/>
        <w:t>דילפי' מעיין עליו]</w:t>
      </w:r>
      <w:r w:rsidRPr="00AF1DC8">
        <w:rPr>
          <w:rFonts w:ascii="Narkisim" w:hAnsi="Narkisim" w:cs="Narkisim"/>
          <w:sz w:val="20"/>
          <w:szCs w:val="20"/>
        </w:rPr>
        <w:t>.</w:t>
      </w:r>
    </w:p>
    <w:p w14:paraId="4ACF7BAF"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 xml:space="preserve">רמב"ן </w:t>
      </w:r>
      <w:r w:rsidRPr="00AF1DC8">
        <w:rPr>
          <w:rFonts w:ascii="Narkisim" w:hAnsi="Narkisim" w:cs="Narkisim"/>
          <w:rtl/>
        </w:rPr>
        <w:t>(ורשב"א וריטב"א) תי' דכיון דהפילה והוזקקה לו משעה ראשונה, לא הוי אשת אח שלא במקום מצווה. דלא מצינו יבמה שאסורה בשעת נפילה באיסור אשת אח וחוזרת להיתר</w:t>
      </w:r>
      <w:r w:rsidRPr="00AF1DC8">
        <w:rPr>
          <w:rStyle w:val="ac"/>
          <w:rFonts w:ascii="Narkisim" w:hAnsi="Narkisim" w:cs="Narkisim"/>
          <w:rtl/>
        </w:rPr>
        <w:footnoteReference w:id="2165"/>
      </w:r>
      <w:r w:rsidRPr="00AF1DC8">
        <w:rPr>
          <w:rFonts w:ascii="Narkisim" w:hAnsi="Narkisim" w:cs="Narkisim"/>
        </w:rPr>
        <w:t xml:space="preserve">. </w:t>
      </w:r>
      <w:r w:rsidRPr="00AF1DC8">
        <w:rPr>
          <w:rFonts w:ascii="Narkisim" w:hAnsi="Narkisim" w:cs="Narkisim"/>
          <w:rtl/>
        </w:rPr>
        <w:t xml:space="preserve">אלא עיין עליו עיונא בעלמא קאמר רחמנא. </w:t>
      </w:r>
      <w:r w:rsidRPr="00AF1DC8">
        <w:rPr>
          <w:rFonts w:ascii="Narkisim" w:hAnsi="Narkisim" w:cs="Narkisim"/>
          <w:sz w:val="20"/>
          <w:szCs w:val="20"/>
          <w:rtl/>
        </w:rPr>
        <w:t>[וכעין מש”כ תוד”ה וריש לקיש].</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הביא כעי"ז מה</w:t>
      </w:r>
      <w:r w:rsidRPr="00AF1DC8">
        <w:rPr>
          <w:rFonts w:ascii="Narkisim" w:hAnsi="Narkisim" w:cs="Narkisim"/>
          <w:b/>
          <w:bCs/>
          <w:rtl/>
        </w:rPr>
        <w:t>ירושלמי</w:t>
      </w:r>
      <w:r w:rsidRPr="00AF1DC8">
        <w:rPr>
          <w:rFonts w:ascii="Narkisim" w:hAnsi="Narkisim" w:cs="Narkisim"/>
          <w:rtl/>
        </w:rPr>
        <w:t xml:space="preserve">. </w:t>
      </w:r>
      <w:r w:rsidRPr="00AF1DC8">
        <w:rPr>
          <w:rFonts w:ascii="Narkisim" w:hAnsi="Narkisim" w:cs="Narkisim"/>
          <w:sz w:val="20"/>
          <w:szCs w:val="20"/>
          <w:rtl/>
        </w:rPr>
        <w:t xml:space="preserve">אבל הרמב"ן מביא </w:t>
      </w:r>
      <w:r w:rsidRPr="00AF1DC8">
        <w:rPr>
          <w:rFonts w:ascii="Narkisim" w:hAnsi="Narkisim" w:cs="Narkisim"/>
          <w:b/>
          <w:bCs/>
          <w:sz w:val="20"/>
          <w:szCs w:val="20"/>
          <w:rtl/>
        </w:rPr>
        <w:t>'יש טועין'</w:t>
      </w:r>
      <w:r w:rsidRPr="00AF1DC8">
        <w:rPr>
          <w:rFonts w:ascii="Narkisim" w:hAnsi="Narkisim" w:cs="Narkisim"/>
          <w:sz w:val="20"/>
          <w:szCs w:val="20"/>
          <w:rtl/>
        </w:rPr>
        <w:t xml:space="preserve"> לומר דלר"ל חייבין קרבן</w:t>
      </w:r>
      <w:r w:rsidRPr="00AF1DC8">
        <w:rPr>
          <w:rFonts w:ascii="Narkisim" w:hAnsi="Narkisim" w:cs="Narkisim"/>
          <w:sz w:val="20"/>
          <w:szCs w:val="20"/>
        </w:rPr>
        <w:t>.</w:t>
      </w:r>
    </w:p>
    <w:p w14:paraId="14C8C45D"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קובה"ע</w:t>
      </w:r>
      <w:r w:rsidRPr="00AF1DC8">
        <w:rPr>
          <w:rFonts w:ascii="Narkisim" w:hAnsi="Narkisim" w:cs="Narkisim"/>
          <w:rtl/>
        </w:rPr>
        <w:t xml:space="preserve"> (ע' בסמוך) פי' דהגדר במעוברת דאינה זקוקה לו עכשיו, אלא דחל זיקה כלפי העתיד. אבל ה</w:t>
      </w:r>
      <w:r w:rsidRPr="00AF1DC8">
        <w:rPr>
          <w:rFonts w:ascii="Narkisim" w:hAnsi="Narkisim" w:cs="Narkisim"/>
          <w:b/>
          <w:bCs/>
          <w:rtl/>
        </w:rPr>
        <w:t>אחרונים</w:t>
      </w:r>
      <w:r w:rsidRPr="00AF1DC8">
        <w:rPr>
          <w:rFonts w:ascii="Narkisim" w:hAnsi="Narkisim" w:cs="Narkisim"/>
          <w:rtl/>
        </w:rPr>
        <w:t xml:space="preserve"> דנו דמשמע דעכשיו זקוקה, אלא דאינה ראויה ל</w:t>
      </w:r>
      <w:r w:rsidRPr="00AF1DC8">
        <w:rPr>
          <w:rFonts w:ascii="Narkisim" w:hAnsi="Narkisim" w:cs="Narkisim"/>
          <w:i/>
          <w:iCs/>
          <w:rtl/>
        </w:rPr>
        <w:t>קנין</w:t>
      </w:r>
      <w:r w:rsidRPr="00AF1DC8">
        <w:rPr>
          <w:rFonts w:ascii="Narkisim" w:hAnsi="Narkisim" w:cs="Narkisim"/>
          <w:rtl/>
        </w:rPr>
        <w:t xml:space="preserve"> יבום וחליצה מדין 'עיונא בעלמא'. </w:t>
      </w:r>
      <w:r w:rsidRPr="00AF1DC8">
        <w:rPr>
          <w:rFonts w:ascii="Narkisim" w:hAnsi="Narkisim" w:cs="Narkisim"/>
          <w:sz w:val="20"/>
          <w:szCs w:val="20"/>
          <w:rtl/>
        </w:rPr>
        <w:t>[וכ"מ בברכ"ש א ז, וע' מה שהו' לעיל בשם ר' שמעון והחזו"א]</w:t>
      </w:r>
      <w:r w:rsidRPr="00AF1DC8">
        <w:rPr>
          <w:rFonts w:ascii="Narkisim" w:hAnsi="Narkisim" w:cs="Narkisim"/>
          <w:sz w:val="20"/>
          <w:szCs w:val="20"/>
        </w:rPr>
        <w:t>.</w:t>
      </w:r>
    </w:p>
    <w:p w14:paraId="7521EAD0"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 xml:space="preserve">אחרונים </w:t>
      </w:r>
      <w:r w:rsidRPr="00AF1DC8">
        <w:rPr>
          <w:rFonts w:ascii="Narkisim" w:hAnsi="Narkisim"/>
          <w:rtl/>
        </w:rPr>
        <w:t>דנו נפק"מ האם בעודה מעוברת יש איסור אחות זקוקתו</w:t>
      </w:r>
      <w:r w:rsidRPr="00AF1DC8">
        <w:rPr>
          <w:rStyle w:val="ac"/>
          <w:rFonts w:ascii="Narkisim" w:hAnsi="Narkisim"/>
          <w:rtl/>
        </w:rPr>
        <w:footnoteReference w:id="2166"/>
      </w:r>
      <w:r w:rsidRPr="00AF1DC8">
        <w:rPr>
          <w:rFonts w:ascii="Narkisim" w:hAnsi="Narkisim"/>
        </w:rPr>
        <w:t xml:space="preserve"> </w:t>
      </w:r>
      <w:r w:rsidRPr="00AF1DC8">
        <w:rPr>
          <w:rFonts w:ascii="Narkisim" w:hAnsi="Narkisim"/>
          <w:rtl/>
        </w:rPr>
        <w:t>והאם מפר נדריה, וכן למ"ד אין קידושין תופסין ביבמה האם תפס קידושין. [וע' משנת ר"א]</w:t>
      </w:r>
      <w:r w:rsidRPr="00AF1DC8">
        <w:rPr>
          <w:rFonts w:ascii="Narkisim" w:hAnsi="Narkisim"/>
        </w:rPr>
        <w:t>.</w:t>
      </w:r>
    </w:p>
    <w:p w14:paraId="313A3542" w14:textId="77777777" w:rsidR="006074A5" w:rsidRPr="00AF1DC8" w:rsidRDefault="006074A5" w:rsidP="006074A5">
      <w:pPr>
        <w:bidi/>
        <w:rPr>
          <w:rFonts w:ascii="Narkisim" w:hAnsi="Narkisim" w:cs="Narkisim"/>
        </w:rPr>
      </w:pPr>
      <w:r w:rsidRPr="00AF1DC8">
        <w:rPr>
          <w:rFonts w:ascii="Narkisim" w:hAnsi="Narkisim" w:cs="Narkisim"/>
          <w:u w:val="single"/>
          <w:rtl/>
        </w:rPr>
        <w:t>בא"ד ואור"י דאפ"ה לא מחייב, מידי דהוה אקטן הבא על הגדולה דאמר לקמן תגדלנו.</w:t>
      </w:r>
      <w:r w:rsidRPr="00AF1DC8">
        <w:rPr>
          <w:rFonts w:ascii="Narkisim" w:hAnsi="Narkisim" w:cs="Narkisim"/>
          <w:rtl/>
        </w:rPr>
        <w:t xml:space="preserve"> ואין בזה איסור אשת אח</w:t>
      </w:r>
      <w:r w:rsidRPr="00AF1DC8">
        <w:rPr>
          <w:rStyle w:val="ac"/>
          <w:rFonts w:ascii="Narkisim" w:hAnsi="Narkisim" w:cs="Narkisim"/>
          <w:rtl/>
        </w:rPr>
        <w:footnoteReference w:id="2167"/>
      </w:r>
      <w:r w:rsidRPr="00AF1DC8">
        <w:rPr>
          <w:rFonts w:ascii="Narkisim" w:hAnsi="Narkisim" w:cs="Narkisim"/>
        </w:rPr>
        <w:t xml:space="preserve">. </w:t>
      </w:r>
      <w:r w:rsidRPr="00AF1DC8">
        <w:rPr>
          <w:rFonts w:ascii="Narkisim" w:hAnsi="Narkisim" w:cs="Narkisim"/>
          <w:szCs w:val="20"/>
          <w:rtl/>
        </w:rPr>
        <w:t>ועד"ז דנו ה</w:t>
      </w:r>
      <w:r w:rsidRPr="00AF1DC8">
        <w:rPr>
          <w:rFonts w:ascii="Narkisim" w:hAnsi="Narkisim" w:cs="Narkisim"/>
          <w:b/>
          <w:bCs/>
          <w:szCs w:val="20"/>
          <w:rtl/>
        </w:rPr>
        <w:t>אחרונים</w:t>
      </w:r>
      <w:r w:rsidRPr="00AF1DC8">
        <w:rPr>
          <w:rFonts w:ascii="Narkisim" w:hAnsi="Narkisim" w:cs="Narkisim"/>
          <w:szCs w:val="20"/>
          <w:rtl/>
        </w:rPr>
        <w:t xml:space="preserve"> הבא על יבמתו בלא עדים, לצד דבעי עדות לקיומי לקנין היבמה, ואפ"ה אין בזה איסור אשת אח</w:t>
      </w:r>
      <w:r w:rsidRPr="00AF1DC8">
        <w:rPr>
          <w:rFonts w:ascii="Narkisim" w:hAnsi="Narkisim" w:cs="Narkisim"/>
          <w:szCs w:val="20"/>
        </w:rPr>
        <w:t>.</w:t>
      </w:r>
    </w:p>
    <w:p w14:paraId="2119FD05"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sz w:val="20"/>
          <w:szCs w:val="20"/>
          <w:rtl/>
        </w:rPr>
        <w:t>(אמר"מ ה א, אפיק"י ז, קובה"ע לו א, חזו"א קלד לדף מא.)</w:t>
      </w:r>
      <w:r w:rsidRPr="00AF1DC8">
        <w:rPr>
          <w:rFonts w:ascii="Narkisim" w:hAnsi="Narkisim"/>
          <w:rtl/>
        </w:rPr>
        <w:t xml:space="preserve"> הביאו מדין זה דאיסור אשת אח הותרה אף כלפי ביאה שאין בה מצוות יבום, וע"כ דהותרה משעת נפילה [עכ”פ כל זמן שהזיקה קיימת]. </w:t>
      </w:r>
      <w:r w:rsidRPr="00AF1DC8">
        <w:rPr>
          <w:rFonts w:ascii="Narkisim" w:hAnsi="Narkisim"/>
          <w:sz w:val="20"/>
          <w:szCs w:val="20"/>
          <w:rtl/>
        </w:rPr>
        <w:t>וה</w:t>
      </w:r>
      <w:r w:rsidRPr="00AF1DC8">
        <w:rPr>
          <w:rFonts w:ascii="Narkisim" w:hAnsi="Narkisim"/>
          <w:b/>
          <w:bCs/>
          <w:sz w:val="20"/>
          <w:szCs w:val="20"/>
          <w:rtl/>
        </w:rPr>
        <w:t xml:space="preserve">אחרונים </w:t>
      </w:r>
      <w:r w:rsidRPr="00AF1DC8">
        <w:rPr>
          <w:rFonts w:ascii="Narkisim" w:hAnsi="Narkisim"/>
          <w:sz w:val="20"/>
          <w:szCs w:val="20"/>
          <w:rtl/>
        </w:rPr>
        <w:t>הקשו מזה לצד דאשת אח נדחה ע"י מצוות יבום [ע' תוס' ג:], וכתבו דע"כ מכח דין דחויה חל היתר</w:t>
      </w:r>
      <w:r w:rsidRPr="00AF1DC8">
        <w:rPr>
          <w:rFonts w:ascii="Narkisim" w:hAnsi="Narkisim"/>
          <w:sz w:val="20"/>
          <w:szCs w:val="20"/>
        </w:rPr>
        <w:t>.</w:t>
      </w:r>
    </w:p>
    <w:p w14:paraId="7D0C6CB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מדברי אבא שאול דשלא לשם מצווה עובר באיסור אשת אח [וע' לקמן לט:]</w:t>
      </w:r>
      <w:r w:rsidRPr="00AF1DC8">
        <w:rPr>
          <w:rStyle w:val="ac"/>
          <w:rFonts w:ascii="Narkisim" w:hAnsi="Narkisim"/>
          <w:rtl/>
        </w:rPr>
        <w:footnoteReference w:id="2168"/>
      </w:r>
      <w:r w:rsidRPr="00AF1DC8">
        <w:rPr>
          <w:rFonts w:ascii="Narkisim" w:hAnsi="Narkisim"/>
        </w:rPr>
        <w:t>.</w:t>
      </w:r>
      <w:r w:rsidRPr="00AF1DC8">
        <w:rPr>
          <w:rFonts w:ascii="Narkisim" w:hAnsi="Narkisim"/>
          <w:sz w:val="20"/>
          <w:szCs w:val="20"/>
        </w:rPr>
        <w:t xml:space="preserve"> </w:t>
      </w:r>
      <w:r w:rsidRPr="00AF1DC8">
        <w:rPr>
          <w:rFonts w:ascii="Narkisim" w:hAnsi="Narkisim"/>
          <w:sz w:val="20"/>
          <w:szCs w:val="20"/>
          <w:rtl/>
        </w:rPr>
        <w:t>וה</w:t>
      </w:r>
      <w:r w:rsidRPr="00AF1DC8">
        <w:rPr>
          <w:rFonts w:ascii="Narkisim" w:hAnsi="Narkisim"/>
          <w:b/>
          <w:bCs/>
          <w:sz w:val="20"/>
          <w:szCs w:val="20"/>
          <w:rtl/>
        </w:rPr>
        <w:t>גרנ"ט</w:t>
      </w:r>
      <w:r w:rsidRPr="00AF1DC8">
        <w:rPr>
          <w:rFonts w:ascii="Narkisim" w:hAnsi="Narkisim"/>
          <w:sz w:val="20"/>
          <w:szCs w:val="20"/>
          <w:rtl/>
        </w:rPr>
        <w:t xml:space="preserve"> כת' דדדוקא היכא שיקנה לבסוף בביאה, נחשב אף ביאה ראשונה כחלק מהמעשה קנין. ולפ”ז ה”נ דוקא אם לבסוף ייבם [וכמ”ש רש”י], אבל אבל אם יחלוץ לבסוף יתברר שביאה ראשונה היתה באיסור אשת אח. [אבל בפוסקים מבואר דיכול לחלוץ לבסוף]</w:t>
      </w:r>
      <w:r w:rsidRPr="00AF1DC8">
        <w:rPr>
          <w:rFonts w:ascii="Narkisim" w:hAnsi="Narkisim"/>
          <w:sz w:val="20"/>
          <w:szCs w:val="20"/>
        </w:rPr>
        <w:t>.</w:t>
      </w:r>
    </w:p>
    <w:p w14:paraId="60B2FE98" w14:textId="77777777" w:rsidR="006074A5" w:rsidRPr="00AF1DC8" w:rsidRDefault="006074A5" w:rsidP="006074A5">
      <w:pPr>
        <w:bidi/>
        <w:rPr>
          <w:rFonts w:ascii="Narkisim" w:hAnsi="Narkisim" w:cs="Narkisim"/>
        </w:rPr>
      </w:pPr>
      <w:r w:rsidRPr="00AF1DC8">
        <w:rPr>
          <w:rFonts w:ascii="Narkisim" w:hAnsi="Narkisim" w:cs="Narkisim"/>
          <w:u w:val="single"/>
          <w:rtl/>
        </w:rPr>
        <w:t>איתיביה ר"י לר"ל וכו' אלא לדידך וכו' אמאי פסלה מן הכהונה.</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הק' ע"פ מש"כ דהוה ספק מתי האם העובר ראוי להיות בן קיימא, ונימא דמש"ה פסלה מהכהונה מספק. [ואילו כבר אינו ראוי הוה חליצה מעלייתא, ונימא דמש"ה אסורה לכהונה]. ותי' דקו' הגמ' דספק חלוצה אם נשאת לא תצא (וכדלעיל כד.)</w:t>
      </w:r>
      <w:r w:rsidRPr="00AF1DC8">
        <w:rPr>
          <w:rFonts w:ascii="Narkisim" w:hAnsi="Narkisim" w:cs="Narkisim"/>
        </w:rPr>
        <w:t>.</w:t>
      </w:r>
    </w:p>
    <w:p w14:paraId="4DDDF8E4"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קצות</w:t>
      </w:r>
      <w:r w:rsidRPr="00AF1DC8">
        <w:rPr>
          <w:rFonts w:ascii="Narkisim" w:hAnsi="Narkisim"/>
          <w:rtl/>
        </w:rPr>
        <w:t xml:space="preserve"> (רעו א) כתב דקו' הגמ' דע"י שיש רוב מתעברות ויולדת, יש חזקה מכח הרוב שמעוברת עדיין. ואף כשהפילה לבסוף מהני חזקה להכריע שהפילה יותר מאוחר, ובשעת חליצה היה ראוי להיות בר קיימא</w:t>
      </w:r>
      <w:r w:rsidRPr="00AF1DC8">
        <w:rPr>
          <w:rFonts w:ascii="Narkisim" w:hAnsi="Narkisim"/>
          <w:sz w:val="20"/>
          <w:szCs w:val="20"/>
          <w:rtl/>
        </w:rPr>
        <w:t xml:space="preserve"> [וכ”כ ב</w:t>
      </w:r>
      <w:r w:rsidRPr="00AF1DC8">
        <w:rPr>
          <w:rFonts w:ascii="Narkisim" w:hAnsi="Narkisim"/>
          <w:b/>
          <w:bCs/>
          <w:sz w:val="20"/>
          <w:szCs w:val="20"/>
          <w:rtl/>
        </w:rPr>
        <w:t>ישרש יעקב</w:t>
      </w:r>
      <w:r w:rsidRPr="00AF1DC8">
        <w:rPr>
          <w:rFonts w:ascii="Narkisim" w:hAnsi="Narkisim"/>
          <w:sz w:val="20"/>
          <w:szCs w:val="20"/>
          <w:rtl/>
        </w:rPr>
        <w:t>]</w:t>
      </w:r>
      <w:r w:rsidRPr="00AF1DC8">
        <w:rPr>
          <w:rFonts w:ascii="Narkisim" w:hAnsi="Narkisim"/>
          <w:sz w:val="20"/>
          <w:szCs w:val="20"/>
        </w:rPr>
        <w:t>.</w:t>
      </w:r>
    </w:p>
    <w:p w14:paraId="57A21D57" w14:textId="77777777" w:rsidR="006074A5" w:rsidRPr="00AF1DC8" w:rsidRDefault="006074A5" w:rsidP="006074A5">
      <w:pPr>
        <w:pStyle w:val="aa"/>
        <w:bidi/>
        <w:rPr>
          <w:rFonts w:ascii="Narkisim" w:hAnsi="Narkisim"/>
        </w:rPr>
      </w:pPr>
      <w:r w:rsidRPr="00AF1DC8">
        <w:rPr>
          <w:rFonts w:ascii="Narkisim" w:hAnsi="Narkisim"/>
          <w:u w:val="single"/>
          <w:rtl/>
        </w:rPr>
        <w:t>שם. אמאי פסלה מן הכהונה</w:t>
      </w:r>
      <w:r w:rsidRPr="00AF1DC8">
        <w:rPr>
          <w:rFonts w:ascii="Narkisim" w:hAnsi="Narkisim"/>
          <w:rtl/>
        </w:rPr>
        <w:t>. ה</w:t>
      </w:r>
      <w:r w:rsidRPr="00AF1DC8">
        <w:rPr>
          <w:rFonts w:ascii="Narkisim" w:hAnsi="Narkisim"/>
          <w:b/>
          <w:bCs/>
          <w:rtl/>
        </w:rPr>
        <w:t>מהרש"א</w:t>
      </w:r>
      <w:r w:rsidRPr="00AF1DC8">
        <w:rPr>
          <w:rFonts w:ascii="Narkisim" w:hAnsi="Narkisim"/>
          <w:rtl/>
        </w:rPr>
        <w:t xml:space="preserve"> הק' דהו"ל להק' מרישא, אמאי נאסרת לקרוביו. וע"כ מדרבנן ולחומרא. וציין לדברי התוס' (ד"ה ונמצאת) דאף דלא הוה חליצה מדרבנן, אפ"ה אסור בקרובותיה. [אך ה</w:t>
      </w:r>
      <w:r w:rsidRPr="00AF1DC8">
        <w:rPr>
          <w:rFonts w:ascii="Narkisim" w:hAnsi="Narkisim"/>
          <w:b/>
          <w:bCs/>
          <w:rtl/>
        </w:rPr>
        <w:t>אחרונים</w:t>
      </w:r>
      <w:r w:rsidRPr="00AF1DC8">
        <w:rPr>
          <w:rFonts w:ascii="Narkisim" w:hAnsi="Narkisim"/>
          <w:rtl/>
        </w:rPr>
        <w:t xml:space="preserve"> דייקו דתוס' כת' כן רק לצד דמהני חליצתו מדאורייתא]</w:t>
      </w:r>
      <w:r w:rsidRPr="00AF1DC8">
        <w:rPr>
          <w:rFonts w:ascii="Narkisim" w:hAnsi="Narkisim"/>
        </w:rPr>
        <w:t>.</w:t>
      </w:r>
    </w:p>
    <w:p w14:paraId="014C7CA2"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מהרש"א</w:t>
      </w:r>
      <w:r w:rsidRPr="00AF1DC8">
        <w:rPr>
          <w:rFonts w:ascii="Narkisim" w:hAnsi="Narkisim"/>
          <w:rtl/>
        </w:rPr>
        <w:t xml:space="preserve"> תי' דאף המקשן ס”ל דכיון דעשה בה מעשה נאסר בקרובותיה. ואפ"ה סבר דלענין כהונה אינה נאסרת</w:t>
      </w:r>
      <w:r w:rsidRPr="00AF1DC8">
        <w:rPr>
          <w:rStyle w:val="ac"/>
          <w:rFonts w:ascii="Narkisim" w:hAnsi="Narkisim"/>
          <w:rtl/>
        </w:rPr>
        <w:footnoteReference w:id="2169"/>
      </w:r>
      <w:r w:rsidRPr="00AF1DC8">
        <w:rPr>
          <w:rFonts w:ascii="Narkisim" w:hAnsi="Narkisim"/>
        </w:rPr>
        <w:t>.</w:t>
      </w:r>
    </w:p>
    <w:p w14:paraId="6E560726" w14:textId="77777777" w:rsidR="006074A5" w:rsidRPr="00AF1DC8" w:rsidRDefault="006074A5" w:rsidP="006074A5">
      <w:pPr>
        <w:pStyle w:val="aa"/>
        <w:bidi/>
        <w:rPr>
          <w:rFonts w:ascii="Narkisim" w:hAnsi="Narkisim"/>
        </w:rPr>
      </w:pPr>
      <w:r w:rsidRPr="00AF1DC8">
        <w:rPr>
          <w:rFonts w:ascii="Narkisim" w:hAnsi="Narkisim"/>
          <w:u w:val="single"/>
          <w:rtl/>
        </w:rPr>
        <w:t>א"ל מדרבנן ולחומרא</w:t>
      </w:r>
      <w:r w:rsidRPr="00AF1DC8">
        <w:rPr>
          <w:rFonts w:ascii="Narkisim" w:hAnsi="Narkisim"/>
          <w:rtl/>
        </w:rPr>
        <w:t>. ה</w:t>
      </w:r>
      <w:r w:rsidRPr="00AF1DC8">
        <w:rPr>
          <w:rFonts w:ascii="Narkisim" w:hAnsi="Narkisim"/>
          <w:b/>
          <w:bCs/>
          <w:rtl/>
        </w:rPr>
        <w:t>ריטב”א</w:t>
      </w:r>
      <w:r w:rsidRPr="00AF1DC8">
        <w:rPr>
          <w:rFonts w:ascii="Narkisim" w:hAnsi="Narkisim"/>
          <w:rtl/>
        </w:rPr>
        <w:t xml:space="preserve"> פי' דמאן דחזא סבר חליצה כשרה הות, וסבר דחלוצה כשרה לכהונה. ואף שיכריזו דלא הות חליצה, דילמא לא שמעו בהכרזה (כדאיתא לקמן). וא"ת א"כ אפי' ולד של קיימא נמי נפסלה [שנעשית בה מעשה חליצה]. וי"ל דכיון דאיכא ולד דמוכח ואית ליה קלא, סמכינן עליה ועל ההכרזה</w:t>
      </w:r>
      <w:r w:rsidRPr="00AF1DC8">
        <w:rPr>
          <w:rFonts w:ascii="Narkisim" w:hAnsi="Narkisim"/>
        </w:rPr>
        <w:t>.</w:t>
      </w:r>
    </w:p>
    <w:p w14:paraId="755D34C3" w14:textId="77777777" w:rsidR="006074A5" w:rsidRPr="00AF1DC8" w:rsidRDefault="006074A5" w:rsidP="006074A5">
      <w:pPr>
        <w:bidi/>
        <w:rPr>
          <w:rFonts w:ascii="Narkisim" w:hAnsi="Narkisim" w:cs="Narkisim"/>
        </w:rPr>
      </w:pPr>
      <w:r w:rsidRPr="00AF1DC8">
        <w:rPr>
          <w:rFonts w:ascii="Narkisim" w:hAnsi="Narkisim" w:cs="Narkisim"/>
          <w:u w:val="single"/>
          <w:rtl/>
        </w:rPr>
        <w:t>רש"י ד"ה דלא סגי בלא"ה.</w:t>
      </w:r>
      <w:r w:rsidRPr="00AF1DC8">
        <w:rPr>
          <w:rFonts w:ascii="Narkisim" w:hAnsi="Narkisim" w:cs="Narkisim"/>
          <w:rtl/>
        </w:rPr>
        <w:t xml:space="preserve"> דלא מיפטרא בלא ביאה וכו', וחליצה נמי א"א למפטרה הואיל ומ"מ בא עליה. ה</w:t>
      </w:r>
      <w:r w:rsidRPr="00AF1DC8">
        <w:rPr>
          <w:rFonts w:ascii="Narkisim" w:hAnsi="Narkisim" w:cs="Narkisim"/>
          <w:b/>
          <w:bCs/>
          <w:rtl/>
        </w:rPr>
        <w:t>אחרונים</w:t>
      </w:r>
      <w:r w:rsidRPr="00AF1DC8">
        <w:rPr>
          <w:rFonts w:ascii="Narkisim" w:hAnsi="Narkisim" w:cs="Narkisim"/>
          <w:rtl/>
        </w:rPr>
        <w:t xml:space="preserve"> דייקו דא"א לפוטרה אף בגט וחליצה, כיון דהתחיל בביאה. וה</w:t>
      </w:r>
      <w:r w:rsidRPr="00AF1DC8">
        <w:rPr>
          <w:rFonts w:ascii="Narkisim" w:hAnsi="Narkisim" w:cs="Narkisim"/>
          <w:b/>
          <w:bCs/>
          <w:rtl/>
        </w:rPr>
        <w:t>בית מאיר</w:t>
      </w:r>
      <w:r w:rsidRPr="00AF1DC8">
        <w:rPr>
          <w:rFonts w:ascii="Narkisim" w:hAnsi="Narkisim" w:cs="Narkisim"/>
          <w:rtl/>
        </w:rPr>
        <w:t xml:space="preserve"> (קסד ה) ביאר דאף דלא קנה בביאתו [מדאורייתא], מ"מ כיון דבא עליה נחשב חליצה פסולה.</w:t>
      </w:r>
      <w:r w:rsidRPr="00AF1DC8">
        <w:rPr>
          <w:rFonts w:ascii="Narkisim" w:hAnsi="Narkisim" w:cs="Narkisim"/>
          <w:sz w:val="20"/>
          <w:szCs w:val="20"/>
          <w:rtl/>
        </w:rPr>
        <w:t xml:space="preserve"> [ול"מ חליצה זו לפטור אף את עצמה. וצ”ב</w:t>
      </w:r>
      <w:r w:rsidRPr="00AF1DC8">
        <w:rPr>
          <w:rFonts w:ascii="Narkisim" w:hAnsi="Narkisim" w:cs="Narkisim"/>
          <w:rtl/>
        </w:rPr>
        <w:t>]</w:t>
      </w:r>
      <w:r w:rsidRPr="00AF1DC8">
        <w:rPr>
          <w:rStyle w:val="ac"/>
          <w:rFonts w:ascii="Narkisim" w:hAnsi="Narkisim" w:cs="Narkisim"/>
          <w:rtl/>
        </w:rPr>
        <w:footnoteReference w:id="2170"/>
      </w:r>
      <w:r w:rsidRPr="00AF1DC8">
        <w:rPr>
          <w:rFonts w:ascii="Narkisim" w:hAnsi="Narkisim" w:cs="Narkisim"/>
        </w:rPr>
        <w:t>.</w:t>
      </w:r>
    </w:p>
    <w:p w14:paraId="13BE213E" w14:textId="77777777" w:rsidR="006074A5" w:rsidRPr="00AF1DC8" w:rsidRDefault="006074A5" w:rsidP="006074A5">
      <w:pPr>
        <w:pStyle w:val="a7"/>
        <w:bidi/>
        <w:rPr>
          <w:rFonts w:ascii="Narkisim" w:hAnsi="Narkisim"/>
        </w:rPr>
      </w:pPr>
      <w:r w:rsidRPr="00AF1DC8">
        <w:rPr>
          <w:rFonts w:ascii="Narkisim" w:hAnsi="Narkisim"/>
          <w:rtl/>
        </w:rPr>
        <w:lastRenderedPageBreak/>
        <w:t>וה</w:t>
      </w:r>
      <w:r w:rsidRPr="00AF1DC8">
        <w:rPr>
          <w:rFonts w:ascii="Narkisim" w:hAnsi="Narkisim"/>
          <w:b/>
          <w:bCs/>
          <w:rtl/>
        </w:rPr>
        <w:t>ריטב"א</w:t>
      </w:r>
      <w:r w:rsidRPr="00AF1DC8">
        <w:rPr>
          <w:rFonts w:ascii="Narkisim" w:hAnsi="Narkisim"/>
          <w:rtl/>
        </w:rPr>
        <w:t xml:space="preserve"> הביא </w:t>
      </w:r>
      <w:r w:rsidRPr="00AF1DC8">
        <w:rPr>
          <w:rFonts w:ascii="Narkisim" w:hAnsi="Narkisim"/>
          <w:b/>
          <w:bCs/>
          <w:rtl/>
        </w:rPr>
        <w:t>י"מ</w:t>
      </w:r>
      <w:r w:rsidRPr="00AF1DC8">
        <w:rPr>
          <w:rFonts w:ascii="Narkisim" w:hAnsi="Narkisim"/>
          <w:rtl/>
        </w:rPr>
        <w:t xml:space="preserve"> דמייבם דוקא</w:t>
      </w:r>
      <w:r w:rsidRPr="00AF1DC8">
        <w:rPr>
          <w:rStyle w:val="ac"/>
          <w:rFonts w:ascii="Narkisim" w:hAnsi="Narkisim"/>
          <w:rtl/>
        </w:rPr>
        <w:footnoteReference w:id="2171"/>
      </w:r>
      <w:r w:rsidRPr="00AF1DC8">
        <w:rPr>
          <w:rFonts w:ascii="Narkisim" w:hAnsi="Narkisim"/>
        </w:rPr>
        <w:t xml:space="preserve">, </w:t>
      </w:r>
      <w:r w:rsidRPr="00AF1DC8">
        <w:rPr>
          <w:rFonts w:ascii="Narkisim" w:hAnsi="Narkisim"/>
          <w:rtl/>
        </w:rPr>
        <w:t>דאילו מוציאה אותה בחליצה מוציא לעז על ביאה ראשונה. ועוד פי' ה</w:t>
      </w:r>
      <w:r w:rsidRPr="00AF1DC8">
        <w:rPr>
          <w:rFonts w:ascii="Narkisim" w:hAnsi="Narkisim"/>
          <w:b/>
          <w:bCs/>
          <w:rtl/>
        </w:rPr>
        <w:t>אחרונים</w:t>
      </w:r>
      <w:r w:rsidRPr="00AF1DC8">
        <w:rPr>
          <w:rFonts w:ascii="Narkisim" w:hAnsi="Narkisim"/>
          <w:rtl/>
        </w:rPr>
        <w:t xml:space="preserve"> דאם יחלוץ לבסוף יתברר שעמדה לחליצה, ולמפרע</w:t>
      </w:r>
      <w:r w:rsidRPr="00AF1DC8">
        <w:rPr>
          <w:rStyle w:val="ac"/>
          <w:rFonts w:ascii="Narkisim" w:hAnsi="Narkisim"/>
          <w:rtl/>
        </w:rPr>
        <w:footnoteReference w:id="2172"/>
      </w:r>
      <w:r w:rsidRPr="00AF1DC8">
        <w:rPr>
          <w:rFonts w:ascii="Narkisim" w:hAnsi="Narkisim"/>
        </w:rPr>
        <w:t xml:space="preserve"> </w:t>
      </w:r>
      <w:r w:rsidRPr="00AF1DC8">
        <w:rPr>
          <w:rFonts w:ascii="Narkisim" w:hAnsi="Narkisim"/>
          <w:rtl/>
        </w:rPr>
        <w:t>נעקר ההיתר אשת אח</w:t>
      </w:r>
      <w:r w:rsidRPr="00AF1DC8">
        <w:rPr>
          <w:rStyle w:val="ac"/>
          <w:rFonts w:ascii="Narkisim" w:hAnsi="Narkisim"/>
          <w:rtl/>
        </w:rPr>
        <w:footnoteReference w:id="2173"/>
      </w:r>
      <w:r w:rsidRPr="00AF1DC8">
        <w:rPr>
          <w:rFonts w:ascii="Narkisim" w:hAnsi="Narkisim"/>
        </w:rPr>
        <w:t xml:space="preserve">. </w:t>
      </w:r>
      <w:r w:rsidRPr="00AF1DC8">
        <w:rPr>
          <w:rFonts w:ascii="Narkisim" w:hAnsi="Narkisim"/>
          <w:sz w:val="20"/>
          <w:szCs w:val="20"/>
          <w:rtl/>
        </w:rPr>
        <w:t>[וע"ע תוס' הרא"ש ותו"י לקמן לו:]</w:t>
      </w:r>
      <w:r w:rsidRPr="00AF1DC8">
        <w:rPr>
          <w:rFonts w:ascii="Narkisim" w:hAnsi="Narkisim"/>
          <w:sz w:val="20"/>
          <w:szCs w:val="20"/>
        </w:rPr>
        <w:t>.</w:t>
      </w:r>
    </w:p>
    <w:p w14:paraId="000DF981" w14:textId="77777777" w:rsidR="006074A5" w:rsidRPr="00AF1DC8" w:rsidRDefault="006074A5" w:rsidP="006074A5">
      <w:pPr>
        <w:bidi/>
        <w:rPr>
          <w:rFonts w:ascii="Narkisim" w:hAnsi="Narkisim" w:cs="Narkisim"/>
        </w:rPr>
      </w:pPr>
      <w:r w:rsidRPr="00AF1DC8">
        <w:rPr>
          <w:rFonts w:ascii="Narkisim" w:hAnsi="Narkisim" w:cs="Narkisim"/>
          <w:u w:val="single"/>
          <w:rtl/>
        </w:rPr>
        <w:t>אמר אביי בביאה כו"ע ל"פ.</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פי' דאינו בדין שתקנה בביאה זו, דהוה ביאה דאיסורא כיון דחיישי' שמא תלד</w:t>
      </w:r>
      <w:r w:rsidRPr="00AF1DC8">
        <w:rPr>
          <w:rStyle w:val="ac"/>
          <w:rFonts w:ascii="Narkisim" w:hAnsi="Narkisim" w:cs="Narkisim"/>
          <w:rtl/>
        </w:rPr>
        <w:footnoteReference w:id="2174"/>
      </w:r>
      <w:r w:rsidRPr="00AF1DC8">
        <w:rPr>
          <w:rFonts w:ascii="Narkisim" w:hAnsi="Narkisim" w:cs="Narkisim"/>
        </w:rPr>
        <w:t xml:space="preserve">. </w:t>
      </w:r>
      <w:r w:rsidRPr="00AF1DC8">
        <w:rPr>
          <w:rFonts w:ascii="Narkisim" w:hAnsi="Narkisim" w:cs="Narkisim"/>
          <w:rtl/>
        </w:rPr>
        <w:t>אבל בחליצה ליכא איסורא. ומשמע דמדבריו דמהני סברא זו דמדאורייתא ל"ק</w:t>
      </w:r>
      <w:r w:rsidRPr="00AF1DC8">
        <w:rPr>
          <w:rFonts w:ascii="Narkisim" w:hAnsi="Narkisim" w:cs="Narkisim"/>
        </w:rPr>
        <w:t>.</w:t>
      </w:r>
    </w:p>
    <w:p w14:paraId="33298342" w14:textId="77777777" w:rsidR="006074A5" w:rsidRPr="00AF1DC8" w:rsidRDefault="006074A5" w:rsidP="006074A5">
      <w:pPr>
        <w:pStyle w:val="a8"/>
        <w:bidi/>
        <w:rPr>
          <w:rFonts w:ascii="Narkisim" w:hAnsi="Narkisim"/>
        </w:rPr>
      </w:pPr>
      <w:r w:rsidRPr="00AF1DC8">
        <w:rPr>
          <w:rFonts w:ascii="Narkisim" w:hAnsi="Narkisim"/>
          <w:rtl/>
        </w:rPr>
        <w:t>ויש שפי' דדמי לחייבי לאו ועשה דאם בעלו לא קנו, דלא נאמר קנין יבום באשה כזו</w:t>
      </w:r>
      <w:r w:rsidRPr="00AF1DC8">
        <w:rPr>
          <w:rStyle w:val="ac"/>
          <w:rFonts w:ascii="Narkisim" w:hAnsi="Narkisim"/>
          <w:rtl/>
        </w:rPr>
        <w:footnoteReference w:id="2175"/>
      </w:r>
      <w:r w:rsidRPr="00AF1DC8">
        <w:rPr>
          <w:rFonts w:ascii="Narkisim" w:hAnsi="Narkisim"/>
        </w:rPr>
        <w:t xml:space="preserve"> </w:t>
      </w:r>
      <w:r w:rsidRPr="00AF1DC8">
        <w:rPr>
          <w:rFonts w:ascii="Narkisim" w:hAnsi="Narkisim"/>
          <w:rtl/>
        </w:rPr>
        <w:t>(ע' לעיל כ:). וה</w:t>
      </w:r>
      <w:r w:rsidRPr="00AF1DC8">
        <w:rPr>
          <w:rFonts w:ascii="Narkisim" w:hAnsi="Narkisim"/>
          <w:b/>
          <w:bCs/>
          <w:rtl/>
        </w:rPr>
        <w:t>חזו"א</w:t>
      </w:r>
      <w:r w:rsidRPr="00AF1DC8">
        <w:rPr>
          <w:rFonts w:ascii="Narkisim" w:hAnsi="Narkisim"/>
          <w:rtl/>
        </w:rPr>
        <w:t xml:space="preserve"> (קכ) כתב דילפינן מקרא ד'עין עליו' דל"מ ביאה כיון שאפשר לבא לידי איסור]. וה</w:t>
      </w:r>
      <w:r w:rsidRPr="00AF1DC8">
        <w:rPr>
          <w:rFonts w:ascii="Narkisim" w:hAnsi="Narkisim"/>
          <w:b/>
          <w:bCs/>
          <w:rtl/>
        </w:rPr>
        <w:t>קובה"ע</w:t>
      </w:r>
      <w:r w:rsidRPr="00AF1DC8">
        <w:rPr>
          <w:rFonts w:ascii="Narkisim" w:hAnsi="Narkisim"/>
          <w:rtl/>
        </w:rPr>
        <w:t xml:space="preserve"> (לח ה) ביאר דבשעה שהיא מעוברת אין זיקה אלא על זמן העתיד [דילפינן 'עין עליו</w:t>
      </w:r>
      <w:r w:rsidRPr="00AF1DC8">
        <w:rPr>
          <w:rFonts w:ascii="Narkisim" w:hAnsi="Narkisim"/>
        </w:rPr>
        <w:t>'].</w:t>
      </w:r>
    </w:p>
    <w:p w14:paraId="5A9D5A10"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ברכ"ש</w:t>
      </w:r>
      <w:r w:rsidRPr="00AF1DC8">
        <w:rPr>
          <w:rFonts w:ascii="Narkisim" w:hAnsi="Narkisim"/>
          <w:rtl/>
        </w:rPr>
        <w:t xml:space="preserve"> (א ב) כתב [ע"פ דברי הרמב"ן] דילפי' מדין 'עיונא בעלמא' דאם בעלו ל"ק. ונחשב ערות אשת אח לענין קנין יבום, דלא הוי בכלל 'לקחת'. אבל לא חל 'שם ערוה' לענין לפטור, ותפסי קידושין, דהוה עיוני בעלמא. וכן אין איסור אשת אח על ביאתו [וכדמוכח במשנה, וכמ”ש תוס' ד”ה תגלי]</w:t>
      </w:r>
      <w:r w:rsidRPr="00AF1DC8">
        <w:rPr>
          <w:rFonts w:ascii="Narkisim" w:hAnsi="Narkisim"/>
        </w:rPr>
        <w:t>.</w:t>
      </w:r>
    </w:p>
    <w:p w14:paraId="6194EC2E" w14:textId="77777777" w:rsidR="006074A5" w:rsidRPr="00AF1DC8" w:rsidRDefault="006074A5" w:rsidP="006074A5">
      <w:pPr>
        <w:pStyle w:val="a7"/>
        <w:bidi/>
        <w:rPr>
          <w:rFonts w:ascii="Narkisim" w:hAnsi="Narkisim"/>
        </w:rPr>
      </w:pPr>
      <w:r w:rsidRPr="00AF1DC8">
        <w:rPr>
          <w:rFonts w:ascii="Narkisim" w:hAnsi="Narkisim"/>
          <w:rtl/>
        </w:rPr>
        <w:t>אך ה</w:t>
      </w:r>
      <w:r w:rsidRPr="00AF1DC8">
        <w:rPr>
          <w:rFonts w:ascii="Narkisim" w:hAnsi="Narkisim"/>
          <w:b/>
          <w:bCs/>
          <w:rtl/>
        </w:rPr>
        <w:t>מהר"ם</w:t>
      </w:r>
      <w:r w:rsidRPr="00AF1DC8">
        <w:rPr>
          <w:rFonts w:ascii="Narkisim" w:hAnsi="Narkisim"/>
          <w:rtl/>
        </w:rPr>
        <w:t xml:space="preserve"> למד מדברי ה</w:t>
      </w:r>
      <w:r w:rsidRPr="00AF1DC8">
        <w:rPr>
          <w:rFonts w:ascii="Narkisim" w:hAnsi="Narkisim"/>
          <w:b/>
          <w:bCs/>
          <w:rtl/>
        </w:rPr>
        <w:t>תוס</w:t>
      </w:r>
      <w:r w:rsidRPr="00AF1DC8">
        <w:rPr>
          <w:rFonts w:ascii="Narkisim" w:hAnsi="Narkisim"/>
          <w:rtl/>
        </w:rPr>
        <w:t>'</w:t>
      </w:r>
      <w:r w:rsidRPr="00AF1DC8">
        <w:rPr>
          <w:rFonts w:ascii="Narkisim" w:hAnsi="Narkisim"/>
          <w:sz w:val="20"/>
          <w:szCs w:val="20"/>
          <w:rtl/>
        </w:rPr>
        <w:t xml:space="preserve"> (ד"ה כי פליגי)</w:t>
      </w:r>
      <w:r w:rsidRPr="00AF1DC8">
        <w:rPr>
          <w:rFonts w:ascii="Narkisim" w:hAnsi="Narkisim"/>
          <w:rtl/>
        </w:rPr>
        <w:t xml:space="preserve"> דל"ק מדרבנן, משום חשש שמא יפגע באיסור. [אבל מדאורייתא אין לחלק בזה]</w:t>
      </w:r>
      <w:r w:rsidRPr="00AF1DC8">
        <w:rPr>
          <w:rFonts w:ascii="Narkisim" w:hAnsi="Narkisim"/>
        </w:rPr>
        <w:t>.</w:t>
      </w:r>
    </w:p>
    <w:p w14:paraId="29358EC8" w14:textId="77777777" w:rsidR="006074A5" w:rsidRPr="00AF1DC8" w:rsidRDefault="006074A5" w:rsidP="006074A5">
      <w:pPr>
        <w:pStyle w:val="aa"/>
        <w:bidi/>
        <w:rPr>
          <w:rFonts w:ascii="Narkisim" w:hAnsi="Narkisim"/>
        </w:rPr>
      </w:pPr>
      <w:r w:rsidRPr="00AF1DC8">
        <w:rPr>
          <w:rFonts w:ascii="Narkisim" w:hAnsi="Narkisim"/>
          <w:u w:val="single"/>
          <w:rtl/>
        </w:rPr>
        <w:t>א"ל רבא מה נפשך וכו' ואי ביאת מעוברת ל"ש ביאה וכו'</w:t>
      </w:r>
      <w:r w:rsidRPr="00AF1DC8">
        <w:rPr>
          <w:rFonts w:ascii="Narkisim" w:hAnsi="Narkisim"/>
          <w:rtl/>
        </w:rPr>
        <w:t>. לדברי המהר"ם (הנ"ל) נתחדש בדברי רבא דאף בפסול דרבנן אמרי' הכי</w:t>
      </w:r>
      <w:r w:rsidRPr="00AF1DC8">
        <w:rPr>
          <w:rStyle w:val="ac"/>
          <w:rFonts w:ascii="Narkisim" w:hAnsi="Narkisim"/>
          <w:rtl/>
        </w:rPr>
        <w:footnoteReference w:id="2176"/>
      </w:r>
      <w:r w:rsidRPr="00AF1DC8">
        <w:rPr>
          <w:rFonts w:ascii="Narkisim" w:hAnsi="Narkisim"/>
        </w:rPr>
        <w:t xml:space="preserve">. </w:t>
      </w:r>
      <w:r w:rsidRPr="00AF1DC8">
        <w:rPr>
          <w:rFonts w:ascii="Narkisim" w:hAnsi="Narkisim"/>
          <w:rtl/>
        </w:rPr>
        <w:t>וצ"ב מ"ש מאיסור שניות ושאר איסורי דרבנן דחולצת אף דאינה ראויה ליבום</w:t>
      </w:r>
      <w:r w:rsidRPr="00AF1DC8">
        <w:rPr>
          <w:rFonts w:ascii="Narkisim" w:hAnsi="Narkisim"/>
        </w:rPr>
        <w:t>.</w:t>
      </w:r>
    </w:p>
    <w:p w14:paraId="06B361FB" w14:textId="77777777" w:rsidR="006074A5" w:rsidRPr="00AF1DC8" w:rsidRDefault="006074A5" w:rsidP="006074A5">
      <w:pPr>
        <w:pStyle w:val="a8"/>
        <w:bidi/>
        <w:rPr>
          <w:rFonts w:ascii="Narkisim" w:hAnsi="Narkisim"/>
        </w:rPr>
      </w:pPr>
      <w:r w:rsidRPr="00AF1DC8">
        <w:rPr>
          <w:rFonts w:ascii="Narkisim" w:hAnsi="Narkisim"/>
          <w:rtl/>
        </w:rPr>
        <w:t>וכן לשאר הפי' (הנ"ל) צ"ב אמאי פשיט"ל לרבא דל"ד לחייבי עשה ושניות</w:t>
      </w:r>
      <w:r w:rsidRPr="00AF1DC8">
        <w:rPr>
          <w:rFonts w:ascii="Narkisim" w:hAnsi="Narkisim"/>
        </w:rPr>
        <w:t>.</w:t>
      </w:r>
    </w:p>
    <w:p w14:paraId="2AC28D10" w14:textId="77777777" w:rsidR="006074A5" w:rsidRPr="00AF1DC8" w:rsidRDefault="006074A5" w:rsidP="006074A5">
      <w:pPr>
        <w:pStyle w:val="3"/>
        <w:bidi/>
        <w:rPr>
          <w:rFonts w:ascii="Narkisim" w:hAnsi="Narkisim"/>
        </w:rPr>
      </w:pPr>
      <w:r w:rsidRPr="00AF1DC8">
        <w:rPr>
          <w:rFonts w:ascii="Narkisim" w:hAnsi="Narkisim"/>
          <w:rtl/>
        </w:rPr>
        <w:t>דף לו</w:t>
      </w:r>
      <w:r w:rsidRPr="00AF1DC8">
        <w:rPr>
          <w:rFonts w:ascii="Narkisim" w:hAnsi="Narkisim"/>
        </w:rPr>
        <w:t>.</w:t>
      </w:r>
    </w:p>
    <w:p w14:paraId="04AA5F1B" w14:textId="77777777" w:rsidR="006074A5" w:rsidRPr="00AF1DC8" w:rsidRDefault="006074A5" w:rsidP="006074A5">
      <w:pPr>
        <w:bidi/>
        <w:rPr>
          <w:rFonts w:ascii="Narkisim" w:hAnsi="Narkisim" w:cs="Narkisim"/>
        </w:rPr>
      </w:pPr>
      <w:r w:rsidRPr="00AF1DC8">
        <w:rPr>
          <w:rFonts w:ascii="Narkisim" w:hAnsi="Narkisim" w:cs="Narkisim"/>
          <w:u w:val="single"/>
          <w:rtl/>
        </w:rPr>
        <w:t>דכל העולה ליבום עולה לחליצה וכו'.</w:t>
      </w:r>
      <w:r w:rsidRPr="00AF1DC8">
        <w:rPr>
          <w:rFonts w:ascii="Narkisim" w:hAnsi="Narkisim" w:cs="Narkisim"/>
          <w:rtl/>
        </w:rPr>
        <w:t xml:space="preserve"> ה</w:t>
      </w:r>
      <w:r w:rsidRPr="00AF1DC8">
        <w:rPr>
          <w:rFonts w:ascii="Narkisim" w:hAnsi="Narkisim" w:cs="Narkisim"/>
          <w:b/>
          <w:bCs/>
          <w:rtl/>
        </w:rPr>
        <w:t>רמב"ן</w:t>
      </w:r>
      <w:r w:rsidRPr="00AF1DC8">
        <w:rPr>
          <w:rFonts w:ascii="Narkisim" w:hAnsi="Narkisim" w:cs="Narkisim"/>
          <w:rtl/>
        </w:rPr>
        <w:t xml:space="preserve"> (לה:) דייק לשון הגמ' דקושיית רבא מהא דביאת מעוברת ל"ש ביאה, ואף בדיעבד לא פטרה לצרה</w:t>
      </w:r>
      <w:r w:rsidRPr="00AF1DC8">
        <w:rPr>
          <w:rStyle w:val="ac"/>
          <w:rFonts w:ascii="Narkisim" w:hAnsi="Narkisim" w:cs="Narkisim"/>
          <w:rtl/>
        </w:rPr>
        <w:footnoteReference w:id="2177"/>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sz w:val="20"/>
          <w:szCs w:val="20"/>
          <w:rtl/>
        </w:rPr>
        <w:t>[אבל אילו היה מהני בדיעבד אין בזה חסרון. אבל בסוגיא (לקמן מא:) מבואר דאינה חולצת תוך צ' יום כיון דאסורה להתייבם. ואף דאם בעלו קנו בדיעבד. ויתבאר לקמן שם]</w:t>
      </w:r>
      <w:r w:rsidRPr="00AF1DC8">
        <w:rPr>
          <w:rFonts w:ascii="Narkisim" w:hAnsi="Narkisim" w:cs="Narkisim"/>
          <w:sz w:val="20"/>
          <w:szCs w:val="20"/>
        </w:rPr>
        <w:t>.</w:t>
      </w:r>
    </w:p>
    <w:p w14:paraId="170F3C71" w14:textId="77777777" w:rsidR="006074A5" w:rsidRPr="00AF1DC8" w:rsidRDefault="006074A5" w:rsidP="006074A5">
      <w:pPr>
        <w:bidi/>
        <w:rPr>
          <w:rFonts w:ascii="Narkisim" w:hAnsi="Narkisim" w:cs="Narkisim"/>
        </w:rPr>
      </w:pPr>
      <w:r w:rsidRPr="00AF1DC8">
        <w:rPr>
          <w:rFonts w:ascii="Narkisim" w:hAnsi="Narkisim" w:cs="Narkisim"/>
          <w:u w:val="single"/>
          <w:rtl/>
        </w:rPr>
        <w:t>רש"י ד"ה דכל.</w:t>
      </w:r>
      <w:r w:rsidRPr="00AF1DC8">
        <w:rPr>
          <w:rFonts w:ascii="Narkisim" w:hAnsi="Narkisim" w:cs="Narkisim"/>
          <w:rtl/>
        </w:rPr>
        <w:t xml:space="preserve"> דביאתה פוטרתה. אבל </w:t>
      </w:r>
      <w:r w:rsidRPr="00AF1DC8">
        <w:rPr>
          <w:rFonts w:ascii="Narkisim" w:hAnsi="Narkisim" w:cs="Narkisim"/>
          <w:b/>
          <w:bCs/>
          <w:rtl/>
        </w:rPr>
        <w:t>רש"י</w:t>
      </w:r>
      <w:r w:rsidRPr="00AF1DC8">
        <w:rPr>
          <w:rFonts w:ascii="Narkisim" w:hAnsi="Narkisim" w:cs="Narkisim"/>
          <w:rtl/>
        </w:rPr>
        <w:t xml:space="preserve"> (לעיל ג. ד"ה ה"א, ולקמן מד. ד"ה כל) כתב כל העולה ל</w:t>
      </w:r>
      <w:r w:rsidRPr="00AF1DC8">
        <w:rPr>
          <w:rFonts w:ascii="Narkisim" w:hAnsi="Narkisim" w:cs="Narkisim"/>
          <w:i/>
          <w:iCs/>
          <w:rtl/>
        </w:rPr>
        <w:t>זיקת</w:t>
      </w:r>
      <w:r w:rsidRPr="00AF1DC8">
        <w:rPr>
          <w:rFonts w:ascii="Narkisim" w:hAnsi="Narkisim" w:cs="Narkisim"/>
          <w:rtl/>
        </w:rPr>
        <w:t xml:space="preserve"> יבום וכו'. וה</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sz w:val="20"/>
          <w:szCs w:val="20"/>
          <w:rtl/>
        </w:rPr>
        <w:t>(עונג יו"ט קעז, חי' ר' שמעון א, קובה”ע ה ג)</w:t>
      </w:r>
      <w:r w:rsidRPr="00AF1DC8">
        <w:rPr>
          <w:rFonts w:ascii="Narkisim" w:hAnsi="Narkisim" w:cs="Narkisim"/>
          <w:rtl/>
        </w:rPr>
        <w:t xml:space="preserve"> למדו מזה דיש ב' גדרים בחסרון ד'כל העולה'. דבסוגיין יש זיקה גמורה, אלא דאינה ראויה למעשה יבום, ויש חסרון במעשה חליצה כיון דאינה ראויה לקנין יבום. </w:t>
      </w:r>
      <w:r w:rsidRPr="00AF1DC8">
        <w:rPr>
          <w:rFonts w:ascii="Narkisim" w:hAnsi="Narkisim" w:cs="Narkisim"/>
          <w:sz w:val="20"/>
          <w:szCs w:val="20"/>
          <w:rtl/>
        </w:rPr>
        <w:t>[ועפ"ז ביארו את דברי הגמ' (מא:) דמדרבנן אמרי' דבג' חדשי הבחנה אינה עולה לחליצה משום 'כל העולה ליבום', ועי"ש מש"כ הראשונים בזה]</w:t>
      </w:r>
      <w:r w:rsidRPr="00AF1DC8">
        <w:rPr>
          <w:rFonts w:ascii="Narkisim" w:hAnsi="Narkisim" w:cs="Narkisim"/>
          <w:sz w:val="20"/>
          <w:szCs w:val="20"/>
        </w:rPr>
        <w:t>.</w:t>
      </w:r>
    </w:p>
    <w:p w14:paraId="3E8E8647"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ריטב"א</w:t>
      </w:r>
      <w:r w:rsidRPr="00AF1DC8">
        <w:rPr>
          <w:rFonts w:ascii="Narkisim" w:hAnsi="Narkisim" w:cs="Narkisim"/>
          <w:rtl/>
        </w:rPr>
        <w:t xml:space="preserve"> כת' דבחייבי לאו ועשה ל"א כל העולה, דמרבי' מקרא דועלתה [וע' לעי' כ:]. וה</w:t>
      </w:r>
      <w:r w:rsidRPr="00AF1DC8">
        <w:rPr>
          <w:rFonts w:ascii="Narkisim" w:hAnsi="Narkisim" w:cs="Narkisim"/>
          <w:b/>
          <w:bCs/>
          <w:rtl/>
        </w:rPr>
        <w:t>אחרונים</w:t>
      </w:r>
      <w:r w:rsidRPr="00AF1DC8">
        <w:rPr>
          <w:rFonts w:ascii="Narkisim" w:hAnsi="Narkisim" w:cs="Narkisim"/>
          <w:rtl/>
        </w:rPr>
        <w:t xml:space="preserve"> (הנ"ל) ביארו כיון דזקוקה רק לחליצה לא שייך חסרון זה </w:t>
      </w:r>
      <w:r w:rsidRPr="00AF1DC8">
        <w:rPr>
          <w:rFonts w:ascii="Narkisim" w:hAnsi="Narkisim" w:cs="Narkisim"/>
          <w:sz w:val="20"/>
          <w:szCs w:val="20"/>
          <w:rtl/>
        </w:rPr>
        <w:t>[וע' לעיל כ. בגדר זיקת חייבי לאו ועשה</w:t>
      </w:r>
      <w:r w:rsidRPr="00AF1DC8">
        <w:rPr>
          <w:rFonts w:ascii="Narkisim" w:hAnsi="Narkisim" w:cs="Narkisim"/>
          <w:rtl/>
        </w:rPr>
        <w:t>]</w:t>
      </w:r>
      <w:r w:rsidRPr="00AF1DC8">
        <w:rPr>
          <w:rFonts w:ascii="Narkisim" w:hAnsi="Narkisim" w:cs="Narkisim"/>
        </w:rPr>
        <w:t>.</w:t>
      </w:r>
    </w:p>
    <w:p w14:paraId="7CC239B7" w14:textId="77777777" w:rsidR="006074A5" w:rsidRPr="00AF1DC8" w:rsidRDefault="006074A5" w:rsidP="006074A5">
      <w:pPr>
        <w:pStyle w:val="a8"/>
        <w:bidi/>
        <w:rPr>
          <w:rFonts w:ascii="Narkisim" w:hAnsi="Narkisim"/>
        </w:rPr>
      </w:pPr>
      <w:r w:rsidRPr="00AF1DC8">
        <w:rPr>
          <w:rFonts w:ascii="Narkisim" w:hAnsi="Narkisim"/>
          <w:rtl/>
        </w:rPr>
        <w:lastRenderedPageBreak/>
        <w:t>משא"כ מעוברת דיש עליה זיקה אף ליבום</w:t>
      </w:r>
      <w:r w:rsidRPr="00AF1DC8">
        <w:rPr>
          <w:rStyle w:val="ac"/>
          <w:rFonts w:ascii="Narkisim" w:hAnsi="Narkisim"/>
          <w:rtl/>
        </w:rPr>
        <w:footnoteReference w:id="2178"/>
      </w:r>
      <w:r w:rsidRPr="00AF1DC8">
        <w:rPr>
          <w:rFonts w:ascii="Narkisim" w:hAnsi="Narkisim"/>
        </w:rPr>
        <w:t xml:space="preserve">, </w:t>
      </w:r>
      <w:r w:rsidRPr="00AF1DC8">
        <w:rPr>
          <w:rFonts w:ascii="Narkisim" w:hAnsi="Narkisim"/>
          <w:rtl/>
        </w:rPr>
        <w:t>ומש"ה בעינן שיהא ראוי ליבום בפועל</w:t>
      </w:r>
      <w:r w:rsidRPr="00AF1DC8">
        <w:rPr>
          <w:rStyle w:val="ac"/>
          <w:rFonts w:ascii="Narkisim" w:hAnsi="Narkisim"/>
          <w:rtl/>
        </w:rPr>
        <w:footnoteReference w:id="2179"/>
      </w:r>
      <w:r w:rsidRPr="00AF1DC8">
        <w:rPr>
          <w:rFonts w:ascii="Narkisim" w:hAnsi="Narkisim"/>
        </w:rPr>
        <w:t xml:space="preserve">. </w:t>
      </w: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ביאר דמעוברת נחשב שזקוקה בעתיד ליבום, אלא דהשתא יש חסרון במעשה היבום</w:t>
      </w:r>
      <w:r w:rsidRPr="00AF1DC8">
        <w:rPr>
          <w:rStyle w:val="ac"/>
          <w:rFonts w:ascii="Narkisim" w:hAnsi="Narkisim"/>
          <w:rtl/>
        </w:rPr>
        <w:footnoteReference w:id="2180"/>
      </w:r>
      <w:r w:rsidRPr="00AF1DC8">
        <w:rPr>
          <w:rFonts w:ascii="Narkisim" w:hAnsi="Narkisim"/>
        </w:rPr>
        <w:t xml:space="preserve">. </w:t>
      </w:r>
      <w:r w:rsidRPr="00AF1DC8">
        <w:rPr>
          <w:rFonts w:ascii="Narkisim" w:hAnsi="Narkisim"/>
          <w:rtl/>
        </w:rPr>
        <w:t>ולדברי ה</w:t>
      </w:r>
      <w:r w:rsidRPr="00AF1DC8">
        <w:rPr>
          <w:rFonts w:ascii="Narkisim" w:hAnsi="Narkisim"/>
          <w:b/>
          <w:bCs/>
          <w:rtl/>
        </w:rPr>
        <w:t>אחרונים</w:t>
      </w:r>
      <w:r w:rsidRPr="00AF1DC8">
        <w:rPr>
          <w:rFonts w:ascii="Narkisim" w:hAnsi="Narkisim"/>
          <w:rtl/>
        </w:rPr>
        <w:t xml:space="preserve"> מעוברת זקוקה ליבום, אלא דאינה ראויה לקנין היבום</w:t>
      </w:r>
      <w:r w:rsidRPr="00AF1DC8">
        <w:rPr>
          <w:rFonts w:ascii="Narkisim" w:hAnsi="Narkisim"/>
        </w:rPr>
        <w:t>.</w:t>
      </w:r>
    </w:p>
    <w:p w14:paraId="422D1F36"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(בתחילת המסכת) כת' שנדה לא נחשב ערוה ואין נאסרה. ואח"כ הוסיף להכי מהני חליצתה בעודה נדה, ואע"ג דלאו בת יבום חליצתה חליצה. ולא דמי לחליצת מעוברת, כיון דעומדת לטבול. ומבואר דס"ד דבעודה נדה א"י לחלוץ, כיון דאינה עולה ליבום</w:t>
      </w:r>
      <w:r w:rsidRPr="00AF1DC8">
        <w:rPr>
          <w:rStyle w:val="ac"/>
          <w:rFonts w:ascii="Narkisim" w:hAnsi="Narkisim"/>
          <w:rtl/>
        </w:rPr>
        <w:footnoteReference w:id="2181"/>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ביארו דנדה זקוקה בעתיד אף ליבום, ומש"ה אמרי' דיש חסרון [במעשה החליצה] משום דאינה עולה ליבום, קמ”ל דעומדת ליטהר. [אבל בגדרי פטור משמע ברא"ש דל"מ סברת עומדת ליטהר]</w:t>
      </w:r>
      <w:r w:rsidRPr="00AF1DC8">
        <w:rPr>
          <w:rFonts w:ascii="Narkisim" w:hAnsi="Narkisim"/>
        </w:rPr>
        <w:t>.</w:t>
      </w:r>
    </w:p>
    <w:p w14:paraId="58132CAA" w14:textId="77777777" w:rsidR="006074A5" w:rsidRPr="00AF1DC8" w:rsidRDefault="006074A5" w:rsidP="006074A5">
      <w:pPr>
        <w:bidi/>
        <w:rPr>
          <w:rFonts w:ascii="Narkisim" w:hAnsi="Narkisim" w:cs="Narkisim"/>
        </w:rPr>
      </w:pPr>
      <w:r w:rsidRPr="00AF1DC8">
        <w:rPr>
          <w:rFonts w:ascii="Narkisim" w:hAnsi="Narkisim" w:cs="Narkisim"/>
          <w:rtl/>
        </w:rPr>
        <w:t>אבל ה</w:t>
      </w:r>
      <w:r w:rsidRPr="00AF1DC8">
        <w:rPr>
          <w:rFonts w:ascii="Narkisim" w:hAnsi="Narkisim" w:cs="Narkisim"/>
          <w:b/>
          <w:bCs/>
          <w:rtl/>
        </w:rPr>
        <w:t>רמב"ן</w:t>
      </w:r>
      <w:r w:rsidRPr="00AF1DC8">
        <w:rPr>
          <w:rFonts w:ascii="Narkisim" w:hAnsi="Narkisim" w:cs="Narkisim"/>
          <w:rtl/>
        </w:rPr>
        <w:t xml:space="preserve"> (לה:) כתב דלא דמי לחייבי לאוין ועשה דאם בעלו ל"ק וצריכות חליצה [ואין חסרון דאינו עולה ליבום], דהתם איסור דבר אחר גרם לה ורחמנא רבינהו. אבל הכא כשמעוברת אינה ראויה ליבום, א"כ אשת אח שלא במקום מצוה היא ולחליצה נמי לא חזי. ומשמע דכוונתו דהוה פטור ערוה, ולכן אמרי' דאינו עולןה לחליצה, וה</w:t>
      </w:r>
      <w:r w:rsidRPr="00AF1DC8">
        <w:rPr>
          <w:rFonts w:ascii="Narkisim" w:hAnsi="Narkisim" w:cs="Narkisim"/>
          <w:b/>
          <w:bCs/>
          <w:rtl/>
        </w:rPr>
        <w:t>אחרונים</w:t>
      </w:r>
      <w:r w:rsidRPr="00AF1DC8">
        <w:rPr>
          <w:rFonts w:ascii="Narkisim" w:hAnsi="Narkisim" w:cs="Narkisim"/>
          <w:rtl/>
        </w:rPr>
        <w:t xml:space="preserve"> תמהו דעל הצד דאינו בר קיימא אין איסור אשת אח </w:t>
      </w:r>
      <w:r w:rsidRPr="00AF1DC8">
        <w:rPr>
          <w:rFonts w:ascii="Narkisim" w:hAnsi="Narkisim" w:cs="Narkisim"/>
          <w:sz w:val="20"/>
          <w:szCs w:val="20"/>
          <w:rtl/>
        </w:rPr>
        <w:t>[וכדמבואר במשנה]</w:t>
      </w:r>
      <w:r w:rsidRPr="00AF1DC8">
        <w:rPr>
          <w:rFonts w:ascii="Narkisim" w:hAnsi="Narkisim" w:cs="Narkisim"/>
          <w:rtl/>
        </w:rPr>
        <w:t xml:space="preserve">, ואינה חייבת חטאת. </w:t>
      </w:r>
      <w:r w:rsidRPr="00AF1DC8">
        <w:rPr>
          <w:rFonts w:ascii="Narkisim" w:hAnsi="Narkisim" w:cs="Narkisim"/>
          <w:sz w:val="20"/>
          <w:szCs w:val="20"/>
          <w:rtl/>
        </w:rPr>
        <w:t>וה</w:t>
      </w:r>
      <w:r w:rsidRPr="00AF1DC8">
        <w:rPr>
          <w:rFonts w:ascii="Narkisim" w:hAnsi="Narkisim" w:cs="Narkisim"/>
          <w:b/>
          <w:bCs/>
          <w:sz w:val="20"/>
          <w:szCs w:val="20"/>
          <w:rtl/>
        </w:rPr>
        <w:t>ברכ"ש</w:t>
      </w:r>
      <w:r w:rsidRPr="00AF1DC8">
        <w:rPr>
          <w:rFonts w:ascii="Narkisim" w:hAnsi="Narkisim" w:cs="Narkisim"/>
          <w:sz w:val="20"/>
          <w:szCs w:val="20"/>
          <w:rtl/>
        </w:rPr>
        <w:t xml:space="preserve"> (א ג) ביאר דכוונת הרמב”ן דאף דאין איסור ביאה דאשת אח, מ"מ ילפי' מעיין עליו דהדין ערוה אשת אח מונע תפיסת קנין היבום</w:t>
      </w:r>
      <w:r w:rsidRPr="00AF1DC8">
        <w:rPr>
          <w:rFonts w:ascii="Narkisim" w:hAnsi="Narkisim" w:cs="Narkisim"/>
          <w:sz w:val="20"/>
          <w:szCs w:val="20"/>
        </w:rPr>
        <w:t>.</w:t>
      </w:r>
    </w:p>
    <w:p w14:paraId="72A54B9F"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ה</w:t>
      </w:r>
      <w:r w:rsidRPr="00AF1DC8">
        <w:rPr>
          <w:rFonts w:ascii="Narkisim" w:hAnsi="Narkisim" w:cs="Narkisim"/>
          <w:b/>
          <w:bCs/>
          <w:rtl/>
        </w:rPr>
        <w:t>ריטב"א</w:t>
      </w:r>
      <w:r w:rsidRPr="00AF1DC8">
        <w:rPr>
          <w:rFonts w:ascii="Narkisim" w:hAnsi="Narkisim" w:cs="Narkisim"/>
          <w:rtl/>
        </w:rPr>
        <w:t xml:space="preserve"> כתב דאביי ס"ל דכיון דלבסוף הובררה דראויה לו נחשב עולה ליבום [ואף דלא קנה היבום], ורבא בעי שיהא עומד באותה שעה ממש</w:t>
      </w:r>
      <w:r w:rsidRPr="00AF1DC8">
        <w:rPr>
          <w:rFonts w:ascii="Narkisim" w:hAnsi="Narkisim" w:cs="Narkisim"/>
        </w:rPr>
        <w:t>.</w:t>
      </w:r>
    </w:p>
    <w:p w14:paraId="4A53191C" w14:textId="77777777" w:rsidR="006074A5" w:rsidRPr="00AF1DC8" w:rsidRDefault="006074A5" w:rsidP="006074A5">
      <w:pPr>
        <w:bidi/>
        <w:rPr>
          <w:rFonts w:ascii="Narkisim" w:hAnsi="Narkisim" w:cs="Narkisim"/>
        </w:rPr>
      </w:pPr>
      <w:r w:rsidRPr="00AF1DC8">
        <w:rPr>
          <w:rFonts w:ascii="Narkisim" w:hAnsi="Narkisim" w:cs="Narkisim"/>
          <w:u w:val="single"/>
          <w:rtl/>
        </w:rPr>
        <w:t>והולד אינו פוטר עד שיצא לאויר העולם.</w:t>
      </w:r>
      <w:r w:rsidRPr="00AF1DC8">
        <w:rPr>
          <w:rFonts w:ascii="Narkisim" w:hAnsi="Narkisim" w:cs="Narkisim"/>
          <w:rtl/>
        </w:rPr>
        <w:t xml:space="preserve"> וקודם שיצא לאויר העולם יש לה דין שומרת יבם. וב</w:t>
      </w:r>
      <w:r w:rsidRPr="00AF1DC8">
        <w:rPr>
          <w:rFonts w:ascii="Narkisim" w:hAnsi="Narkisim" w:cs="Narkisim"/>
          <w:b/>
          <w:bCs/>
          <w:rtl/>
        </w:rPr>
        <w:t>חי' ר' שמעון</w:t>
      </w:r>
      <w:r w:rsidRPr="00AF1DC8">
        <w:rPr>
          <w:rFonts w:ascii="Narkisim" w:hAnsi="Narkisim" w:cs="Narkisim"/>
          <w:rtl/>
        </w:rPr>
        <w:t xml:space="preserve"> </w:t>
      </w:r>
      <w:r w:rsidRPr="00AF1DC8">
        <w:rPr>
          <w:rFonts w:ascii="Narkisim" w:hAnsi="Narkisim" w:cs="Narkisim"/>
          <w:sz w:val="20"/>
          <w:szCs w:val="20"/>
          <w:rtl/>
        </w:rPr>
        <w:t xml:space="preserve">(לב) </w:t>
      </w:r>
      <w:r w:rsidRPr="00AF1DC8">
        <w:rPr>
          <w:rFonts w:ascii="Narkisim" w:hAnsi="Narkisim" w:cs="Narkisim"/>
          <w:rtl/>
        </w:rPr>
        <w:t xml:space="preserve">הק' לאיזה דבר היא זקוקה, הרי מעוברת שתלד אינה זקוקה ליבום. והוכיח דאיסור יבמה לשוק הוה מגזיה"כ </w:t>
      </w:r>
      <w:r w:rsidRPr="00AF1DC8">
        <w:rPr>
          <w:rFonts w:ascii="Narkisim" w:hAnsi="Narkisim" w:cs="Narkisim"/>
          <w:sz w:val="20"/>
          <w:szCs w:val="20"/>
          <w:rtl/>
        </w:rPr>
        <w:t>[מחמת סיבה שאינה ידועה לנו]</w:t>
      </w:r>
      <w:r w:rsidRPr="00AF1DC8">
        <w:rPr>
          <w:rFonts w:ascii="Narkisim" w:hAnsi="Narkisim" w:cs="Narkisim"/>
          <w:rtl/>
        </w:rPr>
        <w:t>, ולא מחמת שזקוקה לחליצה. והק' דיבמה שאינה ראויה לדיני יבום וחליצה פטורה, ותי' דהכא אית לה דין דהולד יפטור אותה, דהו' בכלל היתר יבמה. אבל ה</w:t>
      </w:r>
      <w:r w:rsidRPr="00AF1DC8">
        <w:rPr>
          <w:rFonts w:ascii="Narkisim" w:hAnsi="Narkisim" w:cs="Narkisim"/>
          <w:b/>
          <w:bCs/>
          <w:rtl/>
        </w:rPr>
        <w:t>אבה"א</w:t>
      </w:r>
      <w:r w:rsidRPr="00AF1DC8">
        <w:rPr>
          <w:rFonts w:ascii="Narkisim" w:hAnsi="Narkisim" w:cs="Narkisim"/>
          <w:rtl/>
        </w:rPr>
        <w:t xml:space="preserve"> (</w:t>
      </w:r>
      <w:r w:rsidRPr="00AF1DC8">
        <w:rPr>
          <w:rFonts w:ascii="Narkisim" w:hAnsi="Narkisim" w:cs="Narkisim"/>
          <w:sz w:val="20"/>
          <w:szCs w:val="20"/>
          <w:rtl/>
        </w:rPr>
        <w:t>מכתב סו"ס נשים)</w:t>
      </w:r>
      <w:r w:rsidRPr="00AF1DC8">
        <w:rPr>
          <w:rFonts w:ascii="Narkisim" w:hAnsi="Narkisim" w:cs="Narkisim"/>
          <w:rtl/>
        </w:rPr>
        <w:t xml:space="preserve"> כתב דזקוקה שמא הולד לא יהא בן קיימא, וילפי' מעין עליו</w:t>
      </w:r>
      <w:r w:rsidRPr="00AF1DC8">
        <w:rPr>
          <w:rStyle w:val="ac"/>
          <w:rFonts w:ascii="Narkisim" w:hAnsi="Narkisim" w:cs="Narkisim"/>
          <w:rtl/>
        </w:rPr>
        <w:footnoteReference w:id="2182"/>
      </w:r>
      <w:r w:rsidRPr="00AF1DC8">
        <w:rPr>
          <w:rFonts w:ascii="Narkisim" w:hAnsi="Narkisim" w:cs="Narkisim"/>
        </w:rPr>
        <w:t xml:space="preserve"> </w:t>
      </w:r>
      <w:r w:rsidRPr="00AF1DC8">
        <w:rPr>
          <w:rFonts w:ascii="Narkisim" w:hAnsi="Narkisim" w:cs="Narkisim"/>
          <w:rtl/>
        </w:rPr>
        <w:t>דזקוקה בתורת ודאי</w:t>
      </w:r>
      <w:r w:rsidRPr="00AF1DC8">
        <w:rPr>
          <w:rFonts w:ascii="Narkisim" w:hAnsi="Narkisim" w:cs="Narkisim"/>
        </w:rPr>
        <w:t>.</w:t>
      </w:r>
    </w:p>
    <w:p w14:paraId="70F714DF"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גר"ח</w:t>
      </w:r>
      <w:r w:rsidRPr="00AF1DC8">
        <w:rPr>
          <w:rFonts w:ascii="Narkisim" w:hAnsi="Narkisim" w:cs="Narkisim"/>
          <w:rtl/>
        </w:rPr>
        <w:t xml:space="preserve"> (סטנסל) הקשה דמ"מ אינה נופלת ליבום [וכדמוכח בסוגיין], וא"כ קיימא באיסור אשת אח. ונימא דתפטר מיבום וחליצה מחמת ערות אשת אח. וה</w:t>
      </w:r>
      <w:r w:rsidRPr="00AF1DC8">
        <w:rPr>
          <w:rFonts w:ascii="Narkisim" w:hAnsi="Narkisim" w:cs="Narkisim"/>
          <w:b/>
          <w:bCs/>
          <w:rtl/>
        </w:rPr>
        <w:t>גר"ח</w:t>
      </w:r>
      <w:r w:rsidRPr="00AF1DC8">
        <w:rPr>
          <w:rFonts w:ascii="Narkisim" w:hAnsi="Narkisim" w:cs="Narkisim"/>
          <w:rtl/>
        </w:rPr>
        <w:t xml:space="preserve"> למד מזה דאשת אח דנפילה זו אינה פוטרת </w:t>
      </w:r>
      <w:r w:rsidRPr="00AF1DC8">
        <w:rPr>
          <w:rFonts w:ascii="Narkisim" w:hAnsi="Narkisim" w:cs="Narkisim"/>
          <w:sz w:val="20"/>
          <w:szCs w:val="20"/>
          <w:rtl/>
        </w:rPr>
        <w:t>[וע' מה שהו' בזה לעיל ב. יב, לב.]</w:t>
      </w:r>
      <w:r w:rsidRPr="00AF1DC8">
        <w:rPr>
          <w:rFonts w:ascii="Narkisim" w:hAnsi="Narkisim" w:cs="Narkisim"/>
          <w:rtl/>
        </w:rPr>
        <w:t>, והאיסור אשת אח אינה גורם פטור. וה</w:t>
      </w:r>
      <w:r w:rsidRPr="00AF1DC8">
        <w:rPr>
          <w:rFonts w:ascii="Narkisim" w:hAnsi="Narkisim" w:cs="Narkisim"/>
          <w:b/>
          <w:bCs/>
          <w:rtl/>
        </w:rPr>
        <w:t>אמר"מ</w:t>
      </w:r>
      <w:r w:rsidRPr="00AF1DC8">
        <w:rPr>
          <w:rFonts w:ascii="Narkisim" w:hAnsi="Narkisim" w:cs="Narkisim"/>
          <w:rtl/>
        </w:rPr>
        <w:t xml:space="preserve"> (ז א) דחה דקודם לידת הולד זקוקה ליבום, ואין איסור אשת אח. אלא דבשעת לידה נעקר למפרע, וחל איסור אשת אח</w:t>
      </w:r>
      <w:r w:rsidRPr="00AF1DC8">
        <w:rPr>
          <w:rStyle w:val="ac"/>
          <w:rFonts w:ascii="Narkisim" w:hAnsi="Narkisim" w:cs="Narkisim"/>
          <w:rtl/>
        </w:rPr>
        <w:footnoteReference w:id="2183"/>
      </w:r>
      <w:r w:rsidRPr="00AF1DC8">
        <w:rPr>
          <w:rFonts w:ascii="Narkisim" w:hAnsi="Narkisim" w:cs="Narkisim"/>
        </w:rPr>
        <w:t xml:space="preserve"> </w:t>
      </w:r>
      <w:r w:rsidRPr="00AF1DC8">
        <w:rPr>
          <w:rFonts w:ascii="Narkisim" w:hAnsi="Narkisim" w:cs="Narkisim"/>
          <w:rtl/>
        </w:rPr>
        <w:t>(וכ"כ בשער"י ז יח). וה</w:t>
      </w:r>
      <w:r w:rsidRPr="00AF1DC8">
        <w:rPr>
          <w:rFonts w:ascii="Narkisim" w:hAnsi="Narkisim" w:cs="Narkisim"/>
          <w:b/>
          <w:bCs/>
          <w:rtl/>
        </w:rPr>
        <w:t>קה"י</w:t>
      </w:r>
      <w:r w:rsidRPr="00AF1DC8">
        <w:rPr>
          <w:rFonts w:ascii="Narkisim" w:hAnsi="Narkisim" w:cs="Narkisim"/>
          <w:rtl/>
        </w:rPr>
        <w:t xml:space="preserve"> (ו ו, וכן האבה"א שם) כתב דזקוקה מחמת הצד דהולד בן קיימא, ויש גזיה"כ שיתברר הפטור</w:t>
      </w:r>
      <w:r w:rsidRPr="00AF1DC8">
        <w:rPr>
          <w:rFonts w:ascii="Narkisim" w:hAnsi="Narkisim" w:cs="Narkisim"/>
        </w:rPr>
        <w:t>.</w:t>
      </w:r>
    </w:p>
    <w:p w14:paraId="51E896B6" w14:textId="77777777" w:rsidR="006074A5" w:rsidRPr="00AF1DC8" w:rsidRDefault="006074A5" w:rsidP="006074A5">
      <w:pPr>
        <w:pStyle w:val="aa"/>
        <w:bidi/>
        <w:rPr>
          <w:rFonts w:ascii="Narkisim" w:hAnsi="Narkisim"/>
        </w:rPr>
      </w:pPr>
      <w:r w:rsidRPr="00AF1DC8">
        <w:rPr>
          <w:rFonts w:ascii="Narkisim" w:hAnsi="Narkisim"/>
          <w:u w:val="single"/>
          <w:rtl/>
        </w:rPr>
        <w:t>בשלמא תחלוץ בתוך ט' וכו</w:t>
      </w:r>
      <w:r w:rsidRPr="00AF1DC8">
        <w:rPr>
          <w:rFonts w:ascii="Narkisim" w:hAnsi="Narkisim"/>
          <w:rtl/>
        </w:rPr>
        <w:t>'. [דלא ידעינן אי ילדה במקומה]. וי"ג בתוך ג'. ו</w:t>
      </w:r>
      <w:r w:rsidRPr="00AF1DC8">
        <w:rPr>
          <w:rFonts w:ascii="Narkisim" w:hAnsi="Narkisim"/>
          <w:b/>
          <w:bCs/>
          <w:rtl/>
        </w:rPr>
        <w:t>רש"י</w:t>
      </w:r>
      <w:r w:rsidRPr="00AF1DC8">
        <w:rPr>
          <w:rFonts w:ascii="Narkisim" w:hAnsi="Narkisim"/>
          <w:rtl/>
        </w:rPr>
        <w:t xml:space="preserve"> ו</w:t>
      </w:r>
      <w:r w:rsidRPr="00AF1DC8">
        <w:rPr>
          <w:rFonts w:ascii="Narkisim" w:hAnsi="Narkisim"/>
          <w:b/>
          <w:bCs/>
          <w:rtl/>
        </w:rPr>
        <w:t>תוס</w:t>
      </w:r>
      <w:r w:rsidRPr="00AF1DC8">
        <w:rPr>
          <w:rFonts w:ascii="Narkisim" w:hAnsi="Narkisim"/>
          <w:rtl/>
        </w:rPr>
        <w:t>' דחו גירסא זו. וב</w:t>
      </w:r>
      <w:r w:rsidRPr="00AF1DC8">
        <w:rPr>
          <w:rFonts w:ascii="Narkisim" w:hAnsi="Narkisim"/>
          <w:b/>
          <w:bCs/>
          <w:rtl/>
        </w:rPr>
        <w:t>שו"ת מהר"ח או"ז</w:t>
      </w:r>
      <w:r w:rsidRPr="00AF1DC8">
        <w:rPr>
          <w:rFonts w:ascii="Narkisim" w:hAnsi="Narkisim"/>
          <w:rtl/>
        </w:rPr>
        <w:t xml:space="preserve"> (קסד) ציין דחידש ישוב לגירסא זו. וכת' דאינה כתובה אצלו. [וחבל על דאבדין]. וע' הג' ראמ”ה</w:t>
      </w:r>
      <w:r w:rsidRPr="00AF1DC8">
        <w:rPr>
          <w:rFonts w:ascii="Narkisim" w:hAnsi="Narkisim"/>
        </w:rPr>
        <w:t>.</w:t>
      </w:r>
    </w:p>
    <w:p w14:paraId="62EAACF1" w14:textId="77777777" w:rsidR="006074A5" w:rsidRPr="00AF1DC8" w:rsidRDefault="006074A5" w:rsidP="006074A5">
      <w:pPr>
        <w:bidi/>
        <w:rPr>
          <w:rFonts w:ascii="Narkisim" w:hAnsi="Narkisim" w:cs="Narkisim"/>
        </w:rPr>
      </w:pPr>
      <w:r w:rsidRPr="00AF1DC8">
        <w:rPr>
          <w:rFonts w:ascii="Narkisim" w:hAnsi="Narkisim" w:cs="Narkisim"/>
          <w:u w:val="single"/>
          <w:rtl/>
        </w:rPr>
        <w:t>נמצא אתה מצריכה כרוז לכהונה.</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sz w:val="20"/>
          <w:szCs w:val="20"/>
          <w:rtl/>
        </w:rPr>
        <w:t xml:space="preserve"> (לה:) </w:t>
      </w:r>
      <w:r w:rsidRPr="00AF1DC8">
        <w:rPr>
          <w:rFonts w:ascii="Narkisim" w:hAnsi="Narkisim" w:cs="Narkisim"/>
          <w:rtl/>
        </w:rPr>
        <w:t>הקשה א"כ אף החולץ למעוברת וילדה תאסר לכהונה מטעם זה. ותי' כיון דאיכא ולד דמוכח סמכי אהכרזה</w:t>
      </w:r>
      <w:r w:rsidRPr="00AF1DC8">
        <w:rPr>
          <w:rStyle w:val="ac"/>
          <w:rFonts w:ascii="Narkisim" w:hAnsi="Narkisim" w:cs="Narkisim"/>
          <w:rtl/>
        </w:rPr>
        <w:footnoteReference w:id="2184"/>
      </w:r>
      <w:r w:rsidRPr="00AF1DC8">
        <w:rPr>
          <w:rFonts w:ascii="Narkisim" w:hAnsi="Narkisim" w:cs="Narkisim"/>
        </w:rPr>
        <w:t xml:space="preserve">. </w:t>
      </w:r>
      <w:r w:rsidRPr="00AF1DC8">
        <w:rPr>
          <w:rFonts w:ascii="Narkisim" w:hAnsi="Narkisim" w:cs="Narkisim"/>
          <w:rtl/>
        </w:rPr>
        <w:t xml:space="preserve">אבל החולץ למעוברת והפילה, לר"ל אף דלא הוי חליצה החמירו רבנן לפוסלה לכהונה משום קול </w:t>
      </w:r>
      <w:r w:rsidRPr="00AF1DC8">
        <w:rPr>
          <w:rFonts w:ascii="Narkisim" w:hAnsi="Narkisim" w:cs="Narkisim"/>
          <w:sz w:val="20"/>
          <w:szCs w:val="20"/>
          <w:rtl/>
        </w:rPr>
        <w:t>[וכתי' הגמ' לה:</w:t>
      </w:r>
      <w:r w:rsidRPr="00AF1DC8">
        <w:rPr>
          <w:rFonts w:ascii="Narkisim" w:hAnsi="Narkisim" w:cs="Narkisim"/>
          <w:rtl/>
        </w:rPr>
        <w:t>], דליכא ולד דמוכח. וה"נ ולד צרתה במדינת הים אינו לפנינו להוכיח</w:t>
      </w:r>
      <w:r w:rsidRPr="00AF1DC8">
        <w:rPr>
          <w:rFonts w:ascii="Narkisim" w:hAnsi="Narkisim" w:cs="Narkisim"/>
        </w:rPr>
        <w:t>.</w:t>
      </w:r>
    </w:p>
    <w:p w14:paraId="5FF977C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הקשה וא"ת אמאי מעגנינן לה, תחלוץ ותנשא ותאסר לכהונה. וי"ל דחייש' שמא לא תעמוד באיסורא, כיון דיודעת שמותרת. ועי"ז יתירו חלוצה לכהנים</w:t>
      </w:r>
      <w:r w:rsidRPr="00AF1DC8">
        <w:rPr>
          <w:rFonts w:ascii="Narkisim" w:hAnsi="Narkisim"/>
        </w:rPr>
        <w:t>.</w:t>
      </w:r>
    </w:p>
    <w:p w14:paraId="00762D60"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xml:space="preserve"> </w:t>
      </w:r>
      <w:r w:rsidRPr="00AF1DC8">
        <w:rPr>
          <w:rFonts w:ascii="Narkisim" w:hAnsi="Narkisim"/>
          <w:b/>
          <w:bCs/>
          <w:rtl/>
        </w:rPr>
        <w:t>רבינו</w:t>
      </w:r>
      <w:r w:rsidRPr="00AF1DC8">
        <w:rPr>
          <w:rFonts w:ascii="Narkisim" w:hAnsi="Narkisim"/>
          <w:rtl/>
        </w:rPr>
        <w:t xml:space="preserve"> </w:t>
      </w:r>
      <w:r w:rsidRPr="00AF1DC8">
        <w:rPr>
          <w:rFonts w:ascii="Narkisim" w:hAnsi="Narkisim"/>
          <w:b/>
          <w:bCs/>
          <w:rtl/>
        </w:rPr>
        <w:t>ירוחם</w:t>
      </w:r>
      <w:r w:rsidRPr="00AF1DC8">
        <w:rPr>
          <w:rFonts w:ascii="Narkisim" w:hAnsi="Narkisim"/>
          <w:rtl/>
        </w:rPr>
        <w:t xml:space="preserve"> (ת"א נתיב כה א, רטז. מדה"ס הו' בב"י קנו, וציינו </w:t>
      </w:r>
      <w:r w:rsidRPr="00AF1DC8">
        <w:rPr>
          <w:rFonts w:ascii="Narkisim" w:hAnsi="Narkisim"/>
          <w:b/>
          <w:bCs/>
          <w:rtl/>
        </w:rPr>
        <w:t>רע"א</w:t>
      </w:r>
      <w:r w:rsidRPr="00AF1DC8">
        <w:rPr>
          <w:rFonts w:ascii="Narkisim" w:hAnsi="Narkisim"/>
          <w:rtl/>
        </w:rPr>
        <w:t>)</w:t>
      </w:r>
      <w:r w:rsidRPr="00AF1DC8">
        <w:rPr>
          <w:rFonts w:ascii="Narkisim" w:hAnsi="Narkisim"/>
          <w:b/>
          <w:bCs/>
          <w:rtl/>
        </w:rPr>
        <w:t xml:space="preserve"> </w:t>
      </w:r>
      <w:r w:rsidRPr="00AF1DC8">
        <w:rPr>
          <w:rFonts w:ascii="Narkisim" w:hAnsi="Narkisim"/>
          <w:rtl/>
        </w:rPr>
        <w:t xml:space="preserve">הביא דהר"ש נסתפק האם יש </w:t>
      </w:r>
      <w:r w:rsidRPr="00AF1DC8">
        <w:rPr>
          <w:rFonts w:ascii="Narkisim" w:hAnsi="Narkisim"/>
          <w:rtl/>
        </w:rPr>
        <w:lastRenderedPageBreak/>
        <w:t>תקנה שיכולה לידור ע"ד רבים שלא תנשא לכהן. ועי"ז אי"צ כרוז</w:t>
      </w:r>
      <w:r w:rsidRPr="00AF1DC8">
        <w:rPr>
          <w:rStyle w:val="ac"/>
          <w:rFonts w:ascii="Narkisim" w:hAnsi="Narkisim"/>
          <w:rtl/>
        </w:rPr>
        <w:footnoteReference w:id="2185"/>
      </w:r>
      <w:r w:rsidRPr="00AF1DC8">
        <w:rPr>
          <w:rFonts w:ascii="Narkisim" w:hAnsi="Narkisim"/>
        </w:rPr>
        <w:t>.</w:t>
      </w:r>
    </w:p>
    <w:p w14:paraId="50B761F0" w14:textId="77777777" w:rsidR="006074A5" w:rsidRPr="00AF1DC8" w:rsidRDefault="006074A5" w:rsidP="006074A5">
      <w:pPr>
        <w:pStyle w:val="aa"/>
        <w:bidi/>
        <w:rPr>
          <w:rFonts w:ascii="Narkisim" w:hAnsi="Narkisim"/>
        </w:rPr>
      </w:pPr>
      <w:r w:rsidRPr="00AF1DC8">
        <w:rPr>
          <w:rFonts w:ascii="Narkisim" w:hAnsi="Narkisim"/>
          <w:u w:val="single"/>
          <w:rtl/>
        </w:rPr>
        <w:t>תוד"ה הלכתא כר"ל.</w:t>
      </w:r>
      <w:r w:rsidRPr="00AF1DC8">
        <w:rPr>
          <w:rFonts w:ascii="Narkisim" w:hAnsi="Narkisim"/>
          <w:rtl/>
        </w:rPr>
        <w:t xml:space="preserve"> הא דפליגי וכו' לא חשיב הכא. וכן </w:t>
      </w:r>
      <w:r w:rsidRPr="00AF1DC8">
        <w:rPr>
          <w:rFonts w:ascii="Narkisim" w:hAnsi="Narkisim"/>
          <w:b/>
          <w:bCs/>
          <w:rtl/>
        </w:rPr>
        <w:t>תוס</w:t>
      </w:r>
      <w:r w:rsidRPr="00AF1DC8">
        <w:rPr>
          <w:rFonts w:ascii="Narkisim" w:hAnsi="Narkisim"/>
          <w:rtl/>
        </w:rPr>
        <w:t>' (בכ"מ) נקטו דהוה כלל דרבא לא ס”ל כר”ל מלבד הנך ג'. אבל ה</w:t>
      </w:r>
      <w:r w:rsidRPr="00AF1DC8">
        <w:rPr>
          <w:rFonts w:ascii="Narkisim" w:hAnsi="Narkisim"/>
          <w:b/>
          <w:bCs/>
          <w:rtl/>
        </w:rPr>
        <w:t>ריטב”א</w:t>
      </w:r>
      <w:r w:rsidRPr="00AF1DC8">
        <w:rPr>
          <w:rFonts w:ascii="Narkisim" w:hAnsi="Narkisim"/>
          <w:rtl/>
        </w:rPr>
        <w:t xml:space="preserve"> כתב דהוה כשאר כללי הש”ס, דאמרי' הכי מלבד היכא דהסוגיא מוכח לא כן</w:t>
      </w:r>
      <w:r w:rsidRPr="00AF1DC8">
        <w:rPr>
          <w:rFonts w:ascii="Narkisim" w:hAnsi="Narkisim"/>
        </w:rPr>
        <w:t>.</w:t>
      </w:r>
    </w:p>
    <w:p w14:paraId="26351885" w14:textId="77777777" w:rsidR="006074A5" w:rsidRPr="00AF1DC8" w:rsidRDefault="006074A5" w:rsidP="006074A5">
      <w:pPr>
        <w:pStyle w:val="aa"/>
        <w:bidi/>
        <w:rPr>
          <w:rFonts w:ascii="Narkisim" w:hAnsi="Narkisim"/>
        </w:rPr>
      </w:pPr>
      <w:r w:rsidRPr="00AF1DC8">
        <w:rPr>
          <w:rFonts w:ascii="Narkisim" w:hAnsi="Narkisim"/>
          <w:u w:val="single"/>
          <w:rtl/>
        </w:rPr>
        <w:t>תוד"ה משום ירושה.</w:t>
      </w:r>
      <w:r w:rsidRPr="00AF1DC8">
        <w:rPr>
          <w:rFonts w:ascii="Narkisim" w:hAnsi="Narkisim"/>
          <w:rtl/>
        </w:rPr>
        <w:t xml:space="preserve"> איצטריך משום דהורע כחו שאינו נוטל בראוי כו'. (וכ"כ תוס' ב"ב קל:). דמסברא חלק בכורה הוה זכות גרוע, ומש"ה יהא רשאי לשנות. [ויל"פ דהוה גדר נתינה, ותלאו הכתוב בנתינה דאב]</w:t>
      </w:r>
      <w:r w:rsidRPr="00AF1DC8">
        <w:rPr>
          <w:rFonts w:ascii="Narkisim" w:hAnsi="Narkisim"/>
        </w:rPr>
        <w:t>.</w:t>
      </w:r>
    </w:p>
    <w:p w14:paraId="5DFA6D92" w14:textId="77777777" w:rsidR="006074A5" w:rsidRPr="00AF1DC8" w:rsidRDefault="006074A5" w:rsidP="006074A5">
      <w:pPr>
        <w:pStyle w:val="3"/>
        <w:bidi/>
        <w:rPr>
          <w:rFonts w:ascii="Narkisim" w:hAnsi="Narkisim"/>
        </w:rPr>
      </w:pPr>
      <w:r w:rsidRPr="00AF1DC8">
        <w:rPr>
          <w:rFonts w:ascii="Narkisim" w:hAnsi="Narkisim"/>
          <w:rtl/>
        </w:rPr>
        <w:t>דף לו</w:t>
      </w:r>
      <w:r w:rsidRPr="00AF1DC8">
        <w:rPr>
          <w:rFonts w:ascii="Narkisim" w:hAnsi="Narkisim"/>
        </w:rPr>
        <w:t>:</w:t>
      </w:r>
    </w:p>
    <w:p w14:paraId="6B4A7046" w14:textId="77777777" w:rsidR="006074A5" w:rsidRPr="00AF1DC8" w:rsidRDefault="006074A5" w:rsidP="006074A5">
      <w:pPr>
        <w:pStyle w:val="aa"/>
        <w:bidi/>
        <w:rPr>
          <w:rFonts w:ascii="Narkisim" w:hAnsi="Narkisim"/>
        </w:rPr>
      </w:pPr>
      <w:r w:rsidRPr="00AF1DC8">
        <w:rPr>
          <w:rFonts w:ascii="Narkisim" w:hAnsi="Narkisim"/>
          <w:u w:val="single"/>
          <w:rtl/>
        </w:rPr>
        <w:t>ואמר ר"ל לעולם ל"ק וכו' שנתתים להם במתנה וירשום וכו'</w:t>
      </w:r>
      <w:r w:rsidRPr="00AF1DC8">
        <w:rPr>
          <w:rFonts w:ascii="Narkisim" w:hAnsi="Narkisim"/>
          <w:rtl/>
        </w:rPr>
        <w:t>. דבין ב' שדות או ב' בני אדם ל"מ לשון מתנה על א' מהם לאידך, אא"כ אמר לשון מתנה הכולל לתרוייהו. אך בגמ' (ב"ב שם) אי' דאף לדעת ר"ל היכא דהוה תוכ"ד מהני</w:t>
      </w:r>
      <w:r w:rsidRPr="00AF1DC8">
        <w:rPr>
          <w:rFonts w:ascii="Narkisim" w:hAnsi="Narkisim"/>
        </w:rPr>
        <w:t>.</w:t>
      </w:r>
    </w:p>
    <w:p w14:paraId="21C21F66" w14:textId="77777777" w:rsidR="006074A5" w:rsidRPr="00AF1DC8" w:rsidRDefault="006074A5" w:rsidP="006074A5">
      <w:pPr>
        <w:pStyle w:val="aa"/>
        <w:bidi/>
        <w:rPr>
          <w:rFonts w:ascii="Narkisim" w:hAnsi="Narkisim"/>
        </w:rPr>
      </w:pPr>
      <w:r w:rsidRPr="00AF1DC8">
        <w:rPr>
          <w:rFonts w:ascii="Narkisim" w:hAnsi="Narkisim"/>
          <w:u w:val="single"/>
          <w:rtl/>
        </w:rPr>
        <w:t>ואידך דתנן הכותב כל נכסיו לבנו לאחר מותו וכו</w:t>
      </w:r>
      <w:r w:rsidRPr="00AF1DC8">
        <w:rPr>
          <w:rFonts w:ascii="Narkisim" w:hAnsi="Narkisim"/>
          <w:rtl/>
        </w:rPr>
        <w:t>'. פ</w:t>
      </w:r>
      <w:r w:rsidRPr="00AF1DC8">
        <w:rPr>
          <w:rFonts w:ascii="Narkisim" w:hAnsi="Narkisim"/>
          <w:b/>
          <w:bCs/>
          <w:rtl/>
        </w:rPr>
        <w:t>רש"י</w:t>
      </w:r>
      <w:r w:rsidRPr="00AF1DC8">
        <w:rPr>
          <w:rFonts w:ascii="Narkisim" w:hAnsi="Narkisim"/>
          <w:rtl/>
        </w:rPr>
        <w:t xml:space="preserve"> שכתב מהיום ולאחר מיתה. דהקנה גוף הקרקע לבנו מהיום, ושייר לעצמו פירות עד שעת מיתה</w:t>
      </w:r>
      <w:r w:rsidRPr="00AF1DC8">
        <w:rPr>
          <w:rFonts w:ascii="Narkisim" w:hAnsi="Narkisim"/>
        </w:rPr>
        <w:t>.</w:t>
      </w:r>
    </w:p>
    <w:p w14:paraId="2F3B4A2C" w14:textId="77777777" w:rsidR="006074A5" w:rsidRPr="00AF1DC8" w:rsidRDefault="006074A5" w:rsidP="006074A5">
      <w:pPr>
        <w:pStyle w:val="aa"/>
        <w:bidi/>
        <w:rPr>
          <w:rFonts w:ascii="Narkisim" w:hAnsi="Narkisim"/>
        </w:rPr>
      </w:pPr>
      <w:r w:rsidRPr="00AF1DC8">
        <w:rPr>
          <w:rFonts w:ascii="Narkisim" w:hAnsi="Narkisim"/>
          <w:u w:val="single"/>
          <w:rtl/>
        </w:rPr>
        <w:t>ר' יוחנן אמר ל"ק לוקח ק"פ כקה"ג דמי.</w:t>
      </w:r>
      <w:r w:rsidRPr="00AF1DC8">
        <w:rPr>
          <w:rFonts w:ascii="Narkisim" w:hAnsi="Narkisim"/>
          <w:rtl/>
        </w:rPr>
        <w:t xml:space="preserve"> דכיון דיש לאב קנין פירות, עי"ז אין מכירת הבן מכירה</w:t>
      </w:r>
      <w:r w:rsidRPr="00AF1DC8">
        <w:rPr>
          <w:rStyle w:val="ac"/>
          <w:rFonts w:ascii="Narkisim" w:hAnsi="Narkisim"/>
          <w:rtl/>
        </w:rPr>
        <w:footnoteReference w:id="2186"/>
      </w:r>
      <w:r w:rsidRPr="00AF1DC8">
        <w:rPr>
          <w:rFonts w:ascii="Narkisim" w:hAnsi="Narkisim"/>
        </w:rPr>
        <w:t xml:space="preserve">. </w:t>
      </w:r>
      <w:r w:rsidRPr="00AF1DC8">
        <w:rPr>
          <w:rFonts w:ascii="Narkisim" w:hAnsi="Narkisim"/>
          <w:rtl/>
        </w:rPr>
        <w:t>וצ"ב דעכ"פ הגוף שלו, ואמאי לא יוכל למוכרו. וכה”ק הראשונים (ע' ר"י מגאש, רשב"א ב”ב קלו:). ותי' דקנין הפירות מעכב שלא יוכל למכור. [וע' היטב בדבריהם]</w:t>
      </w:r>
      <w:r w:rsidRPr="00AF1DC8">
        <w:rPr>
          <w:rStyle w:val="ac"/>
          <w:rFonts w:ascii="Narkisim" w:hAnsi="Narkisim"/>
          <w:rtl/>
        </w:rPr>
        <w:footnoteReference w:id="2187"/>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ביארו דהקנין פירות [למ"ד כקה”ג] מהני שיחשב כאינו ברשותו</w:t>
      </w:r>
      <w:r w:rsidRPr="00AF1DC8">
        <w:rPr>
          <w:rFonts w:ascii="Narkisim" w:hAnsi="Narkisim"/>
        </w:rPr>
        <w:t>.</w:t>
      </w:r>
    </w:p>
    <w:p w14:paraId="109943B8" w14:textId="77777777" w:rsidR="006074A5" w:rsidRPr="00AF1DC8" w:rsidRDefault="006074A5" w:rsidP="006074A5">
      <w:pPr>
        <w:pStyle w:val="aa"/>
        <w:bidi/>
        <w:rPr>
          <w:rFonts w:ascii="Narkisim" w:hAnsi="Narkisim"/>
        </w:rPr>
      </w:pPr>
      <w:r w:rsidRPr="00AF1DC8">
        <w:rPr>
          <w:rFonts w:ascii="Narkisim" w:hAnsi="Narkisim"/>
          <w:u w:val="single"/>
          <w:rtl/>
        </w:rPr>
        <w:t>ור"ל אמר קנה לוקח, קנין פירות לאו כקה"ג דמי</w:t>
      </w:r>
      <w:r w:rsidRPr="00AF1DC8">
        <w:rPr>
          <w:rFonts w:ascii="Narkisim" w:hAnsi="Narkisim"/>
          <w:rtl/>
        </w:rPr>
        <w:t>. והגמ' (ב"ב קלו:) עושה צריכותא למח' ר' יוחנן ור"ל דמוכר שדיהו לפירות, האם מתחייב בביכורים. ו</w:t>
      </w:r>
      <w:r w:rsidRPr="00AF1DC8">
        <w:rPr>
          <w:rFonts w:ascii="Narkisim" w:hAnsi="Narkisim"/>
          <w:b/>
          <w:bCs/>
          <w:rtl/>
        </w:rPr>
        <w:t>תוס'</w:t>
      </w:r>
      <w:r w:rsidRPr="00AF1DC8">
        <w:rPr>
          <w:rFonts w:ascii="Narkisim" w:hAnsi="Narkisim"/>
          <w:rtl/>
        </w:rPr>
        <w:t xml:space="preserve"> (גיטין מח. וכ"מ) הביאו מהכא דרבא [דפסק כר' יוחנן] ס"ל דקנין פירות לאו כקה"ג. ודנו לדחות בכמה אופנים</w:t>
      </w:r>
      <w:r w:rsidRPr="00AF1DC8">
        <w:rPr>
          <w:rFonts w:ascii="Narkisim" w:hAnsi="Narkisim"/>
        </w:rPr>
        <w:t>.</w:t>
      </w:r>
    </w:p>
    <w:p w14:paraId="62C79321" w14:textId="77777777" w:rsidR="006074A5" w:rsidRPr="00AF1DC8" w:rsidRDefault="006074A5" w:rsidP="006074A5">
      <w:pPr>
        <w:pStyle w:val="aa"/>
        <w:bidi/>
        <w:rPr>
          <w:rFonts w:ascii="Narkisim" w:hAnsi="Narkisim"/>
        </w:rPr>
      </w:pPr>
      <w:r w:rsidRPr="00AF1DC8">
        <w:rPr>
          <w:rFonts w:ascii="Narkisim" w:hAnsi="Narkisim"/>
          <w:u w:val="single"/>
          <w:rtl/>
        </w:rPr>
        <w:t>תוד"ה ורבי יוחנן</w:t>
      </w:r>
      <w:r w:rsidRPr="00AF1DC8">
        <w:rPr>
          <w:rFonts w:ascii="Narkisim" w:hAnsi="Narkisim"/>
          <w:rtl/>
        </w:rPr>
        <w:t>. וא”ת לר' יוחנן אפי' לא מת הבן וכו' וי”ל דלגבי הכי לא אלים קנין פירות לבטל לגמרי קנין הגוף דבן. ועד"ז כת' רש"י דכשמת האב נתקיימה המתנה, ומה מכר ראשון לשני. וצ”ב. והר"י מגאש (ב"ב שם) תי' דכיון דזכה לבסוף איגלאי מילתא וזוכה בו למפרע [עי"ש היטב, וע”ע רמב”ן ורשב"א שם]</w:t>
      </w:r>
      <w:r w:rsidRPr="00AF1DC8">
        <w:rPr>
          <w:rFonts w:ascii="Narkisim" w:hAnsi="Narkisim"/>
        </w:rPr>
        <w:t>.</w:t>
      </w:r>
    </w:p>
    <w:p w14:paraId="1D64360D" w14:textId="77777777" w:rsidR="006074A5" w:rsidRPr="00AF1DC8" w:rsidRDefault="006074A5" w:rsidP="006074A5">
      <w:pPr>
        <w:pStyle w:val="a8"/>
        <w:bidi/>
        <w:rPr>
          <w:rFonts w:ascii="Narkisim" w:hAnsi="Narkisim"/>
        </w:rPr>
      </w:pPr>
      <w:r w:rsidRPr="00AF1DC8">
        <w:rPr>
          <w:rFonts w:ascii="Narkisim" w:hAnsi="Narkisim"/>
          <w:rtl/>
        </w:rPr>
        <w:t>ו</w:t>
      </w:r>
      <w:r w:rsidRPr="00AF1DC8">
        <w:rPr>
          <w:rFonts w:ascii="Narkisim" w:hAnsi="Narkisim"/>
          <w:b/>
          <w:bCs/>
          <w:rtl/>
        </w:rPr>
        <w:t>רע"א</w:t>
      </w:r>
      <w:r w:rsidRPr="00AF1DC8">
        <w:rPr>
          <w:rFonts w:ascii="Narkisim" w:hAnsi="Narkisim"/>
          <w:rtl/>
        </w:rPr>
        <w:t xml:space="preserve"> (בחי' ב"ב מג.) ביאר דברי התוס' דחל המכירה [מכאן ולהבא] כשיגיע לרשותו. ולא אלים ק"פ כקה"ג לבטל לגמרי קנינו בחפץ, שיחשב מקנה דבר שלא בא לעולם. [ואף דהשתא אינו יכול להקנותו, כיון דבאמת הוה שלו יכול להקנותו לאחר זמן]</w:t>
      </w:r>
      <w:r w:rsidRPr="00AF1DC8">
        <w:rPr>
          <w:rFonts w:ascii="Narkisim" w:hAnsi="Narkisim"/>
        </w:rPr>
        <w:t>.</w:t>
      </w:r>
    </w:p>
    <w:p w14:paraId="287A5B21" w14:textId="77777777" w:rsidR="006074A5" w:rsidRPr="00AF1DC8" w:rsidRDefault="006074A5" w:rsidP="006074A5">
      <w:pPr>
        <w:pStyle w:val="aa"/>
        <w:bidi/>
        <w:rPr>
          <w:rFonts w:ascii="Narkisim" w:hAnsi="Narkisim"/>
        </w:rPr>
      </w:pPr>
      <w:r w:rsidRPr="00AF1DC8">
        <w:rPr>
          <w:rFonts w:ascii="Narkisim" w:hAnsi="Narkisim"/>
          <w:u w:val="single"/>
          <w:rtl/>
        </w:rPr>
        <w:t>תוד"ה קנין פירות.</w:t>
      </w:r>
      <w:r w:rsidRPr="00AF1DC8">
        <w:rPr>
          <w:rFonts w:ascii="Narkisim" w:hAnsi="Narkisim"/>
          <w:rtl/>
        </w:rPr>
        <w:t xml:space="preserve"> לר' יוחנן לא איצטריך וכו'. דבלאו הכי האשה אינה יכולה למכור, דקנין פירות של הבעל מעכב עליה. וכ"כ ה</w:t>
      </w:r>
      <w:r w:rsidRPr="00AF1DC8">
        <w:rPr>
          <w:rFonts w:ascii="Narkisim" w:hAnsi="Narkisim"/>
          <w:b/>
          <w:bCs/>
          <w:rtl/>
        </w:rPr>
        <w:t>רמב"ן</w:t>
      </w:r>
      <w:r w:rsidRPr="00AF1DC8">
        <w:rPr>
          <w:rFonts w:ascii="Narkisim" w:hAnsi="Narkisim"/>
          <w:rtl/>
        </w:rPr>
        <w:t xml:space="preserve"> (ב"ב קלו:) דתקנת אושא נאמר אליבא דר"ל</w:t>
      </w:r>
      <w:r w:rsidRPr="00AF1DC8">
        <w:rPr>
          <w:rFonts w:ascii="Narkisim" w:hAnsi="Narkisim"/>
        </w:rPr>
        <w:t>.</w:t>
      </w:r>
    </w:p>
    <w:p w14:paraId="7906C29F" w14:textId="77777777" w:rsidR="006074A5" w:rsidRPr="00AF1DC8" w:rsidRDefault="006074A5" w:rsidP="006074A5">
      <w:pPr>
        <w:pStyle w:val="aa"/>
        <w:bidi/>
        <w:rPr>
          <w:rFonts w:ascii="Narkisim" w:hAnsi="Narkisim"/>
        </w:rPr>
      </w:pPr>
      <w:r w:rsidRPr="00AF1DC8">
        <w:rPr>
          <w:rFonts w:ascii="Narkisim" w:hAnsi="Narkisim"/>
          <w:u w:val="single"/>
          <w:rtl/>
        </w:rPr>
        <w:t>בא"ד א"נ קה"ג דאשה עדיף שאין לבעל פירות אלא מכחה וכו'</w:t>
      </w:r>
      <w:r w:rsidRPr="00AF1DC8">
        <w:rPr>
          <w:rFonts w:ascii="Narkisim" w:hAnsi="Narkisim"/>
          <w:rtl/>
        </w:rPr>
        <w:t>. ולכאורה כוונת התוס' דכיון דמתחילה היה הכל של האשה, מש"ה קנין הגוף זה אלים. ולא דמי למוכר הגוף ושייר פירות לעצמו. [ועד"ז יש צריכותא בגמ' (ב"ב קלו:) אי בעין יפה מקנה או משייר</w:t>
      </w:r>
      <w:r w:rsidRPr="00AF1DC8">
        <w:rPr>
          <w:rStyle w:val="ac"/>
          <w:rFonts w:ascii="Narkisim" w:hAnsi="Narkisim"/>
          <w:rtl/>
        </w:rPr>
        <w:footnoteReference w:id="2188"/>
      </w:r>
      <w:r w:rsidRPr="00AF1DC8">
        <w:rPr>
          <w:rFonts w:ascii="Narkisim" w:hAnsi="Narkisim"/>
          <w:rtl/>
        </w:rPr>
        <w:t>]</w:t>
      </w:r>
      <w:r w:rsidRPr="00AF1DC8">
        <w:rPr>
          <w:rFonts w:ascii="Narkisim" w:hAnsi="Narkisim"/>
        </w:rPr>
        <w:t>.</w:t>
      </w:r>
    </w:p>
    <w:p w14:paraId="13655276" w14:textId="77777777" w:rsidR="006074A5" w:rsidRPr="00AF1DC8" w:rsidRDefault="006074A5" w:rsidP="006074A5">
      <w:pPr>
        <w:pStyle w:val="aa"/>
        <w:bidi/>
        <w:rPr>
          <w:rFonts w:ascii="Narkisim" w:hAnsi="Narkisim"/>
        </w:rPr>
      </w:pPr>
      <w:r w:rsidRPr="00AF1DC8">
        <w:rPr>
          <w:rFonts w:ascii="Narkisim" w:hAnsi="Narkisim"/>
          <w:u w:val="single"/>
          <w:rtl/>
        </w:rPr>
        <w:t>בא"ד ועוד דאין לבעל פירות אלא בתקנתא דרבנן.</w:t>
      </w:r>
      <w:r w:rsidRPr="00AF1DC8">
        <w:rPr>
          <w:rFonts w:ascii="Narkisim" w:hAnsi="Narkisim"/>
          <w:rtl/>
        </w:rPr>
        <w:t xml:space="preserve"> [ומבואר דהוה תי' בפנ"ע]. ובפשוטו הוה סברא דזכות ממון מכח תקנ"ח גרע. ועי"ז לא לא אלים קנין פירות דרבנן למנוע מבעל קנין הגוף למכור. אבל יש שביארו כוונת התוס' ע"ד דברי ה</w:t>
      </w:r>
      <w:r w:rsidRPr="00AF1DC8">
        <w:rPr>
          <w:rFonts w:ascii="Narkisim" w:hAnsi="Narkisim"/>
          <w:b/>
          <w:bCs/>
          <w:rtl/>
        </w:rPr>
        <w:t>או”ש</w:t>
      </w:r>
      <w:r w:rsidRPr="00AF1DC8">
        <w:rPr>
          <w:rFonts w:ascii="Narkisim" w:hAnsi="Narkisim"/>
          <w:rtl/>
        </w:rPr>
        <w:t xml:space="preserve"> (רוצח ב טו) דגדר תקנת פירות נכסי מלוג שתקנו שהבעל זוכה בכל הפירות שגדלו ברשות האשה. ולא נחשב שיש לבעל קנין בגוף הנכסים</w:t>
      </w:r>
      <w:r w:rsidRPr="00AF1DC8">
        <w:rPr>
          <w:rStyle w:val="ac"/>
          <w:rFonts w:ascii="Narkisim" w:hAnsi="Narkisim"/>
          <w:rtl/>
        </w:rPr>
        <w:footnoteReference w:id="2189"/>
      </w:r>
      <w:r w:rsidRPr="00AF1DC8">
        <w:rPr>
          <w:rFonts w:ascii="Narkisim" w:hAnsi="Narkisim"/>
        </w:rPr>
        <w:t xml:space="preserve">. </w:t>
      </w:r>
      <w:r w:rsidRPr="00AF1DC8">
        <w:rPr>
          <w:rFonts w:ascii="Narkisim" w:hAnsi="Narkisim"/>
          <w:rtl/>
        </w:rPr>
        <w:t>אלא זכייתו מכח האשה, ולא זכות בחפץ</w:t>
      </w:r>
      <w:r w:rsidRPr="00AF1DC8">
        <w:rPr>
          <w:rFonts w:ascii="Narkisim" w:hAnsi="Narkisim"/>
        </w:rPr>
        <w:t>.</w:t>
      </w:r>
    </w:p>
    <w:p w14:paraId="311946B8" w14:textId="77777777" w:rsidR="006074A5" w:rsidRPr="00AF1DC8" w:rsidRDefault="006074A5" w:rsidP="006074A5">
      <w:pPr>
        <w:pStyle w:val="aa"/>
        <w:bidi/>
        <w:rPr>
          <w:rFonts w:ascii="Narkisim" w:hAnsi="Narkisim"/>
        </w:rPr>
      </w:pPr>
      <w:r w:rsidRPr="00AF1DC8">
        <w:rPr>
          <w:rFonts w:ascii="Narkisim" w:hAnsi="Narkisim"/>
          <w:u w:val="single"/>
          <w:rtl/>
        </w:rPr>
        <w:t>בא"ד והר"י דאורליינש תי' דאיצטריך היכא דכתב וכו'</w:t>
      </w:r>
      <w:r w:rsidRPr="00AF1DC8">
        <w:rPr>
          <w:rFonts w:ascii="Narkisim" w:hAnsi="Narkisim"/>
          <w:rtl/>
        </w:rPr>
        <w:t>. ונסתלק מהפירות, ואפ"ה מהני תקנת אושא שהאשה אינה יכולה למכור. וה</w:t>
      </w:r>
      <w:r w:rsidRPr="00AF1DC8">
        <w:rPr>
          <w:rFonts w:ascii="Narkisim" w:hAnsi="Narkisim"/>
          <w:b/>
          <w:bCs/>
          <w:rtl/>
        </w:rPr>
        <w:t>קצות</w:t>
      </w:r>
      <w:r w:rsidRPr="00AF1DC8">
        <w:rPr>
          <w:rFonts w:ascii="Narkisim" w:hAnsi="Narkisim"/>
          <w:rtl/>
        </w:rPr>
        <w:t xml:space="preserve"> (קג ט ואבנ"מ צ יא) הביא מדברי התוס' דתקנת אושא לא תלי בקנין פירות. אך דייק מדברי </w:t>
      </w:r>
      <w:r w:rsidRPr="00AF1DC8">
        <w:rPr>
          <w:rFonts w:ascii="Narkisim" w:hAnsi="Narkisim"/>
          <w:b/>
          <w:bCs/>
          <w:rtl/>
        </w:rPr>
        <w:t>רש"י</w:t>
      </w:r>
      <w:r w:rsidRPr="00AF1DC8">
        <w:rPr>
          <w:rFonts w:ascii="Narkisim" w:hAnsi="Narkisim"/>
          <w:rtl/>
        </w:rPr>
        <w:t xml:space="preserve"> (ב"ק פח) דגדר תקנת אושא דהאלימו את הקנין פירות. וא”כ במקום שנסתלק מהפירות ל”ש תקנה</w:t>
      </w:r>
      <w:r w:rsidRPr="00AF1DC8">
        <w:rPr>
          <w:rFonts w:ascii="Narkisim" w:hAnsi="Narkisim"/>
        </w:rPr>
        <w:t>.</w:t>
      </w:r>
    </w:p>
    <w:p w14:paraId="31BAD01E" w14:textId="77777777" w:rsidR="006074A5" w:rsidRPr="00AF1DC8" w:rsidRDefault="006074A5" w:rsidP="006074A5">
      <w:pPr>
        <w:bidi/>
        <w:rPr>
          <w:rFonts w:ascii="Narkisim" w:hAnsi="Narkisim" w:cs="Narkisim"/>
        </w:rPr>
      </w:pPr>
      <w:r w:rsidRPr="00AF1DC8">
        <w:rPr>
          <w:rFonts w:ascii="Narkisim" w:hAnsi="Narkisim" w:cs="Narkisim"/>
          <w:u w:val="single"/>
          <w:rtl/>
        </w:rPr>
        <w:t>תנא משום ר"א אמרו יוציא בגט.</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בגט בלא חליצה. משמע דקאי כר' יוחנן, דאילו לדעת ר"ל בעי חליצה [ולכאורה אי”צ גט]. אבל ה</w:t>
      </w:r>
      <w:r w:rsidRPr="00AF1DC8">
        <w:rPr>
          <w:rFonts w:ascii="Narkisim" w:hAnsi="Narkisim" w:cs="Narkisim"/>
          <w:b/>
          <w:bCs/>
          <w:rtl/>
        </w:rPr>
        <w:t>תוס' הרא"ש</w:t>
      </w:r>
      <w:r w:rsidRPr="00AF1DC8">
        <w:rPr>
          <w:rFonts w:ascii="Narkisim" w:hAnsi="Narkisim" w:cs="Narkisim"/>
          <w:rtl/>
        </w:rPr>
        <w:t xml:space="preserve"> בשם </w:t>
      </w:r>
      <w:r w:rsidRPr="00AF1DC8">
        <w:rPr>
          <w:rFonts w:ascii="Narkisim" w:hAnsi="Narkisim" w:cs="Narkisim"/>
          <w:b/>
          <w:bCs/>
          <w:rtl/>
        </w:rPr>
        <w:t>רבינו</w:t>
      </w:r>
      <w:r w:rsidRPr="00AF1DC8">
        <w:rPr>
          <w:rFonts w:ascii="Narkisim" w:hAnsi="Narkisim" w:cs="Narkisim"/>
          <w:rtl/>
        </w:rPr>
        <w:t xml:space="preserve"> </w:t>
      </w:r>
      <w:r w:rsidRPr="00AF1DC8">
        <w:rPr>
          <w:rFonts w:ascii="Narkisim" w:hAnsi="Narkisim" w:cs="Narkisim"/>
          <w:b/>
          <w:bCs/>
          <w:rtl/>
        </w:rPr>
        <w:t>מאיר</w:t>
      </w:r>
      <w:r w:rsidRPr="00AF1DC8">
        <w:rPr>
          <w:rFonts w:ascii="Narkisim" w:hAnsi="Narkisim" w:cs="Narkisim"/>
          <w:rtl/>
        </w:rPr>
        <w:t xml:space="preserve"> [וכ"כ התו"י בתי' הב'] כת' דאף לדעת ר"ל דל"מ מעשיו, יחזור ויבעול, ואח"כ קנס ר"א להוציא בגט. </w:t>
      </w:r>
      <w:r w:rsidRPr="00AF1DC8">
        <w:rPr>
          <w:rFonts w:ascii="Narkisim" w:hAnsi="Narkisim" w:cs="Narkisim"/>
          <w:sz w:val="20"/>
          <w:szCs w:val="20"/>
          <w:rtl/>
        </w:rPr>
        <w:t>וה</w:t>
      </w:r>
      <w:r w:rsidRPr="00AF1DC8">
        <w:rPr>
          <w:rFonts w:ascii="Narkisim" w:hAnsi="Narkisim" w:cs="Narkisim"/>
          <w:b/>
          <w:bCs/>
          <w:sz w:val="20"/>
          <w:szCs w:val="20"/>
          <w:rtl/>
        </w:rPr>
        <w:t>מהרש"א</w:t>
      </w:r>
      <w:r w:rsidRPr="00AF1DC8">
        <w:rPr>
          <w:rFonts w:ascii="Narkisim" w:hAnsi="Narkisim" w:cs="Narkisim"/>
          <w:sz w:val="20"/>
          <w:szCs w:val="20"/>
          <w:rtl/>
        </w:rPr>
        <w:t xml:space="preserve"> הקש' דכיון דקנסי' ליה להוציא היאך יחזור ויבעול.</w:t>
      </w:r>
      <w:r w:rsidRPr="00AF1DC8">
        <w:rPr>
          <w:rFonts w:ascii="Narkisim" w:hAnsi="Narkisim" w:cs="Narkisim"/>
          <w:rtl/>
        </w:rPr>
        <w:t xml:space="preserve"> </w:t>
      </w:r>
      <w:r w:rsidRPr="00AF1DC8">
        <w:rPr>
          <w:rFonts w:ascii="Narkisim" w:hAnsi="Narkisim" w:cs="Narkisim"/>
          <w:sz w:val="20"/>
          <w:szCs w:val="20"/>
          <w:rtl/>
        </w:rPr>
        <w:t>[ויש שדנו ע"פ רש"י (לעיל לה:) דלר"ל כיון דהתחיל בביאה ל"מ חליצה]</w:t>
      </w:r>
      <w:r w:rsidRPr="00AF1DC8">
        <w:rPr>
          <w:rFonts w:ascii="Narkisim" w:hAnsi="Narkisim" w:cs="Narkisim"/>
          <w:sz w:val="20"/>
          <w:szCs w:val="20"/>
        </w:rPr>
        <w:t>.</w:t>
      </w:r>
    </w:p>
    <w:p w14:paraId="66CEEF7B"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רמב"ן</w:t>
      </w:r>
      <w:r w:rsidRPr="00AF1DC8">
        <w:rPr>
          <w:rFonts w:ascii="Narkisim" w:hAnsi="Narkisim"/>
          <w:rtl/>
        </w:rPr>
        <w:t xml:space="preserve"> הביא בשם </w:t>
      </w:r>
      <w:r w:rsidRPr="00AF1DC8">
        <w:rPr>
          <w:rFonts w:ascii="Narkisim" w:hAnsi="Narkisim"/>
          <w:b/>
          <w:bCs/>
          <w:rtl/>
        </w:rPr>
        <w:t>תוס</w:t>
      </w:r>
      <w:r w:rsidRPr="00AF1DC8">
        <w:rPr>
          <w:rFonts w:ascii="Narkisim" w:hAnsi="Narkisim"/>
          <w:rtl/>
        </w:rPr>
        <w:t>' דבעי גט וחליצה [ואף לר”ל], משום דדמי לכנוסה. והביא דכ"פ ה</w:t>
      </w:r>
      <w:r w:rsidRPr="00AF1DC8">
        <w:rPr>
          <w:rFonts w:ascii="Narkisim" w:hAnsi="Narkisim"/>
          <w:b/>
          <w:bCs/>
          <w:rtl/>
        </w:rPr>
        <w:t>רמב"ם</w:t>
      </w:r>
      <w:r w:rsidRPr="00AF1DC8">
        <w:rPr>
          <w:rFonts w:ascii="Narkisim" w:hAnsi="Narkisim"/>
          <w:rtl/>
        </w:rPr>
        <w:t xml:space="preserve"> (א כב)</w:t>
      </w:r>
      <w:r w:rsidRPr="00AF1DC8">
        <w:rPr>
          <w:rFonts w:ascii="Narkisim" w:hAnsi="Narkisim"/>
        </w:rPr>
        <w:t>.</w:t>
      </w:r>
    </w:p>
    <w:p w14:paraId="2BC620B2" w14:textId="77777777" w:rsidR="006074A5" w:rsidRPr="00AF1DC8" w:rsidRDefault="006074A5" w:rsidP="006074A5">
      <w:pPr>
        <w:pStyle w:val="a8"/>
        <w:bidi/>
        <w:rPr>
          <w:rFonts w:ascii="Narkisim" w:hAnsi="Narkisim"/>
        </w:rPr>
      </w:pPr>
      <w:r w:rsidRPr="00AF1DC8">
        <w:rPr>
          <w:rFonts w:ascii="Narkisim" w:hAnsi="Narkisim"/>
          <w:rtl/>
        </w:rPr>
        <w:lastRenderedPageBreak/>
        <w:t>דהרמב"ם פסק דהכונס מעוברת, וילדה ומת הולד בו ביום צריך גט וחליצה. וה</w:t>
      </w:r>
      <w:r w:rsidRPr="00AF1DC8">
        <w:rPr>
          <w:rFonts w:ascii="Narkisim" w:hAnsi="Narkisim"/>
          <w:b/>
          <w:bCs/>
          <w:rtl/>
        </w:rPr>
        <w:t>לח"מ</w:t>
      </w:r>
      <w:r w:rsidRPr="00AF1DC8">
        <w:rPr>
          <w:rFonts w:ascii="Narkisim" w:hAnsi="Narkisim"/>
          <w:rtl/>
        </w:rPr>
        <w:t xml:space="preserve"> הביא דמפורש כן בסוגיין. ו</w:t>
      </w:r>
      <w:r w:rsidRPr="00AF1DC8">
        <w:rPr>
          <w:rFonts w:ascii="Narkisim" w:hAnsi="Narkisim"/>
          <w:b/>
          <w:bCs/>
          <w:rtl/>
        </w:rPr>
        <w:t>רע"א</w:t>
      </w:r>
      <w:r w:rsidRPr="00AF1DC8">
        <w:rPr>
          <w:rFonts w:ascii="Narkisim" w:hAnsi="Narkisim"/>
          <w:rtl/>
        </w:rPr>
        <w:t xml:space="preserve"> כתב דלרש"י אינו כן דנדחק להעמיד כר' יוחנן דלא כהילכתא, ע"כ ס"ל דלר"ל לא בעי גט. או דס"ל דמשמע דיוציא בגט לחוד, עכ"פ אין ראיה לר"ל</w:t>
      </w:r>
      <w:r w:rsidRPr="00AF1DC8">
        <w:rPr>
          <w:rFonts w:ascii="Narkisim" w:hAnsi="Narkisim"/>
        </w:rPr>
        <w:t>.</w:t>
      </w:r>
    </w:p>
    <w:p w14:paraId="6AE10C6D"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גר"א</w:t>
      </w:r>
      <w:r w:rsidRPr="00AF1DC8">
        <w:rPr>
          <w:rFonts w:ascii="Narkisim" w:hAnsi="Narkisim"/>
          <w:rtl/>
        </w:rPr>
        <w:t xml:space="preserve"> (קסד יח) כת' דהרמב"ם איירי דאף אח"כ לא נתברר, ומש"ה אי"צ לזה. דאפי' כנסה אח"כ צריכה גט וחליצה. </w:t>
      </w:r>
      <w:r w:rsidRPr="00AF1DC8">
        <w:rPr>
          <w:rFonts w:ascii="Narkisim" w:hAnsi="Narkisim"/>
          <w:sz w:val="20"/>
          <w:szCs w:val="20"/>
          <w:rtl/>
        </w:rPr>
        <w:t>[מספק].</w:t>
      </w:r>
      <w:r w:rsidRPr="00AF1DC8">
        <w:rPr>
          <w:rFonts w:ascii="Narkisim" w:hAnsi="Narkisim"/>
          <w:rtl/>
        </w:rPr>
        <w:t xml:space="preserve"> וצ"ב דממ"נ יהני ביאה זו, ואמאי צריך לחליצה. וה</w:t>
      </w:r>
      <w:r w:rsidRPr="00AF1DC8">
        <w:rPr>
          <w:rFonts w:ascii="Narkisim" w:hAnsi="Narkisim"/>
          <w:b/>
          <w:bCs/>
          <w:rtl/>
        </w:rPr>
        <w:t>או"ש</w:t>
      </w:r>
      <w:r w:rsidRPr="00AF1DC8">
        <w:rPr>
          <w:rFonts w:ascii="Narkisim" w:hAnsi="Narkisim"/>
          <w:sz w:val="20"/>
          <w:szCs w:val="20"/>
          <w:rtl/>
        </w:rPr>
        <w:t xml:space="preserve"> (קו' זיקה כט)</w:t>
      </w:r>
      <w:r w:rsidRPr="00AF1DC8">
        <w:rPr>
          <w:rFonts w:ascii="Narkisim" w:hAnsi="Narkisim"/>
          <w:rtl/>
        </w:rPr>
        <w:t xml:space="preserve"> ביאר דמחמת הספק נחשב ביאה פסולה, ולא פטרה. </w:t>
      </w:r>
      <w:r w:rsidRPr="00AF1DC8">
        <w:rPr>
          <w:rFonts w:ascii="Narkisim" w:hAnsi="Narkisim"/>
          <w:sz w:val="20"/>
          <w:szCs w:val="20"/>
          <w:rtl/>
        </w:rPr>
        <w:t>וה</w:t>
      </w:r>
      <w:r w:rsidRPr="00AF1DC8">
        <w:rPr>
          <w:rFonts w:ascii="Narkisim" w:hAnsi="Narkisim"/>
          <w:b/>
          <w:bCs/>
          <w:sz w:val="20"/>
          <w:szCs w:val="20"/>
          <w:rtl/>
        </w:rPr>
        <w:t xml:space="preserve">אחרונים </w:t>
      </w:r>
      <w:r w:rsidRPr="00AF1DC8">
        <w:rPr>
          <w:rFonts w:ascii="Narkisim" w:hAnsi="Narkisim"/>
          <w:sz w:val="20"/>
          <w:szCs w:val="20"/>
          <w:rtl/>
        </w:rPr>
        <w:t>הקשו דל"מ דמחמת הספק יחשב ביאה פסולה [וע' לעי' כח. בדין ביאה פסולה].</w:t>
      </w:r>
      <w:r w:rsidRPr="00AF1DC8">
        <w:rPr>
          <w:rFonts w:ascii="Narkisim" w:hAnsi="Narkisim"/>
          <w:rtl/>
        </w:rPr>
        <w:t xml:space="preserve"> וה</w:t>
      </w:r>
      <w:r w:rsidRPr="00AF1DC8">
        <w:rPr>
          <w:rFonts w:ascii="Narkisim" w:hAnsi="Narkisim"/>
          <w:b/>
          <w:bCs/>
          <w:rtl/>
        </w:rPr>
        <w:t>משנת ר' אהרן</w:t>
      </w:r>
      <w:r w:rsidRPr="00AF1DC8">
        <w:rPr>
          <w:rFonts w:ascii="Narkisim" w:hAnsi="Narkisim"/>
          <w:rtl/>
        </w:rPr>
        <w:t xml:space="preserve"> ביאר דכוונת הגר"א דילפי' מ'עין עליו' דלא מהני ביאת יבום במקום ספק </w:t>
      </w:r>
      <w:r w:rsidRPr="00AF1DC8">
        <w:rPr>
          <w:rFonts w:ascii="Narkisim" w:hAnsi="Narkisim"/>
          <w:sz w:val="20"/>
          <w:szCs w:val="20"/>
          <w:rtl/>
        </w:rPr>
        <w:t>[ואף בספק דלא תליא בעתידות]</w:t>
      </w:r>
      <w:r w:rsidRPr="00AF1DC8">
        <w:rPr>
          <w:rFonts w:ascii="Narkisim" w:hAnsi="Narkisim"/>
        </w:rPr>
        <w:t>.</w:t>
      </w:r>
    </w:p>
    <w:p w14:paraId="56A6A18A" w14:textId="77777777" w:rsidR="006074A5" w:rsidRPr="00AF1DC8" w:rsidRDefault="006074A5" w:rsidP="006074A5">
      <w:pPr>
        <w:pStyle w:val="aa"/>
        <w:bidi/>
        <w:rPr>
          <w:rFonts w:ascii="Narkisim" w:hAnsi="Narkisim"/>
        </w:rPr>
      </w:pPr>
      <w:r w:rsidRPr="00AF1DC8">
        <w:rPr>
          <w:rFonts w:ascii="Narkisim" w:hAnsi="Narkisim"/>
          <w:u w:val="single"/>
          <w:rtl/>
        </w:rPr>
        <w:t>תוד"ה חיזוק.</w:t>
      </w:r>
      <w:r w:rsidRPr="00AF1DC8">
        <w:rPr>
          <w:rFonts w:ascii="Narkisim" w:hAnsi="Narkisim"/>
          <w:rtl/>
        </w:rPr>
        <w:t xml:space="preserve"> [סו"ד] במילתא דשכיחא אתו חיזוק. </w:t>
      </w:r>
      <w:r w:rsidRPr="00AF1DC8">
        <w:rPr>
          <w:rFonts w:ascii="Narkisim" w:hAnsi="Narkisim"/>
          <w:b/>
          <w:bCs/>
          <w:rtl/>
        </w:rPr>
        <w:t>רע"א</w:t>
      </w:r>
      <w:r w:rsidRPr="00AF1DC8">
        <w:rPr>
          <w:rFonts w:ascii="Narkisim" w:hAnsi="Narkisim"/>
          <w:rtl/>
        </w:rPr>
        <w:t xml:space="preserve"> כתב ליישב דבכתובה עשו חיזוק שלא לעקור הדין, אבל הכא במה שמחזיר אחרי כ"ד אינו נגד תקנתם כלל. [ור' יהודה לא קנס]</w:t>
      </w:r>
      <w:r w:rsidRPr="00AF1DC8">
        <w:rPr>
          <w:rFonts w:ascii="Narkisim" w:hAnsi="Narkisim"/>
        </w:rPr>
        <w:t>.</w:t>
      </w:r>
    </w:p>
    <w:p w14:paraId="5190135B"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כתב דאע"ג דלר' מאיר דמתנה עמש"כ בתורה תנאו בטל, ובדרבנן תנאו קיים [כתובות נו:]. איכא למימר דהיינו תנאי שבממון, אבל במקום חשש איסור של דבריהם צריך חיזוק יותר</w:t>
      </w:r>
      <w:r w:rsidRPr="00AF1DC8">
        <w:rPr>
          <w:rFonts w:ascii="Narkisim" w:hAnsi="Narkisim"/>
        </w:rPr>
        <w:t>.</w:t>
      </w:r>
    </w:p>
    <w:p w14:paraId="1F437D4D" w14:textId="77777777" w:rsidR="006074A5" w:rsidRPr="00AF1DC8" w:rsidRDefault="006074A5" w:rsidP="006074A5">
      <w:pPr>
        <w:bidi/>
        <w:rPr>
          <w:rFonts w:ascii="Narkisim" w:hAnsi="Narkisim" w:cs="Narkisim"/>
        </w:rPr>
      </w:pPr>
      <w:r w:rsidRPr="00AF1DC8">
        <w:rPr>
          <w:rFonts w:ascii="Narkisim" w:hAnsi="Narkisim" w:cs="Narkisim"/>
          <w:u w:val="single"/>
          <w:rtl/>
        </w:rPr>
        <w:t>אמר רבא ולדברי חכמים יוציא בגט.</w:t>
      </w:r>
      <w:r w:rsidRPr="00AF1DC8">
        <w:rPr>
          <w:rFonts w:ascii="Narkisim" w:hAnsi="Narkisim" w:cs="Narkisim"/>
          <w:rtl/>
        </w:rPr>
        <w:t xml:space="preserve"> בפשוטו הוא משום דחששו שמא יבא עליה. וכ"כ ה</w:t>
      </w:r>
      <w:r w:rsidRPr="00AF1DC8">
        <w:rPr>
          <w:rFonts w:ascii="Narkisim" w:hAnsi="Narkisim" w:cs="Narkisim"/>
          <w:b/>
          <w:bCs/>
          <w:rtl/>
        </w:rPr>
        <w:t>רשב"א</w:t>
      </w:r>
      <w:r w:rsidRPr="00AF1DC8">
        <w:rPr>
          <w:rFonts w:ascii="Narkisim" w:hAnsi="Narkisim" w:cs="Narkisim"/>
          <w:rtl/>
        </w:rPr>
        <w:t xml:space="preserve"> (לז.). אבל ה</w:t>
      </w:r>
      <w:r w:rsidRPr="00AF1DC8">
        <w:rPr>
          <w:rFonts w:ascii="Narkisim" w:hAnsi="Narkisim" w:cs="Narkisim"/>
          <w:b/>
          <w:bCs/>
          <w:rtl/>
        </w:rPr>
        <w:t>רשב"א</w:t>
      </w:r>
      <w:r w:rsidRPr="00AF1DC8">
        <w:rPr>
          <w:rFonts w:ascii="Narkisim" w:hAnsi="Narkisim" w:cs="Narkisim"/>
          <w:rtl/>
        </w:rPr>
        <w:t xml:space="preserve"> הביא מדברי ה</w:t>
      </w:r>
      <w:r w:rsidRPr="00AF1DC8">
        <w:rPr>
          <w:rFonts w:ascii="Narkisim" w:hAnsi="Narkisim" w:cs="Narkisim"/>
          <w:b/>
          <w:bCs/>
          <w:rtl/>
        </w:rPr>
        <w:t>ראב"ד</w:t>
      </w:r>
      <w:r w:rsidRPr="00AF1DC8">
        <w:rPr>
          <w:rFonts w:ascii="Narkisim" w:hAnsi="Narkisim" w:cs="Narkisim"/>
          <w:rtl/>
        </w:rPr>
        <w:t xml:space="preserve"> (ע' בסמוך) דהוה מטעם קנס </w:t>
      </w:r>
      <w:r w:rsidRPr="00AF1DC8">
        <w:rPr>
          <w:rFonts w:ascii="Narkisim" w:hAnsi="Narkisim" w:cs="Narkisim"/>
          <w:sz w:val="20"/>
          <w:szCs w:val="20"/>
          <w:rtl/>
        </w:rPr>
        <w:t>[והרשב"א חלק, וע' בסמוך]</w:t>
      </w:r>
      <w:r w:rsidRPr="00AF1DC8">
        <w:rPr>
          <w:rFonts w:ascii="Narkisim" w:hAnsi="Narkisim" w:cs="Narkisim"/>
          <w:sz w:val="20"/>
          <w:szCs w:val="20"/>
        </w:rPr>
        <w:t>.</w:t>
      </w:r>
    </w:p>
    <w:p w14:paraId="7B2AB462"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ראשונים</w:t>
      </w:r>
      <w:r w:rsidRPr="00AF1DC8">
        <w:rPr>
          <w:rFonts w:ascii="Narkisim" w:hAnsi="Narkisim"/>
          <w:rtl/>
        </w:rPr>
        <w:t xml:space="preserve"> נח' האם אף בשוגג או טעות צריך גט, וע' </w:t>
      </w:r>
      <w:r w:rsidRPr="00AF1DC8">
        <w:rPr>
          <w:rFonts w:ascii="Narkisim" w:hAnsi="Narkisim"/>
          <w:b/>
          <w:bCs/>
          <w:rtl/>
        </w:rPr>
        <w:t>רמ"א</w:t>
      </w:r>
      <w:r w:rsidRPr="00AF1DC8">
        <w:rPr>
          <w:rFonts w:ascii="Narkisim" w:hAnsi="Narkisim"/>
          <w:rtl/>
        </w:rPr>
        <w:t xml:space="preserve"> (יג י) ופתח"ת (קסד ג)</w:t>
      </w:r>
      <w:r w:rsidRPr="00AF1DC8">
        <w:rPr>
          <w:rFonts w:ascii="Narkisim" w:hAnsi="Narkisim"/>
        </w:rPr>
        <w:t>.</w:t>
      </w:r>
    </w:p>
    <w:p w14:paraId="30570365" w14:textId="77777777" w:rsidR="006074A5" w:rsidRPr="00AF1DC8" w:rsidRDefault="006074A5" w:rsidP="006074A5">
      <w:pPr>
        <w:bidi/>
        <w:rPr>
          <w:rFonts w:ascii="Narkisim" w:hAnsi="Narkisim" w:cs="Narkisim"/>
        </w:rPr>
      </w:pPr>
      <w:r w:rsidRPr="00AF1DC8">
        <w:rPr>
          <w:rFonts w:ascii="Narkisim" w:hAnsi="Narkisim" w:cs="Narkisim"/>
          <w:u w:val="single"/>
          <w:rtl/>
        </w:rPr>
        <w:t>תוד"ה ולא.</w:t>
      </w:r>
      <w:r w:rsidRPr="00AF1DC8">
        <w:rPr>
          <w:rFonts w:ascii="Narkisim" w:hAnsi="Narkisim" w:cs="Narkisim"/>
          <w:rtl/>
        </w:rPr>
        <w:t xml:space="preserve"> והר"י מאורליינש וכו' כיון דבלא”ה אסורה וכו' ואין נראה דמאי חומרא וכו'. וה</w:t>
      </w:r>
      <w:r w:rsidRPr="00AF1DC8">
        <w:rPr>
          <w:rFonts w:ascii="Narkisim" w:hAnsi="Narkisim" w:cs="Narkisim"/>
          <w:b/>
          <w:bCs/>
          <w:rtl/>
        </w:rPr>
        <w:t>רא"ש</w:t>
      </w:r>
      <w:r w:rsidRPr="00AF1DC8">
        <w:rPr>
          <w:rFonts w:ascii="Narkisim" w:hAnsi="Narkisim" w:cs="Narkisim"/>
          <w:rtl/>
        </w:rPr>
        <w:t xml:space="preserve"> </w:t>
      </w:r>
      <w:r w:rsidRPr="00AF1DC8">
        <w:rPr>
          <w:rFonts w:ascii="Narkisim" w:hAnsi="Narkisim" w:cs="Narkisim"/>
          <w:sz w:val="20"/>
          <w:szCs w:val="20"/>
          <w:rtl/>
        </w:rPr>
        <w:t>(ובתוס' שאנץ עה"ג סוטה כג:)</w:t>
      </w:r>
      <w:r w:rsidRPr="00AF1DC8">
        <w:rPr>
          <w:rFonts w:ascii="Narkisim" w:hAnsi="Narkisim" w:cs="Narkisim"/>
          <w:rtl/>
        </w:rPr>
        <w:t xml:space="preserve"> מבואר דסברת הר"י מאורליינש משום דהוה תרתי. וה</w:t>
      </w:r>
      <w:r w:rsidRPr="00AF1DC8">
        <w:rPr>
          <w:rFonts w:ascii="Narkisim" w:hAnsi="Narkisim" w:cs="Narkisim"/>
          <w:b/>
          <w:bCs/>
          <w:rtl/>
        </w:rPr>
        <w:t>רא"ש</w:t>
      </w:r>
      <w:r w:rsidRPr="00AF1DC8">
        <w:rPr>
          <w:rFonts w:ascii="Narkisim" w:hAnsi="Narkisim" w:cs="Narkisim"/>
          <w:rtl/>
        </w:rPr>
        <w:t xml:space="preserve"> הק' שאם יאסרנה בנדר</w:t>
      </w:r>
      <w:r w:rsidRPr="00AF1DC8">
        <w:rPr>
          <w:rStyle w:val="ac"/>
          <w:rFonts w:ascii="Narkisim" w:hAnsi="Narkisim" w:cs="Narkisim"/>
          <w:rtl/>
        </w:rPr>
        <w:footnoteReference w:id="2190"/>
      </w:r>
      <w:r w:rsidRPr="00AF1DC8">
        <w:rPr>
          <w:rFonts w:ascii="Narkisim" w:hAnsi="Narkisim" w:cs="Narkisim"/>
        </w:rPr>
        <w:t xml:space="preserve"> </w:t>
      </w:r>
      <w:r w:rsidRPr="00AF1DC8">
        <w:rPr>
          <w:rFonts w:ascii="Narkisim" w:hAnsi="Narkisim" w:cs="Narkisim"/>
          <w:rtl/>
        </w:rPr>
        <w:t>הוה תרתי</w:t>
      </w:r>
      <w:r w:rsidRPr="00AF1DC8">
        <w:rPr>
          <w:rFonts w:ascii="Narkisim" w:hAnsi="Narkisim" w:cs="Narkisim"/>
        </w:rPr>
        <w:t>.</w:t>
      </w:r>
    </w:p>
    <w:p w14:paraId="152A13D5"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(קט ג) כתב עוד דכל ארוסה לא החמירו שיכנוס תיכף משום איסור כלה בלא ברכה. א"כ אף כשנוסף איסור שהיא ג"כ מינקת חבירו לא החמירו, דע"כ הוה חששה בעלמא שיבוא עליה</w:t>
      </w:r>
      <w:r w:rsidRPr="00AF1DC8">
        <w:rPr>
          <w:rFonts w:ascii="Narkisim" w:hAnsi="Narkisim"/>
        </w:rPr>
        <w:t>.</w:t>
      </w:r>
    </w:p>
    <w:p w14:paraId="0A479990"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משנ"ל</w:t>
      </w:r>
      <w:r w:rsidRPr="00AF1DC8">
        <w:rPr>
          <w:rFonts w:ascii="Narkisim" w:hAnsi="Narkisim"/>
          <w:rtl/>
        </w:rPr>
        <w:t xml:space="preserve"> (סוטה ב ח בסו"ד) כת' דמעוברת לא הוה איסור ביאה, אלא מחמת הולד</w:t>
      </w:r>
      <w:r w:rsidRPr="00AF1DC8">
        <w:rPr>
          <w:rFonts w:ascii="Narkisim" w:hAnsi="Narkisim"/>
        </w:rPr>
        <w:t>.</w:t>
      </w:r>
    </w:p>
    <w:p w14:paraId="77DAF237" w14:textId="77777777" w:rsidR="006074A5" w:rsidRPr="00AF1DC8" w:rsidRDefault="006074A5" w:rsidP="006074A5">
      <w:pPr>
        <w:bidi/>
        <w:rPr>
          <w:rFonts w:ascii="Narkisim" w:hAnsi="Narkisim" w:cs="Narkisim"/>
        </w:rPr>
      </w:pPr>
      <w:r w:rsidRPr="00AF1DC8">
        <w:rPr>
          <w:rFonts w:ascii="Narkisim" w:hAnsi="Narkisim" w:cs="Narkisim"/>
          <w:u w:val="single"/>
          <w:rtl/>
        </w:rPr>
        <w:t>בא"ד (אפי' לר' מאיר).</w:t>
      </w:r>
      <w:r w:rsidRPr="00AF1DC8">
        <w:rPr>
          <w:rFonts w:ascii="Narkisim" w:hAnsi="Narkisim" w:cs="Narkisim"/>
          <w:rtl/>
        </w:rPr>
        <w:t xml:space="preserve"> ה</w:t>
      </w:r>
      <w:r w:rsidRPr="00AF1DC8">
        <w:rPr>
          <w:rFonts w:ascii="Narkisim" w:hAnsi="Narkisim" w:cs="Narkisim"/>
          <w:b/>
          <w:bCs/>
          <w:rtl/>
        </w:rPr>
        <w:t>מהרש"א</w:t>
      </w:r>
      <w:r w:rsidRPr="00AF1DC8">
        <w:rPr>
          <w:rFonts w:ascii="Narkisim" w:hAnsi="Narkisim" w:cs="Narkisim"/>
          <w:rtl/>
        </w:rPr>
        <w:t xml:space="preserve"> הקשה דלר' מאיר אפי' סוטה דאסורה עליו מדאורייתא ל”מ הפרשה. ו</w:t>
      </w:r>
      <w:r w:rsidRPr="00AF1DC8">
        <w:rPr>
          <w:rFonts w:ascii="Narkisim" w:hAnsi="Narkisim" w:cs="Narkisim"/>
          <w:b/>
          <w:bCs/>
          <w:rtl/>
        </w:rPr>
        <w:t>רע"א</w:t>
      </w:r>
      <w:r w:rsidRPr="00AF1DC8">
        <w:rPr>
          <w:rFonts w:ascii="Narkisim" w:hAnsi="Narkisim" w:cs="Narkisim"/>
          <w:rtl/>
        </w:rPr>
        <w:t xml:space="preserve"> תי' דרק בקידש דלא חל איסור מינקת חבירו בשעת קידושין אי”צ להפריש, אבל אם חל כבר איסור וחייב להפריש ל”מ דאח”כ נעשית סוטה</w:t>
      </w:r>
      <w:r w:rsidRPr="00AF1DC8">
        <w:rPr>
          <w:rFonts w:ascii="Narkisim" w:hAnsi="Narkisim" w:cs="Narkisim"/>
        </w:rPr>
        <w:t>.</w:t>
      </w:r>
    </w:p>
    <w:p w14:paraId="258B1E12" w14:textId="77777777" w:rsidR="006074A5" w:rsidRPr="00AF1DC8" w:rsidRDefault="006074A5" w:rsidP="006074A5">
      <w:pPr>
        <w:pStyle w:val="aa"/>
        <w:bidi/>
        <w:rPr>
          <w:rFonts w:ascii="Narkisim" w:hAnsi="Narkisim"/>
        </w:rPr>
      </w:pPr>
      <w:r w:rsidRPr="00AF1DC8">
        <w:rPr>
          <w:rFonts w:ascii="Narkisim" w:hAnsi="Narkisim"/>
          <w:u w:val="single"/>
          <w:rtl/>
        </w:rPr>
        <w:t>תוד"ה הא.</w:t>
      </w:r>
      <w:r w:rsidRPr="00AF1DC8">
        <w:rPr>
          <w:rFonts w:ascii="Narkisim" w:hAnsi="Narkisim"/>
          <w:rtl/>
        </w:rPr>
        <w:t xml:space="preserve"> אבל כשנפל מהגג וכו'. דלא ידוע האם ראוי לחיות מחמת עצמו. וה</w:t>
      </w:r>
      <w:r w:rsidRPr="00AF1DC8">
        <w:rPr>
          <w:rFonts w:ascii="Narkisim" w:hAnsi="Narkisim"/>
          <w:b/>
          <w:bCs/>
          <w:rtl/>
        </w:rPr>
        <w:t>ראשונים</w:t>
      </w:r>
      <w:r w:rsidRPr="00AF1DC8">
        <w:rPr>
          <w:rFonts w:ascii="Narkisim" w:hAnsi="Narkisim"/>
          <w:rtl/>
        </w:rPr>
        <w:t xml:space="preserve"> (שבת שם) האריכו בזה. וע' תוס' (לקמן פ:)</w:t>
      </w:r>
      <w:r w:rsidRPr="00AF1DC8">
        <w:rPr>
          <w:rFonts w:ascii="Narkisim" w:hAnsi="Narkisim"/>
        </w:rPr>
        <w:t>.</w:t>
      </w:r>
    </w:p>
    <w:p w14:paraId="650D5634" w14:textId="77777777" w:rsidR="006074A5" w:rsidRPr="00AF1DC8" w:rsidRDefault="006074A5" w:rsidP="006074A5">
      <w:pPr>
        <w:pStyle w:val="aa"/>
        <w:bidi/>
        <w:rPr>
          <w:rFonts w:ascii="Narkisim" w:hAnsi="Narkisim"/>
        </w:rPr>
      </w:pPr>
      <w:r w:rsidRPr="00AF1DC8">
        <w:rPr>
          <w:rFonts w:ascii="Narkisim" w:hAnsi="Narkisim"/>
          <w:u w:val="single"/>
          <w:rtl/>
        </w:rPr>
        <w:t>בא"ד ואור"י דחיישי' למיעוט מצוי כזה, כמו במים שאין להם סוף וכו'</w:t>
      </w:r>
      <w:r w:rsidRPr="00AF1DC8">
        <w:rPr>
          <w:rFonts w:ascii="Narkisim" w:hAnsi="Narkisim"/>
          <w:rtl/>
        </w:rPr>
        <w:t>. [וכ"כ תוס' ע"ז מ:]. משמע דמים שאין להם סוף הוה מיעוט המצוי. וע"ע לקמן קכא</w:t>
      </w:r>
      <w:r w:rsidRPr="00AF1DC8">
        <w:rPr>
          <w:rFonts w:ascii="Narkisim" w:hAnsi="Narkisim"/>
        </w:rPr>
        <w:t>.</w:t>
      </w:r>
    </w:p>
    <w:p w14:paraId="4BB0F589" w14:textId="77777777" w:rsidR="006074A5" w:rsidRPr="00AF1DC8" w:rsidRDefault="006074A5" w:rsidP="006074A5">
      <w:pPr>
        <w:pStyle w:val="aa"/>
        <w:bidi/>
        <w:rPr>
          <w:rFonts w:ascii="Narkisim" w:hAnsi="Narkisim"/>
        </w:rPr>
      </w:pPr>
      <w:r w:rsidRPr="00AF1DC8">
        <w:rPr>
          <w:rFonts w:ascii="Narkisim" w:hAnsi="Narkisim"/>
          <w:u w:val="single"/>
          <w:rtl/>
        </w:rPr>
        <w:t>בא"ד דשמא התם משום ערוה החמירו.</w:t>
      </w:r>
      <w:r w:rsidRPr="00AF1DC8">
        <w:rPr>
          <w:rFonts w:ascii="Narkisim" w:hAnsi="Narkisim"/>
          <w:rtl/>
        </w:rPr>
        <w:t xml:space="preserve"> ה</w:t>
      </w:r>
      <w:r w:rsidRPr="00AF1DC8">
        <w:rPr>
          <w:rFonts w:ascii="Narkisim" w:hAnsi="Narkisim"/>
          <w:b/>
          <w:bCs/>
          <w:rtl/>
        </w:rPr>
        <w:t>אתוון דאורייתא</w:t>
      </w:r>
      <w:r w:rsidRPr="00AF1DC8">
        <w:rPr>
          <w:rFonts w:ascii="Narkisim" w:hAnsi="Narkisim"/>
          <w:rtl/>
        </w:rPr>
        <w:t xml:space="preserve"> (ח) הביא דמשמע בתוס' דיבמה לשוק לא נחשב דבר שבערוה. [ועי"ש שהאריך בזה מכמה סוגיות]. (וע"ע לקמן בסמוך)</w:t>
      </w:r>
      <w:r w:rsidRPr="00AF1DC8">
        <w:rPr>
          <w:rFonts w:ascii="Narkisim" w:hAnsi="Narkisim"/>
        </w:rPr>
        <w:t>.</w:t>
      </w:r>
    </w:p>
    <w:p w14:paraId="5EC87125" w14:textId="77777777" w:rsidR="006074A5" w:rsidRPr="00AF1DC8" w:rsidRDefault="006074A5" w:rsidP="006074A5">
      <w:pPr>
        <w:bidi/>
        <w:rPr>
          <w:rFonts w:ascii="Narkisim" w:hAnsi="Narkisim" w:cs="Narkisim"/>
        </w:rPr>
      </w:pPr>
      <w:r w:rsidRPr="00AF1DC8">
        <w:rPr>
          <w:rFonts w:ascii="Narkisim" w:hAnsi="Narkisim" w:cs="Narkisim"/>
          <w:u w:val="single"/>
          <w:rtl/>
        </w:rPr>
        <w:t>ואם אשת כהן אינה חולצת.</w:t>
      </w:r>
      <w:r w:rsidRPr="00AF1DC8">
        <w:rPr>
          <w:rFonts w:ascii="Narkisim" w:hAnsi="Narkisim" w:cs="Narkisim"/>
          <w:rtl/>
        </w:rPr>
        <w:t xml:space="preserve"> ה</w:t>
      </w:r>
      <w:r w:rsidRPr="00AF1DC8">
        <w:rPr>
          <w:rFonts w:ascii="Narkisim" w:hAnsi="Narkisim" w:cs="Narkisim"/>
          <w:b/>
          <w:bCs/>
          <w:rtl/>
        </w:rPr>
        <w:t>רא"ש</w:t>
      </w:r>
      <w:r w:rsidRPr="00AF1DC8">
        <w:rPr>
          <w:rFonts w:ascii="Narkisim" w:hAnsi="Narkisim" w:cs="Narkisim"/>
          <w:rtl/>
        </w:rPr>
        <w:t xml:space="preserve"> כת' דאע"ג דהוה ספק חלוצה לכהן דרבנן, והשתא קיימא בספק יבמה לשוק דאורייתא. מ"מ הכי עדיף שמא יאמרו קמו רבנן במילתא, ויתירו חלוצה לכהן [וע' תוס' לעיל כד.]. וה</w:t>
      </w:r>
      <w:r w:rsidRPr="00AF1DC8">
        <w:rPr>
          <w:rFonts w:ascii="Narkisim" w:hAnsi="Narkisim" w:cs="Narkisim"/>
          <w:b/>
          <w:bCs/>
          <w:rtl/>
        </w:rPr>
        <w:t>גר"א</w:t>
      </w:r>
      <w:r w:rsidRPr="00AF1DC8">
        <w:rPr>
          <w:rFonts w:ascii="Narkisim" w:hAnsi="Narkisim" w:cs="Narkisim"/>
          <w:rtl/>
        </w:rPr>
        <w:t xml:space="preserve"> (קנו יב) תי' דכיון דמדאורייתא אזלי' בתר רוב, ורבנן חיישו למיעוטא הו"ל תרוייהו דרבנן, ובהכי עדיף טפי דלא למאסין אגברין [ע”פ הגמ' לעיל טו.]. </w:t>
      </w:r>
      <w:r w:rsidRPr="00AF1DC8">
        <w:rPr>
          <w:rFonts w:ascii="Narkisim" w:hAnsi="Narkisim" w:cs="Narkisim"/>
          <w:sz w:val="20"/>
          <w:szCs w:val="20"/>
          <w:rtl/>
        </w:rPr>
        <w:t>[ויל"ד דבכמה מקומות אמרי' דעיקרו דאורייתא חמיר]</w:t>
      </w:r>
      <w:r w:rsidRPr="00AF1DC8">
        <w:rPr>
          <w:rFonts w:ascii="Narkisim" w:hAnsi="Narkisim" w:cs="Narkisim"/>
          <w:sz w:val="20"/>
          <w:szCs w:val="20"/>
        </w:rPr>
        <w:t>.</w:t>
      </w:r>
    </w:p>
    <w:p w14:paraId="4AA97341"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(יבום ב כא) פסק דכשהכהן גירש או מת צריכה חליצה. וה</w:t>
      </w:r>
      <w:r w:rsidRPr="00AF1DC8">
        <w:rPr>
          <w:rFonts w:ascii="Narkisim" w:hAnsi="Narkisim"/>
          <w:b/>
          <w:bCs/>
          <w:rtl/>
        </w:rPr>
        <w:t>משנ"ל</w:t>
      </w:r>
      <w:r w:rsidRPr="00AF1DC8">
        <w:rPr>
          <w:rFonts w:ascii="Narkisim" w:hAnsi="Narkisim"/>
          <w:rtl/>
        </w:rPr>
        <w:t xml:space="preserve"> הביא דדעת ה</w:t>
      </w:r>
      <w:r w:rsidRPr="00AF1DC8">
        <w:rPr>
          <w:rFonts w:ascii="Narkisim" w:hAnsi="Narkisim"/>
          <w:b/>
          <w:bCs/>
          <w:rtl/>
        </w:rPr>
        <w:t>ריא"ז</w:t>
      </w:r>
      <w:r w:rsidRPr="00AF1DC8">
        <w:rPr>
          <w:rFonts w:ascii="Narkisim" w:hAnsi="Narkisim"/>
          <w:rtl/>
        </w:rPr>
        <w:t xml:space="preserve"> דכיון דהותרה לכהן אי"צ חליצה</w:t>
      </w:r>
      <w:r w:rsidRPr="00AF1DC8">
        <w:rPr>
          <w:rStyle w:val="ac"/>
          <w:rFonts w:ascii="Narkisim" w:hAnsi="Narkisim"/>
          <w:rtl/>
        </w:rPr>
        <w:footnoteReference w:id="2191"/>
      </w:r>
      <w:r w:rsidRPr="00AF1DC8">
        <w:rPr>
          <w:rFonts w:ascii="Narkisim" w:hAnsi="Narkisim"/>
        </w:rPr>
        <w:t>.</w:t>
      </w:r>
    </w:p>
    <w:p w14:paraId="61B76425" w14:textId="77777777" w:rsidR="006074A5" w:rsidRPr="00AF1DC8" w:rsidRDefault="006074A5" w:rsidP="006074A5">
      <w:pPr>
        <w:pStyle w:val="3"/>
        <w:bidi/>
        <w:rPr>
          <w:rFonts w:ascii="Narkisim" w:hAnsi="Narkisim"/>
        </w:rPr>
      </w:pPr>
      <w:r w:rsidRPr="00AF1DC8">
        <w:rPr>
          <w:rFonts w:ascii="Narkisim" w:hAnsi="Narkisim"/>
          <w:rtl/>
        </w:rPr>
        <w:t>דף לז</w:t>
      </w:r>
      <w:r w:rsidRPr="00AF1DC8">
        <w:rPr>
          <w:rFonts w:ascii="Narkisim" w:hAnsi="Narkisim"/>
        </w:rPr>
        <w:t>.</w:t>
      </w:r>
    </w:p>
    <w:p w14:paraId="5389CFFC" w14:textId="77777777" w:rsidR="006074A5" w:rsidRPr="00AF1DC8" w:rsidRDefault="006074A5" w:rsidP="006074A5">
      <w:pPr>
        <w:bidi/>
        <w:rPr>
          <w:rFonts w:ascii="Narkisim" w:hAnsi="Narkisim" w:cs="Narkisim"/>
        </w:rPr>
      </w:pPr>
      <w:r w:rsidRPr="00AF1DC8">
        <w:rPr>
          <w:rFonts w:ascii="Narkisim" w:hAnsi="Narkisim" w:cs="Narkisim"/>
          <w:u w:val="single"/>
          <w:rtl/>
        </w:rPr>
        <w:t>הכא גבי מעוברת חבירו וכו' הנשואה לכהן וכו'</w:t>
      </w:r>
      <w:r w:rsidRPr="00AF1DC8">
        <w:rPr>
          <w:rFonts w:ascii="Narkisim" w:hAnsi="Narkisim" w:cs="Narkisim"/>
          <w:rtl/>
        </w:rPr>
        <w:t>. ולמסקנא אסורה. ה</w:t>
      </w:r>
      <w:r w:rsidRPr="00AF1DC8">
        <w:rPr>
          <w:rFonts w:ascii="Narkisim" w:hAnsi="Narkisim" w:cs="Narkisim"/>
          <w:b/>
          <w:bCs/>
          <w:rtl/>
        </w:rPr>
        <w:t xml:space="preserve">רשב"א </w:t>
      </w:r>
      <w:r w:rsidRPr="00AF1DC8">
        <w:rPr>
          <w:rFonts w:ascii="Narkisim" w:hAnsi="Narkisim" w:cs="Narkisim"/>
          <w:rtl/>
        </w:rPr>
        <w:t>כת' דמ"מ ביבמה לא קנסו שתאסר עליו עולמית. והכא היתה זקוקה לו וטעה בדבר מצוה</w:t>
      </w:r>
      <w:r w:rsidRPr="00AF1DC8">
        <w:rPr>
          <w:rFonts w:ascii="Narkisim" w:hAnsi="Narkisim" w:cs="Narkisim"/>
          <w:sz w:val="20"/>
          <w:szCs w:val="20"/>
          <w:rtl/>
        </w:rPr>
        <w:t xml:space="preserve"> [אע”ג דאין זמנו בהול].</w:t>
      </w:r>
      <w:r w:rsidRPr="00AF1DC8">
        <w:rPr>
          <w:rFonts w:ascii="Narkisim" w:hAnsi="Narkisim" w:cs="Narkisim"/>
          <w:rtl/>
        </w:rPr>
        <w:t xml:space="preserve"> ולא קנסו חכמים לאסור עולמית. </w:t>
      </w:r>
      <w:r w:rsidRPr="00AF1DC8">
        <w:rPr>
          <w:rFonts w:ascii="Narkisim" w:hAnsi="Narkisim" w:cs="Narkisim"/>
          <w:sz w:val="20"/>
          <w:szCs w:val="20"/>
          <w:rtl/>
        </w:rPr>
        <w:t>וכ”כ ה</w:t>
      </w:r>
      <w:r w:rsidRPr="00AF1DC8">
        <w:rPr>
          <w:rFonts w:ascii="Narkisim" w:hAnsi="Narkisim" w:cs="Narkisim"/>
          <w:b/>
          <w:bCs/>
          <w:sz w:val="20"/>
          <w:szCs w:val="20"/>
          <w:rtl/>
        </w:rPr>
        <w:t>ראב”ד</w:t>
      </w:r>
      <w:r w:rsidRPr="00AF1DC8">
        <w:rPr>
          <w:rFonts w:ascii="Narkisim" w:hAnsi="Narkisim" w:cs="Narkisim"/>
          <w:sz w:val="20"/>
          <w:szCs w:val="20"/>
          <w:rtl/>
        </w:rPr>
        <w:t xml:space="preserve"> (הו' בסמוך).</w:t>
      </w:r>
      <w:r w:rsidRPr="00AF1DC8">
        <w:rPr>
          <w:rFonts w:ascii="Narkisim" w:hAnsi="Narkisim" w:cs="Narkisim"/>
          <w:rtl/>
        </w:rPr>
        <w:t xml:space="preserve"> א"נ הכא דהוה איסור דאורייתא פריש מיניה </w:t>
      </w:r>
      <w:r w:rsidRPr="00AF1DC8">
        <w:rPr>
          <w:rFonts w:ascii="Narkisim" w:hAnsi="Narkisim" w:cs="Narkisim"/>
          <w:sz w:val="20"/>
          <w:szCs w:val="20"/>
          <w:rtl/>
        </w:rPr>
        <w:t>(וע' מש"כ ב</w:t>
      </w:r>
      <w:r w:rsidRPr="00AF1DC8">
        <w:rPr>
          <w:rFonts w:ascii="Narkisim" w:hAnsi="Narkisim" w:cs="Narkisim"/>
          <w:b/>
          <w:bCs/>
          <w:sz w:val="20"/>
          <w:szCs w:val="20"/>
          <w:rtl/>
        </w:rPr>
        <w:t>תוס'</w:t>
      </w:r>
      <w:r w:rsidRPr="00AF1DC8">
        <w:rPr>
          <w:rFonts w:ascii="Narkisim" w:hAnsi="Narkisim" w:cs="Narkisim"/>
          <w:sz w:val="20"/>
          <w:szCs w:val="20"/>
          <w:rtl/>
        </w:rPr>
        <w:t xml:space="preserve"> לו:).</w:t>
      </w:r>
      <w:r w:rsidRPr="00AF1DC8">
        <w:rPr>
          <w:rFonts w:ascii="Narkisim" w:hAnsi="Narkisim" w:cs="Narkisim"/>
          <w:rtl/>
        </w:rPr>
        <w:t xml:space="preserve"> וה</w:t>
      </w:r>
      <w:r w:rsidRPr="00AF1DC8">
        <w:rPr>
          <w:rFonts w:ascii="Narkisim" w:hAnsi="Narkisim" w:cs="Narkisim"/>
          <w:b/>
          <w:bCs/>
          <w:rtl/>
        </w:rPr>
        <w:t>לח"מ</w:t>
      </w:r>
      <w:r w:rsidRPr="00AF1DC8">
        <w:rPr>
          <w:rFonts w:ascii="Narkisim" w:hAnsi="Narkisim" w:cs="Narkisim"/>
          <w:rtl/>
        </w:rPr>
        <w:t xml:space="preserve"> הק' דהגמ' תלתה דברי ר' מאיר בר"א, הא יש לחלק דטעה בדבר מצוה. ו</w:t>
      </w:r>
      <w:r w:rsidRPr="00AF1DC8">
        <w:rPr>
          <w:rFonts w:ascii="Narkisim" w:hAnsi="Narkisim" w:cs="Narkisim"/>
          <w:b/>
          <w:bCs/>
          <w:rtl/>
        </w:rPr>
        <w:t>רע"א</w:t>
      </w:r>
      <w:r w:rsidRPr="00AF1DC8">
        <w:rPr>
          <w:rFonts w:ascii="Narkisim" w:hAnsi="Narkisim" w:cs="Narkisim"/>
          <w:rtl/>
        </w:rPr>
        <w:t xml:space="preserve"> תי' דר' מאיר ודאי קניס שוגג אטו מזיד</w:t>
      </w:r>
      <w:r w:rsidRPr="00AF1DC8">
        <w:rPr>
          <w:rFonts w:ascii="Narkisim" w:hAnsi="Narkisim" w:cs="Narkisim"/>
        </w:rPr>
        <w:t>.</w:t>
      </w:r>
    </w:p>
    <w:p w14:paraId="68FCC9A4" w14:textId="77777777" w:rsidR="006074A5" w:rsidRPr="00AF1DC8" w:rsidRDefault="006074A5" w:rsidP="006074A5">
      <w:pPr>
        <w:pStyle w:val="a7"/>
        <w:bidi/>
        <w:rPr>
          <w:rFonts w:ascii="Narkisim" w:hAnsi="Narkisim"/>
        </w:rPr>
      </w:pPr>
      <w:r w:rsidRPr="00AF1DC8">
        <w:rPr>
          <w:rFonts w:ascii="Narkisim" w:hAnsi="Narkisim"/>
          <w:rtl/>
        </w:rPr>
        <w:lastRenderedPageBreak/>
        <w:t>ועפ"ז פסק ה</w:t>
      </w:r>
      <w:r w:rsidRPr="00AF1DC8">
        <w:rPr>
          <w:rFonts w:ascii="Narkisim" w:hAnsi="Narkisim"/>
          <w:b/>
          <w:bCs/>
          <w:rtl/>
        </w:rPr>
        <w:t>רמ"א</w:t>
      </w:r>
      <w:r w:rsidRPr="00AF1DC8">
        <w:rPr>
          <w:rFonts w:ascii="Narkisim" w:hAnsi="Narkisim"/>
          <w:rtl/>
        </w:rPr>
        <w:t xml:space="preserve"> (קסד ד) דהבא על יבמתו שניכר עוברה יוציא בגט, דלא טעה בדבר מצוה</w:t>
      </w:r>
      <w:r w:rsidRPr="00AF1DC8">
        <w:rPr>
          <w:rFonts w:ascii="Narkisim" w:hAnsi="Narkisim"/>
        </w:rPr>
        <w:t>.</w:t>
      </w:r>
    </w:p>
    <w:p w14:paraId="44D08347" w14:textId="77777777" w:rsidR="006074A5" w:rsidRPr="00AF1DC8" w:rsidRDefault="006074A5" w:rsidP="006074A5">
      <w:pPr>
        <w:bidi/>
        <w:rPr>
          <w:rFonts w:ascii="Narkisim" w:hAnsi="Narkisim" w:cs="Narkisim"/>
        </w:rPr>
      </w:pPr>
      <w:r w:rsidRPr="00AF1DC8">
        <w:rPr>
          <w:rFonts w:ascii="Narkisim" w:hAnsi="Narkisim" w:cs="Narkisim"/>
          <w:u w:val="single"/>
          <w:rtl/>
        </w:rPr>
        <w:t>וברח וכו' עירוקיה מסתייה</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דגלי דעתיה דלא בעי לכנוס. וה</w:t>
      </w:r>
      <w:r w:rsidRPr="00AF1DC8">
        <w:rPr>
          <w:rFonts w:ascii="Narkisim" w:hAnsi="Narkisim" w:cs="Narkisim"/>
          <w:b/>
          <w:bCs/>
          <w:rtl/>
        </w:rPr>
        <w:t xml:space="preserve">רא"ש </w:t>
      </w:r>
      <w:r w:rsidRPr="00AF1DC8">
        <w:rPr>
          <w:rFonts w:ascii="Narkisim" w:hAnsi="Narkisim" w:cs="Narkisim"/>
          <w:rtl/>
        </w:rPr>
        <w:t>כת' דאמרי' ליה לכתחילה לברוח</w:t>
      </w:r>
      <w:r w:rsidRPr="00AF1DC8">
        <w:rPr>
          <w:rFonts w:ascii="Narkisim" w:hAnsi="Narkisim" w:cs="Narkisim"/>
        </w:rPr>
        <w:t>.</w:t>
      </w:r>
    </w:p>
    <w:p w14:paraId="0E49077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פסק דצריך לברוח רחוק שלא יוכל לחזור עד ג' חדשים. וה</w:t>
      </w:r>
      <w:r w:rsidRPr="00AF1DC8">
        <w:rPr>
          <w:rFonts w:ascii="Narkisim" w:hAnsi="Narkisim"/>
          <w:b/>
          <w:bCs/>
          <w:rtl/>
        </w:rPr>
        <w:t>שו"ע</w:t>
      </w:r>
      <w:r w:rsidRPr="00AF1DC8">
        <w:rPr>
          <w:rFonts w:ascii="Narkisim" w:hAnsi="Narkisim"/>
          <w:rtl/>
        </w:rPr>
        <w:t xml:space="preserve"> (יג י) כ' דאין נראה כן מדעת שאר פוסקים. וה</w:t>
      </w:r>
      <w:r w:rsidRPr="00AF1DC8">
        <w:rPr>
          <w:rFonts w:ascii="Narkisim" w:hAnsi="Narkisim"/>
          <w:b/>
          <w:bCs/>
          <w:rtl/>
        </w:rPr>
        <w:t>גר"א</w:t>
      </w:r>
      <w:r w:rsidRPr="00AF1DC8">
        <w:rPr>
          <w:rFonts w:ascii="Narkisim" w:hAnsi="Narkisim"/>
          <w:rtl/>
        </w:rPr>
        <w:t xml:space="preserve"> (ל והיש”ש) ציין דממ"ש </w:t>
      </w:r>
      <w:r w:rsidRPr="00AF1DC8">
        <w:rPr>
          <w:rFonts w:ascii="Narkisim" w:hAnsi="Narkisim"/>
          <w:b/>
          <w:bCs/>
          <w:rtl/>
        </w:rPr>
        <w:t>רש"י</w:t>
      </w:r>
      <w:r w:rsidRPr="00AF1DC8">
        <w:rPr>
          <w:rFonts w:ascii="Narkisim" w:hAnsi="Narkisim"/>
          <w:rtl/>
        </w:rPr>
        <w:t xml:space="preserve"> 'דגלי וכו' לא משמע כן</w:t>
      </w:r>
      <w:r w:rsidRPr="00AF1DC8">
        <w:rPr>
          <w:rStyle w:val="ac"/>
          <w:rFonts w:ascii="Narkisim" w:hAnsi="Narkisim"/>
          <w:rtl/>
        </w:rPr>
        <w:footnoteReference w:id="2192"/>
      </w:r>
      <w:r w:rsidRPr="00AF1DC8">
        <w:rPr>
          <w:rFonts w:ascii="Narkisim" w:hAnsi="Narkisim"/>
        </w:rPr>
        <w:t>.</w:t>
      </w:r>
    </w:p>
    <w:p w14:paraId="22AF7349" w14:textId="77777777" w:rsidR="006074A5" w:rsidRPr="00AF1DC8" w:rsidRDefault="006074A5" w:rsidP="006074A5">
      <w:pPr>
        <w:bidi/>
        <w:rPr>
          <w:rFonts w:ascii="Narkisim" w:hAnsi="Narkisim" w:cs="Narkisim"/>
        </w:rPr>
      </w:pPr>
      <w:r w:rsidRPr="00AF1DC8">
        <w:rPr>
          <w:rFonts w:ascii="Narkisim" w:hAnsi="Narkisim" w:cs="Narkisim"/>
          <w:u w:val="single"/>
          <w:rtl/>
        </w:rPr>
        <w:t>רש"י ד"ה עירוקיה.</w:t>
      </w:r>
      <w:r w:rsidRPr="00AF1DC8">
        <w:rPr>
          <w:rFonts w:ascii="Narkisim" w:hAnsi="Narkisim" w:cs="Narkisim"/>
          <w:rtl/>
        </w:rPr>
        <w:t xml:space="preserve"> דגלי דעתיה</w:t>
      </w:r>
      <w:r w:rsidRPr="00AF1DC8">
        <w:rPr>
          <w:rStyle w:val="ac"/>
          <w:rFonts w:ascii="Narkisim" w:hAnsi="Narkisim" w:cs="Narkisim"/>
          <w:rtl/>
        </w:rPr>
        <w:footnoteReference w:id="2193"/>
      </w:r>
      <w:r w:rsidRPr="00AF1DC8">
        <w:rPr>
          <w:rFonts w:ascii="Narkisim" w:hAnsi="Narkisim" w:cs="Narkisim"/>
        </w:rPr>
        <w:t xml:space="preserve"> </w:t>
      </w:r>
      <w:r w:rsidRPr="00AF1DC8">
        <w:rPr>
          <w:rFonts w:ascii="Narkisim" w:hAnsi="Narkisim" w:cs="Narkisim"/>
          <w:rtl/>
        </w:rPr>
        <w:t>דלא בעי לכנוס עד זמנו. ה</w:t>
      </w:r>
      <w:r w:rsidRPr="00AF1DC8">
        <w:rPr>
          <w:rFonts w:ascii="Narkisim" w:hAnsi="Narkisim" w:cs="Narkisim"/>
          <w:b/>
          <w:bCs/>
          <w:rtl/>
        </w:rPr>
        <w:t>רמב"ן</w:t>
      </w:r>
      <w:r w:rsidRPr="00AF1DC8">
        <w:rPr>
          <w:rFonts w:ascii="Narkisim" w:hAnsi="Narkisim" w:cs="Narkisim"/>
          <w:rtl/>
        </w:rPr>
        <w:t xml:space="preserve"> דייק דדוקא לא כנס, אבל אם כנס ל"מ עד שיגרש. וכ"ד ה</w:t>
      </w:r>
      <w:r w:rsidRPr="00AF1DC8">
        <w:rPr>
          <w:rFonts w:ascii="Narkisim" w:hAnsi="Narkisim" w:cs="Narkisim"/>
          <w:b/>
          <w:bCs/>
          <w:rtl/>
        </w:rPr>
        <w:t>ראב"ד</w:t>
      </w:r>
      <w:r w:rsidRPr="00AF1DC8">
        <w:rPr>
          <w:rFonts w:ascii="Narkisim" w:hAnsi="Narkisim" w:cs="Narkisim"/>
          <w:sz w:val="20"/>
          <w:szCs w:val="20"/>
          <w:rtl/>
        </w:rPr>
        <w:t xml:space="preserve"> (גירושין יא כד), </w:t>
      </w:r>
      <w:r w:rsidRPr="00AF1DC8">
        <w:rPr>
          <w:rFonts w:ascii="Narkisim" w:hAnsi="Narkisim" w:cs="Narkisim"/>
          <w:rtl/>
        </w:rPr>
        <w:t>והוסיף דקנסו לאסור בימים שנהג היתר</w:t>
      </w:r>
      <w:r w:rsidRPr="00AF1DC8">
        <w:rPr>
          <w:rStyle w:val="ac"/>
          <w:rFonts w:ascii="Narkisim" w:hAnsi="Narkisim" w:cs="Narkisim"/>
          <w:rtl/>
        </w:rPr>
        <w:footnoteReference w:id="2194"/>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רשב"א</w:t>
      </w:r>
      <w:r w:rsidRPr="00AF1DC8">
        <w:rPr>
          <w:rFonts w:ascii="Narkisim" w:hAnsi="Narkisim" w:cs="Narkisim"/>
          <w:rtl/>
        </w:rPr>
        <w:t xml:space="preserve"> הביא מדברי הראב"ד דמשמע דבעי גט משום קנס. וה</w:t>
      </w:r>
      <w:r w:rsidRPr="00AF1DC8">
        <w:rPr>
          <w:rFonts w:ascii="Narkisim" w:hAnsi="Narkisim" w:cs="Narkisim"/>
          <w:b/>
          <w:bCs/>
          <w:rtl/>
        </w:rPr>
        <w:t>רשב"א</w:t>
      </w:r>
      <w:r w:rsidRPr="00AF1DC8">
        <w:rPr>
          <w:rFonts w:ascii="Narkisim" w:hAnsi="Narkisim" w:cs="Narkisim"/>
          <w:rtl/>
        </w:rPr>
        <w:t xml:space="preserve"> חלק דהוה משום תקנת ולד. ולכן לא חששו אפי' במקום כהן</w:t>
      </w:r>
      <w:r w:rsidRPr="00AF1DC8">
        <w:rPr>
          <w:rFonts w:ascii="Narkisim" w:hAnsi="Narkisim" w:cs="Narkisim"/>
        </w:rPr>
        <w:t>.</w:t>
      </w:r>
    </w:p>
    <w:p w14:paraId="3FE68D50"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ראב"ד</w:t>
      </w:r>
      <w:r w:rsidRPr="00AF1DC8">
        <w:rPr>
          <w:rFonts w:ascii="Narkisim" w:hAnsi="Narkisim"/>
          <w:rtl/>
        </w:rPr>
        <w:t xml:space="preserve"> כתב דלא דמי ליבמתו דאם יגרש נאסרה עליו. וה</w:t>
      </w:r>
      <w:r w:rsidRPr="00AF1DC8">
        <w:rPr>
          <w:rFonts w:ascii="Narkisim" w:hAnsi="Narkisim"/>
          <w:b/>
          <w:bCs/>
          <w:rtl/>
        </w:rPr>
        <w:t>לח”מ</w:t>
      </w:r>
      <w:r w:rsidRPr="00AF1DC8">
        <w:rPr>
          <w:rFonts w:ascii="Narkisim" w:hAnsi="Narkisim"/>
          <w:rtl/>
        </w:rPr>
        <w:t xml:space="preserve"> הק' דמבואר במעוברת חבירו, דבכהן קנסו. ותי' דהתם איסורו חמור טפי משום סכנת הולד. וה</w:t>
      </w:r>
      <w:r w:rsidRPr="00AF1DC8">
        <w:rPr>
          <w:rFonts w:ascii="Narkisim" w:hAnsi="Narkisim"/>
          <w:b/>
          <w:bCs/>
          <w:rtl/>
        </w:rPr>
        <w:t>אבנ"מ</w:t>
      </w:r>
      <w:r w:rsidRPr="00AF1DC8">
        <w:rPr>
          <w:rFonts w:ascii="Narkisim" w:hAnsi="Narkisim"/>
          <w:rtl/>
        </w:rPr>
        <w:t xml:space="preserve"> (יג ה) כת' דאף לראב”ד עיקר ההפרשה שלא יבא עליה, וכוונת הראב”ד דאף דכבר הפילה, מ”מ משום קנס צריך להמתין כמנין הימים ולשיטתו, ומשום הך קנס כתב דאין מוציאין</w:t>
      </w:r>
      <w:r w:rsidRPr="00AF1DC8">
        <w:rPr>
          <w:rFonts w:ascii="Narkisim" w:hAnsi="Narkisim"/>
        </w:rPr>
        <w:t>.</w:t>
      </w:r>
    </w:p>
    <w:p w14:paraId="0AC80F15"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רמב"ם</w:t>
      </w:r>
      <w:r w:rsidRPr="00AF1DC8">
        <w:rPr>
          <w:rFonts w:ascii="Narkisim" w:hAnsi="Narkisim"/>
          <w:rtl/>
        </w:rPr>
        <w:t xml:space="preserve"> (שם) כת' דהכונס תוך צ' מפרישים עד צ' יום [ואי”צ גט], אבל מנדים אותו, ואם ברח מהני להצילו מנידוי. וה</w:t>
      </w:r>
      <w:r w:rsidRPr="00AF1DC8">
        <w:rPr>
          <w:rFonts w:ascii="Narkisim" w:hAnsi="Narkisim"/>
          <w:b/>
          <w:bCs/>
          <w:rtl/>
        </w:rPr>
        <w:t>רמב"ן</w:t>
      </w:r>
      <w:r w:rsidRPr="00AF1DC8">
        <w:rPr>
          <w:rFonts w:ascii="Narkisim" w:hAnsi="Narkisim"/>
          <w:rtl/>
        </w:rPr>
        <w:t xml:space="preserve"> ו</w:t>
      </w:r>
      <w:r w:rsidRPr="00AF1DC8">
        <w:rPr>
          <w:rFonts w:ascii="Narkisim" w:hAnsi="Narkisim"/>
          <w:b/>
          <w:bCs/>
          <w:rtl/>
        </w:rPr>
        <w:t>ה"ה</w:t>
      </w:r>
      <w:r w:rsidRPr="00AF1DC8">
        <w:rPr>
          <w:rFonts w:ascii="Narkisim" w:hAnsi="Narkisim"/>
          <w:rtl/>
        </w:rPr>
        <w:t xml:space="preserve"> ביארו דאין להוסיף גזירת בדבריהם, ועוד כיון דהוא זמן קצר יכולים לישמר</w:t>
      </w:r>
      <w:r w:rsidRPr="00AF1DC8">
        <w:rPr>
          <w:rFonts w:ascii="Narkisim" w:hAnsi="Narkisim"/>
        </w:rPr>
        <w:t>.</w:t>
      </w:r>
    </w:p>
    <w:p w14:paraId="37F74403"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נמוק"י</w:t>
      </w:r>
      <w:r w:rsidRPr="00AF1DC8">
        <w:rPr>
          <w:rFonts w:ascii="Narkisim" w:hAnsi="Narkisim"/>
          <w:rtl/>
        </w:rPr>
        <w:t xml:space="preserve"> הביא בשם </w:t>
      </w:r>
      <w:r w:rsidRPr="00AF1DC8">
        <w:rPr>
          <w:rFonts w:ascii="Narkisim" w:hAnsi="Narkisim"/>
          <w:b/>
          <w:bCs/>
          <w:rtl/>
        </w:rPr>
        <w:t>רבותיו</w:t>
      </w:r>
      <w:r w:rsidRPr="00AF1DC8">
        <w:rPr>
          <w:rFonts w:ascii="Narkisim" w:hAnsi="Narkisim"/>
          <w:rtl/>
        </w:rPr>
        <w:t xml:space="preserve"> דהמקדש קטנה [דאינה ראויה לילד] תוך צ' אי"צ לגרש, דהוה גזירה בעלמא. [וכיון דהוה משום לא פלוג בעלמא לא גזרו כה"ג]</w:t>
      </w:r>
      <w:r w:rsidRPr="00AF1DC8">
        <w:rPr>
          <w:rFonts w:ascii="Narkisim" w:hAnsi="Narkisim"/>
        </w:rPr>
        <w:t>.</w:t>
      </w:r>
    </w:p>
    <w:p w14:paraId="23F90773" w14:textId="77777777" w:rsidR="006074A5" w:rsidRPr="00AF1DC8" w:rsidRDefault="006074A5" w:rsidP="006074A5">
      <w:pPr>
        <w:pStyle w:val="aa"/>
        <w:bidi/>
        <w:rPr>
          <w:rFonts w:ascii="Narkisim" w:hAnsi="Narkisim"/>
        </w:rPr>
      </w:pPr>
      <w:r w:rsidRPr="00AF1DC8">
        <w:rPr>
          <w:rFonts w:ascii="Narkisim" w:hAnsi="Narkisim"/>
          <w:u w:val="single"/>
          <w:rtl/>
        </w:rPr>
        <w:t>וזו הואיל ולא הוכר וכו' איתרע ליה רובא</w:t>
      </w:r>
      <w:r w:rsidRPr="00AF1DC8">
        <w:rPr>
          <w:rFonts w:ascii="Narkisim" w:hAnsi="Narkisim"/>
          <w:rtl/>
        </w:rPr>
        <w:t>. משמע דמיעוט אין עוברה ניכר לג' חדשים. וה</w:t>
      </w:r>
      <w:r w:rsidRPr="00AF1DC8">
        <w:rPr>
          <w:rFonts w:ascii="Narkisim" w:hAnsi="Narkisim"/>
          <w:b/>
          <w:bCs/>
          <w:rtl/>
        </w:rPr>
        <w:t>מצפ"א</w:t>
      </w:r>
      <w:r w:rsidRPr="00AF1DC8">
        <w:rPr>
          <w:rFonts w:ascii="Narkisim" w:hAnsi="Narkisim"/>
          <w:rtl/>
        </w:rPr>
        <w:t xml:space="preserve"> כת' דה"מ בסתמא, אך אי בדקוה (ע"ד הא דאי' לקמן מב.) אמרי' דודאי הוה של שני</w:t>
      </w:r>
      <w:r w:rsidRPr="00AF1DC8">
        <w:rPr>
          <w:rFonts w:ascii="Narkisim" w:hAnsi="Narkisim"/>
        </w:rPr>
        <w:t>.</w:t>
      </w:r>
    </w:p>
    <w:p w14:paraId="239F90E2" w14:textId="77777777" w:rsidR="006074A5" w:rsidRPr="00AF1DC8" w:rsidRDefault="006074A5" w:rsidP="006074A5">
      <w:pPr>
        <w:pStyle w:val="aa"/>
        <w:bidi/>
        <w:rPr>
          <w:rFonts w:ascii="Narkisim" w:hAnsi="Narkisim"/>
        </w:rPr>
      </w:pPr>
      <w:r w:rsidRPr="00AF1DC8">
        <w:rPr>
          <w:rFonts w:ascii="Narkisim" w:hAnsi="Narkisim"/>
          <w:u w:val="single"/>
          <w:rtl/>
        </w:rPr>
        <w:t>תוד"ה רוב.</w:t>
      </w:r>
      <w:r w:rsidRPr="00AF1DC8">
        <w:rPr>
          <w:rFonts w:ascii="Narkisim" w:hAnsi="Narkisim"/>
          <w:rtl/>
        </w:rPr>
        <w:t xml:space="preserve"> אלא ע"כ כל מקום שיכול לבא לידי ספק החמירו חכמים. יל”ד אי כוונת התוס' דבהבחנה החמירו שלא לסמוך על הרוב.[ויש שהביאו דבתקנת הבחנה חששו אף לצדדים רחוקים</w:t>
      </w:r>
      <w:r w:rsidRPr="00AF1DC8">
        <w:rPr>
          <w:rStyle w:val="ac"/>
          <w:rFonts w:ascii="Narkisim" w:hAnsi="Narkisim"/>
          <w:rtl/>
        </w:rPr>
        <w:footnoteReference w:id="2195"/>
      </w:r>
      <w:r w:rsidRPr="00AF1DC8">
        <w:rPr>
          <w:rFonts w:ascii="Narkisim" w:hAnsi="Narkisim"/>
          <w:rtl/>
        </w:rPr>
        <w:t>]. א"נ דהכא חששו שמא תתעבר ואח"כ יהא ספק לפנינו</w:t>
      </w:r>
      <w:r w:rsidRPr="00AF1DC8">
        <w:rPr>
          <w:rStyle w:val="ac"/>
          <w:rFonts w:ascii="Narkisim" w:hAnsi="Narkisim"/>
          <w:rtl/>
        </w:rPr>
        <w:footnoteReference w:id="2196"/>
      </w:r>
      <w:r w:rsidRPr="00AF1DC8">
        <w:rPr>
          <w:rFonts w:ascii="Narkisim" w:hAnsi="Narkisim"/>
        </w:rPr>
        <w:t>.</w:t>
      </w:r>
    </w:p>
    <w:p w14:paraId="3B85FA3B" w14:textId="77777777" w:rsidR="006074A5" w:rsidRPr="00AF1DC8" w:rsidRDefault="006074A5" w:rsidP="006074A5">
      <w:pPr>
        <w:bidi/>
        <w:rPr>
          <w:rFonts w:ascii="Narkisim" w:hAnsi="Narkisim" w:cs="Narkisim"/>
        </w:rPr>
      </w:pPr>
      <w:r w:rsidRPr="00AF1DC8">
        <w:rPr>
          <w:rFonts w:ascii="Narkisim" w:hAnsi="Narkisim" w:cs="Narkisim"/>
          <w:u w:val="single"/>
          <w:rtl/>
        </w:rPr>
        <w:t>בא"ד וי"ל דכ"כ לא היה משתהא הכרת העובר וכו'</w:t>
      </w:r>
      <w:r w:rsidRPr="00AF1DC8">
        <w:rPr>
          <w:rFonts w:ascii="Narkisim" w:hAnsi="Narkisim" w:cs="Narkisim"/>
          <w:rtl/>
        </w:rPr>
        <w:t>. וכיון דלאחא שנשאת לא הוכר עוברה הוכרע דנתעברה משני. ה</w:t>
      </w:r>
      <w:r w:rsidRPr="00AF1DC8">
        <w:rPr>
          <w:rFonts w:ascii="Narkisim" w:hAnsi="Narkisim" w:cs="Narkisim"/>
          <w:b/>
          <w:bCs/>
          <w:rtl/>
        </w:rPr>
        <w:t>נוב"י</w:t>
      </w:r>
      <w:r w:rsidRPr="00AF1DC8">
        <w:rPr>
          <w:rFonts w:ascii="Narkisim" w:hAnsi="Narkisim" w:cs="Narkisim"/>
          <w:rtl/>
        </w:rPr>
        <w:t xml:space="preserve"> (ק' ס"ס סט) ו</w:t>
      </w:r>
      <w:r w:rsidRPr="00AF1DC8">
        <w:rPr>
          <w:rFonts w:ascii="Narkisim" w:hAnsi="Narkisim" w:cs="Narkisim"/>
          <w:b/>
          <w:bCs/>
          <w:rtl/>
        </w:rPr>
        <w:t>רע"א</w:t>
      </w:r>
      <w:r w:rsidRPr="00AF1DC8">
        <w:rPr>
          <w:rFonts w:ascii="Narkisim" w:hAnsi="Narkisim" w:cs="Narkisim"/>
          <w:rtl/>
        </w:rPr>
        <w:t xml:space="preserve"> הקשו דמ"מ קשה היאך שרי ליבם אחר ג' חדשים</w:t>
      </w:r>
      <w:r w:rsidRPr="00AF1DC8">
        <w:rPr>
          <w:rFonts w:ascii="Narkisim" w:hAnsi="Narkisim" w:cs="Narkisim"/>
        </w:rPr>
        <w:t>.</w:t>
      </w:r>
    </w:p>
    <w:p w14:paraId="1DDD71E4" w14:textId="77777777" w:rsidR="006074A5" w:rsidRPr="00AF1DC8" w:rsidRDefault="006074A5" w:rsidP="006074A5">
      <w:pPr>
        <w:pStyle w:val="a7"/>
        <w:bidi/>
        <w:rPr>
          <w:rFonts w:ascii="Narkisim" w:hAnsi="Narkisim"/>
        </w:rPr>
      </w:pPr>
      <w:r w:rsidRPr="00AF1DC8">
        <w:rPr>
          <w:rFonts w:ascii="Narkisim" w:hAnsi="Narkisim"/>
          <w:rtl/>
        </w:rPr>
        <w:t>והנוב”י חידש דאם נקלט אחרי מיתתו כבר זקוקה ליבום, דבשעת מיתה קרינן ביה בן אין לו. ודוקא היכא דכבר מעוברת</w:t>
      </w:r>
      <w:r w:rsidRPr="00AF1DC8">
        <w:rPr>
          <w:rStyle w:val="ac"/>
          <w:rFonts w:ascii="Narkisim" w:hAnsi="Narkisim"/>
          <w:rtl/>
        </w:rPr>
        <w:footnoteReference w:id="2197"/>
      </w:r>
      <w:r w:rsidRPr="00AF1DC8">
        <w:rPr>
          <w:rFonts w:ascii="Narkisim" w:hAnsi="Narkisim"/>
        </w:rPr>
        <w:t xml:space="preserve"> </w:t>
      </w:r>
      <w:r w:rsidRPr="00AF1DC8">
        <w:rPr>
          <w:rFonts w:ascii="Narkisim" w:hAnsi="Narkisim"/>
          <w:rtl/>
        </w:rPr>
        <w:t>אמרי' עיין עליו, אבל היכא דלא נקלט עדיין חל דין יבום</w:t>
      </w:r>
      <w:r w:rsidRPr="00AF1DC8">
        <w:rPr>
          <w:rStyle w:val="ac"/>
          <w:rFonts w:ascii="Narkisim" w:hAnsi="Narkisim"/>
          <w:rtl/>
        </w:rPr>
        <w:footnoteReference w:id="2198"/>
      </w:r>
      <w:r w:rsidRPr="00AF1DC8">
        <w:rPr>
          <w:rFonts w:ascii="Narkisim" w:hAnsi="Narkisim"/>
        </w:rPr>
        <w:t xml:space="preserve">. </w:t>
      </w:r>
      <w:r w:rsidRPr="00AF1DC8">
        <w:rPr>
          <w:rFonts w:ascii="Narkisim" w:hAnsi="Narkisim"/>
          <w:rtl/>
        </w:rPr>
        <w:t>[ומש"ה תתייבם</w:t>
      </w:r>
      <w:r w:rsidRPr="00AF1DC8">
        <w:rPr>
          <w:rStyle w:val="ac"/>
          <w:rFonts w:ascii="Narkisim" w:hAnsi="Narkisim"/>
          <w:rtl/>
        </w:rPr>
        <w:footnoteReference w:id="2199"/>
      </w:r>
      <w:r w:rsidRPr="00AF1DC8">
        <w:rPr>
          <w:rFonts w:ascii="Narkisim" w:hAnsi="Narkisim"/>
          <w:rtl/>
        </w:rPr>
        <w:t>]. וב</w:t>
      </w:r>
      <w:r w:rsidRPr="00AF1DC8">
        <w:rPr>
          <w:rFonts w:ascii="Narkisim" w:hAnsi="Narkisim"/>
          <w:b/>
          <w:bCs/>
          <w:rtl/>
        </w:rPr>
        <w:t>חי' ר' שמעון</w:t>
      </w:r>
      <w:r w:rsidRPr="00AF1DC8">
        <w:rPr>
          <w:rFonts w:ascii="Narkisim" w:hAnsi="Narkisim"/>
          <w:rtl/>
        </w:rPr>
        <w:t xml:space="preserve"> (לג) תמה דכיון דהוה בנו היאך זקוקה ליבום, וכ"ש לתי' ה</w:t>
      </w:r>
      <w:r w:rsidRPr="00AF1DC8">
        <w:rPr>
          <w:rFonts w:ascii="Narkisim" w:hAnsi="Narkisim"/>
          <w:b/>
          <w:bCs/>
          <w:rtl/>
        </w:rPr>
        <w:t xml:space="preserve">תוס' </w:t>
      </w:r>
      <w:r w:rsidRPr="00AF1DC8">
        <w:rPr>
          <w:rFonts w:ascii="Narkisim" w:hAnsi="Narkisim"/>
          <w:rtl/>
        </w:rPr>
        <w:t>(לה: ד"ה והא) דלא קרינן ביה לא ימחה</w:t>
      </w:r>
      <w:r w:rsidRPr="00AF1DC8">
        <w:rPr>
          <w:rStyle w:val="ac"/>
          <w:rFonts w:ascii="Narkisim" w:hAnsi="Narkisim"/>
          <w:rtl/>
        </w:rPr>
        <w:footnoteReference w:id="2200"/>
      </w:r>
      <w:r w:rsidRPr="00AF1DC8">
        <w:rPr>
          <w:rFonts w:ascii="Narkisim" w:hAnsi="Narkisim"/>
        </w:rPr>
        <w:t>.</w:t>
      </w:r>
    </w:p>
    <w:p w14:paraId="5367041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sz w:val="20"/>
          <w:szCs w:val="20"/>
          <w:rtl/>
        </w:rPr>
        <w:t>(הג' ראמ"ה, ר' שמעון, ע' מהרצ"ח)</w:t>
      </w:r>
      <w:r w:rsidRPr="00AF1DC8">
        <w:rPr>
          <w:rFonts w:ascii="Narkisim" w:hAnsi="Narkisim"/>
          <w:rtl/>
        </w:rPr>
        <w:t xml:space="preserve"> תי' דלענין איסור ניחא, דבאיסורין סמכי' ארוב [דנקלט לאלתר</w:t>
      </w:r>
      <w:r w:rsidRPr="00AF1DC8">
        <w:rPr>
          <w:rStyle w:val="ac"/>
          <w:rFonts w:ascii="Narkisim" w:hAnsi="Narkisim"/>
          <w:rtl/>
        </w:rPr>
        <w:footnoteReference w:id="2201"/>
      </w:r>
      <w:r w:rsidRPr="00AF1DC8">
        <w:rPr>
          <w:rFonts w:ascii="Narkisim" w:hAnsi="Narkisim"/>
          <w:rtl/>
        </w:rPr>
        <w:t xml:space="preserve">]. ותוס' הקשו רק גבי הבחנה דיש להחמיר, כיון דאם תתעבר יהא הולד </w:t>
      </w:r>
      <w:r w:rsidRPr="00AF1DC8">
        <w:rPr>
          <w:rFonts w:ascii="Narkisim" w:hAnsi="Narkisim"/>
          <w:rtl/>
        </w:rPr>
        <w:lastRenderedPageBreak/>
        <w:t xml:space="preserve">ספק לפנינו. </w:t>
      </w:r>
      <w:r w:rsidRPr="00AF1DC8">
        <w:rPr>
          <w:rFonts w:ascii="Narkisim" w:hAnsi="Narkisim"/>
          <w:sz w:val="20"/>
          <w:szCs w:val="20"/>
          <w:rtl/>
        </w:rPr>
        <w:t xml:space="preserve">וכן </w:t>
      </w:r>
      <w:r w:rsidRPr="00AF1DC8">
        <w:rPr>
          <w:rFonts w:ascii="Narkisim" w:hAnsi="Narkisim"/>
          <w:b/>
          <w:bCs/>
          <w:sz w:val="20"/>
          <w:szCs w:val="20"/>
          <w:rtl/>
        </w:rPr>
        <w:t xml:space="preserve">רע"א </w:t>
      </w:r>
      <w:r w:rsidRPr="00AF1DC8">
        <w:rPr>
          <w:rFonts w:ascii="Narkisim" w:hAnsi="Narkisim"/>
          <w:sz w:val="20"/>
          <w:szCs w:val="20"/>
          <w:rtl/>
        </w:rPr>
        <w:t>הביא לתרץ כן, אך רע"א דן אי הדין כן דהרוב דנקלט לאלתר</w:t>
      </w:r>
      <w:r w:rsidRPr="00AF1DC8">
        <w:rPr>
          <w:rStyle w:val="ac"/>
          <w:rFonts w:ascii="Narkisim" w:hAnsi="Narkisim"/>
          <w:sz w:val="20"/>
          <w:szCs w:val="20"/>
          <w:rtl/>
        </w:rPr>
        <w:footnoteReference w:id="2202"/>
      </w:r>
      <w:r w:rsidRPr="00AF1DC8">
        <w:rPr>
          <w:rFonts w:ascii="Narkisim" w:hAnsi="Narkisim"/>
          <w:sz w:val="20"/>
          <w:szCs w:val="20"/>
        </w:rPr>
        <w:t>.</w:t>
      </w:r>
    </w:p>
    <w:p w14:paraId="32155634" w14:textId="77777777" w:rsidR="006074A5" w:rsidRPr="00AF1DC8" w:rsidRDefault="006074A5" w:rsidP="006074A5">
      <w:pPr>
        <w:bidi/>
        <w:rPr>
          <w:rFonts w:ascii="Narkisim" w:hAnsi="Narkisim" w:cs="Narkisim"/>
        </w:rPr>
      </w:pPr>
      <w:r w:rsidRPr="00AF1DC8">
        <w:rPr>
          <w:rFonts w:ascii="Narkisim" w:hAnsi="Narkisim" w:cs="Narkisim"/>
          <w:u w:val="single"/>
          <w:rtl/>
        </w:rPr>
        <w:t>תוד"ה וזו.</w:t>
      </w:r>
      <w:r w:rsidRPr="00AF1DC8">
        <w:rPr>
          <w:rFonts w:ascii="Narkisim" w:hAnsi="Narkisim" w:cs="Narkisim"/>
          <w:rtl/>
        </w:rPr>
        <w:t xml:space="preserve"> דסמוך מיעוט יולדות לז' וכו' ואיתרע ליה רובא וכו'. </w:t>
      </w:r>
      <w:r w:rsidRPr="00AF1DC8">
        <w:rPr>
          <w:rFonts w:ascii="Narkisim" w:hAnsi="Narkisim" w:cs="Narkisim"/>
          <w:b/>
          <w:bCs/>
          <w:rtl/>
        </w:rPr>
        <w:t>רע"א</w:t>
      </w:r>
      <w:r w:rsidRPr="00AF1DC8">
        <w:rPr>
          <w:rFonts w:ascii="Narkisim" w:hAnsi="Narkisim" w:cs="Narkisim"/>
          <w:rtl/>
        </w:rPr>
        <w:t xml:space="preserve"> הקשה דסמוך מיעוטא לחזקה הוה רק מדרבנן</w:t>
      </w:r>
      <w:r w:rsidRPr="00AF1DC8">
        <w:rPr>
          <w:rFonts w:ascii="Narkisim" w:hAnsi="Narkisim" w:cs="Narkisim"/>
          <w:sz w:val="20"/>
          <w:szCs w:val="20"/>
          <w:rtl/>
        </w:rPr>
        <w:t xml:space="preserve"> [וכמ"ש </w:t>
      </w:r>
      <w:r w:rsidRPr="00AF1DC8">
        <w:rPr>
          <w:rFonts w:ascii="Narkisim" w:hAnsi="Narkisim" w:cs="Narkisim"/>
          <w:b/>
          <w:bCs/>
          <w:sz w:val="20"/>
          <w:szCs w:val="20"/>
          <w:rtl/>
        </w:rPr>
        <w:t>תוס</w:t>
      </w:r>
      <w:r w:rsidRPr="00AF1DC8">
        <w:rPr>
          <w:rFonts w:ascii="Narkisim" w:hAnsi="Narkisim" w:cs="Narkisim"/>
          <w:sz w:val="20"/>
          <w:szCs w:val="20"/>
          <w:rtl/>
        </w:rPr>
        <w:t>' חולין פו: ד"ה סמוך</w:t>
      </w:r>
      <w:r w:rsidRPr="00AF1DC8">
        <w:rPr>
          <w:rStyle w:val="ac"/>
          <w:rFonts w:ascii="Narkisim" w:hAnsi="Narkisim" w:cs="Narkisim"/>
          <w:sz w:val="20"/>
          <w:szCs w:val="20"/>
          <w:rtl/>
        </w:rPr>
        <w:footnoteReference w:id="2203"/>
      </w:r>
      <w:r w:rsidRPr="00AF1DC8">
        <w:rPr>
          <w:rFonts w:ascii="Narkisim" w:hAnsi="Narkisim" w:cs="Narkisim"/>
          <w:sz w:val="20"/>
          <w:szCs w:val="20"/>
          <w:rtl/>
        </w:rPr>
        <w:t>]</w:t>
      </w:r>
      <w:r w:rsidRPr="00AF1DC8">
        <w:rPr>
          <w:rFonts w:ascii="Narkisim" w:hAnsi="Narkisim" w:cs="Narkisim"/>
          <w:rtl/>
        </w:rPr>
        <w:t>. [ובפשוטו תוס' דידן נקטו דסמוך מיעוט לחזקה הוה פלגא מדאורייתא, ואף לרבנן]</w:t>
      </w:r>
      <w:r w:rsidRPr="00AF1DC8">
        <w:rPr>
          <w:rFonts w:ascii="Narkisim" w:hAnsi="Narkisim" w:cs="Narkisim"/>
        </w:rPr>
        <w:t>.</w:t>
      </w:r>
    </w:p>
    <w:p w14:paraId="7798CCEC" w14:textId="77777777" w:rsidR="006074A5" w:rsidRPr="00AF1DC8" w:rsidRDefault="006074A5" w:rsidP="006074A5">
      <w:pPr>
        <w:pStyle w:val="a7"/>
        <w:bidi/>
        <w:rPr>
          <w:rFonts w:ascii="Narkisim" w:hAnsi="Narkisim"/>
        </w:rPr>
      </w:pPr>
      <w:r w:rsidRPr="00AF1DC8">
        <w:rPr>
          <w:rFonts w:ascii="Narkisim" w:hAnsi="Narkisim"/>
          <w:rtl/>
        </w:rPr>
        <w:t xml:space="preserve">ועוה"ק </w:t>
      </w:r>
      <w:r w:rsidRPr="00AF1DC8">
        <w:rPr>
          <w:rFonts w:ascii="Narkisim" w:hAnsi="Narkisim"/>
          <w:b/>
          <w:bCs/>
          <w:rtl/>
        </w:rPr>
        <w:t>רע"א</w:t>
      </w:r>
      <w:r w:rsidRPr="00AF1DC8">
        <w:rPr>
          <w:rFonts w:ascii="Narkisim" w:hAnsi="Narkisim"/>
          <w:rtl/>
        </w:rPr>
        <w:t xml:space="preserve"> דהול"ל דהוה רוב נגד רוב</w:t>
      </w:r>
      <w:r w:rsidRPr="00AF1DC8">
        <w:rPr>
          <w:rStyle w:val="ac"/>
          <w:rFonts w:ascii="Narkisim" w:hAnsi="Narkisim"/>
          <w:rtl/>
        </w:rPr>
        <w:footnoteReference w:id="2204"/>
      </w:r>
      <w:r w:rsidRPr="00AF1DC8">
        <w:rPr>
          <w:rFonts w:ascii="Narkisim" w:hAnsi="Narkisim"/>
        </w:rPr>
        <w:t xml:space="preserve">, </w:t>
      </w:r>
      <w:r w:rsidRPr="00AF1DC8">
        <w:rPr>
          <w:rFonts w:ascii="Narkisim" w:hAnsi="Narkisim"/>
          <w:rtl/>
        </w:rPr>
        <w:t>ומש"ה ניזל בתר חזקה</w:t>
      </w:r>
      <w:r w:rsidRPr="00AF1DC8">
        <w:rPr>
          <w:rFonts w:ascii="Narkisim" w:hAnsi="Narkisim"/>
          <w:sz w:val="20"/>
          <w:szCs w:val="20"/>
          <w:rtl/>
        </w:rPr>
        <w:t xml:space="preserve"> [ונימא דמהני חזקה להכריע ברוב נגד רוב</w:t>
      </w:r>
      <w:r w:rsidRPr="00AF1DC8">
        <w:rPr>
          <w:rStyle w:val="ac"/>
          <w:rFonts w:ascii="Narkisim" w:hAnsi="Narkisim"/>
          <w:sz w:val="20"/>
          <w:szCs w:val="20"/>
          <w:rtl/>
        </w:rPr>
        <w:footnoteReference w:id="2205"/>
      </w:r>
      <w:r w:rsidRPr="00AF1DC8">
        <w:rPr>
          <w:rFonts w:ascii="Narkisim" w:hAnsi="Narkisim"/>
          <w:sz w:val="20"/>
          <w:szCs w:val="20"/>
          <w:rtl/>
        </w:rPr>
        <w:t>]</w:t>
      </w:r>
      <w:r w:rsidRPr="00AF1DC8">
        <w:rPr>
          <w:rFonts w:ascii="Narkisim" w:hAnsi="Narkisim"/>
          <w:sz w:val="20"/>
          <w:szCs w:val="20"/>
        </w:rPr>
        <w:t>.</w:t>
      </w:r>
    </w:p>
    <w:p w14:paraId="3BFA773D" w14:textId="77777777" w:rsidR="006074A5" w:rsidRPr="00AF1DC8" w:rsidRDefault="006074A5" w:rsidP="006074A5">
      <w:pPr>
        <w:pStyle w:val="a8"/>
        <w:bidi/>
        <w:rPr>
          <w:rFonts w:ascii="Narkisim" w:hAnsi="Narkisim"/>
        </w:rPr>
      </w:pPr>
      <w:r w:rsidRPr="00AF1DC8">
        <w:rPr>
          <w:rFonts w:ascii="Narkisim" w:hAnsi="Narkisim"/>
          <w:rtl/>
        </w:rPr>
        <w:t>אך ה</w:t>
      </w:r>
      <w:r w:rsidRPr="00AF1DC8">
        <w:rPr>
          <w:rFonts w:ascii="Narkisim" w:hAnsi="Narkisim"/>
          <w:b/>
          <w:bCs/>
          <w:rtl/>
        </w:rPr>
        <w:t>אחרונים</w:t>
      </w:r>
      <w:r w:rsidRPr="00AF1DC8">
        <w:rPr>
          <w:rFonts w:ascii="Narkisim" w:hAnsi="Narkisim"/>
          <w:rtl/>
        </w:rPr>
        <w:t xml:space="preserve"> (ר' שמעון לד ועוד) דנו אי מהני חזקה להכריע כשיש רוב כנגד רוב. דרובא וחזקה רובא עדיף, ול"מ חזקה כלל במקום רוב</w:t>
      </w:r>
      <w:r w:rsidRPr="00AF1DC8">
        <w:rPr>
          <w:rStyle w:val="ac"/>
          <w:rFonts w:ascii="Narkisim" w:hAnsi="Narkisim"/>
          <w:rtl/>
        </w:rPr>
        <w:footnoteReference w:id="2206"/>
      </w:r>
      <w:r w:rsidRPr="00AF1DC8">
        <w:rPr>
          <w:rFonts w:ascii="Narkisim" w:hAnsi="Narkisim"/>
        </w:rPr>
        <w:t>.</w:t>
      </w:r>
    </w:p>
    <w:p w14:paraId="12BD4298" w14:textId="77777777" w:rsidR="006074A5" w:rsidRPr="00AF1DC8" w:rsidRDefault="006074A5" w:rsidP="006074A5">
      <w:pPr>
        <w:pStyle w:val="a7"/>
        <w:bidi/>
        <w:rPr>
          <w:rFonts w:ascii="Narkisim" w:hAnsi="Narkisim"/>
        </w:rPr>
      </w:pPr>
      <w:r w:rsidRPr="00AF1DC8">
        <w:rPr>
          <w:rFonts w:ascii="Narkisim" w:hAnsi="Narkisim"/>
          <w:rtl/>
        </w:rPr>
        <w:t>וב</w:t>
      </w:r>
      <w:r w:rsidRPr="00AF1DC8">
        <w:rPr>
          <w:rFonts w:ascii="Narkisim" w:hAnsi="Narkisim"/>
          <w:b/>
          <w:bCs/>
          <w:rtl/>
        </w:rPr>
        <w:t>חי' ר' שמעון</w:t>
      </w:r>
      <w:r w:rsidRPr="00AF1DC8">
        <w:rPr>
          <w:rFonts w:ascii="Narkisim" w:hAnsi="Narkisim"/>
          <w:rtl/>
        </w:rPr>
        <w:t xml:space="preserve"> </w:t>
      </w:r>
      <w:r w:rsidRPr="00AF1DC8">
        <w:rPr>
          <w:rFonts w:ascii="Narkisim" w:hAnsi="Narkisim"/>
          <w:sz w:val="20"/>
          <w:szCs w:val="20"/>
          <w:rtl/>
        </w:rPr>
        <w:t>(לה)</w:t>
      </w:r>
      <w:r w:rsidRPr="00AF1DC8">
        <w:rPr>
          <w:rFonts w:ascii="Narkisim" w:hAnsi="Narkisim"/>
          <w:rtl/>
        </w:rPr>
        <w:t xml:space="preserve"> תי' דהא דרוב עוברן ניכר לא הוה בגדר הלך אחר רוב, ול"מ לייחס לרוב ולהכריע שהולד של שני</w:t>
      </w:r>
      <w:r w:rsidRPr="00AF1DC8">
        <w:rPr>
          <w:rStyle w:val="ac"/>
          <w:rFonts w:ascii="Narkisim" w:hAnsi="Narkisim"/>
          <w:rtl/>
        </w:rPr>
        <w:footnoteReference w:id="2207"/>
      </w:r>
      <w:r w:rsidRPr="00AF1DC8">
        <w:rPr>
          <w:rFonts w:ascii="Narkisim" w:hAnsi="Narkisim"/>
        </w:rPr>
        <w:t xml:space="preserve">. </w:t>
      </w:r>
      <w:r w:rsidRPr="00AF1DC8">
        <w:rPr>
          <w:rFonts w:ascii="Narkisim" w:hAnsi="Narkisim"/>
          <w:rtl/>
        </w:rPr>
        <w:t xml:space="preserve">אלא דהוה הוכחה ורגליים לדבר לסתור את הרוב. והוה סברא דא"א להכריע ע"פ רוב כשיש ריעותא להיפך. אך אינו בגדר הכרעה. </w:t>
      </w:r>
      <w:r w:rsidRPr="00AF1DC8">
        <w:rPr>
          <w:rFonts w:ascii="Narkisim" w:hAnsi="Narkisim"/>
          <w:szCs w:val="20"/>
          <w:rtl/>
        </w:rPr>
        <w:t>ועפ"ז ביאר כוונת התוס' דבכה"ג מהני סמוך מיעוטא לחזקה, כיון דהך רוב ל"מ להכריע את גוף הספק</w:t>
      </w:r>
      <w:r w:rsidRPr="00AF1DC8">
        <w:rPr>
          <w:rStyle w:val="ac"/>
          <w:rFonts w:ascii="Narkisim" w:hAnsi="Narkisim"/>
          <w:szCs w:val="20"/>
          <w:rtl/>
        </w:rPr>
        <w:footnoteReference w:id="2208"/>
      </w:r>
      <w:r w:rsidRPr="00AF1DC8">
        <w:rPr>
          <w:rFonts w:ascii="Narkisim" w:hAnsi="Narkisim"/>
        </w:rPr>
        <w:t>.</w:t>
      </w:r>
    </w:p>
    <w:p w14:paraId="01B0761F" w14:textId="77777777" w:rsidR="006074A5" w:rsidRPr="00AF1DC8" w:rsidRDefault="006074A5" w:rsidP="006074A5">
      <w:pPr>
        <w:pStyle w:val="a7"/>
        <w:bidi/>
        <w:rPr>
          <w:rFonts w:ascii="Narkisim" w:hAnsi="Narkisim"/>
        </w:rPr>
      </w:pPr>
      <w:r w:rsidRPr="00AF1DC8">
        <w:rPr>
          <w:rFonts w:ascii="Narkisim" w:hAnsi="Narkisim"/>
          <w:rtl/>
        </w:rPr>
        <w:t>וכתב דכוונת התוס' דהרוב דעוברן ניכר אינו מכריע את גוף הספק</w:t>
      </w:r>
      <w:r w:rsidRPr="00AF1DC8">
        <w:rPr>
          <w:rFonts w:ascii="Narkisim" w:hAnsi="Narkisim"/>
          <w:sz w:val="20"/>
          <w:szCs w:val="20"/>
          <w:rtl/>
        </w:rPr>
        <w:t xml:space="preserve"> [דאינו משוייך לרוב</w:t>
      </w:r>
      <w:r w:rsidRPr="00AF1DC8">
        <w:rPr>
          <w:rFonts w:ascii="Narkisim" w:hAnsi="Narkisim"/>
          <w:rtl/>
        </w:rPr>
        <w:t>], אלא מהני נגד, לסתור את הרוב</w:t>
      </w:r>
      <w:r w:rsidRPr="00AF1DC8">
        <w:rPr>
          <w:rFonts w:ascii="Narkisim" w:hAnsi="Narkisim"/>
        </w:rPr>
        <w:t>.</w:t>
      </w:r>
    </w:p>
    <w:p w14:paraId="69B03FE0" w14:textId="77777777" w:rsidR="006074A5" w:rsidRPr="00AF1DC8" w:rsidRDefault="006074A5" w:rsidP="006074A5">
      <w:pPr>
        <w:pStyle w:val="aa"/>
        <w:bidi/>
        <w:rPr>
          <w:rFonts w:ascii="Narkisim" w:hAnsi="Narkisim"/>
        </w:rPr>
      </w:pPr>
      <w:r w:rsidRPr="00AF1DC8">
        <w:rPr>
          <w:rFonts w:ascii="Narkisim" w:hAnsi="Narkisim"/>
          <w:u w:val="single"/>
          <w:rtl/>
        </w:rPr>
        <w:t>בא"ד דלעיל (ל:) חשבינן לה חזקה גבי ספק קידושין</w:t>
      </w:r>
      <w:r w:rsidRPr="00AF1DC8">
        <w:rPr>
          <w:rFonts w:ascii="Narkisim" w:hAnsi="Narkisim"/>
          <w:rtl/>
        </w:rPr>
        <w:t>. כקו' הגמ' (שם) לדברי רבה דנימא אשה זו בחזקת היתר ליבם. וב</w:t>
      </w:r>
      <w:r w:rsidRPr="00AF1DC8">
        <w:rPr>
          <w:rFonts w:ascii="Narkisim" w:hAnsi="Narkisim"/>
          <w:b/>
          <w:bCs/>
          <w:rtl/>
        </w:rPr>
        <w:t>הג' החת”ס</w:t>
      </w:r>
      <w:r w:rsidRPr="00AF1DC8">
        <w:rPr>
          <w:rFonts w:ascii="Narkisim" w:hAnsi="Narkisim"/>
          <w:rtl/>
        </w:rPr>
        <w:t xml:space="preserve"> הביא דמבואר בתוס' דקאי כן למסקנא. ודלא כדברי ה</w:t>
      </w:r>
      <w:r w:rsidRPr="00AF1DC8">
        <w:rPr>
          <w:rFonts w:ascii="Narkisim" w:hAnsi="Narkisim"/>
          <w:b/>
          <w:bCs/>
          <w:rtl/>
        </w:rPr>
        <w:t>ש"ך</w:t>
      </w:r>
      <w:r w:rsidRPr="00AF1DC8">
        <w:rPr>
          <w:rFonts w:ascii="Narkisim" w:hAnsi="Narkisim"/>
          <w:rtl/>
        </w:rPr>
        <w:t xml:space="preserve"> (יו"ד נ ג, הו' לעיל ל:) דדייק מהדרכ”מ דקי"ל דל"מ בזה חזקה. דאביי ורבא פליגי על רבה בעיקר הסברא</w:t>
      </w:r>
      <w:r w:rsidRPr="00AF1DC8">
        <w:rPr>
          <w:rFonts w:ascii="Narkisim" w:hAnsi="Narkisim"/>
        </w:rPr>
        <w:t>.</w:t>
      </w:r>
    </w:p>
    <w:p w14:paraId="298F728F" w14:textId="77777777" w:rsidR="006074A5" w:rsidRPr="00AF1DC8" w:rsidRDefault="006074A5" w:rsidP="006074A5">
      <w:pPr>
        <w:pStyle w:val="aa"/>
        <w:bidi/>
        <w:rPr>
          <w:rFonts w:ascii="Narkisim" w:hAnsi="Narkisim"/>
        </w:rPr>
      </w:pPr>
      <w:r w:rsidRPr="00AF1DC8">
        <w:rPr>
          <w:rFonts w:ascii="Narkisim" w:hAnsi="Narkisim"/>
          <w:u w:val="single"/>
          <w:rtl/>
        </w:rPr>
        <w:t>ומוקי לה לדראב"י אליבא דהילכתא וכו'.</w:t>
      </w:r>
      <w:r w:rsidRPr="00AF1DC8">
        <w:rPr>
          <w:rFonts w:ascii="Narkisim" w:hAnsi="Narkisim"/>
          <w:rtl/>
        </w:rPr>
        <w:t xml:space="preserve"> פ</w:t>
      </w:r>
      <w:r w:rsidRPr="00AF1DC8">
        <w:rPr>
          <w:rFonts w:ascii="Narkisim" w:hAnsi="Narkisim"/>
          <w:b/>
          <w:bCs/>
          <w:rtl/>
        </w:rPr>
        <w:t xml:space="preserve">רש"י </w:t>
      </w:r>
      <w:r w:rsidRPr="00AF1DC8">
        <w:rPr>
          <w:rFonts w:ascii="Narkisim" w:hAnsi="Narkisim"/>
          <w:rtl/>
        </w:rPr>
        <w:t>(בע"ב) דמשנת ראב"י קב ונקי</w:t>
      </w:r>
      <w:r w:rsidRPr="00AF1DC8">
        <w:rPr>
          <w:rStyle w:val="ac"/>
          <w:rFonts w:ascii="Narkisim" w:hAnsi="Narkisim"/>
          <w:rtl/>
        </w:rPr>
        <w:footnoteReference w:id="2209"/>
      </w:r>
      <w:r w:rsidRPr="00AF1DC8">
        <w:rPr>
          <w:rFonts w:ascii="Narkisim" w:hAnsi="Narkisim"/>
        </w:rPr>
        <w:t xml:space="preserve">. </w:t>
      </w:r>
      <w:r w:rsidRPr="00AF1DC8">
        <w:rPr>
          <w:rFonts w:ascii="Narkisim" w:hAnsi="Narkisim"/>
          <w:rtl/>
        </w:rPr>
        <w:t>ה</w:t>
      </w:r>
      <w:r w:rsidRPr="00AF1DC8">
        <w:rPr>
          <w:rFonts w:ascii="Narkisim" w:hAnsi="Narkisim"/>
          <w:b/>
          <w:bCs/>
          <w:rtl/>
        </w:rPr>
        <w:t>ריטב"א</w:t>
      </w:r>
      <w:r w:rsidRPr="00AF1DC8">
        <w:rPr>
          <w:rFonts w:ascii="Narkisim" w:hAnsi="Narkisim"/>
          <w:rtl/>
        </w:rPr>
        <w:t xml:space="preserve"> כת' דמבואר דהך כללא</w:t>
      </w:r>
      <w:r w:rsidRPr="00AF1DC8">
        <w:rPr>
          <w:rStyle w:val="ac"/>
          <w:rFonts w:ascii="Narkisim" w:hAnsi="Narkisim"/>
          <w:rtl/>
        </w:rPr>
        <w:footnoteReference w:id="2210"/>
      </w:r>
      <w:r w:rsidRPr="00AF1DC8">
        <w:rPr>
          <w:rFonts w:ascii="Narkisim" w:hAnsi="Narkisim"/>
        </w:rPr>
        <w:t xml:space="preserve"> </w:t>
      </w:r>
      <w:r w:rsidRPr="00AF1DC8">
        <w:rPr>
          <w:rFonts w:ascii="Narkisim" w:hAnsi="Narkisim"/>
          <w:rtl/>
        </w:rPr>
        <w:t>קאי אף בברייתא</w:t>
      </w:r>
      <w:r w:rsidRPr="00AF1DC8">
        <w:rPr>
          <w:rStyle w:val="ac"/>
          <w:rFonts w:ascii="Narkisim" w:hAnsi="Narkisim"/>
          <w:rtl/>
        </w:rPr>
        <w:footnoteReference w:id="2211"/>
      </w:r>
      <w:r w:rsidRPr="00AF1DC8">
        <w:rPr>
          <w:rFonts w:ascii="Narkisim" w:hAnsi="Narkisim"/>
        </w:rPr>
        <w:t xml:space="preserve">. </w:t>
      </w:r>
      <w:r w:rsidRPr="00AF1DC8">
        <w:rPr>
          <w:rFonts w:ascii="Narkisim" w:hAnsi="Narkisim"/>
          <w:rtl/>
        </w:rPr>
        <w:t xml:space="preserve">וכ"ד </w:t>
      </w:r>
      <w:r w:rsidRPr="00AF1DC8">
        <w:rPr>
          <w:rFonts w:ascii="Narkisim" w:hAnsi="Narkisim"/>
          <w:b/>
          <w:bCs/>
          <w:rtl/>
        </w:rPr>
        <w:t>רשב"ם</w:t>
      </w:r>
      <w:r w:rsidRPr="00AF1DC8">
        <w:rPr>
          <w:rFonts w:ascii="Narkisim" w:hAnsi="Narkisim"/>
          <w:rtl/>
        </w:rPr>
        <w:t xml:space="preserve"> (ב"ב קלח), אבל ה</w:t>
      </w:r>
      <w:r w:rsidRPr="00AF1DC8">
        <w:rPr>
          <w:rFonts w:ascii="Narkisim" w:hAnsi="Narkisim"/>
          <w:b/>
          <w:bCs/>
          <w:rtl/>
        </w:rPr>
        <w:t>כס"מ</w:t>
      </w:r>
      <w:r w:rsidRPr="00AF1DC8">
        <w:rPr>
          <w:rFonts w:ascii="Narkisim" w:hAnsi="Narkisim"/>
          <w:rtl/>
        </w:rPr>
        <w:t xml:space="preserve"> (בית הבחירה ב יח) כת' דבברייתא לא נאמר כלל זה</w:t>
      </w:r>
      <w:r w:rsidRPr="00AF1DC8">
        <w:rPr>
          <w:rStyle w:val="ac"/>
          <w:rFonts w:ascii="Narkisim" w:hAnsi="Narkisim"/>
          <w:rtl/>
        </w:rPr>
        <w:footnoteReference w:id="2212"/>
      </w:r>
      <w:r w:rsidRPr="00AF1DC8">
        <w:rPr>
          <w:rFonts w:ascii="Narkisim" w:hAnsi="Narkisim"/>
        </w:rPr>
        <w:t xml:space="preserve">. </w:t>
      </w:r>
      <w:r w:rsidRPr="00AF1DC8">
        <w:rPr>
          <w:rFonts w:ascii="Narkisim" w:hAnsi="Narkisim"/>
          <w:rtl/>
        </w:rPr>
        <w:t>[וע"ע חכ"צ י, יד מלאכי א תטו ועוד]</w:t>
      </w:r>
      <w:r w:rsidRPr="00AF1DC8">
        <w:rPr>
          <w:rStyle w:val="ac"/>
          <w:rFonts w:ascii="Narkisim" w:hAnsi="Narkisim"/>
          <w:rtl/>
        </w:rPr>
        <w:footnoteReference w:id="2213"/>
      </w:r>
      <w:r w:rsidRPr="00AF1DC8">
        <w:rPr>
          <w:rFonts w:ascii="Narkisim" w:hAnsi="Narkisim"/>
        </w:rPr>
        <w:t>.</w:t>
      </w:r>
    </w:p>
    <w:p w14:paraId="7F2A9DEE" w14:textId="77777777" w:rsidR="006074A5" w:rsidRPr="00AF1DC8" w:rsidRDefault="006074A5" w:rsidP="006074A5">
      <w:pPr>
        <w:pStyle w:val="3"/>
        <w:bidi/>
        <w:rPr>
          <w:rFonts w:ascii="Narkisim" w:hAnsi="Narkisim"/>
        </w:rPr>
      </w:pPr>
      <w:r w:rsidRPr="00AF1DC8">
        <w:rPr>
          <w:rFonts w:ascii="Narkisim" w:hAnsi="Narkisim"/>
          <w:rtl/>
        </w:rPr>
        <w:lastRenderedPageBreak/>
        <w:t>דף לז</w:t>
      </w:r>
      <w:r w:rsidRPr="00AF1DC8">
        <w:rPr>
          <w:rFonts w:ascii="Narkisim" w:hAnsi="Narkisim"/>
        </w:rPr>
        <w:t>:</w:t>
      </w:r>
    </w:p>
    <w:p w14:paraId="20F9A654" w14:textId="77777777" w:rsidR="006074A5" w:rsidRPr="00AF1DC8" w:rsidRDefault="006074A5" w:rsidP="006074A5">
      <w:pPr>
        <w:bidi/>
        <w:rPr>
          <w:rFonts w:ascii="Narkisim" w:hAnsi="Narkisim" w:cs="Narkisim"/>
        </w:rPr>
      </w:pPr>
      <w:r w:rsidRPr="00AF1DC8">
        <w:rPr>
          <w:rFonts w:ascii="Narkisim" w:hAnsi="Narkisim" w:cs="Narkisim"/>
          <w:u w:val="single"/>
          <w:rtl/>
        </w:rPr>
        <w:t>הרי שבא על נשים הרבה ואין יודע וכו' נמצא אב נושא את בתו וכו'.</w:t>
      </w:r>
      <w:r w:rsidRPr="00AF1DC8">
        <w:rPr>
          <w:rFonts w:ascii="Narkisim" w:hAnsi="Narkisim" w:cs="Narkisim"/>
          <w:rtl/>
        </w:rPr>
        <w:t xml:space="preserve"> ה</w:t>
      </w:r>
      <w:r w:rsidRPr="00AF1DC8">
        <w:rPr>
          <w:rFonts w:ascii="Narkisim" w:hAnsi="Narkisim" w:cs="Narkisim"/>
          <w:b/>
          <w:bCs/>
          <w:rtl/>
        </w:rPr>
        <w:t>רמב"ם</w:t>
      </w:r>
      <w:r w:rsidRPr="00AF1DC8">
        <w:rPr>
          <w:rFonts w:ascii="Narkisim" w:hAnsi="Narkisim" w:cs="Narkisim"/>
          <w:rtl/>
        </w:rPr>
        <w:t xml:space="preserve"> (איסו"ב טו כט) כתב דשתוקי ואסופי אינם אסורים בכל מי שיתכן שתהא ערוה עליו. והוכיח כן מדאמרי'</w:t>
      </w:r>
      <w:r w:rsidRPr="00AF1DC8">
        <w:rPr>
          <w:rStyle w:val="ac"/>
          <w:rFonts w:ascii="Narkisim" w:hAnsi="Narkisim" w:cs="Narkisim"/>
          <w:rtl/>
        </w:rPr>
        <w:footnoteReference w:id="2214"/>
      </w:r>
      <w:r w:rsidRPr="00AF1DC8">
        <w:rPr>
          <w:rFonts w:ascii="Narkisim" w:hAnsi="Narkisim" w:cs="Narkisim"/>
          <w:rtl/>
        </w:rPr>
        <w:t xml:space="preserve"> נמצא האב נושא את בתו וכו'</w:t>
      </w:r>
      <w:r w:rsidRPr="00AF1DC8">
        <w:rPr>
          <w:rStyle w:val="ac"/>
          <w:rFonts w:ascii="Narkisim" w:hAnsi="Narkisim" w:cs="Narkisim"/>
          <w:rtl/>
        </w:rPr>
        <w:footnoteReference w:id="2215"/>
      </w:r>
      <w:r w:rsidRPr="00AF1DC8">
        <w:rPr>
          <w:rFonts w:ascii="Narkisim" w:hAnsi="Narkisim" w:cs="Narkisim"/>
          <w:rtl/>
        </w:rPr>
        <w:t>. הא למדת שאין אוסרין ומחזיקין אותן בשאר בשר מספק עד שיודע בודאי שהיא ערוה</w:t>
      </w:r>
      <w:r w:rsidRPr="00AF1DC8">
        <w:rPr>
          <w:rStyle w:val="ac"/>
          <w:rFonts w:ascii="Narkisim" w:hAnsi="Narkisim" w:cs="Narkisim"/>
          <w:rtl/>
        </w:rPr>
        <w:footnoteReference w:id="2216"/>
      </w:r>
      <w:r w:rsidRPr="00AF1DC8">
        <w:rPr>
          <w:rFonts w:ascii="Narkisim" w:hAnsi="Narkisim" w:cs="Narkisim"/>
        </w:rPr>
        <w:t>.</w:t>
      </w:r>
    </w:p>
    <w:p w14:paraId="246EA987"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חת"ס</w:t>
      </w:r>
      <w:r w:rsidRPr="00AF1DC8">
        <w:rPr>
          <w:rFonts w:ascii="Narkisim" w:hAnsi="Narkisim"/>
          <w:rtl/>
        </w:rPr>
        <w:t xml:space="preserve"> (אה"ע א עג) כת' דמכאן למד הרמב"ם בכה"ת דספק דאורייתא לקולא מדאורייתא</w:t>
      </w:r>
      <w:r w:rsidRPr="00AF1DC8">
        <w:rPr>
          <w:rStyle w:val="ac"/>
          <w:rFonts w:ascii="Narkisim" w:hAnsi="Narkisim"/>
          <w:rtl/>
        </w:rPr>
        <w:footnoteReference w:id="2217"/>
      </w:r>
      <w:r w:rsidRPr="00AF1DC8">
        <w:rPr>
          <w:rFonts w:ascii="Narkisim" w:hAnsi="Narkisim"/>
        </w:rPr>
        <w:t xml:space="preserve">. </w:t>
      </w:r>
      <w:r w:rsidRPr="00AF1DC8">
        <w:rPr>
          <w:rFonts w:ascii="Narkisim" w:hAnsi="Narkisim"/>
          <w:rtl/>
        </w:rPr>
        <w:t>ואף באיסור כרת</w:t>
      </w:r>
      <w:r w:rsidRPr="00AF1DC8">
        <w:rPr>
          <w:rStyle w:val="ac"/>
          <w:rFonts w:ascii="Narkisim" w:hAnsi="Narkisim"/>
          <w:rtl/>
        </w:rPr>
        <w:footnoteReference w:id="2218"/>
      </w:r>
      <w:r w:rsidRPr="00AF1DC8">
        <w:rPr>
          <w:rFonts w:ascii="Narkisim" w:hAnsi="Narkisim"/>
        </w:rPr>
        <w:t xml:space="preserve">. </w:t>
      </w:r>
      <w:r w:rsidRPr="00AF1DC8">
        <w:rPr>
          <w:rFonts w:ascii="Narkisim" w:hAnsi="Narkisim"/>
          <w:rtl/>
        </w:rPr>
        <w:t xml:space="preserve">אבל יש </w:t>
      </w:r>
      <w:r w:rsidRPr="00AF1DC8">
        <w:rPr>
          <w:rFonts w:ascii="Narkisim" w:hAnsi="Narkisim"/>
          <w:b/>
          <w:bCs/>
          <w:rtl/>
        </w:rPr>
        <w:t>אחרונים</w:t>
      </w:r>
      <w:r w:rsidRPr="00AF1DC8">
        <w:rPr>
          <w:rFonts w:ascii="Narkisim" w:hAnsi="Narkisim"/>
          <w:rtl/>
        </w:rPr>
        <w:t xml:space="preserve"> שדנו דהכא רובם אינם קרובותיו, ומהיכי תיתי לחשוש</w:t>
      </w:r>
      <w:r w:rsidRPr="00AF1DC8">
        <w:rPr>
          <w:rStyle w:val="ac"/>
          <w:rFonts w:ascii="Narkisim" w:hAnsi="Narkisim"/>
          <w:rtl/>
        </w:rPr>
        <w:footnoteReference w:id="2219"/>
      </w:r>
      <w:r w:rsidRPr="00AF1DC8">
        <w:rPr>
          <w:rFonts w:ascii="Narkisim" w:hAnsi="Narkisim"/>
        </w:rPr>
        <w:t>.</w:t>
      </w:r>
    </w:p>
    <w:p w14:paraId="446A5EAF" w14:textId="77777777" w:rsidR="006074A5" w:rsidRPr="00AF1DC8" w:rsidRDefault="006074A5" w:rsidP="006074A5">
      <w:pPr>
        <w:pStyle w:val="aa"/>
        <w:bidi/>
        <w:rPr>
          <w:rFonts w:ascii="Narkisim" w:hAnsi="Narkisim"/>
        </w:rPr>
      </w:pPr>
      <w:r w:rsidRPr="00AF1DC8">
        <w:rPr>
          <w:rFonts w:ascii="Narkisim" w:hAnsi="Narkisim"/>
          <w:u w:val="single"/>
          <w:rtl/>
        </w:rPr>
        <w:t>לא ישא אשה במדינה זו, וילך וישא במדינה אחרת וכו'</w:t>
      </w:r>
      <w:r w:rsidRPr="00AF1DC8">
        <w:rPr>
          <w:rFonts w:ascii="Narkisim" w:hAnsi="Narkisim"/>
          <w:rtl/>
        </w:rPr>
        <w:t>. ה</w:t>
      </w:r>
      <w:r w:rsidRPr="00AF1DC8">
        <w:rPr>
          <w:rFonts w:ascii="Narkisim" w:hAnsi="Narkisim"/>
          <w:b/>
          <w:bCs/>
          <w:rtl/>
        </w:rPr>
        <w:t>בי"מ</w:t>
      </w:r>
      <w:r w:rsidRPr="00AF1DC8">
        <w:rPr>
          <w:rFonts w:ascii="Narkisim" w:hAnsi="Narkisim"/>
          <w:rtl/>
        </w:rPr>
        <w:t xml:space="preserve"> (הו' בפתח"ת ב י) דייק דכל זה בנושא אשה על אשתו, אבל אלמן וגרוש רשאי לישא אשה שניה במקום אחר. וביאר דכיון דמצוי שמוליך בניו עמו, לא תקנו לאסור כה"ג</w:t>
      </w:r>
      <w:r w:rsidRPr="00AF1DC8">
        <w:rPr>
          <w:rFonts w:ascii="Narkisim" w:hAnsi="Narkisim"/>
        </w:rPr>
        <w:t>.</w:t>
      </w:r>
    </w:p>
    <w:p w14:paraId="3FBF33B8" w14:textId="77777777" w:rsidR="006074A5" w:rsidRPr="00AF1DC8" w:rsidRDefault="006074A5" w:rsidP="006074A5">
      <w:pPr>
        <w:bidi/>
        <w:rPr>
          <w:rFonts w:ascii="Narkisim" w:hAnsi="Narkisim" w:cs="Narkisim"/>
        </w:rPr>
      </w:pPr>
      <w:r w:rsidRPr="00AF1DC8">
        <w:rPr>
          <w:rFonts w:ascii="Narkisim" w:hAnsi="Narkisim" w:cs="Narkisim"/>
          <w:u w:val="single"/>
          <w:rtl/>
        </w:rPr>
        <w:t>ואיב"א לרבנן יחודי בעלמא וכו'.</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פי' דמש"ה לא מיחמדא, ומש”ה מותרת מיד. ו</w:t>
      </w:r>
      <w:r w:rsidRPr="00AF1DC8">
        <w:rPr>
          <w:rFonts w:ascii="Narkisim" w:hAnsi="Narkisim" w:cs="Narkisim"/>
          <w:b/>
          <w:bCs/>
          <w:rtl/>
        </w:rPr>
        <w:t>תוס</w:t>
      </w:r>
      <w:r w:rsidRPr="00AF1DC8">
        <w:rPr>
          <w:rFonts w:ascii="Narkisim" w:hAnsi="Narkisim" w:cs="Narkisim"/>
          <w:rtl/>
        </w:rPr>
        <w:t>' (יומא יח:) כת' דבאמת היתה אסורה, ואפ"ה יש לו פת בסלו שמותרת אחרי ז</w:t>
      </w:r>
      <w:r w:rsidRPr="00AF1DC8">
        <w:rPr>
          <w:rFonts w:ascii="Narkisim" w:hAnsi="Narkisim" w:cs="Narkisim"/>
        </w:rPr>
        <w:t>'.</w:t>
      </w:r>
    </w:p>
    <w:p w14:paraId="252FF30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(ושא"ר) הביא </w:t>
      </w:r>
      <w:r w:rsidRPr="00AF1DC8">
        <w:rPr>
          <w:rFonts w:ascii="Narkisim" w:hAnsi="Narkisim"/>
          <w:b/>
          <w:bCs/>
          <w:rtl/>
        </w:rPr>
        <w:t>י"מ</w:t>
      </w:r>
      <w:r w:rsidRPr="00AF1DC8">
        <w:rPr>
          <w:rFonts w:ascii="Narkisim" w:hAnsi="Narkisim"/>
          <w:rtl/>
        </w:rPr>
        <w:t xml:space="preserve"> דקאי אקו' ראשונה, ולעולם שלוחי משדרי ומודעי להו מעיקרא. אלא דלא סמכו אהא דרבנן פקיעי שמייהו</w:t>
      </w:r>
      <w:r w:rsidRPr="00AF1DC8">
        <w:rPr>
          <w:rStyle w:val="ac"/>
          <w:rFonts w:ascii="Narkisim" w:hAnsi="Narkisim"/>
          <w:rtl/>
        </w:rPr>
        <w:footnoteReference w:id="2220"/>
      </w:r>
      <w:r w:rsidRPr="00AF1DC8">
        <w:rPr>
          <w:rFonts w:ascii="Narkisim" w:hAnsi="Narkisim"/>
        </w:rPr>
        <w:t xml:space="preserve">, </w:t>
      </w:r>
      <w:r w:rsidRPr="00AF1DC8">
        <w:rPr>
          <w:rFonts w:ascii="Narkisim" w:hAnsi="Narkisim"/>
          <w:rtl/>
        </w:rPr>
        <w:t>אלא יחודי בעלמא מיחדי להו</w:t>
      </w:r>
      <w:r w:rsidRPr="00AF1DC8">
        <w:rPr>
          <w:rFonts w:ascii="Narkisim" w:hAnsi="Narkisim"/>
        </w:rPr>
        <w:t>.</w:t>
      </w:r>
    </w:p>
    <w:p w14:paraId="3B8A7369" w14:textId="77777777" w:rsidR="006074A5" w:rsidRPr="00AF1DC8" w:rsidRDefault="006074A5" w:rsidP="006074A5">
      <w:pPr>
        <w:pStyle w:val="aa"/>
        <w:bidi/>
        <w:rPr>
          <w:rFonts w:ascii="Narkisim" w:hAnsi="Narkisim"/>
        </w:rPr>
      </w:pPr>
      <w:r w:rsidRPr="00AF1DC8">
        <w:rPr>
          <w:rFonts w:ascii="Narkisim" w:hAnsi="Narkisim"/>
          <w:u w:val="single"/>
          <w:rtl/>
        </w:rPr>
        <w:t>תוד"ה יחודי.</w:t>
      </w:r>
      <w:r w:rsidRPr="00AF1DC8">
        <w:rPr>
          <w:rFonts w:ascii="Narkisim" w:hAnsi="Narkisim"/>
          <w:rtl/>
        </w:rPr>
        <w:t xml:space="preserve"> דאי לא תימא הכי גם להתייחד אסור וכו'. ודעת </w:t>
      </w:r>
      <w:r w:rsidRPr="00AF1DC8">
        <w:rPr>
          <w:rFonts w:ascii="Narkisim" w:hAnsi="Narkisim"/>
          <w:b/>
          <w:bCs/>
          <w:rtl/>
        </w:rPr>
        <w:t>תוס</w:t>
      </w:r>
      <w:r w:rsidRPr="00AF1DC8">
        <w:rPr>
          <w:rFonts w:ascii="Narkisim" w:hAnsi="Narkisim"/>
          <w:rtl/>
        </w:rPr>
        <w:t>' (יומא הנ"ל) דמותר להתייחד. ותי' דהדין חתן שפירסה נדה איירי דוקא בבחור שלא נשא מעולם. א"נ הכא דהיו להם נשים בבתיהם לא תקיף יצרייהו. וה</w:t>
      </w:r>
      <w:r w:rsidRPr="00AF1DC8">
        <w:rPr>
          <w:rFonts w:ascii="Narkisim" w:hAnsi="Narkisim"/>
          <w:b/>
          <w:bCs/>
          <w:rtl/>
        </w:rPr>
        <w:t>תו"י</w:t>
      </w:r>
      <w:r w:rsidRPr="00AF1DC8">
        <w:rPr>
          <w:rFonts w:ascii="Narkisim" w:hAnsi="Narkisim"/>
          <w:rtl/>
        </w:rPr>
        <w:t xml:space="preserve"> (יומא שם) כת' דבכל אדם לא אסרו יחוד כה"ג, דהוה רק חששה בעלמא שמא ראתה</w:t>
      </w:r>
      <w:r w:rsidRPr="00AF1DC8">
        <w:rPr>
          <w:rFonts w:ascii="Narkisim" w:hAnsi="Narkisim"/>
        </w:rPr>
        <w:t>.</w:t>
      </w:r>
    </w:p>
    <w:p w14:paraId="497A5B4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יא י, והו' ברשב"א וריטב"א) כת' דאיסור זה [דתבעוה לינשא] הוה חומרא יתירה [דהוה חששא בעלמא שמא ראתה]. ומש"ה בתלמיד חכם מותרת לינשא מיד [ולהתייחד עמה] שיודע שהיא אסורה ויזהר ולא יקרב עליה עד שתטבול</w:t>
      </w:r>
      <w:r w:rsidRPr="00AF1DC8">
        <w:rPr>
          <w:rStyle w:val="ac"/>
          <w:rFonts w:ascii="Narkisim" w:hAnsi="Narkisim"/>
          <w:rtl/>
        </w:rPr>
        <w:footnoteReference w:id="2221"/>
      </w:r>
      <w:r w:rsidRPr="00AF1DC8">
        <w:rPr>
          <w:rFonts w:ascii="Narkisim" w:hAnsi="Narkisim"/>
        </w:rPr>
        <w:t>.</w:t>
      </w:r>
    </w:p>
    <w:p w14:paraId="760BE431"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ראב"ד</w:t>
      </w:r>
      <w:r w:rsidRPr="00AF1DC8">
        <w:rPr>
          <w:rFonts w:ascii="Narkisim" w:hAnsi="Narkisim"/>
          <w:rtl/>
        </w:rPr>
        <w:t xml:space="preserve"> (שם) כת' דיחדום לינשא אם ירצו, ולא נתייחדו</w:t>
      </w:r>
      <w:r w:rsidRPr="00AF1DC8">
        <w:rPr>
          <w:rFonts w:ascii="Narkisim" w:hAnsi="Narkisim"/>
        </w:rPr>
        <w:t>.</w:t>
      </w:r>
    </w:p>
    <w:p w14:paraId="413E1740" w14:textId="77777777" w:rsidR="006074A5" w:rsidRPr="00AF1DC8" w:rsidRDefault="006074A5" w:rsidP="006074A5">
      <w:pPr>
        <w:pStyle w:val="aa"/>
        <w:bidi/>
        <w:rPr>
          <w:rFonts w:ascii="Narkisim" w:hAnsi="Narkisim"/>
        </w:rPr>
      </w:pPr>
      <w:r w:rsidRPr="00AF1DC8">
        <w:rPr>
          <w:rFonts w:ascii="Narkisim" w:hAnsi="Narkisim"/>
          <w:u w:val="single"/>
          <w:rtl/>
        </w:rPr>
        <w:t>בא"ד ומשום נושא וכו' היה מוליכה עמו לעירו</w:t>
      </w:r>
      <w:r w:rsidRPr="00AF1DC8">
        <w:rPr>
          <w:rFonts w:ascii="Narkisim" w:hAnsi="Narkisim"/>
          <w:rtl/>
        </w:rPr>
        <w:t>. ולפ"ז תי' הגמ' קאי אף אקושיה הראשונה</w:t>
      </w:r>
      <w:r w:rsidRPr="00AF1DC8">
        <w:rPr>
          <w:rStyle w:val="ac"/>
          <w:rFonts w:ascii="Narkisim" w:hAnsi="Narkisim"/>
          <w:rtl/>
        </w:rPr>
        <w:footnoteReference w:id="2222"/>
      </w:r>
      <w:r w:rsidRPr="00AF1DC8">
        <w:rPr>
          <w:rFonts w:ascii="Narkisim" w:hAnsi="Narkisim"/>
        </w:rPr>
        <w:t xml:space="preserve">, </w:t>
      </w:r>
      <w:r w:rsidRPr="00AF1DC8">
        <w:rPr>
          <w:rFonts w:ascii="Narkisim" w:hAnsi="Narkisim"/>
          <w:rtl/>
        </w:rPr>
        <w:t>וכ"כ ה</w:t>
      </w:r>
      <w:r w:rsidRPr="00AF1DC8">
        <w:rPr>
          <w:rFonts w:ascii="Narkisim" w:hAnsi="Narkisim"/>
          <w:b/>
          <w:bCs/>
          <w:rtl/>
        </w:rPr>
        <w:t>יעב"ץ</w:t>
      </w:r>
      <w:r w:rsidRPr="00AF1DC8">
        <w:rPr>
          <w:rFonts w:ascii="Narkisim" w:hAnsi="Narkisim"/>
          <w:rtl/>
        </w:rPr>
        <w:t>. וע' לעיל בשם ה</w:t>
      </w:r>
      <w:r w:rsidRPr="00AF1DC8">
        <w:rPr>
          <w:rFonts w:ascii="Narkisim" w:hAnsi="Narkisim"/>
          <w:b/>
          <w:bCs/>
          <w:rtl/>
        </w:rPr>
        <w:t>רמב"ן</w:t>
      </w:r>
      <w:r w:rsidRPr="00AF1DC8">
        <w:rPr>
          <w:rFonts w:ascii="Narkisim" w:hAnsi="Narkisim"/>
        </w:rPr>
        <w:t>.</w:t>
      </w:r>
    </w:p>
    <w:p w14:paraId="060EB803" w14:textId="77777777" w:rsidR="006074A5" w:rsidRPr="00AF1DC8" w:rsidRDefault="006074A5" w:rsidP="006074A5">
      <w:pPr>
        <w:bidi/>
        <w:rPr>
          <w:rFonts w:ascii="Narkisim" w:hAnsi="Narkisim" w:cs="Narkisim"/>
        </w:rPr>
      </w:pPr>
      <w:r w:rsidRPr="00AF1DC8">
        <w:rPr>
          <w:rFonts w:ascii="Narkisim" w:hAnsi="Narkisim" w:cs="Narkisim"/>
          <w:u w:val="single"/>
          <w:rtl/>
        </w:rPr>
        <w:t>לא ישא אשה ובדעתו לגרשה.</w:t>
      </w:r>
      <w:r w:rsidRPr="00AF1DC8">
        <w:rPr>
          <w:rFonts w:ascii="Narkisim" w:hAnsi="Narkisim" w:cs="Narkisim"/>
          <w:rtl/>
        </w:rPr>
        <w:t xml:space="preserve"> ה</w:t>
      </w:r>
      <w:r w:rsidRPr="00AF1DC8">
        <w:rPr>
          <w:rFonts w:ascii="Narkisim" w:hAnsi="Narkisim" w:cs="Narkisim"/>
          <w:b/>
          <w:bCs/>
          <w:rtl/>
        </w:rPr>
        <w:t>רמב"ם</w:t>
      </w:r>
      <w:r w:rsidRPr="00AF1DC8">
        <w:rPr>
          <w:rFonts w:ascii="Narkisim" w:hAnsi="Narkisim" w:cs="Narkisim"/>
          <w:rtl/>
        </w:rPr>
        <w:t xml:space="preserve"> (איסו"ב כא כח) פסק דאם הודיעה שנושאה לימים מותר. וה</w:t>
      </w:r>
      <w:r w:rsidRPr="00AF1DC8">
        <w:rPr>
          <w:rFonts w:ascii="Narkisim" w:hAnsi="Narkisim" w:cs="Narkisim"/>
          <w:b/>
          <w:bCs/>
          <w:rtl/>
        </w:rPr>
        <w:t>ב"י</w:t>
      </w:r>
      <w:r w:rsidRPr="00AF1DC8">
        <w:rPr>
          <w:rFonts w:ascii="Narkisim" w:hAnsi="Narkisim" w:cs="Narkisim"/>
          <w:rtl/>
        </w:rPr>
        <w:t xml:space="preserve"> (ב) הביא דמוכח כן בסוגיין (דלעיל) דרבנן קדשו ליומא</w:t>
      </w:r>
      <w:r w:rsidRPr="00AF1DC8">
        <w:rPr>
          <w:rStyle w:val="ac"/>
          <w:rFonts w:ascii="Narkisim" w:hAnsi="Narkisim" w:cs="Narkisim"/>
          <w:rtl/>
        </w:rPr>
        <w:footnoteReference w:id="2223"/>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משנ"ל</w:t>
      </w:r>
      <w:r w:rsidRPr="00AF1DC8">
        <w:rPr>
          <w:rFonts w:ascii="Narkisim" w:hAnsi="Narkisim" w:cs="Narkisim"/>
          <w:rtl/>
        </w:rPr>
        <w:t xml:space="preserve"> דחה דלתי' הגמ' דיחודי בעלמא, י"ל דנישואין לבא עליה אסור. ועי"ש עוד</w:t>
      </w:r>
      <w:r w:rsidRPr="00AF1DC8">
        <w:rPr>
          <w:rFonts w:ascii="Narkisim" w:hAnsi="Narkisim" w:cs="Narkisim"/>
        </w:rPr>
        <w:t>.</w:t>
      </w:r>
    </w:p>
    <w:p w14:paraId="7DB602AF" w14:textId="77777777" w:rsidR="006074A5" w:rsidRPr="00AF1DC8" w:rsidRDefault="006074A5" w:rsidP="006074A5">
      <w:pPr>
        <w:pStyle w:val="2"/>
        <w:bidi/>
        <w:rPr>
          <w:rFonts w:ascii="Narkisim" w:hAnsi="Narkisim"/>
        </w:rPr>
      </w:pPr>
      <w:r w:rsidRPr="00AF1DC8">
        <w:rPr>
          <w:rFonts w:ascii="Narkisim" w:hAnsi="Narkisim"/>
          <w:rtl/>
        </w:rPr>
        <w:t>ספק ויבם</w:t>
      </w:r>
    </w:p>
    <w:p w14:paraId="4A91EB3C" w14:textId="77777777" w:rsidR="006074A5" w:rsidRPr="00AF1DC8" w:rsidRDefault="006074A5" w:rsidP="006074A5">
      <w:pPr>
        <w:bidi/>
        <w:rPr>
          <w:rFonts w:ascii="Narkisim" w:hAnsi="Narkisim" w:cs="Narkisim"/>
        </w:rPr>
      </w:pPr>
      <w:r w:rsidRPr="00AF1DC8">
        <w:rPr>
          <w:rFonts w:ascii="Narkisim" w:hAnsi="Narkisim" w:cs="Narkisim"/>
          <w:u w:val="single"/>
          <w:rtl/>
        </w:rPr>
        <w:t>ספק ויבם וכו' ממון המוטל בספק.</w:t>
      </w:r>
      <w:r w:rsidRPr="00AF1DC8">
        <w:rPr>
          <w:rFonts w:ascii="Narkisim" w:hAnsi="Narkisim" w:cs="Narkisim"/>
          <w:rtl/>
        </w:rPr>
        <w:t xml:space="preserve"> ה</w:t>
      </w:r>
      <w:r w:rsidRPr="00AF1DC8">
        <w:rPr>
          <w:rFonts w:ascii="Narkisim" w:hAnsi="Narkisim" w:cs="Narkisim"/>
          <w:b/>
          <w:bCs/>
          <w:rtl/>
        </w:rPr>
        <w:t>רא”ש</w:t>
      </w:r>
      <w:r w:rsidRPr="00AF1DC8">
        <w:rPr>
          <w:rFonts w:ascii="Narkisim" w:hAnsi="Narkisim" w:cs="Narkisim"/>
          <w:rtl/>
        </w:rPr>
        <w:t xml:space="preserve"> (ח והטור קסג) כת' דאיירי כשהסבא קיים, והיבם בא מכח ירושת יבם ולא מדין קורבא. דאל"כ היבם הוה יורש מדין אח, ויאמר דל יבום מהכא, והספק אינו מוציא מידו. </w:t>
      </w:r>
      <w:r w:rsidRPr="00AF1DC8">
        <w:rPr>
          <w:rFonts w:ascii="Narkisim" w:hAnsi="Narkisim" w:cs="Narkisim"/>
          <w:sz w:val="20"/>
          <w:szCs w:val="20"/>
          <w:rtl/>
        </w:rPr>
        <w:t>וכדתנן (לקמן ק:, והו' בסמוך) דספק בן ט' אינו יורש עמהם [והרא"ש נקט דאפי' במקום אחים וע' בסמוך].</w:t>
      </w:r>
      <w:r w:rsidRPr="00AF1DC8">
        <w:rPr>
          <w:rFonts w:ascii="Narkisim" w:hAnsi="Narkisim" w:cs="Narkisim"/>
          <w:rtl/>
        </w:rPr>
        <w:t xml:space="preserve"> וה</w:t>
      </w:r>
      <w:r w:rsidRPr="00AF1DC8">
        <w:rPr>
          <w:rFonts w:ascii="Narkisim" w:hAnsi="Narkisim" w:cs="Narkisim"/>
          <w:b/>
          <w:bCs/>
          <w:rtl/>
        </w:rPr>
        <w:t>שו"ע</w:t>
      </w:r>
      <w:r w:rsidRPr="00AF1DC8">
        <w:rPr>
          <w:rFonts w:ascii="Narkisim" w:hAnsi="Narkisim" w:cs="Narkisim"/>
          <w:rtl/>
        </w:rPr>
        <w:t xml:space="preserve"> (אה"ע קסג ג) הביא דבריו בשם יש מי שאומר</w:t>
      </w:r>
      <w:r w:rsidRPr="00AF1DC8">
        <w:rPr>
          <w:rStyle w:val="ac"/>
          <w:rFonts w:ascii="Narkisim" w:hAnsi="Narkisim" w:cs="Narkisim"/>
          <w:rtl/>
        </w:rPr>
        <w:footnoteReference w:id="2224"/>
      </w:r>
      <w:r w:rsidRPr="00AF1DC8">
        <w:rPr>
          <w:rFonts w:ascii="Narkisim" w:hAnsi="Narkisim" w:cs="Narkisim"/>
        </w:rPr>
        <w:t>.</w:t>
      </w:r>
    </w:p>
    <w:p w14:paraId="5AFA39C8" w14:textId="77777777" w:rsidR="006074A5" w:rsidRPr="00AF1DC8" w:rsidRDefault="006074A5" w:rsidP="006074A5">
      <w:pPr>
        <w:pStyle w:val="a7"/>
        <w:bidi/>
        <w:rPr>
          <w:rFonts w:ascii="Narkisim" w:hAnsi="Narkisim"/>
        </w:rPr>
      </w:pPr>
      <w:r w:rsidRPr="00AF1DC8">
        <w:rPr>
          <w:rFonts w:ascii="Narkisim" w:hAnsi="Narkisim"/>
          <w:rtl/>
        </w:rPr>
        <w:lastRenderedPageBreak/>
        <w:t>וה</w:t>
      </w:r>
      <w:r w:rsidRPr="00AF1DC8">
        <w:rPr>
          <w:rFonts w:ascii="Narkisim" w:hAnsi="Narkisim"/>
          <w:b/>
          <w:bCs/>
          <w:rtl/>
        </w:rPr>
        <w:t>יש"ש</w:t>
      </w:r>
      <w:r w:rsidRPr="00AF1DC8">
        <w:rPr>
          <w:rFonts w:ascii="Narkisim" w:hAnsi="Narkisim"/>
          <w:rtl/>
        </w:rPr>
        <w:t xml:space="preserve"> (ז) הק' דירושת יבם אינו מתורת ירושה, ול"ש בזה אין ספק מוציא מידי ודאי</w:t>
      </w:r>
      <w:r w:rsidRPr="00AF1DC8">
        <w:rPr>
          <w:rStyle w:val="ac"/>
          <w:rFonts w:ascii="Narkisim" w:hAnsi="Narkisim"/>
          <w:rtl/>
        </w:rPr>
        <w:footnoteReference w:id="2225"/>
      </w:r>
      <w:r w:rsidRPr="00AF1DC8">
        <w:rPr>
          <w:rFonts w:ascii="Narkisim" w:hAnsi="Narkisim"/>
        </w:rPr>
        <w:t xml:space="preserve">. </w:t>
      </w:r>
      <w:r w:rsidRPr="00AF1DC8">
        <w:rPr>
          <w:rFonts w:ascii="Narkisim" w:hAnsi="Narkisim"/>
          <w:rtl/>
        </w:rPr>
        <w:t>ועוד סוף סוף בן אחיו הוה ג"כ גדר ירושה [ושניהם ודאי יש להם גדר משפחה, וע”ע בסמוך]</w:t>
      </w:r>
      <w:r w:rsidRPr="00AF1DC8">
        <w:rPr>
          <w:rFonts w:ascii="Narkisim" w:hAnsi="Narkisim"/>
        </w:rPr>
        <w:t>.</w:t>
      </w:r>
    </w:p>
    <w:p w14:paraId="4C879774"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מהרש"א</w:t>
      </w:r>
      <w:r w:rsidRPr="00AF1DC8">
        <w:rPr>
          <w:rFonts w:ascii="Narkisim" w:hAnsi="Narkisim"/>
          <w:rtl/>
        </w:rPr>
        <w:t xml:space="preserve"> הק' [על הרא"ש] מסבא וספק בנכסי יבם (ע' בסמוך). וכה”ק ה</w:t>
      </w:r>
      <w:r w:rsidRPr="00AF1DC8">
        <w:rPr>
          <w:rFonts w:ascii="Narkisim" w:hAnsi="Narkisim"/>
          <w:b/>
          <w:bCs/>
          <w:rtl/>
        </w:rPr>
        <w:t>רמב"ן</w:t>
      </w:r>
      <w:r w:rsidRPr="00AF1DC8">
        <w:rPr>
          <w:rFonts w:ascii="Narkisim" w:hAnsi="Narkisim"/>
          <w:rtl/>
        </w:rPr>
        <w:t xml:space="preserve"> (בסמוך). והמהרש"א כת' דל"ש כאן הוחזקה נחלה באותו השבט, דלדברי הספק זהו חזקת השבט [ולדבריו אדרבה ל"מ חזקת היבם]. והא דאמרי' (בסמוך) הוא אינו יורש עמהם [משום אין ספק מוציא מידי ודאי], היינו משום שהם יורשים במקצת הנכסים, ויודעים מחמת מי הם יורשים. [ואילו ספק בן במקום ודאי אח לא הוה ודאי במקצת נכסים. ואדרבה הוא טוען שהוא קרוב טפי. וע"ע בסמוך]</w:t>
      </w:r>
      <w:r w:rsidRPr="00AF1DC8">
        <w:rPr>
          <w:rFonts w:ascii="Narkisim" w:hAnsi="Narkisim"/>
        </w:rPr>
        <w:t>.</w:t>
      </w:r>
    </w:p>
    <w:p w14:paraId="08CA2944"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ק"נ</w:t>
      </w:r>
      <w:r w:rsidRPr="00AF1DC8">
        <w:rPr>
          <w:rFonts w:ascii="Narkisim" w:hAnsi="Narkisim"/>
          <w:rtl/>
        </w:rPr>
        <w:t xml:space="preserve"> [והפוסקים] תי' דכוונת הרא"ש משום דהוחזק בשעת מיתה שהיבם יורשו</w:t>
      </w:r>
      <w:r w:rsidRPr="00AF1DC8">
        <w:rPr>
          <w:rStyle w:val="ac"/>
          <w:rFonts w:ascii="Narkisim" w:hAnsi="Narkisim"/>
          <w:rtl/>
        </w:rPr>
        <w:footnoteReference w:id="2226"/>
      </w:r>
      <w:r w:rsidRPr="00AF1DC8">
        <w:rPr>
          <w:rFonts w:ascii="Narkisim" w:hAnsi="Narkisim"/>
        </w:rPr>
        <w:t xml:space="preserve">, </w:t>
      </w:r>
      <w:r w:rsidRPr="00AF1DC8">
        <w:rPr>
          <w:rFonts w:ascii="Narkisim" w:hAnsi="Narkisim"/>
          <w:rtl/>
        </w:rPr>
        <w:t>ולכן נחשב הוצאה מנכסי השבט. אבל ה</w:t>
      </w:r>
      <w:r w:rsidRPr="00AF1DC8">
        <w:rPr>
          <w:rFonts w:ascii="Narkisim" w:hAnsi="Narkisim"/>
          <w:b/>
          <w:bCs/>
          <w:rtl/>
        </w:rPr>
        <w:t>ט"ז</w:t>
      </w:r>
      <w:r w:rsidRPr="00AF1DC8">
        <w:rPr>
          <w:rFonts w:ascii="Narkisim" w:hAnsi="Narkisim"/>
          <w:rtl/>
        </w:rPr>
        <w:t xml:space="preserve"> (קסג א) השיג מה לנו ולידיעה, דעכ"פ הוה ספק במעי אמו</w:t>
      </w:r>
      <w:r w:rsidRPr="00AF1DC8">
        <w:rPr>
          <w:rFonts w:ascii="Narkisim" w:hAnsi="Narkisim"/>
        </w:rPr>
        <w:t>.</w:t>
      </w:r>
    </w:p>
    <w:p w14:paraId="4E9DCD4D" w14:textId="77777777" w:rsidR="006074A5" w:rsidRPr="00AF1DC8" w:rsidRDefault="006074A5" w:rsidP="006074A5">
      <w:pPr>
        <w:bidi/>
        <w:rPr>
          <w:rFonts w:ascii="Narkisim" w:hAnsi="Narkisim" w:cs="Narkisim"/>
        </w:rPr>
      </w:pPr>
      <w:r w:rsidRPr="00AF1DC8">
        <w:rPr>
          <w:rFonts w:ascii="Narkisim" w:hAnsi="Narkisim" w:cs="Narkisim"/>
          <w:u w:val="single"/>
          <w:rtl/>
        </w:rPr>
        <w:t>ממון המוטל בספק חולקים.</w:t>
      </w:r>
      <w:r w:rsidRPr="00AF1DC8">
        <w:rPr>
          <w:rFonts w:ascii="Narkisim" w:hAnsi="Narkisim" w:cs="Narkisim"/>
          <w:rtl/>
        </w:rPr>
        <w:t xml:space="preserve"> ה</w:t>
      </w:r>
      <w:r w:rsidRPr="00AF1DC8">
        <w:rPr>
          <w:rFonts w:ascii="Narkisim" w:hAnsi="Narkisim" w:cs="Narkisim"/>
          <w:b/>
          <w:bCs/>
          <w:rtl/>
        </w:rPr>
        <w:t>רשב"א</w:t>
      </w:r>
      <w:r w:rsidRPr="00AF1DC8">
        <w:rPr>
          <w:rFonts w:ascii="Narkisim" w:hAnsi="Narkisim" w:cs="Narkisim"/>
          <w:rtl/>
        </w:rPr>
        <w:t xml:space="preserve"> הק' נוקמא בחזקה שעומדת ליבם. </w:t>
      </w:r>
      <w:r w:rsidRPr="00AF1DC8">
        <w:rPr>
          <w:rFonts w:ascii="Narkisim" w:hAnsi="Narkisim" w:cs="Narkisim"/>
          <w:sz w:val="20"/>
          <w:szCs w:val="20"/>
          <w:rtl/>
        </w:rPr>
        <w:t>וכדאמרי' (לעיל ל:) אשה בחזקת היתר ליבם קיימא</w:t>
      </w:r>
      <w:r w:rsidRPr="00AF1DC8">
        <w:rPr>
          <w:rStyle w:val="ac"/>
          <w:rFonts w:ascii="Narkisim" w:hAnsi="Narkisim" w:cs="Narkisim"/>
          <w:rtl/>
        </w:rPr>
        <w:footnoteReference w:id="2227"/>
      </w:r>
      <w:r w:rsidRPr="00AF1DC8">
        <w:rPr>
          <w:rFonts w:ascii="Narkisim" w:hAnsi="Narkisim" w:cs="Narkisim"/>
        </w:rPr>
        <w:t xml:space="preserve">. </w:t>
      </w:r>
      <w:r w:rsidRPr="00AF1DC8">
        <w:rPr>
          <w:rFonts w:ascii="Narkisim" w:hAnsi="Narkisim" w:cs="Narkisim"/>
          <w:rtl/>
        </w:rPr>
        <w:t>ומש"ה הנכסים קיימי בחזקת היבם</w:t>
      </w:r>
      <w:r w:rsidRPr="00AF1DC8">
        <w:rPr>
          <w:rStyle w:val="ac"/>
          <w:rFonts w:ascii="Narkisim" w:hAnsi="Narkisim" w:cs="Narkisim"/>
          <w:rtl/>
        </w:rPr>
        <w:footnoteReference w:id="2228"/>
      </w:r>
      <w:r w:rsidRPr="00AF1DC8">
        <w:rPr>
          <w:rFonts w:ascii="Narkisim" w:hAnsi="Narkisim" w:cs="Narkisim"/>
        </w:rPr>
        <w:t xml:space="preserve">. </w:t>
      </w:r>
      <w:r w:rsidRPr="00AF1DC8">
        <w:rPr>
          <w:rFonts w:ascii="Narkisim" w:hAnsi="Narkisim" w:cs="Narkisim"/>
          <w:rtl/>
        </w:rPr>
        <w:t>ותי' כיון דרוב נשים לט' ילדין, אלא דאמרי' רוב עוברן ניכר בשליש ימיהם [כדאמרי' בע"א], הילכך הו"ל ממון המוטל בספק וחולקים.</w:t>
      </w:r>
      <w:r w:rsidRPr="00AF1DC8">
        <w:rPr>
          <w:rFonts w:ascii="Narkisim" w:hAnsi="Narkisim" w:cs="Narkisim"/>
          <w:sz w:val="20"/>
          <w:szCs w:val="20"/>
          <w:rtl/>
        </w:rPr>
        <w:t xml:space="preserve"> [ומבואר בדברי הרשב”א דמהני חזקה, וצ"ב דחזקה לא מהני להוציאת ממון. ויש שביארו דע"י חזקה הוכרע שהוא יורש, ונחשב דאין כאן ספק]</w:t>
      </w:r>
      <w:r w:rsidRPr="00AF1DC8">
        <w:rPr>
          <w:rFonts w:ascii="Narkisim" w:hAnsi="Narkisim" w:cs="Narkisim"/>
          <w:sz w:val="20"/>
          <w:szCs w:val="20"/>
        </w:rPr>
        <w:t>.</w:t>
      </w:r>
    </w:p>
    <w:p w14:paraId="16D9D446" w14:textId="77777777" w:rsidR="006074A5" w:rsidRPr="00AF1DC8" w:rsidRDefault="006074A5" w:rsidP="006074A5">
      <w:pPr>
        <w:bidi/>
        <w:rPr>
          <w:rFonts w:ascii="Narkisim" w:hAnsi="Narkisim" w:cs="Narkisim"/>
        </w:rPr>
      </w:pPr>
      <w:r w:rsidRPr="00AF1DC8">
        <w:rPr>
          <w:rFonts w:ascii="Narkisim" w:hAnsi="Narkisim" w:cs="Narkisim"/>
          <w:u w:val="single"/>
          <w:rtl/>
        </w:rPr>
        <w:t>תוד"ה וממון.</w:t>
      </w:r>
      <w:r w:rsidRPr="00AF1DC8">
        <w:rPr>
          <w:rFonts w:ascii="Narkisim" w:hAnsi="Narkisim" w:cs="Narkisim"/>
          <w:rtl/>
        </w:rPr>
        <w:t xml:space="preserve"> אפי' רבנן מודו, שאין זה מוחזק יותר מזה וכו'. [וכ"כ תוס' ב"ב לה. וכ"מ]. אבל </w:t>
      </w:r>
      <w:r w:rsidRPr="00AF1DC8">
        <w:rPr>
          <w:rFonts w:ascii="Narkisim" w:hAnsi="Narkisim" w:cs="Narkisim"/>
          <w:b/>
          <w:bCs/>
          <w:rtl/>
        </w:rPr>
        <w:t>רשב"ם</w:t>
      </w:r>
      <w:r w:rsidRPr="00AF1DC8">
        <w:rPr>
          <w:rFonts w:ascii="Narkisim" w:hAnsi="Narkisim" w:cs="Narkisim"/>
          <w:rtl/>
        </w:rPr>
        <w:t xml:space="preserve"> (ב"ב צב.) כת' דסומכוס ס"ל ממון המוטל בספק חולקים, וכגון ספק ויבם</w:t>
      </w:r>
      <w:r w:rsidRPr="00AF1DC8">
        <w:rPr>
          <w:rStyle w:val="ac"/>
          <w:rFonts w:ascii="Narkisim" w:hAnsi="Narkisim" w:cs="Narkisim"/>
          <w:rtl/>
        </w:rPr>
        <w:footnoteReference w:id="2229"/>
      </w:r>
      <w:r w:rsidRPr="00AF1DC8">
        <w:rPr>
          <w:rFonts w:ascii="Narkisim" w:hAnsi="Narkisim" w:cs="Narkisim"/>
        </w:rPr>
        <w:t xml:space="preserve">. </w:t>
      </w:r>
      <w:r w:rsidRPr="00AF1DC8">
        <w:rPr>
          <w:rFonts w:ascii="Narkisim" w:hAnsi="Narkisim" w:cs="Narkisim"/>
          <w:rtl/>
        </w:rPr>
        <w:t xml:space="preserve">ומשמע מדבריו דסוגיין דסומכוס, ורבנן פליגי. </w:t>
      </w:r>
      <w:r w:rsidRPr="00AF1DC8">
        <w:rPr>
          <w:rFonts w:ascii="Narkisim" w:hAnsi="Narkisim" w:cs="Narkisim"/>
          <w:szCs w:val="20"/>
          <w:rtl/>
        </w:rPr>
        <w:t>[ו</w:t>
      </w:r>
      <w:r w:rsidRPr="00AF1DC8">
        <w:rPr>
          <w:rFonts w:ascii="Narkisim" w:hAnsi="Narkisim" w:cs="Narkisim"/>
          <w:b/>
          <w:bCs/>
          <w:szCs w:val="20"/>
          <w:rtl/>
        </w:rPr>
        <w:t>רע"א</w:t>
      </w:r>
      <w:r w:rsidRPr="00AF1DC8">
        <w:rPr>
          <w:rFonts w:ascii="Narkisim" w:hAnsi="Narkisim" w:cs="Narkisim"/>
          <w:szCs w:val="20"/>
          <w:rtl/>
        </w:rPr>
        <w:t xml:space="preserve"> (בגהש"ס שם) הקשה דהכא אין מוחזק אף רבנן מודו. וכדברי התוס']</w:t>
      </w:r>
      <w:r w:rsidRPr="00AF1DC8">
        <w:rPr>
          <w:rFonts w:ascii="Narkisim" w:hAnsi="Narkisim" w:cs="Narkisim"/>
          <w:szCs w:val="20"/>
        </w:rPr>
        <w:t>.</w:t>
      </w:r>
    </w:p>
    <w:p w14:paraId="3DB137FA" w14:textId="77777777" w:rsidR="006074A5" w:rsidRPr="00AF1DC8" w:rsidRDefault="006074A5" w:rsidP="006074A5">
      <w:pPr>
        <w:bidi/>
        <w:rPr>
          <w:rFonts w:ascii="Narkisim" w:hAnsi="Narkisim" w:cs="Narkisim"/>
        </w:rPr>
      </w:pPr>
      <w:r w:rsidRPr="00AF1DC8">
        <w:rPr>
          <w:rFonts w:ascii="Narkisim" w:hAnsi="Narkisim" w:cs="Narkisim"/>
          <w:u w:val="single"/>
          <w:rtl/>
        </w:rPr>
        <w:t>שם. שאין זה מוחזק וכו'</w:t>
      </w:r>
      <w:r w:rsidRPr="00AF1DC8">
        <w:rPr>
          <w:rFonts w:ascii="Narkisim" w:hAnsi="Narkisim" w:cs="Narkisim"/>
          <w:rtl/>
        </w:rPr>
        <w:t>. בפשוטו משמע בתוס' דאין כאן מוחזק כלל. אבל ה</w:t>
      </w:r>
      <w:r w:rsidRPr="00AF1DC8">
        <w:rPr>
          <w:rFonts w:ascii="Narkisim" w:hAnsi="Narkisim" w:cs="Narkisim"/>
          <w:b/>
          <w:bCs/>
          <w:rtl/>
        </w:rPr>
        <w:t xml:space="preserve">ריטב"א </w:t>
      </w:r>
      <w:r w:rsidRPr="00AF1DC8">
        <w:rPr>
          <w:rFonts w:ascii="Narkisim" w:hAnsi="Narkisim" w:cs="Narkisim"/>
          <w:rtl/>
        </w:rPr>
        <w:t>כת' דכיון דמחמת ירושה הם באים דמי לתפסי ביה תרוייהו, ולכן לא עבדינן שודא דדייני או כל דאלים גבר</w:t>
      </w:r>
      <w:r w:rsidRPr="00AF1DC8">
        <w:rPr>
          <w:rStyle w:val="ac"/>
          <w:rFonts w:ascii="Narkisim" w:hAnsi="Narkisim" w:cs="Narkisim"/>
          <w:rtl/>
        </w:rPr>
        <w:footnoteReference w:id="2230"/>
      </w:r>
      <w:r w:rsidRPr="00AF1DC8">
        <w:rPr>
          <w:rFonts w:ascii="Narkisim" w:hAnsi="Narkisim" w:cs="Narkisim"/>
        </w:rPr>
        <w:t>.</w:t>
      </w:r>
    </w:p>
    <w:p w14:paraId="52BD54A6" w14:textId="77777777" w:rsidR="006074A5" w:rsidRPr="00AF1DC8" w:rsidRDefault="006074A5" w:rsidP="006074A5">
      <w:pPr>
        <w:bidi/>
        <w:rPr>
          <w:rFonts w:ascii="Narkisim" w:hAnsi="Narkisim" w:cs="Narkisim"/>
        </w:rPr>
      </w:pPr>
      <w:r w:rsidRPr="00AF1DC8">
        <w:rPr>
          <w:rFonts w:ascii="Narkisim" w:hAnsi="Narkisim" w:cs="Narkisim"/>
          <w:u w:val="single"/>
          <w:rtl/>
        </w:rPr>
        <w:t>שם. שאין זה מוחזק וכו'</w:t>
      </w:r>
      <w:r w:rsidRPr="00AF1DC8">
        <w:rPr>
          <w:rFonts w:ascii="Narkisim" w:hAnsi="Narkisim" w:cs="Narkisim"/>
          <w:rtl/>
        </w:rPr>
        <w:t>. ה</w:t>
      </w:r>
      <w:r w:rsidRPr="00AF1DC8">
        <w:rPr>
          <w:rFonts w:ascii="Narkisim" w:hAnsi="Narkisim" w:cs="Narkisim"/>
          <w:b/>
          <w:bCs/>
          <w:rtl/>
        </w:rPr>
        <w:t>רא"ש</w:t>
      </w:r>
      <w:r w:rsidRPr="00AF1DC8">
        <w:rPr>
          <w:rFonts w:ascii="Narkisim" w:hAnsi="Narkisim" w:cs="Narkisim"/>
          <w:rtl/>
        </w:rPr>
        <w:t xml:space="preserve"> (ח) כת' דאפי' דא' מוחזק בנכסים ל"מ ויחלוקו, כיון דנכסים בחזקת המת, ותרוייהו באו מטענת ספק ירושה. וכ"פ ה</w:t>
      </w:r>
      <w:r w:rsidRPr="00AF1DC8">
        <w:rPr>
          <w:rFonts w:ascii="Narkisim" w:hAnsi="Narkisim" w:cs="Narkisim"/>
          <w:b/>
          <w:bCs/>
          <w:rtl/>
        </w:rPr>
        <w:t>שו"ע</w:t>
      </w:r>
      <w:r w:rsidRPr="00AF1DC8">
        <w:rPr>
          <w:rFonts w:ascii="Narkisim" w:hAnsi="Narkisim" w:cs="Narkisim"/>
          <w:rtl/>
        </w:rPr>
        <w:t xml:space="preserve"> (קסג ג)</w:t>
      </w:r>
      <w:r w:rsidRPr="00AF1DC8">
        <w:rPr>
          <w:rFonts w:ascii="Narkisim" w:hAnsi="Narkisim" w:cs="Narkisim"/>
        </w:rPr>
        <w:t>.</w:t>
      </w:r>
    </w:p>
    <w:p w14:paraId="4465548C"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(ק"נ ועוד) נקטו דכוונת הרא"ש דל"מ תפיסה כנגד חזקת מ"ק של המת</w:t>
      </w:r>
      <w:r w:rsidRPr="00AF1DC8">
        <w:rPr>
          <w:rStyle w:val="ac"/>
          <w:rFonts w:ascii="Narkisim" w:hAnsi="Narkisim"/>
          <w:rtl/>
        </w:rPr>
        <w:footnoteReference w:id="2231"/>
      </w:r>
      <w:r w:rsidRPr="00AF1DC8">
        <w:rPr>
          <w:rFonts w:ascii="Narkisim" w:hAnsi="Narkisim"/>
        </w:rPr>
        <w:t xml:space="preserve">. </w:t>
      </w:r>
      <w:r w:rsidRPr="00AF1DC8">
        <w:rPr>
          <w:rFonts w:ascii="Narkisim" w:hAnsi="Narkisim"/>
          <w:rtl/>
        </w:rPr>
        <w:t>וה</w:t>
      </w:r>
      <w:r w:rsidRPr="00AF1DC8">
        <w:rPr>
          <w:rFonts w:ascii="Narkisim" w:hAnsi="Narkisim"/>
          <w:b/>
          <w:bCs/>
          <w:rtl/>
        </w:rPr>
        <w:t>בי"מ</w:t>
      </w:r>
      <w:r w:rsidRPr="00AF1DC8">
        <w:rPr>
          <w:rFonts w:ascii="Narkisim" w:hAnsi="Narkisim"/>
          <w:rtl/>
        </w:rPr>
        <w:t xml:space="preserve"> הק' דלדעת הרמב"ם [ושו"ע] בכל ספיקות מהני תפיסה, דתקפו כהן אין מוציאין מידו [א”כ האיך השו”ע פסק דהכא ל"מ תפיסה]. והבי"מ תי' דכיון דחל פסק דין יחלוקו [והוכרע הדין] אף לרמב"ם ל"מ תפיסה</w:t>
      </w:r>
      <w:r w:rsidRPr="00AF1DC8">
        <w:rPr>
          <w:rStyle w:val="ac"/>
          <w:rFonts w:ascii="Narkisim" w:hAnsi="Narkisim"/>
          <w:rtl/>
        </w:rPr>
        <w:footnoteReference w:id="2232"/>
      </w:r>
      <w:r w:rsidRPr="00AF1DC8">
        <w:rPr>
          <w:rFonts w:ascii="Narkisim" w:hAnsi="Narkisim"/>
        </w:rPr>
        <w:t>.</w:t>
      </w:r>
    </w:p>
    <w:p w14:paraId="7E695C71" w14:textId="77777777" w:rsidR="006074A5" w:rsidRPr="00AF1DC8" w:rsidRDefault="006074A5" w:rsidP="006074A5">
      <w:pPr>
        <w:pStyle w:val="a8"/>
        <w:bidi/>
        <w:rPr>
          <w:rFonts w:ascii="Narkisim" w:hAnsi="Narkisim"/>
        </w:rPr>
      </w:pPr>
      <w:r w:rsidRPr="00AF1DC8">
        <w:rPr>
          <w:rFonts w:ascii="Narkisim" w:hAnsi="Narkisim"/>
          <w:rtl/>
        </w:rPr>
        <w:t>אך יש שדנו דכוונת הרא"ש דל"ש כאן מוחזק משום דאין כאן ספק על נכסים אלו. דברור וידוע שהיו בחזקת המת, והוה ספק על עיקר הירושה. ומש"ה ל"מ מוחזק על ממון פרטי</w:t>
      </w:r>
      <w:r w:rsidRPr="00AF1DC8">
        <w:rPr>
          <w:rFonts w:ascii="Narkisim" w:hAnsi="Narkisim"/>
        </w:rPr>
        <w:t>.</w:t>
      </w:r>
    </w:p>
    <w:p w14:paraId="2B0C563C" w14:textId="77777777" w:rsidR="006074A5" w:rsidRPr="00AF1DC8" w:rsidRDefault="006074A5" w:rsidP="006074A5">
      <w:pPr>
        <w:bidi/>
        <w:rPr>
          <w:rFonts w:ascii="Narkisim" w:hAnsi="Narkisim" w:cs="Narkisim"/>
        </w:rPr>
      </w:pPr>
      <w:r w:rsidRPr="00AF1DC8">
        <w:rPr>
          <w:rFonts w:ascii="Narkisim" w:hAnsi="Narkisim" w:cs="Narkisim"/>
          <w:u w:val="single"/>
          <w:rtl/>
        </w:rPr>
        <w:t>ספק ובני יבם וכו' בנכסי מיתנא וכו'</w:t>
      </w:r>
      <w:r w:rsidRPr="00AF1DC8">
        <w:rPr>
          <w:rFonts w:ascii="Narkisim" w:hAnsi="Narkisim" w:cs="Narkisim"/>
          <w:rtl/>
        </w:rPr>
        <w:t>. ה</w:t>
      </w:r>
      <w:r w:rsidRPr="00AF1DC8">
        <w:rPr>
          <w:rFonts w:ascii="Narkisim" w:hAnsi="Narkisim" w:cs="Narkisim"/>
          <w:b/>
          <w:bCs/>
          <w:rtl/>
        </w:rPr>
        <w:t>לבוש</w:t>
      </w:r>
      <w:r w:rsidRPr="00AF1DC8">
        <w:rPr>
          <w:rFonts w:ascii="Narkisim" w:hAnsi="Narkisim" w:cs="Narkisim"/>
          <w:rtl/>
        </w:rPr>
        <w:t xml:space="preserve"> כת' דה"נ איירי כשהסבא קיים, דאל"כ הנכסים בחזקת בני היבם. דהיבם ודאי יורש [וכדברי הרא"ש הנ"ל]. וה</w:t>
      </w:r>
      <w:r w:rsidRPr="00AF1DC8">
        <w:rPr>
          <w:rFonts w:ascii="Narkisim" w:hAnsi="Narkisim" w:cs="Narkisim"/>
          <w:b/>
          <w:bCs/>
          <w:rtl/>
        </w:rPr>
        <w:t>ט"ז</w:t>
      </w:r>
      <w:r w:rsidRPr="00AF1DC8">
        <w:rPr>
          <w:rFonts w:ascii="Narkisim" w:hAnsi="Narkisim" w:cs="Narkisim"/>
          <w:rtl/>
        </w:rPr>
        <w:t xml:space="preserve"> (קסג ח) חלק דדוקא היכא דהיבם קיים אמרי' הכי, דאילו הספק בן של היבם אינו יורש כלל. אבל גבי בני יבם, הספק </w:t>
      </w:r>
      <w:r w:rsidRPr="00AF1DC8">
        <w:rPr>
          <w:rFonts w:ascii="Narkisim" w:hAnsi="Narkisim" w:cs="Narkisim"/>
          <w:rtl/>
        </w:rPr>
        <w:lastRenderedPageBreak/>
        <w:t>ממ"נ הוה יורש. ומש"ה בני היבם אינם 'ודאי' כנגדו</w:t>
      </w:r>
      <w:r w:rsidRPr="00AF1DC8">
        <w:rPr>
          <w:rFonts w:ascii="Narkisim" w:hAnsi="Narkisim" w:cs="Narkisim"/>
        </w:rPr>
        <w:t>.</w:t>
      </w:r>
    </w:p>
    <w:p w14:paraId="135506F4" w14:textId="77777777" w:rsidR="006074A5" w:rsidRPr="00AF1DC8" w:rsidRDefault="006074A5" w:rsidP="006074A5">
      <w:pPr>
        <w:bidi/>
        <w:rPr>
          <w:rFonts w:ascii="Narkisim" w:hAnsi="Narkisim" w:cs="Narkisim"/>
        </w:rPr>
      </w:pPr>
      <w:r w:rsidRPr="00AF1DC8">
        <w:rPr>
          <w:rFonts w:ascii="Narkisim" w:hAnsi="Narkisim" w:cs="Narkisim"/>
          <w:u w:val="single"/>
          <w:rtl/>
        </w:rPr>
        <w:t>דתנן הוא אינו יורש עמהם וכו', אינהו ודאי ואיהו ספק</w:t>
      </w:r>
      <w:r w:rsidRPr="00AF1DC8">
        <w:rPr>
          <w:rFonts w:ascii="Narkisim" w:hAnsi="Narkisim" w:cs="Narkisim"/>
          <w:rtl/>
        </w:rPr>
        <w:t>. ה</w:t>
      </w:r>
      <w:r w:rsidRPr="00AF1DC8">
        <w:rPr>
          <w:rFonts w:ascii="Narkisim" w:hAnsi="Narkisim" w:cs="Narkisim"/>
          <w:b/>
          <w:bCs/>
          <w:rtl/>
        </w:rPr>
        <w:t>רמב"ן</w:t>
      </w:r>
      <w:r w:rsidRPr="00AF1DC8">
        <w:rPr>
          <w:rFonts w:ascii="Narkisim" w:hAnsi="Narkisim" w:cs="Narkisim"/>
          <w:rtl/>
        </w:rPr>
        <w:t xml:space="preserve"> (לח.) וה</w:t>
      </w:r>
      <w:r w:rsidRPr="00AF1DC8">
        <w:rPr>
          <w:rFonts w:ascii="Narkisim" w:hAnsi="Narkisim" w:cs="Narkisim"/>
          <w:b/>
          <w:bCs/>
          <w:rtl/>
        </w:rPr>
        <w:t>רא"ש</w:t>
      </w:r>
      <w:r w:rsidRPr="00AF1DC8">
        <w:rPr>
          <w:rFonts w:ascii="Narkisim" w:hAnsi="Narkisim" w:cs="Narkisim"/>
          <w:rtl/>
        </w:rPr>
        <w:t xml:space="preserve"> (הו' לעיל) מבואר דאפי' כשאין לו בנים, אין לספק במקום בנות או אחיו. דאמרי' אין ספק מוציא מידי ודאי להוציא מחזקת המשפחה הודאית. ואף דאילו הספק הוא בנו, אין לבנות ואחים חלק כלל </w:t>
      </w:r>
      <w:r w:rsidRPr="00AF1DC8">
        <w:rPr>
          <w:rFonts w:ascii="Narkisim" w:hAnsi="Narkisim" w:cs="Narkisim"/>
          <w:sz w:val="20"/>
          <w:szCs w:val="20"/>
          <w:rtl/>
        </w:rPr>
        <w:t>[וה</w:t>
      </w:r>
      <w:r w:rsidRPr="00AF1DC8">
        <w:rPr>
          <w:rFonts w:ascii="Narkisim" w:hAnsi="Narkisim" w:cs="Narkisim"/>
          <w:b/>
          <w:bCs/>
          <w:sz w:val="20"/>
          <w:szCs w:val="20"/>
          <w:rtl/>
        </w:rPr>
        <w:t>רמב"ן</w:t>
      </w:r>
      <w:r w:rsidRPr="00AF1DC8">
        <w:rPr>
          <w:rFonts w:ascii="Narkisim" w:hAnsi="Narkisim" w:cs="Narkisim"/>
          <w:sz w:val="20"/>
          <w:szCs w:val="20"/>
          <w:rtl/>
        </w:rPr>
        <w:t xml:space="preserve"> הקשה מהגמ' לח., ועי"ש]</w:t>
      </w:r>
      <w:r w:rsidRPr="00AF1DC8">
        <w:rPr>
          <w:rFonts w:ascii="Narkisim" w:hAnsi="Narkisim" w:cs="Narkisim"/>
          <w:sz w:val="20"/>
          <w:szCs w:val="20"/>
        </w:rPr>
        <w:t>.</w:t>
      </w:r>
    </w:p>
    <w:p w14:paraId="3FF8793C"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ריטב"א</w:t>
      </w:r>
      <w:r w:rsidRPr="00AF1DC8">
        <w:rPr>
          <w:rFonts w:ascii="Narkisim" w:hAnsi="Narkisim"/>
          <w:rtl/>
        </w:rPr>
        <w:t xml:space="preserve"> כתב בשם ה</w:t>
      </w:r>
      <w:r w:rsidRPr="00AF1DC8">
        <w:rPr>
          <w:rFonts w:ascii="Narkisim" w:hAnsi="Narkisim"/>
          <w:b/>
          <w:bCs/>
          <w:rtl/>
        </w:rPr>
        <w:t>ר"ם</w:t>
      </w:r>
      <w:r w:rsidRPr="00AF1DC8">
        <w:rPr>
          <w:rFonts w:ascii="Narkisim" w:hAnsi="Narkisim"/>
          <w:rtl/>
        </w:rPr>
        <w:t xml:space="preserve"> דהמשנה איירי דוקא במקום שיש לו בן, אבל במקום יורש מאוחר אמרי' אי דמר לאו דמר. ונחשב ספק וספק</w:t>
      </w:r>
      <w:r w:rsidRPr="00AF1DC8">
        <w:rPr>
          <w:rStyle w:val="ac"/>
          <w:rFonts w:ascii="Narkisim" w:hAnsi="Narkisim"/>
          <w:rtl/>
        </w:rPr>
        <w:footnoteReference w:id="2233"/>
      </w:r>
      <w:r w:rsidRPr="00AF1DC8">
        <w:rPr>
          <w:rFonts w:ascii="Narkisim" w:hAnsi="Narkisim"/>
        </w:rPr>
        <w:t xml:space="preserve">. </w:t>
      </w:r>
      <w:r w:rsidRPr="00AF1DC8">
        <w:rPr>
          <w:rFonts w:ascii="Narkisim" w:hAnsi="Narkisim"/>
          <w:sz w:val="20"/>
          <w:szCs w:val="20"/>
          <w:rtl/>
        </w:rPr>
        <w:t>וכ"כ ה</w:t>
      </w:r>
      <w:r w:rsidRPr="00AF1DC8">
        <w:rPr>
          <w:rFonts w:ascii="Narkisim" w:hAnsi="Narkisim"/>
          <w:b/>
          <w:bCs/>
          <w:sz w:val="20"/>
          <w:szCs w:val="20"/>
          <w:rtl/>
        </w:rPr>
        <w:t>שלט"ג</w:t>
      </w:r>
      <w:r w:rsidRPr="00AF1DC8">
        <w:rPr>
          <w:rFonts w:ascii="Narkisim" w:hAnsi="Narkisim"/>
          <w:sz w:val="20"/>
          <w:szCs w:val="20"/>
          <w:rtl/>
        </w:rPr>
        <w:t xml:space="preserve"> (ב) בשם ה</w:t>
      </w:r>
      <w:r w:rsidRPr="00AF1DC8">
        <w:rPr>
          <w:rFonts w:ascii="Narkisim" w:hAnsi="Narkisim"/>
          <w:b/>
          <w:bCs/>
          <w:sz w:val="20"/>
          <w:szCs w:val="20"/>
          <w:rtl/>
        </w:rPr>
        <w:t>ריא"ז</w:t>
      </w:r>
      <w:r w:rsidRPr="00AF1DC8">
        <w:rPr>
          <w:rFonts w:ascii="Narkisim" w:hAnsi="Narkisim"/>
          <w:sz w:val="20"/>
          <w:szCs w:val="20"/>
          <w:rtl/>
        </w:rPr>
        <w:t xml:space="preserve"> דספק ובנות יבם בנכסי יבם יחלוקו</w:t>
      </w:r>
      <w:r w:rsidRPr="00AF1DC8">
        <w:rPr>
          <w:rStyle w:val="ac"/>
          <w:rFonts w:ascii="Narkisim" w:hAnsi="Narkisim"/>
          <w:sz w:val="20"/>
          <w:szCs w:val="20"/>
          <w:rtl/>
        </w:rPr>
        <w:footnoteReference w:id="2234"/>
      </w:r>
      <w:r w:rsidRPr="00AF1DC8">
        <w:rPr>
          <w:rFonts w:ascii="Narkisim" w:hAnsi="Narkisim"/>
          <w:sz w:val="20"/>
          <w:szCs w:val="20"/>
        </w:rPr>
        <w:t>.</w:t>
      </w:r>
    </w:p>
    <w:p w14:paraId="3A4FCE4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ט"ז</w:t>
      </w:r>
      <w:r w:rsidRPr="00AF1DC8">
        <w:rPr>
          <w:rFonts w:ascii="Narkisim" w:hAnsi="Narkisim"/>
          <w:rtl/>
        </w:rPr>
        <w:t xml:space="preserve"> (קסג) ביאר הטעם בזה דבעינן תרתי לטיבותא שהוא ודאי יורש ולדבריו מגיע לו כולו, ועוד דאף לדברי חבירו מגיע לו חלק. וה</w:t>
      </w:r>
      <w:r w:rsidRPr="00AF1DC8">
        <w:rPr>
          <w:rFonts w:ascii="Narkisim" w:hAnsi="Narkisim"/>
          <w:b/>
          <w:bCs/>
          <w:rtl/>
        </w:rPr>
        <w:t>אחרונים</w:t>
      </w:r>
      <w:r w:rsidRPr="00AF1DC8">
        <w:rPr>
          <w:rFonts w:ascii="Narkisim" w:hAnsi="Narkisim"/>
          <w:rtl/>
        </w:rPr>
        <w:t xml:space="preserve"> חלקו דלא תליא בגדרי 'תרתי', אלא דאין 'שם יורש' לאח במקום הבן, כיון דהבן יורש הכל</w:t>
      </w:r>
      <w:r w:rsidRPr="00AF1DC8">
        <w:rPr>
          <w:rFonts w:ascii="Narkisim" w:hAnsi="Narkisim"/>
        </w:rPr>
        <w:t>.</w:t>
      </w:r>
    </w:p>
    <w:p w14:paraId="22A9980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w:t>
      </w:r>
      <w:r w:rsidRPr="00AF1DC8">
        <w:rPr>
          <w:rFonts w:ascii="Narkisim" w:hAnsi="Narkisim"/>
          <w:szCs w:val="20"/>
          <w:rtl/>
        </w:rPr>
        <w:t>(</w:t>
      </w:r>
      <w:r w:rsidRPr="00AF1DC8">
        <w:rPr>
          <w:rFonts w:ascii="Narkisim" w:hAnsi="Narkisim"/>
          <w:sz w:val="20"/>
          <w:szCs w:val="20"/>
          <w:rtl/>
        </w:rPr>
        <w:t>מ יא)</w:t>
      </w:r>
      <w:r w:rsidRPr="00AF1DC8">
        <w:rPr>
          <w:rFonts w:ascii="Narkisim" w:hAnsi="Narkisim"/>
          <w:rtl/>
        </w:rPr>
        <w:t xml:space="preserve"> ביאר סברת הרמב"ן והרא"ש דיורש מאוחר יש לו ג”כ 'שם יורש', אלא דהיורש הקודם זוכה בנכסים. </w:t>
      </w:r>
      <w:r w:rsidRPr="00AF1DC8">
        <w:rPr>
          <w:rFonts w:ascii="Narkisim" w:hAnsi="Narkisim"/>
          <w:sz w:val="20"/>
          <w:szCs w:val="20"/>
          <w:rtl/>
        </w:rPr>
        <w:t>[ועי”ש שהאריך לתלות בחקירה זו כמה מח', וע"ע ברשב"א ב"ב לג.].</w:t>
      </w:r>
      <w:r w:rsidRPr="00AF1DC8">
        <w:rPr>
          <w:rFonts w:ascii="Narkisim" w:hAnsi="Narkisim"/>
          <w:rtl/>
        </w:rPr>
        <w:t xml:space="preserve"> וב</w:t>
      </w:r>
      <w:r w:rsidRPr="00AF1DC8">
        <w:rPr>
          <w:rFonts w:ascii="Narkisim" w:hAnsi="Narkisim"/>
          <w:b/>
          <w:bCs/>
          <w:rtl/>
        </w:rPr>
        <w:t>זכרון שמואל</w:t>
      </w:r>
      <w:r w:rsidRPr="00AF1DC8">
        <w:rPr>
          <w:rFonts w:ascii="Narkisim" w:hAnsi="Narkisim"/>
          <w:sz w:val="20"/>
          <w:szCs w:val="20"/>
          <w:rtl/>
        </w:rPr>
        <w:t xml:space="preserve"> (סב ובשי' ר' שמואל)</w:t>
      </w:r>
      <w:r w:rsidRPr="00AF1DC8">
        <w:rPr>
          <w:rFonts w:ascii="Narkisim" w:hAnsi="Narkisim"/>
          <w:rtl/>
        </w:rPr>
        <w:t xml:space="preserve"> חלק דליורש מאוחר אין 'שם יורש', ומ"מ לרמב"ן ורא"ש אמרי' אסממ"ו, דאין לחדש יורש מחודש להוציא מהיורש הידוע</w:t>
      </w:r>
      <w:r w:rsidRPr="00AF1DC8">
        <w:rPr>
          <w:rFonts w:ascii="Narkisim" w:hAnsi="Narkisim"/>
        </w:rPr>
        <w:t>.</w:t>
      </w:r>
    </w:p>
    <w:p w14:paraId="5F3AA973"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וה</w:t>
      </w:r>
      <w:r w:rsidRPr="00AF1DC8">
        <w:rPr>
          <w:rFonts w:ascii="Narkisim" w:hAnsi="Narkisim"/>
          <w:b/>
          <w:bCs/>
          <w:rtl/>
        </w:rPr>
        <w:t>בי"ש</w:t>
      </w:r>
      <w:r w:rsidRPr="00AF1DC8">
        <w:rPr>
          <w:rFonts w:ascii="Narkisim" w:hAnsi="Narkisim"/>
          <w:rtl/>
        </w:rPr>
        <w:t xml:space="preserve"> (קסג ה) דן היכא שהיבם מת והניח בנות ולא בנים, והספק זה בא לטעון עמהם שהוא בן היבם ויורש הכל. וכת' דתלי בדברי הרא"ש (הנ"ל). דלדעת הרא"ש הבנות הוה ודאי [יורש מאוחר], והספק אינו יורש במקום הבנות. ואילו לדעת שאר פוסקים חולקים, דאילו הספק הוה בנו א"כ הבנות אין יורשים כלל. ומש"ה טענתם שווה וחולקין</w:t>
      </w:r>
      <w:r w:rsidRPr="00AF1DC8">
        <w:rPr>
          <w:rFonts w:ascii="Narkisim" w:hAnsi="Narkisim"/>
        </w:rPr>
        <w:t>.</w:t>
      </w:r>
    </w:p>
    <w:p w14:paraId="6883773E"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וה</w:t>
      </w:r>
      <w:r w:rsidRPr="00AF1DC8">
        <w:rPr>
          <w:rFonts w:ascii="Narkisim" w:hAnsi="Narkisim"/>
          <w:b/>
          <w:bCs/>
          <w:rtl/>
        </w:rPr>
        <w:t>אחרונים</w:t>
      </w:r>
      <w:r w:rsidRPr="00AF1DC8">
        <w:rPr>
          <w:rFonts w:ascii="Narkisim" w:hAnsi="Narkisim"/>
          <w:rtl/>
        </w:rPr>
        <w:t xml:space="preserve"> הביאו דכעין סברא זו נח' הראשונים בסוגיא דטומטום (ב"ב קמ:) כשיש טומטום ובת, דחצי ממ"נ של טומטום. האם אמרי' דהבת נחשב 'ודאי' בחצי הב</w:t>
      </w:r>
      <w:r w:rsidRPr="00AF1DC8">
        <w:rPr>
          <w:rFonts w:ascii="Narkisim" w:hAnsi="Narkisim"/>
        </w:rPr>
        <w:t>'</w:t>
      </w:r>
      <w:r w:rsidRPr="00AF1DC8">
        <w:rPr>
          <w:rStyle w:val="ac"/>
          <w:rFonts w:ascii="Narkisim" w:hAnsi="Narkisim"/>
        </w:rPr>
        <w:footnoteReference w:id="2235"/>
      </w:r>
      <w:r w:rsidRPr="00AF1DC8">
        <w:rPr>
          <w:rFonts w:ascii="Narkisim" w:hAnsi="Narkisim"/>
        </w:rPr>
        <w:t>.</w:t>
      </w:r>
    </w:p>
    <w:p w14:paraId="168276E5" w14:textId="77777777" w:rsidR="006074A5" w:rsidRPr="00AF1DC8" w:rsidRDefault="006074A5" w:rsidP="006074A5">
      <w:pPr>
        <w:pStyle w:val="aa"/>
        <w:bidi/>
        <w:rPr>
          <w:rFonts w:ascii="Narkisim" w:hAnsi="Narkisim"/>
        </w:rPr>
      </w:pPr>
      <w:r w:rsidRPr="00AF1DC8">
        <w:rPr>
          <w:rFonts w:ascii="Narkisim" w:hAnsi="Narkisim"/>
          <w:u w:val="single"/>
          <w:rtl/>
        </w:rPr>
        <w:t>אין ספק מוציא מידי ודאי</w:t>
      </w:r>
      <w:r w:rsidRPr="00AF1DC8">
        <w:rPr>
          <w:rStyle w:val="ac"/>
          <w:rFonts w:ascii="Narkisim" w:hAnsi="Narkisim"/>
          <w:rtl/>
        </w:rPr>
        <w:footnoteReference w:id="2236"/>
      </w:r>
      <w:r w:rsidRPr="00AF1DC8">
        <w:rPr>
          <w:rFonts w:ascii="Narkisim" w:hAnsi="Narkisim"/>
        </w:rPr>
        <w:t xml:space="preserve">. </w:t>
      </w:r>
      <w:r w:rsidRPr="00AF1DC8">
        <w:rPr>
          <w:rFonts w:ascii="Narkisim" w:hAnsi="Narkisim"/>
          <w:rtl/>
        </w:rPr>
        <w:t>בפשוטו כלל 'אסממ"ו' הוה הכרעה וכעין חזקה דמעיקרא. אבל ה</w:t>
      </w:r>
      <w:r w:rsidRPr="00AF1DC8">
        <w:rPr>
          <w:rFonts w:ascii="Narkisim" w:hAnsi="Narkisim"/>
          <w:b/>
          <w:bCs/>
          <w:rtl/>
        </w:rPr>
        <w:t>חזו"א</w:t>
      </w:r>
      <w:r w:rsidRPr="00AF1DC8">
        <w:rPr>
          <w:rFonts w:ascii="Narkisim" w:hAnsi="Narkisim"/>
          <w:rtl/>
        </w:rPr>
        <w:t xml:space="preserve"> (עב ז) ביאר דשייך לדין מוחזק. והחזו"א ביאר דהרבה יש ענינים אלו בדיני ממונות, דהבא בטענה שהוא משנה ומחדש את הענין נחשב כמוציא [ועי”ש דהביא הרבה סוגיות עד"ז]</w:t>
      </w:r>
      <w:r w:rsidRPr="00AF1DC8">
        <w:rPr>
          <w:rFonts w:ascii="Narkisim" w:hAnsi="Narkisim"/>
        </w:rPr>
        <w:t>.</w:t>
      </w:r>
    </w:p>
    <w:p w14:paraId="2617DBDA" w14:textId="77777777" w:rsidR="006074A5" w:rsidRPr="00AF1DC8" w:rsidRDefault="006074A5" w:rsidP="006074A5">
      <w:pPr>
        <w:bidi/>
        <w:rPr>
          <w:rFonts w:ascii="Narkisim" w:hAnsi="Narkisim" w:cs="Narkisim"/>
        </w:rPr>
      </w:pPr>
      <w:r w:rsidRPr="00AF1DC8">
        <w:rPr>
          <w:rFonts w:ascii="Narkisim" w:hAnsi="Narkisim" w:cs="Narkisim"/>
          <w:u w:val="single"/>
          <w:rtl/>
        </w:rPr>
        <w:t>הכא אידי ואידי ספק.</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sz w:val="20"/>
          <w:szCs w:val="20"/>
          <w:rtl/>
        </w:rPr>
        <w:t xml:space="preserve"> (ד"ה בנכסי, ונראה בעיני) </w:t>
      </w:r>
      <w:r w:rsidRPr="00AF1DC8">
        <w:rPr>
          <w:rFonts w:ascii="Narkisim" w:hAnsi="Narkisim" w:cs="Narkisim"/>
          <w:rtl/>
        </w:rPr>
        <w:t>דחולקים רק את החלק הנשאר, וכן מבואר בגמ' (לח.) לגבי ספק ובני יבם בנכסי סבא, שחולקים בשתות הנשאר. אבל ה</w:t>
      </w:r>
      <w:r w:rsidRPr="00AF1DC8">
        <w:rPr>
          <w:rFonts w:ascii="Narkisim" w:hAnsi="Narkisim" w:cs="Narkisim"/>
          <w:b/>
          <w:bCs/>
          <w:rtl/>
        </w:rPr>
        <w:t>רמב"ם</w:t>
      </w:r>
      <w:r w:rsidRPr="00AF1DC8">
        <w:rPr>
          <w:rFonts w:ascii="Narkisim" w:hAnsi="Narkisim" w:cs="Narkisim"/>
          <w:rtl/>
        </w:rPr>
        <w:t xml:space="preserve"> (נחלות ה ד) פסק דנוטל חצי בכל הנכסים.</w:t>
      </w:r>
      <w:r w:rsidRPr="00AF1DC8">
        <w:rPr>
          <w:rFonts w:ascii="Narkisim" w:hAnsi="Narkisim" w:cs="Narkisim"/>
          <w:sz w:val="20"/>
          <w:szCs w:val="20"/>
          <w:rtl/>
        </w:rPr>
        <w:t xml:space="preserve"> וה</w:t>
      </w:r>
      <w:r w:rsidRPr="00AF1DC8">
        <w:rPr>
          <w:rFonts w:ascii="Narkisim" w:hAnsi="Narkisim" w:cs="Narkisim"/>
          <w:b/>
          <w:bCs/>
          <w:sz w:val="20"/>
          <w:szCs w:val="20"/>
          <w:rtl/>
        </w:rPr>
        <w:t>פוסקים</w:t>
      </w:r>
      <w:r w:rsidRPr="00AF1DC8">
        <w:rPr>
          <w:rFonts w:ascii="Narkisim" w:hAnsi="Narkisim" w:cs="Narkisim"/>
          <w:sz w:val="20"/>
          <w:szCs w:val="20"/>
          <w:rtl/>
        </w:rPr>
        <w:t xml:space="preserve"> (ט"ז קסג) הקשו מ"ש מהתם דחולקים בשתות. ועי' בסמוך</w:t>
      </w:r>
      <w:r w:rsidRPr="00AF1DC8">
        <w:rPr>
          <w:rFonts w:ascii="Narkisim" w:hAnsi="Narkisim" w:cs="Narkisim"/>
          <w:sz w:val="20"/>
          <w:szCs w:val="20"/>
        </w:rPr>
        <w:t>.</w:t>
      </w:r>
    </w:p>
    <w:p w14:paraId="7C59F78F" w14:textId="77777777" w:rsidR="006074A5" w:rsidRPr="00AF1DC8" w:rsidRDefault="006074A5" w:rsidP="006074A5">
      <w:pPr>
        <w:pStyle w:val="aa"/>
        <w:bidi/>
        <w:rPr>
          <w:rFonts w:ascii="Narkisim" w:hAnsi="Narkisim"/>
        </w:rPr>
      </w:pPr>
      <w:r w:rsidRPr="00AF1DC8">
        <w:rPr>
          <w:rFonts w:ascii="Narkisim" w:hAnsi="Narkisim"/>
          <w:u w:val="single"/>
          <w:rtl/>
        </w:rPr>
        <w:t>הבו לי מנתא בהדייכו.</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כגון שנכסי היבם מרובים משל המת [דאל"כ אין לו כל חלק המת]. וה</w:t>
      </w:r>
      <w:r w:rsidRPr="00AF1DC8">
        <w:rPr>
          <w:rFonts w:ascii="Narkisim" w:hAnsi="Narkisim"/>
          <w:b/>
          <w:bCs/>
          <w:rtl/>
        </w:rPr>
        <w:t>ריטב"א</w:t>
      </w:r>
      <w:r w:rsidRPr="00AF1DC8">
        <w:rPr>
          <w:rFonts w:ascii="Narkisim" w:hAnsi="Narkisim"/>
          <w:rtl/>
        </w:rPr>
        <w:t xml:space="preserve"> הביא </w:t>
      </w:r>
      <w:r w:rsidRPr="00AF1DC8">
        <w:rPr>
          <w:rFonts w:ascii="Narkisim" w:hAnsi="Narkisim"/>
          <w:b/>
          <w:bCs/>
          <w:rtl/>
        </w:rPr>
        <w:t>י"מ</w:t>
      </w:r>
      <w:r w:rsidRPr="00AF1DC8">
        <w:rPr>
          <w:rFonts w:ascii="Narkisim" w:hAnsi="Narkisim"/>
          <w:rtl/>
        </w:rPr>
        <w:t xml:space="preserve"> אפי' במועטים יכול לבא בממ"נ, דלדבריכם הייתם אומרים דאחיכם אני, אבל לא אחזיר את חצי הנכסים שנטלתי, דבזה אני מוחזק</w:t>
      </w:r>
      <w:r w:rsidRPr="00AF1DC8">
        <w:rPr>
          <w:rStyle w:val="ac"/>
          <w:rFonts w:ascii="Narkisim" w:hAnsi="Narkisim"/>
          <w:rtl/>
        </w:rPr>
        <w:footnoteReference w:id="2237"/>
      </w:r>
      <w:r w:rsidRPr="00AF1DC8">
        <w:rPr>
          <w:rFonts w:ascii="Narkisim" w:hAnsi="Narkisim"/>
        </w:rPr>
        <w:t>.</w:t>
      </w:r>
    </w:p>
    <w:p w14:paraId="227B2016" w14:textId="77777777" w:rsidR="006074A5" w:rsidRPr="00AF1DC8" w:rsidRDefault="006074A5" w:rsidP="006074A5">
      <w:pPr>
        <w:pStyle w:val="2"/>
        <w:bidi/>
        <w:rPr>
          <w:rFonts w:ascii="Narkisim" w:hAnsi="Narkisim"/>
        </w:rPr>
      </w:pPr>
      <w:r w:rsidRPr="00AF1DC8">
        <w:rPr>
          <w:rFonts w:ascii="Narkisim" w:hAnsi="Narkisim"/>
          <w:rtl/>
        </w:rPr>
        <w:t>קם דינא</w:t>
      </w:r>
    </w:p>
    <w:p w14:paraId="688ABEA3" w14:textId="77777777" w:rsidR="006074A5" w:rsidRPr="00AF1DC8" w:rsidRDefault="006074A5" w:rsidP="006074A5">
      <w:pPr>
        <w:bidi/>
        <w:rPr>
          <w:rFonts w:ascii="Narkisim" w:hAnsi="Narkisim" w:cs="Narkisim"/>
        </w:rPr>
      </w:pPr>
      <w:r w:rsidRPr="00AF1DC8">
        <w:rPr>
          <w:rFonts w:ascii="Narkisim" w:hAnsi="Narkisim" w:cs="Narkisim"/>
          <w:u w:val="single"/>
          <w:rtl/>
        </w:rPr>
        <w:t>ר' אבא אמר רב קם דינא</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לאחר שנעשית הדין, אינו יכול לחזור ולערער עליהם. וצ"ב דממ"נ אינו שלו, והאיך יעכב הממון תחת ידו</w:t>
      </w:r>
      <w:r w:rsidRPr="00AF1DC8">
        <w:rPr>
          <w:rFonts w:ascii="Narkisim" w:hAnsi="Narkisim" w:cs="Narkisim"/>
        </w:rPr>
        <w:t>.</w:t>
      </w:r>
    </w:p>
    <w:p w14:paraId="2DC05A78"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תה"ד</w:t>
      </w:r>
      <w:r w:rsidRPr="00AF1DC8">
        <w:rPr>
          <w:rFonts w:ascii="Narkisim" w:hAnsi="Narkisim"/>
          <w:rtl/>
        </w:rPr>
        <w:t xml:space="preserve"> (שי) ביאר דמ"ד קם דינא אסח דעתיה ונתייאש מחלקו</w:t>
      </w:r>
      <w:r w:rsidRPr="00AF1DC8">
        <w:rPr>
          <w:rStyle w:val="ac"/>
          <w:rFonts w:ascii="Narkisim" w:hAnsi="Narkisim"/>
          <w:rtl/>
        </w:rPr>
        <w:footnoteReference w:id="2238"/>
      </w:r>
      <w:r w:rsidRPr="00AF1DC8">
        <w:rPr>
          <w:rFonts w:ascii="Narkisim" w:hAnsi="Narkisim"/>
        </w:rPr>
        <w:t>.</w:t>
      </w:r>
      <w:r w:rsidRPr="00AF1DC8">
        <w:rPr>
          <w:rFonts w:ascii="Narkisim" w:hAnsi="Narkisim"/>
          <w:sz w:val="20"/>
          <w:szCs w:val="20"/>
        </w:rPr>
        <w:t xml:space="preserve"> </w:t>
      </w:r>
      <w:r w:rsidRPr="00AF1DC8">
        <w:rPr>
          <w:rFonts w:ascii="Narkisim" w:hAnsi="Narkisim"/>
          <w:sz w:val="20"/>
          <w:szCs w:val="20"/>
          <w:rtl/>
        </w:rPr>
        <w:t>[וה</w:t>
      </w:r>
      <w:r w:rsidRPr="00AF1DC8">
        <w:rPr>
          <w:rFonts w:ascii="Narkisim" w:hAnsi="Narkisim"/>
          <w:b/>
          <w:bCs/>
          <w:sz w:val="20"/>
          <w:szCs w:val="20"/>
          <w:rtl/>
        </w:rPr>
        <w:t>ש"ך</w:t>
      </w:r>
      <w:r w:rsidRPr="00AF1DC8">
        <w:rPr>
          <w:rFonts w:ascii="Narkisim" w:hAnsi="Narkisim"/>
          <w:sz w:val="20"/>
          <w:szCs w:val="20"/>
          <w:rtl/>
        </w:rPr>
        <w:t xml:space="preserve"> (ס' תקפו כהן בסופו) הקשה דמי לא עסקינן דלא ידע דמכר לד'</w:t>
      </w:r>
      <w:r w:rsidRPr="00AF1DC8">
        <w:rPr>
          <w:rStyle w:val="ac"/>
          <w:rFonts w:ascii="Narkisim" w:hAnsi="Narkisim"/>
          <w:sz w:val="20"/>
          <w:szCs w:val="20"/>
          <w:rtl/>
        </w:rPr>
        <w:footnoteReference w:id="2239"/>
      </w:r>
      <w:r w:rsidRPr="00AF1DC8">
        <w:rPr>
          <w:rFonts w:ascii="Narkisim" w:hAnsi="Narkisim"/>
          <w:sz w:val="20"/>
          <w:szCs w:val="20"/>
          <w:rtl/>
        </w:rPr>
        <w:t xml:space="preserve">. ועוד הקשה </w:t>
      </w:r>
      <w:r w:rsidRPr="00AF1DC8">
        <w:rPr>
          <w:rFonts w:ascii="Narkisim" w:hAnsi="Narkisim"/>
          <w:b/>
          <w:bCs/>
          <w:sz w:val="20"/>
          <w:szCs w:val="20"/>
          <w:rtl/>
        </w:rPr>
        <w:t xml:space="preserve">רע”א </w:t>
      </w:r>
      <w:r w:rsidRPr="00AF1DC8">
        <w:rPr>
          <w:rFonts w:ascii="Narkisim" w:hAnsi="Narkisim"/>
          <w:sz w:val="20"/>
          <w:szCs w:val="20"/>
          <w:rtl/>
        </w:rPr>
        <w:t>היאך מהני יאוש בקטן]</w:t>
      </w:r>
      <w:r w:rsidRPr="00AF1DC8">
        <w:rPr>
          <w:rFonts w:ascii="Narkisim" w:hAnsi="Narkisim"/>
          <w:rtl/>
        </w:rPr>
        <w:t>. וה</w:t>
      </w:r>
      <w:r w:rsidRPr="00AF1DC8">
        <w:rPr>
          <w:rFonts w:ascii="Narkisim" w:hAnsi="Narkisim"/>
          <w:b/>
          <w:bCs/>
          <w:rtl/>
        </w:rPr>
        <w:t>תומים</w:t>
      </w:r>
      <w:r w:rsidRPr="00AF1DC8">
        <w:rPr>
          <w:rFonts w:ascii="Narkisim" w:hAnsi="Narkisim"/>
          <w:rtl/>
        </w:rPr>
        <w:t xml:space="preserve"> (קיצור תק"כ קל) כתב דהוה מדין הפקר בי"ד</w:t>
      </w:r>
      <w:r w:rsidRPr="00AF1DC8">
        <w:rPr>
          <w:rStyle w:val="ac"/>
          <w:rFonts w:ascii="Narkisim" w:hAnsi="Narkisim"/>
          <w:rtl/>
        </w:rPr>
        <w:footnoteReference w:id="2240"/>
      </w:r>
      <w:r w:rsidRPr="00AF1DC8">
        <w:rPr>
          <w:rFonts w:ascii="Narkisim" w:hAnsi="Narkisim"/>
        </w:rPr>
        <w:t>.</w:t>
      </w:r>
    </w:p>
    <w:p w14:paraId="475B6C9C"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ש"ך</w:t>
      </w:r>
      <w:r w:rsidRPr="00AF1DC8">
        <w:rPr>
          <w:rFonts w:ascii="Narkisim" w:hAnsi="Narkisim"/>
          <w:rtl/>
        </w:rPr>
        <w:t xml:space="preserve"> (שם, והו' בקוה”ס ו יב) כתב הטעם דבתרי גברי לא אמרי' ממה נפשך. </w:t>
      </w:r>
      <w:r w:rsidRPr="00AF1DC8">
        <w:rPr>
          <w:rFonts w:ascii="Narkisim" w:hAnsi="Narkisim"/>
          <w:sz w:val="20"/>
          <w:szCs w:val="20"/>
          <w:rtl/>
        </w:rPr>
        <w:t xml:space="preserve">ובפשוטו הוה </w:t>
      </w:r>
      <w:r w:rsidRPr="00AF1DC8">
        <w:rPr>
          <w:rFonts w:ascii="Narkisim" w:hAnsi="Narkisim"/>
          <w:sz w:val="20"/>
          <w:szCs w:val="20"/>
          <w:rtl/>
        </w:rPr>
        <w:lastRenderedPageBreak/>
        <w:t>משום 'מה מכר', דכל א' מכר לו את זכותו בספק</w:t>
      </w:r>
      <w:r w:rsidRPr="00AF1DC8">
        <w:rPr>
          <w:rStyle w:val="ac"/>
          <w:rFonts w:ascii="Narkisim" w:hAnsi="Narkisim"/>
          <w:sz w:val="20"/>
          <w:szCs w:val="20"/>
          <w:rtl/>
        </w:rPr>
        <w:footnoteReference w:id="2241"/>
      </w:r>
      <w:r w:rsidRPr="00AF1DC8">
        <w:rPr>
          <w:rFonts w:ascii="Narkisim" w:hAnsi="Narkisim"/>
          <w:sz w:val="20"/>
          <w:szCs w:val="20"/>
        </w:rPr>
        <w:t>.</w:t>
      </w:r>
    </w:p>
    <w:p w14:paraId="19626D4C"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נתיבות</w:t>
      </w:r>
      <w:r w:rsidRPr="00AF1DC8">
        <w:rPr>
          <w:rFonts w:ascii="Narkisim" w:hAnsi="Narkisim"/>
          <w:rtl/>
        </w:rPr>
        <w:t xml:space="preserve"> (קמח) תמה דסוף סוף הקרקע בודאי אינו שלו. וכי משום שהתובע אינו יודע מאיזה צד לתבוע יאכל הלה וחדי</w:t>
      </w:r>
      <w:r w:rsidRPr="00AF1DC8">
        <w:rPr>
          <w:rStyle w:val="ac"/>
          <w:rFonts w:ascii="Narkisim" w:hAnsi="Narkisim"/>
          <w:rtl/>
        </w:rPr>
        <w:footnoteReference w:id="2242"/>
      </w:r>
      <w:r w:rsidRPr="00AF1DC8">
        <w:rPr>
          <w:rFonts w:ascii="Narkisim" w:hAnsi="Narkisim"/>
        </w:rPr>
        <w:t xml:space="preserve">. </w:t>
      </w:r>
      <w:r w:rsidRPr="00AF1DC8">
        <w:rPr>
          <w:rFonts w:ascii="Narkisim" w:hAnsi="Narkisim"/>
          <w:rtl/>
        </w:rPr>
        <w:t>ואמאי בעינן 'טענה' לזכות בגוף הממון. [והקשה מ”ש מב"ב ל לאו קמודית דדידי היא</w:t>
      </w:r>
      <w:r w:rsidRPr="00AF1DC8">
        <w:rPr>
          <w:rStyle w:val="ac"/>
          <w:rFonts w:ascii="Narkisim" w:hAnsi="Narkisim"/>
          <w:rtl/>
        </w:rPr>
        <w:footnoteReference w:id="2243"/>
      </w:r>
      <w:r w:rsidRPr="00AF1DC8">
        <w:rPr>
          <w:rFonts w:ascii="Narkisim" w:hAnsi="Narkisim"/>
          <w:rtl/>
        </w:rPr>
        <w:t>]</w:t>
      </w:r>
      <w:r w:rsidRPr="00AF1DC8">
        <w:rPr>
          <w:rFonts w:ascii="Narkisim" w:hAnsi="Narkisim"/>
        </w:rPr>
        <w:t>.</w:t>
      </w:r>
    </w:p>
    <w:p w14:paraId="7007C12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שער"י</w:t>
      </w:r>
      <w:r w:rsidRPr="00AF1DC8">
        <w:rPr>
          <w:rFonts w:ascii="Narkisim" w:hAnsi="Narkisim"/>
          <w:rtl/>
        </w:rPr>
        <w:t xml:space="preserve"> </w:t>
      </w:r>
      <w:r w:rsidRPr="00AF1DC8">
        <w:rPr>
          <w:rFonts w:ascii="Narkisim" w:hAnsi="Narkisim"/>
          <w:szCs w:val="20"/>
          <w:rtl/>
        </w:rPr>
        <w:t xml:space="preserve">(ה י) </w:t>
      </w: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(עא) ביארו גדר קם דינא ע"פ יסוד האחרונים דספק ממון לא נחשב גזל. דכיון דהוכרע שהוא שלו ע"פ משפטי הממון, עי"ז נחשב ממונו. וה"נ כיון דזכה מכח הכרעת המשפט עדיין הוה שלו, כל שלא נתברר דההכרעה הראשונה היתה בטעות</w:t>
      </w:r>
      <w:r w:rsidRPr="00AF1DC8">
        <w:rPr>
          <w:rStyle w:val="ac"/>
          <w:rFonts w:ascii="Narkisim" w:hAnsi="Narkisim"/>
          <w:rtl/>
        </w:rPr>
        <w:footnoteReference w:id="2244"/>
      </w:r>
      <w:r w:rsidRPr="00AF1DC8">
        <w:rPr>
          <w:rFonts w:ascii="Narkisim" w:hAnsi="Narkisim"/>
        </w:rPr>
        <w:t xml:space="preserve">. </w:t>
      </w:r>
      <w:r w:rsidRPr="00AF1DC8">
        <w:rPr>
          <w:rFonts w:ascii="Narkisim" w:hAnsi="Narkisim"/>
          <w:rtl/>
        </w:rPr>
        <w:t>וה</w:t>
      </w:r>
      <w:r w:rsidRPr="00AF1DC8">
        <w:rPr>
          <w:rFonts w:ascii="Narkisim" w:hAnsi="Narkisim"/>
          <w:b/>
          <w:bCs/>
          <w:rtl/>
        </w:rPr>
        <w:t>שער"י</w:t>
      </w:r>
      <w:r w:rsidRPr="00AF1DC8">
        <w:rPr>
          <w:rFonts w:ascii="Narkisim" w:hAnsi="Narkisim"/>
          <w:rtl/>
        </w:rPr>
        <w:t xml:space="preserve"> ביאר דמ"ד קם דינא ס"ל דההכרעה הראשונה מכריע לכל זמן הספק, ואילו למ"ד הדר דינא בעינן שסיבת ההכרעה תהיה קיימת בכל שעה</w:t>
      </w:r>
      <w:r w:rsidRPr="00AF1DC8">
        <w:rPr>
          <w:rStyle w:val="ac"/>
          <w:rFonts w:ascii="Narkisim" w:hAnsi="Narkisim"/>
          <w:rtl/>
        </w:rPr>
        <w:footnoteReference w:id="2245"/>
      </w:r>
      <w:r w:rsidRPr="00AF1DC8">
        <w:rPr>
          <w:rFonts w:ascii="Narkisim" w:hAnsi="Narkisim"/>
        </w:rPr>
        <w:t>.</w:t>
      </w:r>
    </w:p>
    <w:p w14:paraId="748A702D"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וה</w:t>
      </w:r>
      <w:r w:rsidRPr="00AF1DC8">
        <w:rPr>
          <w:rFonts w:ascii="Narkisim" w:hAnsi="Narkisim"/>
          <w:b/>
          <w:bCs/>
          <w:rtl/>
        </w:rPr>
        <w:t>תה"ד</w:t>
      </w:r>
      <w:r w:rsidRPr="00AF1DC8">
        <w:rPr>
          <w:rFonts w:ascii="Narkisim" w:hAnsi="Narkisim"/>
          <w:rtl/>
        </w:rPr>
        <w:t xml:space="preserve"> למד דבמקום דנוצר אח"כ ממ"נ ל"מ כיון דכבר נתיאש. וה</w:t>
      </w:r>
      <w:r w:rsidRPr="00AF1DC8">
        <w:rPr>
          <w:rFonts w:ascii="Narkisim" w:hAnsi="Narkisim"/>
          <w:b/>
          <w:bCs/>
          <w:rtl/>
        </w:rPr>
        <w:t>ש"ך</w:t>
      </w:r>
      <w:r w:rsidRPr="00AF1DC8">
        <w:rPr>
          <w:rFonts w:ascii="Narkisim" w:hAnsi="Narkisim"/>
          <w:rtl/>
        </w:rPr>
        <w:t xml:space="preserve"> (סו”ס תקפו כהן כללי קים לי) חלק דבכ"מ בחד גברא אמרי' ממ"נ, ורק במי שאבדה דרך שדהו לא דנים ממ"נ דאתו מכח ד', ובתרי גברא לא אמרי' ממ"נ. וה</w:t>
      </w:r>
      <w:r w:rsidRPr="00AF1DC8">
        <w:rPr>
          <w:rFonts w:ascii="Narkisim" w:hAnsi="Narkisim"/>
          <w:b/>
          <w:bCs/>
          <w:rtl/>
        </w:rPr>
        <w:t>קו' הספיקות</w:t>
      </w:r>
      <w:r w:rsidRPr="00AF1DC8">
        <w:rPr>
          <w:rFonts w:ascii="Narkisim" w:hAnsi="Narkisim"/>
          <w:rtl/>
        </w:rPr>
        <w:t xml:space="preserve"> (ו יד) ביאר דבתרי גברא אמרי' מה מכר ראשון לשני, ודעדיין קיים הכרעת הדין של הא'</w:t>
      </w:r>
      <w:r w:rsidRPr="00AF1DC8">
        <w:rPr>
          <w:rStyle w:val="ac"/>
          <w:rFonts w:ascii="Narkisim" w:hAnsi="Narkisim"/>
          <w:rtl/>
        </w:rPr>
        <w:footnoteReference w:id="2246"/>
      </w:r>
      <w:r w:rsidRPr="00AF1DC8">
        <w:rPr>
          <w:rFonts w:ascii="Narkisim" w:hAnsi="Narkisim"/>
          <w:rtl/>
        </w:rPr>
        <w:t>. וה</w:t>
      </w:r>
      <w:r w:rsidRPr="00AF1DC8">
        <w:rPr>
          <w:rFonts w:ascii="Narkisim" w:hAnsi="Narkisim"/>
          <w:b/>
          <w:bCs/>
          <w:rtl/>
        </w:rPr>
        <w:t>שער"י</w:t>
      </w:r>
      <w:r w:rsidRPr="00AF1DC8">
        <w:rPr>
          <w:rFonts w:ascii="Narkisim" w:hAnsi="Narkisim"/>
          <w:rtl/>
        </w:rPr>
        <w:t xml:space="preserve"> ביאר דבחד גברא כשיש ממ"נ נחשב שיש בירור נוסף, וההכרעה הראשונה ל"מ כלפי מצב של בירור מחודש. [אבל בתרי גברא אין שינוי בההכרעה הראשונה]</w:t>
      </w:r>
      <w:r w:rsidRPr="00AF1DC8">
        <w:rPr>
          <w:rFonts w:ascii="Narkisim" w:hAnsi="Narkisim"/>
        </w:rPr>
        <w:t>.</w:t>
      </w:r>
    </w:p>
    <w:p w14:paraId="7DFE5B5D" w14:textId="77777777" w:rsidR="006074A5" w:rsidRPr="00AF1DC8" w:rsidRDefault="006074A5" w:rsidP="006074A5">
      <w:pPr>
        <w:pStyle w:val="a7"/>
        <w:bidi/>
        <w:rPr>
          <w:rFonts w:ascii="Narkisim" w:hAnsi="Narkisim"/>
        </w:rPr>
      </w:pPr>
      <w:r w:rsidRPr="00AF1DC8">
        <w:rPr>
          <w:rFonts w:ascii="Narkisim" w:hAnsi="Narkisim"/>
          <w:sz w:val="20"/>
          <w:szCs w:val="20"/>
          <w:rtl/>
        </w:rPr>
        <w:t>וה</w:t>
      </w:r>
      <w:r w:rsidRPr="00AF1DC8">
        <w:rPr>
          <w:rFonts w:ascii="Narkisim" w:hAnsi="Narkisim"/>
          <w:b/>
          <w:bCs/>
          <w:sz w:val="20"/>
          <w:szCs w:val="20"/>
          <w:rtl/>
        </w:rPr>
        <w:t>נתיבות</w:t>
      </w:r>
      <w:r w:rsidRPr="00AF1DC8">
        <w:rPr>
          <w:rFonts w:ascii="Narkisim" w:hAnsi="Narkisim"/>
          <w:sz w:val="20"/>
          <w:szCs w:val="20"/>
          <w:rtl/>
        </w:rPr>
        <w:t xml:space="preserve"> (קמח א) כת' דבדבר מסויים דבאיסורא אתא לידו ל"ש קם דינא</w:t>
      </w:r>
      <w:r w:rsidRPr="00AF1DC8">
        <w:rPr>
          <w:rStyle w:val="ac"/>
          <w:rFonts w:ascii="Narkisim" w:hAnsi="Narkisim"/>
          <w:sz w:val="20"/>
          <w:szCs w:val="20"/>
          <w:rtl/>
        </w:rPr>
        <w:footnoteReference w:id="2247"/>
      </w:r>
      <w:r w:rsidRPr="00AF1DC8">
        <w:rPr>
          <w:rFonts w:ascii="Narkisim" w:hAnsi="Narkisim"/>
          <w:sz w:val="20"/>
          <w:szCs w:val="20"/>
        </w:rPr>
        <w:t xml:space="preserve">. </w:t>
      </w:r>
      <w:r w:rsidRPr="00AF1DC8">
        <w:rPr>
          <w:rFonts w:ascii="Narkisim" w:hAnsi="Narkisim"/>
          <w:sz w:val="20"/>
          <w:szCs w:val="20"/>
          <w:rtl/>
        </w:rPr>
        <w:t>וע"כ איירי דיש לו רק שעבוד על הדרך. וב</w:t>
      </w:r>
      <w:r w:rsidRPr="00AF1DC8">
        <w:rPr>
          <w:rFonts w:ascii="Narkisim" w:hAnsi="Narkisim"/>
          <w:b/>
          <w:bCs/>
          <w:sz w:val="20"/>
          <w:szCs w:val="20"/>
          <w:rtl/>
        </w:rPr>
        <w:t>שו"ת גליא מסכת</w:t>
      </w:r>
      <w:r w:rsidRPr="00AF1DC8">
        <w:rPr>
          <w:rFonts w:ascii="Narkisim" w:hAnsi="Narkisim"/>
          <w:sz w:val="20"/>
          <w:szCs w:val="20"/>
          <w:rtl/>
        </w:rPr>
        <w:t xml:space="preserve"> (ו) פליג דאף בקנין דרך מסויים אמרי' הממע”ה, אלא דיש לו זכות תביעה לקבל דמיו. [וה</w:t>
      </w:r>
      <w:r w:rsidRPr="00AF1DC8">
        <w:rPr>
          <w:rFonts w:ascii="Narkisim" w:hAnsi="Narkisim"/>
          <w:b/>
          <w:bCs/>
          <w:sz w:val="20"/>
          <w:szCs w:val="20"/>
          <w:rtl/>
        </w:rPr>
        <w:t>אחרונים</w:t>
      </w:r>
      <w:r w:rsidRPr="00AF1DC8">
        <w:rPr>
          <w:rFonts w:ascii="Narkisim" w:hAnsi="Narkisim"/>
          <w:sz w:val="20"/>
          <w:szCs w:val="20"/>
          <w:rtl/>
        </w:rPr>
        <w:t xml:space="preserve"> דנו האם יש לו זכות לקבל בקרקע]</w:t>
      </w:r>
      <w:r w:rsidRPr="00AF1DC8">
        <w:rPr>
          <w:rFonts w:ascii="Narkisim" w:hAnsi="Narkisim"/>
          <w:sz w:val="20"/>
          <w:szCs w:val="20"/>
        </w:rPr>
        <w:t>.</w:t>
      </w:r>
    </w:p>
    <w:p w14:paraId="22040A14" w14:textId="77777777" w:rsidR="006074A5" w:rsidRPr="00AF1DC8" w:rsidRDefault="006074A5" w:rsidP="006074A5">
      <w:pPr>
        <w:bidi/>
        <w:rPr>
          <w:rFonts w:ascii="Narkisim" w:hAnsi="Narkisim" w:cs="Narkisim"/>
        </w:rPr>
      </w:pPr>
      <w:r w:rsidRPr="00AF1DC8">
        <w:rPr>
          <w:rFonts w:ascii="Narkisim" w:hAnsi="Narkisim" w:cs="Narkisim"/>
          <w:u w:val="single"/>
          <w:rtl/>
        </w:rPr>
        <w:t>תוד"ה אמר.</w:t>
      </w:r>
      <w:r w:rsidRPr="00AF1DC8">
        <w:rPr>
          <w:rFonts w:ascii="Narkisim" w:hAnsi="Narkisim" w:cs="Narkisim"/>
          <w:rtl/>
        </w:rPr>
        <w:t xml:space="preserve"> דוקא בתר דפליג</w:t>
      </w:r>
      <w:r w:rsidRPr="00AF1DC8">
        <w:rPr>
          <w:rStyle w:val="ac"/>
          <w:rFonts w:ascii="Narkisim" w:hAnsi="Narkisim" w:cs="Narkisim"/>
          <w:rtl/>
        </w:rPr>
        <w:footnoteReference w:id="2248"/>
      </w:r>
      <w:r w:rsidRPr="00AF1DC8">
        <w:rPr>
          <w:rFonts w:ascii="Narkisim" w:hAnsi="Narkisim" w:cs="Narkisim"/>
        </w:rPr>
        <w:t xml:space="preserve">. </w:t>
      </w:r>
      <w:r w:rsidRPr="00AF1DC8">
        <w:rPr>
          <w:rFonts w:ascii="Narkisim" w:hAnsi="Narkisim" w:cs="Narkisim"/>
          <w:rtl/>
        </w:rPr>
        <w:t>וב</w:t>
      </w:r>
      <w:r w:rsidRPr="00AF1DC8">
        <w:rPr>
          <w:rFonts w:ascii="Narkisim" w:hAnsi="Narkisim" w:cs="Narkisim"/>
          <w:b/>
          <w:bCs/>
          <w:rtl/>
        </w:rPr>
        <w:t>תוס' חד מקמאי</w:t>
      </w:r>
      <w:r w:rsidRPr="00AF1DC8">
        <w:rPr>
          <w:rFonts w:ascii="Narkisim" w:hAnsi="Narkisim" w:cs="Narkisim"/>
          <w:rtl/>
        </w:rPr>
        <w:t xml:space="preserve"> הקשה דבאבדה דרך שדהו לא עמדו בדין, ואמאי אמרי' קם דינא. וכה"ק ה</w:t>
      </w:r>
      <w:r w:rsidRPr="00AF1DC8">
        <w:rPr>
          <w:rFonts w:ascii="Narkisim" w:hAnsi="Narkisim" w:cs="Narkisim"/>
          <w:b/>
          <w:bCs/>
          <w:rtl/>
        </w:rPr>
        <w:t>רשב"א</w:t>
      </w:r>
      <w:r w:rsidRPr="00AF1DC8">
        <w:rPr>
          <w:rFonts w:ascii="Narkisim" w:hAnsi="Narkisim" w:cs="Narkisim"/>
          <w:rtl/>
        </w:rPr>
        <w:t xml:space="preserve"> דמבואר התם דאמרי' דכיון דאילו יבואו לדין דינא הכי דהממע"ה, וה”נ י”ל בספק ויבם כיון דאילו אתו לדינא, ובתר דאיפסיק דינא קאמר. וכתב דלא משמע כן, ותי' דבפלוגתא דאדמון הוה כאילו עמדו בדין וזכו, כיון דהשדות הם </w:t>
      </w:r>
      <w:r w:rsidRPr="00AF1DC8">
        <w:rPr>
          <w:rFonts w:ascii="Narkisim" w:hAnsi="Narkisim" w:cs="Narkisim"/>
          <w:i/>
          <w:iCs/>
          <w:rtl/>
        </w:rPr>
        <w:t>מוחלטין</w:t>
      </w:r>
      <w:r w:rsidRPr="00AF1DC8">
        <w:rPr>
          <w:rFonts w:ascii="Narkisim" w:hAnsi="Narkisim" w:cs="Narkisim"/>
          <w:rtl/>
        </w:rPr>
        <w:t xml:space="preserve"> ביד הבעלים הידועין</w:t>
      </w:r>
      <w:r w:rsidRPr="00AF1DC8">
        <w:rPr>
          <w:rStyle w:val="ac"/>
          <w:rFonts w:ascii="Narkisim" w:hAnsi="Narkisim" w:cs="Narkisim"/>
          <w:rtl/>
        </w:rPr>
        <w:footnoteReference w:id="2249"/>
      </w:r>
      <w:r w:rsidRPr="00AF1DC8">
        <w:rPr>
          <w:rFonts w:ascii="Narkisim" w:hAnsi="Narkisim" w:cs="Narkisim"/>
        </w:rPr>
        <w:t xml:space="preserve">. </w:t>
      </w:r>
      <w:r w:rsidRPr="00AF1DC8">
        <w:rPr>
          <w:rFonts w:ascii="Narkisim" w:hAnsi="Narkisim" w:cs="Narkisim"/>
          <w:rtl/>
        </w:rPr>
        <w:t>אבל נכסי ספק, אע"ג דהיבם ירד להם הוה כ</w:t>
      </w:r>
      <w:r w:rsidRPr="00AF1DC8">
        <w:rPr>
          <w:rFonts w:ascii="Narkisim" w:hAnsi="Narkisim" w:cs="Narkisim"/>
          <w:i/>
          <w:iCs/>
          <w:rtl/>
        </w:rPr>
        <w:t>מפוקדים</w:t>
      </w:r>
      <w:r w:rsidRPr="00AF1DC8">
        <w:rPr>
          <w:rFonts w:ascii="Narkisim" w:hAnsi="Narkisim" w:cs="Narkisim"/>
          <w:rtl/>
        </w:rPr>
        <w:t xml:space="preserve"> אצלו עד דשעת חלוקה</w:t>
      </w:r>
      <w:r w:rsidRPr="00AF1DC8">
        <w:rPr>
          <w:rFonts w:ascii="Narkisim" w:hAnsi="Narkisim" w:cs="Narkisim"/>
        </w:rPr>
        <w:t>.</w:t>
      </w:r>
    </w:p>
    <w:p w14:paraId="10036E85"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הוסיף דהכא דינם בנכסים מחמת הספק, ומפני שיד שניהם שווה חולקים מן הספק. וכל כמה דלא פלגו אין לנו לומר קם דינא [שיעמדו בני יבם במקום יבם], ודיינו לאחר שחלקו</w:t>
      </w:r>
      <w:r w:rsidRPr="00AF1DC8">
        <w:rPr>
          <w:rStyle w:val="ac"/>
          <w:rFonts w:ascii="Narkisim" w:hAnsi="Narkisim"/>
          <w:rtl/>
        </w:rPr>
        <w:footnoteReference w:id="2250"/>
      </w:r>
      <w:r w:rsidRPr="00AF1DC8">
        <w:rPr>
          <w:rFonts w:ascii="Narkisim" w:hAnsi="Narkisim"/>
        </w:rPr>
        <w:t xml:space="preserve">. </w:t>
      </w:r>
      <w:r w:rsidRPr="00AF1DC8">
        <w:rPr>
          <w:rFonts w:ascii="Narkisim" w:hAnsi="Narkisim"/>
          <w:rtl/>
        </w:rPr>
        <w:t>אבל באבד דרך שדיהו כל א' מוחזק בשדהו, וכאילו הדין נפסק. ומש”ה אי"צ חלוקה בפועל</w:t>
      </w:r>
      <w:r w:rsidRPr="00AF1DC8">
        <w:rPr>
          <w:rFonts w:ascii="Narkisim" w:hAnsi="Narkisim"/>
        </w:rPr>
        <w:t>.</w:t>
      </w:r>
    </w:p>
    <w:p w14:paraId="6EB3A234"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תה"ד</w:t>
      </w:r>
      <w:r w:rsidRPr="00AF1DC8">
        <w:rPr>
          <w:rFonts w:ascii="Narkisim" w:hAnsi="Narkisim"/>
          <w:rtl/>
        </w:rPr>
        <w:t xml:space="preserve"> (שם) כת' דהיכא דיש ממ"נ, כגון שפעם א' ראובן קנה משמעון [שקנה סחורה בחצר של חבירו בכליו של לוקח], ושוב נזדמן דשמעון קנה מראובן כה"ג, וממ"נ א' שלו. וכת' דהיכא דתבעו לדין ונפסק הדין, עי"ז אסח דעתיה ואמרי' קם דינא. ולא אמרי' ממ"נ [והו' ב</w:t>
      </w:r>
      <w:r w:rsidRPr="00AF1DC8">
        <w:rPr>
          <w:rFonts w:ascii="Narkisim" w:hAnsi="Narkisim"/>
          <w:b/>
          <w:bCs/>
          <w:rtl/>
        </w:rPr>
        <w:t>רמ"א</w:t>
      </w:r>
      <w:r w:rsidRPr="00AF1DC8">
        <w:rPr>
          <w:rFonts w:ascii="Narkisim" w:hAnsi="Narkisim"/>
          <w:rtl/>
        </w:rPr>
        <w:t xml:space="preserve"> חו"מ רסח]. וה</w:t>
      </w:r>
      <w:r w:rsidRPr="00AF1DC8">
        <w:rPr>
          <w:rFonts w:ascii="Narkisim" w:hAnsi="Narkisim"/>
          <w:b/>
          <w:bCs/>
          <w:rtl/>
        </w:rPr>
        <w:t>ש"ך</w:t>
      </w:r>
      <w:r w:rsidRPr="00AF1DC8">
        <w:rPr>
          <w:rFonts w:ascii="Narkisim" w:hAnsi="Narkisim"/>
          <w:rtl/>
        </w:rPr>
        <w:t xml:space="preserve"> (שם ז, ותק”כ שם) השיג דכיון דהוה מוחזק בידו לא בעינן פסק דין בפועל [וכראשונים בסוגיין]. וע"ע </w:t>
      </w:r>
      <w:r w:rsidRPr="00AF1DC8">
        <w:rPr>
          <w:rFonts w:ascii="Narkisim" w:hAnsi="Narkisim"/>
          <w:b/>
          <w:bCs/>
          <w:rtl/>
        </w:rPr>
        <w:t>קונה"ס</w:t>
      </w:r>
      <w:r w:rsidRPr="00AF1DC8">
        <w:rPr>
          <w:rFonts w:ascii="Narkisim" w:hAnsi="Narkisim"/>
          <w:rtl/>
        </w:rPr>
        <w:t xml:space="preserve"> (ו יב)</w:t>
      </w:r>
      <w:r w:rsidRPr="00AF1DC8">
        <w:rPr>
          <w:rFonts w:ascii="Narkisim" w:hAnsi="Narkisim"/>
        </w:rPr>
        <w:t>.</w:t>
      </w:r>
    </w:p>
    <w:p w14:paraId="7C62A670" w14:textId="77777777" w:rsidR="006074A5" w:rsidRPr="00AF1DC8" w:rsidRDefault="006074A5" w:rsidP="006074A5">
      <w:pPr>
        <w:bidi/>
        <w:rPr>
          <w:rFonts w:ascii="Narkisim" w:hAnsi="Narkisim" w:cs="Narkisim"/>
        </w:rPr>
      </w:pPr>
      <w:r w:rsidRPr="00AF1DC8">
        <w:rPr>
          <w:rFonts w:ascii="Narkisim" w:hAnsi="Narkisim" w:cs="Narkisim"/>
          <w:u w:val="single"/>
          <w:rtl/>
        </w:rPr>
        <w:t>אי שתקת.</w:t>
      </w:r>
      <w:r w:rsidRPr="00AF1DC8">
        <w:rPr>
          <w:rFonts w:ascii="Narkisim" w:hAnsi="Narkisim" w:cs="Narkisim"/>
          <w:rtl/>
        </w:rPr>
        <w:t xml:space="preserve"> בפשוטו הוה טעם אחר, ולא שייך לקם דינא, וכ"כ </w:t>
      </w:r>
      <w:r w:rsidRPr="00AF1DC8">
        <w:rPr>
          <w:rFonts w:ascii="Narkisim" w:hAnsi="Narkisim" w:cs="Narkisim"/>
          <w:b/>
          <w:bCs/>
          <w:rtl/>
        </w:rPr>
        <w:t>תוס</w:t>
      </w:r>
      <w:r w:rsidRPr="00AF1DC8">
        <w:rPr>
          <w:rFonts w:ascii="Narkisim" w:hAnsi="Narkisim" w:cs="Narkisim"/>
          <w:rtl/>
        </w:rPr>
        <w:t xml:space="preserve">' (ב"מ קטו:) דהגמ' נקטה </w:t>
      </w:r>
      <w:r w:rsidRPr="00AF1DC8">
        <w:rPr>
          <w:rFonts w:ascii="Narkisim" w:hAnsi="Narkisim" w:cs="Narkisim"/>
          <w:rtl/>
        </w:rPr>
        <w:lastRenderedPageBreak/>
        <w:t>הטעם לפי המסקנא</w:t>
      </w:r>
      <w:r w:rsidRPr="00AF1DC8">
        <w:rPr>
          <w:rStyle w:val="ac"/>
          <w:rFonts w:ascii="Narkisim" w:hAnsi="Narkisim" w:cs="Narkisim"/>
          <w:rtl/>
        </w:rPr>
        <w:footnoteReference w:id="2251"/>
      </w:r>
      <w:r w:rsidRPr="00AF1DC8">
        <w:rPr>
          <w:rFonts w:ascii="Narkisim" w:hAnsi="Narkisim" w:cs="Narkisim"/>
        </w:rPr>
        <w:t xml:space="preserve">. </w:t>
      </w:r>
      <w:r w:rsidRPr="00AF1DC8">
        <w:rPr>
          <w:rFonts w:ascii="Narkisim" w:hAnsi="Narkisim" w:cs="Narkisim"/>
          <w:sz w:val="20"/>
          <w:szCs w:val="20"/>
          <w:rtl/>
        </w:rPr>
        <w:t>[ולפ"ז רש"י ותוס' שייכים בע"ב במסקנא].</w:t>
      </w:r>
      <w:r w:rsidRPr="00AF1DC8">
        <w:rPr>
          <w:rFonts w:ascii="Narkisim" w:hAnsi="Narkisim" w:cs="Narkisim"/>
          <w:rtl/>
        </w:rPr>
        <w:t xml:space="preserve"> אבל ה</w:t>
      </w:r>
      <w:r w:rsidRPr="00AF1DC8">
        <w:rPr>
          <w:rFonts w:ascii="Narkisim" w:hAnsi="Narkisim" w:cs="Narkisim"/>
          <w:b/>
          <w:bCs/>
          <w:rtl/>
        </w:rPr>
        <w:t>נמוק"י</w:t>
      </w:r>
      <w:r w:rsidRPr="00AF1DC8">
        <w:rPr>
          <w:rFonts w:ascii="Narkisim" w:hAnsi="Narkisim" w:cs="Narkisim"/>
          <w:rtl/>
        </w:rPr>
        <w:t xml:space="preserve"> [וכ"מ ב</w:t>
      </w:r>
      <w:r w:rsidRPr="00AF1DC8">
        <w:rPr>
          <w:rFonts w:ascii="Narkisim" w:hAnsi="Narkisim" w:cs="Narkisim"/>
          <w:b/>
          <w:bCs/>
          <w:rtl/>
        </w:rPr>
        <w:t>ריטב"א</w:t>
      </w:r>
      <w:r w:rsidRPr="00AF1DC8">
        <w:rPr>
          <w:rFonts w:ascii="Narkisim" w:hAnsi="Narkisim" w:cs="Narkisim"/>
          <w:rtl/>
        </w:rPr>
        <w:t>] כתב דכיון דאתא מכח ד' הפסיד זכותו, דנכנס תחתיהם לגמרי וכאילו החזיר שטרותיהן. דמה מכר ראשון לשני כל זכות שתבא לידו.</w:t>
      </w:r>
      <w:r w:rsidRPr="00AF1DC8">
        <w:rPr>
          <w:rFonts w:ascii="Narkisim" w:hAnsi="Narkisim" w:cs="Narkisim"/>
          <w:sz w:val="20"/>
          <w:szCs w:val="20"/>
          <w:rtl/>
        </w:rPr>
        <w:t xml:space="preserve"> ועי"ז אמרי' קם דינא, וע"ד מש"כ ה</w:t>
      </w:r>
      <w:r w:rsidRPr="00AF1DC8">
        <w:rPr>
          <w:rFonts w:ascii="Narkisim" w:hAnsi="Narkisim" w:cs="Narkisim"/>
          <w:b/>
          <w:bCs/>
          <w:sz w:val="20"/>
          <w:szCs w:val="20"/>
          <w:rtl/>
        </w:rPr>
        <w:t>ש"ך</w:t>
      </w:r>
      <w:r w:rsidRPr="00AF1DC8">
        <w:rPr>
          <w:rFonts w:ascii="Narkisim" w:hAnsi="Narkisim" w:cs="Narkisim"/>
          <w:sz w:val="20"/>
          <w:szCs w:val="20"/>
          <w:rtl/>
        </w:rPr>
        <w:t>. וכ"כ ה</w:t>
      </w:r>
      <w:r w:rsidRPr="00AF1DC8">
        <w:rPr>
          <w:rFonts w:ascii="Narkisim" w:hAnsi="Narkisim" w:cs="Narkisim"/>
          <w:b/>
          <w:bCs/>
          <w:sz w:val="20"/>
          <w:szCs w:val="20"/>
          <w:rtl/>
        </w:rPr>
        <w:t>קוה"ס</w:t>
      </w:r>
      <w:r w:rsidRPr="00AF1DC8">
        <w:rPr>
          <w:rFonts w:ascii="Narkisim" w:hAnsi="Narkisim" w:cs="Narkisim"/>
          <w:sz w:val="20"/>
          <w:szCs w:val="20"/>
          <w:rtl/>
        </w:rPr>
        <w:t xml:space="preserve"> (ו טו). [ועפ"ז דן ה</w:t>
      </w:r>
      <w:r w:rsidRPr="00AF1DC8">
        <w:rPr>
          <w:rFonts w:ascii="Narkisim" w:hAnsi="Narkisim" w:cs="Narkisim"/>
          <w:b/>
          <w:bCs/>
          <w:sz w:val="20"/>
          <w:szCs w:val="20"/>
          <w:rtl/>
        </w:rPr>
        <w:t>ש"ך</w:t>
      </w:r>
      <w:r w:rsidRPr="00AF1DC8">
        <w:rPr>
          <w:rFonts w:ascii="Narkisim" w:hAnsi="Narkisim" w:cs="Narkisim"/>
          <w:sz w:val="20"/>
          <w:szCs w:val="20"/>
          <w:rtl/>
        </w:rPr>
        <w:t xml:space="preserve"> דאם מתו המוכרים דל"ש קם דינא. וע"ע </w:t>
      </w:r>
      <w:r w:rsidRPr="00AF1DC8">
        <w:rPr>
          <w:rFonts w:ascii="Narkisim" w:hAnsi="Narkisim" w:cs="Narkisim"/>
          <w:b/>
          <w:bCs/>
          <w:sz w:val="20"/>
          <w:szCs w:val="20"/>
          <w:rtl/>
        </w:rPr>
        <w:t>קצות</w:t>
      </w:r>
      <w:r w:rsidRPr="00AF1DC8">
        <w:rPr>
          <w:rFonts w:ascii="Narkisim" w:hAnsi="Narkisim" w:cs="Narkisim"/>
          <w:sz w:val="20"/>
          <w:szCs w:val="20"/>
          <w:rtl/>
        </w:rPr>
        <w:t xml:space="preserve"> קמח א ו</w:t>
      </w:r>
      <w:r w:rsidRPr="00AF1DC8">
        <w:rPr>
          <w:rFonts w:ascii="Narkisim" w:hAnsi="Narkisim" w:cs="Narkisim"/>
          <w:b/>
          <w:bCs/>
          <w:sz w:val="20"/>
          <w:szCs w:val="20"/>
          <w:rtl/>
        </w:rPr>
        <w:t>נתיבות</w:t>
      </w:r>
      <w:r w:rsidRPr="00AF1DC8">
        <w:rPr>
          <w:rFonts w:ascii="Narkisim" w:hAnsi="Narkisim" w:cs="Narkisim"/>
          <w:sz w:val="20"/>
          <w:szCs w:val="20"/>
          <w:rtl/>
        </w:rPr>
        <w:t xml:space="preserve"> שם ב]</w:t>
      </w:r>
      <w:r w:rsidRPr="00AF1DC8">
        <w:rPr>
          <w:rFonts w:ascii="Narkisim" w:hAnsi="Narkisim" w:cs="Narkisim"/>
          <w:sz w:val="20"/>
          <w:szCs w:val="20"/>
        </w:rPr>
        <w:t>.</w:t>
      </w:r>
    </w:p>
    <w:p w14:paraId="6F981923" w14:textId="77777777" w:rsidR="006074A5" w:rsidRPr="00AF1DC8" w:rsidRDefault="006074A5" w:rsidP="006074A5">
      <w:pPr>
        <w:bidi/>
        <w:rPr>
          <w:rFonts w:ascii="Narkisim" w:hAnsi="Narkisim" w:cs="Narkisim"/>
        </w:rPr>
      </w:pPr>
      <w:r w:rsidRPr="00AF1DC8">
        <w:rPr>
          <w:rFonts w:ascii="Narkisim" w:hAnsi="Narkisim" w:cs="Narkisim"/>
          <w:u w:val="single"/>
          <w:rtl/>
        </w:rPr>
        <w:t>תוד"ה דאמר.</w:t>
      </w:r>
      <w:r w:rsidRPr="00AF1DC8">
        <w:rPr>
          <w:rFonts w:ascii="Narkisim" w:hAnsi="Narkisim" w:cs="Narkisim"/>
          <w:rtl/>
        </w:rPr>
        <w:t xml:space="preserve"> ולא תטול כלום. [ולא נחשב שמפקיע דינו, וע”ע במפרשים]. וה</w:t>
      </w:r>
      <w:r w:rsidRPr="00AF1DC8">
        <w:rPr>
          <w:rFonts w:ascii="Narkisim" w:hAnsi="Narkisim" w:cs="Narkisim"/>
          <w:b/>
          <w:bCs/>
          <w:rtl/>
        </w:rPr>
        <w:t>תוס' הרא"ש</w:t>
      </w:r>
      <w:r w:rsidRPr="00AF1DC8">
        <w:rPr>
          <w:rFonts w:ascii="Narkisim" w:hAnsi="Narkisim" w:cs="Narkisim"/>
          <w:rtl/>
        </w:rPr>
        <w:t xml:space="preserve"> ביאר ואין שכנגדו נפסד בחזרתו דאילו לא לקחו היה דינו הכי, ולכן אמרי' דכמוחזר דמי</w:t>
      </w:r>
      <w:r w:rsidRPr="00AF1DC8">
        <w:rPr>
          <w:rFonts w:ascii="Narkisim" w:hAnsi="Narkisim" w:cs="Narkisim"/>
        </w:rPr>
        <w:t>.</w:t>
      </w:r>
    </w:p>
    <w:p w14:paraId="390936B2" w14:textId="77777777" w:rsidR="006074A5" w:rsidRPr="00AF1DC8" w:rsidRDefault="006074A5" w:rsidP="006074A5">
      <w:pPr>
        <w:pStyle w:val="aa"/>
        <w:bidi/>
        <w:rPr>
          <w:rFonts w:ascii="Narkisim" w:hAnsi="Narkisim"/>
        </w:rPr>
      </w:pPr>
      <w:r w:rsidRPr="00AF1DC8">
        <w:rPr>
          <w:rFonts w:ascii="Narkisim" w:hAnsi="Narkisim"/>
          <w:u w:val="single"/>
          <w:rtl/>
        </w:rPr>
        <w:t>בא"ד ולא כמו שפי' בקו' ומוזילנא.</w:t>
      </w:r>
      <w:r w:rsidRPr="00AF1DC8">
        <w:rPr>
          <w:rFonts w:ascii="Narkisim" w:hAnsi="Narkisim"/>
          <w:rtl/>
        </w:rPr>
        <w:t xml:space="preserve"> וה</w:t>
      </w:r>
      <w:r w:rsidRPr="00AF1DC8">
        <w:rPr>
          <w:rFonts w:ascii="Narkisim" w:hAnsi="Narkisim"/>
          <w:b/>
          <w:bCs/>
          <w:rtl/>
        </w:rPr>
        <w:t>ריטב"א</w:t>
      </w:r>
      <w:r w:rsidRPr="00AF1DC8">
        <w:rPr>
          <w:rFonts w:ascii="Narkisim" w:hAnsi="Narkisim"/>
          <w:rtl/>
        </w:rPr>
        <w:t xml:space="preserve"> הקשה לרש"י דאין לחכמים לדון אלא לפי שעתו, ולא להטיל פשרה. [והראשונים ב"ק ח וכתובות קט: האריכו בגדר מהדרנא]</w:t>
      </w:r>
      <w:r w:rsidRPr="00AF1DC8">
        <w:rPr>
          <w:rFonts w:ascii="Narkisim" w:hAnsi="Narkisim"/>
        </w:rPr>
        <w:t>.</w:t>
      </w:r>
    </w:p>
    <w:p w14:paraId="3184228E" w14:textId="77777777" w:rsidR="006074A5" w:rsidRPr="00AF1DC8" w:rsidRDefault="006074A5" w:rsidP="006074A5">
      <w:pPr>
        <w:pStyle w:val="aa"/>
        <w:bidi/>
        <w:rPr>
          <w:rFonts w:ascii="Narkisim" w:hAnsi="Narkisim"/>
        </w:rPr>
      </w:pPr>
      <w:r w:rsidRPr="00AF1DC8">
        <w:rPr>
          <w:rFonts w:ascii="Narkisim" w:hAnsi="Narkisim"/>
          <w:u w:val="single"/>
          <w:rtl/>
        </w:rPr>
        <w:t>בא"ד דמצי אמר לא מכרתי אלא מה שיש לי בה.</w:t>
      </w:r>
      <w:r w:rsidRPr="00AF1DC8">
        <w:rPr>
          <w:rFonts w:ascii="Narkisim" w:hAnsi="Narkisim"/>
          <w:rtl/>
        </w:rPr>
        <w:t xml:space="preserve"> וה</w:t>
      </w:r>
      <w:r w:rsidRPr="00AF1DC8">
        <w:rPr>
          <w:rFonts w:ascii="Narkisim" w:hAnsi="Narkisim"/>
          <w:b/>
          <w:bCs/>
          <w:rtl/>
        </w:rPr>
        <w:t xml:space="preserve">נתיבות </w:t>
      </w:r>
      <w:r w:rsidRPr="00AF1DC8">
        <w:rPr>
          <w:rFonts w:ascii="Narkisim" w:hAnsi="Narkisim"/>
          <w:rtl/>
        </w:rPr>
        <w:t>(קמח א) תי' דאיירי הכא דאין לו קנין בקרקע של הדרך, אלא שעבוד לעבור [דכתב דבדבר מסויים דבאיסורא אתא לידו ל”ש קם דינא], ולכן ל"ש נידון על המעות. וב</w:t>
      </w:r>
      <w:r w:rsidRPr="00AF1DC8">
        <w:rPr>
          <w:rFonts w:ascii="Narkisim" w:hAnsi="Narkisim"/>
          <w:b/>
          <w:bCs/>
          <w:rtl/>
        </w:rPr>
        <w:t>שו”ת גליא מסכת</w:t>
      </w:r>
      <w:r w:rsidRPr="00AF1DC8">
        <w:rPr>
          <w:rFonts w:ascii="Narkisim" w:hAnsi="Narkisim"/>
          <w:rtl/>
        </w:rPr>
        <w:t xml:space="preserve"> (ו) פליג</w:t>
      </w:r>
      <w:r w:rsidRPr="00AF1DC8">
        <w:rPr>
          <w:rFonts w:ascii="Narkisim" w:hAnsi="Narkisim"/>
        </w:rPr>
        <w:t>.</w:t>
      </w:r>
    </w:p>
    <w:p w14:paraId="352E7DE6" w14:textId="77777777" w:rsidR="006074A5" w:rsidRPr="00AF1DC8" w:rsidRDefault="006074A5" w:rsidP="006074A5">
      <w:pPr>
        <w:bidi/>
        <w:rPr>
          <w:rFonts w:ascii="Narkisim" w:hAnsi="Narkisim" w:cs="Narkisim"/>
        </w:rPr>
      </w:pPr>
      <w:r w:rsidRPr="00AF1DC8">
        <w:rPr>
          <w:rFonts w:ascii="Narkisim" w:hAnsi="Narkisim" w:cs="Narkisim"/>
          <w:u w:val="single"/>
          <w:rtl/>
        </w:rPr>
        <w:t>דרכי חד גבך.</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(בע"א) והוה טענת ברי, דידע מאי קתבע. וה</w:t>
      </w:r>
      <w:r w:rsidRPr="00AF1DC8">
        <w:rPr>
          <w:rFonts w:ascii="Narkisim" w:hAnsi="Narkisim" w:cs="Narkisim"/>
          <w:b/>
          <w:bCs/>
          <w:rtl/>
        </w:rPr>
        <w:t>ריטב"א</w:t>
      </w:r>
      <w:r w:rsidRPr="00AF1DC8">
        <w:rPr>
          <w:rFonts w:ascii="Narkisim" w:hAnsi="Narkisim" w:cs="Narkisim"/>
          <w:rtl/>
        </w:rPr>
        <w:t xml:space="preserve"> הוסיף דהוה כמו שתובע מנה שנתערב בתוך שלו, שיודע מכח מה תובע, אבל הכא א"י מאיזה כח בא. אבל ב</w:t>
      </w:r>
      <w:r w:rsidRPr="00AF1DC8">
        <w:rPr>
          <w:rFonts w:ascii="Narkisim" w:hAnsi="Narkisim" w:cs="Narkisim"/>
          <w:b/>
          <w:bCs/>
          <w:rtl/>
        </w:rPr>
        <w:t>חי' ר"א מן ההר</w:t>
      </w:r>
      <w:r w:rsidRPr="00AF1DC8">
        <w:rPr>
          <w:rFonts w:ascii="Narkisim" w:hAnsi="Narkisim" w:cs="Narkisim"/>
          <w:rtl/>
        </w:rPr>
        <w:t xml:space="preserve"> (ובפסקי הרי"ד) ביאר דלא באת לדין עמם, אבל הכא כבר זכה בדין [וע”ד מש”כ תוס' ד”ה אמר]</w:t>
      </w:r>
      <w:r w:rsidRPr="00AF1DC8">
        <w:rPr>
          <w:rFonts w:ascii="Narkisim" w:hAnsi="Narkisim" w:cs="Narkisim"/>
        </w:rPr>
        <w:t>.</w:t>
      </w:r>
    </w:p>
    <w:p w14:paraId="53A0B200" w14:textId="77777777" w:rsidR="006074A5" w:rsidRPr="00AF1DC8" w:rsidRDefault="006074A5" w:rsidP="006074A5">
      <w:pPr>
        <w:pStyle w:val="aa"/>
        <w:bidi/>
        <w:rPr>
          <w:rFonts w:ascii="Narkisim" w:hAnsi="Narkisim"/>
        </w:rPr>
      </w:pPr>
      <w:r w:rsidRPr="00AF1DC8">
        <w:rPr>
          <w:rFonts w:ascii="Narkisim" w:hAnsi="Narkisim"/>
          <w:i/>
          <w:iCs/>
          <w:rtl/>
        </w:rPr>
        <w:t>להלכה -</w:t>
      </w:r>
      <w:r w:rsidRPr="00AF1DC8">
        <w:rPr>
          <w:rFonts w:ascii="Narkisim" w:hAnsi="Narkisim"/>
          <w:rtl/>
        </w:rPr>
        <w:t xml:space="preserve"> ה</w:t>
      </w:r>
      <w:r w:rsidRPr="00AF1DC8">
        <w:rPr>
          <w:rFonts w:ascii="Narkisim" w:hAnsi="Narkisim"/>
          <w:b/>
          <w:bCs/>
          <w:rtl/>
        </w:rPr>
        <w:t>רי”ף</w:t>
      </w:r>
      <w:r w:rsidRPr="00AF1DC8">
        <w:rPr>
          <w:rFonts w:ascii="Narkisim" w:hAnsi="Narkisim"/>
          <w:rtl/>
        </w:rPr>
        <w:t xml:space="preserve"> פסק קם דינא, אבל ה</w:t>
      </w:r>
      <w:r w:rsidRPr="00AF1DC8">
        <w:rPr>
          <w:rFonts w:ascii="Narkisim" w:hAnsi="Narkisim"/>
          <w:b/>
          <w:bCs/>
          <w:rtl/>
        </w:rPr>
        <w:t>בעה”מ</w:t>
      </w:r>
      <w:r w:rsidRPr="00AF1DC8">
        <w:rPr>
          <w:rFonts w:ascii="Narkisim" w:hAnsi="Narkisim"/>
          <w:rtl/>
        </w:rPr>
        <w:t xml:space="preserve"> ו</w:t>
      </w:r>
      <w:r w:rsidRPr="00AF1DC8">
        <w:rPr>
          <w:rFonts w:ascii="Narkisim" w:hAnsi="Narkisim"/>
          <w:b/>
          <w:bCs/>
          <w:rtl/>
        </w:rPr>
        <w:t>רבינו אפרים</w:t>
      </w:r>
      <w:r w:rsidRPr="00AF1DC8">
        <w:rPr>
          <w:rFonts w:ascii="Narkisim" w:hAnsi="Narkisim"/>
          <w:rtl/>
        </w:rPr>
        <w:t xml:space="preserve"> פסקו דהדר דינא</w:t>
      </w:r>
      <w:r w:rsidRPr="00AF1DC8">
        <w:rPr>
          <w:rStyle w:val="ac"/>
          <w:rFonts w:ascii="Narkisim" w:hAnsi="Narkisim"/>
          <w:rtl/>
        </w:rPr>
        <w:footnoteReference w:id="2252"/>
      </w:r>
      <w:r w:rsidRPr="00AF1DC8">
        <w:rPr>
          <w:rFonts w:ascii="Narkisim" w:hAnsi="Narkisim"/>
        </w:rPr>
        <w:t xml:space="preserve">. </w:t>
      </w:r>
      <w:r w:rsidRPr="00AF1DC8">
        <w:rPr>
          <w:rFonts w:ascii="Narkisim" w:hAnsi="Narkisim"/>
          <w:rtl/>
        </w:rPr>
        <w:t>וה</w:t>
      </w:r>
      <w:r w:rsidRPr="00AF1DC8">
        <w:rPr>
          <w:rFonts w:ascii="Narkisim" w:hAnsi="Narkisim"/>
          <w:b/>
          <w:bCs/>
          <w:rtl/>
        </w:rPr>
        <w:t>רא"ש</w:t>
      </w:r>
      <w:r w:rsidRPr="00AF1DC8">
        <w:rPr>
          <w:rFonts w:ascii="Narkisim" w:hAnsi="Narkisim"/>
          <w:rtl/>
        </w:rPr>
        <w:t xml:space="preserve"> כתב דהוה ספק</w:t>
      </w:r>
      <w:r w:rsidRPr="00AF1DC8">
        <w:rPr>
          <w:rFonts w:ascii="Narkisim" w:hAnsi="Narkisim"/>
        </w:rPr>
        <w:t>.</w:t>
      </w:r>
    </w:p>
    <w:p w14:paraId="56D994D9" w14:textId="77777777" w:rsidR="006074A5" w:rsidRPr="00AF1DC8" w:rsidRDefault="006074A5" w:rsidP="006074A5">
      <w:pPr>
        <w:pStyle w:val="3"/>
        <w:bidi/>
        <w:rPr>
          <w:rFonts w:ascii="Narkisim" w:hAnsi="Narkisim"/>
        </w:rPr>
      </w:pPr>
      <w:r w:rsidRPr="00AF1DC8">
        <w:rPr>
          <w:rFonts w:ascii="Narkisim" w:hAnsi="Narkisim"/>
          <w:rtl/>
        </w:rPr>
        <w:t>דף לח</w:t>
      </w:r>
      <w:r w:rsidRPr="00AF1DC8">
        <w:rPr>
          <w:rFonts w:ascii="Narkisim" w:hAnsi="Narkisim"/>
        </w:rPr>
        <w:t>.</w:t>
      </w:r>
    </w:p>
    <w:p w14:paraId="7430236B" w14:textId="77777777" w:rsidR="006074A5" w:rsidRPr="00AF1DC8" w:rsidRDefault="006074A5" w:rsidP="006074A5">
      <w:pPr>
        <w:bidi/>
        <w:rPr>
          <w:rFonts w:ascii="Narkisim" w:hAnsi="Narkisim" w:cs="Narkisim"/>
        </w:rPr>
      </w:pPr>
      <w:r w:rsidRPr="00AF1DC8">
        <w:rPr>
          <w:rFonts w:ascii="Narkisim" w:hAnsi="Narkisim" w:cs="Narkisim"/>
          <w:u w:val="single"/>
          <w:rtl/>
        </w:rPr>
        <w:t>תוד"ה הוי יבם.</w:t>
      </w:r>
      <w:r w:rsidRPr="00AF1DC8">
        <w:rPr>
          <w:rFonts w:ascii="Narkisim" w:hAnsi="Narkisim" w:cs="Narkisim"/>
          <w:rtl/>
        </w:rPr>
        <w:t xml:space="preserve"> ואין נראה כלל, דאטו מפני שהוא ודאי במקצת וכו'. וכן הוכיחו תוס' מכ"מ דאף שהוא ודאי במקצת ל"מ כלפי השאר. ותוס' פי' דבסוגיין קרי ליבם ודאי, משום שהוא ודאי יורשו של סבא. וכ"כ </w:t>
      </w:r>
      <w:r w:rsidRPr="00AF1DC8">
        <w:rPr>
          <w:rFonts w:ascii="Narkisim" w:hAnsi="Narkisim" w:cs="Narkisim"/>
          <w:b/>
          <w:bCs/>
          <w:rtl/>
        </w:rPr>
        <w:t>תוס</w:t>
      </w:r>
      <w:r w:rsidRPr="00AF1DC8">
        <w:rPr>
          <w:rFonts w:ascii="Narkisim" w:hAnsi="Narkisim" w:cs="Narkisim"/>
          <w:rtl/>
        </w:rPr>
        <w:t>' (ב"מ ב. סוד"ה וזה) דבסוגיין היבם הוה ודאי יורשו, כיון שהוא ודאי בן הסבא. אבל [בשנים אוחזין] אף שהוא ודאי בחציו אין סברא שיועיל לו לחצי הב</w:t>
      </w:r>
      <w:r w:rsidRPr="00AF1DC8">
        <w:rPr>
          <w:rFonts w:ascii="Narkisim" w:hAnsi="Narkisim" w:cs="Narkisim"/>
        </w:rPr>
        <w:t>'.</w:t>
      </w:r>
    </w:p>
    <w:p w14:paraId="75CBB0DC"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אחרונים </w:t>
      </w:r>
      <w:r w:rsidRPr="00AF1DC8">
        <w:rPr>
          <w:rFonts w:ascii="Narkisim" w:hAnsi="Narkisim"/>
          <w:rtl/>
        </w:rPr>
        <w:t>דנו אי כוונת התוס' כדברי הרא"ש, דאף במקום יורש מאוחר אמרי' דאין ספק בן מוציא מידי ודאי יורש מאוחר. אך קצת משמע בתוס' דאף למסקנא הטעם משום שהוא ודאי יורש בפועל. ומש"ה יש סברא דנחשב ודאי בכולו. וצ"ב מ"ש ממש"כ תוס' דמה שהוא ודאי במקצת ל"מ למקצת השני</w:t>
      </w:r>
      <w:r w:rsidRPr="00AF1DC8">
        <w:rPr>
          <w:rFonts w:ascii="Narkisim" w:hAnsi="Narkisim"/>
        </w:rPr>
        <w:t>.</w:t>
      </w:r>
    </w:p>
    <w:p w14:paraId="224CE4D4"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חמדת שלמה</w:t>
      </w:r>
      <w:r w:rsidRPr="00AF1DC8">
        <w:rPr>
          <w:rFonts w:ascii="Narkisim" w:hAnsi="Narkisim"/>
          <w:rtl/>
        </w:rPr>
        <w:t xml:space="preserve"> (ב"מ ב.) ביאר דיורש נחשב סיבת הירושה בכל הנכסים, שהרי לולי זה שיש לו אח נוסף היה יורש את כולו. ומש"ה אמרי' אסממ"ו, להוציא מידי סיבת ירושה ודאית</w:t>
      </w:r>
      <w:r w:rsidRPr="00AF1DC8">
        <w:rPr>
          <w:rStyle w:val="ac"/>
          <w:rFonts w:ascii="Narkisim" w:hAnsi="Narkisim"/>
          <w:rtl/>
        </w:rPr>
        <w:footnoteReference w:id="2253"/>
      </w:r>
      <w:r w:rsidRPr="00AF1DC8">
        <w:rPr>
          <w:rFonts w:ascii="Narkisim" w:hAnsi="Narkisim"/>
        </w:rPr>
        <w:t xml:space="preserve">. </w:t>
      </w:r>
      <w:r w:rsidRPr="00AF1DC8">
        <w:rPr>
          <w:rFonts w:ascii="Narkisim" w:hAnsi="Narkisim"/>
          <w:szCs w:val="20"/>
          <w:rtl/>
        </w:rPr>
        <w:t>ועוד פי'</w:t>
      </w:r>
      <w:r w:rsidRPr="00AF1DC8">
        <w:rPr>
          <w:rFonts w:ascii="Narkisim" w:hAnsi="Narkisim"/>
          <w:rtl/>
        </w:rPr>
        <w:t xml:space="preserve"> </w:t>
      </w:r>
      <w:r w:rsidRPr="00AF1DC8">
        <w:rPr>
          <w:rFonts w:ascii="Narkisim" w:hAnsi="Narkisim"/>
          <w:sz w:val="20"/>
          <w:szCs w:val="20"/>
          <w:rtl/>
        </w:rPr>
        <w:t>ה</w:t>
      </w:r>
      <w:r w:rsidRPr="00AF1DC8">
        <w:rPr>
          <w:rFonts w:ascii="Narkisim" w:hAnsi="Narkisim"/>
          <w:b/>
          <w:bCs/>
          <w:sz w:val="20"/>
          <w:szCs w:val="20"/>
          <w:rtl/>
        </w:rPr>
        <w:t>אחרונים</w:t>
      </w:r>
      <w:r w:rsidRPr="00AF1DC8">
        <w:rPr>
          <w:rFonts w:ascii="Narkisim" w:hAnsi="Narkisim"/>
          <w:sz w:val="20"/>
          <w:szCs w:val="20"/>
          <w:rtl/>
        </w:rPr>
        <w:t xml:space="preserve"> (ברכ"ש ב"מ ב) ע"פ דברי ה</w:t>
      </w:r>
      <w:r w:rsidRPr="00AF1DC8">
        <w:rPr>
          <w:rFonts w:ascii="Narkisim" w:hAnsi="Narkisim"/>
          <w:b/>
          <w:bCs/>
          <w:sz w:val="20"/>
          <w:szCs w:val="20"/>
          <w:rtl/>
        </w:rPr>
        <w:t>גר"ח</w:t>
      </w:r>
      <w:r w:rsidRPr="00AF1DC8">
        <w:rPr>
          <w:rFonts w:ascii="Narkisim" w:hAnsi="Narkisim"/>
          <w:sz w:val="20"/>
          <w:szCs w:val="20"/>
          <w:rtl/>
        </w:rPr>
        <w:t xml:space="preserve"> (תרומות ח, ע' לקמן סז:) דגדר ירושה שכל יורש מקבל זכות בכל הנכסים, אלא דכיון דיש לב' זכויות מש"ה חולקים. ועי"ז חולקים</w:t>
      </w:r>
      <w:r w:rsidRPr="00AF1DC8">
        <w:rPr>
          <w:rFonts w:ascii="Narkisim" w:hAnsi="Narkisim"/>
          <w:sz w:val="20"/>
          <w:szCs w:val="20"/>
        </w:rPr>
        <w:t>.</w:t>
      </w:r>
    </w:p>
    <w:p w14:paraId="7AF36B0F" w14:textId="77777777" w:rsidR="006074A5" w:rsidRPr="00AF1DC8" w:rsidRDefault="006074A5" w:rsidP="006074A5">
      <w:pPr>
        <w:bidi/>
        <w:rPr>
          <w:rFonts w:ascii="Narkisim" w:hAnsi="Narkisim" w:cs="Narkisim"/>
        </w:rPr>
      </w:pPr>
      <w:r w:rsidRPr="00AF1DC8">
        <w:rPr>
          <w:rFonts w:ascii="Narkisim" w:hAnsi="Narkisim" w:cs="Narkisim"/>
          <w:u w:val="single"/>
          <w:rtl/>
        </w:rPr>
        <w:t>בא"ד ומסיק דיורשי האב אחי הבן וכו' אלמא אע"ג דיש לאב בנים אחרים לא חשבינן ליה ודאי וכו'.</w:t>
      </w:r>
      <w:r w:rsidRPr="00AF1DC8">
        <w:rPr>
          <w:rFonts w:ascii="Narkisim" w:hAnsi="Narkisim" w:cs="Narkisim"/>
          <w:rtl/>
        </w:rPr>
        <w:t xml:space="preserve"> </w:t>
      </w:r>
      <w:r w:rsidRPr="00AF1DC8">
        <w:rPr>
          <w:rFonts w:ascii="Narkisim" w:hAnsi="Narkisim" w:cs="Narkisim"/>
          <w:sz w:val="20"/>
          <w:szCs w:val="20"/>
          <w:rtl/>
        </w:rPr>
        <w:t>[ולכאו' כוונת התוס' דמה שיש לו מקצת בנכסים [חלקו של אחי הבעל] לא מהני להחשב ודאי בחצי הב' [לדון שאין לאשה זכות בנכסי בעלה].</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פי' דהכא א"א שירש בלא יורישם אחיו, הילכך רואים כאילו חי ודן עמהם</w:t>
      </w:r>
      <w:r w:rsidRPr="00AF1DC8">
        <w:rPr>
          <w:rStyle w:val="ac"/>
          <w:rFonts w:ascii="Narkisim" w:hAnsi="Narkisim" w:cs="Narkisim"/>
          <w:rtl/>
        </w:rPr>
        <w:footnoteReference w:id="2254"/>
      </w:r>
      <w:r w:rsidRPr="00AF1DC8">
        <w:rPr>
          <w:rFonts w:ascii="Narkisim" w:hAnsi="Narkisim" w:cs="Narkisim"/>
        </w:rPr>
        <w:t xml:space="preserve">. </w:t>
      </w:r>
      <w:r w:rsidRPr="00AF1DC8">
        <w:rPr>
          <w:rFonts w:ascii="Narkisim" w:hAnsi="Narkisim" w:cs="Narkisim"/>
          <w:rtl/>
        </w:rPr>
        <w:t>ואילו בסוגיין הספק אינו יודע מי מורישו. וה</w:t>
      </w:r>
      <w:r w:rsidRPr="00AF1DC8">
        <w:rPr>
          <w:rFonts w:ascii="Narkisim" w:hAnsi="Narkisim" w:cs="Narkisim"/>
          <w:b/>
          <w:bCs/>
          <w:rtl/>
        </w:rPr>
        <w:t>ריטב"א</w:t>
      </w:r>
      <w:r w:rsidRPr="00AF1DC8">
        <w:rPr>
          <w:rFonts w:ascii="Narkisim" w:hAnsi="Narkisim" w:cs="Narkisim"/>
          <w:rtl/>
        </w:rPr>
        <w:t xml:space="preserve"> הוסיף דהתם אלו באין לירש האם, ואלו לירש הבן, ואין הספק אלא על הנכסים האם הם של אם או של בן. אבל הכא כל א' יודע מאיזה כח תובע. וכ"כ ה</w:t>
      </w:r>
      <w:r w:rsidRPr="00AF1DC8">
        <w:rPr>
          <w:rFonts w:ascii="Narkisim" w:hAnsi="Narkisim" w:cs="Narkisim"/>
          <w:b/>
          <w:bCs/>
          <w:rtl/>
        </w:rPr>
        <w:t>קוב"ש</w:t>
      </w:r>
      <w:r w:rsidRPr="00AF1DC8">
        <w:rPr>
          <w:rFonts w:ascii="Narkisim" w:hAnsi="Narkisim" w:cs="Narkisim"/>
          <w:rtl/>
        </w:rPr>
        <w:t xml:space="preserve"> </w:t>
      </w:r>
      <w:r w:rsidRPr="00AF1DC8">
        <w:rPr>
          <w:rFonts w:ascii="Narkisim" w:hAnsi="Narkisim" w:cs="Narkisim"/>
          <w:sz w:val="20"/>
          <w:szCs w:val="20"/>
          <w:rtl/>
        </w:rPr>
        <w:t>(ב"ב תקעו)</w:t>
      </w:r>
      <w:r w:rsidRPr="00AF1DC8">
        <w:rPr>
          <w:rFonts w:ascii="Narkisim" w:hAnsi="Narkisim" w:cs="Narkisim"/>
          <w:rtl/>
        </w:rPr>
        <w:t xml:space="preserve"> דהספק מי המוריש, ולא מי היורש</w:t>
      </w:r>
      <w:r w:rsidRPr="00AF1DC8">
        <w:rPr>
          <w:rFonts w:ascii="Narkisim" w:hAnsi="Narkisim" w:cs="Narkisim"/>
        </w:rPr>
        <w:t>.</w:t>
      </w:r>
    </w:p>
    <w:p w14:paraId="675F1AAE" w14:textId="77777777" w:rsidR="006074A5" w:rsidRPr="00AF1DC8" w:rsidRDefault="006074A5" w:rsidP="006074A5">
      <w:pPr>
        <w:pStyle w:val="aa"/>
        <w:bidi/>
        <w:rPr>
          <w:rFonts w:ascii="Narkisim" w:hAnsi="Narkisim"/>
        </w:rPr>
      </w:pPr>
      <w:r w:rsidRPr="00AF1DC8">
        <w:rPr>
          <w:rFonts w:ascii="Narkisim" w:hAnsi="Narkisim"/>
          <w:u w:val="single"/>
          <w:rtl/>
        </w:rPr>
        <w:t>בא"ד וכן זה אומר כולה שלי וז"א חצי שלי גבי ב' אוחזין וכו'</w:t>
      </w:r>
      <w:r w:rsidRPr="00AF1DC8">
        <w:rPr>
          <w:rStyle w:val="ac"/>
          <w:rFonts w:ascii="Narkisim" w:hAnsi="Narkisim"/>
          <w:u w:val="single"/>
          <w:rtl/>
        </w:rPr>
        <w:footnoteReference w:id="2255"/>
      </w:r>
      <w:r w:rsidRPr="00AF1DC8">
        <w:rPr>
          <w:rFonts w:ascii="Narkisim" w:hAnsi="Narkisim"/>
          <w:rtl/>
        </w:rPr>
        <w:t>. וה</w:t>
      </w:r>
      <w:r w:rsidRPr="00AF1DC8">
        <w:rPr>
          <w:rFonts w:ascii="Narkisim" w:hAnsi="Narkisim"/>
          <w:b/>
          <w:bCs/>
          <w:rtl/>
        </w:rPr>
        <w:t>רשב"ץ</w:t>
      </w:r>
      <w:r w:rsidRPr="00AF1DC8">
        <w:rPr>
          <w:rFonts w:ascii="Narkisim" w:hAnsi="Narkisim"/>
          <w:rtl/>
        </w:rPr>
        <w:t xml:space="preserve"> (בשיטמ"ק ב”מ שם) כת' דגבי </w:t>
      </w:r>
      <w:r w:rsidRPr="00AF1DC8">
        <w:rPr>
          <w:rFonts w:ascii="Narkisim" w:hAnsi="Narkisim"/>
          <w:rtl/>
        </w:rPr>
        <w:lastRenderedPageBreak/>
        <w:t>טלית אף שהוא ודאי במקצת טלית, לא חשיב ודאי בכולה</w:t>
      </w:r>
      <w:r w:rsidRPr="00AF1DC8">
        <w:rPr>
          <w:rStyle w:val="ac"/>
          <w:rFonts w:ascii="Narkisim" w:hAnsi="Narkisim"/>
          <w:rtl/>
        </w:rPr>
        <w:footnoteReference w:id="2256"/>
      </w:r>
      <w:r w:rsidRPr="00AF1DC8">
        <w:rPr>
          <w:rFonts w:ascii="Narkisim" w:hAnsi="Narkisim"/>
        </w:rPr>
        <w:t>.</w:t>
      </w:r>
    </w:p>
    <w:p w14:paraId="468F6558" w14:textId="77777777" w:rsidR="006074A5" w:rsidRPr="00AF1DC8" w:rsidRDefault="006074A5" w:rsidP="006074A5">
      <w:pPr>
        <w:bidi/>
        <w:rPr>
          <w:rFonts w:ascii="Narkisim" w:hAnsi="Narkisim" w:cs="Narkisim"/>
        </w:rPr>
      </w:pPr>
      <w:r w:rsidRPr="00AF1DC8">
        <w:rPr>
          <w:rFonts w:ascii="Narkisim" w:hAnsi="Narkisim" w:cs="Narkisim"/>
          <w:u w:val="single"/>
          <w:rtl/>
        </w:rPr>
        <w:t>ספק ובני יבם בנכסי סבא, פלגא דקמודי וכו'.</w:t>
      </w:r>
      <w:r w:rsidRPr="00AF1DC8">
        <w:rPr>
          <w:rFonts w:ascii="Narkisim" w:hAnsi="Narkisim" w:cs="Narkisim"/>
          <w:rtl/>
        </w:rPr>
        <w:t xml:space="preserve"> וכ"פ ה</w:t>
      </w:r>
      <w:r w:rsidRPr="00AF1DC8">
        <w:rPr>
          <w:rFonts w:ascii="Narkisim" w:hAnsi="Narkisim" w:cs="Narkisim"/>
          <w:b/>
          <w:bCs/>
          <w:rtl/>
        </w:rPr>
        <w:t>רמב"ם</w:t>
      </w:r>
      <w:r w:rsidRPr="00AF1DC8">
        <w:rPr>
          <w:rFonts w:ascii="Narkisim" w:hAnsi="Narkisim" w:cs="Narkisim"/>
          <w:rtl/>
        </w:rPr>
        <w:t>, וה</w:t>
      </w:r>
      <w:r w:rsidRPr="00AF1DC8">
        <w:rPr>
          <w:rFonts w:ascii="Narkisim" w:hAnsi="Narkisim" w:cs="Narkisim"/>
          <w:b/>
          <w:bCs/>
          <w:rtl/>
        </w:rPr>
        <w:t>בי"ש</w:t>
      </w:r>
      <w:r w:rsidRPr="00AF1DC8">
        <w:rPr>
          <w:rFonts w:ascii="Narkisim" w:hAnsi="Narkisim" w:cs="Narkisim"/>
          <w:rtl/>
        </w:rPr>
        <w:t xml:space="preserve"> </w:t>
      </w:r>
      <w:r w:rsidRPr="00AF1DC8">
        <w:rPr>
          <w:rFonts w:ascii="Narkisim" w:hAnsi="Narkisim" w:cs="Narkisim"/>
          <w:sz w:val="20"/>
          <w:szCs w:val="20"/>
          <w:rtl/>
        </w:rPr>
        <w:t xml:space="preserve">(קסג ז) </w:t>
      </w:r>
      <w:r w:rsidRPr="00AF1DC8">
        <w:rPr>
          <w:rFonts w:ascii="Narkisim" w:hAnsi="Narkisim" w:cs="Narkisim"/>
          <w:rtl/>
        </w:rPr>
        <w:t>הק' מ"ש מבנכסי המת, דהרמב"ם ס"ל דיחלוקו בכולו</w:t>
      </w:r>
      <w:r w:rsidRPr="00AF1DC8">
        <w:rPr>
          <w:rStyle w:val="ac"/>
          <w:rFonts w:ascii="Narkisim" w:hAnsi="Narkisim" w:cs="Narkisim"/>
          <w:sz w:val="20"/>
          <w:szCs w:val="20"/>
          <w:rtl/>
        </w:rPr>
        <w:footnoteReference w:id="2257"/>
      </w:r>
      <w:r w:rsidRPr="00AF1DC8">
        <w:rPr>
          <w:rFonts w:ascii="Narkisim" w:hAnsi="Narkisim" w:cs="Narkisim"/>
        </w:rPr>
        <w:t xml:space="preserve">. </w:t>
      </w:r>
      <w:r w:rsidRPr="00AF1DC8">
        <w:rPr>
          <w:rFonts w:ascii="Narkisim" w:hAnsi="Narkisim" w:cs="Narkisim"/>
          <w:rtl/>
        </w:rPr>
        <w:t>וב</w:t>
      </w:r>
      <w:r w:rsidRPr="00AF1DC8">
        <w:rPr>
          <w:rFonts w:ascii="Narkisim" w:hAnsi="Narkisim" w:cs="Narkisim"/>
          <w:b/>
          <w:bCs/>
          <w:rtl/>
        </w:rPr>
        <w:t>חי' ר"א מן ההר</w:t>
      </w:r>
      <w:r w:rsidRPr="00AF1DC8">
        <w:rPr>
          <w:rFonts w:ascii="Narkisim" w:hAnsi="Narkisim" w:cs="Narkisim"/>
          <w:rtl/>
        </w:rPr>
        <w:t xml:space="preserve"> </w:t>
      </w:r>
      <w:r w:rsidRPr="00AF1DC8">
        <w:rPr>
          <w:rFonts w:ascii="Narkisim" w:hAnsi="Narkisim" w:cs="Narkisim"/>
          <w:sz w:val="20"/>
          <w:szCs w:val="20"/>
          <w:rtl/>
        </w:rPr>
        <w:t>[וכ"כ האחרונים]</w:t>
      </w:r>
      <w:r w:rsidRPr="00AF1DC8">
        <w:rPr>
          <w:rFonts w:ascii="Narkisim" w:hAnsi="Narkisim" w:cs="Narkisim"/>
          <w:rtl/>
        </w:rPr>
        <w:t xml:space="preserve"> ביאר דהתם טענתו ספק מאיזה ירושה הוא בא, ולא מהני צד זכות בירושה א' לירושה הב'. משא”כ הכא דהוה ודאי יורש בנכסי סבא, אמרי' דל חלק זה, ויחלוקו בשאר</w:t>
      </w:r>
      <w:r w:rsidRPr="00AF1DC8">
        <w:rPr>
          <w:rFonts w:ascii="Narkisim" w:hAnsi="Narkisim" w:cs="Narkisim"/>
        </w:rPr>
        <w:t>.</w:t>
      </w:r>
    </w:p>
    <w:p w14:paraId="062FBC89" w14:textId="77777777" w:rsidR="006074A5" w:rsidRPr="00AF1DC8" w:rsidRDefault="006074A5" w:rsidP="006074A5">
      <w:pPr>
        <w:bidi/>
        <w:rPr>
          <w:rFonts w:ascii="Narkisim" w:hAnsi="Narkisim" w:cs="Narkisim"/>
        </w:rPr>
      </w:pPr>
      <w:r w:rsidRPr="00AF1DC8">
        <w:rPr>
          <w:rFonts w:ascii="Narkisim" w:hAnsi="Narkisim" w:cs="Narkisim"/>
          <w:u w:val="single"/>
          <w:rtl/>
        </w:rPr>
        <w:t>סבא וספק בנכסי יבם.</w:t>
      </w:r>
      <w:r w:rsidRPr="00AF1DC8">
        <w:rPr>
          <w:rFonts w:ascii="Narkisim" w:hAnsi="Narkisim" w:cs="Narkisim"/>
          <w:rtl/>
        </w:rPr>
        <w:t xml:space="preserve"> ה</w:t>
      </w:r>
      <w:r w:rsidRPr="00AF1DC8">
        <w:rPr>
          <w:rFonts w:ascii="Narkisim" w:hAnsi="Narkisim" w:cs="Narkisim"/>
          <w:b/>
          <w:bCs/>
          <w:rtl/>
        </w:rPr>
        <w:t>רמב"ן</w:t>
      </w:r>
      <w:r w:rsidRPr="00AF1DC8">
        <w:rPr>
          <w:rFonts w:ascii="Narkisim" w:hAnsi="Narkisim" w:cs="Narkisim"/>
          <w:rtl/>
        </w:rPr>
        <w:t xml:space="preserve"> הקשה דנימא הוא אינו יורש עמהם [וכדתנן ק:], ובסתמא משמע אפי' במקום אחין. </w:t>
      </w:r>
      <w:r w:rsidRPr="00AF1DC8">
        <w:rPr>
          <w:rFonts w:ascii="Narkisim" w:hAnsi="Narkisim" w:cs="Narkisim"/>
          <w:sz w:val="20"/>
          <w:szCs w:val="20"/>
          <w:rtl/>
        </w:rPr>
        <w:t>[וכדברי הרא"ש (הו' לעיל) דאיירי אף כשאינו יורש החצי ודאי. אבל דעת ה</w:t>
      </w:r>
      <w:r w:rsidRPr="00AF1DC8">
        <w:rPr>
          <w:rFonts w:ascii="Narkisim" w:hAnsi="Narkisim" w:cs="Narkisim"/>
          <w:b/>
          <w:bCs/>
          <w:sz w:val="20"/>
          <w:szCs w:val="20"/>
          <w:rtl/>
        </w:rPr>
        <w:t>ריטב”א</w:t>
      </w:r>
      <w:r w:rsidRPr="00AF1DC8">
        <w:rPr>
          <w:rFonts w:ascii="Narkisim" w:hAnsi="Narkisim" w:cs="Narkisim"/>
          <w:sz w:val="20"/>
          <w:szCs w:val="20"/>
          <w:rtl/>
        </w:rPr>
        <w:t xml:space="preserve"> (הו' לעיל) דאין בזה אסממ”ו]</w:t>
      </w:r>
      <w:r w:rsidRPr="00AF1DC8">
        <w:rPr>
          <w:rFonts w:ascii="Narkisim" w:hAnsi="Narkisim" w:cs="Narkisim"/>
          <w:rtl/>
        </w:rPr>
        <w:t>. [וכה"ק המהרש"א ע”ד הרא”ש]</w:t>
      </w:r>
      <w:r w:rsidRPr="00AF1DC8">
        <w:rPr>
          <w:rFonts w:ascii="Narkisim" w:hAnsi="Narkisim" w:cs="Narkisim"/>
        </w:rPr>
        <w:t>.</w:t>
      </w:r>
    </w:p>
    <w:p w14:paraId="706085E5"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תי' דמ"מ הספק הוא מן הראויין לירש במשפחה זו, שהרי לפחות הוא בן אחיו. ואין מעכב עליו ירושה זו אלא סבא זה</w:t>
      </w:r>
      <w:r w:rsidRPr="00AF1DC8">
        <w:rPr>
          <w:rStyle w:val="ac"/>
          <w:rFonts w:ascii="Narkisim" w:hAnsi="Narkisim"/>
          <w:rtl/>
        </w:rPr>
        <w:footnoteReference w:id="2258"/>
      </w:r>
      <w:r w:rsidRPr="00AF1DC8">
        <w:rPr>
          <w:rFonts w:ascii="Narkisim" w:hAnsi="Narkisim"/>
        </w:rPr>
        <w:t xml:space="preserve">. </w:t>
      </w: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(מ יא) ביאר דסברת הרמב"ן דאמרי' אסממ"ו כיון דיש ליורש המאוחר שם יורש, ולכן כשאף לספק יש שם יורש במשפחה זו הוה ג"כ ודאי, ולא אמרי' דאסממ"ו</w:t>
      </w:r>
      <w:r w:rsidRPr="00AF1DC8">
        <w:rPr>
          <w:rFonts w:ascii="Narkisim" w:hAnsi="Narkisim"/>
        </w:rPr>
        <w:t>.</w:t>
      </w:r>
    </w:p>
    <w:p w14:paraId="41FD8FE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דברא"ש (הו' לעיל) מבואר דאמרי' אסממ"ו אף בסוגיין, ואף דהספק הוא ג"כ ודאי יורש. ותי' ה</w:t>
      </w:r>
      <w:r w:rsidRPr="00AF1DC8">
        <w:rPr>
          <w:rFonts w:ascii="Narkisim" w:hAnsi="Narkisim"/>
          <w:b/>
          <w:bCs/>
          <w:rtl/>
        </w:rPr>
        <w:t>קובה"ע</w:t>
      </w:r>
      <w:r w:rsidRPr="00AF1DC8">
        <w:rPr>
          <w:rFonts w:ascii="Narkisim" w:hAnsi="Narkisim"/>
          <w:rtl/>
        </w:rPr>
        <w:t xml:space="preserve"> דבן במקום אביו אינו יורש כלל [כיון דאביו חי, ולא דמי לאח במקום בן]. וב</w:t>
      </w:r>
      <w:r w:rsidRPr="00AF1DC8">
        <w:rPr>
          <w:rFonts w:ascii="Narkisim" w:hAnsi="Narkisim"/>
          <w:b/>
          <w:bCs/>
          <w:rtl/>
        </w:rPr>
        <w:t xml:space="preserve">זכרון שמואל </w:t>
      </w:r>
      <w:r w:rsidRPr="00AF1DC8">
        <w:rPr>
          <w:rFonts w:ascii="Narkisim" w:hAnsi="Narkisim"/>
          <w:rtl/>
        </w:rPr>
        <w:t>כתב דלא אמרי' אסממ"ו ביורש מאוחר כלל, אלא דנחשב 'ודאי' כיון דעומד במקום אביו</w:t>
      </w:r>
      <w:r w:rsidRPr="00AF1DC8">
        <w:rPr>
          <w:rFonts w:ascii="Narkisim" w:hAnsi="Narkisim"/>
        </w:rPr>
        <w:t>.</w:t>
      </w:r>
    </w:p>
    <w:p w14:paraId="3785CE4F" w14:textId="77777777" w:rsidR="006074A5" w:rsidRPr="00AF1DC8" w:rsidRDefault="006074A5" w:rsidP="006074A5">
      <w:pPr>
        <w:pStyle w:val="2"/>
        <w:bidi/>
        <w:rPr>
          <w:rFonts w:ascii="Narkisim" w:hAnsi="Narkisim"/>
        </w:rPr>
      </w:pPr>
      <w:r w:rsidRPr="00AF1DC8">
        <w:rPr>
          <w:rFonts w:ascii="Narkisim" w:hAnsi="Narkisim"/>
          <w:rtl/>
        </w:rPr>
        <w:t>שומרת יבם שנפלו לה נכסים</w:t>
      </w:r>
    </w:p>
    <w:p w14:paraId="2348742F" w14:textId="77777777" w:rsidR="006074A5" w:rsidRPr="00AF1DC8" w:rsidRDefault="006074A5" w:rsidP="006074A5">
      <w:pPr>
        <w:bidi/>
        <w:rPr>
          <w:rFonts w:ascii="Narkisim" w:hAnsi="Narkisim" w:cs="Narkisim"/>
        </w:rPr>
      </w:pPr>
      <w:r w:rsidRPr="00AF1DC8">
        <w:rPr>
          <w:rFonts w:ascii="Narkisim" w:hAnsi="Narkisim" w:cs="Narkisim"/>
          <w:u w:val="single"/>
          <w:rtl/>
        </w:rPr>
        <w:t>מתה מה יעשו וכו'.</w:t>
      </w:r>
      <w:r w:rsidRPr="00AF1DC8">
        <w:rPr>
          <w:rFonts w:ascii="Narkisim" w:hAnsi="Narkisim" w:cs="Narkisim"/>
          <w:rtl/>
        </w:rPr>
        <w:t xml:space="preserve"> מבואר דיש צד זכייה ליורשי הבעל [המת]. וצ"ב דהבעל מת, והאיך ירשנה לאחר מיתתו. ואי משום זיקה ליבם. הא אשתו ארוסה אינה יורשה (לעיל כט:), ובגמ' (שם) אי' דזיקה גרע מאירוסין</w:t>
      </w:r>
      <w:r w:rsidRPr="00AF1DC8">
        <w:rPr>
          <w:rFonts w:ascii="Narkisim" w:hAnsi="Narkisim" w:cs="Narkisim"/>
        </w:rPr>
        <w:t>.</w:t>
      </w:r>
    </w:p>
    <w:p w14:paraId="2D9DED7E" w14:textId="77777777" w:rsidR="006074A5" w:rsidRPr="00AF1DC8" w:rsidRDefault="006074A5" w:rsidP="006074A5">
      <w:pPr>
        <w:pStyle w:val="a7"/>
        <w:bidi/>
        <w:rPr>
          <w:rFonts w:ascii="Narkisim" w:hAnsi="Narkisim"/>
        </w:rPr>
      </w:pPr>
      <w:r w:rsidRPr="00AF1DC8">
        <w:rPr>
          <w:rFonts w:ascii="Narkisim" w:hAnsi="Narkisim"/>
          <w:rtl/>
        </w:rPr>
        <w:t>וב</w:t>
      </w:r>
      <w:r w:rsidRPr="00AF1DC8">
        <w:rPr>
          <w:rFonts w:ascii="Narkisim" w:hAnsi="Narkisim"/>
          <w:b/>
          <w:bCs/>
          <w:rtl/>
        </w:rPr>
        <w:t>חי' ר' שמעון</w:t>
      </w:r>
      <w:r w:rsidRPr="00AF1DC8">
        <w:rPr>
          <w:rFonts w:ascii="Narkisim" w:hAnsi="Narkisim"/>
          <w:rtl/>
        </w:rPr>
        <w:t xml:space="preserve"> (לו וכ"מ ב</w:t>
      </w:r>
      <w:r w:rsidRPr="00AF1DC8">
        <w:rPr>
          <w:rFonts w:ascii="Narkisim" w:hAnsi="Narkisim"/>
          <w:b/>
          <w:bCs/>
          <w:rtl/>
        </w:rPr>
        <w:t>חזו"א</w:t>
      </w:r>
      <w:r w:rsidRPr="00AF1DC8">
        <w:rPr>
          <w:rFonts w:ascii="Narkisim" w:hAnsi="Narkisim"/>
          <w:rtl/>
        </w:rPr>
        <w:t xml:space="preserve"> קיט ז) כת' דנחשב דאישות הבעל קיים לענין זה [כיון דזקוקה ליבום], ועי"ז יורש מחמת זכות הבעל. ולא דנו מחמת קנין הזיקה דהיבם. </w:t>
      </w:r>
      <w:r w:rsidRPr="00AF1DC8">
        <w:rPr>
          <w:rFonts w:ascii="Narkisim" w:hAnsi="Narkisim"/>
          <w:sz w:val="20"/>
          <w:szCs w:val="20"/>
          <w:rtl/>
        </w:rPr>
        <w:t>[ועפ"ז החזו"א דן דלאביי ורבא בנכסים שנפלו כששומרת יבם, כיון דלא חל לבעל זכות מחיים לא חל כלל לאחר מיתה. אבל בדעת עולא ורבה מבואר דכיון דנמשך האישות חל זכות]</w:t>
      </w:r>
      <w:r w:rsidRPr="00AF1DC8">
        <w:rPr>
          <w:rFonts w:ascii="Narkisim" w:hAnsi="Narkisim"/>
          <w:sz w:val="20"/>
          <w:szCs w:val="20"/>
        </w:rPr>
        <w:t>.</w:t>
      </w:r>
    </w:p>
    <w:p w14:paraId="1EACBA04" w14:textId="77777777" w:rsidR="006074A5" w:rsidRPr="00AF1DC8" w:rsidRDefault="006074A5" w:rsidP="006074A5">
      <w:pPr>
        <w:pStyle w:val="a7"/>
        <w:bidi/>
        <w:rPr>
          <w:rFonts w:ascii="Narkisim" w:hAnsi="Narkisim"/>
        </w:rPr>
      </w:pPr>
      <w:r w:rsidRPr="00AF1DC8">
        <w:rPr>
          <w:rFonts w:ascii="Narkisim" w:hAnsi="Narkisim"/>
          <w:rtl/>
        </w:rPr>
        <w:t xml:space="preserve">אבל </w:t>
      </w:r>
      <w:r w:rsidRPr="00AF1DC8">
        <w:rPr>
          <w:rFonts w:ascii="Narkisim" w:hAnsi="Narkisim"/>
          <w:b/>
          <w:bCs/>
          <w:rtl/>
        </w:rPr>
        <w:t>רש"י</w:t>
      </w:r>
      <w:r w:rsidRPr="00AF1DC8">
        <w:rPr>
          <w:rFonts w:ascii="Narkisim" w:hAnsi="Narkisim"/>
          <w:rtl/>
        </w:rPr>
        <w:t xml:space="preserve"> (בע"ב) ו</w:t>
      </w:r>
      <w:r w:rsidRPr="00AF1DC8">
        <w:rPr>
          <w:rFonts w:ascii="Narkisim" w:hAnsi="Narkisim"/>
          <w:b/>
          <w:bCs/>
          <w:rtl/>
        </w:rPr>
        <w:t>ר"א מן ההר</w:t>
      </w:r>
      <w:r w:rsidRPr="00AF1DC8">
        <w:rPr>
          <w:rFonts w:ascii="Narkisim" w:hAnsi="Narkisim"/>
          <w:rtl/>
        </w:rPr>
        <w:t xml:space="preserve"> מבואר דהנידון מחמת זיקת היבם. וצ"ל דלענין זכייה בנכסים עדיף זכות היבם לארוסה בעלמא. </w:t>
      </w:r>
      <w:r w:rsidRPr="00AF1DC8">
        <w:rPr>
          <w:rFonts w:ascii="Narkisim" w:hAnsi="Narkisim"/>
          <w:sz w:val="20"/>
          <w:szCs w:val="20"/>
          <w:rtl/>
        </w:rPr>
        <w:t>[וב</w:t>
      </w:r>
      <w:r w:rsidRPr="00AF1DC8">
        <w:rPr>
          <w:rFonts w:ascii="Narkisim" w:hAnsi="Narkisim"/>
          <w:b/>
          <w:bCs/>
          <w:sz w:val="20"/>
          <w:szCs w:val="20"/>
          <w:rtl/>
        </w:rPr>
        <w:t>שיע' ר' שמואל</w:t>
      </w:r>
      <w:r w:rsidRPr="00AF1DC8">
        <w:rPr>
          <w:rFonts w:ascii="Narkisim" w:hAnsi="Narkisim"/>
          <w:sz w:val="20"/>
          <w:szCs w:val="20"/>
          <w:rtl/>
        </w:rPr>
        <w:t xml:space="preserve"> ביאר דלענין 'קניני האישות' זיקה עדיף מארוסה, והגמ' (לעיל כט:) דארוסה עדיפא איירי לעניני 'שאר'].</w:t>
      </w:r>
      <w:r w:rsidRPr="00AF1DC8">
        <w:rPr>
          <w:rFonts w:ascii="Narkisim" w:hAnsi="Narkisim"/>
          <w:rtl/>
        </w:rPr>
        <w:t xml:space="preserve"> וה</w:t>
      </w:r>
      <w:r w:rsidRPr="00AF1DC8">
        <w:rPr>
          <w:rFonts w:ascii="Narkisim" w:hAnsi="Narkisim"/>
          <w:b/>
          <w:bCs/>
          <w:rtl/>
        </w:rPr>
        <w:t>קר"א</w:t>
      </w:r>
      <w:r w:rsidRPr="00AF1DC8">
        <w:rPr>
          <w:rFonts w:ascii="Narkisim" w:hAnsi="Narkisim"/>
          <w:rtl/>
        </w:rPr>
        <w:t xml:space="preserve"> כת' דהכא הוה תקנ"ח בפנ"ע דתחשב כנשואה לענין דיני ירושה</w:t>
      </w:r>
      <w:r w:rsidRPr="00AF1DC8">
        <w:rPr>
          <w:rFonts w:ascii="Narkisim" w:hAnsi="Narkisim"/>
        </w:rPr>
        <w:t>.</w:t>
      </w:r>
    </w:p>
    <w:p w14:paraId="6368EA9E" w14:textId="77777777" w:rsidR="006074A5" w:rsidRPr="00AF1DC8" w:rsidRDefault="006074A5" w:rsidP="006074A5">
      <w:pPr>
        <w:bidi/>
        <w:rPr>
          <w:rFonts w:ascii="Narkisim" w:hAnsi="Narkisim" w:cs="Narkisim"/>
        </w:rPr>
      </w:pPr>
      <w:r w:rsidRPr="00AF1DC8">
        <w:rPr>
          <w:rFonts w:ascii="Narkisim" w:hAnsi="Narkisim" w:cs="Narkisim"/>
          <w:rtl/>
        </w:rPr>
        <w:t>ה</w:t>
      </w:r>
      <w:r w:rsidRPr="00AF1DC8">
        <w:rPr>
          <w:rFonts w:ascii="Narkisim" w:hAnsi="Narkisim" w:cs="Narkisim"/>
          <w:b/>
          <w:bCs/>
          <w:rtl/>
        </w:rPr>
        <w:t>רמ"א</w:t>
      </w:r>
      <w:r w:rsidRPr="00AF1DC8">
        <w:rPr>
          <w:rFonts w:ascii="Narkisim" w:hAnsi="Narkisim" w:cs="Narkisim"/>
          <w:rtl/>
        </w:rPr>
        <w:t xml:space="preserve"> (קס ז) הביא בשם ה</w:t>
      </w:r>
      <w:r w:rsidRPr="00AF1DC8">
        <w:rPr>
          <w:rFonts w:ascii="Narkisim" w:hAnsi="Narkisim" w:cs="Narkisim"/>
          <w:b/>
          <w:bCs/>
          <w:rtl/>
        </w:rPr>
        <w:t>מהרי"ק</w:t>
      </w:r>
      <w:r w:rsidRPr="00AF1DC8">
        <w:rPr>
          <w:rFonts w:ascii="Narkisim" w:hAnsi="Narkisim" w:cs="Narkisim"/>
          <w:rtl/>
        </w:rPr>
        <w:t xml:space="preserve"> (צא) דיורשי המת בכל הסוגיא היינו אביו אם הוא קיים, ולא היבם. [שהרי לא ייבם ולא זכה בנכסים. ואתינן עלה משום ירושה מהמת]. והרמ"א כת' דאף דמסתבר טעמיה, לא משמע כן בכל הסוגיא</w:t>
      </w:r>
      <w:r w:rsidRPr="00AF1DC8">
        <w:rPr>
          <w:rStyle w:val="ac"/>
          <w:rFonts w:ascii="Narkisim" w:hAnsi="Narkisim" w:cs="Narkisim"/>
          <w:rtl/>
        </w:rPr>
        <w:footnoteReference w:id="2259"/>
      </w:r>
      <w:r w:rsidRPr="00AF1DC8">
        <w:rPr>
          <w:rFonts w:ascii="Narkisim" w:hAnsi="Narkisim" w:cs="Narkisim"/>
        </w:rPr>
        <w:t xml:space="preserve">. </w:t>
      </w:r>
      <w:r w:rsidRPr="00AF1DC8">
        <w:rPr>
          <w:rFonts w:ascii="Narkisim" w:hAnsi="Narkisim" w:cs="Narkisim"/>
          <w:rtl/>
        </w:rPr>
        <w:t xml:space="preserve">והביא דדעת </w:t>
      </w:r>
      <w:r w:rsidRPr="00AF1DC8">
        <w:rPr>
          <w:rFonts w:ascii="Narkisim" w:hAnsi="Narkisim" w:cs="Narkisim"/>
          <w:b/>
          <w:bCs/>
          <w:rtl/>
        </w:rPr>
        <w:t>מהר"י וייל</w:t>
      </w:r>
      <w:r w:rsidRPr="00AF1DC8">
        <w:rPr>
          <w:rFonts w:ascii="Narkisim" w:hAnsi="Narkisim" w:cs="Narkisim"/>
          <w:rtl/>
        </w:rPr>
        <w:t xml:space="preserve"> דהיבם יורש [אף כשיש אב]</w:t>
      </w:r>
      <w:r w:rsidRPr="00AF1DC8">
        <w:rPr>
          <w:rStyle w:val="ac"/>
          <w:rFonts w:ascii="Narkisim" w:hAnsi="Narkisim" w:cs="Narkisim"/>
          <w:rtl/>
        </w:rPr>
        <w:footnoteReference w:id="2260"/>
      </w:r>
      <w:r w:rsidRPr="00AF1DC8">
        <w:rPr>
          <w:rFonts w:ascii="Narkisim" w:hAnsi="Narkisim" w:cs="Narkisim"/>
        </w:rPr>
        <w:t>.</w:t>
      </w:r>
    </w:p>
    <w:p w14:paraId="4AFD8DF5" w14:textId="77777777" w:rsidR="006074A5" w:rsidRPr="00AF1DC8" w:rsidRDefault="006074A5" w:rsidP="006074A5">
      <w:pPr>
        <w:pStyle w:val="aa"/>
        <w:bidi/>
        <w:rPr>
          <w:rFonts w:ascii="Narkisim" w:hAnsi="Narkisim"/>
        </w:rPr>
      </w:pPr>
      <w:r w:rsidRPr="00AF1DC8">
        <w:rPr>
          <w:rFonts w:ascii="Narkisim" w:hAnsi="Narkisim"/>
          <w:u w:val="single"/>
          <w:rtl/>
        </w:rPr>
        <w:t>רש"י ד"ה שנפלו.</w:t>
      </w:r>
      <w:r w:rsidRPr="00AF1DC8">
        <w:rPr>
          <w:rFonts w:ascii="Narkisim" w:hAnsi="Narkisim"/>
          <w:rtl/>
        </w:rPr>
        <w:t xml:space="preserve"> וס"ד דנפלו לה כשהיא שומרת יבם. ה</w:t>
      </w:r>
      <w:r w:rsidRPr="00AF1DC8">
        <w:rPr>
          <w:rFonts w:ascii="Narkisim" w:hAnsi="Narkisim"/>
          <w:b/>
          <w:bCs/>
          <w:rtl/>
        </w:rPr>
        <w:t>אחרונים</w:t>
      </w:r>
      <w:r w:rsidRPr="00AF1DC8">
        <w:rPr>
          <w:rFonts w:ascii="Narkisim" w:hAnsi="Narkisim"/>
          <w:rtl/>
        </w:rPr>
        <w:t xml:space="preserve"> דנו דלכאור' לכל הלשונות בגמ' קאי כן אף למסקנא. וע' </w:t>
      </w:r>
      <w:r w:rsidRPr="00AF1DC8">
        <w:rPr>
          <w:rFonts w:ascii="Narkisim" w:hAnsi="Narkisim"/>
          <w:b/>
          <w:bCs/>
          <w:rtl/>
        </w:rPr>
        <w:t>קר"א</w:t>
      </w:r>
      <w:r w:rsidRPr="00AF1DC8">
        <w:rPr>
          <w:rFonts w:ascii="Narkisim" w:hAnsi="Narkisim"/>
          <w:rtl/>
        </w:rPr>
        <w:t xml:space="preserve"> ו</w:t>
      </w:r>
      <w:r w:rsidRPr="00AF1DC8">
        <w:rPr>
          <w:rFonts w:ascii="Narkisim" w:hAnsi="Narkisim"/>
          <w:b/>
          <w:bCs/>
          <w:rtl/>
        </w:rPr>
        <w:t>ערול”נ</w:t>
      </w:r>
      <w:r w:rsidRPr="00AF1DC8">
        <w:rPr>
          <w:rFonts w:ascii="Narkisim" w:hAnsi="Narkisim"/>
        </w:rPr>
        <w:t>.</w:t>
      </w:r>
    </w:p>
    <w:p w14:paraId="7C3BD2AE" w14:textId="77777777" w:rsidR="006074A5" w:rsidRPr="00AF1DC8" w:rsidRDefault="006074A5" w:rsidP="006074A5">
      <w:pPr>
        <w:bidi/>
        <w:rPr>
          <w:rFonts w:ascii="Narkisim" w:hAnsi="Narkisim" w:cs="Narkisim"/>
        </w:rPr>
      </w:pPr>
      <w:r w:rsidRPr="00AF1DC8">
        <w:rPr>
          <w:rFonts w:ascii="Narkisim" w:hAnsi="Narkisim" w:cs="Narkisim"/>
          <w:u w:val="single"/>
          <w:rtl/>
        </w:rPr>
        <w:t>תודה וב"ה.</w:t>
      </w:r>
      <w:r w:rsidRPr="00AF1DC8">
        <w:rPr>
          <w:rFonts w:ascii="Narkisim" w:hAnsi="Narkisim" w:cs="Narkisim"/>
          <w:rtl/>
        </w:rPr>
        <w:t xml:space="preserve"> ופי' הקו' (כתובות פ:) ה"נ הכא. ולפ"ז קי"ל להלכה יחלוקו בנכסי צאן ברזל, וכ"פ ה</w:t>
      </w:r>
      <w:r w:rsidRPr="00AF1DC8">
        <w:rPr>
          <w:rFonts w:ascii="Narkisim" w:hAnsi="Narkisim" w:cs="Narkisim"/>
          <w:b/>
          <w:bCs/>
          <w:rtl/>
        </w:rPr>
        <w:t>רמב"ם</w:t>
      </w:r>
      <w:r w:rsidRPr="00AF1DC8">
        <w:rPr>
          <w:rFonts w:ascii="Narkisim" w:hAnsi="Narkisim" w:cs="Narkisim"/>
          <w:rtl/>
        </w:rPr>
        <w:t xml:space="preserve"> (אישות כב י). ו</w:t>
      </w:r>
      <w:r w:rsidRPr="00AF1DC8">
        <w:rPr>
          <w:rFonts w:ascii="Narkisim" w:hAnsi="Narkisim" w:cs="Narkisim"/>
          <w:b/>
          <w:bCs/>
          <w:rtl/>
        </w:rPr>
        <w:t>שא"ר</w:t>
      </w:r>
      <w:r w:rsidRPr="00AF1DC8">
        <w:rPr>
          <w:rFonts w:ascii="Narkisim" w:hAnsi="Narkisim" w:cs="Narkisim"/>
          <w:rtl/>
        </w:rPr>
        <w:t xml:space="preserve"> פליגי, וכדעת ר"ת</w:t>
      </w:r>
      <w:r w:rsidRPr="00AF1DC8">
        <w:rPr>
          <w:rFonts w:ascii="Narkisim" w:hAnsi="Narkisim" w:cs="Narkisim"/>
        </w:rPr>
        <w:t>.</w:t>
      </w:r>
    </w:p>
    <w:p w14:paraId="1E0E65E2" w14:textId="77777777" w:rsidR="006074A5" w:rsidRPr="00AF1DC8" w:rsidRDefault="006074A5" w:rsidP="006074A5">
      <w:pPr>
        <w:pStyle w:val="a7"/>
        <w:bidi/>
        <w:rPr>
          <w:rFonts w:ascii="Narkisim" w:hAnsi="Narkisim"/>
        </w:rPr>
      </w:pPr>
      <w:r w:rsidRPr="00AF1DC8">
        <w:rPr>
          <w:rFonts w:ascii="Narkisim" w:hAnsi="Narkisim"/>
          <w:rtl/>
        </w:rPr>
        <w:lastRenderedPageBreak/>
        <w:t>ותוס' הקשו דהכא לא פליגי בכתובה וכו'. וה</w:t>
      </w:r>
      <w:r w:rsidRPr="00AF1DC8">
        <w:rPr>
          <w:rFonts w:ascii="Narkisim" w:hAnsi="Narkisim"/>
          <w:b/>
          <w:bCs/>
          <w:rtl/>
        </w:rPr>
        <w:t>ראשונים</w:t>
      </w:r>
      <w:r w:rsidRPr="00AF1DC8">
        <w:rPr>
          <w:rFonts w:ascii="Narkisim" w:hAnsi="Narkisim"/>
          <w:rtl/>
        </w:rPr>
        <w:t xml:space="preserve"> הוסיפו להקשות דא"כ הוה נכסי צאן ברזל טפי בחזקת האשה מאשר נכסי מלוג. וה</w:t>
      </w:r>
      <w:r w:rsidRPr="00AF1DC8">
        <w:rPr>
          <w:rFonts w:ascii="Narkisim" w:hAnsi="Narkisim"/>
          <w:b/>
          <w:bCs/>
          <w:rtl/>
        </w:rPr>
        <w:t>תוס' הרא"ש</w:t>
      </w:r>
      <w:r w:rsidRPr="00AF1DC8">
        <w:rPr>
          <w:rFonts w:ascii="Narkisim" w:hAnsi="Narkisim"/>
          <w:rtl/>
        </w:rPr>
        <w:t xml:space="preserve"> בשם </w:t>
      </w:r>
      <w:r w:rsidRPr="00AF1DC8">
        <w:rPr>
          <w:rFonts w:ascii="Narkisim" w:hAnsi="Narkisim"/>
          <w:b/>
          <w:bCs/>
          <w:rtl/>
        </w:rPr>
        <w:t xml:space="preserve">רבינו מאיר </w:t>
      </w:r>
      <w:r w:rsidRPr="00AF1DC8">
        <w:rPr>
          <w:rFonts w:ascii="Narkisim" w:hAnsi="Narkisim"/>
          <w:rtl/>
        </w:rPr>
        <w:t>תי' דלמ"ד בחזקת יורשי האשה ע"כ פליגי אף בצאן ברזל. אבל ה</w:t>
      </w:r>
      <w:r w:rsidRPr="00AF1DC8">
        <w:rPr>
          <w:rFonts w:ascii="Narkisim" w:hAnsi="Narkisim"/>
          <w:b/>
          <w:bCs/>
          <w:rtl/>
        </w:rPr>
        <w:t>רמב"ן</w:t>
      </w:r>
      <w:r w:rsidRPr="00AF1DC8">
        <w:rPr>
          <w:rFonts w:ascii="Narkisim" w:hAnsi="Narkisim"/>
          <w:rtl/>
        </w:rPr>
        <w:t xml:space="preserve"> כת' דלהך מ"ד ע"כ בי"ש פליגי אף בכתובה</w:t>
      </w:r>
      <w:r w:rsidRPr="00AF1DC8">
        <w:rPr>
          <w:rFonts w:ascii="Narkisim" w:hAnsi="Narkisim"/>
        </w:rPr>
        <w:t>.</w:t>
      </w:r>
    </w:p>
    <w:p w14:paraId="29674E91" w14:textId="77777777" w:rsidR="006074A5" w:rsidRPr="00AF1DC8" w:rsidRDefault="006074A5" w:rsidP="006074A5">
      <w:pPr>
        <w:bidi/>
        <w:rPr>
          <w:rFonts w:ascii="Narkisim" w:hAnsi="Narkisim" w:cs="Narkisim"/>
        </w:rPr>
      </w:pPr>
      <w:r w:rsidRPr="00AF1DC8">
        <w:rPr>
          <w:rFonts w:ascii="Narkisim" w:hAnsi="Narkisim" w:cs="Narkisim"/>
          <w:u w:val="single"/>
          <w:rtl/>
        </w:rPr>
        <w:t>בא"ד ור"ת אומר דל"ד דהתם וכו' הויא האשה כמאן דגבתה כתובתה</w:t>
      </w:r>
      <w:r w:rsidRPr="00AF1DC8">
        <w:rPr>
          <w:rFonts w:ascii="Narkisim" w:hAnsi="Narkisim" w:cs="Narkisim"/>
          <w:rtl/>
        </w:rPr>
        <w:t>,</w:t>
      </w:r>
      <w:r w:rsidRPr="00AF1DC8">
        <w:rPr>
          <w:rFonts w:ascii="Narkisim" w:hAnsi="Narkisim" w:cs="Narkisim"/>
          <w:sz w:val="20"/>
          <w:szCs w:val="20"/>
          <w:rtl/>
        </w:rPr>
        <w:t xml:space="preserve"> </w:t>
      </w:r>
      <w:r w:rsidRPr="00AF1DC8">
        <w:rPr>
          <w:rFonts w:ascii="Narkisim" w:hAnsi="Narkisim" w:cs="Narkisim"/>
          <w:rtl/>
        </w:rPr>
        <w:t>אבל הכא וכו' דלא ניתנה כתובה ליגבות מחיים. ו</w:t>
      </w:r>
      <w:r w:rsidRPr="00AF1DC8">
        <w:rPr>
          <w:rFonts w:ascii="Narkisim" w:hAnsi="Narkisim" w:cs="Narkisim"/>
          <w:b/>
          <w:bCs/>
          <w:rtl/>
        </w:rPr>
        <w:t>תוס'</w:t>
      </w:r>
      <w:r w:rsidRPr="00AF1DC8">
        <w:rPr>
          <w:rFonts w:ascii="Narkisim" w:hAnsi="Narkisim" w:cs="Narkisim"/>
          <w:rtl/>
        </w:rPr>
        <w:t xml:space="preserve"> (כתובות פ:) פי' דהיבם היה כבר מוחזק בנכסים משעת מיתת אחיו, שהוא יורש. </w:t>
      </w:r>
      <w:r w:rsidRPr="00AF1DC8">
        <w:rPr>
          <w:rFonts w:ascii="Narkisim" w:hAnsi="Narkisim" w:cs="Narkisim"/>
          <w:sz w:val="20"/>
          <w:szCs w:val="20"/>
          <w:rtl/>
        </w:rPr>
        <w:t>[ולא משום דכמאן דגבתה]</w:t>
      </w:r>
      <w:r w:rsidRPr="00AF1DC8">
        <w:rPr>
          <w:rFonts w:ascii="Narkisim" w:hAnsi="Narkisim" w:cs="Narkisim"/>
          <w:sz w:val="20"/>
          <w:szCs w:val="20"/>
        </w:rPr>
        <w:t>.</w:t>
      </w:r>
    </w:p>
    <w:p w14:paraId="7B3DE4BE" w14:textId="77777777" w:rsidR="006074A5" w:rsidRPr="00AF1DC8" w:rsidRDefault="006074A5" w:rsidP="006074A5">
      <w:pPr>
        <w:pStyle w:val="aa"/>
        <w:bidi/>
        <w:rPr>
          <w:rFonts w:ascii="Narkisim" w:hAnsi="Narkisim"/>
        </w:rPr>
      </w:pPr>
      <w:r w:rsidRPr="00AF1DC8">
        <w:rPr>
          <w:rFonts w:ascii="Narkisim" w:hAnsi="Narkisim"/>
          <w:u w:val="single"/>
          <w:rtl/>
        </w:rPr>
        <w:t>בא"ד ואפשר דכולהו אמוראי מודו וכו' והא דלא ערבינהו וכו'.</w:t>
      </w:r>
      <w:r w:rsidRPr="00AF1DC8">
        <w:rPr>
          <w:rFonts w:ascii="Narkisim" w:hAnsi="Narkisim"/>
          <w:rtl/>
        </w:rPr>
        <w:t xml:space="preserve"> וה</w:t>
      </w:r>
      <w:r w:rsidRPr="00AF1DC8">
        <w:rPr>
          <w:rFonts w:ascii="Narkisim" w:hAnsi="Narkisim"/>
          <w:b/>
          <w:bCs/>
          <w:rtl/>
        </w:rPr>
        <w:t>רשב"א</w:t>
      </w:r>
      <w:r w:rsidRPr="00AF1DC8">
        <w:rPr>
          <w:rFonts w:ascii="Narkisim" w:hAnsi="Narkisim"/>
          <w:rtl/>
        </w:rPr>
        <w:t xml:space="preserve"> כת' עד"ז דכתובה בחזקת יורשי הבעל היינו מנה ומאתיים וצאן ברזל, ותני נכסים בחזקתן והדר מפרש</w:t>
      </w:r>
      <w:r w:rsidRPr="00AF1DC8">
        <w:rPr>
          <w:rFonts w:ascii="Narkisim" w:hAnsi="Narkisim"/>
        </w:rPr>
        <w:t>.</w:t>
      </w:r>
    </w:p>
    <w:p w14:paraId="107D4596"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כתב דלפ"ז גרסי' כתובה בלא 'ו', ואילו לרש"י גרסי' 'ו'כתובה. [והאריכו בזה ה</w:t>
      </w:r>
      <w:r w:rsidRPr="00AF1DC8">
        <w:rPr>
          <w:rFonts w:ascii="Narkisim" w:hAnsi="Narkisim"/>
          <w:b/>
          <w:bCs/>
          <w:rtl/>
        </w:rPr>
        <w:t>ראשונים</w:t>
      </w:r>
      <w:r w:rsidRPr="00AF1DC8">
        <w:rPr>
          <w:rFonts w:ascii="Narkisim" w:hAnsi="Narkisim"/>
          <w:rtl/>
        </w:rPr>
        <w:t xml:space="preserve"> בכ"מ]</w:t>
      </w:r>
      <w:r w:rsidRPr="00AF1DC8">
        <w:rPr>
          <w:rFonts w:ascii="Narkisim" w:hAnsi="Narkisim"/>
        </w:rPr>
        <w:t>.</w:t>
      </w:r>
    </w:p>
    <w:p w14:paraId="30E34902" w14:textId="77777777" w:rsidR="006074A5" w:rsidRPr="00AF1DC8" w:rsidRDefault="006074A5" w:rsidP="006074A5">
      <w:pPr>
        <w:bidi/>
        <w:rPr>
          <w:rFonts w:ascii="Narkisim" w:hAnsi="Narkisim" w:cs="Narkisim"/>
        </w:rPr>
      </w:pPr>
      <w:r w:rsidRPr="00AF1DC8">
        <w:rPr>
          <w:rFonts w:ascii="Narkisim" w:hAnsi="Narkisim" w:cs="Narkisim"/>
          <w:u w:val="single"/>
          <w:rtl/>
        </w:rPr>
        <w:t>בא"ד וא"ת למ"ד בחזקת יורשי האשה, מ"ש וכו'.</w:t>
      </w:r>
      <w:r w:rsidRPr="00AF1DC8">
        <w:rPr>
          <w:rFonts w:ascii="Narkisim" w:hAnsi="Narkisim" w:cs="Narkisim"/>
          <w:rtl/>
        </w:rPr>
        <w:t xml:space="preserve"> ה</w:t>
      </w:r>
      <w:r w:rsidRPr="00AF1DC8">
        <w:rPr>
          <w:rFonts w:ascii="Narkisim" w:hAnsi="Narkisim" w:cs="Narkisim"/>
          <w:b/>
          <w:bCs/>
          <w:rtl/>
        </w:rPr>
        <w:t>מפרשים</w:t>
      </w:r>
      <w:r w:rsidRPr="00AF1DC8">
        <w:rPr>
          <w:rFonts w:ascii="Narkisim" w:hAnsi="Narkisim" w:cs="Narkisim"/>
          <w:rtl/>
        </w:rPr>
        <w:t xml:space="preserve"> הקשו דה"ה דהיה אפשר להקשות כן על נכסי מלוג לכו"ע, אמאי נחשב דיורשי האשה יורשין עיקרים</w:t>
      </w:r>
      <w:r w:rsidRPr="00AF1DC8">
        <w:rPr>
          <w:rStyle w:val="ac"/>
          <w:rFonts w:ascii="Narkisim" w:hAnsi="Narkisim" w:cs="Narkisim"/>
          <w:rtl/>
        </w:rPr>
        <w:footnoteReference w:id="2261"/>
      </w:r>
      <w:r w:rsidRPr="00AF1DC8">
        <w:rPr>
          <w:rFonts w:ascii="Narkisim" w:hAnsi="Narkisim" w:cs="Narkisim"/>
        </w:rPr>
        <w:t xml:space="preserve">. </w:t>
      </w:r>
      <w:r w:rsidRPr="00AF1DC8">
        <w:rPr>
          <w:rFonts w:ascii="Narkisim" w:hAnsi="Narkisim" w:cs="Narkisim"/>
          <w:rtl/>
        </w:rPr>
        <w:t>[וע' מהרש"ל ומהר"ם] וה</w:t>
      </w:r>
      <w:r w:rsidRPr="00AF1DC8">
        <w:rPr>
          <w:rFonts w:ascii="Narkisim" w:hAnsi="Narkisim" w:cs="Narkisim"/>
          <w:b/>
          <w:bCs/>
          <w:rtl/>
        </w:rPr>
        <w:t>מהרש"א</w:t>
      </w:r>
      <w:r w:rsidRPr="00AF1DC8">
        <w:rPr>
          <w:rFonts w:ascii="Narkisim" w:hAnsi="Narkisim" w:cs="Narkisim"/>
          <w:rtl/>
        </w:rPr>
        <w:t xml:space="preserve"> כת' דכיון דהוחזקה מחיים עדיף. וצ"ב</w:t>
      </w:r>
      <w:r w:rsidRPr="00AF1DC8">
        <w:rPr>
          <w:rFonts w:ascii="Narkisim" w:hAnsi="Narkisim" w:cs="Narkisim"/>
        </w:rPr>
        <w:t>.</w:t>
      </w:r>
    </w:p>
    <w:p w14:paraId="1A74B070"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(ובשיע' ר' שמואל האריך) הביאו דמבואר בתוס' דהבעל זוכה בנכסי צאן ברזל מגדר ירושה</w:t>
      </w:r>
      <w:r w:rsidRPr="00AF1DC8">
        <w:rPr>
          <w:rStyle w:val="ac"/>
          <w:rFonts w:ascii="Narkisim" w:hAnsi="Narkisim" w:cs="Narkisim"/>
          <w:rtl/>
        </w:rPr>
        <w:footnoteReference w:id="2262"/>
      </w:r>
      <w:r w:rsidRPr="00AF1DC8">
        <w:rPr>
          <w:rFonts w:ascii="Narkisim" w:hAnsi="Narkisim" w:cs="Narkisim"/>
        </w:rPr>
        <w:t xml:space="preserve">, </w:t>
      </w:r>
      <w:r w:rsidRPr="00AF1DC8">
        <w:rPr>
          <w:rFonts w:ascii="Narkisim" w:hAnsi="Narkisim" w:cs="Narkisim"/>
          <w:rtl/>
        </w:rPr>
        <w:t>ולא כמ"ש ה</w:t>
      </w:r>
      <w:r w:rsidRPr="00AF1DC8">
        <w:rPr>
          <w:rFonts w:ascii="Narkisim" w:hAnsi="Narkisim" w:cs="Narkisim"/>
          <w:b/>
          <w:bCs/>
          <w:rtl/>
        </w:rPr>
        <w:t>אבנ"מ</w:t>
      </w:r>
      <w:r w:rsidRPr="00AF1DC8">
        <w:rPr>
          <w:rFonts w:ascii="Narkisim" w:hAnsi="Narkisim" w:cs="Narkisim"/>
          <w:rtl/>
        </w:rPr>
        <w:t xml:space="preserve"> (נב א) ע"פ הסוגיא (כתובות פא) דהוה מדין דלא ניתנה כתובה ליגבות מחיים, דלא קרינן ביה כשתנשאי לאחר. </w:t>
      </w:r>
      <w:r w:rsidRPr="00AF1DC8">
        <w:rPr>
          <w:rFonts w:ascii="Narkisim" w:hAnsi="Narkisim" w:cs="Narkisim"/>
          <w:sz w:val="20"/>
          <w:szCs w:val="20"/>
          <w:rtl/>
        </w:rPr>
        <w:t>[וע"כ דאף דמחיים אין תביעה, כיון שמתה יש חיוב להחזיר, וזהו הזמן פרעון</w:t>
      </w:r>
      <w:r w:rsidRPr="00AF1DC8">
        <w:rPr>
          <w:rStyle w:val="ac"/>
          <w:rFonts w:ascii="Narkisim" w:hAnsi="Narkisim" w:cs="Narkisim"/>
          <w:sz w:val="20"/>
          <w:szCs w:val="20"/>
          <w:rtl/>
        </w:rPr>
        <w:footnoteReference w:id="2263"/>
      </w:r>
      <w:r w:rsidRPr="00AF1DC8">
        <w:rPr>
          <w:rFonts w:ascii="Narkisim" w:hAnsi="Narkisim" w:cs="Narkisim"/>
          <w:sz w:val="20"/>
          <w:szCs w:val="20"/>
        </w:rPr>
        <w:t xml:space="preserve">. </w:t>
      </w:r>
      <w:r w:rsidRPr="00AF1DC8">
        <w:rPr>
          <w:rFonts w:ascii="Narkisim" w:hAnsi="Narkisim" w:cs="Narkisim"/>
          <w:sz w:val="20"/>
          <w:szCs w:val="20"/>
          <w:rtl/>
        </w:rPr>
        <w:t>אלא דהבעל יורש. א”נ בצאן ברזל כשתנשאי לאחר הוא רק זמן בפועל לשלם, ועצם החוב קיים]</w:t>
      </w:r>
      <w:r w:rsidRPr="00AF1DC8">
        <w:rPr>
          <w:rFonts w:ascii="Narkisim" w:hAnsi="Narkisim" w:cs="Narkisim"/>
        </w:rPr>
        <w:t>.</w:t>
      </w:r>
    </w:p>
    <w:p w14:paraId="09A182F2" w14:textId="77777777" w:rsidR="006074A5" w:rsidRPr="00AF1DC8" w:rsidRDefault="006074A5" w:rsidP="006074A5">
      <w:pPr>
        <w:bidi/>
        <w:rPr>
          <w:rFonts w:ascii="Narkisim" w:hAnsi="Narkisim" w:cs="Narkisim"/>
        </w:rPr>
      </w:pPr>
      <w:r w:rsidRPr="00AF1DC8">
        <w:rPr>
          <w:rFonts w:ascii="Narkisim" w:hAnsi="Narkisim" w:cs="Narkisim"/>
          <w:u w:val="single"/>
          <w:rtl/>
        </w:rPr>
        <w:t>בא"ד א"נ וכו' כיון דלאו מכח קורבא קא' וכו'.</w:t>
      </w:r>
      <w:r w:rsidRPr="00AF1DC8">
        <w:rPr>
          <w:rFonts w:ascii="Narkisim" w:hAnsi="Narkisim" w:cs="Narkisim"/>
          <w:rtl/>
        </w:rPr>
        <w:t xml:space="preserve"> משמע דירושת הבעל הוה זכות מדיני האישות, ולא ירושת קורבא. והיורש מהמשפחה נחשב מוחזק. ועוד פי' ה</w:t>
      </w:r>
      <w:r w:rsidRPr="00AF1DC8">
        <w:rPr>
          <w:rFonts w:ascii="Narkisim" w:hAnsi="Narkisim" w:cs="Narkisim"/>
          <w:b/>
          <w:bCs/>
          <w:rtl/>
        </w:rPr>
        <w:t>קוב"ש</w:t>
      </w:r>
      <w:r w:rsidRPr="00AF1DC8">
        <w:rPr>
          <w:rFonts w:ascii="Narkisim" w:hAnsi="Narkisim" w:cs="Narkisim"/>
          <w:rtl/>
        </w:rPr>
        <w:t xml:space="preserve"> (ב"ב תקעה) דדין ירושת הבעל לא חל מחיים, אלא תליא במה שהוא בעלה בשעת מיתה</w:t>
      </w:r>
      <w:r w:rsidRPr="00AF1DC8">
        <w:rPr>
          <w:rStyle w:val="ac"/>
          <w:rFonts w:ascii="Narkisim" w:hAnsi="Narkisim" w:cs="Narkisim"/>
          <w:rtl/>
        </w:rPr>
        <w:footnoteReference w:id="2264"/>
      </w:r>
      <w:r w:rsidRPr="00AF1DC8">
        <w:rPr>
          <w:rFonts w:ascii="Narkisim" w:hAnsi="Narkisim" w:cs="Narkisim"/>
        </w:rPr>
        <w:t>.</w:t>
      </w:r>
    </w:p>
    <w:p w14:paraId="1429319E" w14:textId="77777777" w:rsidR="006074A5" w:rsidRPr="00AF1DC8" w:rsidRDefault="006074A5" w:rsidP="006074A5">
      <w:pPr>
        <w:pStyle w:val="aa"/>
        <w:bidi/>
        <w:rPr>
          <w:rFonts w:ascii="Narkisim" w:hAnsi="Narkisim"/>
        </w:rPr>
      </w:pPr>
      <w:r w:rsidRPr="00AF1DC8">
        <w:rPr>
          <w:rFonts w:ascii="Narkisim" w:hAnsi="Narkisim"/>
          <w:u w:val="single"/>
          <w:rtl/>
        </w:rPr>
        <w:t>בא"ד א"נ משום הכי לא מוקמי' להו התם בחזקת יורשי האם משום דרגילות וכו' לפיכך לא החזיקום בחזקת האם</w:t>
      </w:r>
      <w:r w:rsidRPr="00AF1DC8">
        <w:rPr>
          <w:rFonts w:ascii="Narkisim" w:hAnsi="Narkisim"/>
          <w:rtl/>
        </w:rPr>
        <w:t>. יל"ד אי כוונת התוס' דהוה תקנת חכמים</w:t>
      </w:r>
      <w:r w:rsidRPr="00AF1DC8">
        <w:rPr>
          <w:rStyle w:val="ac"/>
          <w:rFonts w:ascii="Narkisim" w:hAnsi="Narkisim"/>
          <w:rtl/>
        </w:rPr>
        <w:footnoteReference w:id="2265"/>
      </w:r>
      <w:r w:rsidRPr="00AF1DC8">
        <w:rPr>
          <w:rFonts w:ascii="Narkisim" w:hAnsi="Narkisim"/>
        </w:rPr>
        <w:t xml:space="preserve">, </w:t>
      </w:r>
      <w:r w:rsidRPr="00AF1DC8">
        <w:rPr>
          <w:rFonts w:ascii="Narkisim" w:hAnsi="Narkisim"/>
          <w:rtl/>
        </w:rPr>
        <w:t>או דהוה סברא בדאורייתא כיון דע"פ רוב עומד לכך שהבן יורש את האם, ולא אחי האם</w:t>
      </w:r>
      <w:r w:rsidRPr="00AF1DC8">
        <w:rPr>
          <w:rFonts w:ascii="Narkisim" w:hAnsi="Narkisim"/>
        </w:rPr>
        <w:t>.</w:t>
      </w:r>
    </w:p>
    <w:p w14:paraId="0B613A9E" w14:textId="77777777" w:rsidR="006074A5" w:rsidRPr="00AF1DC8" w:rsidRDefault="006074A5" w:rsidP="006074A5">
      <w:pPr>
        <w:pStyle w:val="aa"/>
        <w:bidi/>
        <w:rPr>
          <w:rFonts w:ascii="Narkisim" w:hAnsi="Narkisim"/>
        </w:rPr>
      </w:pPr>
      <w:r w:rsidRPr="00AF1DC8">
        <w:rPr>
          <w:rFonts w:ascii="Narkisim" w:hAnsi="Narkisim"/>
          <w:u w:val="single"/>
          <w:rtl/>
        </w:rPr>
        <w:t>בא"ד וא"ת וכו' דאין אדם מוריש שבועה לבניו וכו</w:t>
      </w:r>
      <w:r w:rsidRPr="00AF1DC8">
        <w:rPr>
          <w:rFonts w:ascii="Narkisim" w:hAnsi="Narkisim"/>
          <w:rtl/>
        </w:rPr>
        <w:t>'. [והאשה צריכה שבועה לגבות כתובתה, ומש"ה היורשים לא יזכו בלא שבועה שלא נפרעה מכתובתה]. ו</w:t>
      </w:r>
      <w:r w:rsidRPr="00AF1DC8">
        <w:rPr>
          <w:rFonts w:ascii="Narkisim" w:hAnsi="Narkisim"/>
          <w:b/>
          <w:bCs/>
          <w:rtl/>
        </w:rPr>
        <w:t>תוס'</w:t>
      </w:r>
      <w:r w:rsidRPr="00AF1DC8">
        <w:rPr>
          <w:rFonts w:ascii="Narkisim" w:hAnsi="Narkisim"/>
          <w:rtl/>
        </w:rPr>
        <w:t xml:space="preserve"> (ב"ב קנח.) הביא בשם ה</w:t>
      </w:r>
      <w:r w:rsidRPr="00AF1DC8">
        <w:rPr>
          <w:rFonts w:ascii="Narkisim" w:hAnsi="Narkisim"/>
          <w:b/>
          <w:bCs/>
          <w:rtl/>
        </w:rPr>
        <w:t>ר' שמשון</w:t>
      </w:r>
      <w:r w:rsidRPr="00AF1DC8">
        <w:rPr>
          <w:rFonts w:ascii="Narkisim" w:hAnsi="Narkisim"/>
          <w:rtl/>
        </w:rPr>
        <w:t xml:space="preserve"> דלא חיישינן דלמא מתפיס לה צררי אלא בשעה שהולך למדינת הים [או חולה למות], אבל נפל הבית שהוא לפתע פתאום ליכא למיחש להתפסת צררי. ו</w:t>
      </w:r>
      <w:r w:rsidRPr="00AF1DC8">
        <w:rPr>
          <w:rFonts w:ascii="Narkisim" w:hAnsi="Narkisim"/>
          <w:b/>
          <w:bCs/>
          <w:rtl/>
        </w:rPr>
        <w:t>ר"י</w:t>
      </w:r>
      <w:r w:rsidRPr="00AF1DC8">
        <w:rPr>
          <w:rFonts w:ascii="Narkisim" w:hAnsi="Narkisim"/>
          <w:rtl/>
        </w:rPr>
        <w:t xml:space="preserve"> חלק דחיישינן שתפסה מחיים (ע' כתובות צו. וקב:)</w:t>
      </w:r>
      <w:r w:rsidRPr="00AF1DC8">
        <w:rPr>
          <w:rFonts w:ascii="Narkisim" w:hAnsi="Narkisim"/>
        </w:rPr>
        <w:t>.</w:t>
      </w:r>
    </w:p>
    <w:p w14:paraId="2C126610" w14:textId="77777777" w:rsidR="006074A5" w:rsidRPr="00AF1DC8" w:rsidRDefault="006074A5" w:rsidP="006074A5">
      <w:pPr>
        <w:pStyle w:val="aa"/>
        <w:bidi/>
        <w:rPr>
          <w:rFonts w:ascii="Narkisim" w:hAnsi="Narkisim"/>
        </w:rPr>
      </w:pPr>
      <w:r w:rsidRPr="00AF1DC8">
        <w:rPr>
          <w:rFonts w:ascii="Narkisim" w:hAnsi="Narkisim"/>
          <w:i/>
          <w:iCs/>
          <w:rtl/>
        </w:rPr>
        <w:t>בסוגיין</w:t>
      </w:r>
      <w:r w:rsidRPr="00AF1DC8">
        <w:rPr>
          <w:rFonts w:ascii="Narkisim" w:hAnsi="Narkisim"/>
          <w:rtl/>
        </w:rPr>
        <w:t xml:space="preserve"> - וב</w:t>
      </w:r>
      <w:r w:rsidRPr="00AF1DC8">
        <w:rPr>
          <w:rFonts w:ascii="Narkisim" w:hAnsi="Narkisim"/>
          <w:b/>
          <w:bCs/>
          <w:rtl/>
        </w:rPr>
        <w:t>גמ'</w:t>
      </w:r>
      <w:r w:rsidRPr="00AF1DC8">
        <w:rPr>
          <w:rFonts w:ascii="Narkisim" w:hAnsi="Narkisim"/>
          <w:rtl/>
        </w:rPr>
        <w:t xml:space="preserve"> (כתובות פ: פא.) דנו שומרת יבם שמתה האם יורשי הבעל חייבים לקוברה, שהרי יורשים כתובתה</w:t>
      </w:r>
      <w:r w:rsidRPr="00AF1DC8">
        <w:rPr>
          <w:rStyle w:val="ac"/>
          <w:rFonts w:ascii="Narkisim" w:hAnsi="Narkisim"/>
          <w:rtl/>
        </w:rPr>
        <w:footnoteReference w:id="2266"/>
      </w:r>
      <w:r w:rsidRPr="00AF1DC8">
        <w:rPr>
          <w:rFonts w:ascii="Narkisim" w:hAnsi="Narkisim"/>
        </w:rPr>
        <w:t xml:space="preserve">. </w:t>
      </w:r>
      <w:r w:rsidRPr="00AF1DC8">
        <w:rPr>
          <w:rFonts w:ascii="Narkisim" w:hAnsi="Narkisim"/>
          <w:rtl/>
        </w:rPr>
        <w:t>ורב עמרם הכריע דכיון דירש כתובתה חייב בקבורתה. ואביי פי' דבאין עליו מב' צדדים, דממ"נ או קוברה או משלם כתובתה</w:t>
      </w:r>
      <w:r w:rsidRPr="00AF1DC8">
        <w:rPr>
          <w:rFonts w:ascii="Narkisim" w:hAnsi="Narkisim"/>
        </w:rPr>
        <w:t>.</w:t>
      </w:r>
    </w:p>
    <w:p w14:paraId="58E24329" w14:textId="77777777" w:rsidR="006074A5" w:rsidRPr="00AF1DC8" w:rsidRDefault="006074A5" w:rsidP="006074A5">
      <w:pPr>
        <w:pStyle w:val="a8"/>
        <w:bidi/>
        <w:rPr>
          <w:rFonts w:ascii="Narkisim" w:hAnsi="Narkisim"/>
        </w:rPr>
      </w:pPr>
      <w:r w:rsidRPr="00AF1DC8">
        <w:rPr>
          <w:rFonts w:ascii="Narkisim" w:hAnsi="Narkisim"/>
          <w:rtl/>
        </w:rPr>
        <w:t>ורבא פליג דהיבם טען אח אני יורש, אשתו אין אני קובר. ואי משום חיוב כתובה, לא ניתנה כתובה ליגבות מחיים. דדוקא כשמותרת לנשא לאחר חל חיוב כתובה. ורב אשי כת' דיבם כאחר דמי</w:t>
      </w:r>
      <w:r w:rsidRPr="00AF1DC8">
        <w:rPr>
          <w:rStyle w:val="ac"/>
          <w:rFonts w:ascii="Narkisim" w:hAnsi="Narkisim"/>
          <w:rtl/>
        </w:rPr>
        <w:footnoteReference w:id="2267"/>
      </w:r>
      <w:r w:rsidRPr="00AF1DC8">
        <w:rPr>
          <w:rFonts w:ascii="Narkisim" w:hAnsi="Narkisim"/>
        </w:rPr>
        <w:t xml:space="preserve"> </w:t>
      </w:r>
      <w:r w:rsidRPr="00AF1DC8">
        <w:rPr>
          <w:rFonts w:ascii="Narkisim" w:hAnsi="Narkisim"/>
          <w:rtl/>
        </w:rPr>
        <w:t xml:space="preserve">[וקרינן בה לכשתנשאי </w:t>
      </w:r>
      <w:r w:rsidRPr="00AF1DC8">
        <w:rPr>
          <w:rFonts w:ascii="Narkisim" w:hAnsi="Narkisim"/>
          <w:rtl/>
        </w:rPr>
        <w:lastRenderedPageBreak/>
        <w:t>לאחר]</w:t>
      </w:r>
      <w:r w:rsidRPr="00AF1DC8">
        <w:rPr>
          <w:rFonts w:ascii="Narkisim" w:hAnsi="Narkisim"/>
        </w:rPr>
        <w:t>.</w:t>
      </w:r>
    </w:p>
    <w:p w14:paraId="7B376371"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(כתובות שם) דכוונת אביי דהבעל יורש את אשתו, ומש"ה תקנו קבורה תחת כתובתה. אבל אחי הבעל אינו ראוי לירש מכתובתה כלום, והא דאינו פורע כתובה משום דלא נתנה כתובה לגבות מחיים [ואף נכסי צאן ברזל, דתנאי כתובה ככתובה דמי]</w:t>
      </w:r>
      <w:r w:rsidRPr="00AF1DC8">
        <w:rPr>
          <w:rFonts w:ascii="Narkisim" w:hAnsi="Narkisim"/>
        </w:rPr>
        <w:t>.</w:t>
      </w:r>
    </w:p>
    <w:p w14:paraId="16EEE74E"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ביאר מסקנת הגמ' דיבם כאחר [וחל חיוב כתובה], וע"כ מינה דידה ירית. [ויש תקנ"ח דהיבם יורש כתובתה, ומש"ה מתחייב בקבורתה]</w:t>
      </w:r>
      <w:r w:rsidRPr="00AF1DC8">
        <w:rPr>
          <w:rFonts w:ascii="Narkisim" w:hAnsi="Narkisim"/>
        </w:rPr>
        <w:t>.</w:t>
      </w:r>
    </w:p>
    <w:p w14:paraId="662C5B8C" w14:textId="77777777" w:rsidR="006074A5" w:rsidRPr="00AF1DC8" w:rsidRDefault="006074A5" w:rsidP="006074A5">
      <w:pPr>
        <w:bidi/>
        <w:rPr>
          <w:rFonts w:ascii="Narkisim" w:hAnsi="Narkisim" w:cs="Narkisim"/>
        </w:rPr>
      </w:pPr>
      <w:r w:rsidRPr="00AF1DC8">
        <w:rPr>
          <w:rFonts w:ascii="Narkisim" w:hAnsi="Narkisim" w:cs="Narkisim"/>
          <w:u w:val="single"/>
          <w:rtl/>
        </w:rPr>
        <w:t>וסיפא דנפלה כשהיא נשואה</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שנפלה ליבום מנישואין. ולעולם איירי שהנכסים נפלו לשומרת יבם [וכלשון המשנה]. אבל יש </w:t>
      </w:r>
      <w:r w:rsidRPr="00AF1DC8">
        <w:rPr>
          <w:rFonts w:ascii="Narkisim" w:hAnsi="Narkisim" w:cs="Narkisim"/>
          <w:b/>
          <w:bCs/>
          <w:rtl/>
        </w:rPr>
        <w:t>גאונים</w:t>
      </w:r>
      <w:r w:rsidRPr="00AF1DC8">
        <w:rPr>
          <w:rFonts w:ascii="Narkisim" w:hAnsi="Narkisim" w:cs="Narkisim"/>
          <w:rtl/>
        </w:rPr>
        <w:t xml:space="preserve"> (הו' ב</w:t>
      </w:r>
      <w:r w:rsidRPr="00AF1DC8">
        <w:rPr>
          <w:rFonts w:ascii="Narkisim" w:hAnsi="Narkisim" w:cs="Narkisim"/>
          <w:b/>
          <w:bCs/>
          <w:rtl/>
        </w:rPr>
        <w:t>רשב"א</w:t>
      </w:r>
      <w:r w:rsidRPr="00AF1DC8">
        <w:rPr>
          <w:rFonts w:ascii="Narkisim" w:hAnsi="Narkisim" w:cs="Narkisim"/>
          <w:rtl/>
        </w:rPr>
        <w:t xml:space="preserve"> ובגר"א קס יז) שגרסו דהנכסים נפלו לה בעודה תחת בעלה [וע' לקמן לדעת אביי]</w:t>
      </w:r>
      <w:r w:rsidRPr="00AF1DC8">
        <w:rPr>
          <w:rFonts w:ascii="Narkisim" w:hAnsi="Narkisim" w:cs="Narkisim"/>
        </w:rPr>
        <w:t>.</w:t>
      </w:r>
    </w:p>
    <w:p w14:paraId="4EC0FD40" w14:textId="77777777" w:rsidR="006074A5" w:rsidRPr="00AF1DC8" w:rsidRDefault="006074A5" w:rsidP="006074A5">
      <w:pPr>
        <w:pStyle w:val="3"/>
        <w:bidi/>
        <w:rPr>
          <w:rFonts w:ascii="Narkisim" w:hAnsi="Narkisim"/>
        </w:rPr>
      </w:pPr>
      <w:r w:rsidRPr="00AF1DC8">
        <w:rPr>
          <w:rFonts w:ascii="Narkisim" w:hAnsi="Narkisim"/>
          <w:rtl/>
        </w:rPr>
        <w:t>דף לח</w:t>
      </w:r>
      <w:r w:rsidRPr="00AF1DC8">
        <w:rPr>
          <w:rFonts w:ascii="Narkisim" w:hAnsi="Narkisim"/>
        </w:rPr>
        <w:t>:</w:t>
      </w:r>
    </w:p>
    <w:p w14:paraId="5CC04F99" w14:textId="77777777" w:rsidR="006074A5" w:rsidRPr="00AF1DC8" w:rsidRDefault="006074A5" w:rsidP="006074A5">
      <w:pPr>
        <w:bidi/>
        <w:rPr>
          <w:rFonts w:ascii="Narkisim" w:hAnsi="Narkisim" w:cs="Narkisim"/>
        </w:rPr>
      </w:pPr>
      <w:r w:rsidRPr="00AF1DC8">
        <w:rPr>
          <w:rFonts w:ascii="Narkisim" w:hAnsi="Narkisim" w:cs="Narkisim"/>
          <w:u w:val="single"/>
          <w:rtl/>
        </w:rPr>
        <w:t>זיקת נשואה עושה ספק נשואה.</w:t>
      </w:r>
      <w:r w:rsidRPr="00AF1DC8">
        <w:rPr>
          <w:rFonts w:ascii="Narkisim" w:hAnsi="Narkisim" w:cs="Narkisim"/>
          <w:rtl/>
        </w:rPr>
        <w:t xml:space="preserve"> ה</w:t>
      </w:r>
      <w:r w:rsidRPr="00AF1DC8">
        <w:rPr>
          <w:rFonts w:ascii="Narkisim" w:hAnsi="Narkisim" w:cs="Narkisim"/>
          <w:b/>
          <w:bCs/>
          <w:rtl/>
        </w:rPr>
        <w:t>רשב"א</w:t>
      </w:r>
      <w:r w:rsidRPr="00AF1DC8">
        <w:rPr>
          <w:rFonts w:ascii="Narkisim" w:hAnsi="Narkisim" w:cs="Narkisim"/>
          <w:rtl/>
        </w:rPr>
        <w:t xml:space="preserve"> ו</w:t>
      </w:r>
      <w:r w:rsidRPr="00AF1DC8">
        <w:rPr>
          <w:rFonts w:ascii="Narkisim" w:hAnsi="Narkisim" w:cs="Narkisim"/>
          <w:b/>
          <w:bCs/>
          <w:rtl/>
        </w:rPr>
        <w:t>ריטב"א</w:t>
      </w:r>
      <w:r w:rsidRPr="00AF1DC8">
        <w:rPr>
          <w:rFonts w:ascii="Narkisim" w:hAnsi="Narkisim" w:cs="Narkisim"/>
          <w:rtl/>
        </w:rPr>
        <w:t xml:space="preserve"> כת' דהוה ספק נשואה, דמספק"ל בשעת נפילה אם ייבם או יחלוץ</w:t>
      </w:r>
      <w:r w:rsidRPr="00AF1DC8">
        <w:rPr>
          <w:rStyle w:val="ac"/>
          <w:rFonts w:ascii="Narkisim" w:hAnsi="Narkisim" w:cs="Narkisim"/>
          <w:rtl/>
        </w:rPr>
        <w:footnoteReference w:id="2268"/>
      </w:r>
      <w:r w:rsidRPr="00AF1DC8">
        <w:rPr>
          <w:rFonts w:ascii="Narkisim" w:hAnsi="Narkisim" w:cs="Narkisim"/>
        </w:rPr>
        <w:t>.</w:t>
      </w:r>
    </w:p>
    <w:p w14:paraId="58BA8822"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רמ"א</w:t>
      </w:r>
      <w:r w:rsidRPr="00AF1DC8">
        <w:rPr>
          <w:rFonts w:ascii="Narkisim" w:hAnsi="Narkisim"/>
          <w:rtl/>
        </w:rPr>
        <w:t xml:space="preserve"> (קס ז) הביא</w:t>
      </w:r>
      <w:r w:rsidRPr="00AF1DC8">
        <w:rPr>
          <w:rFonts w:ascii="Narkisim" w:hAnsi="Narkisim"/>
          <w:b/>
          <w:bCs/>
          <w:rtl/>
        </w:rPr>
        <w:t xml:space="preserve"> י"א</w:t>
      </w:r>
      <w:r w:rsidRPr="00AF1DC8">
        <w:rPr>
          <w:rFonts w:ascii="Narkisim" w:hAnsi="Narkisim"/>
          <w:rtl/>
        </w:rPr>
        <w:t xml:space="preserve"> (ה</w:t>
      </w:r>
      <w:r w:rsidRPr="00AF1DC8">
        <w:rPr>
          <w:rFonts w:ascii="Narkisim" w:hAnsi="Narkisim"/>
          <w:b/>
          <w:bCs/>
          <w:rtl/>
        </w:rPr>
        <w:t>מהרי"ק</w:t>
      </w:r>
      <w:r w:rsidRPr="00AF1DC8">
        <w:rPr>
          <w:rFonts w:ascii="Narkisim" w:hAnsi="Narkisim"/>
          <w:rtl/>
        </w:rPr>
        <w:t xml:space="preserve"> צא) דהיכא דהיבמה אסורה עליו אינו זוכה כלל בנכסים, וכן במדינות שכופין לחלוץ</w:t>
      </w:r>
      <w:r w:rsidRPr="00AF1DC8">
        <w:rPr>
          <w:rStyle w:val="ac"/>
          <w:rFonts w:ascii="Narkisim" w:hAnsi="Narkisim"/>
          <w:rtl/>
        </w:rPr>
        <w:footnoteReference w:id="2269"/>
      </w:r>
      <w:r w:rsidRPr="00AF1DC8">
        <w:rPr>
          <w:rFonts w:ascii="Narkisim" w:hAnsi="Narkisim"/>
        </w:rPr>
        <w:t xml:space="preserve">. </w:t>
      </w:r>
      <w:r w:rsidRPr="00AF1DC8">
        <w:rPr>
          <w:rFonts w:ascii="Narkisim" w:hAnsi="Narkisim"/>
          <w:rtl/>
        </w:rPr>
        <w:t>והיינו משום דנתברר דאינה עומדת ליבום</w:t>
      </w:r>
      <w:r w:rsidRPr="00AF1DC8">
        <w:rPr>
          <w:rStyle w:val="ac"/>
          <w:rFonts w:ascii="Narkisim" w:hAnsi="Narkisim"/>
          <w:rtl/>
        </w:rPr>
        <w:footnoteReference w:id="2270"/>
      </w:r>
      <w:r w:rsidRPr="00AF1DC8">
        <w:rPr>
          <w:rFonts w:ascii="Narkisim" w:hAnsi="Narkisim"/>
        </w:rPr>
        <w:t xml:space="preserve">. </w:t>
      </w:r>
      <w:r w:rsidRPr="00AF1DC8">
        <w:rPr>
          <w:rFonts w:ascii="Narkisim" w:hAnsi="Narkisim"/>
          <w:rtl/>
        </w:rPr>
        <w:t>[וע"ע חי' ר' שמעון לו]</w:t>
      </w:r>
      <w:r w:rsidRPr="00AF1DC8">
        <w:rPr>
          <w:rFonts w:ascii="Narkisim" w:hAnsi="Narkisim"/>
        </w:rPr>
        <w:t>.</w:t>
      </w:r>
    </w:p>
    <w:p w14:paraId="07055B3E"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נמוק"י</w:t>
      </w:r>
      <w:r w:rsidRPr="00AF1DC8">
        <w:rPr>
          <w:rFonts w:ascii="Narkisim" w:hAnsi="Narkisim"/>
          <w:rtl/>
        </w:rPr>
        <w:t xml:space="preserve"> (יב: בדה"ר) כתב דמספקא לבי"ש אי זיקה ככנוסה</w:t>
      </w:r>
      <w:r w:rsidRPr="00AF1DC8">
        <w:rPr>
          <w:rStyle w:val="ac"/>
          <w:rFonts w:ascii="Narkisim" w:hAnsi="Narkisim"/>
          <w:rtl/>
        </w:rPr>
        <w:footnoteReference w:id="2271"/>
      </w:r>
      <w:r w:rsidRPr="00AF1DC8">
        <w:rPr>
          <w:rFonts w:ascii="Narkisim" w:hAnsi="Narkisim"/>
        </w:rPr>
        <w:t xml:space="preserve">. </w:t>
      </w:r>
      <w:r w:rsidRPr="00AF1DC8">
        <w:rPr>
          <w:rFonts w:ascii="Narkisim" w:hAnsi="Narkisim"/>
          <w:rtl/>
        </w:rPr>
        <w:t>אבל ב</w:t>
      </w:r>
      <w:r w:rsidRPr="00AF1DC8">
        <w:rPr>
          <w:rFonts w:ascii="Narkisim" w:hAnsi="Narkisim"/>
          <w:b/>
          <w:bCs/>
          <w:rtl/>
        </w:rPr>
        <w:t>חי' ר"א מן ההר</w:t>
      </w:r>
      <w:r w:rsidRPr="00AF1DC8">
        <w:rPr>
          <w:rFonts w:ascii="Narkisim" w:hAnsi="Narkisim"/>
          <w:rtl/>
        </w:rPr>
        <w:t xml:space="preserve"> פי' דקליש זכות היבם ביבמתו כמו שמי שיש לו זכות ספק קליש כחו ממי שיש לו ודאי זכות. וכ"מ ב</w:t>
      </w:r>
      <w:r w:rsidRPr="00AF1DC8">
        <w:rPr>
          <w:rFonts w:ascii="Narkisim" w:hAnsi="Narkisim"/>
          <w:b/>
          <w:bCs/>
          <w:rtl/>
        </w:rPr>
        <w:t>רש"י</w:t>
      </w:r>
      <w:r w:rsidRPr="00AF1DC8">
        <w:rPr>
          <w:rFonts w:ascii="Narkisim" w:hAnsi="Narkisim"/>
        </w:rPr>
        <w:t>.</w:t>
      </w:r>
    </w:p>
    <w:p w14:paraId="738A19A9" w14:textId="77777777" w:rsidR="006074A5" w:rsidRPr="00AF1DC8" w:rsidRDefault="006074A5" w:rsidP="006074A5">
      <w:pPr>
        <w:bidi/>
        <w:rPr>
          <w:rFonts w:ascii="Narkisim" w:hAnsi="Narkisim" w:cs="Narkisim"/>
        </w:rPr>
      </w:pPr>
      <w:r w:rsidRPr="00AF1DC8">
        <w:rPr>
          <w:rFonts w:ascii="Narkisim" w:hAnsi="Narkisim" w:cs="Narkisim"/>
          <w:u w:val="single"/>
          <w:rtl/>
        </w:rPr>
        <w:t>רש"י ד"ה זיקת אירוסין.</w:t>
      </w:r>
      <w:r w:rsidRPr="00AF1DC8">
        <w:rPr>
          <w:rFonts w:ascii="Narkisim" w:hAnsi="Narkisim" w:cs="Narkisim"/>
          <w:rtl/>
        </w:rPr>
        <w:t xml:space="preserve"> דלא מצי למימר זיקת אירוסין אינה כלום דהא בעי חליצה. </w:t>
      </w:r>
      <w:r w:rsidRPr="00AF1DC8">
        <w:rPr>
          <w:rFonts w:ascii="Narkisim" w:hAnsi="Narkisim" w:cs="Narkisim"/>
          <w:sz w:val="20"/>
          <w:szCs w:val="20"/>
          <w:rtl/>
        </w:rPr>
        <w:t>[וכן העתיק ר"א מן ההר הנ"ל].</w:t>
      </w:r>
      <w:r w:rsidRPr="00AF1DC8">
        <w:rPr>
          <w:rFonts w:ascii="Narkisim" w:hAnsi="Narkisim" w:cs="Narkisim"/>
          <w:rtl/>
        </w:rPr>
        <w:t xml:space="preserve"> צ"ב דה"מ ליאסור לשוק, ומנ"ל דנחשב ארוסתו לזכות בנכסים. ומבואר ברש"י ד'זיקת אירוסין' [דסוגיין] מוכרח מעצם הא שהיא זקוקה ליבום. ולא הוה זכות בפנ"ע בנכסים [או מחמת המת]</w:t>
      </w:r>
      <w:r w:rsidRPr="00AF1DC8">
        <w:rPr>
          <w:rStyle w:val="ac"/>
          <w:rFonts w:ascii="Narkisim" w:hAnsi="Narkisim" w:cs="Narkisim"/>
          <w:rtl/>
        </w:rPr>
        <w:footnoteReference w:id="2272"/>
      </w:r>
      <w:r w:rsidRPr="00AF1DC8">
        <w:rPr>
          <w:rFonts w:ascii="Narkisim" w:hAnsi="Narkisim" w:cs="Narkisim"/>
        </w:rPr>
        <w:t>.</w:t>
      </w:r>
    </w:p>
    <w:p w14:paraId="140754D2" w14:textId="77777777" w:rsidR="006074A5" w:rsidRPr="00AF1DC8" w:rsidRDefault="006074A5" w:rsidP="006074A5">
      <w:pPr>
        <w:pStyle w:val="a7"/>
        <w:bidi/>
        <w:rPr>
          <w:rFonts w:ascii="Narkisim" w:hAnsi="Narkisim"/>
        </w:rPr>
      </w:pPr>
      <w:r w:rsidRPr="00AF1DC8">
        <w:rPr>
          <w:rFonts w:ascii="Narkisim" w:hAnsi="Narkisim"/>
          <w:rtl/>
        </w:rPr>
        <w:t xml:space="preserve">אך צ"ב דזקוקה לחליצה ואסורה לשוק בתורת ודאי, ואילו בנכסים נחשב 'ספק'. וצ"ל דכיון דחולצת הוה זכות קלוש, ודינו כספק </w:t>
      </w:r>
      <w:r w:rsidRPr="00AF1DC8">
        <w:rPr>
          <w:rFonts w:ascii="Narkisim" w:hAnsi="Narkisim"/>
          <w:sz w:val="20"/>
          <w:szCs w:val="20"/>
          <w:rtl/>
        </w:rPr>
        <w:t>[וכמ”ש ר”א מן ההר]</w:t>
      </w:r>
      <w:r w:rsidRPr="00AF1DC8">
        <w:rPr>
          <w:rFonts w:ascii="Narkisim" w:hAnsi="Narkisim"/>
          <w:sz w:val="20"/>
          <w:szCs w:val="20"/>
        </w:rPr>
        <w:t>.</w:t>
      </w:r>
    </w:p>
    <w:p w14:paraId="784DA978" w14:textId="77777777" w:rsidR="006074A5" w:rsidRPr="00AF1DC8" w:rsidRDefault="006074A5" w:rsidP="006074A5">
      <w:pPr>
        <w:pStyle w:val="a8"/>
        <w:bidi/>
        <w:rPr>
          <w:rFonts w:ascii="Narkisim" w:hAnsi="Narkisim"/>
        </w:rPr>
      </w:pPr>
      <w:r w:rsidRPr="00AF1DC8">
        <w:rPr>
          <w:rFonts w:ascii="Narkisim" w:hAnsi="Narkisim"/>
          <w:rtl/>
        </w:rPr>
        <w:t>וב</w:t>
      </w:r>
      <w:r w:rsidRPr="00AF1DC8">
        <w:rPr>
          <w:rFonts w:ascii="Narkisim" w:hAnsi="Narkisim"/>
          <w:b/>
          <w:bCs/>
          <w:rtl/>
        </w:rPr>
        <w:t>שיע' ר' שמואל</w:t>
      </w:r>
      <w:r w:rsidRPr="00AF1DC8">
        <w:rPr>
          <w:rFonts w:ascii="Narkisim" w:hAnsi="Narkisim"/>
          <w:rtl/>
        </w:rPr>
        <w:t xml:space="preserve"> כת' דה"מ לענין זכות ממון, דתלי בקנייני האישות, אבל שאר עניני זיקה תלי' בדיני שאר</w:t>
      </w:r>
      <w:r w:rsidRPr="00AF1DC8">
        <w:rPr>
          <w:rFonts w:ascii="Narkisim" w:hAnsi="Narkisim"/>
        </w:rPr>
        <w:t>.</w:t>
      </w:r>
    </w:p>
    <w:p w14:paraId="566B4EBD" w14:textId="77777777" w:rsidR="006074A5" w:rsidRPr="00AF1DC8" w:rsidRDefault="006074A5" w:rsidP="006074A5">
      <w:pPr>
        <w:pStyle w:val="aa"/>
        <w:bidi/>
        <w:rPr>
          <w:rFonts w:ascii="Narkisim" w:hAnsi="Narkisim"/>
        </w:rPr>
      </w:pPr>
      <w:r w:rsidRPr="00AF1DC8">
        <w:rPr>
          <w:rFonts w:ascii="Narkisim" w:hAnsi="Narkisim"/>
          <w:u w:val="single"/>
          <w:rtl/>
        </w:rPr>
        <w:t>שם. דלא מ"ל דזיקת אירוסין אינו כלום</w:t>
      </w:r>
      <w:r w:rsidRPr="00AF1DC8">
        <w:rPr>
          <w:rFonts w:ascii="Narkisim" w:hAnsi="Narkisim"/>
          <w:rtl/>
        </w:rPr>
        <w:t>. ה</w:t>
      </w:r>
      <w:r w:rsidRPr="00AF1DC8">
        <w:rPr>
          <w:rFonts w:ascii="Narkisim" w:hAnsi="Narkisim"/>
          <w:b/>
          <w:bCs/>
          <w:rtl/>
        </w:rPr>
        <w:t>רשב"א</w:t>
      </w:r>
      <w:r w:rsidRPr="00AF1DC8">
        <w:rPr>
          <w:rFonts w:ascii="Narkisim" w:hAnsi="Narkisim"/>
          <w:rtl/>
        </w:rPr>
        <w:t xml:space="preserve"> הביא דכוונת רש"י דיש נפק"מ בהא דהוה ספק ארוסה, בנפלו הנכסים תחת הבעל, וכה"ג לא תמכור לכתחילה [וכדמשמע מרש”י ד”ה עושה]. ואף לבית הלל</w:t>
      </w:r>
      <w:r w:rsidRPr="00AF1DC8">
        <w:rPr>
          <w:rStyle w:val="ac"/>
          <w:rFonts w:ascii="Narkisim" w:hAnsi="Narkisim"/>
          <w:rtl/>
        </w:rPr>
        <w:footnoteReference w:id="2273"/>
      </w:r>
      <w:r w:rsidRPr="00AF1DC8">
        <w:rPr>
          <w:rFonts w:ascii="Narkisim" w:hAnsi="Narkisim"/>
        </w:rPr>
        <w:t xml:space="preserve">. </w:t>
      </w:r>
      <w:r w:rsidRPr="00AF1DC8">
        <w:rPr>
          <w:rFonts w:ascii="Narkisim" w:hAnsi="Narkisim"/>
          <w:rtl/>
        </w:rPr>
        <w:t>וה</w:t>
      </w:r>
      <w:r w:rsidRPr="00AF1DC8">
        <w:rPr>
          <w:rFonts w:ascii="Narkisim" w:hAnsi="Narkisim"/>
          <w:b/>
          <w:bCs/>
          <w:rtl/>
        </w:rPr>
        <w:t>רשב"א</w:t>
      </w:r>
      <w:r w:rsidRPr="00AF1DC8">
        <w:rPr>
          <w:rFonts w:ascii="Narkisim" w:hAnsi="Narkisim"/>
          <w:rtl/>
        </w:rPr>
        <w:t xml:space="preserve"> הק' דשומר"י נחית דרגא, וכיון דאפי' בארוסה מכרה ונתנה קיים. ולכן פי' ה</w:t>
      </w:r>
      <w:r w:rsidRPr="00AF1DC8">
        <w:rPr>
          <w:rFonts w:ascii="Narkisim" w:hAnsi="Narkisim"/>
          <w:b/>
          <w:bCs/>
          <w:rtl/>
        </w:rPr>
        <w:t>רשב"א</w:t>
      </w:r>
      <w:r w:rsidRPr="00AF1DC8">
        <w:rPr>
          <w:rFonts w:ascii="Narkisim" w:hAnsi="Narkisim"/>
          <w:rtl/>
        </w:rPr>
        <w:t xml:space="preserve"> דקושטא דמילתא נקט דהוה ספק, דאת"ל זיקת אירוסין אינו כלום, א"כ אף זיקת נישואין לא תהני</w:t>
      </w:r>
      <w:r w:rsidRPr="00AF1DC8">
        <w:rPr>
          <w:rFonts w:ascii="Narkisim" w:hAnsi="Narkisim"/>
        </w:rPr>
        <w:t>.</w:t>
      </w:r>
    </w:p>
    <w:p w14:paraId="6DB88319" w14:textId="77777777" w:rsidR="006074A5" w:rsidRPr="00AF1DC8" w:rsidRDefault="006074A5" w:rsidP="006074A5">
      <w:pPr>
        <w:pStyle w:val="aa"/>
        <w:bidi/>
        <w:rPr>
          <w:rFonts w:ascii="Narkisim" w:hAnsi="Narkisim"/>
        </w:rPr>
      </w:pPr>
      <w:r w:rsidRPr="00AF1DC8">
        <w:rPr>
          <w:rFonts w:ascii="Narkisim" w:hAnsi="Narkisim"/>
          <w:u w:val="single"/>
          <w:rtl/>
        </w:rPr>
        <w:t>רש"י ד"ה עושה.</w:t>
      </w:r>
      <w:r w:rsidRPr="00AF1DC8">
        <w:rPr>
          <w:rFonts w:ascii="Narkisim" w:hAnsi="Narkisim"/>
          <w:rtl/>
        </w:rPr>
        <w:t xml:space="preserve"> ולבי"ה חזקה עדיפא דאין ידו כידה וכו'. ה</w:t>
      </w:r>
      <w:r w:rsidRPr="00AF1DC8">
        <w:rPr>
          <w:rFonts w:ascii="Narkisim" w:hAnsi="Narkisim"/>
          <w:b/>
          <w:bCs/>
          <w:rtl/>
        </w:rPr>
        <w:t>קר"א</w:t>
      </w:r>
      <w:r w:rsidRPr="00AF1DC8">
        <w:rPr>
          <w:rFonts w:ascii="Narkisim" w:hAnsi="Narkisim"/>
          <w:rtl/>
        </w:rPr>
        <w:t xml:space="preserve"> הקשה דנימא דאף דשקולין מעמידים בחזקת השבט, דאין ספק מוציא מידי ודאי [או דהגוף שלה]. וכסברת אביי. ועי"ש</w:t>
      </w:r>
      <w:r w:rsidRPr="00AF1DC8">
        <w:rPr>
          <w:rFonts w:ascii="Narkisim" w:hAnsi="Narkisim"/>
        </w:rPr>
        <w:t>.</w:t>
      </w:r>
    </w:p>
    <w:p w14:paraId="5A8A3923" w14:textId="77777777" w:rsidR="006074A5" w:rsidRPr="00AF1DC8" w:rsidRDefault="006074A5" w:rsidP="006074A5">
      <w:pPr>
        <w:pStyle w:val="aa"/>
        <w:bidi/>
        <w:rPr>
          <w:rFonts w:ascii="Narkisim" w:hAnsi="Narkisim"/>
        </w:rPr>
      </w:pPr>
      <w:r w:rsidRPr="00AF1DC8">
        <w:rPr>
          <w:rFonts w:ascii="Narkisim" w:hAnsi="Narkisim"/>
          <w:u w:val="single"/>
          <w:rtl/>
        </w:rPr>
        <w:t>תוד"ה הויא.</w:t>
      </w:r>
      <w:r w:rsidRPr="00AF1DC8">
        <w:rPr>
          <w:rFonts w:ascii="Narkisim" w:hAnsi="Narkisim"/>
          <w:rtl/>
        </w:rPr>
        <w:t xml:space="preserve"> שהגוף שלה. [וכ"מ ברש"י (סוד"ה סיפא) [לדברי רבה], דסברת בי"ש כיון דהוא ודאי בגוף מהני לפירות]. ה</w:t>
      </w:r>
      <w:r w:rsidRPr="00AF1DC8">
        <w:rPr>
          <w:rFonts w:ascii="Narkisim" w:hAnsi="Narkisim"/>
          <w:b/>
          <w:bCs/>
          <w:rtl/>
        </w:rPr>
        <w:t>אחרונים</w:t>
      </w:r>
      <w:r w:rsidRPr="00AF1DC8">
        <w:rPr>
          <w:rFonts w:ascii="Narkisim" w:hAnsi="Narkisim"/>
          <w:rtl/>
        </w:rPr>
        <w:t xml:space="preserve"> ביארו דקנין פירות הוה מכח הגוף, ואינו חפץ בפנ"ע. ואילו יתבטל קה"פ יחזור לבעל הקנין הגוף. ומש"ה נחשב דזכות הפירות הוא </w:t>
      </w:r>
      <w:r w:rsidRPr="00AF1DC8">
        <w:rPr>
          <w:rFonts w:ascii="Narkisim" w:hAnsi="Narkisim"/>
          <w:i/>
          <w:iCs/>
          <w:rtl/>
        </w:rPr>
        <w:t>מוציא</w:t>
      </w:r>
      <w:r w:rsidRPr="00AF1DC8">
        <w:rPr>
          <w:rFonts w:ascii="Narkisim" w:hAnsi="Narkisim"/>
          <w:rtl/>
        </w:rPr>
        <w:t xml:space="preserve"> מקנין הגוף</w:t>
      </w:r>
      <w:r w:rsidRPr="00AF1DC8">
        <w:rPr>
          <w:rFonts w:ascii="Narkisim" w:hAnsi="Narkisim"/>
        </w:rPr>
        <w:t>.</w:t>
      </w:r>
    </w:p>
    <w:p w14:paraId="03BED2A7" w14:textId="77777777" w:rsidR="006074A5" w:rsidRPr="00AF1DC8" w:rsidRDefault="006074A5" w:rsidP="006074A5">
      <w:pPr>
        <w:bidi/>
        <w:rPr>
          <w:rFonts w:ascii="Narkisim" w:hAnsi="Narkisim" w:cs="Narkisim"/>
        </w:rPr>
      </w:pPr>
      <w:r w:rsidRPr="00AF1DC8">
        <w:rPr>
          <w:rFonts w:ascii="Narkisim" w:hAnsi="Narkisim" w:cs="Narkisim"/>
          <w:u w:val="single"/>
          <w:rtl/>
        </w:rPr>
        <w:t>לפלגו בחייה ולפירות.</w:t>
      </w:r>
      <w:r w:rsidRPr="00AF1DC8">
        <w:rPr>
          <w:rFonts w:ascii="Narkisim" w:hAnsi="Narkisim" w:cs="Narkisim"/>
          <w:rtl/>
        </w:rPr>
        <w:t xml:space="preserve"> ה</w:t>
      </w:r>
      <w:r w:rsidRPr="00AF1DC8">
        <w:rPr>
          <w:rFonts w:ascii="Narkisim" w:hAnsi="Narkisim" w:cs="Narkisim"/>
          <w:b/>
          <w:bCs/>
          <w:rtl/>
        </w:rPr>
        <w:t xml:space="preserve">רשב"א </w:t>
      </w:r>
      <w:r w:rsidRPr="00AF1DC8">
        <w:rPr>
          <w:rFonts w:ascii="Narkisim" w:hAnsi="Narkisim" w:cs="Narkisim"/>
          <w:rtl/>
        </w:rPr>
        <w:t>הביא דמשמע [דיש צד] דיבם אוכל בפירות נכסי מלוג. והק' דהרי אינו חייב בפרקונה [וכדאמרי' כתובות נב.], ועוה"ק דה</w:t>
      </w:r>
      <w:r w:rsidRPr="00AF1DC8">
        <w:rPr>
          <w:rFonts w:ascii="Narkisim" w:hAnsi="Narkisim" w:cs="Narkisim"/>
          <w:b/>
          <w:bCs/>
          <w:rtl/>
        </w:rPr>
        <w:t>רי”ף</w:t>
      </w:r>
      <w:r w:rsidRPr="00AF1DC8">
        <w:rPr>
          <w:rFonts w:ascii="Narkisim" w:hAnsi="Narkisim" w:cs="Narkisim"/>
          <w:sz w:val="20"/>
          <w:szCs w:val="20"/>
          <w:rtl/>
        </w:rPr>
        <w:t xml:space="preserve"> (שם, יט. בדה"ס)</w:t>
      </w:r>
      <w:r w:rsidRPr="00AF1DC8">
        <w:rPr>
          <w:rFonts w:ascii="Narkisim" w:hAnsi="Narkisim" w:cs="Narkisim"/>
          <w:rtl/>
        </w:rPr>
        <w:t xml:space="preserve"> כת' הילכך היבם אינו אוכל פירות</w:t>
      </w:r>
      <w:r w:rsidRPr="00AF1DC8">
        <w:rPr>
          <w:rFonts w:ascii="Narkisim" w:hAnsi="Narkisim" w:cs="Narkisim"/>
        </w:rPr>
        <w:t>.</w:t>
      </w:r>
    </w:p>
    <w:p w14:paraId="4AA40977"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ו</w:t>
      </w:r>
      <w:r w:rsidRPr="00AF1DC8">
        <w:rPr>
          <w:rFonts w:ascii="Narkisim" w:hAnsi="Narkisim"/>
          <w:b/>
          <w:bCs/>
          <w:rtl/>
        </w:rPr>
        <w:t>ר”ן</w:t>
      </w:r>
      <w:r w:rsidRPr="00AF1DC8">
        <w:rPr>
          <w:rFonts w:ascii="Narkisim" w:hAnsi="Narkisim"/>
          <w:rtl/>
        </w:rPr>
        <w:t xml:space="preserve"> </w:t>
      </w:r>
      <w:r w:rsidRPr="00AF1DC8">
        <w:rPr>
          <w:rFonts w:ascii="Narkisim" w:hAnsi="Narkisim"/>
          <w:sz w:val="20"/>
          <w:szCs w:val="20"/>
          <w:rtl/>
        </w:rPr>
        <w:t>(כתובות פ:, לט: בדה"ר)</w:t>
      </w:r>
      <w:r w:rsidRPr="00AF1DC8">
        <w:rPr>
          <w:rFonts w:ascii="Narkisim" w:hAnsi="Narkisim"/>
          <w:rtl/>
        </w:rPr>
        <w:t xml:space="preserve"> תי' דהיבם אוכל פירות מזכות הבעל, ולא מכח עצמו. והבעל זכה בפירות ונתחייב לפדות כל דקרינן ואהדרינך למדינתך, והיבם יורש ממנו. </w:t>
      </w:r>
      <w:r w:rsidRPr="00AF1DC8">
        <w:rPr>
          <w:rFonts w:ascii="Narkisim" w:hAnsi="Narkisim"/>
          <w:sz w:val="20"/>
          <w:szCs w:val="20"/>
          <w:rtl/>
        </w:rPr>
        <w:t>[וה</w:t>
      </w:r>
      <w:r w:rsidRPr="00AF1DC8">
        <w:rPr>
          <w:rFonts w:ascii="Narkisim" w:hAnsi="Narkisim"/>
          <w:b/>
          <w:bCs/>
          <w:sz w:val="20"/>
          <w:szCs w:val="20"/>
          <w:rtl/>
        </w:rPr>
        <w:t>אחרונים</w:t>
      </w:r>
      <w:r w:rsidRPr="00AF1DC8">
        <w:rPr>
          <w:rFonts w:ascii="Narkisim" w:hAnsi="Narkisim"/>
          <w:sz w:val="20"/>
          <w:szCs w:val="20"/>
          <w:rtl/>
        </w:rPr>
        <w:t xml:space="preserve"> דנו בדעת הרי"ף דס"ל דאביי ורבא פליגי בזה, וע' </w:t>
      </w:r>
      <w:r w:rsidRPr="00AF1DC8">
        <w:rPr>
          <w:rFonts w:ascii="Narkisim" w:hAnsi="Narkisim"/>
          <w:b/>
          <w:bCs/>
          <w:sz w:val="20"/>
          <w:szCs w:val="20"/>
          <w:rtl/>
        </w:rPr>
        <w:t>גר"א</w:t>
      </w:r>
      <w:r w:rsidRPr="00AF1DC8">
        <w:rPr>
          <w:rFonts w:ascii="Narkisim" w:hAnsi="Narkisim"/>
          <w:sz w:val="20"/>
          <w:szCs w:val="20"/>
          <w:rtl/>
        </w:rPr>
        <w:t xml:space="preserve"> קס יח]</w:t>
      </w:r>
      <w:r w:rsidRPr="00AF1DC8">
        <w:rPr>
          <w:rFonts w:ascii="Narkisim" w:hAnsi="Narkisim"/>
          <w:sz w:val="20"/>
          <w:szCs w:val="20"/>
        </w:rPr>
        <w:t>.</w:t>
      </w:r>
    </w:p>
    <w:p w14:paraId="120BE7EF"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מלחמות</w:t>
      </w:r>
      <w:r w:rsidRPr="00AF1DC8">
        <w:rPr>
          <w:rFonts w:ascii="Narkisim" w:hAnsi="Narkisim"/>
          <w:rtl/>
        </w:rPr>
        <w:t xml:space="preserve"> נקט דהיבם אינו אוכל פירות. אלא ימכרו את הפירות ויקנו קרקע, ועי"ז </w:t>
      </w:r>
      <w:r w:rsidRPr="00AF1DC8">
        <w:rPr>
          <w:rFonts w:ascii="Narkisim" w:hAnsi="Narkisim"/>
          <w:rtl/>
        </w:rPr>
        <w:lastRenderedPageBreak/>
        <w:t>נחשב כמו גוף. ואחרי שיתייבם יאכל את פירות הפירות</w:t>
      </w:r>
      <w:r w:rsidRPr="00AF1DC8">
        <w:rPr>
          <w:rFonts w:ascii="Narkisim" w:hAnsi="Narkisim"/>
        </w:rPr>
        <w:t>.</w:t>
      </w:r>
    </w:p>
    <w:p w14:paraId="6DCD7D29" w14:textId="77777777" w:rsidR="006074A5" w:rsidRPr="00AF1DC8" w:rsidRDefault="006074A5" w:rsidP="006074A5">
      <w:pPr>
        <w:bidi/>
        <w:rPr>
          <w:rFonts w:ascii="Narkisim" w:hAnsi="Narkisim" w:cs="Narkisim"/>
        </w:rPr>
      </w:pPr>
      <w:r w:rsidRPr="00AF1DC8">
        <w:rPr>
          <w:rFonts w:ascii="Narkisim" w:hAnsi="Narkisim" w:cs="Narkisim"/>
          <w:u w:val="single"/>
          <w:rtl/>
        </w:rPr>
        <w:t>רש"י ד"ה סיפא.</w:t>
      </w:r>
      <w:r w:rsidRPr="00AF1DC8">
        <w:rPr>
          <w:rFonts w:ascii="Narkisim" w:hAnsi="Narkisim" w:cs="Narkisim"/>
          <w:rtl/>
        </w:rPr>
        <w:t xml:space="preserve"> ולב"ה הואיל ואלו קרובים ודאין הם, והוחזקה נחלה בחזקת משפחתן. ה</w:t>
      </w:r>
      <w:r w:rsidRPr="00AF1DC8">
        <w:rPr>
          <w:rFonts w:ascii="Narkisim" w:hAnsi="Narkisim" w:cs="Narkisim"/>
          <w:b/>
          <w:bCs/>
          <w:rtl/>
        </w:rPr>
        <w:t>בי"מ</w:t>
      </w:r>
      <w:r w:rsidRPr="00AF1DC8">
        <w:rPr>
          <w:rFonts w:ascii="Narkisim" w:hAnsi="Narkisim" w:cs="Narkisim"/>
          <w:rtl/>
        </w:rPr>
        <w:t xml:space="preserve"> (קס ח) כתב דמשמע דבית שמאי פליגי על הך סברא. וא"כ כ"ש דפליגי אף בספק בן במקום בנות</w:t>
      </w:r>
      <w:r w:rsidRPr="00AF1DC8">
        <w:rPr>
          <w:rFonts w:ascii="Narkisim" w:hAnsi="Narkisim" w:cs="Narkisim"/>
          <w:sz w:val="20"/>
          <w:szCs w:val="20"/>
          <w:rtl/>
        </w:rPr>
        <w:t xml:space="preserve"> [דלסברת הרמב"ן והרא"ש אמרי' אסממ"ו, ע' לעיל לז:], ולא מצאנו בזה מח'. ועי”ש</w:t>
      </w:r>
      <w:r w:rsidRPr="00AF1DC8">
        <w:rPr>
          <w:rFonts w:ascii="Narkisim" w:hAnsi="Narkisim" w:cs="Narkisim"/>
          <w:sz w:val="20"/>
          <w:szCs w:val="20"/>
        </w:rPr>
        <w:t>.</w:t>
      </w:r>
    </w:p>
    <w:p w14:paraId="7F4776B7" w14:textId="77777777" w:rsidR="006074A5" w:rsidRPr="00AF1DC8" w:rsidRDefault="006074A5" w:rsidP="006074A5">
      <w:pPr>
        <w:bidi/>
        <w:rPr>
          <w:rFonts w:ascii="Narkisim" w:hAnsi="Narkisim" w:cs="Narkisim"/>
        </w:rPr>
      </w:pPr>
      <w:r w:rsidRPr="00AF1DC8">
        <w:rPr>
          <w:rFonts w:ascii="Narkisim" w:hAnsi="Narkisim" w:cs="Narkisim"/>
          <w:u w:val="single"/>
          <w:rtl/>
        </w:rPr>
        <w:t>שטר העומד ליגבות וכו'</w:t>
      </w:r>
      <w:r w:rsidRPr="00AF1DC8">
        <w:rPr>
          <w:rStyle w:val="ac"/>
          <w:rFonts w:ascii="Narkisim" w:hAnsi="Narkisim" w:cs="Narkisim"/>
          <w:rtl/>
        </w:rPr>
        <w:footnoteReference w:id="2274"/>
      </w:r>
      <w:r w:rsidRPr="00AF1DC8">
        <w:rPr>
          <w:rFonts w:ascii="Narkisim" w:hAnsi="Narkisim" w:cs="Narkisim"/>
          <w:rtl/>
        </w:rPr>
        <w:t>. ה</w:t>
      </w:r>
      <w:r w:rsidRPr="00AF1DC8">
        <w:rPr>
          <w:rFonts w:ascii="Narkisim" w:hAnsi="Narkisim" w:cs="Narkisim"/>
          <w:b/>
          <w:bCs/>
          <w:rtl/>
        </w:rPr>
        <w:t>חזו"א</w:t>
      </w:r>
      <w:r w:rsidRPr="00AF1DC8">
        <w:rPr>
          <w:rFonts w:ascii="Narkisim" w:hAnsi="Narkisim" w:cs="Narkisim"/>
          <w:rtl/>
        </w:rPr>
        <w:t xml:space="preserve"> (עב ז) ביאר דחשיב ממון הידוע למלוה, דכיון שיש חוב ידוע ומשועבד בשטר</w:t>
      </w:r>
      <w:r w:rsidRPr="00AF1DC8">
        <w:rPr>
          <w:rFonts w:ascii="Narkisim" w:hAnsi="Narkisim" w:cs="Narkisim"/>
        </w:rPr>
        <w:t>.</w:t>
      </w:r>
    </w:p>
    <w:p w14:paraId="73A24F2D" w14:textId="77777777" w:rsidR="006074A5" w:rsidRPr="00AF1DC8" w:rsidRDefault="006074A5" w:rsidP="006074A5">
      <w:pPr>
        <w:pStyle w:val="a8"/>
        <w:bidi/>
        <w:rPr>
          <w:rFonts w:ascii="Narkisim" w:hAnsi="Narkisim"/>
        </w:rPr>
      </w:pPr>
      <w:r w:rsidRPr="00AF1DC8">
        <w:rPr>
          <w:rFonts w:ascii="Narkisim" w:hAnsi="Narkisim"/>
        </w:rPr>
        <w:t>[</w:t>
      </w:r>
      <w:r w:rsidRPr="00AF1DC8">
        <w:rPr>
          <w:rFonts w:ascii="Narkisim" w:hAnsi="Narkisim"/>
          <w:rtl/>
        </w:rPr>
        <w:t>ואף בית הלל ס"ל דאמרי' שטר העומד ליגבות לכמה דינים, ומהני מיגו ולא נחשב מיגו להוציא. וה</w:t>
      </w:r>
      <w:r w:rsidRPr="00AF1DC8">
        <w:rPr>
          <w:rFonts w:ascii="Narkisim" w:hAnsi="Narkisim"/>
          <w:b/>
          <w:bCs/>
          <w:rtl/>
        </w:rPr>
        <w:t>קצות</w:t>
      </w:r>
      <w:r w:rsidRPr="00AF1DC8">
        <w:rPr>
          <w:rFonts w:ascii="Narkisim" w:hAnsi="Narkisim"/>
          <w:rtl/>
        </w:rPr>
        <w:t xml:space="preserve"> (יב א) הביא בשם ה</w:t>
      </w:r>
      <w:r w:rsidRPr="00AF1DC8">
        <w:rPr>
          <w:rFonts w:ascii="Narkisim" w:hAnsi="Narkisim"/>
          <w:b/>
          <w:bCs/>
          <w:rtl/>
        </w:rPr>
        <w:t>כנה"ג</w:t>
      </w:r>
      <w:r w:rsidRPr="00AF1DC8">
        <w:rPr>
          <w:rFonts w:ascii="Narkisim" w:hAnsi="Narkisim"/>
          <w:rtl/>
        </w:rPr>
        <w:t xml:space="preserve"> דכשיש ודאי שטר אמרי' כגבוי אף לבי”ה, אלא דבספק אמרי' דאין כאן שטר ואינה כגבוי. וע”ע ש”ש א כד</w:t>
      </w:r>
      <w:r w:rsidRPr="00AF1DC8">
        <w:rPr>
          <w:rFonts w:ascii="Narkisim" w:hAnsi="Narkisim"/>
        </w:rPr>
        <w:t>].</w:t>
      </w:r>
    </w:p>
    <w:p w14:paraId="34C46590" w14:textId="77777777" w:rsidR="006074A5" w:rsidRPr="00AF1DC8" w:rsidRDefault="006074A5" w:rsidP="006074A5">
      <w:pPr>
        <w:bidi/>
        <w:rPr>
          <w:rFonts w:ascii="Narkisim" w:hAnsi="Narkisim" w:cs="Narkisim"/>
        </w:rPr>
      </w:pPr>
      <w:r w:rsidRPr="00AF1DC8">
        <w:rPr>
          <w:rFonts w:ascii="Narkisim" w:hAnsi="Narkisim" w:cs="Narkisim"/>
          <w:u w:val="single"/>
          <w:rtl/>
        </w:rPr>
        <w:t>תוד"ה בש"א.</w:t>
      </w:r>
      <w:r w:rsidRPr="00AF1DC8">
        <w:rPr>
          <w:rFonts w:ascii="Narkisim" w:hAnsi="Narkisim" w:cs="Narkisim"/>
          <w:rtl/>
        </w:rPr>
        <w:t xml:space="preserve"> עוברת על דת כיון דאינה יכולה ליבדק. וכ”כ ה</w:t>
      </w:r>
      <w:r w:rsidRPr="00AF1DC8">
        <w:rPr>
          <w:rFonts w:ascii="Narkisim" w:hAnsi="Narkisim" w:cs="Narkisim"/>
          <w:b/>
          <w:bCs/>
          <w:rtl/>
        </w:rPr>
        <w:t>תוס' שאנץ</w:t>
      </w:r>
      <w:r w:rsidRPr="00AF1DC8">
        <w:rPr>
          <w:rFonts w:ascii="Narkisim" w:hAnsi="Narkisim" w:cs="Narkisim"/>
          <w:rtl/>
        </w:rPr>
        <w:t xml:space="preserve"> (עה"ג סוטה כג:). וצ"ב דאי הוה משום דעוברת על הדת, ומשום איסור יחוד. א"כ אף באופן שיוכל ליבדק. </w:t>
      </w:r>
      <w:r w:rsidRPr="00AF1DC8">
        <w:rPr>
          <w:rFonts w:ascii="Narkisim" w:hAnsi="Narkisim" w:cs="Narkisim"/>
          <w:sz w:val="20"/>
          <w:szCs w:val="20"/>
          <w:rtl/>
        </w:rPr>
        <w:t>[וכה"ק ה</w:t>
      </w:r>
      <w:r w:rsidRPr="00AF1DC8">
        <w:rPr>
          <w:rFonts w:ascii="Narkisim" w:hAnsi="Narkisim" w:cs="Narkisim"/>
          <w:b/>
          <w:bCs/>
          <w:sz w:val="20"/>
          <w:szCs w:val="20"/>
          <w:rtl/>
        </w:rPr>
        <w:t>משנ"ל</w:t>
      </w:r>
      <w:r w:rsidRPr="00AF1DC8">
        <w:rPr>
          <w:rFonts w:ascii="Narkisim" w:hAnsi="Narkisim" w:cs="Narkisim"/>
          <w:sz w:val="20"/>
          <w:szCs w:val="20"/>
          <w:rtl/>
        </w:rPr>
        <w:t xml:space="preserve"> (סוטה ב א) עי"ש שהאריך בכ"ז</w:t>
      </w:r>
      <w:r w:rsidRPr="00AF1DC8">
        <w:rPr>
          <w:rStyle w:val="ac"/>
          <w:rFonts w:ascii="Narkisim" w:hAnsi="Narkisim" w:cs="Narkisim"/>
          <w:sz w:val="20"/>
          <w:szCs w:val="20"/>
          <w:rtl/>
        </w:rPr>
        <w:footnoteReference w:id="2275"/>
      </w:r>
      <w:r w:rsidRPr="00AF1DC8">
        <w:rPr>
          <w:rFonts w:ascii="Narkisim" w:hAnsi="Narkisim" w:cs="Narkisim"/>
          <w:sz w:val="20"/>
          <w:szCs w:val="20"/>
          <w:rtl/>
        </w:rPr>
        <w:t>].</w:t>
      </w:r>
      <w:r w:rsidRPr="00AF1DC8">
        <w:rPr>
          <w:rFonts w:ascii="Narkisim" w:hAnsi="Narkisim" w:cs="Narkisim"/>
          <w:rtl/>
        </w:rPr>
        <w:t xml:space="preserve"> ולכאורה משמע דדוקא היכא דבמעשיה הרעים גרמה לעצמה ליאסר דנים אותה כעוברת על דת. </w:t>
      </w:r>
      <w:r w:rsidRPr="00AF1DC8">
        <w:rPr>
          <w:rFonts w:ascii="Narkisim" w:hAnsi="Narkisim" w:cs="Narkisim"/>
          <w:szCs w:val="20"/>
          <w:rtl/>
        </w:rPr>
        <w:t>[וע"ד תחילת דברי התוס']</w:t>
      </w:r>
      <w:r w:rsidRPr="00AF1DC8">
        <w:rPr>
          <w:rFonts w:ascii="Narkisim" w:hAnsi="Narkisim" w:cs="Narkisim"/>
        </w:rPr>
        <w:t>.</w:t>
      </w:r>
    </w:p>
    <w:p w14:paraId="6D7914A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חזו"א </w:t>
      </w:r>
      <w:r w:rsidRPr="00AF1DC8">
        <w:rPr>
          <w:rFonts w:ascii="Narkisim" w:hAnsi="Narkisim"/>
          <w:rtl/>
        </w:rPr>
        <w:t>(עט כז) כת' דהוה תקנ"ח דיוצאת בלא כתובה, ולא תקנו כשעומדת לשתות</w:t>
      </w:r>
      <w:r w:rsidRPr="00AF1DC8">
        <w:rPr>
          <w:rFonts w:ascii="Narkisim" w:hAnsi="Narkisim"/>
        </w:rPr>
        <w:t>.</w:t>
      </w:r>
    </w:p>
    <w:p w14:paraId="591A7EF2" w14:textId="77777777" w:rsidR="006074A5" w:rsidRPr="00AF1DC8" w:rsidRDefault="006074A5" w:rsidP="006074A5">
      <w:pPr>
        <w:bidi/>
        <w:rPr>
          <w:rFonts w:ascii="Narkisim" w:hAnsi="Narkisim" w:cs="Narkisim"/>
        </w:rPr>
      </w:pPr>
      <w:r w:rsidRPr="00AF1DC8">
        <w:rPr>
          <w:rFonts w:ascii="Narkisim" w:hAnsi="Narkisim" w:cs="Narkisim"/>
          <w:u w:val="single"/>
          <w:rtl/>
        </w:rPr>
        <w:t>ולותביה כתובה דמתני', לא פליגי.</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(בע"א) וה</w:t>
      </w:r>
      <w:r w:rsidRPr="00AF1DC8">
        <w:rPr>
          <w:rFonts w:ascii="Narkisim" w:hAnsi="Narkisim" w:cs="Narkisim"/>
          <w:b/>
          <w:bCs/>
          <w:rtl/>
        </w:rPr>
        <w:t>ראשונים</w:t>
      </w:r>
      <w:r w:rsidRPr="00AF1DC8">
        <w:rPr>
          <w:rFonts w:ascii="Narkisim" w:hAnsi="Narkisim" w:cs="Narkisim"/>
          <w:rtl/>
        </w:rPr>
        <w:t xml:space="preserve"> נקטו כן אליבא דאמת, ולא הוה רק דיחוי לדברי אביי. אבל </w:t>
      </w:r>
      <w:r w:rsidRPr="00AF1DC8">
        <w:rPr>
          <w:rFonts w:ascii="Narkisim" w:hAnsi="Narkisim" w:cs="Narkisim"/>
          <w:b/>
          <w:bCs/>
          <w:rtl/>
        </w:rPr>
        <w:t>הבעה"מ</w:t>
      </w:r>
      <w:r w:rsidRPr="00AF1DC8">
        <w:rPr>
          <w:rFonts w:ascii="Narkisim" w:hAnsi="Narkisim" w:cs="Narkisim"/>
          <w:rtl/>
        </w:rPr>
        <w:t xml:space="preserve"> נקט דאליבא דאמת פליגי אף בכתובה. [וע' מלחמות ורע"א]</w:t>
      </w:r>
      <w:r w:rsidRPr="00AF1DC8">
        <w:rPr>
          <w:rFonts w:ascii="Narkisim" w:hAnsi="Narkisim" w:cs="Narkisim"/>
        </w:rPr>
        <w:t>.</w:t>
      </w:r>
    </w:p>
    <w:p w14:paraId="6884E4F3" w14:textId="77777777" w:rsidR="006074A5" w:rsidRPr="00AF1DC8" w:rsidRDefault="006074A5" w:rsidP="006074A5">
      <w:pPr>
        <w:bidi/>
        <w:rPr>
          <w:rFonts w:ascii="Narkisim" w:hAnsi="Narkisim" w:cs="Narkisim"/>
        </w:rPr>
      </w:pPr>
      <w:r w:rsidRPr="00AF1DC8">
        <w:rPr>
          <w:rFonts w:ascii="Narkisim" w:hAnsi="Narkisim" w:cs="Narkisim"/>
          <w:u w:val="single"/>
          <w:rtl/>
        </w:rPr>
        <w:t>תוד"ה ואביי.</w:t>
      </w:r>
      <w:r w:rsidRPr="00AF1DC8">
        <w:rPr>
          <w:rFonts w:ascii="Narkisim" w:hAnsi="Narkisim" w:cs="Narkisim"/>
          <w:rtl/>
        </w:rPr>
        <w:t xml:space="preserve"> לפי שהיא באה בטענת ברי וכו'. ולבי"ש ספק מוציא מידי ודאי [ונחשב ספק] ומש"ה מהני ברי ושמא</w:t>
      </w:r>
      <w:r w:rsidRPr="00AF1DC8">
        <w:rPr>
          <w:rStyle w:val="ac"/>
          <w:rFonts w:ascii="Narkisim" w:hAnsi="Narkisim" w:cs="Narkisim"/>
          <w:rtl/>
        </w:rPr>
        <w:footnoteReference w:id="2276"/>
      </w:r>
      <w:r w:rsidRPr="00AF1DC8">
        <w:rPr>
          <w:rFonts w:ascii="Narkisim" w:hAnsi="Narkisim" w:cs="Narkisim"/>
        </w:rPr>
        <w:t xml:space="preserve">.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העירו אמאי לא אמרי' דכיון דהדין יחלוקו ל"מ ברי ושמא, וכמ”ש תוס' (ב”מ צז: וכ”מ) לדעת סומכוס</w:t>
      </w:r>
      <w:r w:rsidRPr="00AF1DC8">
        <w:rPr>
          <w:rFonts w:ascii="Narkisim" w:hAnsi="Narkisim" w:cs="Narkisim"/>
          <w:rtl/>
        </w:rPr>
        <w:t>]</w:t>
      </w:r>
      <w:r w:rsidRPr="00AF1DC8">
        <w:rPr>
          <w:rFonts w:ascii="Narkisim" w:hAnsi="Narkisim" w:cs="Narkisim"/>
        </w:rPr>
        <w:t>.</w:t>
      </w:r>
    </w:p>
    <w:p w14:paraId="4D5032B7" w14:textId="77777777" w:rsidR="006074A5" w:rsidRPr="00AF1DC8" w:rsidRDefault="006074A5" w:rsidP="006074A5">
      <w:pPr>
        <w:pStyle w:val="a7"/>
        <w:bidi/>
        <w:rPr>
          <w:rFonts w:ascii="Narkisim" w:hAnsi="Narkisim"/>
        </w:rPr>
      </w:pPr>
      <w:r w:rsidRPr="00AF1DC8">
        <w:rPr>
          <w:rFonts w:ascii="Narkisim" w:hAnsi="Narkisim"/>
          <w:rtl/>
        </w:rPr>
        <w:t xml:space="preserve">אבל </w:t>
      </w:r>
      <w:r w:rsidRPr="00AF1DC8">
        <w:rPr>
          <w:rFonts w:ascii="Narkisim" w:hAnsi="Narkisim"/>
          <w:b/>
          <w:bCs/>
          <w:rtl/>
        </w:rPr>
        <w:t>תוס</w:t>
      </w:r>
      <w:r w:rsidRPr="00AF1DC8">
        <w:rPr>
          <w:rFonts w:ascii="Narkisim" w:hAnsi="Narkisim"/>
          <w:rtl/>
        </w:rPr>
        <w:t xml:space="preserve">' (סוטה כה:) כת' דל"ש בסוטה ברי ושמא, אחרי קינוי וסתירה, דהתורה עשאתה ספק. </w:t>
      </w:r>
      <w:r w:rsidRPr="00AF1DC8">
        <w:rPr>
          <w:rFonts w:ascii="Narkisim" w:hAnsi="Narkisim"/>
          <w:sz w:val="20"/>
          <w:szCs w:val="20"/>
          <w:rtl/>
        </w:rPr>
        <w:t>[ואף דהדין ספק כודאי הוה רק כלפי דיני הפרשה (ע' לעיל יא.), מ”מ יש בזה גדר ספק כלפי הכתובה</w:t>
      </w:r>
      <w:r w:rsidRPr="00AF1DC8">
        <w:rPr>
          <w:rStyle w:val="ac"/>
          <w:rFonts w:ascii="Narkisim" w:hAnsi="Narkisim"/>
          <w:sz w:val="20"/>
          <w:szCs w:val="20"/>
          <w:rtl/>
        </w:rPr>
        <w:footnoteReference w:id="2277"/>
      </w:r>
      <w:r w:rsidRPr="00AF1DC8">
        <w:rPr>
          <w:rFonts w:ascii="Narkisim" w:hAnsi="Narkisim"/>
          <w:sz w:val="20"/>
          <w:szCs w:val="20"/>
          <w:rtl/>
        </w:rPr>
        <w:t>].</w:t>
      </w:r>
      <w:r w:rsidRPr="00AF1DC8">
        <w:rPr>
          <w:rFonts w:ascii="Narkisim" w:hAnsi="Narkisim"/>
          <w:rtl/>
        </w:rPr>
        <w:t xml:space="preserve"> וע' מש"כ בזה </w:t>
      </w:r>
      <w:r w:rsidRPr="00AF1DC8">
        <w:rPr>
          <w:rFonts w:ascii="Narkisim" w:hAnsi="Narkisim"/>
          <w:b/>
          <w:bCs/>
          <w:rtl/>
        </w:rPr>
        <w:t>רע"א</w:t>
      </w:r>
      <w:r w:rsidRPr="00AF1DC8">
        <w:rPr>
          <w:rFonts w:ascii="Narkisim" w:hAnsi="Narkisim"/>
        </w:rPr>
        <w:t>.</w:t>
      </w:r>
    </w:p>
    <w:p w14:paraId="18B67AAA" w14:textId="77777777" w:rsidR="006074A5" w:rsidRPr="00AF1DC8" w:rsidRDefault="006074A5" w:rsidP="006074A5">
      <w:pPr>
        <w:pStyle w:val="aa"/>
        <w:bidi/>
        <w:rPr>
          <w:rFonts w:ascii="Narkisim" w:hAnsi="Narkisim"/>
        </w:rPr>
      </w:pPr>
      <w:r w:rsidRPr="00AF1DC8">
        <w:rPr>
          <w:rFonts w:ascii="Narkisim" w:hAnsi="Narkisim"/>
          <w:u w:val="single"/>
          <w:rtl/>
        </w:rPr>
        <w:t>שם. והיורשין בטענת ספק</w:t>
      </w:r>
      <w:r w:rsidRPr="00AF1DC8">
        <w:rPr>
          <w:rFonts w:ascii="Narkisim" w:hAnsi="Narkisim"/>
          <w:rtl/>
        </w:rPr>
        <w:t>. ה</w:t>
      </w:r>
      <w:r w:rsidRPr="00AF1DC8">
        <w:rPr>
          <w:rFonts w:ascii="Narkisim" w:hAnsi="Narkisim"/>
          <w:b/>
          <w:bCs/>
          <w:rtl/>
        </w:rPr>
        <w:t>הפלאה</w:t>
      </w:r>
      <w:r w:rsidRPr="00AF1DC8">
        <w:rPr>
          <w:rFonts w:ascii="Narkisim" w:hAnsi="Narkisim"/>
          <w:rtl/>
        </w:rPr>
        <w:t xml:space="preserve"> (כתובות פא., וע”ע תומים עה כב, ומהר"ם שיף כתובות יב:) הק' דנימא דהוה איני יודע אם פרעתיך, שהרי ודאי נתחייב לה כתובה, וספק האם זינתה והפסידה  כתובתה. [ואדרבה מ"ט דבית הלל]. [וה</w:t>
      </w:r>
      <w:r w:rsidRPr="00AF1DC8">
        <w:rPr>
          <w:rFonts w:ascii="Narkisim" w:hAnsi="Narkisim"/>
          <w:b/>
          <w:bCs/>
          <w:rtl/>
        </w:rPr>
        <w:t>אחרונים</w:t>
      </w:r>
      <w:r w:rsidRPr="00AF1DC8">
        <w:rPr>
          <w:rFonts w:ascii="Narkisim" w:hAnsi="Narkisim"/>
          <w:rtl/>
        </w:rPr>
        <w:t xml:space="preserve"> (חי' ר' שמואל כתובות יג) דנו בגדר הא דמפסדת כתובתה ע"י זנות, האם נחשב דיש ודאי חיוב]</w:t>
      </w:r>
      <w:r w:rsidRPr="00AF1DC8">
        <w:rPr>
          <w:rFonts w:ascii="Narkisim" w:hAnsi="Narkisim"/>
        </w:rPr>
        <w:t>.</w:t>
      </w:r>
    </w:p>
    <w:p w14:paraId="2B8C799E" w14:textId="77777777" w:rsidR="006074A5" w:rsidRPr="00AF1DC8" w:rsidRDefault="006074A5" w:rsidP="006074A5">
      <w:pPr>
        <w:pStyle w:val="3"/>
        <w:bidi/>
        <w:rPr>
          <w:rFonts w:ascii="Narkisim" w:hAnsi="Narkisim"/>
        </w:rPr>
      </w:pPr>
      <w:r w:rsidRPr="00AF1DC8">
        <w:rPr>
          <w:rFonts w:ascii="Narkisim" w:hAnsi="Narkisim"/>
          <w:rtl/>
        </w:rPr>
        <w:t>דף לט</w:t>
      </w:r>
      <w:r w:rsidRPr="00AF1DC8">
        <w:rPr>
          <w:rFonts w:ascii="Narkisim" w:hAnsi="Narkisim"/>
        </w:rPr>
        <w:t>.</w:t>
      </w:r>
    </w:p>
    <w:p w14:paraId="47225C2B" w14:textId="77777777" w:rsidR="006074A5" w:rsidRPr="00AF1DC8" w:rsidRDefault="006074A5" w:rsidP="006074A5">
      <w:pPr>
        <w:bidi/>
        <w:rPr>
          <w:rFonts w:ascii="Narkisim" w:hAnsi="Narkisim" w:cs="Narkisim"/>
        </w:rPr>
      </w:pPr>
      <w:r w:rsidRPr="00AF1DC8">
        <w:rPr>
          <w:rFonts w:ascii="Narkisim" w:hAnsi="Narkisim" w:cs="Narkisim"/>
          <w:u w:val="single"/>
          <w:rtl/>
        </w:rPr>
        <w:t>וקסבר אביי ידו כידה.</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כשהיא תחתיו </w:t>
      </w:r>
      <w:r w:rsidRPr="00AF1DC8">
        <w:rPr>
          <w:rFonts w:ascii="Narkisim" w:hAnsi="Narkisim" w:cs="Narkisim"/>
          <w:sz w:val="20"/>
          <w:szCs w:val="20"/>
          <w:rtl/>
        </w:rPr>
        <w:t>[שנחשב הנכסים 'בחזקת' הבעל, ולא רק קנין פירות בעלמא]</w:t>
      </w:r>
      <w:r w:rsidRPr="00AF1DC8">
        <w:rPr>
          <w:rFonts w:ascii="Narkisim" w:hAnsi="Narkisim" w:cs="Narkisim"/>
          <w:rtl/>
        </w:rPr>
        <w:t>, וכשמת יד היבם גריעא מידה. ולבי"ש ידו עדיפא מידה, וכשמת יד היבם כידה</w:t>
      </w:r>
      <w:r w:rsidRPr="00AF1DC8">
        <w:rPr>
          <w:rFonts w:ascii="Narkisim" w:hAnsi="Narkisim" w:cs="Narkisim"/>
        </w:rPr>
        <w:t>.</w:t>
      </w:r>
    </w:p>
    <w:p w14:paraId="0C36B930" w14:textId="77777777" w:rsidR="006074A5" w:rsidRPr="00AF1DC8" w:rsidRDefault="006074A5" w:rsidP="006074A5">
      <w:pPr>
        <w:pStyle w:val="a7"/>
        <w:bidi/>
        <w:rPr>
          <w:rFonts w:ascii="Narkisim" w:hAnsi="Narkisim"/>
        </w:rPr>
      </w:pPr>
      <w:r w:rsidRPr="00AF1DC8">
        <w:rPr>
          <w:rFonts w:ascii="Narkisim" w:hAnsi="Narkisim"/>
          <w:rtl/>
        </w:rPr>
        <w:t xml:space="preserve">אבל </w:t>
      </w:r>
      <w:r w:rsidRPr="00AF1DC8">
        <w:rPr>
          <w:rFonts w:ascii="Narkisim" w:hAnsi="Narkisim"/>
          <w:b/>
          <w:bCs/>
          <w:rtl/>
        </w:rPr>
        <w:t>רש”י</w:t>
      </w:r>
      <w:r w:rsidRPr="00AF1DC8">
        <w:rPr>
          <w:rFonts w:ascii="Narkisim" w:hAnsi="Narkisim"/>
          <w:rtl/>
        </w:rPr>
        <w:t xml:space="preserve"> (כתובות פג.) כתב דסברת בית שמאי דחלוקה עדיפא</w:t>
      </w:r>
      <w:r w:rsidRPr="00AF1DC8">
        <w:rPr>
          <w:rFonts w:ascii="Narkisim" w:hAnsi="Narkisim"/>
          <w:sz w:val="20"/>
          <w:szCs w:val="20"/>
          <w:rtl/>
        </w:rPr>
        <w:t xml:space="preserve"> [ואף לאחר שמת אמרי' ידו כידה]</w:t>
      </w:r>
      <w:r w:rsidRPr="00AF1DC8">
        <w:rPr>
          <w:rFonts w:ascii="Narkisim" w:hAnsi="Narkisim"/>
          <w:rtl/>
        </w:rPr>
        <w:t xml:space="preserve">, ולבית הלל חזקה קמייתא עדיפא </w:t>
      </w:r>
      <w:r w:rsidRPr="00AF1DC8">
        <w:rPr>
          <w:rFonts w:ascii="Narkisim" w:hAnsi="Narkisim"/>
          <w:sz w:val="20"/>
          <w:szCs w:val="20"/>
          <w:rtl/>
        </w:rPr>
        <w:t>[דשייך חזקת המשפחה אף למ”ד ידו כידה</w:t>
      </w:r>
      <w:r w:rsidRPr="00AF1DC8">
        <w:rPr>
          <w:rFonts w:ascii="Narkisim" w:hAnsi="Narkisim"/>
          <w:rtl/>
        </w:rPr>
        <w:t>]</w:t>
      </w:r>
      <w:r w:rsidRPr="00AF1DC8">
        <w:rPr>
          <w:rFonts w:ascii="Narkisim" w:hAnsi="Narkisim"/>
        </w:rPr>
        <w:t>.</w:t>
      </w:r>
    </w:p>
    <w:p w14:paraId="2A6B1891" w14:textId="77777777" w:rsidR="006074A5" w:rsidRPr="00AF1DC8" w:rsidRDefault="006074A5" w:rsidP="006074A5">
      <w:pPr>
        <w:bidi/>
        <w:rPr>
          <w:rFonts w:ascii="Narkisim" w:hAnsi="Narkisim" w:cs="Narkisim"/>
        </w:rPr>
      </w:pPr>
      <w:r w:rsidRPr="00AF1DC8">
        <w:rPr>
          <w:rFonts w:ascii="Narkisim" w:hAnsi="Narkisim" w:cs="Narkisim"/>
          <w:u w:val="single"/>
          <w:rtl/>
        </w:rPr>
        <w:t>א"ל רבא וכו' ידו עדיפא.</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ואפי' בי”ה מודו דשקל במה שנפל תחתיו. אבל </w:t>
      </w:r>
      <w:r w:rsidRPr="00AF1DC8">
        <w:rPr>
          <w:rFonts w:ascii="Narkisim" w:hAnsi="Narkisim" w:cs="Narkisim"/>
          <w:b/>
          <w:bCs/>
          <w:rtl/>
        </w:rPr>
        <w:t>רש"י</w:t>
      </w:r>
      <w:r w:rsidRPr="00AF1DC8">
        <w:rPr>
          <w:rFonts w:ascii="Narkisim" w:hAnsi="Narkisim" w:cs="Narkisim"/>
          <w:rtl/>
        </w:rPr>
        <w:t xml:space="preserve"> </w:t>
      </w:r>
      <w:r w:rsidRPr="00AF1DC8">
        <w:rPr>
          <w:rFonts w:ascii="Narkisim" w:hAnsi="Narkisim" w:cs="Narkisim"/>
          <w:szCs w:val="20"/>
          <w:rtl/>
        </w:rPr>
        <w:t>(</w:t>
      </w:r>
      <w:r w:rsidRPr="00AF1DC8">
        <w:rPr>
          <w:rFonts w:ascii="Narkisim" w:hAnsi="Narkisim" w:cs="Narkisim"/>
          <w:sz w:val="20"/>
          <w:szCs w:val="20"/>
          <w:rtl/>
        </w:rPr>
        <w:t>כתובות פג.)</w:t>
      </w:r>
      <w:r w:rsidRPr="00AF1DC8">
        <w:rPr>
          <w:rFonts w:ascii="Narkisim" w:hAnsi="Narkisim" w:cs="Narkisim"/>
          <w:rtl/>
        </w:rPr>
        <w:t xml:space="preserve"> כת' דלרבא ידו עדיפא, וכשמת נכנס היבם במקומו והרי הוא כמותו, ושומר"י שמתה אין ליורשיה בהם כלום </w:t>
      </w:r>
      <w:r w:rsidRPr="00AF1DC8">
        <w:rPr>
          <w:rFonts w:ascii="Narkisim" w:hAnsi="Narkisim" w:cs="Narkisim"/>
          <w:sz w:val="20"/>
          <w:szCs w:val="20"/>
          <w:rtl/>
        </w:rPr>
        <w:t>[וצ”ב מהגמ' כאן]</w:t>
      </w:r>
      <w:r w:rsidRPr="00AF1DC8">
        <w:rPr>
          <w:rFonts w:ascii="Narkisim" w:hAnsi="Narkisim" w:cs="Narkisim"/>
          <w:sz w:val="20"/>
          <w:szCs w:val="20"/>
        </w:rPr>
        <w:t>.</w:t>
      </w:r>
    </w:p>
    <w:p w14:paraId="699A3A01" w14:textId="77777777" w:rsidR="006074A5" w:rsidRPr="00AF1DC8" w:rsidRDefault="006074A5" w:rsidP="006074A5">
      <w:pPr>
        <w:pStyle w:val="a8"/>
        <w:bidi/>
        <w:rPr>
          <w:rFonts w:ascii="Narkisim" w:hAnsi="Narkisim"/>
        </w:rPr>
      </w:pPr>
      <w:r w:rsidRPr="00AF1DC8">
        <w:rPr>
          <w:rFonts w:ascii="Narkisim" w:hAnsi="Narkisim"/>
          <w:rtl/>
        </w:rPr>
        <w:t>אבל ה</w:t>
      </w:r>
      <w:r w:rsidRPr="00AF1DC8">
        <w:rPr>
          <w:rFonts w:ascii="Narkisim" w:hAnsi="Narkisim"/>
          <w:b/>
          <w:bCs/>
          <w:rtl/>
        </w:rPr>
        <w:t>מלחמות</w:t>
      </w:r>
      <w:r w:rsidRPr="00AF1DC8">
        <w:rPr>
          <w:rFonts w:ascii="Narkisim" w:hAnsi="Narkisim"/>
          <w:rtl/>
        </w:rPr>
        <w:t xml:space="preserve"> כת' דלבי”ה אין זיקה עושה נישואין כלל, וכוונת הגמ' כאן משום דלא ניתנה כתובה [וצאן ברזל] ליגבות מחיים. וה</w:t>
      </w:r>
      <w:r w:rsidRPr="00AF1DC8">
        <w:rPr>
          <w:rFonts w:ascii="Narkisim" w:hAnsi="Narkisim"/>
          <w:b/>
          <w:bCs/>
          <w:rtl/>
        </w:rPr>
        <w:t>חזו”א</w:t>
      </w:r>
      <w:r w:rsidRPr="00AF1DC8">
        <w:rPr>
          <w:rFonts w:ascii="Narkisim" w:hAnsi="Narkisim"/>
          <w:rtl/>
        </w:rPr>
        <w:t xml:space="preserve"> (קיט ז,י) הקשה מאחר דנח' בי”ש בעביד מאמר, א”כ מנ”ל דנח' אף בידו כידה </w:t>
      </w:r>
      <w:r w:rsidRPr="00AF1DC8">
        <w:rPr>
          <w:rFonts w:ascii="Narkisim" w:hAnsi="Narkisim"/>
          <w:rtl/>
        </w:rPr>
        <w:lastRenderedPageBreak/>
        <w:t>[ועיי”ש שדן ליישב בכמה אופנים]</w:t>
      </w:r>
      <w:r w:rsidRPr="00AF1DC8">
        <w:rPr>
          <w:rFonts w:ascii="Narkisim" w:hAnsi="Narkisim"/>
        </w:rPr>
        <w:t>.</w:t>
      </w:r>
    </w:p>
    <w:p w14:paraId="5CB03591"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ראשונים</w:t>
      </w:r>
      <w:r w:rsidRPr="00AF1DC8">
        <w:rPr>
          <w:rFonts w:ascii="Narkisim" w:hAnsi="Narkisim" w:cs="Narkisim"/>
          <w:rtl/>
        </w:rPr>
        <w:t xml:space="preserve"> הביאו בשם ה</w:t>
      </w:r>
      <w:r w:rsidRPr="00AF1DC8">
        <w:rPr>
          <w:rFonts w:ascii="Narkisim" w:hAnsi="Narkisim" w:cs="Narkisim"/>
          <w:b/>
          <w:bCs/>
          <w:rtl/>
        </w:rPr>
        <w:t>רי"ף</w:t>
      </w:r>
      <w:r w:rsidRPr="00AF1DC8">
        <w:rPr>
          <w:rFonts w:ascii="Narkisim" w:hAnsi="Narkisim" w:cs="Narkisim"/>
          <w:rtl/>
        </w:rPr>
        <w:t xml:space="preserve"> (כתובות פג., מא: בדה”ס) דפי' ידו כידה, כמו שאילו מתה היא נתרוקנה זכותה אצל הבעל, ה"נ כך כשמת הוא נתרוקן זכותו אצל האשה ותטול כל נכסיו. ולכן במקום יבם דהוה ספק, יחלוקו. ורבא סבר דיד הבעל עדיפא, וכשמת הוא לא נתרוקן זכותו לה</w:t>
      </w:r>
      <w:r w:rsidRPr="00AF1DC8">
        <w:rPr>
          <w:rFonts w:ascii="Narkisim" w:hAnsi="Narkisim" w:cs="Narkisim"/>
        </w:rPr>
        <w:t>.</w:t>
      </w:r>
    </w:p>
    <w:p w14:paraId="6F03E985" w14:textId="77777777" w:rsidR="006074A5" w:rsidRPr="00AF1DC8" w:rsidRDefault="006074A5" w:rsidP="006074A5">
      <w:pPr>
        <w:bidi/>
        <w:rPr>
          <w:rFonts w:ascii="Narkisim" w:hAnsi="Narkisim" w:cs="Narkisim"/>
        </w:rPr>
      </w:pPr>
      <w:r w:rsidRPr="00AF1DC8">
        <w:rPr>
          <w:rFonts w:ascii="Narkisim" w:hAnsi="Narkisim" w:cs="Narkisim"/>
          <w:rtl/>
        </w:rPr>
        <w:t>ה</w:t>
      </w:r>
      <w:r w:rsidRPr="00AF1DC8">
        <w:rPr>
          <w:rFonts w:ascii="Narkisim" w:hAnsi="Narkisim" w:cs="Narkisim"/>
          <w:b/>
          <w:bCs/>
          <w:rtl/>
        </w:rPr>
        <w:t>רמב"ם</w:t>
      </w:r>
      <w:r w:rsidRPr="00AF1DC8">
        <w:rPr>
          <w:rFonts w:ascii="Narkisim" w:hAnsi="Narkisim" w:cs="Narkisim"/>
          <w:rtl/>
        </w:rPr>
        <w:t xml:space="preserve"> (אישות כב י) פסק דאינו אוכל בפירות נכסי צ"ב שהכניסה לאחיו, ואם מתה יחלוקו [ע”פ הסוגיא בב”ב, וכדעת רש”י (כתובות פ) ע' לעיל לח.]. וה</w:t>
      </w:r>
      <w:r w:rsidRPr="00AF1DC8">
        <w:rPr>
          <w:rFonts w:ascii="Narkisim" w:hAnsi="Narkisim" w:cs="Narkisim"/>
          <w:b/>
          <w:bCs/>
          <w:rtl/>
        </w:rPr>
        <w:t>רמב"ן</w:t>
      </w:r>
      <w:r w:rsidRPr="00AF1DC8">
        <w:rPr>
          <w:rFonts w:ascii="Narkisim" w:hAnsi="Narkisim" w:cs="Narkisim"/>
          <w:rtl/>
        </w:rPr>
        <w:t xml:space="preserve"> כתב דהרמב"ם פי' דסוגיין קאי כבי"ש, אבל לבי"ה לא אמרי' ידו כידה כלל. אבל ה</w:t>
      </w:r>
      <w:r w:rsidRPr="00AF1DC8">
        <w:rPr>
          <w:rFonts w:ascii="Narkisim" w:hAnsi="Narkisim" w:cs="Narkisim"/>
          <w:b/>
          <w:bCs/>
          <w:rtl/>
        </w:rPr>
        <w:t>גר"א</w:t>
      </w:r>
      <w:r w:rsidRPr="00AF1DC8">
        <w:rPr>
          <w:rFonts w:ascii="Narkisim" w:hAnsi="Narkisim" w:cs="Narkisim"/>
          <w:rtl/>
        </w:rPr>
        <w:t xml:space="preserve"> (קס יח) ביאר דדעת הרמב"ם לפסוק כאביי</w:t>
      </w:r>
      <w:r w:rsidRPr="00AF1DC8">
        <w:rPr>
          <w:rFonts w:ascii="Narkisim" w:hAnsi="Narkisim" w:cs="Narkisim"/>
        </w:rPr>
        <w:t>.</w:t>
      </w:r>
    </w:p>
    <w:p w14:paraId="04227819"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בעה"מ</w:t>
      </w:r>
      <w:r w:rsidRPr="00AF1DC8">
        <w:rPr>
          <w:rFonts w:ascii="Narkisim" w:hAnsi="Narkisim" w:cs="Narkisim"/>
          <w:rtl/>
        </w:rPr>
        <w:t xml:space="preserve"> כתב דלאביי ורבא אין ליבם בפירות נכסי מלוג, דנחשב נפלו כשהיא שומרת יבם, ואין ליבם בהם כלל. אלא ביאר דכוונת הגמ' בפירות נכסי צאן ברזל. וה</w:t>
      </w:r>
      <w:r w:rsidRPr="00AF1DC8">
        <w:rPr>
          <w:rFonts w:ascii="Narkisim" w:hAnsi="Narkisim" w:cs="Narkisim"/>
          <w:b/>
          <w:bCs/>
          <w:rtl/>
        </w:rPr>
        <w:t>ראשונים</w:t>
      </w:r>
      <w:r w:rsidRPr="00AF1DC8">
        <w:rPr>
          <w:rFonts w:ascii="Narkisim" w:hAnsi="Narkisim" w:cs="Narkisim"/>
          <w:rtl/>
        </w:rPr>
        <w:t xml:space="preserve"> חלקו על הבעה"מ דזכה הבעל בזכות בנכסים שיש לו בהם קנין פירות, ולא נחשב נפלה אח”כ. [וצ"ב במה פליג הבעה"מ וע' חי' ר' שמעון כו ה]</w:t>
      </w:r>
      <w:r w:rsidRPr="00AF1DC8">
        <w:rPr>
          <w:rFonts w:ascii="Narkisim" w:hAnsi="Narkisim" w:cs="Narkisim"/>
        </w:rPr>
        <w:t>.</w:t>
      </w:r>
    </w:p>
    <w:p w14:paraId="39661666" w14:textId="77777777" w:rsidR="006074A5" w:rsidRPr="00AF1DC8" w:rsidRDefault="006074A5" w:rsidP="006074A5">
      <w:pPr>
        <w:bidi/>
        <w:rPr>
          <w:rFonts w:ascii="Narkisim" w:hAnsi="Narkisim" w:cs="Narkisim"/>
        </w:rPr>
      </w:pPr>
      <w:r w:rsidRPr="00AF1DC8">
        <w:rPr>
          <w:rFonts w:ascii="Narkisim" w:hAnsi="Narkisim" w:cs="Narkisim"/>
          <w:u w:val="single"/>
          <w:rtl/>
        </w:rPr>
        <w:t>תוד"ה ספק.</w:t>
      </w:r>
      <w:r w:rsidRPr="00AF1DC8">
        <w:rPr>
          <w:rFonts w:ascii="Narkisim" w:hAnsi="Narkisim" w:cs="Narkisim"/>
          <w:rtl/>
        </w:rPr>
        <w:t xml:space="preserve"> דמתוך תשובתו משמע דמודה דאין יורשה</w:t>
      </w:r>
      <w:r w:rsidRPr="00AF1DC8">
        <w:rPr>
          <w:rStyle w:val="ac"/>
          <w:rFonts w:ascii="Narkisim" w:hAnsi="Narkisim" w:cs="Narkisim"/>
          <w:rtl/>
        </w:rPr>
        <w:footnoteReference w:id="2278"/>
      </w:r>
      <w:r w:rsidRPr="00AF1DC8">
        <w:rPr>
          <w:rFonts w:ascii="Narkisim" w:hAnsi="Narkisim" w:cs="Narkisim"/>
        </w:rPr>
        <w:t xml:space="preserve">. </w:t>
      </w:r>
      <w:r w:rsidRPr="00AF1DC8">
        <w:rPr>
          <w:rFonts w:ascii="Narkisim" w:hAnsi="Narkisim" w:cs="Narkisim"/>
          <w:rtl/>
        </w:rPr>
        <w:t>מבואר ב</w:t>
      </w:r>
      <w:r w:rsidRPr="00AF1DC8">
        <w:rPr>
          <w:rFonts w:ascii="Narkisim" w:hAnsi="Narkisim" w:cs="Narkisim"/>
          <w:b/>
          <w:bCs/>
          <w:rtl/>
        </w:rPr>
        <w:t>תוס'</w:t>
      </w:r>
      <w:r w:rsidRPr="00AF1DC8">
        <w:rPr>
          <w:rFonts w:ascii="Narkisim" w:hAnsi="Narkisim" w:cs="Narkisim"/>
          <w:rtl/>
        </w:rPr>
        <w:t xml:space="preserve"> (וכן תוס' כט:) דאין לחלק בין דין ירושה לשאר דיני מאמר. וה</w:t>
      </w:r>
      <w:r w:rsidRPr="00AF1DC8">
        <w:rPr>
          <w:rFonts w:ascii="Narkisim" w:hAnsi="Narkisim" w:cs="Narkisim"/>
          <w:b/>
          <w:bCs/>
          <w:rtl/>
        </w:rPr>
        <w:t>מהר"ם</w:t>
      </w:r>
      <w:r w:rsidRPr="00AF1DC8">
        <w:rPr>
          <w:rFonts w:ascii="Narkisim" w:hAnsi="Narkisim" w:cs="Narkisim"/>
          <w:rtl/>
        </w:rPr>
        <w:t xml:space="preserve"> הקשה דרבה (לעיל לח:) מבואר דאפי' זיקה נחשב ספק נישואין. ותי' דיתכן דזיקה עדיף לענין נכסים, וקושיית הגמ' לעיל גבי מאמר.</w:t>
      </w:r>
      <w:r w:rsidRPr="00AF1DC8">
        <w:rPr>
          <w:rFonts w:ascii="Narkisim" w:hAnsi="Narkisim" w:cs="Narkisim"/>
          <w:sz w:val="20"/>
          <w:szCs w:val="20"/>
          <w:rtl/>
        </w:rPr>
        <w:t xml:space="preserve"> [ומשמע מזה דהזכות בנכסים הוא מחמת הדין זיקה. וע"ד דברי ה</w:t>
      </w:r>
      <w:r w:rsidRPr="00AF1DC8">
        <w:rPr>
          <w:rFonts w:ascii="Narkisim" w:hAnsi="Narkisim" w:cs="Narkisim"/>
          <w:b/>
          <w:bCs/>
          <w:sz w:val="20"/>
          <w:szCs w:val="20"/>
          <w:rtl/>
        </w:rPr>
        <w:t>אחרונים</w:t>
      </w:r>
      <w:r w:rsidRPr="00AF1DC8">
        <w:rPr>
          <w:rFonts w:ascii="Narkisim" w:hAnsi="Narkisim" w:cs="Narkisim"/>
          <w:sz w:val="20"/>
          <w:szCs w:val="20"/>
          <w:rtl/>
        </w:rPr>
        <w:t xml:space="preserve"> (הו' לעיל) יל"פ דלגמ' לעיל הוה מחמת אישות המת, אבל הכא במאמר הוה מחמת קנין היבם, ובזה אין סברא דעדיף]</w:t>
      </w:r>
      <w:r w:rsidRPr="00AF1DC8">
        <w:rPr>
          <w:rFonts w:ascii="Narkisim" w:hAnsi="Narkisim" w:cs="Narkisim"/>
          <w:sz w:val="20"/>
          <w:szCs w:val="20"/>
        </w:rPr>
        <w:t>.</w:t>
      </w:r>
    </w:p>
    <w:p w14:paraId="1C760D31" w14:textId="77777777" w:rsidR="006074A5" w:rsidRPr="00AF1DC8" w:rsidRDefault="006074A5" w:rsidP="006074A5">
      <w:pPr>
        <w:pStyle w:val="aa"/>
        <w:bidi/>
        <w:rPr>
          <w:rFonts w:ascii="Narkisim" w:hAnsi="Narkisim"/>
        </w:rPr>
      </w:pPr>
      <w:r w:rsidRPr="00AF1DC8">
        <w:rPr>
          <w:rFonts w:ascii="Narkisim" w:hAnsi="Narkisim"/>
          <w:u w:val="single"/>
          <w:rtl/>
        </w:rPr>
        <w:t>תוד"ה אע"ג.</w:t>
      </w:r>
      <w:r w:rsidRPr="00AF1DC8">
        <w:rPr>
          <w:rFonts w:ascii="Narkisim" w:hAnsi="Narkisim"/>
          <w:rtl/>
        </w:rPr>
        <w:t xml:space="preserve"> אבל מחיים לא דהוה איהי ודאי וכו'. וה</w:t>
      </w:r>
      <w:r w:rsidRPr="00AF1DC8">
        <w:rPr>
          <w:rFonts w:ascii="Narkisim" w:hAnsi="Narkisim"/>
          <w:b/>
          <w:bCs/>
          <w:rtl/>
        </w:rPr>
        <w:t>ריב"ש</w:t>
      </w:r>
      <w:r w:rsidRPr="00AF1DC8">
        <w:rPr>
          <w:rFonts w:ascii="Narkisim" w:hAnsi="Narkisim"/>
          <w:rtl/>
        </w:rPr>
        <w:t xml:space="preserve"> (קד הו' בב"י קס) כתב סברא להיפך דמחיים נחשב ודאי שומרת יבם, ורק כשמתה אמרי' דהוה ספק אם עמדה לכנוס</w:t>
      </w:r>
      <w:r w:rsidRPr="00AF1DC8">
        <w:rPr>
          <w:rFonts w:ascii="Narkisim" w:hAnsi="Narkisim"/>
        </w:rPr>
        <w:t>.</w:t>
      </w:r>
    </w:p>
    <w:p w14:paraId="77E4C4DF" w14:textId="77777777" w:rsidR="006074A5" w:rsidRPr="00AF1DC8" w:rsidRDefault="006074A5" w:rsidP="006074A5">
      <w:pPr>
        <w:pStyle w:val="2"/>
        <w:bidi/>
        <w:rPr>
          <w:rFonts w:ascii="Narkisim" w:hAnsi="Narkisim"/>
        </w:rPr>
      </w:pPr>
      <w:r w:rsidRPr="00AF1DC8">
        <w:rPr>
          <w:rFonts w:ascii="Narkisim" w:hAnsi="Narkisim"/>
          <w:rtl/>
        </w:rPr>
        <w:t>כנסה הרי היא כאשתו</w:t>
      </w:r>
    </w:p>
    <w:p w14:paraId="1E61A86F" w14:textId="77777777" w:rsidR="006074A5" w:rsidRPr="00AF1DC8" w:rsidRDefault="006074A5" w:rsidP="006074A5">
      <w:pPr>
        <w:bidi/>
        <w:rPr>
          <w:rFonts w:ascii="Narkisim" w:hAnsi="Narkisim" w:cs="Narkisim"/>
        </w:rPr>
      </w:pPr>
      <w:r w:rsidRPr="00AF1DC8">
        <w:rPr>
          <w:rFonts w:ascii="Narkisim" w:hAnsi="Narkisim" w:cs="Narkisim"/>
          <w:u w:val="single"/>
          <w:rtl/>
        </w:rPr>
        <w:t>בחליצה אין בגט לא.</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כתב דכוונת הגמ' אף בחליצה. אבל ודאי בעי ג"כ גט, דמי גרע ממאמר</w:t>
      </w:r>
      <w:r w:rsidRPr="00AF1DC8">
        <w:rPr>
          <w:rFonts w:ascii="Narkisim" w:hAnsi="Narkisim" w:cs="Narkisim"/>
        </w:rPr>
        <w:t>.</w:t>
      </w:r>
    </w:p>
    <w:p w14:paraId="238762E6" w14:textId="77777777" w:rsidR="006074A5" w:rsidRPr="00AF1DC8" w:rsidRDefault="006074A5" w:rsidP="006074A5">
      <w:pPr>
        <w:bidi/>
        <w:rPr>
          <w:rFonts w:ascii="Narkisim" w:hAnsi="Narkisim" w:cs="Narkisim"/>
        </w:rPr>
      </w:pPr>
      <w:r w:rsidRPr="00AF1DC8">
        <w:rPr>
          <w:rFonts w:ascii="Narkisim" w:hAnsi="Narkisim" w:cs="Narkisim"/>
          <w:u w:val="single"/>
          <w:rtl/>
        </w:rPr>
        <w:t>סד"א מצוה דרמי רחמנא עליה עבדא השתא תיקום וכו'.</w:t>
      </w:r>
      <w:r w:rsidRPr="00AF1DC8">
        <w:rPr>
          <w:rFonts w:ascii="Narkisim" w:hAnsi="Narkisim" w:cs="Narkisim"/>
          <w:rtl/>
        </w:rPr>
        <w:t xml:space="preserve"> ב</w:t>
      </w:r>
      <w:r w:rsidRPr="00AF1DC8">
        <w:rPr>
          <w:rFonts w:ascii="Narkisim" w:hAnsi="Narkisim" w:cs="Narkisim"/>
          <w:b/>
          <w:bCs/>
          <w:rtl/>
        </w:rPr>
        <w:t>חי' הגר"נ</w:t>
      </w:r>
      <w:r w:rsidRPr="00AF1DC8">
        <w:rPr>
          <w:rFonts w:ascii="Narkisim" w:hAnsi="Narkisim" w:cs="Narkisim"/>
          <w:rtl/>
        </w:rPr>
        <w:t xml:space="preserve"> (לעיל כ.) דן האם ס"ד מסברא דהדרא לאיסור אשת אח </w:t>
      </w:r>
      <w:r w:rsidRPr="00AF1DC8">
        <w:rPr>
          <w:rFonts w:ascii="Narkisim" w:hAnsi="Narkisim" w:cs="Narkisim"/>
          <w:sz w:val="20"/>
          <w:szCs w:val="20"/>
          <w:rtl/>
        </w:rPr>
        <w:t xml:space="preserve">[דהותר רק לאישות היבום, וכפשטת </w:t>
      </w:r>
      <w:r w:rsidRPr="00AF1DC8">
        <w:rPr>
          <w:rFonts w:ascii="Narkisim" w:hAnsi="Narkisim" w:cs="Narkisim"/>
          <w:b/>
          <w:bCs/>
          <w:sz w:val="20"/>
          <w:szCs w:val="20"/>
          <w:rtl/>
        </w:rPr>
        <w:t>תוס</w:t>
      </w:r>
      <w:r w:rsidRPr="00AF1DC8">
        <w:rPr>
          <w:rFonts w:ascii="Narkisim" w:hAnsi="Narkisim" w:cs="Narkisim"/>
          <w:sz w:val="20"/>
          <w:szCs w:val="20"/>
          <w:rtl/>
        </w:rPr>
        <w:t>' ח:].</w:t>
      </w:r>
      <w:r w:rsidRPr="00AF1DC8">
        <w:rPr>
          <w:rFonts w:ascii="Narkisim" w:hAnsi="Narkisim" w:cs="Narkisim"/>
          <w:rtl/>
        </w:rPr>
        <w:t xml:space="preserve"> או דהגמ' הקשה ע"פ הדרשא ד'עדיין יבומין ראשונים עליה'. והביא דכן מבואר בדברי ה</w:t>
      </w:r>
      <w:r w:rsidRPr="00AF1DC8">
        <w:rPr>
          <w:rFonts w:ascii="Narkisim" w:hAnsi="Narkisim" w:cs="Narkisim"/>
          <w:b/>
          <w:bCs/>
          <w:rtl/>
        </w:rPr>
        <w:t>רמב"ן</w:t>
      </w:r>
      <w:r w:rsidRPr="00AF1DC8">
        <w:rPr>
          <w:rFonts w:ascii="Narkisim" w:hAnsi="Narkisim" w:cs="Narkisim"/>
          <w:rtl/>
        </w:rPr>
        <w:t xml:space="preserve"> (כ. ושא"ר שם) דקושיית הגמ' (לעיל כ.) דכיון דעדיין יבומין הראשונים עליה [לרבנן שם], נימא דאסור להחזירה. </w:t>
      </w:r>
      <w:r w:rsidRPr="00AF1DC8">
        <w:rPr>
          <w:rFonts w:ascii="Narkisim" w:hAnsi="Narkisim" w:cs="Narkisim"/>
          <w:sz w:val="20"/>
          <w:szCs w:val="20"/>
          <w:rtl/>
        </w:rPr>
        <w:t>אבל ב</w:t>
      </w:r>
      <w:r w:rsidRPr="00AF1DC8">
        <w:rPr>
          <w:rFonts w:ascii="Narkisim" w:hAnsi="Narkisim" w:cs="Narkisim"/>
          <w:b/>
          <w:bCs/>
          <w:sz w:val="20"/>
          <w:szCs w:val="20"/>
          <w:rtl/>
        </w:rPr>
        <w:t>רש"י</w:t>
      </w:r>
      <w:r w:rsidRPr="00AF1DC8">
        <w:rPr>
          <w:rFonts w:ascii="Narkisim" w:hAnsi="Narkisim" w:cs="Narkisim"/>
          <w:sz w:val="20"/>
          <w:szCs w:val="20"/>
          <w:rtl/>
        </w:rPr>
        <w:t xml:space="preserve"> (שם) לכאורה מבואר</w:t>
      </w:r>
      <w:r w:rsidRPr="00AF1DC8">
        <w:rPr>
          <w:rStyle w:val="ac"/>
          <w:rFonts w:ascii="Narkisim" w:hAnsi="Narkisim" w:cs="Narkisim"/>
          <w:sz w:val="20"/>
          <w:szCs w:val="20"/>
          <w:rtl/>
        </w:rPr>
        <w:footnoteReference w:id="2279"/>
      </w:r>
      <w:r w:rsidRPr="00AF1DC8">
        <w:rPr>
          <w:rFonts w:ascii="Narkisim" w:hAnsi="Narkisim" w:cs="Narkisim"/>
          <w:sz w:val="20"/>
          <w:szCs w:val="20"/>
        </w:rPr>
        <w:t xml:space="preserve"> </w:t>
      </w:r>
      <w:r w:rsidRPr="00AF1DC8">
        <w:rPr>
          <w:rFonts w:ascii="Narkisim" w:hAnsi="Narkisim" w:cs="Narkisim"/>
          <w:sz w:val="20"/>
          <w:szCs w:val="20"/>
          <w:rtl/>
        </w:rPr>
        <w:t>דס"ד רק דצריך גט, ומבואר דהנידון להחזיר לא תליא בגדר עדיין יבומים ראשונים עליו</w:t>
      </w:r>
      <w:r w:rsidRPr="00AF1DC8">
        <w:rPr>
          <w:rFonts w:ascii="Narkisim" w:hAnsi="Narkisim" w:cs="Narkisim"/>
          <w:sz w:val="20"/>
          <w:szCs w:val="20"/>
        </w:rPr>
        <w:t>.</w:t>
      </w:r>
    </w:p>
    <w:p w14:paraId="1BE9CA5A" w14:textId="77777777" w:rsidR="006074A5" w:rsidRPr="00AF1DC8" w:rsidRDefault="006074A5" w:rsidP="006074A5">
      <w:pPr>
        <w:bidi/>
        <w:rPr>
          <w:rFonts w:ascii="Narkisim" w:hAnsi="Narkisim" w:cs="Narkisim"/>
        </w:rPr>
      </w:pPr>
      <w:r w:rsidRPr="00AF1DC8">
        <w:rPr>
          <w:rFonts w:ascii="Narkisim" w:hAnsi="Narkisim" w:cs="Narkisim"/>
          <w:u w:val="single"/>
          <w:rtl/>
        </w:rPr>
        <w:t>השתא תיקום עליה באיסור אשת אח.</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(לעיל ח:</w:t>
      </w:r>
      <w:r w:rsidRPr="00AF1DC8">
        <w:rPr>
          <w:rFonts w:ascii="Narkisim" w:hAnsi="Narkisim" w:cs="Narkisim"/>
          <w:rtl/>
        </w:rPr>
        <w:t xml:space="preserve"> </w:t>
      </w:r>
      <w:r w:rsidRPr="00AF1DC8">
        <w:rPr>
          <w:rFonts w:ascii="Narkisim" w:hAnsi="Narkisim" w:cs="Narkisim"/>
          <w:sz w:val="20"/>
          <w:szCs w:val="20"/>
          <w:rtl/>
        </w:rPr>
        <w:t xml:space="preserve">ד"ה מלמד) </w:t>
      </w:r>
      <w:r w:rsidRPr="00AF1DC8">
        <w:rPr>
          <w:rFonts w:ascii="Narkisim" w:hAnsi="Narkisim" w:cs="Narkisim"/>
          <w:rtl/>
        </w:rPr>
        <w:t>כת' דביאה שניה ל"צ קרא, דסברא הוא דלא אמרה תורה לגרשה וכו'</w:t>
      </w:r>
      <w:r w:rsidRPr="00AF1DC8">
        <w:rPr>
          <w:rStyle w:val="ac"/>
          <w:rFonts w:ascii="Narkisim" w:hAnsi="Narkisim" w:cs="Narkisim"/>
          <w:rtl/>
        </w:rPr>
        <w:footnoteReference w:id="2280"/>
      </w:r>
      <w:r w:rsidRPr="00AF1DC8">
        <w:rPr>
          <w:rFonts w:ascii="Narkisim" w:hAnsi="Narkisim" w:cs="Narkisim"/>
          <w:rtl/>
        </w:rPr>
        <w:t>. וה</w:t>
      </w:r>
      <w:r w:rsidRPr="00AF1DC8">
        <w:rPr>
          <w:rFonts w:ascii="Narkisim" w:hAnsi="Narkisim" w:cs="Narkisim"/>
          <w:b/>
          <w:bCs/>
          <w:rtl/>
        </w:rPr>
        <w:t xml:space="preserve">תו"י </w:t>
      </w:r>
      <w:r w:rsidRPr="00AF1DC8">
        <w:rPr>
          <w:rFonts w:ascii="Narkisim" w:hAnsi="Narkisim" w:cs="Narkisim"/>
          <w:rtl/>
        </w:rPr>
        <w:t>הוסיף דכיון דהוה היתר גמור, לא צוה התורה להוציא מיד</w:t>
      </w:r>
      <w:r w:rsidRPr="00AF1DC8">
        <w:rPr>
          <w:rStyle w:val="ac"/>
          <w:rFonts w:ascii="Narkisim" w:hAnsi="Narkisim" w:cs="Narkisim"/>
          <w:rtl/>
        </w:rPr>
        <w:footnoteReference w:id="2281"/>
      </w:r>
      <w:r w:rsidRPr="00AF1DC8">
        <w:rPr>
          <w:rFonts w:ascii="Narkisim" w:hAnsi="Narkisim" w:cs="Narkisim"/>
        </w:rPr>
        <w:t xml:space="preserve">. </w:t>
      </w:r>
      <w:r w:rsidRPr="00AF1DC8">
        <w:rPr>
          <w:rFonts w:ascii="Narkisim" w:hAnsi="Narkisim" w:cs="Narkisim"/>
          <w:rtl/>
        </w:rPr>
        <w:t xml:space="preserve">ולפ"ז כוונת הגמ' כפשוטו, דאין היתר לאיסור אשת אח אחרי שייבם. </w:t>
      </w:r>
      <w:r w:rsidRPr="00AF1DC8">
        <w:rPr>
          <w:rFonts w:ascii="Narkisim" w:hAnsi="Narkisim" w:cs="Narkisim"/>
          <w:sz w:val="20"/>
          <w:szCs w:val="20"/>
          <w:rtl/>
        </w:rPr>
        <w:t>ובדברי ה</w:t>
      </w:r>
      <w:r w:rsidRPr="00AF1DC8">
        <w:rPr>
          <w:rFonts w:ascii="Narkisim" w:hAnsi="Narkisim" w:cs="Narkisim"/>
          <w:b/>
          <w:bCs/>
          <w:sz w:val="20"/>
          <w:szCs w:val="20"/>
          <w:rtl/>
        </w:rPr>
        <w:t>רמ"ה</w:t>
      </w:r>
      <w:r w:rsidRPr="00AF1DC8">
        <w:rPr>
          <w:rFonts w:ascii="Narkisim" w:hAnsi="Narkisim" w:cs="Narkisim"/>
          <w:sz w:val="20"/>
          <w:szCs w:val="20"/>
          <w:rtl/>
        </w:rPr>
        <w:t xml:space="preserve"> (הו' בסמוך) מבואר דמהכא ילפי' דאשת אח הותרה ולא דחויה</w:t>
      </w:r>
      <w:r w:rsidRPr="00AF1DC8">
        <w:rPr>
          <w:rFonts w:ascii="Narkisim" w:hAnsi="Narkisim" w:cs="Narkisim"/>
          <w:sz w:val="20"/>
          <w:szCs w:val="20"/>
        </w:rPr>
        <w:t>.</w:t>
      </w:r>
    </w:p>
    <w:p w14:paraId="7304AC65"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לדעת ה</w:t>
      </w:r>
      <w:r w:rsidRPr="00AF1DC8">
        <w:rPr>
          <w:rFonts w:ascii="Narkisim" w:hAnsi="Narkisim"/>
          <w:b/>
          <w:bCs/>
          <w:rtl/>
        </w:rPr>
        <w:t>רשב"א</w:t>
      </w:r>
      <w:r w:rsidRPr="00AF1DC8">
        <w:rPr>
          <w:rFonts w:ascii="Narkisim" w:hAnsi="Narkisim"/>
          <w:rtl/>
        </w:rPr>
        <w:t xml:space="preserve"> (לקמן מא.) דחל היתר אשת אח בשעת נפילה [ואף אם נעשית ערוה אח"כ, כשהותרה לא אמרי' דחוזרת לאיסור אשת אח], א"כ אמאי אחרי שגירש תיקום באיסור. [ולמש"כ האחרונים בדעת הרשב"א דכשנפקע מצב היבום חוזר לאיסורו ניחא]. וה</w:t>
      </w:r>
      <w:r w:rsidRPr="00AF1DC8">
        <w:rPr>
          <w:rFonts w:ascii="Narkisim" w:hAnsi="Narkisim"/>
          <w:b/>
          <w:bCs/>
          <w:rtl/>
        </w:rPr>
        <w:t>קובה"ע</w:t>
      </w:r>
      <w:r w:rsidRPr="00AF1DC8">
        <w:rPr>
          <w:rFonts w:ascii="Narkisim" w:hAnsi="Narkisim"/>
          <w:rtl/>
        </w:rPr>
        <w:t xml:space="preserve"> (א ח) תי' דלרשב"א קאי למ"ד הותרה ונאסרה אינו חוזר להיתירא, וא”כ כשנעשית ערוה חל איסור אשת אח</w:t>
      </w:r>
      <w:r w:rsidRPr="00AF1DC8">
        <w:rPr>
          <w:rFonts w:ascii="Narkisim" w:hAnsi="Narkisim"/>
        </w:rPr>
        <w:t>.</w:t>
      </w:r>
    </w:p>
    <w:p w14:paraId="15568665"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 xml:space="preserve">קר"א </w:t>
      </w:r>
      <w:r w:rsidRPr="00AF1DC8">
        <w:rPr>
          <w:rFonts w:ascii="Narkisim" w:hAnsi="Narkisim" w:cs="Narkisim"/>
          <w:rtl/>
        </w:rPr>
        <w:t xml:space="preserve">כת' דודאי היבמה עצמה לא גרע מצרתה, דלר' יוחנן (לעיל י:) עוברת רק בלא יבנה. אלא פי' דכוונת הגמ' באיסורא בעלמא וכמו צרה. </w:t>
      </w:r>
      <w:r w:rsidRPr="00AF1DC8">
        <w:rPr>
          <w:rFonts w:ascii="Narkisim" w:hAnsi="Narkisim" w:cs="Narkisim"/>
          <w:sz w:val="20"/>
          <w:szCs w:val="20"/>
          <w:rtl/>
        </w:rPr>
        <w:t>אך בלשון הגמ' מפורש דעובר באיסור אשת אח. וה</w:t>
      </w:r>
      <w:r w:rsidRPr="00AF1DC8">
        <w:rPr>
          <w:rFonts w:ascii="Narkisim" w:hAnsi="Narkisim" w:cs="Narkisim"/>
          <w:b/>
          <w:bCs/>
          <w:sz w:val="20"/>
          <w:szCs w:val="20"/>
          <w:rtl/>
        </w:rPr>
        <w:t>אחרונים</w:t>
      </w:r>
      <w:r w:rsidRPr="00AF1DC8">
        <w:rPr>
          <w:rFonts w:ascii="Narkisim" w:hAnsi="Narkisim" w:cs="Narkisim"/>
          <w:sz w:val="20"/>
          <w:szCs w:val="20"/>
          <w:rtl/>
        </w:rPr>
        <w:t xml:space="preserve"> הביאו מדבריו דהאיסור לא יבנה הוה מחמת שם אשת אח קלוש. [וע' מה שהו' בזה לעיל י:]</w:t>
      </w:r>
      <w:r w:rsidRPr="00AF1DC8">
        <w:rPr>
          <w:rFonts w:ascii="Narkisim" w:hAnsi="Narkisim" w:cs="Narkisim"/>
          <w:sz w:val="20"/>
          <w:szCs w:val="20"/>
        </w:rPr>
        <w:t>.</w:t>
      </w:r>
    </w:p>
    <w:p w14:paraId="336E9327" w14:textId="77777777" w:rsidR="006074A5" w:rsidRPr="00AF1DC8" w:rsidRDefault="006074A5" w:rsidP="006074A5">
      <w:pPr>
        <w:bidi/>
        <w:rPr>
          <w:rFonts w:ascii="Narkisim" w:hAnsi="Narkisim" w:cs="Narkisim"/>
        </w:rPr>
      </w:pPr>
      <w:r w:rsidRPr="00AF1DC8">
        <w:rPr>
          <w:rFonts w:ascii="Narkisim" w:hAnsi="Narkisim" w:cs="Narkisim"/>
          <w:u w:val="single"/>
          <w:rtl/>
        </w:rPr>
        <w:t>הרי היא כאשתו לכל דבר.</w:t>
      </w:r>
      <w:r w:rsidRPr="00AF1DC8">
        <w:rPr>
          <w:rFonts w:ascii="Narkisim" w:hAnsi="Narkisim" w:cs="Narkisim"/>
          <w:rtl/>
        </w:rPr>
        <w:t xml:space="preserve"> ומהך קרא ילפי' דהיבם קנאה להיות אשתו לכל דבר. [וע' לקמן נו. דאף ביאת אונס קנה לדברים הכתובים בפרשה]. וה</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sz w:val="20"/>
          <w:szCs w:val="20"/>
          <w:rtl/>
        </w:rPr>
        <w:t>(גר"ח סטנסל פב ב)</w:t>
      </w:r>
      <w:r w:rsidRPr="00AF1DC8">
        <w:rPr>
          <w:rFonts w:ascii="Narkisim" w:hAnsi="Narkisim" w:cs="Narkisim"/>
          <w:rtl/>
        </w:rPr>
        <w:t xml:space="preserve"> דנו האם </w:t>
      </w:r>
      <w:r w:rsidRPr="00AF1DC8">
        <w:rPr>
          <w:rFonts w:ascii="Narkisim" w:hAnsi="Narkisim" w:cs="Narkisim"/>
          <w:rtl/>
        </w:rPr>
        <w:lastRenderedPageBreak/>
        <w:t>עיקר מצוות יבום הוא מעשה ביאה, והקנין הוא תוצאת דין התורה</w:t>
      </w:r>
      <w:r w:rsidRPr="00AF1DC8">
        <w:rPr>
          <w:rStyle w:val="ac"/>
          <w:rFonts w:ascii="Narkisim" w:hAnsi="Narkisim" w:cs="Narkisim"/>
          <w:rtl/>
        </w:rPr>
        <w:footnoteReference w:id="2282"/>
      </w:r>
      <w:r w:rsidRPr="00AF1DC8">
        <w:rPr>
          <w:rFonts w:ascii="Narkisim" w:hAnsi="Narkisim" w:cs="Narkisim"/>
        </w:rPr>
        <w:t xml:space="preserve">. </w:t>
      </w:r>
      <w:r w:rsidRPr="00AF1DC8">
        <w:rPr>
          <w:rFonts w:ascii="Narkisim" w:hAnsi="Narkisim" w:cs="Narkisim"/>
          <w:rtl/>
        </w:rPr>
        <w:t>או דעיקר המצוה הוא הקנין.</w:t>
      </w:r>
      <w:r w:rsidRPr="00AF1DC8">
        <w:rPr>
          <w:rFonts w:ascii="Narkisim" w:hAnsi="Narkisim" w:cs="Narkisim"/>
          <w:sz w:val="20"/>
          <w:szCs w:val="20"/>
          <w:rtl/>
        </w:rPr>
        <w:t xml:space="preserve"> [ועפ”ז דנו ה</w:t>
      </w:r>
      <w:r w:rsidRPr="00AF1DC8">
        <w:rPr>
          <w:rFonts w:ascii="Narkisim" w:hAnsi="Narkisim" w:cs="Narkisim"/>
          <w:b/>
          <w:bCs/>
          <w:sz w:val="20"/>
          <w:szCs w:val="20"/>
          <w:rtl/>
        </w:rPr>
        <w:t>אחרונים</w:t>
      </w:r>
      <w:r w:rsidRPr="00AF1DC8">
        <w:rPr>
          <w:rFonts w:ascii="Narkisim" w:hAnsi="Narkisim" w:cs="Narkisim"/>
          <w:sz w:val="20"/>
          <w:szCs w:val="20"/>
          <w:rtl/>
        </w:rPr>
        <w:t xml:space="preserve"> דל”ש בזה מצוות צריכות כוונה]. וע' </w:t>
      </w:r>
      <w:r w:rsidRPr="00AF1DC8">
        <w:rPr>
          <w:rFonts w:ascii="Narkisim" w:hAnsi="Narkisim" w:cs="Narkisim"/>
          <w:b/>
          <w:bCs/>
          <w:sz w:val="20"/>
          <w:szCs w:val="20"/>
          <w:rtl/>
        </w:rPr>
        <w:t>ברכ"ש</w:t>
      </w:r>
      <w:r w:rsidRPr="00AF1DC8">
        <w:rPr>
          <w:rFonts w:ascii="Narkisim" w:hAnsi="Narkisim" w:cs="Narkisim"/>
          <w:sz w:val="20"/>
          <w:szCs w:val="20"/>
          <w:rtl/>
        </w:rPr>
        <w:t xml:space="preserve"> (ב)</w:t>
      </w:r>
      <w:r w:rsidRPr="00AF1DC8">
        <w:rPr>
          <w:rFonts w:ascii="Narkisim" w:hAnsi="Narkisim" w:cs="Narkisim"/>
          <w:sz w:val="20"/>
          <w:szCs w:val="20"/>
        </w:rPr>
        <w:t>.</w:t>
      </w:r>
    </w:p>
    <w:p w14:paraId="34101D6E"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מאירי</w:t>
      </w:r>
      <w:r w:rsidRPr="00AF1DC8">
        <w:rPr>
          <w:rFonts w:ascii="Narkisim" w:hAnsi="Narkisim" w:cs="Narkisim"/>
          <w:rtl/>
        </w:rPr>
        <w:t xml:space="preserve"> (ח:) ביאר דנפקע האישות שמצד אחיו לגמרי [והוה מכח קנין היבום]. אבל ב</w:t>
      </w:r>
      <w:r w:rsidRPr="00AF1DC8">
        <w:rPr>
          <w:rFonts w:ascii="Narkisim" w:hAnsi="Narkisim" w:cs="Narkisim"/>
          <w:b/>
          <w:bCs/>
          <w:rtl/>
        </w:rPr>
        <w:t>תוס'</w:t>
      </w:r>
      <w:r w:rsidRPr="00AF1DC8">
        <w:rPr>
          <w:rFonts w:ascii="Narkisim" w:hAnsi="Narkisim" w:cs="Narkisim"/>
          <w:rtl/>
        </w:rPr>
        <w:t xml:space="preserve"> (כ: ד"ה אטו) מבואר דס"ד דהותרו אף שאר איסורין. ומשמע דעצם מה שהיא אשתו [בהיתר] גורם שאינה מותרת לו. וצ"ב</w:t>
      </w:r>
      <w:r w:rsidRPr="00AF1DC8">
        <w:rPr>
          <w:rFonts w:ascii="Narkisim" w:hAnsi="Narkisim" w:cs="Narkisim"/>
        </w:rPr>
        <w:t>.</w:t>
      </w:r>
    </w:p>
    <w:p w14:paraId="6945CBC4"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יד רמ"ה</w:t>
      </w:r>
      <w:r w:rsidRPr="00AF1DC8">
        <w:rPr>
          <w:rFonts w:ascii="Narkisim" w:hAnsi="Narkisim"/>
          <w:rtl/>
        </w:rPr>
        <w:t xml:space="preserve"> (סנהדרין נג: הו' לעיל ג: וכ:) הביא מסוגיין דאיסור אשת אח הותרה במקום שאין לו בנים. ואע"ג דלא מקיים מצוות יבום אלא בביאה ראשונה [דבביאה שניה לא אמרי' עדל"ת]. והוכיח מזה דהותרה איסור אשת אח לגמרי כשמת בלא בנים [ודלא כתוס' (לעיל ג:) דמצווה יבום דוחה לאשת אח]. [ומבואר בדבריו ד'נעשית כאשתו' אינו היתר בפנ"ע אלא גילוי דהאיסור אשת אח הותר לגמרי משעת נפילה]</w:t>
      </w:r>
      <w:r w:rsidRPr="00AF1DC8">
        <w:rPr>
          <w:rFonts w:ascii="Narkisim" w:hAnsi="Narkisim"/>
        </w:rPr>
        <w:t>.</w:t>
      </w:r>
    </w:p>
    <w:p w14:paraId="35A710FF" w14:textId="77777777" w:rsidR="006074A5" w:rsidRPr="00AF1DC8" w:rsidRDefault="006074A5" w:rsidP="006074A5">
      <w:pPr>
        <w:bidi/>
        <w:rPr>
          <w:rFonts w:ascii="Narkisim" w:hAnsi="Narkisim" w:cs="Narkisim"/>
        </w:rPr>
      </w:pPr>
      <w:r w:rsidRPr="00AF1DC8">
        <w:rPr>
          <w:rFonts w:ascii="Narkisim" w:hAnsi="Narkisim" w:cs="Narkisim"/>
          <w:u w:val="single"/>
          <w:rtl/>
        </w:rPr>
        <w:t>ובלבד שתהא כתובתה על נכסי בעלה הראשון וכו'</w:t>
      </w:r>
      <w:r w:rsidRPr="00AF1DC8">
        <w:rPr>
          <w:rFonts w:ascii="Narkisim" w:hAnsi="Narkisim" w:cs="Narkisim"/>
          <w:rtl/>
        </w:rPr>
        <w:t>. ה</w:t>
      </w:r>
      <w:r w:rsidRPr="00AF1DC8">
        <w:rPr>
          <w:rFonts w:ascii="Narkisim" w:hAnsi="Narkisim" w:cs="Narkisim"/>
          <w:b/>
          <w:bCs/>
          <w:rtl/>
        </w:rPr>
        <w:t>ב"ח</w:t>
      </w:r>
      <w:r w:rsidRPr="00AF1DC8">
        <w:rPr>
          <w:rFonts w:ascii="Narkisim" w:hAnsi="Narkisim" w:cs="Narkisim"/>
          <w:rtl/>
        </w:rPr>
        <w:t xml:space="preserve"> (קסו) כת' דה"מ מדינא. אבל חכמים תקנו שיקדש את היבמה [מאמר דרבנן], וכותב לה כתובה</w:t>
      </w:r>
      <w:r w:rsidRPr="00AF1DC8">
        <w:rPr>
          <w:rStyle w:val="ac"/>
          <w:rFonts w:ascii="Narkisim" w:hAnsi="Narkisim" w:cs="Narkisim"/>
          <w:rtl/>
        </w:rPr>
        <w:footnoteReference w:id="2283"/>
      </w:r>
      <w:r w:rsidRPr="00AF1DC8">
        <w:rPr>
          <w:rFonts w:ascii="Narkisim" w:hAnsi="Narkisim" w:cs="Narkisim"/>
        </w:rPr>
        <w:t xml:space="preserve">. </w:t>
      </w:r>
      <w:r w:rsidRPr="00AF1DC8">
        <w:rPr>
          <w:rFonts w:ascii="Narkisim" w:hAnsi="Narkisim" w:cs="Narkisim"/>
          <w:rtl/>
        </w:rPr>
        <w:t>וא"כ חיוב הכתובה על היבם [אף היכא דיש לה מראשון]. וה</w:t>
      </w:r>
      <w:r w:rsidRPr="00AF1DC8">
        <w:rPr>
          <w:rFonts w:ascii="Narkisim" w:hAnsi="Narkisim" w:cs="Narkisim"/>
          <w:b/>
          <w:bCs/>
          <w:rtl/>
        </w:rPr>
        <w:t>בי"ש</w:t>
      </w:r>
      <w:r w:rsidRPr="00AF1DC8">
        <w:rPr>
          <w:rFonts w:ascii="Narkisim" w:hAnsi="Narkisim" w:cs="Narkisim"/>
          <w:rtl/>
        </w:rPr>
        <w:t xml:space="preserve"> (קסו ד) חלק דמדברי ה</w:t>
      </w:r>
      <w:r w:rsidRPr="00AF1DC8">
        <w:rPr>
          <w:rFonts w:ascii="Narkisim" w:hAnsi="Narkisim" w:cs="Narkisim"/>
          <w:b/>
          <w:bCs/>
          <w:rtl/>
        </w:rPr>
        <w:t>טור</w:t>
      </w:r>
      <w:r w:rsidRPr="00AF1DC8">
        <w:rPr>
          <w:rFonts w:ascii="Narkisim" w:hAnsi="Narkisim" w:cs="Narkisim"/>
          <w:rtl/>
        </w:rPr>
        <w:t xml:space="preserve"> ו</w:t>
      </w:r>
      <w:r w:rsidRPr="00AF1DC8">
        <w:rPr>
          <w:rFonts w:ascii="Narkisim" w:hAnsi="Narkisim" w:cs="Narkisim"/>
          <w:b/>
          <w:bCs/>
          <w:rtl/>
        </w:rPr>
        <w:t>שלט"ג</w:t>
      </w:r>
      <w:r w:rsidRPr="00AF1DC8">
        <w:rPr>
          <w:rFonts w:ascii="Narkisim" w:hAnsi="Narkisim" w:cs="Narkisim"/>
          <w:rtl/>
        </w:rPr>
        <w:t xml:space="preserve"> משמע דאף היכא דקידש ע"פ תקנ"ח</w:t>
      </w:r>
      <w:r w:rsidRPr="00AF1DC8">
        <w:rPr>
          <w:rStyle w:val="ac"/>
          <w:rFonts w:ascii="Narkisim" w:hAnsi="Narkisim" w:cs="Narkisim"/>
          <w:rtl/>
        </w:rPr>
        <w:footnoteReference w:id="2284"/>
      </w:r>
      <w:r w:rsidRPr="00AF1DC8">
        <w:rPr>
          <w:rFonts w:ascii="Narkisim" w:hAnsi="Narkisim" w:cs="Narkisim"/>
        </w:rPr>
        <w:t xml:space="preserve">, </w:t>
      </w:r>
      <w:r w:rsidRPr="00AF1DC8">
        <w:rPr>
          <w:rFonts w:ascii="Narkisim" w:hAnsi="Narkisim" w:cs="Narkisim"/>
          <w:rtl/>
        </w:rPr>
        <w:t>כתובתה על נכסי הראשון</w:t>
      </w:r>
      <w:r w:rsidRPr="00AF1DC8">
        <w:rPr>
          <w:rFonts w:ascii="Narkisim" w:hAnsi="Narkisim" w:cs="Narkisim"/>
        </w:rPr>
        <w:t>.</w:t>
      </w:r>
    </w:p>
    <w:p w14:paraId="6543C49A" w14:textId="77777777" w:rsidR="006074A5" w:rsidRPr="00AF1DC8" w:rsidRDefault="006074A5" w:rsidP="006074A5">
      <w:pPr>
        <w:bidi/>
        <w:rPr>
          <w:rFonts w:ascii="Narkisim" w:hAnsi="Narkisim" w:cs="Narkisim"/>
        </w:rPr>
      </w:pPr>
      <w:r w:rsidRPr="00AF1DC8">
        <w:rPr>
          <w:rFonts w:ascii="Narkisim" w:hAnsi="Narkisim" w:cs="Narkisim"/>
          <w:u w:val="single"/>
          <w:rtl/>
        </w:rPr>
        <w:t>מ"ט אשה הקנו לו מן השמים.</w:t>
      </w:r>
      <w:r w:rsidRPr="00AF1DC8">
        <w:rPr>
          <w:rFonts w:ascii="Narkisim" w:hAnsi="Narkisim" w:cs="Narkisim"/>
          <w:rtl/>
        </w:rPr>
        <w:t xml:space="preserve"> ה</w:t>
      </w:r>
      <w:r w:rsidRPr="00AF1DC8">
        <w:rPr>
          <w:rFonts w:ascii="Narkisim" w:hAnsi="Narkisim" w:cs="Narkisim"/>
          <w:b/>
          <w:bCs/>
          <w:rtl/>
        </w:rPr>
        <w:t>תו"י</w:t>
      </w:r>
      <w:r w:rsidRPr="00AF1DC8">
        <w:rPr>
          <w:rFonts w:ascii="Narkisim" w:hAnsi="Narkisim" w:cs="Narkisim"/>
          <w:rtl/>
        </w:rPr>
        <w:t xml:space="preserve"> כת' דהנידון מ"ט אין לה ב' כתובות</w:t>
      </w:r>
      <w:r w:rsidRPr="00AF1DC8">
        <w:rPr>
          <w:rStyle w:val="ac"/>
          <w:rFonts w:ascii="Narkisim" w:hAnsi="Narkisim" w:cs="Narkisim"/>
          <w:rtl/>
        </w:rPr>
        <w:footnoteReference w:id="2285"/>
      </w:r>
      <w:r w:rsidRPr="00AF1DC8">
        <w:rPr>
          <w:rFonts w:ascii="Narkisim" w:hAnsi="Narkisim" w:cs="Narkisim"/>
        </w:rPr>
        <w:t xml:space="preserve"> </w:t>
      </w:r>
      <w:r w:rsidRPr="00AF1DC8">
        <w:rPr>
          <w:rFonts w:ascii="Narkisim" w:hAnsi="Narkisim" w:cs="Narkisim"/>
          <w:sz w:val="20"/>
          <w:szCs w:val="20"/>
          <w:rtl/>
        </w:rPr>
        <w:t>[וכ”כ ה</w:t>
      </w:r>
      <w:r w:rsidRPr="00AF1DC8">
        <w:rPr>
          <w:rFonts w:ascii="Narkisim" w:hAnsi="Narkisim" w:cs="Narkisim"/>
          <w:b/>
          <w:bCs/>
          <w:sz w:val="20"/>
          <w:szCs w:val="20"/>
          <w:rtl/>
        </w:rPr>
        <w:t>ראשונים</w:t>
      </w:r>
      <w:r w:rsidRPr="00AF1DC8">
        <w:rPr>
          <w:rFonts w:ascii="Narkisim" w:hAnsi="Narkisim" w:cs="Narkisim"/>
          <w:sz w:val="20"/>
          <w:szCs w:val="20"/>
          <w:rtl/>
        </w:rPr>
        <w:t xml:space="preserve"> כתובות פב:]</w:t>
      </w:r>
      <w:r w:rsidRPr="00AF1DC8">
        <w:rPr>
          <w:rFonts w:ascii="Narkisim" w:hAnsi="Narkisim" w:cs="Narkisim"/>
          <w:rtl/>
        </w:rPr>
        <w:t xml:space="preserve">. אבל </w:t>
      </w:r>
      <w:r w:rsidRPr="00AF1DC8">
        <w:rPr>
          <w:rFonts w:ascii="Narkisim" w:hAnsi="Narkisim" w:cs="Narkisim"/>
          <w:b/>
          <w:bCs/>
          <w:rtl/>
        </w:rPr>
        <w:t>תוס'</w:t>
      </w:r>
      <w:r w:rsidRPr="00AF1DC8">
        <w:rPr>
          <w:rFonts w:ascii="Narkisim" w:hAnsi="Narkisim" w:cs="Narkisim"/>
          <w:rtl/>
        </w:rPr>
        <w:t xml:space="preserve"> (ד"ה אשה) משמע דהנידון האם היבם מחוייב כתובה או הבעל</w:t>
      </w:r>
      <w:r w:rsidRPr="00AF1DC8">
        <w:rPr>
          <w:rFonts w:ascii="Narkisim" w:hAnsi="Narkisim" w:cs="Narkisim"/>
        </w:rPr>
        <w:t>.</w:t>
      </w:r>
    </w:p>
    <w:p w14:paraId="73DA2A1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w:t>
      </w:r>
      <w:r w:rsidRPr="00AF1DC8">
        <w:rPr>
          <w:rFonts w:ascii="Narkisim" w:hAnsi="Narkisim"/>
          <w:sz w:val="20"/>
          <w:szCs w:val="20"/>
          <w:rtl/>
        </w:rPr>
        <w:t>(לח בהשמטה)</w:t>
      </w:r>
      <w:r w:rsidRPr="00AF1DC8">
        <w:rPr>
          <w:rFonts w:ascii="Narkisim" w:hAnsi="Narkisim"/>
          <w:rtl/>
        </w:rPr>
        <w:t xml:space="preserve"> ביאר דיש ב' סיבות לחייב כתובה, א' משום שקנה את האשה [</w:t>
      </w:r>
      <w:r w:rsidRPr="00AF1DC8">
        <w:rPr>
          <w:rFonts w:ascii="Narkisim" w:hAnsi="Narkisim"/>
          <w:sz w:val="20"/>
          <w:szCs w:val="20"/>
          <w:rtl/>
        </w:rPr>
        <w:t>ובזה הגמ' נותנת טעם דאשה הקנו מהשמים, ואינו קנין שלו</w:t>
      </w:r>
      <w:r w:rsidRPr="00AF1DC8">
        <w:rPr>
          <w:rFonts w:ascii="Narkisim" w:hAnsi="Narkisim"/>
          <w:rtl/>
        </w:rPr>
        <w:t xml:space="preserve">]. וב' שלא תהא קלה בעיניו להוציאה. </w:t>
      </w:r>
      <w:r w:rsidRPr="00AF1DC8">
        <w:rPr>
          <w:rFonts w:ascii="Narkisim" w:hAnsi="Narkisim"/>
          <w:sz w:val="20"/>
          <w:szCs w:val="20"/>
          <w:rtl/>
        </w:rPr>
        <w:t>ולזה בסוגיין הטעם משום דיש חיוב על נכסי בעלה ראשון</w:t>
      </w:r>
      <w:r w:rsidRPr="00AF1DC8">
        <w:rPr>
          <w:rFonts w:ascii="Narkisim" w:hAnsi="Narkisim"/>
          <w:sz w:val="20"/>
          <w:szCs w:val="20"/>
        </w:rPr>
        <w:t>.</w:t>
      </w:r>
    </w:p>
    <w:p w14:paraId="138DFF57"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ב</w:t>
      </w:r>
      <w:r w:rsidRPr="00AF1DC8">
        <w:rPr>
          <w:rFonts w:ascii="Narkisim" w:hAnsi="Narkisim"/>
          <w:b/>
          <w:bCs/>
          <w:rtl/>
        </w:rPr>
        <w:t>שו"ת הרמב"ם</w:t>
      </w:r>
      <w:r w:rsidRPr="00AF1DC8">
        <w:rPr>
          <w:rFonts w:ascii="Narkisim" w:hAnsi="Narkisim"/>
          <w:rtl/>
        </w:rPr>
        <w:t xml:space="preserve"> (שעג) ביאר שהייבום מין אחר ממיני נישואין. דהנישואין נגמרים ונעשים במיתה, ואין הדבר תלוי ברצון</w:t>
      </w:r>
      <w:r w:rsidRPr="00AF1DC8">
        <w:rPr>
          <w:rStyle w:val="ac"/>
          <w:rFonts w:ascii="Narkisim" w:hAnsi="Narkisim"/>
          <w:rtl/>
        </w:rPr>
        <w:footnoteReference w:id="2286"/>
      </w:r>
      <w:r w:rsidRPr="00AF1DC8">
        <w:rPr>
          <w:rFonts w:ascii="Narkisim" w:hAnsi="Narkisim"/>
        </w:rPr>
        <w:t xml:space="preserve">. </w:t>
      </w:r>
      <w:r w:rsidRPr="00AF1DC8">
        <w:rPr>
          <w:rFonts w:ascii="Narkisim" w:hAnsi="Narkisim"/>
          <w:rtl/>
        </w:rPr>
        <w:t>ועפ"ז כת' דמי שנשבע שלא ישא אשה על אשתו, רשאי לייבם. דלא הוה מין הנישואין. ועוד דהוה נישואין בע"כ, דמחוייב במצווה</w:t>
      </w:r>
      <w:r w:rsidRPr="00AF1DC8">
        <w:rPr>
          <w:rFonts w:ascii="Narkisim" w:hAnsi="Narkisim"/>
        </w:rPr>
        <w:t>.</w:t>
      </w:r>
    </w:p>
    <w:p w14:paraId="498962A1" w14:textId="77777777" w:rsidR="006074A5" w:rsidRPr="00AF1DC8" w:rsidRDefault="006074A5" w:rsidP="006074A5">
      <w:pPr>
        <w:bidi/>
        <w:rPr>
          <w:rFonts w:ascii="Narkisim" w:hAnsi="Narkisim" w:cs="Narkisim"/>
        </w:rPr>
      </w:pPr>
      <w:r w:rsidRPr="00AF1DC8">
        <w:rPr>
          <w:rFonts w:ascii="Narkisim" w:hAnsi="Narkisim" w:cs="Narkisim"/>
          <w:u w:val="single"/>
          <w:rtl/>
        </w:rPr>
        <w:t>ואי ל"ל מן הראשון תקינו לו משני.</w:t>
      </w:r>
      <w:r w:rsidRPr="00AF1DC8">
        <w:rPr>
          <w:rFonts w:ascii="Narkisim" w:hAnsi="Narkisim" w:cs="Narkisim"/>
          <w:rtl/>
        </w:rPr>
        <w:t xml:space="preserve"> מבואר בתוס' דאף שבשעת יבום היו לו נכסים, ואח"כ אשתדף. חכמים תקנו כתובה משני [ויש לו זכות מכאן ולהבא, משעה שאין לו נכסים]. אבל ה</w:t>
      </w:r>
      <w:r w:rsidRPr="00AF1DC8">
        <w:rPr>
          <w:rFonts w:ascii="Narkisim" w:hAnsi="Narkisim" w:cs="Narkisim"/>
          <w:b/>
          <w:bCs/>
          <w:rtl/>
        </w:rPr>
        <w:t xml:space="preserve">שיטמ"ק </w:t>
      </w:r>
      <w:r w:rsidRPr="00AF1DC8">
        <w:rPr>
          <w:rFonts w:ascii="Narkisim" w:hAnsi="Narkisim" w:cs="Narkisim"/>
          <w:rtl/>
        </w:rPr>
        <w:t xml:space="preserve">(כתובות בשם תלמידי </w:t>
      </w:r>
      <w:r w:rsidRPr="00AF1DC8">
        <w:rPr>
          <w:rFonts w:ascii="Narkisim" w:hAnsi="Narkisim" w:cs="Narkisim"/>
          <w:b/>
          <w:bCs/>
          <w:rtl/>
        </w:rPr>
        <w:t>רבינו</w:t>
      </w:r>
      <w:r w:rsidRPr="00AF1DC8">
        <w:rPr>
          <w:rFonts w:ascii="Narkisim" w:hAnsi="Narkisim" w:cs="Narkisim"/>
          <w:rtl/>
        </w:rPr>
        <w:t xml:space="preserve"> </w:t>
      </w:r>
      <w:r w:rsidRPr="00AF1DC8">
        <w:rPr>
          <w:rFonts w:ascii="Narkisim" w:hAnsi="Narkisim" w:cs="Narkisim"/>
          <w:b/>
          <w:bCs/>
          <w:rtl/>
        </w:rPr>
        <w:t>יונה</w:t>
      </w:r>
      <w:r w:rsidRPr="00AF1DC8">
        <w:rPr>
          <w:rFonts w:ascii="Narkisim" w:hAnsi="Narkisim" w:cs="Narkisim"/>
          <w:rtl/>
        </w:rPr>
        <w:t>) כת' דאם בשעת יבום היו נכסים למת לא תקנו כתובה משני, אף דאח”כ אשתדוף</w:t>
      </w:r>
      <w:r w:rsidRPr="00AF1DC8">
        <w:rPr>
          <w:rStyle w:val="ac"/>
          <w:rFonts w:ascii="Narkisim" w:hAnsi="Narkisim" w:cs="Narkisim"/>
          <w:rtl/>
        </w:rPr>
        <w:footnoteReference w:id="2287"/>
      </w:r>
      <w:r w:rsidRPr="00AF1DC8">
        <w:rPr>
          <w:rFonts w:ascii="Narkisim" w:hAnsi="Narkisim" w:cs="Narkisim"/>
        </w:rPr>
        <w:t>.</w:t>
      </w:r>
    </w:p>
    <w:p w14:paraId="369992E8" w14:textId="77777777" w:rsidR="006074A5" w:rsidRPr="00AF1DC8" w:rsidRDefault="006074A5" w:rsidP="006074A5">
      <w:pPr>
        <w:bidi/>
        <w:rPr>
          <w:rFonts w:ascii="Narkisim" w:hAnsi="Narkisim" w:cs="Narkisim"/>
        </w:rPr>
      </w:pPr>
      <w:r w:rsidRPr="00AF1DC8">
        <w:rPr>
          <w:rFonts w:ascii="Narkisim" w:hAnsi="Narkisim" w:cs="Narkisim"/>
          <w:u w:val="single"/>
          <w:rtl/>
        </w:rPr>
        <w:t>שם. תקינו לו משני</w:t>
      </w:r>
      <w:r w:rsidRPr="00AF1DC8">
        <w:rPr>
          <w:rFonts w:ascii="Narkisim" w:hAnsi="Narkisim" w:cs="Narkisim"/>
          <w:rtl/>
        </w:rPr>
        <w:t>. ה</w:t>
      </w:r>
      <w:r w:rsidRPr="00AF1DC8">
        <w:rPr>
          <w:rFonts w:ascii="Narkisim" w:hAnsi="Narkisim" w:cs="Narkisim"/>
          <w:b/>
          <w:bCs/>
          <w:rtl/>
        </w:rPr>
        <w:t>רמב"ן</w:t>
      </w:r>
      <w:r w:rsidRPr="00AF1DC8">
        <w:rPr>
          <w:rFonts w:ascii="Narkisim" w:hAnsi="Narkisim" w:cs="Narkisim"/>
          <w:rtl/>
        </w:rPr>
        <w:t xml:space="preserve"> </w:t>
      </w:r>
      <w:r w:rsidRPr="00AF1DC8">
        <w:rPr>
          <w:rFonts w:ascii="Narkisim" w:hAnsi="Narkisim" w:cs="Narkisim"/>
          <w:sz w:val="20"/>
          <w:szCs w:val="20"/>
          <w:rtl/>
        </w:rPr>
        <w:t>(כתובות פב:)</w:t>
      </w:r>
      <w:r w:rsidRPr="00AF1DC8">
        <w:rPr>
          <w:rFonts w:ascii="Narkisim" w:hAnsi="Narkisim" w:cs="Narkisim"/>
          <w:rtl/>
        </w:rPr>
        <w:t xml:space="preserve"> כת' דתקנו משני מנה, דהוה אלמנה</w:t>
      </w:r>
      <w:r w:rsidRPr="00AF1DC8">
        <w:rPr>
          <w:rStyle w:val="ac"/>
          <w:rFonts w:ascii="Narkisim" w:hAnsi="Narkisim" w:cs="Narkisim"/>
          <w:rtl/>
        </w:rPr>
        <w:footnoteReference w:id="2288"/>
      </w:r>
      <w:r w:rsidRPr="00AF1DC8">
        <w:rPr>
          <w:rFonts w:ascii="Narkisim" w:hAnsi="Narkisim" w:cs="Narkisim"/>
        </w:rPr>
        <w:t xml:space="preserve">. </w:t>
      </w:r>
      <w:r w:rsidRPr="00AF1DC8">
        <w:rPr>
          <w:rFonts w:ascii="Narkisim" w:hAnsi="Narkisim" w:cs="Narkisim"/>
          <w:rtl/>
        </w:rPr>
        <w:t>וכ"פ 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 w:val="20"/>
          <w:szCs w:val="20"/>
          <w:rtl/>
        </w:rPr>
        <w:t>(אישות כב יד)</w:t>
      </w:r>
      <w:r w:rsidRPr="00AF1DC8">
        <w:rPr>
          <w:rFonts w:ascii="Narkisim" w:hAnsi="Narkisim" w:cs="Narkisim"/>
          <w:rtl/>
        </w:rPr>
        <w:t>. אבל ה</w:t>
      </w:r>
      <w:r w:rsidRPr="00AF1DC8">
        <w:rPr>
          <w:rFonts w:ascii="Narkisim" w:hAnsi="Narkisim" w:cs="Narkisim"/>
          <w:b/>
          <w:bCs/>
          <w:rtl/>
        </w:rPr>
        <w:t>שיטמ"ק</w:t>
      </w:r>
      <w:r w:rsidRPr="00AF1DC8">
        <w:rPr>
          <w:rFonts w:ascii="Narkisim" w:hAnsi="Narkisim" w:cs="Narkisim"/>
          <w:rtl/>
        </w:rPr>
        <w:t xml:space="preserve"> </w:t>
      </w:r>
      <w:r w:rsidRPr="00AF1DC8">
        <w:rPr>
          <w:rFonts w:ascii="Narkisim" w:hAnsi="Narkisim" w:cs="Narkisim"/>
          <w:sz w:val="20"/>
          <w:szCs w:val="20"/>
          <w:rtl/>
        </w:rPr>
        <w:t xml:space="preserve">(שם) </w:t>
      </w:r>
      <w:r w:rsidRPr="00AF1DC8">
        <w:rPr>
          <w:rFonts w:ascii="Narkisim" w:hAnsi="Narkisim" w:cs="Narkisim"/>
          <w:rtl/>
        </w:rPr>
        <w:t>הביא בשם ה</w:t>
      </w:r>
      <w:r w:rsidRPr="00AF1DC8">
        <w:rPr>
          <w:rFonts w:ascii="Narkisim" w:hAnsi="Narkisim" w:cs="Narkisim"/>
          <w:b/>
          <w:bCs/>
          <w:rtl/>
        </w:rPr>
        <w:t>ריב"ש</w:t>
      </w:r>
      <w:r w:rsidRPr="00AF1DC8">
        <w:rPr>
          <w:rFonts w:ascii="Narkisim" w:hAnsi="Narkisim" w:cs="Narkisim"/>
          <w:sz w:val="20"/>
          <w:szCs w:val="20"/>
          <w:rtl/>
        </w:rPr>
        <w:t xml:space="preserve"> (וכ"כ הרא"ה שם) </w:t>
      </w:r>
      <w:r w:rsidRPr="00AF1DC8">
        <w:rPr>
          <w:rFonts w:ascii="Narkisim" w:hAnsi="Narkisim" w:cs="Narkisim"/>
          <w:rtl/>
        </w:rPr>
        <w:t>דיש לה מאתיים, דכל שיש לה על הראשון תקנו מהב</w:t>
      </w:r>
      <w:r w:rsidRPr="00AF1DC8">
        <w:rPr>
          <w:rFonts w:ascii="Narkisim" w:hAnsi="Narkisim" w:cs="Narkisim"/>
        </w:rPr>
        <w:t>'.</w:t>
      </w:r>
    </w:p>
    <w:p w14:paraId="3CA58EA5" w14:textId="77777777" w:rsidR="006074A5" w:rsidRPr="00AF1DC8" w:rsidRDefault="006074A5" w:rsidP="006074A5">
      <w:pPr>
        <w:bidi/>
        <w:rPr>
          <w:rFonts w:ascii="Narkisim" w:hAnsi="Narkisim" w:cs="Narkisim"/>
        </w:rPr>
      </w:pPr>
      <w:r w:rsidRPr="00AF1DC8">
        <w:rPr>
          <w:rFonts w:ascii="Narkisim" w:hAnsi="Narkisim" w:cs="Narkisim"/>
          <w:u w:val="single"/>
          <w:rtl/>
        </w:rPr>
        <w:t>תוד"ה אשה.</w:t>
      </w:r>
      <w:r w:rsidRPr="00AF1DC8">
        <w:rPr>
          <w:rFonts w:ascii="Narkisim" w:hAnsi="Narkisim" w:cs="Narkisim"/>
          <w:rtl/>
        </w:rPr>
        <w:t xml:space="preserve"> וא"ת מה מרויח וכו'. וה</w:t>
      </w:r>
      <w:r w:rsidRPr="00AF1DC8">
        <w:rPr>
          <w:rFonts w:ascii="Narkisim" w:hAnsi="Narkisim" w:cs="Narkisim"/>
          <w:b/>
          <w:bCs/>
          <w:rtl/>
        </w:rPr>
        <w:t>תוי"ט</w:t>
      </w:r>
      <w:r w:rsidRPr="00AF1DC8">
        <w:rPr>
          <w:rFonts w:ascii="Narkisim" w:hAnsi="Narkisim" w:cs="Narkisim"/>
          <w:rtl/>
        </w:rPr>
        <w:t xml:space="preserve"> (ד ד) תי' דיש נפק"מ לצד (רמב"ן הנ"ל) דתקנו מהיבם רק מנה. ואילו אחיו המת נתחייב מאתיים</w:t>
      </w:r>
      <w:r w:rsidRPr="00AF1DC8">
        <w:rPr>
          <w:rStyle w:val="ac"/>
          <w:rFonts w:ascii="Narkisim" w:hAnsi="Narkisim" w:cs="Narkisim"/>
          <w:rtl/>
        </w:rPr>
        <w:footnoteReference w:id="2289"/>
      </w:r>
      <w:r w:rsidRPr="00AF1DC8">
        <w:rPr>
          <w:rFonts w:ascii="Narkisim" w:hAnsi="Narkisim" w:cs="Narkisim"/>
        </w:rPr>
        <w:t xml:space="preserve">. </w:t>
      </w:r>
      <w:r w:rsidRPr="00AF1DC8">
        <w:rPr>
          <w:rFonts w:ascii="Narkisim" w:hAnsi="Narkisim" w:cs="Narkisim"/>
          <w:rtl/>
        </w:rPr>
        <w:t>[אך מדברי התוס' משמע דהק' דמשמע דהיבם מרויח בזה</w:t>
      </w:r>
      <w:r w:rsidRPr="00AF1DC8">
        <w:rPr>
          <w:rStyle w:val="ac"/>
          <w:rFonts w:ascii="Narkisim" w:hAnsi="Narkisim" w:cs="Narkisim"/>
          <w:rtl/>
        </w:rPr>
        <w:footnoteReference w:id="2290"/>
      </w:r>
      <w:r w:rsidRPr="00AF1DC8">
        <w:rPr>
          <w:rFonts w:ascii="Narkisim" w:hAnsi="Narkisim" w:cs="Narkisim"/>
        </w:rPr>
        <w:t xml:space="preserve">. </w:t>
      </w:r>
      <w:r w:rsidRPr="00AF1DC8">
        <w:rPr>
          <w:rFonts w:ascii="Narkisim" w:hAnsi="Narkisim" w:cs="Narkisim"/>
          <w:rtl/>
        </w:rPr>
        <w:t>ולא רק מה נפק"מ]</w:t>
      </w:r>
      <w:r w:rsidRPr="00AF1DC8">
        <w:rPr>
          <w:rFonts w:ascii="Narkisim" w:hAnsi="Narkisim" w:cs="Narkisim"/>
        </w:rPr>
        <w:t>.</w:t>
      </w:r>
    </w:p>
    <w:p w14:paraId="365E2AE8" w14:textId="77777777" w:rsidR="006074A5" w:rsidRPr="00AF1DC8" w:rsidRDefault="006074A5" w:rsidP="006074A5">
      <w:pPr>
        <w:bidi/>
        <w:rPr>
          <w:rFonts w:ascii="Narkisim" w:hAnsi="Narkisim" w:cs="Narkisim"/>
        </w:rPr>
      </w:pPr>
      <w:r w:rsidRPr="00AF1DC8">
        <w:rPr>
          <w:rFonts w:ascii="Narkisim" w:hAnsi="Narkisim" w:cs="Narkisim"/>
          <w:u w:val="single"/>
          <w:rtl/>
        </w:rPr>
        <w:lastRenderedPageBreak/>
        <w:t>בא"ד וכ"ת שאם מכר הראשון נכסיו טרפא מלקוחות וכו'</w:t>
      </w:r>
      <w:r w:rsidRPr="00AF1DC8">
        <w:rPr>
          <w:rFonts w:ascii="Narkisim" w:hAnsi="Narkisim" w:cs="Narkisim"/>
          <w:rtl/>
        </w:rPr>
        <w:t xml:space="preserve">. ותוס' דחו. אבל </w:t>
      </w:r>
      <w:r w:rsidRPr="00AF1DC8">
        <w:rPr>
          <w:rFonts w:ascii="Narkisim" w:hAnsi="Narkisim" w:cs="Narkisim"/>
          <w:b/>
          <w:bCs/>
          <w:rtl/>
        </w:rPr>
        <w:t>תוס</w:t>
      </w:r>
      <w:r w:rsidRPr="00AF1DC8">
        <w:rPr>
          <w:rFonts w:ascii="Narkisim" w:hAnsi="Narkisim" w:cs="Narkisim"/>
          <w:rtl/>
        </w:rPr>
        <w:t>' (כתובות פא. ד"ה הרוצה, וכ”פ ה</w:t>
      </w:r>
      <w:r w:rsidRPr="00AF1DC8">
        <w:rPr>
          <w:rFonts w:ascii="Narkisim" w:hAnsi="Narkisim" w:cs="Narkisim"/>
          <w:b/>
          <w:bCs/>
          <w:rtl/>
        </w:rPr>
        <w:t>טור</w:t>
      </w:r>
      <w:r w:rsidRPr="00AF1DC8">
        <w:rPr>
          <w:rFonts w:ascii="Narkisim" w:hAnsi="Narkisim" w:cs="Narkisim"/>
          <w:rtl/>
        </w:rPr>
        <w:t xml:space="preserve"> קסח) הוכיחו דכל שיש משועבדים דראשון לא תקנו משני, אפי' יש ליבם בני חורין. דאל"כ מה הרויח בהא דכתובתה על נכסי בעלה הראשון. [וכ'וכי תימא' דתוס' דידן]</w:t>
      </w:r>
      <w:r w:rsidRPr="00AF1DC8">
        <w:rPr>
          <w:rFonts w:ascii="Narkisim" w:hAnsi="Narkisim" w:cs="Narkisim"/>
        </w:rPr>
        <w:t>.</w:t>
      </w:r>
    </w:p>
    <w:p w14:paraId="55A0CD6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ב"י</w:t>
      </w:r>
      <w:r w:rsidRPr="00AF1DC8">
        <w:rPr>
          <w:rFonts w:ascii="Narkisim" w:hAnsi="Narkisim"/>
          <w:rtl/>
        </w:rPr>
        <w:t xml:space="preserve"> (קסח) תמה על הטור אמאי לא חשש לקו' התוס' דא"כ תהא קלה בעיניו להוציאה. וה</w:t>
      </w:r>
      <w:r w:rsidRPr="00AF1DC8">
        <w:rPr>
          <w:rFonts w:ascii="Narkisim" w:hAnsi="Narkisim"/>
          <w:b/>
          <w:bCs/>
          <w:rtl/>
        </w:rPr>
        <w:t>ט"ז</w:t>
      </w:r>
      <w:r w:rsidRPr="00AF1DC8">
        <w:rPr>
          <w:rFonts w:ascii="Narkisim" w:hAnsi="Narkisim"/>
          <w:rtl/>
        </w:rPr>
        <w:t xml:space="preserve"> (קסח) תי' דכשטורפת מן הלקוחות יש עליו צד חוב. דשמא ישתדף או יגזלו השדות שהן ביד הלקוחות, וממילא יהיה אז חוב כתובה על השני</w:t>
      </w:r>
      <w:r w:rsidRPr="00AF1DC8">
        <w:rPr>
          <w:rStyle w:val="ac"/>
          <w:rFonts w:ascii="Narkisim" w:hAnsi="Narkisim"/>
          <w:rtl/>
        </w:rPr>
        <w:footnoteReference w:id="2291"/>
      </w:r>
      <w:r w:rsidRPr="00AF1DC8">
        <w:rPr>
          <w:rFonts w:ascii="Narkisim" w:hAnsi="Narkisim"/>
        </w:rPr>
        <w:t xml:space="preserve">. </w:t>
      </w:r>
      <w:r w:rsidRPr="00AF1DC8">
        <w:rPr>
          <w:rFonts w:ascii="Narkisim" w:hAnsi="Narkisim"/>
          <w:rtl/>
        </w:rPr>
        <w:t>וסגי בזה שלא תהא קלה בעיניו להוציאה</w:t>
      </w:r>
      <w:r w:rsidRPr="00AF1DC8">
        <w:rPr>
          <w:rFonts w:ascii="Narkisim" w:hAnsi="Narkisim"/>
        </w:rPr>
        <w:t>.</w:t>
      </w:r>
    </w:p>
    <w:p w14:paraId="14F43745" w14:textId="77777777" w:rsidR="006074A5" w:rsidRPr="00AF1DC8" w:rsidRDefault="006074A5" w:rsidP="006074A5">
      <w:pPr>
        <w:bidi/>
        <w:rPr>
          <w:rFonts w:ascii="Narkisim" w:hAnsi="Narkisim" w:cs="Narkisim"/>
        </w:rPr>
      </w:pPr>
      <w:r w:rsidRPr="00AF1DC8">
        <w:rPr>
          <w:rFonts w:ascii="Narkisim" w:hAnsi="Narkisim" w:cs="Narkisim"/>
          <w:u w:val="single"/>
          <w:rtl/>
        </w:rPr>
        <w:t>בא"ד א"כ תהא קלה בעיניו להוציאה</w:t>
      </w:r>
      <w:r w:rsidRPr="00AF1DC8">
        <w:rPr>
          <w:rFonts w:ascii="Narkisim" w:hAnsi="Narkisim" w:cs="Narkisim"/>
          <w:rtl/>
        </w:rPr>
        <w:t>. [שאין לו הפסד במה שגובים מנכסי אחיו]. וע"כ דהיכא דיש ליבם בני חורין אינו יכול לדחות למשועבדין של המת. וצ"ב מ"ט, הא נכסים דידיה אינם משועבדים כלל</w:t>
      </w:r>
      <w:r w:rsidRPr="00AF1DC8">
        <w:rPr>
          <w:rFonts w:ascii="Narkisim" w:hAnsi="Narkisim" w:cs="Narkisim"/>
        </w:rPr>
        <w:t>.</w:t>
      </w:r>
    </w:p>
    <w:p w14:paraId="77F8FF8B"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(כתובות שם) ביאר נחשב דהשני עצמו מחוייב בכתובת הראשון, ומש"ה משלם מבני חורין. וצ"ב א"כ אף היכא דל"ל מראשון. וע"כ דהוה בכלל הגדר דלית ליה [בני חורין] מראשון תקנו משני</w:t>
      </w:r>
      <w:r w:rsidRPr="00AF1DC8">
        <w:rPr>
          <w:rFonts w:ascii="Narkisim" w:hAnsi="Narkisim"/>
        </w:rPr>
        <w:t>.</w:t>
      </w:r>
    </w:p>
    <w:p w14:paraId="26708184" w14:textId="77777777" w:rsidR="006074A5" w:rsidRPr="00AF1DC8" w:rsidRDefault="006074A5" w:rsidP="006074A5">
      <w:pPr>
        <w:pStyle w:val="aa"/>
        <w:bidi/>
        <w:rPr>
          <w:rFonts w:ascii="Narkisim" w:hAnsi="Narkisim"/>
        </w:rPr>
      </w:pPr>
      <w:r w:rsidRPr="00AF1DC8">
        <w:rPr>
          <w:rFonts w:ascii="Narkisim" w:hAnsi="Narkisim"/>
          <w:rtl/>
        </w:rPr>
        <w:t>ובגמ' (כתובות פא) אי' דהיבם אינו יכול למכור נכסי אחיו כלל</w:t>
      </w:r>
      <w:r w:rsidRPr="00AF1DC8">
        <w:rPr>
          <w:rStyle w:val="ac"/>
          <w:rFonts w:ascii="Narkisim" w:hAnsi="Narkisim"/>
          <w:rtl/>
        </w:rPr>
        <w:footnoteReference w:id="2292"/>
      </w:r>
      <w:r w:rsidRPr="00AF1DC8">
        <w:rPr>
          <w:rFonts w:ascii="Narkisim" w:hAnsi="Narkisim"/>
        </w:rPr>
        <w:t xml:space="preserve">, </w:t>
      </w:r>
      <w:r w:rsidRPr="00AF1DC8">
        <w:rPr>
          <w:rFonts w:ascii="Narkisim" w:hAnsi="Narkisim"/>
          <w:rtl/>
        </w:rPr>
        <w:t>כיון דמשועבדין לכתובתה. ואין עליו חיוב הגוף</w:t>
      </w:r>
      <w:r w:rsidRPr="00AF1DC8">
        <w:rPr>
          <w:rStyle w:val="ac"/>
          <w:rFonts w:ascii="Narkisim" w:hAnsi="Narkisim"/>
          <w:rtl/>
        </w:rPr>
        <w:footnoteReference w:id="2293"/>
      </w:r>
      <w:r w:rsidRPr="00AF1DC8">
        <w:rPr>
          <w:rFonts w:ascii="Narkisim" w:hAnsi="Narkisim"/>
        </w:rPr>
        <w:t xml:space="preserve">. </w:t>
      </w:r>
      <w:r w:rsidRPr="00AF1DC8">
        <w:rPr>
          <w:rFonts w:ascii="Narkisim" w:hAnsi="Narkisim"/>
          <w:rtl/>
        </w:rPr>
        <w:t>ומש"ה תקנו שלא יוכל למכור והבריח, והאשה לא סמכא דעתיה</w:t>
      </w:r>
      <w:r w:rsidRPr="00AF1DC8">
        <w:rPr>
          <w:rFonts w:ascii="Narkisim" w:hAnsi="Narkisim"/>
        </w:rPr>
        <w:t>.</w:t>
      </w:r>
    </w:p>
    <w:p w14:paraId="45256EE8" w14:textId="77777777" w:rsidR="006074A5" w:rsidRPr="00AF1DC8" w:rsidRDefault="006074A5" w:rsidP="006074A5">
      <w:pPr>
        <w:pStyle w:val="a8"/>
        <w:bidi/>
        <w:rPr>
          <w:rFonts w:ascii="Narkisim" w:hAnsi="Narkisim"/>
        </w:rPr>
      </w:pPr>
      <w:r w:rsidRPr="00AF1DC8">
        <w:rPr>
          <w:rFonts w:ascii="Narkisim" w:hAnsi="Narkisim"/>
          <w:rtl/>
        </w:rPr>
        <w:t>ומבואר (שם) דהיכא דהיבם מגרשה וחוזר ומחזירה [ומתחייב לה כתובתה]. ועי"ז רשאי למכור הנכסים</w:t>
      </w:r>
      <w:r w:rsidRPr="00AF1DC8">
        <w:rPr>
          <w:rStyle w:val="ac"/>
          <w:rFonts w:ascii="Narkisim" w:hAnsi="Narkisim"/>
          <w:rtl/>
        </w:rPr>
        <w:footnoteReference w:id="2294"/>
      </w:r>
      <w:r w:rsidRPr="00AF1DC8">
        <w:rPr>
          <w:rFonts w:ascii="Narkisim" w:hAnsi="Narkisim"/>
        </w:rPr>
        <w:t>.</w:t>
      </w:r>
    </w:p>
    <w:p w14:paraId="481C9ED6" w14:textId="77777777" w:rsidR="006074A5" w:rsidRPr="00AF1DC8" w:rsidRDefault="006074A5" w:rsidP="006074A5">
      <w:pPr>
        <w:pStyle w:val="2"/>
        <w:bidi/>
        <w:rPr>
          <w:rFonts w:ascii="Narkisim" w:hAnsi="Narkisim"/>
        </w:rPr>
      </w:pPr>
      <w:r w:rsidRPr="00AF1DC8">
        <w:rPr>
          <w:rFonts w:ascii="Narkisim" w:hAnsi="Narkisim"/>
          <w:rtl/>
        </w:rPr>
        <w:t>מצוה בגדול לייבם</w:t>
      </w:r>
    </w:p>
    <w:p w14:paraId="0D064872" w14:textId="77777777" w:rsidR="006074A5" w:rsidRPr="00AF1DC8" w:rsidRDefault="006074A5" w:rsidP="006074A5">
      <w:pPr>
        <w:bidi/>
        <w:rPr>
          <w:rFonts w:ascii="Narkisim" w:hAnsi="Narkisim" w:cs="Narkisim"/>
        </w:rPr>
      </w:pPr>
      <w:r w:rsidRPr="00AF1DC8">
        <w:rPr>
          <w:rFonts w:ascii="Narkisim" w:hAnsi="Narkisim" w:cs="Narkisim"/>
          <w:u w:val="single"/>
          <w:rtl/>
        </w:rPr>
        <w:t>מצוה בגדול לייבם וכו'.</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חקרו האם מצד קיום המצוה כל האחים שווים, אלא שהצווי מוטל על הגדול [וכעין הא דמצוות כיסוי הדם הוה דין על השוחט], או דהוה מצוה מן המובחר [ויבום הגדול יש בו שלימות בצורת המצוה]. וה</w:t>
      </w:r>
      <w:r w:rsidRPr="00AF1DC8">
        <w:rPr>
          <w:rFonts w:ascii="Narkisim" w:hAnsi="Narkisim" w:cs="Narkisim"/>
          <w:b/>
          <w:bCs/>
          <w:rtl/>
        </w:rPr>
        <w:t xml:space="preserve">ערול"נ </w:t>
      </w:r>
      <w:r w:rsidRPr="00AF1DC8">
        <w:rPr>
          <w:rFonts w:ascii="Narkisim" w:hAnsi="Narkisim" w:cs="Narkisim"/>
          <w:rtl/>
        </w:rPr>
        <w:t>דייק דבשאר האחים אין מצוות יבום, אלא הוה כמו רשות</w:t>
      </w:r>
      <w:r w:rsidRPr="00AF1DC8">
        <w:rPr>
          <w:rStyle w:val="ac"/>
          <w:rFonts w:ascii="Narkisim" w:hAnsi="Narkisim" w:cs="Narkisim"/>
          <w:rtl/>
        </w:rPr>
        <w:footnoteReference w:id="2295"/>
      </w:r>
      <w:r w:rsidRPr="00AF1DC8">
        <w:rPr>
          <w:rFonts w:ascii="Narkisim" w:hAnsi="Narkisim" w:cs="Narkisim"/>
        </w:rPr>
        <w:t>.</w:t>
      </w:r>
    </w:p>
    <w:p w14:paraId="4515E294" w14:textId="77777777" w:rsidR="006074A5" w:rsidRPr="00AF1DC8" w:rsidRDefault="006074A5" w:rsidP="006074A5">
      <w:pPr>
        <w:pStyle w:val="a8"/>
        <w:bidi/>
        <w:rPr>
          <w:rFonts w:ascii="Narkisim" w:hAnsi="Narkisim"/>
        </w:rPr>
      </w:pPr>
      <w:r w:rsidRPr="00AF1DC8">
        <w:rPr>
          <w:rFonts w:ascii="Narkisim" w:hAnsi="Narkisim"/>
          <w:rtl/>
        </w:rPr>
        <w:t>וב</w:t>
      </w:r>
      <w:r w:rsidRPr="00AF1DC8">
        <w:rPr>
          <w:rFonts w:ascii="Narkisim" w:hAnsi="Narkisim"/>
          <w:b/>
          <w:bCs/>
          <w:rtl/>
        </w:rPr>
        <w:t>גמ'</w:t>
      </w:r>
      <w:r w:rsidRPr="00AF1DC8">
        <w:rPr>
          <w:rFonts w:ascii="Narkisim" w:hAnsi="Narkisim"/>
          <w:rtl/>
        </w:rPr>
        <w:t xml:space="preserve"> (ביצה לז., הו' בערול”נ) מבואר דהיכא דהקטן מייבם</w:t>
      </w:r>
      <w:r w:rsidRPr="00AF1DC8">
        <w:rPr>
          <w:rStyle w:val="ac"/>
          <w:rFonts w:ascii="Narkisim" w:hAnsi="Narkisim"/>
          <w:rtl/>
        </w:rPr>
        <w:footnoteReference w:id="2296"/>
      </w:r>
      <w:r w:rsidRPr="00AF1DC8">
        <w:rPr>
          <w:rFonts w:ascii="Narkisim" w:hAnsi="Narkisim"/>
        </w:rPr>
        <w:t xml:space="preserve"> </w:t>
      </w:r>
      <w:r w:rsidRPr="00AF1DC8">
        <w:rPr>
          <w:rFonts w:ascii="Narkisim" w:hAnsi="Narkisim"/>
          <w:rtl/>
        </w:rPr>
        <w:t>נחשב 'רשות'</w:t>
      </w:r>
      <w:r w:rsidRPr="00AF1DC8">
        <w:rPr>
          <w:rStyle w:val="ac"/>
          <w:rFonts w:ascii="Narkisim" w:hAnsi="Narkisim"/>
          <w:rtl/>
        </w:rPr>
        <w:footnoteReference w:id="2297"/>
      </w:r>
      <w:r w:rsidRPr="00AF1DC8">
        <w:rPr>
          <w:rFonts w:ascii="Narkisim" w:hAnsi="Narkisim"/>
          <w:rtl/>
        </w:rPr>
        <w:t>, כיון דמצווה בגדול לייבם</w:t>
      </w:r>
      <w:r w:rsidRPr="00AF1DC8">
        <w:rPr>
          <w:rFonts w:ascii="Narkisim" w:hAnsi="Narkisim"/>
        </w:rPr>
        <w:t>.</w:t>
      </w:r>
    </w:p>
    <w:p w14:paraId="73A22533" w14:textId="77777777" w:rsidR="006074A5" w:rsidRPr="00AF1DC8" w:rsidRDefault="006074A5" w:rsidP="006074A5">
      <w:pPr>
        <w:pStyle w:val="aa"/>
        <w:bidi/>
        <w:rPr>
          <w:rFonts w:ascii="Narkisim" w:hAnsi="Narkisim"/>
        </w:rPr>
      </w:pPr>
      <w:r w:rsidRPr="00AF1DC8">
        <w:rPr>
          <w:rFonts w:ascii="Narkisim" w:hAnsi="Narkisim"/>
          <w:u w:val="single"/>
          <w:rtl/>
        </w:rPr>
        <w:t>שם. בגדול</w:t>
      </w:r>
      <w:r w:rsidRPr="00AF1DC8">
        <w:rPr>
          <w:rFonts w:ascii="Narkisim" w:hAnsi="Narkisim"/>
          <w:rtl/>
        </w:rPr>
        <w:t>. והגמ' פי' דאף לענין כפייה, כיון דמצוה עליה רמי. וה</w:t>
      </w:r>
      <w:r w:rsidRPr="00AF1DC8">
        <w:rPr>
          <w:rFonts w:ascii="Narkisim" w:hAnsi="Narkisim"/>
          <w:b/>
          <w:bCs/>
          <w:rtl/>
        </w:rPr>
        <w:t>חש"ל</w:t>
      </w:r>
      <w:r w:rsidRPr="00AF1DC8">
        <w:rPr>
          <w:rFonts w:ascii="Narkisim" w:hAnsi="Narkisim"/>
          <w:rtl/>
        </w:rPr>
        <w:t xml:space="preserve"> נסתפק במקום שיש ב' אחים תאומים [גדולים] את מי נכוף</w:t>
      </w:r>
      <w:r w:rsidRPr="00AF1DC8">
        <w:rPr>
          <w:rStyle w:val="ac"/>
          <w:rFonts w:ascii="Narkisim" w:hAnsi="Narkisim"/>
          <w:rtl/>
        </w:rPr>
        <w:footnoteReference w:id="2298"/>
      </w:r>
      <w:r w:rsidRPr="00AF1DC8">
        <w:rPr>
          <w:rFonts w:ascii="Narkisim" w:hAnsi="Narkisim"/>
        </w:rPr>
        <w:t xml:space="preserve">. </w:t>
      </w:r>
      <w:r w:rsidRPr="00AF1DC8">
        <w:rPr>
          <w:rFonts w:ascii="Narkisim" w:hAnsi="Narkisim"/>
          <w:rtl/>
        </w:rPr>
        <w:t>דהא כל א' דוחה לחבירו</w:t>
      </w:r>
      <w:r w:rsidRPr="00AF1DC8">
        <w:rPr>
          <w:rFonts w:ascii="Narkisim" w:hAnsi="Narkisim"/>
        </w:rPr>
        <w:t>.</w:t>
      </w:r>
    </w:p>
    <w:p w14:paraId="2E7A02C6" w14:textId="77777777" w:rsidR="006074A5" w:rsidRPr="00AF1DC8" w:rsidRDefault="006074A5" w:rsidP="006074A5">
      <w:pPr>
        <w:bidi/>
        <w:rPr>
          <w:rFonts w:ascii="Narkisim" w:hAnsi="Narkisim" w:cs="Narkisim"/>
        </w:rPr>
      </w:pPr>
      <w:r w:rsidRPr="00AF1DC8">
        <w:rPr>
          <w:rFonts w:ascii="Narkisim" w:hAnsi="Narkisim" w:cs="Narkisim"/>
          <w:u w:val="single"/>
          <w:rtl/>
        </w:rPr>
        <w:t>לא רצה מהלכין וכו'.</w:t>
      </w:r>
      <w:r w:rsidRPr="00AF1DC8">
        <w:rPr>
          <w:rFonts w:ascii="Narkisim" w:hAnsi="Narkisim" w:cs="Narkisim"/>
          <w:rtl/>
        </w:rPr>
        <w:t xml:space="preserve"> ה</w:t>
      </w:r>
      <w:r w:rsidRPr="00AF1DC8">
        <w:rPr>
          <w:rFonts w:ascii="Narkisim" w:hAnsi="Narkisim" w:cs="Narkisim"/>
          <w:b/>
          <w:bCs/>
          <w:rtl/>
        </w:rPr>
        <w:t>תבואות שור</w:t>
      </w:r>
      <w:r w:rsidRPr="00AF1DC8">
        <w:rPr>
          <w:rFonts w:ascii="Narkisim" w:hAnsi="Narkisim" w:cs="Narkisim"/>
          <w:sz w:val="20"/>
          <w:szCs w:val="20"/>
          <w:rtl/>
        </w:rPr>
        <w:t xml:space="preserve"> (כח יד, הו' בקצות שפב ב)</w:t>
      </w:r>
      <w:r w:rsidRPr="00AF1DC8">
        <w:rPr>
          <w:rFonts w:ascii="Narkisim" w:hAnsi="Narkisim" w:cs="Narkisim"/>
          <w:rtl/>
        </w:rPr>
        <w:t xml:space="preserve"> דייק מהמשנה שהגדול רשאי להניח לאחיו הקטן, ואינו ביטול מצווה. </w:t>
      </w:r>
      <w:r w:rsidRPr="00AF1DC8">
        <w:rPr>
          <w:rFonts w:ascii="Narkisim" w:hAnsi="Narkisim" w:cs="Narkisim"/>
          <w:sz w:val="20"/>
          <w:szCs w:val="20"/>
          <w:rtl/>
        </w:rPr>
        <w:t>וכן במשנה (לקמן מג:) משמע דהוה רשות להניח לשאר אחים.</w:t>
      </w:r>
      <w:r w:rsidRPr="00AF1DC8">
        <w:rPr>
          <w:rFonts w:ascii="Narkisim" w:hAnsi="Narkisim" w:cs="Narkisim"/>
          <w:rtl/>
        </w:rPr>
        <w:t xml:space="preserve"> והתבו"ש הביא מכאן דאף מצווה דרמי עליו רשאי לקיימו ע"י שליח</w:t>
      </w:r>
      <w:r w:rsidRPr="00AF1DC8">
        <w:rPr>
          <w:rStyle w:val="ac"/>
          <w:rFonts w:ascii="Narkisim" w:hAnsi="Narkisim" w:cs="Narkisim"/>
          <w:rtl/>
        </w:rPr>
        <w:footnoteReference w:id="2299"/>
      </w:r>
      <w:r w:rsidRPr="00AF1DC8">
        <w:rPr>
          <w:rFonts w:ascii="Narkisim" w:hAnsi="Narkisim" w:cs="Narkisim"/>
        </w:rPr>
        <w:t>.</w:t>
      </w:r>
    </w:p>
    <w:p w14:paraId="19C9397A" w14:textId="77777777" w:rsidR="006074A5" w:rsidRPr="00AF1DC8" w:rsidRDefault="006074A5" w:rsidP="006074A5">
      <w:pPr>
        <w:pStyle w:val="a8"/>
        <w:bidi/>
        <w:rPr>
          <w:rFonts w:ascii="Narkisim" w:hAnsi="Narkisim"/>
        </w:rPr>
      </w:pPr>
      <w:r w:rsidRPr="00AF1DC8">
        <w:rPr>
          <w:rFonts w:ascii="Narkisim" w:hAnsi="Narkisim"/>
          <w:rtl/>
        </w:rPr>
        <w:t>וכת' דהשוחט רשאי לכבד אחר לעשות כיסוי הדם, ואף דהמצווה רמי עליה, רשאי לקיימו ע"י שליח</w:t>
      </w:r>
      <w:r w:rsidRPr="00AF1DC8">
        <w:rPr>
          <w:rStyle w:val="ac"/>
          <w:rFonts w:ascii="Narkisim" w:hAnsi="Narkisim"/>
          <w:rtl/>
        </w:rPr>
        <w:footnoteReference w:id="2300"/>
      </w:r>
      <w:r w:rsidRPr="00AF1DC8">
        <w:rPr>
          <w:rFonts w:ascii="Narkisim" w:hAnsi="Narkisim"/>
        </w:rPr>
        <w:t xml:space="preserve">. </w:t>
      </w:r>
      <w:r w:rsidRPr="00AF1DC8">
        <w:rPr>
          <w:rFonts w:ascii="Narkisim" w:hAnsi="Narkisim"/>
          <w:rtl/>
        </w:rPr>
        <w:t xml:space="preserve">ושלוחו </w:t>
      </w:r>
      <w:r w:rsidRPr="00AF1DC8">
        <w:rPr>
          <w:rFonts w:ascii="Narkisim" w:hAnsi="Narkisim"/>
          <w:rtl/>
        </w:rPr>
        <w:lastRenderedPageBreak/>
        <w:t>של אדם כמותו. והקצות הק' דל"ש שליחות ליבום, וכדאי' (לקמן קו., כתובות עד.) דחליצה ליתא בשליחות. וכ"ש יבום</w:t>
      </w:r>
      <w:r w:rsidRPr="00AF1DC8">
        <w:rPr>
          <w:rStyle w:val="ac"/>
          <w:rFonts w:ascii="Narkisim" w:hAnsi="Narkisim"/>
          <w:rtl/>
        </w:rPr>
        <w:footnoteReference w:id="2301"/>
      </w:r>
      <w:r w:rsidRPr="00AF1DC8">
        <w:rPr>
          <w:rFonts w:ascii="Narkisim" w:hAnsi="Narkisim"/>
        </w:rPr>
        <w:t xml:space="preserve"> </w:t>
      </w:r>
      <w:r w:rsidRPr="00AF1DC8">
        <w:rPr>
          <w:rFonts w:ascii="Narkisim" w:hAnsi="Narkisim"/>
          <w:rtl/>
        </w:rPr>
        <w:t>[והוה מצוות שבגופו ול"ש שליחות</w:t>
      </w:r>
      <w:r w:rsidRPr="00AF1DC8">
        <w:rPr>
          <w:rStyle w:val="ac"/>
          <w:rFonts w:ascii="Narkisim" w:hAnsi="Narkisim"/>
          <w:rtl/>
        </w:rPr>
        <w:footnoteReference w:id="2302"/>
      </w:r>
      <w:r w:rsidRPr="00AF1DC8">
        <w:rPr>
          <w:rFonts w:ascii="Narkisim" w:hAnsi="Narkisim"/>
          <w:rtl/>
        </w:rPr>
        <w:t>]</w:t>
      </w:r>
      <w:r w:rsidRPr="00AF1DC8">
        <w:rPr>
          <w:rFonts w:ascii="Narkisim" w:hAnsi="Narkisim"/>
        </w:rPr>
        <w:t>.</w:t>
      </w:r>
    </w:p>
    <w:p w14:paraId="57AEC51A"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קצות</w:t>
      </w:r>
      <w:r w:rsidRPr="00AF1DC8">
        <w:rPr>
          <w:rFonts w:ascii="Narkisim" w:hAnsi="Narkisim"/>
          <w:rtl/>
        </w:rPr>
        <w:t xml:space="preserve"> </w:t>
      </w:r>
      <w:r w:rsidRPr="00AF1DC8">
        <w:rPr>
          <w:rFonts w:ascii="Narkisim" w:hAnsi="Narkisim"/>
          <w:sz w:val="20"/>
          <w:szCs w:val="20"/>
          <w:rtl/>
        </w:rPr>
        <w:t>האריך לחלוק דהיכא דרמי מצווה עליו אינו רשאי ע”י שליח.</w:t>
      </w:r>
      <w:r w:rsidRPr="00AF1DC8">
        <w:rPr>
          <w:rFonts w:ascii="Narkisim" w:hAnsi="Narkisim"/>
          <w:rtl/>
        </w:rPr>
        <w:t xml:space="preserve"> והקצות כת' דהכא כיון דהגדול אינו רוצה לייבם, המצוה מוטל על שאר אחים</w:t>
      </w:r>
      <w:r w:rsidRPr="00AF1DC8">
        <w:rPr>
          <w:rStyle w:val="ac"/>
          <w:rFonts w:ascii="Narkisim" w:hAnsi="Narkisim"/>
          <w:rtl/>
        </w:rPr>
        <w:footnoteReference w:id="2303"/>
      </w:r>
      <w:r w:rsidRPr="00AF1DC8">
        <w:rPr>
          <w:rFonts w:ascii="Narkisim" w:hAnsi="Narkisim"/>
        </w:rPr>
        <w:t xml:space="preserve">. </w:t>
      </w:r>
      <w:r w:rsidRPr="00AF1DC8">
        <w:rPr>
          <w:rFonts w:ascii="Narkisim" w:hAnsi="Narkisim"/>
          <w:rtl/>
        </w:rPr>
        <w:t>ומצוות יבום הוה בכל האחים. ואף דמצוה בגדול, אם לא רצה מצוותו בשאר אחין</w:t>
      </w:r>
      <w:r w:rsidRPr="00AF1DC8">
        <w:rPr>
          <w:rFonts w:ascii="Narkisim" w:hAnsi="Narkisim"/>
        </w:rPr>
        <w:t>.</w:t>
      </w:r>
    </w:p>
    <w:p w14:paraId="66CC50BB" w14:textId="77777777" w:rsidR="006074A5" w:rsidRPr="00AF1DC8" w:rsidRDefault="006074A5" w:rsidP="006074A5">
      <w:pPr>
        <w:bidi/>
        <w:rPr>
          <w:rFonts w:ascii="Narkisim" w:hAnsi="Narkisim" w:cs="Narkisim"/>
        </w:rPr>
      </w:pPr>
      <w:r w:rsidRPr="00AF1DC8">
        <w:rPr>
          <w:rFonts w:ascii="Narkisim" w:hAnsi="Narkisim" w:cs="Narkisim"/>
          <w:u w:val="single"/>
          <w:rtl/>
        </w:rPr>
        <w:t>מהלכין על כל האחין וכו'</w:t>
      </w:r>
      <w:r w:rsidRPr="00AF1DC8">
        <w:rPr>
          <w:rFonts w:ascii="Narkisim" w:hAnsi="Narkisim" w:cs="Narkisim"/>
          <w:rtl/>
        </w:rPr>
        <w:t>. ובברייתא (לעיל כד.) אי' הולכים אצל אחיו הקטן. ופ</w:t>
      </w:r>
      <w:r w:rsidRPr="00AF1DC8">
        <w:rPr>
          <w:rFonts w:ascii="Narkisim" w:hAnsi="Narkisim" w:cs="Narkisim"/>
          <w:b/>
          <w:bCs/>
          <w:rtl/>
        </w:rPr>
        <w:t>רש"י</w:t>
      </w:r>
      <w:r w:rsidRPr="00AF1DC8">
        <w:rPr>
          <w:rFonts w:ascii="Narkisim" w:hAnsi="Narkisim" w:cs="Narkisim"/>
          <w:rtl/>
        </w:rPr>
        <w:t xml:space="preserve"> דמשמע דמהדרינן אגדול דשאר אחים. וגדול גדול קודם</w:t>
      </w:r>
      <w:r w:rsidRPr="00AF1DC8">
        <w:rPr>
          <w:rStyle w:val="ac"/>
          <w:rFonts w:ascii="Narkisim" w:hAnsi="Narkisim" w:cs="Narkisim"/>
          <w:rtl/>
        </w:rPr>
        <w:footnoteReference w:id="2304"/>
      </w:r>
      <w:r w:rsidRPr="00AF1DC8">
        <w:rPr>
          <w:rFonts w:ascii="Narkisim" w:hAnsi="Narkisim" w:cs="Narkisim"/>
        </w:rPr>
        <w:t xml:space="preserve">. </w:t>
      </w: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(שם) הביאו גירסא דגרסי' הכי להדיא. אבל ה</w:t>
      </w:r>
      <w:r w:rsidRPr="00AF1DC8">
        <w:rPr>
          <w:rFonts w:ascii="Narkisim" w:hAnsi="Narkisim" w:cs="Narkisim"/>
          <w:b/>
          <w:bCs/>
          <w:rtl/>
        </w:rPr>
        <w:t>רמב"ם</w:t>
      </w:r>
      <w:r w:rsidRPr="00AF1DC8">
        <w:rPr>
          <w:rFonts w:ascii="Narkisim" w:hAnsi="Narkisim" w:cs="Narkisim"/>
          <w:rtl/>
        </w:rPr>
        <w:t xml:space="preserve"> (ב יב) כת' דהיכא דהגדול אינו רוצה, שאר אחים שווים בה. מאחר שנסתלק הגדול ליכא דין קדימה</w:t>
      </w:r>
      <w:r w:rsidRPr="00AF1DC8">
        <w:rPr>
          <w:rStyle w:val="ac"/>
          <w:rFonts w:ascii="Narkisim" w:hAnsi="Narkisim" w:cs="Narkisim"/>
          <w:rtl/>
        </w:rPr>
        <w:footnoteReference w:id="2305"/>
      </w:r>
      <w:r w:rsidRPr="00AF1DC8">
        <w:rPr>
          <w:rFonts w:ascii="Narkisim" w:hAnsi="Narkisim" w:cs="Narkisim"/>
        </w:rPr>
        <w:t>.</w:t>
      </w:r>
    </w:p>
    <w:p w14:paraId="4742116A" w14:textId="77777777" w:rsidR="006074A5" w:rsidRPr="00AF1DC8" w:rsidRDefault="006074A5" w:rsidP="006074A5">
      <w:pPr>
        <w:bidi/>
        <w:rPr>
          <w:rFonts w:ascii="Narkisim" w:hAnsi="Narkisim" w:cs="Narkisim"/>
        </w:rPr>
      </w:pPr>
      <w:r w:rsidRPr="00AF1DC8">
        <w:rPr>
          <w:rFonts w:ascii="Narkisim" w:hAnsi="Narkisim" w:cs="Narkisim"/>
          <w:u w:val="single"/>
          <w:rtl/>
        </w:rPr>
        <w:t>עד שיבא ממדינת הים.</w:t>
      </w:r>
      <w:r w:rsidRPr="00AF1DC8">
        <w:rPr>
          <w:rFonts w:ascii="Narkisim" w:hAnsi="Narkisim" w:cs="Narkisim"/>
          <w:rtl/>
        </w:rPr>
        <w:t xml:space="preserve"> ה</w:t>
      </w:r>
      <w:r w:rsidRPr="00AF1DC8">
        <w:rPr>
          <w:rFonts w:ascii="Narkisim" w:hAnsi="Narkisim" w:cs="Narkisim"/>
          <w:b/>
          <w:bCs/>
          <w:rtl/>
        </w:rPr>
        <w:t>תה"ד</w:t>
      </w:r>
      <w:r w:rsidRPr="00AF1DC8">
        <w:rPr>
          <w:rFonts w:ascii="Narkisim" w:hAnsi="Narkisim" w:cs="Narkisim"/>
          <w:rtl/>
        </w:rPr>
        <w:t xml:space="preserve"> </w:t>
      </w:r>
      <w:r w:rsidRPr="00AF1DC8">
        <w:rPr>
          <w:rFonts w:ascii="Narkisim" w:hAnsi="Narkisim" w:cs="Narkisim"/>
          <w:sz w:val="20"/>
          <w:szCs w:val="20"/>
          <w:rtl/>
        </w:rPr>
        <w:t xml:space="preserve">(לה, הו' בסמוך) </w:t>
      </w:r>
      <w:r w:rsidRPr="00AF1DC8">
        <w:rPr>
          <w:rFonts w:ascii="Narkisim" w:hAnsi="Narkisim" w:cs="Narkisim"/>
          <w:rtl/>
        </w:rPr>
        <w:t>דייק דוקא מדינת הים, אבל ממדינה למדינה ממתינים. אבל ה</w:t>
      </w:r>
      <w:r w:rsidRPr="00AF1DC8">
        <w:rPr>
          <w:rFonts w:ascii="Narkisim" w:hAnsi="Narkisim" w:cs="Narkisim"/>
          <w:b/>
          <w:bCs/>
          <w:rtl/>
        </w:rPr>
        <w:t>יש"ש</w:t>
      </w:r>
      <w:r w:rsidRPr="00AF1DC8">
        <w:rPr>
          <w:rFonts w:ascii="Narkisim" w:hAnsi="Narkisim" w:cs="Narkisim"/>
          <w:rtl/>
        </w:rPr>
        <w:t xml:space="preserve"> (טז) דייק מדברי הרמב"ם דאפי' בעיר אחרת</w:t>
      </w:r>
      <w:r w:rsidRPr="00AF1DC8">
        <w:rPr>
          <w:rStyle w:val="ac"/>
          <w:rFonts w:ascii="Narkisim" w:hAnsi="Narkisim" w:cs="Narkisim"/>
          <w:rtl/>
        </w:rPr>
        <w:footnoteReference w:id="2306"/>
      </w:r>
      <w:r w:rsidRPr="00AF1DC8">
        <w:rPr>
          <w:rFonts w:ascii="Narkisim" w:hAnsi="Narkisim" w:cs="Narkisim"/>
        </w:rPr>
        <w:t xml:space="preserve">. </w:t>
      </w:r>
      <w:r w:rsidRPr="00AF1DC8">
        <w:rPr>
          <w:rFonts w:ascii="Narkisim" w:hAnsi="Narkisim" w:cs="Narkisim"/>
          <w:sz w:val="20"/>
          <w:szCs w:val="20"/>
          <w:rtl/>
        </w:rPr>
        <w:t>וה</w:t>
      </w:r>
      <w:r w:rsidRPr="00AF1DC8">
        <w:rPr>
          <w:rFonts w:ascii="Narkisim" w:hAnsi="Narkisim" w:cs="Narkisim"/>
          <w:b/>
          <w:bCs/>
          <w:sz w:val="20"/>
          <w:szCs w:val="20"/>
          <w:rtl/>
        </w:rPr>
        <w:t>בי"ש</w:t>
      </w:r>
      <w:r w:rsidRPr="00AF1DC8">
        <w:rPr>
          <w:rFonts w:ascii="Narkisim" w:hAnsi="Narkisim" w:cs="Narkisim"/>
          <w:sz w:val="20"/>
          <w:szCs w:val="20"/>
          <w:rtl/>
        </w:rPr>
        <w:t xml:space="preserve"> (קסא א) הביא בשם ה</w:t>
      </w:r>
      <w:r w:rsidRPr="00AF1DC8">
        <w:rPr>
          <w:rFonts w:ascii="Narkisim" w:hAnsi="Narkisim" w:cs="Narkisim"/>
          <w:b/>
          <w:bCs/>
          <w:sz w:val="20"/>
          <w:szCs w:val="20"/>
          <w:rtl/>
        </w:rPr>
        <w:t>ב"ח</w:t>
      </w:r>
      <w:r w:rsidRPr="00AF1DC8">
        <w:rPr>
          <w:rFonts w:ascii="Narkisim" w:hAnsi="Narkisim" w:cs="Narkisim"/>
          <w:sz w:val="20"/>
          <w:szCs w:val="20"/>
          <w:rtl/>
        </w:rPr>
        <w:t xml:space="preserve"> דממתינים כשהוא במקום שמדברים באותו לשון, ועי"ש בפתח"ת ואחרונים דהאריכו בדין זה</w:t>
      </w:r>
      <w:r w:rsidRPr="00AF1DC8">
        <w:rPr>
          <w:rFonts w:ascii="Narkisim" w:hAnsi="Narkisim" w:cs="Narkisim"/>
          <w:sz w:val="20"/>
          <w:szCs w:val="20"/>
        </w:rPr>
        <w:t>.</w:t>
      </w:r>
    </w:p>
    <w:p w14:paraId="4CA2F689" w14:textId="77777777" w:rsidR="006074A5" w:rsidRPr="00AF1DC8" w:rsidRDefault="006074A5" w:rsidP="006074A5">
      <w:pPr>
        <w:bidi/>
        <w:rPr>
          <w:rFonts w:ascii="Narkisim" w:hAnsi="Narkisim" w:cs="Narkisim"/>
        </w:rPr>
      </w:pPr>
      <w:r w:rsidRPr="00AF1DC8">
        <w:rPr>
          <w:rFonts w:ascii="Narkisim" w:hAnsi="Narkisim" w:cs="Narkisim"/>
          <w:u w:val="single"/>
          <w:rtl/>
        </w:rPr>
        <w:t>אין שומעים לו וכו'.</w:t>
      </w:r>
      <w:r w:rsidRPr="00AF1DC8">
        <w:rPr>
          <w:rFonts w:ascii="Narkisim" w:hAnsi="Narkisim" w:cs="Narkisim"/>
          <w:rtl/>
        </w:rPr>
        <w:t xml:space="preserve"> ה</w:t>
      </w:r>
      <w:r w:rsidRPr="00AF1DC8">
        <w:rPr>
          <w:rFonts w:ascii="Narkisim" w:hAnsi="Narkisim" w:cs="Narkisim"/>
          <w:b/>
          <w:bCs/>
          <w:rtl/>
        </w:rPr>
        <w:t>נמוק"י</w:t>
      </w:r>
      <w:r w:rsidRPr="00AF1DC8">
        <w:rPr>
          <w:rFonts w:ascii="Narkisim" w:hAnsi="Narkisim" w:cs="Narkisim"/>
          <w:rtl/>
        </w:rPr>
        <w:t xml:space="preserve"> פי' ולא נעגן אותה. </w:t>
      </w:r>
      <w:r w:rsidRPr="00AF1DC8">
        <w:rPr>
          <w:rFonts w:ascii="Narkisim" w:hAnsi="Narkisim" w:cs="Narkisim"/>
          <w:sz w:val="20"/>
          <w:szCs w:val="20"/>
          <w:rtl/>
        </w:rPr>
        <w:t>וה</w:t>
      </w:r>
      <w:r w:rsidRPr="00AF1DC8">
        <w:rPr>
          <w:rFonts w:ascii="Narkisim" w:hAnsi="Narkisim" w:cs="Narkisim"/>
          <w:b/>
          <w:bCs/>
          <w:sz w:val="20"/>
          <w:szCs w:val="20"/>
          <w:rtl/>
        </w:rPr>
        <w:t>חכ"צ</w:t>
      </w:r>
      <w:r w:rsidRPr="00AF1DC8">
        <w:rPr>
          <w:rFonts w:ascii="Narkisim" w:hAnsi="Narkisim" w:cs="Narkisim"/>
          <w:sz w:val="20"/>
          <w:szCs w:val="20"/>
          <w:rtl/>
        </w:rPr>
        <w:t xml:space="preserve"> (א) דייק דהדין כפייה הוא מחמת תביעה שלה, ולא משום מצוות החליצה ויבום</w:t>
      </w:r>
      <w:r w:rsidRPr="00AF1DC8">
        <w:rPr>
          <w:rStyle w:val="ac"/>
          <w:rFonts w:ascii="Narkisim" w:hAnsi="Narkisim" w:cs="Narkisim"/>
          <w:sz w:val="20"/>
          <w:szCs w:val="20"/>
          <w:rtl/>
        </w:rPr>
        <w:footnoteReference w:id="2307"/>
      </w:r>
      <w:r w:rsidRPr="00AF1DC8">
        <w:rPr>
          <w:rFonts w:ascii="Narkisim" w:hAnsi="Narkisim" w:cs="Narkisim"/>
          <w:sz w:val="20"/>
          <w:szCs w:val="20"/>
        </w:rPr>
        <w:t xml:space="preserve">. </w:t>
      </w:r>
      <w:r w:rsidRPr="00AF1DC8">
        <w:rPr>
          <w:rFonts w:ascii="Narkisim" w:hAnsi="Narkisim" w:cs="Narkisim"/>
          <w:sz w:val="20"/>
          <w:szCs w:val="20"/>
          <w:rtl/>
        </w:rPr>
        <w:t>[הו' בסמוך]</w:t>
      </w:r>
      <w:r w:rsidRPr="00AF1DC8">
        <w:rPr>
          <w:rFonts w:ascii="Narkisim" w:hAnsi="Narkisim" w:cs="Narkisim"/>
          <w:sz w:val="20"/>
          <w:szCs w:val="20"/>
        </w:rPr>
        <w:t>.</w:t>
      </w:r>
    </w:p>
    <w:p w14:paraId="22D8B63F"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xml:space="preserve"> וה</w:t>
      </w:r>
      <w:r w:rsidRPr="00AF1DC8">
        <w:rPr>
          <w:rFonts w:ascii="Narkisim" w:hAnsi="Narkisim"/>
          <w:b/>
          <w:bCs/>
          <w:rtl/>
        </w:rPr>
        <w:t>רמב"ם</w:t>
      </w:r>
      <w:r w:rsidRPr="00AF1DC8">
        <w:rPr>
          <w:rFonts w:ascii="Narkisim" w:hAnsi="Narkisim"/>
          <w:rtl/>
        </w:rPr>
        <w:t xml:space="preserve"> (ב יב) פסק דהיכא דהגדול אינו רוצה לייבם, והשני רוצה ליבם. והיבמה רוצה דוקא בשלישי שהוא במדינת הים הוה טענה. ולא הוה מורדת בכך. וה</w:t>
      </w:r>
      <w:r w:rsidRPr="00AF1DC8">
        <w:rPr>
          <w:rFonts w:ascii="Narkisim" w:hAnsi="Narkisim"/>
          <w:b/>
          <w:bCs/>
          <w:rtl/>
        </w:rPr>
        <w:t>או”ש</w:t>
      </w:r>
      <w:r w:rsidRPr="00AF1DC8">
        <w:rPr>
          <w:rFonts w:ascii="Narkisim" w:hAnsi="Narkisim"/>
          <w:rtl/>
        </w:rPr>
        <w:t xml:space="preserve"> ביאר דעיקר הטעם דאין שומעין לו משום עיגונא. והכא היא רוצה בכך רשאית להמתין</w:t>
      </w:r>
      <w:r w:rsidRPr="00AF1DC8">
        <w:rPr>
          <w:rStyle w:val="ac"/>
          <w:rFonts w:ascii="Narkisim" w:hAnsi="Narkisim"/>
          <w:rtl/>
        </w:rPr>
        <w:footnoteReference w:id="2308"/>
      </w:r>
      <w:r w:rsidRPr="00AF1DC8">
        <w:rPr>
          <w:rFonts w:ascii="Narkisim" w:hAnsi="Narkisim"/>
        </w:rPr>
        <w:t>.</w:t>
      </w:r>
    </w:p>
    <w:p w14:paraId="6ED44582" w14:textId="77777777" w:rsidR="006074A5" w:rsidRPr="00AF1DC8" w:rsidRDefault="006074A5" w:rsidP="006074A5">
      <w:pPr>
        <w:pStyle w:val="aa"/>
        <w:bidi/>
        <w:rPr>
          <w:rFonts w:ascii="Narkisim" w:hAnsi="Narkisim"/>
        </w:rPr>
      </w:pPr>
      <w:r w:rsidRPr="00AF1DC8">
        <w:rPr>
          <w:rFonts w:ascii="Narkisim" w:hAnsi="Narkisim"/>
          <w:u w:val="single"/>
          <w:rtl/>
        </w:rPr>
        <w:t>תוד"ה ובחרש.</w:t>
      </w:r>
      <w:r w:rsidRPr="00AF1DC8">
        <w:rPr>
          <w:rFonts w:ascii="Narkisim" w:hAnsi="Narkisim"/>
          <w:rtl/>
        </w:rPr>
        <w:t xml:space="preserve"> משמע דאפי' תלה לאלתר וכו'. מבואר בתוס' דאף שוטה יקנה ביבום</w:t>
      </w:r>
      <w:r w:rsidRPr="00AF1DC8">
        <w:rPr>
          <w:rStyle w:val="ac"/>
          <w:rFonts w:ascii="Narkisim" w:hAnsi="Narkisim"/>
          <w:rtl/>
        </w:rPr>
        <w:footnoteReference w:id="2309"/>
      </w:r>
      <w:r w:rsidRPr="00AF1DC8">
        <w:rPr>
          <w:rFonts w:ascii="Narkisim" w:hAnsi="Narkisim"/>
        </w:rPr>
        <w:t xml:space="preserve"> </w:t>
      </w:r>
      <w:r w:rsidRPr="00AF1DC8">
        <w:rPr>
          <w:rFonts w:ascii="Narkisim" w:hAnsi="Narkisim"/>
          <w:rtl/>
        </w:rPr>
        <w:t>[שהרי קונה יבמתו בין בשוגג, כדלקמן נג:, ונחשב דשוטה יש לו כוונת מעשה ביאה</w:t>
      </w:r>
      <w:r w:rsidRPr="00AF1DC8">
        <w:rPr>
          <w:rStyle w:val="ac"/>
          <w:rFonts w:ascii="Narkisim" w:hAnsi="Narkisim"/>
          <w:rtl/>
        </w:rPr>
        <w:footnoteReference w:id="2310"/>
      </w:r>
      <w:r w:rsidRPr="00AF1DC8">
        <w:rPr>
          <w:rFonts w:ascii="Narkisim" w:hAnsi="Narkisim"/>
          <w:rtl/>
        </w:rPr>
        <w:t>], אלא דאינו יכול לגרש אח”כ. [וכדאי' בפשוטו</w:t>
      </w:r>
      <w:r w:rsidRPr="00AF1DC8">
        <w:rPr>
          <w:rStyle w:val="ac"/>
          <w:rFonts w:ascii="Narkisim" w:hAnsi="Narkisim"/>
          <w:rtl/>
        </w:rPr>
        <w:footnoteReference w:id="2311"/>
      </w:r>
      <w:r w:rsidRPr="00AF1DC8">
        <w:rPr>
          <w:rFonts w:ascii="Narkisim" w:hAnsi="Narkisim"/>
        </w:rPr>
        <w:t xml:space="preserve"> </w:t>
      </w:r>
      <w:r w:rsidRPr="00AF1DC8">
        <w:rPr>
          <w:rFonts w:ascii="Narkisim" w:hAnsi="Narkisim"/>
          <w:rtl/>
        </w:rPr>
        <w:t>(לקמן קיג וגיטין עא.) גבי חרש]</w:t>
      </w:r>
      <w:r w:rsidRPr="00AF1DC8">
        <w:rPr>
          <w:rFonts w:ascii="Narkisim" w:hAnsi="Narkisim"/>
        </w:rPr>
        <w:t>.</w:t>
      </w:r>
    </w:p>
    <w:p w14:paraId="607B7606" w14:textId="77777777" w:rsidR="006074A5" w:rsidRPr="00AF1DC8" w:rsidRDefault="006074A5" w:rsidP="006074A5">
      <w:pPr>
        <w:pStyle w:val="aa"/>
        <w:bidi/>
        <w:rPr>
          <w:rFonts w:ascii="Narkisim" w:hAnsi="Narkisim"/>
        </w:rPr>
      </w:pPr>
      <w:r w:rsidRPr="00AF1DC8">
        <w:rPr>
          <w:rFonts w:ascii="Narkisim" w:hAnsi="Narkisim"/>
          <w:u w:val="single"/>
          <w:rtl/>
        </w:rPr>
        <w:t>בא"ד אין שומעין, לפי שאין חוסמין אותה</w:t>
      </w:r>
      <w:r w:rsidRPr="00AF1DC8">
        <w:rPr>
          <w:rStyle w:val="ac"/>
          <w:rFonts w:ascii="Narkisim" w:hAnsi="Narkisim"/>
          <w:u w:val="single"/>
          <w:rtl/>
        </w:rPr>
        <w:footnoteReference w:id="2312"/>
      </w:r>
      <w:r w:rsidRPr="00AF1DC8">
        <w:rPr>
          <w:rFonts w:ascii="Narkisim" w:hAnsi="Narkisim"/>
          <w:u w:val="single"/>
        </w:rPr>
        <w:t xml:space="preserve"> </w:t>
      </w:r>
      <w:r w:rsidRPr="00AF1DC8">
        <w:rPr>
          <w:rFonts w:ascii="Narkisim" w:hAnsi="Narkisim"/>
          <w:u w:val="single"/>
          <w:rtl/>
        </w:rPr>
        <w:t>(וכדלעיל ד.), וה”ה דהמ"ל מוכה שחין</w:t>
      </w:r>
      <w:r w:rsidRPr="00AF1DC8">
        <w:rPr>
          <w:rStyle w:val="ac"/>
          <w:rFonts w:ascii="Narkisim" w:hAnsi="Narkisim"/>
          <w:rtl/>
        </w:rPr>
        <w:footnoteReference w:id="2313"/>
      </w:r>
      <w:r w:rsidRPr="00AF1DC8">
        <w:rPr>
          <w:rFonts w:ascii="Narkisim" w:hAnsi="Narkisim"/>
        </w:rPr>
        <w:t xml:space="preserve">. </w:t>
      </w:r>
      <w:r w:rsidRPr="00AF1DC8">
        <w:rPr>
          <w:rFonts w:ascii="Narkisim" w:hAnsi="Narkisim"/>
          <w:rtl/>
        </w:rPr>
        <w:t xml:space="preserve">יל”פ דכיון דיש לה </w:t>
      </w:r>
      <w:r w:rsidRPr="00AF1DC8">
        <w:rPr>
          <w:rFonts w:ascii="Narkisim" w:hAnsi="Narkisim"/>
          <w:rtl/>
        </w:rPr>
        <w:lastRenderedPageBreak/>
        <w:t>זכות שלא להתייבם לו, ומש”ה כלפי התביעה של היבמה נחשב דהגדול אינו יכול</w:t>
      </w:r>
      <w:r w:rsidRPr="00AF1DC8">
        <w:rPr>
          <w:rFonts w:ascii="Narkisim" w:hAnsi="Narkisim"/>
        </w:rPr>
        <w:t>.</w:t>
      </w:r>
    </w:p>
    <w:p w14:paraId="7B6BB04C" w14:textId="77777777" w:rsidR="006074A5" w:rsidRPr="00AF1DC8" w:rsidRDefault="006074A5" w:rsidP="006074A5">
      <w:pPr>
        <w:pStyle w:val="aa"/>
        <w:bidi/>
        <w:rPr>
          <w:rFonts w:ascii="Narkisim" w:hAnsi="Narkisim"/>
        </w:rPr>
      </w:pPr>
      <w:r w:rsidRPr="00AF1DC8">
        <w:rPr>
          <w:rFonts w:ascii="Narkisim" w:hAnsi="Narkisim"/>
          <w:u w:val="single"/>
          <w:rtl/>
        </w:rPr>
        <w:t>ביאת קטן וחליצת גדול.</w:t>
      </w:r>
      <w:r w:rsidRPr="00AF1DC8">
        <w:rPr>
          <w:rFonts w:ascii="Narkisim" w:hAnsi="Narkisim"/>
          <w:rtl/>
        </w:rPr>
        <w:t xml:space="preserve"> לצד דיש מעלה בעצם בגדול, יל”פ דהגמ' מסתפקת האם מעלת יבום ע”פ חליצה עדיף ממעלת גדול. ולצד דהוה סברא דמצוה רמי עליה, א”כ ספק הגמ' האם משום קיום מצוות יבום יש חיוב לקטן, כיון דהגדול אינו מקיים עיקר המצווה</w:t>
      </w:r>
      <w:r w:rsidRPr="00AF1DC8">
        <w:rPr>
          <w:rFonts w:ascii="Narkisim" w:hAnsi="Narkisim"/>
        </w:rPr>
        <w:t>.</w:t>
      </w:r>
    </w:p>
    <w:p w14:paraId="6D5757EE" w14:textId="77777777" w:rsidR="006074A5" w:rsidRPr="00AF1DC8" w:rsidRDefault="006074A5" w:rsidP="006074A5">
      <w:pPr>
        <w:bidi/>
        <w:rPr>
          <w:rFonts w:ascii="Narkisim" w:hAnsi="Narkisim" w:cs="Narkisim"/>
        </w:rPr>
      </w:pPr>
      <w:r w:rsidRPr="00AF1DC8">
        <w:rPr>
          <w:rFonts w:ascii="Narkisim" w:hAnsi="Narkisim" w:cs="Narkisim"/>
          <w:u w:val="single"/>
          <w:rtl/>
        </w:rPr>
        <w:t>רש"י ד"ה ביאת קטן.</w:t>
      </w:r>
      <w:r w:rsidRPr="00AF1DC8">
        <w:rPr>
          <w:rFonts w:ascii="Narkisim" w:hAnsi="Narkisim" w:cs="Narkisim"/>
          <w:rtl/>
        </w:rPr>
        <w:t xml:space="preserve"> האי קטן לאו קטן ממש וכו'. וה</w:t>
      </w:r>
      <w:r w:rsidRPr="00AF1DC8">
        <w:rPr>
          <w:rFonts w:ascii="Narkisim" w:hAnsi="Narkisim" w:cs="Narkisim"/>
          <w:b/>
          <w:bCs/>
          <w:rtl/>
        </w:rPr>
        <w:t>ריטב"א</w:t>
      </w:r>
      <w:r w:rsidRPr="00AF1DC8">
        <w:rPr>
          <w:rFonts w:ascii="Narkisim" w:hAnsi="Narkisim" w:cs="Narkisim"/>
          <w:rtl/>
        </w:rPr>
        <w:t xml:space="preserve"> כתב דלרש"י לגמ' לא מסתבר דביאת בן ט' עדיף מחליצת גדול</w:t>
      </w:r>
      <w:r w:rsidRPr="00AF1DC8">
        <w:rPr>
          <w:rStyle w:val="ac"/>
          <w:rFonts w:ascii="Narkisim" w:hAnsi="Narkisim" w:cs="Narkisim"/>
          <w:rtl/>
        </w:rPr>
        <w:footnoteReference w:id="2314"/>
      </w:r>
      <w:r w:rsidRPr="00AF1DC8">
        <w:rPr>
          <w:rFonts w:ascii="Narkisim" w:hAnsi="Narkisim" w:cs="Narkisim"/>
        </w:rPr>
        <w:t xml:space="preserve">. </w:t>
      </w:r>
      <w:r w:rsidRPr="00AF1DC8">
        <w:rPr>
          <w:rFonts w:ascii="Narkisim" w:hAnsi="Narkisim" w:cs="Narkisim"/>
          <w:rtl/>
        </w:rPr>
        <w:t>[וע"ע בע"ב]. אבל ה</w:t>
      </w:r>
      <w:r w:rsidRPr="00AF1DC8">
        <w:rPr>
          <w:rFonts w:ascii="Narkisim" w:hAnsi="Narkisim" w:cs="Narkisim"/>
          <w:b/>
          <w:bCs/>
          <w:rtl/>
        </w:rPr>
        <w:t>ריטב"א</w:t>
      </w:r>
      <w:r w:rsidRPr="00AF1DC8">
        <w:rPr>
          <w:rFonts w:ascii="Narkisim" w:hAnsi="Narkisim" w:cs="Narkisim"/>
          <w:rtl/>
        </w:rPr>
        <w:t xml:space="preserve"> הביא בשם ה</w:t>
      </w:r>
      <w:r w:rsidRPr="00AF1DC8">
        <w:rPr>
          <w:rFonts w:ascii="Narkisim" w:hAnsi="Narkisim" w:cs="Narkisim"/>
          <w:b/>
          <w:bCs/>
          <w:rtl/>
        </w:rPr>
        <w:t xml:space="preserve">תוס' </w:t>
      </w:r>
      <w:r w:rsidRPr="00AF1DC8">
        <w:rPr>
          <w:rFonts w:ascii="Narkisim" w:hAnsi="Narkisim" w:cs="Narkisim"/>
          <w:rtl/>
        </w:rPr>
        <w:t>דהגמ' קאי בקטן בן ט' ויום א'</w:t>
      </w:r>
      <w:r w:rsidRPr="00AF1DC8">
        <w:rPr>
          <w:rStyle w:val="ac"/>
          <w:rFonts w:ascii="Narkisim" w:hAnsi="Narkisim" w:cs="Narkisim"/>
          <w:rtl/>
        </w:rPr>
        <w:footnoteReference w:id="2315"/>
      </w:r>
      <w:r w:rsidRPr="00AF1DC8">
        <w:rPr>
          <w:rFonts w:ascii="Narkisim" w:hAnsi="Narkisim" w:cs="Narkisim"/>
          <w:rtl/>
        </w:rPr>
        <w:t xml:space="preserve">. וקו' הגמ' (בסמוך) דמשמע דקאי אכל האחים הראויין ליבום. </w:t>
      </w:r>
      <w:r w:rsidRPr="00AF1DC8">
        <w:rPr>
          <w:rFonts w:ascii="Narkisim" w:hAnsi="Narkisim" w:cs="Narkisim"/>
          <w:szCs w:val="20"/>
          <w:rtl/>
        </w:rPr>
        <w:t>וצ"ב דכיון דביאת קטן הוה מאמר בעלמא (כדלקמן צו:), ולדעת רוב ה</w:t>
      </w:r>
      <w:r w:rsidRPr="00AF1DC8">
        <w:rPr>
          <w:rFonts w:ascii="Narkisim" w:hAnsi="Narkisim" w:cs="Narkisim"/>
          <w:b/>
          <w:bCs/>
          <w:szCs w:val="20"/>
          <w:rtl/>
        </w:rPr>
        <w:t>ראשונים</w:t>
      </w:r>
      <w:r w:rsidRPr="00AF1DC8">
        <w:rPr>
          <w:rFonts w:ascii="Narkisim" w:hAnsi="Narkisim" w:cs="Narkisim"/>
          <w:szCs w:val="20"/>
          <w:rtl/>
        </w:rPr>
        <w:t xml:space="preserve"> [וכן הריטב"א לקמן סח וצו:] ל"ק כלל מדאורייתא. א"כ מה הצד דעדיף</w:t>
      </w:r>
      <w:r w:rsidRPr="00AF1DC8">
        <w:rPr>
          <w:rStyle w:val="ac"/>
          <w:rFonts w:ascii="Narkisim" w:hAnsi="Narkisim" w:cs="Narkisim"/>
          <w:szCs w:val="20"/>
          <w:rtl/>
        </w:rPr>
        <w:footnoteReference w:id="2316"/>
      </w:r>
      <w:r w:rsidRPr="00AF1DC8">
        <w:rPr>
          <w:rFonts w:ascii="Narkisim" w:hAnsi="Narkisim" w:cs="Narkisim"/>
          <w:szCs w:val="20"/>
        </w:rPr>
        <w:t>.</w:t>
      </w:r>
    </w:p>
    <w:p w14:paraId="4AD53D45" w14:textId="77777777" w:rsidR="006074A5" w:rsidRPr="00AF1DC8" w:rsidRDefault="006074A5" w:rsidP="006074A5">
      <w:pPr>
        <w:bidi/>
        <w:rPr>
          <w:rFonts w:ascii="Narkisim" w:hAnsi="Narkisim" w:cs="Narkisim"/>
        </w:rPr>
      </w:pPr>
      <w:r w:rsidRPr="00AF1DC8">
        <w:rPr>
          <w:rFonts w:ascii="Narkisim" w:hAnsi="Narkisim" w:cs="Narkisim"/>
          <w:u w:val="single"/>
          <w:rtl/>
        </w:rPr>
        <w:t>בא"ד ואפי' מאן דלא חייש למיעוט, וקטן מותר לייבם וכו'.</w:t>
      </w:r>
      <w:r w:rsidRPr="00AF1DC8">
        <w:rPr>
          <w:rFonts w:ascii="Narkisim" w:hAnsi="Narkisim" w:cs="Narkisim"/>
          <w:rtl/>
        </w:rPr>
        <w:t xml:space="preserve"> </w:t>
      </w:r>
      <w:r w:rsidRPr="00AF1DC8">
        <w:rPr>
          <w:rFonts w:ascii="Narkisim" w:hAnsi="Narkisim" w:cs="Narkisim"/>
          <w:b/>
          <w:bCs/>
          <w:rtl/>
        </w:rPr>
        <w:t>רש”י</w:t>
      </w:r>
      <w:r w:rsidRPr="00AF1DC8">
        <w:rPr>
          <w:rFonts w:ascii="Narkisim" w:hAnsi="Narkisim" w:cs="Narkisim"/>
          <w:rtl/>
        </w:rPr>
        <w:t xml:space="preserve"> קאי לשיטתו (קידושין יט.) דמדאורייתא מהני יבום קטן בן ט', והא דנחשב כמאמר היינו מדרבנן. וממעטינן אשת איש פרט לאשת קטן, דאין חיוב מיתה באשת בן ט'</w:t>
      </w:r>
      <w:r w:rsidRPr="00AF1DC8">
        <w:rPr>
          <w:rStyle w:val="ac"/>
          <w:rFonts w:ascii="Narkisim" w:hAnsi="Narkisim" w:cs="Narkisim"/>
          <w:rtl/>
        </w:rPr>
        <w:footnoteReference w:id="2317"/>
      </w:r>
      <w:r w:rsidRPr="00AF1DC8">
        <w:rPr>
          <w:rFonts w:ascii="Narkisim" w:hAnsi="Narkisim" w:cs="Narkisim"/>
          <w:rtl/>
        </w:rPr>
        <w:t xml:space="preserve">. אבל דעת </w:t>
      </w:r>
      <w:r w:rsidRPr="00AF1DC8">
        <w:rPr>
          <w:rFonts w:ascii="Narkisim" w:hAnsi="Narkisim" w:cs="Narkisim"/>
          <w:b/>
          <w:bCs/>
          <w:rtl/>
        </w:rPr>
        <w:t>תוס</w:t>
      </w:r>
      <w:r w:rsidRPr="00AF1DC8">
        <w:rPr>
          <w:rFonts w:ascii="Narkisim" w:hAnsi="Narkisim" w:cs="Narkisim"/>
          <w:rtl/>
        </w:rPr>
        <w:t>' (שם) דממעטינן דאין אישות לקטן, ולא קנה יבמתו. אלא דמדרבנן נחשב כמאמר</w:t>
      </w:r>
      <w:r w:rsidRPr="00AF1DC8">
        <w:rPr>
          <w:rFonts w:ascii="Narkisim" w:hAnsi="Narkisim" w:cs="Narkisim"/>
        </w:rPr>
        <w:t>.</w:t>
      </w:r>
    </w:p>
    <w:p w14:paraId="719C6AFD" w14:textId="77777777" w:rsidR="006074A5" w:rsidRPr="00AF1DC8" w:rsidRDefault="006074A5" w:rsidP="006074A5">
      <w:pPr>
        <w:pStyle w:val="aa"/>
        <w:bidi/>
        <w:rPr>
          <w:rFonts w:ascii="Narkisim" w:hAnsi="Narkisim"/>
        </w:rPr>
      </w:pPr>
      <w:r w:rsidRPr="00AF1DC8">
        <w:rPr>
          <w:rFonts w:ascii="Narkisim" w:hAnsi="Narkisim"/>
          <w:u w:val="single"/>
          <w:rtl/>
        </w:rPr>
        <w:t>בא"ד הכא וכו' בקטן עד שיגדיל, אלמא בקטן ממש כולהו מודו.</w:t>
      </w:r>
      <w:r w:rsidRPr="00AF1DC8">
        <w:rPr>
          <w:rFonts w:ascii="Narkisim" w:hAnsi="Narkisim"/>
          <w:rtl/>
        </w:rPr>
        <w:t xml:space="preserve"> [ולפ"ז הסוגיא קאי כר' מאיר]. וב</w:t>
      </w:r>
      <w:r w:rsidRPr="00AF1DC8">
        <w:rPr>
          <w:rFonts w:ascii="Narkisim" w:hAnsi="Narkisim"/>
          <w:b/>
          <w:bCs/>
          <w:rtl/>
        </w:rPr>
        <w:t>ריטב"א</w:t>
      </w:r>
      <w:r w:rsidRPr="00AF1DC8">
        <w:rPr>
          <w:rFonts w:ascii="Narkisim" w:hAnsi="Narkisim"/>
          <w:rtl/>
        </w:rPr>
        <w:t xml:space="preserve"> דחה די"ל דביאת בן ט' הוה יבום לאלתר</w:t>
      </w:r>
      <w:r w:rsidRPr="00AF1DC8">
        <w:rPr>
          <w:rStyle w:val="ac"/>
          <w:rFonts w:ascii="Narkisim" w:hAnsi="Narkisim"/>
          <w:rtl/>
        </w:rPr>
        <w:footnoteReference w:id="2318"/>
      </w:r>
      <w:r w:rsidRPr="00AF1DC8">
        <w:rPr>
          <w:rFonts w:ascii="Narkisim" w:hAnsi="Narkisim"/>
        </w:rPr>
        <w:t xml:space="preserve">, </w:t>
      </w:r>
      <w:r w:rsidRPr="00AF1DC8">
        <w:rPr>
          <w:rFonts w:ascii="Narkisim" w:hAnsi="Narkisim"/>
          <w:rtl/>
        </w:rPr>
        <w:t>והגמ' קאי בפחות מבן ט</w:t>
      </w:r>
      <w:r w:rsidRPr="00AF1DC8">
        <w:rPr>
          <w:rFonts w:ascii="Narkisim" w:hAnsi="Narkisim"/>
        </w:rPr>
        <w:t>'.</w:t>
      </w:r>
    </w:p>
    <w:p w14:paraId="18C14D78" w14:textId="77777777" w:rsidR="006074A5" w:rsidRPr="00AF1DC8" w:rsidRDefault="006074A5" w:rsidP="006074A5">
      <w:pPr>
        <w:bidi/>
        <w:rPr>
          <w:rFonts w:ascii="Narkisim" w:hAnsi="Narkisim" w:cs="Narkisim"/>
        </w:rPr>
      </w:pPr>
      <w:r w:rsidRPr="00AF1DC8">
        <w:rPr>
          <w:rFonts w:ascii="Narkisim" w:hAnsi="Narkisim" w:cs="Narkisim"/>
          <w:u w:val="single"/>
          <w:rtl/>
        </w:rPr>
        <w:t>אמאי חוזרין אצל הגדול למיכפייה.</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א"א בשלמא דכולהו בעי למיחלוץ, איהו קדים. משמע ברש”י דבמצוה יש קדימה לגדול [אף לחליצה], אלא דיש סברא לא נטרח לבי”ד. וה</w:t>
      </w:r>
      <w:r w:rsidRPr="00AF1DC8">
        <w:rPr>
          <w:rFonts w:ascii="Narkisim" w:hAnsi="Narkisim" w:cs="Narkisim"/>
          <w:b/>
          <w:bCs/>
          <w:rtl/>
        </w:rPr>
        <w:t>רש"ש</w:t>
      </w:r>
      <w:r w:rsidRPr="00AF1DC8">
        <w:rPr>
          <w:rFonts w:ascii="Narkisim" w:hAnsi="Narkisim" w:cs="Narkisim"/>
          <w:rtl/>
        </w:rPr>
        <w:t xml:space="preserve"> ביאר דקושיית הגמ' דע"כ לא כייפינן משום מצווה דגדול</w:t>
      </w:r>
      <w:r w:rsidRPr="00AF1DC8">
        <w:rPr>
          <w:rStyle w:val="ac"/>
          <w:rFonts w:ascii="Narkisim" w:hAnsi="Narkisim" w:cs="Narkisim"/>
          <w:rtl/>
        </w:rPr>
        <w:footnoteReference w:id="2319"/>
      </w:r>
      <w:r w:rsidRPr="00AF1DC8">
        <w:rPr>
          <w:rFonts w:ascii="Narkisim" w:hAnsi="Narkisim" w:cs="Narkisim"/>
        </w:rPr>
        <w:t xml:space="preserve">. </w:t>
      </w:r>
      <w:r w:rsidRPr="00AF1DC8">
        <w:rPr>
          <w:rFonts w:ascii="Narkisim" w:hAnsi="Narkisim" w:cs="Narkisim"/>
          <w:rtl/>
        </w:rPr>
        <w:t xml:space="preserve">דהא חליצת גדול עדיפא, ולא כייפינן [ועד”ז כת' בחי' ר”א מן ההר]. </w:t>
      </w:r>
      <w:r w:rsidRPr="00AF1DC8">
        <w:rPr>
          <w:rFonts w:ascii="Narkisim" w:hAnsi="Narkisim" w:cs="Narkisim"/>
          <w:sz w:val="20"/>
          <w:szCs w:val="20"/>
          <w:rtl/>
        </w:rPr>
        <w:t>[והגמ' תי' דכיון דצריך לכוף, כייפינן אף משום מצווה בגדול</w:t>
      </w:r>
      <w:r w:rsidRPr="00AF1DC8">
        <w:rPr>
          <w:rStyle w:val="ac"/>
          <w:rFonts w:ascii="Narkisim" w:hAnsi="Narkisim" w:cs="Narkisim"/>
          <w:sz w:val="20"/>
          <w:szCs w:val="20"/>
          <w:rtl/>
        </w:rPr>
        <w:footnoteReference w:id="2320"/>
      </w:r>
      <w:r w:rsidRPr="00AF1DC8">
        <w:rPr>
          <w:rFonts w:ascii="Narkisim" w:hAnsi="Narkisim" w:cs="Narkisim"/>
          <w:sz w:val="20"/>
          <w:szCs w:val="20"/>
          <w:rtl/>
        </w:rPr>
        <w:t>]</w:t>
      </w:r>
      <w:r w:rsidRPr="00AF1DC8">
        <w:rPr>
          <w:rFonts w:ascii="Narkisim" w:hAnsi="Narkisim" w:cs="Narkisim"/>
          <w:sz w:val="20"/>
          <w:szCs w:val="20"/>
        </w:rPr>
        <w:t>.</w:t>
      </w:r>
    </w:p>
    <w:p w14:paraId="4AC5BB40" w14:textId="77777777" w:rsidR="006074A5" w:rsidRPr="00AF1DC8" w:rsidRDefault="006074A5" w:rsidP="006074A5">
      <w:pPr>
        <w:bidi/>
        <w:rPr>
          <w:rFonts w:ascii="Narkisim" w:hAnsi="Narkisim" w:cs="Narkisim"/>
        </w:rPr>
      </w:pPr>
      <w:r w:rsidRPr="00AF1DC8">
        <w:rPr>
          <w:rFonts w:ascii="Narkisim" w:hAnsi="Narkisim" w:cs="Narkisim"/>
          <w:rtl/>
        </w:rPr>
        <w:t>ו</w:t>
      </w:r>
      <w:r w:rsidRPr="00AF1DC8">
        <w:rPr>
          <w:rFonts w:ascii="Narkisim" w:hAnsi="Narkisim" w:cs="Narkisim"/>
          <w:b/>
          <w:bCs/>
          <w:rtl/>
        </w:rPr>
        <w:t>רע"א</w:t>
      </w:r>
      <w:r w:rsidRPr="00AF1DC8">
        <w:rPr>
          <w:rFonts w:ascii="Narkisim" w:hAnsi="Narkisim" w:cs="Narkisim"/>
          <w:rtl/>
        </w:rPr>
        <w:t xml:space="preserve"> נסתפק אם כפו לקטן האם מקרי חליצה מעושית שלא כדין. או כיון דאין לפנינו יבם הרוצה לחלוץ מקרי כדין. אלא דמשום מצווה מן המובחר היו בוחרים בגדול</w:t>
      </w:r>
      <w:r w:rsidRPr="00AF1DC8">
        <w:rPr>
          <w:rFonts w:ascii="Narkisim" w:hAnsi="Narkisim" w:cs="Narkisim"/>
        </w:rPr>
        <w:t>.</w:t>
      </w:r>
    </w:p>
    <w:p w14:paraId="1EAD6B1B" w14:textId="77777777" w:rsidR="006074A5" w:rsidRPr="00AF1DC8" w:rsidRDefault="006074A5" w:rsidP="006074A5">
      <w:pPr>
        <w:bidi/>
        <w:rPr>
          <w:rFonts w:ascii="Narkisim" w:hAnsi="Narkisim" w:cs="Narkisim"/>
        </w:rPr>
      </w:pPr>
      <w:r w:rsidRPr="00AF1DC8">
        <w:rPr>
          <w:rFonts w:ascii="Narkisim" w:hAnsi="Narkisim" w:cs="Narkisim"/>
          <w:u w:val="single"/>
          <w:rtl/>
        </w:rPr>
        <w:t>תוד"ה גבי.</w:t>
      </w:r>
      <w:r w:rsidRPr="00AF1DC8">
        <w:rPr>
          <w:rFonts w:ascii="Narkisim" w:hAnsi="Narkisim" w:cs="Narkisim"/>
          <w:rtl/>
        </w:rPr>
        <w:t xml:space="preserve"> אפי' וכו' אלא לחלוץ ה”מ למפרך</w:t>
      </w:r>
      <w:r w:rsidRPr="00AF1DC8">
        <w:rPr>
          <w:rStyle w:val="ac"/>
          <w:rFonts w:ascii="Narkisim" w:hAnsi="Narkisim" w:cs="Narkisim"/>
          <w:rtl/>
        </w:rPr>
        <w:footnoteReference w:id="2321"/>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רש"ש</w:t>
      </w:r>
      <w:r w:rsidRPr="00AF1DC8">
        <w:rPr>
          <w:rFonts w:ascii="Narkisim" w:hAnsi="Narkisim" w:cs="Narkisim"/>
          <w:rtl/>
        </w:rPr>
        <w:t xml:space="preserve"> כת' דמשמע דאף למסקנא הדין כן, דכופין את הגדול. ואפי' היכא דהקטן רוצה לחלוץ, דחליצה לא תלי' ברצונו. אבל ה</w:t>
      </w:r>
      <w:r w:rsidRPr="00AF1DC8">
        <w:rPr>
          <w:rFonts w:ascii="Narkisim" w:hAnsi="Narkisim" w:cs="Narkisim"/>
          <w:b/>
          <w:bCs/>
          <w:rtl/>
        </w:rPr>
        <w:t>בי"ש</w:t>
      </w:r>
      <w:r w:rsidRPr="00AF1DC8">
        <w:rPr>
          <w:rFonts w:ascii="Narkisim" w:hAnsi="Narkisim" w:cs="Narkisim"/>
          <w:sz w:val="20"/>
          <w:szCs w:val="20"/>
          <w:rtl/>
        </w:rPr>
        <w:t xml:space="preserve"> (קסא ז)</w:t>
      </w:r>
      <w:r w:rsidRPr="00AF1DC8">
        <w:rPr>
          <w:rFonts w:ascii="Narkisim" w:hAnsi="Narkisim" w:cs="Narkisim"/>
          <w:rtl/>
        </w:rPr>
        <w:t xml:space="preserve"> כ' </w:t>
      </w:r>
      <w:r w:rsidRPr="00AF1DC8">
        <w:rPr>
          <w:rFonts w:ascii="Narkisim" w:hAnsi="Narkisim" w:cs="Narkisim"/>
          <w:sz w:val="20"/>
          <w:szCs w:val="20"/>
          <w:rtl/>
        </w:rPr>
        <w:t xml:space="preserve">בשם </w:t>
      </w:r>
      <w:r w:rsidRPr="00AF1DC8">
        <w:rPr>
          <w:rFonts w:ascii="Narkisim" w:hAnsi="Narkisim" w:cs="Narkisim"/>
          <w:b/>
          <w:bCs/>
          <w:sz w:val="20"/>
          <w:szCs w:val="20"/>
          <w:rtl/>
        </w:rPr>
        <w:t xml:space="preserve">רי”ו </w:t>
      </w:r>
      <w:r w:rsidRPr="00AF1DC8">
        <w:rPr>
          <w:rFonts w:ascii="Narkisim" w:hAnsi="Narkisim" w:cs="Narkisim"/>
          <w:sz w:val="20"/>
          <w:szCs w:val="20"/>
          <w:rtl/>
        </w:rPr>
        <w:t>בשם ה</w:t>
      </w:r>
      <w:r w:rsidRPr="00AF1DC8">
        <w:rPr>
          <w:rFonts w:ascii="Narkisim" w:hAnsi="Narkisim" w:cs="Narkisim"/>
          <w:b/>
          <w:bCs/>
          <w:sz w:val="20"/>
          <w:szCs w:val="20"/>
          <w:rtl/>
        </w:rPr>
        <w:t>רמ”ה</w:t>
      </w:r>
      <w:r w:rsidRPr="00AF1DC8">
        <w:rPr>
          <w:rFonts w:ascii="Narkisim" w:hAnsi="Narkisim" w:cs="Narkisim"/>
          <w:rtl/>
        </w:rPr>
        <w:t xml:space="preserve"> דכשהקטן רוצה לחלוץ אין כופין לגדול</w:t>
      </w:r>
      <w:r w:rsidRPr="00AF1DC8">
        <w:rPr>
          <w:rFonts w:ascii="Narkisim" w:hAnsi="Narkisim" w:cs="Narkisim"/>
        </w:rPr>
        <w:t>.</w:t>
      </w:r>
    </w:p>
    <w:p w14:paraId="7DF2B10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רש"ש</w:t>
      </w:r>
      <w:r w:rsidRPr="00AF1DC8">
        <w:rPr>
          <w:rFonts w:ascii="Narkisim" w:hAnsi="Narkisim"/>
          <w:rtl/>
        </w:rPr>
        <w:t xml:space="preserve"> הקשה [לתוס'] דלל"ב חליצת גדול עדיפא [מיבום דקטן], ומ"מ לא כייפינן. וכתב לחלק דהתם שהקטן רוצה לייבם עדיף</w:t>
      </w:r>
      <w:r w:rsidRPr="00AF1DC8">
        <w:rPr>
          <w:rStyle w:val="ac"/>
          <w:rFonts w:ascii="Narkisim" w:hAnsi="Narkisim"/>
          <w:rtl/>
        </w:rPr>
        <w:footnoteReference w:id="2322"/>
      </w:r>
      <w:r w:rsidRPr="00AF1DC8">
        <w:rPr>
          <w:rFonts w:ascii="Narkisim" w:hAnsi="Narkisim"/>
        </w:rPr>
        <w:t>.</w:t>
      </w:r>
    </w:p>
    <w:p w14:paraId="627DC7DC" w14:textId="77777777" w:rsidR="006074A5" w:rsidRPr="00AF1DC8" w:rsidRDefault="006074A5" w:rsidP="006074A5">
      <w:pPr>
        <w:bidi/>
        <w:rPr>
          <w:rFonts w:ascii="Narkisim" w:hAnsi="Narkisim" w:cs="Narkisim"/>
        </w:rPr>
      </w:pPr>
      <w:r w:rsidRPr="00AF1DC8">
        <w:rPr>
          <w:rFonts w:ascii="Narkisim" w:hAnsi="Narkisim" w:cs="Narkisim"/>
          <w:u w:val="single"/>
          <w:rtl/>
        </w:rPr>
        <w:t>ובגדול עד שיבא ממדינת הים וכו', שהויי מצוה לא משהינן.</w:t>
      </w:r>
      <w:r w:rsidRPr="00AF1DC8">
        <w:rPr>
          <w:rFonts w:ascii="Narkisim" w:hAnsi="Narkisim" w:cs="Narkisim"/>
          <w:rtl/>
        </w:rPr>
        <w:t xml:space="preserve"> ה</w:t>
      </w:r>
      <w:r w:rsidRPr="00AF1DC8">
        <w:rPr>
          <w:rFonts w:ascii="Narkisim" w:hAnsi="Narkisim" w:cs="Narkisim"/>
          <w:b/>
          <w:bCs/>
          <w:rtl/>
        </w:rPr>
        <w:t>תה"ד</w:t>
      </w:r>
      <w:r w:rsidRPr="00AF1DC8">
        <w:rPr>
          <w:rFonts w:ascii="Narkisim" w:hAnsi="Narkisim" w:cs="Narkisim"/>
          <w:rtl/>
        </w:rPr>
        <w:t xml:space="preserve"> (לה) דייק דדוקא במדינת הים, דיש לחוש שיתבטל המצוה. אבל ממדינה למדינה דקרוב הדבר שיבא משהינן כדי לקיים מצוה מן המובחר</w:t>
      </w:r>
      <w:r w:rsidRPr="00AF1DC8">
        <w:rPr>
          <w:rFonts w:ascii="Narkisim" w:hAnsi="Narkisim" w:cs="Narkisim"/>
        </w:rPr>
        <w:t>.</w:t>
      </w:r>
    </w:p>
    <w:p w14:paraId="0E6921DC" w14:textId="77777777" w:rsidR="006074A5" w:rsidRPr="00AF1DC8" w:rsidRDefault="006074A5" w:rsidP="006074A5">
      <w:pPr>
        <w:pStyle w:val="a8"/>
        <w:bidi/>
        <w:rPr>
          <w:rFonts w:ascii="Narkisim" w:hAnsi="Narkisim"/>
        </w:rPr>
      </w:pPr>
      <w:r w:rsidRPr="00AF1DC8">
        <w:rPr>
          <w:rFonts w:ascii="Narkisim" w:hAnsi="Narkisim"/>
          <w:rtl/>
        </w:rPr>
        <w:t>והתה"ד למד מזה לענין קידוש לבנה דיש להמתין עד מוצ"ש משום מצוה מן המובחר [שיהא מבושם</w:t>
      </w:r>
      <w:r w:rsidRPr="00AF1DC8">
        <w:rPr>
          <w:rStyle w:val="ac"/>
          <w:rFonts w:ascii="Narkisim" w:hAnsi="Narkisim"/>
          <w:rtl/>
        </w:rPr>
        <w:footnoteReference w:id="2323"/>
      </w:r>
      <w:r w:rsidRPr="00AF1DC8">
        <w:rPr>
          <w:rFonts w:ascii="Narkisim" w:hAnsi="Narkisim"/>
          <w:rtl/>
        </w:rPr>
        <w:t>], אא"כ יש חשש שיתבטל המצוה [והובא ב</w:t>
      </w:r>
      <w:r w:rsidRPr="00AF1DC8">
        <w:rPr>
          <w:rFonts w:ascii="Narkisim" w:hAnsi="Narkisim"/>
          <w:b/>
          <w:bCs/>
          <w:rtl/>
        </w:rPr>
        <w:t>רמ"א</w:t>
      </w:r>
      <w:r w:rsidRPr="00AF1DC8">
        <w:rPr>
          <w:rFonts w:ascii="Narkisim" w:hAnsi="Narkisim"/>
          <w:rtl/>
        </w:rPr>
        <w:t xml:space="preserve"> או"ח תכו ב]. אבל ה</w:t>
      </w:r>
      <w:r w:rsidRPr="00AF1DC8">
        <w:rPr>
          <w:rFonts w:ascii="Narkisim" w:hAnsi="Narkisim"/>
          <w:b/>
          <w:bCs/>
          <w:rtl/>
        </w:rPr>
        <w:t>גר"א</w:t>
      </w:r>
      <w:r w:rsidRPr="00AF1DC8">
        <w:rPr>
          <w:rFonts w:ascii="Narkisim" w:hAnsi="Narkisim"/>
          <w:rtl/>
        </w:rPr>
        <w:t xml:space="preserve"> (מעשה רב קנט, והו' בביאו”ה שם, ובמשנ”ב תכו כ ועוד פוסקים) נקט דלא להחמיץ את המצווה, אלא יקדש תיכף אחר ג' ימים</w:t>
      </w:r>
      <w:r w:rsidRPr="00AF1DC8">
        <w:rPr>
          <w:rFonts w:ascii="Narkisim" w:hAnsi="Narkisim"/>
        </w:rPr>
        <w:t>.</w:t>
      </w:r>
    </w:p>
    <w:p w14:paraId="7244ADB7" w14:textId="77777777" w:rsidR="006074A5" w:rsidRPr="00AF1DC8" w:rsidRDefault="006074A5" w:rsidP="006074A5">
      <w:pPr>
        <w:pStyle w:val="a8"/>
        <w:bidi/>
        <w:rPr>
          <w:rFonts w:ascii="Narkisim" w:hAnsi="Narkisim"/>
        </w:rPr>
      </w:pPr>
      <w:r w:rsidRPr="00AF1DC8">
        <w:rPr>
          <w:rFonts w:ascii="Narkisim" w:hAnsi="Narkisim"/>
        </w:rPr>
        <w:t>[</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האריכו לדון האם 'שהויי מצווה' ו'זריזין מקדימין' הוה אותו דין. ואכמ"ל, וע”ע לקמן מז</w:t>
      </w:r>
      <w:r w:rsidRPr="00AF1DC8">
        <w:rPr>
          <w:rFonts w:ascii="Narkisim" w:hAnsi="Narkisim"/>
        </w:rPr>
        <w:t>:].</w:t>
      </w:r>
    </w:p>
    <w:p w14:paraId="4FC9398B" w14:textId="77777777" w:rsidR="006074A5" w:rsidRPr="00AF1DC8" w:rsidRDefault="006074A5" w:rsidP="006074A5">
      <w:pPr>
        <w:bidi/>
        <w:rPr>
          <w:rFonts w:ascii="Narkisim" w:hAnsi="Narkisim" w:cs="Narkisim"/>
        </w:rPr>
      </w:pPr>
      <w:r w:rsidRPr="00AF1DC8">
        <w:rPr>
          <w:rFonts w:ascii="Narkisim" w:hAnsi="Narkisim" w:cs="Narkisim"/>
          <w:rtl/>
        </w:rPr>
        <w:lastRenderedPageBreak/>
        <w:t>וה</w:t>
      </w:r>
      <w:r w:rsidRPr="00AF1DC8">
        <w:rPr>
          <w:rFonts w:ascii="Narkisim" w:hAnsi="Narkisim" w:cs="Narkisim"/>
          <w:b/>
          <w:bCs/>
          <w:rtl/>
        </w:rPr>
        <w:t>מג"א</w:t>
      </w:r>
      <w:r w:rsidRPr="00AF1DC8">
        <w:rPr>
          <w:rFonts w:ascii="Narkisim" w:hAnsi="Narkisim" w:cs="Narkisim"/>
          <w:rtl/>
        </w:rPr>
        <w:t xml:space="preserve"> (כה ב) הביא מסוגיין דאם יש תפילין מזומנין ולא טלית, יניח את התפילין. ולא ימתין עד שיביאו לו טלית כדי לקיים יותר מן המובחר, דשהוי מצוה לא משהינן. וה</w:t>
      </w:r>
      <w:r w:rsidRPr="00AF1DC8">
        <w:rPr>
          <w:rFonts w:ascii="Narkisim" w:hAnsi="Narkisim" w:cs="Narkisim"/>
          <w:b/>
          <w:bCs/>
          <w:rtl/>
        </w:rPr>
        <w:t>אחרונים</w:t>
      </w:r>
      <w:r w:rsidRPr="00AF1DC8">
        <w:rPr>
          <w:rFonts w:ascii="Narkisim" w:hAnsi="Narkisim" w:cs="Narkisim"/>
          <w:sz w:val="20"/>
          <w:szCs w:val="20"/>
          <w:rtl/>
        </w:rPr>
        <w:t xml:space="preserve"> (ישרש יעקב וכן ב</w:t>
      </w:r>
      <w:r w:rsidRPr="00AF1DC8">
        <w:rPr>
          <w:rFonts w:ascii="Narkisim" w:hAnsi="Narkisim" w:cs="Narkisim"/>
          <w:b/>
          <w:bCs/>
          <w:sz w:val="20"/>
          <w:szCs w:val="20"/>
          <w:rtl/>
        </w:rPr>
        <w:t>ביאו"ה</w:t>
      </w:r>
      <w:r w:rsidRPr="00AF1DC8">
        <w:rPr>
          <w:rFonts w:ascii="Narkisim" w:hAnsi="Narkisim" w:cs="Narkisim"/>
          <w:sz w:val="20"/>
          <w:szCs w:val="20"/>
          <w:rtl/>
        </w:rPr>
        <w:t xml:space="preserve"> כה ד"ה פגע)</w:t>
      </w:r>
      <w:r w:rsidRPr="00AF1DC8">
        <w:rPr>
          <w:rFonts w:ascii="Narkisim" w:hAnsi="Narkisim" w:cs="Narkisim"/>
          <w:rtl/>
        </w:rPr>
        <w:t xml:space="preserve"> הקשו דמשמע דאף שאין חשש שיתבטל המצוה. </w:t>
      </w:r>
      <w:r w:rsidRPr="00AF1DC8">
        <w:rPr>
          <w:rFonts w:ascii="Narkisim" w:hAnsi="Narkisim" w:cs="Narkisim"/>
          <w:sz w:val="20"/>
          <w:szCs w:val="20"/>
          <w:rtl/>
        </w:rPr>
        <w:t>ושמעתי ליישב דבתפילין כל רגע שמניח מקיים מצוה בפנ"ע, ואף המג"א אתי עלה משום שיש בזה ביטול המצוה</w:t>
      </w:r>
      <w:r w:rsidRPr="00AF1DC8">
        <w:rPr>
          <w:rFonts w:ascii="Narkisim" w:hAnsi="Narkisim" w:cs="Narkisim"/>
          <w:sz w:val="20"/>
          <w:szCs w:val="20"/>
        </w:rPr>
        <w:t>.</w:t>
      </w:r>
    </w:p>
    <w:p w14:paraId="75B17145" w14:textId="77777777" w:rsidR="006074A5" w:rsidRPr="00AF1DC8" w:rsidRDefault="006074A5" w:rsidP="006074A5">
      <w:pPr>
        <w:pStyle w:val="3"/>
        <w:bidi/>
        <w:rPr>
          <w:rFonts w:ascii="Narkisim" w:hAnsi="Narkisim"/>
        </w:rPr>
      </w:pPr>
      <w:r w:rsidRPr="00AF1DC8">
        <w:rPr>
          <w:rFonts w:ascii="Narkisim" w:hAnsi="Narkisim"/>
          <w:rtl/>
        </w:rPr>
        <w:t>דף לט</w:t>
      </w:r>
      <w:r w:rsidRPr="00AF1DC8">
        <w:rPr>
          <w:rFonts w:ascii="Narkisim" w:hAnsi="Narkisim"/>
        </w:rPr>
        <w:t>:</w:t>
      </w:r>
    </w:p>
    <w:p w14:paraId="335353DC" w14:textId="77777777" w:rsidR="006074A5" w:rsidRPr="00AF1DC8" w:rsidRDefault="006074A5" w:rsidP="006074A5">
      <w:pPr>
        <w:bidi/>
        <w:rPr>
          <w:rFonts w:ascii="Narkisim" w:hAnsi="Narkisim" w:cs="Narkisim"/>
        </w:rPr>
      </w:pPr>
      <w:r w:rsidRPr="00AF1DC8">
        <w:rPr>
          <w:rFonts w:ascii="Narkisim" w:hAnsi="Narkisim" w:cs="Narkisim"/>
          <w:u w:val="single"/>
          <w:rtl/>
        </w:rPr>
        <w:t>א"ד וכו' חליצת גדול וחליצת קטן פליגי.</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הביאו דמשמע דהוה מצוה מן המובחר בגדול, ואף בחליצה שייך מעלה במצווה [וכלשון הגמ' 'עדיפא']. א"נ הנידון על מי רמי החיוב לחלוץ לה</w:t>
      </w:r>
      <w:r w:rsidRPr="00AF1DC8">
        <w:rPr>
          <w:rStyle w:val="ac"/>
          <w:rFonts w:ascii="Narkisim" w:hAnsi="Narkisim" w:cs="Narkisim"/>
          <w:rtl/>
        </w:rPr>
        <w:footnoteReference w:id="2324"/>
      </w:r>
      <w:r w:rsidRPr="00AF1DC8">
        <w:rPr>
          <w:rFonts w:ascii="Narkisim" w:hAnsi="Narkisim" w:cs="Narkisim"/>
        </w:rPr>
        <w:t>.</w:t>
      </w:r>
    </w:p>
    <w:p w14:paraId="1EC4F910" w14:textId="77777777" w:rsidR="006074A5" w:rsidRPr="00AF1DC8" w:rsidRDefault="006074A5" w:rsidP="006074A5">
      <w:pPr>
        <w:bidi/>
        <w:rPr>
          <w:rFonts w:ascii="Narkisim" w:hAnsi="Narkisim" w:cs="Narkisim"/>
        </w:rPr>
      </w:pPr>
      <w:r w:rsidRPr="00AF1DC8">
        <w:rPr>
          <w:rFonts w:ascii="Narkisim" w:hAnsi="Narkisim" w:cs="Narkisim"/>
          <w:u w:val="single"/>
          <w:rtl/>
        </w:rPr>
        <w:t>שם. קטן</w:t>
      </w:r>
      <w:r w:rsidRPr="00AF1DC8">
        <w:rPr>
          <w:rFonts w:ascii="Narkisim" w:hAnsi="Narkisim" w:cs="Narkisim"/>
          <w:rtl/>
        </w:rPr>
        <w:t>. ה</w:t>
      </w:r>
      <w:r w:rsidRPr="00AF1DC8">
        <w:rPr>
          <w:rFonts w:ascii="Narkisim" w:hAnsi="Narkisim" w:cs="Narkisim"/>
          <w:b/>
          <w:bCs/>
          <w:rtl/>
        </w:rPr>
        <w:t>רי"ף</w:t>
      </w:r>
      <w:r w:rsidRPr="00AF1DC8">
        <w:rPr>
          <w:rFonts w:ascii="Narkisim" w:hAnsi="Narkisim" w:cs="Narkisim"/>
          <w:rtl/>
        </w:rPr>
        <w:t xml:space="preserve"> כת' דהאי קטן לאו קטן ממש, דלענין חליצה בעינן שיהא בן י"ג והביא שערות</w:t>
      </w:r>
      <w:r w:rsidRPr="00AF1DC8">
        <w:rPr>
          <w:rFonts w:ascii="Narkisim" w:hAnsi="Narkisim" w:cs="Narkisim"/>
          <w:sz w:val="20"/>
          <w:szCs w:val="20"/>
          <w:rtl/>
        </w:rPr>
        <w:t xml:space="preserve"> (וכדלקמן קד: וסא:)</w:t>
      </w:r>
      <w:r w:rsidRPr="00AF1DC8">
        <w:rPr>
          <w:rStyle w:val="ac"/>
          <w:rFonts w:ascii="Narkisim" w:hAnsi="Narkisim" w:cs="Narkisim"/>
          <w:sz w:val="20"/>
          <w:szCs w:val="20"/>
          <w:rtl/>
        </w:rPr>
        <w:footnoteReference w:id="2325"/>
      </w:r>
      <w:r w:rsidRPr="00AF1DC8">
        <w:rPr>
          <w:rFonts w:ascii="Narkisim" w:hAnsi="Narkisim" w:cs="Narkisim"/>
          <w:sz w:val="20"/>
          <w:szCs w:val="20"/>
        </w:rPr>
        <w:t>.</w:t>
      </w:r>
    </w:p>
    <w:p w14:paraId="0593A200" w14:textId="77777777" w:rsidR="006074A5" w:rsidRPr="00AF1DC8" w:rsidRDefault="006074A5" w:rsidP="006074A5">
      <w:pPr>
        <w:pStyle w:val="2"/>
        <w:bidi/>
        <w:rPr>
          <w:rFonts w:ascii="Narkisim" w:hAnsi="Narkisim"/>
        </w:rPr>
      </w:pPr>
      <w:r w:rsidRPr="00AF1DC8">
        <w:rPr>
          <w:rFonts w:ascii="Narkisim" w:hAnsi="Narkisim"/>
          <w:rtl/>
        </w:rPr>
        <w:t>מצוות חליצה</w:t>
      </w:r>
    </w:p>
    <w:p w14:paraId="0BBA7C8C" w14:textId="77777777" w:rsidR="006074A5" w:rsidRPr="00AF1DC8" w:rsidRDefault="006074A5" w:rsidP="006074A5">
      <w:pPr>
        <w:bidi/>
        <w:rPr>
          <w:rFonts w:ascii="Narkisim" w:hAnsi="Narkisim" w:cs="Narkisim"/>
        </w:rPr>
      </w:pPr>
      <w:r w:rsidRPr="00AF1DC8">
        <w:rPr>
          <w:rFonts w:ascii="Narkisim" w:hAnsi="Narkisim" w:cs="Narkisim"/>
          <w:u w:val="single"/>
          <w:rtl/>
        </w:rPr>
        <w:t>דהא מצווה בגדול</w:t>
      </w:r>
      <w:r w:rsidRPr="00AF1DC8">
        <w:rPr>
          <w:rFonts w:ascii="Narkisim" w:hAnsi="Narkisim" w:cs="Narkisim"/>
          <w:rtl/>
        </w:rPr>
        <w:t>. בפשוטו כוונת הגמ' משום מצוות חליצה, דהוה מצווה דרמי עליו</w:t>
      </w:r>
      <w:r w:rsidRPr="00AF1DC8">
        <w:rPr>
          <w:rFonts w:ascii="Narkisim" w:hAnsi="Narkisim" w:cs="Narkisim"/>
        </w:rPr>
        <w:t>.</w:t>
      </w:r>
    </w:p>
    <w:p w14:paraId="0C48B03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דנו אי מצוות חליצה הוה מצווה מצד עצמו. אבל ה</w:t>
      </w:r>
      <w:r w:rsidRPr="00AF1DC8">
        <w:rPr>
          <w:rFonts w:ascii="Narkisim" w:hAnsi="Narkisim"/>
          <w:b/>
          <w:bCs/>
          <w:rtl/>
        </w:rPr>
        <w:t>חכ"צ</w:t>
      </w:r>
      <w:r w:rsidRPr="00AF1DC8">
        <w:rPr>
          <w:rFonts w:ascii="Narkisim" w:hAnsi="Narkisim"/>
          <w:rtl/>
        </w:rPr>
        <w:t xml:space="preserve"> (א) כת' דהא דמצווה בחליצה הוה רק לטובת האשה שאין חוסמין אותה</w:t>
      </w:r>
      <w:r w:rsidRPr="00AF1DC8">
        <w:rPr>
          <w:rStyle w:val="ac"/>
          <w:rFonts w:ascii="Narkisim" w:hAnsi="Narkisim"/>
          <w:rtl/>
        </w:rPr>
        <w:footnoteReference w:id="2326"/>
      </w:r>
      <w:r w:rsidRPr="00AF1DC8">
        <w:rPr>
          <w:rFonts w:ascii="Narkisim" w:hAnsi="Narkisim"/>
        </w:rPr>
        <w:t xml:space="preserve">. </w:t>
      </w:r>
      <w:r w:rsidRPr="00AF1DC8">
        <w:rPr>
          <w:rFonts w:ascii="Narkisim" w:hAnsi="Narkisim"/>
          <w:rtl/>
        </w:rPr>
        <w:t>ואם האשה אינה רוצה לינשא, אין כופין לחלוץ</w:t>
      </w:r>
      <w:r w:rsidRPr="00AF1DC8">
        <w:rPr>
          <w:rStyle w:val="ac"/>
          <w:rFonts w:ascii="Narkisim" w:hAnsi="Narkisim"/>
          <w:rtl/>
        </w:rPr>
        <w:footnoteReference w:id="2327"/>
      </w:r>
      <w:r w:rsidRPr="00AF1DC8">
        <w:rPr>
          <w:rFonts w:ascii="Narkisim" w:hAnsi="Narkisim"/>
        </w:rPr>
        <w:t xml:space="preserve">. </w:t>
      </w:r>
      <w:r w:rsidRPr="00AF1DC8">
        <w:rPr>
          <w:rFonts w:ascii="Narkisim" w:hAnsi="Narkisim"/>
          <w:rtl/>
        </w:rPr>
        <w:t>וכעין דאמרי' (כתובות מ.) אי אמרה לא בעינא מי איכא לעשה כלל</w:t>
      </w:r>
      <w:r w:rsidRPr="00AF1DC8">
        <w:rPr>
          <w:rStyle w:val="ac"/>
          <w:rFonts w:ascii="Narkisim" w:hAnsi="Narkisim"/>
          <w:rtl/>
        </w:rPr>
        <w:footnoteReference w:id="2328"/>
      </w:r>
      <w:r w:rsidRPr="00AF1DC8">
        <w:rPr>
          <w:rFonts w:ascii="Narkisim" w:hAnsi="Narkisim"/>
        </w:rPr>
        <w:t xml:space="preserve"> </w:t>
      </w:r>
      <w:r w:rsidRPr="00AF1DC8">
        <w:rPr>
          <w:rFonts w:ascii="Narkisim" w:hAnsi="Narkisim"/>
          <w:rtl/>
        </w:rPr>
        <w:t>[</w:t>
      </w:r>
      <w:r w:rsidRPr="00AF1DC8">
        <w:rPr>
          <w:rFonts w:ascii="Narkisim" w:hAnsi="Narkisim"/>
          <w:szCs w:val="20"/>
          <w:rtl/>
        </w:rPr>
        <w:t>ומ”מ כשהאשה תובעת הוה עשה גמור, וכופין על המצוות, וכדאמרי' (כתובות פו:) דכופין על מצוות פרעון חוב</w:t>
      </w:r>
      <w:r w:rsidRPr="00AF1DC8">
        <w:rPr>
          <w:rStyle w:val="ac"/>
          <w:rFonts w:ascii="Narkisim" w:hAnsi="Narkisim"/>
          <w:szCs w:val="20"/>
          <w:rtl/>
        </w:rPr>
        <w:footnoteReference w:id="2329"/>
      </w:r>
      <w:r w:rsidRPr="00AF1DC8">
        <w:rPr>
          <w:rFonts w:ascii="Narkisim" w:hAnsi="Narkisim"/>
          <w:rtl/>
        </w:rPr>
        <w:t>]</w:t>
      </w:r>
      <w:r w:rsidRPr="00AF1DC8">
        <w:rPr>
          <w:rFonts w:ascii="Narkisim" w:hAnsi="Narkisim"/>
        </w:rPr>
        <w:t>.</w:t>
      </w:r>
    </w:p>
    <w:p w14:paraId="5B9D385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הביאו דכ"מ בפשטות דברי </w:t>
      </w:r>
      <w:r w:rsidRPr="00AF1DC8">
        <w:rPr>
          <w:rFonts w:ascii="Narkisim" w:hAnsi="Narkisim"/>
          <w:b/>
          <w:bCs/>
          <w:rtl/>
        </w:rPr>
        <w:t>רש"י</w:t>
      </w:r>
      <w:r w:rsidRPr="00AF1DC8">
        <w:rPr>
          <w:rFonts w:ascii="Narkisim" w:hAnsi="Narkisim"/>
          <w:rtl/>
        </w:rPr>
        <w:t xml:space="preserve"> (סנהדרין יט:) דאשת מלך אינה חולצת משום דאסורה לינשא. </w:t>
      </w:r>
      <w:r w:rsidRPr="00AF1DC8">
        <w:rPr>
          <w:rFonts w:ascii="Narkisim" w:hAnsi="Narkisim"/>
          <w:sz w:val="20"/>
          <w:szCs w:val="20"/>
          <w:rtl/>
        </w:rPr>
        <w:t>וה</w:t>
      </w:r>
      <w:r w:rsidRPr="00AF1DC8">
        <w:rPr>
          <w:rFonts w:ascii="Narkisim" w:hAnsi="Narkisim"/>
          <w:b/>
          <w:bCs/>
          <w:sz w:val="20"/>
          <w:szCs w:val="20"/>
          <w:rtl/>
        </w:rPr>
        <w:t>רש"ש</w:t>
      </w:r>
      <w:r w:rsidRPr="00AF1DC8">
        <w:rPr>
          <w:rFonts w:ascii="Narkisim" w:hAnsi="Narkisim"/>
          <w:sz w:val="20"/>
          <w:szCs w:val="20"/>
          <w:rtl/>
        </w:rPr>
        <w:t xml:space="preserve"> (שם) תמה דבפשוטו הוה מצוה בפנ"ע לחלוץ</w:t>
      </w:r>
      <w:r w:rsidRPr="00AF1DC8">
        <w:rPr>
          <w:rStyle w:val="ac"/>
          <w:rFonts w:ascii="Narkisim" w:hAnsi="Narkisim"/>
          <w:sz w:val="20"/>
          <w:szCs w:val="20"/>
          <w:rtl/>
        </w:rPr>
        <w:footnoteReference w:id="2330"/>
      </w:r>
      <w:r w:rsidRPr="00AF1DC8">
        <w:rPr>
          <w:rFonts w:ascii="Narkisim" w:hAnsi="Narkisim"/>
          <w:sz w:val="20"/>
          <w:szCs w:val="20"/>
        </w:rPr>
        <w:t xml:space="preserve">. </w:t>
      </w:r>
      <w:r w:rsidRPr="00AF1DC8">
        <w:rPr>
          <w:rFonts w:ascii="Narkisim" w:hAnsi="Narkisim"/>
          <w:sz w:val="20"/>
          <w:szCs w:val="20"/>
          <w:rtl/>
        </w:rPr>
        <w:t>אלא פי' דכוונת רש"י דלא ניתנה מצוות חליצה אלא במי שמותרת לינשא</w:t>
      </w:r>
      <w:r w:rsidRPr="00AF1DC8">
        <w:rPr>
          <w:rStyle w:val="ac"/>
          <w:rFonts w:ascii="Narkisim" w:hAnsi="Narkisim"/>
          <w:sz w:val="20"/>
          <w:szCs w:val="20"/>
          <w:rtl/>
        </w:rPr>
        <w:footnoteReference w:id="2331"/>
      </w:r>
      <w:r w:rsidRPr="00AF1DC8">
        <w:rPr>
          <w:rFonts w:ascii="Narkisim" w:hAnsi="Narkisim"/>
          <w:sz w:val="20"/>
          <w:szCs w:val="20"/>
        </w:rPr>
        <w:t xml:space="preserve">, </w:t>
      </w:r>
      <w:r w:rsidRPr="00AF1DC8">
        <w:rPr>
          <w:rFonts w:ascii="Narkisim" w:hAnsi="Narkisim"/>
          <w:sz w:val="20"/>
          <w:szCs w:val="20"/>
          <w:rtl/>
        </w:rPr>
        <w:t>והיכא דאסורה לינשא ליכא מצווה כלל</w:t>
      </w:r>
      <w:r w:rsidRPr="00AF1DC8">
        <w:rPr>
          <w:rFonts w:ascii="Narkisim" w:hAnsi="Narkisim"/>
        </w:rPr>
        <w:t>.</w:t>
      </w:r>
    </w:p>
    <w:p w14:paraId="3988812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עונג יו"ט</w:t>
      </w:r>
      <w:r w:rsidRPr="00AF1DC8">
        <w:rPr>
          <w:rFonts w:ascii="Narkisim" w:hAnsi="Narkisim"/>
          <w:rtl/>
        </w:rPr>
        <w:t xml:space="preserve"> (קעו) האריך לתמוה דודאי עצם החליצה הוה מצווה, והרי יש דינים איך לחלוץ לכתחילה. ובמה שהוא מתיר בעלמא ל"ש דינים לכתחילה בדאורייתא</w:t>
      </w:r>
      <w:r w:rsidRPr="00AF1DC8">
        <w:rPr>
          <w:rStyle w:val="ac"/>
          <w:rFonts w:ascii="Narkisim" w:hAnsi="Narkisim"/>
          <w:rtl/>
        </w:rPr>
        <w:footnoteReference w:id="2332"/>
      </w:r>
      <w:r w:rsidRPr="00AF1DC8">
        <w:rPr>
          <w:rFonts w:ascii="Narkisim" w:hAnsi="Narkisim"/>
        </w:rPr>
        <w:t xml:space="preserve">. </w:t>
      </w:r>
      <w:r w:rsidRPr="00AF1DC8">
        <w:rPr>
          <w:rFonts w:ascii="Narkisim" w:hAnsi="Narkisim"/>
          <w:rtl/>
        </w:rPr>
        <w:t>[ו</w:t>
      </w:r>
      <w:r w:rsidRPr="00AF1DC8">
        <w:rPr>
          <w:rFonts w:ascii="Narkisim" w:hAnsi="Narkisim"/>
          <w:b/>
          <w:bCs/>
          <w:rtl/>
        </w:rPr>
        <w:t>תוס'</w:t>
      </w:r>
      <w:r w:rsidRPr="00AF1DC8">
        <w:rPr>
          <w:rFonts w:ascii="Narkisim" w:hAnsi="Narkisim"/>
          <w:rtl/>
        </w:rPr>
        <w:t xml:space="preserve"> (נדה סו:) כת' דחליצה הוה מצווה, ומש"ה בעינן לכתחילה שיעשה כמצוותו</w:t>
      </w:r>
      <w:r w:rsidRPr="00AF1DC8">
        <w:rPr>
          <w:rStyle w:val="ac"/>
          <w:rFonts w:ascii="Narkisim" w:hAnsi="Narkisim"/>
          <w:rtl/>
        </w:rPr>
        <w:footnoteReference w:id="2333"/>
      </w:r>
      <w:r w:rsidRPr="00AF1DC8">
        <w:rPr>
          <w:rFonts w:ascii="Narkisim" w:hAnsi="Narkisim"/>
          <w:rtl/>
        </w:rPr>
        <w:t>]. וה</w:t>
      </w:r>
      <w:r w:rsidRPr="00AF1DC8">
        <w:rPr>
          <w:rFonts w:ascii="Narkisim" w:hAnsi="Narkisim"/>
          <w:b/>
          <w:bCs/>
          <w:rtl/>
        </w:rPr>
        <w:t>אחרונים</w:t>
      </w:r>
      <w:r w:rsidRPr="00AF1DC8">
        <w:rPr>
          <w:rFonts w:ascii="Narkisim" w:hAnsi="Narkisim"/>
          <w:rtl/>
        </w:rPr>
        <w:t xml:space="preserve"> דחו דדמי למצוות שחיטה, דנקבע 'מצווה' איך להתיר הבהמה, וה"נ בחליצה יש מצווה שנקבע באיזה צורה להתיר. </w:t>
      </w:r>
      <w:r w:rsidRPr="00AF1DC8">
        <w:rPr>
          <w:rFonts w:ascii="Narkisim" w:hAnsi="Narkisim"/>
          <w:sz w:val="20"/>
          <w:szCs w:val="20"/>
          <w:rtl/>
        </w:rPr>
        <w:t>[ואפ"ה נמנה במנין המצוות]</w:t>
      </w:r>
      <w:r w:rsidRPr="00AF1DC8">
        <w:rPr>
          <w:rFonts w:ascii="Narkisim" w:hAnsi="Narkisim"/>
          <w:sz w:val="20"/>
          <w:szCs w:val="20"/>
        </w:rPr>
        <w:t>.</w:t>
      </w:r>
    </w:p>
    <w:p w14:paraId="44CFC3E8" w14:textId="77777777" w:rsidR="006074A5" w:rsidRPr="00AF1DC8" w:rsidRDefault="006074A5" w:rsidP="006074A5">
      <w:pPr>
        <w:pStyle w:val="a8"/>
        <w:bidi/>
        <w:rPr>
          <w:rFonts w:ascii="Narkisim" w:hAnsi="Narkisim"/>
        </w:rPr>
      </w:pPr>
      <w:r w:rsidRPr="00AF1DC8">
        <w:rPr>
          <w:rFonts w:ascii="Narkisim" w:hAnsi="Narkisim"/>
          <w:rtl/>
        </w:rPr>
        <w:t>וב</w:t>
      </w:r>
      <w:r w:rsidRPr="00AF1DC8">
        <w:rPr>
          <w:rFonts w:ascii="Narkisim" w:hAnsi="Narkisim"/>
          <w:b/>
          <w:bCs/>
          <w:rtl/>
        </w:rPr>
        <w:t>ס' החינוך</w:t>
      </w:r>
      <w:r w:rsidRPr="00AF1DC8">
        <w:rPr>
          <w:rFonts w:ascii="Narkisim" w:hAnsi="Narkisim"/>
          <w:rtl/>
        </w:rPr>
        <w:t xml:space="preserve"> (תקצט) כתב דהעובר על עשה זה ואינו מייבם</w:t>
      </w:r>
      <w:r w:rsidRPr="00AF1DC8">
        <w:rPr>
          <w:rStyle w:val="ac"/>
          <w:rFonts w:ascii="Narkisim" w:hAnsi="Narkisim"/>
          <w:rtl/>
        </w:rPr>
        <w:footnoteReference w:id="2334"/>
      </w:r>
      <w:r w:rsidRPr="00AF1DC8">
        <w:rPr>
          <w:rFonts w:ascii="Narkisim" w:hAnsi="Narkisim"/>
        </w:rPr>
        <w:t xml:space="preserve"> </w:t>
      </w:r>
      <w:r w:rsidRPr="00AF1DC8">
        <w:rPr>
          <w:rFonts w:ascii="Narkisim" w:hAnsi="Narkisim"/>
          <w:rtl/>
        </w:rPr>
        <w:t>או חולץ ברוע לבבו</w:t>
      </w:r>
      <w:r w:rsidRPr="00AF1DC8">
        <w:rPr>
          <w:rStyle w:val="ac"/>
          <w:rFonts w:ascii="Narkisim" w:hAnsi="Narkisim"/>
          <w:rtl/>
        </w:rPr>
        <w:footnoteReference w:id="2335"/>
      </w:r>
      <w:r w:rsidRPr="00AF1DC8">
        <w:rPr>
          <w:rFonts w:ascii="Narkisim" w:hAnsi="Narkisim"/>
        </w:rPr>
        <w:t xml:space="preserve"> </w:t>
      </w:r>
      <w:r w:rsidRPr="00AF1DC8">
        <w:rPr>
          <w:rFonts w:ascii="Narkisim" w:hAnsi="Narkisim"/>
          <w:rtl/>
        </w:rPr>
        <w:t>ביטל עשה זה</w:t>
      </w:r>
      <w:r w:rsidRPr="00AF1DC8">
        <w:rPr>
          <w:rFonts w:ascii="Narkisim" w:hAnsi="Narkisim"/>
        </w:rPr>
        <w:t>.</w:t>
      </w:r>
    </w:p>
    <w:p w14:paraId="719B7617" w14:textId="77777777" w:rsidR="006074A5" w:rsidRPr="00AF1DC8" w:rsidRDefault="006074A5" w:rsidP="006074A5">
      <w:pPr>
        <w:pStyle w:val="a7"/>
        <w:bidi/>
        <w:rPr>
          <w:rFonts w:ascii="Narkisim" w:hAnsi="Narkisim"/>
        </w:rPr>
      </w:pPr>
      <w:r w:rsidRPr="00AF1DC8">
        <w:rPr>
          <w:rFonts w:ascii="Narkisim" w:hAnsi="Narkisim"/>
          <w:rtl/>
        </w:rPr>
        <w:lastRenderedPageBreak/>
        <w:t>וה</w:t>
      </w:r>
      <w:r w:rsidRPr="00AF1DC8">
        <w:rPr>
          <w:rFonts w:ascii="Narkisim" w:hAnsi="Narkisim"/>
          <w:b/>
          <w:bCs/>
          <w:rtl/>
        </w:rPr>
        <w:t>בית שמואל</w:t>
      </w:r>
      <w:r w:rsidRPr="00AF1DC8">
        <w:rPr>
          <w:rFonts w:ascii="Narkisim" w:hAnsi="Narkisim"/>
          <w:rtl/>
        </w:rPr>
        <w:t xml:space="preserve"> (קסה ט) הביא דמשמע דהא דיבמה שאינה רוצה לחלוץ נחשבת מורדת הוא משום הנכסים, אבל אם נותנת חלקו אי”צ לחלוץ. וסיים דב</w:t>
      </w:r>
      <w:r w:rsidRPr="00AF1DC8">
        <w:rPr>
          <w:rFonts w:ascii="Narkisim" w:hAnsi="Narkisim"/>
          <w:b/>
          <w:bCs/>
          <w:rtl/>
        </w:rPr>
        <w:t>זוהר</w:t>
      </w:r>
      <w:r w:rsidRPr="00AF1DC8">
        <w:rPr>
          <w:rFonts w:ascii="Narkisim" w:hAnsi="Narkisim"/>
          <w:rtl/>
        </w:rPr>
        <w:t xml:space="preserve"> משמע דמצוה דוקא בחליצה</w:t>
      </w:r>
      <w:r w:rsidRPr="00AF1DC8">
        <w:rPr>
          <w:rStyle w:val="ac"/>
          <w:rFonts w:ascii="Narkisim" w:hAnsi="Narkisim"/>
          <w:rtl/>
        </w:rPr>
        <w:footnoteReference w:id="2336"/>
      </w:r>
      <w:r w:rsidRPr="00AF1DC8">
        <w:rPr>
          <w:rFonts w:ascii="Narkisim" w:hAnsi="Narkisim"/>
        </w:rPr>
        <w:t xml:space="preserve"> </w:t>
      </w:r>
      <w:r w:rsidRPr="00AF1DC8">
        <w:rPr>
          <w:rFonts w:ascii="Narkisim" w:hAnsi="Narkisim"/>
          <w:rtl/>
        </w:rPr>
        <w:t>[דנחשב הקמת שם מסויים]. ועפ"ז הביאו דאף כשאינה רוצה לינשא חולצין</w:t>
      </w:r>
      <w:r w:rsidRPr="00AF1DC8">
        <w:rPr>
          <w:rStyle w:val="ac"/>
          <w:rFonts w:ascii="Narkisim" w:hAnsi="Narkisim"/>
          <w:rtl/>
        </w:rPr>
        <w:footnoteReference w:id="2337"/>
      </w:r>
      <w:r w:rsidRPr="00AF1DC8">
        <w:rPr>
          <w:rFonts w:ascii="Narkisim" w:hAnsi="Narkisim"/>
        </w:rPr>
        <w:t>.</w:t>
      </w:r>
    </w:p>
    <w:p w14:paraId="740E5640"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 xml:space="preserve">חש"ל </w:t>
      </w:r>
      <w:r w:rsidRPr="00AF1DC8">
        <w:rPr>
          <w:rFonts w:ascii="Narkisim" w:hAnsi="Narkisim"/>
          <w:rtl/>
        </w:rPr>
        <w:t xml:space="preserve">(כו.) מביא בשם </w:t>
      </w:r>
      <w:r w:rsidRPr="00AF1DC8">
        <w:rPr>
          <w:rFonts w:ascii="Narkisim" w:hAnsi="Narkisim"/>
          <w:b/>
          <w:bCs/>
          <w:rtl/>
        </w:rPr>
        <w:t>שו"ת עמק יהושע</w:t>
      </w:r>
      <w:r w:rsidRPr="00AF1DC8">
        <w:rPr>
          <w:rFonts w:ascii="Narkisim" w:hAnsi="Narkisim"/>
          <w:rtl/>
        </w:rPr>
        <w:t xml:space="preserve"> (סג) דהביא דמבואר שיש איסור ביטול מצוות יבמין אף במקום חליצה [וע' מש"כ בזה לעיל שם], וע"כ דאף כשאינה רוצה לינשא לשוק יש מצוות חליצה</w:t>
      </w:r>
      <w:r w:rsidRPr="00AF1DC8">
        <w:rPr>
          <w:rStyle w:val="ac"/>
          <w:rFonts w:ascii="Narkisim" w:hAnsi="Narkisim"/>
          <w:rtl/>
        </w:rPr>
        <w:footnoteReference w:id="2338"/>
      </w:r>
      <w:r w:rsidRPr="00AF1DC8">
        <w:rPr>
          <w:rFonts w:ascii="Narkisim" w:hAnsi="Narkisim"/>
        </w:rPr>
        <w:t xml:space="preserve">. </w:t>
      </w:r>
      <w:r w:rsidRPr="00AF1DC8">
        <w:rPr>
          <w:rFonts w:ascii="Narkisim" w:hAnsi="Narkisim"/>
        </w:rPr>
        <w:tab/>
      </w:r>
      <w:r w:rsidRPr="00AF1DC8">
        <w:rPr>
          <w:rFonts w:ascii="Narkisim" w:hAnsi="Narkisim"/>
          <w:rtl/>
        </w:rPr>
        <w:t>וע"ע (לעיל כא.) בהא דאי' דחליצה במקום יבום לאו כלום הוא</w:t>
      </w:r>
      <w:r w:rsidRPr="00AF1DC8">
        <w:rPr>
          <w:rFonts w:ascii="Narkisim" w:hAnsi="Narkisim"/>
        </w:rPr>
        <w:t>.</w:t>
      </w:r>
    </w:p>
    <w:p w14:paraId="650FC5DE" w14:textId="77777777" w:rsidR="006074A5" w:rsidRPr="00AF1DC8" w:rsidRDefault="006074A5" w:rsidP="006074A5">
      <w:pPr>
        <w:bidi/>
        <w:rPr>
          <w:rFonts w:ascii="Narkisim" w:hAnsi="Narkisim" w:cs="Narkisim"/>
        </w:rPr>
      </w:pPr>
      <w:r w:rsidRPr="00AF1DC8">
        <w:rPr>
          <w:rFonts w:ascii="Narkisim" w:hAnsi="Narkisim" w:cs="Narkisim"/>
          <w:u w:val="single"/>
          <w:rtl/>
        </w:rPr>
        <w:t>אמר רב אין כופין.</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אין כופין לחלוץ. </w:t>
      </w:r>
      <w:r w:rsidRPr="00AF1DC8">
        <w:rPr>
          <w:rFonts w:ascii="Narkisim" w:hAnsi="Narkisim" w:cs="Narkisim"/>
          <w:sz w:val="20"/>
          <w:szCs w:val="20"/>
          <w:rtl/>
        </w:rPr>
        <w:t>אף שמהדין מצוות חליצה קודמת [וכאבא שאול], אין כופין על דין זה</w:t>
      </w:r>
      <w:r w:rsidRPr="00AF1DC8">
        <w:rPr>
          <w:rStyle w:val="ac"/>
          <w:rFonts w:ascii="Narkisim" w:hAnsi="Narkisim" w:cs="Narkisim"/>
          <w:sz w:val="20"/>
          <w:szCs w:val="20"/>
          <w:rtl/>
        </w:rPr>
        <w:footnoteReference w:id="2339"/>
      </w:r>
      <w:r w:rsidRPr="00AF1DC8">
        <w:rPr>
          <w:rFonts w:ascii="Narkisim" w:hAnsi="Narkisim" w:cs="Narkisim"/>
          <w:sz w:val="20"/>
          <w:szCs w:val="20"/>
        </w:rPr>
        <w:t>.</w:t>
      </w:r>
      <w:r w:rsidRPr="00AF1DC8">
        <w:rPr>
          <w:rFonts w:ascii="Narkisim" w:hAnsi="Narkisim" w:cs="Narkisim"/>
        </w:rPr>
        <w:t xml:space="preserve"> </w:t>
      </w:r>
      <w:r w:rsidRPr="00AF1DC8">
        <w:rPr>
          <w:rFonts w:ascii="Narkisim" w:hAnsi="Narkisim" w:cs="Narkisim"/>
          <w:rtl/>
        </w:rPr>
        <w:t>אבל ל</w:t>
      </w:r>
      <w:r w:rsidRPr="00AF1DC8">
        <w:rPr>
          <w:rFonts w:ascii="Narkisim" w:hAnsi="Narkisim" w:cs="Narkisim"/>
          <w:b/>
          <w:bCs/>
          <w:rtl/>
        </w:rPr>
        <w:t>תוס</w:t>
      </w:r>
      <w:r w:rsidRPr="00AF1DC8">
        <w:rPr>
          <w:rFonts w:ascii="Narkisim" w:hAnsi="Narkisim" w:cs="Narkisim"/>
          <w:rtl/>
        </w:rPr>
        <w:t>' כופין לחלוץ</w:t>
      </w:r>
      <w:r w:rsidRPr="00AF1DC8">
        <w:rPr>
          <w:rStyle w:val="ac"/>
          <w:rFonts w:ascii="Narkisim" w:hAnsi="Narkisim" w:cs="Narkisim"/>
          <w:rtl/>
        </w:rPr>
        <w:footnoteReference w:id="2340"/>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sz w:val="20"/>
          <w:szCs w:val="20"/>
          <w:rtl/>
        </w:rPr>
        <w:t xml:space="preserve">[ובפשוטו היינו בשוטי, אבל </w:t>
      </w:r>
      <w:r w:rsidRPr="00AF1DC8">
        <w:rPr>
          <w:rFonts w:ascii="Narkisim" w:hAnsi="Narkisim" w:cs="Narkisim"/>
          <w:b/>
          <w:bCs/>
          <w:sz w:val="20"/>
          <w:szCs w:val="20"/>
          <w:rtl/>
        </w:rPr>
        <w:t>תוס</w:t>
      </w:r>
      <w:r w:rsidRPr="00AF1DC8">
        <w:rPr>
          <w:rFonts w:ascii="Narkisim" w:hAnsi="Narkisim" w:cs="Narkisim"/>
          <w:sz w:val="20"/>
          <w:szCs w:val="20"/>
          <w:rtl/>
        </w:rPr>
        <w:t>' (כתובות סד.) כת' דכופין דוקא במילי. וכ"כ ה</w:t>
      </w:r>
      <w:r w:rsidRPr="00AF1DC8">
        <w:rPr>
          <w:rFonts w:ascii="Narkisim" w:hAnsi="Narkisim" w:cs="Narkisim"/>
          <w:b/>
          <w:bCs/>
          <w:sz w:val="20"/>
          <w:szCs w:val="20"/>
          <w:rtl/>
        </w:rPr>
        <w:t>גר"א</w:t>
      </w:r>
      <w:r w:rsidRPr="00AF1DC8">
        <w:rPr>
          <w:rFonts w:ascii="Narkisim" w:hAnsi="Narkisim" w:cs="Narkisim"/>
          <w:sz w:val="20"/>
          <w:szCs w:val="20"/>
          <w:rtl/>
        </w:rPr>
        <w:t xml:space="preserve"> (עה"ג) בדעת תוס' דידן]</w:t>
      </w:r>
      <w:r w:rsidRPr="00AF1DC8">
        <w:rPr>
          <w:rFonts w:ascii="Narkisim" w:hAnsi="Narkisim" w:cs="Narkisim"/>
          <w:sz w:val="20"/>
          <w:szCs w:val="20"/>
        </w:rPr>
        <w:t>.</w:t>
      </w:r>
    </w:p>
    <w:p w14:paraId="2926AFCA" w14:textId="77777777" w:rsidR="006074A5" w:rsidRPr="00AF1DC8" w:rsidRDefault="006074A5" w:rsidP="006074A5">
      <w:pPr>
        <w:pStyle w:val="aa"/>
        <w:bidi/>
        <w:rPr>
          <w:rFonts w:ascii="Narkisim" w:hAnsi="Narkisim"/>
        </w:rPr>
      </w:pPr>
      <w:r w:rsidRPr="00AF1DC8">
        <w:rPr>
          <w:rFonts w:ascii="Narkisim" w:hAnsi="Narkisim"/>
          <w:u w:val="single"/>
          <w:rtl/>
        </w:rPr>
        <w:t>אי בעית חלוץ אי בעית ייבם וכו'.</w:t>
      </w:r>
      <w:r w:rsidRPr="00AF1DC8">
        <w:rPr>
          <w:rFonts w:ascii="Narkisim" w:hAnsi="Narkisim"/>
          <w:rtl/>
        </w:rPr>
        <w:t xml:space="preserve"> לרש"י קאי אף לאבא שאול. וה</w:t>
      </w:r>
      <w:r w:rsidRPr="00AF1DC8">
        <w:rPr>
          <w:rFonts w:ascii="Narkisim" w:hAnsi="Narkisim"/>
          <w:b/>
          <w:bCs/>
          <w:rtl/>
        </w:rPr>
        <w:t>חזו"א</w:t>
      </w:r>
      <w:r w:rsidRPr="00AF1DC8">
        <w:rPr>
          <w:rFonts w:ascii="Narkisim" w:hAnsi="Narkisim"/>
          <w:rtl/>
        </w:rPr>
        <w:t xml:space="preserve"> (קכב ג) הק' א"כ אמאי הוזקק לפתוח לו שיכול לייבם. וכתב דהודיעהו שאינן כופין אותו לחלוץ</w:t>
      </w:r>
      <w:r w:rsidRPr="00AF1DC8">
        <w:rPr>
          <w:rFonts w:ascii="Narkisim" w:hAnsi="Narkisim"/>
        </w:rPr>
        <w:t>.</w:t>
      </w:r>
    </w:p>
    <w:p w14:paraId="4C329F90" w14:textId="77777777" w:rsidR="006074A5" w:rsidRPr="00AF1DC8" w:rsidRDefault="006074A5" w:rsidP="006074A5">
      <w:pPr>
        <w:bidi/>
        <w:rPr>
          <w:rFonts w:ascii="Narkisim" w:hAnsi="Narkisim" w:cs="Narkisim"/>
        </w:rPr>
      </w:pPr>
      <w:r w:rsidRPr="00AF1DC8">
        <w:rPr>
          <w:rFonts w:ascii="Narkisim" w:hAnsi="Narkisim" w:cs="Narkisim"/>
          <w:u w:val="single"/>
          <w:rtl/>
        </w:rPr>
        <w:t>רש"י ד"ה אמר רב אין.</w:t>
      </w:r>
      <w:r w:rsidRPr="00AF1DC8">
        <w:rPr>
          <w:rFonts w:ascii="Narkisim" w:hAnsi="Narkisim" w:cs="Narkisim"/>
          <w:rtl/>
        </w:rPr>
        <w:t xml:space="preserve"> ואי לא כפינן ליה וחליץ וכו' ולא תימא מוכה שחין דוקא וכו'. </w:t>
      </w:r>
      <w:r w:rsidRPr="00AF1DC8">
        <w:rPr>
          <w:rFonts w:ascii="Narkisim" w:hAnsi="Narkisim" w:cs="Narkisim"/>
          <w:b/>
          <w:bCs/>
          <w:rtl/>
        </w:rPr>
        <w:t>תוס</w:t>
      </w:r>
      <w:r w:rsidRPr="00AF1DC8">
        <w:rPr>
          <w:rFonts w:ascii="Narkisim" w:hAnsi="Narkisim" w:cs="Narkisim"/>
          <w:rtl/>
        </w:rPr>
        <w:t>' וה</w:t>
      </w:r>
      <w:r w:rsidRPr="00AF1DC8">
        <w:rPr>
          <w:rFonts w:ascii="Narkisim" w:hAnsi="Narkisim" w:cs="Narkisim"/>
          <w:b/>
          <w:bCs/>
          <w:rtl/>
        </w:rPr>
        <w:t>ראשונים</w:t>
      </w:r>
      <w:r w:rsidRPr="00AF1DC8">
        <w:rPr>
          <w:rFonts w:ascii="Narkisim" w:hAnsi="Narkisim" w:cs="Narkisim"/>
          <w:rtl/>
        </w:rPr>
        <w:t xml:space="preserve"> חלקו דמוכה שחין דוקא. </w:t>
      </w:r>
      <w:r w:rsidRPr="00AF1DC8">
        <w:rPr>
          <w:rFonts w:ascii="Narkisim" w:hAnsi="Narkisim" w:cs="Narkisim"/>
          <w:szCs w:val="20"/>
          <w:rtl/>
        </w:rPr>
        <w:t>ולכאו' דעת רש"י דגבי יבמה כיון שאינה תחתיו מהני אף סברות בעלמא. אבל ה</w:t>
      </w:r>
      <w:r w:rsidRPr="00AF1DC8">
        <w:rPr>
          <w:rFonts w:ascii="Narkisim" w:hAnsi="Narkisim" w:cs="Narkisim"/>
          <w:b/>
          <w:bCs/>
          <w:szCs w:val="20"/>
          <w:rtl/>
        </w:rPr>
        <w:t>פנ"י</w:t>
      </w:r>
      <w:r w:rsidRPr="00AF1DC8">
        <w:rPr>
          <w:rFonts w:ascii="Narkisim" w:hAnsi="Narkisim" w:cs="Narkisim"/>
          <w:szCs w:val="20"/>
          <w:rtl/>
        </w:rPr>
        <w:t xml:space="preserve"> (כתובות סג:) כת' דדעת רש"י דכל האומרת מאיס עלי כופין לגרש [וכי"מ בתוס' כתובות שם, וכ"ד הרמב"ם אישות יד ח]</w:t>
      </w:r>
      <w:r w:rsidRPr="00AF1DC8">
        <w:rPr>
          <w:rFonts w:ascii="Narkisim" w:hAnsi="Narkisim" w:cs="Narkisim"/>
          <w:szCs w:val="20"/>
        </w:rPr>
        <w:t>.</w:t>
      </w:r>
    </w:p>
    <w:p w14:paraId="4D204695" w14:textId="77777777" w:rsidR="006074A5" w:rsidRPr="00AF1DC8" w:rsidRDefault="006074A5" w:rsidP="006074A5">
      <w:pPr>
        <w:bidi/>
        <w:rPr>
          <w:rFonts w:ascii="Narkisim" w:hAnsi="Narkisim" w:cs="Narkisim"/>
        </w:rPr>
      </w:pPr>
      <w:r w:rsidRPr="00AF1DC8">
        <w:rPr>
          <w:rFonts w:ascii="Narkisim" w:hAnsi="Narkisim" w:cs="Narkisim"/>
          <w:u w:val="single"/>
          <w:rtl/>
        </w:rPr>
        <w:t>שם. כפינן ליה וחליץ</w:t>
      </w:r>
      <w:r w:rsidRPr="00AF1DC8">
        <w:rPr>
          <w:rFonts w:ascii="Narkisim" w:hAnsi="Narkisim" w:cs="Narkisim"/>
          <w:rtl/>
        </w:rPr>
        <w:t>. ו</w:t>
      </w:r>
      <w:r w:rsidRPr="00AF1DC8">
        <w:rPr>
          <w:rFonts w:ascii="Narkisim" w:hAnsi="Narkisim" w:cs="Narkisim"/>
          <w:b/>
          <w:bCs/>
          <w:rtl/>
        </w:rPr>
        <w:t>תוס</w:t>
      </w:r>
      <w:r w:rsidRPr="00AF1DC8">
        <w:rPr>
          <w:rFonts w:ascii="Narkisim" w:hAnsi="Narkisim" w:cs="Narkisim"/>
          <w:rtl/>
        </w:rPr>
        <w:t>' וה</w:t>
      </w:r>
      <w:r w:rsidRPr="00AF1DC8">
        <w:rPr>
          <w:rFonts w:ascii="Narkisim" w:hAnsi="Narkisim" w:cs="Narkisim"/>
          <w:b/>
          <w:bCs/>
          <w:rtl/>
        </w:rPr>
        <w:t>ראשונים</w:t>
      </w:r>
      <w:r w:rsidRPr="00AF1DC8">
        <w:rPr>
          <w:rFonts w:ascii="Narkisim" w:hAnsi="Narkisim" w:cs="Narkisim"/>
          <w:rtl/>
        </w:rPr>
        <w:t xml:space="preserve"> הק' דמשמע (לקמן קו.) דאין כופין לחלוץ. והא דאי' אין חוסמין היינו לכוף לייבם, אבל לא מצאנו דכופין לחלוץ</w:t>
      </w:r>
      <w:r w:rsidRPr="00AF1DC8">
        <w:rPr>
          <w:rStyle w:val="ac"/>
          <w:rFonts w:ascii="Narkisim" w:hAnsi="Narkisim" w:cs="Narkisim"/>
          <w:rtl/>
        </w:rPr>
        <w:footnoteReference w:id="2341"/>
      </w:r>
      <w:r w:rsidRPr="00AF1DC8">
        <w:rPr>
          <w:rFonts w:ascii="Narkisim" w:hAnsi="Narkisim" w:cs="Narkisim"/>
        </w:rPr>
        <w:t>.</w:t>
      </w:r>
    </w:p>
    <w:p w14:paraId="6A4091DA" w14:textId="77777777" w:rsidR="006074A5" w:rsidRPr="00AF1DC8" w:rsidRDefault="006074A5" w:rsidP="006074A5">
      <w:pPr>
        <w:pStyle w:val="a7"/>
        <w:bidi/>
        <w:rPr>
          <w:rFonts w:ascii="Narkisim" w:hAnsi="Narkisim"/>
        </w:rPr>
      </w:pPr>
      <w:r w:rsidRPr="00AF1DC8">
        <w:rPr>
          <w:rFonts w:ascii="Narkisim" w:hAnsi="Narkisim"/>
          <w:rtl/>
        </w:rPr>
        <w:t>וב</w:t>
      </w:r>
      <w:r w:rsidRPr="00AF1DC8">
        <w:rPr>
          <w:rFonts w:ascii="Narkisim" w:hAnsi="Narkisim"/>
          <w:b/>
          <w:bCs/>
          <w:rtl/>
        </w:rPr>
        <w:t>העמק שאלה</w:t>
      </w:r>
      <w:r w:rsidRPr="00AF1DC8">
        <w:rPr>
          <w:rFonts w:ascii="Narkisim" w:hAnsi="Narkisim"/>
          <w:rtl/>
        </w:rPr>
        <w:t xml:space="preserve"> תי' דכיון דאינו רשאי לייבם, מש"ה כופין על מצוות חליצה. ומדין כופין על המצוות</w:t>
      </w:r>
      <w:r w:rsidRPr="00AF1DC8">
        <w:rPr>
          <w:rFonts w:ascii="Narkisim" w:hAnsi="Narkisim"/>
        </w:rPr>
        <w:t>.</w:t>
      </w:r>
    </w:p>
    <w:p w14:paraId="4A283C3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(קכב ג) ביאר דכוונת רש"י דכופין לחלוץ, דאל"כ נחשב שכופין לייבם, כיון דמיעגנה ואין לה מי שיזין אותה. וכיון דבמוכה שחין הדין כן, א"כ בכל מקום שיש אמתלא, דבסברא זו דמיעגנה אין לחלק בין מוכה שחין לאינך</w:t>
      </w:r>
      <w:r w:rsidRPr="00AF1DC8">
        <w:rPr>
          <w:rFonts w:ascii="Narkisim" w:hAnsi="Narkisim"/>
        </w:rPr>
        <w:t>.</w:t>
      </w:r>
    </w:p>
    <w:p w14:paraId="049B435B"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אבל ה</w:t>
      </w:r>
      <w:r w:rsidRPr="00AF1DC8">
        <w:rPr>
          <w:rFonts w:ascii="Narkisim" w:hAnsi="Narkisim" w:cs="Narkisim"/>
          <w:b/>
          <w:bCs/>
          <w:rtl/>
        </w:rPr>
        <w:t>ריטב"א</w:t>
      </w:r>
      <w:r w:rsidRPr="00AF1DC8">
        <w:rPr>
          <w:rFonts w:ascii="Narkisim" w:hAnsi="Narkisim" w:cs="Narkisim"/>
          <w:rtl/>
        </w:rPr>
        <w:t xml:space="preserve"> הביא </w:t>
      </w:r>
      <w:r w:rsidRPr="00AF1DC8">
        <w:rPr>
          <w:rFonts w:ascii="Narkisim" w:hAnsi="Narkisim" w:cs="Narkisim"/>
          <w:b/>
          <w:bCs/>
          <w:rtl/>
        </w:rPr>
        <w:t>י"מ</w:t>
      </w:r>
      <w:r w:rsidRPr="00AF1DC8">
        <w:rPr>
          <w:rFonts w:ascii="Narkisim" w:hAnsi="Narkisim" w:cs="Narkisim"/>
          <w:rtl/>
        </w:rPr>
        <w:t xml:space="preserve"> דאף מוכה שחין, נהי דכופין שלא לייבם, אין כופין אותו לחלוץ. דהא הכתוב תלה בו אם לא יחפוץ, ואין כופין בע"כ</w:t>
      </w:r>
      <w:r w:rsidRPr="00AF1DC8">
        <w:rPr>
          <w:rStyle w:val="ac"/>
          <w:rFonts w:ascii="Narkisim" w:hAnsi="Narkisim" w:cs="Narkisim"/>
          <w:rtl/>
        </w:rPr>
        <w:footnoteReference w:id="2342"/>
      </w:r>
      <w:r w:rsidRPr="00AF1DC8">
        <w:rPr>
          <w:rFonts w:ascii="Narkisim" w:hAnsi="Narkisim" w:cs="Narkisim"/>
        </w:rPr>
        <w:t xml:space="preserve">. </w:t>
      </w:r>
      <w:r w:rsidRPr="00AF1DC8">
        <w:rPr>
          <w:rFonts w:ascii="Narkisim" w:hAnsi="Narkisim" w:cs="Narkisim"/>
          <w:rtl/>
        </w:rPr>
        <w:t>[והראשונים ופוסקים האריכו בכ"ז]</w:t>
      </w:r>
      <w:r w:rsidRPr="00AF1DC8">
        <w:rPr>
          <w:rFonts w:ascii="Narkisim" w:hAnsi="Narkisim" w:cs="Narkisim"/>
        </w:rPr>
        <w:t>.</w:t>
      </w:r>
    </w:p>
    <w:p w14:paraId="5373BC12" w14:textId="77777777" w:rsidR="006074A5" w:rsidRPr="00AF1DC8" w:rsidRDefault="006074A5" w:rsidP="006074A5">
      <w:pPr>
        <w:pStyle w:val="aa"/>
        <w:bidi/>
        <w:rPr>
          <w:rFonts w:ascii="Narkisim" w:hAnsi="Narkisim"/>
        </w:rPr>
      </w:pPr>
      <w:r w:rsidRPr="00AF1DC8">
        <w:rPr>
          <w:rFonts w:ascii="Narkisim" w:hAnsi="Narkisim"/>
          <w:u w:val="single"/>
          <w:rtl/>
        </w:rPr>
        <w:t>תוד"ה אמר.</w:t>
      </w:r>
      <w:r w:rsidRPr="00AF1DC8">
        <w:rPr>
          <w:rFonts w:ascii="Narkisim" w:hAnsi="Narkisim"/>
          <w:rtl/>
        </w:rPr>
        <w:t xml:space="preserve"> אין נר' לומר דכופין, דאל"כ למה היו טורחים (לקמן קו.). ה</w:t>
      </w:r>
      <w:r w:rsidRPr="00AF1DC8">
        <w:rPr>
          <w:rFonts w:ascii="Narkisim" w:hAnsi="Narkisim"/>
          <w:b/>
          <w:bCs/>
          <w:rtl/>
        </w:rPr>
        <w:t>חזו"א</w:t>
      </w:r>
      <w:r w:rsidRPr="00AF1DC8">
        <w:rPr>
          <w:rFonts w:ascii="Narkisim" w:hAnsi="Narkisim"/>
          <w:rtl/>
        </w:rPr>
        <w:t xml:space="preserve"> תמה מה קושיה, הא עדיף להטעות מכפייה. והביא דכ"כ ה</w:t>
      </w:r>
      <w:r w:rsidRPr="00AF1DC8">
        <w:rPr>
          <w:rFonts w:ascii="Narkisim" w:hAnsi="Narkisim"/>
          <w:b/>
          <w:bCs/>
          <w:rtl/>
        </w:rPr>
        <w:t>גר"א</w:t>
      </w:r>
      <w:r w:rsidRPr="00AF1DC8">
        <w:rPr>
          <w:rFonts w:ascii="Narkisim" w:hAnsi="Narkisim"/>
          <w:rtl/>
        </w:rPr>
        <w:t xml:space="preserve"> (קסד יז)</w:t>
      </w:r>
      <w:r w:rsidRPr="00AF1DC8">
        <w:rPr>
          <w:rFonts w:ascii="Narkisim" w:hAnsi="Narkisim"/>
        </w:rPr>
        <w:t>.</w:t>
      </w:r>
    </w:p>
    <w:p w14:paraId="1A02D95B" w14:textId="77777777" w:rsidR="006074A5" w:rsidRPr="00AF1DC8" w:rsidRDefault="006074A5" w:rsidP="006074A5">
      <w:pPr>
        <w:pStyle w:val="2"/>
        <w:bidi/>
        <w:rPr>
          <w:rFonts w:ascii="Narkisim" w:hAnsi="Narkisim"/>
        </w:rPr>
      </w:pPr>
      <w:r w:rsidRPr="00AF1DC8">
        <w:rPr>
          <w:rFonts w:ascii="Narkisim" w:hAnsi="Narkisim"/>
          <w:rtl/>
        </w:rPr>
        <w:t>אשתמודעינהו</w:t>
      </w:r>
    </w:p>
    <w:p w14:paraId="7A59313A" w14:textId="77777777" w:rsidR="006074A5" w:rsidRPr="00AF1DC8" w:rsidRDefault="006074A5" w:rsidP="006074A5">
      <w:pPr>
        <w:bidi/>
        <w:rPr>
          <w:rFonts w:ascii="Narkisim" w:hAnsi="Narkisim" w:cs="Narkisim"/>
        </w:rPr>
      </w:pPr>
      <w:r w:rsidRPr="00AF1DC8">
        <w:rPr>
          <w:rFonts w:ascii="Narkisim" w:hAnsi="Narkisim" w:cs="Narkisim"/>
          <w:u w:val="single"/>
          <w:rtl/>
        </w:rPr>
        <w:t>אשתמודעינהו וכו' והלכתא גלויי מילתא בעלמא הוא, ואפי' קרוב ואפי' אשה</w:t>
      </w:r>
      <w:r w:rsidRPr="00AF1DC8">
        <w:rPr>
          <w:rFonts w:ascii="Narkisim" w:hAnsi="Narkisim" w:cs="Narkisim"/>
          <w:rtl/>
        </w:rPr>
        <w:t>. ה</w:t>
      </w:r>
      <w:r w:rsidRPr="00AF1DC8">
        <w:rPr>
          <w:rFonts w:ascii="Narkisim" w:hAnsi="Narkisim" w:cs="Narkisim"/>
          <w:b/>
          <w:bCs/>
          <w:rtl/>
        </w:rPr>
        <w:t>רי"ף</w:t>
      </w:r>
      <w:r w:rsidRPr="00AF1DC8">
        <w:rPr>
          <w:rFonts w:ascii="Narkisim" w:hAnsi="Narkisim" w:cs="Narkisim"/>
          <w:rtl/>
        </w:rPr>
        <w:t xml:space="preserve"> (יג. בדה"ס) פי' דלאו מילתא דאיסורא קמסהדי, ולאו אממונא, אלא מילתא בעלמא הוא דמגלו שהוא גברא פלוני וכו', הרי איתחזק וכו'. ומהני עדות פסולים לגלוי בעלמא. אבל </w:t>
      </w:r>
      <w:r w:rsidRPr="00AF1DC8">
        <w:rPr>
          <w:rFonts w:ascii="Narkisim" w:hAnsi="Narkisim" w:cs="Narkisim"/>
          <w:b/>
          <w:bCs/>
          <w:rtl/>
        </w:rPr>
        <w:t>תוס</w:t>
      </w:r>
      <w:r w:rsidRPr="00AF1DC8">
        <w:rPr>
          <w:rFonts w:ascii="Narkisim" w:hAnsi="Narkisim" w:cs="Narkisim"/>
          <w:rtl/>
        </w:rPr>
        <w:t xml:space="preserve">' (גיטין </w:t>
      </w:r>
      <w:r w:rsidRPr="00AF1DC8">
        <w:rPr>
          <w:rFonts w:ascii="Narkisim" w:hAnsi="Narkisim" w:cs="Narkisim"/>
          <w:rtl/>
        </w:rPr>
        <w:lastRenderedPageBreak/>
        <w:t>פ. ד"ה ושם) כת' הטעם דקל הדבר לברר, ועביד לגלויי טובא, ועוד דצריכין להעיד כדי שלא תתעגן. וכ"כ ה</w:t>
      </w:r>
      <w:r w:rsidRPr="00AF1DC8">
        <w:rPr>
          <w:rFonts w:ascii="Narkisim" w:hAnsi="Narkisim" w:cs="Narkisim"/>
          <w:b/>
          <w:bCs/>
          <w:rtl/>
        </w:rPr>
        <w:t xml:space="preserve">רמב"ם </w:t>
      </w:r>
      <w:r w:rsidRPr="00AF1DC8">
        <w:rPr>
          <w:rFonts w:ascii="Narkisim" w:hAnsi="Narkisim" w:cs="Narkisim"/>
          <w:rtl/>
        </w:rPr>
        <w:t>(יבום ד לא) דהוה דבר העומד להגלות</w:t>
      </w:r>
      <w:r w:rsidRPr="00AF1DC8">
        <w:rPr>
          <w:rStyle w:val="ac"/>
          <w:rFonts w:ascii="Narkisim" w:hAnsi="Narkisim" w:cs="Narkisim"/>
          <w:rtl/>
        </w:rPr>
        <w:footnoteReference w:id="2343"/>
      </w:r>
      <w:r w:rsidRPr="00AF1DC8">
        <w:rPr>
          <w:rFonts w:ascii="Narkisim" w:hAnsi="Narkisim" w:cs="Narkisim"/>
        </w:rPr>
        <w:t>.</w:t>
      </w:r>
    </w:p>
    <w:p w14:paraId="4AC26E9D" w14:textId="77777777" w:rsidR="006074A5" w:rsidRPr="00AF1DC8" w:rsidRDefault="006074A5" w:rsidP="006074A5">
      <w:pPr>
        <w:pStyle w:val="a7"/>
        <w:bidi/>
        <w:rPr>
          <w:rFonts w:ascii="Narkisim" w:hAnsi="Narkisim"/>
        </w:rPr>
      </w:pPr>
      <w:r w:rsidRPr="00AF1DC8">
        <w:rPr>
          <w:rFonts w:ascii="Narkisim" w:hAnsi="Narkisim"/>
          <w:rtl/>
        </w:rPr>
        <w:t>וכן ה</w:t>
      </w:r>
      <w:r w:rsidRPr="00AF1DC8">
        <w:rPr>
          <w:rFonts w:ascii="Narkisim" w:hAnsi="Narkisim"/>
          <w:b/>
          <w:bCs/>
          <w:rtl/>
        </w:rPr>
        <w:t>רא"ש</w:t>
      </w:r>
      <w:r w:rsidRPr="00AF1DC8">
        <w:rPr>
          <w:rFonts w:ascii="Narkisim" w:hAnsi="Narkisim"/>
          <w:rtl/>
        </w:rPr>
        <w:t xml:space="preserve"> (ב"ב קסז: י יז) ו</w:t>
      </w:r>
      <w:r w:rsidRPr="00AF1DC8">
        <w:rPr>
          <w:rFonts w:ascii="Narkisim" w:hAnsi="Narkisim"/>
          <w:b/>
          <w:bCs/>
          <w:rtl/>
        </w:rPr>
        <w:t>נמוק"י</w:t>
      </w:r>
      <w:r w:rsidRPr="00AF1DC8">
        <w:rPr>
          <w:rFonts w:ascii="Narkisim" w:hAnsi="Narkisim"/>
          <w:rtl/>
        </w:rPr>
        <w:t xml:space="preserve"> </w:t>
      </w:r>
      <w:r w:rsidRPr="00AF1DC8">
        <w:rPr>
          <w:rFonts w:ascii="Narkisim" w:hAnsi="Narkisim"/>
          <w:szCs w:val="20"/>
          <w:rtl/>
        </w:rPr>
        <w:t>(שם, וכ"פ השו"ע חו"מ מט ב)</w:t>
      </w:r>
      <w:r w:rsidRPr="00AF1DC8">
        <w:rPr>
          <w:rFonts w:ascii="Narkisim" w:hAnsi="Narkisim"/>
          <w:rtl/>
        </w:rPr>
        <w:t xml:space="preserve"> הביאו מסוגיין דאף בשטרות ממון מהני אשה וקרוב לומר שזהו שמו, דהוה מילתא דעבידי לאיגלוי</w:t>
      </w:r>
      <w:r w:rsidRPr="00AF1DC8">
        <w:rPr>
          <w:rStyle w:val="ac"/>
          <w:rFonts w:ascii="Narkisim" w:hAnsi="Narkisim"/>
          <w:rtl/>
        </w:rPr>
        <w:footnoteReference w:id="2344"/>
      </w:r>
      <w:r w:rsidRPr="00AF1DC8">
        <w:rPr>
          <w:rFonts w:ascii="Narkisim" w:hAnsi="Narkisim"/>
        </w:rPr>
        <w:t xml:space="preserve">. </w:t>
      </w:r>
      <w:r w:rsidRPr="00AF1DC8">
        <w:rPr>
          <w:rFonts w:ascii="Narkisim" w:hAnsi="Narkisim"/>
          <w:sz w:val="20"/>
          <w:szCs w:val="20"/>
          <w:rtl/>
        </w:rPr>
        <w:t>וה</w:t>
      </w:r>
      <w:r w:rsidRPr="00AF1DC8">
        <w:rPr>
          <w:rFonts w:ascii="Narkisim" w:hAnsi="Narkisim"/>
          <w:b/>
          <w:bCs/>
          <w:sz w:val="20"/>
          <w:szCs w:val="20"/>
          <w:rtl/>
        </w:rPr>
        <w:t xml:space="preserve">קוב"ש </w:t>
      </w:r>
      <w:r w:rsidRPr="00AF1DC8">
        <w:rPr>
          <w:rFonts w:ascii="Narkisim" w:hAnsi="Narkisim"/>
          <w:sz w:val="20"/>
          <w:szCs w:val="20"/>
          <w:rtl/>
        </w:rPr>
        <w:t>(ב"ב תרכא) הקשה סתירה בדברי הרא"ש דבסוגיין כתב כדברי הרי"ף</w:t>
      </w:r>
      <w:r w:rsidRPr="00AF1DC8">
        <w:rPr>
          <w:rFonts w:ascii="Narkisim" w:hAnsi="Narkisim"/>
          <w:sz w:val="20"/>
          <w:szCs w:val="20"/>
        </w:rPr>
        <w:t>.</w:t>
      </w:r>
    </w:p>
    <w:p w14:paraId="201A5048"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רי"ף</w:t>
      </w:r>
      <w:r w:rsidRPr="00AF1DC8">
        <w:rPr>
          <w:rFonts w:ascii="Narkisim" w:hAnsi="Narkisim" w:cs="Narkisim"/>
          <w:rtl/>
        </w:rPr>
        <w:t xml:space="preserve"> (הנ"ל) פי' הטעם דלא הוה עדות דאיסורא, אלא הוה גילוי מילתא בעלמא. ולא נחשב שמעידין על היתר האשה. והוסיף ודוקא היכא דליכא חשש חשד</w:t>
      </w:r>
      <w:r w:rsidRPr="00AF1DC8">
        <w:rPr>
          <w:rFonts w:ascii="Narkisim" w:hAnsi="Narkisim" w:cs="Narkisim"/>
        </w:rPr>
        <w:t>.</w:t>
      </w:r>
    </w:p>
    <w:p w14:paraId="2C86AC6E" w14:textId="77777777" w:rsidR="006074A5" w:rsidRPr="00AF1DC8" w:rsidRDefault="006074A5" w:rsidP="006074A5">
      <w:pPr>
        <w:pStyle w:val="a7"/>
        <w:bidi/>
        <w:rPr>
          <w:rFonts w:ascii="Narkisim" w:hAnsi="Narkisim"/>
        </w:rPr>
      </w:pPr>
      <w:r w:rsidRPr="00AF1DC8">
        <w:rPr>
          <w:rFonts w:ascii="Narkisim" w:hAnsi="Narkisim"/>
          <w:rtl/>
        </w:rPr>
        <w:t>והרי"ף ביאר דכיון דמודעי ליה [שהוא היבם] הרי איתחזק על פיהם דהאי ניהו פלניא והא ניהי פלניתא. הלכך סמכינן. ואף לענין איסור וממון</w:t>
      </w:r>
      <w:r w:rsidRPr="00AF1DC8">
        <w:rPr>
          <w:rFonts w:ascii="Narkisim" w:hAnsi="Narkisim"/>
        </w:rPr>
        <w:t>.</w:t>
      </w:r>
    </w:p>
    <w:p w14:paraId="4591BC5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ריב"ש</w:t>
      </w:r>
      <w:r w:rsidRPr="00AF1DC8">
        <w:rPr>
          <w:rFonts w:ascii="Narkisim" w:hAnsi="Narkisim"/>
          <w:rtl/>
        </w:rPr>
        <w:t xml:space="preserve"> </w:t>
      </w:r>
      <w:r w:rsidRPr="00AF1DC8">
        <w:rPr>
          <w:rFonts w:ascii="Narkisim" w:hAnsi="Narkisim"/>
          <w:sz w:val="20"/>
          <w:szCs w:val="20"/>
          <w:rtl/>
        </w:rPr>
        <w:t>(קפב)</w:t>
      </w:r>
      <w:r w:rsidRPr="00AF1DC8">
        <w:rPr>
          <w:rFonts w:ascii="Narkisim" w:hAnsi="Narkisim"/>
          <w:rtl/>
        </w:rPr>
        <w:t xml:space="preserve"> דייק מדברי הרי"ף דדוקא היכא דמעידים לפני שבא האשה לפנינו. [</w:t>
      </w:r>
      <w:r w:rsidRPr="00AF1DC8">
        <w:rPr>
          <w:rFonts w:ascii="Narkisim" w:hAnsi="Narkisim"/>
          <w:sz w:val="20"/>
          <w:szCs w:val="20"/>
          <w:rtl/>
        </w:rPr>
        <w:t xml:space="preserve">וכ"כ התוס' חד מקמאי בתחילת דבריו]. </w:t>
      </w:r>
      <w:r w:rsidRPr="00AF1DC8">
        <w:rPr>
          <w:rFonts w:ascii="Narkisim" w:hAnsi="Narkisim"/>
          <w:rtl/>
        </w:rPr>
        <w:t>אבל ה</w:t>
      </w:r>
      <w:r w:rsidRPr="00AF1DC8">
        <w:rPr>
          <w:rFonts w:ascii="Narkisim" w:hAnsi="Narkisim"/>
          <w:b/>
          <w:bCs/>
          <w:rtl/>
        </w:rPr>
        <w:t>ב"י</w:t>
      </w:r>
      <w:r w:rsidRPr="00AF1DC8">
        <w:rPr>
          <w:rFonts w:ascii="Narkisim" w:hAnsi="Narkisim"/>
          <w:rtl/>
        </w:rPr>
        <w:t xml:space="preserve"> </w:t>
      </w:r>
      <w:r w:rsidRPr="00AF1DC8">
        <w:rPr>
          <w:rFonts w:ascii="Narkisim" w:hAnsi="Narkisim"/>
          <w:szCs w:val="20"/>
          <w:rtl/>
        </w:rPr>
        <w:t>(קנז)</w:t>
      </w:r>
      <w:r w:rsidRPr="00AF1DC8">
        <w:rPr>
          <w:rFonts w:ascii="Narkisim" w:hAnsi="Narkisim"/>
          <w:rtl/>
        </w:rPr>
        <w:t xml:space="preserve"> כת' דמשמע בפוסקים דבכל ענין נאמן, וכן דחה ב</w:t>
      </w:r>
      <w:r w:rsidRPr="00AF1DC8">
        <w:rPr>
          <w:rFonts w:ascii="Narkisim" w:hAnsi="Narkisim"/>
          <w:b/>
          <w:bCs/>
          <w:rtl/>
        </w:rPr>
        <w:t>תוס' חד מקמאי,</w:t>
      </w:r>
      <w:r w:rsidRPr="00AF1DC8">
        <w:rPr>
          <w:rFonts w:ascii="Narkisim" w:hAnsi="Narkisim"/>
          <w:rtl/>
        </w:rPr>
        <w:t xml:space="preserve"> דגילוי מילתא בעלמא היא. </w:t>
      </w:r>
      <w:r w:rsidRPr="00AF1DC8">
        <w:rPr>
          <w:rFonts w:ascii="Narkisim" w:hAnsi="Narkisim"/>
          <w:szCs w:val="20"/>
          <w:rtl/>
        </w:rPr>
        <w:t>וה</w:t>
      </w:r>
      <w:r w:rsidRPr="00AF1DC8">
        <w:rPr>
          <w:rFonts w:ascii="Narkisim" w:hAnsi="Narkisim"/>
          <w:b/>
          <w:bCs/>
          <w:szCs w:val="20"/>
          <w:rtl/>
        </w:rPr>
        <w:t>אחרונים</w:t>
      </w:r>
      <w:r w:rsidRPr="00AF1DC8">
        <w:rPr>
          <w:rFonts w:ascii="Narkisim" w:hAnsi="Narkisim"/>
          <w:szCs w:val="20"/>
          <w:rtl/>
        </w:rPr>
        <w:t xml:space="preserve"> (ע' רש"ש) ביארו דעיקר הנאמנות על גופו של עד, ובזה אינו נידון ממון. וכיון דנתקבל עדותו [והוחזק כן] מהני אף לממון</w:t>
      </w:r>
      <w:r w:rsidRPr="00AF1DC8">
        <w:rPr>
          <w:rFonts w:ascii="Narkisim" w:hAnsi="Narkisim"/>
          <w:szCs w:val="20"/>
        </w:rPr>
        <w:t>.</w:t>
      </w:r>
    </w:p>
    <w:p w14:paraId="02F45C2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פתח"ת</w:t>
      </w:r>
      <w:r w:rsidRPr="00AF1DC8">
        <w:rPr>
          <w:rFonts w:ascii="Narkisim" w:hAnsi="Narkisim"/>
          <w:rtl/>
        </w:rPr>
        <w:t xml:space="preserve"> (קמב ז בסופו) ביאר דסברת הב"י דלענין זה אף בשעת מעשה הוה כקודם מעשה. אבל היכא דכבר חלצו בלא להכיר, ובאין להעיד אח"כ צריכה עדות גמורה. דהוה עדות דאיסורא להעיד שהיא חלוצה. וה</w:t>
      </w:r>
      <w:r w:rsidRPr="00AF1DC8">
        <w:rPr>
          <w:rFonts w:ascii="Narkisim" w:hAnsi="Narkisim"/>
          <w:b/>
          <w:bCs/>
          <w:rtl/>
        </w:rPr>
        <w:t>קוב"ש</w:t>
      </w:r>
      <w:r w:rsidRPr="00AF1DC8">
        <w:rPr>
          <w:rFonts w:ascii="Narkisim" w:hAnsi="Narkisim"/>
          <w:rtl/>
        </w:rPr>
        <w:t xml:space="preserve"> (ב"ב תרכ) ביאר דאיירי דידוע דיש לו אח, ובזה נחשב עד א' לברר בדבר שבערוה</w:t>
      </w:r>
      <w:r w:rsidRPr="00AF1DC8">
        <w:rPr>
          <w:rFonts w:ascii="Narkisim" w:hAnsi="Narkisim"/>
        </w:rPr>
        <w:t>.</w:t>
      </w:r>
    </w:p>
    <w:p w14:paraId="737F531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מרדכי</w:t>
      </w:r>
      <w:r w:rsidRPr="00AF1DC8">
        <w:rPr>
          <w:rFonts w:ascii="Narkisim" w:hAnsi="Narkisim"/>
          <w:rtl/>
        </w:rPr>
        <w:t xml:space="preserve"> (פרק מצות חליצה נח) כתב בשם </w:t>
      </w:r>
      <w:r w:rsidRPr="00AF1DC8">
        <w:rPr>
          <w:rFonts w:ascii="Narkisim" w:hAnsi="Narkisim"/>
          <w:b/>
          <w:bCs/>
          <w:rtl/>
        </w:rPr>
        <w:t>ראבי"ה</w:t>
      </w:r>
      <w:r w:rsidRPr="00AF1DC8">
        <w:rPr>
          <w:rFonts w:ascii="Narkisim" w:hAnsi="Narkisim"/>
          <w:rtl/>
        </w:rPr>
        <w:t xml:space="preserve"> דמשמע ברי"ף דרק מסיח לפי תומו נאמנים [ואל"כ חיישינן לחשד]. וה</w:t>
      </w:r>
      <w:r w:rsidRPr="00AF1DC8">
        <w:rPr>
          <w:rFonts w:ascii="Narkisim" w:hAnsi="Narkisim"/>
          <w:b/>
          <w:bCs/>
          <w:rtl/>
        </w:rPr>
        <w:t>מרדכי</w:t>
      </w:r>
      <w:r w:rsidRPr="00AF1DC8">
        <w:rPr>
          <w:rFonts w:ascii="Narkisim" w:hAnsi="Narkisim"/>
          <w:rtl/>
        </w:rPr>
        <w:t xml:space="preserve"> חלק דאף בלא"ה הקילו משום עיגונא</w:t>
      </w:r>
      <w:r w:rsidRPr="00AF1DC8">
        <w:rPr>
          <w:rFonts w:ascii="Narkisim" w:hAnsi="Narkisim"/>
        </w:rPr>
        <w:t>.</w:t>
      </w:r>
    </w:p>
    <w:p w14:paraId="76A3E29D"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וה</w:t>
      </w:r>
      <w:r w:rsidRPr="00AF1DC8">
        <w:rPr>
          <w:rFonts w:ascii="Narkisim" w:hAnsi="Narkisim" w:cs="Narkisim"/>
          <w:b/>
          <w:bCs/>
          <w:rtl/>
        </w:rPr>
        <w:t>מרדכי</w:t>
      </w:r>
      <w:r w:rsidRPr="00AF1DC8">
        <w:rPr>
          <w:rFonts w:ascii="Narkisim" w:hAnsi="Narkisim" w:cs="Narkisim"/>
          <w:rtl/>
        </w:rPr>
        <w:t xml:space="preserve"> (שם) דן כשיש נידון האם היבם או יבמה הם גדולים והביאו שערות, האם מהני עדות הפסולים להעיד, ויחשב גלוי מילתא שראויין לחליצה [ע”ע לקמן קה:]. וה</w:t>
      </w:r>
      <w:r w:rsidRPr="00AF1DC8">
        <w:rPr>
          <w:rFonts w:ascii="Narkisim" w:hAnsi="Narkisim" w:cs="Narkisim"/>
          <w:b/>
          <w:bCs/>
          <w:rtl/>
        </w:rPr>
        <w:t>רמב"ן</w:t>
      </w:r>
      <w:r w:rsidRPr="00AF1DC8">
        <w:rPr>
          <w:rFonts w:ascii="Narkisim" w:hAnsi="Narkisim" w:cs="Narkisim"/>
          <w:rtl/>
        </w:rPr>
        <w:t xml:space="preserve"> (נדה מח:) הביא ע"פ דברי הרי"ף דהוה גילוי מילתא בעלמא. אבל המרדכי הביא בשם ה</w:t>
      </w:r>
      <w:r w:rsidRPr="00AF1DC8">
        <w:rPr>
          <w:rFonts w:ascii="Narkisim" w:hAnsi="Narkisim" w:cs="Narkisim"/>
          <w:b/>
          <w:bCs/>
          <w:rtl/>
        </w:rPr>
        <w:t>אביאסף</w:t>
      </w:r>
      <w:r w:rsidRPr="00AF1DC8">
        <w:rPr>
          <w:rFonts w:ascii="Narkisim" w:hAnsi="Narkisim" w:cs="Narkisim"/>
          <w:rtl/>
        </w:rPr>
        <w:t xml:space="preserve"> דאין ראיה מסוגיין, דהכא הוה גילוי מילתא בעלמא משום דבלא"ה תופסים אותו בחזקת אחיו.</w:t>
      </w:r>
      <w:r w:rsidRPr="00AF1DC8">
        <w:rPr>
          <w:rFonts w:ascii="Narkisim" w:hAnsi="Narkisim" w:cs="Narkisim"/>
          <w:sz w:val="20"/>
          <w:szCs w:val="20"/>
          <w:rtl/>
        </w:rPr>
        <w:t xml:space="preserve"> [וצ”ב כוונתו</w:t>
      </w:r>
      <w:r w:rsidRPr="00AF1DC8">
        <w:rPr>
          <w:rStyle w:val="ac"/>
          <w:rFonts w:ascii="Narkisim" w:hAnsi="Narkisim" w:cs="Narkisim"/>
          <w:sz w:val="20"/>
          <w:szCs w:val="20"/>
          <w:rtl/>
        </w:rPr>
        <w:footnoteReference w:id="2345"/>
      </w:r>
      <w:r w:rsidRPr="00AF1DC8">
        <w:rPr>
          <w:rFonts w:ascii="Narkisim" w:hAnsi="Narkisim" w:cs="Narkisim"/>
          <w:sz w:val="20"/>
          <w:szCs w:val="20"/>
          <w:rtl/>
        </w:rPr>
        <w:t>].</w:t>
      </w:r>
      <w:r w:rsidRPr="00AF1DC8">
        <w:rPr>
          <w:rFonts w:ascii="Narkisim" w:hAnsi="Narkisim" w:cs="Narkisim"/>
          <w:rtl/>
        </w:rPr>
        <w:t xml:space="preserve"> אבל אם לא הוחזק כן ל"מ. ולכן בעי עדות להעיד שהיבם גדול</w:t>
      </w:r>
      <w:r w:rsidRPr="00AF1DC8">
        <w:rPr>
          <w:rFonts w:ascii="Narkisim" w:hAnsi="Narkisim" w:cs="Narkisim"/>
        </w:rPr>
        <w:t>.</w:t>
      </w:r>
    </w:p>
    <w:p w14:paraId="08398D9C"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מרדכי</w:t>
      </w:r>
      <w:r w:rsidRPr="00AF1DC8">
        <w:rPr>
          <w:rFonts w:ascii="Narkisim" w:hAnsi="Narkisim"/>
          <w:rtl/>
        </w:rPr>
        <w:t xml:space="preserve"> הוסיף דהיתר יבמה לשוק</w:t>
      </w:r>
      <w:r w:rsidRPr="00AF1DC8">
        <w:rPr>
          <w:rFonts w:ascii="Narkisim" w:hAnsi="Narkisim"/>
          <w:i/>
          <w:iCs/>
          <w:rtl/>
        </w:rPr>
        <w:t xml:space="preserve"> דבר שבערוה</w:t>
      </w:r>
      <w:r w:rsidRPr="00AF1DC8">
        <w:rPr>
          <w:rFonts w:ascii="Narkisim" w:hAnsi="Narkisim"/>
          <w:rtl/>
        </w:rPr>
        <w:t>, וכמ"ד אין קידושין תופסים ביבמה לשוק. וה</w:t>
      </w:r>
      <w:r w:rsidRPr="00AF1DC8">
        <w:rPr>
          <w:rFonts w:ascii="Narkisim" w:hAnsi="Narkisim"/>
          <w:b/>
          <w:bCs/>
          <w:rtl/>
        </w:rPr>
        <w:t>נוב"י</w:t>
      </w:r>
      <w:r w:rsidRPr="00AF1DC8">
        <w:rPr>
          <w:rFonts w:ascii="Narkisim" w:hAnsi="Narkisim"/>
          <w:rtl/>
        </w:rPr>
        <w:t xml:space="preserve"> (ק' נד) תמה דיבמה לשוק הוה לאו בעלמא, ולא נחשב דבר שבערוה. אך שוב הביא דמבואר (לקמן צד.) דדנו אי ע"א נאמן ביבמה משום חומר שיש בסופה, ועבידא לגלוי. והאחרונים האריכו לחלוק על דברי הנוב"י</w:t>
      </w:r>
      <w:r w:rsidRPr="00AF1DC8">
        <w:rPr>
          <w:rFonts w:ascii="Narkisim" w:hAnsi="Narkisim"/>
        </w:rPr>
        <w:t>.</w:t>
      </w:r>
    </w:p>
    <w:p w14:paraId="22FA54CB"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קה"י</w:t>
      </w:r>
      <w:r w:rsidRPr="00AF1DC8">
        <w:rPr>
          <w:rFonts w:ascii="Narkisim" w:hAnsi="Narkisim"/>
          <w:rtl/>
        </w:rPr>
        <w:t xml:space="preserve"> (לג) ביאר דהטעם דנחשב דבר שבערוה משום דהוה הפקעת זכות היבם. אבל ה</w:t>
      </w:r>
      <w:r w:rsidRPr="00AF1DC8">
        <w:rPr>
          <w:rFonts w:ascii="Narkisim" w:hAnsi="Narkisim"/>
          <w:b/>
          <w:bCs/>
          <w:rtl/>
        </w:rPr>
        <w:t>אתוון דאורייתא</w:t>
      </w:r>
      <w:r w:rsidRPr="00AF1DC8">
        <w:rPr>
          <w:rFonts w:ascii="Narkisim" w:hAnsi="Narkisim"/>
          <w:rtl/>
        </w:rPr>
        <w:t xml:space="preserve"> (ח) ביאר הטעם משום דאין קידושין תופסים ביבמה [וכמ"ש המרדכי], א"כ עצם הזיקה הוה דבר שבערוה. ועוד כתב האתוון דלצד (הו' לעיל בכ"מ) דגדר זיקה ליבום משום המשך מאישות המת, מש"ה נחשב דבר שבערוה. [והאריך לדון דתליא במח' כמה סוגיות]</w:t>
      </w:r>
      <w:r w:rsidRPr="00AF1DC8">
        <w:rPr>
          <w:rFonts w:ascii="Narkisim" w:hAnsi="Narkisim"/>
        </w:rPr>
        <w:t>.</w:t>
      </w:r>
    </w:p>
    <w:p w14:paraId="7893AF48" w14:textId="77777777" w:rsidR="006074A5" w:rsidRPr="00AF1DC8" w:rsidRDefault="006074A5" w:rsidP="006074A5">
      <w:pPr>
        <w:bidi/>
        <w:rPr>
          <w:rFonts w:ascii="Narkisim" w:hAnsi="Narkisim" w:cs="Narkisim"/>
        </w:rPr>
      </w:pPr>
      <w:r w:rsidRPr="00AF1DC8">
        <w:rPr>
          <w:rFonts w:ascii="Narkisim" w:hAnsi="Narkisim" w:cs="Narkisim"/>
          <w:u w:val="single"/>
          <w:rtl/>
        </w:rPr>
        <w:t>שם. ואפי' קרוב</w:t>
      </w:r>
      <w:r w:rsidRPr="00AF1DC8">
        <w:rPr>
          <w:rFonts w:ascii="Narkisim" w:hAnsi="Narkisim" w:cs="Narkisim"/>
          <w:rtl/>
        </w:rPr>
        <w:t>. בפשוטו איירי שהקרוב מעיד בפני בי"ד. אבל ה</w:t>
      </w:r>
      <w:r w:rsidRPr="00AF1DC8">
        <w:rPr>
          <w:rFonts w:ascii="Narkisim" w:hAnsi="Narkisim" w:cs="Narkisim"/>
          <w:b/>
          <w:bCs/>
          <w:rtl/>
        </w:rPr>
        <w:t>רי"ף</w:t>
      </w:r>
      <w:r w:rsidRPr="00AF1DC8">
        <w:rPr>
          <w:rFonts w:ascii="Narkisim" w:hAnsi="Narkisim" w:cs="Narkisim"/>
          <w:rtl/>
        </w:rPr>
        <w:t xml:space="preserve"> הביא דבסוגיין העד מעיד ע"פ הקרוב. ומבואר דמהני אף עד מפי עד כה"ג </w:t>
      </w:r>
      <w:r w:rsidRPr="00AF1DC8">
        <w:rPr>
          <w:rFonts w:ascii="Narkisim" w:hAnsi="Narkisim" w:cs="Narkisim"/>
          <w:szCs w:val="20"/>
          <w:rtl/>
        </w:rPr>
        <w:t>(וכן הביא ה</w:t>
      </w:r>
      <w:r w:rsidRPr="00AF1DC8">
        <w:rPr>
          <w:rFonts w:ascii="Narkisim" w:hAnsi="Narkisim" w:cs="Narkisim"/>
          <w:b/>
          <w:bCs/>
          <w:szCs w:val="20"/>
          <w:rtl/>
        </w:rPr>
        <w:t>גט פשוט</w:t>
      </w:r>
      <w:r w:rsidRPr="00AF1DC8">
        <w:rPr>
          <w:rFonts w:ascii="Narkisim" w:hAnsi="Narkisim" w:cs="Narkisim"/>
          <w:szCs w:val="20"/>
          <w:rtl/>
        </w:rPr>
        <w:t xml:space="preserve"> קכ יד, הו' בפתח"ת שם)</w:t>
      </w:r>
      <w:r w:rsidRPr="00AF1DC8">
        <w:rPr>
          <w:rFonts w:ascii="Narkisim" w:hAnsi="Narkisim" w:cs="Narkisim"/>
          <w:rtl/>
        </w:rPr>
        <w:t>. וכ"כ ה</w:t>
      </w:r>
      <w:r w:rsidRPr="00AF1DC8">
        <w:rPr>
          <w:rFonts w:ascii="Narkisim" w:hAnsi="Narkisim" w:cs="Narkisim"/>
          <w:b/>
          <w:bCs/>
          <w:rtl/>
        </w:rPr>
        <w:t xml:space="preserve">בי"ש </w:t>
      </w:r>
      <w:r w:rsidRPr="00AF1DC8">
        <w:rPr>
          <w:rFonts w:ascii="Narkisim" w:hAnsi="Narkisim" w:cs="Narkisim"/>
          <w:szCs w:val="20"/>
          <w:rtl/>
        </w:rPr>
        <w:t>(</w:t>
      </w:r>
      <w:r w:rsidRPr="00AF1DC8">
        <w:rPr>
          <w:rFonts w:ascii="Narkisim" w:hAnsi="Narkisim" w:cs="Narkisim"/>
          <w:sz w:val="20"/>
          <w:szCs w:val="20"/>
          <w:rtl/>
        </w:rPr>
        <w:t>קנז ב)</w:t>
      </w:r>
      <w:r w:rsidRPr="00AF1DC8">
        <w:rPr>
          <w:rFonts w:ascii="Narkisim" w:hAnsi="Narkisim" w:cs="Narkisim"/>
          <w:rtl/>
        </w:rPr>
        <w:t xml:space="preserve"> בשם הב"י בבדק הבית</w:t>
      </w:r>
      <w:r w:rsidRPr="00AF1DC8">
        <w:rPr>
          <w:rStyle w:val="ac"/>
          <w:rFonts w:ascii="Narkisim" w:hAnsi="Narkisim" w:cs="Narkisim"/>
          <w:rtl/>
        </w:rPr>
        <w:footnoteReference w:id="2346"/>
      </w:r>
      <w:r w:rsidRPr="00AF1DC8">
        <w:rPr>
          <w:rFonts w:ascii="Narkisim" w:hAnsi="Narkisim" w:cs="Narkisim"/>
        </w:rPr>
        <w:t xml:space="preserve"> </w:t>
      </w:r>
      <w:r w:rsidRPr="00AF1DC8">
        <w:rPr>
          <w:rFonts w:ascii="Narkisim" w:hAnsi="Narkisim" w:cs="Narkisim"/>
          <w:rtl/>
        </w:rPr>
        <w:t xml:space="preserve">דאפי' עד מפי עד נאמן. אבל </w:t>
      </w:r>
      <w:r w:rsidRPr="00AF1DC8">
        <w:rPr>
          <w:rFonts w:ascii="Narkisim" w:hAnsi="Narkisim" w:cs="Narkisim"/>
          <w:b/>
          <w:bCs/>
          <w:rtl/>
        </w:rPr>
        <w:t>רע"א</w:t>
      </w:r>
      <w:r w:rsidRPr="00AF1DC8">
        <w:rPr>
          <w:rFonts w:ascii="Narkisim" w:hAnsi="Narkisim" w:cs="Narkisim"/>
          <w:rtl/>
        </w:rPr>
        <w:t xml:space="preserve"> </w:t>
      </w:r>
      <w:r w:rsidRPr="00AF1DC8">
        <w:rPr>
          <w:rFonts w:ascii="Narkisim" w:hAnsi="Narkisim" w:cs="Narkisim"/>
          <w:szCs w:val="20"/>
          <w:rtl/>
        </w:rPr>
        <w:t>(שו"ת ק' צב, והו' בפתח"ת שם)</w:t>
      </w:r>
      <w:r w:rsidRPr="00AF1DC8">
        <w:rPr>
          <w:rFonts w:ascii="Narkisim" w:hAnsi="Narkisim" w:cs="Narkisim"/>
          <w:rtl/>
        </w:rPr>
        <w:t xml:space="preserve"> דן דלא מצאנו</w:t>
      </w:r>
      <w:r w:rsidRPr="00AF1DC8">
        <w:rPr>
          <w:rStyle w:val="ac"/>
          <w:rFonts w:ascii="Narkisim" w:hAnsi="Narkisim" w:cs="Narkisim"/>
          <w:rtl/>
        </w:rPr>
        <w:footnoteReference w:id="2347"/>
      </w:r>
      <w:r w:rsidRPr="00AF1DC8">
        <w:rPr>
          <w:rFonts w:ascii="Narkisim" w:hAnsi="Narkisim" w:cs="Narkisim"/>
        </w:rPr>
        <w:t xml:space="preserve"> </w:t>
      </w:r>
      <w:r w:rsidRPr="00AF1DC8">
        <w:rPr>
          <w:rFonts w:ascii="Narkisim" w:hAnsi="Narkisim" w:cs="Narkisim"/>
          <w:rtl/>
        </w:rPr>
        <w:t>דמהני עד מפי עד כה"ג. ואין ללמוד מהא דהקילו בעדות אשה</w:t>
      </w:r>
      <w:r w:rsidRPr="00AF1DC8">
        <w:rPr>
          <w:rFonts w:ascii="Narkisim" w:hAnsi="Narkisim" w:cs="Narkisim"/>
        </w:rPr>
        <w:t>.</w:t>
      </w:r>
    </w:p>
    <w:p w14:paraId="54B85E8E" w14:textId="77777777" w:rsidR="006074A5" w:rsidRPr="00AF1DC8" w:rsidRDefault="006074A5" w:rsidP="006074A5">
      <w:pPr>
        <w:pStyle w:val="a8"/>
        <w:bidi/>
        <w:rPr>
          <w:rFonts w:ascii="Narkisim" w:hAnsi="Narkisim"/>
        </w:rPr>
      </w:pPr>
      <w:r w:rsidRPr="00AF1DC8">
        <w:rPr>
          <w:rFonts w:ascii="Narkisim" w:hAnsi="Narkisim"/>
          <w:rtl/>
        </w:rPr>
        <w:t>וב</w:t>
      </w:r>
      <w:r w:rsidRPr="00AF1DC8">
        <w:rPr>
          <w:rFonts w:ascii="Narkisim" w:hAnsi="Narkisim"/>
          <w:b/>
          <w:bCs/>
          <w:rtl/>
        </w:rPr>
        <w:t>חי' רע"א</w:t>
      </w:r>
      <w:r w:rsidRPr="00AF1DC8">
        <w:rPr>
          <w:rFonts w:ascii="Narkisim" w:hAnsi="Narkisim"/>
          <w:rtl/>
        </w:rPr>
        <w:t xml:space="preserve"> כתב דלמש"כ הרמב"ם דהוה משום שיתגלה הדבר, ועיקר הטעם בזה דלא משקרי, שירא שיתבדה. אבל עד מפי עד ל”ש כל כך הטעם דנתפס שקרן</w:t>
      </w:r>
      <w:r w:rsidRPr="00AF1DC8">
        <w:rPr>
          <w:rFonts w:ascii="Narkisim" w:hAnsi="Narkisim"/>
        </w:rPr>
        <w:t>.</w:t>
      </w:r>
    </w:p>
    <w:p w14:paraId="4010621A" w14:textId="77777777" w:rsidR="006074A5" w:rsidRPr="00AF1DC8" w:rsidRDefault="006074A5" w:rsidP="006074A5">
      <w:pPr>
        <w:pStyle w:val="aa"/>
        <w:bidi/>
        <w:rPr>
          <w:rFonts w:ascii="Narkisim" w:hAnsi="Narkisim"/>
        </w:rPr>
      </w:pPr>
      <w:r w:rsidRPr="00AF1DC8">
        <w:rPr>
          <w:rFonts w:ascii="Narkisim" w:hAnsi="Narkisim"/>
          <w:u w:val="single"/>
          <w:rtl/>
        </w:rPr>
        <w:t>שם. והילכתא גילוי מילתא בעלמא.</w:t>
      </w:r>
      <w:r w:rsidRPr="00AF1DC8">
        <w:rPr>
          <w:rFonts w:ascii="Narkisim" w:hAnsi="Narkisim"/>
          <w:rtl/>
        </w:rPr>
        <w:t xml:space="preserve"> ב</w:t>
      </w:r>
      <w:r w:rsidRPr="00AF1DC8">
        <w:rPr>
          <w:rFonts w:ascii="Narkisim" w:hAnsi="Narkisim"/>
          <w:b/>
          <w:bCs/>
          <w:rtl/>
        </w:rPr>
        <w:t>תוס' מהר"ם ור"פ</w:t>
      </w:r>
      <w:r w:rsidRPr="00AF1DC8">
        <w:rPr>
          <w:rFonts w:ascii="Narkisim" w:hAnsi="Narkisim"/>
          <w:rtl/>
        </w:rPr>
        <w:t xml:space="preserve"> [וכה"ק </w:t>
      </w:r>
      <w:r w:rsidRPr="00AF1DC8">
        <w:rPr>
          <w:rFonts w:ascii="Narkisim" w:hAnsi="Narkisim"/>
          <w:b/>
          <w:bCs/>
          <w:rtl/>
        </w:rPr>
        <w:t>רע"א</w:t>
      </w:r>
      <w:r w:rsidRPr="00AF1DC8">
        <w:rPr>
          <w:rFonts w:ascii="Narkisim" w:hAnsi="Narkisim"/>
          <w:rtl/>
        </w:rPr>
        <w:t>] הק' אמאי איצטריך לפסוק הלכה, הא קי"ל דבכל מקום דנח' ר”א ורבינא הלכה כדברי המיקל (חולין צח:). ותי' דמשום חומרא דאשת איש</w:t>
      </w:r>
      <w:r w:rsidRPr="00AF1DC8">
        <w:rPr>
          <w:rStyle w:val="ac"/>
          <w:rFonts w:ascii="Narkisim" w:hAnsi="Narkisim"/>
          <w:rtl/>
        </w:rPr>
        <w:footnoteReference w:id="2348"/>
      </w:r>
      <w:r w:rsidRPr="00AF1DC8">
        <w:rPr>
          <w:rFonts w:ascii="Narkisim" w:hAnsi="Narkisim"/>
        </w:rPr>
        <w:t xml:space="preserve"> </w:t>
      </w:r>
      <w:r w:rsidRPr="00AF1DC8">
        <w:rPr>
          <w:rFonts w:ascii="Narkisim" w:hAnsi="Narkisim"/>
          <w:rtl/>
        </w:rPr>
        <w:t xml:space="preserve">ס”ד </w:t>
      </w:r>
      <w:r w:rsidRPr="00AF1DC8">
        <w:rPr>
          <w:rFonts w:ascii="Narkisim" w:hAnsi="Narkisim"/>
          <w:rtl/>
        </w:rPr>
        <w:lastRenderedPageBreak/>
        <w:t>דהלכה כרבינא. וה</w:t>
      </w:r>
      <w:r w:rsidRPr="00AF1DC8">
        <w:rPr>
          <w:rFonts w:ascii="Narkisim" w:hAnsi="Narkisim"/>
          <w:b/>
          <w:bCs/>
          <w:rtl/>
        </w:rPr>
        <w:t>רש"ש</w:t>
      </w:r>
      <w:r w:rsidRPr="00AF1DC8">
        <w:rPr>
          <w:rFonts w:ascii="Narkisim" w:hAnsi="Narkisim"/>
          <w:rtl/>
        </w:rPr>
        <w:t xml:space="preserve"> תי' דהכא יש נפק"מ אף לחומרא, דאם יש בנים חייבים בעריות ע"פ</w:t>
      </w:r>
      <w:r w:rsidRPr="00AF1DC8">
        <w:rPr>
          <w:rStyle w:val="ac"/>
          <w:rFonts w:ascii="Narkisim" w:hAnsi="Narkisim"/>
          <w:rtl/>
        </w:rPr>
        <w:footnoteReference w:id="2349"/>
      </w:r>
      <w:r w:rsidRPr="00AF1DC8">
        <w:rPr>
          <w:rFonts w:ascii="Narkisim" w:hAnsi="Narkisim"/>
        </w:rPr>
        <w:t>.</w:t>
      </w:r>
    </w:p>
    <w:p w14:paraId="4F90443B" w14:textId="77777777" w:rsidR="006074A5" w:rsidRPr="00AF1DC8" w:rsidRDefault="006074A5" w:rsidP="006074A5">
      <w:pPr>
        <w:pStyle w:val="2"/>
        <w:bidi/>
        <w:rPr>
          <w:rFonts w:ascii="Narkisim" w:hAnsi="Narkisim"/>
        </w:rPr>
      </w:pPr>
      <w:r w:rsidRPr="00AF1DC8">
        <w:rPr>
          <w:rFonts w:ascii="Narkisim" w:hAnsi="Narkisim"/>
          <w:rtl/>
        </w:rPr>
        <w:t>אבא שאול – כאילו פוגע בערוה</w:t>
      </w:r>
    </w:p>
    <w:p w14:paraId="6C965B88" w14:textId="77777777" w:rsidR="006074A5" w:rsidRPr="00AF1DC8" w:rsidRDefault="006074A5" w:rsidP="006074A5">
      <w:pPr>
        <w:bidi/>
        <w:rPr>
          <w:rFonts w:ascii="Narkisim" w:hAnsi="Narkisim" w:cs="Narkisim"/>
        </w:rPr>
      </w:pPr>
      <w:r w:rsidRPr="00AF1DC8">
        <w:rPr>
          <w:rFonts w:ascii="Narkisim" w:hAnsi="Narkisim" w:cs="Narkisim"/>
          <w:u w:val="single"/>
          <w:rtl/>
        </w:rPr>
        <w:t>ועכשיו שאין מתכוונין לשם מצווה אמרו מצות חליצה קודמת וכו'</w:t>
      </w:r>
      <w:r w:rsidRPr="00AF1DC8">
        <w:rPr>
          <w:rFonts w:ascii="Narkisim" w:hAnsi="Narkisim" w:cs="Narkisim"/>
          <w:rtl/>
        </w:rPr>
        <w:t>. וכאבא שאול [וכדבסמוך]. וחזרו לומר [כרבנן] דמצוות יבום קודמת</w:t>
      </w:r>
      <w:r w:rsidRPr="00AF1DC8">
        <w:rPr>
          <w:rFonts w:ascii="Narkisim" w:hAnsi="Narkisim" w:cs="Narkisim"/>
        </w:rPr>
        <w:t>.</w:t>
      </w:r>
    </w:p>
    <w:p w14:paraId="5F4250EA" w14:textId="77777777" w:rsidR="006074A5" w:rsidRPr="00AF1DC8" w:rsidRDefault="006074A5" w:rsidP="006074A5">
      <w:pPr>
        <w:pStyle w:val="a8"/>
        <w:bidi/>
        <w:rPr>
          <w:rFonts w:ascii="Narkisim" w:hAnsi="Narkisim"/>
        </w:rPr>
      </w:pPr>
      <w:r w:rsidRPr="00AF1DC8">
        <w:rPr>
          <w:rFonts w:ascii="Narkisim" w:hAnsi="Narkisim"/>
          <w:rtl/>
        </w:rPr>
        <w:t>ובפשוטו מבואר דמדאורייתא לכו”ע מצוות יבום קודמת, אלא דלאבא שאול חששו שמא לא יתכוונו, ותקנו דמצוות חליצה קודמת. אבל יש שהביאו</w:t>
      </w:r>
      <w:r w:rsidRPr="00AF1DC8">
        <w:rPr>
          <w:rStyle w:val="ac"/>
          <w:rFonts w:ascii="Narkisim" w:hAnsi="Narkisim"/>
          <w:rtl/>
        </w:rPr>
        <w:footnoteReference w:id="2350"/>
      </w:r>
      <w:r w:rsidRPr="00AF1DC8">
        <w:rPr>
          <w:rFonts w:ascii="Narkisim" w:hAnsi="Narkisim"/>
        </w:rPr>
        <w:t xml:space="preserve"> </w:t>
      </w:r>
      <w:r w:rsidRPr="00AF1DC8">
        <w:rPr>
          <w:rFonts w:ascii="Narkisim" w:hAnsi="Narkisim"/>
          <w:rtl/>
        </w:rPr>
        <w:t>דיש מח' נוספת בין אבא שאול ורבנן אי מצווה ביבום עדיף טפי מבחליצה</w:t>
      </w:r>
      <w:r w:rsidRPr="00AF1DC8">
        <w:rPr>
          <w:rFonts w:ascii="Narkisim" w:hAnsi="Narkisim"/>
        </w:rPr>
        <w:t>.</w:t>
      </w:r>
    </w:p>
    <w:p w14:paraId="0E26F90D"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בי"ש</w:t>
      </w:r>
      <w:r w:rsidRPr="00AF1DC8">
        <w:rPr>
          <w:rFonts w:ascii="Narkisim" w:hAnsi="Narkisim"/>
          <w:rtl/>
        </w:rPr>
        <w:t xml:space="preserve"> (קעד ג) הק' דאי מצוות חליצה קודמת, א"כ אמאי אמרי' בחייבי לאוין דעשה דוחה ל"ת [וכדאמרי' (לעיל כא.) דחליצה במקום יבום לאו כלום הוא], הא חליצה עדיפא</w:t>
      </w:r>
      <w:r w:rsidRPr="00AF1DC8">
        <w:rPr>
          <w:rStyle w:val="ac"/>
          <w:rFonts w:ascii="Narkisim" w:hAnsi="Narkisim"/>
          <w:rtl/>
        </w:rPr>
        <w:footnoteReference w:id="2351"/>
      </w:r>
      <w:r w:rsidRPr="00AF1DC8">
        <w:rPr>
          <w:rFonts w:ascii="Narkisim" w:hAnsi="Narkisim"/>
        </w:rPr>
        <w:t xml:space="preserve">. </w:t>
      </w:r>
      <w:r w:rsidRPr="00AF1DC8">
        <w:rPr>
          <w:rFonts w:ascii="Narkisim" w:hAnsi="Narkisim"/>
          <w:rtl/>
        </w:rPr>
        <w:t>והבי"ש תי' דהא דמצוות חליצה קודמת הוה מדרבנן. והוכיח דאף אם אינו מתכוון הוה רק איסור דרבנן</w:t>
      </w:r>
      <w:r w:rsidRPr="00AF1DC8">
        <w:rPr>
          <w:rFonts w:ascii="Narkisim" w:hAnsi="Narkisim"/>
        </w:rPr>
        <w:t>.</w:t>
      </w:r>
    </w:p>
    <w:p w14:paraId="082D2B9D"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כת' דאף אם אינו מתכוון קיים מצוות יבום והעשה דחי לל"ת [אלא דמ"מ פגע בערוה, ע' בסמוך]. א"נ אף דבאמת עבר על הלאו, מ"מ אמרי' דאם בעלו קנו אף דלא קיים העשה, כיון דהלאו ראוי לידחות מפני העשה</w:t>
      </w:r>
      <w:r w:rsidRPr="00AF1DC8">
        <w:rPr>
          <w:rFonts w:ascii="Narkisim" w:hAnsi="Narkisim"/>
        </w:rPr>
        <w:t>].</w:t>
      </w:r>
    </w:p>
    <w:p w14:paraId="47EEC8E0" w14:textId="77777777" w:rsidR="006074A5" w:rsidRPr="00AF1DC8" w:rsidRDefault="006074A5" w:rsidP="006074A5">
      <w:pPr>
        <w:bidi/>
        <w:rPr>
          <w:rFonts w:ascii="Narkisim" w:hAnsi="Narkisim" w:cs="Narkisim"/>
        </w:rPr>
      </w:pPr>
      <w:r w:rsidRPr="00AF1DC8">
        <w:rPr>
          <w:rFonts w:ascii="Narkisim" w:hAnsi="Narkisim" w:cs="Narkisim"/>
          <w:u w:val="single"/>
          <w:rtl/>
        </w:rPr>
        <w:t>דתניא אבא שאול אומר וכו' לשם נוי וכו' כאילו פוגע בערוה</w:t>
      </w:r>
      <w:r w:rsidRPr="00AF1DC8">
        <w:rPr>
          <w:rFonts w:ascii="Narkisim" w:hAnsi="Narkisim" w:cs="Narkisim"/>
          <w:rtl/>
        </w:rPr>
        <w:t>. ה</w:t>
      </w:r>
      <w:r w:rsidRPr="00AF1DC8">
        <w:rPr>
          <w:rFonts w:ascii="Narkisim" w:hAnsi="Narkisim" w:cs="Narkisim"/>
          <w:b/>
          <w:bCs/>
          <w:rtl/>
        </w:rPr>
        <w:t>רמב"ן</w:t>
      </w:r>
      <w:r w:rsidRPr="00AF1DC8">
        <w:rPr>
          <w:rFonts w:ascii="Narkisim" w:hAnsi="Narkisim" w:cs="Narkisim"/>
          <w:rtl/>
        </w:rPr>
        <w:t xml:space="preserve"> כתב דלאבא שאול הבא על יבמתו אנוס ומזיד ל"ק, ודלא כמשנה (לקמן נג:). דהיאך אפשר שיהא זה כפוגע בערוה והולד ממזר</w:t>
      </w:r>
      <w:r w:rsidRPr="00AF1DC8">
        <w:rPr>
          <w:rStyle w:val="ac"/>
          <w:rFonts w:ascii="Narkisim" w:hAnsi="Narkisim" w:cs="Narkisim"/>
          <w:rtl/>
        </w:rPr>
        <w:footnoteReference w:id="2352"/>
      </w:r>
      <w:r w:rsidRPr="00AF1DC8">
        <w:rPr>
          <w:rFonts w:ascii="Narkisim" w:hAnsi="Narkisim" w:cs="Narkisim"/>
        </w:rPr>
        <w:t xml:space="preserve">, </w:t>
      </w:r>
      <w:r w:rsidRPr="00AF1DC8">
        <w:rPr>
          <w:rFonts w:ascii="Narkisim" w:hAnsi="Narkisim" w:cs="Narkisim"/>
          <w:rtl/>
        </w:rPr>
        <w:t>ואפ"ה רחמנא רבייה לקנין. ומעתה מוכרע דהלכה כדברי חכמים ע"פ סתם משנה (הנ”ל)</w:t>
      </w:r>
      <w:r w:rsidRPr="00AF1DC8">
        <w:rPr>
          <w:rStyle w:val="ac"/>
          <w:rFonts w:ascii="Narkisim" w:hAnsi="Narkisim" w:cs="Narkisim"/>
          <w:rtl/>
        </w:rPr>
        <w:footnoteReference w:id="2353"/>
      </w:r>
      <w:r w:rsidRPr="00AF1DC8">
        <w:rPr>
          <w:rFonts w:ascii="Narkisim" w:hAnsi="Narkisim" w:cs="Narkisim"/>
        </w:rPr>
        <w:t>.</w:t>
      </w:r>
    </w:p>
    <w:p w14:paraId="2E9D24F9" w14:textId="77777777" w:rsidR="006074A5" w:rsidRPr="00AF1DC8" w:rsidRDefault="006074A5" w:rsidP="006074A5">
      <w:pPr>
        <w:pStyle w:val="a7"/>
        <w:bidi/>
        <w:rPr>
          <w:rFonts w:ascii="Narkisim" w:hAnsi="Narkisim"/>
        </w:rPr>
      </w:pPr>
      <w:r w:rsidRPr="00AF1DC8">
        <w:rPr>
          <w:rFonts w:ascii="Narkisim" w:hAnsi="Narkisim"/>
          <w:rtl/>
        </w:rPr>
        <w:t xml:space="preserve">אבל </w:t>
      </w:r>
      <w:r w:rsidRPr="00AF1DC8">
        <w:rPr>
          <w:rFonts w:ascii="Narkisim" w:hAnsi="Narkisim"/>
          <w:b/>
          <w:bCs/>
          <w:rtl/>
        </w:rPr>
        <w:t>תוס'</w:t>
      </w:r>
      <w:r w:rsidRPr="00AF1DC8">
        <w:rPr>
          <w:rFonts w:ascii="Narkisim" w:hAnsi="Narkisim"/>
          <w:rtl/>
        </w:rPr>
        <w:t xml:space="preserve"> (ד"ה אמר) וה</w:t>
      </w:r>
      <w:r w:rsidRPr="00AF1DC8">
        <w:rPr>
          <w:rFonts w:ascii="Narkisim" w:hAnsi="Narkisim"/>
          <w:b/>
          <w:bCs/>
          <w:rtl/>
        </w:rPr>
        <w:t>ראשונים</w:t>
      </w:r>
      <w:r w:rsidRPr="00AF1DC8">
        <w:rPr>
          <w:rFonts w:ascii="Narkisim" w:hAnsi="Narkisim"/>
          <w:rtl/>
        </w:rPr>
        <w:t xml:space="preserve"> הביאו דהלכה כאבא שאול מכח סתם משנה (דבכורות יג.)</w:t>
      </w:r>
      <w:r w:rsidRPr="00AF1DC8">
        <w:rPr>
          <w:rStyle w:val="ac"/>
          <w:rFonts w:ascii="Narkisim" w:hAnsi="Narkisim"/>
          <w:rtl/>
        </w:rPr>
        <w:footnoteReference w:id="2354"/>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(בי"ש הו' בסמוך) הביאו דע"כ ס”ל דמתני' (לקמן נג:) דביאת שוגג ומזיד קנה קאי אף לאבא שאול</w:t>
      </w:r>
      <w:r w:rsidRPr="00AF1DC8">
        <w:rPr>
          <w:rFonts w:ascii="Narkisim" w:hAnsi="Narkisim"/>
        </w:rPr>
        <w:t>.</w:t>
      </w:r>
    </w:p>
    <w:p w14:paraId="5DA03800"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(לקמן נג:) הביא צד דמתני' דלא כאבא שאול, ושוב כת' דאפשר דאבא שאול מדרבנן קאמר</w:t>
      </w:r>
      <w:r w:rsidRPr="00AF1DC8">
        <w:rPr>
          <w:rStyle w:val="ac"/>
          <w:rFonts w:ascii="Narkisim" w:hAnsi="Narkisim"/>
          <w:rtl/>
        </w:rPr>
        <w:footnoteReference w:id="2355"/>
      </w:r>
      <w:r w:rsidRPr="00AF1DC8">
        <w:rPr>
          <w:rFonts w:ascii="Narkisim" w:hAnsi="Narkisim"/>
        </w:rPr>
        <w:t xml:space="preserve">, </w:t>
      </w:r>
      <w:r w:rsidRPr="00AF1DC8">
        <w:rPr>
          <w:rFonts w:ascii="Narkisim" w:hAnsi="Narkisim"/>
          <w:rtl/>
        </w:rPr>
        <w:t>והיינו דקאמר כאילו פוגע, ו'קרוב בעיני' שיהא ממזר, ולא הוה ממזר ממש</w:t>
      </w:r>
      <w:r w:rsidRPr="00AF1DC8">
        <w:rPr>
          <w:rStyle w:val="ac"/>
          <w:rFonts w:ascii="Narkisim" w:hAnsi="Narkisim"/>
          <w:rtl/>
        </w:rPr>
        <w:footnoteReference w:id="2356"/>
      </w:r>
      <w:r w:rsidRPr="00AF1DC8">
        <w:rPr>
          <w:rFonts w:ascii="Narkisim" w:hAnsi="Narkisim"/>
        </w:rPr>
        <w:t xml:space="preserve">. </w:t>
      </w:r>
      <w:r w:rsidRPr="00AF1DC8">
        <w:rPr>
          <w:rFonts w:ascii="Narkisim" w:hAnsi="Narkisim"/>
          <w:rtl/>
        </w:rPr>
        <w:t>וה</w:t>
      </w:r>
      <w:r w:rsidRPr="00AF1DC8">
        <w:rPr>
          <w:rFonts w:ascii="Narkisim" w:hAnsi="Narkisim"/>
          <w:b/>
          <w:bCs/>
          <w:rtl/>
        </w:rPr>
        <w:t>נמוק"י</w:t>
      </w:r>
      <w:r w:rsidRPr="00AF1DC8">
        <w:rPr>
          <w:rFonts w:ascii="Narkisim" w:hAnsi="Narkisim"/>
          <w:rtl/>
        </w:rPr>
        <w:t xml:space="preserve"> (נג:) הוסיף דבדיעבד מודה אבא שאול דקנאה</w:t>
      </w:r>
      <w:r w:rsidRPr="00AF1DC8">
        <w:rPr>
          <w:rStyle w:val="ac"/>
          <w:rFonts w:ascii="Narkisim" w:hAnsi="Narkisim"/>
          <w:rtl/>
        </w:rPr>
        <w:footnoteReference w:id="2357"/>
      </w:r>
      <w:r w:rsidRPr="00AF1DC8">
        <w:rPr>
          <w:rFonts w:ascii="Narkisim" w:hAnsi="Narkisim"/>
        </w:rPr>
        <w:t xml:space="preserve">, </w:t>
      </w:r>
      <w:r w:rsidRPr="00AF1DC8">
        <w:rPr>
          <w:rFonts w:ascii="Narkisim" w:hAnsi="Narkisim"/>
          <w:rtl/>
        </w:rPr>
        <w:t>אלא מדרבנן קאמר ולכתחילה</w:t>
      </w:r>
      <w:r w:rsidRPr="00AF1DC8">
        <w:rPr>
          <w:rStyle w:val="ac"/>
          <w:rFonts w:ascii="Narkisim" w:hAnsi="Narkisim"/>
          <w:rtl/>
        </w:rPr>
        <w:footnoteReference w:id="2358"/>
      </w:r>
      <w:r w:rsidRPr="00AF1DC8">
        <w:rPr>
          <w:rFonts w:ascii="Narkisim" w:hAnsi="Narkisim"/>
        </w:rPr>
        <w:t>.</w:t>
      </w:r>
    </w:p>
    <w:p w14:paraId="66914624" w14:textId="77777777" w:rsidR="006074A5" w:rsidRPr="00AF1DC8" w:rsidRDefault="006074A5" w:rsidP="006074A5">
      <w:pPr>
        <w:pStyle w:val="a7"/>
        <w:bidi/>
        <w:rPr>
          <w:rFonts w:ascii="Narkisim" w:hAnsi="Narkisim"/>
        </w:rPr>
      </w:pPr>
      <w:r w:rsidRPr="00AF1DC8">
        <w:rPr>
          <w:rFonts w:ascii="Narkisim" w:hAnsi="Narkisim"/>
          <w:rtl/>
        </w:rPr>
        <w:lastRenderedPageBreak/>
        <w:t>אך בפשוטו דעת תוס' דהוה מדאורייתא. וה</w:t>
      </w:r>
      <w:r w:rsidRPr="00AF1DC8">
        <w:rPr>
          <w:rFonts w:ascii="Narkisim" w:hAnsi="Narkisim"/>
          <w:b/>
          <w:bCs/>
          <w:rtl/>
        </w:rPr>
        <w:t>בית שמואל</w:t>
      </w:r>
      <w:r w:rsidRPr="00AF1DC8">
        <w:rPr>
          <w:rFonts w:ascii="Narkisim" w:hAnsi="Narkisim"/>
          <w:rtl/>
        </w:rPr>
        <w:t xml:space="preserve"> </w:t>
      </w:r>
      <w:r w:rsidRPr="00AF1DC8">
        <w:rPr>
          <w:rFonts w:ascii="Narkisim" w:hAnsi="Narkisim"/>
          <w:sz w:val="20"/>
          <w:szCs w:val="20"/>
          <w:rtl/>
        </w:rPr>
        <w:t>(קסו ה אחר שהביא דברי הנמוק"י)</w:t>
      </w:r>
      <w:r w:rsidRPr="00AF1DC8">
        <w:rPr>
          <w:rFonts w:ascii="Narkisim" w:hAnsi="Narkisim"/>
          <w:rtl/>
        </w:rPr>
        <w:t xml:space="preserve"> כתב די"ל דאף אם מדאורייתא אסור לייבם משום נוי, מ"מ קנאה</w:t>
      </w:r>
      <w:r w:rsidRPr="00AF1DC8">
        <w:rPr>
          <w:rFonts w:ascii="Narkisim" w:hAnsi="Narkisim"/>
        </w:rPr>
        <w:t>.</w:t>
      </w:r>
    </w:p>
    <w:p w14:paraId="6E3CD3BA"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אמר"מ</w:t>
      </w:r>
      <w:r w:rsidRPr="00AF1DC8">
        <w:rPr>
          <w:rFonts w:ascii="Narkisim" w:hAnsi="Narkisim"/>
          <w:rtl/>
        </w:rPr>
        <w:t xml:space="preserve"> (ה ב) תמה דכיון דאסורה עליו באיסור עריות האיך תפסי קנין יבום</w:t>
      </w:r>
      <w:r w:rsidRPr="00AF1DC8">
        <w:rPr>
          <w:rStyle w:val="ac"/>
          <w:rFonts w:ascii="Narkisim" w:hAnsi="Narkisim"/>
          <w:rtl/>
        </w:rPr>
        <w:footnoteReference w:id="2359"/>
      </w:r>
      <w:r w:rsidRPr="00AF1DC8">
        <w:rPr>
          <w:rFonts w:ascii="Narkisim" w:hAnsi="Narkisim"/>
        </w:rPr>
        <w:t>.</w:t>
      </w:r>
    </w:p>
    <w:p w14:paraId="2E93820E" w14:textId="77777777" w:rsidR="006074A5" w:rsidRPr="00AF1DC8" w:rsidRDefault="006074A5" w:rsidP="006074A5">
      <w:pPr>
        <w:pStyle w:val="a7"/>
        <w:bidi/>
        <w:rPr>
          <w:rFonts w:ascii="Narkisim" w:hAnsi="Narkisim"/>
        </w:rPr>
      </w:pPr>
      <w:r w:rsidRPr="00AF1DC8">
        <w:rPr>
          <w:rFonts w:ascii="Narkisim" w:hAnsi="Narkisim"/>
          <w:rtl/>
        </w:rPr>
        <w:t>ולדברי הבי"ש דוקא הולד מביאה ראשונה הוה ממזר, דלאחר שקנאה נעשית כאשתו לכל דבר [כדלעיל ח: וכ”מ], והוה היתר גמור. וה</w:t>
      </w:r>
      <w:r w:rsidRPr="00AF1DC8">
        <w:rPr>
          <w:rFonts w:ascii="Narkisim" w:hAnsi="Narkisim"/>
          <w:b/>
          <w:bCs/>
          <w:rtl/>
        </w:rPr>
        <w:t>אמר"מ</w:t>
      </w:r>
      <w:r w:rsidRPr="00AF1DC8">
        <w:rPr>
          <w:rFonts w:ascii="Narkisim" w:hAnsi="Narkisim"/>
          <w:rtl/>
        </w:rPr>
        <w:t xml:space="preserve"> (שם, וכן בהג' המהרש"ם) הק' דא"כ אף בביאה א', נימא דמתחילת ביאה כבר קנאה, ובגמר ביאה הוה היתר גמור דנעשית כאשתו</w:t>
      </w:r>
      <w:r w:rsidRPr="00AF1DC8">
        <w:rPr>
          <w:rStyle w:val="ac"/>
          <w:rFonts w:ascii="Narkisim" w:hAnsi="Narkisim"/>
          <w:rtl/>
        </w:rPr>
        <w:footnoteReference w:id="2360"/>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תי' דאף לאבא שאול הולד אינו ממזר ממש, אלא קרוב לממזר, שנולד ממעשה שיש בו צד איסור עריות</w:t>
      </w:r>
      <w:r w:rsidRPr="00AF1DC8">
        <w:rPr>
          <w:rFonts w:ascii="Narkisim" w:hAnsi="Narkisim"/>
        </w:rPr>
        <w:t>.</w:t>
      </w:r>
    </w:p>
    <w:p w14:paraId="6BF113B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(קלד מא.) דן די"ל דכוונת אבא שאול ד</w:t>
      </w:r>
      <w:r w:rsidRPr="00AF1DC8">
        <w:rPr>
          <w:rFonts w:ascii="Narkisim" w:hAnsi="Narkisim"/>
          <w:i/>
          <w:iCs/>
          <w:rtl/>
        </w:rPr>
        <w:t>בידי שמים</w:t>
      </w:r>
      <w:r w:rsidRPr="00AF1DC8">
        <w:rPr>
          <w:rFonts w:ascii="Narkisim" w:hAnsi="Narkisim"/>
          <w:rtl/>
        </w:rPr>
        <w:t xml:space="preserve"> נחשב שעבר על איסור אשת אח, דכיון דכנס לשם נוי עבר על כוונת הבורא שהתיר כדי שיקיימו המצוה. והוא משתמש בהיתר וקנאה וביטל מצוות יבום. ולכן בדיני שמים נחשב כאילו לא הותר אצלו [אבל בדיני אדם לא עבר איסור, והולד כשר לקהל]</w:t>
      </w:r>
      <w:r w:rsidRPr="00AF1DC8">
        <w:rPr>
          <w:rFonts w:ascii="Narkisim" w:hAnsi="Narkisim"/>
        </w:rPr>
        <w:t>.</w:t>
      </w:r>
    </w:p>
    <w:p w14:paraId="1A8F7D3A" w14:textId="77777777" w:rsidR="006074A5" w:rsidRPr="00AF1DC8" w:rsidRDefault="006074A5" w:rsidP="006074A5">
      <w:pPr>
        <w:bidi/>
        <w:rPr>
          <w:rFonts w:ascii="Narkisim" w:hAnsi="Narkisim" w:cs="Narkisim"/>
        </w:rPr>
      </w:pPr>
      <w:r w:rsidRPr="00AF1DC8">
        <w:rPr>
          <w:rFonts w:ascii="Narkisim" w:hAnsi="Narkisim" w:cs="Narkisim"/>
          <w:u w:val="single"/>
          <w:rtl/>
        </w:rPr>
        <w:t>שם. כאילו פוגע בערוה</w:t>
      </w:r>
      <w:r w:rsidRPr="00AF1DC8">
        <w:rPr>
          <w:rFonts w:ascii="Narkisim" w:hAnsi="Narkisim" w:cs="Narkisim"/>
          <w:rtl/>
        </w:rPr>
        <w:t>. בפשוטו פוגע בערות אשת אח, דאיסור אשת אח הותר רק למצוות יבום, וכיון דלא נתכוון לשם מצווה אינו בכלל ההיתר. ופוגע באשת אח שלא במקום מצווה, וחייב כרת וחטאת</w:t>
      </w:r>
      <w:r w:rsidRPr="00AF1DC8">
        <w:rPr>
          <w:rFonts w:ascii="Narkisim" w:hAnsi="Narkisim" w:cs="Narkisim"/>
        </w:rPr>
        <w:t>.</w:t>
      </w:r>
    </w:p>
    <w:p w14:paraId="0DC3D0D9" w14:textId="77777777" w:rsidR="006074A5" w:rsidRPr="00AF1DC8" w:rsidRDefault="006074A5" w:rsidP="006074A5">
      <w:pPr>
        <w:pStyle w:val="a8"/>
        <w:bidi/>
        <w:rPr>
          <w:rFonts w:ascii="Narkisim" w:hAnsi="Narkisim"/>
        </w:rPr>
      </w:pPr>
      <w:r w:rsidRPr="00AF1DC8">
        <w:rPr>
          <w:rFonts w:ascii="Narkisim" w:hAnsi="Narkisim"/>
          <w:rtl/>
        </w:rPr>
        <w:t>ולדברי הרמב"ן (הנ"ל) דעת אבא שאול כיון דלא נתכוון לשם מצווה אין זה מעשה יבום כלל. אבל לדברי הבי"ש הוה מעשה יבום וקנאה, ואפי' הכי יש בזה איסור אשת אח. דהיתר אשת אח תלי ב'מצווה' ולא בקנין היבום</w:t>
      </w:r>
      <w:r w:rsidRPr="00AF1DC8">
        <w:rPr>
          <w:rFonts w:ascii="Narkisim" w:hAnsi="Narkisim"/>
        </w:rPr>
        <w:t>.</w:t>
      </w:r>
    </w:p>
    <w:p w14:paraId="2C2FBFD8" w14:textId="77777777" w:rsidR="006074A5" w:rsidRPr="00AF1DC8" w:rsidRDefault="006074A5" w:rsidP="006074A5">
      <w:pPr>
        <w:pStyle w:val="a7"/>
        <w:bidi/>
        <w:rPr>
          <w:rFonts w:ascii="Narkisim" w:hAnsi="Narkisim"/>
        </w:rPr>
      </w:pPr>
      <w:r w:rsidRPr="00AF1DC8">
        <w:rPr>
          <w:rFonts w:ascii="Narkisim" w:hAnsi="Narkisim"/>
          <w:rtl/>
        </w:rPr>
        <w:t>אבל לדברי ה</w:t>
      </w:r>
      <w:r w:rsidRPr="00AF1DC8">
        <w:rPr>
          <w:rFonts w:ascii="Narkisim" w:hAnsi="Narkisim"/>
          <w:b/>
          <w:bCs/>
          <w:rtl/>
        </w:rPr>
        <w:t>ריטב"א</w:t>
      </w:r>
      <w:r w:rsidRPr="00AF1DC8">
        <w:rPr>
          <w:rFonts w:ascii="Narkisim" w:hAnsi="Narkisim"/>
          <w:rtl/>
        </w:rPr>
        <w:t xml:space="preserve"> (הנ"ל) מדאורייתא הוה היתר גמור, ותקנו מדרבנן שיחשב פוגע בערוה</w:t>
      </w:r>
      <w:r w:rsidRPr="00AF1DC8">
        <w:rPr>
          <w:rFonts w:ascii="Narkisim" w:hAnsi="Narkisim"/>
        </w:rPr>
        <w:t>.</w:t>
      </w:r>
    </w:p>
    <w:p w14:paraId="3EDF7EFC"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בי"ש</w:t>
      </w:r>
      <w:r w:rsidRPr="00AF1DC8">
        <w:rPr>
          <w:rFonts w:ascii="Narkisim" w:hAnsi="Narkisim"/>
          <w:rtl/>
        </w:rPr>
        <w:t xml:space="preserve"> (קעד ג) הקשה דבסוגיין משמע דפליגי ע"פ פסוקים.</w:t>
      </w:r>
      <w:r w:rsidRPr="00AF1DC8">
        <w:rPr>
          <w:rFonts w:ascii="Narkisim" w:hAnsi="Narkisim"/>
          <w:sz w:val="20"/>
          <w:szCs w:val="20"/>
          <w:rtl/>
        </w:rPr>
        <w:t xml:space="preserve"> וה</w:t>
      </w:r>
      <w:r w:rsidRPr="00AF1DC8">
        <w:rPr>
          <w:rFonts w:ascii="Narkisim" w:hAnsi="Narkisim"/>
          <w:b/>
          <w:bCs/>
          <w:sz w:val="20"/>
          <w:szCs w:val="20"/>
          <w:rtl/>
        </w:rPr>
        <w:t>בית מאיר</w:t>
      </w:r>
      <w:r w:rsidRPr="00AF1DC8">
        <w:rPr>
          <w:rFonts w:ascii="Narkisim" w:hAnsi="Narkisim"/>
          <w:sz w:val="20"/>
          <w:szCs w:val="20"/>
          <w:rtl/>
        </w:rPr>
        <w:t xml:space="preserve"> (קסה) כתב דהנך קראי אסמכתא בעלמא</w:t>
      </w:r>
      <w:r w:rsidRPr="00AF1DC8">
        <w:rPr>
          <w:rFonts w:ascii="Narkisim" w:hAnsi="Narkisim"/>
        </w:rPr>
        <w:t>.</w:t>
      </w:r>
    </w:p>
    <w:p w14:paraId="1F176842" w14:textId="77777777" w:rsidR="006074A5" w:rsidRPr="00AF1DC8" w:rsidRDefault="006074A5" w:rsidP="006074A5">
      <w:pPr>
        <w:pStyle w:val="a7"/>
        <w:bidi/>
        <w:rPr>
          <w:rFonts w:ascii="Narkisim" w:hAnsi="Narkisim"/>
        </w:rPr>
      </w:pPr>
      <w:r w:rsidRPr="00AF1DC8">
        <w:rPr>
          <w:rFonts w:ascii="Narkisim" w:hAnsi="Narkisim"/>
          <w:rtl/>
        </w:rPr>
        <w:t xml:space="preserve">והבי"ש פי' דלאבא שאול הנושא לשום דבר אחר איכא איסור דאורייתא, ומש"ה גזרו חכמים לאסור בסתמא, אא"כ ידעי' דהוה לשם מצווה. </w:t>
      </w:r>
      <w:r w:rsidRPr="00AF1DC8">
        <w:rPr>
          <w:rFonts w:ascii="Narkisim" w:hAnsi="Narkisim"/>
          <w:szCs w:val="20"/>
          <w:rtl/>
        </w:rPr>
        <w:t>והא דקאמר מצות חליצה קודמת, היינו דגזרו חז"ל אם אינו ידוע שלא ישא. [וע' בסמוך]</w:t>
      </w:r>
      <w:r w:rsidRPr="00AF1DC8">
        <w:rPr>
          <w:rFonts w:ascii="Narkisim" w:hAnsi="Narkisim"/>
        </w:rPr>
        <w:t>.</w:t>
      </w:r>
    </w:p>
    <w:p w14:paraId="6007763B"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מבואר דלדעת אבא שאול כיון דלא נעשית דרך יבום פוגע באיסור אשת אח. וה</w:t>
      </w:r>
      <w:r w:rsidRPr="00AF1DC8">
        <w:rPr>
          <w:rFonts w:ascii="Narkisim" w:hAnsi="Narkisim" w:cs="Narkisim"/>
          <w:b/>
          <w:bCs/>
          <w:rtl/>
        </w:rPr>
        <w:t>אחרונים</w:t>
      </w:r>
      <w:r w:rsidRPr="00AF1DC8">
        <w:rPr>
          <w:rFonts w:ascii="Narkisim" w:hAnsi="Narkisim" w:cs="Narkisim"/>
          <w:rtl/>
        </w:rPr>
        <w:t xml:space="preserve"> (בית מאיר קסה) הביאו דמבואר דלא הותר לגמרי איסור אשת אח משעת נפילה, והותר רק דרך מצוות יבום</w:t>
      </w:r>
      <w:r w:rsidRPr="00AF1DC8">
        <w:rPr>
          <w:rStyle w:val="ac"/>
          <w:rFonts w:ascii="Narkisim" w:hAnsi="Narkisim" w:cs="Narkisim"/>
          <w:rtl/>
        </w:rPr>
        <w:footnoteReference w:id="2361"/>
      </w:r>
      <w:r w:rsidRPr="00AF1DC8">
        <w:rPr>
          <w:rFonts w:ascii="Narkisim" w:hAnsi="Narkisim" w:cs="Narkisim"/>
        </w:rPr>
        <w:t xml:space="preserve">. </w:t>
      </w:r>
      <w:r w:rsidRPr="00AF1DC8">
        <w:rPr>
          <w:rFonts w:ascii="Narkisim" w:hAnsi="Narkisim" w:cs="Narkisim"/>
          <w:rtl/>
        </w:rPr>
        <w:t>ודלא כמש"כ ה</w:t>
      </w:r>
      <w:r w:rsidRPr="00AF1DC8">
        <w:rPr>
          <w:rFonts w:ascii="Narkisim" w:hAnsi="Narkisim" w:cs="Narkisim"/>
          <w:b/>
          <w:bCs/>
          <w:rtl/>
        </w:rPr>
        <w:t xml:space="preserve">תוס' </w:t>
      </w:r>
      <w:r w:rsidRPr="00AF1DC8">
        <w:rPr>
          <w:rFonts w:ascii="Narkisim" w:hAnsi="Narkisim" w:cs="Narkisim"/>
          <w:rtl/>
        </w:rPr>
        <w:t>(לעיל לה: ד"ה תגלי) דאפי' ביאת מעוברת ליכא איסור אשת אח. וכן קטן הבא על הקטנה שתגדלנו, והותר לגמרי</w:t>
      </w:r>
      <w:r w:rsidRPr="00AF1DC8">
        <w:rPr>
          <w:rStyle w:val="ac"/>
          <w:rFonts w:ascii="Narkisim" w:hAnsi="Narkisim" w:cs="Narkisim"/>
          <w:rtl/>
        </w:rPr>
        <w:footnoteReference w:id="2362"/>
      </w:r>
      <w:r w:rsidRPr="00AF1DC8">
        <w:rPr>
          <w:rFonts w:ascii="Narkisim" w:hAnsi="Narkisim" w:cs="Narkisim"/>
        </w:rPr>
        <w:t xml:space="preserve">, </w:t>
      </w:r>
      <w:r w:rsidRPr="00AF1DC8">
        <w:rPr>
          <w:rFonts w:ascii="Narkisim" w:hAnsi="Narkisim" w:cs="Narkisim"/>
          <w:rtl/>
        </w:rPr>
        <w:t>אף דאינו מקיים במעשה זו מצוות יבום</w:t>
      </w:r>
      <w:r w:rsidRPr="00AF1DC8">
        <w:rPr>
          <w:rStyle w:val="ac"/>
          <w:rFonts w:ascii="Narkisim" w:hAnsi="Narkisim" w:cs="Narkisim"/>
          <w:rtl/>
        </w:rPr>
        <w:footnoteReference w:id="2363"/>
      </w:r>
      <w:r w:rsidRPr="00AF1DC8">
        <w:rPr>
          <w:rFonts w:ascii="Narkisim" w:hAnsi="Narkisim" w:cs="Narkisim"/>
        </w:rPr>
        <w:t xml:space="preserve">. </w:t>
      </w:r>
      <w:r w:rsidRPr="00AF1DC8">
        <w:rPr>
          <w:rFonts w:ascii="Narkisim" w:hAnsi="Narkisim" w:cs="Narkisim"/>
          <w:rtl/>
        </w:rPr>
        <w:t xml:space="preserve">וכת' דתוס' קאי לדעת רבנן </w:t>
      </w:r>
      <w:r w:rsidRPr="00AF1DC8">
        <w:rPr>
          <w:rFonts w:ascii="Narkisim" w:hAnsi="Narkisim" w:cs="Narkisim"/>
          <w:szCs w:val="20"/>
          <w:rtl/>
        </w:rPr>
        <w:t>[דחוזרת להיתר הראשון]</w:t>
      </w:r>
      <w:r w:rsidRPr="00AF1DC8">
        <w:rPr>
          <w:rFonts w:ascii="Narkisim" w:hAnsi="Narkisim" w:cs="Narkisim"/>
          <w:rtl/>
        </w:rPr>
        <w:t>, ודלא כאבא שאול</w:t>
      </w:r>
      <w:r w:rsidRPr="00AF1DC8">
        <w:rPr>
          <w:rStyle w:val="ac"/>
          <w:rFonts w:ascii="Narkisim" w:hAnsi="Narkisim" w:cs="Narkisim"/>
          <w:rtl/>
        </w:rPr>
        <w:footnoteReference w:id="2364"/>
      </w:r>
      <w:r w:rsidRPr="00AF1DC8">
        <w:rPr>
          <w:rFonts w:ascii="Narkisim" w:hAnsi="Narkisim" w:cs="Narkisim"/>
        </w:rPr>
        <w:t>.</w:t>
      </w:r>
    </w:p>
    <w:p w14:paraId="194F8F80" w14:textId="77777777" w:rsidR="006074A5" w:rsidRPr="00AF1DC8" w:rsidRDefault="006074A5" w:rsidP="006074A5">
      <w:pPr>
        <w:pStyle w:val="a8"/>
        <w:bidi/>
        <w:rPr>
          <w:rFonts w:ascii="Narkisim" w:hAnsi="Narkisim"/>
        </w:rPr>
      </w:pPr>
      <w:r w:rsidRPr="00AF1DC8">
        <w:rPr>
          <w:rFonts w:ascii="Narkisim" w:hAnsi="Narkisim"/>
          <w:rtl/>
        </w:rPr>
        <w:t>ועוד דנו ה</w:t>
      </w:r>
      <w:r w:rsidRPr="00AF1DC8">
        <w:rPr>
          <w:rFonts w:ascii="Narkisim" w:hAnsi="Narkisim"/>
          <w:b/>
          <w:bCs/>
          <w:rtl/>
        </w:rPr>
        <w:t>אחרונים</w:t>
      </w:r>
      <w:r w:rsidRPr="00AF1DC8">
        <w:rPr>
          <w:rFonts w:ascii="Narkisim" w:hAnsi="Narkisim"/>
          <w:rtl/>
        </w:rPr>
        <w:t xml:space="preserve"> (גרנ"ט) דמיתלא תלי האם מייבם לבסוף, ואף לאבא שאול ביאת קטן הותר אילו יקיים מצוות יבום לבסוף. [והא דאי' דפוגע בערוה משום שמפקיע עי"ז את המצוות יבום</w:t>
      </w:r>
      <w:r w:rsidRPr="00AF1DC8">
        <w:rPr>
          <w:rStyle w:val="ac"/>
          <w:rFonts w:ascii="Narkisim" w:hAnsi="Narkisim"/>
          <w:rtl/>
        </w:rPr>
        <w:footnoteReference w:id="2365"/>
      </w:r>
      <w:r w:rsidRPr="00AF1DC8">
        <w:rPr>
          <w:rFonts w:ascii="Narkisim" w:hAnsi="Narkisim"/>
        </w:rPr>
        <w:t xml:space="preserve">, </w:t>
      </w:r>
      <w:r w:rsidRPr="00AF1DC8">
        <w:rPr>
          <w:rFonts w:ascii="Narkisim" w:hAnsi="Narkisim"/>
          <w:rtl/>
        </w:rPr>
        <w:t>ולא יקיים לבסוף כלל</w:t>
      </w:r>
      <w:r w:rsidRPr="00AF1DC8">
        <w:rPr>
          <w:rStyle w:val="ac"/>
          <w:rFonts w:ascii="Narkisim" w:hAnsi="Narkisim"/>
          <w:rtl/>
        </w:rPr>
        <w:footnoteReference w:id="2366"/>
      </w:r>
      <w:r w:rsidRPr="00AF1DC8">
        <w:rPr>
          <w:rFonts w:ascii="Narkisim" w:hAnsi="Narkisim"/>
        </w:rPr>
        <w:t xml:space="preserve">. </w:t>
      </w:r>
      <w:r w:rsidRPr="00AF1DC8">
        <w:rPr>
          <w:rFonts w:ascii="Narkisim" w:hAnsi="Narkisim"/>
          <w:rtl/>
        </w:rPr>
        <w:t>וצ"ב</w:t>
      </w:r>
      <w:r w:rsidRPr="00AF1DC8">
        <w:rPr>
          <w:rFonts w:ascii="Narkisim" w:hAnsi="Narkisim"/>
        </w:rPr>
        <w:t>.</w:t>
      </w:r>
    </w:p>
    <w:p w14:paraId="1C40E1B7" w14:textId="77777777" w:rsidR="006074A5" w:rsidRPr="00AF1DC8" w:rsidRDefault="006074A5" w:rsidP="006074A5">
      <w:pPr>
        <w:bidi/>
        <w:rPr>
          <w:rFonts w:ascii="Narkisim" w:hAnsi="Narkisim" w:cs="Narkisim"/>
        </w:rPr>
      </w:pPr>
      <w:r w:rsidRPr="00AF1DC8">
        <w:rPr>
          <w:rFonts w:ascii="Narkisim" w:hAnsi="Narkisim" w:cs="Narkisim"/>
          <w:rtl/>
        </w:rPr>
        <w:lastRenderedPageBreak/>
        <w:t>וה</w:t>
      </w:r>
      <w:r w:rsidRPr="00AF1DC8">
        <w:rPr>
          <w:rFonts w:ascii="Narkisim" w:hAnsi="Narkisim" w:cs="Narkisim"/>
          <w:b/>
          <w:bCs/>
          <w:rtl/>
        </w:rPr>
        <w:t xml:space="preserve">רמב"ם </w:t>
      </w:r>
      <w:r w:rsidRPr="00AF1DC8">
        <w:rPr>
          <w:rFonts w:ascii="Narkisim" w:hAnsi="Narkisim" w:cs="Narkisim"/>
          <w:rtl/>
        </w:rPr>
        <w:t>(פיה"מ בכורות א בסופו) ביאר דנח' חכמים ואבא שאול האם איסור אשת אח הותרה או דחויה</w:t>
      </w:r>
      <w:r w:rsidRPr="00AF1DC8">
        <w:rPr>
          <w:rFonts w:ascii="Narkisim" w:hAnsi="Narkisim" w:cs="Narkisim"/>
        </w:rPr>
        <w:t>.</w:t>
      </w:r>
    </w:p>
    <w:p w14:paraId="001FF683" w14:textId="77777777" w:rsidR="006074A5" w:rsidRPr="00AF1DC8" w:rsidRDefault="006074A5" w:rsidP="006074A5">
      <w:pPr>
        <w:pStyle w:val="a8"/>
        <w:bidi/>
        <w:rPr>
          <w:rFonts w:ascii="Narkisim" w:hAnsi="Narkisim"/>
        </w:rPr>
      </w:pPr>
      <w:r w:rsidRPr="00AF1DC8">
        <w:rPr>
          <w:rFonts w:ascii="Narkisim" w:hAnsi="Narkisim"/>
          <w:rtl/>
        </w:rPr>
        <w:t>וכ"כ ב</w:t>
      </w:r>
      <w:r w:rsidRPr="00AF1DC8">
        <w:rPr>
          <w:rFonts w:ascii="Narkisim" w:hAnsi="Narkisim"/>
          <w:b/>
          <w:bCs/>
          <w:rtl/>
        </w:rPr>
        <w:t>שו"ת הרמב"ם</w:t>
      </w:r>
      <w:r w:rsidRPr="00AF1DC8">
        <w:rPr>
          <w:rFonts w:ascii="Narkisim" w:hAnsi="Narkisim"/>
          <w:rtl/>
        </w:rPr>
        <w:t xml:space="preserve"> (ס"ס ריח, הו' בקובה”ע לו בהשמטה) דהלכה כחכמים דמצוות יבום קודמת. דאפי' לשם נוי וכו' קנאה אפי' אינו מתכוין לשם מצווה. דמשעה שמת אחיו [בלא בנים] הותרה, ונסתלק איסור ערוה כלל</w:t>
      </w:r>
      <w:r w:rsidRPr="00AF1DC8">
        <w:rPr>
          <w:rStyle w:val="ac"/>
          <w:rFonts w:ascii="Narkisim" w:hAnsi="Narkisim"/>
          <w:rtl/>
        </w:rPr>
        <w:footnoteReference w:id="2367"/>
      </w:r>
      <w:r w:rsidRPr="00AF1DC8">
        <w:rPr>
          <w:rFonts w:ascii="Narkisim" w:hAnsi="Narkisim"/>
        </w:rPr>
        <w:t xml:space="preserve">. </w:t>
      </w:r>
      <w:r w:rsidRPr="00AF1DC8">
        <w:rPr>
          <w:rFonts w:ascii="Narkisim" w:hAnsi="Narkisim"/>
          <w:rtl/>
        </w:rPr>
        <w:t>אבל אבא שאול ס"ל דמצוות חליצה קודמת, דס"ל שאיסור אשת אח דחויה מפני היבום, ומש"ה מצוות חליצה קודמת. ואם נתכוונים לדבר אחר הריהו כאילו פוגע בערוה</w:t>
      </w:r>
      <w:r w:rsidRPr="00AF1DC8">
        <w:rPr>
          <w:rFonts w:ascii="Narkisim" w:hAnsi="Narkisim"/>
        </w:rPr>
        <w:t>.</w:t>
      </w:r>
    </w:p>
    <w:p w14:paraId="6540A893" w14:textId="77777777" w:rsidR="006074A5" w:rsidRPr="00AF1DC8" w:rsidRDefault="006074A5" w:rsidP="006074A5">
      <w:pPr>
        <w:pStyle w:val="a7"/>
        <w:bidi/>
        <w:rPr>
          <w:rFonts w:ascii="Narkisim" w:hAnsi="Narkisim"/>
        </w:rPr>
      </w:pPr>
      <w:r w:rsidRPr="00AF1DC8">
        <w:rPr>
          <w:rFonts w:ascii="Narkisim" w:hAnsi="Narkisim"/>
          <w:rtl/>
        </w:rPr>
        <w:t xml:space="preserve">אך יש </w:t>
      </w:r>
      <w:r w:rsidRPr="00AF1DC8">
        <w:rPr>
          <w:rFonts w:ascii="Narkisim" w:hAnsi="Narkisim"/>
          <w:b/>
          <w:bCs/>
          <w:rtl/>
        </w:rPr>
        <w:t>ראשונים</w:t>
      </w:r>
      <w:r w:rsidRPr="00AF1DC8">
        <w:rPr>
          <w:rFonts w:ascii="Narkisim" w:hAnsi="Narkisim"/>
          <w:rtl/>
        </w:rPr>
        <w:t xml:space="preserve"> דמבואר דאף לרבנן איסור אשת אח הוה דחויה. וע"ע מש"כ (לעיל ג:) בדעת </w:t>
      </w:r>
      <w:r w:rsidRPr="00AF1DC8">
        <w:rPr>
          <w:rFonts w:ascii="Narkisim" w:hAnsi="Narkisim"/>
          <w:b/>
          <w:bCs/>
          <w:rtl/>
        </w:rPr>
        <w:t>תוס</w:t>
      </w:r>
      <w:r w:rsidRPr="00AF1DC8">
        <w:rPr>
          <w:rFonts w:ascii="Narkisim" w:hAnsi="Narkisim"/>
        </w:rPr>
        <w:t>'.</w:t>
      </w:r>
    </w:p>
    <w:p w14:paraId="7C8FF6F4" w14:textId="77777777" w:rsidR="006074A5" w:rsidRPr="00AF1DC8" w:rsidRDefault="006074A5" w:rsidP="006074A5">
      <w:pPr>
        <w:bidi/>
        <w:rPr>
          <w:rFonts w:ascii="Narkisim" w:hAnsi="Narkisim" w:cs="Narkisim"/>
        </w:rPr>
      </w:pPr>
      <w:r w:rsidRPr="00AF1DC8">
        <w:rPr>
          <w:rFonts w:ascii="Narkisim" w:hAnsi="Narkisim" w:cs="Narkisim"/>
          <w:u w:val="single"/>
          <w:rtl/>
        </w:rPr>
        <w:t>שם. בערוה</w:t>
      </w:r>
      <w:r w:rsidRPr="00AF1DC8">
        <w:rPr>
          <w:rFonts w:ascii="Narkisim" w:hAnsi="Narkisim" w:cs="Narkisim"/>
          <w:rtl/>
        </w:rPr>
        <w:t>. והברייתא פי' דבחיי אחיו נאסרה, וכשחוזרת להיתר הוה דוקא לשם מצווה. ומבואר דקאי אאיסור אחות אשתו. אבל ב</w:t>
      </w:r>
      <w:r w:rsidRPr="00AF1DC8">
        <w:rPr>
          <w:rFonts w:ascii="Narkisim" w:hAnsi="Narkisim" w:cs="Narkisim"/>
          <w:b/>
          <w:bCs/>
          <w:rtl/>
        </w:rPr>
        <w:t>ירושלמי</w:t>
      </w:r>
      <w:r w:rsidRPr="00AF1DC8">
        <w:rPr>
          <w:rFonts w:ascii="Narkisim" w:hAnsi="Narkisim" w:cs="Narkisim"/>
          <w:rtl/>
        </w:rPr>
        <w:t xml:space="preserve"> </w:t>
      </w:r>
      <w:r w:rsidRPr="00AF1DC8">
        <w:rPr>
          <w:rFonts w:ascii="Narkisim" w:hAnsi="Narkisim" w:cs="Narkisim"/>
          <w:sz w:val="20"/>
          <w:szCs w:val="20"/>
          <w:rtl/>
        </w:rPr>
        <w:t>(הו' באחרונים ובקובה"ע מג)</w:t>
      </w:r>
      <w:r w:rsidRPr="00AF1DC8">
        <w:rPr>
          <w:rFonts w:ascii="Narkisim" w:hAnsi="Narkisim" w:cs="Narkisim"/>
          <w:rtl/>
        </w:rPr>
        <w:t xml:space="preserve"> איתא דאבא שאול ס"ל כר' עקיבא דהולד ממזר ביבמה לשוק. </w:t>
      </w:r>
      <w:r w:rsidRPr="00AF1DC8">
        <w:rPr>
          <w:rFonts w:ascii="Narkisim" w:hAnsi="Narkisim" w:cs="Narkisim"/>
          <w:sz w:val="20"/>
          <w:szCs w:val="20"/>
          <w:rtl/>
        </w:rPr>
        <w:t>[ובפשוטו מבואר דלאבא שאול פוגע באיסור יבמה לשוק, ולר”ע יבמה לשוק נחשב 'ערוה'</w:t>
      </w:r>
      <w:r w:rsidRPr="00AF1DC8">
        <w:rPr>
          <w:rStyle w:val="ac"/>
          <w:rFonts w:ascii="Narkisim" w:hAnsi="Narkisim" w:cs="Narkisim"/>
          <w:sz w:val="20"/>
          <w:szCs w:val="20"/>
          <w:rtl/>
        </w:rPr>
        <w:footnoteReference w:id="2368"/>
      </w:r>
      <w:r w:rsidRPr="00AF1DC8">
        <w:rPr>
          <w:rFonts w:ascii="Narkisim" w:hAnsi="Narkisim" w:cs="Narkisim"/>
          <w:sz w:val="20"/>
          <w:szCs w:val="20"/>
          <w:rtl/>
        </w:rPr>
        <w:t>. דכיון דאינו מקיים בכך מצוות יבום נחשב זר אצלו</w:t>
      </w:r>
      <w:r w:rsidRPr="00AF1DC8">
        <w:rPr>
          <w:rStyle w:val="ac"/>
          <w:rFonts w:ascii="Narkisim" w:hAnsi="Narkisim" w:cs="Narkisim"/>
          <w:sz w:val="20"/>
          <w:szCs w:val="20"/>
          <w:rtl/>
        </w:rPr>
        <w:footnoteReference w:id="2369"/>
      </w:r>
      <w:r w:rsidRPr="00AF1DC8">
        <w:rPr>
          <w:rFonts w:ascii="Narkisim" w:hAnsi="Narkisim" w:cs="Narkisim"/>
          <w:sz w:val="20"/>
          <w:szCs w:val="20"/>
          <w:rtl/>
        </w:rPr>
        <w:t>]</w:t>
      </w:r>
      <w:r w:rsidRPr="00AF1DC8">
        <w:rPr>
          <w:rFonts w:ascii="Narkisim" w:hAnsi="Narkisim" w:cs="Narkisim"/>
          <w:rtl/>
        </w:rPr>
        <w:t>. וה</w:t>
      </w:r>
      <w:r w:rsidRPr="00AF1DC8">
        <w:rPr>
          <w:rFonts w:ascii="Narkisim" w:hAnsi="Narkisim" w:cs="Narkisim"/>
          <w:b/>
          <w:bCs/>
          <w:rtl/>
        </w:rPr>
        <w:t>קובה"ע</w:t>
      </w:r>
      <w:r w:rsidRPr="00AF1DC8">
        <w:rPr>
          <w:rFonts w:ascii="Narkisim" w:hAnsi="Narkisim" w:cs="Narkisim"/>
          <w:rtl/>
        </w:rPr>
        <w:t xml:space="preserve"> (סד א) הקשה דא"כ אף קטן הבא על הגדולה יעבור באיסור יבמה לשוק</w:t>
      </w:r>
      <w:r w:rsidRPr="00AF1DC8">
        <w:rPr>
          <w:rFonts w:ascii="Narkisim" w:hAnsi="Narkisim" w:cs="Narkisim"/>
        </w:rPr>
        <w:t>.</w:t>
      </w:r>
    </w:p>
    <w:p w14:paraId="3A01D7EA"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זכר יצחק</w:t>
      </w:r>
      <w:r w:rsidRPr="00AF1DC8">
        <w:rPr>
          <w:rFonts w:ascii="Narkisim" w:hAnsi="Narkisim"/>
          <w:rtl/>
        </w:rPr>
        <w:t xml:space="preserve"> (ב יא) ביאר דכוונת הירושלמי משום איסור לא יבנה. ולר' עקיבא דהוה ממזר מחייבי לאוי, אף הבא על יבמתו שלא כסדר המצווה נחשב שעובר באיסור 'לא יבנה</w:t>
      </w:r>
      <w:r w:rsidRPr="00AF1DC8">
        <w:rPr>
          <w:rFonts w:ascii="Narkisim" w:hAnsi="Narkisim"/>
        </w:rPr>
        <w:t>'.</w:t>
      </w:r>
    </w:p>
    <w:p w14:paraId="73C50DC9" w14:textId="77777777" w:rsidR="006074A5" w:rsidRPr="00AF1DC8" w:rsidRDefault="006074A5" w:rsidP="006074A5">
      <w:pPr>
        <w:bidi/>
        <w:rPr>
          <w:rFonts w:ascii="Narkisim" w:hAnsi="Narkisim" w:cs="Narkisim"/>
        </w:rPr>
      </w:pPr>
      <w:r w:rsidRPr="00AF1DC8">
        <w:rPr>
          <w:rFonts w:ascii="Narkisim" w:hAnsi="Narkisim" w:cs="Narkisim"/>
          <w:u w:val="single"/>
          <w:rtl/>
        </w:rPr>
        <w:t>שם. לשם נוי וכו'</w:t>
      </w:r>
      <w:r w:rsidRPr="00AF1DC8">
        <w:rPr>
          <w:rFonts w:ascii="Narkisim" w:hAnsi="Narkisim" w:cs="Narkisim"/>
          <w:rtl/>
        </w:rPr>
        <w:t>. דבעינן דוקא לשם מצוות יבום. ו</w:t>
      </w:r>
      <w:r w:rsidRPr="00AF1DC8">
        <w:rPr>
          <w:rFonts w:ascii="Narkisim" w:hAnsi="Narkisim" w:cs="Narkisim"/>
          <w:b/>
          <w:bCs/>
          <w:rtl/>
        </w:rPr>
        <w:t>רש"י</w:t>
      </w:r>
      <w:r w:rsidRPr="00AF1DC8">
        <w:rPr>
          <w:rFonts w:ascii="Narkisim" w:hAnsi="Narkisim" w:cs="Narkisim"/>
          <w:rtl/>
        </w:rPr>
        <w:t xml:space="preserve"> (ד"ה אבא שאול) פי' דכתיב 'ויבמה'. ורבנן פליגי דדרשי' יבמה יבא עליה מ"מ</w:t>
      </w:r>
      <w:r w:rsidRPr="00AF1DC8">
        <w:rPr>
          <w:rStyle w:val="ac"/>
          <w:rFonts w:ascii="Narkisim" w:hAnsi="Narkisim" w:cs="Narkisim"/>
          <w:rtl/>
        </w:rPr>
        <w:footnoteReference w:id="2370"/>
      </w:r>
      <w:r w:rsidRPr="00AF1DC8">
        <w:rPr>
          <w:rFonts w:ascii="Narkisim" w:hAnsi="Narkisim" w:cs="Narkisim"/>
        </w:rPr>
        <w:t xml:space="preserve">. </w:t>
      </w:r>
      <w:r w:rsidRPr="00AF1DC8">
        <w:rPr>
          <w:rFonts w:ascii="Narkisim" w:hAnsi="Narkisim" w:cs="Narkisim"/>
          <w:rtl/>
        </w:rPr>
        <w:t>ולכאורה משמע דנח' בצורת מצוות היבום, האם מצוות יבום צריך כוונה</w:t>
      </w:r>
      <w:r w:rsidRPr="00AF1DC8">
        <w:rPr>
          <w:rFonts w:ascii="Narkisim" w:hAnsi="Narkisim" w:cs="Narkisim"/>
        </w:rPr>
        <w:t>.</w:t>
      </w:r>
    </w:p>
    <w:p w14:paraId="69AED9CB" w14:textId="77777777" w:rsidR="006074A5" w:rsidRPr="00AF1DC8" w:rsidRDefault="006074A5" w:rsidP="006074A5">
      <w:pPr>
        <w:pStyle w:val="a7"/>
        <w:bidi/>
        <w:rPr>
          <w:rFonts w:ascii="Narkisim" w:hAnsi="Narkisim"/>
        </w:rPr>
      </w:pPr>
      <w:r w:rsidRPr="00AF1DC8">
        <w:rPr>
          <w:rFonts w:ascii="Narkisim" w:hAnsi="Narkisim"/>
          <w:rtl/>
        </w:rPr>
        <w:t>אך מגוף הברייתא בפשוטו משמע דאבא שאול לא חידש דין מיוחד ביבום, אלא דחידש דאם לא קיים כצורת המצוה פגע באשת אח</w:t>
      </w:r>
      <w:r w:rsidRPr="00AF1DC8">
        <w:rPr>
          <w:rStyle w:val="ac"/>
          <w:rFonts w:ascii="Narkisim" w:hAnsi="Narkisim"/>
          <w:rtl/>
        </w:rPr>
        <w:footnoteReference w:id="2371"/>
      </w:r>
      <w:r w:rsidRPr="00AF1DC8">
        <w:rPr>
          <w:rFonts w:ascii="Narkisim" w:hAnsi="Narkisim"/>
        </w:rPr>
        <w:t>.</w:t>
      </w:r>
    </w:p>
    <w:p w14:paraId="73E631A9"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וה</w:t>
      </w:r>
      <w:r w:rsidRPr="00AF1DC8">
        <w:rPr>
          <w:rFonts w:ascii="Narkisim" w:hAnsi="Narkisim" w:cs="Narkisim"/>
          <w:b/>
          <w:bCs/>
          <w:rtl/>
        </w:rPr>
        <w:t>אחרונים</w:t>
      </w:r>
      <w:r w:rsidRPr="00AF1DC8">
        <w:rPr>
          <w:rFonts w:ascii="Narkisim" w:hAnsi="Narkisim" w:cs="Narkisim"/>
          <w:rtl/>
        </w:rPr>
        <w:t xml:space="preserve"> (ע' שד"ח מע' חליצה א לה) דנו דלאבא שאול אי הוה מדין מצוות צריכות כוונה [וקשה למ"ד דבכל התורה אי"צ כוונה, מ"ש הכא דשאני</w:t>
      </w:r>
      <w:r w:rsidRPr="00AF1DC8">
        <w:rPr>
          <w:rStyle w:val="ac"/>
          <w:rFonts w:ascii="Narkisim" w:hAnsi="Narkisim" w:cs="Narkisim"/>
          <w:rtl/>
        </w:rPr>
        <w:footnoteReference w:id="2372"/>
      </w:r>
      <w:r w:rsidRPr="00AF1DC8">
        <w:rPr>
          <w:rFonts w:ascii="Narkisim" w:hAnsi="Narkisim" w:cs="Narkisim"/>
          <w:rtl/>
        </w:rPr>
        <w:t>]</w:t>
      </w:r>
      <w:r w:rsidRPr="00AF1DC8">
        <w:rPr>
          <w:rFonts w:ascii="Narkisim" w:hAnsi="Narkisim" w:cs="Narkisim"/>
        </w:rPr>
        <w:t>.</w:t>
      </w:r>
    </w:p>
    <w:p w14:paraId="610C1654"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דנו לאבא שאול היכא דנתכוון לב' כוונות, לשם נוי ולשם מצוות יבום. ובהג' </w:t>
      </w:r>
      <w:r w:rsidRPr="00AF1DC8">
        <w:rPr>
          <w:rFonts w:ascii="Narkisim" w:hAnsi="Narkisim" w:cs="Narkisim"/>
          <w:b/>
          <w:bCs/>
          <w:rtl/>
        </w:rPr>
        <w:t xml:space="preserve">פור”י </w:t>
      </w:r>
      <w:r w:rsidRPr="00AF1DC8">
        <w:rPr>
          <w:rFonts w:ascii="Narkisim" w:hAnsi="Narkisim" w:cs="Narkisim"/>
          <w:rtl/>
        </w:rPr>
        <w:t>נקט דאיירי דנתכוון גם למצווה, דאטו ברשיעי עסקינן דאינם רוצים לקיים המצוה. ותמה דאי מתכוון לשניהם אמאי יחשב פוגע בערוה. דעירוב מחשבות אינו פוסל במצוות</w:t>
      </w:r>
      <w:r w:rsidRPr="00AF1DC8">
        <w:rPr>
          <w:rFonts w:ascii="Narkisim" w:hAnsi="Narkisim" w:cs="Narkisim"/>
        </w:rPr>
        <w:t>.</w:t>
      </w:r>
    </w:p>
    <w:p w14:paraId="27C19120" w14:textId="77777777" w:rsidR="006074A5" w:rsidRPr="00AF1DC8" w:rsidRDefault="006074A5" w:rsidP="006074A5">
      <w:pPr>
        <w:pStyle w:val="a8"/>
        <w:bidi/>
        <w:rPr>
          <w:rFonts w:ascii="Narkisim" w:hAnsi="Narkisim"/>
        </w:rPr>
      </w:pPr>
      <w:r w:rsidRPr="00AF1DC8">
        <w:rPr>
          <w:rFonts w:ascii="Narkisim" w:hAnsi="Narkisim"/>
          <w:rtl/>
        </w:rPr>
        <w:t>וב</w:t>
      </w:r>
      <w:r w:rsidRPr="00AF1DC8">
        <w:rPr>
          <w:rFonts w:ascii="Narkisim" w:hAnsi="Narkisim"/>
          <w:b/>
          <w:bCs/>
          <w:rtl/>
        </w:rPr>
        <w:t>חי' ר' שמעון</w:t>
      </w:r>
      <w:r w:rsidRPr="00AF1DC8">
        <w:rPr>
          <w:rFonts w:ascii="Narkisim" w:hAnsi="Narkisim"/>
          <w:rtl/>
        </w:rPr>
        <w:t xml:space="preserve"> (לח) כת' דלענין כוונה דמצוות סגי במה שמקצת מהמעשה הוה בכוונת מצווה, אבל ביבום, המקצת דהוה לשם זנות נחשב פוגע בערוה. וביאר דמ"מ קנה את יבמתו דבזה סגי במקצת בכוונה. אבל נחשב דמקצת המעשה הוה זנות</w:t>
      </w:r>
      <w:r w:rsidRPr="00AF1DC8">
        <w:rPr>
          <w:rFonts w:ascii="Narkisim" w:hAnsi="Narkisim"/>
        </w:rPr>
        <w:t>.</w:t>
      </w:r>
    </w:p>
    <w:p w14:paraId="47E92EB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קוב"ש</w:t>
      </w:r>
      <w:r w:rsidRPr="00AF1DC8">
        <w:rPr>
          <w:rFonts w:ascii="Narkisim" w:hAnsi="Narkisim"/>
          <w:rtl/>
        </w:rPr>
        <w:t xml:space="preserve"> (כתובות רמט, וכן בקובה"ע לו) נקט דהכא ל"ש מצוות צריכות כוונה. דיבום תליא בקנין, ולא בעשיית המצוה דהגברא. אלא דילפי' מקרא</w:t>
      </w:r>
      <w:r w:rsidRPr="00AF1DC8">
        <w:rPr>
          <w:rStyle w:val="ac"/>
          <w:rFonts w:ascii="Narkisim" w:hAnsi="Narkisim"/>
          <w:rtl/>
        </w:rPr>
        <w:footnoteReference w:id="2373"/>
      </w:r>
      <w:r w:rsidRPr="00AF1DC8">
        <w:rPr>
          <w:rFonts w:ascii="Narkisim" w:hAnsi="Narkisim"/>
        </w:rPr>
        <w:t xml:space="preserve"> </w:t>
      </w:r>
      <w:r w:rsidRPr="00AF1DC8">
        <w:rPr>
          <w:rFonts w:ascii="Narkisim" w:hAnsi="Narkisim"/>
          <w:rtl/>
        </w:rPr>
        <w:t>דהקנין תליא בכוונת המצוה. וכ"כ ה</w:t>
      </w:r>
      <w:r w:rsidRPr="00AF1DC8">
        <w:rPr>
          <w:rFonts w:ascii="Narkisim" w:hAnsi="Narkisim"/>
          <w:b/>
          <w:bCs/>
          <w:rtl/>
        </w:rPr>
        <w:t>חזו"א</w:t>
      </w:r>
      <w:r w:rsidRPr="00AF1DC8">
        <w:rPr>
          <w:rFonts w:ascii="Narkisim" w:hAnsi="Narkisim"/>
          <w:rtl/>
        </w:rPr>
        <w:t xml:space="preserve"> דבכל מצוות אף שעושה את המצווה משום כבוד, הרי קיים את המצוה. ועירוב מחשבות אינו פוסל, ואפי' אם המחשבה השניה עיקר אצלו. אלא דהכא הוה דין חדש בפנ"ע</w:t>
      </w:r>
      <w:r w:rsidRPr="00AF1DC8">
        <w:rPr>
          <w:rFonts w:ascii="Narkisim" w:hAnsi="Narkisim"/>
        </w:rPr>
        <w:t>.</w:t>
      </w:r>
    </w:p>
    <w:p w14:paraId="57B24E97" w14:textId="77777777" w:rsidR="006074A5" w:rsidRPr="00AF1DC8" w:rsidRDefault="006074A5" w:rsidP="006074A5">
      <w:pPr>
        <w:pStyle w:val="a8"/>
        <w:bidi/>
        <w:rPr>
          <w:rFonts w:ascii="Narkisim" w:hAnsi="Narkisim"/>
        </w:rPr>
      </w:pPr>
      <w:r w:rsidRPr="00AF1DC8">
        <w:rPr>
          <w:rFonts w:ascii="Narkisim" w:hAnsi="Narkisim"/>
        </w:rPr>
        <w:t>[</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דלפ"ז יש ב' מח' אבא שאול ורבנן, בדין כוונה במצוות יבום, ובדין היתר אשת אח. וצ"ב </w:t>
      </w:r>
      <w:r w:rsidRPr="00AF1DC8">
        <w:rPr>
          <w:rFonts w:ascii="Narkisim" w:hAnsi="Narkisim"/>
          <w:rtl/>
        </w:rPr>
        <w:lastRenderedPageBreak/>
        <w:t>במה תליא זה בזה. וצ"ל דכיון דהתורה קבעה לדין אשת אח בצורה זו, אמרי' דלא התירה התורה לגמרי</w:t>
      </w:r>
      <w:r w:rsidRPr="00AF1DC8">
        <w:rPr>
          <w:rFonts w:ascii="Narkisim" w:hAnsi="Narkisim"/>
        </w:rPr>
        <w:t>].</w:t>
      </w:r>
    </w:p>
    <w:p w14:paraId="6E7DD975"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מנח"ח</w:t>
      </w:r>
      <w:r w:rsidRPr="00AF1DC8">
        <w:rPr>
          <w:rFonts w:ascii="Narkisim" w:hAnsi="Narkisim"/>
          <w:rtl/>
        </w:rPr>
        <w:t xml:space="preserve"> (תקצח ו) דן דהמייבם בלא כוונה לרבנן, אף דקנאה, לא קיים המצוה וצריך אח"כ ביאה לשם מצווה</w:t>
      </w:r>
      <w:r w:rsidRPr="00AF1DC8">
        <w:rPr>
          <w:rStyle w:val="ac"/>
          <w:rFonts w:ascii="Narkisim" w:hAnsi="Narkisim"/>
          <w:rtl/>
        </w:rPr>
        <w:footnoteReference w:id="2374"/>
      </w:r>
      <w:r w:rsidRPr="00AF1DC8">
        <w:rPr>
          <w:rFonts w:ascii="Narkisim" w:hAnsi="Narkisim"/>
        </w:rPr>
        <w:t xml:space="preserve">. </w:t>
      </w:r>
      <w:r w:rsidRPr="00AF1DC8">
        <w:rPr>
          <w:rFonts w:ascii="Narkisim" w:hAnsi="Narkisim"/>
          <w:rtl/>
        </w:rPr>
        <w:t>[דבזה לא מצאנו מח' אבא שאול ורבנן]</w:t>
      </w:r>
      <w:r w:rsidRPr="00AF1DC8">
        <w:rPr>
          <w:rFonts w:ascii="Narkisim" w:hAnsi="Narkisim"/>
        </w:rPr>
        <w:t>.</w:t>
      </w:r>
    </w:p>
    <w:p w14:paraId="6D0C5F34"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נוב"י</w:t>
      </w:r>
      <w:r w:rsidRPr="00AF1DC8">
        <w:rPr>
          <w:rFonts w:ascii="Narkisim" w:hAnsi="Narkisim" w:cs="Narkisim"/>
          <w:rtl/>
        </w:rPr>
        <w:t xml:space="preserve"> (ק' נד, הו' בפתח"ת קסה ב) דן היאך חרש מייבם לאבא שאול</w:t>
      </w:r>
      <w:r w:rsidRPr="00AF1DC8">
        <w:rPr>
          <w:rStyle w:val="ac"/>
          <w:rFonts w:ascii="Narkisim" w:hAnsi="Narkisim" w:cs="Narkisim"/>
          <w:rtl/>
        </w:rPr>
        <w:footnoteReference w:id="2375"/>
      </w:r>
      <w:r w:rsidRPr="00AF1DC8">
        <w:rPr>
          <w:rFonts w:ascii="Narkisim" w:hAnsi="Narkisim" w:cs="Narkisim"/>
        </w:rPr>
        <w:t xml:space="preserve">, </w:t>
      </w:r>
      <w:r w:rsidRPr="00AF1DC8">
        <w:rPr>
          <w:rFonts w:ascii="Narkisim" w:hAnsi="Narkisim" w:cs="Narkisim"/>
          <w:rtl/>
        </w:rPr>
        <w:t>הא אינו מתכוון לשם מצווה. והנוב"י תי' דסתמא לשמה קאי</w:t>
      </w:r>
      <w:r w:rsidRPr="00AF1DC8">
        <w:rPr>
          <w:rStyle w:val="ac"/>
          <w:rFonts w:ascii="Narkisim" w:hAnsi="Narkisim" w:cs="Narkisim"/>
          <w:rtl/>
        </w:rPr>
        <w:footnoteReference w:id="2376"/>
      </w:r>
      <w:r w:rsidRPr="00AF1DC8">
        <w:rPr>
          <w:rFonts w:ascii="Narkisim" w:hAnsi="Narkisim" w:cs="Narkisim"/>
        </w:rPr>
        <w:t xml:space="preserve">, </w:t>
      </w:r>
      <w:r w:rsidRPr="00AF1DC8">
        <w:rPr>
          <w:rFonts w:ascii="Narkisim" w:hAnsi="Narkisim" w:cs="Narkisim"/>
          <w:rtl/>
        </w:rPr>
        <w:t xml:space="preserve">ומהני אף לאבא שאול. ואבא שאול קאי דוקא במתכוון לשם נוי או דבר אחר, דהוה כמו מחשבת שלא לשמה שפוסל. </w:t>
      </w:r>
      <w:r w:rsidRPr="00AF1DC8">
        <w:rPr>
          <w:rFonts w:ascii="Narkisim" w:hAnsi="Narkisim" w:cs="Narkisim"/>
          <w:sz w:val="20"/>
          <w:szCs w:val="20"/>
          <w:rtl/>
        </w:rPr>
        <w:t>[ועוד כתב דמהני כוונת חרש כשגדול עומד ע"ג</w:t>
      </w:r>
      <w:r w:rsidRPr="00AF1DC8">
        <w:rPr>
          <w:rStyle w:val="ac"/>
          <w:rFonts w:ascii="Narkisim" w:hAnsi="Narkisim" w:cs="Narkisim"/>
          <w:sz w:val="20"/>
          <w:szCs w:val="20"/>
          <w:rtl/>
        </w:rPr>
        <w:footnoteReference w:id="2377"/>
      </w:r>
      <w:r w:rsidRPr="00AF1DC8">
        <w:rPr>
          <w:rFonts w:ascii="Narkisim" w:hAnsi="Narkisim" w:cs="Narkisim"/>
          <w:sz w:val="20"/>
          <w:szCs w:val="20"/>
          <w:rtl/>
        </w:rPr>
        <w:t>]</w:t>
      </w:r>
      <w:r w:rsidRPr="00AF1DC8">
        <w:rPr>
          <w:rFonts w:ascii="Narkisim" w:hAnsi="Narkisim" w:cs="Narkisim"/>
          <w:sz w:val="20"/>
          <w:szCs w:val="20"/>
        </w:rPr>
        <w:t>.</w:t>
      </w:r>
    </w:p>
    <w:p w14:paraId="0EAD37E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חזו"א </w:t>
      </w:r>
      <w:r w:rsidRPr="00AF1DC8">
        <w:rPr>
          <w:rFonts w:ascii="Narkisim" w:hAnsi="Narkisim"/>
          <w:rtl/>
        </w:rPr>
        <w:t>וב</w:t>
      </w:r>
      <w:r w:rsidRPr="00AF1DC8">
        <w:rPr>
          <w:rFonts w:ascii="Narkisim" w:hAnsi="Narkisim"/>
          <w:b/>
          <w:bCs/>
          <w:rtl/>
        </w:rPr>
        <w:t>חי' ר' שמעון</w:t>
      </w:r>
      <w:r w:rsidRPr="00AF1DC8">
        <w:rPr>
          <w:rFonts w:ascii="Narkisim" w:hAnsi="Narkisim"/>
          <w:rtl/>
        </w:rPr>
        <w:t xml:space="preserve"> הק' דחרש מתכוון להנאת ביאה [ואמאי חשיב סתמא]. וב</w:t>
      </w:r>
      <w:r w:rsidRPr="00AF1DC8">
        <w:rPr>
          <w:rFonts w:ascii="Narkisim" w:hAnsi="Narkisim"/>
          <w:b/>
          <w:bCs/>
          <w:rtl/>
        </w:rPr>
        <w:t>חי' ר' שמעון</w:t>
      </w:r>
      <w:r w:rsidRPr="00AF1DC8">
        <w:rPr>
          <w:rFonts w:ascii="Narkisim" w:hAnsi="Narkisim"/>
          <w:rtl/>
        </w:rPr>
        <w:t xml:space="preserve"> (לז) כתב דבקטן סגי כוונת קנין. וה</w:t>
      </w:r>
      <w:r w:rsidRPr="00AF1DC8">
        <w:rPr>
          <w:rFonts w:ascii="Narkisim" w:hAnsi="Narkisim"/>
          <w:b/>
          <w:bCs/>
          <w:rtl/>
        </w:rPr>
        <w:t>קוב"ש</w:t>
      </w:r>
      <w:r w:rsidRPr="00AF1DC8">
        <w:rPr>
          <w:rFonts w:ascii="Narkisim" w:hAnsi="Narkisim"/>
          <w:rtl/>
        </w:rPr>
        <w:t xml:space="preserve"> תי' דחרש שאינו מצווה במצוה, אין חסרון שנתכוון מחמת דבר אחר</w:t>
      </w:r>
      <w:r w:rsidRPr="00AF1DC8">
        <w:rPr>
          <w:rFonts w:ascii="Narkisim" w:hAnsi="Narkisim"/>
        </w:rPr>
        <w:t>.</w:t>
      </w:r>
    </w:p>
    <w:p w14:paraId="2646E6BF" w14:textId="77777777" w:rsidR="006074A5" w:rsidRPr="00AF1DC8" w:rsidRDefault="006074A5" w:rsidP="006074A5">
      <w:pPr>
        <w:bidi/>
        <w:rPr>
          <w:rFonts w:ascii="Narkisim" w:hAnsi="Narkisim" w:cs="Narkisim"/>
        </w:rPr>
      </w:pPr>
      <w:r w:rsidRPr="00AF1DC8">
        <w:rPr>
          <w:rFonts w:ascii="Narkisim" w:hAnsi="Narkisim" w:cs="Narkisim"/>
          <w:u w:val="single"/>
          <w:rtl/>
        </w:rPr>
        <w:t>וחכמים אומרים יבמה יבא עליה מ"מ</w:t>
      </w:r>
      <w:r w:rsidRPr="00AF1DC8">
        <w:rPr>
          <w:rFonts w:ascii="Narkisim" w:hAnsi="Narkisim" w:cs="Narkisim"/>
          <w:rtl/>
        </w:rPr>
        <w:t>. ה</w:t>
      </w:r>
      <w:r w:rsidRPr="00AF1DC8">
        <w:rPr>
          <w:rFonts w:ascii="Narkisim" w:hAnsi="Narkisim" w:cs="Narkisim"/>
          <w:b/>
          <w:bCs/>
          <w:rtl/>
        </w:rPr>
        <w:t>נמוק"י</w:t>
      </w:r>
      <w:r w:rsidRPr="00AF1DC8">
        <w:rPr>
          <w:rFonts w:ascii="Narkisim" w:hAnsi="Narkisim" w:cs="Narkisim"/>
          <w:rtl/>
        </w:rPr>
        <w:t xml:space="preserve"> (הנ"ל) כתב דרבנן מודו דאסור לעשות כן, אלא דפליגי דלא נחשב פוגע בערוה. [ויל"ד אי היינו היכא דמתכוון דוקא לדבר אחר, או אף בעירוב מחשבות]</w:t>
      </w:r>
      <w:r w:rsidRPr="00AF1DC8">
        <w:rPr>
          <w:rFonts w:ascii="Narkisim" w:hAnsi="Narkisim" w:cs="Narkisim"/>
        </w:rPr>
        <w:t>.</w:t>
      </w:r>
    </w:p>
    <w:p w14:paraId="090F05F5" w14:textId="77777777" w:rsidR="006074A5" w:rsidRPr="00AF1DC8" w:rsidRDefault="006074A5" w:rsidP="006074A5">
      <w:pPr>
        <w:pStyle w:val="aa"/>
        <w:bidi/>
        <w:rPr>
          <w:rFonts w:ascii="Narkisim" w:hAnsi="Narkisim"/>
        </w:rPr>
      </w:pPr>
      <w:r w:rsidRPr="00AF1DC8">
        <w:rPr>
          <w:rFonts w:ascii="Narkisim" w:hAnsi="Narkisim"/>
          <w:u w:val="single"/>
          <w:rtl/>
        </w:rPr>
        <w:t>רבא אמר אפי' תימא רבנן, וה"ק יבמה יבא עליה מצווה וכו' רצה כונסה רצה חולץ לה, ת"ל יבמה יבא עליה מצווה</w:t>
      </w:r>
      <w:r w:rsidRPr="00AF1DC8">
        <w:rPr>
          <w:rFonts w:ascii="Narkisim" w:hAnsi="Narkisim"/>
          <w:rtl/>
        </w:rPr>
        <w:t>. פ</w:t>
      </w:r>
      <w:r w:rsidRPr="00AF1DC8">
        <w:rPr>
          <w:rFonts w:ascii="Narkisim" w:hAnsi="Narkisim"/>
          <w:b/>
          <w:bCs/>
          <w:rtl/>
        </w:rPr>
        <w:t>רש"י</w:t>
      </w:r>
      <w:r w:rsidRPr="00AF1DC8">
        <w:rPr>
          <w:rFonts w:ascii="Narkisim" w:hAnsi="Narkisim"/>
          <w:rtl/>
        </w:rPr>
        <w:t xml:space="preserve"> דאי בעי לא כניס לה. דס"ד דיבום וחליצה שווים. קמ"ל דיש מצוות עשה ביבום. וע"ד הא דאי' (לעיל כא.) דחליצה במקום יבום לאו מצווה. וכדאי' (לעיל) דלרבנן מצוות יבום קודמת</w:t>
      </w:r>
      <w:r w:rsidRPr="00AF1DC8">
        <w:rPr>
          <w:rStyle w:val="ac"/>
          <w:rFonts w:ascii="Narkisim" w:hAnsi="Narkisim"/>
          <w:rtl/>
        </w:rPr>
        <w:footnoteReference w:id="2378"/>
      </w:r>
      <w:r w:rsidRPr="00AF1DC8">
        <w:rPr>
          <w:rFonts w:ascii="Narkisim" w:hAnsi="Narkisim"/>
        </w:rPr>
        <w:t>.</w:t>
      </w:r>
    </w:p>
    <w:p w14:paraId="20642FF1" w14:textId="77777777" w:rsidR="006074A5" w:rsidRPr="00AF1DC8" w:rsidRDefault="006074A5" w:rsidP="006074A5">
      <w:pPr>
        <w:pStyle w:val="3"/>
        <w:bidi/>
        <w:rPr>
          <w:rFonts w:ascii="Narkisim" w:hAnsi="Narkisim"/>
        </w:rPr>
      </w:pPr>
      <w:r w:rsidRPr="00AF1DC8">
        <w:rPr>
          <w:rFonts w:ascii="Narkisim" w:hAnsi="Narkisim"/>
          <w:rtl/>
        </w:rPr>
        <w:t>דף מ</w:t>
      </w:r>
      <w:r w:rsidRPr="00AF1DC8">
        <w:rPr>
          <w:rFonts w:ascii="Narkisim" w:hAnsi="Narkisim"/>
        </w:rPr>
        <w:t>.</w:t>
      </w:r>
    </w:p>
    <w:p w14:paraId="3E900346" w14:textId="77777777" w:rsidR="006074A5" w:rsidRPr="00AF1DC8" w:rsidRDefault="006074A5" w:rsidP="006074A5">
      <w:pPr>
        <w:bidi/>
        <w:rPr>
          <w:rFonts w:ascii="Narkisim" w:hAnsi="Narkisim" w:cs="Narkisim"/>
        </w:rPr>
      </w:pPr>
      <w:r w:rsidRPr="00AF1DC8">
        <w:rPr>
          <w:rFonts w:ascii="Narkisim" w:hAnsi="Narkisim" w:cs="Narkisim"/>
          <w:u w:val="single"/>
          <w:rtl/>
        </w:rPr>
        <w:t>תוד"ה רצה.</w:t>
      </w:r>
      <w:r w:rsidRPr="00AF1DC8">
        <w:rPr>
          <w:rFonts w:ascii="Narkisim" w:hAnsi="Narkisim" w:cs="Narkisim"/>
          <w:rtl/>
        </w:rPr>
        <w:t xml:space="preserve"> דכהן המקריב צריך שיאכל ממנה, ולא כולה</w:t>
      </w:r>
      <w:r w:rsidRPr="00AF1DC8">
        <w:rPr>
          <w:rStyle w:val="ac"/>
          <w:rFonts w:ascii="Narkisim" w:hAnsi="Narkisim" w:cs="Narkisim"/>
          <w:rtl/>
        </w:rPr>
        <w:footnoteReference w:id="2379"/>
      </w:r>
      <w:r w:rsidRPr="00AF1DC8">
        <w:rPr>
          <w:rFonts w:ascii="Narkisim" w:hAnsi="Narkisim" w:cs="Narkisim"/>
        </w:rPr>
        <w:t xml:space="preserve">. </w:t>
      </w:r>
      <w:r w:rsidRPr="00AF1DC8">
        <w:rPr>
          <w:rFonts w:ascii="Narkisim" w:hAnsi="Narkisim" w:cs="Narkisim"/>
          <w:rtl/>
        </w:rPr>
        <w:t>ובפשוטו לתי' הא' יש מצוה שכהנים מהבית אב יאכלו כולה. וה</w:t>
      </w:r>
      <w:r w:rsidRPr="00AF1DC8">
        <w:rPr>
          <w:rFonts w:ascii="Narkisim" w:hAnsi="Narkisim" w:cs="Narkisim"/>
          <w:b/>
          <w:bCs/>
          <w:rtl/>
        </w:rPr>
        <w:t>רמב"ם</w:t>
      </w:r>
      <w:r w:rsidRPr="00AF1DC8">
        <w:rPr>
          <w:rFonts w:ascii="Narkisim" w:hAnsi="Narkisim" w:cs="Narkisim"/>
          <w:rtl/>
        </w:rPr>
        <w:t xml:space="preserve"> השמיט דין זה, וה</w:t>
      </w:r>
      <w:r w:rsidRPr="00AF1DC8">
        <w:rPr>
          <w:rFonts w:ascii="Narkisim" w:hAnsi="Narkisim" w:cs="Narkisim"/>
          <w:b/>
          <w:bCs/>
          <w:rtl/>
        </w:rPr>
        <w:t xml:space="preserve">אחרונים </w:t>
      </w:r>
      <w:r w:rsidRPr="00AF1DC8">
        <w:rPr>
          <w:rFonts w:ascii="Narkisim" w:hAnsi="Narkisim" w:cs="Narkisim"/>
          <w:rtl/>
        </w:rPr>
        <w:t>דנו בזה</w:t>
      </w:r>
      <w:r w:rsidRPr="00AF1DC8">
        <w:rPr>
          <w:rStyle w:val="ac"/>
          <w:rFonts w:ascii="Narkisim" w:hAnsi="Narkisim" w:cs="Narkisim"/>
          <w:rtl/>
        </w:rPr>
        <w:footnoteReference w:id="2380"/>
      </w:r>
      <w:r w:rsidRPr="00AF1DC8">
        <w:rPr>
          <w:rFonts w:ascii="Narkisim" w:hAnsi="Narkisim" w:cs="Narkisim"/>
        </w:rPr>
        <w:t>.</w:t>
      </w:r>
    </w:p>
    <w:p w14:paraId="35DA5C49" w14:textId="77777777" w:rsidR="006074A5" w:rsidRPr="00AF1DC8" w:rsidRDefault="006074A5" w:rsidP="006074A5">
      <w:pPr>
        <w:bidi/>
        <w:rPr>
          <w:rFonts w:ascii="Narkisim" w:hAnsi="Narkisim" w:cs="Narkisim"/>
        </w:rPr>
      </w:pPr>
      <w:r w:rsidRPr="00AF1DC8">
        <w:rPr>
          <w:rFonts w:ascii="Narkisim" w:hAnsi="Narkisim" w:cs="Narkisim"/>
          <w:u w:val="single"/>
          <w:rtl/>
        </w:rPr>
        <w:t>תוד"ה מאי.</w:t>
      </w:r>
      <w:r w:rsidRPr="00AF1DC8">
        <w:rPr>
          <w:rFonts w:ascii="Narkisim" w:hAnsi="Narkisim" w:cs="Narkisim"/>
          <w:rtl/>
        </w:rPr>
        <w:t xml:space="preserve"> דאי"צ שיתכוון לשם מצוה וכו'. </w:t>
      </w:r>
      <w:r w:rsidRPr="00AF1DC8">
        <w:rPr>
          <w:rFonts w:ascii="Narkisim" w:hAnsi="Narkisim" w:cs="Narkisim"/>
          <w:sz w:val="20"/>
          <w:szCs w:val="20"/>
          <w:rtl/>
        </w:rPr>
        <w:t>ו</w:t>
      </w:r>
      <w:r w:rsidRPr="00AF1DC8">
        <w:rPr>
          <w:rFonts w:ascii="Narkisim" w:hAnsi="Narkisim" w:cs="Narkisim"/>
          <w:b/>
          <w:bCs/>
          <w:sz w:val="20"/>
          <w:szCs w:val="20"/>
          <w:rtl/>
        </w:rPr>
        <w:t>רש"י</w:t>
      </w:r>
      <w:r w:rsidRPr="00AF1DC8">
        <w:rPr>
          <w:rFonts w:ascii="Narkisim" w:hAnsi="Narkisim" w:cs="Narkisim"/>
          <w:sz w:val="20"/>
          <w:szCs w:val="20"/>
          <w:rtl/>
        </w:rPr>
        <w:t xml:space="preserve"> (ד"ה הכא) כת' דאף אי הוה שלא לשם מצווה מאי קעביד. ויל”פ דלא קיים המצווה, אלא דליכא צד איסור בדבר.</w:t>
      </w:r>
      <w:r w:rsidRPr="00AF1DC8">
        <w:rPr>
          <w:rFonts w:ascii="Narkisim" w:hAnsi="Narkisim" w:cs="Narkisim"/>
          <w:rtl/>
        </w:rPr>
        <w:t xml:space="preserve"> וה</w:t>
      </w:r>
      <w:r w:rsidRPr="00AF1DC8">
        <w:rPr>
          <w:rFonts w:ascii="Narkisim" w:hAnsi="Narkisim" w:cs="Narkisim"/>
          <w:b/>
          <w:bCs/>
          <w:rtl/>
        </w:rPr>
        <w:t>קר"א</w:t>
      </w:r>
      <w:r w:rsidRPr="00AF1DC8">
        <w:rPr>
          <w:rFonts w:ascii="Narkisim" w:hAnsi="Narkisim" w:cs="Narkisim"/>
          <w:rtl/>
        </w:rPr>
        <w:t xml:space="preserve"> הק' דלמ"ד מצוות צריכות כוונה אמאי לא בעי שיתכוון. ותי' דילפי' מדכתיב למשחה, משמע כדרך שהמלכים אוכלים ואי"צ כוונת מצוה</w:t>
      </w:r>
      <w:r w:rsidRPr="00AF1DC8">
        <w:rPr>
          <w:rStyle w:val="ac"/>
          <w:rFonts w:ascii="Narkisim" w:hAnsi="Narkisim" w:cs="Narkisim"/>
          <w:rtl/>
        </w:rPr>
        <w:footnoteReference w:id="2381"/>
      </w:r>
      <w:r w:rsidRPr="00AF1DC8">
        <w:rPr>
          <w:rFonts w:ascii="Narkisim" w:hAnsi="Narkisim" w:cs="Narkisim"/>
        </w:rPr>
        <w:t>.</w:t>
      </w:r>
    </w:p>
    <w:p w14:paraId="15133DC8"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בית הלוי </w:t>
      </w:r>
      <w:r w:rsidRPr="00AF1DC8">
        <w:rPr>
          <w:rFonts w:ascii="Narkisim" w:hAnsi="Narkisim"/>
          <w:rtl/>
        </w:rPr>
        <w:t xml:space="preserve">(ג נא ג) תי' דהמצווה באכילת קדשים הוא שהקדשים יֵאָכל, ואינה מצוות אכילה [על הגברא]. ומש"ה אי"צ כוונת מצוות אכילה. </w:t>
      </w:r>
      <w:r w:rsidRPr="00AF1DC8">
        <w:rPr>
          <w:rFonts w:ascii="Narkisim" w:hAnsi="Narkisim"/>
          <w:sz w:val="20"/>
          <w:szCs w:val="20"/>
          <w:rtl/>
        </w:rPr>
        <w:t>[וכ"כ ה</w:t>
      </w:r>
      <w:r w:rsidRPr="00AF1DC8">
        <w:rPr>
          <w:rFonts w:ascii="Narkisim" w:hAnsi="Narkisim"/>
          <w:b/>
          <w:bCs/>
          <w:sz w:val="20"/>
          <w:szCs w:val="20"/>
          <w:rtl/>
        </w:rPr>
        <w:t>ביה"ל</w:t>
      </w:r>
      <w:r w:rsidRPr="00AF1DC8">
        <w:rPr>
          <w:rFonts w:ascii="Narkisim" w:hAnsi="Narkisim"/>
          <w:sz w:val="20"/>
          <w:szCs w:val="20"/>
          <w:rtl/>
        </w:rPr>
        <w:t xml:space="preserve"> (א ב ז) דמטעם זה לא בעי אכילת כזית</w:t>
      </w:r>
      <w:r w:rsidRPr="00AF1DC8">
        <w:rPr>
          <w:rStyle w:val="ac"/>
          <w:rFonts w:ascii="Narkisim" w:hAnsi="Narkisim"/>
          <w:sz w:val="20"/>
          <w:szCs w:val="20"/>
          <w:rtl/>
        </w:rPr>
        <w:footnoteReference w:id="2382"/>
      </w:r>
      <w:r w:rsidRPr="00AF1DC8">
        <w:rPr>
          <w:rFonts w:ascii="Narkisim" w:hAnsi="Narkisim"/>
          <w:sz w:val="20"/>
          <w:szCs w:val="20"/>
        </w:rPr>
        <w:t xml:space="preserve">, </w:t>
      </w:r>
      <w:r w:rsidRPr="00AF1DC8">
        <w:rPr>
          <w:rFonts w:ascii="Narkisim" w:hAnsi="Narkisim"/>
          <w:sz w:val="20"/>
          <w:szCs w:val="20"/>
          <w:rtl/>
        </w:rPr>
        <w:t>דלא הוה מצווה אקרקפתא דגברא. אלא שהחפצא יאכל</w:t>
      </w:r>
      <w:r w:rsidRPr="00AF1DC8">
        <w:rPr>
          <w:rStyle w:val="ac"/>
          <w:rFonts w:ascii="Narkisim" w:hAnsi="Narkisim"/>
          <w:sz w:val="20"/>
          <w:szCs w:val="20"/>
          <w:rtl/>
        </w:rPr>
        <w:footnoteReference w:id="2383"/>
      </w:r>
      <w:r w:rsidRPr="00AF1DC8">
        <w:rPr>
          <w:rFonts w:ascii="Narkisim" w:hAnsi="Narkisim"/>
          <w:sz w:val="20"/>
          <w:szCs w:val="20"/>
          <w:rtl/>
        </w:rPr>
        <w:t>]</w:t>
      </w:r>
      <w:r w:rsidRPr="00AF1DC8">
        <w:rPr>
          <w:rFonts w:ascii="Narkisim" w:hAnsi="Narkisim"/>
          <w:sz w:val="20"/>
          <w:szCs w:val="20"/>
        </w:rPr>
        <w:t>.</w:t>
      </w:r>
    </w:p>
    <w:p w14:paraId="1E35CC4B" w14:textId="77777777" w:rsidR="006074A5" w:rsidRPr="00AF1DC8" w:rsidRDefault="006074A5" w:rsidP="006074A5">
      <w:pPr>
        <w:pStyle w:val="a7"/>
        <w:bidi/>
        <w:rPr>
          <w:rFonts w:ascii="Narkisim" w:hAnsi="Narkisim"/>
        </w:rPr>
      </w:pPr>
      <w:r w:rsidRPr="00AF1DC8">
        <w:rPr>
          <w:rFonts w:ascii="Narkisim" w:hAnsi="Narkisim"/>
          <w:rtl/>
        </w:rPr>
        <w:t>ועוד תי' ה</w:t>
      </w:r>
      <w:r w:rsidRPr="00AF1DC8">
        <w:rPr>
          <w:rFonts w:ascii="Narkisim" w:hAnsi="Narkisim"/>
          <w:b/>
          <w:bCs/>
          <w:rtl/>
        </w:rPr>
        <w:t>אחרונים</w:t>
      </w:r>
      <w:r w:rsidRPr="00AF1DC8">
        <w:rPr>
          <w:rFonts w:ascii="Narkisim" w:hAnsi="Narkisim"/>
          <w:rtl/>
        </w:rPr>
        <w:t xml:space="preserve"> דבאכילת קדשים אמרי' דסתמא לשמה קאי, ולכן אי"צ כוונה [וע"ד מש"כ הנוב"י, הו' לעיל]</w:t>
      </w:r>
      <w:r w:rsidRPr="00AF1DC8">
        <w:rPr>
          <w:rFonts w:ascii="Narkisim" w:hAnsi="Narkisim"/>
        </w:rPr>
        <w:t>.</w:t>
      </w:r>
    </w:p>
    <w:p w14:paraId="10EB1A49" w14:textId="77777777" w:rsidR="006074A5" w:rsidRPr="00AF1DC8" w:rsidRDefault="006074A5" w:rsidP="006074A5">
      <w:pPr>
        <w:bidi/>
        <w:rPr>
          <w:rFonts w:ascii="Narkisim" w:hAnsi="Narkisim" w:cs="Narkisim"/>
        </w:rPr>
      </w:pPr>
      <w:r w:rsidRPr="00AF1DC8">
        <w:rPr>
          <w:rFonts w:ascii="Narkisim" w:hAnsi="Narkisim" w:cs="Narkisim"/>
          <w:u w:val="single"/>
          <w:rtl/>
        </w:rPr>
        <w:t>אכילה גסה מי שמה אכילה והאמר ר"ל וכו'.</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כתב דאכילה גסה לא שמיה אכילה בשום דבר מצוה, ופטור ביוה"כ וכל שאר איסורין</w:t>
      </w:r>
      <w:r w:rsidRPr="00AF1DC8">
        <w:rPr>
          <w:rStyle w:val="ac"/>
          <w:rFonts w:ascii="Narkisim" w:hAnsi="Narkisim" w:cs="Narkisim"/>
          <w:rtl/>
        </w:rPr>
        <w:footnoteReference w:id="2384"/>
      </w:r>
      <w:r w:rsidRPr="00AF1DC8">
        <w:rPr>
          <w:rFonts w:ascii="Narkisim" w:hAnsi="Narkisim" w:cs="Narkisim"/>
        </w:rPr>
        <w:t xml:space="preserve">. </w:t>
      </w:r>
      <w:r w:rsidRPr="00AF1DC8">
        <w:rPr>
          <w:rFonts w:ascii="Narkisim" w:hAnsi="Narkisim" w:cs="Narkisim"/>
          <w:rtl/>
        </w:rPr>
        <w:t xml:space="preserve">ובזה הגמ' מוכיחה דאף לענין אכילת </w:t>
      </w:r>
      <w:r w:rsidRPr="00AF1DC8">
        <w:rPr>
          <w:rFonts w:ascii="Narkisim" w:hAnsi="Narkisim" w:cs="Narkisim"/>
          <w:rtl/>
        </w:rPr>
        <w:lastRenderedPageBreak/>
        <w:t>קדשים לא הוה אכילה</w:t>
      </w:r>
      <w:r w:rsidRPr="00AF1DC8">
        <w:rPr>
          <w:rStyle w:val="ac"/>
          <w:rFonts w:ascii="Narkisim" w:hAnsi="Narkisim" w:cs="Narkisim"/>
          <w:rtl/>
        </w:rPr>
        <w:footnoteReference w:id="2385"/>
      </w:r>
      <w:r w:rsidRPr="00AF1DC8">
        <w:rPr>
          <w:rFonts w:ascii="Narkisim" w:hAnsi="Narkisim" w:cs="Narkisim"/>
        </w:rPr>
        <w:t xml:space="preserve">. </w:t>
      </w:r>
      <w:r w:rsidRPr="00AF1DC8">
        <w:rPr>
          <w:rFonts w:ascii="Narkisim" w:hAnsi="Narkisim" w:cs="Narkisim"/>
          <w:szCs w:val="20"/>
          <w:rtl/>
        </w:rPr>
        <w:t>[וכ"כ ה</w:t>
      </w:r>
      <w:r w:rsidRPr="00AF1DC8">
        <w:rPr>
          <w:rFonts w:ascii="Narkisim" w:hAnsi="Narkisim" w:cs="Narkisim"/>
          <w:b/>
          <w:bCs/>
          <w:szCs w:val="20"/>
          <w:rtl/>
        </w:rPr>
        <w:t>ר"ן</w:t>
      </w:r>
      <w:r w:rsidRPr="00AF1DC8">
        <w:rPr>
          <w:rFonts w:ascii="Narkisim" w:hAnsi="Narkisim" w:cs="Narkisim"/>
          <w:szCs w:val="20"/>
          <w:rtl/>
        </w:rPr>
        <w:t xml:space="preserve"> (פסחים קז:)</w:t>
      </w:r>
      <w:r w:rsidRPr="00AF1DC8">
        <w:rPr>
          <w:rFonts w:ascii="Narkisim" w:hAnsi="Narkisim" w:cs="Narkisim"/>
          <w:rtl/>
        </w:rPr>
        <w:t>]</w:t>
      </w:r>
      <w:r w:rsidRPr="00AF1DC8">
        <w:rPr>
          <w:rFonts w:ascii="Narkisim" w:hAnsi="Narkisim" w:cs="Narkisim"/>
        </w:rPr>
        <w:t>.</w:t>
      </w:r>
    </w:p>
    <w:p w14:paraId="265C2F7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הקשה [מנ"ל דלא הוה אכילה בכה"ת] דילמא משום דביוה"כ כתיב עינוי, ואע"ג דהוה אכילה פטור דהוה עינוי. ותי' דמבואר (יומא עו.) דהוה כאילו אמר תענו את נפשותיכם מאכילה, דעינוי דאכילה אקרי עינוי, אלא ששינה הכתוב ממשמעו שלא לחייב בכזית אלא ככותבת</w:t>
      </w:r>
      <w:r w:rsidRPr="00AF1DC8">
        <w:rPr>
          <w:rFonts w:ascii="Narkisim" w:hAnsi="Narkisim"/>
        </w:rPr>
        <w:t>.</w:t>
      </w:r>
    </w:p>
    <w:p w14:paraId="3995FD57" w14:textId="77777777" w:rsidR="006074A5" w:rsidRPr="00AF1DC8" w:rsidRDefault="006074A5" w:rsidP="006074A5">
      <w:pPr>
        <w:pStyle w:val="a7"/>
        <w:bidi/>
        <w:rPr>
          <w:rFonts w:ascii="Narkisim" w:hAnsi="Narkisim"/>
        </w:rPr>
      </w:pPr>
      <w:r w:rsidRPr="00AF1DC8">
        <w:rPr>
          <w:rFonts w:ascii="Narkisim" w:hAnsi="Narkisim"/>
          <w:rtl/>
        </w:rPr>
        <w:t>אבל ב</w:t>
      </w:r>
      <w:r w:rsidRPr="00AF1DC8">
        <w:rPr>
          <w:rFonts w:ascii="Narkisim" w:hAnsi="Narkisim"/>
          <w:b/>
          <w:bCs/>
          <w:rtl/>
        </w:rPr>
        <w:t>חי' ר"א מן ההר</w:t>
      </w:r>
      <w:r w:rsidRPr="00AF1DC8">
        <w:rPr>
          <w:rFonts w:ascii="Narkisim" w:hAnsi="Narkisim"/>
          <w:rtl/>
        </w:rPr>
        <w:t xml:space="preserve"> כתב דדוקא ביוה”כ אינו חייב דהוה קצת עינוי משום שמזיק את עצמו [וכקו' הריטב”א]. אבל בשאר איסורים דהזהירה תורה על האכילה, אף אכילה גסה בכלל. ומ”מ לענין מצוות עשה הגמ' משווה דלא יצא, דמשמע דהתורה צוותה על </w:t>
      </w:r>
      <w:r w:rsidRPr="00AF1DC8">
        <w:rPr>
          <w:rFonts w:ascii="Narkisim" w:hAnsi="Narkisim"/>
          <w:i/>
          <w:iCs/>
          <w:rtl/>
        </w:rPr>
        <w:t>עיקר</w:t>
      </w:r>
      <w:r w:rsidRPr="00AF1DC8">
        <w:rPr>
          <w:rFonts w:ascii="Narkisim" w:hAnsi="Narkisim"/>
          <w:rtl/>
        </w:rPr>
        <w:t xml:space="preserve"> האכילה</w:t>
      </w:r>
      <w:r w:rsidRPr="00AF1DC8">
        <w:rPr>
          <w:rFonts w:ascii="Narkisim" w:hAnsi="Narkisim"/>
        </w:rPr>
        <w:t>.</w:t>
      </w:r>
    </w:p>
    <w:p w14:paraId="4A24B7EA"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(עג ג,ד) חקר בדין עינוי של יוה"כ, האם צווי התורה שיהא עינוי, ואכילה ושתייה אסורים משום דעי"ז מבטל העינוי</w:t>
      </w:r>
      <w:r w:rsidRPr="00AF1DC8">
        <w:rPr>
          <w:rFonts w:ascii="Narkisim" w:hAnsi="Narkisim"/>
          <w:sz w:val="20"/>
          <w:szCs w:val="20"/>
          <w:rtl/>
        </w:rPr>
        <w:t xml:space="preserve"> [דומיא דהנשבע שלא יאכל, דאסור לאכול כדי לבטל דיבורו]</w:t>
      </w:r>
      <w:r w:rsidRPr="00AF1DC8">
        <w:rPr>
          <w:rFonts w:ascii="Narkisim" w:hAnsi="Narkisim"/>
          <w:rtl/>
        </w:rPr>
        <w:t>. או דיש איסור על עצם האכילה. ולכאו' נח' בזה הראשונים הנ"ל</w:t>
      </w:r>
      <w:r w:rsidRPr="00AF1DC8">
        <w:rPr>
          <w:rFonts w:ascii="Narkisim" w:hAnsi="Narkisim"/>
        </w:rPr>
        <w:t>.</w:t>
      </w:r>
    </w:p>
    <w:p w14:paraId="7DB06685" w14:textId="77777777" w:rsidR="006074A5" w:rsidRPr="00AF1DC8" w:rsidRDefault="006074A5" w:rsidP="006074A5">
      <w:pPr>
        <w:pStyle w:val="a8"/>
        <w:bidi/>
        <w:rPr>
          <w:rFonts w:ascii="Narkisim" w:hAnsi="Narkisim"/>
        </w:rPr>
      </w:pPr>
      <w:r w:rsidRPr="00AF1DC8">
        <w:rPr>
          <w:rFonts w:ascii="Narkisim" w:hAnsi="Narkisim"/>
          <w:rtl/>
        </w:rPr>
        <w:t>והקובה"ע כת' דנח' בזה אביי ורבא (לקמן קב:) אי יש איסור ביוה"כ בכתיתין, משום תענוג. אף דליכא נעל. והביא דאף בסוגיין מבואר דתלי בגדרי אכילה [וכריטב"א], דאילו לסברת אביי תלי יוה"כ בעינוי בפועל, והאיך ילפי' לאכילת קרבן. וסוגיין קאי כרבא דתלי ב'שם נעל</w:t>
      </w:r>
      <w:r w:rsidRPr="00AF1DC8">
        <w:rPr>
          <w:rFonts w:ascii="Narkisim" w:hAnsi="Narkisim"/>
        </w:rPr>
        <w:t>'.</w:t>
      </w:r>
    </w:p>
    <w:p w14:paraId="7359E656" w14:textId="77777777" w:rsidR="006074A5" w:rsidRPr="00AF1DC8" w:rsidRDefault="006074A5" w:rsidP="006074A5">
      <w:pPr>
        <w:bidi/>
        <w:rPr>
          <w:rFonts w:ascii="Narkisim" w:hAnsi="Narkisim" w:cs="Narkisim"/>
        </w:rPr>
      </w:pPr>
      <w:r w:rsidRPr="00AF1DC8">
        <w:rPr>
          <w:rFonts w:ascii="Narkisim" w:hAnsi="Narkisim" w:cs="Narkisim"/>
          <w:u w:val="single"/>
          <w:rtl/>
        </w:rPr>
        <w:t>תוד"ה אכילה גסה.</w:t>
      </w:r>
      <w:r w:rsidRPr="00AF1DC8">
        <w:rPr>
          <w:rFonts w:ascii="Narkisim" w:hAnsi="Narkisim" w:cs="Narkisim"/>
          <w:rtl/>
        </w:rPr>
        <w:t xml:space="preserve"> אוכלו אכילה גסה</w:t>
      </w:r>
      <w:r w:rsidRPr="00AF1DC8">
        <w:rPr>
          <w:rStyle w:val="ac"/>
          <w:rFonts w:ascii="Narkisim" w:hAnsi="Narkisim" w:cs="Narkisim"/>
          <w:rtl/>
        </w:rPr>
        <w:footnoteReference w:id="2386"/>
      </w:r>
      <w:r w:rsidRPr="00AF1DC8">
        <w:rPr>
          <w:rFonts w:ascii="Narkisim" w:hAnsi="Narkisim" w:cs="Narkisim"/>
        </w:rPr>
        <w:t xml:space="preserve">, </w:t>
      </w:r>
      <w:r w:rsidRPr="00AF1DC8">
        <w:rPr>
          <w:rFonts w:ascii="Narkisim" w:hAnsi="Narkisim" w:cs="Narkisim"/>
          <w:rtl/>
        </w:rPr>
        <w:t>ומשמע התם דתרוייהו נפקי, אלמא הוי' אכילה. וה</w:t>
      </w:r>
      <w:r w:rsidRPr="00AF1DC8">
        <w:rPr>
          <w:rFonts w:ascii="Narkisim" w:hAnsi="Narkisim" w:cs="Narkisim"/>
          <w:b/>
          <w:bCs/>
          <w:rtl/>
        </w:rPr>
        <w:t>רמב"ן</w:t>
      </w:r>
      <w:r w:rsidRPr="00AF1DC8">
        <w:rPr>
          <w:rFonts w:ascii="Narkisim" w:hAnsi="Narkisim" w:cs="Narkisim"/>
          <w:rtl/>
        </w:rPr>
        <w:t xml:space="preserve"> (ותו"י בתי' הג', וכן </w:t>
      </w:r>
      <w:r w:rsidRPr="00AF1DC8">
        <w:rPr>
          <w:rFonts w:ascii="Narkisim" w:hAnsi="Narkisim" w:cs="Narkisim"/>
          <w:b/>
          <w:bCs/>
          <w:rtl/>
        </w:rPr>
        <w:t>תוס</w:t>
      </w:r>
      <w:r w:rsidRPr="00AF1DC8">
        <w:rPr>
          <w:rFonts w:ascii="Narkisim" w:hAnsi="Narkisim" w:cs="Narkisim"/>
          <w:rtl/>
        </w:rPr>
        <w:t xml:space="preserve">' פסחים קז:) תי' דיצא ידי הקרבת הפסח, ואכילת פסח אינו מעכב, ולפיכך לא מקרי פושע. אבל לא קיים מצוות אכילה. </w:t>
      </w:r>
      <w:r w:rsidRPr="00AF1DC8">
        <w:rPr>
          <w:rFonts w:ascii="Narkisim" w:hAnsi="Narkisim" w:cs="Narkisim"/>
          <w:szCs w:val="20"/>
          <w:rtl/>
        </w:rPr>
        <w:t>וה</w:t>
      </w:r>
      <w:r w:rsidRPr="00AF1DC8">
        <w:rPr>
          <w:rFonts w:ascii="Narkisim" w:hAnsi="Narkisim" w:cs="Narkisim"/>
          <w:b/>
          <w:bCs/>
          <w:szCs w:val="20"/>
          <w:rtl/>
        </w:rPr>
        <w:t>פר"ח</w:t>
      </w:r>
      <w:r w:rsidRPr="00AF1DC8">
        <w:rPr>
          <w:rFonts w:ascii="Narkisim" w:hAnsi="Narkisim" w:cs="Narkisim"/>
          <w:szCs w:val="20"/>
          <w:rtl/>
        </w:rPr>
        <w:t xml:space="preserve"> (תריב ו) ביאר דמשום דלא קיים מצוות עשה לא נקרא 'רשע</w:t>
      </w:r>
      <w:r w:rsidRPr="00AF1DC8">
        <w:rPr>
          <w:rFonts w:ascii="Narkisim" w:hAnsi="Narkisim" w:cs="Narkisim"/>
          <w:szCs w:val="20"/>
        </w:rPr>
        <w:t>'</w:t>
      </w:r>
      <w:r w:rsidRPr="00AF1DC8">
        <w:rPr>
          <w:rStyle w:val="ac"/>
          <w:rFonts w:ascii="Narkisim" w:hAnsi="Narkisim" w:cs="Narkisim"/>
          <w:szCs w:val="20"/>
        </w:rPr>
        <w:footnoteReference w:id="2387"/>
      </w:r>
      <w:r w:rsidRPr="00AF1DC8">
        <w:rPr>
          <w:rFonts w:ascii="Narkisim" w:hAnsi="Narkisim" w:cs="Narkisim"/>
          <w:szCs w:val="20"/>
        </w:rPr>
        <w:t>.</w:t>
      </w:r>
    </w:p>
    <w:p w14:paraId="5AE67258"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(נזיר כג. עה"ג) תי' דבשעת אכילה מה היה יכול לעשות שהוא כבר שבע. </w:t>
      </w:r>
      <w:r w:rsidRPr="00AF1DC8">
        <w:rPr>
          <w:rFonts w:ascii="Narkisim" w:hAnsi="Narkisim"/>
          <w:szCs w:val="20"/>
          <w:rtl/>
        </w:rPr>
        <w:t>[אלא שהיה לו למנוע את עצמו ולא לאכול קודם</w:t>
      </w:r>
      <w:r w:rsidRPr="00AF1DC8">
        <w:rPr>
          <w:rStyle w:val="ac"/>
          <w:rFonts w:ascii="Narkisim" w:hAnsi="Narkisim"/>
          <w:szCs w:val="20"/>
          <w:rtl/>
        </w:rPr>
        <w:footnoteReference w:id="2388"/>
      </w:r>
      <w:r w:rsidRPr="00AF1DC8">
        <w:rPr>
          <w:rFonts w:ascii="Narkisim" w:hAnsi="Narkisim"/>
          <w:szCs w:val="20"/>
          <w:rtl/>
        </w:rPr>
        <w:t>]</w:t>
      </w:r>
      <w:r w:rsidRPr="00AF1DC8">
        <w:rPr>
          <w:rFonts w:ascii="Narkisim" w:hAnsi="Narkisim"/>
        </w:rPr>
        <w:t>.</w:t>
      </w:r>
    </w:p>
    <w:p w14:paraId="55BD729C" w14:textId="77777777" w:rsidR="006074A5" w:rsidRPr="00AF1DC8" w:rsidRDefault="006074A5" w:rsidP="006074A5">
      <w:pPr>
        <w:bidi/>
        <w:rPr>
          <w:rFonts w:ascii="Narkisim" w:hAnsi="Narkisim" w:cs="Narkisim"/>
        </w:rPr>
      </w:pPr>
      <w:r w:rsidRPr="00AF1DC8">
        <w:rPr>
          <w:rFonts w:ascii="Narkisim" w:hAnsi="Narkisim" w:cs="Narkisim"/>
          <w:u w:val="single"/>
          <w:rtl/>
        </w:rPr>
        <w:t>בא"ד וי"ל דתרי עניני אכילה גסה.</w:t>
      </w:r>
      <w:r w:rsidRPr="00AF1DC8">
        <w:rPr>
          <w:rFonts w:ascii="Narkisim" w:hAnsi="Narkisim" w:cs="Narkisim"/>
          <w:rtl/>
        </w:rPr>
        <w:t xml:space="preserve"> ו</w:t>
      </w:r>
      <w:r w:rsidRPr="00AF1DC8">
        <w:rPr>
          <w:rFonts w:ascii="Narkisim" w:hAnsi="Narkisim" w:cs="Narkisim"/>
          <w:b/>
          <w:bCs/>
          <w:rtl/>
        </w:rPr>
        <w:t>תוס'</w:t>
      </w:r>
      <w:r w:rsidRPr="00AF1DC8">
        <w:rPr>
          <w:rFonts w:ascii="Narkisim" w:hAnsi="Narkisim" w:cs="Narkisim"/>
          <w:rtl/>
        </w:rPr>
        <w:t xml:space="preserve"> (פסחים קז:) ביארו דאם נפשו קצה מלאכול פטור ביוה"כ. אבל אם אינו מתאוה לאכול נחשב אכילה. [וע"ע תוס' הרא"ש הוריות שם עה"ג]</w:t>
      </w:r>
      <w:r w:rsidRPr="00AF1DC8">
        <w:rPr>
          <w:rFonts w:ascii="Narkisim" w:hAnsi="Narkisim" w:cs="Narkisim"/>
        </w:rPr>
        <w:t>.</w:t>
      </w:r>
    </w:p>
    <w:p w14:paraId="5FE29FF0" w14:textId="77777777" w:rsidR="006074A5" w:rsidRPr="00AF1DC8" w:rsidRDefault="006074A5" w:rsidP="006074A5">
      <w:pPr>
        <w:pStyle w:val="aa"/>
        <w:bidi/>
        <w:rPr>
          <w:rFonts w:ascii="Narkisim" w:hAnsi="Narkisim"/>
        </w:rPr>
      </w:pPr>
      <w:r w:rsidRPr="00AF1DC8">
        <w:rPr>
          <w:rFonts w:ascii="Narkisim" w:hAnsi="Narkisim"/>
          <w:u w:val="single"/>
          <w:rtl/>
        </w:rPr>
        <w:t>תוד"ה שנה.</w:t>
      </w:r>
      <w:r w:rsidRPr="00AF1DC8">
        <w:rPr>
          <w:rFonts w:ascii="Narkisim" w:hAnsi="Narkisim"/>
          <w:rtl/>
        </w:rPr>
        <w:t xml:space="preserve"> ה</w:t>
      </w:r>
      <w:r w:rsidRPr="00AF1DC8">
        <w:rPr>
          <w:rFonts w:ascii="Narkisim" w:hAnsi="Narkisim"/>
          <w:b/>
          <w:bCs/>
          <w:rtl/>
        </w:rPr>
        <w:t>תוס' הרא"ש</w:t>
      </w:r>
      <w:r w:rsidRPr="00AF1DC8">
        <w:rPr>
          <w:rFonts w:ascii="Narkisim" w:hAnsi="Narkisim"/>
          <w:rtl/>
        </w:rPr>
        <w:t xml:space="preserve"> כתב דלאחר שקירב הקומץ א"א לקרבן ליפסל, ולכן ל"ש שנה לעכב</w:t>
      </w:r>
      <w:r w:rsidRPr="00AF1DC8">
        <w:rPr>
          <w:rFonts w:ascii="Narkisim" w:hAnsi="Narkisim"/>
        </w:rPr>
        <w:t>.</w:t>
      </w:r>
    </w:p>
    <w:p w14:paraId="141EAF27" w14:textId="77777777" w:rsidR="006074A5" w:rsidRPr="00AF1DC8" w:rsidRDefault="006074A5" w:rsidP="006074A5">
      <w:pPr>
        <w:bidi/>
        <w:rPr>
          <w:rFonts w:ascii="Narkisim" w:hAnsi="Narkisim" w:cs="Narkisim"/>
        </w:rPr>
      </w:pPr>
      <w:r w:rsidRPr="00AF1DC8">
        <w:rPr>
          <w:rFonts w:ascii="Narkisim" w:hAnsi="Narkisim" w:cs="Narkisim"/>
          <w:u w:val="single"/>
          <w:rtl/>
        </w:rPr>
        <w:t>תוד"ה כיון.</w:t>
      </w:r>
      <w:r w:rsidRPr="00AF1DC8">
        <w:rPr>
          <w:rFonts w:ascii="Narkisim" w:hAnsi="Narkisim" w:cs="Narkisim"/>
          <w:rtl/>
        </w:rPr>
        <w:t xml:space="preserve"> אר"ת דהתם בלא הדר אפייה. ולפ"ז ממועט דאינו 'לחם', ועד"ז כת' ה</w:t>
      </w:r>
      <w:r w:rsidRPr="00AF1DC8">
        <w:rPr>
          <w:rFonts w:ascii="Narkisim" w:hAnsi="Narkisim" w:cs="Narkisim"/>
          <w:b/>
          <w:bCs/>
          <w:rtl/>
        </w:rPr>
        <w:t>בעה"מ</w:t>
      </w:r>
      <w:r w:rsidRPr="00AF1DC8">
        <w:rPr>
          <w:rFonts w:ascii="Narkisim" w:hAnsi="Narkisim" w:cs="Narkisim"/>
          <w:rtl/>
        </w:rPr>
        <w:t xml:space="preserve"> </w:t>
      </w:r>
      <w:r w:rsidRPr="00AF1DC8">
        <w:rPr>
          <w:rFonts w:ascii="Narkisim" w:hAnsi="Narkisim" w:cs="Narkisim"/>
          <w:szCs w:val="20"/>
          <w:rtl/>
        </w:rPr>
        <w:t>(פסחים לז, יא. בדה"ר)</w:t>
      </w:r>
      <w:r w:rsidRPr="00AF1DC8">
        <w:rPr>
          <w:rStyle w:val="ac"/>
          <w:rFonts w:ascii="Narkisim" w:hAnsi="Narkisim" w:cs="Narkisim"/>
          <w:rtl/>
        </w:rPr>
        <w:footnoteReference w:id="2389"/>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מלחמות</w:t>
      </w:r>
      <w:r w:rsidRPr="00AF1DC8">
        <w:rPr>
          <w:rFonts w:ascii="Narkisim" w:hAnsi="Narkisim" w:cs="Narkisim"/>
          <w:rtl/>
        </w:rPr>
        <w:t xml:space="preserve"> האריך להקשות דממעטינן משום דאינו 'עוני</w:t>
      </w:r>
      <w:r w:rsidRPr="00AF1DC8">
        <w:rPr>
          <w:rFonts w:ascii="Narkisim" w:hAnsi="Narkisim" w:cs="Narkisim"/>
        </w:rPr>
        <w:t>'</w:t>
      </w:r>
      <w:r w:rsidRPr="00AF1DC8">
        <w:rPr>
          <w:rStyle w:val="ac"/>
          <w:rFonts w:ascii="Narkisim" w:hAnsi="Narkisim" w:cs="Narkisim"/>
        </w:rPr>
        <w:footnoteReference w:id="2390"/>
      </w:r>
      <w:r w:rsidRPr="00AF1DC8">
        <w:rPr>
          <w:rFonts w:ascii="Narkisim" w:hAnsi="Narkisim" w:cs="Narkisim"/>
        </w:rPr>
        <w:t>.</w:t>
      </w:r>
    </w:p>
    <w:p w14:paraId="78323365"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מלחמות</w:t>
      </w:r>
      <w:r w:rsidRPr="00AF1DC8">
        <w:rPr>
          <w:rFonts w:ascii="Narkisim" w:hAnsi="Narkisim"/>
          <w:rtl/>
        </w:rPr>
        <w:t xml:space="preserve"> (שם וכן בריטב"א כאן) תי' דהתם שחלט את הקמח הרבה, שהלבין כשלג, ומש"ה נחשב דאינו לחם עוני. ו</w:t>
      </w:r>
      <w:r w:rsidRPr="00AF1DC8">
        <w:rPr>
          <w:rFonts w:ascii="Narkisim" w:hAnsi="Narkisim"/>
          <w:b/>
          <w:bCs/>
          <w:rtl/>
        </w:rPr>
        <w:t>ר' אפרים</w:t>
      </w:r>
      <w:r w:rsidRPr="00AF1DC8">
        <w:rPr>
          <w:rFonts w:ascii="Narkisim" w:hAnsi="Narkisim"/>
          <w:rtl/>
        </w:rPr>
        <w:t xml:space="preserve"> (הו' בבעה"מ ושא"ר שם) תי' דהתם איירי בחלוט בשאר משקין, כגון יין ושמן ודבש, דרך חשיבות</w:t>
      </w:r>
      <w:r w:rsidRPr="00AF1DC8">
        <w:rPr>
          <w:rFonts w:ascii="Narkisim" w:hAnsi="Narkisim"/>
        </w:rPr>
        <w:t>.</w:t>
      </w:r>
    </w:p>
    <w:p w14:paraId="38EAADCA" w14:textId="77777777" w:rsidR="006074A5" w:rsidRPr="00AF1DC8" w:rsidRDefault="006074A5" w:rsidP="006074A5">
      <w:pPr>
        <w:pStyle w:val="aa"/>
        <w:bidi/>
        <w:rPr>
          <w:rFonts w:ascii="Narkisim" w:hAnsi="Narkisim"/>
        </w:rPr>
      </w:pPr>
      <w:r w:rsidRPr="00AF1DC8">
        <w:rPr>
          <w:rFonts w:ascii="Narkisim" w:hAnsi="Narkisim"/>
          <w:u w:val="single"/>
          <w:rtl/>
        </w:rPr>
        <w:t>בא"ד א"נ התם בבלילתו קשה, והכא בבלילתו רכה וכו' דלא חשיב לחם אלא ע"י אפייה וכו'</w:t>
      </w:r>
      <w:r w:rsidRPr="00AF1DC8">
        <w:rPr>
          <w:rFonts w:ascii="Narkisim" w:hAnsi="Narkisim"/>
          <w:rtl/>
        </w:rPr>
        <w:t xml:space="preserve">. דבלילה עבה חשיב לחם עשירות. אבל בלילה רכה לא חשיב לחם כלל, אלא ע"י האפייה. ובשעת אפייה הוה לחם עוני. וע"ע </w:t>
      </w:r>
      <w:r w:rsidRPr="00AF1DC8">
        <w:rPr>
          <w:rFonts w:ascii="Narkisim" w:hAnsi="Narkisim"/>
          <w:b/>
          <w:bCs/>
          <w:rtl/>
        </w:rPr>
        <w:t>גרי"ז</w:t>
      </w:r>
      <w:r w:rsidRPr="00AF1DC8">
        <w:rPr>
          <w:rFonts w:ascii="Narkisim" w:hAnsi="Narkisim"/>
          <w:rtl/>
        </w:rPr>
        <w:t xml:space="preserve"> (מנחות עה:)</w:t>
      </w:r>
      <w:r w:rsidRPr="00AF1DC8">
        <w:rPr>
          <w:rFonts w:ascii="Narkisim" w:hAnsi="Narkisim"/>
        </w:rPr>
        <w:t>.</w:t>
      </w:r>
    </w:p>
    <w:p w14:paraId="1E1A0137" w14:textId="77777777" w:rsidR="006074A5" w:rsidRPr="00AF1DC8" w:rsidRDefault="006074A5" w:rsidP="006074A5">
      <w:pPr>
        <w:bidi/>
        <w:rPr>
          <w:rFonts w:ascii="Narkisim" w:hAnsi="Narkisim" w:cs="Narkisim"/>
        </w:rPr>
      </w:pPr>
      <w:r w:rsidRPr="00AF1DC8">
        <w:rPr>
          <w:rFonts w:ascii="Narkisim" w:hAnsi="Narkisim" w:cs="Narkisim"/>
          <w:u w:val="single"/>
          <w:rtl/>
        </w:rPr>
        <w:t>הכונס את יבמתו זכה בנכסים של אחיו</w:t>
      </w:r>
      <w:r w:rsidRPr="00AF1DC8">
        <w:rPr>
          <w:rFonts w:ascii="Narkisim" w:hAnsi="Narkisim" w:cs="Narkisim"/>
          <w:rtl/>
        </w:rPr>
        <w:t xml:space="preserve">. ובגמ' דרשי' שקם תחתיו. ובפשוטו זוכה בנכסים </w:t>
      </w:r>
      <w:r w:rsidRPr="00AF1DC8">
        <w:rPr>
          <w:rFonts w:ascii="Narkisim" w:hAnsi="Narkisim" w:cs="Narkisim"/>
          <w:rtl/>
        </w:rPr>
        <w:lastRenderedPageBreak/>
        <w:t>מכאן ולהבא</w:t>
      </w:r>
      <w:r w:rsidRPr="00AF1DC8">
        <w:rPr>
          <w:rStyle w:val="ac"/>
          <w:rFonts w:ascii="Narkisim" w:hAnsi="Narkisim" w:cs="Narkisim"/>
          <w:rtl/>
        </w:rPr>
        <w:footnoteReference w:id="2391"/>
      </w:r>
      <w:r w:rsidRPr="00AF1DC8">
        <w:rPr>
          <w:rFonts w:ascii="Narkisim" w:hAnsi="Narkisim" w:cs="Narkisim"/>
        </w:rPr>
        <w:t xml:space="preserve"> </w:t>
      </w:r>
      <w:r w:rsidRPr="00AF1DC8">
        <w:rPr>
          <w:rFonts w:ascii="Narkisim" w:hAnsi="Narkisim" w:cs="Narkisim"/>
          <w:rtl/>
        </w:rPr>
        <w:t>משעת יבום ואילך</w:t>
      </w:r>
      <w:r w:rsidRPr="00AF1DC8">
        <w:rPr>
          <w:rStyle w:val="ac"/>
          <w:rFonts w:ascii="Narkisim" w:hAnsi="Narkisim" w:cs="Narkisim"/>
          <w:rtl/>
        </w:rPr>
        <w:footnoteReference w:id="2392"/>
      </w:r>
      <w:r w:rsidRPr="00AF1DC8">
        <w:rPr>
          <w:rFonts w:ascii="Narkisim" w:hAnsi="Narkisim" w:cs="Narkisim"/>
        </w:rPr>
        <w:t xml:space="preserve">. </w:t>
      </w:r>
      <w:r w:rsidRPr="00AF1DC8">
        <w:rPr>
          <w:rFonts w:ascii="Narkisim" w:hAnsi="Narkisim" w:cs="Narkisim"/>
          <w:rtl/>
        </w:rPr>
        <w:t>[שהרי קודם שייבם עדיין אין לו סיבה לזכות בנכסים]. אמנם ה</w:t>
      </w:r>
      <w:r w:rsidRPr="00AF1DC8">
        <w:rPr>
          <w:rFonts w:ascii="Narkisim" w:hAnsi="Narkisim" w:cs="Narkisim"/>
          <w:b/>
          <w:bCs/>
          <w:rtl/>
        </w:rPr>
        <w:t>הפלאה</w:t>
      </w:r>
      <w:r w:rsidRPr="00AF1DC8">
        <w:rPr>
          <w:rFonts w:ascii="Narkisim" w:hAnsi="Narkisim" w:cs="Narkisim"/>
          <w:rtl/>
        </w:rPr>
        <w:t xml:space="preserve"> (כתובות פב.) חידש שע"י היבום זכה למפרע</w:t>
      </w:r>
      <w:r w:rsidRPr="00AF1DC8">
        <w:rPr>
          <w:rStyle w:val="ac"/>
          <w:rFonts w:ascii="Narkisim" w:hAnsi="Narkisim" w:cs="Narkisim"/>
          <w:rtl/>
        </w:rPr>
        <w:footnoteReference w:id="2393"/>
      </w:r>
      <w:r w:rsidRPr="00AF1DC8">
        <w:rPr>
          <w:rFonts w:ascii="Narkisim" w:hAnsi="Narkisim" w:cs="Narkisim"/>
        </w:rPr>
        <w:t xml:space="preserve">, </w:t>
      </w:r>
      <w:r w:rsidRPr="00AF1DC8">
        <w:rPr>
          <w:rFonts w:ascii="Narkisim" w:hAnsi="Narkisim" w:cs="Narkisim"/>
          <w:rtl/>
        </w:rPr>
        <w:t>משעת מיתה</w:t>
      </w:r>
      <w:r w:rsidRPr="00AF1DC8">
        <w:rPr>
          <w:rStyle w:val="ac"/>
          <w:rFonts w:ascii="Narkisim" w:hAnsi="Narkisim" w:cs="Narkisim"/>
          <w:rtl/>
        </w:rPr>
        <w:footnoteReference w:id="2394"/>
      </w:r>
      <w:r w:rsidRPr="00AF1DC8">
        <w:rPr>
          <w:rFonts w:ascii="Narkisim" w:hAnsi="Narkisim" w:cs="Narkisim"/>
        </w:rPr>
        <w:t>.</w:t>
      </w:r>
    </w:p>
    <w:p w14:paraId="66AD64DC" w14:textId="77777777" w:rsidR="006074A5" w:rsidRPr="00AF1DC8" w:rsidRDefault="006074A5" w:rsidP="006074A5">
      <w:pPr>
        <w:pStyle w:val="aa"/>
        <w:bidi/>
        <w:rPr>
          <w:rFonts w:ascii="Narkisim" w:hAnsi="Narkisim"/>
        </w:rPr>
      </w:pPr>
      <w:r w:rsidRPr="00AF1DC8">
        <w:rPr>
          <w:rFonts w:ascii="Narkisim" w:hAnsi="Narkisim"/>
          <w:u w:val="single"/>
          <w:rtl/>
        </w:rPr>
        <w:t>סד"א חליצה במקום יבום קיימא.</w:t>
      </w:r>
      <w:r w:rsidRPr="00AF1DC8">
        <w:rPr>
          <w:rFonts w:ascii="Narkisim" w:hAnsi="Narkisim"/>
          <w:rtl/>
        </w:rPr>
        <w:t xml:space="preserve"> בפשוטו משמע דהטעם משום שקיים את המצווה דרמי עליה, ומש"ה זכה בנכסים. ועיל"פ ע"פ הא דאיתא ב</w:t>
      </w:r>
      <w:r w:rsidRPr="00AF1DC8">
        <w:rPr>
          <w:rFonts w:ascii="Narkisim" w:hAnsi="Narkisim"/>
          <w:b/>
          <w:bCs/>
          <w:rtl/>
        </w:rPr>
        <w:t>זוהר</w:t>
      </w:r>
      <w:r w:rsidRPr="00AF1DC8">
        <w:rPr>
          <w:rFonts w:ascii="Narkisim" w:hAnsi="Narkisim"/>
          <w:rtl/>
        </w:rPr>
        <w:t xml:space="preserve"> (הו' ב</w:t>
      </w:r>
      <w:r w:rsidRPr="00AF1DC8">
        <w:rPr>
          <w:rFonts w:ascii="Narkisim" w:hAnsi="Narkisim"/>
          <w:b/>
          <w:bCs/>
          <w:rtl/>
        </w:rPr>
        <w:t>בי"ש</w:t>
      </w:r>
      <w:r w:rsidRPr="00AF1DC8">
        <w:rPr>
          <w:rFonts w:ascii="Narkisim" w:hAnsi="Narkisim"/>
          <w:rtl/>
        </w:rPr>
        <w:t xml:space="preserve"> קסה ט) דיש מצווה בחליצה. ויש בזה קצת הקמת שם כמו יבום</w:t>
      </w:r>
      <w:r w:rsidRPr="00AF1DC8">
        <w:rPr>
          <w:rFonts w:ascii="Narkisim" w:hAnsi="Narkisim"/>
        </w:rPr>
        <w:t>.</w:t>
      </w:r>
    </w:p>
    <w:p w14:paraId="25032982" w14:textId="77777777" w:rsidR="006074A5" w:rsidRPr="00AF1DC8" w:rsidRDefault="006074A5" w:rsidP="006074A5">
      <w:pPr>
        <w:pStyle w:val="a8"/>
        <w:bidi/>
        <w:rPr>
          <w:rFonts w:ascii="Narkisim" w:hAnsi="Narkisim"/>
        </w:rPr>
      </w:pPr>
      <w:r w:rsidRPr="00AF1DC8">
        <w:rPr>
          <w:rFonts w:ascii="Narkisim" w:hAnsi="Narkisim"/>
          <w:rtl/>
        </w:rPr>
        <w:t>ועויל"פ דס"ד כדעת ר' עקיבא (לקמן מד.) דאף בחליצה הכתוב קראו ביתו. וכן יש מ"ד בירושלמי דחליצה הוה קנין</w:t>
      </w:r>
      <w:r w:rsidRPr="00AF1DC8">
        <w:rPr>
          <w:rFonts w:ascii="Narkisim" w:hAnsi="Narkisim"/>
        </w:rPr>
        <w:t>.</w:t>
      </w:r>
    </w:p>
    <w:p w14:paraId="055C350D"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וה</w:t>
      </w:r>
      <w:r w:rsidRPr="00AF1DC8">
        <w:rPr>
          <w:rFonts w:ascii="Narkisim" w:hAnsi="Narkisim"/>
          <w:b/>
          <w:bCs/>
          <w:rtl/>
        </w:rPr>
        <w:t>רמ"א</w:t>
      </w:r>
      <w:r w:rsidRPr="00AF1DC8">
        <w:rPr>
          <w:rFonts w:ascii="Narkisim" w:hAnsi="Narkisim"/>
          <w:rtl/>
        </w:rPr>
        <w:t xml:space="preserve"> (קסה ד בשם תה”ד רכ) הביא דיש תקנת הקהילות דהחולץ זוכה בחצי מהנכסים [כדי שלא ימנע מלחלוץ]</w:t>
      </w:r>
      <w:r w:rsidRPr="00AF1DC8">
        <w:rPr>
          <w:rFonts w:ascii="Narkisim" w:hAnsi="Narkisim"/>
        </w:rPr>
        <w:t>.</w:t>
      </w:r>
    </w:p>
    <w:p w14:paraId="3D6BD883" w14:textId="77777777" w:rsidR="006074A5" w:rsidRPr="00AF1DC8" w:rsidRDefault="006074A5" w:rsidP="006074A5">
      <w:pPr>
        <w:bidi/>
        <w:rPr>
          <w:rFonts w:ascii="Narkisim" w:hAnsi="Narkisim" w:cs="Narkisim"/>
        </w:rPr>
      </w:pPr>
      <w:r w:rsidRPr="00AF1DC8">
        <w:rPr>
          <w:rFonts w:ascii="Narkisim" w:hAnsi="Narkisim" w:cs="Narkisim"/>
          <w:u w:val="single"/>
          <w:rtl/>
        </w:rPr>
        <w:t>אלא סד"א הואיל ואפסדיה לקנסיה.</w:t>
      </w:r>
      <w:r w:rsidRPr="00AF1DC8">
        <w:rPr>
          <w:rFonts w:ascii="Narkisim" w:hAnsi="Narkisim" w:cs="Narkisim"/>
          <w:rtl/>
        </w:rPr>
        <w:t xml:space="preserve"> ה</w:t>
      </w:r>
      <w:r w:rsidRPr="00AF1DC8">
        <w:rPr>
          <w:rFonts w:ascii="Narkisim" w:hAnsi="Narkisim" w:cs="Narkisim"/>
          <w:b/>
          <w:bCs/>
          <w:rtl/>
        </w:rPr>
        <w:t>קר"א</w:t>
      </w:r>
      <w:r w:rsidRPr="00AF1DC8">
        <w:rPr>
          <w:rFonts w:ascii="Narkisim" w:hAnsi="Narkisim" w:cs="Narkisim"/>
          <w:rtl/>
        </w:rPr>
        <w:t xml:space="preserve"> כתב דכוונת הגמ' דהוה קנס מדאורייתא. וקאי אף במקום שאסור לייבם</w:t>
      </w:r>
      <w:r w:rsidRPr="00AF1DC8">
        <w:rPr>
          <w:rFonts w:ascii="Narkisim" w:hAnsi="Narkisim" w:cs="Narkisim"/>
        </w:rPr>
        <w:t>.</w:t>
      </w:r>
    </w:p>
    <w:p w14:paraId="6D5DFA8B" w14:textId="77777777" w:rsidR="006074A5" w:rsidRPr="00AF1DC8" w:rsidRDefault="006074A5" w:rsidP="006074A5">
      <w:pPr>
        <w:bidi/>
        <w:rPr>
          <w:rFonts w:ascii="Narkisim" w:hAnsi="Narkisim" w:cs="Narkisim"/>
        </w:rPr>
      </w:pPr>
      <w:r w:rsidRPr="00AF1DC8">
        <w:rPr>
          <w:rFonts w:ascii="Narkisim" w:hAnsi="Narkisim" w:cs="Narkisim"/>
          <w:u w:val="single"/>
          <w:rtl/>
        </w:rPr>
        <w:t>הרי קם.</w:t>
      </w:r>
      <w:r w:rsidRPr="00AF1DC8">
        <w:rPr>
          <w:rFonts w:ascii="Narkisim" w:hAnsi="Narkisim" w:cs="Narkisim"/>
          <w:rtl/>
        </w:rPr>
        <w:t xml:space="preserve"> ה</w:t>
      </w:r>
      <w:r w:rsidRPr="00AF1DC8">
        <w:rPr>
          <w:rFonts w:ascii="Narkisim" w:hAnsi="Narkisim" w:cs="Narkisim"/>
          <w:b/>
          <w:bCs/>
          <w:rtl/>
        </w:rPr>
        <w:t>רשב"א</w:t>
      </w:r>
      <w:r w:rsidRPr="00AF1DC8">
        <w:rPr>
          <w:rFonts w:ascii="Narkisim" w:hAnsi="Narkisim" w:cs="Narkisim"/>
          <w:rtl/>
        </w:rPr>
        <w:t xml:space="preserve"> ו</w:t>
      </w:r>
      <w:r w:rsidRPr="00AF1DC8">
        <w:rPr>
          <w:rFonts w:ascii="Narkisim" w:hAnsi="Narkisim" w:cs="Narkisim"/>
          <w:b/>
          <w:bCs/>
          <w:rtl/>
        </w:rPr>
        <w:t>ריטב"א</w:t>
      </w:r>
      <w:r w:rsidRPr="00AF1DC8">
        <w:rPr>
          <w:rFonts w:ascii="Narkisim" w:hAnsi="Narkisim" w:cs="Narkisim"/>
          <w:rtl/>
        </w:rPr>
        <w:t xml:space="preserve"> (והו' ברמ"א קסג א) הביאו מה</w:t>
      </w:r>
      <w:r w:rsidRPr="00AF1DC8">
        <w:rPr>
          <w:rFonts w:ascii="Narkisim" w:hAnsi="Narkisim" w:cs="Narkisim"/>
          <w:b/>
          <w:bCs/>
          <w:rtl/>
        </w:rPr>
        <w:t>ירושלמי</w:t>
      </w:r>
      <w:r w:rsidRPr="00AF1DC8">
        <w:rPr>
          <w:rFonts w:ascii="Narkisim" w:hAnsi="Narkisim" w:cs="Narkisim"/>
          <w:rtl/>
        </w:rPr>
        <w:t xml:space="preserve"> דהיכא דעשה מאמר בא', ואח"כ ייבם צרתה [דאסורה עליו מדרבנן] לא זכה בנכסים, דהוה ביאה פסולה</w:t>
      </w:r>
      <w:r w:rsidRPr="00AF1DC8">
        <w:rPr>
          <w:rStyle w:val="ac"/>
          <w:rFonts w:ascii="Narkisim" w:hAnsi="Narkisim" w:cs="Narkisim"/>
          <w:rtl/>
        </w:rPr>
        <w:footnoteReference w:id="2395"/>
      </w:r>
      <w:r w:rsidRPr="00AF1DC8">
        <w:rPr>
          <w:rFonts w:ascii="Narkisim" w:hAnsi="Narkisim" w:cs="Narkisim"/>
        </w:rPr>
        <w:t xml:space="preserve">. </w:t>
      </w:r>
      <w:r w:rsidRPr="00AF1DC8">
        <w:rPr>
          <w:rFonts w:ascii="Narkisim" w:hAnsi="Narkisim" w:cs="Narkisim"/>
          <w:rtl/>
        </w:rPr>
        <w:t>וע' בית מאיר (שם)</w:t>
      </w:r>
      <w:r w:rsidRPr="00AF1DC8">
        <w:rPr>
          <w:rFonts w:ascii="Narkisim" w:hAnsi="Narkisim" w:cs="Narkisim"/>
        </w:rPr>
        <w:t>.</w:t>
      </w:r>
    </w:p>
    <w:p w14:paraId="4961A859" w14:textId="77777777" w:rsidR="006074A5" w:rsidRPr="00AF1DC8" w:rsidRDefault="006074A5" w:rsidP="006074A5">
      <w:pPr>
        <w:bidi/>
        <w:rPr>
          <w:rFonts w:ascii="Narkisim" w:hAnsi="Narkisim" w:cs="Narkisim"/>
        </w:rPr>
      </w:pPr>
      <w:r w:rsidRPr="00AF1DC8">
        <w:rPr>
          <w:rFonts w:ascii="Narkisim" w:hAnsi="Narkisim" w:cs="Narkisim"/>
          <w:u w:val="single"/>
          <w:rtl/>
        </w:rPr>
        <w:t>אי מה בכור נוטל פי שנים לאחר מיתת האב, אף האי וכו'.</w:t>
      </w:r>
      <w:r w:rsidRPr="00AF1DC8">
        <w:rPr>
          <w:rFonts w:ascii="Narkisim" w:hAnsi="Narkisim" w:cs="Narkisim"/>
          <w:rtl/>
        </w:rPr>
        <w:t xml:space="preserve"> ואילו יבם אינו נוטל ירושה לאחר מיתת האב. דדרשי' ולא על שם אביו. וה</w:t>
      </w:r>
      <w:r w:rsidRPr="00AF1DC8">
        <w:rPr>
          <w:rFonts w:ascii="Narkisim" w:hAnsi="Narkisim" w:cs="Narkisim"/>
          <w:b/>
          <w:bCs/>
          <w:rtl/>
        </w:rPr>
        <w:t>ראשונים</w:t>
      </w:r>
      <w:r w:rsidRPr="00AF1DC8">
        <w:rPr>
          <w:rFonts w:ascii="Narkisim" w:hAnsi="Narkisim" w:cs="Narkisim"/>
          <w:rtl/>
        </w:rPr>
        <w:t xml:space="preserve"> (רשב"א לעיל כד:) הביאו דמבואר דהיבם אינו נוטל חלק המת כשמת האב אח"כ. ודלא כ</w:t>
      </w:r>
      <w:r w:rsidRPr="00AF1DC8">
        <w:rPr>
          <w:rFonts w:ascii="Narkisim" w:hAnsi="Narkisim" w:cs="Narkisim"/>
          <w:b/>
          <w:bCs/>
          <w:rtl/>
        </w:rPr>
        <w:t>רש"י</w:t>
      </w:r>
      <w:r w:rsidRPr="00AF1DC8">
        <w:rPr>
          <w:rFonts w:ascii="Narkisim" w:hAnsi="Narkisim" w:cs="Narkisim"/>
          <w:rtl/>
        </w:rPr>
        <w:t xml:space="preserve"> (כד:) דהיבם נוטל אף חלק המת בנכסי האב. </w:t>
      </w:r>
      <w:r w:rsidRPr="00AF1DC8">
        <w:rPr>
          <w:rFonts w:ascii="Narkisim" w:hAnsi="Narkisim" w:cs="Narkisim"/>
          <w:sz w:val="20"/>
          <w:szCs w:val="20"/>
          <w:rtl/>
        </w:rPr>
        <w:t>[ונתמעט דוקא במה שראוי לאב</w:t>
      </w:r>
      <w:r w:rsidRPr="00AF1DC8">
        <w:rPr>
          <w:rStyle w:val="ac"/>
          <w:rFonts w:ascii="Narkisim" w:hAnsi="Narkisim" w:cs="Narkisim"/>
          <w:sz w:val="20"/>
          <w:szCs w:val="20"/>
          <w:rtl/>
        </w:rPr>
        <w:footnoteReference w:id="2396"/>
      </w:r>
      <w:r w:rsidRPr="00AF1DC8">
        <w:rPr>
          <w:rFonts w:ascii="Narkisim" w:hAnsi="Narkisim" w:cs="Narkisim"/>
          <w:sz w:val="20"/>
          <w:szCs w:val="20"/>
          <w:rtl/>
        </w:rPr>
        <w:t xml:space="preserve">]. </w:t>
      </w:r>
      <w:r w:rsidRPr="00AF1DC8">
        <w:rPr>
          <w:rFonts w:ascii="Narkisim" w:hAnsi="Narkisim" w:cs="Narkisim"/>
          <w:rtl/>
        </w:rPr>
        <w:t>וה</w:t>
      </w:r>
      <w:r w:rsidRPr="00AF1DC8">
        <w:rPr>
          <w:rFonts w:ascii="Narkisim" w:hAnsi="Narkisim" w:cs="Narkisim"/>
          <w:b/>
          <w:bCs/>
          <w:rtl/>
        </w:rPr>
        <w:t>מרדכי</w:t>
      </w:r>
      <w:r w:rsidRPr="00AF1DC8">
        <w:rPr>
          <w:rFonts w:ascii="Narkisim" w:hAnsi="Narkisim" w:cs="Narkisim"/>
          <w:rtl/>
        </w:rPr>
        <w:t xml:space="preserve"> (ב"ב תקעו) הוסיף מדר' יהודה נשמע לרבנן</w:t>
      </w:r>
      <w:r w:rsidRPr="00AF1DC8">
        <w:rPr>
          <w:rFonts w:ascii="Narkisim" w:hAnsi="Narkisim" w:cs="Narkisim"/>
        </w:rPr>
        <w:t>.</w:t>
      </w:r>
    </w:p>
    <w:p w14:paraId="42842FEE"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ריטב"א</w:t>
      </w:r>
      <w:r w:rsidRPr="00AF1DC8">
        <w:rPr>
          <w:rFonts w:ascii="Narkisim" w:hAnsi="Narkisim"/>
          <w:rtl/>
        </w:rPr>
        <w:t xml:space="preserve"> (לעיל) תי' דלרש"י סוגיין קאי כר' יהודה דהאב קודם. ומש"ה לאחר מיתת האב היבם אינו יורש. וצ"ב במה תליא במח' ר' יהודה ורבנן.</w:t>
      </w:r>
      <w:r w:rsidRPr="00AF1DC8">
        <w:rPr>
          <w:rFonts w:ascii="Narkisim" w:hAnsi="Narkisim"/>
          <w:sz w:val="20"/>
          <w:szCs w:val="20"/>
          <w:rtl/>
        </w:rPr>
        <w:t xml:space="preserve"> וה</w:t>
      </w:r>
      <w:r w:rsidRPr="00AF1DC8">
        <w:rPr>
          <w:rFonts w:ascii="Narkisim" w:hAnsi="Narkisim"/>
          <w:b/>
          <w:bCs/>
          <w:sz w:val="20"/>
          <w:szCs w:val="20"/>
          <w:rtl/>
        </w:rPr>
        <w:t>אחרונים</w:t>
      </w:r>
      <w:r w:rsidRPr="00AF1DC8">
        <w:rPr>
          <w:rFonts w:ascii="Narkisim" w:hAnsi="Narkisim"/>
          <w:sz w:val="20"/>
          <w:szCs w:val="20"/>
          <w:rtl/>
        </w:rPr>
        <w:t xml:space="preserve"> ביארו דלרבנן חל על היבם 'שם יורש' בחיי אביו, ועי"ז יורש חלקו מאביו. אבל לר' יהודה כיון דבחיי אביו, אביו קודם א"כ אינו יורש אח"כ. ועוד יש שביארו דלרבנן זכות היבם הוה מדין 'קם תחתיו', ולא שייך לגדרי ירושה [וכ”מ בתשו' מיימוני (משפטים נא) בדעת רש”י], ומש"ה קם תחתיו חלק אחיו אף בנכסי אביהם. אבל לר' יהודה האב קודם, א"כ שייך לגדרי ירושה, ואין לו חלק בנכסי אביו אחרי מיתתו</w:t>
      </w:r>
      <w:r w:rsidRPr="00AF1DC8">
        <w:rPr>
          <w:rFonts w:ascii="Narkisim" w:hAnsi="Narkisim"/>
          <w:sz w:val="20"/>
          <w:szCs w:val="20"/>
        </w:rPr>
        <w:t>.</w:t>
      </w:r>
    </w:p>
    <w:p w14:paraId="642F8FE1"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מרדכי </w:t>
      </w:r>
      <w:r w:rsidRPr="00AF1DC8">
        <w:rPr>
          <w:rFonts w:ascii="Narkisim" w:hAnsi="Narkisim"/>
          <w:rtl/>
        </w:rPr>
        <w:t xml:space="preserve">(ב"ב תקעו, הו' במהרש"ל) כת' בשם </w:t>
      </w:r>
      <w:r w:rsidRPr="00AF1DC8">
        <w:rPr>
          <w:rFonts w:ascii="Narkisim" w:hAnsi="Narkisim"/>
          <w:b/>
          <w:bCs/>
          <w:rtl/>
        </w:rPr>
        <w:t>ר' שמחה</w:t>
      </w:r>
      <w:r w:rsidRPr="00AF1DC8">
        <w:rPr>
          <w:rFonts w:ascii="Narkisim" w:hAnsi="Narkisim"/>
          <w:rtl/>
        </w:rPr>
        <w:t xml:space="preserve"> דלרש"י קושיית הגמ' שיקבל את כל נכסי המת. שבשעה ראשונה האב ירש, ובמיתת האב יחזור הכל ליבם. אבל באמת יש לו ב' חלקים בנכסי האב</w:t>
      </w:r>
      <w:r w:rsidRPr="00AF1DC8">
        <w:rPr>
          <w:rFonts w:ascii="Narkisim" w:hAnsi="Narkisim"/>
        </w:rPr>
        <w:t>.</w:t>
      </w:r>
    </w:p>
    <w:p w14:paraId="0FAFA37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מאירי</w:t>
      </w:r>
      <w:r w:rsidRPr="00AF1DC8">
        <w:rPr>
          <w:rFonts w:ascii="Narkisim" w:hAnsi="Narkisim"/>
          <w:rtl/>
        </w:rPr>
        <w:t xml:space="preserve"> פי' את קושיית הגמ' [לרש"י] דיטול פי שניים כדין בכור [אע"ג דאינו בכור], ויטול ג' חלקים חלקו וחלק אחיו וחלק כבכור</w:t>
      </w:r>
      <w:r w:rsidRPr="00AF1DC8">
        <w:rPr>
          <w:rFonts w:ascii="Narkisim" w:hAnsi="Narkisim"/>
        </w:rPr>
        <w:t>.</w:t>
      </w:r>
    </w:p>
    <w:p w14:paraId="601E3E27" w14:textId="77777777" w:rsidR="006074A5" w:rsidRPr="00AF1DC8" w:rsidRDefault="006074A5" w:rsidP="006074A5">
      <w:pPr>
        <w:pStyle w:val="aa"/>
        <w:bidi/>
        <w:rPr>
          <w:rFonts w:ascii="Narkisim" w:hAnsi="Narkisim"/>
        </w:rPr>
      </w:pPr>
      <w:r w:rsidRPr="00AF1DC8">
        <w:rPr>
          <w:rFonts w:ascii="Narkisim" w:hAnsi="Narkisim"/>
          <w:u w:val="single"/>
          <w:rtl/>
        </w:rPr>
        <w:t>מידי יבום בנחלה וכו'</w:t>
      </w:r>
      <w:r w:rsidRPr="00AF1DC8">
        <w:rPr>
          <w:rFonts w:ascii="Narkisim" w:hAnsi="Narkisim"/>
          <w:rtl/>
        </w:rPr>
        <w:t>. ב</w:t>
      </w:r>
      <w:r w:rsidRPr="00AF1DC8">
        <w:rPr>
          <w:rFonts w:ascii="Narkisim" w:hAnsi="Narkisim"/>
          <w:b/>
          <w:bCs/>
          <w:rtl/>
        </w:rPr>
        <w:t xml:space="preserve">תו"י </w:t>
      </w:r>
      <w:r w:rsidRPr="00AF1DC8">
        <w:rPr>
          <w:rFonts w:ascii="Narkisim" w:hAnsi="Narkisim"/>
          <w:rtl/>
        </w:rPr>
        <w:t>ו</w:t>
      </w:r>
      <w:r w:rsidRPr="00AF1DC8">
        <w:rPr>
          <w:rFonts w:ascii="Narkisim" w:hAnsi="Narkisim"/>
          <w:b/>
          <w:bCs/>
          <w:rtl/>
        </w:rPr>
        <w:t>תוס' מהר"ם ור"פ</w:t>
      </w:r>
      <w:r w:rsidRPr="00AF1DC8">
        <w:rPr>
          <w:rFonts w:ascii="Narkisim" w:hAnsi="Narkisim"/>
          <w:rtl/>
        </w:rPr>
        <w:t xml:space="preserve"> ביארו דאף דילפי' (לעיל יז:) דאין יבום אלא בראוי לירש נחלה, אבל אין סברא שמשום שהאב נטל הנכסים [ואין ירושה בפועל] לא תתקיים מצוות יבום</w:t>
      </w:r>
      <w:r w:rsidRPr="00AF1DC8">
        <w:rPr>
          <w:rFonts w:ascii="Narkisim" w:hAnsi="Narkisim"/>
        </w:rPr>
        <w:t>.</w:t>
      </w:r>
    </w:p>
    <w:p w14:paraId="03435409" w14:textId="77777777" w:rsidR="006074A5" w:rsidRPr="00AF1DC8" w:rsidRDefault="006074A5" w:rsidP="006074A5">
      <w:pPr>
        <w:pStyle w:val="aa"/>
        <w:bidi/>
        <w:rPr>
          <w:rFonts w:ascii="Narkisim" w:hAnsi="Narkisim"/>
        </w:rPr>
      </w:pPr>
      <w:r w:rsidRPr="00AF1DC8">
        <w:rPr>
          <w:rFonts w:ascii="Narkisim" w:hAnsi="Narkisim"/>
          <w:u w:val="single"/>
          <w:rtl/>
        </w:rPr>
        <w:t>רש"י ד"ה על שם.</w:t>
      </w:r>
      <w:r w:rsidRPr="00AF1DC8">
        <w:rPr>
          <w:rFonts w:ascii="Narkisim" w:hAnsi="Narkisim"/>
          <w:rtl/>
        </w:rPr>
        <w:t xml:space="preserve"> כיון דבשעה שקם ע"ש אחיו לא שקיל, תו לא שקיל. [ולפ"ז משמע דהסברא משום דלא חל הדין בשעת מיתה, וע' לעיל]. וה</w:t>
      </w:r>
      <w:r w:rsidRPr="00AF1DC8">
        <w:rPr>
          <w:rFonts w:ascii="Narkisim" w:hAnsi="Narkisim"/>
          <w:b/>
          <w:bCs/>
          <w:rtl/>
        </w:rPr>
        <w:t xml:space="preserve">מהרש"ל </w:t>
      </w:r>
      <w:r w:rsidRPr="00AF1DC8">
        <w:rPr>
          <w:rFonts w:ascii="Narkisim" w:hAnsi="Narkisim"/>
          <w:rtl/>
        </w:rPr>
        <w:t>גרס דהוה מנכסי אביו. וה</w:t>
      </w:r>
      <w:r w:rsidRPr="00AF1DC8">
        <w:rPr>
          <w:rFonts w:ascii="Narkisim" w:hAnsi="Narkisim"/>
          <w:b/>
          <w:bCs/>
          <w:rtl/>
        </w:rPr>
        <w:t>ריטב"א</w:t>
      </w:r>
      <w:r w:rsidRPr="00AF1DC8">
        <w:rPr>
          <w:rFonts w:ascii="Narkisim" w:hAnsi="Narkisim"/>
          <w:rtl/>
        </w:rPr>
        <w:t xml:space="preserve"> מבואר דמשמע דוקא הראוי ליורשו כשימות, ולא שיטול אח"כ כשימות</w:t>
      </w:r>
      <w:r w:rsidRPr="00AF1DC8">
        <w:rPr>
          <w:rFonts w:ascii="Narkisim" w:hAnsi="Narkisim"/>
        </w:rPr>
        <w:t>.</w:t>
      </w:r>
    </w:p>
    <w:p w14:paraId="48FB8608" w14:textId="77777777" w:rsidR="006074A5" w:rsidRPr="00AF1DC8" w:rsidRDefault="006074A5" w:rsidP="006074A5">
      <w:pPr>
        <w:pStyle w:val="3"/>
        <w:bidi/>
        <w:rPr>
          <w:rFonts w:ascii="Narkisim" w:hAnsi="Narkisim"/>
        </w:rPr>
      </w:pPr>
      <w:r w:rsidRPr="00AF1DC8">
        <w:rPr>
          <w:rFonts w:ascii="Narkisim" w:hAnsi="Narkisim"/>
          <w:rtl/>
        </w:rPr>
        <w:t>דף מ</w:t>
      </w:r>
      <w:r w:rsidRPr="00AF1DC8">
        <w:rPr>
          <w:rFonts w:ascii="Narkisim" w:hAnsi="Narkisim"/>
        </w:rPr>
        <w:t>:</w:t>
      </w:r>
    </w:p>
    <w:p w14:paraId="7451B38D" w14:textId="77777777" w:rsidR="006074A5" w:rsidRPr="00AF1DC8" w:rsidRDefault="006074A5" w:rsidP="006074A5">
      <w:pPr>
        <w:bidi/>
        <w:rPr>
          <w:rFonts w:ascii="Narkisim" w:hAnsi="Narkisim" w:cs="Narkisim"/>
        </w:rPr>
      </w:pPr>
      <w:r w:rsidRPr="00AF1DC8">
        <w:rPr>
          <w:rFonts w:ascii="Narkisim" w:hAnsi="Narkisim" w:cs="Narkisim"/>
          <w:u w:val="single"/>
          <w:rtl/>
        </w:rPr>
        <w:t>היא אסורה באביו וכו'.</w:t>
      </w:r>
      <w:r w:rsidRPr="00AF1DC8">
        <w:rPr>
          <w:rFonts w:ascii="Narkisim" w:hAnsi="Narkisim" w:cs="Narkisim"/>
          <w:rtl/>
        </w:rPr>
        <w:t xml:space="preserve"> [בפשוטו משמע דהיינו אביו של יבם, והגמ' דוחה </w:t>
      </w:r>
      <w:r w:rsidRPr="00AF1DC8">
        <w:rPr>
          <w:rFonts w:ascii="Narkisim" w:hAnsi="Narkisim" w:cs="Narkisim"/>
          <w:sz w:val="20"/>
          <w:szCs w:val="20"/>
          <w:rtl/>
        </w:rPr>
        <w:t xml:space="preserve">(למ"ד לא גזרו שניות) </w:t>
      </w:r>
      <w:r w:rsidRPr="00AF1DC8">
        <w:rPr>
          <w:rFonts w:ascii="Narkisim" w:hAnsi="Narkisim" w:cs="Narkisim"/>
          <w:rtl/>
        </w:rPr>
        <w:t>דאסורה מחמת שהוא אביו של מת]. וה</w:t>
      </w:r>
      <w:r w:rsidRPr="00AF1DC8">
        <w:rPr>
          <w:rFonts w:ascii="Narkisim" w:hAnsi="Narkisim" w:cs="Narkisim"/>
          <w:b/>
          <w:bCs/>
          <w:rtl/>
        </w:rPr>
        <w:t>ריטב"א</w:t>
      </w:r>
      <w:r w:rsidRPr="00AF1DC8">
        <w:rPr>
          <w:rFonts w:ascii="Narkisim" w:hAnsi="Narkisim" w:cs="Narkisim"/>
          <w:rtl/>
        </w:rPr>
        <w:t xml:space="preserve"> הק' [לצד דקאי איבם] תיפו"ל דבלא”ה </w:t>
      </w:r>
      <w:r w:rsidRPr="00AF1DC8">
        <w:rPr>
          <w:rFonts w:ascii="Narkisim" w:hAnsi="Narkisim" w:cs="Narkisim"/>
          <w:rtl/>
        </w:rPr>
        <w:lastRenderedPageBreak/>
        <w:t>אסורה משום מת. וכת' דמ"מ איצטריך למילף מינה לעריות ושניות דעלמא דשייכי משום חולץ לחוד</w:t>
      </w:r>
      <w:r w:rsidRPr="00AF1DC8">
        <w:rPr>
          <w:rFonts w:ascii="Narkisim" w:hAnsi="Narkisim" w:cs="Narkisim"/>
        </w:rPr>
        <w:t>.</w:t>
      </w:r>
    </w:p>
    <w:p w14:paraId="7D622679" w14:textId="77777777" w:rsidR="006074A5" w:rsidRPr="00AF1DC8" w:rsidRDefault="006074A5" w:rsidP="006074A5">
      <w:pPr>
        <w:pStyle w:val="a8"/>
        <w:bidi/>
        <w:rPr>
          <w:rFonts w:ascii="Narkisim" w:hAnsi="Narkisim"/>
        </w:rPr>
      </w:pPr>
      <w:r w:rsidRPr="00AF1DC8">
        <w:rPr>
          <w:rFonts w:ascii="Narkisim" w:hAnsi="Narkisim"/>
        </w:rPr>
        <w:t>[</w:t>
      </w:r>
      <w:r w:rsidRPr="00AF1DC8">
        <w:rPr>
          <w:rFonts w:ascii="Narkisim" w:hAnsi="Narkisim"/>
          <w:rtl/>
        </w:rPr>
        <w:t>ומשמע מדבריו דהדין אמת דתקנו לאסור אף משום יבם, אלא דאין נפק”מ</w:t>
      </w:r>
      <w:r w:rsidRPr="00AF1DC8">
        <w:rPr>
          <w:rStyle w:val="ac"/>
          <w:rFonts w:ascii="Narkisim" w:hAnsi="Narkisim"/>
          <w:rtl/>
        </w:rPr>
        <w:footnoteReference w:id="2397"/>
      </w:r>
      <w:r w:rsidRPr="00AF1DC8">
        <w:rPr>
          <w:rFonts w:ascii="Narkisim" w:hAnsi="Narkisim"/>
        </w:rPr>
        <w:t xml:space="preserve">. </w:t>
      </w:r>
      <w:r w:rsidRPr="00AF1DC8">
        <w:rPr>
          <w:rFonts w:ascii="Narkisim" w:hAnsi="Narkisim"/>
          <w:rtl/>
        </w:rPr>
        <w:t>וה</w:t>
      </w:r>
      <w:r w:rsidRPr="00AF1DC8">
        <w:rPr>
          <w:rFonts w:ascii="Narkisim" w:hAnsi="Narkisim"/>
          <w:b/>
          <w:bCs/>
          <w:rtl/>
        </w:rPr>
        <w:t>מהד"ב</w:t>
      </w:r>
      <w:r w:rsidRPr="00AF1DC8">
        <w:rPr>
          <w:rFonts w:ascii="Narkisim" w:hAnsi="Narkisim"/>
          <w:rtl/>
        </w:rPr>
        <w:t xml:space="preserve"> כת' דנפק"מ אם לא התרו משום האיסור דאורייתא, מלקין מכות מרדות משום איסור חלוצה</w:t>
      </w:r>
      <w:r w:rsidRPr="00AF1DC8">
        <w:rPr>
          <w:rFonts w:ascii="Narkisim" w:hAnsi="Narkisim"/>
        </w:rPr>
        <w:t>]</w:t>
      </w:r>
      <w:r w:rsidRPr="00AF1DC8">
        <w:rPr>
          <w:rStyle w:val="ac"/>
          <w:rFonts w:ascii="Narkisim" w:hAnsi="Narkisim"/>
        </w:rPr>
        <w:footnoteReference w:id="2398"/>
      </w:r>
      <w:r w:rsidRPr="00AF1DC8">
        <w:rPr>
          <w:rFonts w:ascii="Narkisim" w:hAnsi="Narkisim"/>
        </w:rPr>
        <w:t>.</w:t>
      </w:r>
    </w:p>
    <w:p w14:paraId="396AF2B5" w14:textId="77777777" w:rsidR="006074A5" w:rsidRPr="00AF1DC8" w:rsidRDefault="006074A5" w:rsidP="006074A5">
      <w:pPr>
        <w:pStyle w:val="aa"/>
        <w:bidi/>
        <w:rPr>
          <w:rFonts w:ascii="Narkisim" w:hAnsi="Narkisim"/>
        </w:rPr>
      </w:pPr>
      <w:r w:rsidRPr="00AF1DC8">
        <w:rPr>
          <w:rFonts w:ascii="Narkisim" w:hAnsi="Narkisim"/>
          <w:u w:val="single"/>
          <w:rtl/>
        </w:rPr>
        <w:t>רש"י ד"ה ובאבי אביו.</w:t>
      </w:r>
      <w:r w:rsidRPr="00AF1DC8">
        <w:rPr>
          <w:rFonts w:ascii="Narkisim" w:hAnsi="Narkisim"/>
          <w:rtl/>
        </w:rPr>
        <w:t xml:space="preserve"> ואפי' הכי גזרוה בחלוצה. ה</w:t>
      </w:r>
      <w:r w:rsidRPr="00AF1DC8">
        <w:rPr>
          <w:rFonts w:ascii="Narkisim" w:hAnsi="Narkisim"/>
          <w:b/>
          <w:bCs/>
          <w:rtl/>
        </w:rPr>
        <w:t>מהרש"ל</w:t>
      </w:r>
      <w:r w:rsidRPr="00AF1DC8">
        <w:rPr>
          <w:rFonts w:ascii="Narkisim" w:hAnsi="Narkisim"/>
          <w:rtl/>
        </w:rPr>
        <w:t xml:space="preserve"> (ושאר אחרונים) הק' דבלא"ה אסורה משום מת [ואין כאן גזירה מיוחדת]</w:t>
      </w:r>
      <w:r w:rsidRPr="00AF1DC8">
        <w:rPr>
          <w:rFonts w:ascii="Narkisim" w:hAnsi="Narkisim"/>
        </w:rPr>
        <w:t>.</w:t>
      </w:r>
    </w:p>
    <w:p w14:paraId="56EDE23E" w14:textId="77777777" w:rsidR="006074A5" w:rsidRPr="00AF1DC8" w:rsidRDefault="006074A5" w:rsidP="006074A5">
      <w:pPr>
        <w:bidi/>
        <w:rPr>
          <w:rFonts w:ascii="Narkisim" w:hAnsi="Narkisim" w:cs="Narkisim"/>
        </w:rPr>
      </w:pPr>
      <w:r w:rsidRPr="00AF1DC8">
        <w:rPr>
          <w:rFonts w:ascii="Narkisim" w:hAnsi="Narkisim" w:cs="Narkisim"/>
          <w:u w:val="single"/>
          <w:rtl/>
        </w:rPr>
        <w:t>איבעיא להו גזרו שניות בחלוצה וכו'.</w:t>
      </w:r>
      <w:r w:rsidRPr="00AF1DC8">
        <w:rPr>
          <w:rFonts w:ascii="Narkisim" w:hAnsi="Narkisim" w:cs="Narkisim"/>
          <w:rtl/>
        </w:rPr>
        <w:t xml:space="preserve"> ה</w:t>
      </w:r>
      <w:r w:rsidRPr="00AF1DC8">
        <w:rPr>
          <w:rFonts w:ascii="Narkisim" w:hAnsi="Narkisim" w:cs="Narkisim"/>
          <w:b/>
          <w:bCs/>
          <w:rtl/>
        </w:rPr>
        <w:t>יש"ש</w:t>
      </w:r>
      <w:r w:rsidRPr="00AF1DC8">
        <w:rPr>
          <w:rFonts w:ascii="Narkisim" w:hAnsi="Narkisim" w:cs="Narkisim"/>
          <w:rtl/>
        </w:rPr>
        <w:t xml:space="preserve"> (לעיל יז: ב ב, ציינו רע”א) נסתפק האם גזרו שניות בזיקה [למ"ד יש זיקה]. והביאו ד</w:t>
      </w:r>
      <w:r w:rsidRPr="00AF1DC8">
        <w:rPr>
          <w:rFonts w:ascii="Narkisim" w:hAnsi="Narkisim" w:cs="Narkisim"/>
          <w:b/>
          <w:bCs/>
          <w:rtl/>
        </w:rPr>
        <w:t>רש"י</w:t>
      </w:r>
      <w:r w:rsidRPr="00AF1DC8">
        <w:rPr>
          <w:rFonts w:ascii="Narkisim" w:hAnsi="Narkisim" w:cs="Narkisim"/>
          <w:rtl/>
        </w:rPr>
        <w:t xml:space="preserve"> (ד"ה ה"א האחים) כת' דלא גזרו שניות בזיקה </w:t>
      </w:r>
      <w:r w:rsidRPr="00AF1DC8">
        <w:rPr>
          <w:rFonts w:ascii="Narkisim" w:hAnsi="Narkisim" w:cs="Narkisim"/>
          <w:sz w:val="20"/>
          <w:szCs w:val="20"/>
          <w:rtl/>
        </w:rPr>
        <w:t>[אף דקאי התם לצד דגזרו שניות בחליצה]</w:t>
      </w:r>
      <w:r w:rsidRPr="00AF1DC8">
        <w:rPr>
          <w:rStyle w:val="ac"/>
          <w:rFonts w:ascii="Narkisim" w:hAnsi="Narkisim" w:cs="Narkisim"/>
          <w:sz w:val="20"/>
          <w:szCs w:val="20"/>
          <w:rtl/>
        </w:rPr>
        <w:footnoteReference w:id="2399"/>
      </w:r>
      <w:r w:rsidRPr="00AF1DC8">
        <w:rPr>
          <w:rFonts w:ascii="Narkisim" w:hAnsi="Narkisim" w:cs="Narkisim"/>
          <w:sz w:val="20"/>
          <w:szCs w:val="20"/>
        </w:rPr>
        <w:t xml:space="preserve">. </w:t>
      </w:r>
      <w:r w:rsidRPr="00AF1DC8">
        <w:rPr>
          <w:rFonts w:ascii="Narkisim" w:hAnsi="Narkisim" w:cs="Narkisim"/>
          <w:rtl/>
        </w:rPr>
        <w:t>אבל מדברי ה</w:t>
      </w:r>
      <w:r w:rsidRPr="00AF1DC8">
        <w:rPr>
          <w:rFonts w:ascii="Narkisim" w:hAnsi="Narkisim" w:cs="Narkisim"/>
          <w:b/>
          <w:bCs/>
          <w:rtl/>
        </w:rPr>
        <w:t>רמב"ם</w:t>
      </w:r>
      <w:r w:rsidRPr="00AF1DC8">
        <w:rPr>
          <w:rFonts w:ascii="Narkisim" w:hAnsi="Narkisim" w:cs="Narkisim"/>
          <w:rtl/>
        </w:rPr>
        <w:t xml:space="preserve"> (א יג) משמע דאף בזיקה גזרו שניות</w:t>
      </w:r>
      <w:r w:rsidRPr="00AF1DC8">
        <w:rPr>
          <w:rStyle w:val="ac"/>
          <w:rFonts w:ascii="Narkisim" w:hAnsi="Narkisim" w:cs="Narkisim"/>
          <w:rtl/>
        </w:rPr>
        <w:footnoteReference w:id="2400"/>
      </w:r>
      <w:r w:rsidRPr="00AF1DC8">
        <w:rPr>
          <w:rFonts w:ascii="Narkisim" w:hAnsi="Narkisim" w:cs="Narkisim"/>
        </w:rPr>
        <w:t>.</w:t>
      </w:r>
    </w:p>
    <w:p w14:paraId="7F0D5237" w14:textId="77777777" w:rsidR="006074A5" w:rsidRPr="00AF1DC8" w:rsidRDefault="006074A5" w:rsidP="006074A5">
      <w:pPr>
        <w:pStyle w:val="aa"/>
        <w:bidi/>
        <w:rPr>
          <w:rFonts w:ascii="Narkisim" w:hAnsi="Narkisim"/>
        </w:rPr>
      </w:pPr>
      <w:r w:rsidRPr="00AF1DC8">
        <w:rPr>
          <w:rFonts w:ascii="Narkisim" w:hAnsi="Narkisim"/>
          <w:u w:val="single"/>
          <w:rtl/>
        </w:rPr>
        <w:t>או דילמא ל"ש.</w:t>
      </w:r>
      <w:r w:rsidRPr="00AF1DC8">
        <w:rPr>
          <w:rFonts w:ascii="Narkisim" w:hAnsi="Narkisim"/>
          <w:rtl/>
        </w:rPr>
        <w:t xml:space="preserve"> ה</w:t>
      </w:r>
      <w:r w:rsidRPr="00AF1DC8">
        <w:rPr>
          <w:rFonts w:ascii="Narkisim" w:hAnsi="Narkisim"/>
          <w:b/>
          <w:bCs/>
          <w:rtl/>
        </w:rPr>
        <w:t>אחרונים</w:t>
      </w:r>
      <w:r w:rsidRPr="00AF1DC8">
        <w:rPr>
          <w:rFonts w:ascii="Narkisim" w:hAnsi="Narkisim"/>
          <w:rtl/>
        </w:rPr>
        <w:t xml:space="preserve"> הקשו דהוה גזירה לגזירה. ויל"ד בגדר הדבר, האם תקנו דחלוצתו הוה כאשתו, וממילא אסורה בכל הקרובים [ואף דרבנן]. או דגזרו בן בנו אטו בנו [ואמרי' כולה חדא גזירה וכדו']. וב</w:t>
      </w:r>
      <w:r w:rsidRPr="00AF1DC8">
        <w:rPr>
          <w:rFonts w:ascii="Narkisim" w:hAnsi="Narkisim"/>
          <w:b/>
          <w:bCs/>
          <w:rtl/>
        </w:rPr>
        <w:t>הג' ראמ"ה</w:t>
      </w:r>
      <w:r w:rsidRPr="00AF1DC8">
        <w:rPr>
          <w:rFonts w:ascii="Narkisim" w:hAnsi="Narkisim"/>
          <w:rtl/>
        </w:rPr>
        <w:t xml:space="preserve"> (לתוד"ה שמע) דן דלא גזרו כל השניות, ודוקא באם אם אמה [ושניות שלמעלה ממנו] שייך הך גזירה</w:t>
      </w:r>
      <w:r w:rsidRPr="00AF1DC8">
        <w:rPr>
          <w:rFonts w:ascii="Narkisim" w:hAnsi="Narkisim"/>
        </w:rPr>
        <w:t>.</w:t>
      </w:r>
    </w:p>
    <w:p w14:paraId="3D180530" w14:textId="77777777" w:rsidR="006074A5" w:rsidRPr="00AF1DC8" w:rsidRDefault="006074A5" w:rsidP="006074A5">
      <w:pPr>
        <w:pStyle w:val="aa"/>
        <w:bidi/>
        <w:rPr>
          <w:rFonts w:ascii="Narkisim" w:hAnsi="Narkisim"/>
        </w:rPr>
      </w:pPr>
      <w:r w:rsidRPr="00AF1DC8">
        <w:rPr>
          <w:rFonts w:ascii="Narkisim" w:hAnsi="Narkisim"/>
          <w:u w:val="single"/>
          <w:rtl/>
        </w:rPr>
        <w:t>רש"י ד"ה ה"א.</w:t>
      </w:r>
      <w:r w:rsidRPr="00AF1DC8">
        <w:rPr>
          <w:rFonts w:ascii="Narkisim" w:hAnsi="Narkisim"/>
          <w:rtl/>
        </w:rPr>
        <w:t xml:space="preserve"> דגזרו עריות בזיקה, ואפי' לאחר חליצה נימא דאיהו שליחותייהו וכו'. מבואר ברש"י דהצד דאסור בקרובי הצרה, משום דיש זיקה</w:t>
      </w:r>
      <w:r w:rsidRPr="00AF1DC8">
        <w:rPr>
          <w:rStyle w:val="ac"/>
          <w:rFonts w:ascii="Narkisim" w:hAnsi="Narkisim"/>
          <w:rtl/>
        </w:rPr>
        <w:footnoteReference w:id="2401"/>
      </w:r>
      <w:r w:rsidRPr="00AF1DC8">
        <w:rPr>
          <w:rFonts w:ascii="Narkisim" w:hAnsi="Narkisim"/>
        </w:rPr>
        <w:t xml:space="preserve">. </w:t>
      </w:r>
      <w:r w:rsidRPr="00AF1DC8">
        <w:rPr>
          <w:rFonts w:ascii="Narkisim" w:hAnsi="Narkisim"/>
          <w:rtl/>
        </w:rPr>
        <w:t>[ואף לאחר החליצה נשאר איסור מחמת הזיקה, ולא אמרי' דפקע בשעת חליצה]. ומש"כ רש"י הטעם משום שליחותייהו, דאילו למ"ד דנתברר הזיקה רק לאח א', ודאי פקע איסורי הזיקה מאידך. [וכקו' רב יוסף בסמוך]</w:t>
      </w:r>
      <w:r w:rsidRPr="00AF1DC8">
        <w:rPr>
          <w:rFonts w:ascii="Narkisim" w:hAnsi="Narkisim"/>
        </w:rPr>
        <w:t>.</w:t>
      </w:r>
    </w:p>
    <w:p w14:paraId="5D8BC9FE" w14:textId="77777777" w:rsidR="006074A5" w:rsidRPr="00AF1DC8" w:rsidRDefault="006074A5" w:rsidP="006074A5">
      <w:pPr>
        <w:pStyle w:val="a8"/>
        <w:bidi/>
        <w:rPr>
          <w:rFonts w:ascii="Narkisim" w:hAnsi="Narkisim"/>
        </w:rPr>
      </w:pPr>
      <w:r w:rsidRPr="00AF1DC8">
        <w:rPr>
          <w:rFonts w:ascii="Narkisim" w:hAnsi="Narkisim"/>
          <w:rtl/>
        </w:rPr>
        <w:t>אך אי נימא דכוונת רב יוסף בסמוך משום דנחשב דאף הצרה חולצת [משום גדר שליחות], א"כ לא שייכא להא דגזרו עריות בזיקה</w:t>
      </w:r>
      <w:r w:rsidRPr="00AF1DC8">
        <w:rPr>
          <w:rFonts w:ascii="Narkisim" w:hAnsi="Narkisim"/>
        </w:rPr>
        <w:t>.</w:t>
      </w:r>
    </w:p>
    <w:p w14:paraId="56D10105" w14:textId="77777777" w:rsidR="006074A5" w:rsidRPr="00AF1DC8" w:rsidRDefault="006074A5" w:rsidP="006074A5">
      <w:pPr>
        <w:pStyle w:val="aa"/>
        <w:bidi/>
        <w:rPr>
          <w:rFonts w:ascii="Narkisim" w:hAnsi="Narkisim"/>
        </w:rPr>
      </w:pPr>
      <w:r w:rsidRPr="00AF1DC8">
        <w:rPr>
          <w:rFonts w:ascii="Narkisim" w:hAnsi="Narkisim"/>
          <w:u w:val="single"/>
          <w:rtl/>
        </w:rPr>
        <w:t>וליתני האחין מותרין בכולן, קשיא</w:t>
      </w:r>
      <w:r w:rsidRPr="00AF1DC8">
        <w:rPr>
          <w:rFonts w:ascii="Narkisim" w:hAnsi="Narkisim"/>
          <w:rtl/>
        </w:rPr>
        <w:t>. ה</w:t>
      </w:r>
      <w:r w:rsidRPr="00AF1DC8">
        <w:rPr>
          <w:rFonts w:ascii="Narkisim" w:hAnsi="Narkisim"/>
          <w:b/>
          <w:bCs/>
          <w:rtl/>
        </w:rPr>
        <w:t>רש"ש</w:t>
      </w:r>
      <w:r w:rsidRPr="00AF1DC8">
        <w:rPr>
          <w:rFonts w:ascii="Narkisim" w:hAnsi="Narkisim"/>
          <w:rtl/>
        </w:rPr>
        <w:t xml:space="preserve"> הביא דמבואר בגמ' דקאי בקשיא. ואף דלמסקנא ניחא, וכמ"ד גזרו שניות בחלוצה</w:t>
      </w:r>
      <w:r w:rsidRPr="00AF1DC8">
        <w:rPr>
          <w:rFonts w:ascii="Narkisim" w:hAnsi="Narkisim"/>
        </w:rPr>
        <w:t>.</w:t>
      </w:r>
    </w:p>
    <w:p w14:paraId="2B20FE4D" w14:textId="77777777" w:rsidR="006074A5" w:rsidRPr="00AF1DC8" w:rsidRDefault="006074A5" w:rsidP="006074A5">
      <w:pPr>
        <w:pStyle w:val="aa"/>
        <w:bidi/>
        <w:rPr>
          <w:rFonts w:ascii="Narkisim" w:hAnsi="Narkisim"/>
        </w:rPr>
      </w:pPr>
      <w:r w:rsidRPr="00AF1DC8">
        <w:rPr>
          <w:rFonts w:ascii="Narkisim" w:hAnsi="Narkisim"/>
          <w:u w:val="single"/>
          <w:rtl/>
        </w:rPr>
        <w:t>אמימר מוקים לה משום חולץ, וקסבר גזר גזרו שניות בחלוצה וכו'</w:t>
      </w:r>
      <w:r w:rsidRPr="00AF1DC8">
        <w:rPr>
          <w:rFonts w:ascii="Narkisim" w:hAnsi="Narkisim"/>
          <w:rtl/>
        </w:rPr>
        <w:t xml:space="preserve">. </w:t>
      </w:r>
      <w:r w:rsidRPr="00AF1DC8">
        <w:rPr>
          <w:rFonts w:ascii="Narkisim" w:hAnsi="Narkisim"/>
          <w:b/>
          <w:bCs/>
          <w:rtl/>
        </w:rPr>
        <w:t>תוס</w:t>
      </w:r>
      <w:r w:rsidRPr="00AF1DC8">
        <w:rPr>
          <w:rFonts w:ascii="Narkisim" w:hAnsi="Narkisim"/>
          <w:rtl/>
        </w:rPr>
        <w:t xml:space="preserve">' (לעיל כא:) הביאו דלא קי"ל כאמימר, דהגמ' לא רוצה לפשוט הספק [אי גזרו שניות] מדברי אמימר. אבל </w:t>
      </w:r>
      <w:r w:rsidRPr="00AF1DC8">
        <w:rPr>
          <w:rFonts w:ascii="Narkisim" w:hAnsi="Narkisim"/>
          <w:b/>
          <w:bCs/>
          <w:rtl/>
        </w:rPr>
        <w:t>ר"ח</w:t>
      </w:r>
      <w:r w:rsidRPr="00AF1DC8">
        <w:rPr>
          <w:rFonts w:ascii="Narkisim" w:hAnsi="Narkisim"/>
          <w:rtl/>
        </w:rPr>
        <w:t xml:space="preserve"> (בתוס' הנ"ל) פסק כאמימר. וה</w:t>
      </w:r>
      <w:r w:rsidRPr="00AF1DC8">
        <w:rPr>
          <w:rFonts w:ascii="Narkisim" w:hAnsi="Narkisim"/>
          <w:b/>
          <w:bCs/>
          <w:rtl/>
        </w:rPr>
        <w:t>ראשונים</w:t>
      </w:r>
      <w:r w:rsidRPr="00AF1DC8">
        <w:rPr>
          <w:rFonts w:ascii="Narkisim" w:hAnsi="Narkisim"/>
          <w:rtl/>
        </w:rPr>
        <w:t xml:space="preserve"> כת' דלפ"ז למסקנא קי"ל גזרו שניות בחלוצה</w:t>
      </w:r>
      <w:r w:rsidRPr="00AF1DC8">
        <w:rPr>
          <w:rFonts w:ascii="Narkisim" w:hAnsi="Narkisim"/>
        </w:rPr>
        <w:t>.</w:t>
      </w:r>
    </w:p>
    <w:p w14:paraId="2BC88F83" w14:textId="77777777" w:rsidR="006074A5" w:rsidRPr="00AF1DC8" w:rsidRDefault="006074A5" w:rsidP="006074A5">
      <w:pPr>
        <w:bidi/>
        <w:rPr>
          <w:rFonts w:ascii="Narkisim" w:hAnsi="Narkisim" w:cs="Narkisim"/>
        </w:rPr>
      </w:pPr>
      <w:r w:rsidRPr="00AF1DC8">
        <w:rPr>
          <w:rFonts w:ascii="Narkisim" w:hAnsi="Narkisim" w:cs="Narkisim"/>
          <w:u w:val="single"/>
          <w:rtl/>
        </w:rPr>
        <w:t>אמר רב טובי בר קיסנא אמר שמואל הבא על צרת חלוצה הולד ממזר</w:t>
      </w:r>
      <w:r w:rsidRPr="00AF1DC8">
        <w:rPr>
          <w:rFonts w:ascii="Narkisim" w:hAnsi="Narkisim" w:cs="Narkisim"/>
          <w:rtl/>
        </w:rPr>
        <w:t>. וכדעת ר"ל</w:t>
      </w:r>
      <w:r w:rsidRPr="00AF1DC8">
        <w:rPr>
          <w:rFonts w:ascii="Narkisim" w:hAnsi="Narkisim" w:cs="Narkisim"/>
          <w:sz w:val="20"/>
          <w:szCs w:val="20"/>
          <w:rtl/>
        </w:rPr>
        <w:t xml:space="preserve"> (לעיל י:) </w:t>
      </w:r>
      <w:r w:rsidRPr="00AF1DC8">
        <w:rPr>
          <w:rFonts w:ascii="Narkisim" w:hAnsi="Narkisim" w:cs="Narkisim"/>
          <w:rtl/>
        </w:rPr>
        <w:t>דחייבין על הצרה כרת. ורב יוסף ביאר הטעם ד'צרה אבראי</w:t>
      </w:r>
      <w:r w:rsidRPr="00AF1DC8">
        <w:rPr>
          <w:rFonts w:ascii="Narkisim" w:hAnsi="Narkisim" w:cs="Narkisim"/>
        </w:rPr>
        <w:t>'.</w:t>
      </w:r>
    </w:p>
    <w:p w14:paraId="48366FA1" w14:textId="77777777" w:rsidR="006074A5" w:rsidRPr="00AF1DC8" w:rsidRDefault="006074A5" w:rsidP="006074A5">
      <w:pPr>
        <w:pStyle w:val="a7"/>
        <w:bidi/>
        <w:rPr>
          <w:rFonts w:ascii="Narkisim" w:hAnsi="Narkisim"/>
        </w:rPr>
      </w:pPr>
      <w:r w:rsidRPr="00AF1DC8">
        <w:rPr>
          <w:rFonts w:ascii="Narkisim" w:hAnsi="Narkisim"/>
          <w:rtl/>
        </w:rPr>
        <w:t xml:space="preserve">ובפשוטו משמע דסברת ר"ל דמתברר שאינה זקוקה אלא אחותה </w:t>
      </w:r>
      <w:r w:rsidRPr="00AF1DC8">
        <w:rPr>
          <w:rFonts w:ascii="Narkisim" w:hAnsi="Narkisim"/>
          <w:sz w:val="20"/>
          <w:szCs w:val="20"/>
          <w:rtl/>
        </w:rPr>
        <w:t>[וכמ"ש ה</w:t>
      </w:r>
      <w:r w:rsidRPr="00AF1DC8">
        <w:rPr>
          <w:rFonts w:ascii="Narkisim" w:hAnsi="Narkisim"/>
          <w:b/>
          <w:bCs/>
          <w:sz w:val="20"/>
          <w:szCs w:val="20"/>
          <w:rtl/>
        </w:rPr>
        <w:t>אחרונים</w:t>
      </w:r>
      <w:r w:rsidRPr="00AF1DC8">
        <w:rPr>
          <w:rFonts w:ascii="Narkisim" w:hAnsi="Narkisim"/>
          <w:sz w:val="20"/>
          <w:szCs w:val="20"/>
          <w:rtl/>
        </w:rPr>
        <w:t xml:space="preserve"> ע"פ הירושלמי, דהזיקה נעקר למפרע]</w:t>
      </w:r>
      <w:r w:rsidRPr="00AF1DC8">
        <w:rPr>
          <w:rFonts w:ascii="Narkisim" w:hAnsi="Narkisim"/>
          <w:rtl/>
        </w:rPr>
        <w:t xml:space="preserve">. אבל </w:t>
      </w:r>
      <w:r w:rsidRPr="00AF1DC8">
        <w:rPr>
          <w:rFonts w:ascii="Narkisim" w:hAnsi="Narkisim"/>
          <w:b/>
          <w:bCs/>
          <w:rtl/>
        </w:rPr>
        <w:t>רש"י</w:t>
      </w:r>
      <w:r w:rsidRPr="00AF1DC8">
        <w:rPr>
          <w:rFonts w:ascii="Narkisim" w:hAnsi="Narkisim"/>
          <w:rtl/>
        </w:rPr>
        <w:t xml:space="preserve"> פי' דסברת 'אבראי' דמש"ה לא נחשב שליחותא, ולא משויא ליה בלא יבנה. וכמ"ש </w:t>
      </w:r>
      <w:r w:rsidRPr="00AF1DC8">
        <w:rPr>
          <w:rFonts w:ascii="Narkisim" w:hAnsi="Narkisim"/>
          <w:b/>
          <w:bCs/>
          <w:rtl/>
        </w:rPr>
        <w:t>תוס</w:t>
      </w:r>
      <w:r w:rsidRPr="00AF1DC8">
        <w:rPr>
          <w:rFonts w:ascii="Narkisim" w:hAnsi="Narkisim"/>
          <w:rtl/>
        </w:rPr>
        <w:t xml:space="preserve">' (י:) דהמח' ר' יוחנן ור"ל האם לא יבנה מנתק לאיסור אשת אח מכל האחים. </w:t>
      </w:r>
      <w:r w:rsidRPr="00AF1DC8">
        <w:rPr>
          <w:rFonts w:ascii="Narkisim" w:hAnsi="Narkisim"/>
          <w:sz w:val="20"/>
          <w:szCs w:val="20"/>
          <w:rtl/>
        </w:rPr>
        <w:t>[ועי"ש מש"כ שם הצדדים בזה]</w:t>
      </w:r>
      <w:r w:rsidRPr="00AF1DC8">
        <w:rPr>
          <w:rFonts w:ascii="Narkisim" w:hAnsi="Narkisim"/>
          <w:sz w:val="20"/>
          <w:szCs w:val="20"/>
        </w:rPr>
        <w:t>.</w:t>
      </w:r>
    </w:p>
    <w:p w14:paraId="6B654190" w14:textId="77777777" w:rsidR="006074A5" w:rsidRPr="00AF1DC8" w:rsidRDefault="006074A5" w:rsidP="006074A5">
      <w:pPr>
        <w:pStyle w:val="a8"/>
        <w:bidi/>
        <w:rPr>
          <w:rFonts w:ascii="Narkisim" w:hAnsi="Narkisim"/>
        </w:rPr>
      </w:pPr>
      <w:r w:rsidRPr="00AF1DC8">
        <w:rPr>
          <w:rFonts w:ascii="Narkisim" w:hAnsi="Narkisim"/>
          <w:rtl/>
        </w:rPr>
        <w:t xml:space="preserve">ובס' </w:t>
      </w:r>
      <w:r w:rsidRPr="00AF1DC8">
        <w:rPr>
          <w:rFonts w:ascii="Narkisim" w:hAnsi="Narkisim"/>
          <w:b/>
          <w:bCs/>
          <w:rtl/>
        </w:rPr>
        <w:t>משנת ר' אהרן</w:t>
      </w:r>
      <w:r w:rsidRPr="00AF1DC8">
        <w:rPr>
          <w:rFonts w:ascii="Narkisim" w:hAnsi="Narkisim"/>
          <w:rtl/>
        </w:rPr>
        <w:t xml:space="preserve"> (טו) דן דשמואל ס"ל כר"ל רק לגבי צרות, אבל אחיו לא קאי עלה באיסור אשת אח, דלגבי אחים ס"ל דאמרי' שליחותייהו</w:t>
      </w:r>
      <w:r w:rsidRPr="00AF1DC8">
        <w:rPr>
          <w:rFonts w:ascii="Narkisim" w:hAnsi="Narkisim"/>
        </w:rPr>
        <w:t>.</w:t>
      </w:r>
    </w:p>
    <w:p w14:paraId="2691157E" w14:textId="77777777" w:rsidR="006074A5" w:rsidRPr="00AF1DC8" w:rsidRDefault="006074A5" w:rsidP="006074A5">
      <w:pPr>
        <w:bidi/>
        <w:rPr>
          <w:rFonts w:ascii="Narkisim" w:hAnsi="Narkisim" w:cs="Narkisim"/>
        </w:rPr>
      </w:pPr>
      <w:r w:rsidRPr="00AF1DC8">
        <w:rPr>
          <w:rFonts w:ascii="Narkisim" w:hAnsi="Narkisim" w:cs="Narkisim"/>
          <w:u w:val="single"/>
          <w:rtl/>
        </w:rPr>
        <w:t>אמר רב יוסף אף אנן נמי תנינא וכו' צרה אבראי, אלא א"א צרה כחלוצה דמיא אמאי מותר וכו'.</w:t>
      </w:r>
      <w:r w:rsidRPr="00AF1DC8">
        <w:rPr>
          <w:rFonts w:ascii="Narkisim" w:hAnsi="Narkisim" w:cs="Narkisim"/>
          <w:rtl/>
        </w:rPr>
        <w:t xml:space="preserve"> ה</w:t>
      </w:r>
      <w:r w:rsidRPr="00AF1DC8">
        <w:rPr>
          <w:rFonts w:ascii="Narkisim" w:hAnsi="Narkisim" w:cs="Narkisim"/>
          <w:b/>
          <w:bCs/>
          <w:rtl/>
        </w:rPr>
        <w:t>או"ש</w:t>
      </w:r>
      <w:r w:rsidRPr="00AF1DC8">
        <w:rPr>
          <w:rFonts w:ascii="Narkisim" w:hAnsi="Narkisim" w:cs="Narkisim"/>
          <w:rtl/>
        </w:rPr>
        <w:t xml:space="preserve"> (קו' זיקה יד) הביא דרב יוסף ס”ל [דלר' יוחנן] נעקר הזיקה מהצרות מכאן ולהבא, ולכן עדיין אסורה משום איסור אחות זקוקתו </w:t>
      </w:r>
      <w:r w:rsidRPr="00AF1DC8">
        <w:rPr>
          <w:rFonts w:ascii="Narkisim" w:hAnsi="Narkisim" w:cs="Narkisim"/>
          <w:sz w:val="20"/>
          <w:szCs w:val="20"/>
          <w:rtl/>
        </w:rPr>
        <w:t>[למ"ד יש זיקה</w:t>
      </w:r>
      <w:r w:rsidRPr="00AF1DC8">
        <w:rPr>
          <w:rStyle w:val="ac"/>
          <w:rFonts w:ascii="Narkisim" w:hAnsi="Narkisim" w:cs="Narkisim"/>
          <w:sz w:val="20"/>
          <w:szCs w:val="20"/>
          <w:rtl/>
        </w:rPr>
        <w:footnoteReference w:id="2402"/>
      </w:r>
      <w:r w:rsidRPr="00AF1DC8">
        <w:rPr>
          <w:rFonts w:ascii="Narkisim" w:hAnsi="Narkisim" w:cs="Narkisim"/>
          <w:sz w:val="20"/>
          <w:szCs w:val="20"/>
          <w:rtl/>
        </w:rPr>
        <w:t xml:space="preserve">] </w:t>
      </w:r>
      <w:r w:rsidRPr="00AF1DC8">
        <w:rPr>
          <w:rFonts w:ascii="Narkisim" w:hAnsi="Narkisim" w:cs="Narkisim"/>
          <w:rtl/>
        </w:rPr>
        <w:t>אף אחר חליצה</w:t>
      </w:r>
      <w:r w:rsidRPr="00AF1DC8">
        <w:rPr>
          <w:rStyle w:val="ac"/>
          <w:rFonts w:ascii="Narkisim" w:hAnsi="Narkisim" w:cs="Narkisim"/>
          <w:rtl/>
        </w:rPr>
        <w:footnoteReference w:id="2403"/>
      </w:r>
      <w:r w:rsidRPr="00AF1DC8">
        <w:rPr>
          <w:rFonts w:ascii="Narkisim" w:hAnsi="Narkisim" w:cs="Narkisim"/>
        </w:rPr>
        <w:t xml:space="preserve">. </w:t>
      </w:r>
      <w:r w:rsidRPr="00AF1DC8">
        <w:rPr>
          <w:rFonts w:ascii="Narkisim" w:hAnsi="Narkisim" w:cs="Narkisim"/>
          <w:rtl/>
        </w:rPr>
        <w:t>והאו"ש ייסד דכ"ד ה</w:t>
      </w:r>
      <w:r w:rsidRPr="00AF1DC8">
        <w:rPr>
          <w:rFonts w:ascii="Narkisim" w:hAnsi="Narkisim" w:cs="Narkisim"/>
          <w:b/>
          <w:bCs/>
          <w:rtl/>
        </w:rPr>
        <w:t>ירושלמי</w:t>
      </w:r>
      <w:r w:rsidRPr="00AF1DC8">
        <w:rPr>
          <w:rFonts w:ascii="Narkisim" w:hAnsi="Narkisim" w:cs="Narkisim"/>
          <w:rtl/>
        </w:rPr>
        <w:t>. ובזה הוכיח רב יוסף כדברי ר"ל דנעקר למפרע ע"י החליצה, ומש"ה ליכא איסור מחמת הזיקה.</w:t>
      </w:r>
      <w:r w:rsidRPr="00AF1DC8">
        <w:rPr>
          <w:rFonts w:ascii="Narkisim" w:hAnsi="Narkisim" w:cs="Narkisim"/>
          <w:sz w:val="20"/>
          <w:szCs w:val="20"/>
          <w:rtl/>
        </w:rPr>
        <w:t xml:space="preserve"> [וכן אילו פקע ע"י מיתת היבמה, וכדאי' (לעיל יח.), ישאר איסור קרובים]. [אבל ה</w:t>
      </w:r>
      <w:r w:rsidRPr="00AF1DC8">
        <w:rPr>
          <w:rFonts w:ascii="Narkisim" w:hAnsi="Narkisim" w:cs="Narkisim"/>
          <w:b/>
          <w:bCs/>
          <w:sz w:val="20"/>
          <w:szCs w:val="20"/>
          <w:rtl/>
        </w:rPr>
        <w:t>אחרונים</w:t>
      </w:r>
      <w:r w:rsidRPr="00AF1DC8">
        <w:rPr>
          <w:rFonts w:ascii="Narkisim" w:hAnsi="Narkisim" w:cs="Narkisim"/>
          <w:sz w:val="20"/>
          <w:szCs w:val="20"/>
          <w:rtl/>
        </w:rPr>
        <w:t xml:space="preserve"> דנו דאף דנעקר הזיקה מכאן ולהבא, הותר האיסור קרובים, וע' מש”כ (לעיל יח.) בגדר הדבר]</w:t>
      </w:r>
      <w:r w:rsidRPr="00AF1DC8">
        <w:rPr>
          <w:rFonts w:ascii="Narkisim" w:hAnsi="Narkisim" w:cs="Narkisim"/>
        </w:rPr>
        <w:t>.</w:t>
      </w:r>
    </w:p>
    <w:p w14:paraId="26F25712" w14:textId="77777777" w:rsidR="006074A5" w:rsidRPr="00AF1DC8" w:rsidRDefault="006074A5" w:rsidP="006074A5">
      <w:pPr>
        <w:pStyle w:val="a7"/>
        <w:bidi/>
        <w:rPr>
          <w:rFonts w:ascii="Narkisim" w:hAnsi="Narkisim"/>
        </w:rPr>
      </w:pPr>
      <w:r w:rsidRPr="00AF1DC8">
        <w:rPr>
          <w:rFonts w:ascii="Narkisim" w:hAnsi="Narkisim"/>
          <w:rtl/>
        </w:rPr>
        <w:t xml:space="preserve">אבל </w:t>
      </w:r>
      <w:r w:rsidRPr="00AF1DC8">
        <w:rPr>
          <w:rFonts w:ascii="Narkisim" w:hAnsi="Narkisim"/>
          <w:b/>
          <w:bCs/>
          <w:rtl/>
        </w:rPr>
        <w:t>יש שפירשו</w:t>
      </w:r>
      <w:r w:rsidRPr="00AF1DC8">
        <w:rPr>
          <w:rFonts w:ascii="Narkisim" w:hAnsi="Narkisim"/>
          <w:rtl/>
        </w:rPr>
        <w:t xml:space="preserve"> כוונת רב יוסף [כדמשמע מרש"י כאן] דקאי משום איסור אחות חלוצתו, דס"ל לרב יוסף דאמרי' שליחותייהו, ונחשב כל א' מהם חלוצתו</w:t>
      </w:r>
      <w:r w:rsidRPr="00AF1DC8">
        <w:rPr>
          <w:rFonts w:ascii="Narkisim" w:hAnsi="Narkisim"/>
          <w:sz w:val="20"/>
          <w:szCs w:val="20"/>
          <w:rtl/>
        </w:rPr>
        <w:t xml:space="preserve"> [וכמו שנחשב איסור לא יבנה</w:t>
      </w:r>
      <w:r w:rsidRPr="00AF1DC8">
        <w:rPr>
          <w:rFonts w:ascii="Narkisim" w:hAnsi="Narkisim"/>
          <w:rtl/>
        </w:rPr>
        <w:t xml:space="preserve">]. </w:t>
      </w:r>
      <w:r w:rsidRPr="00AF1DC8">
        <w:rPr>
          <w:rFonts w:ascii="Narkisim" w:hAnsi="Narkisim"/>
          <w:rtl/>
        </w:rPr>
        <w:lastRenderedPageBreak/>
        <w:t>[ובזה תי' הגמ' דאיסור קרובות חלוצת תליא ב'מעשה החליצה', וע' מש”כ (לעיל י:) האם הוה שליחות על מעשה החליצה]</w:t>
      </w:r>
      <w:r w:rsidRPr="00AF1DC8">
        <w:rPr>
          <w:rFonts w:ascii="Narkisim" w:hAnsi="Narkisim"/>
        </w:rPr>
        <w:t>.</w:t>
      </w:r>
    </w:p>
    <w:p w14:paraId="3A030E47" w14:textId="77777777" w:rsidR="006074A5" w:rsidRPr="00AF1DC8" w:rsidRDefault="006074A5" w:rsidP="006074A5">
      <w:pPr>
        <w:bidi/>
        <w:rPr>
          <w:rFonts w:ascii="Narkisim" w:hAnsi="Narkisim" w:cs="Narkisim"/>
        </w:rPr>
      </w:pPr>
      <w:r w:rsidRPr="00AF1DC8">
        <w:rPr>
          <w:rFonts w:ascii="Narkisim" w:hAnsi="Narkisim" w:cs="Narkisim"/>
          <w:u w:val="single"/>
          <w:rtl/>
        </w:rPr>
        <w:t>ותיסברא, אחות חלוצה מדאורייתא וכו'.</w:t>
      </w:r>
      <w:r w:rsidRPr="00AF1DC8">
        <w:rPr>
          <w:rFonts w:ascii="Narkisim" w:hAnsi="Narkisim" w:cs="Narkisim"/>
          <w:rtl/>
        </w:rPr>
        <w:t xml:space="preserve"> לכאורה עיקר התי' דאיסור אחות חלוצה הוה מחמת מעשה החליצה. ולא משום עצם הזיקה</w:t>
      </w:r>
      <w:r w:rsidRPr="00AF1DC8">
        <w:rPr>
          <w:rFonts w:ascii="Narkisim" w:hAnsi="Narkisim" w:cs="Narkisim"/>
        </w:rPr>
        <w:t>.</w:t>
      </w:r>
    </w:p>
    <w:p w14:paraId="2247913D" w14:textId="77777777" w:rsidR="006074A5" w:rsidRPr="00AF1DC8" w:rsidRDefault="006074A5" w:rsidP="006074A5">
      <w:pPr>
        <w:pStyle w:val="a7"/>
        <w:bidi/>
        <w:rPr>
          <w:rFonts w:ascii="Narkisim" w:hAnsi="Narkisim"/>
        </w:rPr>
      </w:pPr>
      <w:r w:rsidRPr="00AF1DC8">
        <w:rPr>
          <w:rFonts w:ascii="Narkisim" w:hAnsi="Narkisim"/>
          <w:rtl/>
        </w:rPr>
        <w:t>ומשמע דאילו אחות חלוצה אסורה מדאורייתא, א"כ שייך סברא (הנ"ל) דיש איסור אף על קרובות הצרה</w:t>
      </w:r>
      <w:r w:rsidRPr="00AF1DC8">
        <w:rPr>
          <w:rStyle w:val="ac"/>
          <w:rFonts w:ascii="Narkisim" w:hAnsi="Narkisim"/>
          <w:rtl/>
        </w:rPr>
        <w:footnoteReference w:id="2404"/>
      </w:r>
      <w:r w:rsidRPr="00AF1DC8">
        <w:rPr>
          <w:rFonts w:ascii="Narkisim" w:hAnsi="Narkisim"/>
        </w:rPr>
        <w:t>.</w:t>
      </w:r>
    </w:p>
    <w:p w14:paraId="2E9B83AA" w14:textId="77777777" w:rsidR="006074A5" w:rsidRPr="00AF1DC8" w:rsidRDefault="006074A5" w:rsidP="006074A5">
      <w:pPr>
        <w:pStyle w:val="a7"/>
        <w:bidi/>
        <w:rPr>
          <w:rFonts w:ascii="Narkisim" w:hAnsi="Narkisim"/>
        </w:rPr>
      </w:pPr>
      <w:r w:rsidRPr="00AF1DC8">
        <w:rPr>
          <w:rFonts w:ascii="Narkisim" w:hAnsi="Narkisim"/>
          <w:rtl/>
        </w:rPr>
        <w:t>וכ"ד ר' עקיבא (לקמן מד.) דאחות חלוצה דאורייתא</w:t>
      </w:r>
      <w:r w:rsidRPr="00AF1DC8">
        <w:rPr>
          <w:rFonts w:ascii="Narkisim" w:hAnsi="Narkisim"/>
          <w:sz w:val="20"/>
          <w:szCs w:val="20"/>
          <w:rtl/>
        </w:rPr>
        <w:t xml:space="preserve"> [דהכתוב קראו ביתו]</w:t>
      </w:r>
      <w:r w:rsidRPr="00AF1DC8">
        <w:rPr>
          <w:rFonts w:ascii="Narkisim" w:hAnsi="Narkisim"/>
          <w:rtl/>
        </w:rPr>
        <w:t>, וה</w:t>
      </w:r>
      <w:r w:rsidRPr="00AF1DC8">
        <w:rPr>
          <w:rFonts w:ascii="Narkisim" w:hAnsi="Narkisim"/>
          <w:b/>
          <w:bCs/>
          <w:rtl/>
        </w:rPr>
        <w:t>אחרונים</w:t>
      </w:r>
      <w:r w:rsidRPr="00AF1DC8">
        <w:rPr>
          <w:rFonts w:ascii="Narkisim" w:hAnsi="Narkisim"/>
          <w:rtl/>
        </w:rPr>
        <w:t xml:space="preserve"> (ערול"נ שם) כת' דע"פ סוגיין לר' עקיבא יאסר אף אחות הצרה. וכן האחים יאסרו בקרובותיהן</w:t>
      </w:r>
      <w:r w:rsidRPr="00AF1DC8">
        <w:rPr>
          <w:rStyle w:val="ac"/>
          <w:rFonts w:ascii="Narkisim" w:hAnsi="Narkisim"/>
          <w:rtl/>
        </w:rPr>
        <w:footnoteReference w:id="2405"/>
      </w:r>
      <w:r w:rsidRPr="00AF1DC8">
        <w:rPr>
          <w:rFonts w:ascii="Narkisim" w:hAnsi="Narkisim"/>
        </w:rPr>
        <w:t xml:space="preserve">. </w:t>
      </w:r>
      <w:r w:rsidRPr="00AF1DC8">
        <w:rPr>
          <w:rFonts w:ascii="Narkisim" w:hAnsi="Narkisim"/>
          <w:sz w:val="20"/>
          <w:szCs w:val="20"/>
          <w:rtl/>
        </w:rPr>
        <w:t>[ותליא במש"כ בכוונת רב יוסף]</w:t>
      </w:r>
      <w:r w:rsidRPr="00AF1DC8">
        <w:rPr>
          <w:rFonts w:ascii="Narkisim" w:hAnsi="Narkisim"/>
          <w:sz w:val="20"/>
          <w:szCs w:val="20"/>
        </w:rPr>
        <w:t>.</w:t>
      </w:r>
    </w:p>
    <w:p w14:paraId="1F16D492" w14:textId="77777777" w:rsidR="006074A5" w:rsidRPr="00AF1DC8" w:rsidRDefault="006074A5" w:rsidP="006074A5">
      <w:pPr>
        <w:pStyle w:val="3"/>
        <w:bidi/>
        <w:rPr>
          <w:rFonts w:ascii="Narkisim" w:hAnsi="Narkisim"/>
        </w:rPr>
      </w:pPr>
      <w:r w:rsidRPr="00AF1DC8">
        <w:rPr>
          <w:rFonts w:ascii="Narkisim" w:hAnsi="Narkisim"/>
          <w:rtl/>
        </w:rPr>
        <w:t>דף מא</w:t>
      </w:r>
      <w:r w:rsidRPr="00AF1DC8">
        <w:rPr>
          <w:rFonts w:ascii="Narkisim" w:hAnsi="Narkisim"/>
        </w:rPr>
        <w:t>.</w:t>
      </w:r>
    </w:p>
    <w:p w14:paraId="49E5A747" w14:textId="77777777" w:rsidR="006074A5" w:rsidRPr="00AF1DC8" w:rsidRDefault="006074A5" w:rsidP="006074A5">
      <w:pPr>
        <w:pStyle w:val="aa"/>
        <w:bidi/>
        <w:rPr>
          <w:rFonts w:ascii="Narkisim" w:hAnsi="Narkisim"/>
        </w:rPr>
      </w:pPr>
      <w:r w:rsidRPr="00AF1DC8">
        <w:rPr>
          <w:rFonts w:ascii="Narkisim" w:hAnsi="Narkisim"/>
          <w:u w:val="single"/>
          <w:rtl/>
        </w:rPr>
        <w:t>רש"י ד"ה הך.</w:t>
      </w:r>
      <w:r w:rsidRPr="00AF1DC8">
        <w:rPr>
          <w:rFonts w:ascii="Narkisim" w:hAnsi="Narkisim"/>
          <w:rtl/>
        </w:rPr>
        <w:t xml:space="preserve"> דאיכא דסברי דלרחל חלץ וכו' דאינהו סברי שרחל וצרתה נשי אחיו הוו</w:t>
      </w:r>
      <w:r w:rsidRPr="00AF1DC8">
        <w:rPr>
          <w:rStyle w:val="ac"/>
          <w:rFonts w:ascii="Narkisim" w:hAnsi="Narkisim"/>
          <w:rtl/>
        </w:rPr>
        <w:footnoteReference w:id="2406"/>
      </w:r>
      <w:r w:rsidRPr="00AF1DC8">
        <w:rPr>
          <w:rFonts w:ascii="Narkisim" w:hAnsi="Narkisim"/>
        </w:rPr>
        <w:t xml:space="preserve">. </w:t>
      </w:r>
      <w:r w:rsidRPr="00AF1DC8">
        <w:rPr>
          <w:rFonts w:ascii="Narkisim" w:hAnsi="Narkisim"/>
          <w:rtl/>
        </w:rPr>
        <w:t>וה</w:t>
      </w:r>
      <w:r w:rsidRPr="00AF1DC8">
        <w:rPr>
          <w:rFonts w:ascii="Narkisim" w:hAnsi="Narkisim"/>
          <w:b/>
          <w:bCs/>
          <w:rtl/>
        </w:rPr>
        <w:t>יש"ש</w:t>
      </w:r>
      <w:r w:rsidRPr="00AF1DC8">
        <w:rPr>
          <w:rFonts w:ascii="Narkisim" w:hAnsi="Narkisim"/>
          <w:rtl/>
        </w:rPr>
        <w:t xml:space="preserve"> ביאר דלא חששו שיתחלפו גברי אהדדי, ורק נשים אין דרכם ללכת לבי"ד, וצנועות, ואינו ניכר מי היא</w:t>
      </w:r>
      <w:r w:rsidRPr="00AF1DC8">
        <w:rPr>
          <w:rFonts w:ascii="Narkisim" w:hAnsi="Narkisim"/>
        </w:rPr>
        <w:t>.</w:t>
      </w:r>
    </w:p>
    <w:p w14:paraId="0A4F1827"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תו"י</w:t>
      </w:r>
      <w:r w:rsidRPr="00AF1DC8">
        <w:rPr>
          <w:rFonts w:ascii="Narkisim" w:hAnsi="Narkisim"/>
          <w:rtl/>
        </w:rPr>
        <w:t xml:space="preserve"> הק' דאחותה שנולדה לאחר חליצה ל"ש הך גזירה, ותהא מותרת. וה</w:t>
      </w:r>
      <w:r w:rsidRPr="00AF1DC8">
        <w:rPr>
          <w:rFonts w:ascii="Narkisim" w:hAnsi="Narkisim"/>
          <w:b/>
          <w:bCs/>
          <w:rtl/>
        </w:rPr>
        <w:t>מאירי</w:t>
      </w:r>
      <w:r w:rsidRPr="00AF1DC8">
        <w:rPr>
          <w:rFonts w:ascii="Narkisim" w:hAnsi="Narkisim"/>
          <w:rtl/>
        </w:rPr>
        <w:t xml:space="preserve"> נקט דאף כשנשאת האחות אחר החליצה. דהך גזירה שייך דוקא במי שהיתה צרת הקרובה בשעת חליצה</w:t>
      </w:r>
      <w:r w:rsidRPr="00AF1DC8">
        <w:rPr>
          <w:rStyle w:val="ac"/>
          <w:rFonts w:ascii="Narkisim" w:hAnsi="Narkisim"/>
          <w:rtl/>
        </w:rPr>
        <w:footnoteReference w:id="2407"/>
      </w:r>
      <w:r w:rsidRPr="00AF1DC8">
        <w:rPr>
          <w:rFonts w:ascii="Narkisim" w:hAnsi="Narkisim"/>
        </w:rPr>
        <w:t>.</w:t>
      </w:r>
    </w:p>
    <w:p w14:paraId="175E3CFA" w14:textId="77777777" w:rsidR="006074A5" w:rsidRPr="00AF1DC8" w:rsidRDefault="006074A5" w:rsidP="006074A5">
      <w:pPr>
        <w:pStyle w:val="aa"/>
        <w:bidi/>
        <w:rPr>
          <w:rFonts w:ascii="Narkisim" w:hAnsi="Narkisim"/>
        </w:rPr>
      </w:pPr>
      <w:r w:rsidRPr="00AF1DC8">
        <w:rPr>
          <w:rFonts w:ascii="Narkisim" w:hAnsi="Narkisim"/>
          <w:u w:val="single"/>
          <w:rtl/>
        </w:rPr>
        <w:t>תוד”ה הך</w:t>
      </w:r>
      <w:r w:rsidRPr="00AF1DC8">
        <w:rPr>
          <w:rFonts w:ascii="Narkisim" w:hAnsi="Narkisim"/>
          <w:rtl/>
        </w:rPr>
        <w:t>. פ”ה וכו' אפי' שתיהן נשואות לנכרי</w:t>
      </w:r>
      <w:r w:rsidRPr="00AF1DC8">
        <w:rPr>
          <w:rStyle w:val="ac"/>
          <w:rFonts w:ascii="Narkisim" w:hAnsi="Narkisim"/>
          <w:rtl/>
        </w:rPr>
        <w:footnoteReference w:id="2408"/>
      </w:r>
      <w:r w:rsidRPr="00AF1DC8">
        <w:rPr>
          <w:rFonts w:ascii="Narkisim" w:hAnsi="Narkisim"/>
        </w:rPr>
        <w:t xml:space="preserve"> </w:t>
      </w:r>
      <w:r w:rsidRPr="00AF1DC8">
        <w:rPr>
          <w:rFonts w:ascii="Narkisim" w:hAnsi="Narkisim"/>
          <w:rtl/>
        </w:rPr>
        <w:t xml:space="preserve">וכו'. וכמ"ש </w:t>
      </w:r>
      <w:r w:rsidRPr="00AF1DC8">
        <w:rPr>
          <w:rFonts w:ascii="Narkisim" w:hAnsi="Narkisim"/>
          <w:b/>
          <w:bCs/>
          <w:rtl/>
        </w:rPr>
        <w:t xml:space="preserve">רש"י </w:t>
      </w:r>
      <w:r w:rsidRPr="00AF1DC8">
        <w:rPr>
          <w:rFonts w:ascii="Narkisim" w:hAnsi="Narkisim"/>
          <w:rtl/>
        </w:rPr>
        <w:t>(מ: ד"ה מאי, ולעיל כז.). ותוס' (בקו' הג') ושא"ר הק' דאין צרה אלא דוקא במקום מצווה [כדלעיל ג: וח.]</w:t>
      </w:r>
      <w:r w:rsidRPr="00AF1DC8">
        <w:rPr>
          <w:rStyle w:val="ac"/>
          <w:rFonts w:ascii="Narkisim" w:hAnsi="Narkisim"/>
          <w:rtl/>
        </w:rPr>
        <w:footnoteReference w:id="2409"/>
      </w:r>
      <w:r w:rsidRPr="00AF1DC8">
        <w:rPr>
          <w:rFonts w:ascii="Narkisim" w:hAnsi="Narkisim"/>
        </w:rPr>
        <w:t>.</w:t>
      </w:r>
    </w:p>
    <w:p w14:paraId="15560E20" w14:textId="77777777" w:rsidR="006074A5" w:rsidRPr="00AF1DC8" w:rsidRDefault="006074A5" w:rsidP="006074A5">
      <w:pPr>
        <w:pStyle w:val="a8"/>
        <w:bidi/>
        <w:rPr>
          <w:rFonts w:ascii="Narkisim" w:hAnsi="Narkisim"/>
        </w:rPr>
      </w:pPr>
      <w:r w:rsidRPr="00AF1DC8">
        <w:rPr>
          <w:rFonts w:ascii="Narkisim" w:hAnsi="Narkisim"/>
          <w:rtl/>
        </w:rPr>
        <w:t>ותוס' כת' ליישב קצת פ”ה</w:t>
      </w:r>
      <w:r w:rsidRPr="00AF1DC8">
        <w:rPr>
          <w:rStyle w:val="ac"/>
          <w:rFonts w:ascii="Narkisim" w:hAnsi="Narkisim"/>
          <w:rtl/>
        </w:rPr>
        <w:footnoteReference w:id="2410"/>
      </w:r>
      <w:r w:rsidRPr="00AF1DC8">
        <w:rPr>
          <w:rFonts w:ascii="Narkisim" w:hAnsi="Narkisim"/>
        </w:rPr>
        <w:t xml:space="preserve"> </w:t>
      </w:r>
      <w:r w:rsidRPr="00AF1DC8">
        <w:rPr>
          <w:rFonts w:ascii="Narkisim" w:hAnsi="Narkisim"/>
          <w:rtl/>
        </w:rPr>
        <w:t>דאיירי בנשואה לאחיו [לאח שלישי</w:t>
      </w:r>
      <w:r w:rsidRPr="00AF1DC8">
        <w:rPr>
          <w:rStyle w:val="ac"/>
          <w:rFonts w:ascii="Narkisim" w:hAnsi="Narkisim"/>
          <w:rtl/>
        </w:rPr>
        <w:footnoteReference w:id="2411"/>
      </w:r>
      <w:r w:rsidRPr="00AF1DC8">
        <w:rPr>
          <w:rFonts w:ascii="Narkisim" w:hAnsi="Narkisim"/>
          <w:rtl/>
        </w:rPr>
        <w:t>]. וכ"כ ה</w:t>
      </w:r>
      <w:r w:rsidRPr="00AF1DC8">
        <w:rPr>
          <w:rFonts w:ascii="Narkisim" w:hAnsi="Narkisim"/>
          <w:b/>
          <w:bCs/>
          <w:rtl/>
        </w:rPr>
        <w:t>רי"ף</w:t>
      </w:r>
      <w:r w:rsidRPr="00AF1DC8">
        <w:rPr>
          <w:rFonts w:ascii="Narkisim" w:hAnsi="Narkisim"/>
          <w:rtl/>
        </w:rPr>
        <w:t xml:space="preserve"> וה</w:t>
      </w:r>
      <w:r w:rsidRPr="00AF1DC8">
        <w:rPr>
          <w:rFonts w:ascii="Narkisim" w:hAnsi="Narkisim"/>
          <w:b/>
          <w:bCs/>
          <w:rtl/>
        </w:rPr>
        <w:t>רמב"ם</w:t>
      </w:r>
      <w:r w:rsidRPr="00AF1DC8">
        <w:rPr>
          <w:rFonts w:ascii="Narkisim" w:hAnsi="Narkisim"/>
          <w:rtl/>
        </w:rPr>
        <w:t xml:space="preserve"> (ו כ) דאם אחות חלוצתו נשאת לאחיו ומת, צרתה אסורה, מפני שמתחלפת בצרת חלוצתו. משום דנראה דאזלה לבי”ד יטעו ביניהם, ולכן גזרו על צרתה מאחיו</w:t>
      </w:r>
      <w:r w:rsidRPr="00AF1DC8">
        <w:rPr>
          <w:rFonts w:ascii="Narkisim" w:hAnsi="Narkisim"/>
        </w:rPr>
        <w:t>.</w:t>
      </w:r>
    </w:p>
    <w:p w14:paraId="2168AA28" w14:textId="77777777" w:rsidR="006074A5" w:rsidRPr="00AF1DC8" w:rsidRDefault="006074A5" w:rsidP="006074A5">
      <w:pPr>
        <w:pStyle w:val="a8"/>
        <w:bidi/>
        <w:rPr>
          <w:rFonts w:ascii="Narkisim" w:hAnsi="Narkisim"/>
        </w:rPr>
      </w:pPr>
      <w:r w:rsidRPr="00AF1DC8">
        <w:rPr>
          <w:rFonts w:ascii="Narkisim" w:hAnsi="Narkisim"/>
          <w:rtl/>
        </w:rPr>
        <w:t>וב</w:t>
      </w:r>
      <w:r w:rsidRPr="00AF1DC8">
        <w:rPr>
          <w:rFonts w:ascii="Narkisim" w:hAnsi="Narkisim"/>
          <w:b/>
          <w:bCs/>
          <w:rtl/>
        </w:rPr>
        <w:t>חי' ר' שמואל</w:t>
      </w:r>
      <w:r w:rsidRPr="00AF1DC8">
        <w:rPr>
          <w:rFonts w:ascii="Narkisim" w:hAnsi="Narkisim"/>
          <w:rtl/>
        </w:rPr>
        <w:t xml:space="preserve"> (יג ב) דייק דהוה איסור חדש, אבל משום איסור אחות חלוצתו [דהוה כעין אחות אשתו] אינה פוטרת צרתה. וכמ"ש ה</w:t>
      </w:r>
      <w:r w:rsidRPr="00AF1DC8">
        <w:rPr>
          <w:rFonts w:ascii="Narkisim" w:hAnsi="Narkisim"/>
          <w:b/>
          <w:bCs/>
          <w:rtl/>
        </w:rPr>
        <w:t>רמב"ם</w:t>
      </w:r>
      <w:r w:rsidRPr="00AF1DC8">
        <w:rPr>
          <w:rFonts w:ascii="Narkisim" w:hAnsi="Narkisim"/>
          <w:rtl/>
        </w:rPr>
        <w:t xml:space="preserve"> (ו יג) דאחות חלוצתו הוה כשניות בעלמא</w:t>
      </w:r>
      <w:r w:rsidRPr="00AF1DC8">
        <w:rPr>
          <w:rFonts w:ascii="Narkisim" w:hAnsi="Narkisim"/>
        </w:rPr>
        <w:t>.</w:t>
      </w:r>
    </w:p>
    <w:p w14:paraId="475493C7" w14:textId="77777777" w:rsidR="006074A5" w:rsidRPr="00AF1DC8" w:rsidRDefault="006074A5" w:rsidP="006074A5">
      <w:pPr>
        <w:pStyle w:val="a8"/>
        <w:bidi/>
        <w:rPr>
          <w:rFonts w:ascii="Narkisim" w:hAnsi="Narkisim"/>
        </w:rPr>
      </w:pPr>
      <w:r w:rsidRPr="00AF1DC8">
        <w:rPr>
          <w:rFonts w:ascii="Narkisim" w:hAnsi="Narkisim"/>
          <w:rtl/>
        </w:rPr>
        <w:t>ואילו בתוס' משמע דכוונת הגמ' דפוטרת משום דדמי לערוה ופוטרת צרתה</w:t>
      </w:r>
      <w:r w:rsidRPr="00AF1DC8">
        <w:rPr>
          <w:rFonts w:ascii="Narkisim" w:hAnsi="Narkisim"/>
        </w:rPr>
        <w:t>.</w:t>
      </w:r>
    </w:p>
    <w:p w14:paraId="12B60B91" w14:textId="77777777" w:rsidR="006074A5" w:rsidRPr="00AF1DC8" w:rsidRDefault="006074A5" w:rsidP="006074A5">
      <w:pPr>
        <w:pStyle w:val="aa"/>
        <w:bidi/>
        <w:rPr>
          <w:rFonts w:ascii="Narkisim" w:hAnsi="Narkisim"/>
        </w:rPr>
      </w:pPr>
      <w:r w:rsidRPr="00AF1DC8">
        <w:rPr>
          <w:rFonts w:ascii="Narkisim" w:hAnsi="Narkisim"/>
          <w:u w:val="single"/>
          <w:rtl/>
        </w:rPr>
        <w:t>בא"ד ותימה גדולה פי' וכו' הא מתה שריא וכו' ואמאי והא סברא שלאחותה חלץ וכו'</w:t>
      </w:r>
      <w:r w:rsidRPr="00AF1DC8">
        <w:rPr>
          <w:rFonts w:ascii="Narkisim" w:hAnsi="Narkisim"/>
          <w:rtl/>
        </w:rPr>
        <w:t>. [והיא קיימת לפנינו]. וה</w:t>
      </w:r>
      <w:r w:rsidRPr="00AF1DC8">
        <w:rPr>
          <w:rFonts w:ascii="Narkisim" w:hAnsi="Narkisim"/>
          <w:b/>
          <w:bCs/>
          <w:rtl/>
        </w:rPr>
        <w:t>רשב"א</w:t>
      </w:r>
      <w:r w:rsidRPr="00AF1DC8">
        <w:rPr>
          <w:rFonts w:ascii="Narkisim" w:hAnsi="Narkisim"/>
          <w:rtl/>
        </w:rPr>
        <w:t xml:space="preserve"> ביאר דא"א לאסור יותר, דכעין דאורייתא תקין</w:t>
      </w:r>
      <w:r w:rsidRPr="00AF1DC8">
        <w:rPr>
          <w:rStyle w:val="ac"/>
          <w:rFonts w:ascii="Narkisim" w:hAnsi="Narkisim"/>
          <w:rtl/>
        </w:rPr>
        <w:footnoteReference w:id="2412"/>
      </w:r>
      <w:r w:rsidRPr="00AF1DC8">
        <w:rPr>
          <w:rFonts w:ascii="Narkisim" w:hAnsi="Narkisim"/>
        </w:rPr>
        <w:t xml:space="preserve">. </w:t>
      </w:r>
      <w:r w:rsidRPr="00AF1DC8">
        <w:rPr>
          <w:rFonts w:ascii="Narkisim" w:hAnsi="Narkisim"/>
          <w:rtl/>
        </w:rPr>
        <w:t>וה</w:t>
      </w:r>
      <w:r w:rsidRPr="00AF1DC8">
        <w:rPr>
          <w:rFonts w:ascii="Narkisim" w:hAnsi="Narkisim"/>
          <w:b/>
          <w:bCs/>
          <w:rtl/>
        </w:rPr>
        <w:t>יש"ש</w:t>
      </w:r>
      <w:r w:rsidRPr="00AF1DC8">
        <w:rPr>
          <w:rFonts w:ascii="Narkisim" w:hAnsi="Narkisim"/>
          <w:rtl/>
        </w:rPr>
        <w:t xml:space="preserve"> תי' דידוע לכל איסור חלוצה, ואם נשאת לו ידעו שהיא לא החלוצה. משא"כ בקרובתה חיישינן דטעו</w:t>
      </w:r>
      <w:r w:rsidRPr="00AF1DC8">
        <w:rPr>
          <w:rFonts w:ascii="Narkisim" w:hAnsi="Narkisim"/>
        </w:rPr>
        <w:t>.</w:t>
      </w:r>
    </w:p>
    <w:p w14:paraId="6CE67E15" w14:textId="77777777" w:rsidR="006074A5" w:rsidRPr="00AF1DC8" w:rsidRDefault="006074A5" w:rsidP="006074A5">
      <w:pPr>
        <w:pStyle w:val="2"/>
        <w:bidi/>
        <w:rPr>
          <w:rFonts w:ascii="Narkisim" w:hAnsi="Narkisim"/>
        </w:rPr>
      </w:pPr>
      <w:r w:rsidRPr="00AF1DC8">
        <w:rPr>
          <w:rFonts w:ascii="Narkisim" w:hAnsi="Narkisim"/>
          <w:rtl/>
        </w:rPr>
        <w:t>המתן עד שיעשה אחיך מעשה</w:t>
      </w:r>
    </w:p>
    <w:p w14:paraId="617FE59C" w14:textId="77777777" w:rsidR="006074A5" w:rsidRPr="00AF1DC8" w:rsidRDefault="006074A5" w:rsidP="006074A5">
      <w:pPr>
        <w:bidi/>
        <w:rPr>
          <w:rFonts w:ascii="Narkisim" w:hAnsi="Narkisim" w:cs="Narkisim"/>
        </w:rPr>
      </w:pPr>
      <w:r w:rsidRPr="00AF1DC8">
        <w:rPr>
          <w:rFonts w:ascii="Narkisim" w:hAnsi="Narkisim" w:cs="Narkisim"/>
          <w:u w:val="single"/>
          <w:rtl/>
        </w:rPr>
        <w:t>משום ר' יהודה ב"ב וכו' המתן עד שיעשה אחיך מעשה.</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לאחר שהוזקקה לכולן. ואינו רשאי לכונסה, דקא פגע באחות זקוקתו. ובגמ' (לעיל יח:) הו' מכאן דדעת ר' יהודה ב"ב דיש זיקה. ו</w:t>
      </w:r>
      <w:r w:rsidRPr="00AF1DC8">
        <w:rPr>
          <w:rFonts w:ascii="Narkisim" w:hAnsi="Narkisim" w:cs="Narkisim"/>
          <w:b/>
          <w:bCs/>
          <w:rtl/>
        </w:rPr>
        <w:t>תוס</w:t>
      </w:r>
      <w:r w:rsidRPr="00AF1DC8">
        <w:rPr>
          <w:rFonts w:ascii="Narkisim" w:hAnsi="Narkisim" w:cs="Narkisim"/>
          <w:rtl/>
        </w:rPr>
        <w:t>' (יז: ויח:) הביאו דמבואר עוד דקידושין לא מפקיעי זיקה. [ע' בסמוך]</w:t>
      </w:r>
      <w:r w:rsidRPr="00AF1DC8">
        <w:rPr>
          <w:rFonts w:ascii="Narkisim" w:hAnsi="Narkisim" w:cs="Narkisim"/>
        </w:rPr>
        <w:t>.</w:t>
      </w:r>
    </w:p>
    <w:p w14:paraId="029886CA"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ביאר דאין לומר דהוה משום איסור לבטל מצוות יבמין, וכמ"ד אין זיקה. דכיון דקידש פקע זיקה. </w:t>
      </w:r>
      <w:r w:rsidRPr="00AF1DC8">
        <w:rPr>
          <w:rFonts w:ascii="Narkisim" w:hAnsi="Narkisim"/>
          <w:sz w:val="20"/>
          <w:szCs w:val="20"/>
          <w:rtl/>
        </w:rPr>
        <w:t>[וכן מבואר בתוס' (יח: ד"ה אומרים וכן יז: ד"ה ולימא), וכ”כ הרשב”א]</w:t>
      </w:r>
      <w:r w:rsidRPr="00AF1DC8">
        <w:rPr>
          <w:rFonts w:ascii="Narkisim" w:hAnsi="Narkisim"/>
          <w:sz w:val="20"/>
          <w:szCs w:val="20"/>
        </w:rPr>
        <w:t>.</w:t>
      </w:r>
    </w:p>
    <w:p w14:paraId="3077A330"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מבואר דפשיטא לגמ' (לעיל יח:) דרבנן פליגי אר' יהודה ב"ב, וס"ל דכיון דקידש מותר </w:t>
      </w:r>
      <w:r w:rsidRPr="00AF1DC8">
        <w:rPr>
          <w:rFonts w:ascii="Narkisim" w:hAnsi="Narkisim" w:cs="Narkisim"/>
          <w:rtl/>
        </w:rPr>
        <w:lastRenderedPageBreak/>
        <w:t>לישא</w:t>
      </w:r>
      <w:r w:rsidRPr="00AF1DC8">
        <w:rPr>
          <w:rStyle w:val="ac"/>
          <w:rFonts w:ascii="Narkisim" w:hAnsi="Narkisim" w:cs="Narkisim"/>
          <w:rtl/>
        </w:rPr>
        <w:footnoteReference w:id="2413"/>
      </w:r>
      <w:r w:rsidRPr="00AF1DC8">
        <w:rPr>
          <w:rFonts w:ascii="Narkisim" w:hAnsi="Narkisim" w:cs="Narkisim"/>
        </w:rPr>
        <w:t xml:space="preserve">. </w:t>
      </w: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(לעיל יז:) העמידו דנח' האמוראים האם רבנן ס"ל דאין זיקה</w:t>
      </w:r>
      <w:r w:rsidRPr="00AF1DC8">
        <w:rPr>
          <w:rStyle w:val="ac"/>
          <w:rFonts w:ascii="Narkisim" w:hAnsi="Narkisim" w:cs="Narkisim"/>
          <w:rtl/>
        </w:rPr>
        <w:footnoteReference w:id="2414"/>
      </w:r>
      <w:r w:rsidRPr="00AF1DC8">
        <w:rPr>
          <w:rFonts w:ascii="Narkisim" w:hAnsi="Narkisim" w:cs="Narkisim"/>
        </w:rPr>
        <w:t xml:space="preserve"> </w:t>
      </w:r>
      <w:r w:rsidRPr="00AF1DC8">
        <w:rPr>
          <w:rFonts w:ascii="Narkisim" w:hAnsi="Narkisim" w:cs="Narkisim"/>
          <w:rtl/>
        </w:rPr>
        <w:t>[וכ"כ רש"י יז:], או דרבנן ס"ל דיש זיקה</w:t>
      </w:r>
      <w:r w:rsidRPr="00AF1DC8">
        <w:rPr>
          <w:rStyle w:val="ac"/>
          <w:rFonts w:ascii="Narkisim" w:hAnsi="Narkisim" w:cs="Narkisim"/>
          <w:rtl/>
        </w:rPr>
        <w:footnoteReference w:id="2415"/>
      </w:r>
      <w:r w:rsidRPr="00AF1DC8">
        <w:rPr>
          <w:rFonts w:ascii="Narkisim" w:hAnsi="Narkisim" w:cs="Narkisim"/>
        </w:rPr>
        <w:t xml:space="preserve">, </w:t>
      </w:r>
      <w:r w:rsidRPr="00AF1DC8">
        <w:rPr>
          <w:rFonts w:ascii="Narkisim" w:hAnsi="Narkisim" w:cs="Narkisim"/>
          <w:rtl/>
        </w:rPr>
        <w:t>אלא דקידושין מפקעי לזיקה</w:t>
      </w:r>
      <w:r w:rsidRPr="00AF1DC8">
        <w:rPr>
          <w:rStyle w:val="ac"/>
          <w:rFonts w:ascii="Narkisim" w:hAnsi="Narkisim" w:cs="Narkisim"/>
          <w:rtl/>
        </w:rPr>
        <w:footnoteReference w:id="2416"/>
      </w:r>
      <w:r w:rsidRPr="00AF1DC8">
        <w:rPr>
          <w:rFonts w:ascii="Narkisim" w:hAnsi="Narkisim" w:cs="Narkisim"/>
        </w:rPr>
        <w:t>.</w:t>
      </w:r>
    </w:p>
    <w:p w14:paraId="78BC3DEE"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רשב"א</w:t>
      </w:r>
      <w:r w:rsidRPr="00AF1DC8">
        <w:rPr>
          <w:rFonts w:ascii="Narkisim" w:hAnsi="Narkisim" w:cs="Narkisim"/>
          <w:rtl/>
        </w:rPr>
        <w:t xml:space="preserve"> הק' מ"ט דר' יהודה ב"ב, דכיון דקידשה הוה אחות אשתו מדאורייתא, והוה ערוה עליו. ואמאי לא פקע זיקה כיון דנעשית ערוה אח”כ</w:t>
      </w:r>
      <w:r w:rsidRPr="00AF1DC8">
        <w:rPr>
          <w:rFonts w:ascii="Narkisim" w:hAnsi="Narkisim" w:cs="Narkisim"/>
        </w:rPr>
        <w:t>.</w:t>
      </w:r>
    </w:p>
    <w:p w14:paraId="68A0CDF7"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הביא דכן מבואר (לעיל כט:) בקו' הגמ' לבי"ש זה יעשה מאמר ויקנה, דע"י שנעשית אחות אשתו פקע הזיקה. וכה"ק </w:t>
      </w:r>
      <w:r w:rsidRPr="00AF1DC8">
        <w:rPr>
          <w:rFonts w:ascii="Narkisim" w:hAnsi="Narkisim"/>
          <w:b/>
          <w:bCs/>
          <w:rtl/>
        </w:rPr>
        <w:t>תוס</w:t>
      </w:r>
      <w:r w:rsidRPr="00AF1DC8">
        <w:rPr>
          <w:rFonts w:ascii="Narkisim" w:hAnsi="Narkisim"/>
          <w:rtl/>
        </w:rPr>
        <w:t>' (יח: ד"ה אומרים). ותוס' דחו דהגמ' דהתם (כט: קו' ר' אבין) קאי למ"ד אין זיקה. ולמ"ד אין זיקה ודאי מותרת ע"י קידושין לחוד [וכדמבואר לר"ג (לקמן קט., הו' לעיל יח.) דממתין שתגדל, ותצא הלה משום אחות אשה]</w:t>
      </w:r>
      <w:r w:rsidRPr="00AF1DC8">
        <w:rPr>
          <w:rFonts w:ascii="Narkisim" w:hAnsi="Narkisim"/>
        </w:rPr>
        <w:t>.</w:t>
      </w:r>
    </w:p>
    <w:p w14:paraId="7C0A7C54"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תי' דמאמר לא הוה כקידושין בעלמא, אלא כקנין גמור כביאה ביבמה. [והוה כנישואין, ונישואין מפקיעי זיקה]. עי"ש שביאר המשך הגמ' שם</w:t>
      </w:r>
      <w:r w:rsidRPr="00AF1DC8">
        <w:rPr>
          <w:rFonts w:ascii="Narkisim" w:hAnsi="Narkisim"/>
        </w:rPr>
        <w:t>.</w:t>
      </w:r>
    </w:p>
    <w:p w14:paraId="3950AF88"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 דמדאורי' ודאי דקידושין מפקיעי לזיקה</w:t>
      </w:r>
      <w:r w:rsidRPr="00AF1DC8">
        <w:rPr>
          <w:rStyle w:val="ac"/>
          <w:rFonts w:ascii="Narkisim" w:hAnsi="Narkisim"/>
          <w:rtl/>
        </w:rPr>
        <w:footnoteReference w:id="2417"/>
      </w:r>
      <w:r w:rsidRPr="00AF1DC8">
        <w:rPr>
          <w:rFonts w:ascii="Narkisim" w:hAnsi="Narkisim"/>
        </w:rPr>
        <w:t xml:space="preserve">. </w:t>
      </w:r>
      <w:r w:rsidRPr="00AF1DC8">
        <w:rPr>
          <w:rFonts w:ascii="Narkisim" w:hAnsi="Narkisim"/>
          <w:rtl/>
        </w:rPr>
        <w:t>וכל הנידון דלא מפקעי מדרבנן. וכן מבואר ב</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(לעיל יח:)</w:t>
      </w:r>
      <w:r w:rsidRPr="00AF1DC8">
        <w:rPr>
          <w:rFonts w:ascii="Narkisim" w:hAnsi="Narkisim"/>
        </w:rPr>
        <w:t>.</w:t>
      </w:r>
    </w:p>
    <w:p w14:paraId="676AC88C" w14:textId="77777777" w:rsidR="006074A5" w:rsidRPr="00AF1DC8" w:rsidRDefault="006074A5" w:rsidP="006074A5">
      <w:pPr>
        <w:pStyle w:val="a8"/>
        <w:bidi/>
        <w:rPr>
          <w:rFonts w:ascii="Narkisim" w:hAnsi="Narkisim"/>
        </w:rPr>
      </w:pPr>
      <w:r w:rsidRPr="00AF1DC8">
        <w:rPr>
          <w:rFonts w:ascii="Narkisim" w:hAnsi="Narkisim"/>
          <w:rtl/>
        </w:rPr>
        <w:t>והרשב"א דאי נימא דזיקה הוה קידושין דאורייתא, א"כ לא יתפסו קידושין באחותה כלל. וע"כ דזיקה לאו מדאורייתא, והוה קידושין גמורים</w:t>
      </w:r>
      <w:r w:rsidRPr="00AF1DC8">
        <w:rPr>
          <w:rFonts w:ascii="Narkisim" w:hAnsi="Narkisim"/>
        </w:rPr>
        <w:t>.</w:t>
      </w:r>
    </w:p>
    <w:p w14:paraId="069CA264" w14:textId="77777777" w:rsidR="006074A5" w:rsidRPr="00AF1DC8" w:rsidRDefault="006074A5" w:rsidP="006074A5">
      <w:pPr>
        <w:pStyle w:val="a7"/>
        <w:bidi/>
        <w:rPr>
          <w:rFonts w:ascii="Narkisim" w:hAnsi="Narkisim"/>
        </w:rPr>
      </w:pPr>
      <w:r w:rsidRPr="00AF1DC8">
        <w:rPr>
          <w:rFonts w:ascii="Narkisim" w:hAnsi="Narkisim"/>
          <w:rtl/>
        </w:rPr>
        <w:t>אבל ב</w:t>
      </w:r>
      <w:r w:rsidRPr="00AF1DC8">
        <w:rPr>
          <w:rFonts w:ascii="Narkisim" w:hAnsi="Narkisim"/>
          <w:b/>
          <w:bCs/>
          <w:rtl/>
        </w:rPr>
        <w:t>פסקי</w:t>
      </w:r>
      <w:r w:rsidRPr="00AF1DC8">
        <w:rPr>
          <w:rFonts w:ascii="Narkisim" w:hAnsi="Narkisim"/>
          <w:rtl/>
        </w:rPr>
        <w:t xml:space="preserve"> ה</w:t>
      </w:r>
      <w:r w:rsidRPr="00AF1DC8">
        <w:rPr>
          <w:rFonts w:ascii="Narkisim" w:hAnsi="Narkisim"/>
          <w:b/>
          <w:bCs/>
          <w:rtl/>
        </w:rPr>
        <w:t>רי"ד</w:t>
      </w:r>
      <w:r w:rsidRPr="00AF1DC8">
        <w:rPr>
          <w:rFonts w:ascii="Narkisim" w:hAnsi="Narkisim"/>
          <w:rtl/>
        </w:rPr>
        <w:t xml:space="preserve"> תי' דמדרבנן לא תפסי קידושין באחות זקוקה. דבגדר התקנ"ח נחשב דמדרבנן לא תפסי הקידושין כלל</w:t>
      </w:r>
      <w:r w:rsidRPr="00AF1DC8">
        <w:rPr>
          <w:rStyle w:val="ac"/>
          <w:rFonts w:ascii="Narkisim" w:hAnsi="Narkisim"/>
          <w:rtl/>
        </w:rPr>
        <w:footnoteReference w:id="2418"/>
      </w:r>
      <w:r w:rsidRPr="00AF1DC8">
        <w:rPr>
          <w:rFonts w:ascii="Narkisim" w:hAnsi="Narkisim"/>
        </w:rPr>
        <w:t xml:space="preserve">. </w:t>
      </w:r>
      <w:r w:rsidRPr="00AF1DC8">
        <w:rPr>
          <w:rFonts w:ascii="Narkisim" w:hAnsi="Narkisim"/>
          <w:rtl/>
        </w:rPr>
        <w:t xml:space="preserve">ומש"ה לא מפקע קידושין לזיקה. </w:t>
      </w:r>
      <w:r w:rsidRPr="00AF1DC8">
        <w:rPr>
          <w:rFonts w:ascii="Narkisim" w:hAnsi="Narkisim"/>
          <w:szCs w:val="20"/>
          <w:rtl/>
        </w:rPr>
        <w:t>[אבל בשא"ר משמע דאף מדרבנן לא תקנו שלא יתפוס קידושין]</w:t>
      </w:r>
      <w:r w:rsidRPr="00AF1DC8">
        <w:rPr>
          <w:rFonts w:ascii="Narkisim" w:hAnsi="Narkisim"/>
        </w:rPr>
        <w:t>.</w:t>
      </w:r>
    </w:p>
    <w:p w14:paraId="420E8FA6" w14:textId="77777777" w:rsidR="006074A5" w:rsidRPr="00AF1DC8" w:rsidRDefault="006074A5" w:rsidP="006074A5">
      <w:pPr>
        <w:bidi/>
        <w:rPr>
          <w:rFonts w:ascii="Narkisim" w:hAnsi="Narkisim" w:cs="Narkisim"/>
        </w:rPr>
      </w:pPr>
      <w:r w:rsidRPr="00AF1DC8">
        <w:rPr>
          <w:rFonts w:ascii="Narkisim" w:hAnsi="Narkisim" w:cs="Narkisim"/>
          <w:u w:val="single"/>
          <w:rtl/>
        </w:rPr>
        <w:t>שם. שקידש אחיו את אחותה</w:t>
      </w:r>
      <w:r w:rsidRPr="00AF1DC8">
        <w:rPr>
          <w:rFonts w:ascii="Narkisim" w:hAnsi="Narkisim" w:cs="Narkisim"/>
          <w:rtl/>
        </w:rPr>
        <w:t>. ו</w:t>
      </w:r>
      <w:r w:rsidRPr="00AF1DC8">
        <w:rPr>
          <w:rFonts w:ascii="Narkisim" w:hAnsi="Narkisim" w:cs="Narkisim"/>
          <w:b/>
          <w:bCs/>
          <w:rtl/>
        </w:rPr>
        <w:t>תוס</w:t>
      </w:r>
      <w:r w:rsidRPr="00AF1DC8">
        <w:rPr>
          <w:rFonts w:ascii="Narkisim" w:hAnsi="Narkisim" w:cs="Narkisim"/>
          <w:rtl/>
        </w:rPr>
        <w:t>' (לעיל יח:) דייקו דדוקא קידש, אבל נשא כבר אי"צ להמתין, דפקע זיקה לגמרי</w:t>
      </w:r>
      <w:r w:rsidRPr="00AF1DC8">
        <w:rPr>
          <w:rStyle w:val="ac"/>
          <w:rFonts w:ascii="Narkisim" w:hAnsi="Narkisim" w:cs="Narkisim"/>
          <w:sz w:val="20"/>
          <w:szCs w:val="20"/>
          <w:rtl/>
        </w:rPr>
        <w:footnoteReference w:id="2419"/>
      </w:r>
      <w:r w:rsidRPr="00AF1DC8">
        <w:rPr>
          <w:rFonts w:ascii="Narkisim" w:hAnsi="Narkisim" w:cs="Narkisim"/>
        </w:rPr>
        <w:t xml:space="preserve">. </w:t>
      </w:r>
      <w:r w:rsidRPr="00AF1DC8">
        <w:rPr>
          <w:rFonts w:ascii="Narkisim" w:hAnsi="Narkisim" w:cs="Narkisim"/>
          <w:rtl/>
        </w:rPr>
        <w:t>וכ"כ ה</w:t>
      </w:r>
      <w:r w:rsidRPr="00AF1DC8">
        <w:rPr>
          <w:rFonts w:ascii="Narkisim" w:hAnsi="Narkisim" w:cs="Narkisim"/>
          <w:b/>
          <w:bCs/>
          <w:rtl/>
        </w:rPr>
        <w:t>רא"ש</w:t>
      </w:r>
      <w:r w:rsidRPr="00AF1DC8">
        <w:rPr>
          <w:rFonts w:ascii="Narkisim" w:hAnsi="Narkisim" w:cs="Narkisim"/>
          <w:rtl/>
        </w:rPr>
        <w:t xml:space="preserve"> (כאן). וכ”כ ה</w:t>
      </w:r>
      <w:r w:rsidRPr="00AF1DC8">
        <w:rPr>
          <w:rFonts w:ascii="Narkisim" w:hAnsi="Narkisim" w:cs="Narkisim"/>
          <w:b/>
          <w:bCs/>
          <w:rtl/>
        </w:rPr>
        <w:t>רשב”א</w:t>
      </w:r>
      <w:r w:rsidRPr="00AF1DC8">
        <w:rPr>
          <w:rFonts w:ascii="Narkisim" w:hAnsi="Narkisim" w:cs="Narkisim"/>
          <w:rtl/>
        </w:rPr>
        <w:t xml:space="preserve"> בשם </w:t>
      </w:r>
      <w:r w:rsidRPr="00AF1DC8">
        <w:rPr>
          <w:rFonts w:ascii="Narkisim" w:hAnsi="Narkisim" w:cs="Narkisim"/>
          <w:b/>
          <w:bCs/>
          <w:rtl/>
        </w:rPr>
        <w:t>תוס</w:t>
      </w:r>
      <w:r w:rsidRPr="00AF1DC8">
        <w:rPr>
          <w:rFonts w:ascii="Narkisim" w:hAnsi="Narkisim" w:cs="Narkisim"/>
        </w:rPr>
        <w:t>'</w:t>
      </w:r>
      <w:r w:rsidRPr="00AF1DC8">
        <w:rPr>
          <w:rStyle w:val="ac"/>
          <w:rFonts w:ascii="Narkisim" w:hAnsi="Narkisim" w:cs="Narkisim"/>
        </w:rPr>
        <w:footnoteReference w:id="2420"/>
      </w:r>
      <w:r w:rsidRPr="00AF1DC8">
        <w:rPr>
          <w:rFonts w:ascii="Narkisim" w:hAnsi="Narkisim" w:cs="Narkisim"/>
        </w:rPr>
        <w:t>.</w:t>
      </w:r>
    </w:p>
    <w:p w14:paraId="43A9AB6C"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ביאר [וכ"כ הרמב"ן לעיל יח] דהיאך יוציא מקודשת מפני מקודשת, ומאי אולמי בתרייתא מקמייתא</w:t>
      </w:r>
      <w:r w:rsidRPr="00AF1DC8">
        <w:rPr>
          <w:rStyle w:val="ac"/>
          <w:rFonts w:ascii="Narkisim" w:hAnsi="Narkisim"/>
          <w:rtl/>
        </w:rPr>
        <w:footnoteReference w:id="2421"/>
      </w:r>
      <w:r w:rsidRPr="00AF1DC8">
        <w:rPr>
          <w:rFonts w:ascii="Narkisim" w:hAnsi="Narkisim"/>
        </w:rPr>
        <w:t>.</w:t>
      </w:r>
    </w:p>
    <w:p w14:paraId="5F221916" w14:textId="77777777" w:rsidR="006074A5" w:rsidRPr="00AF1DC8" w:rsidRDefault="006074A5" w:rsidP="006074A5">
      <w:pPr>
        <w:pStyle w:val="a8"/>
        <w:bidi/>
        <w:rPr>
          <w:rFonts w:ascii="Narkisim" w:hAnsi="Narkisim"/>
        </w:rPr>
      </w:pPr>
      <w:r w:rsidRPr="00AF1DC8">
        <w:rPr>
          <w:rFonts w:ascii="Narkisim" w:hAnsi="Narkisim"/>
          <w:rtl/>
        </w:rPr>
        <w:t>אך שוב הק' הרשב"א דמ"מ הוה קידושין גמורין באחותה, ואמאי לא מפקעי זיקה. ובהמשך דבריו כת' ואולי נאמר דע"י זיקה הוה כעין מקודשת, ואסור לכונסה שנראה ככונס אחות המקודשת לו</w:t>
      </w:r>
      <w:r w:rsidRPr="00AF1DC8">
        <w:rPr>
          <w:rStyle w:val="ac"/>
          <w:rFonts w:ascii="Narkisim" w:hAnsi="Narkisim"/>
          <w:rtl/>
        </w:rPr>
        <w:footnoteReference w:id="2422"/>
      </w:r>
      <w:r w:rsidRPr="00AF1DC8">
        <w:rPr>
          <w:rFonts w:ascii="Narkisim" w:hAnsi="Narkisim"/>
        </w:rPr>
        <w:t xml:space="preserve">. </w:t>
      </w:r>
      <w:r w:rsidRPr="00AF1DC8">
        <w:rPr>
          <w:rFonts w:ascii="Narkisim" w:hAnsi="Narkisim"/>
          <w:rtl/>
        </w:rPr>
        <w:t xml:space="preserve">[וכ"מ בתוס' (לעיל </w:t>
      </w:r>
      <w:r w:rsidRPr="00AF1DC8">
        <w:rPr>
          <w:rFonts w:ascii="Narkisim" w:hAnsi="Narkisim"/>
          <w:rtl/>
        </w:rPr>
        <w:lastRenderedPageBreak/>
        <w:t>יח: ד"ה שומרת) דהוה משום מיחזי, דנראה</w:t>
      </w:r>
      <w:r w:rsidRPr="00AF1DC8">
        <w:rPr>
          <w:rStyle w:val="ac"/>
          <w:rFonts w:ascii="Narkisim" w:hAnsi="Narkisim"/>
          <w:rtl/>
        </w:rPr>
        <w:footnoteReference w:id="2423"/>
      </w:r>
      <w:r w:rsidRPr="00AF1DC8">
        <w:rPr>
          <w:rFonts w:ascii="Narkisim" w:hAnsi="Narkisim"/>
        </w:rPr>
        <w:t xml:space="preserve"> </w:t>
      </w:r>
      <w:r w:rsidRPr="00AF1DC8">
        <w:rPr>
          <w:rFonts w:ascii="Narkisim" w:hAnsi="Narkisim"/>
          <w:rtl/>
        </w:rPr>
        <w:t>כנושא אחות זקוקתו</w:t>
      </w:r>
      <w:r w:rsidRPr="00AF1DC8">
        <w:rPr>
          <w:rStyle w:val="ac"/>
          <w:rFonts w:ascii="Narkisim" w:hAnsi="Narkisim"/>
          <w:rtl/>
        </w:rPr>
        <w:footnoteReference w:id="2424"/>
      </w:r>
      <w:r w:rsidRPr="00AF1DC8">
        <w:rPr>
          <w:rFonts w:ascii="Narkisim" w:hAnsi="Narkisim"/>
          <w:rtl/>
        </w:rPr>
        <w:t>]</w:t>
      </w:r>
      <w:r w:rsidRPr="00AF1DC8">
        <w:rPr>
          <w:rFonts w:ascii="Narkisim" w:hAnsi="Narkisim"/>
        </w:rPr>
        <w:t>.</w:t>
      </w:r>
    </w:p>
    <w:p w14:paraId="3A294C71"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 xml:space="preserve">רשב"א </w:t>
      </w:r>
      <w:r w:rsidRPr="00AF1DC8">
        <w:rPr>
          <w:rFonts w:ascii="Narkisim" w:hAnsi="Narkisim"/>
          <w:rtl/>
        </w:rPr>
        <w:t>הביא עוד מהגמ' (לקמן עט:) היכא דהיבם נעשה פצוע דכא [אחר נפילה], דרבה תי' דאף לר"ע דחייבי לאוין לאו בני יבום, מ"מ היכא דנפלו ולבסוף נעשה פצו"ד אינה פטורה. ואביי הקשה מדברי ר"ג דנעשית אחות אשתו, אתי איסור ודחי לייבום</w:t>
      </w:r>
      <w:r w:rsidRPr="00AF1DC8">
        <w:rPr>
          <w:rStyle w:val="ac"/>
          <w:rFonts w:ascii="Narkisim" w:hAnsi="Narkisim"/>
          <w:rtl/>
        </w:rPr>
        <w:footnoteReference w:id="2425"/>
      </w:r>
      <w:r w:rsidRPr="00AF1DC8">
        <w:rPr>
          <w:rFonts w:ascii="Narkisim" w:hAnsi="Narkisim"/>
        </w:rPr>
        <w:t xml:space="preserve">. </w:t>
      </w:r>
      <w:r w:rsidRPr="00AF1DC8">
        <w:rPr>
          <w:rFonts w:ascii="Narkisim" w:hAnsi="Narkisim"/>
          <w:rtl/>
        </w:rPr>
        <w:t>ומבואר דהיכא דנעשית ערוה גמורה דחי. וה"ה נישואין. ודוקא אירוסין לא מפקעי. אך הרשב"א דחה דהתם איירי למ"ד אין זיקה</w:t>
      </w:r>
      <w:r w:rsidRPr="00AF1DC8">
        <w:rPr>
          <w:rStyle w:val="ac"/>
          <w:rFonts w:ascii="Narkisim" w:hAnsi="Narkisim"/>
          <w:rtl/>
        </w:rPr>
        <w:footnoteReference w:id="2426"/>
      </w:r>
      <w:r w:rsidRPr="00AF1DC8">
        <w:rPr>
          <w:rFonts w:ascii="Narkisim" w:hAnsi="Narkisim"/>
        </w:rPr>
        <w:t>.</w:t>
      </w:r>
    </w:p>
    <w:p w14:paraId="5D6650A8"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xml:space="preserve"> וה</w:t>
      </w:r>
      <w:r w:rsidRPr="00AF1DC8">
        <w:rPr>
          <w:rFonts w:ascii="Narkisim" w:hAnsi="Narkisim"/>
          <w:b/>
          <w:bCs/>
          <w:rtl/>
        </w:rPr>
        <w:t>רשב"א</w:t>
      </w:r>
      <w:r w:rsidRPr="00AF1DC8">
        <w:rPr>
          <w:rFonts w:ascii="Narkisim" w:hAnsi="Narkisim"/>
          <w:rtl/>
        </w:rPr>
        <w:t xml:space="preserve"> הק' היכא דנשא אחותה אמאי לא קנסי' ליה, וכדאי' (לעיל כו.) קדמו וכנסו יוציאו. והרשב"א חילק דה"מ ביבום, אבל היכא דקידש [קדושין גמורין] ואח"כ כנס, משעה שקידשה היבמה נדחית ממנו דחיה גמורה מה"ת, וכשכנסה לא בא על אחות זקוקה, שהרי כבר דחאה. ומש"ה לא החמירו עליו דהא לא עבר איסורא</w:t>
      </w:r>
      <w:r w:rsidRPr="00AF1DC8">
        <w:rPr>
          <w:rStyle w:val="ac"/>
          <w:rFonts w:ascii="Narkisim" w:hAnsi="Narkisim"/>
          <w:rtl/>
        </w:rPr>
        <w:footnoteReference w:id="2427"/>
      </w:r>
      <w:r w:rsidRPr="00AF1DC8">
        <w:rPr>
          <w:rFonts w:ascii="Narkisim" w:hAnsi="Narkisim"/>
        </w:rPr>
        <w:t>.</w:t>
      </w:r>
    </w:p>
    <w:p w14:paraId="3931336B" w14:textId="77777777" w:rsidR="006074A5" w:rsidRPr="00AF1DC8" w:rsidRDefault="006074A5" w:rsidP="006074A5">
      <w:pPr>
        <w:bidi/>
        <w:rPr>
          <w:rFonts w:ascii="Narkisim" w:hAnsi="Narkisim" w:cs="Narkisim"/>
        </w:rPr>
      </w:pPr>
      <w:r w:rsidRPr="00AF1DC8">
        <w:rPr>
          <w:rFonts w:ascii="Narkisim" w:hAnsi="Narkisim" w:cs="Narkisim"/>
          <w:u w:val="single"/>
          <w:rtl/>
        </w:rPr>
        <w:t>המתן עד שיעשה אחיך וכו'</w:t>
      </w:r>
      <w:r w:rsidRPr="00AF1DC8">
        <w:rPr>
          <w:rFonts w:ascii="Narkisim" w:hAnsi="Narkisim" w:cs="Narkisim"/>
          <w:rtl/>
        </w:rPr>
        <w:t>. וה</w:t>
      </w:r>
      <w:r w:rsidRPr="00AF1DC8">
        <w:rPr>
          <w:rFonts w:ascii="Narkisim" w:hAnsi="Narkisim" w:cs="Narkisim"/>
          <w:b/>
          <w:bCs/>
          <w:rtl/>
        </w:rPr>
        <w:t>רמב"ם בפיה"מ</w:t>
      </w:r>
      <w:r w:rsidRPr="00AF1DC8">
        <w:rPr>
          <w:rFonts w:ascii="Narkisim" w:hAnsi="Narkisim" w:cs="Narkisim"/>
          <w:rtl/>
        </w:rPr>
        <w:t xml:space="preserve"> גרס אחיך 'הגדול'. וה</w:t>
      </w:r>
      <w:r w:rsidRPr="00AF1DC8">
        <w:rPr>
          <w:rFonts w:ascii="Narkisim" w:hAnsi="Narkisim" w:cs="Narkisim"/>
          <w:b/>
          <w:bCs/>
          <w:rtl/>
        </w:rPr>
        <w:t>ראשונים</w:t>
      </w:r>
      <w:r w:rsidRPr="00AF1DC8">
        <w:rPr>
          <w:rFonts w:ascii="Narkisim" w:hAnsi="Narkisim" w:cs="Narkisim"/>
          <w:rtl/>
        </w:rPr>
        <w:t xml:space="preserve"> ביארו דמצווה בגדול לייבם. ולפ"ז משמע דאי הגדול שהיה מחוייב טפי קדם וכנס, ל"מ להמתין. אבל ה</w:t>
      </w:r>
      <w:r w:rsidRPr="00AF1DC8">
        <w:rPr>
          <w:rFonts w:ascii="Narkisim" w:hAnsi="Narkisim" w:cs="Narkisim"/>
          <w:b/>
          <w:bCs/>
          <w:rtl/>
        </w:rPr>
        <w:t>רשב”א</w:t>
      </w:r>
      <w:r w:rsidRPr="00AF1DC8">
        <w:rPr>
          <w:rFonts w:ascii="Narkisim" w:hAnsi="Narkisim" w:cs="Narkisim"/>
          <w:rtl/>
        </w:rPr>
        <w:t xml:space="preserve"> דחה דנקט גדול לרבותא דאפי' דהמצווה רמי אגדול, אסור לקטן לכנוס [ויש זיקה אף לקטן]</w:t>
      </w:r>
      <w:r w:rsidRPr="00AF1DC8">
        <w:rPr>
          <w:rFonts w:ascii="Narkisim" w:hAnsi="Narkisim" w:cs="Narkisim"/>
        </w:rPr>
        <w:t>.</w:t>
      </w:r>
    </w:p>
    <w:p w14:paraId="2F8E6969" w14:textId="77777777" w:rsidR="006074A5" w:rsidRPr="00AF1DC8" w:rsidRDefault="006074A5" w:rsidP="006074A5">
      <w:pPr>
        <w:pStyle w:val="aa"/>
        <w:bidi/>
        <w:rPr>
          <w:rFonts w:ascii="Narkisim" w:hAnsi="Narkisim"/>
        </w:rPr>
      </w:pPr>
      <w:r w:rsidRPr="00AF1DC8">
        <w:rPr>
          <w:rFonts w:ascii="Narkisim" w:hAnsi="Narkisim"/>
          <w:u w:val="single"/>
          <w:rtl/>
        </w:rPr>
        <w:t>אימא 'אבל' המגרש וכו'.</w:t>
      </w:r>
      <w:r w:rsidRPr="00AF1DC8">
        <w:rPr>
          <w:rFonts w:ascii="Narkisim" w:hAnsi="Narkisim"/>
          <w:rtl/>
        </w:rPr>
        <w:t xml:space="preserve"> ה</w:t>
      </w:r>
      <w:r w:rsidRPr="00AF1DC8">
        <w:rPr>
          <w:rFonts w:ascii="Narkisim" w:hAnsi="Narkisim"/>
          <w:b/>
          <w:bCs/>
          <w:rtl/>
        </w:rPr>
        <w:t>ריטב"א</w:t>
      </w:r>
      <w:r w:rsidRPr="00AF1DC8">
        <w:rPr>
          <w:rFonts w:ascii="Narkisim" w:hAnsi="Narkisim"/>
          <w:rtl/>
        </w:rPr>
        <w:t xml:space="preserve"> פי' הלשון 'וכן' הוא אמת, מלשון 'כן' בנות צלפחד דוברות (במדבר כז ז), וכמו 'אבל' שרה אשתך (בראשית יז יט)</w:t>
      </w:r>
      <w:r w:rsidRPr="00AF1DC8">
        <w:rPr>
          <w:rFonts w:ascii="Narkisim" w:hAnsi="Narkisim"/>
        </w:rPr>
        <w:t>.</w:t>
      </w:r>
    </w:p>
    <w:p w14:paraId="056EBD4F" w14:textId="77777777" w:rsidR="006074A5" w:rsidRPr="00AF1DC8" w:rsidRDefault="006074A5" w:rsidP="006074A5">
      <w:pPr>
        <w:pStyle w:val="aa"/>
        <w:bidi/>
        <w:rPr>
          <w:rFonts w:ascii="Narkisim" w:hAnsi="Narkisim"/>
        </w:rPr>
      </w:pPr>
      <w:r w:rsidRPr="00AF1DC8">
        <w:rPr>
          <w:rFonts w:ascii="Narkisim" w:hAnsi="Narkisim"/>
          <w:u w:val="single"/>
          <w:rtl/>
        </w:rPr>
        <w:t>כאן שנה רבי, אחות חלוצה מדברי סופרים.</w:t>
      </w:r>
      <w:r w:rsidRPr="00AF1DC8">
        <w:rPr>
          <w:rFonts w:ascii="Narkisim" w:hAnsi="Narkisim"/>
          <w:rtl/>
        </w:rPr>
        <w:t xml:space="preserve"> ה</w:t>
      </w:r>
      <w:r w:rsidRPr="00AF1DC8">
        <w:rPr>
          <w:rFonts w:ascii="Narkisim" w:hAnsi="Narkisim"/>
          <w:b/>
          <w:bCs/>
          <w:rtl/>
        </w:rPr>
        <w:t>אחרונים</w:t>
      </w:r>
      <w:r w:rsidRPr="00AF1DC8">
        <w:rPr>
          <w:rFonts w:ascii="Narkisim" w:hAnsi="Narkisim"/>
          <w:rtl/>
        </w:rPr>
        <w:t xml:space="preserve"> הקשו דאימא דהוה איסור קלישא מדאורייתא, ותפסי קידושין באחותה. [ומשמע דאין צד כזה, דלא יתכן דהוה דאורייתא אא"כ נכלל באיסור אחות אשתו]</w:t>
      </w:r>
      <w:r w:rsidRPr="00AF1DC8">
        <w:rPr>
          <w:rFonts w:ascii="Narkisim" w:hAnsi="Narkisim"/>
        </w:rPr>
        <w:t>.</w:t>
      </w:r>
    </w:p>
    <w:p w14:paraId="04614337" w14:textId="77777777" w:rsidR="006074A5" w:rsidRPr="00AF1DC8" w:rsidRDefault="006074A5" w:rsidP="006074A5">
      <w:pPr>
        <w:pStyle w:val="aa"/>
        <w:bidi/>
        <w:rPr>
          <w:rFonts w:ascii="Narkisim" w:hAnsi="Narkisim"/>
        </w:rPr>
      </w:pPr>
      <w:r w:rsidRPr="00AF1DC8">
        <w:rPr>
          <w:rFonts w:ascii="Narkisim" w:hAnsi="Narkisim"/>
          <w:u w:val="single"/>
          <w:rtl/>
        </w:rPr>
        <w:t>אמר שמואל הלכה כדברי ריב"ב.</w:t>
      </w:r>
      <w:r w:rsidRPr="00AF1DC8">
        <w:rPr>
          <w:rFonts w:ascii="Narkisim" w:hAnsi="Narkisim"/>
          <w:rtl/>
        </w:rPr>
        <w:t xml:space="preserve"> והגמ' מגילה (יח: הו' בתוס' לעיל יז:) מביאה מזה דשמואל חייש ליחידאה. [וע' מש"כ </w:t>
      </w:r>
      <w:r w:rsidRPr="00AF1DC8">
        <w:rPr>
          <w:rFonts w:ascii="Narkisim" w:hAnsi="Narkisim"/>
          <w:b/>
          <w:bCs/>
          <w:rtl/>
        </w:rPr>
        <w:t>תוס</w:t>
      </w:r>
      <w:r w:rsidRPr="00AF1DC8">
        <w:rPr>
          <w:rFonts w:ascii="Narkisim" w:hAnsi="Narkisim"/>
          <w:rtl/>
        </w:rPr>
        <w:t>' לעיל דהך מ"ד ס"ל דמ"ד יש זיקה הוה יחידאה]</w:t>
      </w:r>
      <w:r w:rsidRPr="00AF1DC8">
        <w:rPr>
          <w:rFonts w:ascii="Narkisim" w:hAnsi="Narkisim"/>
        </w:rPr>
        <w:t>.</w:t>
      </w:r>
    </w:p>
    <w:p w14:paraId="225C3B59" w14:textId="77777777" w:rsidR="006074A5" w:rsidRPr="00AF1DC8" w:rsidRDefault="006074A5" w:rsidP="006074A5">
      <w:pPr>
        <w:pStyle w:val="2"/>
        <w:bidi/>
        <w:rPr>
          <w:rFonts w:ascii="Narkisim" w:hAnsi="Narkisim"/>
        </w:rPr>
      </w:pPr>
      <w:r w:rsidRPr="00AF1DC8">
        <w:rPr>
          <w:rFonts w:ascii="Narkisim" w:hAnsi="Narkisim"/>
          <w:rtl/>
        </w:rPr>
        <w:t>הותרה ונאסרה</w:t>
      </w:r>
    </w:p>
    <w:p w14:paraId="475D78CF" w14:textId="77777777" w:rsidR="006074A5" w:rsidRPr="00AF1DC8" w:rsidRDefault="006074A5" w:rsidP="006074A5">
      <w:pPr>
        <w:bidi/>
        <w:rPr>
          <w:rFonts w:ascii="Narkisim" w:hAnsi="Narkisim" w:cs="Narkisim"/>
        </w:rPr>
      </w:pPr>
      <w:r w:rsidRPr="00AF1DC8">
        <w:rPr>
          <w:rFonts w:ascii="Narkisim" w:hAnsi="Narkisim" w:cs="Narkisim"/>
          <w:u w:val="single"/>
          <w:rtl/>
        </w:rPr>
        <w:t>איבע"ל מתו אשתו מהו ביבמתו וכו'.</w:t>
      </w:r>
      <w:r w:rsidRPr="00AF1DC8">
        <w:rPr>
          <w:rFonts w:ascii="Narkisim" w:hAnsi="Narkisim" w:cs="Narkisim"/>
          <w:rtl/>
        </w:rPr>
        <w:t xml:space="preserve"> פ</w:t>
      </w:r>
      <w:r w:rsidRPr="00AF1DC8">
        <w:rPr>
          <w:rFonts w:ascii="Narkisim" w:hAnsi="Narkisim" w:cs="Narkisim"/>
          <w:b/>
          <w:bCs/>
          <w:rtl/>
        </w:rPr>
        <w:t xml:space="preserve">רש"י </w:t>
      </w:r>
      <w:r w:rsidRPr="00AF1DC8">
        <w:rPr>
          <w:rFonts w:ascii="Narkisim" w:hAnsi="Narkisim" w:cs="Narkisim"/>
          <w:rtl/>
        </w:rPr>
        <w:t>מי אמרי' וכו' קם עליה באיסור אשת אח הואיל ונאסרה וכו'. ודעת שמואל ורב אסי דאמרי' נאסרה אף לאחר נפילה</w:t>
      </w:r>
      <w:r w:rsidRPr="00AF1DC8">
        <w:rPr>
          <w:rFonts w:ascii="Narkisim" w:hAnsi="Narkisim" w:cs="Narkisim"/>
        </w:rPr>
        <w:t>.</w:t>
      </w:r>
    </w:p>
    <w:p w14:paraId="67F06EDE"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העלו צד דגדר 'נאסרה' דנפילה וזיקה יכול לחול רק בשעת מיתה [וע' מש"כ בזה לעיל ל.], ומש"ה הוה כאשת אח שיש לה בנים. וצ"ב לאחר שכבר הותר האיסור אשת אח, אמאי חזר ואוסר. והאחרונים ביארו [לדעת שמואל] דכשנעשית ערוה חל פטור ובטל הנפילה. ומש"ה כיון דבטלה לא תזקק שוב, כיון שאינה שעת מיתה. </w:t>
      </w:r>
      <w:r w:rsidRPr="00AF1DC8">
        <w:rPr>
          <w:rFonts w:ascii="Narkisim" w:hAnsi="Narkisim"/>
          <w:szCs w:val="20"/>
          <w:rtl/>
        </w:rPr>
        <w:t>[ויל"ד לפ"ז במה פליגי רב, האם ס"ל דלא בטלה הנפילה. או אף דבטלה הנפילה, אמרי' דיכול לחזור ולהתחדש. דלא נחשב נפילה חדשה]</w:t>
      </w:r>
      <w:r w:rsidRPr="00AF1DC8">
        <w:rPr>
          <w:rFonts w:ascii="Narkisim" w:hAnsi="Narkisim"/>
          <w:szCs w:val="20"/>
        </w:rPr>
        <w:t>.</w:t>
      </w:r>
    </w:p>
    <w:p w14:paraId="0DDA3A68" w14:textId="77777777" w:rsidR="006074A5" w:rsidRPr="00AF1DC8" w:rsidRDefault="006074A5" w:rsidP="006074A5">
      <w:pPr>
        <w:pStyle w:val="a7"/>
        <w:bidi/>
        <w:rPr>
          <w:rFonts w:ascii="Narkisim" w:hAnsi="Narkisim"/>
        </w:rPr>
      </w:pPr>
      <w:r w:rsidRPr="00AF1DC8">
        <w:rPr>
          <w:rFonts w:ascii="Narkisim" w:hAnsi="Narkisim"/>
          <w:rtl/>
        </w:rPr>
        <w:t>וב</w:t>
      </w:r>
      <w:r w:rsidRPr="00AF1DC8">
        <w:rPr>
          <w:rFonts w:ascii="Narkisim" w:hAnsi="Narkisim"/>
          <w:b/>
          <w:bCs/>
          <w:rtl/>
        </w:rPr>
        <w:t>חי' ר' ראובן</w:t>
      </w:r>
      <w:r w:rsidRPr="00AF1DC8">
        <w:rPr>
          <w:rFonts w:ascii="Narkisim" w:hAnsi="Narkisim"/>
          <w:rtl/>
        </w:rPr>
        <w:t xml:space="preserve"> (ו ד) הק' לפ"ז במה תליא בדברי ר"א בסוף הסוגיא, דהתם הוה הותרה ונאסרה בסיבת הנפילה, קודם נפילה</w:t>
      </w:r>
      <w:r w:rsidRPr="00AF1DC8">
        <w:rPr>
          <w:rFonts w:ascii="Narkisim" w:hAnsi="Narkisim"/>
        </w:rPr>
        <w:t>.</w:t>
      </w:r>
    </w:p>
    <w:p w14:paraId="07FF4FA6"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ר' ראובן</w:t>
      </w:r>
      <w:r w:rsidRPr="00AF1DC8">
        <w:rPr>
          <w:rFonts w:ascii="Narkisim" w:hAnsi="Narkisim"/>
          <w:rtl/>
        </w:rPr>
        <w:t xml:space="preserve"> פי' דיסוד 'נאסרה' כיון דאינה ראיה בשעת נפילה נעשית ערוה דאשת אח [ועי"ש שחקר אי הוה סברא או הילכתא], ובזה ס"ל דשמואל דה"ה כשבטלה הנפילה חוזר הערוה דאשת אח, ושוב לא תחזור להתירא</w:t>
      </w:r>
      <w:r w:rsidRPr="00AF1DC8">
        <w:rPr>
          <w:rFonts w:ascii="Narkisim" w:hAnsi="Narkisim"/>
        </w:rPr>
        <w:t>.</w:t>
      </w:r>
    </w:p>
    <w:p w14:paraId="689F38B1" w14:textId="77777777" w:rsidR="006074A5" w:rsidRPr="00AF1DC8" w:rsidRDefault="006074A5" w:rsidP="006074A5">
      <w:pPr>
        <w:bidi/>
        <w:rPr>
          <w:rFonts w:ascii="Narkisim" w:hAnsi="Narkisim" w:cs="Narkisim"/>
        </w:rPr>
      </w:pPr>
      <w:r w:rsidRPr="00AF1DC8">
        <w:rPr>
          <w:rFonts w:ascii="Narkisim" w:hAnsi="Narkisim" w:cs="Narkisim"/>
          <w:u w:val="single"/>
          <w:rtl/>
        </w:rPr>
        <w:t>רב ורבי חנינא וכו' מותר ביבמתו וכו' יבמה שהותרה ונאסרה וחזרה והותרה וכו'</w:t>
      </w:r>
      <w:r w:rsidRPr="00AF1DC8">
        <w:rPr>
          <w:rFonts w:ascii="Narkisim" w:hAnsi="Narkisim" w:cs="Narkisim"/>
          <w:rtl/>
        </w:rPr>
        <w:t xml:space="preserve">. ולא איכפ”ל שנאסרה שעה א', כיון דהוה לאחר נפילה. </w:t>
      </w:r>
      <w:r w:rsidRPr="00AF1DC8">
        <w:rPr>
          <w:rFonts w:ascii="Narkisim" w:hAnsi="Narkisim" w:cs="Narkisim"/>
          <w:sz w:val="20"/>
          <w:szCs w:val="20"/>
          <w:rtl/>
        </w:rPr>
        <w:t>[וה</w:t>
      </w:r>
      <w:r w:rsidRPr="00AF1DC8">
        <w:rPr>
          <w:rFonts w:ascii="Narkisim" w:hAnsi="Narkisim" w:cs="Narkisim"/>
          <w:b/>
          <w:bCs/>
          <w:sz w:val="20"/>
          <w:szCs w:val="20"/>
          <w:rtl/>
        </w:rPr>
        <w:t>רי"ף</w:t>
      </w:r>
      <w:r w:rsidRPr="00AF1DC8">
        <w:rPr>
          <w:rFonts w:ascii="Narkisim" w:hAnsi="Narkisim" w:cs="Narkisim"/>
          <w:sz w:val="20"/>
          <w:szCs w:val="20"/>
          <w:rtl/>
        </w:rPr>
        <w:t xml:space="preserve"> הביא דכ"ד ר' יוחנן לעיל כז:</w:t>
      </w:r>
      <w:r w:rsidRPr="00AF1DC8">
        <w:rPr>
          <w:rStyle w:val="ac"/>
          <w:rFonts w:ascii="Narkisim" w:hAnsi="Narkisim" w:cs="Narkisim"/>
          <w:sz w:val="20"/>
          <w:szCs w:val="20"/>
          <w:rtl/>
        </w:rPr>
        <w:footnoteReference w:id="2428"/>
      </w:r>
      <w:r w:rsidRPr="00AF1DC8">
        <w:rPr>
          <w:rFonts w:ascii="Narkisim" w:hAnsi="Narkisim" w:cs="Narkisim"/>
          <w:sz w:val="20"/>
          <w:szCs w:val="20"/>
          <w:rtl/>
        </w:rPr>
        <w:t>]</w:t>
      </w:r>
      <w:r w:rsidRPr="00AF1DC8">
        <w:rPr>
          <w:rFonts w:ascii="Narkisim" w:hAnsi="Narkisim" w:cs="Narkisim"/>
        </w:rPr>
        <w:t>.</w:t>
      </w:r>
    </w:p>
    <w:p w14:paraId="3F4ED0A4"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דנו האם ס"ל דערוה לאחר נפילה לא הוה גדר 'פטור'. אך בפשוטו משמע דס"ל דהוה 'פטור', ואפ"ה לא אמרי' נאסרה. וה</w:t>
      </w:r>
      <w:r w:rsidRPr="00AF1DC8">
        <w:rPr>
          <w:rFonts w:ascii="Narkisim" w:hAnsi="Narkisim"/>
          <w:b/>
          <w:bCs/>
          <w:rtl/>
        </w:rPr>
        <w:t>רשב”א</w:t>
      </w:r>
      <w:r w:rsidRPr="00AF1DC8">
        <w:rPr>
          <w:rFonts w:ascii="Narkisim" w:hAnsi="Narkisim"/>
          <w:rtl/>
        </w:rPr>
        <w:t xml:space="preserve"> </w:t>
      </w:r>
      <w:r w:rsidRPr="00AF1DC8">
        <w:rPr>
          <w:rFonts w:ascii="Narkisim" w:hAnsi="Narkisim"/>
          <w:sz w:val="20"/>
          <w:szCs w:val="20"/>
          <w:rtl/>
        </w:rPr>
        <w:t xml:space="preserve">(ע' בסמוך) </w:t>
      </w:r>
      <w:r w:rsidRPr="00AF1DC8">
        <w:rPr>
          <w:rFonts w:ascii="Narkisim" w:hAnsi="Narkisim"/>
          <w:rtl/>
        </w:rPr>
        <w:t xml:space="preserve">מבואר דהאיסור אשת אח אינו </w:t>
      </w:r>
      <w:r w:rsidRPr="00AF1DC8">
        <w:rPr>
          <w:rFonts w:ascii="Narkisim" w:hAnsi="Narkisim"/>
          <w:rtl/>
        </w:rPr>
        <w:lastRenderedPageBreak/>
        <w:t>חוזר</w:t>
      </w:r>
      <w:r w:rsidRPr="00AF1DC8">
        <w:rPr>
          <w:rStyle w:val="ac"/>
          <w:rFonts w:ascii="Narkisim" w:hAnsi="Narkisim"/>
          <w:rtl/>
        </w:rPr>
        <w:footnoteReference w:id="2429"/>
      </w:r>
      <w:r w:rsidRPr="00AF1DC8">
        <w:rPr>
          <w:rFonts w:ascii="Narkisim" w:hAnsi="Narkisim"/>
        </w:rPr>
        <w:t>.</w:t>
      </w:r>
      <w:r w:rsidRPr="00AF1DC8">
        <w:rPr>
          <w:rFonts w:ascii="Narkisim" w:hAnsi="Narkisim"/>
          <w:sz w:val="20"/>
          <w:szCs w:val="20"/>
        </w:rPr>
        <w:t xml:space="preserve">  </w:t>
      </w:r>
    </w:p>
    <w:p w14:paraId="4DA70476"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הביאו שו"ת ה</w:t>
      </w:r>
      <w:r w:rsidRPr="00AF1DC8">
        <w:rPr>
          <w:rFonts w:ascii="Narkisim" w:hAnsi="Narkisim"/>
          <w:b/>
          <w:bCs/>
          <w:rtl/>
        </w:rPr>
        <w:t>גאונים</w:t>
      </w:r>
      <w:r w:rsidRPr="00AF1DC8">
        <w:rPr>
          <w:rFonts w:ascii="Narkisim" w:hAnsi="Narkisim"/>
          <w:rtl/>
        </w:rPr>
        <w:t xml:space="preserve"> דמח' רב ושמואל הוה לשיטתם (לעיל יח:) דנח' אי יש זיקה</w:t>
      </w:r>
      <w:r w:rsidRPr="00AF1DC8">
        <w:rPr>
          <w:rStyle w:val="ac"/>
          <w:rFonts w:ascii="Narkisim" w:hAnsi="Narkisim"/>
          <w:rtl/>
        </w:rPr>
        <w:footnoteReference w:id="2430"/>
      </w:r>
      <w:r w:rsidRPr="00AF1DC8">
        <w:rPr>
          <w:rFonts w:ascii="Narkisim" w:hAnsi="Narkisim"/>
        </w:rPr>
        <w:t xml:space="preserve">. </w:t>
      </w:r>
      <w:r w:rsidRPr="00AF1DC8">
        <w:rPr>
          <w:rFonts w:ascii="Narkisim" w:hAnsi="Narkisim"/>
          <w:rtl/>
        </w:rPr>
        <w:t>וצ"ב. והאחרונים (אחיעזר ס”ס ב ועוד) האריכו בזה</w:t>
      </w:r>
      <w:r w:rsidRPr="00AF1DC8">
        <w:rPr>
          <w:rFonts w:ascii="Narkisim" w:hAnsi="Narkisim"/>
        </w:rPr>
        <w:t>.</w:t>
      </w:r>
    </w:p>
    <w:p w14:paraId="1B62F764" w14:textId="77777777" w:rsidR="006074A5" w:rsidRPr="00AF1DC8" w:rsidRDefault="006074A5" w:rsidP="006074A5">
      <w:pPr>
        <w:bidi/>
        <w:rPr>
          <w:rFonts w:ascii="Narkisim" w:hAnsi="Narkisim" w:cs="Narkisim"/>
        </w:rPr>
      </w:pPr>
      <w:r w:rsidRPr="00AF1DC8">
        <w:rPr>
          <w:rFonts w:ascii="Narkisim" w:hAnsi="Narkisim" w:cs="Narkisim"/>
          <w:u w:val="single"/>
          <w:rtl/>
        </w:rPr>
        <w:t>שם. מותר ביבמתו וכו' תחזור להתירא הראשון</w:t>
      </w:r>
      <w:r w:rsidRPr="00AF1DC8">
        <w:rPr>
          <w:rFonts w:ascii="Narkisim" w:hAnsi="Narkisim" w:cs="Narkisim"/>
          <w:rtl/>
        </w:rPr>
        <w:t>. בפשוטו היינו שחוזרת לזיקת היבום. וה</w:t>
      </w:r>
      <w:r w:rsidRPr="00AF1DC8">
        <w:rPr>
          <w:rFonts w:ascii="Narkisim" w:hAnsi="Narkisim" w:cs="Narkisim"/>
          <w:b/>
          <w:bCs/>
          <w:rtl/>
        </w:rPr>
        <w:t>רשב"א</w:t>
      </w:r>
      <w:r w:rsidRPr="00AF1DC8">
        <w:rPr>
          <w:rFonts w:ascii="Narkisim" w:hAnsi="Narkisim" w:cs="Narkisim"/>
          <w:rtl/>
        </w:rPr>
        <w:t xml:space="preserve"> הק' דכיון דנעשית ערוה פקע זיקה, א”כ היאך אפשר שתחזור ותיזקק לו דאין זה דרכי נועם. שהרי בשעה שיהא ערוה מותרת לשוק בלא חליצה. ואף את"ל דקידושין דלאחר זיקה אינו מפקיע הזיקה</w:t>
      </w:r>
      <w:r w:rsidRPr="00AF1DC8">
        <w:rPr>
          <w:rFonts w:ascii="Narkisim" w:hAnsi="Narkisim" w:cs="Narkisim"/>
          <w:sz w:val="20"/>
          <w:szCs w:val="20"/>
          <w:rtl/>
        </w:rPr>
        <w:t xml:space="preserve"> [ועי' מש”כ במשנה]</w:t>
      </w:r>
      <w:r w:rsidRPr="00AF1DC8">
        <w:rPr>
          <w:rFonts w:ascii="Narkisim" w:hAnsi="Narkisim" w:cs="Narkisim"/>
          <w:rtl/>
        </w:rPr>
        <w:t xml:space="preserve">, מ”מ היינו דרבנן בעלמא </w:t>
      </w:r>
      <w:r w:rsidRPr="00AF1DC8">
        <w:rPr>
          <w:rFonts w:ascii="Narkisim" w:hAnsi="Narkisim" w:cs="Narkisim"/>
          <w:sz w:val="20"/>
          <w:szCs w:val="20"/>
          <w:rtl/>
        </w:rPr>
        <w:t>[והרשב"א האריך להוכיח כן. אך ה</w:t>
      </w:r>
      <w:r w:rsidRPr="00AF1DC8">
        <w:rPr>
          <w:rFonts w:ascii="Narkisim" w:hAnsi="Narkisim" w:cs="Narkisim"/>
          <w:b/>
          <w:bCs/>
          <w:sz w:val="20"/>
          <w:szCs w:val="20"/>
          <w:rtl/>
        </w:rPr>
        <w:t>אחרונים</w:t>
      </w:r>
      <w:r w:rsidRPr="00AF1DC8">
        <w:rPr>
          <w:rFonts w:ascii="Narkisim" w:hAnsi="Narkisim" w:cs="Narkisim"/>
          <w:sz w:val="20"/>
          <w:szCs w:val="20"/>
          <w:rtl/>
        </w:rPr>
        <w:t xml:space="preserve"> הביאו דיש ראשונים (</w:t>
      </w:r>
      <w:r w:rsidRPr="00AF1DC8">
        <w:rPr>
          <w:rFonts w:ascii="Narkisim" w:hAnsi="Narkisim" w:cs="Narkisim"/>
          <w:b/>
          <w:bCs/>
          <w:sz w:val="20"/>
          <w:szCs w:val="20"/>
          <w:rtl/>
        </w:rPr>
        <w:t>ריטב”א</w:t>
      </w:r>
      <w:r w:rsidRPr="00AF1DC8">
        <w:rPr>
          <w:rFonts w:ascii="Narkisim" w:hAnsi="Narkisim" w:cs="Narkisim"/>
          <w:sz w:val="20"/>
          <w:szCs w:val="20"/>
          <w:rtl/>
        </w:rPr>
        <w:t xml:space="preserve"> לקמן עט:, תוס' חד מקמאי כז:) דמשמע דמוכח דלא פקע מדאורייתא]</w:t>
      </w:r>
      <w:r w:rsidRPr="00AF1DC8">
        <w:rPr>
          <w:rFonts w:ascii="Narkisim" w:hAnsi="Narkisim" w:cs="Narkisim"/>
          <w:rtl/>
        </w:rPr>
        <w:t xml:space="preserve">. ועוד למ"ד אין זיקה ודאי מותרת, וכדברי ר' גמליאל </w:t>
      </w:r>
      <w:r w:rsidRPr="00AF1DC8">
        <w:rPr>
          <w:rFonts w:ascii="Narkisim" w:hAnsi="Narkisim" w:cs="Narkisim"/>
          <w:sz w:val="20"/>
          <w:szCs w:val="20"/>
          <w:rtl/>
        </w:rPr>
        <w:t>[הו' לעיל יח]</w:t>
      </w:r>
      <w:r w:rsidRPr="00AF1DC8">
        <w:rPr>
          <w:rFonts w:ascii="Narkisim" w:hAnsi="Narkisim" w:cs="Narkisim"/>
          <w:sz w:val="20"/>
          <w:szCs w:val="20"/>
        </w:rPr>
        <w:t>.</w:t>
      </w:r>
    </w:p>
    <w:p w14:paraId="3EB9669C"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רשב"א</w:t>
      </w:r>
      <w:r w:rsidRPr="00AF1DC8">
        <w:rPr>
          <w:rFonts w:ascii="Narkisim" w:hAnsi="Narkisim" w:cs="Narkisim"/>
          <w:rtl/>
        </w:rPr>
        <w:t xml:space="preserve"> הביא צד דאיירי דוקא כשיש לו אחים, ומש"ה לא הותרה לשוק, ולא מהני סברת דרכי נועם.</w:t>
      </w:r>
      <w:r w:rsidRPr="00AF1DC8">
        <w:rPr>
          <w:rFonts w:ascii="Narkisim" w:hAnsi="Narkisim" w:cs="Narkisim"/>
          <w:sz w:val="20"/>
          <w:szCs w:val="20"/>
          <w:rtl/>
        </w:rPr>
        <w:t xml:space="preserve"> [ד'מיגו' שזקוקה לאח זה זקוקה לו]</w:t>
      </w:r>
      <w:r w:rsidRPr="00AF1DC8">
        <w:rPr>
          <w:rFonts w:ascii="Narkisim" w:hAnsi="Narkisim" w:cs="Narkisim"/>
          <w:rtl/>
        </w:rPr>
        <w:t>. אבל כשאין אחים ונדחית מכל הבית (ע"פ צריכותא דהגמ' לעיל ל.) פשיטא דאמרי' נאסרה. וכ"ד ה</w:t>
      </w:r>
      <w:r w:rsidRPr="00AF1DC8">
        <w:rPr>
          <w:rFonts w:ascii="Narkisim" w:hAnsi="Narkisim" w:cs="Narkisim"/>
          <w:b/>
          <w:bCs/>
          <w:rtl/>
        </w:rPr>
        <w:t>ריטב"א</w:t>
      </w:r>
      <w:r w:rsidRPr="00AF1DC8">
        <w:rPr>
          <w:rFonts w:ascii="Narkisim" w:hAnsi="Narkisim" w:cs="Narkisim"/>
          <w:rtl/>
        </w:rPr>
        <w:t xml:space="preserve"> וה</w:t>
      </w:r>
      <w:r w:rsidRPr="00AF1DC8">
        <w:rPr>
          <w:rFonts w:ascii="Narkisim" w:hAnsi="Narkisim" w:cs="Narkisim"/>
          <w:b/>
          <w:bCs/>
          <w:rtl/>
        </w:rPr>
        <w:t>מאירי</w:t>
      </w:r>
      <w:r w:rsidRPr="00AF1DC8">
        <w:rPr>
          <w:rFonts w:ascii="Narkisim" w:hAnsi="Narkisim" w:cs="Narkisim"/>
        </w:rPr>
        <w:t>.</w:t>
      </w:r>
    </w:p>
    <w:p w14:paraId="69A239BF"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רשב"א</w:t>
      </w:r>
      <w:r w:rsidRPr="00AF1DC8">
        <w:rPr>
          <w:rFonts w:ascii="Narkisim" w:hAnsi="Narkisim"/>
          <w:rtl/>
        </w:rPr>
        <w:t xml:space="preserve"> דחה דבמסקנת הגמ' (לעיל ל.) אמרי' נאסרה אפי' לא אידחי מכל הבית, והוה דחייה בעלמא</w:t>
      </w:r>
      <w:r w:rsidRPr="00AF1DC8">
        <w:rPr>
          <w:rFonts w:ascii="Narkisim" w:hAnsi="Narkisim"/>
        </w:rPr>
        <w:t>.</w:t>
      </w:r>
    </w:p>
    <w:p w14:paraId="0F8E54BE"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אחיעזר</w:t>
      </w:r>
      <w:r w:rsidRPr="00AF1DC8">
        <w:rPr>
          <w:rFonts w:ascii="Narkisim" w:hAnsi="Narkisim"/>
          <w:rtl/>
        </w:rPr>
        <w:t xml:space="preserve"> (א לד) תי' דגדר 'דרכי נועם' שאני מדין נאסרה, והסוגיא (ל.) קאי מדין נאסרה, דנאסרה על יבם זה אף דלא אדחי מהבית. ואילו הראשונים כאן דנו משום דרכי נועם (דלקמן פז:), וכיון דלא הותרה לשוק ל”ש דרכי נועם</w:t>
      </w:r>
      <w:r w:rsidRPr="00AF1DC8">
        <w:rPr>
          <w:rStyle w:val="ac"/>
          <w:rFonts w:ascii="Narkisim" w:hAnsi="Narkisim"/>
          <w:rtl/>
        </w:rPr>
        <w:footnoteReference w:id="2431"/>
      </w:r>
      <w:r w:rsidRPr="00AF1DC8">
        <w:rPr>
          <w:rFonts w:ascii="Narkisim" w:hAnsi="Narkisim"/>
        </w:rPr>
        <w:t>.</w:t>
      </w:r>
    </w:p>
    <w:p w14:paraId="6255B644" w14:textId="77777777" w:rsidR="006074A5" w:rsidRPr="00AF1DC8" w:rsidRDefault="006074A5" w:rsidP="006074A5">
      <w:pPr>
        <w:pStyle w:val="a8"/>
        <w:bidi/>
        <w:rPr>
          <w:rFonts w:ascii="Narkisim" w:hAnsi="Narkisim"/>
        </w:rPr>
      </w:pPr>
      <w:r w:rsidRPr="00AF1DC8">
        <w:rPr>
          <w:rFonts w:ascii="Narkisim" w:hAnsi="Narkisim"/>
          <w:rtl/>
        </w:rPr>
        <w:t>וב</w:t>
      </w:r>
      <w:r w:rsidRPr="00AF1DC8">
        <w:rPr>
          <w:rFonts w:ascii="Narkisim" w:hAnsi="Narkisim"/>
          <w:b/>
          <w:bCs/>
          <w:rtl/>
        </w:rPr>
        <w:t>חי' ר' שמעון</w:t>
      </w:r>
      <w:r w:rsidRPr="00AF1DC8">
        <w:rPr>
          <w:rFonts w:ascii="Narkisim" w:hAnsi="Narkisim"/>
          <w:rtl/>
        </w:rPr>
        <w:t xml:space="preserve"> (טו ג) כתב ליישב בדעת הריטב"א דרק לאחר נפילה יש חילוק בין אידחי מכל הבית, וביאר דהיכא דפטורה בשעת נפילה נחשב שאינה יבמה כלל, אבל היכא דנפטרה אח”כ מ”מ נחשבת יבמתו, ומהני מיגו</w:t>
      </w:r>
      <w:r w:rsidRPr="00AF1DC8">
        <w:rPr>
          <w:rStyle w:val="ac"/>
          <w:rFonts w:ascii="Narkisim" w:hAnsi="Narkisim"/>
          <w:rtl/>
        </w:rPr>
        <w:footnoteReference w:id="2432"/>
      </w:r>
      <w:r w:rsidRPr="00AF1DC8">
        <w:rPr>
          <w:rFonts w:ascii="Narkisim" w:hAnsi="Narkisim"/>
        </w:rPr>
        <w:t>.</w:t>
      </w:r>
    </w:p>
    <w:p w14:paraId="0D3E4638"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העירו דה</w:t>
      </w:r>
      <w:r w:rsidRPr="00AF1DC8">
        <w:rPr>
          <w:rFonts w:ascii="Narkisim" w:hAnsi="Narkisim"/>
          <w:b/>
          <w:bCs/>
          <w:rtl/>
        </w:rPr>
        <w:t>רשב"א</w:t>
      </w:r>
      <w:r w:rsidRPr="00AF1DC8">
        <w:rPr>
          <w:rFonts w:ascii="Narkisim" w:hAnsi="Narkisim"/>
          <w:rtl/>
        </w:rPr>
        <w:t xml:space="preserve"> (יז:) כתב דכשיש אח ל"ש דרכי נועם. ולכאו' מבואר דקו' הרשב"א משום 'נאסרה', דהוה דין בפנ"ע</w:t>
      </w:r>
      <w:r w:rsidRPr="00AF1DC8">
        <w:rPr>
          <w:rStyle w:val="ac"/>
          <w:rFonts w:ascii="Narkisim" w:hAnsi="Narkisim"/>
          <w:rtl/>
        </w:rPr>
        <w:footnoteReference w:id="2433"/>
      </w:r>
      <w:r w:rsidRPr="00AF1DC8">
        <w:rPr>
          <w:rFonts w:ascii="Narkisim" w:hAnsi="Narkisim"/>
        </w:rPr>
        <w:t xml:space="preserve"> </w:t>
      </w:r>
      <w:r w:rsidRPr="00AF1DC8">
        <w:rPr>
          <w:rFonts w:ascii="Narkisim" w:hAnsi="Narkisim"/>
          <w:rtl/>
        </w:rPr>
        <w:t>אף היכא דעדיין אסורה לשוק. ובזה ניחא הא דהביא מהגמ' ל</w:t>
      </w:r>
      <w:r w:rsidRPr="00AF1DC8">
        <w:rPr>
          <w:rStyle w:val="ac"/>
          <w:rFonts w:ascii="Narkisim" w:hAnsi="Narkisim"/>
          <w:rtl/>
        </w:rPr>
        <w:footnoteReference w:id="2434"/>
      </w:r>
      <w:r w:rsidRPr="00AF1DC8">
        <w:rPr>
          <w:rFonts w:ascii="Narkisim" w:hAnsi="Narkisim"/>
        </w:rPr>
        <w:t>.</w:t>
      </w:r>
    </w:p>
    <w:p w14:paraId="29187AF5" w14:textId="77777777" w:rsidR="006074A5" w:rsidRPr="00AF1DC8" w:rsidRDefault="006074A5" w:rsidP="006074A5">
      <w:pPr>
        <w:pStyle w:val="a8"/>
        <w:bidi/>
        <w:rPr>
          <w:rFonts w:ascii="Narkisim" w:hAnsi="Narkisim"/>
        </w:rPr>
      </w:pPr>
      <w:r w:rsidRPr="00AF1DC8">
        <w:rPr>
          <w:rFonts w:ascii="Narkisim" w:hAnsi="Narkisim"/>
          <w:rtl/>
        </w:rPr>
        <w:t>אך ה</w:t>
      </w:r>
      <w:r w:rsidRPr="00AF1DC8">
        <w:rPr>
          <w:rFonts w:ascii="Narkisim" w:hAnsi="Narkisim"/>
          <w:b/>
          <w:bCs/>
          <w:rtl/>
        </w:rPr>
        <w:t>קובה"ע</w:t>
      </w:r>
      <w:r w:rsidRPr="00AF1DC8">
        <w:rPr>
          <w:rFonts w:ascii="Narkisim" w:hAnsi="Narkisim"/>
          <w:rtl/>
        </w:rPr>
        <w:t xml:space="preserve"> (ו ז) הוכיח מתי' הרשב"א, דהרשב"א כת' דהותרה לו וליכא איסור אשת אח, ואפ”ה אינה זקוקה לו. וע”כ הטעם משום דילפי' מדרכי נועם. דלא שייך 'נאסרה' היכא דליכא איסור אשת אח</w:t>
      </w:r>
      <w:r w:rsidRPr="00AF1DC8">
        <w:rPr>
          <w:rFonts w:ascii="Narkisim" w:hAnsi="Narkisim"/>
        </w:rPr>
        <w:t>.</w:t>
      </w:r>
    </w:p>
    <w:p w14:paraId="2B31CDB7"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רשב"א</w:t>
      </w:r>
      <w:r w:rsidRPr="00AF1DC8">
        <w:rPr>
          <w:rFonts w:ascii="Narkisim" w:hAnsi="Narkisim" w:cs="Narkisim"/>
          <w:rtl/>
        </w:rPr>
        <w:t xml:space="preserve"> (ד"ה ומתוך כך) חידש דאה"נ בסוגיין אינה זקוקה לו, אלא מותרת בלבד קאמר</w:t>
      </w:r>
      <w:r w:rsidRPr="00AF1DC8">
        <w:rPr>
          <w:rStyle w:val="ac"/>
          <w:rFonts w:ascii="Narkisim" w:hAnsi="Narkisim" w:cs="Narkisim"/>
          <w:rtl/>
        </w:rPr>
        <w:footnoteReference w:id="2435"/>
      </w:r>
      <w:r w:rsidRPr="00AF1DC8">
        <w:rPr>
          <w:rFonts w:ascii="Narkisim" w:hAnsi="Narkisim" w:cs="Narkisim"/>
        </w:rPr>
        <w:t xml:space="preserve">. </w:t>
      </w:r>
      <w:r w:rsidRPr="00AF1DC8">
        <w:rPr>
          <w:rFonts w:ascii="Narkisim" w:hAnsi="Narkisim" w:cs="Narkisim"/>
          <w:rtl/>
        </w:rPr>
        <w:t>שאלו רצה לישא אותה אינה אסורה לו [כפנויה בעלמא ע"י קידושין]. (ע' בסמוך)</w:t>
      </w:r>
      <w:r w:rsidRPr="00AF1DC8">
        <w:rPr>
          <w:rFonts w:ascii="Narkisim" w:hAnsi="Narkisim" w:cs="Narkisim"/>
        </w:rPr>
        <w:t>.</w:t>
      </w:r>
    </w:p>
    <w:p w14:paraId="30ADAE9D" w14:textId="77777777" w:rsidR="006074A5" w:rsidRPr="00AF1DC8" w:rsidRDefault="006074A5" w:rsidP="006074A5">
      <w:pPr>
        <w:bidi/>
        <w:rPr>
          <w:rFonts w:ascii="Narkisim" w:hAnsi="Narkisim" w:cs="Narkisim"/>
        </w:rPr>
      </w:pPr>
      <w:r w:rsidRPr="00AF1DC8">
        <w:rPr>
          <w:rFonts w:ascii="Narkisim" w:hAnsi="Narkisim" w:cs="Narkisim"/>
          <w:rtl/>
        </w:rPr>
        <w:t>אבל ה</w:t>
      </w:r>
      <w:r w:rsidRPr="00AF1DC8">
        <w:rPr>
          <w:rFonts w:ascii="Narkisim" w:hAnsi="Narkisim" w:cs="Narkisim"/>
          <w:b/>
          <w:bCs/>
          <w:rtl/>
        </w:rPr>
        <w:t xml:space="preserve">רמב"ם </w:t>
      </w:r>
      <w:r w:rsidRPr="00AF1DC8">
        <w:rPr>
          <w:rFonts w:ascii="Narkisim" w:hAnsi="Narkisim" w:cs="Narkisim"/>
          <w:rtl/>
        </w:rPr>
        <w:t>(ז ח) פסק דהיכא דמתה ארוסתו [אפי' מתו שאר היבמין], חזרה להיתירא, ורצה חולץ רצה מייבם.</w:t>
      </w:r>
      <w:r w:rsidRPr="00AF1DC8">
        <w:rPr>
          <w:rFonts w:ascii="Narkisim" w:hAnsi="Narkisim" w:cs="Narkisim"/>
          <w:sz w:val="20"/>
          <w:szCs w:val="20"/>
          <w:rtl/>
        </w:rPr>
        <w:t xml:space="preserve"> ומבואר דזקוקה עדיין ליבום [ודלא כרשב"א], ואף כשאין שאר אחים [ודלא כריטב"א], א"כ הדרא קושיית הרשב"א</w:t>
      </w:r>
      <w:r w:rsidRPr="00AF1DC8">
        <w:rPr>
          <w:rFonts w:ascii="Narkisim" w:hAnsi="Narkisim" w:cs="Narkisim"/>
        </w:rPr>
        <w:t>.</w:t>
      </w:r>
    </w:p>
    <w:p w14:paraId="12107B4E"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בית מאיר</w:t>
      </w:r>
      <w:r w:rsidRPr="00AF1DC8">
        <w:rPr>
          <w:rFonts w:ascii="Narkisim" w:hAnsi="Narkisim"/>
          <w:rtl/>
        </w:rPr>
        <w:t xml:space="preserve"> (קסה) כתב דהרמב"ם ס"ל דמדאורייתא אינה זקוקה שוב לייבום, כסברת הרשב"א. ומ"מ מדרבנן עדיין זקוקה</w:t>
      </w:r>
      <w:r w:rsidRPr="00AF1DC8">
        <w:rPr>
          <w:rStyle w:val="ac"/>
          <w:rFonts w:ascii="Narkisim" w:hAnsi="Narkisim"/>
          <w:rtl/>
        </w:rPr>
        <w:footnoteReference w:id="2436"/>
      </w:r>
      <w:r w:rsidRPr="00AF1DC8">
        <w:rPr>
          <w:rFonts w:ascii="Narkisim" w:hAnsi="Narkisim"/>
        </w:rPr>
        <w:t xml:space="preserve">. </w:t>
      </w:r>
      <w:r w:rsidRPr="00AF1DC8">
        <w:rPr>
          <w:rFonts w:ascii="Narkisim" w:hAnsi="Narkisim"/>
          <w:rtl/>
        </w:rPr>
        <w:t>אך ה</w:t>
      </w:r>
      <w:r w:rsidRPr="00AF1DC8">
        <w:rPr>
          <w:rFonts w:ascii="Narkisim" w:hAnsi="Narkisim"/>
          <w:b/>
          <w:bCs/>
          <w:rtl/>
        </w:rPr>
        <w:t>אחיעזר</w:t>
      </w:r>
      <w:r w:rsidRPr="00AF1DC8">
        <w:rPr>
          <w:rFonts w:ascii="Narkisim" w:hAnsi="Narkisim"/>
          <w:rtl/>
        </w:rPr>
        <w:t xml:space="preserve"> (א ב) ועוד </w:t>
      </w:r>
      <w:r w:rsidRPr="00AF1DC8">
        <w:rPr>
          <w:rFonts w:ascii="Narkisim" w:hAnsi="Narkisim"/>
          <w:b/>
          <w:bCs/>
          <w:rtl/>
        </w:rPr>
        <w:t>אחרונים</w:t>
      </w:r>
      <w:r w:rsidRPr="00AF1DC8">
        <w:rPr>
          <w:rFonts w:ascii="Narkisim" w:hAnsi="Narkisim"/>
          <w:rtl/>
        </w:rPr>
        <w:t xml:space="preserve"> נקטו בפשטות הרמב"ם משמע דזקוקה מדאורייתא</w:t>
      </w:r>
      <w:r w:rsidRPr="00AF1DC8">
        <w:rPr>
          <w:rStyle w:val="ac"/>
          <w:rFonts w:ascii="Narkisim" w:hAnsi="Narkisim"/>
          <w:rtl/>
        </w:rPr>
        <w:footnoteReference w:id="2437"/>
      </w:r>
      <w:r w:rsidRPr="00AF1DC8">
        <w:rPr>
          <w:rFonts w:ascii="Narkisim" w:hAnsi="Narkisim"/>
        </w:rPr>
        <w:t>.</w:t>
      </w:r>
    </w:p>
    <w:p w14:paraId="1D5710A4" w14:textId="77777777" w:rsidR="006074A5" w:rsidRPr="00AF1DC8" w:rsidRDefault="006074A5" w:rsidP="006074A5">
      <w:pPr>
        <w:pStyle w:val="a7"/>
        <w:bidi/>
        <w:rPr>
          <w:rFonts w:ascii="Narkisim" w:hAnsi="Narkisim"/>
        </w:rPr>
      </w:pPr>
      <w:r w:rsidRPr="00AF1DC8">
        <w:rPr>
          <w:rFonts w:ascii="Narkisim" w:hAnsi="Narkisim"/>
          <w:sz w:val="20"/>
          <w:szCs w:val="20"/>
          <w:rtl/>
        </w:rPr>
        <w:t>וב</w:t>
      </w:r>
      <w:r w:rsidRPr="00AF1DC8">
        <w:rPr>
          <w:rFonts w:ascii="Narkisim" w:hAnsi="Narkisim"/>
          <w:b/>
          <w:bCs/>
          <w:sz w:val="20"/>
          <w:szCs w:val="20"/>
          <w:rtl/>
        </w:rPr>
        <w:t>חי' ר' שמעון</w:t>
      </w:r>
      <w:r w:rsidRPr="00AF1DC8">
        <w:rPr>
          <w:rFonts w:ascii="Narkisim" w:hAnsi="Narkisim"/>
          <w:sz w:val="20"/>
          <w:szCs w:val="20"/>
          <w:rtl/>
        </w:rPr>
        <w:t xml:space="preserve"> (טו ז) פי' דברי הרמב"ם דלאחר התקנת חכמים שהיא זקוקה לחליצה [עכ”פ מדרבנן] עי"ז נחשב </w:t>
      </w:r>
      <w:r w:rsidRPr="00AF1DC8">
        <w:rPr>
          <w:rFonts w:ascii="Narkisim" w:hAnsi="Narkisim"/>
          <w:sz w:val="20"/>
          <w:szCs w:val="20"/>
          <w:rtl/>
        </w:rPr>
        <w:lastRenderedPageBreak/>
        <w:t>שפיר דרכי נועם [אף מדאורייתא]</w:t>
      </w:r>
      <w:r w:rsidRPr="00AF1DC8">
        <w:rPr>
          <w:rStyle w:val="ac"/>
          <w:rFonts w:ascii="Narkisim" w:hAnsi="Narkisim"/>
          <w:sz w:val="20"/>
          <w:szCs w:val="20"/>
          <w:rtl/>
        </w:rPr>
        <w:footnoteReference w:id="2438"/>
      </w:r>
      <w:r w:rsidRPr="00AF1DC8">
        <w:rPr>
          <w:rFonts w:ascii="Narkisim" w:hAnsi="Narkisim"/>
          <w:sz w:val="20"/>
          <w:szCs w:val="20"/>
        </w:rPr>
        <w:t xml:space="preserve">. </w:t>
      </w:r>
      <w:r w:rsidRPr="00AF1DC8">
        <w:rPr>
          <w:rFonts w:ascii="Narkisim" w:hAnsi="Narkisim"/>
          <w:sz w:val="20"/>
          <w:szCs w:val="20"/>
          <w:rtl/>
        </w:rPr>
        <w:t>א"נ אף דכשנעשית ערוה הותרה לשוק, מ”מ לא פקע ממנה 'שם יבמה', ולכן נחשב דרכי נועם לחזור וליזקק</w:t>
      </w:r>
      <w:r w:rsidRPr="00AF1DC8">
        <w:rPr>
          <w:rFonts w:ascii="Narkisim" w:hAnsi="Narkisim"/>
          <w:sz w:val="20"/>
          <w:szCs w:val="20"/>
        </w:rPr>
        <w:t>.</w:t>
      </w:r>
    </w:p>
    <w:p w14:paraId="30262AFC" w14:textId="77777777" w:rsidR="006074A5" w:rsidRPr="00AF1DC8" w:rsidRDefault="006074A5" w:rsidP="006074A5">
      <w:pPr>
        <w:bidi/>
        <w:rPr>
          <w:rFonts w:ascii="Narkisim" w:hAnsi="Narkisim" w:cs="Narkisim"/>
        </w:rPr>
      </w:pPr>
      <w:r w:rsidRPr="00AF1DC8">
        <w:rPr>
          <w:rFonts w:ascii="Narkisim" w:hAnsi="Narkisim" w:cs="Narkisim"/>
          <w:u w:val="single"/>
          <w:rtl/>
        </w:rPr>
        <w:t>שם. תחזור להתירא הראשון</w:t>
      </w:r>
      <w:r w:rsidRPr="00AF1DC8">
        <w:rPr>
          <w:rFonts w:ascii="Narkisim" w:hAnsi="Narkisim" w:cs="Narkisim"/>
          <w:rtl/>
        </w:rPr>
        <w:t>. בפשוטו חוזרת לזיקת יבום, ומותרת לו בתורת יבום. אבל ה</w:t>
      </w:r>
      <w:r w:rsidRPr="00AF1DC8">
        <w:rPr>
          <w:rFonts w:ascii="Narkisim" w:hAnsi="Narkisim" w:cs="Narkisim"/>
          <w:b/>
          <w:bCs/>
          <w:rtl/>
        </w:rPr>
        <w:t>רשב"א</w:t>
      </w:r>
      <w:r w:rsidRPr="00AF1DC8">
        <w:rPr>
          <w:rFonts w:ascii="Narkisim" w:hAnsi="Narkisim" w:cs="Narkisim"/>
          <w:rtl/>
        </w:rPr>
        <w:t xml:space="preserve"> (הנ"ל) חידש דהוה היתר בעלמא, ואינה זקוקה לו [דמותרת משום סברת דרכי נועם]. והרשב"א ביאר דבשעת נפילה הותרה לו, וכדאיתא (לעיל י:) לר' יוחנן דמי איכא מידי דמעיקרא היתה מותרת לו, א"כ שוב אינו חוזר לאיסור</w:t>
      </w:r>
      <w:r w:rsidRPr="00AF1DC8">
        <w:rPr>
          <w:rFonts w:ascii="Narkisim" w:hAnsi="Narkisim" w:cs="Narkisim"/>
        </w:rPr>
        <w:t>.</w:t>
      </w:r>
    </w:p>
    <w:p w14:paraId="434BE35B" w14:textId="77777777" w:rsidR="006074A5" w:rsidRPr="00AF1DC8" w:rsidRDefault="006074A5" w:rsidP="006074A5">
      <w:pPr>
        <w:pStyle w:val="a8"/>
        <w:bidi/>
        <w:rPr>
          <w:rFonts w:ascii="Narkisim" w:hAnsi="Narkisim"/>
        </w:rPr>
      </w:pPr>
      <w:r w:rsidRPr="00AF1DC8">
        <w:rPr>
          <w:rFonts w:ascii="Narkisim" w:hAnsi="Narkisim"/>
        </w:rPr>
        <w:t>[</w:t>
      </w:r>
      <w:r w:rsidRPr="00AF1DC8">
        <w:rPr>
          <w:rFonts w:ascii="Narkisim" w:hAnsi="Narkisim"/>
          <w:rtl/>
        </w:rPr>
        <w:t>והרשב"א נקט דעיקר סברת ר' יוחנן דכיון דהותרה בשעת נפילה אינה חוזרת לאיסור, אף לאחר חליצת אחיו</w:t>
      </w:r>
      <w:r w:rsidRPr="00AF1DC8">
        <w:rPr>
          <w:rStyle w:val="ac"/>
          <w:rFonts w:ascii="Narkisim" w:hAnsi="Narkisim"/>
          <w:rtl/>
        </w:rPr>
        <w:footnoteReference w:id="2439"/>
      </w:r>
      <w:r w:rsidRPr="00AF1DC8">
        <w:rPr>
          <w:rFonts w:ascii="Narkisim" w:hAnsi="Narkisim"/>
        </w:rPr>
        <w:t xml:space="preserve">. </w:t>
      </w:r>
      <w:r w:rsidRPr="00AF1DC8">
        <w:rPr>
          <w:rFonts w:ascii="Narkisim" w:hAnsi="Narkisim"/>
          <w:rtl/>
        </w:rPr>
        <w:t>אך פשטות הגמ' (שם) דסברת ר' יוחנן משום דהוה שליחותא דאחין</w:t>
      </w:r>
      <w:r w:rsidRPr="00AF1DC8">
        <w:rPr>
          <w:rStyle w:val="ac"/>
          <w:rFonts w:ascii="Narkisim" w:hAnsi="Narkisim"/>
          <w:rtl/>
        </w:rPr>
        <w:footnoteReference w:id="2440"/>
      </w:r>
      <w:r w:rsidRPr="00AF1DC8">
        <w:rPr>
          <w:rFonts w:ascii="Narkisim" w:hAnsi="Narkisim"/>
        </w:rPr>
        <w:t xml:space="preserve">. </w:t>
      </w:r>
      <w:r w:rsidRPr="00AF1DC8">
        <w:rPr>
          <w:rFonts w:ascii="Narkisim" w:hAnsi="Narkisim"/>
          <w:rtl/>
        </w:rPr>
        <w:t>וכן מבואר בתוס' (שם) ד'לא יבנה' מנתק מכרת</w:t>
      </w:r>
      <w:r w:rsidRPr="00AF1DC8">
        <w:rPr>
          <w:rFonts w:ascii="Narkisim" w:hAnsi="Narkisim"/>
        </w:rPr>
        <w:t>].</w:t>
      </w:r>
    </w:p>
    <w:p w14:paraId="515E03C8" w14:textId="77777777" w:rsidR="006074A5" w:rsidRPr="00AF1DC8" w:rsidRDefault="006074A5" w:rsidP="006074A5">
      <w:pPr>
        <w:pStyle w:val="a7"/>
        <w:bidi/>
        <w:rPr>
          <w:rFonts w:ascii="Narkisim" w:hAnsi="Narkisim"/>
        </w:rPr>
      </w:pPr>
      <w:r w:rsidRPr="00AF1DC8">
        <w:rPr>
          <w:rFonts w:ascii="Narkisim" w:hAnsi="Narkisim"/>
          <w:rtl/>
        </w:rPr>
        <w:t>ועפ"ז נקט הרשב"א דה"נ כיון דמעיקרא הותרה ליבום, אף שנאסרה אח"כ [באיסור אחות אשה], כיון שחוזרת להיתירא, ליכא איסור אשת אח. אבל אינה זקוקה שוב ליבום</w:t>
      </w:r>
      <w:r w:rsidRPr="00AF1DC8">
        <w:rPr>
          <w:rFonts w:ascii="Narkisim" w:hAnsi="Narkisim"/>
        </w:rPr>
        <w:t>.</w:t>
      </w:r>
    </w:p>
    <w:p w14:paraId="1EC3F4D0"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כתב וכ"ת דא"כ [דאין זה יבום], יעבור משום לא יבנה. ותי' דאיסור לא יבנה שייך רק כשנעשית מעשה [חליצה או יבום] באותו בית שדוחה. אבל ע"י ערוה הוה הפקעה בעלמא</w:t>
      </w:r>
      <w:r w:rsidRPr="00AF1DC8">
        <w:rPr>
          <w:rFonts w:ascii="Narkisim" w:hAnsi="Narkisim"/>
        </w:rPr>
        <w:t>.</w:t>
      </w:r>
    </w:p>
    <w:p w14:paraId="5E938B47"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 xml:space="preserve">אחרונים </w:t>
      </w:r>
      <w:r w:rsidRPr="00AF1DC8">
        <w:rPr>
          <w:rFonts w:ascii="Narkisim" w:hAnsi="Narkisim" w:cs="Narkisim"/>
          <w:rtl/>
        </w:rPr>
        <w:t>הביאו מדברי הרשב"א דאיסור אשת אח הותרה לגמרי בשעת נפילה</w:t>
      </w:r>
      <w:r w:rsidRPr="00AF1DC8">
        <w:rPr>
          <w:rStyle w:val="ac"/>
          <w:rFonts w:ascii="Narkisim" w:hAnsi="Narkisim" w:cs="Narkisim"/>
          <w:rtl/>
        </w:rPr>
        <w:footnoteReference w:id="2441"/>
      </w:r>
      <w:r w:rsidRPr="00AF1DC8">
        <w:rPr>
          <w:rFonts w:ascii="Narkisim" w:hAnsi="Narkisim" w:cs="Narkisim"/>
        </w:rPr>
        <w:t xml:space="preserve">, </w:t>
      </w:r>
      <w:r w:rsidRPr="00AF1DC8">
        <w:rPr>
          <w:rFonts w:ascii="Narkisim" w:hAnsi="Narkisim" w:cs="Narkisim"/>
          <w:rtl/>
        </w:rPr>
        <w:t>ואף כשאינה זקוקה לו ליבום</w:t>
      </w:r>
      <w:r w:rsidRPr="00AF1DC8">
        <w:rPr>
          <w:rStyle w:val="ac"/>
          <w:rFonts w:ascii="Narkisim" w:hAnsi="Narkisim" w:cs="Narkisim"/>
          <w:rtl/>
        </w:rPr>
        <w:footnoteReference w:id="2442"/>
      </w:r>
      <w:r w:rsidRPr="00AF1DC8">
        <w:rPr>
          <w:rFonts w:ascii="Narkisim" w:hAnsi="Narkisim" w:cs="Narkisim"/>
        </w:rPr>
        <w:t xml:space="preserve">. </w:t>
      </w:r>
      <w:r w:rsidRPr="00AF1DC8">
        <w:rPr>
          <w:rFonts w:ascii="Narkisim" w:hAnsi="Narkisim" w:cs="Narkisim"/>
          <w:rtl/>
        </w:rPr>
        <w:t xml:space="preserve">ואילו </w:t>
      </w:r>
      <w:r w:rsidRPr="00AF1DC8">
        <w:rPr>
          <w:rFonts w:ascii="Narkisim" w:hAnsi="Narkisim" w:cs="Narkisim"/>
          <w:b/>
          <w:bCs/>
          <w:rtl/>
        </w:rPr>
        <w:t>רש"י</w:t>
      </w:r>
      <w:r w:rsidRPr="00AF1DC8">
        <w:rPr>
          <w:rFonts w:ascii="Narkisim" w:hAnsi="Narkisim" w:cs="Narkisim"/>
          <w:rtl/>
        </w:rPr>
        <w:t xml:space="preserve"> (נב. ד"ה נתן) כתב דמאמר ל"ק מדאורייתא, דקאי באיסור אשת אח, והתורה לא התירה ליעשות כאשה אלא כסדר המצוה. משמע דהאיסור אשת אח קיים, אלא דהותר ע"י הזיקה</w:t>
      </w:r>
      <w:r w:rsidRPr="00AF1DC8">
        <w:rPr>
          <w:rStyle w:val="ac"/>
          <w:rFonts w:ascii="Narkisim" w:hAnsi="Narkisim" w:cs="Narkisim"/>
          <w:rtl/>
        </w:rPr>
        <w:footnoteReference w:id="2443"/>
      </w:r>
      <w:r w:rsidRPr="00AF1DC8">
        <w:rPr>
          <w:rFonts w:ascii="Narkisim" w:hAnsi="Narkisim" w:cs="Narkisim"/>
        </w:rPr>
        <w:t xml:space="preserve"> </w:t>
      </w:r>
      <w:r w:rsidRPr="00AF1DC8">
        <w:rPr>
          <w:rFonts w:ascii="Narkisim" w:hAnsi="Narkisim" w:cs="Narkisim"/>
          <w:rtl/>
        </w:rPr>
        <w:t>בכל רגע</w:t>
      </w:r>
      <w:r w:rsidRPr="00AF1DC8">
        <w:rPr>
          <w:rStyle w:val="ac"/>
          <w:rFonts w:ascii="Narkisim" w:hAnsi="Narkisim" w:cs="Narkisim"/>
          <w:rtl/>
        </w:rPr>
        <w:footnoteReference w:id="2444"/>
      </w:r>
      <w:r w:rsidRPr="00AF1DC8">
        <w:rPr>
          <w:rFonts w:ascii="Narkisim" w:hAnsi="Narkisim" w:cs="Narkisim"/>
        </w:rPr>
        <w:t>.</w:t>
      </w:r>
    </w:p>
    <w:p w14:paraId="5D531A14" w14:textId="77777777" w:rsidR="006074A5" w:rsidRPr="00AF1DC8" w:rsidRDefault="006074A5" w:rsidP="006074A5">
      <w:pPr>
        <w:pStyle w:val="a8"/>
        <w:bidi/>
        <w:rPr>
          <w:rFonts w:ascii="Narkisim" w:hAnsi="Narkisim"/>
        </w:rPr>
      </w:pPr>
      <w:r w:rsidRPr="00AF1DC8">
        <w:rPr>
          <w:rFonts w:ascii="Narkisim" w:hAnsi="Narkisim"/>
          <w:rtl/>
        </w:rPr>
        <w:t>וכן בפשוטו מבואר בתוס' (לעיל ג:) דאיסור אשת אח נדחית במקום יבום. ולא הותרה לגמרי בשעת נפילה</w:t>
      </w:r>
      <w:r w:rsidRPr="00AF1DC8">
        <w:rPr>
          <w:rStyle w:val="ac"/>
          <w:rFonts w:ascii="Narkisim" w:hAnsi="Narkisim"/>
          <w:rtl/>
        </w:rPr>
        <w:footnoteReference w:id="2445"/>
      </w:r>
      <w:r w:rsidRPr="00AF1DC8">
        <w:rPr>
          <w:rFonts w:ascii="Narkisim" w:hAnsi="Narkisim"/>
        </w:rPr>
        <w:t>.</w:t>
      </w:r>
    </w:p>
    <w:p w14:paraId="581C51B2" w14:textId="77777777" w:rsidR="006074A5" w:rsidRPr="00AF1DC8" w:rsidRDefault="006074A5" w:rsidP="006074A5">
      <w:pPr>
        <w:pStyle w:val="a8"/>
        <w:bidi/>
        <w:rPr>
          <w:rFonts w:ascii="Narkisim" w:hAnsi="Narkisim"/>
        </w:rPr>
      </w:pPr>
      <w:r w:rsidRPr="00AF1DC8">
        <w:rPr>
          <w:rFonts w:ascii="Narkisim" w:hAnsi="Narkisim"/>
          <w:rtl/>
        </w:rPr>
        <w:t>ועוד הביאו ה</w:t>
      </w:r>
      <w:r w:rsidRPr="00AF1DC8">
        <w:rPr>
          <w:rFonts w:ascii="Narkisim" w:hAnsi="Narkisim"/>
          <w:b/>
          <w:bCs/>
          <w:rtl/>
        </w:rPr>
        <w:t>אחרונים</w:t>
      </w:r>
      <w:r w:rsidRPr="00AF1DC8">
        <w:rPr>
          <w:rFonts w:ascii="Narkisim" w:hAnsi="Narkisim"/>
          <w:rtl/>
        </w:rPr>
        <w:t xml:space="preserve"> דמבואר ב</w:t>
      </w:r>
      <w:r w:rsidRPr="00AF1DC8">
        <w:rPr>
          <w:rFonts w:ascii="Narkisim" w:hAnsi="Narkisim"/>
          <w:b/>
          <w:bCs/>
          <w:rtl/>
        </w:rPr>
        <w:t xml:space="preserve">תוס' </w:t>
      </w:r>
      <w:r w:rsidRPr="00AF1DC8">
        <w:rPr>
          <w:rFonts w:ascii="Narkisim" w:hAnsi="Narkisim"/>
          <w:rtl/>
        </w:rPr>
        <w:t>(קידושין נ:) לר' שמעון בב' אחיות שנפלו, שנעשות צרה בזיקה. ומבואר בתוס' דחייבין עליה משום אשת אח. ומשמע דאף האחות שנפלה ראשונה והותרה ליבום, כיון שאח"כ נעשית  ערוה עליו, חוזר עליה האיסור אשת אח</w:t>
      </w:r>
      <w:r w:rsidRPr="00AF1DC8">
        <w:rPr>
          <w:rFonts w:ascii="Narkisim" w:hAnsi="Narkisim"/>
        </w:rPr>
        <w:t>.</w:t>
      </w:r>
    </w:p>
    <w:p w14:paraId="51771119"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ה</w:t>
      </w:r>
      <w:r w:rsidRPr="00AF1DC8">
        <w:rPr>
          <w:rFonts w:ascii="Narkisim" w:hAnsi="Narkisim" w:cs="Narkisim"/>
          <w:b/>
          <w:bCs/>
          <w:rtl/>
        </w:rPr>
        <w:t>אחרונים</w:t>
      </w:r>
      <w:r w:rsidRPr="00AF1DC8">
        <w:rPr>
          <w:rFonts w:ascii="Narkisim" w:hAnsi="Narkisim" w:cs="Narkisim"/>
          <w:rtl/>
        </w:rPr>
        <w:t xml:space="preserve"> (אחיעזר שם, חזו"א קלד טו) דנו במקום שיש עוד אחים, דעדיין זקוקה להם ליבום או חליצה, האם מותרת לזה שהותרה ונאסרה והותרה [לדעת הרשב”א]. או דיש בזה איסור יבמה לשוק</w:t>
      </w:r>
      <w:r w:rsidRPr="00AF1DC8">
        <w:rPr>
          <w:rStyle w:val="ac"/>
          <w:rFonts w:ascii="Narkisim" w:hAnsi="Narkisim" w:cs="Narkisim"/>
          <w:rtl/>
        </w:rPr>
        <w:footnoteReference w:id="2446"/>
      </w:r>
      <w:r w:rsidRPr="00AF1DC8">
        <w:rPr>
          <w:rFonts w:ascii="Narkisim" w:hAnsi="Narkisim" w:cs="Narkisim"/>
        </w:rPr>
        <w:t>.</w:t>
      </w:r>
    </w:p>
    <w:p w14:paraId="5FD7DA73" w14:textId="77777777" w:rsidR="006074A5" w:rsidRPr="00AF1DC8" w:rsidRDefault="006074A5" w:rsidP="006074A5">
      <w:pPr>
        <w:bidi/>
        <w:rPr>
          <w:rFonts w:ascii="Narkisim" w:hAnsi="Narkisim" w:cs="Narkisim"/>
        </w:rPr>
      </w:pPr>
      <w:r w:rsidRPr="00AF1DC8">
        <w:rPr>
          <w:rFonts w:ascii="Narkisim" w:hAnsi="Narkisim" w:cs="Narkisim"/>
          <w:u w:val="single"/>
          <w:rtl/>
        </w:rPr>
        <w:t>שמואל ורב אסי וכו' אסור ביבמתו</w:t>
      </w:r>
      <w:r w:rsidRPr="00AF1DC8">
        <w:rPr>
          <w:rFonts w:ascii="Narkisim" w:hAnsi="Narkisim" w:cs="Narkisim"/>
          <w:rtl/>
        </w:rPr>
        <w:t>. כיון דנאסרה עליו [אף שלא בשעת נפילה] אינה חוזרת להתירא. ובפשוטו ס"ל דבשעה שנעשית ערוה 'נאסרה' וחוזרת לאיסור אשת אח, ואסורה לעולם. ופליג על יסודו של הרשב"א דהותרה בשעת נפילה</w:t>
      </w:r>
      <w:r w:rsidRPr="00AF1DC8">
        <w:rPr>
          <w:rFonts w:ascii="Narkisim" w:hAnsi="Narkisim" w:cs="Narkisim"/>
        </w:rPr>
        <w:t>.</w:t>
      </w:r>
    </w:p>
    <w:p w14:paraId="76E45CF8" w14:textId="77777777" w:rsidR="006074A5" w:rsidRPr="00AF1DC8" w:rsidRDefault="006074A5" w:rsidP="006074A5">
      <w:pPr>
        <w:pStyle w:val="a7"/>
        <w:bidi/>
        <w:rPr>
          <w:rFonts w:ascii="Narkisim" w:hAnsi="Narkisim"/>
        </w:rPr>
      </w:pPr>
      <w:r w:rsidRPr="00AF1DC8">
        <w:rPr>
          <w:rFonts w:ascii="Narkisim" w:hAnsi="Narkisim"/>
          <w:rtl/>
        </w:rPr>
        <w:t>וכן דעת ריש לקיש (לעיל י:, ושמואל מ:) דחייב על הצרות כרת, ולא אמרי' דהותרה בשעת נפילה</w:t>
      </w:r>
      <w:r w:rsidRPr="00AF1DC8">
        <w:rPr>
          <w:rStyle w:val="ac"/>
          <w:rFonts w:ascii="Narkisim" w:hAnsi="Narkisim"/>
          <w:rtl/>
        </w:rPr>
        <w:footnoteReference w:id="2447"/>
      </w:r>
      <w:r w:rsidRPr="00AF1DC8">
        <w:rPr>
          <w:rFonts w:ascii="Narkisim" w:hAnsi="Narkisim"/>
        </w:rPr>
        <w:t xml:space="preserve">. </w:t>
      </w:r>
      <w:r w:rsidRPr="00AF1DC8">
        <w:rPr>
          <w:rFonts w:ascii="Narkisim" w:hAnsi="Narkisim"/>
          <w:rtl/>
        </w:rPr>
        <w:t>וה</w:t>
      </w:r>
      <w:r w:rsidRPr="00AF1DC8">
        <w:rPr>
          <w:rFonts w:ascii="Narkisim" w:hAnsi="Narkisim"/>
          <w:b/>
          <w:bCs/>
          <w:rtl/>
        </w:rPr>
        <w:t>אחיעזר</w:t>
      </w:r>
      <w:r w:rsidRPr="00AF1DC8">
        <w:rPr>
          <w:rFonts w:ascii="Narkisim" w:hAnsi="Narkisim"/>
          <w:rtl/>
        </w:rPr>
        <w:t xml:space="preserve"> (ב) כתב דעפ"ז א"ש דשמואל לשיטתו דס"ל (מ:) כר"ל</w:t>
      </w:r>
      <w:r w:rsidRPr="00AF1DC8">
        <w:rPr>
          <w:rFonts w:ascii="Narkisim" w:hAnsi="Narkisim"/>
        </w:rPr>
        <w:t>.</w:t>
      </w:r>
    </w:p>
    <w:p w14:paraId="31CF8537" w14:textId="77777777" w:rsidR="006074A5" w:rsidRPr="00AF1DC8" w:rsidRDefault="006074A5" w:rsidP="006074A5">
      <w:pPr>
        <w:pStyle w:val="a7"/>
        <w:bidi/>
        <w:rPr>
          <w:rFonts w:ascii="Narkisim" w:hAnsi="Narkisim"/>
        </w:rPr>
      </w:pPr>
      <w:r w:rsidRPr="00AF1DC8">
        <w:rPr>
          <w:rFonts w:ascii="Narkisim" w:hAnsi="Narkisim"/>
          <w:rtl/>
        </w:rPr>
        <w:t>אבל ב</w:t>
      </w:r>
      <w:r w:rsidRPr="00AF1DC8">
        <w:rPr>
          <w:rFonts w:ascii="Narkisim" w:hAnsi="Narkisim"/>
          <w:b/>
          <w:bCs/>
          <w:rtl/>
        </w:rPr>
        <w:t>חי' ר' ראובן</w:t>
      </w:r>
      <w:r w:rsidRPr="00AF1DC8">
        <w:rPr>
          <w:rFonts w:ascii="Narkisim" w:hAnsi="Narkisim"/>
          <w:rtl/>
        </w:rPr>
        <w:t xml:space="preserve"> (ו) כתב דהיכא דבטלה הזיקה [אף לדברי הרשב"א] חוזרת לאיסור אשת אח. [דאינו אשת אח במקום יבום. דכיון דהוה ערוה בטל מצב הנפילה]. ולפ"ז בזה נח' האם </w:t>
      </w:r>
      <w:r w:rsidRPr="00AF1DC8">
        <w:rPr>
          <w:rFonts w:ascii="Narkisim" w:hAnsi="Narkisim"/>
          <w:rtl/>
        </w:rPr>
        <w:lastRenderedPageBreak/>
        <w:t>ע"י דהוה ערוה נחשב דבטלה הנפילה, וכן לר"ל מתברר ע"י החליצה דרק הצרה הוה 'יבמה</w:t>
      </w:r>
      <w:r w:rsidRPr="00AF1DC8">
        <w:rPr>
          <w:rFonts w:ascii="Narkisim" w:hAnsi="Narkisim"/>
        </w:rPr>
        <w:t>'.</w:t>
      </w:r>
    </w:p>
    <w:p w14:paraId="013650D9" w14:textId="77777777" w:rsidR="006074A5" w:rsidRPr="00AF1DC8" w:rsidRDefault="006074A5" w:rsidP="006074A5">
      <w:pPr>
        <w:bidi/>
        <w:rPr>
          <w:rFonts w:ascii="Narkisim" w:hAnsi="Narkisim" w:cs="Narkisim"/>
        </w:rPr>
      </w:pPr>
      <w:r w:rsidRPr="00AF1DC8">
        <w:rPr>
          <w:rFonts w:ascii="Narkisim" w:hAnsi="Narkisim" w:cs="Narkisim"/>
          <w:u w:val="single"/>
          <w:rtl/>
        </w:rPr>
        <w:t>שם. אסור ביבמתו</w:t>
      </w:r>
      <w:r w:rsidRPr="00AF1DC8">
        <w:rPr>
          <w:rFonts w:ascii="Narkisim" w:hAnsi="Narkisim" w:cs="Narkisim"/>
          <w:rtl/>
        </w:rPr>
        <w:t>. ה</w:t>
      </w:r>
      <w:r w:rsidRPr="00AF1DC8">
        <w:rPr>
          <w:rFonts w:ascii="Narkisim" w:hAnsi="Narkisim" w:cs="Narkisim"/>
          <w:b/>
          <w:bCs/>
          <w:rtl/>
        </w:rPr>
        <w:t>אחרונים</w:t>
      </w:r>
      <w:r w:rsidRPr="00AF1DC8">
        <w:rPr>
          <w:rFonts w:ascii="Narkisim" w:hAnsi="Narkisim" w:cs="Narkisim"/>
          <w:rtl/>
        </w:rPr>
        <w:t xml:space="preserve"> הקשו ד</w:t>
      </w:r>
      <w:r w:rsidRPr="00AF1DC8">
        <w:rPr>
          <w:rFonts w:ascii="Narkisim" w:hAnsi="Narkisim" w:cs="Narkisim"/>
          <w:b/>
          <w:bCs/>
          <w:rtl/>
        </w:rPr>
        <w:t>תוס'</w:t>
      </w:r>
      <w:r w:rsidRPr="00AF1DC8">
        <w:rPr>
          <w:rFonts w:ascii="Narkisim" w:hAnsi="Narkisim" w:cs="Narkisim"/>
          <w:rtl/>
        </w:rPr>
        <w:t xml:space="preserve"> (לעיל טז. ד"ה בני) כת' [דלשמואל] קידושין תפסי ביבמה לשוק, ומ"מ לא פקע זיקה כיון דבידה לגרשה [או מגזיה"כ]. וקשה לשמואל לשיטתו אמאי לא אמרי' דנאסרה בשעה שנתקדשה לאחר. וה</w:t>
      </w:r>
      <w:r w:rsidRPr="00AF1DC8">
        <w:rPr>
          <w:rFonts w:ascii="Narkisim" w:hAnsi="Narkisim" w:cs="Narkisim"/>
          <w:b/>
          <w:bCs/>
          <w:rtl/>
        </w:rPr>
        <w:t>קר"א</w:t>
      </w:r>
      <w:r w:rsidRPr="00AF1DC8">
        <w:rPr>
          <w:rFonts w:ascii="Narkisim" w:hAnsi="Narkisim" w:cs="Narkisim"/>
          <w:rtl/>
        </w:rPr>
        <w:t xml:space="preserve"> כתב דכיון דבידו לגרשה לא אמרי' נאסרה</w:t>
      </w:r>
      <w:r w:rsidRPr="00AF1DC8">
        <w:rPr>
          <w:rStyle w:val="ac"/>
          <w:rFonts w:ascii="Narkisim" w:hAnsi="Narkisim" w:cs="Narkisim"/>
          <w:rtl/>
        </w:rPr>
        <w:footnoteReference w:id="2448"/>
      </w:r>
      <w:r w:rsidRPr="00AF1DC8">
        <w:rPr>
          <w:rFonts w:ascii="Narkisim" w:hAnsi="Narkisim" w:cs="Narkisim"/>
        </w:rPr>
        <w:t>.</w:t>
      </w:r>
    </w:p>
    <w:p w14:paraId="1BC83B59"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אחיעזר</w:t>
      </w:r>
      <w:r w:rsidRPr="00AF1DC8">
        <w:rPr>
          <w:rFonts w:ascii="Narkisim" w:hAnsi="Narkisim"/>
          <w:rtl/>
        </w:rPr>
        <w:t xml:space="preserve"> (ב) דן דע"כ ערוה לאחר נפילה אינו דין 'פטור' דילפי' מעליה, אלא דהוה הפקעה מדין יבום וחליצה. וה</w:t>
      </w:r>
      <w:r w:rsidRPr="00AF1DC8">
        <w:rPr>
          <w:rFonts w:ascii="Narkisim" w:hAnsi="Narkisim"/>
          <w:b/>
          <w:bCs/>
          <w:rtl/>
        </w:rPr>
        <w:t>אחרונים</w:t>
      </w:r>
      <w:r w:rsidRPr="00AF1DC8">
        <w:rPr>
          <w:rFonts w:ascii="Narkisim" w:hAnsi="Narkisim"/>
          <w:rtl/>
        </w:rPr>
        <w:t xml:space="preserve"> הקשה דתוס' כתבו כן אף בדעת שמואל</w:t>
      </w:r>
      <w:r w:rsidRPr="00AF1DC8">
        <w:rPr>
          <w:rStyle w:val="ac"/>
          <w:rFonts w:ascii="Narkisim" w:hAnsi="Narkisim"/>
          <w:rtl/>
        </w:rPr>
        <w:footnoteReference w:id="2449"/>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(ע' חי' ר' ראובן שם ועוד) דנו די"ל דילפי' מ'עליה' גדר פטור, אלא שמ"מ כיון דהוה כבר נפילה, לא נחשב דהפטור מפקיע את הנפילה לגמרי</w:t>
      </w:r>
      <w:r w:rsidRPr="00AF1DC8">
        <w:rPr>
          <w:rFonts w:ascii="Narkisim" w:hAnsi="Narkisim"/>
        </w:rPr>
        <w:t>.</w:t>
      </w:r>
    </w:p>
    <w:p w14:paraId="6B9986BE" w14:textId="77777777" w:rsidR="006074A5" w:rsidRPr="00AF1DC8" w:rsidRDefault="006074A5" w:rsidP="006074A5">
      <w:pPr>
        <w:bidi/>
        <w:rPr>
          <w:rFonts w:ascii="Narkisim" w:hAnsi="Narkisim" w:cs="Narkisim"/>
        </w:rPr>
      </w:pPr>
      <w:r w:rsidRPr="00AF1DC8">
        <w:rPr>
          <w:rFonts w:ascii="Narkisim" w:hAnsi="Narkisim" w:cs="Narkisim"/>
          <w:u w:val="single"/>
          <w:rtl/>
        </w:rPr>
        <w:t>מתיב רב המנונא וכו' ואח”כ מת אחיו השני, ואח”כ מתה אשתו וכו' חולצת ולא מתייבמת.</w:t>
      </w:r>
      <w:r w:rsidRPr="00AF1DC8">
        <w:rPr>
          <w:rFonts w:ascii="Narkisim" w:hAnsi="Narkisim" w:cs="Narkisim"/>
          <w:rtl/>
        </w:rPr>
        <w:t xml:space="preserve"> דהותרה ונאסרה באיסור אחות זקוקתו, ולדעת שמואל אינה חוזרת להיתירא. ה</w:t>
      </w:r>
      <w:r w:rsidRPr="00AF1DC8">
        <w:rPr>
          <w:rFonts w:ascii="Narkisim" w:hAnsi="Narkisim" w:cs="Narkisim"/>
          <w:b/>
          <w:bCs/>
          <w:rtl/>
        </w:rPr>
        <w:t>רמב"ן</w:t>
      </w:r>
      <w:r w:rsidRPr="00AF1DC8">
        <w:rPr>
          <w:rFonts w:ascii="Narkisim" w:hAnsi="Narkisim" w:cs="Narkisim"/>
          <w:rtl/>
        </w:rPr>
        <w:t xml:space="preserve"> הקשה דהכא הוה איסור דרבנן, ודעת רב (לעיל כז:) דלא אמרי' נאסרה בדרבנן [אף בלא הותרה ונאסרה]. וכה"ק ה</w:t>
      </w:r>
      <w:r w:rsidRPr="00AF1DC8">
        <w:rPr>
          <w:rFonts w:ascii="Narkisim" w:hAnsi="Narkisim" w:cs="Narkisim"/>
          <w:b/>
          <w:bCs/>
          <w:rtl/>
        </w:rPr>
        <w:t>מהרש"א</w:t>
      </w:r>
      <w:r w:rsidRPr="00AF1DC8">
        <w:rPr>
          <w:rFonts w:ascii="Narkisim" w:hAnsi="Narkisim" w:cs="Narkisim"/>
          <w:b/>
          <w:bCs/>
        </w:rPr>
        <w:t>.</w:t>
      </w:r>
    </w:p>
    <w:p w14:paraId="7BD32251"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הק' עוד א"כ היכי מייתי מדברי ר"א, דהא לא מצאנו דר"א ס"ל נאסרה בדרבנן</w:t>
      </w:r>
      <w:r w:rsidRPr="00AF1DC8">
        <w:rPr>
          <w:rFonts w:ascii="Narkisim" w:hAnsi="Narkisim"/>
        </w:rPr>
        <w:t>.</w:t>
      </w:r>
    </w:p>
    <w:p w14:paraId="6DD8663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תי' דכיון דר”א מחמיר כולי האי [דנאסרה בנישואין מפילין</w:t>
      </w:r>
      <w:r w:rsidRPr="00AF1DC8">
        <w:rPr>
          <w:rStyle w:val="ac"/>
          <w:rFonts w:ascii="Narkisim" w:hAnsi="Narkisim"/>
          <w:rtl/>
        </w:rPr>
        <w:footnoteReference w:id="2450"/>
      </w:r>
      <w:r w:rsidRPr="00AF1DC8">
        <w:rPr>
          <w:rFonts w:ascii="Narkisim" w:hAnsi="Narkisim"/>
          <w:rtl/>
        </w:rPr>
        <w:t>], מסתבר דאף בדרבנן אמרי' נאסרה. ועוד תי' ה</w:t>
      </w:r>
      <w:r w:rsidRPr="00AF1DC8">
        <w:rPr>
          <w:rFonts w:ascii="Narkisim" w:hAnsi="Narkisim"/>
          <w:b/>
          <w:bCs/>
          <w:rtl/>
        </w:rPr>
        <w:t>רמב”ן</w:t>
      </w:r>
      <w:r w:rsidRPr="00AF1DC8">
        <w:rPr>
          <w:rFonts w:ascii="Narkisim" w:hAnsi="Narkisim"/>
          <w:rtl/>
        </w:rPr>
        <w:t xml:space="preserve"> [וכ"כ הריטב"א] דסוגיין ס"ל דהא דאינו נישואין מפילין הוה רק מדרבנן, דהא ר"א קאמר דחולצת</w:t>
      </w:r>
      <w:r w:rsidRPr="00AF1DC8">
        <w:rPr>
          <w:rStyle w:val="ac"/>
          <w:rFonts w:ascii="Narkisim" w:hAnsi="Narkisim"/>
          <w:rtl/>
        </w:rPr>
        <w:footnoteReference w:id="2451"/>
      </w:r>
      <w:r w:rsidRPr="00AF1DC8">
        <w:rPr>
          <w:rFonts w:ascii="Narkisim" w:hAnsi="Narkisim"/>
        </w:rPr>
        <w:t xml:space="preserve">. </w:t>
      </w:r>
      <w:r w:rsidRPr="00AF1DC8">
        <w:rPr>
          <w:rFonts w:ascii="Narkisim" w:hAnsi="Narkisim"/>
          <w:sz w:val="20"/>
          <w:szCs w:val="20"/>
          <w:rtl/>
        </w:rPr>
        <w:t>[וה</w:t>
      </w:r>
      <w:r w:rsidRPr="00AF1DC8">
        <w:rPr>
          <w:rFonts w:ascii="Narkisim" w:hAnsi="Narkisim"/>
          <w:b/>
          <w:bCs/>
          <w:sz w:val="20"/>
          <w:szCs w:val="20"/>
          <w:rtl/>
        </w:rPr>
        <w:t>ריטב"א</w:t>
      </w:r>
      <w:r w:rsidRPr="00AF1DC8">
        <w:rPr>
          <w:rFonts w:ascii="Narkisim" w:hAnsi="Narkisim"/>
          <w:sz w:val="20"/>
          <w:szCs w:val="20"/>
          <w:rtl/>
        </w:rPr>
        <w:t xml:space="preserve"> כתב דס"ל כלישנא בתרא (לקמן קט.) דסברת ר"א משום גזירה אטו המגרש קטנה ומחזירה מדרבנן</w:t>
      </w:r>
      <w:r w:rsidRPr="00AF1DC8">
        <w:rPr>
          <w:rStyle w:val="ac"/>
          <w:rFonts w:ascii="Narkisim" w:hAnsi="Narkisim"/>
          <w:sz w:val="20"/>
          <w:szCs w:val="20"/>
          <w:rtl/>
        </w:rPr>
        <w:footnoteReference w:id="2452"/>
      </w:r>
      <w:r w:rsidRPr="00AF1DC8">
        <w:rPr>
          <w:rFonts w:ascii="Narkisim" w:hAnsi="Narkisim"/>
          <w:sz w:val="20"/>
          <w:szCs w:val="20"/>
          <w:rtl/>
        </w:rPr>
        <w:t>]</w:t>
      </w:r>
      <w:r w:rsidRPr="00AF1DC8">
        <w:rPr>
          <w:rFonts w:ascii="Narkisim" w:hAnsi="Narkisim"/>
        </w:rPr>
        <w:t>.</w:t>
      </w:r>
    </w:p>
    <w:p w14:paraId="21D78396" w14:textId="77777777" w:rsidR="006074A5" w:rsidRPr="00AF1DC8" w:rsidRDefault="006074A5" w:rsidP="006074A5">
      <w:pPr>
        <w:pStyle w:val="a8"/>
        <w:bidi/>
        <w:rPr>
          <w:rFonts w:ascii="Narkisim" w:hAnsi="Narkisim"/>
        </w:rPr>
      </w:pPr>
      <w:r w:rsidRPr="00AF1DC8">
        <w:rPr>
          <w:rFonts w:ascii="Narkisim" w:hAnsi="Narkisim"/>
          <w:rtl/>
        </w:rPr>
        <w:t>והרמב"ן ביאר דכמו שהלכו אחר נשואין הראשונה לגבי צרות [לעיל ל: ע"פ דברי ה</w:t>
      </w:r>
      <w:r w:rsidRPr="00AF1DC8">
        <w:rPr>
          <w:rFonts w:ascii="Narkisim" w:hAnsi="Narkisim"/>
          <w:b/>
          <w:bCs/>
          <w:rtl/>
        </w:rPr>
        <w:t>רי"ף</w:t>
      </w:r>
      <w:r w:rsidRPr="00AF1DC8">
        <w:rPr>
          <w:rFonts w:ascii="Narkisim" w:hAnsi="Narkisim"/>
          <w:rtl/>
        </w:rPr>
        <w:t>]. הילכך אף שעה א' דאיסור מדבריהם אוסרת</w:t>
      </w:r>
      <w:r w:rsidRPr="00AF1DC8">
        <w:rPr>
          <w:rFonts w:ascii="Narkisim" w:hAnsi="Narkisim"/>
        </w:rPr>
        <w:t>.</w:t>
      </w:r>
    </w:p>
    <w:p w14:paraId="63DFDF57" w14:textId="77777777" w:rsidR="006074A5" w:rsidRPr="00AF1DC8" w:rsidRDefault="006074A5" w:rsidP="006074A5">
      <w:pPr>
        <w:bidi/>
        <w:rPr>
          <w:rFonts w:ascii="Narkisim" w:hAnsi="Narkisim" w:cs="Narkisim"/>
        </w:rPr>
      </w:pPr>
      <w:r w:rsidRPr="00AF1DC8">
        <w:rPr>
          <w:rFonts w:ascii="Narkisim" w:hAnsi="Narkisim" w:cs="Narkisim"/>
          <w:u w:val="single"/>
          <w:rtl/>
        </w:rPr>
        <w:t>ר"א היא דאמר כיון שעמדה עליו שעה א' באיסור, נאסרה עליו עולמית 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ר"א (לקמן קט. לחד תי') דס"ל דהמגרש והחזיר ומת אינה מתייבמת, דנאסרה ע"י הגירושין מחמת נשואין מפילין</w:t>
      </w:r>
      <w:r w:rsidRPr="00AF1DC8">
        <w:rPr>
          <w:rStyle w:val="ac"/>
          <w:rFonts w:ascii="Narkisim" w:hAnsi="Narkisim" w:cs="Narkisim"/>
          <w:rtl/>
        </w:rPr>
        <w:footnoteReference w:id="2453"/>
      </w:r>
      <w:r w:rsidRPr="00AF1DC8">
        <w:rPr>
          <w:rFonts w:ascii="Narkisim" w:hAnsi="Narkisim" w:cs="Narkisim"/>
        </w:rPr>
        <w:t>.</w:t>
      </w:r>
    </w:p>
    <w:p w14:paraId="1E88023F" w14:textId="77777777" w:rsidR="006074A5" w:rsidRPr="00AF1DC8" w:rsidRDefault="006074A5" w:rsidP="006074A5">
      <w:pPr>
        <w:pStyle w:val="a7"/>
        <w:bidi/>
        <w:rPr>
          <w:rFonts w:ascii="Narkisim" w:hAnsi="Narkisim"/>
        </w:rPr>
      </w:pPr>
      <w:r w:rsidRPr="00AF1DC8">
        <w:rPr>
          <w:rFonts w:ascii="Narkisim" w:hAnsi="Narkisim"/>
          <w:rtl/>
        </w:rPr>
        <w:t>וצ”ב אמאי הותרה ונאסרה שייכא לר”א. [וכה"ק ה</w:t>
      </w:r>
      <w:r w:rsidRPr="00AF1DC8">
        <w:rPr>
          <w:rFonts w:ascii="Narkisim" w:hAnsi="Narkisim"/>
          <w:b/>
          <w:bCs/>
          <w:rtl/>
        </w:rPr>
        <w:t>ריטב"א</w:t>
      </w:r>
      <w:r w:rsidRPr="00AF1DC8">
        <w:rPr>
          <w:rStyle w:val="ac"/>
          <w:rFonts w:ascii="Narkisim" w:hAnsi="Narkisim"/>
          <w:rtl/>
        </w:rPr>
        <w:footnoteReference w:id="2454"/>
      </w:r>
      <w:r w:rsidRPr="00AF1DC8">
        <w:rPr>
          <w:rFonts w:ascii="Narkisim" w:hAnsi="Narkisim"/>
          <w:rtl/>
        </w:rPr>
        <w:t>]. וה</w:t>
      </w:r>
      <w:r w:rsidRPr="00AF1DC8">
        <w:rPr>
          <w:rFonts w:ascii="Narkisim" w:hAnsi="Narkisim"/>
          <w:b/>
          <w:bCs/>
          <w:rtl/>
        </w:rPr>
        <w:t>רמב"ן</w:t>
      </w:r>
      <w:r w:rsidRPr="00AF1DC8">
        <w:rPr>
          <w:rFonts w:ascii="Narkisim" w:hAnsi="Narkisim"/>
          <w:rtl/>
        </w:rPr>
        <w:t xml:space="preserve"> ביאר דבתחילת הנישואין היתה מותרת, ואח”כ נאסרה. ועי”ז דמי להותרה ונאסרה</w:t>
      </w:r>
      <w:r w:rsidRPr="00AF1DC8">
        <w:rPr>
          <w:rFonts w:ascii="Narkisim" w:hAnsi="Narkisim"/>
        </w:rPr>
        <w:t>.</w:t>
      </w:r>
    </w:p>
    <w:p w14:paraId="62CAE51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(חי' ר' שמעון) תמהו דל”ד להותרה ונאסרה, דהתם לא הותרה בפועל ולא נפלה ליבום. [אלא דהוה סיבה בעלמא]</w:t>
      </w:r>
      <w:r w:rsidRPr="00AF1DC8">
        <w:rPr>
          <w:rFonts w:ascii="Narkisim" w:hAnsi="Narkisim"/>
        </w:rPr>
        <w:t>.</w:t>
      </w:r>
    </w:p>
    <w:p w14:paraId="1CC41BD2" w14:textId="77777777" w:rsidR="006074A5" w:rsidRPr="00AF1DC8" w:rsidRDefault="006074A5" w:rsidP="006074A5">
      <w:pPr>
        <w:pStyle w:val="a7"/>
        <w:bidi/>
        <w:rPr>
          <w:rFonts w:ascii="Narkisim" w:hAnsi="Narkisim"/>
        </w:rPr>
      </w:pPr>
      <w:r w:rsidRPr="00AF1DC8">
        <w:rPr>
          <w:rFonts w:ascii="Narkisim" w:hAnsi="Narkisim"/>
          <w:rtl/>
        </w:rPr>
        <w:t xml:space="preserve">ולכאורה מוכח דעיקר המח' דהותרה ונאסרה לא תלי בהא דיש היתר בפועל. אלא דיש חילוק בין תחילת סיבת הנפילה, להיכא דהיתה כבר סיבת נפילה. </w:t>
      </w:r>
      <w:r w:rsidRPr="00AF1DC8">
        <w:rPr>
          <w:rFonts w:ascii="Narkisim" w:hAnsi="Narkisim"/>
          <w:szCs w:val="20"/>
          <w:rtl/>
        </w:rPr>
        <w:t>[דיש חילוק אי הוה הפקעה על עצם הנפילה, או דרק מניעה בנפילה למעשה. וצ”ב].</w:t>
      </w:r>
      <w:r w:rsidRPr="00AF1DC8">
        <w:rPr>
          <w:rFonts w:ascii="Narkisim" w:hAnsi="Narkisim"/>
          <w:rtl/>
        </w:rPr>
        <w:t xml:space="preserve"> וה</w:t>
      </w:r>
      <w:r w:rsidRPr="00AF1DC8">
        <w:rPr>
          <w:rFonts w:ascii="Narkisim" w:hAnsi="Narkisim"/>
          <w:b/>
          <w:bCs/>
          <w:rtl/>
        </w:rPr>
        <w:t>קוב"ש</w:t>
      </w:r>
      <w:r w:rsidRPr="00AF1DC8">
        <w:rPr>
          <w:rFonts w:ascii="Narkisim" w:hAnsi="Narkisim"/>
          <w:rtl/>
        </w:rPr>
        <w:t xml:space="preserve"> (ח"ב עמ' קכ מכתב בנו הגר"נ) ביאר דהמח' בסוגיין האם יש נאסרה שלא בשעת נפילה [בפועל], ובזה הביאו מנישואין מפילין</w:t>
      </w:r>
      <w:r w:rsidRPr="00AF1DC8">
        <w:rPr>
          <w:rFonts w:ascii="Narkisim" w:hAnsi="Narkisim"/>
        </w:rPr>
        <w:t>.</w:t>
      </w:r>
    </w:p>
    <w:p w14:paraId="2A6C070E" w14:textId="77777777" w:rsidR="006074A5" w:rsidRPr="00AF1DC8" w:rsidRDefault="006074A5" w:rsidP="006074A5">
      <w:pPr>
        <w:bidi/>
        <w:rPr>
          <w:rFonts w:ascii="Narkisim" w:hAnsi="Narkisim" w:cs="Narkisim"/>
        </w:rPr>
      </w:pPr>
      <w:r w:rsidRPr="00AF1DC8">
        <w:rPr>
          <w:rFonts w:ascii="Narkisim" w:hAnsi="Narkisim" w:cs="Narkisim"/>
          <w:u w:val="single"/>
          <w:rtl/>
        </w:rPr>
        <w:t>אימור דאמר דלא הדר בשעת נפילה.</w:t>
      </w:r>
      <w:r w:rsidRPr="00AF1DC8">
        <w:rPr>
          <w:rFonts w:ascii="Narkisim" w:hAnsi="Narkisim" w:cs="Narkisim"/>
          <w:rtl/>
        </w:rPr>
        <w:t xml:space="preserve"> ה</w:t>
      </w:r>
      <w:r w:rsidRPr="00AF1DC8">
        <w:rPr>
          <w:rFonts w:ascii="Narkisim" w:hAnsi="Narkisim" w:cs="Narkisim"/>
          <w:b/>
          <w:bCs/>
          <w:rtl/>
        </w:rPr>
        <w:t xml:space="preserve">רמב"ן </w:t>
      </w:r>
      <w:r w:rsidRPr="00AF1DC8">
        <w:rPr>
          <w:rFonts w:ascii="Narkisim" w:hAnsi="Narkisim" w:cs="Narkisim"/>
          <w:sz w:val="20"/>
          <w:szCs w:val="20"/>
          <w:rtl/>
        </w:rPr>
        <w:t>(בחי', וכן ב</w:t>
      </w:r>
      <w:r w:rsidRPr="00AF1DC8">
        <w:rPr>
          <w:rFonts w:ascii="Narkisim" w:hAnsi="Narkisim" w:cs="Narkisim"/>
          <w:b/>
          <w:bCs/>
          <w:sz w:val="20"/>
          <w:szCs w:val="20"/>
          <w:rtl/>
        </w:rPr>
        <w:t>מלחמות</w:t>
      </w:r>
      <w:r w:rsidRPr="00AF1DC8">
        <w:rPr>
          <w:rFonts w:ascii="Narkisim" w:hAnsi="Narkisim" w:cs="Narkisim"/>
          <w:sz w:val="20"/>
          <w:szCs w:val="20"/>
          <w:rtl/>
        </w:rPr>
        <w:t xml:space="preserve"> לעיל ל:, ח: בדה"ר)</w:t>
      </w:r>
      <w:r w:rsidRPr="00AF1DC8">
        <w:rPr>
          <w:rFonts w:ascii="Narkisim" w:hAnsi="Narkisim" w:cs="Narkisim"/>
          <w:rtl/>
        </w:rPr>
        <w:t xml:space="preserve"> ביאר דאע"ג דהולך אחר נישואין הראשונים, הרי נמצא איסורה גמור, אבל היתירא [דנישואין הראשונים] </w:t>
      </w:r>
      <w:r w:rsidRPr="00AF1DC8">
        <w:rPr>
          <w:rFonts w:ascii="Narkisim" w:hAnsi="Narkisim" w:cs="Narkisim"/>
          <w:rtl/>
        </w:rPr>
        <w:lastRenderedPageBreak/>
        <w:t xml:space="preserve">אינה גמור, כיון דבשעת נפילה אין אני קורא בה יבמה יבא עליה אינו היתר. [ולמ"ד נישואין מפילין לא נחשב 'הותרה ונאסרה' כיון דמעולם לא הותר]. </w:t>
      </w:r>
      <w:r w:rsidRPr="00AF1DC8">
        <w:rPr>
          <w:rFonts w:ascii="Narkisim" w:hAnsi="Narkisim" w:cs="Narkisim"/>
          <w:sz w:val="20"/>
          <w:szCs w:val="20"/>
          <w:rtl/>
        </w:rPr>
        <w:t>ומבואר ברמב"ן דבנישואין מפילין יש נפילה גמורה, ושייך נאסרה[ ודלא כמ"ש תוס' ל.], אלא דל"ש גדר 'הותרה' ונאסרה</w:t>
      </w:r>
      <w:r w:rsidRPr="00AF1DC8">
        <w:rPr>
          <w:rFonts w:ascii="Narkisim" w:hAnsi="Narkisim" w:cs="Narkisim"/>
          <w:sz w:val="20"/>
          <w:szCs w:val="20"/>
        </w:rPr>
        <w:t>.</w:t>
      </w:r>
    </w:p>
    <w:p w14:paraId="0D576DAB" w14:textId="77777777" w:rsidR="006074A5" w:rsidRPr="00AF1DC8" w:rsidRDefault="006074A5" w:rsidP="006074A5">
      <w:pPr>
        <w:bidi/>
        <w:rPr>
          <w:rFonts w:ascii="Narkisim" w:hAnsi="Narkisim" w:cs="Narkisim"/>
        </w:rPr>
      </w:pPr>
      <w:r w:rsidRPr="00AF1DC8">
        <w:rPr>
          <w:rFonts w:ascii="Narkisim" w:hAnsi="Narkisim" w:cs="Narkisim"/>
          <w:u w:val="single"/>
          <w:rtl/>
        </w:rPr>
        <w:t>תוד"ה ואמאי.</w:t>
      </w:r>
      <w:r w:rsidRPr="00AF1DC8">
        <w:rPr>
          <w:rFonts w:ascii="Narkisim" w:hAnsi="Narkisim" w:cs="Narkisim"/>
          <w:rtl/>
        </w:rPr>
        <w:t xml:space="preserve"> תימה דלא פריך מהך ברייתא לרב (לעיל כז:), ולישני דר"א היא. [ולר"א אמרי' נאסרה אף בזיקה, וכמ"ש הראשונים</w:t>
      </w:r>
      <w:r w:rsidRPr="00AF1DC8">
        <w:rPr>
          <w:rStyle w:val="ac"/>
          <w:rFonts w:ascii="Narkisim" w:hAnsi="Narkisim" w:cs="Narkisim"/>
          <w:rtl/>
        </w:rPr>
        <w:footnoteReference w:id="2455"/>
      </w:r>
      <w:r w:rsidRPr="00AF1DC8">
        <w:rPr>
          <w:rFonts w:ascii="Narkisim" w:hAnsi="Narkisim" w:cs="Narkisim"/>
          <w:rtl/>
        </w:rPr>
        <w:t>]. וב</w:t>
      </w:r>
      <w:r w:rsidRPr="00AF1DC8">
        <w:rPr>
          <w:rFonts w:ascii="Narkisim" w:hAnsi="Narkisim" w:cs="Narkisim"/>
          <w:b/>
          <w:bCs/>
          <w:rtl/>
        </w:rPr>
        <w:t>תוס' הרא"ש</w:t>
      </w:r>
      <w:r w:rsidRPr="00AF1DC8">
        <w:rPr>
          <w:rFonts w:ascii="Narkisim" w:hAnsi="Narkisim" w:cs="Narkisim"/>
          <w:rtl/>
        </w:rPr>
        <w:t xml:space="preserve"> תי' בשם </w:t>
      </w:r>
      <w:r w:rsidRPr="00AF1DC8">
        <w:rPr>
          <w:rFonts w:ascii="Narkisim" w:hAnsi="Narkisim" w:cs="Narkisim"/>
          <w:b/>
          <w:bCs/>
          <w:rtl/>
        </w:rPr>
        <w:t>רבינו</w:t>
      </w:r>
      <w:r w:rsidRPr="00AF1DC8">
        <w:rPr>
          <w:rFonts w:ascii="Narkisim" w:hAnsi="Narkisim" w:cs="Narkisim"/>
          <w:rtl/>
        </w:rPr>
        <w:t xml:space="preserve"> </w:t>
      </w:r>
      <w:r w:rsidRPr="00AF1DC8">
        <w:rPr>
          <w:rFonts w:ascii="Narkisim" w:hAnsi="Narkisim" w:cs="Narkisim"/>
          <w:b/>
          <w:bCs/>
          <w:rtl/>
        </w:rPr>
        <w:t>מאיר</w:t>
      </w:r>
      <w:r w:rsidRPr="00AF1DC8">
        <w:rPr>
          <w:rFonts w:ascii="Narkisim" w:hAnsi="Narkisim" w:cs="Narkisim"/>
          <w:rtl/>
        </w:rPr>
        <w:t xml:space="preserve"> דהוה מ”ל דהך ברייתא הוה משום קנס. ומיירי ששהה הרבה. שעשה מאמר והיה לו לכנוס מיד בשעת מאמר</w:t>
      </w:r>
      <w:r w:rsidRPr="00AF1DC8">
        <w:rPr>
          <w:rStyle w:val="ac"/>
          <w:rFonts w:ascii="Narkisim" w:hAnsi="Narkisim" w:cs="Narkisim"/>
          <w:rtl/>
        </w:rPr>
        <w:footnoteReference w:id="2456"/>
      </w:r>
      <w:r w:rsidRPr="00AF1DC8">
        <w:rPr>
          <w:rFonts w:ascii="Narkisim" w:hAnsi="Narkisim" w:cs="Narkisim"/>
        </w:rPr>
        <w:t xml:space="preserve">, </w:t>
      </w:r>
      <w:r w:rsidRPr="00AF1DC8">
        <w:rPr>
          <w:rFonts w:ascii="Narkisim" w:hAnsi="Narkisim" w:cs="Narkisim"/>
          <w:rtl/>
        </w:rPr>
        <w:t>ושהה עד שמת אחיו. ואילו רב (לעיל כז:) איירי היכא דלא הספיק לייבם ומת אחיו. ואילו בסוגיין איירי דפשע וקידש, ומבואר דאף בזה לדעת רב מותרת, ולא קנסו</w:t>
      </w:r>
      <w:r w:rsidRPr="00AF1DC8">
        <w:rPr>
          <w:rFonts w:ascii="Narkisim" w:hAnsi="Narkisim" w:cs="Narkisim"/>
        </w:rPr>
        <w:t>.</w:t>
      </w:r>
    </w:p>
    <w:p w14:paraId="6E16FAD5" w14:textId="77777777" w:rsidR="006074A5" w:rsidRPr="00AF1DC8" w:rsidRDefault="006074A5" w:rsidP="006074A5">
      <w:pPr>
        <w:bidi/>
        <w:rPr>
          <w:rFonts w:ascii="Narkisim" w:hAnsi="Narkisim" w:cs="Narkisim"/>
        </w:rPr>
      </w:pPr>
      <w:r w:rsidRPr="00AF1DC8">
        <w:rPr>
          <w:rFonts w:ascii="Narkisim" w:hAnsi="Narkisim" w:cs="Narkisim"/>
          <w:rtl/>
        </w:rPr>
        <w:t>ו</w:t>
      </w:r>
      <w:r w:rsidRPr="00AF1DC8">
        <w:rPr>
          <w:rFonts w:ascii="Narkisim" w:hAnsi="Narkisim" w:cs="Narkisim"/>
          <w:b/>
          <w:bCs/>
          <w:rtl/>
        </w:rPr>
        <w:t>רע"א</w:t>
      </w:r>
      <w:r w:rsidRPr="00AF1DC8">
        <w:rPr>
          <w:rFonts w:ascii="Narkisim" w:hAnsi="Narkisim" w:cs="Narkisim"/>
          <w:rtl/>
        </w:rPr>
        <w:t xml:space="preserve"> כת' די"ל דסברת רב (לעיל כז:) משום דאין זיקה [וכר”ח בתוס' שם]. א”כ בפשוטו י”ל דברייתא דהכא כמ”ד יש זיקה</w:t>
      </w:r>
      <w:r w:rsidRPr="00AF1DC8">
        <w:rPr>
          <w:rStyle w:val="ac"/>
          <w:rFonts w:ascii="Narkisim" w:hAnsi="Narkisim" w:cs="Narkisim"/>
          <w:rtl/>
        </w:rPr>
        <w:footnoteReference w:id="2457"/>
      </w:r>
      <w:r w:rsidRPr="00AF1DC8">
        <w:rPr>
          <w:rFonts w:ascii="Narkisim" w:hAnsi="Narkisim" w:cs="Narkisim"/>
        </w:rPr>
        <w:t>.</w:t>
      </w:r>
    </w:p>
    <w:p w14:paraId="02A1A2B0" w14:textId="77777777" w:rsidR="006074A5" w:rsidRPr="00AF1DC8" w:rsidRDefault="006074A5" w:rsidP="006074A5">
      <w:pPr>
        <w:pStyle w:val="aa"/>
        <w:bidi/>
        <w:rPr>
          <w:rFonts w:ascii="Narkisim" w:hAnsi="Narkisim"/>
        </w:rPr>
      </w:pPr>
      <w:r w:rsidRPr="00AF1DC8">
        <w:rPr>
          <w:rFonts w:ascii="Narkisim" w:hAnsi="Narkisim"/>
          <w:u w:val="single"/>
          <w:rtl/>
        </w:rPr>
        <w:t>לימא שמואל ור"א דאמרי' כר"א וכו' עד כאן אלא דמנפילה ואילך וכו'.</w:t>
      </w:r>
      <w:r w:rsidRPr="00AF1DC8">
        <w:rPr>
          <w:rFonts w:ascii="Narkisim" w:hAnsi="Narkisim"/>
          <w:rtl/>
        </w:rPr>
        <w:t xml:space="preserve"> ה</w:t>
      </w:r>
      <w:r w:rsidRPr="00AF1DC8">
        <w:rPr>
          <w:rFonts w:ascii="Narkisim" w:hAnsi="Narkisim"/>
          <w:b/>
          <w:bCs/>
          <w:rtl/>
        </w:rPr>
        <w:t>רמב"ן</w:t>
      </w:r>
      <w:r w:rsidRPr="00AF1DC8">
        <w:rPr>
          <w:rFonts w:ascii="Narkisim" w:hAnsi="Narkisim"/>
          <w:rtl/>
        </w:rPr>
        <w:t xml:space="preserve"> ביאר דרבנן ס”ל מיתה מפלת. [אבל </w:t>
      </w:r>
      <w:r w:rsidRPr="00AF1DC8">
        <w:rPr>
          <w:rFonts w:ascii="Narkisim" w:hAnsi="Narkisim"/>
          <w:b/>
          <w:bCs/>
          <w:rtl/>
        </w:rPr>
        <w:t>רש"י</w:t>
      </w:r>
      <w:r w:rsidRPr="00AF1DC8">
        <w:rPr>
          <w:rFonts w:ascii="Narkisim" w:hAnsi="Narkisim"/>
          <w:rtl/>
        </w:rPr>
        <w:t xml:space="preserve"> (ד"ה עד כאן) קצת משמע דאף למ"ד נישואין מפילין נחשב נאסרה קודם נפילה]</w:t>
      </w:r>
      <w:r w:rsidRPr="00AF1DC8">
        <w:rPr>
          <w:rFonts w:ascii="Narkisim" w:hAnsi="Narkisim"/>
        </w:rPr>
        <w:t>.</w:t>
      </w:r>
    </w:p>
    <w:p w14:paraId="0DEADD3B" w14:textId="77777777" w:rsidR="006074A5" w:rsidRPr="00AF1DC8" w:rsidRDefault="006074A5" w:rsidP="006074A5">
      <w:pPr>
        <w:bidi/>
        <w:rPr>
          <w:rFonts w:ascii="Narkisim" w:hAnsi="Narkisim" w:cs="Narkisim"/>
        </w:rPr>
      </w:pPr>
      <w:r w:rsidRPr="00AF1DC8">
        <w:rPr>
          <w:rFonts w:ascii="Narkisim" w:hAnsi="Narkisim" w:cs="Narkisim"/>
          <w:u w:val="single"/>
          <w:rtl/>
        </w:rPr>
        <w:t>ר' יהודה וכו' חוץ מארוסות שביהודה וכו'.</w:t>
      </w:r>
      <w:r w:rsidRPr="00AF1DC8">
        <w:rPr>
          <w:rFonts w:ascii="Narkisim" w:hAnsi="Narkisim" w:cs="Narkisim"/>
          <w:rtl/>
        </w:rPr>
        <w:t xml:space="preserve"> ה</w:t>
      </w:r>
      <w:r w:rsidRPr="00AF1DC8">
        <w:rPr>
          <w:rFonts w:ascii="Narkisim" w:hAnsi="Narkisim" w:cs="Narkisim"/>
          <w:b/>
          <w:bCs/>
          <w:rtl/>
        </w:rPr>
        <w:t>תוי"ט</w:t>
      </w:r>
      <w:r w:rsidRPr="00AF1DC8">
        <w:rPr>
          <w:rFonts w:ascii="Narkisim" w:hAnsi="Narkisim" w:cs="Narkisim"/>
          <w:rtl/>
        </w:rPr>
        <w:t xml:space="preserve"> כת' דכמו כן ביהודה אסורות ליארס, דחיישינן שיבואו לביאה.</w:t>
      </w:r>
      <w:r w:rsidRPr="00AF1DC8">
        <w:rPr>
          <w:rFonts w:ascii="Narkisim" w:hAnsi="Narkisim" w:cs="Narkisim"/>
          <w:sz w:val="20"/>
          <w:szCs w:val="20"/>
          <w:rtl/>
        </w:rPr>
        <w:t xml:space="preserve"> וכתב דאך ביהודה היו שינוי בין המקומות לענין זה (כדאמרי' כתובות יב.). וה</w:t>
      </w:r>
      <w:r w:rsidRPr="00AF1DC8">
        <w:rPr>
          <w:rFonts w:ascii="Narkisim" w:hAnsi="Narkisim" w:cs="Narkisim"/>
          <w:b/>
          <w:bCs/>
          <w:sz w:val="20"/>
          <w:szCs w:val="20"/>
          <w:rtl/>
        </w:rPr>
        <w:t>רש"ש</w:t>
      </w:r>
      <w:r w:rsidRPr="00AF1DC8">
        <w:rPr>
          <w:rFonts w:ascii="Narkisim" w:hAnsi="Narkisim" w:cs="Narkisim"/>
          <w:sz w:val="20"/>
          <w:szCs w:val="20"/>
          <w:rtl/>
        </w:rPr>
        <w:t xml:space="preserve"> דן דאפשר דלענין הבחנה גזרו כל יהודה אטו אותם מקומות</w:t>
      </w:r>
      <w:r w:rsidRPr="00AF1DC8">
        <w:rPr>
          <w:rFonts w:ascii="Narkisim" w:hAnsi="Narkisim" w:cs="Narkisim"/>
          <w:sz w:val="20"/>
          <w:szCs w:val="20"/>
        </w:rPr>
        <w:t>.</w:t>
      </w:r>
    </w:p>
    <w:p w14:paraId="0635E91F" w14:textId="77777777" w:rsidR="006074A5" w:rsidRPr="00AF1DC8" w:rsidRDefault="006074A5" w:rsidP="006074A5">
      <w:pPr>
        <w:pStyle w:val="3"/>
        <w:bidi/>
        <w:rPr>
          <w:rFonts w:ascii="Narkisim" w:hAnsi="Narkisim"/>
        </w:rPr>
      </w:pPr>
      <w:r w:rsidRPr="00AF1DC8">
        <w:rPr>
          <w:rFonts w:ascii="Narkisim" w:hAnsi="Narkisim"/>
          <w:rtl/>
        </w:rPr>
        <w:t>דף מא</w:t>
      </w:r>
      <w:r w:rsidRPr="00AF1DC8">
        <w:rPr>
          <w:rFonts w:ascii="Narkisim" w:hAnsi="Narkisim"/>
        </w:rPr>
        <w:t>:</w:t>
      </w:r>
    </w:p>
    <w:p w14:paraId="5D3CF5B8" w14:textId="77777777" w:rsidR="006074A5" w:rsidRPr="00AF1DC8" w:rsidRDefault="006074A5" w:rsidP="006074A5">
      <w:pPr>
        <w:pStyle w:val="aa"/>
        <w:bidi/>
        <w:rPr>
          <w:rFonts w:ascii="Narkisim" w:hAnsi="Narkisim"/>
        </w:rPr>
      </w:pPr>
      <w:r w:rsidRPr="00AF1DC8">
        <w:rPr>
          <w:rFonts w:ascii="Narkisim" w:hAnsi="Narkisim"/>
          <w:u w:val="single"/>
          <w:rtl/>
        </w:rPr>
        <w:t>בשלמא לא תתייבם שמא יהא הולד בן קיימא</w:t>
      </w:r>
      <w:r w:rsidRPr="00AF1DC8">
        <w:rPr>
          <w:rStyle w:val="ac"/>
          <w:rFonts w:ascii="Narkisim" w:hAnsi="Narkisim"/>
          <w:u w:val="single"/>
          <w:rtl/>
        </w:rPr>
        <w:footnoteReference w:id="2458"/>
      </w:r>
      <w:r w:rsidRPr="00AF1DC8">
        <w:rPr>
          <w:rFonts w:ascii="Narkisim" w:hAnsi="Narkisim"/>
          <w:u w:val="single"/>
        </w:rPr>
        <w:t xml:space="preserve"> </w:t>
      </w:r>
      <w:r w:rsidRPr="00AF1DC8">
        <w:rPr>
          <w:rFonts w:ascii="Narkisim" w:hAnsi="Narkisim"/>
          <w:u w:val="single"/>
          <w:rtl/>
        </w:rPr>
        <w:t>וכו' וקפגע באיסור אשת אח דאורייתא</w:t>
      </w:r>
      <w:r w:rsidRPr="00AF1DC8">
        <w:rPr>
          <w:rFonts w:ascii="Narkisim" w:hAnsi="Narkisim"/>
          <w:rtl/>
        </w:rPr>
        <w:t>. ה</w:t>
      </w:r>
      <w:r w:rsidRPr="00AF1DC8">
        <w:rPr>
          <w:rFonts w:ascii="Narkisim" w:hAnsi="Narkisim"/>
          <w:b/>
          <w:bCs/>
          <w:rtl/>
        </w:rPr>
        <w:t>ריטב"א</w:t>
      </w:r>
      <w:r w:rsidRPr="00AF1DC8">
        <w:rPr>
          <w:rFonts w:ascii="Narkisim" w:hAnsi="Narkisim"/>
          <w:rtl/>
        </w:rPr>
        <w:t xml:space="preserve"> כת' דכיון דיש ביבום חשש איסור דאורייתא, מש”ה גזרו [לא פלוג] אך בבתולה וארוסה</w:t>
      </w:r>
      <w:r w:rsidRPr="00AF1DC8">
        <w:rPr>
          <w:rFonts w:ascii="Narkisim" w:hAnsi="Narkisim"/>
        </w:rPr>
        <w:t>.</w:t>
      </w:r>
    </w:p>
    <w:p w14:paraId="06AB7B2C" w14:textId="77777777" w:rsidR="006074A5" w:rsidRPr="00AF1DC8" w:rsidRDefault="006074A5" w:rsidP="006074A5">
      <w:pPr>
        <w:bidi/>
        <w:rPr>
          <w:rFonts w:ascii="Narkisim" w:hAnsi="Narkisim" w:cs="Narkisim"/>
        </w:rPr>
      </w:pPr>
      <w:r w:rsidRPr="00AF1DC8">
        <w:rPr>
          <w:rFonts w:ascii="Narkisim" w:hAnsi="Narkisim" w:cs="Narkisim"/>
          <w:u w:val="single"/>
          <w:rtl/>
        </w:rPr>
        <w:t>היינו טעמא שמא תהא ולד בן קיימא וכו'.</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ביאר דלכתחילה לא סמכינן אהכרזה. אבל בדיעבד אינה פסולה לכהונה וכדאיתא במשנה לה:, דכיון דאיכא ולד דמוכח</w:t>
      </w:r>
      <w:r w:rsidRPr="00AF1DC8">
        <w:rPr>
          <w:rFonts w:ascii="Narkisim" w:hAnsi="Narkisim" w:cs="Narkisim"/>
        </w:rPr>
        <w:t>.</w:t>
      </w:r>
    </w:p>
    <w:p w14:paraId="7BA10CF7" w14:textId="77777777" w:rsidR="006074A5" w:rsidRPr="00AF1DC8" w:rsidRDefault="006074A5" w:rsidP="006074A5">
      <w:pPr>
        <w:pStyle w:val="a8"/>
        <w:bidi/>
        <w:rPr>
          <w:rFonts w:ascii="Narkisim" w:hAnsi="Narkisim"/>
        </w:rPr>
      </w:pPr>
      <w:r w:rsidRPr="00AF1DC8">
        <w:rPr>
          <w:rFonts w:ascii="Narkisim" w:hAnsi="Narkisim"/>
          <w:rtl/>
        </w:rPr>
        <w:t xml:space="preserve">ובפשוטו הך תי' קאי לר"י, אבל לר"ל אי"צ לזה [דהוה גזירה שמא מעוברת ותפיל, ותסמוך על חליצה זו, וכמ”ש רש”י ד”ה לימא]. אבל </w:t>
      </w:r>
      <w:r w:rsidRPr="00AF1DC8">
        <w:rPr>
          <w:rFonts w:ascii="Narkisim" w:hAnsi="Narkisim"/>
          <w:b/>
          <w:bCs/>
          <w:rtl/>
        </w:rPr>
        <w:t>רש"י</w:t>
      </w:r>
      <w:r w:rsidRPr="00AF1DC8">
        <w:rPr>
          <w:rFonts w:ascii="Narkisim" w:hAnsi="Narkisim"/>
          <w:rtl/>
        </w:rPr>
        <w:t xml:space="preserve"> (עירובין מז.) כת' הטעם משום כרוז, ואף דקיי"ל כר"ל. ו</w:t>
      </w:r>
      <w:r w:rsidRPr="00AF1DC8">
        <w:rPr>
          <w:rFonts w:ascii="Narkisim" w:hAnsi="Narkisim"/>
          <w:b/>
          <w:bCs/>
          <w:rtl/>
        </w:rPr>
        <w:t>רש"י</w:t>
      </w:r>
      <w:r w:rsidRPr="00AF1DC8">
        <w:rPr>
          <w:rFonts w:ascii="Narkisim" w:hAnsi="Narkisim"/>
          <w:rtl/>
        </w:rPr>
        <w:t xml:space="preserve"> (בעירובין) כת' דאם תמצא ולד בן קיימא תחלוץ פעם שניה. ומבואר דלא גזרו שמא תסמוך על חליצה דמעוברת. ולכן אף לר"ל בעי לטעם כרוז. [אבל למסקנא דכל העולה י"ל דאי"צ לטעם זה, ורש”י קאי להו”א]</w:t>
      </w:r>
      <w:r w:rsidRPr="00AF1DC8">
        <w:rPr>
          <w:rFonts w:ascii="Narkisim" w:hAnsi="Narkisim"/>
        </w:rPr>
        <w:t>.</w:t>
      </w:r>
    </w:p>
    <w:p w14:paraId="6C7B5298" w14:textId="77777777" w:rsidR="006074A5" w:rsidRPr="00AF1DC8" w:rsidRDefault="006074A5" w:rsidP="006074A5">
      <w:pPr>
        <w:bidi/>
        <w:rPr>
          <w:rFonts w:ascii="Narkisim" w:hAnsi="Narkisim" w:cs="Narkisim"/>
        </w:rPr>
      </w:pPr>
      <w:r w:rsidRPr="00AF1DC8">
        <w:rPr>
          <w:rFonts w:ascii="Narkisim" w:hAnsi="Narkisim" w:cs="Narkisim"/>
          <w:u w:val="single"/>
          <w:rtl/>
        </w:rPr>
        <w:t>תינח נשואה, ארוסה גרושה מאי איכא למימר.</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(ד"ה אלא) ביאר דהקושיה לר"י, אבל לר"ל ניחא דהוה גזירה אטו נשואה. אבל ה</w:t>
      </w:r>
      <w:r w:rsidRPr="00AF1DC8">
        <w:rPr>
          <w:rFonts w:ascii="Narkisim" w:hAnsi="Narkisim" w:cs="Narkisim"/>
          <w:b/>
          <w:bCs/>
          <w:rtl/>
        </w:rPr>
        <w:t>רשב"א</w:t>
      </w:r>
      <w:r w:rsidRPr="00AF1DC8">
        <w:rPr>
          <w:rFonts w:ascii="Narkisim" w:hAnsi="Narkisim" w:cs="Narkisim"/>
          <w:rtl/>
        </w:rPr>
        <w:t xml:space="preserve"> בחד תי' כתב דהך קושיה אף לר"ל.</w:t>
      </w:r>
    </w:p>
    <w:p w14:paraId="521C7C97" w14:textId="77777777" w:rsidR="006074A5" w:rsidRPr="00AF1DC8" w:rsidRDefault="006074A5" w:rsidP="006074A5">
      <w:pPr>
        <w:pStyle w:val="2"/>
        <w:bidi/>
        <w:rPr>
          <w:rFonts w:ascii="Narkisim" w:hAnsi="Narkisim"/>
        </w:rPr>
      </w:pPr>
      <w:r w:rsidRPr="00AF1DC8">
        <w:rPr>
          <w:rFonts w:ascii="Narkisim" w:hAnsi="Narkisim"/>
          <w:rtl/>
        </w:rPr>
        <w:t>כל העולה ליבום</w:t>
      </w:r>
    </w:p>
    <w:p w14:paraId="29E491EF" w14:textId="77777777" w:rsidR="006074A5" w:rsidRPr="00AF1DC8" w:rsidRDefault="006074A5" w:rsidP="006074A5">
      <w:pPr>
        <w:bidi/>
        <w:rPr>
          <w:rFonts w:ascii="Narkisim" w:hAnsi="Narkisim" w:cs="Narkisim"/>
        </w:rPr>
      </w:pPr>
      <w:r w:rsidRPr="00AF1DC8">
        <w:rPr>
          <w:rFonts w:ascii="Narkisim" w:hAnsi="Narkisim" w:cs="Narkisim"/>
          <w:u w:val="single"/>
          <w:rtl/>
        </w:rPr>
        <w:t>קרא עליו מקרא זה אם לא יחפוץ וכו' כל העולה לייבום</w:t>
      </w:r>
      <w:r w:rsidRPr="00AF1DC8">
        <w:rPr>
          <w:rFonts w:ascii="Narkisim" w:hAnsi="Narkisim" w:cs="Narkisim"/>
          <w:rtl/>
        </w:rPr>
        <w:t xml:space="preserve">. </w:t>
      </w:r>
      <w:r w:rsidRPr="00AF1DC8">
        <w:rPr>
          <w:rFonts w:ascii="Narkisim" w:hAnsi="Narkisim" w:cs="Narkisim"/>
          <w:b/>
          <w:bCs/>
          <w:rtl/>
        </w:rPr>
        <w:t>רש"י</w:t>
      </w:r>
      <w:r w:rsidRPr="00AF1DC8">
        <w:rPr>
          <w:rFonts w:ascii="Narkisim" w:hAnsi="Narkisim" w:cs="Narkisim"/>
          <w:rtl/>
        </w:rPr>
        <w:t xml:space="preserve"> כת' דה"מ היכא דאפשר [ע”י המתנה]. וה</w:t>
      </w:r>
      <w:r w:rsidRPr="00AF1DC8">
        <w:rPr>
          <w:rFonts w:ascii="Narkisim" w:hAnsi="Narkisim" w:cs="Narkisim"/>
          <w:b/>
          <w:bCs/>
          <w:rtl/>
        </w:rPr>
        <w:t>רשב"א</w:t>
      </w:r>
      <w:r w:rsidRPr="00AF1DC8">
        <w:rPr>
          <w:rFonts w:ascii="Narkisim" w:hAnsi="Narkisim" w:cs="Narkisim"/>
          <w:rtl/>
        </w:rPr>
        <w:t xml:space="preserve"> ו</w:t>
      </w:r>
      <w:r w:rsidRPr="00AF1DC8">
        <w:rPr>
          <w:rFonts w:ascii="Narkisim" w:hAnsi="Narkisim" w:cs="Narkisim"/>
          <w:b/>
          <w:bCs/>
          <w:rtl/>
        </w:rPr>
        <w:t>ריטב"א</w:t>
      </w:r>
      <w:r w:rsidRPr="00AF1DC8">
        <w:rPr>
          <w:rFonts w:ascii="Narkisim" w:hAnsi="Narkisim" w:cs="Narkisim"/>
          <w:rtl/>
        </w:rPr>
        <w:t xml:space="preserve"> כת' דהוה מדרבנן בעלמא. ועשאוה כעין של תורה וקרא אסמכתא בעלמא</w:t>
      </w:r>
      <w:r w:rsidRPr="00AF1DC8">
        <w:rPr>
          <w:rStyle w:val="ac"/>
          <w:rFonts w:ascii="Narkisim" w:hAnsi="Narkisim" w:cs="Narkisim"/>
          <w:rtl/>
        </w:rPr>
        <w:footnoteReference w:id="2459"/>
      </w:r>
      <w:r w:rsidRPr="00AF1DC8">
        <w:rPr>
          <w:rFonts w:ascii="Narkisim" w:hAnsi="Narkisim" w:cs="Narkisim"/>
          <w:rtl/>
        </w:rPr>
        <w:t xml:space="preserve">, ולכן בדיעבד מותרת </w:t>
      </w:r>
      <w:r w:rsidRPr="00AF1DC8">
        <w:rPr>
          <w:rFonts w:ascii="Narkisim" w:hAnsi="Narkisim" w:cs="Narkisim"/>
          <w:sz w:val="20"/>
          <w:szCs w:val="20"/>
          <w:rtl/>
        </w:rPr>
        <w:t>[ואף מדרבנן בדיעבד מותרת</w:t>
      </w:r>
      <w:r w:rsidRPr="00AF1DC8">
        <w:rPr>
          <w:rStyle w:val="ac"/>
          <w:rFonts w:ascii="Narkisim" w:hAnsi="Narkisim" w:cs="Narkisim"/>
          <w:sz w:val="20"/>
          <w:szCs w:val="20"/>
          <w:rtl/>
        </w:rPr>
        <w:footnoteReference w:id="2460"/>
      </w:r>
      <w:r w:rsidRPr="00AF1DC8">
        <w:rPr>
          <w:rFonts w:ascii="Narkisim" w:hAnsi="Narkisim" w:cs="Narkisim"/>
          <w:sz w:val="20"/>
          <w:szCs w:val="20"/>
          <w:rtl/>
        </w:rPr>
        <w:t xml:space="preserve">]. </w:t>
      </w:r>
      <w:r w:rsidRPr="00AF1DC8">
        <w:rPr>
          <w:rFonts w:ascii="Narkisim" w:hAnsi="Narkisim" w:cs="Narkisim"/>
          <w:rtl/>
        </w:rPr>
        <w:t>אבל ה</w:t>
      </w:r>
      <w:r w:rsidRPr="00AF1DC8">
        <w:rPr>
          <w:rFonts w:ascii="Narkisim" w:hAnsi="Narkisim" w:cs="Narkisim"/>
          <w:b/>
          <w:bCs/>
          <w:rtl/>
        </w:rPr>
        <w:t>מרדכי</w:t>
      </w:r>
      <w:r w:rsidRPr="00AF1DC8">
        <w:rPr>
          <w:rFonts w:ascii="Narkisim" w:hAnsi="Narkisim" w:cs="Narkisim"/>
          <w:rtl/>
        </w:rPr>
        <w:t xml:space="preserve"> </w:t>
      </w:r>
      <w:r w:rsidRPr="00AF1DC8">
        <w:rPr>
          <w:rFonts w:ascii="Narkisim" w:hAnsi="Narkisim" w:cs="Narkisim"/>
          <w:sz w:val="20"/>
          <w:szCs w:val="20"/>
          <w:rtl/>
        </w:rPr>
        <w:t>(סוף גיטין בהג', והו' ב</w:t>
      </w:r>
      <w:r w:rsidRPr="00AF1DC8">
        <w:rPr>
          <w:rFonts w:ascii="Narkisim" w:hAnsi="Narkisim" w:cs="Narkisim"/>
          <w:b/>
          <w:bCs/>
          <w:sz w:val="20"/>
          <w:szCs w:val="20"/>
          <w:rtl/>
        </w:rPr>
        <w:t>רמ"א</w:t>
      </w:r>
      <w:r w:rsidRPr="00AF1DC8">
        <w:rPr>
          <w:rFonts w:ascii="Narkisim" w:hAnsi="Narkisim" w:cs="Narkisim"/>
          <w:sz w:val="20"/>
          <w:szCs w:val="20"/>
          <w:rtl/>
        </w:rPr>
        <w:t xml:space="preserve"> שם)</w:t>
      </w:r>
      <w:r w:rsidRPr="00AF1DC8">
        <w:rPr>
          <w:rFonts w:ascii="Narkisim" w:hAnsi="Narkisim" w:cs="Narkisim"/>
          <w:rtl/>
        </w:rPr>
        <w:t xml:space="preserve"> כת' דהחולצת תוך ג' אף בדיעבד ל”מ מדרבנן.</w:t>
      </w:r>
    </w:p>
    <w:p w14:paraId="40BF58F0" w14:textId="77777777" w:rsidR="006074A5" w:rsidRPr="00AF1DC8" w:rsidRDefault="006074A5" w:rsidP="006074A5">
      <w:pPr>
        <w:pStyle w:val="a8"/>
        <w:bidi/>
        <w:rPr>
          <w:rFonts w:ascii="Narkisim" w:hAnsi="Narkisim"/>
        </w:rPr>
      </w:pPr>
      <w:r w:rsidRPr="00AF1DC8">
        <w:rPr>
          <w:rFonts w:ascii="Narkisim" w:hAnsi="Narkisim"/>
        </w:rPr>
        <w:t>[</w:t>
      </w:r>
      <w:r w:rsidRPr="00AF1DC8">
        <w:rPr>
          <w:rFonts w:ascii="Narkisim" w:hAnsi="Narkisim"/>
          <w:rtl/>
        </w:rPr>
        <w:t>וה</w:t>
      </w:r>
      <w:r w:rsidRPr="00AF1DC8">
        <w:rPr>
          <w:rFonts w:ascii="Narkisim" w:hAnsi="Narkisim"/>
          <w:b/>
          <w:bCs/>
          <w:rtl/>
        </w:rPr>
        <w:t>ראשונים</w:t>
      </w:r>
      <w:r w:rsidRPr="00AF1DC8">
        <w:rPr>
          <w:rFonts w:ascii="Narkisim" w:hAnsi="Narkisim"/>
          <w:rtl/>
        </w:rPr>
        <w:t xml:space="preserve"> הקשו מהגמ' (לעיל לו.) היכא דהלכה צרתה למדינת הים, ניחוש דמעוברת אף לר' יוחנן ואינה עולה ליבום. וכתבו דמשום חששא מועטת אין לחוש כ"כ. א”נ המל”ל</w:t>
      </w:r>
      <w:r w:rsidRPr="00AF1DC8">
        <w:rPr>
          <w:rFonts w:ascii="Narkisim" w:hAnsi="Narkisim"/>
        </w:rPr>
        <w:t>].</w:t>
      </w:r>
    </w:p>
    <w:p w14:paraId="07C3C43C" w14:textId="77777777" w:rsidR="006074A5" w:rsidRPr="00AF1DC8" w:rsidRDefault="006074A5" w:rsidP="006074A5">
      <w:pPr>
        <w:pStyle w:val="aa"/>
        <w:bidi/>
        <w:rPr>
          <w:rFonts w:ascii="Narkisim" w:hAnsi="Narkisim"/>
        </w:rPr>
      </w:pPr>
      <w:r w:rsidRPr="00AF1DC8">
        <w:rPr>
          <w:rFonts w:ascii="Narkisim" w:hAnsi="Narkisim"/>
          <w:u w:val="single"/>
          <w:rtl/>
        </w:rPr>
        <w:t>מתיב רב חיננא הספיקות וכו'</w:t>
      </w:r>
      <w:r w:rsidRPr="00AF1DC8">
        <w:rPr>
          <w:rFonts w:ascii="Narkisim" w:hAnsi="Narkisim"/>
          <w:rtl/>
        </w:rPr>
        <w:t xml:space="preserve">. </w:t>
      </w:r>
      <w:r w:rsidRPr="00AF1DC8">
        <w:rPr>
          <w:rFonts w:ascii="Narkisim" w:hAnsi="Narkisim"/>
          <w:b/>
          <w:bCs/>
          <w:rtl/>
        </w:rPr>
        <w:t>תוס</w:t>
      </w:r>
      <w:r w:rsidRPr="00AF1DC8">
        <w:rPr>
          <w:rFonts w:ascii="Narkisim" w:hAnsi="Narkisim"/>
          <w:rtl/>
        </w:rPr>
        <w:t xml:space="preserve">' ושאר </w:t>
      </w:r>
      <w:r w:rsidRPr="00AF1DC8">
        <w:rPr>
          <w:rFonts w:ascii="Narkisim" w:hAnsi="Narkisim"/>
          <w:b/>
          <w:bCs/>
          <w:rtl/>
        </w:rPr>
        <w:t>ראשונים</w:t>
      </w:r>
      <w:r w:rsidRPr="00AF1DC8">
        <w:rPr>
          <w:rFonts w:ascii="Narkisim" w:hAnsi="Narkisim"/>
          <w:rtl/>
        </w:rPr>
        <w:t xml:space="preserve"> פי' דקו' הגמ' דמשמע דאיירי אף היכא דאפשר לברורי, ויכולה להמתין</w:t>
      </w:r>
      <w:r w:rsidRPr="00AF1DC8">
        <w:rPr>
          <w:rFonts w:ascii="Narkisim" w:hAnsi="Narkisim"/>
        </w:rPr>
        <w:t>.</w:t>
      </w:r>
    </w:p>
    <w:p w14:paraId="7C4BEB7D" w14:textId="77777777" w:rsidR="006074A5" w:rsidRPr="00AF1DC8" w:rsidRDefault="006074A5" w:rsidP="006074A5">
      <w:pPr>
        <w:bidi/>
        <w:rPr>
          <w:rFonts w:ascii="Narkisim" w:hAnsi="Narkisim" w:cs="Narkisim"/>
        </w:rPr>
      </w:pPr>
      <w:r w:rsidRPr="00AF1DC8">
        <w:rPr>
          <w:rFonts w:ascii="Narkisim" w:hAnsi="Narkisim" w:cs="Narkisim"/>
          <w:u w:val="single"/>
          <w:rtl/>
        </w:rPr>
        <w:t>הכי השתא התם אם יבא אליהו</w:t>
      </w:r>
      <w:r w:rsidRPr="00AF1DC8">
        <w:rPr>
          <w:rStyle w:val="ac"/>
          <w:rFonts w:ascii="Narkisim" w:hAnsi="Narkisim" w:cs="Narkisim"/>
          <w:u w:val="single"/>
          <w:rtl/>
        </w:rPr>
        <w:footnoteReference w:id="2461"/>
      </w:r>
      <w:r w:rsidRPr="00AF1DC8">
        <w:rPr>
          <w:rFonts w:ascii="Narkisim" w:hAnsi="Narkisim" w:cs="Narkisim"/>
          <w:u w:val="single"/>
          <w:rtl/>
        </w:rPr>
        <w:t xml:space="preserve"> וכו' בת יבום היא וכו'.</w:t>
      </w:r>
      <w:r w:rsidRPr="00AF1DC8">
        <w:rPr>
          <w:rFonts w:ascii="Narkisim" w:hAnsi="Narkisim" w:cs="Narkisim"/>
          <w:rtl/>
        </w:rPr>
        <w:t xml:space="preserve"> בפשוטו כוונת הגמ' דכלפי שמיא גלי שעולה ליבום. ואף דבפועל אינו יכול לייבם משום חסרון הידיעה. וכ”כ ה</w:t>
      </w:r>
      <w:r w:rsidRPr="00AF1DC8">
        <w:rPr>
          <w:rFonts w:ascii="Narkisim" w:hAnsi="Narkisim" w:cs="Narkisim"/>
          <w:b/>
          <w:bCs/>
          <w:rtl/>
        </w:rPr>
        <w:t>בית</w:t>
      </w:r>
      <w:r w:rsidRPr="00AF1DC8">
        <w:rPr>
          <w:rFonts w:ascii="Narkisim" w:hAnsi="Narkisim" w:cs="Narkisim"/>
          <w:rtl/>
        </w:rPr>
        <w:t xml:space="preserve"> </w:t>
      </w:r>
      <w:r w:rsidRPr="00AF1DC8">
        <w:rPr>
          <w:rFonts w:ascii="Narkisim" w:hAnsi="Narkisim" w:cs="Narkisim"/>
          <w:b/>
          <w:bCs/>
          <w:rtl/>
        </w:rPr>
        <w:t>מאיר</w:t>
      </w:r>
      <w:r w:rsidRPr="00AF1DC8">
        <w:rPr>
          <w:rFonts w:ascii="Narkisim" w:hAnsi="Narkisim" w:cs="Narkisim"/>
          <w:rtl/>
        </w:rPr>
        <w:t xml:space="preserve"> </w:t>
      </w:r>
      <w:r w:rsidRPr="00AF1DC8">
        <w:rPr>
          <w:rFonts w:ascii="Narkisim" w:hAnsi="Narkisim" w:cs="Narkisim"/>
          <w:rtl/>
        </w:rPr>
        <w:lastRenderedPageBreak/>
        <w:t xml:space="preserve">(צלעות הבית א). אבל יש </w:t>
      </w:r>
      <w:r w:rsidRPr="00AF1DC8">
        <w:rPr>
          <w:rFonts w:ascii="Narkisim" w:hAnsi="Narkisim" w:cs="Narkisim"/>
          <w:b/>
          <w:bCs/>
          <w:rtl/>
        </w:rPr>
        <w:t>אחרונים</w:t>
      </w:r>
      <w:r w:rsidRPr="00AF1DC8">
        <w:rPr>
          <w:rFonts w:ascii="Narkisim" w:hAnsi="Narkisim" w:cs="Narkisim"/>
          <w:rtl/>
        </w:rPr>
        <w:t xml:space="preserve"> שנקטו דכוונת הגמ' דנחשב עומד להתברר, כיון דראוי שיבא אליהו.</w:t>
      </w:r>
    </w:p>
    <w:p w14:paraId="0796155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תוס' הרא"ש</w:t>
      </w:r>
      <w:r w:rsidRPr="00AF1DC8">
        <w:rPr>
          <w:rFonts w:ascii="Narkisim" w:hAnsi="Narkisim"/>
          <w:rtl/>
        </w:rPr>
        <w:t xml:space="preserve"> (לעיל לה:) כתב דכוונת הגמ' דיבא אליהו לאו דוקא, אלא אפשר להתברר ע"י עדים</w:t>
      </w:r>
      <w:r w:rsidRPr="00AF1DC8">
        <w:rPr>
          <w:rStyle w:val="ac"/>
          <w:rFonts w:ascii="Narkisim" w:hAnsi="Narkisim"/>
          <w:rtl/>
        </w:rPr>
        <w:footnoteReference w:id="2462"/>
      </w:r>
      <w:r w:rsidRPr="00AF1DC8">
        <w:rPr>
          <w:rFonts w:ascii="Narkisim" w:hAnsi="Narkisim"/>
        </w:rPr>
        <w:t xml:space="preserve">. </w:t>
      </w: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(ה טו) כתב דלפ"ז כוונת הגמ' דאי"צ שיהא מבורר מיד, וסגי במה שיתברר בעתיד</w:t>
      </w:r>
      <w:r w:rsidRPr="00AF1DC8">
        <w:rPr>
          <w:rStyle w:val="ac"/>
          <w:rFonts w:ascii="Narkisim" w:hAnsi="Narkisim"/>
          <w:rtl/>
        </w:rPr>
        <w:footnoteReference w:id="2463"/>
      </w:r>
      <w:r w:rsidRPr="00AF1DC8">
        <w:rPr>
          <w:rFonts w:ascii="Narkisim" w:hAnsi="Narkisim"/>
        </w:rPr>
        <w:t xml:space="preserve">. </w:t>
      </w:r>
      <w:r w:rsidRPr="00AF1DC8">
        <w:rPr>
          <w:rFonts w:ascii="Narkisim" w:hAnsi="Narkisim"/>
          <w:rtl/>
        </w:rPr>
        <w:t>וכוונת הגמ' דבעתיד יבא אליהו ויברר הדבר</w:t>
      </w:r>
      <w:r w:rsidRPr="00AF1DC8">
        <w:rPr>
          <w:rStyle w:val="ac"/>
          <w:rFonts w:ascii="Narkisim" w:hAnsi="Narkisim"/>
          <w:rtl/>
        </w:rPr>
        <w:footnoteReference w:id="2464"/>
      </w:r>
      <w:r w:rsidRPr="00AF1DC8">
        <w:rPr>
          <w:rFonts w:ascii="Narkisim" w:hAnsi="Narkisim"/>
        </w:rPr>
        <w:t>.</w:t>
      </w:r>
    </w:p>
    <w:p w14:paraId="23BE93D6"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(בית מאיר הנ"ל) הביאו דמבואר כאן דמחמת ספק לא נחשב 'אינו ראוי'</w:t>
      </w:r>
      <w:r w:rsidRPr="00AF1DC8">
        <w:rPr>
          <w:rStyle w:val="ac"/>
          <w:rFonts w:ascii="Narkisim" w:hAnsi="Narkisim" w:cs="Narkisim"/>
          <w:rtl/>
        </w:rPr>
        <w:footnoteReference w:id="2465"/>
      </w:r>
      <w:r w:rsidRPr="00AF1DC8">
        <w:rPr>
          <w:rFonts w:ascii="Narkisim" w:hAnsi="Narkisim" w:cs="Narkisim"/>
          <w:rtl/>
        </w:rPr>
        <w:t>, ואף דבפועל אינו יכול לייבם</w:t>
      </w:r>
      <w:r w:rsidRPr="00AF1DC8">
        <w:rPr>
          <w:rStyle w:val="ac"/>
          <w:rFonts w:ascii="Narkisim" w:hAnsi="Narkisim" w:cs="Narkisim"/>
          <w:rtl/>
        </w:rPr>
        <w:footnoteReference w:id="2466"/>
      </w:r>
      <w:r w:rsidRPr="00AF1DC8">
        <w:rPr>
          <w:rFonts w:ascii="Narkisim" w:hAnsi="Narkisim" w:cs="Narkisim"/>
          <w:rtl/>
        </w:rPr>
        <w:t>. והקשו דבגמ' (ב"ב פא:) מבואר דמה שאינו ראוי לקריאה מחמת ספק נחשב אינו ראוי לקריאה, ולא אמרי' אם יבא אליהו. וב</w:t>
      </w:r>
      <w:r w:rsidRPr="00AF1DC8">
        <w:rPr>
          <w:rFonts w:ascii="Narkisim" w:hAnsi="Narkisim" w:cs="Narkisim"/>
          <w:b/>
          <w:bCs/>
          <w:rtl/>
        </w:rPr>
        <w:t>ס' המאיר לעולם</w:t>
      </w:r>
      <w:r w:rsidRPr="00AF1DC8">
        <w:rPr>
          <w:rFonts w:ascii="Narkisim" w:hAnsi="Narkisim" w:cs="Narkisim"/>
          <w:rtl/>
        </w:rPr>
        <w:t xml:space="preserve"> (א יד) חילק בכמה אופנים, ותי' דהתם בעינן קריאה [ועכ"פ שיהא ראוי], אבל הכא הוה תנאי בעלמא שיהא 'ראוי'. וה</w:t>
      </w:r>
      <w:r w:rsidRPr="00AF1DC8">
        <w:rPr>
          <w:rFonts w:ascii="Narkisim" w:hAnsi="Narkisim" w:cs="Narkisim"/>
          <w:b/>
          <w:bCs/>
          <w:rtl/>
        </w:rPr>
        <w:t>קובה"ע</w:t>
      </w:r>
      <w:r w:rsidRPr="00AF1DC8">
        <w:rPr>
          <w:rFonts w:ascii="Narkisim" w:hAnsi="Narkisim" w:cs="Narkisim"/>
          <w:rtl/>
        </w:rPr>
        <w:t xml:space="preserve"> (ה טו) תי' דהכא כוונת הגמ' דראוי בעתיד, ע"פ דברי התוס' הרא"ש.</w:t>
      </w:r>
    </w:p>
    <w:p w14:paraId="613A46AA" w14:textId="77777777" w:rsidR="006074A5" w:rsidRPr="00AF1DC8" w:rsidRDefault="006074A5" w:rsidP="006074A5">
      <w:pPr>
        <w:pStyle w:val="aa"/>
        <w:bidi/>
        <w:rPr>
          <w:rFonts w:ascii="Narkisim" w:hAnsi="Narkisim"/>
        </w:rPr>
      </w:pPr>
      <w:r w:rsidRPr="00AF1DC8">
        <w:rPr>
          <w:rFonts w:ascii="Narkisim" w:hAnsi="Narkisim"/>
          <w:u w:val="single"/>
          <w:rtl/>
        </w:rPr>
        <w:t>הכא אם יבא אליהו וכו' מי משגח וכו'.</w:t>
      </w:r>
      <w:r w:rsidRPr="00AF1DC8">
        <w:rPr>
          <w:rFonts w:ascii="Narkisim" w:hAnsi="Narkisim"/>
          <w:rtl/>
        </w:rPr>
        <w:t xml:space="preserve"> ה</w:t>
      </w:r>
      <w:r w:rsidRPr="00AF1DC8">
        <w:rPr>
          <w:rFonts w:ascii="Narkisim" w:hAnsi="Narkisim"/>
          <w:b/>
          <w:bCs/>
          <w:rtl/>
        </w:rPr>
        <w:t>ריטב"א</w:t>
      </w:r>
      <w:r w:rsidRPr="00AF1DC8">
        <w:rPr>
          <w:rFonts w:ascii="Narkisim" w:hAnsi="Narkisim"/>
          <w:rtl/>
        </w:rPr>
        <w:t xml:space="preserve"> הביא בשם </w:t>
      </w:r>
      <w:r w:rsidRPr="00AF1DC8">
        <w:rPr>
          <w:rFonts w:ascii="Narkisim" w:hAnsi="Narkisim"/>
          <w:b/>
          <w:bCs/>
          <w:rtl/>
        </w:rPr>
        <w:t>תוס</w:t>
      </w:r>
      <w:r w:rsidRPr="00AF1DC8">
        <w:rPr>
          <w:rFonts w:ascii="Narkisim" w:hAnsi="Narkisim"/>
          <w:rtl/>
        </w:rPr>
        <w:t>' להק' דהכא אמרי' דאם יבא אליהו אסורה תוך ג', ולעיל (לה:) אמרי' [לר' יוחנן] דאם יבא אליהו ויאמר שתפיל, אף בעודה מעוברת הוה בת חליצה ויבום. ותי' דהתם אדינא דאוריי', אבל הכא מדרבנן גזרו</w:t>
      </w:r>
      <w:r w:rsidRPr="00AF1DC8">
        <w:rPr>
          <w:rFonts w:ascii="Narkisim" w:hAnsi="Narkisim"/>
        </w:rPr>
        <w:t>.</w:t>
      </w:r>
    </w:p>
    <w:p w14:paraId="13B5E45E" w14:textId="77777777" w:rsidR="006074A5" w:rsidRPr="00AF1DC8" w:rsidRDefault="006074A5" w:rsidP="006074A5">
      <w:pPr>
        <w:bidi/>
        <w:rPr>
          <w:rFonts w:ascii="Narkisim" w:hAnsi="Narkisim" w:cs="Narkisim"/>
        </w:rPr>
      </w:pPr>
      <w:r w:rsidRPr="00AF1DC8">
        <w:rPr>
          <w:rFonts w:ascii="Narkisim" w:hAnsi="Narkisim" w:cs="Narkisim"/>
          <w:u w:val="single"/>
          <w:rtl/>
        </w:rPr>
        <w:t>רש"י ד”ה הרי</w:t>
      </w:r>
      <w:r w:rsidRPr="00AF1DC8">
        <w:rPr>
          <w:rFonts w:ascii="Narkisim" w:hAnsi="Narkisim" w:cs="Narkisim"/>
          <w:rtl/>
        </w:rPr>
        <w:t>. וכל הנך דאמרו רבנן חולצות ולא מתייבמות וכו' משום דלא אפשר, דא"כ לעולם תאסר, הילכך כיון דמדאורייתא בת יבום היא חלצה. תחילת [וסוף] דברי רש"י משמע דהטעם משום דלא אפשר. וכ"כ ה</w:t>
      </w:r>
      <w:r w:rsidRPr="00AF1DC8">
        <w:rPr>
          <w:rFonts w:ascii="Narkisim" w:hAnsi="Narkisim" w:cs="Narkisim"/>
          <w:b/>
          <w:bCs/>
          <w:rtl/>
        </w:rPr>
        <w:t>ריטב"א</w:t>
      </w:r>
      <w:r w:rsidRPr="00AF1DC8">
        <w:rPr>
          <w:rFonts w:ascii="Narkisim" w:hAnsi="Narkisim" w:cs="Narkisim"/>
          <w:rtl/>
        </w:rPr>
        <w:t xml:space="preserve"> שלא תתעגן כל ימיה, והיכא דלא אפשר הקילו אף כשאינו עולה ליבום. [שהרי אינו מעכב]</w:t>
      </w:r>
      <w:r w:rsidRPr="00AF1DC8">
        <w:rPr>
          <w:rStyle w:val="ac"/>
          <w:rFonts w:ascii="Narkisim" w:hAnsi="Narkisim" w:cs="Narkisim"/>
          <w:rtl/>
        </w:rPr>
        <w:footnoteReference w:id="2467"/>
      </w:r>
      <w:r w:rsidRPr="00AF1DC8">
        <w:rPr>
          <w:rFonts w:ascii="Narkisim" w:hAnsi="Narkisim" w:cs="Narkisim"/>
          <w:rtl/>
        </w:rPr>
        <w:t>.</w:t>
      </w:r>
    </w:p>
    <w:p w14:paraId="4406A03F" w14:textId="77777777" w:rsidR="006074A5" w:rsidRPr="00AF1DC8" w:rsidRDefault="006074A5" w:rsidP="006074A5">
      <w:pPr>
        <w:pStyle w:val="a7"/>
        <w:bidi/>
        <w:rPr>
          <w:rFonts w:ascii="Narkisim" w:hAnsi="Narkisim"/>
        </w:rPr>
      </w:pPr>
      <w:r w:rsidRPr="00AF1DC8">
        <w:rPr>
          <w:rFonts w:ascii="Narkisim" w:hAnsi="Narkisim"/>
          <w:rtl/>
        </w:rPr>
        <w:t xml:space="preserve">אך </w:t>
      </w:r>
      <w:r w:rsidRPr="00AF1DC8">
        <w:rPr>
          <w:rFonts w:ascii="Narkisim" w:hAnsi="Narkisim"/>
          <w:b/>
          <w:bCs/>
          <w:rtl/>
        </w:rPr>
        <w:t>רש"י</w:t>
      </w:r>
      <w:r w:rsidRPr="00AF1DC8">
        <w:rPr>
          <w:rFonts w:ascii="Narkisim" w:hAnsi="Narkisim"/>
          <w:rtl/>
        </w:rPr>
        <w:t xml:space="preserve"> הוסיף טעם כיון דמדאורייתא בת חליצה ויבום נינהו. וה</w:t>
      </w:r>
      <w:r w:rsidRPr="00AF1DC8">
        <w:rPr>
          <w:rFonts w:ascii="Narkisim" w:hAnsi="Narkisim"/>
          <w:b/>
          <w:bCs/>
          <w:rtl/>
        </w:rPr>
        <w:t>אחרונים</w:t>
      </w:r>
      <w:r w:rsidRPr="00AF1DC8">
        <w:rPr>
          <w:rFonts w:ascii="Narkisim" w:hAnsi="Narkisim"/>
          <w:rtl/>
        </w:rPr>
        <w:t xml:space="preserve"> (</w:t>
      </w:r>
      <w:r w:rsidRPr="00AF1DC8">
        <w:rPr>
          <w:rFonts w:ascii="Narkisim" w:hAnsi="Narkisim"/>
          <w:b/>
          <w:bCs/>
          <w:rtl/>
        </w:rPr>
        <w:t>עונג יו"ט</w:t>
      </w:r>
      <w:r w:rsidRPr="00AF1DC8">
        <w:rPr>
          <w:rFonts w:ascii="Narkisim" w:hAnsi="Narkisim"/>
          <w:rtl/>
        </w:rPr>
        <w:t xml:space="preserve"> קעז) הק' דחייבי לאו ועשה מדאורייתא לאו בת יבום</w:t>
      </w:r>
      <w:r w:rsidRPr="00AF1DC8">
        <w:rPr>
          <w:rStyle w:val="ac"/>
          <w:rFonts w:ascii="Narkisim" w:hAnsi="Narkisim"/>
          <w:rtl/>
        </w:rPr>
        <w:footnoteReference w:id="2468"/>
      </w:r>
      <w:r w:rsidRPr="00AF1DC8">
        <w:rPr>
          <w:rFonts w:ascii="Narkisim" w:hAnsi="Narkisim"/>
        </w:rPr>
        <w:t xml:space="preserve">, </w:t>
      </w:r>
      <w:r w:rsidRPr="00AF1DC8">
        <w:rPr>
          <w:rFonts w:ascii="Narkisim" w:hAnsi="Narkisim"/>
          <w:rtl/>
        </w:rPr>
        <w:t>ובזה רש"י לא תי' כלל. וה</w:t>
      </w:r>
      <w:r w:rsidRPr="00AF1DC8">
        <w:rPr>
          <w:rFonts w:ascii="Narkisim" w:hAnsi="Narkisim"/>
          <w:b/>
          <w:bCs/>
          <w:rtl/>
        </w:rPr>
        <w:t>תוי"ט</w:t>
      </w:r>
      <w:r w:rsidRPr="00AF1DC8">
        <w:rPr>
          <w:rFonts w:ascii="Narkisim" w:hAnsi="Narkisim"/>
          <w:rtl/>
        </w:rPr>
        <w:t xml:space="preserve"> עמד בזה, ותי' דחייבי לאו ועשה</w:t>
      </w:r>
      <w:r w:rsidRPr="00AF1DC8">
        <w:rPr>
          <w:rStyle w:val="ac"/>
          <w:rFonts w:ascii="Narkisim" w:hAnsi="Narkisim"/>
          <w:rtl/>
        </w:rPr>
        <w:footnoteReference w:id="2469"/>
      </w:r>
      <w:r w:rsidRPr="00AF1DC8">
        <w:rPr>
          <w:rFonts w:ascii="Narkisim" w:hAnsi="Narkisim"/>
        </w:rPr>
        <w:t xml:space="preserve"> </w:t>
      </w:r>
      <w:r w:rsidRPr="00AF1DC8">
        <w:rPr>
          <w:rFonts w:ascii="Narkisim" w:hAnsi="Narkisim"/>
          <w:rtl/>
        </w:rPr>
        <w:t>נתרבו להדיא (לעיל כ.) יש לך אחרת שעולה לחליצה ואינה עולה ליבום</w:t>
      </w:r>
      <w:r w:rsidRPr="00AF1DC8">
        <w:rPr>
          <w:rFonts w:ascii="Narkisim" w:hAnsi="Narkisim"/>
        </w:rPr>
        <w:t>.</w:t>
      </w:r>
    </w:p>
    <w:p w14:paraId="4D3E7045"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עונג יו"ט</w:t>
      </w:r>
      <w:r w:rsidRPr="00AF1DC8">
        <w:rPr>
          <w:rFonts w:ascii="Narkisim" w:hAnsi="Narkisim"/>
          <w:rtl/>
        </w:rPr>
        <w:t xml:space="preserve"> תי' דכיון דחייבי לאו ועשה לא רמי כלל ליבום, לא שייך בהם את התנאי דאינה עולה ליבום</w:t>
      </w:r>
      <w:r w:rsidRPr="00AF1DC8">
        <w:rPr>
          <w:rStyle w:val="ac"/>
          <w:rFonts w:ascii="Narkisim" w:hAnsi="Narkisim"/>
          <w:rtl/>
        </w:rPr>
        <w:footnoteReference w:id="2470"/>
      </w:r>
      <w:r w:rsidRPr="00AF1DC8">
        <w:rPr>
          <w:rFonts w:ascii="Narkisim" w:hAnsi="Narkisim"/>
        </w:rPr>
        <w:t xml:space="preserve">. </w:t>
      </w:r>
      <w:r w:rsidRPr="00AF1DC8">
        <w:rPr>
          <w:rFonts w:ascii="Narkisim" w:hAnsi="Narkisim"/>
          <w:rtl/>
        </w:rPr>
        <w:t>ורק במקום דרמי לייבום, יש תנאי בחליצה שתהא עולה לייבום</w:t>
      </w:r>
      <w:r w:rsidRPr="00AF1DC8">
        <w:rPr>
          <w:rStyle w:val="ac"/>
          <w:rFonts w:ascii="Narkisim" w:hAnsi="Narkisim"/>
          <w:rtl/>
        </w:rPr>
        <w:footnoteReference w:id="2471"/>
      </w:r>
      <w:r w:rsidRPr="00AF1DC8">
        <w:rPr>
          <w:rFonts w:ascii="Narkisim" w:hAnsi="Narkisim"/>
        </w:rPr>
        <w:t xml:space="preserve">. </w:t>
      </w:r>
      <w:r w:rsidRPr="00AF1DC8">
        <w:rPr>
          <w:rFonts w:ascii="Narkisim" w:hAnsi="Narkisim"/>
          <w:rtl/>
        </w:rPr>
        <w:t>ועד"ז האריך ב</w:t>
      </w:r>
      <w:r w:rsidRPr="00AF1DC8">
        <w:rPr>
          <w:rFonts w:ascii="Narkisim" w:hAnsi="Narkisim"/>
          <w:b/>
          <w:bCs/>
          <w:rtl/>
        </w:rPr>
        <w:t>קובה"ע</w:t>
      </w:r>
      <w:r w:rsidRPr="00AF1DC8">
        <w:rPr>
          <w:rFonts w:ascii="Narkisim" w:hAnsi="Narkisim"/>
          <w:rtl/>
        </w:rPr>
        <w:t xml:space="preserve"> (ה ג) דחייבי לאו ועשה נחשב שיש רק זיקת חליצה ולא זיקת יבום ולכן ל"ש דאינה עולה ליבום</w:t>
      </w:r>
      <w:r w:rsidRPr="00AF1DC8">
        <w:rPr>
          <w:rStyle w:val="ac"/>
          <w:rFonts w:ascii="Narkisim" w:hAnsi="Narkisim"/>
          <w:rtl/>
        </w:rPr>
        <w:footnoteReference w:id="2472"/>
      </w:r>
      <w:r w:rsidRPr="00AF1DC8">
        <w:rPr>
          <w:rFonts w:ascii="Narkisim" w:hAnsi="Narkisim"/>
        </w:rPr>
        <w:t xml:space="preserve">. </w:t>
      </w:r>
      <w:r w:rsidRPr="00AF1DC8">
        <w:rPr>
          <w:rFonts w:ascii="Narkisim" w:hAnsi="Narkisim"/>
          <w:szCs w:val="20"/>
          <w:rtl/>
        </w:rPr>
        <w:t>[וע' מש"כ לעיל כ. בגדר חייבי עשה דזקוקה רק לחליצה]</w:t>
      </w:r>
      <w:r w:rsidRPr="00AF1DC8">
        <w:rPr>
          <w:rFonts w:ascii="Narkisim" w:hAnsi="Narkisim"/>
        </w:rPr>
        <w:t>.</w:t>
      </w:r>
    </w:p>
    <w:p w14:paraId="6F65E9AB" w14:textId="77777777" w:rsidR="006074A5" w:rsidRPr="00AF1DC8" w:rsidRDefault="006074A5" w:rsidP="006074A5">
      <w:pPr>
        <w:bidi/>
        <w:rPr>
          <w:rFonts w:ascii="Narkisim" w:hAnsi="Narkisim" w:cs="Narkisim"/>
        </w:rPr>
      </w:pPr>
      <w:r w:rsidRPr="00AF1DC8">
        <w:rPr>
          <w:rFonts w:ascii="Narkisim" w:hAnsi="Narkisim" w:cs="Narkisim"/>
          <w:rtl/>
        </w:rPr>
        <w:t>אך בגמ' (לעיל ג. וכ.) אי' דעריות אינם חייבות בחליצה, משום דאינן עולים ליבום. ולכאורה משמע דשייך לסוגיין</w:t>
      </w:r>
      <w:r w:rsidRPr="00AF1DC8">
        <w:rPr>
          <w:rStyle w:val="ac"/>
          <w:rFonts w:ascii="Narkisim" w:hAnsi="Narkisim" w:cs="Narkisim"/>
          <w:rtl/>
        </w:rPr>
        <w:footnoteReference w:id="2473"/>
      </w:r>
      <w:r w:rsidRPr="00AF1DC8">
        <w:rPr>
          <w:rFonts w:ascii="Narkisim" w:hAnsi="Narkisim" w:cs="Narkisim"/>
          <w:rtl/>
        </w:rPr>
        <w:t>. וה</w:t>
      </w:r>
      <w:r w:rsidRPr="00AF1DC8">
        <w:rPr>
          <w:rFonts w:ascii="Narkisim" w:hAnsi="Narkisim" w:cs="Narkisim"/>
          <w:b/>
          <w:bCs/>
          <w:rtl/>
        </w:rPr>
        <w:t>אחרונים</w:t>
      </w:r>
      <w:r w:rsidRPr="00AF1DC8">
        <w:rPr>
          <w:rFonts w:ascii="Narkisim" w:hAnsi="Narkisim" w:cs="Narkisim"/>
          <w:rtl/>
        </w:rPr>
        <w:t xml:space="preserve"> (הנ"ל) חידשו דע"כ הוה גדר פטור אחר, משום דאינם עולים לזיקת יבום אינם עולים לזיקת חליצה. ואילו הכא הוה תנאי במעשה החליצה.</w:t>
      </w:r>
    </w:p>
    <w:p w14:paraId="33C246D3" w14:textId="77777777" w:rsidR="006074A5" w:rsidRPr="00AF1DC8" w:rsidRDefault="006074A5" w:rsidP="006074A5">
      <w:pPr>
        <w:pStyle w:val="aa"/>
        <w:bidi/>
        <w:rPr>
          <w:rFonts w:ascii="Narkisim" w:hAnsi="Narkisim"/>
        </w:rPr>
      </w:pPr>
      <w:r w:rsidRPr="00AF1DC8">
        <w:rPr>
          <w:rFonts w:ascii="Narkisim" w:hAnsi="Narkisim"/>
          <w:u w:val="single"/>
          <w:rtl/>
        </w:rPr>
        <w:lastRenderedPageBreak/>
        <w:t>שם.</w:t>
      </w:r>
      <w:r w:rsidRPr="00AF1DC8">
        <w:rPr>
          <w:rFonts w:ascii="Narkisim" w:hAnsi="Narkisim"/>
          <w:rtl/>
        </w:rPr>
        <w:t xml:space="preserve"> ה</w:t>
      </w:r>
      <w:r w:rsidRPr="00AF1DC8">
        <w:rPr>
          <w:rFonts w:ascii="Narkisim" w:hAnsi="Narkisim"/>
          <w:b/>
          <w:bCs/>
          <w:rtl/>
        </w:rPr>
        <w:t xml:space="preserve">רמב"ם </w:t>
      </w:r>
      <w:r w:rsidRPr="00AF1DC8">
        <w:rPr>
          <w:rFonts w:ascii="Narkisim" w:hAnsi="Narkisim"/>
          <w:rtl/>
        </w:rPr>
        <w:t>(מלכים ב ג) פסק דאלמנת מלך כיון שא”א ליבם את אשתו</w:t>
      </w:r>
      <w:r w:rsidRPr="00AF1DC8">
        <w:rPr>
          <w:rStyle w:val="ac"/>
          <w:rFonts w:ascii="Narkisim" w:hAnsi="Narkisim"/>
          <w:rtl/>
        </w:rPr>
        <w:footnoteReference w:id="2474"/>
      </w:r>
      <w:r w:rsidRPr="00AF1DC8">
        <w:rPr>
          <w:rFonts w:ascii="Narkisim" w:hAnsi="Narkisim"/>
        </w:rPr>
        <w:t xml:space="preserve"> </w:t>
      </w:r>
      <w:r w:rsidRPr="00AF1DC8">
        <w:rPr>
          <w:rFonts w:ascii="Narkisim" w:hAnsi="Narkisim"/>
          <w:rtl/>
        </w:rPr>
        <w:t>כך אין חולץ לה</w:t>
      </w:r>
      <w:r w:rsidRPr="00AF1DC8">
        <w:rPr>
          <w:rStyle w:val="ac"/>
          <w:rFonts w:ascii="Narkisim" w:hAnsi="Narkisim"/>
          <w:rtl/>
        </w:rPr>
        <w:footnoteReference w:id="2475"/>
      </w:r>
      <w:r w:rsidRPr="00AF1DC8">
        <w:rPr>
          <w:rFonts w:ascii="Narkisim" w:hAnsi="Narkisim"/>
        </w:rPr>
        <w:t xml:space="preserve">, </w:t>
      </w:r>
      <w:r w:rsidRPr="00AF1DC8">
        <w:rPr>
          <w:rFonts w:ascii="Narkisim" w:hAnsi="Narkisim"/>
          <w:rtl/>
        </w:rPr>
        <w:t>אלא תשב לעולם בזיקתה</w:t>
      </w:r>
      <w:r w:rsidRPr="00AF1DC8">
        <w:rPr>
          <w:rStyle w:val="ac"/>
          <w:rFonts w:ascii="Narkisim" w:hAnsi="Narkisim"/>
          <w:rtl/>
        </w:rPr>
        <w:footnoteReference w:id="2476"/>
      </w:r>
      <w:r w:rsidRPr="00AF1DC8">
        <w:rPr>
          <w:rFonts w:ascii="Narkisim" w:hAnsi="Narkisim"/>
        </w:rPr>
        <w:t xml:space="preserve">. </w:t>
      </w: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(ה ז) הק' מ"ש מחייבי לאו ועשה דרמי רק לחליצה. ותי' דאשת מלך יש זיקת יבום, דאינה איסור ערוה, אלא שבפועל אינו יכול לייבם. [דאלמנת המלך אסורה, וכמו דאין רוכבים על סוסו. ולא שייך לגדרי עריות]</w:t>
      </w:r>
      <w:r w:rsidRPr="00AF1DC8">
        <w:rPr>
          <w:rFonts w:ascii="Narkisim" w:hAnsi="Narkisim"/>
        </w:rPr>
        <w:t>.</w:t>
      </w:r>
    </w:p>
    <w:p w14:paraId="3F23D050" w14:textId="77777777" w:rsidR="006074A5" w:rsidRPr="00AF1DC8" w:rsidRDefault="006074A5" w:rsidP="006074A5">
      <w:pPr>
        <w:pStyle w:val="aa"/>
        <w:bidi/>
        <w:rPr>
          <w:rFonts w:ascii="Narkisim" w:hAnsi="Narkisim"/>
        </w:rPr>
      </w:pPr>
      <w:r w:rsidRPr="00AF1DC8">
        <w:rPr>
          <w:rFonts w:ascii="Narkisim" w:hAnsi="Narkisim"/>
          <w:u w:val="single"/>
          <w:rtl/>
        </w:rPr>
        <w:t>בא"ד [לעיל] וספק צרת ערוה</w:t>
      </w:r>
      <w:r w:rsidRPr="00AF1DC8">
        <w:rPr>
          <w:rStyle w:val="ac"/>
          <w:rFonts w:ascii="Narkisim" w:hAnsi="Narkisim"/>
          <w:u w:val="single"/>
          <w:rtl/>
        </w:rPr>
        <w:footnoteReference w:id="2477"/>
      </w:r>
      <w:r w:rsidRPr="00AF1DC8">
        <w:rPr>
          <w:rFonts w:ascii="Narkisim" w:hAnsi="Narkisim"/>
        </w:rPr>
        <w:t xml:space="preserve">. </w:t>
      </w:r>
      <w:r w:rsidRPr="00AF1DC8">
        <w:rPr>
          <w:rFonts w:ascii="Narkisim" w:hAnsi="Narkisim"/>
          <w:rtl/>
        </w:rPr>
        <w:t>יל"ד דאי כוונת רש"י לדברי הגמ' (כאן) דקידש א' מב' אחיות, דאם יבא אליהו וכו'. וה</w:t>
      </w:r>
      <w:r w:rsidRPr="00AF1DC8">
        <w:rPr>
          <w:rFonts w:ascii="Narkisim" w:hAnsi="Narkisim"/>
          <w:b/>
          <w:bCs/>
          <w:rtl/>
        </w:rPr>
        <w:t>מפרשים</w:t>
      </w:r>
      <w:r w:rsidRPr="00AF1DC8">
        <w:rPr>
          <w:rFonts w:ascii="Narkisim" w:hAnsi="Narkisim"/>
          <w:rtl/>
        </w:rPr>
        <w:t xml:space="preserve"> (ע' מהרש"א) הק' א”כ אמאי הוצרך לטעם חדש דמדאורייתא בת יבום</w:t>
      </w:r>
      <w:r w:rsidRPr="00AF1DC8">
        <w:rPr>
          <w:rStyle w:val="ac"/>
          <w:rFonts w:ascii="Narkisim" w:hAnsi="Narkisim"/>
          <w:rtl/>
        </w:rPr>
        <w:footnoteReference w:id="2478"/>
      </w:r>
      <w:r w:rsidRPr="00AF1DC8">
        <w:rPr>
          <w:rFonts w:ascii="Narkisim" w:hAnsi="Narkisim"/>
        </w:rPr>
        <w:t xml:space="preserve">. </w:t>
      </w:r>
      <w:r w:rsidRPr="00AF1DC8">
        <w:rPr>
          <w:rFonts w:ascii="Narkisim" w:hAnsi="Narkisim"/>
          <w:rtl/>
        </w:rPr>
        <w:t>ויש שתי' דכוונת הגמ' אם יבא אליהו לאו דוקא, אלא משום שעומד להתברר. אבל היכא דאינו עומד להתברר, אינה עולה ליבום, ול"מ חליצה</w:t>
      </w:r>
      <w:r w:rsidRPr="00AF1DC8">
        <w:rPr>
          <w:rStyle w:val="ac"/>
          <w:rFonts w:ascii="Narkisim" w:hAnsi="Narkisim"/>
          <w:rtl/>
        </w:rPr>
        <w:footnoteReference w:id="2479"/>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ביארו דמש"כ רש"י דמדאורייתא עולה ליבום, היינו משום דמוקמי' לה אחזקתה</w:t>
      </w:r>
      <w:r w:rsidRPr="00AF1DC8">
        <w:rPr>
          <w:rStyle w:val="ac"/>
          <w:rFonts w:ascii="Narkisim" w:hAnsi="Narkisim"/>
          <w:rtl/>
        </w:rPr>
        <w:footnoteReference w:id="2480"/>
      </w:r>
      <w:r w:rsidRPr="00AF1DC8">
        <w:rPr>
          <w:rFonts w:ascii="Narkisim" w:hAnsi="Narkisim"/>
        </w:rPr>
        <w:t>.</w:t>
      </w:r>
    </w:p>
    <w:p w14:paraId="5BFB67B9"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פוסקים</w:t>
      </w:r>
      <w:r w:rsidRPr="00AF1DC8">
        <w:rPr>
          <w:rFonts w:ascii="Narkisim" w:hAnsi="Narkisim" w:cs="Narkisim"/>
          <w:rtl/>
        </w:rPr>
        <w:t xml:space="preserve"> דנו יבמה שנתקדשה </w:t>
      </w:r>
      <w:r w:rsidRPr="00AF1DC8">
        <w:rPr>
          <w:rFonts w:ascii="Narkisim" w:hAnsi="Narkisim" w:cs="Narkisim"/>
          <w:sz w:val="20"/>
          <w:szCs w:val="20"/>
          <w:rtl/>
        </w:rPr>
        <w:t xml:space="preserve">[למ"ד דקידושין תפסי ביבמה, ולא פקע זיקה וכמ"ש </w:t>
      </w:r>
      <w:r w:rsidRPr="00AF1DC8">
        <w:rPr>
          <w:rFonts w:ascii="Narkisim" w:hAnsi="Narkisim" w:cs="Narkisim"/>
          <w:b/>
          <w:bCs/>
          <w:sz w:val="20"/>
          <w:szCs w:val="20"/>
          <w:rtl/>
        </w:rPr>
        <w:t>תוס</w:t>
      </w:r>
      <w:r w:rsidRPr="00AF1DC8">
        <w:rPr>
          <w:rFonts w:ascii="Narkisim" w:hAnsi="Narkisim" w:cs="Narkisim"/>
          <w:sz w:val="20"/>
          <w:szCs w:val="20"/>
          <w:rtl/>
        </w:rPr>
        <w:t>' (לעיל טז.)]</w:t>
      </w:r>
      <w:r w:rsidRPr="00AF1DC8">
        <w:rPr>
          <w:rFonts w:ascii="Narkisim" w:hAnsi="Narkisim" w:cs="Narkisim"/>
          <w:rtl/>
        </w:rPr>
        <w:t xml:space="preserve"> היאך תחלוץ הא אינה עולה ליבום. וה</w:t>
      </w:r>
      <w:r w:rsidRPr="00AF1DC8">
        <w:rPr>
          <w:rFonts w:ascii="Narkisim" w:hAnsi="Narkisim" w:cs="Narkisim"/>
          <w:b/>
          <w:bCs/>
          <w:rtl/>
        </w:rPr>
        <w:t>לבוש</w:t>
      </w:r>
      <w:r w:rsidRPr="00AF1DC8">
        <w:rPr>
          <w:rFonts w:ascii="Narkisim" w:hAnsi="Narkisim" w:cs="Narkisim"/>
          <w:sz w:val="20"/>
          <w:szCs w:val="20"/>
          <w:rtl/>
        </w:rPr>
        <w:t xml:space="preserve"> </w:t>
      </w:r>
      <w:r w:rsidRPr="00AF1DC8">
        <w:rPr>
          <w:rFonts w:ascii="Narkisim" w:hAnsi="Narkisim" w:cs="Narkisim"/>
          <w:rtl/>
        </w:rPr>
        <w:t>נטה שלא תחלוץ לפני שתתגרש</w:t>
      </w:r>
      <w:r w:rsidRPr="00AF1DC8">
        <w:rPr>
          <w:rStyle w:val="ac"/>
          <w:rFonts w:ascii="Narkisim" w:hAnsi="Narkisim" w:cs="Narkisim"/>
          <w:rtl/>
        </w:rPr>
        <w:footnoteReference w:id="2481"/>
      </w:r>
      <w:r w:rsidRPr="00AF1DC8">
        <w:rPr>
          <w:rFonts w:ascii="Narkisim" w:hAnsi="Narkisim" w:cs="Narkisim"/>
        </w:rPr>
        <w:t xml:space="preserve">. </w:t>
      </w:r>
      <w:r w:rsidRPr="00AF1DC8">
        <w:rPr>
          <w:rFonts w:ascii="Narkisim" w:hAnsi="Narkisim" w:cs="Narkisim"/>
          <w:rtl/>
        </w:rPr>
        <w:t>אבל ה</w:t>
      </w:r>
      <w:r w:rsidRPr="00AF1DC8">
        <w:rPr>
          <w:rFonts w:ascii="Narkisim" w:hAnsi="Narkisim" w:cs="Narkisim"/>
          <w:b/>
          <w:bCs/>
          <w:rtl/>
        </w:rPr>
        <w:t>אחרונים</w:t>
      </w:r>
      <w:r w:rsidRPr="00AF1DC8">
        <w:rPr>
          <w:rFonts w:ascii="Narkisim" w:hAnsi="Narkisim" w:cs="Narkisim"/>
          <w:rtl/>
        </w:rPr>
        <w:t xml:space="preserve"> (בי"מ קנט, הו' בפתח"ת שם ג) הביאו דמפורש בכמה מקומות (לעיל טו., וכ"מ לו: גבי אשת כהן, ופז:) דיכול לחלוץ בעודה אשת איש</w:t>
      </w:r>
      <w:r w:rsidRPr="00AF1DC8">
        <w:rPr>
          <w:rFonts w:ascii="Narkisim" w:hAnsi="Narkisim" w:cs="Narkisim"/>
        </w:rPr>
        <w:t>.</w:t>
      </w:r>
    </w:p>
    <w:p w14:paraId="56C71C2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כתבו טעם דכיון דיכול להגרש [ואף כופין לגרש] נחשב עולה ליבום. וצ"ב. </w:t>
      </w:r>
      <w:r w:rsidRPr="00AF1DC8">
        <w:rPr>
          <w:rFonts w:ascii="Narkisim" w:hAnsi="Narkisim"/>
          <w:sz w:val="20"/>
          <w:szCs w:val="20"/>
          <w:rtl/>
        </w:rPr>
        <w:t>[וה</w:t>
      </w:r>
      <w:r w:rsidRPr="00AF1DC8">
        <w:rPr>
          <w:rFonts w:ascii="Narkisim" w:hAnsi="Narkisim"/>
          <w:b/>
          <w:bCs/>
          <w:sz w:val="20"/>
          <w:szCs w:val="20"/>
          <w:rtl/>
        </w:rPr>
        <w:t>חזו"א</w:t>
      </w:r>
      <w:r w:rsidRPr="00AF1DC8">
        <w:rPr>
          <w:rFonts w:ascii="Narkisim" w:hAnsi="Narkisim"/>
          <w:sz w:val="20"/>
          <w:szCs w:val="20"/>
          <w:rtl/>
        </w:rPr>
        <w:t xml:space="preserve"> כתב דאין לדמות התקנות זו לזו].</w:t>
      </w:r>
      <w:r w:rsidRPr="00AF1DC8">
        <w:rPr>
          <w:rFonts w:ascii="Narkisim" w:hAnsi="Narkisim"/>
          <w:rtl/>
        </w:rPr>
        <w:t xml:space="preserve"> וב</w:t>
      </w:r>
      <w:r w:rsidRPr="00AF1DC8">
        <w:rPr>
          <w:rFonts w:ascii="Narkisim" w:hAnsi="Narkisim"/>
          <w:b/>
          <w:bCs/>
          <w:rtl/>
        </w:rPr>
        <w:t>חי' ר' שמעון</w:t>
      </w:r>
      <w:r w:rsidRPr="00AF1DC8">
        <w:rPr>
          <w:rFonts w:ascii="Narkisim" w:hAnsi="Narkisim"/>
          <w:rtl/>
        </w:rPr>
        <w:t xml:space="preserve"> (מ) הקשה דבסוגיין מבואר דאפי' מחוסר זמן אינה עולה ליבום, וכ"ש מחוסר מעשה. והביא דמה שבידו לעשות נחשב ראוי לדבר, אבל מחוסר זמן אינו בעולם</w:t>
      </w:r>
      <w:r w:rsidRPr="00AF1DC8">
        <w:rPr>
          <w:rFonts w:ascii="Narkisim" w:hAnsi="Narkisim"/>
        </w:rPr>
        <w:t>.</w:t>
      </w:r>
    </w:p>
    <w:p w14:paraId="2F90700B" w14:textId="77777777" w:rsidR="006074A5" w:rsidRPr="00AF1DC8" w:rsidRDefault="006074A5" w:rsidP="006074A5">
      <w:pPr>
        <w:bidi/>
        <w:rPr>
          <w:rFonts w:ascii="Narkisim" w:hAnsi="Narkisim" w:cs="Narkisim"/>
        </w:rPr>
      </w:pPr>
      <w:r w:rsidRPr="00AF1DC8">
        <w:rPr>
          <w:rFonts w:ascii="Narkisim" w:hAnsi="Narkisim" w:cs="Narkisim"/>
          <w:u w:val="single"/>
          <w:rtl/>
        </w:rPr>
        <w:t>תוד"ה קרא.</w:t>
      </w:r>
      <w:r w:rsidRPr="00AF1DC8">
        <w:rPr>
          <w:rFonts w:ascii="Narkisim" w:hAnsi="Narkisim" w:cs="Narkisim"/>
          <w:rtl/>
        </w:rPr>
        <w:t xml:space="preserve"> וי"ל דלר"ל נמי אינה חולצת תוך ג', משום שאינה עולה ליבום. וה</w:t>
      </w:r>
      <w:r w:rsidRPr="00AF1DC8">
        <w:rPr>
          <w:rFonts w:ascii="Narkisim" w:hAnsi="Narkisim" w:cs="Narkisim"/>
          <w:b/>
          <w:bCs/>
          <w:rtl/>
        </w:rPr>
        <w:t xml:space="preserve">רמב"ן </w:t>
      </w:r>
      <w:r w:rsidRPr="00AF1DC8">
        <w:rPr>
          <w:rFonts w:ascii="Narkisim" w:hAnsi="Narkisim" w:cs="Narkisim"/>
          <w:rtl/>
        </w:rPr>
        <w:t>ושא"ר תי' קושיית התוס' דכשנמצאת שאינה מעוברת אף לר"ל בעינן לדברי ר' יוסי, משום דאינו עומד ליבום. וכן נקטו ה</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sz w:val="20"/>
          <w:szCs w:val="20"/>
          <w:rtl/>
        </w:rPr>
        <w:t>(</w:t>
      </w:r>
      <w:r w:rsidRPr="00AF1DC8">
        <w:rPr>
          <w:rFonts w:ascii="Narkisim" w:hAnsi="Narkisim" w:cs="Narkisim"/>
          <w:b/>
          <w:bCs/>
          <w:sz w:val="20"/>
          <w:szCs w:val="20"/>
          <w:rtl/>
        </w:rPr>
        <w:t>חזו"א</w:t>
      </w:r>
      <w:r w:rsidRPr="00AF1DC8">
        <w:rPr>
          <w:rFonts w:ascii="Narkisim" w:hAnsi="Narkisim" w:cs="Narkisim"/>
          <w:sz w:val="20"/>
          <w:szCs w:val="20"/>
          <w:rtl/>
        </w:rPr>
        <w:t xml:space="preserve"> קכ, וכ"מ ב</w:t>
      </w:r>
      <w:r w:rsidRPr="00AF1DC8">
        <w:rPr>
          <w:rFonts w:ascii="Narkisim" w:hAnsi="Narkisim" w:cs="Narkisim"/>
          <w:b/>
          <w:bCs/>
          <w:sz w:val="20"/>
          <w:szCs w:val="20"/>
          <w:rtl/>
        </w:rPr>
        <w:t>ט"ז</w:t>
      </w:r>
      <w:r w:rsidRPr="00AF1DC8">
        <w:rPr>
          <w:rFonts w:ascii="Narkisim" w:hAnsi="Narkisim" w:cs="Narkisim"/>
          <w:sz w:val="20"/>
          <w:szCs w:val="20"/>
          <w:rtl/>
        </w:rPr>
        <w:t xml:space="preserve"> קסד ב)</w:t>
      </w:r>
      <w:r w:rsidRPr="00AF1DC8">
        <w:rPr>
          <w:rFonts w:ascii="Narkisim" w:hAnsi="Narkisim" w:cs="Narkisim"/>
          <w:rtl/>
        </w:rPr>
        <w:t xml:space="preserve"> דכוונת התוס', דל"ש בזה דין מעוברת אלא מדין ר' יוסי.</w:t>
      </w:r>
    </w:p>
    <w:p w14:paraId="53272857"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תוס' הרא"ש</w:t>
      </w:r>
      <w:r w:rsidRPr="00AF1DC8">
        <w:rPr>
          <w:rFonts w:ascii="Narkisim" w:hAnsi="Narkisim"/>
          <w:rtl/>
        </w:rPr>
        <w:t xml:space="preserve"> תי' דהא דר"ל דריש 'ובן אין לו' [במעוברת] מהני לפטור מיבום, דקאי איבמה יבא עליה. ולאו דרשה גמורה היא לפטור [בלא חליצה]. והא דאינה חולצת משום דאינה עולה ליבום </w:t>
      </w:r>
      <w:r w:rsidRPr="00AF1DC8">
        <w:rPr>
          <w:rFonts w:ascii="Narkisim" w:hAnsi="Narkisim"/>
          <w:szCs w:val="20"/>
          <w:rtl/>
        </w:rPr>
        <w:t>[ואף בדיעבד ל"מ מהך סברא]</w:t>
      </w:r>
      <w:r w:rsidRPr="00AF1DC8">
        <w:rPr>
          <w:rFonts w:ascii="Narkisim" w:hAnsi="Narkisim"/>
          <w:rtl/>
        </w:rPr>
        <w:t>. [ומשמע דלר"ל אף תוך ג' הוה מדין 'עין עליו'. יל"ד דלפ"ז אף בדיעבד החליצה פסולה לר”ל, דהוה כמו מעוברת</w:t>
      </w:r>
      <w:r w:rsidRPr="00AF1DC8">
        <w:rPr>
          <w:rStyle w:val="ac"/>
          <w:rFonts w:ascii="Narkisim" w:hAnsi="Narkisim"/>
          <w:rtl/>
        </w:rPr>
        <w:footnoteReference w:id="2482"/>
      </w:r>
      <w:r w:rsidRPr="00AF1DC8">
        <w:rPr>
          <w:rFonts w:ascii="Narkisim" w:hAnsi="Narkisim"/>
          <w:rtl/>
        </w:rPr>
        <w:t>]</w:t>
      </w:r>
      <w:r w:rsidRPr="00AF1DC8">
        <w:rPr>
          <w:rFonts w:ascii="Narkisim" w:hAnsi="Narkisim"/>
        </w:rPr>
        <w:t>.</w:t>
      </w:r>
    </w:p>
    <w:p w14:paraId="20438359" w14:textId="77777777" w:rsidR="006074A5" w:rsidRPr="00AF1DC8" w:rsidRDefault="006074A5" w:rsidP="006074A5">
      <w:pPr>
        <w:pStyle w:val="aa"/>
        <w:bidi/>
        <w:rPr>
          <w:rFonts w:ascii="Narkisim" w:hAnsi="Narkisim"/>
        </w:rPr>
      </w:pPr>
      <w:r w:rsidRPr="00AF1DC8">
        <w:rPr>
          <w:rFonts w:ascii="Narkisim" w:hAnsi="Narkisim"/>
          <w:u w:val="single"/>
          <w:rtl/>
        </w:rPr>
        <w:t>תוד"ה הספיקות.</w:t>
      </w:r>
      <w:r w:rsidRPr="00AF1DC8">
        <w:rPr>
          <w:rFonts w:ascii="Narkisim" w:hAnsi="Narkisim"/>
          <w:rtl/>
        </w:rPr>
        <w:t xml:space="preserve"> מההיא (לקמן כג:) וכו' דא”י איזה קידש הו”מ לימפרך, אלא שהיה צריך להאריך יותר. </w:t>
      </w:r>
      <w:r w:rsidRPr="00AF1DC8">
        <w:rPr>
          <w:rFonts w:ascii="Narkisim" w:hAnsi="Narkisim"/>
          <w:b/>
          <w:bCs/>
          <w:rtl/>
        </w:rPr>
        <w:t>רע"א</w:t>
      </w:r>
      <w:r w:rsidRPr="00AF1DC8">
        <w:rPr>
          <w:rFonts w:ascii="Narkisim" w:hAnsi="Narkisim"/>
          <w:rtl/>
        </w:rPr>
        <w:t xml:space="preserve"> תמה דהמשנה מפורש יותר, והברייתא צריך להאריך</w:t>
      </w:r>
      <w:r w:rsidRPr="00AF1DC8">
        <w:rPr>
          <w:rFonts w:ascii="Narkisim" w:hAnsi="Narkisim"/>
        </w:rPr>
        <w:t>.</w:t>
      </w:r>
    </w:p>
    <w:p w14:paraId="5912BCD4"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דהלשון 'ספיקות' משמע אף ספק מעוברת. ואף דאפשר לדחות בזה</w:t>
      </w:r>
      <w:r w:rsidRPr="00AF1DC8">
        <w:rPr>
          <w:rFonts w:ascii="Narkisim" w:hAnsi="Narkisim"/>
        </w:rPr>
        <w:t>.</w:t>
      </w:r>
    </w:p>
    <w:p w14:paraId="3EE30681" w14:textId="77777777" w:rsidR="006074A5" w:rsidRPr="00AF1DC8" w:rsidRDefault="006074A5" w:rsidP="006074A5">
      <w:pPr>
        <w:bidi/>
        <w:rPr>
          <w:rFonts w:ascii="Narkisim" w:hAnsi="Narkisim" w:cs="Narkisim"/>
        </w:rPr>
      </w:pPr>
      <w:r w:rsidRPr="00AF1DC8">
        <w:rPr>
          <w:rFonts w:ascii="Narkisim" w:hAnsi="Narkisim" w:cs="Narkisim"/>
          <w:u w:val="single"/>
          <w:rtl/>
        </w:rPr>
        <w:t>תוד"ה דהא קטנה.</w:t>
      </w:r>
      <w:r w:rsidRPr="00AF1DC8">
        <w:rPr>
          <w:rFonts w:ascii="Narkisim" w:hAnsi="Narkisim" w:cs="Narkisim"/>
          <w:rtl/>
        </w:rPr>
        <w:t xml:space="preserve"> לענין יבמה מודה. </w:t>
      </w:r>
      <w:r w:rsidRPr="00AF1DC8">
        <w:rPr>
          <w:rFonts w:ascii="Narkisim" w:hAnsi="Narkisim" w:cs="Narkisim"/>
          <w:sz w:val="20"/>
          <w:szCs w:val="20"/>
          <w:rtl/>
        </w:rPr>
        <w:t>[דביבמה גזרו קטנה אטו גדולה, כיון דחמיר, דחששו שלא תבא עכשיו לאיסור. ורק היקל משום יוחסין].</w:t>
      </w:r>
      <w:r w:rsidRPr="00AF1DC8">
        <w:rPr>
          <w:rFonts w:ascii="Narkisim" w:hAnsi="Narkisim" w:cs="Narkisim"/>
          <w:rtl/>
        </w:rPr>
        <w:t xml:space="preserve"> ועוד תי' ה</w:t>
      </w:r>
      <w:r w:rsidRPr="00AF1DC8">
        <w:rPr>
          <w:rFonts w:ascii="Narkisim" w:hAnsi="Narkisim" w:cs="Narkisim"/>
          <w:b/>
          <w:bCs/>
          <w:rtl/>
        </w:rPr>
        <w:t>רמב"ן</w:t>
      </w:r>
      <w:r w:rsidRPr="00AF1DC8">
        <w:rPr>
          <w:rFonts w:ascii="Narkisim" w:hAnsi="Narkisim" w:cs="Narkisim"/>
          <w:rtl/>
        </w:rPr>
        <w:t xml:space="preserve"> דבראויה לילד אף ר' יוסי גזר הבחנה, ואפי' יבא אליהו לא משגח</w:t>
      </w:r>
      <w:r w:rsidRPr="00AF1DC8">
        <w:rPr>
          <w:rStyle w:val="ac"/>
          <w:rFonts w:ascii="Narkisim" w:hAnsi="Narkisim" w:cs="Narkisim"/>
          <w:rtl/>
        </w:rPr>
        <w:footnoteReference w:id="2483"/>
      </w:r>
      <w:r w:rsidRPr="00AF1DC8">
        <w:rPr>
          <w:rFonts w:ascii="Narkisim" w:hAnsi="Narkisim" w:cs="Narkisim"/>
          <w:rtl/>
        </w:rPr>
        <w:t xml:space="preserve">. [ואף שראיית הגמ' דהא קטנה הוה מדברי ר' מאיר, ומ"מ אף </w:t>
      </w:r>
      <w:r w:rsidRPr="00AF1DC8">
        <w:rPr>
          <w:rFonts w:ascii="Narkisim" w:hAnsi="Narkisim" w:cs="Narkisim"/>
          <w:rtl/>
        </w:rPr>
        <w:lastRenderedPageBreak/>
        <w:t>ר' יוסי מודה דל"מ יבא אליהו].</w:t>
      </w:r>
    </w:p>
    <w:p w14:paraId="267D5583" w14:textId="77777777" w:rsidR="006074A5" w:rsidRPr="00AF1DC8" w:rsidRDefault="006074A5" w:rsidP="006074A5">
      <w:pPr>
        <w:pStyle w:val="aa"/>
        <w:bidi/>
        <w:rPr>
          <w:rFonts w:ascii="Narkisim" w:hAnsi="Narkisim"/>
        </w:rPr>
      </w:pPr>
      <w:r w:rsidRPr="00AF1DC8">
        <w:rPr>
          <w:rFonts w:ascii="Narkisim" w:hAnsi="Narkisim"/>
          <w:u w:val="single"/>
          <w:rtl/>
        </w:rPr>
        <w:t>יבמה ג' חדשים ראשונים ניזונת משל בעל</w:t>
      </w:r>
      <w:r w:rsidRPr="00AF1DC8">
        <w:rPr>
          <w:rFonts w:ascii="Narkisim" w:hAnsi="Narkisim"/>
          <w:rtl/>
        </w:rPr>
        <w:t xml:space="preserve">. </w:t>
      </w:r>
      <w:r w:rsidRPr="00AF1DC8">
        <w:rPr>
          <w:rFonts w:ascii="Narkisim" w:hAnsi="Narkisim"/>
          <w:b/>
          <w:bCs/>
          <w:rtl/>
        </w:rPr>
        <w:t>ה"ה</w:t>
      </w:r>
      <w:r w:rsidRPr="00AF1DC8">
        <w:rPr>
          <w:rFonts w:ascii="Narkisim" w:hAnsi="Narkisim"/>
          <w:rtl/>
        </w:rPr>
        <w:t xml:space="preserve"> (יח טו) כתב דה"ה מעוברת [ואף אילו תפיל לבסוף], דהוה כמו ג' חדשים ראשונים</w:t>
      </w:r>
      <w:r w:rsidRPr="00AF1DC8">
        <w:rPr>
          <w:rFonts w:ascii="Narkisim" w:hAnsi="Narkisim"/>
        </w:rPr>
        <w:t>.</w:t>
      </w:r>
    </w:p>
    <w:p w14:paraId="3146437B" w14:textId="77777777" w:rsidR="006074A5" w:rsidRPr="00AF1DC8" w:rsidRDefault="006074A5" w:rsidP="006074A5">
      <w:pPr>
        <w:pStyle w:val="a8"/>
        <w:bidi/>
        <w:rPr>
          <w:rFonts w:ascii="Narkisim" w:hAnsi="Narkisim"/>
        </w:rPr>
      </w:pPr>
      <w:r w:rsidRPr="00AF1DC8">
        <w:rPr>
          <w:rFonts w:ascii="Narkisim" w:hAnsi="Narkisim"/>
          <w:rtl/>
        </w:rPr>
        <w:t>ופ</w:t>
      </w:r>
      <w:r w:rsidRPr="00AF1DC8">
        <w:rPr>
          <w:rFonts w:ascii="Narkisim" w:hAnsi="Narkisim"/>
          <w:b/>
          <w:bCs/>
          <w:rtl/>
        </w:rPr>
        <w:t>רש"י</w:t>
      </w:r>
      <w:r w:rsidRPr="00AF1DC8">
        <w:rPr>
          <w:rFonts w:ascii="Narkisim" w:hAnsi="Narkisim"/>
          <w:rtl/>
        </w:rPr>
        <w:t xml:space="preserve"> שאינה יכולה לינשא מחמת בעלה. ומ"מ אם חלצה תוך ג' אין לה מזונות, וכדמבואר (לעיל) דמפסיד ממזונות, וה</w:t>
      </w:r>
      <w:r w:rsidRPr="00AF1DC8">
        <w:rPr>
          <w:rFonts w:ascii="Narkisim" w:hAnsi="Narkisim"/>
          <w:b/>
          <w:bCs/>
          <w:rtl/>
        </w:rPr>
        <w:t>מאירי</w:t>
      </w:r>
      <w:r w:rsidRPr="00AF1DC8">
        <w:rPr>
          <w:rFonts w:ascii="Narkisim" w:hAnsi="Narkisim"/>
          <w:rtl/>
        </w:rPr>
        <w:t xml:space="preserve"> ביאר דחלוצה הוה כגרושה</w:t>
      </w:r>
      <w:r w:rsidRPr="00AF1DC8">
        <w:rPr>
          <w:rFonts w:ascii="Narkisim" w:hAnsi="Narkisim"/>
        </w:rPr>
        <w:t>.</w:t>
      </w:r>
    </w:p>
    <w:p w14:paraId="6F9784B2" w14:textId="77777777" w:rsidR="006074A5" w:rsidRPr="00AF1DC8" w:rsidRDefault="006074A5" w:rsidP="006074A5">
      <w:pPr>
        <w:pStyle w:val="aa"/>
        <w:bidi/>
        <w:rPr>
          <w:rFonts w:ascii="Narkisim" w:hAnsi="Narkisim"/>
        </w:rPr>
      </w:pPr>
      <w:r w:rsidRPr="00AF1DC8">
        <w:rPr>
          <w:rFonts w:ascii="Narkisim" w:hAnsi="Narkisim"/>
          <w:u w:val="single"/>
          <w:rtl/>
        </w:rPr>
        <w:t>וברח.</w:t>
      </w:r>
      <w:r w:rsidRPr="00AF1DC8">
        <w:rPr>
          <w:rFonts w:ascii="Narkisim" w:hAnsi="Narkisim"/>
          <w:rtl/>
        </w:rPr>
        <w:t xml:space="preserve"> ה</w:t>
      </w:r>
      <w:r w:rsidRPr="00AF1DC8">
        <w:rPr>
          <w:rFonts w:ascii="Narkisim" w:hAnsi="Narkisim"/>
          <w:b/>
          <w:bCs/>
          <w:rtl/>
        </w:rPr>
        <w:t>מאירי</w:t>
      </w:r>
      <w:r w:rsidRPr="00AF1DC8">
        <w:rPr>
          <w:rFonts w:ascii="Narkisim" w:hAnsi="Narkisim"/>
          <w:rtl/>
        </w:rPr>
        <w:t xml:space="preserve"> כת' דאע"ג דהדין שהיבמה הולכת אחר היבם [וכדאי' בסנהדרין לא:], היינו לעיקר דירתו. אבל אם ברח לא תלך אחריו</w:t>
      </w:r>
      <w:r w:rsidRPr="00AF1DC8">
        <w:rPr>
          <w:rFonts w:ascii="Narkisim" w:hAnsi="Narkisim"/>
        </w:rPr>
        <w:t>.</w:t>
      </w:r>
    </w:p>
    <w:p w14:paraId="22CA97A7" w14:textId="77777777" w:rsidR="006074A5" w:rsidRPr="00AF1DC8" w:rsidRDefault="006074A5" w:rsidP="006074A5">
      <w:pPr>
        <w:pStyle w:val="aa"/>
        <w:bidi/>
        <w:rPr>
          <w:rFonts w:ascii="Narkisim" w:hAnsi="Narkisim"/>
        </w:rPr>
      </w:pPr>
      <w:r w:rsidRPr="00AF1DC8">
        <w:rPr>
          <w:rFonts w:ascii="Narkisim" w:hAnsi="Narkisim"/>
          <w:u w:val="single"/>
          <w:rtl/>
        </w:rPr>
        <w:t>עמד בדין וברח.</w:t>
      </w:r>
      <w:r w:rsidRPr="00AF1DC8">
        <w:rPr>
          <w:rFonts w:ascii="Narkisim" w:hAnsi="Narkisim"/>
          <w:rtl/>
        </w:rPr>
        <w:t xml:space="preserve"> וב</w:t>
      </w:r>
      <w:r w:rsidRPr="00AF1DC8">
        <w:rPr>
          <w:rFonts w:ascii="Narkisim" w:hAnsi="Narkisim"/>
          <w:b/>
          <w:bCs/>
          <w:rtl/>
        </w:rPr>
        <w:t>חי' ר"א מן ההר</w:t>
      </w:r>
      <w:r w:rsidRPr="00AF1DC8">
        <w:rPr>
          <w:rFonts w:ascii="Narkisim" w:hAnsi="Narkisim"/>
          <w:rtl/>
        </w:rPr>
        <w:t xml:space="preserve"> חידש דדוקא ביבמה מן הנישואין, אבל יבמה מן האירוסין אף דתובעת לינשא אינו חייב עד שיושלם י"ב חודש [וכדאיתא בכתובות נז. דשייך י"ב חודש אף אצל יבם]. והביא </w:t>
      </w:r>
      <w:r w:rsidRPr="00AF1DC8">
        <w:rPr>
          <w:rFonts w:ascii="Narkisim" w:hAnsi="Narkisim"/>
          <w:b/>
          <w:bCs/>
          <w:rtl/>
        </w:rPr>
        <w:t>חולקים</w:t>
      </w:r>
      <w:r w:rsidRPr="00AF1DC8">
        <w:rPr>
          <w:rFonts w:ascii="Narkisim" w:hAnsi="Narkisim"/>
          <w:rtl/>
        </w:rPr>
        <w:t xml:space="preserve"> דביבמה אין דין י"ב חודש</w:t>
      </w:r>
      <w:r w:rsidRPr="00AF1DC8">
        <w:rPr>
          <w:rFonts w:ascii="Narkisim" w:hAnsi="Narkisim"/>
        </w:rPr>
        <w:t>.</w:t>
      </w:r>
    </w:p>
    <w:p w14:paraId="5128A63A" w14:textId="77777777" w:rsidR="006074A5" w:rsidRPr="00AF1DC8" w:rsidRDefault="006074A5" w:rsidP="006074A5">
      <w:pPr>
        <w:bidi/>
        <w:rPr>
          <w:rFonts w:ascii="Narkisim" w:hAnsi="Narkisim" w:cs="Narkisim"/>
        </w:rPr>
      </w:pPr>
      <w:r w:rsidRPr="00AF1DC8">
        <w:rPr>
          <w:rFonts w:ascii="Narkisim" w:hAnsi="Narkisim" w:cs="Narkisim"/>
          <w:u w:val="single"/>
          <w:rtl/>
        </w:rPr>
        <w:t>תוד"ה עמד.</w:t>
      </w:r>
      <w:r w:rsidRPr="00AF1DC8">
        <w:rPr>
          <w:rFonts w:ascii="Narkisim" w:hAnsi="Narkisim" w:cs="Narkisim"/>
          <w:rtl/>
        </w:rPr>
        <w:t xml:space="preserve"> ולא כמו שפ"ה התם</w:t>
      </w:r>
      <w:r w:rsidRPr="00AF1DC8">
        <w:rPr>
          <w:rStyle w:val="ac"/>
          <w:rFonts w:ascii="Narkisim" w:hAnsi="Narkisim" w:cs="Narkisim"/>
          <w:rtl/>
        </w:rPr>
        <w:footnoteReference w:id="2484"/>
      </w:r>
      <w:r w:rsidRPr="00AF1DC8">
        <w:rPr>
          <w:rFonts w:ascii="Narkisim" w:hAnsi="Narkisim" w:cs="Narkisim"/>
          <w:rtl/>
        </w:rPr>
        <w:t xml:space="preserve"> דוקא ברח אבל חלה לא. וה</w:t>
      </w:r>
      <w:r w:rsidRPr="00AF1DC8">
        <w:rPr>
          <w:rFonts w:ascii="Narkisim" w:hAnsi="Narkisim" w:cs="Narkisim"/>
          <w:b/>
          <w:bCs/>
          <w:rtl/>
        </w:rPr>
        <w:t>ראשונים</w:t>
      </w:r>
      <w:r w:rsidRPr="00AF1DC8">
        <w:rPr>
          <w:rFonts w:ascii="Narkisim" w:hAnsi="Narkisim" w:cs="Narkisim"/>
          <w:rtl/>
        </w:rPr>
        <w:t xml:space="preserve"> למדו דסברת רש"י דקנסו משום דברח. וה</w:t>
      </w:r>
      <w:r w:rsidRPr="00AF1DC8">
        <w:rPr>
          <w:rFonts w:ascii="Narkisim" w:hAnsi="Narkisim" w:cs="Narkisim"/>
          <w:b/>
          <w:bCs/>
          <w:rtl/>
        </w:rPr>
        <w:t>רמב"ן</w:t>
      </w:r>
      <w:r w:rsidRPr="00AF1DC8">
        <w:rPr>
          <w:rFonts w:ascii="Narkisim" w:hAnsi="Narkisim" w:cs="Narkisim"/>
          <w:rtl/>
        </w:rPr>
        <w:t xml:space="preserve"> [ושא"ר] חלקו דהוה כארוסה שהגיע זמנה להנשא, שאוכלת משל ארוס.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חקרו בגדר החיוב בארוסה, האם הוה קנס בעלמא [ודוחק לפ”ז במה חלקו על רש”י], או שנשתעבד לה לענין זה כחלק מהאישות, וע' כתובות ב.</w:t>
      </w:r>
    </w:p>
    <w:p w14:paraId="1F7DE0A1" w14:textId="77777777" w:rsidR="006074A5" w:rsidRPr="00AF1DC8" w:rsidRDefault="006074A5" w:rsidP="006074A5">
      <w:pPr>
        <w:bidi/>
        <w:rPr>
          <w:rFonts w:ascii="Narkisim" w:hAnsi="Narkisim" w:cs="Narkisim"/>
        </w:rPr>
      </w:pPr>
      <w:r w:rsidRPr="00AF1DC8">
        <w:rPr>
          <w:rFonts w:ascii="Narkisim" w:hAnsi="Narkisim" w:cs="Narkisim"/>
          <w:u w:val="single"/>
          <w:rtl/>
        </w:rPr>
        <w:t>בא"ד ונ' לר"י דוקא בנתרצה ליבום וכו'.</w:t>
      </w:r>
      <w:r w:rsidRPr="00AF1DC8">
        <w:rPr>
          <w:rFonts w:ascii="Narkisim" w:hAnsi="Narkisim" w:cs="Narkisim"/>
          <w:rtl/>
        </w:rPr>
        <w:t xml:space="preserve"> ה</w:t>
      </w:r>
      <w:r w:rsidRPr="00AF1DC8">
        <w:rPr>
          <w:rFonts w:ascii="Narkisim" w:hAnsi="Narkisim" w:cs="Narkisim"/>
          <w:b/>
          <w:bCs/>
          <w:rtl/>
        </w:rPr>
        <w:t>רא"ש</w:t>
      </w:r>
      <w:r w:rsidRPr="00AF1DC8">
        <w:rPr>
          <w:rFonts w:ascii="Narkisim" w:hAnsi="Narkisim" w:cs="Narkisim"/>
          <w:rtl/>
        </w:rPr>
        <w:t xml:space="preserve"> ביאר דכיון דסופו לייבם הרי היא כבר כאשתו וחייב במזונותיה.</w:t>
      </w:r>
    </w:p>
    <w:p w14:paraId="3B1F46F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הוסיף דהוה קנס, דכיון דהו"ל לייבם לאלתר קודם שיהא אונס. וה</w:t>
      </w:r>
      <w:r w:rsidRPr="00AF1DC8">
        <w:rPr>
          <w:rFonts w:ascii="Narkisim" w:hAnsi="Narkisim"/>
          <w:b/>
          <w:bCs/>
          <w:rtl/>
        </w:rPr>
        <w:t>ק"נ</w:t>
      </w:r>
      <w:r w:rsidRPr="00AF1DC8">
        <w:rPr>
          <w:rFonts w:ascii="Narkisim" w:hAnsi="Narkisim"/>
          <w:rtl/>
        </w:rPr>
        <w:t xml:space="preserve"> (ב) כת' דלפ"ז אם היתה נדה מעיקרא, ולא היה יכול לייבם ל"ש קנס ופטור</w:t>
      </w:r>
      <w:r w:rsidRPr="00AF1DC8">
        <w:rPr>
          <w:rFonts w:ascii="Narkisim" w:hAnsi="Narkisim"/>
        </w:rPr>
        <w:t>.</w:t>
      </w:r>
    </w:p>
    <w:p w14:paraId="39F37B8E" w14:textId="77777777" w:rsidR="006074A5" w:rsidRPr="00AF1DC8" w:rsidRDefault="006074A5" w:rsidP="006074A5">
      <w:pPr>
        <w:pStyle w:val="aa"/>
        <w:bidi/>
        <w:rPr>
          <w:rFonts w:ascii="Narkisim" w:hAnsi="Narkisim"/>
        </w:rPr>
      </w:pPr>
      <w:r w:rsidRPr="00AF1DC8">
        <w:rPr>
          <w:rFonts w:ascii="Narkisim" w:hAnsi="Narkisim"/>
          <w:u w:val="single"/>
          <w:rtl/>
        </w:rPr>
        <w:t>בא"ד ודוקא ברח וכו' דלא שכיח שיתאחר וכו' ומיהו (לעיל כט:) וכו' ואינו מזכיר כלל ברח.</w:t>
      </w:r>
      <w:r w:rsidRPr="00AF1DC8">
        <w:rPr>
          <w:rFonts w:ascii="Narkisim" w:hAnsi="Narkisim"/>
          <w:rtl/>
        </w:rPr>
        <w:t xml:space="preserve"> [וב</w:t>
      </w:r>
      <w:r w:rsidRPr="00AF1DC8">
        <w:rPr>
          <w:rFonts w:ascii="Narkisim" w:hAnsi="Narkisim"/>
          <w:b/>
          <w:bCs/>
          <w:rtl/>
        </w:rPr>
        <w:t>ר"ן</w:t>
      </w:r>
      <w:r w:rsidRPr="00AF1DC8">
        <w:rPr>
          <w:rFonts w:ascii="Narkisim" w:hAnsi="Narkisim"/>
          <w:rtl/>
        </w:rPr>
        <w:t xml:space="preserve"> נדרים עד: משמע דגרס וברח]. וב</w:t>
      </w:r>
      <w:r w:rsidRPr="00AF1DC8">
        <w:rPr>
          <w:rFonts w:ascii="Narkisim" w:hAnsi="Narkisim"/>
          <w:b/>
          <w:bCs/>
          <w:rtl/>
        </w:rPr>
        <w:t>תוס' מהר”ם ור"פ</w:t>
      </w:r>
      <w:r w:rsidRPr="00AF1DC8">
        <w:rPr>
          <w:rFonts w:ascii="Narkisim" w:hAnsi="Narkisim"/>
          <w:rtl/>
        </w:rPr>
        <w:t xml:space="preserve"> תי' דאיירי ששואל זמן גדול, ולכן חייבו מזונות</w:t>
      </w:r>
      <w:r w:rsidRPr="00AF1DC8">
        <w:rPr>
          <w:rFonts w:ascii="Narkisim" w:hAnsi="Narkisim"/>
        </w:rPr>
        <w:t>.</w:t>
      </w:r>
    </w:p>
    <w:p w14:paraId="4CD7C509" w14:textId="77777777" w:rsidR="006074A5" w:rsidRPr="00AF1DC8" w:rsidRDefault="006074A5" w:rsidP="006074A5">
      <w:pPr>
        <w:pStyle w:val="aa"/>
        <w:bidi/>
        <w:rPr>
          <w:rFonts w:ascii="Narkisim" w:hAnsi="Narkisim"/>
        </w:rPr>
      </w:pPr>
      <w:r w:rsidRPr="00AF1DC8">
        <w:rPr>
          <w:rFonts w:ascii="Narkisim" w:hAnsi="Narkisim"/>
          <w:u w:val="single"/>
          <w:rtl/>
        </w:rPr>
        <w:t>בא"ד ולענין זה אין שום סברא לחלק בין עשה מאמר.</w:t>
      </w:r>
      <w:r w:rsidRPr="00AF1DC8">
        <w:rPr>
          <w:rFonts w:ascii="Narkisim" w:hAnsi="Narkisim"/>
          <w:rtl/>
        </w:rPr>
        <w:t xml:space="preserve"> [יל"פ דמאמר הוה כאירוסין, ואין לה מזונות]. אבל ה</w:t>
      </w:r>
      <w:r w:rsidRPr="00AF1DC8">
        <w:rPr>
          <w:rFonts w:ascii="Narkisim" w:hAnsi="Narkisim"/>
          <w:b/>
          <w:bCs/>
          <w:rtl/>
        </w:rPr>
        <w:t>רא"ש</w:t>
      </w:r>
      <w:r w:rsidRPr="00AF1DC8">
        <w:rPr>
          <w:rFonts w:ascii="Narkisim" w:hAnsi="Narkisim"/>
          <w:rtl/>
        </w:rPr>
        <w:t xml:space="preserve"> כתב דכיון דעבד מאמר קרובה לביאה [ואף לצד דצריכה חופה, ע' לעיל כט:]</w:t>
      </w:r>
      <w:r w:rsidRPr="00AF1DC8">
        <w:rPr>
          <w:rFonts w:ascii="Narkisim" w:hAnsi="Narkisim"/>
        </w:rPr>
        <w:t>.</w:t>
      </w:r>
    </w:p>
    <w:p w14:paraId="0CAECAEE" w14:textId="77777777" w:rsidR="006074A5" w:rsidRPr="00AF1DC8" w:rsidRDefault="006074A5" w:rsidP="006074A5">
      <w:pPr>
        <w:bidi/>
        <w:rPr>
          <w:rFonts w:ascii="Narkisim" w:hAnsi="Narkisim" w:cs="Narkisim"/>
        </w:rPr>
      </w:pPr>
      <w:r w:rsidRPr="00AF1DC8">
        <w:rPr>
          <w:rFonts w:ascii="Narkisim" w:hAnsi="Narkisim" w:cs="Narkisim"/>
          <w:u w:val="single"/>
          <w:rtl/>
        </w:rPr>
        <w:t>בא"ד וקצת נראה דמחמת קנס וכו' דהא אין מעש"י שלו</w:t>
      </w:r>
      <w:r w:rsidRPr="00AF1DC8">
        <w:rPr>
          <w:rStyle w:val="ac"/>
          <w:rFonts w:ascii="Narkisim" w:hAnsi="Narkisim" w:cs="Narkisim"/>
          <w:rtl/>
        </w:rPr>
        <w:footnoteReference w:id="2485"/>
      </w:r>
      <w:r w:rsidRPr="00AF1DC8">
        <w:rPr>
          <w:rFonts w:ascii="Narkisim" w:hAnsi="Narkisim" w:cs="Narkisim"/>
          <w:rtl/>
        </w:rPr>
        <w:t>. וה</w:t>
      </w:r>
      <w:r w:rsidRPr="00AF1DC8">
        <w:rPr>
          <w:rFonts w:ascii="Narkisim" w:hAnsi="Narkisim" w:cs="Narkisim"/>
          <w:b/>
          <w:bCs/>
          <w:rtl/>
        </w:rPr>
        <w:t>רא"ש</w:t>
      </w:r>
      <w:r w:rsidRPr="00AF1DC8">
        <w:rPr>
          <w:rFonts w:ascii="Narkisim" w:hAnsi="Narkisim" w:cs="Narkisim"/>
          <w:rtl/>
        </w:rPr>
        <w:t xml:space="preserve"> ביאר דקי"ל מזונות עיקר, ותקנו מעש”י משום איבה. וכל זמן שאינה תחתיו אין לחוש לאיבה. וה</w:t>
      </w:r>
      <w:r w:rsidRPr="00AF1DC8">
        <w:rPr>
          <w:rFonts w:ascii="Narkisim" w:hAnsi="Narkisim" w:cs="Narkisim"/>
          <w:b/>
          <w:bCs/>
          <w:rtl/>
        </w:rPr>
        <w:t>או"ש</w:t>
      </w:r>
      <w:r w:rsidRPr="00AF1DC8">
        <w:rPr>
          <w:rFonts w:ascii="Narkisim" w:hAnsi="Narkisim" w:cs="Narkisim"/>
          <w:rtl/>
        </w:rPr>
        <w:t xml:space="preserve"> (אישות י יח) נסתפק כל ארוסה בהגעת זמן מעש"י של הארוס, והביא מדברי הרא"ש [ותוס'].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תלו בנידון האם הגעת זמן דארוסה הוה משום קנס, או מקצת אישות].</w:t>
      </w:r>
    </w:p>
    <w:p w14:paraId="28ABCC14" w14:textId="77777777" w:rsidR="006074A5" w:rsidRPr="00AF1DC8" w:rsidRDefault="006074A5" w:rsidP="006074A5">
      <w:pPr>
        <w:pStyle w:val="aa"/>
        <w:bidi/>
        <w:rPr>
          <w:rFonts w:ascii="Narkisim" w:hAnsi="Narkisim"/>
        </w:rPr>
      </w:pPr>
      <w:r w:rsidRPr="00AF1DC8">
        <w:rPr>
          <w:rFonts w:ascii="Narkisim" w:hAnsi="Narkisim"/>
          <w:u w:val="single"/>
          <w:rtl/>
        </w:rPr>
        <w:t>והלכתא לית לה, משמיא קנסוה.</w:t>
      </w:r>
      <w:r w:rsidRPr="00AF1DC8">
        <w:rPr>
          <w:rFonts w:ascii="Narkisim" w:hAnsi="Narkisim"/>
          <w:rtl/>
        </w:rPr>
        <w:t xml:space="preserve"> </w:t>
      </w:r>
      <w:r w:rsidRPr="00AF1DC8">
        <w:rPr>
          <w:rFonts w:ascii="Narkisim" w:hAnsi="Narkisim"/>
          <w:b/>
          <w:bCs/>
          <w:rtl/>
        </w:rPr>
        <w:t>רע"א</w:t>
      </w:r>
      <w:r w:rsidRPr="00AF1DC8">
        <w:rPr>
          <w:rFonts w:ascii="Narkisim" w:hAnsi="Narkisim"/>
          <w:rtl/>
        </w:rPr>
        <w:t xml:space="preserve"> הק' אמאי איצטרך לפסוק הלכה, דהכלל ר"א ורבינא הלכה כדברי המיקל [וע' לעיל לט:]. וה</w:t>
      </w:r>
      <w:r w:rsidRPr="00AF1DC8">
        <w:rPr>
          <w:rFonts w:ascii="Narkisim" w:hAnsi="Narkisim"/>
          <w:b/>
          <w:bCs/>
          <w:rtl/>
        </w:rPr>
        <w:t>רש"ש</w:t>
      </w:r>
      <w:r w:rsidRPr="00AF1DC8">
        <w:rPr>
          <w:rFonts w:ascii="Narkisim" w:hAnsi="Narkisim"/>
          <w:rtl/>
        </w:rPr>
        <w:t xml:space="preserve"> תי' דנפק”מ כשתפסה [דהוה לחומרא]</w:t>
      </w:r>
      <w:r w:rsidRPr="00AF1DC8">
        <w:rPr>
          <w:rFonts w:ascii="Narkisim" w:hAnsi="Narkisim"/>
        </w:rPr>
        <w:t>.</w:t>
      </w:r>
    </w:p>
    <w:p w14:paraId="61C0D6E8" w14:textId="77777777" w:rsidR="006074A5" w:rsidRPr="00AF1DC8" w:rsidRDefault="006074A5" w:rsidP="006074A5">
      <w:pPr>
        <w:pStyle w:val="3"/>
        <w:bidi/>
        <w:rPr>
          <w:rFonts w:ascii="Narkisim" w:hAnsi="Narkisim"/>
        </w:rPr>
      </w:pPr>
      <w:r w:rsidRPr="00AF1DC8">
        <w:rPr>
          <w:rFonts w:ascii="Narkisim" w:hAnsi="Narkisim"/>
          <w:rtl/>
        </w:rPr>
        <w:t>דף מב</w:t>
      </w:r>
      <w:r w:rsidRPr="00AF1DC8">
        <w:rPr>
          <w:rFonts w:ascii="Narkisim" w:hAnsi="Narkisim"/>
        </w:rPr>
        <w:t>.</w:t>
      </w:r>
    </w:p>
    <w:p w14:paraId="3E017299" w14:textId="77777777" w:rsidR="006074A5" w:rsidRPr="00AF1DC8" w:rsidRDefault="006074A5" w:rsidP="006074A5">
      <w:pPr>
        <w:bidi/>
        <w:rPr>
          <w:rFonts w:ascii="Narkisim" w:hAnsi="Narkisim" w:cs="Narkisim"/>
        </w:rPr>
      </w:pPr>
      <w:r w:rsidRPr="00AF1DC8">
        <w:rPr>
          <w:rFonts w:ascii="Narkisim" w:hAnsi="Narkisim" w:cs="Narkisim"/>
          <w:u w:val="single"/>
          <w:rtl/>
        </w:rPr>
        <w:t>תוד"ה לאחר.</w:t>
      </w:r>
      <w:r w:rsidRPr="00AF1DC8">
        <w:rPr>
          <w:rFonts w:ascii="Narkisim" w:hAnsi="Narkisim" w:cs="Narkisim"/>
          <w:rtl/>
        </w:rPr>
        <w:t xml:space="preserve"> אמר ר"ת, אבל אם מת היבם צריכה להמתין וכו' דיותר קרובה לביאה וכו' דגזרינן אטו נישואין. [</w:t>
      </w:r>
      <w:r w:rsidRPr="00AF1DC8">
        <w:rPr>
          <w:rFonts w:ascii="Narkisim" w:hAnsi="Narkisim" w:cs="Narkisim"/>
          <w:szCs w:val="20"/>
          <w:rtl/>
        </w:rPr>
        <w:t>לכאורה כוונת ר"ת דאף דמדינא ל"ש בזה הבחנה, שהרי לא כנסה. אפ”ה גזרו לא פלוג, וכ”ש יבמה</w:t>
      </w:r>
      <w:r w:rsidRPr="00AF1DC8">
        <w:rPr>
          <w:rFonts w:ascii="Narkisim" w:hAnsi="Narkisim" w:cs="Narkisim"/>
          <w:rtl/>
        </w:rPr>
        <w:t>]. וה</w:t>
      </w:r>
      <w:r w:rsidRPr="00AF1DC8">
        <w:rPr>
          <w:rFonts w:ascii="Narkisim" w:hAnsi="Narkisim" w:cs="Narkisim"/>
          <w:b/>
          <w:bCs/>
          <w:rtl/>
        </w:rPr>
        <w:t>תה"ד</w:t>
      </w:r>
      <w:r w:rsidRPr="00AF1DC8">
        <w:rPr>
          <w:rFonts w:ascii="Narkisim" w:hAnsi="Narkisim" w:cs="Narkisim"/>
          <w:rtl/>
        </w:rPr>
        <w:t xml:space="preserve"> (רכד, הו' בשו”ע קסד א) כת' דהיינו רק ביבם א', דלגבי עלמא היבם נחשב בעלה. אבל לא גזרו כלפי יבם זה מחמת יבם אחר.</w:t>
      </w:r>
    </w:p>
    <w:p w14:paraId="58963C22"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בי"ש</w:t>
      </w:r>
      <w:r w:rsidRPr="00AF1DC8">
        <w:rPr>
          <w:rFonts w:ascii="Narkisim" w:hAnsi="Narkisim"/>
          <w:rtl/>
        </w:rPr>
        <w:t xml:space="preserve"> </w:t>
      </w:r>
      <w:r w:rsidRPr="00AF1DC8">
        <w:rPr>
          <w:rFonts w:ascii="Narkisim" w:hAnsi="Narkisim"/>
          <w:sz w:val="20"/>
          <w:szCs w:val="20"/>
          <w:rtl/>
        </w:rPr>
        <w:t xml:space="preserve">(קסד ג) </w:t>
      </w:r>
      <w:r w:rsidRPr="00AF1DC8">
        <w:rPr>
          <w:rFonts w:ascii="Narkisim" w:hAnsi="Narkisim"/>
          <w:rtl/>
        </w:rPr>
        <w:t xml:space="preserve">כת' דבזה"ז דכופין על החליצה, אפשר דלא נחשב קרובה לביאה </w:t>
      </w:r>
      <w:r w:rsidRPr="00AF1DC8">
        <w:rPr>
          <w:rFonts w:ascii="Narkisim" w:hAnsi="Narkisim"/>
          <w:sz w:val="20"/>
          <w:szCs w:val="20"/>
          <w:rtl/>
        </w:rPr>
        <w:t>[ואי”צ להמתין]</w:t>
      </w:r>
      <w:r w:rsidRPr="00AF1DC8">
        <w:rPr>
          <w:rFonts w:ascii="Narkisim" w:hAnsi="Narkisim"/>
          <w:sz w:val="20"/>
          <w:szCs w:val="20"/>
        </w:rPr>
        <w:t>.</w:t>
      </w:r>
    </w:p>
    <w:p w14:paraId="168DDB6A" w14:textId="77777777" w:rsidR="006074A5" w:rsidRPr="00AF1DC8" w:rsidRDefault="006074A5" w:rsidP="006074A5">
      <w:pPr>
        <w:bidi/>
        <w:rPr>
          <w:rFonts w:ascii="Narkisim" w:hAnsi="Narkisim" w:cs="Narkisim"/>
        </w:rPr>
      </w:pPr>
      <w:r w:rsidRPr="00AF1DC8">
        <w:rPr>
          <w:rFonts w:ascii="Narkisim" w:hAnsi="Narkisim" w:cs="Narkisim"/>
          <w:u w:val="single"/>
          <w:rtl/>
        </w:rPr>
        <w:t>אר"נ אמר שמואל משום דאמר קרא וכו'.</w:t>
      </w:r>
      <w:r w:rsidRPr="00AF1DC8">
        <w:rPr>
          <w:rFonts w:ascii="Narkisim" w:hAnsi="Narkisim" w:cs="Narkisim"/>
          <w:rtl/>
        </w:rPr>
        <w:t xml:space="preserve"> ה</w:t>
      </w:r>
      <w:r w:rsidRPr="00AF1DC8">
        <w:rPr>
          <w:rFonts w:ascii="Narkisim" w:hAnsi="Narkisim" w:cs="Narkisim"/>
          <w:b/>
          <w:bCs/>
          <w:rtl/>
        </w:rPr>
        <w:t>בי"ש</w:t>
      </w:r>
      <w:r w:rsidRPr="00AF1DC8">
        <w:rPr>
          <w:rFonts w:ascii="Narkisim" w:hAnsi="Narkisim" w:cs="Narkisim"/>
          <w:rtl/>
        </w:rPr>
        <w:t xml:space="preserve"> (יג א) כתב דאסמכתא בעלמא הוא. וכן דייקו ה</w:t>
      </w:r>
      <w:r w:rsidRPr="00AF1DC8">
        <w:rPr>
          <w:rFonts w:ascii="Narkisim" w:hAnsi="Narkisim" w:cs="Narkisim"/>
          <w:b/>
          <w:bCs/>
          <w:rtl/>
        </w:rPr>
        <w:t>אחרונים</w:t>
      </w:r>
      <w:r w:rsidRPr="00AF1DC8">
        <w:rPr>
          <w:rFonts w:ascii="Narkisim" w:hAnsi="Narkisim" w:cs="Narkisim"/>
          <w:rtl/>
        </w:rPr>
        <w:t xml:space="preserve"> מדברי </w:t>
      </w:r>
      <w:r w:rsidRPr="00AF1DC8">
        <w:rPr>
          <w:rFonts w:ascii="Narkisim" w:hAnsi="Narkisim" w:cs="Narkisim"/>
          <w:b/>
          <w:bCs/>
          <w:rtl/>
        </w:rPr>
        <w:t>תוס</w:t>
      </w:r>
      <w:r w:rsidRPr="00AF1DC8">
        <w:rPr>
          <w:rFonts w:ascii="Narkisim" w:hAnsi="Narkisim" w:cs="Narkisim"/>
          <w:rtl/>
        </w:rPr>
        <w:t>' (ד"ה ולזרעך) דאינו דרשא גמורה. אבל ה</w:t>
      </w:r>
      <w:r w:rsidRPr="00AF1DC8">
        <w:rPr>
          <w:rFonts w:ascii="Narkisim" w:hAnsi="Narkisim" w:cs="Narkisim"/>
          <w:b/>
          <w:bCs/>
          <w:rtl/>
        </w:rPr>
        <w:t>נוב"י</w:t>
      </w:r>
      <w:r w:rsidRPr="00AF1DC8">
        <w:rPr>
          <w:rFonts w:ascii="Narkisim" w:hAnsi="Narkisim" w:cs="Narkisim"/>
          <w:rtl/>
        </w:rPr>
        <w:t xml:space="preserve"> </w:t>
      </w:r>
      <w:r w:rsidRPr="00AF1DC8">
        <w:rPr>
          <w:rFonts w:ascii="Narkisim" w:hAnsi="Narkisim" w:cs="Narkisim"/>
          <w:sz w:val="20"/>
          <w:szCs w:val="20"/>
          <w:rtl/>
        </w:rPr>
        <w:t xml:space="preserve">(אה"ע ק' יג) </w:t>
      </w:r>
      <w:r w:rsidRPr="00AF1DC8">
        <w:rPr>
          <w:rFonts w:ascii="Narkisim" w:hAnsi="Narkisim" w:cs="Narkisim"/>
          <w:rtl/>
        </w:rPr>
        <w:t>הביא דלשמואל הבחנה הוה דאורייתא. וה</w:t>
      </w:r>
      <w:r w:rsidRPr="00AF1DC8">
        <w:rPr>
          <w:rFonts w:ascii="Narkisim" w:hAnsi="Narkisim" w:cs="Narkisim"/>
          <w:b/>
          <w:bCs/>
          <w:rtl/>
        </w:rPr>
        <w:t>פתח"ת</w:t>
      </w:r>
      <w:r w:rsidRPr="00AF1DC8">
        <w:rPr>
          <w:rFonts w:ascii="Narkisim" w:hAnsi="Narkisim" w:cs="Narkisim"/>
          <w:rtl/>
        </w:rPr>
        <w:t xml:space="preserve"> (יג א) הביא בשם ה</w:t>
      </w:r>
      <w:r w:rsidRPr="00AF1DC8">
        <w:rPr>
          <w:rFonts w:ascii="Narkisim" w:hAnsi="Narkisim" w:cs="Narkisim"/>
          <w:b/>
          <w:bCs/>
          <w:rtl/>
        </w:rPr>
        <w:t>רדב"ז</w:t>
      </w:r>
      <w:r w:rsidRPr="00AF1DC8">
        <w:rPr>
          <w:rFonts w:ascii="Narkisim" w:hAnsi="Narkisim" w:cs="Narkisim"/>
          <w:rtl/>
        </w:rPr>
        <w:t xml:space="preserve"> (א רסד) לדייק מדברי ה</w:t>
      </w:r>
      <w:r w:rsidRPr="00AF1DC8">
        <w:rPr>
          <w:rFonts w:ascii="Narkisim" w:hAnsi="Narkisim" w:cs="Narkisim"/>
          <w:b/>
          <w:bCs/>
          <w:rtl/>
        </w:rPr>
        <w:t>רמב"ם</w:t>
      </w:r>
      <w:r w:rsidRPr="00AF1DC8">
        <w:rPr>
          <w:rFonts w:ascii="Narkisim" w:hAnsi="Narkisim" w:cs="Narkisim"/>
          <w:rtl/>
        </w:rPr>
        <w:t xml:space="preserve"> (גירושין יא יח,כ) דעיקר הבחנה דאורייתא, וגזרו אפי' אשה שאינה ראויה לילד.</w:t>
      </w:r>
    </w:p>
    <w:p w14:paraId="5B273D09" w14:textId="77777777" w:rsidR="006074A5" w:rsidRPr="00AF1DC8" w:rsidRDefault="006074A5" w:rsidP="006074A5">
      <w:pPr>
        <w:pStyle w:val="aa"/>
        <w:bidi/>
        <w:rPr>
          <w:rFonts w:ascii="Narkisim" w:hAnsi="Narkisim"/>
        </w:rPr>
      </w:pPr>
      <w:r w:rsidRPr="00AF1DC8">
        <w:rPr>
          <w:rFonts w:ascii="Narkisim" w:hAnsi="Narkisim"/>
          <w:u w:val="single"/>
          <w:rtl/>
        </w:rPr>
        <w:t>גר וגיורת מאי להבחין</w:t>
      </w:r>
      <w:r w:rsidRPr="00AF1DC8">
        <w:rPr>
          <w:rStyle w:val="ac"/>
          <w:rFonts w:ascii="Narkisim" w:hAnsi="Narkisim"/>
          <w:rtl/>
        </w:rPr>
        <w:footnoteReference w:id="2486"/>
      </w:r>
      <w:r w:rsidRPr="00AF1DC8">
        <w:rPr>
          <w:rFonts w:ascii="Narkisim" w:hAnsi="Narkisim"/>
        </w:rPr>
        <w:t xml:space="preserve">. </w:t>
      </w:r>
      <w:r w:rsidRPr="00AF1DC8">
        <w:rPr>
          <w:rFonts w:ascii="Narkisim" w:hAnsi="Narkisim"/>
          <w:rtl/>
        </w:rPr>
        <w:t>פ</w:t>
      </w:r>
      <w:r w:rsidRPr="00AF1DC8">
        <w:rPr>
          <w:rFonts w:ascii="Narkisim" w:hAnsi="Narkisim"/>
          <w:b/>
          <w:bCs/>
          <w:rtl/>
        </w:rPr>
        <w:t>רש"י</w:t>
      </w:r>
      <w:r w:rsidRPr="00AF1DC8">
        <w:rPr>
          <w:rFonts w:ascii="Narkisim" w:hAnsi="Narkisim"/>
          <w:rtl/>
        </w:rPr>
        <w:t xml:space="preserve"> הרי אין כאן ראשון ושני. ה</w:t>
      </w:r>
      <w:r w:rsidRPr="00AF1DC8">
        <w:rPr>
          <w:rFonts w:ascii="Narkisim" w:hAnsi="Narkisim"/>
          <w:b/>
          <w:bCs/>
          <w:rtl/>
        </w:rPr>
        <w:t xml:space="preserve">אחרונים </w:t>
      </w:r>
      <w:r w:rsidRPr="00AF1DC8">
        <w:rPr>
          <w:rFonts w:ascii="Narkisim" w:hAnsi="Narkisim"/>
          <w:rtl/>
        </w:rPr>
        <w:t xml:space="preserve">תמהו דרחמנא אפקריה לזרעיה </w:t>
      </w:r>
      <w:r w:rsidRPr="00AF1DC8">
        <w:rPr>
          <w:rFonts w:ascii="Narkisim" w:hAnsi="Narkisim"/>
          <w:rtl/>
        </w:rPr>
        <w:lastRenderedPageBreak/>
        <w:t>[וכדלקמן צח.], ואינו מיוחס אחריו. וא"כ אף היכא דהוה חד גברא יחשב כמו ב' בני אדם</w:t>
      </w:r>
      <w:r w:rsidRPr="00AF1DC8">
        <w:rPr>
          <w:rStyle w:val="ac"/>
          <w:rFonts w:ascii="Narkisim" w:hAnsi="Narkisim"/>
          <w:rtl/>
        </w:rPr>
        <w:footnoteReference w:id="2487"/>
      </w:r>
      <w:r w:rsidRPr="00AF1DC8">
        <w:rPr>
          <w:rFonts w:ascii="Narkisim" w:hAnsi="Narkisim"/>
        </w:rPr>
        <w:t xml:space="preserve">. </w:t>
      </w:r>
      <w:r w:rsidRPr="00AF1DC8">
        <w:rPr>
          <w:rFonts w:ascii="Narkisim" w:hAnsi="Narkisim"/>
          <w:rtl/>
        </w:rPr>
        <w:t>[אך אי נימא דגוי וגויה לא אמרי' דאפקריה לזרעיה ניחא. וע' מש”כ לעיל כב.]</w:t>
      </w:r>
      <w:r w:rsidRPr="00AF1DC8">
        <w:rPr>
          <w:rFonts w:ascii="Narkisim" w:hAnsi="Narkisim"/>
        </w:rPr>
        <w:t>.</w:t>
      </w:r>
    </w:p>
    <w:p w14:paraId="0B5D5FB5"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כס"מ</w:t>
      </w:r>
      <w:r w:rsidRPr="00AF1DC8">
        <w:rPr>
          <w:rFonts w:ascii="Narkisim" w:hAnsi="Narkisim"/>
          <w:rtl/>
        </w:rPr>
        <w:t xml:space="preserve"> (מלכים ח ו) הק' האיך הותר ביאה ראשונה</w:t>
      </w:r>
      <w:r w:rsidRPr="00AF1DC8">
        <w:rPr>
          <w:rStyle w:val="ac"/>
          <w:rFonts w:ascii="Narkisim" w:hAnsi="Narkisim"/>
          <w:rtl/>
        </w:rPr>
        <w:footnoteReference w:id="2488"/>
      </w:r>
      <w:r w:rsidRPr="00AF1DC8">
        <w:rPr>
          <w:rFonts w:ascii="Narkisim" w:hAnsi="Narkisim"/>
        </w:rPr>
        <w:t xml:space="preserve"> </w:t>
      </w:r>
      <w:r w:rsidRPr="00AF1DC8">
        <w:rPr>
          <w:rFonts w:ascii="Narkisim" w:hAnsi="Narkisim"/>
          <w:rtl/>
        </w:rPr>
        <w:t>ביפת תואר, הא בעינן הבחנה</w:t>
      </w:r>
      <w:r w:rsidRPr="00AF1DC8">
        <w:rPr>
          <w:rStyle w:val="ac"/>
          <w:rFonts w:ascii="Narkisim" w:hAnsi="Narkisim"/>
          <w:rtl/>
        </w:rPr>
        <w:footnoteReference w:id="2489"/>
      </w:r>
      <w:r w:rsidRPr="00AF1DC8">
        <w:rPr>
          <w:rFonts w:ascii="Narkisim" w:hAnsi="Narkisim"/>
        </w:rPr>
        <w:t xml:space="preserve">. </w:t>
      </w:r>
      <w:r w:rsidRPr="00AF1DC8">
        <w:rPr>
          <w:rFonts w:ascii="Narkisim" w:hAnsi="Narkisim"/>
          <w:rtl/>
        </w:rPr>
        <w:t>ותי' י"ל דאותו זרע נמי אינו קדוש [ביאה ראשונה דקודם גירות], דבנך הבא מן העכו"ם אינו קרוי בנך. [וכיון דתרוייהו שלא בקדושה, לא איכפ"ל שיתברר אי הוה ממנו או לא]</w:t>
      </w:r>
      <w:r w:rsidRPr="00AF1DC8">
        <w:rPr>
          <w:rFonts w:ascii="Narkisim" w:hAnsi="Narkisim"/>
        </w:rPr>
        <w:t>.</w:t>
      </w:r>
    </w:p>
    <w:p w14:paraId="182D69A4" w14:textId="77777777" w:rsidR="006074A5" w:rsidRPr="00AF1DC8" w:rsidRDefault="006074A5" w:rsidP="006074A5">
      <w:pPr>
        <w:bidi/>
        <w:rPr>
          <w:rFonts w:ascii="Narkisim" w:hAnsi="Narkisim" w:cs="Narkisim"/>
        </w:rPr>
      </w:pPr>
      <w:r w:rsidRPr="00AF1DC8">
        <w:rPr>
          <w:rFonts w:ascii="Narkisim" w:hAnsi="Narkisim" w:cs="Narkisim"/>
          <w:u w:val="single"/>
          <w:rtl/>
        </w:rPr>
        <w:t>שמא ישא אחותו מאביו וכו'.</w:t>
      </w:r>
      <w:r w:rsidRPr="00AF1DC8">
        <w:rPr>
          <w:rFonts w:ascii="Narkisim" w:hAnsi="Narkisim" w:cs="Narkisim"/>
          <w:rtl/>
        </w:rPr>
        <w:t xml:space="preserve"> ב</w:t>
      </w:r>
      <w:r w:rsidRPr="00AF1DC8">
        <w:rPr>
          <w:rFonts w:ascii="Narkisim" w:hAnsi="Narkisim" w:cs="Narkisim"/>
          <w:b/>
          <w:bCs/>
          <w:rtl/>
        </w:rPr>
        <w:t xml:space="preserve">רש"י </w:t>
      </w:r>
      <w:r w:rsidRPr="00AF1DC8">
        <w:rPr>
          <w:rFonts w:ascii="Narkisim" w:hAnsi="Narkisim" w:cs="Narkisim"/>
          <w:rtl/>
        </w:rPr>
        <w:t xml:space="preserve">מבואר דהחשש שיחזיקו אותו כבנו של שני, ויכשלו בקרובי ראשון. </w:t>
      </w:r>
      <w:r w:rsidRPr="00AF1DC8">
        <w:rPr>
          <w:rFonts w:ascii="Narkisim" w:hAnsi="Narkisim" w:cs="Narkisim"/>
          <w:sz w:val="20"/>
          <w:szCs w:val="20"/>
          <w:rtl/>
        </w:rPr>
        <w:t>[וצ"ב דאדרבה נימא דרוב יולדות לט'].</w:t>
      </w:r>
      <w:r w:rsidRPr="00AF1DC8">
        <w:rPr>
          <w:rFonts w:ascii="Narkisim" w:hAnsi="Narkisim" w:cs="Narkisim"/>
          <w:rtl/>
        </w:rPr>
        <w:t xml:space="preserve"> וה</w:t>
      </w:r>
      <w:r w:rsidRPr="00AF1DC8">
        <w:rPr>
          <w:rFonts w:ascii="Narkisim" w:hAnsi="Narkisim" w:cs="Narkisim"/>
          <w:b/>
          <w:bCs/>
          <w:rtl/>
        </w:rPr>
        <w:t>ריטב"א</w:t>
      </w:r>
      <w:r w:rsidRPr="00AF1DC8">
        <w:rPr>
          <w:rFonts w:ascii="Narkisim" w:hAnsi="Narkisim" w:cs="Narkisim"/>
          <w:rtl/>
        </w:rPr>
        <w:t xml:space="preserve"> כתב א"נ שהוא בנו של שני, ודיינינן ליה כבנו של ראשון</w:t>
      </w:r>
      <w:r w:rsidRPr="00AF1DC8">
        <w:rPr>
          <w:rStyle w:val="ac"/>
          <w:rFonts w:ascii="Narkisim" w:hAnsi="Narkisim" w:cs="Narkisim"/>
          <w:rtl/>
        </w:rPr>
        <w:footnoteReference w:id="2490"/>
      </w:r>
      <w:r w:rsidRPr="00AF1DC8">
        <w:rPr>
          <w:rFonts w:ascii="Narkisim" w:hAnsi="Narkisim" w:cs="Narkisim"/>
        </w:rPr>
        <w:t>.</w:t>
      </w:r>
    </w:p>
    <w:p w14:paraId="213A659D" w14:textId="77777777" w:rsidR="006074A5" w:rsidRPr="00AF1DC8" w:rsidRDefault="006074A5" w:rsidP="006074A5">
      <w:pPr>
        <w:bidi/>
        <w:rPr>
          <w:rFonts w:ascii="Narkisim" w:hAnsi="Narkisim" w:cs="Narkisim"/>
        </w:rPr>
      </w:pPr>
      <w:r w:rsidRPr="00AF1DC8">
        <w:rPr>
          <w:rFonts w:ascii="Narkisim" w:hAnsi="Narkisim" w:cs="Narkisim"/>
          <w:u w:val="single"/>
          <w:rtl/>
        </w:rPr>
        <w:t>בכולן אני קורא משום תקנת ערוה, ואם איתא וכו'.</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xml:space="preserve"> (ד"ה בכולן) כת' דנכלל בזה אף לינשא אחרי שחלצה [דהולד אינו פוטר עד שיצא וכדלעיל לו.]. וה</w:t>
      </w:r>
      <w:r w:rsidRPr="00AF1DC8">
        <w:rPr>
          <w:rFonts w:ascii="Narkisim" w:hAnsi="Narkisim" w:cs="Narkisim"/>
          <w:b/>
          <w:bCs/>
          <w:rtl/>
        </w:rPr>
        <w:t>ר"ש מדסוי</w:t>
      </w:r>
      <w:r w:rsidRPr="00AF1DC8">
        <w:rPr>
          <w:rFonts w:ascii="Narkisim" w:hAnsi="Narkisim" w:cs="Narkisim"/>
          <w:rtl/>
        </w:rPr>
        <w:t xml:space="preserve"> הק' דהוה איסור יבמה לשוק ואמאי נחשב תקנת 'ערוה'. ומבואר דיבמה לשוק נחשב ערוה</w:t>
      </w:r>
      <w:r w:rsidRPr="00AF1DC8">
        <w:rPr>
          <w:rFonts w:ascii="Narkisim" w:hAnsi="Narkisim" w:cs="Narkisim"/>
        </w:rPr>
        <w:t>.</w:t>
      </w:r>
    </w:p>
    <w:p w14:paraId="5858F1E1"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 xml:space="preserve">אתוון דאורייתא </w:t>
      </w:r>
      <w:r w:rsidRPr="00AF1DC8">
        <w:rPr>
          <w:rFonts w:ascii="Narkisim" w:hAnsi="Narkisim"/>
          <w:rtl/>
        </w:rPr>
        <w:t>(ח) הביא מכאן דיבמה לא נחשב ערוה, דלתי' הגמ' אמרי' משום תקנת הולד, והרי יש נפק"מ גם באשה עצמה, דיוציאנה לשוק, אם ימות השני בלא בנים [מלבד הספק הזה]. והוכיח מזה דיבמה לשוק לא נחשב ערוה</w:t>
      </w:r>
      <w:r w:rsidRPr="00AF1DC8">
        <w:rPr>
          <w:rStyle w:val="ac"/>
          <w:rFonts w:ascii="Narkisim" w:hAnsi="Narkisim"/>
          <w:rtl/>
        </w:rPr>
        <w:footnoteReference w:id="2491"/>
      </w:r>
      <w:r w:rsidRPr="00AF1DC8">
        <w:rPr>
          <w:rFonts w:ascii="Narkisim" w:hAnsi="Narkisim"/>
        </w:rPr>
        <w:t xml:space="preserve">. </w:t>
      </w:r>
      <w:r w:rsidRPr="00AF1DC8">
        <w:rPr>
          <w:rFonts w:ascii="Narkisim" w:hAnsi="Narkisim"/>
          <w:sz w:val="20"/>
          <w:szCs w:val="20"/>
          <w:rtl/>
        </w:rPr>
        <w:t>[וכן הביא מ</w:t>
      </w:r>
      <w:r w:rsidRPr="00AF1DC8">
        <w:rPr>
          <w:rFonts w:ascii="Narkisim" w:hAnsi="Narkisim"/>
          <w:b/>
          <w:bCs/>
          <w:sz w:val="20"/>
          <w:szCs w:val="20"/>
          <w:rtl/>
        </w:rPr>
        <w:t>תוס'</w:t>
      </w:r>
      <w:r w:rsidRPr="00AF1DC8">
        <w:rPr>
          <w:rFonts w:ascii="Narkisim" w:hAnsi="Narkisim"/>
          <w:sz w:val="20"/>
          <w:szCs w:val="20"/>
          <w:rtl/>
        </w:rPr>
        <w:t xml:space="preserve"> לו: ד"ה הא].</w:t>
      </w:r>
      <w:r w:rsidRPr="00AF1DC8">
        <w:rPr>
          <w:rFonts w:ascii="Narkisim" w:hAnsi="Narkisim"/>
          <w:rtl/>
        </w:rPr>
        <w:t xml:space="preserve"> אך הביא דלגירסא </w:t>
      </w:r>
      <w:r w:rsidRPr="00AF1DC8">
        <w:rPr>
          <w:rFonts w:ascii="Narkisim" w:hAnsi="Narkisim"/>
          <w:b/>
          <w:bCs/>
          <w:rtl/>
        </w:rPr>
        <w:t>רשב"ם</w:t>
      </w:r>
      <w:r w:rsidRPr="00AF1DC8">
        <w:rPr>
          <w:rFonts w:ascii="Narkisim" w:hAnsi="Narkisim"/>
          <w:rtl/>
        </w:rPr>
        <w:t xml:space="preserve"> (ב"ב</w:t>
      </w:r>
      <w:r w:rsidRPr="00AF1DC8">
        <w:rPr>
          <w:rFonts w:ascii="Narkisim" w:hAnsi="Narkisim"/>
          <w:b/>
          <w:bCs/>
          <w:rtl/>
        </w:rPr>
        <w:t xml:space="preserve"> </w:t>
      </w:r>
      <w:r w:rsidRPr="00AF1DC8">
        <w:rPr>
          <w:rFonts w:ascii="Narkisim" w:hAnsi="Narkisim"/>
          <w:rtl/>
        </w:rPr>
        <w:t>קלה.) מבואר דיבמה לשוק נחשב כאשת איש, וכמו בחנק. [עי"ש בגהש"ס]</w:t>
      </w:r>
      <w:r w:rsidRPr="00AF1DC8">
        <w:rPr>
          <w:rStyle w:val="ac"/>
          <w:rFonts w:ascii="Narkisim" w:hAnsi="Narkisim"/>
          <w:rtl/>
        </w:rPr>
        <w:footnoteReference w:id="2492"/>
      </w:r>
      <w:r w:rsidRPr="00AF1DC8">
        <w:rPr>
          <w:rFonts w:ascii="Narkisim" w:hAnsi="Narkisim"/>
        </w:rPr>
        <w:t>.</w:t>
      </w:r>
    </w:p>
    <w:p w14:paraId="67442744" w14:textId="77777777" w:rsidR="006074A5" w:rsidRPr="00AF1DC8" w:rsidRDefault="006074A5" w:rsidP="006074A5">
      <w:pPr>
        <w:pStyle w:val="aa"/>
        <w:bidi/>
        <w:rPr>
          <w:rFonts w:ascii="Narkisim" w:hAnsi="Narkisim"/>
        </w:rPr>
      </w:pPr>
      <w:r w:rsidRPr="00AF1DC8">
        <w:rPr>
          <w:rFonts w:ascii="Narkisim" w:hAnsi="Narkisim"/>
          <w:u w:val="single"/>
          <w:rtl/>
        </w:rPr>
        <w:t>רש"י ד"ה ומייבם.</w:t>
      </w:r>
      <w:r w:rsidRPr="00AF1DC8">
        <w:rPr>
          <w:rFonts w:ascii="Narkisim" w:hAnsi="Narkisim"/>
          <w:rtl/>
        </w:rPr>
        <w:t xml:space="preserve"> אשת אחיו מאמו וחייב כרת. (וכ"כ רש"י לקמן צח.). ודלא כמש"כ </w:t>
      </w:r>
      <w:r w:rsidRPr="00AF1DC8">
        <w:rPr>
          <w:rFonts w:ascii="Narkisim" w:hAnsi="Narkisim"/>
          <w:b/>
          <w:bCs/>
          <w:rtl/>
        </w:rPr>
        <w:t>תוס'</w:t>
      </w:r>
      <w:r w:rsidRPr="00AF1DC8">
        <w:rPr>
          <w:rFonts w:ascii="Narkisim" w:hAnsi="Narkisim"/>
          <w:rtl/>
        </w:rPr>
        <w:t xml:space="preserve"> (לעיל ב. ד”ה אשת) לדעת רש"י דאין כרת באשת אחיו מאמו</w:t>
      </w:r>
      <w:r w:rsidRPr="00AF1DC8">
        <w:rPr>
          <w:rFonts w:ascii="Narkisim" w:hAnsi="Narkisim"/>
        </w:rPr>
        <w:t>.</w:t>
      </w:r>
    </w:p>
    <w:p w14:paraId="3CA35670" w14:textId="77777777" w:rsidR="006074A5" w:rsidRPr="00AF1DC8" w:rsidRDefault="006074A5" w:rsidP="006074A5">
      <w:pPr>
        <w:pStyle w:val="aa"/>
        <w:bidi/>
        <w:rPr>
          <w:rFonts w:ascii="Narkisim" w:hAnsi="Narkisim"/>
        </w:rPr>
      </w:pPr>
      <w:r w:rsidRPr="00AF1DC8">
        <w:rPr>
          <w:rFonts w:ascii="Narkisim" w:hAnsi="Narkisim"/>
        </w:rPr>
        <w:t xml:space="preserve"> </w:t>
      </w:r>
      <w:r w:rsidRPr="00AF1DC8">
        <w:rPr>
          <w:rFonts w:ascii="Narkisim" w:hAnsi="Narkisim"/>
          <w:u w:val="single"/>
          <w:rtl/>
        </w:rPr>
        <w:t>רש"י ד"ה ויפטור.</w:t>
      </w:r>
      <w:r w:rsidRPr="00AF1DC8">
        <w:rPr>
          <w:rFonts w:ascii="Narkisim" w:hAnsi="Narkisim"/>
          <w:rtl/>
        </w:rPr>
        <w:t xml:space="preserve"> וגבי גר וגיורת לחדא וכו'. ואף דהגמ' הזכירה כמה טעמים, כל טעם לחוד סגי לגזור</w:t>
      </w:r>
      <w:r w:rsidRPr="00AF1DC8">
        <w:rPr>
          <w:rFonts w:ascii="Narkisim" w:hAnsi="Narkisim"/>
        </w:rPr>
        <w:t>.</w:t>
      </w:r>
    </w:p>
    <w:p w14:paraId="6137CE64" w14:textId="77777777" w:rsidR="006074A5" w:rsidRPr="00AF1DC8" w:rsidRDefault="006074A5" w:rsidP="006074A5">
      <w:pPr>
        <w:pStyle w:val="aa"/>
        <w:bidi/>
        <w:rPr>
          <w:rFonts w:ascii="Narkisim" w:hAnsi="Narkisim"/>
        </w:rPr>
      </w:pPr>
      <w:r w:rsidRPr="00AF1DC8">
        <w:rPr>
          <w:rFonts w:ascii="Narkisim" w:hAnsi="Narkisim"/>
          <w:u w:val="single"/>
          <w:rtl/>
        </w:rPr>
        <w:t>בא"ד וכיון דזה נזרע שלא בקדושה וסתם עכו"ם מזנה וכו' ונמצא נושא אשת אחיו מאמו</w:t>
      </w:r>
      <w:r w:rsidRPr="00AF1DC8">
        <w:rPr>
          <w:rFonts w:ascii="Narkisim" w:hAnsi="Narkisim"/>
          <w:rtl/>
        </w:rPr>
        <w:t>. [ע"פ ס"ד דהגמ' לקמן צח. דהא דאין אב לכותי, משום דסתמא מופקרת]. ה</w:t>
      </w:r>
      <w:r w:rsidRPr="00AF1DC8">
        <w:rPr>
          <w:rFonts w:ascii="Narkisim" w:hAnsi="Narkisim"/>
          <w:b/>
          <w:bCs/>
          <w:rtl/>
        </w:rPr>
        <w:t>תוס' מהר"ם ור"פ</w:t>
      </w:r>
      <w:r w:rsidRPr="00AF1DC8">
        <w:rPr>
          <w:rFonts w:ascii="Narkisim" w:hAnsi="Narkisim"/>
          <w:rtl/>
        </w:rPr>
        <w:t xml:space="preserve"> ו</w:t>
      </w:r>
      <w:r w:rsidRPr="00AF1DC8">
        <w:rPr>
          <w:rFonts w:ascii="Narkisim" w:hAnsi="Narkisim"/>
          <w:b/>
          <w:bCs/>
          <w:rtl/>
        </w:rPr>
        <w:t>מהרש"א</w:t>
      </w:r>
      <w:r w:rsidRPr="00AF1DC8">
        <w:rPr>
          <w:rFonts w:ascii="Narkisim" w:hAnsi="Narkisim"/>
          <w:rtl/>
        </w:rPr>
        <w:t xml:space="preserve"> תמהו דאף לולי חשש מזנה אינה קרובותיה כלל. וה</w:t>
      </w:r>
      <w:r w:rsidRPr="00AF1DC8">
        <w:rPr>
          <w:rFonts w:ascii="Narkisim" w:hAnsi="Narkisim"/>
          <w:b/>
          <w:bCs/>
          <w:rtl/>
        </w:rPr>
        <w:t>מהרש”א</w:t>
      </w:r>
      <w:r w:rsidRPr="00AF1DC8">
        <w:rPr>
          <w:rFonts w:ascii="Narkisim" w:hAnsi="Narkisim"/>
          <w:rtl/>
        </w:rPr>
        <w:t xml:space="preserve"> כתב דתלמיד טועה כתבו</w:t>
      </w:r>
      <w:r w:rsidRPr="00AF1DC8">
        <w:rPr>
          <w:rStyle w:val="ac"/>
          <w:rFonts w:ascii="Narkisim" w:hAnsi="Narkisim"/>
          <w:rtl/>
        </w:rPr>
        <w:footnoteReference w:id="2493"/>
      </w:r>
      <w:r w:rsidRPr="00AF1DC8">
        <w:rPr>
          <w:rFonts w:ascii="Narkisim" w:hAnsi="Narkisim"/>
        </w:rPr>
        <w:t>.</w:t>
      </w:r>
    </w:p>
    <w:p w14:paraId="34F5CC03" w14:textId="77777777" w:rsidR="006074A5" w:rsidRPr="00AF1DC8" w:rsidRDefault="006074A5" w:rsidP="006074A5">
      <w:pPr>
        <w:bidi/>
        <w:rPr>
          <w:rFonts w:ascii="Narkisim" w:hAnsi="Narkisim" w:cs="Narkisim"/>
        </w:rPr>
      </w:pPr>
      <w:r w:rsidRPr="00AF1DC8">
        <w:rPr>
          <w:rFonts w:ascii="Narkisim" w:hAnsi="Narkisim" w:cs="Narkisim"/>
          <w:u w:val="single"/>
          <w:rtl/>
        </w:rPr>
        <w:t>אלא תמתין חדש א'.</w:t>
      </w:r>
      <w:r w:rsidRPr="00AF1DC8">
        <w:rPr>
          <w:rFonts w:ascii="Narkisim" w:hAnsi="Narkisim" w:cs="Narkisim"/>
          <w:rtl/>
        </w:rPr>
        <w:t xml:space="preserve"> </w:t>
      </w:r>
      <w:r w:rsidRPr="00AF1DC8">
        <w:rPr>
          <w:rFonts w:ascii="Narkisim" w:hAnsi="Narkisim" w:cs="Narkisim"/>
          <w:b/>
          <w:bCs/>
          <w:rtl/>
        </w:rPr>
        <w:t>רש"י</w:t>
      </w:r>
      <w:r w:rsidRPr="00AF1DC8">
        <w:rPr>
          <w:rFonts w:ascii="Narkisim" w:hAnsi="Narkisim" w:cs="Narkisim"/>
          <w:sz w:val="20"/>
          <w:szCs w:val="20"/>
          <w:rtl/>
        </w:rPr>
        <w:t xml:space="preserve"> (ד”ה אישתהי)</w:t>
      </w:r>
      <w:r w:rsidRPr="00AF1DC8">
        <w:rPr>
          <w:rFonts w:ascii="Narkisim" w:hAnsi="Narkisim" w:cs="Narkisim"/>
          <w:rtl/>
        </w:rPr>
        <w:t xml:space="preserve"> כת' דהמ"ל שמא מעוברת מעיקרא חודש קודם מיתת הראשון. וה</w:t>
      </w:r>
      <w:r w:rsidRPr="00AF1DC8">
        <w:rPr>
          <w:rFonts w:ascii="Narkisim" w:hAnsi="Narkisim" w:cs="Narkisim"/>
          <w:b/>
          <w:bCs/>
          <w:rtl/>
        </w:rPr>
        <w:t>רמב"ן</w:t>
      </w:r>
      <w:r w:rsidRPr="00AF1DC8">
        <w:rPr>
          <w:rFonts w:ascii="Narkisim" w:hAnsi="Narkisim" w:cs="Narkisim"/>
          <w:rtl/>
        </w:rPr>
        <w:t xml:space="preserve"> תי' דהמשנה מילתא דפסיקא נקט, וקו' הגמ' באופן שלא עמדה אצלו אלא יום א'.</w:t>
      </w:r>
    </w:p>
    <w:p w14:paraId="54A06854"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כתב דהמ"ל עוד דנגמר הולד לז', ואישתהי חודש [ע"פ הגמ' לקמן פ:]. וביאר דס"ד דהסוגייה כאן דלא אישתהי כלל אחר ט'. ובהג' </w:t>
      </w:r>
      <w:r w:rsidRPr="00AF1DC8">
        <w:rPr>
          <w:rFonts w:ascii="Narkisim" w:hAnsi="Narkisim"/>
          <w:b/>
          <w:bCs/>
          <w:rtl/>
        </w:rPr>
        <w:t>יעב"ץ</w:t>
      </w:r>
      <w:r w:rsidRPr="00AF1DC8">
        <w:rPr>
          <w:rFonts w:ascii="Narkisim" w:hAnsi="Narkisim"/>
          <w:rtl/>
        </w:rPr>
        <w:t xml:space="preserve"> הוכיח מזה דאישתהי הוה מיעוט דלא שכיח, ולא חיישינן. אבל יולדות לשבעה הוה מיעוטא דשכיח. והא דסמכי' (לקמן פ:) דאשתהי הוה משום חזקת כשרות. וה</w:t>
      </w:r>
      <w:r w:rsidRPr="00AF1DC8">
        <w:rPr>
          <w:rFonts w:ascii="Narkisim" w:hAnsi="Narkisim"/>
          <w:b/>
          <w:bCs/>
          <w:rtl/>
        </w:rPr>
        <w:t>רש”ש</w:t>
      </w:r>
      <w:r w:rsidRPr="00AF1DC8">
        <w:rPr>
          <w:rFonts w:ascii="Narkisim" w:hAnsi="Narkisim"/>
          <w:rtl/>
        </w:rPr>
        <w:t xml:space="preserve"> כתב דמכאן יש ראיה למש”כ ה</w:t>
      </w:r>
      <w:r w:rsidRPr="00AF1DC8">
        <w:rPr>
          <w:rFonts w:ascii="Narkisim" w:hAnsi="Narkisim"/>
          <w:b/>
          <w:bCs/>
          <w:rtl/>
        </w:rPr>
        <w:t>יד אליה</w:t>
      </w:r>
      <w:r w:rsidRPr="00AF1DC8">
        <w:rPr>
          <w:rFonts w:ascii="Narkisim" w:hAnsi="Narkisim"/>
          <w:rtl/>
        </w:rPr>
        <w:t xml:space="preserve"> דרק י”ב חודש אישתהי ולא פחות</w:t>
      </w:r>
      <w:r w:rsidRPr="00AF1DC8">
        <w:rPr>
          <w:rFonts w:ascii="Narkisim" w:hAnsi="Narkisim"/>
        </w:rPr>
        <w:t>.</w:t>
      </w:r>
    </w:p>
    <w:p w14:paraId="28CF452B" w14:textId="77777777" w:rsidR="006074A5" w:rsidRPr="00AF1DC8" w:rsidRDefault="006074A5" w:rsidP="006074A5">
      <w:pPr>
        <w:bidi/>
        <w:rPr>
          <w:rFonts w:ascii="Narkisim" w:hAnsi="Narkisim" w:cs="Narkisim"/>
        </w:rPr>
      </w:pPr>
      <w:r w:rsidRPr="00AF1DC8">
        <w:rPr>
          <w:rFonts w:ascii="Narkisim" w:hAnsi="Narkisim" w:cs="Narkisim"/>
          <w:u w:val="single"/>
          <w:rtl/>
        </w:rPr>
        <w:t>וכי מלאו ג' חדשים לבדקה.</w:t>
      </w:r>
      <w:r w:rsidRPr="00AF1DC8">
        <w:rPr>
          <w:rFonts w:ascii="Narkisim" w:hAnsi="Narkisim" w:cs="Narkisim"/>
          <w:rtl/>
        </w:rPr>
        <w:t xml:space="preserve"> מבואר דלא יתכן שהולד ניכר לפני ג' חדשים. ו</w:t>
      </w:r>
      <w:r w:rsidRPr="00AF1DC8">
        <w:rPr>
          <w:rFonts w:ascii="Narkisim" w:hAnsi="Narkisim" w:cs="Narkisim"/>
          <w:b/>
          <w:bCs/>
          <w:rtl/>
        </w:rPr>
        <w:t>רע"א</w:t>
      </w:r>
      <w:r w:rsidRPr="00AF1DC8">
        <w:rPr>
          <w:rFonts w:ascii="Narkisim" w:hAnsi="Narkisim" w:cs="Narkisim"/>
          <w:rtl/>
        </w:rPr>
        <w:t xml:space="preserve"> (ק' פט) דן דבנשי דידן ניכר הולד בפחות, וכתב דאפשר דמ"מ יש רוב דלא ניכר קודם</w:t>
      </w:r>
      <w:r w:rsidRPr="00AF1DC8">
        <w:rPr>
          <w:rFonts w:ascii="Narkisim" w:hAnsi="Narkisim" w:cs="Narkisim"/>
        </w:rPr>
        <w:t>.</w:t>
      </w:r>
    </w:p>
    <w:p w14:paraId="329D569E"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רש"ש</w:t>
      </w:r>
      <w:r w:rsidRPr="00AF1DC8">
        <w:rPr>
          <w:rFonts w:ascii="Narkisim" w:hAnsi="Narkisim" w:cs="Narkisim"/>
          <w:rtl/>
        </w:rPr>
        <w:t xml:space="preserve"> ו</w:t>
      </w:r>
      <w:r w:rsidRPr="00AF1DC8">
        <w:rPr>
          <w:rFonts w:ascii="Narkisim" w:hAnsi="Narkisim" w:cs="Narkisim"/>
          <w:b/>
          <w:bCs/>
          <w:rtl/>
        </w:rPr>
        <w:t>ערול"נ</w:t>
      </w:r>
      <w:r w:rsidRPr="00AF1DC8">
        <w:rPr>
          <w:rFonts w:ascii="Narkisim" w:hAnsi="Narkisim" w:cs="Narkisim"/>
          <w:rtl/>
        </w:rPr>
        <w:t xml:space="preserve"> הביאו דבגמ' (סנהדרין סט.) נח' האם היולדת לז' עוברה ניכר לשליש ימיהן, או רק לג' חדשים. ואילו בסוגיין מבואר דניכר רק לג' חדשים [דאל"כ ניחוש שתתעבר </w:t>
      </w:r>
      <w:r w:rsidRPr="00AF1DC8">
        <w:rPr>
          <w:rFonts w:ascii="Narkisim" w:hAnsi="Narkisim" w:cs="Narkisim"/>
          <w:rtl/>
        </w:rPr>
        <w:lastRenderedPageBreak/>
        <w:t xml:space="preserve">אח”כ, ויהא ניכר לשליש ימיה]. וע' </w:t>
      </w:r>
      <w:r w:rsidRPr="00AF1DC8">
        <w:rPr>
          <w:rFonts w:ascii="Narkisim" w:hAnsi="Narkisim" w:cs="Narkisim"/>
          <w:b/>
          <w:bCs/>
          <w:rtl/>
        </w:rPr>
        <w:t>חזו"א</w:t>
      </w:r>
      <w:r w:rsidRPr="00AF1DC8">
        <w:rPr>
          <w:rFonts w:ascii="Narkisim" w:hAnsi="Narkisim" w:cs="Narkisim"/>
        </w:rPr>
        <w:t>.</w:t>
      </w:r>
    </w:p>
    <w:p w14:paraId="5910B6A0" w14:textId="77777777" w:rsidR="006074A5" w:rsidRPr="00AF1DC8" w:rsidRDefault="006074A5" w:rsidP="006074A5">
      <w:pPr>
        <w:bidi/>
        <w:rPr>
          <w:rFonts w:ascii="Narkisim" w:hAnsi="Narkisim" w:cs="Narkisim"/>
        </w:rPr>
      </w:pPr>
      <w:r w:rsidRPr="00AF1DC8">
        <w:rPr>
          <w:rFonts w:ascii="Narkisim" w:hAnsi="Narkisim" w:cs="Narkisim"/>
          <w:u w:val="single"/>
          <w:rtl/>
        </w:rPr>
        <w:t>שם. לבדקה</w:t>
      </w:r>
      <w:r w:rsidRPr="00AF1DC8">
        <w:rPr>
          <w:rFonts w:ascii="Narkisim" w:hAnsi="Narkisim" w:cs="Narkisim"/>
          <w:rtl/>
        </w:rPr>
        <w:t>. ו</w:t>
      </w:r>
      <w:r w:rsidRPr="00AF1DC8">
        <w:rPr>
          <w:rFonts w:ascii="Narkisim" w:hAnsi="Narkisim" w:cs="Narkisim"/>
          <w:b/>
          <w:bCs/>
          <w:rtl/>
        </w:rPr>
        <w:t>רע"א</w:t>
      </w:r>
      <w:r w:rsidRPr="00AF1DC8">
        <w:rPr>
          <w:rFonts w:ascii="Narkisim" w:hAnsi="Narkisim" w:cs="Narkisim"/>
          <w:rtl/>
        </w:rPr>
        <w:t xml:space="preserve"> (לז.) הק' דאמאי לא חיישינן למיעוט שאינו ניכר לשליש ימיה [כדמבואר לעיל לז.]. ותי' דהתם איירי ע"י הכרת העין, והרוב ניכר ממילא בשליש. אבל בדיקה בדדין ובעפר תיחוח דהכא ודאי ניכר. והא דלא סמכו בהחנה על הכרת העין, הוא משום דחיישינן שיהא מהמיעוט. ואילו (לעיל לז.) גבי יבום שיתברר הדבר ולא תשב באיסור כל ימיה סמכו שהיא מהרוב</w:t>
      </w:r>
      <w:r w:rsidRPr="00AF1DC8">
        <w:rPr>
          <w:rStyle w:val="ac"/>
          <w:rFonts w:ascii="Narkisim" w:hAnsi="Narkisim" w:cs="Narkisim"/>
          <w:rtl/>
        </w:rPr>
        <w:footnoteReference w:id="2494"/>
      </w:r>
      <w:r w:rsidRPr="00AF1DC8">
        <w:rPr>
          <w:rFonts w:ascii="Narkisim" w:hAnsi="Narkisim" w:cs="Narkisim"/>
        </w:rPr>
        <w:t xml:space="preserve">. </w:t>
      </w:r>
      <w:r w:rsidRPr="00AF1DC8">
        <w:rPr>
          <w:rFonts w:ascii="Narkisim" w:hAnsi="Narkisim" w:cs="Narkisim"/>
          <w:rtl/>
        </w:rPr>
        <w:t>ועפ”ז נקט דע”פ בדיקה יתכן שניכר לפני ג' חדשים. ועי"ש</w:t>
      </w:r>
      <w:r w:rsidRPr="00AF1DC8">
        <w:rPr>
          <w:rFonts w:ascii="Narkisim" w:hAnsi="Narkisim" w:cs="Narkisim"/>
        </w:rPr>
        <w:t>.</w:t>
      </w:r>
    </w:p>
    <w:p w14:paraId="713B000C" w14:textId="77777777" w:rsidR="006074A5" w:rsidRPr="00AF1DC8" w:rsidRDefault="006074A5" w:rsidP="006074A5">
      <w:pPr>
        <w:pStyle w:val="aa"/>
        <w:bidi/>
        <w:rPr>
          <w:rFonts w:ascii="Narkisim" w:hAnsi="Narkisim"/>
        </w:rPr>
      </w:pPr>
      <w:r w:rsidRPr="00AF1DC8">
        <w:rPr>
          <w:rFonts w:ascii="Narkisim" w:hAnsi="Narkisim"/>
          <w:u w:val="single"/>
          <w:rtl/>
        </w:rPr>
        <w:t>אמר רב ספרא אין בודקין את הנשואות.</w:t>
      </w:r>
      <w:r w:rsidRPr="00AF1DC8">
        <w:rPr>
          <w:rFonts w:ascii="Narkisim" w:hAnsi="Narkisim"/>
          <w:rtl/>
        </w:rPr>
        <w:t xml:space="preserve"> ה</w:t>
      </w:r>
      <w:r w:rsidRPr="00AF1DC8">
        <w:rPr>
          <w:rFonts w:ascii="Narkisim" w:hAnsi="Narkisim"/>
          <w:b/>
          <w:bCs/>
          <w:rtl/>
        </w:rPr>
        <w:t>ב"י</w:t>
      </w:r>
      <w:r w:rsidRPr="00AF1DC8">
        <w:rPr>
          <w:rFonts w:ascii="Narkisim" w:hAnsi="Narkisim"/>
          <w:rtl/>
        </w:rPr>
        <w:t xml:space="preserve"> (יג י) כת' בשם </w:t>
      </w:r>
      <w:r w:rsidRPr="00AF1DC8">
        <w:rPr>
          <w:rFonts w:ascii="Narkisim" w:hAnsi="Narkisim"/>
          <w:b/>
          <w:bCs/>
          <w:rtl/>
        </w:rPr>
        <w:t>ר' ירוחם</w:t>
      </w:r>
      <w:r w:rsidRPr="00AF1DC8">
        <w:rPr>
          <w:rFonts w:ascii="Narkisim" w:hAnsi="Narkisim"/>
          <w:rtl/>
        </w:rPr>
        <w:t xml:space="preserve"> דמי שעברה ונשאת תוך ג' בדקינן בכל מיני בדיקות אם נתעברה. דכיון דנשאת שלא ברשות תתגנה ותתגנה</w:t>
      </w:r>
      <w:r w:rsidRPr="00AF1DC8">
        <w:rPr>
          <w:rFonts w:ascii="Narkisim" w:hAnsi="Narkisim"/>
        </w:rPr>
        <w:t>.</w:t>
      </w:r>
    </w:p>
    <w:p w14:paraId="7F7DCA16" w14:textId="77777777" w:rsidR="006074A5" w:rsidRPr="00AF1DC8" w:rsidRDefault="006074A5" w:rsidP="006074A5">
      <w:pPr>
        <w:pStyle w:val="2"/>
        <w:bidi/>
        <w:rPr>
          <w:rFonts w:ascii="Narkisim" w:hAnsi="Narkisim"/>
        </w:rPr>
      </w:pPr>
      <w:r w:rsidRPr="00AF1DC8">
        <w:rPr>
          <w:rFonts w:ascii="Narkisim" w:hAnsi="Narkisim"/>
          <w:rtl/>
        </w:rPr>
        <w:t>מעוברת ומינקת חבירו</w:t>
      </w:r>
    </w:p>
    <w:p w14:paraId="17BEA668" w14:textId="77777777" w:rsidR="006074A5" w:rsidRPr="00AF1DC8" w:rsidRDefault="006074A5" w:rsidP="006074A5">
      <w:pPr>
        <w:bidi/>
        <w:rPr>
          <w:rFonts w:ascii="Narkisim" w:hAnsi="Narkisim" w:cs="Narkisim"/>
        </w:rPr>
      </w:pPr>
      <w:r w:rsidRPr="00AF1DC8">
        <w:rPr>
          <w:rFonts w:ascii="Narkisim" w:hAnsi="Narkisim" w:cs="Narkisim"/>
          <w:u w:val="single"/>
          <w:rtl/>
        </w:rPr>
        <w:t>אשה מחפה כדי שיירש וכו'</w:t>
      </w:r>
      <w:r w:rsidRPr="00AF1DC8">
        <w:rPr>
          <w:rStyle w:val="ac"/>
          <w:rFonts w:ascii="Narkisim" w:hAnsi="Narkisim" w:cs="Narkisim"/>
          <w:rtl/>
        </w:rPr>
        <w:footnoteReference w:id="2495"/>
      </w:r>
      <w:r w:rsidRPr="00AF1DC8">
        <w:rPr>
          <w:rFonts w:ascii="Narkisim" w:hAnsi="Narkisim" w:cs="Narkisim"/>
          <w:rtl/>
        </w:rPr>
        <w:t>. ה</w:t>
      </w:r>
      <w:r w:rsidRPr="00AF1DC8">
        <w:rPr>
          <w:rFonts w:ascii="Narkisim" w:hAnsi="Narkisim" w:cs="Narkisim"/>
          <w:b/>
          <w:bCs/>
          <w:rtl/>
        </w:rPr>
        <w:t xml:space="preserve">נוב"י </w:t>
      </w:r>
      <w:r w:rsidRPr="00AF1DC8">
        <w:rPr>
          <w:rFonts w:ascii="Narkisim" w:hAnsi="Narkisim" w:cs="Narkisim"/>
          <w:rtl/>
        </w:rPr>
        <w:t>(ק' יח) הקשה דלפעמים הראשון עשיר יותר. וכתב דבגר וגיורת איצטריך לטעם הזה, שאם נתעברה קודם אינו יורש. וכתב דבעלמא אי"צ לזה, דאם מעוברת לראשון, א"כ השני צריך להוציא משום מעוברת חבירו. וה</w:t>
      </w:r>
      <w:r w:rsidRPr="00AF1DC8">
        <w:rPr>
          <w:rFonts w:ascii="Narkisim" w:hAnsi="Narkisim" w:cs="Narkisim"/>
          <w:b/>
          <w:bCs/>
          <w:rtl/>
        </w:rPr>
        <w:t>אבנ"מ</w:t>
      </w:r>
      <w:r w:rsidRPr="00AF1DC8">
        <w:rPr>
          <w:rFonts w:ascii="Narkisim" w:hAnsi="Narkisim" w:cs="Narkisim"/>
          <w:rtl/>
        </w:rPr>
        <w:t xml:space="preserve"> (יג א) חלק דכיון דנשאה בהיתר קודם שחל 'שם' מעוברת חבירו אי"צ להוציא. ורק למסקנא דאסרו משום הבחנה, כיון דנשאה באיסור צריך להוציא. ו</w:t>
      </w:r>
      <w:r w:rsidRPr="00AF1DC8">
        <w:rPr>
          <w:rFonts w:ascii="Narkisim" w:hAnsi="Narkisim" w:cs="Narkisim"/>
          <w:b/>
          <w:bCs/>
          <w:rtl/>
        </w:rPr>
        <w:t>רע"א</w:t>
      </w:r>
      <w:r w:rsidRPr="00AF1DC8">
        <w:rPr>
          <w:rFonts w:ascii="Narkisim" w:hAnsi="Narkisim" w:cs="Narkisim"/>
          <w:rtl/>
        </w:rPr>
        <w:t xml:space="preserve"> כתב דכיון דלא התחילה להניק אינה בכלל 'מינקת</w:t>
      </w:r>
      <w:r w:rsidRPr="00AF1DC8">
        <w:rPr>
          <w:rFonts w:ascii="Narkisim" w:hAnsi="Narkisim" w:cs="Narkisim"/>
        </w:rPr>
        <w:t>'.</w:t>
      </w:r>
    </w:p>
    <w:p w14:paraId="0802935D" w14:textId="77777777" w:rsidR="006074A5" w:rsidRPr="00AF1DC8" w:rsidRDefault="006074A5" w:rsidP="006074A5">
      <w:pPr>
        <w:pStyle w:val="aa"/>
        <w:bidi/>
        <w:rPr>
          <w:rFonts w:ascii="Narkisim" w:hAnsi="Narkisim"/>
        </w:rPr>
      </w:pPr>
      <w:r w:rsidRPr="00AF1DC8">
        <w:rPr>
          <w:rFonts w:ascii="Narkisim" w:hAnsi="Narkisim"/>
          <w:u w:val="single"/>
          <w:rtl/>
        </w:rPr>
        <w:t>אלא סתם מעוברת למינקת קיימא.</w:t>
      </w:r>
      <w:r w:rsidRPr="00AF1DC8">
        <w:rPr>
          <w:rFonts w:ascii="Narkisim" w:hAnsi="Narkisim"/>
          <w:rtl/>
        </w:rPr>
        <w:t xml:space="preserve"> ואסרו בעודה מעוברת [ולנוב"י אף למקשן היה זקוק להוציא אח"כ, אם תניק. ול</w:t>
      </w:r>
      <w:r w:rsidRPr="00AF1DC8">
        <w:rPr>
          <w:rFonts w:ascii="Narkisim" w:hAnsi="Narkisim"/>
          <w:b/>
          <w:bCs/>
          <w:rtl/>
        </w:rPr>
        <w:t xml:space="preserve">אבנ"מ </w:t>
      </w:r>
      <w:r w:rsidRPr="00AF1DC8">
        <w:rPr>
          <w:rFonts w:ascii="Narkisim" w:hAnsi="Narkisim"/>
          <w:rtl/>
        </w:rPr>
        <w:t>למקשן היה נחשב נשאת בהיתר]. וה</w:t>
      </w:r>
      <w:r w:rsidRPr="00AF1DC8">
        <w:rPr>
          <w:rFonts w:ascii="Narkisim" w:hAnsi="Narkisim"/>
          <w:b/>
          <w:bCs/>
          <w:rtl/>
        </w:rPr>
        <w:t>פוסקים</w:t>
      </w:r>
      <w:r w:rsidRPr="00AF1DC8">
        <w:rPr>
          <w:rFonts w:ascii="Narkisim" w:hAnsi="Narkisim"/>
          <w:rtl/>
        </w:rPr>
        <w:t xml:space="preserve"> (יג יא) האריכו בדין נתנה בנה למינקת, בחיי בעלה [וה</w:t>
      </w:r>
      <w:r w:rsidRPr="00AF1DC8">
        <w:rPr>
          <w:rFonts w:ascii="Narkisim" w:hAnsi="Narkisim"/>
          <w:b/>
          <w:bCs/>
          <w:rtl/>
        </w:rPr>
        <w:t>ריטב"א</w:t>
      </w:r>
      <w:r w:rsidRPr="00AF1DC8">
        <w:rPr>
          <w:rFonts w:ascii="Narkisim" w:hAnsi="Narkisim"/>
          <w:rtl/>
        </w:rPr>
        <w:t xml:space="preserve"> (מג.) הביא בשם </w:t>
      </w:r>
      <w:r w:rsidRPr="00AF1DC8">
        <w:rPr>
          <w:rFonts w:ascii="Narkisim" w:hAnsi="Narkisim"/>
          <w:b/>
          <w:bCs/>
          <w:rtl/>
        </w:rPr>
        <w:t>תשובת</w:t>
      </w:r>
      <w:r w:rsidRPr="00AF1DC8">
        <w:rPr>
          <w:rFonts w:ascii="Narkisim" w:hAnsi="Narkisim"/>
          <w:rtl/>
        </w:rPr>
        <w:t xml:space="preserve"> ה</w:t>
      </w:r>
      <w:r w:rsidRPr="00AF1DC8">
        <w:rPr>
          <w:rFonts w:ascii="Narkisim" w:hAnsi="Narkisim"/>
          <w:b/>
          <w:bCs/>
          <w:rtl/>
        </w:rPr>
        <w:t xml:space="preserve">גאון </w:t>
      </w:r>
      <w:r w:rsidRPr="00AF1DC8">
        <w:rPr>
          <w:rFonts w:ascii="Narkisim" w:hAnsi="Narkisim"/>
          <w:rtl/>
        </w:rPr>
        <w:t>דבעי ג' חדשים בחיי בעלה], ואם התחילה להניק או לא התחילה. או דנצטמקו שידיה. ואכ"מ</w:t>
      </w:r>
      <w:r w:rsidRPr="00AF1DC8">
        <w:rPr>
          <w:rFonts w:ascii="Narkisim" w:hAnsi="Narkisim"/>
        </w:rPr>
        <w:t>.</w:t>
      </w:r>
    </w:p>
    <w:p w14:paraId="65DC175F" w14:textId="77777777" w:rsidR="006074A5" w:rsidRPr="00AF1DC8" w:rsidRDefault="006074A5" w:rsidP="006074A5">
      <w:pPr>
        <w:bidi/>
        <w:rPr>
          <w:rFonts w:ascii="Narkisim" w:hAnsi="Narkisim" w:cs="Narkisim"/>
        </w:rPr>
      </w:pPr>
      <w:r w:rsidRPr="00AF1DC8">
        <w:rPr>
          <w:rFonts w:ascii="Narkisim" w:hAnsi="Narkisim" w:cs="Narkisim"/>
          <w:rtl/>
        </w:rPr>
        <w:t>ה</w:t>
      </w:r>
      <w:r w:rsidRPr="00AF1DC8">
        <w:rPr>
          <w:rFonts w:ascii="Narkisim" w:hAnsi="Narkisim" w:cs="Narkisim"/>
          <w:b/>
          <w:bCs/>
          <w:rtl/>
        </w:rPr>
        <w:t>ראשונים</w:t>
      </w:r>
      <w:r w:rsidRPr="00AF1DC8">
        <w:rPr>
          <w:rFonts w:ascii="Narkisim" w:hAnsi="Narkisim" w:cs="Narkisim"/>
          <w:rtl/>
        </w:rPr>
        <w:t xml:space="preserve"> (רמב"ן רשב"א ריטב"א ותו"י) הקשו דהיה אפ"ל דצריכה להמתין ג' חדשים משום ספק שאח"כ תהא מעוברת חבירו. ותי' דחששא רחוקה היא</w:t>
      </w:r>
      <w:r w:rsidRPr="00AF1DC8">
        <w:rPr>
          <w:rStyle w:val="ac"/>
          <w:rFonts w:ascii="Narkisim" w:hAnsi="Narkisim" w:cs="Narkisim"/>
          <w:rtl/>
        </w:rPr>
        <w:footnoteReference w:id="2496"/>
      </w:r>
      <w:r w:rsidRPr="00AF1DC8">
        <w:rPr>
          <w:rFonts w:ascii="Narkisim" w:hAnsi="Narkisim" w:cs="Narkisim"/>
        </w:rPr>
        <w:t xml:space="preserve">, </w:t>
      </w:r>
      <w:r w:rsidRPr="00AF1DC8">
        <w:rPr>
          <w:rFonts w:ascii="Narkisim" w:hAnsi="Narkisim" w:cs="Narkisim"/>
          <w:rtl/>
        </w:rPr>
        <w:t>וכולי האי לא גזרו בספק מעוברת. וה</w:t>
      </w:r>
      <w:r w:rsidRPr="00AF1DC8">
        <w:rPr>
          <w:rFonts w:ascii="Narkisim" w:hAnsi="Narkisim" w:cs="Narkisim"/>
          <w:b/>
          <w:bCs/>
          <w:rtl/>
        </w:rPr>
        <w:t>נוב"י</w:t>
      </w:r>
      <w:r w:rsidRPr="00AF1DC8">
        <w:rPr>
          <w:rFonts w:ascii="Narkisim" w:hAnsi="Narkisim" w:cs="Narkisim"/>
          <w:rtl/>
        </w:rPr>
        <w:t xml:space="preserve"> (אה"ע ק' יח) כתב דלר"ש הזקן [בתוד"ה סתם] ניחא, דבגרושה אין איסור מעוברת, ובעינן טעם הבחנה. </w:t>
      </w:r>
      <w:r w:rsidRPr="00AF1DC8">
        <w:rPr>
          <w:rFonts w:ascii="Narkisim" w:hAnsi="Narkisim" w:cs="Narkisim"/>
          <w:i/>
          <w:iCs/>
          <w:rtl/>
        </w:rPr>
        <w:t>ועוד</w:t>
      </w:r>
      <w:r w:rsidRPr="00AF1DC8">
        <w:rPr>
          <w:rFonts w:ascii="Narkisim" w:hAnsi="Narkisim" w:cs="Narkisim"/>
          <w:rtl/>
        </w:rPr>
        <w:t xml:space="preserve"> דן דבחדשי הבחנה הוה ספק האם הוא בנו, א"כ חייס עליו [והאריך בזה]. </w:t>
      </w:r>
      <w:r w:rsidRPr="00AF1DC8">
        <w:rPr>
          <w:rFonts w:ascii="Narkisim" w:hAnsi="Narkisim" w:cs="Narkisim"/>
          <w:i/>
          <w:iCs/>
          <w:rtl/>
        </w:rPr>
        <w:t>ועוד</w:t>
      </w:r>
      <w:r w:rsidRPr="00AF1DC8">
        <w:rPr>
          <w:rFonts w:ascii="Narkisim" w:hAnsi="Narkisim" w:cs="Narkisim"/>
          <w:rtl/>
        </w:rPr>
        <w:t xml:space="preserve"> כתב הנוב"י דבגר וגיורת ל"ש הך טעם. </w:t>
      </w:r>
      <w:r w:rsidRPr="00AF1DC8">
        <w:rPr>
          <w:rFonts w:ascii="Narkisim" w:hAnsi="Narkisim" w:cs="Narkisim"/>
          <w:sz w:val="20"/>
          <w:szCs w:val="20"/>
          <w:rtl/>
        </w:rPr>
        <w:t>וה</w:t>
      </w:r>
      <w:r w:rsidRPr="00AF1DC8">
        <w:rPr>
          <w:rFonts w:ascii="Narkisim" w:hAnsi="Narkisim" w:cs="Narkisim"/>
          <w:b/>
          <w:bCs/>
          <w:sz w:val="20"/>
          <w:szCs w:val="20"/>
          <w:rtl/>
        </w:rPr>
        <w:t>אבנ"מ</w:t>
      </w:r>
      <w:r w:rsidRPr="00AF1DC8">
        <w:rPr>
          <w:rFonts w:ascii="Narkisim" w:hAnsi="Narkisim" w:cs="Narkisim"/>
          <w:sz w:val="20"/>
          <w:szCs w:val="20"/>
          <w:rtl/>
        </w:rPr>
        <w:t xml:space="preserve"> (יג א) חלק דהבחנה דזרע הנזרע בקדושה חמיר טפי [כמ"ש תוס' לז. ד”ה צריכין], וא”כ למה לחדש הבחנה בין זרעו של ראשון</w:t>
      </w:r>
      <w:r w:rsidRPr="00AF1DC8">
        <w:rPr>
          <w:rFonts w:ascii="Narkisim" w:hAnsi="Narkisim" w:cs="Narkisim"/>
          <w:sz w:val="20"/>
          <w:szCs w:val="20"/>
        </w:rPr>
        <w:t>.</w:t>
      </w:r>
    </w:p>
    <w:p w14:paraId="47798761" w14:textId="77777777" w:rsidR="006074A5" w:rsidRPr="00AF1DC8" w:rsidRDefault="006074A5" w:rsidP="006074A5">
      <w:pPr>
        <w:bidi/>
        <w:rPr>
          <w:rFonts w:ascii="Narkisim" w:hAnsi="Narkisim" w:cs="Narkisim"/>
        </w:rPr>
      </w:pPr>
      <w:r w:rsidRPr="00AF1DC8">
        <w:rPr>
          <w:rFonts w:ascii="Narkisim" w:hAnsi="Narkisim" w:cs="Narkisim"/>
          <w:rtl/>
        </w:rPr>
        <w:t>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 w:val="20"/>
          <w:szCs w:val="20"/>
          <w:rtl/>
        </w:rPr>
        <w:t>(יא כה)</w:t>
      </w:r>
      <w:r w:rsidRPr="00AF1DC8">
        <w:rPr>
          <w:rFonts w:ascii="Narkisim" w:hAnsi="Narkisim" w:cs="Narkisim"/>
          <w:rtl/>
        </w:rPr>
        <w:t xml:space="preserve"> כת' הטעם במעוברת שמא יזיק הולד בשעת תשמיש, ורק במניקה כתב הטעם שמא יתעכר החלב וכו'. </w:t>
      </w:r>
      <w:r w:rsidRPr="00AF1DC8">
        <w:rPr>
          <w:rFonts w:ascii="Narkisim" w:hAnsi="Narkisim" w:cs="Narkisim"/>
          <w:sz w:val="20"/>
          <w:szCs w:val="20"/>
          <w:rtl/>
        </w:rPr>
        <w:t>וה</w:t>
      </w:r>
      <w:r w:rsidRPr="00AF1DC8">
        <w:rPr>
          <w:rFonts w:ascii="Narkisim" w:hAnsi="Narkisim" w:cs="Narkisim"/>
          <w:b/>
          <w:bCs/>
          <w:sz w:val="20"/>
          <w:szCs w:val="20"/>
          <w:rtl/>
        </w:rPr>
        <w:t>כס"מ</w:t>
      </w:r>
      <w:r w:rsidRPr="00AF1DC8">
        <w:rPr>
          <w:rFonts w:ascii="Narkisim" w:hAnsi="Narkisim" w:cs="Narkisim"/>
          <w:sz w:val="20"/>
          <w:szCs w:val="20"/>
          <w:rtl/>
        </w:rPr>
        <w:t xml:space="preserve"> כתב דהרמב"ם לא גרס 'אלא', ומהדר לפי דעת המקשה. והביא בשם ה</w:t>
      </w:r>
      <w:r w:rsidRPr="00AF1DC8">
        <w:rPr>
          <w:rFonts w:ascii="Narkisim" w:hAnsi="Narkisim" w:cs="Narkisim"/>
          <w:b/>
          <w:bCs/>
          <w:sz w:val="20"/>
          <w:szCs w:val="20"/>
          <w:rtl/>
        </w:rPr>
        <w:t xml:space="preserve">מהרי"ק </w:t>
      </w:r>
      <w:r w:rsidRPr="00AF1DC8">
        <w:rPr>
          <w:rFonts w:ascii="Narkisim" w:hAnsi="Narkisim" w:cs="Narkisim"/>
          <w:sz w:val="20"/>
          <w:szCs w:val="20"/>
          <w:rtl/>
        </w:rPr>
        <w:t>(קלט) דמינקת אינה שייך בכל הנשים</w:t>
      </w:r>
      <w:r w:rsidRPr="00AF1DC8">
        <w:rPr>
          <w:rFonts w:ascii="Narkisim" w:hAnsi="Narkisim" w:cs="Narkisim"/>
          <w:sz w:val="20"/>
          <w:szCs w:val="20"/>
        </w:rPr>
        <w:t>.</w:t>
      </w:r>
    </w:p>
    <w:p w14:paraId="1C4B7559" w14:textId="77777777" w:rsidR="006074A5" w:rsidRPr="00AF1DC8" w:rsidRDefault="006074A5" w:rsidP="006074A5">
      <w:pPr>
        <w:bidi/>
        <w:rPr>
          <w:rFonts w:ascii="Narkisim" w:hAnsi="Narkisim" w:cs="Narkisim"/>
        </w:rPr>
      </w:pPr>
      <w:r w:rsidRPr="00AF1DC8">
        <w:rPr>
          <w:rFonts w:ascii="Narkisim" w:hAnsi="Narkisim" w:cs="Narkisim"/>
          <w:u w:val="single"/>
          <w:rtl/>
        </w:rPr>
        <w:t>תוד"ה סתם.</w:t>
      </w:r>
      <w:r w:rsidRPr="00AF1DC8">
        <w:rPr>
          <w:rFonts w:ascii="Narkisim" w:hAnsi="Narkisim" w:cs="Narkisim"/>
          <w:rtl/>
        </w:rPr>
        <w:t xml:space="preserve"> ר"ש זקינו של רשב"א היה אומר דגרושה מינקת מותרת לינשא, דלא משתעבדה להניק וכו'. </w:t>
      </w:r>
      <w:r w:rsidRPr="00AF1DC8">
        <w:rPr>
          <w:rFonts w:ascii="Narkisim" w:hAnsi="Narkisim" w:cs="Narkisim"/>
          <w:sz w:val="20"/>
          <w:szCs w:val="20"/>
          <w:rtl/>
        </w:rPr>
        <w:t>[לכאורה משמע דהתקנה משום שעבוד הבעל</w:t>
      </w:r>
      <w:r w:rsidRPr="00AF1DC8">
        <w:rPr>
          <w:rStyle w:val="ac"/>
          <w:rFonts w:ascii="Narkisim" w:hAnsi="Narkisim" w:cs="Narkisim"/>
          <w:sz w:val="20"/>
          <w:szCs w:val="20"/>
          <w:rtl/>
        </w:rPr>
        <w:footnoteReference w:id="2497"/>
      </w:r>
      <w:r w:rsidRPr="00AF1DC8">
        <w:rPr>
          <w:rFonts w:ascii="Narkisim" w:hAnsi="Narkisim" w:cs="Narkisim"/>
          <w:sz w:val="20"/>
          <w:szCs w:val="20"/>
        </w:rPr>
        <w:t xml:space="preserve">. </w:t>
      </w:r>
      <w:r w:rsidRPr="00AF1DC8">
        <w:rPr>
          <w:rFonts w:ascii="Narkisim" w:hAnsi="Narkisim" w:cs="Narkisim"/>
          <w:sz w:val="20"/>
          <w:szCs w:val="20"/>
          <w:rtl/>
        </w:rPr>
        <w:t>ו</w:t>
      </w:r>
      <w:r w:rsidRPr="00AF1DC8">
        <w:rPr>
          <w:rFonts w:ascii="Narkisim" w:hAnsi="Narkisim" w:cs="Narkisim"/>
          <w:b/>
          <w:bCs/>
          <w:sz w:val="20"/>
          <w:szCs w:val="20"/>
          <w:rtl/>
        </w:rPr>
        <w:t>רע"א</w:t>
      </w:r>
      <w:r w:rsidRPr="00AF1DC8">
        <w:rPr>
          <w:rFonts w:ascii="Narkisim" w:hAnsi="Narkisim" w:cs="Narkisim"/>
          <w:sz w:val="20"/>
          <w:szCs w:val="20"/>
          <w:rtl/>
        </w:rPr>
        <w:t xml:space="preserve"> (ק צה) חלק דהתקנה אינה משום הפקעת שעבוד</w:t>
      </w:r>
      <w:r w:rsidRPr="00AF1DC8">
        <w:rPr>
          <w:rStyle w:val="ac"/>
          <w:rFonts w:ascii="Narkisim" w:hAnsi="Narkisim" w:cs="Narkisim"/>
          <w:sz w:val="20"/>
          <w:szCs w:val="20"/>
          <w:rtl/>
        </w:rPr>
        <w:footnoteReference w:id="2498"/>
      </w:r>
      <w:r w:rsidRPr="00AF1DC8">
        <w:rPr>
          <w:rFonts w:ascii="Narkisim" w:hAnsi="Narkisim" w:cs="Narkisim"/>
          <w:sz w:val="20"/>
          <w:szCs w:val="20"/>
        </w:rPr>
        <w:t xml:space="preserve">, </w:t>
      </w:r>
      <w:r w:rsidRPr="00AF1DC8">
        <w:rPr>
          <w:rFonts w:ascii="Narkisim" w:hAnsi="Narkisim" w:cs="Narkisim"/>
          <w:sz w:val="20"/>
          <w:szCs w:val="20"/>
          <w:rtl/>
        </w:rPr>
        <w:t>ועיקר הטעם משום העובר. אלא דאם אינה משועבדת אינה נקראת בשם מינקת 'חבירו', ומש"ה אינה בכלל התקנה]</w:t>
      </w:r>
      <w:r w:rsidRPr="00AF1DC8">
        <w:rPr>
          <w:rFonts w:ascii="Narkisim" w:hAnsi="Narkisim" w:cs="Narkisim"/>
          <w:sz w:val="20"/>
          <w:szCs w:val="20"/>
        </w:rPr>
        <w:t>.</w:t>
      </w:r>
    </w:p>
    <w:p w14:paraId="15E19A65"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w:t>
      </w:r>
      <w:r w:rsidRPr="00AF1DC8">
        <w:rPr>
          <w:rFonts w:ascii="Narkisim" w:hAnsi="Narkisim"/>
          <w:sz w:val="20"/>
          <w:szCs w:val="20"/>
          <w:rtl/>
        </w:rPr>
        <w:t>(כאן, ובכתובות ס פי' יותר)</w:t>
      </w:r>
      <w:r w:rsidRPr="00AF1DC8">
        <w:rPr>
          <w:rFonts w:ascii="Narkisim" w:hAnsi="Narkisim"/>
          <w:rtl/>
        </w:rPr>
        <w:t xml:space="preserve"> מבואר דסברת ר"ש הזקן דבגרושה הבעל קיים וממסמס בצים וחלב. וה</w:t>
      </w:r>
      <w:r w:rsidRPr="00AF1DC8">
        <w:rPr>
          <w:rFonts w:ascii="Narkisim" w:hAnsi="Narkisim"/>
          <w:b/>
          <w:bCs/>
          <w:rtl/>
        </w:rPr>
        <w:t xml:space="preserve">ריטב"א </w:t>
      </w:r>
      <w:r w:rsidRPr="00AF1DC8">
        <w:rPr>
          <w:rFonts w:ascii="Narkisim" w:hAnsi="Narkisim"/>
          <w:rtl/>
        </w:rPr>
        <w:t xml:space="preserve">הוסיף דגרושה לא כסיפא למיתבע לבעל. </w:t>
      </w:r>
      <w:r w:rsidRPr="00AF1DC8">
        <w:rPr>
          <w:rFonts w:ascii="Narkisim" w:hAnsi="Narkisim"/>
          <w:sz w:val="20"/>
          <w:szCs w:val="20"/>
          <w:rtl/>
        </w:rPr>
        <w:t>[ו</w:t>
      </w:r>
      <w:r w:rsidRPr="00AF1DC8">
        <w:rPr>
          <w:rFonts w:ascii="Narkisim" w:hAnsi="Narkisim"/>
          <w:b/>
          <w:bCs/>
          <w:sz w:val="20"/>
          <w:szCs w:val="20"/>
          <w:rtl/>
        </w:rPr>
        <w:t xml:space="preserve">רע"א </w:t>
      </w:r>
      <w:r w:rsidRPr="00AF1DC8">
        <w:rPr>
          <w:rFonts w:ascii="Narkisim" w:hAnsi="Narkisim"/>
          <w:sz w:val="20"/>
          <w:szCs w:val="20"/>
          <w:rtl/>
        </w:rPr>
        <w:t>הביא מדבריהם דעיקר טעם ר”ש הזקן דאינה נחשבת מינקת 'חבירו', דלא מסתבר דהראשונים ימציאו טעמים שונים לגמרי לדברי הר"ש</w:t>
      </w:r>
      <w:r w:rsidRPr="00AF1DC8">
        <w:rPr>
          <w:rStyle w:val="ac"/>
          <w:rFonts w:ascii="Narkisim" w:hAnsi="Narkisim"/>
          <w:sz w:val="20"/>
          <w:szCs w:val="20"/>
          <w:rtl/>
        </w:rPr>
        <w:footnoteReference w:id="2499"/>
      </w:r>
      <w:r w:rsidRPr="00AF1DC8">
        <w:rPr>
          <w:rFonts w:ascii="Narkisim" w:hAnsi="Narkisim"/>
          <w:sz w:val="20"/>
          <w:szCs w:val="20"/>
          <w:rtl/>
        </w:rPr>
        <w:t>]</w:t>
      </w:r>
      <w:r w:rsidRPr="00AF1DC8">
        <w:rPr>
          <w:rFonts w:ascii="Narkisim" w:hAnsi="Narkisim"/>
          <w:sz w:val="20"/>
          <w:szCs w:val="20"/>
        </w:rPr>
        <w:t>.</w:t>
      </w:r>
    </w:p>
    <w:p w14:paraId="0AECDDFA" w14:textId="77777777" w:rsidR="006074A5" w:rsidRPr="00AF1DC8" w:rsidRDefault="006074A5" w:rsidP="006074A5">
      <w:pPr>
        <w:pStyle w:val="aa"/>
        <w:bidi/>
        <w:rPr>
          <w:rFonts w:ascii="Narkisim" w:hAnsi="Narkisim"/>
        </w:rPr>
      </w:pPr>
      <w:r w:rsidRPr="00AF1DC8">
        <w:rPr>
          <w:rFonts w:ascii="Narkisim" w:hAnsi="Narkisim"/>
          <w:u w:val="single"/>
          <w:rtl/>
        </w:rPr>
        <w:t>בא"ד כדאמרי' (כתובות נט:) נתגרשה אינה כופה</w:t>
      </w:r>
      <w:r w:rsidRPr="00AF1DC8">
        <w:rPr>
          <w:rFonts w:ascii="Narkisim" w:hAnsi="Narkisim"/>
          <w:rtl/>
        </w:rPr>
        <w:t>. אך בגמ' (שם ס:) מבואר דה"מ כשאינו מכירה, אבל היכא דהתחילה להניק ומכירתו צריכה להניק</w:t>
      </w:r>
      <w:r w:rsidRPr="00AF1DC8">
        <w:rPr>
          <w:rStyle w:val="ac"/>
          <w:rFonts w:ascii="Narkisim" w:hAnsi="Narkisim"/>
          <w:rtl/>
        </w:rPr>
        <w:footnoteReference w:id="2500"/>
      </w:r>
      <w:r w:rsidRPr="00AF1DC8">
        <w:rPr>
          <w:rFonts w:ascii="Narkisim" w:hAnsi="Narkisim"/>
        </w:rPr>
        <w:t xml:space="preserve">. </w:t>
      </w:r>
      <w:r w:rsidRPr="00AF1DC8">
        <w:rPr>
          <w:rFonts w:ascii="Narkisim" w:hAnsi="Narkisim"/>
          <w:rtl/>
        </w:rPr>
        <w:t>ועפ"ז פסק ה</w:t>
      </w:r>
      <w:r w:rsidRPr="00AF1DC8">
        <w:rPr>
          <w:rFonts w:ascii="Narkisim" w:hAnsi="Narkisim"/>
          <w:b/>
          <w:bCs/>
          <w:rtl/>
        </w:rPr>
        <w:t>רשב"א</w:t>
      </w:r>
      <w:r w:rsidRPr="00AF1DC8">
        <w:rPr>
          <w:rFonts w:ascii="Narkisim" w:hAnsi="Narkisim"/>
          <w:rtl/>
        </w:rPr>
        <w:t xml:space="preserve"> דגרושה אם עדיין אינו מכירה מותרת לינשא, </w:t>
      </w:r>
      <w:r w:rsidRPr="00AF1DC8">
        <w:rPr>
          <w:rFonts w:ascii="Narkisim" w:hAnsi="Narkisim"/>
          <w:rtl/>
        </w:rPr>
        <w:lastRenderedPageBreak/>
        <w:t>דאינה משועבדת להניק [וכדעת הר"ש במקצת]</w:t>
      </w:r>
      <w:r w:rsidRPr="00AF1DC8">
        <w:rPr>
          <w:rStyle w:val="ac"/>
          <w:rFonts w:ascii="Narkisim" w:hAnsi="Narkisim"/>
          <w:rtl/>
        </w:rPr>
        <w:footnoteReference w:id="2501"/>
      </w:r>
      <w:r w:rsidRPr="00AF1DC8">
        <w:rPr>
          <w:rFonts w:ascii="Narkisim" w:hAnsi="Narkisim"/>
        </w:rPr>
        <w:t>.</w:t>
      </w:r>
    </w:p>
    <w:p w14:paraId="3C0C65A9" w14:textId="77777777" w:rsidR="006074A5" w:rsidRPr="00AF1DC8" w:rsidRDefault="006074A5" w:rsidP="006074A5">
      <w:pPr>
        <w:pStyle w:val="aa"/>
        <w:bidi/>
        <w:rPr>
          <w:rFonts w:ascii="Narkisim" w:hAnsi="Narkisim"/>
        </w:rPr>
      </w:pPr>
      <w:r w:rsidRPr="00AF1DC8">
        <w:rPr>
          <w:rFonts w:ascii="Narkisim" w:hAnsi="Narkisim"/>
          <w:u w:val="single"/>
          <w:rtl/>
        </w:rPr>
        <w:t>בא"ד ואין נראה לר"ת דהא למאי דבעי דהוה בעי למימר וכו'.</w:t>
      </w:r>
      <w:r w:rsidRPr="00AF1DC8">
        <w:rPr>
          <w:rFonts w:ascii="Narkisim" w:hAnsi="Narkisim"/>
          <w:rtl/>
        </w:rPr>
        <w:t xml:space="preserve"> בפשוטו כוונת התוס' דלמסקנא מעוברת הוה מדין מינקת, ולר"ש הזקן בגרושה מותרת. ובזה הקשו בתוס' דלס”ד אף מעוברת גרושה אסורה [וכ”כ ב</w:t>
      </w:r>
      <w:r w:rsidRPr="00AF1DC8">
        <w:rPr>
          <w:rFonts w:ascii="Narkisim" w:hAnsi="Narkisim"/>
          <w:b/>
          <w:bCs/>
          <w:rtl/>
        </w:rPr>
        <w:t>פנ”י</w:t>
      </w:r>
      <w:r w:rsidRPr="00AF1DC8">
        <w:rPr>
          <w:rFonts w:ascii="Narkisim" w:hAnsi="Narkisim"/>
          <w:rtl/>
        </w:rPr>
        <w:t xml:space="preserve"> כתובות ס]. אבל </w:t>
      </w:r>
      <w:r w:rsidRPr="00AF1DC8">
        <w:rPr>
          <w:rFonts w:ascii="Narkisim" w:hAnsi="Narkisim"/>
          <w:b/>
          <w:bCs/>
          <w:rtl/>
        </w:rPr>
        <w:t>רע”א</w:t>
      </w:r>
      <w:r w:rsidRPr="00AF1DC8">
        <w:rPr>
          <w:rFonts w:ascii="Narkisim" w:hAnsi="Narkisim"/>
          <w:rtl/>
        </w:rPr>
        <w:t xml:space="preserve"> דייק דקושיית התוס' להוכיח דאף לשון מינקת קאי אגרושה, והוה בכלל התקנה</w:t>
      </w:r>
      <w:r w:rsidRPr="00AF1DC8">
        <w:rPr>
          <w:rFonts w:ascii="Narkisim" w:hAnsi="Narkisim"/>
        </w:rPr>
        <w:t>.</w:t>
      </w:r>
    </w:p>
    <w:p w14:paraId="42A4D3D2" w14:textId="77777777" w:rsidR="006074A5" w:rsidRPr="00AF1DC8" w:rsidRDefault="006074A5" w:rsidP="006074A5">
      <w:pPr>
        <w:pStyle w:val="a8"/>
        <w:bidi/>
        <w:rPr>
          <w:rFonts w:ascii="Narkisim" w:hAnsi="Narkisim"/>
        </w:rPr>
      </w:pPr>
      <w:r w:rsidRPr="00AF1DC8">
        <w:rPr>
          <w:rFonts w:ascii="Narkisim" w:hAnsi="Narkisim"/>
        </w:rPr>
        <w:t>[</w:t>
      </w:r>
      <w:r w:rsidRPr="00AF1DC8">
        <w:rPr>
          <w:rFonts w:ascii="Narkisim" w:hAnsi="Narkisim"/>
          <w:rtl/>
        </w:rPr>
        <w:t>ונחלקו ה</w:t>
      </w:r>
      <w:r w:rsidRPr="00AF1DC8">
        <w:rPr>
          <w:rFonts w:ascii="Narkisim" w:hAnsi="Narkisim"/>
          <w:b/>
          <w:bCs/>
          <w:rtl/>
        </w:rPr>
        <w:t>ראשונים</w:t>
      </w:r>
      <w:r w:rsidRPr="00AF1DC8">
        <w:rPr>
          <w:rFonts w:ascii="Narkisim" w:hAnsi="Narkisim"/>
          <w:rtl/>
        </w:rPr>
        <w:t xml:space="preserve"> בדעת הר"ש לענין מעוברת גרושה, ותליא בקושיית התוס</w:t>
      </w:r>
      <w:r w:rsidRPr="00AF1DC8">
        <w:rPr>
          <w:rFonts w:ascii="Narkisim" w:hAnsi="Narkisim"/>
        </w:rPr>
        <w:t>'].</w:t>
      </w:r>
    </w:p>
    <w:p w14:paraId="485EE772" w14:textId="77777777" w:rsidR="006074A5" w:rsidRPr="00AF1DC8" w:rsidRDefault="006074A5" w:rsidP="006074A5">
      <w:pPr>
        <w:bidi/>
        <w:rPr>
          <w:rFonts w:ascii="Narkisim" w:hAnsi="Narkisim" w:cs="Narkisim"/>
        </w:rPr>
      </w:pPr>
      <w:r w:rsidRPr="00AF1DC8">
        <w:rPr>
          <w:rFonts w:ascii="Narkisim" w:hAnsi="Narkisim" w:cs="Narkisim"/>
          <w:u w:val="single"/>
          <w:rtl/>
        </w:rPr>
        <w:t>בא"ד וכ"פ בשאלתות דל"ש גרושה וכו'</w:t>
      </w:r>
      <w:r w:rsidRPr="00AF1DC8">
        <w:rPr>
          <w:rFonts w:ascii="Narkisim" w:hAnsi="Narkisim" w:cs="Narkisim"/>
          <w:rtl/>
        </w:rPr>
        <w:t xml:space="preserve">. וכ"כ </w:t>
      </w:r>
      <w:r w:rsidRPr="00AF1DC8">
        <w:rPr>
          <w:rFonts w:ascii="Narkisim" w:hAnsi="Narkisim" w:cs="Narkisim"/>
          <w:b/>
          <w:bCs/>
          <w:rtl/>
        </w:rPr>
        <w:t>רש"י</w:t>
      </w:r>
      <w:r w:rsidRPr="00AF1DC8">
        <w:rPr>
          <w:rFonts w:ascii="Narkisim" w:hAnsi="Narkisim" w:cs="Narkisim"/>
          <w:rtl/>
        </w:rPr>
        <w:t xml:space="preserve"> (סוטה כד:) או דגירשה. [עי"ש תוס' שאנץ עה"ג]. ו</w:t>
      </w:r>
      <w:r w:rsidRPr="00AF1DC8">
        <w:rPr>
          <w:rFonts w:ascii="Narkisim" w:hAnsi="Narkisim" w:cs="Narkisim"/>
          <w:b/>
          <w:bCs/>
          <w:rtl/>
        </w:rPr>
        <w:t>רע"א</w:t>
      </w:r>
      <w:r w:rsidRPr="00AF1DC8">
        <w:rPr>
          <w:rFonts w:ascii="Narkisim" w:hAnsi="Narkisim" w:cs="Narkisim"/>
          <w:rtl/>
        </w:rPr>
        <w:t xml:space="preserve"> ביאר</w:t>
      </w:r>
      <w:r w:rsidRPr="00AF1DC8">
        <w:rPr>
          <w:rStyle w:val="ac"/>
          <w:rFonts w:ascii="Narkisim" w:hAnsi="Narkisim" w:cs="Narkisim"/>
          <w:rtl/>
        </w:rPr>
        <w:footnoteReference w:id="2502"/>
      </w:r>
      <w:r w:rsidRPr="00AF1DC8">
        <w:rPr>
          <w:rFonts w:ascii="Narkisim" w:hAnsi="Narkisim" w:cs="Narkisim"/>
        </w:rPr>
        <w:t xml:space="preserve"> </w:t>
      </w:r>
      <w:r w:rsidRPr="00AF1DC8">
        <w:rPr>
          <w:rFonts w:ascii="Narkisim" w:hAnsi="Narkisim" w:cs="Narkisim"/>
          <w:rtl/>
        </w:rPr>
        <w:t>סברת ר"ת דכמו שכופין היכא דמכירה, ה"ה היכא דאינם מוצאים מינקת אחרת היא חייבת. ועוד הביא דהרא"ש סיים דאף דאינה משועבדת, מ"מ רוב נשים חסות על בניהם</w:t>
      </w:r>
      <w:r w:rsidRPr="00AF1DC8">
        <w:rPr>
          <w:rFonts w:ascii="Narkisim" w:hAnsi="Narkisim" w:cs="Narkisim"/>
        </w:rPr>
        <w:t>.</w:t>
      </w:r>
    </w:p>
    <w:p w14:paraId="7BE1D72D"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ראשונים</w:t>
      </w:r>
      <w:r w:rsidRPr="00AF1DC8">
        <w:rPr>
          <w:rFonts w:ascii="Narkisim" w:hAnsi="Narkisim" w:cs="Narkisim"/>
          <w:rtl/>
        </w:rPr>
        <w:t xml:space="preserve"> דנו בנתעברה בזנות האם אסורה לינשא כ”ד חודש. וב</w:t>
      </w:r>
      <w:r w:rsidRPr="00AF1DC8">
        <w:rPr>
          <w:rFonts w:ascii="Narkisim" w:hAnsi="Narkisim" w:cs="Narkisim"/>
          <w:b/>
          <w:bCs/>
          <w:rtl/>
        </w:rPr>
        <w:t>הג' מרדכי</w:t>
      </w:r>
      <w:r w:rsidRPr="00AF1DC8">
        <w:rPr>
          <w:rFonts w:ascii="Narkisim" w:hAnsi="Narkisim" w:cs="Narkisim"/>
          <w:rtl/>
        </w:rPr>
        <w:t xml:space="preserve"> (קו) הביא בשם </w:t>
      </w:r>
      <w:r w:rsidRPr="00AF1DC8">
        <w:rPr>
          <w:rFonts w:ascii="Narkisim" w:hAnsi="Narkisim" w:cs="Narkisim"/>
          <w:b/>
          <w:bCs/>
          <w:rtl/>
        </w:rPr>
        <w:t>ר' מרדכי טורמש"א</w:t>
      </w:r>
      <w:r w:rsidRPr="00AF1DC8">
        <w:rPr>
          <w:rFonts w:ascii="Narkisim" w:hAnsi="Narkisim" w:cs="Narkisim"/>
          <w:rtl/>
        </w:rPr>
        <w:t xml:space="preserve"> דבזנות אף לדעת ר"ת מותרת. דאין מי שיכוף אותה</w:t>
      </w:r>
      <w:r w:rsidRPr="00AF1DC8">
        <w:rPr>
          <w:rStyle w:val="ac"/>
          <w:rFonts w:ascii="Narkisim" w:hAnsi="Narkisim" w:cs="Narkisim"/>
          <w:rtl/>
        </w:rPr>
        <w:footnoteReference w:id="2503"/>
      </w:r>
      <w:r w:rsidRPr="00AF1DC8">
        <w:rPr>
          <w:rFonts w:ascii="Narkisim" w:hAnsi="Narkisim" w:cs="Narkisim"/>
        </w:rPr>
        <w:t xml:space="preserve">. </w:t>
      </w:r>
      <w:r w:rsidRPr="00AF1DC8">
        <w:rPr>
          <w:rFonts w:ascii="Narkisim" w:hAnsi="Narkisim" w:cs="Narkisim"/>
          <w:rtl/>
        </w:rPr>
        <w:t>והביא דלא הודו לו חכמים. אבל ה</w:t>
      </w:r>
      <w:r w:rsidRPr="00AF1DC8">
        <w:rPr>
          <w:rFonts w:ascii="Narkisim" w:hAnsi="Narkisim" w:cs="Narkisim"/>
          <w:b/>
          <w:bCs/>
          <w:rtl/>
        </w:rPr>
        <w:t>ריטב"א</w:t>
      </w:r>
      <w:r w:rsidRPr="00AF1DC8">
        <w:rPr>
          <w:rFonts w:ascii="Narkisim" w:hAnsi="Narkisim" w:cs="Narkisim"/>
          <w:rtl/>
        </w:rPr>
        <w:t xml:space="preserve"> (מג.) כתב דאף לדעת ר"ש הזקן מניקה מזנה אסורה לינשא</w:t>
      </w:r>
      <w:r w:rsidRPr="00AF1DC8">
        <w:rPr>
          <w:rStyle w:val="ac"/>
          <w:rFonts w:ascii="Narkisim" w:hAnsi="Narkisim" w:cs="Narkisim"/>
          <w:rtl/>
        </w:rPr>
        <w:footnoteReference w:id="2504"/>
      </w:r>
      <w:r w:rsidRPr="00AF1DC8">
        <w:rPr>
          <w:rFonts w:ascii="Narkisim" w:hAnsi="Narkisim" w:cs="Narkisim"/>
        </w:rPr>
        <w:t xml:space="preserve">, </w:t>
      </w:r>
      <w:r w:rsidRPr="00AF1DC8">
        <w:rPr>
          <w:rFonts w:ascii="Narkisim" w:hAnsi="Narkisim" w:cs="Narkisim"/>
          <w:rtl/>
        </w:rPr>
        <w:t>דכסיפא לתבוע, וחששו יותר</w:t>
      </w:r>
      <w:r w:rsidRPr="00AF1DC8">
        <w:rPr>
          <w:rFonts w:ascii="Narkisim" w:hAnsi="Narkisim" w:cs="Narkisim"/>
        </w:rPr>
        <w:t>.</w:t>
      </w:r>
    </w:p>
    <w:p w14:paraId="2208E697"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שו"ע</w:t>
      </w:r>
      <w:r w:rsidRPr="00AF1DC8">
        <w:rPr>
          <w:rFonts w:ascii="Narkisim" w:hAnsi="Narkisim"/>
          <w:rtl/>
        </w:rPr>
        <w:t xml:space="preserve"> (יג יא) פסק דבין גרושה ובין אלמנה ובין מזנה צריכה להמתין. וה</w:t>
      </w:r>
      <w:r w:rsidRPr="00AF1DC8">
        <w:rPr>
          <w:rFonts w:ascii="Narkisim" w:hAnsi="Narkisim"/>
          <w:b/>
          <w:bCs/>
          <w:rtl/>
        </w:rPr>
        <w:t>רמ"א</w:t>
      </w:r>
      <w:r w:rsidRPr="00AF1DC8">
        <w:rPr>
          <w:rFonts w:ascii="Narkisim" w:hAnsi="Narkisim"/>
          <w:rtl/>
        </w:rPr>
        <w:t xml:space="preserve"> התיר במזנה במקום חשש קלקול</w:t>
      </w:r>
      <w:r w:rsidRPr="00AF1DC8">
        <w:rPr>
          <w:rFonts w:ascii="Narkisim" w:hAnsi="Narkisim"/>
        </w:rPr>
        <w:t>.</w:t>
      </w:r>
    </w:p>
    <w:p w14:paraId="4A82F177" w14:textId="77777777" w:rsidR="006074A5" w:rsidRPr="00AF1DC8" w:rsidRDefault="006074A5" w:rsidP="006074A5">
      <w:pPr>
        <w:pStyle w:val="a8"/>
        <w:bidi/>
        <w:rPr>
          <w:rFonts w:ascii="Narkisim" w:hAnsi="Narkisim"/>
        </w:rPr>
      </w:pPr>
      <w:r w:rsidRPr="00AF1DC8">
        <w:rPr>
          <w:rFonts w:ascii="Narkisim" w:hAnsi="Narkisim"/>
          <w:rtl/>
        </w:rPr>
        <w:t>ובשו"ת ה</w:t>
      </w:r>
      <w:r w:rsidRPr="00AF1DC8">
        <w:rPr>
          <w:rFonts w:ascii="Narkisim" w:hAnsi="Narkisim"/>
          <w:b/>
          <w:bCs/>
          <w:rtl/>
        </w:rPr>
        <w:t>אחרונים</w:t>
      </w:r>
      <w:r w:rsidRPr="00AF1DC8">
        <w:rPr>
          <w:rFonts w:ascii="Narkisim" w:hAnsi="Narkisim"/>
          <w:rtl/>
        </w:rPr>
        <w:t xml:space="preserve"> (נוב"י ק' יד - כ ועוד, ע"ע פתח"ת שם) האריכו טובא בכ”ז</w:t>
      </w:r>
      <w:r w:rsidRPr="00AF1DC8">
        <w:rPr>
          <w:rFonts w:ascii="Narkisim" w:hAnsi="Narkisim"/>
        </w:rPr>
        <w:t>.</w:t>
      </w:r>
    </w:p>
    <w:p w14:paraId="1C764E6E"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דנו בדין במעוברת מנכרי, דאינה בכלל מעוברת 'חבירו'. או דכ"ש דכסיף למתבעיה [וע”ע מרדכי יט]. ודנו דאי גדר התקנה מחמת השעבוד לבעל ל"ש גזירה בנכרי, ע"כ דהוה מחמת השעבוד לולד [וע"ע בית מאיר צלעות הבית ה, ופתח"ת שם]</w:t>
      </w:r>
      <w:r w:rsidRPr="00AF1DC8">
        <w:rPr>
          <w:rFonts w:ascii="Narkisim" w:hAnsi="Narkisim"/>
        </w:rPr>
        <w:t>.</w:t>
      </w:r>
    </w:p>
    <w:p w14:paraId="01AB9088" w14:textId="77777777" w:rsidR="006074A5" w:rsidRPr="00AF1DC8" w:rsidRDefault="006074A5" w:rsidP="006074A5">
      <w:pPr>
        <w:pStyle w:val="3"/>
        <w:bidi/>
        <w:jc w:val="right"/>
        <w:rPr>
          <w:rFonts w:ascii="Narkisim" w:hAnsi="Narkisim"/>
        </w:rPr>
      </w:pPr>
      <w:r w:rsidRPr="00AF1DC8">
        <w:rPr>
          <w:rFonts w:ascii="Narkisim" w:hAnsi="Narkisim"/>
          <w:rtl/>
        </w:rPr>
        <w:t>דף מב:</w:t>
      </w:r>
    </w:p>
    <w:p w14:paraId="2DD45838" w14:textId="77777777" w:rsidR="006074A5" w:rsidRPr="00AF1DC8" w:rsidRDefault="006074A5" w:rsidP="006074A5">
      <w:pPr>
        <w:pStyle w:val="aa"/>
        <w:bidi/>
        <w:rPr>
          <w:rFonts w:ascii="Narkisim" w:hAnsi="Narkisim"/>
        </w:rPr>
      </w:pPr>
      <w:r w:rsidRPr="00AF1DC8">
        <w:rPr>
          <w:rFonts w:ascii="Narkisim" w:hAnsi="Narkisim"/>
          <w:u w:val="single"/>
          <w:rtl/>
        </w:rPr>
        <w:t>לתבעינהו ליורשים וכו'.</w:t>
      </w:r>
      <w:r w:rsidRPr="00AF1DC8">
        <w:rPr>
          <w:rFonts w:ascii="Narkisim" w:hAnsi="Narkisim"/>
          <w:rtl/>
        </w:rPr>
        <w:t xml:space="preserve"> ה</w:t>
      </w:r>
      <w:r w:rsidRPr="00AF1DC8">
        <w:rPr>
          <w:rFonts w:ascii="Narkisim" w:hAnsi="Narkisim"/>
          <w:b/>
          <w:bCs/>
          <w:rtl/>
        </w:rPr>
        <w:t>ש"ך</w:t>
      </w:r>
      <w:r w:rsidRPr="00AF1DC8">
        <w:rPr>
          <w:rFonts w:ascii="Narkisim" w:hAnsi="Narkisim"/>
          <w:rtl/>
        </w:rPr>
        <w:t xml:space="preserve"> (ס' גבורת אנשים, הו' ברע"א) הקשה דפעמים שלא ירשו נכסים, ואי"צ לשלם מזונות דהוה חובת אביהם. ונימא דמש"ה לא פלוג אף כשיש נכסים. ורע"א הביא לתרץ דקו' הגמ' לר' יוסי דגבי רדופה ל"ל לא פלוג</w:t>
      </w:r>
      <w:r w:rsidRPr="00AF1DC8">
        <w:rPr>
          <w:rFonts w:ascii="Narkisim" w:hAnsi="Narkisim"/>
        </w:rPr>
        <w:t>.</w:t>
      </w:r>
    </w:p>
    <w:p w14:paraId="464939A2" w14:textId="77777777" w:rsidR="006074A5" w:rsidRPr="00AF1DC8" w:rsidRDefault="006074A5" w:rsidP="006074A5">
      <w:pPr>
        <w:pStyle w:val="aa"/>
        <w:bidi/>
        <w:rPr>
          <w:rFonts w:ascii="Narkisim" w:hAnsi="Narkisim"/>
        </w:rPr>
      </w:pPr>
      <w:r w:rsidRPr="00AF1DC8">
        <w:rPr>
          <w:rFonts w:ascii="Narkisim" w:hAnsi="Narkisim"/>
          <w:u w:val="single"/>
          <w:rtl/>
        </w:rPr>
        <w:t>הי ניהו בתולות והי ניהו ארוסות וכו'</w:t>
      </w:r>
      <w:r w:rsidRPr="00AF1DC8">
        <w:rPr>
          <w:rFonts w:ascii="Narkisim" w:hAnsi="Narkisim"/>
          <w:rtl/>
        </w:rPr>
        <w:t>. פ</w:t>
      </w:r>
      <w:r w:rsidRPr="00AF1DC8">
        <w:rPr>
          <w:rFonts w:ascii="Narkisim" w:hAnsi="Narkisim"/>
          <w:b/>
          <w:bCs/>
          <w:rtl/>
        </w:rPr>
        <w:t>רש"י</w:t>
      </w:r>
      <w:r w:rsidRPr="00AF1DC8">
        <w:rPr>
          <w:rFonts w:ascii="Narkisim" w:hAnsi="Narkisim"/>
          <w:rtl/>
        </w:rPr>
        <w:t xml:space="preserve"> דהיכי משכח"ל בתולה, וע"כ בארוסה</w:t>
      </w:r>
      <w:r w:rsidRPr="00AF1DC8">
        <w:rPr>
          <w:rStyle w:val="ac"/>
          <w:rFonts w:ascii="Narkisim" w:hAnsi="Narkisim"/>
          <w:rtl/>
        </w:rPr>
        <w:footnoteReference w:id="2505"/>
      </w:r>
      <w:r w:rsidRPr="00AF1DC8">
        <w:rPr>
          <w:rFonts w:ascii="Narkisim" w:hAnsi="Narkisim"/>
        </w:rPr>
        <w:t xml:space="preserve">. </w:t>
      </w:r>
      <w:r w:rsidRPr="00AF1DC8">
        <w:rPr>
          <w:rFonts w:ascii="Narkisim" w:hAnsi="Narkisim"/>
          <w:rtl/>
        </w:rPr>
        <w:t>[ויל”ד הא משכח"ל נכנסה לחופה ולא נבעלה</w:t>
      </w:r>
      <w:r w:rsidRPr="00AF1DC8">
        <w:rPr>
          <w:rStyle w:val="ac"/>
          <w:rFonts w:ascii="Narkisim" w:hAnsi="Narkisim"/>
          <w:rtl/>
        </w:rPr>
        <w:footnoteReference w:id="2506"/>
      </w:r>
      <w:r w:rsidRPr="00AF1DC8">
        <w:rPr>
          <w:rFonts w:ascii="Narkisim" w:hAnsi="Narkisim"/>
          <w:rtl/>
        </w:rPr>
        <w:t>]</w:t>
      </w:r>
      <w:r w:rsidRPr="00AF1DC8">
        <w:rPr>
          <w:rFonts w:ascii="Narkisim" w:hAnsi="Narkisim"/>
        </w:rPr>
        <w:t>.</w:t>
      </w:r>
    </w:p>
    <w:p w14:paraId="0234CBCE" w14:textId="77777777" w:rsidR="006074A5" w:rsidRPr="00AF1DC8" w:rsidRDefault="006074A5" w:rsidP="006074A5">
      <w:pPr>
        <w:pStyle w:val="aa"/>
        <w:bidi/>
        <w:rPr>
          <w:rFonts w:ascii="Narkisim" w:hAnsi="Narkisim"/>
        </w:rPr>
      </w:pPr>
      <w:r w:rsidRPr="00AF1DC8">
        <w:rPr>
          <w:rFonts w:ascii="Narkisim" w:hAnsi="Narkisim"/>
          <w:u w:val="single"/>
          <w:rtl/>
        </w:rPr>
        <w:t>והתניא הרי שהיתה רדופה</w:t>
      </w:r>
      <w:r w:rsidRPr="00AF1DC8">
        <w:rPr>
          <w:rStyle w:val="ac"/>
          <w:rFonts w:ascii="Narkisim" w:hAnsi="Narkisim"/>
          <w:u w:val="single"/>
          <w:rtl/>
        </w:rPr>
        <w:footnoteReference w:id="2507"/>
      </w:r>
      <w:r w:rsidRPr="00AF1DC8">
        <w:rPr>
          <w:rFonts w:ascii="Narkisim" w:hAnsi="Narkisim"/>
          <w:u w:val="single"/>
        </w:rPr>
        <w:t xml:space="preserve"> </w:t>
      </w:r>
      <w:r w:rsidRPr="00AF1DC8">
        <w:rPr>
          <w:rFonts w:ascii="Narkisim" w:hAnsi="Narkisim"/>
          <w:u w:val="single"/>
          <w:rtl/>
        </w:rPr>
        <w:t>וכו' ר' יהודה מתיר</w:t>
      </w:r>
      <w:r w:rsidRPr="00AF1DC8">
        <w:rPr>
          <w:rFonts w:ascii="Narkisim" w:hAnsi="Narkisim"/>
          <w:rtl/>
        </w:rPr>
        <w:t xml:space="preserve"> [כ”ג ב</w:t>
      </w:r>
      <w:r w:rsidRPr="00AF1DC8">
        <w:rPr>
          <w:rFonts w:ascii="Narkisim" w:hAnsi="Narkisim"/>
          <w:b/>
          <w:bCs/>
          <w:rtl/>
        </w:rPr>
        <w:t xml:space="preserve">תוס' </w:t>
      </w:r>
      <w:r w:rsidRPr="00AF1DC8">
        <w:rPr>
          <w:rFonts w:ascii="Narkisim" w:hAnsi="Narkisim"/>
          <w:rtl/>
        </w:rPr>
        <w:t>ד”ה הלכה, וכ”כ ה</w:t>
      </w:r>
      <w:r w:rsidRPr="00AF1DC8">
        <w:rPr>
          <w:rFonts w:ascii="Narkisim" w:hAnsi="Narkisim"/>
          <w:b/>
          <w:bCs/>
          <w:rtl/>
        </w:rPr>
        <w:t>רשב”א</w:t>
      </w:r>
      <w:r w:rsidRPr="00AF1DC8">
        <w:rPr>
          <w:rFonts w:ascii="Narkisim" w:hAnsi="Narkisim"/>
          <w:rtl/>
        </w:rPr>
        <w:t>]. ובגמ' (כתובות ס:) גרסי' ר' יוסי</w:t>
      </w:r>
      <w:r w:rsidRPr="00AF1DC8">
        <w:rPr>
          <w:rFonts w:ascii="Narkisim" w:hAnsi="Narkisim"/>
        </w:rPr>
        <w:t>.</w:t>
      </w:r>
    </w:p>
    <w:p w14:paraId="3E7B4A0B" w14:textId="77777777" w:rsidR="006074A5" w:rsidRPr="00AF1DC8" w:rsidRDefault="006074A5" w:rsidP="006074A5">
      <w:pPr>
        <w:pStyle w:val="a8"/>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(לעיל לד: ד”ה אבל) הקשו לגי' ר' יהודה, דר' יהודה גזר בגיורת קטנה. וה</w:t>
      </w:r>
      <w:r w:rsidRPr="00AF1DC8">
        <w:rPr>
          <w:rFonts w:ascii="Narkisim" w:hAnsi="Narkisim"/>
          <w:b/>
          <w:bCs/>
          <w:rtl/>
        </w:rPr>
        <w:t>רמב”ן</w:t>
      </w:r>
      <w:r w:rsidRPr="00AF1DC8">
        <w:rPr>
          <w:rFonts w:ascii="Narkisim" w:hAnsi="Narkisim"/>
          <w:rtl/>
        </w:rPr>
        <w:t xml:space="preserve"> (בסוגיין) הוכיח דהגירסא ר' יוסי. ותוס' תי' דהבחנה דגיורת חמיר. [אבל לשמואל שם בת ישראל חמיר, וגיורת לא גזר]</w:t>
      </w:r>
      <w:r w:rsidRPr="00AF1DC8">
        <w:rPr>
          <w:rFonts w:ascii="Narkisim" w:hAnsi="Narkisim"/>
        </w:rPr>
        <w:t>.</w:t>
      </w:r>
    </w:p>
    <w:p w14:paraId="1AD46849" w14:textId="77777777" w:rsidR="006074A5" w:rsidRPr="00AF1DC8" w:rsidRDefault="006074A5" w:rsidP="006074A5">
      <w:pPr>
        <w:bidi/>
        <w:rPr>
          <w:rFonts w:ascii="Narkisim" w:hAnsi="Narkisim" w:cs="Narkisim"/>
        </w:rPr>
      </w:pPr>
      <w:r w:rsidRPr="00AF1DC8">
        <w:rPr>
          <w:rFonts w:ascii="Narkisim" w:hAnsi="Narkisim" w:cs="Narkisim"/>
          <w:u w:val="single"/>
          <w:rtl/>
        </w:rPr>
        <w:t>א"ל דרמא לך וכו' סתם ואח"כ מח' היא.</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דהא איפליגו עלה ר' יוסי ור"י. ה</w:t>
      </w:r>
      <w:r w:rsidRPr="00AF1DC8">
        <w:rPr>
          <w:rFonts w:ascii="Narkisim" w:hAnsi="Narkisim" w:cs="Narkisim"/>
          <w:b/>
          <w:bCs/>
          <w:rtl/>
        </w:rPr>
        <w:t>ראשונים</w:t>
      </w:r>
      <w:r w:rsidRPr="00AF1DC8">
        <w:rPr>
          <w:rFonts w:ascii="Narkisim" w:hAnsi="Narkisim" w:cs="Narkisim"/>
          <w:rtl/>
        </w:rPr>
        <w:t xml:space="preserve"> הביאו דמבואר דאף היכא דנח' בצידה באותו משנה נחשב סתם ואח"כ מח'</w:t>
      </w:r>
      <w:r w:rsidRPr="00AF1DC8">
        <w:rPr>
          <w:rStyle w:val="ac"/>
          <w:rFonts w:ascii="Narkisim" w:hAnsi="Narkisim" w:cs="Narkisim"/>
          <w:rtl/>
        </w:rPr>
        <w:footnoteReference w:id="2508"/>
      </w:r>
      <w:r w:rsidRPr="00AF1DC8">
        <w:rPr>
          <w:rFonts w:ascii="Narkisim" w:hAnsi="Narkisim" w:cs="Narkisim"/>
          <w:rtl/>
        </w:rPr>
        <w:t>. והקשו מריש ביצה (הו' ב</w:t>
      </w:r>
      <w:r w:rsidRPr="00AF1DC8">
        <w:rPr>
          <w:rFonts w:ascii="Narkisim" w:hAnsi="Narkisim" w:cs="Narkisim"/>
          <w:b/>
          <w:bCs/>
          <w:rtl/>
        </w:rPr>
        <w:t>תוס</w:t>
      </w:r>
      <w:r w:rsidRPr="00AF1DC8">
        <w:rPr>
          <w:rFonts w:ascii="Narkisim" w:hAnsi="Narkisim" w:cs="Narkisim"/>
          <w:rtl/>
        </w:rPr>
        <w:t>' ד"ה סתם) דאמרי' סתם לן תנא. וה</w:t>
      </w:r>
      <w:r w:rsidRPr="00AF1DC8">
        <w:rPr>
          <w:rFonts w:ascii="Narkisim" w:hAnsi="Narkisim" w:cs="Narkisim"/>
          <w:b/>
          <w:bCs/>
          <w:rtl/>
        </w:rPr>
        <w:t>מאירי</w:t>
      </w:r>
      <w:r w:rsidRPr="00AF1DC8">
        <w:rPr>
          <w:rFonts w:ascii="Narkisim" w:hAnsi="Narkisim" w:cs="Narkisim"/>
          <w:rtl/>
        </w:rPr>
        <w:t xml:space="preserve"> חילק דהכא אחר הסתם יש מח' של ב' תנאים. ואילו בביצה הוזכר תנא א' שחולק על ת"ק</w:t>
      </w:r>
      <w:r w:rsidRPr="00AF1DC8">
        <w:rPr>
          <w:rFonts w:ascii="Narkisim" w:hAnsi="Narkisim" w:cs="Narkisim"/>
        </w:rPr>
        <w:t>.</w:t>
      </w:r>
    </w:p>
    <w:p w14:paraId="61B16C4B" w14:textId="77777777" w:rsidR="006074A5" w:rsidRPr="00AF1DC8" w:rsidRDefault="006074A5" w:rsidP="006074A5">
      <w:pPr>
        <w:pStyle w:val="aa"/>
        <w:bidi/>
        <w:rPr>
          <w:rFonts w:ascii="Narkisim" w:hAnsi="Narkisim"/>
        </w:rPr>
      </w:pPr>
      <w:r w:rsidRPr="00AF1DC8">
        <w:rPr>
          <w:rFonts w:ascii="Narkisim" w:hAnsi="Narkisim"/>
          <w:u w:val="single"/>
          <w:rtl/>
        </w:rPr>
        <w:t>רש"י ד"ה מחלוקת.</w:t>
      </w:r>
      <w:r w:rsidRPr="00AF1DC8">
        <w:rPr>
          <w:rFonts w:ascii="Narkisim" w:hAnsi="Narkisim"/>
          <w:rtl/>
        </w:rPr>
        <w:t xml:space="preserve"> במסכת אחרת באותו הסדר. ה</w:t>
      </w:r>
      <w:r w:rsidRPr="00AF1DC8">
        <w:rPr>
          <w:rFonts w:ascii="Narkisim" w:hAnsi="Narkisim"/>
          <w:b/>
          <w:bCs/>
          <w:rtl/>
        </w:rPr>
        <w:t>רש”ש</w:t>
      </w:r>
      <w:r w:rsidRPr="00AF1DC8">
        <w:rPr>
          <w:rFonts w:ascii="Narkisim" w:hAnsi="Narkisim"/>
          <w:rtl/>
        </w:rPr>
        <w:t xml:space="preserve"> דייק מזה דב' סדרים יש סדר למשנה. וכ"כ ה</w:t>
      </w:r>
      <w:r w:rsidRPr="00AF1DC8">
        <w:rPr>
          <w:rFonts w:ascii="Narkisim" w:hAnsi="Narkisim"/>
          <w:b/>
          <w:bCs/>
          <w:rtl/>
        </w:rPr>
        <w:t>ערול"נ.</w:t>
      </w:r>
      <w:r w:rsidRPr="00AF1DC8">
        <w:rPr>
          <w:rFonts w:ascii="Narkisim" w:hAnsi="Narkisim"/>
          <w:rtl/>
        </w:rPr>
        <w:t xml:space="preserve"> וע' </w:t>
      </w:r>
      <w:r w:rsidRPr="00AF1DC8">
        <w:rPr>
          <w:rFonts w:ascii="Narkisim" w:hAnsi="Narkisim"/>
          <w:b/>
          <w:bCs/>
          <w:rtl/>
        </w:rPr>
        <w:t>פור"י</w:t>
      </w:r>
      <w:r w:rsidRPr="00AF1DC8">
        <w:rPr>
          <w:rFonts w:ascii="Narkisim" w:hAnsi="Narkisim"/>
          <w:b/>
          <w:bCs/>
        </w:rPr>
        <w:t>.</w:t>
      </w:r>
    </w:p>
    <w:p w14:paraId="6E9466CA" w14:textId="77777777" w:rsidR="006074A5" w:rsidRPr="00AF1DC8" w:rsidRDefault="006074A5" w:rsidP="006074A5">
      <w:pPr>
        <w:bidi/>
        <w:rPr>
          <w:rFonts w:ascii="Narkisim" w:hAnsi="Narkisim" w:cs="Narkisim"/>
        </w:rPr>
      </w:pPr>
      <w:r w:rsidRPr="00AF1DC8">
        <w:rPr>
          <w:rFonts w:ascii="Narkisim" w:hAnsi="Narkisim" w:cs="Narkisim"/>
          <w:u w:val="single"/>
          <w:rtl/>
        </w:rPr>
        <w:t>סתם ואח"כ מח' אין הלכה כסתם.</w:t>
      </w:r>
      <w:r w:rsidRPr="00AF1DC8">
        <w:rPr>
          <w:rFonts w:ascii="Narkisim" w:hAnsi="Narkisim" w:cs="Narkisim"/>
          <w:rtl/>
        </w:rPr>
        <w:t xml:space="preserve"> </w:t>
      </w:r>
      <w:r w:rsidRPr="00AF1DC8">
        <w:rPr>
          <w:rFonts w:ascii="Narkisim" w:hAnsi="Narkisim" w:cs="Narkisim"/>
          <w:b/>
          <w:bCs/>
          <w:sz w:val="20"/>
          <w:szCs w:val="20"/>
          <w:rtl/>
        </w:rPr>
        <w:t xml:space="preserve">רשב"ם </w:t>
      </w:r>
      <w:r w:rsidRPr="00AF1DC8">
        <w:rPr>
          <w:rFonts w:ascii="Narkisim" w:hAnsi="Narkisim" w:cs="Narkisim"/>
          <w:sz w:val="20"/>
          <w:szCs w:val="20"/>
          <w:rtl/>
        </w:rPr>
        <w:t>(ב"ב קכב:) ביאר דרבי חזר בו מהמשנה הראשונה, ומשנה ראשונה לא זזה ממקומה</w:t>
      </w:r>
      <w:r w:rsidRPr="00AF1DC8">
        <w:rPr>
          <w:rFonts w:ascii="Narkisim" w:hAnsi="Narkisim" w:cs="Narkisim"/>
          <w:sz w:val="20"/>
          <w:szCs w:val="20"/>
        </w:rPr>
        <w:t>.</w:t>
      </w:r>
    </w:p>
    <w:p w14:paraId="4E3842A7" w14:textId="77777777" w:rsidR="006074A5" w:rsidRPr="00AF1DC8" w:rsidRDefault="006074A5" w:rsidP="006074A5">
      <w:pPr>
        <w:pStyle w:val="a7"/>
        <w:bidi/>
        <w:rPr>
          <w:rFonts w:ascii="Narkisim" w:hAnsi="Narkisim"/>
        </w:rPr>
      </w:pPr>
      <w:r w:rsidRPr="00AF1DC8">
        <w:rPr>
          <w:rFonts w:ascii="Narkisim" w:hAnsi="Narkisim"/>
          <w:rtl/>
        </w:rPr>
        <w:lastRenderedPageBreak/>
        <w:t>וה</w:t>
      </w:r>
      <w:r w:rsidRPr="00AF1DC8">
        <w:rPr>
          <w:rFonts w:ascii="Narkisim" w:hAnsi="Narkisim"/>
          <w:b/>
          <w:bCs/>
          <w:rtl/>
        </w:rPr>
        <w:t>רמב"ן</w:t>
      </w:r>
      <w:r w:rsidRPr="00AF1DC8">
        <w:rPr>
          <w:rFonts w:ascii="Narkisim" w:hAnsi="Narkisim"/>
          <w:rtl/>
        </w:rPr>
        <w:t xml:space="preserve"> (ושא"ר, וכ"כ שו"ת הרשב"א א קיד) כתב דכוונת הגמ' דאינו נקרא סתם דנימא הלכה כמותו, אבל לא הוה כלל דנפסק הלכה דלא כמתני'. וכן מבואר בתוס' דיתכן דקי"ל כוותיה. ותוס' כת' עוד דתנא קמא חשיב רבים. אבל ה</w:t>
      </w:r>
      <w:r w:rsidRPr="00AF1DC8">
        <w:rPr>
          <w:rFonts w:ascii="Narkisim" w:hAnsi="Narkisim"/>
          <w:b/>
          <w:bCs/>
          <w:rtl/>
        </w:rPr>
        <w:t>רש"ש</w:t>
      </w:r>
      <w:r w:rsidRPr="00AF1DC8">
        <w:rPr>
          <w:rFonts w:ascii="Narkisim" w:hAnsi="Narkisim"/>
          <w:rtl/>
        </w:rPr>
        <w:t xml:space="preserve"> (כריתות יא:) הביא דמבואר בדברי ה</w:t>
      </w:r>
      <w:r w:rsidRPr="00AF1DC8">
        <w:rPr>
          <w:rFonts w:ascii="Narkisim" w:hAnsi="Narkisim"/>
          <w:b/>
          <w:bCs/>
          <w:rtl/>
        </w:rPr>
        <w:t>תו"י</w:t>
      </w:r>
      <w:r w:rsidRPr="00AF1DC8">
        <w:rPr>
          <w:rFonts w:ascii="Narkisim" w:hAnsi="Narkisim"/>
          <w:rtl/>
        </w:rPr>
        <w:t xml:space="preserve"> (שם) דאין הלכה כלל כסתם</w:t>
      </w:r>
      <w:r w:rsidRPr="00AF1DC8">
        <w:rPr>
          <w:rFonts w:ascii="Narkisim" w:hAnsi="Narkisim"/>
        </w:rPr>
        <w:t>.</w:t>
      </w:r>
    </w:p>
    <w:p w14:paraId="5F61D077" w14:textId="77777777" w:rsidR="006074A5" w:rsidRPr="00AF1DC8" w:rsidRDefault="006074A5" w:rsidP="006074A5">
      <w:pPr>
        <w:bidi/>
        <w:rPr>
          <w:rFonts w:ascii="Narkisim" w:hAnsi="Narkisim" w:cs="Narkisim"/>
        </w:rPr>
      </w:pPr>
      <w:r w:rsidRPr="00AF1DC8">
        <w:rPr>
          <w:rFonts w:ascii="Narkisim" w:hAnsi="Narkisim" w:cs="Narkisim"/>
          <w:u w:val="single"/>
          <w:rtl/>
        </w:rPr>
        <w:t>מח' ואח"כ סתם וכו' הלכה כסתם.</w:t>
      </w:r>
      <w:r w:rsidRPr="00AF1DC8">
        <w:rPr>
          <w:rFonts w:ascii="Narkisim" w:hAnsi="Narkisim" w:cs="Narkisim"/>
          <w:rtl/>
        </w:rPr>
        <w:t xml:space="preserve"> ה</w:t>
      </w:r>
      <w:r w:rsidRPr="00AF1DC8">
        <w:rPr>
          <w:rFonts w:ascii="Narkisim" w:hAnsi="Narkisim" w:cs="Narkisim"/>
          <w:b/>
          <w:bCs/>
          <w:rtl/>
        </w:rPr>
        <w:t>רשב"א</w:t>
      </w:r>
      <w:r w:rsidRPr="00AF1DC8">
        <w:rPr>
          <w:rFonts w:ascii="Narkisim" w:hAnsi="Narkisim" w:cs="Narkisim"/>
          <w:rtl/>
        </w:rPr>
        <w:t xml:space="preserve"> (ב"ק קב.) כתב דאף דבעלמא נח' האמוראים אי הוה כלל דהלכה כסתם משנה. והוה אמוראי אף אליבא דר' יוחנן. מ"מ היכא דיש מח' ואח"כ סתם כו"ע מודו דרבי סתם המשנה לפסוק הלכה</w:t>
      </w:r>
      <w:r w:rsidRPr="00AF1DC8">
        <w:rPr>
          <w:rStyle w:val="ac"/>
          <w:rFonts w:ascii="Narkisim" w:hAnsi="Narkisim" w:cs="Narkisim"/>
          <w:rtl/>
        </w:rPr>
        <w:footnoteReference w:id="2509"/>
      </w:r>
      <w:r w:rsidRPr="00AF1DC8">
        <w:rPr>
          <w:rFonts w:ascii="Narkisim" w:hAnsi="Narkisim" w:cs="Narkisim"/>
        </w:rPr>
        <w:t xml:space="preserve">. </w:t>
      </w:r>
      <w:r w:rsidRPr="00AF1DC8">
        <w:rPr>
          <w:rFonts w:ascii="Narkisim" w:hAnsi="Narkisim" w:cs="Narkisim"/>
          <w:rtl/>
        </w:rPr>
        <w:t xml:space="preserve">ורבי חזר והכריע ודקדק הרבה בדבר. והאחרונים דנו בזה. </w:t>
      </w:r>
      <w:r w:rsidRPr="00AF1DC8">
        <w:rPr>
          <w:rFonts w:ascii="Narkisim" w:hAnsi="Narkisim" w:cs="Narkisim"/>
          <w:sz w:val="20"/>
          <w:szCs w:val="20"/>
          <w:rtl/>
        </w:rPr>
        <w:t>ובתוס' בסו"ד דנו אף לשמואל וע' אחרונים</w:t>
      </w:r>
      <w:r w:rsidRPr="00AF1DC8">
        <w:rPr>
          <w:rFonts w:ascii="Narkisim" w:hAnsi="Narkisim" w:cs="Narkisim"/>
          <w:sz w:val="20"/>
          <w:szCs w:val="20"/>
        </w:rPr>
        <w:t>.</w:t>
      </w:r>
    </w:p>
    <w:p w14:paraId="4687503A" w14:textId="77777777" w:rsidR="006074A5" w:rsidRPr="00AF1DC8" w:rsidRDefault="006074A5" w:rsidP="006074A5">
      <w:pPr>
        <w:pStyle w:val="aa"/>
        <w:bidi/>
        <w:rPr>
          <w:rFonts w:ascii="Narkisim" w:hAnsi="Narkisim"/>
        </w:rPr>
      </w:pPr>
      <w:r w:rsidRPr="00AF1DC8">
        <w:rPr>
          <w:rFonts w:ascii="Narkisim" w:hAnsi="Narkisim"/>
          <w:u w:val="single"/>
          <w:rtl/>
        </w:rPr>
        <w:t>תוד"ה סתם.</w:t>
      </w:r>
      <w:r w:rsidRPr="00AF1DC8">
        <w:rPr>
          <w:rFonts w:ascii="Narkisim" w:hAnsi="Narkisim"/>
          <w:rtl/>
        </w:rPr>
        <w:t xml:space="preserve"> מ"מ חשיב כרבים לגבי יחיד</w:t>
      </w:r>
      <w:r w:rsidRPr="00AF1DC8">
        <w:rPr>
          <w:rStyle w:val="ac"/>
          <w:rFonts w:ascii="Narkisim" w:hAnsi="Narkisim"/>
          <w:rtl/>
        </w:rPr>
        <w:footnoteReference w:id="2510"/>
      </w:r>
      <w:r w:rsidRPr="00AF1DC8">
        <w:rPr>
          <w:rFonts w:ascii="Narkisim" w:hAnsi="Narkisim"/>
        </w:rPr>
        <w:t xml:space="preserve">. </w:t>
      </w:r>
      <w:r w:rsidRPr="00AF1DC8">
        <w:rPr>
          <w:rFonts w:ascii="Narkisim" w:hAnsi="Narkisim"/>
          <w:rtl/>
        </w:rPr>
        <w:t xml:space="preserve">אבל </w:t>
      </w:r>
      <w:r w:rsidRPr="00AF1DC8">
        <w:rPr>
          <w:rFonts w:ascii="Narkisim" w:hAnsi="Narkisim"/>
          <w:b/>
          <w:bCs/>
          <w:rtl/>
        </w:rPr>
        <w:t>תוס'</w:t>
      </w:r>
      <w:r w:rsidRPr="00AF1DC8">
        <w:rPr>
          <w:rFonts w:ascii="Narkisim" w:hAnsi="Narkisim"/>
          <w:rtl/>
        </w:rPr>
        <w:t xml:space="preserve"> (ב"ב קכב:) כת' דשמא היכא דאין המח' סמוך לו גרע טפי [ולא נחשב כרבים גבי יחיד], דאיכא למימר חזר בו רבי מהסתם</w:t>
      </w:r>
      <w:r w:rsidRPr="00AF1DC8">
        <w:rPr>
          <w:rStyle w:val="ac"/>
          <w:rFonts w:ascii="Narkisim" w:hAnsi="Narkisim"/>
          <w:rtl/>
        </w:rPr>
        <w:footnoteReference w:id="2511"/>
      </w:r>
      <w:r w:rsidRPr="00AF1DC8">
        <w:rPr>
          <w:rFonts w:ascii="Narkisim" w:hAnsi="Narkisim"/>
        </w:rPr>
        <w:t>.</w:t>
      </w:r>
    </w:p>
    <w:p w14:paraId="501DA998" w14:textId="77777777" w:rsidR="006074A5" w:rsidRPr="00AF1DC8" w:rsidRDefault="006074A5" w:rsidP="006074A5">
      <w:pPr>
        <w:pStyle w:val="3"/>
        <w:bidi/>
        <w:rPr>
          <w:rFonts w:ascii="Narkisim" w:hAnsi="Narkisim"/>
        </w:rPr>
      </w:pPr>
      <w:r w:rsidRPr="00AF1DC8">
        <w:rPr>
          <w:rFonts w:ascii="Narkisim" w:hAnsi="Narkisim"/>
          <w:rtl/>
        </w:rPr>
        <w:t>דף מג</w:t>
      </w:r>
      <w:r w:rsidRPr="00AF1DC8">
        <w:rPr>
          <w:rFonts w:ascii="Narkisim" w:hAnsi="Narkisim"/>
        </w:rPr>
        <w:t>.</w:t>
      </w:r>
    </w:p>
    <w:p w14:paraId="1D0014F9" w14:textId="77777777" w:rsidR="006074A5" w:rsidRPr="00AF1DC8" w:rsidRDefault="006074A5" w:rsidP="006074A5">
      <w:pPr>
        <w:bidi/>
        <w:rPr>
          <w:rFonts w:ascii="Narkisim" w:hAnsi="Narkisim" w:cs="Narkisim"/>
        </w:rPr>
      </w:pPr>
      <w:r w:rsidRPr="00AF1DC8">
        <w:rPr>
          <w:rFonts w:ascii="Narkisim" w:hAnsi="Narkisim" w:cs="Narkisim"/>
          <w:u w:val="single"/>
          <w:rtl/>
        </w:rPr>
        <w:t>א"ל והא תנן מסרק וכו' אין הלכה כאותו משנה וכו'</w:t>
      </w:r>
      <w:r w:rsidRPr="00AF1DC8">
        <w:rPr>
          <w:rFonts w:ascii="Narkisim" w:hAnsi="Narkisim" w:cs="Narkisim"/>
          <w:rtl/>
        </w:rPr>
        <w:t>. לא נתבאר בגמ' במה אין הלכה כמתני' [ובמה פליגי אר' שמעון]. וה</w:t>
      </w:r>
      <w:r w:rsidRPr="00AF1DC8">
        <w:rPr>
          <w:rFonts w:ascii="Narkisim" w:hAnsi="Narkisim" w:cs="Narkisim"/>
          <w:b/>
          <w:bCs/>
          <w:rtl/>
        </w:rPr>
        <w:t>רמב"ם</w:t>
      </w:r>
      <w:r w:rsidRPr="00AF1DC8">
        <w:rPr>
          <w:rFonts w:ascii="Narkisim" w:hAnsi="Narkisim" w:cs="Narkisim"/>
          <w:rtl/>
        </w:rPr>
        <w:t xml:space="preserve"> (כלים יא ד) העתיק את המשנה כצורתו, אלא שהשמיט החילוק דגוייתא וברייתא. וה</w:t>
      </w:r>
      <w:r w:rsidRPr="00AF1DC8">
        <w:rPr>
          <w:rFonts w:ascii="Narkisim" w:hAnsi="Narkisim" w:cs="Narkisim"/>
          <w:b/>
          <w:bCs/>
          <w:rtl/>
        </w:rPr>
        <w:t>כס"מ</w:t>
      </w:r>
      <w:r w:rsidRPr="00AF1DC8">
        <w:rPr>
          <w:rFonts w:ascii="Narkisim" w:hAnsi="Narkisim" w:cs="Narkisim"/>
          <w:rtl/>
        </w:rPr>
        <w:t xml:space="preserve"> תמה אמאי השמיט חילוק זה. ועוד דאמרי' (בסמוך) דאין הלכה כהך משנה</w:t>
      </w:r>
      <w:r w:rsidRPr="00AF1DC8">
        <w:rPr>
          <w:rStyle w:val="ac"/>
          <w:rFonts w:ascii="Narkisim" w:hAnsi="Narkisim" w:cs="Narkisim"/>
          <w:rtl/>
        </w:rPr>
        <w:footnoteReference w:id="2512"/>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קר"א</w:t>
      </w:r>
      <w:r w:rsidRPr="00AF1DC8">
        <w:rPr>
          <w:rFonts w:ascii="Narkisim" w:hAnsi="Narkisim" w:cs="Narkisim"/>
          <w:rtl/>
        </w:rPr>
        <w:t xml:space="preserve"> כתב דמבואר ברמב"ם דרק בהך בבא אין הלכה כסתם</w:t>
      </w:r>
      <w:r w:rsidRPr="00AF1DC8">
        <w:rPr>
          <w:rFonts w:ascii="Narkisim" w:hAnsi="Narkisim" w:cs="Narkisim"/>
        </w:rPr>
        <w:t>.</w:t>
      </w:r>
    </w:p>
    <w:p w14:paraId="2731456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הביא דב</w:t>
      </w:r>
      <w:r w:rsidRPr="00AF1DC8">
        <w:rPr>
          <w:rFonts w:ascii="Narkisim" w:hAnsi="Narkisim"/>
          <w:b/>
          <w:bCs/>
          <w:rtl/>
        </w:rPr>
        <w:t>תוספתא</w:t>
      </w:r>
      <w:r w:rsidRPr="00AF1DC8">
        <w:rPr>
          <w:rFonts w:ascii="Narkisim" w:hAnsi="Narkisim"/>
          <w:rtl/>
        </w:rPr>
        <w:t xml:space="preserve"> נח' רבנן ור' שמעון בנטלה שן א', אי בעינן יחוד. וביאר דהמח' בתוספתא קאי בקטניתא [וכחילוק רב פפא בסמוך], וכן גם המשנה. והרמב"ם פסק כדברי המשנה רק באלימתא</w:t>
      </w:r>
      <w:r w:rsidRPr="00AF1DC8">
        <w:rPr>
          <w:rFonts w:ascii="Narkisim" w:hAnsi="Narkisim"/>
        </w:rPr>
        <w:t>.</w:t>
      </w:r>
    </w:p>
    <w:p w14:paraId="283FB1E5" w14:textId="77777777" w:rsidR="006074A5" w:rsidRPr="00AF1DC8" w:rsidRDefault="006074A5" w:rsidP="006074A5">
      <w:pPr>
        <w:pStyle w:val="aa"/>
        <w:bidi/>
        <w:rPr>
          <w:rFonts w:ascii="Narkisim" w:hAnsi="Narkisim"/>
        </w:rPr>
      </w:pPr>
      <w:r w:rsidRPr="00AF1DC8">
        <w:rPr>
          <w:rFonts w:ascii="Narkisim" w:hAnsi="Narkisim"/>
          <w:u w:val="single"/>
          <w:rtl/>
        </w:rPr>
        <w:t>מסרק של פשתן וכו' ונשתיירו בו ב' טמאות וכו' של צמר וכו' נשתייר בו ג' במקו"א טמא וכו</w:t>
      </w:r>
      <w:r w:rsidRPr="00AF1DC8">
        <w:rPr>
          <w:rFonts w:ascii="Narkisim" w:hAnsi="Narkisim"/>
          <w:rtl/>
        </w:rPr>
        <w:t>'. [ויל"ד במסרק פשתן האם סגי ב' אפי' רחוקים זה מזה</w:t>
      </w:r>
      <w:r w:rsidRPr="00AF1DC8">
        <w:rPr>
          <w:rStyle w:val="ac"/>
          <w:rFonts w:ascii="Narkisim" w:hAnsi="Narkisim"/>
          <w:rtl/>
        </w:rPr>
        <w:footnoteReference w:id="2513"/>
      </w:r>
      <w:r w:rsidRPr="00AF1DC8">
        <w:rPr>
          <w:rFonts w:ascii="Narkisim" w:hAnsi="Narkisim"/>
        </w:rPr>
        <w:t xml:space="preserve">. </w:t>
      </w:r>
      <w:r w:rsidRPr="00AF1DC8">
        <w:rPr>
          <w:rFonts w:ascii="Narkisim" w:hAnsi="Narkisim"/>
          <w:rtl/>
        </w:rPr>
        <w:t>או דכוונת הגמ' דוקא סמוכים, וע' בסמוך]. ובפשוטו מבואר דיש חילוק בין מלאכת סירוק פשתן לצמר</w:t>
      </w:r>
      <w:r w:rsidRPr="00AF1DC8">
        <w:rPr>
          <w:rStyle w:val="ac"/>
          <w:rFonts w:ascii="Narkisim" w:hAnsi="Narkisim"/>
          <w:rtl/>
        </w:rPr>
        <w:footnoteReference w:id="2514"/>
      </w:r>
      <w:r w:rsidRPr="00AF1DC8">
        <w:rPr>
          <w:rFonts w:ascii="Narkisim" w:hAnsi="Narkisim"/>
        </w:rPr>
        <w:t>.</w:t>
      </w:r>
    </w:p>
    <w:p w14:paraId="2E986A3F" w14:textId="77777777" w:rsidR="006074A5" w:rsidRPr="00AF1DC8" w:rsidRDefault="006074A5" w:rsidP="006074A5">
      <w:pPr>
        <w:pStyle w:val="a8"/>
        <w:bidi/>
        <w:rPr>
          <w:rFonts w:ascii="Narkisim" w:hAnsi="Narkisim"/>
        </w:rPr>
      </w:pPr>
      <w:r w:rsidRPr="00AF1DC8">
        <w:rPr>
          <w:rFonts w:ascii="Narkisim" w:hAnsi="Narkisim"/>
          <w:rtl/>
        </w:rPr>
        <w:t>אך מסקנת הגמ' יש חילוק בין גוייתא ובתרייתא, ומבואר ב</w:t>
      </w:r>
      <w:r w:rsidRPr="00AF1DC8">
        <w:rPr>
          <w:rFonts w:ascii="Narkisim" w:hAnsi="Narkisim"/>
          <w:b/>
          <w:bCs/>
          <w:rtl/>
        </w:rPr>
        <w:t>גר”א</w:t>
      </w:r>
      <w:r w:rsidRPr="00AF1DC8">
        <w:rPr>
          <w:rFonts w:ascii="Narkisim" w:hAnsi="Narkisim"/>
          <w:rtl/>
        </w:rPr>
        <w:t xml:space="preserve"> (כלים שם) שנקט דבפשתן איירי בגוייתא הסמוכים זה לזה דסגי בב</w:t>
      </w:r>
      <w:r w:rsidRPr="00AF1DC8">
        <w:rPr>
          <w:rFonts w:ascii="Narkisim" w:hAnsi="Narkisim"/>
        </w:rPr>
        <w:t>'.</w:t>
      </w:r>
    </w:p>
    <w:p w14:paraId="2830B460" w14:textId="77777777" w:rsidR="006074A5" w:rsidRPr="00AF1DC8" w:rsidRDefault="006074A5" w:rsidP="006074A5">
      <w:pPr>
        <w:pStyle w:val="aa"/>
        <w:bidi/>
        <w:rPr>
          <w:rFonts w:ascii="Narkisim" w:hAnsi="Narkisim"/>
        </w:rPr>
      </w:pPr>
      <w:r w:rsidRPr="00AF1DC8">
        <w:rPr>
          <w:rFonts w:ascii="Narkisim" w:hAnsi="Narkisim"/>
          <w:u w:val="single"/>
          <w:rtl/>
        </w:rPr>
        <w:t>אלא מהכא דקתני וכולן שניטלו א' א' בפנ"ע טמאות, אע"ג דלא התקינה וכו</w:t>
      </w:r>
      <w:r w:rsidRPr="00AF1DC8">
        <w:rPr>
          <w:rFonts w:ascii="Narkisim" w:hAnsi="Narkisim"/>
          <w:rtl/>
        </w:rPr>
        <w:t>'. ולכאורה הטעם כיון דמעיקרא היתה כלי, נחשב עדיין ראוי למעין מלאכה. ומש"ה אי"צ יחוד</w:t>
      </w:r>
      <w:r w:rsidRPr="00AF1DC8">
        <w:rPr>
          <w:rFonts w:ascii="Narkisim" w:hAnsi="Narkisim"/>
        </w:rPr>
        <w:t>.</w:t>
      </w:r>
    </w:p>
    <w:p w14:paraId="6F849745" w14:textId="77777777" w:rsidR="006074A5" w:rsidRPr="00AF1DC8" w:rsidRDefault="006074A5" w:rsidP="006074A5">
      <w:pPr>
        <w:pStyle w:val="aa"/>
        <w:bidi/>
        <w:rPr>
          <w:rFonts w:ascii="Narkisim" w:hAnsi="Narkisim"/>
        </w:rPr>
      </w:pPr>
      <w:r w:rsidRPr="00AF1DC8">
        <w:rPr>
          <w:rFonts w:ascii="Narkisim" w:hAnsi="Narkisim"/>
          <w:rtl/>
        </w:rPr>
        <w:t>ומסקנת הגמ' דתלי אי הוה בקתייהו, פ</w:t>
      </w:r>
      <w:r w:rsidRPr="00AF1DC8">
        <w:rPr>
          <w:rFonts w:ascii="Narkisim" w:hAnsi="Narkisim"/>
          <w:b/>
          <w:bCs/>
          <w:rtl/>
        </w:rPr>
        <w:t>רש"י</w:t>
      </w:r>
      <w:r w:rsidRPr="00AF1DC8">
        <w:rPr>
          <w:rFonts w:ascii="Narkisim" w:hAnsi="Narkisim"/>
          <w:rtl/>
        </w:rPr>
        <w:t xml:space="preserve"> דכיון שיש עמה חתיכת עץ לבית יד אי"צ תיקון אחר. ויל"ד אי הוה סברא בחשיבות. אך מדברי רש"י משמע דבעינן 'תיקון' להחשב צורת כלי. והיכא דיש לו בית יד ל"צ צורת כלי</w:t>
      </w:r>
      <w:r w:rsidRPr="00AF1DC8">
        <w:rPr>
          <w:rFonts w:ascii="Narkisim" w:hAnsi="Narkisim"/>
        </w:rPr>
        <w:t>.</w:t>
      </w:r>
    </w:p>
    <w:p w14:paraId="4CAC2E72" w14:textId="77777777" w:rsidR="006074A5" w:rsidRPr="00AF1DC8" w:rsidRDefault="006074A5" w:rsidP="006074A5">
      <w:pPr>
        <w:bidi/>
        <w:rPr>
          <w:rFonts w:ascii="Narkisim" w:hAnsi="Narkisim" w:cs="Narkisim"/>
        </w:rPr>
      </w:pPr>
      <w:r w:rsidRPr="00AF1DC8">
        <w:rPr>
          <w:rFonts w:ascii="Narkisim" w:hAnsi="Narkisim" w:cs="Narkisim"/>
          <w:u w:val="single"/>
          <w:rtl/>
        </w:rPr>
        <w:t>רובו של ראשון ורובו של אחרון ואמצעי שלם.</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הביאו מה</w:t>
      </w:r>
      <w:r w:rsidRPr="00AF1DC8">
        <w:rPr>
          <w:rFonts w:ascii="Narkisim" w:hAnsi="Narkisim" w:cs="Narkisim"/>
          <w:b/>
          <w:bCs/>
          <w:rtl/>
        </w:rPr>
        <w:t>ירושלמי</w:t>
      </w:r>
      <w:r w:rsidRPr="00AF1DC8">
        <w:rPr>
          <w:rFonts w:ascii="Narkisim" w:hAnsi="Narkisim" w:cs="Narkisim"/>
          <w:rtl/>
        </w:rPr>
        <w:t xml:space="preserve"> דהך מ"ד ס"ל דהכרת העובר ע"י רוב חודש</w:t>
      </w:r>
      <w:r w:rsidRPr="00AF1DC8">
        <w:rPr>
          <w:rStyle w:val="ac"/>
          <w:rFonts w:ascii="Narkisim" w:hAnsi="Narkisim" w:cs="Narkisim"/>
          <w:rtl/>
        </w:rPr>
        <w:footnoteReference w:id="2515"/>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קר"א</w:t>
      </w:r>
      <w:r w:rsidRPr="00AF1DC8">
        <w:rPr>
          <w:rFonts w:ascii="Narkisim" w:hAnsi="Narkisim" w:cs="Narkisim"/>
          <w:rtl/>
        </w:rPr>
        <w:t xml:space="preserve"> דייק דהתירו רק לארס, אבל לנישואין גזרו, ולא סמכו על רובו של חודש</w:t>
      </w:r>
      <w:r w:rsidRPr="00AF1DC8">
        <w:rPr>
          <w:rStyle w:val="ac"/>
          <w:rFonts w:ascii="Narkisim" w:hAnsi="Narkisim" w:cs="Narkisim"/>
          <w:rtl/>
        </w:rPr>
        <w:footnoteReference w:id="2516"/>
      </w:r>
      <w:r w:rsidRPr="00AF1DC8">
        <w:rPr>
          <w:rFonts w:ascii="Narkisim" w:hAnsi="Narkisim" w:cs="Narkisim"/>
        </w:rPr>
        <w:t>.</w:t>
      </w:r>
    </w:p>
    <w:p w14:paraId="047EB956" w14:textId="77777777" w:rsidR="006074A5" w:rsidRPr="00AF1DC8" w:rsidRDefault="006074A5" w:rsidP="006074A5">
      <w:pPr>
        <w:pStyle w:val="aa"/>
        <w:bidi/>
        <w:rPr>
          <w:rFonts w:ascii="Narkisim" w:hAnsi="Narkisim"/>
        </w:rPr>
      </w:pPr>
      <w:r w:rsidRPr="00AF1DC8">
        <w:rPr>
          <w:rFonts w:ascii="Narkisim" w:hAnsi="Narkisim"/>
          <w:u w:val="single"/>
          <w:rtl/>
        </w:rPr>
        <w:t>כ"ד חודש וכו'.</w:t>
      </w:r>
      <w:r w:rsidRPr="00AF1DC8">
        <w:rPr>
          <w:rFonts w:ascii="Narkisim" w:hAnsi="Narkisim"/>
          <w:rtl/>
        </w:rPr>
        <w:t xml:space="preserve"> ה</w:t>
      </w:r>
      <w:r w:rsidRPr="00AF1DC8">
        <w:rPr>
          <w:rFonts w:ascii="Narkisim" w:hAnsi="Narkisim"/>
          <w:b/>
          <w:bCs/>
          <w:rtl/>
        </w:rPr>
        <w:t>ראשונים</w:t>
      </w:r>
      <w:r w:rsidRPr="00AF1DC8">
        <w:rPr>
          <w:rFonts w:ascii="Narkisim" w:hAnsi="Narkisim"/>
          <w:rtl/>
        </w:rPr>
        <w:t xml:space="preserve"> (וע' </w:t>
      </w:r>
      <w:r w:rsidRPr="00AF1DC8">
        <w:rPr>
          <w:rFonts w:ascii="Narkisim" w:hAnsi="Narkisim"/>
          <w:b/>
          <w:bCs/>
          <w:rtl/>
        </w:rPr>
        <w:t>שו"ע</w:t>
      </w:r>
      <w:r w:rsidRPr="00AF1DC8">
        <w:rPr>
          <w:rFonts w:ascii="Narkisim" w:hAnsi="Narkisim"/>
          <w:rtl/>
        </w:rPr>
        <w:t xml:space="preserve"> יג יא) נח' האם חודש העיבור מהמנין, ודי בכ"ד חודש</w:t>
      </w:r>
      <w:r w:rsidRPr="00AF1DC8">
        <w:rPr>
          <w:rStyle w:val="ac"/>
          <w:rFonts w:ascii="Narkisim" w:hAnsi="Narkisim"/>
          <w:rtl/>
        </w:rPr>
        <w:footnoteReference w:id="2517"/>
      </w:r>
      <w:r w:rsidRPr="00AF1DC8">
        <w:rPr>
          <w:rFonts w:ascii="Narkisim" w:hAnsi="Narkisim"/>
        </w:rPr>
        <w:t xml:space="preserve"> </w:t>
      </w:r>
      <w:r w:rsidRPr="00AF1DC8">
        <w:rPr>
          <w:rFonts w:ascii="Narkisim" w:hAnsi="Narkisim"/>
          <w:rtl/>
        </w:rPr>
        <w:t>בלא ב' שנים</w:t>
      </w:r>
      <w:r w:rsidRPr="00AF1DC8">
        <w:rPr>
          <w:rFonts w:ascii="Narkisim" w:hAnsi="Narkisim"/>
        </w:rPr>
        <w:t>.</w:t>
      </w:r>
    </w:p>
    <w:p w14:paraId="0C98DDA1" w14:textId="77777777" w:rsidR="006074A5" w:rsidRPr="00AF1DC8" w:rsidRDefault="006074A5" w:rsidP="006074A5">
      <w:pPr>
        <w:pStyle w:val="aa"/>
        <w:bidi/>
        <w:rPr>
          <w:rFonts w:ascii="Narkisim" w:hAnsi="Narkisim"/>
        </w:rPr>
      </w:pPr>
      <w:r w:rsidRPr="00AF1DC8">
        <w:rPr>
          <w:rFonts w:ascii="Narkisim" w:hAnsi="Narkisim"/>
          <w:u w:val="single"/>
          <w:rtl/>
        </w:rPr>
        <w:t>וצריכה להמתין ג' חדשים חוץ מיום וכו'</w:t>
      </w:r>
      <w:r w:rsidRPr="00AF1DC8">
        <w:rPr>
          <w:rFonts w:ascii="Narkisim" w:hAnsi="Narkisim"/>
          <w:rtl/>
        </w:rPr>
        <w:t>. ויש מקומות שהלשון צ' יום. [ולא סגי בחדשים חסרים, אפי' א' מלא וא' חסר]. וכ"פ ה</w:t>
      </w:r>
      <w:r w:rsidRPr="00AF1DC8">
        <w:rPr>
          <w:rFonts w:ascii="Narkisim" w:hAnsi="Narkisim"/>
          <w:b/>
          <w:bCs/>
          <w:rtl/>
        </w:rPr>
        <w:t>פוסקים</w:t>
      </w:r>
      <w:r w:rsidRPr="00AF1DC8">
        <w:rPr>
          <w:rFonts w:ascii="Narkisim" w:hAnsi="Narkisim"/>
          <w:rtl/>
        </w:rPr>
        <w:t xml:space="preserve"> (רמב”ם גירושין יא כ, שו”ע יג א). וה</w:t>
      </w:r>
      <w:r w:rsidRPr="00AF1DC8">
        <w:rPr>
          <w:rFonts w:ascii="Narkisim" w:hAnsi="Narkisim"/>
          <w:b/>
          <w:bCs/>
          <w:rtl/>
        </w:rPr>
        <w:t>גר”א</w:t>
      </w:r>
      <w:r w:rsidRPr="00AF1DC8">
        <w:rPr>
          <w:rFonts w:ascii="Narkisim" w:hAnsi="Narkisim"/>
          <w:rtl/>
        </w:rPr>
        <w:t xml:space="preserve"> ציין המקור מהירושלמי דאי' הן ועיבוריהן</w:t>
      </w:r>
      <w:r w:rsidRPr="00AF1DC8">
        <w:rPr>
          <w:rFonts w:ascii="Narkisim" w:hAnsi="Narkisim"/>
        </w:rPr>
        <w:t>.</w:t>
      </w:r>
    </w:p>
    <w:p w14:paraId="5F7B249B" w14:textId="77777777" w:rsidR="006074A5" w:rsidRPr="00AF1DC8" w:rsidRDefault="006074A5" w:rsidP="006074A5">
      <w:pPr>
        <w:pStyle w:val="aa"/>
        <w:bidi/>
        <w:rPr>
          <w:rFonts w:ascii="Narkisim" w:hAnsi="Narkisim"/>
        </w:rPr>
      </w:pPr>
      <w:r w:rsidRPr="00AF1DC8">
        <w:rPr>
          <w:rFonts w:ascii="Narkisim" w:hAnsi="Narkisim"/>
          <w:u w:val="single"/>
          <w:rtl/>
        </w:rPr>
        <w:lastRenderedPageBreak/>
        <w:t>רש"י ד"ה מקום.</w:t>
      </w:r>
      <w:r w:rsidRPr="00AF1DC8">
        <w:rPr>
          <w:rFonts w:ascii="Narkisim" w:hAnsi="Narkisim"/>
          <w:rtl/>
        </w:rPr>
        <w:t xml:space="preserve"> לגיהוץ תנן, אבל כיבוס לא. [וכ"כ בתוס' ד"ה שמותר]. וב</w:t>
      </w:r>
      <w:r w:rsidRPr="00AF1DC8">
        <w:rPr>
          <w:rFonts w:ascii="Narkisim" w:hAnsi="Narkisim"/>
          <w:b/>
          <w:bCs/>
          <w:rtl/>
        </w:rPr>
        <w:t>גהש"ס</w:t>
      </w:r>
      <w:r w:rsidRPr="00AF1DC8">
        <w:rPr>
          <w:rFonts w:ascii="Narkisim" w:hAnsi="Narkisim"/>
          <w:rtl/>
        </w:rPr>
        <w:t xml:space="preserve"> ציין דב</w:t>
      </w:r>
      <w:r w:rsidRPr="00AF1DC8">
        <w:rPr>
          <w:rFonts w:ascii="Narkisim" w:hAnsi="Narkisim"/>
          <w:b/>
          <w:bCs/>
          <w:rtl/>
        </w:rPr>
        <w:t>רש”י</w:t>
      </w:r>
      <w:r w:rsidRPr="00AF1DC8">
        <w:rPr>
          <w:rFonts w:ascii="Narkisim" w:hAnsi="Narkisim"/>
          <w:rtl/>
        </w:rPr>
        <w:t xml:space="preserve"> (מו”ק יט.) מבואר דתוך ל' אסור בתכבוסת וגיהוץ. ו</w:t>
      </w:r>
      <w:r w:rsidRPr="00AF1DC8">
        <w:rPr>
          <w:rFonts w:ascii="Narkisim" w:hAnsi="Narkisim"/>
          <w:b/>
          <w:bCs/>
          <w:rtl/>
        </w:rPr>
        <w:t>תוס'</w:t>
      </w:r>
      <w:r w:rsidRPr="00AF1DC8">
        <w:rPr>
          <w:rFonts w:ascii="Narkisim" w:hAnsi="Narkisim"/>
          <w:rtl/>
        </w:rPr>
        <w:t xml:space="preserve"> (שם כג.) הביאו מסוגיין דדוקא גיהוץ אסור</w:t>
      </w:r>
      <w:r w:rsidRPr="00AF1DC8">
        <w:rPr>
          <w:rStyle w:val="ac"/>
          <w:rFonts w:ascii="Narkisim" w:hAnsi="Narkisim"/>
          <w:rtl/>
        </w:rPr>
        <w:footnoteReference w:id="2518"/>
      </w:r>
      <w:r w:rsidRPr="00AF1DC8">
        <w:rPr>
          <w:rFonts w:ascii="Narkisim" w:hAnsi="Narkisim"/>
        </w:rPr>
        <w:t xml:space="preserve">. </w:t>
      </w:r>
      <w:r w:rsidRPr="00AF1DC8">
        <w:rPr>
          <w:rFonts w:ascii="Narkisim" w:hAnsi="Narkisim"/>
          <w:rtl/>
        </w:rPr>
        <w:t>אך תוס' הביאו בשם ה</w:t>
      </w:r>
      <w:r w:rsidRPr="00AF1DC8">
        <w:rPr>
          <w:rFonts w:ascii="Narkisim" w:hAnsi="Narkisim"/>
          <w:b/>
          <w:bCs/>
          <w:rtl/>
        </w:rPr>
        <w:t>ריב"א</w:t>
      </w:r>
      <w:r w:rsidRPr="00AF1DC8">
        <w:rPr>
          <w:rFonts w:ascii="Narkisim" w:hAnsi="Narkisim"/>
          <w:rtl/>
        </w:rPr>
        <w:t xml:space="preserve"> דאיירי הכא בבא ממדינת הים וכדו' שהותר לו לכבס ולהסתפר תוך ל'</w:t>
      </w:r>
      <w:r w:rsidRPr="00AF1DC8">
        <w:rPr>
          <w:rStyle w:val="ac"/>
          <w:rFonts w:ascii="Narkisim" w:hAnsi="Narkisim"/>
          <w:rtl/>
        </w:rPr>
        <w:footnoteReference w:id="2519"/>
      </w:r>
      <w:r w:rsidRPr="00AF1DC8">
        <w:rPr>
          <w:rFonts w:ascii="Narkisim" w:hAnsi="Narkisim"/>
          <w:rtl/>
        </w:rPr>
        <w:t>. [וה</w:t>
      </w:r>
      <w:r w:rsidRPr="00AF1DC8">
        <w:rPr>
          <w:rFonts w:ascii="Narkisim" w:hAnsi="Narkisim"/>
          <w:b/>
          <w:bCs/>
          <w:rtl/>
        </w:rPr>
        <w:t>שו"ע</w:t>
      </w:r>
      <w:r w:rsidRPr="00AF1DC8">
        <w:rPr>
          <w:rFonts w:ascii="Narkisim" w:hAnsi="Narkisim"/>
          <w:rtl/>
        </w:rPr>
        <w:t xml:space="preserve"> (יו"ד שפט א) פסק דלאחר ז' מותר בכיבוס. אך הרמ"א הביא דנהגו להחמיר וכדעת הריב"א]</w:t>
      </w:r>
      <w:r w:rsidRPr="00AF1DC8">
        <w:rPr>
          <w:rFonts w:ascii="Narkisim" w:hAnsi="Narkisim"/>
        </w:rPr>
        <w:t>.</w:t>
      </w:r>
    </w:p>
    <w:p w14:paraId="12383437" w14:textId="77777777" w:rsidR="006074A5" w:rsidRPr="00AF1DC8" w:rsidRDefault="006074A5" w:rsidP="006074A5">
      <w:pPr>
        <w:bidi/>
        <w:rPr>
          <w:rFonts w:ascii="Narkisim" w:hAnsi="Narkisim" w:cs="Narkisim"/>
        </w:rPr>
      </w:pPr>
      <w:r w:rsidRPr="00AF1DC8">
        <w:rPr>
          <w:rFonts w:ascii="Narkisim" w:hAnsi="Narkisim" w:cs="Narkisim"/>
          <w:u w:val="single"/>
          <w:rtl/>
        </w:rPr>
        <w:t>תוד"ה במקום.</w:t>
      </w:r>
      <w:r w:rsidRPr="00AF1DC8">
        <w:rPr>
          <w:rFonts w:ascii="Narkisim" w:hAnsi="Narkisim" w:cs="Narkisim"/>
          <w:rtl/>
        </w:rPr>
        <w:t xml:space="preserve"> והר"י מאורליינש הביא מהך גירסא דאשה מותרת בנטילת שער. וכ"פ ה</w:t>
      </w:r>
      <w:r w:rsidRPr="00AF1DC8">
        <w:rPr>
          <w:rFonts w:ascii="Narkisim" w:hAnsi="Narkisim" w:cs="Narkisim"/>
          <w:b/>
          <w:bCs/>
          <w:rtl/>
        </w:rPr>
        <w:t>רי"ף</w:t>
      </w:r>
      <w:r w:rsidRPr="00AF1DC8">
        <w:rPr>
          <w:rFonts w:ascii="Narkisim" w:hAnsi="Narkisim" w:cs="Narkisim"/>
          <w:rtl/>
        </w:rPr>
        <w:t xml:space="preserve"> (מו"ק יד:). וה</w:t>
      </w:r>
      <w:r w:rsidRPr="00AF1DC8">
        <w:rPr>
          <w:rFonts w:ascii="Narkisim" w:hAnsi="Narkisim" w:cs="Narkisim"/>
          <w:b/>
          <w:bCs/>
          <w:rtl/>
        </w:rPr>
        <w:t>רמב"ן</w:t>
      </w:r>
      <w:r w:rsidRPr="00AF1DC8">
        <w:rPr>
          <w:rFonts w:ascii="Narkisim" w:hAnsi="Narkisim" w:cs="Narkisim"/>
          <w:rtl/>
        </w:rPr>
        <w:t xml:space="preserve"> חלק דדוקא באבילות דעלמא שייך לחלק בין איש לאשה, דאשה הוה ניוול. אבל בתשעה באב ליכא ניוול דאסור רק אותו שבוע. ולעולם אימא לך דאבילות שלושים [שלא במקום ניוול] חמור משבת של תשעה באב</w:t>
      </w:r>
      <w:r w:rsidRPr="00AF1DC8">
        <w:rPr>
          <w:rStyle w:val="ac"/>
          <w:rFonts w:ascii="Narkisim" w:hAnsi="Narkisim" w:cs="Narkisim"/>
          <w:rtl/>
        </w:rPr>
        <w:footnoteReference w:id="2520"/>
      </w:r>
      <w:r w:rsidRPr="00AF1DC8">
        <w:rPr>
          <w:rFonts w:ascii="Narkisim" w:hAnsi="Narkisim" w:cs="Narkisim"/>
        </w:rPr>
        <w:t>.</w:t>
      </w:r>
    </w:p>
    <w:p w14:paraId="1137D6A9" w14:textId="77777777" w:rsidR="006074A5" w:rsidRPr="00AF1DC8" w:rsidRDefault="006074A5" w:rsidP="006074A5">
      <w:pPr>
        <w:bidi/>
        <w:rPr>
          <w:rFonts w:ascii="Narkisim" w:hAnsi="Narkisim" w:cs="Narkisim"/>
        </w:rPr>
      </w:pPr>
      <w:r w:rsidRPr="00AF1DC8">
        <w:rPr>
          <w:rFonts w:ascii="Narkisim" w:hAnsi="Narkisim" w:cs="Narkisim"/>
          <w:u w:val="single"/>
          <w:rtl/>
        </w:rPr>
        <w:t>תוד"ה מלישא.</w:t>
      </w:r>
      <w:r w:rsidRPr="00AF1DC8">
        <w:rPr>
          <w:rFonts w:ascii="Narkisim" w:hAnsi="Narkisim" w:cs="Narkisim"/>
          <w:rtl/>
        </w:rPr>
        <w:t xml:space="preserve"> וי"מ דמשא ומתן איירי נמי בשל שמחה וכו'. וה</w:t>
      </w:r>
      <w:r w:rsidRPr="00AF1DC8">
        <w:rPr>
          <w:rFonts w:ascii="Narkisim" w:hAnsi="Narkisim" w:cs="Narkisim"/>
          <w:b/>
          <w:bCs/>
          <w:rtl/>
        </w:rPr>
        <w:t>ב"י</w:t>
      </w:r>
      <w:r w:rsidRPr="00AF1DC8">
        <w:rPr>
          <w:rFonts w:ascii="Narkisim" w:hAnsi="Narkisim" w:cs="Narkisim"/>
          <w:rtl/>
        </w:rPr>
        <w:t xml:space="preserve"> (או"ח תקנא) הביא דנהגו שלא למעט במשא ומתן, וביאר דנהגו כהך י"מ. ועוד כתב דאפשר דס"ל דהך ברייתא הוה מידת חסידות, או במקום שנהגו. (וע' בפוסקים)</w:t>
      </w:r>
      <w:r w:rsidRPr="00AF1DC8">
        <w:rPr>
          <w:rFonts w:ascii="Narkisim" w:hAnsi="Narkisim" w:cs="Narkisim"/>
        </w:rPr>
        <w:t>.</w:t>
      </w:r>
    </w:p>
    <w:p w14:paraId="2632B91C" w14:textId="77777777" w:rsidR="006074A5" w:rsidRPr="00AF1DC8" w:rsidRDefault="006074A5" w:rsidP="006074A5">
      <w:pPr>
        <w:pStyle w:val="aa"/>
        <w:bidi/>
        <w:rPr>
          <w:rFonts w:ascii="Narkisim" w:hAnsi="Narkisim"/>
        </w:rPr>
      </w:pPr>
      <w:r w:rsidRPr="00AF1DC8">
        <w:rPr>
          <w:rFonts w:ascii="Narkisim" w:hAnsi="Narkisim"/>
          <w:u w:val="single"/>
          <w:rtl/>
        </w:rPr>
        <w:t>תוד"ה ומה.</w:t>
      </w:r>
      <w:r w:rsidRPr="00AF1DC8">
        <w:rPr>
          <w:rFonts w:ascii="Narkisim" w:hAnsi="Narkisim"/>
          <w:rtl/>
        </w:rPr>
        <w:t xml:space="preserve"> וא"ת וכו'. וב</w:t>
      </w:r>
      <w:r w:rsidRPr="00AF1DC8">
        <w:rPr>
          <w:rFonts w:ascii="Narkisim" w:hAnsi="Narkisim"/>
          <w:b/>
          <w:bCs/>
          <w:rtl/>
        </w:rPr>
        <w:t>הג' ראמ"ה</w:t>
      </w:r>
      <w:r w:rsidRPr="00AF1DC8">
        <w:rPr>
          <w:rFonts w:ascii="Narkisim" w:hAnsi="Narkisim"/>
          <w:rtl/>
        </w:rPr>
        <w:t xml:space="preserve"> כתב ליישב דתספורת וכיבוס </w:t>
      </w:r>
      <w:r w:rsidRPr="00AF1DC8">
        <w:rPr>
          <w:rFonts w:ascii="Narkisim" w:hAnsi="Narkisim"/>
          <w:i/>
          <w:iCs/>
          <w:rtl/>
        </w:rPr>
        <w:t>מיחזי</w:t>
      </w:r>
      <w:r w:rsidRPr="00AF1DC8">
        <w:rPr>
          <w:rFonts w:ascii="Narkisim" w:hAnsi="Narkisim"/>
          <w:rtl/>
        </w:rPr>
        <w:t xml:space="preserve"> כהיסח הדעת, אבל אינו מביא האדם לידי היסח הדעת, ולכן בט' באב קיל. אבל אבילות דעלמא העיקר להראות שמצטער. ובאירוסין ומשא ומתן לא שייך סברת נראה כאינו מצטער, אלא דהוה היסח הדעת</w:t>
      </w:r>
      <w:r w:rsidRPr="00AF1DC8">
        <w:rPr>
          <w:rFonts w:ascii="Narkisim" w:hAnsi="Narkisim"/>
        </w:rPr>
        <w:t>.</w:t>
      </w:r>
    </w:p>
    <w:p w14:paraId="02F424FE" w14:textId="77777777" w:rsidR="006074A5" w:rsidRPr="00AF1DC8" w:rsidRDefault="006074A5" w:rsidP="006074A5">
      <w:pPr>
        <w:pStyle w:val="3"/>
        <w:bidi/>
        <w:rPr>
          <w:rFonts w:ascii="Narkisim" w:hAnsi="Narkisim"/>
        </w:rPr>
      </w:pPr>
      <w:r w:rsidRPr="00AF1DC8">
        <w:rPr>
          <w:rFonts w:ascii="Narkisim" w:hAnsi="Narkisim"/>
          <w:rtl/>
        </w:rPr>
        <w:t>דף מג</w:t>
      </w:r>
      <w:r w:rsidRPr="00AF1DC8">
        <w:rPr>
          <w:rFonts w:ascii="Narkisim" w:hAnsi="Narkisim"/>
        </w:rPr>
        <w:t>:</w:t>
      </w:r>
    </w:p>
    <w:p w14:paraId="6B3BD221" w14:textId="77777777" w:rsidR="006074A5" w:rsidRPr="00AF1DC8" w:rsidRDefault="006074A5" w:rsidP="006074A5">
      <w:pPr>
        <w:bidi/>
        <w:rPr>
          <w:rFonts w:ascii="Narkisim" w:hAnsi="Narkisim" w:cs="Narkisim"/>
        </w:rPr>
      </w:pPr>
      <w:r w:rsidRPr="00AF1DC8">
        <w:rPr>
          <w:rFonts w:ascii="Narkisim" w:hAnsi="Narkisim" w:cs="Narkisim"/>
          <w:u w:val="single"/>
          <w:rtl/>
        </w:rPr>
        <w:t>תוד"ה שאני.</w:t>
      </w:r>
      <w:r w:rsidRPr="00AF1DC8">
        <w:rPr>
          <w:rFonts w:ascii="Narkisim" w:hAnsi="Narkisim" w:cs="Narkisim"/>
          <w:rtl/>
        </w:rPr>
        <w:t xml:space="preserve"> ומפרש ר"ת דהוא דבר של פרהסיא וכו' יאמרו שאינן חוששין להתאבל וכו'. וה</w:t>
      </w:r>
      <w:r w:rsidRPr="00AF1DC8">
        <w:rPr>
          <w:rFonts w:ascii="Narkisim" w:hAnsi="Narkisim" w:cs="Narkisim"/>
          <w:b/>
          <w:bCs/>
          <w:rtl/>
        </w:rPr>
        <w:t xml:space="preserve">רמב"ן </w:t>
      </w:r>
      <w:r w:rsidRPr="00AF1DC8">
        <w:rPr>
          <w:rFonts w:ascii="Narkisim" w:hAnsi="Narkisim" w:cs="Narkisim"/>
          <w:rtl/>
        </w:rPr>
        <w:t>ושא"ר תי' דאבילות ישנה קילא ליה, ותקנו להחמיר עליו ולאסור כיבוס. אבל אבילות חדשה חמירא ליה ולא הוצרכו. ושאני בין אבילות דיחיד לרבים, דביחיד אסרו אירוסין</w:t>
      </w:r>
      <w:r w:rsidRPr="00AF1DC8">
        <w:rPr>
          <w:rStyle w:val="ac"/>
          <w:rFonts w:ascii="Narkisim" w:hAnsi="Narkisim" w:cs="Narkisim"/>
          <w:rtl/>
        </w:rPr>
        <w:footnoteReference w:id="2521"/>
      </w:r>
      <w:r w:rsidRPr="00AF1DC8">
        <w:rPr>
          <w:rFonts w:ascii="Narkisim" w:hAnsi="Narkisim" w:cs="Narkisim"/>
        </w:rPr>
        <w:t xml:space="preserve">, </w:t>
      </w:r>
      <w:r w:rsidRPr="00AF1DC8">
        <w:rPr>
          <w:rFonts w:ascii="Narkisim" w:hAnsi="Narkisim" w:cs="Narkisim"/>
          <w:rtl/>
        </w:rPr>
        <w:t>שמא יעשה סעודה או יכנוס. אבל אבילות דרבים אם הוא יקל אחרים לא יקילו באבילותם</w:t>
      </w:r>
      <w:r w:rsidRPr="00AF1DC8">
        <w:rPr>
          <w:rStyle w:val="ac"/>
          <w:rFonts w:ascii="Narkisim" w:hAnsi="Narkisim" w:cs="Narkisim"/>
          <w:rtl/>
        </w:rPr>
        <w:footnoteReference w:id="2522"/>
      </w:r>
      <w:r w:rsidRPr="00AF1DC8">
        <w:rPr>
          <w:rFonts w:ascii="Narkisim" w:hAnsi="Narkisim" w:cs="Narkisim"/>
        </w:rPr>
        <w:t>.</w:t>
      </w:r>
    </w:p>
    <w:p w14:paraId="70F91C1F"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או"ש</w:t>
      </w:r>
      <w:r w:rsidRPr="00AF1DC8">
        <w:rPr>
          <w:rFonts w:ascii="Narkisim" w:hAnsi="Narkisim"/>
          <w:rtl/>
        </w:rPr>
        <w:t xml:space="preserve"> (שמחות ו ה) כתב ליישב [דעת רש"י] דסברת ר' יוסי דכביסה יש בה חיי נפש [וכדאי' בנדרים פא], ולכן הקילו באבילות חדשה כיון דלא ידע מתי יבא האבילות. אבל אבילות ישנה הכל יודעים זמן האבילות ויכולים לכבס קודם</w:t>
      </w:r>
      <w:r w:rsidRPr="00AF1DC8">
        <w:rPr>
          <w:rFonts w:ascii="Narkisim" w:hAnsi="Narkisim"/>
        </w:rPr>
        <w:t>.</w:t>
      </w:r>
    </w:p>
    <w:p w14:paraId="1FB8C3D4" w14:textId="77777777" w:rsidR="006074A5" w:rsidRPr="00AF1DC8" w:rsidRDefault="006074A5" w:rsidP="006074A5">
      <w:pPr>
        <w:pStyle w:val="aa"/>
        <w:bidi/>
        <w:rPr>
          <w:rFonts w:ascii="Narkisim" w:hAnsi="Narkisim"/>
        </w:rPr>
      </w:pPr>
      <w:r w:rsidRPr="00AF1DC8">
        <w:rPr>
          <w:rFonts w:ascii="Narkisim" w:hAnsi="Narkisim"/>
          <w:u w:val="single"/>
          <w:rtl/>
        </w:rPr>
        <w:t>בא"ד אבל בשבת שחל תשעה באב להיות בתוכה אסור ליארס וכו' ומיהו במגילת סתרים מתיר לארס אפי' בת"ב, שלא יקדימנו אחר וכו'</w:t>
      </w:r>
      <w:r w:rsidRPr="00AF1DC8">
        <w:rPr>
          <w:rStyle w:val="ac"/>
          <w:rFonts w:ascii="Narkisim" w:hAnsi="Narkisim"/>
          <w:u w:val="single"/>
          <w:rtl/>
        </w:rPr>
        <w:footnoteReference w:id="2523"/>
      </w:r>
      <w:r w:rsidRPr="00AF1DC8">
        <w:rPr>
          <w:rFonts w:ascii="Narkisim" w:hAnsi="Narkisim"/>
          <w:u w:val="single"/>
          <w:rtl/>
        </w:rPr>
        <w:t>.</w:t>
      </w:r>
      <w:r w:rsidRPr="00AF1DC8">
        <w:rPr>
          <w:rFonts w:ascii="Narkisim" w:hAnsi="Narkisim"/>
          <w:rtl/>
        </w:rPr>
        <w:t xml:space="preserve"> וה</w:t>
      </w:r>
      <w:r w:rsidRPr="00AF1DC8">
        <w:rPr>
          <w:rFonts w:ascii="Narkisim" w:hAnsi="Narkisim"/>
          <w:b/>
          <w:bCs/>
          <w:rtl/>
        </w:rPr>
        <w:t>ט"ז</w:t>
      </w:r>
      <w:r w:rsidRPr="00AF1DC8">
        <w:rPr>
          <w:rFonts w:ascii="Narkisim" w:hAnsi="Narkisim"/>
          <w:rtl/>
        </w:rPr>
        <w:t xml:space="preserve"> (או”ח תרנא ג) הקשה דמאחר דאין שמחה באירוסין בלא סעודה, אמאי בעינן לטעם דשמא יקדימנו אחר. ותי' דמ"מ קצת שמחה יש בזה</w:t>
      </w:r>
      <w:r w:rsidRPr="00AF1DC8">
        <w:rPr>
          <w:rFonts w:ascii="Narkisim" w:hAnsi="Narkisim"/>
        </w:rPr>
        <w:t>.</w:t>
      </w:r>
    </w:p>
    <w:p w14:paraId="0E3D6B85" w14:textId="77777777" w:rsidR="006074A5" w:rsidRPr="00AF1DC8" w:rsidRDefault="006074A5" w:rsidP="006074A5">
      <w:pPr>
        <w:pStyle w:val="aa"/>
        <w:bidi/>
        <w:rPr>
          <w:rFonts w:ascii="Narkisim" w:hAnsi="Narkisim"/>
        </w:rPr>
      </w:pPr>
      <w:r w:rsidRPr="00AF1DC8">
        <w:rPr>
          <w:rFonts w:ascii="Narkisim" w:hAnsi="Narkisim"/>
          <w:u w:val="single"/>
          <w:rtl/>
        </w:rPr>
        <w:t>בא"ד וא"ת דהכא אסרי' ליארס תוך ל' וכו' וי”ל דההיא כר' יהודה דשרי</w:t>
      </w:r>
      <w:r w:rsidRPr="00AF1DC8">
        <w:rPr>
          <w:rFonts w:ascii="Narkisim" w:hAnsi="Narkisim"/>
          <w:rtl/>
        </w:rPr>
        <w:t>. וה</w:t>
      </w:r>
      <w:r w:rsidRPr="00AF1DC8">
        <w:rPr>
          <w:rFonts w:ascii="Narkisim" w:hAnsi="Narkisim"/>
          <w:b/>
          <w:bCs/>
          <w:rtl/>
        </w:rPr>
        <w:t>רמב"ם</w:t>
      </w:r>
      <w:r w:rsidRPr="00AF1DC8">
        <w:rPr>
          <w:rFonts w:ascii="Narkisim" w:hAnsi="Narkisim"/>
          <w:rtl/>
        </w:rPr>
        <w:t xml:space="preserve"> (אבל ו ה) פסק דמותר לארס אפי' ביום המיתה. וביאר ה</w:t>
      </w:r>
      <w:r w:rsidRPr="00AF1DC8">
        <w:rPr>
          <w:rFonts w:ascii="Narkisim" w:hAnsi="Narkisim"/>
          <w:b/>
          <w:bCs/>
          <w:rtl/>
        </w:rPr>
        <w:t>כס"מ</w:t>
      </w:r>
      <w:r w:rsidRPr="00AF1DC8">
        <w:rPr>
          <w:rFonts w:ascii="Narkisim" w:hAnsi="Narkisim"/>
          <w:rtl/>
        </w:rPr>
        <w:t xml:space="preserve"> דס"ל דאין הלכה כר' יוסי. א"נ ס"ל דאף ר' יוסי לא אמרה אלא בסעודה [וה”ק חוץ מהאלמנה דאיכא צד איסור], אבל בלא סעודה מותר. ודברי רב אשי דילמא למיעבד סעודה קאי אף לפרש דברי ר' יוסי</w:t>
      </w:r>
      <w:r w:rsidRPr="00AF1DC8">
        <w:rPr>
          <w:rFonts w:ascii="Narkisim" w:hAnsi="Narkisim"/>
        </w:rPr>
        <w:t>.</w:t>
      </w:r>
    </w:p>
    <w:p w14:paraId="6552761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 xml:space="preserve">גר"א </w:t>
      </w:r>
      <w:r w:rsidRPr="00AF1DC8">
        <w:rPr>
          <w:rFonts w:ascii="Narkisim" w:hAnsi="Narkisim"/>
          <w:rtl/>
        </w:rPr>
        <w:t>(יו"ד שצב ה) ביאר דלפ"ז ניחא דאבילות דרבים דתשעה באב חמירא, והתירו רק אירוסין בלא סעודה, וכמו בימי אבלו</w:t>
      </w:r>
      <w:r w:rsidRPr="00AF1DC8">
        <w:rPr>
          <w:rFonts w:ascii="Narkisim" w:hAnsi="Narkisim"/>
        </w:rPr>
        <w:t>.</w:t>
      </w:r>
    </w:p>
    <w:p w14:paraId="2788AFEA" w14:textId="77777777" w:rsidR="006074A5" w:rsidRPr="00AF1DC8" w:rsidRDefault="006074A5" w:rsidP="006074A5">
      <w:pPr>
        <w:bidi/>
        <w:rPr>
          <w:rFonts w:ascii="Narkisim" w:hAnsi="Narkisim" w:cs="Narkisim"/>
        </w:rPr>
      </w:pPr>
      <w:r w:rsidRPr="00AF1DC8">
        <w:rPr>
          <w:rFonts w:ascii="Narkisim" w:hAnsi="Narkisim" w:cs="Narkisim"/>
          <w:u w:val="single"/>
          <w:rtl/>
        </w:rPr>
        <w:t>בא"ד ואם יש לו בנים וכו' או לכל הפחות אחר ז'.</w:t>
      </w:r>
      <w:r w:rsidRPr="00AF1DC8">
        <w:rPr>
          <w:rFonts w:ascii="Narkisim" w:hAnsi="Narkisim" w:cs="Narkisim"/>
          <w:sz w:val="20"/>
          <w:szCs w:val="20"/>
          <w:rtl/>
        </w:rPr>
        <w:t xml:space="preserve"> [מבואר דתוס' נסתפקו האם מותר לארס בשבעה, וכמו בת”ב. וברמב”ם (שם) התיר 'מיד']</w:t>
      </w:r>
      <w:r w:rsidRPr="00AF1DC8">
        <w:rPr>
          <w:rFonts w:ascii="Narkisim" w:hAnsi="Narkisim" w:cs="Narkisim"/>
          <w:rtl/>
        </w:rPr>
        <w:t>. וה</w:t>
      </w:r>
      <w:r w:rsidRPr="00AF1DC8">
        <w:rPr>
          <w:rFonts w:ascii="Narkisim" w:hAnsi="Narkisim" w:cs="Narkisim"/>
          <w:b/>
          <w:bCs/>
          <w:rtl/>
        </w:rPr>
        <w:t>רמב"ם</w:t>
      </w:r>
      <w:r w:rsidRPr="00AF1DC8">
        <w:rPr>
          <w:rFonts w:ascii="Narkisim" w:hAnsi="Narkisim" w:cs="Narkisim"/>
          <w:rtl/>
        </w:rPr>
        <w:t xml:space="preserve"> (שם) מתיר דמי שלא קיים פר"ו או יש לו בנים קטנים או שאין לו מי שישמשנו מותר לארס ולכנוס מיד, ואסור לבא עליה עד ל' יום </w:t>
      </w:r>
      <w:r w:rsidRPr="00AF1DC8">
        <w:rPr>
          <w:rFonts w:ascii="Narkisim" w:hAnsi="Narkisim" w:cs="Narkisim"/>
          <w:sz w:val="20"/>
          <w:szCs w:val="20"/>
          <w:rtl/>
        </w:rPr>
        <w:t>[ודלא כמ”ש תוס' דאם אין לו בנים אין היתר לכנוס כשאסור לבא עליה]</w:t>
      </w:r>
      <w:r w:rsidRPr="00AF1DC8">
        <w:rPr>
          <w:rFonts w:ascii="Narkisim" w:hAnsi="Narkisim" w:cs="Narkisim"/>
          <w:sz w:val="20"/>
          <w:szCs w:val="20"/>
        </w:rPr>
        <w:t>.</w:t>
      </w:r>
    </w:p>
    <w:p w14:paraId="41D164E5" w14:textId="77777777" w:rsidR="006074A5" w:rsidRPr="00AF1DC8" w:rsidRDefault="006074A5" w:rsidP="006074A5">
      <w:pPr>
        <w:pStyle w:val="3"/>
        <w:bidi/>
        <w:rPr>
          <w:rFonts w:ascii="Narkisim" w:hAnsi="Narkisim"/>
        </w:rPr>
      </w:pPr>
      <w:r w:rsidRPr="00AF1DC8">
        <w:rPr>
          <w:rFonts w:ascii="Narkisim" w:hAnsi="Narkisim"/>
          <w:rtl/>
        </w:rPr>
        <w:t>דף מד</w:t>
      </w:r>
      <w:r w:rsidRPr="00AF1DC8">
        <w:rPr>
          <w:rFonts w:ascii="Narkisim" w:hAnsi="Narkisim"/>
        </w:rPr>
        <w:t>.</w:t>
      </w:r>
    </w:p>
    <w:p w14:paraId="19188A92" w14:textId="77777777" w:rsidR="006074A5" w:rsidRPr="00AF1DC8" w:rsidRDefault="006074A5" w:rsidP="006074A5">
      <w:pPr>
        <w:pStyle w:val="aa"/>
        <w:bidi/>
        <w:rPr>
          <w:rFonts w:ascii="Narkisim" w:hAnsi="Narkisim"/>
        </w:rPr>
      </w:pPr>
      <w:r w:rsidRPr="00AF1DC8">
        <w:rPr>
          <w:rFonts w:ascii="Narkisim" w:hAnsi="Narkisim"/>
          <w:u w:val="single"/>
          <w:rtl/>
        </w:rPr>
        <w:t>ושבקי ליה וכו'.</w:t>
      </w:r>
      <w:r w:rsidRPr="00AF1DC8">
        <w:rPr>
          <w:rFonts w:ascii="Narkisim" w:hAnsi="Narkisim"/>
          <w:rtl/>
        </w:rPr>
        <w:t xml:space="preserve"> ה</w:t>
      </w:r>
      <w:r w:rsidRPr="00AF1DC8">
        <w:rPr>
          <w:rFonts w:ascii="Narkisim" w:hAnsi="Narkisim"/>
          <w:b/>
          <w:bCs/>
          <w:rtl/>
        </w:rPr>
        <w:t>ריטב"א</w:t>
      </w:r>
      <w:r w:rsidRPr="00AF1DC8">
        <w:rPr>
          <w:rFonts w:ascii="Narkisim" w:hAnsi="Narkisim"/>
          <w:rtl/>
        </w:rPr>
        <w:t xml:space="preserve"> ביאר [קו' הגמ'] דלשון המשנה 'הרשות בידו' משמע דהוה עצה הוגנת, אבל פשיטא דאין כופין</w:t>
      </w:r>
      <w:r w:rsidRPr="00AF1DC8">
        <w:rPr>
          <w:rFonts w:ascii="Narkisim" w:hAnsi="Narkisim"/>
        </w:rPr>
        <w:t>.</w:t>
      </w:r>
    </w:p>
    <w:p w14:paraId="5D88D3A9" w14:textId="77777777" w:rsidR="006074A5" w:rsidRPr="00AF1DC8" w:rsidRDefault="006074A5" w:rsidP="006074A5">
      <w:pPr>
        <w:pStyle w:val="aa"/>
        <w:bidi/>
        <w:rPr>
          <w:rFonts w:ascii="Narkisim" w:hAnsi="Narkisim"/>
        </w:rPr>
      </w:pPr>
      <w:r w:rsidRPr="00AF1DC8">
        <w:rPr>
          <w:rFonts w:ascii="Narkisim" w:hAnsi="Narkisim"/>
          <w:u w:val="single"/>
          <w:rtl/>
        </w:rPr>
        <w:lastRenderedPageBreak/>
        <w:t>וקראו לו הן ולא שלוחן.</w:t>
      </w:r>
      <w:r w:rsidRPr="00AF1DC8">
        <w:rPr>
          <w:rFonts w:ascii="Narkisim" w:hAnsi="Narkisim"/>
          <w:rtl/>
        </w:rPr>
        <w:t xml:space="preserve"> ה</w:t>
      </w:r>
      <w:r w:rsidRPr="00AF1DC8">
        <w:rPr>
          <w:rFonts w:ascii="Narkisim" w:hAnsi="Narkisim"/>
          <w:b/>
          <w:bCs/>
          <w:rtl/>
        </w:rPr>
        <w:t>בי"מ</w:t>
      </w:r>
      <w:r w:rsidRPr="00AF1DC8">
        <w:rPr>
          <w:rFonts w:ascii="Narkisim" w:hAnsi="Narkisim"/>
          <w:rtl/>
        </w:rPr>
        <w:t xml:space="preserve"> (קסו א, וערול”נ לקמן קא) ביאר דדרשינן שהדיינים עצמן ישמיעו לו עצה הוגנת [ולא ימסרו עצה ע"י שליח], אבל אי"צ 'קריאה' ע”י הדיין. ואף אם באו בעצמן לפני הדיינים שפיר דמי</w:t>
      </w:r>
      <w:r w:rsidRPr="00AF1DC8">
        <w:rPr>
          <w:rFonts w:ascii="Narkisim" w:hAnsi="Narkisim"/>
        </w:rPr>
        <w:t>.</w:t>
      </w:r>
    </w:p>
    <w:p w14:paraId="652CE551"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(הנ"ל) הק' דה</w:t>
      </w:r>
      <w:r w:rsidRPr="00AF1DC8">
        <w:rPr>
          <w:rFonts w:ascii="Narkisim" w:hAnsi="Narkisim"/>
          <w:b/>
          <w:bCs/>
          <w:rtl/>
        </w:rPr>
        <w:t>פוסקים</w:t>
      </w:r>
      <w:r w:rsidRPr="00AF1DC8">
        <w:rPr>
          <w:rFonts w:ascii="Narkisim" w:hAnsi="Narkisim"/>
          <w:rtl/>
        </w:rPr>
        <w:t xml:space="preserve"> השמיטו דין קריאה זה, שלא ע”י שליח. ותי' ע"פ הנ"ל, דהוה דין שהדיינים יתנו עצה הוגנת. ואף הפוסקים הביאו דנותנים לו עצה, דהיינו הדיינים עצמן נותנים את העצה</w:t>
      </w:r>
      <w:r w:rsidRPr="00AF1DC8">
        <w:rPr>
          <w:rFonts w:ascii="Narkisim" w:hAnsi="Narkisim"/>
        </w:rPr>
        <w:t>.</w:t>
      </w:r>
    </w:p>
    <w:p w14:paraId="066635FC" w14:textId="77777777" w:rsidR="006074A5" w:rsidRPr="00AF1DC8" w:rsidRDefault="006074A5" w:rsidP="006074A5">
      <w:pPr>
        <w:pStyle w:val="aa"/>
        <w:bidi/>
        <w:rPr>
          <w:rFonts w:ascii="Narkisim" w:hAnsi="Narkisim"/>
        </w:rPr>
      </w:pPr>
      <w:r w:rsidRPr="00AF1DC8">
        <w:rPr>
          <w:rFonts w:ascii="Narkisim" w:hAnsi="Narkisim"/>
          <w:u w:val="single"/>
          <w:rtl/>
        </w:rPr>
        <w:t>שם. ולא שלוחן</w:t>
      </w:r>
      <w:r w:rsidRPr="00AF1DC8">
        <w:rPr>
          <w:rFonts w:ascii="Narkisim" w:hAnsi="Narkisim"/>
          <w:rtl/>
        </w:rPr>
        <w:t xml:space="preserve">. </w:t>
      </w:r>
      <w:r w:rsidRPr="00AF1DC8">
        <w:rPr>
          <w:rFonts w:ascii="Narkisim" w:hAnsi="Narkisim"/>
          <w:b/>
          <w:bCs/>
          <w:rtl/>
        </w:rPr>
        <w:t>תוס'</w:t>
      </w:r>
      <w:r w:rsidRPr="00AF1DC8">
        <w:rPr>
          <w:rFonts w:ascii="Narkisim" w:hAnsi="Narkisim"/>
          <w:rtl/>
        </w:rPr>
        <w:t xml:space="preserve"> (קא:) הקשו דנילף מהכא דאין שלוחו של אדם כמותו [דבעינן קריאה בגופן של דיינים</w:t>
      </w:r>
      <w:r w:rsidRPr="00AF1DC8">
        <w:rPr>
          <w:rStyle w:val="ac"/>
          <w:rFonts w:ascii="Narkisim" w:hAnsi="Narkisim"/>
          <w:rtl/>
        </w:rPr>
        <w:footnoteReference w:id="2524"/>
      </w:r>
      <w:r w:rsidRPr="00AF1DC8">
        <w:rPr>
          <w:rFonts w:ascii="Narkisim" w:hAnsi="Narkisim"/>
          <w:rtl/>
        </w:rPr>
        <w:t>]. ותוס' תי' דהוה ב' כתובין הבאין כא', דבכ”מ דרשי' הן ולא שלוחן</w:t>
      </w:r>
      <w:r w:rsidRPr="00AF1DC8">
        <w:rPr>
          <w:rFonts w:ascii="Narkisim" w:hAnsi="Narkisim"/>
        </w:rPr>
        <w:t>.</w:t>
      </w:r>
    </w:p>
    <w:p w14:paraId="1A31CB0F" w14:textId="77777777" w:rsidR="006074A5" w:rsidRPr="00AF1DC8" w:rsidRDefault="006074A5" w:rsidP="006074A5">
      <w:pPr>
        <w:bidi/>
        <w:rPr>
          <w:rFonts w:ascii="Narkisim" w:hAnsi="Narkisim" w:cs="Narkisim"/>
        </w:rPr>
      </w:pPr>
      <w:r w:rsidRPr="00AF1DC8">
        <w:rPr>
          <w:rFonts w:ascii="Narkisim" w:hAnsi="Narkisim" w:cs="Narkisim"/>
          <w:u w:val="single"/>
          <w:rtl/>
        </w:rPr>
        <w:t>עצה טובה קמ"ל, ד' אין טפי לא</w:t>
      </w:r>
      <w:r w:rsidRPr="00AF1DC8">
        <w:rPr>
          <w:rStyle w:val="ac"/>
          <w:rFonts w:ascii="Narkisim" w:hAnsi="Narkisim" w:cs="Narkisim"/>
          <w:u w:val="single"/>
          <w:rtl/>
        </w:rPr>
        <w:footnoteReference w:id="2525"/>
      </w:r>
      <w:r w:rsidRPr="00AF1DC8">
        <w:rPr>
          <w:rFonts w:ascii="Narkisim" w:hAnsi="Narkisim" w:cs="Narkisim"/>
          <w:u w:val="single"/>
        </w:rPr>
        <w:t>.</w:t>
      </w:r>
      <w:r w:rsidRPr="00AF1DC8">
        <w:rPr>
          <w:rFonts w:ascii="Narkisim" w:hAnsi="Narkisim" w:cs="Narkisim"/>
        </w:rPr>
        <w:t xml:space="preserve"> </w:t>
      </w:r>
      <w:r w:rsidRPr="00AF1DC8">
        <w:rPr>
          <w:rFonts w:ascii="Narkisim" w:hAnsi="Narkisim" w:cs="Narkisim"/>
          <w:rtl/>
        </w:rPr>
        <w:t>ה</w:t>
      </w:r>
      <w:r w:rsidRPr="00AF1DC8">
        <w:rPr>
          <w:rFonts w:ascii="Narkisim" w:hAnsi="Narkisim" w:cs="Narkisim"/>
          <w:b/>
          <w:bCs/>
          <w:rtl/>
        </w:rPr>
        <w:t xml:space="preserve">חזו"א </w:t>
      </w:r>
      <w:r w:rsidRPr="00AF1DC8">
        <w:rPr>
          <w:rFonts w:ascii="Narkisim" w:hAnsi="Narkisim" w:cs="Narkisim"/>
          <w:sz w:val="20"/>
          <w:szCs w:val="20"/>
          <w:rtl/>
        </w:rPr>
        <w:t>(קיט כג</w:t>
      </w:r>
      <w:r w:rsidRPr="00AF1DC8">
        <w:rPr>
          <w:rStyle w:val="ac"/>
          <w:rFonts w:ascii="Narkisim" w:hAnsi="Narkisim" w:cs="Narkisim"/>
          <w:sz w:val="20"/>
          <w:szCs w:val="20"/>
          <w:rtl/>
        </w:rPr>
        <w:footnoteReference w:id="2526"/>
      </w:r>
      <w:r w:rsidRPr="00AF1DC8">
        <w:rPr>
          <w:rFonts w:ascii="Narkisim" w:hAnsi="Narkisim" w:cs="Narkisim"/>
          <w:sz w:val="20"/>
          <w:szCs w:val="20"/>
          <w:rtl/>
        </w:rPr>
        <w:t>)</w:t>
      </w:r>
      <w:r w:rsidRPr="00AF1DC8">
        <w:rPr>
          <w:rFonts w:ascii="Narkisim" w:hAnsi="Narkisim" w:cs="Narkisim"/>
          <w:rtl/>
        </w:rPr>
        <w:t xml:space="preserve"> הקשה דיכול לייבם ולגרש</w:t>
      </w:r>
      <w:r w:rsidRPr="00AF1DC8">
        <w:rPr>
          <w:rStyle w:val="ac"/>
          <w:rFonts w:ascii="Narkisim" w:hAnsi="Narkisim" w:cs="Narkisim"/>
          <w:rtl/>
        </w:rPr>
        <w:footnoteReference w:id="2527"/>
      </w:r>
      <w:r w:rsidRPr="00AF1DC8">
        <w:rPr>
          <w:rFonts w:ascii="Narkisim" w:hAnsi="Narkisim" w:cs="Narkisim"/>
        </w:rPr>
        <w:t xml:space="preserve">. </w:t>
      </w:r>
      <w:r w:rsidRPr="00AF1DC8">
        <w:rPr>
          <w:rFonts w:ascii="Narkisim" w:hAnsi="Narkisim" w:cs="Narkisim"/>
          <w:rtl/>
        </w:rPr>
        <w:t xml:space="preserve">וכת' דמבואר דלא נקרא עצה הוגנת, דאי"ז דרכי נועם. </w:t>
      </w:r>
      <w:r w:rsidRPr="00AF1DC8">
        <w:rPr>
          <w:rFonts w:ascii="Narkisim" w:hAnsi="Narkisim" w:cs="Narkisim"/>
          <w:sz w:val="20"/>
          <w:szCs w:val="20"/>
          <w:rtl/>
        </w:rPr>
        <w:t>[וכתב דבכה"ג אפשר להטעות שלא לייבם, ע"פ הגמ' לקמן קו.]</w:t>
      </w:r>
      <w:r w:rsidRPr="00AF1DC8">
        <w:rPr>
          <w:rFonts w:ascii="Narkisim" w:hAnsi="Narkisim" w:cs="Narkisim"/>
          <w:sz w:val="20"/>
          <w:szCs w:val="20"/>
        </w:rPr>
        <w:t>.</w:t>
      </w:r>
    </w:p>
    <w:p w14:paraId="0347AF02" w14:textId="77777777" w:rsidR="006074A5" w:rsidRPr="00AF1DC8" w:rsidRDefault="006074A5" w:rsidP="006074A5">
      <w:pPr>
        <w:pStyle w:val="aa"/>
        <w:bidi/>
        <w:rPr>
          <w:rFonts w:ascii="Narkisim" w:hAnsi="Narkisim"/>
        </w:rPr>
      </w:pPr>
      <w:r w:rsidRPr="00AF1DC8">
        <w:rPr>
          <w:rFonts w:ascii="Narkisim" w:hAnsi="Narkisim"/>
          <w:u w:val="single"/>
          <w:rtl/>
        </w:rPr>
        <w:t>עונה בחודש.</w:t>
      </w:r>
      <w:r w:rsidRPr="00AF1DC8">
        <w:rPr>
          <w:rFonts w:ascii="Narkisim" w:hAnsi="Narkisim"/>
          <w:rtl/>
        </w:rPr>
        <w:t xml:space="preserve"> ה</w:t>
      </w:r>
      <w:r w:rsidRPr="00AF1DC8">
        <w:rPr>
          <w:rFonts w:ascii="Narkisim" w:hAnsi="Narkisim"/>
          <w:b/>
          <w:bCs/>
          <w:rtl/>
        </w:rPr>
        <w:t>חלק"מ</w:t>
      </w:r>
      <w:r w:rsidRPr="00AF1DC8">
        <w:rPr>
          <w:rFonts w:ascii="Narkisim" w:hAnsi="Narkisim"/>
          <w:rtl/>
        </w:rPr>
        <w:t xml:space="preserve"> (א יד, ועו טו ו</w:t>
      </w:r>
      <w:r w:rsidRPr="00AF1DC8">
        <w:rPr>
          <w:rFonts w:ascii="Narkisim" w:hAnsi="Narkisim"/>
          <w:b/>
          <w:bCs/>
          <w:rtl/>
        </w:rPr>
        <w:t>בי"ש</w:t>
      </w:r>
      <w:r w:rsidRPr="00AF1DC8">
        <w:rPr>
          <w:rFonts w:ascii="Narkisim" w:hAnsi="Narkisim"/>
          <w:rtl/>
        </w:rPr>
        <w:t xml:space="preserve"> יד) כתב הטעם דסתם וסת לאשה חודש. וה</w:t>
      </w:r>
      <w:r w:rsidRPr="00AF1DC8">
        <w:rPr>
          <w:rFonts w:ascii="Narkisim" w:hAnsi="Narkisim"/>
          <w:b/>
          <w:bCs/>
          <w:rtl/>
        </w:rPr>
        <w:t>פרישה</w:t>
      </w:r>
      <w:r w:rsidRPr="00AF1DC8">
        <w:rPr>
          <w:rFonts w:ascii="Narkisim" w:hAnsi="Narkisim"/>
          <w:rtl/>
        </w:rPr>
        <w:t xml:space="preserve"> הביא מהגמ' (כתובות סא:) דאורחא דמילתא לת"ח ללכת חודש</w:t>
      </w:r>
      <w:r w:rsidRPr="00AF1DC8">
        <w:rPr>
          <w:rFonts w:ascii="Narkisim" w:hAnsi="Narkisim"/>
        </w:rPr>
        <w:t>.</w:t>
      </w:r>
    </w:p>
    <w:p w14:paraId="701187D0" w14:textId="77777777" w:rsidR="006074A5" w:rsidRPr="00AF1DC8" w:rsidRDefault="006074A5" w:rsidP="006074A5">
      <w:pPr>
        <w:bidi/>
        <w:rPr>
          <w:rFonts w:ascii="Narkisim" w:hAnsi="Narkisim" w:cs="Narkisim"/>
        </w:rPr>
      </w:pPr>
      <w:r w:rsidRPr="00AF1DC8">
        <w:rPr>
          <w:rFonts w:ascii="Narkisim" w:hAnsi="Narkisim" w:cs="Narkisim"/>
          <w:u w:val="single"/>
          <w:rtl/>
        </w:rPr>
        <w:t>רש"י ד"ה עונה.</w:t>
      </w:r>
      <w:r w:rsidRPr="00AF1DC8">
        <w:rPr>
          <w:rFonts w:ascii="Narkisim" w:hAnsi="Narkisim" w:cs="Narkisim"/>
          <w:rtl/>
        </w:rPr>
        <w:t xml:space="preserve"> של ת"ח וכו'. </w:t>
      </w:r>
      <w:r w:rsidRPr="00AF1DC8">
        <w:rPr>
          <w:rFonts w:ascii="Narkisim" w:hAnsi="Narkisim" w:cs="Narkisim"/>
          <w:sz w:val="20"/>
          <w:szCs w:val="20"/>
          <w:rtl/>
        </w:rPr>
        <w:t>וה</w:t>
      </w:r>
      <w:r w:rsidRPr="00AF1DC8">
        <w:rPr>
          <w:rFonts w:ascii="Narkisim" w:hAnsi="Narkisim" w:cs="Narkisim"/>
          <w:b/>
          <w:bCs/>
          <w:sz w:val="20"/>
          <w:szCs w:val="20"/>
          <w:rtl/>
        </w:rPr>
        <w:t>חלק"מ</w:t>
      </w:r>
      <w:r w:rsidRPr="00AF1DC8">
        <w:rPr>
          <w:rFonts w:ascii="Narkisim" w:hAnsi="Narkisim" w:cs="Narkisim"/>
          <w:sz w:val="20"/>
          <w:szCs w:val="20"/>
          <w:rtl/>
        </w:rPr>
        <w:t xml:space="preserve"> (שם) כת' דלפ"ז בטיילנין שעונתן כל יום יכול לישא יותר, דלכל אשה עונתה בחודש</w:t>
      </w:r>
      <w:r w:rsidRPr="00AF1DC8">
        <w:rPr>
          <w:rStyle w:val="ac"/>
          <w:rFonts w:ascii="Narkisim" w:hAnsi="Narkisim" w:cs="Narkisim"/>
          <w:sz w:val="20"/>
          <w:szCs w:val="20"/>
          <w:rtl/>
        </w:rPr>
        <w:footnoteReference w:id="2528"/>
      </w:r>
      <w:r w:rsidRPr="00AF1DC8">
        <w:rPr>
          <w:rFonts w:ascii="Narkisim" w:hAnsi="Narkisim" w:cs="Narkisim"/>
          <w:sz w:val="20"/>
          <w:szCs w:val="20"/>
        </w:rPr>
        <w:t>.</w:t>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 xml:space="preserve">ריטב"א </w:t>
      </w:r>
      <w:r w:rsidRPr="00AF1DC8">
        <w:rPr>
          <w:rFonts w:ascii="Narkisim" w:hAnsi="Narkisim" w:cs="Narkisim"/>
          <w:rtl/>
        </w:rPr>
        <w:t>(ונמוק"י) הק' דמתני' איירי בכל אדם. ועוה"ק דחייב לכל אחת חיוב העונה, ומי שיש לו כמה נשים אינו רשאי להפחית לפי הנשים. [ע' בסמוך]</w:t>
      </w:r>
      <w:r w:rsidRPr="00AF1DC8">
        <w:rPr>
          <w:rFonts w:ascii="Narkisim" w:hAnsi="Narkisim" w:cs="Narkisim"/>
        </w:rPr>
        <w:t>.</w:t>
      </w:r>
    </w:p>
    <w:p w14:paraId="6B941738"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תי' דביבמה אשה הקנו מהשמים, וליבום רמי קמי, ובעונה כל דהוא סגי</w:t>
      </w:r>
      <w:r w:rsidRPr="00AF1DC8">
        <w:rPr>
          <w:rStyle w:val="ac"/>
          <w:rFonts w:ascii="Narkisim" w:hAnsi="Narkisim"/>
          <w:rtl/>
        </w:rPr>
        <w:footnoteReference w:id="2529"/>
      </w:r>
      <w:r w:rsidRPr="00AF1DC8">
        <w:rPr>
          <w:rFonts w:ascii="Narkisim" w:hAnsi="Narkisim"/>
        </w:rPr>
        <w:t xml:space="preserve">. </w:t>
      </w:r>
      <w:r w:rsidRPr="00AF1DC8">
        <w:rPr>
          <w:rFonts w:ascii="Narkisim" w:hAnsi="Narkisim"/>
          <w:rtl/>
        </w:rPr>
        <w:t>אלא דאנן מנסבין ליה עצה שלא לגרוע פחות מעונה לחודש לכ"א. אבל הנושא אשה בעלמא חייב כ"א לפי דינו</w:t>
      </w:r>
      <w:r w:rsidRPr="00AF1DC8">
        <w:rPr>
          <w:rStyle w:val="ac"/>
          <w:rFonts w:ascii="Narkisim" w:hAnsi="Narkisim"/>
          <w:rtl/>
        </w:rPr>
        <w:footnoteReference w:id="2530"/>
      </w:r>
      <w:r w:rsidRPr="00AF1DC8">
        <w:rPr>
          <w:rFonts w:ascii="Narkisim" w:hAnsi="Narkisim"/>
        </w:rPr>
        <w:t>.</w:t>
      </w:r>
    </w:p>
    <w:p w14:paraId="2B4BBC67"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רמב"ם</w:t>
      </w:r>
      <w:r w:rsidRPr="00AF1DC8">
        <w:rPr>
          <w:rFonts w:ascii="Narkisim" w:hAnsi="Narkisim"/>
          <w:rtl/>
        </w:rPr>
        <w:t xml:space="preserve"> </w:t>
      </w:r>
      <w:r w:rsidRPr="00AF1DC8">
        <w:rPr>
          <w:rFonts w:ascii="Narkisim" w:hAnsi="Narkisim"/>
          <w:sz w:val="20"/>
          <w:szCs w:val="20"/>
          <w:rtl/>
        </w:rPr>
        <w:t>(אישות יד ג, וה</w:t>
      </w:r>
      <w:r w:rsidRPr="00AF1DC8">
        <w:rPr>
          <w:rFonts w:ascii="Narkisim" w:hAnsi="Narkisim"/>
          <w:b/>
          <w:bCs/>
          <w:sz w:val="20"/>
          <w:szCs w:val="20"/>
          <w:rtl/>
        </w:rPr>
        <w:t>שו”ע</w:t>
      </w:r>
      <w:r w:rsidRPr="00AF1DC8">
        <w:rPr>
          <w:rFonts w:ascii="Narkisim" w:hAnsi="Narkisim"/>
          <w:sz w:val="20"/>
          <w:szCs w:val="20"/>
          <w:rtl/>
        </w:rPr>
        <w:t xml:space="preserve"> א ט ועו ז) </w:t>
      </w:r>
      <w:r w:rsidRPr="00AF1DC8">
        <w:rPr>
          <w:rFonts w:ascii="Narkisim" w:hAnsi="Narkisim"/>
          <w:rtl/>
        </w:rPr>
        <w:t>פסק [אף באשה בעלמא] דחיוב העונה הוה לפי מספר הנשים [וכדאי' בסוגיין]</w:t>
      </w:r>
      <w:r w:rsidRPr="00AF1DC8">
        <w:rPr>
          <w:rStyle w:val="ac"/>
          <w:rFonts w:ascii="Narkisim" w:hAnsi="Narkisim"/>
          <w:rtl/>
        </w:rPr>
        <w:footnoteReference w:id="2531"/>
      </w:r>
      <w:r w:rsidRPr="00AF1DC8">
        <w:rPr>
          <w:rFonts w:ascii="Narkisim" w:hAnsi="Narkisim"/>
        </w:rPr>
        <w:t xml:space="preserve">. </w:t>
      </w:r>
      <w:r w:rsidRPr="00AF1DC8">
        <w:rPr>
          <w:rFonts w:ascii="Narkisim" w:hAnsi="Narkisim"/>
          <w:rtl/>
        </w:rPr>
        <w:t xml:space="preserve">לפיכך עצה טובה שלא ישא יותר מד' נשים. </w:t>
      </w:r>
      <w:r w:rsidRPr="00AF1DC8">
        <w:rPr>
          <w:rFonts w:ascii="Narkisim" w:hAnsi="Narkisim"/>
          <w:sz w:val="20"/>
          <w:szCs w:val="20"/>
          <w:rtl/>
        </w:rPr>
        <w:t>[וה</w:t>
      </w:r>
      <w:r w:rsidRPr="00AF1DC8">
        <w:rPr>
          <w:rFonts w:ascii="Narkisim" w:hAnsi="Narkisim"/>
          <w:b/>
          <w:bCs/>
          <w:sz w:val="20"/>
          <w:szCs w:val="20"/>
          <w:rtl/>
        </w:rPr>
        <w:t>בי"ש</w:t>
      </w:r>
      <w:r w:rsidRPr="00AF1DC8">
        <w:rPr>
          <w:rFonts w:ascii="Narkisim" w:hAnsi="Narkisim"/>
          <w:sz w:val="20"/>
          <w:szCs w:val="20"/>
          <w:rtl/>
        </w:rPr>
        <w:t xml:space="preserve"> (עו יד) ציין דהוא דלא כנמוק"י הנ”ל]</w:t>
      </w:r>
      <w:r w:rsidRPr="00AF1DC8">
        <w:rPr>
          <w:rFonts w:ascii="Narkisim" w:hAnsi="Narkisim"/>
          <w:sz w:val="20"/>
          <w:szCs w:val="20"/>
        </w:rPr>
        <w:t>.</w:t>
      </w:r>
    </w:p>
    <w:p w14:paraId="1387750A"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רמ"ך</w:t>
      </w:r>
      <w:r w:rsidRPr="00AF1DC8">
        <w:rPr>
          <w:rFonts w:ascii="Narkisim" w:hAnsi="Narkisim"/>
          <w:rtl/>
        </w:rPr>
        <w:t xml:space="preserve"> (שם) השיג האיך רשאי לישא על אשתו. ותי' דאיירי ברשות אשתו. </w:t>
      </w:r>
      <w:r w:rsidRPr="00AF1DC8">
        <w:rPr>
          <w:rFonts w:ascii="Narkisim" w:hAnsi="Narkisim"/>
          <w:sz w:val="20"/>
          <w:szCs w:val="20"/>
          <w:rtl/>
        </w:rPr>
        <w:t>ובגמ' (לקמן סה.) נח' האם מותר לישא על אשתו</w:t>
      </w:r>
      <w:r w:rsidRPr="00AF1DC8">
        <w:rPr>
          <w:rStyle w:val="ac"/>
          <w:rFonts w:ascii="Narkisim" w:hAnsi="Narkisim"/>
          <w:sz w:val="20"/>
          <w:szCs w:val="20"/>
          <w:rtl/>
        </w:rPr>
        <w:footnoteReference w:id="2532"/>
      </w:r>
      <w:r w:rsidRPr="00AF1DC8">
        <w:rPr>
          <w:rFonts w:ascii="Narkisim" w:hAnsi="Narkisim"/>
        </w:rPr>
        <w:t xml:space="preserve">. </w:t>
      </w:r>
      <w:r w:rsidRPr="00AF1DC8">
        <w:rPr>
          <w:rFonts w:ascii="Narkisim" w:hAnsi="Narkisim"/>
          <w:rtl/>
        </w:rPr>
        <w:t>וה</w:t>
      </w:r>
      <w:r w:rsidRPr="00AF1DC8">
        <w:rPr>
          <w:rFonts w:ascii="Narkisim" w:hAnsi="Narkisim"/>
          <w:b/>
          <w:bCs/>
          <w:rtl/>
        </w:rPr>
        <w:t xml:space="preserve">בי"ש </w:t>
      </w:r>
      <w:r w:rsidRPr="00AF1DC8">
        <w:rPr>
          <w:rFonts w:ascii="Narkisim" w:hAnsi="Narkisim"/>
          <w:rtl/>
        </w:rPr>
        <w:t>(עו יב) ביאר דבמקום דנהגו לישא כמה נשים</w:t>
      </w:r>
      <w:r w:rsidRPr="00AF1DC8">
        <w:rPr>
          <w:rStyle w:val="ac"/>
          <w:rFonts w:ascii="Narkisim" w:hAnsi="Narkisim"/>
          <w:rtl/>
        </w:rPr>
        <w:footnoteReference w:id="2533"/>
      </w:r>
      <w:r w:rsidRPr="00AF1DC8">
        <w:rPr>
          <w:rFonts w:ascii="Narkisim" w:hAnsi="Narkisim"/>
        </w:rPr>
        <w:t xml:space="preserve"> </w:t>
      </w:r>
      <w:r w:rsidRPr="00AF1DC8">
        <w:rPr>
          <w:rFonts w:ascii="Narkisim" w:hAnsi="Narkisim"/>
          <w:rtl/>
        </w:rPr>
        <w:t>הוה כאילו התנה שמתחייב עונה ע"פ זה</w:t>
      </w:r>
      <w:r w:rsidRPr="00AF1DC8">
        <w:rPr>
          <w:rStyle w:val="ac"/>
          <w:rFonts w:ascii="Narkisim" w:hAnsi="Narkisim"/>
          <w:rtl/>
        </w:rPr>
        <w:footnoteReference w:id="2534"/>
      </w:r>
      <w:r w:rsidRPr="00AF1DC8">
        <w:rPr>
          <w:rFonts w:ascii="Narkisim" w:hAnsi="Narkisim"/>
        </w:rPr>
        <w:t xml:space="preserve">. </w:t>
      </w:r>
      <w:r w:rsidRPr="00AF1DC8">
        <w:rPr>
          <w:rFonts w:ascii="Narkisim" w:hAnsi="Narkisim"/>
          <w:sz w:val="20"/>
          <w:szCs w:val="20"/>
          <w:rtl/>
        </w:rPr>
        <w:t>וה</w:t>
      </w:r>
      <w:r w:rsidRPr="00AF1DC8">
        <w:rPr>
          <w:rFonts w:ascii="Narkisim" w:hAnsi="Narkisim"/>
          <w:b/>
          <w:bCs/>
          <w:sz w:val="20"/>
          <w:szCs w:val="20"/>
          <w:rtl/>
        </w:rPr>
        <w:t>שו"ע</w:t>
      </w:r>
      <w:r w:rsidRPr="00AF1DC8">
        <w:rPr>
          <w:rFonts w:ascii="Narkisim" w:hAnsi="Narkisim"/>
          <w:sz w:val="20"/>
          <w:szCs w:val="20"/>
          <w:rtl/>
        </w:rPr>
        <w:t xml:space="preserve"> (עו ח, וכ"כ ה</w:t>
      </w:r>
      <w:r w:rsidRPr="00AF1DC8">
        <w:rPr>
          <w:rFonts w:ascii="Narkisim" w:hAnsi="Narkisim"/>
          <w:b/>
          <w:bCs/>
          <w:sz w:val="20"/>
          <w:szCs w:val="20"/>
          <w:rtl/>
        </w:rPr>
        <w:t>ריטב"א</w:t>
      </w:r>
      <w:r w:rsidRPr="00AF1DC8">
        <w:rPr>
          <w:rFonts w:ascii="Narkisim" w:hAnsi="Narkisim"/>
          <w:sz w:val="20"/>
          <w:szCs w:val="20"/>
          <w:rtl/>
        </w:rPr>
        <w:t xml:space="preserve"> בסוגיין</w:t>
      </w:r>
      <w:r w:rsidRPr="00AF1DC8">
        <w:rPr>
          <w:rStyle w:val="ac"/>
          <w:rFonts w:ascii="Narkisim" w:hAnsi="Narkisim"/>
          <w:sz w:val="20"/>
          <w:szCs w:val="20"/>
          <w:rtl/>
        </w:rPr>
        <w:footnoteReference w:id="2535"/>
      </w:r>
      <w:r w:rsidRPr="00AF1DC8">
        <w:rPr>
          <w:rFonts w:ascii="Narkisim" w:hAnsi="Narkisim"/>
          <w:sz w:val="20"/>
          <w:szCs w:val="20"/>
          <w:rtl/>
        </w:rPr>
        <w:t>) כ' דבמקום שנהגו שלא לישא אסור, וכ"ש אם התנה שלא לישא על אשתו</w:t>
      </w:r>
      <w:r w:rsidRPr="00AF1DC8">
        <w:rPr>
          <w:rFonts w:ascii="Narkisim" w:hAnsi="Narkisim"/>
          <w:sz w:val="20"/>
          <w:szCs w:val="20"/>
        </w:rPr>
        <w:t>.</w:t>
      </w:r>
    </w:p>
    <w:p w14:paraId="4EA1CE42"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שו"ע</w:t>
      </w:r>
      <w:r w:rsidRPr="00AF1DC8">
        <w:rPr>
          <w:rFonts w:ascii="Narkisim" w:hAnsi="Narkisim"/>
          <w:rtl/>
        </w:rPr>
        <w:t xml:space="preserve"> (א י) הביא ד</w:t>
      </w:r>
      <w:r w:rsidRPr="00AF1DC8">
        <w:rPr>
          <w:rFonts w:ascii="Narkisim" w:hAnsi="Narkisim"/>
          <w:b/>
          <w:bCs/>
          <w:rtl/>
        </w:rPr>
        <w:t>רגמ"ה</w:t>
      </w:r>
      <w:r w:rsidRPr="00AF1DC8">
        <w:rPr>
          <w:rFonts w:ascii="Narkisim" w:hAnsi="Narkisim"/>
          <w:rtl/>
        </w:rPr>
        <w:t xml:space="preserve"> החרים שלא ישא אשה על אשתו [שלא להכניס קטטה בתוך ביתו]</w:t>
      </w:r>
      <w:r w:rsidRPr="00AF1DC8">
        <w:rPr>
          <w:rStyle w:val="ac"/>
          <w:rFonts w:ascii="Narkisim" w:hAnsi="Narkisim"/>
          <w:rtl/>
        </w:rPr>
        <w:footnoteReference w:id="2536"/>
      </w:r>
      <w:r w:rsidRPr="00AF1DC8">
        <w:rPr>
          <w:rFonts w:ascii="Narkisim" w:hAnsi="Narkisim"/>
        </w:rPr>
        <w:t xml:space="preserve">, </w:t>
      </w:r>
      <w:r w:rsidRPr="00AF1DC8">
        <w:rPr>
          <w:rFonts w:ascii="Narkisim" w:hAnsi="Narkisim"/>
          <w:rtl/>
        </w:rPr>
        <w:t>ובמקום מצוות יבום מותר [וכ”כ ה</w:t>
      </w:r>
      <w:r w:rsidRPr="00AF1DC8">
        <w:rPr>
          <w:rFonts w:ascii="Narkisim" w:hAnsi="Narkisim"/>
          <w:b/>
          <w:bCs/>
          <w:rtl/>
        </w:rPr>
        <w:t>ריטב”א</w:t>
      </w:r>
      <w:r w:rsidRPr="00AF1DC8">
        <w:rPr>
          <w:rFonts w:ascii="Narkisim" w:hAnsi="Narkisim"/>
          <w:rtl/>
        </w:rPr>
        <w:t>]. אבל ה</w:t>
      </w:r>
      <w:r w:rsidRPr="00AF1DC8">
        <w:rPr>
          <w:rFonts w:ascii="Narkisim" w:hAnsi="Narkisim"/>
          <w:b/>
          <w:bCs/>
          <w:rtl/>
        </w:rPr>
        <w:t>רמ"א</w:t>
      </w:r>
      <w:r w:rsidRPr="00AF1DC8">
        <w:rPr>
          <w:rFonts w:ascii="Narkisim" w:hAnsi="Narkisim"/>
          <w:rtl/>
        </w:rPr>
        <w:t xml:space="preserve"> הביא [מהמרדכי] דאף במקום יבום אסור</w:t>
      </w:r>
      <w:r w:rsidRPr="00AF1DC8">
        <w:rPr>
          <w:rFonts w:ascii="Narkisim" w:hAnsi="Narkisim"/>
        </w:rPr>
        <w:t>.</w:t>
      </w:r>
    </w:p>
    <w:p w14:paraId="30729AB6" w14:textId="77777777" w:rsidR="006074A5" w:rsidRPr="00AF1DC8" w:rsidRDefault="006074A5" w:rsidP="006074A5">
      <w:pPr>
        <w:pStyle w:val="2"/>
        <w:bidi/>
        <w:rPr>
          <w:rFonts w:ascii="Narkisim" w:hAnsi="Narkisim"/>
        </w:rPr>
      </w:pPr>
      <w:r w:rsidRPr="00AF1DC8">
        <w:rPr>
          <w:rFonts w:ascii="Narkisim" w:hAnsi="Narkisim"/>
          <w:rtl/>
        </w:rPr>
        <w:t>ונייבם לתרוייהו</w:t>
      </w:r>
    </w:p>
    <w:p w14:paraId="37A5FEB3" w14:textId="77777777" w:rsidR="006074A5" w:rsidRPr="00AF1DC8" w:rsidRDefault="006074A5" w:rsidP="006074A5">
      <w:pPr>
        <w:pStyle w:val="aa"/>
        <w:bidi/>
        <w:rPr>
          <w:rFonts w:ascii="Narkisim" w:hAnsi="Narkisim"/>
        </w:rPr>
      </w:pPr>
      <w:r w:rsidRPr="00AF1DC8">
        <w:rPr>
          <w:rFonts w:ascii="Narkisim" w:hAnsi="Narkisim"/>
          <w:u w:val="single"/>
          <w:rtl/>
        </w:rPr>
        <w:t>ונייבם לתרוייהו וכו'.</w:t>
      </w:r>
      <w:r w:rsidRPr="00AF1DC8">
        <w:rPr>
          <w:rFonts w:ascii="Narkisim" w:hAnsi="Narkisim"/>
          <w:rtl/>
        </w:rPr>
        <w:t xml:space="preserve"> וס"ד דהצווי של מצוות יבום קאי על כל הצרות. ולדעת ר' יוחנן (לעיל י: יא.) היבמה עושה שליחות דהצרות, ולכאורה הצרות פטורות משום שנתקיים בהם יבום בשליחות. ויש </w:t>
      </w:r>
      <w:r w:rsidRPr="00AF1DC8">
        <w:rPr>
          <w:rFonts w:ascii="Narkisim" w:hAnsi="Narkisim"/>
          <w:b/>
          <w:bCs/>
          <w:rtl/>
        </w:rPr>
        <w:t>אחרונים</w:t>
      </w:r>
      <w:r w:rsidRPr="00AF1DC8">
        <w:rPr>
          <w:rFonts w:ascii="Narkisim" w:hAnsi="Narkisim"/>
          <w:rtl/>
        </w:rPr>
        <w:t xml:space="preserve"> שנקטו דסוגיין דלא כר"י, דא"כ הוה כאילו ייבם וחלץ לתרוייהו. אבל יש שפי' דכל הדין שליחות קים להו לחז"ל להגדיר </w:t>
      </w:r>
      <w:r w:rsidRPr="00AF1DC8">
        <w:rPr>
          <w:rFonts w:ascii="Narkisim" w:hAnsi="Narkisim"/>
          <w:rtl/>
        </w:rPr>
        <w:lastRenderedPageBreak/>
        <w:t>הא דסגי ביבום דחדא. וסוגיין קאי לפני שידעינן דלא בעי תרוייהו, ואין מקור כלל לשליחות</w:t>
      </w:r>
      <w:r w:rsidRPr="00AF1DC8">
        <w:rPr>
          <w:rFonts w:ascii="Narkisim" w:hAnsi="Narkisim"/>
        </w:rPr>
        <w:t>.</w:t>
      </w:r>
    </w:p>
    <w:p w14:paraId="7628F6E9"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(קר"א יא.) דנו דבסוגיין ילפי' דבחד יבם ל"צ לייבם ולחלוץ לצרה, אך מנ"ל דיבם הב' אינו חייב. ונימא דאף אחרי שאח א' יבם או חלץ, אחיו יתחייב לייבם את צרתה</w:t>
      </w:r>
      <w:r w:rsidRPr="00AF1DC8">
        <w:rPr>
          <w:rStyle w:val="ac"/>
          <w:rFonts w:ascii="Narkisim" w:hAnsi="Narkisim"/>
          <w:rtl/>
        </w:rPr>
        <w:footnoteReference w:id="2537"/>
      </w:r>
      <w:r w:rsidRPr="00AF1DC8">
        <w:rPr>
          <w:rFonts w:ascii="Narkisim" w:hAnsi="Narkisim"/>
        </w:rPr>
        <w:t xml:space="preserve">. </w:t>
      </w:r>
      <w:r w:rsidRPr="00AF1DC8">
        <w:rPr>
          <w:rFonts w:ascii="Narkisim" w:hAnsi="Narkisim"/>
          <w:rtl/>
        </w:rPr>
        <w:t>[ומנ"ל דקאי עליו באיסור אשת אח לדעת ר"ל, ולר' יוחנן מנ"ל דיש שליחותייהו ואיסור לא יבנה</w:t>
      </w:r>
      <w:r w:rsidRPr="00AF1DC8">
        <w:rPr>
          <w:rStyle w:val="ac"/>
          <w:rFonts w:ascii="Narkisim" w:hAnsi="Narkisim"/>
          <w:rtl/>
        </w:rPr>
        <w:footnoteReference w:id="2538"/>
      </w:r>
      <w:r w:rsidRPr="00AF1DC8">
        <w:rPr>
          <w:rFonts w:ascii="Narkisim" w:hAnsi="Narkisim"/>
          <w:rtl/>
        </w:rPr>
        <w:t>]</w:t>
      </w:r>
      <w:r w:rsidRPr="00AF1DC8">
        <w:rPr>
          <w:rFonts w:ascii="Narkisim" w:hAnsi="Narkisim"/>
        </w:rPr>
        <w:t>.</w:t>
      </w:r>
    </w:p>
    <w:p w14:paraId="1C953957" w14:textId="77777777" w:rsidR="006074A5" w:rsidRPr="00AF1DC8" w:rsidRDefault="006074A5" w:rsidP="006074A5">
      <w:pPr>
        <w:pStyle w:val="aa"/>
        <w:bidi/>
        <w:rPr>
          <w:rFonts w:ascii="Narkisim" w:hAnsi="Narkisim"/>
        </w:rPr>
      </w:pPr>
      <w:r w:rsidRPr="00AF1DC8">
        <w:rPr>
          <w:rFonts w:ascii="Narkisim" w:hAnsi="Narkisim"/>
          <w:u w:val="single"/>
          <w:rtl/>
        </w:rPr>
        <w:t>בית א' הוא בונה ואינו בונה ב' בתים.</w:t>
      </w:r>
      <w:r w:rsidRPr="00AF1DC8">
        <w:rPr>
          <w:rFonts w:ascii="Narkisim" w:hAnsi="Narkisim"/>
          <w:rtl/>
        </w:rPr>
        <w:t xml:space="preserve"> דעת </w:t>
      </w:r>
      <w:r w:rsidRPr="00AF1DC8">
        <w:rPr>
          <w:rFonts w:ascii="Narkisim" w:hAnsi="Narkisim"/>
          <w:b/>
          <w:bCs/>
          <w:rtl/>
        </w:rPr>
        <w:t>רש"י</w:t>
      </w:r>
      <w:r w:rsidRPr="00AF1DC8">
        <w:rPr>
          <w:rFonts w:ascii="Narkisim" w:hAnsi="Narkisim"/>
          <w:rtl/>
        </w:rPr>
        <w:t xml:space="preserve"> (לעיל יא.) דהוה עשה</w:t>
      </w:r>
      <w:r w:rsidRPr="00AF1DC8">
        <w:rPr>
          <w:rStyle w:val="ac"/>
          <w:rFonts w:ascii="Narkisim" w:hAnsi="Narkisim"/>
          <w:rtl/>
        </w:rPr>
        <w:footnoteReference w:id="2539"/>
      </w:r>
      <w:r w:rsidRPr="00AF1DC8">
        <w:rPr>
          <w:rFonts w:ascii="Narkisim" w:hAnsi="Narkisim"/>
        </w:rPr>
        <w:t xml:space="preserve">, </w:t>
      </w:r>
      <w:r w:rsidRPr="00AF1DC8">
        <w:rPr>
          <w:rFonts w:ascii="Narkisim" w:hAnsi="Narkisim"/>
          <w:rtl/>
        </w:rPr>
        <w:t>ו</w:t>
      </w:r>
      <w:r w:rsidRPr="00AF1DC8">
        <w:rPr>
          <w:rFonts w:ascii="Narkisim" w:hAnsi="Narkisim"/>
          <w:b/>
          <w:bCs/>
          <w:rtl/>
        </w:rPr>
        <w:t>תוס'</w:t>
      </w:r>
      <w:r w:rsidRPr="00AF1DC8">
        <w:rPr>
          <w:rFonts w:ascii="Narkisim" w:hAnsi="Narkisim"/>
          <w:rtl/>
        </w:rPr>
        <w:t xml:space="preserve"> (שם ד"ה חד) חלקו דעובר בלאו דלא יבנה, דכיון דלא בנה את הצרה שוב לא יבנה. [ומשמע בתוס' דגלי קרא דאי"צ לבנות ב' בתים, ועי”ז הוה בכלל לא יבנה</w:t>
      </w:r>
      <w:r w:rsidRPr="00AF1DC8">
        <w:rPr>
          <w:rStyle w:val="ac"/>
          <w:rFonts w:ascii="Narkisim" w:hAnsi="Narkisim"/>
          <w:rtl/>
        </w:rPr>
        <w:footnoteReference w:id="2540"/>
      </w:r>
      <w:r w:rsidRPr="00AF1DC8">
        <w:rPr>
          <w:rFonts w:ascii="Narkisim" w:hAnsi="Narkisim"/>
          <w:rtl/>
        </w:rPr>
        <w:t>]</w:t>
      </w:r>
      <w:r w:rsidRPr="00AF1DC8">
        <w:rPr>
          <w:rFonts w:ascii="Narkisim" w:hAnsi="Narkisim"/>
        </w:rPr>
        <w:t>.</w:t>
      </w:r>
    </w:p>
    <w:p w14:paraId="23C57947"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 xml:space="preserve">רמב"ם </w:t>
      </w:r>
      <w:r w:rsidRPr="00AF1DC8">
        <w:rPr>
          <w:rFonts w:ascii="Narkisim" w:hAnsi="Narkisim"/>
          <w:rtl/>
        </w:rPr>
        <w:t>(א יב) כת' דנאסרו בצרות באיסור עשה. שנאמר יבמה יבא עליה</w:t>
      </w:r>
      <w:r w:rsidRPr="00AF1DC8">
        <w:rPr>
          <w:rStyle w:val="ac"/>
          <w:rFonts w:ascii="Narkisim" w:hAnsi="Narkisim"/>
          <w:rtl/>
        </w:rPr>
        <w:footnoteReference w:id="2541"/>
      </w:r>
      <w:r w:rsidRPr="00AF1DC8">
        <w:rPr>
          <w:rFonts w:ascii="Narkisim" w:hAnsi="Narkisim"/>
        </w:rPr>
        <w:t xml:space="preserve">, </w:t>
      </w:r>
      <w:r w:rsidRPr="00AF1DC8">
        <w:rPr>
          <w:rFonts w:ascii="Narkisim" w:hAnsi="Narkisim"/>
          <w:rtl/>
        </w:rPr>
        <w:t>ולא עליה וצרותיה. וצ"ב אמאי שבק קרא דסוגיין. [ועוד דהו"ל לגמ' להביא קרא דסוגיין]. וה</w:t>
      </w:r>
      <w:r w:rsidRPr="00AF1DC8">
        <w:rPr>
          <w:rFonts w:ascii="Narkisim" w:hAnsi="Narkisim"/>
          <w:b/>
          <w:bCs/>
          <w:rtl/>
        </w:rPr>
        <w:t>או"ש</w:t>
      </w:r>
      <w:r w:rsidRPr="00AF1DC8">
        <w:rPr>
          <w:rFonts w:ascii="Narkisim" w:hAnsi="Narkisim"/>
          <w:rtl/>
        </w:rPr>
        <w:t xml:space="preserve"> כת' דמשום בית א' הוא בונה ילפי' דאינו חייב לייבם תרוייהו, ולא ילפי' דיש בזה איסור</w:t>
      </w:r>
      <w:r w:rsidRPr="00AF1DC8">
        <w:rPr>
          <w:rFonts w:ascii="Narkisim" w:hAnsi="Narkisim"/>
        </w:rPr>
        <w:t>.</w:t>
      </w:r>
    </w:p>
    <w:p w14:paraId="69CA54E2"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בית מאיר</w:t>
      </w:r>
      <w:r w:rsidRPr="00AF1DC8">
        <w:rPr>
          <w:rFonts w:ascii="Narkisim" w:hAnsi="Narkisim"/>
          <w:rtl/>
        </w:rPr>
        <w:t xml:space="preserve"> (קסא) כת' דאי משום מיעוט 'ולא עליה וצרותיה' הוי רק איסור עשה, וחייבי עשה נתרבו לחליצה. ואילו דרשא דבית א' הוא בונה הוי מיעוט בעיקר דין היבום. וה</w:t>
      </w:r>
      <w:r w:rsidRPr="00AF1DC8">
        <w:rPr>
          <w:rFonts w:ascii="Narkisim" w:hAnsi="Narkisim"/>
          <w:b/>
          <w:bCs/>
          <w:rtl/>
        </w:rPr>
        <w:t>אבה"א</w:t>
      </w:r>
      <w:r w:rsidRPr="00AF1DC8">
        <w:rPr>
          <w:rFonts w:ascii="Narkisim" w:hAnsi="Narkisim"/>
          <w:rtl/>
        </w:rPr>
        <w:t xml:space="preserve"> כת' דהרמב"ם קאי לשיטתו (שם) דאם בא עליה לאחר חליצה הוה איסור דרבנן, ד'לא יבנה' הוה אסמכתא. [ובסוגיין דרשי' גילוי דלא רמי לשניהם, אבל אין בזה איסור]</w:t>
      </w:r>
      <w:r w:rsidRPr="00AF1DC8">
        <w:rPr>
          <w:rFonts w:ascii="Narkisim" w:hAnsi="Narkisim"/>
        </w:rPr>
        <w:t>.</w:t>
      </w:r>
    </w:p>
    <w:p w14:paraId="122755DE" w14:textId="77777777" w:rsidR="006074A5" w:rsidRPr="00AF1DC8" w:rsidRDefault="006074A5" w:rsidP="006074A5">
      <w:pPr>
        <w:bidi/>
        <w:rPr>
          <w:rFonts w:ascii="Narkisim" w:hAnsi="Narkisim" w:cs="Narkisim"/>
        </w:rPr>
      </w:pPr>
      <w:r w:rsidRPr="00AF1DC8">
        <w:rPr>
          <w:rFonts w:ascii="Narkisim" w:hAnsi="Narkisim" w:cs="Narkisim"/>
          <w:u w:val="single"/>
          <w:rtl/>
        </w:rPr>
        <w:t>בית א' הוא חולץ ואין חולץ ב' בתים.</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כתב דילפי' מהכא דפטור מדאורייתא. ואפשר דאיכא נמי קפידא ואיסור דאורייתא לחלוץ ולבזות שלא לצורך. וה</w:t>
      </w:r>
      <w:r w:rsidRPr="00AF1DC8">
        <w:rPr>
          <w:rFonts w:ascii="Narkisim" w:hAnsi="Narkisim" w:cs="Narkisim"/>
          <w:b/>
          <w:bCs/>
          <w:rtl/>
        </w:rPr>
        <w:t>ב"ח</w:t>
      </w:r>
      <w:r w:rsidRPr="00AF1DC8">
        <w:rPr>
          <w:rFonts w:ascii="Narkisim" w:hAnsi="Narkisim" w:cs="Narkisim"/>
          <w:rtl/>
        </w:rPr>
        <w:t xml:space="preserve"> (קסא) דייק מהטור דיש איסור דאורייתא לחלוץ לשניה</w:t>
      </w:r>
      <w:r w:rsidRPr="00AF1DC8">
        <w:rPr>
          <w:rStyle w:val="ac"/>
          <w:rFonts w:ascii="Narkisim" w:hAnsi="Narkisim" w:cs="Narkisim"/>
          <w:rtl/>
        </w:rPr>
        <w:footnoteReference w:id="2542"/>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בי"ש</w:t>
      </w:r>
      <w:r w:rsidRPr="00AF1DC8">
        <w:rPr>
          <w:rFonts w:ascii="Narkisim" w:hAnsi="Narkisim" w:cs="Narkisim"/>
          <w:rtl/>
        </w:rPr>
        <w:t xml:space="preserve"> (קסא א) חלק דאין איסור בזה</w:t>
      </w:r>
      <w:r w:rsidRPr="00AF1DC8">
        <w:rPr>
          <w:rStyle w:val="ac"/>
          <w:rFonts w:ascii="Narkisim" w:hAnsi="Narkisim" w:cs="Narkisim"/>
          <w:rtl/>
        </w:rPr>
        <w:footnoteReference w:id="2543"/>
      </w:r>
      <w:r w:rsidRPr="00AF1DC8">
        <w:rPr>
          <w:rFonts w:ascii="Narkisim" w:hAnsi="Narkisim" w:cs="Narkisim"/>
        </w:rPr>
        <w:t xml:space="preserve">. </w:t>
      </w:r>
      <w:r w:rsidRPr="00AF1DC8">
        <w:rPr>
          <w:rFonts w:ascii="Narkisim" w:hAnsi="Narkisim" w:cs="Narkisim"/>
          <w:rtl/>
        </w:rPr>
        <w:t>ובכמה מקומות תקנו לחלוץ לתרוייהו</w:t>
      </w:r>
      <w:r w:rsidRPr="00AF1DC8">
        <w:rPr>
          <w:rStyle w:val="ac"/>
          <w:rFonts w:ascii="Narkisim" w:hAnsi="Narkisim" w:cs="Narkisim"/>
          <w:rtl/>
        </w:rPr>
        <w:footnoteReference w:id="2544"/>
      </w:r>
      <w:r w:rsidRPr="00AF1DC8">
        <w:rPr>
          <w:rFonts w:ascii="Narkisim" w:hAnsi="Narkisim" w:cs="Narkisim"/>
        </w:rPr>
        <w:t xml:space="preserve">. </w:t>
      </w:r>
      <w:r w:rsidRPr="00AF1DC8">
        <w:rPr>
          <w:rFonts w:ascii="Narkisim" w:hAnsi="Narkisim" w:cs="Narkisim"/>
          <w:rtl/>
        </w:rPr>
        <w:t>והביא דמבואר מדברי ה</w:t>
      </w:r>
      <w:r w:rsidRPr="00AF1DC8">
        <w:rPr>
          <w:rFonts w:ascii="Narkisim" w:hAnsi="Narkisim" w:cs="Narkisim"/>
          <w:b/>
          <w:bCs/>
          <w:rtl/>
        </w:rPr>
        <w:t>תוס'</w:t>
      </w:r>
      <w:r w:rsidRPr="00AF1DC8">
        <w:rPr>
          <w:rFonts w:ascii="Narkisim" w:hAnsi="Narkisim" w:cs="Narkisim"/>
          <w:rtl/>
        </w:rPr>
        <w:t xml:space="preserve"> (ד"ה כי) דלמסקנא ל"צ קרא. וע"כ הוה גילוי דאי"צ חליצה, ולא הוה מיעוט</w:t>
      </w:r>
      <w:r w:rsidRPr="00AF1DC8">
        <w:rPr>
          <w:rFonts w:ascii="Narkisim" w:hAnsi="Narkisim" w:cs="Narkisim"/>
        </w:rPr>
        <w:t>.</w:t>
      </w:r>
    </w:p>
    <w:p w14:paraId="0A15F17B" w14:textId="77777777" w:rsidR="006074A5" w:rsidRPr="00AF1DC8" w:rsidRDefault="006074A5" w:rsidP="006074A5">
      <w:pPr>
        <w:bidi/>
        <w:rPr>
          <w:rFonts w:ascii="Narkisim" w:hAnsi="Narkisim" w:cs="Narkisim"/>
        </w:rPr>
      </w:pPr>
      <w:r w:rsidRPr="00AF1DC8">
        <w:rPr>
          <w:rFonts w:ascii="Narkisim" w:hAnsi="Narkisim" w:cs="Narkisim"/>
          <w:u w:val="single"/>
          <w:rtl/>
        </w:rPr>
        <w:t>ונייבם לחדא ונחלוץ לחדא, אמר קרא וכו' כל שאינו עולה ליבום אין עולה לחליצה</w:t>
      </w:r>
      <w:r w:rsidRPr="00AF1DC8">
        <w:rPr>
          <w:rFonts w:ascii="Narkisim" w:hAnsi="Narkisim" w:cs="Narkisim"/>
          <w:rtl/>
        </w:rPr>
        <w:t xml:space="preserve">. </w:t>
      </w:r>
      <w:r w:rsidRPr="00AF1DC8">
        <w:rPr>
          <w:rFonts w:ascii="Narkisim" w:hAnsi="Narkisim" w:cs="Narkisim"/>
          <w:szCs w:val="20"/>
          <w:rtl/>
        </w:rPr>
        <w:t>[וילפי' דמותרת לשוק בלא חליצה]</w:t>
      </w:r>
      <w:r w:rsidRPr="00AF1DC8">
        <w:rPr>
          <w:rFonts w:ascii="Narkisim" w:hAnsi="Narkisim" w:cs="Narkisim"/>
          <w:rtl/>
        </w:rPr>
        <w:t>. וה</w:t>
      </w:r>
      <w:r w:rsidRPr="00AF1DC8">
        <w:rPr>
          <w:rFonts w:ascii="Narkisim" w:hAnsi="Narkisim" w:cs="Narkisim"/>
          <w:b/>
          <w:bCs/>
          <w:rtl/>
        </w:rPr>
        <w:t>פסקי הרי"ד</w:t>
      </w:r>
      <w:r w:rsidRPr="00AF1DC8">
        <w:rPr>
          <w:rFonts w:ascii="Narkisim" w:hAnsi="Narkisim" w:cs="Narkisim"/>
          <w:rtl/>
        </w:rPr>
        <w:t xml:space="preserve"> הק' דליכא אלא עשה, וחייבי לאו ועשה זקוקין לחליצה [וכדאי' לעיל כ.]</w:t>
      </w:r>
      <w:r w:rsidRPr="00AF1DC8">
        <w:rPr>
          <w:rFonts w:ascii="Narkisim" w:hAnsi="Narkisim" w:cs="Narkisim"/>
        </w:rPr>
        <w:t>.</w:t>
      </w:r>
    </w:p>
    <w:p w14:paraId="06DDA845" w14:textId="77777777" w:rsidR="006074A5" w:rsidRPr="00AF1DC8" w:rsidRDefault="006074A5" w:rsidP="006074A5">
      <w:pPr>
        <w:pStyle w:val="a8"/>
        <w:bidi/>
        <w:rPr>
          <w:rFonts w:ascii="Narkisim" w:hAnsi="Narkisim"/>
        </w:rPr>
      </w:pPr>
      <w:r w:rsidRPr="00AF1DC8">
        <w:rPr>
          <w:rFonts w:ascii="Narkisim" w:hAnsi="Narkisim"/>
        </w:rPr>
        <w:t>[</w:t>
      </w:r>
      <w:r w:rsidRPr="00AF1DC8">
        <w:rPr>
          <w:rFonts w:ascii="Narkisim" w:hAnsi="Narkisim"/>
          <w:rtl/>
        </w:rPr>
        <w:t>אך לדעת ר"ל ע"י איסור שאינה בונה ב' בתים חזרה לאיסור אשת אח, ואינה עשה בעלמא, וכ”כ ה</w:t>
      </w:r>
      <w:r w:rsidRPr="00AF1DC8">
        <w:rPr>
          <w:rFonts w:ascii="Narkisim" w:hAnsi="Narkisim"/>
          <w:b/>
          <w:bCs/>
          <w:rtl/>
        </w:rPr>
        <w:t>ריטב”א</w:t>
      </w:r>
      <w:r w:rsidRPr="00AF1DC8">
        <w:rPr>
          <w:rFonts w:ascii="Narkisim" w:hAnsi="Narkisim"/>
        </w:rPr>
        <w:t>].</w:t>
      </w:r>
    </w:p>
    <w:p w14:paraId="008D1578" w14:textId="77777777" w:rsidR="006074A5" w:rsidRPr="00AF1DC8" w:rsidRDefault="006074A5" w:rsidP="006074A5">
      <w:pPr>
        <w:pStyle w:val="a7"/>
        <w:bidi/>
        <w:rPr>
          <w:rFonts w:ascii="Narkisim" w:hAnsi="Narkisim"/>
        </w:rPr>
      </w:pPr>
      <w:r w:rsidRPr="00AF1DC8">
        <w:rPr>
          <w:rFonts w:ascii="Narkisim" w:hAnsi="Narkisim"/>
          <w:rtl/>
        </w:rPr>
        <w:t>והרי"ד תי' דכיון דפטרה רחמנא מיבום ה"ה מחליצה. אבל שאר חייבי לאוין לא פטרה רחמנא מיבום. אבל הכא דרשי' אם לא יחפוץ, לא הצריך הבורא חליצה אלא במי שהוצרך יבום. וכ"כ ה</w:t>
      </w:r>
      <w:r w:rsidRPr="00AF1DC8">
        <w:rPr>
          <w:rFonts w:ascii="Narkisim" w:hAnsi="Narkisim"/>
          <w:b/>
          <w:bCs/>
          <w:rtl/>
        </w:rPr>
        <w:t>קר"א</w:t>
      </w:r>
      <w:r w:rsidRPr="00AF1DC8">
        <w:rPr>
          <w:rFonts w:ascii="Narkisim" w:hAnsi="Narkisim"/>
          <w:rtl/>
        </w:rPr>
        <w:t xml:space="preserve"> דלא דמי לחייבי לאו ועשה, דהכא התורה פטרו מזיקתו, ואסורה לייבם חשיב אינה עולה ליבום אף דהוה עשה. </w:t>
      </w:r>
      <w:r w:rsidRPr="00AF1DC8">
        <w:rPr>
          <w:rFonts w:ascii="Narkisim" w:hAnsi="Narkisim"/>
          <w:sz w:val="20"/>
          <w:szCs w:val="20"/>
          <w:rtl/>
        </w:rPr>
        <w:t>[וע”ע בסמוך מש”כ בחי' ר”א מן ההר]</w:t>
      </w:r>
      <w:r w:rsidRPr="00AF1DC8">
        <w:rPr>
          <w:rFonts w:ascii="Narkisim" w:hAnsi="Narkisim"/>
          <w:sz w:val="20"/>
          <w:szCs w:val="20"/>
        </w:rPr>
        <w:t>.</w:t>
      </w:r>
    </w:p>
    <w:p w14:paraId="3F7D4B20" w14:textId="77777777" w:rsidR="006074A5" w:rsidRPr="00AF1DC8" w:rsidRDefault="006074A5" w:rsidP="006074A5">
      <w:pPr>
        <w:pStyle w:val="aa"/>
        <w:bidi/>
        <w:rPr>
          <w:rFonts w:ascii="Narkisim" w:hAnsi="Narkisim"/>
        </w:rPr>
      </w:pPr>
      <w:r w:rsidRPr="00AF1DC8">
        <w:rPr>
          <w:rFonts w:ascii="Narkisim" w:hAnsi="Narkisim"/>
          <w:u w:val="single"/>
          <w:rtl/>
        </w:rPr>
        <w:t>כל העולה ליבום וכו'.</w:t>
      </w:r>
      <w:r w:rsidRPr="00AF1DC8">
        <w:rPr>
          <w:rFonts w:ascii="Narkisim" w:hAnsi="Narkisim"/>
          <w:rtl/>
        </w:rPr>
        <w:t xml:space="preserve"> ה</w:t>
      </w:r>
      <w:r w:rsidRPr="00AF1DC8">
        <w:rPr>
          <w:rFonts w:ascii="Narkisim" w:hAnsi="Narkisim"/>
          <w:b/>
          <w:bCs/>
          <w:rtl/>
        </w:rPr>
        <w:t>ריטב"א</w:t>
      </w:r>
      <w:r w:rsidRPr="00AF1DC8">
        <w:rPr>
          <w:rFonts w:ascii="Narkisim" w:hAnsi="Narkisim"/>
          <w:rtl/>
        </w:rPr>
        <w:t xml:space="preserve"> כתב דאע"ג דטעם פשוט בכ"מ, הכא ס"ד דכבר עלתה ליבום בשעת נפילה, דבשעת נפילה היה יכול לייבם. והשתא מפרקינן דבעינן בשעת נפילה ממש</w:t>
      </w:r>
      <w:r w:rsidRPr="00AF1DC8">
        <w:rPr>
          <w:rFonts w:ascii="Narkisim" w:hAnsi="Narkisim"/>
        </w:rPr>
        <w:t>.</w:t>
      </w:r>
    </w:p>
    <w:p w14:paraId="44B7DCBF" w14:textId="77777777" w:rsidR="006074A5" w:rsidRPr="00AF1DC8" w:rsidRDefault="006074A5" w:rsidP="006074A5">
      <w:pPr>
        <w:bidi/>
        <w:rPr>
          <w:rFonts w:ascii="Narkisim" w:hAnsi="Narkisim" w:cs="Narkisim"/>
        </w:rPr>
      </w:pPr>
      <w:r w:rsidRPr="00AF1DC8">
        <w:rPr>
          <w:rFonts w:ascii="Narkisim" w:hAnsi="Narkisim" w:cs="Narkisim"/>
          <w:u w:val="single"/>
          <w:rtl/>
        </w:rPr>
        <w:t>תוד"ה ונייבם.</w:t>
      </w:r>
      <w:r w:rsidRPr="00AF1DC8">
        <w:rPr>
          <w:rFonts w:ascii="Narkisim" w:hAnsi="Narkisim" w:cs="Narkisim"/>
          <w:rtl/>
        </w:rPr>
        <w:t xml:space="preserve"> אית ספרים וכו' אמר קרא אשר לא יבנה</w:t>
      </w:r>
      <w:r w:rsidRPr="00AF1DC8">
        <w:rPr>
          <w:rStyle w:val="ac"/>
          <w:rFonts w:ascii="Narkisim" w:hAnsi="Narkisim" w:cs="Narkisim"/>
          <w:rtl/>
        </w:rPr>
        <w:footnoteReference w:id="2545"/>
      </w:r>
      <w:r w:rsidRPr="00AF1DC8">
        <w:rPr>
          <w:rFonts w:ascii="Narkisim" w:hAnsi="Narkisim" w:cs="Narkisim"/>
        </w:rPr>
        <w:t xml:space="preserve">. </w:t>
      </w:r>
      <w:r w:rsidRPr="00AF1DC8">
        <w:rPr>
          <w:rFonts w:ascii="Narkisim" w:hAnsi="Narkisim" w:cs="Narkisim"/>
          <w:rtl/>
        </w:rPr>
        <w:t xml:space="preserve">ועוד וכו' משמע דהשניה מותרת לשוק. </w:t>
      </w:r>
      <w:r w:rsidRPr="00AF1DC8">
        <w:rPr>
          <w:rFonts w:ascii="Narkisim" w:hAnsi="Narkisim" w:cs="Narkisim"/>
          <w:sz w:val="20"/>
          <w:szCs w:val="20"/>
          <w:rtl/>
        </w:rPr>
        <w:t>[ע' מהרש"א].</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תי' דקס”ד דלא ניפטר כל הבית בחליצה א', דכמו גט דאינה יוצאת לשוק בגט צרתה, כן חליצה של זו ל"מ לפטור חברתה. ולכן כשיש ב' בתים </w:t>
      </w:r>
      <w:r w:rsidRPr="00AF1DC8">
        <w:rPr>
          <w:rFonts w:ascii="Narkisim" w:hAnsi="Narkisim" w:cs="Narkisim"/>
          <w:rtl/>
        </w:rPr>
        <w:lastRenderedPageBreak/>
        <w:t>ע"כ ייבם איזה שירצה, ויחלוץ לשניה. [וה</w:t>
      </w:r>
      <w:r w:rsidRPr="00AF1DC8">
        <w:rPr>
          <w:rFonts w:ascii="Narkisim" w:hAnsi="Narkisim" w:cs="Narkisim"/>
          <w:b/>
          <w:bCs/>
          <w:rtl/>
        </w:rPr>
        <w:t>ריטב"א</w:t>
      </w:r>
      <w:r w:rsidRPr="00AF1DC8">
        <w:rPr>
          <w:rFonts w:ascii="Narkisim" w:hAnsi="Narkisim" w:cs="Narkisim"/>
          <w:rtl/>
        </w:rPr>
        <w:t xml:space="preserve"> הוסיף דאין סברא שתצא השניה בכדי</w:t>
      </w:r>
      <w:r w:rsidRPr="00AF1DC8">
        <w:rPr>
          <w:rStyle w:val="ac"/>
          <w:rFonts w:ascii="Narkisim" w:hAnsi="Narkisim" w:cs="Narkisim"/>
          <w:rtl/>
        </w:rPr>
        <w:footnoteReference w:id="2546"/>
      </w:r>
      <w:r w:rsidRPr="00AF1DC8">
        <w:rPr>
          <w:rFonts w:ascii="Narkisim" w:hAnsi="Narkisim" w:cs="Narkisim"/>
          <w:rtl/>
        </w:rPr>
        <w:t xml:space="preserve">].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הביאו דנח' הרמב"ן והתוס' האם חליצה הוה מצוה [והקמת שם] או רק פוטר את הזיקה</w:t>
      </w:r>
      <w:r w:rsidRPr="00AF1DC8">
        <w:rPr>
          <w:rFonts w:ascii="Narkisim" w:hAnsi="Narkisim" w:cs="Narkisim"/>
          <w:sz w:val="20"/>
          <w:szCs w:val="20"/>
        </w:rPr>
        <w:t>.</w:t>
      </w:r>
    </w:p>
    <w:p w14:paraId="5C9C73A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וה</w:t>
      </w:r>
      <w:r w:rsidRPr="00AF1DC8">
        <w:rPr>
          <w:rFonts w:ascii="Narkisim" w:hAnsi="Narkisim"/>
          <w:b/>
          <w:bCs/>
          <w:rtl/>
        </w:rPr>
        <w:t>רשב"א</w:t>
      </w:r>
      <w:r w:rsidRPr="00AF1DC8">
        <w:rPr>
          <w:rFonts w:ascii="Narkisim" w:hAnsi="Narkisim"/>
          <w:rtl/>
        </w:rPr>
        <w:t xml:space="preserve"> הוסיפו דאף לר"ל מיעוטא משום שלא יבנה אחר שלא בנה, וכיון שכן מוקמינן לה אדינא כאילו לא הותרה ליבום, והויא אשת אח שלא במקום מצוה</w:t>
      </w:r>
      <w:r w:rsidRPr="00AF1DC8">
        <w:rPr>
          <w:rStyle w:val="ac"/>
          <w:rFonts w:ascii="Narkisim" w:hAnsi="Narkisim"/>
          <w:rtl/>
        </w:rPr>
        <w:footnoteReference w:id="2547"/>
      </w:r>
      <w:r w:rsidRPr="00AF1DC8">
        <w:rPr>
          <w:rFonts w:ascii="Narkisim" w:hAnsi="Narkisim"/>
        </w:rPr>
        <w:t xml:space="preserve">. </w:t>
      </w:r>
      <w:r w:rsidRPr="00AF1DC8">
        <w:rPr>
          <w:rFonts w:ascii="Narkisim" w:hAnsi="Narkisim"/>
          <w:rtl/>
        </w:rPr>
        <w:t>אבל חלוצה במקום מצוה היא, ופרח ממנה איסור אשת אח לגמרי מסברא, כיון שעלתה עמו לחלוץ או לייבם</w:t>
      </w:r>
      <w:r w:rsidRPr="00AF1DC8">
        <w:rPr>
          <w:rFonts w:ascii="Narkisim" w:hAnsi="Narkisim"/>
        </w:rPr>
        <w:t>.</w:t>
      </w:r>
    </w:p>
    <w:p w14:paraId="790EFAC7"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(חי' הגר"נ י:) הביאו דמבואר ברשב"א דסברת ר”ל דכלפי האחים והצרות הוה 'שלא במקום מצוה', ולכן חוזר האיסור אשת אח. ואף ר"ל ס"ל דהותר האיסור אשת אח לגמרי בשעת נפילה [וכיסוד הרשב”א מא.], אלא דס"ל דכלפי האחין והצרות דכבר לא נחשב 'מקום יבום</w:t>
      </w:r>
      <w:r w:rsidRPr="00AF1DC8">
        <w:rPr>
          <w:rFonts w:ascii="Narkisim" w:hAnsi="Narkisim"/>
        </w:rPr>
        <w:t>'</w:t>
      </w:r>
      <w:r w:rsidRPr="00AF1DC8">
        <w:rPr>
          <w:rStyle w:val="ac"/>
          <w:rFonts w:ascii="Narkisim" w:hAnsi="Narkisim"/>
        </w:rPr>
        <w:footnoteReference w:id="2548"/>
      </w:r>
      <w:r w:rsidRPr="00AF1DC8">
        <w:rPr>
          <w:rFonts w:ascii="Narkisim" w:hAnsi="Narkisim"/>
        </w:rPr>
        <w:t>.</w:t>
      </w:r>
    </w:p>
    <w:p w14:paraId="4EB7AE4F" w14:textId="77777777" w:rsidR="006074A5" w:rsidRPr="00AF1DC8" w:rsidRDefault="006074A5" w:rsidP="006074A5">
      <w:pPr>
        <w:pStyle w:val="a7"/>
        <w:bidi/>
        <w:rPr>
          <w:rFonts w:ascii="Narkisim" w:hAnsi="Narkisim"/>
        </w:rPr>
      </w:pPr>
      <w:r w:rsidRPr="00AF1DC8">
        <w:rPr>
          <w:rFonts w:ascii="Narkisim" w:hAnsi="Narkisim"/>
          <w:rtl/>
        </w:rPr>
        <w:t>ועוד תי' ה</w:t>
      </w:r>
      <w:r w:rsidRPr="00AF1DC8">
        <w:rPr>
          <w:rFonts w:ascii="Narkisim" w:hAnsi="Narkisim"/>
          <w:b/>
          <w:bCs/>
          <w:rtl/>
        </w:rPr>
        <w:t xml:space="preserve">רמב"ן </w:t>
      </w:r>
      <w:r w:rsidRPr="00AF1DC8">
        <w:rPr>
          <w:rFonts w:ascii="Narkisim" w:hAnsi="Narkisim"/>
          <w:rtl/>
        </w:rPr>
        <w:t>וה</w:t>
      </w:r>
      <w:r w:rsidRPr="00AF1DC8">
        <w:rPr>
          <w:rFonts w:ascii="Narkisim" w:hAnsi="Narkisim"/>
          <w:b/>
          <w:bCs/>
          <w:rtl/>
        </w:rPr>
        <w:t>רשב"א</w:t>
      </w:r>
      <w:r w:rsidRPr="00AF1DC8">
        <w:rPr>
          <w:rFonts w:ascii="Narkisim" w:hAnsi="Narkisim"/>
          <w:rtl/>
        </w:rPr>
        <w:t xml:space="preserve"> </w:t>
      </w:r>
      <w:r w:rsidRPr="00AF1DC8">
        <w:rPr>
          <w:rFonts w:ascii="Narkisim" w:hAnsi="Narkisim"/>
          <w:i/>
          <w:iCs/>
          <w:rtl/>
        </w:rPr>
        <w:t>א"נ</w:t>
      </w:r>
      <w:r w:rsidRPr="00AF1DC8">
        <w:rPr>
          <w:rFonts w:ascii="Narkisim" w:hAnsi="Narkisim"/>
          <w:rtl/>
        </w:rPr>
        <w:t xml:space="preserve"> השתא דילפי' מלא יבנה, תו לא אצטריך הך דרשא דכיון שאין שניהם מתייבמות אחת פוטרת את חברתה. ולכן מייתר לא יבנה ללאו דחלוצה. וכ"כ </w:t>
      </w:r>
      <w:r w:rsidRPr="00AF1DC8">
        <w:rPr>
          <w:rFonts w:ascii="Narkisim" w:hAnsi="Narkisim"/>
          <w:b/>
          <w:bCs/>
          <w:rtl/>
        </w:rPr>
        <w:t>תוס</w:t>
      </w:r>
      <w:r w:rsidRPr="00AF1DC8">
        <w:rPr>
          <w:rFonts w:ascii="Narkisim" w:hAnsi="Narkisim"/>
          <w:rtl/>
        </w:rPr>
        <w:t>' (י: ד"ה איהו)</w:t>
      </w:r>
      <w:r w:rsidRPr="00AF1DC8">
        <w:rPr>
          <w:rFonts w:ascii="Narkisim" w:hAnsi="Narkisim"/>
        </w:rPr>
        <w:t>.</w:t>
      </w:r>
    </w:p>
    <w:p w14:paraId="77A6FD03" w14:textId="77777777" w:rsidR="006074A5" w:rsidRPr="00AF1DC8" w:rsidRDefault="006074A5" w:rsidP="006074A5">
      <w:pPr>
        <w:bidi/>
        <w:rPr>
          <w:rFonts w:ascii="Narkisim" w:hAnsi="Narkisim" w:cs="Narkisim"/>
        </w:rPr>
      </w:pPr>
      <w:r w:rsidRPr="00AF1DC8">
        <w:rPr>
          <w:rFonts w:ascii="Narkisim" w:hAnsi="Narkisim" w:cs="Narkisim"/>
          <w:u w:val="single"/>
          <w:rtl/>
        </w:rPr>
        <w:t>תוד"ה כל.</w:t>
      </w:r>
      <w:r w:rsidRPr="00AF1DC8">
        <w:rPr>
          <w:rFonts w:ascii="Narkisim" w:hAnsi="Narkisim" w:cs="Narkisim"/>
          <w:rtl/>
        </w:rPr>
        <w:t xml:space="preserve"> וא"ת הרי חרש וחרשת, דאינן עולין לחליצה ועולין ליבום</w:t>
      </w:r>
      <w:r w:rsidRPr="00AF1DC8">
        <w:rPr>
          <w:rStyle w:val="ac"/>
          <w:rFonts w:ascii="Narkisim" w:hAnsi="Narkisim" w:cs="Narkisim"/>
          <w:rtl/>
        </w:rPr>
        <w:footnoteReference w:id="2549"/>
      </w:r>
      <w:r w:rsidRPr="00AF1DC8">
        <w:rPr>
          <w:rFonts w:ascii="Narkisim" w:hAnsi="Narkisim" w:cs="Narkisim"/>
        </w:rPr>
        <w:t xml:space="preserve">. </w:t>
      </w:r>
      <w:r w:rsidRPr="00AF1DC8">
        <w:rPr>
          <w:rFonts w:ascii="Narkisim" w:hAnsi="Narkisim" w:cs="Narkisim"/>
          <w:rtl/>
        </w:rPr>
        <w:t>בגמ' אי' דכל העולה ליבום עולה לחליצה, ומבואר דפשיט"ל לתוס' דאמרי' [להיפך] כל שאינה עולה לחליצה אינה עולה ליבום</w:t>
      </w:r>
      <w:r w:rsidRPr="00AF1DC8">
        <w:rPr>
          <w:rStyle w:val="ac"/>
          <w:rFonts w:ascii="Narkisim" w:hAnsi="Narkisim" w:cs="Narkisim"/>
          <w:sz w:val="20"/>
          <w:szCs w:val="20"/>
          <w:rtl/>
        </w:rPr>
        <w:footnoteReference w:id="2550"/>
      </w:r>
      <w:r w:rsidRPr="00AF1DC8">
        <w:rPr>
          <w:rFonts w:ascii="Narkisim" w:hAnsi="Narkisim" w:cs="Narkisim"/>
        </w:rPr>
        <w:t xml:space="preserve">. </w:t>
      </w:r>
      <w:r w:rsidRPr="00AF1DC8">
        <w:rPr>
          <w:rFonts w:ascii="Narkisim" w:hAnsi="Narkisim" w:cs="Narkisim"/>
          <w:szCs w:val="20"/>
          <w:rtl/>
        </w:rPr>
        <w:t>(</w:t>
      </w:r>
      <w:r w:rsidRPr="00AF1DC8">
        <w:rPr>
          <w:rFonts w:ascii="Narkisim" w:hAnsi="Narkisim" w:cs="Narkisim"/>
          <w:sz w:val="20"/>
          <w:szCs w:val="20"/>
          <w:rtl/>
        </w:rPr>
        <w:t>וכ”כ תוד”ה ונייבם)</w:t>
      </w:r>
      <w:r w:rsidRPr="00AF1DC8">
        <w:rPr>
          <w:rFonts w:ascii="Narkisim" w:hAnsi="Narkisim" w:cs="Narkisim"/>
          <w:sz w:val="20"/>
          <w:szCs w:val="20"/>
        </w:rPr>
        <w:t>.</w:t>
      </w:r>
    </w:p>
    <w:p w14:paraId="5C456701" w14:textId="77777777" w:rsidR="006074A5" w:rsidRPr="00AF1DC8" w:rsidRDefault="006074A5" w:rsidP="006074A5">
      <w:pPr>
        <w:pStyle w:val="a7"/>
        <w:bidi/>
        <w:rPr>
          <w:rFonts w:ascii="Narkisim" w:hAnsi="Narkisim"/>
        </w:rPr>
      </w:pPr>
      <w:r w:rsidRPr="00AF1DC8">
        <w:rPr>
          <w:rFonts w:ascii="Narkisim" w:hAnsi="Narkisim"/>
          <w:rtl/>
        </w:rPr>
        <w:t>וכ"כ ה</w:t>
      </w:r>
      <w:r w:rsidRPr="00AF1DC8">
        <w:rPr>
          <w:rFonts w:ascii="Narkisim" w:hAnsi="Narkisim"/>
          <w:b/>
          <w:bCs/>
          <w:rtl/>
        </w:rPr>
        <w:t>רמב"ם</w:t>
      </w:r>
      <w:r w:rsidRPr="00AF1DC8">
        <w:rPr>
          <w:rFonts w:ascii="Narkisim" w:hAnsi="Narkisim"/>
          <w:rtl/>
        </w:rPr>
        <w:t xml:space="preserve"> </w:t>
      </w:r>
      <w:r w:rsidRPr="00AF1DC8">
        <w:rPr>
          <w:rFonts w:ascii="Narkisim" w:hAnsi="Narkisim"/>
          <w:sz w:val="20"/>
          <w:szCs w:val="20"/>
          <w:rtl/>
        </w:rPr>
        <w:t>(מלכים ב ג)</w:t>
      </w:r>
      <w:r w:rsidRPr="00AF1DC8">
        <w:rPr>
          <w:rFonts w:ascii="Narkisim" w:hAnsi="Narkisim"/>
          <w:rtl/>
        </w:rPr>
        <w:t xml:space="preserve"> דמלך אינו מייבם</w:t>
      </w:r>
      <w:r w:rsidRPr="00AF1DC8">
        <w:rPr>
          <w:rStyle w:val="ac"/>
          <w:rFonts w:ascii="Narkisim" w:hAnsi="Narkisim"/>
          <w:rtl/>
        </w:rPr>
        <w:footnoteReference w:id="2551"/>
      </w:r>
      <w:r w:rsidRPr="00AF1DC8">
        <w:rPr>
          <w:rFonts w:ascii="Narkisim" w:hAnsi="Narkisim"/>
        </w:rPr>
        <w:t xml:space="preserve"> </w:t>
      </w:r>
      <w:r w:rsidRPr="00AF1DC8">
        <w:rPr>
          <w:rFonts w:ascii="Narkisim" w:hAnsi="Narkisim"/>
          <w:rtl/>
        </w:rPr>
        <w:t>את אשת אחיו</w:t>
      </w:r>
      <w:r w:rsidRPr="00AF1DC8">
        <w:rPr>
          <w:rStyle w:val="ac"/>
          <w:rFonts w:ascii="Narkisim" w:hAnsi="Narkisim"/>
          <w:rtl/>
        </w:rPr>
        <w:footnoteReference w:id="2552"/>
      </w:r>
      <w:r w:rsidRPr="00AF1DC8">
        <w:rPr>
          <w:rFonts w:ascii="Narkisim" w:hAnsi="Narkisim"/>
        </w:rPr>
        <w:t xml:space="preserve"> </w:t>
      </w:r>
      <w:r w:rsidRPr="00AF1DC8">
        <w:rPr>
          <w:rFonts w:ascii="Narkisim" w:hAnsi="Narkisim"/>
          <w:rtl/>
        </w:rPr>
        <w:t>כיון דאינו חולץ [דהוה גנאי לרוק בפניו, ואין כבודו מחול]</w:t>
      </w:r>
      <w:r w:rsidRPr="00AF1DC8">
        <w:rPr>
          <w:rStyle w:val="ac"/>
          <w:rFonts w:ascii="Narkisim" w:hAnsi="Narkisim"/>
          <w:sz w:val="20"/>
          <w:szCs w:val="20"/>
          <w:rtl/>
        </w:rPr>
        <w:footnoteReference w:id="2553"/>
      </w:r>
      <w:r w:rsidRPr="00AF1DC8">
        <w:rPr>
          <w:rFonts w:ascii="Narkisim" w:hAnsi="Narkisim"/>
          <w:sz w:val="20"/>
          <w:szCs w:val="20"/>
        </w:rPr>
        <w:t xml:space="preserve">. </w:t>
      </w:r>
      <w:r w:rsidRPr="00AF1DC8">
        <w:rPr>
          <w:rFonts w:ascii="Narkisim" w:hAnsi="Narkisim"/>
          <w:rtl/>
        </w:rPr>
        <w:t>אלא תשב בזיקתה לעולם</w:t>
      </w:r>
      <w:r w:rsidRPr="00AF1DC8">
        <w:rPr>
          <w:rStyle w:val="ac"/>
          <w:rFonts w:ascii="Narkisim" w:hAnsi="Narkisim"/>
          <w:rtl/>
        </w:rPr>
        <w:footnoteReference w:id="2554"/>
      </w:r>
      <w:r w:rsidRPr="00AF1DC8">
        <w:rPr>
          <w:rFonts w:ascii="Narkisim" w:hAnsi="Narkisim"/>
          <w:sz w:val="20"/>
          <w:szCs w:val="20"/>
        </w:rPr>
        <w:t>.</w:t>
      </w:r>
      <w:r w:rsidRPr="00AF1DC8">
        <w:rPr>
          <w:rFonts w:ascii="Narkisim" w:hAnsi="Narkisim"/>
        </w:rPr>
        <w:t xml:space="preserve"> </w:t>
      </w:r>
      <w:r w:rsidRPr="00AF1DC8">
        <w:rPr>
          <w:rFonts w:ascii="Narkisim" w:hAnsi="Narkisim"/>
          <w:rtl/>
        </w:rPr>
        <w:t>וה</w:t>
      </w:r>
      <w:r w:rsidRPr="00AF1DC8">
        <w:rPr>
          <w:rFonts w:ascii="Narkisim" w:hAnsi="Narkisim"/>
          <w:b/>
          <w:bCs/>
          <w:rtl/>
        </w:rPr>
        <w:t>תוי"ט</w:t>
      </w:r>
      <w:r w:rsidRPr="00AF1DC8">
        <w:rPr>
          <w:rFonts w:ascii="Narkisim" w:hAnsi="Narkisim"/>
          <w:rtl/>
        </w:rPr>
        <w:t xml:space="preserve"> </w:t>
      </w:r>
      <w:r w:rsidRPr="00AF1DC8">
        <w:rPr>
          <w:rFonts w:ascii="Narkisim" w:hAnsi="Narkisim"/>
          <w:szCs w:val="20"/>
          <w:rtl/>
        </w:rPr>
        <w:t>(</w:t>
      </w:r>
      <w:r w:rsidRPr="00AF1DC8">
        <w:rPr>
          <w:rFonts w:ascii="Narkisim" w:hAnsi="Narkisim"/>
          <w:sz w:val="20"/>
          <w:szCs w:val="20"/>
          <w:rtl/>
        </w:rPr>
        <w:t>סנהדרין ב ב)</w:t>
      </w:r>
      <w:r w:rsidRPr="00AF1DC8">
        <w:rPr>
          <w:rFonts w:ascii="Narkisim" w:hAnsi="Narkisim"/>
          <w:rtl/>
        </w:rPr>
        <w:t xml:space="preserve"> תמה דמצאנו כל העולה ליבום עולה לחליצה, אבל לא מצאנו בשום מקום דכל העולה לחליצה עולה ליבום. ו</w:t>
      </w:r>
      <w:r w:rsidRPr="00AF1DC8">
        <w:rPr>
          <w:rFonts w:ascii="Narkisim" w:hAnsi="Narkisim"/>
          <w:b/>
          <w:bCs/>
          <w:rtl/>
        </w:rPr>
        <w:t>רע"א</w:t>
      </w:r>
      <w:r w:rsidRPr="00AF1DC8">
        <w:rPr>
          <w:rFonts w:ascii="Narkisim" w:hAnsi="Narkisim"/>
          <w:rtl/>
        </w:rPr>
        <w:t xml:space="preserve"> ציין לתוס' דידן</w:t>
      </w:r>
      <w:r w:rsidRPr="00AF1DC8">
        <w:rPr>
          <w:rFonts w:ascii="Narkisim" w:hAnsi="Narkisim"/>
        </w:rPr>
        <w:t>.</w:t>
      </w:r>
    </w:p>
    <w:p w14:paraId="6D8D8892" w14:textId="77777777" w:rsidR="006074A5" w:rsidRPr="00AF1DC8" w:rsidRDefault="006074A5" w:rsidP="006074A5">
      <w:pPr>
        <w:bidi/>
        <w:rPr>
          <w:rFonts w:ascii="Narkisim" w:hAnsi="Narkisim" w:cs="Narkisim"/>
        </w:rPr>
      </w:pPr>
      <w:r w:rsidRPr="00AF1DC8">
        <w:rPr>
          <w:rFonts w:ascii="Narkisim" w:hAnsi="Narkisim" w:cs="Narkisim"/>
          <w:u w:val="single"/>
          <w:rtl/>
        </w:rPr>
        <w:t>בא"ד וי"ל דהתם בני חליצה נינהו אלא דפומייהו הוא דכאיב להו</w:t>
      </w:r>
      <w:r w:rsidRPr="00AF1DC8">
        <w:rPr>
          <w:rStyle w:val="ac"/>
          <w:rFonts w:ascii="Narkisim" w:hAnsi="Narkisim" w:cs="Narkisim"/>
          <w:rtl/>
        </w:rPr>
        <w:footnoteReference w:id="2555"/>
      </w:r>
      <w:r w:rsidRPr="00AF1DC8">
        <w:rPr>
          <w:rFonts w:ascii="Narkisim" w:hAnsi="Narkisim" w:cs="Narkisim"/>
        </w:rPr>
        <w:t xml:space="preserve">. </w:t>
      </w:r>
      <w:r w:rsidRPr="00AF1DC8">
        <w:rPr>
          <w:rFonts w:ascii="Narkisim" w:hAnsi="Narkisim" w:cs="Narkisim"/>
          <w:rtl/>
        </w:rPr>
        <w:t>ה</w:t>
      </w:r>
      <w:r w:rsidRPr="00AF1DC8">
        <w:rPr>
          <w:rFonts w:ascii="Narkisim" w:hAnsi="Narkisim" w:cs="Narkisim"/>
          <w:b/>
          <w:bCs/>
          <w:rtl/>
        </w:rPr>
        <w:t>קובה"ע</w:t>
      </w:r>
      <w:r w:rsidRPr="00AF1DC8">
        <w:rPr>
          <w:rFonts w:ascii="Narkisim" w:hAnsi="Narkisim" w:cs="Narkisim"/>
          <w:rtl/>
        </w:rPr>
        <w:t xml:space="preserve"> (ה יג,ד) ביאר דנחשב דזקוקה לחליצה, אלא דא"א בפועל לחלוץ. </w:t>
      </w:r>
      <w:r w:rsidRPr="00AF1DC8">
        <w:rPr>
          <w:rFonts w:ascii="Narkisim" w:hAnsi="Narkisim" w:cs="Narkisim"/>
          <w:szCs w:val="20"/>
          <w:rtl/>
        </w:rPr>
        <w:t>והיכא דיש חסרון בהיכי תמצי לא נחשב לאו בר חליצה. עי”ש שהאריך האם אמרי' דחסרון בהיכי תמצי נחשב לאו בר כריתות</w:t>
      </w:r>
      <w:r w:rsidRPr="00AF1DC8">
        <w:rPr>
          <w:rFonts w:ascii="Narkisim" w:hAnsi="Narkisim" w:cs="Narkisim"/>
          <w:rtl/>
        </w:rPr>
        <w:t>. ובכל מקום דאמרי' 'כל העולה' איירי דאין דין יבום [ואם בעלו ל"ק]. ועוד כתב ה</w:t>
      </w:r>
      <w:r w:rsidRPr="00AF1DC8">
        <w:rPr>
          <w:rFonts w:ascii="Narkisim" w:hAnsi="Narkisim" w:cs="Narkisim"/>
          <w:b/>
          <w:bCs/>
          <w:rtl/>
        </w:rPr>
        <w:t>קובה"ע</w:t>
      </w:r>
      <w:r w:rsidRPr="00AF1DC8">
        <w:rPr>
          <w:rFonts w:ascii="Narkisim" w:hAnsi="Narkisim" w:cs="Narkisim"/>
          <w:rtl/>
        </w:rPr>
        <w:t xml:space="preserve"> (שם) דתוס' איירי דוקא בחרש דיכול להתרפאות, וכן קטן נחשב עומד לחליצה כשיגדל, וכיון דכן נחשב עי”ז חסרון בהיכי תמצי</w:t>
      </w:r>
      <w:r w:rsidRPr="00AF1DC8">
        <w:rPr>
          <w:rFonts w:ascii="Narkisim" w:hAnsi="Narkisim" w:cs="Narkisim"/>
        </w:rPr>
        <w:t>.</w:t>
      </w:r>
    </w:p>
    <w:p w14:paraId="69BD48DD"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רע”א</w:t>
      </w:r>
      <w:r w:rsidRPr="00AF1DC8">
        <w:rPr>
          <w:rFonts w:ascii="Narkisim" w:hAnsi="Narkisim"/>
          <w:rtl/>
        </w:rPr>
        <w:t xml:space="preserve"> הקשה</w:t>
      </w:r>
      <w:r w:rsidRPr="00AF1DC8">
        <w:rPr>
          <w:rFonts w:ascii="Narkisim" w:hAnsi="Narkisim"/>
          <w:sz w:val="20"/>
          <w:szCs w:val="20"/>
          <w:rtl/>
        </w:rPr>
        <w:t xml:space="preserve"> [על הרמב"ם הנ"ל דיבמה של מלך]</w:t>
      </w:r>
      <w:r w:rsidRPr="00AF1DC8">
        <w:rPr>
          <w:rFonts w:ascii="Narkisim" w:hAnsi="Narkisim"/>
          <w:rtl/>
        </w:rPr>
        <w:t xml:space="preserve"> דאף גבי מלך נימא דפומיה כאיב, ויחשב ראוי </w:t>
      </w:r>
      <w:r w:rsidRPr="00AF1DC8">
        <w:rPr>
          <w:rFonts w:ascii="Narkisim" w:hAnsi="Narkisim"/>
          <w:rtl/>
        </w:rPr>
        <w:lastRenderedPageBreak/>
        <w:t>לחליצה ויבום. וקשה מ”ש מחרש. וה</w:t>
      </w:r>
      <w:r w:rsidRPr="00AF1DC8">
        <w:rPr>
          <w:rFonts w:ascii="Narkisim" w:hAnsi="Narkisim"/>
          <w:b/>
          <w:bCs/>
          <w:rtl/>
        </w:rPr>
        <w:t>קובה”ע</w:t>
      </w:r>
      <w:r w:rsidRPr="00AF1DC8">
        <w:rPr>
          <w:rFonts w:ascii="Narkisim" w:hAnsi="Narkisim"/>
          <w:rtl/>
        </w:rPr>
        <w:t xml:space="preserve"> (ה ה) תי' דמלך נחשב לאו בר חליצה, כיון דאף בעתיד לא יבוא לידי היתר</w:t>
      </w:r>
      <w:r w:rsidRPr="00AF1DC8">
        <w:rPr>
          <w:rStyle w:val="ac"/>
          <w:rFonts w:ascii="Narkisim" w:hAnsi="Narkisim"/>
          <w:rtl/>
        </w:rPr>
        <w:footnoteReference w:id="2556"/>
      </w:r>
      <w:r w:rsidRPr="00AF1DC8">
        <w:rPr>
          <w:rFonts w:ascii="Narkisim" w:hAnsi="Narkisim"/>
        </w:rPr>
        <w:t>.</w:t>
      </w:r>
    </w:p>
    <w:p w14:paraId="1DA141FF" w14:textId="77777777" w:rsidR="006074A5" w:rsidRPr="00AF1DC8" w:rsidRDefault="006074A5" w:rsidP="006074A5">
      <w:pPr>
        <w:pStyle w:val="a8"/>
        <w:bidi/>
        <w:rPr>
          <w:rFonts w:ascii="Narkisim" w:hAnsi="Narkisim"/>
        </w:rPr>
      </w:pPr>
      <w:r w:rsidRPr="00AF1DC8">
        <w:rPr>
          <w:rFonts w:ascii="Narkisim" w:hAnsi="Narkisim"/>
        </w:rPr>
        <w:t xml:space="preserve"> </w:t>
      </w:r>
      <w:r w:rsidRPr="00AF1DC8">
        <w:rPr>
          <w:rFonts w:ascii="Narkisim" w:hAnsi="Narkisim"/>
          <w:rtl/>
        </w:rPr>
        <w:t>אבל קשה דגבי ג' חדשים דהמתנה (לעיל מא:) אמרי' כל העולה, אף במה דתליא במעשה בחליצה. וצ”ל דהכא כיון דא”א לא גזרו, וכ"כ ה</w:t>
      </w:r>
      <w:r w:rsidRPr="00AF1DC8">
        <w:rPr>
          <w:rFonts w:ascii="Narkisim" w:hAnsi="Narkisim"/>
          <w:b/>
          <w:bCs/>
          <w:rtl/>
        </w:rPr>
        <w:t>חזו"א</w:t>
      </w:r>
      <w:r w:rsidRPr="00AF1DC8">
        <w:rPr>
          <w:rFonts w:ascii="Narkisim" w:hAnsi="Narkisim"/>
        </w:rPr>
        <w:t>.</w:t>
      </w:r>
    </w:p>
    <w:p w14:paraId="4E6D82D7" w14:textId="77777777" w:rsidR="006074A5" w:rsidRPr="00AF1DC8" w:rsidRDefault="006074A5" w:rsidP="006074A5">
      <w:pPr>
        <w:bidi/>
        <w:rPr>
          <w:rFonts w:ascii="Narkisim" w:hAnsi="Narkisim" w:cs="Narkisim"/>
        </w:rPr>
      </w:pPr>
      <w:r w:rsidRPr="00AF1DC8">
        <w:rPr>
          <w:rFonts w:ascii="Narkisim" w:hAnsi="Narkisim" w:cs="Narkisim"/>
          <w:u w:val="single"/>
          <w:rtl/>
        </w:rPr>
        <w:t>תוד"ה ועוד.</w:t>
      </w:r>
      <w:r w:rsidRPr="00AF1DC8">
        <w:rPr>
          <w:rFonts w:ascii="Narkisim" w:hAnsi="Narkisim" w:cs="Narkisim"/>
          <w:rtl/>
        </w:rPr>
        <w:t xml:space="preserve"> לא גרסי' ועוד וכו', דאי מדאורייתא וכו' משום גזירה לא יניח. וה</w:t>
      </w:r>
      <w:r w:rsidRPr="00AF1DC8">
        <w:rPr>
          <w:rFonts w:ascii="Narkisim" w:hAnsi="Narkisim" w:cs="Narkisim"/>
          <w:b/>
          <w:bCs/>
          <w:rtl/>
        </w:rPr>
        <w:t>רמב"ן</w:t>
      </w:r>
      <w:r w:rsidRPr="00AF1DC8">
        <w:rPr>
          <w:rFonts w:ascii="Narkisim" w:hAnsi="Narkisim" w:cs="Narkisim"/>
          <w:rtl/>
        </w:rPr>
        <w:t xml:space="preserve"> (וריטב"א) כתב דכוונת הגמ' וכ"ת נהי דמדאורייתא אינה חולצת, מ"מ תחלוץ מדרבנן [כדי שלא יאמרו יבמה יוצאת בלא כלום]. והגמ' דוחה אדרבה יאמרו בית מקצתו בנוי. </w:t>
      </w:r>
      <w:r w:rsidRPr="00AF1DC8">
        <w:rPr>
          <w:rFonts w:ascii="Narkisim" w:hAnsi="Narkisim" w:cs="Narkisim"/>
          <w:szCs w:val="20"/>
          <w:rtl/>
        </w:rPr>
        <w:t>וכת' דהוה מצי למימר גזירה דילמא חליץ והדר מיבם וקאי בלא יבנה [וכדלעיל לב.]</w:t>
      </w:r>
      <w:r w:rsidRPr="00AF1DC8">
        <w:rPr>
          <w:rFonts w:ascii="Narkisim" w:hAnsi="Narkisim" w:cs="Narkisim"/>
          <w:szCs w:val="20"/>
        </w:rPr>
        <w:t>.</w:t>
      </w:r>
    </w:p>
    <w:p w14:paraId="5A415C94" w14:textId="77777777" w:rsidR="006074A5" w:rsidRPr="00AF1DC8" w:rsidRDefault="006074A5" w:rsidP="006074A5">
      <w:pPr>
        <w:pStyle w:val="a7"/>
        <w:bidi/>
        <w:rPr>
          <w:rFonts w:ascii="Narkisim" w:hAnsi="Narkisim"/>
        </w:rPr>
      </w:pPr>
      <w:r w:rsidRPr="00AF1DC8">
        <w:rPr>
          <w:rFonts w:ascii="Narkisim" w:hAnsi="Narkisim"/>
          <w:rtl/>
        </w:rPr>
        <w:t>אבל ב</w:t>
      </w:r>
      <w:r w:rsidRPr="00AF1DC8">
        <w:rPr>
          <w:rFonts w:ascii="Narkisim" w:hAnsi="Narkisim"/>
          <w:b/>
          <w:bCs/>
          <w:rtl/>
        </w:rPr>
        <w:t>חי' ר"א מן ההר</w:t>
      </w:r>
      <w:r w:rsidRPr="00AF1DC8">
        <w:rPr>
          <w:rFonts w:ascii="Narkisim" w:hAnsi="Narkisim"/>
          <w:rtl/>
        </w:rPr>
        <w:t xml:space="preserve"> כת' אפי' תימא דמהאי קרא לא ממעטינן דאינה חולצת מה"ת אלא חייבי כריתות שאינן עולין לחליצה, והכא משום 'לא יבנה' הוה רק חייבי לאוין. ומש"ה לא חלצה משום גזירה. [ומבואר בדבריו דכיון דא”א לחלוץ משום גזירה מותרת לשוק, דרבנן הפקיעו דינא. וצ"ע</w:t>
      </w:r>
      <w:r w:rsidRPr="00AF1DC8">
        <w:rPr>
          <w:rStyle w:val="ac"/>
          <w:rFonts w:ascii="Narkisim" w:hAnsi="Narkisim"/>
          <w:rtl/>
        </w:rPr>
        <w:footnoteReference w:id="2557"/>
      </w:r>
      <w:r w:rsidRPr="00AF1DC8">
        <w:rPr>
          <w:rFonts w:ascii="Narkisim" w:hAnsi="Narkisim"/>
          <w:rtl/>
        </w:rPr>
        <w:t>]</w:t>
      </w:r>
      <w:r w:rsidRPr="00AF1DC8">
        <w:rPr>
          <w:rFonts w:ascii="Narkisim" w:hAnsi="Narkisim"/>
        </w:rPr>
        <w:t>.</w:t>
      </w:r>
    </w:p>
    <w:p w14:paraId="188977E1" w14:textId="77777777" w:rsidR="006074A5" w:rsidRPr="00AF1DC8" w:rsidRDefault="006074A5" w:rsidP="006074A5">
      <w:pPr>
        <w:bidi/>
        <w:rPr>
          <w:rFonts w:ascii="Narkisim" w:hAnsi="Narkisim" w:cs="Narkisim"/>
        </w:rPr>
      </w:pPr>
      <w:r w:rsidRPr="00AF1DC8">
        <w:rPr>
          <w:rFonts w:ascii="Narkisim" w:hAnsi="Narkisim" w:cs="Narkisim"/>
          <w:u w:val="single"/>
          <w:rtl/>
        </w:rPr>
        <w:t>כי איכא תרתי לא תתקיים וכו'.</w:t>
      </w:r>
      <w:r w:rsidRPr="00AF1DC8">
        <w:rPr>
          <w:rFonts w:ascii="Narkisim" w:hAnsi="Narkisim" w:cs="Narkisim"/>
          <w:rtl/>
        </w:rPr>
        <w:t xml:space="preserve"> [קמ"ל יבמתו יבמתו ריבה]. ה</w:t>
      </w:r>
      <w:r w:rsidRPr="00AF1DC8">
        <w:rPr>
          <w:rFonts w:ascii="Narkisim" w:hAnsi="Narkisim" w:cs="Narkisim"/>
          <w:b/>
          <w:bCs/>
          <w:rtl/>
        </w:rPr>
        <w:t>ריטב"א</w:t>
      </w:r>
      <w:r w:rsidRPr="00AF1DC8">
        <w:rPr>
          <w:rFonts w:ascii="Narkisim" w:hAnsi="Narkisim" w:cs="Narkisim"/>
          <w:rtl/>
        </w:rPr>
        <w:t xml:space="preserve"> ביאר דהכי עדיף ומסתבר טפי שלא יתייבמו כלל, מלומר דכולם עולים ליבום ונפקי בכדי</w:t>
      </w:r>
      <w:r w:rsidRPr="00AF1DC8">
        <w:rPr>
          <w:rStyle w:val="ac"/>
          <w:rFonts w:ascii="Narkisim" w:hAnsi="Narkisim" w:cs="Narkisim"/>
          <w:rtl/>
        </w:rPr>
        <w:footnoteReference w:id="2558"/>
      </w:r>
      <w:r w:rsidRPr="00AF1DC8">
        <w:rPr>
          <w:rFonts w:ascii="Narkisim" w:hAnsi="Narkisim" w:cs="Narkisim"/>
        </w:rPr>
        <w:t xml:space="preserve"> </w:t>
      </w:r>
      <w:r w:rsidRPr="00AF1DC8">
        <w:rPr>
          <w:rFonts w:ascii="Narkisim" w:hAnsi="Narkisim" w:cs="Narkisim"/>
          <w:rtl/>
        </w:rPr>
        <w:t xml:space="preserve">בר מחד. </w:t>
      </w:r>
      <w:r w:rsidRPr="00AF1DC8">
        <w:rPr>
          <w:rFonts w:ascii="Narkisim" w:hAnsi="Narkisim" w:cs="Narkisim"/>
          <w:sz w:val="20"/>
          <w:szCs w:val="20"/>
          <w:rtl/>
        </w:rPr>
        <w:t>וא"ת הא אמרי' בית א' הוא בונה ואינו בונה ב', וכן בחליצה. וי"ל דה"ק אינו ראוי לבנות ולחלוץ ב' בתים</w:t>
      </w:r>
      <w:r w:rsidRPr="00AF1DC8">
        <w:rPr>
          <w:rStyle w:val="ac"/>
          <w:rFonts w:ascii="Narkisim" w:hAnsi="Narkisim" w:cs="Narkisim"/>
          <w:sz w:val="20"/>
          <w:szCs w:val="20"/>
          <w:rtl/>
        </w:rPr>
        <w:footnoteReference w:id="2559"/>
      </w:r>
      <w:r w:rsidRPr="00AF1DC8">
        <w:rPr>
          <w:rFonts w:ascii="Narkisim" w:hAnsi="Narkisim" w:cs="Narkisim"/>
          <w:sz w:val="20"/>
          <w:szCs w:val="20"/>
        </w:rPr>
        <w:t xml:space="preserve">. </w:t>
      </w:r>
      <w:r w:rsidRPr="00AF1DC8">
        <w:rPr>
          <w:rFonts w:ascii="Narkisim" w:hAnsi="Narkisim" w:cs="Narkisim"/>
          <w:rtl/>
        </w:rPr>
        <w:t>וה</w:t>
      </w:r>
      <w:r w:rsidRPr="00AF1DC8">
        <w:rPr>
          <w:rFonts w:ascii="Narkisim" w:hAnsi="Narkisim" w:cs="Narkisim"/>
          <w:b/>
          <w:bCs/>
          <w:rtl/>
        </w:rPr>
        <w:t>תו"י</w:t>
      </w:r>
      <w:r w:rsidRPr="00AF1DC8">
        <w:rPr>
          <w:rFonts w:ascii="Narkisim" w:hAnsi="Narkisim" w:cs="Narkisim"/>
          <w:rtl/>
        </w:rPr>
        <w:t xml:space="preserve"> כת' לדרוש דבמקום ב' בתים אינו ראוי לבנות כלל</w:t>
      </w:r>
      <w:r w:rsidRPr="00AF1DC8">
        <w:rPr>
          <w:rFonts w:ascii="Narkisim" w:hAnsi="Narkisim" w:cs="Narkisim"/>
        </w:rPr>
        <w:t>.</w:t>
      </w:r>
    </w:p>
    <w:p w14:paraId="6CC8AB9B" w14:textId="77777777" w:rsidR="006074A5" w:rsidRPr="00AF1DC8" w:rsidRDefault="006074A5" w:rsidP="006074A5">
      <w:pPr>
        <w:pStyle w:val="a8"/>
        <w:bidi/>
        <w:rPr>
          <w:rFonts w:ascii="Narkisim" w:hAnsi="Narkisim"/>
        </w:rPr>
      </w:pPr>
      <w:r w:rsidRPr="00AF1DC8">
        <w:rPr>
          <w:rFonts w:ascii="Narkisim" w:hAnsi="Narkisim"/>
          <w:rtl/>
        </w:rPr>
        <w:t>ועוד יש שפי' דקוש' הגמ' דע"י שליחותייהו יחשב בונה ב' בתים</w:t>
      </w:r>
      <w:r w:rsidRPr="00AF1DC8">
        <w:rPr>
          <w:rStyle w:val="ac"/>
          <w:rFonts w:ascii="Narkisim" w:hAnsi="Narkisim"/>
          <w:rtl/>
        </w:rPr>
        <w:footnoteReference w:id="2560"/>
      </w:r>
      <w:r w:rsidRPr="00AF1DC8">
        <w:rPr>
          <w:rFonts w:ascii="Narkisim" w:hAnsi="Narkisim"/>
        </w:rPr>
        <w:t xml:space="preserve">. </w:t>
      </w:r>
      <w:r w:rsidRPr="00AF1DC8">
        <w:rPr>
          <w:rFonts w:ascii="Narkisim" w:hAnsi="Narkisim"/>
          <w:rtl/>
        </w:rPr>
        <w:t>קמ"ל</w:t>
      </w:r>
      <w:r w:rsidRPr="00AF1DC8">
        <w:rPr>
          <w:rStyle w:val="ac"/>
          <w:rFonts w:ascii="Narkisim" w:hAnsi="Narkisim"/>
          <w:rtl/>
        </w:rPr>
        <w:footnoteReference w:id="2561"/>
      </w:r>
      <w:r w:rsidRPr="00AF1DC8">
        <w:rPr>
          <w:rFonts w:ascii="Narkisim" w:hAnsi="Narkisim"/>
        </w:rPr>
        <w:t>.</w:t>
      </w:r>
    </w:p>
    <w:p w14:paraId="696C5457" w14:textId="77777777" w:rsidR="006074A5" w:rsidRPr="00AF1DC8" w:rsidRDefault="006074A5" w:rsidP="006074A5">
      <w:pPr>
        <w:pStyle w:val="aa"/>
        <w:bidi/>
        <w:rPr>
          <w:rFonts w:ascii="Narkisim" w:hAnsi="Narkisim"/>
        </w:rPr>
      </w:pPr>
      <w:r w:rsidRPr="00AF1DC8">
        <w:rPr>
          <w:rFonts w:ascii="Narkisim" w:hAnsi="Narkisim"/>
          <w:u w:val="single"/>
          <w:rtl/>
        </w:rPr>
        <w:t>שם. כי איכא תרתי</w:t>
      </w:r>
      <w:r w:rsidRPr="00AF1DC8">
        <w:rPr>
          <w:rFonts w:ascii="Narkisim" w:hAnsi="Narkisim"/>
          <w:rtl/>
        </w:rPr>
        <w:t>. ב</w:t>
      </w:r>
      <w:r w:rsidRPr="00AF1DC8">
        <w:rPr>
          <w:rFonts w:ascii="Narkisim" w:hAnsi="Narkisim"/>
          <w:b/>
          <w:bCs/>
          <w:rtl/>
        </w:rPr>
        <w:t>תוס'</w:t>
      </w:r>
      <w:r w:rsidRPr="00AF1DC8">
        <w:rPr>
          <w:rFonts w:ascii="Narkisim" w:hAnsi="Narkisim"/>
          <w:rtl/>
        </w:rPr>
        <w:t xml:space="preserve"> מבואר דכל החסרון כשב' זקוקות ליבום. וה</w:t>
      </w:r>
      <w:r w:rsidRPr="00AF1DC8">
        <w:rPr>
          <w:rFonts w:ascii="Narkisim" w:hAnsi="Narkisim"/>
          <w:b/>
          <w:bCs/>
          <w:rtl/>
        </w:rPr>
        <w:t>קר"א</w:t>
      </w:r>
      <w:r w:rsidRPr="00AF1DC8">
        <w:rPr>
          <w:rFonts w:ascii="Narkisim" w:hAnsi="Narkisim"/>
          <w:rtl/>
        </w:rPr>
        <w:t xml:space="preserve"> הקשה דנמעט אף במקום דשניהם זקוקות לו לחליצה</w:t>
      </w:r>
      <w:r w:rsidRPr="00AF1DC8">
        <w:rPr>
          <w:rFonts w:ascii="Narkisim" w:hAnsi="Narkisim"/>
        </w:rPr>
        <w:t>.</w:t>
      </w:r>
    </w:p>
    <w:p w14:paraId="7BEC7155" w14:textId="77777777" w:rsidR="006074A5" w:rsidRPr="00AF1DC8" w:rsidRDefault="006074A5" w:rsidP="006074A5">
      <w:pPr>
        <w:bidi/>
        <w:rPr>
          <w:rFonts w:ascii="Narkisim" w:hAnsi="Narkisim" w:cs="Narkisim"/>
        </w:rPr>
      </w:pPr>
      <w:r w:rsidRPr="00AF1DC8">
        <w:rPr>
          <w:rFonts w:ascii="Narkisim" w:hAnsi="Narkisim" w:cs="Narkisim"/>
          <w:u w:val="single"/>
          <w:rtl/>
        </w:rPr>
        <w:t>תוד"ה אלמה.</w:t>
      </w:r>
      <w:r w:rsidRPr="00AF1DC8">
        <w:rPr>
          <w:rFonts w:ascii="Narkisim" w:hAnsi="Narkisim" w:cs="Narkisim"/>
          <w:rtl/>
        </w:rPr>
        <w:t xml:space="preserve"> וי"ל דמשכח"ל שהערוה מחייבי עשה או ל"ת ועשה</w:t>
      </w:r>
      <w:r w:rsidRPr="00AF1DC8">
        <w:rPr>
          <w:rStyle w:val="ac"/>
          <w:rFonts w:ascii="Narkisim" w:hAnsi="Narkisim" w:cs="Narkisim"/>
          <w:rtl/>
        </w:rPr>
        <w:footnoteReference w:id="2562"/>
      </w:r>
      <w:r w:rsidRPr="00AF1DC8">
        <w:rPr>
          <w:rFonts w:ascii="Narkisim" w:hAnsi="Narkisim" w:cs="Narkisim"/>
        </w:rPr>
        <w:t xml:space="preserve"> </w:t>
      </w:r>
      <w:r w:rsidRPr="00AF1DC8">
        <w:rPr>
          <w:rFonts w:ascii="Narkisim" w:hAnsi="Narkisim" w:cs="Narkisim"/>
          <w:rtl/>
        </w:rPr>
        <w:t>וכו'</w:t>
      </w:r>
      <w:r w:rsidRPr="00AF1DC8">
        <w:rPr>
          <w:rStyle w:val="ac"/>
          <w:rFonts w:ascii="Narkisim" w:hAnsi="Narkisim" w:cs="Narkisim"/>
          <w:rtl/>
        </w:rPr>
        <w:footnoteReference w:id="2563"/>
      </w:r>
      <w:r w:rsidRPr="00AF1DC8">
        <w:rPr>
          <w:rFonts w:ascii="Narkisim" w:hAnsi="Narkisim" w:cs="Narkisim"/>
          <w:rtl/>
        </w:rPr>
        <w:t xml:space="preserve">, דלאו בת יבום. </w:t>
      </w:r>
      <w:r w:rsidRPr="00AF1DC8">
        <w:rPr>
          <w:rFonts w:ascii="Narkisim" w:hAnsi="Narkisim" w:cs="Narkisim"/>
          <w:sz w:val="20"/>
          <w:szCs w:val="20"/>
          <w:rtl/>
        </w:rPr>
        <w:t>[ו</w:t>
      </w:r>
      <w:r w:rsidRPr="00AF1DC8">
        <w:rPr>
          <w:rFonts w:ascii="Narkisim" w:hAnsi="Narkisim" w:cs="Narkisim"/>
          <w:b/>
          <w:bCs/>
          <w:sz w:val="20"/>
          <w:szCs w:val="20"/>
          <w:rtl/>
        </w:rPr>
        <w:t>תוס</w:t>
      </w:r>
      <w:r w:rsidRPr="00AF1DC8">
        <w:rPr>
          <w:rFonts w:ascii="Narkisim" w:hAnsi="Narkisim" w:cs="Narkisim"/>
          <w:sz w:val="20"/>
          <w:szCs w:val="20"/>
          <w:rtl/>
        </w:rPr>
        <w:t>' (ח: ד"ה כל) דנו אי לרבי חייבי עשה נחשבין בכלל ולקחה, עי"ש</w:t>
      </w:r>
      <w:r w:rsidRPr="00AF1DC8">
        <w:rPr>
          <w:rStyle w:val="ac"/>
          <w:rFonts w:ascii="Narkisim" w:hAnsi="Narkisim" w:cs="Narkisim"/>
          <w:sz w:val="20"/>
          <w:szCs w:val="20"/>
          <w:rtl/>
        </w:rPr>
        <w:footnoteReference w:id="2564"/>
      </w:r>
      <w:r w:rsidRPr="00AF1DC8">
        <w:rPr>
          <w:rFonts w:ascii="Narkisim" w:hAnsi="Narkisim" w:cs="Narkisim"/>
          <w:sz w:val="20"/>
          <w:szCs w:val="20"/>
          <w:rtl/>
        </w:rPr>
        <w:t>].</w:t>
      </w:r>
      <w:r w:rsidRPr="00AF1DC8">
        <w:rPr>
          <w:rFonts w:ascii="Narkisim" w:hAnsi="Narkisim" w:cs="Narkisim"/>
          <w:rtl/>
        </w:rPr>
        <w:t xml:space="preserve"> וה</w:t>
      </w:r>
      <w:r w:rsidRPr="00AF1DC8">
        <w:rPr>
          <w:rFonts w:ascii="Narkisim" w:hAnsi="Narkisim" w:cs="Narkisim"/>
          <w:b/>
          <w:bCs/>
          <w:rtl/>
        </w:rPr>
        <w:t>או"ש</w:t>
      </w:r>
      <w:r w:rsidRPr="00AF1DC8">
        <w:rPr>
          <w:rFonts w:ascii="Narkisim" w:hAnsi="Narkisim" w:cs="Narkisim"/>
          <w:rtl/>
        </w:rPr>
        <w:t xml:space="preserve"> (ז א) וה</w:t>
      </w:r>
      <w:r w:rsidRPr="00AF1DC8">
        <w:rPr>
          <w:rFonts w:ascii="Narkisim" w:hAnsi="Narkisim" w:cs="Narkisim"/>
          <w:b/>
          <w:bCs/>
          <w:rtl/>
        </w:rPr>
        <w:t>חזו"א</w:t>
      </w:r>
      <w:r w:rsidRPr="00AF1DC8">
        <w:rPr>
          <w:rFonts w:ascii="Narkisim" w:hAnsi="Narkisim" w:cs="Narkisim"/>
          <w:rtl/>
        </w:rPr>
        <w:t xml:space="preserve"> </w:t>
      </w:r>
      <w:r w:rsidRPr="00AF1DC8">
        <w:rPr>
          <w:rFonts w:ascii="Narkisim" w:hAnsi="Narkisim" w:cs="Narkisim"/>
          <w:sz w:val="20"/>
          <w:szCs w:val="20"/>
          <w:rtl/>
        </w:rPr>
        <w:t>(קלד כט)</w:t>
      </w:r>
      <w:r w:rsidRPr="00AF1DC8">
        <w:rPr>
          <w:rFonts w:ascii="Narkisim" w:hAnsi="Narkisim" w:cs="Narkisim"/>
          <w:rtl/>
        </w:rPr>
        <w:t xml:space="preserve"> הביאו דמשמע בתוס' דאין איסור אחות זקוקה בחייבי לאו ועשה, דלא רמי' ליבום. </w:t>
      </w:r>
      <w:r w:rsidRPr="00AF1DC8">
        <w:rPr>
          <w:rFonts w:ascii="Narkisim" w:hAnsi="Narkisim" w:cs="Narkisim"/>
          <w:sz w:val="20"/>
          <w:szCs w:val="20"/>
          <w:rtl/>
        </w:rPr>
        <w:t>[וע' מש"כ בזה לעיל כ. כו. וכט.]</w:t>
      </w:r>
      <w:r w:rsidRPr="00AF1DC8">
        <w:rPr>
          <w:rFonts w:ascii="Narkisim" w:hAnsi="Narkisim" w:cs="Narkisim"/>
          <w:sz w:val="20"/>
          <w:szCs w:val="20"/>
        </w:rPr>
        <w:t>.</w:t>
      </w:r>
    </w:p>
    <w:p w14:paraId="38C4C104" w14:textId="77777777" w:rsidR="006074A5" w:rsidRPr="00AF1DC8" w:rsidRDefault="006074A5" w:rsidP="006074A5">
      <w:pPr>
        <w:bidi/>
        <w:rPr>
          <w:rFonts w:ascii="Narkisim" w:hAnsi="Narkisim" w:cs="Narkisim"/>
        </w:rPr>
      </w:pPr>
      <w:r w:rsidRPr="00AF1DC8">
        <w:rPr>
          <w:rFonts w:ascii="Narkisim" w:hAnsi="Narkisim" w:cs="Narkisim"/>
          <w:u w:val="single"/>
          <w:rtl/>
        </w:rPr>
        <w:t>הייתה א' כשרה וא' פסולה, חולץ לפסולה 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פסולה לכהונה. שלא לפסול את הכשירה לכהונה, דאחרים צריכים לו. וכ"ה דחיית הגמ' (לעיל יא:) דאיירי בכשירה ופסולה לעלמא [לכהונה]. אבל המקשן נקט דאיירי בכשר ופסולה ליבם. וכגון מחזיר גרושתו</w:t>
      </w:r>
      <w:r w:rsidRPr="00AF1DC8">
        <w:rPr>
          <w:rFonts w:ascii="Narkisim" w:hAnsi="Narkisim" w:cs="Narkisim"/>
        </w:rPr>
        <w:t>.</w:t>
      </w:r>
    </w:p>
    <w:p w14:paraId="6F2D8919" w14:textId="77777777" w:rsidR="006074A5" w:rsidRPr="00AF1DC8" w:rsidRDefault="006074A5" w:rsidP="006074A5">
      <w:pPr>
        <w:pStyle w:val="a8"/>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(יא:) הקשו [לצד דקאי בפסול לו] דחליצה פסולה אינה פוטרת, ובעי חיזור. ותי' דאיירי דהזיקה שלימה פוטרת. וכשיטתם (לעיל כו: ד"ה וחליצה) דדוקא במקום דקלשא לזיקה נחשב חליצה פסולה. אבל מחזיר גרושתו אי"צ חליצת חיזור. ודלא כפ</w:t>
      </w:r>
      <w:r w:rsidRPr="00AF1DC8">
        <w:rPr>
          <w:rFonts w:ascii="Narkisim" w:hAnsi="Narkisim"/>
          <w:b/>
          <w:bCs/>
          <w:rtl/>
        </w:rPr>
        <w:t>רש"י</w:t>
      </w:r>
      <w:r w:rsidRPr="00AF1DC8">
        <w:rPr>
          <w:rFonts w:ascii="Narkisim" w:hAnsi="Narkisim"/>
          <w:rtl/>
        </w:rPr>
        <w:t xml:space="preserve"> (שם) דכל היכא דאינו מייבם הוה חליצה פסולה. וה</w:t>
      </w:r>
      <w:r w:rsidRPr="00AF1DC8">
        <w:rPr>
          <w:rFonts w:ascii="Narkisim" w:hAnsi="Narkisim"/>
          <w:b/>
          <w:bCs/>
          <w:rtl/>
        </w:rPr>
        <w:t>רמב"ן</w:t>
      </w:r>
      <w:r w:rsidRPr="00AF1DC8">
        <w:rPr>
          <w:rFonts w:ascii="Narkisim" w:hAnsi="Narkisim"/>
          <w:rtl/>
        </w:rPr>
        <w:t xml:space="preserve"> (כאן) האריך במח' זה. [וע' מש”כ בזה לעיל כו:]</w:t>
      </w:r>
      <w:r w:rsidRPr="00AF1DC8">
        <w:rPr>
          <w:rFonts w:ascii="Narkisim" w:hAnsi="Narkisim"/>
        </w:rPr>
        <w:t>.</w:t>
      </w:r>
    </w:p>
    <w:p w14:paraId="40F16B55" w14:textId="77777777" w:rsidR="006074A5" w:rsidRPr="00AF1DC8" w:rsidRDefault="006074A5" w:rsidP="006074A5">
      <w:pPr>
        <w:pStyle w:val="a8"/>
        <w:bidi/>
        <w:rPr>
          <w:rFonts w:ascii="Narkisim" w:hAnsi="Narkisim"/>
        </w:rPr>
      </w:pPr>
      <w:r w:rsidRPr="00AF1DC8">
        <w:rPr>
          <w:rFonts w:ascii="Narkisim" w:hAnsi="Narkisim"/>
          <w:rtl/>
        </w:rPr>
        <w:t>ועוד דחו ה</w:t>
      </w:r>
      <w:r w:rsidRPr="00AF1DC8">
        <w:rPr>
          <w:rFonts w:ascii="Narkisim" w:hAnsi="Narkisim"/>
          <w:b/>
          <w:bCs/>
          <w:rtl/>
        </w:rPr>
        <w:t>ראשונים</w:t>
      </w:r>
      <w:r w:rsidRPr="00AF1DC8">
        <w:rPr>
          <w:rFonts w:ascii="Narkisim" w:hAnsi="Narkisim"/>
          <w:rtl/>
        </w:rPr>
        <w:t xml:space="preserve"> דקאי למ"ד אין זיקה, ולהך מ"ד חליצה פסולה פוטרת [וכדאי' לעיל כו: ולקמן נא.]</w:t>
      </w:r>
      <w:r w:rsidRPr="00AF1DC8">
        <w:rPr>
          <w:rFonts w:ascii="Narkisim" w:hAnsi="Narkisim"/>
        </w:rPr>
        <w:t>.</w:t>
      </w:r>
    </w:p>
    <w:p w14:paraId="08AF8169" w14:textId="77777777" w:rsidR="006074A5" w:rsidRPr="00AF1DC8" w:rsidRDefault="006074A5" w:rsidP="006074A5">
      <w:pPr>
        <w:pStyle w:val="aa"/>
        <w:bidi/>
        <w:rPr>
          <w:rFonts w:ascii="Narkisim" w:hAnsi="Narkisim"/>
        </w:rPr>
      </w:pPr>
      <w:r w:rsidRPr="00AF1DC8">
        <w:rPr>
          <w:rFonts w:ascii="Narkisim" w:hAnsi="Narkisim"/>
          <w:u w:val="single"/>
          <w:rtl/>
        </w:rPr>
        <w:t>אמר רב יוסף כאן שנה רבי וכו'.</w:t>
      </w:r>
      <w:r w:rsidRPr="00AF1DC8">
        <w:rPr>
          <w:rFonts w:ascii="Narkisim" w:hAnsi="Narkisim"/>
          <w:rtl/>
        </w:rPr>
        <w:t xml:space="preserve"> ה</w:t>
      </w:r>
      <w:r w:rsidRPr="00AF1DC8">
        <w:rPr>
          <w:rFonts w:ascii="Narkisim" w:hAnsi="Narkisim"/>
          <w:b/>
          <w:bCs/>
          <w:rtl/>
        </w:rPr>
        <w:t>רשב"א</w:t>
      </w:r>
      <w:r w:rsidRPr="00AF1DC8">
        <w:rPr>
          <w:rFonts w:ascii="Narkisim" w:hAnsi="Narkisim"/>
          <w:rtl/>
        </w:rPr>
        <w:t xml:space="preserve"> כתב דללישנא דכשירה לו אין ראיה לדברי רב יוסף, די"ל ה"ק כשמייבם ע"כ מייבם לכשירה. אבל ה</w:t>
      </w:r>
      <w:r w:rsidRPr="00AF1DC8">
        <w:rPr>
          <w:rFonts w:ascii="Narkisim" w:hAnsi="Narkisim"/>
          <w:b/>
          <w:bCs/>
          <w:rtl/>
        </w:rPr>
        <w:t>רמב"ן</w:t>
      </w:r>
      <w:r w:rsidRPr="00AF1DC8">
        <w:rPr>
          <w:rFonts w:ascii="Narkisim" w:hAnsi="Narkisim"/>
          <w:rtl/>
        </w:rPr>
        <w:t xml:space="preserve"> כתב דאף להך לישנא יש ראיה מלשון המשנה, דמשמע דעדיף טפי</w:t>
      </w:r>
      <w:r w:rsidRPr="00AF1DC8">
        <w:rPr>
          <w:rFonts w:ascii="Narkisim" w:hAnsi="Narkisim"/>
        </w:rPr>
        <w:t>.</w:t>
      </w:r>
    </w:p>
    <w:p w14:paraId="50045157" w14:textId="77777777" w:rsidR="006074A5" w:rsidRPr="00AF1DC8" w:rsidRDefault="006074A5" w:rsidP="006074A5">
      <w:pPr>
        <w:pStyle w:val="aa"/>
        <w:bidi/>
        <w:rPr>
          <w:rFonts w:ascii="Narkisim" w:hAnsi="Narkisim"/>
        </w:rPr>
      </w:pPr>
      <w:r w:rsidRPr="00AF1DC8">
        <w:rPr>
          <w:rFonts w:ascii="Narkisim" w:hAnsi="Narkisim"/>
          <w:u w:val="single"/>
          <w:rtl/>
        </w:rPr>
        <w:lastRenderedPageBreak/>
        <w:t>לא ישפוך וכו'.</w:t>
      </w:r>
      <w:r w:rsidRPr="00AF1DC8">
        <w:rPr>
          <w:rFonts w:ascii="Narkisim" w:hAnsi="Narkisim"/>
          <w:rtl/>
        </w:rPr>
        <w:t xml:space="preserve"> יש בזה חידוש דאף שאין מי שעומד ליהנות אפ"ה אסור. ואפי' שהיבמה נתרצית לכך, נחשב שחב לאנשים דעלמא</w:t>
      </w:r>
      <w:r w:rsidRPr="00AF1DC8">
        <w:rPr>
          <w:rFonts w:ascii="Narkisim" w:hAnsi="Narkisim"/>
        </w:rPr>
        <w:t>.</w:t>
      </w:r>
    </w:p>
    <w:p w14:paraId="50B15949" w14:textId="77777777" w:rsidR="006074A5" w:rsidRPr="00AF1DC8" w:rsidRDefault="006074A5" w:rsidP="006074A5">
      <w:pPr>
        <w:pStyle w:val="a8"/>
        <w:bidi/>
        <w:rPr>
          <w:rFonts w:ascii="Narkisim" w:hAnsi="Narkisim"/>
        </w:rPr>
      </w:pPr>
      <w:r w:rsidRPr="00AF1DC8">
        <w:rPr>
          <w:rFonts w:ascii="Narkisim" w:hAnsi="Narkisim"/>
          <w:rtl/>
        </w:rPr>
        <w:t>ה</w:t>
      </w:r>
      <w:r w:rsidRPr="00AF1DC8">
        <w:rPr>
          <w:rFonts w:ascii="Narkisim" w:hAnsi="Narkisim"/>
          <w:b/>
          <w:bCs/>
          <w:rtl/>
        </w:rPr>
        <w:t>ב"י</w:t>
      </w:r>
      <w:r w:rsidRPr="00AF1DC8">
        <w:rPr>
          <w:rFonts w:ascii="Narkisim" w:hAnsi="Narkisim"/>
          <w:rtl/>
        </w:rPr>
        <w:t xml:space="preserve"> (קסא) מביא בשם ה</w:t>
      </w:r>
      <w:r w:rsidRPr="00AF1DC8">
        <w:rPr>
          <w:rFonts w:ascii="Narkisim" w:hAnsi="Narkisim"/>
          <w:b/>
          <w:bCs/>
          <w:rtl/>
        </w:rPr>
        <w:t>רמ"ה</w:t>
      </w:r>
      <w:r w:rsidRPr="00AF1DC8">
        <w:rPr>
          <w:rFonts w:ascii="Narkisim" w:hAnsi="Narkisim"/>
          <w:rtl/>
        </w:rPr>
        <w:t xml:space="preserve"> דכופין לחלוץ לפסול, ואם עבר וחלץ לכשירה מנדין אותו. ואם התרו בו לוקה [מכות מרדות]</w:t>
      </w:r>
      <w:r w:rsidRPr="00AF1DC8">
        <w:rPr>
          <w:rFonts w:ascii="Narkisim" w:hAnsi="Narkisim"/>
        </w:rPr>
        <w:t>.</w:t>
      </w:r>
    </w:p>
    <w:p w14:paraId="3EBB27D3" w14:textId="77777777" w:rsidR="006074A5" w:rsidRPr="00AF1DC8" w:rsidRDefault="006074A5" w:rsidP="006074A5">
      <w:pPr>
        <w:bidi/>
        <w:rPr>
          <w:rFonts w:ascii="Narkisim" w:hAnsi="Narkisim" w:cs="Narkisim"/>
        </w:rPr>
      </w:pPr>
      <w:r w:rsidRPr="00AF1DC8">
        <w:rPr>
          <w:rFonts w:ascii="Narkisim" w:hAnsi="Narkisim" w:cs="Narkisim"/>
          <w:u w:val="single"/>
          <w:rtl/>
        </w:rPr>
        <w:t>המחזיר גרושתו וכו'</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משנישאת. דהוה חייבי לאוין, ולר"ע אין קידושין תופסין והולד ממזר. ודעת </w:t>
      </w:r>
      <w:r w:rsidRPr="00AF1DC8">
        <w:rPr>
          <w:rFonts w:ascii="Narkisim" w:hAnsi="Narkisim" w:cs="Narkisim"/>
          <w:b/>
          <w:bCs/>
          <w:rtl/>
        </w:rPr>
        <w:t>רש"י</w:t>
      </w:r>
      <w:r w:rsidRPr="00AF1DC8">
        <w:rPr>
          <w:rFonts w:ascii="Narkisim" w:hAnsi="Narkisim" w:cs="Narkisim"/>
          <w:rtl/>
        </w:rPr>
        <w:t xml:space="preserve"> (לקמן מט.) מחזיר גרושתו לא הוה 'שאר' [דאינו מחמת קורבא], ולתנא (דמתני' לקמן מט.) ר"ע איירי דוקא בחייבי לאוין דשאר. וע"כ מתני' דהכא כר' סימאי (שם) דלדעת ר"ע אף חייבי לאוין דלאו דשאר הוה ממזר</w:t>
      </w:r>
      <w:r w:rsidRPr="00AF1DC8">
        <w:rPr>
          <w:rStyle w:val="ac"/>
          <w:rFonts w:ascii="Narkisim" w:hAnsi="Narkisim" w:cs="Narkisim"/>
          <w:rtl/>
        </w:rPr>
        <w:footnoteReference w:id="2565"/>
      </w:r>
      <w:r w:rsidRPr="00AF1DC8">
        <w:rPr>
          <w:rFonts w:ascii="Narkisim" w:hAnsi="Narkisim" w:cs="Narkisim"/>
        </w:rPr>
        <w:t>.</w:t>
      </w:r>
    </w:p>
    <w:p w14:paraId="2CF3AF7B"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ר"ת</w:t>
      </w:r>
      <w:r w:rsidRPr="00AF1DC8">
        <w:rPr>
          <w:rFonts w:ascii="Narkisim" w:hAnsi="Narkisim"/>
          <w:rtl/>
        </w:rPr>
        <w:t xml:space="preserve"> (תוס' לקמן שם) חלק דמחזיר גרושתו וסוטה הוה מחמת אישות, ומש"ה נחשב לאוין דשאר. ועפ"ז מתני' דהכא א"ש כתנא דמתני' לקמן</w:t>
      </w:r>
      <w:r w:rsidRPr="00AF1DC8">
        <w:rPr>
          <w:rFonts w:ascii="Narkisim" w:hAnsi="Narkisim"/>
        </w:rPr>
        <w:t>.</w:t>
      </w:r>
    </w:p>
    <w:p w14:paraId="1B9FD5C1" w14:textId="77777777" w:rsidR="006074A5" w:rsidRPr="00AF1DC8" w:rsidRDefault="006074A5" w:rsidP="006074A5">
      <w:pPr>
        <w:bidi/>
        <w:rPr>
          <w:rFonts w:ascii="Narkisim" w:hAnsi="Narkisim" w:cs="Narkisim"/>
        </w:rPr>
      </w:pPr>
      <w:r w:rsidRPr="00AF1DC8">
        <w:rPr>
          <w:rFonts w:ascii="Narkisim" w:hAnsi="Narkisim" w:cs="Narkisim"/>
          <w:u w:val="single"/>
          <w:rtl/>
        </w:rPr>
        <w:t>והנושא חלוצתו וכו'</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דעובר משום לא יבנה. ודעת ר"ע דיש ממזר מחייבי לאוין. וכן אי' בגמ' (לקמן נב:) דלר”ע לאחר חליצה אין קידושין תופסין</w:t>
      </w:r>
      <w:r w:rsidRPr="00AF1DC8">
        <w:rPr>
          <w:rStyle w:val="ac"/>
          <w:rFonts w:ascii="Narkisim" w:hAnsi="Narkisim" w:cs="Narkisim"/>
          <w:rtl/>
        </w:rPr>
        <w:footnoteReference w:id="2566"/>
      </w:r>
      <w:r w:rsidRPr="00AF1DC8">
        <w:rPr>
          <w:rFonts w:ascii="Narkisim" w:hAnsi="Narkisim" w:cs="Narkisim"/>
        </w:rPr>
        <w:t xml:space="preserve">. </w:t>
      </w:r>
      <w:r w:rsidRPr="00AF1DC8">
        <w:rPr>
          <w:rFonts w:ascii="Narkisim" w:hAnsi="Narkisim" w:cs="Narkisim"/>
          <w:rtl/>
        </w:rPr>
        <w:t>אבל דעת ה</w:t>
      </w:r>
      <w:r w:rsidRPr="00AF1DC8">
        <w:rPr>
          <w:rFonts w:ascii="Narkisim" w:hAnsi="Narkisim" w:cs="Narkisim"/>
          <w:b/>
          <w:bCs/>
          <w:rtl/>
        </w:rPr>
        <w:t>רמב"ם</w:t>
      </w:r>
      <w:r w:rsidRPr="00AF1DC8">
        <w:rPr>
          <w:rFonts w:ascii="Narkisim" w:hAnsi="Narkisim" w:cs="Narkisim"/>
          <w:rtl/>
        </w:rPr>
        <w:t xml:space="preserve"> (יבום א יב, איסו”ב יח ד) דאיסור לא יבנה הוה מדרבנן, וכשניות בעלמא. וה</w:t>
      </w:r>
      <w:r w:rsidRPr="00AF1DC8">
        <w:rPr>
          <w:rFonts w:ascii="Narkisim" w:hAnsi="Narkisim" w:cs="Narkisim"/>
          <w:b/>
          <w:bCs/>
          <w:rtl/>
        </w:rPr>
        <w:t>אחרונים</w:t>
      </w:r>
      <w:r w:rsidRPr="00AF1DC8">
        <w:rPr>
          <w:rFonts w:ascii="Narkisim" w:hAnsi="Narkisim" w:cs="Narkisim"/>
          <w:rtl/>
        </w:rPr>
        <w:t xml:space="preserve"> הק' א"כ מ"ט לא תפסי קידושין לר"ע</w:t>
      </w:r>
      <w:r w:rsidRPr="00AF1DC8">
        <w:rPr>
          <w:rFonts w:ascii="Narkisim" w:hAnsi="Narkisim" w:cs="Narkisim"/>
        </w:rPr>
        <w:t>.</w:t>
      </w:r>
    </w:p>
    <w:p w14:paraId="5DD81F4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(קר"א לעיל י:) הביאו דה</w:t>
      </w:r>
      <w:r w:rsidRPr="00AF1DC8">
        <w:rPr>
          <w:rFonts w:ascii="Narkisim" w:hAnsi="Narkisim"/>
          <w:b/>
          <w:bCs/>
          <w:rtl/>
        </w:rPr>
        <w:t>רמב"ם</w:t>
      </w:r>
      <w:r w:rsidRPr="00AF1DC8">
        <w:rPr>
          <w:rFonts w:ascii="Narkisim" w:hAnsi="Narkisim"/>
          <w:rtl/>
        </w:rPr>
        <w:t xml:space="preserve"> בפיה"מ (לקמן ה א) כת' דלדעת ר"ע אין קדושין תופסין בחלוצה, דס"ל דכשנחלצה נעשת ערוה כמו שהיתה קודם מיתת אחיו. ומשמע דלא הוה מחמת 'לא יבנה', אלא מחמת אישות המת. </w:t>
      </w:r>
      <w:r w:rsidRPr="00AF1DC8">
        <w:rPr>
          <w:rFonts w:ascii="Narkisim" w:hAnsi="Narkisim"/>
          <w:szCs w:val="20"/>
          <w:rtl/>
        </w:rPr>
        <w:t>אך צ"ב מנ"ל דכן דעת ר"ע</w:t>
      </w:r>
      <w:r w:rsidRPr="00AF1DC8">
        <w:rPr>
          <w:rStyle w:val="ac"/>
          <w:rFonts w:ascii="Narkisim" w:hAnsi="Narkisim"/>
          <w:szCs w:val="20"/>
          <w:rtl/>
        </w:rPr>
        <w:footnoteReference w:id="2567"/>
      </w:r>
      <w:r w:rsidRPr="00AF1DC8">
        <w:rPr>
          <w:rFonts w:ascii="Narkisim" w:hAnsi="Narkisim"/>
          <w:szCs w:val="20"/>
        </w:rPr>
        <w:t xml:space="preserve">. </w:t>
      </w:r>
      <w:r w:rsidRPr="00AF1DC8">
        <w:rPr>
          <w:rFonts w:ascii="Narkisim" w:hAnsi="Narkisim"/>
          <w:szCs w:val="20"/>
          <w:rtl/>
        </w:rPr>
        <w:t>ועוד דחה ה</w:t>
      </w:r>
      <w:r w:rsidRPr="00AF1DC8">
        <w:rPr>
          <w:rFonts w:ascii="Narkisim" w:hAnsi="Narkisim"/>
          <w:b/>
          <w:bCs/>
          <w:szCs w:val="20"/>
          <w:rtl/>
        </w:rPr>
        <w:t>רשב"א</w:t>
      </w:r>
      <w:r w:rsidRPr="00AF1DC8">
        <w:rPr>
          <w:rFonts w:ascii="Narkisim" w:hAnsi="Narkisim"/>
          <w:szCs w:val="20"/>
          <w:rtl/>
        </w:rPr>
        <w:t xml:space="preserve"> (לקמן נב:) דבגמ' איתא זו דברי ר"ע דאין קידושין תופסים בחייבי לאוין</w:t>
      </w:r>
      <w:r w:rsidRPr="00AF1DC8">
        <w:rPr>
          <w:rFonts w:ascii="Narkisim" w:hAnsi="Narkisim"/>
        </w:rPr>
        <w:t>.</w:t>
      </w:r>
    </w:p>
    <w:p w14:paraId="4735FD81" w14:textId="77777777" w:rsidR="006074A5" w:rsidRPr="00AF1DC8" w:rsidRDefault="006074A5" w:rsidP="006074A5">
      <w:pPr>
        <w:bidi/>
        <w:rPr>
          <w:rFonts w:ascii="Narkisim" w:hAnsi="Narkisim" w:cs="Narkisim"/>
        </w:rPr>
      </w:pPr>
      <w:r w:rsidRPr="00AF1DC8">
        <w:rPr>
          <w:rFonts w:ascii="Narkisim" w:hAnsi="Narkisim" w:cs="Narkisim"/>
          <w:u w:val="single"/>
          <w:rtl/>
        </w:rPr>
        <w:t>וסבר ר"ע וכו' והאמר ר"ל כאן שנה רבי וכו' אחות חלוצה מדברי סופרים</w:t>
      </w:r>
      <w:r w:rsidRPr="00AF1DC8">
        <w:rPr>
          <w:rFonts w:ascii="Narkisim" w:hAnsi="Narkisim" w:cs="Narkisim"/>
          <w:rtl/>
        </w:rPr>
        <w:t>. [ובתי' הא' בגמ' לא גרסי' לה, ואף לר”ע הוה דרבנן בעלמא. ור' יוחנן (במסקנת הגמ') תי' דר"ע פליג, דהכתוב קראו ביתו. ופ</w:t>
      </w:r>
      <w:r w:rsidRPr="00AF1DC8">
        <w:rPr>
          <w:rFonts w:ascii="Narkisim" w:hAnsi="Narkisim" w:cs="Narkisim"/>
          <w:b/>
          <w:bCs/>
          <w:rtl/>
        </w:rPr>
        <w:t>רש"י</w:t>
      </w:r>
      <w:r w:rsidRPr="00AF1DC8">
        <w:rPr>
          <w:rFonts w:ascii="Narkisim" w:hAnsi="Narkisim" w:cs="Narkisim"/>
          <w:rtl/>
        </w:rPr>
        <w:t xml:space="preserve"> דפליג אמתני' דלעיל מא.]</w:t>
      </w:r>
      <w:r w:rsidRPr="00AF1DC8">
        <w:rPr>
          <w:rFonts w:ascii="Narkisim" w:hAnsi="Narkisim" w:cs="Narkisim"/>
        </w:rPr>
        <w:t>.</w:t>
      </w:r>
    </w:p>
    <w:p w14:paraId="7D4B159A" w14:textId="77777777" w:rsidR="006074A5" w:rsidRPr="00AF1DC8" w:rsidRDefault="006074A5" w:rsidP="006074A5">
      <w:pPr>
        <w:pStyle w:val="a8"/>
        <w:bidi/>
        <w:rPr>
          <w:rFonts w:ascii="Narkisim" w:hAnsi="Narkisim"/>
        </w:rPr>
      </w:pPr>
      <w:r w:rsidRPr="00AF1DC8">
        <w:rPr>
          <w:rFonts w:ascii="Narkisim" w:hAnsi="Narkisim"/>
          <w:rtl/>
        </w:rPr>
        <w:t>וקו' הגמ' מדברי ר"ל, דלולי דבריו היה אפ"ל דאחות חלוצה הוה חייבי לאוין. ומש"ה במתני' (מא.) הוה חייבי לאוין ותפסי קידושין לרבנן. ור"ע לשיטתו ס"ל דחייבי לאוין הולד ממזר. ומדברי הגמ' מבואר דא"א לפרש כן, דאין צד דאחות חלוצה הוה חייבי לאוין. ואי הוה מדאורייתא אף לרבנן לא תפסי קידושין</w:t>
      </w:r>
      <w:r w:rsidRPr="00AF1DC8">
        <w:rPr>
          <w:rFonts w:ascii="Narkisim" w:hAnsi="Narkisim"/>
        </w:rPr>
        <w:t>.</w:t>
      </w:r>
    </w:p>
    <w:p w14:paraId="4488A9AF" w14:textId="77777777" w:rsidR="006074A5" w:rsidRPr="00AF1DC8" w:rsidRDefault="006074A5" w:rsidP="006074A5">
      <w:pPr>
        <w:bidi/>
        <w:rPr>
          <w:rFonts w:ascii="Narkisim" w:hAnsi="Narkisim" w:cs="Narkisim"/>
        </w:rPr>
      </w:pPr>
      <w:r w:rsidRPr="00AF1DC8">
        <w:rPr>
          <w:rFonts w:ascii="Narkisim" w:hAnsi="Narkisim" w:cs="Narkisim"/>
          <w:u w:val="single"/>
          <w:rtl/>
        </w:rPr>
        <w:t>א”ר חייא ב”א אר”י היינו טעמא דר”ע וכו' הכתוב קראו ביתו.</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הביאו מדברי ה</w:t>
      </w:r>
      <w:r w:rsidRPr="00AF1DC8">
        <w:rPr>
          <w:rFonts w:ascii="Narkisim" w:hAnsi="Narkisim" w:cs="Narkisim"/>
          <w:b/>
          <w:bCs/>
          <w:rtl/>
        </w:rPr>
        <w:t>ירושלמי</w:t>
      </w:r>
      <w:r w:rsidRPr="00AF1DC8">
        <w:rPr>
          <w:rFonts w:ascii="Narkisim" w:hAnsi="Narkisim" w:cs="Narkisim"/>
          <w:rtl/>
        </w:rPr>
        <w:t xml:space="preserve"> דר' עקיבא ס”ל דחליצה הוה קנין. </w:t>
      </w:r>
      <w:r w:rsidRPr="00AF1DC8">
        <w:rPr>
          <w:rFonts w:ascii="Narkisim" w:hAnsi="Narkisim" w:cs="Narkisim"/>
          <w:sz w:val="20"/>
          <w:szCs w:val="20"/>
          <w:rtl/>
        </w:rPr>
        <w:t>וה</w:t>
      </w:r>
      <w:r w:rsidRPr="00AF1DC8">
        <w:rPr>
          <w:rFonts w:ascii="Narkisim" w:hAnsi="Narkisim" w:cs="Narkisim"/>
          <w:b/>
          <w:bCs/>
          <w:sz w:val="20"/>
          <w:szCs w:val="20"/>
          <w:rtl/>
        </w:rPr>
        <w:t>תו”י</w:t>
      </w:r>
      <w:r w:rsidRPr="00AF1DC8">
        <w:rPr>
          <w:rFonts w:ascii="Narkisim" w:hAnsi="Narkisim" w:cs="Narkisim"/>
          <w:sz w:val="20"/>
          <w:szCs w:val="20"/>
          <w:rtl/>
        </w:rPr>
        <w:t xml:space="preserve"> כת' דלר”ע חלוצה אסורה לכהן לוקה מן התורה</w:t>
      </w:r>
      <w:r w:rsidRPr="00AF1DC8">
        <w:rPr>
          <w:rStyle w:val="ac"/>
          <w:rFonts w:ascii="Narkisim" w:hAnsi="Narkisim" w:cs="Narkisim"/>
          <w:sz w:val="20"/>
          <w:szCs w:val="20"/>
          <w:rtl/>
        </w:rPr>
        <w:footnoteReference w:id="2568"/>
      </w:r>
      <w:r w:rsidRPr="00AF1DC8">
        <w:rPr>
          <w:rFonts w:ascii="Narkisim" w:hAnsi="Narkisim" w:cs="Narkisim"/>
          <w:sz w:val="20"/>
          <w:szCs w:val="20"/>
        </w:rPr>
        <w:t xml:space="preserve">, </w:t>
      </w:r>
      <w:r w:rsidRPr="00AF1DC8">
        <w:rPr>
          <w:rFonts w:ascii="Narkisim" w:hAnsi="Narkisim" w:cs="Narkisim"/>
          <w:sz w:val="20"/>
          <w:szCs w:val="20"/>
          <w:rtl/>
        </w:rPr>
        <w:t>דהוה בכלל גרושה</w:t>
      </w:r>
      <w:r w:rsidRPr="00AF1DC8">
        <w:rPr>
          <w:rFonts w:ascii="Narkisim" w:hAnsi="Narkisim" w:cs="Narkisim"/>
          <w:sz w:val="20"/>
          <w:szCs w:val="20"/>
        </w:rPr>
        <w:t>.</w:t>
      </w:r>
    </w:p>
    <w:p w14:paraId="49E2786A"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כתב דלר' עקיבא חייבי עליה כרת. אבל ה</w:t>
      </w:r>
      <w:r w:rsidRPr="00AF1DC8">
        <w:rPr>
          <w:rFonts w:ascii="Narkisim" w:hAnsi="Narkisim"/>
          <w:b/>
          <w:bCs/>
          <w:rtl/>
        </w:rPr>
        <w:t>קר"א</w:t>
      </w:r>
      <w:r w:rsidRPr="00AF1DC8">
        <w:rPr>
          <w:rFonts w:ascii="Narkisim" w:hAnsi="Narkisim"/>
          <w:rtl/>
        </w:rPr>
        <w:t xml:space="preserve"> נסתפק דאפשר דהוה רק כחייבי לאוין בעלמא [והוה שם אחות אשה, אבל אינו ביתו גמור להתחייב עליה</w:t>
      </w:r>
      <w:r w:rsidRPr="00AF1DC8">
        <w:rPr>
          <w:rStyle w:val="ac"/>
          <w:rFonts w:ascii="Narkisim" w:hAnsi="Narkisim"/>
          <w:rtl/>
        </w:rPr>
        <w:footnoteReference w:id="2569"/>
      </w:r>
      <w:r w:rsidRPr="00AF1DC8">
        <w:rPr>
          <w:rFonts w:ascii="Narkisim" w:hAnsi="Narkisim"/>
          <w:rtl/>
        </w:rPr>
        <w:t xml:space="preserve">]. </w:t>
      </w:r>
      <w:r w:rsidRPr="00AF1DC8">
        <w:rPr>
          <w:rFonts w:ascii="Narkisim" w:hAnsi="Narkisim"/>
          <w:sz w:val="20"/>
          <w:szCs w:val="20"/>
          <w:rtl/>
        </w:rPr>
        <w:t>[ומתני' לר”ע לטעמיה דאין קידושין תופסים בחייבי לאוין],</w:t>
      </w:r>
      <w:r w:rsidRPr="00AF1DC8">
        <w:rPr>
          <w:rFonts w:ascii="Narkisim" w:hAnsi="Narkisim"/>
          <w:rtl/>
        </w:rPr>
        <w:t xml:space="preserve"> וכן משמע ב</w:t>
      </w:r>
      <w:r w:rsidRPr="00AF1DC8">
        <w:rPr>
          <w:rFonts w:ascii="Narkisim" w:hAnsi="Narkisim"/>
          <w:b/>
          <w:bCs/>
          <w:rtl/>
        </w:rPr>
        <w:t>מאירי</w:t>
      </w:r>
      <w:r w:rsidRPr="00AF1DC8">
        <w:rPr>
          <w:rStyle w:val="ac"/>
          <w:rFonts w:ascii="Narkisim" w:hAnsi="Narkisim"/>
          <w:rtl/>
        </w:rPr>
        <w:footnoteReference w:id="2570"/>
      </w:r>
      <w:r w:rsidRPr="00AF1DC8">
        <w:rPr>
          <w:rFonts w:ascii="Narkisim" w:hAnsi="Narkisim"/>
        </w:rPr>
        <w:t>.</w:t>
      </w:r>
    </w:p>
    <w:p w14:paraId="10324C2F" w14:textId="77777777" w:rsidR="006074A5" w:rsidRPr="00AF1DC8" w:rsidRDefault="006074A5" w:rsidP="006074A5">
      <w:pPr>
        <w:pStyle w:val="aa"/>
        <w:bidi/>
        <w:rPr>
          <w:rFonts w:ascii="Narkisim" w:hAnsi="Narkisim"/>
        </w:rPr>
      </w:pPr>
      <w:r w:rsidRPr="00AF1DC8">
        <w:rPr>
          <w:rFonts w:ascii="Narkisim" w:hAnsi="Narkisim"/>
          <w:u w:val="single"/>
          <w:rtl/>
        </w:rPr>
        <w:t>שם. הכתוב קראו ביתו</w:t>
      </w:r>
      <w:r w:rsidRPr="00AF1DC8">
        <w:rPr>
          <w:rFonts w:ascii="Narkisim" w:hAnsi="Narkisim"/>
          <w:rtl/>
        </w:rPr>
        <w:t>. ה</w:t>
      </w:r>
      <w:r w:rsidRPr="00AF1DC8">
        <w:rPr>
          <w:rFonts w:ascii="Narkisim" w:hAnsi="Narkisim"/>
          <w:b/>
          <w:bCs/>
          <w:rtl/>
        </w:rPr>
        <w:t xml:space="preserve">חזו"א </w:t>
      </w:r>
      <w:r w:rsidRPr="00AF1DC8">
        <w:rPr>
          <w:rFonts w:ascii="Narkisim" w:hAnsi="Narkisim"/>
          <w:rtl/>
        </w:rPr>
        <w:t>(קלד) דן האם דוקא חליצה כשירה [מדאורייתא], דרמי קמיה ליבום. או כל היכא דחולצת קראו ביתו</w:t>
      </w:r>
      <w:r w:rsidRPr="00AF1DC8">
        <w:rPr>
          <w:rStyle w:val="ac"/>
          <w:rFonts w:ascii="Narkisim" w:hAnsi="Narkisim"/>
          <w:rtl/>
        </w:rPr>
        <w:footnoteReference w:id="2571"/>
      </w:r>
      <w:r w:rsidRPr="00AF1DC8">
        <w:rPr>
          <w:rFonts w:ascii="Narkisim" w:hAnsi="Narkisim"/>
        </w:rPr>
        <w:t xml:space="preserve">, </w:t>
      </w:r>
      <w:r w:rsidRPr="00AF1DC8">
        <w:rPr>
          <w:rFonts w:ascii="Narkisim" w:hAnsi="Narkisim"/>
          <w:rtl/>
        </w:rPr>
        <w:t>ואף חייבי עשה וסוטה ומחזיר גרושתו [דמדאורי' רמי רק לחליצה]</w:t>
      </w:r>
      <w:r w:rsidRPr="00AF1DC8">
        <w:rPr>
          <w:rStyle w:val="ac"/>
          <w:rFonts w:ascii="Narkisim" w:hAnsi="Narkisim"/>
          <w:rtl/>
        </w:rPr>
        <w:footnoteReference w:id="2572"/>
      </w:r>
      <w:r w:rsidRPr="00AF1DC8">
        <w:rPr>
          <w:rFonts w:ascii="Narkisim" w:hAnsi="Narkisim"/>
        </w:rPr>
        <w:t xml:space="preserve">. </w:t>
      </w:r>
      <w:r w:rsidRPr="00AF1DC8">
        <w:rPr>
          <w:rFonts w:ascii="Narkisim" w:hAnsi="Narkisim"/>
          <w:rtl/>
        </w:rPr>
        <w:t xml:space="preserve">וכת' </w:t>
      </w:r>
      <w:r w:rsidRPr="00AF1DC8">
        <w:rPr>
          <w:rFonts w:ascii="Narkisim" w:hAnsi="Narkisim"/>
          <w:rtl/>
        </w:rPr>
        <w:lastRenderedPageBreak/>
        <w:t>דנראה דתלי בחליצה, ואף בהנך אסור בקרובותיהן לר"ע</w:t>
      </w:r>
      <w:r w:rsidRPr="00AF1DC8">
        <w:rPr>
          <w:rStyle w:val="ac"/>
          <w:rFonts w:ascii="Narkisim" w:hAnsi="Narkisim"/>
          <w:rtl/>
        </w:rPr>
        <w:footnoteReference w:id="2573"/>
      </w:r>
      <w:r w:rsidRPr="00AF1DC8">
        <w:rPr>
          <w:rFonts w:ascii="Narkisim" w:hAnsi="Narkisim"/>
        </w:rPr>
        <w:t>.</w:t>
      </w:r>
    </w:p>
    <w:p w14:paraId="74A15A19" w14:textId="77777777" w:rsidR="006074A5" w:rsidRPr="00AF1DC8" w:rsidRDefault="006074A5" w:rsidP="006074A5">
      <w:pPr>
        <w:bidi/>
        <w:rPr>
          <w:rFonts w:ascii="Narkisim" w:hAnsi="Narkisim" w:cs="Narkisim"/>
        </w:rPr>
      </w:pPr>
      <w:r w:rsidRPr="00AF1DC8">
        <w:rPr>
          <w:rFonts w:ascii="Narkisim" w:hAnsi="Narkisim" w:cs="Narkisim"/>
          <w:u w:val="single"/>
          <w:rtl/>
        </w:rPr>
        <w:t>רש"י ד"ה הכתוב קראו ביתו.</w:t>
      </w:r>
      <w:r w:rsidRPr="00AF1DC8">
        <w:rPr>
          <w:rFonts w:ascii="Narkisim" w:hAnsi="Narkisim" w:cs="Narkisim"/>
          <w:rtl/>
        </w:rPr>
        <w:t xml:space="preserve"> ול"ל סתמא דמתני' (לעיל מא.) ונשא אחיו את אחותה וכו' דלר"ע פטורה לגמרי. [דלר"ע פטורה משום ערות אחות חלוצתו]. וה</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b/>
          <w:bCs/>
          <w:rtl/>
        </w:rPr>
        <w:t>ערול"נ</w:t>
      </w:r>
      <w:r w:rsidRPr="00AF1DC8">
        <w:rPr>
          <w:rFonts w:ascii="Narkisim" w:hAnsi="Narkisim" w:cs="Narkisim"/>
          <w:rtl/>
        </w:rPr>
        <w:t xml:space="preserve">, וע' </w:t>
      </w:r>
      <w:r w:rsidRPr="00AF1DC8">
        <w:rPr>
          <w:rFonts w:ascii="Narkisim" w:hAnsi="Narkisim" w:cs="Narkisim"/>
          <w:b/>
          <w:bCs/>
          <w:rtl/>
        </w:rPr>
        <w:t>קר"א</w:t>
      </w:r>
      <w:r w:rsidRPr="00AF1DC8">
        <w:rPr>
          <w:rFonts w:ascii="Narkisim" w:hAnsi="Narkisim" w:cs="Narkisim"/>
          <w:rtl/>
        </w:rPr>
        <w:t xml:space="preserve"> י:) דנו דלר"ע הכתוב קראו ביתו, א"כ תאסר לאחיו [משום אשת אח של החולץ], ומש"ה לא יתפסו קידושי אחיו</w:t>
      </w:r>
      <w:r w:rsidRPr="00AF1DC8">
        <w:rPr>
          <w:rStyle w:val="ac"/>
          <w:rFonts w:ascii="Narkisim" w:hAnsi="Narkisim" w:cs="Narkisim"/>
          <w:rtl/>
        </w:rPr>
        <w:footnoteReference w:id="2574"/>
      </w:r>
      <w:r w:rsidRPr="00AF1DC8">
        <w:rPr>
          <w:rFonts w:ascii="Narkisim" w:hAnsi="Narkisim" w:cs="Narkisim"/>
        </w:rPr>
        <w:t xml:space="preserve">. </w:t>
      </w:r>
      <w:r w:rsidRPr="00AF1DC8">
        <w:rPr>
          <w:rFonts w:ascii="Narkisim" w:hAnsi="Narkisim" w:cs="Narkisim"/>
          <w:szCs w:val="20"/>
          <w:rtl/>
        </w:rPr>
        <w:t>ויש שדנו דלא נחשב אשתו לכל מילי, ואינה אסורה לאחיו. אך צ"ב מ"ש גדר איסור אחות אשה מאיסור אשת אח</w:t>
      </w:r>
      <w:r w:rsidRPr="00AF1DC8">
        <w:rPr>
          <w:rFonts w:ascii="Narkisim" w:hAnsi="Narkisim" w:cs="Narkisim"/>
        </w:rPr>
        <w:t>.</w:t>
      </w:r>
    </w:p>
    <w:p w14:paraId="6D0A65A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דנו דלר' יוחנן כיון דהחליצה הוה בשליחותייהו דאחים</w:t>
      </w:r>
      <w:r w:rsidRPr="00AF1DC8">
        <w:rPr>
          <w:rStyle w:val="ac"/>
          <w:rFonts w:ascii="Narkisim" w:hAnsi="Narkisim"/>
          <w:rtl/>
        </w:rPr>
        <w:footnoteReference w:id="2575"/>
      </w:r>
      <w:r w:rsidRPr="00AF1DC8">
        <w:rPr>
          <w:rFonts w:ascii="Narkisim" w:hAnsi="Narkisim"/>
        </w:rPr>
        <w:t xml:space="preserve">, </w:t>
      </w:r>
      <w:r w:rsidRPr="00AF1DC8">
        <w:rPr>
          <w:rFonts w:ascii="Narkisim" w:hAnsi="Narkisim"/>
          <w:rtl/>
        </w:rPr>
        <w:t>וא"א לומר דאסורה על כל א' מחמת אחיו הב</w:t>
      </w:r>
      <w:r w:rsidRPr="00AF1DC8">
        <w:rPr>
          <w:rFonts w:ascii="Narkisim" w:hAnsi="Narkisim"/>
        </w:rPr>
        <w:t>'.</w:t>
      </w:r>
    </w:p>
    <w:p w14:paraId="42EB433D" w14:textId="77777777" w:rsidR="006074A5" w:rsidRPr="00AF1DC8" w:rsidRDefault="006074A5" w:rsidP="006074A5">
      <w:pPr>
        <w:pStyle w:val="aa"/>
        <w:bidi/>
        <w:rPr>
          <w:rFonts w:ascii="Narkisim" w:hAnsi="Narkisim"/>
        </w:rPr>
      </w:pPr>
      <w:r w:rsidRPr="00AF1DC8">
        <w:rPr>
          <w:rFonts w:ascii="Narkisim" w:hAnsi="Narkisim"/>
          <w:u w:val="single"/>
          <w:rtl/>
        </w:rPr>
        <w:t>תוד"ה הכל.</w:t>
      </w:r>
      <w:r w:rsidRPr="00AF1DC8">
        <w:rPr>
          <w:rFonts w:ascii="Narkisim" w:hAnsi="Narkisim"/>
          <w:rtl/>
        </w:rPr>
        <w:t xml:space="preserve"> אע"ג דכתיב היא תועבה ואין בניה תועבין, פגום מיהא הוה. [משמע דילפי' דאינם ממזרים, אבל הם פסולים לכהונה</w:t>
      </w:r>
      <w:r w:rsidRPr="00AF1DC8">
        <w:rPr>
          <w:rStyle w:val="ac"/>
          <w:rFonts w:ascii="Narkisim" w:hAnsi="Narkisim"/>
          <w:rtl/>
        </w:rPr>
        <w:footnoteReference w:id="2576"/>
      </w:r>
      <w:r w:rsidRPr="00AF1DC8">
        <w:rPr>
          <w:rFonts w:ascii="Narkisim" w:hAnsi="Narkisim"/>
          <w:rtl/>
        </w:rPr>
        <w:t>]. אבל בברייתא (נדה סט:) ר' יהושע דרש ואין בניה תועבין, דמותרין לכהונה. וכ"מ בקו' הגמ' (בסמוך). וה</w:t>
      </w:r>
      <w:r w:rsidRPr="00AF1DC8">
        <w:rPr>
          <w:rFonts w:ascii="Narkisim" w:hAnsi="Narkisim"/>
          <w:b/>
          <w:bCs/>
          <w:rtl/>
        </w:rPr>
        <w:t>תו"י</w:t>
      </w:r>
      <w:r w:rsidRPr="00AF1DC8">
        <w:rPr>
          <w:rFonts w:ascii="Narkisim" w:hAnsi="Narkisim"/>
          <w:rtl/>
        </w:rPr>
        <w:t xml:space="preserve"> (הנדמ"ח) כת' [דלר"ש בר רבי] דלא דרשי' אין בניה תועבין, אלא אין צרתה תועבה</w:t>
      </w:r>
      <w:r w:rsidRPr="00AF1DC8">
        <w:rPr>
          <w:rFonts w:ascii="Narkisim" w:hAnsi="Narkisim"/>
        </w:rPr>
        <w:t>.</w:t>
      </w:r>
    </w:p>
    <w:p w14:paraId="567F4736" w14:textId="77777777" w:rsidR="006074A5" w:rsidRPr="00AF1DC8" w:rsidRDefault="006074A5" w:rsidP="006074A5">
      <w:pPr>
        <w:pStyle w:val="3"/>
        <w:bidi/>
        <w:rPr>
          <w:rFonts w:ascii="Narkisim" w:hAnsi="Narkisim"/>
        </w:rPr>
      </w:pPr>
      <w:r w:rsidRPr="00AF1DC8">
        <w:rPr>
          <w:rFonts w:ascii="Narkisim" w:hAnsi="Narkisim"/>
          <w:rtl/>
        </w:rPr>
        <w:t>דף מד</w:t>
      </w:r>
      <w:r w:rsidRPr="00AF1DC8">
        <w:rPr>
          <w:rFonts w:ascii="Narkisim" w:hAnsi="Narkisim"/>
        </w:rPr>
        <w:t>:</w:t>
      </w:r>
      <w:r w:rsidRPr="00AF1DC8">
        <w:rPr>
          <w:rFonts w:ascii="Narkisim" w:hAnsi="Narkisim"/>
        </w:rPr>
        <w:tab/>
      </w:r>
    </w:p>
    <w:p w14:paraId="6BDBCA77" w14:textId="77777777" w:rsidR="006074A5" w:rsidRPr="00AF1DC8" w:rsidRDefault="006074A5" w:rsidP="006074A5">
      <w:pPr>
        <w:pStyle w:val="2"/>
        <w:bidi/>
        <w:rPr>
          <w:rFonts w:ascii="Narkisim" w:hAnsi="Narkisim"/>
        </w:rPr>
      </w:pPr>
      <w:r w:rsidRPr="00AF1DC8">
        <w:rPr>
          <w:rFonts w:ascii="Narkisim" w:hAnsi="Narkisim"/>
          <w:rtl/>
        </w:rPr>
        <w:t>הולד פגום לכהונה</w:t>
      </w:r>
    </w:p>
    <w:p w14:paraId="69F32DFD" w14:textId="77777777" w:rsidR="006074A5" w:rsidRPr="00AF1DC8" w:rsidRDefault="006074A5" w:rsidP="006074A5">
      <w:pPr>
        <w:bidi/>
        <w:rPr>
          <w:rFonts w:ascii="Narkisim" w:hAnsi="Narkisim" w:cs="Narkisim"/>
        </w:rPr>
      </w:pPr>
      <w:r w:rsidRPr="00AF1DC8">
        <w:rPr>
          <w:rFonts w:ascii="Narkisim" w:hAnsi="Narkisim" w:cs="Narkisim"/>
          <w:u w:val="single"/>
          <w:rtl/>
        </w:rPr>
        <w:t>שהולד פגום לכהונה וכו' מק”ו מאלמנה וכו'.</w:t>
      </w:r>
      <w:r w:rsidRPr="00AF1DC8">
        <w:rPr>
          <w:rFonts w:ascii="Narkisim" w:hAnsi="Narkisim" w:cs="Narkisim"/>
          <w:rtl/>
        </w:rPr>
        <w:t xml:space="preserve"> דילפי' כמו שאלמנה לכה"ג דהולד חלל, אף הכא דביאתו בעבירה הולד פגום לכהונה. </w:t>
      </w:r>
      <w:r w:rsidRPr="00AF1DC8">
        <w:rPr>
          <w:rFonts w:ascii="Narkisim" w:hAnsi="Narkisim" w:cs="Narkisim"/>
          <w:szCs w:val="20"/>
          <w:rtl/>
        </w:rPr>
        <w:t>ויל"ד האם ילפי' שהולד 'חלל', מק"ו דאלמנה. או דילפי' שיש שם חדש 'פגום'</w:t>
      </w:r>
      <w:r w:rsidRPr="00AF1DC8">
        <w:rPr>
          <w:rStyle w:val="ac"/>
          <w:rFonts w:ascii="Narkisim" w:hAnsi="Narkisim" w:cs="Narkisim"/>
          <w:szCs w:val="20"/>
          <w:rtl/>
        </w:rPr>
        <w:footnoteReference w:id="2577"/>
      </w:r>
      <w:r w:rsidRPr="00AF1DC8">
        <w:rPr>
          <w:rFonts w:ascii="Narkisim" w:hAnsi="Narkisim" w:cs="Narkisim"/>
          <w:szCs w:val="20"/>
          <w:rtl/>
        </w:rPr>
        <w:t>. דל"ש חלל דהא אינו כהן</w:t>
      </w:r>
      <w:r w:rsidRPr="00AF1DC8">
        <w:rPr>
          <w:rFonts w:ascii="Narkisim" w:hAnsi="Narkisim" w:cs="Narkisim"/>
        </w:rPr>
        <w:t>.</w:t>
      </w:r>
    </w:p>
    <w:p w14:paraId="31383F5E"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(ע' בסמוך) כתב דילפי' דחל שם 'זונה' על הולד. דשם זונה שחל עליה עובר לולד</w:t>
      </w:r>
      <w:r w:rsidRPr="00AF1DC8">
        <w:rPr>
          <w:rStyle w:val="ac"/>
          <w:rFonts w:ascii="Narkisim" w:hAnsi="Narkisim"/>
          <w:rtl/>
        </w:rPr>
        <w:footnoteReference w:id="2578"/>
      </w:r>
      <w:r w:rsidRPr="00AF1DC8">
        <w:rPr>
          <w:rFonts w:ascii="Narkisim" w:hAnsi="Narkisim"/>
        </w:rPr>
        <w:t>.</w:t>
      </w:r>
    </w:p>
    <w:p w14:paraId="55E3C7AC" w14:textId="77777777" w:rsidR="006074A5" w:rsidRPr="00AF1DC8" w:rsidRDefault="006074A5" w:rsidP="006074A5">
      <w:pPr>
        <w:bidi/>
        <w:rPr>
          <w:rFonts w:ascii="Narkisim" w:hAnsi="Narkisim" w:cs="Narkisim"/>
        </w:rPr>
      </w:pPr>
      <w:r w:rsidRPr="00AF1DC8">
        <w:rPr>
          <w:rFonts w:ascii="Narkisim" w:hAnsi="Narkisim" w:cs="Narkisim"/>
          <w:u w:val="single"/>
          <w:rtl/>
        </w:rPr>
        <w:t>שם. מק"ו דאלמנה</w:t>
      </w:r>
      <w:r w:rsidRPr="00AF1DC8">
        <w:rPr>
          <w:rFonts w:ascii="Narkisim" w:hAnsi="Narkisim" w:cs="Narkisim"/>
          <w:rtl/>
        </w:rPr>
        <w:t>. וכן בגמ' (לקמן מה.) ילפי' דעכו"ם ועבד הבא על בת ישראל הולד פסול לכהונה [לר' יהושע ב"ל], מק”ו מאלמנה</w:t>
      </w:r>
      <w:r w:rsidRPr="00AF1DC8">
        <w:rPr>
          <w:rFonts w:ascii="Narkisim" w:hAnsi="Narkisim" w:cs="Narkisim"/>
        </w:rPr>
        <w:t>.</w:t>
      </w:r>
    </w:p>
    <w:p w14:paraId="1E6FF91D" w14:textId="77777777" w:rsidR="006074A5" w:rsidRPr="00AF1DC8" w:rsidRDefault="006074A5" w:rsidP="006074A5">
      <w:pPr>
        <w:pStyle w:val="aa"/>
        <w:bidi/>
        <w:rPr>
          <w:rFonts w:ascii="Narkisim" w:hAnsi="Narkisim"/>
        </w:rPr>
      </w:pPr>
      <w:r w:rsidRPr="00AF1DC8">
        <w:rPr>
          <w:rFonts w:ascii="Narkisim" w:hAnsi="Narkisim"/>
          <w:rtl/>
        </w:rPr>
        <w:t>ובגמ' (לקמן עז.) נח' ר' יוחנן ור"ל גר עמוני או מצרי שני הבא על בת ישראל האם הבת כשירה לכהונה. ור"ל יליף לפסול מק"ו דאלמנה לכה"ג, כיון דביאתו בעבירה. ור' יוחנן ס”ל דהולד כשר, דנתרבה כי אם בתולה בעמיו, ודרשי' שבא מב' עממין</w:t>
      </w:r>
      <w:r w:rsidRPr="00AF1DC8">
        <w:rPr>
          <w:rFonts w:ascii="Narkisim" w:hAnsi="Narkisim"/>
        </w:rPr>
        <w:t>.</w:t>
      </w:r>
    </w:p>
    <w:p w14:paraId="48B48907" w14:textId="77777777" w:rsidR="006074A5" w:rsidRPr="00AF1DC8" w:rsidRDefault="006074A5" w:rsidP="006074A5">
      <w:pPr>
        <w:pStyle w:val="a8"/>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(עז. ד"ה ר' יוחנן, והתורא"ש ורשב"א כאן) הק' א"כ האיך ילפי' (בסוגיין, ולקמן מה.) ק"ו לפסול הולד, נימא בת גר עמוני שנשא בת ישראל יוכיח</w:t>
      </w:r>
      <w:r w:rsidRPr="00AF1DC8">
        <w:rPr>
          <w:rStyle w:val="ac"/>
          <w:rFonts w:ascii="Narkisim" w:hAnsi="Narkisim"/>
          <w:rtl/>
        </w:rPr>
        <w:footnoteReference w:id="2579"/>
      </w:r>
      <w:r w:rsidRPr="00AF1DC8">
        <w:rPr>
          <w:rFonts w:ascii="Narkisim" w:hAnsi="Narkisim"/>
        </w:rPr>
        <w:t xml:space="preserve">. </w:t>
      </w:r>
      <w:r w:rsidRPr="00AF1DC8">
        <w:rPr>
          <w:rFonts w:ascii="Narkisim" w:hAnsi="Narkisim"/>
          <w:rtl/>
        </w:rPr>
        <w:t>דאף שאיסורו שווה בכל אינו פוסל בביאתו. וה</w:t>
      </w:r>
      <w:r w:rsidRPr="00AF1DC8">
        <w:rPr>
          <w:rFonts w:ascii="Narkisim" w:hAnsi="Narkisim"/>
          <w:b/>
          <w:bCs/>
          <w:rtl/>
        </w:rPr>
        <w:t>בי"ש</w:t>
      </w:r>
      <w:r w:rsidRPr="00AF1DC8">
        <w:rPr>
          <w:rFonts w:ascii="Narkisim" w:hAnsi="Narkisim"/>
          <w:rtl/>
        </w:rPr>
        <w:t xml:space="preserve"> (ד ד) כת' די"ל דמש"ה הרמב"ם פסק דלא אמרי' הך ק”ו כלל, משום פירכא זו</w:t>
      </w:r>
      <w:r w:rsidRPr="00AF1DC8">
        <w:rPr>
          <w:rFonts w:ascii="Narkisim" w:hAnsi="Narkisim"/>
        </w:rPr>
        <w:t>.</w:t>
      </w:r>
    </w:p>
    <w:p w14:paraId="50F9B3EC" w14:textId="77777777" w:rsidR="006074A5" w:rsidRPr="00AF1DC8" w:rsidRDefault="006074A5" w:rsidP="006074A5">
      <w:pPr>
        <w:bidi/>
        <w:rPr>
          <w:rFonts w:ascii="Narkisim" w:hAnsi="Narkisim" w:cs="Narkisim"/>
        </w:rPr>
      </w:pPr>
      <w:r w:rsidRPr="00AF1DC8">
        <w:rPr>
          <w:rFonts w:ascii="Narkisim" w:hAnsi="Narkisim" w:cs="Narkisim"/>
          <w:u w:val="single"/>
          <w:rtl/>
        </w:rPr>
        <w:t>רש"י ד"ה שהולד פגום.</w:t>
      </w:r>
      <w:r w:rsidRPr="00AF1DC8">
        <w:rPr>
          <w:rFonts w:ascii="Narkisim" w:hAnsi="Narkisim" w:cs="Narkisim"/>
          <w:rtl/>
        </w:rPr>
        <w:t xml:space="preserve"> ואם ילדה בת פסולה לכהונה כחללה. ו</w:t>
      </w:r>
      <w:r w:rsidRPr="00AF1DC8">
        <w:rPr>
          <w:rFonts w:ascii="Narkisim" w:hAnsi="Narkisim" w:cs="Narkisim"/>
          <w:b/>
          <w:bCs/>
          <w:rtl/>
        </w:rPr>
        <w:t>רש"י</w:t>
      </w:r>
      <w:r w:rsidRPr="00AF1DC8">
        <w:rPr>
          <w:rFonts w:ascii="Narkisim" w:hAnsi="Narkisim" w:cs="Narkisim"/>
          <w:rtl/>
        </w:rPr>
        <w:t xml:space="preserve"> (מה. ד"ה שבנה) הוסיף [גבי עכו"ם הבא על בת ישראל] דע"כ איירי בבת, דהא בלאו הכי הבן לאו כהן הוא</w:t>
      </w:r>
      <w:r w:rsidRPr="00AF1DC8">
        <w:rPr>
          <w:rFonts w:ascii="Narkisim" w:hAnsi="Narkisim" w:cs="Narkisim"/>
        </w:rPr>
        <w:t>.</w:t>
      </w:r>
    </w:p>
    <w:p w14:paraId="16785188"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רמב"ן</w:t>
      </w:r>
      <w:r w:rsidRPr="00AF1DC8">
        <w:rPr>
          <w:rFonts w:ascii="Narkisim" w:hAnsi="Narkisim"/>
          <w:rtl/>
        </w:rPr>
        <w:t xml:space="preserve"> (מה:) כתב דלאו דוקא נקבה, דאף הבן הוה חלל. ודינו כחלל לכל דבר, דאם בא על אשה פסלה לכהונה</w:t>
      </w:r>
      <w:r w:rsidRPr="00AF1DC8">
        <w:rPr>
          <w:rStyle w:val="ac"/>
          <w:rFonts w:ascii="Narkisim" w:hAnsi="Narkisim"/>
          <w:rtl/>
        </w:rPr>
        <w:footnoteReference w:id="2580"/>
      </w:r>
      <w:r w:rsidRPr="00AF1DC8">
        <w:rPr>
          <w:rFonts w:ascii="Narkisim" w:hAnsi="Narkisim"/>
        </w:rPr>
        <w:t xml:space="preserve">, </w:t>
      </w:r>
      <w:r w:rsidRPr="00AF1DC8">
        <w:rPr>
          <w:rFonts w:ascii="Narkisim" w:hAnsi="Narkisim"/>
          <w:rtl/>
        </w:rPr>
        <w:t xml:space="preserve">ואף בניו וכל דורותיו פסולים לכהונה. דילפי' מק"ו דאלמנה לכה"ג </w:t>
      </w:r>
      <w:r w:rsidRPr="00AF1DC8">
        <w:rPr>
          <w:rFonts w:ascii="Narkisim" w:hAnsi="Narkisim"/>
          <w:rtl/>
        </w:rPr>
        <w:lastRenderedPageBreak/>
        <w:t>לכל דיני חלל</w:t>
      </w:r>
      <w:r w:rsidRPr="00AF1DC8">
        <w:rPr>
          <w:rStyle w:val="ac"/>
          <w:rFonts w:ascii="Narkisim" w:hAnsi="Narkisim"/>
          <w:rtl/>
        </w:rPr>
        <w:footnoteReference w:id="2581"/>
      </w:r>
      <w:r w:rsidRPr="00AF1DC8">
        <w:rPr>
          <w:rFonts w:ascii="Narkisim" w:hAnsi="Narkisim"/>
        </w:rPr>
        <w:t>.</w:t>
      </w:r>
    </w:p>
    <w:p w14:paraId="20DC9E5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חלק דקאי דוקא אנקיבה [כדאמרי' מה: ובברתא], דנעשית חללה [ו'בנה' דקאמר משום בתה]. והביא כן מדברי ה</w:t>
      </w:r>
      <w:r w:rsidRPr="00AF1DC8">
        <w:rPr>
          <w:rFonts w:ascii="Narkisim" w:hAnsi="Narkisim"/>
          <w:b/>
          <w:bCs/>
          <w:rtl/>
        </w:rPr>
        <w:t>ירושלמי</w:t>
      </w:r>
      <w:r w:rsidRPr="00AF1DC8">
        <w:rPr>
          <w:rFonts w:ascii="Narkisim" w:hAnsi="Narkisim"/>
          <w:rtl/>
        </w:rPr>
        <w:t xml:space="preserve">. </w:t>
      </w:r>
      <w:r w:rsidRPr="00AF1DC8">
        <w:rPr>
          <w:rFonts w:ascii="Narkisim" w:hAnsi="Narkisim"/>
          <w:sz w:val="20"/>
          <w:szCs w:val="20"/>
          <w:rtl/>
        </w:rPr>
        <w:t>[וכ"פ ה</w:t>
      </w:r>
      <w:r w:rsidRPr="00AF1DC8">
        <w:rPr>
          <w:rFonts w:ascii="Narkisim" w:hAnsi="Narkisim"/>
          <w:b/>
          <w:bCs/>
          <w:sz w:val="20"/>
          <w:szCs w:val="20"/>
          <w:rtl/>
        </w:rPr>
        <w:t>פוסקים</w:t>
      </w:r>
      <w:r w:rsidRPr="00AF1DC8">
        <w:rPr>
          <w:rFonts w:ascii="Narkisim" w:hAnsi="Narkisim"/>
          <w:sz w:val="20"/>
          <w:szCs w:val="20"/>
          <w:rtl/>
        </w:rPr>
        <w:t xml:space="preserve"> (ד ה, ז יז)</w:t>
      </w:r>
      <w:r w:rsidRPr="00AF1DC8">
        <w:rPr>
          <w:rStyle w:val="ac"/>
          <w:rFonts w:ascii="Narkisim" w:hAnsi="Narkisim"/>
          <w:sz w:val="20"/>
          <w:szCs w:val="20"/>
          <w:rtl/>
        </w:rPr>
        <w:footnoteReference w:id="2582"/>
      </w:r>
      <w:r w:rsidRPr="00AF1DC8">
        <w:rPr>
          <w:rFonts w:ascii="Narkisim" w:hAnsi="Narkisim"/>
          <w:sz w:val="20"/>
          <w:szCs w:val="20"/>
          <w:rtl/>
        </w:rPr>
        <w:t xml:space="preserve">]. </w:t>
      </w:r>
      <w:r w:rsidRPr="00AF1DC8">
        <w:rPr>
          <w:rFonts w:ascii="Narkisim" w:hAnsi="Narkisim"/>
          <w:rtl/>
        </w:rPr>
        <w:t>ודין פגום מק"ו הוה דוקא על הבת</w:t>
      </w:r>
      <w:r w:rsidRPr="00AF1DC8">
        <w:rPr>
          <w:rFonts w:ascii="Narkisim" w:hAnsi="Narkisim"/>
        </w:rPr>
        <w:t>.</w:t>
      </w:r>
    </w:p>
    <w:p w14:paraId="4AB3DBA1" w14:textId="77777777" w:rsidR="006074A5" w:rsidRPr="00AF1DC8" w:rsidRDefault="006074A5" w:rsidP="006074A5">
      <w:pPr>
        <w:bidi/>
        <w:rPr>
          <w:rFonts w:ascii="Narkisim" w:hAnsi="Narkisim" w:cs="Narkisim"/>
        </w:rPr>
      </w:pPr>
      <w:r w:rsidRPr="00AF1DC8">
        <w:rPr>
          <w:rFonts w:ascii="Narkisim" w:hAnsi="Narkisim" w:cs="Narkisim"/>
          <w:rtl/>
        </w:rPr>
        <w:t>ו</w:t>
      </w:r>
      <w:r w:rsidRPr="00AF1DC8">
        <w:rPr>
          <w:rFonts w:ascii="Narkisim" w:hAnsi="Narkisim" w:cs="Narkisim"/>
          <w:b/>
          <w:bCs/>
          <w:rtl/>
        </w:rPr>
        <w:t xml:space="preserve">רש"י </w:t>
      </w:r>
      <w:r w:rsidRPr="00AF1DC8">
        <w:rPr>
          <w:rFonts w:ascii="Narkisim" w:hAnsi="Narkisim" w:cs="Narkisim"/>
          <w:rtl/>
        </w:rPr>
        <w:t>(מה.) הוסיף ואי משום שלא ישא כהנת, לא הוזהרו כשרות לינשא לפסולים (כדאי' לקמן פד:)</w:t>
      </w:r>
      <w:r w:rsidRPr="00AF1DC8">
        <w:rPr>
          <w:rStyle w:val="ac"/>
          <w:rFonts w:ascii="Narkisim" w:hAnsi="Narkisim" w:cs="Narkisim"/>
          <w:rtl/>
        </w:rPr>
        <w:footnoteReference w:id="2583"/>
      </w:r>
      <w:r w:rsidRPr="00AF1DC8">
        <w:rPr>
          <w:rFonts w:ascii="Narkisim" w:hAnsi="Narkisim" w:cs="Narkisim"/>
        </w:rPr>
        <w:t xml:space="preserve">. </w:t>
      </w:r>
      <w:r w:rsidRPr="00AF1DC8">
        <w:rPr>
          <w:rFonts w:ascii="Narkisim" w:hAnsi="Narkisim" w:cs="Narkisim"/>
          <w:rtl/>
        </w:rPr>
        <w:t>וצ"ב דעכ"פ נילף דהבן יפסול אשה בביאתו [וכן בתו תאסר לכהונה, דומיא דחלל]. וכדעת הרמב"ן</w:t>
      </w:r>
      <w:r w:rsidRPr="00AF1DC8">
        <w:rPr>
          <w:rFonts w:ascii="Narkisim" w:hAnsi="Narkisim" w:cs="Narkisim"/>
        </w:rPr>
        <w:t>.</w:t>
      </w:r>
    </w:p>
    <w:p w14:paraId="70FD8FC5"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ק"נ</w:t>
      </w:r>
      <w:r w:rsidRPr="00AF1DC8">
        <w:rPr>
          <w:rFonts w:ascii="Narkisim" w:hAnsi="Narkisim"/>
          <w:rtl/>
        </w:rPr>
        <w:t xml:space="preserve"> (ס) תי' דאין פסול 'חלל' אלא מפסולי כהונה</w:t>
      </w:r>
      <w:r w:rsidRPr="00AF1DC8">
        <w:rPr>
          <w:rStyle w:val="ac"/>
          <w:rFonts w:ascii="Narkisim" w:hAnsi="Narkisim"/>
          <w:rtl/>
        </w:rPr>
        <w:footnoteReference w:id="2584"/>
      </w:r>
      <w:r w:rsidRPr="00AF1DC8">
        <w:rPr>
          <w:rFonts w:ascii="Narkisim" w:hAnsi="Narkisim"/>
        </w:rPr>
        <w:t xml:space="preserve">. </w:t>
      </w:r>
      <w:r w:rsidRPr="00AF1DC8">
        <w:rPr>
          <w:rFonts w:ascii="Narkisim" w:hAnsi="Narkisim"/>
          <w:rtl/>
        </w:rPr>
        <w:t>וילפי' דוקא לפסול את הבת. וה</w:t>
      </w:r>
      <w:r w:rsidRPr="00AF1DC8">
        <w:rPr>
          <w:rFonts w:ascii="Narkisim" w:hAnsi="Narkisim"/>
          <w:b/>
          <w:bCs/>
          <w:rtl/>
        </w:rPr>
        <w:t>קובה"ע</w:t>
      </w:r>
      <w:r w:rsidRPr="00AF1DC8">
        <w:rPr>
          <w:rFonts w:ascii="Narkisim" w:hAnsi="Narkisim"/>
          <w:rtl/>
        </w:rPr>
        <w:t xml:space="preserve"> (מד ז) ביאר סברת הרשב"א דילפי' דכמו שאלמנה נעשית חללה, אף בנה נעשה חלל, וה"נ כמו שהיא נעשית זונה, הולד תעשה זונה. וזה שייך בבת ולא בבן</w:t>
      </w:r>
      <w:r w:rsidRPr="00AF1DC8">
        <w:rPr>
          <w:rStyle w:val="ac"/>
          <w:rFonts w:ascii="Narkisim" w:hAnsi="Narkisim"/>
          <w:rtl/>
        </w:rPr>
        <w:footnoteReference w:id="2585"/>
      </w:r>
      <w:r w:rsidRPr="00AF1DC8">
        <w:rPr>
          <w:rFonts w:ascii="Narkisim" w:hAnsi="Narkisim"/>
        </w:rPr>
        <w:t>.</w:t>
      </w:r>
    </w:p>
    <w:p w14:paraId="4A816211" w14:textId="77777777" w:rsidR="006074A5" w:rsidRPr="00AF1DC8" w:rsidRDefault="006074A5" w:rsidP="006074A5">
      <w:pPr>
        <w:pStyle w:val="a7"/>
        <w:bidi/>
        <w:rPr>
          <w:rFonts w:ascii="Narkisim" w:hAnsi="Narkisim"/>
        </w:rPr>
      </w:pPr>
      <w:r w:rsidRPr="00AF1DC8">
        <w:rPr>
          <w:rFonts w:ascii="Narkisim" w:hAnsi="Narkisim"/>
          <w:rtl/>
        </w:rPr>
        <w:t>אבל ב</w:t>
      </w:r>
      <w:r w:rsidRPr="00AF1DC8">
        <w:rPr>
          <w:rFonts w:ascii="Narkisim" w:hAnsi="Narkisim"/>
          <w:b/>
          <w:bCs/>
          <w:rtl/>
        </w:rPr>
        <w:t>חי' ר' שמואל</w:t>
      </w:r>
      <w:r w:rsidRPr="00AF1DC8">
        <w:rPr>
          <w:rFonts w:ascii="Narkisim" w:hAnsi="Narkisim"/>
          <w:rtl/>
        </w:rPr>
        <w:t xml:space="preserve"> (י ד) דייק מדברי רש"י דחל על הבן 'שם פגום', אלא דאין נפק"מ בזה. ולא ילפי' על הבן לפסול את זרעו ואשתו, דבחלל ילפי' ש'מחלל' זרעו ואשתו, ובפגום לא ילפי'</w:t>
      </w:r>
      <w:r w:rsidRPr="00AF1DC8">
        <w:rPr>
          <w:rStyle w:val="ac"/>
          <w:rFonts w:ascii="Narkisim" w:hAnsi="Narkisim"/>
          <w:rtl/>
        </w:rPr>
        <w:footnoteReference w:id="2586"/>
      </w:r>
      <w:r w:rsidRPr="00AF1DC8">
        <w:rPr>
          <w:rFonts w:ascii="Narkisim" w:hAnsi="Narkisim"/>
          <w:rtl/>
        </w:rPr>
        <w:t>. וע"ע בסמוך</w:t>
      </w:r>
      <w:r w:rsidRPr="00AF1DC8">
        <w:rPr>
          <w:rFonts w:ascii="Narkisim" w:hAnsi="Narkisim"/>
        </w:rPr>
        <w:t>.</w:t>
      </w:r>
    </w:p>
    <w:p w14:paraId="609BF66C" w14:textId="77777777" w:rsidR="006074A5" w:rsidRPr="00AF1DC8" w:rsidRDefault="006074A5" w:rsidP="006074A5">
      <w:pPr>
        <w:bidi/>
        <w:rPr>
          <w:rFonts w:ascii="Narkisim" w:hAnsi="Narkisim" w:cs="Narkisim"/>
        </w:rPr>
      </w:pPr>
      <w:r w:rsidRPr="00AF1DC8">
        <w:rPr>
          <w:rFonts w:ascii="Narkisim" w:hAnsi="Narkisim" w:cs="Narkisim"/>
          <w:u w:val="single"/>
          <w:rtl/>
        </w:rPr>
        <w:t>איכא למיפרך מה לאלמנה שכן היא עצמה מתחללת וכו'.</w:t>
      </w:r>
      <w:r w:rsidRPr="00AF1DC8">
        <w:rPr>
          <w:rFonts w:ascii="Narkisim" w:hAnsi="Narkisim" w:cs="Narkisim"/>
          <w:rtl/>
        </w:rPr>
        <w:t xml:space="preserve"> וכן השיב ר' יהושע (לעיל טו:) דיבמה לשוק אינה נפסלת מהך ק”ו, שכן היא עצמה אינה מתחללת</w:t>
      </w:r>
      <w:r w:rsidRPr="00AF1DC8">
        <w:rPr>
          <w:rStyle w:val="ac"/>
          <w:rFonts w:ascii="Narkisim" w:hAnsi="Narkisim" w:cs="Narkisim"/>
          <w:rtl/>
        </w:rPr>
        <w:footnoteReference w:id="2587"/>
      </w:r>
      <w:r w:rsidRPr="00AF1DC8">
        <w:rPr>
          <w:rFonts w:ascii="Narkisim" w:hAnsi="Narkisim" w:cs="Narkisim"/>
        </w:rPr>
        <w:t>.</w:t>
      </w:r>
    </w:p>
    <w:p w14:paraId="5A497BAD" w14:textId="77777777" w:rsidR="006074A5" w:rsidRPr="00AF1DC8" w:rsidRDefault="006074A5" w:rsidP="006074A5">
      <w:pPr>
        <w:pStyle w:val="a7"/>
        <w:bidi/>
        <w:rPr>
          <w:rFonts w:ascii="Narkisim" w:hAnsi="Narkisim"/>
        </w:rPr>
      </w:pPr>
      <w:r w:rsidRPr="00AF1DC8">
        <w:rPr>
          <w:rFonts w:ascii="Narkisim" w:hAnsi="Narkisim"/>
          <w:rtl/>
        </w:rPr>
        <w:t>אבל דעת ר' יוחנן בן נורי</w:t>
      </w:r>
      <w:r w:rsidRPr="00AF1DC8">
        <w:rPr>
          <w:rFonts w:ascii="Narkisim" w:hAnsi="Narkisim"/>
          <w:sz w:val="20"/>
          <w:szCs w:val="20"/>
          <w:rtl/>
        </w:rPr>
        <w:t xml:space="preserve"> (לעיל יד:)</w:t>
      </w:r>
      <w:r w:rsidRPr="00AF1DC8">
        <w:rPr>
          <w:rFonts w:ascii="Narkisim" w:hAnsi="Narkisim"/>
          <w:rtl/>
        </w:rPr>
        <w:t xml:space="preserve"> דביבמה לשוק הולד פגום</w:t>
      </w:r>
      <w:r w:rsidRPr="00AF1DC8">
        <w:rPr>
          <w:rFonts w:ascii="Narkisim" w:hAnsi="Narkisim"/>
          <w:sz w:val="20"/>
          <w:szCs w:val="20"/>
          <w:rtl/>
        </w:rPr>
        <w:t xml:space="preserve"> [נעשה כדברי בית הלל, הולד פגום כדברי בי"ש],</w:t>
      </w:r>
      <w:r w:rsidRPr="00AF1DC8">
        <w:rPr>
          <w:rFonts w:ascii="Narkisim" w:hAnsi="Narkisim"/>
          <w:rtl/>
        </w:rPr>
        <w:t xml:space="preserve"> ופ</w:t>
      </w:r>
      <w:r w:rsidRPr="00AF1DC8">
        <w:rPr>
          <w:rFonts w:ascii="Narkisim" w:hAnsi="Narkisim"/>
          <w:b/>
          <w:bCs/>
          <w:rtl/>
        </w:rPr>
        <w:t>רש"י</w:t>
      </w:r>
      <w:r w:rsidRPr="00AF1DC8">
        <w:rPr>
          <w:rFonts w:ascii="Narkisim" w:hAnsi="Narkisim"/>
          <w:rtl/>
        </w:rPr>
        <w:t xml:space="preserve"> (שם) דילפי' דפגום לכהונה מהך ק"ו. ו</w:t>
      </w:r>
      <w:r w:rsidRPr="00AF1DC8">
        <w:rPr>
          <w:rFonts w:ascii="Narkisim" w:hAnsi="Narkisim"/>
          <w:b/>
          <w:bCs/>
          <w:rtl/>
        </w:rPr>
        <w:t xml:space="preserve">תוס' </w:t>
      </w:r>
      <w:r w:rsidRPr="00AF1DC8">
        <w:rPr>
          <w:rFonts w:ascii="Narkisim" w:hAnsi="Narkisim"/>
          <w:rtl/>
        </w:rPr>
        <w:t>(יד: ד”ה נעשה) כת' דר' יוחנן בן נורי ל"ל הך פירכא</w:t>
      </w:r>
      <w:r w:rsidRPr="00AF1DC8">
        <w:rPr>
          <w:rStyle w:val="ac"/>
          <w:rFonts w:ascii="Narkisim" w:hAnsi="Narkisim"/>
          <w:rtl/>
        </w:rPr>
        <w:footnoteReference w:id="2588"/>
      </w:r>
      <w:r w:rsidRPr="00AF1DC8">
        <w:rPr>
          <w:rFonts w:ascii="Narkisim" w:hAnsi="Narkisim"/>
        </w:rPr>
        <w:t xml:space="preserve">. </w:t>
      </w:r>
      <w:r w:rsidRPr="00AF1DC8">
        <w:rPr>
          <w:rFonts w:ascii="Narkisim" w:hAnsi="Narkisim"/>
          <w:rtl/>
        </w:rPr>
        <w:t>ועוד פי' דיליף לפסול מדאיצטריך למעוטי 'היא תועבה</w:t>
      </w:r>
      <w:r w:rsidRPr="00AF1DC8">
        <w:rPr>
          <w:rFonts w:ascii="Narkisim" w:hAnsi="Narkisim"/>
        </w:rPr>
        <w:t>'.</w:t>
      </w:r>
    </w:p>
    <w:p w14:paraId="501A9202"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רמב"ן</w:t>
      </w:r>
      <w:r w:rsidRPr="00AF1DC8">
        <w:rPr>
          <w:rFonts w:ascii="Narkisim" w:hAnsi="Narkisim"/>
          <w:rtl/>
        </w:rPr>
        <w:t xml:space="preserve"> כת' דכוונת ר"י ב”נ דהוה תועבה בעלמא, כיון שבא מטיפה פסולה, ומודה דאינה פסול לכהונה</w:t>
      </w:r>
      <w:r w:rsidRPr="00AF1DC8">
        <w:rPr>
          <w:rFonts w:ascii="Narkisim" w:hAnsi="Narkisim"/>
        </w:rPr>
        <w:t>.</w:t>
      </w:r>
    </w:p>
    <w:p w14:paraId="266041BA" w14:textId="77777777" w:rsidR="006074A5" w:rsidRPr="00AF1DC8" w:rsidRDefault="006074A5" w:rsidP="006074A5">
      <w:pPr>
        <w:bidi/>
        <w:rPr>
          <w:rFonts w:ascii="Narkisim" w:hAnsi="Narkisim" w:cs="Narkisim"/>
        </w:rPr>
      </w:pPr>
      <w:r w:rsidRPr="00AF1DC8">
        <w:rPr>
          <w:rFonts w:ascii="Narkisim" w:hAnsi="Narkisim" w:cs="Narkisim"/>
          <w:u w:val="single"/>
          <w:rtl/>
        </w:rPr>
        <w:t>ועוד היא תועבה כתיב ואין בניה תועבין</w:t>
      </w:r>
      <w:r w:rsidRPr="00AF1DC8">
        <w:rPr>
          <w:rFonts w:ascii="Narkisim" w:hAnsi="Narkisim" w:cs="Narkisim"/>
          <w:rtl/>
        </w:rPr>
        <w:t>. וכן אי' בגמ' (נדה סט:) דאנשי אלכסנדריה שאלו את ר' יהושע בת המחזיר גרושתו פסולה לכהן [והגמ' פי' דהוה מהך ק"ו]. ור' יהושע השיב היא תועבה כתיב ואין בניה תועבין</w:t>
      </w:r>
      <w:r w:rsidRPr="00AF1DC8">
        <w:rPr>
          <w:rFonts w:ascii="Narkisim" w:hAnsi="Narkisim" w:cs="Narkisim"/>
        </w:rPr>
        <w:t>.</w:t>
      </w:r>
    </w:p>
    <w:p w14:paraId="55C63EBB"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מהרש"א</w:t>
      </w:r>
      <w:r w:rsidRPr="00AF1DC8">
        <w:rPr>
          <w:rFonts w:ascii="Narkisim" w:hAnsi="Narkisim"/>
          <w:rtl/>
        </w:rPr>
        <w:t xml:space="preserve"> הק' אמאי איצטריך למעט 'היא תועבה ואין בניה תועבין', כיון דפרכינן אהך ק"ו מה ס"ד דתאסר. וה</w:t>
      </w:r>
      <w:r w:rsidRPr="00AF1DC8">
        <w:rPr>
          <w:rFonts w:ascii="Narkisim" w:hAnsi="Narkisim"/>
          <w:b/>
          <w:bCs/>
          <w:rtl/>
        </w:rPr>
        <w:t>אחרונים</w:t>
      </w:r>
      <w:r w:rsidRPr="00AF1DC8">
        <w:rPr>
          <w:rFonts w:ascii="Narkisim" w:hAnsi="Narkisim"/>
          <w:rtl/>
        </w:rPr>
        <w:t xml:space="preserve"> ציינו דכה"ק </w:t>
      </w:r>
      <w:r w:rsidRPr="00AF1DC8">
        <w:rPr>
          <w:rFonts w:ascii="Narkisim" w:hAnsi="Narkisim"/>
          <w:b/>
          <w:bCs/>
          <w:rtl/>
        </w:rPr>
        <w:t>תוס</w:t>
      </w:r>
      <w:r w:rsidRPr="00AF1DC8">
        <w:rPr>
          <w:rFonts w:ascii="Narkisim" w:hAnsi="Narkisim"/>
          <w:rtl/>
        </w:rPr>
        <w:t>' (לעיל יד: המשך טו., ונדה ע.). ותוס' תי' דס"ד דמחזיר גרושתו פוסל דכתיב טומאה כעריות (ע' לעיל יא:)</w:t>
      </w:r>
      <w:r w:rsidRPr="00AF1DC8">
        <w:rPr>
          <w:rFonts w:ascii="Narkisim" w:hAnsi="Narkisim"/>
        </w:rPr>
        <w:t>.</w:t>
      </w:r>
    </w:p>
    <w:p w14:paraId="316174AF" w14:textId="77777777" w:rsidR="006074A5" w:rsidRPr="00AF1DC8" w:rsidRDefault="006074A5" w:rsidP="006074A5">
      <w:pPr>
        <w:pStyle w:val="aa"/>
        <w:bidi/>
        <w:rPr>
          <w:rFonts w:ascii="Narkisim" w:hAnsi="Narkisim"/>
        </w:rPr>
      </w:pPr>
      <w:r w:rsidRPr="00AF1DC8">
        <w:rPr>
          <w:rFonts w:ascii="Narkisim" w:hAnsi="Narkisim"/>
          <w:u w:val="single"/>
          <w:rtl/>
        </w:rPr>
        <w:t>רש"י ד"ה שכן.</w:t>
      </w:r>
      <w:r w:rsidRPr="00AF1DC8">
        <w:rPr>
          <w:rFonts w:ascii="Narkisim" w:hAnsi="Narkisim"/>
          <w:rtl/>
        </w:rPr>
        <w:t xml:space="preserve"> דכתיב ולא יחלל זרעו, ולא כתיב ולא יחל, ומשמע ב' חילולים</w:t>
      </w:r>
      <w:r w:rsidRPr="00AF1DC8">
        <w:rPr>
          <w:rStyle w:val="ac"/>
          <w:rFonts w:ascii="Narkisim" w:hAnsi="Narkisim"/>
          <w:rtl/>
        </w:rPr>
        <w:footnoteReference w:id="2589"/>
      </w:r>
      <w:r w:rsidRPr="00AF1DC8">
        <w:rPr>
          <w:rFonts w:ascii="Narkisim" w:hAnsi="Narkisim"/>
        </w:rPr>
        <w:t xml:space="preserve">, </w:t>
      </w:r>
      <w:r w:rsidRPr="00AF1DC8">
        <w:rPr>
          <w:rFonts w:ascii="Narkisim" w:hAnsi="Narkisim"/>
          <w:rtl/>
        </w:rPr>
        <w:t xml:space="preserve">והכי מפורש (קידושין עז.) </w:t>
      </w:r>
      <w:r w:rsidRPr="00AF1DC8">
        <w:rPr>
          <w:rFonts w:ascii="Narkisim" w:hAnsi="Narkisim"/>
          <w:rtl/>
        </w:rPr>
        <w:lastRenderedPageBreak/>
        <w:t xml:space="preserve">וכו'. בגמ' (קידושין שם) דרשי' דקאי לפסול את האשה, דולא יחלל משמע דהיה כשר ונתחלל. וכ"כ </w:t>
      </w:r>
      <w:r w:rsidRPr="00AF1DC8">
        <w:rPr>
          <w:rFonts w:ascii="Narkisim" w:hAnsi="Narkisim"/>
          <w:b/>
          <w:bCs/>
          <w:rtl/>
        </w:rPr>
        <w:t>רש"י</w:t>
      </w:r>
      <w:r w:rsidRPr="00AF1DC8">
        <w:rPr>
          <w:rFonts w:ascii="Narkisim" w:hAnsi="Narkisim"/>
          <w:rtl/>
        </w:rPr>
        <w:t xml:space="preserve"> (לקמן סט.). וצ"ב דרש"י (כאן, וקידושין עה. וסנהדרין נא.) הביא באופ"א, דדרשי' דקאי אב' חילולין. וכה”ק ה</w:t>
      </w:r>
      <w:r w:rsidRPr="00AF1DC8">
        <w:rPr>
          <w:rFonts w:ascii="Narkisim" w:hAnsi="Narkisim"/>
          <w:b/>
          <w:bCs/>
          <w:rtl/>
        </w:rPr>
        <w:t>מהרש”ל</w:t>
      </w:r>
      <w:r w:rsidRPr="00AF1DC8">
        <w:rPr>
          <w:rFonts w:ascii="Narkisim" w:hAnsi="Narkisim"/>
          <w:rtl/>
        </w:rPr>
        <w:t xml:space="preserve"> (סנהדרין נא.). וה</w:t>
      </w:r>
      <w:r w:rsidRPr="00AF1DC8">
        <w:rPr>
          <w:rFonts w:ascii="Narkisim" w:hAnsi="Narkisim"/>
          <w:b/>
          <w:bCs/>
          <w:rtl/>
        </w:rPr>
        <w:t>מהרש”א</w:t>
      </w:r>
      <w:r w:rsidRPr="00AF1DC8">
        <w:rPr>
          <w:rFonts w:ascii="Narkisim" w:hAnsi="Narkisim"/>
          <w:rtl/>
        </w:rPr>
        <w:t xml:space="preserve"> (שם) תי' דאי משום דרשת כשר ונתחללה א”כ קרא איירי דוקא באשה, ומנ”ל דמחלל הזרע. וע”כ דרשי' ב' חילולין</w:t>
      </w:r>
      <w:r w:rsidRPr="00AF1DC8">
        <w:rPr>
          <w:rFonts w:ascii="Narkisim" w:hAnsi="Narkisim"/>
        </w:rPr>
        <w:t>.</w:t>
      </w:r>
    </w:p>
    <w:p w14:paraId="02C634DF" w14:textId="77777777" w:rsidR="006074A5" w:rsidRPr="00AF1DC8" w:rsidRDefault="006074A5" w:rsidP="006074A5">
      <w:pPr>
        <w:pStyle w:val="a8"/>
        <w:bidi/>
        <w:rPr>
          <w:rFonts w:ascii="Narkisim" w:hAnsi="Narkisim"/>
        </w:rPr>
      </w:pPr>
      <w:r w:rsidRPr="00AF1DC8">
        <w:rPr>
          <w:rFonts w:ascii="Narkisim" w:hAnsi="Narkisim"/>
          <w:rtl/>
        </w:rPr>
        <w:t>ו</w:t>
      </w:r>
      <w:r w:rsidRPr="00AF1DC8">
        <w:rPr>
          <w:rFonts w:ascii="Narkisim" w:hAnsi="Narkisim"/>
          <w:b/>
          <w:bCs/>
          <w:rtl/>
        </w:rPr>
        <w:t>רש"י</w:t>
      </w:r>
      <w:r w:rsidRPr="00AF1DC8">
        <w:rPr>
          <w:rFonts w:ascii="Narkisim" w:hAnsi="Narkisim"/>
          <w:rtl/>
        </w:rPr>
        <w:t xml:space="preserve"> (לעיל טו: ונדה סט:) דרש ולא יחלל זרעו בעמיו, עמיו היינו אשתו</w:t>
      </w:r>
      <w:r w:rsidRPr="00AF1DC8">
        <w:rPr>
          <w:rFonts w:ascii="Narkisim" w:hAnsi="Narkisim"/>
        </w:rPr>
        <w:t>.</w:t>
      </w:r>
    </w:p>
    <w:p w14:paraId="08E6F395" w14:textId="77777777" w:rsidR="006074A5" w:rsidRPr="00AF1DC8" w:rsidRDefault="006074A5" w:rsidP="006074A5">
      <w:pPr>
        <w:pStyle w:val="aa"/>
        <w:bidi/>
        <w:rPr>
          <w:rFonts w:ascii="Narkisim" w:hAnsi="Narkisim"/>
        </w:rPr>
      </w:pPr>
      <w:r w:rsidRPr="00AF1DC8">
        <w:rPr>
          <w:rFonts w:ascii="Narkisim" w:hAnsi="Narkisim"/>
          <w:u w:val="single"/>
          <w:rtl/>
        </w:rPr>
        <w:t>בא"ד דאי למיפסלה לכהונה לא מיפסלה בהאי חזרה, דהא פסולה וקיימא</w:t>
      </w:r>
      <w:r w:rsidRPr="00AF1DC8">
        <w:rPr>
          <w:rStyle w:val="ac"/>
          <w:rFonts w:ascii="Narkisim" w:hAnsi="Narkisim"/>
          <w:u w:val="single"/>
          <w:rtl/>
        </w:rPr>
        <w:footnoteReference w:id="2590"/>
      </w:r>
      <w:r w:rsidRPr="00AF1DC8">
        <w:rPr>
          <w:rFonts w:ascii="Narkisim" w:hAnsi="Narkisim"/>
          <w:u w:val="single"/>
        </w:rPr>
        <w:t xml:space="preserve"> </w:t>
      </w:r>
      <w:r w:rsidRPr="00AF1DC8">
        <w:rPr>
          <w:rFonts w:ascii="Narkisim" w:hAnsi="Narkisim"/>
          <w:u w:val="single"/>
          <w:rtl/>
        </w:rPr>
        <w:t>משעת גירושין, ואי לתרומה</w:t>
      </w:r>
      <w:r w:rsidRPr="00AF1DC8">
        <w:rPr>
          <w:rStyle w:val="ac"/>
          <w:rFonts w:ascii="Narkisim" w:hAnsi="Narkisim"/>
          <w:u w:val="single"/>
          <w:rtl/>
        </w:rPr>
        <w:footnoteReference w:id="2591"/>
      </w:r>
      <w:r w:rsidRPr="00AF1DC8">
        <w:rPr>
          <w:rFonts w:ascii="Narkisim" w:hAnsi="Narkisim"/>
          <w:u w:val="single"/>
        </w:rPr>
        <w:t xml:space="preserve"> </w:t>
      </w:r>
      <w:r w:rsidRPr="00AF1DC8">
        <w:rPr>
          <w:rFonts w:ascii="Narkisim" w:hAnsi="Narkisim"/>
          <w:u w:val="single"/>
          <w:rtl/>
        </w:rPr>
        <w:t>וכו'</w:t>
      </w:r>
      <w:r w:rsidRPr="00AF1DC8">
        <w:rPr>
          <w:rFonts w:ascii="Narkisim" w:hAnsi="Narkisim"/>
          <w:rtl/>
        </w:rPr>
        <w:t xml:space="preserve">. [וכ”כ </w:t>
      </w:r>
      <w:r w:rsidRPr="00AF1DC8">
        <w:rPr>
          <w:rFonts w:ascii="Narkisim" w:hAnsi="Narkisim"/>
          <w:b/>
          <w:bCs/>
          <w:rtl/>
        </w:rPr>
        <w:t xml:space="preserve">רש”י </w:t>
      </w:r>
      <w:r w:rsidRPr="00AF1DC8">
        <w:rPr>
          <w:rFonts w:ascii="Narkisim" w:hAnsi="Narkisim"/>
          <w:rtl/>
        </w:rPr>
        <w:t>לעיל טו:]. משמע דלענין תרומה דרשי' דאינה נפסלת [דאינה זר אצלה מעיקרא]. אבל נאסרת לכהונה, דלכהונה לא בעינן זר מעיקרא</w:t>
      </w:r>
      <w:r w:rsidRPr="00AF1DC8">
        <w:rPr>
          <w:rFonts w:ascii="Narkisim" w:hAnsi="Narkisim"/>
        </w:rPr>
        <w:t>.</w:t>
      </w:r>
    </w:p>
    <w:p w14:paraId="1F1B40D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פי' דכוונת </w:t>
      </w:r>
      <w:r w:rsidRPr="00AF1DC8">
        <w:rPr>
          <w:rFonts w:ascii="Narkisim" w:hAnsi="Narkisim"/>
          <w:b/>
          <w:bCs/>
          <w:rtl/>
        </w:rPr>
        <w:t>רש"י</w:t>
      </w:r>
      <w:r w:rsidRPr="00AF1DC8">
        <w:rPr>
          <w:rFonts w:ascii="Narkisim" w:hAnsi="Narkisim"/>
          <w:rtl/>
        </w:rPr>
        <w:t xml:space="preserve"> לשיטתו (לקמן סא.) דכל ביאה אסורה הוה זונה, ונפסלת לכהונה מדין זונה. אך אינה נאסרת בתרומה מטעם זה</w:t>
      </w:r>
      <w:r w:rsidRPr="00AF1DC8">
        <w:rPr>
          <w:rStyle w:val="ac"/>
          <w:rFonts w:ascii="Narkisim" w:hAnsi="Narkisim"/>
          <w:rtl/>
        </w:rPr>
        <w:footnoteReference w:id="2592"/>
      </w:r>
      <w:r w:rsidRPr="00AF1DC8">
        <w:rPr>
          <w:rFonts w:ascii="Narkisim" w:hAnsi="Narkisim"/>
        </w:rPr>
        <w:t xml:space="preserve">. </w:t>
      </w:r>
      <w:r w:rsidRPr="00AF1DC8">
        <w:rPr>
          <w:rFonts w:ascii="Narkisim" w:hAnsi="Narkisim"/>
          <w:rtl/>
        </w:rPr>
        <w:t xml:space="preserve">[ע' תוס']. אבל </w:t>
      </w:r>
      <w:r w:rsidRPr="00AF1DC8">
        <w:rPr>
          <w:rFonts w:ascii="Narkisim" w:hAnsi="Narkisim"/>
          <w:b/>
          <w:bCs/>
          <w:rtl/>
        </w:rPr>
        <w:t>תוס</w:t>
      </w:r>
      <w:r w:rsidRPr="00AF1DC8">
        <w:rPr>
          <w:rFonts w:ascii="Narkisim" w:hAnsi="Narkisim"/>
          <w:rtl/>
        </w:rPr>
        <w:t>' (סא. ורוב ראשונים) ס"ל דלא הוה זונה אלא מחייבי כריתות. [ונח' בזה התנאים לקמן סא:]. וע"ע בסמוך</w:t>
      </w:r>
      <w:r w:rsidRPr="00AF1DC8">
        <w:rPr>
          <w:rFonts w:ascii="Narkisim" w:hAnsi="Narkisim"/>
        </w:rPr>
        <w:t>.</w:t>
      </w:r>
    </w:p>
    <w:p w14:paraId="739290C4" w14:textId="77777777" w:rsidR="006074A5" w:rsidRPr="00AF1DC8" w:rsidRDefault="006074A5" w:rsidP="006074A5">
      <w:pPr>
        <w:bidi/>
        <w:rPr>
          <w:rFonts w:ascii="Narkisim" w:hAnsi="Narkisim" w:cs="Narkisim"/>
        </w:rPr>
      </w:pPr>
      <w:r w:rsidRPr="00AF1DC8">
        <w:rPr>
          <w:rFonts w:ascii="Narkisim" w:hAnsi="Narkisim" w:cs="Narkisim"/>
          <w:u w:val="single"/>
          <w:rtl/>
        </w:rPr>
        <w:t>ועוד תניא המחזיר גרושתו והנושא חלוצתו וכו' וחכ"א וכו' והיא כשירה וולדה כשר וכו</w:t>
      </w:r>
      <w:r w:rsidRPr="00AF1DC8">
        <w:rPr>
          <w:rFonts w:ascii="Narkisim" w:hAnsi="Narkisim" w:cs="Narkisim"/>
          <w:rtl/>
        </w:rPr>
        <w:t>'. ומחזיר גרושתו אינו פוסל את האשה, וכן משום איסור לא יבנה. ו</w:t>
      </w:r>
      <w:r w:rsidRPr="00AF1DC8">
        <w:rPr>
          <w:rFonts w:ascii="Narkisim" w:hAnsi="Narkisim" w:cs="Narkisim"/>
          <w:b/>
          <w:bCs/>
          <w:rtl/>
        </w:rPr>
        <w:t>ר"ח</w:t>
      </w:r>
      <w:r w:rsidRPr="00AF1DC8">
        <w:rPr>
          <w:rFonts w:ascii="Narkisim" w:hAnsi="Narkisim" w:cs="Narkisim"/>
          <w:rtl/>
        </w:rPr>
        <w:t xml:space="preserve"> (הו' בתוס' רא"ש) כת' דקאי רק אקרובת חלוצתו</w:t>
      </w:r>
      <w:r w:rsidRPr="00AF1DC8">
        <w:rPr>
          <w:rStyle w:val="ac"/>
          <w:rFonts w:ascii="Narkisim" w:hAnsi="Narkisim" w:cs="Narkisim"/>
          <w:rtl/>
        </w:rPr>
        <w:footnoteReference w:id="2593"/>
      </w:r>
      <w:r w:rsidRPr="00AF1DC8">
        <w:rPr>
          <w:rFonts w:ascii="Narkisim" w:hAnsi="Narkisim" w:cs="Narkisim"/>
        </w:rPr>
        <w:t xml:space="preserve">, </w:t>
      </w:r>
      <w:r w:rsidRPr="00AF1DC8">
        <w:rPr>
          <w:rFonts w:ascii="Narkisim" w:hAnsi="Narkisim" w:cs="Narkisim"/>
          <w:rtl/>
        </w:rPr>
        <w:t>אבל במחזיר גרושתו מתחללת לתרומה. [ואף לרבנן דהולד כשר]</w:t>
      </w:r>
      <w:r w:rsidRPr="00AF1DC8">
        <w:rPr>
          <w:rFonts w:ascii="Narkisim" w:hAnsi="Narkisim" w:cs="Narkisim"/>
        </w:rPr>
        <w:t>.</w:t>
      </w:r>
    </w:p>
    <w:p w14:paraId="58C8B403" w14:textId="77777777" w:rsidR="006074A5" w:rsidRPr="00AF1DC8" w:rsidRDefault="006074A5" w:rsidP="006074A5">
      <w:pPr>
        <w:pStyle w:val="a7"/>
        <w:bidi/>
        <w:rPr>
          <w:rFonts w:ascii="Narkisim" w:hAnsi="Narkisim"/>
        </w:rPr>
      </w:pPr>
      <w:r w:rsidRPr="00AF1DC8">
        <w:rPr>
          <w:rFonts w:ascii="Narkisim" w:hAnsi="Narkisim"/>
          <w:rtl/>
        </w:rPr>
        <w:t>ובפשוטו כוונתו דקי"ל דכל ביאת איסור פוסל לתרומה [ויל"ד אי אף מכהונה</w:t>
      </w:r>
      <w:r w:rsidRPr="00AF1DC8">
        <w:rPr>
          <w:rStyle w:val="ac"/>
          <w:rFonts w:ascii="Narkisim" w:hAnsi="Narkisim"/>
          <w:rtl/>
        </w:rPr>
        <w:footnoteReference w:id="2594"/>
      </w:r>
      <w:r w:rsidRPr="00AF1DC8">
        <w:rPr>
          <w:rFonts w:ascii="Narkisim" w:hAnsi="Narkisim"/>
          <w:rtl/>
        </w:rPr>
        <w:t>], ול"צ זר מעיקרא. [וכן פסק ה</w:t>
      </w:r>
      <w:r w:rsidRPr="00AF1DC8">
        <w:rPr>
          <w:rFonts w:ascii="Narkisim" w:hAnsi="Narkisim"/>
          <w:b/>
          <w:bCs/>
          <w:rtl/>
        </w:rPr>
        <w:t>רמב"ם</w:t>
      </w:r>
      <w:r w:rsidRPr="00AF1DC8">
        <w:rPr>
          <w:rFonts w:ascii="Narkisim" w:hAnsi="Narkisim"/>
          <w:rtl/>
        </w:rPr>
        <w:t xml:space="preserve"> (יח א)]. וה</w:t>
      </w:r>
      <w:r w:rsidRPr="00AF1DC8">
        <w:rPr>
          <w:rFonts w:ascii="Narkisim" w:hAnsi="Narkisim"/>
          <w:b/>
          <w:bCs/>
          <w:rtl/>
        </w:rPr>
        <w:t>תוס' רא"ש</w:t>
      </w:r>
      <w:r w:rsidRPr="00AF1DC8">
        <w:rPr>
          <w:rFonts w:ascii="Narkisim" w:hAnsi="Narkisim"/>
          <w:rtl/>
        </w:rPr>
        <w:t xml:space="preserve"> חלק דלהדיא אי' (לקמן סט.) דמחזיר גרושתו אינו פוסל לתרומה, דבעינן זר אצלה מעיקרא. </w:t>
      </w:r>
      <w:r w:rsidRPr="00AF1DC8">
        <w:rPr>
          <w:rFonts w:ascii="Narkisim" w:hAnsi="Narkisim"/>
          <w:szCs w:val="20"/>
          <w:rtl/>
        </w:rPr>
        <w:t>וה</w:t>
      </w:r>
      <w:r w:rsidRPr="00AF1DC8">
        <w:rPr>
          <w:rFonts w:ascii="Narkisim" w:hAnsi="Narkisim"/>
          <w:b/>
          <w:bCs/>
          <w:szCs w:val="20"/>
          <w:rtl/>
        </w:rPr>
        <w:t>אחרונים</w:t>
      </w:r>
      <w:r w:rsidRPr="00AF1DC8">
        <w:rPr>
          <w:rFonts w:ascii="Narkisim" w:hAnsi="Narkisim"/>
          <w:szCs w:val="20"/>
          <w:rtl/>
        </w:rPr>
        <w:t xml:space="preserve"> (שעה"מ יח ג, אבנ"מ ו ג) דנו דהרמב"ם ס"ל דהגמ' (לקמן סח:) לא קאי להלכה</w:t>
      </w:r>
      <w:r w:rsidRPr="00AF1DC8">
        <w:rPr>
          <w:rFonts w:ascii="Narkisim" w:hAnsi="Narkisim"/>
        </w:rPr>
        <w:t>.</w:t>
      </w:r>
    </w:p>
    <w:p w14:paraId="26AEC29D"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תוס' רא”ש</w:t>
      </w:r>
      <w:r w:rsidRPr="00AF1DC8">
        <w:rPr>
          <w:rFonts w:ascii="Narkisim" w:hAnsi="Narkisim"/>
          <w:rtl/>
        </w:rPr>
        <w:t xml:space="preserve"> הביא ד</w:t>
      </w:r>
      <w:r w:rsidRPr="00AF1DC8">
        <w:rPr>
          <w:rFonts w:ascii="Narkisim" w:hAnsi="Narkisim"/>
          <w:b/>
          <w:bCs/>
          <w:rtl/>
        </w:rPr>
        <w:t>רבינו</w:t>
      </w:r>
      <w:r w:rsidRPr="00AF1DC8">
        <w:rPr>
          <w:rFonts w:ascii="Narkisim" w:hAnsi="Narkisim"/>
          <w:rtl/>
        </w:rPr>
        <w:t xml:space="preserve"> </w:t>
      </w:r>
      <w:r w:rsidRPr="00AF1DC8">
        <w:rPr>
          <w:rFonts w:ascii="Narkisim" w:hAnsi="Narkisim"/>
          <w:b/>
          <w:bCs/>
          <w:rtl/>
        </w:rPr>
        <w:t>מאיר</w:t>
      </w:r>
      <w:r w:rsidRPr="00AF1DC8">
        <w:rPr>
          <w:rFonts w:ascii="Narkisim" w:hAnsi="Narkisim"/>
          <w:rtl/>
        </w:rPr>
        <w:t xml:space="preserve"> פי' דר"ח קאי דוקא במחזיר גרושתו דכתיב בה טומאה, ואין מקרא יוצא מידי פשוטו [וכדלעיל יא:]. ואפי' למ"ד כיון דאיעקר היינו לענין צרה, אבל היא גופא פשיטא דאהני בה טומאה קצת לפסולה לתרומה. והא דאי' (לקמן סט.) דלא דרשינן אמחזיר גרושתו [דבעינן זר מעיקרא], כוונת הגמ' דאין לוקין על טומאה זו</w:t>
      </w:r>
      <w:r w:rsidRPr="00AF1DC8">
        <w:rPr>
          <w:rStyle w:val="ac"/>
          <w:rFonts w:ascii="Narkisim" w:hAnsi="Narkisim"/>
          <w:rtl/>
        </w:rPr>
        <w:footnoteReference w:id="2595"/>
      </w:r>
      <w:r w:rsidRPr="00AF1DC8">
        <w:rPr>
          <w:rFonts w:ascii="Narkisim" w:hAnsi="Narkisim"/>
        </w:rPr>
        <w:t>.</w:t>
      </w:r>
    </w:p>
    <w:p w14:paraId="196CCD9D" w14:textId="77777777" w:rsidR="006074A5" w:rsidRPr="00AF1DC8" w:rsidRDefault="006074A5" w:rsidP="006074A5">
      <w:pPr>
        <w:pStyle w:val="aa"/>
        <w:bidi/>
        <w:rPr>
          <w:rFonts w:ascii="Narkisim" w:hAnsi="Narkisim"/>
        </w:rPr>
      </w:pPr>
      <w:r w:rsidRPr="00AF1DC8">
        <w:rPr>
          <w:rFonts w:ascii="Narkisim" w:hAnsi="Narkisim"/>
          <w:u w:val="single"/>
          <w:rtl/>
        </w:rPr>
        <w:t>תוד"ה היא.</w:t>
      </w:r>
      <w:r w:rsidRPr="00AF1DC8">
        <w:rPr>
          <w:rFonts w:ascii="Narkisim" w:hAnsi="Narkisim"/>
          <w:rtl/>
        </w:rPr>
        <w:t xml:space="preserve"> אבל לר"ע לא בעי זר אצלה מעיקרא, כדאמר (קידו' עה:) השתא ממזר הוי וכו'. ועד"ז כת' </w:t>
      </w:r>
      <w:r w:rsidRPr="00AF1DC8">
        <w:rPr>
          <w:rFonts w:ascii="Narkisim" w:hAnsi="Narkisim"/>
          <w:b/>
          <w:bCs/>
          <w:rtl/>
        </w:rPr>
        <w:t>תוס</w:t>
      </w:r>
      <w:r w:rsidRPr="00AF1DC8">
        <w:rPr>
          <w:rFonts w:ascii="Narkisim" w:hAnsi="Narkisim"/>
          <w:rtl/>
        </w:rPr>
        <w:t>' (ד”ה עשאה) דכל היכא דלא תפסי קידושין הוה זונה. [גבי חייבי כריתות]. [אך תוס' דידן משמע דדנו משום קרא דכי תהיה לאיש זר, דע"כ ר"ע לא דרש כגמ' (סח:) דדוקא זר מעיקרא]</w:t>
      </w:r>
      <w:r w:rsidRPr="00AF1DC8">
        <w:rPr>
          <w:rFonts w:ascii="Narkisim" w:hAnsi="Narkisim"/>
        </w:rPr>
        <w:t>.</w:t>
      </w:r>
    </w:p>
    <w:p w14:paraId="7E18CBEF" w14:textId="77777777" w:rsidR="006074A5" w:rsidRPr="00AF1DC8" w:rsidRDefault="006074A5" w:rsidP="006074A5">
      <w:pPr>
        <w:bidi/>
        <w:rPr>
          <w:rFonts w:ascii="Narkisim" w:hAnsi="Narkisim" w:cs="Narkisim"/>
        </w:rPr>
      </w:pPr>
      <w:r w:rsidRPr="00AF1DC8">
        <w:rPr>
          <w:rFonts w:ascii="Narkisim" w:hAnsi="Narkisim" w:cs="Narkisim"/>
          <w:u w:val="single"/>
          <w:rtl/>
        </w:rPr>
        <w:t>בא"ד ולא מצי למידרש 'ואין צרתה תועבה', דל"ש צרתה, דאין קידושין תופסין בחיי"ל אליבא דר"ע</w:t>
      </w:r>
      <w:r w:rsidRPr="00AF1DC8">
        <w:rPr>
          <w:rFonts w:ascii="Narkisim" w:hAnsi="Narkisim" w:cs="Narkisim"/>
          <w:rtl/>
        </w:rPr>
        <w:t>. וה</w:t>
      </w:r>
      <w:r w:rsidRPr="00AF1DC8">
        <w:rPr>
          <w:rFonts w:ascii="Narkisim" w:hAnsi="Narkisim" w:cs="Narkisim"/>
          <w:b/>
          <w:bCs/>
          <w:rtl/>
        </w:rPr>
        <w:t>תוס' רא"ש</w:t>
      </w:r>
      <w:r w:rsidRPr="00AF1DC8">
        <w:rPr>
          <w:rFonts w:ascii="Narkisim" w:hAnsi="Narkisim" w:cs="Narkisim"/>
          <w:rtl/>
        </w:rPr>
        <w:t xml:space="preserve"> (בשם ר' יחיאל) דדרשי' אסוטה, דאין בניה תועבים [וכדאי' לקמן מט:]. ועד"ז תי' ה</w:t>
      </w:r>
      <w:r w:rsidRPr="00AF1DC8">
        <w:rPr>
          <w:rFonts w:ascii="Narkisim" w:hAnsi="Narkisim" w:cs="Narkisim"/>
          <w:b/>
          <w:bCs/>
          <w:rtl/>
        </w:rPr>
        <w:t>תו"י</w:t>
      </w:r>
      <w:r w:rsidRPr="00AF1DC8">
        <w:rPr>
          <w:rFonts w:ascii="Narkisim" w:hAnsi="Narkisim" w:cs="Narkisim"/>
          <w:rtl/>
        </w:rPr>
        <w:t xml:space="preserve"> דדרשי' אסוטה, שיש לה צרה כיון שהקידושין היו טובים מתחילה</w:t>
      </w:r>
      <w:r w:rsidRPr="00AF1DC8">
        <w:rPr>
          <w:rStyle w:val="ac"/>
          <w:rFonts w:ascii="Narkisim" w:hAnsi="Narkisim" w:cs="Narkisim"/>
          <w:rtl/>
        </w:rPr>
        <w:footnoteReference w:id="2596"/>
      </w:r>
      <w:r w:rsidRPr="00AF1DC8">
        <w:rPr>
          <w:rFonts w:ascii="Narkisim" w:hAnsi="Narkisim" w:cs="Narkisim"/>
        </w:rPr>
        <w:t xml:space="preserve">. </w:t>
      </w:r>
      <w:r w:rsidRPr="00AF1DC8">
        <w:rPr>
          <w:rFonts w:ascii="Narkisim" w:hAnsi="Narkisim" w:cs="Narkisim"/>
          <w:rtl/>
        </w:rPr>
        <w:lastRenderedPageBreak/>
        <w:t>[ואף שנעשית סוטה לא נפקע הקידושין, וכדלקמן מט:].</w:t>
      </w:r>
      <w:r w:rsidRPr="00AF1DC8">
        <w:rPr>
          <w:rFonts w:ascii="Narkisim" w:hAnsi="Narkisim" w:cs="Narkisim"/>
          <w:sz w:val="20"/>
          <w:szCs w:val="20"/>
          <w:rtl/>
        </w:rPr>
        <w:t xml:space="preserve"> וילפי' דסוטה אינה פוטרת צרתה</w:t>
      </w:r>
      <w:r w:rsidRPr="00AF1DC8">
        <w:rPr>
          <w:rStyle w:val="ac"/>
          <w:rFonts w:ascii="Narkisim" w:hAnsi="Narkisim" w:cs="Narkisim"/>
          <w:sz w:val="20"/>
          <w:szCs w:val="20"/>
          <w:rtl/>
        </w:rPr>
        <w:footnoteReference w:id="2597"/>
      </w:r>
      <w:r w:rsidRPr="00AF1DC8">
        <w:rPr>
          <w:rFonts w:ascii="Narkisim" w:hAnsi="Narkisim" w:cs="Narkisim"/>
          <w:sz w:val="20"/>
          <w:szCs w:val="20"/>
        </w:rPr>
        <w:t>.</w:t>
      </w:r>
    </w:p>
    <w:p w14:paraId="1854901B" w14:textId="77777777" w:rsidR="006074A5" w:rsidRPr="00AF1DC8" w:rsidRDefault="006074A5" w:rsidP="006074A5">
      <w:pPr>
        <w:bidi/>
        <w:rPr>
          <w:rFonts w:ascii="Narkisim" w:hAnsi="Narkisim" w:cs="Narkisim"/>
        </w:rPr>
      </w:pPr>
      <w:r w:rsidRPr="00AF1DC8">
        <w:rPr>
          <w:rFonts w:ascii="Narkisim" w:hAnsi="Narkisim" w:cs="Narkisim"/>
          <w:u w:val="single"/>
          <w:rtl/>
        </w:rPr>
        <w:t>אלא אי איתמר וכו' הכל מודים בא על חייבי כריתות דהולד פגום וכו' נהי דממזר לא הוי וכו'.</w:t>
      </w:r>
      <w:r w:rsidRPr="00AF1DC8">
        <w:rPr>
          <w:rFonts w:ascii="Narkisim" w:hAnsi="Narkisim" w:cs="Narkisim"/>
          <w:rtl/>
        </w:rPr>
        <w:t xml:space="preserve"> דפגום לכהונה מהך ק"ו. וה</w:t>
      </w:r>
      <w:r w:rsidRPr="00AF1DC8">
        <w:rPr>
          <w:rFonts w:ascii="Narkisim" w:hAnsi="Narkisim" w:cs="Narkisim"/>
          <w:b/>
          <w:bCs/>
          <w:rtl/>
        </w:rPr>
        <w:t>דב”א</w:t>
      </w:r>
      <w:r w:rsidRPr="00AF1DC8">
        <w:rPr>
          <w:rFonts w:ascii="Narkisim" w:hAnsi="Narkisim" w:cs="Narkisim"/>
          <w:rtl/>
        </w:rPr>
        <w:t xml:space="preserve"> ו</w:t>
      </w:r>
      <w:r w:rsidRPr="00AF1DC8">
        <w:rPr>
          <w:rFonts w:ascii="Narkisim" w:hAnsi="Narkisim" w:cs="Narkisim"/>
          <w:b/>
          <w:bCs/>
          <w:rtl/>
        </w:rPr>
        <w:t>קובה”ע</w:t>
      </w:r>
      <w:r w:rsidRPr="00AF1DC8">
        <w:rPr>
          <w:rFonts w:ascii="Narkisim" w:hAnsi="Narkisim" w:cs="Narkisim"/>
          <w:rtl/>
        </w:rPr>
        <w:t xml:space="preserve"> (ע' בסמוך) נקטו דתלי במח' רש”י ורמב"ן (הנ"ל). דלדעת הרמב"ן ילפי' דהבן פסול ופוסל אשה בביאתו. והיכא דהבועל כהן, ע”י הק"ו הבן נפסל מלהיות כהן [וכדין חלל]. אבל לדעת רש"י הנידון רק על הבת ליפסל לכהונה. וב</w:t>
      </w:r>
      <w:r w:rsidRPr="00AF1DC8">
        <w:rPr>
          <w:rFonts w:ascii="Narkisim" w:hAnsi="Narkisim" w:cs="Narkisim"/>
          <w:b/>
          <w:bCs/>
          <w:rtl/>
        </w:rPr>
        <w:t>חי' ר' שמואל</w:t>
      </w:r>
      <w:r w:rsidRPr="00AF1DC8">
        <w:rPr>
          <w:rFonts w:ascii="Narkisim" w:hAnsi="Narkisim" w:cs="Narkisim"/>
          <w:rtl/>
        </w:rPr>
        <w:t xml:space="preserve"> </w:t>
      </w:r>
      <w:r w:rsidRPr="00AF1DC8">
        <w:rPr>
          <w:rFonts w:ascii="Narkisim" w:hAnsi="Narkisim" w:cs="Narkisim"/>
          <w:sz w:val="20"/>
          <w:szCs w:val="20"/>
          <w:rtl/>
        </w:rPr>
        <w:t xml:space="preserve">(י ה) </w:t>
      </w:r>
      <w:r w:rsidRPr="00AF1DC8">
        <w:rPr>
          <w:rFonts w:ascii="Narkisim" w:hAnsi="Narkisim" w:cs="Narkisim"/>
          <w:rtl/>
        </w:rPr>
        <w:t xml:space="preserve">כת' דאף לרש”י מהני הק"ו לפסול שהבן לא יהא כהן </w:t>
      </w:r>
      <w:r w:rsidRPr="00AF1DC8">
        <w:rPr>
          <w:rFonts w:ascii="Narkisim" w:hAnsi="Narkisim" w:cs="Narkisim"/>
          <w:sz w:val="20"/>
          <w:szCs w:val="20"/>
          <w:rtl/>
        </w:rPr>
        <w:t>[ורק לפסול בביאתו ל”מ</w:t>
      </w:r>
      <w:r w:rsidRPr="00AF1DC8">
        <w:rPr>
          <w:rFonts w:ascii="Narkisim" w:hAnsi="Narkisim" w:cs="Narkisim"/>
          <w:rtl/>
        </w:rPr>
        <w:t xml:space="preserve">], דסיבת הפסול זונה שייך אף בזכר [וכדאמרי' בכורות מז. לאו זרעא דאהרן] להפקיע השם כהן. </w:t>
      </w:r>
      <w:r w:rsidRPr="00AF1DC8">
        <w:rPr>
          <w:rFonts w:ascii="Narkisim" w:hAnsi="Narkisim" w:cs="Narkisim"/>
          <w:sz w:val="20"/>
          <w:szCs w:val="20"/>
          <w:rtl/>
        </w:rPr>
        <w:t>[וכמ"ש רש"י (מה.) דבעכו”ם בלא”ה אינו כהן. אך אילו היה בן של כהן, מהני הק”ו לחללו]</w:t>
      </w:r>
      <w:r w:rsidRPr="00AF1DC8">
        <w:rPr>
          <w:rFonts w:ascii="Narkisim" w:hAnsi="Narkisim" w:cs="Narkisim"/>
          <w:sz w:val="20"/>
          <w:szCs w:val="20"/>
        </w:rPr>
        <w:t>.</w:t>
      </w:r>
    </w:p>
    <w:p w14:paraId="7F290E15"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שואל בשו"ת הרשב"א</w:t>
      </w:r>
      <w:r w:rsidRPr="00AF1DC8">
        <w:rPr>
          <w:rFonts w:ascii="Narkisim" w:hAnsi="Narkisim" w:cs="Narkisim"/>
          <w:rtl/>
        </w:rPr>
        <w:t xml:space="preserve"> (א אלף רא) נסתפק בכהן הבא על הערוה, האם הולד [מביאה ראשונה</w:t>
      </w:r>
      <w:r w:rsidRPr="00AF1DC8">
        <w:rPr>
          <w:rStyle w:val="ac"/>
          <w:rFonts w:ascii="Narkisim" w:hAnsi="Narkisim" w:cs="Narkisim"/>
          <w:rtl/>
        </w:rPr>
        <w:footnoteReference w:id="2598"/>
      </w:r>
      <w:r w:rsidRPr="00AF1DC8">
        <w:rPr>
          <w:rFonts w:ascii="Narkisim" w:hAnsi="Narkisim" w:cs="Narkisim"/>
          <w:rtl/>
        </w:rPr>
        <w:t>] הוה כהן לאכול בתרומה. ואף דהולד ממזר, אין חלל אלא מאיסור כהונה. וה</w:t>
      </w:r>
      <w:r w:rsidRPr="00AF1DC8">
        <w:rPr>
          <w:rFonts w:ascii="Narkisim" w:hAnsi="Narkisim" w:cs="Narkisim"/>
          <w:b/>
          <w:bCs/>
          <w:rtl/>
        </w:rPr>
        <w:t>רשב"א</w:t>
      </w:r>
      <w:r w:rsidRPr="00AF1DC8">
        <w:rPr>
          <w:rFonts w:ascii="Narkisim" w:hAnsi="Narkisim" w:cs="Narkisim"/>
          <w:rtl/>
        </w:rPr>
        <w:t xml:space="preserve"> הביא מסוגיין דהכל מודים [אף ר' יהושע] דהולד פגום לכהונה, מק”ו מאלמנה. וה</w:t>
      </w:r>
      <w:r w:rsidRPr="00AF1DC8">
        <w:rPr>
          <w:rFonts w:ascii="Narkisim" w:hAnsi="Narkisim" w:cs="Narkisim"/>
          <w:b/>
          <w:bCs/>
          <w:rtl/>
        </w:rPr>
        <w:t>דבר אברהם</w:t>
      </w:r>
      <w:r w:rsidRPr="00AF1DC8">
        <w:rPr>
          <w:rFonts w:ascii="Narkisim" w:hAnsi="Narkisim" w:cs="Narkisim"/>
          <w:rtl/>
        </w:rPr>
        <w:t xml:space="preserve"> (א כו יח) וה</w:t>
      </w:r>
      <w:r w:rsidRPr="00AF1DC8">
        <w:rPr>
          <w:rFonts w:ascii="Narkisim" w:hAnsi="Narkisim" w:cs="Narkisim"/>
          <w:b/>
          <w:bCs/>
          <w:rtl/>
        </w:rPr>
        <w:t>קובה"ע</w:t>
      </w:r>
      <w:r w:rsidRPr="00AF1DC8">
        <w:rPr>
          <w:rFonts w:ascii="Narkisim" w:hAnsi="Narkisim" w:cs="Narkisim"/>
          <w:rtl/>
        </w:rPr>
        <w:t xml:space="preserve"> (מד ב) הקשו דהרשב"א סותר את משנתו, דבסוגיין (הו' לעיל) כתב דרק הבת פגומה. וב</w:t>
      </w:r>
      <w:r w:rsidRPr="00AF1DC8">
        <w:rPr>
          <w:rFonts w:ascii="Narkisim" w:hAnsi="Narkisim" w:cs="Narkisim"/>
          <w:b/>
          <w:bCs/>
          <w:rtl/>
        </w:rPr>
        <w:t>חי' ר' שמואל</w:t>
      </w:r>
      <w:r w:rsidRPr="00AF1DC8">
        <w:rPr>
          <w:rFonts w:ascii="Narkisim" w:hAnsi="Narkisim" w:cs="Narkisim"/>
          <w:rtl/>
        </w:rPr>
        <w:t xml:space="preserve"> תי' לשיטתו דאף הרשב"א מודה דהבן נפסל מכהונה</w:t>
      </w:r>
      <w:r w:rsidRPr="00AF1DC8">
        <w:rPr>
          <w:rFonts w:ascii="Narkisim" w:hAnsi="Narkisim" w:cs="Narkisim"/>
        </w:rPr>
        <w:t>.</w:t>
      </w:r>
    </w:p>
    <w:p w14:paraId="650E3742"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ט"ז</w:t>
      </w:r>
      <w:r w:rsidRPr="00AF1DC8">
        <w:rPr>
          <w:rFonts w:ascii="Narkisim" w:hAnsi="Narkisim" w:cs="Narkisim"/>
          <w:rtl/>
        </w:rPr>
        <w:t xml:space="preserve"> (ז יד) כת' דהוה כהן וממזר, ואוכל תרומה. ונסתפק האם מצווה על הטומאה</w:t>
      </w:r>
      <w:r w:rsidRPr="00AF1DC8">
        <w:rPr>
          <w:rStyle w:val="ac"/>
          <w:rFonts w:ascii="Narkisim" w:hAnsi="Narkisim" w:cs="Narkisim"/>
          <w:rtl/>
        </w:rPr>
        <w:footnoteReference w:id="2599"/>
      </w:r>
      <w:r w:rsidRPr="00AF1DC8">
        <w:rPr>
          <w:rFonts w:ascii="Narkisim" w:hAnsi="Narkisim" w:cs="Narkisim"/>
        </w:rPr>
        <w:t xml:space="preserve">. </w:t>
      </w:r>
      <w:r w:rsidRPr="00AF1DC8">
        <w:rPr>
          <w:rFonts w:ascii="Narkisim" w:hAnsi="Narkisim" w:cs="Narkisim"/>
          <w:rtl/>
        </w:rPr>
        <w:t xml:space="preserve">[ויל"ד אי כוונתו דלא קי"ל כהך ק"ו דסוגיין, ע' בסמוך. או דהק"ו הוה דוקא על הבת]. אבל </w:t>
      </w:r>
      <w:r w:rsidRPr="00AF1DC8">
        <w:rPr>
          <w:rFonts w:ascii="Narkisim" w:hAnsi="Narkisim" w:cs="Narkisim"/>
          <w:b/>
          <w:bCs/>
          <w:rtl/>
        </w:rPr>
        <w:t>שאר</w:t>
      </w:r>
      <w:r w:rsidRPr="00AF1DC8">
        <w:rPr>
          <w:rFonts w:ascii="Narkisim" w:hAnsi="Narkisim" w:cs="Narkisim"/>
          <w:rtl/>
        </w:rPr>
        <w:t xml:space="preserve"> </w:t>
      </w:r>
      <w:r w:rsidRPr="00AF1DC8">
        <w:rPr>
          <w:rFonts w:ascii="Narkisim" w:hAnsi="Narkisim" w:cs="Narkisim"/>
          <w:b/>
          <w:bCs/>
          <w:rtl/>
        </w:rPr>
        <w:t>פוסקים</w:t>
      </w:r>
      <w:r w:rsidRPr="00AF1DC8">
        <w:rPr>
          <w:rFonts w:ascii="Narkisim" w:hAnsi="Narkisim" w:cs="Narkisim"/>
          <w:rtl/>
        </w:rPr>
        <w:t xml:space="preserve"> (שם) נקטו דאינו כהן כלל</w:t>
      </w:r>
      <w:r w:rsidRPr="00AF1DC8">
        <w:rPr>
          <w:rStyle w:val="ac"/>
          <w:rFonts w:ascii="Narkisim" w:hAnsi="Narkisim" w:cs="Narkisim"/>
          <w:rtl/>
        </w:rPr>
        <w:footnoteReference w:id="2600"/>
      </w:r>
      <w:r w:rsidRPr="00AF1DC8">
        <w:rPr>
          <w:rFonts w:ascii="Narkisim" w:hAnsi="Narkisim" w:cs="Narkisim"/>
        </w:rPr>
        <w:t>.</w:t>
      </w:r>
    </w:p>
    <w:p w14:paraId="6D6AD416"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(שם ובקוב”ב גיטין) דן [דאף לולי הא דנפסל ע"י ביאת פסול] נימא דכיון דהוה ממזר, שם ממזרות מפקיעו מקדושת קהל, וכ"ש מכהונה. [ולכאו' זה ספיקו של השואל בשו"ת הרשב”א]. והביא דכן אי' (גיטין נט:) דלוי שנשא ממזרת, הבן אינו עולה שני. ועוד הביא דדרשי' (ערכין לג:) 'מן הלוי' ולא כל לוי, פרט ללוי ממזר ונתין</w:t>
      </w:r>
      <w:r w:rsidRPr="00AF1DC8">
        <w:rPr>
          <w:rFonts w:ascii="Narkisim" w:hAnsi="Narkisim"/>
        </w:rPr>
        <w:t>.</w:t>
      </w:r>
    </w:p>
    <w:p w14:paraId="36574C86" w14:textId="77777777" w:rsidR="006074A5" w:rsidRPr="00AF1DC8" w:rsidRDefault="006074A5" w:rsidP="006074A5">
      <w:pPr>
        <w:pStyle w:val="a8"/>
        <w:bidi/>
        <w:rPr>
          <w:rFonts w:ascii="Narkisim" w:hAnsi="Narkisim"/>
        </w:rPr>
      </w:pPr>
      <w:r w:rsidRPr="00AF1DC8">
        <w:rPr>
          <w:rFonts w:ascii="Narkisim" w:hAnsi="Narkisim"/>
          <w:rtl/>
        </w:rPr>
        <w:t>ודחה דה"מ לוי שנשא ממזרת, דכיון דהולד הולך אחר הפגום, מתייחס אחר אמו הממזרת, ולא אחר אביו הלוי. אבל לוי הבא על אחותו דינו לוי וממזר</w:t>
      </w:r>
      <w:r w:rsidRPr="00AF1DC8">
        <w:rPr>
          <w:rFonts w:ascii="Narkisim" w:hAnsi="Narkisim"/>
        </w:rPr>
        <w:t>.</w:t>
      </w:r>
    </w:p>
    <w:p w14:paraId="4E1F8652" w14:textId="77777777" w:rsidR="006074A5" w:rsidRPr="00AF1DC8" w:rsidRDefault="006074A5" w:rsidP="006074A5">
      <w:pPr>
        <w:bidi/>
        <w:rPr>
          <w:rFonts w:ascii="Narkisim" w:hAnsi="Narkisim" w:cs="Narkisim"/>
        </w:rPr>
      </w:pPr>
      <w:r w:rsidRPr="00AF1DC8">
        <w:rPr>
          <w:rFonts w:ascii="Narkisim" w:hAnsi="Narkisim" w:cs="Narkisim"/>
          <w:u w:val="single"/>
          <w:rtl/>
        </w:rPr>
        <w:t>תוד"ה הכא נמי.</w:t>
      </w:r>
      <w:r w:rsidRPr="00AF1DC8">
        <w:rPr>
          <w:rFonts w:ascii="Narkisim" w:hAnsi="Narkisim" w:cs="Narkisim"/>
          <w:rtl/>
        </w:rPr>
        <w:t xml:space="preserve"> משמע הכא דזונה פסולה לתרומה, דמתחללת כמו אלמנה וכו'. ור"י תי' דשם זונה אינו פוסל לתרומה [אלא לכהונה</w:t>
      </w:r>
      <w:r w:rsidRPr="00AF1DC8">
        <w:rPr>
          <w:rStyle w:val="ac"/>
          <w:rFonts w:ascii="Narkisim" w:hAnsi="Narkisim" w:cs="Narkisim"/>
          <w:rtl/>
        </w:rPr>
        <w:footnoteReference w:id="2601"/>
      </w:r>
      <w:r w:rsidRPr="00AF1DC8">
        <w:rPr>
          <w:rFonts w:ascii="Narkisim" w:hAnsi="Narkisim" w:cs="Narkisim"/>
          <w:rtl/>
        </w:rPr>
        <w:t xml:space="preserve">]. ובסו"ד התוס' הביאו בשם </w:t>
      </w:r>
      <w:r w:rsidRPr="00AF1DC8">
        <w:rPr>
          <w:rFonts w:ascii="Narkisim" w:hAnsi="Narkisim" w:cs="Narkisim"/>
          <w:b/>
          <w:bCs/>
          <w:rtl/>
        </w:rPr>
        <w:t>ר"י</w:t>
      </w:r>
      <w:r w:rsidRPr="00AF1DC8">
        <w:rPr>
          <w:rFonts w:ascii="Narkisim" w:hAnsi="Narkisim" w:cs="Narkisim"/>
          <w:rtl/>
        </w:rPr>
        <w:t xml:space="preserve"> (לעיל לה.) דזונה הוקש לחללה, וכל זונה אינה אוכלת בתרומה</w:t>
      </w:r>
      <w:r w:rsidRPr="00AF1DC8">
        <w:rPr>
          <w:rFonts w:ascii="Narkisim" w:hAnsi="Narkisim" w:cs="Narkisim"/>
        </w:rPr>
        <w:t>.</w:t>
      </w:r>
    </w:p>
    <w:p w14:paraId="2A70E93B" w14:textId="77777777" w:rsidR="006074A5" w:rsidRPr="00AF1DC8" w:rsidRDefault="006074A5" w:rsidP="006074A5">
      <w:pPr>
        <w:pStyle w:val="a8"/>
        <w:bidi/>
        <w:rPr>
          <w:rFonts w:ascii="Narkisim" w:hAnsi="Narkisim"/>
        </w:rPr>
      </w:pPr>
      <w:r w:rsidRPr="00AF1DC8">
        <w:rPr>
          <w:rFonts w:ascii="Narkisim" w:hAnsi="Narkisim"/>
          <w:rtl/>
        </w:rPr>
        <w:t>ונפק"מ לר"א דפנוי הבא על הפנויה עשאה זונה, האם נפסלת מתרומת בית אביה (וכ"מ בתוס' גיטין עג:) או דהוה רק איסור לכהונה (וכ”כ תוס' לקמן סט. ד”ה לא</w:t>
      </w:r>
      <w:r w:rsidRPr="00AF1DC8">
        <w:rPr>
          <w:rStyle w:val="ac"/>
          <w:rFonts w:ascii="Narkisim" w:hAnsi="Narkisim"/>
          <w:rtl/>
        </w:rPr>
        <w:footnoteReference w:id="2602"/>
      </w:r>
      <w:r w:rsidRPr="00AF1DC8">
        <w:rPr>
          <w:rFonts w:ascii="Narkisim" w:hAnsi="Narkisim"/>
          <w:rtl/>
        </w:rPr>
        <w:t>)</w:t>
      </w:r>
      <w:r w:rsidRPr="00AF1DC8">
        <w:rPr>
          <w:rFonts w:ascii="Narkisim" w:hAnsi="Narkisim"/>
        </w:rPr>
        <w:t>.</w:t>
      </w:r>
    </w:p>
    <w:p w14:paraId="48B0566C" w14:textId="77777777" w:rsidR="006074A5" w:rsidRPr="00AF1DC8" w:rsidRDefault="006074A5" w:rsidP="006074A5">
      <w:pPr>
        <w:pStyle w:val="a8"/>
        <w:bidi/>
        <w:rPr>
          <w:rFonts w:ascii="Narkisim" w:hAnsi="Narkisim"/>
        </w:rPr>
      </w:pPr>
      <w:r w:rsidRPr="00AF1DC8">
        <w:rPr>
          <w:rFonts w:ascii="Narkisim" w:hAnsi="Narkisim"/>
          <w:rtl/>
        </w:rPr>
        <w:t>ובמשנה (לקמן סא.) מבואר דאף גיורת ומשוחררת יש לה דין זונה. וה</w:t>
      </w:r>
      <w:r w:rsidRPr="00AF1DC8">
        <w:rPr>
          <w:rFonts w:ascii="Narkisim" w:hAnsi="Narkisim"/>
          <w:b/>
          <w:bCs/>
          <w:rtl/>
        </w:rPr>
        <w:t>קובה”ע</w:t>
      </w:r>
      <w:r w:rsidRPr="00AF1DC8">
        <w:rPr>
          <w:rFonts w:ascii="Narkisim" w:hAnsi="Narkisim"/>
          <w:rtl/>
        </w:rPr>
        <w:t xml:space="preserve"> (מז א) הביא להק' האיך שפחת כהן אוכלת בתרומה, הא הוה זונה. וע”ע סוגיה לקמן נז. [ואכמ"ל]</w:t>
      </w:r>
      <w:r w:rsidRPr="00AF1DC8">
        <w:rPr>
          <w:rFonts w:ascii="Narkisim" w:hAnsi="Narkisim"/>
        </w:rPr>
        <w:t>.</w:t>
      </w:r>
    </w:p>
    <w:p w14:paraId="2FF04CD8" w14:textId="77777777" w:rsidR="006074A5" w:rsidRPr="00AF1DC8" w:rsidRDefault="006074A5" w:rsidP="006074A5">
      <w:pPr>
        <w:bidi/>
        <w:rPr>
          <w:rFonts w:ascii="Narkisim" w:hAnsi="Narkisim" w:cs="Narkisim"/>
        </w:rPr>
      </w:pPr>
      <w:r w:rsidRPr="00AF1DC8">
        <w:rPr>
          <w:rFonts w:ascii="Narkisim" w:hAnsi="Narkisim" w:cs="Narkisim"/>
          <w:u w:val="single"/>
          <w:rtl/>
        </w:rPr>
        <w:t>בא"ד ועוד (לקמן סח:) דפריך ואימא נבעלה לפסול לה חייבי כריתות ול"ל קרא דכי תהיה וכו'</w:t>
      </w:r>
      <w:r w:rsidRPr="00AF1DC8">
        <w:rPr>
          <w:rFonts w:ascii="Narkisim" w:hAnsi="Narkisim" w:cs="Narkisim"/>
          <w:rtl/>
        </w:rPr>
        <w:t xml:space="preserve">. תוס' נקטו דאיסור 'כי תהיה לאיש זר' ואיסור זונה הוה ב' שמות. וכ"כ </w:t>
      </w:r>
      <w:r w:rsidRPr="00AF1DC8">
        <w:rPr>
          <w:rFonts w:ascii="Narkisim" w:hAnsi="Narkisim" w:cs="Narkisim"/>
          <w:b/>
          <w:bCs/>
          <w:rtl/>
        </w:rPr>
        <w:t>תוס</w:t>
      </w:r>
      <w:r w:rsidRPr="00AF1DC8">
        <w:rPr>
          <w:rFonts w:ascii="Narkisim" w:hAnsi="Narkisim" w:cs="Narkisim"/>
          <w:rtl/>
        </w:rPr>
        <w:t xml:space="preserve">' (בהמשך דבריהם) דלוקין על תרוייהו. וכ"כ </w:t>
      </w:r>
      <w:r w:rsidRPr="00AF1DC8">
        <w:rPr>
          <w:rFonts w:ascii="Narkisim" w:hAnsi="Narkisim" w:cs="Narkisim"/>
          <w:b/>
          <w:bCs/>
          <w:rtl/>
        </w:rPr>
        <w:t>תוס</w:t>
      </w:r>
      <w:r w:rsidRPr="00AF1DC8">
        <w:rPr>
          <w:rFonts w:ascii="Narkisim" w:hAnsi="Narkisim" w:cs="Narkisim"/>
          <w:rtl/>
        </w:rPr>
        <w:t>' (לעיל לה.)</w:t>
      </w:r>
      <w:r w:rsidRPr="00AF1DC8">
        <w:rPr>
          <w:rFonts w:ascii="Narkisim" w:hAnsi="Narkisim" w:cs="Narkisim"/>
        </w:rPr>
        <w:t xml:space="preserve">.  </w:t>
      </w:r>
    </w:p>
    <w:p w14:paraId="30C0CB9E"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רמב"ם</w:t>
      </w:r>
      <w:r w:rsidRPr="00AF1DC8">
        <w:rPr>
          <w:rFonts w:ascii="Narkisim" w:hAnsi="Narkisim"/>
          <w:rtl/>
        </w:rPr>
        <w:t xml:space="preserve"> (איסו"ב יח א-ג) פסק דכל הנבעלת לאסור לה [באיסור השווה בכל</w:t>
      </w:r>
      <w:r w:rsidRPr="00AF1DC8">
        <w:rPr>
          <w:rStyle w:val="ac"/>
          <w:rFonts w:ascii="Narkisim" w:hAnsi="Narkisim"/>
          <w:rtl/>
        </w:rPr>
        <w:footnoteReference w:id="2603"/>
      </w:r>
      <w:r w:rsidRPr="00AF1DC8">
        <w:rPr>
          <w:rFonts w:ascii="Narkisim" w:hAnsi="Narkisim"/>
          <w:rtl/>
        </w:rPr>
        <w:t xml:space="preserve">] הוה </w:t>
      </w:r>
      <w:r w:rsidRPr="00AF1DC8">
        <w:rPr>
          <w:rFonts w:ascii="Narkisim" w:hAnsi="Narkisim"/>
          <w:rtl/>
        </w:rPr>
        <w:lastRenderedPageBreak/>
        <w:t>זונה</w:t>
      </w:r>
      <w:r w:rsidRPr="00AF1DC8">
        <w:rPr>
          <w:rStyle w:val="ac"/>
          <w:rFonts w:ascii="Narkisim" w:hAnsi="Narkisim"/>
          <w:rtl/>
        </w:rPr>
        <w:footnoteReference w:id="2604"/>
      </w:r>
      <w:r w:rsidRPr="00AF1DC8">
        <w:rPr>
          <w:rFonts w:ascii="Narkisim" w:hAnsi="Narkisim"/>
        </w:rPr>
        <w:t xml:space="preserve">. </w:t>
      </w:r>
      <w:r w:rsidRPr="00AF1DC8">
        <w:rPr>
          <w:rFonts w:ascii="Narkisim" w:hAnsi="Narkisim"/>
          <w:rtl/>
        </w:rPr>
        <w:t>ו</w:t>
      </w:r>
      <w:r w:rsidRPr="00AF1DC8">
        <w:rPr>
          <w:rFonts w:ascii="Narkisim" w:hAnsi="Narkisim"/>
          <w:b/>
          <w:bCs/>
          <w:rtl/>
        </w:rPr>
        <w:t>ה"ה</w:t>
      </w:r>
      <w:r w:rsidRPr="00AF1DC8">
        <w:rPr>
          <w:rFonts w:ascii="Narkisim" w:hAnsi="Narkisim"/>
          <w:rtl/>
        </w:rPr>
        <w:t xml:space="preserve"> ביאר דאף הני דילפי' מקרא ד'איש זר', הוה גילוי דהוה בכלל 'זונה'</w:t>
      </w:r>
      <w:r w:rsidRPr="00AF1DC8">
        <w:rPr>
          <w:rStyle w:val="ac"/>
          <w:rFonts w:ascii="Narkisim" w:hAnsi="Narkisim"/>
          <w:rtl/>
        </w:rPr>
        <w:footnoteReference w:id="2605"/>
      </w:r>
      <w:r w:rsidRPr="00AF1DC8">
        <w:rPr>
          <w:rFonts w:ascii="Narkisim" w:hAnsi="Narkisim"/>
          <w:rtl/>
        </w:rPr>
        <w:t>. [דאין חללה אלא מאיסור כהונה]</w:t>
      </w:r>
      <w:r w:rsidRPr="00AF1DC8">
        <w:rPr>
          <w:rFonts w:ascii="Narkisim" w:hAnsi="Narkisim"/>
        </w:rPr>
        <w:t>.</w:t>
      </w:r>
    </w:p>
    <w:p w14:paraId="6F503B5F" w14:textId="77777777" w:rsidR="006074A5" w:rsidRPr="00AF1DC8" w:rsidRDefault="006074A5" w:rsidP="006074A5">
      <w:pPr>
        <w:pStyle w:val="aa"/>
        <w:bidi/>
        <w:rPr>
          <w:rFonts w:ascii="Narkisim" w:hAnsi="Narkisim"/>
        </w:rPr>
      </w:pPr>
      <w:r w:rsidRPr="00AF1DC8">
        <w:rPr>
          <w:rFonts w:ascii="Narkisim" w:hAnsi="Narkisim"/>
          <w:u w:val="single"/>
          <w:rtl/>
        </w:rPr>
        <w:t>שם. ולמה לי קרא דכי תהיה לאיש זר</w:t>
      </w:r>
      <w:r w:rsidRPr="00AF1DC8">
        <w:rPr>
          <w:rStyle w:val="ac"/>
          <w:rFonts w:ascii="Narkisim" w:hAnsi="Narkisim"/>
          <w:u w:val="single"/>
          <w:rtl/>
        </w:rPr>
        <w:footnoteReference w:id="2606"/>
      </w:r>
      <w:r w:rsidRPr="00AF1DC8">
        <w:rPr>
          <w:rFonts w:ascii="Narkisim" w:hAnsi="Narkisim"/>
          <w:u w:val="single"/>
        </w:rPr>
        <w:t xml:space="preserve"> </w:t>
      </w:r>
      <w:r w:rsidRPr="00AF1DC8">
        <w:rPr>
          <w:rFonts w:ascii="Narkisim" w:hAnsi="Narkisim"/>
          <w:u w:val="single"/>
          <w:rtl/>
        </w:rPr>
        <w:t>וכו'</w:t>
      </w:r>
      <w:r w:rsidRPr="00AF1DC8">
        <w:rPr>
          <w:rFonts w:ascii="Narkisim" w:hAnsi="Narkisim"/>
          <w:rtl/>
        </w:rPr>
        <w:t>. ועד"ז הק' תוס' (בסמוך) [להיפך] למה לי קרא דזונה, תיפו"ל דאיש זר פוסל לכהונה. ומבואר בתי' התוס' דאה"נ, וחייב עליו ב'</w:t>
      </w:r>
      <w:r w:rsidRPr="00AF1DC8">
        <w:rPr>
          <w:rStyle w:val="ac"/>
          <w:rFonts w:ascii="Narkisim" w:hAnsi="Narkisim"/>
          <w:rtl/>
        </w:rPr>
        <w:footnoteReference w:id="2607"/>
      </w:r>
      <w:r w:rsidRPr="00AF1DC8">
        <w:rPr>
          <w:rFonts w:ascii="Narkisim" w:hAnsi="Narkisim"/>
          <w:rtl/>
        </w:rPr>
        <w:t>. וה</w:t>
      </w:r>
      <w:r w:rsidRPr="00AF1DC8">
        <w:rPr>
          <w:rFonts w:ascii="Narkisim" w:hAnsi="Narkisim"/>
          <w:b/>
          <w:bCs/>
          <w:rtl/>
        </w:rPr>
        <w:t>רשב"א</w:t>
      </w:r>
      <w:r w:rsidRPr="00AF1DC8">
        <w:rPr>
          <w:rFonts w:ascii="Narkisim" w:hAnsi="Narkisim"/>
          <w:rtl/>
        </w:rPr>
        <w:t xml:space="preserve"> (לקמן סח.) הק' תיפו"ל משום זונה</w:t>
      </w:r>
      <w:r w:rsidRPr="00AF1DC8">
        <w:rPr>
          <w:rStyle w:val="ac"/>
          <w:rFonts w:ascii="Narkisim" w:hAnsi="Narkisim"/>
          <w:rtl/>
        </w:rPr>
        <w:footnoteReference w:id="2608"/>
      </w:r>
      <w:r w:rsidRPr="00AF1DC8">
        <w:rPr>
          <w:rFonts w:ascii="Narkisim" w:hAnsi="Narkisim"/>
        </w:rPr>
        <w:t xml:space="preserve">. </w:t>
      </w:r>
      <w:r w:rsidRPr="00AF1DC8">
        <w:rPr>
          <w:rFonts w:ascii="Narkisim" w:hAnsi="Narkisim"/>
          <w:rtl/>
        </w:rPr>
        <w:t>ותי' דתלי במח' התנאים (סא:) בגדר זונה, וקו' הגמ' למ"ד דמחייבי לאוין לא הוה זונה</w:t>
      </w:r>
      <w:r w:rsidRPr="00AF1DC8">
        <w:rPr>
          <w:rStyle w:val="ac"/>
          <w:rFonts w:ascii="Narkisim" w:hAnsi="Narkisim"/>
          <w:rtl/>
        </w:rPr>
        <w:footnoteReference w:id="2609"/>
      </w:r>
      <w:r w:rsidRPr="00AF1DC8">
        <w:rPr>
          <w:rFonts w:ascii="Narkisim" w:hAnsi="Narkisim"/>
        </w:rPr>
        <w:t xml:space="preserve">. </w:t>
      </w:r>
      <w:r w:rsidRPr="00AF1DC8">
        <w:rPr>
          <w:rFonts w:ascii="Narkisim" w:hAnsi="Narkisim"/>
          <w:rtl/>
        </w:rPr>
        <w:t>א"נ כוונת הגמ' היכא דנבעלה באונס, וכמ"ד (ע' לקמן נו:) דבאונס לא נעשית זונה</w:t>
      </w:r>
      <w:r w:rsidRPr="00AF1DC8">
        <w:rPr>
          <w:rFonts w:ascii="Narkisim" w:hAnsi="Narkisim"/>
        </w:rPr>
        <w:t>.</w:t>
      </w:r>
    </w:p>
    <w:p w14:paraId="74029695"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תוס' רא"ש</w:t>
      </w:r>
      <w:r w:rsidRPr="00AF1DC8">
        <w:rPr>
          <w:rFonts w:ascii="Narkisim" w:hAnsi="Narkisim"/>
          <w:rtl/>
        </w:rPr>
        <w:t xml:space="preserve"> תי' ד'שם זונה' גורם לפוסלה, דאי לאו דאשכחנא דאסר רחמנא זונה לכהן ס"ד דחייבי כריתות [אע"ג דחמירי] לא הוה בכלל איש זר, כיון דלא הוו זרים מעיקרא. אלא כיון דשם זונה פוסל לכהונה [וחייבי כריתות חמירי], הלכך הוו בכלל איש זר</w:t>
      </w:r>
      <w:r w:rsidRPr="00AF1DC8">
        <w:rPr>
          <w:rStyle w:val="ac"/>
          <w:rFonts w:ascii="Narkisim" w:hAnsi="Narkisim"/>
          <w:rtl/>
        </w:rPr>
        <w:footnoteReference w:id="2610"/>
      </w:r>
      <w:r w:rsidRPr="00AF1DC8">
        <w:rPr>
          <w:rFonts w:ascii="Narkisim" w:hAnsi="Narkisim"/>
        </w:rPr>
        <w:t>.</w:t>
      </w:r>
    </w:p>
    <w:p w14:paraId="2257C1B3" w14:textId="77777777" w:rsidR="006074A5" w:rsidRPr="00AF1DC8" w:rsidRDefault="006074A5" w:rsidP="006074A5">
      <w:pPr>
        <w:pStyle w:val="aa"/>
        <w:bidi/>
        <w:rPr>
          <w:rFonts w:ascii="Narkisim" w:hAnsi="Narkisim"/>
        </w:rPr>
      </w:pPr>
      <w:r w:rsidRPr="00AF1DC8">
        <w:rPr>
          <w:rFonts w:ascii="Narkisim" w:hAnsi="Narkisim"/>
          <w:u w:val="single"/>
          <w:rtl/>
        </w:rPr>
        <w:t>בא"ד והיה נר' לר"י דמ'כי תהיה לאיש זר' הוא דנפק"ל וכו'</w:t>
      </w:r>
      <w:r w:rsidRPr="00AF1DC8">
        <w:rPr>
          <w:rFonts w:ascii="Narkisim" w:hAnsi="Narkisim"/>
          <w:rtl/>
        </w:rPr>
        <w:t>. ו'שם זונה' אינו פוסל לתרומה, אלא דכל שנבעלה בעילת זנות [דלא תפסי קידושין] הוה בכלל 'איש זר'. [ומתרין בה שלא תאכל בתרומה משום 'כי תהיה']</w:t>
      </w:r>
      <w:r w:rsidRPr="00AF1DC8">
        <w:rPr>
          <w:rFonts w:ascii="Narkisim" w:hAnsi="Narkisim"/>
        </w:rPr>
        <w:t>.</w:t>
      </w:r>
    </w:p>
    <w:p w14:paraId="1BAEB557" w14:textId="77777777" w:rsidR="006074A5" w:rsidRPr="00AF1DC8" w:rsidRDefault="006074A5" w:rsidP="006074A5">
      <w:pPr>
        <w:pStyle w:val="aa"/>
        <w:bidi/>
        <w:rPr>
          <w:rFonts w:ascii="Narkisim" w:hAnsi="Narkisim"/>
        </w:rPr>
      </w:pPr>
      <w:r w:rsidRPr="00AF1DC8">
        <w:rPr>
          <w:rFonts w:ascii="Narkisim" w:hAnsi="Narkisim"/>
          <w:u w:val="single"/>
          <w:rtl/>
        </w:rPr>
        <w:t>בא"ד ואפי' אותה דע"י קידושין, דלא הוה זר אצלה מעיקרא</w:t>
      </w:r>
      <w:r w:rsidRPr="00AF1DC8">
        <w:rPr>
          <w:rFonts w:ascii="Narkisim" w:hAnsi="Narkisim"/>
          <w:rtl/>
        </w:rPr>
        <w:t>. [דכיון דקודם קידושין היתה מותרת לו לא נחשב זר מעיקרא]</w:t>
      </w:r>
      <w:r w:rsidRPr="00AF1DC8">
        <w:rPr>
          <w:rFonts w:ascii="Narkisim" w:hAnsi="Narkisim"/>
        </w:rPr>
        <w:t>.</w:t>
      </w:r>
    </w:p>
    <w:p w14:paraId="186F7EC2" w14:textId="77777777" w:rsidR="006074A5" w:rsidRPr="00AF1DC8" w:rsidRDefault="006074A5" w:rsidP="006074A5">
      <w:pPr>
        <w:pStyle w:val="aa"/>
        <w:bidi/>
        <w:rPr>
          <w:rFonts w:ascii="Narkisim" w:hAnsi="Narkisim"/>
        </w:rPr>
      </w:pPr>
      <w:r w:rsidRPr="00AF1DC8">
        <w:rPr>
          <w:rFonts w:ascii="Narkisim" w:hAnsi="Narkisim"/>
          <w:u w:val="single"/>
          <w:rtl/>
        </w:rPr>
        <w:t>בא"ד כדאמרי' (קידושין עה.) השתא ממזר הוי, מפסיל בביאתו מיבעיא וכו' כיון דחמירי דזרים אצלה</w:t>
      </w:r>
      <w:r w:rsidRPr="00AF1DC8">
        <w:rPr>
          <w:rStyle w:val="ac"/>
          <w:rFonts w:ascii="Narkisim" w:hAnsi="Narkisim"/>
          <w:u w:val="single"/>
          <w:rtl/>
        </w:rPr>
        <w:footnoteReference w:id="2611"/>
      </w:r>
      <w:r w:rsidRPr="00AF1DC8">
        <w:rPr>
          <w:rFonts w:ascii="Narkisim" w:hAnsi="Narkisim"/>
          <w:u w:val="single"/>
        </w:rPr>
        <w:t xml:space="preserve"> </w:t>
      </w:r>
      <w:r w:rsidRPr="00AF1DC8">
        <w:rPr>
          <w:rFonts w:ascii="Narkisim" w:hAnsi="Narkisim"/>
          <w:u w:val="single"/>
          <w:rtl/>
        </w:rPr>
        <w:t>חשיבי</w:t>
      </w:r>
      <w:r w:rsidRPr="00AF1DC8">
        <w:rPr>
          <w:rFonts w:ascii="Narkisim" w:hAnsi="Narkisim"/>
          <w:rtl/>
        </w:rPr>
        <w:t xml:space="preserve">. ועד"ז כת' </w:t>
      </w:r>
      <w:r w:rsidRPr="00AF1DC8">
        <w:rPr>
          <w:rFonts w:ascii="Narkisim" w:hAnsi="Narkisim"/>
          <w:b/>
          <w:bCs/>
          <w:rtl/>
        </w:rPr>
        <w:t>תוס</w:t>
      </w:r>
      <w:r w:rsidRPr="00AF1DC8">
        <w:rPr>
          <w:rFonts w:ascii="Narkisim" w:hAnsi="Narkisim"/>
          <w:rtl/>
        </w:rPr>
        <w:t>' (לקמן סח: ד"ה עכו"ם) דכיון דחמירי הוה בכלל איש זר</w:t>
      </w:r>
      <w:r w:rsidRPr="00AF1DC8">
        <w:rPr>
          <w:rStyle w:val="ac"/>
          <w:rFonts w:ascii="Narkisim" w:hAnsi="Narkisim"/>
          <w:rtl/>
        </w:rPr>
        <w:footnoteReference w:id="2612"/>
      </w:r>
      <w:r w:rsidRPr="00AF1DC8">
        <w:rPr>
          <w:rFonts w:ascii="Narkisim" w:hAnsi="Narkisim"/>
        </w:rPr>
        <w:t xml:space="preserve">. </w:t>
      </w:r>
      <w:r w:rsidRPr="00AF1DC8">
        <w:rPr>
          <w:rFonts w:ascii="Narkisim" w:hAnsi="Narkisim"/>
          <w:rtl/>
        </w:rPr>
        <w:t xml:space="preserve">אבל </w:t>
      </w:r>
      <w:r w:rsidRPr="00AF1DC8">
        <w:rPr>
          <w:rFonts w:ascii="Narkisim" w:hAnsi="Narkisim"/>
          <w:b/>
          <w:bCs/>
          <w:rtl/>
        </w:rPr>
        <w:t>רש"י</w:t>
      </w:r>
      <w:r w:rsidRPr="00AF1DC8">
        <w:rPr>
          <w:rFonts w:ascii="Narkisim" w:hAnsi="Narkisim"/>
          <w:rtl/>
        </w:rPr>
        <w:t xml:space="preserve"> (סח:) פי' דילפי' חייבי כריתות מקרא דכי תהיה אלמנה וגרושה, דאין לו אלמנות וגירושין</w:t>
      </w:r>
      <w:r w:rsidRPr="00AF1DC8">
        <w:rPr>
          <w:rStyle w:val="ac"/>
          <w:rFonts w:ascii="Narkisim" w:hAnsi="Narkisim"/>
          <w:rtl/>
        </w:rPr>
        <w:footnoteReference w:id="2613"/>
      </w:r>
      <w:r w:rsidRPr="00AF1DC8">
        <w:rPr>
          <w:rFonts w:ascii="Narkisim" w:hAnsi="Narkisim"/>
        </w:rPr>
        <w:t xml:space="preserve">. </w:t>
      </w:r>
      <w:r w:rsidRPr="00AF1DC8">
        <w:rPr>
          <w:rFonts w:ascii="Narkisim" w:hAnsi="Narkisim"/>
          <w:rtl/>
        </w:rPr>
        <w:t xml:space="preserve">וע"ע </w:t>
      </w:r>
      <w:r w:rsidRPr="00AF1DC8">
        <w:rPr>
          <w:rFonts w:ascii="Narkisim" w:hAnsi="Narkisim"/>
          <w:b/>
          <w:bCs/>
          <w:rtl/>
        </w:rPr>
        <w:t>רש"י</w:t>
      </w:r>
      <w:r w:rsidRPr="00AF1DC8">
        <w:rPr>
          <w:rFonts w:ascii="Narkisim" w:hAnsi="Narkisim"/>
          <w:rtl/>
        </w:rPr>
        <w:t xml:space="preserve"> ו</w:t>
      </w:r>
      <w:r w:rsidRPr="00AF1DC8">
        <w:rPr>
          <w:rFonts w:ascii="Narkisim" w:hAnsi="Narkisim"/>
          <w:b/>
          <w:bCs/>
          <w:rtl/>
        </w:rPr>
        <w:t>תוס</w:t>
      </w:r>
      <w:r w:rsidRPr="00AF1DC8">
        <w:rPr>
          <w:rFonts w:ascii="Narkisim" w:hAnsi="Narkisim"/>
          <w:rtl/>
        </w:rPr>
        <w:t>' (לעיל לה.)</w:t>
      </w:r>
      <w:r w:rsidRPr="00AF1DC8">
        <w:rPr>
          <w:rFonts w:ascii="Narkisim" w:hAnsi="Narkisim"/>
        </w:rPr>
        <w:t>.</w:t>
      </w:r>
    </w:p>
    <w:p w14:paraId="085E9C24" w14:textId="77777777" w:rsidR="006074A5" w:rsidRPr="00AF1DC8" w:rsidRDefault="006074A5" w:rsidP="006074A5">
      <w:pPr>
        <w:pStyle w:val="a8"/>
        <w:bidi/>
        <w:rPr>
          <w:rFonts w:ascii="Narkisim" w:hAnsi="Narkisim"/>
        </w:rPr>
      </w:pPr>
      <w:r w:rsidRPr="00AF1DC8">
        <w:rPr>
          <w:rFonts w:ascii="Narkisim" w:hAnsi="Narkisim"/>
          <w:rtl/>
        </w:rPr>
        <w:t>ו</w:t>
      </w:r>
      <w:r w:rsidRPr="00AF1DC8">
        <w:rPr>
          <w:rFonts w:ascii="Narkisim" w:hAnsi="Narkisim"/>
          <w:b/>
          <w:bCs/>
          <w:rtl/>
        </w:rPr>
        <w:t>רש"י</w:t>
      </w:r>
      <w:r w:rsidRPr="00AF1DC8">
        <w:rPr>
          <w:rFonts w:ascii="Narkisim" w:hAnsi="Narkisim"/>
          <w:rtl/>
        </w:rPr>
        <w:t xml:space="preserve"> (שם) הביא </w:t>
      </w:r>
      <w:r w:rsidRPr="00AF1DC8">
        <w:rPr>
          <w:rFonts w:ascii="Narkisim" w:hAnsi="Narkisim"/>
          <w:b/>
          <w:bCs/>
          <w:rtl/>
        </w:rPr>
        <w:t>י"מ</w:t>
      </w:r>
      <w:r w:rsidRPr="00AF1DC8">
        <w:rPr>
          <w:rFonts w:ascii="Narkisim" w:hAnsi="Narkisim"/>
          <w:rtl/>
        </w:rPr>
        <w:t xml:space="preserve"> דבאמת חייבי כריתות לא פסלי בביאתם, ורש"י האריך להק' דמבואר בכ"מ דפסלי בביאתם. והאחרונים ביארו דדעת הי"מ דחייבי כריתות עושה זונה, ופוסלה לכהונה. אך אינה נפסלת בתרומה</w:t>
      </w:r>
      <w:r w:rsidRPr="00AF1DC8">
        <w:rPr>
          <w:rStyle w:val="ac"/>
          <w:rFonts w:ascii="Narkisim" w:hAnsi="Narkisim"/>
          <w:rtl/>
        </w:rPr>
        <w:footnoteReference w:id="2614"/>
      </w:r>
      <w:r w:rsidRPr="00AF1DC8">
        <w:rPr>
          <w:rFonts w:ascii="Narkisim" w:hAnsi="Narkisim"/>
        </w:rPr>
        <w:t xml:space="preserve">. </w:t>
      </w:r>
      <w:r w:rsidRPr="00AF1DC8">
        <w:rPr>
          <w:rFonts w:ascii="Narkisim" w:hAnsi="Narkisim"/>
          <w:rtl/>
        </w:rPr>
        <w:t xml:space="preserve">[וכקו' התוס' דידן דזונה לא פסל לתרומה]. וכ"ד </w:t>
      </w:r>
      <w:r w:rsidRPr="00AF1DC8">
        <w:rPr>
          <w:rFonts w:ascii="Narkisim" w:hAnsi="Narkisim"/>
          <w:b/>
          <w:bCs/>
          <w:rtl/>
        </w:rPr>
        <w:t>רש"י</w:t>
      </w:r>
      <w:r w:rsidRPr="00AF1DC8">
        <w:rPr>
          <w:rFonts w:ascii="Narkisim" w:hAnsi="Narkisim"/>
          <w:rtl/>
        </w:rPr>
        <w:t xml:space="preserve"> (לעיל יג: ד"ה וב"ה) דמחייבי כריתות פוסל לכהונה, ואינו פוסל מתרומה דבי נשא</w:t>
      </w:r>
      <w:r w:rsidRPr="00AF1DC8">
        <w:rPr>
          <w:rFonts w:ascii="Narkisim" w:hAnsi="Narkisim"/>
        </w:rPr>
        <w:t>.</w:t>
      </w:r>
    </w:p>
    <w:p w14:paraId="3098C561" w14:textId="77777777" w:rsidR="006074A5" w:rsidRPr="00AF1DC8" w:rsidRDefault="006074A5" w:rsidP="006074A5">
      <w:pPr>
        <w:pStyle w:val="aa"/>
        <w:bidi/>
        <w:rPr>
          <w:rFonts w:ascii="Narkisim" w:hAnsi="Narkisim"/>
        </w:rPr>
      </w:pPr>
      <w:r w:rsidRPr="00AF1DC8">
        <w:rPr>
          <w:rFonts w:ascii="Narkisim" w:hAnsi="Narkisim"/>
          <w:u w:val="single"/>
          <w:rtl/>
        </w:rPr>
        <w:t>בא"ד ומכל הני דלא תפסי בהו קידושין הוה זונה וכו' דלשון זונה משמע דא"א להיות אלא ביאת זנות</w:t>
      </w:r>
      <w:r w:rsidRPr="00AF1DC8">
        <w:rPr>
          <w:rFonts w:ascii="Narkisim" w:hAnsi="Narkisim"/>
          <w:rtl/>
        </w:rPr>
        <w:t>. [ומשמע דהוה סיבה מ"ט חשיב זנות, כיון דמופקעת ואינה ראויה לאישות כלל]</w:t>
      </w:r>
      <w:r w:rsidRPr="00AF1DC8">
        <w:rPr>
          <w:rFonts w:ascii="Narkisim" w:hAnsi="Narkisim"/>
        </w:rPr>
        <w:t>.</w:t>
      </w:r>
    </w:p>
    <w:p w14:paraId="6FD8EBD5" w14:textId="77777777" w:rsidR="006074A5" w:rsidRPr="00AF1DC8" w:rsidRDefault="006074A5" w:rsidP="006074A5">
      <w:pPr>
        <w:pStyle w:val="aa"/>
        <w:bidi/>
        <w:rPr>
          <w:rFonts w:ascii="Narkisim" w:hAnsi="Narkisim"/>
        </w:rPr>
      </w:pPr>
      <w:r w:rsidRPr="00AF1DC8">
        <w:rPr>
          <w:rFonts w:ascii="Narkisim" w:hAnsi="Narkisim"/>
          <w:u w:val="single"/>
          <w:rtl/>
        </w:rPr>
        <w:t>בא"ד ואין להק' ל"ל דכתב רחמנא זונה לא יקחו, כיון דזונה אסורה בתרומה ק"ו דאסורה לכהונה וכו' כדאי' (לקמן סח:) וכו' גילוי מילתא בעלמא הוא וכו</w:t>
      </w:r>
      <w:r w:rsidRPr="00AF1DC8">
        <w:rPr>
          <w:rFonts w:ascii="Narkisim" w:hAnsi="Narkisim"/>
          <w:rtl/>
        </w:rPr>
        <w:t>'. מבואר בתוס' דגר עמוני פוסל את האשה [משום קרא (ויקרא כא יב) ד'כי תהיה לאיש זר', דכתיב היא בתרומת הקדשים לא תאכל], ועי"ז כהן הבא עליה לוקה. משום הך גילוי מילתא, ובביאה לוקה משום 'לא תאכל'</w:t>
      </w:r>
      <w:r w:rsidRPr="00AF1DC8">
        <w:rPr>
          <w:rStyle w:val="ac"/>
          <w:rFonts w:ascii="Narkisim" w:hAnsi="Narkisim"/>
          <w:rtl/>
        </w:rPr>
        <w:footnoteReference w:id="2615"/>
      </w:r>
      <w:r w:rsidRPr="00AF1DC8">
        <w:rPr>
          <w:rFonts w:ascii="Narkisim" w:hAnsi="Narkisim"/>
          <w:rtl/>
        </w:rPr>
        <w:t>. [ותוס' כת' דאה"נ לוקה ב'</w:t>
      </w:r>
      <w:r w:rsidRPr="00AF1DC8">
        <w:rPr>
          <w:rStyle w:val="ac"/>
          <w:rFonts w:ascii="Narkisim" w:hAnsi="Narkisim"/>
          <w:rtl/>
        </w:rPr>
        <w:footnoteReference w:id="2616"/>
      </w:r>
      <w:r w:rsidRPr="00AF1DC8">
        <w:rPr>
          <w:rFonts w:ascii="Narkisim" w:hAnsi="Narkisim"/>
          <w:rtl/>
        </w:rPr>
        <w:t>]</w:t>
      </w:r>
      <w:r w:rsidRPr="00AF1DC8">
        <w:rPr>
          <w:rFonts w:ascii="Narkisim" w:hAnsi="Narkisim"/>
        </w:rPr>
        <w:t>.</w:t>
      </w:r>
    </w:p>
    <w:p w14:paraId="6FDC4329" w14:textId="77777777" w:rsidR="006074A5" w:rsidRPr="00AF1DC8" w:rsidRDefault="006074A5" w:rsidP="006074A5">
      <w:pPr>
        <w:pStyle w:val="aa"/>
        <w:bidi/>
        <w:rPr>
          <w:rFonts w:ascii="Narkisim" w:hAnsi="Narkisim"/>
        </w:rPr>
      </w:pPr>
      <w:r w:rsidRPr="00AF1DC8">
        <w:rPr>
          <w:rFonts w:ascii="Narkisim" w:hAnsi="Narkisim"/>
          <w:rtl/>
        </w:rPr>
        <w:lastRenderedPageBreak/>
        <w:t>אבל דעת ה</w:t>
      </w:r>
      <w:r w:rsidRPr="00AF1DC8">
        <w:rPr>
          <w:rFonts w:ascii="Narkisim" w:hAnsi="Narkisim"/>
          <w:b/>
          <w:bCs/>
          <w:rtl/>
        </w:rPr>
        <w:t>רמב"ם</w:t>
      </w:r>
      <w:r w:rsidRPr="00AF1DC8">
        <w:rPr>
          <w:rFonts w:ascii="Narkisim" w:hAnsi="Narkisim"/>
          <w:rtl/>
        </w:rPr>
        <w:t xml:space="preserve"> (יח א הנ"ל) דלוקה משום זונה, וכוונת הגמ' (סח:) דילפי' מק"ו דהוה בכלל לאו דזונה. וזה כוונת הגמ' גילוי מילתא בעלמא</w:t>
      </w:r>
      <w:r w:rsidRPr="00AF1DC8">
        <w:rPr>
          <w:rFonts w:ascii="Narkisim" w:hAnsi="Narkisim"/>
        </w:rPr>
        <w:t>.</w:t>
      </w:r>
    </w:p>
    <w:p w14:paraId="7009749A" w14:textId="77777777" w:rsidR="006074A5" w:rsidRPr="00AF1DC8" w:rsidRDefault="006074A5" w:rsidP="006074A5">
      <w:pPr>
        <w:pStyle w:val="aa"/>
        <w:bidi/>
        <w:rPr>
          <w:rFonts w:ascii="Narkisim" w:hAnsi="Narkisim"/>
        </w:rPr>
      </w:pPr>
      <w:r w:rsidRPr="00AF1DC8">
        <w:rPr>
          <w:rFonts w:ascii="Narkisim" w:hAnsi="Narkisim"/>
          <w:rtl/>
        </w:rPr>
        <w:t xml:space="preserve">ומדברי </w:t>
      </w:r>
      <w:r w:rsidRPr="00AF1DC8">
        <w:rPr>
          <w:rFonts w:ascii="Narkisim" w:hAnsi="Narkisim"/>
          <w:b/>
          <w:bCs/>
          <w:rtl/>
        </w:rPr>
        <w:t>רש"י</w:t>
      </w:r>
      <w:r w:rsidRPr="00AF1DC8">
        <w:rPr>
          <w:rFonts w:ascii="Narkisim" w:hAnsi="Narkisim"/>
          <w:rtl/>
        </w:rPr>
        <w:t xml:space="preserve"> (לקמן ע.) לכאו' מבואר דלוקה משום חללות, דילפי' מ'איש זר' דפסולי קהל עושים חללה בביאתו</w:t>
      </w:r>
      <w:r w:rsidRPr="00AF1DC8">
        <w:rPr>
          <w:rStyle w:val="ac"/>
          <w:rFonts w:ascii="Narkisim" w:hAnsi="Narkisim"/>
          <w:rtl/>
        </w:rPr>
        <w:footnoteReference w:id="2617"/>
      </w:r>
      <w:r w:rsidRPr="00AF1DC8">
        <w:rPr>
          <w:rFonts w:ascii="Narkisim" w:hAnsi="Narkisim"/>
        </w:rPr>
        <w:t xml:space="preserve">. </w:t>
      </w:r>
      <w:r w:rsidRPr="00AF1DC8">
        <w:rPr>
          <w:rFonts w:ascii="Narkisim" w:hAnsi="Narkisim"/>
          <w:rtl/>
        </w:rPr>
        <w:t>[והרשב"א שם הק' על דבריו]</w:t>
      </w:r>
      <w:r w:rsidRPr="00AF1DC8">
        <w:rPr>
          <w:rFonts w:ascii="Narkisim" w:hAnsi="Narkisim"/>
        </w:rPr>
        <w:t>.</w:t>
      </w:r>
    </w:p>
    <w:p w14:paraId="35CB29C3" w14:textId="77777777" w:rsidR="006074A5" w:rsidRPr="00AF1DC8" w:rsidRDefault="006074A5" w:rsidP="006074A5">
      <w:pPr>
        <w:pStyle w:val="aa"/>
        <w:bidi/>
        <w:rPr>
          <w:rFonts w:ascii="Narkisim" w:hAnsi="Narkisim"/>
        </w:rPr>
      </w:pPr>
      <w:r w:rsidRPr="00AF1DC8">
        <w:rPr>
          <w:rFonts w:ascii="Narkisim" w:hAnsi="Narkisim"/>
          <w:u w:val="single"/>
          <w:rtl/>
        </w:rPr>
        <w:t>שם. אע"ג דאין מזהירין מהדין, קאמר התם דגילוי מילתא בעלמא הוא וכו'.</w:t>
      </w:r>
      <w:r w:rsidRPr="00AF1DC8">
        <w:rPr>
          <w:rFonts w:ascii="Narkisim" w:hAnsi="Narkisim"/>
          <w:rtl/>
        </w:rPr>
        <w:t xml:space="preserve"> אבל יש </w:t>
      </w:r>
      <w:r w:rsidRPr="00AF1DC8">
        <w:rPr>
          <w:rFonts w:ascii="Narkisim" w:hAnsi="Narkisim"/>
          <w:b/>
          <w:bCs/>
          <w:rtl/>
        </w:rPr>
        <w:t>ראשונים</w:t>
      </w:r>
      <w:r w:rsidRPr="00AF1DC8">
        <w:rPr>
          <w:rFonts w:ascii="Narkisim" w:hAnsi="Narkisim"/>
          <w:rtl/>
        </w:rPr>
        <w:t xml:space="preserve"> (הרמב"ן עה"ת שם) כת' דאינו לוקה מהך קרא. וכ"מ ב</w:t>
      </w:r>
      <w:r w:rsidRPr="00AF1DC8">
        <w:rPr>
          <w:rFonts w:ascii="Narkisim" w:hAnsi="Narkisim"/>
          <w:b/>
          <w:bCs/>
          <w:rtl/>
        </w:rPr>
        <w:t>טור</w:t>
      </w:r>
      <w:r w:rsidRPr="00AF1DC8">
        <w:rPr>
          <w:rFonts w:ascii="Narkisim" w:hAnsi="Narkisim"/>
          <w:rtl/>
        </w:rPr>
        <w:t xml:space="preserve"> ו</w:t>
      </w:r>
      <w:r w:rsidRPr="00AF1DC8">
        <w:rPr>
          <w:rFonts w:ascii="Narkisim" w:hAnsi="Narkisim"/>
          <w:b/>
          <w:bCs/>
          <w:rtl/>
        </w:rPr>
        <w:t>שו"ע</w:t>
      </w:r>
      <w:r w:rsidRPr="00AF1DC8">
        <w:rPr>
          <w:rFonts w:ascii="Narkisim" w:hAnsi="Narkisim"/>
          <w:rtl/>
        </w:rPr>
        <w:t xml:space="preserve"> (ו ח). וה</w:t>
      </w:r>
      <w:r w:rsidRPr="00AF1DC8">
        <w:rPr>
          <w:rFonts w:ascii="Narkisim" w:hAnsi="Narkisim"/>
          <w:b/>
          <w:bCs/>
          <w:rtl/>
        </w:rPr>
        <w:t>פוסקים</w:t>
      </w:r>
      <w:r w:rsidRPr="00AF1DC8">
        <w:rPr>
          <w:rFonts w:ascii="Narkisim" w:hAnsi="Narkisim"/>
          <w:rtl/>
        </w:rPr>
        <w:t xml:space="preserve"> תמהו דמפורש בגמ' (סח:) דלוקה, דהוה גילוי מילתא</w:t>
      </w:r>
      <w:r w:rsidRPr="00AF1DC8">
        <w:rPr>
          <w:rFonts w:ascii="Narkisim" w:hAnsi="Narkisim"/>
        </w:rPr>
        <w:t>.</w:t>
      </w:r>
    </w:p>
    <w:p w14:paraId="4E0DF462"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בי"ש</w:t>
      </w:r>
      <w:r w:rsidRPr="00AF1DC8">
        <w:rPr>
          <w:rFonts w:ascii="Narkisim" w:hAnsi="Narkisim"/>
          <w:rtl/>
        </w:rPr>
        <w:t xml:space="preserve"> (ו טז) תי' דתלי במח' אביי ורבא (סנהדרין עו. וכ"מ) אי לוקין על גילוי מילתא, או דהוה בכלל אין לוקין מהדין. והגמ' (סח:) קאי כאביי, ואנן קי"ל כרבא דאינו לוקה. ותמה על הרמב"ם דלוקה [דהוה גילוי מילתא דהוה זונה]. וה</w:t>
      </w:r>
      <w:r w:rsidRPr="00AF1DC8">
        <w:rPr>
          <w:rFonts w:ascii="Narkisim" w:hAnsi="Narkisim"/>
          <w:b/>
          <w:bCs/>
          <w:rtl/>
        </w:rPr>
        <w:t>אבנ”מ</w:t>
      </w:r>
      <w:r w:rsidRPr="00AF1DC8">
        <w:rPr>
          <w:rFonts w:ascii="Narkisim" w:hAnsi="Narkisim"/>
          <w:rtl/>
        </w:rPr>
        <w:t xml:space="preserve"> (ו ג) הביא דבתוס' דידן מבואר דלוקין על גילוי מילתא זו. וביאר דהכא לא הוה ילפותא ממנו כלל, אלא דתרומה היינו קדושת כהונה [וכמ”ש רש”י סח:]. וכל שנפסלה מתרומה ממילא נפסלה נמי לכהונה</w:t>
      </w:r>
      <w:r w:rsidRPr="00AF1DC8">
        <w:rPr>
          <w:rFonts w:ascii="Narkisim" w:hAnsi="Narkisim"/>
        </w:rPr>
        <w:t>.</w:t>
      </w:r>
    </w:p>
    <w:p w14:paraId="08652594" w14:textId="77777777" w:rsidR="006074A5" w:rsidRPr="00AF1DC8" w:rsidRDefault="006074A5" w:rsidP="006074A5">
      <w:pPr>
        <w:pStyle w:val="aa"/>
        <w:bidi/>
        <w:rPr>
          <w:rFonts w:ascii="Narkisim" w:hAnsi="Narkisim"/>
        </w:rPr>
      </w:pPr>
      <w:r w:rsidRPr="00AF1DC8">
        <w:rPr>
          <w:rFonts w:ascii="Narkisim" w:hAnsi="Narkisim"/>
          <w:u w:val="single"/>
          <w:rtl/>
        </w:rPr>
        <w:t>בא”ד ועוד איצטריך לזונה מעכו"ם ועבד וכו' אלא מאלמנה וגרושה וכו'</w:t>
      </w:r>
      <w:r w:rsidRPr="00AF1DC8">
        <w:rPr>
          <w:rFonts w:ascii="Narkisim" w:hAnsi="Narkisim"/>
          <w:rtl/>
        </w:rPr>
        <w:t>. [דכתיב כי תהיה אלמנה וגרושה, שיש אלמנות וגירושין. והוה עשה, ואין לוקין עליו</w:t>
      </w:r>
      <w:r w:rsidRPr="00AF1DC8">
        <w:rPr>
          <w:rStyle w:val="ac"/>
          <w:rFonts w:ascii="Narkisim" w:hAnsi="Narkisim"/>
          <w:rtl/>
        </w:rPr>
        <w:footnoteReference w:id="2618"/>
      </w:r>
      <w:r w:rsidRPr="00AF1DC8">
        <w:rPr>
          <w:rFonts w:ascii="Narkisim" w:hAnsi="Narkisim"/>
          <w:rtl/>
        </w:rPr>
        <w:t>]. ועוד תי' תוס' גיורת ומשוחררת דנקרא זונה [ע"ע תוס' לקמן סא.]</w:t>
      </w:r>
      <w:r w:rsidRPr="00AF1DC8">
        <w:rPr>
          <w:rFonts w:ascii="Narkisim" w:hAnsi="Narkisim"/>
        </w:rPr>
        <w:t>.</w:t>
      </w:r>
    </w:p>
    <w:p w14:paraId="2B5F474E" w14:textId="77777777" w:rsidR="006074A5" w:rsidRPr="00AF1DC8" w:rsidRDefault="006074A5" w:rsidP="006074A5">
      <w:pPr>
        <w:pStyle w:val="aa"/>
        <w:bidi/>
        <w:rPr>
          <w:rFonts w:ascii="Narkisim" w:hAnsi="Narkisim"/>
        </w:rPr>
      </w:pPr>
      <w:r w:rsidRPr="00AF1DC8">
        <w:rPr>
          <w:rFonts w:ascii="Narkisim" w:hAnsi="Narkisim"/>
          <w:u w:val="single"/>
          <w:rtl/>
        </w:rPr>
        <w:t>בא"ד וק"ק (קידושין עה:) דפריך השתא ממזר הוי וכו' פשיטה דהוה בכלל איש זר</w:t>
      </w:r>
      <w:r w:rsidRPr="00AF1DC8">
        <w:rPr>
          <w:rFonts w:ascii="Narkisim" w:hAnsi="Narkisim"/>
          <w:rtl/>
        </w:rPr>
        <w:t>. ואף דהגמ' (שם) קאי בעכו"ם ועבד, ומבואר בגמ' (סח:) דעכו"ם ועבד לא הוה בכלל איש זר [אלא נתמעט אלמנות וגירושין], היינו למ"ד דלא הוה ממזר. אבל למ"ד דעושה ממזרות הוה איש זר</w:t>
      </w:r>
      <w:r w:rsidRPr="00AF1DC8">
        <w:rPr>
          <w:rFonts w:ascii="Narkisim" w:hAnsi="Narkisim"/>
        </w:rPr>
        <w:t>.</w:t>
      </w:r>
    </w:p>
    <w:p w14:paraId="013F3915" w14:textId="77777777" w:rsidR="006074A5" w:rsidRPr="00AF1DC8" w:rsidRDefault="006074A5" w:rsidP="006074A5">
      <w:pPr>
        <w:pStyle w:val="aa"/>
        <w:bidi/>
        <w:rPr>
          <w:rFonts w:ascii="Narkisim" w:hAnsi="Narkisim"/>
        </w:rPr>
      </w:pPr>
      <w:r w:rsidRPr="00AF1DC8">
        <w:rPr>
          <w:rFonts w:ascii="Narkisim" w:hAnsi="Narkisim"/>
          <w:u w:val="single"/>
          <w:rtl/>
        </w:rPr>
        <w:t>בא"ד ומיהו לר' יהושע וכו'</w:t>
      </w:r>
      <w:r w:rsidRPr="00AF1DC8">
        <w:rPr>
          <w:rFonts w:ascii="Narkisim" w:hAnsi="Narkisim"/>
          <w:rtl/>
        </w:rPr>
        <w:t xml:space="preserve">. וכ"כ </w:t>
      </w:r>
      <w:r w:rsidRPr="00AF1DC8">
        <w:rPr>
          <w:rFonts w:ascii="Narkisim" w:hAnsi="Narkisim"/>
          <w:b/>
          <w:bCs/>
          <w:rtl/>
        </w:rPr>
        <w:t>תוס</w:t>
      </w:r>
      <w:r w:rsidRPr="00AF1DC8">
        <w:rPr>
          <w:rFonts w:ascii="Narkisim" w:hAnsi="Narkisim"/>
          <w:rtl/>
        </w:rPr>
        <w:t>' (בסמוך ובכ”מ) דר' יהושע ע"כ ס"ל דממזרות לא תלי בתפיסת קידושין</w:t>
      </w:r>
      <w:r w:rsidRPr="00AF1DC8">
        <w:rPr>
          <w:rFonts w:ascii="Narkisim" w:hAnsi="Narkisim"/>
        </w:rPr>
        <w:t>.</w:t>
      </w:r>
    </w:p>
    <w:p w14:paraId="717D8184" w14:textId="77777777" w:rsidR="006074A5" w:rsidRPr="00AF1DC8" w:rsidRDefault="006074A5" w:rsidP="006074A5">
      <w:pPr>
        <w:bidi/>
        <w:rPr>
          <w:rFonts w:ascii="Narkisim" w:hAnsi="Narkisim" w:cs="Narkisim"/>
        </w:rPr>
      </w:pPr>
      <w:r w:rsidRPr="00AF1DC8">
        <w:rPr>
          <w:rFonts w:ascii="Narkisim" w:hAnsi="Narkisim" w:cs="Narkisim"/>
          <w:u w:val="single"/>
          <w:rtl/>
        </w:rPr>
        <w:t>תוד"ה עשאה.</w:t>
      </w:r>
      <w:r w:rsidRPr="00AF1DC8">
        <w:rPr>
          <w:rFonts w:ascii="Narkisim" w:hAnsi="Narkisim" w:cs="Narkisim"/>
          <w:rtl/>
        </w:rPr>
        <w:t xml:space="preserve"> משמע דלר' יהושע אין קידושין תופסים בחייבי כריתות</w:t>
      </w:r>
      <w:r w:rsidRPr="00AF1DC8">
        <w:rPr>
          <w:rStyle w:val="ac"/>
          <w:rFonts w:ascii="Narkisim" w:hAnsi="Narkisim" w:cs="Narkisim"/>
          <w:rtl/>
        </w:rPr>
        <w:footnoteReference w:id="2619"/>
      </w:r>
      <w:r w:rsidRPr="00AF1DC8">
        <w:rPr>
          <w:rFonts w:ascii="Narkisim" w:hAnsi="Narkisim" w:cs="Narkisim"/>
        </w:rPr>
        <w:t xml:space="preserve"> </w:t>
      </w:r>
      <w:r w:rsidRPr="00AF1DC8">
        <w:rPr>
          <w:rFonts w:ascii="Narkisim" w:hAnsi="Narkisim" w:cs="Narkisim"/>
          <w:rtl/>
        </w:rPr>
        <w:t xml:space="preserve">וכו'. ואף דר' יהושע יליף (לקמן מט.) דדוקא מחייבי מיתת בי"ד הוה ממזר, אפ"ה למד דבכל עריות דחייבי כריתות לא תפסי קידושין </w:t>
      </w:r>
      <w:r w:rsidRPr="00AF1DC8">
        <w:rPr>
          <w:rFonts w:ascii="Narkisim" w:hAnsi="Narkisim" w:cs="Narkisim"/>
          <w:szCs w:val="20"/>
          <w:rtl/>
        </w:rPr>
        <w:t>[וכדדרשי' קידו' סז:</w:t>
      </w:r>
      <w:r w:rsidRPr="00AF1DC8">
        <w:rPr>
          <w:rFonts w:ascii="Narkisim" w:hAnsi="Narkisim" w:cs="Narkisim"/>
          <w:rtl/>
        </w:rPr>
        <w:t>]</w:t>
      </w:r>
      <w:r w:rsidRPr="00AF1DC8">
        <w:rPr>
          <w:rFonts w:ascii="Narkisim" w:hAnsi="Narkisim" w:cs="Narkisim"/>
        </w:rPr>
        <w:t xml:space="preserve">.  </w:t>
      </w:r>
    </w:p>
    <w:p w14:paraId="76DE8935" w14:textId="77777777" w:rsidR="006074A5" w:rsidRPr="00AF1DC8" w:rsidRDefault="006074A5" w:rsidP="006074A5">
      <w:pPr>
        <w:bidi/>
        <w:rPr>
          <w:rFonts w:ascii="Narkisim" w:hAnsi="Narkisim" w:cs="Narkisim"/>
        </w:rPr>
      </w:pPr>
      <w:r w:rsidRPr="00AF1DC8">
        <w:rPr>
          <w:rFonts w:ascii="Narkisim" w:hAnsi="Narkisim" w:cs="Narkisim"/>
          <w:u w:val="single"/>
          <w:rtl/>
        </w:rPr>
        <w:t>בא"ד משמע דכל היכא דלא תפסי קידושין</w:t>
      </w:r>
      <w:r w:rsidRPr="00AF1DC8">
        <w:rPr>
          <w:rStyle w:val="ac"/>
          <w:rFonts w:ascii="Narkisim" w:hAnsi="Narkisim" w:cs="Narkisim"/>
          <w:u w:val="single"/>
          <w:rtl/>
        </w:rPr>
        <w:footnoteReference w:id="2620"/>
      </w:r>
      <w:r w:rsidRPr="00AF1DC8">
        <w:rPr>
          <w:rFonts w:ascii="Narkisim" w:hAnsi="Narkisim" w:cs="Narkisim"/>
          <w:u w:val="single"/>
        </w:rPr>
        <w:t xml:space="preserve"> </w:t>
      </w:r>
      <w:r w:rsidRPr="00AF1DC8">
        <w:rPr>
          <w:rFonts w:ascii="Narkisim" w:hAnsi="Narkisim" w:cs="Narkisim"/>
          <w:u w:val="single"/>
          <w:rtl/>
        </w:rPr>
        <w:t>הוה הולד ממזר</w:t>
      </w:r>
      <w:r w:rsidRPr="00AF1DC8">
        <w:rPr>
          <w:rFonts w:ascii="Narkisim" w:hAnsi="Narkisim" w:cs="Narkisim"/>
          <w:rtl/>
        </w:rPr>
        <w:t>. ה</w:t>
      </w:r>
      <w:r w:rsidRPr="00AF1DC8">
        <w:rPr>
          <w:rFonts w:ascii="Narkisim" w:hAnsi="Narkisim" w:cs="Narkisim"/>
          <w:b/>
          <w:bCs/>
          <w:rtl/>
        </w:rPr>
        <w:t>קובה"ע</w:t>
      </w:r>
      <w:r w:rsidRPr="00AF1DC8">
        <w:rPr>
          <w:rFonts w:ascii="Narkisim" w:hAnsi="Narkisim" w:cs="Narkisim"/>
          <w:rtl/>
        </w:rPr>
        <w:t xml:space="preserve"> </w:t>
      </w:r>
      <w:r w:rsidRPr="00AF1DC8">
        <w:rPr>
          <w:rFonts w:ascii="Narkisim" w:hAnsi="Narkisim" w:cs="Narkisim"/>
          <w:sz w:val="20"/>
          <w:szCs w:val="20"/>
          <w:rtl/>
        </w:rPr>
        <w:t>(לה א, וחי' ר' ראובן כג)</w:t>
      </w:r>
      <w:r w:rsidRPr="00AF1DC8">
        <w:rPr>
          <w:rFonts w:ascii="Narkisim" w:hAnsi="Narkisim" w:cs="Narkisim"/>
          <w:rtl/>
        </w:rPr>
        <w:t xml:space="preserve"> חקר האם הא דלא תפסי קידושין הוה סיבה שעושה ממזרות, או דהוה רק סימן</w:t>
      </w:r>
      <w:r w:rsidRPr="00AF1DC8">
        <w:rPr>
          <w:rFonts w:ascii="Narkisim" w:hAnsi="Narkisim" w:cs="Narkisim"/>
          <w:sz w:val="20"/>
          <w:szCs w:val="20"/>
          <w:rtl/>
        </w:rPr>
        <w:t xml:space="preserve"> [דהוה 'ערוה' המונע תפיסת קידושין]</w:t>
      </w:r>
      <w:r w:rsidRPr="00AF1DC8">
        <w:rPr>
          <w:rFonts w:ascii="Narkisim" w:hAnsi="Narkisim" w:cs="Narkisim"/>
          <w:rtl/>
        </w:rPr>
        <w:t>. [</w:t>
      </w:r>
      <w:r w:rsidRPr="00AF1DC8">
        <w:rPr>
          <w:rFonts w:ascii="Narkisim" w:hAnsi="Narkisim" w:cs="Narkisim"/>
          <w:szCs w:val="20"/>
          <w:rtl/>
        </w:rPr>
        <w:t>וע' מש"כ בזה לקמן מה: ומט.</w:t>
      </w:r>
      <w:r w:rsidRPr="00AF1DC8">
        <w:rPr>
          <w:rFonts w:ascii="Narkisim" w:hAnsi="Narkisim" w:cs="Narkisim"/>
          <w:rtl/>
        </w:rPr>
        <w:t>]</w:t>
      </w:r>
      <w:r w:rsidRPr="00AF1DC8">
        <w:rPr>
          <w:rFonts w:ascii="Narkisim" w:hAnsi="Narkisim" w:cs="Narkisim"/>
        </w:rPr>
        <w:t>.</w:t>
      </w:r>
    </w:p>
    <w:p w14:paraId="52429CFB" w14:textId="77777777" w:rsidR="006074A5" w:rsidRPr="00AF1DC8" w:rsidRDefault="006074A5" w:rsidP="006074A5">
      <w:pPr>
        <w:pStyle w:val="a8"/>
        <w:bidi/>
        <w:rPr>
          <w:rFonts w:ascii="Narkisim" w:hAnsi="Narkisim"/>
        </w:rPr>
      </w:pPr>
      <w:r w:rsidRPr="00AF1DC8">
        <w:rPr>
          <w:rFonts w:ascii="Narkisim" w:hAnsi="Narkisim"/>
          <w:rtl/>
        </w:rPr>
        <w:t>והביא מה</w:t>
      </w:r>
      <w:r w:rsidRPr="00AF1DC8">
        <w:rPr>
          <w:rFonts w:ascii="Narkisim" w:hAnsi="Narkisim"/>
          <w:b/>
          <w:bCs/>
          <w:rtl/>
        </w:rPr>
        <w:t>גמ'</w:t>
      </w:r>
      <w:r w:rsidRPr="00AF1DC8">
        <w:rPr>
          <w:rFonts w:ascii="Narkisim" w:hAnsi="Narkisim"/>
          <w:rtl/>
        </w:rPr>
        <w:t xml:space="preserve"> (תמורה ה:, הו' בתוס' בסמוך) דדרשי' גבי אלמנה לכה"ג חילולין עושה ואינו עושה ממזרים, דגלי קרא דתפסי קידושין [ולא אמרי' אי עביד ל"מ]. ומבואר דאילו לא תפסי קידושין משום אי עביד לא מהני הולד ממזר [ואף דליכא סיבת ערוה]. וע”כ הא דלא תפסי קידושין מצד עצמו הוה סיבה לממזרות</w:t>
      </w:r>
      <w:r w:rsidRPr="00AF1DC8">
        <w:rPr>
          <w:rStyle w:val="ac"/>
          <w:rFonts w:ascii="Narkisim" w:hAnsi="Narkisim"/>
          <w:rtl/>
        </w:rPr>
        <w:footnoteReference w:id="2621"/>
      </w:r>
      <w:r w:rsidRPr="00AF1DC8">
        <w:rPr>
          <w:rFonts w:ascii="Narkisim" w:hAnsi="Narkisim"/>
        </w:rPr>
        <w:t>.</w:t>
      </w:r>
    </w:p>
    <w:p w14:paraId="608D2438" w14:textId="77777777" w:rsidR="006074A5" w:rsidRPr="00AF1DC8" w:rsidRDefault="006074A5" w:rsidP="006074A5">
      <w:pPr>
        <w:bidi/>
        <w:rPr>
          <w:rFonts w:ascii="Narkisim" w:hAnsi="Narkisim" w:cs="Narkisim"/>
        </w:rPr>
      </w:pPr>
      <w:r w:rsidRPr="00AF1DC8">
        <w:rPr>
          <w:rFonts w:ascii="Narkisim" w:hAnsi="Narkisim" w:cs="Narkisim"/>
          <w:u w:val="single"/>
          <w:rtl/>
        </w:rPr>
        <w:t>בא"ד אבל לר' יהושע אע"ג דאין קידושין תופסין בחייבי כריתות ל"ה ממזר וכו'</w:t>
      </w:r>
      <w:r w:rsidRPr="00AF1DC8">
        <w:rPr>
          <w:rFonts w:ascii="Narkisim" w:hAnsi="Narkisim" w:cs="Narkisim"/>
          <w:rtl/>
        </w:rPr>
        <w:t>. ור' יהושע לא סבר דהא בהא תלי. וה</w:t>
      </w:r>
      <w:r w:rsidRPr="00AF1DC8">
        <w:rPr>
          <w:rFonts w:ascii="Narkisim" w:hAnsi="Narkisim" w:cs="Narkisim"/>
          <w:b/>
          <w:bCs/>
          <w:rtl/>
        </w:rPr>
        <w:t>תו"י</w:t>
      </w:r>
      <w:r w:rsidRPr="00AF1DC8">
        <w:rPr>
          <w:rFonts w:ascii="Narkisim" w:hAnsi="Narkisim" w:cs="Narkisim"/>
          <w:rtl/>
        </w:rPr>
        <w:t xml:space="preserve"> </w:t>
      </w:r>
      <w:r w:rsidRPr="00AF1DC8">
        <w:rPr>
          <w:rFonts w:ascii="Narkisim" w:hAnsi="Narkisim" w:cs="Narkisim"/>
          <w:sz w:val="20"/>
          <w:szCs w:val="20"/>
          <w:rtl/>
        </w:rPr>
        <w:t>(וכ"כ התו"י כתובות כט:)</w:t>
      </w:r>
      <w:r w:rsidRPr="00AF1DC8">
        <w:rPr>
          <w:rFonts w:ascii="Narkisim" w:hAnsi="Narkisim" w:cs="Narkisim"/>
          <w:rtl/>
        </w:rPr>
        <w:t xml:space="preserve"> הוכיח כן דמסתמא ר' יהושע אינו חולק</w:t>
      </w:r>
      <w:r w:rsidRPr="00AF1DC8">
        <w:rPr>
          <w:rStyle w:val="ac"/>
          <w:rFonts w:ascii="Narkisim" w:hAnsi="Narkisim" w:cs="Narkisim"/>
          <w:rtl/>
        </w:rPr>
        <w:footnoteReference w:id="2622"/>
      </w:r>
      <w:r w:rsidRPr="00AF1DC8">
        <w:rPr>
          <w:rFonts w:ascii="Narkisim" w:hAnsi="Narkisim" w:cs="Narkisim"/>
        </w:rPr>
        <w:t xml:space="preserve"> </w:t>
      </w:r>
      <w:r w:rsidRPr="00AF1DC8">
        <w:rPr>
          <w:rFonts w:ascii="Narkisim" w:hAnsi="Narkisim" w:cs="Narkisim"/>
          <w:rtl/>
        </w:rPr>
        <w:t>אמתני' (לעיל ב.) דט"ו נשים פוטרות צרותיהן מחליצה ומיבום</w:t>
      </w:r>
      <w:r w:rsidRPr="00AF1DC8">
        <w:rPr>
          <w:rStyle w:val="ac"/>
          <w:rFonts w:ascii="Narkisim" w:hAnsi="Narkisim" w:cs="Narkisim"/>
          <w:rtl/>
        </w:rPr>
        <w:footnoteReference w:id="2623"/>
      </w:r>
      <w:r w:rsidRPr="00AF1DC8">
        <w:rPr>
          <w:rFonts w:ascii="Narkisim" w:hAnsi="Narkisim" w:cs="Narkisim"/>
          <w:sz w:val="20"/>
          <w:szCs w:val="20"/>
        </w:rPr>
        <w:t>,</w:t>
      </w:r>
      <w:r w:rsidRPr="00AF1DC8">
        <w:rPr>
          <w:rFonts w:ascii="Narkisim" w:hAnsi="Narkisim" w:cs="Narkisim"/>
        </w:rPr>
        <w:t xml:space="preserve"> </w:t>
      </w:r>
      <w:r w:rsidRPr="00AF1DC8">
        <w:rPr>
          <w:rFonts w:ascii="Narkisim" w:hAnsi="Narkisim" w:cs="Narkisim"/>
          <w:rtl/>
        </w:rPr>
        <w:t>ואי קידושין תופסין הוה כחייבי לאוין דבעי חליצה [כדאמרי' לעיל כ.]</w:t>
      </w:r>
      <w:r w:rsidRPr="00AF1DC8">
        <w:rPr>
          <w:rFonts w:ascii="Narkisim" w:hAnsi="Narkisim" w:cs="Narkisim"/>
        </w:rPr>
        <w:t>.</w:t>
      </w:r>
    </w:p>
    <w:p w14:paraId="21B36CC9" w14:textId="77777777" w:rsidR="006074A5" w:rsidRPr="00AF1DC8" w:rsidRDefault="006074A5" w:rsidP="006074A5">
      <w:pPr>
        <w:bidi/>
        <w:rPr>
          <w:rFonts w:ascii="Narkisim" w:hAnsi="Narkisim" w:cs="Narkisim"/>
        </w:rPr>
      </w:pPr>
      <w:r w:rsidRPr="00AF1DC8">
        <w:rPr>
          <w:rFonts w:ascii="Narkisim" w:hAnsi="Narkisim" w:cs="Narkisim"/>
          <w:u w:val="single"/>
          <w:rtl/>
        </w:rPr>
        <w:t>אמר רבה בב"ח אר"י הכל מודים בעבד ועכו"ם שהולד ממזר וכו' שמעון התימני וכו'</w:t>
      </w:r>
      <w:r w:rsidRPr="00AF1DC8">
        <w:rPr>
          <w:rFonts w:ascii="Narkisim" w:hAnsi="Narkisim" w:cs="Narkisim"/>
          <w:rtl/>
        </w:rPr>
        <w:t xml:space="preserve">. </w:t>
      </w:r>
      <w:r w:rsidRPr="00AF1DC8">
        <w:rPr>
          <w:rFonts w:ascii="Narkisim" w:hAnsi="Narkisim" w:cs="Narkisim"/>
          <w:szCs w:val="20"/>
          <w:rtl/>
        </w:rPr>
        <w:t>[ובגמ' בסמוך נח' בזה כמה מ"ד</w:t>
      </w:r>
      <w:r w:rsidRPr="00AF1DC8">
        <w:rPr>
          <w:rFonts w:ascii="Narkisim" w:hAnsi="Narkisim" w:cs="Narkisim"/>
          <w:rtl/>
        </w:rPr>
        <w:t>]</w:t>
      </w:r>
      <w:r w:rsidRPr="00AF1DC8">
        <w:rPr>
          <w:rFonts w:ascii="Narkisim" w:hAnsi="Narkisim" w:cs="Narkisim"/>
        </w:rPr>
        <w:t>.</w:t>
      </w:r>
    </w:p>
    <w:p w14:paraId="7B6118D5"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(לעיל טז:</w:t>
      </w:r>
      <w:r w:rsidRPr="00AF1DC8">
        <w:rPr>
          <w:rFonts w:ascii="Narkisim" w:hAnsi="Narkisim"/>
          <w:sz w:val="20"/>
          <w:szCs w:val="20"/>
          <w:rtl/>
        </w:rPr>
        <w:t xml:space="preserve"> ד"ה אמוראי)</w:t>
      </w:r>
      <w:r w:rsidRPr="00AF1DC8">
        <w:rPr>
          <w:rFonts w:ascii="Narkisim" w:hAnsi="Narkisim"/>
          <w:rtl/>
        </w:rPr>
        <w:t xml:space="preserve"> כת' דרק לר"ע הו' ממזר מעכו"ם ועבד. ו</w:t>
      </w:r>
      <w:r w:rsidRPr="00AF1DC8">
        <w:rPr>
          <w:rFonts w:ascii="Narkisim" w:hAnsi="Narkisim"/>
          <w:b/>
          <w:bCs/>
          <w:rtl/>
        </w:rPr>
        <w:t>רע"א</w:t>
      </w:r>
      <w:r w:rsidRPr="00AF1DC8">
        <w:rPr>
          <w:rFonts w:ascii="Narkisim" w:hAnsi="Narkisim"/>
          <w:sz w:val="20"/>
          <w:szCs w:val="20"/>
          <w:rtl/>
        </w:rPr>
        <w:t xml:space="preserve"> (גהש"ס)</w:t>
      </w:r>
      <w:r w:rsidRPr="00AF1DC8">
        <w:rPr>
          <w:rFonts w:ascii="Narkisim" w:hAnsi="Narkisim"/>
          <w:rtl/>
        </w:rPr>
        <w:t xml:space="preserve"> ציין דבסוגיין [וכן לקמן ע.] מבואר דאף לרבנן דר' עקיבא הוה ממזר. </w:t>
      </w:r>
      <w:r w:rsidRPr="00AF1DC8">
        <w:rPr>
          <w:rFonts w:ascii="Narkisim" w:hAnsi="Narkisim"/>
          <w:sz w:val="20"/>
          <w:szCs w:val="20"/>
          <w:rtl/>
        </w:rPr>
        <w:t>[ויל"ד דרב יוסף חזר מזה]</w:t>
      </w:r>
      <w:r w:rsidRPr="00AF1DC8">
        <w:rPr>
          <w:rFonts w:ascii="Narkisim" w:hAnsi="Narkisim"/>
          <w:sz w:val="20"/>
          <w:szCs w:val="20"/>
        </w:rPr>
        <w:t>.</w:t>
      </w:r>
    </w:p>
    <w:p w14:paraId="57029DF6" w14:textId="77777777" w:rsidR="006074A5" w:rsidRPr="00AF1DC8" w:rsidRDefault="006074A5" w:rsidP="006074A5">
      <w:pPr>
        <w:pStyle w:val="a7"/>
        <w:bidi/>
        <w:rPr>
          <w:rFonts w:ascii="Narkisim" w:hAnsi="Narkisim"/>
        </w:rPr>
      </w:pPr>
      <w:r w:rsidRPr="00AF1DC8">
        <w:rPr>
          <w:rFonts w:ascii="Narkisim" w:hAnsi="Narkisim"/>
          <w:rtl/>
        </w:rPr>
        <w:t xml:space="preserve">וכן </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(שם</w:t>
      </w:r>
      <w:r w:rsidRPr="00AF1DC8">
        <w:rPr>
          <w:rFonts w:ascii="Narkisim" w:hAnsi="Narkisim"/>
          <w:rtl/>
        </w:rPr>
        <w:t xml:space="preserve"> </w:t>
      </w:r>
      <w:r w:rsidRPr="00AF1DC8">
        <w:rPr>
          <w:rFonts w:ascii="Narkisim" w:hAnsi="Narkisim"/>
          <w:sz w:val="20"/>
          <w:szCs w:val="20"/>
          <w:rtl/>
        </w:rPr>
        <w:t>ד"ה קסבר)</w:t>
      </w:r>
      <w:r w:rsidRPr="00AF1DC8">
        <w:rPr>
          <w:rFonts w:ascii="Narkisim" w:hAnsi="Narkisim"/>
          <w:rtl/>
        </w:rPr>
        <w:t xml:space="preserve"> כת' דכל הני דסברי דהולד ממזר קאי כר' עקיבא דאין קידושין תופסים בחייבי לאוין. וה</w:t>
      </w:r>
      <w:r w:rsidRPr="00AF1DC8">
        <w:rPr>
          <w:rFonts w:ascii="Narkisim" w:hAnsi="Narkisim"/>
          <w:b/>
          <w:bCs/>
          <w:rtl/>
        </w:rPr>
        <w:t>קר"א</w:t>
      </w:r>
      <w:r w:rsidRPr="00AF1DC8">
        <w:rPr>
          <w:rFonts w:ascii="Narkisim" w:hAnsi="Narkisim"/>
          <w:rtl/>
        </w:rPr>
        <w:t xml:space="preserve"> (שם) תמה דלא מסתבר דכל המ"ד בסוגיין בסמוך ס"ל כר' עקיבא. </w:t>
      </w:r>
      <w:r w:rsidRPr="00AF1DC8">
        <w:rPr>
          <w:rFonts w:ascii="Narkisim" w:hAnsi="Narkisim"/>
          <w:rtl/>
        </w:rPr>
        <w:lastRenderedPageBreak/>
        <w:t>ועוד הקשו ה</w:t>
      </w:r>
      <w:r w:rsidRPr="00AF1DC8">
        <w:rPr>
          <w:rFonts w:ascii="Narkisim" w:hAnsi="Narkisim"/>
          <w:b/>
          <w:bCs/>
          <w:rtl/>
        </w:rPr>
        <w:t>אחרונים</w:t>
      </w:r>
      <w:r w:rsidRPr="00AF1DC8">
        <w:rPr>
          <w:rFonts w:ascii="Narkisim" w:hAnsi="Narkisim"/>
          <w:rtl/>
        </w:rPr>
        <w:t xml:space="preserve"> דבסוגיין (מה:) מבואר דמ"ד דפסל משום דדמיא לאשת אב, דהוה חייבי כריתות</w:t>
      </w:r>
      <w:r w:rsidRPr="00AF1DC8">
        <w:rPr>
          <w:rStyle w:val="ac"/>
          <w:rFonts w:ascii="Narkisim" w:hAnsi="Narkisim"/>
          <w:rtl/>
        </w:rPr>
        <w:footnoteReference w:id="2624"/>
      </w:r>
      <w:r w:rsidRPr="00AF1DC8">
        <w:rPr>
          <w:rFonts w:ascii="Narkisim" w:hAnsi="Narkisim"/>
        </w:rPr>
        <w:t>.</w:t>
      </w:r>
    </w:p>
    <w:p w14:paraId="1A72C681" w14:textId="77777777" w:rsidR="006074A5" w:rsidRPr="00AF1DC8" w:rsidRDefault="006074A5" w:rsidP="006074A5">
      <w:pPr>
        <w:pStyle w:val="a7"/>
        <w:bidi/>
        <w:rPr>
          <w:rFonts w:ascii="Narkisim" w:hAnsi="Narkisim"/>
        </w:rPr>
      </w:pPr>
      <w:r w:rsidRPr="00AF1DC8">
        <w:rPr>
          <w:rFonts w:ascii="Narkisim" w:hAnsi="Narkisim"/>
          <w:rtl/>
        </w:rPr>
        <w:t xml:space="preserve">אבל </w:t>
      </w:r>
      <w:r w:rsidRPr="00AF1DC8">
        <w:rPr>
          <w:rFonts w:ascii="Narkisim" w:hAnsi="Narkisim"/>
          <w:b/>
          <w:bCs/>
          <w:rtl/>
        </w:rPr>
        <w:t>תוס</w:t>
      </w:r>
      <w:r w:rsidRPr="00AF1DC8">
        <w:rPr>
          <w:rFonts w:ascii="Narkisim" w:hAnsi="Narkisim"/>
          <w:rtl/>
        </w:rPr>
        <w:t>' (לקמן מט. ד"ה שמעון) הוכיחו מהא דעכו"ם ועבד הולד כשר דלא קי"ל כר' עקיבא, משמע דלר' עקיבא פשיטא דהולד ממזר. [וה</w:t>
      </w:r>
      <w:r w:rsidRPr="00AF1DC8">
        <w:rPr>
          <w:rFonts w:ascii="Narkisim" w:hAnsi="Narkisim"/>
          <w:b/>
          <w:bCs/>
          <w:rtl/>
        </w:rPr>
        <w:t>מהרש"ל</w:t>
      </w:r>
      <w:r w:rsidRPr="00AF1DC8">
        <w:rPr>
          <w:rFonts w:ascii="Narkisim" w:hAnsi="Narkisim"/>
          <w:rtl/>
        </w:rPr>
        <w:t xml:space="preserve"> ביאר דהיינו למ"ד דלא בעי לאו דשאר]</w:t>
      </w:r>
      <w:r w:rsidRPr="00AF1DC8">
        <w:rPr>
          <w:rFonts w:ascii="Narkisim" w:hAnsi="Narkisim"/>
        </w:rPr>
        <w:t>.</w:t>
      </w:r>
    </w:p>
    <w:p w14:paraId="4035F810" w14:textId="77777777" w:rsidR="006074A5" w:rsidRPr="00AF1DC8" w:rsidRDefault="006074A5" w:rsidP="006074A5">
      <w:pPr>
        <w:pStyle w:val="3"/>
        <w:bidi/>
        <w:rPr>
          <w:rFonts w:ascii="Narkisim" w:hAnsi="Narkisim"/>
        </w:rPr>
      </w:pPr>
      <w:r w:rsidRPr="00AF1DC8">
        <w:rPr>
          <w:rFonts w:ascii="Narkisim" w:hAnsi="Narkisim"/>
          <w:rtl/>
        </w:rPr>
        <w:t>דף מה</w:t>
      </w:r>
      <w:r w:rsidRPr="00AF1DC8">
        <w:rPr>
          <w:rFonts w:ascii="Narkisim" w:hAnsi="Narkisim"/>
        </w:rPr>
        <w:t>.</w:t>
      </w:r>
    </w:p>
    <w:p w14:paraId="717A564D" w14:textId="77777777" w:rsidR="006074A5" w:rsidRPr="00AF1DC8" w:rsidRDefault="006074A5" w:rsidP="006074A5">
      <w:pPr>
        <w:bidi/>
        <w:rPr>
          <w:rFonts w:ascii="Narkisim" w:hAnsi="Narkisim" w:cs="Narkisim"/>
        </w:rPr>
      </w:pPr>
      <w:r w:rsidRPr="00AF1DC8">
        <w:rPr>
          <w:rFonts w:ascii="Narkisim" w:hAnsi="Narkisim" w:cs="Narkisim"/>
          <w:u w:val="single"/>
          <w:rtl/>
        </w:rPr>
        <w:t>אבל הכא עכו"ם ועבד כיון דלא תפסי בהו קידושין כחייבי כריתות דמי וכו'</w:t>
      </w:r>
      <w:r w:rsidRPr="00AF1DC8">
        <w:rPr>
          <w:rFonts w:ascii="Narkisim" w:hAnsi="Narkisim" w:cs="Narkisim"/>
          <w:rtl/>
        </w:rPr>
        <w:t xml:space="preserve">. דכיון דלא תפסי קידושין הוה הולד ממזר, ובגמ' (מה:) נח' בסברא זו, דהא לא תפסי קידושין לכולי עלמא. וכן אין יחס לעכו"ם [ויתבאר לקמן]. אך </w:t>
      </w:r>
      <w:r w:rsidRPr="00AF1DC8">
        <w:rPr>
          <w:rFonts w:ascii="Narkisim" w:hAnsi="Narkisim" w:cs="Narkisim"/>
          <w:b/>
          <w:bCs/>
          <w:rtl/>
        </w:rPr>
        <w:t>תוס</w:t>
      </w:r>
      <w:r w:rsidRPr="00AF1DC8">
        <w:rPr>
          <w:rFonts w:ascii="Narkisim" w:hAnsi="Narkisim" w:cs="Narkisim"/>
          <w:rtl/>
        </w:rPr>
        <w:t>' העמידו דדעת ר' יהושע דממזרות לא תלי בתפיסת קידושין. ולדעת ר' יהושע מעכו"ם ועבד לא הוה ממזר</w:t>
      </w:r>
      <w:r w:rsidRPr="00AF1DC8">
        <w:rPr>
          <w:rFonts w:ascii="Narkisim" w:hAnsi="Narkisim" w:cs="Narkisim"/>
        </w:rPr>
        <w:t>.</w:t>
      </w:r>
    </w:p>
    <w:p w14:paraId="7D4DB5AA" w14:textId="77777777" w:rsidR="006074A5" w:rsidRPr="00AF1DC8" w:rsidRDefault="006074A5" w:rsidP="006074A5">
      <w:pPr>
        <w:bidi/>
        <w:rPr>
          <w:rFonts w:ascii="Narkisim" w:hAnsi="Narkisim" w:cs="Narkisim"/>
        </w:rPr>
      </w:pPr>
      <w:r w:rsidRPr="00AF1DC8">
        <w:rPr>
          <w:rFonts w:ascii="Narkisim" w:hAnsi="Narkisim" w:cs="Narkisim"/>
          <w:u w:val="single"/>
          <w:rtl/>
        </w:rPr>
        <w:t>רש"י ד"ה חייבי.</w:t>
      </w:r>
      <w:r w:rsidRPr="00AF1DC8">
        <w:rPr>
          <w:rFonts w:ascii="Narkisim" w:hAnsi="Narkisim" w:cs="Narkisim"/>
          <w:rtl/>
        </w:rPr>
        <w:t xml:space="preserve"> ואח"כ תבא, אבל מעיקרא לא. ומהני קראי נפקא בקידושין דלא תפסי קידושין [ישראל] בעובדת כוכבים, ועכו"ם [בבת ישראל] נמי וכו' ובשאלתות וכו' והיא בעולת בעל וכו'</w:t>
      </w:r>
      <w:r w:rsidRPr="00AF1DC8">
        <w:rPr>
          <w:rStyle w:val="ac"/>
          <w:rFonts w:ascii="Narkisim" w:hAnsi="Narkisim" w:cs="Narkisim"/>
          <w:rtl/>
        </w:rPr>
        <w:footnoteReference w:id="2625"/>
      </w:r>
      <w:r w:rsidRPr="00AF1DC8">
        <w:rPr>
          <w:rFonts w:ascii="Narkisim" w:hAnsi="Narkisim" w:cs="Narkisim"/>
          <w:rtl/>
        </w:rPr>
        <w:t>. ו</w:t>
      </w:r>
      <w:r w:rsidRPr="00AF1DC8">
        <w:rPr>
          <w:rFonts w:ascii="Narkisim" w:hAnsi="Narkisim" w:cs="Narkisim"/>
          <w:b/>
          <w:bCs/>
          <w:rtl/>
        </w:rPr>
        <w:t>רש"י</w:t>
      </w:r>
      <w:r w:rsidRPr="00AF1DC8">
        <w:rPr>
          <w:rFonts w:ascii="Narkisim" w:hAnsi="Narkisim" w:cs="Narkisim"/>
          <w:sz w:val="20"/>
          <w:szCs w:val="20"/>
          <w:rtl/>
        </w:rPr>
        <w:t xml:space="preserve"> (לקמן סח:)</w:t>
      </w:r>
      <w:r w:rsidRPr="00AF1DC8">
        <w:rPr>
          <w:rFonts w:ascii="Narkisim" w:hAnsi="Narkisim" w:cs="Narkisim"/>
          <w:rtl/>
        </w:rPr>
        <w:t xml:space="preserve"> הביא דדרשי' </w:t>
      </w:r>
      <w:r w:rsidRPr="00AF1DC8">
        <w:rPr>
          <w:rFonts w:ascii="Narkisim" w:hAnsi="Narkisim" w:cs="Narkisim"/>
          <w:sz w:val="20"/>
          <w:szCs w:val="20"/>
          <w:rtl/>
        </w:rPr>
        <w:t xml:space="preserve">(סנהדרין נב:) </w:t>
      </w:r>
      <w:r w:rsidRPr="00AF1DC8">
        <w:rPr>
          <w:rFonts w:ascii="Narkisim" w:hAnsi="Narkisim" w:cs="Narkisim"/>
          <w:rtl/>
        </w:rPr>
        <w:t xml:space="preserve">אשת רעהו פרט לאשת אחרים </w:t>
      </w:r>
      <w:r w:rsidRPr="00AF1DC8">
        <w:rPr>
          <w:rFonts w:ascii="Narkisim" w:hAnsi="Narkisim" w:cs="Narkisim"/>
          <w:sz w:val="20"/>
          <w:szCs w:val="20"/>
          <w:rtl/>
        </w:rPr>
        <w:t>[וה</w:t>
      </w:r>
      <w:r w:rsidRPr="00AF1DC8">
        <w:rPr>
          <w:rFonts w:ascii="Narkisim" w:hAnsi="Narkisim" w:cs="Narkisim"/>
          <w:b/>
          <w:bCs/>
          <w:sz w:val="20"/>
          <w:szCs w:val="20"/>
          <w:rtl/>
        </w:rPr>
        <w:t>ב"ח</w:t>
      </w:r>
      <w:r w:rsidRPr="00AF1DC8">
        <w:rPr>
          <w:rFonts w:ascii="Narkisim" w:hAnsi="Narkisim" w:cs="Narkisim"/>
          <w:sz w:val="20"/>
          <w:szCs w:val="20"/>
          <w:rtl/>
        </w:rPr>
        <w:t xml:space="preserve"> גרס עכו"ם]</w:t>
      </w:r>
      <w:r w:rsidRPr="00AF1DC8">
        <w:rPr>
          <w:rFonts w:ascii="Narkisim" w:hAnsi="Narkisim" w:cs="Narkisim"/>
          <w:rtl/>
        </w:rPr>
        <w:t xml:space="preserve">. וכ"כ </w:t>
      </w:r>
      <w:r w:rsidRPr="00AF1DC8">
        <w:rPr>
          <w:rFonts w:ascii="Narkisim" w:hAnsi="Narkisim" w:cs="Narkisim"/>
          <w:b/>
          <w:bCs/>
          <w:rtl/>
        </w:rPr>
        <w:t>רש"י</w:t>
      </w:r>
      <w:r w:rsidRPr="00AF1DC8">
        <w:rPr>
          <w:rFonts w:ascii="Narkisim" w:hAnsi="Narkisim" w:cs="Narkisim"/>
          <w:sz w:val="20"/>
          <w:szCs w:val="20"/>
          <w:rtl/>
        </w:rPr>
        <w:t xml:space="preserve"> (סנהדרין שם)</w:t>
      </w:r>
      <w:r w:rsidRPr="00AF1DC8">
        <w:rPr>
          <w:rFonts w:ascii="Narkisim" w:hAnsi="Narkisim" w:cs="Narkisim"/>
          <w:rtl/>
        </w:rPr>
        <w:t xml:space="preserve"> דילפי' פרט לאשת אחרים דאין קידושין לכותי, ותיפו”ל בכל דוכתא</w:t>
      </w:r>
      <w:r w:rsidRPr="00AF1DC8">
        <w:rPr>
          <w:rStyle w:val="ac"/>
          <w:rFonts w:ascii="Narkisim" w:hAnsi="Narkisim" w:cs="Narkisim"/>
          <w:rtl/>
        </w:rPr>
        <w:footnoteReference w:id="2626"/>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רמב"ן</w:t>
      </w:r>
      <w:r w:rsidRPr="00AF1DC8">
        <w:rPr>
          <w:rFonts w:ascii="Narkisim" w:hAnsi="Narkisim" w:cs="Narkisim"/>
          <w:rtl/>
        </w:rPr>
        <w:t xml:space="preserve"> הקש' דילמא בנשי דידהו [דעכו"ם בעכו"ם ליכא 'קידושין' ואינו חייב על מאורסה]</w:t>
      </w:r>
      <w:r w:rsidRPr="00AF1DC8">
        <w:rPr>
          <w:rStyle w:val="ac"/>
          <w:rFonts w:ascii="Narkisim" w:hAnsi="Narkisim" w:cs="Narkisim"/>
          <w:rtl/>
        </w:rPr>
        <w:footnoteReference w:id="2627"/>
      </w:r>
      <w:r w:rsidRPr="00AF1DC8">
        <w:rPr>
          <w:rFonts w:ascii="Narkisim" w:hAnsi="Narkisim" w:cs="Narkisim"/>
        </w:rPr>
        <w:t xml:space="preserve">. </w:t>
      </w:r>
      <w:r w:rsidRPr="00AF1DC8">
        <w:rPr>
          <w:rFonts w:ascii="Narkisim" w:hAnsi="Narkisim" w:cs="Narkisim"/>
          <w:sz w:val="20"/>
          <w:szCs w:val="20"/>
          <w:rtl/>
        </w:rPr>
        <w:t>ותי' דנפקא מקרא 'אח"כ תבא אליה'. ועוד לגבי גוי אי ס"ד דיש לו קידו' בבת ישראל, כ"ש בגויה. דבישראל י"ל דקידושין לא תפסי משום איסור</w:t>
      </w:r>
      <w:r w:rsidRPr="00AF1DC8">
        <w:rPr>
          <w:rFonts w:ascii="Narkisim" w:hAnsi="Narkisim" w:cs="Narkisim"/>
          <w:sz w:val="20"/>
          <w:szCs w:val="20"/>
        </w:rPr>
        <w:t>.</w:t>
      </w:r>
    </w:p>
    <w:p w14:paraId="293F37F7"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דב</w:t>
      </w:r>
      <w:r w:rsidRPr="00AF1DC8">
        <w:rPr>
          <w:rFonts w:ascii="Narkisim" w:hAnsi="Narkisim"/>
          <w:b/>
          <w:bCs/>
          <w:rtl/>
        </w:rPr>
        <w:t>מכילתא</w:t>
      </w:r>
      <w:r w:rsidRPr="00AF1DC8">
        <w:rPr>
          <w:rFonts w:ascii="Narkisim" w:hAnsi="Narkisim"/>
          <w:rtl/>
        </w:rPr>
        <w:t xml:space="preserve"> דרשי' בעבד עברי והוא יצא בגפו, דהשפחה אי"צ ממנו גט. ומקיש עבד לאמה, דבת ישראל אי"צ ממנו גט</w:t>
      </w:r>
      <w:r w:rsidRPr="00AF1DC8">
        <w:rPr>
          <w:rStyle w:val="ac"/>
          <w:rFonts w:ascii="Narkisim" w:hAnsi="Narkisim"/>
          <w:rtl/>
        </w:rPr>
        <w:footnoteReference w:id="2628"/>
      </w:r>
      <w:r w:rsidRPr="00AF1DC8">
        <w:rPr>
          <w:rFonts w:ascii="Narkisim" w:hAnsi="Narkisim"/>
        </w:rPr>
        <w:t>.</w:t>
      </w:r>
    </w:p>
    <w:p w14:paraId="7952C649" w14:textId="77777777" w:rsidR="006074A5" w:rsidRPr="00AF1DC8" w:rsidRDefault="006074A5" w:rsidP="006074A5">
      <w:pPr>
        <w:pStyle w:val="2"/>
        <w:bidi/>
        <w:rPr>
          <w:rFonts w:ascii="Narkisim" w:hAnsi="Narkisim"/>
        </w:rPr>
      </w:pPr>
      <w:r w:rsidRPr="00AF1DC8">
        <w:rPr>
          <w:rFonts w:ascii="Narkisim" w:hAnsi="Narkisim"/>
          <w:rtl/>
        </w:rPr>
        <w:t>עכו"ם הבא על ב"י</w:t>
      </w:r>
    </w:p>
    <w:p w14:paraId="778DCA43" w14:textId="77777777" w:rsidR="006074A5" w:rsidRPr="00AF1DC8" w:rsidRDefault="006074A5" w:rsidP="006074A5">
      <w:pPr>
        <w:bidi/>
        <w:rPr>
          <w:rFonts w:ascii="Narkisim" w:hAnsi="Narkisim" w:cs="Narkisim"/>
        </w:rPr>
      </w:pPr>
      <w:r w:rsidRPr="00AF1DC8">
        <w:rPr>
          <w:rFonts w:ascii="Narkisim" w:hAnsi="Narkisim" w:cs="Narkisim"/>
          <w:u w:val="single"/>
          <w:rtl/>
        </w:rPr>
        <w:t>מיתיבי וכו' ר"ש בן יהודה אומר אין ממזר אלא ממי שאיסורו איסור ערוה וענוש כרת וכו'</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והאי תנא כשמעון התימני ס"ל, וקתני דעכו"ם ועבד אינו ממזר. [ואף דיש מ"ד לקמן דעכו"ם ועבד לא הוה ממזר מטעם אחר. הא ר"ש בן יהודה תלה דבריו משום דאין איסורו איסור ערוה, וליכא כרת]</w:t>
      </w:r>
      <w:r w:rsidRPr="00AF1DC8">
        <w:rPr>
          <w:rFonts w:ascii="Narkisim" w:hAnsi="Narkisim" w:cs="Narkisim"/>
        </w:rPr>
        <w:t>.</w:t>
      </w:r>
    </w:p>
    <w:p w14:paraId="15957456" w14:textId="77777777" w:rsidR="006074A5" w:rsidRPr="00AF1DC8" w:rsidRDefault="006074A5" w:rsidP="006074A5">
      <w:pPr>
        <w:pStyle w:val="a7"/>
        <w:bidi/>
        <w:rPr>
          <w:rFonts w:ascii="Narkisim" w:hAnsi="Narkisim"/>
        </w:rPr>
      </w:pPr>
      <w:r w:rsidRPr="00AF1DC8">
        <w:rPr>
          <w:rFonts w:ascii="Narkisim" w:hAnsi="Narkisim"/>
          <w:rtl/>
        </w:rPr>
        <w:t>ודעת ת"ק דהך ברייתא דעכו"ם ועבד הבא על בת ישראל הולד ממזר. ומשמע דת"ק כר"ע דהוה ממזר אף דלא הוה איסור ערוה. [וע' תוס' כאן ולעיל טז: אי יש איסור דאורייתא בביאתו]</w:t>
      </w:r>
      <w:r w:rsidRPr="00AF1DC8">
        <w:rPr>
          <w:rFonts w:ascii="Narkisim" w:hAnsi="Narkisim"/>
        </w:rPr>
        <w:t>.</w:t>
      </w:r>
    </w:p>
    <w:p w14:paraId="219CD4CC" w14:textId="77777777" w:rsidR="006074A5" w:rsidRPr="00AF1DC8" w:rsidRDefault="006074A5" w:rsidP="006074A5">
      <w:pPr>
        <w:pStyle w:val="aa"/>
        <w:bidi/>
        <w:rPr>
          <w:rFonts w:ascii="Narkisim" w:hAnsi="Narkisim"/>
        </w:rPr>
      </w:pPr>
      <w:r w:rsidRPr="00AF1DC8">
        <w:rPr>
          <w:rFonts w:ascii="Narkisim" w:hAnsi="Narkisim"/>
          <w:u w:val="single"/>
          <w:rtl/>
        </w:rPr>
        <w:t>אלא אמר רב יוסף מאן הכל מודים רבי וכו' ר"ע שהיה עושה חלוצה כערוה</w:t>
      </w:r>
      <w:r w:rsidRPr="00AF1DC8">
        <w:rPr>
          <w:rStyle w:val="ac"/>
          <w:rFonts w:ascii="Narkisim" w:hAnsi="Narkisim"/>
          <w:u w:val="single"/>
          <w:rtl/>
        </w:rPr>
        <w:footnoteReference w:id="2629"/>
      </w:r>
      <w:r w:rsidRPr="00AF1DC8">
        <w:rPr>
          <w:rFonts w:ascii="Narkisim" w:hAnsi="Narkisim"/>
          <w:u w:val="single"/>
        </w:rPr>
        <w:t xml:space="preserve">, </w:t>
      </w:r>
      <w:r w:rsidRPr="00AF1DC8">
        <w:rPr>
          <w:rFonts w:ascii="Narkisim" w:hAnsi="Narkisim"/>
          <w:u w:val="single"/>
          <w:rtl/>
        </w:rPr>
        <w:t>ולית לא ס"ל וכו'</w:t>
      </w:r>
      <w:r w:rsidRPr="00AF1DC8">
        <w:rPr>
          <w:rFonts w:ascii="Narkisim" w:hAnsi="Narkisim"/>
          <w:rtl/>
        </w:rPr>
        <w:t>. דדעת רבי דתפסי קידושין בחייבי לאוין [במקום איסור 'לא יבנה'] ולא הוה ממזר. ואפ"ה מודה בעכו"ם ועבד דהוה ממזר כיון דלא תפסי קידושין. ובפשוטו רבי ס"ל בעלמא כר' שמעון התימני דתלי בחייבי כריתות</w:t>
      </w:r>
      <w:r w:rsidRPr="00AF1DC8">
        <w:rPr>
          <w:rStyle w:val="ac"/>
          <w:rFonts w:ascii="Narkisim" w:hAnsi="Narkisim"/>
          <w:rtl/>
        </w:rPr>
        <w:footnoteReference w:id="2630"/>
      </w:r>
      <w:r w:rsidRPr="00AF1DC8">
        <w:rPr>
          <w:rFonts w:ascii="Narkisim" w:hAnsi="Narkisim"/>
        </w:rPr>
        <w:t xml:space="preserve">, </w:t>
      </w:r>
      <w:r w:rsidRPr="00AF1DC8">
        <w:rPr>
          <w:rFonts w:ascii="Narkisim" w:hAnsi="Narkisim"/>
          <w:rtl/>
        </w:rPr>
        <w:t>ואפ"ה בעכו"ם ועבד הוה ממזר [וכדאי' בברייתא בסמוך]</w:t>
      </w:r>
      <w:r w:rsidRPr="00AF1DC8">
        <w:rPr>
          <w:rFonts w:ascii="Narkisim" w:hAnsi="Narkisim"/>
        </w:rPr>
        <w:t>.</w:t>
      </w:r>
    </w:p>
    <w:p w14:paraId="189C4983" w14:textId="77777777" w:rsidR="006074A5" w:rsidRPr="00AF1DC8" w:rsidRDefault="006074A5" w:rsidP="006074A5">
      <w:pPr>
        <w:bidi/>
        <w:rPr>
          <w:rFonts w:ascii="Narkisim" w:hAnsi="Narkisim" w:cs="Narkisim"/>
        </w:rPr>
      </w:pPr>
      <w:r w:rsidRPr="00AF1DC8">
        <w:rPr>
          <w:rFonts w:ascii="Narkisim" w:hAnsi="Narkisim" w:cs="Narkisim"/>
          <w:u w:val="single"/>
          <w:rtl/>
        </w:rPr>
        <w:t>רבותא למחשב גברי הא רב ושמואל</w:t>
      </w:r>
      <w:r w:rsidRPr="00AF1DC8">
        <w:rPr>
          <w:rStyle w:val="ac"/>
          <w:rFonts w:ascii="Narkisim" w:hAnsi="Narkisim" w:cs="Narkisim"/>
          <w:u w:val="single"/>
          <w:rtl/>
        </w:rPr>
        <w:footnoteReference w:id="2631"/>
      </w:r>
      <w:r w:rsidRPr="00AF1DC8">
        <w:rPr>
          <w:rFonts w:ascii="Narkisim" w:hAnsi="Narkisim" w:cs="Narkisim"/>
          <w:u w:val="single"/>
        </w:rPr>
        <w:t xml:space="preserve"> </w:t>
      </w:r>
      <w:r w:rsidRPr="00AF1DC8">
        <w:rPr>
          <w:rFonts w:ascii="Narkisim" w:hAnsi="Narkisim" w:cs="Narkisim"/>
          <w:u w:val="single"/>
          <w:rtl/>
        </w:rPr>
        <w:t>וכו' הולד כשר.</w:t>
      </w:r>
      <w:r w:rsidRPr="00AF1DC8">
        <w:rPr>
          <w:rFonts w:ascii="Narkisim" w:hAnsi="Narkisim" w:cs="Narkisim"/>
          <w:rtl/>
        </w:rPr>
        <w:t xml:space="preserve"> וכן מסקנת הגמ' (בע"ב) דהולד כשר</w:t>
      </w:r>
      <w:r w:rsidRPr="00AF1DC8">
        <w:rPr>
          <w:rFonts w:ascii="Narkisim" w:hAnsi="Narkisim" w:cs="Narkisim"/>
        </w:rPr>
        <w:t>.</w:t>
      </w:r>
    </w:p>
    <w:p w14:paraId="3EBCF14B" w14:textId="77777777" w:rsidR="006074A5" w:rsidRPr="00AF1DC8" w:rsidRDefault="006074A5" w:rsidP="006074A5">
      <w:pPr>
        <w:bidi/>
        <w:rPr>
          <w:rFonts w:ascii="Narkisim" w:hAnsi="Narkisim" w:cs="Narkisim"/>
        </w:rPr>
      </w:pPr>
      <w:r w:rsidRPr="00AF1DC8">
        <w:rPr>
          <w:rFonts w:ascii="Narkisim" w:hAnsi="Narkisim" w:cs="Narkisim"/>
          <w:u w:val="single"/>
          <w:rtl/>
        </w:rPr>
        <w:t>שם. הולד כשר</w:t>
      </w:r>
      <w:r w:rsidRPr="00AF1DC8">
        <w:rPr>
          <w:rFonts w:ascii="Narkisim" w:hAnsi="Narkisim" w:cs="Narkisim"/>
          <w:rtl/>
        </w:rPr>
        <w:t xml:space="preserve">. בגמ' (לעיל כג. וקידושין סח:) מבואר דהמח' אי הולד כשר שייך לדברי רבינא אי בן בתך מעכו"ם קרי בנך, ויש בזה ב' גרסאות. לחד גירסא (וכ"ה לפנינו לעיל כג.) </w:t>
      </w:r>
      <w:r w:rsidRPr="00AF1DC8">
        <w:rPr>
          <w:rFonts w:ascii="Narkisim" w:hAnsi="Narkisim" w:cs="Narkisim"/>
          <w:rtl/>
        </w:rPr>
        <w:lastRenderedPageBreak/>
        <w:t>הגמ' מדמה דכיון דקרי בנך, א"כ הולד כשר. דכיון דאינו מתייחס אחר עכו"ם מסתבר דלא הוה ממזר</w:t>
      </w:r>
      <w:r w:rsidRPr="00AF1DC8">
        <w:rPr>
          <w:rFonts w:ascii="Narkisim" w:hAnsi="Narkisim" w:cs="Narkisim"/>
        </w:rPr>
        <w:t>.</w:t>
      </w:r>
    </w:p>
    <w:p w14:paraId="7181A7C1" w14:textId="77777777" w:rsidR="006074A5" w:rsidRPr="00AF1DC8" w:rsidRDefault="006074A5" w:rsidP="006074A5">
      <w:pPr>
        <w:pStyle w:val="a7"/>
        <w:bidi/>
        <w:rPr>
          <w:rFonts w:ascii="Narkisim" w:hAnsi="Narkisim"/>
        </w:rPr>
      </w:pPr>
      <w:r w:rsidRPr="00AF1DC8">
        <w:rPr>
          <w:rFonts w:ascii="Narkisim" w:hAnsi="Narkisim"/>
          <w:rtl/>
        </w:rPr>
        <w:t>ולאידך גירסא (וכ"ה לפנינו בקידושין שם) כיון דס"ל דמתייחס אחריו הוה הולד ממזר. ו</w:t>
      </w:r>
      <w:r w:rsidRPr="00AF1DC8">
        <w:rPr>
          <w:rFonts w:ascii="Narkisim" w:hAnsi="Narkisim"/>
          <w:b/>
          <w:bCs/>
          <w:rtl/>
        </w:rPr>
        <w:t>תוס</w:t>
      </w:r>
      <w:r w:rsidRPr="00AF1DC8">
        <w:rPr>
          <w:rFonts w:ascii="Narkisim" w:hAnsi="Narkisim"/>
          <w:rtl/>
        </w:rPr>
        <w:t>' (כג.) פי' דשדינן בתר ישראלית הוה טפי ממזר</w:t>
      </w:r>
      <w:r w:rsidRPr="00AF1DC8">
        <w:rPr>
          <w:rFonts w:ascii="Narkisim" w:hAnsi="Narkisim"/>
        </w:rPr>
        <w:t>.</w:t>
      </w:r>
    </w:p>
    <w:p w14:paraId="160D8B54" w14:textId="77777777" w:rsidR="006074A5" w:rsidRPr="00AF1DC8" w:rsidRDefault="006074A5" w:rsidP="006074A5">
      <w:pPr>
        <w:pStyle w:val="a7"/>
        <w:bidi/>
        <w:rPr>
          <w:rFonts w:ascii="Narkisim" w:hAnsi="Narkisim"/>
        </w:rPr>
      </w:pPr>
      <w:r w:rsidRPr="00AF1DC8">
        <w:rPr>
          <w:rFonts w:ascii="Narkisim" w:hAnsi="Narkisim"/>
          <w:rtl/>
        </w:rPr>
        <w:t xml:space="preserve">ועפ"ז עולה דהולד צריך גירות, דשדינן בתריה, וכ”כ </w:t>
      </w:r>
      <w:r w:rsidRPr="00AF1DC8">
        <w:rPr>
          <w:rFonts w:ascii="Narkisim" w:hAnsi="Narkisim"/>
          <w:b/>
          <w:bCs/>
          <w:rtl/>
        </w:rPr>
        <w:t>תוס</w:t>
      </w:r>
      <w:r w:rsidRPr="00AF1DC8">
        <w:rPr>
          <w:rFonts w:ascii="Narkisim" w:hAnsi="Narkisim"/>
          <w:rtl/>
        </w:rPr>
        <w:t>' (לעיל טז: וקידושין עה:). אך מ"מ הגמ' דוחה דישראל פסול מקרי. דיש צד דהולד הוה ישראל ולא הוה ממזר, אלא פסול בעלמא</w:t>
      </w:r>
      <w:r w:rsidRPr="00AF1DC8">
        <w:rPr>
          <w:rFonts w:ascii="Narkisim" w:hAnsi="Narkisim"/>
        </w:rPr>
        <w:t>.</w:t>
      </w:r>
    </w:p>
    <w:p w14:paraId="20A6E4DE"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sz w:val="20"/>
          <w:szCs w:val="20"/>
          <w:rtl/>
        </w:rPr>
        <w:t xml:space="preserve">(מהרש"א קידושין, ושעה"מ איסו"ב טו) </w:t>
      </w:r>
      <w:r w:rsidRPr="00AF1DC8">
        <w:rPr>
          <w:rFonts w:ascii="Narkisim" w:hAnsi="Narkisim"/>
          <w:rtl/>
        </w:rPr>
        <w:t>האריכו להעמיד סתירות בדברי רש”י ותוס' בזה</w:t>
      </w:r>
      <w:r w:rsidRPr="00AF1DC8">
        <w:rPr>
          <w:rFonts w:ascii="Narkisim" w:hAnsi="Narkisim"/>
        </w:rPr>
        <w:t>.</w:t>
      </w:r>
    </w:p>
    <w:p w14:paraId="3DA6D9D6"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b/>
          <w:bCs/>
          <w:rtl/>
        </w:rPr>
        <w:t>שעה”מ</w:t>
      </w:r>
      <w:r w:rsidRPr="00AF1DC8">
        <w:rPr>
          <w:rFonts w:ascii="Narkisim" w:hAnsi="Narkisim"/>
          <w:rtl/>
        </w:rPr>
        <w:t xml:space="preserve"> ו</w:t>
      </w:r>
      <w:r w:rsidRPr="00AF1DC8">
        <w:rPr>
          <w:rFonts w:ascii="Narkisim" w:hAnsi="Narkisim"/>
          <w:b/>
          <w:bCs/>
          <w:rtl/>
        </w:rPr>
        <w:t>רע”א</w:t>
      </w:r>
      <w:r w:rsidRPr="00AF1DC8">
        <w:rPr>
          <w:rFonts w:ascii="Narkisim" w:hAnsi="Narkisim"/>
          <w:rtl/>
        </w:rPr>
        <w:t>) הביאו דב</w:t>
      </w:r>
      <w:r w:rsidRPr="00AF1DC8">
        <w:rPr>
          <w:rFonts w:ascii="Narkisim" w:hAnsi="Narkisim"/>
          <w:b/>
          <w:bCs/>
          <w:rtl/>
        </w:rPr>
        <w:t>תוס</w:t>
      </w:r>
      <w:r w:rsidRPr="00AF1DC8">
        <w:rPr>
          <w:rFonts w:ascii="Narkisim" w:hAnsi="Narkisim"/>
          <w:rtl/>
        </w:rPr>
        <w:t>' (בע"ב ד”ה כיון, וכן ב”ב ג:) מבואר להדיא דלמ"ד הולד כשר אינו עבד. וה</w:t>
      </w:r>
      <w:r w:rsidRPr="00AF1DC8">
        <w:rPr>
          <w:rFonts w:ascii="Narkisim" w:hAnsi="Narkisim"/>
          <w:b/>
          <w:bCs/>
          <w:rtl/>
        </w:rPr>
        <w:t>אחרונים</w:t>
      </w:r>
      <w:r w:rsidRPr="00AF1DC8">
        <w:rPr>
          <w:rFonts w:ascii="Narkisim" w:hAnsi="Narkisim"/>
          <w:rtl/>
        </w:rPr>
        <w:t xml:space="preserve"> (מהרש"ל טז:) חילקו דדוקא בעכו"ם מתייחס אחריו, והולד צריך גירות. אבל בעבד אי"צ גירות</w:t>
      </w:r>
      <w:r w:rsidRPr="00AF1DC8">
        <w:rPr>
          <w:rStyle w:val="ac"/>
          <w:rFonts w:ascii="Narkisim" w:hAnsi="Narkisim"/>
          <w:rtl/>
        </w:rPr>
        <w:footnoteReference w:id="2632"/>
      </w:r>
      <w:r w:rsidRPr="00AF1DC8">
        <w:rPr>
          <w:rFonts w:ascii="Narkisim" w:hAnsi="Narkisim"/>
        </w:rPr>
        <w:t>.</w:t>
      </w:r>
    </w:p>
    <w:p w14:paraId="44FFC1A1"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(חזו"א) דנו דבסוגיין (בע"ב) מבואר דהנידון האם הולד ממזר או כשר תליא האם ילפי' מאשת אב, ואילו מדברי ה</w:t>
      </w:r>
      <w:r w:rsidRPr="00AF1DC8">
        <w:rPr>
          <w:rFonts w:ascii="Narkisim" w:hAnsi="Narkisim" w:cs="Narkisim"/>
          <w:b/>
          <w:bCs/>
          <w:rtl/>
        </w:rPr>
        <w:t>תוס</w:t>
      </w:r>
      <w:r w:rsidRPr="00AF1DC8">
        <w:rPr>
          <w:rFonts w:ascii="Narkisim" w:hAnsi="Narkisim" w:cs="Narkisim"/>
          <w:rtl/>
        </w:rPr>
        <w:t>' (כג.) משמע דהטעם דאינו ממזר משום דשדינן בתריה, ואין ממזרות לעכו"ם</w:t>
      </w:r>
      <w:r w:rsidRPr="00AF1DC8">
        <w:rPr>
          <w:rStyle w:val="ac"/>
          <w:rFonts w:ascii="Narkisim" w:hAnsi="Narkisim" w:cs="Narkisim"/>
          <w:rtl/>
        </w:rPr>
        <w:footnoteReference w:id="2633"/>
      </w:r>
      <w:r w:rsidRPr="00AF1DC8">
        <w:rPr>
          <w:rFonts w:ascii="Narkisim" w:hAnsi="Narkisim" w:cs="Narkisim"/>
        </w:rPr>
        <w:t xml:space="preserve">. </w:t>
      </w:r>
      <w:r w:rsidRPr="00AF1DC8">
        <w:rPr>
          <w:rFonts w:ascii="Narkisim" w:hAnsi="Narkisim" w:cs="Narkisim"/>
          <w:rtl/>
        </w:rPr>
        <w:t>ואמאי צריך לטעם דדומיא דאשת אב</w:t>
      </w:r>
      <w:r w:rsidRPr="00AF1DC8">
        <w:rPr>
          <w:rFonts w:ascii="Narkisim" w:hAnsi="Narkisim" w:cs="Narkisim"/>
        </w:rPr>
        <w:t>.</w:t>
      </w:r>
    </w:p>
    <w:p w14:paraId="22B423FE" w14:textId="77777777" w:rsidR="006074A5" w:rsidRPr="00AF1DC8" w:rsidRDefault="006074A5" w:rsidP="006074A5">
      <w:pPr>
        <w:pStyle w:val="a7"/>
        <w:bidi/>
        <w:rPr>
          <w:rFonts w:ascii="Narkisim" w:hAnsi="Narkisim"/>
        </w:rPr>
      </w:pPr>
      <w:r w:rsidRPr="00AF1DC8">
        <w:rPr>
          <w:rFonts w:ascii="Narkisim" w:hAnsi="Narkisim"/>
          <w:rtl/>
        </w:rPr>
        <w:t>ויש שתי' דסוגיין</w:t>
      </w:r>
      <w:r w:rsidRPr="00AF1DC8">
        <w:rPr>
          <w:rStyle w:val="ac"/>
          <w:rFonts w:ascii="Narkisim" w:hAnsi="Narkisim"/>
          <w:rtl/>
        </w:rPr>
        <w:footnoteReference w:id="2634"/>
      </w:r>
      <w:r w:rsidRPr="00AF1DC8">
        <w:rPr>
          <w:rFonts w:ascii="Narkisim" w:hAnsi="Narkisim"/>
        </w:rPr>
        <w:t xml:space="preserve"> </w:t>
      </w:r>
      <w:r w:rsidRPr="00AF1DC8">
        <w:rPr>
          <w:rFonts w:ascii="Narkisim" w:hAnsi="Narkisim"/>
          <w:rtl/>
        </w:rPr>
        <w:t>קאי כמ"ד דהולד ישראל פסול [ואי"צ גירות], ואף דמתייחס אחריו לא הוה ממזר. ואילו סוגיה דלעיל קאי כמ"ד דיש סיבת ממזרות, ואפ"ה בעכו"ם אינו אוסר. וע"ע חי' ר' ראובן שהעמיד כמה מהלכים בסוגיין</w:t>
      </w:r>
      <w:r w:rsidRPr="00AF1DC8">
        <w:rPr>
          <w:rFonts w:ascii="Narkisim" w:hAnsi="Narkisim"/>
        </w:rPr>
        <w:t>.</w:t>
      </w:r>
    </w:p>
    <w:p w14:paraId="73D58D54"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או"ש</w:t>
      </w:r>
      <w:r w:rsidRPr="00AF1DC8">
        <w:rPr>
          <w:rFonts w:ascii="Narkisim" w:hAnsi="Narkisim"/>
          <w:rtl/>
        </w:rPr>
        <w:t xml:space="preserve"> כת' דמ"ד (בע"ב) דמאשת איש הולד ממזר, ורק מפנויה הולד ממזר ס"ל דהולד אי"צ גירות. דאי משום דצריך גירות אין מקום לחלק בזה</w:t>
      </w:r>
      <w:r w:rsidRPr="00AF1DC8">
        <w:rPr>
          <w:rFonts w:ascii="Narkisim" w:hAnsi="Narkisim"/>
        </w:rPr>
        <w:t>.</w:t>
      </w:r>
    </w:p>
    <w:p w14:paraId="629BC959" w14:textId="77777777" w:rsidR="006074A5" w:rsidRPr="00AF1DC8" w:rsidRDefault="006074A5" w:rsidP="006074A5">
      <w:pPr>
        <w:bidi/>
        <w:rPr>
          <w:rFonts w:ascii="Narkisim" w:hAnsi="Narkisim" w:cs="Narkisim"/>
        </w:rPr>
      </w:pPr>
      <w:r w:rsidRPr="00AF1DC8">
        <w:rPr>
          <w:rFonts w:ascii="Narkisim" w:hAnsi="Narkisim" w:cs="Narkisim"/>
          <w:u w:val="single"/>
          <w:rtl/>
        </w:rPr>
        <w:t>ריב"ל אמר הולד מקולקל וכו' אלא לכהונה וכו' מק"ו מאלמנה 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אם תלד בת פסולה לכהונה. וע"ד הא דילפי' (לעיל מד: וכן טו: ולקמן עז.) לפסול את הולד מק"ו. [וע' מה שהובא לעיל אי קאי אבן או אבת]</w:t>
      </w:r>
      <w:r w:rsidRPr="00AF1DC8">
        <w:rPr>
          <w:rFonts w:ascii="Narkisim" w:hAnsi="Narkisim" w:cs="Narkisim"/>
        </w:rPr>
        <w:t>.</w:t>
      </w:r>
    </w:p>
    <w:p w14:paraId="0D8842A9"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הקשו לצד דבעי גירות, א"כ אמאי צריך ק"ו, הרי בלא"ה קי"ל (קידושין עז. ולקמן סא.) דגיורת אסורה לכהונה. </w:t>
      </w:r>
      <w:r w:rsidRPr="00AF1DC8">
        <w:rPr>
          <w:rFonts w:ascii="Narkisim" w:hAnsi="Narkisim" w:cs="Narkisim"/>
          <w:sz w:val="20"/>
          <w:szCs w:val="20"/>
          <w:rtl/>
        </w:rPr>
        <w:t>ועוה"ק ד</w:t>
      </w:r>
      <w:r w:rsidRPr="00AF1DC8">
        <w:rPr>
          <w:rFonts w:ascii="Narkisim" w:hAnsi="Narkisim" w:cs="Narkisim"/>
          <w:b/>
          <w:bCs/>
          <w:sz w:val="20"/>
          <w:szCs w:val="20"/>
          <w:rtl/>
        </w:rPr>
        <w:t>רש"י</w:t>
      </w:r>
      <w:r w:rsidRPr="00AF1DC8">
        <w:rPr>
          <w:rFonts w:ascii="Narkisim" w:hAnsi="Narkisim" w:cs="Narkisim"/>
          <w:sz w:val="20"/>
          <w:szCs w:val="20"/>
          <w:rtl/>
        </w:rPr>
        <w:t xml:space="preserve"> (ד"ה בת מינך) כתב דאסור בממזרת, וה</w:t>
      </w:r>
      <w:r w:rsidRPr="00AF1DC8">
        <w:rPr>
          <w:rFonts w:ascii="Narkisim" w:hAnsi="Narkisim" w:cs="Narkisim"/>
          <w:b/>
          <w:bCs/>
          <w:sz w:val="20"/>
          <w:szCs w:val="20"/>
          <w:rtl/>
        </w:rPr>
        <w:t>אחרונים</w:t>
      </w:r>
      <w:r w:rsidRPr="00AF1DC8">
        <w:rPr>
          <w:rFonts w:ascii="Narkisim" w:hAnsi="Narkisim" w:cs="Narkisim"/>
          <w:sz w:val="20"/>
          <w:szCs w:val="20"/>
          <w:rtl/>
        </w:rPr>
        <w:t xml:space="preserve"> הק' דגר נושא ממזרת</w:t>
      </w:r>
      <w:r w:rsidRPr="00AF1DC8">
        <w:rPr>
          <w:rFonts w:ascii="Narkisim" w:hAnsi="Narkisim" w:cs="Narkisim"/>
          <w:sz w:val="20"/>
          <w:szCs w:val="20"/>
        </w:rPr>
        <w:t>.</w:t>
      </w:r>
    </w:p>
    <w:p w14:paraId="3F721361"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נתיבות</w:t>
      </w:r>
      <w:r w:rsidRPr="00AF1DC8">
        <w:rPr>
          <w:rFonts w:ascii="Narkisim" w:hAnsi="Narkisim"/>
          <w:rtl/>
        </w:rPr>
        <w:t xml:space="preserve"> (בשו"ת חמד"ש ב) תי' דאף דצריך גירות [משום דשדינן בתר אביו], מ"מ אחרי הגירות שדינן ליה בתר אימיה</w:t>
      </w:r>
      <w:r w:rsidRPr="00AF1DC8">
        <w:rPr>
          <w:rStyle w:val="ac"/>
          <w:rFonts w:ascii="Narkisim" w:hAnsi="Narkisim"/>
          <w:rtl/>
        </w:rPr>
        <w:footnoteReference w:id="2635"/>
      </w:r>
      <w:r w:rsidRPr="00AF1DC8">
        <w:rPr>
          <w:rFonts w:ascii="Narkisim" w:hAnsi="Narkisim"/>
        </w:rPr>
        <w:t xml:space="preserve">, </w:t>
      </w:r>
      <w:r w:rsidRPr="00AF1DC8">
        <w:rPr>
          <w:rFonts w:ascii="Narkisim" w:hAnsi="Narkisim"/>
          <w:rtl/>
        </w:rPr>
        <w:t>ונחשב כישראל גמור ולא כגר. וה</w:t>
      </w:r>
      <w:r w:rsidRPr="00AF1DC8">
        <w:rPr>
          <w:rFonts w:ascii="Narkisim" w:hAnsi="Narkisim"/>
          <w:b/>
          <w:bCs/>
          <w:rtl/>
        </w:rPr>
        <w:t>גרנ"ט</w:t>
      </w:r>
      <w:r w:rsidRPr="00AF1DC8">
        <w:rPr>
          <w:rFonts w:ascii="Narkisim" w:hAnsi="Narkisim"/>
          <w:rtl/>
        </w:rPr>
        <w:t xml:space="preserve"> (יא) כת' דכיון דנולד מאמו ישראלית שייך למשפחת ישראל [ונחשב קהל]. ואף דאין בו קדושת ישראל וצריך גירות, לאחר שנתגייר יש עליו שם ישראל גמור [ואין עליו שם גר]</w:t>
      </w:r>
      <w:r w:rsidRPr="00AF1DC8">
        <w:rPr>
          <w:rFonts w:ascii="Narkisim" w:hAnsi="Narkisim"/>
        </w:rPr>
        <w:t>.</w:t>
      </w:r>
    </w:p>
    <w:p w14:paraId="165E3CBE" w14:textId="77777777" w:rsidR="006074A5" w:rsidRPr="00AF1DC8" w:rsidRDefault="006074A5" w:rsidP="006074A5">
      <w:pPr>
        <w:bidi/>
        <w:rPr>
          <w:rFonts w:ascii="Narkisim" w:hAnsi="Narkisim" w:cs="Narkisim"/>
        </w:rPr>
      </w:pPr>
      <w:r w:rsidRPr="00AF1DC8">
        <w:rPr>
          <w:rFonts w:ascii="Narkisim" w:hAnsi="Narkisim" w:cs="Narkisim"/>
          <w:u w:val="single"/>
          <w:rtl/>
        </w:rPr>
        <w:t>שם. מק"ו מאלמנה וכו' זו שאיסורה שווה בכל וכו'</w:t>
      </w:r>
      <w:r w:rsidRPr="00AF1DC8">
        <w:rPr>
          <w:rFonts w:ascii="Narkisim" w:hAnsi="Narkisim" w:cs="Narkisim"/>
          <w:rtl/>
        </w:rPr>
        <w:t>. ו</w:t>
      </w:r>
      <w:r w:rsidRPr="00AF1DC8">
        <w:rPr>
          <w:rFonts w:ascii="Narkisim" w:hAnsi="Narkisim" w:cs="Narkisim"/>
          <w:b/>
          <w:bCs/>
          <w:rtl/>
        </w:rPr>
        <w:t>רע"א</w:t>
      </w:r>
      <w:r w:rsidRPr="00AF1DC8">
        <w:rPr>
          <w:rFonts w:ascii="Narkisim" w:hAnsi="Narkisim" w:cs="Narkisim"/>
          <w:rtl/>
        </w:rPr>
        <w:t xml:space="preserve"> הקשה דע”פ מש”כ </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(לעיל טז:</w:t>
      </w:r>
      <w:r w:rsidRPr="00AF1DC8">
        <w:rPr>
          <w:rFonts w:ascii="Narkisim" w:hAnsi="Narkisim" w:cs="Narkisim"/>
          <w:rtl/>
        </w:rPr>
        <w:t xml:space="preserve"> </w:t>
      </w:r>
      <w:r w:rsidRPr="00AF1DC8">
        <w:rPr>
          <w:rFonts w:ascii="Narkisim" w:hAnsi="Narkisim" w:cs="Narkisim"/>
          <w:sz w:val="20"/>
          <w:szCs w:val="20"/>
          <w:rtl/>
        </w:rPr>
        <w:t>ד“ה קסבר, ורמזו לזה בסוגיין ד"ה יצאו)</w:t>
      </w:r>
      <w:r w:rsidRPr="00AF1DC8">
        <w:rPr>
          <w:rFonts w:ascii="Narkisim" w:hAnsi="Narkisim" w:cs="Narkisim"/>
          <w:rtl/>
        </w:rPr>
        <w:t xml:space="preserve"> דבעכו"ם מדאורייתא ביאת היתר הוה, אלא דממזרות תליא בתפיסת קידושין</w:t>
      </w:r>
      <w:r w:rsidRPr="00AF1DC8">
        <w:rPr>
          <w:rFonts w:ascii="Narkisim" w:hAnsi="Narkisim" w:cs="Narkisim"/>
          <w:sz w:val="20"/>
          <w:szCs w:val="20"/>
          <w:rtl/>
        </w:rPr>
        <w:t xml:space="preserve"> [וע' לעיל טז: תי' הראשונים על קושיה זו]</w:t>
      </w:r>
      <w:r w:rsidRPr="00AF1DC8">
        <w:rPr>
          <w:rFonts w:ascii="Narkisim" w:hAnsi="Narkisim" w:cs="Narkisim"/>
          <w:rtl/>
        </w:rPr>
        <w:t>, א"כ לא שייך למילף מק"ו לפסול לכהונה [מדאורייתא], וכוונת הגמ' ללמוד גבי עבד [דהוה איסור דאורייתא</w:t>
      </w:r>
      <w:r w:rsidRPr="00AF1DC8">
        <w:rPr>
          <w:rStyle w:val="ac"/>
          <w:rFonts w:ascii="Narkisim" w:hAnsi="Narkisim" w:cs="Narkisim"/>
          <w:rtl/>
        </w:rPr>
        <w:footnoteReference w:id="2636"/>
      </w:r>
      <w:r w:rsidRPr="00AF1DC8">
        <w:rPr>
          <w:rFonts w:ascii="Narkisim" w:hAnsi="Narkisim" w:cs="Narkisim"/>
          <w:rtl/>
        </w:rPr>
        <w:t>], ומזה למדו אסמכתא אף גבי עכו"ם. אבל בעכו"ם [אף לרא"ש] הוה דרבנן</w:t>
      </w:r>
      <w:r w:rsidRPr="00AF1DC8">
        <w:rPr>
          <w:rFonts w:ascii="Narkisim" w:hAnsi="Narkisim" w:cs="Narkisim"/>
        </w:rPr>
        <w:t>.</w:t>
      </w:r>
    </w:p>
    <w:p w14:paraId="384D09F5" w14:textId="77777777" w:rsidR="006074A5" w:rsidRPr="00AF1DC8" w:rsidRDefault="006074A5" w:rsidP="006074A5">
      <w:pPr>
        <w:bidi/>
        <w:rPr>
          <w:rFonts w:ascii="Narkisim" w:hAnsi="Narkisim" w:cs="Narkisim"/>
        </w:rPr>
      </w:pPr>
      <w:r w:rsidRPr="00AF1DC8">
        <w:rPr>
          <w:rFonts w:ascii="Narkisim" w:hAnsi="Narkisim" w:cs="Narkisim"/>
          <w:u w:val="single"/>
          <w:rtl/>
        </w:rPr>
        <w:t>שם. דכולהו אמוראי דמכשרי מודו דהולד פגום לכהונה</w:t>
      </w:r>
      <w:r w:rsidRPr="00AF1DC8">
        <w:rPr>
          <w:rFonts w:ascii="Narkisim" w:hAnsi="Narkisim" w:cs="Narkisim"/>
          <w:rtl/>
        </w:rPr>
        <w:t>. ה</w:t>
      </w:r>
      <w:r w:rsidRPr="00AF1DC8">
        <w:rPr>
          <w:rFonts w:ascii="Narkisim" w:hAnsi="Narkisim" w:cs="Narkisim"/>
          <w:b/>
          <w:bCs/>
          <w:rtl/>
        </w:rPr>
        <w:t>רי"ף</w:t>
      </w:r>
      <w:r w:rsidRPr="00AF1DC8">
        <w:rPr>
          <w:rFonts w:ascii="Narkisim" w:hAnsi="Narkisim" w:cs="Narkisim"/>
          <w:rtl/>
        </w:rPr>
        <w:t xml:space="preserve"> נסתפק אי קי"ל דהולד פגום לכהונה</w:t>
      </w:r>
      <w:r w:rsidRPr="00AF1DC8">
        <w:rPr>
          <w:rStyle w:val="ac"/>
          <w:rFonts w:ascii="Narkisim" w:hAnsi="Narkisim" w:cs="Narkisim"/>
          <w:rtl/>
        </w:rPr>
        <w:footnoteReference w:id="2637"/>
      </w:r>
      <w:r w:rsidRPr="00AF1DC8">
        <w:rPr>
          <w:rFonts w:ascii="Narkisim" w:hAnsi="Narkisim" w:cs="Narkisim"/>
        </w:rPr>
        <w:t xml:space="preserve">, </w:t>
      </w:r>
      <w:r w:rsidRPr="00AF1DC8">
        <w:rPr>
          <w:rFonts w:ascii="Narkisim" w:hAnsi="Narkisim" w:cs="Narkisim"/>
          <w:rtl/>
        </w:rPr>
        <w:t>דסתימת הגמ' (בסוף הסוגיא בע"ב) דהולד כשר, ולא הוזכר דפסול לכהונה. וה</w:t>
      </w:r>
      <w:r w:rsidRPr="00AF1DC8">
        <w:rPr>
          <w:rFonts w:ascii="Narkisim" w:hAnsi="Narkisim" w:cs="Narkisim"/>
          <w:b/>
          <w:bCs/>
          <w:rtl/>
        </w:rPr>
        <w:t>ראב"ד</w:t>
      </w:r>
      <w:r w:rsidRPr="00AF1DC8">
        <w:rPr>
          <w:rFonts w:ascii="Narkisim" w:hAnsi="Narkisim" w:cs="Narkisim"/>
          <w:rtl/>
        </w:rPr>
        <w:t xml:space="preserve"> (בהשגות לרי"ף) וכן ה</w:t>
      </w:r>
      <w:r w:rsidRPr="00AF1DC8">
        <w:rPr>
          <w:rFonts w:ascii="Narkisim" w:hAnsi="Narkisim" w:cs="Narkisim"/>
          <w:b/>
          <w:bCs/>
          <w:rtl/>
        </w:rPr>
        <w:t>רא"ש</w:t>
      </w:r>
      <w:r w:rsidRPr="00AF1DC8">
        <w:rPr>
          <w:rFonts w:ascii="Narkisim" w:hAnsi="Narkisim" w:cs="Narkisim"/>
          <w:rtl/>
        </w:rPr>
        <w:t xml:space="preserve"> (ל) תמהו דלמסקנא ילפי' דפסול משום ק"ו דאלמנה </w:t>
      </w:r>
      <w:r w:rsidRPr="00AF1DC8">
        <w:rPr>
          <w:rFonts w:ascii="Narkisim" w:hAnsi="Narkisim" w:cs="Narkisim"/>
          <w:rtl/>
        </w:rPr>
        <w:lastRenderedPageBreak/>
        <w:t>לכה"ג. ודייקו לשון הגמ' דכולהו מודו, וליכא מאן דפליג</w:t>
      </w:r>
      <w:r w:rsidRPr="00AF1DC8">
        <w:rPr>
          <w:rStyle w:val="ac"/>
          <w:rFonts w:ascii="Narkisim" w:hAnsi="Narkisim" w:cs="Narkisim"/>
          <w:rtl/>
        </w:rPr>
        <w:footnoteReference w:id="2638"/>
      </w:r>
      <w:r w:rsidRPr="00AF1DC8">
        <w:rPr>
          <w:rFonts w:ascii="Narkisim" w:hAnsi="Narkisim" w:cs="Narkisim"/>
        </w:rPr>
        <w:t>.</w:t>
      </w:r>
    </w:p>
    <w:p w14:paraId="7E83DA0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w:t>
      </w:r>
      <w:r w:rsidRPr="00AF1DC8">
        <w:rPr>
          <w:rFonts w:ascii="Narkisim" w:hAnsi="Narkisim"/>
          <w:sz w:val="20"/>
          <w:szCs w:val="20"/>
          <w:rtl/>
        </w:rPr>
        <w:t xml:space="preserve">(ספר הזכות, ובחי', וכן הרשב"א וריטב"א) </w:t>
      </w:r>
      <w:r w:rsidRPr="00AF1DC8">
        <w:rPr>
          <w:rFonts w:ascii="Narkisim" w:hAnsi="Narkisim"/>
          <w:rtl/>
        </w:rPr>
        <w:t>הביא דמשמע בסוגיין דמותרת אף לכהן, דנקטו הלשון סתם מורה היתירא. וכן א”ל זיל איטמר, ולא חשש שיבא תקלה</w:t>
      </w:r>
      <w:r w:rsidRPr="00AF1DC8">
        <w:rPr>
          <w:rStyle w:val="ac"/>
          <w:rFonts w:ascii="Narkisim" w:hAnsi="Narkisim"/>
          <w:rtl/>
        </w:rPr>
        <w:footnoteReference w:id="2639"/>
      </w:r>
      <w:r w:rsidRPr="00AF1DC8">
        <w:rPr>
          <w:rFonts w:ascii="Narkisim" w:hAnsi="Narkisim"/>
        </w:rPr>
        <w:t xml:space="preserve"> </w:t>
      </w:r>
      <w:r w:rsidRPr="00AF1DC8">
        <w:rPr>
          <w:rFonts w:ascii="Narkisim" w:hAnsi="Narkisim"/>
          <w:rtl/>
        </w:rPr>
        <w:t>שבתו תנשא לכהונה</w:t>
      </w:r>
      <w:r w:rsidRPr="00AF1DC8">
        <w:rPr>
          <w:rStyle w:val="ac"/>
          <w:rFonts w:ascii="Narkisim" w:hAnsi="Narkisim"/>
          <w:rtl/>
        </w:rPr>
        <w:footnoteReference w:id="2640"/>
      </w:r>
      <w:r w:rsidRPr="00AF1DC8">
        <w:rPr>
          <w:rFonts w:ascii="Narkisim" w:hAnsi="Narkisim"/>
        </w:rPr>
        <w:t xml:space="preserve">. </w:t>
      </w:r>
      <w:r w:rsidRPr="00AF1DC8">
        <w:rPr>
          <w:rFonts w:ascii="Narkisim" w:hAnsi="Narkisim"/>
          <w:rtl/>
        </w:rPr>
        <w:t>ועוד הביא ה</w:t>
      </w:r>
      <w:r w:rsidRPr="00AF1DC8">
        <w:rPr>
          <w:rFonts w:ascii="Narkisim" w:hAnsi="Narkisim"/>
          <w:b/>
          <w:bCs/>
          <w:rtl/>
        </w:rPr>
        <w:t>רשב”א</w:t>
      </w:r>
      <w:r w:rsidRPr="00AF1DC8">
        <w:rPr>
          <w:rFonts w:ascii="Narkisim" w:hAnsi="Narkisim"/>
          <w:rtl/>
        </w:rPr>
        <w:t xml:space="preserve"> מהגמ' (בסמוך) גבי רב, דהול"ל דלא ניח"ל שיתערב פסול כהונה בזרעי</w:t>
      </w:r>
      <w:r w:rsidRPr="00AF1DC8">
        <w:rPr>
          <w:rFonts w:ascii="Narkisim" w:hAnsi="Narkisim"/>
        </w:rPr>
        <w:t>.</w:t>
      </w:r>
    </w:p>
    <w:p w14:paraId="235089E7"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דבגמ' (בכורות מז.) הו' מח' אי מזהמין את הולד, וה</w:t>
      </w:r>
      <w:r w:rsidRPr="00AF1DC8">
        <w:rPr>
          <w:rFonts w:ascii="Narkisim" w:hAnsi="Narkisim"/>
          <w:b/>
          <w:bCs/>
          <w:rtl/>
        </w:rPr>
        <w:t>רמב"ן</w:t>
      </w:r>
      <w:r w:rsidRPr="00AF1DC8">
        <w:rPr>
          <w:rFonts w:ascii="Narkisim" w:hAnsi="Narkisim"/>
          <w:rtl/>
        </w:rPr>
        <w:t xml:space="preserve"> פי' דהיינו לפסול לכהונה</w:t>
      </w:r>
      <w:r w:rsidRPr="00AF1DC8">
        <w:rPr>
          <w:rStyle w:val="ac"/>
          <w:rFonts w:ascii="Narkisim" w:hAnsi="Narkisim"/>
          <w:rtl/>
        </w:rPr>
        <w:footnoteReference w:id="2641"/>
      </w:r>
      <w:r w:rsidRPr="00AF1DC8">
        <w:rPr>
          <w:rFonts w:ascii="Narkisim" w:hAnsi="Narkisim"/>
        </w:rPr>
        <w:t xml:space="preserve">. </w:t>
      </w:r>
      <w:r w:rsidRPr="00AF1DC8">
        <w:rPr>
          <w:rFonts w:ascii="Narkisim" w:hAnsi="Narkisim"/>
          <w:rtl/>
        </w:rPr>
        <w:t>ולא אשכחן בגמ' פסק הלכה אי הוה מזוהם. הילכך ספיקא הוה</w:t>
      </w:r>
      <w:r w:rsidRPr="00AF1DC8">
        <w:rPr>
          <w:rFonts w:ascii="Narkisim" w:hAnsi="Narkisim"/>
        </w:rPr>
        <w:t>.</w:t>
      </w:r>
    </w:p>
    <w:p w14:paraId="63C7157E"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סיים דאסורה לכהן, ואם נשאת לכהן לא תצא. והולד ספק חלל</w:t>
      </w:r>
      <w:r w:rsidRPr="00AF1DC8">
        <w:rPr>
          <w:rStyle w:val="ac"/>
          <w:rFonts w:ascii="Narkisim" w:hAnsi="Narkisim"/>
          <w:rtl/>
        </w:rPr>
        <w:footnoteReference w:id="2642"/>
      </w:r>
      <w:r w:rsidRPr="00AF1DC8">
        <w:rPr>
          <w:rFonts w:ascii="Narkisim" w:hAnsi="Narkisim"/>
        </w:rPr>
        <w:t xml:space="preserve">. </w:t>
      </w:r>
      <w:r w:rsidRPr="00AF1DC8">
        <w:rPr>
          <w:rFonts w:ascii="Narkisim" w:hAnsi="Narkisim"/>
          <w:rtl/>
        </w:rPr>
        <w:t>וה</w:t>
      </w:r>
      <w:r w:rsidRPr="00AF1DC8">
        <w:rPr>
          <w:rFonts w:ascii="Narkisim" w:hAnsi="Narkisim"/>
          <w:b/>
          <w:bCs/>
          <w:rtl/>
        </w:rPr>
        <w:t>פוסקים</w:t>
      </w:r>
      <w:r w:rsidRPr="00AF1DC8">
        <w:rPr>
          <w:rFonts w:ascii="Narkisim" w:hAnsi="Narkisim"/>
          <w:rtl/>
        </w:rPr>
        <w:t xml:space="preserve"> תמהו כיון דהוה איסור דאורייתא אמאי לא תצא מספק</w:t>
      </w:r>
      <w:r w:rsidRPr="00AF1DC8">
        <w:rPr>
          <w:rStyle w:val="ac"/>
          <w:rFonts w:ascii="Narkisim" w:hAnsi="Narkisim"/>
          <w:rtl/>
        </w:rPr>
        <w:footnoteReference w:id="2643"/>
      </w:r>
      <w:r w:rsidRPr="00AF1DC8">
        <w:rPr>
          <w:rFonts w:ascii="Narkisim" w:hAnsi="Narkisim"/>
        </w:rPr>
        <w:t xml:space="preserve">. </w:t>
      </w:r>
      <w:r w:rsidRPr="00AF1DC8">
        <w:rPr>
          <w:rFonts w:ascii="Narkisim" w:hAnsi="Narkisim"/>
          <w:rtl/>
        </w:rPr>
        <w:t>וה</w:t>
      </w:r>
      <w:r w:rsidRPr="00AF1DC8">
        <w:rPr>
          <w:rFonts w:ascii="Narkisim" w:hAnsi="Narkisim"/>
          <w:b/>
          <w:bCs/>
          <w:rtl/>
        </w:rPr>
        <w:t>יש”ש</w:t>
      </w:r>
      <w:r w:rsidRPr="00AF1DC8">
        <w:rPr>
          <w:rFonts w:ascii="Narkisim" w:hAnsi="Narkisim"/>
          <w:rtl/>
        </w:rPr>
        <w:t xml:space="preserve"> הוכיח דאף למאן דאסר הוה רק איסור דרבנן</w:t>
      </w:r>
      <w:r w:rsidRPr="00AF1DC8">
        <w:rPr>
          <w:rStyle w:val="ac"/>
          <w:rFonts w:ascii="Narkisim" w:hAnsi="Narkisim"/>
          <w:rtl/>
        </w:rPr>
        <w:footnoteReference w:id="2644"/>
      </w:r>
      <w:r w:rsidRPr="00AF1DC8">
        <w:rPr>
          <w:rFonts w:ascii="Narkisim" w:hAnsi="Narkisim"/>
        </w:rPr>
        <w:t xml:space="preserve">. </w:t>
      </w:r>
      <w:r w:rsidRPr="00AF1DC8">
        <w:rPr>
          <w:rFonts w:ascii="Narkisim" w:hAnsi="Narkisim"/>
          <w:rtl/>
        </w:rPr>
        <w:t>וכ”כ ה</w:t>
      </w:r>
      <w:r w:rsidRPr="00AF1DC8">
        <w:rPr>
          <w:rFonts w:ascii="Narkisim" w:hAnsi="Narkisim"/>
          <w:b/>
          <w:bCs/>
          <w:rtl/>
        </w:rPr>
        <w:t>בי”מ</w:t>
      </w:r>
      <w:r w:rsidRPr="00AF1DC8">
        <w:rPr>
          <w:rFonts w:ascii="Narkisim" w:hAnsi="Narkisim"/>
        </w:rPr>
        <w:t>.</w:t>
      </w:r>
    </w:p>
    <w:p w14:paraId="679073EA"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ראב"ד</w:t>
      </w:r>
      <w:r w:rsidRPr="00AF1DC8">
        <w:rPr>
          <w:rFonts w:ascii="Narkisim" w:hAnsi="Narkisim"/>
          <w:rtl/>
        </w:rPr>
        <w:t xml:space="preserve"> (על הרי"ף) הוכיח דהולד פסול, דהא לענין כהונה בעינן זרעו מיוחס אחריו [וכדאי' לקמן ק:]. וה</w:t>
      </w:r>
      <w:r w:rsidRPr="00AF1DC8">
        <w:rPr>
          <w:rFonts w:ascii="Narkisim" w:hAnsi="Narkisim"/>
          <w:b/>
          <w:bCs/>
          <w:rtl/>
        </w:rPr>
        <w:t>רמב"ן</w:t>
      </w:r>
      <w:r w:rsidRPr="00AF1DC8">
        <w:rPr>
          <w:rFonts w:ascii="Narkisim" w:hAnsi="Narkisim"/>
          <w:rtl/>
        </w:rPr>
        <w:t xml:space="preserve"> חלק דהתם מדרבנן, ועוד דהתם פסול רק לענין עבודה, ולא נחשב פגום. וה</w:t>
      </w:r>
      <w:r w:rsidRPr="00AF1DC8">
        <w:rPr>
          <w:rFonts w:ascii="Narkisim" w:hAnsi="Narkisim"/>
          <w:b/>
          <w:bCs/>
          <w:rtl/>
        </w:rPr>
        <w:t>ברכ"ש</w:t>
      </w:r>
      <w:r w:rsidRPr="00AF1DC8">
        <w:rPr>
          <w:rFonts w:ascii="Narkisim" w:hAnsi="Narkisim"/>
          <w:rtl/>
        </w:rPr>
        <w:t xml:space="preserve"> (יז) פי' [כוונת הראב"ד] דעיקר הפסול זרעו מיוחס אחריו הוה מדאורייתא, דהיכא דיש פגם ביחס לאביו אף מדאורייתא פסול לכהונה. ועפ"ז גזרו חכמים דאף היכא דמספק לא ידעינן מי אביו (לקמן ק:). אך יסוד הפסול מדאוריירתא, ואף גדר הק"ו דנחשב שיש פסול ביחוס, ומש”ה נחשב פגום לכהונה. [ולא ילפינן 'חלות פסול']</w:t>
      </w:r>
      <w:r w:rsidRPr="00AF1DC8">
        <w:rPr>
          <w:rFonts w:ascii="Narkisim" w:hAnsi="Narkisim"/>
        </w:rPr>
        <w:t>.</w:t>
      </w:r>
    </w:p>
    <w:p w14:paraId="2BBBBC7D"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וה</w:t>
      </w:r>
      <w:r w:rsidRPr="00AF1DC8">
        <w:rPr>
          <w:rFonts w:ascii="Narkisim" w:hAnsi="Narkisim" w:cs="Narkisim"/>
          <w:b/>
          <w:bCs/>
          <w:rtl/>
        </w:rPr>
        <w:t>רא"ש</w:t>
      </w:r>
      <w:r w:rsidRPr="00AF1DC8">
        <w:rPr>
          <w:rFonts w:ascii="Narkisim" w:hAnsi="Narkisim" w:cs="Narkisim"/>
          <w:rtl/>
        </w:rPr>
        <w:t xml:space="preserve"> הק' דליכא פירכא על הק"ו, וליכא מאן דפליג. וה</w:t>
      </w:r>
      <w:r w:rsidRPr="00AF1DC8">
        <w:rPr>
          <w:rFonts w:ascii="Narkisim" w:hAnsi="Narkisim" w:cs="Narkisim"/>
          <w:b/>
          <w:bCs/>
          <w:rtl/>
        </w:rPr>
        <w:t>רמב"ן</w:t>
      </w:r>
      <w:r w:rsidRPr="00AF1DC8">
        <w:rPr>
          <w:rFonts w:ascii="Narkisim" w:hAnsi="Narkisim" w:cs="Narkisim"/>
          <w:rtl/>
        </w:rPr>
        <w:t xml:space="preserve"> (מה:) ו</w:t>
      </w:r>
      <w:r w:rsidRPr="00AF1DC8">
        <w:rPr>
          <w:rFonts w:ascii="Narkisim" w:hAnsi="Narkisim" w:cs="Narkisim"/>
          <w:b/>
          <w:bCs/>
          <w:rtl/>
        </w:rPr>
        <w:t>ריטב"א</w:t>
      </w:r>
      <w:r w:rsidRPr="00AF1DC8">
        <w:rPr>
          <w:rFonts w:ascii="Narkisim" w:hAnsi="Narkisim" w:cs="Narkisim"/>
          <w:rtl/>
        </w:rPr>
        <w:t xml:space="preserve"> תי' דעכו"ם ועבד אינו מיוחס אחריו</w:t>
      </w:r>
      <w:r w:rsidRPr="00AF1DC8">
        <w:rPr>
          <w:rStyle w:val="ac"/>
          <w:rFonts w:ascii="Narkisim" w:hAnsi="Narkisim" w:cs="Narkisim"/>
          <w:rtl/>
        </w:rPr>
        <w:footnoteReference w:id="2645"/>
      </w:r>
      <w:r w:rsidRPr="00AF1DC8">
        <w:rPr>
          <w:rFonts w:ascii="Narkisim" w:hAnsi="Narkisim" w:cs="Narkisim"/>
        </w:rPr>
        <w:t xml:space="preserve">, </w:t>
      </w:r>
      <w:r w:rsidRPr="00AF1DC8">
        <w:rPr>
          <w:rFonts w:ascii="Narkisim" w:hAnsi="Narkisim" w:cs="Narkisim"/>
          <w:rtl/>
        </w:rPr>
        <w:t>ומש”ה הולד אינו נפסל לכהונה</w:t>
      </w:r>
      <w:r w:rsidRPr="00AF1DC8">
        <w:rPr>
          <w:rStyle w:val="ac"/>
          <w:rFonts w:ascii="Narkisim" w:hAnsi="Narkisim" w:cs="Narkisim"/>
          <w:rtl/>
        </w:rPr>
        <w:footnoteReference w:id="2646"/>
      </w:r>
      <w:r w:rsidRPr="00AF1DC8">
        <w:rPr>
          <w:rFonts w:ascii="Narkisim" w:hAnsi="Narkisim" w:cs="Narkisim"/>
        </w:rPr>
        <w:t xml:space="preserve">. </w:t>
      </w:r>
      <w:r w:rsidRPr="00AF1DC8">
        <w:rPr>
          <w:rFonts w:ascii="Narkisim" w:hAnsi="Narkisim" w:cs="Narkisim"/>
          <w:sz w:val="20"/>
          <w:szCs w:val="20"/>
          <w:rtl/>
        </w:rPr>
        <w:t>[וע"ד הא דאמרי' (בע”ב) לגבי ממזרות]. ומבואר בדבריהם דהפסול כהונה נגרם מחמת היחס לאביו</w:t>
      </w:r>
      <w:r w:rsidRPr="00AF1DC8">
        <w:rPr>
          <w:rStyle w:val="ac"/>
          <w:rFonts w:ascii="Narkisim" w:hAnsi="Narkisim" w:cs="Narkisim"/>
          <w:sz w:val="20"/>
          <w:szCs w:val="20"/>
          <w:rtl/>
        </w:rPr>
        <w:footnoteReference w:id="2647"/>
      </w:r>
      <w:r w:rsidRPr="00AF1DC8">
        <w:rPr>
          <w:rFonts w:ascii="Narkisim" w:hAnsi="Narkisim" w:cs="Narkisim"/>
          <w:sz w:val="20"/>
          <w:szCs w:val="20"/>
        </w:rPr>
        <w:t xml:space="preserve">, </w:t>
      </w:r>
      <w:r w:rsidRPr="00AF1DC8">
        <w:rPr>
          <w:rFonts w:ascii="Narkisim" w:hAnsi="Narkisim" w:cs="Narkisim"/>
          <w:sz w:val="20"/>
          <w:szCs w:val="20"/>
          <w:rtl/>
        </w:rPr>
        <w:t>ולא מחמת ביאת האיסור</w:t>
      </w:r>
      <w:r w:rsidRPr="00AF1DC8">
        <w:rPr>
          <w:rFonts w:ascii="Narkisim" w:hAnsi="Narkisim" w:cs="Narkisim"/>
          <w:sz w:val="20"/>
          <w:szCs w:val="20"/>
        </w:rPr>
        <w:t>.</w:t>
      </w:r>
    </w:p>
    <w:p w14:paraId="5C3AD12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יש"ש</w:t>
      </w:r>
      <w:r w:rsidRPr="00AF1DC8">
        <w:rPr>
          <w:rFonts w:ascii="Narkisim" w:hAnsi="Narkisim"/>
          <w:rtl/>
        </w:rPr>
        <w:t xml:space="preserve"> (והו' בק"נ) תי' דיש פירכא, דהא כל חייבי לאוין אינם פוסלים את האשה מק"ו, וע"כ דאלמנה לכה"ג חמיר, ואף דאינו שווה בכל אינו סיבה להקל</w:t>
      </w:r>
      <w:r w:rsidRPr="00AF1DC8">
        <w:rPr>
          <w:rFonts w:ascii="Narkisim" w:hAnsi="Narkisim"/>
        </w:rPr>
        <w:t>.</w:t>
      </w:r>
    </w:p>
    <w:p w14:paraId="577621BA" w14:textId="77777777" w:rsidR="006074A5" w:rsidRPr="00AF1DC8" w:rsidRDefault="006074A5" w:rsidP="006074A5">
      <w:pPr>
        <w:pStyle w:val="a7"/>
        <w:bidi/>
        <w:rPr>
          <w:rFonts w:ascii="Narkisim" w:hAnsi="Narkisim"/>
        </w:rPr>
      </w:pPr>
      <w:r w:rsidRPr="00AF1DC8">
        <w:rPr>
          <w:rFonts w:ascii="Narkisim" w:hAnsi="Narkisim"/>
          <w:rtl/>
        </w:rPr>
        <w:t>ועוד כתב ה</w:t>
      </w:r>
      <w:r w:rsidRPr="00AF1DC8">
        <w:rPr>
          <w:rFonts w:ascii="Narkisim" w:hAnsi="Narkisim"/>
          <w:b/>
          <w:bCs/>
          <w:rtl/>
        </w:rPr>
        <w:t>בי"ש</w:t>
      </w:r>
      <w:r w:rsidRPr="00AF1DC8">
        <w:rPr>
          <w:rFonts w:ascii="Narkisim" w:hAnsi="Narkisim"/>
          <w:rtl/>
        </w:rPr>
        <w:t xml:space="preserve"> (ד ד) דאיכא למיפרך דגר עמוני יוכיח</w:t>
      </w:r>
      <w:r w:rsidRPr="00AF1DC8">
        <w:rPr>
          <w:rStyle w:val="ac"/>
          <w:rFonts w:ascii="Narkisim" w:hAnsi="Narkisim"/>
          <w:rtl/>
        </w:rPr>
        <w:footnoteReference w:id="2648"/>
      </w:r>
      <w:r w:rsidRPr="00AF1DC8">
        <w:rPr>
          <w:rFonts w:ascii="Narkisim" w:hAnsi="Narkisim"/>
          <w:sz w:val="20"/>
          <w:szCs w:val="20"/>
        </w:rPr>
        <w:t>.</w:t>
      </w:r>
      <w:r w:rsidRPr="00AF1DC8">
        <w:rPr>
          <w:rFonts w:ascii="Narkisim" w:hAnsi="Narkisim"/>
        </w:rPr>
        <w:t xml:space="preserve"> </w:t>
      </w:r>
      <w:r w:rsidRPr="00AF1DC8">
        <w:rPr>
          <w:rFonts w:ascii="Narkisim" w:hAnsi="Narkisim"/>
          <w:rtl/>
        </w:rPr>
        <w:t>וה</w:t>
      </w:r>
      <w:r w:rsidRPr="00AF1DC8">
        <w:rPr>
          <w:rFonts w:ascii="Narkisim" w:hAnsi="Narkisim"/>
          <w:b/>
          <w:bCs/>
          <w:rtl/>
        </w:rPr>
        <w:t>גר"א</w:t>
      </w:r>
      <w:r w:rsidRPr="00AF1DC8">
        <w:rPr>
          <w:rFonts w:ascii="Narkisim" w:hAnsi="Narkisim"/>
          <w:rtl/>
        </w:rPr>
        <w:t xml:space="preserve"> (ו כג) כת' דהפירכא משום דאין חללה אלא מאיסור כהונה</w:t>
      </w:r>
      <w:r w:rsidRPr="00AF1DC8">
        <w:rPr>
          <w:rFonts w:ascii="Narkisim" w:hAnsi="Narkisim"/>
        </w:rPr>
        <w:t>.</w:t>
      </w:r>
    </w:p>
    <w:p w14:paraId="69F8B9A1"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יש"ש</w:t>
      </w:r>
      <w:r w:rsidRPr="00AF1DC8">
        <w:rPr>
          <w:rFonts w:ascii="Narkisim" w:hAnsi="Narkisim"/>
          <w:rtl/>
        </w:rPr>
        <w:t xml:space="preserve"> כת' דאף למ"ד דיליף ק"ו בכל הסוגיה היינו מדרבנן [מהך פירכא], ואסמכתא בעלמא היא. [וכ"פ ה</w:t>
      </w:r>
      <w:r w:rsidRPr="00AF1DC8">
        <w:rPr>
          <w:rFonts w:ascii="Narkisim" w:hAnsi="Narkisim"/>
          <w:b/>
          <w:bCs/>
          <w:rtl/>
        </w:rPr>
        <w:t>בי"מ</w:t>
      </w:r>
      <w:r w:rsidRPr="00AF1DC8">
        <w:rPr>
          <w:rFonts w:ascii="Narkisim" w:hAnsi="Narkisim"/>
          <w:rtl/>
        </w:rPr>
        <w:t xml:space="preserve"> ד ה]</w:t>
      </w:r>
      <w:r w:rsidRPr="00AF1DC8">
        <w:rPr>
          <w:rFonts w:ascii="Narkisim" w:hAnsi="Narkisim"/>
        </w:rPr>
        <w:t>.</w:t>
      </w:r>
    </w:p>
    <w:p w14:paraId="05F64642" w14:textId="77777777" w:rsidR="006074A5" w:rsidRPr="00AF1DC8" w:rsidRDefault="006074A5" w:rsidP="006074A5">
      <w:pPr>
        <w:bidi/>
        <w:rPr>
          <w:rFonts w:ascii="Narkisim" w:hAnsi="Narkisim" w:cs="Narkisim"/>
        </w:rPr>
      </w:pPr>
      <w:r w:rsidRPr="00AF1DC8">
        <w:rPr>
          <w:rFonts w:ascii="Narkisim" w:hAnsi="Narkisim" w:cs="Narkisim"/>
          <w:u w:val="single"/>
          <w:rtl/>
        </w:rPr>
        <w:t>אי ניהוי כיהושע בן נון לא יהבנא וכו'.</w:t>
      </w:r>
      <w:r w:rsidRPr="00AF1DC8">
        <w:rPr>
          <w:rFonts w:ascii="Narkisim" w:hAnsi="Narkisim" w:cs="Narkisim"/>
          <w:rtl/>
        </w:rPr>
        <w:t xml:space="preserve"> ה</w:t>
      </w:r>
      <w:r w:rsidRPr="00AF1DC8">
        <w:rPr>
          <w:rFonts w:ascii="Narkisim" w:hAnsi="Narkisim" w:cs="Narkisim"/>
          <w:b/>
          <w:bCs/>
          <w:rtl/>
        </w:rPr>
        <w:t xml:space="preserve">ט"ז </w:t>
      </w:r>
      <w:r w:rsidRPr="00AF1DC8">
        <w:rPr>
          <w:rFonts w:ascii="Narkisim" w:hAnsi="Narkisim" w:cs="Narkisim"/>
          <w:sz w:val="20"/>
          <w:szCs w:val="20"/>
          <w:rtl/>
        </w:rPr>
        <w:t>(רסח י)</w:t>
      </w:r>
      <w:r w:rsidRPr="00AF1DC8">
        <w:rPr>
          <w:rFonts w:ascii="Narkisim" w:hAnsi="Narkisim" w:cs="Narkisim"/>
          <w:rtl/>
        </w:rPr>
        <w:t xml:space="preserve"> הביא מכאן</w:t>
      </w:r>
      <w:r w:rsidRPr="00AF1DC8">
        <w:rPr>
          <w:rStyle w:val="ac"/>
          <w:rFonts w:ascii="Narkisim" w:hAnsi="Narkisim" w:cs="Narkisim"/>
          <w:rtl/>
        </w:rPr>
        <w:footnoteReference w:id="2649"/>
      </w:r>
      <w:r w:rsidRPr="00AF1DC8">
        <w:rPr>
          <w:rFonts w:ascii="Narkisim" w:hAnsi="Narkisim" w:cs="Narkisim"/>
        </w:rPr>
        <w:t xml:space="preserve"> </w:t>
      </w:r>
      <w:r w:rsidRPr="00AF1DC8">
        <w:rPr>
          <w:rFonts w:ascii="Narkisim" w:hAnsi="Narkisim" w:cs="Narkisim"/>
          <w:rtl/>
        </w:rPr>
        <w:t>דאף דקי"ל דעכו”ם הבא על ב”י הולד כשר, מ”מ המיוחסים לא יתחתנו עמו. דיש בו פגם דמתייחס אחר נכרי</w:t>
      </w:r>
      <w:r w:rsidRPr="00AF1DC8">
        <w:rPr>
          <w:rStyle w:val="ac"/>
          <w:rFonts w:ascii="Narkisim" w:hAnsi="Narkisim" w:cs="Narkisim"/>
          <w:rtl/>
        </w:rPr>
        <w:footnoteReference w:id="2650"/>
      </w:r>
      <w:r w:rsidRPr="00AF1DC8">
        <w:rPr>
          <w:rFonts w:ascii="Narkisim" w:hAnsi="Narkisim" w:cs="Narkisim"/>
        </w:rPr>
        <w:t>.</w:t>
      </w:r>
    </w:p>
    <w:p w14:paraId="53F2139D" w14:textId="77777777" w:rsidR="006074A5" w:rsidRPr="00AF1DC8" w:rsidRDefault="006074A5" w:rsidP="006074A5">
      <w:pPr>
        <w:pStyle w:val="a8"/>
        <w:bidi/>
        <w:rPr>
          <w:rFonts w:ascii="Narkisim" w:hAnsi="Narkisim"/>
        </w:rPr>
      </w:pPr>
      <w:r w:rsidRPr="00AF1DC8">
        <w:rPr>
          <w:rFonts w:ascii="Narkisim" w:hAnsi="Narkisim"/>
          <w:rtl/>
        </w:rPr>
        <w:t>והביאו כעי”ז מדברי ה</w:t>
      </w:r>
      <w:r w:rsidRPr="00AF1DC8">
        <w:rPr>
          <w:rFonts w:ascii="Narkisim" w:hAnsi="Narkisim"/>
          <w:b/>
          <w:bCs/>
          <w:rtl/>
        </w:rPr>
        <w:t>רמב"ן</w:t>
      </w:r>
      <w:r w:rsidRPr="00AF1DC8">
        <w:rPr>
          <w:rFonts w:ascii="Narkisim" w:hAnsi="Narkisim"/>
          <w:rtl/>
        </w:rPr>
        <w:t xml:space="preserve"> (ויקרא כד י) ויצא בן אשה ישראלית. דהוא אינו </w:t>
      </w:r>
      <w:r w:rsidRPr="00AF1DC8">
        <w:rPr>
          <w:rFonts w:ascii="Narkisim" w:hAnsi="Narkisim"/>
          <w:i/>
          <w:iCs/>
          <w:rtl/>
        </w:rPr>
        <w:t>ישראלי</w:t>
      </w:r>
      <w:r w:rsidRPr="00AF1DC8">
        <w:rPr>
          <w:rFonts w:ascii="Narkisim" w:hAnsi="Narkisim"/>
          <w:rtl/>
        </w:rPr>
        <w:t xml:space="preserve"> בשמו לענין היחס </w:t>
      </w:r>
      <w:r w:rsidRPr="00AF1DC8">
        <w:rPr>
          <w:rFonts w:ascii="Narkisim" w:hAnsi="Narkisim"/>
          <w:rtl/>
        </w:rPr>
        <w:lastRenderedPageBreak/>
        <w:t>בדגלים, ולנחלת הארץ [ומשמע דחסר ביחוס ישראלות, ולא רק דאין לו אב]</w:t>
      </w:r>
      <w:r w:rsidRPr="00AF1DC8">
        <w:rPr>
          <w:rStyle w:val="ac"/>
          <w:rFonts w:ascii="Narkisim" w:hAnsi="Narkisim"/>
          <w:rtl/>
        </w:rPr>
        <w:footnoteReference w:id="2651"/>
      </w:r>
      <w:r w:rsidRPr="00AF1DC8">
        <w:rPr>
          <w:rFonts w:ascii="Narkisim" w:hAnsi="Narkisim"/>
        </w:rPr>
        <w:t>.</w:t>
      </w:r>
    </w:p>
    <w:p w14:paraId="08E74C60" w14:textId="77777777" w:rsidR="006074A5" w:rsidRPr="00AF1DC8" w:rsidRDefault="006074A5" w:rsidP="006074A5">
      <w:pPr>
        <w:pStyle w:val="aa"/>
        <w:bidi/>
        <w:rPr>
          <w:rFonts w:ascii="Narkisim" w:hAnsi="Narkisim"/>
        </w:rPr>
      </w:pPr>
      <w:r w:rsidRPr="00AF1DC8">
        <w:rPr>
          <w:rFonts w:ascii="Narkisim" w:hAnsi="Narkisim"/>
          <w:u w:val="single"/>
          <w:rtl/>
        </w:rPr>
        <w:t>שלחו וכו' מי שחציו עבד וכו' א"ל השתא עבד כולו וכו'.</w:t>
      </w:r>
      <w:r w:rsidRPr="00AF1DC8">
        <w:rPr>
          <w:rFonts w:ascii="Narkisim" w:hAnsi="Narkisim"/>
          <w:rtl/>
        </w:rPr>
        <w:t xml:space="preserve"> [קצת משמע דהם נסתפקו דחצי עבד גרע. ויש שביארו ע"פ סברת הרמב"ן דעכו"ם ועבד לא הוה ממזר, כיון דאינו מתייחס אחריו. ובזה נסתפקו דחצי עבד כיון דמתייחס לחציו גרע, והוה ממזר אף מחמת צד עבדות. אבל רבה השיב השתא עבד גמור, ול"מ שמתיחס לחציו הב']</w:t>
      </w:r>
      <w:r w:rsidRPr="00AF1DC8">
        <w:rPr>
          <w:rFonts w:ascii="Narkisim" w:hAnsi="Narkisim"/>
        </w:rPr>
        <w:t>.</w:t>
      </w:r>
    </w:p>
    <w:p w14:paraId="2C69A64A" w14:textId="77777777" w:rsidR="006074A5" w:rsidRPr="00AF1DC8" w:rsidRDefault="006074A5" w:rsidP="006074A5">
      <w:pPr>
        <w:pStyle w:val="3"/>
        <w:bidi/>
        <w:rPr>
          <w:rFonts w:ascii="Narkisim" w:hAnsi="Narkisim"/>
        </w:rPr>
      </w:pPr>
      <w:r w:rsidRPr="00AF1DC8">
        <w:rPr>
          <w:rFonts w:ascii="Narkisim" w:hAnsi="Narkisim"/>
          <w:rtl/>
        </w:rPr>
        <w:t>דף מה</w:t>
      </w:r>
      <w:r w:rsidRPr="00AF1DC8">
        <w:rPr>
          <w:rFonts w:ascii="Narkisim" w:hAnsi="Narkisim"/>
        </w:rPr>
        <w:t>:</w:t>
      </w:r>
    </w:p>
    <w:p w14:paraId="6C1D2D30" w14:textId="77777777" w:rsidR="006074A5" w:rsidRPr="00AF1DC8" w:rsidRDefault="006074A5" w:rsidP="006074A5">
      <w:pPr>
        <w:pStyle w:val="2"/>
        <w:bidi/>
        <w:rPr>
          <w:rFonts w:ascii="Narkisim" w:hAnsi="Narkisim"/>
          <w:sz w:val="21"/>
        </w:rPr>
      </w:pPr>
      <w:r w:rsidRPr="00AF1DC8">
        <w:rPr>
          <w:rFonts w:ascii="Narkisim" w:hAnsi="Narkisim"/>
          <w:sz w:val="21"/>
          <w:rtl/>
        </w:rPr>
        <w:t>חצי עבד הבא על בת ישראל</w:t>
      </w:r>
    </w:p>
    <w:p w14:paraId="365B6F24" w14:textId="77777777" w:rsidR="006074A5" w:rsidRPr="00AF1DC8" w:rsidRDefault="006074A5" w:rsidP="006074A5">
      <w:pPr>
        <w:bidi/>
        <w:rPr>
          <w:rFonts w:ascii="Narkisim" w:hAnsi="Narkisim" w:cs="Narkisim"/>
        </w:rPr>
      </w:pPr>
      <w:r w:rsidRPr="00AF1DC8">
        <w:rPr>
          <w:rFonts w:ascii="Narkisim" w:hAnsi="Narkisim" w:cs="Narkisim"/>
          <w:u w:val="single"/>
          <w:rtl/>
        </w:rPr>
        <w:t>אותו הולד אין לו תקנה 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בבת ישראל, כלומר ממזר הוא. וכ"כ </w:t>
      </w:r>
      <w:r w:rsidRPr="00AF1DC8">
        <w:rPr>
          <w:rFonts w:ascii="Narkisim" w:hAnsi="Narkisim" w:cs="Narkisim"/>
          <w:b/>
          <w:bCs/>
          <w:rtl/>
        </w:rPr>
        <w:t>רש"י</w:t>
      </w:r>
      <w:r w:rsidRPr="00AF1DC8">
        <w:rPr>
          <w:rFonts w:ascii="Narkisim" w:hAnsi="Narkisim" w:cs="Narkisim"/>
          <w:b/>
          <w:bCs/>
          <w:sz w:val="20"/>
          <w:szCs w:val="20"/>
          <w:rtl/>
        </w:rPr>
        <w:t xml:space="preserve"> </w:t>
      </w:r>
      <w:r w:rsidRPr="00AF1DC8">
        <w:rPr>
          <w:rFonts w:ascii="Narkisim" w:hAnsi="Narkisim" w:cs="Narkisim"/>
          <w:sz w:val="20"/>
          <w:szCs w:val="20"/>
          <w:rtl/>
        </w:rPr>
        <w:t>(במסקנא, ד"ה כגון)</w:t>
      </w:r>
      <w:r w:rsidRPr="00AF1DC8">
        <w:rPr>
          <w:rFonts w:ascii="Narkisim" w:hAnsi="Narkisim" w:cs="Narkisim"/>
          <w:rtl/>
        </w:rPr>
        <w:t xml:space="preserve"> דהוה ממזר משום צד חירות [משמע ממזר גמור</w:t>
      </w:r>
      <w:r w:rsidRPr="00AF1DC8">
        <w:rPr>
          <w:rStyle w:val="ac"/>
          <w:rFonts w:ascii="Narkisim" w:hAnsi="Narkisim" w:cs="Narkisim"/>
          <w:rtl/>
        </w:rPr>
        <w:footnoteReference w:id="2652"/>
      </w:r>
      <w:r w:rsidRPr="00AF1DC8">
        <w:rPr>
          <w:rFonts w:ascii="Narkisim" w:hAnsi="Narkisim" w:cs="Narkisim"/>
          <w:rtl/>
        </w:rPr>
        <w:t>]</w:t>
      </w:r>
      <w:r w:rsidRPr="00AF1DC8">
        <w:rPr>
          <w:rFonts w:ascii="Narkisim" w:hAnsi="Narkisim" w:cs="Narkisim"/>
        </w:rPr>
        <w:t>.</w:t>
      </w:r>
    </w:p>
    <w:p w14:paraId="6CC396B6"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טו ה) כת' דאין לו תקנה מפני צד ממזרות וצד כשרות מעורבין בו. ואסור אף בשפחה, ונמצאו בניו כמותו לעולם. וה</w:t>
      </w:r>
      <w:r w:rsidRPr="00AF1DC8">
        <w:rPr>
          <w:rFonts w:ascii="Narkisim" w:hAnsi="Narkisim"/>
          <w:b/>
          <w:bCs/>
          <w:rtl/>
        </w:rPr>
        <w:t>חלקת מחוקק</w:t>
      </w:r>
      <w:r w:rsidRPr="00AF1DC8">
        <w:rPr>
          <w:rFonts w:ascii="Narkisim" w:hAnsi="Narkisim"/>
          <w:rtl/>
        </w:rPr>
        <w:t xml:space="preserve"> (ד יט) הביא דדעת רש"י דמותר בממזרת. וה</w:t>
      </w:r>
      <w:r w:rsidRPr="00AF1DC8">
        <w:rPr>
          <w:rFonts w:ascii="Narkisim" w:hAnsi="Narkisim"/>
          <w:b/>
          <w:bCs/>
          <w:rtl/>
        </w:rPr>
        <w:t>קר"א</w:t>
      </w:r>
      <w:r w:rsidRPr="00AF1DC8">
        <w:rPr>
          <w:rFonts w:ascii="Narkisim" w:hAnsi="Narkisim"/>
          <w:rtl/>
        </w:rPr>
        <w:t xml:space="preserve"> נקט דסברת רש"י דכיון דיש בביאה הזו צד איסור, מש"ה כולו ממזר</w:t>
      </w:r>
      <w:r w:rsidRPr="00AF1DC8">
        <w:rPr>
          <w:rFonts w:ascii="Narkisim" w:hAnsi="Narkisim"/>
          <w:sz w:val="20"/>
          <w:szCs w:val="20"/>
          <w:rtl/>
        </w:rPr>
        <w:t xml:space="preserve"> [ולא דנים את החצי בפנ"ע</w:t>
      </w:r>
      <w:r w:rsidRPr="00AF1DC8">
        <w:rPr>
          <w:rStyle w:val="ac"/>
          <w:rFonts w:ascii="Narkisim" w:hAnsi="Narkisim"/>
          <w:sz w:val="20"/>
          <w:szCs w:val="20"/>
          <w:rtl/>
        </w:rPr>
        <w:footnoteReference w:id="2653"/>
      </w:r>
      <w:r w:rsidRPr="00AF1DC8">
        <w:rPr>
          <w:rFonts w:ascii="Narkisim" w:hAnsi="Narkisim"/>
          <w:sz w:val="20"/>
          <w:szCs w:val="20"/>
          <w:rtl/>
        </w:rPr>
        <w:t>]</w:t>
      </w:r>
      <w:r w:rsidRPr="00AF1DC8">
        <w:rPr>
          <w:rFonts w:ascii="Narkisim" w:hAnsi="Narkisim"/>
          <w:rtl/>
        </w:rPr>
        <w:t>, וכ”כ ה</w:t>
      </w:r>
      <w:r w:rsidRPr="00AF1DC8">
        <w:rPr>
          <w:rFonts w:ascii="Narkisim" w:hAnsi="Narkisim"/>
          <w:b/>
          <w:bCs/>
          <w:rtl/>
        </w:rPr>
        <w:t>אמר”מ</w:t>
      </w:r>
      <w:r w:rsidRPr="00AF1DC8">
        <w:rPr>
          <w:rFonts w:ascii="Narkisim" w:hAnsi="Narkisim"/>
          <w:rtl/>
        </w:rPr>
        <w:t xml:space="preserve"> (כז כב)</w:t>
      </w:r>
      <w:r w:rsidRPr="00AF1DC8">
        <w:rPr>
          <w:rStyle w:val="ac"/>
          <w:rFonts w:ascii="Narkisim" w:hAnsi="Narkisim"/>
          <w:rtl/>
        </w:rPr>
        <w:footnoteReference w:id="2654"/>
      </w:r>
      <w:r w:rsidRPr="00AF1DC8">
        <w:rPr>
          <w:rFonts w:ascii="Narkisim" w:hAnsi="Narkisim"/>
        </w:rPr>
        <w:t>.</w:t>
      </w:r>
      <w:r w:rsidRPr="00AF1DC8">
        <w:rPr>
          <w:rFonts w:ascii="Narkisim" w:hAnsi="Narkisim"/>
          <w:sz w:val="20"/>
          <w:szCs w:val="20"/>
        </w:rPr>
        <w:t xml:space="preserve"> </w:t>
      </w:r>
      <w:r w:rsidRPr="00AF1DC8">
        <w:rPr>
          <w:rFonts w:ascii="Narkisim" w:hAnsi="Narkisim"/>
          <w:sz w:val="20"/>
          <w:szCs w:val="20"/>
          <w:rtl/>
        </w:rPr>
        <w:t>אבל ה</w:t>
      </w:r>
      <w:r w:rsidRPr="00AF1DC8">
        <w:rPr>
          <w:rFonts w:ascii="Narkisim" w:hAnsi="Narkisim"/>
          <w:b/>
          <w:bCs/>
          <w:sz w:val="20"/>
          <w:szCs w:val="20"/>
          <w:rtl/>
        </w:rPr>
        <w:t>הפלאה</w:t>
      </w:r>
      <w:r w:rsidRPr="00AF1DC8">
        <w:rPr>
          <w:rFonts w:ascii="Narkisim" w:hAnsi="Narkisim"/>
          <w:sz w:val="20"/>
          <w:szCs w:val="20"/>
          <w:rtl/>
        </w:rPr>
        <w:t xml:space="preserve"> (ס' נתיבות לשבת ד טו) כתב דאף דהוה חצי ממזר מותר בממזרת. כיון דאין לו יחוס ישראל דינו כגר ומותר בממזרת</w:t>
      </w:r>
      <w:r w:rsidRPr="00AF1DC8">
        <w:rPr>
          <w:rStyle w:val="ac"/>
          <w:rFonts w:ascii="Narkisim" w:hAnsi="Narkisim"/>
          <w:sz w:val="20"/>
          <w:szCs w:val="20"/>
          <w:rtl/>
        </w:rPr>
        <w:footnoteReference w:id="2655"/>
      </w:r>
      <w:r w:rsidRPr="00AF1DC8">
        <w:rPr>
          <w:rFonts w:ascii="Narkisim" w:hAnsi="Narkisim"/>
          <w:sz w:val="20"/>
          <w:szCs w:val="20"/>
        </w:rPr>
        <w:t>.</w:t>
      </w:r>
    </w:p>
    <w:p w14:paraId="2679ADC5" w14:textId="77777777" w:rsidR="006074A5" w:rsidRPr="00AF1DC8" w:rsidRDefault="006074A5" w:rsidP="006074A5">
      <w:pPr>
        <w:bidi/>
        <w:rPr>
          <w:rFonts w:ascii="Narkisim" w:hAnsi="Narkisim" w:cs="Narkisim"/>
        </w:rPr>
      </w:pPr>
      <w:r w:rsidRPr="00AF1DC8">
        <w:rPr>
          <w:rFonts w:ascii="Narkisim" w:hAnsi="Narkisim" w:cs="Narkisim"/>
          <w:u w:val="single"/>
          <w:rtl/>
        </w:rPr>
        <w:t>כגון שקידש בת חורין וכו'.</w:t>
      </w:r>
      <w:r w:rsidRPr="00AF1DC8">
        <w:rPr>
          <w:rFonts w:ascii="Narkisim" w:hAnsi="Narkisim" w:cs="Narkisim"/>
          <w:rtl/>
        </w:rPr>
        <w:t xml:space="preserve"> ה</w:t>
      </w:r>
      <w:r w:rsidRPr="00AF1DC8">
        <w:rPr>
          <w:rFonts w:ascii="Narkisim" w:hAnsi="Narkisim" w:cs="Narkisim"/>
          <w:b/>
          <w:bCs/>
          <w:rtl/>
        </w:rPr>
        <w:t>גמ</w:t>
      </w:r>
      <w:r w:rsidRPr="00AF1DC8">
        <w:rPr>
          <w:rFonts w:ascii="Narkisim" w:hAnsi="Narkisim" w:cs="Narkisim"/>
          <w:rtl/>
        </w:rPr>
        <w:t xml:space="preserve">' (גיטין מג.) מסתפקת חצי עבד שקידש האם חלו הקידושין </w:t>
      </w:r>
      <w:r w:rsidRPr="00AF1DC8">
        <w:rPr>
          <w:rFonts w:ascii="Narkisim" w:hAnsi="Narkisim" w:cs="Narkisim"/>
          <w:sz w:val="20"/>
          <w:szCs w:val="20"/>
          <w:rtl/>
        </w:rPr>
        <w:t>[או דהוה חסרון חצי איש, כיון דלא חזיא לכוליה]. והגמ' הוכיחה מהברייתא דיתכן שיהא לויורשים, וע"כ דהוה קידושין. דאל"כ יורשין מנליה</w:t>
      </w:r>
      <w:r w:rsidRPr="00AF1DC8">
        <w:rPr>
          <w:rStyle w:val="ac"/>
          <w:rFonts w:ascii="Narkisim" w:hAnsi="Narkisim" w:cs="Narkisim"/>
          <w:sz w:val="20"/>
          <w:szCs w:val="20"/>
          <w:rtl/>
        </w:rPr>
        <w:footnoteReference w:id="2656"/>
      </w:r>
      <w:r w:rsidRPr="00AF1DC8">
        <w:rPr>
          <w:rFonts w:ascii="Narkisim" w:hAnsi="Narkisim" w:cs="Narkisim"/>
          <w:sz w:val="20"/>
          <w:szCs w:val="20"/>
        </w:rPr>
        <w:t xml:space="preserve">. </w:t>
      </w:r>
      <w:r w:rsidRPr="00AF1DC8">
        <w:rPr>
          <w:rFonts w:ascii="Narkisim" w:hAnsi="Narkisim" w:cs="Narkisim"/>
          <w:sz w:val="20"/>
          <w:szCs w:val="20"/>
          <w:rtl/>
        </w:rPr>
        <w:t>ורבא (שם) דחה</w:t>
      </w:r>
      <w:r w:rsidRPr="00AF1DC8">
        <w:rPr>
          <w:rStyle w:val="ac"/>
          <w:rFonts w:ascii="Narkisim" w:hAnsi="Narkisim" w:cs="Narkisim"/>
          <w:sz w:val="20"/>
          <w:szCs w:val="20"/>
          <w:rtl/>
        </w:rPr>
        <w:footnoteReference w:id="2657"/>
      </w:r>
      <w:r w:rsidRPr="00AF1DC8">
        <w:rPr>
          <w:rFonts w:ascii="Narkisim" w:hAnsi="Narkisim" w:cs="Narkisim"/>
          <w:sz w:val="20"/>
          <w:szCs w:val="20"/>
        </w:rPr>
        <w:t>.</w:t>
      </w:r>
    </w:p>
    <w:p w14:paraId="250C168A"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(שם) הביא דמבואר בסוגיין (לל"ק) דתפס קידושין. ותי' דהגמ' (שם) קאי כל"ב דהכא. וה</w:t>
      </w:r>
      <w:r w:rsidRPr="00AF1DC8">
        <w:rPr>
          <w:rFonts w:ascii="Narkisim" w:hAnsi="Narkisim"/>
          <w:b/>
          <w:bCs/>
          <w:rtl/>
        </w:rPr>
        <w:t>רשב"א</w:t>
      </w:r>
      <w:r w:rsidRPr="00AF1DC8">
        <w:rPr>
          <w:rFonts w:ascii="Narkisim" w:hAnsi="Narkisim"/>
          <w:rtl/>
        </w:rPr>
        <w:t xml:space="preserve"> </w:t>
      </w:r>
      <w:r w:rsidRPr="00AF1DC8">
        <w:rPr>
          <w:rFonts w:ascii="Narkisim" w:hAnsi="Narkisim"/>
          <w:sz w:val="20"/>
          <w:szCs w:val="20"/>
          <w:rtl/>
        </w:rPr>
        <w:t xml:space="preserve">(שם) </w:t>
      </w:r>
      <w:r w:rsidRPr="00AF1DC8">
        <w:rPr>
          <w:rFonts w:ascii="Narkisim" w:hAnsi="Narkisim"/>
          <w:rtl/>
        </w:rPr>
        <w:t>הק' דאף למסקנא יש לו קידושין, דאל"כ [אף לצד בן חורין] אין לו ממזרות</w:t>
      </w:r>
      <w:r w:rsidRPr="00AF1DC8">
        <w:rPr>
          <w:rStyle w:val="ac"/>
          <w:rFonts w:ascii="Narkisim" w:hAnsi="Narkisim"/>
          <w:rtl/>
        </w:rPr>
        <w:footnoteReference w:id="2658"/>
      </w:r>
      <w:r w:rsidRPr="00AF1DC8">
        <w:rPr>
          <w:rFonts w:ascii="Narkisim" w:hAnsi="Narkisim"/>
        </w:rPr>
        <w:t>.</w:t>
      </w:r>
      <w:r w:rsidRPr="00AF1DC8">
        <w:rPr>
          <w:rFonts w:ascii="Narkisim" w:hAnsi="Narkisim"/>
          <w:sz w:val="20"/>
          <w:szCs w:val="20"/>
        </w:rPr>
        <w:t xml:space="preserve"> </w:t>
      </w:r>
      <w:r w:rsidRPr="00AF1DC8">
        <w:rPr>
          <w:rFonts w:ascii="Narkisim" w:hAnsi="Narkisim"/>
          <w:sz w:val="20"/>
          <w:szCs w:val="20"/>
          <w:rtl/>
        </w:rPr>
        <w:t>[וכדאמרי' בסמוך דלמ"ד הולד כשר הוא משום דיש לו קידושין במקו"א]</w:t>
      </w:r>
      <w:r w:rsidRPr="00AF1DC8">
        <w:rPr>
          <w:rFonts w:ascii="Narkisim" w:hAnsi="Narkisim"/>
        </w:rPr>
        <w:t>.</w:t>
      </w:r>
    </w:p>
    <w:p w14:paraId="5BC979E8"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כתב דאפי' לגירסת רב האי גאון (בסמוך) דתלי ביחוס, הא אמרי' (בגיטין שם) אין לו קידושין אין זרעו מיוחס אחריו. אלא רבא (בגיטין) דחויה בעלמא הוא דקא דחי, ולעולם אף רבא ס"ל דחצי עבד יש לו קידושין</w:t>
      </w:r>
      <w:r w:rsidRPr="00AF1DC8">
        <w:rPr>
          <w:rStyle w:val="ac"/>
          <w:rFonts w:ascii="Narkisim" w:hAnsi="Narkisim"/>
          <w:rtl/>
        </w:rPr>
        <w:footnoteReference w:id="2659"/>
      </w:r>
      <w:r w:rsidRPr="00AF1DC8">
        <w:rPr>
          <w:rFonts w:ascii="Narkisim" w:hAnsi="Narkisim"/>
        </w:rPr>
        <w:t>.</w:t>
      </w:r>
    </w:p>
    <w:p w14:paraId="5B56A7F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w:t>
      </w:r>
      <w:r w:rsidRPr="00AF1DC8">
        <w:rPr>
          <w:rFonts w:ascii="Narkisim" w:hAnsi="Narkisim"/>
          <w:szCs w:val="20"/>
          <w:rtl/>
        </w:rPr>
        <w:t>(</w:t>
      </w:r>
      <w:r w:rsidRPr="00AF1DC8">
        <w:rPr>
          <w:rFonts w:ascii="Narkisim" w:hAnsi="Narkisim"/>
          <w:sz w:val="20"/>
          <w:szCs w:val="20"/>
          <w:rtl/>
        </w:rPr>
        <w:t>קמז מב יב הב')</w:t>
      </w:r>
      <w:r w:rsidRPr="00AF1DC8">
        <w:rPr>
          <w:rFonts w:ascii="Narkisim" w:hAnsi="Narkisim"/>
          <w:rtl/>
        </w:rPr>
        <w:t xml:space="preserve"> תי' דדוקא עבד ועכו"ם דאין מינן קידושין, אבל הכא חציו ממין ישראל. אלא דלא תפסי קידושין משום דהוה חצי, ואין קנין קידושין לחציו, וחסר בשיעור. אבל ממזרות ל"צ שיעור.</w:t>
      </w:r>
      <w:r w:rsidRPr="00AF1DC8">
        <w:rPr>
          <w:rFonts w:ascii="Narkisim" w:hAnsi="Narkisim"/>
          <w:sz w:val="20"/>
          <w:szCs w:val="20"/>
          <w:rtl/>
        </w:rPr>
        <w:t xml:space="preserve"> וכתב דאע"ג דאין בנו מתייחס אחריו, שמא אף ליחס בעי שיעור ואדם שלם, אבל לענין ממזרות סגי במה שראוי ליחס. </w:t>
      </w:r>
      <w:r w:rsidRPr="00AF1DC8">
        <w:rPr>
          <w:rFonts w:ascii="Narkisim" w:hAnsi="Narkisim"/>
          <w:rtl/>
        </w:rPr>
        <w:t xml:space="preserve">וע”ע </w:t>
      </w:r>
      <w:r w:rsidRPr="00AF1DC8">
        <w:rPr>
          <w:rFonts w:ascii="Narkisim" w:hAnsi="Narkisim"/>
          <w:b/>
          <w:bCs/>
          <w:rtl/>
        </w:rPr>
        <w:t xml:space="preserve">אבנ”מ </w:t>
      </w:r>
      <w:r w:rsidRPr="00AF1DC8">
        <w:rPr>
          <w:rFonts w:ascii="Narkisim" w:hAnsi="Narkisim"/>
          <w:rtl/>
        </w:rPr>
        <w:t>(מד ג</w:t>
      </w:r>
      <w:r w:rsidRPr="00AF1DC8">
        <w:rPr>
          <w:rStyle w:val="ac"/>
          <w:rFonts w:ascii="Narkisim" w:hAnsi="Narkisim"/>
          <w:rtl/>
        </w:rPr>
        <w:footnoteReference w:id="2660"/>
      </w:r>
      <w:r w:rsidRPr="00AF1DC8">
        <w:rPr>
          <w:rFonts w:ascii="Narkisim" w:hAnsi="Narkisim"/>
          <w:rtl/>
        </w:rPr>
        <w:t>)</w:t>
      </w:r>
      <w:r w:rsidRPr="00AF1DC8">
        <w:rPr>
          <w:rFonts w:ascii="Narkisim" w:hAnsi="Narkisim"/>
        </w:rPr>
        <w:t>.</w:t>
      </w:r>
    </w:p>
    <w:p w14:paraId="2675F9FC"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פסק לסוגיין דחצי עבד שבא על א"א הולד אין לו תקנה, וה</w:t>
      </w:r>
      <w:r w:rsidRPr="00AF1DC8">
        <w:rPr>
          <w:rFonts w:ascii="Narkisim" w:hAnsi="Narkisim"/>
          <w:b/>
          <w:bCs/>
          <w:rtl/>
        </w:rPr>
        <w:t>אחרונים</w:t>
      </w:r>
      <w:r w:rsidRPr="00AF1DC8">
        <w:rPr>
          <w:rFonts w:ascii="Narkisim" w:hAnsi="Narkisim"/>
          <w:rtl/>
        </w:rPr>
        <w:t xml:space="preserve"> הקשו דהרמב"ם פסק דהוה ספק קידושין, א"כ הול"ל דהוה ספק ממזר. וכ"כ ה</w:t>
      </w:r>
      <w:r w:rsidRPr="00AF1DC8">
        <w:rPr>
          <w:rFonts w:ascii="Narkisim" w:hAnsi="Narkisim"/>
          <w:b/>
          <w:bCs/>
          <w:rtl/>
        </w:rPr>
        <w:t>מנח"ח</w:t>
      </w:r>
      <w:r w:rsidRPr="00AF1DC8">
        <w:rPr>
          <w:rFonts w:ascii="Narkisim" w:hAnsi="Narkisim"/>
          <w:rtl/>
        </w:rPr>
        <w:t xml:space="preserve"> (קצב ב). וה</w:t>
      </w:r>
      <w:r w:rsidRPr="00AF1DC8">
        <w:rPr>
          <w:rFonts w:ascii="Narkisim" w:hAnsi="Narkisim"/>
          <w:b/>
          <w:bCs/>
          <w:rtl/>
        </w:rPr>
        <w:t>אחרונים</w:t>
      </w:r>
      <w:r w:rsidRPr="00AF1DC8">
        <w:rPr>
          <w:rFonts w:ascii="Narkisim" w:hAnsi="Narkisim"/>
          <w:rtl/>
        </w:rPr>
        <w:t xml:space="preserve"> (אבנ"מ וחזו"א) כת' דלדברי הרמב"ן ניחא</w:t>
      </w:r>
      <w:r w:rsidRPr="00AF1DC8">
        <w:rPr>
          <w:rFonts w:ascii="Narkisim" w:hAnsi="Narkisim"/>
        </w:rPr>
        <w:t>.</w:t>
      </w:r>
    </w:p>
    <w:p w14:paraId="1703F0D2" w14:textId="77777777" w:rsidR="006074A5" w:rsidRPr="00AF1DC8" w:rsidRDefault="006074A5" w:rsidP="006074A5">
      <w:pPr>
        <w:bidi/>
        <w:rPr>
          <w:rFonts w:ascii="Narkisim" w:hAnsi="Narkisim" w:cs="Narkisim"/>
        </w:rPr>
      </w:pPr>
      <w:r w:rsidRPr="00AF1DC8">
        <w:rPr>
          <w:rFonts w:ascii="Narkisim" w:hAnsi="Narkisim" w:cs="Narkisim"/>
          <w:u w:val="single"/>
          <w:rtl/>
        </w:rPr>
        <w:lastRenderedPageBreak/>
        <w:t>שם. שקידש בת חורין, דנמצא צד עבדות שבו משתמש בא"א.</w:t>
      </w:r>
      <w:r w:rsidRPr="00AF1DC8">
        <w:rPr>
          <w:rFonts w:ascii="Narkisim" w:hAnsi="Narkisim" w:cs="Narkisim"/>
          <w:rtl/>
        </w:rPr>
        <w:t xml:space="preserve"> [</w:t>
      </w:r>
      <w:r w:rsidRPr="00AF1DC8">
        <w:rPr>
          <w:rFonts w:ascii="Narkisim" w:hAnsi="Narkisim" w:cs="Narkisim"/>
          <w:szCs w:val="20"/>
          <w:rtl/>
        </w:rPr>
        <w:t>והו' בתוס' (גיטין מא.) דחצי עבד יכול לישא ממזרת בלא קידושין. אך אם יקדשנה אתי צד עבדות ומשתמש בא”א]</w:t>
      </w:r>
      <w:r w:rsidRPr="00AF1DC8">
        <w:rPr>
          <w:rFonts w:ascii="Narkisim" w:hAnsi="Narkisim" w:cs="Narkisim"/>
          <w:rtl/>
        </w:rPr>
        <w:t>. צ"ב דהוה אשתו דידיה, ואין זה אשת רעהו</w:t>
      </w:r>
      <w:r w:rsidRPr="00AF1DC8">
        <w:rPr>
          <w:rStyle w:val="ac"/>
          <w:rFonts w:ascii="Narkisim" w:hAnsi="Narkisim" w:cs="Narkisim"/>
          <w:rtl/>
        </w:rPr>
        <w:footnoteReference w:id="2661"/>
      </w:r>
      <w:r w:rsidRPr="00AF1DC8">
        <w:rPr>
          <w:rFonts w:ascii="Narkisim" w:hAnsi="Narkisim" w:cs="Narkisim"/>
        </w:rPr>
        <w:t xml:space="preserve"> </w:t>
      </w:r>
      <w:r w:rsidRPr="00AF1DC8">
        <w:rPr>
          <w:rFonts w:ascii="Narkisim" w:hAnsi="Narkisim" w:cs="Narkisim"/>
          <w:sz w:val="20"/>
          <w:szCs w:val="20"/>
          <w:rtl/>
        </w:rPr>
        <w:t>[וכ"כ ה</w:t>
      </w:r>
      <w:r w:rsidRPr="00AF1DC8">
        <w:rPr>
          <w:rFonts w:ascii="Narkisim" w:hAnsi="Narkisim" w:cs="Narkisim"/>
          <w:b/>
          <w:bCs/>
          <w:sz w:val="20"/>
          <w:szCs w:val="20"/>
          <w:rtl/>
        </w:rPr>
        <w:t>ריטב”א</w:t>
      </w:r>
      <w:r w:rsidRPr="00AF1DC8">
        <w:rPr>
          <w:rFonts w:ascii="Narkisim" w:hAnsi="Narkisim" w:cs="Narkisim"/>
          <w:sz w:val="20"/>
          <w:szCs w:val="20"/>
          <w:rtl/>
        </w:rPr>
        <w:t xml:space="preserve"> (בסמוך) וכ"ש מפני צד אישות, כיון דאשתו היא. משמע דבמסקנא הדרינן מהך סברא, וצ”ע מהיכן למד כן]</w:t>
      </w:r>
      <w:r w:rsidRPr="00AF1DC8">
        <w:rPr>
          <w:rFonts w:ascii="Narkisim" w:hAnsi="Narkisim" w:cs="Narkisim"/>
          <w:rtl/>
        </w:rPr>
        <w:t>. ואפשר דגדר חצי עבד וחצי בן חורין דנחשב כב' בני אדם. והקידושין אינו שייך כלל לגברא שהוא חצי העבד</w:t>
      </w:r>
      <w:r w:rsidRPr="00AF1DC8">
        <w:rPr>
          <w:rStyle w:val="ac"/>
          <w:rFonts w:ascii="Narkisim" w:hAnsi="Narkisim" w:cs="Narkisim"/>
          <w:rtl/>
        </w:rPr>
        <w:footnoteReference w:id="2662"/>
      </w:r>
      <w:r w:rsidRPr="00AF1DC8">
        <w:rPr>
          <w:rFonts w:ascii="Narkisim" w:hAnsi="Narkisim" w:cs="Narkisim"/>
        </w:rPr>
        <w:t>.</w:t>
      </w:r>
    </w:p>
    <w:p w14:paraId="0D3A6B94"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מנח"ח</w:t>
      </w:r>
      <w:r w:rsidRPr="00AF1DC8">
        <w:rPr>
          <w:rFonts w:ascii="Narkisim" w:hAnsi="Narkisim"/>
          <w:sz w:val="20"/>
          <w:szCs w:val="20"/>
          <w:rtl/>
        </w:rPr>
        <w:t xml:space="preserve"> (תקצח ב)</w:t>
      </w:r>
      <w:r w:rsidRPr="00AF1DC8">
        <w:rPr>
          <w:rFonts w:ascii="Narkisim" w:hAnsi="Narkisim"/>
          <w:rtl/>
        </w:rPr>
        <w:t xml:space="preserve"> כת' דלפ"ז חצי עבד שקידש, ובא עליה [באיסור א"א] ואח"כ נשתחרר. האשה אסורה עליו אף כשנשתחרר משום סוטה</w:t>
      </w:r>
      <w:r w:rsidRPr="00AF1DC8">
        <w:rPr>
          <w:rStyle w:val="ac"/>
          <w:rFonts w:ascii="Narkisim" w:hAnsi="Narkisim"/>
          <w:rtl/>
        </w:rPr>
        <w:footnoteReference w:id="2663"/>
      </w:r>
      <w:r w:rsidRPr="00AF1DC8">
        <w:rPr>
          <w:rFonts w:ascii="Narkisim" w:hAnsi="Narkisim"/>
        </w:rPr>
        <w:t xml:space="preserve"> </w:t>
      </w:r>
      <w:r w:rsidRPr="00AF1DC8">
        <w:rPr>
          <w:rFonts w:ascii="Narkisim" w:hAnsi="Narkisim"/>
          <w:rtl/>
        </w:rPr>
        <w:t>משום צד עבדות, דמה לי עבד אחר שבה על א"א או צד עבדות שלו</w:t>
      </w:r>
      <w:r w:rsidRPr="00AF1DC8">
        <w:rPr>
          <w:rFonts w:ascii="Narkisim" w:hAnsi="Narkisim"/>
        </w:rPr>
        <w:t>.</w:t>
      </w:r>
    </w:p>
    <w:p w14:paraId="153DC497" w14:textId="77777777" w:rsidR="006074A5" w:rsidRPr="00AF1DC8" w:rsidRDefault="006074A5" w:rsidP="006074A5">
      <w:pPr>
        <w:pStyle w:val="aa"/>
        <w:bidi/>
        <w:rPr>
          <w:rFonts w:ascii="Narkisim" w:hAnsi="Narkisim"/>
        </w:rPr>
      </w:pPr>
      <w:r w:rsidRPr="00AF1DC8">
        <w:rPr>
          <w:rFonts w:ascii="Narkisim" w:hAnsi="Narkisim"/>
          <w:u w:val="single"/>
          <w:rtl/>
        </w:rPr>
        <w:t>שם. שקידש בת חורין.</w:t>
      </w:r>
      <w:r w:rsidRPr="00AF1DC8">
        <w:rPr>
          <w:rFonts w:ascii="Narkisim" w:hAnsi="Narkisim"/>
          <w:rtl/>
        </w:rPr>
        <w:t xml:space="preserve"> ה</w:t>
      </w:r>
      <w:r w:rsidRPr="00AF1DC8">
        <w:rPr>
          <w:rFonts w:ascii="Narkisim" w:hAnsi="Narkisim"/>
          <w:b/>
          <w:bCs/>
          <w:rtl/>
        </w:rPr>
        <w:t>אחרונים</w:t>
      </w:r>
      <w:r w:rsidRPr="00AF1DC8">
        <w:rPr>
          <w:rFonts w:ascii="Narkisim" w:hAnsi="Narkisim"/>
          <w:rtl/>
        </w:rPr>
        <w:t xml:space="preserve"> (רע"א גיטין מג., אבנ"מ מא א) הקשו דהוה קידושין שאינן מסורין לביאה, דע"י הקידושין נאסרה עליו, דעי"ז צד עבדות משתמש בא"א</w:t>
      </w:r>
      <w:r w:rsidRPr="00AF1DC8">
        <w:rPr>
          <w:rStyle w:val="ac"/>
          <w:rFonts w:ascii="Narkisim" w:hAnsi="Narkisim"/>
          <w:rtl/>
        </w:rPr>
        <w:footnoteReference w:id="2664"/>
      </w:r>
      <w:r w:rsidRPr="00AF1DC8">
        <w:rPr>
          <w:rFonts w:ascii="Narkisim" w:hAnsi="Narkisim"/>
        </w:rPr>
        <w:t xml:space="preserve">. </w:t>
      </w:r>
      <w:r w:rsidRPr="00AF1DC8">
        <w:rPr>
          <w:rFonts w:ascii="Narkisim" w:hAnsi="Narkisim"/>
          <w:rtl/>
        </w:rPr>
        <w:t>והק' עוד לדעת הראשונים (רשב"א קידושין נא) דהיכא דאסורין בביאה בתורת ודאי כו"ע מודו דלא תפסי קידושין</w:t>
      </w:r>
      <w:r w:rsidRPr="00AF1DC8">
        <w:rPr>
          <w:rStyle w:val="ac"/>
          <w:rFonts w:ascii="Narkisim" w:hAnsi="Narkisim"/>
          <w:rtl/>
        </w:rPr>
        <w:footnoteReference w:id="2665"/>
      </w:r>
      <w:r w:rsidRPr="00AF1DC8">
        <w:rPr>
          <w:rFonts w:ascii="Narkisim" w:hAnsi="Narkisim"/>
        </w:rPr>
        <w:t>.</w:t>
      </w:r>
    </w:p>
    <w:p w14:paraId="7DAB94B1"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(מב א) תי' דבסוגיין הוה חסרון בהיכי תמצי, ודמי לאיסור מחמת ספק. דהצד בן חורין מותר בה</w:t>
      </w:r>
      <w:r w:rsidRPr="00AF1DC8">
        <w:rPr>
          <w:rStyle w:val="ac"/>
          <w:rFonts w:ascii="Narkisim" w:hAnsi="Narkisim"/>
          <w:rtl/>
        </w:rPr>
        <w:footnoteReference w:id="2666"/>
      </w:r>
      <w:r w:rsidRPr="00AF1DC8">
        <w:rPr>
          <w:rFonts w:ascii="Narkisim" w:hAnsi="Narkisim"/>
        </w:rPr>
        <w:t xml:space="preserve">, </w:t>
      </w:r>
      <w:r w:rsidRPr="00AF1DC8">
        <w:rPr>
          <w:rFonts w:ascii="Narkisim" w:hAnsi="Narkisim"/>
          <w:rtl/>
        </w:rPr>
        <w:t>אלא דאינו יכול לבוא עליה בלא צד עבדות. [אבל מ"מ ספק לא גרע מחסרון בהיכי תמצי, ולאביי דמחמת ספק נחשב קידושין שאי"מ לביאה, כ"ש בחצי]</w:t>
      </w:r>
      <w:r w:rsidRPr="00AF1DC8">
        <w:rPr>
          <w:rFonts w:ascii="Narkisim" w:hAnsi="Narkisim"/>
        </w:rPr>
        <w:t>.</w:t>
      </w:r>
    </w:p>
    <w:p w14:paraId="3A744136" w14:textId="77777777" w:rsidR="006074A5" w:rsidRPr="00AF1DC8" w:rsidRDefault="006074A5" w:rsidP="006074A5">
      <w:pPr>
        <w:pStyle w:val="aa"/>
        <w:bidi/>
        <w:rPr>
          <w:rFonts w:ascii="Narkisim" w:hAnsi="Narkisim"/>
        </w:rPr>
      </w:pPr>
      <w:r w:rsidRPr="00AF1DC8">
        <w:rPr>
          <w:rFonts w:ascii="Narkisim" w:hAnsi="Narkisim"/>
          <w:u w:val="single"/>
          <w:rtl/>
        </w:rPr>
        <w:t>לדברי המכשיר, מכשיר אפי' אשת איש וכו'</w:t>
      </w:r>
      <w:r w:rsidRPr="00AF1DC8">
        <w:rPr>
          <w:rFonts w:ascii="Narkisim" w:hAnsi="Narkisim"/>
          <w:rtl/>
        </w:rPr>
        <w:t>. ומבואר דמ"ד המכשיר לא הוה משום דעכו"ם ועבד לא הוה 'ערוה' [וליכא חיוב כרת]. ולכו"ע ראוי שיהא ממזר כיון דלא תפסי קידושין. [אלא משום דאף לאחריני לא תפס, ע' בסמוך]</w:t>
      </w:r>
      <w:r w:rsidRPr="00AF1DC8">
        <w:rPr>
          <w:rFonts w:ascii="Narkisim" w:hAnsi="Narkisim"/>
        </w:rPr>
        <w:t>.</w:t>
      </w:r>
    </w:p>
    <w:p w14:paraId="18F698A6" w14:textId="77777777" w:rsidR="006074A5" w:rsidRPr="00AF1DC8" w:rsidRDefault="006074A5" w:rsidP="006074A5">
      <w:pPr>
        <w:bidi/>
        <w:rPr>
          <w:rFonts w:ascii="Narkisim" w:hAnsi="Narkisim" w:cs="Narkisim"/>
        </w:rPr>
      </w:pPr>
      <w:r w:rsidRPr="00AF1DC8">
        <w:rPr>
          <w:rFonts w:ascii="Narkisim" w:hAnsi="Narkisim" w:cs="Narkisim"/>
          <w:u w:val="single"/>
          <w:rtl/>
        </w:rPr>
        <w:t>לדידיה לא תפסי קידושין, לאחריני תפסי.</w:t>
      </w:r>
      <w:r w:rsidRPr="00AF1DC8">
        <w:rPr>
          <w:rFonts w:ascii="Narkisim" w:hAnsi="Narkisim" w:cs="Narkisim"/>
          <w:rtl/>
        </w:rPr>
        <w:t xml:space="preserve"> ה</w:t>
      </w:r>
      <w:r w:rsidRPr="00AF1DC8">
        <w:rPr>
          <w:rFonts w:ascii="Narkisim" w:hAnsi="Narkisim" w:cs="Narkisim"/>
          <w:b/>
          <w:bCs/>
          <w:rtl/>
        </w:rPr>
        <w:t>רמב"ן</w:t>
      </w:r>
      <w:r w:rsidRPr="00AF1DC8">
        <w:rPr>
          <w:rFonts w:ascii="Narkisim" w:hAnsi="Narkisim" w:cs="Narkisim"/>
          <w:rtl/>
        </w:rPr>
        <w:t xml:space="preserve"> הק' דכ"ש הוא. וגרס דאשת אב זרעו מיוחס אחריו, ולכן הולד ממזר. </w:t>
      </w:r>
      <w:r w:rsidRPr="00AF1DC8">
        <w:rPr>
          <w:rFonts w:ascii="Narkisim" w:hAnsi="Narkisim" w:cs="Narkisim"/>
          <w:sz w:val="20"/>
          <w:szCs w:val="20"/>
          <w:rtl/>
        </w:rPr>
        <w:t>וה</w:t>
      </w:r>
      <w:r w:rsidRPr="00AF1DC8">
        <w:rPr>
          <w:rFonts w:ascii="Narkisim" w:hAnsi="Narkisim" w:cs="Narkisim"/>
          <w:b/>
          <w:bCs/>
          <w:sz w:val="20"/>
          <w:szCs w:val="20"/>
          <w:rtl/>
        </w:rPr>
        <w:t>רמב"ן</w:t>
      </w:r>
      <w:r w:rsidRPr="00AF1DC8">
        <w:rPr>
          <w:rFonts w:ascii="Narkisim" w:hAnsi="Narkisim" w:cs="Narkisim"/>
          <w:sz w:val="20"/>
          <w:szCs w:val="20"/>
          <w:rtl/>
        </w:rPr>
        <w:t xml:space="preserve"> כת' דמהאי טעמא אפשר שאינו אפי' פגום לכהונה, דרחמנא אפקריה לזרעיה דאב.</w:t>
      </w:r>
      <w:r w:rsidRPr="00AF1DC8">
        <w:rPr>
          <w:rFonts w:ascii="Narkisim" w:hAnsi="Narkisim" w:cs="Narkisim"/>
          <w:rtl/>
        </w:rPr>
        <w:t xml:space="preserve"> וה</w:t>
      </w:r>
      <w:r w:rsidRPr="00AF1DC8">
        <w:rPr>
          <w:rFonts w:ascii="Narkisim" w:hAnsi="Narkisim" w:cs="Narkisim"/>
          <w:b/>
          <w:bCs/>
          <w:rtl/>
        </w:rPr>
        <w:t>ריטב"א</w:t>
      </w:r>
      <w:r w:rsidRPr="00AF1DC8">
        <w:rPr>
          <w:rFonts w:ascii="Narkisim" w:hAnsi="Narkisim" w:cs="Narkisim"/>
          <w:rtl/>
        </w:rPr>
        <w:t xml:space="preserve"> ביאר דכיון שאין קידושין תופסין להם בשום מקום, אין הולד נגרר אחריהם כלל ואינו מתייחס אחריהם. ונגרר כולו אחר אמו</w:t>
      </w:r>
      <w:r w:rsidRPr="00AF1DC8">
        <w:rPr>
          <w:rFonts w:ascii="Narkisim" w:hAnsi="Narkisim" w:cs="Narkisim"/>
        </w:rPr>
        <w:t>.</w:t>
      </w:r>
    </w:p>
    <w:p w14:paraId="474ADE96"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תי' דהא דלא תפסי קידושין לאו משום חומרא דערוה אלא דאינהו לאו בני קידושין כלל, אפי' במינן. וה</w:t>
      </w:r>
      <w:r w:rsidRPr="00AF1DC8">
        <w:rPr>
          <w:rFonts w:ascii="Narkisim" w:hAnsi="Narkisim"/>
          <w:b/>
          <w:bCs/>
          <w:rtl/>
        </w:rPr>
        <w:t>קובה”ע</w:t>
      </w:r>
      <w:r w:rsidRPr="00AF1DC8">
        <w:rPr>
          <w:rFonts w:ascii="Narkisim" w:hAnsi="Narkisim"/>
          <w:rtl/>
        </w:rPr>
        <w:t xml:space="preserve"> (לה א) פי' [ע"פ דברי הרשב”א] דפליגי המ"ד בסוגיין האם תפיסת קידושין הוא </w:t>
      </w:r>
      <w:r w:rsidRPr="00AF1DC8">
        <w:rPr>
          <w:rFonts w:ascii="Narkisim" w:hAnsi="Narkisim"/>
          <w:i/>
          <w:iCs/>
          <w:rtl/>
        </w:rPr>
        <w:t>סימן</w:t>
      </w:r>
      <w:r w:rsidRPr="00AF1DC8">
        <w:rPr>
          <w:rFonts w:ascii="Narkisim" w:hAnsi="Narkisim"/>
          <w:rtl/>
        </w:rPr>
        <w:t xml:space="preserve"> או </w:t>
      </w:r>
      <w:r w:rsidRPr="00AF1DC8">
        <w:rPr>
          <w:rFonts w:ascii="Narkisim" w:hAnsi="Narkisim"/>
          <w:i/>
          <w:iCs/>
          <w:rtl/>
        </w:rPr>
        <w:t>סיבה</w:t>
      </w:r>
      <w:r w:rsidRPr="00AF1DC8">
        <w:rPr>
          <w:rFonts w:ascii="Narkisim" w:hAnsi="Narkisim"/>
          <w:rtl/>
        </w:rPr>
        <w:t xml:space="preserve"> לממזרות, והכא לא תפסי לא הוה מטעם ערוה, אלא דלאו בני קידושין. וה</w:t>
      </w:r>
      <w:r w:rsidRPr="00AF1DC8">
        <w:rPr>
          <w:rFonts w:ascii="Narkisim" w:hAnsi="Narkisim"/>
          <w:b/>
          <w:bCs/>
          <w:rtl/>
        </w:rPr>
        <w:t>קובה”ע</w:t>
      </w:r>
      <w:r w:rsidRPr="00AF1DC8">
        <w:rPr>
          <w:rFonts w:ascii="Narkisim" w:hAnsi="Narkisim"/>
          <w:rtl/>
        </w:rPr>
        <w:t xml:space="preserve"> (לז א) הוסיף דכיון דמניעת הקידושין מצד עצמן, לא הוי משום איסורא</w:t>
      </w:r>
      <w:r w:rsidRPr="00AF1DC8">
        <w:rPr>
          <w:rStyle w:val="ac"/>
          <w:rFonts w:ascii="Narkisim" w:hAnsi="Narkisim"/>
          <w:rtl/>
        </w:rPr>
        <w:footnoteReference w:id="2667"/>
      </w:r>
      <w:r w:rsidRPr="00AF1DC8">
        <w:rPr>
          <w:rFonts w:ascii="Narkisim" w:hAnsi="Narkisim"/>
        </w:rPr>
        <w:t>.</w:t>
      </w:r>
    </w:p>
    <w:p w14:paraId="1E4A08D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sz w:val="20"/>
          <w:szCs w:val="20"/>
          <w:rtl/>
        </w:rPr>
        <w:t xml:space="preserve"> (לז ב) </w:t>
      </w:r>
      <w:r w:rsidRPr="00AF1DC8">
        <w:rPr>
          <w:rFonts w:ascii="Narkisim" w:hAnsi="Narkisim"/>
          <w:rtl/>
        </w:rPr>
        <w:t xml:space="preserve">הק' דלמ"ד דאף באשת איש אינו ממזר, הרי הוה ערוה. ואמאי גרע משום דהעכו”ם אינו בר קידושי'. ותי' דכיון דהאיסור אינו </w:t>
      </w:r>
      <w:r w:rsidRPr="00AF1DC8">
        <w:rPr>
          <w:rFonts w:ascii="Narkisim" w:hAnsi="Narkisim"/>
          <w:i/>
          <w:iCs/>
          <w:rtl/>
        </w:rPr>
        <w:t>גורם</w:t>
      </w:r>
      <w:r w:rsidRPr="00AF1DC8">
        <w:rPr>
          <w:rFonts w:ascii="Narkisim" w:hAnsi="Narkisim"/>
          <w:rtl/>
        </w:rPr>
        <w:t xml:space="preserve"> למניעת הקידושין אינו ממזר. </w:t>
      </w:r>
      <w:r w:rsidRPr="00AF1DC8">
        <w:rPr>
          <w:rFonts w:ascii="Narkisim" w:hAnsi="Narkisim"/>
          <w:sz w:val="20"/>
          <w:szCs w:val="20"/>
          <w:rtl/>
        </w:rPr>
        <w:t>[וכעי"ז כת' בחי' ר' ראובן כג].</w:t>
      </w:r>
      <w:r w:rsidRPr="00AF1DC8">
        <w:rPr>
          <w:rFonts w:ascii="Narkisim" w:hAnsi="Narkisim"/>
          <w:rtl/>
        </w:rPr>
        <w:t xml:space="preserve"> </w:t>
      </w:r>
      <w:r w:rsidRPr="00AF1DC8">
        <w:rPr>
          <w:rFonts w:ascii="Narkisim" w:hAnsi="Narkisim"/>
          <w:sz w:val="20"/>
          <w:szCs w:val="20"/>
          <w:rtl/>
        </w:rPr>
        <w:t>וה</w:t>
      </w:r>
      <w:r w:rsidRPr="00AF1DC8">
        <w:rPr>
          <w:rFonts w:ascii="Narkisim" w:hAnsi="Narkisim"/>
          <w:b/>
          <w:bCs/>
          <w:sz w:val="20"/>
          <w:szCs w:val="20"/>
          <w:rtl/>
        </w:rPr>
        <w:t>אבי עזרי</w:t>
      </w:r>
      <w:r w:rsidRPr="00AF1DC8">
        <w:rPr>
          <w:rFonts w:ascii="Narkisim" w:hAnsi="Narkisim"/>
          <w:sz w:val="20"/>
          <w:szCs w:val="20"/>
          <w:rtl/>
        </w:rPr>
        <w:t xml:space="preserve"> (איסו"ב יב ט) כת' לתרץ דבעכו"ם לא שייך שיהא ממזר מצד חומר איסור א"א, לדעת ר"ת [תוס' כתובות ג] דרחמנא אפקריה וכביאת בהמה</w:t>
      </w:r>
      <w:r w:rsidRPr="00AF1DC8">
        <w:rPr>
          <w:rStyle w:val="ac"/>
          <w:rFonts w:ascii="Narkisim" w:hAnsi="Narkisim"/>
          <w:sz w:val="20"/>
          <w:szCs w:val="20"/>
          <w:rtl/>
        </w:rPr>
        <w:footnoteReference w:id="2668"/>
      </w:r>
      <w:r w:rsidRPr="00AF1DC8">
        <w:rPr>
          <w:rFonts w:ascii="Narkisim" w:hAnsi="Narkisim"/>
          <w:sz w:val="20"/>
          <w:szCs w:val="20"/>
        </w:rPr>
        <w:t>.</w:t>
      </w:r>
      <w:r w:rsidRPr="00AF1DC8">
        <w:rPr>
          <w:rStyle w:val="ac"/>
          <w:rFonts w:ascii="Narkisim" w:hAnsi="Narkisim"/>
          <w:sz w:val="20"/>
          <w:szCs w:val="20"/>
        </w:rPr>
        <w:footnoteReference w:id="2669"/>
      </w:r>
    </w:p>
    <w:p w14:paraId="19430777" w14:textId="77777777" w:rsidR="006074A5" w:rsidRPr="00AF1DC8" w:rsidRDefault="006074A5" w:rsidP="006074A5">
      <w:pPr>
        <w:pStyle w:val="a7"/>
        <w:bidi/>
        <w:rPr>
          <w:rFonts w:ascii="Narkisim" w:hAnsi="Narkisim"/>
        </w:rPr>
      </w:pPr>
      <w:r w:rsidRPr="00AF1DC8">
        <w:rPr>
          <w:rFonts w:ascii="Narkisim" w:hAnsi="Narkisim"/>
          <w:rtl/>
        </w:rPr>
        <w:lastRenderedPageBreak/>
        <w:t xml:space="preserve">אבל </w:t>
      </w:r>
      <w:r w:rsidRPr="00AF1DC8">
        <w:rPr>
          <w:rFonts w:ascii="Narkisim" w:hAnsi="Narkisim"/>
          <w:b/>
          <w:bCs/>
          <w:rtl/>
        </w:rPr>
        <w:t>ר"ת</w:t>
      </w:r>
      <w:r w:rsidRPr="00AF1DC8">
        <w:rPr>
          <w:rFonts w:ascii="Narkisim" w:hAnsi="Narkisim"/>
          <w:rtl/>
        </w:rPr>
        <w:t xml:space="preserve"> (בתוס' מט:) כתב דיבמה לשוק</w:t>
      </w:r>
      <w:r w:rsidRPr="00AF1DC8">
        <w:rPr>
          <w:rStyle w:val="ac"/>
          <w:rFonts w:ascii="Narkisim" w:hAnsi="Narkisim"/>
          <w:rtl/>
        </w:rPr>
        <w:footnoteReference w:id="2670"/>
      </w:r>
      <w:r w:rsidRPr="00AF1DC8">
        <w:rPr>
          <w:rFonts w:ascii="Narkisim" w:hAnsi="Narkisim"/>
        </w:rPr>
        <w:t xml:space="preserve"> </w:t>
      </w:r>
      <w:r w:rsidRPr="00AF1DC8">
        <w:rPr>
          <w:rFonts w:ascii="Narkisim" w:hAnsi="Narkisim"/>
          <w:rtl/>
        </w:rPr>
        <w:t>כיון דאין קידושין תופסים לשום אדם</w:t>
      </w:r>
      <w:r w:rsidRPr="00AF1DC8">
        <w:rPr>
          <w:rStyle w:val="ac"/>
          <w:rFonts w:ascii="Narkisim" w:hAnsi="Narkisim"/>
          <w:rtl/>
        </w:rPr>
        <w:footnoteReference w:id="2671"/>
      </w:r>
      <w:r w:rsidRPr="00AF1DC8">
        <w:rPr>
          <w:rFonts w:ascii="Narkisim" w:hAnsi="Narkisim"/>
        </w:rPr>
        <w:t xml:space="preserve">, </w:t>
      </w:r>
      <w:r w:rsidRPr="00AF1DC8">
        <w:rPr>
          <w:rFonts w:ascii="Narkisim" w:hAnsi="Narkisim"/>
          <w:rtl/>
        </w:rPr>
        <w:t>אין הולד ממזר. וכתבו דלמ”ד דעכו"ם ועבד הוה הולד ממזר, דיבמה ראויה עומדת לחלוץ וחשיבא בת תפיסת קידושין. ומבואר בזה דכל אשה דאין בה צד קידושין לא הוה הולד ממזר</w:t>
      </w:r>
      <w:r w:rsidRPr="00AF1DC8">
        <w:rPr>
          <w:rStyle w:val="ac"/>
          <w:rFonts w:ascii="Narkisim" w:hAnsi="Narkisim"/>
          <w:rtl/>
        </w:rPr>
        <w:footnoteReference w:id="2672"/>
      </w:r>
      <w:r w:rsidRPr="00AF1DC8">
        <w:rPr>
          <w:rFonts w:ascii="Narkisim" w:hAnsi="Narkisim"/>
        </w:rPr>
        <w:t>.</w:t>
      </w:r>
      <w:r w:rsidRPr="00AF1DC8">
        <w:rPr>
          <w:rFonts w:ascii="Narkisim" w:hAnsi="Narkisim"/>
          <w:sz w:val="20"/>
          <w:szCs w:val="20"/>
        </w:rPr>
        <w:t xml:space="preserve"> </w:t>
      </w:r>
      <w:r w:rsidRPr="00AF1DC8">
        <w:rPr>
          <w:rFonts w:ascii="Narkisim" w:hAnsi="Narkisim"/>
          <w:sz w:val="20"/>
          <w:szCs w:val="20"/>
          <w:rtl/>
        </w:rPr>
        <w:t>וה</w:t>
      </w:r>
      <w:r w:rsidRPr="00AF1DC8">
        <w:rPr>
          <w:rFonts w:ascii="Narkisim" w:hAnsi="Narkisim"/>
          <w:b/>
          <w:bCs/>
          <w:sz w:val="20"/>
          <w:szCs w:val="20"/>
          <w:rtl/>
        </w:rPr>
        <w:t>אחרונים</w:t>
      </w:r>
      <w:r w:rsidRPr="00AF1DC8">
        <w:rPr>
          <w:rFonts w:ascii="Narkisim" w:hAnsi="Narkisim"/>
          <w:sz w:val="20"/>
          <w:szCs w:val="20"/>
          <w:rtl/>
        </w:rPr>
        <w:t xml:space="preserve"> הקשו א”כ שומרת יבם שהיא ג”כ ערוה</w:t>
      </w:r>
      <w:r w:rsidRPr="00AF1DC8">
        <w:rPr>
          <w:rStyle w:val="ac"/>
          <w:rFonts w:ascii="Narkisim" w:hAnsi="Narkisim"/>
          <w:sz w:val="20"/>
          <w:szCs w:val="20"/>
          <w:rtl/>
        </w:rPr>
        <w:footnoteReference w:id="2673"/>
      </w:r>
      <w:r w:rsidRPr="00AF1DC8">
        <w:rPr>
          <w:rFonts w:ascii="Narkisim" w:hAnsi="Narkisim"/>
          <w:sz w:val="20"/>
          <w:szCs w:val="20"/>
        </w:rPr>
        <w:t xml:space="preserve"> </w:t>
      </w:r>
      <w:r w:rsidRPr="00AF1DC8">
        <w:rPr>
          <w:rFonts w:ascii="Narkisim" w:hAnsi="Narkisim"/>
          <w:sz w:val="20"/>
          <w:szCs w:val="20"/>
          <w:rtl/>
        </w:rPr>
        <w:t>נימא דהולד לא יהא ממזר, דאסורה על כו”ע. [וע"ע לקמן שם</w:t>
      </w:r>
      <w:r w:rsidRPr="00AF1DC8">
        <w:rPr>
          <w:rStyle w:val="ac"/>
          <w:rFonts w:ascii="Narkisim" w:hAnsi="Narkisim"/>
          <w:sz w:val="20"/>
          <w:szCs w:val="20"/>
          <w:rtl/>
        </w:rPr>
        <w:footnoteReference w:id="2674"/>
      </w:r>
      <w:r w:rsidRPr="00AF1DC8">
        <w:rPr>
          <w:rFonts w:ascii="Narkisim" w:hAnsi="Narkisim"/>
          <w:sz w:val="20"/>
          <w:szCs w:val="20"/>
          <w:rtl/>
        </w:rPr>
        <w:t>]</w:t>
      </w:r>
      <w:r w:rsidRPr="00AF1DC8">
        <w:rPr>
          <w:rFonts w:ascii="Narkisim" w:hAnsi="Narkisim"/>
          <w:sz w:val="20"/>
          <w:szCs w:val="20"/>
        </w:rPr>
        <w:t>.</w:t>
      </w:r>
    </w:p>
    <w:p w14:paraId="3B821967" w14:textId="77777777" w:rsidR="006074A5" w:rsidRPr="00AF1DC8" w:rsidRDefault="006074A5" w:rsidP="006074A5">
      <w:pPr>
        <w:pStyle w:val="aa"/>
        <w:bidi/>
        <w:rPr>
          <w:rFonts w:ascii="Narkisim" w:hAnsi="Narkisim"/>
        </w:rPr>
      </w:pPr>
      <w:r w:rsidRPr="00AF1DC8">
        <w:rPr>
          <w:rFonts w:ascii="Narkisim" w:hAnsi="Narkisim"/>
          <w:rtl/>
        </w:rPr>
        <w:t>ו</w:t>
      </w:r>
      <w:r w:rsidRPr="00AF1DC8">
        <w:rPr>
          <w:rFonts w:ascii="Narkisim" w:hAnsi="Narkisim"/>
          <w:b/>
          <w:bCs/>
          <w:rtl/>
        </w:rPr>
        <w:t>רע"א</w:t>
      </w:r>
      <w:r w:rsidRPr="00AF1DC8">
        <w:rPr>
          <w:rFonts w:ascii="Narkisim" w:hAnsi="Narkisim"/>
          <w:rtl/>
        </w:rPr>
        <w:t xml:space="preserve"> (אה"ע ד יט) הביא דה</w:t>
      </w:r>
      <w:r w:rsidRPr="00AF1DC8">
        <w:rPr>
          <w:rFonts w:ascii="Narkisim" w:hAnsi="Narkisim"/>
          <w:b/>
          <w:bCs/>
          <w:rtl/>
        </w:rPr>
        <w:t>פרמ"ג</w:t>
      </w:r>
      <w:r w:rsidRPr="00AF1DC8">
        <w:rPr>
          <w:rFonts w:ascii="Narkisim" w:hAnsi="Narkisim"/>
          <w:rtl/>
        </w:rPr>
        <w:t xml:space="preserve"> (פתיחה כוללת ח"ב ז) [נסתפק] דחרש או שוטה שבא על אשת איש האם הולד ממזר, דכיון דאין לו קידושין. או דלמא חרש ושוטה הוה בני מצווה ויש במינן קידושין, אלא שאין להם דעת לקנות. ול”ד לעכו"ם ועבד שאין במינם קידושין</w:t>
      </w:r>
      <w:r w:rsidRPr="00AF1DC8">
        <w:rPr>
          <w:rFonts w:ascii="Narkisim" w:hAnsi="Narkisim"/>
        </w:rPr>
        <w:t>.</w:t>
      </w:r>
    </w:p>
    <w:p w14:paraId="09154E9A" w14:textId="77777777" w:rsidR="006074A5" w:rsidRPr="00AF1DC8" w:rsidRDefault="006074A5" w:rsidP="006074A5">
      <w:pPr>
        <w:bidi/>
        <w:rPr>
          <w:rFonts w:ascii="Narkisim" w:hAnsi="Narkisim" w:cs="Narkisim"/>
        </w:rPr>
      </w:pPr>
      <w:r w:rsidRPr="00AF1DC8">
        <w:rPr>
          <w:rFonts w:ascii="Narkisim" w:hAnsi="Narkisim" w:cs="Narkisim"/>
          <w:u w:val="single"/>
          <w:rtl/>
        </w:rPr>
        <w:t>רבא אכשריה לרב מרי בר רחל</w:t>
      </w:r>
      <w:r w:rsidRPr="00AF1DC8">
        <w:rPr>
          <w:rStyle w:val="ac"/>
          <w:rFonts w:ascii="Narkisim" w:hAnsi="Narkisim" w:cs="Narkisim"/>
          <w:u w:val="single"/>
          <w:rtl/>
        </w:rPr>
        <w:footnoteReference w:id="2675"/>
      </w:r>
      <w:r w:rsidRPr="00AF1DC8">
        <w:rPr>
          <w:rFonts w:ascii="Narkisim" w:hAnsi="Narkisim" w:cs="Narkisim"/>
          <w:u w:val="single"/>
        </w:rPr>
        <w:t xml:space="preserve"> </w:t>
      </w:r>
      <w:r w:rsidRPr="00AF1DC8">
        <w:rPr>
          <w:rFonts w:ascii="Narkisim" w:hAnsi="Narkisim" w:cs="Narkisim"/>
          <w:u w:val="single"/>
          <w:rtl/>
        </w:rPr>
        <w:t>וכו' כיון דאמו מישראל מקרב אחיך קרינן ביה</w:t>
      </w:r>
      <w:r w:rsidRPr="00AF1DC8">
        <w:rPr>
          <w:rFonts w:ascii="Narkisim" w:hAnsi="Narkisim" w:cs="Narkisim"/>
          <w:rtl/>
        </w:rPr>
        <w:t>. מבואר דלענין זה עכו"ם הבא על בת ישראל עדיף מגר שנתגייר</w:t>
      </w:r>
      <w:r w:rsidRPr="00AF1DC8">
        <w:rPr>
          <w:rStyle w:val="ac"/>
          <w:rFonts w:ascii="Narkisim" w:hAnsi="Narkisim" w:cs="Narkisim"/>
          <w:rtl/>
        </w:rPr>
        <w:footnoteReference w:id="2676"/>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רמב"ם</w:t>
      </w:r>
      <w:r w:rsidRPr="00AF1DC8">
        <w:rPr>
          <w:rFonts w:ascii="Narkisim" w:hAnsi="Narkisim" w:cs="Narkisim"/>
          <w:rtl/>
        </w:rPr>
        <w:t xml:space="preserve"> (מלכים א ד) כת' דגר אפי' לאחר כמה דורות [דהיינו שאביו ואמו גרים] אין ממנין אותו למלכות או לשום שררה. אא"כ אמו מישראל</w:t>
      </w:r>
      <w:r w:rsidRPr="00AF1DC8">
        <w:rPr>
          <w:rFonts w:ascii="Narkisim" w:hAnsi="Narkisim" w:cs="Narkisim"/>
        </w:rPr>
        <w:t>.</w:t>
      </w:r>
    </w:p>
    <w:p w14:paraId="117516AE"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w:t>
      </w:r>
      <w:r w:rsidRPr="00AF1DC8">
        <w:rPr>
          <w:rFonts w:ascii="Narkisim" w:hAnsi="Narkisim"/>
          <w:b/>
          <w:bCs/>
          <w:rtl/>
        </w:rPr>
        <w:t>י"מ</w:t>
      </w:r>
      <w:r w:rsidRPr="00AF1DC8">
        <w:rPr>
          <w:rFonts w:ascii="Narkisim" w:hAnsi="Narkisim"/>
          <w:rtl/>
        </w:rPr>
        <w:t xml:space="preserve"> דלענין מלכות פסול אף גר שנשא בת ישראל [והורתו ולידתו בקדושה]. והא דאי' (בתוספתא הו' בתוס') דבעי' משיאין לכהונה, היינו שאביו ואמו משיאין לכהונה</w:t>
      </w:r>
      <w:r w:rsidRPr="00AF1DC8">
        <w:rPr>
          <w:rFonts w:ascii="Narkisim" w:hAnsi="Narkisim"/>
        </w:rPr>
        <w:t>.</w:t>
      </w:r>
    </w:p>
    <w:p w14:paraId="53F3D58B" w14:textId="77777777" w:rsidR="006074A5" w:rsidRPr="00AF1DC8" w:rsidRDefault="006074A5" w:rsidP="006074A5">
      <w:pPr>
        <w:bidi/>
        <w:rPr>
          <w:rFonts w:ascii="Narkisim" w:hAnsi="Narkisim" w:cs="Narkisim"/>
        </w:rPr>
      </w:pPr>
      <w:r w:rsidRPr="00AF1DC8">
        <w:rPr>
          <w:rFonts w:ascii="Narkisim" w:hAnsi="Narkisim" w:cs="Narkisim"/>
          <w:u w:val="single"/>
          <w:rtl/>
        </w:rPr>
        <w:t>תוד"ה כיון.</w:t>
      </w:r>
      <w:r w:rsidRPr="00AF1DC8">
        <w:rPr>
          <w:rFonts w:ascii="Narkisim" w:hAnsi="Narkisim" w:cs="Narkisim"/>
          <w:rtl/>
        </w:rPr>
        <w:t xml:space="preserve"> מכאן קשה לפ"ה (סוטה מא:) גבי אגריפס וכו' ופ"ה שהיתה אמו מישראל</w:t>
      </w:r>
      <w:r w:rsidRPr="00AF1DC8">
        <w:rPr>
          <w:rStyle w:val="ac"/>
          <w:rFonts w:ascii="Narkisim" w:hAnsi="Narkisim" w:cs="Narkisim"/>
          <w:rtl/>
        </w:rPr>
        <w:footnoteReference w:id="2677"/>
      </w:r>
      <w:r w:rsidRPr="00AF1DC8">
        <w:rPr>
          <w:rFonts w:ascii="Narkisim" w:hAnsi="Narkisim" w:cs="Narkisim"/>
        </w:rPr>
        <w:t xml:space="preserve"> </w:t>
      </w:r>
      <w:r w:rsidRPr="00AF1DC8">
        <w:rPr>
          <w:rFonts w:ascii="Narkisim" w:hAnsi="Narkisim" w:cs="Narkisim"/>
          <w:rtl/>
        </w:rPr>
        <w:t>וכו'. ותוס' הק' דבסוגיין מבואר דהיכא דאמו מישראל נחשב בקרב אחיך, והא דאי' בתוספתא דאין מעמידים מלך הוה איסור דרבנן וכו'. [ותוס' הוכיחו דלא היה אמו מישראל]</w:t>
      </w:r>
      <w:r w:rsidRPr="00AF1DC8">
        <w:rPr>
          <w:rFonts w:ascii="Narkisim" w:hAnsi="Narkisim" w:cs="Narkisim"/>
        </w:rPr>
        <w:t>.</w:t>
      </w:r>
    </w:p>
    <w:p w14:paraId="4C542883" w14:textId="77777777" w:rsidR="006074A5" w:rsidRPr="00AF1DC8" w:rsidRDefault="006074A5" w:rsidP="006074A5">
      <w:pPr>
        <w:pStyle w:val="a7"/>
        <w:bidi/>
        <w:rPr>
          <w:rFonts w:ascii="Narkisim" w:hAnsi="Narkisim"/>
        </w:rPr>
      </w:pPr>
      <w:r w:rsidRPr="00AF1DC8">
        <w:rPr>
          <w:rFonts w:ascii="Narkisim" w:hAnsi="Narkisim"/>
          <w:rtl/>
        </w:rPr>
        <w:t xml:space="preserve">אך </w:t>
      </w:r>
      <w:r w:rsidRPr="00AF1DC8">
        <w:rPr>
          <w:rFonts w:ascii="Narkisim" w:hAnsi="Narkisim"/>
          <w:b/>
          <w:bCs/>
          <w:rtl/>
        </w:rPr>
        <w:t>רש"י</w:t>
      </w:r>
      <w:r w:rsidRPr="00AF1DC8">
        <w:rPr>
          <w:rFonts w:ascii="Narkisim" w:hAnsi="Narkisim"/>
          <w:rtl/>
        </w:rPr>
        <w:t xml:space="preserve"> (סוטה מא:) כת' דאינו ראוי למלכות אע”ג דאמו מישראל, דזילא מילתא. ומשמע דהוה איסור מדרבנן. [ואפ"ה נחשב חנופה</w:t>
      </w:r>
      <w:r w:rsidRPr="00AF1DC8">
        <w:rPr>
          <w:rStyle w:val="ac"/>
          <w:rFonts w:ascii="Narkisim" w:hAnsi="Narkisim"/>
          <w:rtl/>
        </w:rPr>
        <w:footnoteReference w:id="2678"/>
      </w:r>
      <w:r w:rsidRPr="00AF1DC8">
        <w:rPr>
          <w:rFonts w:ascii="Narkisim" w:hAnsi="Narkisim"/>
          <w:rtl/>
        </w:rPr>
        <w:t>]</w:t>
      </w:r>
      <w:r w:rsidRPr="00AF1DC8">
        <w:rPr>
          <w:rFonts w:ascii="Narkisim" w:hAnsi="Narkisim"/>
        </w:rPr>
        <w:t>.</w:t>
      </w:r>
    </w:p>
    <w:p w14:paraId="53A2FC76"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(סוטה מא: ד"ה אותו)</w:t>
      </w:r>
      <w:r w:rsidRPr="00AF1DC8">
        <w:rPr>
          <w:rFonts w:ascii="Narkisim" w:hAnsi="Narkisim"/>
          <w:rtl/>
        </w:rPr>
        <w:t xml:space="preserve"> כת' דגבי מלך חזר ושנה קפיד קרא שיהא ממוצע מאביו ואמו מישראל</w:t>
      </w:r>
      <w:r w:rsidRPr="00AF1DC8">
        <w:rPr>
          <w:rStyle w:val="ac"/>
          <w:rFonts w:ascii="Narkisim" w:hAnsi="Narkisim"/>
          <w:rtl/>
        </w:rPr>
        <w:footnoteReference w:id="2679"/>
      </w:r>
      <w:r w:rsidRPr="00AF1DC8">
        <w:rPr>
          <w:rFonts w:ascii="Narkisim" w:hAnsi="Narkisim"/>
        </w:rPr>
        <w:t xml:space="preserve">. </w:t>
      </w:r>
      <w:r w:rsidRPr="00AF1DC8">
        <w:rPr>
          <w:rFonts w:ascii="Narkisim" w:hAnsi="Narkisim"/>
          <w:rtl/>
        </w:rPr>
        <w:t>ואף דבסוגיין מבואר דאמו מישראל חשיב מקרב אחיך ה"מ לנשיאות ושררה, אבל במלכות צריך ישראל גמור [מדאורייתא]</w:t>
      </w:r>
      <w:r w:rsidRPr="00AF1DC8">
        <w:rPr>
          <w:rFonts w:ascii="Narkisim" w:hAnsi="Narkisim"/>
        </w:rPr>
        <w:t>.</w:t>
      </w:r>
    </w:p>
    <w:p w14:paraId="2EBC10A9" w14:textId="77777777" w:rsidR="006074A5" w:rsidRPr="00AF1DC8" w:rsidRDefault="006074A5" w:rsidP="006074A5">
      <w:pPr>
        <w:pStyle w:val="a8"/>
        <w:bidi/>
        <w:rPr>
          <w:rFonts w:ascii="Narkisim" w:hAnsi="Narkisim"/>
        </w:rPr>
      </w:pPr>
      <w:r w:rsidRPr="00AF1DC8">
        <w:rPr>
          <w:rFonts w:ascii="Narkisim" w:hAnsi="Narkisim"/>
          <w:rtl/>
        </w:rPr>
        <w:t>וכן ה</w:t>
      </w:r>
      <w:r w:rsidRPr="00AF1DC8">
        <w:rPr>
          <w:rFonts w:ascii="Narkisim" w:hAnsi="Narkisim"/>
          <w:b/>
          <w:bCs/>
          <w:rtl/>
        </w:rPr>
        <w:t>רמב"ן</w:t>
      </w:r>
      <w:r w:rsidRPr="00AF1DC8">
        <w:rPr>
          <w:rFonts w:ascii="Narkisim" w:hAnsi="Narkisim"/>
          <w:rtl/>
        </w:rPr>
        <w:t xml:space="preserve"> כת' דלגבי מלכות דרשי' ממובחר שבאחיך, ובעי' משיאין לכהונה [מדאוריירתא]. ואילו לשאר שררה דרשי' איש נכרי אשר לא אחיך הוא. דלשאר משימות סגי באמו מישראל</w:t>
      </w:r>
      <w:r w:rsidRPr="00AF1DC8">
        <w:rPr>
          <w:rStyle w:val="ac"/>
          <w:rFonts w:ascii="Narkisim" w:hAnsi="Narkisim"/>
          <w:rtl/>
        </w:rPr>
        <w:footnoteReference w:id="2680"/>
      </w:r>
      <w:r w:rsidRPr="00AF1DC8">
        <w:rPr>
          <w:rFonts w:ascii="Narkisim" w:hAnsi="Narkisim"/>
        </w:rPr>
        <w:t>.</w:t>
      </w:r>
    </w:p>
    <w:p w14:paraId="7FD7FC68"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(לז י, קוב”ש ב”ב כג) חקר האם 'מקרב אחיך' הוה דין במינוי [ועפ”ז ביאר הא דמהני ירושה, דאי”ז מינוי], ואילו מינו שלא כדין יתכן דחל בדיעבד. אך </w:t>
      </w:r>
      <w:r w:rsidRPr="00AF1DC8">
        <w:rPr>
          <w:rFonts w:ascii="Narkisim" w:hAnsi="Narkisim"/>
          <w:b/>
          <w:bCs/>
          <w:rtl/>
        </w:rPr>
        <w:t>תוס</w:t>
      </w:r>
      <w:r w:rsidRPr="00AF1DC8">
        <w:rPr>
          <w:rFonts w:ascii="Narkisim" w:hAnsi="Narkisim"/>
          <w:rtl/>
        </w:rPr>
        <w:t xml:space="preserve">' (כתובות יז.) כת' דאגריפס לא הוה מלך גמור, דלא הוה </w:t>
      </w:r>
      <w:r w:rsidRPr="00AF1DC8">
        <w:rPr>
          <w:rFonts w:ascii="Narkisim" w:hAnsi="Narkisim"/>
          <w:rtl/>
        </w:rPr>
        <w:lastRenderedPageBreak/>
        <w:t>מקרב אחיך</w:t>
      </w:r>
      <w:r w:rsidRPr="00AF1DC8">
        <w:rPr>
          <w:rStyle w:val="ac"/>
          <w:rFonts w:ascii="Narkisim" w:hAnsi="Narkisim"/>
          <w:rtl/>
        </w:rPr>
        <w:footnoteReference w:id="2681"/>
      </w:r>
      <w:r w:rsidRPr="00AF1DC8">
        <w:rPr>
          <w:rFonts w:ascii="Narkisim" w:hAnsi="Narkisim"/>
        </w:rPr>
        <w:t>.</w:t>
      </w:r>
    </w:p>
    <w:p w14:paraId="1BFB19E5"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ו</w:t>
      </w:r>
      <w:r w:rsidRPr="00AF1DC8">
        <w:rPr>
          <w:rFonts w:ascii="Narkisim" w:hAnsi="Narkisim" w:cs="Narkisim"/>
          <w:b/>
          <w:bCs/>
          <w:rtl/>
        </w:rPr>
        <w:t>תוס</w:t>
      </w:r>
      <w:r w:rsidRPr="00AF1DC8">
        <w:rPr>
          <w:rFonts w:ascii="Narkisim" w:hAnsi="Narkisim" w:cs="Narkisim"/>
          <w:rtl/>
        </w:rPr>
        <w:t>' (סוטה הנ"ל) נקטו דבעינן שיהא אביו ואמו מישראל, לכאו' משמע דישראל שנשא גיורת הבן לא נחשב משיאין לכהונה</w:t>
      </w:r>
      <w:r w:rsidRPr="00AF1DC8">
        <w:rPr>
          <w:rStyle w:val="ac"/>
          <w:rFonts w:ascii="Narkisim" w:hAnsi="Narkisim" w:cs="Narkisim"/>
          <w:rtl/>
        </w:rPr>
        <w:footnoteReference w:id="2682"/>
      </w:r>
      <w:r w:rsidRPr="00AF1DC8">
        <w:rPr>
          <w:rFonts w:ascii="Narkisim" w:hAnsi="Narkisim" w:cs="Narkisim"/>
        </w:rPr>
        <w:t xml:space="preserve">. </w:t>
      </w:r>
      <w:r w:rsidRPr="00AF1DC8">
        <w:rPr>
          <w:rFonts w:ascii="Narkisim" w:hAnsi="Narkisim" w:cs="Narkisim"/>
          <w:rtl/>
        </w:rPr>
        <w:t>אבל דעת ה</w:t>
      </w:r>
      <w:r w:rsidRPr="00AF1DC8">
        <w:rPr>
          <w:rFonts w:ascii="Narkisim" w:hAnsi="Narkisim" w:cs="Narkisim"/>
          <w:b/>
          <w:bCs/>
          <w:rtl/>
        </w:rPr>
        <w:t>רמב"ם</w:t>
      </w:r>
      <w:r w:rsidRPr="00AF1DC8">
        <w:rPr>
          <w:rFonts w:ascii="Narkisim" w:hAnsi="Narkisim" w:cs="Narkisim"/>
          <w:rtl/>
        </w:rPr>
        <w:t xml:space="preserve"> (מלכים א ד הנ”ל) דסגי באביו או אמו מישראל. וכ"ד ה</w:t>
      </w:r>
      <w:r w:rsidRPr="00AF1DC8">
        <w:rPr>
          <w:rFonts w:ascii="Narkisim" w:hAnsi="Narkisim" w:cs="Narkisim"/>
          <w:b/>
          <w:bCs/>
          <w:rtl/>
        </w:rPr>
        <w:t>רמב"ן</w:t>
      </w:r>
      <w:r w:rsidRPr="00AF1DC8">
        <w:rPr>
          <w:rFonts w:ascii="Narkisim" w:hAnsi="Narkisim" w:cs="Narkisim"/>
          <w:rtl/>
        </w:rPr>
        <w:t xml:space="preserve"> (כאן בסו"ד בשם תוס') דל"צ אביו ואמו [בדייני חליצה], ואביו לחוד סגי, דהכל הולך אחר הזכר</w:t>
      </w:r>
      <w:r w:rsidRPr="00AF1DC8">
        <w:rPr>
          <w:rFonts w:ascii="Narkisim" w:hAnsi="Narkisim" w:cs="Narkisim"/>
        </w:rPr>
        <w:t>.</w:t>
      </w:r>
    </w:p>
    <w:p w14:paraId="0B1D2044"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(וכן ה</w:t>
      </w:r>
      <w:r w:rsidRPr="00AF1DC8">
        <w:rPr>
          <w:rFonts w:ascii="Narkisim" w:hAnsi="Narkisim"/>
          <w:b/>
          <w:bCs/>
          <w:rtl/>
        </w:rPr>
        <w:t>כס"מ</w:t>
      </w:r>
      <w:r w:rsidRPr="00AF1DC8">
        <w:rPr>
          <w:rFonts w:ascii="Narkisim" w:hAnsi="Narkisim"/>
          <w:rtl/>
        </w:rPr>
        <w:t xml:space="preserve"> שם) כת' דרחבעם בן שלמה יוכיח, שהיה כשר למלך, ואף דאמו היתה גיורת. וה</w:t>
      </w:r>
      <w:r w:rsidRPr="00AF1DC8">
        <w:rPr>
          <w:rFonts w:ascii="Narkisim" w:hAnsi="Narkisim"/>
          <w:b/>
          <w:bCs/>
          <w:rtl/>
        </w:rPr>
        <w:t>נוב"י</w:t>
      </w:r>
      <w:r w:rsidRPr="00AF1DC8">
        <w:rPr>
          <w:rFonts w:ascii="Narkisim" w:hAnsi="Narkisim"/>
          <w:rtl/>
        </w:rPr>
        <w:t xml:space="preserve"> (חו"מ ק' א, וחת”ס או”ח יב) תי' דהיה מלך בן מלך, וכיון שהוא ירושה אי"צ אמו מישראל. וה</w:t>
      </w:r>
      <w:r w:rsidRPr="00AF1DC8">
        <w:rPr>
          <w:rFonts w:ascii="Narkisim" w:hAnsi="Narkisim"/>
          <w:b/>
          <w:bCs/>
          <w:rtl/>
        </w:rPr>
        <w:t>מנח"ח</w:t>
      </w:r>
      <w:r w:rsidRPr="00AF1DC8">
        <w:rPr>
          <w:rFonts w:ascii="Narkisim" w:hAnsi="Narkisim"/>
          <w:rtl/>
        </w:rPr>
        <w:t xml:space="preserve"> (תצח ב) כתב דאפשר דכוונת התוס' דוקא ישראל הבא על נכרית ושפחה [דאינו מיוחס אחריו]. אבל כשאמו גיורת אינו פסול</w:t>
      </w:r>
      <w:r w:rsidRPr="00AF1DC8">
        <w:rPr>
          <w:rFonts w:ascii="Narkisim" w:hAnsi="Narkisim"/>
        </w:rPr>
        <w:t>.</w:t>
      </w:r>
    </w:p>
    <w:p w14:paraId="776B7B69" w14:textId="77777777" w:rsidR="006074A5" w:rsidRPr="00AF1DC8" w:rsidRDefault="006074A5" w:rsidP="006074A5">
      <w:pPr>
        <w:pStyle w:val="aa"/>
        <w:bidi/>
        <w:rPr>
          <w:rFonts w:ascii="Narkisim" w:hAnsi="Narkisim"/>
        </w:rPr>
      </w:pPr>
      <w:r w:rsidRPr="00AF1DC8">
        <w:rPr>
          <w:rFonts w:ascii="Narkisim" w:hAnsi="Narkisim"/>
          <w:u w:val="single"/>
          <w:rtl/>
        </w:rPr>
        <w:t>בא"ד ואע"ג דתניא בתוספתא אין מעמידין מלך אלא מן המשיאים לכהונה וכו'</w:t>
      </w:r>
      <w:r w:rsidRPr="00AF1DC8">
        <w:rPr>
          <w:rFonts w:ascii="Narkisim" w:hAnsi="Narkisim"/>
          <w:rtl/>
        </w:rPr>
        <w:t>. [ותוס' כת' דהוה מדרבנן, וכדאי' (קידושין עו:) דלא מוקמינן פסולים. ולס”ד דתוס' אף גרים לא העמידו]. ועכו"ם ועבד הבא על בת ישראל פגום לכהונה, וכר' יהושע ב"ל (בע"א)</w:t>
      </w:r>
      <w:r w:rsidRPr="00AF1DC8">
        <w:rPr>
          <w:rFonts w:ascii="Narkisim" w:hAnsi="Narkisim"/>
        </w:rPr>
        <w:t>.</w:t>
      </w:r>
    </w:p>
    <w:p w14:paraId="716A5983" w14:textId="77777777" w:rsidR="006074A5" w:rsidRPr="00AF1DC8" w:rsidRDefault="006074A5" w:rsidP="006074A5">
      <w:pPr>
        <w:pStyle w:val="aa"/>
        <w:bidi/>
        <w:rPr>
          <w:rFonts w:ascii="Narkisim" w:hAnsi="Narkisim"/>
        </w:rPr>
      </w:pPr>
      <w:r w:rsidRPr="00AF1DC8">
        <w:rPr>
          <w:rFonts w:ascii="Narkisim" w:hAnsi="Narkisim"/>
          <w:u w:val="single"/>
          <w:rtl/>
        </w:rPr>
        <w:t>בא"ד ושמואל גופיה אית ליה דעכו"ם ועבד הבא על ב"י הולד כשר.</w:t>
      </w:r>
      <w:r w:rsidRPr="00AF1DC8">
        <w:rPr>
          <w:rFonts w:ascii="Narkisim" w:hAnsi="Narkisim"/>
          <w:rtl/>
        </w:rPr>
        <w:t xml:space="preserve"> וכ"כ </w:t>
      </w:r>
      <w:r w:rsidRPr="00AF1DC8">
        <w:rPr>
          <w:rFonts w:ascii="Narkisim" w:hAnsi="Narkisim"/>
          <w:b/>
          <w:bCs/>
          <w:rtl/>
        </w:rPr>
        <w:t>תוס</w:t>
      </w:r>
      <w:r w:rsidRPr="00AF1DC8">
        <w:rPr>
          <w:rFonts w:ascii="Narkisim" w:hAnsi="Narkisim"/>
          <w:rtl/>
        </w:rPr>
        <w:t xml:space="preserve">' (ב"ב ג.). ומבואר דלמ"ד הולד כשר היינו ישראל כשר. דאי צריך גירות וכמ"ש </w:t>
      </w:r>
      <w:r w:rsidRPr="00AF1DC8">
        <w:rPr>
          <w:rFonts w:ascii="Narkisim" w:hAnsi="Narkisim"/>
          <w:b/>
          <w:bCs/>
          <w:rtl/>
        </w:rPr>
        <w:t>תוס</w:t>
      </w:r>
      <w:r w:rsidRPr="00AF1DC8">
        <w:rPr>
          <w:rFonts w:ascii="Narkisim" w:hAnsi="Narkisim"/>
          <w:rtl/>
        </w:rPr>
        <w:t>' (לעיל טז: וכג.) א"כ אתי שפיר דברי הגמ'. והאחרונים (מהרש"ל לעיל טז: ועוד) חילקו דהתם איירי בעכו"ם, אבל עבד הבא על בת ישראל לכו"ע הולד מתייחס אחר אמו. וע' מש"כ (לעיל בע"א)</w:t>
      </w:r>
      <w:r w:rsidRPr="00AF1DC8">
        <w:rPr>
          <w:rFonts w:ascii="Narkisim" w:hAnsi="Narkisim"/>
        </w:rPr>
        <w:t>.</w:t>
      </w:r>
    </w:p>
    <w:p w14:paraId="17F8E5DC" w14:textId="77777777" w:rsidR="006074A5" w:rsidRPr="00AF1DC8" w:rsidRDefault="006074A5" w:rsidP="006074A5">
      <w:pPr>
        <w:pStyle w:val="aa"/>
        <w:bidi/>
        <w:rPr>
          <w:rFonts w:ascii="Narkisim" w:hAnsi="Narkisim"/>
        </w:rPr>
      </w:pPr>
      <w:r w:rsidRPr="00AF1DC8">
        <w:rPr>
          <w:rFonts w:ascii="Narkisim" w:hAnsi="Narkisim"/>
          <w:u w:val="single"/>
          <w:rtl/>
        </w:rPr>
        <w:t>בא"ד וא"ת וכו' נתייאשו</w:t>
      </w:r>
      <w:r w:rsidRPr="00AF1DC8">
        <w:rPr>
          <w:rStyle w:val="ac"/>
          <w:rFonts w:ascii="Narkisim" w:hAnsi="Narkisim"/>
          <w:u w:val="single"/>
          <w:rtl/>
        </w:rPr>
        <w:footnoteReference w:id="2683"/>
      </w:r>
      <w:r w:rsidRPr="00AF1DC8">
        <w:rPr>
          <w:rFonts w:ascii="Narkisim" w:hAnsi="Narkisim"/>
          <w:u w:val="single"/>
        </w:rPr>
        <w:t xml:space="preserve"> </w:t>
      </w:r>
      <w:r w:rsidRPr="00AF1DC8">
        <w:rPr>
          <w:rFonts w:ascii="Narkisim" w:hAnsi="Narkisim"/>
          <w:u w:val="single"/>
          <w:rtl/>
        </w:rPr>
        <w:t>וכו' דשמא היו מצפין שתהא גאותו מושפלת</w:t>
      </w:r>
      <w:r w:rsidRPr="00AF1DC8">
        <w:rPr>
          <w:rStyle w:val="ac"/>
          <w:rFonts w:ascii="Narkisim" w:hAnsi="Narkisim"/>
          <w:rtl/>
        </w:rPr>
        <w:footnoteReference w:id="2684"/>
      </w:r>
      <w:r w:rsidRPr="00AF1DC8">
        <w:rPr>
          <w:rFonts w:ascii="Narkisim" w:hAnsi="Narkisim"/>
        </w:rPr>
        <w:t xml:space="preserve">. </w:t>
      </w:r>
      <w:r w:rsidRPr="00AF1DC8">
        <w:rPr>
          <w:rFonts w:ascii="Narkisim" w:hAnsi="Narkisim"/>
          <w:rtl/>
        </w:rPr>
        <w:t>וה</w:t>
      </w:r>
      <w:r w:rsidRPr="00AF1DC8">
        <w:rPr>
          <w:rFonts w:ascii="Narkisim" w:hAnsi="Narkisim"/>
          <w:b/>
          <w:bCs/>
          <w:rtl/>
        </w:rPr>
        <w:t>רמב"ן</w:t>
      </w:r>
      <w:r w:rsidRPr="00AF1DC8">
        <w:rPr>
          <w:rFonts w:ascii="Narkisim" w:hAnsi="Narkisim"/>
          <w:rtl/>
        </w:rPr>
        <w:t xml:space="preserve"> (קידושין ע:) הביא בשם </w:t>
      </w:r>
      <w:r w:rsidRPr="00AF1DC8">
        <w:rPr>
          <w:rFonts w:ascii="Narkisim" w:hAnsi="Narkisim"/>
          <w:b/>
          <w:bCs/>
          <w:rtl/>
        </w:rPr>
        <w:t>אחרים</w:t>
      </w:r>
      <w:r w:rsidRPr="00AF1DC8">
        <w:rPr>
          <w:rFonts w:ascii="Narkisim" w:hAnsi="Narkisim"/>
          <w:rtl/>
        </w:rPr>
        <w:t xml:space="preserve"> דהיורשים אינם יודעים, דהורדוס הרג כל מי שידע. ושמא יש קטן במדינת הים דלא נתייאש, לפיכך העמידום על חזקתם עד שיוודע שנשתחררו</w:t>
      </w:r>
      <w:r w:rsidRPr="00AF1DC8">
        <w:rPr>
          <w:rFonts w:ascii="Narkisim" w:hAnsi="Narkisim"/>
        </w:rPr>
        <w:t>.</w:t>
      </w:r>
    </w:p>
    <w:p w14:paraId="4296F8B8" w14:textId="77777777" w:rsidR="006074A5" w:rsidRPr="00AF1DC8" w:rsidRDefault="006074A5" w:rsidP="006074A5">
      <w:pPr>
        <w:pStyle w:val="a8"/>
        <w:bidi/>
        <w:rPr>
          <w:rFonts w:ascii="Narkisim" w:hAnsi="Narkisim"/>
        </w:rPr>
      </w:pPr>
      <w:r w:rsidRPr="00AF1DC8">
        <w:rPr>
          <w:rFonts w:ascii="Narkisim" w:hAnsi="Narkisim"/>
          <w:rtl/>
        </w:rPr>
        <w:t>ועוד כ' הרמב”ן דכוונת שמואל דאינם כהנים, ולא לפוסלם. והנך אמוראי (קידושין שם) דפסלום ל"ל דשמואל, וס"ל דצריך גט שחרור</w:t>
      </w:r>
      <w:r w:rsidRPr="00AF1DC8">
        <w:rPr>
          <w:rFonts w:ascii="Narkisim" w:hAnsi="Narkisim"/>
        </w:rPr>
        <w:t>.</w:t>
      </w:r>
    </w:p>
    <w:p w14:paraId="34D095D8" w14:textId="77777777" w:rsidR="006074A5" w:rsidRPr="00AF1DC8" w:rsidRDefault="006074A5" w:rsidP="006074A5">
      <w:pPr>
        <w:bidi/>
        <w:rPr>
          <w:rFonts w:ascii="Narkisim" w:hAnsi="Narkisim" w:cs="Narkisim"/>
        </w:rPr>
      </w:pPr>
      <w:r w:rsidRPr="00AF1DC8">
        <w:rPr>
          <w:rFonts w:ascii="Narkisim" w:hAnsi="Narkisim" w:cs="Narkisim"/>
          <w:u w:val="single"/>
          <w:rtl/>
        </w:rPr>
        <w:t>בא"ד וא"ת דהכא משמע דגר שאין אמו מישראל אין כשר לדון וכו'.</w:t>
      </w:r>
      <w:r w:rsidRPr="00AF1DC8">
        <w:rPr>
          <w:rFonts w:ascii="Narkisim" w:hAnsi="Narkisim" w:cs="Narkisim"/>
          <w:rtl/>
        </w:rPr>
        <w:t xml:space="preserve"> דעת </w:t>
      </w:r>
      <w:r w:rsidRPr="00AF1DC8">
        <w:rPr>
          <w:rFonts w:ascii="Narkisim" w:hAnsi="Narkisim" w:cs="Narkisim"/>
          <w:b/>
          <w:bCs/>
          <w:rtl/>
        </w:rPr>
        <w:t xml:space="preserve">רש”י </w:t>
      </w:r>
      <w:r w:rsidRPr="00AF1DC8">
        <w:rPr>
          <w:rFonts w:ascii="Narkisim" w:hAnsi="Narkisim" w:cs="Narkisim"/>
          <w:rtl/>
        </w:rPr>
        <w:t xml:space="preserve">(לקמן קב.) דגר דן דיני ממונות (כדאי' בסנהדרין לו:), ורק לענין דיני נפשות נחשב דיין כמלך, ושררה. אבל </w:t>
      </w:r>
      <w:r w:rsidRPr="00AF1DC8">
        <w:rPr>
          <w:rFonts w:ascii="Narkisim" w:hAnsi="Narkisim" w:cs="Narkisim"/>
          <w:b/>
          <w:bCs/>
          <w:rtl/>
        </w:rPr>
        <w:t>תוס</w:t>
      </w:r>
      <w:r w:rsidRPr="00AF1DC8">
        <w:rPr>
          <w:rFonts w:ascii="Narkisim" w:hAnsi="Narkisim" w:cs="Narkisim"/>
          <w:rtl/>
        </w:rPr>
        <w:t>' (כאן, וסנהדרין שם) חלקו דבממון יכול לדון את גר חבירו. דכל דיין נחשב שררה. וה</w:t>
      </w:r>
      <w:r w:rsidRPr="00AF1DC8">
        <w:rPr>
          <w:rFonts w:ascii="Narkisim" w:hAnsi="Narkisim" w:cs="Narkisim"/>
          <w:b/>
          <w:bCs/>
          <w:rtl/>
        </w:rPr>
        <w:t>תו"י</w:t>
      </w:r>
      <w:r w:rsidRPr="00AF1DC8">
        <w:rPr>
          <w:rFonts w:ascii="Narkisim" w:hAnsi="Narkisim" w:cs="Narkisim"/>
          <w:rtl/>
        </w:rPr>
        <w:t xml:space="preserve"> (והתוס' רא"ש, וכן תוס' לקמן קא:) חילק דמידי דצריך כפיה אינו דן, דנחשב שררה</w:t>
      </w:r>
      <w:r w:rsidRPr="00AF1DC8">
        <w:rPr>
          <w:rStyle w:val="ac"/>
          <w:rFonts w:ascii="Narkisim" w:hAnsi="Narkisim" w:cs="Narkisim"/>
          <w:rtl/>
        </w:rPr>
        <w:footnoteReference w:id="2685"/>
      </w:r>
      <w:r w:rsidRPr="00AF1DC8">
        <w:rPr>
          <w:rFonts w:ascii="Narkisim" w:hAnsi="Narkisim" w:cs="Narkisim"/>
        </w:rPr>
        <w:t xml:space="preserve">. </w:t>
      </w:r>
      <w:r w:rsidRPr="00AF1DC8">
        <w:rPr>
          <w:rFonts w:ascii="Narkisim" w:hAnsi="Narkisim" w:cs="Narkisim"/>
          <w:rtl/>
        </w:rPr>
        <w:t>אבל דין בעלמא לא בעינן מקרב אחיך</w:t>
      </w:r>
      <w:r w:rsidRPr="00AF1DC8">
        <w:rPr>
          <w:rFonts w:ascii="Narkisim" w:hAnsi="Narkisim" w:cs="Narkisim"/>
        </w:rPr>
        <w:t>.</w:t>
      </w:r>
    </w:p>
    <w:p w14:paraId="411141A1"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 xml:space="preserve">תומים </w:t>
      </w:r>
      <w:r w:rsidRPr="00AF1DC8">
        <w:rPr>
          <w:rFonts w:ascii="Narkisim" w:hAnsi="Narkisim"/>
          <w:rtl/>
        </w:rPr>
        <w:t>(ז א) הקש' היאך מינו את שמעיה ואבטליון להיות נשיא, הרי היו גרים [וכמ”ש הרמב”ם בהקדמה]. והביא בשם ה</w:t>
      </w:r>
      <w:r w:rsidRPr="00AF1DC8">
        <w:rPr>
          <w:rFonts w:ascii="Narkisim" w:hAnsi="Narkisim"/>
          <w:b/>
          <w:bCs/>
          <w:rtl/>
        </w:rPr>
        <w:t xml:space="preserve">כנה"ג </w:t>
      </w:r>
      <w:r w:rsidRPr="00AF1DC8">
        <w:rPr>
          <w:rFonts w:ascii="Narkisim" w:hAnsi="Narkisim"/>
          <w:rtl/>
        </w:rPr>
        <w:t>דכיון דקבלו עליהם הציבור</w:t>
      </w:r>
      <w:r w:rsidRPr="00AF1DC8">
        <w:rPr>
          <w:rStyle w:val="ac"/>
          <w:rFonts w:ascii="Narkisim" w:hAnsi="Narkisim"/>
          <w:rtl/>
        </w:rPr>
        <w:footnoteReference w:id="2686"/>
      </w:r>
      <w:r w:rsidRPr="00AF1DC8">
        <w:rPr>
          <w:rFonts w:ascii="Narkisim" w:hAnsi="Narkisim"/>
        </w:rPr>
        <w:t xml:space="preserve"> </w:t>
      </w:r>
      <w:r w:rsidRPr="00AF1DC8">
        <w:rPr>
          <w:rFonts w:ascii="Narkisim" w:hAnsi="Narkisim"/>
          <w:rtl/>
        </w:rPr>
        <w:t>מהני אפי' בגרים</w:t>
      </w:r>
      <w:r w:rsidRPr="00AF1DC8">
        <w:rPr>
          <w:rStyle w:val="ac"/>
          <w:rFonts w:ascii="Narkisim" w:hAnsi="Narkisim"/>
          <w:rtl/>
        </w:rPr>
        <w:footnoteReference w:id="2687"/>
      </w:r>
      <w:r w:rsidRPr="00AF1DC8">
        <w:rPr>
          <w:rFonts w:ascii="Narkisim" w:hAnsi="Narkisim"/>
        </w:rPr>
        <w:t xml:space="preserve">. </w:t>
      </w:r>
      <w:r w:rsidRPr="00AF1DC8">
        <w:rPr>
          <w:rFonts w:ascii="Narkisim" w:hAnsi="Narkisim"/>
          <w:rtl/>
        </w:rPr>
        <w:t>וכתב דאפשר שלא נתמנו אלא להיות מקבלי השמועה ובירור הלכה, ובזה היו נשיא ואב"ד ולא לפסוק דיני נפשות</w:t>
      </w:r>
      <w:r w:rsidRPr="00AF1DC8">
        <w:rPr>
          <w:rFonts w:ascii="Narkisim" w:hAnsi="Narkisim"/>
        </w:rPr>
        <w:t>.</w:t>
      </w:r>
    </w:p>
    <w:p w14:paraId="4E0FA63D" w14:textId="77777777" w:rsidR="006074A5" w:rsidRPr="00AF1DC8" w:rsidRDefault="006074A5" w:rsidP="006074A5">
      <w:pPr>
        <w:pStyle w:val="aa"/>
        <w:bidi/>
        <w:rPr>
          <w:rFonts w:ascii="Narkisim" w:hAnsi="Narkisim"/>
        </w:rPr>
      </w:pPr>
      <w:r w:rsidRPr="00AF1DC8">
        <w:rPr>
          <w:rFonts w:ascii="Narkisim" w:hAnsi="Narkisim"/>
          <w:u w:val="single"/>
          <w:rtl/>
        </w:rPr>
        <w:t>בא"ד תנן הכל כשרין לדון [דיני ממונות] וכו' לאתויי גר וכו'</w:t>
      </w:r>
      <w:r w:rsidRPr="00AF1DC8">
        <w:rPr>
          <w:rFonts w:ascii="Narkisim" w:hAnsi="Narkisim"/>
          <w:rtl/>
        </w:rPr>
        <w:t>. אבל גר פסול לדיני נפשות. ולתי' התוס' היינו אף לדון את חבירו הגר</w:t>
      </w:r>
      <w:r w:rsidRPr="00AF1DC8">
        <w:rPr>
          <w:rFonts w:ascii="Narkisim" w:hAnsi="Narkisim"/>
        </w:rPr>
        <w:t>.</w:t>
      </w:r>
    </w:p>
    <w:p w14:paraId="49694974" w14:textId="77777777" w:rsidR="006074A5" w:rsidRPr="00AF1DC8" w:rsidRDefault="006074A5" w:rsidP="006074A5">
      <w:pPr>
        <w:pStyle w:val="aa"/>
        <w:bidi/>
        <w:rPr>
          <w:rFonts w:ascii="Narkisim" w:hAnsi="Narkisim"/>
        </w:rPr>
      </w:pPr>
      <w:r w:rsidRPr="00AF1DC8">
        <w:rPr>
          <w:rFonts w:ascii="Narkisim" w:hAnsi="Narkisim"/>
          <w:rtl/>
        </w:rPr>
        <w:t>ובגמ' (לקמן קא:) אי' דלהיות דיין לחליצה בעי' אביו ואמו</w:t>
      </w:r>
      <w:r w:rsidRPr="00AF1DC8">
        <w:rPr>
          <w:rStyle w:val="ac"/>
          <w:rFonts w:ascii="Narkisim" w:hAnsi="Narkisim"/>
          <w:rtl/>
        </w:rPr>
        <w:footnoteReference w:id="2688"/>
      </w:r>
      <w:r w:rsidRPr="00AF1DC8">
        <w:rPr>
          <w:rFonts w:ascii="Narkisim" w:hAnsi="Narkisim"/>
        </w:rPr>
        <w:t xml:space="preserve"> </w:t>
      </w:r>
      <w:r w:rsidRPr="00AF1DC8">
        <w:rPr>
          <w:rFonts w:ascii="Narkisim" w:hAnsi="Narkisim"/>
          <w:rtl/>
        </w:rPr>
        <w:t>מישראל. וה</w:t>
      </w:r>
      <w:r w:rsidRPr="00AF1DC8">
        <w:rPr>
          <w:rFonts w:ascii="Narkisim" w:hAnsi="Narkisim"/>
          <w:b/>
          <w:bCs/>
          <w:rtl/>
        </w:rPr>
        <w:t>רמב"ן</w:t>
      </w:r>
      <w:r w:rsidRPr="00AF1DC8">
        <w:rPr>
          <w:rFonts w:ascii="Narkisim" w:hAnsi="Narkisim"/>
          <w:rtl/>
        </w:rPr>
        <w:t xml:space="preserve"> הק' דאף לדון דיני נפשות סגי באמו מישראל לחוד, ולא מסתבר דפסול לחליצה, דלא מצינו כשר לדיני נפשות ופסול לשום דבר</w:t>
      </w:r>
      <w:r w:rsidRPr="00AF1DC8">
        <w:rPr>
          <w:rFonts w:ascii="Narkisim" w:hAnsi="Narkisim"/>
        </w:rPr>
        <w:t>.</w:t>
      </w:r>
    </w:p>
    <w:p w14:paraId="6733B211" w14:textId="77777777" w:rsidR="006074A5" w:rsidRPr="00AF1DC8" w:rsidRDefault="006074A5" w:rsidP="006074A5">
      <w:pPr>
        <w:pStyle w:val="2"/>
        <w:bidi/>
        <w:rPr>
          <w:rFonts w:ascii="Narkisim" w:hAnsi="Narkisim"/>
        </w:rPr>
      </w:pPr>
      <w:r w:rsidRPr="00AF1DC8">
        <w:rPr>
          <w:rFonts w:ascii="Narkisim" w:hAnsi="Narkisim"/>
          <w:rtl/>
        </w:rPr>
        <w:t>מי לא טבלה לנדותה</w:t>
      </w:r>
    </w:p>
    <w:p w14:paraId="45432897" w14:textId="77777777" w:rsidR="006074A5" w:rsidRPr="00AF1DC8" w:rsidRDefault="006074A5" w:rsidP="006074A5">
      <w:pPr>
        <w:bidi/>
        <w:rPr>
          <w:rFonts w:ascii="Narkisim" w:hAnsi="Narkisim" w:cs="Narkisim"/>
        </w:rPr>
      </w:pPr>
      <w:r w:rsidRPr="00AF1DC8">
        <w:rPr>
          <w:rFonts w:ascii="Narkisim" w:hAnsi="Narkisim" w:cs="Narkisim"/>
          <w:u w:val="single"/>
          <w:rtl/>
        </w:rPr>
        <w:t>אטבלה לשם אינתתא וכו' יכילנא לאכשורי.</w:t>
      </w:r>
      <w:r w:rsidRPr="00AF1DC8">
        <w:rPr>
          <w:rFonts w:ascii="Narkisim" w:hAnsi="Narkisim" w:cs="Narkisim"/>
          <w:rtl/>
        </w:rPr>
        <w:t xml:space="preserve"> פ</w:t>
      </w:r>
      <w:r w:rsidRPr="00AF1DC8">
        <w:rPr>
          <w:rFonts w:ascii="Narkisim" w:hAnsi="Narkisim" w:cs="Narkisim"/>
          <w:b/>
          <w:bCs/>
          <w:rtl/>
        </w:rPr>
        <w:t xml:space="preserve">רש"י </w:t>
      </w:r>
      <w:r w:rsidRPr="00AF1DC8">
        <w:rPr>
          <w:rFonts w:ascii="Narkisim" w:hAnsi="Narkisim" w:cs="Narkisim"/>
          <w:rtl/>
        </w:rPr>
        <w:t xml:space="preserve">דטבילת נדה סלקא לה לשם גירות. </w:t>
      </w:r>
      <w:r w:rsidRPr="00AF1DC8">
        <w:rPr>
          <w:rFonts w:ascii="Narkisim" w:hAnsi="Narkisim" w:cs="Narkisim"/>
          <w:rtl/>
        </w:rPr>
        <w:lastRenderedPageBreak/>
        <w:t>ו</w:t>
      </w:r>
      <w:r w:rsidRPr="00AF1DC8">
        <w:rPr>
          <w:rFonts w:ascii="Narkisim" w:hAnsi="Narkisim" w:cs="Narkisim"/>
          <w:b/>
          <w:bCs/>
          <w:rtl/>
        </w:rPr>
        <w:t>רש”י</w:t>
      </w:r>
      <w:r w:rsidRPr="00AF1DC8">
        <w:rPr>
          <w:rFonts w:ascii="Narkisim" w:hAnsi="Narkisim" w:cs="Narkisim"/>
          <w:rtl/>
        </w:rPr>
        <w:t xml:space="preserve"> (ד"ה מי) ביאר דדת יהודית היא</w:t>
      </w:r>
      <w:r w:rsidRPr="00AF1DC8">
        <w:rPr>
          <w:rStyle w:val="ac"/>
          <w:rFonts w:ascii="Narkisim" w:hAnsi="Narkisim" w:cs="Narkisim"/>
          <w:rtl/>
        </w:rPr>
        <w:footnoteReference w:id="2689"/>
      </w:r>
      <w:r w:rsidRPr="00AF1DC8">
        <w:rPr>
          <w:rFonts w:ascii="Narkisim" w:hAnsi="Narkisim" w:cs="Narkisim"/>
        </w:rPr>
        <w:t xml:space="preserve">. </w:t>
      </w:r>
      <w:r w:rsidRPr="00AF1DC8">
        <w:rPr>
          <w:rFonts w:ascii="Narkisim" w:hAnsi="Narkisim" w:cs="Narkisim"/>
          <w:rtl/>
        </w:rPr>
        <w:t>ומשמע דלא נתכוונה לשם גירות, וסגי בהא שנתכוונה להתנהג בדיני יהדות</w:t>
      </w:r>
      <w:r w:rsidRPr="00AF1DC8">
        <w:rPr>
          <w:rFonts w:ascii="Narkisim" w:hAnsi="Narkisim" w:cs="Narkisim"/>
        </w:rPr>
        <w:t>.</w:t>
      </w:r>
    </w:p>
    <w:p w14:paraId="3C7910B5"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שה</w:t>
      </w:r>
      <w:r w:rsidRPr="00AF1DC8">
        <w:rPr>
          <w:rFonts w:ascii="Narkisim" w:hAnsi="Narkisim"/>
          <w:b/>
          <w:bCs/>
          <w:rtl/>
        </w:rPr>
        <w:t>ירושלמי</w:t>
      </w:r>
      <w:r w:rsidRPr="00AF1DC8">
        <w:rPr>
          <w:rFonts w:ascii="Narkisim" w:hAnsi="Narkisim"/>
          <w:rtl/>
        </w:rPr>
        <w:t xml:space="preserve"> מק' דעלתה לו טומאה קלה מטומאה חמורה. ותי' כיון דזו וזו לשם קדושת ישראל עלתה לו</w:t>
      </w:r>
      <w:r w:rsidRPr="00AF1DC8">
        <w:rPr>
          <w:rFonts w:ascii="Narkisim" w:hAnsi="Narkisim"/>
        </w:rPr>
        <w:t>.</w:t>
      </w:r>
    </w:p>
    <w:p w14:paraId="0B82C028" w14:textId="77777777" w:rsidR="006074A5" w:rsidRPr="00AF1DC8" w:rsidRDefault="006074A5" w:rsidP="006074A5">
      <w:pPr>
        <w:pStyle w:val="a8"/>
        <w:bidi/>
        <w:rPr>
          <w:rFonts w:ascii="Narkisim" w:hAnsi="Narkisim"/>
        </w:rPr>
      </w:pPr>
      <w:r w:rsidRPr="00AF1DC8">
        <w:rPr>
          <w:rFonts w:ascii="Narkisim" w:hAnsi="Narkisim"/>
          <w:rtl/>
        </w:rPr>
        <w:t>אבל ה</w:t>
      </w:r>
      <w:r w:rsidRPr="00AF1DC8">
        <w:rPr>
          <w:rFonts w:ascii="Narkisim" w:hAnsi="Narkisim"/>
          <w:b/>
          <w:bCs/>
          <w:rtl/>
        </w:rPr>
        <w:t>ריטב"א</w:t>
      </w:r>
      <w:r w:rsidRPr="00AF1DC8">
        <w:rPr>
          <w:rFonts w:ascii="Narkisim" w:hAnsi="Narkisim"/>
          <w:rtl/>
        </w:rPr>
        <w:t xml:space="preserve"> כתב דנתגייר לפני בי"ד כדין, אלא שהזכיר [בדיבורם] לשם נידות, ולא הזכיר לשם גירות. ובסמוך נמי [גבי קרי] הנידון דלא טבלו בהדיא לשם יהדות. א"נ טבלו סתם, וכיון דכבר מלו וקבלו עליהם מהני. ואעפ"כ היו מוציאין עליהם לעז</w:t>
      </w:r>
      <w:r w:rsidRPr="00AF1DC8">
        <w:rPr>
          <w:rFonts w:ascii="Narkisim" w:hAnsi="Narkisim"/>
        </w:rPr>
        <w:t>.</w:t>
      </w:r>
    </w:p>
    <w:p w14:paraId="32126E30"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ומבואר ב</w:t>
      </w:r>
      <w:r w:rsidRPr="00AF1DC8">
        <w:rPr>
          <w:rFonts w:ascii="Narkisim" w:hAnsi="Narkisim" w:cs="Narkisim"/>
          <w:b/>
          <w:bCs/>
          <w:rtl/>
        </w:rPr>
        <w:t>תוס'</w:t>
      </w:r>
      <w:r w:rsidRPr="00AF1DC8">
        <w:rPr>
          <w:rFonts w:ascii="Narkisim" w:hAnsi="Narkisim" w:cs="Narkisim"/>
          <w:rtl/>
        </w:rPr>
        <w:t xml:space="preserve"> (ד"ה מי בתי' הא') דאיירי דקבלה עליה מצוות</w:t>
      </w:r>
      <w:r w:rsidRPr="00AF1DC8">
        <w:rPr>
          <w:rStyle w:val="ac"/>
          <w:rFonts w:ascii="Narkisim" w:hAnsi="Narkisim" w:cs="Narkisim"/>
          <w:rtl/>
        </w:rPr>
        <w:footnoteReference w:id="2690"/>
      </w:r>
      <w:r w:rsidRPr="00AF1DC8">
        <w:rPr>
          <w:rFonts w:ascii="Narkisim" w:hAnsi="Narkisim" w:cs="Narkisim"/>
        </w:rPr>
        <w:t xml:space="preserve"> </w:t>
      </w:r>
      <w:r w:rsidRPr="00AF1DC8">
        <w:rPr>
          <w:rFonts w:ascii="Narkisim" w:hAnsi="Narkisim" w:cs="Narkisim"/>
          <w:rtl/>
        </w:rPr>
        <w:t>בפני ג'. וכ"כ ב</w:t>
      </w:r>
      <w:r w:rsidRPr="00AF1DC8">
        <w:rPr>
          <w:rFonts w:ascii="Narkisim" w:hAnsi="Narkisim" w:cs="Narkisim"/>
          <w:b/>
          <w:bCs/>
          <w:rtl/>
        </w:rPr>
        <w:t>תוס' חד מקמאי</w:t>
      </w:r>
      <w:r w:rsidRPr="00AF1DC8">
        <w:rPr>
          <w:rFonts w:ascii="Narkisim" w:hAnsi="Narkisim" w:cs="Narkisim"/>
          <w:rtl/>
        </w:rPr>
        <w:t xml:space="preserve"> כתב דאיירי דכבר קבלו עליהם מצוות</w:t>
      </w:r>
      <w:r w:rsidRPr="00AF1DC8">
        <w:rPr>
          <w:rStyle w:val="ac"/>
          <w:rFonts w:ascii="Narkisim" w:hAnsi="Narkisim" w:cs="Narkisim"/>
          <w:rtl/>
        </w:rPr>
        <w:footnoteReference w:id="2691"/>
      </w:r>
      <w:r w:rsidRPr="00AF1DC8">
        <w:rPr>
          <w:rFonts w:ascii="Narkisim" w:hAnsi="Narkisim" w:cs="Narkisim"/>
        </w:rPr>
        <w:t xml:space="preserve">, </w:t>
      </w:r>
      <w:r w:rsidRPr="00AF1DC8">
        <w:rPr>
          <w:rFonts w:ascii="Narkisim" w:hAnsi="Narkisim" w:cs="Narkisim"/>
          <w:rtl/>
        </w:rPr>
        <w:t>אלא דבשעת טבילה לא נתכוון לשם גירות. ובזה סגי דעשה מעשה טבילת מצווה</w:t>
      </w:r>
      <w:r w:rsidRPr="00AF1DC8">
        <w:rPr>
          <w:rFonts w:ascii="Narkisim" w:hAnsi="Narkisim" w:cs="Narkisim"/>
        </w:rPr>
        <w:t>.</w:t>
      </w:r>
    </w:p>
    <w:p w14:paraId="0819EEFF" w14:textId="77777777" w:rsidR="006074A5" w:rsidRPr="00AF1DC8" w:rsidRDefault="006074A5" w:rsidP="006074A5">
      <w:pPr>
        <w:pStyle w:val="a8"/>
        <w:bidi/>
        <w:rPr>
          <w:rFonts w:ascii="Narkisim" w:hAnsi="Narkisim"/>
        </w:rPr>
      </w:pPr>
      <w:r w:rsidRPr="00AF1DC8">
        <w:rPr>
          <w:rFonts w:ascii="Narkisim" w:hAnsi="Narkisim"/>
          <w:rtl/>
        </w:rPr>
        <w:t>וכן ה</w:t>
      </w:r>
      <w:r w:rsidRPr="00AF1DC8">
        <w:rPr>
          <w:rFonts w:ascii="Narkisim" w:hAnsi="Narkisim"/>
          <w:b/>
          <w:bCs/>
          <w:rtl/>
        </w:rPr>
        <w:t>רמב"ן</w:t>
      </w:r>
      <w:r w:rsidRPr="00AF1DC8">
        <w:rPr>
          <w:rFonts w:ascii="Narkisim" w:hAnsi="Narkisim"/>
          <w:rtl/>
        </w:rPr>
        <w:t xml:space="preserve"> כתב דלכתחילה בעינן ג' בין בקבלה ובין בטבילה [כדאמרי' מו:, ומז:], דבעינן קבלה בשעת טבילה ממש, ולפני ג'</w:t>
      </w:r>
      <w:r w:rsidRPr="00AF1DC8">
        <w:rPr>
          <w:rStyle w:val="ac"/>
          <w:rFonts w:ascii="Narkisim" w:hAnsi="Narkisim"/>
          <w:rtl/>
        </w:rPr>
        <w:footnoteReference w:id="2692"/>
      </w:r>
      <w:r w:rsidRPr="00AF1DC8">
        <w:rPr>
          <w:rFonts w:ascii="Narkisim" w:hAnsi="Narkisim"/>
          <w:rtl/>
        </w:rPr>
        <w:t>. וכ"כ ה</w:t>
      </w:r>
      <w:r w:rsidRPr="00AF1DC8">
        <w:rPr>
          <w:rFonts w:ascii="Narkisim" w:hAnsi="Narkisim"/>
          <w:b/>
          <w:bCs/>
          <w:rtl/>
        </w:rPr>
        <w:t>מרדכי</w:t>
      </w:r>
      <w:r w:rsidRPr="00AF1DC8">
        <w:rPr>
          <w:rFonts w:ascii="Narkisim" w:hAnsi="Narkisim"/>
          <w:rtl/>
        </w:rPr>
        <w:t xml:space="preserve"> (לו) דלכתחילה בעינן קבלה בשעת טבילה</w:t>
      </w:r>
      <w:r w:rsidRPr="00AF1DC8">
        <w:rPr>
          <w:rFonts w:ascii="Narkisim" w:hAnsi="Narkisim"/>
        </w:rPr>
        <w:t>.</w:t>
      </w:r>
    </w:p>
    <w:p w14:paraId="65F27205" w14:textId="77777777" w:rsidR="006074A5" w:rsidRPr="00AF1DC8" w:rsidRDefault="006074A5" w:rsidP="006074A5">
      <w:pPr>
        <w:bidi/>
        <w:rPr>
          <w:rFonts w:ascii="Narkisim" w:hAnsi="Narkisim" w:cs="Narkisim"/>
        </w:rPr>
      </w:pPr>
      <w:r w:rsidRPr="00AF1DC8">
        <w:rPr>
          <w:rFonts w:ascii="Narkisim" w:hAnsi="Narkisim" w:cs="Narkisim"/>
          <w:rtl/>
        </w:rPr>
        <w:t>ה</w:t>
      </w:r>
      <w:r w:rsidRPr="00AF1DC8">
        <w:rPr>
          <w:rFonts w:ascii="Narkisim" w:hAnsi="Narkisim" w:cs="Narkisim"/>
          <w:b/>
          <w:bCs/>
          <w:rtl/>
        </w:rPr>
        <w:t>רי"ף</w:t>
      </w:r>
      <w:r w:rsidRPr="00AF1DC8">
        <w:rPr>
          <w:rFonts w:ascii="Narkisim" w:hAnsi="Narkisim" w:cs="Narkisim"/>
          <w:rtl/>
        </w:rPr>
        <w:t xml:space="preserve"> הקשה דגר צריך ג'</w:t>
      </w:r>
      <w:r w:rsidRPr="00AF1DC8">
        <w:rPr>
          <w:rStyle w:val="ac"/>
          <w:rFonts w:ascii="Narkisim" w:hAnsi="Narkisim" w:cs="Narkisim"/>
          <w:rtl/>
        </w:rPr>
        <w:footnoteReference w:id="2693"/>
      </w:r>
      <w:r w:rsidRPr="00AF1DC8">
        <w:rPr>
          <w:rFonts w:ascii="Narkisim" w:hAnsi="Narkisim" w:cs="Narkisim"/>
          <w:rtl/>
        </w:rPr>
        <w:t>. ותי' דהא דר' יוחנן היינו דלא נוהגים בו מנהג גר עד שנתגייר לפני ג'. אבל בדיעבד לא פוסלים בניו כיון דטבל לשם מצווה</w:t>
      </w:r>
      <w:r w:rsidRPr="00AF1DC8">
        <w:rPr>
          <w:rStyle w:val="ac"/>
          <w:rFonts w:ascii="Narkisim" w:hAnsi="Narkisim" w:cs="Narkisim"/>
          <w:rtl/>
        </w:rPr>
        <w:footnoteReference w:id="2694"/>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sz w:val="20"/>
          <w:szCs w:val="20"/>
          <w:rtl/>
        </w:rPr>
        <w:t>וה</w:t>
      </w:r>
      <w:r w:rsidRPr="00AF1DC8">
        <w:rPr>
          <w:rFonts w:ascii="Narkisim" w:hAnsi="Narkisim" w:cs="Narkisim"/>
          <w:b/>
          <w:bCs/>
          <w:sz w:val="20"/>
          <w:szCs w:val="20"/>
          <w:rtl/>
        </w:rPr>
        <w:t>רמב”ן</w:t>
      </w:r>
      <w:r w:rsidRPr="00AF1DC8">
        <w:rPr>
          <w:rFonts w:ascii="Narkisim" w:hAnsi="Narkisim" w:cs="Narkisim"/>
          <w:sz w:val="20"/>
          <w:szCs w:val="20"/>
          <w:rtl/>
        </w:rPr>
        <w:t xml:space="preserve"> תמה ע”ז, דאמרי' (מז.) דנתגייר בינו לבין עצמו אינו גר, ואף בניו פסולים</w:t>
      </w:r>
      <w:r w:rsidRPr="00AF1DC8">
        <w:rPr>
          <w:rStyle w:val="ac"/>
          <w:rFonts w:ascii="Narkisim" w:hAnsi="Narkisim" w:cs="Narkisim"/>
          <w:sz w:val="20"/>
          <w:szCs w:val="20"/>
          <w:rtl/>
        </w:rPr>
        <w:footnoteReference w:id="2695"/>
      </w:r>
      <w:r w:rsidRPr="00AF1DC8">
        <w:rPr>
          <w:rFonts w:ascii="Narkisim" w:hAnsi="Narkisim" w:cs="Narkisim"/>
          <w:sz w:val="20"/>
          <w:szCs w:val="20"/>
        </w:rPr>
        <w:t>.</w:t>
      </w:r>
      <w:r w:rsidRPr="00AF1DC8">
        <w:rPr>
          <w:rStyle w:val="ac"/>
          <w:rFonts w:ascii="Narkisim" w:hAnsi="Narkisim" w:cs="Narkisim"/>
          <w:sz w:val="20"/>
          <w:szCs w:val="20"/>
        </w:rPr>
        <w:footnoteReference w:id="2696"/>
      </w:r>
      <w:r w:rsidRPr="00AF1DC8">
        <w:rPr>
          <w:rFonts w:ascii="Narkisim" w:hAnsi="Narkisim" w:cs="Narkisim"/>
          <w:sz w:val="20"/>
          <w:szCs w:val="20"/>
        </w:rPr>
        <w:t xml:space="preserve">  </w:t>
      </w:r>
    </w:p>
    <w:p w14:paraId="210D0B4D"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Cs w:val="20"/>
          <w:rtl/>
        </w:rPr>
        <w:t>(איסו"ב יג ט)</w:t>
      </w:r>
      <w:r w:rsidRPr="00AF1DC8">
        <w:rPr>
          <w:rFonts w:ascii="Narkisim" w:hAnsi="Narkisim" w:cs="Narkisim"/>
          <w:rtl/>
        </w:rPr>
        <w:t xml:space="preserve"> כ' דגר שראינו שנוהג בדרכי ישראל תמיד, וטובל ועושה כל המצוות הרי הוא </w:t>
      </w:r>
      <w:r w:rsidRPr="00AF1DC8">
        <w:rPr>
          <w:rFonts w:ascii="Narkisim" w:hAnsi="Narkisim" w:cs="Narkisim"/>
          <w:i/>
          <w:iCs/>
          <w:rtl/>
        </w:rPr>
        <w:t>בחזקת</w:t>
      </w:r>
      <w:r w:rsidRPr="00AF1DC8">
        <w:rPr>
          <w:rFonts w:ascii="Narkisim" w:hAnsi="Narkisim" w:cs="Narkisim"/>
          <w:rtl/>
        </w:rPr>
        <w:t xml:space="preserve"> גר צדק. ואע"פ שאין עדים שמעידים לפני מי נתגיירו. ואע"פ כן אין משיאין אותם עד שיביאו עדים, והאיל והוחזקו גוים. </w:t>
      </w:r>
      <w:r w:rsidRPr="00AF1DC8">
        <w:rPr>
          <w:rFonts w:ascii="Narkisim" w:hAnsi="Narkisim" w:cs="Narkisim"/>
          <w:sz w:val="20"/>
          <w:szCs w:val="20"/>
          <w:rtl/>
        </w:rPr>
        <w:t>[ו</w:t>
      </w:r>
      <w:r w:rsidRPr="00AF1DC8">
        <w:rPr>
          <w:rFonts w:ascii="Narkisim" w:hAnsi="Narkisim" w:cs="Narkisim"/>
          <w:b/>
          <w:bCs/>
          <w:sz w:val="20"/>
          <w:szCs w:val="20"/>
          <w:rtl/>
        </w:rPr>
        <w:t>ה"ה</w:t>
      </w:r>
      <w:r w:rsidRPr="00AF1DC8">
        <w:rPr>
          <w:rFonts w:ascii="Narkisim" w:hAnsi="Narkisim" w:cs="Narkisim"/>
          <w:sz w:val="20"/>
          <w:szCs w:val="20"/>
          <w:rtl/>
        </w:rPr>
        <w:t xml:space="preserve"> כת' שהוא קרוב לדברי הרי"ף].</w:t>
      </w:r>
      <w:r w:rsidRPr="00AF1DC8">
        <w:rPr>
          <w:rFonts w:ascii="Narkisim" w:hAnsi="Narkisim" w:cs="Narkisim"/>
          <w:rtl/>
        </w:rPr>
        <w:t xml:space="preserve"> וה</w:t>
      </w:r>
      <w:r w:rsidRPr="00AF1DC8">
        <w:rPr>
          <w:rFonts w:ascii="Narkisim" w:hAnsi="Narkisim" w:cs="Narkisim"/>
          <w:b/>
          <w:bCs/>
          <w:rtl/>
        </w:rPr>
        <w:t>ראשונים</w:t>
      </w:r>
      <w:r w:rsidRPr="00AF1DC8">
        <w:rPr>
          <w:rStyle w:val="ac"/>
          <w:rFonts w:ascii="Narkisim" w:hAnsi="Narkisim" w:cs="Narkisim"/>
          <w:rtl/>
        </w:rPr>
        <w:footnoteReference w:id="2697"/>
      </w:r>
      <w:r w:rsidRPr="00AF1DC8">
        <w:rPr>
          <w:rFonts w:ascii="Narkisim" w:hAnsi="Narkisim" w:cs="Narkisim"/>
        </w:rPr>
        <w:t xml:space="preserve"> </w:t>
      </w:r>
      <w:r w:rsidRPr="00AF1DC8">
        <w:rPr>
          <w:rFonts w:ascii="Narkisim" w:hAnsi="Narkisim" w:cs="Narkisim"/>
          <w:rtl/>
        </w:rPr>
        <w:t>הביאו דפי' בסוגיין כן, דאיירי דנתגייר בפני בי"ד כדין, אלא דלא באו עדים על כך. אלא כיון דמתנהג במנהג ישראל אי"צ עדות</w:t>
      </w:r>
      <w:r w:rsidRPr="00AF1DC8">
        <w:rPr>
          <w:rStyle w:val="ac"/>
          <w:rFonts w:ascii="Narkisim" w:hAnsi="Narkisim" w:cs="Narkisim"/>
          <w:rtl/>
        </w:rPr>
        <w:footnoteReference w:id="2698"/>
      </w:r>
      <w:r w:rsidRPr="00AF1DC8">
        <w:rPr>
          <w:rFonts w:ascii="Narkisim" w:hAnsi="Narkisim" w:cs="Narkisim"/>
        </w:rPr>
        <w:t>.</w:t>
      </w:r>
    </w:p>
    <w:p w14:paraId="0C774884"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הק' דא"כ הול"ל מי לא שמר שבת א', דיותר קל לידע שנהג בדרכי ישראל</w:t>
      </w:r>
      <w:r w:rsidRPr="00AF1DC8">
        <w:rPr>
          <w:rFonts w:ascii="Narkisim" w:hAnsi="Narkisim"/>
        </w:rPr>
        <w:t>.</w:t>
      </w:r>
    </w:p>
    <w:p w14:paraId="5725A4A0" w14:textId="77777777" w:rsidR="006074A5" w:rsidRPr="00AF1DC8" w:rsidRDefault="006074A5" w:rsidP="006074A5">
      <w:pPr>
        <w:pStyle w:val="aa"/>
        <w:bidi/>
        <w:rPr>
          <w:rFonts w:ascii="Narkisim" w:hAnsi="Narkisim"/>
        </w:rPr>
      </w:pPr>
      <w:r w:rsidRPr="00AF1DC8">
        <w:rPr>
          <w:rFonts w:ascii="Narkisim" w:hAnsi="Narkisim"/>
          <w:u w:val="single"/>
          <w:rtl/>
        </w:rPr>
        <w:t>ההוא דהוה קרי ליה בר ארמאה</w:t>
      </w:r>
      <w:r w:rsidRPr="00AF1DC8">
        <w:rPr>
          <w:rFonts w:ascii="Narkisim" w:hAnsi="Narkisim"/>
          <w:rtl/>
        </w:rPr>
        <w:t>. דאביו לא נתגייר כדין, וצ"ב דמ"מ אמו כשירה, וקי"ל דהולד כשר. וה</w:t>
      </w:r>
      <w:r w:rsidRPr="00AF1DC8">
        <w:rPr>
          <w:rFonts w:ascii="Narkisim" w:hAnsi="Narkisim"/>
          <w:b/>
          <w:bCs/>
          <w:rtl/>
        </w:rPr>
        <w:t>מהרש"א</w:t>
      </w:r>
      <w:r w:rsidRPr="00AF1DC8">
        <w:rPr>
          <w:rFonts w:ascii="Narkisim" w:hAnsi="Narkisim"/>
          <w:rtl/>
        </w:rPr>
        <w:t xml:space="preserve"> תי' דמ"מ הוה פגום [לכהונה]. וה</w:t>
      </w:r>
      <w:r w:rsidRPr="00AF1DC8">
        <w:rPr>
          <w:rFonts w:ascii="Narkisim" w:hAnsi="Narkisim"/>
          <w:b/>
          <w:bCs/>
          <w:rtl/>
        </w:rPr>
        <w:t>קרנ"ר</w:t>
      </w:r>
      <w:r w:rsidRPr="00AF1DC8">
        <w:rPr>
          <w:rFonts w:ascii="Narkisim" w:hAnsi="Narkisim"/>
          <w:rtl/>
        </w:rPr>
        <w:t xml:space="preserve"> הק' דהיינו הבת</w:t>
      </w:r>
      <w:r w:rsidRPr="00AF1DC8">
        <w:rPr>
          <w:rStyle w:val="ac"/>
          <w:rFonts w:ascii="Narkisim" w:hAnsi="Narkisim"/>
          <w:rtl/>
        </w:rPr>
        <w:footnoteReference w:id="2699"/>
      </w:r>
      <w:r w:rsidRPr="00AF1DC8">
        <w:rPr>
          <w:rFonts w:ascii="Narkisim" w:hAnsi="Narkisim"/>
        </w:rPr>
        <w:t xml:space="preserve">, </w:t>
      </w:r>
      <w:r w:rsidRPr="00AF1DC8">
        <w:rPr>
          <w:rFonts w:ascii="Narkisim" w:hAnsi="Narkisim"/>
          <w:rtl/>
        </w:rPr>
        <w:t>ומשמע הכא דאיירי בבן. וה</w:t>
      </w:r>
      <w:r w:rsidRPr="00AF1DC8">
        <w:rPr>
          <w:rFonts w:ascii="Narkisim" w:hAnsi="Narkisim"/>
          <w:b/>
          <w:bCs/>
          <w:rtl/>
        </w:rPr>
        <w:t>קרנ"ר</w:t>
      </w:r>
      <w:r w:rsidRPr="00AF1DC8">
        <w:rPr>
          <w:rFonts w:ascii="Narkisim" w:hAnsi="Narkisim"/>
          <w:rtl/>
        </w:rPr>
        <w:t xml:space="preserve"> ביאר ע"פ הצד בראשונים (הו' לעיל) דהולד בעי גירות</w:t>
      </w:r>
      <w:r w:rsidRPr="00AF1DC8">
        <w:rPr>
          <w:rFonts w:ascii="Narkisim" w:hAnsi="Narkisim"/>
        </w:rPr>
        <w:t>.</w:t>
      </w:r>
    </w:p>
    <w:p w14:paraId="5A298290" w14:textId="77777777" w:rsidR="006074A5" w:rsidRPr="00AF1DC8" w:rsidRDefault="006074A5" w:rsidP="006074A5">
      <w:pPr>
        <w:pStyle w:val="a8"/>
        <w:bidi/>
        <w:rPr>
          <w:rFonts w:ascii="Narkisim" w:hAnsi="Narkisim"/>
        </w:rPr>
      </w:pPr>
      <w:r w:rsidRPr="00AF1DC8">
        <w:rPr>
          <w:rFonts w:ascii="Narkisim" w:hAnsi="Narkisim"/>
          <w:rtl/>
        </w:rPr>
        <w:t>וכעי"ז הקשו ה</w:t>
      </w:r>
      <w:r w:rsidRPr="00AF1DC8">
        <w:rPr>
          <w:rFonts w:ascii="Narkisim" w:hAnsi="Narkisim"/>
          <w:b/>
          <w:bCs/>
          <w:rtl/>
        </w:rPr>
        <w:t>פוסקים</w:t>
      </w:r>
      <w:r w:rsidRPr="00AF1DC8">
        <w:rPr>
          <w:rFonts w:ascii="Narkisim" w:hAnsi="Narkisim"/>
          <w:rtl/>
        </w:rPr>
        <w:t xml:space="preserve"> לדעת הרי"ף דבגירות בינו לבינה לא פסלי' לולד, א"כ מאי נפק"מ בפסול הולד בגירות אביו. וה</w:t>
      </w:r>
      <w:r w:rsidRPr="00AF1DC8">
        <w:rPr>
          <w:rFonts w:ascii="Narkisim" w:hAnsi="Narkisim"/>
          <w:b/>
          <w:bCs/>
          <w:rtl/>
        </w:rPr>
        <w:t>ט"ז</w:t>
      </w:r>
      <w:r w:rsidRPr="00AF1DC8">
        <w:rPr>
          <w:rFonts w:ascii="Narkisim" w:hAnsi="Narkisim"/>
          <w:rtl/>
        </w:rPr>
        <w:t xml:space="preserve"> (רסח י) כתב דנפק"מ שלא יזכירו אותו כבן עכו"ם, וכדי להשיאו מיוחסת, וכדחזינן דרב (בע"א) הקפיד על פגם זה [וכ”כ ב</w:t>
      </w:r>
      <w:r w:rsidRPr="00AF1DC8">
        <w:rPr>
          <w:rFonts w:ascii="Narkisim" w:hAnsi="Narkisim"/>
          <w:b/>
          <w:bCs/>
          <w:rtl/>
        </w:rPr>
        <w:t>חי' ר”א מן ההר</w:t>
      </w:r>
      <w:r w:rsidRPr="00AF1DC8">
        <w:rPr>
          <w:rFonts w:ascii="Narkisim" w:hAnsi="Narkisim"/>
          <w:rtl/>
        </w:rPr>
        <w:t xml:space="preserve"> מז.]. וה</w:t>
      </w:r>
      <w:r w:rsidRPr="00AF1DC8">
        <w:rPr>
          <w:rFonts w:ascii="Narkisim" w:hAnsi="Narkisim"/>
          <w:b/>
          <w:bCs/>
          <w:rtl/>
        </w:rPr>
        <w:t>ש"ך</w:t>
      </w:r>
      <w:r w:rsidRPr="00AF1DC8">
        <w:rPr>
          <w:rFonts w:ascii="Narkisim" w:hAnsi="Narkisim"/>
          <w:rtl/>
        </w:rPr>
        <w:t xml:space="preserve"> (שם יא) כתב דנפק"מ בבת שכשירה לכהונה, וכן לענין פדיון הבן</w:t>
      </w:r>
      <w:r w:rsidRPr="00AF1DC8">
        <w:rPr>
          <w:rFonts w:ascii="Narkisim" w:hAnsi="Narkisim"/>
        </w:rPr>
        <w:t>.</w:t>
      </w:r>
    </w:p>
    <w:p w14:paraId="0582B27F" w14:textId="77777777" w:rsidR="006074A5" w:rsidRPr="00AF1DC8" w:rsidRDefault="006074A5" w:rsidP="006074A5">
      <w:pPr>
        <w:pStyle w:val="aa"/>
        <w:bidi/>
        <w:rPr>
          <w:rFonts w:ascii="Narkisim" w:hAnsi="Narkisim"/>
        </w:rPr>
      </w:pPr>
      <w:r w:rsidRPr="00AF1DC8">
        <w:rPr>
          <w:rFonts w:ascii="Narkisim" w:hAnsi="Narkisim"/>
          <w:u w:val="single"/>
          <w:rtl/>
        </w:rPr>
        <w:t>תוד"ה מי.</w:t>
      </w:r>
      <w:r w:rsidRPr="00AF1DC8">
        <w:rPr>
          <w:rFonts w:ascii="Narkisim" w:hAnsi="Narkisim"/>
          <w:rtl/>
        </w:rPr>
        <w:t xml:space="preserve"> ואפי' למ”ד דבר תורה חד נמי כשר וכו'. בדיני ממונות, ואף גירות הוקש לדיני ממונות</w:t>
      </w:r>
      <w:r w:rsidRPr="00AF1DC8">
        <w:rPr>
          <w:rFonts w:ascii="Narkisim" w:hAnsi="Narkisim"/>
        </w:rPr>
        <w:t xml:space="preserve">.  </w:t>
      </w:r>
    </w:p>
    <w:p w14:paraId="02065FFF" w14:textId="77777777" w:rsidR="006074A5" w:rsidRPr="00AF1DC8" w:rsidRDefault="006074A5" w:rsidP="006074A5">
      <w:pPr>
        <w:pStyle w:val="aa"/>
        <w:bidi/>
        <w:rPr>
          <w:rFonts w:ascii="Narkisim" w:hAnsi="Narkisim"/>
        </w:rPr>
      </w:pPr>
      <w:r w:rsidRPr="00AF1DC8">
        <w:rPr>
          <w:rFonts w:ascii="Narkisim" w:hAnsi="Narkisim"/>
          <w:u w:val="single"/>
          <w:rtl/>
        </w:rPr>
        <w:t>בא"ד ואשה אינה ראויה לדון וכו'</w:t>
      </w:r>
      <w:r w:rsidRPr="00AF1DC8">
        <w:rPr>
          <w:rFonts w:ascii="Narkisim" w:hAnsi="Narkisim"/>
          <w:rtl/>
        </w:rPr>
        <w:t xml:space="preserve">. ע' </w:t>
      </w:r>
      <w:r w:rsidRPr="00AF1DC8">
        <w:rPr>
          <w:rFonts w:ascii="Narkisim" w:hAnsi="Narkisim"/>
          <w:b/>
          <w:bCs/>
          <w:rtl/>
        </w:rPr>
        <w:t>תוס</w:t>
      </w:r>
      <w:r w:rsidRPr="00AF1DC8">
        <w:rPr>
          <w:rFonts w:ascii="Narkisim" w:hAnsi="Narkisim"/>
          <w:rtl/>
        </w:rPr>
        <w:t>' (בכ"מ, גיטין פח: ד”ה ולא, ב”ק טו. וכו') דדנו בזה. ויש שתי' דאשה פסולה לדון מדרבנן, ובגירות לא החמירו</w:t>
      </w:r>
      <w:r w:rsidRPr="00AF1DC8">
        <w:rPr>
          <w:rFonts w:ascii="Narkisim" w:hAnsi="Narkisim"/>
        </w:rPr>
        <w:t>.</w:t>
      </w:r>
    </w:p>
    <w:p w14:paraId="499D7368" w14:textId="77777777" w:rsidR="006074A5" w:rsidRPr="00AF1DC8" w:rsidRDefault="006074A5" w:rsidP="006074A5">
      <w:pPr>
        <w:bidi/>
        <w:rPr>
          <w:rFonts w:ascii="Narkisim" w:hAnsi="Narkisim" w:cs="Narkisim"/>
        </w:rPr>
      </w:pPr>
      <w:r w:rsidRPr="00AF1DC8">
        <w:rPr>
          <w:rFonts w:ascii="Narkisim" w:hAnsi="Narkisim" w:cs="Narkisim"/>
          <w:u w:val="single"/>
          <w:rtl/>
        </w:rPr>
        <w:t>בא"ד וי"ל האי דבעינן ג' היינו לקבלת מצוות, אבל לא לטבילה</w:t>
      </w:r>
      <w:r w:rsidRPr="00AF1DC8">
        <w:rPr>
          <w:rStyle w:val="ac"/>
          <w:rFonts w:ascii="Narkisim" w:hAnsi="Narkisim" w:cs="Narkisim"/>
          <w:u w:val="single"/>
          <w:rtl/>
        </w:rPr>
        <w:footnoteReference w:id="2700"/>
      </w:r>
      <w:r w:rsidRPr="00AF1DC8">
        <w:rPr>
          <w:rFonts w:ascii="Narkisim" w:hAnsi="Narkisim" w:cs="Narkisim"/>
          <w:u w:val="single"/>
        </w:rPr>
        <w:t xml:space="preserve"> </w:t>
      </w:r>
      <w:r w:rsidRPr="00AF1DC8">
        <w:rPr>
          <w:rFonts w:ascii="Narkisim" w:hAnsi="Narkisim" w:cs="Narkisim"/>
          <w:u w:val="single"/>
          <w:rtl/>
        </w:rPr>
        <w:t>וכו'</w:t>
      </w:r>
      <w:r w:rsidRPr="00AF1DC8">
        <w:rPr>
          <w:rFonts w:ascii="Narkisim" w:hAnsi="Narkisim" w:cs="Narkisim"/>
          <w:rtl/>
        </w:rPr>
        <w:t xml:space="preserve">. [ע' מש"כ לעיל </w:t>
      </w:r>
      <w:r w:rsidRPr="00AF1DC8">
        <w:rPr>
          <w:rFonts w:ascii="Narkisim" w:hAnsi="Narkisim" w:cs="Narkisim"/>
          <w:rtl/>
        </w:rPr>
        <w:lastRenderedPageBreak/>
        <w:t xml:space="preserve">בסמוך בשם הרמב"ן]. וכ"כ </w:t>
      </w:r>
      <w:r w:rsidRPr="00AF1DC8">
        <w:rPr>
          <w:rFonts w:ascii="Narkisim" w:hAnsi="Narkisim" w:cs="Narkisim"/>
          <w:b/>
          <w:bCs/>
          <w:rtl/>
        </w:rPr>
        <w:t>תוס</w:t>
      </w:r>
      <w:r w:rsidRPr="00AF1DC8">
        <w:rPr>
          <w:rFonts w:ascii="Narkisim" w:hAnsi="Narkisim" w:cs="Narkisim"/>
          <w:rtl/>
        </w:rPr>
        <w:t>' (קידושין סב: ד"ה גר) דבטבילה סגי בא</w:t>
      </w:r>
      <w:r w:rsidRPr="00AF1DC8">
        <w:rPr>
          <w:rFonts w:ascii="Narkisim" w:hAnsi="Narkisim" w:cs="Narkisim"/>
        </w:rPr>
        <w:t>'</w:t>
      </w:r>
      <w:r w:rsidRPr="00AF1DC8">
        <w:rPr>
          <w:rStyle w:val="ac"/>
          <w:rFonts w:ascii="Narkisim" w:hAnsi="Narkisim" w:cs="Narkisim"/>
        </w:rPr>
        <w:footnoteReference w:id="2701"/>
      </w:r>
      <w:r w:rsidRPr="00AF1DC8">
        <w:rPr>
          <w:rFonts w:ascii="Narkisim" w:hAnsi="Narkisim" w:cs="Narkisim"/>
        </w:rPr>
        <w:t>.</w:t>
      </w:r>
    </w:p>
    <w:p w14:paraId="38613859" w14:textId="77777777" w:rsidR="006074A5" w:rsidRPr="00AF1DC8" w:rsidRDefault="006074A5" w:rsidP="006074A5">
      <w:pPr>
        <w:pStyle w:val="a7"/>
        <w:bidi/>
        <w:rPr>
          <w:rFonts w:ascii="Narkisim" w:hAnsi="Narkisim"/>
        </w:rPr>
      </w:pPr>
      <w:r w:rsidRPr="00AF1DC8">
        <w:rPr>
          <w:rFonts w:ascii="Narkisim" w:hAnsi="Narkisim"/>
          <w:rtl/>
        </w:rPr>
        <w:t>וב</w:t>
      </w:r>
      <w:r w:rsidRPr="00AF1DC8">
        <w:rPr>
          <w:rFonts w:ascii="Narkisim" w:hAnsi="Narkisim"/>
          <w:b/>
          <w:bCs/>
          <w:rtl/>
        </w:rPr>
        <w:t>שו"ת חמד"ש</w:t>
      </w:r>
      <w:r w:rsidRPr="00AF1DC8">
        <w:rPr>
          <w:rFonts w:ascii="Narkisim" w:hAnsi="Narkisim"/>
          <w:rtl/>
        </w:rPr>
        <w:t xml:space="preserve"> (יו"ד כט) דן דאף אי ל"צ בי"ד בטבילה, עכ"פ צריך עדות לקיומי. דמ"ש גירות מכל חלות דין בעלמא</w:t>
      </w:r>
      <w:r w:rsidRPr="00AF1DC8">
        <w:rPr>
          <w:rStyle w:val="ac"/>
          <w:rFonts w:ascii="Narkisim" w:hAnsi="Narkisim"/>
          <w:rtl/>
        </w:rPr>
        <w:footnoteReference w:id="2702"/>
      </w:r>
      <w:r w:rsidRPr="00AF1DC8">
        <w:rPr>
          <w:rFonts w:ascii="Narkisim" w:hAnsi="Narkisim"/>
        </w:rPr>
        <w:t xml:space="preserve">. </w:t>
      </w:r>
      <w:r w:rsidRPr="00AF1DC8">
        <w:rPr>
          <w:rFonts w:ascii="Narkisim" w:hAnsi="Narkisim"/>
          <w:rtl/>
        </w:rPr>
        <w:t>ותי' דלעדות סגי דהדבר ידוע [וכמ”ש תוס' בשם י”מ], אלא דתוס' ס"ל דבתורה דיינים לא סגי כה"ג</w:t>
      </w:r>
      <w:r w:rsidRPr="00AF1DC8">
        <w:rPr>
          <w:rFonts w:ascii="Narkisim" w:hAnsi="Narkisim"/>
        </w:rPr>
        <w:t>.</w:t>
      </w:r>
    </w:p>
    <w:p w14:paraId="04BB7777" w14:textId="77777777" w:rsidR="006074A5" w:rsidRPr="00AF1DC8" w:rsidRDefault="006074A5" w:rsidP="006074A5">
      <w:pPr>
        <w:bidi/>
        <w:rPr>
          <w:rFonts w:ascii="Narkisim" w:hAnsi="Narkisim" w:cs="Narkisim"/>
        </w:rPr>
      </w:pPr>
      <w:r w:rsidRPr="00AF1DC8">
        <w:rPr>
          <w:rFonts w:ascii="Narkisim" w:hAnsi="Narkisim" w:cs="Narkisim"/>
          <w:u w:val="single"/>
          <w:rtl/>
        </w:rPr>
        <w:t>שם. היינו לקבלת מצוות</w:t>
      </w:r>
      <w:r w:rsidRPr="00AF1DC8">
        <w:rPr>
          <w:rFonts w:ascii="Narkisim" w:hAnsi="Narkisim" w:cs="Narkisim"/>
          <w:rtl/>
        </w:rPr>
        <w:t>. צ"ב דקבלת מצוות בלא טבילה אינו כלום, ויכול לחזור בו מקבלתו. וה</w:t>
      </w:r>
      <w:r w:rsidRPr="00AF1DC8">
        <w:rPr>
          <w:rFonts w:ascii="Narkisim" w:hAnsi="Narkisim" w:cs="Narkisim"/>
          <w:b/>
          <w:bCs/>
          <w:rtl/>
        </w:rPr>
        <w:t>אחרונים</w:t>
      </w:r>
      <w:r w:rsidRPr="00AF1DC8">
        <w:rPr>
          <w:rFonts w:ascii="Narkisim" w:hAnsi="Narkisim" w:cs="Narkisim"/>
          <w:rtl/>
        </w:rPr>
        <w:t xml:space="preserve"> חקרו בגדר קבלת מצוות, האם הוה חלק ושלב נוסף בגירות, או דהוה עצם קבלת היהדות. ומבואר בתוס' דכל הדין בי”ד [בדיעבד] הוא לגבי הקבלה, ולא ל'מעשה הגירות</w:t>
      </w:r>
      <w:r w:rsidRPr="00AF1DC8">
        <w:rPr>
          <w:rFonts w:ascii="Narkisim" w:hAnsi="Narkisim" w:cs="Narkisim"/>
        </w:rPr>
        <w:t>'.</w:t>
      </w:r>
    </w:p>
    <w:p w14:paraId="26E2CE7F"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דגו"מ</w:t>
      </w:r>
      <w:r w:rsidRPr="00AF1DC8">
        <w:rPr>
          <w:rFonts w:ascii="Narkisim" w:hAnsi="Narkisim"/>
          <w:rtl/>
        </w:rPr>
        <w:t xml:space="preserve"> (יו"ד רסח ג והו' בפתח"ת) כת' דה"מ בגר גדול שקיבל מצוות. אבל גר קטן דליכא קבלת מצוות צריך טבילה ביום ובפני ג</w:t>
      </w:r>
      <w:r w:rsidRPr="00AF1DC8">
        <w:rPr>
          <w:rFonts w:ascii="Narkisim" w:hAnsi="Narkisim"/>
        </w:rPr>
        <w:t>'</w:t>
      </w:r>
      <w:r w:rsidRPr="00AF1DC8">
        <w:rPr>
          <w:rStyle w:val="ac"/>
          <w:rFonts w:ascii="Narkisim" w:hAnsi="Narkisim"/>
        </w:rPr>
        <w:footnoteReference w:id="2703"/>
      </w:r>
      <w:r w:rsidRPr="00AF1DC8">
        <w:rPr>
          <w:rFonts w:ascii="Narkisim" w:hAnsi="Narkisim"/>
        </w:rPr>
        <w:t>.</w:t>
      </w:r>
    </w:p>
    <w:p w14:paraId="6618B5CD" w14:textId="77777777" w:rsidR="006074A5" w:rsidRPr="00AF1DC8" w:rsidRDefault="006074A5" w:rsidP="006074A5">
      <w:pPr>
        <w:pStyle w:val="a8"/>
        <w:bidi/>
        <w:rPr>
          <w:rFonts w:ascii="Narkisim" w:hAnsi="Narkisim"/>
        </w:rPr>
      </w:pPr>
      <w:r w:rsidRPr="00AF1DC8">
        <w:rPr>
          <w:rFonts w:ascii="Narkisim" w:hAnsi="Narkisim"/>
          <w:rtl/>
        </w:rPr>
        <w:t>ועד"ז נקטו ה</w:t>
      </w:r>
      <w:r w:rsidRPr="00AF1DC8">
        <w:rPr>
          <w:rFonts w:ascii="Narkisim" w:hAnsi="Narkisim"/>
          <w:b/>
          <w:bCs/>
          <w:rtl/>
        </w:rPr>
        <w:t>ראשונים</w:t>
      </w:r>
      <w:r w:rsidRPr="00AF1DC8">
        <w:rPr>
          <w:rFonts w:ascii="Narkisim" w:hAnsi="Narkisim"/>
          <w:rtl/>
        </w:rPr>
        <w:t xml:space="preserve"> (לקמן מז: מח. וקידושין סב:) דאף עבד משוחרר צריך ג' בטבילה [לכתחילה], ואף דליכא קבלת מצוות</w:t>
      </w:r>
      <w:r w:rsidRPr="00AF1DC8">
        <w:rPr>
          <w:rFonts w:ascii="Narkisim" w:hAnsi="Narkisim"/>
        </w:rPr>
        <w:t>.</w:t>
      </w:r>
    </w:p>
    <w:p w14:paraId="5D03673E" w14:textId="77777777" w:rsidR="006074A5" w:rsidRPr="00AF1DC8" w:rsidRDefault="006074A5" w:rsidP="006074A5">
      <w:pPr>
        <w:bidi/>
        <w:rPr>
          <w:rFonts w:ascii="Narkisim" w:hAnsi="Narkisim" w:cs="Narkisim"/>
        </w:rPr>
      </w:pPr>
      <w:r w:rsidRPr="00AF1DC8">
        <w:rPr>
          <w:rFonts w:ascii="Narkisim" w:hAnsi="Narkisim" w:cs="Narkisim"/>
          <w:u w:val="single"/>
          <w:rtl/>
        </w:rPr>
        <w:t>שם. אבל לא טבילה.</w:t>
      </w:r>
      <w:r w:rsidRPr="00AF1DC8">
        <w:rPr>
          <w:rFonts w:ascii="Narkisim" w:hAnsi="Narkisim" w:cs="Narkisim"/>
          <w:rtl/>
        </w:rPr>
        <w:t xml:space="preserve"> תוס' לא הזכירו מילה. אבל ה</w:t>
      </w:r>
      <w:r w:rsidRPr="00AF1DC8">
        <w:rPr>
          <w:rFonts w:ascii="Narkisim" w:hAnsi="Narkisim" w:cs="Narkisim"/>
          <w:b/>
          <w:bCs/>
          <w:rtl/>
        </w:rPr>
        <w:t>ריטב"א</w:t>
      </w:r>
      <w:r w:rsidRPr="00AF1DC8">
        <w:rPr>
          <w:rFonts w:ascii="Narkisim" w:hAnsi="Narkisim" w:cs="Narkisim"/>
          <w:rtl/>
        </w:rPr>
        <w:t xml:space="preserve"> כתב דאף מילה בעי ג'. וכ”כ ה</w:t>
      </w:r>
      <w:r w:rsidRPr="00AF1DC8">
        <w:rPr>
          <w:rFonts w:ascii="Narkisim" w:hAnsi="Narkisim" w:cs="Narkisim"/>
          <w:b/>
          <w:bCs/>
          <w:rtl/>
        </w:rPr>
        <w:t>שו”ע</w:t>
      </w:r>
      <w:r w:rsidRPr="00AF1DC8">
        <w:rPr>
          <w:rFonts w:ascii="Narkisim" w:hAnsi="Narkisim" w:cs="Narkisim"/>
          <w:rtl/>
        </w:rPr>
        <w:t xml:space="preserve"> (רסח ס”ס ג) וה</w:t>
      </w:r>
      <w:r w:rsidRPr="00AF1DC8">
        <w:rPr>
          <w:rFonts w:ascii="Narkisim" w:hAnsi="Narkisim" w:cs="Narkisim"/>
          <w:b/>
          <w:bCs/>
          <w:rtl/>
        </w:rPr>
        <w:t>ב"ח</w:t>
      </w:r>
      <w:r w:rsidRPr="00AF1DC8">
        <w:rPr>
          <w:rFonts w:ascii="Narkisim" w:hAnsi="Narkisim" w:cs="Narkisim"/>
          <w:rtl/>
        </w:rPr>
        <w:t xml:space="preserve"> וה</w:t>
      </w:r>
      <w:r w:rsidRPr="00AF1DC8">
        <w:rPr>
          <w:rFonts w:ascii="Narkisim" w:hAnsi="Narkisim" w:cs="Narkisim"/>
          <w:b/>
          <w:bCs/>
          <w:rtl/>
        </w:rPr>
        <w:t>גר"א</w:t>
      </w:r>
      <w:r w:rsidRPr="00AF1DC8">
        <w:rPr>
          <w:rFonts w:ascii="Narkisim" w:hAnsi="Narkisim" w:cs="Narkisim"/>
          <w:rtl/>
        </w:rPr>
        <w:t xml:space="preserve"> העירו דלא מצאנו דבעי ג' במילה</w:t>
      </w:r>
      <w:r w:rsidRPr="00AF1DC8">
        <w:rPr>
          <w:rStyle w:val="ac"/>
          <w:rFonts w:ascii="Narkisim" w:hAnsi="Narkisim" w:cs="Narkisim"/>
          <w:rtl/>
        </w:rPr>
        <w:footnoteReference w:id="2704"/>
      </w:r>
      <w:r w:rsidRPr="00AF1DC8">
        <w:rPr>
          <w:rFonts w:ascii="Narkisim" w:hAnsi="Narkisim" w:cs="Narkisim"/>
        </w:rPr>
        <w:t>.</w:t>
      </w:r>
    </w:p>
    <w:p w14:paraId="669C9355" w14:textId="77777777" w:rsidR="006074A5" w:rsidRPr="00AF1DC8" w:rsidRDefault="006074A5" w:rsidP="006074A5">
      <w:pPr>
        <w:pStyle w:val="aa"/>
        <w:bidi/>
        <w:rPr>
          <w:rFonts w:ascii="Narkisim" w:hAnsi="Narkisim"/>
        </w:rPr>
      </w:pPr>
      <w:r w:rsidRPr="00AF1DC8">
        <w:rPr>
          <w:rFonts w:ascii="Narkisim" w:hAnsi="Narkisim"/>
          <w:u w:val="single"/>
          <w:rtl/>
        </w:rPr>
        <w:t>בא”ד היינו לכתחילה דעדיף טפי.</w:t>
      </w:r>
      <w:r w:rsidRPr="00AF1DC8">
        <w:rPr>
          <w:rFonts w:ascii="Narkisim" w:hAnsi="Narkisim"/>
          <w:rtl/>
        </w:rPr>
        <w:t xml:space="preserve"> וה</w:t>
      </w:r>
      <w:r w:rsidRPr="00AF1DC8">
        <w:rPr>
          <w:rFonts w:ascii="Narkisim" w:hAnsi="Narkisim"/>
          <w:b/>
          <w:bCs/>
          <w:rtl/>
        </w:rPr>
        <w:t>תוס' רא"ש</w:t>
      </w:r>
      <w:r w:rsidRPr="00AF1DC8">
        <w:rPr>
          <w:rFonts w:ascii="Narkisim" w:hAnsi="Narkisim"/>
          <w:rtl/>
        </w:rPr>
        <w:t xml:space="preserve"> ו</w:t>
      </w:r>
      <w:r w:rsidRPr="00AF1DC8">
        <w:rPr>
          <w:rFonts w:ascii="Narkisim" w:hAnsi="Narkisim"/>
          <w:b/>
          <w:bCs/>
          <w:rtl/>
        </w:rPr>
        <w:t>רשב"א</w:t>
      </w:r>
      <w:r w:rsidRPr="00AF1DC8">
        <w:rPr>
          <w:rFonts w:ascii="Narkisim" w:hAnsi="Narkisim"/>
          <w:rtl/>
        </w:rPr>
        <w:t xml:space="preserve"> (קידושין שם) כת' דמדרבנן צריך ג' בטבילה. [פי' לכתחילה מדרבנן]</w:t>
      </w:r>
      <w:r w:rsidRPr="00AF1DC8">
        <w:rPr>
          <w:rFonts w:ascii="Narkisim" w:hAnsi="Narkisim"/>
        </w:rPr>
        <w:t>.</w:t>
      </w:r>
    </w:p>
    <w:p w14:paraId="1FCD0D9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שו"ע</w:t>
      </w:r>
      <w:r w:rsidRPr="00AF1DC8">
        <w:rPr>
          <w:rFonts w:ascii="Narkisim" w:hAnsi="Narkisim"/>
          <w:rtl/>
        </w:rPr>
        <w:t xml:space="preserve"> (שם) כתב דלדעת ה</w:t>
      </w:r>
      <w:r w:rsidRPr="00AF1DC8">
        <w:rPr>
          <w:rFonts w:ascii="Narkisim" w:hAnsi="Narkisim"/>
          <w:b/>
          <w:bCs/>
          <w:rtl/>
        </w:rPr>
        <w:t>רי"ף</w:t>
      </w:r>
      <w:r w:rsidRPr="00AF1DC8">
        <w:rPr>
          <w:rFonts w:ascii="Narkisim" w:hAnsi="Narkisim"/>
          <w:rtl/>
        </w:rPr>
        <w:t xml:space="preserve"> וה</w:t>
      </w:r>
      <w:r w:rsidRPr="00AF1DC8">
        <w:rPr>
          <w:rFonts w:ascii="Narkisim" w:hAnsi="Narkisim"/>
          <w:b/>
          <w:bCs/>
          <w:rtl/>
        </w:rPr>
        <w:t>רמב"ם</w:t>
      </w:r>
      <w:r w:rsidRPr="00AF1DC8">
        <w:rPr>
          <w:rFonts w:ascii="Narkisim" w:hAnsi="Narkisim"/>
          <w:rtl/>
        </w:rPr>
        <w:t xml:space="preserve"> </w:t>
      </w:r>
      <w:r w:rsidRPr="00AF1DC8">
        <w:rPr>
          <w:rFonts w:ascii="Narkisim" w:hAnsi="Narkisim"/>
          <w:sz w:val="20"/>
          <w:szCs w:val="20"/>
          <w:rtl/>
        </w:rPr>
        <w:t>(הנ"ל, שפי' הסוגיא בענין אחר)</w:t>
      </w:r>
      <w:r w:rsidRPr="00AF1DC8">
        <w:rPr>
          <w:rFonts w:ascii="Narkisim" w:hAnsi="Narkisim"/>
          <w:rtl/>
        </w:rPr>
        <w:t xml:space="preserve"> אף טבילה ומילה מעכב בדיעבד שיהא ג' [אבל אם נשא ישראלית ונולד בן לא פסלינן ליה, וכדברי הרי”ף]</w:t>
      </w:r>
      <w:r w:rsidRPr="00AF1DC8">
        <w:rPr>
          <w:rFonts w:ascii="Narkisim" w:hAnsi="Narkisim"/>
        </w:rPr>
        <w:t>.</w:t>
      </w:r>
    </w:p>
    <w:p w14:paraId="188FB21A" w14:textId="77777777" w:rsidR="006074A5" w:rsidRPr="00AF1DC8" w:rsidRDefault="006074A5" w:rsidP="006074A5">
      <w:pPr>
        <w:bidi/>
        <w:rPr>
          <w:rFonts w:ascii="Narkisim" w:hAnsi="Narkisim" w:cs="Narkisim"/>
        </w:rPr>
      </w:pPr>
      <w:r w:rsidRPr="00AF1DC8">
        <w:rPr>
          <w:rFonts w:ascii="Narkisim" w:hAnsi="Narkisim" w:cs="Narkisim"/>
          <w:u w:val="single"/>
          <w:rtl/>
        </w:rPr>
        <w:t>בא"ד וי"מ כיון דידוע לכל שטבלה כאילו עומדים שם דמי וכו'.</w:t>
      </w:r>
      <w:r w:rsidRPr="00AF1DC8">
        <w:rPr>
          <w:rFonts w:ascii="Narkisim" w:hAnsi="Narkisim" w:cs="Narkisim"/>
          <w:rtl/>
        </w:rPr>
        <w:t xml:space="preserve"> ונעשה כאילו ג' דיינים היודעים בדבר עמדו שם. </w:t>
      </w:r>
      <w:r w:rsidRPr="00AF1DC8">
        <w:rPr>
          <w:rFonts w:ascii="Narkisim" w:hAnsi="Narkisim" w:cs="Narkisim"/>
          <w:sz w:val="20"/>
          <w:szCs w:val="20"/>
          <w:rtl/>
        </w:rPr>
        <w:t>וה</w:t>
      </w:r>
      <w:r w:rsidRPr="00AF1DC8">
        <w:rPr>
          <w:rFonts w:ascii="Narkisim" w:hAnsi="Narkisim" w:cs="Narkisim"/>
          <w:b/>
          <w:bCs/>
          <w:sz w:val="20"/>
          <w:szCs w:val="20"/>
          <w:rtl/>
        </w:rPr>
        <w:t>גליון מהרש"א</w:t>
      </w:r>
      <w:r w:rsidRPr="00AF1DC8">
        <w:rPr>
          <w:rFonts w:ascii="Narkisim" w:hAnsi="Narkisim" w:cs="Narkisim"/>
          <w:sz w:val="20"/>
          <w:szCs w:val="20"/>
          <w:rtl/>
        </w:rPr>
        <w:t xml:space="preserve"> ציין לדברי ה</w:t>
      </w:r>
      <w:r w:rsidRPr="00AF1DC8">
        <w:rPr>
          <w:rFonts w:ascii="Narkisim" w:hAnsi="Narkisim" w:cs="Narkisim"/>
          <w:b/>
          <w:bCs/>
          <w:sz w:val="20"/>
          <w:szCs w:val="20"/>
          <w:rtl/>
        </w:rPr>
        <w:t>בי"ש</w:t>
      </w:r>
      <w:r w:rsidRPr="00AF1DC8">
        <w:rPr>
          <w:rFonts w:ascii="Narkisim" w:hAnsi="Narkisim" w:cs="Narkisim"/>
          <w:sz w:val="20"/>
          <w:szCs w:val="20"/>
          <w:rtl/>
        </w:rPr>
        <w:t xml:space="preserve"> (מב יב) דסגי בעדי ידיעה בקידושין, ואי"צ עדי שראו דוקא</w:t>
      </w:r>
      <w:r w:rsidRPr="00AF1DC8">
        <w:rPr>
          <w:rFonts w:ascii="Narkisim" w:hAnsi="Narkisim" w:cs="Narkisim"/>
          <w:sz w:val="20"/>
          <w:szCs w:val="20"/>
        </w:rPr>
        <w:t>.</w:t>
      </w:r>
    </w:p>
    <w:p w14:paraId="5BB04B2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חקרו בגדר הדין בי"ד בגירות, האם הוה </w:t>
      </w:r>
      <w:r w:rsidRPr="00AF1DC8">
        <w:rPr>
          <w:rFonts w:ascii="Narkisim" w:hAnsi="Narkisim"/>
          <w:i/>
          <w:iCs/>
          <w:rtl/>
        </w:rPr>
        <w:t>תנאי</w:t>
      </w:r>
      <w:r w:rsidRPr="00AF1DC8">
        <w:rPr>
          <w:rFonts w:ascii="Narkisim" w:hAnsi="Narkisim"/>
          <w:rtl/>
        </w:rPr>
        <w:t xml:space="preserve"> דבעינן בפני בי"ד [דומיא דעדות לקיומא], או דהבי"ד פועלים את עצם הגירות.</w:t>
      </w:r>
      <w:r w:rsidRPr="00AF1DC8">
        <w:rPr>
          <w:rFonts w:ascii="Narkisim" w:hAnsi="Narkisim"/>
          <w:sz w:val="20"/>
          <w:szCs w:val="20"/>
          <w:rtl/>
        </w:rPr>
        <w:t xml:space="preserve"> [וה</w:t>
      </w:r>
      <w:r w:rsidRPr="00AF1DC8">
        <w:rPr>
          <w:rFonts w:ascii="Narkisim" w:hAnsi="Narkisim"/>
          <w:b/>
          <w:bCs/>
          <w:sz w:val="20"/>
          <w:szCs w:val="20"/>
          <w:rtl/>
        </w:rPr>
        <w:t>אבי עזרי</w:t>
      </w:r>
      <w:r w:rsidRPr="00AF1DC8">
        <w:rPr>
          <w:rFonts w:ascii="Narkisim" w:hAnsi="Narkisim"/>
          <w:sz w:val="20"/>
          <w:szCs w:val="20"/>
          <w:rtl/>
        </w:rPr>
        <w:t xml:space="preserve"> (איסו”ב יג) האריך עד”ז דהבי”ד פועלים הגירות]</w:t>
      </w:r>
      <w:r w:rsidRPr="00AF1DC8">
        <w:rPr>
          <w:rFonts w:ascii="Narkisim" w:hAnsi="Narkisim"/>
          <w:rtl/>
        </w:rPr>
        <w:t>. וה</w:t>
      </w:r>
      <w:r w:rsidRPr="00AF1DC8">
        <w:rPr>
          <w:rFonts w:ascii="Narkisim" w:hAnsi="Narkisim"/>
          <w:b/>
          <w:bCs/>
          <w:rtl/>
        </w:rPr>
        <w:t>אחרונים</w:t>
      </w:r>
      <w:r w:rsidRPr="00AF1DC8">
        <w:rPr>
          <w:rFonts w:ascii="Narkisim" w:hAnsi="Narkisim"/>
          <w:rtl/>
        </w:rPr>
        <w:t xml:space="preserve"> דנו דעפ"ז לכאורה ל"מ שידוע לכל, דהבי"ד לא נתכוונים בשעת מעשה</w:t>
      </w:r>
      <w:r w:rsidRPr="00AF1DC8">
        <w:rPr>
          <w:rStyle w:val="ac"/>
          <w:rFonts w:ascii="Narkisim" w:hAnsi="Narkisim"/>
          <w:rtl/>
        </w:rPr>
        <w:footnoteReference w:id="2705"/>
      </w:r>
      <w:r w:rsidRPr="00AF1DC8">
        <w:rPr>
          <w:rFonts w:ascii="Narkisim" w:hAnsi="Narkisim"/>
        </w:rPr>
        <w:t>.</w:t>
      </w:r>
    </w:p>
    <w:p w14:paraId="15405B2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קוב"ש</w:t>
      </w:r>
      <w:r w:rsidRPr="00AF1DC8">
        <w:rPr>
          <w:rFonts w:ascii="Narkisim" w:hAnsi="Narkisim"/>
          <w:rtl/>
        </w:rPr>
        <w:t xml:space="preserve"> (כתובות לג) הביא מדברי </w:t>
      </w:r>
      <w:r w:rsidRPr="00AF1DC8">
        <w:rPr>
          <w:rFonts w:ascii="Narkisim" w:hAnsi="Narkisim"/>
          <w:b/>
          <w:bCs/>
          <w:rtl/>
        </w:rPr>
        <w:t>תוס</w:t>
      </w:r>
      <w:r w:rsidRPr="00AF1DC8">
        <w:rPr>
          <w:rFonts w:ascii="Narkisim" w:hAnsi="Narkisim"/>
          <w:rtl/>
        </w:rPr>
        <w:t>' (סנהדרין סח:) דהק' בכל גרות היאך בי"ד מטבילין, הא אין זכין לעכו"ם. ותי' דזכייתו וידו באין כא' [ומשמע דהבי”ד זכין ופועלים]. ו</w:t>
      </w:r>
      <w:r w:rsidRPr="00AF1DC8">
        <w:rPr>
          <w:rFonts w:ascii="Narkisim" w:hAnsi="Narkisim"/>
          <w:b/>
          <w:bCs/>
          <w:rtl/>
        </w:rPr>
        <w:t>תוס'</w:t>
      </w:r>
      <w:r w:rsidRPr="00AF1DC8">
        <w:rPr>
          <w:rFonts w:ascii="Narkisim" w:hAnsi="Narkisim"/>
          <w:rtl/>
        </w:rPr>
        <w:t xml:space="preserve"> (סנהדרין) תי' עוד דזכיית גרות לא דמי לשאר זכיות, ולא הוה גדר 'זכין' דנימא דהבי"ד זכים עבורו</w:t>
      </w:r>
      <w:r w:rsidRPr="00AF1DC8">
        <w:rPr>
          <w:rStyle w:val="ac"/>
          <w:rFonts w:ascii="Narkisim" w:hAnsi="Narkisim"/>
          <w:rtl/>
        </w:rPr>
        <w:footnoteReference w:id="2706"/>
      </w:r>
      <w:r w:rsidRPr="00AF1DC8">
        <w:rPr>
          <w:rFonts w:ascii="Narkisim" w:hAnsi="Narkisim"/>
        </w:rPr>
        <w:t xml:space="preserve">. </w:t>
      </w:r>
      <w:r w:rsidRPr="00AF1DC8">
        <w:rPr>
          <w:rFonts w:ascii="Narkisim" w:hAnsi="Narkisim"/>
          <w:rtl/>
        </w:rPr>
        <w:t>אלא הוא זוכה בעצמו ובגופו שנעשה גר ונכנס תחת כנפי השכינה</w:t>
      </w:r>
      <w:r w:rsidRPr="00AF1DC8">
        <w:rPr>
          <w:rStyle w:val="ac"/>
          <w:rFonts w:ascii="Narkisim" w:hAnsi="Narkisim"/>
          <w:rtl/>
        </w:rPr>
        <w:footnoteReference w:id="2707"/>
      </w:r>
      <w:r w:rsidRPr="00AF1DC8">
        <w:rPr>
          <w:rFonts w:ascii="Narkisim" w:hAnsi="Narkisim"/>
        </w:rPr>
        <w:t>.</w:t>
      </w:r>
    </w:p>
    <w:p w14:paraId="60F6D424" w14:textId="77777777" w:rsidR="006074A5" w:rsidRPr="00AF1DC8" w:rsidRDefault="006074A5" w:rsidP="006074A5">
      <w:pPr>
        <w:bidi/>
        <w:rPr>
          <w:rFonts w:ascii="Narkisim" w:hAnsi="Narkisim" w:cs="Narkisim"/>
        </w:rPr>
      </w:pPr>
      <w:r w:rsidRPr="00AF1DC8">
        <w:rPr>
          <w:rFonts w:ascii="Narkisim" w:hAnsi="Narkisim" w:cs="Narkisim"/>
          <w:u w:val="single"/>
          <w:rtl/>
        </w:rPr>
        <w:t>בא"ד אבל אי לא כתיב משפט אלא אקבלה וכו'.</w:t>
      </w:r>
      <w:r w:rsidRPr="00AF1DC8">
        <w:rPr>
          <w:rFonts w:ascii="Narkisim" w:hAnsi="Narkisim" w:cs="Narkisim"/>
          <w:rtl/>
        </w:rPr>
        <w:t xml:space="preserve"> מבואר דתוס' נסתפקו האם הטבילה נחשב 'משפט', או ד'קבלת הגר' הוה משפט, והטבילה הוה מכשיר בעלמא. [ומש”ה כשר אף בלילה</w:t>
      </w:r>
      <w:r w:rsidRPr="00AF1DC8">
        <w:rPr>
          <w:rStyle w:val="ac"/>
          <w:rFonts w:ascii="Narkisim" w:hAnsi="Narkisim" w:cs="Narkisim"/>
          <w:rtl/>
        </w:rPr>
        <w:footnoteReference w:id="2708"/>
      </w:r>
      <w:r w:rsidRPr="00AF1DC8">
        <w:rPr>
          <w:rFonts w:ascii="Narkisim" w:hAnsi="Narkisim" w:cs="Narkisim"/>
          <w:rtl/>
        </w:rPr>
        <w:t>]</w:t>
      </w:r>
      <w:r w:rsidRPr="00AF1DC8">
        <w:rPr>
          <w:rFonts w:ascii="Narkisim" w:hAnsi="Narkisim" w:cs="Narkisim"/>
        </w:rPr>
        <w:t>.</w:t>
      </w:r>
    </w:p>
    <w:p w14:paraId="7835608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הביא בשם </w:t>
      </w:r>
      <w:r w:rsidRPr="00AF1DC8">
        <w:rPr>
          <w:rFonts w:ascii="Narkisim" w:hAnsi="Narkisim"/>
          <w:b/>
          <w:bCs/>
          <w:rtl/>
        </w:rPr>
        <w:t>רבינו</w:t>
      </w:r>
      <w:r w:rsidRPr="00AF1DC8">
        <w:rPr>
          <w:rFonts w:ascii="Narkisim" w:hAnsi="Narkisim"/>
          <w:rtl/>
        </w:rPr>
        <w:t xml:space="preserve"> </w:t>
      </w:r>
      <w:r w:rsidRPr="00AF1DC8">
        <w:rPr>
          <w:rFonts w:ascii="Narkisim" w:hAnsi="Narkisim"/>
          <w:b/>
          <w:bCs/>
          <w:rtl/>
        </w:rPr>
        <w:t>מאיר</w:t>
      </w:r>
      <w:r w:rsidRPr="00AF1DC8">
        <w:rPr>
          <w:rFonts w:ascii="Narkisim" w:hAnsi="Narkisim"/>
          <w:rtl/>
        </w:rPr>
        <w:t xml:space="preserve"> דילפינן דבעי ג' בטבילת גר דבעינן משפט. אבל לא ילפי' דל"מ בלילה. דאין לגירות דין משפט אלא לענין גוף הדבר</w:t>
      </w:r>
      <w:r w:rsidRPr="00AF1DC8">
        <w:rPr>
          <w:rStyle w:val="ac"/>
          <w:rFonts w:ascii="Narkisim" w:hAnsi="Narkisim"/>
          <w:rtl/>
        </w:rPr>
        <w:footnoteReference w:id="2709"/>
      </w:r>
      <w:r w:rsidRPr="00AF1DC8">
        <w:rPr>
          <w:rFonts w:ascii="Narkisim" w:hAnsi="Narkisim"/>
        </w:rPr>
        <w:t xml:space="preserve"> </w:t>
      </w:r>
      <w:r w:rsidRPr="00AF1DC8">
        <w:rPr>
          <w:rFonts w:ascii="Narkisim" w:hAnsi="Narkisim"/>
          <w:rtl/>
        </w:rPr>
        <w:t xml:space="preserve">[שצריך ג' דיינים], אבל לא לזמן </w:t>
      </w:r>
      <w:r w:rsidRPr="00AF1DC8">
        <w:rPr>
          <w:rFonts w:ascii="Narkisim" w:hAnsi="Narkisim"/>
          <w:rtl/>
        </w:rPr>
        <w:lastRenderedPageBreak/>
        <w:t>הטבילה. והוה מדרבנן ולכתחילה לא לגייר בלילה, ובדיעבד שפיר דמי</w:t>
      </w:r>
      <w:r w:rsidRPr="00AF1DC8">
        <w:rPr>
          <w:rFonts w:ascii="Narkisim" w:hAnsi="Narkisim"/>
        </w:rPr>
        <w:t>.</w:t>
      </w:r>
    </w:p>
    <w:p w14:paraId="32C46FF6" w14:textId="77777777" w:rsidR="006074A5" w:rsidRPr="00AF1DC8" w:rsidRDefault="006074A5" w:rsidP="006074A5">
      <w:pPr>
        <w:pStyle w:val="a7"/>
        <w:bidi/>
        <w:rPr>
          <w:rFonts w:ascii="Narkisim" w:hAnsi="Narkisim"/>
        </w:rPr>
      </w:pPr>
      <w:r w:rsidRPr="00AF1DC8">
        <w:rPr>
          <w:rFonts w:ascii="Narkisim" w:hAnsi="Narkisim"/>
          <w:rtl/>
        </w:rPr>
        <w:t>ועוד תי' דהיכא דתחילת הדין ביום, קי"ל דגמר דין בלילה. וקבלת מצוה הוי כתחלת דין, וטבילה הויא כגמר דין. ומדרבנן הוא דבעינן ביום לכתחלה</w:t>
      </w:r>
      <w:r w:rsidRPr="00AF1DC8">
        <w:rPr>
          <w:rFonts w:ascii="Narkisim" w:hAnsi="Narkisim"/>
        </w:rPr>
        <w:t>.</w:t>
      </w:r>
    </w:p>
    <w:p w14:paraId="3507F946" w14:textId="77777777" w:rsidR="006074A5" w:rsidRPr="00AF1DC8" w:rsidRDefault="006074A5" w:rsidP="006074A5">
      <w:pPr>
        <w:pStyle w:val="aa"/>
        <w:bidi/>
        <w:rPr>
          <w:rFonts w:ascii="Narkisim" w:hAnsi="Narkisim"/>
        </w:rPr>
      </w:pPr>
      <w:r w:rsidRPr="00AF1DC8">
        <w:rPr>
          <w:rFonts w:ascii="Narkisim" w:hAnsi="Narkisim"/>
          <w:u w:val="single"/>
          <w:rtl/>
        </w:rPr>
        <w:t>מי לא טבל לקריו.</w:t>
      </w:r>
      <w:r w:rsidRPr="00AF1DC8">
        <w:rPr>
          <w:rFonts w:ascii="Narkisim" w:hAnsi="Narkisim"/>
          <w:rtl/>
        </w:rPr>
        <w:t xml:space="preserve"> ה</w:t>
      </w:r>
      <w:r w:rsidRPr="00AF1DC8">
        <w:rPr>
          <w:rFonts w:ascii="Narkisim" w:hAnsi="Narkisim"/>
          <w:b/>
          <w:bCs/>
          <w:rtl/>
        </w:rPr>
        <w:t>אחרונים</w:t>
      </w:r>
      <w:r w:rsidRPr="00AF1DC8">
        <w:rPr>
          <w:rFonts w:ascii="Narkisim" w:hAnsi="Narkisim"/>
          <w:rtl/>
        </w:rPr>
        <w:t xml:space="preserve"> דנו האם חציצה פוסלת לטבילת בעל קרי</w:t>
      </w:r>
      <w:r w:rsidRPr="00AF1DC8">
        <w:rPr>
          <w:rStyle w:val="ac"/>
          <w:rFonts w:ascii="Narkisim" w:hAnsi="Narkisim"/>
          <w:rtl/>
        </w:rPr>
        <w:footnoteReference w:id="2710"/>
      </w:r>
      <w:r w:rsidRPr="00AF1DC8">
        <w:rPr>
          <w:rFonts w:ascii="Narkisim" w:hAnsi="Narkisim"/>
        </w:rPr>
        <w:t xml:space="preserve">, </w:t>
      </w:r>
      <w:r w:rsidRPr="00AF1DC8">
        <w:rPr>
          <w:rFonts w:ascii="Narkisim" w:hAnsi="Narkisim"/>
          <w:rtl/>
        </w:rPr>
        <w:t>ואילו לטבילת גר יש דיני חציצה</w:t>
      </w:r>
      <w:r w:rsidRPr="00AF1DC8">
        <w:rPr>
          <w:rStyle w:val="ac"/>
          <w:rFonts w:ascii="Narkisim" w:hAnsi="Narkisim"/>
          <w:rtl/>
        </w:rPr>
        <w:footnoteReference w:id="2711"/>
      </w:r>
      <w:r w:rsidRPr="00AF1DC8">
        <w:rPr>
          <w:rFonts w:ascii="Narkisim" w:hAnsi="Narkisim"/>
        </w:rPr>
        <w:t xml:space="preserve"> </w:t>
      </w:r>
      <w:r w:rsidRPr="00AF1DC8">
        <w:rPr>
          <w:rFonts w:ascii="Narkisim" w:hAnsi="Narkisim"/>
          <w:rtl/>
        </w:rPr>
        <w:t>(וכדאי' לקמן מז:). וה</w:t>
      </w:r>
      <w:r w:rsidRPr="00AF1DC8">
        <w:rPr>
          <w:rFonts w:ascii="Narkisim" w:hAnsi="Narkisim"/>
          <w:b/>
          <w:bCs/>
          <w:rtl/>
        </w:rPr>
        <w:t>מנח"ח</w:t>
      </w:r>
      <w:r w:rsidRPr="00AF1DC8">
        <w:rPr>
          <w:rFonts w:ascii="Narkisim" w:hAnsi="Narkisim"/>
          <w:rtl/>
        </w:rPr>
        <w:t xml:space="preserve"> (קצ) הביא להוכיח מסוגיין דסמכו שטבל כדין</w:t>
      </w:r>
      <w:r w:rsidRPr="00AF1DC8">
        <w:rPr>
          <w:rFonts w:ascii="Narkisim" w:hAnsi="Narkisim"/>
        </w:rPr>
        <w:t>.</w:t>
      </w:r>
    </w:p>
    <w:p w14:paraId="0DF2C228" w14:textId="77777777" w:rsidR="006074A5" w:rsidRPr="00AF1DC8" w:rsidRDefault="006074A5" w:rsidP="006074A5">
      <w:pPr>
        <w:pStyle w:val="a8"/>
        <w:bidi/>
        <w:rPr>
          <w:rFonts w:ascii="Narkisim" w:hAnsi="Narkisim"/>
        </w:rPr>
      </w:pPr>
      <w:r w:rsidRPr="00AF1DC8">
        <w:rPr>
          <w:rFonts w:ascii="Narkisim" w:hAnsi="Narkisim"/>
          <w:rtl/>
        </w:rPr>
        <w:t>ועוד הקשו ה</w:t>
      </w:r>
      <w:r w:rsidRPr="00AF1DC8">
        <w:rPr>
          <w:rFonts w:ascii="Narkisim" w:hAnsi="Narkisim"/>
          <w:b/>
          <w:bCs/>
          <w:rtl/>
        </w:rPr>
        <w:t>אחרונים</w:t>
      </w:r>
      <w:r w:rsidRPr="00AF1DC8">
        <w:rPr>
          <w:rFonts w:ascii="Narkisim" w:hAnsi="Narkisim"/>
          <w:rtl/>
        </w:rPr>
        <w:t xml:space="preserve"> דלתקנת עזרא אפשר לטבול בשאובים. וע"ע </w:t>
      </w:r>
      <w:r w:rsidRPr="00AF1DC8">
        <w:rPr>
          <w:rFonts w:ascii="Narkisim" w:hAnsi="Narkisim"/>
          <w:b/>
          <w:bCs/>
          <w:rtl/>
        </w:rPr>
        <w:t>חש"ל</w:t>
      </w:r>
      <w:r w:rsidRPr="00AF1DC8">
        <w:rPr>
          <w:rFonts w:ascii="Narkisim" w:hAnsi="Narkisim"/>
          <w:rtl/>
        </w:rPr>
        <w:t xml:space="preserve"> בשם ר' ישראל סלנט</w:t>
      </w:r>
      <w:r w:rsidRPr="00AF1DC8">
        <w:rPr>
          <w:rFonts w:ascii="Narkisim" w:hAnsi="Narkisim"/>
        </w:rPr>
        <w:t>.</w:t>
      </w:r>
    </w:p>
    <w:p w14:paraId="350F3633" w14:textId="77777777" w:rsidR="006074A5" w:rsidRPr="00AF1DC8" w:rsidRDefault="006074A5" w:rsidP="006074A5">
      <w:pPr>
        <w:pStyle w:val="3"/>
        <w:bidi/>
        <w:rPr>
          <w:rFonts w:ascii="Narkisim" w:hAnsi="Narkisim"/>
        </w:rPr>
      </w:pPr>
      <w:r w:rsidRPr="00AF1DC8">
        <w:rPr>
          <w:rFonts w:ascii="Narkisim" w:hAnsi="Narkisim"/>
          <w:rtl/>
        </w:rPr>
        <w:t>דף מו</w:t>
      </w:r>
      <w:r w:rsidRPr="00AF1DC8">
        <w:rPr>
          <w:rFonts w:ascii="Narkisim" w:hAnsi="Narkisim"/>
        </w:rPr>
        <w:t>.</w:t>
      </w:r>
    </w:p>
    <w:p w14:paraId="239F08D0" w14:textId="77777777" w:rsidR="006074A5" w:rsidRPr="00AF1DC8" w:rsidRDefault="006074A5" w:rsidP="006074A5">
      <w:pPr>
        <w:pStyle w:val="2"/>
        <w:bidi/>
        <w:rPr>
          <w:rFonts w:ascii="Narkisim" w:hAnsi="Narkisim"/>
        </w:rPr>
      </w:pPr>
      <w:r w:rsidRPr="00AF1DC8">
        <w:rPr>
          <w:rFonts w:ascii="Narkisim" w:hAnsi="Narkisim"/>
          <w:rtl/>
        </w:rPr>
        <w:t>קדם וטבל</w:t>
      </w:r>
    </w:p>
    <w:p w14:paraId="2721D593" w14:textId="77777777" w:rsidR="006074A5" w:rsidRPr="00AF1DC8" w:rsidRDefault="006074A5" w:rsidP="006074A5">
      <w:pPr>
        <w:bidi/>
        <w:rPr>
          <w:rFonts w:ascii="Narkisim" w:hAnsi="Narkisim" w:cs="Narkisim"/>
        </w:rPr>
      </w:pPr>
      <w:r w:rsidRPr="00AF1DC8">
        <w:rPr>
          <w:rFonts w:ascii="Narkisim" w:hAnsi="Narkisim" w:cs="Narkisim"/>
          <w:u w:val="single"/>
          <w:rtl/>
        </w:rPr>
        <w:t>עכו"ם גופיה ל"ק ליה 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כדאי' (בסמוך, וגיטין לז:) ולא הם קונים זה מזה, דעכו"ם אינו קונה חבירו קנין הגוף. אלא קנין מעש"י. וה</w:t>
      </w:r>
      <w:r w:rsidRPr="00AF1DC8">
        <w:rPr>
          <w:rFonts w:ascii="Narkisim" w:hAnsi="Narkisim" w:cs="Narkisim"/>
          <w:b/>
          <w:bCs/>
          <w:rtl/>
        </w:rPr>
        <w:t>רמב"ן</w:t>
      </w:r>
      <w:r w:rsidRPr="00AF1DC8">
        <w:rPr>
          <w:rFonts w:ascii="Narkisim" w:hAnsi="Narkisim" w:cs="Narkisim"/>
          <w:rtl/>
        </w:rPr>
        <w:t xml:space="preserve"> וה</w:t>
      </w:r>
      <w:r w:rsidRPr="00AF1DC8">
        <w:rPr>
          <w:rFonts w:ascii="Narkisim" w:hAnsi="Narkisim" w:cs="Narkisim"/>
          <w:b/>
          <w:bCs/>
          <w:rtl/>
        </w:rPr>
        <w:t>רשב"א</w:t>
      </w:r>
      <w:r w:rsidRPr="00AF1DC8">
        <w:rPr>
          <w:rFonts w:ascii="Narkisim" w:hAnsi="Narkisim" w:cs="Narkisim"/>
          <w:rtl/>
        </w:rPr>
        <w:t xml:space="preserve"> כת' (בשם חכמי צרפתים) דמבואר דלוקח עבד מהגוי [ורצה להתגייר] אי"צ גט שחרור, אלא סגי לומר באפי תרי זיל</w:t>
      </w:r>
      <w:r w:rsidRPr="00AF1DC8">
        <w:rPr>
          <w:rStyle w:val="ac"/>
          <w:rFonts w:ascii="Narkisim" w:hAnsi="Narkisim" w:cs="Narkisim"/>
          <w:rtl/>
        </w:rPr>
        <w:footnoteReference w:id="2712"/>
      </w:r>
      <w:r w:rsidRPr="00AF1DC8">
        <w:rPr>
          <w:rFonts w:ascii="Narkisim" w:hAnsi="Narkisim" w:cs="Narkisim"/>
        </w:rPr>
        <w:t xml:space="preserve"> </w:t>
      </w:r>
      <w:r w:rsidRPr="00AF1DC8">
        <w:rPr>
          <w:rFonts w:ascii="Narkisim" w:hAnsi="Narkisim" w:cs="Narkisim"/>
          <w:rtl/>
        </w:rPr>
        <w:t>(וכדאי' קידושין טז.), דהא לא קני אלא למעש"י</w:t>
      </w:r>
      <w:r w:rsidRPr="00AF1DC8">
        <w:rPr>
          <w:rFonts w:ascii="Narkisim" w:hAnsi="Narkisim" w:cs="Narkisim"/>
        </w:rPr>
        <w:t>.</w:t>
      </w:r>
    </w:p>
    <w:p w14:paraId="580B4337" w14:textId="77777777" w:rsidR="006074A5" w:rsidRPr="00AF1DC8" w:rsidRDefault="006074A5" w:rsidP="006074A5">
      <w:pPr>
        <w:pStyle w:val="a7"/>
        <w:bidi/>
        <w:rPr>
          <w:rFonts w:ascii="Narkisim" w:hAnsi="Narkisim"/>
        </w:rPr>
      </w:pPr>
      <w:r w:rsidRPr="00AF1DC8">
        <w:rPr>
          <w:rFonts w:ascii="Narkisim" w:hAnsi="Narkisim"/>
          <w:rtl/>
        </w:rPr>
        <w:t>ולפ"ז כוונת הגמ' דל"ק גופו כלל, אלא הוה שעבוד למעש"י</w:t>
      </w:r>
      <w:r w:rsidRPr="00AF1DC8">
        <w:rPr>
          <w:rStyle w:val="ac"/>
          <w:rFonts w:ascii="Narkisim" w:hAnsi="Narkisim"/>
          <w:rtl/>
        </w:rPr>
        <w:footnoteReference w:id="2713"/>
      </w:r>
      <w:r w:rsidRPr="00AF1DC8">
        <w:rPr>
          <w:rFonts w:ascii="Narkisim" w:hAnsi="Narkisim"/>
        </w:rPr>
        <w:t xml:space="preserve">. </w:t>
      </w:r>
      <w:r w:rsidRPr="00AF1DC8">
        <w:rPr>
          <w:rFonts w:ascii="Narkisim" w:hAnsi="Narkisim"/>
          <w:rtl/>
        </w:rPr>
        <w:t>דהא אף בעבד עברי קי"ל דגופו קנוי ולא סגי במחילה</w:t>
      </w:r>
      <w:r w:rsidRPr="00AF1DC8">
        <w:rPr>
          <w:rFonts w:ascii="Narkisim" w:hAnsi="Narkisim"/>
        </w:rPr>
        <w:t>.</w:t>
      </w:r>
    </w:p>
    <w:p w14:paraId="431E7484"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אמר"מ</w:t>
      </w:r>
      <w:r w:rsidRPr="00AF1DC8">
        <w:rPr>
          <w:rFonts w:ascii="Narkisim" w:hAnsi="Narkisim"/>
          <w:rtl/>
        </w:rPr>
        <w:t xml:space="preserve"> (כב יז) ביאר דכוונת הרמב"ן לשיטתו (קידושין שם) דאף בעבד עברי מהני מחילה על שעבוד מעש"י, ודוקא לענין ה'שם עבד' וקנין איסור ל"מ באפי תרי זיל</w:t>
      </w:r>
      <w:r w:rsidRPr="00AF1DC8">
        <w:rPr>
          <w:rStyle w:val="ac"/>
          <w:rFonts w:ascii="Narkisim" w:hAnsi="Narkisim"/>
          <w:rtl/>
        </w:rPr>
        <w:footnoteReference w:id="2714"/>
      </w:r>
      <w:r w:rsidRPr="00AF1DC8">
        <w:rPr>
          <w:rFonts w:ascii="Narkisim" w:hAnsi="Narkisim"/>
        </w:rPr>
        <w:t>.</w:t>
      </w:r>
    </w:p>
    <w:p w14:paraId="0268B62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הק' דאי' (ב"ק קיג:) דעבד עברי הנמכר לעכו"ם גופו קנוי [כדאי' בקידושין טז.], ונחשב גזל ולא הפקעת הלואתו. וה</w:t>
      </w:r>
      <w:r w:rsidRPr="00AF1DC8">
        <w:rPr>
          <w:rFonts w:ascii="Narkisim" w:hAnsi="Narkisim"/>
          <w:b/>
          <w:bCs/>
          <w:rtl/>
        </w:rPr>
        <w:t>ריטב"א</w:t>
      </w:r>
      <w:r w:rsidRPr="00AF1DC8">
        <w:rPr>
          <w:rFonts w:ascii="Narkisim" w:hAnsi="Narkisim"/>
          <w:rtl/>
        </w:rPr>
        <w:t xml:space="preserve"> תי' דעבד עברי גופו קנוי כעין משכון, ומש"ה נחשב גזל עכו"ם</w:t>
      </w:r>
      <w:r w:rsidRPr="00AF1DC8">
        <w:rPr>
          <w:rStyle w:val="ac"/>
          <w:rFonts w:ascii="Narkisim" w:hAnsi="Narkisim"/>
          <w:rtl/>
        </w:rPr>
        <w:footnoteReference w:id="2715"/>
      </w:r>
      <w:r w:rsidRPr="00AF1DC8">
        <w:rPr>
          <w:rFonts w:ascii="Narkisim" w:hAnsi="Narkisim"/>
        </w:rPr>
        <w:t xml:space="preserve">. </w:t>
      </w:r>
      <w:r w:rsidRPr="00AF1DC8">
        <w:rPr>
          <w:rFonts w:ascii="Narkisim" w:hAnsi="Narkisim"/>
          <w:rtl/>
        </w:rPr>
        <w:t>[ואכמ"ל]</w:t>
      </w:r>
      <w:r w:rsidRPr="00AF1DC8">
        <w:rPr>
          <w:rFonts w:ascii="Narkisim" w:hAnsi="Narkisim"/>
        </w:rPr>
        <w:t>.</w:t>
      </w:r>
    </w:p>
    <w:p w14:paraId="06200973" w14:textId="77777777" w:rsidR="006074A5" w:rsidRPr="00AF1DC8" w:rsidRDefault="006074A5" w:rsidP="006074A5">
      <w:pPr>
        <w:bidi/>
        <w:rPr>
          <w:rFonts w:ascii="Narkisim" w:hAnsi="Narkisim" w:cs="Narkisim"/>
        </w:rPr>
      </w:pPr>
      <w:r w:rsidRPr="00AF1DC8">
        <w:rPr>
          <w:rFonts w:ascii="Narkisim" w:hAnsi="Narkisim" w:cs="Narkisim"/>
          <w:u w:val="single"/>
          <w:rtl/>
        </w:rPr>
        <w:t>מאי דקני ליה הוא דמקנה ליה לישראל וכו'</w:t>
      </w:r>
      <w:r w:rsidRPr="00AF1DC8">
        <w:rPr>
          <w:rFonts w:ascii="Narkisim" w:hAnsi="Narkisim" w:cs="Narkisim"/>
          <w:rtl/>
        </w:rPr>
        <w:t xml:space="preserve">. ואף ישראל הקונה עבד מהעכו"ם יש לו רק זכות מעש"י. [וכדברי הראשונים הנ"ל]. ודוקא כשהישראל קנה מיד העכו"ם עצמו יש לו קנין הגוף [וכדבסמוך]. </w:t>
      </w:r>
      <w:r w:rsidRPr="00AF1DC8">
        <w:rPr>
          <w:rFonts w:ascii="Narkisim" w:hAnsi="Narkisim" w:cs="Narkisim"/>
          <w:szCs w:val="20"/>
          <w:rtl/>
        </w:rPr>
        <w:t>[וכה"ג אינו יכול להפקיע עצמו ע”י גירות</w:t>
      </w:r>
      <w:r w:rsidRPr="00AF1DC8">
        <w:rPr>
          <w:rFonts w:ascii="Narkisim" w:hAnsi="Narkisim" w:cs="Narkisim"/>
          <w:rtl/>
        </w:rPr>
        <w:t>]</w:t>
      </w:r>
      <w:r w:rsidRPr="00AF1DC8">
        <w:rPr>
          <w:rFonts w:ascii="Narkisim" w:hAnsi="Narkisim" w:cs="Narkisim"/>
        </w:rPr>
        <w:t>.</w:t>
      </w:r>
    </w:p>
    <w:p w14:paraId="1617451E" w14:textId="77777777" w:rsidR="006074A5" w:rsidRPr="00AF1DC8" w:rsidRDefault="006074A5" w:rsidP="006074A5">
      <w:pPr>
        <w:bidi/>
        <w:rPr>
          <w:rFonts w:ascii="Narkisim" w:hAnsi="Narkisim" w:cs="Narkisim"/>
        </w:rPr>
      </w:pPr>
      <w:r w:rsidRPr="00AF1DC8">
        <w:rPr>
          <w:rFonts w:ascii="Narkisim" w:hAnsi="Narkisim" w:cs="Narkisim"/>
          <w:rtl/>
        </w:rPr>
        <w:t>אבל ה</w:t>
      </w:r>
      <w:r w:rsidRPr="00AF1DC8">
        <w:rPr>
          <w:rFonts w:ascii="Narkisim" w:hAnsi="Narkisim" w:cs="Narkisim"/>
          <w:b/>
          <w:bCs/>
          <w:rtl/>
        </w:rPr>
        <w:t>רמב"ם</w:t>
      </w:r>
      <w:r w:rsidRPr="00AF1DC8">
        <w:rPr>
          <w:rFonts w:ascii="Narkisim" w:hAnsi="Narkisim" w:cs="Narkisim"/>
          <w:rtl/>
        </w:rPr>
        <w:t xml:space="preserve"> (עבדים ט ה) פסק דעכו"ם שקנה עכו"ם ל"ק גופו ואין לו אלא מעש"י, אעפ"כ אם מכרו לישראל הרי גופו קנוי לישראל. וה</w:t>
      </w:r>
      <w:r w:rsidRPr="00AF1DC8">
        <w:rPr>
          <w:rFonts w:ascii="Narkisim" w:hAnsi="Narkisim" w:cs="Narkisim"/>
          <w:b/>
          <w:bCs/>
          <w:rtl/>
        </w:rPr>
        <w:t>כס"מ</w:t>
      </w:r>
      <w:r w:rsidRPr="00AF1DC8">
        <w:rPr>
          <w:rFonts w:ascii="Narkisim" w:hAnsi="Narkisim" w:cs="Narkisim"/>
          <w:rtl/>
        </w:rPr>
        <w:t xml:space="preserve"> הק' דבגמ' מפורש דאינו יכול למכור מה שאין לו</w:t>
      </w:r>
      <w:r w:rsidRPr="00AF1DC8">
        <w:rPr>
          <w:rFonts w:ascii="Narkisim" w:hAnsi="Narkisim" w:cs="Narkisim"/>
        </w:rPr>
        <w:t>.</w:t>
      </w:r>
    </w:p>
    <w:p w14:paraId="15C34D2F" w14:textId="77777777" w:rsidR="006074A5" w:rsidRPr="00AF1DC8" w:rsidRDefault="006074A5" w:rsidP="006074A5">
      <w:pPr>
        <w:pStyle w:val="a7"/>
        <w:bidi/>
        <w:rPr>
          <w:rFonts w:ascii="Narkisim" w:hAnsi="Narkisim"/>
        </w:rPr>
      </w:pPr>
      <w:r w:rsidRPr="00AF1DC8">
        <w:rPr>
          <w:rFonts w:ascii="Narkisim" w:hAnsi="Narkisim"/>
          <w:rtl/>
        </w:rPr>
        <w:t>והכס"מ פי' דכוונת הרמב"ם דהעכו"ם מכר עצמו לישראל. ועוד פי' דכוונת הרמב"ם דלאחר שיטבילנו לשם עבדות יהא גופו קנוי לישראל. דלא אמרו דאין גופו קנוי אלא קודם שיטבילנו לשם עבדות. וה</w:t>
      </w:r>
      <w:r w:rsidRPr="00AF1DC8">
        <w:rPr>
          <w:rFonts w:ascii="Narkisim" w:hAnsi="Narkisim"/>
          <w:b/>
          <w:bCs/>
          <w:rtl/>
        </w:rPr>
        <w:t>גר"ח</w:t>
      </w:r>
      <w:r w:rsidRPr="00AF1DC8">
        <w:rPr>
          <w:rFonts w:ascii="Narkisim" w:hAnsi="Narkisim"/>
          <w:rtl/>
        </w:rPr>
        <w:t xml:space="preserve"> (ע' בסמוך) כת' בדעת הרמב"ם דקנוי לו דין העבדות [שיהא בעתיד ע"י גירות], ולכן לענין למנוע שיתגייר הוה רק רק שעבוד</w:t>
      </w:r>
      <w:r w:rsidRPr="00AF1DC8">
        <w:rPr>
          <w:rFonts w:ascii="Narkisim" w:hAnsi="Narkisim"/>
        </w:rPr>
        <w:t>.</w:t>
      </w:r>
    </w:p>
    <w:p w14:paraId="0074BEA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 xml:space="preserve">אמר"מ </w:t>
      </w:r>
      <w:r w:rsidRPr="00AF1DC8">
        <w:rPr>
          <w:rFonts w:ascii="Narkisim" w:hAnsi="Narkisim"/>
          <w:rtl/>
        </w:rPr>
        <w:t>(כב ב) כתב דדעת הרמב"ם דיש לו קנין ממון, אבל אין לו קנין איסור, כיון דל"ק מיד העכו"ם. וקנין ממון אינו מונע גירות, אלא קנין איסור [וע' בסמוך]</w:t>
      </w:r>
      <w:r w:rsidRPr="00AF1DC8">
        <w:rPr>
          <w:rFonts w:ascii="Narkisim" w:hAnsi="Narkisim"/>
        </w:rPr>
        <w:t>.</w:t>
      </w:r>
    </w:p>
    <w:p w14:paraId="19C211AD" w14:textId="77777777" w:rsidR="006074A5" w:rsidRPr="00AF1DC8" w:rsidRDefault="006074A5" w:rsidP="006074A5">
      <w:pPr>
        <w:bidi/>
        <w:rPr>
          <w:rFonts w:ascii="Narkisim" w:hAnsi="Narkisim" w:cs="Narkisim"/>
        </w:rPr>
      </w:pPr>
      <w:r w:rsidRPr="00AF1DC8">
        <w:rPr>
          <w:rFonts w:ascii="Narkisim" w:hAnsi="Narkisim" w:cs="Narkisim"/>
          <w:u w:val="single"/>
          <w:rtl/>
        </w:rPr>
        <w:t>שם. גופא ל”ק וכו' וכיון דקדם וטבל לשם בן חורין אפקעיה לשעבודיה וכו'</w:t>
      </w:r>
      <w:r w:rsidRPr="00AF1DC8">
        <w:rPr>
          <w:rFonts w:ascii="Narkisim" w:hAnsi="Narkisim" w:cs="Narkisim"/>
          <w:rtl/>
        </w:rPr>
        <w:t xml:space="preserve">. מבואר דאף דל"ק גופו יש לו זכות [שעבוד] להטביל את העבד ולגיירו, וע"י שהטבילו קנה גופו להיות </w:t>
      </w:r>
      <w:r w:rsidRPr="00AF1DC8">
        <w:rPr>
          <w:rFonts w:ascii="Narkisim" w:hAnsi="Narkisim" w:cs="Narkisim"/>
          <w:rtl/>
        </w:rPr>
        <w:lastRenderedPageBreak/>
        <w:t>עבדו</w:t>
      </w:r>
      <w:r w:rsidRPr="00AF1DC8">
        <w:rPr>
          <w:rStyle w:val="ac"/>
          <w:rFonts w:ascii="Narkisim" w:hAnsi="Narkisim" w:cs="Narkisim"/>
          <w:rtl/>
        </w:rPr>
        <w:footnoteReference w:id="2716"/>
      </w:r>
      <w:r w:rsidRPr="00AF1DC8">
        <w:rPr>
          <w:rFonts w:ascii="Narkisim" w:hAnsi="Narkisim" w:cs="Narkisim"/>
        </w:rPr>
        <w:t xml:space="preserve">. </w:t>
      </w:r>
      <w:r w:rsidRPr="00AF1DC8">
        <w:rPr>
          <w:rFonts w:ascii="Narkisim" w:hAnsi="Narkisim" w:cs="Narkisim"/>
          <w:rtl/>
        </w:rPr>
        <w:t>אלא דהיכא דקדם ונתגייר מפקיע מידי שעבוד</w:t>
      </w:r>
      <w:r w:rsidRPr="00AF1DC8">
        <w:rPr>
          <w:rStyle w:val="ac"/>
          <w:rFonts w:ascii="Narkisim" w:hAnsi="Narkisim" w:cs="Narkisim"/>
          <w:rtl/>
        </w:rPr>
        <w:footnoteReference w:id="2717"/>
      </w:r>
      <w:r w:rsidRPr="00AF1DC8">
        <w:rPr>
          <w:rFonts w:ascii="Narkisim" w:hAnsi="Narkisim" w:cs="Narkisim"/>
        </w:rPr>
        <w:t>.</w:t>
      </w:r>
    </w:p>
    <w:p w14:paraId="452CDA40" w14:textId="77777777" w:rsidR="006074A5" w:rsidRPr="00AF1DC8" w:rsidRDefault="006074A5" w:rsidP="006074A5">
      <w:pPr>
        <w:pStyle w:val="a8"/>
        <w:bidi/>
        <w:rPr>
          <w:rFonts w:ascii="Narkisim" w:hAnsi="Narkisim"/>
        </w:rPr>
      </w:pPr>
      <w:r w:rsidRPr="00AF1DC8">
        <w:rPr>
          <w:rFonts w:ascii="Narkisim" w:hAnsi="Narkisim"/>
          <w:rtl/>
        </w:rPr>
        <w:t xml:space="preserve">ומשמע בסוגיין (בסמוך) דהאדון טובלו בע"כ. [וכ"ד </w:t>
      </w:r>
      <w:r w:rsidRPr="00AF1DC8">
        <w:rPr>
          <w:rFonts w:ascii="Narkisim" w:hAnsi="Narkisim"/>
          <w:b/>
          <w:bCs/>
          <w:rtl/>
        </w:rPr>
        <w:t>רש"י</w:t>
      </w:r>
      <w:r w:rsidRPr="00AF1DC8">
        <w:rPr>
          <w:rFonts w:ascii="Narkisim" w:hAnsi="Narkisim"/>
          <w:rtl/>
        </w:rPr>
        <w:t xml:space="preserve"> (לקמן מז:) דטבילת עבד הוה אף בע”כ, אך דעת ה</w:t>
      </w:r>
      <w:r w:rsidRPr="00AF1DC8">
        <w:rPr>
          <w:rFonts w:ascii="Narkisim" w:hAnsi="Narkisim"/>
          <w:b/>
          <w:bCs/>
          <w:rtl/>
        </w:rPr>
        <w:t>רי"ף</w:t>
      </w:r>
      <w:r w:rsidRPr="00AF1DC8">
        <w:rPr>
          <w:rFonts w:ascii="Narkisim" w:hAnsi="Narkisim"/>
          <w:rtl/>
        </w:rPr>
        <w:t xml:space="preserve"> (שם) דטבילת עבד צריך קבלת מצוות. ולא מהני בע"כ. וצ"ע מסוגיין. וע' בסמוך]</w:t>
      </w:r>
      <w:r w:rsidRPr="00AF1DC8">
        <w:rPr>
          <w:rFonts w:ascii="Narkisim" w:hAnsi="Narkisim"/>
        </w:rPr>
        <w:t>.</w:t>
      </w:r>
    </w:p>
    <w:p w14:paraId="64BDA004" w14:textId="77777777" w:rsidR="006074A5" w:rsidRPr="00AF1DC8" w:rsidRDefault="006074A5" w:rsidP="006074A5">
      <w:pPr>
        <w:pStyle w:val="a7"/>
        <w:bidi/>
        <w:rPr>
          <w:rFonts w:ascii="Narkisim" w:hAnsi="Narkisim"/>
        </w:rPr>
      </w:pPr>
      <w:r w:rsidRPr="00AF1DC8">
        <w:rPr>
          <w:rFonts w:ascii="Narkisim" w:hAnsi="Narkisim"/>
          <w:rtl/>
        </w:rPr>
        <w:t>וצ"ב כיון דקנה מעכו"ם, מי מכר לו זכות זה לגיירו. והאיך מכר דבר שאינו שלו. וה</w:t>
      </w:r>
      <w:r w:rsidRPr="00AF1DC8">
        <w:rPr>
          <w:rFonts w:ascii="Narkisim" w:hAnsi="Narkisim"/>
          <w:b/>
          <w:bCs/>
          <w:rtl/>
        </w:rPr>
        <w:t>קה"י</w:t>
      </w:r>
      <w:r w:rsidRPr="00AF1DC8">
        <w:rPr>
          <w:rFonts w:ascii="Narkisim" w:hAnsi="Narkisim"/>
          <w:rtl/>
        </w:rPr>
        <w:t xml:space="preserve"> (לה) ביאר דהעבד נשתעבד לכל מילי</w:t>
      </w:r>
      <w:r w:rsidRPr="00AF1DC8">
        <w:rPr>
          <w:rStyle w:val="ac"/>
          <w:rFonts w:ascii="Narkisim" w:hAnsi="Narkisim"/>
          <w:rtl/>
        </w:rPr>
        <w:footnoteReference w:id="2718"/>
      </w:r>
      <w:r w:rsidRPr="00AF1DC8">
        <w:rPr>
          <w:rFonts w:ascii="Narkisim" w:hAnsi="Narkisim"/>
        </w:rPr>
        <w:t xml:space="preserve">, </w:t>
      </w:r>
      <w:r w:rsidRPr="00AF1DC8">
        <w:rPr>
          <w:rFonts w:ascii="Narkisim" w:hAnsi="Narkisim"/>
          <w:rtl/>
        </w:rPr>
        <w:t>ואף לקנין הגוף [אלא דעכו"ם ל”ש שיהא בעלים ע”ז], ונשאר בגדר שעבוד, ואף לגיירו</w:t>
      </w:r>
      <w:r w:rsidRPr="00AF1DC8">
        <w:rPr>
          <w:rFonts w:ascii="Narkisim" w:hAnsi="Narkisim"/>
        </w:rPr>
        <w:t>.</w:t>
      </w:r>
    </w:p>
    <w:p w14:paraId="59B0A054"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 כיון דבא ליד ישראל נימא דהלוקח יעשה מעשה קנין חזקה בעבד, ויזכה בקנין הגוף. [כיון דהעבד משועבד לו לכל מילי, וע"פ הנ"ל]. ומ"ש מקונה מעכו"ם גופיה</w:t>
      </w:r>
      <w:r w:rsidRPr="00AF1DC8">
        <w:rPr>
          <w:rStyle w:val="ac"/>
          <w:rFonts w:ascii="Narkisim" w:hAnsi="Narkisim"/>
          <w:rtl/>
        </w:rPr>
        <w:footnoteReference w:id="2719"/>
      </w:r>
      <w:r w:rsidRPr="00AF1DC8">
        <w:rPr>
          <w:rFonts w:ascii="Narkisim" w:hAnsi="Narkisim"/>
        </w:rPr>
        <w:t xml:space="preserve">. </w:t>
      </w:r>
      <w:r w:rsidRPr="00AF1DC8">
        <w:rPr>
          <w:rFonts w:ascii="Narkisim" w:hAnsi="Narkisim"/>
          <w:rtl/>
        </w:rPr>
        <w:t>ויש שתי' דכבר משועבד לו לקנין פירות, אינו יכול לעשות מעשה חזקה שיחשב קנין לקנין הגוף. וב</w:t>
      </w:r>
      <w:r w:rsidRPr="00AF1DC8">
        <w:rPr>
          <w:rFonts w:ascii="Narkisim" w:hAnsi="Narkisim"/>
          <w:b/>
          <w:bCs/>
          <w:rtl/>
        </w:rPr>
        <w:t>חי' ר' שמעון</w:t>
      </w:r>
      <w:r w:rsidRPr="00AF1DC8">
        <w:rPr>
          <w:rFonts w:ascii="Narkisim" w:hAnsi="Narkisim"/>
          <w:rtl/>
        </w:rPr>
        <w:t xml:space="preserve"> (מא) תי' דהאדם אינו בעלים על גופו למוכרו [ואינו 'קנוי' לעצמו], אלא דכשמוכר את זכות השימוש, עי”ז חל קנין עבדות</w:t>
      </w:r>
      <w:r w:rsidRPr="00AF1DC8">
        <w:rPr>
          <w:rFonts w:ascii="Narkisim" w:hAnsi="Narkisim"/>
        </w:rPr>
        <w:t>.</w:t>
      </w:r>
    </w:p>
    <w:p w14:paraId="68039F6A"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גר"ח</w:t>
      </w:r>
      <w:r w:rsidRPr="00AF1DC8">
        <w:rPr>
          <w:rFonts w:ascii="Narkisim" w:hAnsi="Narkisim"/>
          <w:rtl/>
        </w:rPr>
        <w:t xml:space="preserve"> </w:t>
      </w:r>
      <w:r w:rsidRPr="00AF1DC8">
        <w:rPr>
          <w:rFonts w:ascii="Narkisim" w:hAnsi="Narkisim"/>
          <w:sz w:val="20"/>
          <w:szCs w:val="20"/>
          <w:rtl/>
        </w:rPr>
        <w:t xml:space="preserve">(איסו"ב יג יח) </w:t>
      </w:r>
      <w:r w:rsidRPr="00AF1DC8">
        <w:rPr>
          <w:rFonts w:ascii="Narkisim" w:hAnsi="Narkisim"/>
          <w:rtl/>
        </w:rPr>
        <w:t>כת' דנכרי אינו עבד, ולכן ל"ש קנין על גופו, ומש"ה הוה רק שעבוד. אלא דנכרי המוכר עצמו לישראל, קנה ממנו הזכות להכניסו להיות עבד. ויסוד קנין זה הוה על שם עבדות העתידה שבו, והזכות לעשותו לעבד</w:t>
      </w:r>
      <w:r w:rsidRPr="00AF1DC8">
        <w:rPr>
          <w:rFonts w:ascii="Narkisim" w:hAnsi="Narkisim"/>
        </w:rPr>
        <w:t>.</w:t>
      </w:r>
    </w:p>
    <w:p w14:paraId="6E078ABC" w14:textId="77777777" w:rsidR="006074A5" w:rsidRPr="00AF1DC8" w:rsidRDefault="006074A5" w:rsidP="006074A5">
      <w:pPr>
        <w:bidi/>
        <w:rPr>
          <w:rFonts w:ascii="Narkisim" w:hAnsi="Narkisim" w:cs="Narkisim"/>
        </w:rPr>
      </w:pPr>
      <w:r w:rsidRPr="00AF1DC8">
        <w:rPr>
          <w:rFonts w:ascii="Narkisim" w:hAnsi="Narkisim" w:cs="Narkisim"/>
          <w:u w:val="single"/>
          <w:rtl/>
        </w:rPr>
        <w:t>וכיון דקדם וכו' אפקעיה לשעבודיה.</w:t>
      </w:r>
      <w:r w:rsidRPr="00AF1DC8">
        <w:rPr>
          <w:rFonts w:ascii="Narkisim" w:hAnsi="Narkisim" w:cs="Narkisim"/>
          <w:rtl/>
        </w:rPr>
        <w:t xml:space="preserve"> דגירות מפקיע לשעבוד. ומבואר דאילו היה קנין גמור</w:t>
      </w:r>
      <w:r w:rsidRPr="00AF1DC8">
        <w:rPr>
          <w:rFonts w:ascii="Narkisim" w:hAnsi="Narkisim" w:cs="Narkisim"/>
          <w:sz w:val="20"/>
          <w:szCs w:val="20"/>
          <w:rtl/>
        </w:rPr>
        <w:t xml:space="preserve"> [וכן בקנה מעכו"ם גופיה כדבסמוך]</w:t>
      </w:r>
      <w:r w:rsidRPr="00AF1DC8">
        <w:rPr>
          <w:rFonts w:ascii="Narkisim" w:hAnsi="Narkisim" w:cs="Narkisim"/>
          <w:rtl/>
        </w:rPr>
        <w:t xml:space="preserve"> היה מהני למנוע את הגירות. וה</w:t>
      </w:r>
      <w:r w:rsidRPr="00AF1DC8">
        <w:rPr>
          <w:rFonts w:ascii="Narkisim" w:hAnsi="Narkisim" w:cs="Narkisim"/>
          <w:b/>
          <w:bCs/>
          <w:rtl/>
        </w:rPr>
        <w:t>אחרונים</w:t>
      </w:r>
      <w:r w:rsidRPr="00AF1DC8">
        <w:rPr>
          <w:rFonts w:ascii="Narkisim" w:hAnsi="Narkisim" w:cs="Narkisim"/>
          <w:rtl/>
        </w:rPr>
        <w:t xml:space="preserve"> תמהו וכי איסור גזל מונע את הגירות. וה</w:t>
      </w:r>
      <w:r w:rsidRPr="00AF1DC8">
        <w:rPr>
          <w:rFonts w:ascii="Narkisim" w:hAnsi="Narkisim" w:cs="Narkisim"/>
          <w:b/>
          <w:bCs/>
          <w:rtl/>
        </w:rPr>
        <w:t>חזו"א</w:t>
      </w:r>
      <w:r w:rsidRPr="00AF1DC8">
        <w:rPr>
          <w:rFonts w:ascii="Narkisim" w:hAnsi="Narkisim" w:cs="Narkisim"/>
          <w:rtl/>
        </w:rPr>
        <w:t xml:space="preserve"> (קלד ב) ביאר דע"י שקנוי לרבו נחשב שנשלל ממנו רצון הגירות, כיון דגוזל בזה את רבו</w:t>
      </w:r>
      <w:r w:rsidRPr="00AF1DC8">
        <w:rPr>
          <w:rStyle w:val="ac"/>
          <w:rFonts w:ascii="Narkisim" w:hAnsi="Narkisim" w:cs="Narkisim"/>
          <w:rtl/>
        </w:rPr>
        <w:footnoteReference w:id="2720"/>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אמר”מ</w:t>
      </w:r>
      <w:r w:rsidRPr="00AF1DC8">
        <w:rPr>
          <w:rFonts w:ascii="Narkisim" w:hAnsi="Narkisim" w:cs="Narkisim"/>
          <w:rtl/>
        </w:rPr>
        <w:t xml:space="preserve"> (כב א) ביאר דאילו קנוי לו לגופו יש לו קנין איסור, וקנין האיסור מונע את הגירות. [ולפ"ז לא יחול כלל הגירות ע"י קנין הממון]</w:t>
      </w:r>
      <w:r w:rsidRPr="00AF1DC8">
        <w:rPr>
          <w:rFonts w:ascii="Narkisim" w:hAnsi="Narkisim" w:cs="Narkisim"/>
        </w:rPr>
        <w:t>.</w:t>
      </w:r>
    </w:p>
    <w:p w14:paraId="32623759"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גר”ח</w:t>
      </w:r>
      <w:r w:rsidRPr="00AF1DC8">
        <w:rPr>
          <w:rFonts w:ascii="Narkisim" w:hAnsi="Narkisim"/>
          <w:rtl/>
        </w:rPr>
        <w:t xml:space="preserve"> (שם) ביאר דכיון דהגוף קנוי לו, ממילא הקנין מגדיר דהגירות הוה עבדות. וכתב דאף ע”י שעבוד ראוי שהדין ממון ימנע דין בן חורין, אלא דאמרי' דהגירות 'מפקיע' מידי שעבוד</w:t>
      </w:r>
      <w:r w:rsidRPr="00AF1DC8">
        <w:rPr>
          <w:rStyle w:val="ac"/>
          <w:rFonts w:ascii="Narkisim" w:hAnsi="Narkisim"/>
          <w:rtl/>
        </w:rPr>
        <w:footnoteReference w:id="2721"/>
      </w:r>
      <w:r w:rsidRPr="00AF1DC8">
        <w:rPr>
          <w:rFonts w:ascii="Narkisim" w:hAnsi="Narkisim"/>
        </w:rPr>
        <w:t xml:space="preserve">. </w:t>
      </w:r>
      <w:r w:rsidRPr="00AF1DC8">
        <w:rPr>
          <w:rFonts w:ascii="Narkisim" w:hAnsi="Narkisim"/>
          <w:rtl/>
        </w:rPr>
        <w:t>ועוד כת' הגר"ח [אופן ב'] דגדר הקנין הוא שיש לו בעלות על הדין עבד בעתיד, ועי"ז הקנין קובע דהגירות תהא לשם עבדות</w:t>
      </w:r>
      <w:r w:rsidRPr="00AF1DC8">
        <w:rPr>
          <w:rStyle w:val="ac"/>
          <w:rFonts w:ascii="Narkisim" w:hAnsi="Narkisim"/>
          <w:rtl/>
        </w:rPr>
        <w:footnoteReference w:id="2722"/>
      </w:r>
      <w:r w:rsidRPr="00AF1DC8">
        <w:rPr>
          <w:rFonts w:ascii="Narkisim" w:hAnsi="Narkisim"/>
        </w:rPr>
        <w:t>.</w:t>
      </w:r>
    </w:p>
    <w:p w14:paraId="7CF21E48" w14:textId="77777777" w:rsidR="006074A5" w:rsidRPr="00AF1DC8" w:rsidRDefault="006074A5" w:rsidP="006074A5">
      <w:pPr>
        <w:pStyle w:val="a7"/>
        <w:bidi/>
        <w:rPr>
          <w:rFonts w:ascii="Narkisim" w:hAnsi="Narkisim"/>
        </w:rPr>
      </w:pPr>
      <w:r w:rsidRPr="00AF1DC8">
        <w:rPr>
          <w:rFonts w:ascii="Narkisim" w:hAnsi="Narkisim"/>
        </w:rPr>
        <w:t>[</w:t>
      </w:r>
      <w:r w:rsidRPr="00AF1DC8">
        <w:rPr>
          <w:rFonts w:ascii="Narkisim" w:hAnsi="Narkisim"/>
          <w:rtl/>
        </w:rPr>
        <w:t>ולפ"ז היכא דקנוי לישראל, קנין הממון אינו מונע את הגירות, אלא קובע שע"י הך גירות חל חלות עבדות</w:t>
      </w:r>
      <w:r w:rsidRPr="00AF1DC8">
        <w:rPr>
          <w:rFonts w:ascii="Narkisim" w:hAnsi="Narkisim"/>
        </w:rPr>
        <w:t>].</w:t>
      </w:r>
    </w:p>
    <w:p w14:paraId="6F809EE6" w14:textId="77777777" w:rsidR="006074A5" w:rsidRPr="00AF1DC8" w:rsidRDefault="006074A5" w:rsidP="006074A5">
      <w:pPr>
        <w:pStyle w:val="aa"/>
        <w:bidi/>
        <w:rPr>
          <w:rFonts w:ascii="Narkisim" w:hAnsi="Narkisim"/>
        </w:rPr>
      </w:pPr>
      <w:r w:rsidRPr="00AF1DC8">
        <w:rPr>
          <w:rFonts w:ascii="Narkisim" w:hAnsi="Narkisim"/>
        </w:rPr>
        <w:t>[</w:t>
      </w:r>
      <w:r w:rsidRPr="00AF1DC8">
        <w:rPr>
          <w:rFonts w:ascii="Narkisim" w:hAnsi="Narkisim"/>
          <w:rtl/>
        </w:rPr>
        <w:t>וה</w:t>
      </w:r>
      <w:r w:rsidRPr="00AF1DC8">
        <w:rPr>
          <w:rFonts w:ascii="Narkisim" w:hAnsi="Narkisim"/>
          <w:b/>
          <w:bCs/>
          <w:rtl/>
        </w:rPr>
        <w:t>גר"ח</w:t>
      </w:r>
      <w:r w:rsidRPr="00AF1DC8">
        <w:rPr>
          <w:rFonts w:ascii="Narkisim" w:hAnsi="Narkisim"/>
          <w:rtl/>
        </w:rPr>
        <w:t xml:space="preserve"> דן דעכו"ם אינו יכול להתגייר לשם עבדות, דלא שייך גדר עבד כנעני בלא קנין ממון</w:t>
      </w:r>
      <w:r w:rsidRPr="00AF1DC8">
        <w:rPr>
          <w:rFonts w:ascii="Narkisim" w:hAnsi="Narkisim"/>
        </w:rPr>
        <w:t>].</w:t>
      </w:r>
    </w:p>
    <w:p w14:paraId="345CC961" w14:textId="77777777" w:rsidR="006074A5" w:rsidRPr="00AF1DC8" w:rsidRDefault="006074A5" w:rsidP="006074A5">
      <w:pPr>
        <w:pStyle w:val="aa"/>
        <w:bidi/>
        <w:rPr>
          <w:rFonts w:ascii="Narkisim" w:hAnsi="Narkisim"/>
        </w:rPr>
      </w:pPr>
      <w:r w:rsidRPr="00AF1DC8">
        <w:rPr>
          <w:rFonts w:ascii="Narkisim" w:hAnsi="Narkisim"/>
          <w:u w:val="single"/>
          <w:rtl/>
        </w:rPr>
        <w:t>דאמר רבא הקדש חמץ ושחרור מפקיע מידי שעבוד</w:t>
      </w:r>
      <w:r w:rsidRPr="00AF1DC8">
        <w:rPr>
          <w:rFonts w:ascii="Narkisim" w:hAnsi="Narkisim"/>
          <w:rtl/>
        </w:rPr>
        <w:t>. פ</w:t>
      </w:r>
      <w:r w:rsidRPr="00AF1DC8">
        <w:rPr>
          <w:rFonts w:ascii="Narkisim" w:hAnsi="Narkisim"/>
          <w:b/>
          <w:bCs/>
          <w:rtl/>
        </w:rPr>
        <w:t>רש"י</w:t>
      </w:r>
      <w:r w:rsidRPr="00AF1DC8">
        <w:rPr>
          <w:rFonts w:ascii="Narkisim" w:hAnsi="Narkisim"/>
          <w:rtl/>
        </w:rPr>
        <w:t xml:space="preserve"> פקע שיעבוד וזכות ממון של האפותיקי</w:t>
      </w:r>
      <w:r w:rsidRPr="00AF1DC8">
        <w:rPr>
          <w:rStyle w:val="ac"/>
          <w:rFonts w:ascii="Narkisim" w:hAnsi="Narkisim"/>
          <w:rtl/>
        </w:rPr>
        <w:footnoteReference w:id="2723"/>
      </w:r>
      <w:r w:rsidRPr="00AF1DC8">
        <w:rPr>
          <w:rFonts w:ascii="Narkisim" w:hAnsi="Narkisim"/>
        </w:rPr>
        <w:t>.</w:t>
      </w:r>
    </w:p>
    <w:p w14:paraId="66A65066"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רמב"ן </w:t>
      </w:r>
      <w:r w:rsidRPr="00AF1DC8">
        <w:rPr>
          <w:rFonts w:ascii="Narkisim" w:hAnsi="Narkisim"/>
          <w:rtl/>
        </w:rPr>
        <w:t>כת' דמ"מ [העבד] צריך לכתוב שטר על דמיו, וכ"ש ממזיק שעבודו (גיטין מא.) דחייב מדינא דגרמי</w:t>
      </w:r>
      <w:r w:rsidRPr="00AF1DC8">
        <w:rPr>
          <w:rStyle w:val="ac"/>
          <w:rFonts w:ascii="Narkisim" w:hAnsi="Narkisim"/>
          <w:rtl/>
        </w:rPr>
        <w:footnoteReference w:id="2724"/>
      </w:r>
      <w:r w:rsidRPr="00AF1DC8">
        <w:rPr>
          <w:rFonts w:ascii="Narkisim" w:hAnsi="Narkisim"/>
        </w:rPr>
        <w:t xml:space="preserve">. </w:t>
      </w:r>
      <w:r w:rsidRPr="00AF1DC8">
        <w:rPr>
          <w:rFonts w:ascii="Narkisim" w:hAnsi="Narkisim"/>
          <w:rtl/>
        </w:rPr>
        <w:t>וכ"ש בעבד דמשתרשי ליה דמי</w:t>
      </w:r>
      <w:r w:rsidRPr="00AF1DC8">
        <w:rPr>
          <w:rStyle w:val="ac"/>
          <w:rFonts w:ascii="Narkisim" w:hAnsi="Narkisim"/>
          <w:rtl/>
        </w:rPr>
        <w:footnoteReference w:id="2725"/>
      </w:r>
      <w:r w:rsidRPr="00AF1DC8">
        <w:rPr>
          <w:rFonts w:ascii="Narkisim" w:hAnsi="Narkisim"/>
        </w:rPr>
        <w:t xml:space="preserve">. </w:t>
      </w: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 דאף הבי"ד חייבים </w:t>
      </w:r>
      <w:r w:rsidRPr="00AF1DC8">
        <w:rPr>
          <w:rFonts w:ascii="Narkisim" w:hAnsi="Narkisim"/>
          <w:rtl/>
        </w:rPr>
        <w:lastRenderedPageBreak/>
        <w:t>לשלם</w:t>
      </w:r>
      <w:r w:rsidRPr="00AF1DC8">
        <w:rPr>
          <w:rStyle w:val="ac"/>
          <w:rFonts w:ascii="Narkisim" w:hAnsi="Narkisim"/>
          <w:rtl/>
        </w:rPr>
        <w:footnoteReference w:id="2726"/>
      </w:r>
      <w:r w:rsidRPr="00AF1DC8">
        <w:rPr>
          <w:rFonts w:ascii="Narkisim" w:hAnsi="Narkisim"/>
        </w:rPr>
        <w:t xml:space="preserve"> </w:t>
      </w:r>
      <w:r w:rsidRPr="00AF1DC8">
        <w:rPr>
          <w:rFonts w:ascii="Narkisim" w:hAnsi="Narkisim"/>
          <w:rtl/>
        </w:rPr>
        <w:t>[מדינא דגרמי</w:t>
      </w:r>
      <w:r w:rsidRPr="00AF1DC8">
        <w:rPr>
          <w:rStyle w:val="ac"/>
          <w:rFonts w:ascii="Narkisim" w:hAnsi="Narkisim"/>
          <w:rtl/>
        </w:rPr>
        <w:footnoteReference w:id="2727"/>
      </w:r>
      <w:r w:rsidRPr="00AF1DC8">
        <w:rPr>
          <w:rFonts w:ascii="Narkisim" w:hAnsi="Narkisim"/>
          <w:rtl/>
        </w:rPr>
        <w:t>], אילו ידעו</w:t>
      </w:r>
      <w:r w:rsidRPr="00AF1DC8">
        <w:rPr>
          <w:rStyle w:val="ac"/>
          <w:rFonts w:ascii="Narkisim" w:hAnsi="Narkisim"/>
          <w:rtl/>
        </w:rPr>
        <w:footnoteReference w:id="2728"/>
      </w:r>
      <w:r w:rsidRPr="00AF1DC8">
        <w:rPr>
          <w:rFonts w:ascii="Narkisim" w:hAnsi="Narkisim"/>
        </w:rPr>
        <w:t xml:space="preserve"> </w:t>
      </w:r>
      <w:r w:rsidRPr="00AF1DC8">
        <w:rPr>
          <w:rFonts w:ascii="Narkisim" w:hAnsi="Narkisim"/>
          <w:rtl/>
        </w:rPr>
        <w:t>שהוא עבד</w:t>
      </w:r>
      <w:r w:rsidRPr="00AF1DC8">
        <w:rPr>
          <w:rFonts w:ascii="Narkisim" w:hAnsi="Narkisim"/>
        </w:rPr>
        <w:t>.</w:t>
      </w:r>
    </w:p>
    <w:p w14:paraId="156741CF" w14:textId="77777777" w:rsidR="006074A5" w:rsidRPr="00AF1DC8" w:rsidRDefault="006074A5" w:rsidP="006074A5">
      <w:pPr>
        <w:pStyle w:val="aa"/>
        <w:bidi/>
        <w:rPr>
          <w:rFonts w:ascii="Narkisim" w:hAnsi="Narkisim"/>
        </w:rPr>
      </w:pPr>
      <w:r w:rsidRPr="00AF1DC8">
        <w:rPr>
          <w:rFonts w:ascii="Narkisim" w:hAnsi="Narkisim"/>
          <w:u w:val="single"/>
          <w:rtl/>
        </w:rPr>
        <w:t>תוד"ה הקדש.</w:t>
      </w:r>
      <w:r w:rsidRPr="00AF1DC8">
        <w:rPr>
          <w:rFonts w:ascii="Narkisim" w:hAnsi="Narkisim"/>
          <w:rtl/>
        </w:rPr>
        <w:t xml:space="preserve"> מפורש בגיטין (מ:). דעת </w:t>
      </w:r>
      <w:r w:rsidRPr="00AF1DC8">
        <w:rPr>
          <w:rFonts w:ascii="Narkisim" w:hAnsi="Narkisim"/>
          <w:b/>
          <w:bCs/>
          <w:rtl/>
        </w:rPr>
        <w:t>רש"י</w:t>
      </w:r>
      <w:r w:rsidRPr="00AF1DC8">
        <w:rPr>
          <w:rFonts w:ascii="Narkisim" w:hAnsi="Narkisim"/>
          <w:rtl/>
        </w:rPr>
        <w:t xml:space="preserve"> דקדושת דמים אינו מפקיע שעבוד, כיון דשייך פדיון</w:t>
      </w:r>
      <w:r w:rsidRPr="00AF1DC8">
        <w:rPr>
          <w:rStyle w:val="ac"/>
          <w:rFonts w:ascii="Narkisim" w:hAnsi="Narkisim"/>
          <w:rtl/>
        </w:rPr>
        <w:footnoteReference w:id="2729"/>
      </w:r>
      <w:r w:rsidRPr="00AF1DC8">
        <w:rPr>
          <w:rFonts w:ascii="Narkisim" w:hAnsi="Narkisim"/>
        </w:rPr>
        <w:t xml:space="preserve">. </w:t>
      </w:r>
      <w:r w:rsidRPr="00AF1DC8">
        <w:rPr>
          <w:rFonts w:ascii="Narkisim" w:hAnsi="Narkisim"/>
          <w:rtl/>
        </w:rPr>
        <w:t>ודוקא קדושת הגוף דלא פקע בכדי. ו</w:t>
      </w:r>
      <w:r w:rsidRPr="00AF1DC8">
        <w:rPr>
          <w:rFonts w:ascii="Narkisim" w:hAnsi="Narkisim"/>
          <w:b/>
          <w:bCs/>
          <w:rtl/>
        </w:rPr>
        <w:t>ר"ת</w:t>
      </w:r>
      <w:r w:rsidRPr="00AF1DC8">
        <w:rPr>
          <w:rFonts w:ascii="Narkisim" w:hAnsi="Narkisim"/>
          <w:rtl/>
        </w:rPr>
        <w:t xml:space="preserve"> (שם) פליג דאף קדושת הגוף א”א להקדיש דבר שאינו ברשותו. [וע"ע דעת הרמב"ם ערכין ז יד]</w:t>
      </w:r>
      <w:r w:rsidRPr="00AF1DC8">
        <w:rPr>
          <w:rFonts w:ascii="Narkisim" w:hAnsi="Narkisim"/>
        </w:rPr>
        <w:t>.</w:t>
      </w:r>
    </w:p>
    <w:p w14:paraId="35545321"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ו</w:t>
      </w:r>
      <w:r w:rsidRPr="00AF1DC8">
        <w:rPr>
          <w:rFonts w:ascii="Narkisim" w:hAnsi="Narkisim"/>
          <w:b/>
          <w:bCs/>
          <w:rtl/>
        </w:rPr>
        <w:t xml:space="preserve">תוס' </w:t>
      </w:r>
      <w:r w:rsidRPr="00AF1DC8">
        <w:rPr>
          <w:rFonts w:ascii="Narkisim" w:hAnsi="Narkisim"/>
          <w:rtl/>
        </w:rPr>
        <w:t>ה</w:t>
      </w:r>
      <w:r w:rsidRPr="00AF1DC8">
        <w:rPr>
          <w:rFonts w:ascii="Narkisim" w:hAnsi="Narkisim"/>
          <w:b/>
          <w:bCs/>
          <w:rtl/>
        </w:rPr>
        <w:t>רא”ש</w:t>
      </w:r>
      <w:r w:rsidRPr="00AF1DC8">
        <w:rPr>
          <w:rFonts w:ascii="Narkisim" w:hAnsi="Narkisim"/>
          <w:rtl/>
        </w:rPr>
        <w:t xml:space="preserve"> הביאו דדעת </w:t>
      </w:r>
      <w:r w:rsidRPr="00AF1DC8">
        <w:rPr>
          <w:rFonts w:ascii="Narkisim" w:hAnsi="Narkisim"/>
          <w:b/>
          <w:bCs/>
          <w:rtl/>
        </w:rPr>
        <w:t>ר"ת</w:t>
      </w:r>
      <w:r w:rsidRPr="00AF1DC8">
        <w:rPr>
          <w:rFonts w:ascii="Narkisim" w:hAnsi="Narkisim"/>
          <w:rtl/>
        </w:rPr>
        <w:t xml:space="preserve"> (ע' ס' הישר חי' קיג, ורשב"א גיטין מ:) לחלק בין מטלטלין לקרקעות. דקרקע משועבדת נחשב דאינו ברשותו של מקדיש. דשעבוד קרקע כמאן דגבי דמי</w:t>
      </w:r>
      <w:r w:rsidRPr="00AF1DC8">
        <w:rPr>
          <w:rStyle w:val="ac"/>
          <w:rFonts w:ascii="Narkisim" w:hAnsi="Narkisim"/>
          <w:rtl/>
        </w:rPr>
        <w:footnoteReference w:id="2730"/>
      </w:r>
      <w:r w:rsidRPr="00AF1DC8">
        <w:rPr>
          <w:rFonts w:ascii="Narkisim" w:hAnsi="Narkisim"/>
        </w:rPr>
        <w:t xml:space="preserve">. </w:t>
      </w:r>
      <w:r w:rsidRPr="00AF1DC8">
        <w:rPr>
          <w:rFonts w:ascii="Narkisim" w:hAnsi="Narkisim"/>
          <w:rtl/>
        </w:rPr>
        <w:t>ול"מ הקדש להפקיע את השעבוד. אבל שעבוד מטלטלין מחסרי גוביינא, ומש"ה ההקדש מפקיע מידי השעבוד</w:t>
      </w:r>
      <w:r w:rsidRPr="00AF1DC8">
        <w:rPr>
          <w:rFonts w:ascii="Narkisim" w:hAnsi="Narkisim"/>
        </w:rPr>
        <w:t>.</w:t>
      </w:r>
    </w:p>
    <w:p w14:paraId="7F05E3EA" w14:textId="77777777" w:rsidR="006074A5" w:rsidRPr="00AF1DC8" w:rsidRDefault="006074A5" w:rsidP="006074A5">
      <w:pPr>
        <w:bidi/>
        <w:rPr>
          <w:rFonts w:ascii="Narkisim" w:hAnsi="Narkisim" w:cs="Narkisim"/>
        </w:rPr>
      </w:pPr>
      <w:r w:rsidRPr="00AF1DC8">
        <w:rPr>
          <w:rFonts w:ascii="Narkisim" w:hAnsi="Narkisim" w:cs="Narkisim"/>
          <w:u w:val="single"/>
          <w:rtl/>
        </w:rPr>
        <w:t>מתיב רב חסדא וכו' לפניה אין לאחריה לא.</w:t>
      </w:r>
      <w:r w:rsidRPr="00AF1DC8">
        <w:rPr>
          <w:rFonts w:ascii="Narkisim" w:hAnsi="Narkisim" w:cs="Narkisim"/>
          <w:rtl/>
        </w:rPr>
        <w:t xml:space="preserve"> דעת רב חסדא דאינו יכול להתגייר ולהפקיע. </w:t>
      </w:r>
      <w:r w:rsidRPr="00AF1DC8">
        <w:rPr>
          <w:rFonts w:ascii="Narkisim" w:hAnsi="Narkisim" w:cs="Narkisim"/>
          <w:szCs w:val="20"/>
          <w:rtl/>
        </w:rPr>
        <w:t>וה</w:t>
      </w:r>
      <w:r w:rsidRPr="00AF1DC8">
        <w:rPr>
          <w:rFonts w:ascii="Narkisim" w:hAnsi="Narkisim" w:cs="Narkisim"/>
          <w:b/>
          <w:bCs/>
          <w:szCs w:val="20"/>
          <w:rtl/>
        </w:rPr>
        <w:t>חזו"א</w:t>
      </w:r>
      <w:r w:rsidRPr="00AF1DC8">
        <w:rPr>
          <w:rFonts w:ascii="Narkisim" w:hAnsi="Narkisim" w:cs="Narkisim"/>
          <w:szCs w:val="20"/>
          <w:rtl/>
        </w:rPr>
        <w:t xml:space="preserve"> (ב) נסתפק האם ס"ל דיש קנין הגוף אף בקונה מגוי [וכן גוי שנתגייר בעצמו בסוגיין]. או אף דהוה שעבוד אינו יכול להפקיעו, אבל בעודה עכו”ם יכולים להתגייר דנחשב הפקעת הלואת עכו”ם</w:t>
      </w:r>
      <w:r w:rsidRPr="00AF1DC8">
        <w:rPr>
          <w:rFonts w:ascii="Narkisim" w:hAnsi="Narkisim" w:cs="Narkisim"/>
        </w:rPr>
        <w:t>.</w:t>
      </w:r>
    </w:p>
    <w:p w14:paraId="20057A6D"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רי"ף</w:t>
      </w:r>
      <w:r w:rsidRPr="00AF1DC8">
        <w:rPr>
          <w:rFonts w:ascii="Narkisim" w:hAnsi="Narkisim"/>
          <w:rtl/>
        </w:rPr>
        <w:t xml:space="preserve"> גרס בפניה אין שלא בפניה לא </w:t>
      </w:r>
      <w:r w:rsidRPr="00AF1DC8">
        <w:rPr>
          <w:rFonts w:ascii="Narkisim" w:hAnsi="Narkisim"/>
          <w:sz w:val="20"/>
          <w:szCs w:val="20"/>
          <w:rtl/>
        </w:rPr>
        <w:t>[וכ”כ ה</w:t>
      </w:r>
      <w:r w:rsidRPr="00AF1DC8">
        <w:rPr>
          <w:rFonts w:ascii="Narkisim" w:hAnsi="Narkisim"/>
          <w:b/>
          <w:bCs/>
          <w:sz w:val="20"/>
          <w:szCs w:val="20"/>
          <w:rtl/>
        </w:rPr>
        <w:t xml:space="preserve">רמב”ם </w:t>
      </w:r>
      <w:r w:rsidRPr="00AF1DC8">
        <w:rPr>
          <w:rFonts w:ascii="Narkisim" w:hAnsi="Narkisim"/>
          <w:sz w:val="20"/>
          <w:szCs w:val="20"/>
          <w:rtl/>
        </w:rPr>
        <w:t>עבדים ח יט].</w:t>
      </w:r>
      <w:r w:rsidRPr="00AF1DC8">
        <w:rPr>
          <w:rFonts w:ascii="Narkisim" w:hAnsi="Narkisim"/>
          <w:rtl/>
        </w:rPr>
        <w:t xml:space="preserve"> וה</w:t>
      </w:r>
      <w:r w:rsidRPr="00AF1DC8">
        <w:rPr>
          <w:rFonts w:ascii="Narkisim" w:hAnsi="Narkisim"/>
          <w:b/>
          <w:bCs/>
          <w:rtl/>
        </w:rPr>
        <w:t>מלחמות</w:t>
      </w:r>
      <w:r w:rsidRPr="00AF1DC8">
        <w:rPr>
          <w:rFonts w:ascii="Narkisim" w:hAnsi="Narkisim"/>
          <w:rtl/>
        </w:rPr>
        <w:t xml:space="preserve"> ביאר דאם טבל לשם בן חורין לפניה הפקיע שעבודה, דאי לאו דשחרריה לא היתה שותקת. וגדולה מזו שנינו הניח תפילין לפני רבו יצא לחירות </w:t>
      </w:r>
      <w:r w:rsidRPr="00AF1DC8">
        <w:rPr>
          <w:rFonts w:ascii="Narkisim" w:hAnsi="Narkisim"/>
          <w:sz w:val="20"/>
          <w:szCs w:val="20"/>
          <w:rtl/>
        </w:rPr>
        <w:t>(גיטין מ:)</w:t>
      </w:r>
      <w:r w:rsidRPr="00AF1DC8">
        <w:rPr>
          <w:rFonts w:ascii="Narkisim" w:hAnsi="Narkisim"/>
          <w:sz w:val="20"/>
          <w:szCs w:val="20"/>
        </w:rPr>
        <w:t>.</w:t>
      </w:r>
    </w:p>
    <w:p w14:paraId="0D36692A" w14:textId="77777777" w:rsidR="006074A5" w:rsidRPr="00AF1DC8" w:rsidRDefault="006074A5" w:rsidP="006074A5">
      <w:pPr>
        <w:bidi/>
        <w:rPr>
          <w:rFonts w:ascii="Narkisim" w:hAnsi="Narkisim" w:cs="Narkisim"/>
        </w:rPr>
      </w:pPr>
      <w:r w:rsidRPr="00AF1DC8">
        <w:rPr>
          <w:rFonts w:ascii="Narkisim" w:hAnsi="Narkisim" w:cs="Narkisim"/>
          <w:u w:val="single"/>
          <w:rtl/>
        </w:rPr>
        <w:t>אמר ר' אויא וכו' אבל עכו"ם גופיה קני.</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עכו"ם שמוכר עצמו לישראל, הישראל קונה את גופו [אף קודם טבילה]. דיש כח לעכו"ם למכור את עצמו בקנין הגוף</w:t>
      </w:r>
      <w:r w:rsidRPr="00AF1DC8">
        <w:rPr>
          <w:rFonts w:ascii="Narkisim" w:hAnsi="Narkisim" w:cs="Narkisim"/>
        </w:rPr>
        <w:t>.</w:t>
      </w:r>
    </w:p>
    <w:p w14:paraId="7B6D2142"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כת' דכיון דקני גופיה צריך גט שחרור [וכדאמרי' בגמ' בסמוך]. </w:t>
      </w:r>
      <w:r w:rsidRPr="00AF1DC8">
        <w:rPr>
          <w:rFonts w:ascii="Narkisim" w:hAnsi="Narkisim"/>
          <w:szCs w:val="20"/>
          <w:rtl/>
        </w:rPr>
        <w:t>וה</w:t>
      </w:r>
      <w:r w:rsidRPr="00AF1DC8">
        <w:rPr>
          <w:rFonts w:ascii="Narkisim" w:hAnsi="Narkisim"/>
          <w:b/>
          <w:bCs/>
          <w:szCs w:val="20"/>
          <w:rtl/>
        </w:rPr>
        <w:t>אחרונים</w:t>
      </w:r>
      <w:r w:rsidRPr="00AF1DC8">
        <w:rPr>
          <w:rFonts w:ascii="Narkisim" w:hAnsi="Narkisim"/>
          <w:szCs w:val="20"/>
          <w:rtl/>
        </w:rPr>
        <w:t xml:space="preserve"> כת' דכוונתו שטר הקנאה לממון של עצמו. ולא הוה גט של קנין האיסור, ול”צ כתיבה לשמה וכל דיני גט</w:t>
      </w:r>
      <w:r w:rsidRPr="00AF1DC8">
        <w:rPr>
          <w:rFonts w:ascii="Narkisim" w:hAnsi="Narkisim"/>
        </w:rPr>
        <w:t>.</w:t>
      </w:r>
    </w:p>
    <w:p w14:paraId="24A1D93D"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הק' האיך מהני גט בעבד זה, הא אין לו יד. </w:t>
      </w:r>
      <w:r w:rsidRPr="00AF1DC8">
        <w:rPr>
          <w:rFonts w:ascii="Narkisim" w:hAnsi="Narkisim"/>
          <w:sz w:val="20"/>
          <w:szCs w:val="20"/>
          <w:rtl/>
        </w:rPr>
        <w:t>ובשלמא עבד שטבל איתיה במצוות, וילפי' 'לה' 'לה' דגיטו וידו באין כא'</w:t>
      </w:r>
      <w:r w:rsidRPr="00AF1DC8">
        <w:rPr>
          <w:rStyle w:val="ac"/>
          <w:rFonts w:ascii="Narkisim" w:hAnsi="Narkisim"/>
          <w:sz w:val="20"/>
          <w:szCs w:val="20"/>
          <w:rtl/>
        </w:rPr>
        <w:footnoteReference w:id="2731"/>
      </w:r>
      <w:r w:rsidRPr="00AF1DC8">
        <w:rPr>
          <w:rFonts w:ascii="Narkisim" w:hAnsi="Narkisim"/>
          <w:sz w:val="20"/>
          <w:szCs w:val="20"/>
          <w:rtl/>
        </w:rPr>
        <w:t>.</w:t>
      </w:r>
      <w:r w:rsidRPr="00AF1DC8">
        <w:rPr>
          <w:rFonts w:ascii="Narkisim" w:hAnsi="Narkisim"/>
          <w:rtl/>
        </w:rPr>
        <w:t xml:space="preserve"> ותי' שיקנה עצמו בשטר ע"י אחרים</w:t>
      </w:r>
      <w:r w:rsidRPr="00AF1DC8">
        <w:rPr>
          <w:rStyle w:val="ac"/>
          <w:rFonts w:ascii="Narkisim" w:hAnsi="Narkisim"/>
          <w:rtl/>
        </w:rPr>
        <w:footnoteReference w:id="2732"/>
      </w:r>
      <w:r w:rsidRPr="00AF1DC8">
        <w:rPr>
          <w:rFonts w:ascii="Narkisim" w:hAnsi="Narkisim"/>
        </w:rPr>
        <w:t xml:space="preserve">, </w:t>
      </w:r>
      <w:r w:rsidRPr="00AF1DC8">
        <w:rPr>
          <w:rFonts w:ascii="Narkisim" w:hAnsi="Narkisim"/>
          <w:rtl/>
        </w:rPr>
        <w:t>כיון דיש קנין הגוף כעבד דצריך שחרור. ומ"מ ה</w:t>
      </w:r>
      <w:r w:rsidRPr="00AF1DC8">
        <w:rPr>
          <w:rFonts w:ascii="Narkisim" w:hAnsi="Narkisim"/>
          <w:b/>
          <w:bCs/>
          <w:rtl/>
        </w:rPr>
        <w:t>רמב"ן</w:t>
      </w:r>
      <w:r w:rsidRPr="00AF1DC8">
        <w:rPr>
          <w:rFonts w:ascii="Narkisim" w:hAnsi="Narkisim"/>
          <w:rtl/>
        </w:rPr>
        <w:t xml:space="preserve"> הק' דגוי ל"ק בשטר, דכל קנינו בכסף (קידושין יד:</w:t>
      </w:r>
      <w:r w:rsidRPr="00AF1DC8">
        <w:rPr>
          <w:rStyle w:val="ac"/>
          <w:rFonts w:ascii="Narkisim" w:hAnsi="Narkisim"/>
          <w:rtl/>
        </w:rPr>
        <w:footnoteReference w:id="2733"/>
      </w:r>
      <w:r w:rsidRPr="00AF1DC8">
        <w:rPr>
          <w:rFonts w:ascii="Narkisim" w:hAnsi="Narkisim"/>
          <w:rtl/>
        </w:rPr>
        <w:t>). וכתב דע"כ מהני רק בכסף ע"י אחרים</w:t>
      </w:r>
      <w:r w:rsidRPr="00AF1DC8">
        <w:rPr>
          <w:rStyle w:val="ac"/>
          <w:rFonts w:ascii="Narkisim" w:hAnsi="Narkisim"/>
          <w:rtl/>
        </w:rPr>
        <w:footnoteReference w:id="2734"/>
      </w:r>
      <w:r w:rsidRPr="00AF1DC8">
        <w:rPr>
          <w:rFonts w:ascii="Narkisim" w:hAnsi="Narkisim"/>
        </w:rPr>
        <w:t xml:space="preserve">. </w:t>
      </w:r>
      <w:r w:rsidRPr="00AF1DC8">
        <w:rPr>
          <w:rFonts w:ascii="Narkisim" w:hAnsi="Narkisim"/>
          <w:rtl/>
        </w:rPr>
        <w:t>אבל הביא דה</w:t>
      </w:r>
      <w:r w:rsidRPr="00AF1DC8">
        <w:rPr>
          <w:rFonts w:ascii="Narkisim" w:hAnsi="Narkisim"/>
          <w:b/>
          <w:bCs/>
          <w:rtl/>
        </w:rPr>
        <w:t>רמב"ם</w:t>
      </w:r>
      <w:r w:rsidRPr="00AF1DC8">
        <w:rPr>
          <w:rFonts w:ascii="Narkisim" w:hAnsi="Narkisim"/>
          <w:rtl/>
        </w:rPr>
        <w:t xml:space="preserve"> (עבדים ה ג,ה) מבואר דיוצא בשטר ע"י עצמו. </w:t>
      </w:r>
      <w:r w:rsidRPr="00AF1DC8">
        <w:rPr>
          <w:rFonts w:ascii="Narkisim" w:hAnsi="Narkisim"/>
          <w:sz w:val="20"/>
          <w:szCs w:val="20"/>
          <w:rtl/>
        </w:rPr>
        <w:t>[שכתב דאינו יוצא בראשי איברים אלא עבד שמל וטבל, משמע דשטר מהני]</w:t>
      </w:r>
      <w:r w:rsidRPr="00AF1DC8">
        <w:rPr>
          <w:rFonts w:ascii="Narkisim" w:hAnsi="Narkisim"/>
          <w:sz w:val="20"/>
          <w:szCs w:val="20"/>
        </w:rPr>
        <w:t>.</w:t>
      </w:r>
    </w:p>
    <w:p w14:paraId="7017C12A"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וה</w:t>
      </w:r>
      <w:r w:rsidRPr="00AF1DC8">
        <w:rPr>
          <w:rFonts w:ascii="Narkisim" w:hAnsi="Narkisim" w:cs="Narkisim"/>
          <w:b/>
          <w:bCs/>
          <w:rtl/>
        </w:rPr>
        <w:t>אחרונים</w:t>
      </w:r>
      <w:r w:rsidRPr="00AF1DC8">
        <w:rPr>
          <w:rFonts w:ascii="Narkisim" w:hAnsi="Narkisim" w:cs="Narkisim"/>
          <w:rtl/>
        </w:rPr>
        <w:t xml:space="preserve"> חקרו האם יש עליו 'שם עבד' [דלא שייך בעלות על בן חורין, אלא דנעשה עבד, ועי"ז קנה לגוף העכו"ם. ואף דלא נתחייב במצוות], או דישראל יכול להיות בעלים על גוף העכו"ם אף בלאו הכי</w:t>
      </w:r>
      <w:r w:rsidRPr="00AF1DC8">
        <w:rPr>
          <w:rFonts w:ascii="Narkisim" w:hAnsi="Narkisim" w:cs="Narkisim"/>
        </w:rPr>
        <w:t>.</w:t>
      </w:r>
    </w:p>
    <w:p w14:paraId="5A5A577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(א) נסתפק האם בעודו עכו"ם חל 'שם עבדות' לענין דאין לו 'יחס'</w:t>
      </w:r>
      <w:r w:rsidRPr="00AF1DC8">
        <w:rPr>
          <w:rStyle w:val="ac"/>
          <w:rFonts w:ascii="Narkisim" w:hAnsi="Narkisim"/>
          <w:rtl/>
        </w:rPr>
        <w:footnoteReference w:id="2735"/>
      </w:r>
      <w:r w:rsidRPr="00AF1DC8">
        <w:rPr>
          <w:rFonts w:ascii="Narkisim" w:hAnsi="Narkisim"/>
          <w:rtl/>
        </w:rPr>
        <w:t>, או רק לענין קנין ממון</w:t>
      </w:r>
      <w:r w:rsidRPr="00AF1DC8">
        <w:rPr>
          <w:rFonts w:ascii="Narkisim" w:hAnsi="Narkisim"/>
        </w:rPr>
        <w:t>.</w:t>
      </w:r>
    </w:p>
    <w:p w14:paraId="56D9C5E5"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מחנ"א</w:t>
      </w:r>
      <w:r w:rsidRPr="00AF1DC8">
        <w:rPr>
          <w:rFonts w:ascii="Narkisim" w:hAnsi="Narkisim" w:cs="Narkisim"/>
          <w:rtl/>
        </w:rPr>
        <w:t xml:space="preserve"> (עבדים ב) הביא מח' הקונה שפחה [בזה"ז] ולא טבלה, ואח"כ הפקירה. דדעת זקנו דיכולה להתגייר, דכיון שלא טבלה עדיין לא חל עליה דין שפחה</w:t>
      </w:r>
      <w:r w:rsidRPr="00AF1DC8">
        <w:rPr>
          <w:rStyle w:val="ac"/>
          <w:rFonts w:ascii="Narkisim" w:hAnsi="Narkisim" w:cs="Narkisim"/>
          <w:rtl/>
        </w:rPr>
        <w:footnoteReference w:id="2736"/>
      </w:r>
      <w:r w:rsidRPr="00AF1DC8">
        <w:rPr>
          <w:rFonts w:ascii="Narkisim" w:hAnsi="Narkisim" w:cs="Narkisim"/>
        </w:rPr>
        <w:t xml:space="preserve">. </w:t>
      </w:r>
      <w:r w:rsidRPr="00AF1DC8">
        <w:rPr>
          <w:rFonts w:ascii="Narkisim" w:hAnsi="Narkisim" w:cs="Narkisim"/>
          <w:rtl/>
        </w:rPr>
        <w:t>והביא דב</w:t>
      </w:r>
      <w:r w:rsidRPr="00AF1DC8">
        <w:rPr>
          <w:rFonts w:ascii="Narkisim" w:hAnsi="Narkisim" w:cs="Narkisim"/>
          <w:b/>
          <w:bCs/>
          <w:rtl/>
        </w:rPr>
        <w:t>שו”ת פני משה</w:t>
      </w:r>
      <w:r w:rsidRPr="00AF1DC8">
        <w:rPr>
          <w:rFonts w:ascii="Narkisim" w:hAnsi="Narkisim" w:cs="Narkisim"/>
          <w:rtl/>
        </w:rPr>
        <w:t xml:space="preserve"> (א כ) פליג דכיון דקנה גופה, אף שנתגיירה צריכה גט שחרור לאפקועי איסורא. [ולכאו' כוונתו דכיון דקנויה לישראל, עי"ז בשעת גירות חל בה דין עבדות, וקנין איסור</w:t>
      </w:r>
      <w:r w:rsidRPr="00AF1DC8">
        <w:rPr>
          <w:rStyle w:val="ac"/>
          <w:rFonts w:ascii="Narkisim" w:hAnsi="Narkisim" w:cs="Narkisim"/>
          <w:rtl/>
        </w:rPr>
        <w:footnoteReference w:id="2737"/>
      </w:r>
      <w:r w:rsidRPr="00AF1DC8">
        <w:rPr>
          <w:rFonts w:ascii="Narkisim" w:hAnsi="Narkisim" w:cs="Narkisim"/>
          <w:rtl/>
        </w:rPr>
        <w:t>]</w:t>
      </w:r>
      <w:r w:rsidRPr="00AF1DC8">
        <w:rPr>
          <w:rFonts w:ascii="Narkisim" w:hAnsi="Narkisim" w:cs="Narkisim"/>
        </w:rPr>
        <w:t>.</w:t>
      </w:r>
    </w:p>
    <w:p w14:paraId="7B89CA57" w14:textId="77777777" w:rsidR="006074A5" w:rsidRPr="00AF1DC8" w:rsidRDefault="006074A5" w:rsidP="006074A5">
      <w:pPr>
        <w:pStyle w:val="aa"/>
        <w:bidi/>
        <w:rPr>
          <w:rFonts w:ascii="Narkisim" w:hAnsi="Narkisim"/>
        </w:rPr>
      </w:pPr>
      <w:r w:rsidRPr="00AF1DC8">
        <w:rPr>
          <w:rFonts w:ascii="Narkisim" w:hAnsi="Narkisim"/>
          <w:u w:val="single"/>
          <w:rtl/>
        </w:rPr>
        <w:t>פריך רב אחא אימא בכספא וטבילה, קשיא.</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דדוקא ע”י טבילה נתחדש קנין הגוף בעבד. אבל כל זמן </w:t>
      </w:r>
      <w:r w:rsidRPr="00AF1DC8">
        <w:rPr>
          <w:rFonts w:ascii="Narkisim" w:hAnsi="Narkisim"/>
          <w:rtl/>
        </w:rPr>
        <w:lastRenderedPageBreak/>
        <w:t>שלא טבל אין לישראל קנין בגופו</w:t>
      </w:r>
      <w:r w:rsidRPr="00AF1DC8">
        <w:rPr>
          <w:rStyle w:val="ac"/>
          <w:rFonts w:ascii="Narkisim" w:hAnsi="Narkisim"/>
          <w:rtl/>
        </w:rPr>
        <w:footnoteReference w:id="2738"/>
      </w:r>
      <w:r w:rsidRPr="00AF1DC8">
        <w:rPr>
          <w:rFonts w:ascii="Narkisim" w:hAnsi="Narkisim"/>
        </w:rPr>
        <w:t>.</w:t>
      </w:r>
    </w:p>
    <w:p w14:paraId="702457E0"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 דאסיקנא בקושיה [מנ”ל דכספא לחוד], אבל עיקר דינא כספא לחוד. והביא דכ”פ ה</w:t>
      </w:r>
      <w:r w:rsidRPr="00AF1DC8">
        <w:rPr>
          <w:rFonts w:ascii="Narkisim" w:hAnsi="Narkisim"/>
          <w:b/>
          <w:bCs/>
          <w:rtl/>
        </w:rPr>
        <w:t>רי”ף</w:t>
      </w:r>
      <w:r w:rsidRPr="00AF1DC8">
        <w:rPr>
          <w:rFonts w:ascii="Narkisim" w:hAnsi="Narkisim"/>
          <w:rtl/>
        </w:rPr>
        <w:t>. אבל ה</w:t>
      </w:r>
      <w:r w:rsidRPr="00AF1DC8">
        <w:rPr>
          <w:rFonts w:ascii="Narkisim" w:hAnsi="Narkisim"/>
          <w:b/>
          <w:bCs/>
          <w:rtl/>
        </w:rPr>
        <w:t>לח”מ</w:t>
      </w:r>
      <w:r w:rsidRPr="00AF1DC8">
        <w:rPr>
          <w:rFonts w:ascii="Narkisim" w:hAnsi="Narkisim"/>
          <w:rtl/>
        </w:rPr>
        <w:t xml:space="preserve"> (עבדים ט ב) ו</w:t>
      </w:r>
      <w:r w:rsidRPr="00AF1DC8">
        <w:rPr>
          <w:rFonts w:ascii="Narkisim" w:hAnsi="Narkisim"/>
          <w:b/>
          <w:bCs/>
          <w:rtl/>
        </w:rPr>
        <w:t>יש”ש</w:t>
      </w:r>
      <w:r w:rsidRPr="00AF1DC8">
        <w:rPr>
          <w:rFonts w:ascii="Narkisim" w:hAnsi="Narkisim"/>
          <w:rtl/>
        </w:rPr>
        <w:t xml:space="preserve"> כתבו דה</w:t>
      </w:r>
      <w:r w:rsidRPr="00AF1DC8">
        <w:rPr>
          <w:rFonts w:ascii="Narkisim" w:hAnsi="Narkisim"/>
          <w:b/>
          <w:bCs/>
          <w:rtl/>
        </w:rPr>
        <w:t>רמב”ם</w:t>
      </w:r>
      <w:r w:rsidRPr="00AF1DC8">
        <w:rPr>
          <w:rFonts w:ascii="Narkisim" w:hAnsi="Narkisim"/>
          <w:rtl/>
        </w:rPr>
        <w:t xml:space="preserve"> פסק כרב אחא, ודלא כרב אויא. [ודלא ככס”מ]</w:t>
      </w:r>
      <w:r w:rsidRPr="00AF1DC8">
        <w:rPr>
          <w:rFonts w:ascii="Narkisim" w:hAnsi="Narkisim"/>
        </w:rPr>
        <w:t>.</w:t>
      </w:r>
    </w:p>
    <w:p w14:paraId="3D4C1859" w14:textId="77777777" w:rsidR="006074A5" w:rsidRPr="00AF1DC8" w:rsidRDefault="006074A5" w:rsidP="006074A5">
      <w:pPr>
        <w:pStyle w:val="aa"/>
        <w:bidi/>
        <w:rPr>
          <w:rFonts w:ascii="Narkisim" w:hAnsi="Narkisim"/>
        </w:rPr>
      </w:pPr>
      <w:r w:rsidRPr="00AF1DC8">
        <w:rPr>
          <w:rFonts w:ascii="Narkisim" w:hAnsi="Narkisim"/>
          <w:u w:val="single"/>
          <w:rtl/>
        </w:rPr>
        <w:t>שם. ובטבילה</w:t>
      </w:r>
      <w:r w:rsidRPr="00AF1DC8">
        <w:rPr>
          <w:rFonts w:ascii="Narkisim" w:hAnsi="Narkisim"/>
          <w:rtl/>
        </w:rPr>
        <w:t>. לשון הגמ' משמע דהטבילה הוה מעשה קנין. וכן הביא ה</w:t>
      </w:r>
      <w:r w:rsidRPr="00AF1DC8">
        <w:rPr>
          <w:rFonts w:ascii="Narkisim" w:hAnsi="Narkisim"/>
          <w:b/>
          <w:bCs/>
          <w:rtl/>
        </w:rPr>
        <w:t>תוס' רא"ש</w:t>
      </w:r>
      <w:r w:rsidRPr="00AF1DC8">
        <w:rPr>
          <w:rFonts w:ascii="Narkisim" w:hAnsi="Narkisim"/>
          <w:rtl/>
        </w:rPr>
        <w:t xml:space="preserve"> (גיטין לז:)</w:t>
      </w:r>
      <w:r w:rsidRPr="00AF1DC8">
        <w:rPr>
          <w:rStyle w:val="ac"/>
          <w:rFonts w:ascii="Narkisim" w:hAnsi="Narkisim"/>
          <w:rtl/>
        </w:rPr>
        <w:footnoteReference w:id="2739"/>
      </w:r>
      <w:r w:rsidRPr="00AF1DC8">
        <w:rPr>
          <w:rFonts w:ascii="Narkisim" w:hAnsi="Narkisim"/>
        </w:rPr>
        <w:t xml:space="preserve">, </w:t>
      </w:r>
      <w:r w:rsidRPr="00AF1DC8">
        <w:rPr>
          <w:rFonts w:ascii="Narkisim" w:hAnsi="Narkisim"/>
          <w:rtl/>
        </w:rPr>
        <w:t>ודחה דאף אי נימא דטבילה אינו קונה בעלמא כיון דאהני טבילה להתחייב במצות [כאשה], הילכך מהני נמי לקנות גופו. וה</w:t>
      </w:r>
      <w:r w:rsidRPr="00AF1DC8">
        <w:rPr>
          <w:rFonts w:ascii="Narkisim" w:hAnsi="Narkisim"/>
          <w:b/>
          <w:bCs/>
          <w:rtl/>
        </w:rPr>
        <w:t>אחרונים</w:t>
      </w:r>
      <w:r w:rsidRPr="00AF1DC8">
        <w:rPr>
          <w:rFonts w:ascii="Narkisim" w:hAnsi="Narkisim"/>
          <w:rtl/>
        </w:rPr>
        <w:t xml:space="preserve"> (אמר"מ כב ח) דנו די"ל דע"י הטבילה חל 'שם עבד', וראוי לבעלות. וקנה בכסף לחוד</w:t>
      </w:r>
      <w:r w:rsidRPr="00AF1DC8">
        <w:rPr>
          <w:rStyle w:val="ac"/>
          <w:rFonts w:ascii="Narkisim" w:hAnsi="Narkisim"/>
          <w:rtl/>
        </w:rPr>
        <w:footnoteReference w:id="2740"/>
      </w:r>
      <w:r w:rsidRPr="00AF1DC8">
        <w:rPr>
          <w:rFonts w:ascii="Narkisim" w:hAnsi="Narkisim"/>
        </w:rPr>
        <w:t xml:space="preserve">. </w:t>
      </w:r>
      <w:r w:rsidRPr="00AF1DC8">
        <w:rPr>
          <w:rFonts w:ascii="Narkisim" w:hAnsi="Narkisim"/>
          <w:rtl/>
        </w:rPr>
        <w:t>[דלא מצאנו דטבילה הוה 'מעשה קנין']</w:t>
      </w:r>
      <w:r w:rsidRPr="00AF1DC8">
        <w:rPr>
          <w:rFonts w:ascii="Narkisim" w:hAnsi="Narkisim"/>
        </w:rPr>
        <w:t>.</w:t>
      </w:r>
    </w:p>
    <w:p w14:paraId="2B4EDE6F" w14:textId="77777777" w:rsidR="006074A5" w:rsidRPr="00AF1DC8" w:rsidRDefault="006074A5" w:rsidP="006074A5">
      <w:pPr>
        <w:bidi/>
        <w:rPr>
          <w:rFonts w:ascii="Narkisim" w:hAnsi="Narkisim" w:cs="Narkisim"/>
        </w:rPr>
      </w:pPr>
      <w:r w:rsidRPr="00AF1DC8">
        <w:rPr>
          <w:rFonts w:ascii="Narkisim" w:hAnsi="Narkisim" w:cs="Narkisim"/>
          <w:u w:val="single"/>
          <w:rtl/>
        </w:rPr>
        <w:t>וצריך לתקפו במים.</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שתהא נראית כטבילת עבדות, שאפי' יאמר לשם בן חורין אין ממשות בדבריו וכו'. </w:t>
      </w:r>
      <w:r w:rsidRPr="00AF1DC8">
        <w:rPr>
          <w:rFonts w:ascii="Narkisim" w:hAnsi="Narkisim" w:cs="Narkisim"/>
          <w:sz w:val="20"/>
          <w:szCs w:val="20"/>
          <w:rtl/>
        </w:rPr>
        <w:t>[בפשוטו משמע דאפי' צווח בשעת טבילה ל"מ, כיון דניכר שתקפו לשם עבדות. אך יש שפי' דכוונת רש"י דאפי' יאמר אח"כ שנתכוון לשם גירות אינו נאמן</w:t>
      </w:r>
      <w:r w:rsidRPr="00AF1DC8">
        <w:rPr>
          <w:rStyle w:val="ac"/>
          <w:rFonts w:ascii="Narkisim" w:hAnsi="Narkisim" w:cs="Narkisim"/>
          <w:sz w:val="20"/>
          <w:szCs w:val="20"/>
          <w:rtl/>
        </w:rPr>
        <w:footnoteReference w:id="2741"/>
      </w:r>
      <w:r w:rsidRPr="00AF1DC8">
        <w:rPr>
          <w:rFonts w:ascii="Narkisim" w:hAnsi="Narkisim" w:cs="Narkisim"/>
          <w:sz w:val="20"/>
          <w:szCs w:val="20"/>
          <w:rtl/>
        </w:rPr>
        <w:t>]</w:t>
      </w:r>
      <w:r w:rsidRPr="00AF1DC8">
        <w:rPr>
          <w:rFonts w:ascii="Narkisim" w:hAnsi="Narkisim" w:cs="Narkisim"/>
          <w:rtl/>
        </w:rPr>
        <w:t>. והריטב"א כת' דמדינא סגי שיזכיר שם עבדות בטבילה. אך צריך לתוקפו במים לתת עליו עול עבדות בשעת טבילה, ולהוציא כל פקפוק. שאם יאמר לשם בן חורין טבלתי לא יהא ממש בדבריו</w:t>
      </w:r>
      <w:r w:rsidRPr="00AF1DC8">
        <w:rPr>
          <w:rStyle w:val="ac"/>
          <w:rFonts w:ascii="Narkisim" w:hAnsi="Narkisim" w:cs="Narkisim"/>
          <w:rtl/>
        </w:rPr>
        <w:footnoteReference w:id="2742"/>
      </w:r>
      <w:r w:rsidRPr="00AF1DC8">
        <w:rPr>
          <w:rFonts w:ascii="Narkisim" w:hAnsi="Narkisim" w:cs="Narkisim"/>
        </w:rPr>
        <w:t>.</w:t>
      </w:r>
    </w:p>
    <w:p w14:paraId="0BB8027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(מלחמות וספר הזכות) כתב [בדעת הרי"ף] שתקפו כדי תעלה טבילה מתוך תקיפה שלו, שלא יהא העבד כטובל ע"ד עצמו [שלא יאמר לשם בן חורין] אלא יהא הרב מטבילו</w:t>
      </w:r>
      <w:r w:rsidRPr="00AF1DC8">
        <w:rPr>
          <w:rFonts w:ascii="Narkisim" w:hAnsi="Narkisim"/>
        </w:rPr>
        <w:t>.</w:t>
      </w:r>
    </w:p>
    <w:p w14:paraId="2D438DA3"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 xml:space="preserve">אחרונים </w:t>
      </w:r>
      <w:r w:rsidRPr="00AF1DC8">
        <w:rPr>
          <w:rFonts w:ascii="Narkisim" w:hAnsi="Narkisim"/>
          <w:rtl/>
        </w:rPr>
        <w:t>הקשו היאך מהני שתוקפו, מ"מ העבד טובל ע"ד עצמו. ואם יש ב' כוונות סותרות במעשה, אמאי לא יזכה בעצמו</w:t>
      </w:r>
      <w:r w:rsidRPr="00AF1DC8">
        <w:rPr>
          <w:rStyle w:val="ac"/>
          <w:rFonts w:ascii="Narkisim" w:hAnsi="Narkisim"/>
          <w:rtl/>
        </w:rPr>
        <w:footnoteReference w:id="2743"/>
      </w:r>
      <w:r w:rsidRPr="00AF1DC8">
        <w:rPr>
          <w:rFonts w:ascii="Narkisim" w:hAnsi="Narkisim"/>
        </w:rPr>
        <w:t xml:space="preserve">. </w:t>
      </w:r>
      <w:r w:rsidRPr="00AF1DC8">
        <w:rPr>
          <w:rFonts w:ascii="Narkisim" w:hAnsi="Narkisim"/>
          <w:rtl/>
        </w:rPr>
        <w:t>וה</w:t>
      </w:r>
      <w:r w:rsidRPr="00AF1DC8">
        <w:rPr>
          <w:rFonts w:ascii="Narkisim" w:hAnsi="Narkisim"/>
          <w:b/>
          <w:bCs/>
          <w:rtl/>
        </w:rPr>
        <w:t>אמר"מ</w:t>
      </w:r>
      <w:r w:rsidRPr="00AF1DC8">
        <w:rPr>
          <w:rFonts w:ascii="Narkisim" w:hAnsi="Narkisim"/>
          <w:rtl/>
        </w:rPr>
        <w:t xml:space="preserve"> (כב ז) תי' דנחשב שיש כאן מעשה גביית החוב, וקודם להפקעת החוב. וב</w:t>
      </w:r>
      <w:r w:rsidRPr="00AF1DC8">
        <w:rPr>
          <w:rFonts w:ascii="Narkisim" w:hAnsi="Narkisim"/>
          <w:b/>
          <w:bCs/>
          <w:rtl/>
        </w:rPr>
        <w:t>חי' ר'</w:t>
      </w:r>
      <w:r w:rsidRPr="00AF1DC8">
        <w:rPr>
          <w:rFonts w:ascii="Narkisim" w:hAnsi="Narkisim"/>
          <w:rtl/>
        </w:rPr>
        <w:t xml:space="preserve"> </w:t>
      </w:r>
      <w:r w:rsidRPr="00AF1DC8">
        <w:rPr>
          <w:rFonts w:ascii="Narkisim" w:hAnsi="Narkisim"/>
          <w:b/>
          <w:bCs/>
          <w:rtl/>
        </w:rPr>
        <w:t>שמעון</w:t>
      </w:r>
      <w:r w:rsidRPr="00AF1DC8">
        <w:rPr>
          <w:rFonts w:ascii="Narkisim" w:hAnsi="Narkisim"/>
          <w:rtl/>
        </w:rPr>
        <w:t xml:space="preserve"> (מא ב) תי' דכיון דהאדון מטבילו בכח ובע”כ מהני מעשיו. [דכלפי הטובל הוה כמעשה קוף, ומהני כוונת העושה לפרש את המעשה]</w:t>
      </w:r>
      <w:r w:rsidRPr="00AF1DC8">
        <w:rPr>
          <w:rFonts w:ascii="Narkisim" w:hAnsi="Narkisim"/>
        </w:rPr>
        <w:t>.</w:t>
      </w:r>
    </w:p>
    <w:p w14:paraId="139D6A1A"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xml:space="preserve"> ו</w:t>
      </w:r>
      <w:r w:rsidRPr="00AF1DC8">
        <w:rPr>
          <w:rFonts w:ascii="Narkisim" w:hAnsi="Narkisim"/>
          <w:b/>
          <w:bCs/>
          <w:rtl/>
        </w:rPr>
        <w:t>ר"ח</w:t>
      </w:r>
      <w:r w:rsidRPr="00AF1DC8">
        <w:rPr>
          <w:rFonts w:ascii="Narkisim" w:hAnsi="Narkisim"/>
          <w:rtl/>
        </w:rPr>
        <w:t xml:space="preserve"> וה</w:t>
      </w:r>
      <w:r w:rsidRPr="00AF1DC8">
        <w:rPr>
          <w:rFonts w:ascii="Narkisim" w:hAnsi="Narkisim"/>
          <w:b/>
          <w:bCs/>
          <w:rtl/>
        </w:rPr>
        <w:t>רי"ף</w:t>
      </w:r>
      <w:r w:rsidRPr="00AF1DC8">
        <w:rPr>
          <w:rFonts w:ascii="Narkisim" w:hAnsi="Narkisim"/>
          <w:rtl/>
        </w:rPr>
        <w:t xml:space="preserve"> כתבו דצריך לתוקפו, כדי שתעלה טבילה [משמע שיטבול כדין]. וה</w:t>
      </w:r>
      <w:r w:rsidRPr="00AF1DC8">
        <w:rPr>
          <w:rFonts w:ascii="Narkisim" w:hAnsi="Narkisim"/>
          <w:b/>
          <w:bCs/>
          <w:rtl/>
        </w:rPr>
        <w:t>ראשונים</w:t>
      </w:r>
      <w:r w:rsidRPr="00AF1DC8">
        <w:rPr>
          <w:rFonts w:ascii="Narkisim" w:hAnsi="Narkisim"/>
          <w:rtl/>
        </w:rPr>
        <w:t xml:space="preserve"> תמהו דפשיטא דבעי טבילה. וה</w:t>
      </w:r>
      <w:r w:rsidRPr="00AF1DC8">
        <w:rPr>
          <w:rFonts w:ascii="Narkisim" w:hAnsi="Narkisim"/>
          <w:b/>
          <w:bCs/>
          <w:rtl/>
        </w:rPr>
        <w:t>רמב"ן</w:t>
      </w:r>
      <w:r w:rsidRPr="00AF1DC8">
        <w:rPr>
          <w:rFonts w:ascii="Narkisim" w:hAnsi="Narkisim"/>
          <w:rtl/>
        </w:rPr>
        <w:t xml:space="preserve"> פי' בדבריהם דבעי טבילה מתוך תקיפת האדון, וכנ"ל</w:t>
      </w:r>
      <w:r w:rsidRPr="00AF1DC8">
        <w:rPr>
          <w:rFonts w:ascii="Narkisim" w:hAnsi="Narkisim"/>
        </w:rPr>
        <w:t>.</w:t>
      </w:r>
    </w:p>
    <w:p w14:paraId="18FC30A7"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וה</w:t>
      </w:r>
      <w:r w:rsidRPr="00AF1DC8">
        <w:rPr>
          <w:rFonts w:ascii="Narkisim" w:hAnsi="Narkisim"/>
          <w:b/>
          <w:bCs/>
          <w:rtl/>
        </w:rPr>
        <w:t>רמב"ם</w:t>
      </w:r>
      <w:r w:rsidRPr="00AF1DC8">
        <w:rPr>
          <w:rFonts w:ascii="Narkisim" w:hAnsi="Narkisim"/>
          <w:rtl/>
        </w:rPr>
        <w:t xml:space="preserve"> (איסו"ב יג יא) כתב דצריך לתוקפו 'עד שיעלה', וה</w:t>
      </w:r>
      <w:r w:rsidRPr="00AF1DC8">
        <w:rPr>
          <w:rFonts w:ascii="Narkisim" w:hAnsi="Narkisim"/>
          <w:b/>
          <w:bCs/>
          <w:rtl/>
        </w:rPr>
        <w:t>או"ש</w:t>
      </w:r>
      <w:r w:rsidRPr="00AF1DC8">
        <w:rPr>
          <w:rFonts w:ascii="Narkisim" w:hAnsi="Narkisim"/>
          <w:rtl/>
        </w:rPr>
        <w:t xml:space="preserve"> (סו"ה משכב ומושב) דייק כמ"ש ה</w:t>
      </w:r>
      <w:r w:rsidRPr="00AF1DC8">
        <w:rPr>
          <w:rFonts w:ascii="Narkisim" w:hAnsi="Narkisim"/>
          <w:b/>
          <w:bCs/>
          <w:rtl/>
        </w:rPr>
        <w:t>כס"מ</w:t>
      </w:r>
      <w:r w:rsidRPr="00AF1DC8">
        <w:rPr>
          <w:rFonts w:ascii="Narkisim" w:hAnsi="Narkisim"/>
          <w:rtl/>
        </w:rPr>
        <w:t xml:space="preserve"> (אבה"ט ו טז) דהטבילה מטהר רק כשעולה מהמקוה, ולא בעודו בתוך המים. וע"ע דב"א (ג יט)</w:t>
      </w:r>
      <w:r w:rsidRPr="00AF1DC8">
        <w:rPr>
          <w:rFonts w:ascii="Narkisim" w:hAnsi="Narkisim"/>
        </w:rPr>
        <w:t>.</w:t>
      </w:r>
    </w:p>
    <w:p w14:paraId="1DE33BE7" w14:textId="77777777" w:rsidR="006074A5" w:rsidRPr="00AF1DC8" w:rsidRDefault="006074A5" w:rsidP="006074A5">
      <w:pPr>
        <w:pStyle w:val="aa"/>
        <w:bidi/>
        <w:rPr>
          <w:rFonts w:ascii="Narkisim" w:hAnsi="Narkisim"/>
        </w:rPr>
      </w:pPr>
      <w:r w:rsidRPr="00AF1DC8">
        <w:rPr>
          <w:rFonts w:ascii="Narkisim" w:hAnsi="Narkisim"/>
          <w:u w:val="single"/>
          <w:rtl/>
        </w:rPr>
        <w:t>מינייכו קא בעינא ליה.</w:t>
      </w:r>
      <w:r w:rsidRPr="00AF1DC8">
        <w:rPr>
          <w:rFonts w:ascii="Narkisim" w:hAnsi="Narkisim"/>
          <w:rtl/>
        </w:rPr>
        <w:t xml:space="preserve"> ה</w:t>
      </w:r>
      <w:r w:rsidRPr="00AF1DC8">
        <w:rPr>
          <w:rFonts w:ascii="Narkisim" w:hAnsi="Narkisim"/>
          <w:b/>
          <w:bCs/>
          <w:rtl/>
        </w:rPr>
        <w:t>יעב"ץ</w:t>
      </w:r>
      <w:r w:rsidRPr="00AF1DC8">
        <w:rPr>
          <w:rFonts w:ascii="Narkisim" w:hAnsi="Narkisim"/>
          <w:rtl/>
        </w:rPr>
        <w:t xml:space="preserve"> דן מאיזה דין נתחייב, משום גדר שומר שכר</w:t>
      </w:r>
      <w:r w:rsidRPr="00AF1DC8">
        <w:rPr>
          <w:rStyle w:val="ac"/>
          <w:rFonts w:ascii="Narkisim" w:hAnsi="Narkisim"/>
          <w:rtl/>
        </w:rPr>
        <w:footnoteReference w:id="2744"/>
      </w:r>
      <w:r w:rsidRPr="00AF1DC8">
        <w:rPr>
          <w:rFonts w:ascii="Narkisim" w:hAnsi="Narkisim"/>
        </w:rPr>
        <w:t xml:space="preserve">, </w:t>
      </w:r>
      <w:r w:rsidRPr="00AF1DC8">
        <w:rPr>
          <w:rFonts w:ascii="Narkisim" w:hAnsi="Narkisim"/>
          <w:rtl/>
        </w:rPr>
        <w:t>או שומר חנם בפשיעה. או משום דקבלו עליהם</w:t>
      </w:r>
      <w:r w:rsidRPr="00AF1DC8">
        <w:rPr>
          <w:rFonts w:ascii="Narkisim" w:hAnsi="Narkisim"/>
        </w:rPr>
        <w:t>.</w:t>
      </w:r>
    </w:p>
    <w:p w14:paraId="317DE077" w14:textId="77777777" w:rsidR="006074A5" w:rsidRPr="00AF1DC8" w:rsidRDefault="006074A5" w:rsidP="006074A5">
      <w:pPr>
        <w:pStyle w:val="aa"/>
        <w:bidi/>
        <w:rPr>
          <w:rFonts w:ascii="Narkisim" w:hAnsi="Narkisim"/>
        </w:rPr>
      </w:pPr>
      <w:r w:rsidRPr="00AF1DC8">
        <w:rPr>
          <w:rFonts w:ascii="Narkisim" w:hAnsi="Narkisim"/>
          <w:u w:val="single"/>
          <w:rtl/>
        </w:rPr>
        <w:t>ארפו ליה כי היכי דלא להוי חציצה וכו'</w:t>
      </w:r>
      <w:r w:rsidRPr="00AF1DC8">
        <w:rPr>
          <w:rFonts w:ascii="Narkisim" w:hAnsi="Narkisim"/>
          <w:rtl/>
        </w:rPr>
        <w:t>. מבואר דאף מיעוט המקפיד הוה חציצה [עכ"פ לכתחילה], דאף בגירות תקנו חציצה מדרבנן. [וע"ע לקמן מז:]</w:t>
      </w:r>
      <w:r w:rsidRPr="00AF1DC8">
        <w:rPr>
          <w:rFonts w:ascii="Narkisim" w:hAnsi="Narkisim"/>
        </w:rPr>
        <w:t>.</w:t>
      </w:r>
    </w:p>
    <w:p w14:paraId="4518FD03" w14:textId="77777777" w:rsidR="006074A5" w:rsidRPr="00AF1DC8" w:rsidRDefault="006074A5" w:rsidP="006074A5">
      <w:pPr>
        <w:bidi/>
        <w:rPr>
          <w:rFonts w:ascii="Narkisim" w:hAnsi="Narkisim" w:cs="Narkisim"/>
        </w:rPr>
      </w:pPr>
      <w:r w:rsidRPr="00AF1DC8">
        <w:rPr>
          <w:rFonts w:ascii="Narkisim" w:hAnsi="Narkisim" w:cs="Narkisim"/>
          <w:u w:val="single"/>
          <w:rtl/>
        </w:rPr>
        <w:t>יהבי זוזי לאינשי אכרגייהו וכו' כי נפקי</w:t>
      </w:r>
      <w:r w:rsidRPr="00AF1DC8">
        <w:rPr>
          <w:rStyle w:val="ac"/>
          <w:rFonts w:ascii="Narkisim" w:hAnsi="Narkisim" w:cs="Narkisim"/>
          <w:u w:val="single"/>
          <w:rtl/>
        </w:rPr>
        <w:footnoteReference w:id="2745"/>
      </w:r>
      <w:r w:rsidRPr="00AF1DC8">
        <w:rPr>
          <w:rFonts w:ascii="Narkisim" w:hAnsi="Narkisim" w:cs="Narkisim"/>
          <w:u w:val="single"/>
        </w:rPr>
        <w:t xml:space="preserve"> </w:t>
      </w:r>
      <w:r w:rsidRPr="00AF1DC8">
        <w:rPr>
          <w:rFonts w:ascii="Narkisim" w:hAnsi="Narkisim" w:cs="Narkisim"/>
          <w:u w:val="single"/>
          <w:rtl/>
        </w:rPr>
        <w:t>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דהיו עכו"ם, וקנו אותם לעבדים. ולמסקנא קמ"ל דקנה גופם קנין גמור [ע”י דינא דמלכותא], וצריך גט שחרור (ע' בסמוך). ולכאורה איירי שלא טבלו לשם עבדות. וכ"כ תוס' דדינא דמלכותא עדיף, ועי"ז קנה גופו [כדין קונה עכו"ם שלא טבל]</w:t>
      </w:r>
      <w:r w:rsidRPr="00AF1DC8">
        <w:rPr>
          <w:rFonts w:ascii="Narkisim" w:hAnsi="Narkisim" w:cs="Narkisim"/>
        </w:rPr>
        <w:t>.</w:t>
      </w:r>
    </w:p>
    <w:p w14:paraId="6AAF3660"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(בפי' הב') פי' דקנין המלך עדיף דמשוי להו עבדים בלא טבילה, דכיון דמקבלים הם מלכותו ומקבלין הם גזרותיו הרי הם כנמכרים לדעת עצמם. וגוי המוכר עצמו גופו קנוי לישראל</w:t>
      </w:r>
      <w:r w:rsidRPr="00AF1DC8">
        <w:rPr>
          <w:rStyle w:val="ac"/>
          <w:rFonts w:ascii="Narkisim" w:hAnsi="Narkisim"/>
          <w:rtl/>
        </w:rPr>
        <w:footnoteReference w:id="2746"/>
      </w:r>
      <w:r w:rsidRPr="00AF1DC8">
        <w:rPr>
          <w:rFonts w:ascii="Narkisim" w:hAnsi="Narkisim"/>
        </w:rPr>
        <w:t>.</w:t>
      </w:r>
    </w:p>
    <w:p w14:paraId="5EC5FC5B" w14:textId="77777777" w:rsidR="006074A5" w:rsidRPr="00AF1DC8" w:rsidRDefault="006074A5" w:rsidP="006074A5">
      <w:pPr>
        <w:pStyle w:val="a7"/>
        <w:bidi/>
        <w:rPr>
          <w:rFonts w:ascii="Narkisim" w:hAnsi="Narkisim"/>
        </w:rPr>
      </w:pPr>
      <w:r w:rsidRPr="00AF1DC8">
        <w:rPr>
          <w:rFonts w:ascii="Narkisim" w:hAnsi="Narkisim"/>
          <w:rtl/>
        </w:rPr>
        <w:lastRenderedPageBreak/>
        <w:t>וה</w:t>
      </w:r>
      <w:r w:rsidRPr="00AF1DC8">
        <w:rPr>
          <w:rFonts w:ascii="Narkisim" w:hAnsi="Narkisim"/>
          <w:b/>
          <w:bCs/>
          <w:rtl/>
        </w:rPr>
        <w:t>אחרונים</w:t>
      </w:r>
      <w:r w:rsidRPr="00AF1DC8">
        <w:rPr>
          <w:rFonts w:ascii="Narkisim" w:hAnsi="Narkisim"/>
          <w:rtl/>
        </w:rPr>
        <w:t xml:space="preserve"> </w:t>
      </w:r>
      <w:r w:rsidRPr="00AF1DC8">
        <w:rPr>
          <w:rFonts w:ascii="Narkisim" w:hAnsi="Narkisim"/>
          <w:sz w:val="20"/>
          <w:szCs w:val="20"/>
          <w:rtl/>
        </w:rPr>
        <w:t>(חזו"א ט, וע"ע קה"י)</w:t>
      </w:r>
      <w:r w:rsidRPr="00AF1DC8">
        <w:rPr>
          <w:rFonts w:ascii="Narkisim" w:hAnsi="Narkisim"/>
          <w:rtl/>
        </w:rPr>
        <w:t xml:space="preserve"> הקש' דכיון דעכו"ם אינו יכול להיות בעלים על עכו"ם, במה עדיף דינא דמלכותא. וה</w:t>
      </w:r>
      <w:r w:rsidRPr="00AF1DC8">
        <w:rPr>
          <w:rFonts w:ascii="Narkisim" w:hAnsi="Narkisim"/>
          <w:b/>
          <w:bCs/>
          <w:rtl/>
        </w:rPr>
        <w:t>דב"א</w:t>
      </w:r>
      <w:r w:rsidRPr="00AF1DC8">
        <w:rPr>
          <w:rFonts w:ascii="Narkisim" w:hAnsi="Narkisim"/>
          <w:rtl/>
        </w:rPr>
        <w:t xml:space="preserve"> </w:t>
      </w:r>
      <w:r w:rsidRPr="00AF1DC8">
        <w:rPr>
          <w:rFonts w:ascii="Narkisim" w:hAnsi="Narkisim"/>
          <w:sz w:val="20"/>
          <w:szCs w:val="20"/>
          <w:rtl/>
        </w:rPr>
        <w:t xml:space="preserve">(א יא) </w:t>
      </w:r>
      <w:r w:rsidRPr="00AF1DC8">
        <w:rPr>
          <w:rFonts w:ascii="Narkisim" w:hAnsi="Narkisim"/>
          <w:rtl/>
        </w:rPr>
        <w:t>למד דכיבוש עדיף לשאר קנינים דהוה כבוש לגמרי תח"י</w:t>
      </w:r>
      <w:r w:rsidRPr="00AF1DC8">
        <w:rPr>
          <w:rStyle w:val="ac"/>
          <w:rFonts w:ascii="Narkisim" w:hAnsi="Narkisim"/>
          <w:rtl/>
        </w:rPr>
        <w:footnoteReference w:id="2747"/>
      </w:r>
      <w:r w:rsidRPr="00AF1DC8">
        <w:rPr>
          <w:rFonts w:ascii="Narkisim" w:hAnsi="Narkisim"/>
        </w:rPr>
        <w:t xml:space="preserve">. </w:t>
      </w:r>
      <w:r w:rsidRPr="00AF1DC8">
        <w:rPr>
          <w:rFonts w:ascii="Narkisim" w:hAnsi="Narkisim"/>
          <w:sz w:val="20"/>
          <w:szCs w:val="20"/>
          <w:rtl/>
        </w:rPr>
        <w:t>וה</w:t>
      </w:r>
      <w:r w:rsidRPr="00AF1DC8">
        <w:rPr>
          <w:rFonts w:ascii="Narkisim" w:hAnsi="Narkisim"/>
          <w:b/>
          <w:bCs/>
          <w:sz w:val="20"/>
          <w:szCs w:val="20"/>
          <w:rtl/>
        </w:rPr>
        <w:t>ריטב"א</w:t>
      </w:r>
      <w:r w:rsidRPr="00AF1DC8">
        <w:rPr>
          <w:rFonts w:ascii="Narkisim" w:hAnsi="Narkisim"/>
          <w:sz w:val="20"/>
          <w:szCs w:val="20"/>
          <w:rtl/>
        </w:rPr>
        <w:t xml:space="preserve"> ו</w:t>
      </w:r>
      <w:r w:rsidRPr="00AF1DC8">
        <w:rPr>
          <w:rFonts w:ascii="Narkisim" w:hAnsi="Narkisim"/>
          <w:b/>
          <w:bCs/>
          <w:sz w:val="20"/>
          <w:szCs w:val="20"/>
          <w:rtl/>
        </w:rPr>
        <w:t>נמוק"י</w:t>
      </w:r>
      <w:r w:rsidRPr="00AF1DC8">
        <w:rPr>
          <w:rFonts w:ascii="Narkisim" w:hAnsi="Narkisim"/>
          <w:sz w:val="20"/>
          <w:szCs w:val="20"/>
          <w:rtl/>
        </w:rPr>
        <w:t xml:space="preserve"> (בתחילת הסוגיא) כתבו דה"ה אם לקחו מגוי שלקחו במלחמה, דעכו"ם קונה ע"י כיבוש אפי' ישראל [כדאמרי' בגיטין לח.], וה"ה דקונה גופו של עכו"ם. </w:t>
      </w:r>
      <w:r w:rsidRPr="00AF1DC8">
        <w:rPr>
          <w:rFonts w:ascii="Narkisim" w:hAnsi="Narkisim"/>
          <w:rtl/>
        </w:rPr>
        <w:t>אבל ה</w:t>
      </w:r>
      <w:r w:rsidRPr="00AF1DC8">
        <w:rPr>
          <w:rFonts w:ascii="Narkisim" w:hAnsi="Narkisim"/>
          <w:b/>
          <w:bCs/>
          <w:rtl/>
        </w:rPr>
        <w:t>ב"י</w:t>
      </w:r>
      <w:r w:rsidRPr="00AF1DC8">
        <w:rPr>
          <w:rFonts w:ascii="Narkisim" w:hAnsi="Narkisim"/>
          <w:b/>
          <w:bCs/>
          <w:sz w:val="20"/>
          <w:szCs w:val="20"/>
          <w:rtl/>
        </w:rPr>
        <w:t xml:space="preserve"> </w:t>
      </w:r>
      <w:r w:rsidRPr="00AF1DC8">
        <w:rPr>
          <w:rFonts w:ascii="Narkisim" w:hAnsi="Narkisim"/>
          <w:sz w:val="20"/>
          <w:szCs w:val="20"/>
          <w:rtl/>
        </w:rPr>
        <w:t xml:space="preserve">(יו"ד רסז) </w:t>
      </w:r>
      <w:r w:rsidRPr="00AF1DC8">
        <w:rPr>
          <w:rFonts w:ascii="Narkisim" w:hAnsi="Narkisim"/>
          <w:rtl/>
        </w:rPr>
        <w:t xml:space="preserve">למד מדברי </w:t>
      </w:r>
      <w:r w:rsidRPr="00AF1DC8">
        <w:rPr>
          <w:rFonts w:ascii="Narkisim" w:hAnsi="Narkisim"/>
          <w:b/>
          <w:bCs/>
          <w:rtl/>
        </w:rPr>
        <w:t>שו"ת הרשב"א</w:t>
      </w:r>
      <w:r w:rsidRPr="00AF1DC8">
        <w:rPr>
          <w:rFonts w:ascii="Narkisim" w:hAnsi="Narkisim"/>
          <w:rtl/>
        </w:rPr>
        <w:t xml:space="preserve"> (א צט) דאף ע"י כיבוש מלחמה אין לעכו"ם קנין הגוף</w:t>
      </w:r>
      <w:r w:rsidRPr="00AF1DC8">
        <w:rPr>
          <w:rStyle w:val="ac"/>
          <w:rFonts w:ascii="Narkisim" w:hAnsi="Narkisim"/>
          <w:rtl/>
        </w:rPr>
        <w:footnoteReference w:id="2748"/>
      </w:r>
      <w:r w:rsidRPr="00AF1DC8">
        <w:rPr>
          <w:rFonts w:ascii="Narkisim" w:hAnsi="Narkisim"/>
        </w:rPr>
        <w:t>.</w:t>
      </w:r>
    </w:p>
    <w:p w14:paraId="6C6F1615"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רמב"ן</w:t>
      </w:r>
      <w:r w:rsidRPr="00AF1DC8">
        <w:rPr>
          <w:rFonts w:ascii="Narkisim" w:hAnsi="Narkisim" w:cs="Narkisim"/>
          <w:rtl/>
        </w:rPr>
        <w:t xml:space="preserve"> (בפי' הא') כת' דאיירי שהלוקח הטבילום בע"כ, והוה ספק האם קנו גופם לענין לכופם להתגייר. וכת' דלפ"ז הו"ל לשאול תוך הזמן האם חייבים במצוות, או דהוה עכו"ם בעלמא</w:t>
      </w:r>
      <w:r w:rsidRPr="00AF1DC8">
        <w:rPr>
          <w:rFonts w:ascii="Narkisim" w:hAnsi="Narkisim" w:cs="Narkisim"/>
        </w:rPr>
        <w:t>.</w:t>
      </w:r>
    </w:p>
    <w:p w14:paraId="7CAF1A76"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הביא בשם ה</w:t>
      </w:r>
      <w:r w:rsidRPr="00AF1DC8">
        <w:rPr>
          <w:rFonts w:ascii="Narkisim" w:hAnsi="Narkisim"/>
          <w:b/>
          <w:bCs/>
          <w:rtl/>
        </w:rPr>
        <w:t>ר"ח</w:t>
      </w:r>
      <w:r w:rsidRPr="00AF1DC8">
        <w:rPr>
          <w:rFonts w:ascii="Narkisim" w:hAnsi="Narkisim"/>
          <w:rtl/>
        </w:rPr>
        <w:t xml:space="preserve"> דאיירי הכא בגר תושב</w:t>
      </w:r>
      <w:r w:rsidRPr="00AF1DC8">
        <w:rPr>
          <w:rStyle w:val="ac"/>
          <w:rFonts w:ascii="Narkisim" w:hAnsi="Narkisim"/>
          <w:rtl/>
        </w:rPr>
        <w:footnoteReference w:id="2749"/>
      </w:r>
      <w:r w:rsidRPr="00AF1DC8">
        <w:rPr>
          <w:rFonts w:ascii="Narkisim" w:hAnsi="Narkisim"/>
        </w:rPr>
        <w:t>.</w:t>
      </w:r>
    </w:p>
    <w:p w14:paraId="6497245D" w14:textId="77777777" w:rsidR="006074A5" w:rsidRPr="00AF1DC8" w:rsidRDefault="006074A5" w:rsidP="006074A5">
      <w:pPr>
        <w:pStyle w:val="aa"/>
        <w:bidi/>
        <w:rPr>
          <w:rFonts w:ascii="Narkisim" w:hAnsi="Narkisim"/>
        </w:rPr>
      </w:pPr>
      <w:r w:rsidRPr="00AF1DC8">
        <w:rPr>
          <w:rFonts w:ascii="Narkisim" w:hAnsi="Narkisim"/>
          <w:u w:val="single"/>
          <w:rtl/>
        </w:rPr>
        <w:t>שם. יהבי זוזי לאינשי לכרגייהו וכו' מוהרקייהו דהני בטפסא דמלכא מנח, ומלכא אמר וכו'</w:t>
      </w:r>
      <w:r w:rsidRPr="00AF1DC8">
        <w:rPr>
          <w:rFonts w:ascii="Narkisim" w:hAnsi="Narkisim"/>
          <w:rtl/>
        </w:rPr>
        <w:t xml:space="preserve">. </w:t>
      </w:r>
      <w:r w:rsidRPr="00AF1DC8">
        <w:rPr>
          <w:rFonts w:ascii="Narkisim" w:hAnsi="Narkisim"/>
          <w:b/>
          <w:bCs/>
          <w:rtl/>
        </w:rPr>
        <w:t>רש"י</w:t>
      </w:r>
      <w:r w:rsidRPr="00AF1DC8">
        <w:rPr>
          <w:rFonts w:ascii="Narkisim" w:hAnsi="Narkisim"/>
          <w:rtl/>
        </w:rPr>
        <w:t xml:space="preserve"> פי' דגבאי המלך תפסום, ומכרום. וה</w:t>
      </w:r>
      <w:r w:rsidRPr="00AF1DC8">
        <w:rPr>
          <w:rFonts w:ascii="Narkisim" w:hAnsi="Narkisim"/>
          <w:b/>
          <w:bCs/>
          <w:rtl/>
        </w:rPr>
        <w:t>רמב"ן</w:t>
      </w:r>
      <w:r w:rsidRPr="00AF1DC8">
        <w:rPr>
          <w:rFonts w:ascii="Narkisim" w:hAnsi="Narkisim"/>
          <w:rtl/>
        </w:rPr>
        <w:t xml:space="preserve"> (ושא"ר) הביא עוד </w:t>
      </w:r>
      <w:r w:rsidRPr="00AF1DC8">
        <w:rPr>
          <w:rFonts w:ascii="Narkisim" w:hAnsi="Narkisim"/>
          <w:b/>
          <w:bCs/>
          <w:rtl/>
        </w:rPr>
        <w:t>י"מ</w:t>
      </w:r>
      <w:r w:rsidRPr="00AF1DC8">
        <w:rPr>
          <w:rFonts w:ascii="Narkisim" w:hAnsi="Narkisim"/>
          <w:rtl/>
        </w:rPr>
        <w:t xml:space="preserve"> דמכרו עצמן. והספק מי אמרי' דהוה כמוכרים גופם או שעבוד בעלמא</w:t>
      </w:r>
      <w:r w:rsidRPr="00AF1DC8">
        <w:rPr>
          <w:rStyle w:val="ac"/>
          <w:rFonts w:ascii="Narkisim" w:hAnsi="Narkisim"/>
          <w:rtl/>
        </w:rPr>
        <w:footnoteReference w:id="2750"/>
      </w:r>
      <w:r w:rsidRPr="00AF1DC8">
        <w:rPr>
          <w:rFonts w:ascii="Narkisim" w:hAnsi="Narkisim"/>
        </w:rPr>
        <w:t>.</w:t>
      </w:r>
    </w:p>
    <w:p w14:paraId="155AFB99" w14:textId="77777777" w:rsidR="006074A5" w:rsidRPr="00AF1DC8" w:rsidRDefault="006074A5" w:rsidP="006074A5">
      <w:pPr>
        <w:bidi/>
        <w:rPr>
          <w:rFonts w:ascii="Narkisim" w:hAnsi="Narkisim" w:cs="Narkisim"/>
        </w:rPr>
      </w:pPr>
      <w:r w:rsidRPr="00AF1DC8">
        <w:rPr>
          <w:rFonts w:ascii="Narkisim" w:hAnsi="Narkisim" w:cs="Narkisim"/>
          <w:u w:val="single"/>
          <w:rtl/>
        </w:rPr>
        <w:t>שם. ומשעבדי בהו וכו'</w:t>
      </w:r>
      <w:r w:rsidRPr="00AF1DC8">
        <w:rPr>
          <w:rFonts w:ascii="Narkisim" w:hAnsi="Narkisim" w:cs="Narkisim"/>
          <w:rtl/>
        </w:rPr>
        <w:t>. וה</w:t>
      </w:r>
      <w:r w:rsidRPr="00AF1DC8">
        <w:rPr>
          <w:rFonts w:ascii="Narkisim" w:hAnsi="Narkisim" w:cs="Narkisim"/>
          <w:b/>
          <w:bCs/>
          <w:rtl/>
        </w:rPr>
        <w:t>ראשונים</w:t>
      </w:r>
      <w:r w:rsidRPr="00AF1DC8">
        <w:rPr>
          <w:rFonts w:ascii="Narkisim" w:hAnsi="Narkisim" w:cs="Narkisim"/>
          <w:rtl/>
        </w:rPr>
        <w:t xml:space="preserve"> הביאו גירסא ומשעבדי בהו 'טפי'. וכן אי' בגמ' (ב"מ עג:), וה</w:t>
      </w:r>
      <w:r w:rsidRPr="00AF1DC8">
        <w:rPr>
          <w:rFonts w:ascii="Narkisim" w:hAnsi="Narkisim" w:cs="Narkisim"/>
          <w:b/>
          <w:bCs/>
          <w:rtl/>
        </w:rPr>
        <w:t>ראשונים</w:t>
      </w:r>
      <w:r w:rsidRPr="00AF1DC8">
        <w:rPr>
          <w:rFonts w:ascii="Narkisim" w:hAnsi="Narkisim" w:cs="Narkisim"/>
          <w:rtl/>
        </w:rPr>
        <w:t xml:space="preserve"> פי' דהתם איירי בישראל, ונתחדש דרשאי לשעבד בו, ואף יותר ממה שפרע עבורו [ואין בזה משום ריבית, כ"כ </w:t>
      </w:r>
      <w:r w:rsidRPr="00AF1DC8">
        <w:rPr>
          <w:rFonts w:ascii="Narkisim" w:hAnsi="Narkisim" w:cs="Narkisim"/>
          <w:b/>
          <w:bCs/>
          <w:rtl/>
        </w:rPr>
        <w:t>תוס</w:t>
      </w:r>
      <w:r w:rsidRPr="00AF1DC8">
        <w:rPr>
          <w:rFonts w:ascii="Narkisim" w:hAnsi="Narkisim" w:cs="Narkisim"/>
          <w:rtl/>
        </w:rPr>
        <w:t>' שם</w:t>
      </w:r>
      <w:r w:rsidRPr="00AF1DC8">
        <w:rPr>
          <w:rStyle w:val="ac"/>
          <w:rFonts w:ascii="Narkisim" w:hAnsi="Narkisim" w:cs="Narkisim"/>
          <w:rtl/>
        </w:rPr>
        <w:footnoteReference w:id="2751"/>
      </w:r>
      <w:r w:rsidRPr="00AF1DC8">
        <w:rPr>
          <w:rFonts w:ascii="Narkisim" w:hAnsi="Narkisim" w:cs="Narkisim"/>
          <w:rtl/>
        </w:rPr>
        <w:t>]. אבל בגמ' דידן איירי בעכו"ם, והנידון אי צריך גט שחרור, ובזה אין חילוק אי הוה 'טפי</w:t>
      </w:r>
      <w:r w:rsidRPr="00AF1DC8">
        <w:rPr>
          <w:rFonts w:ascii="Narkisim" w:hAnsi="Narkisim" w:cs="Narkisim"/>
        </w:rPr>
        <w:t>'.</w:t>
      </w:r>
    </w:p>
    <w:p w14:paraId="5E72E111"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תו”י</w:t>
      </w:r>
      <w:r w:rsidRPr="00AF1DC8">
        <w:rPr>
          <w:rFonts w:ascii="Narkisim" w:hAnsi="Narkisim"/>
          <w:rtl/>
        </w:rPr>
        <w:t xml:space="preserve"> כת' דיש ליישב גיר' זו אף בסוגיין, דכיון דעבד בהו טפי מוכחא מילתא שגופם קנוי להיות עבדים</w:t>
      </w:r>
      <w:r w:rsidRPr="00AF1DC8">
        <w:rPr>
          <w:rStyle w:val="ac"/>
          <w:rFonts w:ascii="Narkisim" w:hAnsi="Narkisim"/>
          <w:rtl/>
        </w:rPr>
        <w:footnoteReference w:id="2752"/>
      </w:r>
      <w:r w:rsidRPr="00AF1DC8">
        <w:rPr>
          <w:rFonts w:ascii="Narkisim" w:hAnsi="Narkisim"/>
        </w:rPr>
        <w:t>.</w:t>
      </w:r>
    </w:p>
    <w:p w14:paraId="783123C3" w14:textId="77777777" w:rsidR="006074A5" w:rsidRPr="00AF1DC8" w:rsidRDefault="006074A5" w:rsidP="006074A5">
      <w:pPr>
        <w:bidi/>
        <w:rPr>
          <w:rFonts w:ascii="Narkisim" w:hAnsi="Narkisim" w:cs="Narkisim"/>
        </w:rPr>
      </w:pPr>
      <w:r w:rsidRPr="00AF1DC8">
        <w:rPr>
          <w:rFonts w:ascii="Narkisim" w:hAnsi="Narkisim" w:cs="Narkisim"/>
          <w:rtl/>
        </w:rPr>
        <w:t>ועוד כת' ה</w:t>
      </w:r>
      <w:r w:rsidRPr="00AF1DC8">
        <w:rPr>
          <w:rFonts w:ascii="Narkisim" w:hAnsi="Narkisim" w:cs="Narkisim"/>
          <w:b/>
          <w:bCs/>
          <w:rtl/>
        </w:rPr>
        <w:t>רשב"א</w:t>
      </w:r>
      <w:r w:rsidRPr="00AF1DC8">
        <w:rPr>
          <w:rFonts w:ascii="Narkisim" w:hAnsi="Narkisim" w:cs="Narkisim"/>
          <w:rtl/>
        </w:rPr>
        <w:t xml:space="preserve"> וה</w:t>
      </w:r>
      <w:r w:rsidRPr="00AF1DC8">
        <w:rPr>
          <w:rFonts w:ascii="Narkisim" w:hAnsi="Narkisim" w:cs="Narkisim"/>
          <w:b/>
          <w:bCs/>
          <w:rtl/>
        </w:rPr>
        <w:t>ריטב"א</w:t>
      </w:r>
      <w:r w:rsidRPr="00AF1DC8">
        <w:rPr>
          <w:rFonts w:ascii="Narkisim" w:hAnsi="Narkisim" w:cs="Narkisim"/>
          <w:rtl/>
        </w:rPr>
        <w:t xml:space="preserve"> ו</w:t>
      </w:r>
      <w:r w:rsidRPr="00AF1DC8">
        <w:rPr>
          <w:rFonts w:ascii="Narkisim" w:hAnsi="Narkisim" w:cs="Narkisim"/>
          <w:b/>
          <w:bCs/>
          <w:rtl/>
        </w:rPr>
        <w:t>נמוק"י</w:t>
      </w:r>
      <w:r w:rsidRPr="00AF1DC8">
        <w:rPr>
          <w:rFonts w:ascii="Narkisim" w:hAnsi="Narkisim" w:cs="Narkisim"/>
          <w:rtl/>
        </w:rPr>
        <w:t xml:space="preserve"> דיל"פ דאף בסוגיין איירי בישראל, והנידון אי קנה גופו דצריך גט שחרור</w:t>
      </w:r>
      <w:r w:rsidRPr="00AF1DC8">
        <w:rPr>
          <w:rStyle w:val="ac"/>
          <w:rFonts w:ascii="Narkisim" w:hAnsi="Narkisim" w:cs="Narkisim"/>
          <w:rtl/>
        </w:rPr>
        <w:footnoteReference w:id="2753"/>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rPr>
        <w:t xml:space="preserve"> </w:t>
      </w:r>
    </w:p>
    <w:p w14:paraId="1035E0D6" w14:textId="77777777" w:rsidR="006074A5" w:rsidRPr="00AF1DC8" w:rsidRDefault="006074A5" w:rsidP="006074A5">
      <w:pPr>
        <w:pStyle w:val="a8"/>
        <w:bidi/>
        <w:rPr>
          <w:rFonts w:ascii="Narkisim" w:hAnsi="Narkisim"/>
        </w:rPr>
      </w:pPr>
      <w:r w:rsidRPr="00AF1DC8">
        <w:rPr>
          <w:rFonts w:ascii="Narkisim" w:hAnsi="Narkisim"/>
          <w:rtl/>
        </w:rPr>
        <w:t>ומבואר דבדינא דמלכותא קנה גוף העבד. וה</w:t>
      </w:r>
      <w:r w:rsidRPr="00AF1DC8">
        <w:rPr>
          <w:rFonts w:ascii="Narkisim" w:hAnsi="Narkisim"/>
          <w:b/>
          <w:bCs/>
          <w:rtl/>
        </w:rPr>
        <w:t xml:space="preserve">דב"א </w:t>
      </w:r>
      <w:r w:rsidRPr="00AF1DC8">
        <w:rPr>
          <w:rFonts w:ascii="Narkisim" w:hAnsi="Narkisim"/>
          <w:rtl/>
        </w:rPr>
        <w:t>(א יא) האריך לדון ע"פ הסוגיא (גיטין לח.) דעכו"ם קנה ישראל בכיבוש מלחמה, ונח' הראשונים [למסקנא דהתם] אי הוה למעש"י או לגופו. [ולפ"ז זהו ספק הגמ' דהכא]. והקשה דלדברי הרשב"א למסקנא קנה, ואילו דעת הרשב"א (שם) דל"ק גופו. וה</w:t>
      </w:r>
      <w:r w:rsidRPr="00AF1DC8">
        <w:rPr>
          <w:rFonts w:ascii="Narkisim" w:hAnsi="Narkisim"/>
          <w:b/>
          <w:bCs/>
          <w:rtl/>
        </w:rPr>
        <w:t xml:space="preserve">אמר"מ </w:t>
      </w:r>
      <w:r w:rsidRPr="00AF1DC8">
        <w:rPr>
          <w:rFonts w:ascii="Narkisim" w:hAnsi="Narkisim"/>
          <w:rtl/>
        </w:rPr>
        <w:t>(כג ו) כתב דכוונת הרשב"א כאן דע"י כיבוש קנה קנין מעשה ידים. [ולא רק שעבוד]</w:t>
      </w:r>
      <w:r w:rsidRPr="00AF1DC8">
        <w:rPr>
          <w:rFonts w:ascii="Narkisim" w:hAnsi="Narkisim"/>
        </w:rPr>
        <w:t>.</w:t>
      </w:r>
    </w:p>
    <w:p w14:paraId="7DFF21EB"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הק' דקי"ל דין עבד עברי אינו נוהג אלא בזמן שהיובל נוהג. והריטב"א חידש דהיינו לענין דיני עבד לצאת בשש, והיתר שפחה. אבל אף בזה"ז אפשר לקנות גופו לענין שעבודו, וצריך גט שחרור, ולא סגי במחילה</w:t>
      </w:r>
      <w:r w:rsidRPr="00AF1DC8">
        <w:rPr>
          <w:rStyle w:val="ac"/>
          <w:rFonts w:ascii="Narkisim" w:hAnsi="Narkisim" w:cs="Narkisim"/>
          <w:rtl/>
        </w:rPr>
        <w:footnoteReference w:id="2754"/>
      </w:r>
      <w:r w:rsidRPr="00AF1DC8">
        <w:rPr>
          <w:rFonts w:ascii="Narkisim" w:hAnsi="Narkisim" w:cs="Narkisim"/>
        </w:rPr>
        <w:t xml:space="preserve">. </w:t>
      </w:r>
      <w:r w:rsidRPr="00AF1DC8">
        <w:rPr>
          <w:rFonts w:ascii="Narkisim" w:hAnsi="Narkisim" w:cs="Narkisim"/>
          <w:rtl/>
        </w:rPr>
        <w:t>וכ"כ ה</w:t>
      </w:r>
      <w:r w:rsidRPr="00AF1DC8">
        <w:rPr>
          <w:rFonts w:ascii="Narkisim" w:hAnsi="Narkisim" w:cs="Narkisim"/>
          <w:b/>
          <w:bCs/>
          <w:rtl/>
        </w:rPr>
        <w:t>ריטב"א</w:t>
      </w:r>
      <w:r w:rsidRPr="00AF1DC8">
        <w:rPr>
          <w:rFonts w:ascii="Narkisim" w:hAnsi="Narkisim" w:cs="Narkisim"/>
          <w:rtl/>
        </w:rPr>
        <w:t xml:space="preserve"> (קידושין כח. וסט., וב"מ עג:</w:t>
      </w:r>
      <w:r w:rsidRPr="00AF1DC8">
        <w:rPr>
          <w:rStyle w:val="ac"/>
          <w:rFonts w:ascii="Narkisim" w:hAnsi="Narkisim" w:cs="Narkisim"/>
          <w:rtl/>
        </w:rPr>
        <w:footnoteReference w:id="2755"/>
      </w:r>
      <w:r w:rsidRPr="00AF1DC8">
        <w:rPr>
          <w:rFonts w:ascii="Narkisim" w:hAnsi="Narkisim" w:cs="Narkisim"/>
          <w:rtl/>
        </w:rPr>
        <w:t>) דאף בזה"ז שייך קנין בישראל, והביא המקור מסוגיין</w:t>
      </w:r>
      <w:r w:rsidRPr="00AF1DC8">
        <w:rPr>
          <w:rStyle w:val="ac"/>
          <w:rFonts w:ascii="Narkisim" w:hAnsi="Narkisim" w:cs="Narkisim"/>
          <w:rtl/>
        </w:rPr>
        <w:footnoteReference w:id="2756"/>
      </w:r>
      <w:r w:rsidRPr="00AF1DC8">
        <w:rPr>
          <w:rFonts w:ascii="Narkisim" w:hAnsi="Narkisim" w:cs="Narkisim"/>
        </w:rPr>
        <w:t>.</w:t>
      </w:r>
    </w:p>
    <w:p w14:paraId="3FC52CB5" w14:textId="77777777" w:rsidR="006074A5" w:rsidRPr="00AF1DC8" w:rsidRDefault="006074A5" w:rsidP="006074A5">
      <w:pPr>
        <w:pStyle w:val="a8"/>
        <w:bidi/>
        <w:rPr>
          <w:rFonts w:ascii="Narkisim" w:hAnsi="Narkisim"/>
        </w:rPr>
      </w:pPr>
      <w:r w:rsidRPr="00AF1DC8">
        <w:rPr>
          <w:rFonts w:ascii="Narkisim" w:hAnsi="Narkisim"/>
          <w:rtl/>
        </w:rPr>
        <w:t>ומבואר בריטב"א דאין מקום לחלק דמשום דינא דמלכותא קנה טפי מבעלמא</w:t>
      </w:r>
      <w:r w:rsidRPr="00AF1DC8">
        <w:rPr>
          <w:rFonts w:ascii="Narkisim" w:hAnsi="Narkisim"/>
        </w:rPr>
        <w:t>.</w:t>
      </w:r>
    </w:p>
    <w:p w14:paraId="0A50EAC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(ז) תמה דבכמה מקומות מבואר דאין עבד עברי נוהג בזה"ז</w:t>
      </w:r>
      <w:r w:rsidRPr="00AF1DC8">
        <w:rPr>
          <w:rStyle w:val="ac"/>
          <w:rFonts w:ascii="Narkisim" w:hAnsi="Narkisim"/>
          <w:rtl/>
        </w:rPr>
        <w:footnoteReference w:id="2757"/>
      </w:r>
      <w:r w:rsidRPr="00AF1DC8">
        <w:rPr>
          <w:rFonts w:ascii="Narkisim" w:hAnsi="Narkisim"/>
        </w:rPr>
        <w:t xml:space="preserve">, </w:t>
      </w:r>
      <w:r w:rsidRPr="00AF1DC8">
        <w:rPr>
          <w:rFonts w:ascii="Narkisim" w:hAnsi="Narkisim"/>
          <w:rtl/>
        </w:rPr>
        <w:t xml:space="preserve">ומש"ה פועל יכול לחזור בו אפי' בחצי היום. וכן דעת שאר </w:t>
      </w:r>
      <w:r w:rsidRPr="00AF1DC8">
        <w:rPr>
          <w:rFonts w:ascii="Narkisim" w:hAnsi="Narkisim"/>
          <w:b/>
          <w:bCs/>
          <w:rtl/>
        </w:rPr>
        <w:t>ראשונים</w:t>
      </w:r>
      <w:r w:rsidRPr="00AF1DC8">
        <w:rPr>
          <w:rFonts w:ascii="Narkisim" w:hAnsi="Narkisim"/>
          <w:rtl/>
        </w:rPr>
        <w:t xml:space="preserve"> דא"א לקנות ישראל כלל בזה”ז</w:t>
      </w:r>
      <w:r w:rsidRPr="00AF1DC8">
        <w:rPr>
          <w:rStyle w:val="ac"/>
          <w:rFonts w:ascii="Narkisim" w:hAnsi="Narkisim"/>
          <w:rtl/>
        </w:rPr>
        <w:footnoteReference w:id="2758"/>
      </w:r>
      <w:r w:rsidRPr="00AF1DC8">
        <w:rPr>
          <w:rFonts w:ascii="Narkisim" w:hAnsi="Narkisim"/>
        </w:rPr>
        <w:t>.</w:t>
      </w:r>
    </w:p>
    <w:p w14:paraId="5D4CAC83" w14:textId="77777777" w:rsidR="006074A5" w:rsidRPr="00AF1DC8" w:rsidRDefault="006074A5" w:rsidP="006074A5">
      <w:pPr>
        <w:pStyle w:val="a7"/>
        <w:bidi/>
        <w:rPr>
          <w:rFonts w:ascii="Narkisim" w:hAnsi="Narkisim"/>
        </w:rPr>
      </w:pPr>
      <w:r w:rsidRPr="00AF1DC8">
        <w:rPr>
          <w:rFonts w:ascii="Narkisim" w:hAnsi="Narkisim"/>
          <w:rtl/>
        </w:rPr>
        <w:lastRenderedPageBreak/>
        <w:t>וה</w:t>
      </w:r>
      <w:r w:rsidRPr="00AF1DC8">
        <w:rPr>
          <w:rFonts w:ascii="Narkisim" w:hAnsi="Narkisim"/>
          <w:b/>
          <w:bCs/>
          <w:rtl/>
        </w:rPr>
        <w:t>רמ"ה</w:t>
      </w:r>
      <w:r w:rsidRPr="00AF1DC8">
        <w:rPr>
          <w:rFonts w:ascii="Narkisim" w:hAnsi="Narkisim"/>
          <w:rtl/>
        </w:rPr>
        <w:t xml:space="preserve"> </w:t>
      </w:r>
      <w:r w:rsidRPr="00AF1DC8">
        <w:rPr>
          <w:rFonts w:ascii="Narkisim" w:hAnsi="Narkisim"/>
          <w:sz w:val="20"/>
          <w:szCs w:val="20"/>
          <w:rtl/>
        </w:rPr>
        <w:t>(הו' בשלט"ג כאן ג)</w:t>
      </w:r>
      <w:r w:rsidRPr="00AF1DC8">
        <w:rPr>
          <w:rFonts w:ascii="Narkisim" w:hAnsi="Narkisim"/>
          <w:rtl/>
        </w:rPr>
        <w:t xml:space="preserve"> כתב דהקונה ישראל מיד עכו"ם שבאי, קנה מעש"י בדינא דמלכותא [וכדאי' גיטין לז:]. והוה כפועל בעלמא דיכול לחזור בחצי היום [ויחזיר דמיו], דאין עבד עברי נוהג אלא בזמן שהיובל נוהג</w:t>
      </w:r>
      <w:r w:rsidRPr="00AF1DC8">
        <w:rPr>
          <w:rStyle w:val="ac"/>
          <w:rFonts w:ascii="Narkisim" w:hAnsi="Narkisim"/>
          <w:rtl/>
        </w:rPr>
        <w:footnoteReference w:id="2759"/>
      </w:r>
      <w:r w:rsidRPr="00AF1DC8">
        <w:rPr>
          <w:rFonts w:ascii="Narkisim" w:hAnsi="Narkisim"/>
        </w:rPr>
        <w:t>.</w:t>
      </w:r>
    </w:p>
    <w:p w14:paraId="618308F6" w14:textId="77777777" w:rsidR="006074A5" w:rsidRPr="00AF1DC8" w:rsidRDefault="006074A5" w:rsidP="006074A5">
      <w:pPr>
        <w:bidi/>
        <w:rPr>
          <w:rFonts w:ascii="Narkisim" w:hAnsi="Narkisim" w:cs="Narkisim"/>
        </w:rPr>
      </w:pPr>
      <w:r w:rsidRPr="00AF1DC8">
        <w:rPr>
          <w:rFonts w:ascii="Narkisim" w:hAnsi="Narkisim" w:cs="Narkisim"/>
          <w:u w:val="single"/>
          <w:rtl/>
        </w:rPr>
        <w:t>תוד"ה כי.</w:t>
      </w:r>
      <w:r w:rsidRPr="00AF1DC8">
        <w:rPr>
          <w:rFonts w:ascii="Narkisim" w:hAnsi="Narkisim" w:cs="Narkisim"/>
          <w:rtl/>
        </w:rPr>
        <w:t xml:space="preserve"> ובנכריותן מיירי אם באין להתגייר. דקנין הבעלים מונע את הגירות [וכדאי' בתחילת הסוגיא]. וה</w:t>
      </w:r>
      <w:r w:rsidRPr="00AF1DC8">
        <w:rPr>
          <w:rFonts w:ascii="Narkisim" w:hAnsi="Narkisim" w:cs="Narkisim"/>
          <w:b/>
          <w:bCs/>
          <w:rtl/>
        </w:rPr>
        <w:t>חזו"א</w:t>
      </w:r>
      <w:r w:rsidRPr="00AF1DC8">
        <w:rPr>
          <w:rFonts w:ascii="Narkisim" w:hAnsi="Narkisim" w:cs="Narkisim"/>
          <w:rtl/>
        </w:rPr>
        <w:t xml:space="preserve"> נסתפק האם יהני נתינת רשות רבם להתגייר</w:t>
      </w:r>
      <w:r w:rsidRPr="00AF1DC8">
        <w:rPr>
          <w:rStyle w:val="ac"/>
          <w:rFonts w:ascii="Narkisim" w:hAnsi="Narkisim" w:cs="Narkisim"/>
          <w:rtl/>
        </w:rPr>
        <w:footnoteReference w:id="2760"/>
      </w:r>
      <w:r w:rsidRPr="00AF1DC8">
        <w:rPr>
          <w:rFonts w:ascii="Narkisim" w:hAnsi="Narkisim" w:cs="Narkisim"/>
        </w:rPr>
        <w:t xml:space="preserve">, </w:t>
      </w:r>
      <w:r w:rsidRPr="00AF1DC8">
        <w:rPr>
          <w:rFonts w:ascii="Narkisim" w:hAnsi="Narkisim" w:cs="Narkisim"/>
          <w:rtl/>
        </w:rPr>
        <w:t>או דבעי שחרור דוקא</w:t>
      </w:r>
      <w:r w:rsidRPr="00AF1DC8">
        <w:rPr>
          <w:rFonts w:ascii="Narkisim" w:hAnsi="Narkisim" w:cs="Narkisim"/>
        </w:rPr>
        <w:t>.</w:t>
      </w:r>
    </w:p>
    <w:p w14:paraId="7AFBAA5E"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ריטב"א </w:t>
      </w:r>
      <w:r w:rsidRPr="00AF1DC8">
        <w:rPr>
          <w:rFonts w:ascii="Narkisim" w:hAnsi="Narkisim"/>
          <w:rtl/>
        </w:rPr>
        <w:t>(והנמוק"י) כת' דלפ"ז עבדים ישמעאלים שלנו אינם יכולים להתגייר אלא לדעת רבם</w:t>
      </w:r>
      <w:r w:rsidRPr="00AF1DC8">
        <w:rPr>
          <w:rStyle w:val="ac"/>
          <w:rFonts w:ascii="Narkisim" w:hAnsi="Narkisim"/>
          <w:rtl/>
        </w:rPr>
        <w:footnoteReference w:id="2761"/>
      </w:r>
      <w:r w:rsidRPr="00AF1DC8">
        <w:rPr>
          <w:rFonts w:ascii="Narkisim" w:hAnsi="Narkisim"/>
        </w:rPr>
        <w:t xml:space="preserve">. </w:t>
      </w:r>
      <w:r w:rsidRPr="00AF1DC8">
        <w:rPr>
          <w:rFonts w:ascii="Narkisim" w:hAnsi="Narkisim"/>
          <w:rtl/>
        </w:rPr>
        <w:t>[ויל"ד אי איירי דקנו מיד העכו"ם עצמו. או דקנו בדינא דמלכותא</w:t>
      </w:r>
      <w:r w:rsidRPr="00AF1DC8">
        <w:rPr>
          <w:rStyle w:val="ac"/>
          <w:rFonts w:ascii="Narkisim" w:hAnsi="Narkisim"/>
          <w:rtl/>
        </w:rPr>
        <w:footnoteReference w:id="2762"/>
      </w:r>
      <w:r w:rsidRPr="00AF1DC8">
        <w:rPr>
          <w:rFonts w:ascii="Narkisim" w:hAnsi="Narkisim"/>
          <w:rtl/>
        </w:rPr>
        <w:t>]</w:t>
      </w:r>
      <w:r w:rsidRPr="00AF1DC8">
        <w:rPr>
          <w:rFonts w:ascii="Narkisim" w:hAnsi="Narkisim"/>
        </w:rPr>
        <w:t>.</w:t>
      </w:r>
    </w:p>
    <w:p w14:paraId="23C3D2A9" w14:textId="77777777" w:rsidR="006074A5" w:rsidRPr="00AF1DC8" w:rsidRDefault="006074A5" w:rsidP="006074A5">
      <w:pPr>
        <w:bidi/>
        <w:rPr>
          <w:rFonts w:ascii="Narkisim" w:hAnsi="Narkisim" w:cs="Narkisim"/>
        </w:rPr>
      </w:pPr>
      <w:r w:rsidRPr="00AF1DC8">
        <w:rPr>
          <w:rFonts w:ascii="Narkisim" w:hAnsi="Narkisim" w:cs="Narkisim"/>
          <w:u w:val="single"/>
          <w:rtl/>
        </w:rPr>
        <w:t>שם. אם באין להתגייר</w:t>
      </w:r>
      <w:r w:rsidRPr="00AF1DC8">
        <w:rPr>
          <w:rFonts w:ascii="Narkisim" w:hAnsi="Narkisim" w:cs="Narkisim"/>
          <w:rtl/>
        </w:rPr>
        <w:t xml:space="preserve">. וכ"כ </w:t>
      </w:r>
      <w:r w:rsidRPr="00AF1DC8">
        <w:rPr>
          <w:rFonts w:ascii="Narkisim" w:hAnsi="Narkisim" w:cs="Narkisim"/>
          <w:b/>
          <w:bCs/>
          <w:rtl/>
        </w:rPr>
        <w:t>רש"י</w:t>
      </w:r>
      <w:r w:rsidRPr="00AF1DC8">
        <w:rPr>
          <w:rFonts w:ascii="Narkisim" w:hAnsi="Narkisim" w:cs="Narkisim"/>
          <w:rtl/>
        </w:rPr>
        <w:t xml:space="preserve"> ובעו גיטא דחירותא אי בעו לאיגיורי ולאשתרויי בבת ישראל</w:t>
      </w:r>
      <w:r w:rsidRPr="00AF1DC8">
        <w:rPr>
          <w:rStyle w:val="ac"/>
          <w:rFonts w:ascii="Narkisim" w:hAnsi="Narkisim" w:cs="Narkisim"/>
          <w:rtl/>
        </w:rPr>
        <w:footnoteReference w:id="2763"/>
      </w:r>
      <w:r w:rsidRPr="00AF1DC8">
        <w:rPr>
          <w:rFonts w:ascii="Narkisim" w:hAnsi="Narkisim" w:cs="Narkisim"/>
        </w:rPr>
        <w:t xml:space="preserve">. </w:t>
      </w:r>
      <w:r w:rsidRPr="00AF1DC8">
        <w:rPr>
          <w:rFonts w:ascii="Narkisim" w:hAnsi="Narkisim" w:cs="Narkisim"/>
          <w:rtl/>
        </w:rPr>
        <w:t xml:space="preserve">ובשו”ת </w:t>
      </w:r>
      <w:r w:rsidRPr="00AF1DC8">
        <w:rPr>
          <w:rFonts w:ascii="Narkisim" w:hAnsi="Narkisim" w:cs="Narkisim"/>
          <w:b/>
          <w:bCs/>
          <w:rtl/>
        </w:rPr>
        <w:t>פני משה</w:t>
      </w:r>
      <w:r w:rsidRPr="00AF1DC8">
        <w:rPr>
          <w:rFonts w:ascii="Narkisim" w:hAnsi="Narkisim" w:cs="Narkisim"/>
          <w:rtl/>
        </w:rPr>
        <w:t xml:space="preserve"> (הו' במחנ"א עבדים ב) דייק דאיירי שנתגייר, ואח"כ צריך גט שחרור</w:t>
      </w:r>
      <w:r w:rsidRPr="00AF1DC8">
        <w:rPr>
          <w:rStyle w:val="ac"/>
          <w:rFonts w:ascii="Narkisim" w:hAnsi="Narkisim" w:cs="Narkisim"/>
          <w:rtl/>
        </w:rPr>
        <w:footnoteReference w:id="2764"/>
      </w:r>
      <w:r w:rsidRPr="00AF1DC8">
        <w:rPr>
          <w:rFonts w:ascii="Narkisim" w:hAnsi="Narkisim" w:cs="Narkisim"/>
        </w:rPr>
        <w:t xml:space="preserve">. </w:t>
      </w:r>
      <w:r w:rsidRPr="00AF1DC8">
        <w:rPr>
          <w:rFonts w:ascii="Narkisim" w:hAnsi="Narkisim" w:cs="Narkisim"/>
          <w:szCs w:val="20"/>
          <w:rtl/>
        </w:rPr>
        <w:t>וביאר דכוונת התוס' דלא יתכן שטר שחרור בעודו עכו”ם [וכקושיית הרמב”ן, ע' לעיל], ולכן פי' התוס' דאחרי שיתגייר בעי שטר שחרור.</w:t>
      </w:r>
      <w:r w:rsidRPr="00AF1DC8">
        <w:rPr>
          <w:rFonts w:ascii="Narkisim" w:hAnsi="Narkisim" w:cs="Narkisim"/>
          <w:rtl/>
        </w:rPr>
        <w:t xml:space="preserve"> וה</w:t>
      </w:r>
      <w:r w:rsidRPr="00AF1DC8">
        <w:rPr>
          <w:rFonts w:ascii="Narkisim" w:hAnsi="Narkisim" w:cs="Narkisim"/>
          <w:b/>
          <w:bCs/>
          <w:rtl/>
        </w:rPr>
        <w:t>אמר"מ</w:t>
      </w:r>
      <w:r w:rsidRPr="00AF1DC8">
        <w:rPr>
          <w:rFonts w:ascii="Narkisim" w:hAnsi="Narkisim" w:cs="Narkisim"/>
          <w:rtl/>
        </w:rPr>
        <w:t xml:space="preserve"> (כב ג) תמה דכיון דנתגייר כדין [והדין ממון אינו מונע את הגירות], איך יתכן דיהני גירות ואח"כ שחרור</w:t>
      </w:r>
      <w:r w:rsidRPr="00AF1DC8">
        <w:rPr>
          <w:rStyle w:val="ac"/>
          <w:rFonts w:ascii="Narkisim" w:hAnsi="Narkisim" w:cs="Narkisim"/>
          <w:rtl/>
        </w:rPr>
        <w:footnoteReference w:id="2765"/>
      </w:r>
      <w:r w:rsidRPr="00AF1DC8">
        <w:rPr>
          <w:rFonts w:ascii="Narkisim" w:hAnsi="Narkisim" w:cs="Narkisim"/>
        </w:rPr>
        <w:t>.</w:t>
      </w:r>
    </w:p>
    <w:p w14:paraId="2A755046" w14:textId="77777777" w:rsidR="006074A5" w:rsidRPr="00AF1DC8" w:rsidRDefault="006074A5" w:rsidP="006074A5">
      <w:pPr>
        <w:bidi/>
        <w:rPr>
          <w:rFonts w:ascii="Narkisim" w:hAnsi="Narkisim" w:cs="Narkisim"/>
        </w:rPr>
      </w:pPr>
      <w:r w:rsidRPr="00AF1DC8">
        <w:rPr>
          <w:rFonts w:ascii="Narkisim" w:hAnsi="Narkisim" w:cs="Narkisim"/>
          <w:u w:val="single"/>
          <w:rtl/>
        </w:rPr>
        <w:t>ת"ר גר שמל ולא טבל ר"א אומר וכו'</w:t>
      </w:r>
      <w:r w:rsidRPr="00AF1DC8">
        <w:rPr>
          <w:rFonts w:ascii="Narkisim" w:hAnsi="Narkisim" w:cs="Narkisim"/>
          <w:rtl/>
        </w:rPr>
        <w:t>. ומבואר ב</w:t>
      </w:r>
      <w:r w:rsidRPr="00AF1DC8">
        <w:rPr>
          <w:rFonts w:ascii="Narkisim" w:hAnsi="Narkisim" w:cs="Narkisim"/>
          <w:b/>
          <w:bCs/>
          <w:rtl/>
        </w:rPr>
        <w:t>רמב"ן</w:t>
      </w:r>
      <w:r w:rsidRPr="00AF1DC8">
        <w:rPr>
          <w:rFonts w:ascii="Narkisim" w:hAnsi="Narkisim" w:cs="Narkisim"/>
          <w:rtl/>
        </w:rPr>
        <w:t xml:space="preserve"> ו</w:t>
      </w:r>
      <w:r w:rsidRPr="00AF1DC8">
        <w:rPr>
          <w:rFonts w:ascii="Narkisim" w:hAnsi="Narkisim" w:cs="Narkisim"/>
          <w:b/>
          <w:bCs/>
          <w:rtl/>
        </w:rPr>
        <w:t>רשב"א</w:t>
      </w:r>
      <w:r w:rsidRPr="00AF1DC8">
        <w:rPr>
          <w:rFonts w:ascii="Narkisim" w:hAnsi="Narkisim" w:cs="Narkisim"/>
          <w:rtl/>
        </w:rPr>
        <w:t xml:space="preserve"> (בע"ב) דלכו"ע לכתחילה בעי' תרוייהו, והמח' האם מעכב בדיעבד</w:t>
      </w:r>
      <w:r w:rsidRPr="00AF1DC8">
        <w:rPr>
          <w:rFonts w:ascii="Narkisim" w:hAnsi="Narkisim" w:cs="Narkisim"/>
        </w:rPr>
        <w:t>.</w:t>
      </w:r>
    </w:p>
    <w:p w14:paraId="71954DB7" w14:textId="77777777" w:rsidR="006074A5" w:rsidRPr="00AF1DC8" w:rsidRDefault="006074A5" w:rsidP="006074A5">
      <w:pPr>
        <w:bidi/>
        <w:rPr>
          <w:rFonts w:ascii="Narkisim" w:hAnsi="Narkisim" w:cs="Narkisim"/>
        </w:rPr>
      </w:pPr>
      <w:r w:rsidRPr="00AF1DC8">
        <w:rPr>
          <w:rFonts w:ascii="Narkisim" w:hAnsi="Narkisim" w:cs="Narkisim"/>
          <w:u w:val="single"/>
          <w:rtl/>
        </w:rPr>
        <w:t>וחכמים אומרים וכו' אין גר עד שימול ויטבול.</w:t>
      </w:r>
      <w:r w:rsidRPr="00AF1DC8">
        <w:rPr>
          <w:rFonts w:ascii="Narkisim" w:hAnsi="Narkisim" w:cs="Narkisim"/>
          <w:rtl/>
        </w:rPr>
        <w:t xml:space="preserve"> בפשוטו אינו גר כלל עד לאחר מילה וטבילה. דהוה כב' דברים המתירים, דתרוייהו יחד פועלים את הגירות, וכ"כ ה</w:t>
      </w:r>
      <w:r w:rsidRPr="00AF1DC8">
        <w:rPr>
          <w:rFonts w:ascii="Narkisim" w:hAnsi="Narkisim" w:cs="Narkisim"/>
          <w:b/>
          <w:bCs/>
          <w:rtl/>
        </w:rPr>
        <w:t>או"ש</w:t>
      </w:r>
      <w:r w:rsidRPr="00AF1DC8">
        <w:rPr>
          <w:rFonts w:ascii="Narkisim" w:hAnsi="Narkisim" w:cs="Narkisim"/>
          <w:rtl/>
        </w:rPr>
        <w:t xml:space="preserve"> (איסו”ב יג). </w:t>
      </w:r>
      <w:r w:rsidRPr="00AF1DC8">
        <w:rPr>
          <w:rFonts w:ascii="Narkisim" w:hAnsi="Narkisim" w:cs="Narkisim"/>
          <w:sz w:val="20"/>
          <w:szCs w:val="20"/>
          <w:rtl/>
        </w:rPr>
        <w:t>[וע' לקמן מז: האם מהני טבילה קודם למילה]</w:t>
      </w:r>
      <w:r w:rsidRPr="00AF1DC8">
        <w:rPr>
          <w:rFonts w:ascii="Narkisim" w:hAnsi="Narkisim" w:cs="Narkisim"/>
          <w:sz w:val="20"/>
          <w:szCs w:val="20"/>
        </w:rPr>
        <w:t>.</w:t>
      </w:r>
    </w:p>
    <w:p w14:paraId="07D35FD8" w14:textId="77777777" w:rsidR="006074A5" w:rsidRPr="00AF1DC8" w:rsidRDefault="006074A5" w:rsidP="006074A5">
      <w:pPr>
        <w:bidi/>
        <w:rPr>
          <w:rFonts w:ascii="Narkisim" w:hAnsi="Narkisim" w:cs="Narkisim"/>
        </w:rPr>
      </w:pPr>
      <w:r w:rsidRPr="00AF1DC8">
        <w:rPr>
          <w:rFonts w:ascii="Narkisim" w:hAnsi="Narkisim" w:cs="Narkisim"/>
          <w:rtl/>
        </w:rPr>
        <w:t>ובפשוטו קודם שטבל הוה עכו"ם גמור</w:t>
      </w:r>
      <w:r w:rsidRPr="00AF1DC8">
        <w:rPr>
          <w:rStyle w:val="ac"/>
          <w:rFonts w:ascii="Narkisim" w:hAnsi="Narkisim" w:cs="Narkisim"/>
          <w:rtl/>
        </w:rPr>
        <w:footnoteReference w:id="2766"/>
      </w:r>
      <w:r w:rsidRPr="00AF1DC8">
        <w:rPr>
          <w:rFonts w:ascii="Narkisim" w:hAnsi="Narkisim" w:cs="Narkisim"/>
        </w:rPr>
        <w:t xml:space="preserve">. </w:t>
      </w:r>
      <w:r w:rsidRPr="00AF1DC8">
        <w:rPr>
          <w:rFonts w:ascii="Narkisim" w:hAnsi="Narkisim" w:cs="Narkisim"/>
          <w:rtl/>
        </w:rPr>
        <w:t xml:space="preserve">וכן מבואר בתוס' (בע"ב). אבל כמה </w:t>
      </w:r>
      <w:r w:rsidRPr="00AF1DC8">
        <w:rPr>
          <w:rFonts w:ascii="Narkisim" w:hAnsi="Narkisim" w:cs="Narkisim"/>
          <w:b/>
          <w:bCs/>
          <w:rtl/>
        </w:rPr>
        <w:t>אחרונים</w:t>
      </w:r>
      <w:r w:rsidRPr="00AF1DC8">
        <w:rPr>
          <w:rFonts w:ascii="Narkisim" w:hAnsi="Narkisim" w:cs="Narkisim"/>
          <w:rtl/>
        </w:rPr>
        <w:t xml:space="preserve"> חידשו דחל בו דין גירות במקצת</w:t>
      </w:r>
      <w:r w:rsidRPr="00AF1DC8">
        <w:rPr>
          <w:rStyle w:val="ac"/>
          <w:rFonts w:ascii="Narkisim" w:hAnsi="Narkisim" w:cs="Narkisim"/>
          <w:rtl/>
        </w:rPr>
        <w:footnoteReference w:id="2767"/>
      </w:r>
      <w:r w:rsidRPr="00AF1DC8">
        <w:rPr>
          <w:rFonts w:ascii="Narkisim" w:hAnsi="Narkisim" w:cs="Narkisim"/>
        </w:rPr>
        <w:t>.</w:t>
      </w:r>
    </w:p>
    <w:p w14:paraId="53108668" w14:textId="77777777" w:rsidR="006074A5" w:rsidRPr="00AF1DC8" w:rsidRDefault="006074A5" w:rsidP="006074A5">
      <w:pPr>
        <w:pStyle w:val="a7"/>
        <w:bidi/>
        <w:rPr>
          <w:rFonts w:ascii="Narkisim" w:hAnsi="Narkisim"/>
        </w:rPr>
      </w:pPr>
      <w:r w:rsidRPr="00AF1DC8">
        <w:rPr>
          <w:rFonts w:ascii="Narkisim" w:hAnsi="Narkisim"/>
          <w:rtl/>
        </w:rPr>
        <w:t>והביאו מדברי ה</w:t>
      </w:r>
      <w:r w:rsidRPr="00AF1DC8">
        <w:rPr>
          <w:rFonts w:ascii="Narkisim" w:hAnsi="Narkisim"/>
          <w:b/>
          <w:bCs/>
          <w:rtl/>
        </w:rPr>
        <w:t>רשב"א</w:t>
      </w:r>
      <w:r w:rsidRPr="00AF1DC8">
        <w:rPr>
          <w:rFonts w:ascii="Narkisim" w:hAnsi="Narkisim"/>
          <w:rtl/>
        </w:rPr>
        <w:t xml:space="preserve"> (לקמן עא.) דגר שמל ולא טבל נחשב מילתו לשם יהדות. ואע"פ שלא נגמר גירותו מ"מ כבר התחיל ונכנס קצת בדת יהודית, שאי"צ אלא טבילה. [ונקטו דכוונתו דמהני המילה וכבר נכנס קצת להיות יהודי</w:t>
      </w:r>
      <w:r w:rsidRPr="00AF1DC8">
        <w:rPr>
          <w:rStyle w:val="ac"/>
          <w:rFonts w:ascii="Narkisim" w:hAnsi="Narkisim"/>
          <w:rtl/>
        </w:rPr>
        <w:footnoteReference w:id="2768"/>
      </w:r>
      <w:r w:rsidRPr="00AF1DC8">
        <w:rPr>
          <w:rFonts w:ascii="Narkisim" w:hAnsi="Narkisim"/>
        </w:rPr>
        <w:t>. [</w:t>
      </w:r>
      <w:r w:rsidRPr="00AF1DC8">
        <w:rPr>
          <w:rFonts w:ascii="Narkisim" w:hAnsi="Narkisim"/>
          <w:rtl/>
        </w:rPr>
        <w:t>אך יש שדחו דקאי רק אמעשה המילה, דהוה מילת יהדות</w:t>
      </w:r>
      <w:r w:rsidRPr="00AF1DC8">
        <w:rPr>
          <w:rStyle w:val="ac"/>
          <w:rFonts w:ascii="Narkisim" w:hAnsi="Narkisim"/>
          <w:rtl/>
        </w:rPr>
        <w:footnoteReference w:id="2769"/>
      </w:r>
      <w:r w:rsidRPr="00AF1DC8">
        <w:rPr>
          <w:rFonts w:ascii="Narkisim" w:hAnsi="Narkisim"/>
        </w:rPr>
        <w:t>].</w:t>
      </w:r>
    </w:p>
    <w:p w14:paraId="3C0132AD" w14:textId="77777777" w:rsidR="006074A5" w:rsidRPr="00AF1DC8" w:rsidRDefault="006074A5" w:rsidP="006074A5">
      <w:pPr>
        <w:pStyle w:val="aa"/>
        <w:bidi/>
        <w:rPr>
          <w:rFonts w:ascii="Narkisim" w:hAnsi="Narkisim"/>
        </w:rPr>
      </w:pPr>
      <w:r w:rsidRPr="00AF1DC8">
        <w:rPr>
          <w:rFonts w:ascii="Narkisim" w:hAnsi="Narkisim"/>
          <w:u w:val="single"/>
          <w:rtl/>
        </w:rPr>
        <w:t>שם. עד שימול ויטבול</w:t>
      </w:r>
      <w:r w:rsidRPr="00AF1DC8">
        <w:rPr>
          <w:rFonts w:ascii="Narkisim" w:hAnsi="Narkisim"/>
          <w:rtl/>
        </w:rPr>
        <w:t>. ולא הוזכר קבלת מצוות. וה</w:t>
      </w:r>
      <w:r w:rsidRPr="00AF1DC8">
        <w:rPr>
          <w:rFonts w:ascii="Narkisim" w:hAnsi="Narkisim"/>
          <w:b/>
          <w:bCs/>
          <w:rtl/>
        </w:rPr>
        <w:t>אחרונים</w:t>
      </w:r>
      <w:r w:rsidRPr="00AF1DC8">
        <w:rPr>
          <w:rFonts w:ascii="Narkisim" w:hAnsi="Narkisim"/>
          <w:rtl/>
        </w:rPr>
        <w:t xml:space="preserve"> חקרו בגדר קבלת מצוות, האם הוה מעשה נוסף </w:t>
      </w:r>
      <w:r w:rsidRPr="00AF1DC8">
        <w:rPr>
          <w:rFonts w:ascii="Narkisim" w:hAnsi="Narkisim"/>
          <w:rtl/>
        </w:rPr>
        <w:lastRenderedPageBreak/>
        <w:t>כחלק מהגירות. או דעצם הגירות הוה במה שמקבל עליו</w:t>
      </w:r>
      <w:r w:rsidRPr="00AF1DC8">
        <w:rPr>
          <w:rStyle w:val="ac"/>
          <w:rFonts w:ascii="Narkisim" w:hAnsi="Narkisim"/>
          <w:rtl/>
        </w:rPr>
        <w:footnoteReference w:id="2770"/>
      </w:r>
      <w:r w:rsidRPr="00AF1DC8">
        <w:rPr>
          <w:rFonts w:ascii="Narkisim" w:hAnsi="Narkisim"/>
        </w:rPr>
        <w:t xml:space="preserve"> </w:t>
      </w:r>
      <w:r w:rsidRPr="00AF1DC8">
        <w:rPr>
          <w:rFonts w:ascii="Narkisim" w:hAnsi="Narkisim"/>
          <w:rtl/>
        </w:rPr>
        <w:t>להכנס תחת כנפי השכינה</w:t>
      </w:r>
      <w:r w:rsidRPr="00AF1DC8">
        <w:rPr>
          <w:rStyle w:val="ac"/>
          <w:rFonts w:ascii="Narkisim" w:hAnsi="Narkisim"/>
          <w:rtl/>
        </w:rPr>
        <w:footnoteReference w:id="2771"/>
      </w:r>
      <w:r w:rsidRPr="00AF1DC8">
        <w:rPr>
          <w:rFonts w:ascii="Narkisim" w:hAnsi="Narkisim"/>
        </w:rPr>
        <w:t xml:space="preserve">, </w:t>
      </w:r>
      <w:r w:rsidRPr="00AF1DC8">
        <w:rPr>
          <w:rFonts w:ascii="Narkisim" w:hAnsi="Narkisim"/>
          <w:rtl/>
        </w:rPr>
        <w:t>ולזה בעינן מעשה מילה וטבילה להכניס [דהוה כמעשה הקנין לקבלה זו]</w:t>
      </w:r>
      <w:r w:rsidRPr="00AF1DC8">
        <w:rPr>
          <w:rFonts w:ascii="Narkisim" w:hAnsi="Narkisim"/>
        </w:rPr>
        <w:t>.</w:t>
      </w:r>
    </w:p>
    <w:p w14:paraId="1501EA19" w14:textId="77777777" w:rsidR="006074A5" w:rsidRPr="00AF1DC8" w:rsidRDefault="006074A5" w:rsidP="006074A5">
      <w:pPr>
        <w:bidi/>
        <w:rPr>
          <w:rFonts w:ascii="Narkisim" w:hAnsi="Narkisim" w:cs="Narkisim"/>
        </w:rPr>
      </w:pPr>
      <w:r w:rsidRPr="00AF1DC8">
        <w:rPr>
          <w:rFonts w:ascii="Narkisim" w:hAnsi="Narkisim" w:cs="Narkisim"/>
          <w:u w:val="single"/>
          <w:rtl/>
        </w:rPr>
        <w:t>שכן מצינו באבותינו שמלו.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לקבל התורה וכו'. משמע דמלו במתן תורה, וה</w:t>
      </w:r>
      <w:r w:rsidRPr="00AF1DC8">
        <w:rPr>
          <w:rFonts w:ascii="Narkisim" w:hAnsi="Narkisim" w:cs="Narkisim"/>
          <w:b/>
          <w:bCs/>
          <w:rtl/>
        </w:rPr>
        <w:t>רמב"ן</w:t>
      </w:r>
      <w:r w:rsidRPr="00AF1DC8">
        <w:rPr>
          <w:rFonts w:ascii="Narkisim" w:hAnsi="Narkisim" w:cs="Narkisim"/>
          <w:rtl/>
        </w:rPr>
        <w:t xml:space="preserve"> תמה היכן מצינו כן. וה</w:t>
      </w:r>
      <w:r w:rsidRPr="00AF1DC8">
        <w:rPr>
          <w:rFonts w:ascii="Narkisim" w:hAnsi="Narkisim" w:cs="Narkisim"/>
          <w:b/>
          <w:bCs/>
          <w:rtl/>
        </w:rPr>
        <w:t>רמב"ן</w:t>
      </w:r>
      <w:r w:rsidRPr="00AF1DC8">
        <w:rPr>
          <w:rFonts w:ascii="Narkisim" w:hAnsi="Narkisim" w:cs="Narkisim"/>
          <w:rtl/>
        </w:rPr>
        <w:t xml:space="preserve"> כתב דאפשר כשאמר משה </w:t>
      </w:r>
      <w:r w:rsidRPr="00AF1DC8">
        <w:rPr>
          <w:rFonts w:ascii="Narkisim" w:hAnsi="Narkisim" w:cs="Narkisim"/>
          <w:sz w:val="20"/>
          <w:szCs w:val="20"/>
          <w:rtl/>
        </w:rPr>
        <w:t>[בפסח מצרים]</w:t>
      </w:r>
      <w:r w:rsidRPr="00AF1DC8">
        <w:rPr>
          <w:rFonts w:ascii="Narkisim" w:hAnsi="Narkisim" w:cs="Narkisim"/>
          <w:rtl/>
        </w:rPr>
        <w:t xml:space="preserve"> כל ערל לא יאכל בו </w:t>
      </w:r>
      <w:r w:rsidRPr="00AF1DC8">
        <w:rPr>
          <w:rFonts w:ascii="Narkisim" w:hAnsi="Narkisim" w:cs="Narkisim"/>
          <w:sz w:val="20"/>
          <w:szCs w:val="20"/>
          <w:rtl/>
        </w:rPr>
        <w:t>(שמות יב מח)</w:t>
      </w:r>
      <w:r w:rsidRPr="00AF1DC8">
        <w:rPr>
          <w:rFonts w:ascii="Narkisim" w:hAnsi="Narkisim" w:cs="Narkisim"/>
          <w:rtl/>
        </w:rPr>
        <w:t xml:space="preserve"> מלו עצמן או הטיפו דם ברית, כדי לקים מצוה זו, ולקיים כל מה שיצוום. וכ"כ 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 w:val="20"/>
          <w:szCs w:val="20"/>
          <w:rtl/>
        </w:rPr>
        <w:t xml:space="preserve">(איסו"ב יג ב), </w:t>
      </w:r>
      <w:r w:rsidRPr="00AF1DC8">
        <w:rPr>
          <w:rFonts w:ascii="Narkisim" w:hAnsi="Narkisim" w:cs="Narkisim"/>
          <w:rtl/>
        </w:rPr>
        <w:t>וה</w:t>
      </w:r>
      <w:r w:rsidRPr="00AF1DC8">
        <w:rPr>
          <w:rFonts w:ascii="Narkisim" w:hAnsi="Narkisim" w:cs="Narkisim"/>
          <w:b/>
          <w:bCs/>
          <w:rtl/>
        </w:rPr>
        <w:t>רמב”ם</w:t>
      </w:r>
      <w:r w:rsidRPr="00AF1DC8">
        <w:rPr>
          <w:rFonts w:ascii="Narkisim" w:hAnsi="Narkisim" w:cs="Narkisim"/>
          <w:rtl/>
        </w:rPr>
        <w:t xml:space="preserve"> הוסיף חוץ משבט לוי שמלו קודם</w:t>
      </w:r>
      <w:r w:rsidRPr="00AF1DC8">
        <w:rPr>
          <w:rFonts w:ascii="Narkisim" w:hAnsi="Narkisim" w:cs="Narkisim"/>
        </w:rPr>
        <w:t>.</w:t>
      </w:r>
    </w:p>
    <w:p w14:paraId="057E6CFE"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רמב”ן</w:t>
      </w:r>
      <w:r w:rsidRPr="00AF1DC8">
        <w:rPr>
          <w:rFonts w:ascii="Narkisim" w:hAnsi="Narkisim" w:cs="Narkisim"/>
          <w:rtl/>
        </w:rPr>
        <w:t xml:space="preserve"> כתב דשבט לוי הטיפו דם ברית</w:t>
      </w:r>
      <w:r w:rsidRPr="00AF1DC8">
        <w:rPr>
          <w:rStyle w:val="ac"/>
          <w:rFonts w:ascii="Narkisim" w:hAnsi="Narkisim" w:cs="Narkisim"/>
          <w:rtl/>
        </w:rPr>
        <w:footnoteReference w:id="2772"/>
      </w:r>
      <w:r w:rsidRPr="00AF1DC8">
        <w:rPr>
          <w:rFonts w:ascii="Narkisim" w:hAnsi="Narkisim" w:cs="Narkisim"/>
        </w:rPr>
        <w:t xml:space="preserve">. </w:t>
      </w:r>
      <w:r w:rsidRPr="00AF1DC8">
        <w:rPr>
          <w:rFonts w:ascii="Narkisim" w:hAnsi="Narkisim" w:cs="Narkisim"/>
          <w:rtl/>
        </w:rPr>
        <w:t>ועוד כתב דאי"צ להטיף, דהא מלו מעיקרא, והיו מצווין על המילה. הילכך חשיבי כנשים ליכנס בטבילה תחת כנפי השכינה עם מילה שלהם</w:t>
      </w:r>
      <w:r w:rsidRPr="00AF1DC8">
        <w:rPr>
          <w:rStyle w:val="ac"/>
          <w:rFonts w:ascii="Narkisim" w:hAnsi="Narkisim" w:cs="Narkisim"/>
          <w:rtl/>
        </w:rPr>
        <w:footnoteReference w:id="2773"/>
      </w:r>
      <w:r w:rsidRPr="00AF1DC8">
        <w:rPr>
          <w:rFonts w:ascii="Narkisim" w:hAnsi="Narkisim" w:cs="Narkisim"/>
        </w:rPr>
        <w:t xml:space="preserve">. </w:t>
      </w:r>
      <w:r w:rsidRPr="00AF1DC8">
        <w:rPr>
          <w:rFonts w:ascii="Narkisim" w:hAnsi="Narkisim" w:cs="Narkisim"/>
          <w:rtl/>
        </w:rPr>
        <w:t>אבל גבעוני מהול צריך הטפת דם ברית, דל"מ מילה דידיה כיון דאינו מצווה</w:t>
      </w:r>
      <w:r w:rsidRPr="00AF1DC8">
        <w:rPr>
          <w:rStyle w:val="ac"/>
          <w:rFonts w:ascii="Narkisim" w:hAnsi="Narkisim" w:cs="Narkisim"/>
          <w:rtl/>
        </w:rPr>
        <w:footnoteReference w:id="2774"/>
      </w:r>
      <w:r w:rsidRPr="00AF1DC8">
        <w:rPr>
          <w:rFonts w:ascii="Narkisim" w:hAnsi="Narkisim" w:cs="Narkisim"/>
        </w:rPr>
        <w:t>.</w:t>
      </w:r>
    </w:p>
    <w:p w14:paraId="5E2810AE" w14:textId="77777777" w:rsidR="006074A5" w:rsidRPr="00AF1DC8" w:rsidRDefault="006074A5" w:rsidP="006074A5">
      <w:pPr>
        <w:pStyle w:val="a7"/>
        <w:bidi/>
        <w:rPr>
          <w:rFonts w:ascii="Narkisim" w:hAnsi="Narkisim"/>
        </w:rPr>
      </w:pPr>
      <w:r w:rsidRPr="00AF1DC8">
        <w:rPr>
          <w:rFonts w:ascii="Narkisim" w:hAnsi="Narkisim"/>
          <w:rtl/>
        </w:rPr>
        <w:t xml:space="preserve">ועד"ז כת' </w:t>
      </w:r>
      <w:r w:rsidRPr="00AF1DC8">
        <w:rPr>
          <w:rFonts w:ascii="Narkisim" w:hAnsi="Narkisim"/>
          <w:b/>
          <w:bCs/>
          <w:rtl/>
        </w:rPr>
        <w:t>תוס'</w:t>
      </w:r>
      <w:r w:rsidRPr="00AF1DC8">
        <w:rPr>
          <w:rFonts w:ascii="Narkisim" w:hAnsi="Narkisim"/>
          <w:rtl/>
        </w:rPr>
        <w:t xml:space="preserve"> (כריתות ט. ד"ה דכתיב) דמעיקרא כשמלו עצמן ליכנס בברית המקום, וליבדל משאר אומות.</w:t>
      </w:r>
      <w:r w:rsidRPr="00AF1DC8">
        <w:rPr>
          <w:rFonts w:ascii="Narkisim" w:hAnsi="Narkisim"/>
          <w:sz w:val="20"/>
          <w:szCs w:val="20"/>
          <w:rtl/>
        </w:rPr>
        <w:t xml:space="preserve"> [וכ"כ ה</w:t>
      </w:r>
      <w:r w:rsidRPr="00AF1DC8">
        <w:rPr>
          <w:rFonts w:ascii="Narkisim" w:hAnsi="Narkisim"/>
          <w:b/>
          <w:bCs/>
          <w:sz w:val="20"/>
          <w:szCs w:val="20"/>
          <w:rtl/>
        </w:rPr>
        <w:t>תוס' הרא"ש</w:t>
      </w:r>
      <w:r w:rsidRPr="00AF1DC8">
        <w:rPr>
          <w:rFonts w:ascii="Narkisim" w:hAnsi="Narkisim"/>
          <w:sz w:val="20"/>
          <w:szCs w:val="20"/>
          <w:rtl/>
        </w:rPr>
        <w:t xml:space="preserve"> (בשיטמ"ק שם לג)]. [משמע דלא סגי במילה לשם מצווה, אלא בעי לשם 'ברית']</w:t>
      </w:r>
      <w:r w:rsidRPr="00AF1DC8">
        <w:rPr>
          <w:rFonts w:ascii="Narkisim" w:hAnsi="Narkisim"/>
          <w:sz w:val="20"/>
          <w:szCs w:val="20"/>
        </w:rPr>
        <w:t>.</w:t>
      </w:r>
    </w:p>
    <w:p w14:paraId="4214DD32"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(כתובות יא.) כתב דגר קטן שמלו בקטנות [אף אי ל"מ זכין] דינא הוא שתעלה המילה לכשיגדיל, דישנה בעולם בשעת רצונו. אבל צריך לחזור ולטבול. דבטבילה בשעתו לא היה בן דעת, ובשעה שנתרצה אינו בעולם</w:t>
      </w:r>
      <w:r w:rsidRPr="00AF1DC8">
        <w:rPr>
          <w:rFonts w:ascii="Narkisim" w:hAnsi="Narkisim"/>
        </w:rPr>
        <w:t>.</w:t>
      </w:r>
    </w:p>
    <w:p w14:paraId="357695EA" w14:textId="77777777" w:rsidR="006074A5" w:rsidRPr="00AF1DC8" w:rsidRDefault="006074A5" w:rsidP="006074A5">
      <w:pPr>
        <w:pStyle w:val="aa"/>
        <w:bidi/>
        <w:rPr>
          <w:rFonts w:ascii="Narkisim" w:hAnsi="Narkisim"/>
        </w:rPr>
      </w:pPr>
      <w:r w:rsidRPr="00AF1DC8">
        <w:rPr>
          <w:rFonts w:ascii="Narkisim" w:hAnsi="Narkisim"/>
          <w:u w:val="single"/>
          <w:rtl/>
        </w:rPr>
        <w:t>א"ל אע"פ שא"א ראיה גדולה וכו'.</w:t>
      </w:r>
      <w:r w:rsidRPr="00AF1DC8">
        <w:rPr>
          <w:rFonts w:ascii="Narkisim" w:hAnsi="Narkisim"/>
          <w:rtl/>
        </w:rPr>
        <w:t xml:space="preserve"> בפשוטו דעת ר"א דילפי' אפשר משאי אפשר</w:t>
      </w:r>
      <w:r w:rsidRPr="00AF1DC8">
        <w:rPr>
          <w:rStyle w:val="ac"/>
          <w:rFonts w:ascii="Narkisim" w:hAnsi="Narkisim"/>
          <w:rtl/>
        </w:rPr>
        <w:footnoteReference w:id="2775"/>
      </w:r>
      <w:r w:rsidRPr="00AF1DC8">
        <w:rPr>
          <w:rFonts w:ascii="Narkisim" w:hAnsi="Narkisim"/>
        </w:rPr>
        <w:t xml:space="preserve">. </w:t>
      </w: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ביאר כיון דעיקר פסח היה במצרים, הוא אב לכל הפסחים ושפיר גמרינן מיניה. וכן לענין טבילת גרים שפיר גמרי' מאבותינו שנכנסו תחת כנפי השכינה. הא בעלמא אפשר דכו"ע אין למידים אפשר משא"א. [ובתוס' לא משמע כן]</w:t>
      </w:r>
      <w:r w:rsidRPr="00AF1DC8">
        <w:rPr>
          <w:rFonts w:ascii="Narkisim" w:hAnsi="Narkisim"/>
        </w:rPr>
        <w:t>.</w:t>
      </w:r>
    </w:p>
    <w:p w14:paraId="2162082D" w14:textId="77777777" w:rsidR="006074A5" w:rsidRPr="00AF1DC8" w:rsidRDefault="006074A5" w:rsidP="006074A5">
      <w:pPr>
        <w:pStyle w:val="3"/>
        <w:bidi/>
        <w:rPr>
          <w:rFonts w:ascii="Narkisim" w:hAnsi="Narkisim"/>
        </w:rPr>
      </w:pPr>
      <w:r w:rsidRPr="00AF1DC8">
        <w:rPr>
          <w:rFonts w:ascii="Narkisim" w:hAnsi="Narkisim"/>
          <w:rtl/>
        </w:rPr>
        <w:t>דף מו</w:t>
      </w:r>
      <w:r w:rsidRPr="00AF1DC8">
        <w:rPr>
          <w:rFonts w:ascii="Narkisim" w:hAnsi="Narkisim"/>
        </w:rPr>
        <w:t>:</w:t>
      </w:r>
    </w:p>
    <w:p w14:paraId="48E07BD7" w14:textId="77777777" w:rsidR="006074A5" w:rsidRPr="00AF1DC8" w:rsidRDefault="006074A5" w:rsidP="006074A5">
      <w:pPr>
        <w:bidi/>
        <w:rPr>
          <w:rFonts w:ascii="Narkisim" w:hAnsi="Narkisim" w:cs="Narkisim"/>
        </w:rPr>
      </w:pPr>
      <w:r w:rsidRPr="00AF1DC8">
        <w:rPr>
          <w:rFonts w:ascii="Narkisim" w:hAnsi="Narkisim" w:cs="Narkisim"/>
          <w:u w:val="single"/>
          <w:rtl/>
        </w:rPr>
        <w:t>וכבסו שמלותיכם וכו' ודלמא נקיות בעלמא.</w:t>
      </w:r>
      <w:r w:rsidRPr="00AF1DC8">
        <w:rPr>
          <w:rFonts w:ascii="Narkisim" w:hAnsi="Narkisim" w:cs="Narkisim"/>
          <w:rtl/>
        </w:rPr>
        <w:t xml:space="preserve"> </w:t>
      </w:r>
      <w:r w:rsidRPr="00AF1DC8">
        <w:rPr>
          <w:rFonts w:ascii="Narkisim" w:hAnsi="Narkisim" w:cs="Narkisim"/>
          <w:sz w:val="20"/>
          <w:szCs w:val="20"/>
          <w:rtl/>
        </w:rPr>
        <w:t>[וכ"כ ה</w:t>
      </w:r>
      <w:r w:rsidRPr="00AF1DC8">
        <w:rPr>
          <w:rFonts w:ascii="Narkisim" w:hAnsi="Narkisim" w:cs="Narkisim"/>
          <w:b/>
          <w:bCs/>
          <w:sz w:val="20"/>
          <w:szCs w:val="20"/>
          <w:rtl/>
        </w:rPr>
        <w:t>תרגום</w:t>
      </w:r>
      <w:r w:rsidRPr="00AF1DC8">
        <w:rPr>
          <w:rFonts w:ascii="Narkisim" w:hAnsi="Narkisim" w:cs="Narkisim"/>
          <w:sz w:val="20"/>
          <w:szCs w:val="20"/>
          <w:rtl/>
        </w:rPr>
        <w:t xml:space="preserve"> ויתחוורון, לשון כיבוס ולא טבילה].</w:t>
      </w:r>
      <w:r w:rsidRPr="00AF1DC8">
        <w:rPr>
          <w:rFonts w:ascii="Narkisim" w:hAnsi="Narkisim" w:cs="Narkisim"/>
          <w:rtl/>
        </w:rPr>
        <w:t xml:space="preserve"> אבל 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 w:val="20"/>
          <w:szCs w:val="20"/>
          <w:rtl/>
        </w:rPr>
        <w:t>(איסו"ב יג ג)</w:t>
      </w:r>
      <w:r w:rsidRPr="00AF1DC8">
        <w:rPr>
          <w:rFonts w:ascii="Narkisim" w:hAnsi="Narkisim" w:cs="Narkisim"/>
          <w:rtl/>
        </w:rPr>
        <w:t xml:space="preserve"> הביא מהך קרא דהיה טבילה במדבר. וה</w:t>
      </w:r>
      <w:r w:rsidRPr="00AF1DC8">
        <w:rPr>
          <w:rFonts w:ascii="Narkisim" w:hAnsi="Narkisim" w:cs="Narkisim"/>
          <w:b/>
          <w:bCs/>
          <w:rtl/>
        </w:rPr>
        <w:t>ב”ח</w:t>
      </w:r>
      <w:r w:rsidRPr="00AF1DC8">
        <w:rPr>
          <w:rFonts w:ascii="Narkisim" w:hAnsi="Narkisim" w:cs="Narkisim"/>
          <w:rtl/>
        </w:rPr>
        <w:t xml:space="preserve"> (יו"ד רסח) הקשה דהגמ' דוחה דנקיות בעלמא. וכת' דכוונת הגמ' דאין להוכיח מכאן דהיה טבילה, אך לאחר דילפי' משום הזאה, מסתברא דהך קרא איירי בטבילה</w:t>
      </w:r>
      <w:r w:rsidRPr="00AF1DC8">
        <w:rPr>
          <w:rFonts w:ascii="Narkisim" w:hAnsi="Narkisim" w:cs="Narkisim"/>
        </w:rPr>
        <w:t>.</w:t>
      </w:r>
    </w:p>
    <w:p w14:paraId="66FBCA9C" w14:textId="77777777" w:rsidR="006074A5" w:rsidRPr="00AF1DC8" w:rsidRDefault="006074A5" w:rsidP="006074A5">
      <w:pPr>
        <w:bidi/>
        <w:rPr>
          <w:rFonts w:ascii="Narkisim" w:hAnsi="Narkisim" w:cs="Narkisim"/>
        </w:rPr>
      </w:pPr>
      <w:r w:rsidRPr="00AF1DC8">
        <w:rPr>
          <w:rFonts w:ascii="Narkisim" w:hAnsi="Narkisim" w:cs="Narkisim"/>
          <w:u w:val="single"/>
          <w:rtl/>
        </w:rPr>
        <w:t>ויקח משה את הדם ויזרוק על העם וכו'</w:t>
      </w:r>
      <w:r w:rsidRPr="00AF1DC8">
        <w:rPr>
          <w:rFonts w:ascii="Narkisim" w:hAnsi="Narkisim" w:cs="Narkisim"/>
          <w:rtl/>
        </w:rPr>
        <w:t>. מבואר דבשעת מתן תורה הגירות היה אף ע”י הזאת הדם על העם. [וע”י מילה טבילה והזאה]</w:t>
      </w:r>
      <w:r w:rsidRPr="00AF1DC8">
        <w:rPr>
          <w:rFonts w:ascii="Narkisim" w:hAnsi="Narkisim" w:cs="Narkisim"/>
        </w:rPr>
        <w:t>.</w:t>
      </w:r>
    </w:p>
    <w:p w14:paraId="6498A4E7" w14:textId="77777777" w:rsidR="006074A5" w:rsidRPr="00AF1DC8" w:rsidRDefault="006074A5" w:rsidP="006074A5">
      <w:pPr>
        <w:pStyle w:val="a7"/>
        <w:bidi/>
        <w:rPr>
          <w:rFonts w:ascii="Narkisim" w:hAnsi="Narkisim"/>
        </w:rPr>
      </w:pPr>
      <w:r w:rsidRPr="00AF1DC8">
        <w:rPr>
          <w:rFonts w:ascii="Narkisim" w:hAnsi="Narkisim"/>
          <w:rtl/>
        </w:rPr>
        <w:t>ור' אלעזר בן יעקב (כריתות ח:) הוסיף דאף לדורות גר צריך קרבן לגירותו</w:t>
      </w:r>
      <w:r w:rsidRPr="00AF1DC8">
        <w:rPr>
          <w:rStyle w:val="ac"/>
          <w:rFonts w:ascii="Narkisim" w:hAnsi="Narkisim"/>
          <w:rtl/>
        </w:rPr>
        <w:footnoteReference w:id="2776"/>
      </w:r>
      <w:r w:rsidRPr="00AF1DC8">
        <w:rPr>
          <w:rFonts w:ascii="Narkisim" w:hAnsi="Narkisim"/>
        </w:rPr>
        <w:t xml:space="preserve">. </w:t>
      </w:r>
      <w:r w:rsidRPr="00AF1DC8">
        <w:rPr>
          <w:rFonts w:ascii="Narkisim" w:hAnsi="Narkisim"/>
          <w:rtl/>
        </w:rPr>
        <w:t>ורבי (שם ט.) דרש מה אבותיכם נכנסו לברית במילה וטבילה והרצאת דמים, אף לדורות</w:t>
      </w:r>
      <w:r w:rsidRPr="00AF1DC8">
        <w:rPr>
          <w:rStyle w:val="ac"/>
          <w:rFonts w:ascii="Narkisim" w:hAnsi="Narkisim"/>
          <w:rtl/>
        </w:rPr>
        <w:footnoteReference w:id="2777"/>
      </w:r>
      <w:r w:rsidRPr="00AF1DC8">
        <w:rPr>
          <w:rFonts w:ascii="Narkisim" w:hAnsi="Narkisim"/>
        </w:rPr>
        <w:t xml:space="preserve"> </w:t>
      </w:r>
      <w:r w:rsidRPr="00AF1DC8">
        <w:rPr>
          <w:rFonts w:ascii="Narkisim" w:hAnsi="Narkisim"/>
          <w:rtl/>
        </w:rPr>
        <w:t>צריך הרצאת דמים</w:t>
      </w:r>
      <w:r w:rsidRPr="00AF1DC8">
        <w:rPr>
          <w:rStyle w:val="ac"/>
          <w:rFonts w:ascii="Narkisim" w:hAnsi="Narkisim"/>
          <w:rtl/>
        </w:rPr>
        <w:footnoteReference w:id="2778"/>
      </w:r>
      <w:r w:rsidRPr="00AF1DC8">
        <w:rPr>
          <w:rFonts w:ascii="Narkisim" w:hAnsi="Narkisim"/>
        </w:rPr>
        <w:t>.</w:t>
      </w:r>
    </w:p>
    <w:p w14:paraId="4EFB10C7" w14:textId="77777777" w:rsidR="006074A5" w:rsidRPr="00AF1DC8" w:rsidRDefault="006074A5" w:rsidP="006074A5">
      <w:pPr>
        <w:bidi/>
        <w:rPr>
          <w:rFonts w:ascii="Narkisim" w:hAnsi="Narkisim" w:cs="Narkisim"/>
        </w:rPr>
      </w:pPr>
      <w:r w:rsidRPr="00AF1DC8">
        <w:rPr>
          <w:rFonts w:ascii="Narkisim" w:hAnsi="Narkisim" w:cs="Narkisim"/>
          <w:rtl/>
        </w:rPr>
        <w:t xml:space="preserve">ובפשוטו משמע דקודם הבאת הקרבן אינו גר כלל. אבל בגמ' (שם ח:) אי' דגר מחוסר כיפורים, וצריך קרבנו לינשא לקהל. וקצת משמע דהוה גר גמור, אלא דאסור לינשא. [וכ"מ </w:t>
      </w:r>
      <w:r w:rsidRPr="00AF1DC8">
        <w:rPr>
          <w:rFonts w:ascii="Narkisim" w:hAnsi="Narkisim" w:cs="Narkisim"/>
          <w:rtl/>
        </w:rPr>
        <w:lastRenderedPageBreak/>
        <w:t>בתו"י שם ט. והרע"ב במשניות שם]. וכ"כ ה</w:t>
      </w:r>
      <w:r w:rsidRPr="00AF1DC8">
        <w:rPr>
          <w:rFonts w:ascii="Narkisim" w:hAnsi="Narkisim" w:cs="Narkisim"/>
          <w:b/>
          <w:bCs/>
          <w:rtl/>
        </w:rPr>
        <w:t>שיטמ"ק</w:t>
      </w:r>
      <w:r w:rsidRPr="00AF1DC8">
        <w:rPr>
          <w:rFonts w:ascii="Narkisim" w:hAnsi="Narkisim" w:cs="Narkisim"/>
          <w:rtl/>
        </w:rPr>
        <w:t xml:space="preserve"> (שם ג בהשמ') דהוה מחו"כ ואסור בקדשים, ופוסל אשה [לכהונה</w:t>
      </w:r>
      <w:r w:rsidRPr="00AF1DC8">
        <w:rPr>
          <w:rStyle w:val="ac"/>
          <w:rFonts w:ascii="Narkisim" w:hAnsi="Narkisim" w:cs="Narkisim"/>
          <w:rtl/>
        </w:rPr>
        <w:footnoteReference w:id="2779"/>
      </w:r>
      <w:r w:rsidRPr="00AF1DC8">
        <w:rPr>
          <w:rFonts w:ascii="Narkisim" w:hAnsi="Narkisim" w:cs="Narkisim"/>
          <w:rtl/>
        </w:rPr>
        <w:t xml:space="preserve">] בביאתו. </w:t>
      </w:r>
      <w:r w:rsidRPr="00AF1DC8">
        <w:rPr>
          <w:rFonts w:ascii="Narkisim" w:hAnsi="Narkisim" w:cs="Narkisim"/>
          <w:szCs w:val="20"/>
          <w:rtl/>
        </w:rPr>
        <w:t>[וה</w:t>
      </w:r>
      <w:r w:rsidRPr="00AF1DC8">
        <w:rPr>
          <w:rFonts w:ascii="Narkisim" w:hAnsi="Narkisim" w:cs="Narkisim"/>
          <w:b/>
          <w:bCs/>
          <w:szCs w:val="20"/>
          <w:rtl/>
        </w:rPr>
        <w:t>אחרונים</w:t>
      </w:r>
      <w:r w:rsidRPr="00AF1DC8">
        <w:rPr>
          <w:rFonts w:ascii="Narkisim" w:hAnsi="Narkisim" w:cs="Narkisim"/>
          <w:szCs w:val="20"/>
          <w:rtl/>
        </w:rPr>
        <w:t xml:space="preserve"> דייקו דאם קידש אשה מקודשת, וכפשטות הגמ' (לקמן מז:) דכיון דטבל הוה ישראל גמור לענין קידושין]</w:t>
      </w:r>
      <w:r w:rsidRPr="00AF1DC8">
        <w:rPr>
          <w:rFonts w:ascii="Narkisim" w:hAnsi="Narkisim" w:cs="Narkisim"/>
        </w:rPr>
        <w:t>.</w:t>
      </w:r>
    </w:p>
    <w:p w14:paraId="10BF7A7D"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(מחו"כ א ב) כת' דקרבנו מעכב עליו להיות גר גמור, ואינו ככל ישראל כשר, ואינו אוכל בקדשים</w:t>
      </w:r>
      <w:r w:rsidRPr="00AF1DC8">
        <w:rPr>
          <w:rStyle w:val="ac"/>
          <w:rFonts w:ascii="Narkisim" w:hAnsi="Narkisim"/>
          <w:rtl/>
        </w:rPr>
        <w:footnoteReference w:id="2780"/>
      </w:r>
      <w:r w:rsidRPr="00AF1DC8">
        <w:rPr>
          <w:rFonts w:ascii="Narkisim" w:hAnsi="Narkisim"/>
        </w:rPr>
        <w:t xml:space="preserve">. </w:t>
      </w:r>
      <w:r w:rsidRPr="00AF1DC8">
        <w:rPr>
          <w:rFonts w:ascii="Narkisim" w:hAnsi="Narkisim"/>
          <w:rtl/>
        </w:rPr>
        <w:t>[וצ"ב גדר זה]</w:t>
      </w:r>
      <w:r w:rsidRPr="00AF1DC8">
        <w:rPr>
          <w:rFonts w:ascii="Narkisim" w:hAnsi="Narkisim"/>
        </w:rPr>
        <w:t>.</w:t>
      </w:r>
    </w:p>
    <w:p w14:paraId="1CCAB8DF" w14:textId="77777777" w:rsidR="006074A5" w:rsidRPr="00AF1DC8" w:rsidRDefault="006074A5" w:rsidP="006074A5">
      <w:pPr>
        <w:bidi/>
        <w:rPr>
          <w:rFonts w:ascii="Narkisim" w:hAnsi="Narkisim" w:cs="Narkisim"/>
        </w:rPr>
      </w:pPr>
      <w:r w:rsidRPr="00AF1DC8">
        <w:rPr>
          <w:rFonts w:ascii="Narkisim" w:hAnsi="Narkisim" w:cs="Narkisim"/>
          <w:u w:val="single"/>
          <w:rtl/>
        </w:rPr>
        <w:t>וגמירי דאין הזאה בלא טבילה.</w:t>
      </w:r>
      <w:r w:rsidRPr="00AF1DC8">
        <w:rPr>
          <w:rFonts w:ascii="Narkisim" w:hAnsi="Narkisim" w:cs="Narkisim"/>
          <w:rtl/>
        </w:rPr>
        <w:t xml:space="preserve"> ותוס' דנו ליישב לר"א. וה</w:t>
      </w:r>
      <w:r w:rsidRPr="00AF1DC8">
        <w:rPr>
          <w:rFonts w:ascii="Narkisim" w:hAnsi="Narkisim" w:cs="Narkisim"/>
          <w:b/>
          <w:bCs/>
          <w:rtl/>
        </w:rPr>
        <w:t>תו"י</w:t>
      </w:r>
      <w:r w:rsidRPr="00AF1DC8">
        <w:rPr>
          <w:rFonts w:ascii="Narkisim" w:hAnsi="Narkisim" w:cs="Narkisim"/>
          <w:rtl/>
        </w:rPr>
        <w:t xml:space="preserve"> כתב דלר"א הפסוק לא איירי בהזאה על העם</w:t>
      </w:r>
      <w:r w:rsidRPr="00AF1DC8">
        <w:rPr>
          <w:rStyle w:val="ac"/>
          <w:rFonts w:ascii="Narkisim" w:hAnsi="Narkisim" w:cs="Narkisim"/>
          <w:rtl/>
        </w:rPr>
        <w:footnoteReference w:id="2781"/>
      </w:r>
      <w:r w:rsidRPr="00AF1DC8">
        <w:rPr>
          <w:rFonts w:ascii="Narkisim" w:hAnsi="Narkisim" w:cs="Narkisim"/>
        </w:rPr>
        <w:t xml:space="preserve">, </w:t>
      </w:r>
      <w:r w:rsidRPr="00AF1DC8">
        <w:rPr>
          <w:rFonts w:ascii="Narkisim" w:hAnsi="Narkisim" w:cs="Narkisim"/>
          <w:rtl/>
        </w:rPr>
        <w:t>אלא כמו שכתב ה</w:t>
      </w:r>
      <w:r w:rsidRPr="00AF1DC8">
        <w:rPr>
          <w:rFonts w:ascii="Narkisim" w:hAnsi="Narkisim" w:cs="Narkisim"/>
          <w:b/>
          <w:bCs/>
          <w:rtl/>
        </w:rPr>
        <w:t>תרגום</w:t>
      </w:r>
      <w:r w:rsidRPr="00AF1DC8">
        <w:rPr>
          <w:rFonts w:ascii="Narkisim" w:hAnsi="Narkisim" w:cs="Narkisim"/>
          <w:rtl/>
        </w:rPr>
        <w:t xml:space="preserve"> (שמות כד ח</w:t>
      </w:r>
      <w:r w:rsidRPr="00AF1DC8">
        <w:rPr>
          <w:rStyle w:val="ac"/>
          <w:rFonts w:ascii="Narkisim" w:hAnsi="Narkisim" w:cs="Narkisim"/>
          <w:rtl/>
        </w:rPr>
        <w:footnoteReference w:id="2782"/>
      </w:r>
      <w:r w:rsidRPr="00AF1DC8">
        <w:rPr>
          <w:rFonts w:ascii="Narkisim" w:hAnsi="Narkisim" w:cs="Narkisim"/>
          <w:rtl/>
        </w:rPr>
        <w:t>) וזרק על מדבחא לכפרא על עמא</w:t>
      </w:r>
      <w:r w:rsidRPr="00AF1DC8">
        <w:rPr>
          <w:rFonts w:ascii="Narkisim" w:hAnsi="Narkisim" w:cs="Narkisim"/>
        </w:rPr>
        <w:t>.</w:t>
      </w:r>
    </w:p>
    <w:p w14:paraId="282303FA"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ו</w:t>
      </w:r>
      <w:r w:rsidRPr="00AF1DC8">
        <w:rPr>
          <w:rFonts w:ascii="Narkisim" w:hAnsi="Narkisim"/>
          <w:b/>
          <w:bCs/>
          <w:rtl/>
        </w:rPr>
        <w:t>ריטב"א</w:t>
      </w:r>
      <w:r w:rsidRPr="00AF1DC8">
        <w:rPr>
          <w:rFonts w:ascii="Narkisim" w:hAnsi="Narkisim"/>
          <w:rtl/>
        </w:rPr>
        <w:t xml:space="preserve"> הביאו דנח' ב</w:t>
      </w:r>
      <w:r w:rsidRPr="00AF1DC8">
        <w:rPr>
          <w:rFonts w:ascii="Narkisim" w:hAnsi="Narkisim"/>
          <w:b/>
          <w:bCs/>
          <w:rtl/>
        </w:rPr>
        <w:t>מכילתא</w:t>
      </w:r>
      <w:r w:rsidRPr="00AF1DC8">
        <w:rPr>
          <w:rFonts w:ascii="Narkisim" w:hAnsi="Narkisim"/>
          <w:rtl/>
        </w:rPr>
        <w:t xml:space="preserve"> האם איירי התם קודם מתן תורה או אח"כ. וכ' דבזה נח' ר' אליעזר ור' יהושע בסוגיין, אי אמרי' דאין מוקדם ומאוחר בתורה</w:t>
      </w:r>
      <w:r w:rsidRPr="00AF1DC8">
        <w:rPr>
          <w:rStyle w:val="ac"/>
          <w:rFonts w:ascii="Narkisim" w:hAnsi="Narkisim"/>
          <w:rtl/>
        </w:rPr>
        <w:footnoteReference w:id="2783"/>
      </w:r>
      <w:r w:rsidRPr="00AF1DC8">
        <w:rPr>
          <w:rFonts w:ascii="Narkisim" w:hAnsi="Narkisim"/>
        </w:rPr>
        <w:t>.</w:t>
      </w:r>
    </w:p>
    <w:p w14:paraId="625C53CD" w14:textId="77777777" w:rsidR="006074A5" w:rsidRPr="00AF1DC8" w:rsidRDefault="006074A5" w:rsidP="006074A5">
      <w:pPr>
        <w:bidi/>
        <w:rPr>
          <w:rFonts w:ascii="Narkisim" w:hAnsi="Narkisim" w:cs="Narkisim"/>
        </w:rPr>
      </w:pPr>
      <w:r w:rsidRPr="00AF1DC8">
        <w:rPr>
          <w:rFonts w:ascii="Narkisim" w:hAnsi="Narkisim" w:cs="Narkisim"/>
          <w:u w:val="single"/>
          <w:rtl/>
        </w:rPr>
        <w:t>תוד"ה כי.</w:t>
      </w:r>
      <w:r w:rsidRPr="00AF1DC8">
        <w:rPr>
          <w:rFonts w:ascii="Narkisim" w:hAnsi="Narkisim" w:cs="Narkisim"/>
          <w:rtl/>
        </w:rPr>
        <w:t xml:space="preserve"> שמל ולא טבל וכו' אי כר' יהושע וכו' דעכו"ם גמור הוא. [ותוס' תי' דר' עקיבא למד ממיעוט גבי פסח דהוה עכו"ם גמור]. אך ה</w:t>
      </w:r>
      <w:r w:rsidRPr="00AF1DC8">
        <w:rPr>
          <w:rFonts w:ascii="Narkisim" w:hAnsi="Narkisim" w:cs="Narkisim"/>
          <w:b/>
          <w:bCs/>
          <w:rtl/>
        </w:rPr>
        <w:t>רשב"א</w:t>
      </w:r>
      <w:r w:rsidRPr="00AF1DC8">
        <w:rPr>
          <w:rFonts w:ascii="Narkisim" w:hAnsi="Narkisim" w:cs="Narkisim"/>
          <w:rtl/>
        </w:rPr>
        <w:t xml:space="preserve"> (לקמן עא., נתבאר בע"א) כתב דגר שמל ולא טבל, אינו כערבי מהול. דשאני הכא דמילתו לשם יהדות ואע"פ שלא נגמר גירותו, מ"מ כבר התחיל ונכנס קצת בדת יהודית שאי"צ אלא טבילה</w:t>
      </w:r>
      <w:r w:rsidRPr="00AF1DC8">
        <w:rPr>
          <w:rFonts w:ascii="Narkisim" w:hAnsi="Narkisim" w:cs="Narkisim"/>
        </w:rPr>
        <w:t>.</w:t>
      </w:r>
    </w:p>
    <w:p w14:paraId="0B07D257"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וה</w:t>
      </w:r>
      <w:r w:rsidRPr="00AF1DC8">
        <w:rPr>
          <w:rFonts w:ascii="Narkisim" w:hAnsi="Narkisim" w:cs="Narkisim"/>
          <w:b/>
          <w:bCs/>
          <w:rtl/>
        </w:rPr>
        <w:t>תו"י</w:t>
      </w:r>
      <w:r w:rsidRPr="00AF1DC8">
        <w:rPr>
          <w:rFonts w:ascii="Narkisim" w:hAnsi="Narkisim" w:cs="Narkisim"/>
          <w:rtl/>
        </w:rPr>
        <w:t xml:space="preserve"> הביא בשם ר' </w:t>
      </w:r>
      <w:r w:rsidRPr="00AF1DC8">
        <w:rPr>
          <w:rFonts w:ascii="Narkisim" w:hAnsi="Narkisim" w:cs="Narkisim"/>
          <w:b/>
          <w:bCs/>
          <w:rtl/>
        </w:rPr>
        <w:t xml:space="preserve">נתנאל </w:t>
      </w:r>
      <w:r w:rsidRPr="00AF1DC8">
        <w:rPr>
          <w:rFonts w:ascii="Narkisim" w:hAnsi="Narkisim" w:cs="Narkisim"/>
          <w:rtl/>
        </w:rPr>
        <w:t xml:space="preserve">דר' עקיבא למד מהא דאכלו פסח במצרים, ע”כ דנפקו מתורת ערל. ואילו שאר המ"ד למדו ממתן תורה.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דנו לשאר מ"ד היאך אכלו פסח מצרים, הרי עדיין היה עליהם שם עכו"ם, וע”כ זהו הגזיה"כ]</w:t>
      </w:r>
      <w:r w:rsidRPr="00AF1DC8">
        <w:rPr>
          <w:rFonts w:ascii="Narkisim" w:hAnsi="Narkisim" w:cs="Narkisim"/>
          <w:sz w:val="20"/>
          <w:szCs w:val="20"/>
        </w:rPr>
        <w:t>.</w:t>
      </w:r>
    </w:p>
    <w:p w14:paraId="461D188A" w14:textId="77777777" w:rsidR="006074A5" w:rsidRPr="00AF1DC8" w:rsidRDefault="006074A5" w:rsidP="006074A5">
      <w:pPr>
        <w:bidi/>
        <w:rPr>
          <w:rFonts w:ascii="Narkisim" w:hAnsi="Narkisim" w:cs="Narkisim"/>
        </w:rPr>
      </w:pPr>
      <w:r w:rsidRPr="00AF1DC8">
        <w:rPr>
          <w:rFonts w:ascii="Narkisim" w:hAnsi="Narkisim" w:cs="Narkisim"/>
          <w:u w:val="single"/>
          <w:rtl/>
        </w:rPr>
        <w:t>דתניא הרי שבא ואמר מלתי וכו' ר"י אומר.</w:t>
      </w:r>
      <w:r w:rsidRPr="00AF1DC8">
        <w:rPr>
          <w:rFonts w:ascii="Narkisim" w:hAnsi="Narkisim" w:cs="Narkisim"/>
          <w:rtl/>
        </w:rPr>
        <w:t xml:space="preserve"> ה</w:t>
      </w:r>
      <w:r w:rsidRPr="00AF1DC8">
        <w:rPr>
          <w:rFonts w:ascii="Narkisim" w:hAnsi="Narkisim" w:cs="Narkisim"/>
          <w:b/>
          <w:bCs/>
          <w:rtl/>
        </w:rPr>
        <w:t>תו"י</w:t>
      </w:r>
      <w:r w:rsidRPr="00AF1DC8">
        <w:rPr>
          <w:rFonts w:ascii="Narkisim" w:hAnsi="Narkisim" w:cs="Narkisim"/>
          <w:rtl/>
        </w:rPr>
        <w:t xml:space="preserve"> ביאר דחיישינן שמא לא היתה מילה לשמה</w:t>
      </w:r>
      <w:r w:rsidRPr="00AF1DC8">
        <w:rPr>
          <w:rStyle w:val="ac"/>
          <w:rFonts w:ascii="Narkisim" w:hAnsi="Narkisim" w:cs="Narkisim"/>
          <w:rtl/>
        </w:rPr>
        <w:footnoteReference w:id="2784"/>
      </w:r>
      <w:r w:rsidRPr="00AF1DC8">
        <w:rPr>
          <w:rFonts w:ascii="Narkisim" w:hAnsi="Narkisim" w:cs="Narkisim"/>
        </w:rPr>
        <w:t xml:space="preserve">, </w:t>
      </w:r>
      <w:r w:rsidRPr="00AF1DC8">
        <w:rPr>
          <w:rFonts w:ascii="Narkisim" w:hAnsi="Narkisim" w:cs="Narkisim"/>
          <w:rtl/>
        </w:rPr>
        <w:t xml:space="preserve">והוה ערבי מהול. בפשוטו הטעם דבעינן מילה לשם מעשה גירות </w:t>
      </w:r>
      <w:r w:rsidRPr="00AF1DC8">
        <w:rPr>
          <w:rFonts w:ascii="Narkisim" w:hAnsi="Narkisim" w:cs="Narkisim"/>
          <w:sz w:val="20"/>
          <w:szCs w:val="20"/>
          <w:rtl/>
        </w:rPr>
        <w:t>[והמילה וטבילה נחשבין כב' דברים הפועלים הגירות</w:t>
      </w:r>
      <w:r w:rsidRPr="00AF1DC8">
        <w:rPr>
          <w:rStyle w:val="ac"/>
          <w:rFonts w:ascii="Narkisim" w:hAnsi="Narkisim" w:cs="Narkisim"/>
          <w:sz w:val="20"/>
          <w:szCs w:val="20"/>
          <w:rtl/>
        </w:rPr>
        <w:footnoteReference w:id="2785"/>
      </w:r>
      <w:r w:rsidRPr="00AF1DC8">
        <w:rPr>
          <w:rFonts w:ascii="Narkisim" w:hAnsi="Narkisim" w:cs="Narkisim"/>
          <w:sz w:val="20"/>
          <w:szCs w:val="20"/>
          <w:rtl/>
        </w:rPr>
        <w:t>]</w:t>
      </w:r>
      <w:r w:rsidRPr="00AF1DC8">
        <w:rPr>
          <w:rFonts w:ascii="Narkisim" w:hAnsi="Narkisim" w:cs="Narkisim"/>
          <w:rtl/>
        </w:rPr>
        <w:t>. אבל ב</w:t>
      </w:r>
      <w:r w:rsidRPr="00AF1DC8">
        <w:rPr>
          <w:rFonts w:ascii="Narkisim" w:hAnsi="Narkisim" w:cs="Narkisim"/>
          <w:b/>
          <w:bCs/>
          <w:rtl/>
        </w:rPr>
        <w:t>רמב"ן</w:t>
      </w:r>
      <w:r w:rsidRPr="00AF1DC8">
        <w:rPr>
          <w:rFonts w:ascii="Narkisim" w:hAnsi="Narkisim" w:cs="Narkisim"/>
          <w:rtl/>
        </w:rPr>
        <w:t xml:space="preserve"> (בע"א, ולקמן מז:) כת' דסגי במילה לשם יהדות, ואף דעדיין אינו מעשה גירות [וסגי להצטרף בשעת מילה]</w:t>
      </w:r>
      <w:r w:rsidRPr="00AF1DC8">
        <w:rPr>
          <w:rFonts w:ascii="Narkisim" w:hAnsi="Narkisim" w:cs="Narkisim"/>
        </w:rPr>
        <w:t>.</w:t>
      </w:r>
    </w:p>
    <w:p w14:paraId="6543442A" w14:textId="77777777" w:rsidR="006074A5" w:rsidRPr="00AF1DC8" w:rsidRDefault="006074A5" w:rsidP="006074A5">
      <w:pPr>
        <w:bidi/>
        <w:rPr>
          <w:rFonts w:ascii="Narkisim" w:hAnsi="Narkisim" w:cs="Narkisim"/>
        </w:rPr>
      </w:pPr>
      <w:r w:rsidRPr="00AF1DC8">
        <w:rPr>
          <w:rFonts w:ascii="Narkisim" w:hAnsi="Narkisim" w:cs="Narkisim"/>
          <w:u w:val="single"/>
          <w:rtl/>
        </w:rPr>
        <w:t>תוד"ה תקוני.</w:t>
      </w:r>
      <w:r w:rsidRPr="00AF1DC8">
        <w:rPr>
          <w:rFonts w:ascii="Narkisim" w:hAnsi="Narkisim" w:cs="Narkisim"/>
          <w:rtl/>
        </w:rPr>
        <w:t xml:space="preserve"> דנראה כמיקר, שאני הכא דבעי ב' ת"ח וכו'. מבואר דע”י שעומדים מבחוץ ניכר דאינו מיקר. וה</w:t>
      </w:r>
      <w:r w:rsidRPr="00AF1DC8">
        <w:rPr>
          <w:rFonts w:ascii="Narkisim" w:hAnsi="Narkisim" w:cs="Narkisim"/>
          <w:b/>
          <w:bCs/>
          <w:rtl/>
        </w:rPr>
        <w:t>מג"א</w:t>
      </w:r>
      <w:r w:rsidRPr="00AF1DC8">
        <w:rPr>
          <w:rFonts w:ascii="Narkisim" w:hAnsi="Narkisim" w:cs="Narkisim"/>
          <w:rtl/>
        </w:rPr>
        <w:t xml:space="preserve"> </w:t>
      </w:r>
      <w:r w:rsidRPr="00AF1DC8">
        <w:rPr>
          <w:rFonts w:ascii="Narkisim" w:hAnsi="Narkisim" w:cs="Narkisim"/>
          <w:sz w:val="20"/>
          <w:szCs w:val="20"/>
          <w:rtl/>
        </w:rPr>
        <w:t>(שכג ח)</w:t>
      </w:r>
      <w:r w:rsidRPr="00AF1DC8">
        <w:rPr>
          <w:rFonts w:ascii="Narkisim" w:hAnsi="Narkisim" w:cs="Narkisim"/>
          <w:rtl/>
        </w:rPr>
        <w:t xml:space="preserve"> הביא מסוגי' דאף באופן דמותר להטביל כלי בשבת, שלא יברך. דעי"ז יהא מוכח שמטביל. </w:t>
      </w:r>
      <w:r w:rsidRPr="00AF1DC8">
        <w:rPr>
          <w:rFonts w:ascii="Narkisim" w:hAnsi="Narkisim" w:cs="Narkisim"/>
          <w:sz w:val="20"/>
          <w:szCs w:val="20"/>
          <w:rtl/>
        </w:rPr>
        <w:t>וה</w:t>
      </w:r>
      <w:r w:rsidRPr="00AF1DC8">
        <w:rPr>
          <w:rFonts w:ascii="Narkisim" w:hAnsi="Narkisim" w:cs="Narkisim"/>
          <w:b/>
          <w:bCs/>
          <w:sz w:val="20"/>
          <w:szCs w:val="20"/>
          <w:rtl/>
        </w:rPr>
        <w:t>ביאו"ה</w:t>
      </w:r>
      <w:r w:rsidRPr="00AF1DC8">
        <w:rPr>
          <w:rFonts w:ascii="Narkisim" w:hAnsi="Narkisim" w:cs="Narkisim"/>
          <w:sz w:val="20"/>
          <w:szCs w:val="20"/>
          <w:rtl/>
        </w:rPr>
        <w:t xml:space="preserve"> (שם ד"ה ימלאנו) הקשה דנדה הטובלת מברכת אפי' בשבת</w:t>
      </w:r>
      <w:r w:rsidRPr="00AF1DC8">
        <w:rPr>
          <w:rStyle w:val="ac"/>
          <w:rFonts w:ascii="Narkisim" w:hAnsi="Narkisim" w:cs="Narkisim"/>
          <w:sz w:val="20"/>
          <w:szCs w:val="20"/>
          <w:rtl/>
        </w:rPr>
        <w:footnoteReference w:id="2786"/>
      </w:r>
      <w:r w:rsidRPr="00AF1DC8">
        <w:rPr>
          <w:rFonts w:ascii="Narkisim" w:hAnsi="Narkisim" w:cs="Narkisim"/>
          <w:sz w:val="20"/>
          <w:szCs w:val="20"/>
        </w:rPr>
        <w:t xml:space="preserve">, </w:t>
      </w:r>
      <w:r w:rsidRPr="00AF1DC8">
        <w:rPr>
          <w:rFonts w:ascii="Narkisim" w:hAnsi="Narkisim" w:cs="Narkisim"/>
          <w:sz w:val="20"/>
          <w:szCs w:val="20"/>
          <w:rtl/>
        </w:rPr>
        <w:t>וע”כ דלא גזרו כלל על טבילה זו. והביא דתליא במח' תוס' והרמב"ם (בסמוך)</w:t>
      </w:r>
      <w:r w:rsidRPr="00AF1DC8">
        <w:rPr>
          <w:rFonts w:ascii="Narkisim" w:hAnsi="Narkisim" w:cs="Narkisim"/>
          <w:sz w:val="20"/>
          <w:szCs w:val="20"/>
        </w:rPr>
        <w:t>.</w:t>
      </w:r>
    </w:p>
    <w:p w14:paraId="609AFDE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תו"י </w:t>
      </w:r>
      <w:r w:rsidRPr="00AF1DC8">
        <w:rPr>
          <w:rFonts w:ascii="Narkisim" w:hAnsi="Narkisim"/>
          <w:rtl/>
        </w:rPr>
        <w:t>וה</w:t>
      </w:r>
      <w:r w:rsidRPr="00AF1DC8">
        <w:rPr>
          <w:rFonts w:ascii="Narkisim" w:hAnsi="Narkisim"/>
          <w:b/>
          <w:bCs/>
          <w:rtl/>
        </w:rPr>
        <w:t xml:space="preserve">רמב"ן </w:t>
      </w:r>
      <w:r w:rsidRPr="00AF1DC8">
        <w:rPr>
          <w:rFonts w:ascii="Narkisim" w:hAnsi="Narkisim"/>
          <w:rtl/>
        </w:rPr>
        <w:t>(והרשב"א ביצה יז:) תי' דהכא הוה תיקון גמור להכניסו תחת השכינה ויש בו משום שבות</w:t>
      </w:r>
      <w:r w:rsidRPr="00AF1DC8">
        <w:rPr>
          <w:rStyle w:val="ac"/>
          <w:rFonts w:ascii="Narkisim" w:hAnsi="Narkisim"/>
          <w:rtl/>
        </w:rPr>
        <w:footnoteReference w:id="2787"/>
      </w:r>
      <w:r w:rsidRPr="00AF1DC8">
        <w:rPr>
          <w:rFonts w:ascii="Narkisim" w:hAnsi="Narkisim"/>
        </w:rPr>
        <w:t>.</w:t>
      </w:r>
    </w:p>
    <w:p w14:paraId="350AC642"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רמב"ם</w:t>
      </w:r>
      <w:r w:rsidRPr="00AF1DC8">
        <w:rPr>
          <w:rFonts w:ascii="Narkisim" w:hAnsi="Narkisim" w:cs="Narkisim"/>
          <w:rtl/>
        </w:rPr>
        <w:t xml:space="preserve"> (איסו"ב יג ו) כתב דאין מטבילין בשבת הואיל וצריך ג'. וה</w:t>
      </w:r>
      <w:r w:rsidRPr="00AF1DC8">
        <w:rPr>
          <w:rFonts w:ascii="Narkisim" w:hAnsi="Narkisim" w:cs="Narkisim"/>
          <w:b/>
          <w:bCs/>
          <w:rtl/>
        </w:rPr>
        <w:t>נו"כ</w:t>
      </w:r>
      <w:r w:rsidRPr="00AF1DC8">
        <w:rPr>
          <w:rFonts w:ascii="Narkisim" w:hAnsi="Narkisim" w:cs="Narkisim"/>
          <w:rtl/>
        </w:rPr>
        <w:t xml:space="preserve"> ביארו דס"ל דהטבילה הוה כמו 'דין', ואין דנים בשבת</w:t>
      </w:r>
      <w:r w:rsidRPr="00AF1DC8">
        <w:rPr>
          <w:rFonts w:ascii="Narkisim" w:hAnsi="Narkisim" w:cs="Narkisim"/>
        </w:rPr>
        <w:t>.</w:t>
      </w:r>
    </w:p>
    <w:p w14:paraId="79648ED1" w14:textId="77777777" w:rsidR="006074A5" w:rsidRPr="00AF1DC8" w:rsidRDefault="006074A5" w:rsidP="006074A5">
      <w:pPr>
        <w:bidi/>
        <w:rPr>
          <w:rFonts w:ascii="Narkisim" w:hAnsi="Narkisim" w:cs="Narkisim"/>
        </w:rPr>
      </w:pPr>
      <w:r w:rsidRPr="00AF1DC8">
        <w:rPr>
          <w:rFonts w:ascii="Narkisim" w:hAnsi="Narkisim" w:cs="Narkisim"/>
          <w:rtl/>
        </w:rPr>
        <w:t>אבל ה</w:t>
      </w:r>
      <w:r w:rsidRPr="00AF1DC8">
        <w:rPr>
          <w:rFonts w:ascii="Narkisim" w:hAnsi="Narkisim" w:cs="Narkisim"/>
          <w:b/>
          <w:bCs/>
          <w:rtl/>
        </w:rPr>
        <w:t>רי"ף</w:t>
      </w:r>
      <w:r w:rsidRPr="00AF1DC8">
        <w:rPr>
          <w:rFonts w:ascii="Narkisim" w:hAnsi="Narkisim" w:cs="Narkisim"/>
          <w:rtl/>
        </w:rPr>
        <w:t xml:space="preserve"> השמיט איסור טבילת גר בשבת. וה</w:t>
      </w:r>
      <w:r w:rsidRPr="00AF1DC8">
        <w:rPr>
          <w:rFonts w:ascii="Narkisim" w:hAnsi="Narkisim" w:cs="Narkisim"/>
          <w:b/>
          <w:bCs/>
          <w:rtl/>
        </w:rPr>
        <w:t>שלט"ג</w:t>
      </w:r>
      <w:r w:rsidRPr="00AF1DC8">
        <w:rPr>
          <w:rFonts w:ascii="Narkisim" w:hAnsi="Narkisim" w:cs="Narkisim"/>
          <w:rtl/>
        </w:rPr>
        <w:t xml:space="preserve"> (טז. בדה"ר ב) דייק מהשמטתם </w:t>
      </w:r>
      <w:r w:rsidRPr="00AF1DC8">
        <w:rPr>
          <w:rFonts w:ascii="Narkisim" w:hAnsi="Narkisim" w:cs="Narkisim"/>
          <w:rtl/>
        </w:rPr>
        <w:lastRenderedPageBreak/>
        <w:t>דלהלכה מותר. וכ"כ ה</w:t>
      </w:r>
      <w:r w:rsidRPr="00AF1DC8">
        <w:rPr>
          <w:rFonts w:ascii="Narkisim" w:hAnsi="Narkisim" w:cs="Narkisim"/>
          <w:b/>
          <w:bCs/>
          <w:rtl/>
        </w:rPr>
        <w:t>ב"ח</w:t>
      </w:r>
      <w:r w:rsidRPr="00AF1DC8">
        <w:rPr>
          <w:rFonts w:ascii="Narkisim" w:hAnsi="Narkisim" w:cs="Narkisim"/>
          <w:rtl/>
        </w:rPr>
        <w:t xml:space="preserve"> (יו"ד רסח) דקי"ל אף בטבילת גר דמיחזי כמיקר. וע"ע שו"ת אבנ"מ (י)</w:t>
      </w:r>
      <w:r w:rsidRPr="00AF1DC8">
        <w:rPr>
          <w:rFonts w:ascii="Narkisim" w:hAnsi="Narkisim" w:cs="Narkisim"/>
        </w:rPr>
        <w:t>.</w:t>
      </w:r>
    </w:p>
    <w:p w14:paraId="21C7D4A6"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ה</w:t>
      </w:r>
      <w:r w:rsidRPr="00AF1DC8">
        <w:rPr>
          <w:rFonts w:ascii="Narkisim" w:hAnsi="Narkisim"/>
          <w:b/>
          <w:bCs/>
          <w:rtl/>
        </w:rPr>
        <w:t>אחרונים</w:t>
      </w:r>
      <w:r w:rsidRPr="00AF1DC8">
        <w:rPr>
          <w:rFonts w:ascii="Narkisim" w:hAnsi="Narkisim"/>
          <w:rtl/>
        </w:rPr>
        <w:t xml:space="preserve"> דנו על מי האיסור לטבול, הרי קודם שטבל אינו מצווה בשמירת שבת. ואם נימא דהבי"ד הם המגיירים יל"פ דנחשב שהבי"ד הטבילוהו. וה</w:t>
      </w:r>
      <w:r w:rsidRPr="00AF1DC8">
        <w:rPr>
          <w:rFonts w:ascii="Narkisim" w:hAnsi="Narkisim"/>
          <w:b/>
          <w:bCs/>
          <w:rtl/>
        </w:rPr>
        <w:t>קה"י</w:t>
      </w:r>
      <w:r w:rsidRPr="00AF1DC8">
        <w:rPr>
          <w:rFonts w:ascii="Narkisim" w:hAnsi="Narkisim"/>
          <w:rtl/>
        </w:rPr>
        <w:t xml:space="preserve"> (שבת נו) כתב דמטעם זה כתב הרמב"ם הטעם משום דהוה דין</w:t>
      </w:r>
      <w:r w:rsidRPr="00AF1DC8">
        <w:rPr>
          <w:rFonts w:ascii="Narkisim" w:hAnsi="Narkisim"/>
        </w:rPr>
        <w:t>.</w:t>
      </w:r>
    </w:p>
    <w:p w14:paraId="0A35AD5D"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וה</w:t>
      </w:r>
      <w:r w:rsidRPr="00AF1DC8">
        <w:rPr>
          <w:rFonts w:ascii="Narkisim" w:hAnsi="Narkisim" w:cs="Narkisim"/>
          <w:b/>
          <w:bCs/>
          <w:rtl/>
        </w:rPr>
        <w:t>מג"א</w:t>
      </w:r>
      <w:r w:rsidRPr="00AF1DC8">
        <w:rPr>
          <w:rFonts w:ascii="Narkisim" w:hAnsi="Narkisim" w:cs="Narkisim"/>
          <w:rtl/>
        </w:rPr>
        <w:t xml:space="preserve"> (שם) הביא דמבואר דגמ' דלדברי ר' יהודה מטבילין בשבת. ולמד מזה דמומר שחזר בו טובל בשבת, כיון דהוה רק מדרבנן. [יל"ד האם כל איסור דרבנן נימא הכי]</w:t>
      </w:r>
      <w:r w:rsidRPr="00AF1DC8">
        <w:rPr>
          <w:rFonts w:ascii="Narkisim" w:hAnsi="Narkisim" w:cs="Narkisim"/>
        </w:rPr>
        <w:t>.</w:t>
      </w:r>
    </w:p>
    <w:p w14:paraId="48488015" w14:textId="77777777" w:rsidR="006074A5" w:rsidRPr="00AF1DC8" w:rsidRDefault="006074A5" w:rsidP="006074A5">
      <w:pPr>
        <w:bidi/>
        <w:rPr>
          <w:rFonts w:ascii="Narkisim" w:hAnsi="Narkisim" w:cs="Narkisim"/>
        </w:rPr>
      </w:pPr>
      <w:r w:rsidRPr="00AF1DC8">
        <w:rPr>
          <w:rFonts w:ascii="Narkisim" w:hAnsi="Narkisim" w:cs="Narkisim"/>
          <w:u w:val="single"/>
          <w:rtl/>
        </w:rPr>
        <w:t>וש"מ דאין מטבילין בלילה.</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פי' דטבילת הגר חשיב תחילת דין, ואף דכבר מל. [ולפ"ז לכאו' אף בדיעבד ל"מ]</w:t>
      </w:r>
      <w:r w:rsidRPr="00AF1DC8">
        <w:rPr>
          <w:rStyle w:val="ac"/>
          <w:rFonts w:ascii="Narkisim" w:hAnsi="Narkisim" w:cs="Narkisim"/>
          <w:rtl/>
        </w:rPr>
        <w:footnoteReference w:id="2788"/>
      </w:r>
      <w:r w:rsidRPr="00AF1DC8">
        <w:rPr>
          <w:rFonts w:ascii="Narkisim" w:hAnsi="Narkisim" w:cs="Narkisim"/>
        </w:rPr>
        <w:t xml:space="preserve">. </w:t>
      </w: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xml:space="preserve"> (לעיל מה: סוד"ה מי) נסתפקו דטבילה אינו בכלל משפט, אלא הוה לכתחילה ומדרבנן</w:t>
      </w:r>
      <w:r w:rsidRPr="00AF1DC8">
        <w:rPr>
          <w:rFonts w:ascii="Narkisim" w:hAnsi="Narkisim" w:cs="Narkisim"/>
        </w:rPr>
        <w:t>.</w:t>
      </w:r>
    </w:p>
    <w:p w14:paraId="2066816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(יג ו) פסק דמהני בדיעבד בלילה. וה</w:t>
      </w:r>
      <w:r w:rsidRPr="00AF1DC8">
        <w:rPr>
          <w:rFonts w:ascii="Narkisim" w:hAnsi="Narkisim"/>
          <w:b/>
          <w:bCs/>
          <w:rtl/>
        </w:rPr>
        <w:t>רשב”א</w:t>
      </w:r>
      <w:r w:rsidRPr="00AF1DC8">
        <w:rPr>
          <w:rFonts w:ascii="Narkisim" w:hAnsi="Narkisim"/>
          <w:rtl/>
        </w:rPr>
        <w:t xml:space="preserve"> ביאר דהוה כגמר דין [ולכן איצטריך לאשמועינן דלכתחילה לא בלילה]. </w:t>
      </w:r>
      <w:r w:rsidRPr="00AF1DC8">
        <w:rPr>
          <w:rFonts w:ascii="Narkisim" w:hAnsi="Narkisim"/>
          <w:sz w:val="20"/>
          <w:szCs w:val="20"/>
          <w:rtl/>
        </w:rPr>
        <w:t xml:space="preserve">אבל </w:t>
      </w:r>
      <w:r w:rsidRPr="00AF1DC8">
        <w:rPr>
          <w:rFonts w:ascii="Narkisim" w:hAnsi="Narkisim"/>
          <w:b/>
          <w:bCs/>
          <w:sz w:val="20"/>
          <w:szCs w:val="20"/>
          <w:rtl/>
        </w:rPr>
        <w:t>תוס</w:t>
      </w:r>
      <w:r w:rsidRPr="00AF1DC8">
        <w:rPr>
          <w:rFonts w:ascii="Narkisim" w:hAnsi="Narkisim"/>
          <w:sz w:val="20"/>
          <w:szCs w:val="20"/>
          <w:rtl/>
        </w:rPr>
        <w:t>' (לעיל מה: ד"ה מי) כת' דבדיעבד מהני משום דהטבילה אינו בכלל משפט.</w:t>
      </w:r>
      <w:r w:rsidRPr="00AF1DC8">
        <w:rPr>
          <w:rFonts w:ascii="Narkisim" w:hAnsi="Narkisim"/>
          <w:rtl/>
        </w:rPr>
        <w:t xml:space="preserve"> וה</w:t>
      </w:r>
      <w:r w:rsidRPr="00AF1DC8">
        <w:rPr>
          <w:rFonts w:ascii="Narkisim" w:hAnsi="Narkisim"/>
          <w:b/>
          <w:bCs/>
          <w:rtl/>
        </w:rPr>
        <w:t>רמב"ן</w:t>
      </w:r>
      <w:r w:rsidRPr="00AF1DC8">
        <w:rPr>
          <w:rFonts w:ascii="Narkisim" w:hAnsi="Narkisim"/>
          <w:rtl/>
        </w:rPr>
        <w:t xml:space="preserve"> נסתפק אי מהני בדיעבד</w:t>
      </w:r>
      <w:r w:rsidRPr="00AF1DC8">
        <w:rPr>
          <w:rFonts w:ascii="Narkisim" w:hAnsi="Narkisim"/>
        </w:rPr>
        <w:t xml:space="preserve">.   </w:t>
      </w:r>
    </w:p>
    <w:p w14:paraId="177FACE8" w14:textId="77777777" w:rsidR="006074A5" w:rsidRPr="00AF1DC8" w:rsidRDefault="006074A5" w:rsidP="006074A5">
      <w:pPr>
        <w:bidi/>
        <w:rPr>
          <w:rFonts w:ascii="Narkisim" w:hAnsi="Narkisim" w:cs="Narkisim"/>
        </w:rPr>
      </w:pPr>
      <w:r w:rsidRPr="00AF1DC8">
        <w:rPr>
          <w:rFonts w:ascii="Narkisim" w:hAnsi="Narkisim" w:cs="Narkisim"/>
          <w:u w:val="single"/>
          <w:rtl/>
        </w:rPr>
        <w:t>שם. וש"מ וכו'</w:t>
      </w:r>
      <w:r w:rsidRPr="00AF1DC8">
        <w:rPr>
          <w:rFonts w:ascii="Narkisim" w:hAnsi="Narkisim" w:cs="Narkisim"/>
          <w:rtl/>
        </w:rPr>
        <w:t>. ה</w:t>
      </w:r>
      <w:r w:rsidRPr="00AF1DC8">
        <w:rPr>
          <w:rFonts w:ascii="Narkisim" w:hAnsi="Narkisim" w:cs="Narkisim"/>
          <w:b/>
          <w:bCs/>
          <w:rtl/>
        </w:rPr>
        <w:t>רשב"א</w:t>
      </w:r>
      <w:r w:rsidRPr="00AF1DC8">
        <w:rPr>
          <w:rFonts w:ascii="Narkisim" w:hAnsi="Narkisim" w:cs="Narkisim"/>
          <w:rtl/>
        </w:rPr>
        <w:t xml:space="preserve"> הקשה דנימא דקאי כר' יהודה, ובחדא סגי. אלא דלכתחילה לכו”ע בעי מילה וטבילה. ותי' דא”כ היו עושים בלילה, דהוה גמר דין בלילה. וה</w:t>
      </w:r>
      <w:r w:rsidRPr="00AF1DC8">
        <w:rPr>
          <w:rFonts w:ascii="Narkisim" w:hAnsi="Narkisim" w:cs="Narkisim"/>
          <w:b/>
          <w:bCs/>
          <w:rtl/>
        </w:rPr>
        <w:t>רמב"ן</w:t>
      </w:r>
      <w:r w:rsidRPr="00AF1DC8">
        <w:rPr>
          <w:rFonts w:ascii="Narkisim" w:hAnsi="Narkisim" w:cs="Narkisim"/>
          <w:rtl/>
        </w:rPr>
        <w:t xml:space="preserve"> תי' דדייק מהא דשהה ונתעכבו עד למחר. דאי משום לכתחילה בעלמא לא היה טורח</w:t>
      </w:r>
      <w:r w:rsidRPr="00AF1DC8">
        <w:rPr>
          <w:rFonts w:ascii="Narkisim" w:hAnsi="Narkisim" w:cs="Narkisim"/>
        </w:rPr>
        <w:t>.</w:t>
      </w:r>
    </w:p>
    <w:p w14:paraId="1818FB41" w14:textId="77777777" w:rsidR="006074A5" w:rsidRPr="00AF1DC8" w:rsidRDefault="006074A5" w:rsidP="006074A5">
      <w:pPr>
        <w:bidi/>
        <w:rPr>
          <w:rFonts w:ascii="Narkisim" w:hAnsi="Narkisim" w:cs="Narkisim"/>
        </w:rPr>
      </w:pPr>
      <w:r w:rsidRPr="00AF1DC8">
        <w:rPr>
          <w:rFonts w:ascii="Narkisim" w:hAnsi="Narkisim" w:cs="Narkisim"/>
          <w:u w:val="single"/>
          <w:rtl/>
        </w:rPr>
        <w:t>תוד"ה דרבי יוסי.</w:t>
      </w:r>
      <w:r w:rsidRPr="00AF1DC8">
        <w:rPr>
          <w:rFonts w:ascii="Narkisim" w:hAnsi="Narkisim" w:cs="Narkisim"/>
          <w:rtl/>
        </w:rPr>
        <w:t xml:space="preserve"> כתב בה"ג וכו' צריך להטיף דם ברית, משא”כ נולד מהול. וה</w:t>
      </w:r>
      <w:r w:rsidRPr="00AF1DC8">
        <w:rPr>
          <w:rFonts w:ascii="Narkisim" w:hAnsi="Narkisim" w:cs="Narkisim"/>
          <w:b/>
          <w:bCs/>
          <w:rtl/>
        </w:rPr>
        <w:t>תו"י</w:t>
      </w:r>
      <w:r w:rsidRPr="00AF1DC8">
        <w:rPr>
          <w:rFonts w:ascii="Narkisim" w:hAnsi="Narkisim" w:cs="Narkisim"/>
          <w:rtl/>
        </w:rPr>
        <w:t xml:space="preserve"> (בתחילת דבריו) פי' דכיון דעכו"ם הוחזק ערל </w:t>
      </w:r>
      <w:r w:rsidRPr="00AF1DC8">
        <w:rPr>
          <w:rFonts w:ascii="Narkisim" w:hAnsi="Narkisim" w:cs="Narkisim"/>
          <w:sz w:val="20"/>
          <w:szCs w:val="20"/>
          <w:rtl/>
        </w:rPr>
        <w:t>[כדאמרי' לקמן עא. דגבעוני מהול יש לו שם ערל]</w:t>
      </w:r>
      <w:r w:rsidRPr="00AF1DC8">
        <w:rPr>
          <w:rFonts w:ascii="Narkisim" w:hAnsi="Narkisim" w:cs="Narkisim"/>
          <w:rtl/>
        </w:rPr>
        <w:t>. וה</w:t>
      </w:r>
      <w:r w:rsidRPr="00AF1DC8">
        <w:rPr>
          <w:rFonts w:ascii="Narkisim" w:hAnsi="Narkisim" w:cs="Narkisim"/>
          <w:b/>
          <w:bCs/>
          <w:rtl/>
        </w:rPr>
        <w:t>רא"ש</w:t>
      </w:r>
      <w:r w:rsidRPr="00AF1DC8">
        <w:rPr>
          <w:rFonts w:ascii="Narkisim" w:hAnsi="Narkisim" w:cs="Narkisim"/>
          <w:rtl/>
        </w:rPr>
        <w:t xml:space="preserve"> (שבת יט ה) הקשה דלפ"ז נימול תוך ז' צריך הטפה. ועוד גר נולד מהול לא יצטרך הטפה [ולא פלוג]</w:t>
      </w:r>
      <w:r w:rsidRPr="00AF1DC8">
        <w:rPr>
          <w:rFonts w:ascii="Narkisim" w:hAnsi="Narkisim" w:cs="Narkisim"/>
        </w:rPr>
        <w:t>.</w:t>
      </w:r>
    </w:p>
    <w:p w14:paraId="116B9E38" w14:textId="77777777" w:rsidR="006074A5" w:rsidRPr="00AF1DC8" w:rsidRDefault="006074A5" w:rsidP="006074A5">
      <w:pPr>
        <w:pStyle w:val="a7"/>
        <w:bidi/>
        <w:rPr>
          <w:rFonts w:ascii="Narkisim" w:hAnsi="Narkisim"/>
        </w:rPr>
      </w:pPr>
      <w:r w:rsidRPr="00AF1DC8">
        <w:rPr>
          <w:rFonts w:ascii="Narkisim" w:hAnsi="Narkisim"/>
          <w:rtl/>
        </w:rPr>
        <w:t>ומסקנת ה</w:t>
      </w:r>
      <w:r w:rsidRPr="00AF1DC8">
        <w:rPr>
          <w:rFonts w:ascii="Narkisim" w:hAnsi="Narkisim"/>
          <w:b/>
          <w:bCs/>
          <w:rtl/>
        </w:rPr>
        <w:t>תו"י,</w:t>
      </w:r>
      <w:r w:rsidRPr="00AF1DC8">
        <w:rPr>
          <w:rFonts w:ascii="Narkisim" w:hAnsi="Narkisim"/>
          <w:rtl/>
        </w:rPr>
        <w:t xml:space="preserve"> וכן </w:t>
      </w:r>
      <w:r w:rsidRPr="00AF1DC8">
        <w:rPr>
          <w:rFonts w:ascii="Narkisim" w:hAnsi="Narkisim"/>
          <w:b/>
          <w:bCs/>
          <w:rtl/>
        </w:rPr>
        <w:t>תוס</w:t>
      </w:r>
      <w:r w:rsidRPr="00AF1DC8">
        <w:rPr>
          <w:rFonts w:ascii="Narkisim" w:hAnsi="Narkisim"/>
          <w:rtl/>
        </w:rPr>
        <w:t>' (שבת קלה. ד"ה לא בשם הרשב"א) וה</w:t>
      </w:r>
      <w:r w:rsidRPr="00AF1DC8">
        <w:rPr>
          <w:rFonts w:ascii="Narkisim" w:hAnsi="Narkisim"/>
          <w:b/>
          <w:bCs/>
          <w:rtl/>
        </w:rPr>
        <w:t>רא"ש</w:t>
      </w:r>
      <w:r w:rsidRPr="00AF1DC8">
        <w:rPr>
          <w:rFonts w:ascii="Narkisim" w:hAnsi="Narkisim"/>
          <w:rtl/>
        </w:rPr>
        <w:t xml:space="preserve"> (שם) דקטן נולד מהול יש גזיה"כ שאין לו ערלה</w:t>
      </w:r>
      <w:r w:rsidRPr="00AF1DC8">
        <w:rPr>
          <w:rFonts w:ascii="Narkisim" w:hAnsi="Narkisim"/>
        </w:rPr>
        <w:t>.</w:t>
      </w:r>
    </w:p>
    <w:p w14:paraId="68A18742" w14:textId="77777777" w:rsidR="006074A5" w:rsidRPr="00AF1DC8" w:rsidRDefault="006074A5" w:rsidP="006074A5">
      <w:pPr>
        <w:pStyle w:val="aa"/>
        <w:bidi/>
        <w:rPr>
          <w:rFonts w:ascii="Narkisim" w:hAnsi="Narkisim"/>
        </w:rPr>
      </w:pPr>
      <w:r w:rsidRPr="00AF1DC8">
        <w:rPr>
          <w:rFonts w:ascii="Narkisim" w:hAnsi="Narkisim"/>
          <w:u w:val="single"/>
          <w:rtl/>
        </w:rPr>
        <w:t>בא"ד אין דומה דמילתו מעכבתו.</w:t>
      </w:r>
      <w:r w:rsidRPr="00AF1DC8">
        <w:rPr>
          <w:rFonts w:ascii="Narkisim" w:hAnsi="Narkisim"/>
          <w:rtl/>
        </w:rPr>
        <w:t xml:space="preserve"> יש שהבינו מזה דה”ה כל גר היכא דאינו יכול למול כלל [כגון חולה או מתו אחיו מחמת מילה], לא יעכב המילה. ויש</w:t>
      </w:r>
      <w:r w:rsidRPr="00AF1DC8">
        <w:rPr>
          <w:rStyle w:val="ac"/>
          <w:rFonts w:ascii="Narkisim" w:hAnsi="Narkisim"/>
          <w:rtl/>
        </w:rPr>
        <w:footnoteReference w:id="2789"/>
      </w:r>
      <w:r w:rsidRPr="00AF1DC8">
        <w:rPr>
          <w:rFonts w:ascii="Narkisim" w:hAnsi="Narkisim"/>
        </w:rPr>
        <w:t xml:space="preserve"> </w:t>
      </w:r>
      <w:r w:rsidRPr="00AF1DC8">
        <w:rPr>
          <w:rFonts w:ascii="Narkisim" w:hAnsi="Narkisim"/>
          <w:rtl/>
        </w:rPr>
        <w:t>שדחו דכוונת התוס' דוקא הכא דאינו 'ערל' בפועל.</w:t>
      </w:r>
      <w:r w:rsidRPr="00AF1DC8">
        <w:rPr>
          <w:rFonts w:ascii="Narkisim" w:hAnsi="Narkisim"/>
          <w:i/>
          <w:iCs/>
          <w:rtl/>
        </w:rPr>
        <w:t xml:space="preserve"> </w:t>
      </w:r>
      <w:r w:rsidRPr="00AF1DC8">
        <w:rPr>
          <w:rFonts w:ascii="Narkisim" w:hAnsi="Narkisim"/>
          <w:rtl/>
        </w:rPr>
        <w:t>וה</w:t>
      </w:r>
      <w:r w:rsidRPr="00AF1DC8">
        <w:rPr>
          <w:rFonts w:ascii="Narkisim" w:hAnsi="Narkisim"/>
          <w:b/>
          <w:bCs/>
          <w:rtl/>
        </w:rPr>
        <w:t>גר"א</w:t>
      </w:r>
      <w:r w:rsidRPr="00AF1DC8">
        <w:rPr>
          <w:rFonts w:ascii="Narkisim" w:hAnsi="Narkisim"/>
          <w:rtl/>
        </w:rPr>
        <w:t xml:space="preserve"> (רסח ד) כת' דילפי' מאמהות כיון דהוה אי אפשר [וכ”כ הרשב”א (שבת קלה) לצד דלא בעי הטפת דם ברית]</w:t>
      </w:r>
      <w:r w:rsidRPr="00AF1DC8">
        <w:rPr>
          <w:rFonts w:ascii="Narkisim" w:hAnsi="Narkisim"/>
        </w:rPr>
        <w:t>.</w:t>
      </w:r>
    </w:p>
    <w:p w14:paraId="17CEE2AB" w14:textId="77777777" w:rsidR="006074A5" w:rsidRPr="00AF1DC8" w:rsidRDefault="006074A5" w:rsidP="006074A5">
      <w:pPr>
        <w:bidi/>
        <w:rPr>
          <w:rFonts w:ascii="Narkisim" w:hAnsi="Narkisim" w:cs="Narkisim"/>
        </w:rPr>
      </w:pPr>
      <w:r w:rsidRPr="00AF1DC8">
        <w:rPr>
          <w:rFonts w:ascii="Narkisim" w:hAnsi="Narkisim" w:cs="Narkisim"/>
          <w:u w:val="single"/>
          <w:rtl/>
        </w:rPr>
        <w:t>בא"ד ור"ח פסק איפכא וכו'.</w:t>
      </w:r>
      <w:r w:rsidRPr="00AF1DC8">
        <w:rPr>
          <w:rFonts w:ascii="Narkisim" w:hAnsi="Narkisim" w:cs="Narkisim"/>
          <w:rtl/>
        </w:rPr>
        <w:t xml:space="preserve"> וה</w:t>
      </w:r>
      <w:r w:rsidRPr="00AF1DC8">
        <w:rPr>
          <w:rFonts w:ascii="Narkisim" w:hAnsi="Narkisim" w:cs="Narkisim"/>
          <w:b/>
          <w:bCs/>
          <w:rtl/>
        </w:rPr>
        <w:t>ראשונים</w:t>
      </w:r>
      <w:r w:rsidRPr="00AF1DC8">
        <w:rPr>
          <w:rFonts w:ascii="Narkisim" w:hAnsi="Narkisim" w:cs="Narkisim"/>
          <w:rtl/>
        </w:rPr>
        <w:t xml:space="preserve"> (הטור רסח, ובשלט"ג והר”ן בשבת בשם ר”ת) הביאו בשם </w:t>
      </w:r>
      <w:r w:rsidRPr="00AF1DC8">
        <w:rPr>
          <w:rFonts w:ascii="Narkisim" w:hAnsi="Narkisim" w:cs="Narkisim"/>
          <w:b/>
          <w:bCs/>
          <w:rtl/>
        </w:rPr>
        <w:t>ר"ח</w:t>
      </w:r>
      <w:r w:rsidRPr="00AF1DC8">
        <w:rPr>
          <w:rFonts w:ascii="Narkisim" w:hAnsi="Narkisim" w:cs="Narkisim"/>
          <w:rtl/>
        </w:rPr>
        <w:t xml:space="preserve"> דאם היה נימול ובא להתגייר, אין לו תקנה. אבל בניו נימולים ונכנסין לקהל. דהא אגייר בטבילה, וכגר חשיב להכשיר זרעו.</w:t>
      </w:r>
      <w:r w:rsidRPr="00AF1DC8">
        <w:rPr>
          <w:rFonts w:ascii="Narkisim" w:hAnsi="Narkisim" w:cs="Narkisim"/>
          <w:sz w:val="20"/>
          <w:szCs w:val="20"/>
          <w:rtl/>
        </w:rPr>
        <w:t xml:space="preserve"> ומבואר בדבריו דמהני הגירות במקצת, לענין שלא לפסול את בניו. וה</w:t>
      </w:r>
      <w:r w:rsidRPr="00AF1DC8">
        <w:rPr>
          <w:rFonts w:ascii="Narkisim" w:hAnsi="Narkisim" w:cs="Narkisim"/>
          <w:b/>
          <w:bCs/>
          <w:sz w:val="20"/>
          <w:szCs w:val="20"/>
          <w:rtl/>
        </w:rPr>
        <w:t>ט"ז</w:t>
      </w:r>
      <w:r w:rsidRPr="00AF1DC8">
        <w:rPr>
          <w:rFonts w:ascii="Narkisim" w:hAnsi="Narkisim" w:cs="Narkisim"/>
          <w:sz w:val="20"/>
          <w:szCs w:val="20"/>
          <w:rtl/>
        </w:rPr>
        <w:t xml:space="preserve"> (רסח א) כתב דאיירי דנשא בת ישראל, ומהני הגירות שנכנס לקדושת ישראל לענין שלא יקראוהו בר ארמאי [ע' מש”כ בזה לעיל מה.</w:t>
      </w:r>
      <w:r w:rsidRPr="00AF1DC8">
        <w:rPr>
          <w:rStyle w:val="ac"/>
          <w:rFonts w:ascii="Narkisim" w:hAnsi="Narkisim" w:cs="Narkisim"/>
          <w:sz w:val="20"/>
          <w:szCs w:val="20"/>
          <w:rtl/>
        </w:rPr>
        <w:footnoteReference w:id="2790"/>
      </w:r>
      <w:r w:rsidRPr="00AF1DC8">
        <w:rPr>
          <w:rFonts w:ascii="Narkisim" w:hAnsi="Narkisim" w:cs="Narkisim"/>
          <w:sz w:val="20"/>
          <w:szCs w:val="20"/>
          <w:rtl/>
        </w:rPr>
        <w:t>]. וצ"ב היכן מצאנו גדר זה דמקצת גירות. וה</w:t>
      </w:r>
      <w:r w:rsidRPr="00AF1DC8">
        <w:rPr>
          <w:rFonts w:ascii="Narkisim" w:hAnsi="Narkisim" w:cs="Narkisim"/>
          <w:b/>
          <w:bCs/>
          <w:sz w:val="20"/>
          <w:szCs w:val="20"/>
          <w:rtl/>
        </w:rPr>
        <w:t>אחרונים</w:t>
      </w:r>
      <w:r w:rsidRPr="00AF1DC8">
        <w:rPr>
          <w:rFonts w:ascii="Narkisim" w:hAnsi="Narkisim" w:cs="Narkisim"/>
          <w:sz w:val="20"/>
          <w:szCs w:val="20"/>
          <w:rtl/>
        </w:rPr>
        <w:t xml:space="preserve"> כתבו דנחשב שיש מעשה גירות, אלא דהערלות מונע. וצ"ב</w:t>
      </w:r>
      <w:r w:rsidRPr="00AF1DC8">
        <w:rPr>
          <w:rFonts w:ascii="Narkisim" w:hAnsi="Narkisim" w:cs="Narkisim"/>
        </w:rPr>
        <w:t>.</w:t>
      </w:r>
    </w:p>
    <w:p w14:paraId="76DA7EFA" w14:textId="77777777" w:rsidR="006074A5" w:rsidRPr="00AF1DC8" w:rsidRDefault="006074A5" w:rsidP="006074A5">
      <w:pPr>
        <w:bidi/>
        <w:rPr>
          <w:rFonts w:ascii="Narkisim" w:hAnsi="Narkisim" w:cs="Narkisim"/>
        </w:rPr>
      </w:pPr>
      <w:r w:rsidRPr="00AF1DC8">
        <w:rPr>
          <w:rFonts w:ascii="Narkisim" w:hAnsi="Narkisim" w:cs="Narkisim"/>
          <w:u w:val="single"/>
          <w:rtl/>
        </w:rPr>
        <w:t>תוד"ה משפט.</w:t>
      </w:r>
      <w:r w:rsidRPr="00AF1DC8">
        <w:rPr>
          <w:rFonts w:ascii="Narkisim" w:hAnsi="Narkisim" w:cs="Narkisim"/>
          <w:rtl/>
        </w:rPr>
        <w:t xml:space="preserve"> ואפי' למ"ד דבר תורה חד וכו' הכא מדמינן לגזילות וחבלות. אבל ה</w:t>
      </w:r>
      <w:r w:rsidRPr="00AF1DC8">
        <w:rPr>
          <w:rFonts w:ascii="Narkisim" w:hAnsi="Narkisim" w:cs="Narkisim"/>
          <w:b/>
          <w:bCs/>
          <w:rtl/>
        </w:rPr>
        <w:t>מרדכי</w:t>
      </w:r>
      <w:r w:rsidRPr="00AF1DC8">
        <w:rPr>
          <w:rFonts w:ascii="Narkisim" w:hAnsi="Narkisim" w:cs="Narkisim"/>
          <w:rtl/>
        </w:rPr>
        <w:t xml:space="preserve"> (לו) מביא בשם</w:t>
      </w:r>
      <w:r w:rsidRPr="00AF1DC8">
        <w:rPr>
          <w:rFonts w:ascii="Narkisim" w:hAnsi="Narkisim" w:cs="Narkisim"/>
          <w:b/>
          <w:bCs/>
          <w:rtl/>
        </w:rPr>
        <w:t xml:space="preserve"> ר"י בר' יו"ט</w:t>
      </w:r>
      <w:r w:rsidRPr="00AF1DC8">
        <w:rPr>
          <w:rFonts w:ascii="Narkisim" w:hAnsi="Narkisim" w:cs="Narkisim"/>
          <w:rtl/>
        </w:rPr>
        <w:t xml:space="preserve"> דמדאורייתא חד כשר כדיני ממונות</w:t>
      </w:r>
      <w:r w:rsidRPr="00AF1DC8">
        <w:rPr>
          <w:rStyle w:val="ac"/>
          <w:rFonts w:ascii="Narkisim" w:hAnsi="Narkisim" w:cs="Narkisim"/>
          <w:rtl/>
        </w:rPr>
        <w:footnoteReference w:id="2791"/>
      </w:r>
      <w:r w:rsidRPr="00AF1DC8">
        <w:rPr>
          <w:rFonts w:ascii="Narkisim" w:hAnsi="Narkisim" w:cs="Narkisim"/>
        </w:rPr>
        <w:t xml:space="preserve">. </w:t>
      </w:r>
      <w:r w:rsidRPr="00AF1DC8">
        <w:rPr>
          <w:rFonts w:ascii="Narkisim" w:hAnsi="Narkisim" w:cs="Narkisim"/>
          <w:rtl/>
        </w:rPr>
        <w:t xml:space="preserve">וכן </w:t>
      </w:r>
      <w:r w:rsidRPr="00AF1DC8">
        <w:rPr>
          <w:rFonts w:ascii="Narkisim" w:hAnsi="Narkisim" w:cs="Narkisim"/>
          <w:b/>
          <w:bCs/>
          <w:rtl/>
        </w:rPr>
        <w:t>תוס</w:t>
      </w:r>
      <w:r w:rsidRPr="00AF1DC8">
        <w:rPr>
          <w:rFonts w:ascii="Narkisim" w:hAnsi="Narkisim" w:cs="Narkisim"/>
          <w:rtl/>
        </w:rPr>
        <w:t>' (מה: ד"ה מי) העלו צד כזה. וה</w:t>
      </w:r>
      <w:r w:rsidRPr="00AF1DC8">
        <w:rPr>
          <w:rFonts w:ascii="Narkisim" w:hAnsi="Narkisim" w:cs="Narkisim"/>
          <w:b/>
          <w:bCs/>
          <w:rtl/>
        </w:rPr>
        <w:t>רמב"ן</w:t>
      </w:r>
      <w:r w:rsidRPr="00AF1DC8">
        <w:rPr>
          <w:rFonts w:ascii="Narkisim" w:hAnsi="Narkisim" w:cs="Narkisim"/>
          <w:rtl/>
        </w:rPr>
        <w:t xml:space="preserve"> ו</w:t>
      </w:r>
      <w:r w:rsidRPr="00AF1DC8">
        <w:rPr>
          <w:rFonts w:ascii="Narkisim" w:hAnsi="Narkisim" w:cs="Narkisim"/>
          <w:b/>
          <w:bCs/>
          <w:rtl/>
        </w:rPr>
        <w:t>רשב"א</w:t>
      </w:r>
      <w:r w:rsidRPr="00AF1DC8">
        <w:rPr>
          <w:rFonts w:ascii="Narkisim" w:hAnsi="Narkisim" w:cs="Narkisim"/>
          <w:rtl/>
        </w:rPr>
        <w:t xml:space="preserve"> כתבו עוד דאפשר דגמירי דבעי ג', אבל לא בעי מומחין מדאורייתא. והא דאמרי' משפט אסמכתא בעלמא</w:t>
      </w:r>
      <w:r w:rsidRPr="00AF1DC8">
        <w:rPr>
          <w:rFonts w:ascii="Narkisim" w:hAnsi="Narkisim" w:cs="Narkisim"/>
        </w:rPr>
        <w:t xml:space="preserve">.  </w:t>
      </w:r>
    </w:p>
    <w:p w14:paraId="37463A40" w14:textId="77777777" w:rsidR="006074A5" w:rsidRPr="00AF1DC8" w:rsidRDefault="006074A5" w:rsidP="006074A5">
      <w:pPr>
        <w:bidi/>
        <w:rPr>
          <w:rFonts w:ascii="Narkisim" w:hAnsi="Narkisim" w:cs="Narkisim"/>
        </w:rPr>
      </w:pPr>
      <w:r w:rsidRPr="00AF1DC8">
        <w:rPr>
          <w:rFonts w:ascii="Narkisim" w:hAnsi="Narkisim" w:cs="Narkisim"/>
          <w:u w:val="single"/>
          <w:rtl/>
        </w:rPr>
        <w:t>בא"ד (בע"א) וי"ל דשליחותייהו עבדינן</w:t>
      </w:r>
      <w:r w:rsidRPr="00AF1DC8">
        <w:rPr>
          <w:rStyle w:val="ac"/>
          <w:rFonts w:ascii="Narkisim" w:hAnsi="Narkisim" w:cs="Narkisim"/>
          <w:u w:val="single"/>
          <w:rtl/>
        </w:rPr>
        <w:footnoteReference w:id="2792"/>
      </w:r>
      <w:r w:rsidRPr="00AF1DC8">
        <w:rPr>
          <w:rFonts w:ascii="Narkisim" w:hAnsi="Narkisim" w:cs="Narkisim"/>
          <w:u w:val="single"/>
        </w:rPr>
        <w:t xml:space="preserve"> </w:t>
      </w:r>
      <w:r w:rsidRPr="00AF1DC8">
        <w:rPr>
          <w:rFonts w:ascii="Narkisim" w:hAnsi="Narkisim" w:cs="Narkisim"/>
          <w:u w:val="single"/>
          <w:rtl/>
        </w:rPr>
        <w:t>וכו' חשו נמי לנעילת דלת בפני גרים.</w:t>
      </w:r>
      <w:r w:rsidRPr="00AF1DC8">
        <w:rPr>
          <w:rFonts w:ascii="Narkisim" w:hAnsi="Narkisim" w:cs="Narkisim"/>
          <w:rtl/>
        </w:rPr>
        <w:t xml:space="preserve">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חקרו בגדר שליחותייהו, האם הוה דין מינוי, או דנחשב שפועלים ע"י ממש].</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הקשה דשליחות הוה תקנ"ח, והיאך מהני בגר ומנסבינן ליה בת ישראל</w:t>
      </w:r>
      <w:r w:rsidRPr="00AF1DC8">
        <w:rPr>
          <w:rFonts w:ascii="Narkisim" w:hAnsi="Narkisim" w:cs="Narkisim"/>
          <w:sz w:val="20"/>
          <w:szCs w:val="20"/>
          <w:rtl/>
        </w:rPr>
        <w:t xml:space="preserve"> [הו' ב</w:t>
      </w:r>
      <w:r w:rsidRPr="00AF1DC8">
        <w:rPr>
          <w:rFonts w:ascii="Narkisim" w:hAnsi="Narkisim" w:cs="Narkisim"/>
          <w:b/>
          <w:bCs/>
          <w:sz w:val="20"/>
          <w:szCs w:val="20"/>
          <w:rtl/>
        </w:rPr>
        <w:t>באה”ט</w:t>
      </w:r>
      <w:r w:rsidRPr="00AF1DC8">
        <w:rPr>
          <w:rFonts w:ascii="Narkisim" w:hAnsi="Narkisim" w:cs="Narkisim"/>
          <w:sz w:val="20"/>
          <w:szCs w:val="20"/>
          <w:rtl/>
        </w:rPr>
        <w:t xml:space="preserve"> (חו”מ א ב)]</w:t>
      </w:r>
      <w:r w:rsidRPr="00AF1DC8">
        <w:rPr>
          <w:rFonts w:ascii="Narkisim" w:hAnsi="Narkisim" w:cs="Narkisim"/>
        </w:rPr>
        <w:t>.</w:t>
      </w:r>
    </w:p>
    <w:p w14:paraId="1C3585CA"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(בסו"ד) כתב ואפשר דאף מה"ת מהני הדיוטות בשליחותייהו דמומחין</w:t>
      </w:r>
      <w:r w:rsidRPr="00AF1DC8">
        <w:rPr>
          <w:rFonts w:ascii="Narkisim" w:hAnsi="Narkisim"/>
        </w:rPr>
        <w:t>.</w:t>
      </w:r>
    </w:p>
    <w:p w14:paraId="4C5A565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קצות</w:t>
      </w:r>
      <w:r w:rsidRPr="00AF1DC8">
        <w:rPr>
          <w:rFonts w:ascii="Narkisim" w:hAnsi="Narkisim"/>
          <w:rtl/>
        </w:rPr>
        <w:t xml:space="preserve"> (לד א) תי' [דעת תוס'] דיש כח ביד חכמים בדבר גדול לעקור דבר מה"ת אף בקום </w:t>
      </w:r>
      <w:r w:rsidRPr="00AF1DC8">
        <w:rPr>
          <w:rFonts w:ascii="Narkisim" w:hAnsi="Narkisim"/>
          <w:rtl/>
        </w:rPr>
        <w:lastRenderedPageBreak/>
        <w:t>ועשה</w:t>
      </w:r>
      <w:r w:rsidRPr="00AF1DC8">
        <w:rPr>
          <w:rStyle w:val="ac"/>
          <w:rFonts w:ascii="Narkisim" w:hAnsi="Narkisim"/>
          <w:rtl/>
        </w:rPr>
        <w:footnoteReference w:id="2793"/>
      </w:r>
      <w:r w:rsidRPr="00AF1DC8">
        <w:rPr>
          <w:rFonts w:ascii="Narkisim" w:hAnsi="Narkisim"/>
        </w:rPr>
        <w:t xml:space="preserve">. </w:t>
      </w:r>
      <w:r w:rsidRPr="00AF1DC8">
        <w:rPr>
          <w:rFonts w:ascii="Narkisim" w:hAnsi="Narkisim"/>
          <w:rtl/>
        </w:rPr>
        <w:t>וה</w:t>
      </w:r>
      <w:r w:rsidRPr="00AF1DC8">
        <w:rPr>
          <w:rFonts w:ascii="Narkisim" w:hAnsi="Narkisim"/>
          <w:b/>
          <w:bCs/>
          <w:rtl/>
        </w:rPr>
        <w:t>נתיבות</w:t>
      </w:r>
      <w:r w:rsidRPr="00AF1DC8">
        <w:rPr>
          <w:rFonts w:ascii="Narkisim" w:hAnsi="Narkisim"/>
          <w:rtl/>
        </w:rPr>
        <w:t xml:space="preserve"> (א א) תי' דגדר 'מומחים' נמסר לחכמים, והם קבעו דמהני שליחותייהו, ומהני אף מן התורה</w:t>
      </w:r>
      <w:r w:rsidRPr="00AF1DC8">
        <w:rPr>
          <w:rFonts w:ascii="Narkisim" w:hAnsi="Narkisim"/>
        </w:rPr>
        <w:t>.</w:t>
      </w:r>
    </w:p>
    <w:p w14:paraId="40B058FF" w14:textId="77777777" w:rsidR="006074A5" w:rsidRPr="00AF1DC8" w:rsidRDefault="006074A5" w:rsidP="006074A5">
      <w:pPr>
        <w:bidi/>
        <w:rPr>
          <w:rFonts w:ascii="Narkisim" w:hAnsi="Narkisim" w:cs="Narkisim"/>
        </w:rPr>
      </w:pP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(קידושין</w:t>
      </w:r>
      <w:r w:rsidRPr="00AF1DC8">
        <w:rPr>
          <w:rFonts w:ascii="Narkisim" w:hAnsi="Narkisim" w:cs="Narkisim"/>
          <w:rtl/>
        </w:rPr>
        <w:t xml:space="preserve"> </w:t>
      </w:r>
      <w:r w:rsidRPr="00AF1DC8">
        <w:rPr>
          <w:rFonts w:ascii="Narkisim" w:hAnsi="Narkisim" w:cs="Narkisim"/>
          <w:sz w:val="20"/>
          <w:szCs w:val="20"/>
          <w:rtl/>
        </w:rPr>
        <w:t>סב: ד"ה גר)</w:t>
      </w:r>
      <w:r w:rsidRPr="00AF1DC8">
        <w:rPr>
          <w:rFonts w:ascii="Narkisim" w:hAnsi="Narkisim" w:cs="Narkisim"/>
          <w:rtl/>
        </w:rPr>
        <w:t xml:space="preserve"> תי' עוד בשם ה</w:t>
      </w:r>
      <w:r w:rsidRPr="00AF1DC8">
        <w:rPr>
          <w:rFonts w:ascii="Narkisim" w:hAnsi="Narkisim" w:cs="Narkisim"/>
          <w:b/>
          <w:bCs/>
          <w:rtl/>
        </w:rPr>
        <w:t>ר”ר נתנאל</w:t>
      </w:r>
      <w:r w:rsidRPr="00AF1DC8">
        <w:rPr>
          <w:rFonts w:ascii="Narkisim" w:hAnsi="Narkisim" w:cs="Narkisim"/>
          <w:rtl/>
        </w:rPr>
        <w:t xml:space="preserve"> דבגר כתיב לדורותיכם דמשמע בכל ענין ולדורות עולם, אע"ג דאין מומחין. וכ"כ ה</w:t>
      </w:r>
      <w:r w:rsidRPr="00AF1DC8">
        <w:rPr>
          <w:rFonts w:ascii="Narkisim" w:hAnsi="Narkisim" w:cs="Narkisim"/>
          <w:b/>
          <w:bCs/>
          <w:rtl/>
        </w:rPr>
        <w:t>רמב"ן</w:t>
      </w:r>
      <w:r w:rsidRPr="00AF1DC8">
        <w:rPr>
          <w:rFonts w:ascii="Narkisim" w:hAnsi="Narkisim" w:cs="Narkisim"/>
          <w:rtl/>
        </w:rPr>
        <w:t xml:space="preserve"> וה</w:t>
      </w:r>
      <w:r w:rsidRPr="00AF1DC8">
        <w:rPr>
          <w:rFonts w:ascii="Narkisim" w:hAnsi="Narkisim" w:cs="Narkisim"/>
          <w:b/>
          <w:bCs/>
          <w:rtl/>
        </w:rPr>
        <w:t>רשב"א</w:t>
      </w:r>
      <w:r w:rsidRPr="00AF1DC8">
        <w:rPr>
          <w:rFonts w:ascii="Narkisim" w:hAnsi="Narkisim" w:cs="Narkisim"/>
          <w:rtl/>
        </w:rPr>
        <w:t>, וכדאמרי' בגמ' (כריתות ט.) דילפי' מהך קרא דבזה"ז הוה גר בלא הרצאת דמים</w:t>
      </w:r>
      <w:r w:rsidRPr="00AF1DC8">
        <w:rPr>
          <w:rFonts w:ascii="Narkisim" w:hAnsi="Narkisim" w:cs="Narkisim"/>
        </w:rPr>
        <w:t>.</w:t>
      </w:r>
    </w:p>
    <w:p w14:paraId="48530A59" w14:textId="77777777" w:rsidR="006074A5" w:rsidRPr="00AF1DC8" w:rsidRDefault="006074A5" w:rsidP="006074A5">
      <w:pPr>
        <w:bidi/>
        <w:rPr>
          <w:rFonts w:ascii="Narkisim" w:hAnsi="Narkisim" w:cs="Narkisim"/>
        </w:rPr>
      </w:pPr>
      <w:r w:rsidRPr="00AF1DC8">
        <w:rPr>
          <w:rFonts w:ascii="Narkisim" w:hAnsi="Narkisim" w:cs="Narkisim"/>
          <w:u w:val="single"/>
          <w:rtl/>
        </w:rPr>
        <w:t>אתך במוחזק לך.</w:t>
      </w:r>
      <w:r w:rsidRPr="00AF1DC8">
        <w:rPr>
          <w:rFonts w:ascii="Narkisim" w:hAnsi="Narkisim" w:cs="Narkisim"/>
          <w:rtl/>
        </w:rPr>
        <w:t xml:space="preserve"> ה</w:t>
      </w:r>
      <w:r w:rsidRPr="00AF1DC8">
        <w:rPr>
          <w:rFonts w:ascii="Narkisim" w:hAnsi="Narkisim" w:cs="Narkisim"/>
          <w:b/>
          <w:bCs/>
          <w:rtl/>
        </w:rPr>
        <w:t>נוב"י</w:t>
      </w:r>
      <w:r w:rsidRPr="00AF1DC8">
        <w:rPr>
          <w:rFonts w:ascii="Narkisim" w:hAnsi="Narkisim" w:cs="Narkisim"/>
          <w:rtl/>
        </w:rPr>
        <w:t xml:space="preserve"> (ק' נה) כת' דגרות הוה דבר שבערוה ובעי עדות</w:t>
      </w:r>
      <w:r w:rsidRPr="00AF1DC8">
        <w:rPr>
          <w:rStyle w:val="ac"/>
          <w:rFonts w:ascii="Narkisim" w:hAnsi="Narkisim" w:cs="Narkisim"/>
          <w:rtl/>
        </w:rPr>
        <w:footnoteReference w:id="2794"/>
      </w:r>
      <w:r w:rsidRPr="00AF1DC8">
        <w:rPr>
          <w:rFonts w:ascii="Narkisim" w:hAnsi="Narkisim" w:cs="Narkisim"/>
        </w:rPr>
        <w:t xml:space="preserve">. </w:t>
      </w:r>
      <w:r w:rsidRPr="00AF1DC8">
        <w:rPr>
          <w:rFonts w:ascii="Narkisim" w:hAnsi="Narkisim" w:cs="Narkisim"/>
          <w:sz w:val="20"/>
          <w:szCs w:val="20"/>
          <w:rtl/>
        </w:rPr>
        <w:t>שהרי ביאת נכרי הוה בכלל עריות דקנאים פוגעים בו [וכמ"ש ה</w:t>
      </w:r>
      <w:r w:rsidRPr="00AF1DC8">
        <w:rPr>
          <w:rFonts w:ascii="Narkisim" w:hAnsi="Narkisim" w:cs="Narkisim"/>
          <w:b/>
          <w:bCs/>
          <w:sz w:val="20"/>
          <w:szCs w:val="20"/>
          <w:rtl/>
        </w:rPr>
        <w:t>פוסקים</w:t>
      </w:r>
      <w:r w:rsidRPr="00AF1DC8">
        <w:rPr>
          <w:rFonts w:ascii="Narkisim" w:hAnsi="Narkisim" w:cs="Narkisim"/>
          <w:sz w:val="20"/>
          <w:szCs w:val="20"/>
          <w:rtl/>
        </w:rPr>
        <w:t xml:space="preserve"> (ש"ך יו"ד קנז יב)</w:t>
      </w:r>
      <w:r w:rsidRPr="00AF1DC8">
        <w:rPr>
          <w:rStyle w:val="ac"/>
          <w:rFonts w:ascii="Narkisim" w:hAnsi="Narkisim" w:cs="Narkisim"/>
          <w:sz w:val="20"/>
          <w:szCs w:val="20"/>
          <w:rtl/>
        </w:rPr>
        <w:footnoteReference w:id="2795"/>
      </w:r>
      <w:r w:rsidRPr="00AF1DC8">
        <w:rPr>
          <w:rFonts w:ascii="Narkisim" w:hAnsi="Narkisim" w:cs="Narkisim"/>
          <w:sz w:val="20"/>
          <w:szCs w:val="20"/>
          <w:rtl/>
        </w:rPr>
        <w:t>].</w:t>
      </w:r>
      <w:r w:rsidRPr="00AF1DC8">
        <w:rPr>
          <w:rFonts w:ascii="Narkisim" w:hAnsi="Narkisim" w:cs="Narkisim"/>
          <w:rtl/>
        </w:rPr>
        <w:t xml:space="preserve"> וה</w:t>
      </w:r>
      <w:r w:rsidRPr="00AF1DC8">
        <w:rPr>
          <w:rFonts w:ascii="Narkisim" w:hAnsi="Narkisim" w:cs="Narkisim"/>
          <w:b/>
          <w:bCs/>
          <w:rtl/>
        </w:rPr>
        <w:t>אחרונים</w:t>
      </w:r>
      <w:r w:rsidRPr="00AF1DC8">
        <w:rPr>
          <w:rFonts w:ascii="Narkisim" w:hAnsi="Narkisim" w:cs="Narkisim"/>
          <w:rtl/>
        </w:rPr>
        <w:t xml:space="preserve"> חלקו דלא מצאנו שיחשב דבר שבערוה</w:t>
      </w:r>
      <w:r w:rsidRPr="00AF1DC8">
        <w:rPr>
          <w:rStyle w:val="ac"/>
          <w:rFonts w:ascii="Narkisim" w:hAnsi="Narkisim" w:cs="Narkisim"/>
          <w:rtl/>
        </w:rPr>
        <w:footnoteReference w:id="2796"/>
      </w:r>
      <w:r w:rsidRPr="00AF1DC8">
        <w:rPr>
          <w:rFonts w:ascii="Narkisim" w:hAnsi="Narkisim" w:cs="Narkisim"/>
        </w:rPr>
        <w:t>.</w:t>
      </w:r>
    </w:p>
    <w:p w14:paraId="34C0DEC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נוב"י</w:t>
      </w:r>
      <w:r w:rsidRPr="00AF1DC8">
        <w:rPr>
          <w:rFonts w:ascii="Narkisim" w:hAnsi="Narkisim"/>
          <w:rtl/>
        </w:rPr>
        <w:t xml:space="preserve"> (ק' כז) כתב כיון דהוחזק נכרי נחשב איתחזק איסורא, והא דבחו"ל לר' יהודה אי”צ להביא ראיה משום דהוה מילתא דעבידי לאגלויי, כיון דאינו חשוד לשקר. והנוב"י הביא דמבואר דבמקום חשש נוגע בדבר אינו נאמן [באר"י] אפי' במקום דעבידי לאיגלויי. [והק' דלכאו' מבואר (לקמן עז.) דנוגע בדבר נאמן במילתא דעבידי לאגלויי]. וה</w:t>
      </w:r>
      <w:r w:rsidRPr="00AF1DC8">
        <w:rPr>
          <w:rFonts w:ascii="Narkisim" w:hAnsi="Narkisim"/>
          <w:b/>
          <w:bCs/>
          <w:rtl/>
        </w:rPr>
        <w:t>שמעתתא</w:t>
      </w:r>
      <w:r w:rsidRPr="00AF1DC8">
        <w:rPr>
          <w:rFonts w:ascii="Narkisim" w:hAnsi="Narkisim"/>
          <w:rtl/>
        </w:rPr>
        <w:t xml:space="preserve"> (ז ו) דחה דהכא בא לפנינו בחזקת נכרי</w:t>
      </w:r>
      <w:r w:rsidRPr="00AF1DC8">
        <w:rPr>
          <w:rStyle w:val="ac"/>
          <w:rFonts w:ascii="Narkisim" w:hAnsi="Narkisim"/>
          <w:rtl/>
        </w:rPr>
        <w:footnoteReference w:id="2797"/>
      </w:r>
      <w:r w:rsidRPr="00AF1DC8">
        <w:rPr>
          <w:rFonts w:ascii="Narkisim" w:hAnsi="Narkisim"/>
        </w:rPr>
        <w:t xml:space="preserve">. </w:t>
      </w:r>
      <w:r w:rsidRPr="00AF1DC8">
        <w:rPr>
          <w:rFonts w:ascii="Narkisim" w:hAnsi="Narkisim"/>
          <w:rtl/>
        </w:rPr>
        <w:t>ונכרי אינו נאמן אפי' במילתא דעבידי לגלויי אא"כ מסיח לפי תומו</w:t>
      </w:r>
      <w:r w:rsidRPr="00AF1DC8">
        <w:rPr>
          <w:rStyle w:val="ac"/>
          <w:rFonts w:ascii="Narkisim" w:hAnsi="Narkisim"/>
          <w:rtl/>
        </w:rPr>
        <w:footnoteReference w:id="2798"/>
      </w:r>
      <w:r w:rsidRPr="00AF1DC8">
        <w:rPr>
          <w:rFonts w:ascii="Narkisim" w:hAnsi="Narkisim"/>
        </w:rPr>
        <w:t>.</w:t>
      </w:r>
    </w:p>
    <w:p w14:paraId="662E9DED"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ה</w:t>
      </w:r>
      <w:r w:rsidRPr="00AF1DC8">
        <w:rPr>
          <w:rFonts w:ascii="Narkisim" w:hAnsi="Narkisim"/>
          <w:b/>
          <w:bCs/>
          <w:rtl/>
        </w:rPr>
        <w:t>אחרונים</w:t>
      </w:r>
      <w:r w:rsidRPr="00AF1DC8">
        <w:rPr>
          <w:rFonts w:ascii="Narkisim" w:hAnsi="Narkisim"/>
          <w:rtl/>
        </w:rPr>
        <w:t xml:space="preserve"> דייקו דבעי גזיה"כ שלא יהא נאמן, אבל מסברא היה נאמן. ויל”פ דאף דהוחזק לנו מעיקרא כנכרי, כיון דעכשיו בא לפנינו ונראה בחזקת ישראל ס"ד דדי בכך</w:t>
      </w:r>
      <w:r w:rsidRPr="00AF1DC8">
        <w:rPr>
          <w:rFonts w:ascii="Narkisim" w:hAnsi="Narkisim"/>
        </w:rPr>
        <w:t>.</w:t>
      </w:r>
    </w:p>
    <w:p w14:paraId="256D8B0E" w14:textId="77777777" w:rsidR="006074A5" w:rsidRPr="00AF1DC8" w:rsidRDefault="006074A5" w:rsidP="006074A5">
      <w:pPr>
        <w:pStyle w:val="a8"/>
        <w:bidi/>
        <w:rPr>
          <w:rFonts w:ascii="Narkisim" w:hAnsi="Narkisim"/>
        </w:rPr>
      </w:pPr>
      <w:r w:rsidRPr="00AF1DC8">
        <w:rPr>
          <w:rFonts w:ascii="Narkisim" w:hAnsi="Narkisim"/>
          <w:rtl/>
        </w:rPr>
        <w:t>ועוד דנו ה</w:t>
      </w:r>
      <w:r w:rsidRPr="00AF1DC8">
        <w:rPr>
          <w:rFonts w:ascii="Narkisim" w:hAnsi="Narkisim"/>
          <w:b/>
          <w:bCs/>
          <w:rtl/>
        </w:rPr>
        <w:t>אחרונים</w:t>
      </w:r>
      <w:r w:rsidRPr="00AF1DC8">
        <w:rPr>
          <w:rFonts w:ascii="Narkisim" w:hAnsi="Narkisim"/>
          <w:rtl/>
        </w:rPr>
        <w:t xml:space="preserve"> דנאמן משום דבידו להתגייר [וכן דן במגדל עוז, ודחה דמי יימר דמזקקי ליה בי דינא. וה</w:t>
      </w:r>
      <w:r w:rsidRPr="00AF1DC8">
        <w:rPr>
          <w:rFonts w:ascii="Narkisim" w:hAnsi="Narkisim"/>
          <w:b/>
          <w:bCs/>
          <w:rtl/>
        </w:rPr>
        <w:t>קובה"ע</w:t>
      </w:r>
      <w:r w:rsidRPr="00AF1DC8">
        <w:rPr>
          <w:rFonts w:ascii="Narkisim" w:hAnsi="Narkisim"/>
          <w:rtl/>
        </w:rPr>
        <w:t xml:space="preserve"> (לח יד) דן דתליא במח' הראשונים האם אמרי' כן לגבי נאמנות, ע' רשב"א לקמן פח]</w:t>
      </w:r>
      <w:r w:rsidRPr="00AF1DC8">
        <w:rPr>
          <w:rFonts w:ascii="Narkisim" w:hAnsi="Narkisim"/>
        </w:rPr>
        <w:t>.</w:t>
      </w:r>
    </w:p>
    <w:p w14:paraId="767C5885" w14:textId="77777777" w:rsidR="006074A5" w:rsidRPr="00AF1DC8" w:rsidRDefault="006074A5" w:rsidP="006074A5">
      <w:pPr>
        <w:pStyle w:val="3"/>
        <w:bidi/>
        <w:rPr>
          <w:rFonts w:ascii="Narkisim" w:hAnsi="Narkisim"/>
        </w:rPr>
      </w:pPr>
      <w:r w:rsidRPr="00AF1DC8">
        <w:rPr>
          <w:rFonts w:ascii="Narkisim" w:hAnsi="Narkisim"/>
          <w:rtl/>
        </w:rPr>
        <w:t>דף מז</w:t>
      </w:r>
      <w:r w:rsidRPr="00AF1DC8">
        <w:rPr>
          <w:rFonts w:ascii="Narkisim" w:hAnsi="Narkisim"/>
        </w:rPr>
        <w:t>.</w:t>
      </w:r>
    </w:p>
    <w:p w14:paraId="1B5CEE9D" w14:textId="77777777" w:rsidR="006074A5" w:rsidRPr="00AF1DC8" w:rsidRDefault="006074A5" w:rsidP="006074A5">
      <w:pPr>
        <w:bidi/>
        <w:rPr>
          <w:rFonts w:ascii="Narkisim" w:hAnsi="Narkisim" w:cs="Narkisim"/>
        </w:rPr>
      </w:pPr>
      <w:r w:rsidRPr="00AF1DC8">
        <w:rPr>
          <w:rFonts w:ascii="Narkisim" w:hAnsi="Narkisim" w:cs="Narkisim"/>
          <w:u w:val="single"/>
          <w:rtl/>
        </w:rPr>
        <w:t>אמר רב ששת דאמרי שמענו שנתגייר בבי"ד של פלוני וכו' קמ”ל.</w:t>
      </w:r>
      <w:r w:rsidRPr="00AF1DC8">
        <w:rPr>
          <w:rFonts w:ascii="Narkisim" w:hAnsi="Narkisim" w:cs="Narkisim"/>
          <w:rtl/>
        </w:rPr>
        <w:t xml:space="preserve"> ונאמן אע"ג דהוה עד מפי עד. וה</w:t>
      </w:r>
      <w:r w:rsidRPr="00AF1DC8">
        <w:rPr>
          <w:rFonts w:ascii="Narkisim" w:hAnsi="Narkisim" w:cs="Narkisim"/>
          <w:b/>
          <w:bCs/>
          <w:rtl/>
        </w:rPr>
        <w:t>רא"ש</w:t>
      </w:r>
      <w:r w:rsidRPr="00AF1DC8">
        <w:rPr>
          <w:rFonts w:ascii="Narkisim" w:hAnsi="Narkisim" w:cs="Narkisim"/>
          <w:rtl/>
        </w:rPr>
        <w:t xml:space="preserve"> פי' משום דהוה גילוי מילתא בעלמא</w:t>
      </w:r>
      <w:r w:rsidRPr="00AF1DC8">
        <w:rPr>
          <w:rStyle w:val="ac"/>
          <w:rFonts w:ascii="Narkisim" w:hAnsi="Narkisim" w:cs="Narkisim"/>
          <w:rtl/>
        </w:rPr>
        <w:footnoteReference w:id="2799"/>
      </w:r>
      <w:r w:rsidRPr="00AF1DC8">
        <w:rPr>
          <w:rFonts w:ascii="Narkisim" w:hAnsi="Narkisim" w:cs="Narkisim"/>
        </w:rPr>
        <w:t xml:space="preserve">. </w:t>
      </w:r>
      <w:r w:rsidRPr="00AF1DC8">
        <w:rPr>
          <w:rFonts w:ascii="Narkisim" w:hAnsi="Narkisim" w:cs="Narkisim"/>
          <w:rtl/>
        </w:rPr>
        <w:t>אבל ה</w:t>
      </w:r>
      <w:r w:rsidRPr="00AF1DC8">
        <w:rPr>
          <w:rFonts w:ascii="Narkisim" w:hAnsi="Narkisim" w:cs="Narkisim"/>
          <w:b/>
          <w:bCs/>
          <w:rtl/>
        </w:rPr>
        <w:t>רי"ף</w:t>
      </w:r>
      <w:r w:rsidRPr="00AF1DC8">
        <w:rPr>
          <w:rFonts w:ascii="Narkisim" w:hAnsi="Narkisim" w:cs="Narkisim"/>
          <w:rtl/>
        </w:rPr>
        <w:t xml:space="preserve"> וה</w:t>
      </w:r>
      <w:r w:rsidRPr="00AF1DC8">
        <w:rPr>
          <w:rFonts w:ascii="Narkisim" w:hAnsi="Narkisim" w:cs="Narkisim"/>
          <w:b/>
          <w:bCs/>
          <w:rtl/>
        </w:rPr>
        <w:t>רמב"ם</w:t>
      </w:r>
      <w:r w:rsidRPr="00AF1DC8">
        <w:rPr>
          <w:rFonts w:ascii="Narkisim" w:hAnsi="Narkisim" w:cs="Narkisim"/>
          <w:rtl/>
        </w:rPr>
        <w:t xml:space="preserve"> השמיטו דין זה. וה</w:t>
      </w:r>
      <w:r w:rsidRPr="00AF1DC8">
        <w:rPr>
          <w:rFonts w:ascii="Narkisim" w:hAnsi="Narkisim" w:cs="Narkisim"/>
          <w:b/>
          <w:bCs/>
          <w:rtl/>
        </w:rPr>
        <w:t>רא"ש</w:t>
      </w:r>
      <w:r w:rsidRPr="00AF1DC8">
        <w:rPr>
          <w:rFonts w:ascii="Narkisim" w:hAnsi="Narkisim" w:cs="Narkisim"/>
          <w:rtl/>
        </w:rPr>
        <w:t xml:space="preserve"> (לד) כתב דאפשר דדוקא לר' יהודה דמיקל ובחו"ל אי"צ להביא ראיה, אבל לרבנן דילמא בעי עדות ברורה. וה</w:t>
      </w:r>
      <w:r w:rsidRPr="00AF1DC8">
        <w:rPr>
          <w:rFonts w:ascii="Narkisim" w:hAnsi="Narkisim" w:cs="Narkisim"/>
          <w:b/>
          <w:bCs/>
          <w:rtl/>
        </w:rPr>
        <w:t>ק"נ</w:t>
      </w:r>
      <w:r w:rsidRPr="00AF1DC8">
        <w:rPr>
          <w:rFonts w:ascii="Narkisim" w:hAnsi="Narkisim" w:cs="Narkisim"/>
          <w:rtl/>
        </w:rPr>
        <w:t xml:space="preserve"> (ח) תמה מנלן דיש בזה מח</w:t>
      </w:r>
      <w:r w:rsidRPr="00AF1DC8">
        <w:rPr>
          <w:rFonts w:ascii="Narkisim" w:hAnsi="Narkisim" w:cs="Narkisim"/>
        </w:rPr>
        <w:t>'.</w:t>
      </w:r>
    </w:p>
    <w:p w14:paraId="573AC018" w14:textId="77777777" w:rsidR="006074A5" w:rsidRPr="00AF1DC8" w:rsidRDefault="006074A5" w:rsidP="006074A5">
      <w:pPr>
        <w:bidi/>
        <w:rPr>
          <w:rFonts w:ascii="Narkisim" w:hAnsi="Narkisim" w:cs="Narkisim"/>
        </w:rPr>
      </w:pPr>
      <w:r w:rsidRPr="00AF1DC8">
        <w:rPr>
          <w:rFonts w:ascii="Narkisim" w:hAnsi="Narkisim" w:cs="Narkisim"/>
          <w:u w:val="single"/>
          <w:rtl/>
        </w:rPr>
        <w:t>וחכ"א בין בארץ ובין בחו"ל צריך להביא ראיה.</w:t>
      </w:r>
      <w:r w:rsidRPr="00AF1DC8">
        <w:rPr>
          <w:rFonts w:ascii="Narkisim" w:hAnsi="Narkisim" w:cs="Narkisim"/>
          <w:rtl/>
        </w:rPr>
        <w:t xml:space="preserve"> ה</w:t>
      </w:r>
      <w:r w:rsidRPr="00AF1DC8">
        <w:rPr>
          <w:rFonts w:ascii="Narkisim" w:hAnsi="Narkisim" w:cs="Narkisim"/>
          <w:b/>
          <w:bCs/>
          <w:rtl/>
        </w:rPr>
        <w:t>רמב"ם</w:t>
      </w:r>
      <w:r w:rsidRPr="00AF1DC8">
        <w:rPr>
          <w:rFonts w:ascii="Narkisim" w:hAnsi="Narkisim" w:cs="Narkisim"/>
          <w:sz w:val="20"/>
          <w:szCs w:val="20"/>
          <w:rtl/>
        </w:rPr>
        <w:t xml:space="preserve"> (איסו"ב יג י) </w:t>
      </w:r>
      <w:r w:rsidRPr="00AF1DC8">
        <w:rPr>
          <w:rFonts w:ascii="Narkisim" w:hAnsi="Narkisim" w:cs="Narkisim"/>
          <w:rtl/>
        </w:rPr>
        <w:t>פסק בד"א בארץ ישראל ובזמנים ההם, דשם הכל בחזקת ישראל. אבל בחו"ל צריך להביא ראיה</w:t>
      </w:r>
      <w:r w:rsidRPr="00AF1DC8">
        <w:rPr>
          <w:rStyle w:val="ac"/>
          <w:rFonts w:ascii="Narkisim" w:hAnsi="Narkisim" w:cs="Narkisim"/>
          <w:rtl/>
        </w:rPr>
        <w:footnoteReference w:id="2800"/>
      </w:r>
      <w:r w:rsidRPr="00AF1DC8">
        <w:rPr>
          <w:rFonts w:ascii="Narkisim" w:hAnsi="Narkisim" w:cs="Narkisim"/>
        </w:rPr>
        <w:t xml:space="preserve"> </w:t>
      </w:r>
      <w:r w:rsidRPr="00AF1DC8">
        <w:rPr>
          <w:rFonts w:ascii="Narkisim" w:hAnsi="Narkisim" w:cs="Narkisim"/>
          <w:rtl/>
        </w:rPr>
        <w:t>ואח"כ ישא ישראלית, משום מעלת יוחסין. וה</w:t>
      </w:r>
      <w:r w:rsidRPr="00AF1DC8">
        <w:rPr>
          <w:rFonts w:ascii="Narkisim" w:hAnsi="Narkisim" w:cs="Narkisim"/>
          <w:b/>
          <w:bCs/>
          <w:rtl/>
        </w:rPr>
        <w:t>ראב"ד</w:t>
      </w:r>
      <w:r w:rsidRPr="00AF1DC8">
        <w:rPr>
          <w:rFonts w:ascii="Narkisim" w:hAnsi="Narkisim" w:cs="Narkisim"/>
          <w:rtl/>
        </w:rPr>
        <w:t xml:space="preserve"> תמה דבסוגיין מבואר איפכא דבחו"ל נאמן יותר. וה</w:t>
      </w:r>
      <w:r w:rsidRPr="00AF1DC8">
        <w:rPr>
          <w:rFonts w:ascii="Narkisim" w:hAnsi="Narkisim" w:cs="Narkisim"/>
          <w:b/>
          <w:bCs/>
          <w:rtl/>
        </w:rPr>
        <w:t xml:space="preserve">מגד"ע </w:t>
      </w:r>
      <w:r w:rsidRPr="00AF1DC8">
        <w:rPr>
          <w:rFonts w:ascii="Narkisim" w:hAnsi="Narkisim" w:cs="Narkisim"/>
          <w:rtl/>
        </w:rPr>
        <w:t>וה</w:t>
      </w:r>
      <w:r w:rsidRPr="00AF1DC8">
        <w:rPr>
          <w:rFonts w:ascii="Narkisim" w:hAnsi="Narkisim" w:cs="Narkisim"/>
          <w:b/>
          <w:bCs/>
          <w:rtl/>
        </w:rPr>
        <w:t>גר"א</w:t>
      </w:r>
      <w:r w:rsidRPr="00AF1DC8">
        <w:rPr>
          <w:rFonts w:ascii="Narkisim" w:hAnsi="Narkisim" w:cs="Narkisim"/>
          <w:rtl/>
        </w:rPr>
        <w:t xml:space="preserve"> (כה) ציינו דמקור הרמב"ם מ</w:t>
      </w:r>
      <w:r w:rsidRPr="00AF1DC8">
        <w:rPr>
          <w:rFonts w:ascii="Narkisim" w:hAnsi="Narkisim" w:cs="Narkisim"/>
          <w:b/>
          <w:bCs/>
          <w:rtl/>
        </w:rPr>
        <w:t>מסכת גרים</w:t>
      </w:r>
      <w:r w:rsidRPr="00AF1DC8">
        <w:rPr>
          <w:rFonts w:ascii="Narkisim" w:hAnsi="Narkisim" w:cs="Narkisim"/>
          <w:rtl/>
        </w:rPr>
        <w:t xml:space="preserve"> (בסופו)</w:t>
      </w:r>
      <w:r w:rsidRPr="00AF1DC8">
        <w:rPr>
          <w:rStyle w:val="ac"/>
          <w:rFonts w:ascii="Narkisim" w:hAnsi="Narkisim" w:cs="Narkisim"/>
          <w:rtl/>
        </w:rPr>
        <w:footnoteReference w:id="2801"/>
      </w:r>
      <w:r w:rsidRPr="00AF1DC8">
        <w:rPr>
          <w:rFonts w:ascii="Narkisim" w:hAnsi="Narkisim" w:cs="Narkisim"/>
          <w:b/>
          <w:bCs/>
        </w:rPr>
        <w:t>.</w:t>
      </w:r>
    </w:p>
    <w:p w14:paraId="03E8485E"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דייק מדברי הרמב"ם דמדינא נאמן בכל אופן, אלא הוה חומרא מדרבנן משום מעלה ביוחסין</w:t>
      </w:r>
      <w:r w:rsidRPr="00AF1DC8">
        <w:rPr>
          <w:rFonts w:ascii="Narkisim" w:hAnsi="Narkisim"/>
        </w:rPr>
        <w:t>.</w:t>
      </w:r>
    </w:p>
    <w:p w14:paraId="012CE3FE" w14:textId="77777777" w:rsidR="006074A5" w:rsidRPr="00AF1DC8" w:rsidRDefault="006074A5" w:rsidP="006074A5">
      <w:pPr>
        <w:pStyle w:val="2"/>
        <w:bidi/>
        <w:rPr>
          <w:rFonts w:ascii="Narkisim" w:hAnsi="Narkisim"/>
        </w:rPr>
      </w:pPr>
      <w:r w:rsidRPr="00AF1DC8">
        <w:rPr>
          <w:rFonts w:ascii="Narkisim" w:hAnsi="Narkisim"/>
          <w:rtl/>
        </w:rPr>
        <w:t>נתגיירתי ביני לבין עצמי</w:t>
      </w:r>
    </w:p>
    <w:p w14:paraId="32333056" w14:textId="77777777" w:rsidR="006074A5" w:rsidRPr="00AF1DC8" w:rsidRDefault="006074A5" w:rsidP="006074A5">
      <w:pPr>
        <w:bidi/>
        <w:rPr>
          <w:rFonts w:ascii="Narkisim" w:hAnsi="Narkisim" w:cs="Narkisim"/>
        </w:rPr>
      </w:pPr>
      <w:r w:rsidRPr="00AF1DC8">
        <w:rPr>
          <w:rFonts w:ascii="Narkisim" w:hAnsi="Narkisim" w:cs="Narkisim"/>
          <w:u w:val="single"/>
          <w:rtl/>
        </w:rPr>
        <w:t>נאמן אתה לפסול עצמך וכו'.</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(לעיל כה: ד"ה לימא) בתחילת דבריהם מבואר דסברת ר' יהודה מ'תורת עדות'</w:t>
      </w:r>
      <w:r w:rsidRPr="00AF1DC8">
        <w:rPr>
          <w:rStyle w:val="ac"/>
          <w:rFonts w:ascii="Narkisim" w:hAnsi="Narkisim" w:cs="Narkisim"/>
          <w:rtl/>
        </w:rPr>
        <w:footnoteReference w:id="2802"/>
      </w:r>
      <w:r w:rsidRPr="00AF1DC8">
        <w:rPr>
          <w:rFonts w:ascii="Narkisim" w:hAnsi="Narkisim" w:cs="Narkisim"/>
          <w:rtl/>
        </w:rPr>
        <w:t>, ופלגינן דיבורא</w:t>
      </w:r>
      <w:r w:rsidRPr="00AF1DC8">
        <w:rPr>
          <w:rStyle w:val="ac"/>
          <w:rFonts w:ascii="Narkisim" w:hAnsi="Narkisim" w:cs="Narkisim"/>
          <w:rtl/>
        </w:rPr>
        <w:footnoteReference w:id="2803"/>
      </w:r>
      <w:r w:rsidRPr="00AF1DC8">
        <w:rPr>
          <w:rFonts w:ascii="Narkisim" w:hAnsi="Narkisim" w:cs="Narkisim"/>
        </w:rPr>
        <w:t xml:space="preserve">. </w:t>
      </w: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xml:space="preserve">' הק' דר' יהודה (לעיל שם) ל"ל פלגינן </w:t>
      </w:r>
      <w:r w:rsidRPr="00AF1DC8">
        <w:rPr>
          <w:rFonts w:ascii="Narkisim" w:hAnsi="Narkisim" w:cs="Narkisim"/>
          <w:rtl/>
        </w:rPr>
        <w:lastRenderedPageBreak/>
        <w:t>דיבורא</w:t>
      </w:r>
      <w:r w:rsidRPr="00AF1DC8">
        <w:rPr>
          <w:rStyle w:val="ac"/>
          <w:rFonts w:ascii="Narkisim" w:hAnsi="Narkisim" w:cs="Narkisim"/>
          <w:rtl/>
        </w:rPr>
        <w:footnoteReference w:id="2804"/>
      </w:r>
      <w:r w:rsidRPr="00AF1DC8">
        <w:rPr>
          <w:rFonts w:ascii="Narkisim" w:hAnsi="Narkisim" w:cs="Narkisim"/>
        </w:rPr>
        <w:t xml:space="preserve">. </w:t>
      </w:r>
      <w:r w:rsidRPr="00AF1DC8">
        <w:rPr>
          <w:rFonts w:ascii="Narkisim" w:hAnsi="Narkisim" w:cs="Narkisim"/>
          <w:rtl/>
        </w:rPr>
        <w:t>ועוה"ק ה</w:t>
      </w:r>
      <w:r w:rsidRPr="00AF1DC8">
        <w:rPr>
          <w:rFonts w:ascii="Narkisim" w:hAnsi="Narkisim" w:cs="Narkisim"/>
          <w:b/>
          <w:bCs/>
          <w:rtl/>
        </w:rPr>
        <w:t>תוס</w:t>
      </w:r>
      <w:r w:rsidRPr="00AF1DC8">
        <w:rPr>
          <w:rFonts w:ascii="Narkisim" w:hAnsi="Narkisim" w:cs="Narkisim"/>
          <w:rtl/>
        </w:rPr>
        <w:t>' דאדם קרוב אצל עצמו</w:t>
      </w:r>
      <w:r w:rsidRPr="00AF1DC8">
        <w:rPr>
          <w:rStyle w:val="ac"/>
          <w:rFonts w:ascii="Narkisim" w:hAnsi="Narkisim" w:cs="Narkisim"/>
          <w:rtl/>
        </w:rPr>
        <w:footnoteReference w:id="2805"/>
      </w:r>
      <w:r w:rsidRPr="00AF1DC8">
        <w:rPr>
          <w:rFonts w:ascii="Narkisim" w:hAnsi="Narkisim" w:cs="Narkisim"/>
        </w:rPr>
        <w:t xml:space="preserve">. </w:t>
      </w:r>
      <w:r w:rsidRPr="00AF1DC8">
        <w:rPr>
          <w:rFonts w:ascii="Narkisim" w:hAnsi="Narkisim" w:cs="Narkisim"/>
          <w:rtl/>
        </w:rPr>
        <w:t xml:space="preserve">ועוה"ק דאם נאמן לפסול עצמו היאך יתכן דבניו כשרים. </w:t>
      </w:r>
      <w:r w:rsidRPr="00AF1DC8">
        <w:rPr>
          <w:rFonts w:ascii="Narkisim" w:hAnsi="Narkisim" w:cs="Narkisim"/>
          <w:sz w:val="20"/>
          <w:szCs w:val="20"/>
          <w:rtl/>
        </w:rPr>
        <w:t>[א”כ לא יהא נאמן אף על עצמו, וכדאמרי' בסמוך דכשיש בני בנים אינו נאמן על בניו]</w:t>
      </w:r>
      <w:r w:rsidRPr="00AF1DC8">
        <w:rPr>
          <w:rFonts w:ascii="Narkisim" w:hAnsi="Narkisim" w:cs="Narkisim"/>
        </w:rPr>
        <w:t>.</w:t>
      </w:r>
    </w:p>
    <w:p w14:paraId="70D21B66"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תי' דסוגיין משום דשויא אנפשיה חתיכה דאיסורא. וכ"כ </w:t>
      </w:r>
      <w:r w:rsidRPr="00AF1DC8">
        <w:rPr>
          <w:rFonts w:ascii="Narkisim" w:hAnsi="Narkisim"/>
          <w:b/>
          <w:bCs/>
          <w:rtl/>
        </w:rPr>
        <w:t>תוס</w:t>
      </w:r>
      <w:r w:rsidRPr="00AF1DC8">
        <w:rPr>
          <w:rFonts w:ascii="Narkisim" w:hAnsi="Narkisim"/>
          <w:rtl/>
        </w:rPr>
        <w:t xml:space="preserve">' (כאן ד"ה נאמן). </w:t>
      </w:r>
      <w:r w:rsidRPr="00AF1DC8">
        <w:rPr>
          <w:rFonts w:ascii="Narkisim" w:hAnsi="Narkisim"/>
          <w:sz w:val="20"/>
          <w:szCs w:val="20"/>
          <w:rtl/>
        </w:rPr>
        <w:t>[וה</w:t>
      </w:r>
      <w:r w:rsidRPr="00AF1DC8">
        <w:rPr>
          <w:rFonts w:ascii="Narkisim" w:hAnsi="Narkisim"/>
          <w:b/>
          <w:bCs/>
          <w:sz w:val="20"/>
          <w:szCs w:val="20"/>
          <w:rtl/>
        </w:rPr>
        <w:t>אחרונים</w:t>
      </w:r>
      <w:r w:rsidRPr="00AF1DC8">
        <w:rPr>
          <w:rStyle w:val="ac"/>
          <w:rFonts w:ascii="Narkisim" w:hAnsi="Narkisim"/>
          <w:sz w:val="20"/>
          <w:szCs w:val="20"/>
          <w:rtl/>
        </w:rPr>
        <w:footnoteReference w:id="2806"/>
      </w:r>
      <w:r w:rsidRPr="00AF1DC8">
        <w:rPr>
          <w:rFonts w:ascii="Narkisim" w:hAnsi="Narkisim"/>
          <w:sz w:val="20"/>
          <w:szCs w:val="20"/>
        </w:rPr>
        <w:t xml:space="preserve"> </w:t>
      </w:r>
      <w:r w:rsidRPr="00AF1DC8">
        <w:rPr>
          <w:rFonts w:ascii="Narkisim" w:hAnsi="Narkisim"/>
          <w:sz w:val="20"/>
          <w:szCs w:val="20"/>
          <w:rtl/>
        </w:rPr>
        <w:t>האריכו בגדר 'שויא אנפשיה', ובפשוטו הוה גדר נאמנות כלפי הנהגת הדין שלו</w:t>
      </w:r>
      <w:r w:rsidRPr="00AF1DC8">
        <w:rPr>
          <w:rStyle w:val="ac"/>
          <w:rFonts w:ascii="Narkisim" w:hAnsi="Narkisim"/>
          <w:sz w:val="20"/>
          <w:szCs w:val="20"/>
          <w:rtl/>
        </w:rPr>
        <w:footnoteReference w:id="2807"/>
      </w:r>
      <w:r w:rsidRPr="00AF1DC8">
        <w:rPr>
          <w:rFonts w:ascii="Narkisim" w:hAnsi="Narkisim"/>
          <w:sz w:val="20"/>
          <w:szCs w:val="20"/>
        </w:rPr>
        <w:t xml:space="preserve">. </w:t>
      </w:r>
      <w:r w:rsidRPr="00AF1DC8">
        <w:rPr>
          <w:rFonts w:ascii="Narkisim" w:hAnsi="Narkisim"/>
          <w:sz w:val="20"/>
          <w:szCs w:val="20"/>
          <w:rtl/>
        </w:rPr>
        <w:t>וה</w:t>
      </w:r>
      <w:r w:rsidRPr="00AF1DC8">
        <w:rPr>
          <w:rFonts w:ascii="Narkisim" w:hAnsi="Narkisim"/>
          <w:b/>
          <w:bCs/>
          <w:sz w:val="20"/>
          <w:szCs w:val="20"/>
          <w:rtl/>
        </w:rPr>
        <w:t>גר”א</w:t>
      </w:r>
      <w:r w:rsidRPr="00AF1DC8">
        <w:rPr>
          <w:rFonts w:ascii="Narkisim" w:hAnsi="Narkisim"/>
          <w:sz w:val="20"/>
          <w:szCs w:val="20"/>
          <w:rtl/>
        </w:rPr>
        <w:t xml:space="preserve"> (אה”ע ג י) כתב דכל להחמיר על עצמו נאמן יותר מק' עדים</w:t>
      </w:r>
      <w:r w:rsidRPr="00AF1DC8">
        <w:rPr>
          <w:rStyle w:val="ac"/>
          <w:rFonts w:ascii="Narkisim" w:hAnsi="Narkisim"/>
          <w:sz w:val="20"/>
          <w:szCs w:val="20"/>
          <w:rtl/>
        </w:rPr>
        <w:footnoteReference w:id="2808"/>
      </w:r>
      <w:r w:rsidRPr="00AF1DC8">
        <w:rPr>
          <w:rFonts w:ascii="Narkisim" w:hAnsi="Narkisim"/>
          <w:sz w:val="20"/>
          <w:szCs w:val="20"/>
          <w:rtl/>
        </w:rPr>
        <w:t>]</w:t>
      </w:r>
      <w:r w:rsidRPr="00AF1DC8">
        <w:rPr>
          <w:rFonts w:ascii="Narkisim" w:hAnsi="Narkisim"/>
          <w:sz w:val="20"/>
          <w:szCs w:val="20"/>
        </w:rPr>
        <w:t>.</w:t>
      </w:r>
    </w:p>
    <w:p w14:paraId="4771FA5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חמדת שלמה</w:t>
      </w:r>
      <w:r w:rsidRPr="00AF1DC8">
        <w:rPr>
          <w:rFonts w:ascii="Narkisim" w:hAnsi="Narkisim"/>
          <w:rtl/>
        </w:rPr>
        <w:t xml:space="preserve"> </w:t>
      </w:r>
      <w:r w:rsidRPr="00AF1DC8">
        <w:rPr>
          <w:rFonts w:ascii="Narkisim" w:hAnsi="Narkisim"/>
          <w:sz w:val="20"/>
          <w:szCs w:val="20"/>
          <w:rtl/>
        </w:rPr>
        <w:t>(בחי' כאן, ובשו"ת אה"ע כט)</w:t>
      </w:r>
      <w:r w:rsidRPr="00AF1DC8">
        <w:rPr>
          <w:rFonts w:ascii="Narkisim" w:hAnsi="Narkisim"/>
          <w:rtl/>
        </w:rPr>
        <w:t xml:space="preserve"> הקשה דאין איסור לעכו"ם בבת ישראל</w:t>
      </w:r>
      <w:r w:rsidRPr="00AF1DC8">
        <w:rPr>
          <w:rStyle w:val="ac"/>
          <w:rFonts w:ascii="Narkisim" w:hAnsi="Narkisim"/>
          <w:rtl/>
        </w:rPr>
        <w:footnoteReference w:id="2809"/>
      </w:r>
      <w:r w:rsidRPr="00AF1DC8">
        <w:rPr>
          <w:rFonts w:ascii="Narkisim" w:hAnsi="Narkisim"/>
        </w:rPr>
        <w:t xml:space="preserve">, </w:t>
      </w:r>
      <w:r w:rsidRPr="00AF1DC8">
        <w:rPr>
          <w:rFonts w:ascii="Narkisim" w:hAnsi="Narkisim"/>
          <w:rtl/>
        </w:rPr>
        <w:t>ומה שייך בזה שויא אנפשיה [וכה"ק ה</w:t>
      </w:r>
      <w:r w:rsidRPr="00AF1DC8">
        <w:rPr>
          <w:rFonts w:ascii="Narkisim" w:hAnsi="Narkisim"/>
          <w:b/>
          <w:bCs/>
          <w:rtl/>
        </w:rPr>
        <w:t>קר"א</w:t>
      </w:r>
      <w:r w:rsidRPr="00AF1DC8">
        <w:rPr>
          <w:rFonts w:ascii="Narkisim" w:hAnsi="Narkisim"/>
          <w:rtl/>
        </w:rPr>
        <w:t xml:space="preserve">]. </w:t>
      </w:r>
      <w:r w:rsidRPr="00AF1DC8">
        <w:rPr>
          <w:rFonts w:ascii="Narkisim" w:hAnsi="Narkisim"/>
          <w:sz w:val="20"/>
          <w:szCs w:val="20"/>
          <w:rtl/>
        </w:rPr>
        <w:t>[ועכו"ם אינו מצווה על לפני עוור]</w:t>
      </w:r>
      <w:r w:rsidRPr="00AF1DC8">
        <w:rPr>
          <w:rStyle w:val="ac"/>
          <w:rFonts w:ascii="Narkisim" w:hAnsi="Narkisim"/>
          <w:sz w:val="20"/>
          <w:szCs w:val="20"/>
          <w:rtl/>
        </w:rPr>
        <w:footnoteReference w:id="2810"/>
      </w:r>
      <w:r w:rsidRPr="00AF1DC8">
        <w:rPr>
          <w:rFonts w:ascii="Narkisim" w:hAnsi="Narkisim"/>
          <w:sz w:val="20"/>
          <w:szCs w:val="20"/>
        </w:rPr>
        <w:t>.</w:t>
      </w:r>
    </w:p>
    <w:p w14:paraId="7A9D115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בית מאיר</w:t>
      </w:r>
      <w:r w:rsidRPr="00AF1DC8">
        <w:rPr>
          <w:rFonts w:ascii="Narkisim" w:hAnsi="Narkisim"/>
          <w:rtl/>
        </w:rPr>
        <w:t xml:space="preserve"> </w:t>
      </w:r>
      <w:r w:rsidRPr="00AF1DC8">
        <w:rPr>
          <w:rFonts w:ascii="Narkisim" w:hAnsi="Narkisim"/>
          <w:sz w:val="20"/>
          <w:szCs w:val="20"/>
          <w:rtl/>
        </w:rPr>
        <w:t>(שו"ת בית מאיר יב, הו' בחמד"ש)</w:t>
      </w:r>
      <w:r w:rsidRPr="00AF1DC8">
        <w:rPr>
          <w:rFonts w:ascii="Narkisim" w:hAnsi="Narkisim"/>
          <w:rtl/>
        </w:rPr>
        <w:t xml:space="preserve"> תי' דהכא בסוגיין אתינן עלה משום נאמנות על גופו, דשויא 'נפשיה' </w:t>
      </w:r>
      <w:r w:rsidRPr="00AF1DC8">
        <w:rPr>
          <w:rFonts w:ascii="Narkisim" w:hAnsi="Narkisim"/>
          <w:sz w:val="20"/>
          <w:szCs w:val="20"/>
          <w:rtl/>
        </w:rPr>
        <w:t xml:space="preserve">[ולא שייך לדין שויא </w:t>
      </w:r>
      <w:r w:rsidRPr="00AF1DC8">
        <w:rPr>
          <w:rFonts w:ascii="Narkisim" w:hAnsi="Narkisim"/>
          <w:i/>
          <w:iCs/>
          <w:sz w:val="20"/>
          <w:szCs w:val="20"/>
          <w:rtl/>
        </w:rPr>
        <w:t>אנפשיה</w:t>
      </w:r>
      <w:r w:rsidRPr="00AF1DC8">
        <w:rPr>
          <w:rFonts w:ascii="Narkisim" w:hAnsi="Narkisim"/>
          <w:sz w:val="20"/>
          <w:szCs w:val="20"/>
          <w:rtl/>
        </w:rPr>
        <w:t xml:space="preserve"> דכה"ת]</w:t>
      </w:r>
      <w:r w:rsidRPr="00AF1DC8">
        <w:rPr>
          <w:rFonts w:ascii="Narkisim" w:hAnsi="Narkisim"/>
          <w:rtl/>
        </w:rPr>
        <w:t xml:space="preserve">. ונתחדש בסוגיין דאדם יש לו נאמנות על גופו אף כלפי אחרים. </w:t>
      </w:r>
      <w:r w:rsidRPr="00AF1DC8">
        <w:rPr>
          <w:rFonts w:ascii="Narkisim" w:hAnsi="Narkisim"/>
          <w:sz w:val="20"/>
          <w:szCs w:val="20"/>
          <w:rtl/>
        </w:rPr>
        <w:t>[וכמו דאדם נאמן לאסור את ממונו, מדין בעלים].</w:t>
      </w:r>
      <w:r w:rsidRPr="00AF1DC8">
        <w:rPr>
          <w:rFonts w:ascii="Narkisim" w:hAnsi="Narkisim"/>
          <w:rtl/>
        </w:rPr>
        <w:t xml:space="preserve"> וכעי"ז כת' ה</w:t>
      </w:r>
      <w:r w:rsidRPr="00AF1DC8">
        <w:rPr>
          <w:rFonts w:ascii="Narkisim" w:hAnsi="Narkisim"/>
          <w:b/>
          <w:bCs/>
          <w:rtl/>
        </w:rPr>
        <w:t xml:space="preserve">שער"י </w:t>
      </w:r>
      <w:r w:rsidRPr="00AF1DC8">
        <w:rPr>
          <w:rFonts w:ascii="Narkisim" w:hAnsi="Narkisim"/>
          <w:rtl/>
        </w:rPr>
        <w:t>(ו ד) דכיון דיש לו זכות למנוע ממונו מאחרים יש לו נאמנות ע"ז</w:t>
      </w:r>
      <w:r w:rsidRPr="00AF1DC8">
        <w:rPr>
          <w:rStyle w:val="ac"/>
          <w:rFonts w:ascii="Narkisim" w:hAnsi="Narkisim"/>
          <w:rtl/>
        </w:rPr>
        <w:footnoteReference w:id="2811"/>
      </w:r>
      <w:r w:rsidRPr="00AF1DC8">
        <w:rPr>
          <w:rFonts w:ascii="Narkisim" w:hAnsi="Narkisim"/>
        </w:rPr>
        <w:t>.</w:t>
      </w:r>
    </w:p>
    <w:p w14:paraId="76AF834E"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שמעתתא</w:t>
      </w:r>
      <w:r w:rsidRPr="00AF1DC8">
        <w:rPr>
          <w:rFonts w:ascii="Narkisim" w:hAnsi="Narkisim"/>
          <w:rtl/>
        </w:rPr>
        <w:t xml:space="preserve"> (ו יט) נסתפק במקום שאשה נאמנת לאסור עצמה מדין שויא אנפשיה [שהיא נדה], האם יש איסור אף על אחרים לבא עליה וכת' דלכאו' נראה דהוה איסור רק עליה (עי”ש). [והאחרונים האריכו ע"פ סוגיין]. ולדברי הבית מאיר ושער"י בסוגיין הוה נאמנות על הגוף ולא שייך לזה</w:t>
      </w:r>
      <w:r w:rsidRPr="00AF1DC8">
        <w:rPr>
          <w:rFonts w:ascii="Narkisim" w:hAnsi="Narkisim"/>
        </w:rPr>
        <w:t>.</w:t>
      </w:r>
    </w:p>
    <w:p w14:paraId="464D50D4" w14:textId="77777777" w:rsidR="006074A5" w:rsidRPr="00AF1DC8" w:rsidRDefault="006074A5" w:rsidP="006074A5">
      <w:pPr>
        <w:bidi/>
        <w:rPr>
          <w:rFonts w:ascii="Narkisim" w:hAnsi="Narkisim" w:cs="Narkisim"/>
        </w:rPr>
      </w:pPr>
      <w:r w:rsidRPr="00AF1DC8">
        <w:rPr>
          <w:rFonts w:ascii="Narkisim" w:hAnsi="Narkisim" w:cs="Narkisim"/>
          <w:rtl/>
        </w:rPr>
        <w:t>וב</w:t>
      </w:r>
      <w:r w:rsidRPr="00AF1DC8">
        <w:rPr>
          <w:rFonts w:ascii="Narkisim" w:hAnsi="Narkisim" w:cs="Narkisim"/>
          <w:b/>
          <w:bCs/>
          <w:rtl/>
        </w:rPr>
        <w:t>חי' ר"א מן ההר</w:t>
      </w:r>
      <w:r w:rsidRPr="00AF1DC8">
        <w:rPr>
          <w:rFonts w:ascii="Narkisim" w:hAnsi="Narkisim" w:cs="Narkisim"/>
          <w:rtl/>
        </w:rPr>
        <w:t xml:space="preserve"> הביא אית דאמרי' דאינו נאמן כלפי אחרים, ואם נגע ביינם אינו נאמן לאוסרו. וחלק [ולאו מילתא היא] דמכאן ולהבא הוא נאמן, אפי' במילתא דאית בה חב לאחריני. ואם בא על אשה פסלה, וולדה כולד עכו"ם הבא על בת ישראל. וכ"כ ה</w:t>
      </w:r>
      <w:r w:rsidRPr="00AF1DC8">
        <w:rPr>
          <w:rFonts w:ascii="Narkisim" w:hAnsi="Narkisim" w:cs="Narkisim"/>
          <w:b/>
          <w:bCs/>
          <w:rtl/>
        </w:rPr>
        <w:t>מאירי</w:t>
      </w:r>
      <w:r w:rsidRPr="00AF1DC8">
        <w:rPr>
          <w:rFonts w:ascii="Narkisim" w:hAnsi="Narkisim" w:cs="Narkisim"/>
          <w:rtl/>
        </w:rPr>
        <w:t xml:space="preserve"> דנאמן על בניו שיוולדו אח"כ. וה</w:t>
      </w:r>
      <w:r w:rsidRPr="00AF1DC8">
        <w:rPr>
          <w:rFonts w:ascii="Narkisim" w:hAnsi="Narkisim" w:cs="Narkisim"/>
          <w:b/>
          <w:bCs/>
          <w:rtl/>
        </w:rPr>
        <w:t>ישרש יעקב</w:t>
      </w:r>
      <w:r w:rsidRPr="00AF1DC8">
        <w:rPr>
          <w:rFonts w:ascii="Narkisim" w:hAnsi="Narkisim" w:cs="Narkisim"/>
          <w:rtl/>
        </w:rPr>
        <w:t xml:space="preserve"> תמה [על המאירי] אמאי נאמן כלפי בנים שיוולדו אח"כ </w:t>
      </w:r>
      <w:r w:rsidRPr="00AF1DC8">
        <w:rPr>
          <w:rFonts w:ascii="Narkisim" w:hAnsi="Narkisim" w:cs="Narkisim"/>
          <w:sz w:val="20"/>
          <w:szCs w:val="20"/>
          <w:rtl/>
        </w:rPr>
        <w:t>[לצד דנאמן רק מדין שויא]</w:t>
      </w:r>
      <w:r w:rsidRPr="00AF1DC8">
        <w:rPr>
          <w:rStyle w:val="ac"/>
          <w:rFonts w:ascii="Narkisim" w:hAnsi="Narkisim" w:cs="Narkisim"/>
          <w:sz w:val="20"/>
          <w:szCs w:val="20"/>
          <w:rtl/>
        </w:rPr>
        <w:footnoteReference w:id="2812"/>
      </w:r>
      <w:r w:rsidRPr="00AF1DC8">
        <w:rPr>
          <w:rFonts w:ascii="Narkisim" w:hAnsi="Narkisim" w:cs="Narkisim"/>
          <w:sz w:val="20"/>
          <w:szCs w:val="20"/>
        </w:rPr>
        <w:t>.</w:t>
      </w:r>
      <w:r w:rsidRPr="00AF1DC8">
        <w:rPr>
          <w:rFonts w:ascii="Narkisim" w:hAnsi="Narkisim" w:cs="Narkisim"/>
        </w:rPr>
        <w:t xml:space="preserve"> </w:t>
      </w:r>
      <w:r w:rsidRPr="00AF1DC8">
        <w:rPr>
          <w:rFonts w:ascii="Narkisim" w:hAnsi="Narkisim" w:cs="Narkisim"/>
          <w:rtl/>
        </w:rPr>
        <w:t>ובפשוטו ס"ל דבסוגיין אתינן עלה משום עדות. וה</w:t>
      </w:r>
      <w:r w:rsidRPr="00AF1DC8">
        <w:rPr>
          <w:rFonts w:ascii="Narkisim" w:hAnsi="Narkisim" w:cs="Narkisim"/>
          <w:b/>
          <w:bCs/>
          <w:rtl/>
        </w:rPr>
        <w:t>אחרונים</w:t>
      </w:r>
      <w:r w:rsidRPr="00AF1DC8">
        <w:rPr>
          <w:rFonts w:ascii="Narkisim" w:hAnsi="Narkisim" w:cs="Narkisim"/>
          <w:rtl/>
        </w:rPr>
        <w:t xml:space="preserve"> הוכיחו דאף שויא אנפשה הוה תורת עדות </w:t>
      </w:r>
      <w:r w:rsidRPr="00AF1DC8">
        <w:rPr>
          <w:rFonts w:ascii="Narkisim" w:hAnsi="Narkisim" w:cs="Narkisim"/>
          <w:sz w:val="20"/>
          <w:szCs w:val="20"/>
          <w:rtl/>
        </w:rPr>
        <w:t>[ולא רק על הדין הנהגה שלו]</w:t>
      </w:r>
      <w:r w:rsidRPr="00AF1DC8">
        <w:rPr>
          <w:rFonts w:ascii="Narkisim" w:hAnsi="Narkisim" w:cs="Narkisim"/>
          <w:sz w:val="20"/>
          <w:szCs w:val="20"/>
        </w:rPr>
        <w:t>.</w:t>
      </w:r>
    </w:p>
    <w:p w14:paraId="1F22BAD8" w14:textId="77777777" w:rsidR="006074A5" w:rsidRPr="00AF1DC8" w:rsidRDefault="006074A5" w:rsidP="006074A5">
      <w:pPr>
        <w:bidi/>
        <w:rPr>
          <w:rFonts w:ascii="Narkisim" w:hAnsi="Narkisim" w:cs="Narkisim"/>
        </w:rPr>
      </w:pPr>
      <w:r w:rsidRPr="00AF1DC8">
        <w:rPr>
          <w:rFonts w:ascii="Narkisim" w:hAnsi="Narkisim" w:cs="Narkisim"/>
          <w:u w:val="single"/>
          <w:rtl/>
        </w:rPr>
        <w:t>שם. נאמן אתה לפסול עצמך</w:t>
      </w:r>
      <w:r w:rsidRPr="00AF1DC8">
        <w:rPr>
          <w:rFonts w:ascii="Narkisim" w:hAnsi="Narkisim" w:cs="Narkisim"/>
          <w:rtl/>
        </w:rPr>
        <w:t>. ה</w:t>
      </w:r>
      <w:r w:rsidRPr="00AF1DC8">
        <w:rPr>
          <w:rFonts w:ascii="Narkisim" w:hAnsi="Narkisim" w:cs="Narkisim"/>
          <w:b/>
          <w:bCs/>
          <w:rtl/>
        </w:rPr>
        <w:t>ריטב"א</w:t>
      </w:r>
      <w:r w:rsidRPr="00AF1DC8">
        <w:rPr>
          <w:rFonts w:ascii="Narkisim" w:hAnsi="Narkisim" w:cs="Narkisim"/>
          <w:rtl/>
        </w:rPr>
        <w:t xml:space="preserve"> הקשה דאין אדם משים עצמו רשע</w:t>
      </w:r>
      <w:r w:rsidRPr="00AF1DC8">
        <w:rPr>
          <w:rStyle w:val="ac"/>
          <w:rFonts w:ascii="Narkisim" w:hAnsi="Narkisim" w:cs="Narkisim"/>
          <w:rtl/>
        </w:rPr>
        <w:footnoteReference w:id="2813"/>
      </w:r>
      <w:r w:rsidRPr="00AF1DC8">
        <w:rPr>
          <w:rFonts w:ascii="Narkisim" w:hAnsi="Narkisim" w:cs="Narkisim"/>
          <w:i/>
          <w:iCs/>
        </w:rPr>
        <w:t>.</w:t>
      </w:r>
      <w:r w:rsidRPr="00AF1DC8">
        <w:rPr>
          <w:rFonts w:ascii="Narkisim" w:hAnsi="Narkisim" w:cs="Narkisim"/>
        </w:rPr>
        <w:t xml:space="preserve"> </w:t>
      </w:r>
      <w:r w:rsidRPr="00AF1DC8">
        <w:rPr>
          <w:rFonts w:ascii="Narkisim" w:hAnsi="Narkisim" w:cs="Narkisim"/>
          <w:rtl/>
        </w:rPr>
        <w:t xml:space="preserve">[ועד"ז הק' הריטב"א ב"ב קכז:]. ותי' דהיינו בישראל גמור, אבל זה לא נתברר שהוא ישראל, אלא שמוחזק ימים רבים. </w:t>
      </w:r>
      <w:r w:rsidRPr="00AF1DC8">
        <w:rPr>
          <w:rFonts w:ascii="Narkisim" w:hAnsi="Narkisim" w:cs="Narkisim"/>
          <w:sz w:val="20"/>
          <w:szCs w:val="20"/>
          <w:rtl/>
        </w:rPr>
        <w:t>[ולהך תי' הוה נאמנות מדין עדות</w:t>
      </w:r>
      <w:r w:rsidRPr="00AF1DC8">
        <w:rPr>
          <w:rStyle w:val="ac"/>
          <w:rFonts w:ascii="Narkisim" w:hAnsi="Narkisim" w:cs="Narkisim"/>
          <w:sz w:val="20"/>
          <w:szCs w:val="20"/>
          <w:rtl/>
        </w:rPr>
        <w:footnoteReference w:id="2814"/>
      </w:r>
      <w:r w:rsidRPr="00AF1DC8">
        <w:rPr>
          <w:rFonts w:ascii="Narkisim" w:hAnsi="Narkisim" w:cs="Narkisim"/>
          <w:sz w:val="20"/>
          <w:szCs w:val="20"/>
          <w:rtl/>
        </w:rPr>
        <w:t>].</w:t>
      </w:r>
      <w:r w:rsidRPr="00AF1DC8">
        <w:rPr>
          <w:rFonts w:ascii="Narkisim" w:hAnsi="Narkisim" w:cs="Narkisim"/>
          <w:rtl/>
        </w:rPr>
        <w:t xml:space="preserve"> </w:t>
      </w:r>
      <w:r w:rsidRPr="00AF1DC8">
        <w:rPr>
          <w:rFonts w:ascii="Narkisim" w:hAnsi="Narkisim" w:cs="Narkisim"/>
          <w:i/>
          <w:iCs/>
          <w:rtl/>
        </w:rPr>
        <w:t>א"נ</w:t>
      </w:r>
      <w:r w:rsidRPr="00AF1DC8">
        <w:rPr>
          <w:rFonts w:ascii="Narkisim" w:hAnsi="Narkisim" w:cs="Narkisim"/>
          <w:rtl/>
        </w:rPr>
        <w:t xml:space="preserve"> הכא לאו דוקא לפסול אלא לשויא אנפשיה חתיכה דאיסורא</w:t>
      </w:r>
      <w:r w:rsidRPr="00AF1DC8">
        <w:rPr>
          <w:rFonts w:ascii="Narkisim" w:hAnsi="Narkisim" w:cs="Narkisim"/>
        </w:rPr>
        <w:t>.</w:t>
      </w:r>
    </w:p>
    <w:p w14:paraId="1266C48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מאירי</w:t>
      </w:r>
      <w:r w:rsidRPr="00AF1DC8">
        <w:rPr>
          <w:rFonts w:ascii="Narkisim" w:hAnsi="Narkisim"/>
          <w:rtl/>
        </w:rPr>
        <w:t xml:space="preserve"> הביא בזה מח' אי איירי דוקא באומר שהיה שוגג. וכן ה</w:t>
      </w:r>
      <w:r w:rsidRPr="00AF1DC8">
        <w:rPr>
          <w:rFonts w:ascii="Narkisim" w:hAnsi="Narkisim"/>
          <w:b/>
          <w:bCs/>
          <w:rtl/>
        </w:rPr>
        <w:t xml:space="preserve">פסקי </w:t>
      </w:r>
      <w:r w:rsidRPr="00AF1DC8">
        <w:rPr>
          <w:rFonts w:ascii="Narkisim" w:hAnsi="Narkisim"/>
          <w:rtl/>
        </w:rPr>
        <w:t>ה</w:t>
      </w:r>
      <w:r w:rsidRPr="00AF1DC8">
        <w:rPr>
          <w:rFonts w:ascii="Narkisim" w:hAnsi="Narkisim"/>
          <w:b/>
          <w:bCs/>
          <w:rtl/>
        </w:rPr>
        <w:t>רי"ד</w:t>
      </w:r>
      <w:r w:rsidRPr="00AF1DC8">
        <w:rPr>
          <w:rFonts w:ascii="Narkisim" w:hAnsi="Narkisim"/>
          <w:rtl/>
        </w:rPr>
        <w:t xml:space="preserve"> האריך לדון בזה, אף דכתב הטעם משום דשויא אנפשיה. </w:t>
      </w:r>
      <w:r w:rsidRPr="00AF1DC8">
        <w:rPr>
          <w:rFonts w:ascii="Narkisim" w:hAnsi="Narkisim"/>
          <w:sz w:val="20"/>
          <w:szCs w:val="20"/>
          <w:rtl/>
        </w:rPr>
        <w:t>[וה</w:t>
      </w:r>
      <w:r w:rsidRPr="00AF1DC8">
        <w:rPr>
          <w:rFonts w:ascii="Narkisim" w:hAnsi="Narkisim"/>
          <w:b/>
          <w:bCs/>
          <w:sz w:val="20"/>
          <w:szCs w:val="20"/>
          <w:rtl/>
        </w:rPr>
        <w:t>קובה"ע</w:t>
      </w:r>
      <w:r w:rsidRPr="00AF1DC8">
        <w:rPr>
          <w:rFonts w:ascii="Narkisim" w:hAnsi="Narkisim"/>
          <w:sz w:val="20"/>
          <w:szCs w:val="20"/>
          <w:rtl/>
        </w:rPr>
        <w:t xml:space="preserve"> (כב א) תלה במח' הראשונים האם בטענות יש חסרון אין אדם משים עצמו רשע, ע' לעיל כה.]</w:t>
      </w:r>
      <w:r w:rsidRPr="00AF1DC8">
        <w:rPr>
          <w:rFonts w:ascii="Narkisim" w:hAnsi="Narkisim"/>
          <w:sz w:val="20"/>
          <w:szCs w:val="20"/>
        </w:rPr>
        <w:t>.</w:t>
      </w:r>
    </w:p>
    <w:p w14:paraId="0B8EB455"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 xml:space="preserve">פסקי </w:t>
      </w:r>
      <w:r w:rsidRPr="00AF1DC8">
        <w:rPr>
          <w:rFonts w:ascii="Narkisim" w:hAnsi="Narkisim"/>
          <w:rtl/>
        </w:rPr>
        <w:t>ה</w:t>
      </w:r>
      <w:r w:rsidRPr="00AF1DC8">
        <w:rPr>
          <w:rFonts w:ascii="Narkisim" w:hAnsi="Narkisim"/>
          <w:b/>
          <w:bCs/>
          <w:rtl/>
        </w:rPr>
        <w:t>רי"ד</w:t>
      </w:r>
      <w:r w:rsidRPr="00AF1DC8">
        <w:rPr>
          <w:rFonts w:ascii="Narkisim" w:hAnsi="Narkisim"/>
          <w:rtl/>
        </w:rPr>
        <w:t xml:space="preserve"> כתב דאע"ג דעשה תשובה אינו נאמן, דהוה תחילתו בפסול. וה</w:t>
      </w:r>
      <w:r w:rsidRPr="00AF1DC8">
        <w:rPr>
          <w:rFonts w:ascii="Narkisim" w:hAnsi="Narkisim"/>
          <w:b/>
          <w:bCs/>
          <w:rtl/>
        </w:rPr>
        <w:t>אחרונים</w:t>
      </w:r>
      <w:r w:rsidRPr="00AF1DC8">
        <w:rPr>
          <w:rFonts w:ascii="Narkisim" w:hAnsi="Narkisim"/>
          <w:rtl/>
        </w:rPr>
        <w:t xml:space="preserve"> הביאו דמבואר דיכיר בעי גדר עדות. ואכמ"ל</w:t>
      </w:r>
      <w:r w:rsidRPr="00AF1DC8">
        <w:rPr>
          <w:rFonts w:ascii="Narkisim" w:hAnsi="Narkisim"/>
        </w:rPr>
        <w:t>.</w:t>
      </w:r>
    </w:p>
    <w:p w14:paraId="7CA8DE51" w14:textId="77777777" w:rsidR="006074A5" w:rsidRPr="00AF1DC8" w:rsidRDefault="006074A5" w:rsidP="006074A5">
      <w:pPr>
        <w:pStyle w:val="aa"/>
        <w:bidi/>
        <w:rPr>
          <w:rFonts w:ascii="Narkisim" w:hAnsi="Narkisim"/>
        </w:rPr>
      </w:pPr>
      <w:r w:rsidRPr="00AF1DC8">
        <w:rPr>
          <w:rFonts w:ascii="Narkisim" w:hAnsi="Narkisim"/>
          <w:u w:val="single"/>
          <w:rtl/>
        </w:rPr>
        <w:t>תוד"ה כך.</w:t>
      </w:r>
      <w:r w:rsidRPr="00AF1DC8">
        <w:rPr>
          <w:rFonts w:ascii="Narkisim" w:hAnsi="Narkisim"/>
          <w:rtl/>
        </w:rPr>
        <w:t xml:space="preserve"> ר' אליהו מפרי"ש מפרש דנפק"ל מדכתיב בן השנואה יכיר. ודרשי' (לעיל כג.) דקאי אשנואה </w:t>
      </w:r>
      <w:r w:rsidRPr="00AF1DC8">
        <w:rPr>
          <w:rFonts w:ascii="Narkisim" w:hAnsi="Narkisim"/>
          <w:rtl/>
        </w:rPr>
        <w:lastRenderedPageBreak/>
        <w:t>בנשואיה, ונאמן לומר שהבן משנואה. [ודרשי' מהך קרא ב' גדרי נאמנות, לענין בכורה ולענין יחס]</w:t>
      </w:r>
      <w:r w:rsidRPr="00AF1DC8">
        <w:rPr>
          <w:rFonts w:ascii="Narkisim" w:hAnsi="Narkisim"/>
        </w:rPr>
        <w:t>.</w:t>
      </w:r>
    </w:p>
    <w:p w14:paraId="7565C787" w14:textId="77777777" w:rsidR="006074A5" w:rsidRPr="00AF1DC8" w:rsidRDefault="006074A5" w:rsidP="006074A5">
      <w:pPr>
        <w:pStyle w:val="aa"/>
        <w:bidi/>
        <w:rPr>
          <w:rFonts w:ascii="Narkisim" w:hAnsi="Narkisim"/>
        </w:rPr>
      </w:pPr>
      <w:r w:rsidRPr="00AF1DC8">
        <w:rPr>
          <w:rFonts w:ascii="Narkisim" w:hAnsi="Narkisim"/>
          <w:rtl/>
        </w:rPr>
        <w:t>ו</w:t>
      </w:r>
      <w:r w:rsidRPr="00AF1DC8">
        <w:rPr>
          <w:rFonts w:ascii="Narkisim" w:hAnsi="Narkisim"/>
          <w:b/>
          <w:bCs/>
          <w:rtl/>
        </w:rPr>
        <w:t>רשב"ם</w:t>
      </w:r>
      <w:r w:rsidRPr="00AF1DC8">
        <w:rPr>
          <w:rFonts w:ascii="Narkisim" w:hAnsi="Narkisim"/>
          <w:rtl/>
        </w:rPr>
        <w:t xml:space="preserve"> (ב"ב קכז:) כת' דנאמן לפסול מסברא. מדכתיב יכיר מה לי בכור, מה לי דבר אחר. ותוס' (שם וקידו' עד.) הק' מנ"ל דבשלמא נאמן לטובתו, אך מנ"ל דנאמן לפסול</w:t>
      </w:r>
      <w:r w:rsidRPr="00AF1DC8">
        <w:rPr>
          <w:rFonts w:ascii="Narkisim" w:hAnsi="Narkisim"/>
        </w:rPr>
        <w:t>.</w:t>
      </w:r>
    </w:p>
    <w:p w14:paraId="5CA47ADB" w14:textId="77777777" w:rsidR="006074A5" w:rsidRPr="00AF1DC8" w:rsidRDefault="006074A5" w:rsidP="006074A5">
      <w:pPr>
        <w:pStyle w:val="aa"/>
        <w:bidi/>
        <w:rPr>
          <w:rFonts w:ascii="Narkisim" w:hAnsi="Narkisim"/>
        </w:rPr>
      </w:pPr>
      <w:r w:rsidRPr="00AF1DC8">
        <w:rPr>
          <w:rFonts w:ascii="Narkisim" w:hAnsi="Narkisim"/>
          <w:u w:val="single"/>
          <w:rtl/>
        </w:rPr>
        <w:t>בא"ד וי"מ דטעמא דר"י דמשמע ליה דנאמן אפי' אומר על תינוק וכו'</w:t>
      </w:r>
      <w:r w:rsidRPr="00AF1DC8">
        <w:rPr>
          <w:rFonts w:ascii="Narkisim" w:hAnsi="Narkisim"/>
          <w:rtl/>
        </w:rPr>
        <w:t>. וע"כ דנתנה תורה נאמנות על הבן, דאל"כ לא היה יכול לפוסלו</w:t>
      </w:r>
      <w:r w:rsidRPr="00AF1DC8">
        <w:rPr>
          <w:rStyle w:val="ac"/>
          <w:rFonts w:ascii="Narkisim" w:hAnsi="Narkisim"/>
          <w:rtl/>
        </w:rPr>
        <w:footnoteReference w:id="2815"/>
      </w:r>
      <w:r w:rsidRPr="00AF1DC8">
        <w:rPr>
          <w:rFonts w:ascii="Narkisim" w:hAnsi="Narkisim"/>
        </w:rPr>
        <w:t xml:space="preserve">. </w:t>
      </w:r>
      <w:r w:rsidRPr="00AF1DC8">
        <w:rPr>
          <w:rFonts w:ascii="Narkisim" w:hAnsi="Narkisim"/>
          <w:rtl/>
        </w:rPr>
        <w:t xml:space="preserve">וילפי' דנאמן אף שלא ע"י הכרת הבכורה. אבל </w:t>
      </w:r>
      <w:r w:rsidRPr="00AF1DC8">
        <w:rPr>
          <w:rFonts w:ascii="Narkisim" w:hAnsi="Narkisim"/>
          <w:b/>
          <w:bCs/>
          <w:rtl/>
        </w:rPr>
        <w:t>ר"ת</w:t>
      </w:r>
      <w:r w:rsidRPr="00AF1DC8">
        <w:rPr>
          <w:rFonts w:ascii="Narkisim" w:hAnsi="Narkisim"/>
          <w:rtl/>
        </w:rPr>
        <w:t xml:space="preserve"> (בתוס' ד"ה והלכתא, וכן בה”ג הו' בראשונים) פסק כר' יהודה דוקא באופן שפוסל ע"י הכרת בכורה</w:t>
      </w:r>
      <w:r w:rsidRPr="00AF1DC8">
        <w:rPr>
          <w:rStyle w:val="ac"/>
          <w:rFonts w:ascii="Narkisim" w:hAnsi="Narkisim"/>
          <w:rtl/>
        </w:rPr>
        <w:footnoteReference w:id="2816"/>
      </w:r>
      <w:r w:rsidRPr="00AF1DC8">
        <w:rPr>
          <w:rFonts w:ascii="Narkisim" w:hAnsi="Narkisim"/>
        </w:rPr>
        <w:t xml:space="preserve">, </w:t>
      </w:r>
      <w:r w:rsidRPr="00AF1DC8">
        <w:rPr>
          <w:rFonts w:ascii="Narkisim" w:hAnsi="Narkisim"/>
          <w:rtl/>
        </w:rPr>
        <w:t>ולא ילפי' מבעלמא</w:t>
      </w:r>
      <w:r w:rsidRPr="00AF1DC8">
        <w:rPr>
          <w:rFonts w:ascii="Narkisim" w:hAnsi="Narkisim"/>
        </w:rPr>
        <w:t>.</w:t>
      </w:r>
    </w:p>
    <w:p w14:paraId="2D0A044B" w14:textId="77777777" w:rsidR="006074A5" w:rsidRPr="00AF1DC8" w:rsidRDefault="006074A5" w:rsidP="006074A5">
      <w:pPr>
        <w:pStyle w:val="a8"/>
        <w:bidi/>
        <w:rPr>
          <w:rFonts w:ascii="Narkisim" w:hAnsi="Narkisim"/>
        </w:rPr>
      </w:pPr>
      <w:r w:rsidRPr="00AF1DC8">
        <w:rPr>
          <w:rFonts w:ascii="Narkisim" w:hAnsi="Narkisim"/>
        </w:rPr>
        <w:t>[</w:t>
      </w:r>
      <w:r w:rsidRPr="00AF1DC8">
        <w:rPr>
          <w:rFonts w:ascii="Narkisim" w:hAnsi="Narkisim"/>
          <w:rtl/>
        </w:rPr>
        <w:t>אך דעת ר' יהודה דנאמן אף בלא הכרת בכורה, וצ"ב האיך קי"ל כוותיה במקצת, ומטעם אחר. ורע"א תי' דר' יהודה ס"ל ב' דרשות הנ"ל, ויש ב' גדרי נאמנות. וקי"ל כוותיה בחדא</w:t>
      </w:r>
      <w:r w:rsidRPr="00AF1DC8">
        <w:rPr>
          <w:rFonts w:ascii="Narkisim" w:hAnsi="Narkisim"/>
        </w:rPr>
        <w:t>].</w:t>
      </w:r>
    </w:p>
    <w:p w14:paraId="745377D3" w14:textId="77777777" w:rsidR="006074A5" w:rsidRPr="00AF1DC8" w:rsidRDefault="006074A5" w:rsidP="006074A5">
      <w:pPr>
        <w:pStyle w:val="aa"/>
        <w:bidi/>
        <w:rPr>
          <w:rFonts w:ascii="Narkisim" w:hAnsi="Narkisim"/>
        </w:rPr>
      </w:pPr>
      <w:r w:rsidRPr="00AF1DC8">
        <w:rPr>
          <w:rFonts w:ascii="Narkisim" w:hAnsi="Narkisim"/>
          <w:u w:val="single"/>
          <w:rtl/>
        </w:rPr>
        <w:t>בא"ד וכשאומר על הקטן שהוא בכור, א"כ הראשון ממזר וכו'</w:t>
      </w:r>
      <w:r w:rsidRPr="00AF1DC8">
        <w:rPr>
          <w:rFonts w:ascii="Narkisim" w:hAnsi="Narkisim"/>
          <w:rtl/>
        </w:rPr>
        <w:t>. בפשוטו מבואר לפ"ז דנאמן מדין יכיר לומר שאינו בנו. וכ"ד ה</w:t>
      </w:r>
      <w:r w:rsidRPr="00AF1DC8">
        <w:rPr>
          <w:rFonts w:ascii="Narkisim" w:hAnsi="Narkisim"/>
          <w:b/>
          <w:bCs/>
          <w:rtl/>
        </w:rPr>
        <w:t>רמב"ם</w:t>
      </w:r>
      <w:r w:rsidRPr="00AF1DC8">
        <w:rPr>
          <w:rFonts w:ascii="Narkisim" w:hAnsi="Narkisim"/>
          <w:rtl/>
        </w:rPr>
        <w:t xml:space="preserve"> (איסו"ב טו טו) שנאמן על מי שהוחזק שהוא בנו לומר שאינו בנו</w:t>
      </w:r>
      <w:r w:rsidRPr="00AF1DC8">
        <w:rPr>
          <w:rFonts w:ascii="Narkisim" w:hAnsi="Narkisim"/>
        </w:rPr>
        <w:t>.</w:t>
      </w:r>
    </w:p>
    <w:p w14:paraId="4128DDE7" w14:textId="77777777" w:rsidR="006074A5" w:rsidRPr="00AF1DC8" w:rsidRDefault="006074A5" w:rsidP="006074A5">
      <w:pPr>
        <w:pStyle w:val="a8"/>
        <w:bidi/>
        <w:rPr>
          <w:rFonts w:ascii="Narkisim" w:hAnsi="Narkisim"/>
        </w:rPr>
      </w:pPr>
      <w:r w:rsidRPr="00AF1DC8">
        <w:rPr>
          <w:rFonts w:ascii="Narkisim" w:hAnsi="Narkisim"/>
          <w:rtl/>
        </w:rPr>
        <w:t>אבל דעת ה</w:t>
      </w:r>
      <w:r w:rsidRPr="00AF1DC8">
        <w:rPr>
          <w:rFonts w:ascii="Narkisim" w:hAnsi="Narkisim"/>
          <w:b/>
          <w:bCs/>
          <w:rtl/>
        </w:rPr>
        <w:t>תוס' רי"ד</w:t>
      </w:r>
      <w:r w:rsidRPr="00AF1DC8">
        <w:rPr>
          <w:rFonts w:ascii="Narkisim" w:hAnsi="Narkisim"/>
          <w:rtl/>
        </w:rPr>
        <w:t xml:space="preserve"> (ב"ב קכח: ובס' המכריע עד, והריא"ז בשלט"ג סוף קידושין) דהתורה נתנה נאמנות על בנו, ואינו נאמן לומר שאינו בנו</w:t>
      </w:r>
      <w:r w:rsidRPr="00AF1DC8">
        <w:rPr>
          <w:rStyle w:val="ac"/>
          <w:rFonts w:ascii="Narkisim" w:hAnsi="Narkisim"/>
          <w:rtl/>
        </w:rPr>
        <w:footnoteReference w:id="2817"/>
      </w:r>
      <w:r w:rsidRPr="00AF1DC8">
        <w:rPr>
          <w:rFonts w:ascii="Narkisim" w:hAnsi="Narkisim"/>
        </w:rPr>
        <w:t>.</w:t>
      </w:r>
    </w:p>
    <w:p w14:paraId="57D5B152" w14:textId="77777777" w:rsidR="006074A5" w:rsidRPr="00AF1DC8" w:rsidRDefault="006074A5" w:rsidP="006074A5">
      <w:pPr>
        <w:bidi/>
        <w:rPr>
          <w:rFonts w:ascii="Narkisim" w:hAnsi="Narkisim" w:cs="Narkisim"/>
        </w:rPr>
      </w:pPr>
      <w:r w:rsidRPr="00AF1DC8">
        <w:rPr>
          <w:rFonts w:ascii="Narkisim" w:hAnsi="Narkisim" w:cs="Narkisim"/>
          <w:u w:val="single"/>
          <w:rtl/>
        </w:rPr>
        <w:t>לדבריך עכו"ם אתה ואין עדות לעכו"ם.</w:t>
      </w:r>
      <w:r w:rsidRPr="00AF1DC8">
        <w:rPr>
          <w:rFonts w:ascii="Narkisim" w:hAnsi="Narkisim" w:cs="Narkisim"/>
          <w:rtl/>
        </w:rPr>
        <w:t xml:space="preserve"> </w:t>
      </w:r>
      <w:r w:rsidRPr="00AF1DC8">
        <w:rPr>
          <w:rFonts w:ascii="Narkisim" w:hAnsi="Narkisim" w:cs="Narkisim"/>
          <w:sz w:val="20"/>
          <w:szCs w:val="20"/>
          <w:rtl/>
        </w:rPr>
        <w:t>[היינו דין יכיר, ובזה פליג רבינא דיכיר נאמר אף בעכו"ם</w:t>
      </w:r>
      <w:r w:rsidRPr="00AF1DC8">
        <w:rPr>
          <w:rStyle w:val="ac"/>
          <w:rFonts w:ascii="Narkisim" w:hAnsi="Narkisim" w:cs="Narkisim"/>
          <w:sz w:val="20"/>
          <w:szCs w:val="20"/>
          <w:rtl/>
        </w:rPr>
        <w:footnoteReference w:id="2818"/>
      </w:r>
      <w:r w:rsidRPr="00AF1DC8">
        <w:rPr>
          <w:rFonts w:ascii="Narkisim" w:hAnsi="Narkisim" w:cs="Narkisim"/>
          <w:sz w:val="20"/>
          <w:szCs w:val="20"/>
          <w:rtl/>
        </w:rPr>
        <w:t>].</w:t>
      </w:r>
      <w:r w:rsidRPr="00AF1DC8">
        <w:rPr>
          <w:rFonts w:ascii="Narkisim" w:hAnsi="Narkisim" w:cs="Narkisim"/>
          <w:rtl/>
        </w:rPr>
        <w:t xml:space="preserve"> ו</w:t>
      </w:r>
      <w:r w:rsidRPr="00AF1DC8">
        <w:rPr>
          <w:rFonts w:ascii="Narkisim" w:hAnsi="Narkisim" w:cs="Narkisim"/>
          <w:b/>
          <w:bCs/>
          <w:rtl/>
        </w:rPr>
        <w:t>תוס'</w:t>
      </w:r>
      <w:r w:rsidRPr="00AF1DC8">
        <w:rPr>
          <w:rFonts w:ascii="Narkisim" w:hAnsi="Narkisim" w:cs="Narkisim"/>
          <w:rtl/>
        </w:rPr>
        <w:t xml:space="preserve"> (כתובות כה: ד"ה הרי) כת' דאם בא ואומר זה בני וכהן הוא אינו נאמן במיגו שלא היה אומר שהוא כהן. דלדבריו קרוב הוא  [ולדבריו אין כאן עדות], וכדאמרי' בסוגיין</w:t>
      </w:r>
      <w:r w:rsidRPr="00AF1DC8">
        <w:rPr>
          <w:rFonts w:ascii="Narkisim" w:hAnsi="Narkisim" w:cs="Narkisim"/>
        </w:rPr>
        <w:t>.</w:t>
      </w:r>
    </w:p>
    <w:p w14:paraId="3C007ECA"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(ב יא) ביאר דהתורה לא האמינה עדות אלא כשמתקיימת עדותו. ולא אמרי' ממ"נ דע"כ הוה עכו"ם, דאל"כ נמצא דמשקר</w:t>
      </w:r>
      <w:r w:rsidRPr="00AF1DC8">
        <w:rPr>
          <w:rStyle w:val="ac"/>
          <w:rFonts w:ascii="Narkisim" w:hAnsi="Narkisim"/>
          <w:rtl/>
        </w:rPr>
        <w:footnoteReference w:id="2819"/>
      </w:r>
      <w:r w:rsidRPr="00AF1DC8">
        <w:rPr>
          <w:rFonts w:ascii="Narkisim" w:hAnsi="Narkisim"/>
        </w:rPr>
        <w:t>.</w:t>
      </w:r>
    </w:p>
    <w:p w14:paraId="7A0CE9B7"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אבנ"מ</w:t>
      </w:r>
      <w:r w:rsidRPr="00AF1DC8">
        <w:rPr>
          <w:rFonts w:ascii="Narkisim" w:hAnsi="Narkisim" w:cs="Narkisim"/>
          <w:rtl/>
        </w:rPr>
        <w:t xml:space="preserve"> (ד יט) הקשה תיפו"ל דאומר דאינו בנו [דעכו"ם הבא על ב"י אינו מתייחס אחריו], והוכיח דהיכא דמוחזק לבנו נאמר דין יכיר לומר דאינו בנו</w:t>
      </w:r>
      <w:r w:rsidRPr="00AF1DC8">
        <w:rPr>
          <w:rStyle w:val="ac"/>
          <w:rFonts w:ascii="Narkisim" w:hAnsi="Narkisim" w:cs="Narkisim"/>
          <w:rtl/>
        </w:rPr>
        <w:footnoteReference w:id="2820"/>
      </w:r>
      <w:r w:rsidRPr="00AF1DC8">
        <w:rPr>
          <w:rFonts w:ascii="Narkisim" w:hAnsi="Narkisim" w:cs="Narkisim"/>
        </w:rPr>
        <w:t xml:space="preserve">, </w:t>
      </w:r>
      <w:r w:rsidRPr="00AF1DC8">
        <w:rPr>
          <w:rFonts w:ascii="Narkisim" w:hAnsi="Narkisim" w:cs="Narkisim"/>
          <w:rtl/>
        </w:rPr>
        <w:t>ודלא כ</w:t>
      </w:r>
      <w:r w:rsidRPr="00AF1DC8">
        <w:rPr>
          <w:rFonts w:ascii="Narkisim" w:hAnsi="Narkisim" w:cs="Narkisim"/>
          <w:b/>
          <w:bCs/>
          <w:rtl/>
        </w:rPr>
        <w:t>ריא"ז</w:t>
      </w:r>
      <w:r w:rsidRPr="00AF1DC8">
        <w:rPr>
          <w:rFonts w:ascii="Narkisim" w:hAnsi="Narkisim" w:cs="Narkisim"/>
          <w:rtl/>
        </w:rPr>
        <w:t xml:space="preserve"> </w:t>
      </w:r>
      <w:r w:rsidRPr="00AF1DC8">
        <w:rPr>
          <w:rFonts w:ascii="Narkisim" w:hAnsi="Narkisim" w:cs="Narkisim"/>
          <w:sz w:val="20"/>
          <w:szCs w:val="20"/>
          <w:rtl/>
        </w:rPr>
        <w:t>(קידושין עח, בשלט"ג שם לב בדה"ר)</w:t>
      </w:r>
      <w:r w:rsidRPr="00AF1DC8">
        <w:rPr>
          <w:rFonts w:ascii="Narkisim" w:hAnsi="Narkisim" w:cs="Narkisim"/>
          <w:rtl/>
        </w:rPr>
        <w:t xml:space="preserve"> דאינו נאמן לומר שאינו בנו</w:t>
      </w:r>
      <w:r w:rsidRPr="00AF1DC8">
        <w:rPr>
          <w:rFonts w:ascii="Narkisim" w:hAnsi="Narkisim" w:cs="Narkisim"/>
          <w:sz w:val="20"/>
          <w:szCs w:val="20"/>
          <w:rtl/>
        </w:rPr>
        <w:t xml:space="preserve"> [דלדבריו אינו אביו, וכבסוגיין. וע”כ דניתנה הנאמנות למי שמוחזק כאביו]</w:t>
      </w:r>
      <w:r w:rsidRPr="00AF1DC8">
        <w:rPr>
          <w:rStyle w:val="ac"/>
          <w:rFonts w:ascii="Narkisim" w:hAnsi="Narkisim" w:cs="Narkisim"/>
          <w:sz w:val="20"/>
          <w:szCs w:val="20"/>
          <w:rtl/>
        </w:rPr>
        <w:footnoteReference w:id="2821"/>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דחו דכיון שהולידו נאמן עליו. ולא בעינן שיתייחס אחריו.</w:t>
      </w:r>
      <w:r w:rsidRPr="00AF1DC8">
        <w:rPr>
          <w:rFonts w:ascii="Narkisim" w:hAnsi="Narkisim" w:cs="Narkisim"/>
          <w:sz w:val="20"/>
          <w:szCs w:val="20"/>
          <w:rtl/>
        </w:rPr>
        <w:t xml:space="preserve"> [וכ”כ ה</w:t>
      </w:r>
      <w:r w:rsidRPr="00AF1DC8">
        <w:rPr>
          <w:rFonts w:ascii="Narkisim" w:hAnsi="Narkisim" w:cs="Narkisim"/>
          <w:b/>
          <w:bCs/>
          <w:sz w:val="20"/>
          <w:szCs w:val="20"/>
          <w:rtl/>
        </w:rPr>
        <w:t>קצות</w:t>
      </w:r>
      <w:r w:rsidRPr="00AF1DC8">
        <w:rPr>
          <w:rFonts w:ascii="Narkisim" w:hAnsi="Narkisim" w:cs="Narkisim"/>
          <w:sz w:val="20"/>
          <w:szCs w:val="20"/>
          <w:rtl/>
        </w:rPr>
        <w:t xml:space="preserve"> (רעז ב) דנאמן לומר דהוה בנו משפחה</w:t>
      </w:r>
      <w:r w:rsidRPr="00AF1DC8">
        <w:rPr>
          <w:rStyle w:val="ac"/>
          <w:rFonts w:ascii="Narkisim" w:hAnsi="Narkisim" w:cs="Narkisim"/>
          <w:sz w:val="20"/>
          <w:szCs w:val="20"/>
          <w:rtl/>
        </w:rPr>
        <w:footnoteReference w:id="2822"/>
      </w:r>
      <w:r w:rsidRPr="00AF1DC8">
        <w:rPr>
          <w:rFonts w:ascii="Narkisim" w:hAnsi="Narkisim" w:cs="Narkisim"/>
          <w:sz w:val="20"/>
          <w:szCs w:val="20"/>
          <w:rtl/>
        </w:rPr>
        <w:t>]</w:t>
      </w:r>
      <w:r w:rsidRPr="00AF1DC8">
        <w:rPr>
          <w:rFonts w:ascii="Narkisim" w:hAnsi="Narkisim" w:cs="Narkisim"/>
          <w:sz w:val="20"/>
          <w:szCs w:val="20"/>
        </w:rPr>
        <w:t>.</w:t>
      </w:r>
    </w:p>
    <w:p w14:paraId="5C6F059E" w14:textId="77777777" w:rsidR="006074A5" w:rsidRPr="00AF1DC8" w:rsidRDefault="006074A5" w:rsidP="006074A5">
      <w:pPr>
        <w:bidi/>
        <w:rPr>
          <w:rFonts w:ascii="Narkisim" w:hAnsi="Narkisim" w:cs="Narkisim"/>
        </w:rPr>
      </w:pPr>
      <w:r w:rsidRPr="00AF1DC8">
        <w:rPr>
          <w:rFonts w:ascii="Narkisim" w:hAnsi="Narkisim" w:cs="Narkisim"/>
          <w:u w:val="single"/>
          <w:rtl/>
        </w:rPr>
        <w:t>שם. אין עדות לעכו"ם</w:t>
      </w:r>
      <w:r w:rsidRPr="00AF1DC8">
        <w:rPr>
          <w:rFonts w:ascii="Narkisim" w:hAnsi="Narkisim" w:cs="Narkisim"/>
          <w:rtl/>
        </w:rPr>
        <w:t>. בפשוטו אמרי' דהוחזק כגר, ואינו נאמן שהגירות היה שלא כדין</w:t>
      </w:r>
      <w:r w:rsidRPr="00AF1DC8">
        <w:rPr>
          <w:rStyle w:val="ac"/>
          <w:rFonts w:ascii="Narkisim" w:hAnsi="Narkisim" w:cs="Narkisim"/>
          <w:rtl/>
        </w:rPr>
        <w:footnoteReference w:id="2823"/>
      </w:r>
      <w:r w:rsidRPr="00AF1DC8">
        <w:rPr>
          <w:rFonts w:ascii="Narkisim" w:hAnsi="Narkisim" w:cs="Narkisim"/>
        </w:rPr>
        <w:t xml:space="preserve">. </w:t>
      </w:r>
      <w:r w:rsidRPr="00AF1DC8">
        <w:rPr>
          <w:rFonts w:ascii="Narkisim" w:hAnsi="Narkisim" w:cs="Narkisim"/>
          <w:rtl/>
        </w:rPr>
        <w:t>אך ה</w:t>
      </w:r>
      <w:r w:rsidRPr="00AF1DC8">
        <w:rPr>
          <w:rFonts w:ascii="Narkisim" w:hAnsi="Narkisim" w:cs="Narkisim"/>
          <w:b/>
          <w:bCs/>
          <w:rtl/>
        </w:rPr>
        <w:t>אחרונים</w:t>
      </w:r>
      <w:r w:rsidRPr="00AF1DC8">
        <w:rPr>
          <w:rFonts w:ascii="Narkisim" w:hAnsi="Narkisim" w:cs="Narkisim"/>
          <w:rtl/>
        </w:rPr>
        <w:t xml:space="preserve"> (קר"א) הק' דאילו באו עדים שהיה נכרי מעיקרא אינו נאמן כלל שנתגייר. וכל הנאמנות בסוגיין משום הפה שאסר [וכמ”ש תוס' ד”ה במוחזק], וכיון שהוא אינו טוען שנתגייר ל”ש הפה שאסר. וע"כ כוונת הגמ' דכלפי הבנים אינו נאמן כלל שהיה עכו"ם מעיקרא</w:t>
      </w:r>
      <w:r w:rsidRPr="00AF1DC8">
        <w:rPr>
          <w:rStyle w:val="ac"/>
          <w:rFonts w:ascii="Narkisim" w:hAnsi="Narkisim" w:cs="Narkisim"/>
          <w:rtl/>
        </w:rPr>
        <w:footnoteReference w:id="2824"/>
      </w:r>
      <w:r w:rsidRPr="00AF1DC8">
        <w:rPr>
          <w:rFonts w:ascii="Narkisim" w:hAnsi="Narkisim" w:cs="Narkisim"/>
        </w:rPr>
        <w:t>.</w:t>
      </w:r>
    </w:p>
    <w:p w14:paraId="2A376D38" w14:textId="77777777" w:rsidR="006074A5" w:rsidRPr="00AF1DC8" w:rsidRDefault="006074A5" w:rsidP="006074A5">
      <w:pPr>
        <w:bidi/>
        <w:rPr>
          <w:rFonts w:ascii="Narkisim" w:hAnsi="Narkisim" w:cs="Narkisim"/>
        </w:rPr>
      </w:pPr>
      <w:r w:rsidRPr="00AF1DC8">
        <w:rPr>
          <w:rFonts w:ascii="Narkisim" w:hAnsi="Narkisim" w:cs="Narkisim"/>
          <w:u w:val="single"/>
          <w:rtl/>
        </w:rPr>
        <w:t>יש לך בני בנים וכו'.</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xml:space="preserve"> (ד"ה ואין אתה ורמב"ן ושאר ראשונים</w:t>
      </w:r>
      <w:r w:rsidRPr="00AF1DC8">
        <w:rPr>
          <w:rStyle w:val="ac"/>
          <w:rFonts w:ascii="Narkisim" w:hAnsi="Narkisim" w:cs="Narkisim"/>
          <w:rtl/>
        </w:rPr>
        <w:footnoteReference w:id="2825"/>
      </w:r>
      <w:r w:rsidRPr="00AF1DC8">
        <w:rPr>
          <w:rFonts w:ascii="Narkisim" w:hAnsi="Narkisim" w:cs="Narkisim"/>
          <w:rtl/>
        </w:rPr>
        <w:t>) כת' דכשיש לו בני בנים אינו נאמן אף על בניו. דאין לו נאמנות על בני בניו</w:t>
      </w:r>
      <w:r w:rsidRPr="00AF1DC8">
        <w:rPr>
          <w:rStyle w:val="ac"/>
          <w:rFonts w:ascii="Narkisim" w:hAnsi="Narkisim" w:cs="Narkisim"/>
          <w:rtl/>
        </w:rPr>
        <w:footnoteReference w:id="2826"/>
      </w:r>
      <w:r w:rsidRPr="00AF1DC8">
        <w:rPr>
          <w:rFonts w:ascii="Narkisim" w:hAnsi="Narkisim" w:cs="Narkisim"/>
        </w:rPr>
        <w:t xml:space="preserve">, </w:t>
      </w:r>
      <w:r w:rsidRPr="00AF1DC8">
        <w:rPr>
          <w:rFonts w:ascii="Narkisim" w:hAnsi="Narkisim" w:cs="Narkisim"/>
          <w:rtl/>
        </w:rPr>
        <w:t xml:space="preserve">ואילו הבנים פסולים ממילא </w:t>
      </w:r>
      <w:r w:rsidRPr="00AF1DC8">
        <w:rPr>
          <w:rFonts w:ascii="Narkisim" w:hAnsi="Narkisim" w:cs="Narkisim"/>
          <w:rtl/>
        </w:rPr>
        <w:lastRenderedPageBreak/>
        <w:t>אף בני בניו יפסלו [בתולדה]. ומש"ה אין סברא שיהא נאמן על הבנים</w:t>
      </w:r>
      <w:r w:rsidRPr="00AF1DC8">
        <w:rPr>
          <w:rFonts w:ascii="Narkisim" w:hAnsi="Narkisim" w:cs="Narkisim"/>
        </w:rPr>
        <w:t>.</w:t>
      </w:r>
    </w:p>
    <w:p w14:paraId="2B65C99F" w14:textId="77777777" w:rsidR="006074A5" w:rsidRPr="00AF1DC8" w:rsidRDefault="006074A5" w:rsidP="006074A5">
      <w:pPr>
        <w:pStyle w:val="a7"/>
        <w:bidi/>
        <w:rPr>
          <w:rFonts w:ascii="Narkisim" w:hAnsi="Narkisim"/>
        </w:rPr>
      </w:pPr>
      <w:r w:rsidRPr="00AF1DC8">
        <w:rPr>
          <w:rFonts w:ascii="Narkisim" w:hAnsi="Narkisim"/>
          <w:rtl/>
        </w:rPr>
        <w:t>ועד"ז כתב ה</w:t>
      </w:r>
      <w:r w:rsidRPr="00AF1DC8">
        <w:rPr>
          <w:rFonts w:ascii="Narkisim" w:hAnsi="Narkisim"/>
          <w:b/>
          <w:bCs/>
          <w:rtl/>
        </w:rPr>
        <w:t>רמ"ה</w:t>
      </w:r>
      <w:r w:rsidRPr="00AF1DC8">
        <w:rPr>
          <w:rFonts w:ascii="Narkisim" w:hAnsi="Narkisim"/>
          <w:rtl/>
        </w:rPr>
        <w:t xml:space="preserve"> (ב"ב קכז:, וכ”פ בשו”ע רעט ו) דאם אומר על בנו שהוא עבד, אינו נאמן כשידוע מי אמו, כיון דאינו נאמן לפסול את האם. וכ"כ ה</w:t>
      </w:r>
      <w:r w:rsidRPr="00AF1DC8">
        <w:rPr>
          <w:rFonts w:ascii="Narkisim" w:hAnsi="Narkisim"/>
          <w:b/>
          <w:bCs/>
          <w:rtl/>
        </w:rPr>
        <w:t>רמב"ן</w:t>
      </w:r>
      <w:r w:rsidRPr="00AF1DC8">
        <w:rPr>
          <w:rFonts w:ascii="Narkisim" w:hAnsi="Narkisim"/>
          <w:rtl/>
        </w:rPr>
        <w:t xml:space="preserve"> בסוגיין</w:t>
      </w:r>
      <w:r w:rsidRPr="00AF1DC8">
        <w:rPr>
          <w:rFonts w:ascii="Narkisim" w:hAnsi="Narkisim"/>
        </w:rPr>
        <w:t>.</w:t>
      </w:r>
    </w:p>
    <w:p w14:paraId="7AF4AF27" w14:textId="77777777" w:rsidR="006074A5" w:rsidRPr="00AF1DC8" w:rsidRDefault="006074A5" w:rsidP="006074A5">
      <w:pPr>
        <w:pStyle w:val="a7"/>
        <w:bidi/>
        <w:rPr>
          <w:rFonts w:ascii="Narkisim" w:hAnsi="Narkisim"/>
        </w:rPr>
      </w:pPr>
      <w:r w:rsidRPr="00AF1DC8">
        <w:rPr>
          <w:rFonts w:ascii="Narkisim" w:hAnsi="Narkisim"/>
          <w:rtl/>
        </w:rPr>
        <w:t>ומבואר דכיון דאינו נאמן על בני בניו, בטלה כל נאמנותו. וה</w:t>
      </w:r>
      <w:r w:rsidRPr="00AF1DC8">
        <w:rPr>
          <w:rFonts w:ascii="Narkisim" w:hAnsi="Narkisim"/>
          <w:b/>
          <w:bCs/>
          <w:rtl/>
        </w:rPr>
        <w:t>אחרונים</w:t>
      </w:r>
      <w:r w:rsidRPr="00AF1DC8">
        <w:rPr>
          <w:rFonts w:ascii="Narkisim" w:hAnsi="Narkisim"/>
          <w:rtl/>
        </w:rPr>
        <w:t xml:space="preserve"> הקשו דנימא פלגינן נאמנות. </w:t>
      </w:r>
      <w:r w:rsidRPr="00AF1DC8">
        <w:rPr>
          <w:rFonts w:ascii="Narkisim" w:hAnsi="Narkisim"/>
          <w:sz w:val="20"/>
          <w:szCs w:val="20"/>
          <w:rtl/>
        </w:rPr>
        <w:t>[וה</w:t>
      </w:r>
      <w:r w:rsidRPr="00AF1DC8">
        <w:rPr>
          <w:rFonts w:ascii="Narkisim" w:hAnsi="Narkisim"/>
          <w:b/>
          <w:bCs/>
          <w:sz w:val="20"/>
          <w:szCs w:val="20"/>
          <w:rtl/>
        </w:rPr>
        <w:t>אחרונים</w:t>
      </w:r>
      <w:r w:rsidRPr="00AF1DC8">
        <w:rPr>
          <w:rFonts w:ascii="Narkisim" w:hAnsi="Narkisim"/>
          <w:sz w:val="20"/>
          <w:szCs w:val="20"/>
          <w:rtl/>
        </w:rPr>
        <w:t xml:space="preserve"> (ע' חי' ר' שמואל ב"ב לא) האריכו אי אמרי' פלגינן נאמנות ביכיר].</w:t>
      </w:r>
      <w:r w:rsidRPr="00AF1DC8">
        <w:rPr>
          <w:rFonts w:ascii="Narkisim" w:hAnsi="Narkisim"/>
          <w:rtl/>
        </w:rPr>
        <w:t xml:space="preserve"> וה</w:t>
      </w:r>
      <w:r w:rsidRPr="00AF1DC8">
        <w:rPr>
          <w:rFonts w:ascii="Narkisim" w:hAnsi="Narkisim"/>
          <w:b/>
          <w:bCs/>
          <w:rtl/>
        </w:rPr>
        <w:t>קובה"ע</w:t>
      </w:r>
      <w:r w:rsidRPr="00AF1DC8">
        <w:rPr>
          <w:rFonts w:ascii="Narkisim" w:hAnsi="Narkisim"/>
          <w:rtl/>
        </w:rPr>
        <w:t xml:space="preserve"> </w:t>
      </w:r>
      <w:r w:rsidRPr="00AF1DC8">
        <w:rPr>
          <w:rFonts w:ascii="Narkisim" w:hAnsi="Narkisim"/>
          <w:sz w:val="20"/>
          <w:szCs w:val="20"/>
          <w:rtl/>
        </w:rPr>
        <w:t xml:space="preserve">(כא טו) </w:t>
      </w:r>
      <w:r w:rsidRPr="00AF1DC8">
        <w:rPr>
          <w:rFonts w:ascii="Narkisim" w:hAnsi="Narkisim"/>
          <w:rtl/>
        </w:rPr>
        <w:t>ביאר דכיון דהבנים הוה תולדה, ל"ש בזה פלגינן. ונאמנותו מהני רק מכאן ולהבא, ולכן ל"מ לתולדה למפרע</w:t>
      </w:r>
      <w:r w:rsidRPr="00AF1DC8">
        <w:rPr>
          <w:rFonts w:ascii="Narkisim" w:hAnsi="Narkisim"/>
        </w:rPr>
        <w:t>.</w:t>
      </w:r>
    </w:p>
    <w:p w14:paraId="17F05592" w14:textId="77777777" w:rsidR="006074A5" w:rsidRPr="00AF1DC8" w:rsidRDefault="006074A5" w:rsidP="006074A5">
      <w:pPr>
        <w:pStyle w:val="a8"/>
        <w:bidi/>
        <w:rPr>
          <w:rFonts w:ascii="Narkisim" w:hAnsi="Narkisim"/>
        </w:rPr>
      </w:pPr>
      <w:r w:rsidRPr="00AF1DC8">
        <w:rPr>
          <w:rFonts w:ascii="Narkisim" w:hAnsi="Narkisim"/>
          <w:rtl/>
        </w:rPr>
        <w:t>ועפ"ז כתב ה</w:t>
      </w:r>
      <w:r w:rsidRPr="00AF1DC8">
        <w:rPr>
          <w:rFonts w:ascii="Narkisim" w:hAnsi="Narkisim"/>
          <w:b/>
          <w:bCs/>
          <w:rtl/>
        </w:rPr>
        <w:t>קובה"ע</w:t>
      </w:r>
      <w:r w:rsidRPr="00AF1DC8">
        <w:rPr>
          <w:rFonts w:ascii="Narkisim" w:hAnsi="Narkisim"/>
          <w:rtl/>
        </w:rPr>
        <w:t xml:space="preserve"> (מא) דאילו היה לו ב' בנים, אף כשיש בני בנים מבן א', נאמן על חבירו. דבזה שפיר פלגינן. וכן נאמן לומר שבנו הוה בן גרושה, אף דאינו נאמן לפסול את אשתו</w:t>
      </w:r>
      <w:r w:rsidRPr="00AF1DC8">
        <w:rPr>
          <w:rStyle w:val="ac"/>
          <w:rFonts w:ascii="Narkisim" w:hAnsi="Narkisim"/>
          <w:rtl/>
        </w:rPr>
        <w:footnoteReference w:id="2827"/>
      </w:r>
      <w:r w:rsidRPr="00AF1DC8">
        <w:rPr>
          <w:rFonts w:ascii="Narkisim" w:hAnsi="Narkisim"/>
        </w:rPr>
        <w:t xml:space="preserve">. </w:t>
      </w:r>
      <w:r w:rsidRPr="00AF1DC8">
        <w:rPr>
          <w:rFonts w:ascii="Narkisim" w:hAnsi="Narkisim"/>
          <w:rtl/>
        </w:rPr>
        <w:t>דהא דפסול האשה הוא דעושה ב' חילולין, ושפיר פלגינן דנאמן על הבן ולא על האשה</w:t>
      </w:r>
      <w:r w:rsidRPr="00AF1DC8">
        <w:rPr>
          <w:rFonts w:ascii="Narkisim" w:hAnsi="Narkisim"/>
        </w:rPr>
        <w:t>.</w:t>
      </w:r>
    </w:p>
    <w:p w14:paraId="7A0F72D0" w14:textId="77777777" w:rsidR="006074A5" w:rsidRPr="00AF1DC8" w:rsidRDefault="006074A5" w:rsidP="006074A5">
      <w:pPr>
        <w:pStyle w:val="a7"/>
        <w:bidi/>
        <w:rPr>
          <w:rFonts w:ascii="Narkisim" w:hAnsi="Narkisim"/>
        </w:rPr>
      </w:pPr>
      <w:r w:rsidRPr="00AF1DC8">
        <w:rPr>
          <w:rFonts w:ascii="Narkisim" w:hAnsi="Narkisim"/>
          <w:rtl/>
        </w:rPr>
        <w:t>וכעי"ז כתב ה</w:t>
      </w:r>
      <w:r w:rsidRPr="00AF1DC8">
        <w:rPr>
          <w:rFonts w:ascii="Narkisim" w:hAnsi="Narkisim"/>
          <w:b/>
          <w:bCs/>
          <w:rtl/>
        </w:rPr>
        <w:t>חזו"א</w:t>
      </w:r>
      <w:r w:rsidRPr="00AF1DC8">
        <w:rPr>
          <w:rFonts w:ascii="Narkisim" w:hAnsi="Narkisim"/>
          <w:sz w:val="20"/>
          <w:szCs w:val="20"/>
          <w:rtl/>
        </w:rPr>
        <w:t xml:space="preserve"> (קלד)</w:t>
      </w:r>
      <w:r w:rsidRPr="00AF1DC8">
        <w:rPr>
          <w:rFonts w:ascii="Narkisim" w:hAnsi="Narkisim"/>
          <w:rtl/>
        </w:rPr>
        <w:t xml:space="preserve"> דבסוגיין לא אמרי' מתוך דאינו נאמן על אשת בנו [לפוסלה לכהונה], אינו נאמן על בנו</w:t>
      </w:r>
      <w:r w:rsidRPr="00AF1DC8">
        <w:rPr>
          <w:rStyle w:val="ac"/>
          <w:rFonts w:ascii="Narkisim" w:hAnsi="Narkisim"/>
          <w:rtl/>
        </w:rPr>
        <w:footnoteReference w:id="2828"/>
      </w:r>
      <w:r w:rsidRPr="00AF1DC8">
        <w:rPr>
          <w:rFonts w:ascii="Narkisim" w:hAnsi="Narkisim"/>
        </w:rPr>
        <w:t xml:space="preserve">. </w:t>
      </w:r>
      <w:r w:rsidRPr="00AF1DC8">
        <w:rPr>
          <w:rFonts w:ascii="Narkisim" w:hAnsi="Narkisim"/>
          <w:rtl/>
        </w:rPr>
        <w:t xml:space="preserve">דכשהוא מעיד על בנו הוה עדות ממילא על כל הדורות שיוצאים ממנו. אמנם אם בשעה שיש לו בני בנים, לא נתנה התורה נאמנות. דחז"ל פירשו דליכא נאמנות לחצאין, ובאבהתא גופיה צריך ל"ש לחלק. אבל עדות על הבן ועל אחר, ממילא נאמן ע"ז ולא ע"ז. </w:t>
      </w:r>
      <w:r w:rsidRPr="00AF1DC8">
        <w:rPr>
          <w:rFonts w:ascii="Narkisim" w:hAnsi="Narkisim"/>
          <w:sz w:val="20"/>
          <w:szCs w:val="20"/>
          <w:rtl/>
        </w:rPr>
        <w:t>וכתב דבזה ניחא דלרבינא נאמן על עצמו, ולא אמרי מתוך שא"נ לבניו, אינו נאמן על עצמו</w:t>
      </w:r>
      <w:r w:rsidRPr="00AF1DC8">
        <w:rPr>
          <w:rStyle w:val="ac"/>
          <w:rFonts w:ascii="Narkisim" w:hAnsi="Narkisim"/>
          <w:sz w:val="20"/>
          <w:szCs w:val="20"/>
          <w:rtl/>
        </w:rPr>
        <w:footnoteReference w:id="2829"/>
      </w:r>
      <w:r w:rsidRPr="00AF1DC8">
        <w:rPr>
          <w:rFonts w:ascii="Narkisim" w:hAnsi="Narkisim"/>
          <w:sz w:val="20"/>
          <w:szCs w:val="20"/>
        </w:rPr>
        <w:t>.</w:t>
      </w:r>
      <w:r w:rsidRPr="00AF1DC8">
        <w:rPr>
          <w:rFonts w:ascii="Narkisim" w:hAnsi="Narkisim"/>
        </w:rPr>
        <w:t xml:space="preserve">  </w:t>
      </w:r>
    </w:p>
    <w:p w14:paraId="3DB49F48"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(רש"ש) הקשו א"כ בסוגיין נמי הא אינו נאמן על עצמו </w:t>
      </w:r>
      <w:r w:rsidRPr="00AF1DC8">
        <w:rPr>
          <w:rFonts w:ascii="Narkisim" w:hAnsi="Narkisim" w:cs="Narkisim"/>
          <w:sz w:val="20"/>
          <w:szCs w:val="20"/>
          <w:rtl/>
        </w:rPr>
        <w:t>[אלא מדין שויא אנפשיה</w:t>
      </w:r>
      <w:r w:rsidRPr="00AF1DC8">
        <w:rPr>
          <w:rFonts w:ascii="Narkisim" w:hAnsi="Narkisim" w:cs="Narkisim"/>
          <w:rtl/>
        </w:rPr>
        <w:t>], א"כ נימא מתוך דאינו נאמן על עצמו לא יהא לו נאמנות על הבנים. וה</w:t>
      </w:r>
      <w:r w:rsidRPr="00AF1DC8">
        <w:rPr>
          <w:rFonts w:ascii="Narkisim" w:hAnsi="Narkisim" w:cs="Narkisim"/>
          <w:b/>
          <w:bCs/>
          <w:rtl/>
        </w:rPr>
        <w:t>שער"י</w:t>
      </w:r>
      <w:r w:rsidRPr="00AF1DC8">
        <w:rPr>
          <w:rFonts w:ascii="Narkisim" w:hAnsi="Narkisim" w:cs="Narkisim"/>
          <w:rtl/>
        </w:rPr>
        <w:t xml:space="preserve"> (ו יג) דייק מדברי ה</w:t>
      </w:r>
      <w:r w:rsidRPr="00AF1DC8">
        <w:rPr>
          <w:rFonts w:ascii="Narkisim" w:hAnsi="Narkisim" w:cs="Narkisim"/>
          <w:b/>
          <w:bCs/>
          <w:rtl/>
        </w:rPr>
        <w:t>רמב"ם</w:t>
      </w:r>
      <w:r w:rsidRPr="00AF1DC8">
        <w:rPr>
          <w:rFonts w:ascii="Narkisim" w:hAnsi="Narkisim" w:cs="Narkisim"/>
          <w:rtl/>
        </w:rPr>
        <w:t xml:space="preserve"> (איסו"ב טו טז) דאסור בממזרת, ובנו כמוהו. וביאר דכיון דאינו נאמן על עצמו נאמנות גמורה, ולכן אף הבן באותו מידה. דמה"ט אינו נאמן נאמנות גמורה מדין יכיר [ומותר בממזרת], אלא הדין דבנו כמוהו, כדין שויא אנפשיה דידיה</w:t>
      </w:r>
      <w:r w:rsidRPr="00AF1DC8">
        <w:rPr>
          <w:rStyle w:val="ac"/>
          <w:rFonts w:ascii="Narkisim" w:hAnsi="Narkisim" w:cs="Narkisim"/>
          <w:rtl/>
        </w:rPr>
        <w:footnoteReference w:id="2830"/>
      </w:r>
      <w:r w:rsidRPr="00AF1DC8">
        <w:rPr>
          <w:rFonts w:ascii="Narkisim" w:hAnsi="Narkisim" w:cs="Narkisim"/>
        </w:rPr>
        <w:t>.</w:t>
      </w:r>
    </w:p>
    <w:p w14:paraId="554F6199" w14:textId="77777777" w:rsidR="006074A5" w:rsidRPr="00AF1DC8" w:rsidRDefault="006074A5" w:rsidP="006074A5">
      <w:pPr>
        <w:bidi/>
        <w:rPr>
          <w:rFonts w:ascii="Narkisim" w:hAnsi="Narkisim" w:cs="Narkisim"/>
        </w:rPr>
      </w:pPr>
      <w:r w:rsidRPr="00AF1DC8">
        <w:rPr>
          <w:rFonts w:ascii="Narkisim" w:hAnsi="Narkisim" w:cs="Narkisim"/>
          <w:u w:val="single"/>
          <w:rtl/>
        </w:rPr>
        <w:t>תוד"ה נאמן אתה.</w:t>
      </w:r>
      <w:r w:rsidRPr="00AF1DC8">
        <w:rPr>
          <w:rFonts w:ascii="Narkisim" w:hAnsi="Narkisim" w:cs="Narkisim"/>
          <w:rtl/>
        </w:rPr>
        <w:t xml:space="preserve"> דקי"ל עכו"ם הבא על ב"י הולד כשר. [</w:t>
      </w:r>
      <w:r w:rsidRPr="00AF1DC8">
        <w:rPr>
          <w:rFonts w:ascii="Narkisim" w:hAnsi="Narkisim" w:cs="Narkisim"/>
          <w:sz w:val="20"/>
          <w:szCs w:val="20"/>
          <w:rtl/>
        </w:rPr>
        <w:t>מבואר דלמ"ד הולד כשר, ישראל כשר ואי”צ גירות. ותוס' (לעיל לז: וכג.) הביאו בזה מח'].</w:t>
      </w:r>
      <w:r w:rsidRPr="00AF1DC8">
        <w:rPr>
          <w:rFonts w:ascii="Narkisim" w:hAnsi="Narkisim" w:cs="Narkisim"/>
          <w:rtl/>
        </w:rPr>
        <w:t xml:space="preserve"> וב</w:t>
      </w:r>
      <w:r w:rsidRPr="00AF1DC8">
        <w:rPr>
          <w:rFonts w:ascii="Narkisim" w:hAnsi="Narkisim" w:cs="Narkisim"/>
          <w:b/>
          <w:bCs/>
          <w:rtl/>
        </w:rPr>
        <w:t>חי' ר"א מן ההר</w:t>
      </w:r>
      <w:r w:rsidRPr="00AF1DC8">
        <w:rPr>
          <w:rFonts w:ascii="Narkisim" w:hAnsi="Narkisim" w:cs="Narkisim"/>
          <w:rtl/>
        </w:rPr>
        <w:t xml:space="preserve"> תי' דאע"ג דהולד כשר, זרע פסול איקרי ואין אדם רוצה לידבק בהם</w:t>
      </w:r>
      <w:r w:rsidRPr="00AF1DC8">
        <w:rPr>
          <w:rFonts w:ascii="Narkisim" w:hAnsi="Narkisim" w:cs="Narkisim"/>
          <w:sz w:val="20"/>
          <w:szCs w:val="20"/>
          <w:rtl/>
        </w:rPr>
        <w:t xml:space="preserve"> [כדאמרי' (מה.) זיל גלי, וכעי”ז כ' הט”ז הו' לעיל שם]</w:t>
      </w:r>
      <w:r w:rsidRPr="00AF1DC8">
        <w:rPr>
          <w:rFonts w:ascii="Narkisim" w:hAnsi="Narkisim" w:cs="Narkisim"/>
          <w:sz w:val="20"/>
          <w:szCs w:val="20"/>
        </w:rPr>
        <w:t>.</w:t>
      </w:r>
    </w:p>
    <w:p w14:paraId="61601F9E" w14:textId="77777777" w:rsidR="006074A5" w:rsidRPr="00AF1DC8" w:rsidRDefault="006074A5" w:rsidP="006074A5">
      <w:pPr>
        <w:bidi/>
        <w:rPr>
          <w:rFonts w:ascii="Narkisim" w:hAnsi="Narkisim" w:cs="Narkisim"/>
        </w:rPr>
      </w:pPr>
      <w:r w:rsidRPr="00AF1DC8">
        <w:rPr>
          <w:rFonts w:ascii="Narkisim" w:hAnsi="Narkisim" w:cs="Narkisim"/>
          <w:u w:val="single"/>
          <w:rtl/>
        </w:rPr>
        <w:t>בא"ד וי"ל דקסבר ר"י וכו' הולד ממזר.</w:t>
      </w:r>
      <w:r w:rsidRPr="00AF1DC8">
        <w:rPr>
          <w:rFonts w:ascii="Narkisim" w:hAnsi="Narkisim" w:cs="Narkisim"/>
          <w:rtl/>
        </w:rPr>
        <w:t xml:space="preserve"> וה</w:t>
      </w:r>
      <w:r w:rsidRPr="00AF1DC8">
        <w:rPr>
          <w:rFonts w:ascii="Narkisim" w:hAnsi="Narkisim" w:cs="Narkisim"/>
          <w:b/>
          <w:bCs/>
          <w:rtl/>
        </w:rPr>
        <w:t xml:space="preserve">רמב"ן </w:t>
      </w:r>
      <w:r w:rsidRPr="00AF1DC8">
        <w:rPr>
          <w:rFonts w:ascii="Narkisim" w:hAnsi="Narkisim" w:cs="Narkisim"/>
          <w:rtl/>
        </w:rPr>
        <w:t>כתב דלפ"ז הא דאיפסיקא כרב נחמן, לענין פסול פגום לכהונה</w:t>
      </w:r>
      <w:r w:rsidRPr="00AF1DC8">
        <w:rPr>
          <w:rFonts w:ascii="Narkisim" w:hAnsi="Narkisim" w:cs="Narkisim"/>
          <w:sz w:val="20"/>
          <w:szCs w:val="20"/>
          <w:rtl/>
        </w:rPr>
        <w:t xml:space="preserve"> [לדידן, אף דלר' יהודה אין נפק"מ]</w:t>
      </w:r>
      <w:r w:rsidRPr="00AF1DC8">
        <w:rPr>
          <w:rFonts w:ascii="Narkisim" w:hAnsi="Narkisim" w:cs="Narkisim"/>
          <w:rtl/>
        </w:rPr>
        <w:t>. ועוד תי' ה</w:t>
      </w:r>
      <w:r w:rsidRPr="00AF1DC8">
        <w:rPr>
          <w:rFonts w:ascii="Narkisim" w:hAnsi="Narkisim" w:cs="Narkisim"/>
          <w:b/>
          <w:bCs/>
          <w:rtl/>
        </w:rPr>
        <w:t>רמב"ן</w:t>
      </w:r>
      <w:r w:rsidRPr="00AF1DC8">
        <w:rPr>
          <w:rFonts w:ascii="Narkisim" w:hAnsi="Narkisim" w:cs="Narkisim"/>
          <w:rtl/>
        </w:rPr>
        <w:t xml:space="preserve"> דאיירי דהיו מוחזקין בו שהוא ישראל, ואמר גר הוא ונתגיירתי, ואינו נאמן אף לפסול לכהונה. ולא פלגינן דיבוריה</w:t>
      </w:r>
      <w:r w:rsidRPr="00AF1DC8">
        <w:rPr>
          <w:rFonts w:ascii="Narkisim" w:hAnsi="Narkisim" w:cs="Narkisim"/>
          <w:sz w:val="20"/>
          <w:szCs w:val="20"/>
          <w:rtl/>
        </w:rPr>
        <w:t xml:space="preserve"> [לומר דהוחזק כישראל, ויהא נאמן דהוה גר, ומכח זה יאסרו לכהונה]</w:t>
      </w:r>
      <w:r w:rsidRPr="00AF1DC8">
        <w:rPr>
          <w:rFonts w:ascii="Narkisim" w:hAnsi="Narkisim" w:cs="Narkisim"/>
          <w:sz w:val="20"/>
          <w:szCs w:val="20"/>
        </w:rPr>
        <w:t>.</w:t>
      </w:r>
    </w:p>
    <w:p w14:paraId="3FA9E5F6"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(ושאר ראשונים) הביא דה</w:t>
      </w:r>
      <w:r w:rsidRPr="00AF1DC8">
        <w:rPr>
          <w:rFonts w:ascii="Narkisim" w:hAnsi="Narkisim" w:cs="Narkisim"/>
          <w:b/>
          <w:bCs/>
          <w:rtl/>
        </w:rPr>
        <w:t>ראב"ד</w:t>
      </w:r>
      <w:r w:rsidRPr="00AF1DC8">
        <w:rPr>
          <w:rFonts w:ascii="Narkisim" w:hAnsi="Narkisim" w:cs="Narkisim"/>
          <w:rtl/>
        </w:rPr>
        <w:t xml:space="preserve"> פי' דאיירי בגר וגיורת שבאו שניהם לפנינו. [וטוען דאף האשה לא נתגיירה, ומש"ה הבנים פסולים]. וה</w:t>
      </w:r>
      <w:r w:rsidRPr="00AF1DC8">
        <w:rPr>
          <w:rFonts w:ascii="Narkisim" w:hAnsi="Narkisim" w:cs="Narkisim"/>
          <w:b/>
          <w:bCs/>
          <w:rtl/>
        </w:rPr>
        <w:t>רמב"ן</w:t>
      </w:r>
      <w:r w:rsidRPr="00AF1DC8">
        <w:rPr>
          <w:rFonts w:ascii="Narkisim" w:hAnsi="Narkisim" w:cs="Narkisim"/>
          <w:rtl/>
        </w:rPr>
        <w:t xml:space="preserve"> הקשה דהכל תלוי בדיבור האשה [והיא אינה נאמנת מדין יכיר]. וכת' דכיון דהיא נאמנת על עצמה, והוא נאמן על הבנים, מצטרף העדות לפסול. דכיון דהאם נפסלת [ע"י הודאתה], אין חסרון במה שפוסל את הבנים</w:t>
      </w:r>
      <w:r w:rsidRPr="00AF1DC8">
        <w:rPr>
          <w:rFonts w:ascii="Narkisim" w:hAnsi="Narkisim" w:cs="Narkisim"/>
        </w:rPr>
        <w:t>.</w:t>
      </w:r>
    </w:p>
    <w:p w14:paraId="73E7E7F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לפ”ז הא דאמרי' לדבריך עכו”ם אתה, הרי לא תליא בדין דידיה, אלא באשה. וה</w:t>
      </w:r>
      <w:r w:rsidRPr="00AF1DC8">
        <w:rPr>
          <w:rFonts w:ascii="Narkisim" w:hAnsi="Narkisim"/>
          <w:b/>
          <w:bCs/>
          <w:rtl/>
        </w:rPr>
        <w:t>ר”ש איגר</w:t>
      </w:r>
      <w:r w:rsidRPr="00AF1DC8">
        <w:rPr>
          <w:rFonts w:ascii="Narkisim" w:hAnsi="Narkisim"/>
          <w:rtl/>
        </w:rPr>
        <w:t xml:space="preserve"> </w:t>
      </w:r>
      <w:r w:rsidRPr="00AF1DC8">
        <w:rPr>
          <w:rFonts w:ascii="Narkisim" w:hAnsi="Narkisim"/>
          <w:sz w:val="20"/>
          <w:szCs w:val="20"/>
          <w:rtl/>
        </w:rPr>
        <w:t>(שו"ת רע"א ק' רכא ג)</w:t>
      </w:r>
      <w:r w:rsidRPr="00AF1DC8">
        <w:rPr>
          <w:rFonts w:ascii="Narkisim" w:hAnsi="Narkisim"/>
          <w:rtl/>
        </w:rPr>
        <w:t xml:space="preserve"> הוסיף להקשות דכיון דמוחזק לנו כישראל </w:t>
      </w:r>
      <w:r w:rsidRPr="00AF1DC8">
        <w:rPr>
          <w:rFonts w:ascii="Narkisim" w:hAnsi="Narkisim"/>
          <w:sz w:val="20"/>
          <w:szCs w:val="20"/>
          <w:rtl/>
        </w:rPr>
        <w:t>[ואינו נאמן על עצמו דאינו ישראל</w:t>
      </w:r>
      <w:r w:rsidRPr="00AF1DC8">
        <w:rPr>
          <w:rFonts w:ascii="Narkisim" w:hAnsi="Narkisim"/>
          <w:rtl/>
        </w:rPr>
        <w:t xml:space="preserve">], א"כ יהיה נאמן על הבן דהוה בנו מנכרית, ואינו מתייחס אחריו. </w:t>
      </w:r>
      <w:r w:rsidRPr="00AF1DC8">
        <w:rPr>
          <w:rFonts w:ascii="Narkisim" w:hAnsi="Narkisim"/>
          <w:sz w:val="20"/>
          <w:szCs w:val="20"/>
          <w:rtl/>
        </w:rPr>
        <w:t>[ואמאי גרע במה שאומר דאף הוא עצמו עכו"ם]</w:t>
      </w:r>
      <w:r w:rsidRPr="00AF1DC8">
        <w:rPr>
          <w:rFonts w:ascii="Narkisim" w:hAnsi="Narkisim"/>
          <w:rtl/>
        </w:rPr>
        <w:t>. ול”ש בזה סברת לדבריך עכו”ם אתה, דלא תליא בהכי כלל</w:t>
      </w:r>
      <w:r w:rsidRPr="00AF1DC8">
        <w:rPr>
          <w:rFonts w:ascii="Narkisim" w:hAnsi="Narkisim"/>
        </w:rPr>
        <w:t>.</w:t>
      </w:r>
    </w:p>
    <w:p w14:paraId="22BB6B51" w14:textId="77777777" w:rsidR="006074A5" w:rsidRPr="00AF1DC8" w:rsidRDefault="006074A5" w:rsidP="006074A5">
      <w:pPr>
        <w:pStyle w:val="a8"/>
        <w:bidi/>
        <w:rPr>
          <w:rFonts w:ascii="Narkisim" w:hAnsi="Narkisim"/>
        </w:rPr>
      </w:pPr>
      <w:r w:rsidRPr="00AF1DC8">
        <w:rPr>
          <w:rFonts w:ascii="Narkisim" w:hAnsi="Narkisim"/>
          <w:rtl/>
        </w:rPr>
        <w:t xml:space="preserve">והר"ש איגר תי' דכיון דאם אומר שאינו בנו, א"כ שוב אין לו נאמנות [לומר מי הוא, רק לומר דאינו בנו, עי"ש שהאריך בזה]. וה"נ כיון שאומר שהוא נכרי, ושויא אנפשיה א"כ אינו מתייחס אחריו, דקרוי בנה. ואין בזה נאמנות יכיר. אבל אילו היינו אומרים שהם גויים הוה בניו, דבניו של גוי מתייחסים אחריו. ובזה אמרי' דעדות זה הוה עדות של נכרי, ואינו עדות. וע"ע </w:t>
      </w:r>
      <w:r w:rsidRPr="00AF1DC8">
        <w:rPr>
          <w:rFonts w:ascii="Narkisim" w:hAnsi="Narkisim"/>
          <w:b/>
          <w:bCs/>
          <w:rtl/>
        </w:rPr>
        <w:t>חי' ר' שמואל</w:t>
      </w:r>
      <w:r w:rsidRPr="00AF1DC8">
        <w:rPr>
          <w:rFonts w:ascii="Narkisim" w:hAnsi="Narkisim"/>
          <w:rtl/>
        </w:rPr>
        <w:t xml:space="preserve"> (ב”ב לא) דהאריך לפרש ע”פ דברי הריא”ז (הו' לעיל) דאינו נאמן לומר שאינו בנו</w:t>
      </w:r>
      <w:r w:rsidRPr="00AF1DC8">
        <w:rPr>
          <w:rFonts w:ascii="Narkisim" w:hAnsi="Narkisim"/>
        </w:rPr>
        <w:t>.</w:t>
      </w:r>
    </w:p>
    <w:p w14:paraId="0B10C1E5" w14:textId="77777777" w:rsidR="006074A5" w:rsidRPr="00AF1DC8" w:rsidRDefault="006074A5" w:rsidP="006074A5">
      <w:pPr>
        <w:pStyle w:val="a7"/>
        <w:bidi/>
        <w:rPr>
          <w:rFonts w:ascii="Narkisim" w:hAnsi="Narkisim"/>
        </w:rPr>
      </w:pPr>
      <w:r w:rsidRPr="00AF1DC8">
        <w:rPr>
          <w:rFonts w:ascii="Narkisim" w:hAnsi="Narkisim"/>
          <w:rtl/>
        </w:rPr>
        <w:lastRenderedPageBreak/>
        <w:t>וה</w:t>
      </w:r>
      <w:r w:rsidRPr="00AF1DC8">
        <w:rPr>
          <w:rFonts w:ascii="Narkisim" w:hAnsi="Narkisim"/>
          <w:b/>
          <w:bCs/>
          <w:rtl/>
        </w:rPr>
        <w:t>מאירי</w:t>
      </w:r>
      <w:r w:rsidRPr="00AF1DC8">
        <w:rPr>
          <w:rFonts w:ascii="Narkisim" w:hAnsi="Narkisim"/>
          <w:rtl/>
        </w:rPr>
        <w:t xml:space="preserve"> הביא</w:t>
      </w:r>
      <w:r w:rsidRPr="00AF1DC8">
        <w:rPr>
          <w:rFonts w:ascii="Narkisim" w:hAnsi="Narkisim"/>
          <w:b/>
          <w:bCs/>
          <w:rtl/>
        </w:rPr>
        <w:t xml:space="preserve"> י"מ</w:t>
      </w:r>
      <w:r w:rsidRPr="00AF1DC8">
        <w:rPr>
          <w:rFonts w:ascii="Narkisim" w:hAnsi="Narkisim"/>
          <w:rtl/>
        </w:rPr>
        <w:t xml:space="preserve"> דאיירי דנתגייר הוא ובניו. וה</w:t>
      </w:r>
      <w:r w:rsidRPr="00AF1DC8">
        <w:rPr>
          <w:rFonts w:ascii="Narkisim" w:hAnsi="Narkisim"/>
          <w:b/>
          <w:bCs/>
          <w:rtl/>
        </w:rPr>
        <w:t>מאירי</w:t>
      </w:r>
      <w:r w:rsidRPr="00AF1DC8">
        <w:rPr>
          <w:rFonts w:ascii="Narkisim" w:hAnsi="Narkisim"/>
          <w:rtl/>
        </w:rPr>
        <w:t xml:space="preserve"> הקשה דא"כ אין עדות האב על הבנים כלום. </w:t>
      </w:r>
      <w:r w:rsidRPr="00AF1DC8">
        <w:rPr>
          <w:rFonts w:ascii="Narkisim" w:hAnsi="Narkisim"/>
          <w:sz w:val="20"/>
          <w:szCs w:val="20"/>
          <w:rtl/>
        </w:rPr>
        <w:t>[דאין קורבא ביניהם, דכקטן שנולד</w:t>
      </w:r>
      <w:r w:rsidRPr="00AF1DC8">
        <w:rPr>
          <w:rStyle w:val="ac"/>
          <w:rFonts w:ascii="Narkisim" w:hAnsi="Narkisim"/>
          <w:sz w:val="20"/>
          <w:szCs w:val="20"/>
          <w:rtl/>
        </w:rPr>
        <w:footnoteReference w:id="2831"/>
      </w:r>
      <w:r w:rsidRPr="00AF1DC8">
        <w:rPr>
          <w:rFonts w:ascii="Narkisim" w:hAnsi="Narkisim"/>
          <w:sz w:val="20"/>
          <w:szCs w:val="20"/>
          <w:rtl/>
        </w:rPr>
        <w:t>]</w:t>
      </w:r>
      <w:r w:rsidRPr="00AF1DC8">
        <w:rPr>
          <w:rFonts w:ascii="Narkisim" w:hAnsi="Narkisim"/>
          <w:sz w:val="20"/>
          <w:szCs w:val="20"/>
        </w:rPr>
        <w:t>.</w:t>
      </w:r>
    </w:p>
    <w:p w14:paraId="1CEB1BE6" w14:textId="77777777" w:rsidR="006074A5" w:rsidRPr="00AF1DC8" w:rsidRDefault="006074A5" w:rsidP="006074A5">
      <w:pPr>
        <w:pStyle w:val="2"/>
        <w:bidi/>
        <w:rPr>
          <w:rFonts w:ascii="Narkisim" w:hAnsi="Narkisim"/>
        </w:rPr>
      </w:pPr>
      <w:r w:rsidRPr="00AF1DC8">
        <w:rPr>
          <w:rFonts w:ascii="Narkisim" w:hAnsi="Narkisim"/>
          <w:rtl/>
        </w:rPr>
        <w:t>גר שבא להתגייר</w:t>
      </w:r>
    </w:p>
    <w:p w14:paraId="029A18C1" w14:textId="77777777" w:rsidR="006074A5" w:rsidRPr="00AF1DC8" w:rsidRDefault="006074A5" w:rsidP="006074A5">
      <w:pPr>
        <w:pStyle w:val="aa"/>
        <w:bidi/>
        <w:rPr>
          <w:rFonts w:ascii="Narkisim" w:hAnsi="Narkisim"/>
        </w:rPr>
      </w:pPr>
      <w:r w:rsidRPr="00AF1DC8">
        <w:rPr>
          <w:rFonts w:ascii="Narkisim" w:hAnsi="Narkisim"/>
          <w:u w:val="single"/>
          <w:rtl/>
        </w:rPr>
        <w:t>ת"ר גר שבא להתגייר בזה"ז אומרים לו מה ראית וכו'</w:t>
      </w:r>
      <w:r w:rsidRPr="00AF1DC8">
        <w:rPr>
          <w:rFonts w:ascii="Narkisim" w:hAnsi="Narkisim"/>
          <w:rtl/>
        </w:rPr>
        <w:t>. ה</w:t>
      </w:r>
      <w:r w:rsidRPr="00AF1DC8">
        <w:rPr>
          <w:rFonts w:ascii="Narkisim" w:hAnsi="Narkisim"/>
          <w:b/>
          <w:bCs/>
          <w:rtl/>
        </w:rPr>
        <w:t>רמב"ם</w:t>
      </w:r>
      <w:r w:rsidRPr="00AF1DC8">
        <w:rPr>
          <w:rFonts w:ascii="Narkisim" w:hAnsi="Narkisim"/>
          <w:rtl/>
        </w:rPr>
        <w:t xml:space="preserve"> (איסו"ב יג יד) ביאר דכשבאין להתגייר בודקין אותם האם באו להתגייר משום ממון או אישות וכדו' (ע' לעיל כד:). ואם לא נמצא להם עילה מודיעין אותן כובד עול התורה</w:t>
      </w:r>
      <w:r w:rsidRPr="00AF1DC8">
        <w:rPr>
          <w:rStyle w:val="ac"/>
          <w:rFonts w:ascii="Narkisim" w:hAnsi="Narkisim"/>
          <w:rtl/>
        </w:rPr>
        <w:footnoteReference w:id="2832"/>
      </w:r>
      <w:r w:rsidRPr="00AF1DC8">
        <w:rPr>
          <w:rFonts w:ascii="Narkisim" w:hAnsi="Narkisim"/>
        </w:rPr>
        <w:t xml:space="preserve"> </w:t>
      </w:r>
      <w:r w:rsidRPr="00AF1DC8">
        <w:rPr>
          <w:rFonts w:ascii="Narkisim" w:hAnsi="Narkisim"/>
          <w:rtl/>
        </w:rPr>
        <w:t>וטורח שיש בעשייתה</w:t>
      </w:r>
      <w:r w:rsidRPr="00AF1DC8">
        <w:rPr>
          <w:rStyle w:val="ac"/>
          <w:rFonts w:ascii="Narkisim" w:hAnsi="Narkisim"/>
          <w:rtl/>
        </w:rPr>
        <w:footnoteReference w:id="2833"/>
      </w:r>
      <w:r w:rsidRPr="00AF1DC8">
        <w:rPr>
          <w:rFonts w:ascii="Narkisim" w:hAnsi="Narkisim"/>
        </w:rPr>
        <w:t xml:space="preserve"> </w:t>
      </w:r>
      <w:r w:rsidRPr="00AF1DC8">
        <w:rPr>
          <w:rFonts w:ascii="Narkisim" w:hAnsi="Narkisim"/>
          <w:rtl/>
        </w:rPr>
        <w:t>על עמי הארצות כדי שיפרושו. אם קבלו ולא פירשו, וראו אותן שחזרו מאהבה, מקבלים אותן שנאמר ותרא כי מתאמצת וגו</w:t>
      </w:r>
      <w:r w:rsidRPr="00AF1DC8">
        <w:rPr>
          <w:rFonts w:ascii="Narkisim" w:hAnsi="Narkisim"/>
        </w:rPr>
        <w:t>'.</w:t>
      </w:r>
    </w:p>
    <w:p w14:paraId="6CB4618D" w14:textId="77777777" w:rsidR="006074A5" w:rsidRPr="00AF1DC8" w:rsidRDefault="006074A5" w:rsidP="006074A5">
      <w:pPr>
        <w:bidi/>
        <w:rPr>
          <w:rFonts w:ascii="Narkisim" w:hAnsi="Narkisim" w:cs="Narkisim"/>
        </w:rPr>
      </w:pPr>
      <w:r w:rsidRPr="00AF1DC8">
        <w:rPr>
          <w:rFonts w:ascii="Narkisim" w:hAnsi="Narkisim" w:cs="Narkisim"/>
          <w:u w:val="single"/>
          <w:rtl/>
        </w:rPr>
        <w:t>ומודיעין אותו מקצת מצות וכו'</w:t>
      </w:r>
      <w:r w:rsidRPr="00AF1DC8">
        <w:rPr>
          <w:rFonts w:ascii="Narkisim" w:hAnsi="Narkisim" w:cs="Narkisim"/>
          <w:rtl/>
        </w:rPr>
        <w:t>. [ובהמשך הברייתא איתא קיבל מלין אותו וכו'</w:t>
      </w:r>
      <w:r w:rsidRPr="00AF1DC8">
        <w:rPr>
          <w:rStyle w:val="ac"/>
          <w:rFonts w:ascii="Narkisim" w:hAnsi="Narkisim" w:cs="Narkisim"/>
          <w:rtl/>
        </w:rPr>
        <w:footnoteReference w:id="2834"/>
      </w:r>
      <w:r w:rsidRPr="00AF1DC8">
        <w:rPr>
          <w:rFonts w:ascii="Narkisim" w:hAnsi="Narkisim" w:cs="Narkisim"/>
          <w:rtl/>
        </w:rPr>
        <w:t>]. ה</w:t>
      </w:r>
      <w:r w:rsidRPr="00AF1DC8">
        <w:rPr>
          <w:rFonts w:ascii="Narkisim" w:hAnsi="Narkisim" w:cs="Narkisim"/>
          <w:b/>
          <w:bCs/>
          <w:rtl/>
        </w:rPr>
        <w:t xml:space="preserve">תו"י </w:t>
      </w:r>
      <w:r w:rsidRPr="00AF1DC8">
        <w:rPr>
          <w:rFonts w:ascii="Narkisim" w:hAnsi="Narkisim" w:cs="Narkisim"/>
          <w:rtl/>
        </w:rPr>
        <w:t>(מה:) כתב דאיירי התם דקיבל מצוות והודיעו מקצת קלות וחמורות, דאל"כ לא חל הגירות [אף בדיעבד]. וכן משמע מדברי ה</w:t>
      </w:r>
      <w:r w:rsidRPr="00AF1DC8">
        <w:rPr>
          <w:rFonts w:ascii="Narkisim" w:hAnsi="Narkisim" w:cs="Narkisim"/>
          <w:b/>
          <w:bCs/>
          <w:rtl/>
        </w:rPr>
        <w:t>ראשונים</w:t>
      </w:r>
      <w:r w:rsidRPr="00AF1DC8">
        <w:rPr>
          <w:rFonts w:ascii="Narkisim" w:hAnsi="Narkisim" w:cs="Narkisim"/>
          <w:rtl/>
        </w:rPr>
        <w:t xml:space="preserve"> (שם ובכ"מ) דהודעת מקצת מצוות הוה קבלת מצוות. </w:t>
      </w:r>
      <w:r w:rsidRPr="00AF1DC8">
        <w:rPr>
          <w:rFonts w:ascii="Narkisim" w:hAnsi="Narkisim" w:cs="Narkisim"/>
          <w:sz w:val="20"/>
          <w:szCs w:val="20"/>
          <w:rtl/>
        </w:rPr>
        <w:t>וכ"כ ה</w:t>
      </w:r>
      <w:r w:rsidRPr="00AF1DC8">
        <w:rPr>
          <w:rFonts w:ascii="Narkisim" w:hAnsi="Narkisim" w:cs="Narkisim"/>
          <w:b/>
          <w:bCs/>
          <w:sz w:val="20"/>
          <w:szCs w:val="20"/>
          <w:rtl/>
        </w:rPr>
        <w:t xml:space="preserve">רמב"ן </w:t>
      </w:r>
      <w:r w:rsidRPr="00AF1DC8">
        <w:rPr>
          <w:rFonts w:ascii="Narkisim" w:hAnsi="Narkisim" w:cs="Narkisim"/>
          <w:sz w:val="20"/>
          <w:szCs w:val="20"/>
          <w:rtl/>
        </w:rPr>
        <w:t>(מה:, והו' בה"ה יג ט) דאם קיבל עליו בפני ג' למול ולטבול</w:t>
      </w:r>
      <w:r w:rsidRPr="00AF1DC8">
        <w:rPr>
          <w:rStyle w:val="ac"/>
          <w:rFonts w:ascii="Narkisim" w:hAnsi="Narkisim" w:cs="Narkisim"/>
          <w:sz w:val="20"/>
          <w:szCs w:val="20"/>
          <w:rtl/>
        </w:rPr>
        <w:footnoteReference w:id="2835"/>
      </w:r>
      <w:r w:rsidRPr="00AF1DC8">
        <w:rPr>
          <w:rFonts w:ascii="Narkisim" w:hAnsi="Narkisim" w:cs="Narkisim"/>
          <w:sz w:val="20"/>
          <w:szCs w:val="20"/>
        </w:rPr>
        <w:t xml:space="preserve">, </w:t>
      </w:r>
      <w:r w:rsidRPr="00AF1DC8">
        <w:rPr>
          <w:rFonts w:ascii="Narkisim" w:hAnsi="Narkisim" w:cs="Narkisim"/>
          <w:sz w:val="20"/>
          <w:szCs w:val="20"/>
          <w:rtl/>
        </w:rPr>
        <w:t>והודיעו מקצת מצוות כדינו וכו'. [ומבואר דנחשב קבלת מצוות בפני בי”ד</w:t>
      </w:r>
      <w:r w:rsidRPr="00AF1DC8">
        <w:rPr>
          <w:rStyle w:val="ac"/>
          <w:rFonts w:ascii="Narkisim" w:hAnsi="Narkisim" w:cs="Narkisim"/>
          <w:sz w:val="20"/>
          <w:szCs w:val="20"/>
          <w:rtl/>
        </w:rPr>
        <w:footnoteReference w:id="2836"/>
      </w:r>
      <w:r w:rsidRPr="00AF1DC8">
        <w:rPr>
          <w:rFonts w:ascii="Narkisim" w:hAnsi="Narkisim" w:cs="Narkisim"/>
          <w:sz w:val="20"/>
          <w:szCs w:val="20"/>
          <w:rtl/>
        </w:rPr>
        <w:t>]</w:t>
      </w:r>
      <w:r w:rsidRPr="00AF1DC8">
        <w:rPr>
          <w:rFonts w:ascii="Narkisim" w:hAnsi="Narkisim" w:cs="Narkisim"/>
          <w:sz w:val="20"/>
          <w:szCs w:val="20"/>
        </w:rPr>
        <w:t>.</w:t>
      </w:r>
    </w:p>
    <w:p w14:paraId="5F0F5C54"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ריטב"א</w:t>
      </w:r>
      <w:r w:rsidRPr="00AF1DC8">
        <w:rPr>
          <w:rFonts w:ascii="Narkisim" w:hAnsi="Narkisim"/>
          <w:rtl/>
        </w:rPr>
        <w:t xml:space="preserve"> (ונמוק"י) כת' שאם לא הודיעו אינו מעכב, וכדמוכח (שבת סח.) דגר שנתגייר בין האומות, ולא ידע כלל שיש שבת בתורה</w:t>
      </w:r>
      <w:r w:rsidRPr="00AF1DC8">
        <w:rPr>
          <w:rStyle w:val="ac"/>
          <w:rFonts w:ascii="Narkisim" w:hAnsi="Narkisim"/>
          <w:rtl/>
        </w:rPr>
        <w:footnoteReference w:id="2837"/>
      </w:r>
      <w:r w:rsidRPr="00AF1DC8">
        <w:rPr>
          <w:rFonts w:ascii="Narkisim" w:hAnsi="Narkisim"/>
        </w:rPr>
        <w:t xml:space="preserve">. </w:t>
      </w:r>
      <w:r w:rsidRPr="00AF1DC8">
        <w:rPr>
          <w:rFonts w:ascii="Narkisim" w:hAnsi="Narkisim"/>
          <w:rtl/>
        </w:rPr>
        <w:t>וכ"פ ה</w:t>
      </w:r>
      <w:r w:rsidRPr="00AF1DC8">
        <w:rPr>
          <w:rFonts w:ascii="Narkisim" w:hAnsi="Narkisim"/>
          <w:b/>
          <w:bCs/>
          <w:rtl/>
        </w:rPr>
        <w:t>רמב"ם</w:t>
      </w:r>
      <w:r w:rsidRPr="00AF1DC8">
        <w:rPr>
          <w:rFonts w:ascii="Narkisim" w:hAnsi="Narkisim"/>
          <w:rtl/>
        </w:rPr>
        <w:t xml:space="preserve"> (יג יז, והשו"ע יו"ד רסח יב) דגר שלא בדקו אחריו או לא הודיעו לו המצוות</w:t>
      </w:r>
      <w:r w:rsidRPr="00AF1DC8">
        <w:rPr>
          <w:rStyle w:val="ac"/>
          <w:rFonts w:ascii="Narkisim" w:hAnsi="Narkisim"/>
          <w:rtl/>
        </w:rPr>
        <w:footnoteReference w:id="2838"/>
      </w:r>
      <w:r w:rsidRPr="00AF1DC8">
        <w:rPr>
          <w:rFonts w:ascii="Narkisim" w:hAnsi="Narkisim"/>
        </w:rPr>
        <w:t xml:space="preserve"> </w:t>
      </w:r>
      <w:r w:rsidRPr="00AF1DC8">
        <w:rPr>
          <w:rFonts w:ascii="Narkisim" w:hAnsi="Narkisim"/>
          <w:rtl/>
        </w:rPr>
        <w:t>הוה גר בדיעבד, ויצא מכלל עכו"ם</w:t>
      </w:r>
      <w:r w:rsidRPr="00AF1DC8">
        <w:rPr>
          <w:rStyle w:val="ac"/>
          <w:rFonts w:ascii="Narkisim" w:hAnsi="Narkisim"/>
          <w:rtl/>
        </w:rPr>
        <w:footnoteReference w:id="2839"/>
      </w:r>
      <w:r w:rsidRPr="00AF1DC8">
        <w:rPr>
          <w:rFonts w:ascii="Narkisim" w:hAnsi="Narkisim"/>
        </w:rPr>
        <w:t xml:space="preserve">. </w:t>
      </w:r>
      <w:r w:rsidRPr="00AF1DC8">
        <w:rPr>
          <w:rFonts w:ascii="Narkisim" w:hAnsi="Narkisim"/>
          <w:sz w:val="20"/>
          <w:szCs w:val="20"/>
          <w:rtl/>
        </w:rPr>
        <w:t>[ו</w:t>
      </w:r>
      <w:r w:rsidRPr="00AF1DC8">
        <w:rPr>
          <w:rFonts w:ascii="Narkisim" w:hAnsi="Narkisim"/>
          <w:b/>
          <w:bCs/>
          <w:sz w:val="20"/>
          <w:szCs w:val="20"/>
          <w:rtl/>
        </w:rPr>
        <w:t>ה”ה</w:t>
      </w:r>
      <w:r w:rsidRPr="00AF1DC8">
        <w:rPr>
          <w:rFonts w:ascii="Narkisim" w:hAnsi="Narkisim"/>
          <w:sz w:val="20"/>
          <w:szCs w:val="20"/>
          <w:rtl/>
        </w:rPr>
        <w:t xml:space="preserve"> כתב דזה פשוט דאינו מעכב בדיעבד. ובפשוטו סתר למש"כ (שם ט) בשם הרמב"ן]</w:t>
      </w:r>
      <w:r w:rsidRPr="00AF1DC8">
        <w:rPr>
          <w:rFonts w:ascii="Narkisim" w:hAnsi="Narkisim"/>
        </w:rPr>
        <w:t>.</w:t>
      </w:r>
    </w:p>
    <w:p w14:paraId="6B55E7E4"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ב"ח</w:t>
      </w:r>
      <w:r w:rsidRPr="00AF1DC8">
        <w:rPr>
          <w:rFonts w:ascii="Narkisim" w:hAnsi="Narkisim"/>
          <w:rtl/>
        </w:rPr>
        <w:t xml:space="preserve"> (יו"ד רסח ז), </w:t>
      </w:r>
      <w:r w:rsidRPr="00AF1DC8">
        <w:rPr>
          <w:rFonts w:ascii="Narkisim" w:hAnsi="Narkisim"/>
          <w:b/>
          <w:bCs/>
          <w:rtl/>
        </w:rPr>
        <w:t>מהר"א ששון</w:t>
      </w:r>
      <w:r w:rsidRPr="00AF1DC8">
        <w:rPr>
          <w:rFonts w:ascii="Narkisim" w:hAnsi="Narkisim"/>
          <w:rtl/>
        </w:rPr>
        <w:t xml:space="preserve"> (כ ד"ה ולמדנו) וה</w:t>
      </w:r>
      <w:r w:rsidRPr="00AF1DC8">
        <w:rPr>
          <w:rFonts w:ascii="Narkisim" w:hAnsi="Narkisim"/>
          <w:b/>
          <w:bCs/>
          <w:rtl/>
        </w:rPr>
        <w:t>בית מאיר</w:t>
      </w:r>
      <w:r w:rsidRPr="00AF1DC8">
        <w:rPr>
          <w:rFonts w:ascii="Narkisim" w:hAnsi="Narkisim"/>
          <w:rtl/>
        </w:rPr>
        <w:t xml:space="preserve"> (שו”ת יב) הביאו מזה [דדעת הרמב"ם] דקבלת מצוות</w:t>
      </w:r>
      <w:r w:rsidRPr="00AF1DC8">
        <w:rPr>
          <w:rStyle w:val="ac"/>
          <w:rFonts w:ascii="Narkisim" w:hAnsi="Narkisim"/>
          <w:rtl/>
        </w:rPr>
        <w:footnoteReference w:id="2840"/>
      </w:r>
      <w:r w:rsidRPr="00AF1DC8">
        <w:rPr>
          <w:rFonts w:ascii="Narkisim" w:hAnsi="Narkisim"/>
        </w:rPr>
        <w:t xml:space="preserve"> </w:t>
      </w:r>
      <w:r w:rsidRPr="00AF1DC8">
        <w:rPr>
          <w:rFonts w:ascii="Narkisim" w:hAnsi="Narkisim"/>
          <w:rtl/>
        </w:rPr>
        <w:t>אינו מעכב</w:t>
      </w:r>
      <w:r w:rsidRPr="00AF1DC8">
        <w:rPr>
          <w:rStyle w:val="ac"/>
          <w:rFonts w:ascii="Narkisim" w:hAnsi="Narkisim"/>
          <w:rtl/>
        </w:rPr>
        <w:footnoteReference w:id="2841"/>
      </w:r>
      <w:r w:rsidRPr="00AF1DC8">
        <w:rPr>
          <w:rFonts w:ascii="Narkisim" w:hAnsi="Narkisim"/>
        </w:rPr>
        <w:t xml:space="preserve">. </w:t>
      </w:r>
      <w:r w:rsidRPr="00AF1DC8">
        <w:rPr>
          <w:rFonts w:ascii="Narkisim" w:hAnsi="Narkisim"/>
          <w:rtl/>
        </w:rPr>
        <w:t>אבל ה</w:t>
      </w:r>
      <w:r w:rsidRPr="00AF1DC8">
        <w:rPr>
          <w:rFonts w:ascii="Narkisim" w:hAnsi="Narkisim"/>
          <w:b/>
          <w:bCs/>
          <w:rtl/>
        </w:rPr>
        <w:t>חמד"ש</w:t>
      </w:r>
      <w:r w:rsidRPr="00AF1DC8">
        <w:rPr>
          <w:rFonts w:ascii="Narkisim" w:hAnsi="Narkisim"/>
          <w:rtl/>
        </w:rPr>
        <w:t xml:space="preserve"> (שו"ת כט) כת' דקבלת מצוות והודעת מקצת מצוות הוה ב' דינים. ובודאי בעי 'קבלת' עצם הגירות ומצוות</w:t>
      </w:r>
      <w:r w:rsidRPr="00AF1DC8">
        <w:rPr>
          <w:rStyle w:val="ac"/>
          <w:rFonts w:ascii="Narkisim" w:hAnsi="Narkisim"/>
          <w:rtl/>
        </w:rPr>
        <w:footnoteReference w:id="2842"/>
      </w:r>
      <w:r w:rsidRPr="00AF1DC8">
        <w:rPr>
          <w:rFonts w:ascii="Narkisim" w:hAnsi="Narkisim"/>
        </w:rPr>
        <w:t xml:space="preserve">, </w:t>
      </w:r>
      <w:r w:rsidRPr="00AF1DC8">
        <w:rPr>
          <w:rFonts w:ascii="Narkisim" w:hAnsi="Narkisim"/>
          <w:rtl/>
        </w:rPr>
        <w:t>אלא דלא בעינן שיודיעו מקצת מצוות (וע"ע שם)</w:t>
      </w:r>
      <w:r w:rsidRPr="00AF1DC8">
        <w:rPr>
          <w:rFonts w:ascii="Narkisim" w:hAnsi="Narkisim"/>
        </w:rPr>
        <w:t>.</w:t>
      </w:r>
    </w:p>
    <w:p w14:paraId="59AE0CD0"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(כתובות יא.) הקשה היאך מגיירים גר קטן, הא בעינן שיודיעוהו קלות וחמורות</w:t>
      </w:r>
      <w:r w:rsidRPr="00AF1DC8">
        <w:rPr>
          <w:rStyle w:val="ac"/>
          <w:rFonts w:ascii="Narkisim" w:hAnsi="Narkisim"/>
          <w:rtl/>
        </w:rPr>
        <w:footnoteReference w:id="2843"/>
      </w:r>
      <w:r w:rsidRPr="00AF1DC8">
        <w:rPr>
          <w:rFonts w:ascii="Narkisim" w:hAnsi="Narkisim"/>
        </w:rPr>
        <w:t xml:space="preserve">. </w:t>
      </w:r>
      <w:r w:rsidRPr="00AF1DC8">
        <w:rPr>
          <w:rFonts w:ascii="Narkisim" w:hAnsi="Narkisim"/>
          <w:rtl/>
        </w:rPr>
        <w:t xml:space="preserve">ותי' דההוא </w:t>
      </w:r>
      <w:r w:rsidRPr="00AF1DC8">
        <w:rPr>
          <w:rFonts w:ascii="Narkisim" w:hAnsi="Narkisim"/>
          <w:rtl/>
        </w:rPr>
        <w:lastRenderedPageBreak/>
        <w:t>למצוה ואינו מעכב, והכא דלאו בר הודעה הוא אינו מעכב</w:t>
      </w:r>
      <w:r w:rsidRPr="00AF1DC8">
        <w:rPr>
          <w:rStyle w:val="ac"/>
          <w:rFonts w:ascii="Narkisim" w:hAnsi="Narkisim"/>
          <w:rtl/>
        </w:rPr>
        <w:footnoteReference w:id="2844"/>
      </w:r>
      <w:r w:rsidRPr="00AF1DC8">
        <w:rPr>
          <w:rFonts w:ascii="Narkisim" w:hAnsi="Narkisim"/>
        </w:rPr>
        <w:t xml:space="preserve">. </w:t>
      </w:r>
      <w:r w:rsidRPr="00AF1DC8">
        <w:rPr>
          <w:rFonts w:ascii="Narkisim" w:hAnsi="Narkisim"/>
          <w:rtl/>
        </w:rPr>
        <w:t xml:space="preserve">אבל </w:t>
      </w:r>
      <w:r w:rsidRPr="00AF1DC8">
        <w:rPr>
          <w:rFonts w:ascii="Narkisim" w:hAnsi="Narkisim"/>
          <w:b/>
          <w:bCs/>
          <w:rtl/>
        </w:rPr>
        <w:t>תוס</w:t>
      </w:r>
      <w:r w:rsidRPr="00AF1DC8">
        <w:rPr>
          <w:rFonts w:ascii="Narkisim" w:hAnsi="Narkisim"/>
          <w:rtl/>
        </w:rPr>
        <w:t>' (סנהדרין סח: סוד”ה קטן) כת' דגר קטן מהני מילה וטבילה בקטנות, ואינו חסר אלא קבלת מצוות. ומתוך שגדלו ולא מיחו היינו קבלה</w:t>
      </w:r>
      <w:r w:rsidRPr="00AF1DC8">
        <w:rPr>
          <w:rStyle w:val="ac"/>
          <w:rFonts w:ascii="Narkisim" w:hAnsi="Narkisim"/>
          <w:rtl/>
        </w:rPr>
        <w:footnoteReference w:id="2845"/>
      </w:r>
      <w:r w:rsidRPr="00AF1DC8">
        <w:rPr>
          <w:rFonts w:ascii="Narkisim" w:hAnsi="Narkisim"/>
        </w:rPr>
        <w:t>.</w:t>
      </w:r>
    </w:p>
    <w:p w14:paraId="052E727D" w14:textId="77777777" w:rsidR="006074A5" w:rsidRPr="00AF1DC8" w:rsidRDefault="006074A5" w:rsidP="006074A5">
      <w:pPr>
        <w:pStyle w:val="aa"/>
        <w:bidi/>
        <w:rPr>
          <w:rFonts w:ascii="Narkisim" w:hAnsi="Narkisim"/>
        </w:rPr>
      </w:pPr>
      <w:r w:rsidRPr="00AF1DC8">
        <w:rPr>
          <w:rFonts w:ascii="Narkisim" w:hAnsi="Narkisim"/>
          <w:u w:val="single"/>
          <w:rtl/>
        </w:rPr>
        <w:t>שם. ומודיעין אותו מקצת מצוות קלות וכו'</w:t>
      </w:r>
      <w:r w:rsidRPr="00AF1DC8">
        <w:rPr>
          <w:rFonts w:ascii="Narkisim" w:hAnsi="Narkisim"/>
          <w:rtl/>
        </w:rPr>
        <w:t>. ובהמשך הברייתא (בע"ב) אי' שוב דבשעת טבילה מודיעין אותו מקצת מצוות קלות וחמורות. ומשמע דבעינן פעמיים קבלת מצוות</w:t>
      </w:r>
      <w:r w:rsidRPr="00AF1DC8">
        <w:rPr>
          <w:rStyle w:val="ac"/>
          <w:rFonts w:ascii="Narkisim" w:hAnsi="Narkisim"/>
          <w:rtl/>
        </w:rPr>
        <w:footnoteReference w:id="2846"/>
      </w:r>
      <w:r w:rsidRPr="00AF1DC8">
        <w:rPr>
          <w:rFonts w:ascii="Narkisim" w:hAnsi="Narkisim"/>
        </w:rPr>
        <w:t xml:space="preserve">, </w:t>
      </w:r>
      <w:r w:rsidRPr="00AF1DC8">
        <w:rPr>
          <w:rFonts w:ascii="Narkisim" w:hAnsi="Narkisim"/>
          <w:rtl/>
        </w:rPr>
        <w:t>קודם מילה</w:t>
      </w:r>
      <w:r w:rsidRPr="00AF1DC8">
        <w:rPr>
          <w:rStyle w:val="ac"/>
          <w:rFonts w:ascii="Narkisim" w:hAnsi="Narkisim"/>
          <w:rtl/>
        </w:rPr>
        <w:footnoteReference w:id="2847"/>
      </w:r>
      <w:r w:rsidRPr="00AF1DC8">
        <w:rPr>
          <w:rFonts w:ascii="Narkisim" w:hAnsi="Narkisim"/>
        </w:rPr>
        <w:t xml:space="preserve"> </w:t>
      </w:r>
      <w:r w:rsidRPr="00AF1DC8">
        <w:rPr>
          <w:rFonts w:ascii="Narkisim" w:hAnsi="Narkisim"/>
          <w:rtl/>
        </w:rPr>
        <w:t>וקודם טבילה. וה</w:t>
      </w:r>
      <w:r w:rsidRPr="00AF1DC8">
        <w:rPr>
          <w:rFonts w:ascii="Narkisim" w:hAnsi="Narkisim"/>
          <w:b/>
          <w:bCs/>
          <w:rtl/>
        </w:rPr>
        <w:t>רמב"ן</w:t>
      </w:r>
      <w:r w:rsidRPr="00AF1DC8">
        <w:rPr>
          <w:rFonts w:ascii="Narkisim" w:hAnsi="Narkisim"/>
          <w:rtl/>
        </w:rPr>
        <w:t xml:space="preserve"> (לעיל מה:) ביאר דלכתחילה בעינן קבלת מצוות בשעת טבילה ממש</w:t>
      </w:r>
      <w:r w:rsidRPr="00AF1DC8">
        <w:rPr>
          <w:rStyle w:val="ac"/>
          <w:rFonts w:ascii="Narkisim" w:hAnsi="Narkisim"/>
          <w:rtl/>
        </w:rPr>
        <w:footnoteReference w:id="2848"/>
      </w:r>
      <w:r w:rsidRPr="00AF1DC8">
        <w:rPr>
          <w:rFonts w:ascii="Narkisim" w:hAnsi="Narkisim"/>
        </w:rPr>
        <w:t xml:space="preserve">. </w:t>
      </w:r>
      <w:r w:rsidRPr="00AF1DC8">
        <w:rPr>
          <w:rFonts w:ascii="Narkisim" w:hAnsi="Narkisim"/>
          <w:rtl/>
        </w:rPr>
        <w:t>ועוד יש שפי' דההודעה הראשונה הוה מדיני בא להתגייר, שידע מהו הגירות</w:t>
      </w:r>
      <w:r w:rsidRPr="00AF1DC8">
        <w:rPr>
          <w:rStyle w:val="ac"/>
          <w:rFonts w:ascii="Narkisim" w:hAnsi="Narkisim"/>
          <w:rtl/>
        </w:rPr>
        <w:footnoteReference w:id="2849"/>
      </w:r>
      <w:r w:rsidRPr="00AF1DC8">
        <w:rPr>
          <w:rFonts w:ascii="Narkisim" w:hAnsi="Narkisim"/>
        </w:rPr>
        <w:t xml:space="preserve">. </w:t>
      </w:r>
      <w:r w:rsidRPr="00AF1DC8">
        <w:rPr>
          <w:rFonts w:ascii="Narkisim" w:hAnsi="Narkisim"/>
          <w:rtl/>
        </w:rPr>
        <w:t>ודוקא בשעת טבילה יש קבלת בפועל</w:t>
      </w:r>
      <w:r w:rsidRPr="00AF1DC8">
        <w:rPr>
          <w:rStyle w:val="ac"/>
          <w:rFonts w:ascii="Narkisim" w:hAnsi="Narkisim"/>
          <w:rtl/>
        </w:rPr>
        <w:footnoteReference w:id="2850"/>
      </w:r>
      <w:r w:rsidRPr="00AF1DC8">
        <w:rPr>
          <w:rFonts w:ascii="Narkisim" w:hAnsi="Narkisim"/>
        </w:rPr>
        <w:t>.</w:t>
      </w:r>
    </w:p>
    <w:p w14:paraId="61EAE09A" w14:textId="77777777" w:rsidR="006074A5" w:rsidRPr="00AF1DC8" w:rsidRDefault="006074A5" w:rsidP="006074A5">
      <w:pPr>
        <w:pStyle w:val="aa"/>
        <w:bidi/>
        <w:rPr>
          <w:rFonts w:ascii="Narkisim" w:hAnsi="Narkisim"/>
        </w:rPr>
      </w:pPr>
      <w:r w:rsidRPr="00AF1DC8">
        <w:rPr>
          <w:rFonts w:ascii="Narkisim" w:hAnsi="Narkisim"/>
          <w:u w:val="single"/>
          <w:rtl/>
        </w:rPr>
        <w:t>שם. מקצת מצוות</w:t>
      </w:r>
      <w:r w:rsidRPr="00AF1DC8">
        <w:rPr>
          <w:rFonts w:ascii="Narkisim" w:hAnsi="Narkisim"/>
          <w:rtl/>
        </w:rPr>
        <w:t>. ה</w:t>
      </w:r>
      <w:r w:rsidRPr="00AF1DC8">
        <w:rPr>
          <w:rFonts w:ascii="Narkisim" w:hAnsi="Narkisim"/>
          <w:b/>
          <w:bCs/>
          <w:rtl/>
        </w:rPr>
        <w:t>רמב"ם</w:t>
      </w:r>
      <w:r w:rsidRPr="00AF1DC8">
        <w:rPr>
          <w:rFonts w:ascii="Narkisim" w:hAnsi="Narkisim"/>
          <w:rtl/>
        </w:rPr>
        <w:t xml:space="preserve"> (איסו"ב יד ב) כת' דמודיעין אותו עיקרי הדת שהוא ייחוד השם ואיסור עכו"ם, ומאריכין בדבר הזה. ומודיעין אותו מקצת מצות קלות ומקצת מצות חמורות</w:t>
      </w:r>
      <w:r w:rsidRPr="00AF1DC8">
        <w:rPr>
          <w:rStyle w:val="ac"/>
          <w:rFonts w:ascii="Narkisim" w:hAnsi="Narkisim"/>
          <w:rtl/>
        </w:rPr>
        <w:footnoteReference w:id="2851"/>
      </w:r>
      <w:r w:rsidRPr="00AF1DC8">
        <w:rPr>
          <w:rFonts w:ascii="Narkisim" w:hAnsi="Narkisim"/>
        </w:rPr>
        <w:t xml:space="preserve"> </w:t>
      </w:r>
      <w:r w:rsidRPr="00AF1DC8">
        <w:rPr>
          <w:rFonts w:ascii="Narkisim" w:hAnsi="Narkisim"/>
          <w:rtl/>
        </w:rPr>
        <w:t>ואין מאריכין בדבר זה</w:t>
      </w:r>
      <w:r w:rsidRPr="00AF1DC8">
        <w:rPr>
          <w:rFonts w:ascii="Narkisim" w:hAnsi="Narkisim"/>
        </w:rPr>
        <w:t>.</w:t>
      </w:r>
    </w:p>
    <w:p w14:paraId="0AB760D2" w14:textId="77777777" w:rsidR="006074A5" w:rsidRPr="00AF1DC8" w:rsidRDefault="006074A5" w:rsidP="006074A5">
      <w:pPr>
        <w:pStyle w:val="aa"/>
        <w:bidi/>
        <w:rPr>
          <w:rFonts w:ascii="Narkisim" w:hAnsi="Narkisim"/>
        </w:rPr>
      </w:pPr>
      <w:r w:rsidRPr="00AF1DC8">
        <w:rPr>
          <w:rFonts w:ascii="Narkisim" w:hAnsi="Narkisim"/>
          <w:u w:val="single"/>
          <w:rtl/>
        </w:rPr>
        <w:t>שם. ומודיעין וכו'.</w:t>
      </w:r>
      <w:r w:rsidRPr="00AF1DC8">
        <w:rPr>
          <w:rFonts w:ascii="Narkisim" w:hAnsi="Narkisim"/>
          <w:rtl/>
        </w:rPr>
        <w:t xml:space="preserve"> [ובגמ' בע"ב מבואר דמלמדים אותם הרבה הלכות]. ה</w:t>
      </w:r>
      <w:r w:rsidRPr="00AF1DC8">
        <w:rPr>
          <w:rFonts w:ascii="Narkisim" w:hAnsi="Narkisim"/>
          <w:b/>
          <w:bCs/>
          <w:rtl/>
        </w:rPr>
        <w:t>אחרונים</w:t>
      </w:r>
      <w:r w:rsidRPr="00AF1DC8">
        <w:rPr>
          <w:rFonts w:ascii="Narkisim" w:hAnsi="Narkisim"/>
          <w:rtl/>
        </w:rPr>
        <w:t xml:space="preserve"> הק' האיך מותר ללמד תורה לגוי, והא אי' (סנהדרין נט.) דאסור לעכו"ם ללמוד תורה. וה</w:t>
      </w:r>
      <w:r w:rsidRPr="00AF1DC8">
        <w:rPr>
          <w:rFonts w:ascii="Narkisim" w:hAnsi="Narkisim"/>
          <w:b/>
          <w:bCs/>
          <w:rtl/>
        </w:rPr>
        <w:t>מהרש"א</w:t>
      </w:r>
      <w:r w:rsidRPr="00AF1DC8">
        <w:rPr>
          <w:rFonts w:ascii="Narkisim" w:hAnsi="Narkisim"/>
          <w:rtl/>
        </w:rPr>
        <w:t xml:space="preserve"> (ח"א שבת לא) כת' דמותר ללמדו ע"ד להתגייר. אבל ב</w:t>
      </w:r>
      <w:r w:rsidRPr="00AF1DC8">
        <w:rPr>
          <w:rFonts w:ascii="Narkisim" w:hAnsi="Narkisim"/>
          <w:b/>
          <w:bCs/>
          <w:rtl/>
        </w:rPr>
        <w:t>שו"ת רע"א</w:t>
      </w:r>
      <w:r w:rsidRPr="00AF1DC8">
        <w:rPr>
          <w:rFonts w:ascii="Narkisim" w:hAnsi="Narkisim"/>
          <w:rtl/>
        </w:rPr>
        <w:t xml:space="preserve"> (ק' מא) דחה ראייתו, והחמיר בדבר. וה</w:t>
      </w:r>
      <w:r w:rsidRPr="00AF1DC8">
        <w:rPr>
          <w:rFonts w:ascii="Narkisim" w:hAnsi="Narkisim"/>
          <w:b/>
          <w:bCs/>
          <w:rtl/>
        </w:rPr>
        <w:t>אחרונים</w:t>
      </w:r>
      <w:r w:rsidRPr="00AF1DC8">
        <w:rPr>
          <w:rFonts w:ascii="Narkisim" w:hAnsi="Narkisim"/>
          <w:rtl/>
        </w:rPr>
        <w:t xml:space="preserve"> (אגר"מ יו"ד ג נ) הק' לרע"א מסוגיין</w:t>
      </w:r>
      <w:r w:rsidRPr="00AF1DC8">
        <w:rPr>
          <w:rStyle w:val="ac"/>
          <w:rFonts w:ascii="Narkisim" w:hAnsi="Narkisim"/>
          <w:rtl/>
        </w:rPr>
        <w:footnoteReference w:id="2852"/>
      </w:r>
      <w:r w:rsidRPr="00AF1DC8">
        <w:rPr>
          <w:rFonts w:ascii="Narkisim" w:hAnsi="Narkisim"/>
        </w:rPr>
        <w:t>.</w:t>
      </w:r>
    </w:p>
    <w:p w14:paraId="380A08D8" w14:textId="77777777" w:rsidR="006074A5" w:rsidRPr="00AF1DC8" w:rsidRDefault="006074A5" w:rsidP="006074A5">
      <w:pPr>
        <w:pStyle w:val="aa"/>
        <w:bidi/>
        <w:rPr>
          <w:rFonts w:ascii="Narkisim" w:hAnsi="Narkisim"/>
        </w:rPr>
      </w:pPr>
      <w:r w:rsidRPr="00AF1DC8">
        <w:rPr>
          <w:rFonts w:ascii="Narkisim" w:hAnsi="Narkisim"/>
          <w:u w:val="single"/>
          <w:rtl/>
        </w:rPr>
        <w:t>שם. מקצת מצוות קלות.</w:t>
      </w:r>
      <w:r w:rsidRPr="00AF1DC8">
        <w:rPr>
          <w:rFonts w:ascii="Narkisim" w:hAnsi="Narkisim"/>
          <w:rtl/>
        </w:rPr>
        <w:t xml:space="preserve"> ה</w:t>
      </w:r>
      <w:r w:rsidRPr="00AF1DC8">
        <w:rPr>
          <w:rFonts w:ascii="Narkisim" w:hAnsi="Narkisim"/>
          <w:b/>
          <w:bCs/>
          <w:rtl/>
        </w:rPr>
        <w:t>מאירי</w:t>
      </w:r>
      <w:r w:rsidRPr="00AF1DC8">
        <w:rPr>
          <w:rFonts w:ascii="Narkisim" w:hAnsi="Narkisim"/>
          <w:rtl/>
        </w:rPr>
        <w:t xml:space="preserve"> ביאר דלבני נח יש רק מצוות חמורות, ומודיעין כמה דקדוקין מדקדקין ישראל וכו</w:t>
      </w:r>
      <w:r w:rsidRPr="00AF1DC8">
        <w:rPr>
          <w:rFonts w:ascii="Narkisim" w:hAnsi="Narkisim"/>
        </w:rPr>
        <w:t>'.</w:t>
      </w:r>
    </w:p>
    <w:p w14:paraId="740214EA" w14:textId="77777777" w:rsidR="006074A5" w:rsidRPr="00AF1DC8" w:rsidRDefault="006074A5" w:rsidP="006074A5">
      <w:pPr>
        <w:pStyle w:val="aa"/>
        <w:bidi/>
        <w:rPr>
          <w:rFonts w:ascii="Narkisim" w:hAnsi="Narkisim"/>
        </w:rPr>
      </w:pPr>
      <w:r w:rsidRPr="00AF1DC8">
        <w:rPr>
          <w:rFonts w:ascii="Narkisim" w:hAnsi="Narkisim"/>
          <w:u w:val="single"/>
          <w:rtl/>
        </w:rPr>
        <w:t>שהעוה"ב אינו עשוי אלא לצדיקים</w:t>
      </w:r>
      <w:r w:rsidRPr="00AF1DC8">
        <w:rPr>
          <w:rFonts w:ascii="Narkisim" w:hAnsi="Narkisim"/>
          <w:rtl/>
        </w:rPr>
        <w:t>. וה</w:t>
      </w:r>
      <w:r w:rsidRPr="00AF1DC8">
        <w:rPr>
          <w:rFonts w:ascii="Narkisim" w:hAnsi="Narkisim"/>
          <w:b/>
          <w:bCs/>
          <w:rtl/>
        </w:rPr>
        <w:t>רמב"ם</w:t>
      </w:r>
      <w:r w:rsidRPr="00AF1DC8">
        <w:rPr>
          <w:rFonts w:ascii="Narkisim" w:hAnsi="Narkisim"/>
          <w:rtl/>
        </w:rPr>
        <w:t xml:space="preserve"> (שם ד) העתיק שהעוה"ב אינו צפון אלא לצדיקים והם ישראל. וה</w:t>
      </w:r>
      <w:r w:rsidRPr="00AF1DC8">
        <w:rPr>
          <w:rFonts w:ascii="Narkisim" w:hAnsi="Narkisim"/>
          <w:b/>
          <w:bCs/>
          <w:rtl/>
        </w:rPr>
        <w:t>מהרצ"ח</w:t>
      </w:r>
      <w:r w:rsidRPr="00AF1DC8">
        <w:rPr>
          <w:rFonts w:ascii="Narkisim" w:hAnsi="Narkisim"/>
          <w:rtl/>
        </w:rPr>
        <w:t xml:space="preserve"> תמה דהרמב"ם בכ"מ כת' דאף חסידי אומות העולם יש להם עוה"ב</w:t>
      </w:r>
      <w:r w:rsidRPr="00AF1DC8">
        <w:rPr>
          <w:rFonts w:ascii="Narkisim" w:hAnsi="Narkisim"/>
        </w:rPr>
        <w:t>.</w:t>
      </w:r>
    </w:p>
    <w:p w14:paraId="0EE95C08" w14:textId="77777777" w:rsidR="006074A5" w:rsidRPr="00AF1DC8" w:rsidRDefault="006074A5" w:rsidP="006074A5">
      <w:pPr>
        <w:pStyle w:val="3"/>
        <w:bidi/>
        <w:rPr>
          <w:rFonts w:ascii="Narkisim" w:hAnsi="Narkisim"/>
        </w:rPr>
      </w:pPr>
      <w:r w:rsidRPr="00AF1DC8">
        <w:rPr>
          <w:rFonts w:ascii="Narkisim" w:hAnsi="Narkisim"/>
          <w:rtl/>
        </w:rPr>
        <w:t>דף מז</w:t>
      </w:r>
      <w:r w:rsidRPr="00AF1DC8">
        <w:rPr>
          <w:rFonts w:ascii="Narkisim" w:hAnsi="Narkisim"/>
        </w:rPr>
        <w:t>:</w:t>
      </w:r>
    </w:p>
    <w:p w14:paraId="297C5EAC" w14:textId="77777777" w:rsidR="006074A5" w:rsidRPr="00AF1DC8" w:rsidRDefault="006074A5" w:rsidP="006074A5">
      <w:pPr>
        <w:pStyle w:val="aa"/>
        <w:bidi/>
        <w:rPr>
          <w:rFonts w:ascii="Narkisim" w:hAnsi="Narkisim"/>
        </w:rPr>
      </w:pPr>
      <w:r w:rsidRPr="00AF1DC8">
        <w:rPr>
          <w:rFonts w:ascii="Narkisim" w:hAnsi="Narkisim"/>
          <w:u w:val="single"/>
          <w:rtl/>
        </w:rPr>
        <w:t>ואין מרבין עליו ואין מדקדקין עליו וכו'</w:t>
      </w:r>
      <w:r w:rsidRPr="00AF1DC8">
        <w:rPr>
          <w:rFonts w:ascii="Narkisim" w:hAnsi="Narkisim"/>
          <w:rtl/>
        </w:rPr>
        <w:t>. פ</w:t>
      </w:r>
      <w:r w:rsidRPr="00AF1DC8">
        <w:rPr>
          <w:rFonts w:ascii="Narkisim" w:hAnsi="Narkisim"/>
          <w:b/>
          <w:bCs/>
          <w:rtl/>
        </w:rPr>
        <w:t>רש"י</w:t>
      </w:r>
      <w:r w:rsidRPr="00AF1DC8">
        <w:rPr>
          <w:rFonts w:ascii="Narkisim" w:hAnsi="Narkisim"/>
          <w:rtl/>
        </w:rPr>
        <w:t xml:space="preserve"> לאיים עליו לפרוש. ה</w:t>
      </w:r>
      <w:r w:rsidRPr="00AF1DC8">
        <w:rPr>
          <w:rFonts w:ascii="Narkisim" w:hAnsi="Narkisim"/>
          <w:b/>
          <w:bCs/>
          <w:rtl/>
        </w:rPr>
        <w:t>רמב"ם</w:t>
      </w:r>
      <w:r w:rsidRPr="00AF1DC8">
        <w:rPr>
          <w:rFonts w:ascii="Narkisim" w:hAnsi="Narkisim"/>
          <w:rtl/>
        </w:rPr>
        <w:t xml:space="preserve"> (שם ב) ביאר דאין מרבין עליו שמא יגרום לטרדו ולהטותו מדרך טובה לדרך רעה. שבתחלה אין מושכין את האדם אלא בדברי רצון ורכים, וכן הוא אומר בחבלי אדם אמשכם ואח"כ בעבותות אהבה</w:t>
      </w:r>
      <w:r w:rsidRPr="00AF1DC8">
        <w:rPr>
          <w:rStyle w:val="ac"/>
          <w:rFonts w:ascii="Narkisim" w:hAnsi="Narkisim"/>
          <w:rtl/>
        </w:rPr>
        <w:footnoteReference w:id="2853"/>
      </w:r>
      <w:r w:rsidRPr="00AF1DC8">
        <w:rPr>
          <w:rFonts w:ascii="Narkisim" w:hAnsi="Narkisim"/>
        </w:rPr>
        <w:t>.</w:t>
      </w:r>
    </w:p>
    <w:p w14:paraId="2348B611" w14:textId="77777777" w:rsidR="006074A5" w:rsidRPr="00AF1DC8" w:rsidRDefault="006074A5" w:rsidP="006074A5">
      <w:pPr>
        <w:pStyle w:val="2"/>
        <w:bidi/>
        <w:rPr>
          <w:rFonts w:ascii="Narkisim" w:hAnsi="Narkisim"/>
        </w:rPr>
      </w:pPr>
      <w:r w:rsidRPr="00AF1DC8">
        <w:rPr>
          <w:rFonts w:ascii="Narkisim" w:hAnsi="Narkisim"/>
          <w:rtl/>
        </w:rPr>
        <w:t>מל ואח"כ טבל - מעוברת</w:t>
      </w:r>
    </w:p>
    <w:p w14:paraId="377D6BE4" w14:textId="77777777" w:rsidR="006074A5" w:rsidRPr="00AF1DC8" w:rsidRDefault="006074A5" w:rsidP="006074A5">
      <w:pPr>
        <w:bidi/>
        <w:rPr>
          <w:rFonts w:ascii="Narkisim" w:hAnsi="Narkisim" w:cs="Narkisim"/>
        </w:rPr>
      </w:pPr>
      <w:r w:rsidRPr="00AF1DC8">
        <w:rPr>
          <w:rFonts w:ascii="Narkisim" w:hAnsi="Narkisim" w:cs="Narkisim"/>
          <w:u w:val="single"/>
          <w:rtl/>
        </w:rPr>
        <w:t>תוד"ה מטבילין.</w:t>
      </w:r>
      <w:r w:rsidRPr="00AF1DC8">
        <w:rPr>
          <w:rFonts w:ascii="Narkisim" w:hAnsi="Narkisim" w:cs="Narkisim"/>
          <w:rtl/>
        </w:rPr>
        <w:t xml:space="preserve"> משמע שהמילה קודם טבילה. וה</w:t>
      </w:r>
      <w:r w:rsidRPr="00AF1DC8">
        <w:rPr>
          <w:rFonts w:ascii="Narkisim" w:hAnsi="Narkisim" w:cs="Narkisim"/>
          <w:b/>
          <w:bCs/>
          <w:rtl/>
        </w:rPr>
        <w:t>ריטב"א</w:t>
      </w:r>
      <w:r w:rsidRPr="00AF1DC8">
        <w:rPr>
          <w:rFonts w:ascii="Narkisim" w:hAnsi="Narkisim" w:cs="Narkisim"/>
          <w:rtl/>
        </w:rPr>
        <w:t xml:space="preserve"> ביאר דכשהוא ערל אין טבילה מועלת דהוה כטובל ושרץ בידו</w:t>
      </w:r>
      <w:r w:rsidRPr="00AF1DC8">
        <w:rPr>
          <w:rStyle w:val="ac"/>
          <w:rFonts w:ascii="Narkisim" w:hAnsi="Narkisim" w:cs="Narkisim"/>
          <w:rtl/>
        </w:rPr>
        <w:footnoteReference w:id="2854"/>
      </w:r>
      <w:r w:rsidRPr="00AF1DC8">
        <w:rPr>
          <w:rFonts w:ascii="Narkisim" w:hAnsi="Narkisim" w:cs="Narkisim"/>
        </w:rPr>
        <w:t xml:space="preserve">, </w:t>
      </w:r>
      <w:r w:rsidRPr="00AF1DC8">
        <w:rPr>
          <w:rFonts w:ascii="Narkisim" w:hAnsi="Narkisim" w:cs="Narkisim"/>
          <w:rtl/>
        </w:rPr>
        <w:t>ואפי' בדיעבד מעכב. וה</w:t>
      </w:r>
      <w:r w:rsidRPr="00AF1DC8">
        <w:rPr>
          <w:rFonts w:ascii="Narkisim" w:hAnsi="Narkisim" w:cs="Narkisim"/>
          <w:b/>
          <w:bCs/>
          <w:rtl/>
        </w:rPr>
        <w:t>רשב"א</w:t>
      </w:r>
      <w:r w:rsidRPr="00AF1DC8">
        <w:rPr>
          <w:rFonts w:ascii="Narkisim" w:hAnsi="Narkisim" w:cs="Narkisim"/>
          <w:rtl/>
        </w:rPr>
        <w:t xml:space="preserve"> כתב דכיון דהטבילה כוללת עיקר הגירות ולצאת מטומאת הגויים וליכנס בקדושת ישראל</w:t>
      </w:r>
      <w:r w:rsidRPr="00AF1DC8">
        <w:rPr>
          <w:rStyle w:val="ac"/>
          <w:rFonts w:ascii="Narkisim" w:hAnsi="Narkisim" w:cs="Narkisim"/>
          <w:rtl/>
        </w:rPr>
        <w:footnoteReference w:id="2855"/>
      </w:r>
      <w:r w:rsidRPr="00AF1DC8">
        <w:rPr>
          <w:rFonts w:ascii="Narkisim" w:hAnsi="Narkisim" w:cs="Narkisim"/>
        </w:rPr>
        <w:t xml:space="preserve">, </w:t>
      </w:r>
      <w:r w:rsidRPr="00AF1DC8">
        <w:rPr>
          <w:rFonts w:ascii="Narkisim" w:hAnsi="Narkisim" w:cs="Narkisim"/>
          <w:rtl/>
        </w:rPr>
        <w:t xml:space="preserve">לפיכך צריך להיות </w:t>
      </w:r>
      <w:r w:rsidRPr="00AF1DC8">
        <w:rPr>
          <w:rFonts w:ascii="Narkisim" w:hAnsi="Narkisim" w:cs="Narkisim"/>
          <w:rtl/>
        </w:rPr>
        <w:lastRenderedPageBreak/>
        <w:t>בסוף</w:t>
      </w:r>
      <w:r w:rsidRPr="00AF1DC8">
        <w:rPr>
          <w:rFonts w:ascii="Narkisim" w:hAnsi="Narkisim" w:cs="Narkisim"/>
        </w:rPr>
        <w:t>.</w:t>
      </w:r>
    </w:p>
    <w:p w14:paraId="61A0C8C4" w14:textId="77777777" w:rsidR="006074A5" w:rsidRPr="00AF1DC8" w:rsidRDefault="006074A5" w:rsidP="006074A5">
      <w:pPr>
        <w:pStyle w:val="a8"/>
        <w:bidi/>
        <w:rPr>
          <w:rFonts w:ascii="Narkisim" w:hAnsi="Narkisim"/>
        </w:rPr>
      </w:pPr>
      <w:r w:rsidRPr="00AF1DC8">
        <w:rPr>
          <w:rFonts w:ascii="Narkisim" w:hAnsi="Narkisim"/>
          <w:rtl/>
        </w:rPr>
        <w:t xml:space="preserve">והרשב"א וריטב"א הביאו דאפי' הלוקח כלים ישנים מגעילן ואח"כ מטביל [וכמ"ש </w:t>
      </w:r>
      <w:r w:rsidRPr="00AF1DC8">
        <w:rPr>
          <w:rFonts w:ascii="Narkisim" w:hAnsi="Narkisim"/>
          <w:b/>
          <w:bCs/>
          <w:rtl/>
        </w:rPr>
        <w:t>תוס</w:t>
      </w:r>
      <w:r w:rsidRPr="00AF1DC8">
        <w:rPr>
          <w:rFonts w:ascii="Narkisim" w:hAnsi="Narkisim"/>
          <w:rtl/>
        </w:rPr>
        <w:t>' (ע"ז עה:)]. אך כת' דהתם הוה לכתחילה ואינה לעיכובא</w:t>
      </w:r>
      <w:r w:rsidRPr="00AF1DC8">
        <w:rPr>
          <w:rFonts w:ascii="Narkisim" w:hAnsi="Narkisim"/>
        </w:rPr>
        <w:t>.</w:t>
      </w:r>
    </w:p>
    <w:p w14:paraId="7042F738"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הוכיח כן דאל”כ למה לא הטבילו קודם</w:t>
      </w:r>
      <w:r w:rsidRPr="00AF1DC8">
        <w:rPr>
          <w:rFonts w:ascii="Narkisim" w:hAnsi="Narkisim"/>
          <w:sz w:val="20"/>
          <w:szCs w:val="20"/>
          <w:rtl/>
        </w:rPr>
        <w:t xml:space="preserve"> [דלמה להמתין עד שיתרפא, ושהוי מצוה לא משהינן]</w:t>
      </w:r>
      <w:r w:rsidRPr="00AF1DC8">
        <w:rPr>
          <w:rFonts w:ascii="Narkisim" w:hAnsi="Narkisim"/>
          <w:rtl/>
        </w:rPr>
        <w:t>. וה</w:t>
      </w:r>
      <w:r w:rsidRPr="00AF1DC8">
        <w:rPr>
          <w:rFonts w:ascii="Narkisim" w:hAnsi="Narkisim"/>
          <w:b/>
          <w:bCs/>
          <w:rtl/>
        </w:rPr>
        <w:t>רמב"ן</w:t>
      </w:r>
      <w:r w:rsidRPr="00AF1DC8">
        <w:rPr>
          <w:rFonts w:ascii="Narkisim" w:hAnsi="Narkisim"/>
          <w:rtl/>
        </w:rPr>
        <w:t xml:space="preserve"> דחה דשמא מצוה למול ואח"כ לטבול</w:t>
      </w:r>
      <w:r w:rsidRPr="00AF1DC8">
        <w:rPr>
          <w:rStyle w:val="ac"/>
          <w:rFonts w:ascii="Narkisim" w:hAnsi="Narkisim"/>
          <w:rtl/>
        </w:rPr>
        <w:footnoteReference w:id="2856"/>
      </w:r>
      <w:r w:rsidRPr="00AF1DC8">
        <w:rPr>
          <w:rFonts w:ascii="Narkisim" w:hAnsi="Narkisim"/>
        </w:rPr>
        <w:t xml:space="preserve">, </w:t>
      </w:r>
      <w:r w:rsidRPr="00AF1DC8">
        <w:rPr>
          <w:rFonts w:ascii="Narkisim" w:hAnsi="Narkisim"/>
          <w:i/>
          <w:iCs/>
          <w:rtl/>
        </w:rPr>
        <w:t>א"נ</w:t>
      </w:r>
      <w:r w:rsidRPr="00AF1DC8">
        <w:rPr>
          <w:rFonts w:ascii="Narkisim" w:hAnsi="Narkisim"/>
          <w:rtl/>
        </w:rPr>
        <w:t xml:space="preserve"> כיון שהמילה קשה, מלין תחילה כדי שאם דעתו נוקפו יפרוש</w:t>
      </w:r>
      <w:r w:rsidRPr="00AF1DC8">
        <w:rPr>
          <w:rStyle w:val="ac"/>
          <w:rFonts w:ascii="Narkisim" w:hAnsi="Narkisim"/>
          <w:rtl/>
        </w:rPr>
        <w:footnoteReference w:id="2857"/>
      </w:r>
      <w:r w:rsidRPr="00AF1DC8">
        <w:rPr>
          <w:rFonts w:ascii="Narkisim" w:hAnsi="Narkisim"/>
        </w:rPr>
        <w:t>.</w:t>
      </w:r>
    </w:p>
    <w:p w14:paraId="54130E63"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פרישה</w:t>
      </w:r>
      <w:r w:rsidRPr="00AF1DC8">
        <w:rPr>
          <w:rFonts w:ascii="Narkisim" w:hAnsi="Narkisim"/>
          <w:rtl/>
        </w:rPr>
        <w:t xml:space="preserve"> (רסח יא) תי' משום הברכה. דהיאך יברך וצוונו על הטבילה, אם עדיין לא מל. [אבל במילה המוהל מברך]</w:t>
      </w:r>
      <w:r w:rsidRPr="00AF1DC8">
        <w:rPr>
          <w:rFonts w:ascii="Narkisim" w:hAnsi="Narkisim"/>
        </w:rPr>
        <w:t>.</w:t>
      </w:r>
    </w:p>
    <w:p w14:paraId="7A1BCD4B" w14:textId="77777777" w:rsidR="006074A5" w:rsidRPr="00AF1DC8" w:rsidRDefault="006074A5" w:rsidP="006074A5">
      <w:pPr>
        <w:bidi/>
        <w:rPr>
          <w:rFonts w:ascii="Narkisim" w:hAnsi="Narkisim" w:cs="Narkisim"/>
        </w:rPr>
      </w:pPr>
      <w:r w:rsidRPr="00AF1DC8">
        <w:rPr>
          <w:rFonts w:ascii="Narkisim" w:hAnsi="Narkisim" w:cs="Narkisim"/>
          <w:u w:val="single"/>
          <w:rtl/>
        </w:rPr>
        <w:t>בא"ד ותימה (לקמן עח.) מעוברת שנתגיירה וכו'.</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הוכיח מהתם דלא שנא מל ואח"כ טבל. </w:t>
      </w:r>
      <w:r w:rsidRPr="00AF1DC8">
        <w:rPr>
          <w:rFonts w:ascii="Narkisim" w:hAnsi="Narkisim" w:cs="Narkisim"/>
          <w:sz w:val="20"/>
          <w:szCs w:val="20"/>
          <w:rtl/>
        </w:rPr>
        <w:t>וכת' דאין לומר דאיירי בנקיבה, דנימא 'בתה</w:t>
      </w:r>
      <w:r w:rsidRPr="00AF1DC8">
        <w:rPr>
          <w:rFonts w:ascii="Narkisim" w:hAnsi="Narkisim" w:cs="Narkisim"/>
          <w:sz w:val="20"/>
          <w:szCs w:val="20"/>
        </w:rPr>
        <w:t>'</w:t>
      </w:r>
      <w:r w:rsidRPr="00AF1DC8">
        <w:rPr>
          <w:rStyle w:val="ac"/>
          <w:rFonts w:ascii="Narkisim" w:hAnsi="Narkisim" w:cs="Narkisim"/>
          <w:sz w:val="20"/>
          <w:szCs w:val="20"/>
        </w:rPr>
        <w:footnoteReference w:id="2858"/>
      </w:r>
      <w:r w:rsidRPr="00AF1DC8">
        <w:rPr>
          <w:rFonts w:ascii="Narkisim" w:hAnsi="Narkisim" w:cs="Narkisim"/>
          <w:sz w:val="20"/>
          <w:szCs w:val="20"/>
        </w:rPr>
        <w:t>.</w:t>
      </w:r>
    </w:p>
    <w:p w14:paraId="179FB494" w14:textId="77777777" w:rsidR="006074A5" w:rsidRPr="00AF1DC8" w:rsidRDefault="006074A5" w:rsidP="006074A5">
      <w:pPr>
        <w:bidi/>
        <w:rPr>
          <w:rFonts w:ascii="Narkisim" w:hAnsi="Narkisim" w:cs="Narkisim"/>
        </w:rPr>
      </w:pPr>
      <w:r w:rsidRPr="00AF1DC8">
        <w:rPr>
          <w:rFonts w:ascii="Narkisim" w:hAnsi="Narkisim" w:cs="Narkisim"/>
          <w:u w:val="single"/>
          <w:rtl/>
        </w:rPr>
        <w:t>בא"ד ואור"י דאכתי לא חזי למילה.</w:t>
      </w:r>
      <w:r w:rsidRPr="00AF1DC8">
        <w:rPr>
          <w:rFonts w:ascii="Narkisim" w:hAnsi="Narkisim" w:cs="Narkisim"/>
          <w:rtl/>
        </w:rPr>
        <w:t xml:space="preserve"> וה</w:t>
      </w:r>
      <w:r w:rsidRPr="00AF1DC8">
        <w:rPr>
          <w:rFonts w:ascii="Narkisim" w:hAnsi="Narkisim" w:cs="Narkisim"/>
          <w:b/>
          <w:bCs/>
          <w:rtl/>
        </w:rPr>
        <w:t>ריטב”א</w:t>
      </w:r>
      <w:r w:rsidRPr="00AF1DC8">
        <w:rPr>
          <w:rFonts w:ascii="Narkisim" w:hAnsi="Narkisim" w:cs="Narkisim"/>
          <w:rtl/>
        </w:rPr>
        <w:t xml:space="preserve"> כת' דבמעי אמו אין בו מילה, והוה כנקיבה דסגי בטבילה. וכשנולד מלין אותו כישראל. [והגירות בטבילה לחוד]. ו</w:t>
      </w:r>
      <w:r w:rsidRPr="00AF1DC8">
        <w:rPr>
          <w:rFonts w:ascii="Narkisim" w:hAnsi="Narkisim" w:cs="Narkisim"/>
          <w:b/>
          <w:bCs/>
          <w:rtl/>
        </w:rPr>
        <w:t>רע"א</w:t>
      </w:r>
      <w:r w:rsidRPr="00AF1DC8">
        <w:rPr>
          <w:rFonts w:ascii="Narkisim" w:hAnsi="Narkisim" w:cs="Narkisim"/>
          <w:rtl/>
        </w:rPr>
        <w:t xml:space="preserve"> </w:t>
      </w:r>
      <w:r w:rsidRPr="00AF1DC8">
        <w:rPr>
          <w:rFonts w:ascii="Narkisim" w:hAnsi="Narkisim" w:cs="Narkisim"/>
          <w:sz w:val="20"/>
          <w:szCs w:val="20"/>
          <w:rtl/>
        </w:rPr>
        <w:t>(בשו"ע יו"ד קכד שך י)</w:t>
      </w:r>
      <w:r w:rsidRPr="00AF1DC8">
        <w:rPr>
          <w:rFonts w:ascii="Narkisim" w:hAnsi="Narkisim" w:cs="Narkisim"/>
          <w:rtl/>
        </w:rPr>
        <w:t xml:space="preserve"> כתב דב</w:t>
      </w:r>
      <w:r w:rsidRPr="00AF1DC8">
        <w:rPr>
          <w:rFonts w:ascii="Narkisim" w:hAnsi="Narkisim" w:cs="Narkisim"/>
          <w:b/>
          <w:bCs/>
          <w:rtl/>
        </w:rPr>
        <w:t>פוסקים</w:t>
      </w:r>
      <w:r w:rsidRPr="00AF1DC8">
        <w:rPr>
          <w:rFonts w:ascii="Narkisim" w:hAnsi="Narkisim" w:cs="Narkisim"/>
          <w:rtl/>
        </w:rPr>
        <w:t xml:space="preserve"> לא הוזכר דצריך מילה, משמע דפסקו כתוס' דהושלם הגירות בטבילה.</w:t>
      </w:r>
      <w:r w:rsidRPr="00AF1DC8">
        <w:rPr>
          <w:rFonts w:ascii="Narkisim" w:hAnsi="Narkisim" w:cs="Narkisim"/>
          <w:sz w:val="20"/>
          <w:szCs w:val="20"/>
          <w:rtl/>
        </w:rPr>
        <w:t xml:space="preserve"> אבל יש </w:t>
      </w:r>
      <w:r w:rsidRPr="00AF1DC8">
        <w:rPr>
          <w:rFonts w:ascii="Narkisim" w:hAnsi="Narkisim" w:cs="Narkisim"/>
          <w:b/>
          <w:bCs/>
          <w:sz w:val="20"/>
          <w:szCs w:val="20"/>
          <w:rtl/>
        </w:rPr>
        <w:t>אחרונים</w:t>
      </w:r>
      <w:r w:rsidRPr="00AF1DC8">
        <w:rPr>
          <w:rFonts w:ascii="Narkisim" w:hAnsi="Narkisim" w:cs="Narkisim"/>
          <w:sz w:val="20"/>
          <w:szCs w:val="20"/>
          <w:rtl/>
        </w:rPr>
        <w:t xml:space="preserve"> (ע' רש"ש כתובות יא.) שנקטו דכוונת התוס' דהמילה הוה חלק מהגירות</w:t>
      </w:r>
      <w:r w:rsidRPr="00AF1DC8">
        <w:rPr>
          <w:rStyle w:val="ac"/>
          <w:rFonts w:ascii="Narkisim" w:hAnsi="Narkisim" w:cs="Narkisim"/>
          <w:sz w:val="20"/>
          <w:szCs w:val="20"/>
          <w:rtl/>
        </w:rPr>
        <w:footnoteReference w:id="2859"/>
      </w:r>
      <w:r w:rsidRPr="00AF1DC8">
        <w:rPr>
          <w:rFonts w:ascii="Narkisim" w:hAnsi="Narkisim" w:cs="Narkisim"/>
          <w:sz w:val="20"/>
          <w:szCs w:val="20"/>
        </w:rPr>
        <w:t xml:space="preserve">, </w:t>
      </w:r>
      <w:r w:rsidRPr="00AF1DC8">
        <w:rPr>
          <w:rFonts w:ascii="Narkisim" w:hAnsi="Narkisim" w:cs="Narkisim"/>
          <w:sz w:val="20"/>
          <w:szCs w:val="20"/>
          <w:rtl/>
        </w:rPr>
        <w:t>אלא כיון דבשעת טבילה אינו ראוי למילה, אינו מעכב הסדר. אך לעיקר הגירות בעינן גם מילה</w:t>
      </w:r>
      <w:r w:rsidRPr="00AF1DC8">
        <w:rPr>
          <w:rFonts w:ascii="Narkisim" w:hAnsi="Narkisim" w:cs="Narkisim"/>
          <w:sz w:val="20"/>
          <w:szCs w:val="20"/>
        </w:rPr>
        <w:t>.</w:t>
      </w:r>
    </w:p>
    <w:p w14:paraId="64DF4ED5" w14:textId="77777777" w:rsidR="006074A5" w:rsidRPr="00AF1DC8" w:rsidRDefault="006074A5" w:rsidP="006074A5">
      <w:pPr>
        <w:bidi/>
        <w:rPr>
          <w:rFonts w:ascii="Narkisim" w:hAnsi="Narkisim" w:cs="Narkisim"/>
        </w:rPr>
      </w:pPr>
      <w:r w:rsidRPr="00AF1DC8">
        <w:rPr>
          <w:rFonts w:ascii="Narkisim" w:hAnsi="Narkisim" w:cs="Narkisim"/>
          <w:rtl/>
        </w:rPr>
        <w:t>אבל לדברי ה</w:t>
      </w:r>
      <w:r w:rsidRPr="00AF1DC8">
        <w:rPr>
          <w:rFonts w:ascii="Narkisim" w:hAnsi="Narkisim" w:cs="Narkisim"/>
          <w:b/>
          <w:bCs/>
          <w:rtl/>
        </w:rPr>
        <w:t>רמב"ן</w:t>
      </w:r>
      <w:r w:rsidRPr="00AF1DC8">
        <w:rPr>
          <w:rFonts w:ascii="Narkisim" w:hAnsi="Narkisim" w:cs="Narkisim"/>
          <w:rtl/>
        </w:rPr>
        <w:t xml:space="preserve"> [וכן לקושיית התוס'] הושלם הגירות במילת הבן שנולד, והוה חלק ממעשה הגירות.  וה</w:t>
      </w:r>
      <w:r w:rsidRPr="00AF1DC8">
        <w:rPr>
          <w:rFonts w:ascii="Narkisim" w:hAnsi="Narkisim" w:cs="Narkisim"/>
          <w:b/>
          <w:bCs/>
          <w:rtl/>
        </w:rPr>
        <w:t>אחיעזר</w:t>
      </w:r>
      <w:r w:rsidRPr="00AF1DC8">
        <w:rPr>
          <w:rFonts w:ascii="Narkisim" w:hAnsi="Narkisim" w:cs="Narkisim"/>
          <w:rtl/>
        </w:rPr>
        <w:t xml:space="preserve"> (ב כט) הביא להקשות דמבואר (לקמן צז:) דמעוברת שנתגיירה כיון דהיתה לידתו בקדושה יש לו שאר האם. וכן מבואר (בכורות מז.) דחייב בפדיון הבן, וע”כ דבשעת לידה הוה כבר ישראל</w:t>
      </w:r>
      <w:r w:rsidRPr="00AF1DC8">
        <w:rPr>
          <w:rStyle w:val="ac"/>
          <w:rFonts w:ascii="Narkisim" w:hAnsi="Narkisim" w:cs="Narkisim"/>
          <w:rtl/>
        </w:rPr>
        <w:footnoteReference w:id="2860"/>
      </w:r>
      <w:r w:rsidRPr="00AF1DC8">
        <w:rPr>
          <w:rFonts w:ascii="Narkisim" w:hAnsi="Narkisim" w:cs="Narkisim"/>
        </w:rPr>
        <w:t>.</w:t>
      </w:r>
    </w:p>
    <w:p w14:paraId="65E01CA4"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שואל </w:t>
      </w:r>
      <w:r w:rsidRPr="00AF1DC8">
        <w:rPr>
          <w:rFonts w:ascii="Narkisim" w:hAnsi="Narkisim"/>
          <w:rtl/>
        </w:rPr>
        <w:t>באחיעזר תי' דמילה וטבילה הוה ב' דברים המתירים, ויש מ”ד (לקמן קד:)</w:t>
      </w:r>
      <w:r w:rsidRPr="00AF1DC8">
        <w:rPr>
          <w:rStyle w:val="ac"/>
          <w:rFonts w:ascii="Narkisim" w:hAnsi="Narkisim"/>
          <w:rtl/>
        </w:rPr>
        <w:footnoteReference w:id="2861"/>
      </w:r>
      <w:r w:rsidRPr="00AF1DC8">
        <w:rPr>
          <w:rFonts w:ascii="Narkisim" w:hAnsi="Narkisim"/>
        </w:rPr>
        <w:t xml:space="preserve"> </w:t>
      </w:r>
      <w:r w:rsidRPr="00AF1DC8">
        <w:rPr>
          <w:rFonts w:ascii="Narkisim" w:hAnsi="Narkisim"/>
          <w:rtl/>
        </w:rPr>
        <w:t>דכל א' פועל החצי [וע"י טבילה או מילה לבד</w:t>
      </w:r>
      <w:r w:rsidRPr="00AF1DC8">
        <w:rPr>
          <w:rStyle w:val="ac"/>
          <w:rFonts w:ascii="Narkisim" w:hAnsi="Narkisim"/>
          <w:rtl/>
        </w:rPr>
        <w:footnoteReference w:id="2862"/>
      </w:r>
      <w:r w:rsidRPr="00AF1DC8">
        <w:rPr>
          <w:rFonts w:ascii="Narkisim" w:hAnsi="Narkisim"/>
        </w:rPr>
        <w:t xml:space="preserve"> </w:t>
      </w:r>
      <w:r w:rsidRPr="00AF1DC8">
        <w:rPr>
          <w:rFonts w:ascii="Narkisim" w:hAnsi="Narkisim"/>
          <w:rtl/>
        </w:rPr>
        <w:t>הוה גר במקצת]</w:t>
      </w:r>
      <w:r w:rsidRPr="00AF1DC8">
        <w:rPr>
          <w:rStyle w:val="ac"/>
          <w:rFonts w:ascii="Narkisim" w:hAnsi="Narkisim"/>
          <w:rtl/>
        </w:rPr>
        <w:footnoteReference w:id="2863"/>
      </w:r>
      <w:r w:rsidRPr="00AF1DC8">
        <w:rPr>
          <w:rFonts w:ascii="Narkisim" w:hAnsi="Narkisim"/>
        </w:rPr>
        <w:t xml:space="preserve">. </w:t>
      </w:r>
      <w:r w:rsidRPr="00AF1DC8">
        <w:rPr>
          <w:rFonts w:ascii="Narkisim" w:hAnsi="Narkisim"/>
          <w:sz w:val="20"/>
          <w:szCs w:val="20"/>
          <w:rtl/>
        </w:rPr>
        <w:t>[והאחיעזר חלק דאין לומר כן היכא דל”מ להדיא, ואין גירות לחצאין]</w:t>
      </w:r>
      <w:r w:rsidRPr="00AF1DC8">
        <w:rPr>
          <w:rFonts w:ascii="Narkisim" w:hAnsi="Narkisim"/>
          <w:sz w:val="20"/>
          <w:szCs w:val="20"/>
        </w:rPr>
        <w:t>.</w:t>
      </w:r>
    </w:p>
    <w:p w14:paraId="61B7A28F"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szCs w:val="20"/>
          <w:rtl/>
        </w:rPr>
        <w:t>(קה"י לו, ויסוד הדבר בגרנ"ט כתובות)</w:t>
      </w:r>
      <w:r w:rsidRPr="00AF1DC8">
        <w:rPr>
          <w:rFonts w:ascii="Narkisim" w:hAnsi="Narkisim"/>
          <w:rtl/>
        </w:rPr>
        <w:t xml:space="preserve"> תי' דאף דלא הושלם עדיין הגירות יש לולד צד ישראלות כיון דנולד מאמו שנתגיירה. ועי"ז יש לו קורבא כישראל, וחייב בפדיון הבן. ומ"מ לענין קדושת ישראל צריך גירות דידיה ע"י המילה</w:t>
      </w:r>
      <w:r w:rsidRPr="00AF1DC8">
        <w:rPr>
          <w:rFonts w:ascii="Narkisim" w:hAnsi="Narkisim"/>
        </w:rPr>
        <w:t>.</w:t>
      </w:r>
    </w:p>
    <w:p w14:paraId="5CE41FC4" w14:textId="77777777" w:rsidR="006074A5" w:rsidRPr="00AF1DC8" w:rsidRDefault="006074A5" w:rsidP="006074A5">
      <w:pPr>
        <w:pStyle w:val="aa"/>
        <w:bidi/>
        <w:rPr>
          <w:rFonts w:ascii="Narkisim" w:hAnsi="Narkisim"/>
        </w:rPr>
      </w:pPr>
      <w:r w:rsidRPr="00AF1DC8">
        <w:rPr>
          <w:rFonts w:ascii="Narkisim" w:hAnsi="Narkisim"/>
          <w:u w:val="single"/>
          <w:rtl/>
        </w:rPr>
        <w:t>טבל ועלה הרי הוא כישראל לכל דבריו וכו'</w:t>
      </w:r>
      <w:r w:rsidRPr="00AF1DC8">
        <w:rPr>
          <w:rFonts w:ascii="Narkisim" w:hAnsi="Narkisim"/>
          <w:rtl/>
        </w:rPr>
        <w:t>. ה</w:t>
      </w:r>
      <w:r w:rsidRPr="00AF1DC8">
        <w:rPr>
          <w:rFonts w:ascii="Narkisim" w:hAnsi="Narkisim"/>
          <w:b/>
          <w:bCs/>
          <w:rtl/>
        </w:rPr>
        <w:t>אחרונים</w:t>
      </w:r>
      <w:r w:rsidRPr="00AF1DC8">
        <w:rPr>
          <w:rFonts w:ascii="Narkisim" w:hAnsi="Narkisim"/>
          <w:rtl/>
        </w:rPr>
        <w:t xml:space="preserve"> דייקו דדוקא משעה שעלה, וכדברי הכס"מ (אבה"ט ו טז, הו' לעיל מו.) דעולה מטומאתו רק בשעה שיוצא מהמקוה</w:t>
      </w:r>
      <w:r w:rsidRPr="00AF1DC8">
        <w:rPr>
          <w:rFonts w:ascii="Narkisim" w:hAnsi="Narkisim"/>
        </w:rPr>
        <w:t>.</w:t>
      </w:r>
    </w:p>
    <w:p w14:paraId="36A3778C" w14:textId="77777777" w:rsidR="006074A5" w:rsidRPr="00AF1DC8" w:rsidRDefault="006074A5" w:rsidP="006074A5">
      <w:pPr>
        <w:pStyle w:val="aa"/>
        <w:bidi/>
        <w:rPr>
          <w:rFonts w:ascii="Narkisim" w:hAnsi="Narkisim"/>
        </w:rPr>
      </w:pPr>
      <w:r w:rsidRPr="00AF1DC8">
        <w:rPr>
          <w:rFonts w:ascii="Narkisim" w:hAnsi="Narkisim"/>
          <w:u w:val="single"/>
          <w:rtl/>
        </w:rPr>
        <w:t>תוד"ה במקום.</w:t>
      </w:r>
      <w:r w:rsidRPr="00AF1DC8">
        <w:rPr>
          <w:rFonts w:ascii="Narkisim" w:hAnsi="Narkisim"/>
          <w:rtl/>
        </w:rPr>
        <w:t xml:space="preserve"> טבילת נדה לא כתיב בקרא להדיא</w:t>
      </w:r>
      <w:r w:rsidRPr="00AF1DC8">
        <w:rPr>
          <w:rStyle w:val="ac"/>
          <w:rFonts w:ascii="Narkisim" w:hAnsi="Narkisim"/>
          <w:rtl/>
        </w:rPr>
        <w:footnoteReference w:id="2864"/>
      </w:r>
      <w:r w:rsidRPr="00AF1DC8">
        <w:rPr>
          <w:rFonts w:ascii="Narkisim" w:hAnsi="Narkisim"/>
        </w:rPr>
        <w:t xml:space="preserve">, </w:t>
      </w:r>
      <w:r w:rsidRPr="00AF1DC8">
        <w:rPr>
          <w:rFonts w:ascii="Narkisim" w:hAnsi="Narkisim"/>
          <w:rtl/>
        </w:rPr>
        <w:t>ופי' ר' יהודה גאון דנפק"ל מק"ו ממגעה</w:t>
      </w:r>
      <w:r w:rsidRPr="00AF1DC8">
        <w:rPr>
          <w:rStyle w:val="ac"/>
          <w:rFonts w:ascii="Narkisim" w:hAnsi="Narkisim"/>
          <w:rtl/>
        </w:rPr>
        <w:footnoteReference w:id="2865"/>
      </w:r>
      <w:r w:rsidRPr="00AF1DC8">
        <w:rPr>
          <w:rFonts w:ascii="Narkisim" w:hAnsi="Narkisim"/>
        </w:rPr>
        <w:t xml:space="preserve"> </w:t>
      </w:r>
      <w:r w:rsidRPr="00AF1DC8">
        <w:rPr>
          <w:rFonts w:ascii="Narkisim" w:hAnsi="Narkisim"/>
          <w:rtl/>
        </w:rPr>
        <w:t>וכו'. [דס"ד דכשתגמור ימי נדות לא תטמא במגע. וכיון דעדיין מטמאה במגע, כ”ש דאף לבעלה אסורה עד שתטבול]. וה</w:t>
      </w:r>
      <w:r w:rsidRPr="00AF1DC8">
        <w:rPr>
          <w:rFonts w:ascii="Narkisim" w:hAnsi="Narkisim"/>
          <w:b/>
          <w:bCs/>
          <w:rtl/>
        </w:rPr>
        <w:t>אחרונים</w:t>
      </w:r>
      <w:r w:rsidRPr="00AF1DC8">
        <w:rPr>
          <w:rFonts w:ascii="Narkisim" w:hAnsi="Narkisim"/>
          <w:rtl/>
        </w:rPr>
        <w:t xml:space="preserve"> הקשו דדיו לטמאות במגע, והיכי ילפי' מק"ו שיש איסור ביאה. וה</w:t>
      </w:r>
      <w:r w:rsidRPr="00AF1DC8">
        <w:rPr>
          <w:rFonts w:ascii="Narkisim" w:hAnsi="Narkisim"/>
          <w:b/>
          <w:bCs/>
          <w:rtl/>
        </w:rPr>
        <w:t>חת"ס</w:t>
      </w:r>
      <w:r w:rsidRPr="00AF1DC8">
        <w:rPr>
          <w:rFonts w:ascii="Narkisim" w:hAnsi="Narkisim"/>
          <w:rtl/>
        </w:rPr>
        <w:t xml:space="preserve"> כתב כיון דידעינן דצריכה טבילה לטהרות ממילא ילפי' דאסורה לבעלה דכתיב מ'והדוה בנדותה'. וה</w:t>
      </w:r>
      <w:r w:rsidRPr="00AF1DC8">
        <w:rPr>
          <w:rFonts w:ascii="Narkisim" w:hAnsi="Narkisim"/>
          <w:b/>
          <w:bCs/>
          <w:rtl/>
        </w:rPr>
        <w:t>קובה"ע</w:t>
      </w:r>
      <w:r w:rsidRPr="00AF1DC8">
        <w:rPr>
          <w:rFonts w:ascii="Narkisim" w:hAnsi="Narkisim"/>
          <w:rtl/>
        </w:rPr>
        <w:t xml:space="preserve"> (לט א) תי' דלא יתכן שם נדה לחצאין, ודין בעלה תליא בדין טהרות</w:t>
      </w:r>
      <w:r w:rsidRPr="00AF1DC8">
        <w:rPr>
          <w:rStyle w:val="ac"/>
          <w:rFonts w:ascii="Narkisim" w:hAnsi="Narkisim"/>
          <w:rtl/>
        </w:rPr>
        <w:footnoteReference w:id="2866"/>
      </w:r>
      <w:r w:rsidRPr="00AF1DC8">
        <w:rPr>
          <w:rFonts w:ascii="Narkisim" w:hAnsi="Narkisim"/>
        </w:rPr>
        <w:t>.</w:t>
      </w:r>
    </w:p>
    <w:p w14:paraId="382E0B6E" w14:textId="77777777" w:rsidR="006074A5" w:rsidRPr="00AF1DC8" w:rsidRDefault="006074A5" w:rsidP="006074A5">
      <w:pPr>
        <w:pStyle w:val="aa"/>
        <w:bidi/>
        <w:rPr>
          <w:rFonts w:ascii="Narkisim" w:hAnsi="Narkisim"/>
        </w:rPr>
      </w:pPr>
      <w:r w:rsidRPr="00AF1DC8">
        <w:rPr>
          <w:rFonts w:ascii="Narkisim" w:hAnsi="Narkisim"/>
          <w:rtl/>
        </w:rPr>
        <w:lastRenderedPageBreak/>
        <w:t>וה</w:t>
      </w:r>
      <w:r w:rsidRPr="00AF1DC8">
        <w:rPr>
          <w:rFonts w:ascii="Narkisim" w:hAnsi="Narkisim"/>
          <w:b/>
          <w:bCs/>
          <w:rtl/>
        </w:rPr>
        <w:t>אחרונים</w:t>
      </w:r>
      <w:r w:rsidRPr="00AF1DC8">
        <w:rPr>
          <w:rFonts w:ascii="Narkisim" w:hAnsi="Narkisim"/>
          <w:rtl/>
        </w:rPr>
        <w:t xml:space="preserve"> דנו דאף בזבה יל"ד מנ”ל דצריכה טבילה להיתר בעלה</w:t>
      </w:r>
      <w:r w:rsidRPr="00AF1DC8">
        <w:rPr>
          <w:rStyle w:val="ac"/>
          <w:rFonts w:ascii="Narkisim" w:hAnsi="Narkisim"/>
          <w:rtl/>
        </w:rPr>
        <w:footnoteReference w:id="2867"/>
      </w:r>
      <w:r w:rsidRPr="00AF1DC8">
        <w:rPr>
          <w:rFonts w:ascii="Narkisim" w:hAnsi="Narkisim"/>
        </w:rPr>
        <w:t xml:space="preserve">. </w:t>
      </w:r>
      <w:r w:rsidRPr="00AF1DC8">
        <w:rPr>
          <w:rFonts w:ascii="Narkisim" w:hAnsi="Narkisim"/>
          <w:rtl/>
        </w:rPr>
        <w:t>[ויל"ד אי שייך בזה תי' התוס']</w:t>
      </w:r>
      <w:r w:rsidRPr="00AF1DC8">
        <w:rPr>
          <w:rFonts w:ascii="Narkisim" w:hAnsi="Narkisim"/>
        </w:rPr>
        <w:t>.</w:t>
      </w:r>
    </w:p>
    <w:p w14:paraId="59793F12" w14:textId="77777777" w:rsidR="006074A5" w:rsidRPr="00AF1DC8" w:rsidRDefault="006074A5" w:rsidP="006074A5">
      <w:pPr>
        <w:pStyle w:val="2"/>
        <w:bidi/>
        <w:rPr>
          <w:rFonts w:ascii="Narkisim" w:hAnsi="Narkisim"/>
        </w:rPr>
      </w:pPr>
      <w:r w:rsidRPr="00AF1DC8">
        <w:rPr>
          <w:rFonts w:ascii="Narkisim" w:hAnsi="Narkisim"/>
          <w:rtl/>
        </w:rPr>
        <w:t>משוחרר שלא טבל</w:t>
      </w:r>
    </w:p>
    <w:p w14:paraId="1B7573A7" w14:textId="77777777" w:rsidR="006074A5" w:rsidRPr="00AF1DC8" w:rsidRDefault="006074A5" w:rsidP="006074A5">
      <w:pPr>
        <w:bidi/>
        <w:rPr>
          <w:rFonts w:ascii="Narkisim" w:hAnsi="Narkisim" w:cs="Narkisim"/>
        </w:rPr>
      </w:pPr>
      <w:r w:rsidRPr="00AF1DC8">
        <w:rPr>
          <w:rFonts w:ascii="Narkisim" w:hAnsi="Narkisim" w:cs="Narkisim"/>
          <w:u w:val="single"/>
          <w:rtl/>
        </w:rPr>
        <w:t>תוד"ה שם.</w:t>
      </w:r>
      <w:r w:rsidRPr="00AF1DC8">
        <w:rPr>
          <w:rFonts w:ascii="Narkisim" w:hAnsi="Narkisim" w:cs="Narkisim"/>
          <w:rtl/>
        </w:rPr>
        <w:t xml:space="preserve"> משמע דעבד בעי טבילה כשמשתחרר. ובפשוטו יש עליו עדיין 'שם עבד' עד שיטבול</w:t>
      </w:r>
      <w:r w:rsidRPr="00AF1DC8">
        <w:rPr>
          <w:rFonts w:ascii="Narkisim" w:hAnsi="Narkisim" w:cs="Narkisim"/>
          <w:sz w:val="20"/>
          <w:szCs w:val="20"/>
          <w:rtl/>
        </w:rPr>
        <w:t xml:space="preserve"> [ואף דאין לו בעלים</w:t>
      </w:r>
      <w:r w:rsidRPr="00AF1DC8">
        <w:rPr>
          <w:rStyle w:val="ac"/>
          <w:rFonts w:ascii="Narkisim" w:hAnsi="Narkisim" w:cs="Narkisim"/>
          <w:sz w:val="20"/>
          <w:szCs w:val="20"/>
          <w:rtl/>
        </w:rPr>
        <w:footnoteReference w:id="2868"/>
      </w:r>
      <w:r w:rsidRPr="00AF1DC8">
        <w:rPr>
          <w:rFonts w:ascii="Narkisim" w:hAnsi="Narkisim" w:cs="Narkisim"/>
          <w:sz w:val="20"/>
          <w:szCs w:val="20"/>
          <w:rtl/>
        </w:rPr>
        <w:t>]</w:t>
      </w:r>
      <w:r w:rsidRPr="00AF1DC8">
        <w:rPr>
          <w:rFonts w:ascii="Narkisim" w:hAnsi="Narkisim" w:cs="Narkisim"/>
          <w:rtl/>
        </w:rPr>
        <w:t>. וה</w:t>
      </w:r>
      <w:r w:rsidRPr="00AF1DC8">
        <w:rPr>
          <w:rFonts w:ascii="Narkisim" w:hAnsi="Narkisim" w:cs="Narkisim"/>
          <w:b/>
          <w:bCs/>
          <w:rtl/>
        </w:rPr>
        <w:t>גר"ח</w:t>
      </w:r>
      <w:r w:rsidRPr="00AF1DC8">
        <w:rPr>
          <w:rFonts w:ascii="Narkisim" w:hAnsi="Narkisim" w:cs="Narkisim"/>
          <w:rtl/>
        </w:rPr>
        <w:t xml:space="preserve"> (איסו"ב יג יב) הביא מהגמ' (גיטין יא) דכיון דזרק לו גט אסור בשפחה</w:t>
      </w:r>
      <w:r w:rsidRPr="00AF1DC8">
        <w:rPr>
          <w:rStyle w:val="ac"/>
          <w:rFonts w:ascii="Narkisim" w:hAnsi="Narkisim" w:cs="Narkisim"/>
          <w:rtl/>
        </w:rPr>
        <w:footnoteReference w:id="2869"/>
      </w:r>
      <w:r w:rsidRPr="00AF1DC8">
        <w:rPr>
          <w:rFonts w:ascii="Narkisim" w:hAnsi="Narkisim" w:cs="Narkisim"/>
        </w:rPr>
        <w:t xml:space="preserve">, </w:t>
      </w:r>
      <w:r w:rsidRPr="00AF1DC8">
        <w:rPr>
          <w:rFonts w:ascii="Narkisim" w:hAnsi="Narkisim" w:cs="Narkisim"/>
          <w:rtl/>
        </w:rPr>
        <w:t>וע"כ דפקע שם עבדות.</w:t>
      </w:r>
      <w:r w:rsidRPr="00AF1DC8">
        <w:rPr>
          <w:rFonts w:ascii="Narkisim" w:hAnsi="Narkisim" w:cs="Narkisim"/>
          <w:sz w:val="20"/>
          <w:szCs w:val="20"/>
          <w:rtl/>
        </w:rPr>
        <w:t xml:space="preserve"> וה</w:t>
      </w:r>
      <w:r w:rsidRPr="00AF1DC8">
        <w:rPr>
          <w:rFonts w:ascii="Narkisim" w:hAnsi="Narkisim" w:cs="Narkisim"/>
          <w:b/>
          <w:bCs/>
          <w:sz w:val="20"/>
          <w:szCs w:val="20"/>
          <w:rtl/>
        </w:rPr>
        <w:t>גר"ח</w:t>
      </w:r>
      <w:r w:rsidRPr="00AF1DC8">
        <w:rPr>
          <w:rFonts w:ascii="Narkisim" w:hAnsi="Narkisim" w:cs="Narkisim"/>
          <w:sz w:val="20"/>
          <w:szCs w:val="20"/>
          <w:rtl/>
        </w:rPr>
        <w:t xml:space="preserve"> (בסו"ד) כתב דלתוס' אסור בשפחה, כיון דאין רשות לרבו עליו, וכמ"ש </w:t>
      </w:r>
      <w:r w:rsidRPr="00AF1DC8">
        <w:rPr>
          <w:rFonts w:ascii="Narkisim" w:hAnsi="Narkisim" w:cs="Narkisim"/>
          <w:b/>
          <w:bCs/>
          <w:sz w:val="20"/>
          <w:szCs w:val="20"/>
          <w:rtl/>
        </w:rPr>
        <w:t>תוס</w:t>
      </w:r>
      <w:r w:rsidRPr="00AF1DC8">
        <w:rPr>
          <w:rFonts w:ascii="Narkisim" w:hAnsi="Narkisim" w:cs="Narkisim"/>
          <w:sz w:val="20"/>
          <w:szCs w:val="20"/>
          <w:rtl/>
        </w:rPr>
        <w:t>' (גיטין מ. לרש"י). וה</w:t>
      </w:r>
      <w:r w:rsidRPr="00AF1DC8">
        <w:rPr>
          <w:rFonts w:ascii="Narkisim" w:hAnsi="Narkisim" w:cs="Narkisim"/>
          <w:b/>
          <w:bCs/>
          <w:sz w:val="20"/>
          <w:szCs w:val="20"/>
          <w:rtl/>
        </w:rPr>
        <w:t>חזו"א</w:t>
      </w:r>
      <w:r w:rsidRPr="00AF1DC8">
        <w:rPr>
          <w:rFonts w:ascii="Narkisim" w:hAnsi="Narkisim" w:cs="Narkisim"/>
          <w:sz w:val="20"/>
          <w:szCs w:val="20"/>
          <w:rtl/>
        </w:rPr>
        <w:t xml:space="preserve"> (קמז מב יט) כת' לדחות דנחשב חוב כיון דע"כ יטבול לקריו</w:t>
      </w:r>
      <w:r w:rsidRPr="00AF1DC8">
        <w:rPr>
          <w:rStyle w:val="ac"/>
          <w:rFonts w:ascii="Narkisim" w:hAnsi="Narkisim" w:cs="Narkisim"/>
          <w:sz w:val="20"/>
          <w:szCs w:val="20"/>
          <w:rtl/>
        </w:rPr>
        <w:footnoteReference w:id="2870"/>
      </w:r>
      <w:r w:rsidRPr="00AF1DC8">
        <w:rPr>
          <w:rFonts w:ascii="Narkisim" w:hAnsi="Narkisim" w:cs="Narkisim"/>
          <w:sz w:val="20"/>
          <w:szCs w:val="20"/>
        </w:rPr>
        <w:t xml:space="preserve">, </w:t>
      </w:r>
      <w:r w:rsidRPr="00AF1DC8">
        <w:rPr>
          <w:rFonts w:ascii="Narkisim" w:hAnsi="Narkisim" w:cs="Narkisim"/>
          <w:sz w:val="20"/>
          <w:szCs w:val="20"/>
          <w:rtl/>
        </w:rPr>
        <w:t>ויהא ישראל גמור, כדלעיל (מה:)</w:t>
      </w:r>
      <w:r w:rsidRPr="00AF1DC8">
        <w:rPr>
          <w:rStyle w:val="ac"/>
          <w:rFonts w:ascii="Narkisim" w:hAnsi="Narkisim" w:cs="Narkisim"/>
          <w:sz w:val="20"/>
          <w:szCs w:val="20"/>
          <w:rtl/>
        </w:rPr>
        <w:footnoteReference w:id="2871"/>
      </w:r>
      <w:r w:rsidRPr="00AF1DC8">
        <w:rPr>
          <w:rFonts w:ascii="Narkisim" w:hAnsi="Narkisim" w:cs="Narkisim"/>
          <w:sz w:val="20"/>
          <w:szCs w:val="20"/>
        </w:rPr>
        <w:t>.</w:t>
      </w:r>
    </w:p>
    <w:p w14:paraId="03E2868B" w14:textId="77777777" w:rsidR="006074A5" w:rsidRPr="00AF1DC8" w:rsidRDefault="006074A5" w:rsidP="006074A5">
      <w:pPr>
        <w:bidi/>
        <w:rPr>
          <w:rFonts w:ascii="Narkisim" w:hAnsi="Narkisim" w:cs="Narkisim"/>
        </w:rPr>
      </w:pPr>
      <w:r w:rsidRPr="00AF1DC8">
        <w:rPr>
          <w:rFonts w:ascii="Narkisim" w:hAnsi="Narkisim" w:cs="Narkisim"/>
          <w:u w:val="single"/>
          <w:rtl/>
        </w:rPr>
        <w:t>בא"ד וי"ל דאיירי כגון שטבלה מקודם וכו'.</w:t>
      </w:r>
      <w:r w:rsidRPr="00AF1DC8">
        <w:rPr>
          <w:rFonts w:ascii="Narkisim" w:hAnsi="Narkisim" w:cs="Narkisim"/>
          <w:rtl/>
        </w:rPr>
        <w:t xml:space="preserve"> וצ”ב מה מהני טבילה בעודה שפחה, וכה”ק ה</w:t>
      </w:r>
      <w:r w:rsidRPr="00AF1DC8">
        <w:rPr>
          <w:rFonts w:ascii="Narkisim" w:hAnsi="Narkisim" w:cs="Narkisim"/>
          <w:b/>
          <w:bCs/>
          <w:rtl/>
        </w:rPr>
        <w:t>גר”ח</w:t>
      </w:r>
      <w:r w:rsidRPr="00AF1DC8">
        <w:rPr>
          <w:rFonts w:ascii="Narkisim" w:hAnsi="Narkisim" w:cs="Narkisim"/>
          <w:rtl/>
        </w:rPr>
        <w:t>. וה</w:t>
      </w:r>
      <w:r w:rsidRPr="00AF1DC8">
        <w:rPr>
          <w:rFonts w:ascii="Narkisim" w:hAnsi="Narkisim" w:cs="Narkisim"/>
          <w:b/>
          <w:bCs/>
          <w:rtl/>
        </w:rPr>
        <w:t>גר"ח</w:t>
      </w:r>
      <w:r w:rsidRPr="00AF1DC8">
        <w:rPr>
          <w:rFonts w:ascii="Narkisim" w:hAnsi="Narkisim" w:cs="Narkisim"/>
          <w:rtl/>
        </w:rPr>
        <w:t xml:space="preserve"> כת' דדעת התוס' לא פקע שם עבד ע"י השחרור, אלא כשיטבול. וה</w:t>
      </w:r>
      <w:r w:rsidRPr="00AF1DC8">
        <w:rPr>
          <w:rFonts w:ascii="Narkisim" w:hAnsi="Narkisim" w:cs="Narkisim"/>
          <w:b/>
          <w:bCs/>
          <w:rtl/>
        </w:rPr>
        <w:t>אמר"מ</w:t>
      </w:r>
      <w:r w:rsidRPr="00AF1DC8">
        <w:rPr>
          <w:rFonts w:ascii="Narkisim" w:hAnsi="Narkisim" w:cs="Narkisim"/>
          <w:rtl/>
        </w:rPr>
        <w:t xml:space="preserve"> </w:t>
      </w:r>
      <w:r w:rsidRPr="00AF1DC8">
        <w:rPr>
          <w:rFonts w:ascii="Narkisim" w:hAnsi="Narkisim" w:cs="Narkisim"/>
          <w:szCs w:val="20"/>
          <w:rtl/>
        </w:rPr>
        <w:t>(</w:t>
      </w:r>
      <w:r w:rsidRPr="00AF1DC8">
        <w:rPr>
          <w:rFonts w:ascii="Narkisim" w:hAnsi="Narkisim" w:cs="Narkisim"/>
          <w:sz w:val="20"/>
          <w:szCs w:val="20"/>
          <w:rtl/>
        </w:rPr>
        <w:t>כב כא)</w:t>
      </w:r>
      <w:r w:rsidRPr="00AF1DC8">
        <w:rPr>
          <w:rFonts w:ascii="Narkisim" w:hAnsi="Narkisim" w:cs="Narkisim"/>
          <w:rtl/>
        </w:rPr>
        <w:t xml:space="preserve"> כת' דלתוס' אסור משום שם עבדות, ולכן השחרור והטבילה הוה כב' דברים המתירים, דצריך את שניהם לסלק מעליו את העבדות. </w:t>
      </w:r>
      <w:r w:rsidRPr="00AF1DC8">
        <w:rPr>
          <w:rFonts w:ascii="Narkisim" w:hAnsi="Narkisim" w:cs="Narkisim"/>
          <w:sz w:val="20"/>
          <w:szCs w:val="20"/>
          <w:rtl/>
        </w:rPr>
        <w:t>[וע' בסמוך מש"כ החזו"א]</w:t>
      </w:r>
      <w:r w:rsidRPr="00AF1DC8">
        <w:rPr>
          <w:rFonts w:ascii="Narkisim" w:hAnsi="Narkisim" w:cs="Narkisim"/>
          <w:sz w:val="20"/>
          <w:szCs w:val="20"/>
        </w:rPr>
        <w:t>.</w:t>
      </w:r>
    </w:p>
    <w:p w14:paraId="245030CE"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תוס' הרא"ש</w:t>
      </w:r>
      <w:r w:rsidRPr="00AF1DC8">
        <w:rPr>
          <w:rFonts w:ascii="Narkisim" w:hAnsi="Narkisim"/>
          <w:rtl/>
        </w:rPr>
        <w:t xml:space="preserve"> (כאן וקידושין סב:) תי' [בחד תי'] דהך טבילה הוה דרבנן</w:t>
      </w:r>
      <w:r w:rsidRPr="00AF1DC8">
        <w:rPr>
          <w:rStyle w:val="ac"/>
          <w:rFonts w:ascii="Narkisim" w:hAnsi="Narkisim"/>
          <w:rtl/>
        </w:rPr>
        <w:footnoteReference w:id="2872"/>
      </w:r>
      <w:r w:rsidRPr="00AF1DC8">
        <w:rPr>
          <w:rFonts w:ascii="Narkisim" w:hAnsi="Narkisim"/>
        </w:rPr>
        <w:t xml:space="preserve">. </w:t>
      </w:r>
      <w:r w:rsidRPr="00AF1DC8">
        <w:rPr>
          <w:rFonts w:ascii="Narkisim" w:hAnsi="Narkisim"/>
          <w:rtl/>
        </w:rPr>
        <w:t>וכ”כ ה</w:t>
      </w:r>
      <w:r w:rsidRPr="00AF1DC8">
        <w:rPr>
          <w:rFonts w:ascii="Narkisim" w:hAnsi="Narkisim"/>
          <w:b/>
          <w:bCs/>
          <w:rtl/>
        </w:rPr>
        <w:t>ריטב"א</w:t>
      </w:r>
      <w:r w:rsidRPr="00AF1DC8">
        <w:rPr>
          <w:rFonts w:ascii="Narkisim" w:hAnsi="Narkisim"/>
          <w:rtl/>
        </w:rPr>
        <w:t xml:space="preserve"> </w:t>
      </w:r>
      <w:r w:rsidRPr="00AF1DC8">
        <w:rPr>
          <w:rFonts w:ascii="Narkisim" w:hAnsi="Narkisim"/>
          <w:sz w:val="20"/>
          <w:szCs w:val="20"/>
          <w:rtl/>
        </w:rPr>
        <w:t>(בסוף העמ')</w:t>
      </w:r>
      <w:r w:rsidRPr="00AF1DC8">
        <w:rPr>
          <w:rFonts w:ascii="Narkisim" w:hAnsi="Narkisim"/>
          <w:rtl/>
        </w:rPr>
        <w:t>, וה</w:t>
      </w:r>
      <w:r w:rsidRPr="00AF1DC8">
        <w:rPr>
          <w:rFonts w:ascii="Narkisim" w:hAnsi="Narkisim"/>
          <w:b/>
          <w:bCs/>
          <w:rtl/>
        </w:rPr>
        <w:t>ריטב"א</w:t>
      </w:r>
      <w:r w:rsidRPr="00AF1DC8">
        <w:rPr>
          <w:rFonts w:ascii="Narkisim" w:hAnsi="Narkisim"/>
          <w:rtl/>
        </w:rPr>
        <w:t xml:space="preserve"> </w:t>
      </w:r>
      <w:r w:rsidRPr="00AF1DC8">
        <w:rPr>
          <w:rFonts w:ascii="Narkisim" w:hAnsi="Narkisim"/>
          <w:sz w:val="20"/>
          <w:szCs w:val="20"/>
          <w:rtl/>
        </w:rPr>
        <w:t xml:space="preserve">(מח. בשם </w:t>
      </w:r>
      <w:r w:rsidRPr="00AF1DC8">
        <w:rPr>
          <w:rFonts w:ascii="Narkisim" w:hAnsi="Narkisim"/>
          <w:b/>
          <w:bCs/>
          <w:sz w:val="20"/>
          <w:szCs w:val="20"/>
          <w:rtl/>
        </w:rPr>
        <w:t>ר”י</w:t>
      </w:r>
      <w:r w:rsidRPr="00AF1DC8">
        <w:rPr>
          <w:rFonts w:ascii="Narkisim" w:hAnsi="Narkisim"/>
          <w:sz w:val="20"/>
          <w:szCs w:val="20"/>
          <w:rtl/>
        </w:rPr>
        <w:t>)</w:t>
      </w:r>
      <w:r w:rsidRPr="00AF1DC8">
        <w:rPr>
          <w:rFonts w:ascii="Narkisim" w:hAnsi="Narkisim"/>
          <w:rtl/>
        </w:rPr>
        <w:t xml:space="preserve"> כת' דאין טבילתו</w:t>
      </w:r>
      <w:r w:rsidRPr="00AF1DC8">
        <w:rPr>
          <w:rStyle w:val="ac"/>
          <w:rFonts w:ascii="Narkisim" w:hAnsi="Narkisim"/>
          <w:rtl/>
        </w:rPr>
        <w:footnoteReference w:id="2873"/>
      </w:r>
      <w:r w:rsidRPr="00AF1DC8">
        <w:rPr>
          <w:rFonts w:ascii="Narkisim" w:hAnsi="Narkisim"/>
        </w:rPr>
        <w:t xml:space="preserve"> </w:t>
      </w:r>
      <w:r w:rsidRPr="00AF1DC8">
        <w:rPr>
          <w:rFonts w:ascii="Narkisim" w:hAnsi="Narkisim"/>
          <w:rtl/>
        </w:rPr>
        <w:t>מעכבתו שאם קידש בת ישראל הוה קידושין, וכן בכל דבר שהוא להחמיר.</w:t>
      </w:r>
      <w:r w:rsidRPr="00AF1DC8">
        <w:rPr>
          <w:rFonts w:ascii="Narkisim" w:hAnsi="Narkisim"/>
          <w:sz w:val="20"/>
          <w:szCs w:val="20"/>
          <w:rtl/>
        </w:rPr>
        <w:t xml:space="preserve"> וכ”כ הרמב”ן בשם </w:t>
      </w:r>
      <w:r w:rsidRPr="00AF1DC8">
        <w:rPr>
          <w:rFonts w:ascii="Narkisim" w:hAnsi="Narkisim"/>
          <w:b/>
          <w:bCs/>
          <w:sz w:val="20"/>
          <w:szCs w:val="20"/>
          <w:rtl/>
        </w:rPr>
        <w:t>תוס</w:t>
      </w:r>
      <w:r w:rsidRPr="00AF1DC8">
        <w:rPr>
          <w:rFonts w:ascii="Narkisim" w:hAnsi="Narkisim"/>
          <w:sz w:val="20"/>
          <w:szCs w:val="20"/>
          <w:rtl/>
        </w:rPr>
        <w:t>' רבותינו הצרפתים שהרי אי”צ הטפת דם ברית בשעת שחרור</w:t>
      </w:r>
      <w:r w:rsidRPr="00AF1DC8">
        <w:rPr>
          <w:rStyle w:val="ac"/>
          <w:rFonts w:ascii="Narkisim" w:hAnsi="Narkisim"/>
          <w:sz w:val="20"/>
          <w:szCs w:val="20"/>
          <w:rtl/>
        </w:rPr>
        <w:footnoteReference w:id="2874"/>
      </w:r>
      <w:r w:rsidRPr="00AF1DC8">
        <w:rPr>
          <w:rFonts w:ascii="Narkisim" w:hAnsi="Narkisim"/>
          <w:sz w:val="20"/>
          <w:szCs w:val="20"/>
        </w:rPr>
        <w:t xml:space="preserve">. </w:t>
      </w:r>
      <w:r w:rsidRPr="00AF1DC8">
        <w:rPr>
          <w:rFonts w:ascii="Narkisim" w:hAnsi="Narkisim"/>
          <w:sz w:val="20"/>
          <w:szCs w:val="20"/>
          <w:rtl/>
        </w:rPr>
        <w:t>וה</w:t>
      </w:r>
      <w:r w:rsidRPr="00AF1DC8">
        <w:rPr>
          <w:rFonts w:ascii="Narkisim" w:hAnsi="Narkisim"/>
          <w:b/>
          <w:bCs/>
          <w:sz w:val="20"/>
          <w:szCs w:val="20"/>
          <w:rtl/>
        </w:rPr>
        <w:t>רמב"ן</w:t>
      </w:r>
      <w:r w:rsidRPr="00AF1DC8">
        <w:rPr>
          <w:rFonts w:ascii="Narkisim" w:hAnsi="Narkisim"/>
          <w:sz w:val="20"/>
          <w:szCs w:val="20"/>
          <w:rtl/>
        </w:rPr>
        <w:t xml:space="preserve"> חלק דכל שנימול למצוותו אי"צ הטפה</w:t>
      </w:r>
      <w:r w:rsidRPr="00AF1DC8">
        <w:rPr>
          <w:rFonts w:ascii="Narkisim" w:hAnsi="Narkisim"/>
        </w:rPr>
        <w:t>.</w:t>
      </w:r>
    </w:p>
    <w:p w14:paraId="336D0C0E" w14:textId="77777777" w:rsidR="006074A5" w:rsidRPr="00AF1DC8" w:rsidRDefault="006074A5" w:rsidP="006074A5">
      <w:pPr>
        <w:bidi/>
        <w:rPr>
          <w:rFonts w:ascii="Narkisim" w:hAnsi="Narkisim" w:cs="Narkisim"/>
        </w:rPr>
      </w:pPr>
      <w:r w:rsidRPr="00AF1DC8">
        <w:rPr>
          <w:rFonts w:ascii="Narkisim" w:hAnsi="Narkisim" w:cs="Narkisim"/>
          <w:rtl/>
        </w:rPr>
        <w:t>אבל 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Cs w:val="20"/>
          <w:rtl/>
        </w:rPr>
        <w:t>(איסו”ב יג יב)</w:t>
      </w:r>
      <w:r w:rsidRPr="00AF1DC8">
        <w:rPr>
          <w:rFonts w:ascii="Narkisim" w:hAnsi="Narkisim" w:cs="Narkisim"/>
          <w:rtl/>
        </w:rPr>
        <w:t xml:space="preserve"> כת' דטבילת העבד הוה גמר הגירות </w:t>
      </w:r>
      <w:r w:rsidRPr="00AF1DC8">
        <w:rPr>
          <w:rFonts w:ascii="Narkisim" w:hAnsi="Narkisim" w:cs="Narkisim"/>
          <w:sz w:val="20"/>
          <w:szCs w:val="20"/>
          <w:rtl/>
        </w:rPr>
        <w:t>[ובהל' יא כתב דטבילה לשם עבדות יצא מכלל בן נח, ולכלל ישראל לא בא</w:t>
      </w:r>
      <w:r w:rsidRPr="00AF1DC8">
        <w:rPr>
          <w:rStyle w:val="ac"/>
          <w:rFonts w:ascii="Narkisim" w:hAnsi="Narkisim" w:cs="Narkisim"/>
          <w:sz w:val="20"/>
          <w:szCs w:val="20"/>
          <w:rtl/>
        </w:rPr>
        <w:footnoteReference w:id="2875"/>
      </w:r>
      <w:r w:rsidRPr="00AF1DC8">
        <w:rPr>
          <w:rFonts w:ascii="Narkisim" w:hAnsi="Narkisim" w:cs="Narkisim"/>
          <w:sz w:val="20"/>
          <w:szCs w:val="20"/>
          <w:rtl/>
        </w:rPr>
        <w:t>]</w:t>
      </w:r>
      <w:r w:rsidRPr="00AF1DC8">
        <w:rPr>
          <w:rFonts w:ascii="Narkisim" w:hAnsi="Narkisim" w:cs="Narkisim"/>
          <w:rtl/>
        </w:rPr>
        <w:t>. ומבואר דהוה דאורי'. וה</w:t>
      </w:r>
      <w:r w:rsidRPr="00AF1DC8">
        <w:rPr>
          <w:rFonts w:ascii="Narkisim" w:hAnsi="Narkisim" w:cs="Narkisim"/>
          <w:b/>
          <w:bCs/>
          <w:rtl/>
        </w:rPr>
        <w:t>גר"ח</w:t>
      </w:r>
      <w:r w:rsidRPr="00AF1DC8">
        <w:rPr>
          <w:rFonts w:ascii="Narkisim" w:hAnsi="Narkisim" w:cs="Narkisim"/>
          <w:rtl/>
        </w:rPr>
        <w:t xml:space="preserve"> </w:t>
      </w:r>
      <w:r w:rsidRPr="00AF1DC8">
        <w:rPr>
          <w:rFonts w:ascii="Narkisim" w:hAnsi="Narkisim" w:cs="Narkisim"/>
          <w:szCs w:val="20"/>
          <w:rtl/>
        </w:rPr>
        <w:t>(שם)</w:t>
      </w:r>
      <w:r w:rsidRPr="00AF1DC8">
        <w:rPr>
          <w:rFonts w:ascii="Narkisim" w:hAnsi="Narkisim" w:cs="Narkisim"/>
          <w:rtl/>
        </w:rPr>
        <w:t xml:space="preserve"> דייק דבעי טבילה דוקא אחר השחרור, וא”כ הדרא קושיית התוס</w:t>
      </w:r>
      <w:r w:rsidRPr="00AF1DC8">
        <w:rPr>
          <w:rFonts w:ascii="Narkisim" w:hAnsi="Narkisim" w:cs="Narkisim"/>
        </w:rPr>
        <w:t>'.</w:t>
      </w:r>
    </w:p>
    <w:p w14:paraId="797437E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גר"ח</w:t>
      </w:r>
      <w:r w:rsidRPr="00AF1DC8">
        <w:rPr>
          <w:rFonts w:ascii="Narkisim" w:hAnsi="Narkisim"/>
          <w:rtl/>
        </w:rPr>
        <w:t xml:space="preserve"> כת' דמ"מ קודם טבילה תפסי קידושין</w:t>
      </w:r>
      <w:r w:rsidRPr="00AF1DC8">
        <w:rPr>
          <w:rStyle w:val="ac"/>
          <w:rFonts w:ascii="Narkisim" w:hAnsi="Narkisim"/>
          <w:rtl/>
        </w:rPr>
        <w:footnoteReference w:id="2876"/>
      </w:r>
      <w:r w:rsidRPr="00AF1DC8">
        <w:rPr>
          <w:rFonts w:ascii="Narkisim" w:hAnsi="Narkisim"/>
        </w:rPr>
        <w:t xml:space="preserve">, </w:t>
      </w:r>
      <w:r w:rsidRPr="00AF1DC8">
        <w:rPr>
          <w:rFonts w:ascii="Narkisim" w:hAnsi="Narkisim"/>
          <w:rtl/>
        </w:rPr>
        <w:t>דע"י השחרור דינו כמקצת ישראל</w:t>
      </w:r>
      <w:r w:rsidRPr="00AF1DC8">
        <w:rPr>
          <w:rStyle w:val="ac"/>
          <w:rFonts w:ascii="Narkisim" w:hAnsi="Narkisim"/>
          <w:rtl/>
        </w:rPr>
        <w:footnoteReference w:id="2877"/>
      </w:r>
      <w:r w:rsidRPr="00AF1DC8">
        <w:rPr>
          <w:rFonts w:ascii="Narkisim" w:hAnsi="Narkisim"/>
        </w:rPr>
        <w:t xml:space="preserve">. </w:t>
      </w:r>
      <w:r w:rsidRPr="00AF1DC8">
        <w:rPr>
          <w:rFonts w:ascii="Narkisim" w:hAnsi="Narkisim"/>
          <w:rtl/>
        </w:rPr>
        <w:t>דפקע הדין עבדות, ועי"ז יש לו יחס ואינו 'עם הדומה לחמור'</w:t>
      </w:r>
      <w:r w:rsidRPr="00AF1DC8">
        <w:rPr>
          <w:rStyle w:val="ac"/>
          <w:rFonts w:ascii="Narkisim" w:hAnsi="Narkisim"/>
          <w:rtl/>
        </w:rPr>
        <w:footnoteReference w:id="2878"/>
      </w:r>
      <w:r w:rsidRPr="00AF1DC8">
        <w:rPr>
          <w:rFonts w:ascii="Narkisim" w:hAnsi="Narkisim"/>
          <w:rtl/>
        </w:rPr>
        <w:t>. אבל הגירות לא נשלם לענין תוספת המצוות שנתחייב ישראל</w:t>
      </w:r>
      <w:r w:rsidRPr="00AF1DC8">
        <w:rPr>
          <w:rStyle w:val="ac"/>
          <w:rFonts w:ascii="Narkisim" w:hAnsi="Narkisim"/>
          <w:rtl/>
        </w:rPr>
        <w:footnoteReference w:id="2879"/>
      </w:r>
      <w:r w:rsidRPr="00AF1DC8">
        <w:rPr>
          <w:rFonts w:ascii="Narkisim" w:hAnsi="Narkisim"/>
        </w:rPr>
        <w:t xml:space="preserve">, </w:t>
      </w:r>
      <w:r w:rsidRPr="00AF1DC8">
        <w:rPr>
          <w:rFonts w:ascii="Narkisim" w:hAnsi="Narkisim"/>
          <w:rtl/>
        </w:rPr>
        <w:t>וכן אסור בבת ישראל</w:t>
      </w:r>
      <w:r w:rsidRPr="00AF1DC8">
        <w:rPr>
          <w:rStyle w:val="ac"/>
          <w:rFonts w:ascii="Narkisim" w:hAnsi="Narkisim"/>
          <w:rtl/>
        </w:rPr>
        <w:footnoteReference w:id="2880"/>
      </w:r>
      <w:r w:rsidRPr="00AF1DC8">
        <w:rPr>
          <w:rFonts w:ascii="Narkisim" w:hAnsi="Narkisim"/>
        </w:rPr>
        <w:t xml:space="preserve"> </w:t>
      </w:r>
      <w:r w:rsidRPr="00AF1DC8">
        <w:rPr>
          <w:rFonts w:ascii="Narkisim" w:hAnsi="Narkisim"/>
          <w:rtl/>
        </w:rPr>
        <w:t xml:space="preserve">עד שיטבול ויגמור את </w:t>
      </w:r>
      <w:r w:rsidRPr="00AF1DC8">
        <w:rPr>
          <w:rFonts w:ascii="Narkisim" w:hAnsi="Narkisim"/>
          <w:rtl/>
        </w:rPr>
        <w:lastRenderedPageBreak/>
        <w:t xml:space="preserve">הגירות. </w:t>
      </w:r>
      <w:r w:rsidRPr="00AF1DC8">
        <w:rPr>
          <w:rFonts w:ascii="Narkisim" w:hAnsi="Narkisim"/>
          <w:sz w:val="20"/>
          <w:szCs w:val="20"/>
          <w:rtl/>
        </w:rPr>
        <w:t>וה</w:t>
      </w:r>
      <w:r w:rsidRPr="00AF1DC8">
        <w:rPr>
          <w:rFonts w:ascii="Narkisim" w:hAnsi="Narkisim"/>
          <w:b/>
          <w:bCs/>
          <w:sz w:val="20"/>
          <w:szCs w:val="20"/>
          <w:rtl/>
        </w:rPr>
        <w:t>חזו"א</w:t>
      </w:r>
      <w:r w:rsidRPr="00AF1DC8">
        <w:rPr>
          <w:rFonts w:ascii="Narkisim" w:hAnsi="Narkisim"/>
          <w:sz w:val="20"/>
          <w:szCs w:val="20"/>
          <w:rtl/>
        </w:rPr>
        <w:t xml:space="preserve"> (בגליונות) הק' דאם תפסי קידושין לאו קדוש מקרי</w:t>
      </w:r>
      <w:r w:rsidRPr="00AF1DC8">
        <w:rPr>
          <w:rFonts w:ascii="Narkisim" w:hAnsi="Narkisim"/>
          <w:sz w:val="20"/>
          <w:szCs w:val="20"/>
        </w:rPr>
        <w:t>.</w:t>
      </w:r>
    </w:p>
    <w:p w14:paraId="7A923378" w14:textId="77777777" w:rsidR="006074A5" w:rsidRPr="00AF1DC8" w:rsidRDefault="006074A5" w:rsidP="006074A5">
      <w:pPr>
        <w:pStyle w:val="aa"/>
        <w:bidi/>
        <w:rPr>
          <w:rFonts w:ascii="Narkisim" w:hAnsi="Narkisim"/>
        </w:rPr>
      </w:pPr>
      <w:r w:rsidRPr="00AF1DC8">
        <w:rPr>
          <w:rFonts w:ascii="Narkisim" w:hAnsi="Narkisim"/>
          <w:rtl/>
        </w:rPr>
        <w:t>וכעי"ז כתב ה</w:t>
      </w:r>
      <w:r w:rsidRPr="00AF1DC8">
        <w:rPr>
          <w:rFonts w:ascii="Narkisim" w:hAnsi="Narkisim"/>
          <w:b/>
          <w:bCs/>
          <w:rtl/>
        </w:rPr>
        <w:t>חזו"א</w:t>
      </w:r>
      <w:r w:rsidRPr="00AF1DC8">
        <w:rPr>
          <w:rFonts w:ascii="Narkisim" w:hAnsi="Narkisim"/>
          <w:rtl/>
        </w:rPr>
        <w:t xml:space="preserve"> (קמז מב יט) [לפרש דעת הריטב"א דתפסי קידושין</w:t>
      </w:r>
      <w:r w:rsidRPr="00AF1DC8">
        <w:rPr>
          <w:rStyle w:val="ac"/>
          <w:rFonts w:ascii="Narkisim" w:hAnsi="Narkisim"/>
          <w:rtl/>
        </w:rPr>
        <w:footnoteReference w:id="2881"/>
      </w:r>
      <w:r w:rsidRPr="00AF1DC8">
        <w:rPr>
          <w:rFonts w:ascii="Narkisim" w:hAnsi="Narkisim"/>
          <w:rtl/>
        </w:rPr>
        <w:t>] דקודם טבילה דינו כישראל לכל דבר, אלא שאסור לבוא בקהל. כגר קודם שהביא קינו, דמשמע (כריתות ח:) דמשמע דלשאר דברים הוה ישראל גמור</w:t>
      </w:r>
      <w:r w:rsidRPr="00AF1DC8">
        <w:rPr>
          <w:rStyle w:val="ac"/>
          <w:rFonts w:ascii="Narkisim" w:hAnsi="Narkisim"/>
          <w:rtl/>
        </w:rPr>
        <w:footnoteReference w:id="2882"/>
      </w:r>
      <w:r w:rsidRPr="00AF1DC8">
        <w:rPr>
          <w:rFonts w:ascii="Narkisim" w:hAnsi="Narkisim"/>
        </w:rPr>
        <w:t xml:space="preserve">. </w:t>
      </w:r>
      <w:r w:rsidRPr="00AF1DC8">
        <w:rPr>
          <w:rFonts w:ascii="Narkisim" w:hAnsi="Narkisim"/>
          <w:rtl/>
        </w:rPr>
        <w:t>וכדמשמע בסוגיין דטבל ועלה הרי הוא כישראל לכל דבר, ולא חילקו בזמן הבית. וה</w:t>
      </w:r>
      <w:r w:rsidRPr="00AF1DC8">
        <w:rPr>
          <w:rFonts w:ascii="Narkisim" w:hAnsi="Narkisim"/>
          <w:b/>
          <w:bCs/>
          <w:rtl/>
        </w:rPr>
        <w:t>חזו”א</w:t>
      </w:r>
      <w:r w:rsidRPr="00AF1DC8">
        <w:rPr>
          <w:rFonts w:ascii="Narkisim" w:hAnsi="Narkisim"/>
          <w:rtl/>
        </w:rPr>
        <w:t xml:space="preserve"> כת' דאף החולקים דלא תפסי קידושין, סברי דהוה ישראל, אלא כיון דאסור בקהל לא תפסי קידושין. ומ"מ ישראל גמור דאסור בשפחה</w:t>
      </w:r>
      <w:r w:rsidRPr="00AF1DC8">
        <w:rPr>
          <w:rFonts w:ascii="Narkisim" w:hAnsi="Narkisim"/>
        </w:rPr>
        <w:t>.</w:t>
      </w:r>
    </w:p>
    <w:p w14:paraId="55CD8199" w14:textId="77777777" w:rsidR="006074A5" w:rsidRPr="00AF1DC8" w:rsidRDefault="006074A5" w:rsidP="006074A5">
      <w:pPr>
        <w:pStyle w:val="aa"/>
        <w:bidi/>
        <w:rPr>
          <w:rFonts w:ascii="Narkisim" w:hAnsi="Narkisim"/>
        </w:rPr>
      </w:pPr>
      <w:r w:rsidRPr="00AF1DC8">
        <w:rPr>
          <w:rFonts w:ascii="Narkisim" w:hAnsi="Narkisim"/>
          <w:u w:val="single"/>
          <w:rtl/>
        </w:rPr>
        <w:t>רש"י ד"ה חוצץ.</w:t>
      </w:r>
      <w:r w:rsidRPr="00AF1DC8">
        <w:rPr>
          <w:rFonts w:ascii="Narkisim" w:hAnsi="Narkisim"/>
          <w:rtl/>
        </w:rPr>
        <w:t xml:space="preserve"> אע"פ שאין טבילתן לענין מגע טהרות. [ויל"פ עפ"ז דנקט נדה לרבותא, אע"ג דאינו טומאת מגע]. אבל ה</w:t>
      </w:r>
      <w:r w:rsidRPr="00AF1DC8">
        <w:rPr>
          <w:rFonts w:ascii="Narkisim" w:hAnsi="Narkisim"/>
          <w:b/>
          <w:bCs/>
          <w:rtl/>
        </w:rPr>
        <w:t>רשב"א</w:t>
      </w:r>
      <w:r w:rsidRPr="00AF1DC8">
        <w:rPr>
          <w:rFonts w:ascii="Narkisim" w:hAnsi="Narkisim"/>
          <w:rtl/>
        </w:rPr>
        <w:t xml:space="preserve"> ו</w:t>
      </w:r>
      <w:r w:rsidRPr="00AF1DC8">
        <w:rPr>
          <w:rFonts w:ascii="Narkisim" w:hAnsi="Narkisim"/>
          <w:b/>
          <w:bCs/>
          <w:rtl/>
        </w:rPr>
        <w:t>ריטב"א</w:t>
      </w:r>
      <w:r w:rsidRPr="00AF1DC8">
        <w:rPr>
          <w:rFonts w:ascii="Narkisim" w:hAnsi="Narkisim"/>
          <w:rtl/>
        </w:rPr>
        <w:t xml:space="preserve"> הביאו גירסא 'שם נדה ובעל קרי טובל' [ליטהר מטומאתו מדאורייתא</w:t>
      </w:r>
      <w:r w:rsidRPr="00AF1DC8">
        <w:rPr>
          <w:rStyle w:val="ac"/>
          <w:rFonts w:ascii="Narkisim" w:hAnsi="Narkisim"/>
          <w:rtl/>
        </w:rPr>
        <w:footnoteReference w:id="2883"/>
      </w:r>
      <w:r w:rsidRPr="00AF1DC8">
        <w:rPr>
          <w:rFonts w:ascii="Narkisim" w:hAnsi="Narkisim"/>
          <w:rtl/>
        </w:rPr>
        <w:t>]. וכוונת הגמ' דטבילת גר שווה לטבילת טומאה גמורה</w:t>
      </w:r>
      <w:r w:rsidRPr="00AF1DC8">
        <w:rPr>
          <w:rFonts w:ascii="Narkisim" w:hAnsi="Narkisim"/>
        </w:rPr>
        <w:t>.</w:t>
      </w:r>
    </w:p>
    <w:p w14:paraId="47F19FED" w14:textId="77777777" w:rsidR="006074A5" w:rsidRPr="00AF1DC8" w:rsidRDefault="006074A5" w:rsidP="006074A5">
      <w:pPr>
        <w:pStyle w:val="aa"/>
        <w:bidi/>
        <w:rPr>
          <w:rFonts w:ascii="Narkisim" w:hAnsi="Narkisim"/>
        </w:rPr>
      </w:pPr>
      <w:r w:rsidRPr="00AF1DC8">
        <w:rPr>
          <w:rFonts w:ascii="Narkisim" w:hAnsi="Narkisim"/>
          <w:u w:val="single"/>
          <w:rtl/>
        </w:rPr>
        <w:t>תוד"ה קשים.</w:t>
      </w:r>
      <w:r w:rsidRPr="00AF1DC8">
        <w:rPr>
          <w:rFonts w:ascii="Narkisim" w:hAnsi="Narkisim"/>
          <w:rtl/>
        </w:rPr>
        <w:t xml:space="preserve"> והקשה (דבסוטה לז:) משמע דלא היו ערבים על הגרים</w:t>
      </w:r>
      <w:r w:rsidRPr="00AF1DC8">
        <w:rPr>
          <w:rStyle w:val="ac"/>
          <w:rFonts w:ascii="Narkisim" w:hAnsi="Narkisim"/>
          <w:rtl/>
        </w:rPr>
        <w:footnoteReference w:id="2884"/>
      </w:r>
      <w:r w:rsidRPr="00AF1DC8">
        <w:rPr>
          <w:rFonts w:ascii="Narkisim" w:hAnsi="Narkisim"/>
        </w:rPr>
        <w:t xml:space="preserve"> </w:t>
      </w:r>
      <w:r w:rsidRPr="00AF1DC8">
        <w:rPr>
          <w:rFonts w:ascii="Narkisim" w:hAnsi="Narkisim"/>
          <w:rtl/>
        </w:rPr>
        <w:t>וכו'. [כ"ז מדברי רש"י בנדה</w:t>
      </w:r>
      <w:r w:rsidRPr="00AF1DC8">
        <w:rPr>
          <w:rStyle w:val="ac"/>
          <w:rFonts w:ascii="Narkisim" w:hAnsi="Narkisim"/>
          <w:rtl/>
        </w:rPr>
        <w:footnoteReference w:id="2885"/>
      </w:r>
      <w:r w:rsidRPr="00AF1DC8">
        <w:rPr>
          <w:rFonts w:ascii="Narkisim" w:hAnsi="Narkisim"/>
          <w:rtl/>
        </w:rPr>
        <w:t>]. ה</w:t>
      </w:r>
      <w:r w:rsidRPr="00AF1DC8">
        <w:rPr>
          <w:rFonts w:ascii="Narkisim" w:hAnsi="Narkisim"/>
          <w:b/>
          <w:bCs/>
          <w:rtl/>
        </w:rPr>
        <w:t>פרמ"ג</w:t>
      </w:r>
      <w:r w:rsidRPr="00AF1DC8">
        <w:rPr>
          <w:rFonts w:ascii="Narkisim" w:hAnsi="Narkisim"/>
          <w:rtl/>
        </w:rPr>
        <w:t xml:space="preserve"> (פתיחה ב טז, וע' צל"ח ברכות כ:) כת' דנפק"מ היכא דהגר כבר יצא יד"ח, אינו יכול להוציא ישראל ידי חובתו</w:t>
      </w:r>
      <w:r w:rsidRPr="00AF1DC8">
        <w:rPr>
          <w:rFonts w:ascii="Narkisim" w:hAnsi="Narkisim"/>
        </w:rPr>
        <w:t>.</w:t>
      </w:r>
    </w:p>
    <w:p w14:paraId="1B911CAB"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דבגמ' (סוטה שם) לא הוזכר אף מנין הנשים, ולפ"ז אין ערבות אף לנשים</w:t>
      </w:r>
      <w:r w:rsidRPr="00AF1DC8">
        <w:rPr>
          <w:rStyle w:val="ac"/>
          <w:rFonts w:ascii="Narkisim" w:hAnsi="Narkisim"/>
          <w:rtl/>
        </w:rPr>
        <w:footnoteReference w:id="2886"/>
      </w:r>
      <w:r w:rsidRPr="00AF1DC8">
        <w:rPr>
          <w:rFonts w:ascii="Narkisim" w:hAnsi="Narkisim"/>
        </w:rPr>
        <w:t xml:space="preserve">. </w:t>
      </w:r>
      <w:r w:rsidRPr="00AF1DC8">
        <w:rPr>
          <w:rFonts w:ascii="Narkisim" w:hAnsi="Narkisim"/>
          <w:rtl/>
        </w:rPr>
        <w:t>ועוה"ק ה</w:t>
      </w:r>
      <w:r w:rsidRPr="00AF1DC8">
        <w:rPr>
          <w:rFonts w:ascii="Narkisim" w:hAnsi="Narkisim"/>
          <w:b/>
          <w:bCs/>
          <w:rtl/>
        </w:rPr>
        <w:t>צל"ח</w:t>
      </w:r>
      <w:r w:rsidRPr="00AF1DC8">
        <w:rPr>
          <w:rFonts w:ascii="Narkisim" w:hAnsi="Narkisim"/>
          <w:rtl/>
        </w:rPr>
        <w:t xml:space="preserve"> דלא הוזכרו שם מנין הכהנים ולויים</w:t>
      </w:r>
      <w:r w:rsidRPr="00AF1DC8">
        <w:rPr>
          <w:rStyle w:val="ac"/>
          <w:rFonts w:ascii="Narkisim" w:hAnsi="Narkisim"/>
          <w:rtl/>
        </w:rPr>
        <w:footnoteReference w:id="2887"/>
      </w:r>
      <w:r w:rsidRPr="00AF1DC8">
        <w:rPr>
          <w:rFonts w:ascii="Narkisim" w:hAnsi="Narkisim"/>
        </w:rPr>
        <w:t xml:space="preserve">, </w:t>
      </w:r>
      <w:r w:rsidRPr="00AF1DC8">
        <w:rPr>
          <w:rFonts w:ascii="Narkisim" w:hAnsi="Narkisim"/>
          <w:rtl/>
        </w:rPr>
        <w:t>וכי נימא דכהנים ולויים אינם בכלל ערבות</w:t>
      </w:r>
      <w:r w:rsidRPr="00AF1DC8">
        <w:rPr>
          <w:rFonts w:ascii="Narkisim" w:hAnsi="Narkisim"/>
        </w:rPr>
        <w:t>.</w:t>
      </w:r>
    </w:p>
    <w:p w14:paraId="2905903C" w14:textId="77777777" w:rsidR="006074A5" w:rsidRPr="00AF1DC8" w:rsidRDefault="006074A5" w:rsidP="006074A5">
      <w:pPr>
        <w:pStyle w:val="aa"/>
        <w:bidi/>
        <w:rPr>
          <w:rFonts w:ascii="Narkisim" w:hAnsi="Narkisim"/>
        </w:rPr>
      </w:pPr>
      <w:r w:rsidRPr="00AF1DC8">
        <w:rPr>
          <w:rFonts w:ascii="Narkisim" w:hAnsi="Narkisim"/>
          <w:u w:val="single"/>
          <w:rtl/>
        </w:rPr>
        <w:t>בא"ד ועי"ל וכו' ואין שכינה שורה אלא על משפחות מיוחסות מישראל</w:t>
      </w:r>
      <w:r w:rsidRPr="00AF1DC8">
        <w:rPr>
          <w:rFonts w:ascii="Narkisim" w:hAnsi="Narkisim"/>
          <w:rtl/>
        </w:rPr>
        <w:t>. משמע דאין השכינה שורה על בני גרים. וה</w:t>
      </w:r>
      <w:r w:rsidRPr="00AF1DC8">
        <w:rPr>
          <w:rFonts w:ascii="Narkisim" w:hAnsi="Narkisim"/>
          <w:b/>
          <w:bCs/>
          <w:rtl/>
        </w:rPr>
        <w:t>תוס' רא"ש</w:t>
      </w:r>
      <w:r w:rsidRPr="00AF1DC8">
        <w:rPr>
          <w:rFonts w:ascii="Narkisim" w:hAnsi="Narkisim"/>
          <w:rtl/>
        </w:rPr>
        <w:t xml:space="preserve"> (קידו' ע:) חלק דגר ראוי שתשרה עליו שכינה, דעובדיה הי' גר עמוני (סנהדרין לט:). [וע' רש"י סנהדרין שם]. והתוס' רא"ש כת' דמשפחות מיוחסות הוה לאפוקי משפחות שיש בהם פגם [וצד איסור]. ע' מהרי"ט (שם)</w:t>
      </w:r>
      <w:r w:rsidRPr="00AF1DC8">
        <w:rPr>
          <w:rFonts w:ascii="Narkisim" w:hAnsi="Narkisim"/>
        </w:rPr>
        <w:t>.</w:t>
      </w:r>
    </w:p>
    <w:p w14:paraId="557B058B" w14:textId="77777777" w:rsidR="006074A5" w:rsidRPr="00AF1DC8" w:rsidRDefault="006074A5" w:rsidP="006074A5">
      <w:pPr>
        <w:pStyle w:val="aa"/>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(קידושין ע:) הביאו י"מ דישראל מפוזרין בכל הארצות כדי שיתווספו עליהם גרים. ותוס' דחו דאדרבה בסוגיין אמרי' מה ראית שבאת וכו' כדי שיפרוש, משום דקשין כספחת. [ומש"ה יש לדחותו]</w:t>
      </w:r>
      <w:r w:rsidRPr="00AF1DC8">
        <w:rPr>
          <w:rFonts w:ascii="Narkisim" w:hAnsi="Narkisim"/>
        </w:rPr>
        <w:t>.</w:t>
      </w:r>
    </w:p>
    <w:p w14:paraId="6B9084BA"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יג יח) כת' דאיירי כאן בגרים שמתגיירין בשביל דבר אחר (ע' לעיל כד:), ומטעין את ישראל, וקשה הדבר לפרוש מהם אחר שנתגיירו</w:t>
      </w:r>
      <w:r w:rsidRPr="00AF1DC8">
        <w:rPr>
          <w:rStyle w:val="ac"/>
          <w:rFonts w:ascii="Narkisim" w:hAnsi="Narkisim"/>
          <w:rtl/>
        </w:rPr>
        <w:footnoteReference w:id="2888"/>
      </w:r>
      <w:r w:rsidRPr="00AF1DC8">
        <w:rPr>
          <w:rFonts w:ascii="Narkisim" w:hAnsi="Narkisim"/>
        </w:rPr>
        <w:t>.</w:t>
      </w:r>
    </w:p>
    <w:p w14:paraId="2240CE9B" w14:textId="77777777" w:rsidR="006074A5" w:rsidRPr="00AF1DC8" w:rsidRDefault="006074A5" w:rsidP="006074A5">
      <w:pPr>
        <w:pStyle w:val="aa"/>
        <w:bidi/>
        <w:rPr>
          <w:rFonts w:ascii="Narkisim" w:hAnsi="Narkisim"/>
        </w:rPr>
      </w:pPr>
      <w:r w:rsidRPr="00AF1DC8">
        <w:rPr>
          <w:rFonts w:ascii="Narkisim" w:hAnsi="Narkisim"/>
          <w:u w:val="single"/>
          <w:rtl/>
        </w:rPr>
        <w:t>רש"י ד"ה ומודיעין.</w:t>
      </w:r>
      <w:r w:rsidRPr="00AF1DC8">
        <w:rPr>
          <w:rFonts w:ascii="Narkisim" w:hAnsi="Narkisim"/>
          <w:rtl/>
        </w:rPr>
        <w:t xml:space="preserve"> דעכו"ם מקפיד על פחות מש"פ, ולגבי ישראל הויא מחילה. משמע דיש כאן ב' סברות. ומבואר בגמ' (ע”ז עא) דעכו"ם שגזל ישראל חייב. ואף דכלפי ישראל הוה מחילה, דאיכא צערא בשעתה. אבל ישראל שגזל פמש"פ מעכו"ם פטור [אף דלא מחיל], דהוה פחות מכשיעור</w:t>
      </w:r>
      <w:r w:rsidRPr="00AF1DC8">
        <w:rPr>
          <w:rStyle w:val="ac"/>
          <w:rFonts w:ascii="Narkisim" w:hAnsi="Narkisim"/>
          <w:rtl/>
        </w:rPr>
        <w:footnoteReference w:id="2889"/>
      </w:r>
      <w:r w:rsidRPr="00AF1DC8">
        <w:rPr>
          <w:rFonts w:ascii="Narkisim" w:hAnsi="Narkisim"/>
        </w:rPr>
        <w:t>.</w:t>
      </w:r>
    </w:p>
    <w:p w14:paraId="2B42CDAD" w14:textId="77777777" w:rsidR="006074A5" w:rsidRPr="00AF1DC8" w:rsidRDefault="006074A5" w:rsidP="006074A5">
      <w:pPr>
        <w:bidi/>
        <w:rPr>
          <w:rFonts w:ascii="Narkisim" w:hAnsi="Narkisim" w:cs="Narkisim"/>
        </w:rPr>
      </w:pPr>
      <w:r w:rsidRPr="00AF1DC8">
        <w:rPr>
          <w:rFonts w:ascii="Narkisim" w:hAnsi="Narkisim" w:cs="Narkisim"/>
          <w:u w:val="single"/>
          <w:rtl/>
        </w:rPr>
        <w:t>רש"י ד"ה ולא ניתן להשבון.</w:t>
      </w:r>
      <w:r w:rsidRPr="00AF1DC8">
        <w:rPr>
          <w:rFonts w:ascii="Narkisim" w:hAnsi="Narkisim" w:cs="Narkisim"/>
          <w:rtl/>
        </w:rPr>
        <w:t xml:space="preserve"> אלא נהרג, דגבי ישראל כתיב והשיב. </w:t>
      </w:r>
      <w:r w:rsidRPr="00AF1DC8">
        <w:rPr>
          <w:rFonts w:ascii="Narkisim" w:hAnsi="Narkisim" w:cs="Narkisim"/>
          <w:b/>
          <w:bCs/>
          <w:rtl/>
        </w:rPr>
        <w:t>תוס</w:t>
      </w:r>
      <w:r w:rsidRPr="00AF1DC8">
        <w:rPr>
          <w:rFonts w:ascii="Narkisim" w:hAnsi="Narkisim" w:cs="Narkisim"/>
          <w:rtl/>
        </w:rPr>
        <w:t xml:space="preserve">' (ע"ז עא: ד"ה בן) הביאו בשם </w:t>
      </w:r>
      <w:r w:rsidRPr="00AF1DC8">
        <w:rPr>
          <w:rFonts w:ascii="Narkisim" w:hAnsi="Narkisim" w:cs="Narkisim"/>
          <w:b/>
          <w:bCs/>
          <w:rtl/>
        </w:rPr>
        <w:t>רש</w:t>
      </w:r>
      <w:r w:rsidRPr="00AF1DC8">
        <w:rPr>
          <w:rFonts w:ascii="Narkisim" w:hAnsi="Narkisim" w:cs="Narkisim"/>
          <w:rtl/>
        </w:rPr>
        <w:t>"י דקים ליה בדרבה מיניה</w:t>
      </w:r>
      <w:r w:rsidRPr="00AF1DC8">
        <w:rPr>
          <w:rStyle w:val="ac"/>
          <w:rFonts w:ascii="Narkisim" w:hAnsi="Narkisim" w:cs="Narkisim"/>
          <w:rtl/>
        </w:rPr>
        <w:footnoteReference w:id="2890"/>
      </w:r>
      <w:r w:rsidRPr="00AF1DC8">
        <w:rPr>
          <w:rFonts w:ascii="Narkisim" w:hAnsi="Narkisim" w:cs="Narkisim"/>
        </w:rPr>
        <w:t xml:space="preserve">. </w:t>
      </w:r>
      <w:r w:rsidRPr="00AF1DC8">
        <w:rPr>
          <w:rFonts w:ascii="Narkisim" w:hAnsi="Narkisim" w:cs="Narkisim"/>
          <w:sz w:val="20"/>
          <w:szCs w:val="20"/>
          <w:rtl/>
        </w:rPr>
        <w:t>[ולפ"ז מש"כ רש"י דגבי ישראל כתיב והשיב הוה תי'. אך לכאורה משמע דהוה טעם בפנ"ע, וכ"מ ב</w:t>
      </w:r>
      <w:r w:rsidRPr="00AF1DC8">
        <w:rPr>
          <w:rFonts w:ascii="Narkisim" w:hAnsi="Narkisim" w:cs="Narkisim"/>
          <w:b/>
          <w:bCs/>
          <w:sz w:val="20"/>
          <w:szCs w:val="20"/>
          <w:rtl/>
        </w:rPr>
        <w:t>רש"י</w:t>
      </w:r>
      <w:r w:rsidRPr="00AF1DC8">
        <w:rPr>
          <w:rFonts w:ascii="Narkisim" w:hAnsi="Narkisim" w:cs="Narkisim"/>
          <w:sz w:val="20"/>
          <w:szCs w:val="20"/>
          <w:rtl/>
        </w:rPr>
        <w:t xml:space="preserve"> (סנהדרין נז.) דאינו להשבון, שכל דינו למיתה. דהא דחייב מיתה הוה סימן דלא נאמר והשיב אצל עכו"ם. ולא תליא בדין קלב"מ]</w:t>
      </w:r>
      <w:r w:rsidRPr="00AF1DC8">
        <w:rPr>
          <w:rFonts w:ascii="Narkisim" w:hAnsi="Narkisim" w:cs="Narkisim"/>
        </w:rPr>
        <w:t>.</w:t>
      </w:r>
    </w:p>
    <w:p w14:paraId="3CD9369F"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w:t>
      </w:r>
      <w:r w:rsidRPr="00AF1DC8">
        <w:rPr>
          <w:rFonts w:ascii="Narkisim" w:hAnsi="Narkisim"/>
          <w:sz w:val="20"/>
          <w:szCs w:val="20"/>
          <w:rtl/>
        </w:rPr>
        <w:t xml:space="preserve">עירובין סב. ד"ה בן) </w:t>
      </w:r>
      <w:r w:rsidRPr="00AF1DC8">
        <w:rPr>
          <w:rFonts w:ascii="Narkisim" w:hAnsi="Narkisim"/>
          <w:rtl/>
        </w:rPr>
        <w:t xml:space="preserve">כת' דכיון דאינו ש”פ הישראל מחל, ואי”צ להחזיר </w:t>
      </w:r>
      <w:r w:rsidRPr="00AF1DC8">
        <w:rPr>
          <w:rFonts w:ascii="Narkisim" w:hAnsi="Narkisim"/>
          <w:sz w:val="20"/>
          <w:szCs w:val="20"/>
          <w:rtl/>
        </w:rPr>
        <w:t>[אבל בפרוטה צריך לשלם, וכן בגזל מעכו”ם</w:t>
      </w:r>
      <w:r w:rsidRPr="00AF1DC8">
        <w:rPr>
          <w:rStyle w:val="ac"/>
          <w:rFonts w:ascii="Narkisim" w:hAnsi="Narkisim"/>
          <w:sz w:val="20"/>
          <w:szCs w:val="20"/>
          <w:rtl/>
        </w:rPr>
        <w:footnoteReference w:id="2891"/>
      </w:r>
      <w:r w:rsidRPr="00AF1DC8">
        <w:rPr>
          <w:rFonts w:ascii="Narkisim" w:hAnsi="Narkisim"/>
          <w:sz w:val="20"/>
          <w:szCs w:val="20"/>
          <w:rtl/>
        </w:rPr>
        <w:t>]</w:t>
      </w:r>
      <w:r w:rsidRPr="00AF1DC8">
        <w:rPr>
          <w:rFonts w:ascii="Narkisim" w:hAnsi="Narkisim"/>
        </w:rPr>
        <w:t>.</w:t>
      </w:r>
    </w:p>
    <w:p w14:paraId="74114441"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ריטב"א </w:t>
      </w:r>
      <w:r w:rsidRPr="00AF1DC8">
        <w:rPr>
          <w:rFonts w:ascii="Narkisim" w:hAnsi="Narkisim"/>
          <w:rtl/>
        </w:rPr>
        <w:t xml:space="preserve">כת' דלא מיתקן לאויה כי היכי דמתקן בישראל. </w:t>
      </w:r>
      <w:r w:rsidRPr="00AF1DC8">
        <w:rPr>
          <w:rFonts w:ascii="Narkisim" w:hAnsi="Narkisim"/>
          <w:sz w:val="20"/>
          <w:szCs w:val="20"/>
          <w:rtl/>
        </w:rPr>
        <w:t>[ומשמע קצת דחייב להחזיר, אלא דלא מיתקן לאויה, וצ”ע]</w:t>
      </w:r>
      <w:r w:rsidRPr="00AF1DC8">
        <w:rPr>
          <w:rFonts w:ascii="Narkisim" w:hAnsi="Narkisim"/>
          <w:sz w:val="20"/>
          <w:szCs w:val="20"/>
        </w:rPr>
        <w:t>.</w:t>
      </w:r>
    </w:p>
    <w:p w14:paraId="5574714A" w14:textId="77777777" w:rsidR="006074A5" w:rsidRPr="00AF1DC8" w:rsidRDefault="006074A5" w:rsidP="006074A5">
      <w:pPr>
        <w:pStyle w:val="aa"/>
        <w:bidi/>
        <w:rPr>
          <w:rFonts w:ascii="Narkisim" w:hAnsi="Narkisim"/>
        </w:rPr>
      </w:pPr>
      <w:r w:rsidRPr="00AF1DC8">
        <w:rPr>
          <w:rFonts w:ascii="Narkisim" w:hAnsi="Narkisim"/>
          <w:u w:val="single"/>
          <w:rtl/>
        </w:rPr>
        <w:t>אסיר לן תחום שבת.</w:t>
      </w:r>
      <w:r w:rsidRPr="00AF1DC8">
        <w:rPr>
          <w:rFonts w:ascii="Narkisim" w:hAnsi="Narkisim"/>
          <w:rtl/>
        </w:rPr>
        <w:t xml:space="preserve"> ה</w:t>
      </w:r>
      <w:r w:rsidRPr="00AF1DC8">
        <w:rPr>
          <w:rFonts w:ascii="Narkisim" w:hAnsi="Narkisim"/>
          <w:b/>
          <w:bCs/>
          <w:rtl/>
        </w:rPr>
        <w:t>מהרצ"ח</w:t>
      </w:r>
      <w:r w:rsidRPr="00AF1DC8">
        <w:rPr>
          <w:rFonts w:ascii="Narkisim" w:hAnsi="Narkisim"/>
          <w:rtl/>
        </w:rPr>
        <w:t xml:space="preserve"> הביא מדברי ה</w:t>
      </w:r>
      <w:r w:rsidRPr="00AF1DC8">
        <w:rPr>
          <w:rFonts w:ascii="Narkisim" w:hAnsi="Narkisim"/>
          <w:b/>
          <w:bCs/>
          <w:rtl/>
        </w:rPr>
        <w:t>תרגום</w:t>
      </w:r>
      <w:r w:rsidRPr="00AF1DC8">
        <w:rPr>
          <w:rFonts w:ascii="Narkisim" w:hAnsi="Narkisim"/>
          <w:rtl/>
        </w:rPr>
        <w:t xml:space="preserve"> (רות) דאסור יותר מאלפיים. והביא דלפ”ז הזכיר איסור דרבנן. וכת' דלולי דברי התרגום היה אפ"ל דקאי כמ"ד (ע' ראשונים עירובין יז:) דתחום י"ב מיל הוה דאורייתא</w:t>
      </w:r>
      <w:r w:rsidRPr="00AF1DC8">
        <w:rPr>
          <w:rFonts w:ascii="Narkisim" w:hAnsi="Narkisim"/>
        </w:rPr>
        <w:t>.</w:t>
      </w:r>
    </w:p>
    <w:p w14:paraId="6F2B1180" w14:textId="77777777" w:rsidR="006074A5" w:rsidRPr="00AF1DC8" w:rsidRDefault="006074A5" w:rsidP="006074A5">
      <w:pPr>
        <w:pStyle w:val="aa"/>
        <w:bidi/>
        <w:rPr>
          <w:rFonts w:ascii="Narkisim" w:hAnsi="Narkisim"/>
        </w:rPr>
      </w:pPr>
      <w:r w:rsidRPr="00AF1DC8">
        <w:rPr>
          <w:rFonts w:ascii="Narkisim" w:hAnsi="Narkisim"/>
          <w:u w:val="single"/>
          <w:rtl/>
        </w:rPr>
        <w:t>אסיר לן יחוד</w:t>
      </w:r>
      <w:r w:rsidRPr="00AF1DC8">
        <w:rPr>
          <w:rFonts w:ascii="Narkisim" w:hAnsi="Narkisim"/>
          <w:rtl/>
        </w:rPr>
        <w:t>. ה</w:t>
      </w:r>
      <w:r w:rsidRPr="00AF1DC8">
        <w:rPr>
          <w:rFonts w:ascii="Narkisim" w:hAnsi="Narkisim"/>
          <w:b/>
          <w:bCs/>
          <w:rtl/>
        </w:rPr>
        <w:t xml:space="preserve">מהרצ"ח </w:t>
      </w:r>
      <w:r w:rsidRPr="00AF1DC8">
        <w:rPr>
          <w:rFonts w:ascii="Narkisim" w:hAnsi="Narkisim"/>
          <w:rtl/>
        </w:rPr>
        <w:t>כת' דלכאו' אפ"ל דקאי באיסור יחוד קרובים דהוה מדאורייתא. אך מבואר ב</w:t>
      </w:r>
      <w:r w:rsidRPr="00AF1DC8">
        <w:rPr>
          <w:rFonts w:ascii="Narkisim" w:hAnsi="Narkisim"/>
          <w:b/>
          <w:bCs/>
          <w:rtl/>
        </w:rPr>
        <w:t>תרגום</w:t>
      </w:r>
      <w:r w:rsidRPr="00AF1DC8">
        <w:rPr>
          <w:rFonts w:ascii="Narkisim" w:hAnsi="Narkisim"/>
          <w:rtl/>
        </w:rPr>
        <w:t xml:space="preserve"> </w:t>
      </w:r>
      <w:r w:rsidRPr="00AF1DC8">
        <w:rPr>
          <w:rFonts w:ascii="Narkisim" w:hAnsi="Narkisim"/>
          <w:rtl/>
        </w:rPr>
        <w:lastRenderedPageBreak/>
        <w:t>(שם) דהיינו להתייחד עם עכו"ם, דאסור מדרבנן</w:t>
      </w:r>
      <w:r w:rsidRPr="00AF1DC8">
        <w:rPr>
          <w:rStyle w:val="ac"/>
          <w:rFonts w:ascii="Narkisim" w:hAnsi="Narkisim"/>
          <w:rtl/>
        </w:rPr>
        <w:footnoteReference w:id="2892"/>
      </w:r>
      <w:r w:rsidRPr="00AF1DC8">
        <w:rPr>
          <w:rFonts w:ascii="Narkisim" w:hAnsi="Narkisim"/>
        </w:rPr>
        <w:t xml:space="preserve">. </w:t>
      </w:r>
      <w:r w:rsidRPr="00AF1DC8">
        <w:rPr>
          <w:rFonts w:ascii="Narkisim" w:hAnsi="Narkisim"/>
          <w:rtl/>
        </w:rPr>
        <w:t>דיש דין להודיע אף דינים דרבנן</w:t>
      </w:r>
      <w:r w:rsidRPr="00AF1DC8">
        <w:rPr>
          <w:rStyle w:val="ac"/>
          <w:rFonts w:ascii="Narkisim" w:hAnsi="Narkisim"/>
          <w:rtl/>
        </w:rPr>
        <w:footnoteReference w:id="2893"/>
      </w:r>
      <w:r w:rsidRPr="00AF1DC8">
        <w:rPr>
          <w:rFonts w:ascii="Narkisim" w:hAnsi="Narkisim"/>
        </w:rPr>
        <w:t>.</w:t>
      </w:r>
    </w:p>
    <w:p w14:paraId="624B51BC" w14:textId="77777777" w:rsidR="006074A5" w:rsidRPr="00AF1DC8" w:rsidRDefault="006074A5" w:rsidP="006074A5">
      <w:pPr>
        <w:pStyle w:val="aa"/>
        <w:bidi/>
        <w:rPr>
          <w:rFonts w:ascii="Narkisim" w:hAnsi="Narkisim"/>
        </w:rPr>
      </w:pPr>
      <w:r w:rsidRPr="00AF1DC8">
        <w:rPr>
          <w:rFonts w:ascii="Narkisim" w:hAnsi="Narkisim"/>
          <w:u w:val="single"/>
          <w:rtl/>
        </w:rPr>
        <w:t>אסיר לן ע"ז</w:t>
      </w:r>
      <w:r w:rsidRPr="00AF1DC8">
        <w:rPr>
          <w:rStyle w:val="ac"/>
          <w:rFonts w:ascii="Narkisim" w:hAnsi="Narkisim"/>
          <w:u w:val="single"/>
          <w:rtl/>
        </w:rPr>
        <w:footnoteReference w:id="2894"/>
      </w:r>
      <w:r w:rsidRPr="00AF1DC8">
        <w:rPr>
          <w:rFonts w:ascii="Narkisim" w:hAnsi="Narkisim"/>
          <w:u w:val="single"/>
        </w:rPr>
        <w:t>.</w:t>
      </w:r>
      <w:r w:rsidRPr="00AF1DC8">
        <w:rPr>
          <w:rFonts w:ascii="Narkisim" w:hAnsi="Narkisim"/>
        </w:rPr>
        <w:t xml:space="preserve"> </w:t>
      </w:r>
      <w:r w:rsidRPr="00AF1DC8">
        <w:rPr>
          <w:rFonts w:ascii="Narkisim" w:hAnsi="Narkisim"/>
          <w:rtl/>
        </w:rPr>
        <w:t>ה</w:t>
      </w:r>
      <w:r w:rsidRPr="00AF1DC8">
        <w:rPr>
          <w:rFonts w:ascii="Narkisim" w:hAnsi="Narkisim"/>
          <w:b/>
          <w:bCs/>
          <w:rtl/>
        </w:rPr>
        <w:t>אחרונים</w:t>
      </w:r>
      <w:r w:rsidRPr="00AF1DC8">
        <w:rPr>
          <w:rFonts w:ascii="Narkisim" w:hAnsi="Narkisim"/>
          <w:rtl/>
        </w:rPr>
        <w:t xml:space="preserve"> הקשו דאף עכו"ם מצווה בע”ז. ודנו כמה נפק"מ בין דין בן נח לדין ישראל. [ע' מצפ"א]</w:t>
      </w:r>
      <w:r w:rsidRPr="00AF1DC8">
        <w:rPr>
          <w:rFonts w:ascii="Narkisim" w:hAnsi="Narkisim"/>
        </w:rPr>
        <w:t>.</w:t>
      </w:r>
    </w:p>
    <w:p w14:paraId="7E8B8B69" w14:textId="77777777" w:rsidR="006074A5" w:rsidRPr="00AF1DC8" w:rsidRDefault="006074A5" w:rsidP="006074A5">
      <w:pPr>
        <w:pStyle w:val="aa"/>
        <w:bidi/>
        <w:rPr>
          <w:rFonts w:ascii="Narkisim" w:hAnsi="Narkisim"/>
        </w:rPr>
      </w:pPr>
      <w:r w:rsidRPr="00AF1DC8">
        <w:rPr>
          <w:rFonts w:ascii="Narkisim" w:hAnsi="Narkisim"/>
          <w:u w:val="single"/>
          <w:rtl/>
        </w:rPr>
        <w:t>מפקדינן תרי"ג מצוות</w:t>
      </w:r>
      <w:r w:rsidRPr="00AF1DC8">
        <w:rPr>
          <w:rStyle w:val="ac"/>
          <w:rFonts w:ascii="Narkisim" w:hAnsi="Narkisim"/>
          <w:u w:val="single"/>
          <w:rtl/>
        </w:rPr>
        <w:footnoteReference w:id="2895"/>
      </w:r>
      <w:r w:rsidRPr="00AF1DC8">
        <w:rPr>
          <w:rFonts w:ascii="Narkisim" w:hAnsi="Narkisim"/>
          <w:u w:val="single"/>
        </w:rPr>
        <w:t xml:space="preserve"> </w:t>
      </w:r>
      <w:r w:rsidRPr="00AF1DC8">
        <w:rPr>
          <w:rFonts w:ascii="Narkisim" w:hAnsi="Narkisim"/>
          <w:u w:val="single"/>
          <w:rtl/>
        </w:rPr>
        <w:t>וכו'</w:t>
      </w:r>
      <w:r w:rsidRPr="00AF1DC8">
        <w:rPr>
          <w:rFonts w:ascii="Narkisim" w:hAnsi="Narkisim"/>
          <w:rtl/>
        </w:rPr>
        <w:t>. ה</w:t>
      </w:r>
      <w:r w:rsidRPr="00AF1DC8">
        <w:rPr>
          <w:rFonts w:ascii="Narkisim" w:hAnsi="Narkisim"/>
          <w:b/>
          <w:bCs/>
          <w:rtl/>
        </w:rPr>
        <w:t>מצפ"א</w:t>
      </w:r>
      <w:r w:rsidRPr="00AF1DC8">
        <w:rPr>
          <w:rFonts w:ascii="Narkisim" w:hAnsi="Narkisim"/>
          <w:rtl/>
        </w:rPr>
        <w:t xml:space="preserve"> הק' דנשים אינן מצוות בכל תרי"ג המצוות, א”כ אמאי אמר כן לרות. ותי' דמחוייבות בדין תוכחה לאנשים</w:t>
      </w:r>
      <w:r w:rsidRPr="00AF1DC8">
        <w:rPr>
          <w:rStyle w:val="ac"/>
          <w:rFonts w:ascii="Narkisim" w:hAnsi="Narkisim"/>
          <w:rtl/>
        </w:rPr>
        <w:footnoteReference w:id="2896"/>
      </w:r>
      <w:r w:rsidRPr="00AF1DC8">
        <w:rPr>
          <w:rFonts w:ascii="Narkisim" w:hAnsi="Narkisim"/>
        </w:rPr>
        <w:t>.</w:t>
      </w:r>
    </w:p>
    <w:p w14:paraId="4A702D7C" w14:textId="77777777" w:rsidR="006074A5" w:rsidRPr="00AF1DC8" w:rsidRDefault="006074A5" w:rsidP="006074A5">
      <w:pPr>
        <w:pStyle w:val="aa"/>
        <w:bidi/>
        <w:rPr>
          <w:rFonts w:ascii="Narkisim" w:hAnsi="Narkisim"/>
        </w:rPr>
      </w:pPr>
      <w:r w:rsidRPr="00AF1DC8">
        <w:rPr>
          <w:rFonts w:ascii="Narkisim" w:hAnsi="Narkisim"/>
          <w:u w:val="single"/>
          <w:rtl/>
        </w:rPr>
        <w:t>מ”ט שהויו מצווה לא משהי'.</w:t>
      </w:r>
      <w:r w:rsidRPr="00AF1DC8">
        <w:rPr>
          <w:rFonts w:ascii="Narkisim" w:hAnsi="Narkisim"/>
          <w:rtl/>
        </w:rPr>
        <w:t xml:space="preserve"> ה</w:t>
      </w:r>
      <w:r w:rsidRPr="00AF1DC8">
        <w:rPr>
          <w:rFonts w:ascii="Narkisim" w:hAnsi="Narkisim"/>
          <w:b/>
          <w:bCs/>
          <w:rtl/>
        </w:rPr>
        <w:t>אחרונים</w:t>
      </w:r>
      <w:r w:rsidRPr="00AF1DC8">
        <w:rPr>
          <w:rFonts w:ascii="Narkisim" w:hAnsi="Narkisim"/>
          <w:rtl/>
        </w:rPr>
        <w:t xml:space="preserve"> הקשו על מי מוטל המצוה, דקודם שנתגייר אינו חייב במצוות</w:t>
      </w:r>
      <w:r w:rsidRPr="00AF1DC8">
        <w:rPr>
          <w:rStyle w:val="ac"/>
          <w:rFonts w:ascii="Narkisim" w:hAnsi="Narkisim"/>
          <w:rtl/>
        </w:rPr>
        <w:footnoteReference w:id="2897"/>
      </w:r>
      <w:r w:rsidRPr="00AF1DC8">
        <w:rPr>
          <w:rFonts w:ascii="Narkisim" w:hAnsi="Narkisim"/>
        </w:rPr>
        <w:t xml:space="preserve">. </w:t>
      </w:r>
      <w:r w:rsidRPr="00AF1DC8">
        <w:rPr>
          <w:rFonts w:ascii="Narkisim" w:hAnsi="Narkisim"/>
          <w:rtl/>
        </w:rPr>
        <w:t>וה</w:t>
      </w:r>
      <w:r w:rsidRPr="00AF1DC8">
        <w:rPr>
          <w:rFonts w:ascii="Narkisim" w:hAnsi="Narkisim"/>
          <w:b/>
          <w:bCs/>
          <w:rtl/>
        </w:rPr>
        <w:t>רשב"ץ</w:t>
      </w:r>
      <w:r w:rsidRPr="00AF1DC8">
        <w:rPr>
          <w:rFonts w:ascii="Narkisim" w:hAnsi="Narkisim"/>
          <w:rtl/>
        </w:rPr>
        <w:t xml:space="preserve"> (ס' זוהר הרקיע עשין מ) הביא מכאן דיש מצוה על בי"ד לקבל גרים</w:t>
      </w:r>
      <w:r w:rsidRPr="00AF1DC8">
        <w:rPr>
          <w:rFonts w:ascii="Narkisim" w:hAnsi="Narkisim"/>
        </w:rPr>
        <w:t>.</w:t>
      </w:r>
    </w:p>
    <w:p w14:paraId="4C8DCF14" w14:textId="77777777" w:rsidR="006074A5" w:rsidRPr="00AF1DC8" w:rsidRDefault="006074A5" w:rsidP="006074A5">
      <w:pPr>
        <w:pStyle w:val="a7"/>
        <w:bidi/>
        <w:rPr>
          <w:rFonts w:ascii="Narkisim" w:hAnsi="Narkisim"/>
        </w:rPr>
      </w:pPr>
      <w:r w:rsidRPr="00AF1DC8">
        <w:rPr>
          <w:rFonts w:ascii="Narkisim" w:hAnsi="Narkisim"/>
          <w:rtl/>
        </w:rPr>
        <w:t>ה</w:t>
      </w:r>
      <w:r w:rsidRPr="00AF1DC8">
        <w:rPr>
          <w:rFonts w:ascii="Narkisim" w:hAnsi="Narkisim"/>
          <w:b/>
          <w:bCs/>
          <w:rtl/>
        </w:rPr>
        <w:t>גר"א</w:t>
      </w:r>
      <w:r w:rsidRPr="00AF1DC8">
        <w:rPr>
          <w:rFonts w:ascii="Narkisim" w:hAnsi="Narkisim"/>
          <w:sz w:val="20"/>
          <w:szCs w:val="20"/>
          <w:rtl/>
        </w:rPr>
        <w:t xml:space="preserve"> (יו”ד שה יח)</w:t>
      </w:r>
      <w:r w:rsidRPr="00AF1DC8">
        <w:rPr>
          <w:rFonts w:ascii="Narkisim" w:hAnsi="Narkisim"/>
          <w:rtl/>
        </w:rPr>
        <w:t xml:space="preserve"> ציין מכאן גבי פדיון הבן, דאחר ל' יום יפדנו מיד שלא ישהה המצוה. וכן גבי פדיון פטר חמור </w:t>
      </w:r>
      <w:r w:rsidRPr="00AF1DC8">
        <w:rPr>
          <w:rFonts w:ascii="Narkisim" w:hAnsi="Narkisim"/>
          <w:szCs w:val="20"/>
          <w:rtl/>
        </w:rPr>
        <w:t xml:space="preserve">(שם </w:t>
      </w:r>
      <w:r w:rsidRPr="00AF1DC8">
        <w:rPr>
          <w:rFonts w:ascii="Narkisim" w:hAnsi="Narkisim"/>
          <w:sz w:val="20"/>
          <w:szCs w:val="20"/>
          <w:rtl/>
        </w:rPr>
        <w:t>שכא ג)</w:t>
      </w:r>
      <w:r w:rsidRPr="00AF1DC8">
        <w:rPr>
          <w:rStyle w:val="ac"/>
          <w:rFonts w:ascii="Narkisim" w:hAnsi="Narkisim"/>
          <w:rtl/>
        </w:rPr>
        <w:footnoteReference w:id="2898"/>
      </w:r>
      <w:r w:rsidRPr="00AF1DC8">
        <w:rPr>
          <w:rFonts w:ascii="Narkisim" w:hAnsi="Narkisim"/>
        </w:rPr>
        <w:t xml:space="preserve">. </w:t>
      </w:r>
      <w:r w:rsidRPr="00AF1DC8">
        <w:rPr>
          <w:rFonts w:ascii="Narkisim" w:hAnsi="Narkisim"/>
          <w:rtl/>
        </w:rPr>
        <w:t xml:space="preserve">אבל לגבי מילה </w:t>
      </w:r>
      <w:r w:rsidRPr="00AF1DC8">
        <w:rPr>
          <w:rFonts w:ascii="Narkisim" w:hAnsi="Narkisim"/>
          <w:sz w:val="20"/>
          <w:szCs w:val="20"/>
          <w:rtl/>
        </w:rPr>
        <w:t>(שם רסב א)</w:t>
      </w:r>
      <w:r w:rsidRPr="00AF1DC8">
        <w:rPr>
          <w:rFonts w:ascii="Narkisim" w:hAnsi="Narkisim"/>
          <w:rtl/>
        </w:rPr>
        <w:t xml:space="preserve"> [אפי' שלא בזמנו] הוזכר משום זריזין מקדימין [ולא שהוי מצווה]. וה</w:t>
      </w:r>
      <w:r w:rsidRPr="00AF1DC8">
        <w:rPr>
          <w:rFonts w:ascii="Narkisim" w:hAnsi="Narkisim"/>
          <w:b/>
          <w:bCs/>
          <w:rtl/>
        </w:rPr>
        <w:t>אחרונים</w:t>
      </w:r>
      <w:r w:rsidRPr="00AF1DC8">
        <w:rPr>
          <w:rFonts w:ascii="Narkisim" w:hAnsi="Narkisim"/>
          <w:rtl/>
        </w:rPr>
        <w:t xml:space="preserve"> דנו האם הוה דין א</w:t>
      </w:r>
      <w:r w:rsidRPr="00AF1DC8">
        <w:rPr>
          <w:rFonts w:ascii="Narkisim" w:hAnsi="Narkisim"/>
        </w:rPr>
        <w:t>'.</w:t>
      </w:r>
    </w:p>
    <w:p w14:paraId="774E14B8" w14:textId="77777777" w:rsidR="006074A5" w:rsidRPr="00AF1DC8" w:rsidRDefault="006074A5" w:rsidP="006074A5">
      <w:pPr>
        <w:pStyle w:val="aa"/>
        <w:bidi/>
        <w:rPr>
          <w:rFonts w:ascii="Narkisim" w:hAnsi="Narkisim"/>
        </w:rPr>
      </w:pPr>
      <w:r w:rsidRPr="00AF1DC8">
        <w:rPr>
          <w:rFonts w:ascii="Narkisim" w:hAnsi="Narkisim"/>
          <w:rtl/>
        </w:rPr>
        <w:t>ולעיל (לט.) אמרי' דקטן מייבם, כשהגדול במדינת הים, משום שהוי מצוה לא משהינן, ואפי' שעי”ז אינו מקיים מצווה מן המובחר. והאחרונים דנו בכ"מ אי מצווה מהמובחר עדיף משהוי מצווה. אבל ה</w:t>
      </w:r>
      <w:r w:rsidRPr="00AF1DC8">
        <w:rPr>
          <w:rFonts w:ascii="Narkisim" w:hAnsi="Narkisim"/>
          <w:b/>
          <w:bCs/>
          <w:rtl/>
        </w:rPr>
        <w:t>תה"ד</w:t>
      </w:r>
      <w:r w:rsidRPr="00AF1DC8">
        <w:rPr>
          <w:rFonts w:ascii="Narkisim" w:hAnsi="Narkisim"/>
          <w:rtl/>
        </w:rPr>
        <w:t xml:space="preserve"> (לה) כתב דהיינו רק במקום שיש לחוש שיתבטל המצוה. ויל"ד האם אף הכא נחשב שמא יתבטל, שיחזור בו. או דהכא אינו מפסיד מצווה מן המובחר, והוה דין אחר</w:t>
      </w:r>
      <w:r w:rsidRPr="00AF1DC8">
        <w:rPr>
          <w:rFonts w:ascii="Narkisim" w:hAnsi="Narkisim"/>
        </w:rPr>
        <w:t>.</w:t>
      </w:r>
    </w:p>
    <w:p w14:paraId="097DCA9D"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(מו:) כתב דלדברי ה</w:t>
      </w:r>
      <w:r w:rsidRPr="00AF1DC8">
        <w:rPr>
          <w:rFonts w:ascii="Narkisim" w:hAnsi="Narkisim"/>
          <w:b/>
          <w:bCs/>
          <w:rtl/>
        </w:rPr>
        <w:t>רמב"ם</w:t>
      </w:r>
      <w:r w:rsidRPr="00AF1DC8">
        <w:rPr>
          <w:rFonts w:ascii="Narkisim" w:hAnsi="Narkisim"/>
          <w:rtl/>
        </w:rPr>
        <w:t xml:space="preserve"> (מילה א טו) מלין גר ביו"ט שני, דשהוי מצווה לא משהינן [וכשאר מילה שלא בזמנו. אבל דעת שא"ר דמילה שלא בזמנו לא דוחה יו"ט שני]</w:t>
      </w:r>
      <w:r w:rsidRPr="00AF1DC8">
        <w:rPr>
          <w:rFonts w:ascii="Narkisim" w:hAnsi="Narkisim"/>
        </w:rPr>
        <w:t>.</w:t>
      </w:r>
    </w:p>
    <w:p w14:paraId="39D28E93" w14:textId="77777777" w:rsidR="006074A5" w:rsidRPr="00AF1DC8" w:rsidRDefault="006074A5" w:rsidP="006074A5">
      <w:pPr>
        <w:pStyle w:val="aa"/>
        <w:bidi/>
        <w:rPr>
          <w:rFonts w:ascii="Narkisim" w:hAnsi="Narkisim"/>
        </w:rPr>
      </w:pPr>
      <w:r w:rsidRPr="00AF1DC8">
        <w:rPr>
          <w:rFonts w:ascii="Narkisim" w:hAnsi="Narkisim"/>
          <w:u w:val="single"/>
          <w:rtl/>
        </w:rPr>
        <w:t>נשתיירו בו ציצין המעכבין וכו' ואינו אוכל בתרומה וכו'.</w:t>
      </w:r>
      <w:r w:rsidRPr="00AF1DC8">
        <w:rPr>
          <w:rFonts w:ascii="Narkisim" w:hAnsi="Narkisim"/>
          <w:rtl/>
        </w:rPr>
        <w:t xml:space="preserve"> אבל ציצין שאינם מעכבין אינו חוזר. וכ"ד ה</w:t>
      </w:r>
      <w:r w:rsidRPr="00AF1DC8">
        <w:rPr>
          <w:rFonts w:ascii="Narkisim" w:hAnsi="Narkisim"/>
          <w:b/>
          <w:bCs/>
          <w:rtl/>
        </w:rPr>
        <w:t>רמב"ם</w:t>
      </w:r>
      <w:r w:rsidRPr="00AF1DC8">
        <w:rPr>
          <w:rFonts w:ascii="Narkisim" w:hAnsi="Narkisim"/>
          <w:rtl/>
        </w:rPr>
        <w:t xml:space="preserve"> (מילה ב ד) דכיון דסילק ידו [ואינו עסוק במילה] אינו חוזר על ציצין שאין מעכבין. אבל </w:t>
      </w:r>
      <w:r w:rsidRPr="00AF1DC8">
        <w:rPr>
          <w:rFonts w:ascii="Narkisim" w:hAnsi="Narkisim"/>
          <w:b/>
          <w:bCs/>
          <w:rtl/>
        </w:rPr>
        <w:t>רש"י</w:t>
      </w:r>
      <w:r w:rsidRPr="00AF1DC8">
        <w:rPr>
          <w:rFonts w:ascii="Narkisim" w:hAnsi="Narkisim"/>
          <w:rtl/>
        </w:rPr>
        <w:t xml:space="preserve"> (שבת קלג:) העמיד דאיירי במל בשבת. וכ"ד ה</w:t>
      </w:r>
      <w:r w:rsidRPr="00AF1DC8">
        <w:rPr>
          <w:rFonts w:ascii="Narkisim" w:hAnsi="Narkisim"/>
          <w:b/>
          <w:bCs/>
          <w:rtl/>
        </w:rPr>
        <w:t>טור</w:t>
      </w:r>
      <w:r w:rsidRPr="00AF1DC8">
        <w:rPr>
          <w:rFonts w:ascii="Narkisim" w:hAnsi="Narkisim"/>
          <w:rtl/>
        </w:rPr>
        <w:t xml:space="preserve"> (ורמ"א יו"ד רסד ה) דבחול צריך לחזור על ציצין שאין מעכבין</w:t>
      </w:r>
      <w:r w:rsidRPr="00AF1DC8">
        <w:rPr>
          <w:rFonts w:ascii="Narkisim" w:hAnsi="Narkisim"/>
        </w:rPr>
        <w:t>.</w:t>
      </w:r>
    </w:p>
    <w:p w14:paraId="5DB47751"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בית הלוי</w:t>
      </w:r>
      <w:r w:rsidRPr="00AF1DC8">
        <w:rPr>
          <w:rFonts w:ascii="Narkisim" w:hAnsi="Narkisim"/>
          <w:rtl/>
        </w:rPr>
        <w:t xml:space="preserve"> (ב מז ז) הקשה א”כ בסוגיין אמאי הכא אי"צ לחזור. ותי' דאינו חוזר משום שהוי מצווה, כדי שלא יתעכב טבילתו. וב</w:t>
      </w:r>
      <w:r w:rsidRPr="00AF1DC8">
        <w:rPr>
          <w:rFonts w:ascii="Narkisim" w:hAnsi="Narkisim"/>
          <w:b/>
          <w:bCs/>
          <w:rtl/>
        </w:rPr>
        <w:t>שיע' ר' דוד</w:t>
      </w:r>
      <w:r w:rsidRPr="00AF1DC8">
        <w:rPr>
          <w:rFonts w:ascii="Narkisim" w:hAnsi="Narkisim"/>
          <w:rtl/>
        </w:rPr>
        <w:t xml:space="preserve"> תי' דעדיין אינו גר [כל זמן שלא טבל] אין עליו מצוות מילה, ולכן אי"צ לחזור משום זה קלי ואנוהו [דרק במקום שנמשך המצווה בגופו שייך לעשות הידור אחרי שגמר את המצוה]. [אבל אחרי שטבל ונתגייר מצווה לחזור על הציצין]</w:t>
      </w:r>
      <w:r w:rsidRPr="00AF1DC8">
        <w:rPr>
          <w:rFonts w:ascii="Narkisim" w:hAnsi="Narkisim"/>
        </w:rPr>
        <w:t>.</w:t>
      </w:r>
    </w:p>
    <w:p w14:paraId="6F523710" w14:textId="77777777" w:rsidR="006074A5" w:rsidRPr="00AF1DC8" w:rsidRDefault="006074A5" w:rsidP="006074A5">
      <w:pPr>
        <w:bidi/>
        <w:rPr>
          <w:rFonts w:ascii="Narkisim" w:hAnsi="Narkisim" w:cs="Narkisim"/>
        </w:rPr>
      </w:pPr>
      <w:r w:rsidRPr="00AF1DC8">
        <w:rPr>
          <w:rFonts w:ascii="Narkisim" w:hAnsi="Narkisim" w:cs="Narkisim"/>
          <w:u w:val="single"/>
          <w:rtl/>
        </w:rPr>
        <w:t>דאי הדר ביה ומקדש וכו' ישראל מומר קרינא, וקידושיו קידושין.</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sz w:val="20"/>
          <w:szCs w:val="20"/>
          <w:rtl/>
        </w:rPr>
        <w:t xml:space="preserve"> (כאן ולעיל טז:, והרשב"א לעיל כב.)</w:t>
      </w:r>
      <w:r w:rsidRPr="00AF1DC8">
        <w:rPr>
          <w:rFonts w:ascii="Narkisim" w:hAnsi="Narkisim" w:cs="Narkisim"/>
          <w:rtl/>
        </w:rPr>
        <w:t xml:space="preserve"> הביאו מכאן דמומר שקידש הוה קידושין</w:t>
      </w:r>
      <w:r w:rsidRPr="00AF1DC8">
        <w:rPr>
          <w:rStyle w:val="ac"/>
          <w:rFonts w:ascii="Narkisim" w:hAnsi="Narkisim" w:cs="Narkisim"/>
          <w:rtl/>
        </w:rPr>
        <w:footnoteReference w:id="2899"/>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sz w:val="20"/>
          <w:szCs w:val="20"/>
          <w:rtl/>
        </w:rPr>
        <w:t>[וכ"פ ה</w:t>
      </w:r>
      <w:r w:rsidRPr="00AF1DC8">
        <w:rPr>
          <w:rFonts w:ascii="Narkisim" w:hAnsi="Narkisim" w:cs="Narkisim"/>
          <w:b/>
          <w:bCs/>
          <w:sz w:val="20"/>
          <w:szCs w:val="20"/>
          <w:rtl/>
        </w:rPr>
        <w:t>שו"ע</w:t>
      </w:r>
      <w:r w:rsidRPr="00AF1DC8">
        <w:rPr>
          <w:rFonts w:ascii="Narkisim" w:hAnsi="Narkisim" w:cs="Narkisim"/>
          <w:sz w:val="20"/>
          <w:szCs w:val="20"/>
          <w:rtl/>
        </w:rPr>
        <w:t xml:space="preserve"> (מד ט) שקידושיו קידושין גמורין</w:t>
      </w:r>
      <w:r w:rsidRPr="00AF1DC8">
        <w:rPr>
          <w:rStyle w:val="ac"/>
          <w:rFonts w:ascii="Narkisim" w:hAnsi="Narkisim" w:cs="Narkisim"/>
          <w:sz w:val="20"/>
          <w:szCs w:val="20"/>
          <w:rtl/>
        </w:rPr>
        <w:footnoteReference w:id="2900"/>
      </w:r>
      <w:r w:rsidRPr="00AF1DC8">
        <w:rPr>
          <w:rFonts w:ascii="Narkisim" w:hAnsi="Narkisim" w:cs="Narkisim"/>
          <w:sz w:val="20"/>
          <w:szCs w:val="20"/>
          <w:rtl/>
        </w:rPr>
        <w:t>].</w:t>
      </w:r>
      <w:r w:rsidRPr="00AF1DC8">
        <w:rPr>
          <w:rFonts w:ascii="Narkisim" w:hAnsi="Narkisim" w:cs="Narkisim"/>
          <w:rtl/>
        </w:rPr>
        <w:t xml:space="preserve"> אבל ב</w:t>
      </w:r>
      <w:r w:rsidRPr="00AF1DC8">
        <w:rPr>
          <w:rFonts w:ascii="Narkisim" w:hAnsi="Narkisim" w:cs="Narkisim"/>
          <w:b/>
          <w:bCs/>
          <w:rtl/>
        </w:rPr>
        <w:t>הגהות המרדכי</w:t>
      </w:r>
      <w:r w:rsidRPr="00AF1DC8">
        <w:rPr>
          <w:rFonts w:ascii="Narkisim" w:hAnsi="Narkisim" w:cs="Narkisim"/>
          <w:rtl/>
        </w:rPr>
        <w:t xml:space="preserve"> (קז בשם הר"ם) כתב דהחמירו דצריך גט, דחיישינן שמא הרהר תשובה</w:t>
      </w:r>
      <w:r w:rsidRPr="00AF1DC8">
        <w:rPr>
          <w:rStyle w:val="ac"/>
          <w:rFonts w:ascii="Narkisim" w:hAnsi="Narkisim" w:cs="Narkisim"/>
          <w:rtl/>
        </w:rPr>
        <w:footnoteReference w:id="2901"/>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באר היטב</w:t>
      </w:r>
      <w:r w:rsidRPr="00AF1DC8">
        <w:rPr>
          <w:rFonts w:ascii="Narkisim" w:hAnsi="Narkisim" w:cs="Narkisim"/>
          <w:rtl/>
        </w:rPr>
        <w:t xml:space="preserve"> (מד ז) הביא בשם</w:t>
      </w:r>
      <w:r w:rsidRPr="00AF1DC8">
        <w:rPr>
          <w:rFonts w:ascii="Narkisim" w:hAnsi="Narkisim" w:cs="Narkisim"/>
          <w:b/>
          <w:bCs/>
          <w:rtl/>
        </w:rPr>
        <w:t xml:space="preserve"> מהר"י מינץ</w:t>
      </w:r>
      <w:r w:rsidRPr="00AF1DC8">
        <w:rPr>
          <w:rFonts w:ascii="Narkisim" w:hAnsi="Narkisim" w:cs="Narkisim"/>
          <w:rtl/>
        </w:rPr>
        <w:t xml:space="preserve"> (יב) דתפסי קידושין רק מדרבנן</w:t>
      </w:r>
      <w:r w:rsidRPr="00AF1DC8">
        <w:rPr>
          <w:rFonts w:ascii="Narkisim" w:hAnsi="Narkisim" w:cs="Narkisim"/>
        </w:rPr>
        <w:t>.</w:t>
      </w:r>
    </w:p>
    <w:p w14:paraId="40175C72" w14:textId="77777777" w:rsidR="006074A5" w:rsidRPr="00AF1DC8" w:rsidRDefault="006074A5" w:rsidP="006074A5">
      <w:pPr>
        <w:pStyle w:val="a8"/>
        <w:bidi/>
        <w:rPr>
          <w:rFonts w:ascii="Narkisim" w:hAnsi="Narkisim"/>
        </w:rPr>
      </w:pPr>
      <w:r w:rsidRPr="00AF1DC8">
        <w:rPr>
          <w:rFonts w:ascii="Narkisim" w:hAnsi="Narkisim"/>
          <w:rtl/>
        </w:rPr>
        <w:t xml:space="preserve">ודעת </w:t>
      </w:r>
      <w:r w:rsidRPr="00AF1DC8">
        <w:rPr>
          <w:rFonts w:ascii="Narkisim" w:hAnsi="Narkisim"/>
          <w:b/>
          <w:bCs/>
          <w:rtl/>
        </w:rPr>
        <w:t>ר"א מבורגוייל</w:t>
      </w:r>
      <w:r w:rsidRPr="00AF1DC8">
        <w:rPr>
          <w:rFonts w:ascii="Narkisim" w:hAnsi="Narkisim"/>
          <w:rtl/>
        </w:rPr>
        <w:t xml:space="preserve"> (בהג' מרדכי קח) דיבמה שנופלת לפני מומר פטורה, דקנאים פוגעים בו והוה כחייבי כריתות. ולכאורה ה"ה לענין קידושין לא תפסי</w:t>
      </w:r>
      <w:r w:rsidRPr="00AF1DC8">
        <w:rPr>
          <w:rStyle w:val="ac"/>
          <w:rFonts w:ascii="Narkisim" w:hAnsi="Narkisim"/>
          <w:rtl/>
        </w:rPr>
        <w:footnoteReference w:id="2902"/>
      </w:r>
      <w:r w:rsidRPr="00AF1DC8">
        <w:rPr>
          <w:rFonts w:ascii="Narkisim" w:hAnsi="Narkisim"/>
        </w:rPr>
        <w:t>.</w:t>
      </w:r>
    </w:p>
    <w:p w14:paraId="5B42502A" w14:textId="77777777" w:rsidR="006074A5" w:rsidRPr="00AF1DC8" w:rsidRDefault="006074A5" w:rsidP="006074A5">
      <w:pPr>
        <w:pStyle w:val="aa"/>
        <w:bidi/>
        <w:rPr>
          <w:rFonts w:ascii="Narkisim" w:hAnsi="Narkisim"/>
        </w:rPr>
      </w:pPr>
      <w:r w:rsidRPr="00AF1DC8">
        <w:rPr>
          <w:rFonts w:ascii="Narkisim" w:hAnsi="Narkisim"/>
          <w:u w:val="single"/>
          <w:rtl/>
        </w:rPr>
        <w:t>שם. למאי הילכתא דאי הדר ביה ומקדש וכו'.</w:t>
      </w:r>
      <w:r w:rsidRPr="00AF1DC8">
        <w:rPr>
          <w:rFonts w:ascii="Narkisim" w:hAnsi="Narkisim"/>
          <w:rtl/>
        </w:rPr>
        <w:t xml:space="preserve"> וצ"ב אמאי נקט נפק"מ רחוקה זו, טפי הול"ל דנתחייב בכל המצוות. [ולכאו' משמע דפשיטא דהושלם הגירות. אלא דיש חידוש טפי בשעה שחזר בו, דס"ד דיתבטל הגירות למפרע]</w:t>
      </w:r>
      <w:r w:rsidRPr="00AF1DC8">
        <w:rPr>
          <w:rFonts w:ascii="Narkisim" w:hAnsi="Narkisim"/>
        </w:rPr>
        <w:t>.</w:t>
      </w:r>
    </w:p>
    <w:p w14:paraId="1A0A316E"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xml:space="preserve"> ה</w:t>
      </w:r>
      <w:r w:rsidRPr="00AF1DC8">
        <w:rPr>
          <w:rFonts w:ascii="Narkisim" w:hAnsi="Narkisim"/>
          <w:b/>
          <w:bCs/>
          <w:rtl/>
        </w:rPr>
        <w:t>ריטב"א</w:t>
      </w:r>
      <w:r w:rsidRPr="00AF1DC8">
        <w:rPr>
          <w:rFonts w:ascii="Narkisim" w:hAnsi="Narkisim"/>
          <w:rtl/>
        </w:rPr>
        <w:t xml:space="preserve"> כתב דמסתברא אף לדיני ממונות, כל הקנאותיו וחיוביו נידון כישראל</w:t>
      </w:r>
      <w:r w:rsidRPr="00AF1DC8">
        <w:rPr>
          <w:rStyle w:val="ac"/>
          <w:rFonts w:ascii="Narkisim" w:hAnsi="Narkisim"/>
          <w:rtl/>
        </w:rPr>
        <w:footnoteReference w:id="2903"/>
      </w:r>
      <w:r w:rsidRPr="00AF1DC8">
        <w:rPr>
          <w:rFonts w:ascii="Narkisim" w:hAnsi="Narkisim"/>
        </w:rPr>
        <w:t>.</w:t>
      </w:r>
    </w:p>
    <w:p w14:paraId="1416F818"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כתב דאם חוזר ליהדות שורת הדין אי"צ אלא קבלת חברות בבי"ד, אבל מדרבנן צריך טבילה משום מעלה</w:t>
      </w:r>
      <w:r w:rsidRPr="00AF1DC8">
        <w:rPr>
          <w:rStyle w:val="ac"/>
          <w:rFonts w:ascii="Narkisim" w:hAnsi="Narkisim"/>
          <w:rtl/>
        </w:rPr>
        <w:footnoteReference w:id="2904"/>
      </w:r>
      <w:r w:rsidRPr="00AF1DC8">
        <w:rPr>
          <w:rFonts w:ascii="Narkisim" w:hAnsi="Narkisim"/>
        </w:rPr>
        <w:t xml:space="preserve">, </w:t>
      </w:r>
      <w:r w:rsidRPr="00AF1DC8">
        <w:rPr>
          <w:rFonts w:ascii="Narkisim" w:hAnsi="Narkisim"/>
          <w:rtl/>
        </w:rPr>
        <w:t>דומיא דטבילת עבד משוחרר מדרבנן [לשיטת הריטב”א, ע' לעיל]</w:t>
      </w:r>
      <w:r w:rsidRPr="00AF1DC8">
        <w:rPr>
          <w:rFonts w:ascii="Narkisim" w:hAnsi="Narkisim"/>
        </w:rPr>
        <w:t>.</w:t>
      </w:r>
    </w:p>
    <w:p w14:paraId="50386DDC" w14:textId="77777777" w:rsidR="006074A5" w:rsidRPr="00AF1DC8" w:rsidRDefault="006074A5" w:rsidP="006074A5">
      <w:pPr>
        <w:pStyle w:val="2"/>
        <w:bidi/>
        <w:rPr>
          <w:rFonts w:ascii="Narkisim" w:hAnsi="Narkisim"/>
        </w:rPr>
      </w:pPr>
      <w:r w:rsidRPr="00AF1DC8">
        <w:rPr>
          <w:rFonts w:ascii="Narkisim" w:hAnsi="Narkisim"/>
          <w:rtl/>
        </w:rPr>
        <w:lastRenderedPageBreak/>
        <w:t>טבילת עבדות בע"כ</w:t>
      </w:r>
    </w:p>
    <w:p w14:paraId="1FDB7328" w14:textId="77777777" w:rsidR="006074A5" w:rsidRPr="00AF1DC8" w:rsidRDefault="006074A5" w:rsidP="006074A5">
      <w:pPr>
        <w:pStyle w:val="aa"/>
        <w:bidi/>
        <w:rPr>
          <w:rFonts w:ascii="Narkisim" w:hAnsi="Narkisim"/>
        </w:rPr>
      </w:pPr>
      <w:r w:rsidRPr="00AF1DC8">
        <w:rPr>
          <w:rFonts w:ascii="Narkisim" w:hAnsi="Narkisim"/>
          <w:u w:val="single"/>
          <w:rtl/>
        </w:rPr>
        <w:t>א' גר וא' עבד משוחרר, קס"ד לקבל עליו עול מצוות ורמינהו וכו' אבל עבד משוחרר אי"צ לקבל</w:t>
      </w:r>
      <w:r w:rsidRPr="00AF1DC8">
        <w:rPr>
          <w:rFonts w:ascii="Narkisim" w:hAnsi="Narkisim"/>
          <w:rtl/>
        </w:rPr>
        <w:t>. והגמ' מק' סתירה בברייתות האם צריך קבלת מצווה בשחרור עבד. ופ</w:t>
      </w:r>
      <w:r w:rsidRPr="00AF1DC8">
        <w:rPr>
          <w:rFonts w:ascii="Narkisim" w:hAnsi="Narkisim"/>
          <w:b/>
          <w:bCs/>
          <w:rtl/>
        </w:rPr>
        <w:t>רש"י</w:t>
      </w:r>
      <w:r w:rsidRPr="00AF1DC8">
        <w:rPr>
          <w:rFonts w:ascii="Narkisim" w:hAnsi="Narkisim"/>
          <w:rtl/>
        </w:rPr>
        <w:t xml:space="preserve"> שהרי כבר היה מחוייב בעודו עבד. [ואף שנוסף עליו חיוב במצוות עשה שהזמן גרמא]</w:t>
      </w:r>
      <w:r w:rsidRPr="00AF1DC8">
        <w:rPr>
          <w:rFonts w:ascii="Narkisim" w:hAnsi="Narkisim"/>
        </w:rPr>
        <w:t>.</w:t>
      </w:r>
    </w:p>
    <w:p w14:paraId="40DD7E07" w14:textId="77777777" w:rsidR="006074A5" w:rsidRPr="00AF1DC8" w:rsidRDefault="006074A5" w:rsidP="006074A5">
      <w:pPr>
        <w:bidi/>
        <w:rPr>
          <w:rFonts w:ascii="Narkisim" w:hAnsi="Narkisim" w:cs="Narkisim"/>
        </w:rPr>
      </w:pPr>
      <w:r w:rsidRPr="00AF1DC8">
        <w:rPr>
          <w:rFonts w:ascii="Narkisim" w:hAnsi="Narkisim" w:cs="Narkisim"/>
          <w:u w:val="single"/>
          <w:rtl/>
        </w:rPr>
        <w:t>א"ר ששת ל"ק וכו' ר"ש ב"א אומר וכו' כופה ומטבילה לשם שפחות 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דכל טבילות עבדים בע"כ. ומתחייב במצוות בע"כ.</w:t>
      </w:r>
      <w:r w:rsidRPr="00AF1DC8">
        <w:rPr>
          <w:rFonts w:ascii="Narkisim" w:hAnsi="Narkisim" w:cs="Narkisim"/>
          <w:sz w:val="20"/>
          <w:szCs w:val="20"/>
          <w:rtl/>
        </w:rPr>
        <w:t xml:space="preserve"> [וה</w:t>
      </w:r>
      <w:r w:rsidRPr="00AF1DC8">
        <w:rPr>
          <w:rFonts w:ascii="Narkisim" w:hAnsi="Narkisim" w:cs="Narkisim"/>
          <w:b/>
          <w:bCs/>
          <w:sz w:val="20"/>
          <w:szCs w:val="20"/>
          <w:rtl/>
        </w:rPr>
        <w:t>ריטב"א</w:t>
      </w:r>
      <w:r w:rsidRPr="00AF1DC8">
        <w:rPr>
          <w:rFonts w:ascii="Narkisim" w:hAnsi="Narkisim" w:cs="Narkisim"/>
          <w:sz w:val="20"/>
          <w:szCs w:val="20"/>
          <w:rtl/>
        </w:rPr>
        <w:t xml:space="preserve"> פי' שהוא קנוי לישראל קנין הגוף</w:t>
      </w:r>
      <w:r w:rsidRPr="00AF1DC8">
        <w:rPr>
          <w:rStyle w:val="ac"/>
          <w:rFonts w:ascii="Narkisim" w:hAnsi="Narkisim" w:cs="Narkisim"/>
          <w:sz w:val="20"/>
          <w:szCs w:val="20"/>
          <w:rtl/>
        </w:rPr>
        <w:footnoteReference w:id="2905"/>
      </w:r>
      <w:r w:rsidRPr="00AF1DC8">
        <w:rPr>
          <w:rFonts w:ascii="Narkisim" w:hAnsi="Narkisim" w:cs="Narkisim"/>
          <w:sz w:val="20"/>
          <w:szCs w:val="20"/>
        </w:rPr>
        <w:t xml:space="preserve">. </w:t>
      </w:r>
      <w:r w:rsidRPr="00AF1DC8">
        <w:rPr>
          <w:rFonts w:ascii="Narkisim" w:hAnsi="Narkisim" w:cs="Narkisim"/>
          <w:sz w:val="20"/>
          <w:szCs w:val="20"/>
          <w:rtl/>
        </w:rPr>
        <w:t>דיש לו זכות ממון לחייבו להיות 'עבד'</w:t>
      </w:r>
      <w:r w:rsidRPr="00AF1DC8">
        <w:rPr>
          <w:rStyle w:val="ac"/>
          <w:rFonts w:ascii="Narkisim" w:hAnsi="Narkisim" w:cs="Narkisim"/>
          <w:sz w:val="20"/>
          <w:szCs w:val="20"/>
          <w:rtl/>
        </w:rPr>
        <w:footnoteReference w:id="2906"/>
      </w:r>
      <w:r w:rsidRPr="00AF1DC8">
        <w:rPr>
          <w:rFonts w:ascii="Narkisim" w:hAnsi="Narkisim" w:cs="Narkisim"/>
          <w:sz w:val="20"/>
          <w:szCs w:val="20"/>
          <w:rtl/>
        </w:rPr>
        <w:t>]</w:t>
      </w:r>
      <w:r w:rsidRPr="00AF1DC8">
        <w:rPr>
          <w:rStyle w:val="ac"/>
          <w:rFonts w:ascii="Narkisim" w:hAnsi="Narkisim" w:cs="Narkisim"/>
          <w:sz w:val="20"/>
          <w:szCs w:val="20"/>
          <w:rtl/>
        </w:rPr>
        <w:footnoteReference w:id="2907"/>
      </w:r>
      <w:r w:rsidRPr="00AF1DC8">
        <w:rPr>
          <w:rFonts w:ascii="Narkisim" w:hAnsi="Narkisim" w:cs="Narkisim"/>
          <w:sz w:val="20"/>
          <w:szCs w:val="20"/>
        </w:rPr>
        <w:t xml:space="preserve">. </w:t>
      </w:r>
      <w:r w:rsidRPr="00AF1DC8">
        <w:rPr>
          <w:rFonts w:ascii="Narkisim" w:hAnsi="Narkisim" w:cs="Narkisim"/>
          <w:sz w:val="20"/>
          <w:szCs w:val="20"/>
          <w:rtl/>
        </w:rPr>
        <w:t>וה</w:t>
      </w:r>
      <w:r w:rsidRPr="00AF1DC8">
        <w:rPr>
          <w:rFonts w:ascii="Narkisim" w:hAnsi="Narkisim" w:cs="Narkisim"/>
          <w:b/>
          <w:bCs/>
          <w:sz w:val="20"/>
          <w:szCs w:val="20"/>
          <w:rtl/>
        </w:rPr>
        <w:t>רמב"ן</w:t>
      </w:r>
      <w:r w:rsidRPr="00AF1DC8">
        <w:rPr>
          <w:rFonts w:ascii="Narkisim" w:hAnsi="Narkisim" w:cs="Narkisim"/>
          <w:sz w:val="20"/>
          <w:szCs w:val="20"/>
          <w:rtl/>
        </w:rPr>
        <w:t xml:space="preserve"> הביא כן מפרקי דר' אליעזר (כט)</w:t>
      </w:r>
      <w:r w:rsidRPr="00AF1DC8">
        <w:rPr>
          <w:rStyle w:val="ac"/>
          <w:rFonts w:ascii="Narkisim" w:hAnsi="Narkisim" w:cs="Narkisim"/>
          <w:sz w:val="20"/>
          <w:szCs w:val="20"/>
          <w:rtl/>
        </w:rPr>
        <w:footnoteReference w:id="2908"/>
      </w:r>
      <w:r w:rsidRPr="00AF1DC8">
        <w:rPr>
          <w:rFonts w:ascii="Narkisim" w:hAnsi="Narkisim" w:cs="Narkisim"/>
          <w:sz w:val="20"/>
          <w:szCs w:val="20"/>
        </w:rPr>
        <w:t>.</w:t>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ק"נ</w:t>
      </w:r>
      <w:r w:rsidRPr="00AF1DC8">
        <w:rPr>
          <w:rFonts w:ascii="Narkisim" w:hAnsi="Narkisim" w:cs="Narkisim"/>
          <w:rtl/>
        </w:rPr>
        <w:t xml:space="preserve"> כת' דמשמע דבזה לא פליגי רבנן, ופליגי דוקא גבי שחרור</w:t>
      </w:r>
      <w:r w:rsidRPr="00AF1DC8">
        <w:rPr>
          <w:rFonts w:ascii="Narkisim" w:hAnsi="Narkisim" w:cs="Narkisim"/>
        </w:rPr>
        <w:t>.</w:t>
      </w:r>
    </w:p>
    <w:p w14:paraId="0C38AABD" w14:textId="77777777" w:rsidR="006074A5" w:rsidRPr="00AF1DC8" w:rsidRDefault="006074A5" w:rsidP="006074A5">
      <w:pPr>
        <w:pStyle w:val="a7"/>
        <w:bidi/>
        <w:rPr>
          <w:rFonts w:ascii="Narkisim" w:hAnsi="Narkisim"/>
        </w:rPr>
      </w:pPr>
      <w:r w:rsidRPr="00AF1DC8">
        <w:rPr>
          <w:rFonts w:ascii="Narkisim" w:hAnsi="Narkisim"/>
          <w:rtl/>
        </w:rPr>
        <w:t>אבל ב</w:t>
      </w:r>
      <w:r w:rsidRPr="00AF1DC8">
        <w:rPr>
          <w:rFonts w:ascii="Narkisim" w:hAnsi="Narkisim"/>
          <w:b/>
          <w:bCs/>
          <w:rtl/>
        </w:rPr>
        <w:t>תוס' חד מקמאי</w:t>
      </w:r>
      <w:r w:rsidRPr="00AF1DC8">
        <w:rPr>
          <w:rFonts w:ascii="Narkisim" w:hAnsi="Narkisim"/>
          <w:rtl/>
        </w:rPr>
        <w:t xml:space="preserve"> (מח:) הביא בשם ה</w:t>
      </w:r>
      <w:r w:rsidRPr="00AF1DC8">
        <w:rPr>
          <w:rFonts w:ascii="Narkisim" w:hAnsi="Narkisim"/>
          <w:b/>
          <w:bCs/>
          <w:rtl/>
        </w:rPr>
        <w:t>ראב"ד</w:t>
      </w:r>
      <w:r w:rsidRPr="00AF1DC8">
        <w:rPr>
          <w:rFonts w:ascii="Narkisim" w:hAnsi="Narkisim"/>
          <w:rtl/>
        </w:rPr>
        <w:t xml:space="preserve"> דרבנן פליגי </w:t>
      </w:r>
      <w:r w:rsidRPr="00AF1DC8">
        <w:rPr>
          <w:rFonts w:ascii="Narkisim" w:hAnsi="Narkisim"/>
          <w:szCs w:val="20"/>
          <w:rtl/>
        </w:rPr>
        <w:t>[אר"ש בן אלעזר]</w:t>
      </w:r>
      <w:r w:rsidRPr="00AF1DC8">
        <w:rPr>
          <w:rFonts w:ascii="Narkisim" w:hAnsi="Narkisim"/>
          <w:rtl/>
        </w:rPr>
        <w:t xml:space="preserve"> וס"ל דאף לשם עבדות צריך קבלה</w:t>
      </w:r>
      <w:r w:rsidRPr="00AF1DC8">
        <w:rPr>
          <w:rFonts w:ascii="Narkisim" w:hAnsi="Narkisim"/>
        </w:rPr>
        <w:t>.</w:t>
      </w:r>
    </w:p>
    <w:p w14:paraId="74FAC01E" w14:textId="77777777" w:rsidR="006074A5" w:rsidRPr="00AF1DC8" w:rsidRDefault="006074A5" w:rsidP="006074A5">
      <w:pPr>
        <w:pStyle w:val="a7"/>
        <w:bidi/>
        <w:rPr>
          <w:rFonts w:ascii="Narkisim" w:hAnsi="Narkisim"/>
        </w:rPr>
      </w:pPr>
      <w:r w:rsidRPr="00AF1DC8">
        <w:rPr>
          <w:rFonts w:ascii="Narkisim" w:hAnsi="Narkisim"/>
          <w:rtl/>
        </w:rPr>
        <w:t>וכן ה</w:t>
      </w:r>
      <w:r w:rsidRPr="00AF1DC8">
        <w:rPr>
          <w:rFonts w:ascii="Narkisim" w:hAnsi="Narkisim"/>
          <w:b/>
          <w:bCs/>
          <w:rtl/>
        </w:rPr>
        <w:t>ראשונים</w:t>
      </w:r>
      <w:r w:rsidRPr="00AF1DC8">
        <w:rPr>
          <w:rFonts w:ascii="Narkisim" w:hAnsi="Narkisim"/>
          <w:rtl/>
        </w:rPr>
        <w:t xml:space="preserve"> </w:t>
      </w:r>
      <w:r w:rsidRPr="00AF1DC8">
        <w:rPr>
          <w:rFonts w:ascii="Narkisim" w:hAnsi="Narkisim"/>
          <w:sz w:val="20"/>
          <w:szCs w:val="20"/>
          <w:rtl/>
        </w:rPr>
        <w:t xml:space="preserve">(רשב"א, רא"ש ס"ס לח) </w:t>
      </w:r>
      <w:r w:rsidRPr="00AF1DC8">
        <w:rPr>
          <w:rFonts w:ascii="Narkisim" w:hAnsi="Narkisim"/>
          <w:rtl/>
        </w:rPr>
        <w:t>כת' דמתוך דברי ה</w:t>
      </w:r>
      <w:r w:rsidRPr="00AF1DC8">
        <w:rPr>
          <w:rFonts w:ascii="Narkisim" w:hAnsi="Narkisim"/>
          <w:b/>
          <w:bCs/>
          <w:rtl/>
        </w:rPr>
        <w:t>רי"ף</w:t>
      </w:r>
      <w:r w:rsidRPr="00AF1DC8">
        <w:rPr>
          <w:rFonts w:ascii="Narkisim" w:hAnsi="Narkisim"/>
          <w:rtl/>
        </w:rPr>
        <w:t xml:space="preserve"> </w:t>
      </w:r>
      <w:r w:rsidRPr="00AF1DC8">
        <w:rPr>
          <w:rFonts w:ascii="Narkisim" w:hAnsi="Narkisim"/>
          <w:sz w:val="20"/>
          <w:szCs w:val="20"/>
          <w:rtl/>
        </w:rPr>
        <w:t>(ו</w:t>
      </w:r>
      <w:r w:rsidRPr="00AF1DC8">
        <w:rPr>
          <w:rFonts w:ascii="Narkisim" w:hAnsi="Narkisim"/>
          <w:b/>
          <w:bCs/>
          <w:sz w:val="20"/>
          <w:szCs w:val="20"/>
          <w:rtl/>
        </w:rPr>
        <w:t>ר"ח</w:t>
      </w:r>
      <w:r w:rsidRPr="00AF1DC8">
        <w:rPr>
          <w:rFonts w:ascii="Narkisim" w:hAnsi="Narkisim"/>
          <w:sz w:val="20"/>
          <w:szCs w:val="20"/>
          <w:rtl/>
        </w:rPr>
        <w:t xml:space="preserve"> מח.)</w:t>
      </w:r>
      <w:r w:rsidRPr="00AF1DC8">
        <w:rPr>
          <w:rFonts w:ascii="Narkisim" w:hAnsi="Narkisim"/>
          <w:rtl/>
        </w:rPr>
        <w:t xml:space="preserve"> משמע דכל טבילת עבדות צריך להיות מדעת ובקבלה. </w:t>
      </w:r>
      <w:r w:rsidRPr="00AF1DC8">
        <w:rPr>
          <w:rFonts w:ascii="Narkisim" w:hAnsi="Narkisim"/>
          <w:sz w:val="20"/>
          <w:szCs w:val="20"/>
          <w:rtl/>
        </w:rPr>
        <w:t>[דכת' דבשעת שחרור אי"צ קבלה, דכבר קבלו מתחילה].</w:t>
      </w:r>
      <w:r w:rsidRPr="00AF1DC8">
        <w:rPr>
          <w:rFonts w:ascii="Narkisim" w:hAnsi="Narkisim"/>
          <w:rtl/>
        </w:rPr>
        <w:t xml:space="preserve"> וכ"כ ה</w:t>
      </w:r>
      <w:r w:rsidRPr="00AF1DC8">
        <w:rPr>
          <w:rFonts w:ascii="Narkisim" w:hAnsi="Narkisim"/>
          <w:b/>
          <w:bCs/>
          <w:rtl/>
        </w:rPr>
        <w:t>רמב"ן</w:t>
      </w:r>
      <w:r w:rsidRPr="00AF1DC8">
        <w:rPr>
          <w:rFonts w:ascii="Narkisim" w:hAnsi="Narkisim"/>
          <w:rtl/>
        </w:rPr>
        <w:t xml:space="preserve"> בשם </w:t>
      </w:r>
      <w:r w:rsidRPr="00AF1DC8">
        <w:rPr>
          <w:rFonts w:ascii="Narkisim" w:hAnsi="Narkisim"/>
          <w:b/>
          <w:bCs/>
          <w:rtl/>
        </w:rPr>
        <w:t>תוס'</w:t>
      </w:r>
      <w:r w:rsidRPr="00AF1DC8">
        <w:rPr>
          <w:rStyle w:val="ac"/>
          <w:rFonts w:ascii="Narkisim" w:hAnsi="Narkisim"/>
          <w:rtl/>
        </w:rPr>
        <w:footnoteReference w:id="2909"/>
      </w:r>
      <w:r w:rsidRPr="00AF1DC8">
        <w:rPr>
          <w:rFonts w:ascii="Narkisim" w:hAnsi="Narkisim"/>
          <w:rtl/>
        </w:rPr>
        <w:t>. וכ"ד הרמב"ם (איסו”ב יד ט)</w:t>
      </w:r>
      <w:r w:rsidRPr="00AF1DC8">
        <w:rPr>
          <w:rFonts w:ascii="Narkisim" w:hAnsi="Narkisim"/>
        </w:rPr>
        <w:t>.</w:t>
      </w:r>
    </w:p>
    <w:p w14:paraId="52A92639" w14:textId="77777777" w:rsidR="006074A5" w:rsidRPr="00AF1DC8" w:rsidRDefault="006074A5" w:rsidP="006074A5">
      <w:pPr>
        <w:pStyle w:val="a8"/>
        <w:bidi/>
        <w:rPr>
          <w:rFonts w:ascii="Narkisim" w:hAnsi="Narkisim"/>
        </w:rPr>
      </w:pPr>
      <w:r w:rsidRPr="00AF1DC8">
        <w:rPr>
          <w:rFonts w:ascii="Narkisim" w:hAnsi="Narkisim"/>
          <w:rtl/>
        </w:rPr>
        <w:t xml:space="preserve">וכן </w:t>
      </w:r>
      <w:r w:rsidRPr="00AF1DC8">
        <w:rPr>
          <w:rFonts w:ascii="Narkisim" w:hAnsi="Narkisim"/>
          <w:b/>
          <w:bCs/>
          <w:rtl/>
        </w:rPr>
        <w:t>תוס</w:t>
      </w:r>
      <w:r w:rsidRPr="00AF1DC8">
        <w:rPr>
          <w:rFonts w:ascii="Narkisim" w:hAnsi="Narkisim"/>
          <w:rtl/>
        </w:rPr>
        <w:t>' (ע"ז נז: ד"ה עד) הביאו מסוגיין (דבסמוך כשם שאי אתה מל וכו' בע”כ) דצריך להטביל ולמול עבד מרצונו. וכת' דמ"מ אימת רבו עליו ואינו מתגייר בלב שלם</w:t>
      </w:r>
      <w:r w:rsidRPr="00AF1DC8">
        <w:rPr>
          <w:rStyle w:val="ac"/>
          <w:rFonts w:ascii="Narkisim" w:hAnsi="Narkisim"/>
          <w:rtl/>
        </w:rPr>
        <w:footnoteReference w:id="2910"/>
      </w:r>
      <w:r w:rsidRPr="00AF1DC8">
        <w:rPr>
          <w:rFonts w:ascii="Narkisim" w:hAnsi="Narkisim"/>
        </w:rPr>
        <w:t>.</w:t>
      </w:r>
    </w:p>
    <w:p w14:paraId="3E2C4521"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יד ט) כת' דהעבד הנלקח מן העכו"ם אין אומרין לו מה ראית שבאת, אלא אומרים לו רצונך שתכנס לכלל עבדי ישראל ותהיה מן הכשרים או לא. אם רצה מודיעין לו עיקרי הדת ומקצת מצות קלות וחמורות ועונשן ושכרן [וכמו שמודיעין את הגר] ומטבילין אותו כגר</w:t>
      </w:r>
      <w:r w:rsidRPr="00AF1DC8">
        <w:rPr>
          <w:rFonts w:ascii="Narkisim" w:hAnsi="Narkisim"/>
        </w:rPr>
        <w:t>.</w:t>
      </w:r>
    </w:p>
    <w:p w14:paraId="4364D675"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כת' עפ"ז עבד קטן </w:t>
      </w:r>
      <w:r w:rsidRPr="00AF1DC8">
        <w:rPr>
          <w:rFonts w:ascii="Narkisim" w:hAnsi="Narkisim"/>
          <w:sz w:val="20"/>
          <w:szCs w:val="20"/>
          <w:rtl/>
        </w:rPr>
        <w:t xml:space="preserve">[שנולד משפחה שלא טבלה] </w:t>
      </w:r>
      <w:r w:rsidRPr="00AF1DC8">
        <w:rPr>
          <w:rFonts w:ascii="Narkisim" w:hAnsi="Narkisim"/>
          <w:rtl/>
        </w:rPr>
        <w:t>אין עליו דין עבד</w:t>
      </w:r>
      <w:r w:rsidRPr="00AF1DC8">
        <w:rPr>
          <w:rStyle w:val="ac"/>
          <w:rFonts w:ascii="Narkisim" w:hAnsi="Narkisim"/>
          <w:rtl/>
        </w:rPr>
        <w:footnoteReference w:id="2911"/>
      </w:r>
      <w:r w:rsidRPr="00AF1DC8">
        <w:rPr>
          <w:rFonts w:ascii="Narkisim" w:hAnsi="Narkisim"/>
        </w:rPr>
        <w:t xml:space="preserve">, </w:t>
      </w:r>
      <w:r w:rsidRPr="00AF1DC8">
        <w:rPr>
          <w:rFonts w:ascii="Narkisim" w:hAnsi="Narkisim"/>
          <w:rtl/>
        </w:rPr>
        <w:t>ואף דחייב למולו</w:t>
      </w:r>
      <w:r w:rsidRPr="00AF1DC8">
        <w:rPr>
          <w:rFonts w:ascii="Narkisim" w:hAnsi="Narkisim"/>
          <w:sz w:val="20"/>
          <w:szCs w:val="20"/>
          <w:rtl/>
        </w:rPr>
        <w:t xml:space="preserve"> [כדאי' שבת קלה:], </w:t>
      </w:r>
      <w:r w:rsidRPr="00AF1DC8">
        <w:rPr>
          <w:rFonts w:ascii="Narkisim" w:hAnsi="Narkisim"/>
          <w:rtl/>
        </w:rPr>
        <w:t>מ"מ אינו מתחייב במצוות</w:t>
      </w:r>
      <w:r w:rsidRPr="00AF1DC8">
        <w:rPr>
          <w:rStyle w:val="ac"/>
          <w:rFonts w:ascii="Narkisim" w:hAnsi="Narkisim"/>
          <w:rtl/>
        </w:rPr>
        <w:footnoteReference w:id="2912"/>
      </w:r>
      <w:r w:rsidRPr="00AF1DC8">
        <w:rPr>
          <w:rFonts w:ascii="Narkisim" w:hAnsi="Narkisim"/>
        </w:rPr>
        <w:t>.</w:t>
      </w:r>
    </w:p>
    <w:p w14:paraId="0E842DAF" w14:textId="77777777" w:rsidR="006074A5" w:rsidRPr="00AF1DC8" w:rsidRDefault="006074A5" w:rsidP="006074A5">
      <w:pPr>
        <w:pStyle w:val="aa"/>
        <w:bidi/>
        <w:rPr>
          <w:rFonts w:ascii="Narkisim" w:hAnsi="Narkisim"/>
        </w:rPr>
      </w:pPr>
      <w:r w:rsidRPr="00AF1DC8">
        <w:rPr>
          <w:rFonts w:ascii="Narkisim" w:hAnsi="Narkisim"/>
          <w:rtl/>
        </w:rPr>
        <w:t>ובברייתא (לקמן מח:) דנו מה הדין כשהעבד אינו רוצה למול. וה</w:t>
      </w:r>
      <w:r w:rsidRPr="00AF1DC8">
        <w:rPr>
          <w:rFonts w:ascii="Narkisim" w:hAnsi="Narkisim"/>
          <w:b/>
          <w:bCs/>
          <w:rtl/>
        </w:rPr>
        <w:t>ראשונים</w:t>
      </w:r>
      <w:r w:rsidRPr="00AF1DC8">
        <w:rPr>
          <w:rFonts w:ascii="Narkisim" w:hAnsi="Narkisim"/>
          <w:rtl/>
        </w:rPr>
        <w:t xml:space="preserve"> הביאו דמבואר כדעת הרי"ף דאין מלין בע"כ. ו</w:t>
      </w:r>
      <w:r w:rsidRPr="00AF1DC8">
        <w:rPr>
          <w:rFonts w:ascii="Narkisim" w:hAnsi="Narkisim"/>
          <w:b/>
          <w:bCs/>
          <w:rtl/>
        </w:rPr>
        <w:t>תוס'</w:t>
      </w:r>
      <w:r w:rsidRPr="00AF1DC8">
        <w:rPr>
          <w:rFonts w:ascii="Narkisim" w:hAnsi="Narkisim"/>
          <w:rtl/>
        </w:rPr>
        <w:t xml:space="preserve"> (מח. סוד"ה אלא) כת' דמהדין רשאי למול בע"כ. אלא דהוה תקנ”ח דדוקא מרצונו, או דאינו עצה טובה</w:t>
      </w:r>
      <w:r w:rsidRPr="00AF1DC8">
        <w:rPr>
          <w:rFonts w:ascii="Narkisim" w:hAnsi="Narkisim"/>
        </w:rPr>
        <w:t>.</w:t>
      </w:r>
    </w:p>
    <w:p w14:paraId="7FD94A9E"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דמבואר (לעיל מו.) דכופין ומטבילין אותו בע"כ לשם עבדות, דאי' ארפי וצמצמו וכו'. </w:t>
      </w:r>
      <w:r w:rsidRPr="00AF1DC8">
        <w:rPr>
          <w:rFonts w:ascii="Narkisim" w:hAnsi="Narkisim"/>
          <w:sz w:val="20"/>
          <w:szCs w:val="20"/>
          <w:rtl/>
        </w:rPr>
        <w:t>[ואל"כ היאך יתחייבו לשלם על העבד</w:t>
      </w:r>
      <w:r w:rsidRPr="00AF1DC8">
        <w:rPr>
          <w:rStyle w:val="ac"/>
          <w:rFonts w:ascii="Narkisim" w:hAnsi="Narkisim"/>
          <w:sz w:val="20"/>
          <w:szCs w:val="20"/>
          <w:rtl/>
        </w:rPr>
        <w:footnoteReference w:id="2913"/>
      </w:r>
      <w:r w:rsidRPr="00AF1DC8">
        <w:rPr>
          <w:rFonts w:ascii="Narkisim" w:hAnsi="Narkisim"/>
          <w:sz w:val="20"/>
          <w:szCs w:val="20"/>
          <w:rtl/>
        </w:rPr>
        <w:t>]</w:t>
      </w:r>
      <w:r w:rsidRPr="00AF1DC8">
        <w:rPr>
          <w:rFonts w:ascii="Narkisim" w:hAnsi="Narkisim"/>
          <w:rtl/>
        </w:rPr>
        <w:t>. וכה"ק ב</w:t>
      </w:r>
      <w:r w:rsidRPr="00AF1DC8">
        <w:rPr>
          <w:rFonts w:ascii="Narkisim" w:hAnsi="Narkisim"/>
          <w:b/>
          <w:bCs/>
          <w:rtl/>
        </w:rPr>
        <w:t>חי' ר"א מן ההר</w:t>
      </w:r>
      <w:r w:rsidRPr="00AF1DC8">
        <w:rPr>
          <w:rFonts w:ascii="Narkisim" w:hAnsi="Narkisim"/>
        </w:rPr>
        <w:t>.</w:t>
      </w:r>
    </w:p>
    <w:p w14:paraId="4E108A81"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קה”י</w:t>
      </w:r>
      <w:r w:rsidRPr="00AF1DC8">
        <w:rPr>
          <w:rFonts w:ascii="Narkisim" w:hAnsi="Narkisim"/>
          <w:rtl/>
        </w:rPr>
        <w:t xml:space="preserve"> (לה) כת' דאף לדעת הרי"ף יש לו </w:t>
      </w:r>
      <w:r w:rsidRPr="00AF1DC8">
        <w:rPr>
          <w:rFonts w:ascii="Narkisim" w:hAnsi="Narkisim"/>
          <w:i/>
          <w:iCs/>
          <w:rtl/>
        </w:rPr>
        <w:t>זכות</w:t>
      </w:r>
      <w:r w:rsidRPr="00AF1DC8">
        <w:rPr>
          <w:rFonts w:ascii="Narkisim" w:hAnsi="Narkisim"/>
          <w:rtl/>
        </w:rPr>
        <w:t xml:space="preserve"> לכופו לעבדות, אלא דבעינן מעשה קבלת מצוות שיחשב גירות. ועוד תי' ה</w:t>
      </w:r>
      <w:r w:rsidRPr="00AF1DC8">
        <w:rPr>
          <w:rFonts w:ascii="Narkisim" w:hAnsi="Narkisim"/>
          <w:b/>
          <w:bCs/>
          <w:rtl/>
        </w:rPr>
        <w:t>אחרונים</w:t>
      </w:r>
      <w:r w:rsidRPr="00AF1DC8">
        <w:rPr>
          <w:rFonts w:ascii="Narkisim" w:hAnsi="Narkisim"/>
          <w:rtl/>
        </w:rPr>
        <w:t xml:space="preserve"> דשם איירי שהעבד רוצה להתגייר, ויש  כאן קבלת מצוות, אלא דקנין רבו מעכבו. ומדין בכלל מאתיים מנה נחשב גירות לעבד. אבל היכא דהעבד רוצה לישאר נכרי אין מטבילין בע"כ. [וכדמשמע לקמן מח:]</w:t>
      </w:r>
      <w:r w:rsidRPr="00AF1DC8">
        <w:rPr>
          <w:rFonts w:ascii="Narkisim" w:hAnsi="Narkisim"/>
        </w:rPr>
        <w:t>.</w:t>
      </w:r>
    </w:p>
    <w:p w14:paraId="6B9E617C" w14:textId="77777777" w:rsidR="006074A5" w:rsidRPr="00AF1DC8" w:rsidRDefault="006074A5" w:rsidP="006074A5">
      <w:pPr>
        <w:pStyle w:val="a7"/>
        <w:bidi/>
        <w:rPr>
          <w:rFonts w:ascii="Narkisim" w:hAnsi="Narkisim"/>
        </w:rPr>
      </w:pPr>
      <w:r w:rsidRPr="00AF1DC8">
        <w:rPr>
          <w:rFonts w:ascii="Narkisim" w:hAnsi="Narkisim"/>
          <w:rtl/>
        </w:rPr>
        <w:t>וב</w:t>
      </w:r>
      <w:r w:rsidRPr="00AF1DC8">
        <w:rPr>
          <w:rFonts w:ascii="Narkisim" w:hAnsi="Narkisim"/>
          <w:b/>
          <w:bCs/>
          <w:rtl/>
        </w:rPr>
        <w:t xml:space="preserve">חי' ר"א מן ההר </w:t>
      </w:r>
      <w:r w:rsidRPr="00AF1DC8">
        <w:rPr>
          <w:rFonts w:ascii="Narkisim" w:hAnsi="Narkisim"/>
          <w:rtl/>
        </w:rPr>
        <w:t xml:space="preserve">תי' דדוקא לענין להתחייב במצוות א"א להטביל עבד בע"כ, אבל למקני גופו פשיטא דיכול לכופו. </w:t>
      </w:r>
      <w:r w:rsidRPr="00AF1DC8">
        <w:rPr>
          <w:rFonts w:ascii="Narkisim" w:hAnsi="Narkisim"/>
          <w:sz w:val="20"/>
          <w:szCs w:val="20"/>
          <w:rtl/>
        </w:rPr>
        <w:t>ומבואר בדבריו דשייך קנין הגוף אף בלא שנתחייב במצוות [וכדעת ה</w:t>
      </w:r>
      <w:r w:rsidRPr="00AF1DC8">
        <w:rPr>
          <w:rFonts w:ascii="Narkisim" w:hAnsi="Narkisim"/>
          <w:b/>
          <w:bCs/>
          <w:sz w:val="20"/>
          <w:szCs w:val="20"/>
          <w:rtl/>
        </w:rPr>
        <w:t>ראשונים</w:t>
      </w:r>
      <w:r w:rsidRPr="00AF1DC8">
        <w:rPr>
          <w:rFonts w:ascii="Narkisim" w:hAnsi="Narkisim"/>
          <w:sz w:val="20"/>
          <w:szCs w:val="20"/>
          <w:rtl/>
        </w:rPr>
        <w:t xml:space="preserve"> (לעיל מו.) דאף קודם טבילה הוה עבד]. ומבואר דהטבילה הוה 'מעשה קנין' לקנות גופו [וע' מש”כ לעיל מו.], ואף בלא דין עבדות לענין מצוות</w:t>
      </w:r>
      <w:r w:rsidRPr="00AF1DC8">
        <w:rPr>
          <w:rFonts w:ascii="Narkisim" w:hAnsi="Narkisim"/>
          <w:sz w:val="20"/>
          <w:szCs w:val="20"/>
        </w:rPr>
        <w:t>.</w:t>
      </w:r>
    </w:p>
    <w:p w14:paraId="360EBE18" w14:textId="77777777" w:rsidR="006074A5" w:rsidRPr="00AF1DC8" w:rsidRDefault="006074A5" w:rsidP="006074A5">
      <w:pPr>
        <w:bidi/>
        <w:rPr>
          <w:rFonts w:ascii="Narkisim" w:hAnsi="Narkisim" w:cs="Narkisim"/>
        </w:rPr>
      </w:pPr>
      <w:r w:rsidRPr="00AF1DC8">
        <w:rPr>
          <w:rFonts w:ascii="Narkisim" w:hAnsi="Narkisim" w:cs="Narkisim"/>
          <w:i/>
          <w:iCs/>
          <w:sz w:val="21"/>
          <w:szCs w:val="21"/>
          <w:rtl/>
        </w:rPr>
        <w:t>טבילת עבד</w:t>
      </w:r>
      <w:r w:rsidRPr="00AF1DC8">
        <w:rPr>
          <w:rFonts w:ascii="Narkisim" w:hAnsi="Narkisim" w:cs="Narkisim"/>
          <w:rtl/>
        </w:rPr>
        <w:t xml:space="preserve"> - ה</w:t>
      </w:r>
      <w:r w:rsidRPr="00AF1DC8">
        <w:rPr>
          <w:rFonts w:ascii="Narkisim" w:hAnsi="Narkisim" w:cs="Narkisim"/>
          <w:b/>
          <w:bCs/>
          <w:rtl/>
        </w:rPr>
        <w:t>רמב"ם</w:t>
      </w:r>
      <w:r w:rsidRPr="00AF1DC8">
        <w:rPr>
          <w:rFonts w:ascii="Narkisim" w:hAnsi="Narkisim" w:cs="Narkisim"/>
          <w:sz w:val="20"/>
          <w:szCs w:val="20"/>
          <w:rtl/>
        </w:rPr>
        <w:t xml:space="preserve"> (איסו"ב יג יא)</w:t>
      </w:r>
      <w:r w:rsidRPr="00AF1DC8">
        <w:rPr>
          <w:rFonts w:ascii="Narkisim" w:hAnsi="Narkisim" w:cs="Narkisim"/>
          <w:rtl/>
        </w:rPr>
        <w:t xml:space="preserve"> פסק כשם שמלין ומטבילין את הגרים, כך מלין ומטבילין את העבדים לשם עבדות. וצריך לתוקפו במים (כדלעיל מו.) ומודיעו בפני הדיינים שלשם </w:t>
      </w:r>
      <w:r w:rsidRPr="00AF1DC8">
        <w:rPr>
          <w:rFonts w:ascii="Narkisim" w:hAnsi="Narkisim" w:cs="Narkisim"/>
          <w:rtl/>
        </w:rPr>
        <w:lastRenderedPageBreak/>
        <w:t>עבדות מטבילו. אין העבד טובל אלא בפני ג' וביום כגר, שמקצת גירות הוא</w:t>
      </w:r>
      <w:r w:rsidRPr="00AF1DC8">
        <w:rPr>
          <w:rFonts w:ascii="Narkisim" w:hAnsi="Narkisim" w:cs="Narkisim"/>
        </w:rPr>
        <w:t>.</w:t>
      </w:r>
    </w:p>
    <w:p w14:paraId="6E9F75DC"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רמב"ן</w:t>
      </w:r>
      <w:r w:rsidRPr="00AF1DC8">
        <w:rPr>
          <w:rFonts w:ascii="Narkisim" w:hAnsi="Narkisim" w:cs="Narkisim"/>
          <w:rtl/>
        </w:rPr>
        <w:t xml:space="preserve"> (לעיל מו.) הביא דדעת הרב אברצלוני דהלוקח עבד ומטבילו, הרב מברך על הטבילה, שהוא צריך לה ולא העבד. וה</w:t>
      </w:r>
      <w:r w:rsidRPr="00AF1DC8">
        <w:rPr>
          <w:rFonts w:ascii="Narkisim" w:hAnsi="Narkisim" w:cs="Narkisim"/>
          <w:b/>
          <w:bCs/>
          <w:rtl/>
        </w:rPr>
        <w:t>רמב"ן</w:t>
      </w:r>
      <w:r w:rsidRPr="00AF1DC8">
        <w:rPr>
          <w:rFonts w:ascii="Narkisim" w:hAnsi="Narkisim" w:cs="Narkisim"/>
          <w:rtl/>
        </w:rPr>
        <w:t xml:space="preserve"> חלק דהעבד מברך דהוא עושה המצווה ונכנס תחת כנפי השכינה למקצת מצוות</w:t>
      </w:r>
      <w:r w:rsidRPr="00AF1DC8">
        <w:rPr>
          <w:rFonts w:ascii="Narkisim" w:hAnsi="Narkisim" w:cs="Narkisim"/>
        </w:rPr>
        <w:t>.</w:t>
      </w:r>
    </w:p>
    <w:p w14:paraId="76795C46"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מאירי</w:t>
      </w:r>
      <w:r w:rsidRPr="00AF1DC8">
        <w:rPr>
          <w:rFonts w:ascii="Narkisim" w:hAnsi="Narkisim"/>
          <w:rtl/>
        </w:rPr>
        <w:t xml:space="preserve"> כתב נ”ל דהיכא דטבלו מדעתו העבד מברכו, והיכא דבע”כ הרב מברכו. </w:t>
      </w:r>
      <w:r w:rsidRPr="00AF1DC8">
        <w:rPr>
          <w:rFonts w:ascii="Narkisim" w:hAnsi="Narkisim"/>
          <w:sz w:val="20"/>
          <w:szCs w:val="20"/>
          <w:rtl/>
        </w:rPr>
        <w:t>וה</w:t>
      </w:r>
      <w:r w:rsidRPr="00AF1DC8">
        <w:rPr>
          <w:rFonts w:ascii="Narkisim" w:hAnsi="Narkisim"/>
          <w:b/>
          <w:bCs/>
          <w:sz w:val="20"/>
          <w:szCs w:val="20"/>
          <w:rtl/>
        </w:rPr>
        <w:t>גר"א</w:t>
      </w:r>
      <w:r w:rsidRPr="00AF1DC8">
        <w:rPr>
          <w:rFonts w:ascii="Narkisim" w:hAnsi="Narkisim"/>
          <w:sz w:val="20"/>
          <w:szCs w:val="20"/>
          <w:rtl/>
        </w:rPr>
        <w:t xml:space="preserve"> (רסז י) כת' דהעבד מברך כיון דמטבילו מדעתו דוקא [וכדעת הרי”ף]</w:t>
      </w:r>
      <w:r w:rsidRPr="00AF1DC8">
        <w:rPr>
          <w:rFonts w:ascii="Narkisim" w:hAnsi="Narkisim"/>
          <w:sz w:val="20"/>
          <w:szCs w:val="20"/>
        </w:rPr>
        <w:t>.</w:t>
      </w:r>
    </w:p>
    <w:p w14:paraId="28D5E43D" w14:textId="77777777" w:rsidR="006074A5" w:rsidRPr="00AF1DC8" w:rsidRDefault="006074A5" w:rsidP="006074A5">
      <w:pPr>
        <w:pStyle w:val="aa"/>
        <w:bidi/>
        <w:rPr>
          <w:rFonts w:ascii="Narkisim" w:hAnsi="Narkisim"/>
        </w:rPr>
      </w:pPr>
      <w:r w:rsidRPr="00AF1DC8">
        <w:rPr>
          <w:rFonts w:ascii="Narkisim" w:hAnsi="Narkisim"/>
          <w:u w:val="single"/>
          <w:rtl/>
        </w:rPr>
        <w:t>וחוזר ומטבילה לשם שחרור וכו'.</w:t>
      </w:r>
      <w:r w:rsidRPr="00AF1DC8">
        <w:rPr>
          <w:rFonts w:ascii="Narkisim" w:hAnsi="Narkisim"/>
          <w:rtl/>
        </w:rPr>
        <w:t xml:space="preserve"> ה</w:t>
      </w:r>
      <w:r w:rsidRPr="00AF1DC8">
        <w:rPr>
          <w:rFonts w:ascii="Narkisim" w:hAnsi="Narkisim"/>
          <w:b/>
          <w:bCs/>
          <w:rtl/>
        </w:rPr>
        <w:t>ערול"נ</w:t>
      </w:r>
      <w:r w:rsidRPr="00AF1DC8">
        <w:rPr>
          <w:rFonts w:ascii="Narkisim" w:hAnsi="Narkisim"/>
          <w:rtl/>
        </w:rPr>
        <w:t xml:space="preserve"> הקש' דהמשחרר עבדו עובר בעשה. ותי' ע"פ דברי הרמב"ן (גיטין לח:) דלצורך האדון מותר</w:t>
      </w:r>
      <w:r w:rsidRPr="00AF1DC8">
        <w:rPr>
          <w:rFonts w:ascii="Narkisim" w:hAnsi="Narkisim"/>
        </w:rPr>
        <w:t>.</w:t>
      </w:r>
    </w:p>
    <w:p w14:paraId="30A1C6E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w:t>
      </w:r>
      <w:r w:rsidRPr="00AF1DC8">
        <w:rPr>
          <w:rFonts w:ascii="Narkisim" w:hAnsi="Narkisim"/>
          <w:sz w:val="20"/>
          <w:szCs w:val="20"/>
          <w:rtl/>
        </w:rPr>
        <w:t>(בגליונות לגר"ח שם)</w:t>
      </w:r>
      <w:r w:rsidRPr="00AF1DC8">
        <w:rPr>
          <w:rFonts w:ascii="Narkisim" w:hAnsi="Narkisim"/>
          <w:rtl/>
        </w:rPr>
        <w:t xml:space="preserve"> הק' דאחרי ששחררו אין לו בעלות עליו, והאיך מטבילו. וכה”ק ה</w:t>
      </w:r>
      <w:r w:rsidRPr="00AF1DC8">
        <w:rPr>
          <w:rFonts w:ascii="Narkisim" w:hAnsi="Narkisim"/>
          <w:b/>
          <w:bCs/>
          <w:rtl/>
        </w:rPr>
        <w:t>אמר”מ</w:t>
      </w:r>
      <w:r w:rsidRPr="00AF1DC8">
        <w:rPr>
          <w:rFonts w:ascii="Narkisim" w:hAnsi="Narkisim"/>
          <w:rtl/>
        </w:rPr>
        <w:t xml:space="preserve"> </w:t>
      </w:r>
      <w:r w:rsidRPr="00AF1DC8">
        <w:rPr>
          <w:rFonts w:ascii="Narkisim" w:hAnsi="Narkisim"/>
          <w:szCs w:val="20"/>
          <w:rtl/>
        </w:rPr>
        <w:t xml:space="preserve">(כב כו) </w:t>
      </w:r>
      <w:r w:rsidRPr="00AF1DC8">
        <w:rPr>
          <w:rFonts w:ascii="Narkisim" w:hAnsi="Narkisim"/>
          <w:rtl/>
        </w:rPr>
        <w:t>דאת”ל דהוה תוספת בגירות</w:t>
      </w:r>
      <w:r w:rsidRPr="00AF1DC8">
        <w:rPr>
          <w:rFonts w:ascii="Narkisim" w:hAnsi="Narkisim"/>
          <w:sz w:val="20"/>
          <w:szCs w:val="20"/>
          <w:rtl/>
        </w:rPr>
        <w:t xml:space="preserve"> [וכפשטות הרמב”ם]</w:t>
      </w:r>
      <w:r w:rsidRPr="00AF1DC8">
        <w:rPr>
          <w:rFonts w:ascii="Narkisim" w:hAnsi="Narkisim"/>
          <w:rtl/>
        </w:rPr>
        <w:t xml:space="preserve"> מה שייך זה לאדון [שכבר שחררו]. ותי' דאף לדעת הרמב"ם העבדות מונע שלא ליכנס לקדושת ישראל, ולכן יש לאדון זכות לזה, וכמו שיש זכות לשחרר בע"כ. אבל ה</w:t>
      </w:r>
      <w:r w:rsidRPr="00AF1DC8">
        <w:rPr>
          <w:rFonts w:ascii="Narkisim" w:hAnsi="Narkisim"/>
          <w:b/>
          <w:bCs/>
          <w:rtl/>
        </w:rPr>
        <w:t>גר"ח</w:t>
      </w:r>
      <w:r w:rsidRPr="00AF1DC8">
        <w:rPr>
          <w:rFonts w:ascii="Narkisim" w:hAnsi="Narkisim"/>
          <w:rtl/>
        </w:rPr>
        <w:t xml:space="preserve"> כת' דהוה חיוב בגופו שיתחייב בשאר מצוות, ותחול ממילא השלמת הגירות</w:t>
      </w:r>
      <w:r w:rsidRPr="00AF1DC8">
        <w:rPr>
          <w:rStyle w:val="ac"/>
          <w:rFonts w:ascii="Narkisim" w:hAnsi="Narkisim"/>
          <w:rtl/>
        </w:rPr>
        <w:footnoteReference w:id="2914"/>
      </w:r>
      <w:r w:rsidRPr="00AF1DC8">
        <w:rPr>
          <w:rFonts w:ascii="Narkisim" w:hAnsi="Narkisim"/>
        </w:rPr>
        <w:t>.</w:t>
      </w:r>
    </w:p>
    <w:p w14:paraId="4958AED0" w14:textId="77777777" w:rsidR="006074A5" w:rsidRPr="00AF1DC8" w:rsidRDefault="006074A5" w:rsidP="006074A5">
      <w:pPr>
        <w:bidi/>
        <w:rPr>
          <w:rFonts w:ascii="Narkisim" w:hAnsi="Narkisim" w:cs="Narkisim"/>
        </w:rPr>
      </w:pPr>
      <w:r w:rsidRPr="00AF1DC8">
        <w:rPr>
          <w:rFonts w:ascii="Narkisim" w:hAnsi="Narkisim" w:cs="Narkisim"/>
          <w:u w:val="single"/>
          <w:rtl/>
        </w:rPr>
        <w:t>רש"י ד"ה אבל עבד.</w:t>
      </w:r>
      <w:r w:rsidRPr="00AF1DC8">
        <w:rPr>
          <w:rFonts w:ascii="Narkisim" w:hAnsi="Narkisim" w:cs="Narkisim"/>
          <w:rtl/>
        </w:rPr>
        <w:t xml:space="preserve"> דכתיב למען ינוח, ועוד דגמרי' לה לה מאשה. משמע דמהך דרשא ילפי' לחייב עבד במצוות</w:t>
      </w:r>
      <w:r w:rsidRPr="00AF1DC8">
        <w:rPr>
          <w:rFonts w:ascii="Narkisim" w:hAnsi="Narkisim" w:cs="Narkisim"/>
        </w:rPr>
        <w:t>.</w:t>
      </w:r>
    </w:p>
    <w:p w14:paraId="6A37370E"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מגיה למשנ"ל</w:t>
      </w:r>
      <w:r w:rsidRPr="00AF1DC8">
        <w:rPr>
          <w:rFonts w:ascii="Narkisim" w:hAnsi="Narkisim"/>
          <w:rtl/>
        </w:rPr>
        <w:t xml:space="preserve"> (מלכים י ז) דן האם ילפי' לה לה לחייב עבדים במצוות</w:t>
      </w:r>
      <w:r w:rsidRPr="00AF1DC8">
        <w:rPr>
          <w:rStyle w:val="ac"/>
          <w:rFonts w:ascii="Narkisim" w:hAnsi="Narkisim"/>
          <w:rtl/>
        </w:rPr>
        <w:footnoteReference w:id="2915"/>
      </w:r>
      <w:r w:rsidRPr="00AF1DC8">
        <w:rPr>
          <w:rFonts w:ascii="Narkisim" w:hAnsi="Narkisim"/>
        </w:rPr>
        <w:t xml:space="preserve">, </w:t>
      </w:r>
      <w:r w:rsidRPr="00AF1DC8">
        <w:rPr>
          <w:rFonts w:ascii="Narkisim" w:hAnsi="Narkisim"/>
          <w:rtl/>
        </w:rPr>
        <w:t>או דהוה גדר 'פטור', דילפי' לפטור ממצוות עשה שהזמן גרמא, וכמו אשה</w:t>
      </w:r>
      <w:r w:rsidRPr="00AF1DC8">
        <w:rPr>
          <w:rStyle w:val="ac"/>
          <w:rFonts w:ascii="Narkisim" w:hAnsi="Narkisim"/>
          <w:rtl/>
        </w:rPr>
        <w:footnoteReference w:id="2916"/>
      </w:r>
      <w:r w:rsidRPr="00AF1DC8">
        <w:rPr>
          <w:rFonts w:ascii="Narkisim" w:hAnsi="Narkisim"/>
        </w:rPr>
        <w:t xml:space="preserve">. </w:t>
      </w:r>
      <w:r w:rsidRPr="00AF1DC8">
        <w:rPr>
          <w:rFonts w:ascii="Narkisim" w:hAnsi="Narkisim"/>
          <w:rtl/>
        </w:rPr>
        <w:t>ונפק"מ במצוות שאשה אינה מתחייבת בהם [מצד אחר]</w:t>
      </w:r>
      <w:r w:rsidRPr="00AF1DC8">
        <w:rPr>
          <w:rStyle w:val="ac"/>
          <w:rFonts w:ascii="Narkisim" w:hAnsi="Narkisim"/>
          <w:rtl/>
        </w:rPr>
        <w:footnoteReference w:id="2917"/>
      </w:r>
      <w:r w:rsidRPr="00AF1DC8">
        <w:rPr>
          <w:rFonts w:ascii="Narkisim" w:hAnsi="Narkisim"/>
        </w:rPr>
        <w:t>.</w:t>
      </w:r>
    </w:p>
    <w:p w14:paraId="6347F797"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(ע"ז יב ב) פסק דעבדים חייבין על הקפת הראש, ואף דנשים פטורים. והאחרונים הק' מנלן לחייבם. ו</w:t>
      </w:r>
      <w:r w:rsidRPr="00AF1DC8">
        <w:rPr>
          <w:rFonts w:ascii="Narkisim" w:hAnsi="Narkisim"/>
          <w:b/>
          <w:bCs/>
          <w:rtl/>
        </w:rPr>
        <w:t>רע"א</w:t>
      </w:r>
      <w:r w:rsidRPr="00AF1DC8">
        <w:rPr>
          <w:rFonts w:ascii="Narkisim" w:hAnsi="Narkisim"/>
          <w:rtl/>
        </w:rPr>
        <w:t xml:space="preserve"> (בשו”ע רסז) ביאר דס"ל דילפי' לחייב עבדים, כיון דבנשים אין היכי תמצי</w:t>
      </w:r>
      <w:r w:rsidRPr="00AF1DC8">
        <w:rPr>
          <w:rFonts w:ascii="Narkisim" w:hAnsi="Narkisim"/>
        </w:rPr>
        <w:t>.</w:t>
      </w:r>
    </w:p>
    <w:p w14:paraId="5AF23E16" w14:textId="77777777" w:rsidR="006074A5" w:rsidRPr="00AF1DC8" w:rsidRDefault="006074A5" w:rsidP="006074A5">
      <w:pPr>
        <w:pStyle w:val="3"/>
        <w:bidi/>
        <w:rPr>
          <w:rFonts w:ascii="Narkisim" w:hAnsi="Narkisim"/>
        </w:rPr>
      </w:pPr>
      <w:r w:rsidRPr="00AF1DC8">
        <w:rPr>
          <w:rFonts w:ascii="Narkisim" w:hAnsi="Narkisim"/>
          <w:rtl/>
        </w:rPr>
        <w:t>דף מח</w:t>
      </w:r>
      <w:r w:rsidRPr="00AF1DC8">
        <w:rPr>
          <w:rFonts w:ascii="Narkisim" w:hAnsi="Narkisim"/>
        </w:rPr>
        <w:t>.</w:t>
      </w:r>
    </w:p>
    <w:p w14:paraId="1A44B0DB" w14:textId="77777777" w:rsidR="006074A5" w:rsidRPr="00AF1DC8" w:rsidRDefault="006074A5" w:rsidP="006074A5">
      <w:pPr>
        <w:pStyle w:val="aa"/>
        <w:bidi/>
        <w:rPr>
          <w:rFonts w:ascii="Narkisim" w:hAnsi="Narkisim"/>
        </w:rPr>
      </w:pPr>
      <w:r w:rsidRPr="00AF1DC8">
        <w:rPr>
          <w:rFonts w:ascii="Narkisim" w:hAnsi="Narkisim"/>
          <w:u w:val="single"/>
          <w:rtl/>
        </w:rPr>
        <w:t>עבד איש ולא עבד אשה.</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בתמיה, דפשיטא דאשה שקנתה עבדים צריכים מילה. ומעכב שאינה אוכלת קרבן פסח. וה</w:t>
      </w:r>
      <w:r w:rsidRPr="00AF1DC8">
        <w:rPr>
          <w:rFonts w:ascii="Narkisim" w:hAnsi="Narkisim"/>
          <w:b/>
          <w:bCs/>
          <w:rtl/>
        </w:rPr>
        <w:t>מהרש"א</w:t>
      </w:r>
      <w:r w:rsidRPr="00AF1DC8">
        <w:rPr>
          <w:rFonts w:ascii="Narkisim" w:hAnsi="Narkisim"/>
          <w:rtl/>
        </w:rPr>
        <w:t xml:space="preserve"> (לקמן עא:) דן דאשה אינה חייבת למול את בנה (וכדאי' קידושין כט.) [ולכאורה אף עבד שלה]. ומבואר דאפ”ה מעכבתה מלאכול בפסח</w:t>
      </w:r>
      <w:r w:rsidRPr="00AF1DC8">
        <w:rPr>
          <w:rStyle w:val="ac"/>
          <w:rFonts w:ascii="Narkisim" w:hAnsi="Narkisim"/>
          <w:rtl/>
        </w:rPr>
        <w:footnoteReference w:id="2918"/>
      </w:r>
      <w:r w:rsidRPr="00AF1DC8">
        <w:rPr>
          <w:rFonts w:ascii="Narkisim" w:hAnsi="Narkisim"/>
        </w:rPr>
        <w:t xml:space="preserve"> </w:t>
      </w:r>
      <w:r w:rsidRPr="00AF1DC8">
        <w:rPr>
          <w:rFonts w:ascii="Narkisim" w:hAnsi="Narkisim"/>
          <w:rtl/>
        </w:rPr>
        <w:t xml:space="preserve">[וע”ע </w:t>
      </w:r>
      <w:r w:rsidRPr="00AF1DC8">
        <w:rPr>
          <w:rFonts w:ascii="Narkisim" w:hAnsi="Narkisim"/>
          <w:b/>
          <w:bCs/>
          <w:rtl/>
        </w:rPr>
        <w:t>שאג”א</w:t>
      </w:r>
      <w:r w:rsidRPr="00AF1DC8">
        <w:rPr>
          <w:rFonts w:ascii="Narkisim" w:hAnsi="Narkisim"/>
          <w:rtl/>
        </w:rPr>
        <w:t xml:space="preserve"> נג]. אך ה</w:t>
      </w:r>
      <w:r w:rsidRPr="00AF1DC8">
        <w:rPr>
          <w:rFonts w:ascii="Narkisim" w:hAnsi="Narkisim"/>
          <w:b/>
          <w:bCs/>
          <w:rtl/>
        </w:rPr>
        <w:t>מנח”ח</w:t>
      </w:r>
      <w:r w:rsidRPr="00AF1DC8">
        <w:rPr>
          <w:rFonts w:ascii="Narkisim" w:hAnsi="Narkisim"/>
          <w:rtl/>
        </w:rPr>
        <w:t xml:space="preserve"> (יז יג) כתב דאשה מצווה במילת עבדיה</w:t>
      </w:r>
      <w:r w:rsidRPr="00AF1DC8">
        <w:rPr>
          <w:rStyle w:val="ac"/>
          <w:rFonts w:ascii="Narkisim" w:hAnsi="Narkisim"/>
          <w:rtl/>
        </w:rPr>
        <w:footnoteReference w:id="2919"/>
      </w:r>
      <w:r w:rsidRPr="00AF1DC8">
        <w:rPr>
          <w:rFonts w:ascii="Narkisim" w:hAnsi="Narkisim"/>
        </w:rPr>
        <w:t xml:space="preserve">, </w:t>
      </w:r>
      <w:r w:rsidRPr="00AF1DC8">
        <w:rPr>
          <w:rFonts w:ascii="Narkisim" w:hAnsi="Narkisim"/>
          <w:rtl/>
        </w:rPr>
        <w:t>ואף דאינה מצווה במילת בנה</w:t>
      </w:r>
      <w:r w:rsidRPr="00AF1DC8">
        <w:rPr>
          <w:rStyle w:val="ac"/>
          <w:rFonts w:ascii="Narkisim" w:hAnsi="Narkisim"/>
          <w:rtl/>
        </w:rPr>
        <w:footnoteReference w:id="2920"/>
      </w:r>
      <w:r w:rsidRPr="00AF1DC8">
        <w:rPr>
          <w:rFonts w:ascii="Narkisim" w:hAnsi="Narkisim"/>
        </w:rPr>
        <w:t>.</w:t>
      </w:r>
    </w:p>
    <w:p w14:paraId="58417362" w14:textId="77777777" w:rsidR="006074A5" w:rsidRPr="00AF1DC8" w:rsidRDefault="006074A5" w:rsidP="006074A5">
      <w:pPr>
        <w:pStyle w:val="aa"/>
        <w:bidi/>
        <w:rPr>
          <w:rFonts w:ascii="Narkisim" w:hAnsi="Narkisim"/>
        </w:rPr>
      </w:pPr>
      <w:r w:rsidRPr="00AF1DC8">
        <w:rPr>
          <w:rFonts w:ascii="Narkisim" w:hAnsi="Narkisim"/>
          <w:u w:val="single"/>
          <w:rtl/>
        </w:rPr>
        <w:t>שם. ולא עבד אשה</w:t>
      </w:r>
      <w:r w:rsidRPr="00AF1DC8">
        <w:rPr>
          <w:rFonts w:ascii="Narkisim" w:hAnsi="Narkisim"/>
          <w:rtl/>
        </w:rPr>
        <w:t>. מבואר דלא מסתבר לגמ' דיש מיעוט למעט אשה. אבל ה</w:t>
      </w:r>
      <w:r w:rsidRPr="00AF1DC8">
        <w:rPr>
          <w:rFonts w:ascii="Narkisim" w:hAnsi="Narkisim"/>
          <w:b/>
          <w:bCs/>
          <w:rtl/>
        </w:rPr>
        <w:t>כס"מ</w:t>
      </w:r>
      <w:r w:rsidRPr="00AF1DC8">
        <w:rPr>
          <w:rFonts w:ascii="Narkisim" w:hAnsi="Narkisim"/>
          <w:rtl/>
        </w:rPr>
        <w:t xml:space="preserve"> (ק”פ ה ו) כת' דאפשר דהרמב"ם דרש ולא עבד אשה וקטן</w:t>
      </w:r>
      <w:r w:rsidRPr="00AF1DC8">
        <w:rPr>
          <w:rStyle w:val="ac"/>
          <w:rFonts w:ascii="Narkisim" w:hAnsi="Narkisim"/>
          <w:rtl/>
        </w:rPr>
        <w:footnoteReference w:id="2921"/>
      </w:r>
      <w:r w:rsidRPr="00AF1DC8">
        <w:rPr>
          <w:rFonts w:ascii="Narkisim" w:hAnsi="Narkisim"/>
        </w:rPr>
        <w:t xml:space="preserve">, </w:t>
      </w:r>
      <w:r w:rsidRPr="00AF1DC8">
        <w:rPr>
          <w:rFonts w:ascii="Narkisim" w:hAnsi="Narkisim"/>
          <w:rtl/>
        </w:rPr>
        <w:t>דנתמעט דאינו מעכבם. וה</w:t>
      </w:r>
      <w:r w:rsidRPr="00AF1DC8">
        <w:rPr>
          <w:rFonts w:ascii="Narkisim" w:hAnsi="Narkisim"/>
          <w:b/>
          <w:bCs/>
          <w:rtl/>
        </w:rPr>
        <w:t>משנ”ל</w:t>
      </w:r>
      <w:r w:rsidRPr="00AF1DC8">
        <w:rPr>
          <w:rFonts w:ascii="Narkisim" w:hAnsi="Narkisim"/>
          <w:rtl/>
        </w:rPr>
        <w:t xml:space="preserve"> תמה ע"פ הגמ' כאן</w:t>
      </w:r>
      <w:r w:rsidRPr="00AF1DC8">
        <w:rPr>
          <w:rFonts w:ascii="Narkisim" w:hAnsi="Narkisim"/>
        </w:rPr>
        <w:t>.</w:t>
      </w:r>
    </w:p>
    <w:p w14:paraId="61F46EC9" w14:textId="77777777" w:rsidR="006074A5" w:rsidRPr="00AF1DC8" w:rsidRDefault="006074A5" w:rsidP="006074A5">
      <w:pPr>
        <w:bidi/>
        <w:rPr>
          <w:rFonts w:ascii="Narkisim" w:hAnsi="Narkisim" w:cs="Narkisim"/>
        </w:rPr>
      </w:pPr>
      <w:r w:rsidRPr="00AF1DC8">
        <w:rPr>
          <w:rFonts w:ascii="Narkisim" w:hAnsi="Narkisim" w:cs="Narkisim"/>
          <w:u w:val="single"/>
          <w:rtl/>
        </w:rPr>
        <w:t>אמר רבא מ"ט דר"ש ב"א עבד איש אתה מל בע"כ</w:t>
      </w:r>
      <w:r w:rsidRPr="00AF1DC8">
        <w:rPr>
          <w:rStyle w:val="ac"/>
          <w:rFonts w:ascii="Narkisim" w:hAnsi="Narkisim" w:cs="Narkisim"/>
          <w:u w:val="single"/>
          <w:rtl/>
        </w:rPr>
        <w:footnoteReference w:id="2922"/>
      </w:r>
      <w:r w:rsidRPr="00AF1DC8">
        <w:rPr>
          <w:rFonts w:ascii="Narkisim" w:hAnsi="Narkisim" w:cs="Narkisim"/>
          <w:u w:val="single"/>
        </w:rPr>
        <w:t xml:space="preserve"> </w:t>
      </w:r>
      <w:r w:rsidRPr="00AF1DC8">
        <w:rPr>
          <w:rFonts w:ascii="Narkisim" w:hAnsi="Narkisim" w:cs="Narkisim"/>
          <w:u w:val="single"/>
          <w:rtl/>
        </w:rPr>
        <w:t>וכו'</w:t>
      </w:r>
      <w:r w:rsidRPr="00AF1DC8">
        <w:rPr>
          <w:rStyle w:val="ac"/>
          <w:rFonts w:ascii="Narkisim" w:hAnsi="Narkisim" w:cs="Narkisim"/>
          <w:u w:val="single"/>
          <w:rtl/>
        </w:rPr>
        <w:footnoteReference w:id="2923"/>
      </w:r>
      <w:r w:rsidRPr="00AF1DC8">
        <w:rPr>
          <w:rFonts w:ascii="Narkisim" w:hAnsi="Narkisim" w:cs="Narkisim"/>
          <w:u w:val="single"/>
          <w:rtl/>
        </w:rPr>
        <w:t xml:space="preserve"> ורבנן וכו'.</w:t>
      </w:r>
      <w:r w:rsidRPr="00AF1DC8">
        <w:rPr>
          <w:rFonts w:ascii="Narkisim" w:hAnsi="Narkisim" w:cs="Narkisim"/>
          <w:rtl/>
        </w:rPr>
        <w:t xml:space="preserve"> דר"א ב"א דרש דרשאי למול [לשם עבדות] בע"כ. ומשמע דרבנן פליגי, דאינו רשאי למולו לשם עבדות בע"כ. </w:t>
      </w:r>
      <w:r w:rsidRPr="00AF1DC8">
        <w:rPr>
          <w:rFonts w:ascii="Narkisim" w:hAnsi="Narkisim" w:cs="Narkisim"/>
          <w:rtl/>
        </w:rPr>
        <w:lastRenderedPageBreak/>
        <w:t>וכדעת ה</w:t>
      </w:r>
      <w:r w:rsidRPr="00AF1DC8">
        <w:rPr>
          <w:rFonts w:ascii="Narkisim" w:hAnsi="Narkisim" w:cs="Narkisim"/>
          <w:b/>
          <w:bCs/>
          <w:rtl/>
        </w:rPr>
        <w:t>רי"ף</w:t>
      </w:r>
      <w:r w:rsidRPr="00AF1DC8">
        <w:rPr>
          <w:rFonts w:ascii="Narkisim" w:hAnsi="Narkisim" w:cs="Narkisim"/>
          <w:rtl/>
        </w:rPr>
        <w:t xml:space="preserve"> דלרבנן עבד צריך קבלה למילה וטבילה לשם עבדות</w:t>
      </w:r>
      <w:r w:rsidRPr="00AF1DC8">
        <w:rPr>
          <w:rFonts w:ascii="Narkisim" w:hAnsi="Narkisim" w:cs="Narkisim"/>
        </w:rPr>
        <w:t>.</w:t>
      </w:r>
    </w:p>
    <w:p w14:paraId="794AFC58" w14:textId="77777777" w:rsidR="006074A5" w:rsidRPr="00AF1DC8" w:rsidRDefault="006074A5" w:rsidP="006074A5">
      <w:pPr>
        <w:pStyle w:val="a7"/>
        <w:bidi/>
        <w:rPr>
          <w:rFonts w:ascii="Narkisim" w:hAnsi="Narkisim"/>
        </w:rPr>
      </w:pPr>
      <w:r w:rsidRPr="00AF1DC8">
        <w:rPr>
          <w:rFonts w:ascii="Narkisim" w:hAnsi="Narkisim"/>
          <w:rtl/>
        </w:rPr>
        <w:t xml:space="preserve">אך לדעת </w:t>
      </w:r>
      <w:r w:rsidRPr="00AF1DC8">
        <w:rPr>
          <w:rFonts w:ascii="Narkisim" w:hAnsi="Narkisim"/>
          <w:b/>
          <w:bCs/>
          <w:rtl/>
        </w:rPr>
        <w:t>רש”י</w:t>
      </w:r>
      <w:r w:rsidRPr="00AF1DC8">
        <w:rPr>
          <w:rFonts w:ascii="Narkisim" w:hAnsi="Narkisim"/>
          <w:rtl/>
        </w:rPr>
        <w:t xml:space="preserve"> (הנ"ל) אף רבנן מודו דנעשה עבד בע"כ, ופליגי האם מטביל לשם שחרור בע”כ. ולכאו' צ"ל דנתמעט במילת שחרור, אך צ”ב דקרא איירי בטבילת עבדות</w:t>
      </w:r>
      <w:r w:rsidRPr="00AF1DC8">
        <w:rPr>
          <w:rStyle w:val="ac"/>
          <w:rFonts w:ascii="Narkisim" w:hAnsi="Narkisim"/>
          <w:rtl/>
        </w:rPr>
        <w:footnoteReference w:id="2924"/>
      </w:r>
      <w:r w:rsidRPr="00AF1DC8">
        <w:rPr>
          <w:rFonts w:ascii="Narkisim" w:hAnsi="Narkisim"/>
        </w:rPr>
        <w:t xml:space="preserve"> </w:t>
      </w:r>
      <w:r w:rsidRPr="00AF1DC8">
        <w:rPr>
          <w:rFonts w:ascii="Narkisim" w:hAnsi="Narkisim"/>
          <w:sz w:val="20"/>
          <w:szCs w:val="20"/>
          <w:rtl/>
        </w:rPr>
        <w:t>[וכה”ק ה</w:t>
      </w:r>
      <w:r w:rsidRPr="00AF1DC8">
        <w:rPr>
          <w:rFonts w:ascii="Narkisim" w:hAnsi="Narkisim"/>
          <w:b/>
          <w:bCs/>
          <w:sz w:val="20"/>
          <w:szCs w:val="20"/>
          <w:rtl/>
        </w:rPr>
        <w:t>מהרש”א</w:t>
      </w:r>
      <w:r w:rsidRPr="00AF1DC8">
        <w:rPr>
          <w:rFonts w:ascii="Narkisim" w:hAnsi="Narkisim"/>
          <w:sz w:val="20"/>
          <w:szCs w:val="20"/>
          <w:rtl/>
        </w:rPr>
        <w:t>]</w:t>
      </w:r>
      <w:r w:rsidRPr="00AF1DC8">
        <w:rPr>
          <w:rFonts w:ascii="Narkisim" w:hAnsi="Narkisim"/>
        </w:rPr>
        <w:t>.</w:t>
      </w:r>
    </w:p>
    <w:p w14:paraId="4CBFA851"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פי' דלא איצטריך לטבילת עבדות. ואם אינו ענין לטבילת עבדות, בא למעט עבד דכוותיה, לשחרור. ועוד פי' ה</w:t>
      </w:r>
      <w:r w:rsidRPr="00AF1DC8">
        <w:rPr>
          <w:rFonts w:ascii="Narkisim" w:hAnsi="Narkisim"/>
          <w:b/>
          <w:bCs/>
          <w:rtl/>
        </w:rPr>
        <w:t>תוס' הרא"ש</w:t>
      </w:r>
      <w:r w:rsidRPr="00AF1DC8">
        <w:rPr>
          <w:rFonts w:ascii="Narkisim" w:hAnsi="Narkisim"/>
          <w:rtl/>
        </w:rPr>
        <w:t xml:space="preserve"> דר"ש ב"א משמע ליה דדרשי' שאתה מל בע"כ, וה"ה לענין שחרור הויא בע”כ. ורבנן פליגי לא ילפי' ה”ה לענין שחרור</w:t>
      </w:r>
      <w:r w:rsidRPr="00AF1DC8">
        <w:rPr>
          <w:rFonts w:ascii="Narkisim" w:hAnsi="Narkisim"/>
        </w:rPr>
        <w:t>.</w:t>
      </w:r>
    </w:p>
    <w:p w14:paraId="6FA8F813" w14:textId="77777777" w:rsidR="006074A5" w:rsidRPr="00AF1DC8" w:rsidRDefault="006074A5" w:rsidP="006074A5">
      <w:pPr>
        <w:pStyle w:val="a7"/>
        <w:bidi/>
        <w:rPr>
          <w:rFonts w:ascii="Narkisim" w:hAnsi="Narkisim"/>
        </w:rPr>
      </w:pPr>
      <w:r w:rsidRPr="00AF1DC8">
        <w:rPr>
          <w:rFonts w:ascii="Narkisim" w:hAnsi="Narkisim"/>
          <w:rtl/>
        </w:rPr>
        <w:t>אבל ב</w:t>
      </w:r>
      <w:r w:rsidRPr="00AF1DC8">
        <w:rPr>
          <w:rFonts w:ascii="Narkisim" w:hAnsi="Narkisim"/>
          <w:b/>
          <w:bCs/>
          <w:rtl/>
        </w:rPr>
        <w:t>חי' ר"א מן ההר</w:t>
      </w:r>
      <w:r w:rsidRPr="00AF1DC8">
        <w:rPr>
          <w:rFonts w:ascii="Narkisim" w:hAnsi="Narkisim"/>
          <w:rtl/>
        </w:rPr>
        <w:t xml:space="preserve"> כת' דרבא ורב ששת נח' במה פליגי רבנן אר"ש ב"א</w:t>
      </w:r>
      <w:r w:rsidRPr="00AF1DC8">
        <w:rPr>
          <w:rStyle w:val="ac"/>
          <w:rFonts w:ascii="Narkisim" w:hAnsi="Narkisim"/>
          <w:rtl/>
        </w:rPr>
        <w:footnoteReference w:id="2925"/>
      </w:r>
      <w:r w:rsidRPr="00AF1DC8">
        <w:rPr>
          <w:rFonts w:ascii="Narkisim" w:hAnsi="Narkisim"/>
        </w:rPr>
        <w:t xml:space="preserve">, </w:t>
      </w:r>
      <w:r w:rsidRPr="00AF1DC8">
        <w:rPr>
          <w:rFonts w:ascii="Narkisim" w:hAnsi="Narkisim"/>
          <w:rtl/>
        </w:rPr>
        <w:t>דרבא [ורב פפא] ס"ל דנח' בשעה שמטבילו לשם עבדות [וכדעת הרי"ף]. ואילו רב ששת דס"ל דרבנן פליגי דצריך לקבל בשעת שחרור</w:t>
      </w:r>
      <w:r w:rsidRPr="00AF1DC8">
        <w:rPr>
          <w:rFonts w:ascii="Narkisim" w:hAnsi="Narkisim"/>
        </w:rPr>
        <w:t>.</w:t>
      </w:r>
    </w:p>
    <w:p w14:paraId="4041EA23" w14:textId="77777777" w:rsidR="006074A5" w:rsidRPr="00AF1DC8" w:rsidRDefault="006074A5" w:rsidP="006074A5">
      <w:pPr>
        <w:pStyle w:val="aa"/>
        <w:bidi/>
        <w:rPr>
          <w:rFonts w:ascii="Narkisim" w:hAnsi="Narkisim"/>
        </w:rPr>
      </w:pPr>
      <w:r w:rsidRPr="00AF1DC8">
        <w:rPr>
          <w:rFonts w:ascii="Narkisim" w:hAnsi="Narkisim"/>
          <w:u w:val="single"/>
          <w:rtl/>
        </w:rPr>
        <w:t>שם. אתה מל בע"כ</w:t>
      </w:r>
      <w:r w:rsidRPr="00AF1DC8">
        <w:rPr>
          <w:rFonts w:ascii="Narkisim" w:hAnsi="Narkisim"/>
          <w:rtl/>
        </w:rPr>
        <w:t>. לדעת רש"י (הנ"ל) איירי בשעת שחרור. וה</w:t>
      </w:r>
      <w:r w:rsidRPr="00AF1DC8">
        <w:rPr>
          <w:rFonts w:ascii="Narkisim" w:hAnsi="Narkisim"/>
          <w:b/>
          <w:bCs/>
          <w:rtl/>
        </w:rPr>
        <w:t>קה"י</w:t>
      </w:r>
      <w:r w:rsidRPr="00AF1DC8">
        <w:rPr>
          <w:rFonts w:ascii="Narkisim" w:hAnsi="Narkisim"/>
          <w:rtl/>
        </w:rPr>
        <w:t xml:space="preserve"> (לה ב) היכי משכח"ל ערל שצריך מילה, הרי כבר מלו בשעת עבדות [דאינו עבד עד שימול] ואי"צ למול שוב [וכמ"ש הרמב"ן הו' לעיל]. ועיקר הנידון האם מטבילו בע"כ, אך קשה האיך ילפי' מקרא דמילה. ותי' דאיירי דנולדו משפחה</w:t>
      </w:r>
      <w:r w:rsidRPr="00AF1DC8">
        <w:rPr>
          <w:rStyle w:val="ac"/>
          <w:rFonts w:ascii="Narkisim" w:hAnsi="Narkisim"/>
          <w:rtl/>
        </w:rPr>
        <w:footnoteReference w:id="2926"/>
      </w:r>
      <w:r w:rsidRPr="00AF1DC8">
        <w:rPr>
          <w:rFonts w:ascii="Narkisim" w:hAnsi="Narkisim"/>
        </w:rPr>
        <w:t>.</w:t>
      </w:r>
    </w:p>
    <w:p w14:paraId="3BC016A8" w14:textId="77777777" w:rsidR="006074A5" w:rsidRPr="00AF1DC8" w:rsidRDefault="006074A5" w:rsidP="006074A5">
      <w:pPr>
        <w:pStyle w:val="a8"/>
        <w:bidi/>
        <w:rPr>
          <w:rFonts w:ascii="Narkisim" w:hAnsi="Narkisim"/>
        </w:rPr>
      </w:pPr>
      <w:r w:rsidRPr="00AF1DC8">
        <w:rPr>
          <w:rFonts w:ascii="Narkisim" w:hAnsi="Narkisim"/>
          <w:rtl/>
        </w:rPr>
        <w:t>ויל"ד לר"ש ב"א מה דינו של עבד דלא קיבל עליו מצוות בשעת שחרור, הרי פקע קנין הממון. ולכאורה דמי להגדרה לפני טבילת שחרור [הו' לעיל]. ואפשר דהאדון יכול לחזור ולשעבד בו</w:t>
      </w:r>
      <w:r w:rsidRPr="00AF1DC8">
        <w:rPr>
          <w:rFonts w:ascii="Narkisim" w:hAnsi="Narkisim"/>
        </w:rPr>
        <w:t>.</w:t>
      </w:r>
    </w:p>
    <w:p w14:paraId="533211FB" w14:textId="77777777" w:rsidR="006074A5" w:rsidRPr="00AF1DC8" w:rsidRDefault="006074A5" w:rsidP="006074A5">
      <w:pPr>
        <w:bidi/>
        <w:rPr>
          <w:rFonts w:ascii="Narkisim" w:hAnsi="Narkisim" w:cs="Narkisim"/>
        </w:rPr>
      </w:pPr>
      <w:r w:rsidRPr="00AF1DC8">
        <w:rPr>
          <w:rFonts w:ascii="Narkisim" w:hAnsi="Narkisim" w:cs="Narkisim"/>
          <w:u w:val="single"/>
          <w:rtl/>
        </w:rPr>
        <w:t>רש"י סוד"ה עבד איש.</w:t>
      </w:r>
      <w:r w:rsidRPr="00AF1DC8">
        <w:rPr>
          <w:rFonts w:ascii="Narkisim" w:hAnsi="Narkisim" w:cs="Narkisim"/>
          <w:rtl/>
        </w:rPr>
        <w:t xml:space="preserve"> הבא להתגייר אין כח למול בנו גדול בע”כ. [והריטב"א הק' דפשיטא דאין לו רשות בבנו גדול]. משמע דכשבא להתגייר עם בנו הקטן יכול למולו [ולגיירו] בע"כ. אבל בגמ' (כתובות יא.) אי' דגר קטן הוה מדין זכין לאדם שלא בפניו</w:t>
      </w:r>
      <w:r w:rsidRPr="00AF1DC8">
        <w:rPr>
          <w:rFonts w:ascii="Narkisim" w:hAnsi="Narkisim" w:cs="Narkisim"/>
        </w:rPr>
        <w:t>.</w:t>
      </w:r>
    </w:p>
    <w:p w14:paraId="42E8BA0D" w14:textId="77777777" w:rsidR="006074A5" w:rsidRPr="00AF1DC8" w:rsidRDefault="006074A5" w:rsidP="006074A5">
      <w:pPr>
        <w:pStyle w:val="a8"/>
        <w:bidi/>
        <w:rPr>
          <w:rFonts w:ascii="Narkisim" w:hAnsi="Narkisim"/>
        </w:rPr>
      </w:pPr>
      <w:r w:rsidRPr="00AF1DC8">
        <w:rPr>
          <w:rFonts w:ascii="Narkisim" w:hAnsi="Narkisim"/>
          <w:rtl/>
        </w:rPr>
        <w:t xml:space="preserve">אך </w:t>
      </w:r>
      <w:r w:rsidRPr="00AF1DC8">
        <w:rPr>
          <w:rFonts w:ascii="Narkisim" w:hAnsi="Narkisim"/>
          <w:b/>
          <w:bCs/>
          <w:rtl/>
        </w:rPr>
        <w:t>רש"י</w:t>
      </w:r>
      <w:r w:rsidRPr="00AF1DC8">
        <w:rPr>
          <w:rFonts w:ascii="Narkisim" w:hAnsi="Narkisim"/>
          <w:rtl/>
        </w:rPr>
        <w:t xml:space="preserve"> (שם) כתב כשאין לו אב, משמע כשהאב מטבילו מהני. וה</w:t>
      </w:r>
      <w:r w:rsidRPr="00AF1DC8">
        <w:rPr>
          <w:rFonts w:ascii="Narkisim" w:hAnsi="Narkisim"/>
          <w:b/>
          <w:bCs/>
          <w:rtl/>
        </w:rPr>
        <w:t>מאירי</w:t>
      </w:r>
      <w:r w:rsidRPr="00AF1DC8">
        <w:rPr>
          <w:rFonts w:ascii="Narkisim" w:hAnsi="Narkisim"/>
          <w:rtl/>
        </w:rPr>
        <w:t xml:space="preserve"> (שם) פי' דהאב [העכו"ם] הוא בעלים על בנו הקטן לענין לגיירו</w:t>
      </w:r>
      <w:r w:rsidRPr="00AF1DC8">
        <w:rPr>
          <w:rStyle w:val="ac"/>
          <w:rFonts w:ascii="Narkisim" w:hAnsi="Narkisim"/>
          <w:rtl/>
        </w:rPr>
        <w:footnoteReference w:id="2927"/>
      </w:r>
      <w:r w:rsidRPr="00AF1DC8">
        <w:rPr>
          <w:rFonts w:ascii="Narkisim" w:hAnsi="Narkisim"/>
        </w:rPr>
        <w:t xml:space="preserve">. </w:t>
      </w:r>
      <w:r w:rsidRPr="00AF1DC8">
        <w:rPr>
          <w:rFonts w:ascii="Narkisim" w:hAnsi="Narkisim"/>
          <w:rtl/>
        </w:rPr>
        <w:t>אבל ב</w:t>
      </w:r>
      <w:r w:rsidRPr="00AF1DC8">
        <w:rPr>
          <w:rFonts w:ascii="Narkisim" w:hAnsi="Narkisim"/>
          <w:b/>
          <w:bCs/>
          <w:rtl/>
        </w:rPr>
        <w:t>שיטמ”ק</w:t>
      </w:r>
      <w:r w:rsidRPr="00AF1DC8">
        <w:rPr>
          <w:rFonts w:ascii="Narkisim" w:hAnsi="Narkisim"/>
          <w:rtl/>
        </w:rPr>
        <w:t xml:space="preserve"> (שם) כתב דכוונת רש”י מדין זכין, דבכה”ג הוה זכות לכו”ע</w:t>
      </w:r>
      <w:r w:rsidRPr="00AF1DC8">
        <w:rPr>
          <w:rFonts w:ascii="Narkisim" w:hAnsi="Narkisim"/>
        </w:rPr>
        <w:t>.</w:t>
      </w:r>
    </w:p>
    <w:p w14:paraId="753665D4" w14:textId="77777777" w:rsidR="006074A5" w:rsidRPr="00AF1DC8" w:rsidRDefault="006074A5" w:rsidP="006074A5">
      <w:pPr>
        <w:pStyle w:val="aa"/>
        <w:bidi/>
        <w:rPr>
          <w:rFonts w:ascii="Narkisim" w:hAnsi="Narkisim"/>
        </w:rPr>
      </w:pPr>
      <w:r w:rsidRPr="00AF1DC8">
        <w:rPr>
          <w:rFonts w:ascii="Narkisim" w:hAnsi="Narkisim"/>
          <w:u w:val="single"/>
          <w:rtl/>
        </w:rPr>
        <w:t>תוד"ה אלא.</w:t>
      </w:r>
      <w:r w:rsidRPr="00AF1DC8">
        <w:rPr>
          <w:rFonts w:ascii="Narkisim" w:hAnsi="Narkisim"/>
          <w:rtl/>
        </w:rPr>
        <w:t xml:space="preserve"> שמעכבתו לאכול בפסחו, וזה לא שייך בבנים שלא נולדו בקדושה. וה</w:t>
      </w:r>
      <w:r w:rsidRPr="00AF1DC8">
        <w:rPr>
          <w:rFonts w:ascii="Narkisim" w:hAnsi="Narkisim"/>
          <w:b/>
          <w:bCs/>
          <w:rtl/>
        </w:rPr>
        <w:t>תוס' הרא"ש</w:t>
      </w:r>
      <w:r w:rsidRPr="00AF1DC8">
        <w:rPr>
          <w:rFonts w:ascii="Narkisim" w:hAnsi="Narkisim"/>
          <w:rtl/>
        </w:rPr>
        <w:t xml:space="preserve"> ביאר דגר שנתגייר כקטן שנולד</w:t>
      </w:r>
      <w:r w:rsidRPr="00AF1DC8">
        <w:rPr>
          <w:rStyle w:val="ac"/>
          <w:rFonts w:ascii="Narkisim" w:hAnsi="Narkisim"/>
          <w:rtl/>
        </w:rPr>
        <w:footnoteReference w:id="2928"/>
      </w:r>
      <w:r w:rsidRPr="00AF1DC8">
        <w:rPr>
          <w:rFonts w:ascii="Narkisim" w:hAnsi="Narkisim"/>
        </w:rPr>
        <w:t xml:space="preserve"> </w:t>
      </w:r>
      <w:r w:rsidRPr="00AF1DC8">
        <w:rPr>
          <w:rFonts w:ascii="Narkisim" w:hAnsi="Narkisim"/>
          <w:rtl/>
        </w:rPr>
        <w:t>[ואינו באחריותו שימול, דנימא שמעכב בפסח]. ועוד יש שדנו דאין מצווה עליו לגיירם, ומש"ה אינו מעכב</w:t>
      </w:r>
      <w:r w:rsidRPr="00AF1DC8">
        <w:rPr>
          <w:rFonts w:ascii="Narkisim" w:hAnsi="Narkisim"/>
        </w:rPr>
        <w:t>.</w:t>
      </w:r>
    </w:p>
    <w:p w14:paraId="42ED5F71" w14:textId="77777777" w:rsidR="006074A5" w:rsidRPr="00AF1DC8" w:rsidRDefault="006074A5" w:rsidP="006074A5">
      <w:pPr>
        <w:bidi/>
        <w:rPr>
          <w:rFonts w:ascii="Narkisim" w:hAnsi="Narkisim" w:cs="Narkisim"/>
        </w:rPr>
      </w:pPr>
      <w:r w:rsidRPr="00AF1DC8">
        <w:rPr>
          <w:rFonts w:ascii="Narkisim" w:hAnsi="Narkisim" w:cs="Narkisim"/>
          <w:u w:val="single"/>
          <w:rtl/>
        </w:rPr>
        <w:t>בא"ד ונראה דאי"צ קרא, דממילא ידעינן דלא יגיירוהו בע"כ, ועוד מיפת תואר וכו'.</w:t>
      </w:r>
      <w:r w:rsidRPr="00AF1DC8">
        <w:rPr>
          <w:rFonts w:ascii="Narkisim" w:hAnsi="Narkisim" w:cs="Narkisim"/>
          <w:rtl/>
        </w:rPr>
        <w:t xml:space="preserve"> וכ"כ שא"ר. אבל </w:t>
      </w:r>
      <w:r w:rsidRPr="00AF1DC8">
        <w:rPr>
          <w:rFonts w:ascii="Narkisim" w:hAnsi="Narkisim" w:cs="Narkisim"/>
          <w:b/>
          <w:bCs/>
          <w:rtl/>
        </w:rPr>
        <w:t>רש"י</w:t>
      </w:r>
      <w:r w:rsidRPr="00AF1DC8">
        <w:rPr>
          <w:rStyle w:val="ac"/>
          <w:rFonts w:ascii="Narkisim" w:hAnsi="Narkisim" w:cs="Narkisim"/>
          <w:rtl/>
        </w:rPr>
        <w:footnoteReference w:id="2929"/>
      </w:r>
      <w:r w:rsidRPr="00AF1DC8">
        <w:rPr>
          <w:rFonts w:ascii="Narkisim" w:hAnsi="Narkisim" w:cs="Narkisim"/>
        </w:rPr>
        <w:t xml:space="preserve"> </w:t>
      </w:r>
      <w:r w:rsidRPr="00AF1DC8">
        <w:rPr>
          <w:rFonts w:ascii="Narkisim" w:hAnsi="Narkisim" w:cs="Narkisim"/>
          <w:rtl/>
        </w:rPr>
        <w:t>מבואר דבעי קרא. וה</w:t>
      </w:r>
      <w:r w:rsidRPr="00AF1DC8">
        <w:rPr>
          <w:rFonts w:ascii="Narkisim" w:hAnsi="Narkisim" w:cs="Narkisim"/>
          <w:b/>
          <w:bCs/>
          <w:rtl/>
        </w:rPr>
        <w:t>אחרונים</w:t>
      </w:r>
      <w:r w:rsidRPr="00AF1DC8">
        <w:rPr>
          <w:rStyle w:val="ac"/>
          <w:rFonts w:ascii="Narkisim" w:hAnsi="Narkisim" w:cs="Narkisim"/>
          <w:rtl/>
        </w:rPr>
        <w:footnoteReference w:id="2930"/>
      </w:r>
      <w:r w:rsidRPr="00AF1DC8">
        <w:rPr>
          <w:rFonts w:ascii="Narkisim" w:hAnsi="Narkisim" w:cs="Narkisim"/>
        </w:rPr>
        <w:t xml:space="preserve"> </w:t>
      </w:r>
      <w:r w:rsidRPr="00AF1DC8">
        <w:rPr>
          <w:rFonts w:ascii="Narkisim" w:hAnsi="Narkisim" w:cs="Narkisim"/>
          <w:rtl/>
        </w:rPr>
        <w:t>הביאו מהך ס"ד דהבי"ד פועלים את הגירות [אלא דיש תנאי שיהא מרצונו]</w:t>
      </w:r>
      <w:r w:rsidRPr="00AF1DC8">
        <w:rPr>
          <w:rFonts w:ascii="Narkisim" w:hAnsi="Narkisim" w:cs="Narkisim"/>
        </w:rPr>
        <w:t>.</w:t>
      </w:r>
    </w:p>
    <w:p w14:paraId="27733B68" w14:textId="77777777" w:rsidR="006074A5" w:rsidRPr="00AF1DC8" w:rsidRDefault="006074A5" w:rsidP="006074A5">
      <w:pPr>
        <w:bidi/>
        <w:rPr>
          <w:rFonts w:ascii="Narkisim" w:hAnsi="Narkisim" w:cs="Narkisim"/>
        </w:rPr>
      </w:pPr>
      <w:r w:rsidRPr="00AF1DC8">
        <w:rPr>
          <w:rFonts w:ascii="Narkisim" w:hAnsi="Narkisim" w:cs="Narkisim"/>
          <w:u w:val="single"/>
          <w:rtl/>
        </w:rPr>
        <w:t>בא"ד תימה דרשב"א קאמר (בע"ב) דאין משהין באר"י וכו'.</w:t>
      </w:r>
      <w:r w:rsidRPr="00AF1DC8">
        <w:rPr>
          <w:rFonts w:ascii="Narkisim" w:hAnsi="Narkisim" w:cs="Narkisim"/>
          <w:rtl/>
        </w:rPr>
        <w:t xml:space="preserve"> ה</w:t>
      </w:r>
      <w:r w:rsidRPr="00AF1DC8">
        <w:rPr>
          <w:rFonts w:ascii="Narkisim" w:hAnsi="Narkisim" w:cs="Narkisim"/>
          <w:b/>
          <w:bCs/>
          <w:rtl/>
        </w:rPr>
        <w:t>גר"א</w:t>
      </w:r>
      <w:r w:rsidRPr="00AF1DC8">
        <w:rPr>
          <w:rFonts w:ascii="Narkisim" w:hAnsi="Narkisim" w:cs="Narkisim"/>
          <w:rtl/>
        </w:rPr>
        <w:t xml:space="preserve"> (יו"ד רסז ט) ציין דמשמע דלרבנן ניחא, דלרבנן אין מטבילים עבד לשם עבדות בע"כ, וכדעת ה</w:t>
      </w:r>
      <w:r w:rsidRPr="00AF1DC8">
        <w:rPr>
          <w:rFonts w:ascii="Narkisim" w:hAnsi="Narkisim" w:cs="Narkisim"/>
          <w:b/>
          <w:bCs/>
          <w:rtl/>
        </w:rPr>
        <w:t>רי”ף</w:t>
      </w:r>
      <w:r w:rsidRPr="00AF1DC8">
        <w:rPr>
          <w:rFonts w:ascii="Narkisim" w:hAnsi="Narkisim" w:cs="Narkisim"/>
          <w:rtl/>
        </w:rPr>
        <w:t xml:space="preserve"> ותוס' ע”ז [הו' לעיל בסמוך]</w:t>
      </w:r>
      <w:r w:rsidRPr="00AF1DC8">
        <w:rPr>
          <w:rFonts w:ascii="Narkisim" w:hAnsi="Narkisim" w:cs="Narkisim"/>
        </w:rPr>
        <w:t>.</w:t>
      </w:r>
    </w:p>
    <w:p w14:paraId="0ABAD7F5" w14:textId="77777777" w:rsidR="006074A5" w:rsidRPr="00AF1DC8" w:rsidRDefault="006074A5" w:rsidP="006074A5">
      <w:pPr>
        <w:pStyle w:val="aa"/>
        <w:bidi/>
        <w:rPr>
          <w:rFonts w:ascii="Narkisim" w:hAnsi="Narkisim"/>
        </w:rPr>
      </w:pPr>
      <w:r w:rsidRPr="00AF1DC8">
        <w:rPr>
          <w:rFonts w:ascii="Narkisim" w:hAnsi="Narkisim"/>
          <w:u w:val="single"/>
          <w:rtl/>
        </w:rPr>
        <w:t>בא"ד ועוד דאין טוב לחייבו במצות מאחר דאין חפץ לקיימם.</w:t>
      </w:r>
      <w:r w:rsidRPr="00AF1DC8">
        <w:rPr>
          <w:rFonts w:ascii="Narkisim" w:hAnsi="Narkisim"/>
          <w:rtl/>
        </w:rPr>
        <w:t xml:space="preserve"> וה</w:t>
      </w:r>
      <w:r w:rsidRPr="00AF1DC8">
        <w:rPr>
          <w:rFonts w:ascii="Narkisim" w:hAnsi="Narkisim"/>
          <w:b/>
          <w:bCs/>
          <w:rtl/>
        </w:rPr>
        <w:t>ריטב"א</w:t>
      </w:r>
      <w:r w:rsidRPr="00AF1DC8">
        <w:rPr>
          <w:rFonts w:ascii="Narkisim" w:hAnsi="Narkisim"/>
          <w:rtl/>
        </w:rPr>
        <w:t xml:space="preserve"> (בע"ב) כתב כגון שאומר שלא יעשה שום מצווה, ומכיר בו שהוא עיקש, אין לנו להטבילו בע"כ לכתחילה</w:t>
      </w:r>
      <w:r w:rsidRPr="00AF1DC8">
        <w:rPr>
          <w:rFonts w:ascii="Narkisim" w:hAnsi="Narkisim"/>
        </w:rPr>
        <w:t>.</w:t>
      </w:r>
    </w:p>
    <w:p w14:paraId="3CFB76F2" w14:textId="77777777" w:rsidR="006074A5" w:rsidRPr="00AF1DC8" w:rsidRDefault="006074A5" w:rsidP="006074A5">
      <w:pPr>
        <w:pStyle w:val="aa"/>
        <w:bidi/>
        <w:rPr>
          <w:rFonts w:ascii="Narkisim" w:hAnsi="Narkisim"/>
        </w:rPr>
      </w:pPr>
      <w:r w:rsidRPr="00AF1DC8">
        <w:rPr>
          <w:rFonts w:ascii="Narkisim" w:hAnsi="Narkisim"/>
          <w:u w:val="single"/>
          <w:rtl/>
        </w:rPr>
        <w:t>מתקיף לה רב פפא וכו' אבל עבד דשייך במצות וכו'.</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ששהא כמה ימים וכו'. וה</w:t>
      </w:r>
      <w:r w:rsidRPr="00AF1DC8">
        <w:rPr>
          <w:rFonts w:ascii="Narkisim" w:hAnsi="Narkisim"/>
          <w:b/>
          <w:bCs/>
          <w:rtl/>
        </w:rPr>
        <w:t xml:space="preserve">רמב”ן </w:t>
      </w:r>
      <w:r w:rsidRPr="00AF1DC8">
        <w:rPr>
          <w:rFonts w:ascii="Narkisim" w:hAnsi="Narkisim"/>
          <w:rtl/>
        </w:rPr>
        <w:t>הוסיף כיון דהורגל במצוות שייך גירות של שחרור בע”כ. וה</w:t>
      </w:r>
      <w:r w:rsidRPr="00AF1DC8">
        <w:rPr>
          <w:rFonts w:ascii="Narkisim" w:hAnsi="Narkisim"/>
          <w:b/>
          <w:bCs/>
          <w:rtl/>
        </w:rPr>
        <w:t>קר"א</w:t>
      </w:r>
      <w:r w:rsidRPr="00AF1DC8">
        <w:rPr>
          <w:rFonts w:ascii="Narkisim" w:hAnsi="Narkisim"/>
          <w:rtl/>
        </w:rPr>
        <w:t xml:space="preserve"> כתב דלא נתפרש השיעור 'כמה ימים'. וה</w:t>
      </w:r>
      <w:r w:rsidRPr="00AF1DC8">
        <w:rPr>
          <w:rFonts w:ascii="Narkisim" w:hAnsi="Narkisim"/>
          <w:b/>
          <w:bCs/>
          <w:rtl/>
        </w:rPr>
        <w:t>חזו"א</w:t>
      </w:r>
      <w:r w:rsidRPr="00AF1DC8">
        <w:rPr>
          <w:rFonts w:ascii="Narkisim" w:hAnsi="Narkisim"/>
          <w:rtl/>
        </w:rPr>
        <w:t xml:space="preserve"> ביאר דכל שקיים מצוות מרצונו בלא כפיית האדון</w:t>
      </w:r>
      <w:r w:rsidRPr="00AF1DC8">
        <w:rPr>
          <w:rFonts w:ascii="Narkisim" w:hAnsi="Narkisim"/>
        </w:rPr>
        <w:t>.</w:t>
      </w:r>
    </w:p>
    <w:p w14:paraId="160EEA73" w14:textId="77777777" w:rsidR="006074A5" w:rsidRPr="00AF1DC8" w:rsidRDefault="006074A5" w:rsidP="006074A5">
      <w:pPr>
        <w:bidi/>
        <w:rPr>
          <w:rFonts w:ascii="Narkisim" w:hAnsi="Narkisim" w:cs="Narkisim"/>
        </w:rPr>
      </w:pPr>
      <w:r w:rsidRPr="00AF1DC8">
        <w:rPr>
          <w:rFonts w:ascii="Narkisim" w:hAnsi="Narkisim" w:cs="Narkisim"/>
          <w:u w:val="single"/>
          <w:rtl/>
        </w:rPr>
        <w:t>וש"מ וכו' אבל לוקח מישראל אי"צ לקבל.</w:t>
      </w:r>
      <w:r w:rsidRPr="00AF1DC8">
        <w:rPr>
          <w:rFonts w:ascii="Narkisim" w:hAnsi="Narkisim" w:cs="Narkisim"/>
          <w:rtl/>
        </w:rPr>
        <w:t xml:space="preserve"> בשעת שחרור. ה</w:t>
      </w:r>
      <w:r w:rsidRPr="00AF1DC8">
        <w:rPr>
          <w:rFonts w:ascii="Narkisim" w:hAnsi="Narkisim" w:cs="Narkisim"/>
          <w:b/>
          <w:bCs/>
          <w:rtl/>
        </w:rPr>
        <w:t>גר"ח</w:t>
      </w:r>
      <w:r w:rsidRPr="00AF1DC8">
        <w:rPr>
          <w:rFonts w:ascii="Narkisim" w:hAnsi="Narkisim" w:cs="Narkisim"/>
          <w:rtl/>
        </w:rPr>
        <w:t xml:space="preserve"> (איסו"ב יג יב) הביא מכאן דהשחרור הוה רק סילוק העבדות, וממילא הוה ישראל. והגר"ח כתב דאף למש"כ הרמב"ם דיש בזה השלמת הגירות, מ"מ אי"צ קבלה מחודשת, דמהני לזה דין ישראל שבו, וזה מחייב את גמר הגירות</w:t>
      </w:r>
      <w:r w:rsidRPr="00AF1DC8">
        <w:rPr>
          <w:rFonts w:ascii="Narkisim" w:hAnsi="Narkisim" w:cs="Narkisim"/>
        </w:rPr>
        <w:t>.</w:t>
      </w:r>
    </w:p>
    <w:p w14:paraId="5544EAA9" w14:textId="77777777" w:rsidR="006074A5" w:rsidRPr="00AF1DC8" w:rsidRDefault="006074A5" w:rsidP="006074A5">
      <w:pPr>
        <w:pStyle w:val="a7"/>
        <w:bidi/>
        <w:rPr>
          <w:rFonts w:ascii="Narkisim" w:hAnsi="Narkisim"/>
        </w:rPr>
      </w:pPr>
      <w:r w:rsidRPr="00AF1DC8">
        <w:rPr>
          <w:rFonts w:ascii="Narkisim" w:hAnsi="Narkisim"/>
          <w:rtl/>
        </w:rPr>
        <w:t>אבל ה</w:t>
      </w:r>
      <w:r w:rsidRPr="00AF1DC8">
        <w:rPr>
          <w:rFonts w:ascii="Narkisim" w:hAnsi="Narkisim"/>
          <w:b/>
          <w:bCs/>
          <w:rtl/>
        </w:rPr>
        <w:t>רי"ף</w:t>
      </w:r>
      <w:r w:rsidRPr="00AF1DC8">
        <w:rPr>
          <w:rFonts w:ascii="Narkisim" w:hAnsi="Narkisim"/>
          <w:rtl/>
        </w:rPr>
        <w:t xml:space="preserve"> כת' דאי"צ לקבל 'שכבר קיבל'. [וכ”כ </w:t>
      </w:r>
      <w:r w:rsidRPr="00AF1DC8">
        <w:rPr>
          <w:rFonts w:ascii="Narkisim" w:hAnsi="Narkisim"/>
          <w:b/>
          <w:bCs/>
          <w:rtl/>
        </w:rPr>
        <w:t>ר"ח</w:t>
      </w:r>
      <w:r w:rsidRPr="00AF1DC8">
        <w:rPr>
          <w:rFonts w:ascii="Narkisim" w:hAnsi="Narkisim"/>
          <w:rtl/>
        </w:rPr>
        <w:t xml:space="preserve"> וה</w:t>
      </w:r>
      <w:r w:rsidRPr="00AF1DC8">
        <w:rPr>
          <w:rFonts w:ascii="Narkisim" w:hAnsi="Narkisim"/>
          <w:b/>
          <w:bCs/>
          <w:rtl/>
        </w:rPr>
        <w:t>רמב”ם</w:t>
      </w:r>
      <w:r w:rsidRPr="00AF1DC8">
        <w:rPr>
          <w:rFonts w:ascii="Narkisim" w:hAnsi="Narkisim"/>
          <w:rtl/>
        </w:rPr>
        <w:t xml:space="preserve"> (איסו”ב יג יב)].</w:t>
      </w:r>
      <w:r w:rsidRPr="00AF1DC8">
        <w:rPr>
          <w:rFonts w:ascii="Narkisim" w:hAnsi="Narkisim"/>
          <w:sz w:val="20"/>
          <w:szCs w:val="20"/>
          <w:rtl/>
        </w:rPr>
        <w:t xml:space="preserve"> [דס"ל דבשעת </w:t>
      </w:r>
      <w:r w:rsidRPr="00AF1DC8">
        <w:rPr>
          <w:rFonts w:ascii="Narkisim" w:hAnsi="Narkisim"/>
          <w:sz w:val="20"/>
          <w:szCs w:val="20"/>
          <w:rtl/>
        </w:rPr>
        <w:lastRenderedPageBreak/>
        <w:t>טבילת עבדות צריך קבלת מצוות</w:t>
      </w:r>
      <w:r w:rsidRPr="00AF1DC8">
        <w:rPr>
          <w:rStyle w:val="ac"/>
          <w:rFonts w:ascii="Narkisim" w:hAnsi="Narkisim"/>
          <w:sz w:val="20"/>
          <w:szCs w:val="20"/>
          <w:rtl/>
        </w:rPr>
        <w:footnoteReference w:id="2931"/>
      </w:r>
      <w:r w:rsidRPr="00AF1DC8">
        <w:rPr>
          <w:rFonts w:ascii="Narkisim" w:hAnsi="Narkisim"/>
          <w:sz w:val="20"/>
          <w:szCs w:val="20"/>
          <w:rtl/>
        </w:rPr>
        <w:t>].</w:t>
      </w:r>
      <w:r w:rsidRPr="00AF1DC8">
        <w:rPr>
          <w:rFonts w:ascii="Narkisim" w:hAnsi="Narkisim"/>
          <w:rtl/>
        </w:rPr>
        <w:t xml:space="preserve"> ובפשוטו כוונתו דנחשב גירות מחודשת, אלא דמעשה קבלת המצוות הראשון מהני אף למצוות שנתחייב בשעת שחרור</w:t>
      </w:r>
      <w:r w:rsidRPr="00AF1DC8">
        <w:rPr>
          <w:rStyle w:val="ac"/>
          <w:rFonts w:ascii="Narkisim" w:hAnsi="Narkisim"/>
          <w:rtl/>
        </w:rPr>
        <w:footnoteReference w:id="2932"/>
      </w:r>
      <w:r w:rsidRPr="00AF1DC8">
        <w:rPr>
          <w:rFonts w:ascii="Narkisim" w:hAnsi="Narkisim"/>
        </w:rPr>
        <w:t xml:space="preserve">. </w:t>
      </w:r>
      <w:r w:rsidRPr="00AF1DC8">
        <w:rPr>
          <w:rFonts w:ascii="Narkisim" w:hAnsi="Narkisim"/>
          <w:rtl/>
        </w:rPr>
        <w:t>אך ה</w:t>
      </w:r>
      <w:r w:rsidRPr="00AF1DC8">
        <w:rPr>
          <w:rFonts w:ascii="Narkisim" w:hAnsi="Narkisim"/>
          <w:b/>
          <w:bCs/>
          <w:rtl/>
        </w:rPr>
        <w:t>גר"ח</w:t>
      </w:r>
      <w:r w:rsidRPr="00AF1DC8">
        <w:rPr>
          <w:rFonts w:ascii="Narkisim" w:hAnsi="Narkisim"/>
          <w:rtl/>
        </w:rPr>
        <w:t xml:space="preserve"> (שם) הקשה דהנולד משפחה לא קיבל מצוות מעולם</w:t>
      </w:r>
      <w:r w:rsidRPr="00AF1DC8">
        <w:rPr>
          <w:rFonts w:ascii="Narkisim" w:hAnsi="Narkisim"/>
        </w:rPr>
        <w:t>.</w:t>
      </w:r>
    </w:p>
    <w:p w14:paraId="4FEB27AA"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גר"ח</w:t>
      </w:r>
      <w:r w:rsidRPr="00AF1DC8">
        <w:rPr>
          <w:rFonts w:ascii="Narkisim" w:hAnsi="Narkisim"/>
          <w:rtl/>
        </w:rPr>
        <w:t xml:space="preserve"> כתב דאף כוונת הרי"ף דהוה דין על הגוף שיתחייב במצוות, והוה קבלה בע"כ. אלא דקמ"ל הרי"ף והרמב"ם דבשעה שמטבילין לעבדות בעינן להודיעו אף מצוות בן חורין, דנכלל בקבלה הראשונה. </w:t>
      </w:r>
      <w:r w:rsidRPr="00AF1DC8">
        <w:rPr>
          <w:rFonts w:ascii="Narkisim" w:hAnsi="Narkisim"/>
          <w:sz w:val="20"/>
          <w:szCs w:val="20"/>
          <w:rtl/>
        </w:rPr>
        <w:t>אך ה</w:t>
      </w:r>
      <w:r w:rsidRPr="00AF1DC8">
        <w:rPr>
          <w:rFonts w:ascii="Narkisim" w:hAnsi="Narkisim"/>
          <w:b/>
          <w:bCs/>
          <w:sz w:val="20"/>
          <w:szCs w:val="20"/>
          <w:rtl/>
        </w:rPr>
        <w:t>אחרונים</w:t>
      </w:r>
      <w:r w:rsidRPr="00AF1DC8">
        <w:rPr>
          <w:rFonts w:ascii="Narkisim" w:hAnsi="Narkisim"/>
          <w:sz w:val="20"/>
          <w:szCs w:val="20"/>
          <w:rtl/>
        </w:rPr>
        <w:t xml:space="preserve"> הקשו דהרמב"ם כתב דמודיעין מצוות הנוהגין בעבד, משמע דאינו מקבל שאר מצוות</w:t>
      </w:r>
      <w:r w:rsidRPr="00AF1DC8">
        <w:rPr>
          <w:rFonts w:ascii="Narkisim" w:hAnsi="Narkisim"/>
          <w:sz w:val="20"/>
          <w:szCs w:val="20"/>
        </w:rPr>
        <w:t>.</w:t>
      </w:r>
    </w:p>
    <w:p w14:paraId="0B5D8F89"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ב</w:t>
      </w:r>
      <w:r w:rsidRPr="00AF1DC8">
        <w:rPr>
          <w:rFonts w:ascii="Narkisim" w:hAnsi="Narkisim" w:cs="Narkisim"/>
          <w:b/>
          <w:bCs/>
          <w:rtl/>
        </w:rPr>
        <w:t>תוס' חד מקמאי</w:t>
      </w:r>
      <w:r w:rsidRPr="00AF1DC8">
        <w:rPr>
          <w:rFonts w:ascii="Narkisim" w:hAnsi="Narkisim" w:cs="Narkisim"/>
          <w:rtl/>
        </w:rPr>
        <w:t xml:space="preserve"> (מט.) כתב דטבילת שחרור אי"צ בפני ג', והוכיח דגבי גר אמרי' (קידושין סב:) מי יימר דמזקקו ליה, ואילו בשחרור עבד לא אמרי' הכי'</w:t>
      </w:r>
      <w:r w:rsidRPr="00AF1DC8">
        <w:rPr>
          <w:rStyle w:val="ac"/>
          <w:rFonts w:ascii="Narkisim" w:hAnsi="Narkisim" w:cs="Narkisim"/>
          <w:rtl/>
        </w:rPr>
        <w:footnoteReference w:id="2933"/>
      </w:r>
      <w:r w:rsidRPr="00AF1DC8">
        <w:rPr>
          <w:rFonts w:ascii="Narkisim" w:hAnsi="Narkisim" w:cs="Narkisim"/>
          <w:rtl/>
        </w:rPr>
        <w:t>. ולכאורה הטעם משום דאי"צ קבלת מצוות</w:t>
      </w:r>
      <w:r w:rsidRPr="00AF1DC8">
        <w:rPr>
          <w:rFonts w:ascii="Narkisim" w:hAnsi="Narkisim" w:cs="Narkisim"/>
        </w:rPr>
        <w:t>.</w:t>
      </w:r>
    </w:p>
    <w:p w14:paraId="1F582807"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כן בשם י"מ. והוסיף דעכ"פ לכתחילה צריך ג'</w:t>
      </w:r>
      <w:r w:rsidRPr="00AF1DC8">
        <w:rPr>
          <w:rStyle w:val="ac"/>
          <w:rFonts w:ascii="Narkisim" w:hAnsi="Narkisim"/>
          <w:rtl/>
        </w:rPr>
        <w:footnoteReference w:id="2934"/>
      </w:r>
      <w:r w:rsidRPr="00AF1DC8">
        <w:rPr>
          <w:rFonts w:ascii="Narkisim" w:hAnsi="Narkisim"/>
          <w:rtl/>
        </w:rPr>
        <w:t xml:space="preserve">. אך הביא דדעת </w:t>
      </w:r>
      <w:r w:rsidRPr="00AF1DC8">
        <w:rPr>
          <w:rFonts w:ascii="Narkisim" w:hAnsi="Narkisim"/>
          <w:b/>
          <w:bCs/>
          <w:rtl/>
        </w:rPr>
        <w:t>ר"י אברצלוני</w:t>
      </w:r>
      <w:r w:rsidRPr="00AF1DC8">
        <w:rPr>
          <w:rFonts w:ascii="Narkisim" w:hAnsi="Narkisim"/>
          <w:rtl/>
        </w:rPr>
        <w:t xml:space="preserve"> וה</w:t>
      </w:r>
      <w:r w:rsidRPr="00AF1DC8">
        <w:rPr>
          <w:rFonts w:ascii="Narkisim" w:hAnsi="Narkisim"/>
          <w:b/>
          <w:bCs/>
          <w:rtl/>
        </w:rPr>
        <w:t>רמב"ם</w:t>
      </w:r>
      <w:r w:rsidRPr="00AF1DC8">
        <w:rPr>
          <w:rStyle w:val="ac"/>
          <w:rFonts w:ascii="Narkisim" w:hAnsi="Narkisim"/>
          <w:rtl/>
        </w:rPr>
        <w:footnoteReference w:id="2935"/>
      </w:r>
      <w:r w:rsidRPr="00AF1DC8">
        <w:rPr>
          <w:rFonts w:ascii="Narkisim" w:hAnsi="Narkisim"/>
        </w:rPr>
        <w:t xml:space="preserve"> </w:t>
      </w:r>
      <w:r w:rsidRPr="00AF1DC8">
        <w:rPr>
          <w:rFonts w:ascii="Narkisim" w:hAnsi="Narkisim"/>
          <w:rtl/>
        </w:rPr>
        <w:t>(יג יב)</w:t>
      </w:r>
      <w:r w:rsidRPr="00AF1DC8">
        <w:rPr>
          <w:rStyle w:val="ac"/>
          <w:rFonts w:ascii="Narkisim" w:hAnsi="Narkisim"/>
          <w:rtl/>
        </w:rPr>
        <w:footnoteReference w:id="2936"/>
      </w:r>
      <w:r w:rsidRPr="00AF1DC8">
        <w:rPr>
          <w:rFonts w:ascii="Narkisim" w:hAnsi="Narkisim"/>
        </w:rPr>
        <w:t xml:space="preserve"> </w:t>
      </w:r>
      <w:r w:rsidRPr="00AF1DC8">
        <w:rPr>
          <w:rFonts w:ascii="Narkisim" w:hAnsi="Narkisim"/>
          <w:rtl/>
        </w:rPr>
        <w:t>דצריך טבילה בפני ג' וביום. דאין חילוק בין זה לגירות בעלמא</w:t>
      </w:r>
      <w:r w:rsidRPr="00AF1DC8">
        <w:rPr>
          <w:rFonts w:ascii="Narkisim" w:hAnsi="Narkisim"/>
        </w:rPr>
        <w:t>.</w:t>
      </w:r>
    </w:p>
    <w:p w14:paraId="1404634C" w14:textId="77777777" w:rsidR="006074A5" w:rsidRPr="00AF1DC8" w:rsidRDefault="006074A5" w:rsidP="006074A5">
      <w:pPr>
        <w:pStyle w:val="a8"/>
        <w:bidi/>
        <w:rPr>
          <w:rFonts w:ascii="Narkisim" w:hAnsi="Narkisim"/>
        </w:rPr>
      </w:pPr>
      <w:r w:rsidRPr="00AF1DC8">
        <w:rPr>
          <w:rFonts w:ascii="Narkisim" w:hAnsi="Narkisim"/>
          <w:rtl/>
        </w:rPr>
        <w:t>וב</w:t>
      </w:r>
      <w:r w:rsidRPr="00AF1DC8">
        <w:rPr>
          <w:rFonts w:ascii="Narkisim" w:hAnsi="Narkisim"/>
          <w:b/>
          <w:bCs/>
          <w:rtl/>
        </w:rPr>
        <w:t>תוס' ר"י הזקן</w:t>
      </w:r>
      <w:r w:rsidRPr="00AF1DC8">
        <w:rPr>
          <w:rFonts w:ascii="Narkisim" w:hAnsi="Narkisim"/>
          <w:rtl/>
        </w:rPr>
        <w:t xml:space="preserve"> (עה"ג קידושין שם) הביא מ"ד דבעי ג', אבל לא בעי ת"ח, דאי"צ הודעת מצוות. ומש"ה נחשב בידו, שודאי ימצא ג' שיזדקקו לו</w:t>
      </w:r>
      <w:r w:rsidRPr="00AF1DC8">
        <w:rPr>
          <w:rFonts w:ascii="Narkisim" w:hAnsi="Narkisim"/>
        </w:rPr>
        <w:t>.</w:t>
      </w:r>
    </w:p>
    <w:p w14:paraId="07620A6B" w14:textId="77777777" w:rsidR="006074A5" w:rsidRPr="00AF1DC8" w:rsidRDefault="006074A5" w:rsidP="006074A5">
      <w:pPr>
        <w:pStyle w:val="aa"/>
        <w:bidi/>
        <w:rPr>
          <w:rFonts w:ascii="Narkisim" w:hAnsi="Narkisim"/>
        </w:rPr>
      </w:pPr>
      <w:r w:rsidRPr="00AF1DC8">
        <w:rPr>
          <w:rFonts w:ascii="Narkisim" w:hAnsi="Narkisim"/>
          <w:u w:val="single"/>
          <w:rtl/>
        </w:rPr>
        <w:t>תוד"ה המפקיר.</w:t>
      </w:r>
      <w:r w:rsidRPr="00AF1DC8">
        <w:rPr>
          <w:rFonts w:ascii="Narkisim" w:hAnsi="Narkisim"/>
          <w:rtl/>
        </w:rPr>
        <w:t xml:space="preserve"> ואור"י וכו' דאותו לשון עצמו הכתוב בשטר וכו' יאמר בע"פ, דס"ד דאינו אלא מחילה מחוב שעליו וכו'. [וכ”כ תוס' גיטין לח. וקידושין שם]. וע”ע קצות (רמא ג)</w:t>
      </w:r>
      <w:r w:rsidRPr="00AF1DC8">
        <w:rPr>
          <w:rFonts w:ascii="Narkisim" w:hAnsi="Narkisim"/>
        </w:rPr>
        <w:t>.</w:t>
      </w:r>
    </w:p>
    <w:p w14:paraId="57365A00" w14:textId="77777777" w:rsidR="006074A5" w:rsidRPr="00AF1DC8" w:rsidRDefault="006074A5" w:rsidP="006074A5">
      <w:pPr>
        <w:pStyle w:val="aa"/>
        <w:bidi/>
        <w:rPr>
          <w:rFonts w:ascii="Narkisim" w:hAnsi="Narkisim"/>
        </w:rPr>
      </w:pPr>
      <w:r w:rsidRPr="00AF1DC8">
        <w:rPr>
          <w:rFonts w:ascii="Narkisim" w:hAnsi="Narkisim"/>
          <w:u w:val="single"/>
          <w:rtl/>
        </w:rPr>
        <w:t>בא"ד וי"ל דלא חשיב אלא קנינים דהרב מקנה, אבל הפקר אינו אלא סילוק</w:t>
      </w:r>
      <w:r w:rsidRPr="00AF1DC8">
        <w:rPr>
          <w:rStyle w:val="ac"/>
          <w:rFonts w:ascii="Narkisim" w:hAnsi="Narkisim"/>
          <w:u w:val="single"/>
          <w:rtl/>
        </w:rPr>
        <w:footnoteReference w:id="2937"/>
      </w:r>
      <w:r w:rsidRPr="00AF1DC8">
        <w:rPr>
          <w:rFonts w:ascii="Narkisim" w:hAnsi="Narkisim"/>
          <w:u w:val="single"/>
        </w:rPr>
        <w:t xml:space="preserve"> </w:t>
      </w:r>
      <w:r w:rsidRPr="00AF1DC8">
        <w:rPr>
          <w:rFonts w:ascii="Narkisim" w:hAnsi="Narkisim"/>
          <w:u w:val="single"/>
          <w:rtl/>
        </w:rPr>
        <w:t>וכו'</w:t>
      </w:r>
      <w:r w:rsidRPr="00AF1DC8">
        <w:rPr>
          <w:rFonts w:ascii="Narkisim" w:hAnsi="Narkisim"/>
          <w:rtl/>
        </w:rPr>
        <w:t>. ה</w:t>
      </w:r>
      <w:r w:rsidRPr="00AF1DC8">
        <w:rPr>
          <w:rFonts w:ascii="Narkisim" w:hAnsi="Narkisim"/>
          <w:b/>
          <w:bCs/>
          <w:rtl/>
        </w:rPr>
        <w:t>אמר"מ</w:t>
      </w:r>
      <w:r w:rsidRPr="00AF1DC8">
        <w:rPr>
          <w:rFonts w:ascii="Narkisim" w:hAnsi="Narkisim"/>
          <w:rtl/>
        </w:rPr>
        <w:t xml:space="preserve"> (מא) חידש [ע"פ דברי ה</w:t>
      </w:r>
      <w:r w:rsidRPr="00AF1DC8">
        <w:rPr>
          <w:rFonts w:ascii="Narkisim" w:hAnsi="Narkisim"/>
          <w:b/>
          <w:bCs/>
          <w:rtl/>
        </w:rPr>
        <w:t>ריטב"א</w:t>
      </w:r>
      <w:r w:rsidRPr="00AF1DC8">
        <w:rPr>
          <w:rFonts w:ascii="Narkisim" w:hAnsi="Narkisim"/>
          <w:rtl/>
        </w:rPr>
        <w:t xml:space="preserve"> קידושין טז] דסברת שמואל דאמרי' דע"י מעשה ההפקר של הממון, נשתחרר דין האיסור. אבל תוס' דידן משמע דלא נחשב הפקעת הבעלים, אלא כיון דאין לו אדון, ממילא פקע ממנו השם עבד</w:t>
      </w:r>
      <w:r w:rsidRPr="00AF1DC8">
        <w:rPr>
          <w:rFonts w:ascii="Narkisim" w:hAnsi="Narkisim"/>
        </w:rPr>
        <w:t>.</w:t>
      </w:r>
    </w:p>
    <w:p w14:paraId="5B279581" w14:textId="77777777" w:rsidR="006074A5" w:rsidRPr="00AF1DC8" w:rsidRDefault="006074A5" w:rsidP="006074A5">
      <w:pPr>
        <w:pStyle w:val="aa"/>
        <w:bidi/>
        <w:rPr>
          <w:rFonts w:ascii="Narkisim" w:hAnsi="Narkisim"/>
        </w:rPr>
      </w:pPr>
      <w:r w:rsidRPr="00AF1DC8">
        <w:rPr>
          <w:rFonts w:ascii="Narkisim" w:hAnsi="Narkisim"/>
          <w:u w:val="single"/>
          <w:rtl/>
        </w:rPr>
        <w:t>תוד"ה לא עשה.</w:t>
      </w:r>
      <w:r w:rsidRPr="00AF1DC8">
        <w:rPr>
          <w:rFonts w:ascii="Narkisim" w:hAnsi="Narkisim"/>
          <w:rtl/>
        </w:rPr>
        <w:t xml:space="preserve"> דשמא מדרבנן אסור. [ותליא בגמ' בנזיר (הו' בסמוך) האם למסקנא 'לוקה' משום לא ילבש, או דמדרבנן]. וה</w:t>
      </w:r>
      <w:r w:rsidRPr="00AF1DC8">
        <w:rPr>
          <w:rFonts w:ascii="Narkisim" w:hAnsi="Narkisim"/>
          <w:b/>
          <w:bCs/>
          <w:rtl/>
        </w:rPr>
        <w:t>ריטב"א</w:t>
      </w:r>
      <w:r w:rsidRPr="00AF1DC8">
        <w:rPr>
          <w:rFonts w:ascii="Narkisim" w:hAnsi="Narkisim"/>
          <w:rtl/>
        </w:rPr>
        <w:t xml:space="preserve"> הוסיף דעדיין לא גזרו [בימי אבשלום]</w:t>
      </w:r>
      <w:r w:rsidRPr="00AF1DC8">
        <w:rPr>
          <w:rFonts w:ascii="Narkisim" w:hAnsi="Narkisim"/>
        </w:rPr>
        <w:t>.</w:t>
      </w:r>
    </w:p>
    <w:p w14:paraId="189F5819" w14:textId="77777777" w:rsidR="006074A5" w:rsidRPr="00AF1DC8" w:rsidRDefault="006074A5" w:rsidP="006074A5">
      <w:pPr>
        <w:bidi/>
        <w:rPr>
          <w:rFonts w:ascii="Narkisim" w:hAnsi="Narkisim" w:cs="Narkisim"/>
        </w:rPr>
      </w:pPr>
      <w:r w:rsidRPr="00AF1DC8">
        <w:rPr>
          <w:rFonts w:ascii="Narkisim" w:hAnsi="Narkisim" w:cs="Narkisim"/>
          <w:u w:val="single"/>
          <w:rtl/>
        </w:rPr>
        <w:t>בא"ד ור"ת מפרש וכו' והא דפריך הא קא גדיל</w:t>
      </w:r>
      <w:r w:rsidRPr="00AF1DC8">
        <w:rPr>
          <w:rStyle w:val="ac"/>
          <w:rFonts w:ascii="Narkisim" w:hAnsi="Narkisim" w:cs="Narkisim"/>
          <w:u w:val="single"/>
          <w:rtl/>
        </w:rPr>
        <w:footnoteReference w:id="2938"/>
      </w:r>
      <w:r w:rsidRPr="00AF1DC8">
        <w:rPr>
          <w:rFonts w:ascii="Narkisim" w:hAnsi="Narkisim" w:cs="Narkisim"/>
          <w:u w:val="single"/>
        </w:rPr>
        <w:t xml:space="preserve">, </w:t>
      </w:r>
      <w:r w:rsidRPr="00AF1DC8">
        <w:rPr>
          <w:rFonts w:ascii="Narkisim" w:hAnsi="Narkisim" w:cs="Narkisim"/>
          <w:u w:val="single"/>
          <w:rtl/>
        </w:rPr>
        <w:t>ה"פ דאי"ז תיקון וכו'</w:t>
      </w:r>
      <w:r w:rsidRPr="00AF1DC8">
        <w:rPr>
          <w:rFonts w:ascii="Narkisim" w:hAnsi="Narkisim" w:cs="Narkisim"/>
          <w:rtl/>
        </w:rPr>
        <w:t>. [שיחשב לא ילבש]. דכיון דיש בזה צער לא נחשב יפוי. ו</w:t>
      </w:r>
      <w:r w:rsidRPr="00AF1DC8">
        <w:rPr>
          <w:rFonts w:ascii="Narkisim" w:hAnsi="Narkisim" w:cs="Narkisim"/>
          <w:b/>
          <w:bCs/>
          <w:rtl/>
        </w:rPr>
        <w:t>תוס</w:t>
      </w:r>
      <w:r w:rsidRPr="00AF1DC8">
        <w:rPr>
          <w:rFonts w:ascii="Narkisim" w:hAnsi="Narkisim" w:cs="Narkisim"/>
          <w:rtl/>
        </w:rPr>
        <w:t>' (נזיר נט. ד”ה גבול) פי' [עד"ז] דהשיב לו דגבול יש לו, ואין בזה משום צער</w:t>
      </w:r>
      <w:r w:rsidRPr="00AF1DC8">
        <w:rPr>
          <w:rStyle w:val="ac"/>
          <w:rFonts w:ascii="Narkisim" w:hAnsi="Narkisim" w:cs="Narkisim"/>
          <w:rtl/>
        </w:rPr>
        <w:footnoteReference w:id="2939"/>
      </w:r>
      <w:r w:rsidRPr="00AF1DC8">
        <w:rPr>
          <w:rFonts w:ascii="Narkisim" w:hAnsi="Narkisim" w:cs="Narkisim"/>
        </w:rPr>
        <w:t xml:space="preserve">. </w:t>
      </w:r>
      <w:r w:rsidRPr="00AF1DC8">
        <w:rPr>
          <w:rFonts w:ascii="Narkisim" w:hAnsi="Narkisim" w:cs="Narkisim"/>
          <w:rtl/>
        </w:rPr>
        <w:t xml:space="preserve">ואף למסקנא כשאינו מתכוון לנוי, אלא לינצל מצער ליכא משום כלי גבר. </w:t>
      </w:r>
      <w:r w:rsidRPr="00AF1DC8">
        <w:rPr>
          <w:rFonts w:ascii="Narkisim" w:hAnsi="Narkisim" w:cs="Narkisim"/>
          <w:sz w:val="20"/>
          <w:szCs w:val="20"/>
          <w:rtl/>
        </w:rPr>
        <w:t>ועפ"ז כת' התוס' דהמסתפר מותר להסתכל במראה שלא לחתוך עצמו (וכ”פ השו”ע קנו ב).</w:t>
      </w:r>
      <w:r w:rsidRPr="00AF1DC8">
        <w:rPr>
          <w:rFonts w:ascii="Narkisim" w:hAnsi="Narkisim" w:cs="Narkisim"/>
          <w:rtl/>
        </w:rPr>
        <w:t xml:space="preserve"> ועד"ז פסק ב</w:t>
      </w:r>
      <w:r w:rsidRPr="00AF1DC8">
        <w:rPr>
          <w:rFonts w:ascii="Narkisim" w:hAnsi="Narkisim" w:cs="Narkisim"/>
          <w:b/>
          <w:bCs/>
          <w:rtl/>
        </w:rPr>
        <w:t>שו"ע</w:t>
      </w:r>
      <w:r w:rsidRPr="00AF1DC8">
        <w:rPr>
          <w:rFonts w:ascii="Narkisim" w:hAnsi="Narkisim" w:cs="Narkisim"/>
          <w:rtl/>
        </w:rPr>
        <w:t xml:space="preserve"> (יו”ד קפב ד) דמשום חטטים מותר לגלח</w:t>
      </w:r>
      <w:r w:rsidRPr="00AF1DC8">
        <w:rPr>
          <w:rFonts w:ascii="Narkisim" w:hAnsi="Narkisim" w:cs="Narkisim"/>
        </w:rPr>
        <w:t>.</w:t>
      </w:r>
    </w:p>
    <w:p w14:paraId="34036F94"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שו"ע</w:t>
      </w:r>
      <w:r w:rsidRPr="00AF1DC8">
        <w:rPr>
          <w:rFonts w:ascii="Narkisim" w:hAnsi="Narkisim"/>
          <w:rtl/>
        </w:rPr>
        <w:t xml:space="preserve"> (יו"ד קפב א) פסק דבמקום שאף הגברים נהגו להעביר שערם אין מלקין אותו. וה</w:t>
      </w:r>
      <w:r w:rsidRPr="00AF1DC8">
        <w:rPr>
          <w:rFonts w:ascii="Narkisim" w:hAnsi="Narkisim"/>
          <w:b/>
          <w:bCs/>
          <w:rtl/>
        </w:rPr>
        <w:t>רמ"א</w:t>
      </w:r>
      <w:r w:rsidRPr="00AF1DC8">
        <w:rPr>
          <w:rFonts w:ascii="Narkisim" w:hAnsi="Narkisim"/>
          <w:rtl/>
        </w:rPr>
        <w:t xml:space="preserve"> (בשם ה</w:t>
      </w:r>
      <w:r w:rsidRPr="00AF1DC8">
        <w:rPr>
          <w:rFonts w:ascii="Narkisim" w:hAnsi="Narkisim"/>
          <w:b/>
          <w:bCs/>
          <w:rtl/>
        </w:rPr>
        <w:t>ר"ן</w:t>
      </w:r>
      <w:r w:rsidRPr="00AF1DC8">
        <w:rPr>
          <w:rFonts w:ascii="Narkisim" w:hAnsi="Narkisim"/>
          <w:rtl/>
        </w:rPr>
        <w:t xml:space="preserve"> ע"ז ט: בדה”ר) כת' דאף לכתחילה מותר [במקום זה], והחברים נמנעין בכל מקום (וכדאי' נזיר נט.)</w:t>
      </w:r>
      <w:r w:rsidRPr="00AF1DC8">
        <w:rPr>
          <w:rFonts w:ascii="Narkisim" w:hAnsi="Narkisim"/>
        </w:rPr>
        <w:t>.</w:t>
      </w:r>
    </w:p>
    <w:p w14:paraId="02DC58F6" w14:textId="77777777" w:rsidR="006074A5" w:rsidRPr="00AF1DC8" w:rsidRDefault="006074A5" w:rsidP="006074A5">
      <w:pPr>
        <w:pStyle w:val="aa"/>
        <w:bidi/>
        <w:rPr>
          <w:rFonts w:ascii="Narkisim" w:hAnsi="Narkisim"/>
        </w:rPr>
      </w:pPr>
      <w:r w:rsidRPr="00AF1DC8">
        <w:rPr>
          <w:rFonts w:ascii="Narkisim" w:hAnsi="Narkisim"/>
          <w:u w:val="single"/>
          <w:rtl/>
        </w:rPr>
        <w:t>בא"ד ובה"ג גרס וכו'.</w:t>
      </w:r>
      <w:r w:rsidRPr="00AF1DC8">
        <w:rPr>
          <w:rFonts w:ascii="Narkisim" w:hAnsi="Narkisim"/>
          <w:rtl/>
        </w:rPr>
        <w:t xml:space="preserve"> [תוס' דנו לפי הגירסאות שם האם למסקנא קאי בתער, ובכל גופו, ומדרבנן. וע"ע בפוסקים]</w:t>
      </w:r>
      <w:r w:rsidRPr="00AF1DC8">
        <w:rPr>
          <w:rFonts w:ascii="Narkisim" w:hAnsi="Narkisim"/>
        </w:rPr>
        <w:t>.</w:t>
      </w:r>
    </w:p>
    <w:p w14:paraId="5A4D80D3" w14:textId="77777777" w:rsidR="006074A5" w:rsidRPr="00AF1DC8" w:rsidRDefault="006074A5" w:rsidP="006074A5">
      <w:pPr>
        <w:pStyle w:val="aa"/>
        <w:bidi/>
        <w:rPr>
          <w:rFonts w:ascii="Narkisim" w:hAnsi="Narkisim"/>
        </w:rPr>
      </w:pPr>
      <w:r w:rsidRPr="00AF1DC8">
        <w:rPr>
          <w:rFonts w:ascii="Narkisim" w:hAnsi="Narkisim"/>
          <w:u w:val="single"/>
          <w:rtl/>
        </w:rPr>
        <w:t>בא"ד ובתושובת הגאונים וכו' אלא במגלח לרפואה כיון דמגלח כל גופו, אין זה יפוי אלא ניוול.</w:t>
      </w:r>
      <w:r w:rsidRPr="00AF1DC8">
        <w:rPr>
          <w:rFonts w:ascii="Narkisim" w:hAnsi="Narkisim"/>
          <w:rtl/>
        </w:rPr>
        <w:t xml:space="preserve"> משמע דלולי הא דכל גופו ניוול, אסור אף לרפואה. אבל ה</w:t>
      </w:r>
      <w:r w:rsidRPr="00AF1DC8">
        <w:rPr>
          <w:rFonts w:ascii="Narkisim" w:hAnsi="Narkisim"/>
          <w:b/>
          <w:bCs/>
          <w:rtl/>
        </w:rPr>
        <w:t>רשב"א</w:t>
      </w:r>
      <w:r w:rsidRPr="00AF1DC8">
        <w:rPr>
          <w:rFonts w:ascii="Narkisim" w:hAnsi="Narkisim"/>
          <w:rtl/>
        </w:rPr>
        <w:t xml:space="preserve"> (הו' בב"י קפב) התיר לרפואה בלאו הכי. וה</w:t>
      </w:r>
      <w:r w:rsidRPr="00AF1DC8">
        <w:rPr>
          <w:rFonts w:ascii="Narkisim" w:hAnsi="Narkisim"/>
          <w:b/>
          <w:bCs/>
          <w:rtl/>
        </w:rPr>
        <w:t>פוסקים</w:t>
      </w:r>
      <w:r w:rsidRPr="00AF1DC8">
        <w:rPr>
          <w:rFonts w:ascii="Narkisim" w:hAnsi="Narkisim"/>
          <w:rtl/>
        </w:rPr>
        <w:t xml:space="preserve"> (שם) דנו במגלח כל גופו ואומר שנתכוון ליפוי, האם אמרי' דבטלה דעתו ואי”ז מעשה יפוי</w:t>
      </w:r>
      <w:r w:rsidRPr="00AF1DC8">
        <w:rPr>
          <w:rFonts w:ascii="Narkisim" w:hAnsi="Narkisim"/>
        </w:rPr>
        <w:t>.</w:t>
      </w:r>
    </w:p>
    <w:p w14:paraId="6A5405FB" w14:textId="77777777" w:rsidR="006074A5" w:rsidRPr="00AF1DC8" w:rsidRDefault="006074A5" w:rsidP="006074A5">
      <w:pPr>
        <w:pStyle w:val="3"/>
        <w:bidi/>
        <w:rPr>
          <w:rFonts w:ascii="Narkisim" w:hAnsi="Narkisim"/>
        </w:rPr>
      </w:pPr>
      <w:r w:rsidRPr="00AF1DC8">
        <w:rPr>
          <w:rFonts w:ascii="Narkisim" w:hAnsi="Narkisim"/>
          <w:rtl/>
        </w:rPr>
        <w:t>דף מח</w:t>
      </w:r>
      <w:r w:rsidRPr="00AF1DC8">
        <w:rPr>
          <w:rFonts w:ascii="Narkisim" w:hAnsi="Narkisim"/>
        </w:rPr>
        <w:t>:</w:t>
      </w:r>
    </w:p>
    <w:p w14:paraId="34764B2C" w14:textId="77777777" w:rsidR="006074A5" w:rsidRPr="00AF1DC8" w:rsidRDefault="006074A5" w:rsidP="006074A5">
      <w:pPr>
        <w:pStyle w:val="aa"/>
        <w:bidi/>
        <w:rPr>
          <w:rFonts w:ascii="Narkisim" w:hAnsi="Narkisim"/>
        </w:rPr>
      </w:pPr>
      <w:r w:rsidRPr="00AF1DC8">
        <w:rPr>
          <w:rFonts w:ascii="Narkisim" w:hAnsi="Narkisim"/>
          <w:u w:val="single"/>
          <w:rtl/>
        </w:rPr>
        <w:t>ר"א אומר אביה ממש וכו' ר"ע אומר זו עכו"ם.</w:t>
      </w:r>
      <w:r w:rsidRPr="00AF1DC8">
        <w:rPr>
          <w:rFonts w:ascii="Narkisim" w:hAnsi="Narkisim"/>
          <w:rtl/>
        </w:rPr>
        <w:t xml:space="preserve"> ה</w:t>
      </w:r>
      <w:r w:rsidRPr="00AF1DC8">
        <w:rPr>
          <w:rFonts w:ascii="Narkisim" w:hAnsi="Narkisim"/>
          <w:b/>
          <w:bCs/>
          <w:rtl/>
        </w:rPr>
        <w:t>רמב"ם</w:t>
      </w:r>
      <w:r w:rsidRPr="00AF1DC8">
        <w:rPr>
          <w:rFonts w:ascii="Narkisim" w:hAnsi="Narkisim"/>
          <w:rtl/>
        </w:rPr>
        <w:t xml:space="preserve"> (מלכים ח ה) כתב שניהם. וה</w:t>
      </w:r>
      <w:r w:rsidRPr="00AF1DC8">
        <w:rPr>
          <w:rFonts w:ascii="Narkisim" w:hAnsi="Narkisim"/>
          <w:b/>
          <w:bCs/>
          <w:rtl/>
        </w:rPr>
        <w:t>כס”מ</w:t>
      </w:r>
      <w:r w:rsidRPr="00AF1DC8">
        <w:rPr>
          <w:rFonts w:ascii="Narkisim" w:hAnsi="Narkisim"/>
          <w:rtl/>
        </w:rPr>
        <w:t xml:space="preserve"> כת' דפסק כר”ע, </w:t>
      </w:r>
      <w:r w:rsidRPr="00AF1DC8">
        <w:rPr>
          <w:rFonts w:ascii="Narkisim" w:hAnsi="Narkisim"/>
          <w:rtl/>
        </w:rPr>
        <w:lastRenderedPageBreak/>
        <w:t>וס”ל דר"ע מוסיף על ר”א. ולמש”כ תוס' (ד”ה ר”א) ניחא טפי, דנח' רק למיסבר קראי, ולא נח' לדינא</w:t>
      </w:r>
      <w:r w:rsidRPr="00AF1DC8">
        <w:rPr>
          <w:rFonts w:ascii="Narkisim" w:hAnsi="Narkisim"/>
        </w:rPr>
        <w:t>.</w:t>
      </w:r>
    </w:p>
    <w:p w14:paraId="392E9A6C" w14:textId="77777777" w:rsidR="006074A5" w:rsidRPr="00AF1DC8" w:rsidRDefault="006074A5" w:rsidP="006074A5">
      <w:pPr>
        <w:bidi/>
        <w:rPr>
          <w:rFonts w:ascii="Narkisim" w:hAnsi="Narkisim" w:cs="Narkisim"/>
        </w:rPr>
      </w:pPr>
      <w:r w:rsidRPr="00AF1DC8">
        <w:rPr>
          <w:rFonts w:ascii="Narkisim" w:hAnsi="Narkisim" w:cs="Narkisim"/>
          <w:u w:val="single"/>
          <w:rtl/>
        </w:rPr>
        <w:t>ר"ש בן אלעזר אומר תשעים יום.</w:t>
      </w:r>
      <w:r w:rsidRPr="00AF1DC8">
        <w:rPr>
          <w:rFonts w:ascii="Narkisim" w:hAnsi="Narkisim" w:cs="Narkisim"/>
          <w:rtl/>
        </w:rPr>
        <w:t xml:space="preserve"> וה</w:t>
      </w:r>
      <w:r w:rsidRPr="00AF1DC8">
        <w:rPr>
          <w:rFonts w:ascii="Narkisim" w:hAnsi="Narkisim" w:cs="Narkisim"/>
          <w:b/>
          <w:bCs/>
          <w:rtl/>
        </w:rPr>
        <w:t>רמב"ם</w:t>
      </w:r>
      <w:r w:rsidRPr="00AF1DC8">
        <w:rPr>
          <w:rFonts w:ascii="Narkisim" w:hAnsi="Narkisim" w:cs="Narkisim"/>
          <w:rtl/>
        </w:rPr>
        <w:t xml:space="preserve"> (מלכים ח ו) כת' דצריכה להמתין חודש בכיה, וב' חדשים אחיו. [עד ג' חדשים]. וב</w:t>
      </w:r>
      <w:r w:rsidRPr="00AF1DC8">
        <w:rPr>
          <w:rFonts w:ascii="Narkisim" w:hAnsi="Narkisim" w:cs="Narkisim"/>
          <w:b/>
          <w:bCs/>
          <w:rtl/>
        </w:rPr>
        <w:t>הג' מיימוניות</w:t>
      </w:r>
      <w:r w:rsidRPr="00AF1DC8">
        <w:rPr>
          <w:rFonts w:ascii="Narkisim" w:hAnsi="Narkisim" w:cs="Narkisim"/>
          <w:rtl/>
        </w:rPr>
        <w:t xml:space="preserve"> הביא דב</w:t>
      </w:r>
      <w:r w:rsidRPr="00AF1DC8">
        <w:rPr>
          <w:rFonts w:ascii="Narkisim" w:hAnsi="Narkisim" w:cs="Narkisim"/>
          <w:b/>
          <w:bCs/>
          <w:rtl/>
        </w:rPr>
        <w:t>ספרי</w:t>
      </w:r>
      <w:r w:rsidRPr="00AF1DC8">
        <w:rPr>
          <w:rFonts w:ascii="Narkisim" w:hAnsi="Narkisim" w:cs="Narkisim"/>
          <w:rtl/>
        </w:rPr>
        <w:t xml:space="preserve"> (תצא ריג)</w:t>
      </w:r>
      <w:r w:rsidRPr="00AF1DC8">
        <w:rPr>
          <w:rStyle w:val="ac"/>
          <w:rFonts w:ascii="Narkisim" w:hAnsi="Narkisim" w:cs="Narkisim"/>
          <w:rtl/>
        </w:rPr>
        <w:footnoteReference w:id="2940"/>
      </w:r>
      <w:r w:rsidRPr="00AF1DC8">
        <w:rPr>
          <w:rFonts w:ascii="Narkisim" w:hAnsi="Narkisim" w:cs="Narkisim"/>
        </w:rPr>
        <w:t xml:space="preserve"> </w:t>
      </w:r>
      <w:r w:rsidRPr="00AF1DC8">
        <w:rPr>
          <w:rFonts w:ascii="Narkisim" w:hAnsi="Narkisim" w:cs="Narkisim"/>
          <w:rtl/>
        </w:rPr>
        <w:t>אי' דדעת ר' עקיבא דבעינן ג' חדשים להבחין בין זרע ראשון לזרע שני</w:t>
      </w:r>
      <w:r w:rsidRPr="00AF1DC8">
        <w:rPr>
          <w:rStyle w:val="ac"/>
          <w:rFonts w:ascii="Narkisim" w:hAnsi="Narkisim" w:cs="Narkisim"/>
          <w:rtl/>
        </w:rPr>
        <w:footnoteReference w:id="2941"/>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כס"מ</w:t>
      </w:r>
      <w:r w:rsidRPr="00AF1DC8">
        <w:rPr>
          <w:rFonts w:ascii="Narkisim" w:hAnsi="Narkisim" w:cs="Narkisim"/>
          <w:rtl/>
        </w:rPr>
        <w:t xml:space="preserve"> כת' דפסק כר"ש ב"א, ועוד דבעינן להבחין בין זרעו של ראשון</w:t>
      </w:r>
      <w:r w:rsidRPr="00AF1DC8">
        <w:rPr>
          <w:rStyle w:val="ac"/>
          <w:rFonts w:ascii="Narkisim" w:hAnsi="Narkisim" w:cs="Narkisim"/>
          <w:rtl/>
        </w:rPr>
        <w:footnoteReference w:id="2942"/>
      </w:r>
      <w:r w:rsidRPr="00AF1DC8">
        <w:rPr>
          <w:rFonts w:ascii="Narkisim" w:hAnsi="Narkisim" w:cs="Narkisim"/>
        </w:rPr>
        <w:t xml:space="preserve">. </w:t>
      </w:r>
      <w:r w:rsidRPr="00AF1DC8">
        <w:rPr>
          <w:rFonts w:ascii="Narkisim" w:hAnsi="Narkisim" w:cs="Narkisim"/>
          <w:rtl/>
        </w:rPr>
        <w:t>אבל ה</w:t>
      </w:r>
      <w:r w:rsidRPr="00AF1DC8">
        <w:rPr>
          <w:rFonts w:ascii="Narkisim" w:hAnsi="Narkisim" w:cs="Narkisim"/>
          <w:b/>
          <w:bCs/>
          <w:rtl/>
        </w:rPr>
        <w:t>לח"מ</w:t>
      </w:r>
      <w:r w:rsidRPr="00AF1DC8">
        <w:rPr>
          <w:rFonts w:ascii="Narkisim" w:hAnsi="Narkisim" w:cs="Narkisim"/>
          <w:rtl/>
        </w:rPr>
        <w:t xml:space="preserve"> ו</w:t>
      </w:r>
      <w:r w:rsidRPr="00AF1DC8">
        <w:rPr>
          <w:rFonts w:ascii="Narkisim" w:hAnsi="Narkisim" w:cs="Narkisim"/>
          <w:b/>
          <w:bCs/>
          <w:rtl/>
        </w:rPr>
        <w:t xml:space="preserve">משנ"ל </w:t>
      </w:r>
      <w:r w:rsidRPr="00AF1DC8">
        <w:rPr>
          <w:rFonts w:ascii="Narkisim" w:hAnsi="Narkisim" w:cs="Narkisim"/>
          <w:rtl/>
        </w:rPr>
        <w:t>כת' דדעת הרמב"ם דמדאורייתא סגי בל' יום, ומדרבנן בעי ג' חדשים משום הבחנה</w:t>
      </w:r>
      <w:r w:rsidRPr="00AF1DC8">
        <w:rPr>
          <w:rFonts w:ascii="Narkisim" w:hAnsi="Narkisim" w:cs="Narkisim"/>
        </w:rPr>
        <w:t>.</w:t>
      </w:r>
    </w:p>
    <w:p w14:paraId="4BE6E6FE" w14:textId="77777777" w:rsidR="006074A5" w:rsidRPr="00AF1DC8" w:rsidRDefault="006074A5" w:rsidP="006074A5">
      <w:pPr>
        <w:pStyle w:val="2"/>
        <w:bidi/>
        <w:rPr>
          <w:rFonts w:ascii="Narkisim" w:hAnsi="Narkisim"/>
        </w:rPr>
      </w:pPr>
      <w:r w:rsidRPr="00AF1DC8">
        <w:rPr>
          <w:rFonts w:ascii="Narkisim" w:hAnsi="Narkisim"/>
          <w:rtl/>
        </w:rPr>
        <w:t>מצוות מילת עבדיו</w:t>
      </w:r>
    </w:p>
    <w:p w14:paraId="74387C3B" w14:textId="77777777" w:rsidR="006074A5" w:rsidRPr="00AF1DC8" w:rsidRDefault="006074A5" w:rsidP="006074A5">
      <w:pPr>
        <w:bidi/>
        <w:rPr>
          <w:rFonts w:ascii="Narkisim" w:hAnsi="Narkisim" w:cs="Narkisim"/>
        </w:rPr>
      </w:pPr>
      <w:r w:rsidRPr="00AF1DC8">
        <w:rPr>
          <w:rFonts w:ascii="Narkisim" w:hAnsi="Narkisim" w:cs="Narkisim"/>
          <w:u w:val="single"/>
          <w:rtl/>
        </w:rPr>
        <w:t>ר"ע אומר אין מקיימין</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פי' שצווה הקב"ה לאברהם למול. ה</w:t>
      </w:r>
      <w:r w:rsidRPr="00AF1DC8">
        <w:rPr>
          <w:rFonts w:ascii="Narkisim" w:hAnsi="Narkisim" w:cs="Narkisim"/>
          <w:b/>
          <w:bCs/>
          <w:rtl/>
        </w:rPr>
        <w:t>אחרונים</w:t>
      </w:r>
      <w:r w:rsidRPr="00AF1DC8">
        <w:rPr>
          <w:rFonts w:ascii="Narkisim" w:hAnsi="Narkisim" w:cs="Narkisim"/>
          <w:rtl/>
        </w:rPr>
        <w:t xml:space="preserve"> דנו האם עיקר הצווי להכניסו במצוות, וכדיני עבד כנעני. [ובכלל המצווה אף לטובלו]. או דהוה מצוות מילה, ואף אילו לא יתחייב במצוות. וכ"כ ה</w:t>
      </w:r>
      <w:r w:rsidRPr="00AF1DC8">
        <w:rPr>
          <w:rFonts w:ascii="Narkisim" w:hAnsi="Narkisim" w:cs="Narkisim"/>
          <w:b/>
          <w:bCs/>
          <w:rtl/>
        </w:rPr>
        <w:t>חזו"א</w:t>
      </w:r>
      <w:r w:rsidRPr="00AF1DC8">
        <w:rPr>
          <w:rFonts w:ascii="Narkisim" w:hAnsi="Narkisim" w:cs="Narkisim"/>
          <w:rtl/>
        </w:rPr>
        <w:t xml:space="preserve"> דהחיוב למול יליד ביתו ומקנת כספו הוא אפי' כשאינו נעשה בר מצווה עי"ז</w:t>
      </w:r>
      <w:r w:rsidRPr="00AF1DC8">
        <w:rPr>
          <w:rStyle w:val="ac"/>
          <w:rFonts w:ascii="Narkisim" w:hAnsi="Narkisim" w:cs="Narkisim"/>
          <w:rtl/>
        </w:rPr>
        <w:footnoteReference w:id="2943"/>
      </w:r>
      <w:r w:rsidRPr="00AF1DC8">
        <w:rPr>
          <w:rFonts w:ascii="Narkisim" w:hAnsi="Narkisim" w:cs="Narkisim"/>
        </w:rPr>
        <w:t xml:space="preserve">. </w:t>
      </w:r>
      <w:r w:rsidRPr="00AF1DC8">
        <w:rPr>
          <w:rFonts w:ascii="Narkisim" w:hAnsi="Narkisim" w:cs="Narkisim"/>
          <w:sz w:val="20"/>
          <w:szCs w:val="20"/>
          <w:rtl/>
        </w:rPr>
        <w:t>דהא בעבד קטן חסר בקבלת מצוות</w:t>
      </w:r>
      <w:r w:rsidRPr="00AF1DC8">
        <w:rPr>
          <w:rStyle w:val="ac"/>
          <w:rFonts w:ascii="Narkisim" w:hAnsi="Narkisim" w:cs="Narkisim"/>
          <w:sz w:val="20"/>
          <w:szCs w:val="20"/>
          <w:rtl/>
        </w:rPr>
        <w:footnoteReference w:id="2944"/>
      </w:r>
      <w:r w:rsidRPr="00AF1DC8">
        <w:rPr>
          <w:rFonts w:ascii="Narkisim" w:hAnsi="Narkisim" w:cs="Narkisim"/>
          <w:sz w:val="20"/>
          <w:szCs w:val="20"/>
        </w:rPr>
        <w:t xml:space="preserve"> </w:t>
      </w:r>
      <w:r w:rsidRPr="00AF1DC8">
        <w:rPr>
          <w:rFonts w:ascii="Narkisim" w:hAnsi="Narkisim" w:cs="Narkisim"/>
          <w:sz w:val="20"/>
          <w:szCs w:val="20"/>
          <w:rtl/>
        </w:rPr>
        <w:t>[ולדעת הרמב"ם והרי"ף אף טבילת עבד בעי קבלה]</w:t>
      </w:r>
      <w:r w:rsidRPr="00AF1DC8">
        <w:rPr>
          <w:rStyle w:val="ac"/>
          <w:rFonts w:ascii="Narkisim" w:hAnsi="Narkisim" w:cs="Narkisim"/>
          <w:sz w:val="20"/>
          <w:szCs w:val="20"/>
          <w:rtl/>
        </w:rPr>
        <w:footnoteReference w:id="2945"/>
      </w:r>
      <w:r w:rsidRPr="00AF1DC8">
        <w:rPr>
          <w:rFonts w:ascii="Narkisim" w:hAnsi="Narkisim" w:cs="Narkisim"/>
          <w:sz w:val="20"/>
          <w:szCs w:val="20"/>
        </w:rPr>
        <w:t xml:space="preserve">. </w:t>
      </w:r>
      <w:r w:rsidRPr="00AF1DC8">
        <w:rPr>
          <w:rFonts w:ascii="Narkisim" w:hAnsi="Narkisim" w:cs="Narkisim"/>
          <w:rtl/>
        </w:rPr>
        <w:t>אבל ה</w:t>
      </w:r>
      <w:r w:rsidRPr="00AF1DC8">
        <w:rPr>
          <w:rFonts w:ascii="Narkisim" w:hAnsi="Narkisim" w:cs="Narkisim"/>
          <w:b/>
          <w:bCs/>
          <w:rtl/>
        </w:rPr>
        <w:t>גר"ח</w:t>
      </w:r>
      <w:r w:rsidRPr="00AF1DC8">
        <w:rPr>
          <w:rFonts w:ascii="Narkisim" w:hAnsi="Narkisim" w:cs="Narkisim"/>
          <w:rtl/>
        </w:rPr>
        <w:t xml:space="preserve"> (הו' בסמוך) נקט דמצוות המילה הוא משום חלק מהגירות</w:t>
      </w:r>
      <w:r w:rsidRPr="00AF1DC8">
        <w:rPr>
          <w:rFonts w:ascii="Narkisim" w:hAnsi="Narkisim" w:cs="Narkisim"/>
        </w:rPr>
        <w:t>.</w:t>
      </w:r>
    </w:p>
    <w:p w14:paraId="3602DB18" w14:textId="77777777" w:rsidR="006074A5" w:rsidRPr="00AF1DC8" w:rsidRDefault="006074A5" w:rsidP="006074A5">
      <w:pPr>
        <w:bidi/>
        <w:rPr>
          <w:rFonts w:ascii="Narkisim" w:hAnsi="Narkisim" w:cs="Narkisim"/>
        </w:rPr>
      </w:pPr>
      <w:r w:rsidRPr="00AF1DC8">
        <w:rPr>
          <w:rFonts w:ascii="Narkisim" w:hAnsi="Narkisim" w:cs="Narkisim"/>
          <w:rtl/>
        </w:rPr>
        <w:t>ובפשוטו לא מצאנו חיוב להטביל שפחות, דהוה רק מצווה למול. וה</w:t>
      </w:r>
      <w:r w:rsidRPr="00AF1DC8">
        <w:rPr>
          <w:rFonts w:ascii="Narkisim" w:hAnsi="Narkisim" w:cs="Narkisim"/>
          <w:b/>
          <w:bCs/>
          <w:rtl/>
        </w:rPr>
        <w:t>אחרונים</w:t>
      </w:r>
      <w:r w:rsidRPr="00AF1DC8">
        <w:rPr>
          <w:rFonts w:ascii="Narkisim" w:hAnsi="Narkisim" w:cs="Narkisim"/>
          <w:rtl/>
        </w:rPr>
        <w:t xml:space="preserve"> הביאו דב</w:t>
      </w:r>
      <w:r w:rsidRPr="00AF1DC8">
        <w:rPr>
          <w:rFonts w:ascii="Narkisim" w:hAnsi="Narkisim" w:cs="Narkisim"/>
          <w:b/>
          <w:bCs/>
          <w:rtl/>
        </w:rPr>
        <w:t xml:space="preserve">ס' הפרדס </w:t>
      </w:r>
      <w:r w:rsidRPr="00AF1DC8">
        <w:rPr>
          <w:rFonts w:ascii="Narkisim" w:hAnsi="Narkisim" w:cs="Narkisim"/>
          <w:sz w:val="20"/>
          <w:szCs w:val="20"/>
          <w:rtl/>
        </w:rPr>
        <w:t xml:space="preserve">(המיוחס לרש"י) </w:t>
      </w:r>
      <w:r w:rsidRPr="00AF1DC8">
        <w:rPr>
          <w:rFonts w:ascii="Narkisim" w:hAnsi="Narkisim" w:cs="Narkisim"/>
          <w:rtl/>
        </w:rPr>
        <w:t xml:space="preserve">כתב דאין חיוב על האדון לטבול שפחותיו. אבל </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w:t>
      </w:r>
      <w:r w:rsidRPr="00AF1DC8">
        <w:rPr>
          <w:rFonts w:ascii="Narkisim" w:hAnsi="Narkisim" w:cs="Narkisim"/>
          <w:sz w:val="20"/>
          <w:szCs w:val="20"/>
          <w:rtl/>
        </w:rPr>
        <w:t xml:space="preserve">שבת קלה:) </w:t>
      </w:r>
      <w:r w:rsidRPr="00AF1DC8">
        <w:rPr>
          <w:rFonts w:ascii="Narkisim" w:hAnsi="Narkisim" w:cs="Narkisim"/>
          <w:rtl/>
        </w:rPr>
        <w:t xml:space="preserve">כתבו דמחוייב מהטביל שפחותיו. </w:t>
      </w:r>
      <w:r w:rsidRPr="00AF1DC8">
        <w:rPr>
          <w:rFonts w:ascii="Narkisim" w:hAnsi="Narkisim" w:cs="Narkisim"/>
          <w:sz w:val="20"/>
          <w:szCs w:val="20"/>
          <w:rtl/>
        </w:rPr>
        <w:t>[אא"כ לקחום ע"מ שלא להטבילם]</w:t>
      </w:r>
      <w:r w:rsidRPr="00AF1DC8">
        <w:rPr>
          <w:rFonts w:ascii="Narkisim" w:hAnsi="Narkisim" w:cs="Narkisim"/>
          <w:sz w:val="20"/>
          <w:szCs w:val="20"/>
        </w:rPr>
        <w:t>.</w:t>
      </w:r>
    </w:p>
    <w:p w14:paraId="269C04B5"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(ק"פ ה ה) פסק דטבילת שפחותיו מעכבת בפסח [כדדרשי']. וה</w:t>
      </w:r>
      <w:r w:rsidRPr="00AF1DC8">
        <w:rPr>
          <w:rFonts w:ascii="Narkisim" w:hAnsi="Narkisim"/>
          <w:b/>
          <w:bCs/>
          <w:rtl/>
        </w:rPr>
        <w:t>שאג"א</w:t>
      </w:r>
      <w:r w:rsidRPr="00AF1DC8">
        <w:rPr>
          <w:rFonts w:ascii="Narkisim" w:hAnsi="Narkisim"/>
          <w:rtl/>
        </w:rPr>
        <w:t xml:space="preserve"> (נג) הקשה דל"מ חיוב להטבילם, ורשאי לקיימן בנכריותן. וכה"ק ה</w:t>
      </w:r>
      <w:r w:rsidRPr="00AF1DC8">
        <w:rPr>
          <w:rFonts w:ascii="Narkisim" w:hAnsi="Narkisim"/>
          <w:b/>
          <w:bCs/>
          <w:rtl/>
        </w:rPr>
        <w:t>מנח"ח</w:t>
      </w:r>
      <w:r w:rsidRPr="00AF1DC8">
        <w:rPr>
          <w:rFonts w:ascii="Narkisim" w:hAnsi="Narkisim"/>
          <w:rtl/>
        </w:rPr>
        <w:t xml:space="preserve"> (יז יב) וכתב דהוה גזיה"כ שמעכב בפסח, אע”פ שאינו מצווה</w:t>
      </w:r>
      <w:r w:rsidRPr="00AF1DC8">
        <w:rPr>
          <w:rFonts w:ascii="Narkisim" w:hAnsi="Narkisim"/>
        </w:rPr>
        <w:t>.</w:t>
      </w:r>
    </w:p>
    <w:p w14:paraId="4A6D5730" w14:textId="77777777" w:rsidR="006074A5" w:rsidRPr="00AF1DC8" w:rsidRDefault="006074A5" w:rsidP="006074A5">
      <w:pPr>
        <w:bidi/>
        <w:rPr>
          <w:rFonts w:ascii="Narkisim" w:hAnsi="Narkisim" w:cs="Narkisim"/>
        </w:rPr>
      </w:pPr>
      <w:r w:rsidRPr="00AF1DC8">
        <w:rPr>
          <w:rFonts w:ascii="Narkisim" w:hAnsi="Narkisim" w:cs="Narkisim"/>
          <w:u w:val="single"/>
          <w:rtl/>
        </w:rPr>
        <w:t>שם. מקיימין עבדים שאין מלין דברי ר' ישמעאל, ר"ע אומר אין מקיימין</w:t>
      </w:r>
      <w:r w:rsidRPr="00AF1DC8">
        <w:rPr>
          <w:rFonts w:ascii="Narkisim" w:hAnsi="Narkisim" w:cs="Narkisim"/>
          <w:rtl/>
        </w:rPr>
        <w:t>. צ"ב מ"ט דר' ישמעאל דרשאי להניחו, הא מבטל מצוות מילת עבדין. וה</w:t>
      </w:r>
      <w:r w:rsidRPr="00AF1DC8">
        <w:rPr>
          <w:rFonts w:ascii="Narkisim" w:hAnsi="Narkisim" w:cs="Narkisim"/>
          <w:b/>
          <w:bCs/>
          <w:rtl/>
        </w:rPr>
        <w:t>תוס' הרא"ש</w:t>
      </w:r>
      <w:r w:rsidRPr="00AF1DC8">
        <w:rPr>
          <w:rFonts w:ascii="Narkisim" w:hAnsi="Narkisim" w:cs="Narkisim"/>
          <w:rtl/>
        </w:rPr>
        <w:t xml:space="preserve"> כתב דר' ישמעאל ס"ל דגלי קרא 'וינפש' דמותר לקיימו אם אינו רוצה למול. וה</w:t>
      </w:r>
      <w:r w:rsidRPr="00AF1DC8">
        <w:rPr>
          <w:rFonts w:ascii="Narkisim" w:hAnsi="Narkisim" w:cs="Narkisim"/>
          <w:b/>
          <w:bCs/>
          <w:rtl/>
        </w:rPr>
        <w:t>קר"א</w:t>
      </w:r>
      <w:r w:rsidRPr="00AF1DC8">
        <w:rPr>
          <w:rFonts w:ascii="Narkisim" w:hAnsi="Narkisim" w:cs="Narkisim"/>
          <w:rtl/>
        </w:rPr>
        <w:t xml:space="preserve"> כת' דר' ישמעאל פליג וס"ל דמצוות המילה רמי על העבד</w:t>
      </w:r>
      <w:r w:rsidRPr="00AF1DC8">
        <w:rPr>
          <w:rStyle w:val="ac"/>
          <w:rFonts w:ascii="Narkisim" w:hAnsi="Narkisim" w:cs="Narkisim"/>
          <w:rtl/>
        </w:rPr>
        <w:footnoteReference w:id="2946"/>
      </w:r>
      <w:r w:rsidRPr="00AF1DC8">
        <w:rPr>
          <w:rFonts w:ascii="Narkisim" w:hAnsi="Narkisim" w:cs="Narkisim"/>
        </w:rPr>
        <w:t xml:space="preserve">, </w:t>
      </w:r>
      <w:r w:rsidRPr="00AF1DC8">
        <w:rPr>
          <w:rFonts w:ascii="Narkisim" w:hAnsi="Narkisim" w:cs="Narkisim"/>
          <w:rtl/>
        </w:rPr>
        <w:t>ולא על האדון</w:t>
      </w:r>
      <w:r w:rsidRPr="00AF1DC8">
        <w:rPr>
          <w:rFonts w:ascii="Narkisim" w:hAnsi="Narkisim" w:cs="Narkisim"/>
        </w:rPr>
        <w:t>.</w:t>
      </w:r>
    </w:p>
    <w:p w14:paraId="5FB6B88F" w14:textId="77777777" w:rsidR="006074A5" w:rsidRPr="00AF1DC8" w:rsidRDefault="006074A5" w:rsidP="006074A5">
      <w:pPr>
        <w:pStyle w:val="a7"/>
        <w:bidi/>
        <w:rPr>
          <w:rFonts w:ascii="Narkisim" w:hAnsi="Narkisim"/>
        </w:rPr>
      </w:pPr>
      <w:r w:rsidRPr="00AF1DC8">
        <w:rPr>
          <w:rFonts w:ascii="Narkisim" w:hAnsi="Narkisim"/>
          <w:rtl/>
        </w:rPr>
        <w:t xml:space="preserve">אמנם </w:t>
      </w:r>
      <w:r w:rsidRPr="00AF1DC8">
        <w:rPr>
          <w:rFonts w:ascii="Narkisim" w:hAnsi="Narkisim"/>
          <w:b/>
          <w:bCs/>
          <w:rtl/>
        </w:rPr>
        <w:t>רע"א</w:t>
      </w:r>
      <w:r w:rsidRPr="00AF1DC8">
        <w:rPr>
          <w:rFonts w:ascii="Narkisim" w:hAnsi="Narkisim"/>
          <w:rtl/>
        </w:rPr>
        <w:t xml:space="preserve"> (בשו"ע יו"ד רסז א) כת' דהעבד עצמו אינו מצווה במצוות מילה</w:t>
      </w:r>
      <w:r w:rsidRPr="00AF1DC8">
        <w:rPr>
          <w:rStyle w:val="ac"/>
          <w:rFonts w:ascii="Narkisim" w:hAnsi="Narkisim"/>
          <w:rtl/>
        </w:rPr>
        <w:footnoteReference w:id="2947"/>
      </w:r>
      <w:r w:rsidRPr="00AF1DC8">
        <w:rPr>
          <w:rFonts w:ascii="Narkisim" w:hAnsi="Narkisim"/>
        </w:rPr>
        <w:t xml:space="preserve">. </w:t>
      </w:r>
      <w:r w:rsidRPr="00AF1DC8">
        <w:rPr>
          <w:rFonts w:ascii="Narkisim" w:hAnsi="Narkisim"/>
          <w:rtl/>
        </w:rPr>
        <w:t>דעבד חייב במצוות כאשה, ואשה פטורה למול את בנה</w:t>
      </w:r>
      <w:r w:rsidRPr="00AF1DC8">
        <w:rPr>
          <w:rStyle w:val="ac"/>
          <w:rFonts w:ascii="Narkisim" w:hAnsi="Narkisim"/>
          <w:sz w:val="20"/>
          <w:szCs w:val="20"/>
          <w:rtl/>
        </w:rPr>
        <w:footnoteReference w:id="2948"/>
      </w:r>
      <w:r w:rsidRPr="00AF1DC8">
        <w:rPr>
          <w:rFonts w:ascii="Narkisim" w:hAnsi="Narkisim"/>
        </w:rPr>
        <w:t xml:space="preserve">. </w:t>
      </w:r>
      <w:r w:rsidRPr="00AF1DC8">
        <w:rPr>
          <w:rFonts w:ascii="Narkisim" w:hAnsi="Narkisim"/>
          <w:sz w:val="20"/>
          <w:szCs w:val="20"/>
          <w:rtl/>
        </w:rPr>
        <w:t>אך הביא ד</w:t>
      </w:r>
      <w:r w:rsidRPr="00AF1DC8">
        <w:rPr>
          <w:rFonts w:ascii="Narkisim" w:hAnsi="Narkisim"/>
          <w:b/>
          <w:bCs/>
          <w:sz w:val="20"/>
          <w:szCs w:val="20"/>
          <w:rtl/>
        </w:rPr>
        <w:t>תוס</w:t>
      </w:r>
      <w:r w:rsidRPr="00AF1DC8">
        <w:rPr>
          <w:rFonts w:ascii="Narkisim" w:hAnsi="Narkisim"/>
          <w:sz w:val="20"/>
          <w:szCs w:val="20"/>
          <w:rtl/>
        </w:rPr>
        <w:t>' (ב"ק פח. ד"ה שכן) בפשוטו מבואר דהעבד מצווה, ודחה דהיינו לס"ד דתוס</w:t>
      </w:r>
      <w:r w:rsidRPr="00AF1DC8">
        <w:rPr>
          <w:rFonts w:ascii="Narkisim" w:hAnsi="Narkisim"/>
          <w:sz w:val="20"/>
          <w:szCs w:val="20"/>
        </w:rPr>
        <w:t>'.</w:t>
      </w:r>
    </w:p>
    <w:p w14:paraId="7FD323E8"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קר"א</w:t>
      </w:r>
      <w:r w:rsidRPr="00AF1DC8">
        <w:rPr>
          <w:rFonts w:ascii="Narkisim" w:hAnsi="Narkisim"/>
          <w:rtl/>
        </w:rPr>
        <w:t xml:space="preserve"> (לעיל מו:) דן לומר דגירות לשם עבדות סגי במילה או בטבילה</w:t>
      </w:r>
      <w:r w:rsidRPr="00AF1DC8">
        <w:rPr>
          <w:rStyle w:val="ac"/>
          <w:rFonts w:ascii="Narkisim" w:hAnsi="Narkisim"/>
          <w:rtl/>
        </w:rPr>
        <w:footnoteReference w:id="2949"/>
      </w:r>
      <w:r w:rsidRPr="00AF1DC8">
        <w:rPr>
          <w:rFonts w:ascii="Narkisim" w:hAnsi="Narkisim"/>
        </w:rPr>
        <w:t xml:space="preserve">. </w:t>
      </w:r>
      <w:r w:rsidRPr="00AF1DC8">
        <w:rPr>
          <w:rFonts w:ascii="Narkisim" w:hAnsi="Narkisim"/>
          <w:rtl/>
        </w:rPr>
        <w:t>והא דבעי' מילה דוקא, משום מצוות מילת עבדיו. אבל הלוקח עבד כשהוא מהול [גבעוני מהול] אי"צ הטפת דם ברית. ועפ"ז דן די"ל דחל בו דיני עבדות ע"י טבילה לחוד</w:t>
      </w:r>
      <w:r w:rsidRPr="00AF1DC8">
        <w:rPr>
          <w:rStyle w:val="ac"/>
          <w:rFonts w:ascii="Narkisim" w:hAnsi="Narkisim"/>
          <w:rtl/>
        </w:rPr>
        <w:footnoteReference w:id="2950"/>
      </w:r>
      <w:r w:rsidRPr="00AF1DC8">
        <w:rPr>
          <w:rFonts w:ascii="Narkisim" w:hAnsi="Narkisim"/>
        </w:rPr>
        <w:t xml:space="preserve">, </w:t>
      </w:r>
      <w:r w:rsidRPr="00AF1DC8">
        <w:rPr>
          <w:rFonts w:ascii="Narkisim" w:hAnsi="Narkisim"/>
          <w:rtl/>
        </w:rPr>
        <w:t>והוה מצוות מילה בעלמא</w:t>
      </w:r>
      <w:r w:rsidRPr="00AF1DC8">
        <w:rPr>
          <w:rStyle w:val="ac"/>
          <w:rFonts w:ascii="Narkisim" w:hAnsi="Narkisim"/>
          <w:rtl/>
        </w:rPr>
        <w:footnoteReference w:id="2951"/>
      </w:r>
      <w:r w:rsidRPr="00AF1DC8">
        <w:rPr>
          <w:rFonts w:ascii="Narkisim" w:hAnsi="Narkisim"/>
        </w:rPr>
        <w:t>.</w:t>
      </w:r>
    </w:p>
    <w:p w14:paraId="621572F1"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ה</w:t>
      </w:r>
      <w:r w:rsidRPr="00AF1DC8">
        <w:rPr>
          <w:rFonts w:ascii="Narkisim" w:hAnsi="Narkisim" w:cs="Narkisim"/>
          <w:b/>
          <w:bCs/>
          <w:rtl/>
        </w:rPr>
        <w:t>רמב"ם</w:t>
      </w:r>
      <w:r w:rsidRPr="00AF1DC8">
        <w:rPr>
          <w:rFonts w:ascii="Narkisim" w:hAnsi="Narkisim" w:cs="Narkisim"/>
          <w:rtl/>
        </w:rPr>
        <w:t xml:space="preserve"> (מילה א א, והשו"ע יו"ד רסז א) פסק דאם האדון לא מל עבדיו [יליד ביתו ומקנת כספו], בי"ד מצווין למול, ולא יניחו ערל בישראל. ולכאו' משמע דהבי"ד מלים מחמת </w:t>
      </w:r>
      <w:r w:rsidRPr="00AF1DC8">
        <w:rPr>
          <w:rFonts w:ascii="Narkisim" w:hAnsi="Narkisim" w:cs="Narkisim"/>
          <w:rtl/>
        </w:rPr>
        <w:lastRenderedPageBreak/>
        <w:t xml:space="preserve">חיובו של העבד, וצ"ב דקודם שמל וטבל העבד אינו מחוייב כלל. אלא הוה דין על האדון לגיירו. </w:t>
      </w:r>
      <w:r w:rsidRPr="00AF1DC8">
        <w:rPr>
          <w:rFonts w:ascii="Narkisim" w:hAnsi="Narkisim" w:cs="Narkisim"/>
          <w:szCs w:val="20"/>
          <w:rtl/>
        </w:rPr>
        <w:t>[ועוד יל"ד דלכאו' אין לבי"ד בעלות וזכות לגיירו לשם עבדות. אלא דהוה מצוות מילה בעלמא]</w:t>
      </w:r>
      <w:r w:rsidRPr="00AF1DC8">
        <w:rPr>
          <w:rFonts w:ascii="Narkisim" w:hAnsi="Narkisim" w:cs="Narkisim"/>
        </w:rPr>
        <w:t>.</w:t>
      </w:r>
    </w:p>
    <w:p w14:paraId="6BE76489"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וה</w:t>
      </w:r>
      <w:r w:rsidRPr="00AF1DC8">
        <w:rPr>
          <w:rFonts w:ascii="Narkisim" w:hAnsi="Narkisim" w:cs="Narkisim"/>
          <w:b/>
          <w:bCs/>
          <w:rtl/>
        </w:rPr>
        <w:t>רמב"ם</w:t>
      </w:r>
      <w:r w:rsidRPr="00AF1DC8">
        <w:rPr>
          <w:rFonts w:ascii="Narkisim" w:hAnsi="Narkisim" w:cs="Narkisim"/>
          <w:rtl/>
        </w:rPr>
        <w:t xml:space="preserve"> (מילה א י) פסק דעבד יליד בית שלא טבלה אמו אף שנימול לח' אינו דוחה את השבת</w:t>
      </w:r>
      <w:r w:rsidRPr="00AF1DC8">
        <w:rPr>
          <w:rStyle w:val="ac"/>
          <w:rFonts w:ascii="Narkisim" w:hAnsi="Narkisim" w:cs="Narkisim"/>
          <w:rtl/>
        </w:rPr>
        <w:footnoteReference w:id="2952"/>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ראב"ד</w:t>
      </w:r>
      <w:r w:rsidRPr="00AF1DC8">
        <w:rPr>
          <w:rFonts w:ascii="Narkisim" w:hAnsi="Narkisim" w:cs="Narkisim"/>
          <w:rtl/>
        </w:rPr>
        <w:t xml:space="preserve"> השיג דדוחה שבת. וה</w:t>
      </w:r>
      <w:r w:rsidRPr="00AF1DC8">
        <w:rPr>
          <w:rFonts w:ascii="Narkisim" w:hAnsi="Narkisim" w:cs="Narkisim"/>
          <w:b/>
          <w:bCs/>
          <w:rtl/>
        </w:rPr>
        <w:t>גר"ח</w:t>
      </w:r>
      <w:r w:rsidRPr="00AF1DC8">
        <w:rPr>
          <w:rFonts w:ascii="Narkisim" w:hAnsi="Narkisim" w:cs="Narkisim"/>
          <w:rtl/>
        </w:rPr>
        <w:t xml:space="preserve"> (שם) פי' דסברת הרמב"ם דעדיין לא הושלם הגירות עד שיטבול אח"כ, דבעינן מילה ואח"כ טבילה </w:t>
      </w:r>
      <w:r w:rsidRPr="00AF1DC8">
        <w:rPr>
          <w:rFonts w:ascii="Narkisim" w:hAnsi="Narkisim" w:cs="Narkisim"/>
          <w:sz w:val="20"/>
          <w:szCs w:val="20"/>
          <w:rtl/>
        </w:rPr>
        <w:t xml:space="preserve">[וכדעת </w:t>
      </w:r>
      <w:r w:rsidRPr="00AF1DC8">
        <w:rPr>
          <w:rFonts w:ascii="Narkisim" w:hAnsi="Narkisim" w:cs="Narkisim"/>
          <w:b/>
          <w:bCs/>
          <w:sz w:val="20"/>
          <w:szCs w:val="20"/>
          <w:rtl/>
        </w:rPr>
        <w:t>תוס</w:t>
      </w:r>
      <w:r w:rsidRPr="00AF1DC8">
        <w:rPr>
          <w:rFonts w:ascii="Narkisim" w:hAnsi="Narkisim" w:cs="Narkisim"/>
          <w:sz w:val="20"/>
          <w:szCs w:val="20"/>
          <w:rtl/>
        </w:rPr>
        <w:t>' (מז: ד"ה מטבילין), והגר”ח נקט דכ"ד הרמב”ם]</w:t>
      </w:r>
      <w:r w:rsidRPr="00AF1DC8">
        <w:rPr>
          <w:rStyle w:val="ac"/>
          <w:rFonts w:ascii="Narkisim" w:hAnsi="Narkisim" w:cs="Narkisim"/>
          <w:rtl/>
        </w:rPr>
        <w:footnoteReference w:id="2953"/>
      </w:r>
      <w:r w:rsidRPr="00AF1DC8">
        <w:rPr>
          <w:rFonts w:ascii="Narkisim" w:hAnsi="Narkisim" w:cs="Narkisim"/>
        </w:rPr>
        <w:t>.</w:t>
      </w:r>
    </w:p>
    <w:p w14:paraId="2708C592" w14:textId="77777777" w:rsidR="006074A5" w:rsidRPr="00AF1DC8" w:rsidRDefault="006074A5" w:rsidP="006074A5">
      <w:pPr>
        <w:pStyle w:val="a7"/>
        <w:bidi/>
        <w:rPr>
          <w:rFonts w:ascii="Narkisim" w:hAnsi="Narkisim"/>
        </w:rPr>
      </w:pPr>
      <w:r w:rsidRPr="00AF1DC8">
        <w:rPr>
          <w:rFonts w:ascii="Narkisim" w:hAnsi="Narkisim"/>
          <w:rtl/>
        </w:rPr>
        <w:t>ועוד פי' ה</w:t>
      </w:r>
      <w:r w:rsidRPr="00AF1DC8">
        <w:rPr>
          <w:rFonts w:ascii="Narkisim" w:hAnsi="Narkisim"/>
          <w:b/>
          <w:bCs/>
          <w:rtl/>
        </w:rPr>
        <w:t>גר"ח</w:t>
      </w:r>
      <w:r w:rsidRPr="00AF1DC8">
        <w:rPr>
          <w:rFonts w:ascii="Narkisim" w:hAnsi="Narkisim"/>
          <w:rtl/>
        </w:rPr>
        <w:t xml:space="preserve"> דכיון דקודם המילה עדיין הוא נכרי, אף דהאדון חייב במילתו, דינו ככל מילת גירות דלא דחי שבת [ואף שיש בזה דין יום השמיני</w:t>
      </w:r>
      <w:r w:rsidRPr="00AF1DC8">
        <w:rPr>
          <w:rStyle w:val="ac"/>
          <w:rFonts w:ascii="Narkisim" w:hAnsi="Narkisim"/>
          <w:rtl/>
        </w:rPr>
        <w:footnoteReference w:id="2954"/>
      </w:r>
      <w:r w:rsidRPr="00AF1DC8">
        <w:rPr>
          <w:rFonts w:ascii="Narkisim" w:hAnsi="Narkisim"/>
          <w:rtl/>
        </w:rPr>
        <w:t>]. ואף שנשלם גירותו עי"ז. ול"ד לשאר יליד ביתו, דנולד בקדושת עבד, ול"צ גירות</w:t>
      </w:r>
      <w:r w:rsidRPr="00AF1DC8">
        <w:rPr>
          <w:rFonts w:ascii="Narkisim" w:hAnsi="Narkisim"/>
        </w:rPr>
        <w:t>.</w:t>
      </w:r>
    </w:p>
    <w:p w14:paraId="169037CD"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(בגליונות) השיג דל"ש טבילת גירות בקטן, דהרי חסר בקבלת מצוות</w:t>
      </w:r>
      <w:r w:rsidRPr="00AF1DC8">
        <w:rPr>
          <w:rStyle w:val="ac"/>
          <w:rFonts w:ascii="Narkisim" w:hAnsi="Narkisim"/>
          <w:rtl/>
        </w:rPr>
        <w:footnoteReference w:id="2955"/>
      </w:r>
      <w:r w:rsidRPr="00AF1DC8">
        <w:rPr>
          <w:rFonts w:ascii="Narkisim" w:hAnsi="Narkisim"/>
        </w:rPr>
        <w:t xml:space="preserve">, </w:t>
      </w:r>
      <w:r w:rsidRPr="00AF1DC8">
        <w:rPr>
          <w:rFonts w:ascii="Narkisim" w:hAnsi="Narkisim"/>
          <w:rtl/>
        </w:rPr>
        <w:t>ומוכח דאף כשאינו מעשה גירות דוחה שבת [לראב”ד]</w:t>
      </w:r>
      <w:r w:rsidRPr="00AF1DC8">
        <w:rPr>
          <w:rFonts w:ascii="Narkisim" w:hAnsi="Narkisim"/>
        </w:rPr>
        <w:t>.</w:t>
      </w:r>
    </w:p>
    <w:p w14:paraId="35B96B12" w14:textId="77777777" w:rsidR="006074A5" w:rsidRPr="00AF1DC8" w:rsidRDefault="006074A5" w:rsidP="006074A5">
      <w:pPr>
        <w:pStyle w:val="aa"/>
        <w:bidi/>
        <w:rPr>
          <w:rFonts w:ascii="Narkisim" w:hAnsi="Narkisim"/>
        </w:rPr>
      </w:pPr>
      <w:r w:rsidRPr="00AF1DC8">
        <w:rPr>
          <w:rFonts w:ascii="Narkisim" w:hAnsi="Narkisim"/>
          <w:u w:val="single"/>
          <w:rtl/>
        </w:rPr>
        <w:t>א"ל ר' ישמעאל הרי הוא אומר וינפש בן אמתך וכו'</w:t>
      </w:r>
      <w:r w:rsidRPr="00AF1DC8">
        <w:rPr>
          <w:rFonts w:ascii="Narkisim" w:hAnsi="Narkisim"/>
          <w:rtl/>
        </w:rPr>
        <w:t>. פ</w:t>
      </w:r>
      <w:r w:rsidRPr="00AF1DC8">
        <w:rPr>
          <w:rFonts w:ascii="Narkisim" w:hAnsi="Narkisim"/>
          <w:b/>
          <w:bCs/>
          <w:rtl/>
        </w:rPr>
        <w:t>רש"י</w:t>
      </w:r>
      <w:r w:rsidRPr="00AF1DC8">
        <w:rPr>
          <w:rFonts w:ascii="Narkisim" w:hAnsi="Narkisim"/>
          <w:rtl/>
        </w:rPr>
        <w:t xml:space="preserve"> דאי' (בסמוך) דאיירי בעבד ערל. וה</w:t>
      </w:r>
      <w:r w:rsidRPr="00AF1DC8">
        <w:rPr>
          <w:rFonts w:ascii="Narkisim" w:hAnsi="Narkisim"/>
          <w:b/>
          <w:bCs/>
          <w:rtl/>
        </w:rPr>
        <w:t>אבני נזר</w:t>
      </w:r>
      <w:r w:rsidRPr="00AF1DC8">
        <w:rPr>
          <w:rFonts w:ascii="Narkisim" w:hAnsi="Narkisim"/>
          <w:rtl/>
        </w:rPr>
        <w:t xml:space="preserve"> (יו"ד שנא) הקשה דנימא כגון שמל ולא טבל, דעדיין לא הושלם הגירות והוה עכו"ם. ומש"ה צריך צווי על שביתתו. והאבנ"נ הוכיח מזה דמל ולא טבל נכנס קצת לקדושת ישראל, ומחוייב בשמירת שבת</w:t>
      </w:r>
      <w:r w:rsidRPr="00AF1DC8">
        <w:rPr>
          <w:rFonts w:ascii="Narkisim" w:hAnsi="Narkisim"/>
        </w:rPr>
        <w:t>.</w:t>
      </w:r>
    </w:p>
    <w:p w14:paraId="254D62D7" w14:textId="77777777" w:rsidR="006074A5" w:rsidRPr="00AF1DC8" w:rsidRDefault="006074A5" w:rsidP="006074A5">
      <w:pPr>
        <w:pStyle w:val="aa"/>
        <w:bidi/>
        <w:rPr>
          <w:rFonts w:ascii="Narkisim" w:hAnsi="Narkisim"/>
        </w:rPr>
      </w:pPr>
      <w:r w:rsidRPr="00AF1DC8">
        <w:rPr>
          <w:rFonts w:ascii="Narkisim" w:hAnsi="Narkisim"/>
          <w:u w:val="single"/>
          <w:rtl/>
        </w:rPr>
        <w:t>בלוקח עבד ביה"ש ולא הספיק למולו.</w:t>
      </w:r>
      <w:r w:rsidRPr="00AF1DC8">
        <w:rPr>
          <w:rFonts w:ascii="Narkisim" w:hAnsi="Narkisim"/>
          <w:rtl/>
        </w:rPr>
        <w:t xml:space="preserve"> בשו"ת </w:t>
      </w:r>
      <w:r w:rsidRPr="00AF1DC8">
        <w:rPr>
          <w:rFonts w:ascii="Narkisim" w:hAnsi="Narkisim"/>
          <w:b/>
          <w:bCs/>
          <w:rtl/>
        </w:rPr>
        <w:t>תשב"ץ</w:t>
      </w:r>
      <w:r w:rsidRPr="00AF1DC8">
        <w:rPr>
          <w:rFonts w:ascii="Narkisim" w:hAnsi="Narkisim"/>
          <w:rtl/>
        </w:rPr>
        <w:t xml:space="preserve"> (א כא, הו' ב</w:t>
      </w:r>
      <w:r w:rsidRPr="00AF1DC8">
        <w:rPr>
          <w:rFonts w:ascii="Narkisim" w:hAnsi="Narkisim"/>
          <w:b/>
          <w:bCs/>
          <w:rtl/>
        </w:rPr>
        <w:t>ש"ך</w:t>
      </w:r>
      <w:r w:rsidRPr="00AF1DC8">
        <w:rPr>
          <w:rFonts w:ascii="Narkisim" w:hAnsi="Narkisim"/>
          <w:rtl/>
        </w:rPr>
        <w:t xml:space="preserve"> רסו יח) אסר למול גר מיום ה' [וכן מילה שלא בזמנו], שמא יבואו לחלל שבת. וכדאי' (שבת יט) דאין מפליגין בספינה ג' ימים סמוך לשבת</w:t>
      </w:r>
      <w:r w:rsidRPr="00AF1DC8">
        <w:rPr>
          <w:rStyle w:val="ac"/>
          <w:rFonts w:ascii="Narkisim" w:hAnsi="Narkisim"/>
          <w:rtl/>
        </w:rPr>
        <w:footnoteReference w:id="2956"/>
      </w:r>
      <w:r w:rsidRPr="00AF1DC8">
        <w:rPr>
          <w:rFonts w:ascii="Narkisim" w:hAnsi="Narkisim"/>
        </w:rPr>
        <w:t xml:space="preserve">. </w:t>
      </w:r>
      <w:r w:rsidRPr="00AF1DC8">
        <w:rPr>
          <w:rFonts w:ascii="Narkisim" w:hAnsi="Narkisim"/>
          <w:rtl/>
        </w:rPr>
        <w:t>וה</w:t>
      </w:r>
      <w:r w:rsidRPr="00AF1DC8">
        <w:rPr>
          <w:rFonts w:ascii="Narkisim" w:hAnsi="Narkisim"/>
          <w:b/>
          <w:bCs/>
          <w:rtl/>
        </w:rPr>
        <w:t>ערול"נ</w:t>
      </w:r>
      <w:r w:rsidRPr="00AF1DC8">
        <w:rPr>
          <w:rFonts w:ascii="Narkisim" w:hAnsi="Narkisim"/>
          <w:rtl/>
        </w:rPr>
        <w:t xml:space="preserve"> כתב דצ"ל דהיינו מדרבנן, וסוגיין קאי מדאוריי</w:t>
      </w:r>
      <w:r w:rsidRPr="00AF1DC8">
        <w:rPr>
          <w:rFonts w:ascii="Narkisim" w:hAnsi="Narkisim"/>
        </w:rPr>
        <w:t>'.</w:t>
      </w:r>
    </w:p>
    <w:p w14:paraId="24D588A8" w14:textId="77777777" w:rsidR="006074A5" w:rsidRPr="00AF1DC8" w:rsidRDefault="006074A5" w:rsidP="006074A5">
      <w:pPr>
        <w:pStyle w:val="aa"/>
        <w:bidi/>
        <w:rPr>
          <w:rFonts w:ascii="Narkisim" w:hAnsi="Narkisim"/>
        </w:rPr>
      </w:pPr>
      <w:r w:rsidRPr="00AF1DC8">
        <w:rPr>
          <w:rFonts w:ascii="Narkisim" w:hAnsi="Narkisim"/>
          <w:u w:val="single"/>
          <w:rtl/>
        </w:rPr>
        <w:t>שם. למולו</w:t>
      </w:r>
      <w:r w:rsidRPr="00AF1DC8">
        <w:rPr>
          <w:rFonts w:ascii="Narkisim" w:hAnsi="Narkisim"/>
          <w:rtl/>
        </w:rPr>
        <w:t>. ה</w:t>
      </w:r>
      <w:r w:rsidRPr="00AF1DC8">
        <w:rPr>
          <w:rFonts w:ascii="Narkisim" w:hAnsi="Narkisim"/>
          <w:b/>
          <w:bCs/>
          <w:rtl/>
        </w:rPr>
        <w:t>אבנ"נ</w:t>
      </w:r>
      <w:r w:rsidRPr="00AF1DC8">
        <w:rPr>
          <w:rFonts w:ascii="Narkisim" w:hAnsi="Narkisim"/>
          <w:rtl/>
        </w:rPr>
        <w:t xml:space="preserve"> (יו"ד שנא) הק' אמאי תלי במילה, הא מלין ואח"כ מתרפא וטובלים. א"כ קודם טבילה לא נתחייב במצוות. ועוד דייק בסוגיין דאין מקיימין גר שלא מל, אבל רשאי לקיים מל ולא טבל. [עי"ש]. ודן דע"י מילה לבד נתחייב בשמירת שבת, אף דאינו גר גמור. דשבת נצטוו במרה, אף קודם מתן תורה [וע' מש"כ לעיל מו.]</w:t>
      </w:r>
      <w:r w:rsidRPr="00AF1DC8">
        <w:rPr>
          <w:rFonts w:ascii="Narkisim" w:hAnsi="Narkisim"/>
        </w:rPr>
        <w:t>.</w:t>
      </w:r>
    </w:p>
    <w:p w14:paraId="2EE85180" w14:textId="77777777" w:rsidR="006074A5" w:rsidRPr="00AF1DC8" w:rsidRDefault="006074A5" w:rsidP="006074A5">
      <w:pPr>
        <w:bidi/>
        <w:rPr>
          <w:rFonts w:ascii="Narkisim" w:hAnsi="Narkisim" w:cs="Narkisim"/>
        </w:rPr>
      </w:pPr>
      <w:r w:rsidRPr="00AF1DC8">
        <w:rPr>
          <w:rFonts w:ascii="Narkisim" w:hAnsi="Narkisim" w:cs="Narkisim"/>
          <w:u w:val="single"/>
          <w:rtl/>
        </w:rPr>
        <w:t>תוד"ה אין מקיימין.</w:t>
      </w:r>
      <w:r w:rsidRPr="00AF1DC8">
        <w:rPr>
          <w:rFonts w:ascii="Narkisim" w:hAnsi="Narkisim" w:cs="Narkisim"/>
          <w:rtl/>
        </w:rPr>
        <w:t xml:space="preserve"> ועוד מתשובתו של ר' ישמעאל משמע דמדאוריי' פליגי. </w:t>
      </w:r>
      <w:r w:rsidRPr="00AF1DC8">
        <w:rPr>
          <w:rFonts w:ascii="Narkisim" w:hAnsi="Narkisim" w:cs="Narkisim"/>
          <w:sz w:val="20"/>
          <w:szCs w:val="20"/>
          <w:rtl/>
        </w:rPr>
        <w:t>וה</w:t>
      </w:r>
      <w:r w:rsidRPr="00AF1DC8">
        <w:rPr>
          <w:rFonts w:ascii="Narkisim" w:hAnsi="Narkisim" w:cs="Narkisim"/>
          <w:b/>
          <w:bCs/>
          <w:sz w:val="20"/>
          <w:szCs w:val="20"/>
          <w:rtl/>
        </w:rPr>
        <w:t>ערול"נ</w:t>
      </w:r>
      <w:r w:rsidRPr="00AF1DC8">
        <w:rPr>
          <w:rFonts w:ascii="Narkisim" w:hAnsi="Narkisim" w:cs="Narkisim"/>
          <w:sz w:val="20"/>
          <w:szCs w:val="20"/>
          <w:rtl/>
        </w:rPr>
        <w:t xml:space="preserve"> תי' דכוונתו להקשות דמאחר דהתירה תורה להדיא לא היו חז"ל אוסרים. [וע"פ יסוד ה</w:t>
      </w:r>
      <w:r w:rsidRPr="00AF1DC8">
        <w:rPr>
          <w:rFonts w:ascii="Narkisim" w:hAnsi="Narkisim" w:cs="Narkisim"/>
          <w:b/>
          <w:bCs/>
          <w:sz w:val="20"/>
          <w:szCs w:val="20"/>
          <w:rtl/>
        </w:rPr>
        <w:t>ט"ז</w:t>
      </w:r>
      <w:r w:rsidRPr="00AF1DC8">
        <w:rPr>
          <w:rFonts w:ascii="Narkisim" w:hAnsi="Narkisim" w:cs="Narkisim"/>
          <w:sz w:val="20"/>
          <w:szCs w:val="20"/>
          <w:rtl/>
        </w:rPr>
        <w:t xml:space="preserve"> (יו"ד קיז) דאין לחכמים לגזור בדבר שהותר להדיא]</w:t>
      </w:r>
      <w:r w:rsidRPr="00AF1DC8">
        <w:rPr>
          <w:rFonts w:ascii="Narkisim" w:hAnsi="Narkisim" w:cs="Narkisim"/>
          <w:sz w:val="20"/>
          <w:szCs w:val="20"/>
        </w:rPr>
        <w:t>.</w:t>
      </w:r>
    </w:p>
    <w:p w14:paraId="218B6562" w14:textId="77777777" w:rsidR="006074A5" w:rsidRPr="00AF1DC8" w:rsidRDefault="006074A5" w:rsidP="006074A5">
      <w:pPr>
        <w:bidi/>
        <w:rPr>
          <w:rFonts w:ascii="Narkisim" w:hAnsi="Narkisim" w:cs="Narkisim"/>
        </w:rPr>
      </w:pPr>
      <w:r w:rsidRPr="00AF1DC8">
        <w:rPr>
          <w:rFonts w:ascii="Narkisim" w:hAnsi="Narkisim" w:cs="Narkisim"/>
          <w:u w:val="single"/>
          <w:rtl/>
        </w:rPr>
        <w:t>בא"ד ונראה לר"י וכו' לפי שצווה הקב"ה לאברהם</w:t>
      </w:r>
      <w:r w:rsidRPr="00AF1DC8">
        <w:rPr>
          <w:rStyle w:val="ac"/>
          <w:rFonts w:ascii="Narkisim" w:hAnsi="Narkisim" w:cs="Narkisim"/>
          <w:u w:val="single"/>
          <w:rtl/>
        </w:rPr>
        <w:footnoteReference w:id="2957"/>
      </w:r>
      <w:r w:rsidRPr="00AF1DC8">
        <w:rPr>
          <w:rFonts w:ascii="Narkisim" w:hAnsi="Narkisim" w:cs="Narkisim"/>
          <w:u w:val="single"/>
        </w:rPr>
        <w:t xml:space="preserve"> </w:t>
      </w:r>
      <w:r w:rsidRPr="00AF1DC8">
        <w:rPr>
          <w:rFonts w:ascii="Narkisim" w:hAnsi="Narkisim" w:cs="Narkisim"/>
          <w:u w:val="single"/>
          <w:rtl/>
        </w:rPr>
        <w:t>למול עבדיו וכו'.</w:t>
      </w:r>
      <w:r w:rsidRPr="00AF1DC8">
        <w:rPr>
          <w:rFonts w:ascii="Narkisim" w:hAnsi="Narkisim" w:cs="Narkisim"/>
          <w:rtl/>
        </w:rPr>
        <w:t xml:space="preserve"> דמבטל את המצווה למולו. </w:t>
      </w:r>
      <w:r w:rsidRPr="00AF1DC8">
        <w:rPr>
          <w:rFonts w:ascii="Narkisim" w:hAnsi="Narkisim" w:cs="Narkisim"/>
          <w:sz w:val="20"/>
          <w:szCs w:val="20"/>
          <w:rtl/>
        </w:rPr>
        <w:t>[ומש"ה אסור לקיימו, שלא יבטל המצווה. וה</w:t>
      </w:r>
      <w:r w:rsidRPr="00AF1DC8">
        <w:rPr>
          <w:rFonts w:ascii="Narkisim" w:hAnsi="Narkisim" w:cs="Narkisim"/>
          <w:b/>
          <w:bCs/>
          <w:sz w:val="20"/>
          <w:szCs w:val="20"/>
          <w:rtl/>
        </w:rPr>
        <w:t>אחרונים</w:t>
      </w:r>
      <w:r w:rsidRPr="00AF1DC8">
        <w:rPr>
          <w:rFonts w:ascii="Narkisim" w:hAnsi="Narkisim" w:cs="Narkisim"/>
          <w:sz w:val="20"/>
          <w:szCs w:val="20"/>
          <w:rtl/>
        </w:rPr>
        <w:t xml:space="preserve"> דנו דהוה אונס בקיום המצוה, ומבואר דאפ"ה חייב לסלק מעליו הסיבה, ולמכור את העבד</w:t>
      </w:r>
      <w:r w:rsidRPr="00AF1DC8">
        <w:rPr>
          <w:rStyle w:val="ac"/>
          <w:rFonts w:ascii="Narkisim" w:hAnsi="Narkisim" w:cs="Narkisim"/>
          <w:sz w:val="20"/>
          <w:szCs w:val="20"/>
          <w:rtl/>
        </w:rPr>
        <w:footnoteReference w:id="2958"/>
      </w:r>
      <w:r w:rsidRPr="00AF1DC8">
        <w:rPr>
          <w:rFonts w:ascii="Narkisim" w:hAnsi="Narkisim" w:cs="Narkisim"/>
          <w:sz w:val="20"/>
          <w:szCs w:val="20"/>
        </w:rPr>
        <w:t xml:space="preserve">. </w:t>
      </w:r>
      <w:r w:rsidRPr="00AF1DC8">
        <w:rPr>
          <w:rFonts w:ascii="Narkisim" w:hAnsi="Narkisim" w:cs="Narkisim"/>
          <w:sz w:val="20"/>
          <w:szCs w:val="20"/>
          <w:rtl/>
        </w:rPr>
        <w:t>ואפשר דהוה תקנ”ח</w:t>
      </w:r>
      <w:r w:rsidRPr="00AF1DC8">
        <w:rPr>
          <w:rStyle w:val="ac"/>
          <w:rFonts w:ascii="Narkisim" w:hAnsi="Narkisim" w:cs="Narkisim"/>
          <w:sz w:val="20"/>
          <w:szCs w:val="20"/>
          <w:rtl/>
        </w:rPr>
        <w:footnoteReference w:id="2959"/>
      </w:r>
      <w:r w:rsidRPr="00AF1DC8">
        <w:rPr>
          <w:rFonts w:ascii="Narkisim" w:hAnsi="Narkisim" w:cs="Narkisim"/>
          <w:sz w:val="20"/>
          <w:szCs w:val="20"/>
          <w:rtl/>
        </w:rPr>
        <w:t>]</w:t>
      </w:r>
      <w:r w:rsidRPr="00AF1DC8">
        <w:rPr>
          <w:rFonts w:ascii="Narkisim" w:hAnsi="Narkisim" w:cs="Narkisim"/>
          <w:sz w:val="20"/>
          <w:szCs w:val="20"/>
        </w:rPr>
        <w:t>.</w:t>
      </w:r>
    </w:p>
    <w:p w14:paraId="7BBD17D2" w14:textId="77777777" w:rsidR="006074A5" w:rsidRPr="00AF1DC8" w:rsidRDefault="006074A5" w:rsidP="006074A5">
      <w:pPr>
        <w:bidi/>
        <w:rPr>
          <w:rFonts w:ascii="Narkisim" w:hAnsi="Narkisim" w:cs="Narkisim"/>
        </w:rPr>
      </w:pPr>
      <w:r w:rsidRPr="00AF1DC8">
        <w:rPr>
          <w:rFonts w:ascii="Narkisim" w:hAnsi="Narkisim" w:cs="Narkisim"/>
          <w:u w:val="single"/>
          <w:rtl/>
        </w:rPr>
        <w:t>כשהוא אומר למען ינוח, הרי עבד מהול אמור וכו'.</w:t>
      </w:r>
      <w:r w:rsidRPr="00AF1DC8">
        <w:rPr>
          <w:rFonts w:ascii="Narkisim" w:hAnsi="Narkisim" w:cs="Narkisim"/>
          <w:rtl/>
        </w:rPr>
        <w:t xml:space="preserve"> ה</w:t>
      </w:r>
      <w:r w:rsidRPr="00AF1DC8">
        <w:rPr>
          <w:rFonts w:ascii="Narkisim" w:hAnsi="Narkisim" w:cs="Narkisim"/>
          <w:b/>
          <w:bCs/>
          <w:rtl/>
        </w:rPr>
        <w:t>רמב"ם</w:t>
      </w:r>
      <w:r w:rsidRPr="00AF1DC8">
        <w:rPr>
          <w:rFonts w:ascii="Narkisim" w:hAnsi="Narkisim" w:cs="Narkisim"/>
          <w:rtl/>
        </w:rPr>
        <w:t xml:space="preserve"> (שבת כ יד) כת' דכשם שמצווה על שביתת בהמתו, כן מצווה על שביתת עבדיו שמלו וטבלו וקבלו עליהם מצוות</w:t>
      </w:r>
      <w:r w:rsidRPr="00AF1DC8">
        <w:rPr>
          <w:rStyle w:val="ac"/>
          <w:rFonts w:ascii="Narkisim" w:hAnsi="Narkisim" w:cs="Narkisim"/>
          <w:rtl/>
        </w:rPr>
        <w:footnoteReference w:id="2960"/>
      </w:r>
      <w:r w:rsidRPr="00AF1DC8">
        <w:rPr>
          <w:rFonts w:ascii="Narkisim" w:hAnsi="Narkisim" w:cs="Narkisim"/>
        </w:rPr>
        <w:t xml:space="preserve">, </w:t>
      </w:r>
      <w:r w:rsidRPr="00AF1DC8">
        <w:rPr>
          <w:rFonts w:ascii="Narkisim" w:hAnsi="Narkisim" w:cs="Narkisim"/>
          <w:rtl/>
        </w:rPr>
        <w:t>ואע"פ שהם בני דעת. וה</w:t>
      </w:r>
      <w:r w:rsidRPr="00AF1DC8">
        <w:rPr>
          <w:rFonts w:ascii="Narkisim" w:hAnsi="Narkisim" w:cs="Narkisim"/>
          <w:b/>
          <w:bCs/>
          <w:rtl/>
        </w:rPr>
        <w:t>ראב"ד</w:t>
      </w:r>
      <w:r w:rsidRPr="00AF1DC8">
        <w:rPr>
          <w:rFonts w:ascii="Narkisim" w:hAnsi="Narkisim" w:cs="Narkisim"/>
          <w:rtl/>
        </w:rPr>
        <w:t xml:space="preserve"> השיג דהוה כנשי ישראל גמורים, ובני עונשין בעצמן</w:t>
      </w:r>
      <w:r w:rsidRPr="00AF1DC8">
        <w:rPr>
          <w:rStyle w:val="ac"/>
          <w:rFonts w:ascii="Narkisim" w:hAnsi="Narkisim" w:cs="Narkisim"/>
          <w:rtl/>
        </w:rPr>
        <w:footnoteReference w:id="2961"/>
      </w:r>
      <w:r w:rsidRPr="00AF1DC8">
        <w:rPr>
          <w:rFonts w:ascii="Narkisim" w:hAnsi="Narkisim" w:cs="Narkisim"/>
        </w:rPr>
        <w:t xml:space="preserve"> </w:t>
      </w:r>
      <w:r w:rsidRPr="00AF1DC8">
        <w:rPr>
          <w:rFonts w:ascii="Narkisim" w:hAnsi="Narkisim" w:cs="Narkisim"/>
          <w:sz w:val="20"/>
          <w:szCs w:val="20"/>
          <w:rtl/>
        </w:rPr>
        <w:t xml:space="preserve">[ואי”צ בזה </w:t>
      </w:r>
      <w:r w:rsidRPr="00AF1DC8">
        <w:rPr>
          <w:rFonts w:ascii="Narkisim" w:hAnsi="Narkisim" w:cs="Narkisim"/>
          <w:sz w:val="20"/>
          <w:szCs w:val="20"/>
          <w:rtl/>
        </w:rPr>
        <w:lastRenderedPageBreak/>
        <w:t>לצווי האדון</w:t>
      </w:r>
      <w:r w:rsidRPr="00AF1DC8">
        <w:rPr>
          <w:rStyle w:val="ac"/>
          <w:rFonts w:ascii="Narkisim" w:hAnsi="Narkisim" w:cs="Narkisim"/>
          <w:sz w:val="20"/>
          <w:szCs w:val="20"/>
          <w:rtl/>
        </w:rPr>
        <w:footnoteReference w:id="2962"/>
      </w:r>
      <w:r w:rsidRPr="00AF1DC8">
        <w:rPr>
          <w:rFonts w:ascii="Narkisim" w:hAnsi="Narkisim" w:cs="Narkisim"/>
          <w:sz w:val="20"/>
          <w:szCs w:val="20"/>
          <w:rtl/>
        </w:rPr>
        <w:t>]</w:t>
      </w:r>
      <w:r w:rsidRPr="00AF1DC8">
        <w:rPr>
          <w:rFonts w:ascii="Narkisim" w:hAnsi="Narkisim" w:cs="Narkisim"/>
          <w:rtl/>
        </w:rPr>
        <w:t>. ולא הזהירה תורה אלא על עבד תושב, שלא מל. ו</w:t>
      </w:r>
      <w:r w:rsidRPr="00AF1DC8">
        <w:rPr>
          <w:rFonts w:ascii="Narkisim" w:hAnsi="Narkisim" w:cs="Narkisim"/>
          <w:b/>
          <w:bCs/>
          <w:rtl/>
        </w:rPr>
        <w:t>ה"ה</w:t>
      </w:r>
      <w:r w:rsidRPr="00AF1DC8">
        <w:rPr>
          <w:rFonts w:ascii="Narkisim" w:hAnsi="Narkisim" w:cs="Narkisim"/>
          <w:rtl/>
        </w:rPr>
        <w:t xml:space="preserve"> ביאר דדעת הרמב"ם דיש צווי נוסף על האדון</w:t>
      </w:r>
      <w:r w:rsidRPr="00AF1DC8">
        <w:rPr>
          <w:rFonts w:ascii="Narkisim" w:hAnsi="Narkisim" w:cs="Narkisim"/>
        </w:rPr>
        <w:t>.</w:t>
      </w:r>
    </w:p>
    <w:p w14:paraId="2047CE79" w14:textId="77777777" w:rsidR="006074A5" w:rsidRPr="00AF1DC8" w:rsidRDefault="006074A5" w:rsidP="006074A5">
      <w:pPr>
        <w:bidi/>
        <w:rPr>
          <w:rFonts w:ascii="Narkisim" w:hAnsi="Narkisim" w:cs="Narkisim"/>
        </w:rPr>
      </w:pPr>
      <w:r w:rsidRPr="00AF1DC8">
        <w:rPr>
          <w:rFonts w:ascii="Narkisim" w:hAnsi="Narkisim" w:cs="Narkisim"/>
          <w:u w:val="single"/>
          <w:rtl/>
        </w:rPr>
        <w:t>וינפש בן אמתך, בעבד ערל.</w:t>
      </w:r>
      <w:r w:rsidRPr="00AF1DC8">
        <w:rPr>
          <w:rFonts w:ascii="Narkisim" w:hAnsi="Narkisim" w:cs="Narkisim"/>
          <w:rtl/>
        </w:rPr>
        <w:t xml:space="preserve"> דיש איסור מדאורייתא לעשות מלאכה עבור ישראל [וכמ”ש תוס' לענין גר תושב]. [ע' פוסקים או"ח שד]. וה</w:t>
      </w:r>
      <w:r w:rsidRPr="00AF1DC8">
        <w:rPr>
          <w:rFonts w:ascii="Narkisim" w:hAnsi="Narkisim" w:cs="Narkisim"/>
          <w:b/>
          <w:bCs/>
          <w:rtl/>
        </w:rPr>
        <w:t>רשב"א</w:t>
      </w:r>
      <w:r w:rsidRPr="00AF1DC8">
        <w:rPr>
          <w:rFonts w:ascii="Narkisim" w:hAnsi="Narkisim" w:cs="Narkisim"/>
          <w:rtl/>
        </w:rPr>
        <w:t xml:space="preserve"> כתב דאף אם העבד עושה מלאכת רבו על דעת עצמו, רבו חייב להפרישו. דעבד עושה ע"ד רבו</w:t>
      </w:r>
      <w:r w:rsidRPr="00AF1DC8">
        <w:rPr>
          <w:rStyle w:val="ac"/>
          <w:rFonts w:ascii="Narkisim" w:hAnsi="Narkisim" w:cs="Narkisim"/>
          <w:rtl/>
        </w:rPr>
        <w:footnoteReference w:id="2963"/>
      </w:r>
      <w:r w:rsidRPr="00AF1DC8">
        <w:rPr>
          <w:rFonts w:ascii="Narkisim" w:hAnsi="Narkisim" w:cs="Narkisim"/>
          <w:sz w:val="20"/>
          <w:szCs w:val="20"/>
        </w:rPr>
        <w:t xml:space="preserve">. </w:t>
      </w:r>
      <w:r w:rsidRPr="00AF1DC8">
        <w:rPr>
          <w:rFonts w:ascii="Narkisim" w:hAnsi="Narkisim" w:cs="Narkisim"/>
          <w:sz w:val="20"/>
          <w:szCs w:val="20"/>
          <w:rtl/>
        </w:rPr>
        <w:t>וב</w:t>
      </w:r>
      <w:r w:rsidRPr="00AF1DC8">
        <w:rPr>
          <w:rFonts w:ascii="Narkisim" w:hAnsi="Narkisim" w:cs="Narkisim"/>
          <w:b/>
          <w:bCs/>
          <w:sz w:val="20"/>
          <w:szCs w:val="20"/>
          <w:rtl/>
        </w:rPr>
        <w:t>שו"ת הרשב"א</w:t>
      </w:r>
      <w:r w:rsidRPr="00AF1DC8">
        <w:rPr>
          <w:rFonts w:ascii="Narkisim" w:hAnsi="Narkisim" w:cs="Narkisim"/>
          <w:sz w:val="20"/>
          <w:szCs w:val="20"/>
          <w:rtl/>
        </w:rPr>
        <w:t xml:space="preserve"> (א נט, וכ”פ בשו”ע שד א) כת' דמ"מ היכא דניכר שעושה מלאכת רבו ע"ד עצמו אינו מצווה להפרישו. כדאמרי' (לקמן קיד.) קטן אוכל נבילות אין בי"ד מצווין להפרישו</w:t>
      </w:r>
      <w:r w:rsidRPr="00AF1DC8">
        <w:rPr>
          <w:rStyle w:val="ac"/>
          <w:rFonts w:ascii="Narkisim" w:hAnsi="Narkisim" w:cs="Narkisim"/>
          <w:sz w:val="20"/>
          <w:szCs w:val="20"/>
          <w:rtl/>
        </w:rPr>
        <w:footnoteReference w:id="2964"/>
      </w:r>
      <w:r w:rsidRPr="00AF1DC8">
        <w:rPr>
          <w:rFonts w:ascii="Narkisim" w:hAnsi="Narkisim" w:cs="Narkisim"/>
        </w:rPr>
        <w:t>.</w:t>
      </w:r>
    </w:p>
    <w:p w14:paraId="7DC8C31B"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 דה"ה דאסור לעשות מלאכה לישראל אחר [ע"פ צוויו], דלא גרע מגר תושב. וכ"כ ה</w:t>
      </w:r>
      <w:r w:rsidRPr="00AF1DC8">
        <w:rPr>
          <w:rFonts w:ascii="Narkisim" w:hAnsi="Narkisim"/>
          <w:b/>
          <w:bCs/>
          <w:rtl/>
        </w:rPr>
        <w:t>ריטב"א</w:t>
      </w:r>
      <w:r w:rsidRPr="00AF1DC8">
        <w:rPr>
          <w:rFonts w:ascii="Narkisim" w:hAnsi="Narkisim"/>
          <w:rtl/>
        </w:rPr>
        <w:t xml:space="preserve"> דאסור לרופאים לעשות מלאכה בשבת ע"י עבד, ורק ע"י גוי גמור</w:t>
      </w:r>
      <w:r w:rsidRPr="00AF1DC8">
        <w:rPr>
          <w:rFonts w:ascii="Narkisim" w:hAnsi="Narkisim"/>
        </w:rPr>
        <w:t>.</w:t>
      </w:r>
    </w:p>
    <w:p w14:paraId="19F1EA22" w14:textId="77777777" w:rsidR="006074A5" w:rsidRPr="00AF1DC8" w:rsidRDefault="006074A5" w:rsidP="006074A5">
      <w:pPr>
        <w:bidi/>
        <w:rPr>
          <w:rFonts w:ascii="Narkisim" w:hAnsi="Narkisim" w:cs="Narkisim"/>
        </w:rPr>
      </w:pPr>
      <w:r w:rsidRPr="00AF1DC8">
        <w:rPr>
          <w:rFonts w:ascii="Narkisim" w:hAnsi="Narkisim" w:cs="Narkisim"/>
          <w:rtl/>
        </w:rPr>
        <w:t>ודעת ה</w:t>
      </w:r>
      <w:r w:rsidRPr="00AF1DC8">
        <w:rPr>
          <w:rFonts w:ascii="Narkisim" w:hAnsi="Narkisim" w:cs="Narkisim"/>
          <w:b/>
          <w:bCs/>
          <w:rtl/>
        </w:rPr>
        <w:t>רמב"ן</w:t>
      </w:r>
      <w:r w:rsidRPr="00AF1DC8">
        <w:rPr>
          <w:rFonts w:ascii="Narkisim" w:hAnsi="Narkisim" w:cs="Narkisim"/>
          <w:rtl/>
        </w:rPr>
        <w:t xml:space="preserve"> (תורת האדם) דהיינו דוקא בעבד שקיבל עליו ז' מצוות. אבל היכא דלא קיבל עליו מצוות כלל אינו מצווה עליו. ו</w:t>
      </w:r>
      <w:r w:rsidRPr="00AF1DC8">
        <w:rPr>
          <w:rFonts w:ascii="Narkisim" w:hAnsi="Narkisim" w:cs="Narkisim"/>
          <w:b/>
          <w:bCs/>
          <w:rtl/>
        </w:rPr>
        <w:t>ה"ה</w:t>
      </w:r>
      <w:r w:rsidRPr="00AF1DC8">
        <w:rPr>
          <w:rFonts w:ascii="Narkisim" w:hAnsi="Narkisim" w:cs="Narkisim"/>
          <w:rtl/>
        </w:rPr>
        <w:t xml:space="preserve"> (שם) כת' דכ"מ ברמב"ם שהוסיף דאין מקבלים גר תושב אלא בזמן שהיובל נוהג</w:t>
      </w:r>
      <w:r w:rsidRPr="00AF1DC8">
        <w:rPr>
          <w:rStyle w:val="ac"/>
          <w:rFonts w:ascii="Narkisim" w:hAnsi="Narkisim" w:cs="Narkisim"/>
          <w:rtl/>
        </w:rPr>
        <w:footnoteReference w:id="2965"/>
      </w:r>
      <w:r w:rsidRPr="00AF1DC8">
        <w:rPr>
          <w:rFonts w:ascii="Narkisim" w:hAnsi="Narkisim" w:cs="Narkisim"/>
        </w:rPr>
        <w:t xml:space="preserve">. </w:t>
      </w:r>
      <w:r w:rsidRPr="00AF1DC8">
        <w:rPr>
          <w:rFonts w:ascii="Narkisim" w:hAnsi="Narkisim" w:cs="Narkisim"/>
          <w:rtl/>
        </w:rPr>
        <w:t>אבל הביא דבשו"ת ה</w:t>
      </w:r>
      <w:r w:rsidRPr="00AF1DC8">
        <w:rPr>
          <w:rFonts w:ascii="Narkisim" w:hAnsi="Narkisim" w:cs="Narkisim"/>
          <w:b/>
          <w:bCs/>
          <w:rtl/>
        </w:rPr>
        <w:t>רשב"א</w:t>
      </w:r>
      <w:r w:rsidRPr="00AF1DC8">
        <w:rPr>
          <w:rFonts w:ascii="Narkisim" w:hAnsi="Narkisim" w:cs="Narkisim"/>
          <w:rtl/>
        </w:rPr>
        <w:t xml:space="preserve"> (א נט) חלק דכל עבד אסור מדאורייתא. [והו' ב' דיעות בשו"ע שד א]</w:t>
      </w:r>
      <w:r w:rsidRPr="00AF1DC8">
        <w:rPr>
          <w:rFonts w:ascii="Narkisim" w:hAnsi="Narkisim" w:cs="Narkisim"/>
        </w:rPr>
        <w:t>.</w:t>
      </w:r>
    </w:p>
    <w:p w14:paraId="70AFCF9F" w14:textId="77777777" w:rsidR="006074A5" w:rsidRPr="00AF1DC8" w:rsidRDefault="006074A5" w:rsidP="006074A5">
      <w:pPr>
        <w:bidi/>
        <w:rPr>
          <w:rFonts w:ascii="Narkisim" w:hAnsi="Narkisim" w:cs="Narkisim"/>
        </w:rPr>
      </w:pPr>
      <w:r w:rsidRPr="00AF1DC8">
        <w:rPr>
          <w:rFonts w:ascii="Narkisim" w:hAnsi="Narkisim" w:cs="Narkisim"/>
          <w:u w:val="single"/>
          <w:rtl/>
        </w:rPr>
        <w:t>תוד"ה זה.</w:t>
      </w:r>
      <w:r w:rsidRPr="00AF1DC8">
        <w:rPr>
          <w:rFonts w:ascii="Narkisim" w:hAnsi="Narkisim" w:cs="Narkisim"/>
          <w:rtl/>
        </w:rPr>
        <w:t xml:space="preserve"> פי' הקו' ומחלל שבת כעכו"ם וכו'. וב</w:t>
      </w:r>
      <w:r w:rsidRPr="00AF1DC8">
        <w:rPr>
          <w:rFonts w:ascii="Narkisim" w:hAnsi="Narkisim" w:cs="Narkisim"/>
          <w:b/>
          <w:bCs/>
          <w:rtl/>
        </w:rPr>
        <w:t>חי' ר' מאיר שמחה</w:t>
      </w:r>
      <w:r w:rsidRPr="00AF1DC8">
        <w:rPr>
          <w:rFonts w:ascii="Narkisim" w:hAnsi="Narkisim" w:cs="Narkisim"/>
          <w:rtl/>
        </w:rPr>
        <w:t xml:space="preserve"> כתב דרק מלאכת קרקע נחשב חילול שבת, וככופר בעיקר</w:t>
      </w:r>
      <w:r w:rsidRPr="00AF1DC8">
        <w:rPr>
          <w:rStyle w:val="ac"/>
          <w:rFonts w:ascii="Narkisim" w:hAnsi="Narkisim" w:cs="Narkisim"/>
          <w:rtl/>
        </w:rPr>
        <w:footnoteReference w:id="2966"/>
      </w:r>
      <w:r w:rsidRPr="00AF1DC8">
        <w:rPr>
          <w:rFonts w:ascii="Narkisim" w:hAnsi="Narkisim" w:cs="Narkisim"/>
        </w:rPr>
        <w:t xml:space="preserve">. </w:t>
      </w:r>
      <w:r w:rsidRPr="00AF1DC8">
        <w:rPr>
          <w:rFonts w:ascii="Narkisim" w:hAnsi="Narkisim" w:cs="Narkisim"/>
          <w:rtl/>
        </w:rPr>
        <w:t>ובזה גר תושב מצווה</w:t>
      </w:r>
      <w:r w:rsidRPr="00AF1DC8">
        <w:rPr>
          <w:rStyle w:val="ac"/>
          <w:rFonts w:ascii="Narkisim" w:hAnsi="Narkisim" w:cs="Narkisim"/>
          <w:rtl/>
        </w:rPr>
        <w:footnoteReference w:id="2967"/>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ערול"נ</w:t>
      </w:r>
      <w:r w:rsidRPr="00AF1DC8">
        <w:rPr>
          <w:rFonts w:ascii="Narkisim" w:hAnsi="Narkisim" w:cs="Narkisim"/>
          <w:rtl/>
        </w:rPr>
        <w:t xml:space="preserve"> כת' דדעת רש"י דגר תושב עושה מלאכת אוכל נפש, וכישראל ביו"ט. </w:t>
      </w:r>
      <w:r w:rsidRPr="00AF1DC8">
        <w:rPr>
          <w:rFonts w:ascii="Narkisim" w:hAnsi="Narkisim" w:cs="Narkisim"/>
          <w:sz w:val="20"/>
          <w:szCs w:val="20"/>
          <w:rtl/>
        </w:rPr>
        <w:t>[וכדאיתא בכריתות ח:]</w:t>
      </w:r>
      <w:r w:rsidRPr="00AF1DC8">
        <w:rPr>
          <w:rFonts w:ascii="Narkisim" w:hAnsi="Narkisim" w:cs="Narkisim"/>
          <w:sz w:val="20"/>
          <w:szCs w:val="20"/>
        </w:rPr>
        <w:t>.</w:t>
      </w:r>
    </w:p>
    <w:p w14:paraId="23BD0C96"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תו"י</w:t>
      </w:r>
      <w:r w:rsidRPr="00AF1DC8">
        <w:rPr>
          <w:rFonts w:ascii="Narkisim" w:hAnsi="Narkisim"/>
          <w:rtl/>
        </w:rPr>
        <w:t xml:space="preserve"> כתב דאם ירצה לקבל עליו לשבות הרשות בידו, וכיון דדעתו להתגייר מותר לשבות</w:t>
      </w:r>
      <w:r w:rsidRPr="00AF1DC8">
        <w:rPr>
          <w:rFonts w:ascii="Narkisim" w:hAnsi="Narkisim"/>
        </w:rPr>
        <w:t>.</w:t>
      </w:r>
    </w:p>
    <w:p w14:paraId="269899DB" w14:textId="77777777" w:rsidR="006074A5" w:rsidRPr="00AF1DC8" w:rsidRDefault="006074A5" w:rsidP="006074A5">
      <w:pPr>
        <w:bidi/>
        <w:rPr>
          <w:rFonts w:ascii="Narkisim" w:hAnsi="Narkisim" w:cs="Narkisim"/>
        </w:rPr>
      </w:pPr>
      <w:r w:rsidRPr="00AF1DC8">
        <w:rPr>
          <w:rFonts w:ascii="Narkisim" w:hAnsi="Narkisim" w:cs="Narkisim"/>
          <w:rtl/>
        </w:rPr>
        <w:t>ה</w:t>
      </w:r>
      <w:r w:rsidRPr="00AF1DC8">
        <w:rPr>
          <w:rFonts w:ascii="Narkisim" w:hAnsi="Narkisim" w:cs="Narkisim"/>
          <w:b/>
          <w:bCs/>
          <w:rtl/>
        </w:rPr>
        <w:t>מג"א</w:t>
      </w:r>
      <w:r w:rsidRPr="00AF1DC8">
        <w:rPr>
          <w:rFonts w:ascii="Narkisim" w:hAnsi="Narkisim" w:cs="Narkisim"/>
          <w:rtl/>
        </w:rPr>
        <w:t xml:space="preserve"> </w:t>
      </w:r>
      <w:r w:rsidRPr="00AF1DC8">
        <w:rPr>
          <w:rFonts w:ascii="Narkisim" w:hAnsi="Narkisim" w:cs="Narkisim"/>
          <w:szCs w:val="20"/>
          <w:rtl/>
        </w:rPr>
        <w:t xml:space="preserve">(שד יב) </w:t>
      </w:r>
      <w:r w:rsidRPr="00AF1DC8">
        <w:rPr>
          <w:rFonts w:ascii="Narkisim" w:hAnsi="Narkisim" w:cs="Narkisim"/>
          <w:rtl/>
        </w:rPr>
        <w:t>כ' דשכיר ישראל שקיבל על עצמו מצוות הנוהגות באשה [וכמו עבד], נתחייב בהם</w:t>
      </w:r>
      <w:r w:rsidRPr="00AF1DC8">
        <w:rPr>
          <w:rStyle w:val="ac"/>
          <w:rFonts w:ascii="Narkisim" w:hAnsi="Narkisim" w:cs="Narkisim"/>
          <w:rtl/>
        </w:rPr>
        <w:footnoteReference w:id="2968"/>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האריכו לתמוה דליכא גירות לחצאין</w:t>
      </w:r>
      <w:r w:rsidRPr="00AF1DC8">
        <w:rPr>
          <w:rStyle w:val="ac"/>
          <w:rFonts w:ascii="Narkisim" w:hAnsi="Narkisim" w:cs="Narkisim"/>
          <w:rtl/>
        </w:rPr>
        <w:footnoteReference w:id="2969"/>
      </w:r>
      <w:r w:rsidRPr="00AF1DC8">
        <w:rPr>
          <w:rFonts w:ascii="Narkisim" w:hAnsi="Narkisim" w:cs="Narkisim"/>
        </w:rPr>
        <w:t xml:space="preserve">. </w:t>
      </w:r>
      <w:r w:rsidRPr="00AF1DC8">
        <w:rPr>
          <w:rFonts w:ascii="Narkisim" w:hAnsi="Narkisim" w:cs="Narkisim"/>
          <w:szCs w:val="20"/>
          <w:rtl/>
        </w:rPr>
        <w:t>וכל שאומר שמקבל על עצמו חוץ מדבר א' אינו גר (וכדאי' בכורות ל:). ומנ”ל למג”א דמהני קבלתו יותר מדין גר תושב. ובלא מילה וטבילה אינו בכלל ישראל כלל, והוה כגוי גמור, ואם שבת חייב מיתה.</w:t>
      </w:r>
      <w:r w:rsidRPr="00AF1DC8">
        <w:rPr>
          <w:rFonts w:ascii="Narkisim" w:hAnsi="Narkisim" w:cs="Narkisim"/>
          <w:rtl/>
        </w:rPr>
        <w:t xml:space="preserve"> וה</w:t>
      </w:r>
      <w:r w:rsidRPr="00AF1DC8">
        <w:rPr>
          <w:rFonts w:ascii="Narkisim" w:hAnsi="Narkisim" w:cs="Narkisim"/>
          <w:b/>
          <w:bCs/>
          <w:rtl/>
        </w:rPr>
        <w:t>ביאו"ה</w:t>
      </w:r>
      <w:r w:rsidRPr="00AF1DC8">
        <w:rPr>
          <w:rFonts w:ascii="Narkisim" w:hAnsi="Narkisim" w:cs="Narkisim"/>
          <w:rtl/>
        </w:rPr>
        <w:t xml:space="preserve"> (ד"ה א"י) כת' דאפשר דס"ל דגר תושב בתחילת גירותו יכול לקבל עוד מצוות, וחלה קבלתו להחשב גר תושב לענין זה. </w:t>
      </w:r>
      <w:r w:rsidRPr="00AF1DC8">
        <w:rPr>
          <w:rFonts w:ascii="Narkisim" w:hAnsi="Narkisim" w:cs="Narkisim"/>
          <w:szCs w:val="20"/>
          <w:rtl/>
        </w:rPr>
        <w:t>[וסמך לזה בגמ' ע"ז סד:]</w:t>
      </w:r>
      <w:r w:rsidRPr="00AF1DC8">
        <w:rPr>
          <w:rFonts w:ascii="Narkisim" w:hAnsi="Narkisim" w:cs="Narkisim"/>
          <w:rtl/>
        </w:rPr>
        <w:t>. ואין בזה דין גוי ששבת, כיון דקיבל עליו שבת ומחוייב לשומרו</w:t>
      </w:r>
      <w:r w:rsidRPr="00AF1DC8">
        <w:rPr>
          <w:rFonts w:ascii="Narkisim" w:hAnsi="Narkisim" w:cs="Narkisim"/>
        </w:rPr>
        <w:t>.</w:t>
      </w:r>
    </w:p>
    <w:p w14:paraId="47532559" w14:textId="77777777" w:rsidR="006074A5" w:rsidRPr="00AF1DC8" w:rsidRDefault="006074A5" w:rsidP="006074A5">
      <w:pPr>
        <w:pStyle w:val="a8"/>
        <w:bidi/>
        <w:rPr>
          <w:rFonts w:ascii="Narkisim" w:hAnsi="Narkisim"/>
        </w:rPr>
      </w:pPr>
      <w:r w:rsidRPr="00AF1DC8">
        <w:rPr>
          <w:rFonts w:ascii="Narkisim" w:hAnsi="Narkisim"/>
          <w:rtl/>
        </w:rPr>
        <w:t>בפשוטו נקטו ה</w:t>
      </w:r>
      <w:r w:rsidRPr="00AF1DC8">
        <w:rPr>
          <w:rFonts w:ascii="Narkisim" w:hAnsi="Narkisim"/>
          <w:b/>
          <w:bCs/>
          <w:rtl/>
        </w:rPr>
        <w:t>אחרונים</w:t>
      </w:r>
      <w:r w:rsidRPr="00AF1DC8">
        <w:rPr>
          <w:rFonts w:ascii="Narkisim" w:hAnsi="Narkisim"/>
          <w:rtl/>
        </w:rPr>
        <w:t xml:space="preserve"> דגר תושב, ע"י שמקבל עליו ז' מצוות נחשב כעין קבלת גירות, וחל בו דין גר תושב. ודנו האם אף בנו הנולד לו הוה ג"כ גר תושב ממילא. אבל ה</w:t>
      </w:r>
      <w:r w:rsidRPr="00AF1DC8">
        <w:rPr>
          <w:rFonts w:ascii="Narkisim" w:hAnsi="Narkisim"/>
          <w:b/>
          <w:bCs/>
          <w:rtl/>
        </w:rPr>
        <w:t xml:space="preserve">גרי"ז </w:t>
      </w:r>
      <w:r w:rsidRPr="00AF1DC8">
        <w:rPr>
          <w:rFonts w:ascii="Narkisim" w:hAnsi="Narkisim"/>
          <w:rtl/>
        </w:rPr>
        <w:t>(מכתב בסה"ס, עמ' האחרון) כתב דלא חל כלל על הגברא, אלא דנאמר דין דבעי קיום המצוות ע"י קבלה, שיקבל על עצמו עול ז' המצוות</w:t>
      </w:r>
      <w:r w:rsidRPr="00AF1DC8">
        <w:rPr>
          <w:rFonts w:ascii="Narkisim" w:hAnsi="Narkisim"/>
        </w:rPr>
        <w:t>.</w:t>
      </w:r>
    </w:p>
    <w:p w14:paraId="5BCCA969" w14:textId="77777777" w:rsidR="006074A5" w:rsidRPr="00AF1DC8" w:rsidRDefault="006074A5" w:rsidP="006074A5">
      <w:pPr>
        <w:pStyle w:val="aa"/>
        <w:bidi/>
        <w:rPr>
          <w:rFonts w:ascii="Narkisim" w:hAnsi="Narkisim"/>
        </w:rPr>
      </w:pPr>
      <w:r w:rsidRPr="00AF1DC8">
        <w:rPr>
          <w:rFonts w:ascii="Narkisim" w:hAnsi="Narkisim"/>
          <w:u w:val="single"/>
          <w:rtl/>
        </w:rPr>
        <w:t>היכא דפסקה למילתיה פסקא.</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שמעיקרא נתפייס להתגייר</w:t>
      </w:r>
      <w:r w:rsidRPr="00AF1DC8">
        <w:rPr>
          <w:rStyle w:val="ac"/>
          <w:rFonts w:ascii="Narkisim" w:hAnsi="Narkisim"/>
          <w:rtl/>
        </w:rPr>
        <w:footnoteReference w:id="2970"/>
      </w:r>
      <w:r w:rsidRPr="00AF1DC8">
        <w:rPr>
          <w:rFonts w:ascii="Narkisim" w:hAnsi="Narkisim"/>
        </w:rPr>
        <w:t xml:space="preserve">. </w:t>
      </w:r>
      <w:r w:rsidRPr="00AF1DC8">
        <w:rPr>
          <w:rFonts w:ascii="Narkisim" w:hAnsi="Narkisim"/>
          <w:rtl/>
        </w:rPr>
        <w:t xml:space="preserve">ודעת </w:t>
      </w:r>
      <w:r w:rsidRPr="00AF1DC8">
        <w:rPr>
          <w:rFonts w:ascii="Narkisim" w:hAnsi="Narkisim"/>
          <w:b/>
          <w:bCs/>
          <w:rtl/>
        </w:rPr>
        <w:t>מורו</w:t>
      </w:r>
      <w:r w:rsidRPr="00AF1DC8">
        <w:rPr>
          <w:rFonts w:ascii="Narkisim" w:hAnsi="Narkisim"/>
          <w:rtl/>
        </w:rPr>
        <w:t xml:space="preserve"> דפסק [זמן קצוב] שיגלגל עמו. ו</w:t>
      </w:r>
      <w:r w:rsidRPr="00AF1DC8">
        <w:rPr>
          <w:rFonts w:ascii="Narkisim" w:hAnsi="Narkisim"/>
          <w:b/>
          <w:bCs/>
          <w:rtl/>
        </w:rPr>
        <w:t>תוס'</w:t>
      </w:r>
      <w:r w:rsidRPr="00AF1DC8">
        <w:rPr>
          <w:rFonts w:ascii="Narkisim" w:hAnsi="Narkisim"/>
          <w:rtl/>
        </w:rPr>
        <w:t xml:space="preserve"> פי' להיפך דהיכא דפסק שלא למול אינו חייב. וה</w:t>
      </w:r>
      <w:r w:rsidRPr="00AF1DC8">
        <w:rPr>
          <w:rFonts w:ascii="Narkisim" w:hAnsi="Narkisim"/>
          <w:b/>
          <w:bCs/>
          <w:rtl/>
        </w:rPr>
        <w:t>רמב"ם</w:t>
      </w:r>
      <w:r w:rsidRPr="00AF1DC8">
        <w:rPr>
          <w:rFonts w:ascii="Narkisim" w:hAnsi="Narkisim"/>
          <w:rtl/>
        </w:rPr>
        <w:t xml:space="preserve"> (מילה א ו, ואיסו"ב יד ט) סתם בזה. וע' יש"ש והמפרשים</w:t>
      </w:r>
      <w:r w:rsidRPr="00AF1DC8">
        <w:rPr>
          <w:rFonts w:ascii="Narkisim" w:hAnsi="Narkisim"/>
        </w:rPr>
        <w:t>.</w:t>
      </w:r>
    </w:p>
    <w:p w14:paraId="558C186E"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שאג"א</w:t>
      </w:r>
      <w:r w:rsidRPr="00AF1DC8">
        <w:rPr>
          <w:rFonts w:ascii="Narkisim" w:hAnsi="Narkisim"/>
          <w:rtl/>
        </w:rPr>
        <w:t xml:space="preserve"> (נג) ו</w:t>
      </w:r>
      <w:r w:rsidRPr="00AF1DC8">
        <w:rPr>
          <w:rFonts w:ascii="Narkisim" w:hAnsi="Narkisim"/>
          <w:b/>
          <w:bCs/>
          <w:rtl/>
        </w:rPr>
        <w:t>מנח"ח</w:t>
      </w:r>
      <w:r w:rsidRPr="00AF1DC8">
        <w:rPr>
          <w:rFonts w:ascii="Narkisim" w:hAnsi="Narkisim"/>
          <w:rtl/>
        </w:rPr>
        <w:t xml:space="preserve"> (יז יא) נקטו דהיכא דאינו מתחייב למולו [כגון שגלגל או לקחו ע”מ שלא למולו</w:t>
      </w:r>
      <w:r w:rsidRPr="00AF1DC8">
        <w:rPr>
          <w:rStyle w:val="ac"/>
          <w:rFonts w:ascii="Narkisim" w:hAnsi="Narkisim"/>
          <w:rtl/>
        </w:rPr>
        <w:footnoteReference w:id="2971"/>
      </w:r>
      <w:r w:rsidRPr="00AF1DC8">
        <w:rPr>
          <w:rFonts w:ascii="Narkisim" w:hAnsi="Narkisim"/>
          <w:rtl/>
        </w:rPr>
        <w:t xml:space="preserve">], אף אינו מעכב את רבו מאכילת פסח. </w:t>
      </w:r>
      <w:r w:rsidRPr="00AF1DC8">
        <w:rPr>
          <w:rFonts w:ascii="Narkisim" w:hAnsi="Narkisim"/>
          <w:sz w:val="20"/>
          <w:szCs w:val="20"/>
          <w:rtl/>
        </w:rPr>
        <w:t>[ודלא כמהרש"א עא:, וע"ע בסוגיה לקמן עא.].</w:t>
      </w:r>
      <w:r w:rsidRPr="00AF1DC8">
        <w:rPr>
          <w:rFonts w:ascii="Narkisim" w:hAnsi="Narkisim"/>
          <w:rtl/>
        </w:rPr>
        <w:t xml:space="preserve"> וה</w:t>
      </w:r>
      <w:r w:rsidRPr="00AF1DC8">
        <w:rPr>
          <w:rFonts w:ascii="Narkisim" w:hAnsi="Narkisim"/>
          <w:b/>
          <w:bCs/>
          <w:rtl/>
        </w:rPr>
        <w:t>אחרונים</w:t>
      </w:r>
      <w:r w:rsidRPr="00AF1DC8">
        <w:rPr>
          <w:rFonts w:ascii="Narkisim" w:hAnsi="Narkisim"/>
          <w:rtl/>
        </w:rPr>
        <w:t xml:space="preserve"> </w:t>
      </w:r>
      <w:r w:rsidRPr="00AF1DC8">
        <w:rPr>
          <w:rFonts w:ascii="Narkisim" w:hAnsi="Narkisim"/>
          <w:sz w:val="20"/>
          <w:szCs w:val="20"/>
          <w:rtl/>
        </w:rPr>
        <w:t xml:space="preserve">(ע' אבי עזרי מילה א א) </w:t>
      </w:r>
      <w:r w:rsidRPr="00AF1DC8">
        <w:rPr>
          <w:rFonts w:ascii="Narkisim" w:hAnsi="Narkisim"/>
          <w:rtl/>
        </w:rPr>
        <w:t>דנו דודאי נתחייב למול, אלא דהוה כעין אונס</w:t>
      </w:r>
      <w:r w:rsidRPr="00AF1DC8">
        <w:rPr>
          <w:rFonts w:ascii="Narkisim" w:hAnsi="Narkisim"/>
        </w:rPr>
        <w:t>.</w:t>
      </w:r>
    </w:p>
    <w:p w14:paraId="7A921464" w14:textId="77777777" w:rsidR="006074A5" w:rsidRPr="00AF1DC8" w:rsidRDefault="006074A5" w:rsidP="006074A5">
      <w:pPr>
        <w:bidi/>
        <w:rPr>
          <w:rFonts w:ascii="Narkisim" w:hAnsi="Narkisim" w:cs="Narkisim"/>
        </w:rPr>
      </w:pPr>
      <w:r w:rsidRPr="00AF1DC8">
        <w:rPr>
          <w:rFonts w:ascii="Narkisim" w:hAnsi="Narkisim" w:cs="Narkisim"/>
          <w:u w:val="single"/>
          <w:rtl/>
        </w:rPr>
        <w:lastRenderedPageBreak/>
        <w:t>שלקחו רבו ע"מ שלא למולו.</w:t>
      </w:r>
      <w:r w:rsidRPr="00AF1DC8">
        <w:rPr>
          <w:rFonts w:ascii="Narkisim" w:hAnsi="Narkisim" w:cs="Narkisim"/>
          <w:rtl/>
        </w:rPr>
        <w:t xml:space="preserve"> דכיון דהתנה מעיקרא אין לו זכות לתובעו למול</w:t>
      </w:r>
      <w:r w:rsidRPr="00AF1DC8">
        <w:rPr>
          <w:rStyle w:val="ac"/>
          <w:rFonts w:ascii="Narkisim" w:hAnsi="Narkisim" w:cs="Narkisim"/>
          <w:rtl/>
        </w:rPr>
        <w:footnoteReference w:id="2972"/>
      </w:r>
      <w:r w:rsidRPr="00AF1DC8">
        <w:rPr>
          <w:rFonts w:ascii="Narkisim" w:hAnsi="Narkisim" w:cs="Narkisim"/>
        </w:rPr>
        <w:t xml:space="preserve">.  </w:t>
      </w:r>
    </w:p>
    <w:p w14:paraId="512537C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אבי עזרי</w:t>
      </w:r>
      <w:r w:rsidRPr="00AF1DC8">
        <w:rPr>
          <w:rFonts w:ascii="Narkisim" w:hAnsi="Narkisim"/>
          <w:rtl/>
        </w:rPr>
        <w:t xml:space="preserve"> (מילה א א) הק' האיך חל התנאי, הא הוה מתנה עמש"כ בתורה</w:t>
      </w:r>
      <w:r w:rsidRPr="00AF1DC8">
        <w:rPr>
          <w:rStyle w:val="ac"/>
          <w:rFonts w:ascii="Narkisim" w:hAnsi="Narkisim"/>
          <w:rtl/>
        </w:rPr>
        <w:footnoteReference w:id="2973"/>
      </w:r>
      <w:r w:rsidRPr="00AF1DC8">
        <w:rPr>
          <w:rFonts w:ascii="Narkisim" w:hAnsi="Narkisim"/>
        </w:rPr>
        <w:t xml:space="preserve">. </w:t>
      </w:r>
      <w:r w:rsidRPr="00AF1DC8">
        <w:rPr>
          <w:rFonts w:ascii="Narkisim" w:hAnsi="Narkisim"/>
          <w:rtl/>
        </w:rPr>
        <w:t>ותי' דמ"מ לא קנה זכות ממון לענין למולו ולקנות גופו. ועי"ז הוה כשכיר בעלמא</w:t>
      </w:r>
      <w:r w:rsidRPr="00AF1DC8">
        <w:rPr>
          <w:rStyle w:val="ac"/>
          <w:rFonts w:ascii="Narkisim" w:hAnsi="Narkisim"/>
          <w:rtl/>
        </w:rPr>
        <w:footnoteReference w:id="2974"/>
      </w:r>
      <w:r w:rsidRPr="00AF1DC8">
        <w:rPr>
          <w:rFonts w:ascii="Narkisim" w:hAnsi="Narkisim"/>
        </w:rPr>
        <w:t xml:space="preserve">, </w:t>
      </w:r>
      <w:r w:rsidRPr="00AF1DC8">
        <w:rPr>
          <w:rFonts w:ascii="Narkisim" w:hAnsi="Narkisim"/>
          <w:rtl/>
        </w:rPr>
        <w:t>ואינו בכלל חיוב התורה. [ולא הוה גדר תנאי]</w:t>
      </w:r>
      <w:r w:rsidRPr="00AF1DC8">
        <w:rPr>
          <w:rFonts w:ascii="Narkisim" w:hAnsi="Narkisim"/>
        </w:rPr>
        <w:t>.</w:t>
      </w:r>
    </w:p>
    <w:p w14:paraId="1BD9225D"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יד ט) פסק שאם התנה עליו מתחלה שלא ימול ולא יטבול, אלא יהיה גר תושב מותר לקיימו בעבודתו</w:t>
      </w:r>
      <w:r w:rsidRPr="00AF1DC8">
        <w:rPr>
          <w:rStyle w:val="ac"/>
          <w:rFonts w:ascii="Narkisim" w:hAnsi="Narkisim"/>
          <w:rtl/>
        </w:rPr>
        <w:footnoteReference w:id="2975"/>
      </w:r>
      <w:r w:rsidRPr="00AF1DC8">
        <w:rPr>
          <w:rFonts w:ascii="Narkisim" w:hAnsi="Narkisim"/>
        </w:rPr>
        <w:t>.</w:t>
      </w:r>
    </w:p>
    <w:p w14:paraId="7407FA30" w14:textId="77777777" w:rsidR="006074A5" w:rsidRPr="00AF1DC8" w:rsidRDefault="006074A5" w:rsidP="006074A5">
      <w:pPr>
        <w:pStyle w:val="aa"/>
        <w:bidi/>
        <w:rPr>
          <w:rFonts w:ascii="Narkisim" w:hAnsi="Narkisim"/>
        </w:rPr>
      </w:pPr>
      <w:r w:rsidRPr="00AF1DC8">
        <w:rPr>
          <w:rFonts w:ascii="Narkisim" w:hAnsi="Narkisim"/>
          <w:u w:val="single"/>
          <w:rtl/>
        </w:rPr>
        <w:t>שם.</w:t>
      </w:r>
      <w:r w:rsidRPr="00AF1DC8">
        <w:rPr>
          <w:rFonts w:ascii="Narkisim" w:hAnsi="Narkisim"/>
          <w:rtl/>
        </w:rPr>
        <w:t xml:space="preserve"> ה</w:t>
      </w:r>
      <w:r w:rsidRPr="00AF1DC8">
        <w:rPr>
          <w:rFonts w:ascii="Narkisim" w:hAnsi="Narkisim"/>
          <w:b/>
          <w:bCs/>
          <w:rtl/>
        </w:rPr>
        <w:t>מרדכי</w:t>
      </w:r>
      <w:r w:rsidRPr="00AF1DC8">
        <w:rPr>
          <w:rFonts w:ascii="Narkisim" w:hAnsi="Narkisim"/>
          <w:rtl/>
        </w:rPr>
        <w:t xml:space="preserve"> (מא) כת' [דבזמנו] עמא דבר שלא למול עבדים, כיון שפשוט שהשר לא יתן לו למולו, אין לך תנאי גדול מזה. ומותרים לקיימם לעולם</w:t>
      </w:r>
      <w:r w:rsidRPr="00AF1DC8">
        <w:rPr>
          <w:rFonts w:ascii="Narkisim" w:hAnsi="Narkisim"/>
        </w:rPr>
        <w:t>.</w:t>
      </w:r>
    </w:p>
    <w:p w14:paraId="7115EA50" w14:textId="77777777" w:rsidR="006074A5" w:rsidRPr="00AF1DC8" w:rsidRDefault="006074A5" w:rsidP="006074A5">
      <w:pPr>
        <w:bidi/>
        <w:rPr>
          <w:rFonts w:ascii="Narkisim" w:hAnsi="Narkisim" w:cs="Narkisim"/>
        </w:rPr>
      </w:pPr>
      <w:r w:rsidRPr="00AF1DC8">
        <w:rPr>
          <w:rFonts w:ascii="Narkisim" w:hAnsi="Narkisim" w:cs="Narkisim"/>
          <w:u w:val="single"/>
          <w:rtl/>
        </w:rPr>
        <w:t>ר' יוסי</w:t>
      </w:r>
      <w:r w:rsidRPr="00AF1DC8">
        <w:rPr>
          <w:rStyle w:val="ac"/>
          <w:rFonts w:ascii="Narkisim" w:hAnsi="Narkisim" w:cs="Narkisim"/>
          <w:u w:val="single"/>
          <w:rtl/>
        </w:rPr>
        <w:footnoteReference w:id="2976"/>
      </w:r>
      <w:r w:rsidRPr="00AF1DC8">
        <w:rPr>
          <w:rFonts w:ascii="Narkisim" w:hAnsi="Narkisim" w:cs="Narkisim"/>
          <w:u w:val="single"/>
        </w:rPr>
        <w:t xml:space="preserve"> </w:t>
      </w:r>
      <w:r w:rsidRPr="00AF1DC8">
        <w:rPr>
          <w:rFonts w:ascii="Narkisim" w:hAnsi="Narkisim" w:cs="Narkisim"/>
          <w:u w:val="single"/>
          <w:rtl/>
        </w:rPr>
        <w:t>אומר גר שנתגייר כקטן שנולד.</w:t>
      </w:r>
      <w:r w:rsidRPr="00AF1DC8">
        <w:rPr>
          <w:rFonts w:ascii="Narkisim" w:hAnsi="Narkisim" w:cs="Narkisim"/>
          <w:rtl/>
        </w:rPr>
        <w:t xml:space="preserve"> בסוגיין קאי לענין עונשין </w:t>
      </w:r>
      <w:r w:rsidRPr="00AF1DC8">
        <w:rPr>
          <w:rFonts w:ascii="Narkisim" w:hAnsi="Narkisim" w:cs="Narkisim"/>
          <w:sz w:val="20"/>
          <w:szCs w:val="20"/>
          <w:rtl/>
        </w:rPr>
        <w:t>[ונח' בזה התנאים]</w:t>
      </w:r>
      <w:r w:rsidRPr="00AF1DC8">
        <w:rPr>
          <w:rFonts w:ascii="Narkisim" w:hAnsi="Narkisim" w:cs="Narkisim"/>
          <w:rtl/>
        </w:rPr>
        <w:t>, וה</w:t>
      </w:r>
      <w:r w:rsidRPr="00AF1DC8">
        <w:rPr>
          <w:rFonts w:ascii="Narkisim" w:hAnsi="Narkisim" w:cs="Narkisim"/>
          <w:b/>
          <w:bCs/>
          <w:rtl/>
        </w:rPr>
        <w:t>תו"י</w:t>
      </w:r>
      <w:r w:rsidRPr="00AF1DC8">
        <w:rPr>
          <w:rFonts w:ascii="Narkisim" w:hAnsi="Narkisim" w:cs="Narkisim"/>
          <w:rtl/>
        </w:rPr>
        <w:t xml:space="preserve"> כת' דלענין דיני קורבא כו"ע מודו דכקטן שנולד </w:t>
      </w:r>
      <w:r w:rsidRPr="00AF1DC8">
        <w:rPr>
          <w:rFonts w:ascii="Narkisim" w:hAnsi="Narkisim" w:cs="Narkisim"/>
          <w:sz w:val="20"/>
          <w:szCs w:val="20"/>
          <w:rtl/>
        </w:rPr>
        <w:t>(וכדאי' לעיל כב. וכ"מ)</w:t>
      </w:r>
      <w:r w:rsidRPr="00AF1DC8">
        <w:rPr>
          <w:rFonts w:ascii="Narkisim" w:hAnsi="Narkisim" w:cs="Narkisim"/>
          <w:sz w:val="20"/>
          <w:szCs w:val="20"/>
        </w:rPr>
        <w:t>.</w:t>
      </w:r>
    </w:p>
    <w:p w14:paraId="70CAE80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תו"י</w:t>
      </w:r>
      <w:r w:rsidRPr="00AF1DC8">
        <w:rPr>
          <w:rFonts w:ascii="Narkisim" w:hAnsi="Narkisim"/>
          <w:sz w:val="20"/>
          <w:szCs w:val="20"/>
          <w:rtl/>
        </w:rPr>
        <w:t xml:space="preserve"> (וכן תוס' סנהדרין עא: ד"ה בן) </w:t>
      </w:r>
      <w:r w:rsidRPr="00AF1DC8">
        <w:rPr>
          <w:rFonts w:ascii="Narkisim" w:hAnsi="Narkisim"/>
          <w:rtl/>
        </w:rPr>
        <w:t xml:space="preserve">דהכא איירי בידי שמים, אבל אם נתחייב מיתה בבי"ד אינו פטור </w:t>
      </w:r>
      <w:r w:rsidRPr="00AF1DC8">
        <w:rPr>
          <w:rFonts w:ascii="Narkisim" w:hAnsi="Narkisim"/>
          <w:sz w:val="20"/>
          <w:szCs w:val="20"/>
          <w:rtl/>
        </w:rPr>
        <w:t>[וכדמבואר בסנהדרין שם</w:t>
      </w:r>
      <w:r w:rsidRPr="00AF1DC8">
        <w:rPr>
          <w:rFonts w:ascii="Narkisim" w:hAnsi="Narkisim"/>
          <w:rtl/>
        </w:rPr>
        <w:t>].</w:t>
      </w:r>
      <w:r w:rsidRPr="00AF1DC8">
        <w:rPr>
          <w:rFonts w:ascii="Narkisim" w:hAnsi="Narkisim"/>
          <w:sz w:val="20"/>
          <w:szCs w:val="20"/>
          <w:rtl/>
        </w:rPr>
        <w:t xml:space="preserve"> וה</w:t>
      </w:r>
      <w:r w:rsidRPr="00AF1DC8">
        <w:rPr>
          <w:rFonts w:ascii="Narkisim" w:hAnsi="Narkisim"/>
          <w:b/>
          <w:bCs/>
          <w:sz w:val="20"/>
          <w:szCs w:val="20"/>
          <w:rtl/>
        </w:rPr>
        <w:t>קדמונים</w:t>
      </w:r>
      <w:r w:rsidRPr="00AF1DC8">
        <w:rPr>
          <w:rFonts w:ascii="Narkisim" w:hAnsi="Narkisim"/>
          <w:sz w:val="20"/>
          <w:szCs w:val="20"/>
          <w:rtl/>
        </w:rPr>
        <w:t xml:space="preserve"> (שו”ת בית יעקב ג, שבות יעקב א קעז) דנו בגר שיש לו גזל תחת ידו [שגזל קודם שנתגייר], האם צריך להחזיר. והאם צריך לעשות תשובה עליו, והאם נפסל לעדות עד שיחזיר</w:t>
      </w:r>
      <w:r w:rsidRPr="00AF1DC8">
        <w:rPr>
          <w:rFonts w:ascii="Narkisim" w:hAnsi="Narkisim"/>
          <w:sz w:val="20"/>
          <w:szCs w:val="20"/>
        </w:rPr>
        <w:t>.</w:t>
      </w:r>
    </w:p>
    <w:p w14:paraId="33348D8B" w14:textId="77777777" w:rsidR="006074A5" w:rsidRPr="00AF1DC8" w:rsidRDefault="006074A5" w:rsidP="006074A5">
      <w:pPr>
        <w:pStyle w:val="aa"/>
        <w:bidi/>
        <w:rPr>
          <w:rFonts w:ascii="Narkisim" w:hAnsi="Narkisim"/>
        </w:rPr>
      </w:pPr>
      <w:r w:rsidRPr="00AF1DC8">
        <w:rPr>
          <w:rFonts w:ascii="Narkisim" w:hAnsi="Narkisim"/>
          <w:u w:val="single"/>
          <w:rtl/>
        </w:rPr>
        <w:t>אחרים אומרים מפני ששהו עצמם</w:t>
      </w:r>
      <w:r w:rsidRPr="00AF1DC8">
        <w:rPr>
          <w:rStyle w:val="ac"/>
          <w:rFonts w:ascii="Narkisim" w:hAnsi="Narkisim"/>
          <w:u w:val="single"/>
          <w:rtl/>
        </w:rPr>
        <w:footnoteReference w:id="2977"/>
      </w:r>
      <w:r w:rsidRPr="00AF1DC8">
        <w:rPr>
          <w:rFonts w:ascii="Narkisim" w:hAnsi="Narkisim"/>
          <w:u w:val="single"/>
        </w:rPr>
        <w:t xml:space="preserve"> </w:t>
      </w:r>
      <w:r w:rsidRPr="00AF1DC8">
        <w:rPr>
          <w:rFonts w:ascii="Narkisim" w:hAnsi="Narkisim"/>
          <w:u w:val="single"/>
          <w:rtl/>
        </w:rPr>
        <w:t>להכנס תחת כנפי השכינה</w:t>
      </w:r>
      <w:r w:rsidRPr="00AF1DC8">
        <w:rPr>
          <w:rStyle w:val="ac"/>
          <w:rFonts w:ascii="Narkisim" w:hAnsi="Narkisim"/>
          <w:u w:val="single"/>
          <w:rtl/>
        </w:rPr>
        <w:footnoteReference w:id="2978"/>
      </w:r>
      <w:r w:rsidRPr="00AF1DC8">
        <w:rPr>
          <w:rFonts w:ascii="Narkisim" w:hAnsi="Narkisim"/>
          <w:u w:val="single"/>
        </w:rPr>
        <w:t>.</w:t>
      </w:r>
      <w:r w:rsidRPr="00AF1DC8">
        <w:rPr>
          <w:rFonts w:ascii="Narkisim" w:hAnsi="Narkisim"/>
        </w:rPr>
        <w:t xml:space="preserve"> </w:t>
      </w:r>
      <w:r w:rsidRPr="00AF1DC8">
        <w:rPr>
          <w:rFonts w:ascii="Narkisim" w:hAnsi="Narkisim"/>
          <w:rtl/>
        </w:rPr>
        <w:t>ה</w:t>
      </w:r>
      <w:r w:rsidRPr="00AF1DC8">
        <w:rPr>
          <w:rFonts w:ascii="Narkisim" w:hAnsi="Narkisim"/>
          <w:b/>
          <w:bCs/>
          <w:rtl/>
        </w:rPr>
        <w:t>מפרשים</w:t>
      </w:r>
      <w:r w:rsidRPr="00AF1DC8">
        <w:rPr>
          <w:rFonts w:ascii="Narkisim" w:hAnsi="Narkisim"/>
          <w:rtl/>
        </w:rPr>
        <w:t xml:space="preserve"> הק' דאין חיוב לגוי להתגייר</w:t>
      </w:r>
      <w:r w:rsidRPr="00AF1DC8">
        <w:rPr>
          <w:rStyle w:val="ac"/>
          <w:rFonts w:ascii="Narkisim" w:hAnsi="Narkisim"/>
          <w:rtl/>
        </w:rPr>
        <w:footnoteReference w:id="2979"/>
      </w:r>
      <w:r w:rsidRPr="00AF1DC8">
        <w:rPr>
          <w:rFonts w:ascii="Narkisim" w:hAnsi="Narkisim"/>
        </w:rPr>
        <w:t xml:space="preserve">, </w:t>
      </w:r>
      <w:r w:rsidRPr="00AF1DC8">
        <w:rPr>
          <w:rFonts w:ascii="Narkisim" w:hAnsi="Narkisim"/>
          <w:rtl/>
        </w:rPr>
        <w:t>ומה שייך עונש במה שנתעכב</w:t>
      </w:r>
      <w:r w:rsidRPr="00AF1DC8">
        <w:rPr>
          <w:rStyle w:val="ac"/>
          <w:rFonts w:ascii="Narkisim" w:hAnsi="Narkisim"/>
          <w:rtl/>
        </w:rPr>
        <w:footnoteReference w:id="2980"/>
      </w:r>
      <w:r w:rsidRPr="00AF1DC8">
        <w:rPr>
          <w:rFonts w:ascii="Narkisim" w:hAnsi="Narkisim"/>
        </w:rPr>
        <w:t>.</w:t>
      </w:r>
    </w:p>
    <w:p w14:paraId="0226D31C" w14:textId="77777777" w:rsidR="006074A5" w:rsidRPr="00AF1DC8" w:rsidRDefault="006074A5" w:rsidP="006074A5">
      <w:pPr>
        <w:pStyle w:val="3"/>
        <w:bidi/>
        <w:rPr>
          <w:rFonts w:ascii="Narkisim" w:hAnsi="Narkisim"/>
        </w:rPr>
      </w:pPr>
      <w:r w:rsidRPr="00AF1DC8">
        <w:rPr>
          <w:rFonts w:ascii="Narkisim" w:hAnsi="Narkisim"/>
          <w:rtl/>
        </w:rPr>
        <w:t>דף מט</w:t>
      </w:r>
      <w:r w:rsidRPr="00AF1DC8">
        <w:rPr>
          <w:rFonts w:ascii="Narkisim" w:hAnsi="Narkisim"/>
        </w:rPr>
        <w:t>.</w:t>
      </w:r>
    </w:p>
    <w:p w14:paraId="267D82D5" w14:textId="77777777" w:rsidR="006074A5" w:rsidRPr="00AF1DC8" w:rsidRDefault="006074A5" w:rsidP="006074A5">
      <w:pPr>
        <w:pStyle w:val="2"/>
        <w:bidi/>
        <w:rPr>
          <w:rFonts w:ascii="Narkisim" w:hAnsi="Narkisim"/>
          <w:sz w:val="21"/>
        </w:rPr>
      </w:pPr>
      <w:r w:rsidRPr="00AF1DC8">
        <w:rPr>
          <w:rFonts w:ascii="Narkisim" w:hAnsi="Narkisim"/>
          <w:sz w:val="21"/>
          <w:rtl/>
        </w:rPr>
        <w:t>איזהו ממזר</w:t>
      </w:r>
    </w:p>
    <w:p w14:paraId="3810FEEC" w14:textId="77777777" w:rsidR="006074A5" w:rsidRPr="00AF1DC8" w:rsidRDefault="006074A5" w:rsidP="006074A5">
      <w:pPr>
        <w:pStyle w:val="aa"/>
        <w:bidi/>
        <w:rPr>
          <w:rFonts w:ascii="Narkisim" w:hAnsi="Narkisim"/>
        </w:rPr>
      </w:pPr>
      <w:r w:rsidRPr="00AF1DC8">
        <w:rPr>
          <w:rFonts w:ascii="Narkisim" w:hAnsi="Narkisim"/>
          <w:u w:val="single"/>
          <w:rtl/>
        </w:rPr>
        <w:t>איזהו ממזר וכו'</w:t>
      </w:r>
      <w:r w:rsidRPr="00AF1DC8">
        <w:rPr>
          <w:rFonts w:ascii="Narkisim" w:hAnsi="Narkisim"/>
          <w:rtl/>
        </w:rPr>
        <w:t xml:space="preserve">. לר"ע ושמעון התימני ממזרות תלי בתפיסת בקידושין, וכמ"ש </w:t>
      </w:r>
      <w:r w:rsidRPr="00AF1DC8">
        <w:rPr>
          <w:rFonts w:ascii="Narkisim" w:hAnsi="Narkisim"/>
          <w:b/>
          <w:bCs/>
          <w:rtl/>
        </w:rPr>
        <w:t>תוס</w:t>
      </w:r>
      <w:r w:rsidRPr="00AF1DC8">
        <w:rPr>
          <w:rFonts w:ascii="Narkisim" w:hAnsi="Narkisim"/>
          <w:rtl/>
        </w:rPr>
        <w:t>' (לעיל מד: ד"ה עשאה, הו' בסמוך). אבל לר' יהושע אין קידושין תופסים בחייבי כריתות, ואפי' הכי ממזרות הוה דוקא בחייבי מיתות בי"ד. ולא תלי הא בהא. (ע"ע בסמוך)</w:t>
      </w:r>
      <w:r w:rsidRPr="00AF1DC8">
        <w:rPr>
          <w:rFonts w:ascii="Narkisim" w:hAnsi="Narkisim"/>
        </w:rPr>
        <w:t>.</w:t>
      </w:r>
    </w:p>
    <w:p w14:paraId="7F107088" w14:textId="77777777" w:rsidR="006074A5" w:rsidRPr="00AF1DC8" w:rsidRDefault="006074A5" w:rsidP="006074A5">
      <w:pPr>
        <w:pStyle w:val="aa"/>
        <w:bidi/>
        <w:rPr>
          <w:rFonts w:ascii="Narkisim" w:hAnsi="Narkisim"/>
        </w:rPr>
      </w:pPr>
      <w:r w:rsidRPr="00AF1DC8">
        <w:rPr>
          <w:rFonts w:ascii="Narkisim" w:hAnsi="Narkisim"/>
          <w:u w:val="single"/>
          <w:rtl/>
        </w:rPr>
        <w:t>כל שאר בשר שהוא בלא יבא.</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כל קורבא שהוא בלאו. אבל ה</w:t>
      </w:r>
      <w:r w:rsidRPr="00AF1DC8">
        <w:rPr>
          <w:rFonts w:ascii="Narkisim" w:hAnsi="Narkisim"/>
          <w:b/>
          <w:bCs/>
          <w:rtl/>
        </w:rPr>
        <w:t>רמב"ם</w:t>
      </w:r>
      <w:r w:rsidRPr="00AF1DC8">
        <w:rPr>
          <w:rFonts w:ascii="Narkisim" w:hAnsi="Narkisim"/>
          <w:rtl/>
        </w:rPr>
        <w:t xml:space="preserve"> בפיה"מ כתב כל שאר בשר, וכל שהוא בלא יבא. וה</w:t>
      </w:r>
      <w:r w:rsidRPr="00AF1DC8">
        <w:rPr>
          <w:rFonts w:ascii="Narkisim" w:hAnsi="Narkisim"/>
          <w:b/>
          <w:bCs/>
          <w:rtl/>
        </w:rPr>
        <w:t>תוי"ט</w:t>
      </w:r>
      <w:r w:rsidRPr="00AF1DC8">
        <w:rPr>
          <w:rFonts w:ascii="Narkisim" w:hAnsi="Narkisim"/>
          <w:rtl/>
        </w:rPr>
        <w:t xml:space="preserve"> דייק דהוה תרי מילי, וכל שאין לו ביאה בישראל [אף כשאינו שאר בשר] הוה ממזר. ו</w:t>
      </w:r>
      <w:r w:rsidRPr="00AF1DC8">
        <w:rPr>
          <w:rFonts w:ascii="Narkisim" w:hAnsi="Narkisim"/>
          <w:b/>
          <w:bCs/>
          <w:rtl/>
        </w:rPr>
        <w:t>רע”א</w:t>
      </w:r>
      <w:r w:rsidRPr="00AF1DC8">
        <w:rPr>
          <w:rFonts w:ascii="Narkisim" w:hAnsi="Narkisim"/>
          <w:rtl/>
        </w:rPr>
        <w:t xml:space="preserve"> הקשה דמשמע בגמ' דמתני' ס”ל דדוקא חייבי לאוין דשאר</w:t>
      </w:r>
      <w:r w:rsidRPr="00AF1DC8">
        <w:rPr>
          <w:rFonts w:ascii="Narkisim" w:hAnsi="Narkisim"/>
        </w:rPr>
        <w:t>.</w:t>
      </w:r>
    </w:p>
    <w:p w14:paraId="34BA1894" w14:textId="77777777" w:rsidR="006074A5" w:rsidRPr="00AF1DC8" w:rsidRDefault="006074A5" w:rsidP="006074A5">
      <w:pPr>
        <w:bidi/>
        <w:rPr>
          <w:rFonts w:ascii="Narkisim" w:hAnsi="Narkisim" w:cs="Narkisim"/>
        </w:rPr>
      </w:pPr>
      <w:r w:rsidRPr="00AF1DC8">
        <w:rPr>
          <w:rFonts w:ascii="Narkisim" w:hAnsi="Narkisim" w:cs="Narkisim"/>
          <w:u w:val="single"/>
          <w:rtl/>
        </w:rPr>
        <w:t>רש"י ד"ה כל.</w:t>
      </w:r>
      <w:r w:rsidRPr="00AF1DC8">
        <w:rPr>
          <w:rFonts w:ascii="Narkisim" w:hAnsi="Narkisim" w:cs="Narkisim"/>
          <w:rtl/>
        </w:rPr>
        <w:t xml:space="preserve"> כגון נושא חלוצתו דהוי בלא יבנה, והוי לאו דקורבא. וצ"ב מ"ש ממחזיר גרושתו שכת' רש"י (ד"ה ולר' סימאי) דלא נחשב שאר. וב</w:t>
      </w:r>
      <w:r w:rsidRPr="00AF1DC8">
        <w:rPr>
          <w:rFonts w:ascii="Narkisim" w:hAnsi="Narkisim" w:cs="Narkisim"/>
          <w:b/>
          <w:bCs/>
          <w:rtl/>
        </w:rPr>
        <w:t>חי' הגר"נ</w:t>
      </w:r>
      <w:r w:rsidRPr="00AF1DC8">
        <w:rPr>
          <w:rFonts w:ascii="Narkisim" w:hAnsi="Narkisim" w:cs="Narkisim"/>
          <w:rtl/>
        </w:rPr>
        <w:t xml:space="preserve"> (י:) הביא מזה דאיסור לא יבנה הוה קלישות באיסור אשת אח</w:t>
      </w:r>
      <w:r w:rsidRPr="00AF1DC8">
        <w:rPr>
          <w:rStyle w:val="ac"/>
          <w:rFonts w:ascii="Narkisim" w:hAnsi="Narkisim" w:cs="Narkisim"/>
          <w:rtl/>
        </w:rPr>
        <w:footnoteReference w:id="2981"/>
      </w:r>
      <w:r w:rsidRPr="00AF1DC8">
        <w:rPr>
          <w:rFonts w:ascii="Narkisim" w:hAnsi="Narkisim" w:cs="Narkisim"/>
        </w:rPr>
        <w:t xml:space="preserve"> </w:t>
      </w:r>
      <w:r w:rsidRPr="00AF1DC8">
        <w:rPr>
          <w:rFonts w:ascii="Narkisim" w:hAnsi="Narkisim" w:cs="Narkisim"/>
          <w:sz w:val="20"/>
          <w:szCs w:val="20"/>
          <w:rtl/>
        </w:rPr>
        <w:t>(ואסורה מחמת אחיו, והוה קורבא). וכן ביאר ה</w:t>
      </w:r>
      <w:r w:rsidRPr="00AF1DC8">
        <w:rPr>
          <w:rFonts w:ascii="Narkisim" w:hAnsi="Narkisim" w:cs="Narkisim"/>
          <w:b/>
          <w:bCs/>
          <w:sz w:val="20"/>
          <w:szCs w:val="20"/>
          <w:rtl/>
        </w:rPr>
        <w:t>בית מאיר</w:t>
      </w:r>
      <w:r w:rsidRPr="00AF1DC8">
        <w:rPr>
          <w:rFonts w:ascii="Narkisim" w:hAnsi="Narkisim" w:cs="Narkisim"/>
          <w:sz w:val="20"/>
          <w:szCs w:val="20"/>
          <w:rtl/>
        </w:rPr>
        <w:t xml:space="preserve"> </w:t>
      </w:r>
      <w:r w:rsidRPr="00AF1DC8">
        <w:rPr>
          <w:rFonts w:ascii="Narkisim" w:hAnsi="Narkisim" w:cs="Narkisim"/>
          <w:sz w:val="20"/>
          <w:szCs w:val="20"/>
          <w:rtl/>
        </w:rPr>
        <w:lastRenderedPageBreak/>
        <w:t xml:space="preserve">(קסא) בדברי </w:t>
      </w:r>
      <w:r w:rsidRPr="00AF1DC8">
        <w:rPr>
          <w:rFonts w:ascii="Narkisim" w:hAnsi="Narkisim" w:cs="Narkisim"/>
          <w:b/>
          <w:bCs/>
          <w:sz w:val="20"/>
          <w:szCs w:val="20"/>
          <w:rtl/>
        </w:rPr>
        <w:t>רש"י</w:t>
      </w:r>
      <w:r w:rsidRPr="00AF1DC8">
        <w:rPr>
          <w:rFonts w:ascii="Narkisim" w:hAnsi="Narkisim" w:cs="Narkisim"/>
          <w:sz w:val="20"/>
          <w:szCs w:val="20"/>
          <w:rtl/>
        </w:rPr>
        <w:t xml:space="preserve"> (נ:) דכת' דיש איסור אשת אח בחלוצתו, וביאר דכוונתו לאיסור לא יבנה</w:t>
      </w:r>
      <w:r w:rsidRPr="00AF1DC8">
        <w:rPr>
          <w:rFonts w:ascii="Narkisim" w:hAnsi="Narkisim" w:cs="Narkisim"/>
          <w:sz w:val="20"/>
          <w:szCs w:val="20"/>
        </w:rPr>
        <w:t>.</w:t>
      </w:r>
    </w:p>
    <w:p w14:paraId="624DB351" w14:textId="77777777" w:rsidR="006074A5" w:rsidRPr="00AF1DC8" w:rsidRDefault="006074A5" w:rsidP="006074A5">
      <w:pPr>
        <w:pStyle w:val="a7"/>
        <w:bidi/>
        <w:rPr>
          <w:rFonts w:ascii="Narkisim" w:hAnsi="Narkisim"/>
        </w:rPr>
      </w:pPr>
      <w:r w:rsidRPr="00AF1DC8">
        <w:rPr>
          <w:rFonts w:ascii="Narkisim" w:hAnsi="Narkisim"/>
          <w:rtl/>
        </w:rPr>
        <w:t>אבל ב</w:t>
      </w:r>
      <w:r w:rsidRPr="00AF1DC8">
        <w:rPr>
          <w:rFonts w:ascii="Narkisim" w:hAnsi="Narkisim"/>
          <w:b/>
          <w:bCs/>
          <w:rtl/>
        </w:rPr>
        <w:t>חי' ר"א מן ההר</w:t>
      </w:r>
      <w:r w:rsidRPr="00AF1DC8">
        <w:rPr>
          <w:rFonts w:ascii="Narkisim" w:hAnsi="Narkisim"/>
          <w:rtl/>
        </w:rPr>
        <w:t xml:space="preserve"> כת' דנושא חלוצתו לא נחשב שאר. </w:t>
      </w:r>
      <w:r w:rsidRPr="00AF1DC8">
        <w:rPr>
          <w:rFonts w:ascii="Narkisim" w:hAnsi="Narkisim"/>
          <w:sz w:val="20"/>
          <w:szCs w:val="20"/>
          <w:rtl/>
        </w:rPr>
        <w:t>[ולתוס' ושא"ר אף מחזיר גרושתו הוה שאר, א"כ לא יבנה נחשב שאר מחמת אישות דידיה]</w:t>
      </w:r>
      <w:r w:rsidRPr="00AF1DC8">
        <w:rPr>
          <w:rFonts w:ascii="Narkisim" w:hAnsi="Narkisim"/>
          <w:sz w:val="20"/>
          <w:szCs w:val="20"/>
        </w:rPr>
        <w:t>.</w:t>
      </w:r>
    </w:p>
    <w:p w14:paraId="59E50430" w14:textId="77777777" w:rsidR="006074A5" w:rsidRPr="00AF1DC8" w:rsidRDefault="006074A5" w:rsidP="006074A5">
      <w:pPr>
        <w:bidi/>
        <w:rPr>
          <w:rFonts w:ascii="Narkisim" w:hAnsi="Narkisim" w:cs="Narkisim"/>
        </w:rPr>
      </w:pPr>
      <w:r w:rsidRPr="00AF1DC8">
        <w:rPr>
          <w:rFonts w:ascii="Narkisim" w:hAnsi="Narkisim" w:cs="Narkisim"/>
          <w:u w:val="single"/>
          <w:rtl/>
        </w:rPr>
        <w:t>שמעון התימני אומר כל שחייבים עליו כרת</w:t>
      </w:r>
      <w:r w:rsidRPr="00AF1DC8">
        <w:rPr>
          <w:rFonts w:ascii="Narkisim" w:hAnsi="Narkisim" w:cs="Narkisim"/>
          <w:rtl/>
        </w:rPr>
        <w:t>. ה</w:t>
      </w:r>
      <w:r w:rsidRPr="00AF1DC8">
        <w:rPr>
          <w:rFonts w:ascii="Narkisim" w:hAnsi="Narkisim" w:cs="Narkisim"/>
          <w:b/>
          <w:bCs/>
          <w:rtl/>
        </w:rPr>
        <w:t>אחרונים</w:t>
      </w:r>
      <w:r w:rsidRPr="00AF1DC8">
        <w:rPr>
          <w:rFonts w:ascii="Narkisim" w:hAnsi="Narkisim" w:cs="Narkisim"/>
          <w:rtl/>
        </w:rPr>
        <w:t xml:space="preserve"> דנו האם הממזרות הוה תולדה מהאיסור כרת, או דהוה סימן לחומר העבירה. והממזרות תלי בסיבת האיסור, אף היכא דליכא איסור בפועל</w:t>
      </w:r>
      <w:r w:rsidRPr="00AF1DC8">
        <w:rPr>
          <w:rFonts w:ascii="Narkisim" w:hAnsi="Narkisim" w:cs="Narkisim"/>
        </w:rPr>
        <w:t>.</w:t>
      </w:r>
    </w:p>
    <w:p w14:paraId="41DE9681"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עונג יו"ט</w:t>
      </w:r>
      <w:r w:rsidRPr="00AF1DC8">
        <w:rPr>
          <w:rFonts w:ascii="Narkisim" w:hAnsi="Narkisim"/>
          <w:rtl/>
        </w:rPr>
        <w:t xml:space="preserve"> (קכא) העלה צד דהבא על הערוה ושניהם אנוסים הולד אינו ממזר</w:t>
      </w:r>
      <w:r w:rsidRPr="00AF1DC8">
        <w:rPr>
          <w:rStyle w:val="ac"/>
          <w:rFonts w:ascii="Narkisim" w:hAnsi="Narkisim"/>
          <w:rtl/>
        </w:rPr>
        <w:footnoteReference w:id="2982"/>
      </w:r>
      <w:r w:rsidRPr="00AF1DC8">
        <w:rPr>
          <w:rFonts w:ascii="Narkisim" w:hAnsi="Narkisim"/>
        </w:rPr>
        <w:t xml:space="preserve">, </w:t>
      </w:r>
      <w:r w:rsidRPr="00AF1DC8">
        <w:rPr>
          <w:rFonts w:ascii="Narkisim" w:hAnsi="Narkisim"/>
          <w:rtl/>
        </w:rPr>
        <w:t>כיון דליכא איסור בביאה</w:t>
      </w:r>
      <w:r w:rsidRPr="00AF1DC8">
        <w:rPr>
          <w:rStyle w:val="ac"/>
          <w:rFonts w:ascii="Narkisim" w:hAnsi="Narkisim"/>
          <w:rtl/>
        </w:rPr>
        <w:footnoteReference w:id="2983"/>
      </w:r>
      <w:r w:rsidRPr="00AF1DC8">
        <w:rPr>
          <w:rFonts w:ascii="Narkisim" w:hAnsi="Narkisim"/>
        </w:rPr>
        <w:t xml:space="preserve">. </w:t>
      </w:r>
      <w:r w:rsidRPr="00AF1DC8">
        <w:rPr>
          <w:rFonts w:ascii="Narkisim" w:hAnsi="Narkisim"/>
          <w:rtl/>
        </w:rPr>
        <w:t>והביא עוד ביבום באופן שעשה דוחה ל"ת</w:t>
      </w:r>
      <w:r w:rsidRPr="00AF1DC8">
        <w:rPr>
          <w:rStyle w:val="ac"/>
          <w:rFonts w:ascii="Narkisim" w:hAnsi="Narkisim"/>
          <w:rtl/>
        </w:rPr>
        <w:footnoteReference w:id="2984"/>
      </w:r>
      <w:r w:rsidRPr="00AF1DC8">
        <w:rPr>
          <w:rFonts w:ascii="Narkisim" w:hAnsi="Narkisim"/>
        </w:rPr>
        <w:t xml:space="preserve">, </w:t>
      </w:r>
      <w:r w:rsidRPr="00AF1DC8">
        <w:rPr>
          <w:rFonts w:ascii="Narkisim" w:hAnsi="Narkisim"/>
          <w:rtl/>
        </w:rPr>
        <w:t>דאין נראה לומר דהותר ביאה זו, והולד יהא ממזר</w:t>
      </w:r>
      <w:r w:rsidRPr="00AF1DC8">
        <w:rPr>
          <w:rStyle w:val="ac"/>
          <w:rFonts w:ascii="Narkisim" w:hAnsi="Narkisim"/>
          <w:rtl/>
        </w:rPr>
        <w:footnoteReference w:id="2985"/>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(ע' חי' ר' שמעון א ב, קובה”ע ג) חלקו דתלי בחומר האיסור, והוה ממזר מחמת סיבת האיסור</w:t>
      </w:r>
      <w:r w:rsidRPr="00AF1DC8">
        <w:rPr>
          <w:rStyle w:val="ac"/>
          <w:rFonts w:ascii="Narkisim" w:hAnsi="Narkisim"/>
          <w:rtl/>
        </w:rPr>
        <w:footnoteReference w:id="2986"/>
      </w:r>
      <w:r w:rsidRPr="00AF1DC8">
        <w:rPr>
          <w:rFonts w:ascii="Narkisim" w:hAnsi="Narkisim"/>
        </w:rPr>
        <w:t>.</w:t>
      </w:r>
    </w:p>
    <w:p w14:paraId="1340B060" w14:textId="77777777" w:rsidR="006074A5" w:rsidRPr="00AF1DC8" w:rsidRDefault="006074A5" w:rsidP="006074A5">
      <w:pPr>
        <w:pStyle w:val="aa"/>
        <w:bidi/>
        <w:rPr>
          <w:rFonts w:ascii="Narkisim" w:hAnsi="Narkisim"/>
        </w:rPr>
      </w:pPr>
      <w:r w:rsidRPr="00AF1DC8">
        <w:rPr>
          <w:rFonts w:ascii="Narkisim" w:hAnsi="Narkisim"/>
          <w:u w:val="single"/>
          <w:rtl/>
        </w:rPr>
        <w:t>תוד"ה שמעון.</w:t>
      </w:r>
      <w:r w:rsidRPr="00AF1DC8">
        <w:rPr>
          <w:rFonts w:ascii="Narkisim" w:hAnsi="Narkisim"/>
          <w:rtl/>
        </w:rPr>
        <w:t xml:space="preserve"> דסתמא דהאומר (קידושין סו:) נראה עיקר וכו' הילכתא פסיקתא וכו'. ואף דיש כמה סתמי משניות כר' עקיבא (כדאמרי' נב:, ולמקשן ע. וצב.), מ"מ נראה דמשנה זו עיקר ההלכה</w:t>
      </w:r>
      <w:r w:rsidRPr="00AF1DC8">
        <w:rPr>
          <w:rStyle w:val="ac"/>
          <w:rFonts w:ascii="Narkisim" w:hAnsi="Narkisim"/>
          <w:rtl/>
        </w:rPr>
        <w:footnoteReference w:id="2987"/>
      </w:r>
      <w:r w:rsidRPr="00AF1DC8">
        <w:rPr>
          <w:rFonts w:ascii="Narkisim" w:hAnsi="Narkisim"/>
        </w:rPr>
        <w:t>.</w:t>
      </w:r>
    </w:p>
    <w:p w14:paraId="33BB20BA" w14:textId="77777777" w:rsidR="006074A5" w:rsidRPr="00AF1DC8" w:rsidRDefault="006074A5" w:rsidP="006074A5">
      <w:pPr>
        <w:bidi/>
        <w:rPr>
          <w:rFonts w:ascii="Narkisim" w:hAnsi="Narkisim" w:cs="Narkisim"/>
        </w:rPr>
      </w:pPr>
      <w:r w:rsidRPr="00AF1DC8">
        <w:rPr>
          <w:rFonts w:ascii="Narkisim" w:hAnsi="Narkisim" w:cs="Narkisim"/>
          <w:u w:val="single"/>
          <w:rtl/>
        </w:rPr>
        <w:t>בא"ד לעיל פ"ק אמרי' פשיטא בני חייבי לאוין וכו</w:t>
      </w:r>
      <w:r w:rsidRPr="00AF1DC8">
        <w:rPr>
          <w:rFonts w:ascii="Narkisim" w:hAnsi="Narkisim" w:cs="Narkisim"/>
          <w:rtl/>
        </w:rPr>
        <w:t>'. [גבי יבמה לשוק]. ה</w:t>
      </w:r>
      <w:r w:rsidRPr="00AF1DC8">
        <w:rPr>
          <w:rFonts w:ascii="Narkisim" w:hAnsi="Narkisim" w:cs="Narkisim"/>
          <w:b/>
          <w:bCs/>
          <w:rtl/>
        </w:rPr>
        <w:t>רש"ש</w:t>
      </w:r>
      <w:r w:rsidRPr="00AF1DC8">
        <w:rPr>
          <w:rFonts w:ascii="Narkisim" w:hAnsi="Narkisim" w:cs="Narkisim"/>
          <w:rtl/>
        </w:rPr>
        <w:t xml:space="preserve"> הקשה דיבמה לשוק אינו לאו דשאר [וכמ”ש תוס' ד”ה הכל]. וע"כ דכוונת התוס' לאפוקי מדר' סימאי</w:t>
      </w:r>
      <w:r w:rsidRPr="00AF1DC8">
        <w:rPr>
          <w:rFonts w:ascii="Narkisim" w:hAnsi="Narkisim" w:cs="Narkisim"/>
        </w:rPr>
        <w:t>.</w:t>
      </w:r>
    </w:p>
    <w:p w14:paraId="2CE34ED9" w14:textId="77777777" w:rsidR="006074A5" w:rsidRPr="00AF1DC8" w:rsidRDefault="006074A5" w:rsidP="006074A5">
      <w:pPr>
        <w:pStyle w:val="a8"/>
        <w:bidi/>
        <w:rPr>
          <w:rFonts w:ascii="Narkisim" w:hAnsi="Narkisim"/>
        </w:rPr>
      </w:pPr>
      <w:r w:rsidRPr="00AF1DC8">
        <w:rPr>
          <w:rFonts w:ascii="Narkisim" w:hAnsi="Narkisim"/>
          <w:rtl/>
        </w:rPr>
        <w:t xml:space="preserve">ועד"ז הק' </w:t>
      </w:r>
      <w:r w:rsidRPr="00AF1DC8">
        <w:rPr>
          <w:rFonts w:ascii="Narkisim" w:hAnsi="Narkisim"/>
          <w:b/>
          <w:bCs/>
          <w:rtl/>
        </w:rPr>
        <w:t>תוס</w:t>
      </w:r>
      <w:r w:rsidRPr="00AF1DC8">
        <w:rPr>
          <w:rFonts w:ascii="Narkisim" w:hAnsi="Narkisim"/>
          <w:rtl/>
        </w:rPr>
        <w:t>' (לעיל י. ד"ה לר' יהודה) מנ"ל [לגמ' לעיל ט.] דמתני' דלא כר"ע, הא י"ל דאיסור מצווה ואיסור קדושה איירי דוקא בחייבי לאוין דלאו דשאר, כגון איסורי כהונה ואיסור ממזרת ונתינה. ו</w:t>
      </w:r>
      <w:r w:rsidRPr="00AF1DC8">
        <w:rPr>
          <w:rFonts w:ascii="Narkisim" w:hAnsi="Narkisim"/>
          <w:b/>
          <w:bCs/>
          <w:rtl/>
        </w:rPr>
        <w:t>ר"י</w:t>
      </w:r>
      <w:r w:rsidRPr="00AF1DC8">
        <w:rPr>
          <w:rFonts w:ascii="Narkisim" w:hAnsi="Narkisim"/>
          <w:rtl/>
        </w:rPr>
        <w:t xml:space="preserve"> תי' דעכ"פ המשנה (לעיל יג.) דלא כר"ע, דא"כ הו"ל ח' עריות חמורות, דגרושתו וחלוצתו אינם יכולים לינשא לאחים, דלר”ע לא תפסי בהם קידושין</w:t>
      </w:r>
      <w:r w:rsidRPr="00AF1DC8">
        <w:rPr>
          <w:rFonts w:ascii="Narkisim" w:hAnsi="Narkisim"/>
        </w:rPr>
        <w:t>.</w:t>
      </w:r>
    </w:p>
    <w:p w14:paraId="2754950E" w14:textId="77777777" w:rsidR="006074A5" w:rsidRPr="00AF1DC8" w:rsidRDefault="006074A5" w:rsidP="006074A5">
      <w:pPr>
        <w:bidi/>
        <w:rPr>
          <w:rFonts w:ascii="Narkisim" w:hAnsi="Narkisim" w:cs="Narkisim"/>
        </w:rPr>
      </w:pPr>
      <w:r w:rsidRPr="00AF1DC8">
        <w:rPr>
          <w:rFonts w:ascii="Narkisim" w:hAnsi="Narkisim" w:cs="Narkisim"/>
          <w:u w:val="single"/>
          <w:rtl/>
        </w:rPr>
        <w:t>בא"ד ולעיל (מה.) פסקי' דעכו"ם ועבד הבא על בת ישראל הולד כשר וכו'</w:t>
      </w:r>
      <w:r w:rsidRPr="00AF1DC8">
        <w:rPr>
          <w:rFonts w:ascii="Narkisim" w:hAnsi="Narkisim" w:cs="Narkisim"/>
          <w:rtl/>
        </w:rPr>
        <w:t>. ה</w:t>
      </w:r>
      <w:r w:rsidRPr="00AF1DC8">
        <w:rPr>
          <w:rFonts w:ascii="Narkisim" w:hAnsi="Narkisim" w:cs="Narkisim"/>
          <w:b/>
          <w:bCs/>
          <w:rtl/>
        </w:rPr>
        <w:t>מהרש"ל</w:t>
      </w:r>
      <w:r w:rsidRPr="00AF1DC8">
        <w:rPr>
          <w:rFonts w:ascii="Narkisim" w:hAnsi="Narkisim" w:cs="Narkisim"/>
          <w:rtl/>
        </w:rPr>
        <w:t xml:space="preserve"> תמה אדרבה הגמ' (מה:) מבואר דהוא משום דלא דמי לאשת אב, ואף לר"ע ילפי' משומרת יבם דאביו, ובעינן דומיא דשומר"י של אביו. ותי' דהגמ' (שם) למ"ד דר"ע קאי בלאו דשאר. אבל אליבא דרב סימאי לא תליא באשת אב כלל</w:t>
      </w:r>
      <w:r w:rsidRPr="00AF1DC8">
        <w:rPr>
          <w:rStyle w:val="ac"/>
          <w:rFonts w:ascii="Narkisim" w:hAnsi="Narkisim" w:cs="Narkisim"/>
          <w:rtl/>
        </w:rPr>
        <w:footnoteReference w:id="2988"/>
      </w:r>
      <w:r w:rsidRPr="00AF1DC8">
        <w:rPr>
          <w:rFonts w:ascii="Narkisim" w:hAnsi="Narkisim" w:cs="Narkisim"/>
        </w:rPr>
        <w:t xml:space="preserve">. </w:t>
      </w:r>
      <w:r w:rsidRPr="00AF1DC8">
        <w:rPr>
          <w:rFonts w:ascii="Narkisim" w:hAnsi="Narkisim" w:cs="Narkisim"/>
          <w:sz w:val="20"/>
          <w:szCs w:val="20"/>
          <w:rtl/>
        </w:rPr>
        <w:t>[ולכל האמוראים אליבא דר' סימאי לר"ע הולד ממזר מעכו"ם ועבד</w:t>
      </w:r>
      <w:r w:rsidRPr="00AF1DC8">
        <w:rPr>
          <w:rStyle w:val="ac"/>
          <w:rFonts w:ascii="Narkisim" w:hAnsi="Narkisim" w:cs="Narkisim"/>
          <w:sz w:val="20"/>
          <w:szCs w:val="20"/>
          <w:rtl/>
        </w:rPr>
        <w:footnoteReference w:id="2989"/>
      </w:r>
      <w:r w:rsidRPr="00AF1DC8">
        <w:rPr>
          <w:rFonts w:ascii="Narkisim" w:hAnsi="Narkisim" w:cs="Narkisim"/>
          <w:sz w:val="20"/>
          <w:szCs w:val="20"/>
          <w:rtl/>
        </w:rPr>
        <w:t>]</w:t>
      </w:r>
      <w:r w:rsidRPr="00AF1DC8">
        <w:rPr>
          <w:rFonts w:ascii="Narkisim" w:hAnsi="Narkisim" w:cs="Narkisim"/>
          <w:sz w:val="20"/>
          <w:szCs w:val="20"/>
        </w:rPr>
        <w:t>.</w:t>
      </w:r>
    </w:p>
    <w:p w14:paraId="72E6F2BB" w14:textId="77777777" w:rsidR="006074A5" w:rsidRPr="00AF1DC8" w:rsidRDefault="006074A5" w:rsidP="006074A5">
      <w:pPr>
        <w:pStyle w:val="a7"/>
        <w:bidi/>
        <w:rPr>
          <w:rFonts w:ascii="Narkisim" w:hAnsi="Narkisim"/>
        </w:rPr>
      </w:pPr>
      <w:r w:rsidRPr="00AF1DC8">
        <w:rPr>
          <w:rFonts w:ascii="Narkisim" w:hAnsi="Narkisim"/>
          <w:rtl/>
        </w:rPr>
        <w:t>ולפ"ז ראיית התוס' דלא קי"ל כר' סימאי אליבא דר"ע דאף חייבי לאוין דאינם שאר</w:t>
      </w:r>
      <w:r w:rsidRPr="00AF1DC8">
        <w:rPr>
          <w:rStyle w:val="ac"/>
          <w:rFonts w:ascii="Narkisim" w:hAnsi="Narkisim"/>
          <w:rtl/>
        </w:rPr>
        <w:footnoteReference w:id="2990"/>
      </w:r>
      <w:r w:rsidRPr="00AF1DC8">
        <w:rPr>
          <w:rFonts w:ascii="Narkisim" w:hAnsi="Narkisim"/>
        </w:rPr>
        <w:t xml:space="preserve">. </w:t>
      </w:r>
      <w:r w:rsidRPr="00AF1DC8">
        <w:rPr>
          <w:rFonts w:ascii="Narkisim" w:hAnsi="Narkisim"/>
          <w:rtl/>
        </w:rPr>
        <w:t>[אך צ"ב א"כ היאך תוס' הוכיחו דהלכה כשמעון התימני, דאפשר דהלכה כר' עקיבא דמתני' דאף חייבי לאוין דשאר]</w:t>
      </w:r>
      <w:r w:rsidRPr="00AF1DC8">
        <w:rPr>
          <w:rFonts w:ascii="Narkisim" w:hAnsi="Narkisim"/>
        </w:rPr>
        <w:t>.</w:t>
      </w:r>
    </w:p>
    <w:p w14:paraId="20FAD610" w14:textId="77777777" w:rsidR="006074A5" w:rsidRPr="00AF1DC8" w:rsidRDefault="006074A5" w:rsidP="006074A5">
      <w:pPr>
        <w:pStyle w:val="aa"/>
        <w:bidi/>
        <w:rPr>
          <w:rFonts w:ascii="Narkisim" w:hAnsi="Narkisim"/>
        </w:rPr>
      </w:pPr>
      <w:r w:rsidRPr="00AF1DC8">
        <w:rPr>
          <w:rFonts w:ascii="Narkisim" w:hAnsi="Narkisim"/>
          <w:u w:val="single"/>
          <w:rtl/>
        </w:rPr>
        <w:t>בא"ד וכר' יהושע נמי וכו' ושניהם לא למדוה אלא מאשת אב, וחייבי כריתות דמו לאשת אב וכו'</w:t>
      </w:r>
      <w:r w:rsidRPr="00AF1DC8">
        <w:rPr>
          <w:rFonts w:ascii="Narkisim" w:hAnsi="Narkisim"/>
          <w:rtl/>
        </w:rPr>
        <w:t xml:space="preserve">. ואילו לר' </w:t>
      </w:r>
      <w:r w:rsidRPr="00AF1DC8">
        <w:rPr>
          <w:rFonts w:ascii="Narkisim" w:hAnsi="Narkisim"/>
          <w:rtl/>
        </w:rPr>
        <w:lastRenderedPageBreak/>
        <w:t>יהושע ילפי' דדוקא אשת אב ממש הוה ממזר. ולא שומרת יבם של אביו וכל דדמי לה. וכ"ש דאין צד דהוה ממזר מעכו"ם ועבד. [דלר' יהושע ממזרות לא תלי בתפיסת קידושין, וכמ”ש תוס' לעיל מד:]</w:t>
      </w:r>
      <w:r w:rsidRPr="00AF1DC8">
        <w:rPr>
          <w:rFonts w:ascii="Narkisim" w:hAnsi="Narkisim"/>
        </w:rPr>
        <w:t>.</w:t>
      </w:r>
    </w:p>
    <w:p w14:paraId="51F2ED77" w14:textId="77777777" w:rsidR="006074A5" w:rsidRPr="00AF1DC8" w:rsidRDefault="006074A5" w:rsidP="006074A5">
      <w:pPr>
        <w:bidi/>
        <w:rPr>
          <w:rFonts w:ascii="Narkisim" w:hAnsi="Narkisim" w:cs="Narkisim"/>
          <w:u w:val="single"/>
        </w:rPr>
      </w:pPr>
      <w:r w:rsidRPr="00AF1DC8">
        <w:rPr>
          <w:rFonts w:ascii="Narkisim" w:hAnsi="Narkisim" w:cs="Narkisim"/>
          <w:u w:val="single"/>
          <w:rtl/>
        </w:rPr>
        <w:t>מ"ט דר' עקיבא וכו'.</w:t>
      </w:r>
      <w:r w:rsidRPr="00AF1DC8">
        <w:rPr>
          <w:rFonts w:ascii="Narkisim" w:hAnsi="Narkisim" w:cs="Narkisim"/>
          <w:rtl/>
        </w:rPr>
        <w:t xml:space="preserve"> דהולד ממזר, וכן ר"ע ס"ל בכ"מ דאין קידושין תופסין בחייבי לאוין. ו</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(קידושין סז:</w:t>
      </w:r>
      <w:r w:rsidRPr="00AF1DC8">
        <w:rPr>
          <w:rFonts w:ascii="Narkisim" w:hAnsi="Narkisim" w:cs="Narkisim"/>
          <w:sz w:val="20"/>
          <w:szCs w:val="20"/>
          <w:rtl/>
        </w:rPr>
        <w:t xml:space="preserve"> וכן לעיל מד:) </w:t>
      </w:r>
      <w:r w:rsidRPr="00AF1DC8">
        <w:rPr>
          <w:rFonts w:ascii="Narkisim" w:hAnsi="Narkisim" w:cs="Narkisim"/>
          <w:rtl/>
        </w:rPr>
        <w:t xml:space="preserve">כת' דהא דר' עקיבא ס"ל אין קידושין תופסין בחייבי לאוין ילפי' משום דשמעינן דאמר יש ממזר מחייבי לאוין. דכיון דיש ממזר דין הוא דלא תפסי קידושין. </w:t>
      </w:r>
      <w:r w:rsidRPr="00AF1DC8">
        <w:rPr>
          <w:rFonts w:ascii="Narkisim" w:hAnsi="Narkisim" w:cs="Narkisim"/>
          <w:szCs w:val="20"/>
          <w:rtl/>
        </w:rPr>
        <w:t xml:space="preserve">[וכמ"ש </w:t>
      </w:r>
      <w:r w:rsidRPr="00AF1DC8">
        <w:rPr>
          <w:rFonts w:ascii="Narkisim" w:hAnsi="Narkisim" w:cs="Narkisim"/>
          <w:b/>
          <w:bCs/>
          <w:szCs w:val="20"/>
          <w:rtl/>
        </w:rPr>
        <w:t>תוס</w:t>
      </w:r>
      <w:r w:rsidRPr="00AF1DC8">
        <w:rPr>
          <w:rFonts w:ascii="Narkisim" w:hAnsi="Narkisim" w:cs="Narkisim"/>
          <w:szCs w:val="20"/>
          <w:rtl/>
        </w:rPr>
        <w:t>' (לעיל מד: וכ"מ) דממזרות תלי בתפיסת קידושין</w:t>
      </w:r>
      <w:r w:rsidRPr="00AF1DC8">
        <w:rPr>
          <w:rStyle w:val="ac"/>
          <w:rFonts w:ascii="Narkisim" w:hAnsi="Narkisim" w:cs="Narkisim"/>
          <w:szCs w:val="20"/>
          <w:rtl/>
        </w:rPr>
        <w:footnoteReference w:id="2991"/>
      </w:r>
      <w:r w:rsidRPr="00AF1DC8">
        <w:rPr>
          <w:rFonts w:ascii="Narkisim" w:hAnsi="Narkisim" w:cs="Narkisim"/>
          <w:szCs w:val="20"/>
          <w:rtl/>
        </w:rPr>
        <w:t>]</w:t>
      </w:r>
      <w:r w:rsidRPr="00AF1DC8">
        <w:rPr>
          <w:rFonts w:ascii="Narkisim" w:hAnsi="Narkisim" w:cs="Narkisim"/>
        </w:rPr>
        <w:t>.</w:t>
      </w:r>
    </w:p>
    <w:p w14:paraId="6F8CDD46"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הק' א"כ אמאי בעינן קרא (שם) דאין קידושין תופסין בעריות, תיפו"ל דהוה ממזר, וכבסוגיין. ותי' דהתם קאי לר' יהושע</w:t>
      </w:r>
      <w:r w:rsidRPr="00AF1DC8">
        <w:rPr>
          <w:rStyle w:val="ac"/>
          <w:rFonts w:ascii="Narkisim" w:hAnsi="Narkisim"/>
          <w:rtl/>
        </w:rPr>
        <w:footnoteReference w:id="2992"/>
      </w:r>
      <w:r w:rsidRPr="00AF1DC8">
        <w:rPr>
          <w:rFonts w:ascii="Narkisim" w:hAnsi="Narkisim"/>
        </w:rPr>
        <w:t xml:space="preserve">. </w:t>
      </w:r>
      <w:r w:rsidRPr="00AF1DC8">
        <w:rPr>
          <w:rFonts w:ascii="Narkisim" w:hAnsi="Narkisim"/>
          <w:rtl/>
        </w:rPr>
        <w:t>אבל לשמעון התימני כיון דמחייבי כריתות הוה ממזר, ע"כ דלא תפסי קידושין [ואי"צ ילפותא מקרא]</w:t>
      </w:r>
      <w:r w:rsidRPr="00AF1DC8">
        <w:rPr>
          <w:rFonts w:ascii="Narkisim" w:hAnsi="Narkisim"/>
        </w:rPr>
        <w:t>.</w:t>
      </w:r>
    </w:p>
    <w:p w14:paraId="0A11A79E"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(לעיל מה. וכתובות כט:)</w:t>
      </w:r>
      <w:r w:rsidRPr="00AF1DC8">
        <w:rPr>
          <w:rFonts w:ascii="Narkisim" w:hAnsi="Narkisim"/>
          <w:rtl/>
        </w:rPr>
        <w:t xml:space="preserve"> תי' דהא דבכל חייבי כריתות הוה ממזר קאי למסקנת הגמ' </w:t>
      </w:r>
      <w:r w:rsidRPr="00AF1DC8">
        <w:rPr>
          <w:rFonts w:ascii="Narkisim" w:hAnsi="Narkisim"/>
          <w:szCs w:val="20"/>
          <w:rtl/>
        </w:rPr>
        <w:t>(קידושין שם)</w:t>
      </w:r>
      <w:r w:rsidRPr="00AF1DC8">
        <w:rPr>
          <w:rFonts w:ascii="Narkisim" w:hAnsi="Narkisim"/>
          <w:rtl/>
        </w:rPr>
        <w:t xml:space="preserve"> מהקישא דר' יונה. ומש"ה לס"ד איצטריך קרא דלא תפסי קידושין בשאר חייבי כריתות</w:t>
      </w:r>
      <w:r w:rsidRPr="00AF1DC8">
        <w:rPr>
          <w:rFonts w:ascii="Narkisim" w:hAnsi="Narkisim"/>
        </w:rPr>
        <w:t>.</w:t>
      </w:r>
    </w:p>
    <w:p w14:paraId="6257FC23"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(קידושין סח.) כת' דהא דאמרי' בכל דוכתא דממזרות תלי בתפיסת קידושין הוה ע”פ המשנה (שם סו:)</w:t>
      </w:r>
      <w:r w:rsidRPr="00AF1DC8">
        <w:rPr>
          <w:rStyle w:val="ac"/>
          <w:rFonts w:ascii="Narkisim" w:hAnsi="Narkisim"/>
          <w:rtl/>
        </w:rPr>
        <w:footnoteReference w:id="2993"/>
      </w:r>
      <w:r w:rsidRPr="00AF1DC8">
        <w:rPr>
          <w:rFonts w:ascii="Narkisim" w:hAnsi="Narkisim"/>
        </w:rPr>
        <w:t xml:space="preserve">,  </w:t>
      </w:r>
      <w:r w:rsidRPr="00AF1DC8">
        <w:rPr>
          <w:rFonts w:ascii="Narkisim" w:hAnsi="Narkisim"/>
          <w:rtl/>
        </w:rPr>
        <w:t>וקאי למסקנא דילפי' דבתרוייהו תלי בחייבי כריתות</w:t>
      </w:r>
      <w:r w:rsidRPr="00AF1DC8">
        <w:rPr>
          <w:rStyle w:val="ac"/>
          <w:rFonts w:ascii="Narkisim" w:hAnsi="Narkisim"/>
          <w:rtl/>
        </w:rPr>
        <w:footnoteReference w:id="2994"/>
      </w:r>
      <w:r w:rsidRPr="00AF1DC8">
        <w:rPr>
          <w:rFonts w:ascii="Narkisim" w:hAnsi="Narkisim"/>
        </w:rPr>
        <w:t xml:space="preserve">. </w:t>
      </w:r>
      <w:r w:rsidRPr="00AF1DC8">
        <w:rPr>
          <w:rFonts w:ascii="Narkisim" w:hAnsi="Narkisim"/>
          <w:rtl/>
        </w:rPr>
        <w:t>[ולפ”ז לר”ע ילפי' דרשא בפנ”ע דאין קידושין תופסין בחייבי לאוין, עי”ש]</w:t>
      </w:r>
      <w:r w:rsidRPr="00AF1DC8">
        <w:rPr>
          <w:rFonts w:ascii="Narkisim" w:hAnsi="Narkisim"/>
        </w:rPr>
        <w:t>.</w:t>
      </w:r>
    </w:p>
    <w:p w14:paraId="6470BD34" w14:textId="77777777" w:rsidR="006074A5" w:rsidRPr="00AF1DC8" w:rsidRDefault="006074A5" w:rsidP="006074A5">
      <w:pPr>
        <w:bidi/>
        <w:rPr>
          <w:rFonts w:ascii="Narkisim" w:hAnsi="Narkisim" w:cs="Narkisim"/>
        </w:rPr>
      </w:pPr>
      <w:r w:rsidRPr="00AF1DC8">
        <w:rPr>
          <w:rFonts w:ascii="Narkisim" w:hAnsi="Narkisim" w:cs="Narkisim"/>
          <w:u w:val="single"/>
          <w:rtl/>
        </w:rPr>
        <w:t>וסבר לה כר' יהודה וכו' ושמעון התימני ס”ל כרבנן דאמרי בשומר”י של אביו וכו'.</w:t>
      </w:r>
      <w:r w:rsidRPr="00AF1DC8">
        <w:rPr>
          <w:rFonts w:ascii="Narkisim" w:hAnsi="Narkisim" w:cs="Narkisim"/>
          <w:rtl/>
        </w:rPr>
        <w:t xml:space="preserve"> ו</w:t>
      </w:r>
      <w:r w:rsidRPr="00AF1DC8">
        <w:rPr>
          <w:rFonts w:ascii="Narkisim" w:hAnsi="Narkisim" w:cs="Narkisim"/>
          <w:b/>
          <w:bCs/>
          <w:rtl/>
        </w:rPr>
        <w:t>תוס'</w:t>
      </w:r>
      <w:r w:rsidRPr="00AF1DC8">
        <w:rPr>
          <w:rFonts w:ascii="Narkisim" w:hAnsi="Narkisim" w:cs="Narkisim"/>
          <w:sz w:val="20"/>
          <w:szCs w:val="20"/>
          <w:rtl/>
        </w:rPr>
        <w:t xml:space="preserve"> (לעיל י:)</w:t>
      </w:r>
      <w:r w:rsidRPr="00AF1DC8">
        <w:rPr>
          <w:rFonts w:ascii="Narkisim" w:hAnsi="Narkisim" w:cs="Narkisim"/>
          <w:rtl/>
        </w:rPr>
        <w:t xml:space="preserve"> הביאו מסוגיין דע"כ ר' יהודה ס"ל כר' עקיבא, דכיון דדרש קרא לאנוסת אביו [והוקש לממזר] ע"כ דלא תפסי קידושין</w:t>
      </w:r>
      <w:r w:rsidRPr="00AF1DC8">
        <w:rPr>
          <w:rFonts w:ascii="Narkisim" w:hAnsi="Narkisim" w:cs="Narkisim"/>
        </w:rPr>
        <w:t>.</w:t>
      </w:r>
    </w:p>
    <w:p w14:paraId="541762B5" w14:textId="77777777" w:rsidR="006074A5" w:rsidRPr="00AF1DC8" w:rsidRDefault="006074A5" w:rsidP="006074A5">
      <w:pPr>
        <w:pStyle w:val="a8"/>
        <w:bidi/>
        <w:rPr>
          <w:rFonts w:ascii="Narkisim" w:hAnsi="Narkisim"/>
        </w:rPr>
      </w:pPr>
      <w:r w:rsidRPr="00AF1DC8">
        <w:rPr>
          <w:rFonts w:ascii="Narkisim" w:hAnsi="Narkisim"/>
          <w:rtl/>
        </w:rPr>
        <w:t>ובגמ' (סנהדרין נג. לחד לישנא) ר' יהודה</w:t>
      </w:r>
      <w:r w:rsidRPr="00AF1DC8">
        <w:rPr>
          <w:rStyle w:val="ac"/>
          <w:rFonts w:ascii="Narkisim" w:hAnsi="Narkisim"/>
          <w:rtl/>
        </w:rPr>
        <w:footnoteReference w:id="2995"/>
      </w:r>
      <w:r w:rsidRPr="00AF1DC8">
        <w:rPr>
          <w:rFonts w:ascii="Narkisim" w:hAnsi="Narkisim"/>
        </w:rPr>
        <w:t xml:space="preserve"> </w:t>
      </w:r>
      <w:r w:rsidRPr="00AF1DC8">
        <w:rPr>
          <w:rFonts w:ascii="Narkisim" w:hAnsi="Narkisim"/>
          <w:rtl/>
        </w:rPr>
        <w:t>ס"ל כר"ע. אבל לאידך לישנא (שם, הו' בתוס' ד”ה ר' יהושע) ס"ל דלא כר' עקיבא</w:t>
      </w:r>
      <w:r w:rsidRPr="00AF1DC8">
        <w:rPr>
          <w:rFonts w:ascii="Narkisim" w:hAnsi="Narkisim"/>
        </w:rPr>
        <w:t>.</w:t>
      </w:r>
    </w:p>
    <w:p w14:paraId="2032AC65"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(לעיל י:) דחו די"ל דר' יהודה ס"ל דלא הוקש לממזרות, דדרשי' מלא יקח עד לא יגלה הוי ממזר, אבל חייבי לאוין אינם בכלל. ואינם ממזרים. [וכמו שר' יהושע דרש לקראי]. וכ"ד </w:t>
      </w:r>
      <w:r w:rsidRPr="00AF1DC8">
        <w:rPr>
          <w:rFonts w:ascii="Narkisim" w:hAnsi="Narkisim"/>
          <w:b/>
          <w:bCs/>
          <w:rtl/>
        </w:rPr>
        <w:t>תוס</w:t>
      </w:r>
      <w:r w:rsidRPr="00AF1DC8">
        <w:rPr>
          <w:rFonts w:ascii="Narkisim" w:hAnsi="Narkisim"/>
          <w:rtl/>
        </w:rPr>
        <w:t>' (כאן ד"ה סוד"ה לכתוב) בדעת תנא [דפרק ראשון] דר' יהודה ס"ל דעד לא יגלה הוה ממזר, ולא שומרת יבם של אביו</w:t>
      </w:r>
      <w:r w:rsidRPr="00AF1DC8">
        <w:rPr>
          <w:rStyle w:val="ac"/>
          <w:rFonts w:ascii="Narkisim" w:hAnsi="Narkisim"/>
          <w:rtl/>
        </w:rPr>
        <w:footnoteReference w:id="2996"/>
      </w:r>
      <w:r w:rsidRPr="00AF1DC8">
        <w:rPr>
          <w:rFonts w:ascii="Narkisim" w:hAnsi="Narkisim"/>
        </w:rPr>
        <w:t>.</w:t>
      </w:r>
    </w:p>
    <w:p w14:paraId="530C7515" w14:textId="77777777" w:rsidR="006074A5" w:rsidRPr="00AF1DC8" w:rsidRDefault="006074A5" w:rsidP="006074A5">
      <w:pPr>
        <w:pStyle w:val="aa"/>
        <w:bidi/>
        <w:rPr>
          <w:rFonts w:ascii="Narkisim" w:hAnsi="Narkisim"/>
        </w:rPr>
      </w:pPr>
      <w:r w:rsidRPr="00AF1DC8">
        <w:rPr>
          <w:rFonts w:ascii="Narkisim" w:hAnsi="Narkisim"/>
          <w:u w:val="single"/>
          <w:rtl/>
        </w:rPr>
        <w:t>באנוסת אביו.</w:t>
      </w:r>
      <w:r w:rsidRPr="00AF1DC8">
        <w:rPr>
          <w:rFonts w:ascii="Narkisim" w:hAnsi="Narkisim"/>
          <w:rtl/>
        </w:rPr>
        <w:t xml:space="preserve"> מבואר דאנוסת אביו נחשב לאו דשאר. וה</w:t>
      </w:r>
      <w:r w:rsidRPr="00AF1DC8">
        <w:rPr>
          <w:rFonts w:ascii="Narkisim" w:hAnsi="Narkisim"/>
          <w:b/>
          <w:bCs/>
          <w:rtl/>
        </w:rPr>
        <w:t xml:space="preserve">רש"ש </w:t>
      </w:r>
      <w:r w:rsidRPr="00AF1DC8">
        <w:rPr>
          <w:rFonts w:ascii="Narkisim" w:hAnsi="Narkisim"/>
          <w:rtl/>
        </w:rPr>
        <w:t>הק' דאי' (לקמן צו.) דע"י אונסין ליכא שאר. ותי' דנאסרה עליו מחמת קורבת אביו (וזהו שאר), ואף דהאשה אינה שאר של אביו</w:t>
      </w:r>
      <w:r w:rsidRPr="00AF1DC8">
        <w:rPr>
          <w:rFonts w:ascii="Narkisim" w:hAnsi="Narkisim"/>
        </w:rPr>
        <w:t>.</w:t>
      </w:r>
    </w:p>
    <w:p w14:paraId="1FF49108" w14:textId="77777777" w:rsidR="006074A5" w:rsidRPr="00AF1DC8" w:rsidRDefault="006074A5" w:rsidP="006074A5">
      <w:pPr>
        <w:bidi/>
        <w:rPr>
          <w:rFonts w:ascii="Narkisim" w:hAnsi="Narkisim" w:cs="Narkisim"/>
        </w:rPr>
      </w:pPr>
      <w:r w:rsidRPr="00AF1DC8">
        <w:rPr>
          <w:rFonts w:ascii="Narkisim" w:hAnsi="Narkisim" w:cs="Narkisim"/>
          <w:u w:val="single"/>
          <w:rtl/>
        </w:rPr>
        <w:t>ולר' ישבב דמרבה אפי' חייבי עשה וכו'.</w:t>
      </w:r>
      <w:r w:rsidRPr="00AF1DC8">
        <w:rPr>
          <w:rFonts w:ascii="Narkisim" w:hAnsi="Narkisim" w:cs="Narkisim"/>
          <w:rtl/>
        </w:rPr>
        <w:t xml:space="preserve"> דבברייתא אי' דר' ישבב (כתובות ל., קידושין סח.) צווח אר"ע, דר"ע היה אומר כל שאין לו ביאה בישראל הולד ממזר. והגמ' מביאה דס"ל דדעת ר' עקיבא דכל ביאת איסור עושה ממזרות. אך הגמ' (שם ושם) מסתפקת אי ר' ישבב קאי דוקא בחייבי לאוין [ולאפוקי מר' סימאי], או טעמא דנפשיה קאמר, ואפי' חייבי עשה. [וגמ' דידן קאי כצד דטעמא דנפשיה, ואפי' חייבי עשה]</w:t>
      </w:r>
      <w:r w:rsidRPr="00AF1DC8">
        <w:rPr>
          <w:rFonts w:ascii="Narkisim" w:hAnsi="Narkisim" w:cs="Narkisim"/>
        </w:rPr>
        <w:t>.</w:t>
      </w:r>
    </w:p>
    <w:p w14:paraId="046C90B0" w14:textId="77777777" w:rsidR="006074A5" w:rsidRPr="00AF1DC8" w:rsidRDefault="006074A5" w:rsidP="006074A5">
      <w:pPr>
        <w:pStyle w:val="a8"/>
        <w:bidi/>
        <w:rPr>
          <w:rFonts w:ascii="Narkisim" w:hAnsi="Narkisim"/>
        </w:rPr>
      </w:pPr>
      <w:r w:rsidRPr="00AF1DC8">
        <w:rPr>
          <w:rFonts w:ascii="Narkisim" w:hAnsi="Narkisim"/>
          <w:rtl/>
        </w:rPr>
        <w:t>וב</w:t>
      </w:r>
      <w:r w:rsidRPr="00AF1DC8">
        <w:rPr>
          <w:rFonts w:ascii="Narkisim" w:hAnsi="Narkisim"/>
          <w:b/>
          <w:bCs/>
          <w:rtl/>
        </w:rPr>
        <w:t>גמ'</w:t>
      </w:r>
      <w:r w:rsidRPr="00AF1DC8">
        <w:rPr>
          <w:rFonts w:ascii="Narkisim" w:hAnsi="Narkisim"/>
          <w:rtl/>
        </w:rPr>
        <w:t xml:space="preserve"> (כתובות ל. וקידושין סח.) אי' דבעולה לכה"ג לכו"ע [אף לר' ישבב] תפסי קידושין, דהוה עשה דאינו שווה לכל</w:t>
      </w:r>
      <w:r w:rsidRPr="00AF1DC8">
        <w:rPr>
          <w:rFonts w:ascii="Narkisim" w:hAnsi="Narkisim"/>
        </w:rPr>
        <w:t>.</w:t>
      </w:r>
    </w:p>
    <w:p w14:paraId="53F76CEE" w14:textId="77777777" w:rsidR="006074A5" w:rsidRPr="00AF1DC8" w:rsidRDefault="006074A5" w:rsidP="006074A5">
      <w:pPr>
        <w:pStyle w:val="a8"/>
        <w:bidi/>
        <w:rPr>
          <w:rFonts w:ascii="Narkisim" w:hAnsi="Narkisim"/>
        </w:rPr>
      </w:pPr>
      <w:r w:rsidRPr="00AF1DC8">
        <w:rPr>
          <w:rFonts w:ascii="Narkisim" w:hAnsi="Narkisim"/>
          <w:rtl/>
        </w:rPr>
        <w:t>ו</w:t>
      </w:r>
      <w:r w:rsidRPr="00AF1DC8">
        <w:rPr>
          <w:rFonts w:ascii="Narkisim" w:hAnsi="Narkisim"/>
          <w:b/>
          <w:bCs/>
          <w:rtl/>
        </w:rPr>
        <w:t>רע"א</w:t>
      </w:r>
      <w:r w:rsidRPr="00AF1DC8">
        <w:rPr>
          <w:rFonts w:ascii="Narkisim" w:hAnsi="Narkisim"/>
          <w:rtl/>
        </w:rPr>
        <w:t xml:space="preserve"> הק' דא"כ היאך ילפי' אלמנה לכה"ג, הרי אינו שווה בכל. ותי' דכיון דהיא מצווה נחשב שווה בכל (וכמ"ש תוס' לעיל ה. ד”ה ואכתי) משא"כ לאו דבעולה דנחשב אינו שווה בכל (בכתובות ל.) ו</w:t>
      </w:r>
      <w:r w:rsidRPr="00AF1DC8">
        <w:rPr>
          <w:rFonts w:ascii="Narkisim" w:hAnsi="Narkisim"/>
          <w:b/>
          <w:bCs/>
          <w:rtl/>
        </w:rPr>
        <w:t>רע"א</w:t>
      </w:r>
      <w:r w:rsidRPr="00AF1DC8">
        <w:rPr>
          <w:rFonts w:ascii="Narkisim" w:hAnsi="Narkisim"/>
          <w:rtl/>
        </w:rPr>
        <w:t xml:space="preserve"> ביאר שהעשה דבתולה הוה רק עליו, והיא אינה מצווה. (וע' לעיל שם). וה</w:t>
      </w:r>
      <w:r w:rsidRPr="00AF1DC8">
        <w:rPr>
          <w:rFonts w:ascii="Narkisim" w:hAnsi="Narkisim"/>
          <w:b/>
          <w:bCs/>
          <w:rtl/>
        </w:rPr>
        <w:t xml:space="preserve">ערול"נ </w:t>
      </w:r>
      <w:r w:rsidRPr="00AF1DC8">
        <w:rPr>
          <w:rFonts w:ascii="Narkisim" w:hAnsi="Narkisim"/>
          <w:rtl/>
        </w:rPr>
        <w:t>ו</w:t>
      </w:r>
      <w:r w:rsidRPr="00AF1DC8">
        <w:rPr>
          <w:rFonts w:ascii="Narkisim" w:hAnsi="Narkisim"/>
          <w:b/>
          <w:bCs/>
          <w:rtl/>
        </w:rPr>
        <w:t>אחרונים</w:t>
      </w:r>
      <w:r w:rsidRPr="00AF1DC8">
        <w:rPr>
          <w:rFonts w:ascii="Narkisim" w:hAnsi="Narkisim"/>
          <w:rtl/>
        </w:rPr>
        <w:t xml:space="preserve"> (שם) האריכו בזה</w:t>
      </w:r>
      <w:r w:rsidRPr="00AF1DC8">
        <w:rPr>
          <w:rFonts w:ascii="Narkisim" w:hAnsi="Narkisim"/>
        </w:rPr>
        <w:t>.</w:t>
      </w:r>
    </w:p>
    <w:p w14:paraId="561ABAC1" w14:textId="77777777" w:rsidR="006074A5" w:rsidRPr="00AF1DC8" w:rsidRDefault="006074A5" w:rsidP="006074A5">
      <w:pPr>
        <w:bidi/>
        <w:rPr>
          <w:rFonts w:ascii="Narkisim" w:hAnsi="Narkisim" w:cs="Narkisim"/>
        </w:rPr>
      </w:pPr>
      <w:r w:rsidRPr="00AF1DC8">
        <w:rPr>
          <w:rFonts w:ascii="Narkisim" w:hAnsi="Narkisim" w:cs="Narkisim"/>
          <w:u w:val="single"/>
          <w:rtl/>
        </w:rPr>
        <w:t>נפקא להו מדכתיב 'ולא'.</w:t>
      </w:r>
      <w:r w:rsidRPr="00AF1DC8">
        <w:rPr>
          <w:rFonts w:ascii="Narkisim" w:hAnsi="Narkisim" w:cs="Narkisim"/>
          <w:rtl/>
        </w:rPr>
        <w:t xml:space="preserve"> בפשוטו היינו מיתור הו'</w:t>
      </w:r>
      <w:r w:rsidRPr="00AF1DC8">
        <w:rPr>
          <w:rFonts w:ascii="Narkisim" w:hAnsi="Narkisim" w:cs="Narkisim"/>
          <w:sz w:val="20"/>
          <w:szCs w:val="20"/>
          <w:rtl/>
        </w:rPr>
        <w:t xml:space="preserve"> [וה</w:t>
      </w:r>
      <w:r w:rsidRPr="00AF1DC8">
        <w:rPr>
          <w:rFonts w:ascii="Narkisim" w:hAnsi="Narkisim" w:cs="Narkisim"/>
          <w:b/>
          <w:bCs/>
          <w:sz w:val="20"/>
          <w:szCs w:val="20"/>
          <w:rtl/>
        </w:rPr>
        <w:t>אחרונים</w:t>
      </w:r>
      <w:r w:rsidRPr="00AF1DC8">
        <w:rPr>
          <w:rFonts w:ascii="Narkisim" w:hAnsi="Narkisim" w:cs="Narkisim"/>
          <w:sz w:val="20"/>
          <w:szCs w:val="20"/>
          <w:rtl/>
        </w:rPr>
        <w:t xml:space="preserve"> הק' דמנ”ל לרבות כל מילי, אפי' </w:t>
      </w:r>
      <w:r w:rsidRPr="00AF1DC8">
        <w:rPr>
          <w:rFonts w:ascii="Narkisim" w:hAnsi="Narkisim" w:cs="Narkisim"/>
          <w:sz w:val="20"/>
          <w:szCs w:val="20"/>
          <w:rtl/>
        </w:rPr>
        <w:lastRenderedPageBreak/>
        <w:t>מה דלא דמי כלל</w:t>
      </w:r>
      <w:r w:rsidRPr="00AF1DC8">
        <w:rPr>
          <w:rStyle w:val="ac"/>
          <w:rFonts w:ascii="Narkisim" w:hAnsi="Narkisim" w:cs="Narkisim"/>
          <w:sz w:val="20"/>
          <w:szCs w:val="20"/>
          <w:rtl/>
        </w:rPr>
        <w:footnoteReference w:id="2997"/>
      </w:r>
      <w:r w:rsidRPr="00AF1DC8">
        <w:rPr>
          <w:rFonts w:ascii="Narkisim" w:hAnsi="Narkisim" w:cs="Narkisim"/>
          <w:sz w:val="20"/>
          <w:szCs w:val="20"/>
          <w:rtl/>
        </w:rPr>
        <w:t>].</w:t>
      </w:r>
      <w:r w:rsidRPr="00AF1DC8">
        <w:rPr>
          <w:rFonts w:ascii="Narkisim" w:hAnsi="Narkisim" w:cs="Narkisim"/>
          <w:rtl/>
        </w:rPr>
        <w:t xml:space="preserve"> אבל ה</w:t>
      </w:r>
      <w:r w:rsidRPr="00AF1DC8">
        <w:rPr>
          <w:rFonts w:ascii="Narkisim" w:hAnsi="Narkisim" w:cs="Narkisim"/>
          <w:b/>
          <w:bCs/>
          <w:rtl/>
        </w:rPr>
        <w:t>ריטב"א</w:t>
      </w:r>
      <w:r w:rsidRPr="00AF1DC8">
        <w:rPr>
          <w:rFonts w:ascii="Narkisim" w:hAnsi="Narkisim" w:cs="Narkisim"/>
          <w:rtl/>
        </w:rPr>
        <w:t xml:space="preserve"> גרס נפקא מ'לא יבא'. ופי' דקרא קאמר כל לא יבא הוה ממזר. כלומר כל שאין לו ביאה בישראל ואפי' באיסור עשה וכו</w:t>
      </w:r>
      <w:r w:rsidRPr="00AF1DC8">
        <w:rPr>
          <w:rFonts w:ascii="Narkisim" w:hAnsi="Narkisim" w:cs="Narkisim"/>
        </w:rPr>
        <w:t>'.</w:t>
      </w:r>
    </w:p>
    <w:p w14:paraId="5A7B6537" w14:textId="77777777" w:rsidR="006074A5" w:rsidRPr="00AF1DC8" w:rsidRDefault="006074A5" w:rsidP="006074A5">
      <w:pPr>
        <w:bidi/>
        <w:rPr>
          <w:rFonts w:ascii="Narkisim" w:hAnsi="Narkisim" w:cs="Narkisim"/>
        </w:rPr>
      </w:pPr>
      <w:r w:rsidRPr="00AF1DC8">
        <w:rPr>
          <w:rFonts w:ascii="Narkisim" w:hAnsi="Narkisim" w:cs="Narkisim"/>
          <w:u w:val="single"/>
          <w:rtl/>
        </w:rPr>
        <w:t>רש"י ד"ה ולר' סימאי.</w:t>
      </w:r>
      <w:r w:rsidRPr="00AF1DC8">
        <w:rPr>
          <w:rFonts w:ascii="Narkisim" w:hAnsi="Narkisim" w:cs="Narkisim"/>
          <w:rtl/>
        </w:rPr>
        <w:t xml:space="preserve"> כגון מחזיר גרושתו משנשאת. ולפ"ז המשנה (לעיל מד.) דלר"ע המחזיר גרושתו הולד ממזר פליג אמתני' דידן</w:t>
      </w:r>
      <w:r w:rsidRPr="00AF1DC8">
        <w:rPr>
          <w:rStyle w:val="ac"/>
          <w:rFonts w:ascii="Narkisim" w:hAnsi="Narkisim" w:cs="Narkisim"/>
          <w:rtl/>
        </w:rPr>
        <w:footnoteReference w:id="2998"/>
      </w:r>
      <w:r w:rsidRPr="00AF1DC8">
        <w:rPr>
          <w:rFonts w:ascii="Narkisim" w:hAnsi="Narkisim" w:cs="Narkisim"/>
        </w:rPr>
        <w:t xml:space="preserve">, </w:t>
      </w:r>
      <w:r w:rsidRPr="00AF1DC8">
        <w:rPr>
          <w:rFonts w:ascii="Narkisim" w:hAnsi="Narkisim" w:cs="Narkisim"/>
          <w:rtl/>
        </w:rPr>
        <w:t xml:space="preserve">וכ”כ </w:t>
      </w:r>
      <w:r w:rsidRPr="00AF1DC8">
        <w:rPr>
          <w:rFonts w:ascii="Narkisim" w:hAnsi="Narkisim" w:cs="Narkisim"/>
          <w:b/>
          <w:bCs/>
          <w:rtl/>
        </w:rPr>
        <w:t>רע”א</w:t>
      </w:r>
      <w:r w:rsidRPr="00AF1DC8">
        <w:rPr>
          <w:rStyle w:val="ac"/>
          <w:rFonts w:ascii="Narkisim" w:hAnsi="Narkisim" w:cs="Narkisim"/>
          <w:rtl/>
        </w:rPr>
        <w:footnoteReference w:id="2999"/>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רשב"א</w:t>
      </w:r>
      <w:r w:rsidRPr="00AF1DC8">
        <w:rPr>
          <w:rFonts w:ascii="Narkisim" w:hAnsi="Narkisim" w:cs="Narkisim"/>
          <w:rtl/>
        </w:rPr>
        <w:t xml:space="preserve"> ו</w:t>
      </w:r>
      <w:r w:rsidRPr="00AF1DC8">
        <w:rPr>
          <w:rFonts w:ascii="Narkisim" w:hAnsi="Narkisim" w:cs="Narkisim"/>
          <w:b/>
          <w:bCs/>
          <w:rtl/>
        </w:rPr>
        <w:t>ריטב"א</w:t>
      </w:r>
      <w:r w:rsidRPr="00AF1DC8">
        <w:rPr>
          <w:rFonts w:ascii="Narkisim" w:hAnsi="Narkisim" w:cs="Narkisim"/>
          <w:rtl/>
        </w:rPr>
        <w:t xml:space="preserve"> הקשו דלא סתים תנא כר' סימאי דר"ע לא בעי שאר</w:t>
      </w:r>
      <w:r w:rsidRPr="00AF1DC8">
        <w:rPr>
          <w:rStyle w:val="ac"/>
          <w:rFonts w:ascii="Narkisim" w:hAnsi="Narkisim" w:cs="Narkisim"/>
          <w:rtl/>
        </w:rPr>
        <w:footnoteReference w:id="3000"/>
      </w:r>
      <w:r w:rsidRPr="00AF1DC8">
        <w:rPr>
          <w:rFonts w:ascii="Narkisim" w:hAnsi="Narkisim" w:cs="Narkisim"/>
        </w:rPr>
        <w:t>.</w:t>
      </w:r>
    </w:p>
    <w:p w14:paraId="4AE6C66C" w14:textId="77777777" w:rsidR="006074A5" w:rsidRPr="00AF1DC8" w:rsidRDefault="006074A5" w:rsidP="006074A5">
      <w:pPr>
        <w:pStyle w:val="a7"/>
        <w:bidi/>
        <w:rPr>
          <w:rFonts w:ascii="Narkisim" w:hAnsi="Narkisim"/>
        </w:rPr>
      </w:pPr>
      <w:r w:rsidRPr="00AF1DC8">
        <w:rPr>
          <w:rFonts w:ascii="Narkisim" w:hAnsi="Narkisim"/>
          <w:rtl/>
        </w:rPr>
        <w:t>ו</w:t>
      </w:r>
      <w:r w:rsidRPr="00AF1DC8">
        <w:rPr>
          <w:rFonts w:ascii="Narkisim" w:hAnsi="Narkisim"/>
          <w:b/>
          <w:bCs/>
          <w:rtl/>
        </w:rPr>
        <w:t>ר"ת</w:t>
      </w:r>
      <w:r w:rsidRPr="00AF1DC8">
        <w:rPr>
          <w:rFonts w:ascii="Narkisim" w:hAnsi="Narkisim"/>
          <w:rtl/>
        </w:rPr>
        <w:t xml:space="preserve"> (בתוד"ה הכל) חלקו דמחזיר גרושתו וסוטה אסור משום אישות, ונחשב לאו דשאר. וכ"כ שאר </w:t>
      </w:r>
      <w:r w:rsidRPr="00AF1DC8">
        <w:rPr>
          <w:rFonts w:ascii="Narkisim" w:hAnsi="Narkisim"/>
          <w:b/>
          <w:bCs/>
          <w:rtl/>
        </w:rPr>
        <w:t>ראשונים</w:t>
      </w:r>
      <w:r w:rsidRPr="00AF1DC8">
        <w:rPr>
          <w:rFonts w:ascii="Narkisim" w:hAnsi="Narkisim"/>
          <w:rtl/>
        </w:rPr>
        <w:t>, וה</w:t>
      </w:r>
      <w:r w:rsidRPr="00AF1DC8">
        <w:rPr>
          <w:rFonts w:ascii="Narkisim" w:hAnsi="Narkisim"/>
          <w:b/>
          <w:bCs/>
          <w:rtl/>
        </w:rPr>
        <w:t>רשב"א</w:t>
      </w:r>
      <w:r w:rsidRPr="00AF1DC8">
        <w:rPr>
          <w:rFonts w:ascii="Narkisim" w:hAnsi="Narkisim"/>
          <w:rtl/>
        </w:rPr>
        <w:t xml:space="preserve"> ביאר דנאסרה מחמת שהיא אשתו, ואשתו שארו היא</w:t>
      </w:r>
      <w:r w:rsidRPr="00AF1DC8">
        <w:rPr>
          <w:rFonts w:ascii="Narkisim" w:hAnsi="Narkisim"/>
        </w:rPr>
        <w:t>.</w:t>
      </w:r>
    </w:p>
    <w:p w14:paraId="1256F61A" w14:textId="77777777" w:rsidR="006074A5" w:rsidRPr="00AF1DC8" w:rsidRDefault="006074A5" w:rsidP="006074A5">
      <w:pPr>
        <w:pStyle w:val="3"/>
        <w:bidi/>
        <w:rPr>
          <w:rFonts w:ascii="Narkisim" w:hAnsi="Narkisim"/>
        </w:rPr>
      </w:pPr>
      <w:r w:rsidRPr="00AF1DC8">
        <w:rPr>
          <w:rFonts w:ascii="Narkisim" w:hAnsi="Narkisim"/>
          <w:rtl/>
        </w:rPr>
        <w:t>דף מט</w:t>
      </w:r>
      <w:r w:rsidRPr="00AF1DC8">
        <w:rPr>
          <w:rFonts w:ascii="Narkisim" w:hAnsi="Narkisim"/>
        </w:rPr>
        <w:t>:</w:t>
      </w:r>
    </w:p>
    <w:p w14:paraId="2D2C0742" w14:textId="77777777" w:rsidR="006074A5" w:rsidRPr="00AF1DC8" w:rsidRDefault="006074A5" w:rsidP="006074A5">
      <w:pPr>
        <w:bidi/>
        <w:rPr>
          <w:rFonts w:ascii="Narkisim" w:hAnsi="Narkisim" w:cs="Narkisim"/>
        </w:rPr>
      </w:pPr>
      <w:r w:rsidRPr="00AF1DC8">
        <w:rPr>
          <w:rFonts w:ascii="Narkisim" w:hAnsi="Narkisim" w:cs="Narkisim"/>
          <w:u w:val="single"/>
          <w:rtl/>
        </w:rPr>
        <w:t>תוד"ה הכל (בע”א).</w:t>
      </w:r>
      <w:r w:rsidRPr="00AF1DC8">
        <w:rPr>
          <w:rFonts w:ascii="Narkisim" w:hAnsi="Narkisim" w:cs="Narkisim"/>
          <w:rtl/>
        </w:rPr>
        <w:t xml:space="preserve"> וי"ל אליבא דרב (בסמוך) וכו' איצטריך לאשמועינן וכו'. דס"ד דממזרות תליא בתפיסת קידושין, ולא תפסי קידושין</w:t>
      </w:r>
      <w:r w:rsidRPr="00AF1DC8">
        <w:rPr>
          <w:rStyle w:val="ac"/>
          <w:rFonts w:ascii="Narkisim" w:hAnsi="Narkisim" w:cs="Narkisim"/>
          <w:rtl/>
        </w:rPr>
        <w:footnoteReference w:id="3001"/>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רמב"ן</w:t>
      </w:r>
      <w:r w:rsidRPr="00AF1DC8">
        <w:rPr>
          <w:rFonts w:ascii="Narkisim" w:hAnsi="Narkisim" w:cs="Narkisim"/>
          <w:rtl/>
        </w:rPr>
        <w:t xml:space="preserve"> ביאר דכיון דל"ל קידושין על אחרים הו"ל כחייבי לאוין דשאר א"נ כחייבי כריתות</w:t>
      </w:r>
      <w:r w:rsidRPr="00AF1DC8">
        <w:rPr>
          <w:rStyle w:val="ac"/>
          <w:rFonts w:ascii="Narkisim" w:hAnsi="Narkisim" w:cs="Narkisim"/>
          <w:rtl/>
        </w:rPr>
        <w:footnoteReference w:id="3002"/>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(קובה"ע לה א, הו' לעיל מה) חקרו האם הוה סימן או סיבה</w:t>
      </w:r>
      <w:r w:rsidRPr="00AF1DC8">
        <w:rPr>
          <w:rFonts w:ascii="Narkisim" w:hAnsi="Narkisim" w:cs="Narkisim"/>
          <w:sz w:val="20"/>
          <w:szCs w:val="20"/>
        </w:rPr>
        <w:t>.</w:t>
      </w:r>
    </w:p>
    <w:p w14:paraId="0D1F3137" w14:textId="77777777" w:rsidR="006074A5" w:rsidRPr="00AF1DC8" w:rsidRDefault="006074A5" w:rsidP="006074A5">
      <w:pPr>
        <w:bidi/>
        <w:rPr>
          <w:rFonts w:ascii="Narkisim" w:hAnsi="Narkisim" w:cs="Narkisim"/>
        </w:rPr>
      </w:pPr>
      <w:r w:rsidRPr="00AF1DC8">
        <w:rPr>
          <w:rFonts w:ascii="Narkisim" w:hAnsi="Narkisim" w:cs="Narkisim"/>
          <w:u w:val="single"/>
          <w:rtl/>
        </w:rPr>
        <w:t>בא"ד וטעמא אור"ת דהוה כעכו"ם ועבד דאין קידושין לשום אדם וכו'.</w:t>
      </w:r>
      <w:r w:rsidRPr="00AF1DC8">
        <w:rPr>
          <w:rFonts w:ascii="Narkisim" w:hAnsi="Narkisim" w:cs="Narkisim"/>
          <w:rtl/>
        </w:rPr>
        <w:t xml:space="preserve"> ע”פ הגמ' (לעיל מה:) דמ”ד דעכו"ם ועבד לא הוה ממזר, משום דלא הוה בר קידושין לשום אדם</w:t>
      </w:r>
      <w:r w:rsidRPr="00AF1DC8">
        <w:rPr>
          <w:rStyle w:val="ac"/>
          <w:rFonts w:ascii="Narkisim" w:hAnsi="Narkisim" w:cs="Narkisim"/>
          <w:rtl/>
        </w:rPr>
        <w:footnoteReference w:id="3003"/>
      </w:r>
      <w:r w:rsidRPr="00AF1DC8">
        <w:rPr>
          <w:rFonts w:ascii="Narkisim" w:hAnsi="Narkisim" w:cs="Narkisim"/>
        </w:rPr>
        <w:t>.</w:t>
      </w:r>
    </w:p>
    <w:p w14:paraId="00AFD457" w14:textId="77777777" w:rsidR="006074A5" w:rsidRPr="00AF1DC8" w:rsidRDefault="006074A5" w:rsidP="006074A5">
      <w:pPr>
        <w:pStyle w:val="a7"/>
        <w:bidi/>
        <w:rPr>
          <w:rFonts w:ascii="Narkisim" w:hAnsi="Narkisim"/>
        </w:rPr>
      </w:pPr>
      <w:r w:rsidRPr="00AF1DC8">
        <w:rPr>
          <w:rFonts w:ascii="Narkisim" w:hAnsi="Narkisim"/>
          <w:rtl/>
        </w:rPr>
        <w:t>וצ"ב הטעם בזה. ובשלמא עכו"ם ועבד ביאר ה</w:t>
      </w:r>
      <w:r w:rsidRPr="00AF1DC8">
        <w:rPr>
          <w:rFonts w:ascii="Narkisim" w:hAnsi="Narkisim"/>
          <w:b/>
          <w:bCs/>
          <w:rtl/>
        </w:rPr>
        <w:t>רשב"א</w:t>
      </w:r>
      <w:r w:rsidRPr="00AF1DC8">
        <w:rPr>
          <w:rFonts w:ascii="Narkisim" w:hAnsi="Narkisim"/>
          <w:rtl/>
        </w:rPr>
        <w:t xml:space="preserve"> (לעיל שם) דאינם ממין קידושין. אבל שומרת יבם הוה ממין קידושין, והאיך תוס' דימו להתם, לדון דלא הוה ממזר כל היכא דבפועל אין באשה הזו צד קידושין (וע' מש”כ בזה לעיל שם)</w:t>
      </w:r>
      <w:r w:rsidRPr="00AF1DC8">
        <w:rPr>
          <w:rFonts w:ascii="Narkisim" w:hAnsi="Narkisim"/>
        </w:rPr>
        <w:t>.</w:t>
      </w:r>
    </w:p>
    <w:p w14:paraId="7471BA69" w14:textId="77777777" w:rsidR="006074A5" w:rsidRPr="00AF1DC8" w:rsidRDefault="006074A5" w:rsidP="006074A5">
      <w:pPr>
        <w:bidi/>
        <w:rPr>
          <w:rFonts w:ascii="Narkisim" w:hAnsi="Narkisim" w:cs="Narkisim"/>
        </w:rPr>
      </w:pPr>
      <w:r w:rsidRPr="00AF1DC8">
        <w:rPr>
          <w:rFonts w:ascii="Narkisim" w:hAnsi="Narkisim" w:cs="Narkisim"/>
          <w:u w:val="single"/>
          <w:rtl/>
        </w:rPr>
        <w:t>שם. דהוי כעכו"ם ועבד דאין קידושין לשום אדם</w:t>
      </w:r>
      <w:r w:rsidRPr="00AF1DC8">
        <w:rPr>
          <w:rFonts w:ascii="Narkisim" w:hAnsi="Narkisim" w:cs="Narkisim"/>
          <w:rtl/>
        </w:rPr>
        <w:t>. ה</w:t>
      </w:r>
      <w:r w:rsidRPr="00AF1DC8">
        <w:rPr>
          <w:rFonts w:ascii="Narkisim" w:hAnsi="Narkisim" w:cs="Narkisim"/>
          <w:b/>
          <w:bCs/>
          <w:rtl/>
        </w:rPr>
        <w:t>אחרונים</w:t>
      </w:r>
      <w:r w:rsidRPr="00AF1DC8">
        <w:rPr>
          <w:rFonts w:ascii="Narkisim" w:hAnsi="Narkisim" w:cs="Narkisim"/>
          <w:rtl/>
        </w:rPr>
        <w:t xml:space="preserve"> הק' עוד דלפ”ז שומרת יבם שהיא ג”כ ערוה לא יהא הולד ממזר, דבפועל אין לה קידושין עכשיו לשום אדם. </w:t>
      </w:r>
      <w:r w:rsidRPr="00AF1DC8">
        <w:rPr>
          <w:rFonts w:ascii="Narkisim" w:hAnsi="Narkisim" w:cs="Narkisim"/>
          <w:sz w:val="20"/>
          <w:szCs w:val="20"/>
          <w:rtl/>
        </w:rPr>
        <w:t>(וע' חי' ר' ראובן כג)</w:t>
      </w:r>
      <w:r w:rsidRPr="00AF1DC8">
        <w:rPr>
          <w:rFonts w:ascii="Narkisim" w:hAnsi="Narkisim" w:cs="Narkisim"/>
          <w:sz w:val="20"/>
          <w:szCs w:val="20"/>
        </w:rPr>
        <w:t>.</w:t>
      </w:r>
    </w:p>
    <w:p w14:paraId="4A093FD0"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משנת</w:t>
      </w:r>
      <w:r w:rsidRPr="00AF1DC8">
        <w:rPr>
          <w:rFonts w:ascii="Narkisim" w:hAnsi="Narkisim"/>
          <w:rtl/>
        </w:rPr>
        <w:t xml:space="preserve"> </w:t>
      </w:r>
      <w:r w:rsidRPr="00AF1DC8">
        <w:rPr>
          <w:rFonts w:ascii="Narkisim" w:hAnsi="Narkisim"/>
          <w:b/>
          <w:bCs/>
          <w:rtl/>
        </w:rPr>
        <w:t>ר' אהרן</w:t>
      </w:r>
      <w:r w:rsidRPr="00AF1DC8">
        <w:rPr>
          <w:rFonts w:ascii="Narkisim" w:hAnsi="Narkisim"/>
          <w:rtl/>
        </w:rPr>
        <w:t xml:space="preserve"> (וכן אוסף חידו"ת י) ביאר דכוונת התוס' דהדין יבמה גורם שהיא אסורה על כל העולם, אבל האשה הוה בת קידושין [וכשתחלוץ ויסתלק השם יבמה, וכמ”ש בתוס' בסמוך]. ולא יתכן דהאיסור יבמה יגרום איסור ממזרות ותפיסת קידושין, דא"א לתפוס החבל מב' ראשיו</w:t>
      </w:r>
      <w:r w:rsidRPr="00AF1DC8">
        <w:rPr>
          <w:rFonts w:ascii="Narkisim" w:hAnsi="Narkisim"/>
        </w:rPr>
        <w:t>.</w:t>
      </w:r>
    </w:p>
    <w:p w14:paraId="5FE1E2B5"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וה</w:t>
      </w:r>
      <w:r w:rsidRPr="00AF1DC8">
        <w:rPr>
          <w:rFonts w:ascii="Narkisim" w:hAnsi="Narkisim" w:cs="Narkisim"/>
          <w:b/>
          <w:bCs/>
          <w:rtl/>
        </w:rPr>
        <w:t xml:space="preserve">רמב"ן </w:t>
      </w:r>
      <w:r w:rsidRPr="00AF1DC8">
        <w:rPr>
          <w:rFonts w:ascii="Narkisim" w:hAnsi="Narkisim" w:cs="Narkisim"/>
          <w:rtl/>
        </w:rPr>
        <w:t>הביא דה</w:t>
      </w:r>
      <w:r w:rsidRPr="00AF1DC8">
        <w:rPr>
          <w:rFonts w:ascii="Narkisim" w:hAnsi="Narkisim" w:cs="Narkisim"/>
          <w:b/>
          <w:bCs/>
          <w:rtl/>
        </w:rPr>
        <w:t xml:space="preserve">ירושלמי </w:t>
      </w:r>
      <w:r w:rsidRPr="00AF1DC8">
        <w:rPr>
          <w:rFonts w:ascii="Narkisim" w:hAnsi="Narkisim" w:cs="Narkisim"/>
          <w:rtl/>
        </w:rPr>
        <w:t>מק'</w:t>
      </w:r>
      <w:r w:rsidRPr="00AF1DC8">
        <w:rPr>
          <w:rFonts w:ascii="Narkisim" w:hAnsi="Narkisim" w:cs="Narkisim"/>
          <w:b/>
          <w:bCs/>
          <w:rtl/>
        </w:rPr>
        <w:t xml:space="preserve"> </w:t>
      </w:r>
      <w:r w:rsidRPr="00AF1DC8">
        <w:rPr>
          <w:rFonts w:ascii="Narkisim" w:hAnsi="Narkisim" w:cs="Narkisim"/>
          <w:rtl/>
        </w:rPr>
        <w:t>הרי יבמה שזינתה [ונאסרת על היבם לרב המנונא לקמן פא.] דאסור על כל העולם. ולא פריק</w:t>
      </w:r>
      <w:r w:rsidRPr="00AF1DC8">
        <w:rPr>
          <w:rFonts w:ascii="Narkisim" w:hAnsi="Narkisim" w:cs="Narkisim"/>
        </w:rPr>
        <w:t>.</w:t>
      </w:r>
    </w:p>
    <w:p w14:paraId="77C312EA" w14:textId="77777777" w:rsidR="006074A5" w:rsidRPr="00AF1DC8" w:rsidRDefault="006074A5" w:rsidP="006074A5">
      <w:pPr>
        <w:pStyle w:val="aa"/>
        <w:bidi/>
        <w:rPr>
          <w:rFonts w:ascii="Narkisim" w:hAnsi="Narkisim"/>
        </w:rPr>
      </w:pPr>
      <w:r w:rsidRPr="00AF1DC8">
        <w:rPr>
          <w:rFonts w:ascii="Narkisim" w:hAnsi="Narkisim"/>
          <w:u w:val="single"/>
          <w:rtl/>
        </w:rPr>
        <w:t>שם. לשום אדם</w:t>
      </w:r>
      <w:r w:rsidRPr="00AF1DC8">
        <w:rPr>
          <w:rFonts w:ascii="Narkisim" w:hAnsi="Narkisim"/>
          <w:rtl/>
        </w:rPr>
        <w:t>. ה</w:t>
      </w:r>
      <w:r w:rsidRPr="00AF1DC8">
        <w:rPr>
          <w:rFonts w:ascii="Narkisim" w:hAnsi="Narkisim"/>
          <w:b/>
          <w:bCs/>
          <w:rtl/>
        </w:rPr>
        <w:t>מקנה</w:t>
      </w:r>
      <w:r w:rsidRPr="00AF1DC8">
        <w:rPr>
          <w:rFonts w:ascii="Narkisim" w:hAnsi="Narkisim"/>
          <w:rtl/>
        </w:rPr>
        <w:t xml:space="preserve"> (קידושין סח) הקשה דאף נדה אסורה לכל העולם, וא”כ אף לס”ד דלא תפסי קידושין הולד לא יהא ממזר</w:t>
      </w:r>
      <w:r w:rsidRPr="00AF1DC8">
        <w:rPr>
          <w:rFonts w:ascii="Narkisim" w:hAnsi="Narkisim"/>
        </w:rPr>
        <w:t>.</w:t>
      </w:r>
    </w:p>
    <w:p w14:paraId="11B9A10F" w14:textId="77777777" w:rsidR="006074A5" w:rsidRPr="00AF1DC8" w:rsidRDefault="006074A5" w:rsidP="006074A5">
      <w:pPr>
        <w:bidi/>
        <w:rPr>
          <w:rFonts w:ascii="Narkisim" w:hAnsi="Narkisim" w:cs="Narkisim"/>
        </w:rPr>
      </w:pPr>
      <w:r w:rsidRPr="00AF1DC8">
        <w:rPr>
          <w:rFonts w:ascii="Narkisim" w:hAnsi="Narkisim" w:cs="Narkisim"/>
          <w:u w:val="single"/>
          <w:rtl/>
        </w:rPr>
        <w:t>בא"ד וליבם נמי</w:t>
      </w:r>
      <w:r w:rsidRPr="00AF1DC8">
        <w:rPr>
          <w:rStyle w:val="ac"/>
          <w:rFonts w:ascii="Narkisim" w:hAnsi="Narkisim" w:cs="Narkisim"/>
          <w:u w:val="single"/>
          <w:rtl/>
        </w:rPr>
        <w:footnoteReference w:id="3004"/>
      </w:r>
      <w:r w:rsidRPr="00AF1DC8">
        <w:rPr>
          <w:rFonts w:ascii="Narkisim" w:hAnsi="Narkisim" w:cs="Narkisim"/>
          <w:u w:val="single"/>
        </w:rPr>
        <w:t xml:space="preserve"> </w:t>
      </w:r>
      <w:r w:rsidRPr="00AF1DC8">
        <w:rPr>
          <w:rFonts w:ascii="Narkisim" w:hAnsi="Narkisim" w:cs="Narkisim"/>
          <w:u w:val="single"/>
          <w:rtl/>
        </w:rPr>
        <w:t>לאו בת קידושין היא, אלא ביאה הוא דאית בה וכו'.</w:t>
      </w:r>
      <w:r w:rsidRPr="00AF1DC8">
        <w:rPr>
          <w:rFonts w:ascii="Narkisim" w:hAnsi="Narkisim" w:cs="Narkisim"/>
          <w:rtl/>
        </w:rPr>
        <w:t xml:space="preserve"> דלא תפסי קידושין היבם ביבמתו [וכדדרשי' קידושין יד. ולקמן נד.]. ו</w:t>
      </w:r>
      <w:r w:rsidRPr="00AF1DC8">
        <w:rPr>
          <w:rFonts w:ascii="Narkisim" w:hAnsi="Narkisim" w:cs="Narkisim"/>
          <w:b/>
          <w:bCs/>
          <w:rtl/>
        </w:rPr>
        <w:t>רש"י</w:t>
      </w:r>
      <w:r w:rsidRPr="00AF1DC8">
        <w:rPr>
          <w:rFonts w:ascii="Narkisim" w:hAnsi="Narkisim" w:cs="Narkisim"/>
          <w:rtl/>
        </w:rPr>
        <w:t xml:space="preserve"> (לקמן נב.) ביאר דאסורה [על היבם] </w:t>
      </w:r>
      <w:r w:rsidRPr="00AF1DC8">
        <w:rPr>
          <w:rFonts w:ascii="Narkisim" w:hAnsi="Narkisim" w:cs="Narkisim"/>
          <w:rtl/>
        </w:rPr>
        <w:lastRenderedPageBreak/>
        <w:t>משום ערות אשת אח, ולא התירה תורה אלא בביאה כסדר המצווה. [ויתבאר לקמן בעזה”י]</w:t>
      </w:r>
      <w:r w:rsidRPr="00AF1DC8">
        <w:rPr>
          <w:rFonts w:ascii="Narkisim" w:hAnsi="Narkisim" w:cs="Narkisim"/>
        </w:rPr>
        <w:t>.</w:t>
      </w:r>
    </w:p>
    <w:p w14:paraId="19646E47"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אבנ"מ</w:t>
      </w:r>
      <w:r w:rsidRPr="00AF1DC8">
        <w:rPr>
          <w:rFonts w:ascii="Narkisim" w:hAnsi="Narkisim"/>
          <w:rtl/>
        </w:rPr>
        <w:t xml:space="preserve"> (קעד) הביא מדברי ה</w:t>
      </w:r>
      <w:r w:rsidRPr="00AF1DC8">
        <w:rPr>
          <w:rFonts w:ascii="Narkisim" w:hAnsi="Narkisim"/>
          <w:b/>
          <w:bCs/>
          <w:rtl/>
        </w:rPr>
        <w:t>תוס'</w:t>
      </w:r>
      <w:r w:rsidRPr="00AF1DC8">
        <w:rPr>
          <w:rFonts w:ascii="Narkisim" w:hAnsi="Narkisim"/>
          <w:rtl/>
        </w:rPr>
        <w:t xml:space="preserve"> (כאן) דאף בחייבי לאו ועשה לא תפסי קידושין ביבמה. ודלא כ</w:t>
      </w:r>
      <w:r w:rsidRPr="00AF1DC8">
        <w:rPr>
          <w:rFonts w:ascii="Narkisim" w:hAnsi="Narkisim"/>
          <w:b/>
          <w:bCs/>
          <w:rtl/>
        </w:rPr>
        <w:t>מהרש"א</w:t>
      </w:r>
      <w:r w:rsidRPr="00AF1DC8">
        <w:rPr>
          <w:rFonts w:ascii="Narkisim" w:hAnsi="Narkisim"/>
          <w:rtl/>
        </w:rPr>
        <w:t xml:space="preserve"> ו</w:t>
      </w:r>
      <w:r w:rsidRPr="00AF1DC8">
        <w:rPr>
          <w:rFonts w:ascii="Narkisim" w:hAnsi="Narkisim"/>
          <w:b/>
          <w:bCs/>
          <w:rtl/>
        </w:rPr>
        <w:t>מאירי</w:t>
      </w:r>
      <w:r w:rsidRPr="00AF1DC8">
        <w:rPr>
          <w:rFonts w:ascii="Narkisim" w:hAnsi="Narkisim"/>
          <w:rtl/>
        </w:rPr>
        <w:t xml:space="preserve"> (לעיל כ:) דאף דבתורת יבום אם בעלו ל"ק, קנה בתורת קידושין בעלמא. אבל ה</w:t>
      </w:r>
      <w:r w:rsidRPr="00AF1DC8">
        <w:rPr>
          <w:rFonts w:ascii="Narkisim" w:hAnsi="Narkisim"/>
          <w:b/>
          <w:bCs/>
          <w:rtl/>
        </w:rPr>
        <w:t>אחרונים</w:t>
      </w:r>
      <w:r w:rsidRPr="00AF1DC8">
        <w:rPr>
          <w:rFonts w:ascii="Narkisim" w:hAnsi="Narkisim"/>
          <w:rtl/>
        </w:rPr>
        <w:t xml:space="preserve"> דחו דבכל יבמה גלי קרא דלא קנה בתורת קידושין, כיון דיש מצוות יבום. וכדמבואר בכ"מ דמאמר הוה מדרבנן. ודוקא חייבי לאו ועשה דאין מצוות יבום, מש”ה ס”ל דקני ביבום. [ולפ"ז אין ראיה מדברי התוס']</w:t>
      </w:r>
      <w:r w:rsidRPr="00AF1DC8">
        <w:rPr>
          <w:rFonts w:ascii="Narkisim" w:hAnsi="Narkisim"/>
        </w:rPr>
        <w:t>.</w:t>
      </w:r>
    </w:p>
    <w:p w14:paraId="3CE76B9D" w14:textId="77777777" w:rsidR="006074A5" w:rsidRPr="00AF1DC8" w:rsidRDefault="006074A5" w:rsidP="006074A5">
      <w:pPr>
        <w:bidi/>
        <w:rPr>
          <w:rFonts w:ascii="Narkisim" w:hAnsi="Narkisim" w:cs="Narkisim"/>
        </w:rPr>
      </w:pPr>
      <w:r w:rsidRPr="00AF1DC8">
        <w:rPr>
          <w:rFonts w:ascii="Narkisim" w:hAnsi="Narkisim" w:cs="Narkisim"/>
          <w:u w:val="single"/>
          <w:rtl/>
        </w:rPr>
        <w:t>בא"ד כיון דיבמה עומדת לחלוץ כמו לייבם חשיבא בת תפיסת קידושין.</w:t>
      </w:r>
      <w:r w:rsidRPr="00AF1DC8">
        <w:rPr>
          <w:rFonts w:ascii="Narkisim" w:hAnsi="Narkisim" w:cs="Narkisim"/>
          <w:rtl/>
        </w:rPr>
        <w:t xml:space="preserve"> ה</w:t>
      </w:r>
      <w:r w:rsidRPr="00AF1DC8">
        <w:rPr>
          <w:rFonts w:ascii="Narkisim" w:hAnsi="Narkisim" w:cs="Narkisim"/>
          <w:b/>
          <w:bCs/>
          <w:rtl/>
        </w:rPr>
        <w:t>קר"א</w:t>
      </w:r>
      <w:r w:rsidRPr="00AF1DC8">
        <w:rPr>
          <w:rFonts w:ascii="Narkisim" w:hAnsi="Narkisim" w:cs="Narkisim"/>
          <w:rtl/>
        </w:rPr>
        <w:t xml:space="preserve"> הק' דא"כ נימא סברא זו אף לר"ע, דתוס' הביאו דלמ"ד דר"ע לא בעי שאר הוה ממזר מיבמה. </w:t>
      </w:r>
      <w:r w:rsidRPr="00AF1DC8">
        <w:rPr>
          <w:rFonts w:ascii="Narkisim" w:hAnsi="Narkisim" w:cs="Narkisim"/>
          <w:sz w:val="20"/>
          <w:szCs w:val="20"/>
          <w:rtl/>
        </w:rPr>
        <w:t>וה</w:t>
      </w:r>
      <w:r w:rsidRPr="00AF1DC8">
        <w:rPr>
          <w:rFonts w:ascii="Narkisim" w:hAnsi="Narkisim" w:cs="Narkisim"/>
          <w:b/>
          <w:bCs/>
          <w:sz w:val="20"/>
          <w:szCs w:val="20"/>
          <w:rtl/>
        </w:rPr>
        <w:t>חזו"א</w:t>
      </w:r>
      <w:r w:rsidRPr="00AF1DC8">
        <w:rPr>
          <w:rFonts w:ascii="Narkisim" w:hAnsi="Narkisim" w:cs="Narkisim"/>
          <w:sz w:val="20"/>
          <w:szCs w:val="20"/>
          <w:rtl/>
        </w:rPr>
        <w:t xml:space="preserve"> תי' דסברא זו הוה משום דלא דמי לאשת אב, אבל למ"ד דר”ע רבי כל חייבי לאוין, אף יבמה בכלל</w:t>
      </w:r>
      <w:r w:rsidRPr="00AF1DC8">
        <w:rPr>
          <w:rFonts w:ascii="Narkisim" w:hAnsi="Narkisim" w:cs="Narkisim"/>
          <w:sz w:val="20"/>
          <w:szCs w:val="20"/>
        </w:rPr>
        <w:t>.</w:t>
      </w:r>
    </w:p>
    <w:p w14:paraId="15184D5D" w14:textId="77777777" w:rsidR="006074A5" w:rsidRPr="00AF1DC8" w:rsidRDefault="006074A5" w:rsidP="006074A5">
      <w:pPr>
        <w:bidi/>
        <w:rPr>
          <w:rFonts w:ascii="Narkisim" w:hAnsi="Narkisim" w:cs="Narkisim"/>
        </w:rPr>
      </w:pPr>
      <w:r w:rsidRPr="00AF1DC8">
        <w:rPr>
          <w:rFonts w:ascii="Narkisim" w:hAnsi="Narkisim" w:cs="Narkisim"/>
          <w:u w:val="single"/>
          <w:rtl/>
        </w:rPr>
        <w:t>נדה דהא תפסי בה קידושין וכו'</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(בע"א) דאף דהוה בכרת, אין הולד ממזר. ואפ"ה לענין תפיסת קידושין וממזרות לא נחשב ממזר</w:t>
      </w:r>
      <w:r w:rsidRPr="00AF1DC8">
        <w:rPr>
          <w:rFonts w:ascii="Narkisim" w:hAnsi="Narkisim" w:cs="Narkisim"/>
        </w:rPr>
        <w:t>.</w:t>
      </w:r>
    </w:p>
    <w:p w14:paraId="605CAEC4"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יח א) כת' דהבא על כל האיסורין השווין בכל פוסלה בביאתה, חוץ מהנדה, שהרי אינה אסורה לינשא לו</w:t>
      </w:r>
      <w:r w:rsidRPr="00AF1DC8">
        <w:rPr>
          <w:rStyle w:val="ac"/>
          <w:rFonts w:ascii="Narkisim" w:hAnsi="Narkisim"/>
          <w:rtl/>
        </w:rPr>
        <w:footnoteReference w:id="3005"/>
      </w:r>
      <w:r w:rsidRPr="00AF1DC8">
        <w:rPr>
          <w:rFonts w:ascii="Narkisim" w:hAnsi="Narkisim"/>
        </w:rPr>
        <w:t xml:space="preserve">. </w:t>
      </w:r>
      <w:r w:rsidRPr="00AF1DC8">
        <w:rPr>
          <w:rFonts w:ascii="Narkisim" w:hAnsi="Narkisim"/>
          <w:rtl/>
        </w:rPr>
        <w:t>ובפשוטו כוונתו דנדה שאני מכל העריות, כיון דיש לה היתר לאחר זמן. אך ברמב"ם משמע דיש חילוק בעודה נדה, דבשאר עריות יש איסור לינשא</w:t>
      </w:r>
      <w:r w:rsidRPr="00AF1DC8">
        <w:rPr>
          <w:rStyle w:val="ac"/>
          <w:rFonts w:ascii="Narkisim" w:hAnsi="Narkisim"/>
          <w:rtl/>
        </w:rPr>
        <w:footnoteReference w:id="3006"/>
      </w:r>
      <w:r w:rsidRPr="00AF1DC8">
        <w:rPr>
          <w:rFonts w:ascii="Narkisim" w:hAnsi="Narkisim"/>
        </w:rPr>
        <w:t xml:space="preserve">. </w:t>
      </w:r>
      <w:r w:rsidRPr="00AF1DC8">
        <w:rPr>
          <w:rFonts w:ascii="Narkisim" w:hAnsi="Narkisim"/>
          <w:rtl/>
        </w:rPr>
        <w:t>וה</w:t>
      </w:r>
      <w:r w:rsidRPr="00AF1DC8">
        <w:rPr>
          <w:rFonts w:ascii="Narkisim" w:hAnsi="Narkisim"/>
          <w:b/>
          <w:bCs/>
          <w:rtl/>
        </w:rPr>
        <w:t>גרי"ז</w:t>
      </w:r>
      <w:r w:rsidRPr="00AF1DC8">
        <w:rPr>
          <w:rFonts w:ascii="Narkisim" w:hAnsi="Narkisim"/>
          <w:rtl/>
        </w:rPr>
        <w:t xml:space="preserve"> (בסוה"ס עמ' פב:) כת' דאפשר דנדה שאני משאר עריות, דאין איסורה שייך כלל לליקוחין ונישואין. והוה איסור רק על מעשה הביאה. ומש"ה לא נעשית זונה דאינה בכלל אשה האסורה לינשא. [ועד"ז ביאר הנידון בתוס' לעיל ב. האם אמרי' אם בעלו קנו]</w:t>
      </w:r>
      <w:r w:rsidRPr="00AF1DC8">
        <w:rPr>
          <w:rFonts w:ascii="Narkisim" w:hAnsi="Narkisim"/>
        </w:rPr>
        <w:t>.</w:t>
      </w:r>
    </w:p>
    <w:p w14:paraId="5EA98811" w14:textId="77777777" w:rsidR="006074A5" w:rsidRPr="00AF1DC8" w:rsidRDefault="006074A5" w:rsidP="006074A5">
      <w:pPr>
        <w:pStyle w:val="aa"/>
        <w:bidi/>
        <w:rPr>
          <w:rFonts w:ascii="Narkisim" w:hAnsi="Narkisim"/>
        </w:rPr>
      </w:pPr>
      <w:r w:rsidRPr="00AF1DC8">
        <w:rPr>
          <w:rFonts w:ascii="Narkisim" w:hAnsi="Narkisim"/>
          <w:u w:val="single"/>
          <w:rtl/>
        </w:rPr>
        <w:t>נדה דהא תפסי בה קידושין, שנאמר וכו' ואפי' בשעת נדתה וכו'</w:t>
      </w:r>
      <w:r w:rsidRPr="00AF1DC8">
        <w:rPr>
          <w:rFonts w:ascii="Narkisim" w:hAnsi="Narkisim"/>
          <w:rtl/>
        </w:rPr>
        <w:t xml:space="preserve">. ויש שדייקו מדברי </w:t>
      </w:r>
      <w:r w:rsidRPr="00AF1DC8">
        <w:rPr>
          <w:rFonts w:ascii="Narkisim" w:hAnsi="Narkisim"/>
          <w:b/>
          <w:bCs/>
          <w:rtl/>
        </w:rPr>
        <w:t>רש"י</w:t>
      </w:r>
      <w:r w:rsidRPr="00AF1DC8">
        <w:rPr>
          <w:rFonts w:ascii="Narkisim" w:hAnsi="Narkisim"/>
          <w:rtl/>
        </w:rPr>
        <w:t xml:space="preserve"> (קידושין סח.) דאף לענין ממזר הנידון כשבא על פנויה בימי נדותה</w:t>
      </w:r>
      <w:r w:rsidRPr="00AF1DC8">
        <w:rPr>
          <w:rStyle w:val="ac"/>
          <w:rFonts w:ascii="Narkisim" w:hAnsi="Narkisim"/>
          <w:rtl/>
        </w:rPr>
        <w:footnoteReference w:id="3007"/>
      </w:r>
      <w:r w:rsidRPr="00AF1DC8">
        <w:rPr>
          <w:rFonts w:ascii="Narkisim" w:hAnsi="Narkisim"/>
        </w:rPr>
        <w:t xml:space="preserve"> </w:t>
      </w:r>
      <w:r w:rsidRPr="00AF1DC8">
        <w:rPr>
          <w:rFonts w:ascii="Narkisim" w:hAnsi="Narkisim"/>
          <w:rtl/>
        </w:rPr>
        <w:t>[אבל אשתו נדה ליכא ס"ד דהוה ממזר]</w:t>
      </w:r>
      <w:r w:rsidRPr="00AF1DC8">
        <w:rPr>
          <w:rFonts w:ascii="Narkisim" w:hAnsi="Narkisim"/>
        </w:rPr>
        <w:t>.</w:t>
      </w:r>
    </w:p>
    <w:p w14:paraId="28D5DF7A" w14:textId="77777777" w:rsidR="006074A5" w:rsidRPr="00AF1DC8" w:rsidRDefault="006074A5" w:rsidP="006074A5">
      <w:pPr>
        <w:bidi/>
        <w:rPr>
          <w:rFonts w:ascii="Narkisim" w:hAnsi="Narkisim" w:cs="Narkisim"/>
        </w:rPr>
      </w:pPr>
      <w:r w:rsidRPr="00AF1DC8">
        <w:rPr>
          <w:rFonts w:ascii="Narkisim" w:hAnsi="Narkisim" w:cs="Narkisim"/>
          <w:u w:val="single"/>
          <w:rtl/>
        </w:rPr>
        <w:t>סוטה נמי דהא תפסי בה קידושין.</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דאף לאחר שזינתה לא פקעו מינה קידושיה הראשונים. (וכ"כ ה</w:t>
      </w:r>
      <w:r w:rsidRPr="00AF1DC8">
        <w:rPr>
          <w:rFonts w:ascii="Narkisim" w:hAnsi="Narkisim" w:cs="Narkisim"/>
          <w:b/>
          <w:bCs/>
          <w:rtl/>
        </w:rPr>
        <w:t>ריטב"א</w:t>
      </w:r>
      <w:r w:rsidRPr="00AF1DC8">
        <w:rPr>
          <w:rFonts w:ascii="Narkisim" w:hAnsi="Narkisim" w:cs="Narkisim"/>
          <w:rtl/>
        </w:rPr>
        <w:t>). ו</w:t>
      </w:r>
      <w:r w:rsidRPr="00AF1DC8">
        <w:rPr>
          <w:rFonts w:ascii="Narkisim" w:hAnsi="Narkisim" w:cs="Narkisim"/>
          <w:b/>
          <w:bCs/>
          <w:rtl/>
        </w:rPr>
        <w:t>תוס</w:t>
      </w:r>
      <w:r w:rsidRPr="00AF1DC8">
        <w:rPr>
          <w:rFonts w:ascii="Narkisim" w:hAnsi="Narkisim" w:cs="Narkisim"/>
          <w:rtl/>
        </w:rPr>
        <w:t>' חלקו דאף דלא פקעי קידושין, מ"מ צריך קרא דהיכא דקידשה אח"כ תפסי קידושין. ו</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(קידושין סח.</w:t>
      </w:r>
      <w:r w:rsidRPr="00AF1DC8">
        <w:rPr>
          <w:rFonts w:ascii="Narkisim" w:hAnsi="Narkisim" w:cs="Narkisim"/>
          <w:rtl/>
        </w:rPr>
        <w:t>) העמידו את דברי רש"י באופ"א [הו' בסמוך]</w:t>
      </w:r>
      <w:r w:rsidRPr="00AF1DC8">
        <w:rPr>
          <w:rFonts w:ascii="Narkisim" w:hAnsi="Narkisim" w:cs="Narkisim"/>
        </w:rPr>
        <w:t>.</w:t>
      </w:r>
    </w:p>
    <w:p w14:paraId="2FEB02FE" w14:textId="77777777" w:rsidR="006074A5" w:rsidRPr="00AF1DC8" w:rsidRDefault="006074A5" w:rsidP="006074A5">
      <w:pPr>
        <w:bidi/>
        <w:rPr>
          <w:rFonts w:ascii="Narkisim" w:hAnsi="Narkisim" w:cs="Narkisim"/>
        </w:rPr>
      </w:pPr>
      <w:r w:rsidRPr="00AF1DC8">
        <w:rPr>
          <w:rFonts w:ascii="Narkisim" w:hAnsi="Narkisim" w:cs="Narkisim"/>
          <w:rtl/>
        </w:rPr>
        <w:t>ותוס' הוכיחו מנדה, דליכא ס"ד דפקע הקידושין. ואפ”ה ס”ד דל"מ לקדש פנויה נדה. וכה"ק ה</w:t>
      </w:r>
      <w:r w:rsidRPr="00AF1DC8">
        <w:rPr>
          <w:rFonts w:ascii="Narkisim" w:hAnsi="Narkisim" w:cs="Narkisim"/>
          <w:b/>
          <w:bCs/>
          <w:rtl/>
        </w:rPr>
        <w:t>רמב"ן</w:t>
      </w:r>
      <w:r w:rsidRPr="00AF1DC8">
        <w:rPr>
          <w:rFonts w:ascii="Narkisim" w:hAnsi="Narkisim" w:cs="Narkisim"/>
          <w:rtl/>
        </w:rPr>
        <w:t>, וכת' וכ"ת כיון דלא פקעי קידושין ראשונים, ילפי' דאף קידושי בתראי תפסי. והק' א"כ בנדה נימא הכי. (וע' בסמוך)</w:t>
      </w:r>
      <w:r w:rsidRPr="00AF1DC8">
        <w:rPr>
          <w:rFonts w:ascii="Narkisim" w:hAnsi="Narkisim" w:cs="Narkisim"/>
        </w:rPr>
        <w:t>.</w:t>
      </w:r>
    </w:p>
    <w:p w14:paraId="65DEA289" w14:textId="77777777" w:rsidR="006074A5" w:rsidRPr="00AF1DC8" w:rsidRDefault="006074A5" w:rsidP="006074A5">
      <w:pPr>
        <w:pStyle w:val="a7"/>
        <w:bidi/>
        <w:rPr>
          <w:rFonts w:ascii="Narkisim" w:hAnsi="Narkisim"/>
        </w:rPr>
      </w:pPr>
      <w:r w:rsidRPr="00AF1DC8">
        <w:rPr>
          <w:rFonts w:ascii="Narkisim" w:hAnsi="Narkisim"/>
          <w:rtl/>
        </w:rPr>
        <w:t>וה</w:t>
      </w:r>
      <w:r w:rsidRPr="00AF1DC8">
        <w:rPr>
          <w:rFonts w:ascii="Narkisim" w:hAnsi="Narkisim"/>
          <w:b/>
          <w:bCs/>
          <w:rtl/>
        </w:rPr>
        <w:t xml:space="preserve">רמב"ן </w:t>
      </w:r>
      <w:r w:rsidRPr="00AF1DC8">
        <w:rPr>
          <w:rFonts w:ascii="Narkisim" w:hAnsi="Narkisim"/>
          <w:rtl/>
        </w:rPr>
        <w:t>תי' דנדה הוה שינוי החוזר לברייתו, ואם אתה אומר פקעי לא הנחת בת לאברהם אבינו שיושבת תחת בעלה. אבל עכשיו [בעודה נדה] כיון דהוה חייבי כריתות, הוה קידושין שאין מסורין לביאה</w:t>
      </w:r>
      <w:r w:rsidRPr="00AF1DC8">
        <w:rPr>
          <w:rFonts w:ascii="Narkisim" w:hAnsi="Narkisim"/>
        </w:rPr>
        <w:t>.</w:t>
      </w:r>
    </w:p>
    <w:p w14:paraId="290E60ED" w14:textId="77777777" w:rsidR="006074A5" w:rsidRPr="00AF1DC8" w:rsidRDefault="006074A5" w:rsidP="006074A5">
      <w:pPr>
        <w:pStyle w:val="a8"/>
        <w:bidi/>
        <w:rPr>
          <w:rFonts w:ascii="Narkisim" w:hAnsi="Narkisim"/>
        </w:rPr>
      </w:pPr>
      <w:r w:rsidRPr="00AF1DC8">
        <w:rPr>
          <w:rFonts w:ascii="Narkisim" w:hAnsi="Narkisim"/>
          <w:rtl/>
        </w:rPr>
        <w:t xml:space="preserve">ויש </w:t>
      </w:r>
      <w:r w:rsidRPr="00AF1DC8">
        <w:rPr>
          <w:rFonts w:ascii="Narkisim" w:hAnsi="Narkisim"/>
          <w:b/>
          <w:bCs/>
          <w:rtl/>
        </w:rPr>
        <w:t>אחרונים</w:t>
      </w:r>
      <w:r w:rsidRPr="00AF1DC8">
        <w:rPr>
          <w:rFonts w:ascii="Narkisim" w:hAnsi="Narkisim"/>
          <w:rtl/>
        </w:rPr>
        <w:t xml:space="preserve"> שדייקו דברי הרמב"ן דהא דקידושין לא תפסי בחייבי כריתות הוה משום קידושין שאינן מסורין לביאה מחמת איסור כרת</w:t>
      </w:r>
      <w:r w:rsidRPr="00AF1DC8">
        <w:rPr>
          <w:rStyle w:val="ac"/>
          <w:rFonts w:ascii="Narkisim" w:hAnsi="Narkisim"/>
          <w:rtl/>
        </w:rPr>
        <w:footnoteReference w:id="3008"/>
      </w:r>
      <w:r w:rsidRPr="00AF1DC8">
        <w:rPr>
          <w:rFonts w:ascii="Narkisim" w:hAnsi="Narkisim"/>
        </w:rPr>
        <w:t xml:space="preserve"> </w:t>
      </w:r>
      <w:r w:rsidRPr="00AF1DC8">
        <w:rPr>
          <w:rFonts w:ascii="Narkisim" w:hAnsi="Narkisim"/>
          <w:rtl/>
        </w:rPr>
        <w:t>[ודלא כיסוד האחרונים דהוה משום ה'שם ערוה']</w:t>
      </w:r>
      <w:r w:rsidRPr="00AF1DC8">
        <w:rPr>
          <w:rFonts w:ascii="Narkisim" w:hAnsi="Narkisim"/>
        </w:rPr>
        <w:t>.</w:t>
      </w:r>
    </w:p>
    <w:p w14:paraId="27A920F1" w14:textId="77777777" w:rsidR="006074A5" w:rsidRPr="00AF1DC8" w:rsidRDefault="006074A5" w:rsidP="006074A5">
      <w:pPr>
        <w:bidi/>
        <w:rPr>
          <w:rFonts w:ascii="Narkisim" w:hAnsi="Narkisim" w:cs="Narkisim"/>
        </w:rPr>
      </w:pP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szCs w:val="20"/>
          <w:rtl/>
        </w:rPr>
        <w:t>(אבנ"מ יח ועוד, ע' קה"י לז)</w:t>
      </w:r>
      <w:r w:rsidRPr="00AF1DC8">
        <w:rPr>
          <w:rFonts w:ascii="Narkisim" w:hAnsi="Narkisim" w:cs="Narkisim"/>
          <w:rtl/>
        </w:rPr>
        <w:t xml:space="preserve"> העמידו דנח' רש"י ותוס' היכא דנעשית ערוה לאחר שמקודשת, דדעת רש"י דפקעו הקידושין</w:t>
      </w:r>
      <w:r w:rsidRPr="00AF1DC8">
        <w:rPr>
          <w:rStyle w:val="ac"/>
          <w:rFonts w:ascii="Narkisim" w:hAnsi="Narkisim" w:cs="Narkisim"/>
          <w:rtl/>
        </w:rPr>
        <w:footnoteReference w:id="3009"/>
      </w:r>
      <w:r w:rsidRPr="00AF1DC8">
        <w:rPr>
          <w:rFonts w:ascii="Narkisim" w:hAnsi="Narkisim" w:cs="Narkisim"/>
        </w:rPr>
        <w:t xml:space="preserve"> </w:t>
      </w:r>
      <w:r w:rsidRPr="00AF1DC8">
        <w:rPr>
          <w:rFonts w:ascii="Narkisim" w:hAnsi="Narkisim" w:cs="Narkisim"/>
          <w:rtl/>
        </w:rPr>
        <w:t>[כיון דמכאן ולהבא אינה ראויה לקידושין</w:t>
      </w:r>
      <w:r w:rsidRPr="00AF1DC8">
        <w:rPr>
          <w:rStyle w:val="ac"/>
          <w:rFonts w:ascii="Narkisim" w:hAnsi="Narkisim" w:cs="Narkisim"/>
          <w:rtl/>
        </w:rPr>
        <w:footnoteReference w:id="3010"/>
      </w:r>
      <w:r w:rsidRPr="00AF1DC8">
        <w:rPr>
          <w:rFonts w:ascii="Narkisim" w:hAnsi="Narkisim" w:cs="Narkisim"/>
          <w:rtl/>
        </w:rPr>
        <w:t>]. ודעת תוס' דלא פקעי הקידושין</w:t>
      </w:r>
      <w:r w:rsidRPr="00AF1DC8">
        <w:rPr>
          <w:rStyle w:val="ac"/>
          <w:rFonts w:ascii="Narkisim" w:hAnsi="Narkisim" w:cs="Narkisim"/>
          <w:rtl/>
        </w:rPr>
        <w:footnoteReference w:id="3011"/>
      </w:r>
      <w:r w:rsidRPr="00AF1DC8">
        <w:rPr>
          <w:rFonts w:ascii="Narkisim" w:hAnsi="Narkisim" w:cs="Narkisim"/>
        </w:rPr>
        <w:t xml:space="preserve">, </w:t>
      </w:r>
      <w:r w:rsidRPr="00AF1DC8">
        <w:rPr>
          <w:rFonts w:ascii="Narkisim" w:hAnsi="Narkisim" w:cs="Narkisim"/>
          <w:rtl/>
        </w:rPr>
        <w:t>ורק בתחילת הקידושין לא תפסי קידושין בעריות</w:t>
      </w:r>
      <w:r w:rsidRPr="00AF1DC8">
        <w:rPr>
          <w:rStyle w:val="ac"/>
          <w:rFonts w:ascii="Narkisim" w:hAnsi="Narkisim" w:cs="Narkisim"/>
          <w:rtl/>
        </w:rPr>
        <w:footnoteReference w:id="3012"/>
      </w:r>
      <w:r w:rsidRPr="00AF1DC8">
        <w:rPr>
          <w:rFonts w:ascii="Narkisim" w:hAnsi="Narkisim" w:cs="Narkisim"/>
        </w:rPr>
        <w:t>.</w:t>
      </w:r>
    </w:p>
    <w:p w14:paraId="1E6183E9" w14:textId="77777777" w:rsidR="006074A5" w:rsidRPr="00AF1DC8" w:rsidRDefault="006074A5" w:rsidP="006074A5">
      <w:pPr>
        <w:pStyle w:val="a8"/>
        <w:bidi/>
        <w:rPr>
          <w:rFonts w:ascii="Narkisim" w:hAnsi="Narkisim"/>
        </w:rPr>
      </w:pPr>
      <w:r w:rsidRPr="00AF1DC8">
        <w:rPr>
          <w:rFonts w:ascii="Narkisim" w:hAnsi="Narkisim"/>
          <w:rtl/>
        </w:rPr>
        <w:lastRenderedPageBreak/>
        <w:t>אך י"ל דאף לדעת תוס' כשנעשית ערוה ראוי להפקע הקידושין, אלא דגלי קרא גבי סוטה ונדה דלא פקע. ותוס' כת' דאף שיש גילוי דלא פקע הקידושין, אי אפשר ללמוד מהתם דתפסי בה קידושין</w:t>
      </w:r>
      <w:r w:rsidRPr="00AF1DC8">
        <w:rPr>
          <w:rFonts w:ascii="Narkisim" w:hAnsi="Narkisim"/>
        </w:rPr>
        <w:t>.</w:t>
      </w:r>
    </w:p>
    <w:p w14:paraId="1E0E4AA1" w14:textId="77777777" w:rsidR="006074A5" w:rsidRPr="00AF1DC8" w:rsidRDefault="006074A5" w:rsidP="006074A5">
      <w:pPr>
        <w:bidi/>
        <w:rPr>
          <w:rFonts w:ascii="Narkisim" w:hAnsi="Narkisim" w:cs="Narkisim"/>
        </w:rPr>
      </w:pPr>
      <w:r w:rsidRPr="00AF1DC8">
        <w:rPr>
          <w:rFonts w:ascii="Narkisim" w:hAnsi="Narkisim" w:cs="Narkisim"/>
          <w:rtl/>
        </w:rPr>
        <w:t>ו</w:t>
      </w:r>
      <w:r w:rsidRPr="00AF1DC8">
        <w:rPr>
          <w:rFonts w:ascii="Narkisim" w:hAnsi="Narkisim" w:cs="Narkisim"/>
          <w:b/>
          <w:bCs/>
          <w:rtl/>
        </w:rPr>
        <w:t>רע"א</w:t>
      </w:r>
      <w:r w:rsidRPr="00AF1DC8">
        <w:rPr>
          <w:rFonts w:ascii="Narkisim" w:hAnsi="Narkisim" w:cs="Narkisim"/>
          <w:rtl/>
        </w:rPr>
        <w:t xml:space="preserve"> תמה דמבואר (לקמן עט:) דלדעת ר"ע לא תפסי קידושין בפצוע דכא, ואפ"ה כשנעשה אח"כ פצוע דכא לא פקע הקידושין לדעת רש”י. וצ"ע. ורע"א הוכיח דאף לדעת רש"י לא פקע הקידושין כשנעשית ערוה, וכוונתו כמ"ש תוס' קידושין (הו' בסמוך). אך הראשונים בסוגיין נקטו בדעת רש"י דפקע הקידושין. [וכן הסכים הרמב"ן]</w:t>
      </w:r>
      <w:r w:rsidRPr="00AF1DC8">
        <w:rPr>
          <w:rFonts w:ascii="Narkisim" w:hAnsi="Narkisim" w:cs="Narkisim"/>
        </w:rPr>
        <w:t>.</w:t>
      </w:r>
    </w:p>
    <w:p w14:paraId="2551B2D2" w14:textId="77777777" w:rsidR="006074A5" w:rsidRPr="00AF1DC8" w:rsidRDefault="006074A5" w:rsidP="006074A5">
      <w:pPr>
        <w:pStyle w:val="a8"/>
        <w:bidi/>
        <w:rPr>
          <w:rFonts w:ascii="Narkisim" w:hAnsi="Narkisim"/>
        </w:rPr>
      </w:pPr>
      <w:r w:rsidRPr="00AF1DC8">
        <w:rPr>
          <w:rFonts w:ascii="Narkisim" w:hAnsi="Narkisim"/>
          <w:rtl/>
        </w:rPr>
        <w:t>ויש שחילקו דשאני פצוע דכא, דלא נחשב ערוה</w:t>
      </w:r>
      <w:r w:rsidRPr="00AF1DC8">
        <w:rPr>
          <w:rStyle w:val="ac"/>
          <w:rFonts w:ascii="Narkisim" w:hAnsi="Narkisim"/>
          <w:rtl/>
        </w:rPr>
        <w:footnoteReference w:id="3013"/>
      </w:r>
      <w:r w:rsidRPr="00AF1DC8">
        <w:rPr>
          <w:rFonts w:ascii="Narkisim" w:hAnsi="Narkisim"/>
        </w:rPr>
        <w:t xml:space="preserve">. </w:t>
      </w:r>
      <w:r w:rsidRPr="00AF1DC8">
        <w:rPr>
          <w:rFonts w:ascii="Narkisim" w:hAnsi="Narkisim"/>
          <w:rtl/>
        </w:rPr>
        <w:t>אך צ"ע דכיון דלדעת ר"ע פצוע דכא הוה כשאר חייבי לאוין, ודינם כעריות דלא תפסי קידושין. א"כ מנ”ל דלענין הפקעת הקידושין שאני. וה</w:t>
      </w:r>
      <w:r w:rsidRPr="00AF1DC8">
        <w:rPr>
          <w:rFonts w:ascii="Narkisim" w:hAnsi="Narkisim"/>
          <w:b/>
          <w:bCs/>
          <w:rtl/>
        </w:rPr>
        <w:t>עונג יו"ט</w:t>
      </w:r>
      <w:r w:rsidRPr="00AF1DC8">
        <w:rPr>
          <w:rFonts w:ascii="Narkisim" w:hAnsi="Narkisim"/>
          <w:rtl/>
        </w:rPr>
        <w:t xml:space="preserve"> (קמב בהג') תי' דפצוע דכא הוה חסרון באיש, וכיון דחלו קידושין לא פקעי. ודוקא היכא דהשינוי בגוף האשה, אמרי' דמעכשיו אינה ראויה</w:t>
      </w:r>
      <w:r w:rsidRPr="00AF1DC8">
        <w:rPr>
          <w:rStyle w:val="ac"/>
          <w:rFonts w:ascii="Narkisim" w:hAnsi="Narkisim"/>
          <w:rtl/>
        </w:rPr>
        <w:footnoteReference w:id="3014"/>
      </w:r>
      <w:r w:rsidRPr="00AF1DC8">
        <w:rPr>
          <w:rFonts w:ascii="Narkisim" w:hAnsi="Narkisim"/>
        </w:rPr>
        <w:t>.</w:t>
      </w:r>
    </w:p>
    <w:p w14:paraId="4A45DBD5"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אחיעזר</w:t>
      </w:r>
      <w:r w:rsidRPr="00AF1DC8">
        <w:rPr>
          <w:rFonts w:ascii="Narkisim" w:hAnsi="Narkisim"/>
          <w:rtl/>
        </w:rPr>
        <w:t xml:space="preserve"> (א כט ט) תי' דבכל חייבי לאוין אינו ראוי שיפקע הקידושין, דרש"י קאי דוקא בעריות שבאין מחמת אישות. וכן איסור סוטה דהוה גדר פגם באישות</w:t>
      </w:r>
      <w:r w:rsidRPr="00AF1DC8">
        <w:rPr>
          <w:rFonts w:ascii="Narkisim" w:hAnsi="Narkisim"/>
        </w:rPr>
        <w:t>.</w:t>
      </w:r>
    </w:p>
    <w:p w14:paraId="750F6766" w14:textId="77777777" w:rsidR="006074A5" w:rsidRPr="00AF1DC8" w:rsidRDefault="006074A5" w:rsidP="006074A5">
      <w:pPr>
        <w:pStyle w:val="aa"/>
        <w:bidi/>
        <w:rPr>
          <w:rFonts w:ascii="Narkisim" w:hAnsi="Narkisim"/>
        </w:rPr>
      </w:pPr>
      <w:r w:rsidRPr="00AF1DC8">
        <w:rPr>
          <w:rFonts w:ascii="Narkisim" w:hAnsi="Narkisim"/>
          <w:rtl/>
        </w:rPr>
        <w:t>ועוד הקשו ה</w:t>
      </w:r>
      <w:r w:rsidRPr="00AF1DC8">
        <w:rPr>
          <w:rFonts w:ascii="Narkisim" w:hAnsi="Narkisim"/>
          <w:b/>
          <w:bCs/>
          <w:rtl/>
        </w:rPr>
        <w:t>אחרונים</w:t>
      </w:r>
      <w:r w:rsidRPr="00AF1DC8">
        <w:rPr>
          <w:rFonts w:ascii="Narkisim" w:hAnsi="Narkisim"/>
          <w:rtl/>
        </w:rPr>
        <w:t xml:space="preserve"> (ישרש יעקב לעיל ט) דמבואר (גיטין פב:) לחד מ"ד דמהני לקדש חוץ משמעון, ובא שמעון וקידש. דאהני קידושין דשמעון לאוסרה אראובן, ואפ"ה לא פקע קידושין דראובן</w:t>
      </w:r>
      <w:r w:rsidRPr="00AF1DC8">
        <w:rPr>
          <w:rFonts w:ascii="Narkisim" w:hAnsi="Narkisim"/>
        </w:rPr>
        <w:t>.</w:t>
      </w:r>
    </w:p>
    <w:p w14:paraId="6AFE98E8" w14:textId="77777777" w:rsidR="006074A5" w:rsidRPr="00AF1DC8" w:rsidRDefault="006074A5" w:rsidP="006074A5">
      <w:pPr>
        <w:pStyle w:val="a8"/>
        <w:bidi/>
        <w:rPr>
          <w:rFonts w:ascii="Narkisim" w:hAnsi="Narkisim"/>
        </w:rPr>
      </w:pPr>
      <w:r w:rsidRPr="00AF1DC8">
        <w:rPr>
          <w:rFonts w:ascii="Narkisim" w:hAnsi="Narkisim"/>
          <w:rtl/>
        </w:rPr>
        <w:t>וכן המקדש מעכשיו לאחר ל' לדעת ר' יוחנן דקידושין ק' תופסים כשרגא דליבני (קידושין ס.), דרווחא שבק. ואף דלאחר ל' הושלם קידושי ראשון, ולא אמרי' דפקעי קידושי שני, משום דהוה ערוה עליו</w:t>
      </w:r>
      <w:r w:rsidRPr="00AF1DC8">
        <w:rPr>
          <w:rFonts w:ascii="Narkisim" w:hAnsi="Narkisim"/>
        </w:rPr>
        <w:t>.</w:t>
      </w:r>
    </w:p>
    <w:p w14:paraId="443CE901"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(ד ז) תי' דאיסור אשת איש יש תקנה בגט ומש"ה אינו מפקיע את הקידושין</w:t>
      </w:r>
      <w:r w:rsidRPr="00AF1DC8">
        <w:rPr>
          <w:rStyle w:val="ac"/>
          <w:rFonts w:ascii="Narkisim" w:hAnsi="Narkisim"/>
          <w:rtl/>
        </w:rPr>
        <w:footnoteReference w:id="3015"/>
      </w:r>
      <w:r w:rsidRPr="00AF1DC8">
        <w:rPr>
          <w:rFonts w:ascii="Narkisim" w:hAnsi="Narkisim"/>
        </w:rPr>
        <w:t xml:space="preserve">. </w:t>
      </w:r>
      <w:r w:rsidRPr="00AF1DC8">
        <w:rPr>
          <w:rFonts w:ascii="Narkisim" w:hAnsi="Narkisim"/>
          <w:rtl/>
        </w:rPr>
        <w:t>וה</w:t>
      </w:r>
      <w:r w:rsidRPr="00AF1DC8">
        <w:rPr>
          <w:rFonts w:ascii="Narkisim" w:hAnsi="Narkisim"/>
          <w:b/>
          <w:bCs/>
          <w:rtl/>
        </w:rPr>
        <w:t xml:space="preserve">קה"י </w:t>
      </w:r>
      <w:r w:rsidRPr="00AF1DC8">
        <w:rPr>
          <w:rFonts w:ascii="Narkisim" w:hAnsi="Narkisim"/>
          <w:rtl/>
        </w:rPr>
        <w:t>(לז) דן דלא חל ה'שם ערוה' שבקידושי בתרא לאסור אראשון. ויל"פ דגבי אישות שייך בזה סברת הרמב"ן (לעיל יח:)</w:t>
      </w:r>
      <w:r w:rsidRPr="00AF1DC8">
        <w:rPr>
          <w:rStyle w:val="ac"/>
          <w:rFonts w:ascii="Narkisim" w:hAnsi="Narkisim"/>
          <w:rtl/>
        </w:rPr>
        <w:footnoteReference w:id="3016"/>
      </w:r>
      <w:r w:rsidRPr="00AF1DC8">
        <w:rPr>
          <w:rFonts w:ascii="Narkisim" w:hAnsi="Narkisim"/>
        </w:rPr>
        <w:t xml:space="preserve"> </w:t>
      </w:r>
      <w:r w:rsidRPr="00AF1DC8">
        <w:rPr>
          <w:rFonts w:ascii="Narkisim" w:hAnsi="Narkisim"/>
          <w:rtl/>
        </w:rPr>
        <w:t>דאינו בדין שתוציא מקודשת למקודשת. [ומש"ה בעריות דמחמת אישות, אינו בדין שהשני ידחה לראשון, ולא אלים להחשב ערוה כלפיו]</w:t>
      </w:r>
      <w:r w:rsidRPr="00AF1DC8">
        <w:rPr>
          <w:rFonts w:ascii="Narkisim" w:hAnsi="Narkisim"/>
        </w:rPr>
        <w:t>.</w:t>
      </w:r>
    </w:p>
    <w:p w14:paraId="6FC3946A" w14:textId="77777777" w:rsidR="006074A5" w:rsidRPr="00AF1DC8" w:rsidRDefault="006074A5" w:rsidP="006074A5">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(קידושין סח.) הביאו דברי רש"י דסוטה אף לאחר שנאסרה על בעלה, עדיין קידושין עומדין בה</w:t>
      </w:r>
      <w:r w:rsidRPr="00AF1DC8">
        <w:rPr>
          <w:rStyle w:val="ac"/>
          <w:rFonts w:ascii="Narkisim" w:hAnsi="Narkisim" w:cs="Narkisim"/>
          <w:rtl/>
        </w:rPr>
        <w:footnoteReference w:id="3017"/>
      </w:r>
      <w:r w:rsidRPr="00AF1DC8">
        <w:rPr>
          <w:rFonts w:ascii="Narkisim" w:hAnsi="Narkisim" w:cs="Narkisim"/>
        </w:rPr>
        <w:t xml:space="preserve">. </w:t>
      </w:r>
      <w:r w:rsidRPr="00AF1DC8">
        <w:rPr>
          <w:rFonts w:ascii="Narkisim" w:hAnsi="Narkisim" w:cs="Narkisim"/>
          <w:rtl/>
        </w:rPr>
        <w:t>ותוס' דייקו דדוקא כל עוד הסוטה עדיין תחתיו לא הוה הולד ממזר, דעדיין הקידושין [שנתקדשה בהן כבר] תופסין בה. אבל כשגירשה וחזר וכנסה לא תפסי בה קידושין והולד ממזר. [ורע"א (הנ"ל) הכריע דכן העיקר לפרש"י</w:t>
      </w:r>
      <w:r w:rsidRPr="00AF1DC8">
        <w:rPr>
          <w:rStyle w:val="ac"/>
          <w:rFonts w:ascii="Narkisim" w:hAnsi="Narkisim" w:cs="Narkisim"/>
          <w:rtl/>
        </w:rPr>
        <w:footnoteReference w:id="3018"/>
      </w:r>
      <w:r w:rsidRPr="00AF1DC8">
        <w:rPr>
          <w:rFonts w:ascii="Narkisim" w:hAnsi="Narkisim" w:cs="Narkisim"/>
          <w:rtl/>
        </w:rPr>
        <w:t>]</w:t>
      </w:r>
      <w:r w:rsidRPr="00AF1DC8">
        <w:rPr>
          <w:rFonts w:ascii="Narkisim" w:hAnsi="Narkisim" w:cs="Narkisim"/>
        </w:rPr>
        <w:t>.</w:t>
      </w:r>
    </w:p>
    <w:p w14:paraId="3D21AA88" w14:textId="77777777" w:rsidR="006074A5" w:rsidRPr="00AF1DC8" w:rsidRDefault="006074A5" w:rsidP="006074A5">
      <w:pPr>
        <w:pStyle w:val="a8"/>
        <w:bidi/>
        <w:rPr>
          <w:rFonts w:ascii="Narkisim" w:hAnsi="Narkisim"/>
        </w:rPr>
      </w:pPr>
      <w:r w:rsidRPr="00AF1DC8">
        <w:rPr>
          <w:rFonts w:ascii="Narkisim" w:hAnsi="Narkisim"/>
          <w:rtl/>
        </w:rPr>
        <w:t>וצ”ב מה חילוק באיסור סוטה בין קודם גירושין לאחר גירושין. ומשמע דכוונת התוס' דקודם גירושין, עדיין קידושיה עליה, וכיון דיש בה קידושין נחשב אשה שיש בה קידושין, וממזרות תלי בדין הקידושין. אבל בתר גירושין, תו אין בה קידושין, והולד ממזר</w:t>
      </w:r>
      <w:r w:rsidRPr="00AF1DC8">
        <w:rPr>
          <w:rFonts w:ascii="Narkisim" w:hAnsi="Narkisim"/>
        </w:rPr>
        <w:t>.</w:t>
      </w:r>
    </w:p>
    <w:p w14:paraId="4F97FF58" w14:textId="77777777" w:rsidR="006074A5" w:rsidRPr="00AF1DC8" w:rsidRDefault="006074A5" w:rsidP="006074A5">
      <w:pPr>
        <w:bidi/>
        <w:rPr>
          <w:rFonts w:ascii="Narkisim" w:hAnsi="Narkisim" w:cs="Narkisim"/>
        </w:rPr>
      </w:pP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(קידושין שם בסו”ד) הביאו עוד דה</w:t>
      </w:r>
      <w:r w:rsidRPr="00AF1DC8">
        <w:rPr>
          <w:rFonts w:ascii="Narkisim" w:hAnsi="Narkisim" w:cs="Narkisim"/>
          <w:b/>
          <w:bCs/>
          <w:rtl/>
        </w:rPr>
        <w:t>ר"ש מדריו"ש</w:t>
      </w:r>
      <w:r w:rsidRPr="00AF1DC8">
        <w:rPr>
          <w:rFonts w:ascii="Narkisim" w:hAnsi="Narkisim" w:cs="Narkisim"/>
          <w:rtl/>
        </w:rPr>
        <w:t xml:space="preserve"> פי' דברי רש"י דאף לאחר שגירשה לא הוה ממזר</w:t>
      </w:r>
      <w:r w:rsidRPr="00AF1DC8">
        <w:rPr>
          <w:rStyle w:val="ac"/>
          <w:rFonts w:ascii="Narkisim" w:hAnsi="Narkisim" w:cs="Narkisim"/>
          <w:rtl/>
        </w:rPr>
        <w:footnoteReference w:id="3019"/>
      </w:r>
      <w:r w:rsidRPr="00AF1DC8">
        <w:rPr>
          <w:rFonts w:ascii="Narkisim" w:hAnsi="Narkisim" w:cs="Narkisim"/>
        </w:rPr>
        <w:t xml:space="preserve">. </w:t>
      </w:r>
      <w:r w:rsidRPr="00AF1DC8">
        <w:rPr>
          <w:rFonts w:ascii="Narkisim" w:hAnsi="Narkisim" w:cs="Narkisim"/>
          <w:rtl/>
        </w:rPr>
        <w:t>דכיון דקודם שגירשה לא הוה ממזר [וכנ"ל]</w:t>
      </w:r>
      <w:r w:rsidRPr="00AF1DC8">
        <w:rPr>
          <w:rStyle w:val="ac"/>
          <w:rFonts w:ascii="Narkisim" w:hAnsi="Narkisim" w:cs="Narkisim"/>
          <w:rtl/>
        </w:rPr>
        <w:footnoteReference w:id="3020"/>
      </w:r>
      <w:r w:rsidRPr="00AF1DC8">
        <w:rPr>
          <w:rFonts w:ascii="Narkisim" w:hAnsi="Narkisim" w:cs="Narkisim"/>
        </w:rPr>
        <w:t xml:space="preserve">, </w:t>
      </w:r>
      <w:r w:rsidRPr="00AF1DC8">
        <w:rPr>
          <w:rFonts w:ascii="Narkisim" w:hAnsi="Narkisim" w:cs="Narkisim"/>
          <w:rtl/>
        </w:rPr>
        <w:t xml:space="preserve">אין סברא דלאחר גירושין יהא איסור נוסף, דמה גריעותא יש בה לאחר גירושין. ומסברא לאחר גירושין נמי אין הולד </w:t>
      </w:r>
      <w:r w:rsidRPr="00AF1DC8">
        <w:rPr>
          <w:rFonts w:ascii="Narkisim" w:hAnsi="Narkisim" w:cs="Narkisim"/>
          <w:rtl/>
        </w:rPr>
        <w:lastRenderedPageBreak/>
        <w:t>ממזר. וה"נ אם מחזירה תפסי קידושין</w:t>
      </w:r>
      <w:r w:rsidRPr="00AF1DC8">
        <w:rPr>
          <w:rStyle w:val="ac"/>
          <w:rFonts w:ascii="Narkisim" w:hAnsi="Narkisim" w:cs="Narkisim"/>
          <w:rtl/>
        </w:rPr>
        <w:footnoteReference w:id="3021"/>
      </w:r>
      <w:r w:rsidRPr="00AF1DC8">
        <w:rPr>
          <w:rFonts w:ascii="Narkisim" w:hAnsi="Narkisim" w:cs="Narkisim"/>
        </w:rPr>
        <w:t xml:space="preserve">, </w:t>
      </w:r>
      <w:r w:rsidRPr="00AF1DC8">
        <w:rPr>
          <w:rFonts w:ascii="Narkisim" w:hAnsi="Narkisim" w:cs="Narkisim"/>
          <w:rtl/>
        </w:rPr>
        <w:t>דהא קידושין תלי בממזרות</w:t>
      </w:r>
      <w:r w:rsidRPr="00AF1DC8">
        <w:rPr>
          <w:rStyle w:val="ac"/>
          <w:rFonts w:ascii="Narkisim" w:hAnsi="Narkisim" w:cs="Narkisim"/>
          <w:rtl/>
        </w:rPr>
        <w:footnoteReference w:id="3022"/>
      </w:r>
      <w:r w:rsidRPr="00AF1DC8">
        <w:rPr>
          <w:rFonts w:ascii="Narkisim" w:hAnsi="Narkisim" w:cs="Narkisim"/>
        </w:rPr>
        <w:t>.</w:t>
      </w:r>
    </w:p>
    <w:p w14:paraId="152BA7F1" w14:textId="77777777" w:rsidR="006074A5" w:rsidRPr="00AF1DC8" w:rsidRDefault="006074A5" w:rsidP="006074A5">
      <w:pPr>
        <w:pStyle w:val="a8"/>
        <w:bidi/>
        <w:rPr>
          <w:rFonts w:ascii="Narkisim" w:hAnsi="Narkisim"/>
        </w:rPr>
      </w:pPr>
      <w:r w:rsidRPr="00AF1DC8">
        <w:rPr>
          <w:rFonts w:ascii="Narkisim" w:hAnsi="Narkisim"/>
          <w:rtl/>
        </w:rPr>
        <w:t>ומבואר דבשורש הסברא צריך להיות ממזר מסוטה, ולא יתפסו קידושין. אלא כיון דעדיין יש עליה קידושין, ע"כ לא הוה ממזר</w:t>
      </w:r>
      <w:r w:rsidRPr="00AF1DC8">
        <w:rPr>
          <w:rStyle w:val="ac"/>
          <w:rFonts w:ascii="Narkisim" w:hAnsi="Narkisim"/>
          <w:rtl/>
        </w:rPr>
        <w:footnoteReference w:id="3023"/>
      </w:r>
      <w:r w:rsidRPr="00AF1DC8">
        <w:rPr>
          <w:rFonts w:ascii="Narkisim" w:hAnsi="Narkisim"/>
        </w:rPr>
        <w:t xml:space="preserve">. </w:t>
      </w:r>
      <w:r w:rsidRPr="00AF1DC8">
        <w:rPr>
          <w:rFonts w:ascii="Narkisim" w:hAnsi="Narkisim"/>
          <w:rtl/>
        </w:rPr>
        <w:t>ויש סברא דאף אח"כ לא נעשית ערוה ליאסר לענין זה, דלא אלים. ואף לאחר גירושין האיסור אינו חמור כ”כ. [אך לו יצוייר שיחול איסור סוטה כשאינה תחת בעלה, הוה ערוה והולד ממזר]</w:t>
      </w:r>
      <w:r w:rsidRPr="00AF1DC8">
        <w:rPr>
          <w:rFonts w:ascii="Narkisim" w:hAnsi="Narkisim"/>
        </w:rPr>
        <w:t>.</w:t>
      </w:r>
    </w:p>
    <w:p w14:paraId="46D67B47" w14:textId="77777777" w:rsidR="006074A5" w:rsidRPr="00AF1DC8" w:rsidRDefault="006074A5" w:rsidP="006074A5">
      <w:pPr>
        <w:pStyle w:val="aa"/>
        <w:bidi/>
        <w:rPr>
          <w:rFonts w:ascii="Narkisim" w:hAnsi="Narkisim"/>
          <w:u w:val="single"/>
        </w:rPr>
      </w:pPr>
      <w:r w:rsidRPr="00AF1DC8">
        <w:rPr>
          <w:rFonts w:ascii="Narkisim" w:hAnsi="Narkisim"/>
          <w:u w:val="single"/>
          <w:rtl/>
        </w:rPr>
        <w:t>ועל שומרת יבם וכו'</w:t>
      </w:r>
      <w:r w:rsidRPr="00AF1DC8">
        <w:rPr>
          <w:rFonts w:ascii="Narkisim" w:hAnsi="Narkisim"/>
          <w:rtl/>
        </w:rPr>
        <w:t>. פ</w:t>
      </w:r>
      <w:r w:rsidRPr="00AF1DC8">
        <w:rPr>
          <w:rFonts w:ascii="Narkisim" w:hAnsi="Narkisim"/>
          <w:b/>
          <w:bCs/>
          <w:rtl/>
        </w:rPr>
        <w:t>רש"י</w:t>
      </w:r>
      <w:r w:rsidRPr="00AF1DC8">
        <w:rPr>
          <w:rFonts w:ascii="Narkisim" w:hAnsi="Narkisim"/>
          <w:rtl/>
        </w:rPr>
        <w:t xml:space="preserve"> מדאפקיה בלשון הויה, לא תהיה, לא תתקדש וכו', אלמא קידושין תפסי בה. [ולהך ברייתא גלי קרא דתפסי קידושין ביבמה לשוק, ואף לר"ע]. ולכאורה משמע דכל האיסור דרך קידושין, אבל ביאה בלא קידושין אינו עובר כיון דכתיב בלשון הויה. (וכ"כ האחיעזר ג כג). [וע"ד הסוגיה קידושין עח.]</w:t>
      </w:r>
      <w:r w:rsidRPr="00AF1DC8">
        <w:rPr>
          <w:rStyle w:val="ac"/>
          <w:rFonts w:ascii="Narkisim" w:hAnsi="Narkisim"/>
          <w:rtl/>
        </w:rPr>
        <w:footnoteReference w:id="3024"/>
      </w:r>
      <w:r w:rsidRPr="00AF1DC8">
        <w:rPr>
          <w:rFonts w:ascii="Narkisim" w:hAnsi="Narkisim"/>
        </w:rPr>
        <w:t>.</w:t>
      </w:r>
    </w:p>
    <w:p w14:paraId="2D442B82" w14:textId="77777777" w:rsidR="006074A5" w:rsidRPr="00AF1DC8" w:rsidRDefault="006074A5" w:rsidP="006074A5">
      <w:pPr>
        <w:pStyle w:val="aa"/>
        <w:bidi/>
        <w:rPr>
          <w:rFonts w:ascii="Narkisim" w:hAnsi="Narkisim"/>
          <w:u w:val="single"/>
        </w:rPr>
      </w:pPr>
      <w:r w:rsidRPr="00AF1DC8">
        <w:rPr>
          <w:rFonts w:ascii="Narkisim" w:hAnsi="Narkisim"/>
          <w:rtl/>
        </w:rPr>
        <w:t>ובמשנה (לקמן צב.) מבואר דיבמה לשוק הולד ממזר, ובברייתא (שם) מבואר דקאי כר"ע [למ"ד דל"צ לאו דשאר]. ודלא כברייתא זו. ו</w:t>
      </w:r>
      <w:r w:rsidRPr="00AF1DC8">
        <w:rPr>
          <w:rFonts w:ascii="Narkisim" w:hAnsi="Narkisim"/>
          <w:b/>
          <w:bCs/>
          <w:rtl/>
        </w:rPr>
        <w:t>תוס</w:t>
      </w:r>
      <w:r w:rsidRPr="00AF1DC8">
        <w:rPr>
          <w:rFonts w:ascii="Narkisim" w:hAnsi="Narkisim"/>
          <w:rtl/>
        </w:rPr>
        <w:t>' (שם וכאן בסוף הע"א) הביאו צד דהוה ממזר מדרבנן, ומשום קנס. וכ"ד ה</w:t>
      </w:r>
      <w:r w:rsidRPr="00AF1DC8">
        <w:rPr>
          <w:rFonts w:ascii="Narkisim" w:hAnsi="Narkisim"/>
          <w:b/>
          <w:bCs/>
          <w:rtl/>
        </w:rPr>
        <w:t>רא"ש</w:t>
      </w:r>
      <w:r w:rsidRPr="00AF1DC8">
        <w:rPr>
          <w:rFonts w:ascii="Narkisim" w:hAnsi="Narkisim"/>
          <w:rtl/>
        </w:rPr>
        <w:t xml:space="preserve"> (שם, י ג) דהיכא דנשאת לשוק קנסו דהוה ממזר מדרבנן. וה</w:t>
      </w:r>
      <w:r w:rsidRPr="00AF1DC8">
        <w:rPr>
          <w:rFonts w:ascii="Narkisim" w:hAnsi="Narkisim"/>
          <w:b/>
          <w:bCs/>
          <w:rtl/>
        </w:rPr>
        <w:t>פוסקים</w:t>
      </w:r>
      <w:r w:rsidRPr="00AF1DC8">
        <w:rPr>
          <w:rFonts w:ascii="Narkisim" w:hAnsi="Narkisim"/>
          <w:rtl/>
        </w:rPr>
        <w:t xml:space="preserve"> (חלק"מ ז כה) כת' דה"מ דרך נישואין, אבל דרך זנות לא הוה ממזר אף מדרבנן</w:t>
      </w:r>
      <w:r w:rsidRPr="00AF1DC8">
        <w:rPr>
          <w:rFonts w:ascii="Narkisim" w:hAnsi="Narkisim"/>
        </w:rPr>
        <w:t>.</w:t>
      </w:r>
    </w:p>
    <w:p w14:paraId="2B45F677" w14:textId="77777777" w:rsidR="006074A5" w:rsidRPr="00AF1DC8" w:rsidRDefault="006074A5" w:rsidP="006074A5">
      <w:pPr>
        <w:pStyle w:val="aa"/>
        <w:bidi/>
        <w:rPr>
          <w:rFonts w:ascii="Narkisim" w:hAnsi="Narkisim"/>
          <w:u w:val="single"/>
        </w:rPr>
      </w:pPr>
      <w:r w:rsidRPr="00AF1DC8">
        <w:rPr>
          <w:rFonts w:ascii="Narkisim" w:hAnsi="Narkisim"/>
          <w:rtl/>
        </w:rPr>
        <w:t>אבל ב</w:t>
      </w:r>
      <w:r w:rsidRPr="00AF1DC8">
        <w:rPr>
          <w:rFonts w:ascii="Narkisim" w:hAnsi="Narkisim"/>
          <w:b/>
          <w:bCs/>
          <w:rtl/>
        </w:rPr>
        <w:t>תוס' חד מקמאי</w:t>
      </w:r>
      <w:r w:rsidRPr="00AF1DC8">
        <w:rPr>
          <w:rFonts w:ascii="Narkisim" w:hAnsi="Narkisim"/>
          <w:rtl/>
        </w:rPr>
        <w:t xml:space="preserve"> (עה"ג) הביא מהמשניות (לקמן וגיטין עט:) דיש ממזר [מדאורייתא] מיבמה. וביאר דהיינו לר"ע דברייתא דלא בעי שאר. והכל מודים דסוגיין היינו למ"ד דר"ע בעי לאו דשאר</w:t>
      </w:r>
      <w:r w:rsidRPr="00AF1DC8">
        <w:rPr>
          <w:rStyle w:val="ac"/>
          <w:rFonts w:ascii="Narkisim" w:hAnsi="Narkisim"/>
          <w:rtl/>
        </w:rPr>
        <w:footnoteReference w:id="3025"/>
      </w:r>
      <w:r w:rsidRPr="00AF1DC8">
        <w:rPr>
          <w:rFonts w:ascii="Narkisim" w:hAnsi="Narkisim"/>
        </w:rPr>
        <w:t>.</w:t>
      </w:r>
    </w:p>
    <w:p w14:paraId="360CFDB6" w14:textId="77777777" w:rsidR="006074A5" w:rsidRPr="00AF1DC8" w:rsidRDefault="006074A5" w:rsidP="006074A5">
      <w:pPr>
        <w:bidi/>
        <w:rPr>
          <w:rFonts w:ascii="Narkisim" w:hAnsi="Narkisim" w:cs="Narkisim"/>
        </w:rPr>
      </w:pPr>
      <w:r w:rsidRPr="00AF1DC8">
        <w:rPr>
          <w:rFonts w:ascii="Narkisim" w:hAnsi="Narkisim" w:cs="Narkisim"/>
          <w:u w:val="single"/>
          <w:rtl/>
        </w:rPr>
        <w:t>רש"י ד"ה אי כרב.</w:t>
      </w:r>
      <w:r w:rsidRPr="00AF1DC8">
        <w:rPr>
          <w:rFonts w:ascii="Narkisim" w:hAnsi="Narkisim" w:cs="Narkisim"/>
          <w:rtl/>
        </w:rPr>
        <w:t xml:space="preserve"> לא תהיה בה הויה לזר, והולד ממזר. וב</w:t>
      </w:r>
      <w:r w:rsidRPr="00AF1DC8">
        <w:rPr>
          <w:rFonts w:ascii="Narkisim" w:hAnsi="Narkisim" w:cs="Narkisim"/>
          <w:b/>
          <w:bCs/>
          <w:rtl/>
        </w:rPr>
        <w:t>חי' ר"א מן ההר</w:t>
      </w:r>
      <w:r w:rsidRPr="00AF1DC8">
        <w:rPr>
          <w:rFonts w:ascii="Narkisim" w:hAnsi="Narkisim" w:cs="Narkisim"/>
          <w:rtl/>
        </w:rPr>
        <w:t xml:space="preserve"> כת' דמשמע מרש"י דבשומר"י לדעת רב הוה הולד ממזר, ולשמואל הוה ספק ממזר. והביא דכ"כ ה</w:t>
      </w:r>
      <w:r w:rsidRPr="00AF1DC8">
        <w:rPr>
          <w:rFonts w:ascii="Narkisim" w:hAnsi="Narkisim" w:cs="Narkisim"/>
          <w:b/>
          <w:bCs/>
          <w:rtl/>
        </w:rPr>
        <w:t>השלמה</w:t>
      </w:r>
      <w:r w:rsidRPr="00AF1DC8">
        <w:rPr>
          <w:rStyle w:val="ac"/>
          <w:rFonts w:ascii="Narkisim" w:hAnsi="Narkisim" w:cs="Narkisim"/>
          <w:rtl/>
        </w:rPr>
        <w:footnoteReference w:id="3026"/>
      </w:r>
      <w:r w:rsidRPr="00AF1DC8">
        <w:rPr>
          <w:rFonts w:ascii="Narkisim" w:hAnsi="Narkisim" w:cs="Narkisim"/>
        </w:rPr>
        <w:t xml:space="preserve">. </w:t>
      </w:r>
      <w:r w:rsidRPr="00AF1DC8">
        <w:rPr>
          <w:rFonts w:ascii="Narkisim" w:hAnsi="Narkisim" w:cs="Narkisim"/>
          <w:rtl/>
        </w:rPr>
        <w:t>ואביי נסתפק דלא הוה ממזר, וכמ"ד דתפסי קידושין. [והא דאמרי' דאין ממזר, היינו דלא הוה ממזר ודאי. אלא ספק ממזר]</w:t>
      </w:r>
      <w:r w:rsidRPr="00AF1DC8">
        <w:rPr>
          <w:rFonts w:ascii="Narkisim" w:hAnsi="Narkisim" w:cs="Narkisim"/>
        </w:rPr>
        <w:t>.</w:t>
      </w:r>
    </w:p>
    <w:p w14:paraId="2B6DF7B9" w14:textId="77777777" w:rsidR="006074A5" w:rsidRPr="00AF1DC8" w:rsidRDefault="006074A5" w:rsidP="006074A5">
      <w:pPr>
        <w:pStyle w:val="a7"/>
        <w:bidi/>
        <w:rPr>
          <w:rFonts w:ascii="Narkisim" w:hAnsi="Narkisim"/>
        </w:rPr>
      </w:pPr>
      <w:r w:rsidRPr="00AF1DC8">
        <w:rPr>
          <w:rFonts w:ascii="Narkisim" w:hAnsi="Narkisim"/>
          <w:rtl/>
        </w:rPr>
        <w:t xml:space="preserve">אבל </w:t>
      </w:r>
      <w:r w:rsidRPr="00AF1DC8">
        <w:rPr>
          <w:rFonts w:ascii="Narkisim" w:hAnsi="Narkisim"/>
          <w:b/>
          <w:bCs/>
          <w:rtl/>
        </w:rPr>
        <w:t>תוס'</w:t>
      </w:r>
      <w:r w:rsidRPr="00AF1DC8">
        <w:rPr>
          <w:rFonts w:ascii="Narkisim" w:hAnsi="Narkisim"/>
          <w:rtl/>
        </w:rPr>
        <w:t xml:space="preserve"> (ד"ה הכל) נקטו דבין לרב ובין לשמואל לא הוה ממזר, וביארו דכוונת הגמ' דמטעם זה אביי לא כללו בהך כללא. [ו</w:t>
      </w:r>
      <w:r w:rsidRPr="00AF1DC8">
        <w:rPr>
          <w:rFonts w:ascii="Narkisim" w:hAnsi="Narkisim"/>
          <w:b/>
          <w:bCs/>
          <w:rtl/>
        </w:rPr>
        <w:t>רע"א</w:t>
      </w:r>
      <w:r w:rsidRPr="00AF1DC8">
        <w:rPr>
          <w:rFonts w:ascii="Narkisim" w:hAnsi="Narkisim"/>
          <w:rtl/>
        </w:rPr>
        <w:t xml:space="preserve"> הקשה דהמ"ל דלא כללו, דאביי אתא לאפוקי אף לר' סימאי, וצ"ע]</w:t>
      </w:r>
      <w:r w:rsidRPr="00AF1DC8">
        <w:rPr>
          <w:rFonts w:ascii="Narkisim" w:hAnsi="Narkisim"/>
        </w:rPr>
        <w:t>.</w:t>
      </w:r>
    </w:p>
    <w:p w14:paraId="34C54E6C" w14:textId="77777777" w:rsidR="006074A5" w:rsidRPr="00AF1DC8" w:rsidRDefault="006074A5" w:rsidP="006074A5">
      <w:pPr>
        <w:pStyle w:val="aa"/>
        <w:bidi/>
        <w:rPr>
          <w:rFonts w:ascii="Narkisim" w:hAnsi="Narkisim"/>
        </w:rPr>
      </w:pPr>
      <w:r w:rsidRPr="00AF1DC8">
        <w:rPr>
          <w:rFonts w:ascii="Narkisim" w:hAnsi="Narkisim"/>
          <w:u w:val="single"/>
          <w:rtl/>
        </w:rPr>
        <w:t>תוד"ה סוטה.</w:t>
      </w:r>
      <w:r w:rsidRPr="00AF1DC8">
        <w:rPr>
          <w:rFonts w:ascii="Narkisim" w:hAnsi="Narkisim"/>
          <w:rtl/>
        </w:rPr>
        <w:t xml:space="preserve"> וי"ל דלא בעי לאוקמא בסוטה וכו' משמע שנואה בתחילת נשואיה. ה</w:t>
      </w:r>
      <w:r w:rsidRPr="00AF1DC8">
        <w:rPr>
          <w:rFonts w:ascii="Narkisim" w:hAnsi="Narkisim"/>
          <w:b/>
          <w:bCs/>
          <w:rtl/>
        </w:rPr>
        <w:t>משנ"ל</w:t>
      </w:r>
      <w:r w:rsidRPr="00AF1DC8">
        <w:rPr>
          <w:rFonts w:ascii="Narkisim" w:hAnsi="Narkisim"/>
          <w:rtl/>
        </w:rPr>
        <w:t xml:space="preserve"> (נערה א ג) הקשה דאיירי אחר שגירשה והחזיר, והוה שנואה מתחילת אישות זו. וה</w:t>
      </w:r>
      <w:r w:rsidRPr="00AF1DC8">
        <w:rPr>
          <w:rFonts w:ascii="Narkisim" w:hAnsi="Narkisim"/>
          <w:b/>
          <w:bCs/>
          <w:rtl/>
        </w:rPr>
        <w:t>אחרונים</w:t>
      </w:r>
      <w:r w:rsidRPr="00AF1DC8">
        <w:rPr>
          <w:rFonts w:ascii="Narkisim" w:hAnsi="Narkisim"/>
          <w:rtl/>
        </w:rPr>
        <w:t xml:space="preserve"> ביארו דכוונת התוס' דמחזיר גרושתו נחשב שחזר לאישות הראשונה</w:t>
      </w:r>
      <w:r w:rsidRPr="00AF1DC8">
        <w:rPr>
          <w:rFonts w:ascii="Narkisim" w:hAnsi="Narkisim"/>
        </w:rPr>
        <w:t>.</w:t>
      </w:r>
    </w:p>
    <w:p w14:paraId="105E5363" w14:textId="77777777" w:rsidR="006074A5" w:rsidRPr="00AF1DC8" w:rsidRDefault="006074A5" w:rsidP="006074A5">
      <w:pPr>
        <w:pStyle w:val="aa"/>
        <w:bidi/>
        <w:rPr>
          <w:rFonts w:ascii="Narkisim" w:hAnsi="Narkisim"/>
        </w:rPr>
      </w:pPr>
      <w:r w:rsidRPr="00AF1DC8">
        <w:rPr>
          <w:rFonts w:ascii="Narkisim" w:hAnsi="Narkisim"/>
          <w:u w:val="single"/>
          <w:rtl/>
        </w:rPr>
        <w:t>בא”ד וא”ת ולוקמא בסוטה ולבועל וכו'</w:t>
      </w:r>
      <w:r w:rsidRPr="00AF1DC8">
        <w:rPr>
          <w:rFonts w:ascii="Narkisim" w:hAnsi="Narkisim"/>
          <w:rtl/>
        </w:rPr>
        <w:t>. משמע דקו' התוס' אליבא דר"ע [לר' סימאי], ותפסי קידושין בסוטה לבועל. וצ"ב מנ"ל דתפסי קידושין לבועל. וה</w:t>
      </w:r>
      <w:r w:rsidRPr="00AF1DC8">
        <w:rPr>
          <w:rFonts w:ascii="Narkisim" w:hAnsi="Narkisim"/>
          <w:b/>
          <w:bCs/>
          <w:rtl/>
        </w:rPr>
        <w:t>משנ"ל</w:t>
      </w:r>
      <w:r w:rsidRPr="00AF1DC8">
        <w:rPr>
          <w:rFonts w:ascii="Narkisim" w:hAnsi="Narkisim"/>
          <w:rtl/>
        </w:rPr>
        <w:t xml:space="preserve"> (איסו"ב יט ה) ביאר דכוונת התוס' ע"פ מש"כ </w:t>
      </w:r>
      <w:r w:rsidRPr="00AF1DC8">
        <w:rPr>
          <w:rFonts w:ascii="Narkisim" w:hAnsi="Narkisim"/>
          <w:b/>
          <w:bCs/>
          <w:rtl/>
        </w:rPr>
        <w:t>תוס</w:t>
      </w:r>
      <w:r w:rsidRPr="00AF1DC8">
        <w:rPr>
          <w:rFonts w:ascii="Narkisim" w:hAnsi="Narkisim"/>
          <w:rtl/>
        </w:rPr>
        <w:t>' (לעיל ג: ד”ה לפי) דיש סברא [לענין צרת צרה] דאין לנו להחמיר בטומאה דגבי בועל יותר מטומאה דגבי בעל</w:t>
      </w:r>
      <w:r w:rsidRPr="00AF1DC8">
        <w:rPr>
          <w:rStyle w:val="ac"/>
          <w:rFonts w:ascii="Narkisim" w:hAnsi="Narkisim"/>
          <w:rtl/>
        </w:rPr>
        <w:footnoteReference w:id="3027"/>
      </w:r>
      <w:r w:rsidRPr="00AF1DC8">
        <w:rPr>
          <w:rFonts w:ascii="Narkisim" w:hAnsi="Narkisim"/>
        </w:rPr>
        <w:t xml:space="preserve">. </w:t>
      </w:r>
      <w:r w:rsidRPr="00AF1DC8">
        <w:rPr>
          <w:rFonts w:ascii="Narkisim" w:hAnsi="Narkisim"/>
          <w:rtl/>
        </w:rPr>
        <w:t>ועוד פי' ה</w:t>
      </w:r>
      <w:r w:rsidRPr="00AF1DC8">
        <w:rPr>
          <w:rFonts w:ascii="Narkisim" w:hAnsi="Narkisim"/>
          <w:b/>
          <w:bCs/>
          <w:rtl/>
        </w:rPr>
        <w:t>אחרונים</w:t>
      </w:r>
      <w:r w:rsidRPr="00AF1DC8">
        <w:rPr>
          <w:rFonts w:ascii="Narkisim" w:hAnsi="Narkisim"/>
          <w:rtl/>
        </w:rPr>
        <w:t xml:space="preserve"> דכוונת התוס' דגבי בועל ליכא לאו [וכמ"ש תוס' שם] אלא עשה</w:t>
      </w:r>
      <w:r w:rsidRPr="00AF1DC8">
        <w:rPr>
          <w:rFonts w:ascii="Narkisim" w:hAnsi="Narkisim"/>
        </w:rPr>
        <w:t>.</w:t>
      </w:r>
    </w:p>
    <w:p w14:paraId="0DB1C1C1" w14:textId="77777777" w:rsidR="006074A5" w:rsidRPr="00AF1DC8" w:rsidRDefault="006074A5" w:rsidP="006074A5">
      <w:pPr>
        <w:pStyle w:val="aa"/>
        <w:bidi/>
        <w:rPr>
          <w:rFonts w:ascii="Narkisim" w:hAnsi="Narkisim"/>
        </w:rPr>
      </w:pPr>
      <w:r w:rsidRPr="00AF1DC8">
        <w:rPr>
          <w:rFonts w:ascii="Narkisim" w:hAnsi="Narkisim"/>
          <w:u w:val="single"/>
          <w:rtl/>
        </w:rPr>
        <w:t>בא"ד וי"ל דמי כתיב כי תהיין לבועל וכו'.</w:t>
      </w:r>
      <w:r w:rsidRPr="00AF1DC8">
        <w:rPr>
          <w:rFonts w:ascii="Narkisim" w:hAnsi="Narkisim"/>
          <w:rtl/>
        </w:rPr>
        <w:t xml:space="preserve"> וע”ד הא דאי' (קידושין סח.) דרבנן דחו דאין לפרש בבעולה לכה"ג [דלר' ישבב אליבא דר"ע הוה שנואה משום איסור עשה, ואפ"ה תפסי קידושין], דמי כתיב כי תהיין לכהן</w:t>
      </w:r>
      <w:r w:rsidRPr="00AF1DC8">
        <w:rPr>
          <w:rStyle w:val="ac"/>
          <w:rFonts w:ascii="Narkisim" w:hAnsi="Narkisim"/>
          <w:rtl/>
        </w:rPr>
        <w:footnoteReference w:id="3028"/>
      </w:r>
      <w:r w:rsidRPr="00AF1DC8">
        <w:rPr>
          <w:rFonts w:ascii="Narkisim" w:hAnsi="Narkisim"/>
        </w:rPr>
        <w:t xml:space="preserve">. </w:t>
      </w:r>
      <w:r w:rsidRPr="00AF1DC8">
        <w:rPr>
          <w:rFonts w:ascii="Narkisim" w:hAnsi="Narkisim"/>
          <w:rtl/>
        </w:rPr>
        <w:t>וה</w:t>
      </w:r>
      <w:r w:rsidRPr="00AF1DC8">
        <w:rPr>
          <w:rFonts w:ascii="Narkisim" w:hAnsi="Narkisim"/>
          <w:b/>
          <w:bCs/>
          <w:rtl/>
        </w:rPr>
        <w:t>משנ"ל</w:t>
      </w:r>
      <w:r w:rsidRPr="00AF1DC8">
        <w:rPr>
          <w:rFonts w:ascii="Narkisim" w:hAnsi="Narkisim"/>
          <w:rtl/>
        </w:rPr>
        <w:t xml:space="preserve"> (איסו"ב יט ה) הקשה דתוס' הכא קאי לר' עקיבא, ובגמ' (שם) מבואר דר"ע לא דייק כן. וה</w:t>
      </w:r>
      <w:r w:rsidRPr="00AF1DC8">
        <w:rPr>
          <w:rFonts w:ascii="Narkisim" w:hAnsi="Narkisim"/>
          <w:b/>
          <w:bCs/>
          <w:rtl/>
        </w:rPr>
        <w:t>אחרונים</w:t>
      </w:r>
      <w:r w:rsidRPr="00AF1DC8">
        <w:rPr>
          <w:rFonts w:ascii="Narkisim" w:hAnsi="Narkisim"/>
          <w:rtl/>
        </w:rPr>
        <w:t xml:space="preserve"> תי' דהגמ' (שם) קאי כר' ישבב, ואילו תוס' כאן קאי לר' סימאי</w:t>
      </w:r>
      <w:r w:rsidRPr="00AF1DC8">
        <w:rPr>
          <w:rStyle w:val="ac"/>
          <w:rFonts w:ascii="Narkisim" w:hAnsi="Narkisim"/>
          <w:rtl/>
        </w:rPr>
        <w:footnoteReference w:id="3029"/>
      </w:r>
      <w:r w:rsidRPr="00AF1DC8">
        <w:rPr>
          <w:rFonts w:ascii="Narkisim" w:hAnsi="Narkisim"/>
        </w:rPr>
        <w:t>.</w:t>
      </w:r>
    </w:p>
    <w:p w14:paraId="7762B2D8" w14:textId="77777777" w:rsidR="006074A5" w:rsidRPr="00AF1DC8" w:rsidRDefault="006074A5" w:rsidP="006074A5">
      <w:pPr>
        <w:pStyle w:val="aa"/>
        <w:bidi/>
        <w:rPr>
          <w:rFonts w:ascii="Narkisim" w:hAnsi="Narkisim"/>
        </w:rPr>
      </w:pPr>
      <w:r w:rsidRPr="00AF1DC8">
        <w:rPr>
          <w:rFonts w:ascii="Narkisim" w:hAnsi="Narkisim"/>
          <w:u w:val="single"/>
          <w:rtl/>
        </w:rPr>
        <w:t>בא"ד פר"ח סוטה דרבנן מיהא הוה.</w:t>
      </w:r>
      <w:r w:rsidRPr="00AF1DC8">
        <w:rPr>
          <w:rFonts w:ascii="Narkisim" w:hAnsi="Narkisim"/>
          <w:rtl/>
        </w:rPr>
        <w:t xml:space="preserve"> ע"פ הדין אשה שהלך בעלה ממדינת הים. ו</w:t>
      </w:r>
      <w:r w:rsidRPr="00AF1DC8">
        <w:rPr>
          <w:rFonts w:ascii="Narkisim" w:hAnsi="Narkisim"/>
          <w:b/>
          <w:bCs/>
          <w:rtl/>
        </w:rPr>
        <w:t xml:space="preserve">תוס' </w:t>
      </w:r>
      <w:r w:rsidRPr="00AF1DC8">
        <w:rPr>
          <w:rFonts w:ascii="Narkisim" w:hAnsi="Narkisim"/>
          <w:rtl/>
        </w:rPr>
        <w:t xml:space="preserve">חלקו דהתם הוה קנס. וע"ע </w:t>
      </w:r>
      <w:r w:rsidRPr="00AF1DC8">
        <w:rPr>
          <w:rFonts w:ascii="Narkisim" w:hAnsi="Narkisim"/>
          <w:b/>
          <w:bCs/>
          <w:rtl/>
        </w:rPr>
        <w:t>תוס</w:t>
      </w:r>
      <w:r w:rsidRPr="00AF1DC8">
        <w:rPr>
          <w:rFonts w:ascii="Narkisim" w:hAnsi="Narkisim"/>
          <w:rtl/>
        </w:rPr>
        <w:t>' לקמן צב. וה</w:t>
      </w:r>
      <w:r w:rsidRPr="00AF1DC8">
        <w:rPr>
          <w:rFonts w:ascii="Narkisim" w:hAnsi="Narkisim"/>
          <w:b/>
          <w:bCs/>
          <w:rtl/>
        </w:rPr>
        <w:t>פוסקים</w:t>
      </w:r>
      <w:r w:rsidRPr="00AF1DC8">
        <w:rPr>
          <w:rFonts w:ascii="Narkisim" w:hAnsi="Narkisim"/>
          <w:rtl/>
        </w:rPr>
        <w:t xml:space="preserve"> דנו האם גדר הקנס דהחשיבו שיש אישות לראשון, או דהוה תקנה בעלמא</w:t>
      </w:r>
      <w:r w:rsidRPr="00AF1DC8">
        <w:rPr>
          <w:rFonts w:ascii="Narkisim" w:hAnsi="Narkisim"/>
        </w:rPr>
        <w:t>.</w:t>
      </w:r>
    </w:p>
    <w:p w14:paraId="20740F58" w14:textId="77777777" w:rsidR="006074A5" w:rsidRPr="00AF1DC8" w:rsidRDefault="006074A5" w:rsidP="006074A5">
      <w:pPr>
        <w:bidi/>
        <w:rPr>
          <w:rFonts w:ascii="Narkisim" w:hAnsi="Narkisim" w:cs="Narkisim"/>
        </w:rPr>
      </w:pPr>
      <w:r w:rsidRPr="00AF1DC8">
        <w:rPr>
          <w:rFonts w:ascii="Narkisim" w:hAnsi="Narkisim" w:cs="Narkisim"/>
          <w:u w:val="single"/>
          <w:rtl/>
        </w:rPr>
        <w:t>תוד"ה אי.</w:t>
      </w:r>
      <w:r w:rsidRPr="00AF1DC8">
        <w:rPr>
          <w:rFonts w:ascii="Narkisim" w:hAnsi="Narkisim" w:cs="Narkisim"/>
          <w:rtl/>
        </w:rPr>
        <w:t xml:space="preserve"> מתוך פ"ה משמע דלרב ליכא לאו וכו'. וכ"כ </w:t>
      </w:r>
      <w:r w:rsidRPr="00AF1DC8">
        <w:rPr>
          <w:rFonts w:ascii="Narkisim" w:hAnsi="Narkisim" w:cs="Narkisim"/>
          <w:b/>
          <w:bCs/>
          <w:rtl/>
        </w:rPr>
        <w:t>רש"י</w:t>
      </w:r>
      <w:r w:rsidRPr="00AF1DC8">
        <w:rPr>
          <w:rFonts w:ascii="Narkisim" w:hAnsi="Narkisim" w:cs="Narkisim"/>
          <w:rtl/>
        </w:rPr>
        <w:t xml:space="preserve"> (לקמן נה: עי"ש) דהוה לאו הבא מכלל עשה. </w:t>
      </w:r>
      <w:r w:rsidRPr="00AF1DC8">
        <w:rPr>
          <w:rFonts w:ascii="Narkisim" w:hAnsi="Narkisim" w:cs="Narkisim"/>
          <w:sz w:val="20"/>
          <w:szCs w:val="20"/>
          <w:rtl/>
        </w:rPr>
        <w:t>וה</w:t>
      </w:r>
      <w:r w:rsidRPr="00AF1DC8">
        <w:rPr>
          <w:rFonts w:ascii="Narkisim" w:hAnsi="Narkisim" w:cs="Narkisim"/>
          <w:b/>
          <w:bCs/>
          <w:sz w:val="20"/>
          <w:szCs w:val="20"/>
          <w:rtl/>
        </w:rPr>
        <w:t>ערול"נ</w:t>
      </w:r>
      <w:r w:rsidRPr="00AF1DC8">
        <w:rPr>
          <w:rFonts w:ascii="Narkisim" w:hAnsi="Narkisim" w:cs="Narkisim"/>
          <w:sz w:val="20"/>
          <w:szCs w:val="20"/>
          <w:rtl/>
        </w:rPr>
        <w:t xml:space="preserve"> כתב דרש"י כתב כן רק לר' עקיבא.</w:t>
      </w:r>
      <w:r w:rsidRPr="00AF1DC8">
        <w:rPr>
          <w:rFonts w:ascii="Narkisim" w:hAnsi="Narkisim" w:cs="Narkisim"/>
          <w:rtl/>
        </w:rPr>
        <w:t xml:space="preserve"> וה</w:t>
      </w:r>
      <w:r w:rsidRPr="00AF1DC8">
        <w:rPr>
          <w:rFonts w:ascii="Narkisim" w:hAnsi="Narkisim" w:cs="Narkisim"/>
          <w:b/>
          <w:bCs/>
          <w:rtl/>
        </w:rPr>
        <w:t>בית מאיר</w:t>
      </w:r>
      <w:r w:rsidRPr="00AF1DC8">
        <w:rPr>
          <w:rFonts w:ascii="Narkisim" w:hAnsi="Narkisim" w:cs="Narkisim"/>
          <w:rtl/>
        </w:rPr>
        <w:t xml:space="preserve"> (יח) כת' דלדעת רש"י </w:t>
      </w:r>
      <w:r w:rsidRPr="00AF1DC8">
        <w:rPr>
          <w:rFonts w:ascii="Narkisim" w:hAnsi="Narkisim" w:cs="Narkisim"/>
          <w:rtl/>
        </w:rPr>
        <w:lastRenderedPageBreak/>
        <w:t>תלי במח' אביי ורבא (תמורה ד:) גבי אי עביד לא מהני, דלדעת רבא לוקה משום דעבר אמימרא דרחמנא. ואילו לדעת אביי במקום דלא אהנו מעשיו אינו לוקה</w:t>
      </w:r>
      <w:r w:rsidRPr="00AF1DC8">
        <w:rPr>
          <w:rFonts w:ascii="Narkisim" w:hAnsi="Narkisim" w:cs="Narkisim"/>
        </w:rPr>
        <w:t>.</w:t>
      </w:r>
    </w:p>
    <w:p w14:paraId="1F7D54A6" w14:textId="77777777" w:rsidR="006074A5" w:rsidRPr="00AF1DC8" w:rsidRDefault="006074A5" w:rsidP="006074A5">
      <w:pPr>
        <w:pStyle w:val="aa"/>
        <w:bidi/>
        <w:rPr>
          <w:rFonts w:ascii="Narkisim" w:hAnsi="Narkisim"/>
        </w:rPr>
      </w:pPr>
      <w:r w:rsidRPr="00AF1DC8">
        <w:rPr>
          <w:rFonts w:ascii="Narkisim" w:hAnsi="Narkisim"/>
          <w:u w:val="single"/>
          <w:rtl/>
        </w:rPr>
        <w:t>משנת ראב"י קב ונקי.</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מועט, דבמקומות מועטין הוא נזכר במשנה</w:t>
      </w:r>
      <w:r w:rsidRPr="00AF1DC8">
        <w:rPr>
          <w:rStyle w:val="ac"/>
          <w:rFonts w:ascii="Narkisim" w:hAnsi="Narkisim"/>
          <w:rtl/>
        </w:rPr>
        <w:footnoteReference w:id="3030"/>
      </w:r>
      <w:r w:rsidRPr="00AF1DC8">
        <w:rPr>
          <w:rFonts w:ascii="Narkisim" w:hAnsi="Narkisim"/>
        </w:rPr>
        <w:t xml:space="preserve"> </w:t>
      </w:r>
      <w:r w:rsidRPr="00AF1DC8">
        <w:rPr>
          <w:rFonts w:ascii="Narkisim" w:hAnsi="Narkisim"/>
          <w:rtl/>
        </w:rPr>
        <w:t>[או בברייתא</w:t>
      </w:r>
      <w:r w:rsidRPr="00AF1DC8">
        <w:rPr>
          <w:rStyle w:val="ac"/>
          <w:rFonts w:ascii="Narkisim" w:hAnsi="Narkisim"/>
          <w:rtl/>
        </w:rPr>
        <w:footnoteReference w:id="3031"/>
      </w:r>
      <w:r w:rsidRPr="00AF1DC8">
        <w:rPr>
          <w:rFonts w:ascii="Narkisim" w:hAnsi="Narkisim"/>
          <w:rtl/>
        </w:rPr>
        <w:t>]. וה</w:t>
      </w:r>
      <w:r w:rsidRPr="00AF1DC8">
        <w:rPr>
          <w:rFonts w:ascii="Narkisim" w:hAnsi="Narkisim"/>
          <w:b/>
          <w:bCs/>
          <w:rtl/>
        </w:rPr>
        <w:t>חכם צבי</w:t>
      </w:r>
      <w:r w:rsidRPr="00AF1DC8">
        <w:rPr>
          <w:rFonts w:ascii="Narkisim" w:hAnsi="Narkisim"/>
          <w:rtl/>
        </w:rPr>
        <w:t xml:space="preserve"> (י) הביא דשמעון בן עזאי שמצא כתוב במגילת סתרים היה הרבה קודם שסידר רבי את המשניות, וע"כ הך כלל לא קאי אמשניות שסידר רבי. אלא דאף קודם רבי היה ג"כ סדר משניות</w:t>
      </w:r>
      <w:r w:rsidRPr="00AF1DC8">
        <w:rPr>
          <w:rStyle w:val="ac"/>
          <w:rFonts w:ascii="Narkisim" w:hAnsi="Narkisim"/>
          <w:rtl/>
        </w:rPr>
        <w:footnoteReference w:id="3032"/>
      </w:r>
      <w:r w:rsidRPr="00AF1DC8">
        <w:rPr>
          <w:rFonts w:ascii="Narkisim" w:hAnsi="Narkisim"/>
        </w:rPr>
        <w:t>.</w:t>
      </w:r>
    </w:p>
    <w:p w14:paraId="26252831" w14:textId="77777777" w:rsidR="006074A5" w:rsidRPr="00AF1DC8" w:rsidRDefault="006074A5" w:rsidP="006074A5">
      <w:pPr>
        <w:pStyle w:val="aa"/>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דבברייתא (לעיל לז:) ראב"י ס"ל יש ממזר מאשת אח, א"כ דברי המגילת סתרים סתרי אהדדי</w:t>
      </w:r>
      <w:r w:rsidRPr="00AF1DC8">
        <w:rPr>
          <w:rStyle w:val="ac"/>
          <w:rFonts w:ascii="Narkisim" w:hAnsi="Narkisim"/>
          <w:rtl/>
        </w:rPr>
        <w:footnoteReference w:id="3033"/>
      </w:r>
      <w:r w:rsidRPr="00AF1DC8">
        <w:rPr>
          <w:rFonts w:ascii="Narkisim" w:hAnsi="Narkisim"/>
        </w:rPr>
        <w:t>.</w:t>
      </w:r>
    </w:p>
    <w:p w14:paraId="7A83A901" w14:textId="77777777" w:rsidR="006074A5" w:rsidRPr="00AF1DC8" w:rsidRDefault="006074A5" w:rsidP="006074A5">
      <w:pPr>
        <w:pStyle w:val="aa"/>
        <w:bidi/>
        <w:rPr>
          <w:rFonts w:ascii="Narkisim" w:hAnsi="Narkisim"/>
        </w:rPr>
      </w:pPr>
      <w:r w:rsidRPr="00AF1DC8">
        <w:rPr>
          <w:rFonts w:ascii="Narkisim" w:hAnsi="Narkisim"/>
          <w:u w:val="single"/>
          <w:rtl/>
        </w:rPr>
        <w:t>אספקלריא</w:t>
      </w:r>
      <w:r w:rsidRPr="00AF1DC8">
        <w:rPr>
          <w:rFonts w:ascii="Narkisim" w:hAnsi="Narkisim"/>
          <w:rtl/>
        </w:rPr>
        <w:t>. ה</w:t>
      </w:r>
      <w:r w:rsidRPr="00AF1DC8">
        <w:rPr>
          <w:rFonts w:ascii="Narkisim" w:hAnsi="Narkisim"/>
          <w:b/>
          <w:bCs/>
          <w:rtl/>
        </w:rPr>
        <w:t>ר"ש</w:t>
      </w:r>
      <w:r w:rsidRPr="00AF1DC8">
        <w:rPr>
          <w:rFonts w:ascii="Narkisim" w:hAnsi="Narkisim"/>
          <w:rtl/>
        </w:rPr>
        <w:t xml:space="preserve"> (כלים ל ב) פי' דהוה מראה זכוכית לראות צורת הפנים. אבל ה</w:t>
      </w:r>
      <w:r w:rsidRPr="00AF1DC8">
        <w:rPr>
          <w:rFonts w:ascii="Narkisim" w:hAnsi="Narkisim"/>
          <w:b/>
          <w:bCs/>
          <w:rtl/>
        </w:rPr>
        <w:t>רמב"ם</w:t>
      </w:r>
      <w:r w:rsidRPr="00AF1DC8">
        <w:rPr>
          <w:rFonts w:ascii="Narkisim" w:hAnsi="Narkisim"/>
          <w:rtl/>
        </w:rPr>
        <w:t xml:space="preserve"> (פיה"מ כלים שם) ביאר שהוא מסך, דהנראה מבעד מסך זכוכית אינו נראה במקומו האמיתי</w:t>
      </w:r>
      <w:r w:rsidRPr="00AF1DC8">
        <w:rPr>
          <w:rStyle w:val="ac"/>
          <w:rFonts w:ascii="Narkisim" w:hAnsi="Narkisim"/>
          <w:rtl/>
        </w:rPr>
        <w:footnoteReference w:id="3034"/>
      </w:r>
      <w:r w:rsidRPr="00AF1DC8">
        <w:rPr>
          <w:rFonts w:ascii="Narkisim" w:hAnsi="Narkisim"/>
        </w:rPr>
        <w:t xml:space="preserve">. </w:t>
      </w:r>
      <w:r w:rsidRPr="00AF1DC8">
        <w:rPr>
          <w:rFonts w:ascii="Narkisim" w:hAnsi="Narkisim"/>
          <w:rtl/>
        </w:rPr>
        <w:t>והוסיף דמשה רע"ה השיג את הבורא בתכלית מה שאפשר לאדם וכו</w:t>
      </w:r>
      <w:r w:rsidRPr="00AF1DC8">
        <w:rPr>
          <w:rFonts w:ascii="Narkisim" w:hAnsi="Narkisim"/>
        </w:rPr>
        <w:t>'.</w:t>
      </w:r>
    </w:p>
    <w:p w14:paraId="27F776F6" w14:textId="77777777" w:rsidR="006074A5" w:rsidRPr="00AF1DC8" w:rsidRDefault="006074A5" w:rsidP="006074A5">
      <w:pPr>
        <w:pStyle w:val="aa"/>
        <w:bidi/>
        <w:rPr>
          <w:rFonts w:ascii="Narkisim" w:hAnsi="Narkisim"/>
        </w:rPr>
      </w:pPr>
      <w:r w:rsidRPr="00AF1DC8">
        <w:rPr>
          <w:rFonts w:ascii="Narkisim" w:hAnsi="Narkisim"/>
          <w:u w:val="single"/>
          <w:rtl/>
        </w:rPr>
        <w:t>שאינה מאירה.</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כסבורין לראות ולא ראה</w:t>
      </w:r>
      <w:r w:rsidRPr="00AF1DC8">
        <w:rPr>
          <w:rStyle w:val="ac"/>
          <w:rFonts w:ascii="Narkisim" w:hAnsi="Narkisim"/>
          <w:rtl/>
        </w:rPr>
        <w:footnoteReference w:id="3035"/>
      </w:r>
      <w:r w:rsidRPr="00AF1DC8">
        <w:rPr>
          <w:rFonts w:ascii="Narkisim" w:hAnsi="Narkisim"/>
        </w:rPr>
        <w:t xml:space="preserve">. </w:t>
      </w: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בשם </w:t>
      </w:r>
      <w:r w:rsidRPr="00AF1DC8">
        <w:rPr>
          <w:rFonts w:ascii="Narkisim" w:hAnsi="Narkisim"/>
          <w:b/>
          <w:bCs/>
          <w:rtl/>
        </w:rPr>
        <w:t>ר"ח</w:t>
      </w:r>
      <w:r w:rsidRPr="00AF1DC8">
        <w:rPr>
          <w:rFonts w:ascii="Narkisim" w:hAnsi="Narkisim"/>
          <w:rtl/>
        </w:rPr>
        <w:t xml:space="preserve"> דשאר נביאים נדמה להם שראו מראה</w:t>
      </w:r>
      <w:r w:rsidRPr="00AF1DC8">
        <w:rPr>
          <w:rStyle w:val="ac"/>
          <w:rFonts w:ascii="Narkisim" w:hAnsi="Narkisim"/>
          <w:rtl/>
        </w:rPr>
        <w:footnoteReference w:id="3036"/>
      </w:r>
      <w:r w:rsidRPr="00AF1DC8">
        <w:rPr>
          <w:rFonts w:ascii="Narkisim" w:hAnsi="Narkisim"/>
        </w:rPr>
        <w:t xml:space="preserve">. </w:t>
      </w:r>
      <w:r w:rsidRPr="00AF1DC8">
        <w:rPr>
          <w:rFonts w:ascii="Narkisim" w:hAnsi="Narkisim"/>
          <w:rtl/>
        </w:rPr>
        <w:t>ומראה שרואין הוא דמיון (שהבינו מעצמן). ואילו משה נסתכל בכבוד והוד השכינה, באספקלריא מאירה מאחורי השכינה</w:t>
      </w:r>
      <w:r w:rsidRPr="00AF1DC8">
        <w:rPr>
          <w:rStyle w:val="ac"/>
          <w:rFonts w:ascii="Narkisim" w:hAnsi="Narkisim"/>
          <w:rtl/>
        </w:rPr>
        <w:footnoteReference w:id="3037"/>
      </w:r>
      <w:r w:rsidRPr="00AF1DC8">
        <w:rPr>
          <w:rFonts w:ascii="Narkisim" w:hAnsi="Narkisim"/>
        </w:rPr>
        <w:t xml:space="preserve">. </w:t>
      </w:r>
      <w:r w:rsidRPr="00AF1DC8">
        <w:rPr>
          <w:rFonts w:ascii="Narkisim" w:hAnsi="Narkisim"/>
          <w:rtl/>
        </w:rPr>
        <w:t>ולא ניתן לו רשות יותר. דלא ניתן לשום בריאה להסתכל בהוד והכבוד הגדול בכבוד השכינה. וה</w:t>
      </w:r>
      <w:r w:rsidRPr="00AF1DC8">
        <w:rPr>
          <w:rFonts w:ascii="Narkisim" w:hAnsi="Narkisim"/>
          <w:b/>
          <w:bCs/>
          <w:rtl/>
        </w:rPr>
        <w:t>רמב"ן</w:t>
      </w:r>
      <w:r w:rsidRPr="00AF1DC8">
        <w:rPr>
          <w:rFonts w:ascii="Narkisim" w:hAnsi="Narkisim"/>
          <w:rtl/>
        </w:rPr>
        <w:t xml:space="preserve"> כת' והאמת דכל הנביאים הסתכלו ב'עין', אבל משה רבינו הסתכל בהסתכלות הדעת, והיא תפארת ישראל</w:t>
      </w:r>
      <w:r w:rsidRPr="00AF1DC8">
        <w:rPr>
          <w:rFonts w:ascii="Narkisim" w:hAnsi="Narkisim"/>
        </w:rPr>
        <w:t>.</w:t>
      </w:r>
    </w:p>
    <w:p w14:paraId="5B9B8EE9"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 xml:space="preserve">רמב"ם </w:t>
      </w:r>
      <w:r w:rsidRPr="00AF1DC8">
        <w:rPr>
          <w:rFonts w:ascii="Narkisim" w:hAnsi="Narkisim"/>
          <w:rtl/>
        </w:rPr>
        <w:t>(יסוה"ת ז ו) כתב דכל הנביאים בחלום או במראה, ועל ידי מלאך ולפיכך רואין מה שהם רואין במשל וחידה. ומשה לא ע"פ מלאך, ואין שם משל, אלא רואה הדבר על בוריו בלא חידה ומשל</w:t>
      </w:r>
      <w:r w:rsidRPr="00AF1DC8">
        <w:rPr>
          <w:rFonts w:ascii="Narkisim" w:hAnsi="Narkisim"/>
        </w:rPr>
        <w:t>.</w:t>
      </w:r>
    </w:p>
    <w:p w14:paraId="79C66EC9" w14:textId="77777777" w:rsidR="006074A5" w:rsidRPr="00AF1DC8" w:rsidRDefault="006074A5" w:rsidP="006074A5">
      <w:pPr>
        <w:pStyle w:val="a8"/>
        <w:bidi/>
        <w:rPr>
          <w:rFonts w:ascii="Narkisim" w:hAnsi="Narkisim"/>
        </w:rPr>
      </w:pPr>
      <w:r w:rsidRPr="00AF1DC8">
        <w:rPr>
          <w:rFonts w:ascii="Narkisim" w:hAnsi="Narkisim"/>
          <w:rtl/>
        </w:rPr>
        <w:t>וה</w:t>
      </w:r>
      <w:r w:rsidRPr="00AF1DC8">
        <w:rPr>
          <w:rFonts w:ascii="Narkisim" w:hAnsi="Narkisim"/>
          <w:b/>
          <w:bCs/>
          <w:rtl/>
        </w:rPr>
        <w:t>מהרי"ל דיסקין</w:t>
      </w:r>
      <w:r w:rsidRPr="00AF1DC8">
        <w:rPr>
          <w:rFonts w:ascii="Narkisim" w:hAnsi="Narkisim"/>
          <w:rtl/>
        </w:rPr>
        <w:t xml:space="preserve"> (שו"ת סוף ח”ב, הו' באבי עזרי הל' יסוה"ת) כתב דשמחזות הנבואה בעולמות העליונים, ויורדת לאט עד שנמצא בהשגת הנביא. והנביא מסתכל בנפשו יודע הפתרון, וכל שנפשו זכה ובהירה רואה הפתרון צח יותר. וזהו שאמר שמשה ראה באספקלריא המאירה. אבל שאר נביאים לא נתנבאו שקר ח"ו, אלא שמתקיים הנבואה ע"י הבנת הנביא והפתרון. ומשה זכה לאפקלריא המאירה, ואף הנבואת שנמסרו לאברהם וכו' נמסרו למשה ברוה”ק ביתר עז, ולא כמעתיק, ולכן נקראת תורת משה. [וביאר עד"ז דנבואת בלעם היתה נבואה מפורשת, שלא יוכל לפרש ע"פ דעתו]</w:t>
      </w:r>
      <w:r w:rsidRPr="00AF1DC8">
        <w:rPr>
          <w:rFonts w:ascii="Narkisim" w:hAnsi="Narkisim"/>
        </w:rPr>
        <w:t>.</w:t>
      </w:r>
    </w:p>
    <w:p w14:paraId="4C9515AC" w14:textId="77777777" w:rsidR="006074A5" w:rsidRPr="00AF1DC8" w:rsidRDefault="006074A5" w:rsidP="006074A5">
      <w:pPr>
        <w:pStyle w:val="3"/>
        <w:bidi/>
        <w:rPr>
          <w:rFonts w:ascii="Narkisim" w:hAnsi="Narkisim"/>
        </w:rPr>
      </w:pPr>
      <w:r w:rsidRPr="00AF1DC8">
        <w:rPr>
          <w:rFonts w:ascii="Narkisim" w:hAnsi="Narkisim"/>
          <w:rtl/>
        </w:rPr>
        <w:t>דף נ</w:t>
      </w:r>
      <w:r w:rsidRPr="00AF1DC8">
        <w:rPr>
          <w:rFonts w:ascii="Narkisim" w:hAnsi="Narkisim"/>
        </w:rPr>
        <w:t>.</w:t>
      </w:r>
    </w:p>
    <w:p w14:paraId="0E6D3CAE" w14:textId="77777777" w:rsidR="006074A5" w:rsidRPr="00AF1DC8" w:rsidRDefault="006074A5" w:rsidP="006074A5">
      <w:pPr>
        <w:pStyle w:val="aa"/>
        <w:bidi/>
        <w:rPr>
          <w:rFonts w:ascii="Narkisim" w:hAnsi="Narkisim"/>
        </w:rPr>
      </w:pPr>
      <w:r w:rsidRPr="00AF1DC8">
        <w:rPr>
          <w:rFonts w:ascii="Narkisim" w:hAnsi="Narkisim"/>
          <w:u w:val="single"/>
          <w:rtl/>
        </w:rPr>
        <w:t>זכה משלימין לו וכו' דברי ר"ע.</w:t>
      </w:r>
      <w:r w:rsidRPr="00AF1DC8">
        <w:rPr>
          <w:rFonts w:ascii="Narkisim" w:hAnsi="Narkisim"/>
          <w:rtl/>
        </w:rPr>
        <w:t xml:space="preserve"> ולר"ע אין מוסיפין אפי' ע”י זכות. ה</w:t>
      </w:r>
      <w:r w:rsidRPr="00AF1DC8">
        <w:rPr>
          <w:rFonts w:ascii="Narkisim" w:hAnsi="Narkisim"/>
          <w:b/>
          <w:bCs/>
          <w:rtl/>
        </w:rPr>
        <w:t>מהרש"א</w:t>
      </w:r>
      <w:r w:rsidRPr="00AF1DC8">
        <w:rPr>
          <w:rFonts w:ascii="Narkisim" w:hAnsi="Narkisim"/>
          <w:rtl/>
        </w:rPr>
        <w:t xml:space="preserve"> (ח"א) הקשה דמבואר גבי משה שנתמלאו לו ק"כ שנותיו, ואפ"ה לולי חטא מי מריבה היה נכנס לארץ, וע”כ היה מאריך עוד שנים. עי"ש. וב</w:t>
      </w:r>
      <w:r w:rsidRPr="00AF1DC8">
        <w:rPr>
          <w:rFonts w:ascii="Narkisim" w:hAnsi="Narkisim"/>
          <w:b/>
          <w:bCs/>
          <w:rtl/>
        </w:rPr>
        <w:t>ערול”נ</w:t>
      </w:r>
      <w:r w:rsidRPr="00AF1DC8">
        <w:rPr>
          <w:rFonts w:ascii="Narkisim" w:hAnsi="Narkisim"/>
          <w:rtl/>
        </w:rPr>
        <w:t xml:space="preserve"> תי' דדינו כמלך, וכדין ציבור דקורעין גמר דינו. ובהג' ראמ"ה כתב דאף לר' עקיבא יתכן להוסיף לו, אלא יותר מסתבר לתלות דממנו הוא</w:t>
      </w:r>
      <w:r w:rsidRPr="00AF1DC8">
        <w:rPr>
          <w:rFonts w:ascii="Narkisim" w:hAnsi="Narkisim"/>
        </w:rPr>
        <w:t>.</w:t>
      </w:r>
    </w:p>
    <w:p w14:paraId="0FBDA6D8" w14:textId="77777777" w:rsidR="006074A5" w:rsidRPr="00AF1DC8" w:rsidRDefault="006074A5" w:rsidP="006074A5">
      <w:pPr>
        <w:bidi/>
        <w:rPr>
          <w:rFonts w:ascii="Narkisim" w:hAnsi="Narkisim" w:cs="Narkisim"/>
        </w:rPr>
      </w:pPr>
      <w:r w:rsidRPr="00AF1DC8">
        <w:rPr>
          <w:rFonts w:ascii="Narkisim" w:hAnsi="Narkisim" w:cs="Narkisim"/>
          <w:u w:val="single"/>
          <w:rtl/>
        </w:rPr>
        <w:t>אמר רב יוסף כאן שנה רבי משנה שאי"צ</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דזיל קרי ביה רב הוא. [ותוס' הק' דבכ"מ המשנה שונה מה שמפורש בפסוק</w:t>
      </w:r>
      <w:r w:rsidRPr="00AF1DC8">
        <w:rPr>
          <w:rStyle w:val="ac"/>
          <w:rFonts w:ascii="Narkisim" w:hAnsi="Narkisim" w:cs="Narkisim"/>
          <w:rtl/>
        </w:rPr>
        <w:footnoteReference w:id="3038"/>
      </w:r>
      <w:r w:rsidRPr="00AF1DC8">
        <w:rPr>
          <w:rFonts w:ascii="Narkisim" w:hAnsi="Narkisim" w:cs="Narkisim"/>
          <w:rtl/>
        </w:rPr>
        <w:t>]. ותוס' פי' דקו' הגמ' דבבא דיבמתו ילפי' מרישא. וה</w:t>
      </w:r>
      <w:r w:rsidRPr="00AF1DC8">
        <w:rPr>
          <w:rFonts w:ascii="Narkisim" w:hAnsi="Narkisim" w:cs="Narkisim"/>
          <w:b/>
          <w:bCs/>
          <w:rtl/>
        </w:rPr>
        <w:t>תו"י</w:t>
      </w:r>
      <w:r w:rsidRPr="00AF1DC8">
        <w:rPr>
          <w:rFonts w:ascii="Narkisim" w:hAnsi="Narkisim" w:cs="Narkisim"/>
          <w:rtl/>
        </w:rPr>
        <w:t xml:space="preserve"> (וכן </w:t>
      </w:r>
      <w:r w:rsidRPr="00AF1DC8">
        <w:rPr>
          <w:rFonts w:ascii="Narkisim" w:hAnsi="Narkisim" w:cs="Narkisim"/>
          <w:b/>
          <w:bCs/>
          <w:rtl/>
        </w:rPr>
        <w:t>תוס</w:t>
      </w:r>
      <w:r w:rsidRPr="00AF1DC8">
        <w:rPr>
          <w:rFonts w:ascii="Narkisim" w:hAnsi="Narkisim" w:cs="Narkisim"/>
          <w:rtl/>
        </w:rPr>
        <w:t>' לעיל יז:) ביארו דרב יוסף (מגילה יח:) ס"ל דאין זיקה, ויבמתו מותרת אף בחייה</w:t>
      </w:r>
      <w:r w:rsidRPr="00AF1DC8">
        <w:rPr>
          <w:rFonts w:ascii="Narkisim" w:hAnsi="Narkisim" w:cs="Narkisim"/>
        </w:rPr>
        <w:t>.</w:t>
      </w:r>
    </w:p>
    <w:p w14:paraId="79B678D1" w14:textId="77777777" w:rsidR="006074A5" w:rsidRPr="00AF1DC8" w:rsidRDefault="006074A5" w:rsidP="006074A5">
      <w:pPr>
        <w:pStyle w:val="a7"/>
        <w:bidi/>
        <w:rPr>
          <w:rFonts w:ascii="Narkisim" w:hAnsi="Narkisim"/>
        </w:rPr>
      </w:pPr>
      <w:r w:rsidRPr="00AF1DC8">
        <w:rPr>
          <w:rFonts w:ascii="Narkisim" w:hAnsi="Narkisim"/>
          <w:rtl/>
        </w:rPr>
        <w:lastRenderedPageBreak/>
        <w:t>וה</w:t>
      </w:r>
      <w:r w:rsidRPr="00AF1DC8">
        <w:rPr>
          <w:rFonts w:ascii="Narkisim" w:hAnsi="Narkisim"/>
          <w:b/>
          <w:bCs/>
          <w:rtl/>
        </w:rPr>
        <w:t>רמב"ן</w:t>
      </w:r>
      <w:r w:rsidRPr="00AF1DC8">
        <w:rPr>
          <w:rFonts w:ascii="Narkisim" w:hAnsi="Narkisim"/>
          <w:rtl/>
        </w:rPr>
        <w:t xml:space="preserve"> פי' דכל הבבא הוה אי"צ, דכבר נשנה במשנה (לעיל מא.)</w:t>
      </w:r>
      <w:r w:rsidRPr="00AF1DC8">
        <w:rPr>
          <w:rFonts w:ascii="Narkisim" w:hAnsi="Narkisim"/>
        </w:rPr>
        <w:t>.</w:t>
      </w:r>
    </w:p>
    <w:p w14:paraId="6845EDA6" w14:textId="77777777" w:rsidR="006074A5" w:rsidRPr="00AF1DC8" w:rsidRDefault="006074A5" w:rsidP="006074A5">
      <w:pPr>
        <w:pStyle w:val="2"/>
        <w:bidi/>
        <w:rPr>
          <w:rFonts w:ascii="Narkisim" w:hAnsi="Narkisim"/>
        </w:rPr>
      </w:pPr>
      <w:r w:rsidRPr="00AF1DC8">
        <w:rPr>
          <w:rFonts w:ascii="Narkisim" w:hAnsi="Narkisim"/>
          <w:rtl/>
        </w:rPr>
        <w:t>הדרן עלך פרק החולץ</w:t>
      </w:r>
    </w:p>
    <w:p w14:paraId="1EF27253" w14:textId="77777777" w:rsidR="006074A5" w:rsidRPr="00C26AFA" w:rsidRDefault="006074A5" w:rsidP="006074A5">
      <w:pPr>
        <w:pStyle w:val="a9"/>
        <w:bidi/>
        <w:rPr>
          <w:rFonts w:ascii="Narkisim" w:hAnsi="Narkisim"/>
        </w:rPr>
      </w:pPr>
      <w:r w:rsidRPr="00C26AFA">
        <w:rPr>
          <w:rFonts w:ascii="Narkisim" w:hAnsi="Narkisim"/>
          <w:rtl/>
        </w:rPr>
        <w:t>בס"ד</w:t>
      </w:r>
    </w:p>
    <w:p w14:paraId="56189CEA" w14:textId="77777777" w:rsidR="006074A5" w:rsidRPr="00C26AFA" w:rsidRDefault="006074A5" w:rsidP="006074A5">
      <w:pPr>
        <w:pStyle w:val="3"/>
        <w:bidi/>
        <w:rPr>
          <w:rFonts w:ascii="Narkisim" w:hAnsi="Narkisim"/>
          <w:szCs w:val="2"/>
        </w:rPr>
      </w:pPr>
      <w:r w:rsidRPr="00C26AFA">
        <w:rPr>
          <w:rFonts w:ascii="Narkisim" w:hAnsi="Narkisim"/>
          <w:szCs w:val="2"/>
          <w:rtl/>
        </w:rPr>
        <w:t>דף נ.</w:t>
      </w:r>
    </w:p>
    <w:p w14:paraId="094890C8" w14:textId="77777777" w:rsidR="006074A5" w:rsidRPr="00C26AFA" w:rsidRDefault="006074A5" w:rsidP="006074A5">
      <w:pPr>
        <w:pStyle w:val="1"/>
        <w:bidi/>
        <w:rPr>
          <w:rFonts w:ascii="Narkisim" w:hAnsi="Narkisim"/>
        </w:rPr>
      </w:pPr>
      <w:r w:rsidRPr="00C26AFA">
        <w:rPr>
          <w:rFonts w:ascii="Narkisim" w:hAnsi="Narkisim"/>
          <w:rtl/>
        </w:rPr>
        <w:t>פרק רבן גמליאל</w:t>
      </w:r>
    </w:p>
    <w:p w14:paraId="3FE6FEFB" w14:textId="77777777" w:rsidR="006074A5" w:rsidRPr="00C26AFA" w:rsidRDefault="006074A5" w:rsidP="006074A5">
      <w:pPr>
        <w:pStyle w:val="aa"/>
        <w:bidi/>
        <w:rPr>
          <w:rFonts w:ascii="Narkisim" w:hAnsi="Narkisim"/>
        </w:rPr>
      </w:pPr>
      <w:r w:rsidRPr="00C26AFA">
        <w:rPr>
          <w:rFonts w:ascii="Narkisim" w:hAnsi="Narkisim"/>
          <w:u w:val="single"/>
          <w:rtl/>
        </w:rPr>
        <w:t>אין גט וכו' מאמר וכו' בעילה וכו' חליצה</w:t>
      </w:r>
      <w:r w:rsidRPr="00C26AFA">
        <w:rPr>
          <w:rFonts w:ascii="Narkisim" w:hAnsi="Narkisim"/>
          <w:rtl/>
        </w:rPr>
        <w:t>. ה</w:t>
      </w:r>
      <w:r w:rsidRPr="00C26AFA">
        <w:rPr>
          <w:rFonts w:ascii="Narkisim" w:hAnsi="Narkisim"/>
          <w:b/>
          <w:bCs/>
          <w:rtl/>
        </w:rPr>
        <w:t>ריטב"א</w:t>
      </w:r>
      <w:r w:rsidRPr="00C26AFA">
        <w:rPr>
          <w:rFonts w:ascii="Narkisim" w:hAnsi="Narkisim"/>
          <w:rtl/>
        </w:rPr>
        <w:t xml:space="preserve"> פי' דהמשנה מקדים לפרש דיני מאמר וגט, דהוה מדרבנן וחביבין (וכהא דלעיל ב:).</w:t>
      </w:r>
    </w:p>
    <w:p w14:paraId="1BD0B11D" w14:textId="77777777" w:rsidR="006074A5" w:rsidRPr="00C26AFA" w:rsidRDefault="006074A5" w:rsidP="006074A5">
      <w:pPr>
        <w:bidi/>
        <w:rPr>
          <w:rFonts w:ascii="Narkisim" w:hAnsi="Narkisim" w:cs="Narkisim"/>
        </w:rPr>
      </w:pPr>
      <w:r w:rsidRPr="00C26AFA">
        <w:rPr>
          <w:rFonts w:ascii="Narkisim" w:hAnsi="Narkisim" w:cs="Narkisim"/>
          <w:u w:val="single"/>
          <w:rtl/>
        </w:rPr>
        <w:t>רש”י ד”ה אין גט.</w:t>
      </w:r>
      <w:r w:rsidRPr="00C26AFA">
        <w:rPr>
          <w:rFonts w:ascii="Narkisim" w:hAnsi="Narkisim" w:cs="Narkisim"/>
          <w:rtl/>
        </w:rPr>
        <w:t xml:space="preserve"> דאי קמא אהני הא פקעה זיקה דתרוייהו, והוי כמגרש נכרית. וממ"נ גט שני אינו אוסר. </w:t>
      </w:r>
      <w:r w:rsidRPr="00C26AFA">
        <w:rPr>
          <w:rFonts w:ascii="Narkisim" w:hAnsi="Narkisim" w:cs="Narkisim"/>
          <w:b/>
          <w:bCs/>
          <w:rtl/>
        </w:rPr>
        <w:t>רש"י</w:t>
      </w:r>
      <w:r w:rsidRPr="00C26AFA">
        <w:rPr>
          <w:rFonts w:ascii="Narkisim" w:hAnsi="Narkisim" w:cs="Narkisim"/>
          <w:rtl/>
        </w:rPr>
        <w:t xml:space="preserve"> פי' כדברי רבא (בגמ' נא.) דסברת ר”ג דמספקא ליה האם גט ומאמר מהני. אבל למסקנא (אביי שם) סברת ר”ג דל"מ גט אחר גט, דכבר דחה קמא. והא דמהני מאמר אחר גט משום דתקנו מאמר בחד צד וגט בצד אחר</w:t>
      </w:r>
      <w:r w:rsidRPr="00C26AFA">
        <w:rPr>
          <w:rStyle w:val="ac"/>
          <w:rFonts w:ascii="Narkisim" w:hAnsi="Narkisim" w:cs="Narkisim"/>
          <w:rtl/>
        </w:rPr>
        <w:footnoteReference w:id="3039"/>
      </w:r>
      <w:r w:rsidRPr="00C26AFA">
        <w:rPr>
          <w:rFonts w:ascii="Narkisim" w:hAnsi="Narkisim" w:cs="Narkisim"/>
          <w:rtl/>
        </w:rPr>
        <w:t>.</w:t>
      </w:r>
    </w:p>
    <w:p w14:paraId="3027556A"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ערול”נ</w:t>
      </w:r>
      <w:r w:rsidRPr="00C26AFA">
        <w:rPr>
          <w:rFonts w:ascii="Narkisim" w:hAnsi="Narkisim"/>
          <w:rtl/>
        </w:rPr>
        <w:t xml:space="preserve"> דייק מלשון רש”י דהגט מהני מדאורייתא להפקיע זיקה ולהתירה לשוק [לרבא] ומש”ה הוה כנכרית בעלמא. והוה ספק האם ילפי' דמהני גט ביבמה מק"ו מאשת איש </w:t>
      </w:r>
      <w:r w:rsidRPr="00C26AFA">
        <w:rPr>
          <w:rFonts w:ascii="Narkisim" w:hAnsi="Narkisim"/>
          <w:sz w:val="20"/>
          <w:szCs w:val="20"/>
          <w:rtl/>
        </w:rPr>
        <w:t xml:space="preserve">[וכס"ד בגמ' (קידושין יד.), וכמ”ש </w:t>
      </w:r>
      <w:r w:rsidRPr="00C26AFA">
        <w:rPr>
          <w:rFonts w:ascii="Narkisim" w:hAnsi="Narkisim"/>
          <w:b/>
          <w:bCs/>
          <w:sz w:val="20"/>
          <w:szCs w:val="20"/>
          <w:rtl/>
        </w:rPr>
        <w:t>תוס</w:t>
      </w:r>
      <w:r w:rsidRPr="00C26AFA">
        <w:rPr>
          <w:rFonts w:ascii="Narkisim" w:hAnsi="Narkisim"/>
          <w:sz w:val="20"/>
          <w:szCs w:val="20"/>
          <w:rtl/>
        </w:rPr>
        <w:t xml:space="preserve">' (נא: ד”ה ביאה) בשם </w:t>
      </w:r>
      <w:r w:rsidRPr="00C26AFA">
        <w:rPr>
          <w:rFonts w:ascii="Narkisim" w:hAnsi="Narkisim"/>
          <w:b/>
          <w:bCs/>
          <w:sz w:val="20"/>
          <w:szCs w:val="20"/>
          <w:rtl/>
        </w:rPr>
        <w:t>ר' יצחק בר' ברוך</w:t>
      </w:r>
      <w:r w:rsidRPr="00C26AFA">
        <w:rPr>
          <w:rFonts w:ascii="Narkisim" w:hAnsi="Narkisim"/>
          <w:sz w:val="20"/>
          <w:szCs w:val="20"/>
          <w:rtl/>
        </w:rPr>
        <w:t xml:space="preserve"> לדעת ר' נחמיה דמהני גט ומאמר מדאורייתא]</w:t>
      </w:r>
      <w:r w:rsidRPr="00C26AFA">
        <w:rPr>
          <w:rFonts w:ascii="Narkisim" w:hAnsi="Narkisim"/>
          <w:rtl/>
        </w:rPr>
        <w:t>.</w:t>
      </w:r>
    </w:p>
    <w:p w14:paraId="70049FF7" w14:textId="77777777" w:rsidR="006074A5" w:rsidRPr="00C26AFA" w:rsidRDefault="006074A5" w:rsidP="006074A5">
      <w:pPr>
        <w:pStyle w:val="a7"/>
        <w:bidi/>
        <w:rPr>
          <w:rFonts w:ascii="Narkisim" w:hAnsi="Narkisim"/>
        </w:rPr>
      </w:pPr>
      <w:r w:rsidRPr="00C26AFA">
        <w:rPr>
          <w:rFonts w:ascii="Narkisim" w:hAnsi="Narkisim"/>
          <w:rtl/>
        </w:rPr>
        <w:t xml:space="preserve">אבל </w:t>
      </w:r>
      <w:r w:rsidRPr="00C26AFA">
        <w:rPr>
          <w:rFonts w:ascii="Narkisim" w:hAnsi="Narkisim"/>
          <w:b/>
          <w:bCs/>
          <w:rtl/>
        </w:rPr>
        <w:t>תוס'</w:t>
      </w:r>
      <w:r w:rsidRPr="00C26AFA">
        <w:rPr>
          <w:rFonts w:ascii="Narkisim" w:hAnsi="Narkisim"/>
          <w:rtl/>
        </w:rPr>
        <w:t xml:space="preserve"> (נא: הנ”ל) כת' דלא מצאנו שום תנא דגט מהני מדאורייתא לפטור [ודחו דברי ר"י ב"ב הנ”ל]. וכ"ד רוב ה</w:t>
      </w:r>
      <w:r w:rsidRPr="00C26AFA">
        <w:rPr>
          <w:rFonts w:ascii="Narkisim" w:hAnsi="Narkisim"/>
          <w:b/>
          <w:bCs/>
          <w:rtl/>
        </w:rPr>
        <w:t>ראשונים</w:t>
      </w:r>
      <w:r w:rsidRPr="00C26AFA">
        <w:rPr>
          <w:rFonts w:ascii="Narkisim" w:hAnsi="Narkisim"/>
          <w:rtl/>
        </w:rPr>
        <w:t xml:space="preserve"> (נא.). </w:t>
      </w:r>
      <w:r w:rsidRPr="00C26AFA">
        <w:rPr>
          <w:rFonts w:ascii="Narkisim" w:hAnsi="Narkisim"/>
          <w:sz w:val="20"/>
          <w:szCs w:val="20"/>
          <w:rtl/>
        </w:rPr>
        <w:t>וכן יש שפי' דכוונת רש"י דמדרבנן החשיבו כמגרש נכרית, וכאילו פקע הזיקה.</w:t>
      </w:r>
    </w:p>
    <w:p w14:paraId="7C79CC79"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קר"א</w:t>
      </w:r>
      <w:r w:rsidRPr="00C26AFA">
        <w:rPr>
          <w:rFonts w:ascii="Narkisim" w:hAnsi="Narkisim"/>
          <w:rtl/>
        </w:rPr>
        <w:t xml:space="preserve"> (נא.) נסתפק בזה האם לרבא מהני לר"ג מדאורייתא, והביא דב</w:t>
      </w:r>
      <w:r w:rsidRPr="00C26AFA">
        <w:rPr>
          <w:rFonts w:ascii="Narkisim" w:hAnsi="Narkisim"/>
          <w:b/>
          <w:bCs/>
          <w:rtl/>
        </w:rPr>
        <w:t>ירושלמי</w:t>
      </w:r>
      <w:r w:rsidRPr="00C26AFA">
        <w:rPr>
          <w:rFonts w:ascii="Narkisim" w:hAnsi="Narkisim"/>
          <w:rtl/>
        </w:rPr>
        <w:t xml:space="preserve"> (הו' ברשב"א נא.) מבואר דמהני מדאורייתא [לאסור לאחים], אך כתב דבבבלי מבואר דהוה מדרבנן</w:t>
      </w:r>
      <w:r w:rsidRPr="00C26AFA">
        <w:rPr>
          <w:rStyle w:val="ac"/>
          <w:rFonts w:ascii="Narkisim" w:hAnsi="Narkisim"/>
          <w:rtl/>
        </w:rPr>
        <w:footnoteReference w:id="3040"/>
      </w:r>
      <w:r w:rsidRPr="00C26AFA">
        <w:rPr>
          <w:rFonts w:ascii="Narkisim" w:hAnsi="Narkisim"/>
          <w:rtl/>
        </w:rPr>
        <w:t>.</w:t>
      </w:r>
    </w:p>
    <w:p w14:paraId="67A64700" w14:textId="77777777" w:rsidR="006074A5" w:rsidRPr="00C26AFA" w:rsidRDefault="006074A5" w:rsidP="006074A5">
      <w:pPr>
        <w:pStyle w:val="aa"/>
        <w:bidi/>
        <w:rPr>
          <w:rFonts w:ascii="Narkisim" w:hAnsi="Narkisim"/>
        </w:rPr>
      </w:pPr>
      <w:r w:rsidRPr="00C26AFA">
        <w:rPr>
          <w:rFonts w:ascii="Narkisim" w:hAnsi="Narkisim"/>
          <w:u w:val="single"/>
          <w:rtl/>
        </w:rPr>
        <w:t>רש"י ד"ה ולא בעילה אחר בעילה.</w:t>
      </w:r>
      <w:r w:rsidRPr="00C26AFA">
        <w:rPr>
          <w:rFonts w:ascii="Narkisim" w:hAnsi="Narkisim"/>
          <w:rtl/>
        </w:rPr>
        <w:t xml:space="preserve"> ובא הוא על צרתה, ביאת זנות בעלמא היא. וכ"כ ה</w:t>
      </w:r>
      <w:r w:rsidRPr="00C26AFA">
        <w:rPr>
          <w:rFonts w:ascii="Narkisim" w:hAnsi="Narkisim"/>
          <w:b/>
          <w:bCs/>
          <w:rtl/>
        </w:rPr>
        <w:t>מאירי</w:t>
      </w:r>
      <w:r w:rsidRPr="00C26AFA">
        <w:rPr>
          <w:rFonts w:ascii="Narkisim" w:hAnsi="Narkisim"/>
          <w:rtl/>
        </w:rPr>
        <w:t xml:space="preserve"> דאיירי דרך זנות בעלמא</w:t>
      </w:r>
      <w:r w:rsidRPr="00C26AFA">
        <w:rPr>
          <w:rStyle w:val="ac"/>
          <w:rFonts w:ascii="Narkisim" w:hAnsi="Narkisim"/>
          <w:rtl/>
        </w:rPr>
        <w:footnoteReference w:id="3041"/>
      </w:r>
      <w:r w:rsidRPr="00C26AFA">
        <w:rPr>
          <w:rFonts w:ascii="Narkisim" w:hAnsi="Narkisim"/>
          <w:rtl/>
        </w:rPr>
        <w:t xml:space="preserve"> [ולא איירי לשם קידושין]. ואילו בעל לשם קידושין לרבנן תפסי קידושין, ולר"ע לא תפסי. אבל </w:t>
      </w:r>
      <w:r w:rsidRPr="00C26AFA">
        <w:rPr>
          <w:rFonts w:ascii="Narkisim" w:hAnsi="Narkisim"/>
          <w:b/>
          <w:bCs/>
          <w:rtl/>
        </w:rPr>
        <w:t>רע"א</w:t>
      </w:r>
      <w:r w:rsidRPr="00C26AFA">
        <w:rPr>
          <w:rFonts w:ascii="Narkisim" w:hAnsi="Narkisim"/>
          <w:rtl/>
        </w:rPr>
        <w:t xml:space="preserve"> כתב דהרישא ע"כ כר' עקיבא דאין קידושין תופסין בחייבי לאוין</w:t>
      </w:r>
      <w:r w:rsidRPr="00C26AFA">
        <w:rPr>
          <w:rStyle w:val="ac"/>
          <w:rFonts w:ascii="Narkisim" w:hAnsi="Narkisim"/>
          <w:rtl/>
        </w:rPr>
        <w:footnoteReference w:id="3042"/>
      </w:r>
      <w:r w:rsidRPr="00C26AFA">
        <w:rPr>
          <w:rFonts w:ascii="Narkisim" w:hAnsi="Narkisim"/>
          <w:rtl/>
        </w:rPr>
        <w:t xml:space="preserve">. [וכ"כ כמה </w:t>
      </w:r>
      <w:r w:rsidRPr="00C26AFA">
        <w:rPr>
          <w:rFonts w:ascii="Narkisim" w:hAnsi="Narkisim"/>
          <w:b/>
          <w:bCs/>
          <w:rtl/>
        </w:rPr>
        <w:t>ראשונים</w:t>
      </w:r>
      <w:r w:rsidRPr="00C26AFA">
        <w:rPr>
          <w:rFonts w:ascii="Narkisim" w:hAnsi="Narkisim"/>
          <w:rtl/>
        </w:rPr>
        <w:t xml:space="preserve"> דהסיפא דהבעילה כשהיא בתחילה אין אחריה כלום קאי כר' עקיבא, וע”ע נג.].</w:t>
      </w:r>
    </w:p>
    <w:p w14:paraId="70FEAD61" w14:textId="77777777" w:rsidR="006074A5" w:rsidRPr="00C26AFA" w:rsidRDefault="006074A5" w:rsidP="006074A5">
      <w:pPr>
        <w:bidi/>
        <w:rPr>
          <w:rFonts w:ascii="Narkisim" w:hAnsi="Narkisim" w:cs="Narkisim"/>
        </w:rPr>
      </w:pPr>
      <w:r w:rsidRPr="00C26AFA">
        <w:rPr>
          <w:rFonts w:ascii="Narkisim" w:hAnsi="Narkisim" w:cs="Narkisim"/>
          <w:u w:val="single"/>
          <w:rtl/>
        </w:rPr>
        <w:t>תוד"ה ר"ג, אין מאמר אחר מאמר.</w:t>
      </w:r>
      <w:r w:rsidRPr="00C26AFA">
        <w:rPr>
          <w:rFonts w:ascii="Narkisim" w:hAnsi="Narkisim" w:cs="Narkisim"/>
          <w:rtl/>
        </w:rPr>
        <w:t xml:space="preserve"> אבל הכא שהיא זקוקה לו וכו'. ה</w:t>
      </w:r>
      <w:r w:rsidRPr="00C26AFA">
        <w:rPr>
          <w:rFonts w:ascii="Narkisim" w:hAnsi="Narkisim" w:cs="Narkisim"/>
          <w:b/>
          <w:bCs/>
          <w:rtl/>
        </w:rPr>
        <w:t>אחרונים</w:t>
      </w:r>
      <w:r w:rsidRPr="00C26AFA">
        <w:rPr>
          <w:rFonts w:ascii="Narkisim" w:hAnsi="Narkisim" w:cs="Narkisim"/>
          <w:rtl/>
        </w:rPr>
        <w:t xml:space="preserve"> הביאו דמשמע מדברי התוס' דלא תפסי קידושין מחמת שהיא זקוקה לו. וגזיה"כ שיקנה רק דרך יבום. </w:t>
      </w:r>
      <w:r w:rsidRPr="00C26AFA">
        <w:rPr>
          <w:rFonts w:ascii="Narkisim" w:hAnsi="Narkisim" w:cs="Narkisim"/>
          <w:sz w:val="20"/>
          <w:szCs w:val="20"/>
          <w:rtl/>
        </w:rPr>
        <w:t xml:space="preserve">[ואילו </w:t>
      </w:r>
      <w:r w:rsidRPr="00C26AFA">
        <w:rPr>
          <w:rFonts w:ascii="Narkisim" w:hAnsi="Narkisim" w:cs="Narkisim"/>
          <w:b/>
          <w:bCs/>
          <w:sz w:val="20"/>
          <w:szCs w:val="20"/>
          <w:rtl/>
        </w:rPr>
        <w:t>רש"י</w:t>
      </w:r>
      <w:r w:rsidRPr="00C26AFA">
        <w:rPr>
          <w:rFonts w:ascii="Narkisim" w:hAnsi="Narkisim" w:cs="Narkisim"/>
          <w:sz w:val="20"/>
          <w:szCs w:val="20"/>
          <w:rtl/>
        </w:rPr>
        <w:t xml:space="preserve"> (לקמן נב.) כת' הטעם דקיימא באיסור  אשת אח כלפי קידושין דעלמא].</w:t>
      </w:r>
    </w:p>
    <w:p w14:paraId="754E4F08"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w:t>
      </w:r>
      <w:r w:rsidRPr="00C26AFA">
        <w:rPr>
          <w:rFonts w:ascii="Narkisim" w:hAnsi="Narkisim"/>
          <w:sz w:val="20"/>
          <w:szCs w:val="20"/>
          <w:rtl/>
        </w:rPr>
        <w:t>(אבנ"מ קעד, בדעת הרשב”א)</w:t>
      </w:r>
      <w:r w:rsidRPr="00C26AFA">
        <w:rPr>
          <w:rFonts w:ascii="Narkisim" w:hAnsi="Narkisim"/>
          <w:rtl/>
        </w:rPr>
        <w:t xml:space="preserve"> דנו לפרש דהוה גזיה"כ ביאה גומרת ואין כסף ושטר גומרין בו.</w:t>
      </w:r>
      <w:r w:rsidRPr="00C26AFA">
        <w:rPr>
          <w:rFonts w:ascii="Narkisim" w:hAnsi="Narkisim"/>
          <w:sz w:val="20"/>
          <w:szCs w:val="20"/>
          <w:rtl/>
        </w:rPr>
        <w:t xml:space="preserve"> וכן משמע מדברי ה</w:t>
      </w:r>
      <w:r w:rsidRPr="00C26AFA">
        <w:rPr>
          <w:rFonts w:ascii="Narkisim" w:hAnsi="Narkisim"/>
          <w:b/>
          <w:bCs/>
          <w:sz w:val="20"/>
          <w:szCs w:val="20"/>
          <w:rtl/>
        </w:rPr>
        <w:t>רמב"ם</w:t>
      </w:r>
      <w:r w:rsidRPr="00C26AFA">
        <w:rPr>
          <w:rFonts w:ascii="Narkisim" w:hAnsi="Narkisim"/>
          <w:sz w:val="20"/>
          <w:szCs w:val="20"/>
          <w:rtl/>
        </w:rPr>
        <w:t xml:space="preserve"> בפיה"מ (כאן)</w:t>
      </w:r>
      <w:r w:rsidRPr="00C26AFA">
        <w:rPr>
          <w:rFonts w:ascii="Narkisim" w:hAnsi="Narkisim"/>
          <w:rtl/>
        </w:rPr>
        <w:t>. אבל ה</w:t>
      </w:r>
      <w:r w:rsidRPr="00C26AFA">
        <w:rPr>
          <w:rFonts w:ascii="Narkisim" w:hAnsi="Narkisim"/>
          <w:b/>
          <w:bCs/>
          <w:rtl/>
        </w:rPr>
        <w:t>ריטב"א</w:t>
      </w:r>
      <w:r w:rsidRPr="00C26AFA">
        <w:rPr>
          <w:rFonts w:ascii="Narkisim" w:hAnsi="Narkisim"/>
          <w:rtl/>
        </w:rPr>
        <w:t xml:space="preserve"> </w:t>
      </w:r>
      <w:r w:rsidRPr="00C26AFA">
        <w:rPr>
          <w:rFonts w:ascii="Narkisim" w:hAnsi="Narkisim"/>
          <w:sz w:val="20"/>
          <w:szCs w:val="20"/>
          <w:rtl/>
        </w:rPr>
        <w:t>(קידושין ד:)</w:t>
      </w:r>
      <w:r w:rsidRPr="00C26AFA">
        <w:rPr>
          <w:rFonts w:ascii="Narkisim" w:hAnsi="Narkisim"/>
          <w:rtl/>
        </w:rPr>
        <w:t xml:space="preserve"> כתב דהא דל”מ כסף ושטר ביבמה, דכיון דזקוקה ועומדת הוה כארוסה, וביאה עושה נישואין. אבל כסף אינו עושה נישואין. </w:t>
      </w:r>
      <w:r w:rsidRPr="00C26AFA">
        <w:rPr>
          <w:rFonts w:ascii="Narkisim" w:hAnsi="Narkisim"/>
          <w:sz w:val="20"/>
          <w:szCs w:val="20"/>
          <w:rtl/>
        </w:rPr>
        <w:t>[וה</w:t>
      </w:r>
      <w:r w:rsidRPr="00C26AFA">
        <w:rPr>
          <w:rFonts w:ascii="Narkisim" w:hAnsi="Narkisim"/>
          <w:b/>
          <w:bCs/>
          <w:sz w:val="20"/>
          <w:szCs w:val="20"/>
          <w:rtl/>
        </w:rPr>
        <w:t>אחרונים</w:t>
      </w:r>
      <w:r w:rsidRPr="00C26AFA">
        <w:rPr>
          <w:rFonts w:ascii="Narkisim" w:hAnsi="Narkisim"/>
          <w:sz w:val="20"/>
          <w:szCs w:val="20"/>
          <w:rtl/>
        </w:rPr>
        <w:t xml:space="preserve"> כתבו דבזה מתיישב לשון התוס' יותר].</w:t>
      </w:r>
    </w:p>
    <w:p w14:paraId="583ADC38" w14:textId="77777777" w:rsidR="006074A5" w:rsidRPr="00C26AFA" w:rsidRDefault="006074A5" w:rsidP="006074A5">
      <w:pPr>
        <w:pStyle w:val="aa"/>
        <w:bidi/>
        <w:rPr>
          <w:rFonts w:ascii="Narkisim" w:hAnsi="Narkisim"/>
        </w:rPr>
      </w:pPr>
      <w:r w:rsidRPr="00C26AFA">
        <w:rPr>
          <w:rFonts w:ascii="Narkisim" w:hAnsi="Narkisim"/>
          <w:u w:val="single"/>
          <w:rtl/>
        </w:rPr>
        <w:t>בא"ד ולהכי לא קאמר בגמ' עלה 'זו דברי ר"ע'.</w:t>
      </w:r>
      <w:r w:rsidRPr="00C26AFA">
        <w:rPr>
          <w:rFonts w:ascii="Narkisim" w:hAnsi="Narkisim"/>
          <w:rtl/>
        </w:rPr>
        <w:t xml:space="preserve"> ועוה"ק ה</w:t>
      </w:r>
      <w:r w:rsidRPr="00C26AFA">
        <w:rPr>
          <w:rFonts w:ascii="Narkisim" w:hAnsi="Narkisim"/>
          <w:b/>
          <w:bCs/>
          <w:rtl/>
        </w:rPr>
        <w:t>ראשונים</w:t>
      </w:r>
      <w:r w:rsidRPr="00C26AFA">
        <w:rPr>
          <w:rFonts w:ascii="Narkisim" w:hAnsi="Narkisim"/>
          <w:rtl/>
        </w:rPr>
        <w:t xml:space="preserve"> דמדאמרי' בסיפא ר"ע, מכלל דרישא לאו ר"ע היא. [וה</w:t>
      </w:r>
      <w:r w:rsidRPr="00C26AFA">
        <w:rPr>
          <w:rFonts w:ascii="Narkisim" w:hAnsi="Narkisim"/>
          <w:b/>
          <w:bCs/>
          <w:rtl/>
        </w:rPr>
        <w:t xml:space="preserve">ראשונים </w:t>
      </w:r>
      <w:r w:rsidRPr="00C26AFA">
        <w:rPr>
          <w:rFonts w:ascii="Narkisim" w:hAnsi="Narkisim"/>
          <w:rtl/>
        </w:rPr>
        <w:t>כתבו די”ל דברישא חכמים פליגי על ר”ג]. ו</w:t>
      </w:r>
      <w:r w:rsidRPr="00C26AFA">
        <w:rPr>
          <w:rFonts w:ascii="Narkisim" w:hAnsi="Narkisim"/>
          <w:b/>
          <w:bCs/>
          <w:rtl/>
        </w:rPr>
        <w:t>רע"א</w:t>
      </w:r>
      <w:r w:rsidRPr="00C26AFA">
        <w:rPr>
          <w:rFonts w:ascii="Narkisim" w:hAnsi="Narkisim"/>
          <w:rtl/>
        </w:rPr>
        <w:t xml:space="preserve"> כתב דלדעת ר"ל (יא.) דעל צרתה בכרת, א"כ ה"נ הוה חייבי כריתות, וא"ש לרבנן.</w:t>
      </w:r>
    </w:p>
    <w:p w14:paraId="651F22FD" w14:textId="77777777" w:rsidR="006074A5" w:rsidRPr="00C26AFA" w:rsidRDefault="006074A5" w:rsidP="006074A5">
      <w:pPr>
        <w:bidi/>
        <w:rPr>
          <w:rFonts w:ascii="Narkisim" w:hAnsi="Narkisim" w:cs="Narkisim"/>
        </w:rPr>
      </w:pPr>
      <w:r w:rsidRPr="00C26AFA">
        <w:rPr>
          <w:rFonts w:ascii="Narkisim" w:hAnsi="Narkisim" w:cs="Narkisim"/>
          <w:u w:val="single"/>
          <w:rtl/>
        </w:rPr>
        <w:t>בא"ד ולא כמו שפי' ריב"ן דר"ג כר"ע.</w:t>
      </w:r>
      <w:r w:rsidRPr="00C26AFA">
        <w:rPr>
          <w:rFonts w:ascii="Narkisim" w:hAnsi="Narkisim" w:cs="Narkisim"/>
          <w:rtl/>
        </w:rPr>
        <w:t xml:space="preserve"> דאחרי חליצה תפסי קידושין לרבנן דהוה חייבי לאוין. וכ"כ </w:t>
      </w:r>
      <w:r w:rsidRPr="00C26AFA">
        <w:rPr>
          <w:rFonts w:ascii="Narkisim" w:hAnsi="Narkisim" w:cs="Narkisim"/>
          <w:b/>
          <w:bCs/>
          <w:rtl/>
        </w:rPr>
        <w:t>תוס</w:t>
      </w:r>
      <w:r w:rsidRPr="00C26AFA">
        <w:rPr>
          <w:rFonts w:ascii="Narkisim" w:hAnsi="Narkisim" w:cs="Narkisim"/>
          <w:rtl/>
        </w:rPr>
        <w:t xml:space="preserve">' </w:t>
      </w:r>
      <w:r w:rsidRPr="00C26AFA">
        <w:rPr>
          <w:rFonts w:ascii="Narkisim" w:hAnsi="Narkisim" w:cs="Narkisim"/>
          <w:szCs w:val="20"/>
          <w:rtl/>
        </w:rPr>
        <w:t>(לעיל כז:</w:t>
      </w:r>
      <w:r w:rsidRPr="00C26AFA">
        <w:rPr>
          <w:rFonts w:ascii="Narkisim" w:hAnsi="Narkisim" w:cs="Narkisim"/>
          <w:sz w:val="20"/>
          <w:szCs w:val="20"/>
          <w:rtl/>
        </w:rPr>
        <w:t xml:space="preserve"> ד"ה אי בתי' הב')</w:t>
      </w:r>
      <w:r w:rsidRPr="00C26AFA">
        <w:rPr>
          <w:rFonts w:ascii="Narkisim" w:hAnsi="Narkisim" w:cs="Narkisim"/>
          <w:rtl/>
        </w:rPr>
        <w:t>. וה</w:t>
      </w:r>
      <w:r w:rsidRPr="00C26AFA">
        <w:rPr>
          <w:rFonts w:ascii="Narkisim" w:hAnsi="Narkisim" w:cs="Narkisim"/>
          <w:b/>
          <w:bCs/>
          <w:rtl/>
        </w:rPr>
        <w:t>תוס' הרא"ש</w:t>
      </w:r>
      <w:r w:rsidRPr="00C26AFA">
        <w:rPr>
          <w:rFonts w:ascii="Narkisim" w:hAnsi="Narkisim" w:cs="Narkisim"/>
          <w:rtl/>
        </w:rPr>
        <w:t xml:space="preserve"> ביאר דכיון דמהני קידושין אחר ביאה</w:t>
      </w:r>
      <w:r w:rsidRPr="00C26AFA">
        <w:rPr>
          <w:rFonts w:ascii="Narkisim" w:hAnsi="Narkisim" w:cs="Narkisim"/>
          <w:i/>
          <w:iCs/>
          <w:rtl/>
        </w:rPr>
        <w:t xml:space="preserve"> כ"ש</w:t>
      </w:r>
      <w:r w:rsidRPr="00C26AFA">
        <w:rPr>
          <w:rFonts w:ascii="Narkisim" w:hAnsi="Narkisim" w:cs="Narkisim"/>
          <w:rtl/>
        </w:rPr>
        <w:t xml:space="preserve"> אחר מאמר </w:t>
      </w:r>
      <w:r w:rsidRPr="00C26AFA">
        <w:rPr>
          <w:rFonts w:ascii="Narkisim" w:hAnsi="Narkisim" w:cs="Narkisim"/>
          <w:sz w:val="20"/>
          <w:szCs w:val="20"/>
          <w:rtl/>
        </w:rPr>
        <w:t>(וכ”כ ה</w:t>
      </w:r>
      <w:r w:rsidRPr="00C26AFA">
        <w:rPr>
          <w:rFonts w:ascii="Narkisim" w:hAnsi="Narkisim" w:cs="Narkisim"/>
          <w:b/>
          <w:bCs/>
          <w:sz w:val="20"/>
          <w:szCs w:val="20"/>
          <w:rtl/>
        </w:rPr>
        <w:t>מאירי</w:t>
      </w:r>
      <w:r w:rsidRPr="00C26AFA">
        <w:rPr>
          <w:rFonts w:ascii="Narkisim" w:hAnsi="Narkisim" w:cs="Narkisim"/>
          <w:sz w:val="20"/>
          <w:szCs w:val="20"/>
          <w:rtl/>
        </w:rPr>
        <w:t>).</w:t>
      </w:r>
    </w:p>
    <w:p w14:paraId="768E2B29" w14:textId="77777777" w:rsidR="006074A5" w:rsidRPr="00C26AFA" w:rsidRDefault="006074A5" w:rsidP="006074A5">
      <w:pPr>
        <w:bidi/>
        <w:rPr>
          <w:rFonts w:ascii="Narkisim" w:hAnsi="Narkisim" w:cs="Narkisim"/>
        </w:rPr>
      </w:pPr>
      <w:r w:rsidRPr="00C26AFA">
        <w:rPr>
          <w:rFonts w:ascii="Narkisim" w:hAnsi="Narkisim" w:cs="Narkisim"/>
          <w:rtl/>
        </w:rPr>
        <w:t>וה</w:t>
      </w:r>
      <w:r w:rsidRPr="00C26AFA">
        <w:rPr>
          <w:rFonts w:ascii="Narkisim" w:hAnsi="Narkisim" w:cs="Narkisim"/>
          <w:b/>
          <w:bCs/>
          <w:rtl/>
        </w:rPr>
        <w:t>ערול"נ</w:t>
      </w:r>
      <w:r w:rsidRPr="00C26AFA">
        <w:rPr>
          <w:rFonts w:ascii="Narkisim" w:hAnsi="Narkisim" w:cs="Narkisim"/>
          <w:rtl/>
        </w:rPr>
        <w:t xml:space="preserve"> דן דריב”ן חילק דשאני מאמר, משום דס”ל דמאמר הוה מדאורייתא, והוה כמו אחרי יבום</w:t>
      </w:r>
      <w:r w:rsidRPr="00C26AFA">
        <w:rPr>
          <w:rStyle w:val="ac"/>
          <w:rFonts w:ascii="Narkisim" w:hAnsi="Narkisim" w:cs="Narkisim"/>
          <w:rtl/>
        </w:rPr>
        <w:footnoteReference w:id="3043"/>
      </w:r>
      <w:r w:rsidRPr="00C26AFA">
        <w:rPr>
          <w:rFonts w:ascii="Narkisim" w:hAnsi="Narkisim" w:cs="Narkisim"/>
          <w:rtl/>
        </w:rPr>
        <w:t xml:space="preserve">. </w:t>
      </w:r>
      <w:r w:rsidRPr="00C26AFA">
        <w:rPr>
          <w:rFonts w:ascii="Narkisim" w:hAnsi="Narkisim" w:cs="Narkisim"/>
          <w:sz w:val="20"/>
          <w:szCs w:val="20"/>
          <w:rtl/>
        </w:rPr>
        <w:t>וה</w:t>
      </w:r>
      <w:r w:rsidRPr="00C26AFA">
        <w:rPr>
          <w:rFonts w:ascii="Narkisim" w:hAnsi="Narkisim" w:cs="Narkisim"/>
          <w:b/>
          <w:bCs/>
          <w:sz w:val="20"/>
          <w:szCs w:val="20"/>
          <w:rtl/>
        </w:rPr>
        <w:t>משנת ר' אהרן</w:t>
      </w:r>
      <w:r w:rsidRPr="00C26AFA">
        <w:rPr>
          <w:rFonts w:ascii="Narkisim" w:hAnsi="Narkisim" w:cs="Narkisim"/>
          <w:sz w:val="20"/>
          <w:szCs w:val="20"/>
          <w:rtl/>
        </w:rPr>
        <w:t xml:space="preserve"> (יח יא) כת' דע"י המאמר נחשב [מדרבנן] דקנאה בחד צד, ומפקיע הזיקה. וע"י שפקע הזיקה בהך צד ראויה לקידושין</w:t>
      </w:r>
      <w:r w:rsidRPr="00C26AFA">
        <w:rPr>
          <w:rStyle w:val="ac"/>
          <w:rFonts w:ascii="Narkisim" w:hAnsi="Narkisim" w:cs="Narkisim"/>
          <w:sz w:val="20"/>
          <w:szCs w:val="20"/>
          <w:rtl/>
        </w:rPr>
        <w:footnoteReference w:id="3044"/>
      </w:r>
      <w:r w:rsidRPr="00C26AFA">
        <w:rPr>
          <w:rFonts w:ascii="Narkisim" w:hAnsi="Narkisim" w:cs="Narkisim"/>
          <w:sz w:val="20"/>
          <w:szCs w:val="20"/>
          <w:rtl/>
        </w:rPr>
        <w:t xml:space="preserve">. </w:t>
      </w:r>
      <w:r w:rsidRPr="00C26AFA">
        <w:rPr>
          <w:rFonts w:ascii="Narkisim" w:hAnsi="Narkisim" w:cs="Narkisim"/>
          <w:rtl/>
        </w:rPr>
        <w:t>ועוד פי' ה</w:t>
      </w:r>
      <w:r w:rsidRPr="00C26AFA">
        <w:rPr>
          <w:rFonts w:ascii="Narkisim" w:hAnsi="Narkisim" w:cs="Narkisim"/>
          <w:b/>
          <w:bCs/>
          <w:rtl/>
        </w:rPr>
        <w:t>ערול"נ</w:t>
      </w:r>
      <w:r w:rsidRPr="00C26AFA">
        <w:rPr>
          <w:rFonts w:ascii="Narkisim" w:hAnsi="Narkisim" w:cs="Narkisim"/>
          <w:rtl/>
        </w:rPr>
        <w:t xml:space="preserve"> דריב"ן למד מק"ו, ולא עדיף מאחרי </w:t>
      </w:r>
      <w:r w:rsidRPr="00C26AFA">
        <w:rPr>
          <w:rFonts w:ascii="Narkisim" w:hAnsi="Narkisim" w:cs="Narkisim"/>
          <w:rtl/>
        </w:rPr>
        <w:lastRenderedPageBreak/>
        <w:t>יבום</w:t>
      </w:r>
      <w:r w:rsidRPr="00C26AFA">
        <w:rPr>
          <w:rStyle w:val="ac"/>
          <w:rFonts w:ascii="Narkisim" w:hAnsi="Narkisim" w:cs="Narkisim"/>
          <w:rtl/>
        </w:rPr>
        <w:footnoteReference w:id="3045"/>
      </w:r>
      <w:r w:rsidRPr="00C26AFA">
        <w:rPr>
          <w:rFonts w:ascii="Narkisim" w:hAnsi="Narkisim" w:cs="Narkisim"/>
          <w:rtl/>
        </w:rPr>
        <w:t>, ומהני מדרבנן מדין מאמר.</w:t>
      </w:r>
    </w:p>
    <w:p w14:paraId="471AA946" w14:textId="77777777" w:rsidR="006074A5" w:rsidRPr="00C26AFA" w:rsidRDefault="006074A5" w:rsidP="006074A5">
      <w:pPr>
        <w:bidi/>
        <w:rPr>
          <w:rFonts w:ascii="Narkisim" w:hAnsi="Narkisim" w:cs="Narkisim"/>
        </w:rPr>
      </w:pPr>
      <w:r w:rsidRPr="00C26AFA">
        <w:rPr>
          <w:rFonts w:ascii="Narkisim" w:hAnsi="Narkisim" w:cs="Narkisim"/>
          <w:rtl/>
        </w:rPr>
        <w:t>ודעת ה</w:t>
      </w:r>
      <w:r w:rsidRPr="00C26AFA">
        <w:rPr>
          <w:rFonts w:ascii="Narkisim" w:hAnsi="Narkisim" w:cs="Narkisim"/>
          <w:b/>
          <w:bCs/>
          <w:rtl/>
        </w:rPr>
        <w:t>תוס</w:t>
      </w:r>
      <w:r w:rsidRPr="00C26AFA">
        <w:rPr>
          <w:rFonts w:ascii="Narkisim" w:hAnsi="Narkisim" w:cs="Narkisim"/>
          <w:rtl/>
        </w:rPr>
        <w:t>' דכיון דהיא זקוקה הוה רק דרבנן, ולא תקון כה"ג. וה</w:t>
      </w:r>
      <w:r w:rsidRPr="00C26AFA">
        <w:rPr>
          <w:rFonts w:ascii="Narkisim" w:hAnsi="Narkisim" w:cs="Narkisim"/>
          <w:b/>
          <w:bCs/>
          <w:rtl/>
        </w:rPr>
        <w:t>משנת ר"א</w:t>
      </w:r>
      <w:r w:rsidRPr="00C26AFA">
        <w:rPr>
          <w:rFonts w:ascii="Narkisim" w:hAnsi="Narkisim" w:cs="Narkisim"/>
          <w:rtl/>
        </w:rPr>
        <w:t xml:space="preserve"> (שם) ביאר דאף ה'צד' שקנה לא נחשב שפטורה לגמרי, ועדיין זקוקה. </w:t>
      </w:r>
      <w:r w:rsidRPr="00C26AFA">
        <w:rPr>
          <w:rFonts w:ascii="Narkisim" w:hAnsi="Narkisim" w:cs="Narkisim"/>
          <w:sz w:val="20"/>
          <w:szCs w:val="20"/>
          <w:rtl/>
        </w:rPr>
        <w:t>וכ"כ ה</w:t>
      </w:r>
      <w:r w:rsidRPr="00C26AFA">
        <w:rPr>
          <w:rFonts w:ascii="Narkisim" w:hAnsi="Narkisim" w:cs="Narkisim"/>
          <w:b/>
          <w:bCs/>
          <w:sz w:val="20"/>
          <w:szCs w:val="20"/>
          <w:rtl/>
        </w:rPr>
        <w:t>מאירי</w:t>
      </w:r>
      <w:r w:rsidRPr="00C26AFA">
        <w:rPr>
          <w:rFonts w:ascii="Narkisim" w:hAnsi="Narkisim" w:cs="Narkisim"/>
          <w:sz w:val="20"/>
          <w:szCs w:val="20"/>
          <w:rtl/>
        </w:rPr>
        <w:t xml:space="preserve"> דתי' דכשחלץ נסתלק לגמרי, אבל כל שהיא זקוקה ל”מ תורת קידושין.</w:t>
      </w:r>
      <w:r w:rsidRPr="00C26AFA">
        <w:rPr>
          <w:rFonts w:ascii="Narkisim" w:hAnsi="Narkisim" w:cs="Narkisim"/>
          <w:rtl/>
        </w:rPr>
        <w:t xml:space="preserve"> אבל ה</w:t>
      </w:r>
      <w:r w:rsidRPr="00C26AFA">
        <w:rPr>
          <w:rFonts w:ascii="Narkisim" w:hAnsi="Narkisim" w:cs="Narkisim"/>
          <w:b/>
          <w:bCs/>
          <w:rtl/>
        </w:rPr>
        <w:t>תוס' מהר"ם ור"פ</w:t>
      </w:r>
      <w:r w:rsidRPr="00C26AFA">
        <w:rPr>
          <w:rFonts w:ascii="Narkisim" w:hAnsi="Narkisim" w:cs="Narkisim"/>
          <w:rtl/>
        </w:rPr>
        <w:t xml:space="preserve"> כתב דלא תקנו מאמר אלא כשהוא עושה בהיתר, אבל מאמר דאיסורא לא תקנו</w:t>
      </w:r>
      <w:r w:rsidRPr="00C26AFA">
        <w:rPr>
          <w:rStyle w:val="ac"/>
          <w:rFonts w:ascii="Narkisim" w:hAnsi="Narkisim" w:cs="Narkisim"/>
          <w:rtl/>
        </w:rPr>
        <w:footnoteReference w:id="3046"/>
      </w:r>
      <w:r w:rsidRPr="00C26AFA">
        <w:rPr>
          <w:rFonts w:ascii="Narkisim" w:hAnsi="Narkisim" w:cs="Narkisim"/>
          <w:rtl/>
        </w:rPr>
        <w:t xml:space="preserve"> [</w:t>
      </w:r>
      <w:r w:rsidRPr="00C26AFA">
        <w:rPr>
          <w:rFonts w:ascii="Narkisim" w:hAnsi="Narkisim" w:cs="Narkisim"/>
          <w:sz w:val="20"/>
          <w:szCs w:val="20"/>
          <w:rtl/>
        </w:rPr>
        <w:t>ע”פ לשון הגמ' כט:].</w:t>
      </w:r>
    </w:p>
    <w:p w14:paraId="64DCB320" w14:textId="77777777" w:rsidR="006074A5" w:rsidRPr="00C26AFA" w:rsidRDefault="006074A5" w:rsidP="006074A5">
      <w:pPr>
        <w:pStyle w:val="aa"/>
        <w:bidi/>
        <w:rPr>
          <w:rFonts w:ascii="Narkisim" w:hAnsi="Narkisim"/>
        </w:rPr>
      </w:pPr>
      <w:r w:rsidRPr="00C26AFA">
        <w:rPr>
          <w:rFonts w:ascii="Narkisim" w:hAnsi="Narkisim"/>
          <w:u w:val="single"/>
          <w:rtl/>
        </w:rPr>
        <w:t>שם. דר"ג כר"ע וכו'</w:t>
      </w:r>
      <w:r w:rsidRPr="00C26AFA">
        <w:rPr>
          <w:rFonts w:ascii="Narkisim" w:hAnsi="Narkisim"/>
          <w:rtl/>
        </w:rPr>
        <w:t>. דאין קידושין תופסין בחייבי לאוין, וה”נ עובר משום לא יבנה. וה</w:t>
      </w:r>
      <w:r w:rsidRPr="00C26AFA">
        <w:rPr>
          <w:rFonts w:ascii="Narkisim" w:hAnsi="Narkisim"/>
          <w:b/>
          <w:bCs/>
          <w:rtl/>
        </w:rPr>
        <w:t>רש"ש</w:t>
      </w:r>
      <w:r w:rsidRPr="00C26AFA">
        <w:rPr>
          <w:rFonts w:ascii="Narkisim" w:hAnsi="Narkisim"/>
          <w:rtl/>
        </w:rPr>
        <w:t xml:space="preserve"> העיר דבב' יבמות וחזר ובא על צרתה לדעת </w:t>
      </w:r>
      <w:r w:rsidRPr="00C26AFA">
        <w:rPr>
          <w:rFonts w:ascii="Narkisim" w:hAnsi="Narkisim"/>
          <w:b/>
          <w:bCs/>
          <w:rtl/>
        </w:rPr>
        <w:t>רש"י</w:t>
      </w:r>
      <w:r w:rsidRPr="00C26AFA">
        <w:rPr>
          <w:rFonts w:ascii="Narkisim" w:hAnsi="Narkisim"/>
          <w:rtl/>
        </w:rPr>
        <w:t xml:space="preserve"> (לעיל יא., ע' לקמן נג.) עובר בעשה דבית א' הוא בונה. וליכא לאו דלא יבנה. [ורק ר' ישבב לר"ע ס"ל דלא תפסי קידושין]. אך </w:t>
      </w:r>
      <w:r w:rsidRPr="00C26AFA">
        <w:rPr>
          <w:rFonts w:ascii="Narkisim" w:hAnsi="Narkisim"/>
          <w:b/>
          <w:bCs/>
          <w:rtl/>
        </w:rPr>
        <w:t>תוס</w:t>
      </w:r>
      <w:r w:rsidRPr="00C26AFA">
        <w:rPr>
          <w:rFonts w:ascii="Narkisim" w:hAnsi="Narkisim"/>
          <w:rtl/>
        </w:rPr>
        <w:t>' קאי לשיטתו דהוה לאו.</w:t>
      </w:r>
    </w:p>
    <w:p w14:paraId="01D0C485" w14:textId="77777777" w:rsidR="006074A5" w:rsidRPr="00C26AFA" w:rsidRDefault="006074A5" w:rsidP="006074A5">
      <w:pPr>
        <w:bidi/>
        <w:rPr>
          <w:rFonts w:ascii="Narkisim" w:hAnsi="Narkisim" w:cs="Narkisim"/>
        </w:rPr>
      </w:pPr>
      <w:r w:rsidRPr="00C26AFA">
        <w:rPr>
          <w:rFonts w:ascii="Narkisim" w:hAnsi="Narkisim" w:cs="Narkisim"/>
          <w:u w:val="single"/>
          <w:rtl/>
        </w:rPr>
        <w:t>וחכ"א יש גט אחר גט וכו'</w:t>
      </w:r>
      <w:r w:rsidRPr="00C26AFA">
        <w:rPr>
          <w:rFonts w:ascii="Narkisim" w:hAnsi="Narkisim" w:cs="Narkisim"/>
          <w:rtl/>
        </w:rPr>
        <w:t>. פ</w:t>
      </w:r>
      <w:r w:rsidRPr="00C26AFA">
        <w:rPr>
          <w:rFonts w:ascii="Narkisim" w:hAnsi="Narkisim" w:cs="Narkisim"/>
          <w:b/>
          <w:bCs/>
          <w:rtl/>
        </w:rPr>
        <w:t>רש"י</w:t>
      </w:r>
      <w:r w:rsidRPr="00C26AFA">
        <w:rPr>
          <w:rFonts w:ascii="Narkisim" w:hAnsi="Narkisim" w:cs="Narkisim"/>
          <w:rtl/>
        </w:rPr>
        <w:t xml:space="preserve"> אהני בתרא, והויא גרושתו ואסור בקרובותיה</w:t>
      </w:r>
      <w:r w:rsidRPr="00C26AFA">
        <w:rPr>
          <w:rStyle w:val="ac"/>
          <w:rFonts w:ascii="Narkisim" w:hAnsi="Narkisim" w:cs="Narkisim"/>
          <w:rtl/>
        </w:rPr>
        <w:footnoteReference w:id="3047"/>
      </w:r>
      <w:r w:rsidRPr="00C26AFA">
        <w:rPr>
          <w:rFonts w:ascii="Narkisim" w:hAnsi="Narkisim" w:cs="Narkisim"/>
          <w:rtl/>
        </w:rPr>
        <w:t>. [וכ"מ בברייתא לקמן נא.]. וה</w:t>
      </w:r>
      <w:r w:rsidRPr="00C26AFA">
        <w:rPr>
          <w:rFonts w:ascii="Narkisim" w:hAnsi="Narkisim" w:cs="Narkisim"/>
          <w:b/>
          <w:bCs/>
          <w:rtl/>
        </w:rPr>
        <w:t>בי"ש</w:t>
      </w:r>
      <w:r w:rsidRPr="00C26AFA">
        <w:rPr>
          <w:rFonts w:ascii="Narkisim" w:hAnsi="Narkisim" w:cs="Narkisim"/>
          <w:rtl/>
        </w:rPr>
        <w:t xml:space="preserve"> (קע ב) הק' דבלאו הכי צריך חיזור על כל הצרות [למ"ד דחליצה פסולה צריך חיזור</w:t>
      </w:r>
      <w:r w:rsidRPr="00C26AFA">
        <w:rPr>
          <w:rStyle w:val="ac"/>
          <w:rFonts w:ascii="Narkisim" w:hAnsi="Narkisim" w:cs="Narkisim"/>
          <w:rtl/>
        </w:rPr>
        <w:footnoteReference w:id="3048"/>
      </w:r>
      <w:r w:rsidRPr="00C26AFA">
        <w:rPr>
          <w:rFonts w:ascii="Narkisim" w:hAnsi="Narkisim" w:cs="Narkisim"/>
          <w:rtl/>
        </w:rPr>
        <w:t>], וא”כ יאסר בקרובותיה [אף בלא הגט]. וה</w:t>
      </w:r>
      <w:r w:rsidRPr="00C26AFA">
        <w:rPr>
          <w:rFonts w:ascii="Narkisim" w:hAnsi="Narkisim" w:cs="Narkisim"/>
          <w:b/>
          <w:bCs/>
          <w:rtl/>
        </w:rPr>
        <w:t>בי"מ</w:t>
      </w:r>
      <w:r w:rsidRPr="00C26AFA">
        <w:rPr>
          <w:rFonts w:ascii="Narkisim" w:hAnsi="Narkisim" w:cs="Narkisim"/>
          <w:rtl/>
        </w:rPr>
        <w:t xml:space="preserve"> (שם ד) כת' דקו' זו תלי במח' ה</w:t>
      </w:r>
      <w:r w:rsidRPr="00C26AFA">
        <w:rPr>
          <w:rFonts w:ascii="Narkisim" w:hAnsi="Narkisim" w:cs="Narkisim"/>
          <w:b/>
          <w:bCs/>
          <w:rtl/>
        </w:rPr>
        <w:t>ריב”ן</w:t>
      </w:r>
      <w:r w:rsidRPr="00C26AFA">
        <w:rPr>
          <w:rFonts w:ascii="Narkisim" w:hAnsi="Narkisim" w:cs="Narkisim"/>
          <w:rtl/>
        </w:rPr>
        <w:t xml:space="preserve"> (בתוס' כז: ד”ה איתיביה) וה</w:t>
      </w:r>
      <w:r w:rsidRPr="00C26AFA">
        <w:rPr>
          <w:rFonts w:ascii="Narkisim" w:hAnsi="Narkisim" w:cs="Narkisim"/>
          <w:b/>
          <w:bCs/>
          <w:rtl/>
        </w:rPr>
        <w:t>ר”א מבורגוייל</w:t>
      </w:r>
      <w:r w:rsidRPr="00C26AFA">
        <w:rPr>
          <w:rFonts w:ascii="Narkisim" w:hAnsi="Narkisim" w:cs="Narkisim"/>
          <w:rtl/>
        </w:rPr>
        <w:t xml:space="preserve"> (בתוס' כו: ד”ה דנפול) האם חליצת חיזור אוסר בקרובותיה.</w:t>
      </w:r>
    </w:p>
    <w:p w14:paraId="410FD964"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 xml:space="preserve">בי"ש </w:t>
      </w:r>
      <w:r w:rsidRPr="00C26AFA">
        <w:rPr>
          <w:rFonts w:ascii="Narkisim" w:hAnsi="Narkisim"/>
          <w:rtl/>
        </w:rPr>
        <w:t>תי' דנפק"מ היכא דלא חלץ לשניה</w:t>
      </w:r>
      <w:r w:rsidRPr="00C26AFA">
        <w:rPr>
          <w:rStyle w:val="ac"/>
          <w:rFonts w:ascii="Narkisim" w:hAnsi="Narkisim"/>
          <w:rtl/>
        </w:rPr>
        <w:footnoteReference w:id="3049"/>
      </w:r>
      <w:r w:rsidRPr="00C26AFA">
        <w:rPr>
          <w:rFonts w:ascii="Narkisim" w:hAnsi="Narkisim"/>
          <w:rtl/>
        </w:rPr>
        <w:t>. וה</w:t>
      </w:r>
      <w:r w:rsidRPr="00C26AFA">
        <w:rPr>
          <w:rFonts w:ascii="Narkisim" w:hAnsi="Narkisim"/>
          <w:b/>
          <w:bCs/>
          <w:rtl/>
        </w:rPr>
        <w:t>בי"מ</w:t>
      </w:r>
      <w:r w:rsidRPr="00C26AFA">
        <w:rPr>
          <w:rFonts w:ascii="Narkisim" w:hAnsi="Narkisim"/>
          <w:rtl/>
        </w:rPr>
        <w:t xml:space="preserve"> תי' די"ל דאיירי כשיש אח אחר, שחלץ לה חליצה מעלייתא.</w:t>
      </w:r>
    </w:p>
    <w:p w14:paraId="18139837" w14:textId="77777777" w:rsidR="006074A5" w:rsidRPr="00C26AFA" w:rsidRDefault="006074A5" w:rsidP="006074A5">
      <w:pPr>
        <w:bidi/>
        <w:rPr>
          <w:rFonts w:ascii="Narkisim" w:hAnsi="Narkisim" w:cs="Narkisim"/>
        </w:rPr>
      </w:pPr>
      <w:r w:rsidRPr="00C26AFA">
        <w:rPr>
          <w:rFonts w:ascii="Narkisim" w:hAnsi="Narkisim" w:cs="Narkisim"/>
          <w:u w:val="single"/>
          <w:rtl/>
        </w:rPr>
        <w:t>יש מאמר אחר מאמר.</w:t>
      </w:r>
      <w:r w:rsidRPr="00C26AFA">
        <w:rPr>
          <w:rFonts w:ascii="Narkisim" w:hAnsi="Narkisim" w:cs="Narkisim"/>
          <w:rtl/>
        </w:rPr>
        <w:t xml:space="preserve"> ביבמה א'. ה</w:t>
      </w:r>
      <w:r w:rsidRPr="00C26AFA">
        <w:rPr>
          <w:rFonts w:ascii="Narkisim" w:hAnsi="Narkisim" w:cs="Narkisim"/>
          <w:b/>
          <w:bCs/>
          <w:rtl/>
        </w:rPr>
        <w:t>אחרונים</w:t>
      </w:r>
      <w:r w:rsidRPr="00C26AFA">
        <w:rPr>
          <w:rFonts w:ascii="Narkisim" w:hAnsi="Narkisim" w:cs="Narkisim"/>
          <w:rtl/>
        </w:rPr>
        <w:t xml:space="preserve"> הקשו דע"י המאמר היא אשת איש [כלפי דין המאמר</w:t>
      </w:r>
      <w:r w:rsidRPr="00C26AFA">
        <w:rPr>
          <w:rStyle w:val="ac"/>
          <w:rFonts w:ascii="Narkisim" w:hAnsi="Narkisim" w:cs="Narkisim"/>
          <w:rtl/>
        </w:rPr>
        <w:footnoteReference w:id="3050"/>
      </w:r>
      <w:r w:rsidRPr="00C26AFA">
        <w:rPr>
          <w:rFonts w:ascii="Narkisim" w:hAnsi="Narkisim" w:cs="Narkisim"/>
          <w:rtl/>
        </w:rPr>
        <w:t>]. ועוד דהוה אשת אח מכח החי, והיאך תפס ביבמה זו מאמר של אחיו. וב</w:t>
      </w:r>
      <w:r w:rsidRPr="00C26AFA">
        <w:rPr>
          <w:rFonts w:ascii="Narkisim" w:hAnsi="Narkisim" w:cs="Narkisim"/>
          <w:b/>
          <w:bCs/>
          <w:rtl/>
        </w:rPr>
        <w:t>שו"ת הרשב"א</w:t>
      </w:r>
      <w:r w:rsidRPr="00C26AFA">
        <w:rPr>
          <w:rFonts w:ascii="Narkisim" w:hAnsi="Narkisim" w:cs="Narkisim"/>
          <w:rtl/>
        </w:rPr>
        <w:t xml:space="preserve"> (ד שג, הו' בקובה”ע לדף לב) רמז בזה, וכתב דכיון דמאמר דרבנן לא אחמור בכה"ג טפי שמאמר יקנה קנין גמור, ושתהא ככנוסה גמורה לו. ולכן יש מאמר אחר מאמר. וכן כשנתן גט למאמרו הותרה לאחין, ואינה נחשבת גרושת אחיו </w:t>
      </w:r>
      <w:r w:rsidRPr="00C26AFA">
        <w:rPr>
          <w:rFonts w:ascii="Narkisim" w:hAnsi="Narkisim" w:cs="Narkisim"/>
          <w:szCs w:val="20"/>
          <w:rtl/>
        </w:rPr>
        <w:t>(לעיל לב., ועי”ש מש”כ בזה)</w:t>
      </w:r>
      <w:r w:rsidRPr="00C26AFA">
        <w:rPr>
          <w:rFonts w:ascii="Narkisim" w:hAnsi="Narkisim" w:cs="Narkisim"/>
          <w:rtl/>
        </w:rPr>
        <w:t>.</w:t>
      </w:r>
    </w:p>
    <w:p w14:paraId="42C33A04" w14:textId="77777777" w:rsidR="006074A5" w:rsidRPr="00C26AFA" w:rsidRDefault="006074A5" w:rsidP="006074A5">
      <w:pPr>
        <w:bidi/>
        <w:rPr>
          <w:rFonts w:ascii="Narkisim" w:hAnsi="Narkisim" w:cs="Narkisim"/>
        </w:rPr>
      </w:pPr>
      <w:r w:rsidRPr="00C26AFA">
        <w:rPr>
          <w:rFonts w:ascii="Narkisim" w:hAnsi="Narkisim" w:cs="Narkisim"/>
          <w:rtl/>
        </w:rPr>
        <w:t>וה</w:t>
      </w:r>
      <w:r w:rsidRPr="00C26AFA">
        <w:rPr>
          <w:rFonts w:ascii="Narkisim" w:hAnsi="Narkisim" w:cs="Narkisim"/>
          <w:b/>
          <w:bCs/>
          <w:rtl/>
        </w:rPr>
        <w:t>מאירי</w:t>
      </w:r>
      <w:r w:rsidRPr="00C26AFA">
        <w:rPr>
          <w:rFonts w:ascii="Narkisim" w:hAnsi="Narkisim" w:cs="Narkisim"/>
          <w:rtl/>
        </w:rPr>
        <w:t xml:space="preserve"> כתב דמאמר אע"פ שפוסלים לשאר אחים, אינן מעמידין אותו באיסור אשת אח. </w:t>
      </w:r>
      <w:r w:rsidRPr="00C26AFA">
        <w:rPr>
          <w:rFonts w:ascii="Narkisim" w:hAnsi="Narkisim" w:cs="Narkisim"/>
          <w:szCs w:val="20"/>
          <w:rtl/>
        </w:rPr>
        <w:t>[</w:t>
      </w:r>
      <w:r w:rsidRPr="00C26AFA">
        <w:rPr>
          <w:rFonts w:ascii="Narkisim" w:hAnsi="Narkisim" w:cs="Narkisim"/>
          <w:sz w:val="20"/>
          <w:szCs w:val="20"/>
          <w:rtl/>
        </w:rPr>
        <w:t>וכ"כ ה</w:t>
      </w:r>
      <w:r w:rsidRPr="00C26AFA">
        <w:rPr>
          <w:rFonts w:ascii="Narkisim" w:hAnsi="Narkisim" w:cs="Narkisim"/>
          <w:b/>
          <w:bCs/>
          <w:sz w:val="20"/>
          <w:szCs w:val="20"/>
          <w:rtl/>
        </w:rPr>
        <w:t>קה"י</w:t>
      </w:r>
      <w:r w:rsidRPr="00C26AFA">
        <w:rPr>
          <w:rFonts w:ascii="Narkisim" w:hAnsi="Narkisim" w:cs="Narkisim"/>
          <w:sz w:val="20"/>
          <w:szCs w:val="20"/>
          <w:rtl/>
        </w:rPr>
        <w:t xml:space="preserve"> (כח) לפרש דברי ה</w:t>
      </w:r>
      <w:r w:rsidRPr="00C26AFA">
        <w:rPr>
          <w:rFonts w:ascii="Narkisim" w:hAnsi="Narkisim" w:cs="Narkisim"/>
          <w:b/>
          <w:bCs/>
          <w:sz w:val="20"/>
          <w:szCs w:val="20"/>
          <w:rtl/>
        </w:rPr>
        <w:t>תו”י</w:t>
      </w:r>
      <w:r w:rsidRPr="00C26AFA">
        <w:rPr>
          <w:rFonts w:ascii="Narkisim" w:hAnsi="Narkisim" w:cs="Narkisim"/>
          <w:sz w:val="20"/>
          <w:szCs w:val="20"/>
          <w:rtl/>
        </w:rPr>
        <w:t xml:space="preserve"> לעיל לב.</w:t>
      </w:r>
      <w:r w:rsidRPr="00C26AFA">
        <w:rPr>
          <w:rStyle w:val="ac"/>
          <w:rFonts w:ascii="Narkisim" w:hAnsi="Narkisim" w:cs="Narkisim"/>
          <w:sz w:val="20"/>
          <w:szCs w:val="20"/>
          <w:rtl/>
        </w:rPr>
        <w:footnoteReference w:id="3051"/>
      </w:r>
      <w:r w:rsidRPr="00C26AFA">
        <w:rPr>
          <w:rFonts w:ascii="Narkisim" w:hAnsi="Narkisim" w:cs="Narkisim"/>
          <w:rtl/>
        </w:rPr>
        <w:t>]. וה</w:t>
      </w:r>
      <w:r w:rsidRPr="00C26AFA">
        <w:rPr>
          <w:rFonts w:ascii="Narkisim" w:hAnsi="Narkisim" w:cs="Narkisim"/>
          <w:b/>
          <w:bCs/>
          <w:rtl/>
        </w:rPr>
        <w:t xml:space="preserve">קה"י </w:t>
      </w:r>
      <w:r w:rsidRPr="00C26AFA">
        <w:rPr>
          <w:rFonts w:ascii="Narkisim" w:hAnsi="Narkisim" w:cs="Narkisim"/>
          <w:rtl/>
        </w:rPr>
        <w:t>ציין ד</w:t>
      </w:r>
      <w:r w:rsidRPr="00C26AFA">
        <w:rPr>
          <w:rFonts w:ascii="Narkisim" w:hAnsi="Narkisim" w:cs="Narkisim"/>
          <w:b/>
          <w:bCs/>
          <w:rtl/>
        </w:rPr>
        <w:t>רש”י</w:t>
      </w:r>
      <w:r w:rsidRPr="00C26AFA">
        <w:rPr>
          <w:rFonts w:ascii="Narkisim" w:hAnsi="Narkisim" w:cs="Narkisim"/>
          <w:rtl/>
        </w:rPr>
        <w:t xml:space="preserve"> (כז:) מבואר דיש איסור קרובים מחמת מאמר. </w:t>
      </w:r>
      <w:r w:rsidRPr="00C26AFA">
        <w:rPr>
          <w:rFonts w:ascii="Narkisim" w:hAnsi="Narkisim" w:cs="Narkisim"/>
          <w:sz w:val="20"/>
          <w:szCs w:val="20"/>
          <w:rtl/>
        </w:rPr>
        <w:t>וה</w:t>
      </w:r>
      <w:r w:rsidRPr="00C26AFA">
        <w:rPr>
          <w:rFonts w:ascii="Narkisim" w:hAnsi="Narkisim" w:cs="Narkisim"/>
          <w:b/>
          <w:bCs/>
          <w:sz w:val="20"/>
          <w:szCs w:val="20"/>
          <w:rtl/>
        </w:rPr>
        <w:t>אחרונים</w:t>
      </w:r>
      <w:r w:rsidRPr="00C26AFA">
        <w:rPr>
          <w:rFonts w:ascii="Narkisim" w:hAnsi="Narkisim" w:cs="Narkisim"/>
          <w:sz w:val="20"/>
          <w:szCs w:val="20"/>
          <w:rtl/>
        </w:rPr>
        <w:t xml:space="preserve"> (חי' הגר"נ לב.) ביארו דמאמר נחשב שקונה את אישות המת, ואין כאן אישות מחודשת מחמת היבם. ומש"ה אין איסור קרובים מחמתו.</w:t>
      </w:r>
    </w:p>
    <w:p w14:paraId="56958298" w14:textId="77777777" w:rsidR="006074A5" w:rsidRPr="00C26AFA" w:rsidRDefault="006074A5" w:rsidP="006074A5">
      <w:pPr>
        <w:pStyle w:val="aa"/>
        <w:bidi/>
        <w:rPr>
          <w:rFonts w:ascii="Narkisim" w:hAnsi="Narkisim"/>
        </w:rPr>
      </w:pPr>
      <w:r w:rsidRPr="00C26AFA">
        <w:rPr>
          <w:rFonts w:ascii="Narkisim" w:hAnsi="Narkisim"/>
          <w:u w:val="single"/>
          <w:rtl/>
        </w:rPr>
        <w:t>עשה מאמר וחליצה צריכה הימנו גט.</w:t>
      </w:r>
      <w:r w:rsidRPr="00C26AFA">
        <w:rPr>
          <w:rFonts w:ascii="Narkisim" w:hAnsi="Narkisim"/>
          <w:rtl/>
        </w:rPr>
        <w:t xml:space="preserve"> פ</w:t>
      </w:r>
      <w:r w:rsidRPr="00C26AFA">
        <w:rPr>
          <w:rFonts w:ascii="Narkisim" w:hAnsi="Narkisim"/>
          <w:b/>
          <w:bCs/>
          <w:rtl/>
        </w:rPr>
        <w:t>רש"י</w:t>
      </w:r>
      <w:r w:rsidRPr="00C26AFA">
        <w:rPr>
          <w:rFonts w:ascii="Narkisim" w:hAnsi="Narkisim"/>
          <w:rtl/>
        </w:rPr>
        <w:t xml:space="preserve"> לאפקועי קידושין דיליה, דחליצה לא מפקעת קידושין. משמע דהחליצה מהני להפקיע הזיקה לגמרי, אלא דנשאר אישות המאמר. [ולא דאמרי' דהמאמר נחשב יבום במקצת, וכלפי מקצת הזה ל"צ לחליצה].</w:t>
      </w:r>
    </w:p>
    <w:p w14:paraId="40BFE493" w14:textId="77777777" w:rsidR="006074A5" w:rsidRPr="00C26AFA" w:rsidRDefault="006074A5" w:rsidP="006074A5">
      <w:pPr>
        <w:pStyle w:val="aa"/>
        <w:bidi/>
        <w:rPr>
          <w:rFonts w:ascii="Narkisim" w:hAnsi="Narkisim"/>
        </w:rPr>
      </w:pPr>
      <w:r w:rsidRPr="00C26AFA">
        <w:rPr>
          <w:rFonts w:ascii="Narkisim" w:hAnsi="Narkisim"/>
          <w:u w:val="single"/>
          <w:rtl/>
        </w:rPr>
        <w:t>רש"י ד"ה צריכה הימנו גט</w:t>
      </w:r>
      <w:r w:rsidRPr="00C26AFA">
        <w:rPr>
          <w:rFonts w:ascii="Narkisim" w:hAnsi="Narkisim"/>
          <w:rtl/>
        </w:rPr>
        <w:t>. ובעי גט לאפקועי קדושין דיליה, דחליצה לא מפקעת קידושין. ויל"ד דהא מעיקרא קידש בקידושי מאמר דרבנן, ועכשיו ל"ש מאמר יבמין. [ונימא דיפקע בכדי כיון דעכשיו ל"ש מאמר</w:t>
      </w:r>
      <w:r w:rsidRPr="00C26AFA">
        <w:rPr>
          <w:rStyle w:val="ac"/>
          <w:rFonts w:ascii="Narkisim" w:hAnsi="Narkisim"/>
          <w:rtl/>
        </w:rPr>
        <w:footnoteReference w:id="3052"/>
      </w:r>
      <w:r w:rsidRPr="00C26AFA">
        <w:rPr>
          <w:rFonts w:ascii="Narkisim" w:hAnsi="Narkisim"/>
          <w:rtl/>
        </w:rPr>
        <w:t>].</w:t>
      </w:r>
    </w:p>
    <w:p w14:paraId="1CB0AFB3" w14:textId="77777777" w:rsidR="006074A5" w:rsidRPr="00C26AFA" w:rsidRDefault="006074A5" w:rsidP="006074A5">
      <w:pPr>
        <w:pStyle w:val="a8"/>
        <w:bidi/>
        <w:rPr>
          <w:rFonts w:ascii="Narkisim" w:hAnsi="Narkisim"/>
        </w:rPr>
      </w:pPr>
      <w:r w:rsidRPr="00C26AFA">
        <w:rPr>
          <w:rFonts w:ascii="Narkisim" w:hAnsi="Narkisim"/>
          <w:rtl/>
        </w:rPr>
        <w:t>ועוד יל"ד דלכאו' רישא דמתני' קאי אף לר"ע [דהא סיפא ר”ע], א"כ משעה שאסורה עליו משום 'לא יבנה' נימא דפקע יפקע קידושי המאמר</w:t>
      </w:r>
      <w:r w:rsidRPr="00C26AFA">
        <w:rPr>
          <w:rStyle w:val="ac"/>
          <w:rFonts w:ascii="Narkisim" w:hAnsi="Narkisim"/>
          <w:rtl/>
        </w:rPr>
        <w:footnoteReference w:id="3053"/>
      </w:r>
      <w:r w:rsidRPr="00C26AFA">
        <w:rPr>
          <w:rFonts w:ascii="Narkisim" w:hAnsi="Narkisim"/>
          <w:rtl/>
        </w:rPr>
        <w:t>. וצ"ל דמ"מ צורת התקנה שלא התירו קידושין ע"י חליצה לחוד.</w:t>
      </w:r>
    </w:p>
    <w:p w14:paraId="415126C4" w14:textId="77777777" w:rsidR="006074A5" w:rsidRPr="00C26AFA" w:rsidRDefault="006074A5" w:rsidP="006074A5">
      <w:pPr>
        <w:pStyle w:val="aa"/>
        <w:bidi/>
        <w:rPr>
          <w:rFonts w:ascii="Narkisim" w:hAnsi="Narkisim"/>
        </w:rPr>
      </w:pPr>
      <w:r w:rsidRPr="00C26AFA">
        <w:rPr>
          <w:rFonts w:ascii="Narkisim" w:hAnsi="Narkisim"/>
          <w:u w:val="single"/>
          <w:rtl/>
        </w:rPr>
        <w:lastRenderedPageBreak/>
        <w:t>רש"י ד"ה ה"ז כמצותה.</w:t>
      </w:r>
      <w:r w:rsidRPr="00C26AFA">
        <w:rPr>
          <w:rFonts w:ascii="Narkisim" w:hAnsi="Narkisim"/>
          <w:rtl/>
        </w:rPr>
        <w:t xml:space="preserve"> מפרש בגמ' 'אף' זו כמצותה. ה</w:t>
      </w:r>
      <w:r w:rsidRPr="00C26AFA">
        <w:rPr>
          <w:rFonts w:ascii="Narkisim" w:hAnsi="Narkisim"/>
          <w:b/>
          <w:bCs/>
          <w:rtl/>
        </w:rPr>
        <w:t>אחרונים</w:t>
      </w:r>
      <w:r w:rsidRPr="00C26AFA">
        <w:rPr>
          <w:rFonts w:ascii="Narkisim" w:hAnsi="Narkisim"/>
          <w:rtl/>
        </w:rPr>
        <w:t xml:space="preserve"> דנו דלמסקנת הגמ' (לקמן נב.) לא קאי. עי"ש.</w:t>
      </w:r>
    </w:p>
    <w:p w14:paraId="614904A5" w14:textId="77777777" w:rsidR="006074A5" w:rsidRPr="00C26AFA" w:rsidRDefault="006074A5" w:rsidP="006074A5">
      <w:pPr>
        <w:pStyle w:val="aa"/>
        <w:bidi/>
        <w:rPr>
          <w:rFonts w:ascii="Narkisim" w:hAnsi="Narkisim"/>
        </w:rPr>
      </w:pPr>
      <w:r w:rsidRPr="00C26AFA">
        <w:rPr>
          <w:rFonts w:ascii="Narkisim" w:hAnsi="Narkisim"/>
          <w:u w:val="single"/>
          <w:rtl/>
        </w:rPr>
        <w:t>נתן גט ועשה מאמר וכו'.</w:t>
      </w:r>
      <w:r w:rsidRPr="00C26AFA">
        <w:rPr>
          <w:rFonts w:ascii="Narkisim" w:hAnsi="Narkisim"/>
          <w:rtl/>
        </w:rPr>
        <w:t xml:space="preserve"> ה</w:t>
      </w:r>
      <w:r w:rsidRPr="00C26AFA">
        <w:rPr>
          <w:rFonts w:ascii="Narkisim" w:hAnsi="Narkisim"/>
          <w:b/>
          <w:bCs/>
          <w:rtl/>
        </w:rPr>
        <w:t>ריטב"א</w:t>
      </w:r>
      <w:r w:rsidRPr="00C26AFA">
        <w:rPr>
          <w:rFonts w:ascii="Narkisim" w:hAnsi="Narkisim"/>
          <w:rtl/>
        </w:rPr>
        <w:t xml:space="preserve"> כתב דאע"ג דמאמר פסול הוא [שכבר נפסלה בגט], אפ"ה צריכה גט למאמרו.</w:t>
      </w:r>
    </w:p>
    <w:p w14:paraId="494406CE" w14:textId="77777777" w:rsidR="006074A5" w:rsidRPr="00C26AFA" w:rsidRDefault="006074A5" w:rsidP="006074A5">
      <w:pPr>
        <w:pStyle w:val="aa"/>
        <w:bidi/>
        <w:rPr>
          <w:rFonts w:ascii="Narkisim" w:hAnsi="Narkisim"/>
        </w:rPr>
      </w:pPr>
      <w:r w:rsidRPr="00C26AFA">
        <w:rPr>
          <w:rFonts w:ascii="Narkisim" w:hAnsi="Narkisim"/>
          <w:u w:val="single"/>
          <w:rtl/>
        </w:rPr>
        <w:t>צריכה גט וחליצה.</w:t>
      </w:r>
      <w:r w:rsidRPr="00C26AFA">
        <w:rPr>
          <w:rFonts w:ascii="Narkisim" w:hAnsi="Narkisim"/>
          <w:rtl/>
        </w:rPr>
        <w:t xml:space="preserve"> ה</w:t>
      </w:r>
      <w:r w:rsidRPr="00C26AFA">
        <w:rPr>
          <w:rFonts w:ascii="Narkisim" w:hAnsi="Narkisim"/>
          <w:b/>
          <w:bCs/>
          <w:rtl/>
        </w:rPr>
        <w:t>רמב"ם בפיה"מ</w:t>
      </w:r>
      <w:r w:rsidRPr="00C26AFA">
        <w:rPr>
          <w:rFonts w:ascii="Narkisim" w:hAnsi="Narkisim"/>
          <w:rtl/>
        </w:rPr>
        <w:t xml:space="preserve"> (לעיל ג ה כט:) כתב דהנכון לכתחילה שיתן גט ואח"כ יחלוץ</w:t>
      </w:r>
      <w:r w:rsidRPr="00C26AFA">
        <w:rPr>
          <w:rStyle w:val="ac"/>
          <w:rFonts w:ascii="Narkisim" w:hAnsi="Narkisim"/>
          <w:rtl/>
        </w:rPr>
        <w:footnoteReference w:id="3054"/>
      </w:r>
      <w:r w:rsidRPr="00C26AFA">
        <w:rPr>
          <w:rFonts w:ascii="Narkisim" w:hAnsi="Narkisim"/>
          <w:rtl/>
        </w:rPr>
        <w:t>. וב</w:t>
      </w:r>
      <w:r w:rsidRPr="00C26AFA">
        <w:rPr>
          <w:rFonts w:ascii="Narkisim" w:hAnsi="Narkisim"/>
          <w:b/>
          <w:bCs/>
          <w:rtl/>
        </w:rPr>
        <w:t>שו”ת בית יוסף</w:t>
      </w:r>
      <w:r w:rsidRPr="00C26AFA">
        <w:rPr>
          <w:rFonts w:ascii="Narkisim" w:hAnsi="Narkisim"/>
          <w:rtl/>
        </w:rPr>
        <w:t xml:space="preserve"> (יבום ו) האריך לדון בזה, וכת' דאדרבה עדיף לחלוץ לפני הגט, דהוה חליצה כשירה טפי. וה</w:t>
      </w:r>
      <w:r w:rsidRPr="00C26AFA">
        <w:rPr>
          <w:rFonts w:ascii="Narkisim" w:hAnsi="Narkisim"/>
          <w:b/>
          <w:bCs/>
          <w:rtl/>
        </w:rPr>
        <w:t>בי"מ</w:t>
      </w:r>
      <w:r w:rsidRPr="00C26AFA">
        <w:rPr>
          <w:rFonts w:ascii="Narkisim" w:hAnsi="Narkisim"/>
          <w:rtl/>
        </w:rPr>
        <w:t xml:space="preserve"> (קע ב הו' בפתח"ת קע א) כתב משום הידור מצוה לגמור בחליצה, דהמצווה נקראת ע"ש גומרה.</w:t>
      </w:r>
    </w:p>
    <w:p w14:paraId="51C5F702" w14:textId="77777777" w:rsidR="006074A5" w:rsidRPr="00C26AFA" w:rsidRDefault="006074A5" w:rsidP="006074A5">
      <w:pPr>
        <w:bidi/>
        <w:rPr>
          <w:rFonts w:ascii="Narkisim" w:hAnsi="Narkisim" w:cs="Narkisim"/>
        </w:rPr>
      </w:pPr>
      <w:r w:rsidRPr="00C26AFA">
        <w:rPr>
          <w:rFonts w:ascii="Narkisim" w:hAnsi="Narkisim" w:cs="Narkisim"/>
          <w:u w:val="single"/>
          <w:rtl/>
        </w:rPr>
        <w:t>רש"י ד"ה נתן גט ובעל.</w:t>
      </w:r>
      <w:r w:rsidRPr="00C26AFA">
        <w:rPr>
          <w:rFonts w:ascii="Narkisim" w:hAnsi="Narkisim" w:cs="Narkisim"/>
          <w:rtl/>
        </w:rPr>
        <w:t xml:space="preserve"> וצריכא גט, ואפי' לר"ע וכו' דגט לאו כחליצה דמי לאפקועי כולי זיקה וכו' לא עמדה בלאו גמור. משמע דאילו גט מפקיע זיקה נחשב 'לאו גמור' דלא יבנה </w:t>
      </w:r>
      <w:r w:rsidRPr="00C26AFA">
        <w:rPr>
          <w:rFonts w:ascii="Narkisim" w:hAnsi="Narkisim" w:cs="Narkisim"/>
          <w:szCs w:val="20"/>
          <w:rtl/>
        </w:rPr>
        <w:t>[קמ”ל דגט מהני לאסור ולא להתיר, ומש”ה לא הוה לאו דלא יבנה</w:t>
      </w:r>
      <w:r w:rsidRPr="00C26AFA">
        <w:rPr>
          <w:rFonts w:ascii="Narkisim" w:hAnsi="Narkisim" w:cs="Narkisim"/>
          <w:rtl/>
        </w:rPr>
        <w:t>]. וה</w:t>
      </w:r>
      <w:r w:rsidRPr="00C26AFA">
        <w:rPr>
          <w:rFonts w:ascii="Narkisim" w:hAnsi="Narkisim" w:cs="Narkisim"/>
          <w:b/>
          <w:bCs/>
          <w:rtl/>
        </w:rPr>
        <w:t>אחרונים</w:t>
      </w:r>
      <w:r w:rsidRPr="00C26AFA">
        <w:rPr>
          <w:rFonts w:ascii="Narkisim" w:hAnsi="Narkisim" w:cs="Narkisim"/>
          <w:rtl/>
        </w:rPr>
        <w:t xml:space="preserve"> הקשו תיפו"ל דגט מהני רק מדרבנן, ומש”ה תפסי קידושין דלא הוה חייבי לאוין</w:t>
      </w:r>
      <w:r w:rsidRPr="00C26AFA">
        <w:rPr>
          <w:rStyle w:val="ac"/>
          <w:rFonts w:ascii="Narkisim" w:hAnsi="Narkisim" w:cs="Narkisim"/>
          <w:rtl/>
        </w:rPr>
        <w:footnoteReference w:id="3055"/>
      </w:r>
      <w:r w:rsidRPr="00C26AFA">
        <w:rPr>
          <w:rFonts w:ascii="Narkisim" w:hAnsi="Narkisim" w:cs="Narkisim"/>
          <w:rtl/>
        </w:rPr>
        <w:t>. וכ"כ ה</w:t>
      </w:r>
      <w:r w:rsidRPr="00C26AFA">
        <w:rPr>
          <w:rFonts w:ascii="Narkisim" w:hAnsi="Narkisim" w:cs="Narkisim"/>
          <w:b/>
          <w:bCs/>
          <w:rtl/>
        </w:rPr>
        <w:t>ריטב"א</w:t>
      </w:r>
      <w:r w:rsidRPr="00C26AFA">
        <w:rPr>
          <w:rFonts w:ascii="Narkisim" w:hAnsi="Narkisim" w:cs="Narkisim"/>
          <w:rtl/>
        </w:rPr>
        <w:t xml:space="preserve"> צריכה גט לביאתו מה"ת, ואפי' לר"ע דמשום גט אינה בלא יבנה אלא מדרבנן. וחליצה לזיקתו מדרבנן, דביאה גרועה עשאוה כאילו זיקתו קיימת.</w:t>
      </w:r>
    </w:p>
    <w:p w14:paraId="32A1F054" w14:textId="77777777" w:rsidR="006074A5" w:rsidRPr="00C26AFA" w:rsidRDefault="006074A5" w:rsidP="006074A5">
      <w:pPr>
        <w:pStyle w:val="aa"/>
        <w:bidi/>
        <w:rPr>
          <w:rFonts w:ascii="Narkisim" w:hAnsi="Narkisim"/>
        </w:rPr>
      </w:pPr>
      <w:r w:rsidRPr="00C26AFA">
        <w:rPr>
          <w:rFonts w:ascii="Narkisim" w:hAnsi="Narkisim"/>
          <w:u w:val="single"/>
          <w:rtl/>
        </w:rPr>
        <w:t>תוד"ה ולא חליצה.</w:t>
      </w:r>
      <w:r w:rsidRPr="00C26AFA">
        <w:rPr>
          <w:rFonts w:ascii="Narkisim" w:hAnsi="Narkisim"/>
          <w:rtl/>
        </w:rPr>
        <w:t xml:space="preserve"> היינו אפי' אחר חליצה פסולה. דאפי' שהיא עדיין זקוקה לו, מ"מ לא תקנו מאמר. (וע"ע בסמוך).</w:t>
      </w:r>
    </w:p>
    <w:p w14:paraId="098D8FE0" w14:textId="77777777" w:rsidR="006074A5" w:rsidRPr="00C26AFA" w:rsidRDefault="006074A5" w:rsidP="006074A5">
      <w:pPr>
        <w:pStyle w:val="aa"/>
        <w:bidi/>
        <w:rPr>
          <w:rFonts w:ascii="Narkisim" w:hAnsi="Narkisim"/>
        </w:rPr>
      </w:pPr>
      <w:r w:rsidRPr="00C26AFA">
        <w:rPr>
          <w:rFonts w:ascii="Narkisim" w:hAnsi="Narkisim"/>
          <w:u w:val="single"/>
          <w:rtl/>
        </w:rPr>
        <w:t>תוד"ה עשה (הא').</w:t>
      </w:r>
      <w:r w:rsidRPr="00C26AFA">
        <w:rPr>
          <w:rFonts w:ascii="Narkisim" w:hAnsi="Narkisim"/>
          <w:rtl/>
        </w:rPr>
        <w:t xml:space="preserve"> אבל אם נתן גט למאמרו שריא אף ליבם וכו'. וכ"ד </w:t>
      </w:r>
      <w:r w:rsidRPr="00C26AFA">
        <w:rPr>
          <w:rFonts w:ascii="Narkisim" w:hAnsi="Narkisim"/>
          <w:b/>
          <w:bCs/>
          <w:rtl/>
        </w:rPr>
        <w:t>תוס</w:t>
      </w:r>
      <w:r w:rsidRPr="00C26AFA">
        <w:rPr>
          <w:rFonts w:ascii="Narkisim" w:hAnsi="Narkisim"/>
          <w:rtl/>
        </w:rPr>
        <w:t xml:space="preserve">' (לקמן נב: ד”ה או דלמא). אבל דעת </w:t>
      </w:r>
      <w:r w:rsidRPr="00C26AFA">
        <w:rPr>
          <w:rFonts w:ascii="Narkisim" w:hAnsi="Narkisim"/>
          <w:b/>
          <w:bCs/>
          <w:rtl/>
        </w:rPr>
        <w:t>רש"י</w:t>
      </w:r>
      <w:r w:rsidRPr="00C26AFA">
        <w:rPr>
          <w:rFonts w:ascii="Narkisim" w:hAnsi="Narkisim"/>
          <w:rtl/>
        </w:rPr>
        <w:t xml:space="preserve"> (לקמן שם ולעיל לב.) דאסור עליו משום גזירה דאיחלופי</w:t>
      </w:r>
      <w:r w:rsidRPr="00C26AFA">
        <w:rPr>
          <w:rStyle w:val="ac"/>
          <w:rFonts w:ascii="Narkisim" w:hAnsi="Narkisim"/>
          <w:rtl/>
        </w:rPr>
        <w:footnoteReference w:id="3056"/>
      </w:r>
      <w:r w:rsidRPr="00C26AFA">
        <w:rPr>
          <w:rFonts w:ascii="Narkisim" w:hAnsi="Narkisim"/>
          <w:rtl/>
        </w:rPr>
        <w:t>. וכ"ד ה</w:t>
      </w:r>
      <w:r w:rsidRPr="00C26AFA">
        <w:rPr>
          <w:rFonts w:ascii="Narkisim" w:hAnsi="Narkisim"/>
          <w:b/>
          <w:bCs/>
          <w:rtl/>
        </w:rPr>
        <w:t xml:space="preserve">רמב"ם </w:t>
      </w:r>
      <w:r w:rsidRPr="00C26AFA">
        <w:rPr>
          <w:rFonts w:ascii="Narkisim" w:hAnsi="Narkisim"/>
          <w:rtl/>
        </w:rPr>
        <w:t>(ה ד). ועע"ש.</w:t>
      </w:r>
    </w:p>
    <w:p w14:paraId="16D5312F" w14:textId="77777777" w:rsidR="006074A5" w:rsidRPr="00C26AFA" w:rsidRDefault="006074A5" w:rsidP="006074A5">
      <w:pPr>
        <w:pStyle w:val="3"/>
        <w:bidi/>
        <w:rPr>
          <w:rFonts w:ascii="Narkisim" w:hAnsi="Narkisim"/>
        </w:rPr>
      </w:pPr>
      <w:r w:rsidRPr="00C26AFA">
        <w:rPr>
          <w:rFonts w:ascii="Narkisim" w:hAnsi="Narkisim"/>
          <w:rtl/>
        </w:rPr>
        <w:t>דף נ:</w:t>
      </w:r>
    </w:p>
    <w:p w14:paraId="0BCCA361" w14:textId="77777777" w:rsidR="006074A5" w:rsidRPr="00C26AFA" w:rsidRDefault="006074A5" w:rsidP="006074A5">
      <w:pPr>
        <w:bidi/>
        <w:rPr>
          <w:rFonts w:ascii="Narkisim" w:hAnsi="Narkisim" w:cs="Narkisim"/>
        </w:rPr>
      </w:pPr>
      <w:r w:rsidRPr="00C26AFA">
        <w:rPr>
          <w:rFonts w:ascii="Narkisim" w:hAnsi="Narkisim" w:cs="Narkisim"/>
          <w:u w:val="single"/>
          <w:rtl/>
        </w:rPr>
        <w:t>מאמר בזו ומאמר בזו, צריכות ב' גיטין וחליצה.</w:t>
      </w:r>
      <w:r w:rsidRPr="00C26AFA">
        <w:rPr>
          <w:rFonts w:ascii="Narkisim" w:hAnsi="Narkisim" w:cs="Narkisim"/>
          <w:rtl/>
        </w:rPr>
        <w:t xml:space="preserve"> ה</w:t>
      </w:r>
      <w:r w:rsidRPr="00C26AFA">
        <w:rPr>
          <w:rFonts w:ascii="Narkisim" w:hAnsi="Narkisim" w:cs="Narkisim"/>
          <w:b/>
          <w:bCs/>
          <w:rtl/>
        </w:rPr>
        <w:t>אמר"מ</w:t>
      </w:r>
      <w:r w:rsidRPr="00C26AFA">
        <w:rPr>
          <w:rFonts w:ascii="Narkisim" w:hAnsi="Narkisim" w:cs="Narkisim"/>
          <w:rtl/>
        </w:rPr>
        <w:t xml:space="preserve"> (ז טו) הק' לדעת ר"ל (לעיל י:) ע"י שחולץ קיימא עליו באיסור כרת דאשת אח, וא"כ נימא דסגי חליצה א', ולדעת </w:t>
      </w:r>
      <w:r w:rsidRPr="00C26AFA">
        <w:rPr>
          <w:rFonts w:ascii="Narkisim" w:hAnsi="Narkisim" w:cs="Narkisim"/>
          <w:b/>
          <w:bCs/>
          <w:rtl/>
        </w:rPr>
        <w:t>רש"י</w:t>
      </w:r>
      <w:r w:rsidRPr="00C26AFA">
        <w:rPr>
          <w:rFonts w:ascii="Narkisim" w:hAnsi="Narkisim" w:cs="Narkisim"/>
          <w:rtl/>
        </w:rPr>
        <w:t xml:space="preserve"> (לעיל מט:) ע"י שנעשית ערוה פקע הקידושין</w:t>
      </w:r>
      <w:r w:rsidRPr="00C26AFA">
        <w:rPr>
          <w:rStyle w:val="ac"/>
          <w:rFonts w:ascii="Narkisim" w:hAnsi="Narkisim" w:cs="Narkisim"/>
          <w:rtl/>
        </w:rPr>
        <w:footnoteReference w:id="3057"/>
      </w:r>
      <w:r w:rsidRPr="00C26AFA">
        <w:rPr>
          <w:rFonts w:ascii="Narkisim" w:hAnsi="Narkisim" w:cs="Narkisim"/>
          <w:rtl/>
        </w:rPr>
        <w:t>, וה"נ אמאי בעי גט למאמר</w:t>
      </w:r>
      <w:r w:rsidRPr="00C26AFA">
        <w:rPr>
          <w:rStyle w:val="ac"/>
          <w:rFonts w:ascii="Narkisim" w:hAnsi="Narkisim" w:cs="Narkisim"/>
          <w:rtl/>
        </w:rPr>
        <w:footnoteReference w:id="3058"/>
      </w:r>
      <w:r w:rsidRPr="00C26AFA">
        <w:rPr>
          <w:rFonts w:ascii="Narkisim" w:hAnsi="Narkisim" w:cs="Narkisim"/>
          <w:rtl/>
        </w:rPr>
        <w:t>. וכה”ק ה</w:t>
      </w:r>
      <w:r w:rsidRPr="00C26AFA">
        <w:rPr>
          <w:rFonts w:ascii="Narkisim" w:hAnsi="Narkisim" w:cs="Narkisim"/>
          <w:b/>
          <w:bCs/>
          <w:rtl/>
        </w:rPr>
        <w:t>או"ש</w:t>
      </w:r>
      <w:r w:rsidRPr="00C26AFA">
        <w:rPr>
          <w:rFonts w:ascii="Narkisim" w:hAnsi="Narkisim" w:cs="Narkisim"/>
          <w:rtl/>
        </w:rPr>
        <w:t xml:space="preserve"> </w:t>
      </w:r>
      <w:r w:rsidRPr="00C26AFA">
        <w:rPr>
          <w:rFonts w:ascii="Narkisim" w:hAnsi="Narkisim" w:cs="Narkisim"/>
          <w:sz w:val="20"/>
          <w:szCs w:val="20"/>
          <w:rtl/>
        </w:rPr>
        <w:t>(קו' זיקה לו)</w:t>
      </w:r>
      <w:r w:rsidRPr="00C26AFA">
        <w:rPr>
          <w:rFonts w:ascii="Narkisim" w:hAnsi="Narkisim" w:cs="Narkisim"/>
          <w:rtl/>
        </w:rPr>
        <w:t xml:space="preserve"> והוסיף להקשות דלדעת ריש לקיש ע”י החליצה מתברר [למפרע] דאינו זקוקה לו.</w:t>
      </w:r>
    </w:p>
    <w:p w14:paraId="44A488C5"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קה"י</w:t>
      </w:r>
      <w:r w:rsidRPr="00C26AFA">
        <w:rPr>
          <w:rFonts w:ascii="Narkisim" w:hAnsi="Narkisim"/>
          <w:sz w:val="20"/>
          <w:szCs w:val="20"/>
          <w:rtl/>
        </w:rPr>
        <w:t xml:space="preserve"> (לז, וכ”כ האו”ש שם)</w:t>
      </w:r>
      <w:r w:rsidRPr="00C26AFA">
        <w:rPr>
          <w:rFonts w:ascii="Narkisim" w:hAnsi="Narkisim"/>
          <w:rtl/>
        </w:rPr>
        <w:t xml:space="preserve"> כת' דלמ"ד חליצה פסולה צריכה חיזור, עדיין זקוקה לו, ומדרבנן נחשב דלא חזר לאיסור אשת אח.</w:t>
      </w:r>
    </w:p>
    <w:p w14:paraId="771FC0CF" w14:textId="77777777" w:rsidR="006074A5" w:rsidRPr="00C26AFA" w:rsidRDefault="006074A5" w:rsidP="006074A5">
      <w:pPr>
        <w:pStyle w:val="a7"/>
        <w:bidi/>
        <w:rPr>
          <w:rFonts w:ascii="Narkisim" w:hAnsi="Narkisim"/>
        </w:rPr>
      </w:pPr>
      <w:r w:rsidRPr="00C26AFA">
        <w:rPr>
          <w:rFonts w:ascii="Narkisim" w:hAnsi="Narkisim"/>
          <w:rtl/>
        </w:rPr>
        <w:t>ועוד תי' ה</w:t>
      </w:r>
      <w:r w:rsidRPr="00C26AFA">
        <w:rPr>
          <w:rFonts w:ascii="Narkisim" w:hAnsi="Narkisim"/>
          <w:b/>
          <w:bCs/>
          <w:rtl/>
        </w:rPr>
        <w:t>אחרונים</w:t>
      </w:r>
      <w:r w:rsidRPr="00C26AFA">
        <w:rPr>
          <w:rFonts w:ascii="Narkisim" w:hAnsi="Narkisim"/>
          <w:rtl/>
        </w:rPr>
        <w:t xml:space="preserve"> דמאמר נחשב יבום במקצת</w:t>
      </w:r>
      <w:r w:rsidRPr="00C26AFA">
        <w:rPr>
          <w:rStyle w:val="ac"/>
          <w:rFonts w:ascii="Narkisim" w:hAnsi="Narkisim"/>
          <w:rtl/>
        </w:rPr>
        <w:footnoteReference w:id="3059"/>
      </w:r>
      <w:r w:rsidRPr="00C26AFA">
        <w:rPr>
          <w:rFonts w:ascii="Narkisim" w:hAnsi="Narkisim"/>
          <w:rtl/>
        </w:rPr>
        <w:t>, וכלפי צד אישות זה נחשב (מדרבנן) שהיא יבמתו</w:t>
      </w:r>
      <w:r w:rsidRPr="00C26AFA">
        <w:rPr>
          <w:rStyle w:val="ac"/>
          <w:rFonts w:ascii="Narkisim" w:hAnsi="Narkisim"/>
          <w:rtl/>
        </w:rPr>
        <w:footnoteReference w:id="3060"/>
      </w:r>
      <w:r w:rsidRPr="00C26AFA">
        <w:rPr>
          <w:rFonts w:ascii="Narkisim" w:hAnsi="Narkisim"/>
          <w:rtl/>
        </w:rPr>
        <w:t>, וכאילו אינה באיסור אשת אח. ועוד יש שדנו דקידושי מאמר שאני, ולא פקעי כשנעשית ערוה.</w:t>
      </w:r>
    </w:p>
    <w:p w14:paraId="1834BDD6" w14:textId="77777777" w:rsidR="006074A5" w:rsidRPr="00C26AFA" w:rsidRDefault="006074A5" w:rsidP="006074A5">
      <w:pPr>
        <w:pStyle w:val="aa"/>
        <w:bidi/>
        <w:rPr>
          <w:rFonts w:ascii="Narkisim" w:hAnsi="Narkisim"/>
        </w:rPr>
      </w:pPr>
      <w:r w:rsidRPr="00C26AFA">
        <w:rPr>
          <w:rFonts w:ascii="Narkisim" w:hAnsi="Narkisim"/>
          <w:u w:val="single"/>
          <w:rtl/>
        </w:rPr>
        <w:t>רש"י ד"ה צריכות ב' גיטין</w:t>
      </w:r>
      <w:r w:rsidRPr="00C26AFA">
        <w:rPr>
          <w:rFonts w:ascii="Narkisim" w:hAnsi="Narkisim"/>
          <w:rtl/>
        </w:rPr>
        <w:t>. ואי לחדא</w:t>
      </w:r>
      <w:r w:rsidRPr="00C26AFA">
        <w:rPr>
          <w:rStyle w:val="ac"/>
          <w:rFonts w:ascii="Narkisim" w:hAnsi="Narkisim"/>
          <w:rtl/>
        </w:rPr>
        <w:footnoteReference w:id="3061"/>
      </w:r>
      <w:r w:rsidRPr="00C26AFA">
        <w:rPr>
          <w:rFonts w:ascii="Narkisim" w:hAnsi="Narkisim"/>
          <w:rtl/>
        </w:rPr>
        <w:t>, הואיל וחברתה ביה אגידא</w:t>
      </w:r>
      <w:r w:rsidRPr="00C26AFA">
        <w:rPr>
          <w:rStyle w:val="ac"/>
          <w:rFonts w:ascii="Narkisim" w:hAnsi="Narkisim"/>
          <w:rtl/>
        </w:rPr>
        <w:footnoteReference w:id="3062"/>
      </w:r>
      <w:r w:rsidRPr="00C26AFA">
        <w:rPr>
          <w:rFonts w:ascii="Narkisim" w:hAnsi="Narkisim"/>
          <w:rtl/>
        </w:rPr>
        <w:t xml:space="preserve"> הו"ל בונה ב' בתים. דע"י מאמר נחשב ב' בתים [דהמאמר נחשב מקצת בנין].</w:t>
      </w:r>
    </w:p>
    <w:p w14:paraId="3A637F4D" w14:textId="77777777" w:rsidR="006074A5" w:rsidRPr="00C26AFA" w:rsidRDefault="006074A5" w:rsidP="006074A5">
      <w:pPr>
        <w:bidi/>
        <w:rPr>
          <w:rFonts w:ascii="Narkisim" w:hAnsi="Narkisim" w:cs="Narkisim"/>
        </w:rPr>
      </w:pPr>
      <w:r w:rsidRPr="00C26AFA">
        <w:rPr>
          <w:rFonts w:ascii="Narkisim" w:hAnsi="Narkisim" w:cs="Narkisim"/>
          <w:u w:val="single"/>
          <w:rtl/>
        </w:rPr>
        <w:t>רש"י ד"ה וחליצה.</w:t>
      </w:r>
      <w:r w:rsidRPr="00C26AFA">
        <w:rPr>
          <w:rFonts w:ascii="Narkisim" w:hAnsi="Narkisim" w:cs="Narkisim"/>
          <w:rtl/>
        </w:rPr>
        <w:t xml:space="preserve"> לאחת מהן ופוטרת צרתה. וכן מבואר בברייתא (נא.) על כל הבבות במשנה דסגי בחליצה א'. והגמ' מק' למ"ד חליצה פסולה צריכה לחזור. ותי' דהברייתא כמ"ד אין זיקה, וס"ל דחליצה פסולה אי"צ חיזור.</w:t>
      </w:r>
    </w:p>
    <w:p w14:paraId="16178E88" w14:textId="77777777" w:rsidR="006074A5" w:rsidRPr="00C26AFA" w:rsidRDefault="006074A5" w:rsidP="006074A5">
      <w:pPr>
        <w:pStyle w:val="a7"/>
        <w:bidi/>
        <w:rPr>
          <w:rFonts w:ascii="Narkisim" w:hAnsi="Narkisim"/>
        </w:rPr>
      </w:pPr>
      <w:r w:rsidRPr="00C26AFA">
        <w:rPr>
          <w:rFonts w:ascii="Narkisim" w:hAnsi="Narkisim"/>
          <w:rtl/>
        </w:rPr>
        <w:t>אבל הגמ' (נג.) דנה דהמשנה ס"ל דחליצה פסולה צריך חיזור, ו</w:t>
      </w:r>
      <w:r w:rsidRPr="00C26AFA">
        <w:rPr>
          <w:rFonts w:ascii="Narkisim" w:hAnsi="Narkisim"/>
          <w:b/>
          <w:bCs/>
          <w:rtl/>
        </w:rPr>
        <w:t>תוס</w:t>
      </w:r>
      <w:r w:rsidRPr="00C26AFA">
        <w:rPr>
          <w:rFonts w:ascii="Narkisim" w:hAnsi="Narkisim"/>
          <w:rtl/>
        </w:rPr>
        <w:t>' (ד"ה צריכות) וה</w:t>
      </w:r>
      <w:r w:rsidRPr="00C26AFA">
        <w:rPr>
          <w:rFonts w:ascii="Narkisim" w:hAnsi="Narkisim"/>
          <w:b/>
          <w:bCs/>
          <w:rtl/>
        </w:rPr>
        <w:t>ראשונים</w:t>
      </w:r>
      <w:r w:rsidRPr="00C26AFA">
        <w:rPr>
          <w:rFonts w:ascii="Narkisim" w:hAnsi="Narkisim"/>
          <w:rtl/>
        </w:rPr>
        <w:t xml:space="preserve"> </w:t>
      </w:r>
      <w:r w:rsidRPr="00C26AFA">
        <w:rPr>
          <w:rFonts w:ascii="Narkisim" w:hAnsi="Narkisim"/>
          <w:rtl/>
        </w:rPr>
        <w:lastRenderedPageBreak/>
        <w:t>כת' דכוונת המשנה דבעי ב' חליצות</w:t>
      </w:r>
      <w:r w:rsidRPr="00C26AFA">
        <w:rPr>
          <w:rStyle w:val="ac"/>
          <w:rFonts w:ascii="Narkisim" w:hAnsi="Narkisim"/>
          <w:rtl/>
        </w:rPr>
        <w:footnoteReference w:id="3063"/>
      </w:r>
      <w:r w:rsidRPr="00C26AFA">
        <w:rPr>
          <w:rFonts w:ascii="Narkisim" w:hAnsi="Narkisim"/>
          <w:rtl/>
        </w:rPr>
        <w:t xml:space="preserve">. </w:t>
      </w:r>
      <w:r w:rsidRPr="00C26AFA">
        <w:rPr>
          <w:rFonts w:ascii="Narkisim" w:hAnsi="Narkisim"/>
          <w:sz w:val="20"/>
          <w:szCs w:val="20"/>
          <w:rtl/>
        </w:rPr>
        <w:t>וה</w:t>
      </w:r>
      <w:r w:rsidRPr="00C26AFA">
        <w:rPr>
          <w:rFonts w:ascii="Narkisim" w:hAnsi="Narkisim"/>
          <w:b/>
          <w:bCs/>
          <w:sz w:val="20"/>
          <w:szCs w:val="20"/>
          <w:rtl/>
        </w:rPr>
        <w:t>רמב"ן</w:t>
      </w:r>
      <w:r w:rsidRPr="00C26AFA">
        <w:rPr>
          <w:rFonts w:ascii="Narkisim" w:hAnsi="Narkisim"/>
          <w:sz w:val="20"/>
          <w:szCs w:val="20"/>
          <w:rtl/>
        </w:rPr>
        <w:t xml:space="preserve"> כת' דפשיט"ל דחליצה לכ"א משמע, והא דקתני ב' גיטין לאפוקי מר"ג דאין מאמר אחר מאמר, דלא תימה ד'צריכות' משום חליצה נקט.</w:t>
      </w:r>
    </w:p>
    <w:p w14:paraId="20C3BDEA" w14:textId="77777777" w:rsidR="006074A5" w:rsidRPr="00C26AFA" w:rsidRDefault="006074A5" w:rsidP="006074A5">
      <w:pPr>
        <w:bidi/>
        <w:rPr>
          <w:rFonts w:ascii="Narkisim" w:hAnsi="Narkisim" w:cs="Narkisim"/>
        </w:rPr>
      </w:pPr>
      <w:r w:rsidRPr="00C26AFA">
        <w:rPr>
          <w:rFonts w:ascii="Narkisim" w:hAnsi="Narkisim" w:cs="Narkisim"/>
          <w:rtl/>
        </w:rPr>
        <w:t>וה</w:t>
      </w:r>
      <w:r w:rsidRPr="00C26AFA">
        <w:rPr>
          <w:rFonts w:ascii="Narkisim" w:hAnsi="Narkisim" w:cs="Narkisim"/>
          <w:b/>
          <w:bCs/>
          <w:rtl/>
        </w:rPr>
        <w:t>רמב"ן</w:t>
      </w:r>
      <w:r w:rsidRPr="00C26AFA">
        <w:rPr>
          <w:rFonts w:ascii="Narkisim" w:hAnsi="Narkisim" w:cs="Narkisim"/>
          <w:rtl/>
        </w:rPr>
        <w:t xml:space="preserve"> כת' דדעת רש"י דהמשנה ס"ל דאין זיקה. </w:t>
      </w:r>
      <w:r w:rsidRPr="00C26AFA">
        <w:rPr>
          <w:rFonts w:ascii="Narkisim" w:hAnsi="Narkisim" w:cs="Narkisim"/>
          <w:sz w:val="20"/>
          <w:szCs w:val="20"/>
          <w:rtl/>
        </w:rPr>
        <w:t>ואילו לס"ד דהגמ' (נג.) המשנה ס"ל חליצה פסולה צריכה לחזור, וקס"ד דהוה ב' תנאים. א"נ קס"ד דב' חליצות קאמר.</w:t>
      </w:r>
    </w:p>
    <w:p w14:paraId="105990EE" w14:textId="77777777" w:rsidR="006074A5" w:rsidRPr="00C26AFA" w:rsidRDefault="006074A5" w:rsidP="006074A5">
      <w:pPr>
        <w:pStyle w:val="a7"/>
        <w:bidi/>
        <w:rPr>
          <w:rFonts w:ascii="Narkisim" w:hAnsi="Narkisim"/>
        </w:rPr>
      </w:pPr>
      <w:r w:rsidRPr="00C26AFA">
        <w:rPr>
          <w:rFonts w:ascii="Narkisim" w:hAnsi="Narkisim"/>
          <w:rtl/>
        </w:rPr>
        <w:t>אבל ה</w:t>
      </w:r>
      <w:r w:rsidRPr="00C26AFA">
        <w:rPr>
          <w:rFonts w:ascii="Narkisim" w:hAnsi="Narkisim"/>
          <w:b/>
          <w:bCs/>
          <w:rtl/>
        </w:rPr>
        <w:t>בי"ש</w:t>
      </w:r>
      <w:r w:rsidRPr="00C26AFA">
        <w:rPr>
          <w:rFonts w:ascii="Narkisim" w:hAnsi="Narkisim"/>
          <w:rtl/>
        </w:rPr>
        <w:t xml:space="preserve"> </w:t>
      </w:r>
      <w:r w:rsidRPr="00C26AFA">
        <w:rPr>
          <w:rFonts w:ascii="Narkisim" w:hAnsi="Narkisim"/>
          <w:sz w:val="20"/>
          <w:szCs w:val="20"/>
          <w:rtl/>
        </w:rPr>
        <w:t xml:space="preserve">(קע ג) </w:t>
      </w:r>
      <w:r w:rsidRPr="00C26AFA">
        <w:rPr>
          <w:rFonts w:ascii="Narkisim" w:hAnsi="Narkisim"/>
          <w:rtl/>
        </w:rPr>
        <w:t>וה</w:t>
      </w:r>
      <w:r w:rsidRPr="00C26AFA">
        <w:rPr>
          <w:rFonts w:ascii="Narkisim" w:hAnsi="Narkisim"/>
          <w:b/>
          <w:bCs/>
          <w:rtl/>
        </w:rPr>
        <w:t>גר"א</w:t>
      </w:r>
      <w:r w:rsidRPr="00C26AFA">
        <w:rPr>
          <w:rFonts w:ascii="Narkisim" w:hAnsi="Narkisim"/>
          <w:rtl/>
        </w:rPr>
        <w:t xml:space="preserve"> </w:t>
      </w:r>
      <w:r w:rsidRPr="00C26AFA">
        <w:rPr>
          <w:rFonts w:ascii="Narkisim" w:hAnsi="Narkisim"/>
          <w:sz w:val="20"/>
          <w:szCs w:val="20"/>
          <w:rtl/>
        </w:rPr>
        <w:t>(שם יט)</w:t>
      </w:r>
      <w:r w:rsidRPr="00C26AFA">
        <w:rPr>
          <w:rFonts w:ascii="Narkisim" w:hAnsi="Narkisim"/>
          <w:rtl/>
        </w:rPr>
        <w:t xml:space="preserve"> הביאו דמכאן למד ה</w:t>
      </w:r>
      <w:r w:rsidRPr="00C26AFA">
        <w:rPr>
          <w:rFonts w:ascii="Narkisim" w:hAnsi="Narkisim"/>
          <w:b/>
          <w:bCs/>
          <w:rtl/>
        </w:rPr>
        <w:t>טור</w:t>
      </w:r>
      <w:r w:rsidRPr="00C26AFA">
        <w:rPr>
          <w:rFonts w:ascii="Narkisim" w:hAnsi="Narkisim"/>
          <w:rtl/>
        </w:rPr>
        <w:t xml:space="preserve"> דדעת </w:t>
      </w:r>
      <w:r w:rsidRPr="00C26AFA">
        <w:rPr>
          <w:rFonts w:ascii="Narkisim" w:hAnsi="Narkisim"/>
          <w:b/>
          <w:bCs/>
          <w:rtl/>
        </w:rPr>
        <w:t>רש"י</w:t>
      </w:r>
      <w:r w:rsidRPr="00C26AFA">
        <w:rPr>
          <w:rFonts w:ascii="Narkisim" w:hAnsi="Narkisim"/>
          <w:rtl/>
        </w:rPr>
        <w:t xml:space="preserve"> דאף למ"ד חליצה פסולה צריכה לחזור, היינו דוקא באחים, אבל לא בצרות. (וכ"כ בתוס' חד מקמאי נא.). וה</w:t>
      </w:r>
      <w:r w:rsidRPr="00C26AFA">
        <w:rPr>
          <w:rFonts w:ascii="Narkisim" w:hAnsi="Narkisim"/>
          <w:b/>
          <w:bCs/>
          <w:rtl/>
        </w:rPr>
        <w:t>גר"א</w:t>
      </w:r>
      <w:r w:rsidRPr="00C26AFA">
        <w:rPr>
          <w:rFonts w:ascii="Narkisim" w:hAnsi="Narkisim"/>
          <w:rtl/>
        </w:rPr>
        <w:t xml:space="preserve"> הקשה דזה סברא הפוכה מדברי שמואל </w:t>
      </w:r>
      <w:r w:rsidRPr="00C26AFA">
        <w:rPr>
          <w:rFonts w:ascii="Narkisim" w:hAnsi="Narkisim"/>
          <w:szCs w:val="20"/>
          <w:rtl/>
        </w:rPr>
        <w:t>(</w:t>
      </w:r>
      <w:r w:rsidRPr="00C26AFA">
        <w:rPr>
          <w:rFonts w:ascii="Narkisim" w:hAnsi="Narkisim"/>
          <w:sz w:val="20"/>
          <w:szCs w:val="20"/>
          <w:rtl/>
        </w:rPr>
        <w:t>לעיל כז.)</w:t>
      </w:r>
      <w:r w:rsidRPr="00C26AFA">
        <w:rPr>
          <w:rFonts w:ascii="Narkisim" w:hAnsi="Narkisim"/>
          <w:rtl/>
        </w:rPr>
        <w:t xml:space="preserve"> דחליצה פסולה מיפטר נפשיה, ואפ"ה בעי חיזור לצרות. </w:t>
      </w:r>
      <w:r w:rsidRPr="00C26AFA">
        <w:rPr>
          <w:rFonts w:ascii="Narkisim" w:hAnsi="Narkisim"/>
          <w:sz w:val="20"/>
          <w:szCs w:val="20"/>
          <w:rtl/>
        </w:rPr>
        <w:t>וה</w:t>
      </w:r>
      <w:r w:rsidRPr="00C26AFA">
        <w:rPr>
          <w:rFonts w:ascii="Narkisim" w:hAnsi="Narkisim"/>
          <w:b/>
          <w:bCs/>
          <w:sz w:val="20"/>
          <w:szCs w:val="20"/>
          <w:rtl/>
        </w:rPr>
        <w:t>אחרונים</w:t>
      </w:r>
      <w:r w:rsidRPr="00C26AFA">
        <w:rPr>
          <w:rStyle w:val="ac"/>
          <w:rFonts w:ascii="Narkisim" w:hAnsi="Narkisim"/>
          <w:sz w:val="20"/>
          <w:szCs w:val="20"/>
          <w:rtl/>
        </w:rPr>
        <w:footnoteReference w:id="3064"/>
      </w:r>
      <w:r w:rsidRPr="00C26AFA">
        <w:rPr>
          <w:rFonts w:ascii="Narkisim" w:hAnsi="Narkisim"/>
          <w:sz w:val="20"/>
          <w:szCs w:val="20"/>
          <w:rtl/>
        </w:rPr>
        <w:t xml:space="preserve"> ביארו [סברת רש"י] דעל כל יבם רמי מצוות יבום בפנ"ע, משא"כ בצרות. [ושמואל ס”ל להיפך, דאינה פוטרת צרתה אלא בחליצה מעלייתא]</w:t>
      </w:r>
      <w:r w:rsidRPr="00C26AFA">
        <w:rPr>
          <w:rFonts w:ascii="Narkisim" w:hAnsi="Narkisim"/>
          <w:rtl/>
        </w:rPr>
        <w:t>.</w:t>
      </w:r>
    </w:p>
    <w:p w14:paraId="5719A28C" w14:textId="77777777" w:rsidR="006074A5" w:rsidRPr="00C26AFA" w:rsidRDefault="006074A5" w:rsidP="006074A5">
      <w:pPr>
        <w:bidi/>
        <w:rPr>
          <w:rFonts w:ascii="Narkisim" w:hAnsi="Narkisim" w:cs="Narkisim"/>
        </w:rPr>
      </w:pPr>
      <w:r w:rsidRPr="00C26AFA">
        <w:rPr>
          <w:rFonts w:ascii="Narkisim" w:hAnsi="Narkisim" w:cs="Narkisim"/>
          <w:u w:val="single"/>
          <w:rtl/>
        </w:rPr>
        <w:t>תוד"ה עשה.</w:t>
      </w:r>
      <w:r w:rsidRPr="00C26AFA">
        <w:rPr>
          <w:rFonts w:ascii="Narkisim" w:hAnsi="Narkisim" w:cs="Narkisim"/>
          <w:rtl/>
        </w:rPr>
        <w:t xml:space="preserve"> הכא שייך להק' דיתן גט לא' מהן למאמרו וכו' ולעיל פי'. ו</w:t>
      </w:r>
      <w:r w:rsidRPr="00C26AFA">
        <w:rPr>
          <w:rFonts w:ascii="Narkisim" w:hAnsi="Narkisim" w:cs="Narkisim"/>
          <w:b/>
          <w:bCs/>
          <w:rtl/>
        </w:rPr>
        <w:t>תוס'</w:t>
      </w:r>
      <w:r w:rsidRPr="00C26AFA">
        <w:rPr>
          <w:rFonts w:ascii="Narkisim" w:hAnsi="Narkisim" w:cs="Narkisim"/>
          <w:rtl/>
        </w:rPr>
        <w:t xml:space="preserve"> </w:t>
      </w:r>
      <w:r w:rsidRPr="00C26AFA">
        <w:rPr>
          <w:rFonts w:ascii="Narkisim" w:hAnsi="Narkisim" w:cs="Narkisim"/>
          <w:sz w:val="20"/>
          <w:szCs w:val="20"/>
          <w:rtl/>
        </w:rPr>
        <w:t>(לעיל לב. ד”ה גט)</w:t>
      </w:r>
      <w:r w:rsidRPr="00C26AFA">
        <w:rPr>
          <w:rFonts w:ascii="Narkisim" w:hAnsi="Narkisim" w:cs="Narkisim"/>
          <w:rtl/>
        </w:rPr>
        <w:t xml:space="preserve"> תי' דלכתחילה גזרינן אטו גט לזיקתו. </w:t>
      </w:r>
      <w:r w:rsidRPr="00C26AFA">
        <w:rPr>
          <w:rFonts w:ascii="Narkisim" w:hAnsi="Narkisim" w:cs="Narkisim"/>
          <w:sz w:val="20"/>
          <w:szCs w:val="20"/>
          <w:rtl/>
        </w:rPr>
        <w:t>[וה</w:t>
      </w:r>
      <w:r w:rsidRPr="00C26AFA">
        <w:rPr>
          <w:rFonts w:ascii="Narkisim" w:hAnsi="Narkisim" w:cs="Narkisim"/>
          <w:b/>
          <w:bCs/>
          <w:sz w:val="20"/>
          <w:szCs w:val="20"/>
          <w:rtl/>
        </w:rPr>
        <w:t>חזו”א</w:t>
      </w:r>
      <w:r w:rsidRPr="00C26AFA">
        <w:rPr>
          <w:rFonts w:ascii="Narkisim" w:hAnsi="Narkisim" w:cs="Narkisim"/>
          <w:sz w:val="20"/>
          <w:szCs w:val="20"/>
          <w:rtl/>
        </w:rPr>
        <w:t xml:space="preserve"> (קכח ח) כתב דהיינו כשדעתו לייבם אח”כ</w:t>
      </w:r>
      <w:r w:rsidRPr="00C26AFA">
        <w:rPr>
          <w:rFonts w:ascii="Narkisim" w:hAnsi="Narkisim" w:cs="Narkisim"/>
          <w:rtl/>
        </w:rPr>
        <w:t>]. אבל ה</w:t>
      </w:r>
      <w:r w:rsidRPr="00C26AFA">
        <w:rPr>
          <w:rFonts w:ascii="Narkisim" w:hAnsi="Narkisim" w:cs="Narkisim"/>
          <w:b/>
          <w:bCs/>
          <w:rtl/>
        </w:rPr>
        <w:t>רמב"ן</w:t>
      </w:r>
      <w:r w:rsidRPr="00C26AFA">
        <w:rPr>
          <w:rFonts w:ascii="Narkisim" w:hAnsi="Narkisim" w:cs="Narkisim"/>
          <w:rtl/>
        </w:rPr>
        <w:t xml:space="preserve"> ו</w:t>
      </w:r>
      <w:r w:rsidRPr="00C26AFA">
        <w:rPr>
          <w:rFonts w:ascii="Narkisim" w:hAnsi="Narkisim" w:cs="Narkisim"/>
          <w:b/>
          <w:bCs/>
          <w:rtl/>
        </w:rPr>
        <w:t>רשב"א</w:t>
      </w:r>
      <w:r w:rsidRPr="00C26AFA">
        <w:rPr>
          <w:rFonts w:ascii="Narkisim" w:hAnsi="Narkisim" w:cs="Narkisim"/>
          <w:rtl/>
        </w:rPr>
        <w:t xml:space="preserve"> נקטו דאף לכתחילה מותר לתת גט למאמרו. ותי' דה"ק דאם בא להוציאן צריך ב' גיטין</w:t>
      </w:r>
      <w:r w:rsidRPr="00C26AFA">
        <w:rPr>
          <w:rStyle w:val="ac"/>
          <w:rFonts w:ascii="Narkisim" w:hAnsi="Narkisim" w:cs="Narkisim"/>
          <w:rtl/>
        </w:rPr>
        <w:footnoteReference w:id="3065"/>
      </w:r>
      <w:r w:rsidRPr="00C26AFA">
        <w:rPr>
          <w:rFonts w:ascii="Narkisim" w:hAnsi="Narkisim" w:cs="Narkisim"/>
          <w:rtl/>
        </w:rPr>
        <w:t>. וה</w:t>
      </w:r>
      <w:r w:rsidRPr="00C26AFA">
        <w:rPr>
          <w:rFonts w:ascii="Narkisim" w:hAnsi="Narkisim" w:cs="Narkisim"/>
          <w:b/>
          <w:bCs/>
          <w:rtl/>
        </w:rPr>
        <w:t>רמב"ן</w:t>
      </w:r>
      <w:r w:rsidRPr="00C26AFA">
        <w:rPr>
          <w:rFonts w:ascii="Narkisim" w:hAnsi="Narkisim" w:cs="Narkisim"/>
          <w:rtl/>
        </w:rPr>
        <w:t xml:space="preserve"> הוסיף כיון דבכל מאמר כך הדין, לכן לא הו"ל למתני הכי. </w:t>
      </w:r>
      <w:r w:rsidRPr="00C26AFA">
        <w:rPr>
          <w:rFonts w:ascii="Narkisim" w:hAnsi="Narkisim" w:cs="Narkisim"/>
          <w:sz w:val="20"/>
          <w:szCs w:val="20"/>
          <w:rtl/>
        </w:rPr>
        <w:t>אבל הגמ' (נא:) מקשה לרבן גמליאל תתייבם, דר"ג מיהדר בתר בטולי למאמר הב'.</w:t>
      </w:r>
    </w:p>
    <w:p w14:paraId="0D7DB585" w14:textId="77777777" w:rsidR="006074A5" w:rsidRPr="00C26AFA" w:rsidRDefault="006074A5" w:rsidP="006074A5">
      <w:pPr>
        <w:bidi/>
        <w:rPr>
          <w:rFonts w:ascii="Narkisim" w:hAnsi="Narkisim" w:cs="Narkisim"/>
        </w:rPr>
      </w:pPr>
      <w:r w:rsidRPr="00C26AFA">
        <w:rPr>
          <w:rFonts w:ascii="Narkisim" w:hAnsi="Narkisim" w:cs="Narkisim"/>
          <w:u w:val="single"/>
          <w:rtl/>
        </w:rPr>
        <w:t>בא"ד [שם] דיתן גט וכו' למאמרו ותשתרי אידך</w:t>
      </w:r>
      <w:r w:rsidRPr="00C26AFA">
        <w:rPr>
          <w:rFonts w:ascii="Narkisim" w:hAnsi="Narkisim" w:cs="Narkisim"/>
          <w:rtl/>
        </w:rPr>
        <w:t xml:space="preserve">. </w:t>
      </w:r>
      <w:r w:rsidRPr="00C26AFA">
        <w:rPr>
          <w:rFonts w:ascii="Narkisim" w:hAnsi="Narkisim" w:cs="Narkisim"/>
          <w:sz w:val="20"/>
          <w:szCs w:val="20"/>
          <w:rtl/>
        </w:rPr>
        <w:t>[שיטת התוס' (בע”א, ולקמן נב:) דהותר אף יבמה זו בגט למאמרו</w:t>
      </w:r>
      <w:r w:rsidRPr="00C26AFA">
        <w:rPr>
          <w:rStyle w:val="ac"/>
          <w:rFonts w:ascii="Narkisim" w:hAnsi="Narkisim" w:cs="Narkisim"/>
          <w:sz w:val="20"/>
          <w:szCs w:val="20"/>
          <w:rtl/>
        </w:rPr>
        <w:footnoteReference w:id="3066"/>
      </w:r>
      <w:r w:rsidRPr="00C26AFA">
        <w:rPr>
          <w:rFonts w:ascii="Narkisim" w:hAnsi="Narkisim" w:cs="Narkisim"/>
          <w:rtl/>
        </w:rPr>
        <w:t>, וע' לקמן נב: ולעיל לב. דעת שא”ר]. וה</w:t>
      </w:r>
      <w:r w:rsidRPr="00C26AFA">
        <w:rPr>
          <w:rFonts w:ascii="Narkisim" w:hAnsi="Narkisim" w:cs="Narkisim"/>
          <w:b/>
          <w:bCs/>
          <w:rtl/>
        </w:rPr>
        <w:t>רמב”ן</w:t>
      </w:r>
      <w:r w:rsidRPr="00C26AFA">
        <w:rPr>
          <w:rFonts w:ascii="Narkisim" w:hAnsi="Narkisim" w:cs="Narkisim"/>
          <w:rtl/>
        </w:rPr>
        <w:t xml:space="preserve"> כת' דהכא שב' נתנו מאמר, י"ל דגט דא' מהם [למאמרו] פוסל את מאמר דתרוייהו</w:t>
      </w:r>
      <w:r w:rsidRPr="00C26AFA">
        <w:rPr>
          <w:rStyle w:val="ac"/>
          <w:rFonts w:ascii="Narkisim" w:hAnsi="Narkisim" w:cs="Narkisim"/>
          <w:rtl/>
        </w:rPr>
        <w:footnoteReference w:id="3067"/>
      </w:r>
      <w:r w:rsidRPr="00C26AFA">
        <w:rPr>
          <w:rFonts w:ascii="Narkisim" w:hAnsi="Narkisim" w:cs="Narkisim"/>
          <w:rtl/>
        </w:rPr>
        <w:t>. דכשם שזיקת כל הבית נפסלת לאחין בגיטו של א', אף מאמר דכולהו נפסל בגט דא'. וכן בב' צרות, דשליחותייהו דהדדי עבדן [אף במאמר].</w:t>
      </w:r>
    </w:p>
    <w:p w14:paraId="2AA96EEF" w14:textId="77777777" w:rsidR="006074A5" w:rsidRPr="00C26AFA" w:rsidRDefault="006074A5" w:rsidP="006074A5">
      <w:pPr>
        <w:pStyle w:val="aa"/>
        <w:bidi/>
        <w:rPr>
          <w:rFonts w:ascii="Narkisim" w:hAnsi="Narkisim"/>
        </w:rPr>
      </w:pPr>
      <w:r w:rsidRPr="00C26AFA">
        <w:rPr>
          <w:rFonts w:ascii="Narkisim" w:hAnsi="Narkisim"/>
          <w:u w:val="single"/>
          <w:rtl/>
        </w:rPr>
        <w:t>תוד"ה צריכות</w:t>
      </w:r>
      <w:r w:rsidRPr="00C26AFA">
        <w:rPr>
          <w:rFonts w:ascii="Narkisim" w:hAnsi="Narkisim"/>
          <w:rtl/>
        </w:rPr>
        <w:t>. למ"ד חליצה פסולה צריכה לחזור וכו' נקט נמי חליצה בלשון יחיד. ה</w:t>
      </w:r>
      <w:r w:rsidRPr="00C26AFA">
        <w:rPr>
          <w:rFonts w:ascii="Narkisim" w:hAnsi="Narkisim"/>
          <w:b/>
          <w:bCs/>
          <w:rtl/>
        </w:rPr>
        <w:t>ערול"נ</w:t>
      </w:r>
      <w:r w:rsidRPr="00C26AFA">
        <w:rPr>
          <w:rFonts w:ascii="Narkisim" w:hAnsi="Narkisim"/>
          <w:rtl/>
        </w:rPr>
        <w:t xml:space="preserve"> הקשה גבי מאמר לזו וחלץ לזו, דקתני הראשונה צריכה גט, הו"ל למיתני צריכה גט וחליצה. כיון שהחליצה הראשונה היה חליצה פסולה. וכן בהא דקתני גט לנו וחלץ את אין אחר חליצה כלום, הו"ל למיתני הראשונה צריכה חליצה.</w:t>
      </w:r>
    </w:p>
    <w:p w14:paraId="41118278" w14:textId="77777777" w:rsidR="006074A5" w:rsidRPr="00C26AFA" w:rsidRDefault="006074A5" w:rsidP="006074A5">
      <w:pPr>
        <w:pStyle w:val="a8"/>
        <w:bidi/>
        <w:rPr>
          <w:rFonts w:ascii="Narkisim" w:hAnsi="Narkisim"/>
        </w:rPr>
      </w:pPr>
      <w:r w:rsidRPr="00C26AFA">
        <w:rPr>
          <w:rFonts w:ascii="Narkisim" w:hAnsi="Narkisim"/>
          <w:rtl/>
        </w:rPr>
        <w:t>וע"כ דהמשנה לא ס"ל דחליצה פסולה צריכה חיזור [וי"ל דהמשנה כמ"ד דאין זיקה]. אמנם תוס' נקטו דהמשנה קאי אף למ"ד דצריך חיזור. והערול"נ דן האם תוס' הק' דוקא באופן שיש חליצה מעליא טפי, וכדעת שמואל (לעיל כז.). (ע"ע לקמן נא.).</w:t>
      </w:r>
    </w:p>
    <w:p w14:paraId="57C6FF8C" w14:textId="77777777" w:rsidR="006074A5" w:rsidRPr="00C26AFA" w:rsidRDefault="006074A5" w:rsidP="006074A5">
      <w:pPr>
        <w:pStyle w:val="aa"/>
        <w:bidi/>
        <w:rPr>
          <w:rFonts w:ascii="Narkisim" w:hAnsi="Narkisim"/>
        </w:rPr>
      </w:pPr>
      <w:r w:rsidRPr="00C26AFA">
        <w:rPr>
          <w:rFonts w:ascii="Narkisim" w:hAnsi="Narkisim"/>
          <w:u w:val="single"/>
          <w:rtl/>
        </w:rPr>
        <w:t>בין ביבם א' לב' יבמין וכו'.</w:t>
      </w:r>
      <w:r w:rsidRPr="00C26AFA">
        <w:rPr>
          <w:rFonts w:ascii="Narkisim" w:hAnsi="Narkisim"/>
          <w:rtl/>
        </w:rPr>
        <w:t xml:space="preserve"> פ</w:t>
      </w:r>
      <w:r w:rsidRPr="00C26AFA">
        <w:rPr>
          <w:rFonts w:ascii="Narkisim" w:hAnsi="Narkisim"/>
          <w:b/>
          <w:bCs/>
          <w:rtl/>
        </w:rPr>
        <w:t>רש"י</w:t>
      </w:r>
      <w:r w:rsidRPr="00C26AFA">
        <w:rPr>
          <w:rFonts w:ascii="Narkisim" w:hAnsi="Narkisim"/>
          <w:rtl/>
        </w:rPr>
        <w:t xml:space="preserve"> כל הדין האמור למעלה. וה</w:t>
      </w:r>
      <w:r w:rsidRPr="00C26AFA">
        <w:rPr>
          <w:rFonts w:ascii="Narkisim" w:hAnsi="Narkisim"/>
          <w:b/>
          <w:bCs/>
          <w:rtl/>
        </w:rPr>
        <w:t>רמב”ן</w:t>
      </w:r>
      <w:r w:rsidRPr="00C26AFA">
        <w:rPr>
          <w:rFonts w:ascii="Narkisim" w:hAnsi="Narkisim"/>
          <w:rtl/>
        </w:rPr>
        <w:t xml:space="preserve"> מביא לפרש דקאי אסיפא, ומפרש ואזיל חלץ ועשה מאמר וכו'. והביא בשם ה</w:t>
      </w:r>
      <w:r w:rsidRPr="00C26AFA">
        <w:rPr>
          <w:rFonts w:ascii="Narkisim" w:hAnsi="Narkisim"/>
          <w:b/>
          <w:bCs/>
          <w:rtl/>
        </w:rPr>
        <w:t>ראב"ד</w:t>
      </w:r>
      <w:r w:rsidRPr="00C26AFA">
        <w:rPr>
          <w:rFonts w:ascii="Narkisim" w:hAnsi="Narkisim"/>
          <w:rtl/>
        </w:rPr>
        <w:t xml:space="preserve"> דלא פי' בעל ובעל, דא"כ פשיטא דהוה אשת איש. וה</w:t>
      </w:r>
      <w:r w:rsidRPr="00C26AFA">
        <w:rPr>
          <w:rFonts w:ascii="Narkisim" w:hAnsi="Narkisim"/>
          <w:b/>
          <w:bCs/>
          <w:rtl/>
        </w:rPr>
        <w:t>רמב"ן</w:t>
      </w:r>
      <w:r w:rsidRPr="00C26AFA">
        <w:rPr>
          <w:rFonts w:ascii="Narkisim" w:hAnsi="Narkisim"/>
          <w:rtl/>
        </w:rPr>
        <w:t xml:space="preserve"> פי' דלא בעי למיחשב כולהו כי רוכלא.</w:t>
      </w:r>
    </w:p>
    <w:p w14:paraId="0846826B" w14:textId="77777777" w:rsidR="006074A5" w:rsidRPr="00C26AFA" w:rsidRDefault="006074A5" w:rsidP="006074A5">
      <w:pPr>
        <w:pStyle w:val="aa"/>
        <w:bidi/>
        <w:rPr>
          <w:rFonts w:ascii="Narkisim" w:hAnsi="Narkisim"/>
        </w:rPr>
      </w:pPr>
      <w:r w:rsidRPr="00C26AFA">
        <w:rPr>
          <w:rFonts w:ascii="Narkisim" w:hAnsi="Narkisim"/>
          <w:u w:val="single"/>
          <w:rtl/>
        </w:rPr>
        <w:t>אין אחר חליצה כלום וכו' בין באמצע וכו'.</w:t>
      </w:r>
      <w:r w:rsidRPr="00C26AFA">
        <w:rPr>
          <w:rFonts w:ascii="Narkisim" w:hAnsi="Narkisim"/>
          <w:rtl/>
        </w:rPr>
        <w:t xml:space="preserve"> פ</w:t>
      </w:r>
      <w:r w:rsidRPr="00C26AFA">
        <w:rPr>
          <w:rFonts w:ascii="Narkisim" w:hAnsi="Narkisim"/>
          <w:b/>
          <w:bCs/>
          <w:rtl/>
        </w:rPr>
        <w:t>רש"י</w:t>
      </w:r>
      <w:r w:rsidRPr="00C26AFA">
        <w:rPr>
          <w:rFonts w:ascii="Narkisim" w:hAnsi="Narkisim"/>
          <w:rtl/>
        </w:rPr>
        <w:t xml:space="preserve"> כגון גט לזו [דכיון דהוה אחר הגט נחשב 'באמצע']. וה</w:t>
      </w:r>
      <w:r w:rsidRPr="00C26AFA">
        <w:rPr>
          <w:rFonts w:ascii="Narkisim" w:hAnsi="Narkisim"/>
          <w:b/>
          <w:bCs/>
          <w:rtl/>
        </w:rPr>
        <w:t>תוס' הרא"ש</w:t>
      </w:r>
      <w:r w:rsidRPr="00C26AFA">
        <w:rPr>
          <w:rFonts w:ascii="Narkisim" w:hAnsi="Narkisim"/>
          <w:rtl/>
        </w:rPr>
        <w:t xml:space="preserve"> כתב בשם ה</w:t>
      </w:r>
      <w:r w:rsidRPr="00C26AFA">
        <w:rPr>
          <w:rFonts w:ascii="Narkisim" w:hAnsi="Narkisim"/>
          <w:b/>
          <w:bCs/>
          <w:rtl/>
        </w:rPr>
        <w:t>קדוש</w:t>
      </w:r>
      <w:r w:rsidRPr="00C26AFA">
        <w:rPr>
          <w:rFonts w:ascii="Narkisim" w:hAnsi="Narkisim"/>
          <w:rtl/>
        </w:rPr>
        <w:t xml:space="preserve"> </w:t>
      </w:r>
      <w:r w:rsidRPr="00C26AFA">
        <w:rPr>
          <w:rFonts w:ascii="Narkisim" w:hAnsi="Narkisim"/>
          <w:b/>
          <w:bCs/>
          <w:rtl/>
        </w:rPr>
        <w:t>מרדו"ש</w:t>
      </w:r>
      <w:r w:rsidRPr="00C26AFA">
        <w:rPr>
          <w:rFonts w:ascii="Narkisim" w:hAnsi="Narkisim"/>
          <w:rtl/>
        </w:rPr>
        <w:t xml:space="preserve"> דדוקא עשה מאמר וחלץ, דעדיין צריך גט, ואין אחריה כלום זיקה שהמאמר יתפוס. אבל נתן גט וחלץ לא נקרא חליצה 'באמצע', דנימא דמאמר שעשה אחריה אינה כלום. [אלא הצד של מאמר עדיין מהני].</w:t>
      </w:r>
    </w:p>
    <w:p w14:paraId="1405ED35" w14:textId="77777777" w:rsidR="006074A5" w:rsidRPr="00C26AFA" w:rsidRDefault="006074A5" w:rsidP="006074A5">
      <w:pPr>
        <w:bidi/>
        <w:rPr>
          <w:rFonts w:ascii="Narkisim" w:hAnsi="Narkisim" w:cs="Narkisim"/>
        </w:rPr>
      </w:pPr>
      <w:r w:rsidRPr="00C26AFA">
        <w:rPr>
          <w:rFonts w:ascii="Narkisim" w:hAnsi="Narkisim" w:cs="Narkisim"/>
          <w:u w:val="single"/>
          <w:rtl/>
        </w:rPr>
        <w:t>והבעילה בזמן שהיא בתחילה וכו'.</w:t>
      </w:r>
      <w:r w:rsidRPr="00C26AFA">
        <w:rPr>
          <w:rFonts w:ascii="Narkisim" w:hAnsi="Narkisim" w:cs="Narkisim"/>
          <w:rtl/>
        </w:rPr>
        <w:t xml:space="preserve"> ה</w:t>
      </w:r>
      <w:r w:rsidRPr="00C26AFA">
        <w:rPr>
          <w:rFonts w:ascii="Narkisim" w:hAnsi="Narkisim" w:cs="Narkisim"/>
          <w:b/>
          <w:bCs/>
          <w:rtl/>
        </w:rPr>
        <w:t>ראשונים</w:t>
      </w:r>
      <w:r w:rsidRPr="00C26AFA">
        <w:rPr>
          <w:rFonts w:ascii="Narkisim" w:hAnsi="Narkisim" w:cs="Narkisim"/>
          <w:rtl/>
        </w:rPr>
        <w:t xml:space="preserve"> כתבו דה”נ איירי בין ביבם א' וכו'. אבל ה</w:t>
      </w:r>
      <w:r w:rsidRPr="00C26AFA">
        <w:rPr>
          <w:rFonts w:ascii="Narkisim" w:hAnsi="Narkisim" w:cs="Narkisim"/>
          <w:b/>
          <w:bCs/>
          <w:rtl/>
        </w:rPr>
        <w:t>אמר”מ</w:t>
      </w:r>
      <w:r w:rsidRPr="00C26AFA">
        <w:rPr>
          <w:rFonts w:ascii="Narkisim" w:hAnsi="Narkisim" w:cs="Narkisim"/>
          <w:rtl/>
        </w:rPr>
        <w:t xml:space="preserve"> (ח יא,יב) דייק מה</w:t>
      </w:r>
      <w:r w:rsidRPr="00C26AFA">
        <w:rPr>
          <w:rFonts w:ascii="Narkisim" w:hAnsi="Narkisim" w:cs="Narkisim"/>
          <w:b/>
          <w:bCs/>
          <w:rtl/>
        </w:rPr>
        <w:t>רמב"ם</w:t>
      </w:r>
      <w:r w:rsidRPr="00C26AFA">
        <w:rPr>
          <w:rFonts w:ascii="Narkisim" w:hAnsi="Narkisim" w:cs="Narkisim"/>
          <w:rtl/>
        </w:rPr>
        <w:t xml:space="preserve"> (ה יא) דקאי רק לגבי הצרות ולא לגבי האחים, שהרמב"ם כתב רק דיבמות רבות מבית א', ונבעלה א' ביאה פסולה וכו' צריכות חליצה שאין זיקת היבום מסתלקת בביאה פסולה. והאמר”מ ביאר דכיון דבא עליה</w:t>
      </w:r>
      <w:r w:rsidRPr="00C26AFA">
        <w:rPr>
          <w:rFonts w:ascii="Narkisim" w:hAnsi="Narkisim" w:cs="Narkisim"/>
          <w:sz w:val="20"/>
          <w:szCs w:val="20"/>
          <w:rtl/>
        </w:rPr>
        <w:t xml:space="preserve"> [אפי' ביאה פסולה]</w:t>
      </w:r>
      <w:r w:rsidRPr="00C26AFA">
        <w:rPr>
          <w:rFonts w:ascii="Narkisim" w:hAnsi="Narkisim" w:cs="Narkisim"/>
          <w:rtl/>
        </w:rPr>
        <w:t xml:space="preserve">, פקע הזיקה מאותה היבמה, משום ערוה דאשת איש. </w:t>
      </w:r>
      <w:r w:rsidRPr="00C26AFA">
        <w:rPr>
          <w:rFonts w:ascii="Narkisim" w:hAnsi="Narkisim" w:cs="Narkisim"/>
          <w:sz w:val="20"/>
          <w:szCs w:val="20"/>
          <w:rtl/>
        </w:rPr>
        <w:t xml:space="preserve">[וכעין דברי הגר"ח לתרץ על קושי' התוס' (כט.) גבי מאמר </w:t>
      </w:r>
      <w:r w:rsidRPr="00C26AFA">
        <w:rPr>
          <w:rFonts w:ascii="Narkisim" w:hAnsi="Narkisim" w:cs="Narkisim"/>
          <w:sz w:val="20"/>
          <w:szCs w:val="20"/>
          <w:rtl/>
        </w:rPr>
        <w:lastRenderedPageBreak/>
        <w:t>לבי"ש, דפקע הזיקה משאר אחים, ע”י שקנאה זה במאמר].</w:t>
      </w:r>
    </w:p>
    <w:p w14:paraId="4269D5C8"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אמר"מ</w:t>
      </w:r>
      <w:r w:rsidRPr="00C26AFA">
        <w:rPr>
          <w:rFonts w:ascii="Narkisim" w:hAnsi="Narkisim"/>
          <w:rtl/>
        </w:rPr>
        <w:t xml:space="preserve"> הקשה דמתני' קאי כר"ע, וקאי אף על הצרה בלא יבנה [ואף ביאה פסולה], ונימא דהזיקה פקע. ואי נימא דעשו כאילו ל"ק מדרבנן, א"כ ג"כ כלפי אחיו. ותי' דאיסור לא יבנה תליא בזיקה, וכיון דהפקיעו היבום לחומרא שוב לא קאי בלא יבנה. אבל קנין האישות לא הפקיעו, ולכן קאי באיסור אשת איש.</w:t>
      </w:r>
    </w:p>
    <w:p w14:paraId="713B3717" w14:textId="77777777" w:rsidR="006074A5" w:rsidRPr="00C26AFA" w:rsidRDefault="006074A5" w:rsidP="006074A5">
      <w:pPr>
        <w:bidi/>
        <w:rPr>
          <w:rFonts w:ascii="Narkisim" w:hAnsi="Narkisim" w:cs="Narkisim"/>
        </w:rPr>
      </w:pPr>
      <w:r w:rsidRPr="00C26AFA">
        <w:rPr>
          <w:rFonts w:ascii="Narkisim" w:hAnsi="Narkisim" w:cs="Narkisim"/>
          <w:u w:val="single"/>
          <w:rtl/>
        </w:rPr>
        <w:t>רש”י ד"ה אין אחריה כלום.</w:t>
      </w:r>
      <w:r w:rsidRPr="00C26AFA">
        <w:rPr>
          <w:rFonts w:ascii="Narkisim" w:hAnsi="Narkisim" w:cs="Narkisim"/>
          <w:rtl/>
        </w:rPr>
        <w:t xml:space="preserve"> ונפקא בגט ובלא חליצה וכו'. [לר' נחמיה]. ה</w:t>
      </w:r>
      <w:r w:rsidRPr="00C26AFA">
        <w:rPr>
          <w:rFonts w:ascii="Narkisim" w:hAnsi="Narkisim" w:cs="Narkisim"/>
          <w:b/>
          <w:bCs/>
          <w:rtl/>
        </w:rPr>
        <w:t>רמב”ן</w:t>
      </w:r>
      <w:r w:rsidRPr="00C26AFA">
        <w:rPr>
          <w:rFonts w:ascii="Narkisim" w:hAnsi="Narkisim" w:cs="Narkisim"/>
          <w:rtl/>
        </w:rPr>
        <w:t xml:space="preserve"> (וכן המהרש"ל) הקשה ד</w:t>
      </w:r>
      <w:r w:rsidRPr="00C26AFA">
        <w:rPr>
          <w:rFonts w:ascii="Narkisim" w:hAnsi="Narkisim" w:cs="Narkisim"/>
          <w:b/>
          <w:bCs/>
          <w:rtl/>
        </w:rPr>
        <w:t>רש"י</w:t>
      </w:r>
      <w:r w:rsidRPr="00C26AFA">
        <w:rPr>
          <w:rFonts w:ascii="Narkisim" w:hAnsi="Narkisim" w:cs="Narkisim"/>
          <w:rtl/>
        </w:rPr>
        <w:t xml:space="preserve"> (נא: בסוף העמ') כתב דלר' נחמיה ביאה פסולה כמאמר, וקא בעי נמי חליצה לזיקתו. וה</w:t>
      </w:r>
      <w:r w:rsidRPr="00C26AFA">
        <w:rPr>
          <w:rFonts w:ascii="Narkisim" w:hAnsi="Narkisim" w:cs="Narkisim"/>
          <w:b/>
          <w:bCs/>
          <w:rtl/>
        </w:rPr>
        <w:t>רמב"ן</w:t>
      </w:r>
      <w:r w:rsidRPr="00C26AFA">
        <w:rPr>
          <w:rFonts w:ascii="Narkisim" w:hAnsi="Narkisim" w:cs="Narkisim"/>
          <w:rtl/>
        </w:rPr>
        <w:t xml:space="preserve"> כת' דר' נחמיה קאי דאין 'אחריהן', דאחריהן משמע דוקא מאמר וגט. אבל היא עצמה צריכה חליצה לזיקתו. </w:t>
      </w:r>
      <w:r w:rsidRPr="00C26AFA">
        <w:rPr>
          <w:rFonts w:ascii="Narkisim" w:hAnsi="Narkisim" w:cs="Narkisim"/>
          <w:szCs w:val="20"/>
          <w:rtl/>
        </w:rPr>
        <w:t>אבל ה</w:t>
      </w:r>
      <w:r w:rsidRPr="00C26AFA">
        <w:rPr>
          <w:rFonts w:ascii="Narkisim" w:hAnsi="Narkisim" w:cs="Narkisim"/>
          <w:b/>
          <w:bCs/>
          <w:szCs w:val="20"/>
          <w:rtl/>
        </w:rPr>
        <w:t>מהרש"א</w:t>
      </w:r>
      <w:r w:rsidRPr="00C26AFA">
        <w:rPr>
          <w:rFonts w:ascii="Narkisim" w:hAnsi="Narkisim" w:cs="Narkisim"/>
          <w:szCs w:val="20"/>
          <w:rtl/>
        </w:rPr>
        <w:t xml:space="preserve"> נדחק בדברי רש"י (נא:)</w:t>
      </w:r>
      <w:r w:rsidRPr="00C26AFA">
        <w:rPr>
          <w:rFonts w:ascii="Narkisim" w:hAnsi="Narkisim" w:cs="Narkisim"/>
          <w:rtl/>
        </w:rPr>
        <w:t>.</w:t>
      </w:r>
    </w:p>
    <w:p w14:paraId="07BD5A9B" w14:textId="77777777" w:rsidR="006074A5" w:rsidRPr="00C26AFA" w:rsidRDefault="006074A5" w:rsidP="006074A5">
      <w:pPr>
        <w:pStyle w:val="2"/>
        <w:bidi/>
        <w:rPr>
          <w:rFonts w:ascii="Narkisim" w:hAnsi="Narkisim"/>
        </w:rPr>
      </w:pPr>
      <w:r w:rsidRPr="00C26AFA">
        <w:rPr>
          <w:rFonts w:ascii="Narkisim" w:hAnsi="Narkisim"/>
          <w:rtl/>
        </w:rPr>
        <w:t>מ"ט אמור רבנן גט ביבמה</w:t>
      </w:r>
    </w:p>
    <w:p w14:paraId="0649997F" w14:textId="77777777" w:rsidR="006074A5" w:rsidRPr="00C26AFA" w:rsidRDefault="006074A5" w:rsidP="006074A5">
      <w:pPr>
        <w:bidi/>
        <w:rPr>
          <w:rFonts w:ascii="Narkisim" w:hAnsi="Narkisim" w:cs="Narkisim"/>
        </w:rPr>
      </w:pPr>
      <w:r w:rsidRPr="00C26AFA">
        <w:rPr>
          <w:rFonts w:ascii="Narkisim" w:hAnsi="Narkisim" w:cs="Narkisim"/>
          <w:u w:val="single"/>
          <w:rtl/>
        </w:rPr>
        <w:t>מ”ט אמור רבנן גט ביבמה</w:t>
      </w:r>
      <w:r w:rsidRPr="00C26AFA">
        <w:rPr>
          <w:rFonts w:ascii="Narkisim" w:hAnsi="Narkisim" w:cs="Narkisim"/>
          <w:rtl/>
        </w:rPr>
        <w:t>. פ</w:t>
      </w:r>
      <w:r w:rsidRPr="00C26AFA">
        <w:rPr>
          <w:rFonts w:ascii="Narkisim" w:hAnsi="Narkisim" w:cs="Narkisim"/>
          <w:b/>
          <w:bCs/>
          <w:rtl/>
        </w:rPr>
        <w:t xml:space="preserve">רש"י </w:t>
      </w:r>
      <w:r w:rsidRPr="00C26AFA">
        <w:rPr>
          <w:rFonts w:ascii="Narkisim" w:hAnsi="Narkisim" w:cs="Narkisim"/>
          <w:rtl/>
        </w:rPr>
        <w:t>דמדאורייתא ל"מ אלא חליצה, ומשום גט לא קרינן ביה שלא בנה. וה</w:t>
      </w:r>
      <w:r w:rsidRPr="00C26AFA">
        <w:rPr>
          <w:rFonts w:ascii="Narkisim" w:hAnsi="Narkisim" w:cs="Narkisim"/>
          <w:b/>
          <w:bCs/>
          <w:rtl/>
        </w:rPr>
        <w:t>ריטב"א</w:t>
      </w:r>
      <w:r w:rsidRPr="00C26AFA">
        <w:rPr>
          <w:rFonts w:ascii="Narkisim" w:hAnsi="Narkisim" w:cs="Narkisim"/>
          <w:rtl/>
        </w:rPr>
        <w:t xml:space="preserve"> פי' כיון דאמר קרא דביבמה לא מהני גט (כדאיתא קידושין יד.), מ"ט אמרו רבנן דמהני</w:t>
      </w:r>
      <w:r w:rsidRPr="00C26AFA">
        <w:rPr>
          <w:rStyle w:val="ac"/>
          <w:rFonts w:ascii="Narkisim" w:hAnsi="Narkisim" w:cs="Narkisim"/>
          <w:rtl/>
        </w:rPr>
        <w:footnoteReference w:id="3068"/>
      </w:r>
      <w:r w:rsidRPr="00C26AFA">
        <w:rPr>
          <w:rFonts w:ascii="Narkisim" w:hAnsi="Narkisim" w:cs="Narkisim"/>
          <w:rtl/>
        </w:rPr>
        <w:t>.</w:t>
      </w:r>
    </w:p>
    <w:p w14:paraId="50923E8E" w14:textId="77777777" w:rsidR="006074A5" w:rsidRPr="00C26AFA" w:rsidRDefault="006074A5" w:rsidP="006074A5">
      <w:pPr>
        <w:bidi/>
        <w:rPr>
          <w:rFonts w:ascii="Narkisim" w:hAnsi="Narkisim" w:cs="Narkisim"/>
        </w:rPr>
      </w:pPr>
      <w:r w:rsidRPr="00C26AFA">
        <w:rPr>
          <w:rFonts w:ascii="Narkisim" w:hAnsi="Narkisim" w:cs="Narkisim"/>
          <w:u w:val="single"/>
          <w:rtl/>
        </w:rPr>
        <w:t>ומ"ט אמור רבנן מאמר ביבמה מהני</w:t>
      </w:r>
      <w:r w:rsidRPr="00C26AFA">
        <w:rPr>
          <w:rStyle w:val="ac"/>
          <w:rFonts w:ascii="Narkisim" w:hAnsi="Narkisim" w:cs="Narkisim"/>
          <w:u w:val="single"/>
          <w:rtl/>
        </w:rPr>
        <w:footnoteReference w:id="3069"/>
      </w:r>
      <w:r w:rsidRPr="00C26AFA">
        <w:rPr>
          <w:rFonts w:ascii="Narkisim" w:hAnsi="Narkisim" w:cs="Narkisim"/>
          <w:rtl/>
        </w:rPr>
        <w:t xml:space="preserve">, משום דמהני בעלמא וכו' אמרי מאמר לקנות וכו'. בפשוטו מבואר דעיקר תקנת מאמר, אטו ביאה אחר ביאה. אבל (לקמן נב.) איתא דעיקר מצוות יבמין ע”י מאמר, שלא יהא תחילת קניניו בביאה. </w:t>
      </w:r>
      <w:r w:rsidRPr="00C26AFA">
        <w:rPr>
          <w:rFonts w:ascii="Narkisim" w:hAnsi="Narkisim" w:cs="Narkisim"/>
          <w:sz w:val="20"/>
          <w:szCs w:val="20"/>
          <w:rtl/>
        </w:rPr>
        <w:t>ויש שפי' דמסברא מהני מאמר לקנות מדרבנן [וצריכה גט ממנו], אבל צרתה אינה נאסרת עי"ז. ובזה קאי גזירה דסוגיין.</w:t>
      </w:r>
    </w:p>
    <w:p w14:paraId="1576A7E1" w14:textId="77777777" w:rsidR="006074A5" w:rsidRPr="00C26AFA" w:rsidRDefault="006074A5" w:rsidP="006074A5">
      <w:pPr>
        <w:bidi/>
        <w:rPr>
          <w:rFonts w:ascii="Narkisim" w:hAnsi="Narkisim" w:cs="Narkisim"/>
        </w:rPr>
      </w:pPr>
      <w:r w:rsidRPr="00C26AFA">
        <w:rPr>
          <w:rFonts w:ascii="Narkisim" w:hAnsi="Narkisim" w:cs="Narkisim"/>
          <w:u w:val="single"/>
          <w:rtl/>
        </w:rPr>
        <w:t>שם.</w:t>
      </w:r>
      <w:r w:rsidRPr="00C26AFA">
        <w:rPr>
          <w:rFonts w:ascii="Narkisim" w:hAnsi="Narkisim" w:cs="Narkisim"/>
          <w:rtl/>
        </w:rPr>
        <w:t xml:space="preserve"> ה</w:t>
      </w:r>
      <w:r w:rsidRPr="00C26AFA">
        <w:rPr>
          <w:rFonts w:ascii="Narkisim" w:hAnsi="Narkisim" w:cs="Narkisim"/>
          <w:b/>
          <w:bCs/>
          <w:rtl/>
        </w:rPr>
        <w:t>אחרונים</w:t>
      </w:r>
      <w:r w:rsidRPr="00C26AFA">
        <w:rPr>
          <w:rFonts w:ascii="Narkisim" w:hAnsi="Narkisim" w:cs="Narkisim"/>
          <w:rtl/>
        </w:rPr>
        <w:t xml:space="preserve"> העמידו דבסוגיין משמע דמאמר לא הוה קנין</w:t>
      </w:r>
      <w:r w:rsidRPr="00C26AFA">
        <w:rPr>
          <w:rStyle w:val="ac"/>
          <w:rFonts w:ascii="Narkisim" w:hAnsi="Narkisim" w:cs="Narkisim"/>
          <w:rtl/>
        </w:rPr>
        <w:footnoteReference w:id="3070"/>
      </w:r>
      <w:r w:rsidRPr="00C26AFA">
        <w:rPr>
          <w:rFonts w:ascii="Narkisim" w:hAnsi="Narkisim" w:cs="Narkisim"/>
          <w:rtl/>
        </w:rPr>
        <w:t>, אלא גזרו ליאסר באחים משום דדמי לקידושין, וגזרו אטו יבום. והעירו דלכאו' משמע בכ"מ</w:t>
      </w:r>
      <w:r w:rsidRPr="00C26AFA">
        <w:rPr>
          <w:rStyle w:val="ac"/>
          <w:rFonts w:ascii="Narkisim" w:hAnsi="Narkisim" w:cs="Narkisim"/>
          <w:rtl/>
        </w:rPr>
        <w:footnoteReference w:id="3071"/>
      </w:r>
      <w:r w:rsidRPr="00C26AFA">
        <w:rPr>
          <w:rFonts w:ascii="Narkisim" w:hAnsi="Narkisim" w:cs="Narkisim"/>
          <w:rtl/>
        </w:rPr>
        <w:t xml:space="preserve"> דמאמר הוה גדר קנין קידושין או קנין יבום.</w:t>
      </w:r>
    </w:p>
    <w:p w14:paraId="0413117F" w14:textId="77777777" w:rsidR="006074A5" w:rsidRPr="00C26AFA" w:rsidRDefault="006074A5" w:rsidP="006074A5">
      <w:pPr>
        <w:pStyle w:val="a8"/>
        <w:bidi/>
        <w:rPr>
          <w:rFonts w:ascii="Narkisim" w:hAnsi="Narkisim"/>
        </w:rPr>
      </w:pPr>
      <w:r w:rsidRPr="00C26AFA">
        <w:rPr>
          <w:rFonts w:ascii="Narkisim" w:hAnsi="Narkisim"/>
          <w:rtl/>
        </w:rPr>
        <w:t>ועוד הביאו דבגמ' (לקמן נא.) מבואר דהא דיש מאמר אחר מאמר הוא משום דקנה רק במקצת, והמאמר הב' קנה בצד הפנוי. ומבואר דשייך בזה סברות בגדר הקנין.</w:t>
      </w:r>
    </w:p>
    <w:p w14:paraId="6A92F5CC" w14:textId="77777777" w:rsidR="006074A5" w:rsidRPr="00C26AFA" w:rsidRDefault="006074A5" w:rsidP="006074A5">
      <w:pPr>
        <w:pStyle w:val="a7"/>
        <w:bidi/>
        <w:rPr>
          <w:rFonts w:ascii="Narkisim" w:hAnsi="Narkisim"/>
        </w:rPr>
      </w:pPr>
      <w:r w:rsidRPr="00C26AFA">
        <w:rPr>
          <w:rFonts w:ascii="Narkisim" w:hAnsi="Narkisim"/>
          <w:rtl/>
        </w:rPr>
        <w:t>וצ"ל דטעם הגזירה משום גזירה אטו ביאה וכו', אבל מש"ה תקנו גדר קנין אישות. ותקנו שיחשב אישות במקצת, [וכדאיתא התם] משום גזירה דמאמר אחר הגט.</w:t>
      </w:r>
    </w:p>
    <w:p w14:paraId="22EC89F3" w14:textId="77777777" w:rsidR="006074A5" w:rsidRPr="00C26AFA" w:rsidRDefault="006074A5" w:rsidP="006074A5">
      <w:pPr>
        <w:pStyle w:val="aa"/>
        <w:bidi/>
        <w:rPr>
          <w:rFonts w:ascii="Narkisim" w:hAnsi="Narkisim"/>
        </w:rPr>
      </w:pPr>
      <w:r w:rsidRPr="00C26AFA">
        <w:rPr>
          <w:rFonts w:ascii="Narkisim" w:hAnsi="Narkisim"/>
          <w:u w:val="single"/>
          <w:rtl/>
        </w:rPr>
        <w:t>ואתי למיבעל אחר ביאה.</w:t>
      </w:r>
      <w:r w:rsidRPr="00C26AFA">
        <w:rPr>
          <w:rFonts w:ascii="Narkisim" w:hAnsi="Narkisim"/>
          <w:rtl/>
        </w:rPr>
        <w:t xml:space="preserve"> ה</w:t>
      </w:r>
      <w:r w:rsidRPr="00C26AFA">
        <w:rPr>
          <w:rFonts w:ascii="Narkisim" w:hAnsi="Narkisim"/>
          <w:b/>
          <w:bCs/>
          <w:rtl/>
        </w:rPr>
        <w:t>ריטב"א</w:t>
      </w:r>
      <w:r w:rsidRPr="00C26AFA">
        <w:rPr>
          <w:rFonts w:ascii="Narkisim" w:hAnsi="Narkisim"/>
          <w:rtl/>
        </w:rPr>
        <w:t xml:space="preserve"> פי' צרתה, דהיא עצמה ליכא למיחש, דהוה אשת אחיו.</w:t>
      </w:r>
    </w:p>
    <w:p w14:paraId="6774E5E6" w14:textId="77777777" w:rsidR="006074A5" w:rsidRPr="00C26AFA" w:rsidRDefault="006074A5" w:rsidP="006074A5">
      <w:pPr>
        <w:bidi/>
        <w:rPr>
          <w:rFonts w:ascii="Narkisim" w:hAnsi="Narkisim" w:cs="Narkisim"/>
        </w:rPr>
      </w:pPr>
      <w:r w:rsidRPr="00C26AFA">
        <w:rPr>
          <w:rFonts w:ascii="Narkisim" w:hAnsi="Narkisim" w:cs="Narkisim"/>
          <w:u w:val="single"/>
          <w:rtl/>
        </w:rPr>
        <w:t>תוד"ה מדגט.</w:t>
      </w:r>
      <w:r w:rsidRPr="00C26AFA">
        <w:rPr>
          <w:rFonts w:ascii="Narkisim" w:hAnsi="Narkisim" w:cs="Narkisim"/>
          <w:rtl/>
        </w:rPr>
        <w:t xml:space="preserve"> אבל הכא חיישינן שיאמרו וכו' היינו מלבד הגט וכו'. אבל ה</w:t>
      </w:r>
      <w:r w:rsidRPr="00C26AFA">
        <w:rPr>
          <w:rFonts w:ascii="Narkisim" w:hAnsi="Narkisim" w:cs="Narkisim"/>
          <w:b/>
          <w:bCs/>
          <w:rtl/>
        </w:rPr>
        <w:t>ריטב"א</w:t>
      </w:r>
      <w:r w:rsidRPr="00C26AFA">
        <w:rPr>
          <w:rFonts w:ascii="Narkisim" w:hAnsi="Narkisim" w:cs="Narkisim"/>
          <w:rtl/>
        </w:rPr>
        <w:t xml:space="preserve"> פי' דחיישינן שיאמרו דחליצה ל"מ לפוסלה [ואף דמותרת לשוק], כיון דחזו דגט אינו פוסלה.</w:t>
      </w:r>
    </w:p>
    <w:p w14:paraId="0AA4925B" w14:textId="77777777" w:rsidR="006074A5" w:rsidRPr="00C26AFA" w:rsidRDefault="006074A5" w:rsidP="006074A5">
      <w:pPr>
        <w:bidi/>
        <w:rPr>
          <w:rFonts w:ascii="Narkisim" w:hAnsi="Narkisim" w:cs="Narkisim"/>
        </w:rPr>
      </w:pPr>
      <w:r w:rsidRPr="00C26AFA">
        <w:rPr>
          <w:rFonts w:ascii="Narkisim" w:hAnsi="Narkisim" w:cs="Narkisim"/>
          <w:u w:val="single"/>
          <w:rtl/>
        </w:rPr>
        <w:t>ומ"ט אמור רבנן ביאה פסולה יש אחריה כלום.</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ולא אמרי' תסגי בלא חליצה. וה</w:t>
      </w:r>
      <w:r w:rsidRPr="00C26AFA">
        <w:rPr>
          <w:rFonts w:ascii="Narkisim" w:hAnsi="Narkisim" w:cs="Narkisim"/>
          <w:b/>
          <w:bCs/>
          <w:rtl/>
        </w:rPr>
        <w:t>ריטב"א</w:t>
      </w:r>
      <w:r w:rsidRPr="00C26AFA">
        <w:rPr>
          <w:rFonts w:ascii="Narkisim" w:hAnsi="Narkisim" w:cs="Narkisim"/>
          <w:rtl/>
        </w:rPr>
        <w:t xml:space="preserve"> הביא דקושית הגמ' אמאי צריכה חליצה</w:t>
      </w:r>
      <w:r w:rsidRPr="00C26AFA">
        <w:rPr>
          <w:rStyle w:val="ac"/>
          <w:rFonts w:ascii="Narkisim" w:hAnsi="Narkisim" w:cs="Narkisim"/>
          <w:rtl/>
        </w:rPr>
        <w:footnoteReference w:id="3072"/>
      </w:r>
      <w:r w:rsidRPr="00C26AFA">
        <w:rPr>
          <w:rFonts w:ascii="Narkisim" w:hAnsi="Narkisim" w:cs="Narkisim"/>
          <w:rtl/>
        </w:rPr>
        <w:t>. וה</w:t>
      </w:r>
      <w:r w:rsidRPr="00C26AFA">
        <w:rPr>
          <w:rFonts w:ascii="Narkisim" w:hAnsi="Narkisim" w:cs="Narkisim"/>
          <w:b/>
          <w:bCs/>
          <w:rtl/>
        </w:rPr>
        <w:t>ריטב”א</w:t>
      </w:r>
      <w:r w:rsidRPr="00C26AFA">
        <w:rPr>
          <w:rFonts w:ascii="Narkisim" w:hAnsi="Narkisim" w:cs="Narkisim"/>
          <w:rtl/>
        </w:rPr>
        <w:t xml:space="preserve"> הקשה דבכל הפרק יש אחריה כלום, משמע שיתפוס גט ומאמר (וע' לעיל ונא:). וה</w:t>
      </w:r>
      <w:r w:rsidRPr="00C26AFA">
        <w:rPr>
          <w:rFonts w:ascii="Narkisim" w:hAnsi="Narkisim" w:cs="Narkisim"/>
          <w:b/>
          <w:bCs/>
          <w:rtl/>
        </w:rPr>
        <w:t>ריטב”א</w:t>
      </w:r>
      <w:r w:rsidRPr="00C26AFA">
        <w:rPr>
          <w:rFonts w:ascii="Narkisim" w:hAnsi="Narkisim" w:cs="Narkisim"/>
          <w:rtl/>
        </w:rPr>
        <w:t xml:space="preserve"> כת' מדאמור רבנן שצריכה חליצה, אמור נמי שתפס אחריה גט או מאמר (וכתי' הגמ').</w:t>
      </w:r>
    </w:p>
    <w:p w14:paraId="668F72D1" w14:textId="77777777" w:rsidR="006074A5" w:rsidRPr="00C26AFA" w:rsidRDefault="006074A5" w:rsidP="006074A5">
      <w:pPr>
        <w:bidi/>
        <w:rPr>
          <w:rFonts w:ascii="Narkisim" w:hAnsi="Narkisim" w:cs="Narkisim"/>
        </w:rPr>
      </w:pPr>
      <w:r w:rsidRPr="00C26AFA">
        <w:rPr>
          <w:rFonts w:ascii="Narkisim" w:hAnsi="Narkisim" w:cs="Narkisim"/>
          <w:u w:val="single"/>
          <w:rtl/>
        </w:rPr>
        <w:t>ומ"ט אמור רבנן ביאה פסולה יש אחריה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דיש אחריה זיקת יבמין, ולא סגי גט בלא חליצה [וכדתנן לעיל]</w:t>
      </w:r>
      <w:r w:rsidRPr="00C26AFA">
        <w:rPr>
          <w:rStyle w:val="ac"/>
          <w:rFonts w:ascii="Narkisim" w:hAnsi="Narkisim" w:cs="Narkisim"/>
          <w:rtl/>
        </w:rPr>
        <w:footnoteReference w:id="3073"/>
      </w:r>
      <w:r w:rsidRPr="00C26AFA">
        <w:rPr>
          <w:rFonts w:ascii="Narkisim" w:hAnsi="Narkisim" w:cs="Narkisim"/>
          <w:rtl/>
        </w:rPr>
        <w:t>. ובפשוטו משמע דאף בעלת הביאה צריכה גט וחליצה, דמדרבנן נחשב דלא קנה קנין יבום בביאתו.</w:t>
      </w:r>
    </w:p>
    <w:p w14:paraId="283499E3" w14:textId="77777777" w:rsidR="006074A5" w:rsidRPr="00C26AFA" w:rsidRDefault="006074A5" w:rsidP="006074A5">
      <w:pPr>
        <w:pStyle w:val="a8"/>
        <w:bidi/>
        <w:rPr>
          <w:rFonts w:ascii="Narkisim" w:hAnsi="Narkisim"/>
        </w:rPr>
      </w:pPr>
      <w:r w:rsidRPr="00C26AFA">
        <w:rPr>
          <w:rFonts w:ascii="Narkisim" w:hAnsi="Narkisim"/>
          <w:rtl/>
        </w:rPr>
        <w:t>אך יש שדנו דכוונת רש"י רק לענין הצרה, דלא סגי גט לפטור חברתה מהחליצה. אבל היא עצמה פטורה. אמנם לכאו' מבואר ברש"י דאף היא עצמה אינה פטורה.</w:t>
      </w:r>
    </w:p>
    <w:p w14:paraId="05006AC4" w14:textId="77777777" w:rsidR="006074A5" w:rsidRPr="00C26AFA" w:rsidRDefault="006074A5" w:rsidP="006074A5">
      <w:pPr>
        <w:bidi/>
        <w:rPr>
          <w:rFonts w:ascii="Narkisim" w:hAnsi="Narkisim" w:cs="Narkisim"/>
        </w:rPr>
      </w:pPr>
      <w:r w:rsidRPr="00C26AFA">
        <w:rPr>
          <w:rFonts w:ascii="Narkisim" w:hAnsi="Narkisim" w:cs="Narkisim"/>
          <w:u w:val="single"/>
          <w:rtl/>
        </w:rPr>
        <w:t>שם.</w:t>
      </w:r>
      <w:r w:rsidRPr="00C26AFA">
        <w:rPr>
          <w:rFonts w:ascii="Narkisim" w:hAnsi="Narkisim" w:cs="Narkisim"/>
          <w:rtl/>
        </w:rPr>
        <w:t xml:space="preserve"> בפשטות סוגיין מצאנו ביאה פסולה רק בביאה אחר הגט או המאמר [ומשום גזירה </w:t>
      </w:r>
      <w:r w:rsidRPr="00C26AFA">
        <w:rPr>
          <w:rFonts w:ascii="Narkisim" w:hAnsi="Narkisim" w:cs="Narkisim"/>
          <w:rtl/>
        </w:rPr>
        <w:lastRenderedPageBreak/>
        <w:t>דביאה אחר ביאה וחליצה]. אבל ה</w:t>
      </w:r>
      <w:r w:rsidRPr="00C26AFA">
        <w:rPr>
          <w:rFonts w:ascii="Narkisim" w:hAnsi="Narkisim" w:cs="Narkisim"/>
          <w:b/>
          <w:bCs/>
          <w:rtl/>
        </w:rPr>
        <w:t xml:space="preserve">גר"א </w:t>
      </w:r>
      <w:r w:rsidRPr="00C26AFA">
        <w:rPr>
          <w:rFonts w:ascii="Narkisim" w:hAnsi="Narkisim" w:cs="Narkisim"/>
          <w:rtl/>
        </w:rPr>
        <w:t xml:space="preserve">(קע מה) וכן </w:t>
      </w:r>
      <w:r w:rsidRPr="00C26AFA">
        <w:rPr>
          <w:rFonts w:ascii="Narkisim" w:hAnsi="Narkisim" w:cs="Narkisim"/>
          <w:b/>
          <w:bCs/>
          <w:rtl/>
        </w:rPr>
        <w:t>לח"מ</w:t>
      </w:r>
      <w:r w:rsidRPr="00C26AFA">
        <w:rPr>
          <w:rFonts w:ascii="Narkisim" w:hAnsi="Narkisim" w:cs="Narkisim"/>
          <w:rtl/>
        </w:rPr>
        <w:t xml:space="preserve"> (ו י) נקטו דגדר ביאה פסולה מישך לחליצה פסולה, והק' דלדעת הרמב"ם (ורש"י לעיל כו:) דבכל איסור מצוה ואיסור קדושה הוה חליצה פסולה [שאינה ראויה לביאה], כ"ש שיחשב ביאה פסולה, א"כ אמאי פטרה צרתה (בברייתא לעיל כ:). ועד”ז נקט ה</w:t>
      </w:r>
      <w:r w:rsidRPr="00C26AFA">
        <w:rPr>
          <w:rFonts w:ascii="Narkisim" w:hAnsi="Narkisim" w:cs="Narkisim"/>
          <w:b/>
          <w:bCs/>
          <w:rtl/>
        </w:rPr>
        <w:t>או"ש</w:t>
      </w:r>
      <w:r w:rsidRPr="00C26AFA">
        <w:rPr>
          <w:rFonts w:ascii="Narkisim" w:hAnsi="Narkisim" w:cs="Narkisim"/>
          <w:rtl/>
        </w:rPr>
        <w:t xml:space="preserve"> (קו' זיקה כג).</w:t>
      </w:r>
    </w:p>
    <w:p w14:paraId="7C0C97BF"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חזו"א</w:t>
      </w:r>
      <w:r w:rsidRPr="00C26AFA">
        <w:rPr>
          <w:rFonts w:ascii="Narkisim" w:hAnsi="Narkisim"/>
          <w:rtl/>
        </w:rPr>
        <w:t xml:space="preserve"> (קכז ו) ושאר </w:t>
      </w:r>
      <w:r w:rsidRPr="00C26AFA">
        <w:rPr>
          <w:rFonts w:ascii="Narkisim" w:hAnsi="Narkisim"/>
          <w:b/>
          <w:bCs/>
          <w:rtl/>
        </w:rPr>
        <w:t>אחרונים</w:t>
      </w:r>
      <w:r w:rsidRPr="00C26AFA">
        <w:rPr>
          <w:rFonts w:ascii="Narkisim" w:hAnsi="Narkisim"/>
          <w:rtl/>
        </w:rPr>
        <w:t xml:space="preserve"> חלקו דביאה פסולה הוה משום גזירה דביאה אחר ביאה, ואינו חסרון בפטור.</w:t>
      </w:r>
    </w:p>
    <w:p w14:paraId="0A268396" w14:textId="77777777" w:rsidR="006074A5" w:rsidRPr="00C26AFA" w:rsidRDefault="006074A5" w:rsidP="006074A5">
      <w:pPr>
        <w:pStyle w:val="aa"/>
        <w:bidi/>
        <w:rPr>
          <w:rFonts w:ascii="Narkisim" w:hAnsi="Narkisim"/>
        </w:rPr>
      </w:pPr>
      <w:r w:rsidRPr="00C26AFA">
        <w:rPr>
          <w:rFonts w:ascii="Narkisim" w:hAnsi="Narkisim"/>
          <w:rtl/>
        </w:rPr>
        <w:t>ובגמ' (לעיל כ:) מבואר דהיכא דאינה עומדת ליבום מדרבנן [וכגון שניות, וכן חייבי לאוין דמדאורייתא עשה דוחה ל”ת], אם בעלו קנו. אבל היכא דהוה איסור דאורייתא [כגון חייבי עשה, וכן למ”ד אפשר לקיים שניהם], אם בעלו ל"ק. כיון דלא נאמר בזה דין יבום מדאורי'.</w:t>
      </w:r>
    </w:p>
    <w:p w14:paraId="0292B516" w14:textId="77777777" w:rsidR="006074A5" w:rsidRPr="00C26AFA" w:rsidRDefault="006074A5" w:rsidP="006074A5">
      <w:pPr>
        <w:pStyle w:val="a8"/>
        <w:bidi/>
        <w:rPr>
          <w:rFonts w:ascii="Narkisim" w:hAnsi="Narkisim"/>
        </w:rPr>
      </w:pPr>
      <w:r w:rsidRPr="00C26AFA">
        <w:rPr>
          <w:rFonts w:ascii="Narkisim" w:hAnsi="Narkisim"/>
          <w:rtl/>
        </w:rPr>
        <w:t>ופ</w:t>
      </w:r>
      <w:r w:rsidRPr="00C26AFA">
        <w:rPr>
          <w:rFonts w:ascii="Narkisim" w:hAnsi="Narkisim"/>
          <w:b/>
          <w:bCs/>
          <w:rtl/>
        </w:rPr>
        <w:t>רש"י</w:t>
      </w:r>
      <w:r w:rsidRPr="00C26AFA">
        <w:rPr>
          <w:rFonts w:ascii="Narkisim" w:hAnsi="Narkisim"/>
          <w:rtl/>
        </w:rPr>
        <w:t xml:space="preserve"> (לעיל כ: בסוה"ע) דהיא עצמה צריכה חליצה, ולא סגי בגט. וה</w:t>
      </w:r>
      <w:r w:rsidRPr="00C26AFA">
        <w:rPr>
          <w:rFonts w:ascii="Narkisim" w:hAnsi="Narkisim"/>
          <w:b/>
          <w:bCs/>
          <w:rtl/>
        </w:rPr>
        <w:t>אחרונים</w:t>
      </w:r>
      <w:r w:rsidRPr="00C26AFA">
        <w:rPr>
          <w:rFonts w:ascii="Narkisim" w:hAnsi="Narkisim"/>
          <w:rtl/>
        </w:rPr>
        <w:t xml:space="preserve"> דנו האם כוונת רש"י דצריכה חליצה ולא צריך גט, דהא לא קנאה</w:t>
      </w:r>
      <w:r w:rsidRPr="00C26AFA">
        <w:rPr>
          <w:rStyle w:val="ac"/>
          <w:rFonts w:ascii="Narkisim" w:hAnsi="Narkisim"/>
          <w:rtl/>
        </w:rPr>
        <w:footnoteReference w:id="3074"/>
      </w:r>
      <w:r w:rsidRPr="00C26AFA">
        <w:rPr>
          <w:rFonts w:ascii="Narkisim" w:hAnsi="Narkisim"/>
          <w:rtl/>
        </w:rPr>
        <w:t>. אך קצת משמע דמ"מ צריכה גט. ויש שנקטו כוונתו דצריכה גט מדאורייתא, דתפסי בה קידושין</w:t>
      </w:r>
      <w:r w:rsidRPr="00C26AFA">
        <w:rPr>
          <w:rStyle w:val="ac"/>
          <w:rFonts w:ascii="Narkisim" w:hAnsi="Narkisim"/>
          <w:rtl/>
        </w:rPr>
        <w:footnoteReference w:id="3075"/>
      </w:r>
      <w:r w:rsidRPr="00C26AFA">
        <w:rPr>
          <w:rFonts w:ascii="Narkisim" w:hAnsi="Narkisim"/>
          <w:rtl/>
        </w:rPr>
        <w:t>. אך יל"פ דהוה מדרבנן, דביאה פסולה לא גרע ממאמר [וכדאי' בסוגיין].</w:t>
      </w:r>
    </w:p>
    <w:p w14:paraId="5139CB2F" w14:textId="77777777" w:rsidR="006074A5" w:rsidRPr="00C26AFA" w:rsidRDefault="006074A5" w:rsidP="006074A5">
      <w:pPr>
        <w:pStyle w:val="a8"/>
        <w:bidi/>
        <w:rPr>
          <w:rFonts w:ascii="Narkisim" w:hAnsi="Narkisim"/>
        </w:rPr>
      </w:pPr>
      <w:r w:rsidRPr="00C26AFA">
        <w:rPr>
          <w:rFonts w:ascii="Narkisim" w:hAnsi="Narkisim"/>
          <w:rtl/>
        </w:rPr>
        <w:t>אבל ה</w:t>
      </w:r>
      <w:r w:rsidRPr="00C26AFA">
        <w:rPr>
          <w:rFonts w:ascii="Narkisim" w:hAnsi="Narkisim"/>
          <w:b/>
          <w:bCs/>
          <w:rtl/>
        </w:rPr>
        <w:t>אחרונים</w:t>
      </w:r>
      <w:r w:rsidRPr="00C26AFA">
        <w:rPr>
          <w:rFonts w:ascii="Narkisim" w:hAnsi="Narkisim"/>
          <w:rtl/>
        </w:rPr>
        <w:t xml:space="preserve"> (שעה"מ ו יא) דייקו מדברי ה</w:t>
      </w:r>
      <w:r w:rsidRPr="00C26AFA">
        <w:rPr>
          <w:rFonts w:ascii="Narkisim" w:hAnsi="Narkisim"/>
          <w:b/>
          <w:bCs/>
          <w:rtl/>
        </w:rPr>
        <w:t>רמב"ם</w:t>
      </w:r>
      <w:r w:rsidRPr="00C26AFA">
        <w:rPr>
          <w:rFonts w:ascii="Narkisim" w:hAnsi="Narkisim"/>
          <w:rtl/>
        </w:rPr>
        <w:t xml:space="preserve"> (שם) דכל הנידון כלפי הצרה, דהצרה צריכה חליצה. אבל היא עצמה תפסי קידושין</w:t>
      </w:r>
      <w:r w:rsidRPr="00C26AFA">
        <w:rPr>
          <w:rStyle w:val="ac"/>
          <w:rFonts w:ascii="Narkisim" w:hAnsi="Narkisim"/>
          <w:rtl/>
        </w:rPr>
        <w:footnoteReference w:id="3076"/>
      </w:r>
      <w:r w:rsidRPr="00C26AFA">
        <w:rPr>
          <w:rFonts w:ascii="Narkisim" w:hAnsi="Narkisim"/>
          <w:rtl/>
        </w:rPr>
        <w:t>, וצריכה גט ולא חליצה. [וה</w:t>
      </w:r>
      <w:r w:rsidRPr="00C26AFA">
        <w:rPr>
          <w:rFonts w:ascii="Narkisim" w:hAnsi="Narkisim"/>
          <w:b/>
          <w:bCs/>
          <w:rtl/>
        </w:rPr>
        <w:t>בי"ש</w:t>
      </w:r>
      <w:r w:rsidRPr="00C26AFA">
        <w:rPr>
          <w:rFonts w:ascii="Narkisim" w:hAnsi="Narkisim"/>
          <w:rtl/>
        </w:rPr>
        <w:t xml:space="preserve"> (קעד ג) תמה בזה]. ועד"ז כת' ה</w:t>
      </w:r>
      <w:r w:rsidRPr="00C26AFA">
        <w:rPr>
          <w:rFonts w:ascii="Narkisim" w:hAnsi="Narkisim"/>
          <w:b/>
          <w:bCs/>
          <w:rtl/>
        </w:rPr>
        <w:t>מהרש"א</w:t>
      </w:r>
      <w:r w:rsidRPr="00C26AFA">
        <w:rPr>
          <w:rFonts w:ascii="Narkisim" w:hAnsi="Narkisim"/>
          <w:rtl/>
        </w:rPr>
        <w:t xml:space="preserve"> (לעיל כ:) מסברא דנפשיה [לולי דברי רש"י שם] דהיא עצמה פטורה. וה</w:t>
      </w:r>
      <w:r w:rsidRPr="00C26AFA">
        <w:rPr>
          <w:rFonts w:ascii="Narkisim" w:hAnsi="Narkisim"/>
          <w:b/>
          <w:bCs/>
          <w:rtl/>
        </w:rPr>
        <w:t>אחרונים</w:t>
      </w:r>
      <w:r w:rsidRPr="00C26AFA">
        <w:rPr>
          <w:rFonts w:ascii="Narkisim" w:hAnsi="Narkisim"/>
          <w:rtl/>
        </w:rPr>
        <w:t xml:space="preserve"> ביארו דס"ל דבחייבי לאוין ועשה אף דבעלו ל"ק, מ"מ נחשב שנופלת לפניו ליבום וליכא איסור אשת אח</w:t>
      </w:r>
      <w:r w:rsidRPr="00C26AFA">
        <w:rPr>
          <w:rStyle w:val="ac"/>
          <w:rFonts w:ascii="Narkisim" w:hAnsi="Narkisim"/>
          <w:rtl/>
        </w:rPr>
        <w:footnoteReference w:id="3077"/>
      </w:r>
      <w:r w:rsidRPr="00C26AFA">
        <w:rPr>
          <w:rFonts w:ascii="Narkisim" w:hAnsi="Narkisim"/>
          <w:rtl/>
        </w:rPr>
        <w:t>, ומש"ה תפסי קידושין [והפרשת דרכים נסתפק בזה, והאחרונים הביאו דנח' בזה הראשונים. וע' מש"כ לעיל כ:].</w:t>
      </w:r>
    </w:p>
    <w:p w14:paraId="31349AC7" w14:textId="77777777" w:rsidR="006074A5" w:rsidRPr="00C26AFA" w:rsidRDefault="006074A5" w:rsidP="006074A5">
      <w:pPr>
        <w:pStyle w:val="a8"/>
        <w:bidi/>
        <w:rPr>
          <w:rFonts w:ascii="Narkisim" w:hAnsi="Narkisim"/>
        </w:rPr>
      </w:pPr>
      <w:r w:rsidRPr="00C26AFA">
        <w:rPr>
          <w:rFonts w:ascii="Narkisim" w:hAnsi="Narkisim"/>
          <w:rtl/>
        </w:rPr>
        <w:t>[ולכאו' כל זה בנתכוון לקנותה לשם קידושין, אבל בביאת שוגג או בע"כ לא קנה בתורת קידושין, וצריכה חליצה].</w:t>
      </w:r>
    </w:p>
    <w:p w14:paraId="4A228076" w14:textId="77777777" w:rsidR="006074A5" w:rsidRPr="00C26AFA" w:rsidRDefault="006074A5" w:rsidP="006074A5">
      <w:pPr>
        <w:pStyle w:val="a8"/>
        <w:bidi/>
        <w:rPr>
          <w:rFonts w:ascii="Narkisim" w:hAnsi="Narkisim"/>
        </w:rPr>
      </w:pPr>
      <w:r w:rsidRPr="00C26AFA">
        <w:rPr>
          <w:rFonts w:ascii="Narkisim" w:hAnsi="Narkisim"/>
          <w:rtl/>
        </w:rPr>
        <w:t>ויל"ד בביאה פסולה דסוגיין, אמאי לא יהני מדין קידושין בעלמא, לדברי הרמב"ם (הנ"ל). א"כ האיך מהני גט או מאמר אחיו לפוסלו אח"כ</w:t>
      </w:r>
      <w:r w:rsidRPr="00C26AFA">
        <w:rPr>
          <w:rStyle w:val="ac"/>
          <w:rFonts w:ascii="Narkisim" w:hAnsi="Narkisim"/>
          <w:rtl/>
        </w:rPr>
        <w:footnoteReference w:id="3078"/>
      </w:r>
      <w:r w:rsidRPr="00C26AFA">
        <w:rPr>
          <w:rFonts w:ascii="Narkisim" w:hAnsi="Narkisim"/>
          <w:rtl/>
        </w:rPr>
        <w:t>. ואפשר דאף בכה"ג [אף דחל קידושין דאורייתא] יש גזירה אטו ביאה אחר ביאה. ועי"ל דהכא מדאורייתא עומדת ליבום, ומש"ה לא תפסי מדין קידושין.</w:t>
      </w:r>
    </w:p>
    <w:p w14:paraId="28A7033D" w14:textId="77777777" w:rsidR="006074A5" w:rsidRPr="00C26AFA" w:rsidRDefault="006074A5" w:rsidP="006074A5">
      <w:pPr>
        <w:pStyle w:val="aa"/>
        <w:bidi/>
        <w:rPr>
          <w:rFonts w:ascii="Narkisim" w:hAnsi="Narkisim"/>
        </w:rPr>
      </w:pPr>
      <w:r w:rsidRPr="00C26AFA">
        <w:rPr>
          <w:rFonts w:ascii="Narkisim" w:hAnsi="Narkisim"/>
          <w:u w:val="single"/>
          <w:rtl/>
        </w:rPr>
        <w:t>גזירה ביאה אחר הגט וכו'.</w:t>
      </w:r>
      <w:r w:rsidRPr="00C26AFA">
        <w:rPr>
          <w:rFonts w:ascii="Narkisim" w:hAnsi="Narkisim"/>
          <w:rtl/>
        </w:rPr>
        <w:t xml:space="preserve"> ה</w:t>
      </w:r>
      <w:r w:rsidRPr="00C26AFA">
        <w:rPr>
          <w:rFonts w:ascii="Narkisim" w:hAnsi="Narkisim"/>
          <w:b/>
          <w:bCs/>
          <w:rtl/>
        </w:rPr>
        <w:t>ריטב"א</w:t>
      </w:r>
      <w:r w:rsidRPr="00C26AFA">
        <w:rPr>
          <w:rFonts w:ascii="Narkisim" w:hAnsi="Narkisim"/>
          <w:rtl/>
        </w:rPr>
        <w:t xml:space="preserve"> הקשה דמש"ה סגי לנו לגזור להצריך חליצה. [ואמאי תקנו דמהני מאמר אחריו]. וי"ל שרצו לגזור גזירות הרבה על ביאה זו לברר פסולה, ולא ליתו למיטעי בביאה אחר חליצה. (וע"ע תוס' נא: סוד"ה ביאה).</w:t>
      </w:r>
    </w:p>
    <w:p w14:paraId="2A3402DE" w14:textId="77777777" w:rsidR="006074A5" w:rsidRPr="00C26AFA" w:rsidRDefault="006074A5" w:rsidP="006074A5">
      <w:pPr>
        <w:bidi/>
        <w:rPr>
          <w:rFonts w:ascii="Narkisim" w:hAnsi="Narkisim" w:cs="Narkisim"/>
        </w:rPr>
      </w:pPr>
      <w:r w:rsidRPr="00C26AFA">
        <w:rPr>
          <w:rFonts w:ascii="Narkisim" w:hAnsi="Narkisim" w:cs="Narkisim"/>
          <w:u w:val="single"/>
          <w:rtl/>
        </w:rPr>
        <w:t>רש"י ד"ה ביאה אחר מאמר היא.</w:t>
      </w:r>
      <w:r w:rsidRPr="00C26AFA">
        <w:rPr>
          <w:rFonts w:ascii="Narkisim" w:hAnsi="Narkisim" w:cs="Narkisim"/>
          <w:rtl/>
        </w:rPr>
        <w:t xml:space="preserve"> וקא פגע באיסור אשת אח.</w:t>
      </w:r>
      <w:r w:rsidRPr="00C26AFA">
        <w:rPr>
          <w:rFonts w:ascii="Narkisim" w:hAnsi="Narkisim" w:cs="Narkisim"/>
          <w:b/>
          <w:bCs/>
          <w:rtl/>
        </w:rPr>
        <w:t xml:space="preserve"> רע"א</w:t>
      </w:r>
      <w:r w:rsidRPr="00C26AFA">
        <w:rPr>
          <w:rFonts w:ascii="Narkisim" w:hAnsi="Narkisim" w:cs="Narkisim"/>
          <w:rtl/>
        </w:rPr>
        <w:t xml:space="preserve"> וה</w:t>
      </w:r>
      <w:r w:rsidRPr="00C26AFA">
        <w:rPr>
          <w:rFonts w:ascii="Narkisim" w:hAnsi="Narkisim" w:cs="Narkisim"/>
          <w:b/>
          <w:bCs/>
          <w:rtl/>
        </w:rPr>
        <w:t>אחרונים</w:t>
      </w:r>
      <w:r w:rsidRPr="00C26AFA">
        <w:rPr>
          <w:rFonts w:ascii="Narkisim" w:hAnsi="Narkisim" w:cs="Narkisim"/>
          <w:rtl/>
        </w:rPr>
        <w:t xml:space="preserve"> תמהו דהוה איסור אינו בונה ב' בתים </w:t>
      </w:r>
      <w:r w:rsidRPr="00C26AFA">
        <w:rPr>
          <w:rFonts w:ascii="Narkisim" w:hAnsi="Narkisim" w:cs="Narkisim"/>
          <w:sz w:val="20"/>
          <w:szCs w:val="20"/>
          <w:rtl/>
        </w:rPr>
        <w:t>(דהוה עשה לרש"י וכדלעיל יא.)</w:t>
      </w:r>
      <w:r w:rsidRPr="00C26AFA">
        <w:rPr>
          <w:rFonts w:ascii="Narkisim" w:hAnsi="Narkisim" w:cs="Narkisim"/>
          <w:rtl/>
        </w:rPr>
        <w:t>, ואמאי כתב דעובר באיסור אשה אח. וה</w:t>
      </w:r>
      <w:r w:rsidRPr="00C26AFA">
        <w:rPr>
          <w:rFonts w:ascii="Narkisim" w:hAnsi="Narkisim" w:cs="Narkisim"/>
          <w:b/>
          <w:bCs/>
          <w:rtl/>
        </w:rPr>
        <w:t>בית מאיר</w:t>
      </w:r>
      <w:r w:rsidRPr="00C26AFA">
        <w:rPr>
          <w:rFonts w:ascii="Narkisim" w:hAnsi="Narkisim" w:cs="Narkisim"/>
          <w:rtl/>
        </w:rPr>
        <w:t xml:space="preserve"> (קסא) תי' דכוונת רש"י דאיסור אינו בונה ב' בתים הוה מחמת איסור אשת אח (וע' מש"כ בזה לעיל י: ומט.).</w:t>
      </w:r>
    </w:p>
    <w:p w14:paraId="285ED1F8"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רש"ש</w:t>
      </w:r>
      <w:r w:rsidRPr="00C26AFA">
        <w:rPr>
          <w:rFonts w:ascii="Narkisim" w:hAnsi="Narkisim"/>
          <w:rtl/>
        </w:rPr>
        <w:t xml:space="preserve"> העמיד דברי רש"י בב' יבמין ביבמה אחת, דהוה אשת אח החי.</w:t>
      </w:r>
    </w:p>
    <w:p w14:paraId="58A9F055" w14:textId="77777777" w:rsidR="006074A5" w:rsidRPr="00C26AFA" w:rsidRDefault="006074A5" w:rsidP="006074A5">
      <w:pPr>
        <w:bidi/>
        <w:rPr>
          <w:rFonts w:ascii="Narkisim" w:hAnsi="Narkisim" w:cs="Narkisim"/>
        </w:rPr>
      </w:pPr>
      <w:r w:rsidRPr="00C26AFA">
        <w:rPr>
          <w:rFonts w:ascii="Narkisim" w:hAnsi="Narkisim" w:cs="Narkisim"/>
          <w:u w:val="single"/>
          <w:rtl/>
        </w:rPr>
        <w:lastRenderedPageBreak/>
        <w:t>כל כי הני תחלוץ וכו'.</w:t>
      </w:r>
      <w:r w:rsidRPr="00C26AFA">
        <w:rPr>
          <w:rFonts w:ascii="Narkisim" w:hAnsi="Narkisim" w:cs="Narkisim"/>
          <w:rtl/>
        </w:rPr>
        <w:t xml:space="preserve"> פ</w:t>
      </w:r>
      <w:r w:rsidRPr="00C26AFA">
        <w:rPr>
          <w:rFonts w:ascii="Narkisim" w:hAnsi="Narkisim" w:cs="Narkisim"/>
          <w:b/>
          <w:bCs/>
          <w:rtl/>
        </w:rPr>
        <w:t xml:space="preserve">רש"י </w:t>
      </w:r>
      <w:r w:rsidRPr="00C26AFA">
        <w:rPr>
          <w:rFonts w:ascii="Narkisim" w:hAnsi="Narkisim" w:cs="Narkisim"/>
          <w:rtl/>
        </w:rPr>
        <w:t>כלומר מאי איכפת לן. וה</w:t>
      </w:r>
      <w:r w:rsidRPr="00C26AFA">
        <w:rPr>
          <w:rFonts w:ascii="Narkisim" w:hAnsi="Narkisim" w:cs="Narkisim"/>
          <w:b/>
          <w:bCs/>
          <w:rtl/>
        </w:rPr>
        <w:t>רשב"א</w:t>
      </w:r>
      <w:r w:rsidRPr="00C26AFA">
        <w:rPr>
          <w:rFonts w:ascii="Narkisim" w:hAnsi="Narkisim" w:cs="Narkisim"/>
          <w:rtl/>
        </w:rPr>
        <w:t xml:space="preserve"> ו</w:t>
      </w:r>
      <w:r w:rsidRPr="00C26AFA">
        <w:rPr>
          <w:rFonts w:ascii="Narkisim" w:hAnsi="Narkisim" w:cs="Narkisim"/>
          <w:b/>
          <w:bCs/>
          <w:rtl/>
        </w:rPr>
        <w:t>ריטב"א</w:t>
      </w:r>
      <w:r w:rsidRPr="00C26AFA">
        <w:rPr>
          <w:rFonts w:ascii="Narkisim" w:hAnsi="Narkisim" w:cs="Narkisim"/>
          <w:rtl/>
        </w:rPr>
        <w:t xml:space="preserve"> פי' דהגמ' מקשה בתמיה, מה תועלת יש בזה. ועוד אמאי לא חיישינן אם אתה אומר חולצת מתייבמת</w:t>
      </w:r>
      <w:r w:rsidRPr="00C26AFA">
        <w:rPr>
          <w:rStyle w:val="ac"/>
          <w:rFonts w:ascii="Narkisim" w:hAnsi="Narkisim" w:cs="Narkisim"/>
          <w:rtl/>
        </w:rPr>
        <w:footnoteReference w:id="3079"/>
      </w:r>
      <w:r w:rsidRPr="00C26AFA">
        <w:rPr>
          <w:rFonts w:ascii="Narkisim" w:hAnsi="Narkisim" w:cs="Narkisim"/>
          <w:rtl/>
        </w:rPr>
        <w:t>. ולפ"ז תי' הגמ' דאין לו הנאה בזה, וליכא למיחש.</w:t>
      </w:r>
    </w:p>
    <w:p w14:paraId="0A75D389"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הקשו מכאן לדברי ה</w:t>
      </w:r>
      <w:r w:rsidRPr="00C26AFA">
        <w:rPr>
          <w:rFonts w:ascii="Narkisim" w:hAnsi="Narkisim"/>
          <w:b/>
          <w:bCs/>
          <w:rtl/>
        </w:rPr>
        <w:t>ב"ח</w:t>
      </w:r>
      <w:r w:rsidRPr="00C26AFA">
        <w:rPr>
          <w:rFonts w:ascii="Narkisim" w:hAnsi="Narkisim"/>
          <w:rtl/>
        </w:rPr>
        <w:t xml:space="preserve"> (קסא) [שדייק מהטור] דיש איסור [דאורייתא] לחלוץ לב', דאינו חולץ ב' בתים (ע"פ הגמ' לעיל מד.). ואילו מדברי רש"י מבואר דרשאי לחלוץ. אמנם לפירוש הרשב”א וריטב”א מכאן אין קושיה. [ומ"מ האחרונים הקשו דבחליצה פסולה הצריכו ב' חליצות, וכן בכמה גזירות</w:t>
      </w:r>
      <w:r w:rsidRPr="00C26AFA">
        <w:rPr>
          <w:rStyle w:val="ac"/>
          <w:rFonts w:ascii="Narkisim" w:hAnsi="Narkisim"/>
          <w:rtl/>
        </w:rPr>
        <w:footnoteReference w:id="3080"/>
      </w:r>
      <w:r w:rsidRPr="00C26AFA">
        <w:rPr>
          <w:rFonts w:ascii="Narkisim" w:hAnsi="Narkisim"/>
          <w:rtl/>
        </w:rPr>
        <w:t>].</w:t>
      </w:r>
    </w:p>
    <w:p w14:paraId="6540DC66" w14:textId="77777777" w:rsidR="006074A5" w:rsidRPr="00C26AFA" w:rsidRDefault="006074A5" w:rsidP="006074A5">
      <w:pPr>
        <w:pStyle w:val="3"/>
        <w:bidi/>
        <w:rPr>
          <w:rFonts w:ascii="Narkisim" w:hAnsi="Narkisim"/>
        </w:rPr>
      </w:pPr>
      <w:r w:rsidRPr="00C26AFA">
        <w:rPr>
          <w:rFonts w:ascii="Narkisim" w:hAnsi="Narkisim"/>
          <w:rtl/>
        </w:rPr>
        <w:t>דף נא.</w:t>
      </w:r>
    </w:p>
    <w:p w14:paraId="045426A6" w14:textId="77777777" w:rsidR="006074A5" w:rsidRPr="00C26AFA" w:rsidRDefault="006074A5" w:rsidP="006074A5">
      <w:pPr>
        <w:bidi/>
        <w:rPr>
          <w:rFonts w:ascii="Narkisim" w:hAnsi="Narkisim" w:cs="Narkisim"/>
        </w:rPr>
      </w:pPr>
      <w:r w:rsidRPr="00C26AFA">
        <w:rPr>
          <w:rFonts w:ascii="Narkisim" w:hAnsi="Narkisim" w:cs="Narkisim"/>
          <w:u w:val="single"/>
          <w:rtl/>
        </w:rPr>
        <w:t>מ"ט דר"ג וכו'.</w:t>
      </w:r>
      <w:r w:rsidRPr="00C26AFA">
        <w:rPr>
          <w:rFonts w:ascii="Narkisim" w:hAnsi="Narkisim" w:cs="Narkisim"/>
          <w:rtl/>
        </w:rPr>
        <w:t xml:space="preserve"> ה</w:t>
      </w:r>
      <w:r w:rsidRPr="00C26AFA">
        <w:rPr>
          <w:rFonts w:ascii="Narkisim" w:hAnsi="Narkisim" w:cs="Narkisim"/>
          <w:b/>
          <w:bCs/>
          <w:rtl/>
        </w:rPr>
        <w:t>רשב"א</w:t>
      </w:r>
      <w:r w:rsidRPr="00C26AFA">
        <w:rPr>
          <w:rFonts w:ascii="Narkisim" w:hAnsi="Narkisim" w:cs="Narkisim"/>
          <w:rtl/>
        </w:rPr>
        <w:t xml:space="preserve"> ו</w:t>
      </w:r>
      <w:r w:rsidRPr="00C26AFA">
        <w:rPr>
          <w:rFonts w:ascii="Narkisim" w:hAnsi="Narkisim" w:cs="Narkisim"/>
          <w:b/>
          <w:bCs/>
          <w:rtl/>
        </w:rPr>
        <w:t>ריטב"א</w:t>
      </w:r>
      <w:r w:rsidRPr="00C26AFA">
        <w:rPr>
          <w:rFonts w:ascii="Narkisim" w:hAnsi="Narkisim" w:cs="Narkisim"/>
          <w:rtl/>
        </w:rPr>
        <w:t xml:space="preserve"> פי' דהפשטות כסברת רבנן, דהדין נותן דכיון דלא הופקע זיקת הבית לגמרי במאמר או בגט, דינא הוא דמהני מאמר של זה</w:t>
      </w:r>
      <w:r w:rsidRPr="00C26AFA">
        <w:rPr>
          <w:rStyle w:val="ac"/>
          <w:rFonts w:ascii="Narkisim" w:hAnsi="Narkisim" w:cs="Narkisim"/>
          <w:rtl/>
        </w:rPr>
        <w:footnoteReference w:id="3081"/>
      </w:r>
      <w:r w:rsidRPr="00C26AFA">
        <w:rPr>
          <w:rFonts w:ascii="Narkisim" w:hAnsi="Narkisim" w:cs="Narkisim"/>
          <w:rtl/>
        </w:rPr>
        <w:t xml:space="preserve">. </w:t>
      </w:r>
      <w:r w:rsidRPr="00C26AFA">
        <w:rPr>
          <w:rFonts w:ascii="Narkisim" w:hAnsi="Narkisim" w:cs="Narkisim"/>
          <w:sz w:val="20"/>
          <w:szCs w:val="20"/>
          <w:rtl/>
        </w:rPr>
        <w:t xml:space="preserve">אבל </w:t>
      </w:r>
      <w:r w:rsidRPr="00C26AFA">
        <w:rPr>
          <w:rFonts w:ascii="Narkisim" w:hAnsi="Narkisim" w:cs="Narkisim"/>
          <w:b/>
          <w:bCs/>
          <w:sz w:val="20"/>
          <w:szCs w:val="20"/>
          <w:rtl/>
        </w:rPr>
        <w:t>תוס</w:t>
      </w:r>
      <w:r w:rsidRPr="00C26AFA">
        <w:rPr>
          <w:rFonts w:ascii="Narkisim" w:hAnsi="Narkisim" w:cs="Narkisim"/>
          <w:sz w:val="20"/>
          <w:szCs w:val="20"/>
          <w:rtl/>
        </w:rPr>
        <w:t>' (נא: ד"ה ביאה) כתבו דמסברא הול"ל כר"ג, אלא משום גזירה וכו'.</w:t>
      </w:r>
    </w:p>
    <w:p w14:paraId="2B5B6FDE" w14:textId="77777777" w:rsidR="006074A5" w:rsidRPr="00C26AFA" w:rsidRDefault="006074A5" w:rsidP="006074A5">
      <w:pPr>
        <w:bidi/>
        <w:rPr>
          <w:rFonts w:ascii="Narkisim" w:hAnsi="Narkisim" w:cs="Narkisim"/>
        </w:rPr>
      </w:pPr>
      <w:r w:rsidRPr="00C26AFA">
        <w:rPr>
          <w:rFonts w:ascii="Narkisim" w:hAnsi="Narkisim" w:cs="Narkisim"/>
          <w:u w:val="single"/>
          <w:rtl/>
        </w:rPr>
        <w:t>ואי מספק"ל לר"ג תהוי כביאה בתחילה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דממה נפשך דאי מאמר קמא וכו'. מבואר ברש"י דלצד [אליבא דרבא] דמאמר קני, הביאה שאחריו אינה כלום.</w:t>
      </w:r>
      <w:r w:rsidRPr="00C26AFA">
        <w:rPr>
          <w:rFonts w:ascii="Narkisim" w:hAnsi="Narkisim" w:cs="Narkisim"/>
          <w:sz w:val="20"/>
          <w:szCs w:val="20"/>
          <w:rtl/>
        </w:rPr>
        <w:t xml:space="preserve"> וה</w:t>
      </w:r>
      <w:r w:rsidRPr="00C26AFA">
        <w:rPr>
          <w:rFonts w:ascii="Narkisim" w:hAnsi="Narkisim" w:cs="Narkisim"/>
          <w:b/>
          <w:bCs/>
          <w:sz w:val="20"/>
          <w:szCs w:val="20"/>
          <w:rtl/>
        </w:rPr>
        <w:t>ריטב"א</w:t>
      </w:r>
      <w:r w:rsidRPr="00C26AFA">
        <w:rPr>
          <w:rFonts w:ascii="Narkisim" w:hAnsi="Narkisim" w:cs="Narkisim"/>
          <w:sz w:val="20"/>
          <w:szCs w:val="20"/>
          <w:rtl/>
        </w:rPr>
        <w:t xml:space="preserve"> הקשה וא"ת הרי אף בביאה פסולה גזרו, וה”נ נגזור משום ביאה אחר ביאה. ותי' דטעם דממ"נ הוה טעם רויחא בכל התלמוד, ומש"ה לא רצו לתקן לבטל טעם זה. ואי משום ההוא טעמא דאטו ביאה אחר ביאה, די לגזור בביאה עצמה.</w:t>
      </w:r>
    </w:p>
    <w:p w14:paraId="6DDF6F03"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רשב"א</w:t>
      </w:r>
      <w:r w:rsidRPr="00C26AFA">
        <w:rPr>
          <w:rFonts w:ascii="Narkisim" w:hAnsi="Narkisim"/>
          <w:rtl/>
        </w:rPr>
        <w:t xml:space="preserve"> חלק דמאמר דרבנן, והיכי אתי דרבנן ומפקע ביאה דאורייתא. ואפי' את”ל דמאמר דאורייתא (וכ”כ הערול”נ, הו' במשנה), מ"מ המאמר אינו גומר כביאה לכו"ע, וע”כ יש ביאה אחר מאמר. [והרשב"א שוב הביא דב</w:t>
      </w:r>
      <w:r w:rsidRPr="00C26AFA">
        <w:rPr>
          <w:rFonts w:ascii="Narkisim" w:hAnsi="Narkisim"/>
          <w:b/>
          <w:bCs/>
          <w:rtl/>
        </w:rPr>
        <w:t xml:space="preserve">ירושלמי </w:t>
      </w:r>
      <w:r w:rsidRPr="00C26AFA">
        <w:rPr>
          <w:rFonts w:ascii="Narkisim" w:hAnsi="Narkisim"/>
          <w:rtl/>
        </w:rPr>
        <w:t>מבואר כרש”י, וע' קר”א דהאריך בזה].</w:t>
      </w:r>
    </w:p>
    <w:p w14:paraId="2FB2BE5A"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רשב"א</w:t>
      </w:r>
      <w:r w:rsidRPr="00C26AFA">
        <w:rPr>
          <w:rFonts w:ascii="Narkisim" w:hAnsi="Narkisim"/>
          <w:rtl/>
        </w:rPr>
        <w:t xml:space="preserve"> הביא בשם</w:t>
      </w:r>
      <w:r w:rsidRPr="00C26AFA">
        <w:rPr>
          <w:rFonts w:ascii="Narkisim" w:hAnsi="Narkisim"/>
          <w:b/>
          <w:bCs/>
          <w:rtl/>
        </w:rPr>
        <w:t xml:space="preserve"> ר"ח</w:t>
      </w:r>
      <w:r w:rsidRPr="00C26AFA">
        <w:rPr>
          <w:rFonts w:ascii="Narkisim" w:hAnsi="Narkisim"/>
          <w:rtl/>
        </w:rPr>
        <w:t xml:space="preserve"> דכוונת הגמ' דאי מאמר ספק, תבא הביאה הודאי ותדחה למאמר שהוא ספק</w:t>
      </w:r>
      <w:r w:rsidRPr="00C26AFA">
        <w:rPr>
          <w:rStyle w:val="ac"/>
          <w:rFonts w:ascii="Narkisim" w:hAnsi="Narkisim"/>
          <w:rtl/>
        </w:rPr>
        <w:footnoteReference w:id="3082"/>
      </w:r>
      <w:r w:rsidRPr="00C26AFA">
        <w:rPr>
          <w:rFonts w:ascii="Narkisim" w:hAnsi="Narkisim"/>
          <w:rtl/>
        </w:rPr>
        <w:t>. ותהוי ביאה בתחילה.</w:t>
      </w:r>
    </w:p>
    <w:p w14:paraId="773D4AB3" w14:textId="77777777" w:rsidR="006074A5" w:rsidRPr="00C26AFA" w:rsidRDefault="006074A5" w:rsidP="006074A5">
      <w:pPr>
        <w:bidi/>
        <w:rPr>
          <w:rFonts w:ascii="Narkisim" w:hAnsi="Narkisim" w:cs="Narkisim"/>
        </w:rPr>
      </w:pPr>
      <w:r w:rsidRPr="00C26AFA">
        <w:rPr>
          <w:rFonts w:ascii="Narkisim" w:hAnsi="Narkisim" w:cs="Narkisim"/>
          <w:u w:val="single"/>
          <w:rtl/>
        </w:rPr>
        <w:t>אלא אמר אביי וכו' אמור רבנן הא יבמה בחד צד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דגט דחי קצת [לדחות חציה]. אבל ל"מ גט אחר גט דהא דחי קמא כל כח הגט.</w:t>
      </w:r>
      <w:r w:rsidRPr="00C26AFA">
        <w:rPr>
          <w:rFonts w:ascii="Narkisim" w:hAnsi="Narkisim" w:cs="Narkisim"/>
          <w:sz w:val="20"/>
          <w:szCs w:val="20"/>
          <w:rtl/>
        </w:rPr>
        <w:t xml:space="preserve"> </w:t>
      </w:r>
      <w:r w:rsidRPr="00C26AFA">
        <w:rPr>
          <w:rFonts w:ascii="Narkisim" w:hAnsi="Narkisim" w:cs="Narkisim"/>
          <w:rtl/>
        </w:rPr>
        <w:t>וה</w:t>
      </w:r>
      <w:r w:rsidRPr="00C26AFA">
        <w:rPr>
          <w:rFonts w:ascii="Narkisim" w:hAnsi="Narkisim" w:cs="Narkisim"/>
          <w:b/>
          <w:bCs/>
          <w:rtl/>
        </w:rPr>
        <w:t>מאירי</w:t>
      </w:r>
      <w:r w:rsidRPr="00C26AFA">
        <w:rPr>
          <w:rFonts w:ascii="Narkisim" w:hAnsi="Narkisim" w:cs="Narkisim"/>
          <w:rtl/>
        </w:rPr>
        <w:t xml:space="preserve"> ביאר דהגט חל בחציה, ואינה נכנס לתחום מקום</w:t>
      </w:r>
      <w:r w:rsidRPr="00C26AFA">
        <w:rPr>
          <w:rStyle w:val="ac"/>
          <w:rFonts w:ascii="Narkisim" w:hAnsi="Narkisim" w:cs="Narkisim"/>
          <w:rtl/>
        </w:rPr>
        <w:footnoteReference w:id="3083"/>
      </w:r>
      <w:r w:rsidRPr="00C26AFA">
        <w:rPr>
          <w:rFonts w:ascii="Narkisim" w:hAnsi="Narkisim" w:cs="Narkisim"/>
          <w:rtl/>
        </w:rPr>
        <w:t xml:space="preserve"> שהמאמר חל בו. וה</w:t>
      </w:r>
      <w:r w:rsidRPr="00C26AFA">
        <w:rPr>
          <w:rFonts w:ascii="Narkisim" w:hAnsi="Narkisim" w:cs="Narkisim"/>
          <w:b/>
          <w:bCs/>
          <w:rtl/>
        </w:rPr>
        <w:t>ריטב"א</w:t>
      </w:r>
      <w:r w:rsidRPr="00C26AFA">
        <w:rPr>
          <w:rFonts w:ascii="Narkisim" w:hAnsi="Narkisim" w:cs="Narkisim"/>
          <w:rtl/>
        </w:rPr>
        <w:t xml:space="preserve"> כתב אף לר"ג יש מקום שהוא קונה ויש מקום שהוא משייר, אלא (גט אחר גט) כיון דבחד צד וחד תכסיסא, אין השני מוסיף כלום</w:t>
      </w:r>
      <w:r w:rsidRPr="00C26AFA">
        <w:rPr>
          <w:rStyle w:val="ac"/>
          <w:rFonts w:ascii="Narkisim" w:hAnsi="Narkisim" w:cs="Narkisim"/>
          <w:rtl/>
        </w:rPr>
        <w:footnoteReference w:id="3084"/>
      </w:r>
      <w:r w:rsidRPr="00C26AFA">
        <w:rPr>
          <w:rFonts w:ascii="Narkisim" w:hAnsi="Narkisim" w:cs="Narkisim"/>
          <w:rtl/>
        </w:rPr>
        <w:t xml:space="preserve">. ויתר כנטול דמי.  </w:t>
      </w:r>
    </w:p>
    <w:p w14:paraId="0567A43A"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חזו"א</w:t>
      </w:r>
      <w:r w:rsidRPr="00C26AFA">
        <w:rPr>
          <w:rFonts w:ascii="Narkisim" w:hAnsi="Narkisim"/>
          <w:rtl/>
        </w:rPr>
        <w:t xml:space="preserve"> (קכח יב) כתב דתקנו חכמים דמהני מאמר וגט לחומרא, ולא לקולא שלא יהני גט בתרה. ומוקמינן אדינא דאין גט גומר בה</w:t>
      </w:r>
      <w:r w:rsidRPr="00C26AFA">
        <w:rPr>
          <w:rStyle w:val="ac"/>
          <w:rFonts w:ascii="Narkisim" w:hAnsi="Narkisim"/>
          <w:rtl/>
        </w:rPr>
        <w:footnoteReference w:id="3085"/>
      </w:r>
      <w:r w:rsidRPr="00C26AFA">
        <w:rPr>
          <w:rFonts w:ascii="Narkisim" w:hAnsi="Narkisim"/>
          <w:rtl/>
        </w:rPr>
        <w:t>. ור"ג ס"ל דתקנו דמאמר הוה כעין דאורייתא לענין מאמר, ולא לענין גט. כיון דפעולות נפרדות הם קבעו דמהני רק למילתייהו, ולא לעכב על חברתה.</w:t>
      </w:r>
    </w:p>
    <w:p w14:paraId="7413E776" w14:textId="77777777" w:rsidR="006074A5" w:rsidRPr="00C26AFA" w:rsidRDefault="006074A5" w:rsidP="006074A5">
      <w:pPr>
        <w:pStyle w:val="aa"/>
        <w:bidi/>
        <w:rPr>
          <w:rFonts w:ascii="Narkisim" w:hAnsi="Narkisim"/>
        </w:rPr>
      </w:pPr>
      <w:r w:rsidRPr="00C26AFA">
        <w:rPr>
          <w:rFonts w:ascii="Narkisim" w:hAnsi="Narkisim"/>
          <w:rtl/>
        </w:rPr>
        <w:t>וה</w:t>
      </w:r>
      <w:r w:rsidRPr="00C26AFA">
        <w:rPr>
          <w:rFonts w:ascii="Narkisim" w:hAnsi="Narkisim"/>
          <w:b/>
          <w:bCs/>
          <w:rtl/>
        </w:rPr>
        <w:t>גמ'</w:t>
      </w:r>
      <w:r w:rsidRPr="00C26AFA">
        <w:rPr>
          <w:rFonts w:ascii="Narkisim" w:hAnsi="Narkisim"/>
          <w:rtl/>
        </w:rPr>
        <w:t xml:space="preserve"> (לעיל כז:) הביאה דמאמר לא עדיף מגט, וגט לא עדיף ממאמר, דא"כ לא יהני אבתרא. ו</w:t>
      </w:r>
      <w:r w:rsidRPr="00C26AFA">
        <w:rPr>
          <w:rFonts w:ascii="Narkisim" w:hAnsi="Narkisim"/>
          <w:b/>
          <w:bCs/>
          <w:rtl/>
        </w:rPr>
        <w:t>תוס</w:t>
      </w:r>
      <w:r w:rsidRPr="00C26AFA">
        <w:rPr>
          <w:rFonts w:ascii="Narkisim" w:hAnsi="Narkisim"/>
          <w:rtl/>
        </w:rPr>
        <w:t>' (שם) כתבו דקאי כר”ג. [אבל פשטות סוגיין הטעם דהוה צד אחר וצ”ע].</w:t>
      </w:r>
    </w:p>
    <w:p w14:paraId="3AA38205" w14:textId="77777777" w:rsidR="006074A5" w:rsidRPr="00C26AFA" w:rsidRDefault="006074A5" w:rsidP="006074A5">
      <w:pPr>
        <w:bidi/>
        <w:rPr>
          <w:rFonts w:ascii="Narkisim" w:hAnsi="Narkisim" w:cs="Narkisim"/>
        </w:rPr>
      </w:pPr>
      <w:r w:rsidRPr="00C26AFA">
        <w:rPr>
          <w:rFonts w:ascii="Narkisim" w:hAnsi="Narkisim" w:cs="Narkisim"/>
          <w:u w:val="single"/>
          <w:rtl/>
        </w:rPr>
        <w:t>תוד"ה עדיפא.</w:t>
      </w:r>
      <w:r w:rsidRPr="00C26AFA">
        <w:rPr>
          <w:rFonts w:ascii="Narkisim" w:hAnsi="Narkisim" w:cs="Narkisim"/>
          <w:rtl/>
        </w:rPr>
        <w:t xml:space="preserve"> ובקונ' (ליתא ברש"י לפנינו) פי' וכו' דיש ביאה אחר ביאה פסולה. ומיהו לר"ג וכו'. </w:t>
      </w:r>
      <w:r w:rsidRPr="00C26AFA">
        <w:rPr>
          <w:rFonts w:ascii="Narkisim" w:hAnsi="Narkisim" w:cs="Narkisim"/>
          <w:sz w:val="20"/>
          <w:szCs w:val="20"/>
          <w:rtl/>
        </w:rPr>
        <w:t>ה</w:t>
      </w:r>
      <w:r w:rsidRPr="00C26AFA">
        <w:rPr>
          <w:rFonts w:ascii="Narkisim" w:hAnsi="Narkisim" w:cs="Narkisim"/>
          <w:b/>
          <w:bCs/>
          <w:sz w:val="20"/>
          <w:szCs w:val="20"/>
          <w:rtl/>
        </w:rPr>
        <w:t>חזו"א</w:t>
      </w:r>
      <w:r w:rsidRPr="00C26AFA">
        <w:rPr>
          <w:rFonts w:ascii="Narkisim" w:hAnsi="Narkisim" w:cs="Narkisim"/>
          <w:sz w:val="20"/>
          <w:szCs w:val="20"/>
          <w:rtl/>
        </w:rPr>
        <w:t xml:space="preserve"> (קכח יב) ביאר דמסתבר דביאה ומאמר הוה חד צד.</w:t>
      </w:r>
    </w:p>
    <w:p w14:paraId="2DBFBFE0"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קר"א</w:t>
      </w:r>
      <w:r w:rsidRPr="00C26AFA">
        <w:rPr>
          <w:rFonts w:ascii="Narkisim" w:hAnsi="Narkisim"/>
          <w:rtl/>
        </w:rPr>
        <w:t xml:space="preserve"> הביא דהוה נידון מפורש ב</w:t>
      </w:r>
      <w:r w:rsidRPr="00C26AFA">
        <w:rPr>
          <w:rFonts w:ascii="Narkisim" w:hAnsi="Narkisim"/>
          <w:b/>
          <w:bCs/>
          <w:rtl/>
        </w:rPr>
        <w:t>ירושלמי.</w:t>
      </w:r>
      <w:r w:rsidRPr="00C26AFA">
        <w:rPr>
          <w:rFonts w:ascii="Narkisim" w:hAnsi="Narkisim"/>
          <w:rtl/>
        </w:rPr>
        <w:t xml:space="preserve"> והביא דדה</w:t>
      </w:r>
      <w:r w:rsidRPr="00C26AFA">
        <w:rPr>
          <w:rFonts w:ascii="Narkisim" w:hAnsi="Narkisim"/>
          <w:b/>
          <w:bCs/>
          <w:rtl/>
        </w:rPr>
        <w:t>קרבן עדה</w:t>
      </w:r>
      <w:r w:rsidRPr="00C26AFA">
        <w:rPr>
          <w:rFonts w:ascii="Narkisim" w:hAnsi="Narkisim"/>
          <w:rtl/>
        </w:rPr>
        <w:t xml:space="preserve"> הקשה אמאי תוס' לא ציינו לדברי הירושלמי. וה</w:t>
      </w:r>
      <w:r w:rsidRPr="00C26AFA">
        <w:rPr>
          <w:rFonts w:ascii="Narkisim" w:hAnsi="Narkisim"/>
          <w:b/>
          <w:bCs/>
          <w:rtl/>
        </w:rPr>
        <w:t>קר"א</w:t>
      </w:r>
      <w:r w:rsidRPr="00C26AFA">
        <w:rPr>
          <w:rFonts w:ascii="Narkisim" w:hAnsi="Narkisim"/>
          <w:rtl/>
        </w:rPr>
        <w:t xml:space="preserve"> תי' דהירושלמי ס"ל דמאמר דאורייתא, ותוס' דנו לדידן דמאמר דרבנן.</w:t>
      </w:r>
    </w:p>
    <w:p w14:paraId="3030C7D9" w14:textId="77777777" w:rsidR="006074A5" w:rsidRPr="00C26AFA" w:rsidRDefault="006074A5" w:rsidP="006074A5">
      <w:pPr>
        <w:pStyle w:val="aa"/>
        <w:bidi/>
        <w:rPr>
          <w:rFonts w:ascii="Narkisim" w:hAnsi="Narkisim"/>
        </w:rPr>
      </w:pPr>
      <w:r w:rsidRPr="00C26AFA">
        <w:rPr>
          <w:rFonts w:ascii="Narkisim" w:hAnsi="Narkisim"/>
          <w:u w:val="single"/>
          <w:rtl/>
        </w:rPr>
        <w:t>רש"י ד"ה חולץ לראשונה.</w:t>
      </w:r>
      <w:r w:rsidRPr="00C26AFA">
        <w:rPr>
          <w:rFonts w:ascii="Narkisim" w:hAnsi="Narkisim"/>
          <w:rtl/>
        </w:rPr>
        <w:t xml:space="preserve"> עצה טובה אשמועינן שלא יאסר עצמו בקרובות שניה וכו'. ה</w:t>
      </w:r>
      <w:r w:rsidRPr="00C26AFA">
        <w:rPr>
          <w:rFonts w:ascii="Narkisim" w:hAnsi="Narkisim"/>
          <w:b/>
          <w:bCs/>
          <w:rtl/>
        </w:rPr>
        <w:t>מהרש"א</w:t>
      </w:r>
      <w:r w:rsidRPr="00C26AFA">
        <w:rPr>
          <w:rFonts w:ascii="Narkisim" w:hAnsi="Narkisim"/>
          <w:rtl/>
        </w:rPr>
        <w:t xml:space="preserve"> הקשה תיפו"ל לא ישפוך (וכדלעיל מד.). וה</w:t>
      </w:r>
      <w:r w:rsidRPr="00C26AFA">
        <w:rPr>
          <w:rFonts w:ascii="Narkisim" w:hAnsi="Narkisim"/>
          <w:b/>
          <w:bCs/>
          <w:rtl/>
        </w:rPr>
        <w:t>מהרש"א</w:t>
      </w:r>
      <w:r w:rsidRPr="00C26AFA">
        <w:rPr>
          <w:rFonts w:ascii="Narkisim" w:hAnsi="Narkisim"/>
          <w:rtl/>
        </w:rPr>
        <w:t xml:space="preserve"> חידש דאף דהגט השניה אינו גט ולא נאסר בקרובותיה, מ"מ פוסל </w:t>
      </w:r>
      <w:r w:rsidRPr="00C26AFA">
        <w:rPr>
          <w:rFonts w:ascii="Narkisim" w:hAnsi="Narkisim"/>
          <w:rtl/>
        </w:rPr>
        <w:lastRenderedPageBreak/>
        <w:t>לכהונה. דאפי' ריח הגט פוסל לכהונה. וה</w:t>
      </w:r>
      <w:r w:rsidRPr="00C26AFA">
        <w:rPr>
          <w:rFonts w:ascii="Narkisim" w:hAnsi="Narkisim"/>
          <w:b/>
          <w:bCs/>
          <w:rtl/>
        </w:rPr>
        <w:t>רש”ש</w:t>
      </w:r>
      <w:r w:rsidRPr="00C26AFA">
        <w:rPr>
          <w:rFonts w:ascii="Narkisim" w:hAnsi="Narkisim"/>
          <w:rtl/>
        </w:rPr>
        <w:t xml:space="preserve"> וה</w:t>
      </w:r>
      <w:r w:rsidRPr="00C26AFA">
        <w:rPr>
          <w:rFonts w:ascii="Narkisim" w:hAnsi="Narkisim"/>
          <w:b/>
          <w:bCs/>
          <w:rtl/>
        </w:rPr>
        <w:t>אחרונים</w:t>
      </w:r>
      <w:r w:rsidRPr="00C26AFA">
        <w:rPr>
          <w:rFonts w:ascii="Narkisim" w:hAnsi="Narkisim"/>
          <w:rtl/>
        </w:rPr>
        <w:t xml:space="preserve"> חלקו דמשמע דפסול כהונה תליא בפסול קרובים. וה</w:t>
      </w:r>
      <w:r w:rsidRPr="00C26AFA">
        <w:rPr>
          <w:rFonts w:ascii="Narkisim" w:hAnsi="Narkisim"/>
          <w:b/>
          <w:bCs/>
          <w:rtl/>
        </w:rPr>
        <w:t>רש”ש</w:t>
      </w:r>
      <w:r w:rsidRPr="00C26AFA">
        <w:rPr>
          <w:rFonts w:ascii="Narkisim" w:hAnsi="Narkisim"/>
          <w:rtl/>
        </w:rPr>
        <w:t xml:space="preserve"> תי' דרש”י כתב טעם זה דאף בב' יבמין ויבמה א' [שכבר נפסלה לכהונה].</w:t>
      </w:r>
    </w:p>
    <w:p w14:paraId="5A6F90A5" w14:textId="77777777" w:rsidR="006074A5" w:rsidRPr="00C26AFA" w:rsidRDefault="006074A5" w:rsidP="006074A5">
      <w:pPr>
        <w:bidi/>
        <w:rPr>
          <w:rFonts w:ascii="Narkisim" w:hAnsi="Narkisim" w:cs="Narkisim"/>
        </w:rPr>
      </w:pPr>
      <w:r w:rsidRPr="00C26AFA">
        <w:rPr>
          <w:rFonts w:ascii="Narkisim" w:hAnsi="Narkisim" w:cs="Narkisim"/>
          <w:u w:val="single"/>
          <w:rtl/>
        </w:rPr>
        <w:t>אמר לך שמואל כי אמרי אנא אליבא דמ”ד יש זיקה, ור"ג סבר אין זיקה וכו'.</w:t>
      </w:r>
      <w:r w:rsidRPr="00C26AFA">
        <w:rPr>
          <w:rFonts w:ascii="Narkisim" w:hAnsi="Narkisim" w:cs="Narkisim"/>
          <w:rtl/>
        </w:rPr>
        <w:t xml:space="preserve"> </w:t>
      </w:r>
      <w:r w:rsidRPr="00C26AFA">
        <w:rPr>
          <w:rFonts w:ascii="Narkisim" w:hAnsi="Narkisim" w:cs="Narkisim"/>
          <w:b/>
          <w:bCs/>
          <w:rtl/>
        </w:rPr>
        <w:t>תוס</w:t>
      </w:r>
      <w:r w:rsidRPr="00C26AFA">
        <w:rPr>
          <w:rFonts w:ascii="Narkisim" w:hAnsi="Narkisim" w:cs="Narkisim"/>
          <w:rtl/>
        </w:rPr>
        <w:t>' (כו: ד"ה מדקאמרת) הביאו מכאן דלמ"ד אין זיקה חליצה פסולה אי"צ חיזור. [ו</w:t>
      </w:r>
      <w:r w:rsidRPr="00C26AFA">
        <w:rPr>
          <w:rFonts w:ascii="Narkisim" w:hAnsi="Narkisim" w:cs="Narkisim"/>
          <w:b/>
          <w:bCs/>
          <w:rtl/>
        </w:rPr>
        <w:t>תוס</w:t>
      </w:r>
      <w:r w:rsidRPr="00C26AFA">
        <w:rPr>
          <w:rFonts w:ascii="Narkisim" w:hAnsi="Narkisim" w:cs="Narkisim"/>
          <w:rtl/>
        </w:rPr>
        <w:t>' הקשו דבגמ' (כז.) מבואר דאף למ”ד אין זיקה בעי חיזור, וכתבו דאינה לפי האמת. דבברייתא כאן מוכח דאי"צ חיזור. אבל ה</w:t>
      </w:r>
      <w:r w:rsidRPr="00C26AFA">
        <w:rPr>
          <w:rFonts w:ascii="Narkisim" w:hAnsi="Narkisim" w:cs="Narkisim"/>
          <w:b/>
          <w:bCs/>
          <w:rtl/>
        </w:rPr>
        <w:t>רמב"ן</w:t>
      </w:r>
      <w:r w:rsidRPr="00C26AFA">
        <w:rPr>
          <w:rFonts w:ascii="Narkisim" w:hAnsi="Narkisim" w:cs="Narkisim"/>
          <w:rtl/>
        </w:rPr>
        <w:t xml:space="preserve"> (לעיל שם) נקט דתליא בב' הלשונות (ריש כז.) אף למסקנא].</w:t>
      </w:r>
    </w:p>
    <w:p w14:paraId="050CE85B" w14:textId="77777777" w:rsidR="006074A5" w:rsidRPr="00C26AFA" w:rsidRDefault="006074A5" w:rsidP="006074A5">
      <w:pPr>
        <w:pStyle w:val="aa"/>
        <w:bidi/>
        <w:rPr>
          <w:rFonts w:ascii="Narkisim" w:hAnsi="Narkisim"/>
        </w:rPr>
      </w:pPr>
      <w:r w:rsidRPr="00C26AFA">
        <w:rPr>
          <w:rFonts w:ascii="Narkisim" w:hAnsi="Narkisim"/>
          <w:u w:val="single"/>
          <w:rtl/>
        </w:rPr>
        <w:t>רש"י ד"ה לימא.</w:t>
      </w:r>
      <w:r w:rsidRPr="00C26AFA">
        <w:rPr>
          <w:rFonts w:ascii="Narkisim" w:hAnsi="Narkisim"/>
          <w:rtl/>
        </w:rPr>
        <w:t xml:space="preserve"> ומדרבנן ליכא לאותובי וכו' דהכא תרוייהו זיקתא קלישא וכו'. והיכא דתרוייהו שווין מהני לפטור. וכ"מ לשמואל לחד לישנא (לעיל כז.) דבשוות פטרה. אבל לל"ב מהני רק למיפטר נפשה.</w:t>
      </w:r>
    </w:p>
    <w:p w14:paraId="5B3A9970" w14:textId="77777777" w:rsidR="006074A5" w:rsidRPr="00C26AFA" w:rsidRDefault="006074A5" w:rsidP="006074A5">
      <w:pPr>
        <w:bidi/>
        <w:rPr>
          <w:rFonts w:ascii="Narkisim" w:hAnsi="Narkisim" w:cs="Narkisim"/>
        </w:rPr>
      </w:pPr>
      <w:r w:rsidRPr="00C26AFA">
        <w:rPr>
          <w:rFonts w:ascii="Narkisim" w:hAnsi="Narkisim" w:cs="Narkisim"/>
          <w:u w:val="single"/>
          <w:rtl/>
        </w:rPr>
        <w:t>רש"י ד"ה ר"ג סבר אין זיקה.</w:t>
      </w:r>
      <w:r w:rsidRPr="00C26AFA">
        <w:rPr>
          <w:rFonts w:ascii="Narkisim" w:hAnsi="Narkisim" w:cs="Narkisim"/>
          <w:rtl/>
        </w:rPr>
        <w:t xml:space="preserve"> כיון דלאו אלימא זיקה, פקע בחליצה כל דהו. </w:t>
      </w:r>
      <w:r w:rsidRPr="00C26AFA">
        <w:rPr>
          <w:rFonts w:ascii="Narkisim" w:hAnsi="Narkisim" w:cs="Narkisim"/>
          <w:sz w:val="20"/>
          <w:szCs w:val="20"/>
          <w:rtl/>
        </w:rPr>
        <w:t>[משמע דהוה סברא כללית, דלמ"ד יש זיקה בעינן חליצה אלימא].</w:t>
      </w:r>
      <w:r w:rsidRPr="00C26AFA">
        <w:rPr>
          <w:rFonts w:ascii="Narkisim" w:hAnsi="Narkisim" w:cs="Narkisim"/>
          <w:rtl/>
        </w:rPr>
        <w:t xml:space="preserve"> ו</w:t>
      </w:r>
      <w:r w:rsidRPr="00C26AFA">
        <w:rPr>
          <w:rFonts w:ascii="Narkisim" w:hAnsi="Narkisim" w:cs="Narkisim"/>
          <w:b/>
          <w:bCs/>
          <w:rtl/>
        </w:rPr>
        <w:t>רש"י</w:t>
      </w:r>
      <w:r w:rsidRPr="00C26AFA">
        <w:rPr>
          <w:rFonts w:ascii="Narkisim" w:hAnsi="Narkisim" w:cs="Narkisim"/>
          <w:rtl/>
        </w:rPr>
        <w:t xml:space="preserve"> (לעיל כו:) כתב דאלימא זיקה ורמי אתרוייהו. וה</w:t>
      </w:r>
      <w:r w:rsidRPr="00C26AFA">
        <w:rPr>
          <w:rFonts w:ascii="Narkisim" w:hAnsi="Narkisim" w:cs="Narkisim"/>
          <w:b/>
          <w:bCs/>
          <w:rtl/>
        </w:rPr>
        <w:t>אחרונים</w:t>
      </w:r>
      <w:r w:rsidRPr="00C26AFA">
        <w:rPr>
          <w:rFonts w:ascii="Narkisim" w:hAnsi="Narkisim" w:cs="Narkisim"/>
          <w:rtl/>
        </w:rPr>
        <w:t xml:space="preserve"> דייקו דהוה סברא נוספת, דחל זיקה ואישות ליבם</w:t>
      </w:r>
      <w:r w:rsidRPr="00C26AFA">
        <w:rPr>
          <w:rStyle w:val="ac"/>
          <w:rFonts w:ascii="Narkisim" w:hAnsi="Narkisim" w:cs="Narkisim"/>
          <w:rtl/>
        </w:rPr>
        <w:footnoteReference w:id="3086"/>
      </w:r>
      <w:r w:rsidRPr="00C26AFA">
        <w:rPr>
          <w:rFonts w:ascii="Narkisim" w:hAnsi="Narkisim" w:cs="Narkisim"/>
          <w:rtl/>
        </w:rPr>
        <w:t>, ובעי חליצה טובה לבטל זיקה זו</w:t>
      </w:r>
      <w:r w:rsidRPr="00C26AFA">
        <w:rPr>
          <w:rFonts w:ascii="Narkisim" w:hAnsi="Narkisim" w:cs="Narkisim"/>
          <w:sz w:val="20"/>
          <w:szCs w:val="20"/>
          <w:rtl/>
        </w:rPr>
        <w:t xml:space="preserve"> [וע' מש”כ לעיל כו:, ולשונות הראשונים שם בזה].</w:t>
      </w:r>
    </w:p>
    <w:p w14:paraId="721D483C"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(בסוגיין) ביאר [הטעם דחליצה פסולה צריכה חיזור] דלמ"ד יש זיקה חליצה פסולה עשאוה כפוטרת הזיקה </w:t>
      </w:r>
      <w:r w:rsidRPr="00C26AFA">
        <w:rPr>
          <w:rFonts w:ascii="Narkisim" w:hAnsi="Narkisim"/>
          <w:sz w:val="20"/>
          <w:szCs w:val="20"/>
          <w:rtl/>
        </w:rPr>
        <w:t>[כיון דאינו ראוי לייבם],</w:t>
      </w:r>
      <w:r w:rsidRPr="00C26AFA">
        <w:rPr>
          <w:rFonts w:ascii="Narkisim" w:hAnsi="Narkisim"/>
          <w:rtl/>
        </w:rPr>
        <w:t xml:space="preserve"> ולא כפוטרת קידושין הראשונים של האח, וכמגרש קידושין אחרונים בגט</w:t>
      </w:r>
      <w:r w:rsidRPr="00C26AFA">
        <w:rPr>
          <w:rStyle w:val="ac"/>
          <w:rFonts w:ascii="Narkisim" w:hAnsi="Narkisim"/>
          <w:rtl/>
        </w:rPr>
        <w:footnoteReference w:id="3087"/>
      </w:r>
      <w:r w:rsidRPr="00C26AFA">
        <w:rPr>
          <w:rFonts w:ascii="Narkisim" w:hAnsi="Narkisim"/>
          <w:rtl/>
        </w:rPr>
        <w:t>. וכל אחת פטרה עצמה, וכן באחין. דהיכא דהחליצה ראויה קיימא במקום יבום, וע”כ החליצה הוה כמו יבום ופוטרת את כל הצרות. אבל כשאינה ראויה ביבום עשאוה כמגרש קידושין האחרונים [הזיקה כלפי יבם זו לבד].</w:t>
      </w:r>
    </w:p>
    <w:p w14:paraId="68690ADF" w14:textId="77777777" w:rsidR="006074A5" w:rsidRPr="00C26AFA" w:rsidRDefault="006074A5" w:rsidP="006074A5">
      <w:pPr>
        <w:pStyle w:val="a7"/>
        <w:bidi/>
        <w:rPr>
          <w:rFonts w:ascii="Narkisim" w:hAnsi="Narkisim"/>
        </w:rPr>
      </w:pPr>
      <w:r w:rsidRPr="00C26AFA">
        <w:rPr>
          <w:rFonts w:ascii="Narkisim" w:hAnsi="Narkisim"/>
          <w:rtl/>
        </w:rPr>
        <w:t>אבל ר”ג ס”ל דאין זיקה, ומש”ה ע”כ דהחליצה הוה לכל הבית. ול”ש דין חיזור על האחים והצרות.</w:t>
      </w:r>
    </w:p>
    <w:p w14:paraId="20D30E91" w14:textId="77777777" w:rsidR="006074A5" w:rsidRPr="00C26AFA" w:rsidRDefault="006074A5" w:rsidP="006074A5">
      <w:pPr>
        <w:bidi/>
        <w:rPr>
          <w:rFonts w:ascii="Narkisim" w:hAnsi="Narkisim" w:cs="Narkisim"/>
        </w:rPr>
      </w:pPr>
      <w:r w:rsidRPr="00C26AFA">
        <w:rPr>
          <w:rFonts w:ascii="Narkisim" w:hAnsi="Narkisim" w:cs="Narkisim"/>
          <w:rtl/>
        </w:rPr>
        <w:t>ועד"ז ביאר ה</w:t>
      </w:r>
      <w:r w:rsidRPr="00C26AFA">
        <w:rPr>
          <w:rFonts w:ascii="Narkisim" w:hAnsi="Narkisim" w:cs="Narkisim"/>
          <w:b/>
          <w:bCs/>
          <w:rtl/>
        </w:rPr>
        <w:t>רמב"ן</w:t>
      </w:r>
      <w:r w:rsidRPr="00C26AFA">
        <w:rPr>
          <w:rFonts w:ascii="Narkisim" w:hAnsi="Narkisim" w:cs="Narkisim"/>
          <w:rtl/>
        </w:rPr>
        <w:t xml:space="preserve"> הא דהמקשן נקט דר"ג ורבנן פליגי אי יש זיקה היא, דר"ג סבר אין זיקה ומש"ה אין גט אחר גט, דהגט והמאמר קיימי על קדושי אחיו, דאגידי בכולא ביתא. ומש"ה כשנותן גט לזו הוה כאומר הריני נותן גט לקדושי אחי, ופסל כל הבית. וכאלו נתן אף לצרה, ואין גט אחר מועיל בכל הבית כלום. וכן מאמר רמי על קדושי אחיו. ורבנן פליגי וסברי דיש זיקה, ותקנו חכמים גט לזיקה שלו. הילכך לכל חדא וחדא תקינו רבנן גט בזיקה שלו.</w:t>
      </w:r>
    </w:p>
    <w:p w14:paraId="5BE28653" w14:textId="77777777" w:rsidR="006074A5" w:rsidRPr="00C26AFA" w:rsidRDefault="006074A5" w:rsidP="006074A5">
      <w:pPr>
        <w:pStyle w:val="a7"/>
        <w:bidi/>
        <w:rPr>
          <w:rFonts w:ascii="Narkisim" w:hAnsi="Narkisim"/>
        </w:rPr>
      </w:pPr>
      <w:r w:rsidRPr="00C26AFA">
        <w:rPr>
          <w:rFonts w:ascii="Narkisim" w:hAnsi="Narkisim"/>
          <w:rtl/>
        </w:rPr>
        <w:t>ובשילהי שמעתא אמרי' דנח' דוקא בגט אחר גט ומאמר אחר מאמר, כלומר בטעמא דנפשייהו אם ראוי לתקן גט לכל אחת ואחת וכן מאמר, אף דכו"ע אין זיקה, ואין זיקתן אלא בקדושי אח שמת.</w:t>
      </w:r>
    </w:p>
    <w:p w14:paraId="1C47FA18" w14:textId="77777777" w:rsidR="006074A5" w:rsidRPr="00C26AFA" w:rsidRDefault="006074A5" w:rsidP="006074A5">
      <w:pPr>
        <w:pStyle w:val="3"/>
        <w:bidi/>
        <w:rPr>
          <w:rFonts w:ascii="Narkisim" w:hAnsi="Narkisim"/>
        </w:rPr>
      </w:pPr>
      <w:r w:rsidRPr="00C26AFA">
        <w:rPr>
          <w:rFonts w:ascii="Narkisim" w:hAnsi="Narkisim"/>
          <w:rtl/>
        </w:rPr>
        <w:t>דף נא:</w:t>
      </w:r>
    </w:p>
    <w:p w14:paraId="10521954" w14:textId="77777777" w:rsidR="006074A5" w:rsidRPr="00C26AFA" w:rsidRDefault="006074A5" w:rsidP="006074A5">
      <w:pPr>
        <w:bidi/>
        <w:rPr>
          <w:rFonts w:ascii="Narkisim" w:hAnsi="Narkisim" w:cs="Narkisim"/>
        </w:rPr>
      </w:pPr>
      <w:r w:rsidRPr="00C26AFA">
        <w:rPr>
          <w:rFonts w:ascii="Narkisim" w:hAnsi="Narkisim" w:cs="Narkisim"/>
          <w:u w:val="single"/>
          <w:rtl/>
        </w:rPr>
        <w:t>רש"י ד"ה רבנן סברי.</w:t>
      </w:r>
      <w:r w:rsidRPr="00C26AFA">
        <w:rPr>
          <w:rFonts w:ascii="Narkisim" w:hAnsi="Narkisim" w:cs="Narkisim"/>
          <w:rtl/>
        </w:rPr>
        <w:t xml:space="preserve"> דכי היכי דפליגי וכו' ה"נ פליגי בזיקה, אע"ג דממילתייהו לא שמעי' ליה. וה</w:t>
      </w:r>
      <w:r w:rsidRPr="00C26AFA">
        <w:rPr>
          <w:rFonts w:ascii="Narkisim" w:hAnsi="Narkisim" w:cs="Narkisim"/>
          <w:b/>
          <w:bCs/>
          <w:rtl/>
        </w:rPr>
        <w:t>רמב"ן</w:t>
      </w:r>
      <w:r w:rsidRPr="00C26AFA">
        <w:rPr>
          <w:rFonts w:ascii="Narkisim" w:hAnsi="Narkisim" w:cs="Narkisim"/>
          <w:rtl/>
        </w:rPr>
        <w:t xml:space="preserve"> </w:t>
      </w:r>
      <w:r w:rsidRPr="00C26AFA">
        <w:rPr>
          <w:rFonts w:ascii="Narkisim" w:hAnsi="Narkisim" w:cs="Narkisim"/>
          <w:sz w:val="20"/>
          <w:szCs w:val="20"/>
          <w:rtl/>
        </w:rPr>
        <w:t>(וברשב"א וריטב"א בקיצור)</w:t>
      </w:r>
      <w:r w:rsidRPr="00C26AFA">
        <w:rPr>
          <w:rFonts w:ascii="Narkisim" w:hAnsi="Narkisim" w:cs="Narkisim"/>
          <w:rtl/>
        </w:rPr>
        <w:t xml:space="preserve"> כת' דקס"ד דעיקר פלוגתתם ביש זיקה, דרבנן ס"ל יש זיקה ולכן בכל חד תקינו מאמר וגט, דזיקתו של זה לא מידחי בגיטא דאחיו. אבל ר"ג סובר אין זיקה, ולכן הוה כנותן גט לקידושין אחיו, הילכך פוסל את כל הבית. </w:t>
      </w:r>
      <w:r w:rsidRPr="00C26AFA">
        <w:rPr>
          <w:rFonts w:ascii="Narkisim" w:hAnsi="Narkisim" w:cs="Narkisim"/>
          <w:i/>
          <w:iCs/>
          <w:rtl/>
        </w:rPr>
        <w:t>והגמ' דוחה</w:t>
      </w:r>
      <w:r w:rsidRPr="00C26AFA">
        <w:rPr>
          <w:rFonts w:ascii="Narkisim" w:hAnsi="Narkisim" w:cs="Narkisim"/>
          <w:rtl/>
        </w:rPr>
        <w:t xml:space="preserve"> דבגט אחר גט, כלומר אם ראוי לתקן גט לכל א', אע"פ שאין זיקתן אלא בקדושי אח המת.</w:t>
      </w:r>
    </w:p>
    <w:p w14:paraId="38A25E3E" w14:textId="77777777" w:rsidR="006074A5" w:rsidRPr="00C26AFA" w:rsidRDefault="006074A5" w:rsidP="006074A5">
      <w:pPr>
        <w:bidi/>
        <w:rPr>
          <w:rFonts w:ascii="Narkisim" w:hAnsi="Narkisim" w:cs="Narkisim"/>
        </w:rPr>
      </w:pPr>
      <w:r w:rsidRPr="00C26AFA">
        <w:rPr>
          <w:rFonts w:ascii="Narkisim" w:hAnsi="Narkisim" w:cs="Narkisim"/>
          <w:u w:val="single"/>
          <w:rtl/>
        </w:rPr>
        <w:t>וקתני סיפא וכו' בשני יבמין לימא תהוי תיובתא וכו'.</w:t>
      </w:r>
      <w:r w:rsidRPr="00C26AFA">
        <w:rPr>
          <w:rFonts w:ascii="Narkisim" w:hAnsi="Narkisim" w:cs="Narkisim"/>
          <w:rtl/>
        </w:rPr>
        <w:t xml:space="preserve"> ה</w:t>
      </w:r>
      <w:r w:rsidRPr="00C26AFA">
        <w:rPr>
          <w:rFonts w:ascii="Narkisim" w:hAnsi="Narkisim" w:cs="Narkisim"/>
          <w:b/>
          <w:bCs/>
          <w:rtl/>
        </w:rPr>
        <w:t>תו"י</w:t>
      </w:r>
      <w:r w:rsidRPr="00C26AFA">
        <w:rPr>
          <w:rFonts w:ascii="Narkisim" w:hAnsi="Narkisim" w:cs="Narkisim"/>
          <w:rtl/>
        </w:rPr>
        <w:t xml:space="preserve"> ו</w:t>
      </w:r>
      <w:r w:rsidRPr="00C26AFA">
        <w:rPr>
          <w:rFonts w:ascii="Narkisim" w:hAnsi="Narkisim" w:cs="Narkisim"/>
          <w:b/>
          <w:bCs/>
          <w:rtl/>
        </w:rPr>
        <w:t>רמב"ן</w:t>
      </w:r>
      <w:r w:rsidRPr="00C26AFA">
        <w:rPr>
          <w:rFonts w:ascii="Narkisim" w:hAnsi="Narkisim" w:cs="Narkisim"/>
          <w:rtl/>
        </w:rPr>
        <w:t xml:space="preserve"> ושא"ר הקשו דאף ביבם א' וב' יבמות צריך לחלוץ לשתיהם מדין חליצה פסולה. ותי' דניחא ליה להקשות מדדמי.</w:t>
      </w:r>
    </w:p>
    <w:p w14:paraId="4806493D" w14:textId="77777777" w:rsidR="006074A5" w:rsidRPr="00C26AFA" w:rsidRDefault="006074A5" w:rsidP="006074A5">
      <w:pPr>
        <w:pStyle w:val="a7"/>
        <w:bidi/>
        <w:rPr>
          <w:rFonts w:ascii="Narkisim" w:hAnsi="Narkisim"/>
        </w:rPr>
      </w:pPr>
      <w:r w:rsidRPr="00C26AFA">
        <w:rPr>
          <w:rFonts w:ascii="Narkisim" w:hAnsi="Narkisim"/>
          <w:rtl/>
        </w:rPr>
        <w:t>אבל ב</w:t>
      </w:r>
      <w:r w:rsidRPr="00C26AFA">
        <w:rPr>
          <w:rFonts w:ascii="Narkisim" w:hAnsi="Narkisim"/>
          <w:b/>
          <w:bCs/>
          <w:rtl/>
        </w:rPr>
        <w:t>תוס' חד מקמאי</w:t>
      </w:r>
      <w:r w:rsidRPr="00C26AFA">
        <w:rPr>
          <w:rFonts w:ascii="Narkisim" w:hAnsi="Narkisim"/>
          <w:rtl/>
        </w:rPr>
        <w:t xml:space="preserve"> הביא דרב מודה [לשמואל] דחלץ לצרה נפטרה בעלת הגט. ומהני לפטור אף דהוה חליצה פסולה. ואף דרב ס"ל דחליצה פסולה צריכה חיזור על כל האחים. ולכאו' כוונתו לחלק דגדר הזיקה לב' אחים שאני מב' צרות. וכ"כ ה</w:t>
      </w:r>
      <w:r w:rsidRPr="00C26AFA">
        <w:rPr>
          <w:rFonts w:ascii="Narkisim" w:hAnsi="Narkisim"/>
          <w:b/>
          <w:bCs/>
          <w:rtl/>
        </w:rPr>
        <w:t>טור</w:t>
      </w:r>
      <w:r w:rsidRPr="00C26AFA">
        <w:rPr>
          <w:rFonts w:ascii="Narkisim" w:hAnsi="Narkisim"/>
          <w:rtl/>
        </w:rPr>
        <w:t xml:space="preserve"> (קע) בדעת </w:t>
      </w:r>
      <w:r w:rsidRPr="00C26AFA">
        <w:rPr>
          <w:rFonts w:ascii="Narkisim" w:hAnsi="Narkisim"/>
          <w:b/>
          <w:bCs/>
          <w:rtl/>
        </w:rPr>
        <w:t>רש"י</w:t>
      </w:r>
      <w:r w:rsidRPr="00C26AFA">
        <w:rPr>
          <w:rFonts w:ascii="Narkisim" w:hAnsi="Narkisim"/>
          <w:rtl/>
        </w:rPr>
        <w:t>, וה</w:t>
      </w:r>
      <w:r w:rsidRPr="00C26AFA">
        <w:rPr>
          <w:rFonts w:ascii="Narkisim" w:hAnsi="Narkisim"/>
          <w:b/>
          <w:bCs/>
          <w:rtl/>
        </w:rPr>
        <w:t>ב"ח</w:t>
      </w:r>
      <w:r w:rsidRPr="00C26AFA">
        <w:rPr>
          <w:rFonts w:ascii="Narkisim" w:hAnsi="Narkisim"/>
          <w:rtl/>
        </w:rPr>
        <w:t xml:space="preserve"> ציין לסוגיין.</w:t>
      </w:r>
    </w:p>
    <w:p w14:paraId="34348566" w14:textId="77777777" w:rsidR="006074A5" w:rsidRPr="00C26AFA" w:rsidRDefault="006074A5" w:rsidP="006074A5">
      <w:pPr>
        <w:pStyle w:val="a7"/>
        <w:bidi/>
        <w:rPr>
          <w:rFonts w:ascii="Narkisim" w:hAnsi="Narkisim"/>
        </w:rPr>
      </w:pPr>
      <w:r w:rsidRPr="00C26AFA">
        <w:rPr>
          <w:rFonts w:ascii="Narkisim" w:hAnsi="Narkisim"/>
          <w:rtl/>
        </w:rPr>
        <w:t>וכ"כ ה</w:t>
      </w:r>
      <w:r w:rsidRPr="00C26AFA">
        <w:rPr>
          <w:rFonts w:ascii="Narkisim" w:hAnsi="Narkisim"/>
          <w:b/>
          <w:bCs/>
          <w:rtl/>
        </w:rPr>
        <w:t>מאירי</w:t>
      </w:r>
      <w:r w:rsidRPr="00C26AFA">
        <w:rPr>
          <w:rFonts w:ascii="Narkisim" w:hAnsi="Narkisim"/>
          <w:rtl/>
        </w:rPr>
        <w:t xml:space="preserve"> (בשם איכא מאן דדייק), וביאר דטעמא דמילתא דב' יבמין ביבמה א' אלימא זיקה, ולא פקע חד בחליצה פסולה דחבריה. אבל ב' יבמות ליבם א' לא אלימא זיקה, ופקע </w:t>
      </w:r>
      <w:r w:rsidRPr="00C26AFA">
        <w:rPr>
          <w:rFonts w:ascii="Narkisim" w:hAnsi="Narkisim"/>
          <w:rtl/>
        </w:rPr>
        <w:lastRenderedPageBreak/>
        <w:t>בחליצה פסולה דאידך.</w:t>
      </w:r>
      <w:r w:rsidRPr="00C26AFA">
        <w:rPr>
          <w:rFonts w:ascii="Narkisim" w:hAnsi="Narkisim"/>
          <w:sz w:val="20"/>
          <w:szCs w:val="20"/>
          <w:rtl/>
        </w:rPr>
        <w:t xml:space="preserve"> [וע' מש"כ בזה במשנה נ:].</w:t>
      </w:r>
    </w:p>
    <w:p w14:paraId="5DEE6488" w14:textId="77777777" w:rsidR="006074A5" w:rsidRPr="00C26AFA" w:rsidRDefault="006074A5" w:rsidP="006074A5">
      <w:pPr>
        <w:pStyle w:val="aa"/>
        <w:bidi/>
        <w:rPr>
          <w:rFonts w:ascii="Narkisim" w:hAnsi="Narkisim"/>
        </w:rPr>
      </w:pPr>
      <w:r w:rsidRPr="00C26AFA">
        <w:rPr>
          <w:rFonts w:ascii="Narkisim" w:hAnsi="Narkisim"/>
          <w:u w:val="single"/>
          <w:rtl/>
        </w:rPr>
        <w:t>א"ר יוחנן וכו' כולהו ס"ל מאמר קונה קנין גמור</w:t>
      </w:r>
      <w:r w:rsidRPr="00C26AFA">
        <w:rPr>
          <w:rFonts w:ascii="Narkisim" w:hAnsi="Narkisim"/>
          <w:rtl/>
        </w:rPr>
        <w:t>. פ</w:t>
      </w:r>
      <w:r w:rsidRPr="00C26AFA">
        <w:rPr>
          <w:rFonts w:ascii="Narkisim" w:hAnsi="Narkisim"/>
          <w:b/>
          <w:bCs/>
          <w:rtl/>
        </w:rPr>
        <w:t>רש"י</w:t>
      </w:r>
      <w:r w:rsidRPr="00C26AFA">
        <w:rPr>
          <w:rFonts w:ascii="Narkisim" w:hAnsi="Narkisim"/>
          <w:rtl/>
        </w:rPr>
        <w:t xml:space="preserve"> קנין חשוב, ולאו דוקא קנין גמור. ו</w:t>
      </w:r>
      <w:r w:rsidRPr="00C26AFA">
        <w:rPr>
          <w:rFonts w:ascii="Narkisim" w:hAnsi="Narkisim"/>
          <w:b/>
          <w:bCs/>
          <w:rtl/>
        </w:rPr>
        <w:t>תוס'</w:t>
      </w:r>
      <w:r w:rsidRPr="00C26AFA">
        <w:rPr>
          <w:rFonts w:ascii="Narkisim" w:hAnsi="Narkisim"/>
          <w:rtl/>
        </w:rPr>
        <w:t xml:space="preserve"> פי' דר"ג ס"ל דהוה קנין גמור רק לענין דל"מ מאמר אח"כ</w:t>
      </w:r>
      <w:r w:rsidRPr="00C26AFA">
        <w:rPr>
          <w:rStyle w:val="ac"/>
          <w:rFonts w:ascii="Narkisim" w:hAnsi="Narkisim"/>
          <w:rtl/>
        </w:rPr>
        <w:footnoteReference w:id="3088"/>
      </w:r>
      <w:r w:rsidRPr="00C26AFA">
        <w:rPr>
          <w:rFonts w:ascii="Narkisim" w:hAnsi="Narkisim"/>
          <w:rtl/>
        </w:rPr>
        <w:t>. אבל ה</w:t>
      </w:r>
      <w:r w:rsidRPr="00C26AFA">
        <w:rPr>
          <w:rFonts w:ascii="Narkisim" w:hAnsi="Narkisim"/>
          <w:b/>
          <w:bCs/>
          <w:rtl/>
        </w:rPr>
        <w:t>ר"ן</w:t>
      </w:r>
      <w:r w:rsidRPr="00C26AFA">
        <w:rPr>
          <w:rFonts w:ascii="Narkisim" w:hAnsi="Narkisim"/>
          <w:rtl/>
        </w:rPr>
        <w:t xml:space="preserve"> (נדרים עד:) ציין דר"ג ס"ל כבי"ש דמאמר קונה קנין גמור [מדאורייתא].</w:t>
      </w:r>
    </w:p>
    <w:p w14:paraId="1D93A461" w14:textId="77777777" w:rsidR="006074A5" w:rsidRPr="00C26AFA" w:rsidRDefault="006074A5" w:rsidP="006074A5">
      <w:pPr>
        <w:pStyle w:val="2"/>
        <w:bidi/>
        <w:rPr>
          <w:rFonts w:ascii="Narkisim" w:hAnsi="Narkisim"/>
        </w:rPr>
      </w:pPr>
      <w:r w:rsidRPr="00C26AFA">
        <w:rPr>
          <w:rFonts w:ascii="Narkisim" w:hAnsi="Narkisim"/>
          <w:rtl/>
        </w:rPr>
        <w:t>ביאת בן ט'</w:t>
      </w:r>
    </w:p>
    <w:p w14:paraId="4415D117" w14:textId="77777777" w:rsidR="006074A5" w:rsidRPr="00C26AFA" w:rsidRDefault="006074A5" w:rsidP="006074A5">
      <w:pPr>
        <w:bidi/>
        <w:rPr>
          <w:rFonts w:ascii="Narkisim" w:hAnsi="Narkisim" w:cs="Narkisim"/>
        </w:rPr>
      </w:pPr>
      <w:r w:rsidRPr="00C26AFA">
        <w:rPr>
          <w:rFonts w:ascii="Narkisim" w:hAnsi="Narkisim" w:cs="Narkisim"/>
          <w:u w:val="single"/>
          <w:rtl/>
        </w:rPr>
        <w:t>דתניא אמר להם ר"ש אם ביאת</w:t>
      </w:r>
      <w:r w:rsidRPr="00C26AFA">
        <w:rPr>
          <w:rStyle w:val="ac"/>
          <w:rFonts w:ascii="Narkisim" w:hAnsi="Narkisim" w:cs="Narkisim"/>
          <w:u w:val="single"/>
          <w:rtl/>
        </w:rPr>
        <w:footnoteReference w:id="3089"/>
      </w:r>
      <w:r w:rsidRPr="00C26AFA">
        <w:rPr>
          <w:rFonts w:ascii="Narkisim" w:hAnsi="Narkisim" w:cs="Narkisim"/>
          <w:rtl/>
        </w:rPr>
        <w:t xml:space="preserve"> וכו' והא ביאת בן ט' וכו'. ה</w:t>
      </w:r>
      <w:r w:rsidRPr="00C26AFA">
        <w:rPr>
          <w:rFonts w:ascii="Narkisim" w:hAnsi="Narkisim" w:cs="Narkisim"/>
          <w:b/>
          <w:bCs/>
          <w:rtl/>
        </w:rPr>
        <w:t>רמב"ן</w:t>
      </w:r>
      <w:r w:rsidRPr="00C26AFA">
        <w:rPr>
          <w:rFonts w:ascii="Narkisim" w:hAnsi="Narkisim" w:cs="Narkisim"/>
          <w:rtl/>
        </w:rPr>
        <w:t xml:space="preserve"> הקשה אמאי לא הביאו את הברייתא (לעיל יט.) דנח' כן להדיא גבי מאמר</w:t>
      </w:r>
      <w:r w:rsidRPr="00C26AFA">
        <w:rPr>
          <w:rStyle w:val="ac"/>
          <w:rFonts w:ascii="Narkisim" w:hAnsi="Narkisim" w:cs="Narkisim"/>
          <w:rtl/>
        </w:rPr>
        <w:footnoteReference w:id="3090"/>
      </w:r>
      <w:r w:rsidRPr="00C26AFA">
        <w:rPr>
          <w:rFonts w:ascii="Narkisim" w:hAnsi="Narkisim" w:cs="Narkisim"/>
          <w:rtl/>
        </w:rPr>
        <w:t>. ותי' דהמ"ל דההוא אליבא דרבנן קאמר, דלא ס"ל זיקת ב' יבמין. [אלא לאחר דברי ר"ש במשנה, אף כוונת הברייתא גבי מאמר דהוה לצדדים</w:t>
      </w:r>
      <w:r w:rsidRPr="00C26AFA">
        <w:rPr>
          <w:rStyle w:val="ac"/>
          <w:rFonts w:ascii="Narkisim" w:hAnsi="Narkisim" w:cs="Narkisim"/>
          <w:rtl/>
        </w:rPr>
        <w:footnoteReference w:id="3091"/>
      </w:r>
      <w:r w:rsidRPr="00C26AFA">
        <w:rPr>
          <w:rFonts w:ascii="Narkisim" w:hAnsi="Narkisim" w:cs="Narkisim"/>
          <w:rtl/>
        </w:rPr>
        <w:t>].</w:t>
      </w:r>
    </w:p>
    <w:p w14:paraId="14032D82" w14:textId="77777777" w:rsidR="006074A5" w:rsidRPr="00C26AFA" w:rsidRDefault="006074A5" w:rsidP="006074A5">
      <w:pPr>
        <w:pStyle w:val="a8"/>
        <w:bidi/>
        <w:rPr>
          <w:rFonts w:ascii="Narkisim" w:hAnsi="Narkisim"/>
        </w:rPr>
      </w:pPr>
      <w:r w:rsidRPr="00C26AFA">
        <w:rPr>
          <w:rFonts w:ascii="Narkisim" w:hAnsi="Narkisim"/>
          <w:rtl/>
        </w:rPr>
        <w:t>ובפשוטו מבואר דר' שמעון ס"ל דמאמר הוה ספק אי הוה קנין גמור מדאורייתא</w:t>
      </w:r>
      <w:r w:rsidRPr="00C26AFA">
        <w:rPr>
          <w:rStyle w:val="ac"/>
          <w:rFonts w:ascii="Narkisim" w:hAnsi="Narkisim"/>
          <w:rtl/>
        </w:rPr>
        <w:footnoteReference w:id="3092"/>
      </w:r>
      <w:r w:rsidRPr="00C26AFA">
        <w:rPr>
          <w:rFonts w:ascii="Narkisim" w:hAnsi="Narkisim"/>
          <w:rtl/>
        </w:rPr>
        <w:t>. וכ”מ ב</w:t>
      </w:r>
      <w:r w:rsidRPr="00C26AFA">
        <w:rPr>
          <w:rFonts w:ascii="Narkisim" w:hAnsi="Narkisim"/>
          <w:b/>
          <w:bCs/>
          <w:rtl/>
        </w:rPr>
        <w:t>תוס'</w:t>
      </w:r>
      <w:r w:rsidRPr="00C26AFA">
        <w:rPr>
          <w:rFonts w:ascii="Narkisim" w:hAnsi="Narkisim"/>
          <w:rtl/>
        </w:rPr>
        <w:t xml:space="preserve"> (לעיל כט. ד”ה לא). אבל </w:t>
      </w:r>
      <w:r w:rsidRPr="00C26AFA">
        <w:rPr>
          <w:rFonts w:ascii="Narkisim" w:hAnsi="Narkisim"/>
          <w:b/>
          <w:bCs/>
          <w:rtl/>
        </w:rPr>
        <w:t>תוס'</w:t>
      </w:r>
      <w:r w:rsidRPr="00C26AFA">
        <w:rPr>
          <w:rFonts w:ascii="Narkisim" w:hAnsi="Narkisim"/>
          <w:rtl/>
        </w:rPr>
        <w:t xml:space="preserve"> (כאן ד"ה כולהו, וכן תוד”ה ביאה) כת' דר' שמעון ס"ל דמאמר הוה מדרבנן, ותקנו קנין אלים, שלא יהני מאמר שני בתרה. דהא אינו מוסיף כלל. וכ"מ בדברי </w:t>
      </w:r>
      <w:r w:rsidRPr="00C26AFA">
        <w:rPr>
          <w:rFonts w:ascii="Narkisim" w:hAnsi="Narkisim"/>
          <w:b/>
          <w:bCs/>
          <w:rtl/>
        </w:rPr>
        <w:t>רש”י</w:t>
      </w:r>
      <w:r w:rsidRPr="00C26AFA">
        <w:rPr>
          <w:rFonts w:ascii="Narkisim" w:hAnsi="Narkisim"/>
          <w:rtl/>
        </w:rPr>
        <w:t>. [וכ”מ בתוס' לעיל יט., עי”ש רע”א].</w:t>
      </w:r>
    </w:p>
    <w:p w14:paraId="58F59902" w14:textId="77777777" w:rsidR="006074A5" w:rsidRPr="00C26AFA" w:rsidRDefault="006074A5" w:rsidP="006074A5">
      <w:pPr>
        <w:bidi/>
        <w:rPr>
          <w:rFonts w:ascii="Narkisim" w:hAnsi="Narkisim" w:cs="Narkisim"/>
        </w:rPr>
      </w:pPr>
      <w:r w:rsidRPr="00C26AFA">
        <w:rPr>
          <w:rFonts w:ascii="Narkisim" w:hAnsi="Narkisim" w:cs="Narkisim"/>
          <w:u w:val="single"/>
          <w:rtl/>
        </w:rPr>
        <w:t>וקאמר ר' שמעון דאינה ביאה.</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אלמא מאמר הראשון חשוב לקנות כל כח המאמר. </w:t>
      </w:r>
      <w:r w:rsidRPr="00C26AFA">
        <w:rPr>
          <w:rFonts w:ascii="Narkisim" w:hAnsi="Narkisim" w:cs="Narkisim"/>
          <w:sz w:val="20"/>
          <w:szCs w:val="20"/>
          <w:rtl/>
        </w:rPr>
        <w:t>וה</w:t>
      </w:r>
      <w:r w:rsidRPr="00C26AFA">
        <w:rPr>
          <w:rFonts w:ascii="Narkisim" w:hAnsi="Narkisim" w:cs="Narkisim"/>
          <w:b/>
          <w:bCs/>
          <w:sz w:val="20"/>
          <w:szCs w:val="20"/>
          <w:rtl/>
        </w:rPr>
        <w:t>רשב”א</w:t>
      </w:r>
      <w:r w:rsidRPr="00C26AFA">
        <w:rPr>
          <w:rFonts w:ascii="Narkisim" w:hAnsi="Narkisim" w:cs="Narkisim"/>
          <w:sz w:val="20"/>
          <w:szCs w:val="20"/>
          <w:rtl/>
        </w:rPr>
        <w:t xml:space="preserve"> כתב דלפ”ז הא דנקט לשון ספק, לדבריהם דרבנן קאמר</w:t>
      </w:r>
      <w:r w:rsidRPr="00C26AFA">
        <w:rPr>
          <w:rStyle w:val="ac"/>
          <w:rFonts w:ascii="Narkisim" w:hAnsi="Narkisim" w:cs="Narkisim"/>
          <w:sz w:val="20"/>
          <w:szCs w:val="20"/>
          <w:rtl/>
        </w:rPr>
        <w:footnoteReference w:id="3093"/>
      </w:r>
      <w:r w:rsidRPr="00C26AFA">
        <w:rPr>
          <w:rFonts w:ascii="Narkisim" w:hAnsi="Narkisim" w:cs="Narkisim"/>
          <w:rtl/>
        </w:rPr>
        <w:t xml:space="preserve">. אבל </w:t>
      </w:r>
      <w:r w:rsidRPr="00C26AFA">
        <w:rPr>
          <w:rFonts w:ascii="Narkisim" w:hAnsi="Narkisim" w:cs="Narkisim"/>
          <w:b/>
          <w:bCs/>
          <w:rtl/>
        </w:rPr>
        <w:t>רש”</w:t>
      </w:r>
      <w:r w:rsidRPr="00C26AFA">
        <w:rPr>
          <w:rFonts w:ascii="Narkisim" w:hAnsi="Narkisim" w:cs="Narkisim"/>
          <w:rtl/>
        </w:rPr>
        <w:t xml:space="preserve">י </w:t>
      </w:r>
      <w:r w:rsidRPr="00C26AFA">
        <w:rPr>
          <w:rFonts w:ascii="Narkisim" w:hAnsi="Narkisim" w:cs="Narkisim"/>
          <w:szCs w:val="20"/>
          <w:rtl/>
        </w:rPr>
        <w:t>(לקמן צו:)</w:t>
      </w:r>
      <w:r w:rsidRPr="00C26AFA">
        <w:rPr>
          <w:rFonts w:ascii="Narkisim" w:hAnsi="Narkisim" w:cs="Narkisim"/>
          <w:rtl/>
        </w:rPr>
        <w:t xml:space="preserve"> כ' דלר' שמעון ספק קני, ואי קני ל”מ בתרא. וה</w:t>
      </w:r>
      <w:r w:rsidRPr="00C26AFA">
        <w:rPr>
          <w:rFonts w:ascii="Narkisim" w:hAnsi="Narkisim" w:cs="Narkisim"/>
          <w:b/>
          <w:bCs/>
          <w:rtl/>
        </w:rPr>
        <w:t>רשב”א</w:t>
      </w:r>
      <w:r w:rsidRPr="00C26AFA">
        <w:rPr>
          <w:rFonts w:ascii="Narkisim" w:hAnsi="Narkisim" w:cs="Narkisim"/>
          <w:rtl/>
        </w:rPr>
        <w:t xml:space="preserve"> פי' עפ”ז דלצד דקני, קני קנין גמור</w:t>
      </w:r>
      <w:r w:rsidRPr="00C26AFA">
        <w:rPr>
          <w:rStyle w:val="ac"/>
          <w:rFonts w:ascii="Narkisim" w:hAnsi="Narkisim" w:cs="Narkisim"/>
          <w:rtl/>
        </w:rPr>
        <w:footnoteReference w:id="3094"/>
      </w:r>
      <w:r w:rsidRPr="00C26AFA">
        <w:rPr>
          <w:rFonts w:ascii="Narkisim" w:hAnsi="Narkisim" w:cs="Narkisim"/>
          <w:rtl/>
        </w:rPr>
        <w:t>.</w:t>
      </w:r>
    </w:p>
    <w:p w14:paraId="60FBD830" w14:textId="77777777" w:rsidR="006074A5" w:rsidRPr="00C26AFA" w:rsidRDefault="006074A5" w:rsidP="006074A5">
      <w:pPr>
        <w:bidi/>
        <w:rPr>
          <w:rFonts w:ascii="Narkisim" w:hAnsi="Narkisim" w:cs="Narkisim"/>
        </w:rPr>
      </w:pPr>
      <w:r w:rsidRPr="00C26AFA">
        <w:rPr>
          <w:rFonts w:ascii="Narkisim" w:hAnsi="Narkisim" w:cs="Narkisim"/>
          <w:u w:val="single"/>
          <w:rtl/>
        </w:rPr>
        <w:t>שם.</w:t>
      </w:r>
      <w:r w:rsidRPr="00C26AFA">
        <w:rPr>
          <w:rFonts w:ascii="Narkisim" w:hAnsi="Narkisim" w:cs="Narkisim"/>
          <w:rtl/>
        </w:rPr>
        <w:t xml:space="preserve"> ב</w:t>
      </w:r>
      <w:r w:rsidRPr="00C26AFA">
        <w:rPr>
          <w:rFonts w:ascii="Narkisim" w:hAnsi="Narkisim" w:cs="Narkisim"/>
          <w:b/>
          <w:bCs/>
          <w:rtl/>
        </w:rPr>
        <w:t>גמ</w:t>
      </w:r>
      <w:r w:rsidRPr="00C26AFA">
        <w:rPr>
          <w:rFonts w:ascii="Narkisim" w:hAnsi="Narkisim" w:cs="Narkisim"/>
          <w:rtl/>
        </w:rPr>
        <w:t xml:space="preserve">' </w:t>
      </w:r>
      <w:r w:rsidRPr="00C26AFA">
        <w:rPr>
          <w:rFonts w:ascii="Narkisim" w:hAnsi="Narkisim" w:cs="Narkisim"/>
          <w:szCs w:val="20"/>
          <w:rtl/>
        </w:rPr>
        <w:t>(קידושין יט.)</w:t>
      </w:r>
      <w:r w:rsidRPr="00C26AFA">
        <w:rPr>
          <w:rFonts w:ascii="Narkisim" w:hAnsi="Narkisim" w:cs="Narkisim"/>
          <w:rtl/>
        </w:rPr>
        <w:t xml:space="preserve"> ממעטינן אשת איש ולא אשת קטן, והגמ' העמידה בבן ט' שבא על יבמתו דמדאור' חזיא ליה וביאתו ביאה</w:t>
      </w:r>
      <w:r w:rsidRPr="00C26AFA">
        <w:rPr>
          <w:rStyle w:val="ac"/>
          <w:rFonts w:ascii="Narkisim" w:hAnsi="Narkisim" w:cs="Narkisim"/>
          <w:rtl/>
        </w:rPr>
        <w:footnoteReference w:id="3095"/>
      </w:r>
      <w:r w:rsidRPr="00C26AFA">
        <w:rPr>
          <w:rFonts w:ascii="Narkisim" w:hAnsi="Narkisim" w:cs="Narkisim"/>
          <w:rtl/>
        </w:rPr>
        <w:t>. ופ</w:t>
      </w:r>
      <w:r w:rsidRPr="00C26AFA">
        <w:rPr>
          <w:rFonts w:ascii="Narkisim" w:hAnsi="Narkisim" w:cs="Narkisim"/>
          <w:b/>
          <w:bCs/>
          <w:rtl/>
        </w:rPr>
        <w:t>רש"י</w:t>
      </w:r>
      <w:r w:rsidRPr="00C26AFA">
        <w:rPr>
          <w:rFonts w:ascii="Narkisim" w:hAnsi="Narkisim" w:cs="Narkisim"/>
          <w:rtl/>
        </w:rPr>
        <w:t xml:space="preserve"> (קידושין שם) כלומר זקוקה לו, וקנאה ליורשה (כדאמרי' בנדה מה.). ואף דמדאורי' קנאה</w:t>
      </w:r>
      <w:r w:rsidRPr="00C26AFA">
        <w:rPr>
          <w:rStyle w:val="ac"/>
          <w:rFonts w:ascii="Narkisim" w:hAnsi="Narkisim" w:cs="Narkisim"/>
          <w:rtl/>
        </w:rPr>
        <w:footnoteReference w:id="3096"/>
      </w:r>
      <w:r w:rsidRPr="00C26AFA">
        <w:rPr>
          <w:rFonts w:ascii="Narkisim" w:hAnsi="Narkisim" w:cs="Narkisim"/>
          <w:rtl/>
        </w:rPr>
        <w:t>, אלא דאישות דקטן נתמעט</w:t>
      </w:r>
      <w:r w:rsidRPr="00C26AFA">
        <w:rPr>
          <w:rStyle w:val="ac"/>
          <w:rFonts w:ascii="Narkisim" w:hAnsi="Narkisim" w:cs="Narkisim"/>
          <w:rtl/>
        </w:rPr>
        <w:footnoteReference w:id="3097"/>
      </w:r>
      <w:r w:rsidRPr="00C26AFA">
        <w:rPr>
          <w:rFonts w:ascii="Narkisim" w:hAnsi="Narkisim" w:cs="Narkisim"/>
          <w:rtl/>
        </w:rPr>
        <w:t xml:space="preserve"> מחיוב מיתה. ומדרבנן נחשב כמאמר. </w:t>
      </w:r>
      <w:r w:rsidRPr="00C26AFA">
        <w:rPr>
          <w:rFonts w:ascii="Narkisim" w:hAnsi="Narkisim" w:cs="Narkisim"/>
          <w:sz w:val="20"/>
          <w:szCs w:val="20"/>
          <w:rtl/>
        </w:rPr>
        <w:t>[וכ"כ הרשב"א (שם) בשם ה</w:t>
      </w:r>
      <w:r w:rsidRPr="00C26AFA">
        <w:rPr>
          <w:rFonts w:ascii="Narkisim" w:hAnsi="Narkisim" w:cs="Narkisim"/>
          <w:b/>
          <w:bCs/>
          <w:sz w:val="20"/>
          <w:szCs w:val="20"/>
          <w:rtl/>
        </w:rPr>
        <w:t>ראב"ד</w:t>
      </w:r>
      <w:r w:rsidRPr="00C26AFA">
        <w:rPr>
          <w:rFonts w:ascii="Narkisim" w:hAnsi="Narkisim" w:cs="Narkisim"/>
          <w:sz w:val="20"/>
          <w:szCs w:val="20"/>
          <w:rtl/>
        </w:rPr>
        <w:t>, וה</w:t>
      </w:r>
      <w:r w:rsidRPr="00C26AFA">
        <w:rPr>
          <w:rFonts w:ascii="Narkisim" w:hAnsi="Narkisim" w:cs="Narkisim"/>
          <w:b/>
          <w:bCs/>
          <w:sz w:val="20"/>
          <w:szCs w:val="20"/>
          <w:rtl/>
        </w:rPr>
        <w:t>נוב"י</w:t>
      </w:r>
      <w:r w:rsidRPr="00C26AFA">
        <w:rPr>
          <w:rFonts w:ascii="Narkisim" w:hAnsi="Narkisim" w:cs="Narkisim"/>
          <w:sz w:val="20"/>
          <w:szCs w:val="20"/>
          <w:rtl/>
        </w:rPr>
        <w:t xml:space="preserve"> (ק נד) כתב דכ"ד הרמב"ם</w:t>
      </w:r>
      <w:r w:rsidRPr="00C26AFA">
        <w:rPr>
          <w:rStyle w:val="ac"/>
          <w:rFonts w:ascii="Narkisim" w:hAnsi="Narkisim" w:cs="Narkisim"/>
          <w:sz w:val="20"/>
          <w:szCs w:val="20"/>
          <w:rtl/>
        </w:rPr>
        <w:footnoteReference w:id="3098"/>
      </w:r>
      <w:r w:rsidRPr="00C26AFA">
        <w:rPr>
          <w:rFonts w:ascii="Narkisim" w:hAnsi="Narkisim" w:cs="Narkisim"/>
          <w:sz w:val="20"/>
          <w:szCs w:val="20"/>
          <w:rtl/>
        </w:rPr>
        <w:t>].</w:t>
      </w:r>
    </w:p>
    <w:p w14:paraId="38A189F2" w14:textId="77777777" w:rsidR="006074A5" w:rsidRPr="00C26AFA" w:rsidRDefault="006074A5" w:rsidP="006074A5">
      <w:pPr>
        <w:pStyle w:val="a7"/>
        <w:bidi/>
        <w:rPr>
          <w:rFonts w:ascii="Narkisim" w:hAnsi="Narkisim"/>
        </w:rPr>
      </w:pPr>
      <w:r w:rsidRPr="00C26AFA">
        <w:rPr>
          <w:rFonts w:ascii="Narkisim" w:hAnsi="Narkisim"/>
          <w:rtl/>
        </w:rPr>
        <w:t xml:space="preserve">אבל </w:t>
      </w:r>
      <w:r w:rsidRPr="00C26AFA">
        <w:rPr>
          <w:rFonts w:ascii="Narkisim" w:hAnsi="Narkisim"/>
          <w:b/>
          <w:bCs/>
          <w:rtl/>
        </w:rPr>
        <w:t>תוס</w:t>
      </w:r>
      <w:r w:rsidRPr="00C26AFA">
        <w:rPr>
          <w:rFonts w:ascii="Narkisim" w:hAnsi="Narkisim"/>
          <w:rtl/>
        </w:rPr>
        <w:t>' (</w:t>
      </w:r>
      <w:r w:rsidRPr="00C26AFA">
        <w:rPr>
          <w:rFonts w:ascii="Narkisim" w:hAnsi="Narkisim"/>
          <w:sz w:val="20"/>
          <w:szCs w:val="20"/>
          <w:rtl/>
        </w:rPr>
        <w:t>קידושין שם, וכן לקמן נז: ד”ה וחייבין)</w:t>
      </w:r>
      <w:r w:rsidRPr="00C26AFA">
        <w:rPr>
          <w:rFonts w:ascii="Narkisim" w:hAnsi="Narkisim"/>
          <w:rtl/>
        </w:rPr>
        <w:t xml:space="preserve"> חלקו דהקטן קונה יבמתו רק מדרבנן</w:t>
      </w:r>
      <w:r w:rsidRPr="00C26AFA">
        <w:rPr>
          <w:rStyle w:val="ac"/>
          <w:rFonts w:ascii="Narkisim" w:hAnsi="Narkisim"/>
          <w:rtl/>
        </w:rPr>
        <w:footnoteReference w:id="3099"/>
      </w:r>
      <w:r w:rsidRPr="00C26AFA">
        <w:rPr>
          <w:rFonts w:ascii="Narkisim" w:hAnsi="Narkisim"/>
          <w:rtl/>
        </w:rPr>
        <w:t>. ופי' דאי לאו קרא ס"ד דקנאה מדאורייתא, וילפי' מקרא דאין אישות לקטן</w:t>
      </w:r>
      <w:r w:rsidRPr="00C26AFA">
        <w:rPr>
          <w:rStyle w:val="ac"/>
          <w:rFonts w:ascii="Narkisim" w:hAnsi="Narkisim"/>
          <w:rtl/>
        </w:rPr>
        <w:footnoteReference w:id="3100"/>
      </w:r>
      <w:r w:rsidRPr="00C26AFA">
        <w:rPr>
          <w:rFonts w:ascii="Narkisim" w:hAnsi="Narkisim"/>
          <w:rtl/>
        </w:rPr>
        <w:t xml:space="preserve">, דאינו קונה אותה אלא מדרבנן. </w:t>
      </w:r>
      <w:r w:rsidRPr="00C26AFA">
        <w:rPr>
          <w:rFonts w:ascii="Narkisim" w:hAnsi="Narkisim"/>
          <w:sz w:val="20"/>
          <w:szCs w:val="20"/>
          <w:rtl/>
        </w:rPr>
        <w:t>[וכ"ד הריטב"א כאן והרשב"א קידושין שם</w:t>
      </w:r>
      <w:r w:rsidRPr="00C26AFA">
        <w:rPr>
          <w:rStyle w:val="ac"/>
          <w:rFonts w:ascii="Narkisim" w:hAnsi="Narkisim"/>
          <w:sz w:val="20"/>
          <w:szCs w:val="20"/>
          <w:rtl/>
        </w:rPr>
        <w:footnoteReference w:id="3101"/>
      </w:r>
      <w:r w:rsidRPr="00C26AFA">
        <w:rPr>
          <w:rFonts w:ascii="Narkisim" w:hAnsi="Narkisim"/>
          <w:sz w:val="20"/>
          <w:szCs w:val="20"/>
          <w:rtl/>
        </w:rPr>
        <w:t>].</w:t>
      </w:r>
    </w:p>
    <w:p w14:paraId="2835E0F5" w14:textId="77777777" w:rsidR="006074A5" w:rsidRPr="00C26AFA" w:rsidRDefault="006074A5" w:rsidP="006074A5">
      <w:pPr>
        <w:pStyle w:val="a7"/>
        <w:bidi/>
        <w:rPr>
          <w:rFonts w:ascii="Narkisim" w:hAnsi="Narkisim"/>
        </w:rPr>
      </w:pPr>
      <w:r w:rsidRPr="00C26AFA">
        <w:rPr>
          <w:rFonts w:ascii="Narkisim" w:hAnsi="Narkisim"/>
          <w:rtl/>
        </w:rPr>
        <w:lastRenderedPageBreak/>
        <w:t>ואילו דעת רש"י דקנאה אלא דנתמעט מחיוב מיתה דאשת איש</w:t>
      </w:r>
      <w:r w:rsidRPr="00C26AFA">
        <w:rPr>
          <w:rStyle w:val="ac"/>
          <w:rFonts w:ascii="Narkisim" w:hAnsi="Narkisim"/>
          <w:rtl/>
        </w:rPr>
        <w:footnoteReference w:id="3102"/>
      </w:r>
      <w:r w:rsidRPr="00C26AFA">
        <w:rPr>
          <w:rFonts w:ascii="Narkisim" w:hAnsi="Narkisim"/>
          <w:rtl/>
        </w:rPr>
        <w:t>. וה</w:t>
      </w:r>
      <w:r w:rsidRPr="00C26AFA">
        <w:rPr>
          <w:rFonts w:ascii="Narkisim" w:hAnsi="Narkisim"/>
          <w:b/>
          <w:bCs/>
          <w:rtl/>
        </w:rPr>
        <w:t>אחרונים</w:t>
      </w:r>
      <w:r w:rsidRPr="00C26AFA">
        <w:rPr>
          <w:rFonts w:ascii="Narkisim" w:hAnsi="Narkisim"/>
          <w:sz w:val="20"/>
          <w:szCs w:val="20"/>
          <w:rtl/>
        </w:rPr>
        <w:t xml:space="preserve"> (חי' ר' שמואל טז) </w:t>
      </w:r>
      <w:r w:rsidRPr="00C26AFA">
        <w:rPr>
          <w:rFonts w:ascii="Narkisim" w:hAnsi="Narkisim"/>
          <w:rtl/>
        </w:rPr>
        <w:t>חקרו האם הוה אישות גמורה, אלא דאין חיוב מיתה</w:t>
      </w:r>
      <w:r w:rsidRPr="00C26AFA">
        <w:rPr>
          <w:rFonts w:ascii="Narkisim" w:hAnsi="Narkisim"/>
          <w:sz w:val="20"/>
          <w:szCs w:val="20"/>
          <w:rtl/>
        </w:rPr>
        <w:t xml:space="preserve"> [וכ”כ ה</w:t>
      </w:r>
      <w:r w:rsidRPr="00C26AFA">
        <w:rPr>
          <w:rFonts w:ascii="Narkisim" w:hAnsi="Narkisim"/>
          <w:b/>
          <w:bCs/>
          <w:sz w:val="20"/>
          <w:szCs w:val="20"/>
          <w:rtl/>
        </w:rPr>
        <w:t>נוב”י</w:t>
      </w:r>
      <w:r w:rsidRPr="00C26AFA">
        <w:rPr>
          <w:rFonts w:ascii="Narkisim" w:hAnsi="Narkisim"/>
          <w:sz w:val="20"/>
          <w:szCs w:val="20"/>
          <w:rtl/>
        </w:rPr>
        <w:t xml:space="preserve"> (אה”ע ת' נד) דכשגדל חייבין עליה, דהשתא הו”ל אשת גדול]</w:t>
      </w:r>
      <w:r w:rsidRPr="00C26AFA">
        <w:rPr>
          <w:rFonts w:ascii="Narkisim" w:hAnsi="Narkisim"/>
          <w:rtl/>
        </w:rPr>
        <w:t>, או דנתחדש מגזיה"כ דקטן אין לו אישות שלם</w:t>
      </w:r>
      <w:r w:rsidRPr="00C26AFA">
        <w:rPr>
          <w:rFonts w:ascii="Narkisim" w:hAnsi="Narkisim"/>
          <w:sz w:val="20"/>
          <w:szCs w:val="20"/>
          <w:rtl/>
        </w:rPr>
        <w:t xml:space="preserve"> [והביא שכ"כ ה</w:t>
      </w:r>
      <w:r w:rsidRPr="00C26AFA">
        <w:rPr>
          <w:rFonts w:ascii="Narkisim" w:hAnsi="Narkisim"/>
          <w:b/>
          <w:bCs/>
          <w:sz w:val="20"/>
          <w:szCs w:val="20"/>
          <w:rtl/>
        </w:rPr>
        <w:t xml:space="preserve">או"ז </w:t>
      </w:r>
      <w:r w:rsidRPr="00C26AFA">
        <w:rPr>
          <w:rFonts w:ascii="Narkisim" w:hAnsi="Narkisim"/>
          <w:sz w:val="20"/>
          <w:szCs w:val="20"/>
          <w:rtl/>
        </w:rPr>
        <w:t>דלא נגמר האישות].</w:t>
      </w:r>
    </w:p>
    <w:p w14:paraId="3603DAE4"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מנח"ח</w:t>
      </w:r>
      <w:r w:rsidRPr="00C26AFA">
        <w:rPr>
          <w:rFonts w:ascii="Narkisim" w:hAnsi="Narkisim"/>
          <w:sz w:val="20"/>
          <w:szCs w:val="20"/>
          <w:rtl/>
        </w:rPr>
        <w:t xml:space="preserve"> (קצא ג)</w:t>
      </w:r>
      <w:r w:rsidRPr="00C26AFA">
        <w:rPr>
          <w:rFonts w:ascii="Narkisim" w:hAnsi="Narkisim"/>
          <w:rtl/>
        </w:rPr>
        <w:t xml:space="preserve"> נקט דהיכא דייבם בקטנותו ואח"כ גדלה לא אמרי' דגדלי בהדה, ואינה אשת איש לחיוב מיתה עד שיבעל</w:t>
      </w:r>
      <w:r w:rsidRPr="00C26AFA">
        <w:rPr>
          <w:rStyle w:val="ac"/>
          <w:rFonts w:ascii="Narkisim" w:hAnsi="Narkisim"/>
          <w:rtl/>
        </w:rPr>
        <w:footnoteReference w:id="3103"/>
      </w:r>
      <w:r w:rsidRPr="00C26AFA">
        <w:rPr>
          <w:rFonts w:ascii="Narkisim" w:hAnsi="Narkisim"/>
          <w:rtl/>
        </w:rPr>
        <w:t xml:space="preserve">. </w:t>
      </w:r>
      <w:r w:rsidRPr="00C26AFA">
        <w:rPr>
          <w:rFonts w:ascii="Narkisim" w:hAnsi="Narkisim"/>
          <w:sz w:val="20"/>
          <w:szCs w:val="20"/>
          <w:rtl/>
        </w:rPr>
        <w:t>[וב</w:t>
      </w:r>
      <w:r w:rsidRPr="00C26AFA">
        <w:rPr>
          <w:rFonts w:ascii="Narkisim" w:hAnsi="Narkisim"/>
          <w:b/>
          <w:bCs/>
          <w:sz w:val="20"/>
          <w:szCs w:val="20"/>
          <w:rtl/>
        </w:rPr>
        <w:t>חי' ר' שמואל</w:t>
      </w:r>
      <w:r w:rsidRPr="00C26AFA">
        <w:rPr>
          <w:rFonts w:ascii="Narkisim" w:hAnsi="Narkisim"/>
          <w:sz w:val="20"/>
          <w:szCs w:val="20"/>
          <w:rtl/>
        </w:rPr>
        <w:t xml:space="preserve"> דן האם הוה חסרון ב'קנין', או דהקטן הוה בעלים על אישות אחיו, ואינה נחשבת אשתו דקטן</w:t>
      </w:r>
      <w:r w:rsidRPr="00C26AFA">
        <w:rPr>
          <w:rStyle w:val="ac"/>
          <w:rFonts w:ascii="Narkisim" w:hAnsi="Narkisim"/>
          <w:sz w:val="20"/>
          <w:szCs w:val="20"/>
          <w:rtl/>
        </w:rPr>
        <w:footnoteReference w:id="3104"/>
      </w:r>
      <w:r w:rsidRPr="00C26AFA">
        <w:rPr>
          <w:rFonts w:ascii="Narkisim" w:hAnsi="Narkisim"/>
          <w:sz w:val="20"/>
          <w:szCs w:val="20"/>
          <w:rtl/>
        </w:rPr>
        <w:t>].</w:t>
      </w:r>
    </w:p>
    <w:p w14:paraId="4CF12608"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w:t>
      </w:r>
      <w:r w:rsidRPr="00C26AFA">
        <w:rPr>
          <w:rFonts w:ascii="Narkisim" w:eastAsia="Narkisim" w:hAnsi="Narkisim"/>
          <w:rtl/>
          <w:lang w:val="he-IL"/>
        </w:rPr>
        <w:t>(לקמן צו.) כת' [הכרעה שלישית] דקני מדאורייתא לכל דבר של יבום, ודינו כביאת שוגג (לקמן נו.) דקנה לדברים הכתובים בפרשה. ומדרבנן עשוה לגמרי כמאמר.</w:t>
      </w:r>
    </w:p>
    <w:p w14:paraId="5A4CEC81" w14:textId="77777777" w:rsidR="006074A5" w:rsidRPr="00C26AFA" w:rsidRDefault="006074A5" w:rsidP="006074A5">
      <w:pPr>
        <w:bidi/>
        <w:rPr>
          <w:rFonts w:ascii="Narkisim" w:hAnsi="Narkisim" w:cs="Narkisim"/>
        </w:rPr>
      </w:pPr>
      <w:r w:rsidRPr="00C26AFA">
        <w:rPr>
          <w:rFonts w:ascii="Narkisim" w:hAnsi="Narkisim" w:cs="Narkisim"/>
          <w:u w:val="single"/>
          <w:rtl/>
        </w:rPr>
        <w:t>רש"י ד"ה ביאת ב' אינה ביאה.</w:t>
      </w:r>
      <w:r w:rsidRPr="00C26AFA">
        <w:rPr>
          <w:rFonts w:ascii="Narkisim" w:hAnsi="Narkisim" w:cs="Narkisim"/>
          <w:rtl/>
        </w:rPr>
        <w:t xml:space="preserve"> ואי משום דזינתה וכו' אפ"ה לא מיתסרא על בעלה, אלא על עסקי קינוי וסתירה. ו</w:t>
      </w:r>
      <w:r w:rsidRPr="00C26AFA">
        <w:rPr>
          <w:rFonts w:ascii="Narkisim" w:hAnsi="Narkisim" w:cs="Narkisim"/>
          <w:b/>
          <w:bCs/>
          <w:rtl/>
        </w:rPr>
        <w:t>תוס</w:t>
      </w:r>
      <w:r w:rsidRPr="00C26AFA">
        <w:rPr>
          <w:rFonts w:ascii="Narkisim" w:hAnsi="Narkisim" w:cs="Narkisim"/>
          <w:rtl/>
        </w:rPr>
        <w:t>' (ד"ה אי) וה</w:t>
      </w:r>
      <w:r w:rsidRPr="00C26AFA">
        <w:rPr>
          <w:rFonts w:ascii="Narkisim" w:hAnsi="Narkisim" w:cs="Narkisim"/>
          <w:b/>
          <w:bCs/>
          <w:rtl/>
        </w:rPr>
        <w:t>ראשונים</w:t>
      </w:r>
      <w:r w:rsidRPr="00C26AFA">
        <w:rPr>
          <w:rFonts w:ascii="Narkisim" w:hAnsi="Narkisim" w:cs="Narkisim"/>
          <w:rtl/>
        </w:rPr>
        <w:t xml:space="preserve"> תמהו דמבואר (כתובות ט.) דפשיטא דנאסרת ע"י עדי זנות [בלא קינוי וסתירה], וכן פתח פתוח כעדים</w:t>
      </w:r>
      <w:r w:rsidRPr="00C26AFA">
        <w:rPr>
          <w:rStyle w:val="ac"/>
          <w:rFonts w:ascii="Narkisim" w:hAnsi="Narkisim" w:cs="Narkisim"/>
          <w:rtl/>
        </w:rPr>
        <w:footnoteReference w:id="3105"/>
      </w:r>
      <w:r w:rsidRPr="00C26AFA">
        <w:rPr>
          <w:rFonts w:ascii="Narkisim" w:hAnsi="Narkisim" w:cs="Narkisim"/>
          <w:rtl/>
        </w:rPr>
        <w:t>. וה</w:t>
      </w:r>
      <w:r w:rsidRPr="00C26AFA">
        <w:rPr>
          <w:rFonts w:ascii="Narkisim" w:hAnsi="Narkisim" w:cs="Narkisim"/>
          <w:b/>
          <w:bCs/>
          <w:rtl/>
        </w:rPr>
        <w:t>תוס' הרא"ש</w:t>
      </w:r>
      <w:r w:rsidRPr="00C26AFA">
        <w:rPr>
          <w:rFonts w:ascii="Narkisim" w:hAnsi="Narkisim" w:cs="Narkisim"/>
          <w:rtl/>
        </w:rPr>
        <w:t xml:space="preserve"> הוסיף דביאת יבום בעי עדים. </w:t>
      </w:r>
      <w:r w:rsidRPr="00C26AFA">
        <w:rPr>
          <w:rFonts w:ascii="Narkisim" w:hAnsi="Narkisim" w:cs="Narkisim"/>
          <w:sz w:val="20"/>
          <w:szCs w:val="20"/>
          <w:rtl/>
        </w:rPr>
        <w:t>[ונחלקו בזה הראשונים, ע”ע לקמן נב.].</w:t>
      </w:r>
      <w:r w:rsidRPr="00C26AFA">
        <w:rPr>
          <w:rFonts w:ascii="Narkisim" w:hAnsi="Narkisim" w:cs="Narkisim"/>
          <w:rtl/>
        </w:rPr>
        <w:t xml:space="preserve"> </w:t>
      </w:r>
      <w:r w:rsidRPr="00C26AFA">
        <w:rPr>
          <w:rFonts w:ascii="Narkisim" w:hAnsi="Narkisim" w:cs="Narkisim"/>
          <w:sz w:val="20"/>
          <w:szCs w:val="20"/>
          <w:rtl/>
        </w:rPr>
        <w:t>אבל ה</w:t>
      </w:r>
      <w:r w:rsidRPr="00C26AFA">
        <w:rPr>
          <w:rFonts w:ascii="Narkisim" w:hAnsi="Narkisim" w:cs="Narkisim"/>
          <w:b/>
          <w:bCs/>
          <w:sz w:val="20"/>
          <w:szCs w:val="20"/>
          <w:rtl/>
        </w:rPr>
        <w:t>קר"א</w:t>
      </w:r>
      <w:r w:rsidRPr="00C26AFA">
        <w:rPr>
          <w:rFonts w:ascii="Narkisim" w:hAnsi="Narkisim" w:cs="Narkisim"/>
          <w:sz w:val="20"/>
          <w:szCs w:val="20"/>
          <w:rtl/>
        </w:rPr>
        <w:t xml:space="preserve"> כת' דליבום סגי בעדי יחוד</w:t>
      </w:r>
      <w:r w:rsidRPr="00C26AFA">
        <w:rPr>
          <w:rStyle w:val="ac"/>
          <w:rFonts w:ascii="Narkisim" w:hAnsi="Narkisim" w:cs="Narkisim"/>
          <w:sz w:val="20"/>
          <w:szCs w:val="20"/>
          <w:rtl/>
        </w:rPr>
        <w:footnoteReference w:id="3106"/>
      </w:r>
      <w:r w:rsidRPr="00C26AFA">
        <w:rPr>
          <w:rFonts w:ascii="Narkisim" w:hAnsi="Narkisim" w:cs="Narkisim"/>
          <w:sz w:val="20"/>
          <w:szCs w:val="20"/>
          <w:rtl/>
        </w:rPr>
        <w:t>, אבל לא נאסרת על בעלה אא”כ יש עדי ביאה ממש.</w:t>
      </w:r>
    </w:p>
    <w:p w14:paraId="5419E468"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ושא"ר הביאו ד</w:t>
      </w:r>
      <w:r w:rsidRPr="00C26AFA">
        <w:rPr>
          <w:rFonts w:ascii="Narkisim" w:hAnsi="Narkisim"/>
          <w:b/>
          <w:bCs/>
          <w:rtl/>
        </w:rPr>
        <w:t>רש"י</w:t>
      </w:r>
      <w:r w:rsidRPr="00C26AFA">
        <w:rPr>
          <w:rFonts w:ascii="Narkisim" w:hAnsi="Narkisim"/>
          <w:rtl/>
        </w:rPr>
        <w:t xml:space="preserve"> </w:t>
      </w:r>
      <w:r w:rsidRPr="00C26AFA">
        <w:rPr>
          <w:rFonts w:ascii="Narkisim" w:hAnsi="Narkisim"/>
          <w:szCs w:val="20"/>
          <w:rtl/>
        </w:rPr>
        <w:t>(לקמן צו: ד”ה ור' שמעון)</w:t>
      </w:r>
      <w:r w:rsidRPr="00C26AFA">
        <w:rPr>
          <w:rFonts w:ascii="Narkisim" w:hAnsi="Narkisim"/>
          <w:rtl/>
        </w:rPr>
        <w:t xml:space="preserve"> חזר בו, וכתב דאיירי שהיתה שוגגת, ומש”ה אינה נאסרת. (וכמ"ש תוס').</w:t>
      </w:r>
    </w:p>
    <w:p w14:paraId="005C57EE" w14:textId="77777777" w:rsidR="006074A5" w:rsidRPr="00C26AFA" w:rsidRDefault="006074A5" w:rsidP="006074A5">
      <w:pPr>
        <w:bidi/>
        <w:rPr>
          <w:rFonts w:ascii="Narkisim" w:hAnsi="Narkisim" w:cs="Narkisim"/>
        </w:rPr>
      </w:pPr>
      <w:r w:rsidRPr="00C26AFA">
        <w:rPr>
          <w:rFonts w:ascii="Narkisim" w:hAnsi="Narkisim" w:cs="Narkisim"/>
          <w:u w:val="single"/>
          <w:rtl/>
        </w:rPr>
        <w:t>תוד"ה אי.</w:t>
      </w:r>
      <w:r w:rsidRPr="00C26AFA">
        <w:rPr>
          <w:rFonts w:ascii="Narkisim" w:hAnsi="Narkisim" w:cs="Narkisim"/>
          <w:rtl/>
        </w:rPr>
        <w:t xml:space="preserve"> ואי"ל דהני נישואין דרבנן לא חשו לאוסרה, דכל דתקון רבנן וכו'. אבל ה</w:t>
      </w:r>
      <w:r w:rsidRPr="00C26AFA">
        <w:rPr>
          <w:rFonts w:ascii="Narkisim" w:hAnsi="Narkisim" w:cs="Narkisim"/>
          <w:b/>
          <w:bCs/>
          <w:rtl/>
        </w:rPr>
        <w:t>רמב"ם</w:t>
      </w:r>
      <w:r w:rsidRPr="00C26AFA">
        <w:rPr>
          <w:rFonts w:ascii="Narkisim" w:hAnsi="Narkisim" w:cs="Narkisim"/>
          <w:sz w:val="20"/>
          <w:szCs w:val="20"/>
          <w:rtl/>
        </w:rPr>
        <w:t xml:space="preserve"> (איסו"ב ג ב)</w:t>
      </w:r>
      <w:r w:rsidRPr="00C26AFA">
        <w:rPr>
          <w:rFonts w:ascii="Narkisim" w:hAnsi="Narkisim" w:cs="Narkisim"/>
          <w:rtl/>
        </w:rPr>
        <w:t xml:space="preserve"> כת' דבקידושי מיאון כשזינתה אינה נאסרת </w:t>
      </w:r>
      <w:r w:rsidRPr="00C26AFA">
        <w:rPr>
          <w:rFonts w:ascii="Narkisim" w:hAnsi="Narkisim" w:cs="Narkisim"/>
          <w:sz w:val="20"/>
          <w:szCs w:val="20"/>
          <w:rtl/>
        </w:rPr>
        <w:t xml:space="preserve">[אף מדרבנן] </w:t>
      </w:r>
      <w:r w:rsidRPr="00C26AFA">
        <w:rPr>
          <w:rFonts w:ascii="Narkisim" w:hAnsi="Narkisim" w:cs="Narkisim"/>
          <w:rtl/>
        </w:rPr>
        <w:t>משום סוטה</w:t>
      </w:r>
      <w:r w:rsidRPr="00C26AFA">
        <w:rPr>
          <w:rStyle w:val="ac"/>
          <w:rFonts w:ascii="Narkisim" w:hAnsi="Narkisim" w:cs="Narkisim"/>
          <w:rtl/>
        </w:rPr>
        <w:footnoteReference w:id="3107"/>
      </w:r>
      <w:r w:rsidRPr="00C26AFA">
        <w:rPr>
          <w:rFonts w:ascii="Narkisim" w:hAnsi="Narkisim" w:cs="Narkisim"/>
          <w:rtl/>
        </w:rPr>
        <w:t xml:space="preserve"> </w:t>
      </w:r>
      <w:r w:rsidRPr="00C26AFA">
        <w:rPr>
          <w:rFonts w:ascii="Narkisim" w:hAnsi="Narkisim" w:cs="Narkisim"/>
          <w:sz w:val="20"/>
          <w:szCs w:val="20"/>
          <w:rtl/>
        </w:rPr>
        <w:t>(ולא אמרי' כעין דאורייתא תקון)</w:t>
      </w:r>
      <w:r w:rsidRPr="00C26AFA">
        <w:rPr>
          <w:rStyle w:val="ac"/>
          <w:rFonts w:ascii="Narkisim" w:hAnsi="Narkisim" w:cs="Narkisim"/>
          <w:sz w:val="20"/>
          <w:szCs w:val="20"/>
          <w:rtl/>
        </w:rPr>
        <w:footnoteReference w:id="3108"/>
      </w:r>
      <w:r w:rsidRPr="00C26AFA">
        <w:rPr>
          <w:rFonts w:ascii="Narkisim" w:hAnsi="Narkisim" w:cs="Narkisim"/>
          <w:sz w:val="20"/>
          <w:szCs w:val="20"/>
          <w:rtl/>
        </w:rPr>
        <w:t>. ועוד דנו ה</w:t>
      </w:r>
      <w:r w:rsidRPr="00C26AFA">
        <w:rPr>
          <w:rFonts w:ascii="Narkisim" w:hAnsi="Narkisim" w:cs="Narkisim"/>
          <w:b/>
          <w:bCs/>
          <w:sz w:val="20"/>
          <w:szCs w:val="20"/>
          <w:rtl/>
        </w:rPr>
        <w:t>אחרונים</w:t>
      </w:r>
      <w:r w:rsidRPr="00C26AFA">
        <w:rPr>
          <w:rFonts w:ascii="Narkisim" w:hAnsi="Narkisim" w:cs="Narkisim"/>
          <w:sz w:val="20"/>
          <w:szCs w:val="20"/>
          <w:rtl/>
        </w:rPr>
        <w:t xml:space="preserve"> די"ל דאיסור סוטה תליא בחיוב מיתה.</w:t>
      </w:r>
    </w:p>
    <w:p w14:paraId="71A5F962"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הביא בשם ה</w:t>
      </w:r>
      <w:r w:rsidRPr="00C26AFA">
        <w:rPr>
          <w:rFonts w:ascii="Narkisim" w:hAnsi="Narkisim"/>
          <w:b/>
          <w:bCs/>
          <w:rtl/>
        </w:rPr>
        <w:t>ר"א אב"ד</w:t>
      </w:r>
      <w:r w:rsidRPr="00C26AFA">
        <w:rPr>
          <w:rFonts w:ascii="Narkisim" w:hAnsi="Narkisim"/>
          <w:rtl/>
        </w:rPr>
        <w:t xml:space="preserve"> דיבם קטן אין דינה כא"א גמורה</w:t>
      </w:r>
      <w:r w:rsidRPr="00C26AFA">
        <w:rPr>
          <w:rFonts w:ascii="Narkisim" w:hAnsi="Narkisim"/>
          <w:sz w:val="20"/>
          <w:szCs w:val="20"/>
          <w:rtl/>
        </w:rPr>
        <w:t xml:space="preserve"> [ולא מתסרה בזנות]. </w:t>
      </w:r>
      <w:r w:rsidRPr="00C26AFA">
        <w:rPr>
          <w:rFonts w:ascii="Narkisim" w:hAnsi="Narkisim"/>
          <w:rtl/>
        </w:rPr>
        <w:t>וה</w:t>
      </w:r>
      <w:r w:rsidRPr="00C26AFA">
        <w:rPr>
          <w:rFonts w:ascii="Narkisim" w:hAnsi="Narkisim"/>
          <w:b/>
          <w:bCs/>
          <w:rtl/>
        </w:rPr>
        <w:t>רמב"ן</w:t>
      </w:r>
      <w:r w:rsidRPr="00C26AFA">
        <w:rPr>
          <w:rFonts w:ascii="Narkisim" w:hAnsi="Narkisim"/>
          <w:rtl/>
        </w:rPr>
        <w:t xml:space="preserve"> חלק דלדעת רב</w:t>
      </w:r>
      <w:r w:rsidRPr="00C26AFA">
        <w:rPr>
          <w:rFonts w:ascii="Narkisim" w:hAnsi="Narkisim"/>
          <w:sz w:val="20"/>
          <w:szCs w:val="20"/>
          <w:rtl/>
        </w:rPr>
        <w:t xml:space="preserve"> (נו.)</w:t>
      </w:r>
      <w:r w:rsidRPr="00C26AFA">
        <w:rPr>
          <w:rFonts w:ascii="Narkisim" w:hAnsi="Narkisim"/>
          <w:rtl/>
        </w:rPr>
        <w:t xml:space="preserve"> ביאת שוגג קנה לכל, וא"כ קטן נמי ליקני לכל</w:t>
      </w:r>
      <w:r w:rsidRPr="00C26AFA">
        <w:rPr>
          <w:rStyle w:val="ac"/>
          <w:rFonts w:ascii="Narkisim" w:hAnsi="Narkisim"/>
          <w:rtl/>
        </w:rPr>
        <w:footnoteReference w:id="3109"/>
      </w:r>
      <w:r w:rsidRPr="00C26AFA">
        <w:rPr>
          <w:rFonts w:ascii="Narkisim" w:hAnsi="Narkisim"/>
          <w:rtl/>
        </w:rPr>
        <w:t xml:space="preserve">. </w:t>
      </w:r>
      <w:r w:rsidRPr="00C26AFA">
        <w:rPr>
          <w:rFonts w:ascii="Narkisim" w:hAnsi="Narkisim"/>
          <w:sz w:val="20"/>
          <w:szCs w:val="20"/>
          <w:rtl/>
        </w:rPr>
        <w:t>וב</w:t>
      </w:r>
      <w:r w:rsidRPr="00C26AFA">
        <w:rPr>
          <w:rFonts w:ascii="Narkisim" w:hAnsi="Narkisim"/>
          <w:b/>
          <w:bCs/>
          <w:sz w:val="20"/>
          <w:szCs w:val="20"/>
          <w:rtl/>
        </w:rPr>
        <w:t>ברכ"ש</w:t>
      </w:r>
      <w:r w:rsidRPr="00C26AFA">
        <w:rPr>
          <w:rFonts w:ascii="Narkisim" w:hAnsi="Narkisim"/>
          <w:sz w:val="20"/>
          <w:szCs w:val="20"/>
          <w:rtl/>
        </w:rPr>
        <w:t xml:space="preserve"> (ט ב) ביאר דסברת הר"א אב"ד דגדר המיעוט דלא נגמרה האישות, ועדיין היא בתורת יבמה.</w:t>
      </w:r>
      <w:r w:rsidRPr="00C26AFA">
        <w:rPr>
          <w:rFonts w:ascii="Narkisim" w:hAnsi="Narkisim"/>
          <w:rtl/>
        </w:rPr>
        <w:t xml:space="preserve"> </w:t>
      </w:r>
      <w:r w:rsidRPr="00C26AFA">
        <w:rPr>
          <w:rFonts w:ascii="Narkisim" w:hAnsi="Narkisim"/>
          <w:sz w:val="20"/>
          <w:szCs w:val="20"/>
          <w:rtl/>
        </w:rPr>
        <w:t>אבל הרמב"ן ס"ל דנגמרה האישות אלא דיש מיעוט מחיוב מיתה.</w:t>
      </w:r>
    </w:p>
    <w:p w14:paraId="075D2017"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אחרונים</w:t>
      </w:r>
      <w:r w:rsidRPr="00C26AFA">
        <w:rPr>
          <w:rStyle w:val="ac"/>
          <w:rFonts w:ascii="Narkisim" w:hAnsi="Narkisim"/>
          <w:rtl/>
        </w:rPr>
        <w:footnoteReference w:id="3110"/>
      </w:r>
      <w:r w:rsidRPr="00C26AFA">
        <w:rPr>
          <w:rFonts w:ascii="Narkisim" w:hAnsi="Narkisim"/>
          <w:rtl/>
        </w:rPr>
        <w:t xml:space="preserve"> תי' </w:t>
      </w:r>
      <w:r w:rsidRPr="00C26AFA">
        <w:rPr>
          <w:rFonts w:ascii="Narkisim" w:hAnsi="Narkisim"/>
          <w:szCs w:val="20"/>
          <w:rtl/>
        </w:rPr>
        <w:t>(דעת רש"י)</w:t>
      </w:r>
      <w:r w:rsidRPr="00C26AFA">
        <w:rPr>
          <w:rFonts w:ascii="Narkisim" w:hAnsi="Narkisim"/>
          <w:rtl/>
        </w:rPr>
        <w:t xml:space="preserve"> ע"פ מש"כ ה</w:t>
      </w:r>
      <w:r w:rsidRPr="00C26AFA">
        <w:rPr>
          <w:rFonts w:ascii="Narkisim" w:hAnsi="Narkisim"/>
          <w:b/>
          <w:bCs/>
          <w:rtl/>
        </w:rPr>
        <w:t>בית הלוי</w:t>
      </w:r>
      <w:r w:rsidRPr="00C26AFA">
        <w:rPr>
          <w:rFonts w:ascii="Narkisim" w:hAnsi="Narkisim"/>
          <w:rtl/>
        </w:rPr>
        <w:t xml:space="preserve"> (ב מ) בדעת הרמב"ם דאף דקי"ל דשומרת יבם שזינתה אינה נאסרת על היבם</w:t>
      </w:r>
      <w:r w:rsidRPr="00C26AFA">
        <w:rPr>
          <w:rFonts w:ascii="Narkisim" w:hAnsi="Narkisim"/>
          <w:sz w:val="20"/>
          <w:szCs w:val="20"/>
          <w:rtl/>
        </w:rPr>
        <w:t xml:space="preserve"> [דלא קי"ל כרב המנונא או כר' עקיבא]</w:t>
      </w:r>
      <w:r w:rsidRPr="00C26AFA">
        <w:rPr>
          <w:rFonts w:ascii="Narkisim" w:hAnsi="Narkisim"/>
          <w:rtl/>
        </w:rPr>
        <w:t xml:space="preserve">, מ"מ היכא דהוה ע"י קינוי וסתירה נאסרת. </w:t>
      </w:r>
      <w:r w:rsidRPr="00C26AFA">
        <w:rPr>
          <w:rFonts w:ascii="Narkisim" w:hAnsi="Narkisim"/>
          <w:sz w:val="20"/>
          <w:szCs w:val="20"/>
          <w:rtl/>
        </w:rPr>
        <w:t>[וכ"כ ה</w:t>
      </w:r>
      <w:r w:rsidRPr="00C26AFA">
        <w:rPr>
          <w:rFonts w:ascii="Narkisim" w:hAnsi="Narkisim"/>
          <w:b/>
          <w:bCs/>
          <w:sz w:val="20"/>
          <w:szCs w:val="20"/>
          <w:rtl/>
        </w:rPr>
        <w:t>מאירי</w:t>
      </w:r>
      <w:r w:rsidRPr="00C26AFA">
        <w:rPr>
          <w:rFonts w:ascii="Narkisim" w:hAnsi="Narkisim"/>
          <w:sz w:val="20"/>
          <w:szCs w:val="20"/>
          <w:rtl/>
        </w:rPr>
        <w:t xml:space="preserve"> (סוטה כג:)</w:t>
      </w:r>
      <w:r w:rsidRPr="00C26AFA">
        <w:rPr>
          <w:rStyle w:val="ac"/>
          <w:rFonts w:ascii="Narkisim" w:hAnsi="Narkisim"/>
          <w:sz w:val="20"/>
          <w:szCs w:val="20"/>
          <w:rtl/>
        </w:rPr>
        <w:footnoteReference w:id="3111"/>
      </w:r>
      <w:r w:rsidRPr="00C26AFA">
        <w:rPr>
          <w:rFonts w:ascii="Narkisim" w:hAnsi="Narkisim"/>
          <w:sz w:val="20"/>
          <w:szCs w:val="20"/>
          <w:rtl/>
        </w:rPr>
        <w:t xml:space="preserve">, אבל </w:t>
      </w:r>
      <w:r w:rsidRPr="00C26AFA">
        <w:rPr>
          <w:rFonts w:ascii="Narkisim" w:hAnsi="Narkisim"/>
          <w:b/>
          <w:bCs/>
          <w:sz w:val="20"/>
          <w:szCs w:val="20"/>
          <w:rtl/>
        </w:rPr>
        <w:t>תוס</w:t>
      </w:r>
      <w:r w:rsidRPr="00C26AFA">
        <w:rPr>
          <w:rFonts w:ascii="Narkisim" w:hAnsi="Narkisim"/>
          <w:sz w:val="20"/>
          <w:szCs w:val="20"/>
          <w:rtl/>
        </w:rPr>
        <w:t>' (סוטה כג:) העמידו את המשנה כר' המנונא או ר"ע].</w:t>
      </w:r>
      <w:r w:rsidRPr="00C26AFA">
        <w:rPr>
          <w:rFonts w:ascii="Narkisim" w:hAnsi="Narkisim"/>
          <w:rtl/>
        </w:rPr>
        <w:t xml:space="preserve"> וע"פ הא דמבואר </w:t>
      </w:r>
      <w:r w:rsidRPr="00C26AFA">
        <w:rPr>
          <w:rFonts w:ascii="Narkisim" w:hAnsi="Narkisim"/>
          <w:szCs w:val="20"/>
          <w:rtl/>
        </w:rPr>
        <w:t>(סוטה כו:)</w:t>
      </w:r>
      <w:r w:rsidRPr="00C26AFA">
        <w:rPr>
          <w:rFonts w:ascii="Narkisim" w:hAnsi="Narkisim"/>
          <w:rtl/>
        </w:rPr>
        <w:t xml:space="preserve"> דע"י קינוי וסתירה נאסרת על בעלה אף באופן דאין חיוב על עצם הזנות </w:t>
      </w:r>
      <w:r w:rsidRPr="00C26AFA">
        <w:rPr>
          <w:rFonts w:ascii="Narkisim" w:hAnsi="Narkisim"/>
          <w:szCs w:val="20"/>
          <w:rtl/>
        </w:rPr>
        <w:t>[כגון משמש מת, ע' לקמן נה:]</w:t>
      </w:r>
      <w:r w:rsidRPr="00C26AFA">
        <w:rPr>
          <w:rFonts w:ascii="Narkisim" w:hAnsi="Narkisim"/>
          <w:rtl/>
        </w:rPr>
        <w:t>, דנחשב עי"ז בגידה בבעל.</w:t>
      </w:r>
    </w:p>
    <w:p w14:paraId="1AA4BB0B"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 xml:space="preserve">ערול"נ </w:t>
      </w:r>
      <w:r w:rsidRPr="00C26AFA">
        <w:rPr>
          <w:rFonts w:ascii="Narkisim" w:hAnsi="Narkisim"/>
          <w:rtl/>
        </w:rPr>
        <w:t>כת' ליישב דלרש"י אינה נאסרת ע"י ביאת בן ט' (וע' פור”י). וה</w:t>
      </w:r>
      <w:r w:rsidRPr="00C26AFA">
        <w:rPr>
          <w:rFonts w:ascii="Narkisim" w:hAnsi="Narkisim"/>
          <w:b/>
          <w:bCs/>
          <w:rtl/>
        </w:rPr>
        <w:t>חזו"א</w:t>
      </w:r>
      <w:r w:rsidRPr="00C26AFA">
        <w:rPr>
          <w:rFonts w:ascii="Narkisim" w:hAnsi="Narkisim"/>
          <w:rtl/>
        </w:rPr>
        <w:t xml:space="preserve"> (קלב ה וז) </w:t>
      </w:r>
      <w:r w:rsidRPr="00C26AFA">
        <w:rPr>
          <w:rFonts w:ascii="Narkisim" w:hAnsi="Narkisim"/>
          <w:rtl/>
        </w:rPr>
        <w:lastRenderedPageBreak/>
        <w:t>דן דכיון דזקוקה אף לאח, בא עליה מחמת הצד המשוייר, ולכן אינו נעשה סוטה</w:t>
      </w:r>
      <w:r w:rsidRPr="00C26AFA">
        <w:rPr>
          <w:rStyle w:val="ac"/>
          <w:rFonts w:ascii="Narkisim" w:hAnsi="Narkisim"/>
          <w:rtl/>
        </w:rPr>
        <w:footnoteReference w:id="3112"/>
      </w:r>
      <w:r w:rsidRPr="00C26AFA">
        <w:rPr>
          <w:rFonts w:ascii="Narkisim" w:hAnsi="Narkisim"/>
          <w:rtl/>
        </w:rPr>
        <w:t>. ושוב הקשה ע"ז מתוס' דידן.</w:t>
      </w:r>
    </w:p>
    <w:p w14:paraId="3CA860AD" w14:textId="77777777" w:rsidR="006074A5" w:rsidRPr="00C26AFA" w:rsidRDefault="006074A5" w:rsidP="006074A5">
      <w:pPr>
        <w:bidi/>
        <w:rPr>
          <w:rFonts w:ascii="Narkisim" w:hAnsi="Narkisim" w:cs="Narkisim"/>
        </w:rPr>
      </w:pPr>
      <w:r w:rsidRPr="00C26AFA">
        <w:rPr>
          <w:rFonts w:ascii="Narkisim" w:hAnsi="Narkisim" w:cs="Narkisim"/>
          <w:u w:val="single"/>
          <w:rtl/>
        </w:rPr>
        <w:t>בא"ד ועוד דתיתסר משום דרב המנונא דאמר שומר”י שזינתה אסורה.</w:t>
      </w:r>
      <w:r w:rsidRPr="00C26AFA">
        <w:rPr>
          <w:rFonts w:ascii="Narkisim" w:hAnsi="Narkisim" w:cs="Narkisim"/>
          <w:rtl/>
        </w:rPr>
        <w:t xml:space="preserve"> וה</w:t>
      </w:r>
      <w:r w:rsidRPr="00C26AFA">
        <w:rPr>
          <w:rFonts w:ascii="Narkisim" w:hAnsi="Narkisim" w:cs="Narkisim"/>
          <w:b/>
          <w:bCs/>
          <w:rtl/>
        </w:rPr>
        <w:t>תוס' הרא"ש</w:t>
      </w:r>
      <w:r w:rsidRPr="00C26AFA">
        <w:rPr>
          <w:rFonts w:ascii="Narkisim" w:hAnsi="Narkisim" w:cs="Narkisim"/>
          <w:rtl/>
        </w:rPr>
        <w:t xml:space="preserve"> הוסיף דנהי דאינה חשובה ביאה לקנות, חשובה ביאה לפסול. דהוה כנבעלה לאחר בזנות. וה</w:t>
      </w:r>
      <w:r w:rsidRPr="00C26AFA">
        <w:rPr>
          <w:rFonts w:ascii="Narkisim" w:hAnsi="Narkisim" w:cs="Narkisim"/>
          <w:b/>
          <w:bCs/>
          <w:rtl/>
        </w:rPr>
        <w:t>רש"ש</w:t>
      </w:r>
      <w:r w:rsidRPr="00C26AFA">
        <w:rPr>
          <w:rFonts w:ascii="Narkisim" w:hAnsi="Narkisim" w:cs="Narkisim"/>
          <w:rtl/>
        </w:rPr>
        <w:t xml:space="preserve"> וה</w:t>
      </w:r>
      <w:r w:rsidRPr="00C26AFA">
        <w:rPr>
          <w:rFonts w:ascii="Narkisim" w:hAnsi="Narkisim" w:cs="Narkisim"/>
          <w:b/>
          <w:bCs/>
          <w:rtl/>
        </w:rPr>
        <w:t>אחרונים</w:t>
      </w:r>
      <w:r w:rsidRPr="00C26AFA">
        <w:rPr>
          <w:rFonts w:ascii="Narkisim" w:hAnsi="Narkisim" w:cs="Narkisim"/>
          <w:rtl/>
        </w:rPr>
        <w:t xml:space="preserve"> תמהו דכיון דזקוקה לו אמאי יקרא זנות, ובמה תליא ברב המנונא היכא דזינתה מאחר</w:t>
      </w:r>
      <w:r w:rsidRPr="00C26AFA">
        <w:rPr>
          <w:rStyle w:val="ac"/>
          <w:rFonts w:ascii="Narkisim" w:hAnsi="Narkisim" w:cs="Narkisim"/>
          <w:rtl/>
        </w:rPr>
        <w:footnoteReference w:id="3113"/>
      </w:r>
      <w:r w:rsidRPr="00C26AFA">
        <w:rPr>
          <w:rFonts w:ascii="Narkisim" w:hAnsi="Narkisim" w:cs="Narkisim"/>
          <w:rtl/>
        </w:rPr>
        <w:t>.</w:t>
      </w:r>
    </w:p>
    <w:p w14:paraId="229191DC"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קובה"ע</w:t>
      </w:r>
      <w:r w:rsidRPr="00C26AFA">
        <w:rPr>
          <w:rFonts w:ascii="Narkisim" w:hAnsi="Narkisim"/>
          <w:rtl/>
        </w:rPr>
        <w:t xml:space="preserve"> (מג) ביאר ע"פ דברי ה</w:t>
      </w:r>
      <w:r w:rsidRPr="00C26AFA">
        <w:rPr>
          <w:rFonts w:ascii="Narkisim" w:hAnsi="Narkisim"/>
          <w:b/>
          <w:bCs/>
          <w:rtl/>
        </w:rPr>
        <w:t>ירושלמי</w:t>
      </w:r>
      <w:r w:rsidRPr="00C26AFA">
        <w:rPr>
          <w:rFonts w:ascii="Narkisim" w:hAnsi="Narkisim"/>
          <w:rtl/>
        </w:rPr>
        <w:t xml:space="preserve"> אליבא דאבא שאול</w:t>
      </w:r>
      <w:r w:rsidRPr="00C26AFA">
        <w:rPr>
          <w:rStyle w:val="ac"/>
          <w:rFonts w:ascii="Narkisim" w:hAnsi="Narkisim"/>
          <w:rtl/>
        </w:rPr>
        <w:footnoteReference w:id="3114"/>
      </w:r>
      <w:r w:rsidRPr="00C26AFA">
        <w:rPr>
          <w:rFonts w:ascii="Narkisim" w:hAnsi="Narkisim"/>
          <w:rtl/>
        </w:rPr>
        <w:t>, דאם נתכוון לשם זנות נחשב איסור יבמה לשוק, דכיון דלא הוה ביאת יבום</w:t>
      </w:r>
      <w:r w:rsidRPr="00C26AFA">
        <w:rPr>
          <w:rStyle w:val="ac"/>
          <w:rFonts w:ascii="Narkisim" w:hAnsi="Narkisim"/>
          <w:rtl/>
        </w:rPr>
        <w:footnoteReference w:id="3115"/>
      </w:r>
      <w:r w:rsidRPr="00C26AFA">
        <w:rPr>
          <w:rFonts w:ascii="Narkisim" w:hAnsi="Narkisim"/>
          <w:rtl/>
        </w:rPr>
        <w:t>. וה</w:t>
      </w:r>
      <w:r w:rsidRPr="00C26AFA">
        <w:rPr>
          <w:rFonts w:ascii="Narkisim" w:hAnsi="Narkisim"/>
          <w:b/>
          <w:bCs/>
          <w:rtl/>
        </w:rPr>
        <w:t xml:space="preserve">קה"י </w:t>
      </w:r>
      <w:r w:rsidRPr="00C26AFA">
        <w:rPr>
          <w:rFonts w:ascii="Narkisim" w:hAnsi="Narkisim"/>
          <w:rtl/>
        </w:rPr>
        <w:t>(ס”ס ח) ביאר דכיון דיש ב' יבמין, נחשב שזינתה כלפי חבירו</w:t>
      </w:r>
      <w:r w:rsidRPr="00C26AFA">
        <w:rPr>
          <w:rStyle w:val="ac"/>
          <w:rFonts w:ascii="Narkisim" w:hAnsi="Narkisim"/>
          <w:rtl/>
        </w:rPr>
        <w:footnoteReference w:id="3116"/>
      </w:r>
      <w:r w:rsidRPr="00C26AFA">
        <w:rPr>
          <w:rFonts w:ascii="Narkisim" w:hAnsi="Narkisim"/>
          <w:rtl/>
        </w:rPr>
        <w:t xml:space="preserve">, דמדברי רב המנונא מוכח דאגודה ליבם, ועי”ז נעשית סוטה. </w:t>
      </w:r>
      <w:r w:rsidRPr="00C26AFA">
        <w:rPr>
          <w:rFonts w:ascii="Narkisim" w:hAnsi="Narkisim"/>
          <w:sz w:val="20"/>
          <w:szCs w:val="20"/>
          <w:rtl/>
        </w:rPr>
        <w:t>וב</w:t>
      </w:r>
      <w:r w:rsidRPr="00C26AFA">
        <w:rPr>
          <w:rFonts w:ascii="Narkisim" w:hAnsi="Narkisim"/>
          <w:b/>
          <w:bCs/>
          <w:sz w:val="20"/>
          <w:szCs w:val="20"/>
          <w:rtl/>
        </w:rPr>
        <w:t>שיע' ר' דוד</w:t>
      </w:r>
      <w:r w:rsidRPr="00C26AFA">
        <w:rPr>
          <w:rFonts w:ascii="Narkisim" w:hAnsi="Narkisim"/>
          <w:sz w:val="20"/>
          <w:szCs w:val="20"/>
          <w:rtl/>
        </w:rPr>
        <w:t xml:space="preserve"> תי' דע"י המאמר מתייחד אצלו הזיקה.</w:t>
      </w:r>
    </w:p>
    <w:p w14:paraId="45956390" w14:textId="77777777" w:rsidR="006074A5" w:rsidRPr="00C26AFA" w:rsidRDefault="006074A5" w:rsidP="006074A5">
      <w:pPr>
        <w:pStyle w:val="aa"/>
        <w:bidi/>
        <w:rPr>
          <w:rFonts w:ascii="Narkisim" w:hAnsi="Narkisim"/>
        </w:rPr>
      </w:pPr>
      <w:r w:rsidRPr="00C26AFA">
        <w:rPr>
          <w:rFonts w:ascii="Narkisim" w:hAnsi="Narkisim"/>
          <w:u w:val="single"/>
          <w:rtl/>
        </w:rPr>
        <w:t>בא"ד א"נ בקטנה דפיתוי וכו'.</w:t>
      </w:r>
      <w:r w:rsidRPr="00C26AFA">
        <w:rPr>
          <w:rFonts w:ascii="Narkisim" w:hAnsi="Narkisim"/>
          <w:rtl/>
        </w:rPr>
        <w:t xml:space="preserve"> וה</w:t>
      </w:r>
      <w:r w:rsidRPr="00C26AFA">
        <w:rPr>
          <w:rFonts w:ascii="Narkisim" w:hAnsi="Narkisim"/>
          <w:b/>
          <w:bCs/>
          <w:rtl/>
        </w:rPr>
        <w:t xml:space="preserve">רמב"ן </w:t>
      </w:r>
      <w:r w:rsidRPr="00C26AFA">
        <w:rPr>
          <w:rFonts w:ascii="Narkisim" w:hAnsi="Narkisim"/>
          <w:rtl/>
        </w:rPr>
        <w:t>תי' עוד די"ל דאיירי בקטנה מן האירוסין, ומסרה אביה.</w:t>
      </w:r>
    </w:p>
    <w:p w14:paraId="0F195F76" w14:textId="77777777" w:rsidR="006074A5" w:rsidRPr="00C26AFA" w:rsidRDefault="006074A5" w:rsidP="006074A5">
      <w:pPr>
        <w:pStyle w:val="aa"/>
        <w:bidi/>
        <w:rPr>
          <w:rFonts w:ascii="Narkisim" w:hAnsi="Narkisim"/>
        </w:rPr>
      </w:pPr>
      <w:r w:rsidRPr="00C26AFA">
        <w:rPr>
          <w:rFonts w:ascii="Narkisim" w:hAnsi="Narkisim"/>
          <w:u w:val="single"/>
          <w:rtl/>
        </w:rPr>
        <w:t>בא"ד ונאמר וכו' דלא שני לן בביאה דיבמה בין מדעת לבע"כ.</w:t>
      </w:r>
      <w:r w:rsidRPr="00C26AFA">
        <w:rPr>
          <w:rFonts w:ascii="Narkisim" w:hAnsi="Narkisim"/>
          <w:rtl/>
        </w:rPr>
        <w:t xml:space="preserve"> אבל ה</w:t>
      </w:r>
      <w:r w:rsidRPr="00C26AFA">
        <w:rPr>
          <w:rFonts w:ascii="Narkisim" w:hAnsi="Narkisim"/>
          <w:b/>
          <w:bCs/>
          <w:rtl/>
        </w:rPr>
        <w:t>רשב”א</w:t>
      </w:r>
      <w:r w:rsidRPr="00C26AFA">
        <w:rPr>
          <w:rFonts w:ascii="Narkisim" w:hAnsi="Narkisim"/>
          <w:rtl/>
        </w:rPr>
        <w:t xml:space="preserve"> ו</w:t>
      </w:r>
      <w:r w:rsidRPr="00C26AFA">
        <w:rPr>
          <w:rFonts w:ascii="Narkisim" w:hAnsi="Narkisim"/>
          <w:b/>
          <w:bCs/>
          <w:rtl/>
        </w:rPr>
        <w:t>ריטב”א</w:t>
      </w:r>
      <w:r w:rsidRPr="00C26AFA">
        <w:rPr>
          <w:rFonts w:ascii="Narkisim" w:hAnsi="Narkisim"/>
          <w:rtl/>
        </w:rPr>
        <w:t xml:space="preserve"> (וכ”מ ברמב”ן הנ”ל) כתבו דבעי מאמר מדעת, ואף ביאת בן ט' קנה דוקא מדעתה. [ודעת תוס' דמעשה ביאת בן ט' הוה כיבום, ודינו כמו דיני מאמר].</w:t>
      </w:r>
    </w:p>
    <w:p w14:paraId="5B6FE4AB" w14:textId="77777777" w:rsidR="006074A5" w:rsidRPr="00C26AFA" w:rsidRDefault="006074A5" w:rsidP="006074A5">
      <w:pPr>
        <w:bidi/>
        <w:rPr>
          <w:rFonts w:ascii="Narkisim" w:hAnsi="Narkisim" w:cs="Narkisim"/>
        </w:rPr>
      </w:pPr>
      <w:r w:rsidRPr="00C26AFA">
        <w:rPr>
          <w:rFonts w:ascii="Narkisim" w:hAnsi="Narkisim" w:cs="Narkisim"/>
          <w:u w:val="single"/>
          <w:rtl/>
        </w:rPr>
        <w:t>בן עזאי אומר יש מאמר אחר מאמר בב' יבמין ביבמה א'</w:t>
      </w:r>
      <w:r w:rsidRPr="00C26AFA">
        <w:rPr>
          <w:rFonts w:ascii="Narkisim" w:hAnsi="Narkisim" w:cs="Narkisim"/>
          <w:rtl/>
        </w:rPr>
        <w:t>. (כ"ג רש"י). אבל ביבם א' ל”מ מאמר אחר מאמר. ופ</w:t>
      </w:r>
      <w:r w:rsidRPr="00C26AFA">
        <w:rPr>
          <w:rFonts w:ascii="Narkisim" w:hAnsi="Narkisim" w:cs="Narkisim"/>
          <w:b/>
          <w:bCs/>
          <w:rtl/>
        </w:rPr>
        <w:t>רש"י</w:t>
      </w:r>
      <w:r w:rsidRPr="00C26AFA">
        <w:rPr>
          <w:rFonts w:ascii="Narkisim" w:hAnsi="Narkisim" w:cs="Narkisim"/>
          <w:rtl/>
        </w:rPr>
        <w:t xml:space="preserve"> דביבם א' ל”מ ב' מאמר, דבמאמר הראשון קנה כל כח שתקנו במאמר. וה</w:t>
      </w:r>
      <w:r w:rsidRPr="00C26AFA">
        <w:rPr>
          <w:rFonts w:ascii="Narkisim" w:hAnsi="Narkisim" w:cs="Narkisim"/>
          <w:b/>
          <w:bCs/>
          <w:rtl/>
        </w:rPr>
        <w:t>מאירי</w:t>
      </w:r>
      <w:r w:rsidRPr="00C26AFA">
        <w:rPr>
          <w:rFonts w:ascii="Narkisim" w:hAnsi="Narkisim" w:cs="Narkisim"/>
          <w:rtl/>
        </w:rPr>
        <w:t xml:space="preserve"> ביאר דביבם א' בב' יבמות בידו לברור איזה שירצה. ועי"ז נדחית זיקתו, דמאמר קונה קנין חשוב. אבל בב' יבמין אלימי זיקייהו דגברא, שאין הא' ביד חבירו לדחות את (הזיקה) של חבירו. </w:t>
      </w:r>
      <w:r w:rsidRPr="00C26AFA">
        <w:rPr>
          <w:rFonts w:ascii="Narkisim" w:hAnsi="Narkisim" w:cs="Narkisim"/>
          <w:sz w:val="20"/>
          <w:szCs w:val="20"/>
          <w:rtl/>
        </w:rPr>
        <w:t>[ולכן מסברא הוה בצד דמהני מאמר זה ל"מ זה].</w:t>
      </w:r>
    </w:p>
    <w:p w14:paraId="6EA453CD" w14:textId="77777777" w:rsidR="006074A5" w:rsidRPr="00C26AFA" w:rsidRDefault="006074A5" w:rsidP="006074A5">
      <w:pPr>
        <w:bidi/>
        <w:rPr>
          <w:rFonts w:ascii="Narkisim" w:hAnsi="Narkisim" w:cs="Narkisim"/>
        </w:rPr>
      </w:pPr>
      <w:r w:rsidRPr="00C26AFA">
        <w:rPr>
          <w:rFonts w:ascii="Narkisim" w:hAnsi="Narkisim" w:cs="Narkisim"/>
          <w:rtl/>
        </w:rPr>
        <w:t>ו</w:t>
      </w:r>
      <w:r w:rsidRPr="00C26AFA">
        <w:rPr>
          <w:rFonts w:ascii="Narkisim" w:hAnsi="Narkisim" w:cs="Narkisim"/>
          <w:b/>
          <w:bCs/>
          <w:rtl/>
        </w:rPr>
        <w:t>רש"י</w:t>
      </w:r>
      <w:r w:rsidRPr="00C26AFA">
        <w:rPr>
          <w:rFonts w:ascii="Narkisim" w:hAnsi="Narkisim" w:cs="Narkisim"/>
          <w:rtl/>
        </w:rPr>
        <w:t xml:space="preserve"> הביא גירסא אחרת בשם </w:t>
      </w:r>
      <w:r w:rsidRPr="00C26AFA">
        <w:rPr>
          <w:rFonts w:ascii="Narkisim" w:hAnsi="Narkisim" w:cs="Narkisim"/>
          <w:b/>
          <w:bCs/>
          <w:rtl/>
        </w:rPr>
        <w:t>מורו</w:t>
      </w:r>
      <w:r w:rsidRPr="00C26AFA">
        <w:rPr>
          <w:rFonts w:ascii="Narkisim" w:hAnsi="Narkisim" w:cs="Narkisim"/>
          <w:rtl/>
        </w:rPr>
        <w:t xml:space="preserve"> [להיפך] דבב' יבמין ויבמה א' אין מאמר. דאין קידושין בתר קידושין באשה א'. וה</w:t>
      </w:r>
      <w:r w:rsidRPr="00C26AFA">
        <w:rPr>
          <w:rFonts w:ascii="Narkisim" w:hAnsi="Narkisim" w:cs="Narkisim"/>
          <w:b/>
          <w:bCs/>
          <w:rtl/>
        </w:rPr>
        <w:t>בעה"מ</w:t>
      </w:r>
      <w:r w:rsidRPr="00C26AFA">
        <w:rPr>
          <w:rFonts w:ascii="Narkisim" w:hAnsi="Narkisim" w:cs="Narkisim"/>
          <w:rtl/>
        </w:rPr>
        <w:t xml:space="preserve"> (נג.) כתב</w:t>
      </w:r>
      <w:r w:rsidRPr="00C26AFA">
        <w:rPr>
          <w:rStyle w:val="ac"/>
          <w:rFonts w:ascii="Narkisim" w:hAnsi="Narkisim" w:cs="Narkisim"/>
          <w:rtl/>
        </w:rPr>
        <w:footnoteReference w:id="3117"/>
      </w:r>
      <w:r w:rsidRPr="00C26AFA">
        <w:rPr>
          <w:rFonts w:ascii="Narkisim" w:hAnsi="Narkisim" w:cs="Narkisim"/>
          <w:rtl/>
        </w:rPr>
        <w:t xml:space="preserve"> הטעם דביבמה א' ל"ש גזירה אטו ביאה אחר ביאה.</w:t>
      </w:r>
    </w:p>
    <w:p w14:paraId="312FDDF4" w14:textId="77777777" w:rsidR="006074A5" w:rsidRPr="00C26AFA" w:rsidRDefault="006074A5" w:rsidP="006074A5">
      <w:pPr>
        <w:pStyle w:val="a8"/>
        <w:bidi/>
        <w:rPr>
          <w:rFonts w:ascii="Narkisim" w:hAnsi="Narkisim"/>
        </w:rPr>
      </w:pPr>
      <w:r w:rsidRPr="00C26AFA">
        <w:rPr>
          <w:rFonts w:ascii="Narkisim" w:hAnsi="Narkisim"/>
          <w:rtl/>
        </w:rPr>
        <w:t>ומדברי רש”י משמע דלהך לישנא נח' [רבנן ובן עזאי] בגדר קנין מאמר, דלבן עזאי אין קידושין בתר קידושין. ואילו לדעת רבנן [ולגיר' רש"י אף לבן עזאי] כיון דיש כח יבום, שפיר תפס אף מאמר דאחיו. [דתקנו לכל יבם דין מאמר, ואף במקום דסתרי זל"ז].</w:t>
      </w:r>
    </w:p>
    <w:p w14:paraId="1462A47F" w14:textId="77777777" w:rsidR="006074A5" w:rsidRPr="00C26AFA" w:rsidRDefault="006074A5" w:rsidP="006074A5">
      <w:pPr>
        <w:bidi/>
        <w:rPr>
          <w:rFonts w:ascii="Narkisim" w:hAnsi="Narkisim" w:cs="Narkisim"/>
        </w:rPr>
      </w:pPr>
      <w:r w:rsidRPr="00C26AFA">
        <w:rPr>
          <w:rFonts w:ascii="Narkisim" w:hAnsi="Narkisim" w:cs="Narkisim"/>
          <w:u w:val="single"/>
          <w:rtl/>
        </w:rPr>
        <w:t>ר' נחמיה דתנן ר"נ אומר אחת בעילה וכו' אין אחריה כלום, והא ביאה פסולה כמאמר שויוה רבנן וכו'</w:t>
      </w:r>
      <w:r w:rsidRPr="00C26AFA">
        <w:rPr>
          <w:rFonts w:ascii="Narkisim" w:hAnsi="Narkisim" w:cs="Narkisim"/>
          <w:rtl/>
        </w:rPr>
        <w:t xml:space="preserve">. </w:t>
      </w:r>
      <w:r w:rsidRPr="00C26AFA">
        <w:rPr>
          <w:rFonts w:ascii="Narkisim" w:hAnsi="Narkisim" w:cs="Narkisim"/>
          <w:b/>
          <w:bCs/>
          <w:rtl/>
        </w:rPr>
        <w:t>תוס</w:t>
      </w:r>
      <w:r w:rsidRPr="00C26AFA">
        <w:rPr>
          <w:rFonts w:ascii="Narkisim" w:hAnsi="Narkisim" w:cs="Narkisim"/>
          <w:rtl/>
        </w:rPr>
        <w:t xml:space="preserve">' פי' דה”ה מאמר אחר מאמר לא קנה השני. [ע' תוס' כמה פי' בזה]. </w:t>
      </w:r>
      <w:r w:rsidRPr="00C26AFA">
        <w:rPr>
          <w:rFonts w:ascii="Narkisim" w:hAnsi="Narkisim" w:cs="Narkisim"/>
          <w:szCs w:val="20"/>
          <w:rtl/>
        </w:rPr>
        <w:t>אך בגמ' (בע"א) אי' דביאה פסולה גריעא ממאמר [לר"ג], דתפס מאמר אחר ביאה פסולה [דהביאה ל”ק כל שיורא דגט]</w:t>
      </w:r>
      <w:r w:rsidRPr="00C26AFA">
        <w:rPr>
          <w:rFonts w:ascii="Narkisim" w:hAnsi="Narkisim" w:cs="Narkisim"/>
          <w:rtl/>
        </w:rPr>
        <w:t>.</w:t>
      </w:r>
    </w:p>
    <w:p w14:paraId="274D6139" w14:textId="77777777" w:rsidR="006074A5" w:rsidRPr="00C26AFA" w:rsidRDefault="006074A5" w:rsidP="006074A5">
      <w:pPr>
        <w:bidi/>
        <w:rPr>
          <w:rFonts w:ascii="Narkisim" w:hAnsi="Narkisim" w:cs="Narkisim"/>
        </w:rPr>
      </w:pPr>
      <w:r w:rsidRPr="00C26AFA">
        <w:rPr>
          <w:rFonts w:ascii="Narkisim" w:hAnsi="Narkisim" w:cs="Narkisim"/>
          <w:rtl/>
        </w:rPr>
        <w:t xml:space="preserve">ועוד פי' בתוס' מהר"ם ור”פ בשם </w:t>
      </w:r>
      <w:r w:rsidRPr="00C26AFA">
        <w:rPr>
          <w:rFonts w:ascii="Narkisim" w:hAnsi="Narkisim" w:cs="Narkisim"/>
          <w:b/>
          <w:bCs/>
          <w:rtl/>
        </w:rPr>
        <w:t>רבינו</w:t>
      </w:r>
      <w:r w:rsidRPr="00C26AFA">
        <w:rPr>
          <w:rFonts w:ascii="Narkisim" w:hAnsi="Narkisim" w:cs="Narkisim"/>
          <w:rtl/>
        </w:rPr>
        <w:t xml:space="preserve"> </w:t>
      </w:r>
      <w:r w:rsidRPr="00C26AFA">
        <w:rPr>
          <w:rFonts w:ascii="Narkisim" w:hAnsi="Narkisim" w:cs="Narkisim"/>
          <w:b/>
          <w:bCs/>
          <w:rtl/>
        </w:rPr>
        <w:t>פרץ</w:t>
      </w:r>
      <w:r w:rsidRPr="00C26AFA">
        <w:rPr>
          <w:rFonts w:ascii="Narkisim" w:hAnsi="Narkisim" w:cs="Narkisim"/>
          <w:rtl/>
        </w:rPr>
        <w:t xml:space="preserve"> דכלל דר' יוחנן דעושה דבר חשוב כמו מאמר, וכמו ביאת בן ט' דמייתי מדר' שמעון דקאי בביאה ולא במאמר</w:t>
      </w:r>
      <w:r w:rsidRPr="00C26AFA">
        <w:rPr>
          <w:rStyle w:val="ac"/>
          <w:rFonts w:ascii="Narkisim" w:hAnsi="Narkisim" w:cs="Narkisim"/>
          <w:rtl/>
        </w:rPr>
        <w:footnoteReference w:id="3118"/>
      </w:r>
      <w:r w:rsidRPr="00C26AFA">
        <w:rPr>
          <w:rFonts w:ascii="Narkisim" w:hAnsi="Narkisim" w:cs="Narkisim"/>
          <w:rtl/>
        </w:rPr>
        <w:t>.</w:t>
      </w:r>
    </w:p>
    <w:p w14:paraId="5E978D50"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 xml:space="preserve">רמב”ן </w:t>
      </w:r>
      <w:r w:rsidRPr="00C26AFA">
        <w:rPr>
          <w:rFonts w:ascii="Narkisim" w:hAnsi="Narkisim"/>
          <w:rtl/>
        </w:rPr>
        <w:t>כתב דלר' נחמיה ביאה פסולה אינו כמאמר, שהרי אין אחריה כלום</w:t>
      </w:r>
      <w:r w:rsidRPr="00C26AFA">
        <w:rPr>
          <w:rStyle w:val="ac"/>
          <w:rFonts w:ascii="Narkisim" w:hAnsi="Narkisim"/>
          <w:rtl/>
        </w:rPr>
        <w:footnoteReference w:id="3119"/>
      </w:r>
      <w:r w:rsidRPr="00C26AFA">
        <w:rPr>
          <w:rFonts w:ascii="Narkisim" w:hAnsi="Narkisim"/>
          <w:rtl/>
        </w:rPr>
        <w:t>.</w:t>
      </w:r>
    </w:p>
    <w:p w14:paraId="77152C72"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תו"י</w:t>
      </w:r>
      <w:r w:rsidRPr="00C26AFA">
        <w:rPr>
          <w:rFonts w:ascii="Narkisim" w:hAnsi="Narkisim"/>
          <w:rtl/>
        </w:rPr>
        <w:t xml:space="preserve"> (בפי' הא', וכן בתוס' ר"פ בשם רב יוסף איש ירושלים) תי' דכיון דלר”ג יש אחר ביאה פסולה ואע"ג דאין מאמר אחר מאמר, כ”ש לר' נחמיה דאין מאמר אחר מאמר. וה</w:t>
      </w:r>
      <w:r w:rsidRPr="00C26AFA">
        <w:rPr>
          <w:rFonts w:ascii="Narkisim" w:hAnsi="Narkisim"/>
          <w:b/>
          <w:bCs/>
          <w:rtl/>
        </w:rPr>
        <w:t>תו"י</w:t>
      </w:r>
      <w:r w:rsidRPr="00C26AFA">
        <w:rPr>
          <w:rFonts w:ascii="Narkisim" w:hAnsi="Narkisim"/>
          <w:rtl/>
        </w:rPr>
        <w:t xml:space="preserve"> ו</w:t>
      </w:r>
      <w:r w:rsidRPr="00C26AFA">
        <w:rPr>
          <w:rFonts w:ascii="Narkisim" w:hAnsi="Narkisim"/>
          <w:b/>
          <w:bCs/>
          <w:rtl/>
        </w:rPr>
        <w:t>תוס' מהר"ם והר"פ</w:t>
      </w:r>
      <w:r w:rsidRPr="00C26AFA">
        <w:rPr>
          <w:rFonts w:ascii="Narkisim" w:hAnsi="Narkisim"/>
          <w:rtl/>
        </w:rPr>
        <w:t xml:space="preserve"> הקשו דיש סברא גדולה לחלק ולגזור.</w:t>
      </w:r>
    </w:p>
    <w:p w14:paraId="02571152" w14:textId="77777777" w:rsidR="006074A5" w:rsidRPr="00C26AFA" w:rsidRDefault="006074A5" w:rsidP="006074A5">
      <w:pPr>
        <w:bidi/>
        <w:rPr>
          <w:rFonts w:ascii="Narkisim" w:hAnsi="Narkisim" w:cs="Narkisim"/>
        </w:rPr>
      </w:pPr>
      <w:r w:rsidRPr="00C26AFA">
        <w:rPr>
          <w:rFonts w:ascii="Narkisim" w:hAnsi="Narkisim" w:cs="Narkisim"/>
          <w:rtl/>
        </w:rPr>
        <w:t>וה</w:t>
      </w:r>
      <w:r w:rsidRPr="00C26AFA">
        <w:rPr>
          <w:rFonts w:ascii="Narkisim" w:hAnsi="Narkisim" w:cs="Narkisim"/>
          <w:b/>
          <w:bCs/>
          <w:rtl/>
        </w:rPr>
        <w:t xml:space="preserve">רמב"ן </w:t>
      </w:r>
      <w:r w:rsidRPr="00C26AFA">
        <w:rPr>
          <w:rFonts w:ascii="Narkisim" w:hAnsi="Narkisim" w:cs="Narkisim"/>
          <w:rtl/>
        </w:rPr>
        <w:t xml:space="preserve">הביא בשם </w:t>
      </w:r>
      <w:r w:rsidRPr="00C26AFA">
        <w:rPr>
          <w:rFonts w:ascii="Narkisim" w:hAnsi="Narkisim" w:cs="Narkisim"/>
          <w:b/>
          <w:bCs/>
          <w:rtl/>
        </w:rPr>
        <w:t>ר"א אב"ד</w:t>
      </w:r>
      <w:r w:rsidRPr="00C26AFA">
        <w:rPr>
          <w:rFonts w:ascii="Narkisim" w:hAnsi="Narkisim" w:cs="Narkisim"/>
          <w:rtl/>
        </w:rPr>
        <w:t xml:space="preserve"> דביאה פסולה כמאמר, לענין דאינו מאכיל בתרומה, כיון דכופין אותו להוציא [אבל מהני לפוטרה]. וה</w:t>
      </w:r>
      <w:r w:rsidRPr="00C26AFA">
        <w:rPr>
          <w:rFonts w:ascii="Narkisim" w:hAnsi="Narkisim" w:cs="Narkisim"/>
          <w:b/>
          <w:bCs/>
          <w:rtl/>
        </w:rPr>
        <w:t>רמב"ן</w:t>
      </w:r>
      <w:r w:rsidRPr="00C26AFA">
        <w:rPr>
          <w:rFonts w:ascii="Narkisim" w:hAnsi="Narkisim" w:cs="Narkisim"/>
          <w:rtl/>
        </w:rPr>
        <w:t xml:space="preserve"> חלק דהא דאינו מאכילה לפי שהיא פסולה לו, ומה ענין זה לקנין מאמר.</w:t>
      </w:r>
    </w:p>
    <w:p w14:paraId="61402CA9" w14:textId="77777777" w:rsidR="006074A5" w:rsidRPr="00C26AFA" w:rsidRDefault="006074A5" w:rsidP="006074A5">
      <w:pPr>
        <w:bidi/>
        <w:rPr>
          <w:rFonts w:ascii="Narkisim" w:hAnsi="Narkisim" w:cs="Narkisim"/>
        </w:rPr>
      </w:pPr>
      <w:r w:rsidRPr="00C26AFA">
        <w:rPr>
          <w:rFonts w:ascii="Narkisim" w:hAnsi="Narkisim" w:cs="Narkisim"/>
          <w:u w:val="single"/>
          <w:rtl/>
        </w:rPr>
        <w:lastRenderedPageBreak/>
        <w:t>רש"י ד"ה והא ביאה פסולה כמאמר.</w:t>
      </w:r>
      <w:r w:rsidRPr="00C26AFA">
        <w:rPr>
          <w:rFonts w:ascii="Narkisim" w:hAnsi="Narkisim" w:cs="Narkisim"/>
          <w:rtl/>
        </w:rPr>
        <w:t xml:space="preserve"> דקא בעי נמי חליצה לזיקתו. ה</w:t>
      </w:r>
      <w:r w:rsidRPr="00C26AFA">
        <w:rPr>
          <w:rFonts w:ascii="Narkisim" w:hAnsi="Narkisim" w:cs="Narkisim"/>
          <w:b/>
          <w:bCs/>
          <w:rtl/>
        </w:rPr>
        <w:t>רמב"ן</w:t>
      </w:r>
      <w:r w:rsidRPr="00C26AFA">
        <w:rPr>
          <w:rFonts w:ascii="Narkisim" w:hAnsi="Narkisim" w:cs="Narkisim"/>
          <w:rtl/>
        </w:rPr>
        <w:t xml:space="preserve"> (נ:) ו</w:t>
      </w:r>
      <w:r w:rsidRPr="00C26AFA">
        <w:rPr>
          <w:rFonts w:ascii="Narkisim" w:hAnsi="Narkisim" w:cs="Narkisim"/>
          <w:b/>
          <w:bCs/>
          <w:rtl/>
        </w:rPr>
        <w:t>מהרש”ל</w:t>
      </w:r>
      <w:r w:rsidRPr="00C26AFA">
        <w:rPr>
          <w:rFonts w:ascii="Narkisim" w:hAnsi="Narkisim" w:cs="Narkisim"/>
          <w:rtl/>
        </w:rPr>
        <w:t xml:space="preserve"> (נ:) הביאו מכאן דאף לר' נחמיה לאחר ביאה פסולה בעי חליצה [מדרבנן], ודלא כמ"ש </w:t>
      </w:r>
      <w:r w:rsidRPr="00C26AFA">
        <w:rPr>
          <w:rFonts w:ascii="Narkisim" w:hAnsi="Narkisim" w:cs="Narkisim"/>
          <w:b/>
          <w:bCs/>
          <w:rtl/>
        </w:rPr>
        <w:t>רש"י</w:t>
      </w:r>
      <w:r w:rsidRPr="00C26AFA">
        <w:rPr>
          <w:rFonts w:ascii="Narkisim" w:hAnsi="Narkisim" w:cs="Narkisim"/>
          <w:rtl/>
        </w:rPr>
        <w:t xml:space="preserve"> (לעיל נ:). </w:t>
      </w:r>
      <w:r w:rsidRPr="00C26AFA">
        <w:rPr>
          <w:rFonts w:ascii="Narkisim" w:hAnsi="Narkisim" w:cs="Narkisim"/>
          <w:sz w:val="20"/>
          <w:szCs w:val="20"/>
          <w:rtl/>
        </w:rPr>
        <w:t>וה</w:t>
      </w:r>
      <w:r w:rsidRPr="00C26AFA">
        <w:rPr>
          <w:rFonts w:ascii="Narkisim" w:hAnsi="Narkisim" w:cs="Narkisim"/>
          <w:b/>
          <w:bCs/>
          <w:sz w:val="20"/>
          <w:szCs w:val="20"/>
          <w:rtl/>
        </w:rPr>
        <w:t>רמב"ן</w:t>
      </w:r>
      <w:r w:rsidRPr="00C26AFA">
        <w:rPr>
          <w:rFonts w:ascii="Narkisim" w:hAnsi="Narkisim" w:cs="Narkisim"/>
          <w:sz w:val="20"/>
          <w:szCs w:val="20"/>
          <w:rtl/>
        </w:rPr>
        <w:t xml:space="preserve"> ו</w:t>
      </w:r>
      <w:r w:rsidRPr="00C26AFA">
        <w:rPr>
          <w:rFonts w:ascii="Narkisim" w:hAnsi="Narkisim" w:cs="Narkisim"/>
          <w:b/>
          <w:bCs/>
          <w:sz w:val="20"/>
          <w:szCs w:val="20"/>
          <w:rtl/>
        </w:rPr>
        <w:t>ריטב"א</w:t>
      </w:r>
      <w:r w:rsidRPr="00C26AFA">
        <w:rPr>
          <w:rFonts w:ascii="Narkisim" w:hAnsi="Narkisim" w:cs="Narkisim"/>
          <w:sz w:val="20"/>
          <w:szCs w:val="20"/>
          <w:rtl/>
        </w:rPr>
        <w:t xml:space="preserve"> נקטו דהעיקר כמ"ש כאן.</w:t>
      </w:r>
      <w:r w:rsidRPr="00C26AFA">
        <w:rPr>
          <w:rFonts w:ascii="Narkisim" w:hAnsi="Narkisim" w:cs="Narkisim"/>
          <w:rtl/>
        </w:rPr>
        <w:t xml:space="preserve"> אבל ה</w:t>
      </w:r>
      <w:r w:rsidRPr="00C26AFA">
        <w:rPr>
          <w:rFonts w:ascii="Narkisim" w:hAnsi="Narkisim" w:cs="Narkisim"/>
          <w:b/>
          <w:bCs/>
          <w:rtl/>
        </w:rPr>
        <w:t>מהרש”א</w:t>
      </w:r>
      <w:r w:rsidRPr="00C26AFA">
        <w:rPr>
          <w:rFonts w:ascii="Narkisim" w:hAnsi="Narkisim" w:cs="Narkisim"/>
          <w:rtl/>
        </w:rPr>
        <w:t xml:space="preserve"> נדחק דכוונת רש”י דדעת רבנן דביאה פסולה לרבנן כמאמר, ובעי חליצה. אבל לר' נחמיה ל"צ חליצה.</w:t>
      </w:r>
    </w:p>
    <w:p w14:paraId="75FE403C"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הביא דבגמ' (קיא.) בפשוטו משמע דלר' נחמיה ביאה פסולה פטרה, ואי”צ חליצה. והרמב”ן כת' דהגמ' שם דלא כר' יוחנן. והוה מח' הסוגיות אליבא דר' נחמיה. ועוד הביא מה</w:t>
      </w:r>
      <w:r w:rsidRPr="00C26AFA">
        <w:rPr>
          <w:rFonts w:ascii="Narkisim" w:hAnsi="Narkisim"/>
          <w:b/>
          <w:bCs/>
          <w:rtl/>
        </w:rPr>
        <w:t>ירושלמי</w:t>
      </w:r>
      <w:r w:rsidRPr="00C26AFA">
        <w:rPr>
          <w:rFonts w:ascii="Narkisim" w:hAnsi="Narkisim"/>
          <w:rtl/>
        </w:rPr>
        <w:t xml:space="preserve"> דמבואר דבעי חליצה.</w:t>
      </w:r>
    </w:p>
    <w:p w14:paraId="35F343C5" w14:textId="77777777" w:rsidR="006074A5" w:rsidRPr="00C26AFA" w:rsidRDefault="006074A5" w:rsidP="006074A5">
      <w:pPr>
        <w:bidi/>
        <w:rPr>
          <w:rFonts w:ascii="Narkisim" w:hAnsi="Narkisim" w:cs="Narkisim"/>
        </w:rPr>
      </w:pPr>
      <w:r w:rsidRPr="00C26AFA">
        <w:rPr>
          <w:rFonts w:ascii="Narkisim" w:hAnsi="Narkisim" w:cs="Narkisim"/>
          <w:u w:val="single"/>
          <w:rtl/>
        </w:rPr>
        <w:t>תוד"ה ביאה.</w:t>
      </w:r>
      <w:r w:rsidRPr="00C26AFA">
        <w:rPr>
          <w:rFonts w:ascii="Narkisim" w:hAnsi="Narkisim" w:cs="Narkisim"/>
          <w:rtl/>
        </w:rPr>
        <w:t xml:space="preserve"> ואור"י ב"ר ברוך דע"כ לר"נ גט ומאמר מדאורייתא דילפי' מק"ו וכו'. </w:t>
      </w:r>
      <w:r w:rsidRPr="00C26AFA">
        <w:rPr>
          <w:rFonts w:ascii="Narkisim" w:hAnsi="Narkisim" w:cs="Narkisim"/>
          <w:sz w:val="20"/>
          <w:szCs w:val="20"/>
          <w:rtl/>
        </w:rPr>
        <w:t>יל"ד אי ילפי' דמאמר הוה קנין כיבום ונתינת הגט מהני כמו חליצה, או דילפי' דמהני דין גט לפטור וקידושין לקנות</w:t>
      </w:r>
      <w:r w:rsidRPr="00C26AFA">
        <w:rPr>
          <w:rStyle w:val="ac"/>
          <w:rFonts w:ascii="Narkisim" w:hAnsi="Narkisim" w:cs="Narkisim"/>
          <w:sz w:val="20"/>
          <w:szCs w:val="20"/>
          <w:rtl/>
        </w:rPr>
        <w:footnoteReference w:id="3120"/>
      </w:r>
      <w:r w:rsidRPr="00C26AFA">
        <w:rPr>
          <w:rFonts w:ascii="Narkisim" w:hAnsi="Narkisim" w:cs="Narkisim"/>
          <w:rtl/>
        </w:rPr>
        <w:t>. ו</w:t>
      </w:r>
      <w:r w:rsidRPr="00C26AFA">
        <w:rPr>
          <w:rFonts w:ascii="Narkisim" w:hAnsi="Narkisim" w:cs="Narkisim"/>
          <w:b/>
          <w:bCs/>
          <w:rtl/>
        </w:rPr>
        <w:t>תוס'</w:t>
      </w:r>
      <w:r w:rsidRPr="00C26AFA">
        <w:rPr>
          <w:rFonts w:ascii="Narkisim" w:hAnsi="Narkisim" w:cs="Narkisim"/>
          <w:rtl/>
        </w:rPr>
        <w:t xml:space="preserve"> הקשו ותימה גדולה וכו' דגט פוטר ביבמה. </w:t>
      </w:r>
      <w:r w:rsidRPr="00C26AFA">
        <w:rPr>
          <w:rFonts w:ascii="Narkisim" w:hAnsi="Narkisim" w:cs="Narkisim"/>
          <w:sz w:val="20"/>
          <w:szCs w:val="20"/>
          <w:rtl/>
        </w:rPr>
        <w:t>[ופשיטא לתוס' דאי גט הוה דאוריי', מהני לפוטרה לשוק, מק”ו משאר נשים</w:t>
      </w:r>
      <w:r w:rsidRPr="00C26AFA">
        <w:rPr>
          <w:rStyle w:val="ac"/>
          <w:rFonts w:ascii="Narkisim" w:hAnsi="Narkisim" w:cs="Narkisim"/>
          <w:sz w:val="20"/>
          <w:szCs w:val="20"/>
          <w:rtl/>
        </w:rPr>
        <w:footnoteReference w:id="3121"/>
      </w:r>
      <w:r w:rsidRPr="00C26AFA">
        <w:rPr>
          <w:rFonts w:ascii="Narkisim" w:hAnsi="Narkisim" w:cs="Narkisim"/>
          <w:sz w:val="20"/>
          <w:szCs w:val="20"/>
          <w:rtl/>
        </w:rPr>
        <w:t>.</w:t>
      </w:r>
    </w:p>
    <w:p w14:paraId="507BADB7" w14:textId="77777777" w:rsidR="006074A5" w:rsidRPr="00C26AFA" w:rsidRDefault="006074A5" w:rsidP="006074A5">
      <w:pPr>
        <w:pStyle w:val="a7"/>
        <w:bidi/>
        <w:rPr>
          <w:rFonts w:ascii="Narkisim" w:hAnsi="Narkisim"/>
        </w:rPr>
      </w:pPr>
      <w:r w:rsidRPr="00C26AFA">
        <w:rPr>
          <w:rFonts w:ascii="Narkisim" w:hAnsi="Narkisim"/>
          <w:rtl/>
        </w:rPr>
        <w:t>[אמנם בהו"א של הגמ' (לקמן נב:) מדאורייתא מהני גט לאסור. וצ"ל דכוונת התוס' דהתם ל”מ הגט לפטור, אלא לאסור על היבם</w:t>
      </w:r>
      <w:r w:rsidRPr="00C26AFA">
        <w:rPr>
          <w:rStyle w:val="ac"/>
          <w:rFonts w:ascii="Narkisim" w:hAnsi="Narkisim"/>
          <w:rtl/>
        </w:rPr>
        <w:footnoteReference w:id="3122"/>
      </w:r>
      <w:r w:rsidRPr="00C26AFA">
        <w:rPr>
          <w:rFonts w:ascii="Narkisim" w:hAnsi="Narkisim"/>
          <w:rtl/>
        </w:rPr>
        <w:t>].</w:t>
      </w:r>
    </w:p>
    <w:p w14:paraId="33C41475" w14:textId="77777777" w:rsidR="006074A5" w:rsidRPr="00C26AFA" w:rsidRDefault="006074A5" w:rsidP="006074A5">
      <w:pPr>
        <w:bidi/>
        <w:rPr>
          <w:rFonts w:ascii="Narkisim" w:hAnsi="Narkisim" w:cs="Narkisim"/>
        </w:rPr>
      </w:pPr>
      <w:r w:rsidRPr="00C26AFA">
        <w:rPr>
          <w:rFonts w:ascii="Narkisim" w:hAnsi="Narkisim" w:cs="Narkisim"/>
          <w:rtl/>
        </w:rPr>
        <w:t>ו</w:t>
      </w:r>
      <w:r w:rsidRPr="00C26AFA">
        <w:rPr>
          <w:rFonts w:ascii="Narkisim" w:hAnsi="Narkisim" w:cs="Narkisim"/>
          <w:b/>
          <w:bCs/>
          <w:rtl/>
        </w:rPr>
        <w:t>תוס</w:t>
      </w:r>
      <w:r w:rsidRPr="00C26AFA">
        <w:rPr>
          <w:rFonts w:ascii="Narkisim" w:hAnsi="Narkisim" w:cs="Narkisim"/>
          <w:rtl/>
        </w:rPr>
        <w:t>' (ד"ה כולהו) כת' דכולהו תנאי (מלבד בי"ש) ס"ל דמאמר לא קני אלא מדרבנן. (ודלא כר"י ב"ב). אבל לדברי ה</w:t>
      </w:r>
      <w:r w:rsidRPr="00C26AFA">
        <w:rPr>
          <w:rFonts w:ascii="Narkisim" w:hAnsi="Narkisim" w:cs="Narkisim"/>
          <w:b/>
          <w:bCs/>
          <w:rtl/>
        </w:rPr>
        <w:t>ירושלמי</w:t>
      </w:r>
      <w:r w:rsidRPr="00C26AFA">
        <w:rPr>
          <w:rFonts w:ascii="Narkisim" w:hAnsi="Narkisim" w:cs="Narkisim"/>
          <w:rtl/>
        </w:rPr>
        <w:t xml:space="preserve"> סברת ר"ג מדאורייתא (וכ"כ ה</w:t>
      </w:r>
      <w:r w:rsidRPr="00C26AFA">
        <w:rPr>
          <w:rFonts w:ascii="Narkisim" w:hAnsi="Narkisim" w:cs="Narkisim"/>
          <w:b/>
          <w:bCs/>
          <w:rtl/>
        </w:rPr>
        <w:t>ערול"נ</w:t>
      </w:r>
      <w:r w:rsidRPr="00C26AFA">
        <w:rPr>
          <w:rFonts w:ascii="Narkisim" w:hAnsi="Narkisim" w:cs="Narkisim"/>
          <w:rtl/>
        </w:rPr>
        <w:t xml:space="preserve"> נ. בדעת רש"י לרבא).</w:t>
      </w:r>
    </w:p>
    <w:p w14:paraId="04519138" w14:textId="77777777" w:rsidR="006074A5" w:rsidRPr="00C26AFA" w:rsidRDefault="006074A5" w:rsidP="006074A5">
      <w:pPr>
        <w:pStyle w:val="a7"/>
        <w:bidi/>
        <w:rPr>
          <w:rFonts w:ascii="Narkisim" w:hAnsi="Narkisim"/>
        </w:rPr>
      </w:pPr>
      <w:r w:rsidRPr="00C26AFA">
        <w:rPr>
          <w:rFonts w:ascii="Narkisim" w:hAnsi="Narkisim"/>
          <w:rtl/>
        </w:rPr>
        <w:t>וכן ה</w:t>
      </w:r>
      <w:r w:rsidRPr="00C26AFA">
        <w:rPr>
          <w:rFonts w:ascii="Narkisim" w:hAnsi="Narkisim"/>
          <w:b/>
          <w:bCs/>
          <w:rtl/>
        </w:rPr>
        <w:t>רשב"א</w:t>
      </w:r>
      <w:r w:rsidRPr="00C26AFA">
        <w:rPr>
          <w:rFonts w:ascii="Narkisim" w:hAnsi="Narkisim"/>
          <w:rtl/>
        </w:rPr>
        <w:t xml:space="preserve"> הביא בשם ה</w:t>
      </w:r>
      <w:r w:rsidRPr="00C26AFA">
        <w:rPr>
          <w:rFonts w:ascii="Narkisim" w:hAnsi="Narkisim"/>
          <w:b/>
          <w:bCs/>
          <w:rtl/>
        </w:rPr>
        <w:t>ירושלמי</w:t>
      </w:r>
      <w:r w:rsidRPr="00C26AFA">
        <w:rPr>
          <w:rFonts w:ascii="Narkisim" w:hAnsi="Narkisim"/>
          <w:rtl/>
        </w:rPr>
        <w:t xml:space="preserve"> דלר' שמעון מאמר מהני בתורת ספק מדאורייתא. וכן מבואר ב</w:t>
      </w:r>
      <w:r w:rsidRPr="00C26AFA">
        <w:rPr>
          <w:rFonts w:ascii="Narkisim" w:hAnsi="Narkisim"/>
          <w:b/>
          <w:bCs/>
          <w:rtl/>
        </w:rPr>
        <w:t>תוס</w:t>
      </w:r>
      <w:r w:rsidRPr="00C26AFA">
        <w:rPr>
          <w:rFonts w:ascii="Narkisim" w:hAnsi="Narkisim"/>
          <w:rtl/>
        </w:rPr>
        <w:t xml:space="preserve">' (כט. סוד"ה לא) מבואר דס"ל דלר' שמעון מאמר קונה מדאורייתא </w:t>
      </w:r>
      <w:r w:rsidRPr="00C26AFA">
        <w:rPr>
          <w:rFonts w:ascii="Narkisim" w:hAnsi="Narkisim"/>
          <w:sz w:val="20"/>
          <w:szCs w:val="20"/>
          <w:rtl/>
        </w:rPr>
        <w:t>(ולכן נחשב אשת ב' מתים דאורייתא)</w:t>
      </w:r>
      <w:r w:rsidRPr="00C26AFA">
        <w:rPr>
          <w:rFonts w:ascii="Narkisim" w:hAnsi="Narkisim"/>
          <w:rtl/>
        </w:rPr>
        <w:t>. אבל לתוס' כאן צ"ל דכוונת ר' שמעון דתקנו מדרבנן דנחשב כאילו קנין גמור וממ"נ לא קנה שני, וכ"כ ה</w:t>
      </w:r>
      <w:r w:rsidRPr="00C26AFA">
        <w:rPr>
          <w:rFonts w:ascii="Narkisim" w:hAnsi="Narkisim"/>
          <w:b/>
          <w:bCs/>
          <w:rtl/>
        </w:rPr>
        <w:t>חזו"א</w:t>
      </w:r>
      <w:r w:rsidRPr="00C26AFA">
        <w:rPr>
          <w:rFonts w:ascii="Narkisim" w:hAnsi="Narkisim"/>
          <w:rtl/>
        </w:rPr>
        <w:t xml:space="preserve"> (קלא ד, קלב ו) ו</w:t>
      </w:r>
      <w:r w:rsidRPr="00C26AFA">
        <w:rPr>
          <w:rFonts w:ascii="Narkisim" w:hAnsi="Narkisim"/>
          <w:b/>
          <w:bCs/>
          <w:rtl/>
        </w:rPr>
        <w:t>או"ש</w:t>
      </w:r>
      <w:r w:rsidRPr="00C26AFA">
        <w:rPr>
          <w:rFonts w:ascii="Narkisim" w:hAnsi="Narkisim"/>
          <w:rtl/>
        </w:rPr>
        <w:t xml:space="preserve"> (קו' זיקה).</w:t>
      </w:r>
    </w:p>
    <w:p w14:paraId="483CB41C" w14:textId="77777777" w:rsidR="006074A5" w:rsidRPr="00C26AFA" w:rsidRDefault="006074A5" w:rsidP="006074A5">
      <w:pPr>
        <w:pStyle w:val="a7"/>
        <w:bidi/>
        <w:rPr>
          <w:rFonts w:ascii="Narkisim" w:hAnsi="Narkisim"/>
        </w:rPr>
      </w:pPr>
      <w:r w:rsidRPr="00C26AFA">
        <w:rPr>
          <w:rFonts w:ascii="Narkisim" w:hAnsi="Narkisim"/>
          <w:rtl/>
        </w:rPr>
        <w:t>ובגמ' (לקמן צה.) דנו דהיכא דעשה מאמר ביבמתו, ובא עליה אידך אסרה. וילפי' בק"ו דבאיסור קל נאסר האוסר, ו</w:t>
      </w:r>
      <w:r w:rsidRPr="00C26AFA">
        <w:rPr>
          <w:rFonts w:ascii="Narkisim" w:hAnsi="Narkisim"/>
          <w:b/>
          <w:bCs/>
          <w:rtl/>
        </w:rPr>
        <w:t>תוס'</w:t>
      </w:r>
      <w:r w:rsidRPr="00C26AFA">
        <w:rPr>
          <w:rFonts w:ascii="Narkisim" w:hAnsi="Narkisim"/>
          <w:rtl/>
        </w:rPr>
        <w:t xml:space="preserve"> (ד"ה עבד)</w:t>
      </w:r>
      <w:r w:rsidRPr="00C26AFA">
        <w:rPr>
          <w:rStyle w:val="ac"/>
          <w:rFonts w:ascii="Narkisim" w:hAnsi="Narkisim"/>
          <w:rtl/>
        </w:rPr>
        <w:footnoteReference w:id="3123"/>
      </w:r>
      <w:r w:rsidRPr="00C26AFA">
        <w:rPr>
          <w:rFonts w:ascii="Narkisim" w:hAnsi="Narkisim"/>
          <w:rtl/>
        </w:rPr>
        <w:t xml:space="preserve"> העמידו דקאי כמ"ד דמאמר קנה מדאורייתא</w:t>
      </w:r>
      <w:r w:rsidRPr="00C26AFA">
        <w:rPr>
          <w:rStyle w:val="ac"/>
          <w:rFonts w:ascii="Narkisim" w:hAnsi="Narkisim"/>
          <w:rtl/>
        </w:rPr>
        <w:footnoteReference w:id="3124"/>
      </w:r>
      <w:r w:rsidRPr="00C26AFA">
        <w:rPr>
          <w:rFonts w:ascii="Narkisim" w:hAnsi="Narkisim"/>
          <w:rtl/>
        </w:rPr>
        <w:t>. ובפשוטו כוונתם לבי"ש</w:t>
      </w:r>
      <w:r w:rsidRPr="00C26AFA">
        <w:rPr>
          <w:rStyle w:val="ac"/>
          <w:rFonts w:ascii="Narkisim" w:hAnsi="Narkisim"/>
          <w:rtl/>
        </w:rPr>
        <w:footnoteReference w:id="3125"/>
      </w:r>
      <w:r w:rsidRPr="00C26AFA">
        <w:rPr>
          <w:rFonts w:ascii="Narkisim" w:hAnsi="Narkisim"/>
          <w:rtl/>
        </w:rPr>
        <w:t xml:space="preserve"> [וכן צוין בדברי התוס' לעיל כט.]</w:t>
      </w:r>
      <w:r w:rsidRPr="00C26AFA">
        <w:rPr>
          <w:rStyle w:val="ac"/>
          <w:rFonts w:ascii="Narkisim" w:hAnsi="Narkisim"/>
          <w:rtl/>
        </w:rPr>
        <w:footnoteReference w:id="3126"/>
      </w:r>
      <w:r w:rsidRPr="00C26AFA">
        <w:rPr>
          <w:rFonts w:ascii="Narkisim" w:hAnsi="Narkisim"/>
          <w:rtl/>
        </w:rPr>
        <w:t>.</w:t>
      </w:r>
    </w:p>
    <w:p w14:paraId="5BD67ACD" w14:textId="77777777" w:rsidR="006074A5" w:rsidRPr="00C26AFA" w:rsidRDefault="006074A5" w:rsidP="006074A5">
      <w:pPr>
        <w:pStyle w:val="a7"/>
        <w:bidi/>
        <w:rPr>
          <w:rFonts w:ascii="Narkisim" w:hAnsi="Narkisim"/>
        </w:rPr>
      </w:pPr>
      <w:r w:rsidRPr="00C26AFA">
        <w:rPr>
          <w:rFonts w:ascii="Narkisim" w:hAnsi="Narkisim"/>
          <w:rtl/>
        </w:rPr>
        <w:t>ומשמע בגמ' דשייך בזה מח' רבנן ור"ג האם יש מאמר אחר מאמר בדאורייתא</w:t>
      </w:r>
      <w:r w:rsidRPr="00C26AFA">
        <w:rPr>
          <w:rStyle w:val="ac"/>
          <w:rFonts w:ascii="Narkisim" w:hAnsi="Narkisim"/>
          <w:rtl/>
        </w:rPr>
        <w:footnoteReference w:id="3127"/>
      </w:r>
      <w:r w:rsidRPr="00C26AFA">
        <w:rPr>
          <w:rFonts w:ascii="Narkisim" w:hAnsi="Narkisim"/>
          <w:rtl/>
        </w:rPr>
        <w:t>. [ודלא כגמ' לעיל נ: ונא. דמח' ר"ג ורבנן בגזירות].</w:t>
      </w:r>
    </w:p>
    <w:p w14:paraId="4E31E223" w14:textId="77777777" w:rsidR="006074A5" w:rsidRPr="00C26AFA" w:rsidRDefault="006074A5" w:rsidP="006074A5">
      <w:pPr>
        <w:pStyle w:val="a7"/>
        <w:bidi/>
        <w:rPr>
          <w:rFonts w:ascii="Narkisim" w:hAnsi="Narkisim"/>
        </w:rPr>
      </w:pPr>
      <w:r w:rsidRPr="00C26AFA">
        <w:rPr>
          <w:rFonts w:ascii="Narkisim" w:hAnsi="Narkisim"/>
          <w:rtl/>
        </w:rPr>
        <w:t xml:space="preserve">והגמ' (שם) מק' דאף ע"י גט או חלץ לה תאסר. ומבואר דגט מהני מדאו' </w:t>
      </w:r>
      <w:r w:rsidRPr="00C26AFA">
        <w:rPr>
          <w:rFonts w:ascii="Narkisim" w:hAnsi="Narkisim"/>
          <w:szCs w:val="20"/>
          <w:rtl/>
        </w:rPr>
        <w:t>[עכ”פ לבי”ש]</w:t>
      </w:r>
      <w:r w:rsidRPr="00C26AFA">
        <w:rPr>
          <w:rFonts w:ascii="Narkisim" w:hAnsi="Narkisim"/>
          <w:rtl/>
        </w:rPr>
        <w:t>. וצ"ע מסתימת התוס' כאן דאין צד דהוה מדאו'.</w:t>
      </w:r>
    </w:p>
    <w:p w14:paraId="6ABD467C" w14:textId="77777777" w:rsidR="006074A5" w:rsidRPr="00C26AFA" w:rsidRDefault="006074A5" w:rsidP="006074A5">
      <w:pPr>
        <w:pStyle w:val="aa"/>
        <w:bidi/>
        <w:rPr>
          <w:rFonts w:ascii="Narkisim" w:hAnsi="Narkisim"/>
        </w:rPr>
      </w:pPr>
      <w:r w:rsidRPr="00C26AFA">
        <w:rPr>
          <w:rFonts w:ascii="Narkisim" w:hAnsi="Narkisim"/>
          <w:u w:val="single"/>
          <w:rtl/>
        </w:rPr>
        <w:t>בא"ד ועוד דא”כ הול”ל נמי דאין אחר הגט כלום</w:t>
      </w:r>
      <w:r w:rsidRPr="00C26AFA">
        <w:rPr>
          <w:rStyle w:val="ac"/>
          <w:rFonts w:ascii="Narkisim" w:hAnsi="Narkisim"/>
          <w:rtl/>
        </w:rPr>
        <w:footnoteReference w:id="3128"/>
      </w:r>
      <w:r w:rsidRPr="00C26AFA">
        <w:rPr>
          <w:rFonts w:ascii="Narkisim" w:hAnsi="Narkisim"/>
          <w:rtl/>
        </w:rPr>
        <w:t>. ה</w:t>
      </w:r>
      <w:r w:rsidRPr="00C26AFA">
        <w:rPr>
          <w:rFonts w:ascii="Narkisim" w:hAnsi="Narkisim"/>
          <w:b/>
          <w:bCs/>
          <w:rtl/>
        </w:rPr>
        <w:t>מהרש"א</w:t>
      </w:r>
      <w:r w:rsidRPr="00C26AFA">
        <w:rPr>
          <w:rFonts w:ascii="Narkisim" w:hAnsi="Narkisim"/>
          <w:rtl/>
        </w:rPr>
        <w:t xml:space="preserve"> הק' דעד"ז ילה"ק דהו"ל לר' נחמיה לומר דאין אחר מאמר כלום. דהא ס"ל דאין מאמר אחר מאמר [אף לתי' ר"י בתוס']. וכת' ויש ליישב. וה</w:t>
      </w:r>
      <w:r w:rsidRPr="00C26AFA">
        <w:rPr>
          <w:rFonts w:ascii="Narkisim" w:hAnsi="Narkisim"/>
          <w:b/>
          <w:bCs/>
          <w:rtl/>
        </w:rPr>
        <w:t>רש"ש</w:t>
      </w:r>
      <w:r w:rsidRPr="00C26AFA">
        <w:rPr>
          <w:rFonts w:ascii="Narkisim" w:hAnsi="Narkisim"/>
          <w:rtl/>
        </w:rPr>
        <w:t xml:space="preserve"> תי' דכיון דביאה פסולה הוה כמאמר, א"כ ממילא שמעי' שאין אחר מאמר כלום. </w:t>
      </w:r>
      <w:r w:rsidRPr="00C26AFA">
        <w:rPr>
          <w:rFonts w:ascii="Narkisim" w:hAnsi="Narkisim"/>
          <w:rtl/>
        </w:rPr>
        <w:tab/>
        <w:t>וה</w:t>
      </w:r>
      <w:r w:rsidRPr="00C26AFA">
        <w:rPr>
          <w:rFonts w:ascii="Narkisim" w:hAnsi="Narkisim"/>
          <w:b/>
          <w:bCs/>
          <w:rtl/>
        </w:rPr>
        <w:t>רש"ש</w:t>
      </w:r>
      <w:r w:rsidRPr="00C26AFA">
        <w:rPr>
          <w:rFonts w:ascii="Narkisim" w:hAnsi="Narkisim"/>
          <w:rtl/>
        </w:rPr>
        <w:t xml:space="preserve"> הק' מהו באמצע לר' </w:t>
      </w:r>
      <w:r w:rsidRPr="00C26AFA">
        <w:rPr>
          <w:rFonts w:ascii="Narkisim" w:hAnsi="Narkisim"/>
          <w:rtl/>
        </w:rPr>
        <w:lastRenderedPageBreak/>
        <w:t>נחמיה, דאי ס"ל דאין גט אחר גט ואחר מאמר</w:t>
      </w:r>
      <w:r w:rsidRPr="00C26AFA">
        <w:rPr>
          <w:rStyle w:val="ac"/>
          <w:rFonts w:ascii="Narkisim" w:hAnsi="Narkisim"/>
          <w:rtl/>
        </w:rPr>
        <w:footnoteReference w:id="3129"/>
      </w:r>
      <w:r w:rsidRPr="00C26AFA">
        <w:rPr>
          <w:rFonts w:ascii="Narkisim" w:hAnsi="Narkisim"/>
          <w:rtl/>
        </w:rPr>
        <w:t>, ותיפו"ל משום מאמר וגט הראשונים ל"מ גט ומאמר אח”כ. ולא משום הביאה באמצע.</w:t>
      </w:r>
    </w:p>
    <w:p w14:paraId="7A45E0DB" w14:textId="77777777" w:rsidR="006074A5" w:rsidRPr="00C26AFA" w:rsidRDefault="006074A5" w:rsidP="006074A5">
      <w:pPr>
        <w:bidi/>
        <w:rPr>
          <w:rFonts w:ascii="Narkisim" w:hAnsi="Narkisim" w:cs="Narkisim"/>
        </w:rPr>
      </w:pPr>
      <w:r w:rsidRPr="00C26AFA">
        <w:rPr>
          <w:rFonts w:ascii="Narkisim" w:hAnsi="Narkisim" w:cs="Narkisim"/>
          <w:u w:val="single"/>
          <w:rtl/>
        </w:rPr>
        <w:t>בא"ד ונראה לר"י וכו' א"כ לר' נחמיה וכו' ליכא למיגזר מידי וכו'.</w:t>
      </w:r>
      <w:r w:rsidRPr="00C26AFA">
        <w:rPr>
          <w:rFonts w:ascii="Narkisim" w:hAnsi="Narkisim" w:cs="Narkisim"/>
          <w:rtl/>
        </w:rPr>
        <w:t xml:space="preserve"> [דסברת הגמ' דל"ש גזירה אף במאמר</w:t>
      </w:r>
      <w:r w:rsidRPr="00C26AFA">
        <w:rPr>
          <w:rStyle w:val="ac"/>
          <w:rFonts w:ascii="Narkisim" w:hAnsi="Narkisim" w:cs="Narkisim"/>
          <w:rtl/>
        </w:rPr>
        <w:footnoteReference w:id="3130"/>
      </w:r>
      <w:r w:rsidRPr="00C26AFA">
        <w:rPr>
          <w:rFonts w:ascii="Narkisim" w:hAnsi="Narkisim" w:cs="Narkisim"/>
          <w:rtl/>
        </w:rPr>
        <w:t xml:space="preserve">]. </w:t>
      </w:r>
      <w:r w:rsidRPr="00C26AFA">
        <w:rPr>
          <w:rFonts w:ascii="Narkisim" w:hAnsi="Narkisim" w:cs="Narkisim"/>
          <w:sz w:val="20"/>
          <w:szCs w:val="20"/>
          <w:rtl/>
        </w:rPr>
        <w:t>וה</w:t>
      </w:r>
      <w:r w:rsidRPr="00C26AFA">
        <w:rPr>
          <w:rFonts w:ascii="Narkisim" w:hAnsi="Narkisim" w:cs="Narkisim"/>
          <w:b/>
          <w:bCs/>
          <w:sz w:val="20"/>
          <w:szCs w:val="20"/>
          <w:rtl/>
        </w:rPr>
        <w:t>ריטב"א</w:t>
      </w:r>
      <w:r w:rsidRPr="00C26AFA">
        <w:rPr>
          <w:rFonts w:ascii="Narkisim" w:hAnsi="Narkisim" w:cs="Narkisim"/>
          <w:sz w:val="20"/>
          <w:szCs w:val="20"/>
          <w:rtl/>
        </w:rPr>
        <w:t xml:space="preserve"> הביא ד</w:t>
      </w:r>
      <w:r w:rsidRPr="00C26AFA">
        <w:rPr>
          <w:rFonts w:ascii="Narkisim" w:hAnsi="Narkisim" w:cs="Narkisim"/>
          <w:b/>
          <w:bCs/>
          <w:sz w:val="20"/>
          <w:szCs w:val="20"/>
          <w:rtl/>
        </w:rPr>
        <w:t>תוס</w:t>
      </w:r>
      <w:r w:rsidRPr="00C26AFA">
        <w:rPr>
          <w:rFonts w:ascii="Narkisim" w:hAnsi="Narkisim" w:cs="Narkisim"/>
          <w:sz w:val="20"/>
          <w:szCs w:val="20"/>
          <w:rtl/>
        </w:rPr>
        <w:t>' הקשו כיון דלר' נחמיה מידע ידיע, א"כ אמאי אמרי' שהיא פסולה [וצריכה חליצה]. ותי' דלר' נחמיה אלים סברת 'מידע ידיע' שלא להפריז בגזירות. ומ"מ לגבי היא עצמה הצריכו חליצה.</w:t>
      </w:r>
    </w:p>
    <w:p w14:paraId="65D01B48" w14:textId="77777777" w:rsidR="006074A5" w:rsidRPr="00C26AFA" w:rsidRDefault="006074A5" w:rsidP="006074A5">
      <w:pPr>
        <w:pStyle w:val="3"/>
        <w:bidi/>
        <w:rPr>
          <w:rFonts w:ascii="Narkisim" w:hAnsi="Narkisim"/>
        </w:rPr>
      </w:pPr>
      <w:r w:rsidRPr="00C26AFA">
        <w:rPr>
          <w:rFonts w:ascii="Narkisim" w:hAnsi="Narkisim"/>
          <w:rtl/>
        </w:rPr>
        <w:t>דף נב.</w:t>
      </w:r>
    </w:p>
    <w:p w14:paraId="7BB37E62" w14:textId="77777777" w:rsidR="006074A5" w:rsidRPr="00C26AFA" w:rsidRDefault="006074A5" w:rsidP="006074A5">
      <w:pPr>
        <w:pStyle w:val="2"/>
        <w:bidi/>
        <w:rPr>
          <w:rFonts w:ascii="Narkisim" w:hAnsi="Narkisim"/>
          <w:sz w:val="21"/>
        </w:rPr>
      </w:pPr>
      <w:r w:rsidRPr="00C26AFA">
        <w:rPr>
          <w:rFonts w:ascii="Narkisim" w:hAnsi="Narkisim"/>
          <w:sz w:val="21"/>
          <w:rtl/>
        </w:rPr>
        <w:t>פרחה זיקת יבמין</w:t>
      </w:r>
    </w:p>
    <w:p w14:paraId="30045EA7" w14:textId="77777777" w:rsidR="006074A5" w:rsidRPr="00C26AFA" w:rsidRDefault="006074A5" w:rsidP="006074A5">
      <w:pPr>
        <w:pStyle w:val="aa"/>
        <w:bidi/>
        <w:rPr>
          <w:rFonts w:ascii="Narkisim" w:hAnsi="Narkisim"/>
        </w:rPr>
      </w:pPr>
      <w:r w:rsidRPr="00C26AFA">
        <w:rPr>
          <w:rFonts w:ascii="Narkisim" w:hAnsi="Narkisim"/>
          <w:u w:val="single"/>
          <w:rtl/>
        </w:rPr>
        <w:t>אימא אף זה כמצותה.</w:t>
      </w:r>
      <w:r w:rsidRPr="00C26AFA">
        <w:rPr>
          <w:rFonts w:ascii="Narkisim" w:hAnsi="Narkisim"/>
          <w:rtl/>
        </w:rPr>
        <w:t xml:space="preserve"> וכן כתב </w:t>
      </w:r>
      <w:r w:rsidRPr="00C26AFA">
        <w:rPr>
          <w:rFonts w:ascii="Narkisim" w:hAnsi="Narkisim"/>
          <w:b/>
          <w:bCs/>
          <w:rtl/>
        </w:rPr>
        <w:t>רש”י</w:t>
      </w:r>
      <w:r w:rsidRPr="00C26AFA">
        <w:rPr>
          <w:rFonts w:ascii="Narkisim" w:hAnsi="Narkisim"/>
          <w:rtl/>
        </w:rPr>
        <w:t xml:space="preserve"> במשנה, וה</w:t>
      </w:r>
      <w:r w:rsidRPr="00C26AFA">
        <w:rPr>
          <w:rFonts w:ascii="Narkisim" w:hAnsi="Narkisim"/>
          <w:b/>
          <w:bCs/>
          <w:rtl/>
        </w:rPr>
        <w:t>מפרשים</w:t>
      </w:r>
      <w:r w:rsidRPr="00C26AFA">
        <w:rPr>
          <w:rFonts w:ascii="Narkisim" w:hAnsi="Narkisim"/>
          <w:rtl/>
        </w:rPr>
        <w:t xml:space="preserve"> הקשו דהגמ' בסוגיין נקטה כן דרך דחייה, ואליבא דאמת קי"ל כרב הונא דדוקא כה”ג הוה כמצוותו.</w:t>
      </w:r>
    </w:p>
    <w:p w14:paraId="32AFF99F" w14:textId="77777777" w:rsidR="006074A5" w:rsidRPr="00C26AFA" w:rsidRDefault="006074A5" w:rsidP="006074A5">
      <w:pPr>
        <w:bidi/>
        <w:rPr>
          <w:rFonts w:ascii="Narkisim" w:hAnsi="Narkisim" w:cs="Narkisim"/>
        </w:rPr>
      </w:pPr>
      <w:r w:rsidRPr="00C26AFA">
        <w:rPr>
          <w:rFonts w:ascii="Narkisim" w:hAnsi="Narkisim" w:cs="Narkisim"/>
          <w:u w:val="single"/>
          <w:rtl/>
        </w:rPr>
        <w:t>סד"א כיון דאמר מר (אליבא דבי”ש כט:), פרחה וכו' אימא לאו מצוה קעביד.</w:t>
      </w:r>
      <w:r w:rsidRPr="00C26AFA">
        <w:rPr>
          <w:rFonts w:ascii="Narkisim" w:hAnsi="Narkisim" w:cs="Narkisim"/>
          <w:rtl/>
        </w:rPr>
        <w:t xml:space="preserve"> והוה ביטול במקצת.</w:t>
      </w:r>
      <w:r w:rsidRPr="00C26AFA">
        <w:rPr>
          <w:rFonts w:ascii="Narkisim" w:hAnsi="Narkisim" w:cs="Narkisim"/>
          <w:sz w:val="20"/>
          <w:szCs w:val="20"/>
          <w:rtl/>
        </w:rPr>
        <w:t xml:space="preserve"> [למ"ד דבי"ש ס"ל דמאמר קונה קנין גמור</w:t>
      </w:r>
      <w:r w:rsidRPr="00C26AFA">
        <w:rPr>
          <w:rStyle w:val="ac"/>
          <w:rFonts w:ascii="Narkisim" w:hAnsi="Narkisim" w:cs="Narkisim"/>
          <w:sz w:val="20"/>
          <w:szCs w:val="20"/>
          <w:rtl/>
        </w:rPr>
        <w:footnoteReference w:id="3131"/>
      </w:r>
      <w:r w:rsidRPr="00C26AFA">
        <w:rPr>
          <w:rFonts w:ascii="Narkisim" w:hAnsi="Narkisim" w:cs="Narkisim"/>
          <w:sz w:val="20"/>
          <w:szCs w:val="20"/>
          <w:rtl/>
        </w:rPr>
        <w:t xml:space="preserve"> בפשוטו עיקר מצוות יבום ע"י מאמר, ואחריו ל"ש מצווה</w:t>
      </w:r>
      <w:r w:rsidRPr="00C26AFA">
        <w:rPr>
          <w:rStyle w:val="ac"/>
          <w:rFonts w:ascii="Narkisim" w:hAnsi="Narkisim" w:cs="Narkisim"/>
          <w:sz w:val="20"/>
          <w:szCs w:val="20"/>
          <w:rtl/>
        </w:rPr>
        <w:footnoteReference w:id="3132"/>
      </w:r>
      <w:r w:rsidRPr="00C26AFA">
        <w:rPr>
          <w:rFonts w:ascii="Narkisim" w:hAnsi="Narkisim" w:cs="Narkisim"/>
          <w:sz w:val="20"/>
          <w:szCs w:val="20"/>
          <w:rtl/>
        </w:rPr>
        <w:t>].</w:t>
      </w:r>
    </w:p>
    <w:p w14:paraId="24081125" w14:textId="77777777" w:rsidR="006074A5" w:rsidRPr="00C26AFA" w:rsidRDefault="006074A5" w:rsidP="006074A5">
      <w:pPr>
        <w:pStyle w:val="a7"/>
        <w:bidi/>
        <w:rPr>
          <w:rFonts w:ascii="Narkisim" w:hAnsi="Narkisim"/>
        </w:rPr>
      </w:pPr>
      <w:r w:rsidRPr="00C26AFA">
        <w:rPr>
          <w:rFonts w:ascii="Narkisim" w:hAnsi="Narkisim"/>
          <w:rtl/>
        </w:rPr>
        <w:t>ובפשוטו משמע דקאי כבי"ש</w:t>
      </w:r>
      <w:r w:rsidRPr="00C26AFA">
        <w:rPr>
          <w:rStyle w:val="ac"/>
          <w:rFonts w:ascii="Narkisim" w:hAnsi="Narkisim"/>
          <w:rtl/>
        </w:rPr>
        <w:footnoteReference w:id="3133"/>
      </w:r>
      <w:r w:rsidRPr="00C26AFA">
        <w:rPr>
          <w:rFonts w:ascii="Narkisim" w:hAnsi="Narkisim"/>
          <w:rtl/>
        </w:rPr>
        <w:t>, ואילו לבי"ה לא שייך 'פרחה'. אבל יש שפי' [וכ"מ ברמ"א, ע' בסמוך] דאף לבי"ה מדרבנן גדר המאמר דנחשב דפרחה זיקת יבום. וה</w:t>
      </w:r>
      <w:r w:rsidRPr="00C26AFA">
        <w:rPr>
          <w:rFonts w:ascii="Narkisim" w:hAnsi="Narkisim"/>
          <w:b/>
          <w:bCs/>
          <w:rtl/>
        </w:rPr>
        <w:t>ערול"נ</w:t>
      </w:r>
      <w:r w:rsidRPr="00C26AFA">
        <w:rPr>
          <w:rFonts w:ascii="Narkisim" w:hAnsi="Narkisim"/>
          <w:rtl/>
        </w:rPr>
        <w:t xml:space="preserve"> כתב דקמ"ל דלא אמרי' דפרחה לבית הלל.</w:t>
      </w:r>
    </w:p>
    <w:p w14:paraId="64867DC0" w14:textId="77777777" w:rsidR="006074A5" w:rsidRPr="00C26AFA" w:rsidRDefault="006074A5" w:rsidP="006074A5">
      <w:pPr>
        <w:pStyle w:val="a7"/>
        <w:bidi/>
        <w:rPr>
          <w:rFonts w:ascii="Narkisim" w:hAnsi="Narkisim"/>
        </w:rPr>
      </w:pPr>
      <w:r w:rsidRPr="00C26AFA">
        <w:rPr>
          <w:rFonts w:ascii="Narkisim" w:hAnsi="Narkisim"/>
          <w:rtl/>
        </w:rPr>
        <w:t>אבל ה</w:t>
      </w:r>
      <w:r w:rsidRPr="00C26AFA">
        <w:rPr>
          <w:rFonts w:ascii="Narkisim" w:hAnsi="Narkisim"/>
          <w:b/>
          <w:bCs/>
          <w:rtl/>
        </w:rPr>
        <w:t>ריטב"א</w:t>
      </w:r>
      <w:r w:rsidRPr="00C26AFA">
        <w:rPr>
          <w:rFonts w:ascii="Narkisim" w:hAnsi="Narkisim"/>
          <w:rtl/>
        </w:rPr>
        <w:t xml:space="preserve"> כתב דס"ד </w:t>
      </w:r>
      <w:r w:rsidRPr="00C26AFA">
        <w:rPr>
          <w:rFonts w:ascii="Narkisim" w:hAnsi="Narkisim"/>
          <w:i/>
          <w:iCs/>
          <w:rtl/>
        </w:rPr>
        <w:t>דנראה</w:t>
      </w:r>
      <w:r w:rsidRPr="00C26AFA">
        <w:rPr>
          <w:rFonts w:ascii="Narkisim" w:hAnsi="Narkisim"/>
          <w:rtl/>
        </w:rPr>
        <w:t xml:space="preserve"> כמבטל מצוות יבמין.</w:t>
      </w:r>
    </w:p>
    <w:p w14:paraId="16930944"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תוס' מהר"ם ור"פ</w:t>
      </w:r>
      <w:r w:rsidRPr="00C26AFA">
        <w:rPr>
          <w:rFonts w:ascii="Narkisim" w:hAnsi="Narkisim"/>
          <w:rtl/>
        </w:rPr>
        <w:t xml:space="preserve"> (נג:) דן דביאה אחר מאמר</w:t>
      </w:r>
      <w:r w:rsidRPr="00C26AFA">
        <w:rPr>
          <w:rStyle w:val="ac"/>
          <w:rFonts w:ascii="Narkisim" w:hAnsi="Narkisim"/>
          <w:rtl/>
        </w:rPr>
        <w:footnoteReference w:id="3134"/>
      </w:r>
      <w:r w:rsidRPr="00C26AFA">
        <w:rPr>
          <w:rFonts w:ascii="Narkisim" w:hAnsi="Narkisim"/>
          <w:rtl/>
        </w:rPr>
        <w:t xml:space="preserve"> ל"ק ובעי חליצה, דכיון דפרחה זיקת יבמין וחל זיקת אירוסין</w:t>
      </w:r>
      <w:r w:rsidRPr="00C26AFA">
        <w:rPr>
          <w:rStyle w:val="ac"/>
          <w:rFonts w:ascii="Narkisim" w:hAnsi="Narkisim"/>
          <w:rtl/>
        </w:rPr>
        <w:footnoteReference w:id="3135"/>
      </w:r>
      <w:r w:rsidRPr="00C26AFA">
        <w:rPr>
          <w:rFonts w:ascii="Narkisim" w:hAnsi="Narkisim"/>
          <w:rtl/>
        </w:rPr>
        <w:t>. וכתב בשם ה</w:t>
      </w:r>
      <w:r w:rsidRPr="00C26AFA">
        <w:rPr>
          <w:rFonts w:ascii="Narkisim" w:hAnsi="Narkisim"/>
          <w:b/>
          <w:bCs/>
          <w:rtl/>
        </w:rPr>
        <w:t>ר"מ</w:t>
      </w:r>
      <w:r w:rsidRPr="00C26AFA">
        <w:rPr>
          <w:rFonts w:ascii="Narkisim" w:hAnsi="Narkisim"/>
          <w:rtl/>
        </w:rPr>
        <w:t xml:space="preserve"> דאע"ג דפרחה זיקת יבמין ול"ק לכל דבר ליורשה ולטמא, מ"מ קנאה לדברים הכתובים בפרשה [כביאת שוגג], ואי”צ חליצה. [ומבואר מדבריו דהגדר פרחה זיקת יבמין היינו רק לענין דיני נישואין, ולא שלא קנה כלל].</w:t>
      </w:r>
    </w:p>
    <w:p w14:paraId="21D7395E" w14:textId="77777777" w:rsidR="006074A5" w:rsidRPr="00C26AFA" w:rsidRDefault="006074A5" w:rsidP="006074A5">
      <w:pPr>
        <w:bidi/>
        <w:rPr>
          <w:rFonts w:ascii="Narkisim" w:hAnsi="Narkisim" w:cs="Narkisim"/>
        </w:rPr>
      </w:pPr>
      <w:r w:rsidRPr="00C26AFA">
        <w:rPr>
          <w:rFonts w:ascii="Narkisim" w:hAnsi="Narkisim" w:cs="Narkisim"/>
          <w:rtl/>
        </w:rPr>
        <w:t>ה</w:t>
      </w:r>
      <w:r w:rsidRPr="00C26AFA">
        <w:rPr>
          <w:rFonts w:ascii="Narkisim" w:hAnsi="Narkisim" w:cs="Narkisim"/>
          <w:b/>
          <w:bCs/>
          <w:rtl/>
        </w:rPr>
        <w:t>רמ"א</w:t>
      </w:r>
      <w:r w:rsidRPr="00C26AFA">
        <w:rPr>
          <w:rFonts w:ascii="Narkisim" w:hAnsi="Narkisim" w:cs="Narkisim"/>
          <w:rtl/>
        </w:rPr>
        <w:t xml:space="preserve"> (קסו ב) פסק דצריכה חופה אחרי המאמר </w:t>
      </w:r>
      <w:r w:rsidRPr="00C26AFA">
        <w:rPr>
          <w:rFonts w:ascii="Narkisim" w:hAnsi="Narkisim" w:cs="Narkisim"/>
          <w:sz w:val="20"/>
          <w:szCs w:val="20"/>
          <w:rtl/>
        </w:rPr>
        <w:t>(ע”פ דברי הגהות מרדכי)</w:t>
      </w:r>
      <w:r w:rsidRPr="00C26AFA">
        <w:rPr>
          <w:rFonts w:ascii="Narkisim" w:hAnsi="Narkisim" w:cs="Narkisim"/>
          <w:rtl/>
        </w:rPr>
        <w:t>. וה</w:t>
      </w:r>
      <w:r w:rsidRPr="00C26AFA">
        <w:rPr>
          <w:rFonts w:ascii="Narkisim" w:hAnsi="Narkisim" w:cs="Narkisim"/>
          <w:b/>
          <w:bCs/>
          <w:rtl/>
        </w:rPr>
        <w:t>גר”א</w:t>
      </w:r>
      <w:r w:rsidRPr="00C26AFA">
        <w:rPr>
          <w:rFonts w:ascii="Narkisim" w:hAnsi="Narkisim" w:cs="Narkisim"/>
          <w:rtl/>
        </w:rPr>
        <w:t xml:space="preserve"> (ז) הביא דברי הגמ' (לעיל כט:, לדעת בי"ש) דפרחה זיקת יבמין, וצריכה מסירה לחופה. והגר"א הקשה די"ל דהתם מדאורייתא. וצ”ע</w:t>
      </w:r>
      <w:r w:rsidRPr="00C26AFA">
        <w:rPr>
          <w:rStyle w:val="ac"/>
          <w:rFonts w:ascii="Narkisim" w:hAnsi="Narkisim" w:cs="Narkisim"/>
          <w:rtl/>
        </w:rPr>
        <w:footnoteReference w:id="3136"/>
      </w:r>
      <w:r w:rsidRPr="00C26AFA">
        <w:rPr>
          <w:rFonts w:ascii="Narkisim" w:hAnsi="Narkisim" w:cs="Narkisim"/>
          <w:rtl/>
        </w:rPr>
        <w:t>.</w:t>
      </w:r>
    </w:p>
    <w:p w14:paraId="58C07F72" w14:textId="77777777" w:rsidR="006074A5" w:rsidRPr="00C26AFA" w:rsidRDefault="006074A5" w:rsidP="006074A5">
      <w:pPr>
        <w:pStyle w:val="a7"/>
        <w:bidi/>
        <w:rPr>
          <w:rFonts w:ascii="Narkisim" w:hAnsi="Narkisim"/>
        </w:rPr>
      </w:pPr>
      <w:r w:rsidRPr="00C26AFA">
        <w:rPr>
          <w:rFonts w:ascii="Narkisim" w:hAnsi="Narkisim"/>
          <w:rtl/>
        </w:rPr>
        <w:t>אבל ה</w:t>
      </w:r>
      <w:r w:rsidRPr="00C26AFA">
        <w:rPr>
          <w:rFonts w:ascii="Narkisim" w:hAnsi="Narkisim"/>
          <w:b/>
          <w:bCs/>
          <w:rtl/>
        </w:rPr>
        <w:t>מאירי</w:t>
      </w:r>
      <w:r w:rsidRPr="00C26AFA">
        <w:rPr>
          <w:rFonts w:ascii="Narkisim" w:hAnsi="Narkisim"/>
          <w:rtl/>
        </w:rPr>
        <w:t xml:space="preserve"> (לעיל כט:) כתב דהעושה מאמר אי"צ חופה כלל, ולא אמרי' דפרחה ממנו זיקת יבמין, דאין כאן סרך אירוסין כלל</w:t>
      </w:r>
      <w:r w:rsidRPr="00C26AFA">
        <w:rPr>
          <w:rStyle w:val="ac"/>
          <w:rFonts w:ascii="Narkisim" w:hAnsi="Narkisim"/>
          <w:rtl/>
        </w:rPr>
        <w:footnoteReference w:id="3137"/>
      </w:r>
      <w:r w:rsidRPr="00C26AFA">
        <w:rPr>
          <w:rFonts w:ascii="Narkisim" w:hAnsi="Narkisim"/>
          <w:rtl/>
        </w:rPr>
        <w:t>. וכן אין חופה גומרת בה אלא ביאה, ואפי' בא עליה בע"כ.</w:t>
      </w:r>
    </w:p>
    <w:p w14:paraId="6BE6305F" w14:textId="77777777" w:rsidR="006074A5" w:rsidRPr="00C26AFA" w:rsidRDefault="006074A5" w:rsidP="006074A5">
      <w:pPr>
        <w:bidi/>
        <w:rPr>
          <w:rFonts w:ascii="Narkisim" w:hAnsi="Narkisim" w:cs="Narkisim"/>
        </w:rPr>
      </w:pPr>
      <w:r w:rsidRPr="00C26AFA">
        <w:rPr>
          <w:rFonts w:ascii="Narkisim" w:hAnsi="Narkisim" w:cs="Narkisim"/>
          <w:u w:val="single"/>
          <w:rtl/>
        </w:rPr>
        <w:t>אלא אימא אם בעל בלא מאמר וכו' והתניא לוקה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אלמא דאורייתא היא. וה</w:t>
      </w:r>
      <w:r w:rsidRPr="00C26AFA">
        <w:rPr>
          <w:rFonts w:ascii="Narkisim" w:hAnsi="Narkisim" w:cs="Narkisim"/>
          <w:b/>
          <w:bCs/>
          <w:rtl/>
        </w:rPr>
        <w:t>רמב"ן</w:t>
      </w:r>
      <w:r w:rsidRPr="00C26AFA">
        <w:rPr>
          <w:rFonts w:ascii="Narkisim" w:hAnsi="Narkisim" w:cs="Narkisim"/>
          <w:rtl/>
        </w:rPr>
        <w:t xml:space="preserve"> תמה דמאמר דרבנן</w:t>
      </w:r>
      <w:r w:rsidRPr="00C26AFA">
        <w:rPr>
          <w:rStyle w:val="ac"/>
          <w:rFonts w:ascii="Narkisim" w:hAnsi="Narkisim" w:cs="Narkisim"/>
          <w:rtl/>
        </w:rPr>
        <w:footnoteReference w:id="3138"/>
      </w:r>
      <w:r w:rsidRPr="00C26AFA">
        <w:rPr>
          <w:rFonts w:ascii="Narkisim" w:hAnsi="Narkisim" w:cs="Narkisim"/>
          <w:rtl/>
        </w:rPr>
        <w:t xml:space="preserve">, והיכי ס"ד דילקה מה"ת. ותי' קס"ד דאסור לבעול עד שיקדש </w:t>
      </w:r>
      <w:r w:rsidRPr="00C26AFA">
        <w:rPr>
          <w:rFonts w:ascii="Narkisim" w:hAnsi="Narkisim" w:cs="Narkisim"/>
          <w:rtl/>
        </w:rPr>
        <w:lastRenderedPageBreak/>
        <w:t>מדאורייתא</w:t>
      </w:r>
      <w:r w:rsidRPr="00C26AFA">
        <w:rPr>
          <w:rStyle w:val="ac"/>
          <w:rFonts w:ascii="Narkisim" w:hAnsi="Narkisim" w:cs="Narkisim"/>
          <w:rtl/>
        </w:rPr>
        <w:footnoteReference w:id="3139"/>
      </w:r>
      <w:r w:rsidRPr="00C26AFA">
        <w:rPr>
          <w:rFonts w:ascii="Narkisim" w:hAnsi="Narkisim" w:cs="Narkisim"/>
          <w:rtl/>
        </w:rPr>
        <w:t>, אבל מאמר אינו משמש כלום</w:t>
      </w:r>
      <w:r w:rsidRPr="00C26AFA">
        <w:rPr>
          <w:rStyle w:val="ac"/>
          <w:rFonts w:ascii="Narkisim" w:hAnsi="Narkisim" w:cs="Narkisim"/>
          <w:rtl/>
        </w:rPr>
        <w:footnoteReference w:id="3140"/>
      </w:r>
      <w:r w:rsidRPr="00C26AFA">
        <w:rPr>
          <w:rFonts w:ascii="Narkisim" w:hAnsi="Narkisim" w:cs="Narkisim"/>
          <w:sz w:val="20"/>
          <w:szCs w:val="20"/>
          <w:rtl/>
        </w:rPr>
        <w:t xml:space="preserve"> [לאסור אותו לאחים ובקרובים וכו']</w:t>
      </w:r>
      <w:r w:rsidRPr="00C26AFA">
        <w:rPr>
          <w:rStyle w:val="ac"/>
          <w:rFonts w:ascii="Narkisim" w:hAnsi="Narkisim" w:cs="Narkisim"/>
          <w:rtl/>
        </w:rPr>
        <w:footnoteReference w:id="3141"/>
      </w:r>
      <w:r w:rsidRPr="00C26AFA">
        <w:rPr>
          <w:rFonts w:ascii="Narkisim" w:hAnsi="Narkisim" w:cs="Narkisim"/>
          <w:rtl/>
        </w:rPr>
        <w:t>. וה</w:t>
      </w:r>
      <w:r w:rsidRPr="00C26AFA">
        <w:rPr>
          <w:rFonts w:ascii="Narkisim" w:hAnsi="Narkisim" w:cs="Narkisim"/>
          <w:b/>
          <w:bCs/>
          <w:rtl/>
        </w:rPr>
        <w:t>רשב"א</w:t>
      </w:r>
      <w:r w:rsidRPr="00C26AFA">
        <w:rPr>
          <w:rFonts w:ascii="Narkisim" w:hAnsi="Narkisim" w:cs="Narkisim"/>
          <w:rtl/>
        </w:rPr>
        <w:t xml:space="preserve"> הוסיף שע"י כך התירה הכתוב, שהיא קנויה לו קודם.</w:t>
      </w:r>
    </w:p>
    <w:p w14:paraId="78DAA54B"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ריטב"א</w:t>
      </w:r>
      <w:r w:rsidRPr="00C26AFA">
        <w:rPr>
          <w:rFonts w:ascii="Narkisim" w:hAnsi="Narkisim"/>
          <w:rtl/>
        </w:rPr>
        <w:t xml:space="preserve"> הקשה דאפי' הכי ליכא במאמר אלא עשה, והיאך לקי על ביטולו</w:t>
      </w:r>
      <w:r w:rsidRPr="00C26AFA">
        <w:rPr>
          <w:rStyle w:val="ac"/>
          <w:rFonts w:ascii="Narkisim" w:hAnsi="Narkisim"/>
          <w:rtl/>
        </w:rPr>
        <w:footnoteReference w:id="3142"/>
      </w:r>
      <w:r w:rsidRPr="00C26AFA">
        <w:rPr>
          <w:rFonts w:ascii="Narkisim" w:hAnsi="Narkisim"/>
          <w:rtl/>
        </w:rPr>
        <w:t xml:space="preserve">. </w:t>
      </w:r>
      <w:r w:rsidRPr="00C26AFA">
        <w:rPr>
          <w:rFonts w:ascii="Narkisim" w:hAnsi="Narkisim"/>
          <w:sz w:val="20"/>
          <w:szCs w:val="20"/>
          <w:rtl/>
        </w:rPr>
        <w:t>וה</w:t>
      </w:r>
      <w:r w:rsidRPr="00C26AFA">
        <w:rPr>
          <w:rFonts w:ascii="Narkisim" w:hAnsi="Narkisim"/>
          <w:b/>
          <w:bCs/>
          <w:sz w:val="20"/>
          <w:szCs w:val="20"/>
          <w:rtl/>
        </w:rPr>
        <w:t>אמר"מ</w:t>
      </w:r>
      <w:r w:rsidRPr="00C26AFA">
        <w:rPr>
          <w:rFonts w:ascii="Narkisim" w:hAnsi="Narkisim"/>
          <w:sz w:val="20"/>
          <w:szCs w:val="20"/>
          <w:rtl/>
        </w:rPr>
        <w:t xml:space="preserve"> (ה יד) כתב ליישב ע"פ דברי ה</w:t>
      </w:r>
      <w:r w:rsidRPr="00C26AFA">
        <w:rPr>
          <w:rFonts w:ascii="Narkisim" w:hAnsi="Narkisim"/>
          <w:b/>
          <w:bCs/>
          <w:sz w:val="20"/>
          <w:szCs w:val="20"/>
          <w:rtl/>
        </w:rPr>
        <w:t>ירושלמי</w:t>
      </w:r>
      <w:r w:rsidRPr="00C26AFA">
        <w:rPr>
          <w:rFonts w:ascii="Narkisim" w:hAnsi="Narkisim"/>
          <w:sz w:val="20"/>
          <w:szCs w:val="20"/>
          <w:rtl/>
        </w:rPr>
        <w:t xml:space="preserve"> (הו' לעיל לט:) דלאבא שאול כשבא על יבמתו שלא לשם מצוה עובר באיסור יבמה לשוק, ה"נ כיון דאינו כתיקונו ילקה משום יבמה לשוק.</w:t>
      </w:r>
    </w:p>
    <w:p w14:paraId="770426F4" w14:textId="77777777" w:rsidR="006074A5" w:rsidRPr="00C26AFA" w:rsidRDefault="006074A5" w:rsidP="006074A5">
      <w:pPr>
        <w:bidi/>
        <w:rPr>
          <w:rFonts w:ascii="Narkisim" w:hAnsi="Narkisim" w:cs="Narkisim"/>
        </w:rPr>
      </w:pPr>
      <w:r w:rsidRPr="00C26AFA">
        <w:rPr>
          <w:rFonts w:ascii="Narkisim" w:hAnsi="Narkisim" w:cs="Narkisim"/>
          <w:rtl/>
        </w:rPr>
        <w:t xml:space="preserve">אבל </w:t>
      </w:r>
      <w:r w:rsidRPr="00C26AFA">
        <w:rPr>
          <w:rFonts w:ascii="Narkisim" w:hAnsi="Narkisim" w:cs="Narkisim"/>
          <w:b/>
          <w:bCs/>
          <w:rtl/>
        </w:rPr>
        <w:t>תוס</w:t>
      </w:r>
      <w:r w:rsidRPr="00C26AFA">
        <w:rPr>
          <w:rFonts w:ascii="Narkisim" w:hAnsi="Narkisim" w:cs="Narkisim"/>
          <w:rtl/>
        </w:rPr>
        <w:t>' (ד"ה אם) כתבו דאף לס"ד הוה דרבנן</w:t>
      </w:r>
      <w:r w:rsidRPr="00C26AFA">
        <w:rPr>
          <w:rStyle w:val="ac"/>
          <w:rFonts w:ascii="Narkisim" w:hAnsi="Narkisim" w:cs="Narkisim"/>
          <w:rtl/>
        </w:rPr>
        <w:footnoteReference w:id="3143"/>
      </w:r>
      <w:r w:rsidRPr="00C26AFA">
        <w:rPr>
          <w:rFonts w:ascii="Narkisim" w:hAnsi="Narkisim" w:cs="Narkisim"/>
          <w:rtl/>
        </w:rPr>
        <w:t>, וס"ד דעשאוה כפוגע באשת אח שלא במקום מצוה, ולא יקנה מדרבנן. וה</w:t>
      </w:r>
      <w:r w:rsidRPr="00C26AFA">
        <w:rPr>
          <w:rFonts w:ascii="Narkisim" w:hAnsi="Narkisim" w:cs="Narkisim"/>
          <w:b/>
          <w:bCs/>
          <w:rtl/>
        </w:rPr>
        <w:t>תוס' הרא"ש</w:t>
      </w:r>
      <w:r w:rsidRPr="00C26AFA">
        <w:rPr>
          <w:rFonts w:ascii="Narkisim" w:hAnsi="Narkisim" w:cs="Narkisim"/>
          <w:rtl/>
        </w:rPr>
        <w:t xml:space="preserve"> הוסיף דהוה כביאה פסולה ולא קני לגמרי [ובעי חליצה]. </w:t>
      </w:r>
      <w:r w:rsidRPr="00C26AFA">
        <w:rPr>
          <w:rFonts w:ascii="Narkisim" w:hAnsi="Narkisim" w:cs="Narkisim"/>
          <w:sz w:val="20"/>
          <w:szCs w:val="20"/>
          <w:rtl/>
        </w:rPr>
        <w:t>[ותקנו שיחשב היבמה באיסור אשת אח היכא דל"ק כסדר המצווה מדרבנן</w:t>
      </w:r>
      <w:r w:rsidRPr="00C26AFA">
        <w:rPr>
          <w:rStyle w:val="ac"/>
          <w:rFonts w:ascii="Narkisim" w:hAnsi="Narkisim" w:cs="Narkisim"/>
          <w:sz w:val="20"/>
          <w:szCs w:val="20"/>
          <w:rtl/>
        </w:rPr>
        <w:footnoteReference w:id="3144"/>
      </w:r>
      <w:r w:rsidRPr="00C26AFA">
        <w:rPr>
          <w:rFonts w:ascii="Narkisim" w:hAnsi="Narkisim" w:cs="Narkisim"/>
          <w:sz w:val="20"/>
          <w:szCs w:val="20"/>
          <w:rtl/>
        </w:rPr>
        <w:t>].</w:t>
      </w:r>
      <w:r w:rsidRPr="00C26AFA">
        <w:rPr>
          <w:rFonts w:ascii="Narkisim" w:hAnsi="Narkisim" w:cs="Narkisim"/>
          <w:rtl/>
        </w:rPr>
        <w:t xml:space="preserve"> אך צ"ע מ"ש מהא דקי"ל </w:t>
      </w:r>
      <w:r w:rsidRPr="00C26AFA">
        <w:rPr>
          <w:rFonts w:ascii="Narkisim" w:hAnsi="Narkisim" w:cs="Narkisim"/>
          <w:szCs w:val="20"/>
          <w:rtl/>
        </w:rPr>
        <w:t>(לעיל כ:)</w:t>
      </w:r>
      <w:r w:rsidRPr="00C26AFA">
        <w:rPr>
          <w:rFonts w:ascii="Narkisim" w:hAnsi="Narkisim" w:cs="Narkisim"/>
          <w:rtl/>
        </w:rPr>
        <w:t xml:space="preserve"> בחייבי לאוין ושניות מדברי סופרים שאם בעלו קנו. ולא העמידו דבריהם להחשב כמו איסור אשת אח</w:t>
      </w:r>
      <w:r w:rsidRPr="00C26AFA">
        <w:rPr>
          <w:rStyle w:val="ac"/>
          <w:rFonts w:ascii="Narkisim" w:hAnsi="Narkisim" w:cs="Narkisim"/>
          <w:rtl/>
        </w:rPr>
        <w:footnoteReference w:id="3145"/>
      </w:r>
      <w:r w:rsidRPr="00C26AFA">
        <w:rPr>
          <w:rFonts w:ascii="Narkisim" w:hAnsi="Narkisim" w:cs="Narkisim"/>
          <w:rtl/>
        </w:rPr>
        <w:t>.</w:t>
      </w:r>
    </w:p>
    <w:p w14:paraId="75575074"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כתב דנידון הגמ' דבדיעבד קנה ואי"צ לעשות מאמר לפני שיבא עליה שוב</w:t>
      </w:r>
      <w:r w:rsidRPr="00C26AFA">
        <w:rPr>
          <w:rStyle w:val="ac"/>
          <w:rFonts w:ascii="Narkisim" w:hAnsi="Narkisim"/>
          <w:rtl/>
        </w:rPr>
        <w:footnoteReference w:id="3146"/>
      </w:r>
      <w:r w:rsidRPr="00C26AFA">
        <w:rPr>
          <w:rFonts w:ascii="Narkisim" w:hAnsi="Narkisim"/>
          <w:rtl/>
        </w:rPr>
        <w:t xml:space="preserve">. </w:t>
      </w:r>
      <w:r w:rsidRPr="00C26AFA">
        <w:rPr>
          <w:rFonts w:ascii="Narkisim" w:hAnsi="Narkisim"/>
          <w:sz w:val="20"/>
          <w:szCs w:val="20"/>
          <w:rtl/>
        </w:rPr>
        <w:t>[ובזה תי' הגמ' דלאו משום תקנתא דמאמר אלא בכל קידושין, ומשום פריצותא, ואי”צ לחזור ולקדש].</w:t>
      </w:r>
    </w:p>
    <w:p w14:paraId="31B66F0C" w14:textId="77777777" w:rsidR="006074A5" w:rsidRPr="00C26AFA" w:rsidRDefault="006074A5" w:rsidP="006074A5">
      <w:pPr>
        <w:pStyle w:val="aa"/>
        <w:bidi/>
        <w:rPr>
          <w:rFonts w:ascii="Narkisim" w:hAnsi="Narkisim"/>
        </w:rPr>
      </w:pPr>
      <w:r w:rsidRPr="00C26AFA">
        <w:rPr>
          <w:rFonts w:ascii="Narkisim" w:hAnsi="Narkisim"/>
          <w:u w:val="single"/>
          <w:rtl/>
        </w:rPr>
        <w:t>רש"י ד"ה והתניא לוקה.</w:t>
      </w:r>
      <w:r w:rsidRPr="00C26AFA">
        <w:rPr>
          <w:rFonts w:ascii="Narkisim" w:hAnsi="Narkisim"/>
          <w:rtl/>
        </w:rPr>
        <w:t xml:space="preserve"> ואין מלקות מ' אלא על דברי תורה. משמע ברש"י דמכות מרדות אינה ארבעים</w:t>
      </w:r>
      <w:r w:rsidRPr="00C26AFA">
        <w:rPr>
          <w:rStyle w:val="ac"/>
          <w:rFonts w:ascii="Narkisim" w:hAnsi="Narkisim"/>
          <w:rtl/>
        </w:rPr>
        <w:footnoteReference w:id="3147"/>
      </w:r>
      <w:r w:rsidRPr="00C26AFA">
        <w:rPr>
          <w:rFonts w:ascii="Narkisim" w:hAnsi="Narkisim"/>
          <w:rtl/>
        </w:rPr>
        <w:t>. וב</w:t>
      </w:r>
      <w:r w:rsidRPr="00C26AFA">
        <w:rPr>
          <w:rFonts w:ascii="Narkisim" w:hAnsi="Narkisim"/>
          <w:b/>
          <w:bCs/>
          <w:rtl/>
        </w:rPr>
        <w:t>שו"ע</w:t>
      </w:r>
      <w:r w:rsidRPr="00C26AFA">
        <w:rPr>
          <w:rFonts w:ascii="Narkisim" w:hAnsi="Narkisim"/>
          <w:rtl/>
        </w:rPr>
        <w:t xml:space="preserve"> (חו"מ כז ב) פסק דמלקין כפי שיראה לדיינים. אבל ב</w:t>
      </w:r>
      <w:r w:rsidRPr="00C26AFA">
        <w:rPr>
          <w:rFonts w:ascii="Narkisim" w:hAnsi="Narkisim"/>
          <w:b/>
          <w:bCs/>
          <w:rtl/>
        </w:rPr>
        <w:t>שו"ת הרשב"א</w:t>
      </w:r>
      <w:r w:rsidRPr="00C26AFA">
        <w:rPr>
          <w:rFonts w:ascii="Narkisim" w:hAnsi="Narkisim"/>
          <w:rtl/>
        </w:rPr>
        <w:t xml:space="preserve"> (ד רסד) כתב דמלקין מ' דכעין דאורייתא תקון (וע”ע ריטב”א מכות כב: וכתובות מה: ור”ן כתובות שם טז: בדה”ר). ו</w:t>
      </w:r>
      <w:r w:rsidRPr="00C26AFA">
        <w:rPr>
          <w:rFonts w:ascii="Narkisim" w:hAnsi="Narkisim"/>
          <w:b/>
          <w:bCs/>
          <w:rtl/>
        </w:rPr>
        <w:t>תוס'</w:t>
      </w:r>
      <w:r w:rsidRPr="00C26AFA">
        <w:rPr>
          <w:rFonts w:ascii="Narkisim" w:hAnsi="Narkisim"/>
          <w:rtl/>
        </w:rPr>
        <w:t xml:space="preserve"> (נזיר כ:) נסתפק האם מלקין עד שתצא נפשו [כמו כשאינו רוצה לקיים, עד שיקבל עליו</w:t>
      </w:r>
      <w:r w:rsidRPr="00C26AFA">
        <w:rPr>
          <w:rStyle w:val="ac"/>
          <w:rFonts w:ascii="Narkisim" w:hAnsi="Narkisim"/>
          <w:rtl/>
        </w:rPr>
        <w:footnoteReference w:id="3148"/>
      </w:r>
      <w:r w:rsidRPr="00C26AFA">
        <w:rPr>
          <w:rFonts w:ascii="Narkisim" w:hAnsi="Narkisim"/>
          <w:rtl/>
        </w:rPr>
        <w:t>], או דלא ילקה יותר מדאוריי'.</w:t>
      </w:r>
    </w:p>
    <w:p w14:paraId="3ECEF168" w14:textId="77777777" w:rsidR="006074A5" w:rsidRPr="00C26AFA" w:rsidRDefault="006074A5" w:rsidP="006074A5">
      <w:pPr>
        <w:bidi/>
        <w:rPr>
          <w:rFonts w:ascii="Narkisim" w:hAnsi="Narkisim" w:cs="Narkisim"/>
        </w:rPr>
      </w:pPr>
      <w:r w:rsidRPr="00C26AFA">
        <w:rPr>
          <w:rFonts w:ascii="Narkisim" w:hAnsi="Narkisim" w:cs="Narkisim"/>
          <w:u w:val="single"/>
          <w:rtl/>
        </w:rPr>
        <w:t>תוד"ה דמקדש בביאה.</w:t>
      </w:r>
      <w:r w:rsidRPr="00C26AFA">
        <w:rPr>
          <w:rFonts w:ascii="Narkisim" w:hAnsi="Narkisim" w:cs="Narkisim"/>
          <w:rtl/>
        </w:rPr>
        <w:t xml:space="preserve"> אר"ת</w:t>
      </w:r>
      <w:r w:rsidRPr="00C26AFA">
        <w:rPr>
          <w:rStyle w:val="ac"/>
          <w:rFonts w:ascii="Narkisim" w:hAnsi="Narkisim" w:cs="Narkisim"/>
          <w:rtl/>
        </w:rPr>
        <w:footnoteReference w:id="3149"/>
      </w:r>
      <w:r w:rsidRPr="00C26AFA">
        <w:rPr>
          <w:rFonts w:ascii="Narkisim" w:hAnsi="Narkisim" w:cs="Narkisim"/>
          <w:rtl/>
        </w:rPr>
        <w:t xml:space="preserve"> דאפי' ביבמה דצריך ביאה, דפריצותא הוא לעשות תחילת קנינו בביאה. </w:t>
      </w:r>
      <w:r w:rsidRPr="00C26AFA">
        <w:rPr>
          <w:rFonts w:ascii="Narkisim" w:hAnsi="Narkisim" w:cs="Narkisim"/>
          <w:sz w:val="20"/>
          <w:szCs w:val="20"/>
          <w:rtl/>
        </w:rPr>
        <w:t>(וכ"כ תוס' קידושין יב: בשם ר"י).</w:t>
      </w:r>
      <w:r w:rsidRPr="00C26AFA">
        <w:rPr>
          <w:rFonts w:ascii="Narkisim" w:hAnsi="Narkisim" w:cs="Narkisim"/>
          <w:rtl/>
        </w:rPr>
        <w:t xml:space="preserve"> ו</w:t>
      </w:r>
      <w:r w:rsidRPr="00C26AFA">
        <w:rPr>
          <w:rFonts w:ascii="Narkisim" w:hAnsi="Narkisim" w:cs="Narkisim"/>
          <w:b/>
          <w:bCs/>
          <w:rtl/>
        </w:rPr>
        <w:t>תוס</w:t>
      </w:r>
      <w:r w:rsidRPr="00C26AFA">
        <w:rPr>
          <w:rFonts w:ascii="Narkisim" w:hAnsi="Narkisim" w:cs="Narkisim"/>
          <w:rtl/>
        </w:rPr>
        <w:t xml:space="preserve">' (קידושין יב:) כתבו (בשם </w:t>
      </w:r>
      <w:r w:rsidRPr="00C26AFA">
        <w:rPr>
          <w:rFonts w:ascii="Narkisim" w:hAnsi="Narkisim" w:cs="Narkisim"/>
          <w:b/>
          <w:bCs/>
          <w:rtl/>
        </w:rPr>
        <w:t>ר"ת</w:t>
      </w:r>
      <w:r w:rsidRPr="00C26AFA">
        <w:rPr>
          <w:rFonts w:ascii="Narkisim" w:hAnsi="Narkisim" w:cs="Narkisim"/>
          <w:rtl/>
        </w:rPr>
        <w:t>) דהוה פריצות משום דדבר מכוער שמעמיד עדים</w:t>
      </w:r>
      <w:r w:rsidRPr="00C26AFA">
        <w:rPr>
          <w:rFonts w:ascii="Narkisim" w:hAnsi="Narkisim" w:cs="Narkisim"/>
          <w:sz w:val="20"/>
          <w:szCs w:val="20"/>
          <w:rtl/>
        </w:rPr>
        <w:t xml:space="preserve"> (ובעי עדי ביאה או עדי יחוד)</w:t>
      </w:r>
      <w:r w:rsidRPr="00C26AFA">
        <w:rPr>
          <w:rFonts w:ascii="Narkisim" w:hAnsi="Narkisim" w:cs="Narkisim"/>
          <w:rtl/>
        </w:rPr>
        <w:t>. ו</w:t>
      </w:r>
      <w:r w:rsidRPr="00C26AFA">
        <w:rPr>
          <w:rFonts w:ascii="Narkisim" w:hAnsi="Narkisim" w:cs="Narkisim"/>
          <w:b/>
          <w:bCs/>
          <w:rtl/>
        </w:rPr>
        <w:t>תוס'</w:t>
      </w:r>
      <w:r w:rsidRPr="00C26AFA">
        <w:rPr>
          <w:rFonts w:ascii="Narkisim" w:hAnsi="Narkisim" w:cs="Narkisim"/>
          <w:rtl/>
        </w:rPr>
        <w:t xml:space="preserve"> (שם) הקשו דבסוגיין מבואר כן אף ביבמה, והתם לאו משום עדים דהא יבמה דאורייתא אינה נקנית אלא בביאה.</w:t>
      </w:r>
    </w:p>
    <w:p w14:paraId="240FF8A7" w14:textId="77777777" w:rsidR="006074A5" w:rsidRPr="00C26AFA" w:rsidRDefault="006074A5" w:rsidP="006074A5">
      <w:pPr>
        <w:pStyle w:val="a7"/>
        <w:bidi/>
        <w:rPr>
          <w:rFonts w:ascii="Narkisim" w:hAnsi="Narkisim"/>
        </w:rPr>
      </w:pPr>
      <w:r w:rsidRPr="00C26AFA">
        <w:rPr>
          <w:rFonts w:ascii="Narkisim" w:hAnsi="Narkisim"/>
          <w:rtl/>
        </w:rPr>
        <w:t>ו</w:t>
      </w:r>
      <w:r w:rsidRPr="00C26AFA">
        <w:rPr>
          <w:rFonts w:ascii="Narkisim" w:hAnsi="Narkisim"/>
          <w:b/>
          <w:bCs/>
          <w:rtl/>
        </w:rPr>
        <w:t xml:space="preserve">תוס' </w:t>
      </w:r>
      <w:r w:rsidRPr="00C26AFA">
        <w:rPr>
          <w:rFonts w:ascii="Narkisim" w:hAnsi="Narkisim"/>
          <w:rtl/>
        </w:rPr>
        <w:t>ה</w:t>
      </w:r>
      <w:r w:rsidRPr="00C26AFA">
        <w:rPr>
          <w:rFonts w:ascii="Narkisim" w:hAnsi="Narkisim"/>
          <w:b/>
          <w:bCs/>
          <w:rtl/>
        </w:rPr>
        <w:t>רא"ש</w:t>
      </w:r>
      <w:r w:rsidRPr="00C26AFA">
        <w:rPr>
          <w:rFonts w:ascii="Narkisim" w:hAnsi="Narkisim"/>
          <w:rtl/>
        </w:rPr>
        <w:t xml:space="preserve"> </w:t>
      </w:r>
      <w:r w:rsidRPr="00C26AFA">
        <w:rPr>
          <w:rFonts w:ascii="Narkisim" w:hAnsi="Narkisim"/>
          <w:sz w:val="20"/>
          <w:szCs w:val="20"/>
          <w:rtl/>
        </w:rPr>
        <w:t>(כאן ושם, והריטב"א שם)</w:t>
      </w:r>
      <w:r w:rsidRPr="00C26AFA">
        <w:rPr>
          <w:rFonts w:ascii="Narkisim" w:hAnsi="Narkisim"/>
          <w:rtl/>
        </w:rPr>
        <w:t xml:space="preserve"> ביאר דביבום אף אחרי מאמר צריך עדים</w:t>
      </w:r>
      <w:r w:rsidRPr="00C26AFA">
        <w:rPr>
          <w:rStyle w:val="ac"/>
          <w:rFonts w:ascii="Narkisim" w:hAnsi="Narkisim"/>
          <w:rtl/>
        </w:rPr>
        <w:footnoteReference w:id="3150"/>
      </w:r>
      <w:r w:rsidRPr="00C26AFA">
        <w:rPr>
          <w:rFonts w:ascii="Narkisim" w:hAnsi="Narkisim"/>
          <w:rtl/>
        </w:rPr>
        <w:t>. וכן ה</w:t>
      </w:r>
      <w:r w:rsidRPr="00C26AFA">
        <w:rPr>
          <w:rFonts w:ascii="Narkisim" w:hAnsi="Narkisim"/>
          <w:b/>
          <w:bCs/>
          <w:rtl/>
        </w:rPr>
        <w:t>שעה"מ</w:t>
      </w:r>
      <w:r w:rsidRPr="00C26AFA">
        <w:rPr>
          <w:rFonts w:ascii="Narkisim" w:hAnsi="Narkisim"/>
          <w:rtl/>
        </w:rPr>
        <w:t xml:space="preserve"> </w:t>
      </w:r>
      <w:r w:rsidRPr="00C26AFA">
        <w:rPr>
          <w:rFonts w:ascii="Narkisim" w:hAnsi="Narkisim"/>
          <w:sz w:val="20"/>
          <w:szCs w:val="20"/>
          <w:rtl/>
        </w:rPr>
        <w:t>(יבום ב ד)</w:t>
      </w:r>
      <w:r w:rsidRPr="00C26AFA">
        <w:rPr>
          <w:rFonts w:ascii="Narkisim" w:hAnsi="Narkisim"/>
          <w:rtl/>
        </w:rPr>
        <w:t xml:space="preserve"> הביא מדברי התוס' הנ"ל דיבום צריך עדים. </w:t>
      </w:r>
      <w:r w:rsidRPr="00C26AFA">
        <w:rPr>
          <w:rFonts w:ascii="Narkisim" w:hAnsi="Narkisim"/>
          <w:sz w:val="20"/>
          <w:szCs w:val="20"/>
          <w:rtl/>
        </w:rPr>
        <w:t>אבל ה</w:t>
      </w:r>
      <w:r w:rsidRPr="00C26AFA">
        <w:rPr>
          <w:rFonts w:ascii="Narkisim" w:hAnsi="Narkisim"/>
          <w:b/>
          <w:bCs/>
          <w:sz w:val="20"/>
          <w:szCs w:val="20"/>
          <w:rtl/>
        </w:rPr>
        <w:t>גר"א</w:t>
      </w:r>
      <w:r w:rsidRPr="00C26AFA">
        <w:rPr>
          <w:rFonts w:ascii="Narkisim" w:hAnsi="Narkisim"/>
          <w:sz w:val="20"/>
          <w:szCs w:val="20"/>
          <w:rtl/>
        </w:rPr>
        <w:t xml:space="preserve"> (קסו ט) הביא דמשמע בתוס' הנ"ל דל"צ עדות ביבום. ונקט דכוונת התוס' דל"ש טעם זה ביבמה, דאף בלא מאמר לא בעי עדים</w:t>
      </w:r>
      <w:r w:rsidRPr="00C26AFA">
        <w:rPr>
          <w:rStyle w:val="ac"/>
          <w:rFonts w:ascii="Narkisim" w:hAnsi="Narkisim"/>
          <w:sz w:val="20"/>
          <w:szCs w:val="20"/>
          <w:rtl/>
        </w:rPr>
        <w:footnoteReference w:id="3151"/>
      </w:r>
      <w:r w:rsidRPr="00C26AFA">
        <w:rPr>
          <w:rFonts w:ascii="Narkisim" w:hAnsi="Narkisim"/>
          <w:sz w:val="20"/>
          <w:szCs w:val="20"/>
          <w:rtl/>
        </w:rPr>
        <w:t>.</w:t>
      </w:r>
    </w:p>
    <w:p w14:paraId="13C2D84A" w14:textId="77777777" w:rsidR="006074A5" w:rsidRPr="00C26AFA" w:rsidRDefault="006074A5" w:rsidP="006074A5">
      <w:pPr>
        <w:bidi/>
        <w:rPr>
          <w:rFonts w:ascii="Narkisim" w:hAnsi="Narkisim" w:cs="Narkisim"/>
        </w:rPr>
      </w:pPr>
      <w:r w:rsidRPr="00C26AFA">
        <w:rPr>
          <w:rFonts w:ascii="Narkisim" w:hAnsi="Narkisim" w:cs="Narkisim"/>
          <w:i/>
          <w:iCs/>
          <w:sz w:val="21"/>
          <w:szCs w:val="21"/>
          <w:rtl/>
        </w:rPr>
        <w:lastRenderedPageBreak/>
        <w:t>עדים ליבום</w:t>
      </w:r>
      <w:r w:rsidRPr="00C26AFA">
        <w:rPr>
          <w:rFonts w:ascii="Narkisim" w:hAnsi="Narkisim" w:cs="Narkisim"/>
          <w:rtl/>
        </w:rPr>
        <w:t xml:space="preserve"> - ה</w:t>
      </w:r>
      <w:r w:rsidRPr="00C26AFA">
        <w:rPr>
          <w:rFonts w:ascii="Narkisim" w:hAnsi="Narkisim" w:cs="Narkisim"/>
          <w:b/>
          <w:bCs/>
          <w:rtl/>
        </w:rPr>
        <w:t>משנ"ל</w:t>
      </w:r>
      <w:r w:rsidRPr="00C26AFA">
        <w:rPr>
          <w:rFonts w:ascii="Narkisim" w:hAnsi="Narkisim" w:cs="Narkisim"/>
          <w:rtl/>
        </w:rPr>
        <w:t xml:space="preserve"> (יבום ב ד) נסתפק האם בעי עדות על היבום</w:t>
      </w:r>
      <w:r w:rsidRPr="00C26AFA">
        <w:rPr>
          <w:rStyle w:val="ac"/>
          <w:rFonts w:ascii="Narkisim" w:hAnsi="Narkisim" w:cs="Narkisim"/>
          <w:rtl/>
        </w:rPr>
        <w:footnoteReference w:id="3152"/>
      </w:r>
      <w:r w:rsidRPr="00C26AFA">
        <w:rPr>
          <w:rFonts w:ascii="Narkisim" w:hAnsi="Narkisim" w:cs="Narkisim"/>
          <w:rtl/>
        </w:rPr>
        <w:t>, וכמו קידושין דהמקדש בלא עדים אינה קידושין</w:t>
      </w:r>
      <w:r w:rsidRPr="00C26AFA">
        <w:rPr>
          <w:rStyle w:val="ac"/>
          <w:rFonts w:ascii="Narkisim" w:hAnsi="Narkisim" w:cs="Narkisim"/>
          <w:rtl/>
        </w:rPr>
        <w:footnoteReference w:id="3153"/>
      </w:r>
      <w:r w:rsidRPr="00C26AFA">
        <w:rPr>
          <w:rFonts w:ascii="Narkisim" w:hAnsi="Narkisim" w:cs="Narkisim"/>
          <w:rtl/>
        </w:rPr>
        <w:t>, והביא כן בשם ה</w:t>
      </w:r>
      <w:r w:rsidRPr="00C26AFA">
        <w:rPr>
          <w:rFonts w:ascii="Narkisim" w:hAnsi="Narkisim" w:cs="Narkisim"/>
          <w:b/>
          <w:bCs/>
          <w:rtl/>
        </w:rPr>
        <w:t>ריא"ז</w:t>
      </w:r>
      <w:r w:rsidRPr="00C26AFA">
        <w:rPr>
          <w:rStyle w:val="ac"/>
          <w:rFonts w:ascii="Narkisim" w:hAnsi="Narkisim" w:cs="Narkisim"/>
          <w:rtl/>
        </w:rPr>
        <w:footnoteReference w:id="3154"/>
      </w:r>
      <w:r w:rsidRPr="00C26AFA">
        <w:rPr>
          <w:rFonts w:ascii="Narkisim" w:hAnsi="Narkisim" w:cs="Narkisim"/>
          <w:rtl/>
        </w:rPr>
        <w:t xml:space="preserve">. </w:t>
      </w:r>
      <w:r w:rsidRPr="00C26AFA">
        <w:rPr>
          <w:rFonts w:ascii="Narkisim" w:hAnsi="Narkisim" w:cs="Narkisim"/>
          <w:sz w:val="20"/>
          <w:szCs w:val="20"/>
          <w:rtl/>
        </w:rPr>
        <w:t>[וכ"כ ה</w:t>
      </w:r>
      <w:r w:rsidRPr="00C26AFA">
        <w:rPr>
          <w:rFonts w:ascii="Narkisim" w:hAnsi="Narkisim" w:cs="Narkisim"/>
          <w:b/>
          <w:bCs/>
          <w:sz w:val="20"/>
          <w:szCs w:val="20"/>
          <w:rtl/>
        </w:rPr>
        <w:t>תוס' הרא"ש</w:t>
      </w:r>
      <w:r w:rsidRPr="00C26AFA">
        <w:rPr>
          <w:rFonts w:ascii="Narkisim" w:hAnsi="Narkisim" w:cs="Narkisim"/>
          <w:sz w:val="20"/>
          <w:szCs w:val="20"/>
          <w:rtl/>
        </w:rPr>
        <w:t xml:space="preserve"> (הנ"ל וכן נא:), וכן ב</w:t>
      </w:r>
      <w:r w:rsidRPr="00C26AFA">
        <w:rPr>
          <w:rFonts w:ascii="Narkisim" w:hAnsi="Narkisim" w:cs="Narkisim"/>
          <w:b/>
          <w:bCs/>
          <w:sz w:val="20"/>
          <w:szCs w:val="20"/>
          <w:rtl/>
        </w:rPr>
        <w:t>ריטב”א</w:t>
      </w:r>
      <w:r w:rsidRPr="00C26AFA">
        <w:rPr>
          <w:rFonts w:ascii="Narkisim" w:hAnsi="Narkisim" w:cs="Narkisim"/>
          <w:sz w:val="20"/>
          <w:szCs w:val="20"/>
          <w:rtl/>
        </w:rPr>
        <w:t xml:space="preserve"> (הנ”ל), וכ”פ ה</w:t>
      </w:r>
      <w:r w:rsidRPr="00C26AFA">
        <w:rPr>
          <w:rFonts w:ascii="Narkisim" w:hAnsi="Narkisim" w:cs="Narkisim"/>
          <w:b/>
          <w:bCs/>
          <w:sz w:val="20"/>
          <w:szCs w:val="20"/>
          <w:rtl/>
        </w:rPr>
        <w:t>רמ”א</w:t>
      </w:r>
      <w:r w:rsidRPr="00C26AFA">
        <w:rPr>
          <w:rFonts w:ascii="Narkisim" w:hAnsi="Narkisim" w:cs="Narkisim"/>
          <w:sz w:val="20"/>
          <w:szCs w:val="20"/>
          <w:rtl/>
        </w:rPr>
        <w:t xml:space="preserve"> (קסו ג), וה</w:t>
      </w:r>
      <w:r w:rsidRPr="00C26AFA">
        <w:rPr>
          <w:rFonts w:ascii="Narkisim" w:hAnsi="Narkisim" w:cs="Narkisim"/>
          <w:b/>
          <w:bCs/>
          <w:sz w:val="20"/>
          <w:szCs w:val="20"/>
          <w:rtl/>
        </w:rPr>
        <w:t>גר”א</w:t>
      </w:r>
      <w:r w:rsidRPr="00C26AFA">
        <w:rPr>
          <w:rFonts w:ascii="Narkisim" w:hAnsi="Narkisim" w:cs="Narkisim"/>
          <w:sz w:val="20"/>
          <w:szCs w:val="20"/>
          <w:rtl/>
        </w:rPr>
        <w:t xml:space="preserve"> (ט) פליג]</w:t>
      </w:r>
      <w:r w:rsidRPr="00C26AFA">
        <w:rPr>
          <w:rFonts w:ascii="Narkisim" w:hAnsi="Narkisim" w:cs="Narkisim"/>
          <w:rtl/>
        </w:rPr>
        <w:t>. או דילמא כי היכי דגזיה"כ דקנה אפי' שניהם שוגגין (לקמן נג:), ה"נ אפי' ליכא עדים קנה. [</w:t>
      </w:r>
      <w:r w:rsidRPr="00C26AFA">
        <w:rPr>
          <w:rFonts w:ascii="Narkisim" w:hAnsi="Narkisim" w:cs="Narkisim"/>
          <w:sz w:val="20"/>
          <w:szCs w:val="20"/>
          <w:rtl/>
        </w:rPr>
        <w:t>וה</w:t>
      </w:r>
      <w:r w:rsidRPr="00C26AFA">
        <w:rPr>
          <w:rFonts w:ascii="Narkisim" w:hAnsi="Narkisim" w:cs="Narkisim"/>
          <w:b/>
          <w:bCs/>
          <w:sz w:val="20"/>
          <w:szCs w:val="20"/>
          <w:rtl/>
        </w:rPr>
        <w:t>גר”ח</w:t>
      </w:r>
      <w:r w:rsidRPr="00C26AFA">
        <w:rPr>
          <w:rFonts w:ascii="Narkisim" w:hAnsi="Narkisim" w:cs="Narkisim"/>
          <w:sz w:val="20"/>
          <w:szCs w:val="20"/>
          <w:rtl/>
        </w:rPr>
        <w:t xml:space="preserve"> (יבום ד בסוף דבריו) דייק דכ"מ סתימת הרמב”ם</w:t>
      </w:r>
      <w:r w:rsidRPr="00C26AFA">
        <w:rPr>
          <w:rStyle w:val="ac"/>
          <w:rFonts w:ascii="Narkisim" w:hAnsi="Narkisim" w:cs="Narkisim"/>
          <w:sz w:val="20"/>
          <w:szCs w:val="20"/>
          <w:rtl/>
        </w:rPr>
        <w:footnoteReference w:id="3155"/>
      </w:r>
      <w:r w:rsidRPr="00C26AFA">
        <w:rPr>
          <w:rFonts w:ascii="Narkisim" w:hAnsi="Narkisim" w:cs="Narkisim"/>
          <w:sz w:val="20"/>
          <w:szCs w:val="20"/>
          <w:rtl/>
        </w:rPr>
        <w:t>]</w:t>
      </w:r>
      <w:r w:rsidRPr="00C26AFA">
        <w:rPr>
          <w:rFonts w:ascii="Narkisim" w:hAnsi="Narkisim" w:cs="Narkisim"/>
          <w:rtl/>
        </w:rPr>
        <w:t>. וכ"כ ב</w:t>
      </w:r>
      <w:r w:rsidRPr="00C26AFA">
        <w:rPr>
          <w:rFonts w:ascii="Narkisim" w:hAnsi="Narkisim" w:cs="Narkisim"/>
          <w:b/>
          <w:bCs/>
          <w:rtl/>
        </w:rPr>
        <w:t xml:space="preserve">שו"ת הרשב"א </w:t>
      </w:r>
      <w:r w:rsidRPr="00C26AFA">
        <w:rPr>
          <w:rFonts w:ascii="Narkisim" w:hAnsi="Narkisim" w:cs="Narkisim"/>
          <w:rtl/>
        </w:rPr>
        <w:t>(ד שכח) דאפי' בא עליה בינו ובינה קנאה, דאשה הקנו לו מן השמים</w:t>
      </w:r>
      <w:r w:rsidRPr="00C26AFA">
        <w:rPr>
          <w:rStyle w:val="ac"/>
          <w:rFonts w:ascii="Narkisim" w:hAnsi="Narkisim" w:cs="Narkisim"/>
          <w:rtl/>
        </w:rPr>
        <w:footnoteReference w:id="3156"/>
      </w:r>
      <w:r w:rsidRPr="00C26AFA">
        <w:rPr>
          <w:rFonts w:ascii="Narkisim" w:hAnsi="Narkisim" w:cs="Narkisim"/>
          <w:rtl/>
        </w:rPr>
        <w:t xml:space="preserve">. </w:t>
      </w:r>
      <w:r w:rsidRPr="00C26AFA">
        <w:rPr>
          <w:rFonts w:ascii="Narkisim" w:hAnsi="Narkisim" w:cs="Narkisim"/>
          <w:sz w:val="20"/>
          <w:szCs w:val="20"/>
          <w:rtl/>
        </w:rPr>
        <w:t>והרשב"א הוכיח כן מהגמ' (לקמן קיא.) דטוענת שלא נבעלה</w:t>
      </w:r>
      <w:r w:rsidRPr="00C26AFA">
        <w:rPr>
          <w:rStyle w:val="ac"/>
          <w:rFonts w:ascii="Narkisim" w:hAnsi="Narkisim" w:cs="Narkisim"/>
          <w:sz w:val="20"/>
          <w:szCs w:val="20"/>
          <w:rtl/>
        </w:rPr>
        <w:footnoteReference w:id="3157"/>
      </w:r>
      <w:r w:rsidRPr="00C26AFA">
        <w:rPr>
          <w:rFonts w:ascii="Narkisim" w:hAnsi="Narkisim" w:cs="Narkisim"/>
          <w:sz w:val="20"/>
          <w:szCs w:val="20"/>
          <w:rtl/>
        </w:rPr>
        <w:t>. [וע"ע בסוגיה לקמן נח.].</w:t>
      </w:r>
    </w:p>
    <w:p w14:paraId="34F05C82"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גר"ח</w:t>
      </w:r>
      <w:r w:rsidRPr="00C26AFA">
        <w:rPr>
          <w:rFonts w:ascii="Narkisim" w:hAnsi="Narkisim"/>
          <w:rtl/>
        </w:rPr>
        <w:t xml:space="preserve"> (הל' יבום ד) ביאר מ"ד דל"צ עדות, דיבום לא הוה קנין הבעלים, ומש"ה ל"צ דעת היבם בקנין. והוה כמו שחיטה, דההיתר בא ממילא ע"י מעשיו. וצריך עדות לקיומי דוקא במקום שהבעלים הם פועלים ההיתר, כגירושין וקידושין דצריך דעת בעלים לעצם הדבר [שהבעלים הם האוסרים והם המתירים]. ועד"ז כת' ה</w:t>
      </w:r>
      <w:r w:rsidRPr="00C26AFA">
        <w:rPr>
          <w:rFonts w:ascii="Narkisim" w:hAnsi="Narkisim"/>
          <w:b/>
          <w:bCs/>
          <w:rtl/>
        </w:rPr>
        <w:t>שער"י</w:t>
      </w:r>
      <w:r w:rsidRPr="00C26AFA">
        <w:rPr>
          <w:rFonts w:ascii="Narkisim" w:hAnsi="Narkisim"/>
          <w:rtl/>
        </w:rPr>
        <w:t xml:space="preserve"> (ז יב)</w:t>
      </w:r>
      <w:r w:rsidRPr="00C26AFA">
        <w:rPr>
          <w:rStyle w:val="ac"/>
          <w:rFonts w:ascii="Narkisim" w:hAnsi="Narkisim"/>
          <w:rtl/>
        </w:rPr>
        <w:footnoteReference w:id="3158"/>
      </w:r>
      <w:r w:rsidRPr="00C26AFA">
        <w:rPr>
          <w:rFonts w:ascii="Narkisim" w:hAnsi="Narkisim"/>
          <w:rtl/>
        </w:rPr>
        <w:t xml:space="preserve"> וה</w:t>
      </w:r>
      <w:r w:rsidRPr="00C26AFA">
        <w:rPr>
          <w:rFonts w:ascii="Narkisim" w:hAnsi="Narkisim"/>
          <w:b/>
          <w:bCs/>
          <w:rtl/>
        </w:rPr>
        <w:t>קוב"ש</w:t>
      </w:r>
      <w:r w:rsidRPr="00C26AFA">
        <w:rPr>
          <w:rFonts w:ascii="Narkisim" w:hAnsi="Narkisim"/>
          <w:rtl/>
        </w:rPr>
        <w:t xml:space="preserve"> (קידושין צא).</w:t>
      </w:r>
    </w:p>
    <w:p w14:paraId="0419C7F7" w14:textId="77777777" w:rsidR="006074A5" w:rsidRPr="00C26AFA" w:rsidRDefault="006074A5" w:rsidP="006074A5">
      <w:pPr>
        <w:bidi/>
        <w:rPr>
          <w:rFonts w:ascii="Narkisim" w:hAnsi="Narkisim" w:cs="Narkisim"/>
        </w:rPr>
      </w:pPr>
      <w:r w:rsidRPr="00C26AFA">
        <w:rPr>
          <w:rFonts w:ascii="Narkisim" w:hAnsi="Narkisim" w:cs="Narkisim"/>
          <w:rtl/>
        </w:rPr>
        <w:t>וה</w:t>
      </w:r>
      <w:r w:rsidRPr="00C26AFA">
        <w:rPr>
          <w:rFonts w:ascii="Narkisim" w:hAnsi="Narkisim" w:cs="Narkisim"/>
          <w:b/>
          <w:bCs/>
          <w:rtl/>
        </w:rPr>
        <w:t>נוב"י</w:t>
      </w:r>
      <w:r w:rsidRPr="00C26AFA">
        <w:rPr>
          <w:rFonts w:ascii="Narkisim" w:hAnsi="Narkisim" w:cs="Narkisim"/>
          <w:rtl/>
        </w:rPr>
        <w:t xml:space="preserve"> (ת' קמח) דן [דלמ"ד דבעי עדים] היכא דבא עליה בלא עדים האם עובר באיסור אשת אח, כיון דהוה שלא במקום מצווה [וכמו לאבא שאול]</w:t>
      </w:r>
      <w:r w:rsidRPr="00C26AFA">
        <w:rPr>
          <w:rStyle w:val="ac"/>
          <w:rFonts w:ascii="Narkisim" w:hAnsi="Narkisim" w:cs="Narkisim"/>
          <w:rtl/>
        </w:rPr>
        <w:footnoteReference w:id="3159"/>
      </w:r>
      <w:r w:rsidRPr="00C26AFA">
        <w:rPr>
          <w:rFonts w:ascii="Narkisim" w:hAnsi="Narkisim" w:cs="Narkisim"/>
          <w:rtl/>
        </w:rPr>
        <w:t>. ושוב דחה דל"מ כן [אלא כמו קטן ומעוברת דיגדלנו, וכמ”ש תוס' לעיל לה:. וע' מש"כ לעיל לט:].</w:t>
      </w:r>
    </w:p>
    <w:p w14:paraId="6C18EEF3"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w:t>
      </w:r>
      <w:r w:rsidRPr="00C26AFA">
        <w:rPr>
          <w:rFonts w:ascii="Narkisim" w:hAnsi="Narkisim"/>
          <w:b/>
          <w:bCs/>
          <w:rtl/>
        </w:rPr>
        <w:t>חזו"א</w:t>
      </w:r>
      <w:r w:rsidRPr="00C26AFA">
        <w:rPr>
          <w:rFonts w:ascii="Narkisim" w:hAnsi="Narkisim"/>
          <w:rtl/>
        </w:rPr>
        <w:t xml:space="preserve"> קל ו ו</w:t>
      </w:r>
      <w:r w:rsidRPr="00C26AFA">
        <w:rPr>
          <w:rFonts w:ascii="Narkisim" w:hAnsi="Narkisim"/>
          <w:b/>
          <w:bCs/>
          <w:rtl/>
        </w:rPr>
        <w:t>אפיקי ים</w:t>
      </w:r>
      <w:r w:rsidRPr="00C26AFA">
        <w:rPr>
          <w:rFonts w:ascii="Narkisim" w:hAnsi="Narkisim"/>
          <w:rtl/>
        </w:rPr>
        <w:t xml:space="preserve"> א ז) העלו צד דקיים מצוות היבום בביאה, ורק לקנין יבום בעי עדים, ובביאה בלא עדים תצא בלא חליצה. אך ה</w:t>
      </w:r>
      <w:r w:rsidRPr="00C26AFA">
        <w:rPr>
          <w:rFonts w:ascii="Narkisim" w:hAnsi="Narkisim"/>
          <w:b/>
          <w:bCs/>
          <w:rtl/>
        </w:rPr>
        <w:t>אחרונים</w:t>
      </w:r>
      <w:r w:rsidRPr="00C26AFA">
        <w:rPr>
          <w:rFonts w:ascii="Narkisim" w:hAnsi="Narkisim"/>
          <w:rtl/>
        </w:rPr>
        <w:t xml:space="preserve"> דחו דלא מצאנו יבמה יוצאת בלא גט ובלא חליצה. והוכיחו מכמה מקומות דעיקר מצוות היבום הוא בקנין, וכל דלא דקנאה לא קיים המצוה כלל.</w:t>
      </w:r>
    </w:p>
    <w:p w14:paraId="1393BE2A" w14:textId="77777777" w:rsidR="006074A5" w:rsidRPr="00C26AFA" w:rsidRDefault="006074A5" w:rsidP="006074A5">
      <w:pPr>
        <w:bidi/>
        <w:rPr>
          <w:rFonts w:ascii="Narkisim" w:hAnsi="Narkisim" w:cs="Narkisim"/>
        </w:rPr>
      </w:pPr>
      <w:r w:rsidRPr="00C26AFA">
        <w:rPr>
          <w:rFonts w:ascii="Narkisim" w:hAnsi="Narkisim" w:cs="Narkisim"/>
          <w:u w:val="single"/>
          <w:rtl/>
        </w:rPr>
        <w:t>שם</w:t>
      </w:r>
      <w:r w:rsidRPr="00C26AFA">
        <w:rPr>
          <w:rFonts w:ascii="Narkisim" w:hAnsi="Narkisim" w:cs="Narkisim"/>
          <w:rtl/>
        </w:rPr>
        <w:t>. ה</w:t>
      </w:r>
      <w:r w:rsidRPr="00C26AFA">
        <w:rPr>
          <w:rFonts w:ascii="Narkisim" w:hAnsi="Narkisim" w:cs="Narkisim"/>
          <w:b/>
          <w:bCs/>
          <w:rtl/>
        </w:rPr>
        <w:t>בי"ש</w:t>
      </w:r>
      <w:r w:rsidRPr="00C26AFA">
        <w:rPr>
          <w:rFonts w:ascii="Narkisim" w:hAnsi="Narkisim" w:cs="Narkisim"/>
          <w:rtl/>
        </w:rPr>
        <w:t xml:space="preserve"> (קסו ב) הביא מדברי ה</w:t>
      </w:r>
      <w:r w:rsidRPr="00C26AFA">
        <w:rPr>
          <w:rFonts w:ascii="Narkisim" w:hAnsi="Narkisim" w:cs="Narkisim"/>
          <w:b/>
          <w:bCs/>
          <w:rtl/>
        </w:rPr>
        <w:t>ריא"ז</w:t>
      </w:r>
      <w:r w:rsidRPr="00C26AFA">
        <w:rPr>
          <w:rFonts w:ascii="Narkisim" w:hAnsi="Narkisim" w:cs="Narkisim"/>
          <w:rtl/>
        </w:rPr>
        <w:t xml:space="preserve"> (הנ"ל) דמשמע דאף היכא דעשה מאמר בפני עדים, לא נגמר הקנין אא"כ היו עדים בשעת יחוד. ואל"כ צריכה חליצה וגט [מחמת המאמר]. והבי"ש דייק מדברי הרמ"א דהיכא דעשה מאמר בעדים אי"צ עדי יחוד ליבום. אך תמה דביבמה ל”ש קידושין, א”כ לעולם הביאה הוה הקנין [מדאורייתא], וצריך עדים. [ועע"ש].</w:t>
      </w:r>
    </w:p>
    <w:p w14:paraId="25F31BAA" w14:textId="77777777" w:rsidR="006074A5" w:rsidRPr="00C26AFA" w:rsidRDefault="006074A5" w:rsidP="006074A5">
      <w:pPr>
        <w:pStyle w:val="aa"/>
        <w:bidi/>
        <w:rPr>
          <w:rFonts w:ascii="Narkisim" w:hAnsi="Narkisim"/>
        </w:rPr>
      </w:pPr>
      <w:r w:rsidRPr="00C26AFA">
        <w:rPr>
          <w:rFonts w:ascii="Narkisim" w:eastAsia="Narkisim" w:hAnsi="Narkisim"/>
          <w:u w:val="single"/>
          <w:rtl/>
        </w:rPr>
        <w:t>ועל חתנא דדייר בבי חמוה</w:t>
      </w:r>
      <w:r w:rsidRPr="00C26AFA">
        <w:rPr>
          <w:rFonts w:ascii="Narkisim" w:eastAsia="Narkisim" w:hAnsi="Narkisim"/>
          <w:rtl/>
        </w:rPr>
        <w:t>. פ</w:t>
      </w:r>
      <w:r w:rsidRPr="00C26AFA">
        <w:rPr>
          <w:rFonts w:ascii="Narkisim" w:eastAsia="Narkisim" w:hAnsi="Narkisim"/>
          <w:b/>
          <w:bCs/>
          <w:rtl/>
        </w:rPr>
        <w:t>רש"י</w:t>
      </w:r>
      <w:r w:rsidRPr="00C26AFA">
        <w:rPr>
          <w:rFonts w:ascii="Narkisim" w:eastAsia="Narkisim" w:hAnsi="Narkisim"/>
          <w:rtl/>
        </w:rPr>
        <w:t xml:space="preserve"> (ושא"ר קידושין יב:) שמא יכשל בה [ע"פ הגמ' ב"ב צח:]. וב</w:t>
      </w:r>
      <w:r w:rsidRPr="00C26AFA">
        <w:rPr>
          <w:rFonts w:ascii="Narkisim" w:eastAsia="Narkisim" w:hAnsi="Narkisim"/>
          <w:b/>
          <w:bCs/>
          <w:rtl/>
        </w:rPr>
        <w:t>תוס' ריה"ז</w:t>
      </w:r>
      <w:r w:rsidRPr="00C26AFA">
        <w:rPr>
          <w:rFonts w:ascii="Narkisim" w:eastAsia="Narkisim" w:hAnsi="Narkisim"/>
          <w:rtl/>
        </w:rPr>
        <w:t xml:space="preserve"> (קידושין יב:) הביא </w:t>
      </w:r>
      <w:r w:rsidRPr="00C26AFA">
        <w:rPr>
          <w:rFonts w:ascii="Narkisim" w:eastAsia="Narkisim" w:hAnsi="Narkisim"/>
          <w:b/>
          <w:bCs/>
          <w:rtl/>
        </w:rPr>
        <w:t>י"מ</w:t>
      </w:r>
      <w:r w:rsidRPr="00C26AFA">
        <w:rPr>
          <w:rFonts w:ascii="Narkisim" w:eastAsia="Narkisim" w:hAnsi="Narkisim"/>
          <w:rtl/>
        </w:rPr>
        <w:t xml:space="preserve"> שקידש אשה, ודר בבית חמיו [ומשום פריצות ארוסתו]. וה</w:t>
      </w:r>
      <w:r w:rsidRPr="00C26AFA">
        <w:rPr>
          <w:rFonts w:ascii="Narkisim" w:eastAsia="Narkisim" w:hAnsi="Narkisim"/>
          <w:b/>
          <w:bCs/>
          <w:rtl/>
        </w:rPr>
        <w:t>רמב"ם</w:t>
      </w:r>
      <w:r w:rsidRPr="00C26AFA">
        <w:rPr>
          <w:rFonts w:ascii="Narkisim" w:eastAsia="Narkisim" w:hAnsi="Narkisim"/>
          <w:rtl/>
        </w:rPr>
        <w:t xml:space="preserve"> (איסו"ב כא טו) כת' דהוה עזות פנים לדור בבית חמיו [וכמו שאסור ליכנס עמו לבית המרחץ].</w:t>
      </w:r>
    </w:p>
    <w:p w14:paraId="7A790A64" w14:textId="77777777" w:rsidR="006074A5" w:rsidRPr="00C26AFA" w:rsidRDefault="006074A5" w:rsidP="006074A5">
      <w:pPr>
        <w:pStyle w:val="aa"/>
        <w:bidi/>
        <w:rPr>
          <w:rFonts w:ascii="Narkisim" w:hAnsi="Narkisim"/>
        </w:rPr>
      </w:pPr>
      <w:r w:rsidRPr="00C26AFA">
        <w:rPr>
          <w:rFonts w:ascii="Narkisim" w:hAnsi="Narkisim"/>
          <w:u w:val="single"/>
          <w:rtl/>
        </w:rPr>
        <w:t>מידם הוה דיימא.</w:t>
      </w:r>
      <w:r w:rsidRPr="00C26AFA">
        <w:rPr>
          <w:rFonts w:ascii="Narkisim" w:hAnsi="Narkisim"/>
          <w:rtl/>
        </w:rPr>
        <w:t xml:space="preserve"> ה</w:t>
      </w:r>
      <w:r w:rsidRPr="00C26AFA">
        <w:rPr>
          <w:rFonts w:ascii="Narkisim" w:hAnsi="Narkisim"/>
          <w:b/>
          <w:bCs/>
          <w:rtl/>
        </w:rPr>
        <w:t>רמב"ם</w:t>
      </w:r>
      <w:r w:rsidRPr="00C26AFA">
        <w:rPr>
          <w:rFonts w:ascii="Narkisim" w:hAnsi="Narkisim"/>
          <w:rtl/>
        </w:rPr>
        <w:t xml:space="preserve"> (איסו"ב ב יב) פסק דמי שנטען על הערוה לא ידור עמה במבוי, ולא יראה באותה שכונה</w:t>
      </w:r>
      <w:r w:rsidRPr="00C26AFA">
        <w:rPr>
          <w:rStyle w:val="ac"/>
          <w:rFonts w:ascii="Narkisim" w:hAnsi="Narkisim"/>
          <w:rtl/>
        </w:rPr>
        <w:footnoteReference w:id="3160"/>
      </w:r>
      <w:r w:rsidRPr="00C26AFA">
        <w:rPr>
          <w:rFonts w:ascii="Narkisim" w:hAnsi="Narkisim"/>
          <w:rtl/>
        </w:rPr>
        <w:t>, ומעשה בא' שהיו מרננין עם חמותו, והכו מכות מרדות וכו'. וה</w:t>
      </w:r>
      <w:r w:rsidRPr="00C26AFA">
        <w:rPr>
          <w:rFonts w:ascii="Narkisim" w:hAnsi="Narkisim"/>
          <w:b/>
          <w:bCs/>
          <w:rtl/>
        </w:rPr>
        <w:t>ראב"ד</w:t>
      </w:r>
      <w:r w:rsidRPr="00C26AFA">
        <w:rPr>
          <w:rFonts w:ascii="Narkisim" w:hAnsi="Narkisim"/>
          <w:rtl/>
        </w:rPr>
        <w:t xml:space="preserve"> השיג אם אמרו בחמותו שלבו גס בה, אבל בשאר עריות לא החמירו</w:t>
      </w:r>
      <w:r w:rsidRPr="00C26AFA">
        <w:rPr>
          <w:rStyle w:val="ac"/>
          <w:rFonts w:ascii="Narkisim" w:hAnsi="Narkisim"/>
          <w:rtl/>
        </w:rPr>
        <w:footnoteReference w:id="3161"/>
      </w:r>
      <w:r w:rsidRPr="00C26AFA">
        <w:rPr>
          <w:rFonts w:ascii="Narkisim" w:hAnsi="Narkisim"/>
          <w:rtl/>
        </w:rPr>
        <w:t>. וה</w:t>
      </w:r>
      <w:r w:rsidRPr="00C26AFA">
        <w:rPr>
          <w:rFonts w:ascii="Narkisim" w:hAnsi="Narkisim"/>
          <w:b/>
          <w:bCs/>
          <w:rtl/>
        </w:rPr>
        <w:t xml:space="preserve">גר"א </w:t>
      </w:r>
      <w:r w:rsidRPr="00C26AFA">
        <w:rPr>
          <w:rFonts w:ascii="Narkisim" w:hAnsi="Narkisim"/>
          <w:rtl/>
        </w:rPr>
        <w:t>(כא ט) ציין דמהכא ילפי' דהעובר על א' מהדברים של ריחוק מעריות מכין אותו מכות מרדות.</w:t>
      </w:r>
    </w:p>
    <w:p w14:paraId="1090A308" w14:textId="77777777" w:rsidR="006074A5" w:rsidRPr="00C26AFA" w:rsidRDefault="006074A5" w:rsidP="006074A5">
      <w:pPr>
        <w:pStyle w:val="aa"/>
        <w:bidi/>
        <w:rPr>
          <w:rFonts w:ascii="Narkisim" w:hAnsi="Narkisim"/>
        </w:rPr>
      </w:pPr>
      <w:r w:rsidRPr="00C26AFA">
        <w:rPr>
          <w:rFonts w:ascii="Narkisim" w:hAnsi="Narkisim"/>
          <w:u w:val="single"/>
          <w:rtl/>
        </w:rPr>
        <w:t>תוד"ה הדר.</w:t>
      </w:r>
      <w:r w:rsidRPr="00C26AFA">
        <w:rPr>
          <w:rFonts w:ascii="Narkisim" w:hAnsi="Narkisim"/>
          <w:rtl/>
        </w:rPr>
        <w:t xml:space="preserve"> אנן סמכינן אנהרדעא וכו'. וכ"כ ה</w:t>
      </w:r>
      <w:r w:rsidRPr="00C26AFA">
        <w:rPr>
          <w:rFonts w:ascii="Narkisim" w:hAnsi="Narkisim"/>
          <w:b/>
          <w:bCs/>
          <w:rtl/>
        </w:rPr>
        <w:t>רא"ש</w:t>
      </w:r>
      <w:r w:rsidRPr="00C26AFA">
        <w:rPr>
          <w:rFonts w:ascii="Narkisim" w:hAnsi="Narkisim"/>
          <w:rtl/>
        </w:rPr>
        <w:t>. ו</w:t>
      </w:r>
      <w:r w:rsidRPr="00C26AFA">
        <w:rPr>
          <w:rFonts w:ascii="Narkisim" w:eastAsia="Narkisim" w:hAnsi="Narkisim"/>
          <w:rtl/>
        </w:rPr>
        <w:t>ב</w:t>
      </w:r>
      <w:r w:rsidRPr="00C26AFA">
        <w:rPr>
          <w:rFonts w:ascii="Narkisim" w:eastAsia="Narkisim" w:hAnsi="Narkisim"/>
          <w:b/>
          <w:bCs/>
          <w:rtl/>
        </w:rPr>
        <w:t>שו"ת באר שבע</w:t>
      </w:r>
      <w:r w:rsidRPr="00C26AFA">
        <w:rPr>
          <w:rFonts w:ascii="Narkisim" w:eastAsia="Narkisim" w:hAnsi="Narkisim"/>
          <w:rtl/>
        </w:rPr>
        <w:t xml:space="preserve"> (כו בהג') ו</w:t>
      </w:r>
      <w:r w:rsidRPr="00C26AFA">
        <w:rPr>
          <w:rFonts w:ascii="Narkisim" w:hAnsi="Narkisim"/>
          <w:rtl/>
        </w:rPr>
        <w:t>ה</w:t>
      </w:r>
      <w:r w:rsidRPr="00C26AFA">
        <w:rPr>
          <w:rFonts w:ascii="Narkisim" w:hAnsi="Narkisim"/>
          <w:b/>
          <w:bCs/>
          <w:rtl/>
        </w:rPr>
        <w:t>גר"א</w:t>
      </w:r>
      <w:r w:rsidRPr="00C26AFA">
        <w:rPr>
          <w:rFonts w:ascii="Narkisim" w:hAnsi="Narkisim"/>
          <w:rtl/>
        </w:rPr>
        <w:t xml:space="preserve"> (כו יד) הקש' </w:t>
      </w:r>
      <w:r w:rsidRPr="00C26AFA">
        <w:rPr>
          <w:rFonts w:ascii="Narkisim" w:hAnsi="Narkisim"/>
          <w:rtl/>
        </w:rPr>
        <w:lastRenderedPageBreak/>
        <w:t>דנהרדעא ס"ל דלא מלקים, אבל לא מצאנו שהתירו</w:t>
      </w:r>
      <w:r w:rsidRPr="00C26AFA">
        <w:rPr>
          <w:rStyle w:val="ac"/>
          <w:rFonts w:ascii="Narkisim" w:hAnsi="Narkisim"/>
          <w:rtl/>
        </w:rPr>
        <w:footnoteReference w:id="3162"/>
      </w:r>
      <w:r w:rsidRPr="00C26AFA">
        <w:rPr>
          <w:rFonts w:ascii="Narkisim" w:hAnsi="Narkisim"/>
          <w:rtl/>
        </w:rPr>
        <w:t>.</w:t>
      </w:r>
    </w:p>
    <w:p w14:paraId="17CB1165" w14:textId="77777777" w:rsidR="006074A5" w:rsidRPr="00C26AFA" w:rsidRDefault="006074A5" w:rsidP="006074A5">
      <w:pPr>
        <w:pStyle w:val="2"/>
        <w:bidi/>
        <w:rPr>
          <w:rFonts w:ascii="Narkisim" w:hAnsi="Narkisim"/>
        </w:rPr>
      </w:pPr>
      <w:r w:rsidRPr="00C26AFA">
        <w:rPr>
          <w:rFonts w:ascii="Narkisim" w:hAnsi="Narkisim"/>
          <w:rtl/>
        </w:rPr>
        <w:t>קידושין ליבם ביבמה</w:t>
      </w:r>
    </w:p>
    <w:p w14:paraId="64671EF7" w14:textId="77777777" w:rsidR="006074A5" w:rsidRPr="00C26AFA" w:rsidRDefault="006074A5" w:rsidP="006074A5">
      <w:pPr>
        <w:bidi/>
        <w:rPr>
          <w:rFonts w:ascii="Narkisim" w:hAnsi="Narkisim" w:cs="Narkisim"/>
        </w:rPr>
      </w:pPr>
      <w:r w:rsidRPr="00C26AFA">
        <w:rPr>
          <w:rFonts w:ascii="Narkisim" w:hAnsi="Narkisim" w:cs="Narkisim"/>
          <w:u w:val="single"/>
          <w:rtl/>
        </w:rPr>
        <w:t>רש"י ד"ה נתן.</w:t>
      </w:r>
      <w:r w:rsidRPr="00C26AFA">
        <w:rPr>
          <w:rFonts w:ascii="Narkisim" w:hAnsi="Narkisim" w:cs="Narkisim"/>
          <w:rtl/>
        </w:rPr>
        <w:t xml:space="preserve"> לאו קידושין גמורין הן וכו' שהרי אין קידושין תופסים באשת אח, והתורה לא התירתה וכו' אחא כסדר המצווה. ה</w:t>
      </w:r>
      <w:r w:rsidRPr="00C26AFA">
        <w:rPr>
          <w:rFonts w:ascii="Narkisim" w:hAnsi="Narkisim" w:cs="Narkisim"/>
          <w:b/>
          <w:bCs/>
          <w:rtl/>
        </w:rPr>
        <w:t>אחרונים</w:t>
      </w:r>
      <w:r w:rsidRPr="00C26AFA">
        <w:rPr>
          <w:rFonts w:ascii="Narkisim" w:hAnsi="Narkisim" w:cs="Narkisim"/>
          <w:rtl/>
        </w:rPr>
        <w:t xml:space="preserve"> (בי"מ קסה) הקשו מי דחקו לרש"י לפרש כן, תיפו"ל דילפי' (לקמן נד., קידושין יד.) ביאה גומרת בה ואין כסף ושטר גומרים בה</w:t>
      </w:r>
      <w:r w:rsidRPr="00C26AFA">
        <w:rPr>
          <w:rStyle w:val="ac"/>
          <w:rFonts w:ascii="Narkisim" w:hAnsi="Narkisim" w:cs="Narkisim"/>
          <w:rtl/>
        </w:rPr>
        <w:footnoteReference w:id="3163"/>
      </w:r>
      <w:r w:rsidRPr="00C26AFA">
        <w:rPr>
          <w:rFonts w:ascii="Narkisim" w:hAnsi="Narkisim" w:cs="Narkisim"/>
          <w:rtl/>
        </w:rPr>
        <w:t>.</w:t>
      </w:r>
    </w:p>
    <w:p w14:paraId="631BCA50"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קר"א</w:t>
      </w:r>
      <w:r w:rsidRPr="00C26AFA">
        <w:rPr>
          <w:rFonts w:ascii="Narkisim" w:hAnsi="Narkisim"/>
          <w:rtl/>
        </w:rPr>
        <w:t xml:space="preserve"> וכן </w:t>
      </w:r>
      <w:r w:rsidRPr="00C26AFA">
        <w:rPr>
          <w:rFonts w:ascii="Narkisim" w:hAnsi="Narkisim"/>
          <w:b/>
          <w:bCs/>
          <w:rtl/>
        </w:rPr>
        <w:t>קובה"ע</w:t>
      </w:r>
      <w:r w:rsidRPr="00C26AFA">
        <w:rPr>
          <w:rFonts w:ascii="Narkisim" w:hAnsi="Narkisim"/>
          <w:rtl/>
        </w:rPr>
        <w:t xml:space="preserve"> (ג ד) ביארו דסברת רש"י הוא לפרש אמאי ל"מ קידושין דעלמא, ותי' רש"י דלא הותר איסור אשת אח אלא דרך יבום. אך מ"מ ס"ד דנילף מק"ו דשייך קנין יבום ע"י כסף ושטר. ובזה ילפי' מקרא דבעינן דוקא בביאה.</w:t>
      </w:r>
    </w:p>
    <w:p w14:paraId="3C2D3E12" w14:textId="77777777" w:rsidR="006074A5" w:rsidRPr="00C26AFA" w:rsidRDefault="006074A5" w:rsidP="006074A5">
      <w:pPr>
        <w:pStyle w:val="a8"/>
        <w:bidi/>
        <w:rPr>
          <w:rFonts w:ascii="Narkisim" w:hAnsi="Narkisim"/>
        </w:rPr>
      </w:pPr>
      <w:r w:rsidRPr="00C26AFA">
        <w:rPr>
          <w:rFonts w:ascii="Narkisim" w:hAnsi="Narkisim"/>
          <w:rtl/>
        </w:rPr>
        <w:t>אבל ה</w:t>
      </w:r>
      <w:r w:rsidRPr="00C26AFA">
        <w:rPr>
          <w:rFonts w:ascii="Narkisim" w:hAnsi="Narkisim"/>
          <w:b/>
          <w:bCs/>
          <w:rtl/>
        </w:rPr>
        <w:t>מהרי"ק</w:t>
      </w:r>
      <w:r w:rsidRPr="00C26AFA">
        <w:rPr>
          <w:rFonts w:ascii="Narkisim" w:hAnsi="Narkisim"/>
          <w:rtl/>
        </w:rPr>
        <w:t xml:space="preserve"> (קלט) כתב דקנין יבום הוה כקנין קידושין בעלמא, אלא דמיעטה תורה דל"מ ע"י כסף ושטר. וה</w:t>
      </w:r>
      <w:r w:rsidRPr="00C26AFA">
        <w:rPr>
          <w:rFonts w:ascii="Narkisim" w:hAnsi="Narkisim"/>
          <w:b/>
          <w:bCs/>
          <w:rtl/>
        </w:rPr>
        <w:t>או"ש</w:t>
      </w:r>
      <w:r w:rsidRPr="00C26AFA">
        <w:rPr>
          <w:rFonts w:ascii="Narkisim" w:hAnsi="Narkisim"/>
          <w:rtl/>
        </w:rPr>
        <w:t xml:space="preserve"> (יבום א א) הביא דב</w:t>
      </w:r>
      <w:r w:rsidRPr="00C26AFA">
        <w:rPr>
          <w:rFonts w:ascii="Narkisim" w:hAnsi="Narkisim"/>
          <w:b/>
          <w:bCs/>
          <w:rtl/>
        </w:rPr>
        <w:t>תוס</w:t>
      </w:r>
      <w:r w:rsidRPr="00C26AFA">
        <w:rPr>
          <w:rFonts w:ascii="Narkisim" w:hAnsi="Narkisim"/>
          <w:rtl/>
        </w:rPr>
        <w:t>' (לעיל מט:) מפורש דליבם נמי לאו בת קידושין היא, אלא ביאה הוא דאית ליה בה. ועוד ציין ל</w:t>
      </w:r>
      <w:r w:rsidRPr="00C26AFA">
        <w:rPr>
          <w:rFonts w:ascii="Narkisim" w:hAnsi="Narkisim"/>
          <w:b/>
          <w:bCs/>
          <w:rtl/>
        </w:rPr>
        <w:t>רש”י</w:t>
      </w:r>
      <w:r w:rsidRPr="00C26AFA">
        <w:rPr>
          <w:rFonts w:ascii="Narkisim" w:hAnsi="Narkisim"/>
          <w:rtl/>
        </w:rPr>
        <w:t xml:space="preserve"> דידן.</w:t>
      </w:r>
    </w:p>
    <w:p w14:paraId="2EB31EAB" w14:textId="77777777" w:rsidR="006074A5" w:rsidRPr="00C26AFA" w:rsidRDefault="006074A5" w:rsidP="006074A5">
      <w:pPr>
        <w:bidi/>
        <w:rPr>
          <w:rFonts w:ascii="Narkisim" w:hAnsi="Narkisim" w:cs="Narkisim"/>
        </w:rPr>
      </w:pPr>
      <w:r w:rsidRPr="00C26AFA">
        <w:rPr>
          <w:rFonts w:ascii="Narkisim" w:hAnsi="Narkisim" w:cs="Narkisim"/>
          <w:u w:val="single"/>
          <w:rtl/>
        </w:rPr>
        <w:t>בא"ד שהרי אין קידושין תופסין באשת אחיו, והתורה לא התירתה לו אלא כסדר המצוה</w:t>
      </w:r>
      <w:r w:rsidRPr="00C26AFA">
        <w:rPr>
          <w:rStyle w:val="ac"/>
          <w:rFonts w:ascii="Narkisim" w:hAnsi="Narkisim" w:cs="Narkisim"/>
          <w:u w:val="single"/>
          <w:rtl/>
        </w:rPr>
        <w:footnoteReference w:id="3164"/>
      </w:r>
      <w:r w:rsidRPr="00C26AFA">
        <w:rPr>
          <w:rFonts w:ascii="Narkisim" w:hAnsi="Narkisim" w:cs="Narkisim"/>
          <w:u w:val="single"/>
          <w:rtl/>
        </w:rPr>
        <w:t>.</w:t>
      </w:r>
      <w:r w:rsidRPr="00C26AFA">
        <w:rPr>
          <w:rFonts w:ascii="Narkisim" w:hAnsi="Narkisim" w:cs="Narkisim"/>
          <w:rtl/>
        </w:rPr>
        <w:t xml:space="preserve"> ה</w:t>
      </w:r>
      <w:r w:rsidRPr="00C26AFA">
        <w:rPr>
          <w:rFonts w:ascii="Narkisim" w:hAnsi="Narkisim" w:cs="Narkisim"/>
          <w:b/>
          <w:bCs/>
          <w:rtl/>
        </w:rPr>
        <w:t>בית מאיר</w:t>
      </w:r>
      <w:r w:rsidRPr="00C26AFA">
        <w:rPr>
          <w:rFonts w:ascii="Narkisim" w:hAnsi="Narkisim" w:cs="Narkisim"/>
          <w:rtl/>
        </w:rPr>
        <w:t xml:space="preserve"> </w:t>
      </w:r>
      <w:r w:rsidRPr="00C26AFA">
        <w:rPr>
          <w:rFonts w:ascii="Narkisim" w:hAnsi="Narkisim" w:cs="Narkisim"/>
          <w:szCs w:val="20"/>
          <w:rtl/>
        </w:rPr>
        <w:t>(קסה)</w:t>
      </w:r>
      <w:r w:rsidRPr="00C26AFA">
        <w:rPr>
          <w:rFonts w:ascii="Narkisim" w:hAnsi="Narkisim" w:cs="Narkisim"/>
          <w:rtl/>
        </w:rPr>
        <w:t xml:space="preserve"> כ' דדברי </w:t>
      </w:r>
      <w:r w:rsidRPr="00C26AFA">
        <w:rPr>
          <w:rFonts w:ascii="Narkisim" w:hAnsi="Narkisim" w:cs="Narkisim"/>
          <w:b/>
          <w:bCs/>
          <w:rtl/>
        </w:rPr>
        <w:t>רש"י</w:t>
      </w:r>
      <w:r w:rsidRPr="00C26AFA">
        <w:rPr>
          <w:rFonts w:ascii="Narkisim" w:hAnsi="Narkisim" w:cs="Narkisim"/>
          <w:rtl/>
        </w:rPr>
        <w:t xml:space="preserve"> מבואר דלא כ</w:t>
      </w:r>
      <w:r w:rsidRPr="00C26AFA">
        <w:rPr>
          <w:rFonts w:ascii="Narkisim" w:hAnsi="Narkisim" w:cs="Narkisim"/>
          <w:b/>
          <w:bCs/>
          <w:rtl/>
        </w:rPr>
        <w:t>רשב"א</w:t>
      </w:r>
      <w:r w:rsidRPr="00C26AFA">
        <w:rPr>
          <w:rFonts w:ascii="Narkisim" w:hAnsi="Narkisim" w:cs="Narkisim"/>
          <w:rtl/>
        </w:rPr>
        <w:t xml:space="preserve"> (</w:t>
      </w:r>
      <w:r w:rsidRPr="00C26AFA">
        <w:rPr>
          <w:rFonts w:ascii="Narkisim" w:hAnsi="Narkisim" w:cs="Narkisim"/>
          <w:szCs w:val="20"/>
          <w:rtl/>
        </w:rPr>
        <w:t>מא.</w:t>
      </w:r>
      <w:r w:rsidRPr="00C26AFA">
        <w:rPr>
          <w:rFonts w:ascii="Narkisim" w:hAnsi="Narkisim" w:cs="Narkisim"/>
          <w:rtl/>
        </w:rPr>
        <w:t>) דבשעת נפילה הותרה לגמרי</w:t>
      </w:r>
      <w:r w:rsidRPr="00C26AFA">
        <w:rPr>
          <w:rStyle w:val="ac"/>
          <w:rFonts w:ascii="Narkisim" w:hAnsi="Narkisim" w:cs="Narkisim"/>
          <w:rtl/>
        </w:rPr>
        <w:footnoteReference w:id="3165"/>
      </w:r>
      <w:r w:rsidRPr="00C26AFA">
        <w:rPr>
          <w:rFonts w:ascii="Narkisim" w:hAnsi="Narkisim" w:cs="Narkisim"/>
          <w:rtl/>
        </w:rPr>
        <w:t xml:space="preserve"> [ואף כשהותרה ונאסרה וחזרה להיתר, מותרת לו בלא דין יבום]. ודעת רש"י דהותר רק לקיום המצוה</w:t>
      </w:r>
      <w:r w:rsidRPr="00C26AFA">
        <w:rPr>
          <w:rStyle w:val="ac"/>
          <w:rFonts w:ascii="Narkisim" w:hAnsi="Narkisim" w:cs="Narkisim"/>
          <w:rtl/>
        </w:rPr>
        <w:footnoteReference w:id="3166"/>
      </w:r>
      <w:r w:rsidRPr="00C26AFA">
        <w:rPr>
          <w:rFonts w:ascii="Narkisim" w:hAnsi="Narkisim" w:cs="Narkisim"/>
          <w:rtl/>
        </w:rPr>
        <w:t>.</w:t>
      </w:r>
    </w:p>
    <w:p w14:paraId="28AC4FB4"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(אמר"מ ה א) הקשו דמ"מ חזינן דקטן הבא על הגדולה</w:t>
      </w:r>
      <w:r w:rsidRPr="00C26AFA">
        <w:rPr>
          <w:rStyle w:val="ac"/>
          <w:rFonts w:ascii="Narkisim" w:hAnsi="Narkisim"/>
          <w:rtl/>
        </w:rPr>
        <w:footnoteReference w:id="3167"/>
      </w:r>
      <w:r w:rsidRPr="00C26AFA">
        <w:rPr>
          <w:rFonts w:ascii="Narkisim" w:hAnsi="Narkisim"/>
          <w:rtl/>
        </w:rPr>
        <w:t xml:space="preserve">, וכן מעוברת לא נחשב איסור אשת אח </w:t>
      </w:r>
      <w:r w:rsidRPr="00C26AFA">
        <w:rPr>
          <w:rFonts w:ascii="Narkisim" w:hAnsi="Narkisim"/>
          <w:sz w:val="20"/>
          <w:szCs w:val="20"/>
          <w:rtl/>
        </w:rPr>
        <w:t xml:space="preserve">(וכמ"ש תוס' לה: ד”ה תגלי). </w:t>
      </w:r>
      <w:r w:rsidRPr="00C26AFA">
        <w:rPr>
          <w:rFonts w:ascii="Narkisim" w:hAnsi="Narkisim"/>
          <w:rtl/>
        </w:rPr>
        <w:t>וה</w:t>
      </w:r>
      <w:r w:rsidRPr="00C26AFA">
        <w:rPr>
          <w:rFonts w:ascii="Narkisim" w:hAnsi="Narkisim"/>
          <w:b/>
          <w:bCs/>
          <w:rtl/>
        </w:rPr>
        <w:t>קובה"ע</w:t>
      </w:r>
      <w:r w:rsidRPr="00C26AFA">
        <w:rPr>
          <w:rFonts w:ascii="Narkisim" w:hAnsi="Narkisim"/>
          <w:rtl/>
        </w:rPr>
        <w:t xml:space="preserve"> (ג ד) כתב [דכוונת רש"י] דאף דמותרת לו, מ"מ סיבת הערוה קיימת ומונע תפיסת קידושין</w:t>
      </w:r>
      <w:r w:rsidRPr="00C26AFA">
        <w:rPr>
          <w:rStyle w:val="ac"/>
          <w:rFonts w:ascii="Narkisim" w:hAnsi="Narkisim"/>
          <w:rtl/>
        </w:rPr>
        <w:footnoteReference w:id="3168"/>
      </w:r>
      <w:r w:rsidRPr="00C26AFA">
        <w:rPr>
          <w:rFonts w:ascii="Narkisim" w:hAnsi="Narkisim"/>
          <w:rtl/>
        </w:rPr>
        <w:t>. ואף דהאיסור אשת אח הותר, סיבת האיסור קיימת.</w:t>
      </w:r>
    </w:p>
    <w:p w14:paraId="757A6E1A" w14:textId="77777777" w:rsidR="006074A5" w:rsidRPr="00C26AFA" w:rsidRDefault="006074A5" w:rsidP="006074A5">
      <w:pPr>
        <w:pStyle w:val="a7"/>
        <w:bidi/>
        <w:rPr>
          <w:rFonts w:ascii="Narkisim" w:hAnsi="Narkisim"/>
        </w:rPr>
      </w:pPr>
      <w:r w:rsidRPr="00C26AFA">
        <w:rPr>
          <w:rFonts w:ascii="Narkisim" w:hAnsi="Narkisim"/>
          <w:rtl/>
        </w:rPr>
        <w:t>וב</w:t>
      </w:r>
      <w:r w:rsidRPr="00C26AFA">
        <w:rPr>
          <w:rFonts w:ascii="Narkisim" w:hAnsi="Narkisim"/>
          <w:b/>
          <w:bCs/>
          <w:rtl/>
        </w:rPr>
        <w:t>כתבי הגר"ח</w:t>
      </w:r>
      <w:r w:rsidRPr="00C26AFA">
        <w:rPr>
          <w:rFonts w:ascii="Narkisim" w:hAnsi="Narkisim"/>
          <w:rtl/>
        </w:rPr>
        <w:t xml:space="preserve"> (סטנסל פב,פג) פי' כוונת רש"י דאילו יחול הקנין קידושין, א"כ פקע הזיקה וחל זיקת אירוסין [והאיסור אשת אח הותר רק במצב הזיקה]. ואילו חל דין קידושין א"א לייבם, וכדאי' בגמ' לעיל.</w:t>
      </w:r>
    </w:p>
    <w:p w14:paraId="74DEC0BF" w14:textId="77777777" w:rsidR="006074A5" w:rsidRPr="00C26AFA" w:rsidRDefault="006074A5" w:rsidP="006074A5">
      <w:pPr>
        <w:pStyle w:val="aa"/>
        <w:bidi/>
        <w:rPr>
          <w:rFonts w:ascii="Narkisim" w:hAnsi="Narkisim"/>
        </w:rPr>
      </w:pPr>
      <w:r w:rsidRPr="00C26AFA">
        <w:rPr>
          <w:rFonts w:ascii="Narkisim" w:hAnsi="Narkisim"/>
          <w:u w:val="single"/>
          <w:rtl/>
        </w:rPr>
        <w:t>ת"ר כיצד במאמר נתן לה כסף.</w:t>
      </w:r>
      <w:r w:rsidRPr="00C26AFA">
        <w:rPr>
          <w:rFonts w:ascii="Narkisim" w:hAnsi="Narkisim"/>
          <w:rtl/>
        </w:rPr>
        <w:t xml:space="preserve"> ה</w:t>
      </w:r>
      <w:r w:rsidRPr="00C26AFA">
        <w:rPr>
          <w:rFonts w:ascii="Narkisim" w:hAnsi="Narkisim"/>
          <w:b/>
          <w:bCs/>
          <w:rtl/>
        </w:rPr>
        <w:t xml:space="preserve">רי"ף </w:t>
      </w:r>
      <w:r w:rsidRPr="00C26AFA">
        <w:rPr>
          <w:rFonts w:ascii="Narkisim" w:hAnsi="Narkisim"/>
          <w:rtl/>
        </w:rPr>
        <w:t>כתב דהיינו כבי"ש (קידושין ב. ויא.) דמקדש בדינר, אבל לבי"ה סגי בפרוטה.</w:t>
      </w:r>
    </w:p>
    <w:p w14:paraId="20954F68" w14:textId="77777777" w:rsidR="006074A5" w:rsidRPr="00C26AFA" w:rsidRDefault="006074A5" w:rsidP="006074A5">
      <w:pPr>
        <w:bidi/>
        <w:rPr>
          <w:rFonts w:ascii="Narkisim" w:hAnsi="Narkisim" w:cs="Narkisim"/>
        </w:rPr>
      </w:pPr>
      <w:r w:rsidRPr="00C26AFA">
        <w:rPr>
          <w:rFonts w:ascii="Narkisim" w:hAnsi="Narkisim" w:cs="Narkisim"/>
          <w:u w:val="single"/>
          <w:rtl/>
        </w:rPr>
        <w:t>כיצד בשטר.</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תניא גבי קידושין דעלמא, כיון דלענין קידושין דעלמא שווים, ממילא ידעינן דה"ה לשטר</w:t>
      </w:r>
      <w:r w:rsidRPr="00C26AFA">
        <w:rPr>
          <w:rStyle w:val="ac"/>
          <w:rFonts w:ascii="Narkisim" w:hAnsi="Narkisim" w:cs="Narkisim"/>
          <w:rtl/>
        </w:rPr>
        <w:footnoteReference w:id="3169"/>
      </w:r>
      <w:r w:rsidRPr="00C26AFA">
        <w:rPr>
          <w:rFonts w:ascii="Narkisim" w:hAnsi="Narkisim" w:cs="Narkisim"/>
          <w:rtl/>
        </w:rPr>
        <w:t>. וב</w:t>
      </w:r>
      <w:r w:rsidRPr="00C26AFA">
        <w:rPr>
          <w:rFonts w:ascii="Narkisim" w:hAnsi="Narkisim" w:cs="Narkisim"/>
          <w:b/>
          <w:bCs/>
          <w:rtl/>
        </w:rPr>
        <w:t>תוס' ר"פ</w:t>
      </w:r>
      <w:r w:rsidRPr="00C26AFA">
        <w:rPr>
          <w:rFonts w:ascii="Narkisim" w:hAnsi="Narkisim" w:cs="Narkisim"/>
          <w:rtl/>
        </w:rPr>
        <w:t xml:space="preserve"> הקשה מנלן דתקנו ע”י שטר. ולכן פי' דהגמ' סברה ד'בשטר כיצד' קאי במאמר בשטר, אבל למסקנא דקאי על שטר כתובה, א"כ אין ראיה דמהני מאמר בשטר. וכ"כ ב</w:t>
      </w:r>
      <w:r w:rsidRPr="00C26AFA">
        <w:rPr>
          <w:rFonts w:ascii="Narkisim" w:hAnsi="Narkisim" w:cs="Narkisim"/>
          <w:b/>
          <w:bCs/>
          <w:rtl/>
        </w:rPr>
        <w:t>חי' ר"א מן ההר</w:t>
      </w:r>
      <w:r w:rsidRPr="00C26AFA">
        <w:rPr>
          <w:rFonts w:ascii="Narkisim" w:hAnsi="Narkisim" w:cs="Narkisim"/>
          <w:rtl/>
        </w:rPr>
        <w:t xml:space="preserve"> לפרש הא דה</w:t>
      </w:r>
      <w:r w:rsidRPr="00C26AFA">
        <w:rPr>
          <w:rFonts w:ascii="Narkisim" w:hAnsi="Narkisim" w:cs="Narkisim"/>
          <w:b/>
          <w:bCs/>
          <w:rtl/>
        </w:rPr>
        <w:t>רי"ף</w:t>
      </w:r>
      <w:r w:rsidRPr="00C26AFA">
        <w:rPr>
          <w:rFonts w:ascii="Narkisim" w:hAnsi="Narkisim" w:cs="Narkisim"/>
          <w:rtl/>
        </w:rPr>
        <w:t xml:space="preserve"> וה</w:t>
      </w:r>
      <w:r w:rsidRPr="00C26AFA">
        <w:rPr>
          <w:rFonts w:ascii="Narkisim" w:hAnsi="Narkisim" w:cs="Narkisim"/>
          <w:b/>
          <w:bCs/>
          <w:rtl/>
        </w:rPr>
        <w:t>רמב"ם</w:t>
      </w:r>
      <w:r w:rsidRPr="00C26AFA">
        <w:rPr>
          <w:rFonts w:ascii="Narkisim" w:hAnsi="Narkisim" w:cs="Narkisim"/>
          <w:rtl/>
        </w:rPr>
        <w:t xml:space="preserve"> השמיטו מאמר בשטר</w:t>
      </w:r>
      <w:r w:rsidRPr="00C26AFA">
        <w:rPr>
          <w:rStyle w:val="ac"/>
          <w:rFonts w:ascii="Narkisim" w:hAnsi="Narkisim" w:cs="Narkisim"/>
          <w:rtl/>
        </w:rPr>
        <w:footnoteReference w:id="3170"/>
      </w:r>
      <w:r w:rsidRPr="00C26AFA">
        <w:rPr>
          <w:rFonts w:ascii="Narkisim" w:hAnsi="Narkisim" w:cs="Narkisim"/>
          <w:rtl/>
        </w:rPr>
        <w:t xml:space="preserve">. </w:t>
      </w:r>
      <w:r w:rsidRPr="00C26AFA">
        <w:rPr>
          <w:rFonts w:ascii="Narkisim" w:hAnsi="Narkisim" w:cs="Narkisim"/>
          <w:sz w:val="20"/>
          <w:szCs w:val="20"/>
          <w:rtl/>
        </w:rPr>
        <w:t>[וכ"כ ה</w:t>
      </w:r>
      <w:r w:rsidRPr="00C26AFA">
        <w:rPr>
          <w:rFonts w:ascii="Narkisim" w:hAnsi="Narkisim" w:cs="Narkisim"/>
          <w:b/>
          <w:bCs/>
          <w:sz w:val="20"/>
          <w:szCs w:val="20"/>
          <w:rtl/>
        </w:rPr>
        <w:t>גר"א</w:t>
      </w:r>
      <w:r w:rsidRPr="00C26AFA">
        <w:rPr>
          <w:rFonts w:ascii="Narkisim" w:hAnsi="Narkisim" w:cs="Narkisim"/>
          <w:sz w:val="20"/>
          <w:szCs w:val="20"/>
          <w:rtl/>
        </w:rPr>
        <w:t xml:space="preserve"> קסו ה בדעת הרמב"ם והטור, וכתב דכ"ה ב</w:t>
      </w:r>
      <w:r w:rsidRPr="00C26AFA">
        <w:rPr>
          <w:rFonts w:ascii="Narkisim" w:hAnsi="Narkisim" w:cs="Narkisim"/>
          <w:b/>
          <w:bCs/>
          <w:sz w:val="20"/>
          <w:szCs w:val="20"/>
          <w:rtl/>
        </w:rPr>
        <w:t>ירושלמי</w:t>
      </w:r>
      <w:r w:rsidRPr="00C26AFA">
        <w:rPr>
          <w:rFonts w:ascii="Narkisim" w:hAnsi="Narkisim" w:cs="Narkisim"/>
          <w:sz w:val="20"/>
          <w:szCs w:val="20"/>
          <w:rtl/>
        </w:rPr>
        <w:t>].</w:t>
      </w:r>
      <w:r w:rsidRPr="00C26AFA">
        <w:rPr>
          <w:rFonts w:ascii="Narkisim" w:hAnsi="Narkisim" w:cs="Narkisim"/>
          <w:rtl/>
        </w:rPr>
        <w:t xml:space="preserve">  </w:t>
      </w:r>
    </w:p>
    <w:p w14:paraId="1B14118A" w14:textId="77777777" w:rsidR="006074A5" w:rsidRPr="00C26AFA" w:rsidRDefault="006074A5" w:rsidP="006074A5">
      <w:pPr>
        <w:bidi/>
        <w:rPr>
          <w:rFonts w:ascii="Narkisim" w:hAnsi="Narkisim" w:cs="Narkisim"/>
        </w:rPr>
      </w:pPr>
      <w:r w:rsidRPr="00C26AFA">
        <w:rPr>
          <w:rFonts w:ascii="Narkisim" w:hAnsi="Narkisim" w:cs="Narkisim"/>
          <w:i/>
          <w:iCs/>
          <w:sz w:val="21"/>
          <w:szCs w:val="21"/>
          <w:rtl/>
        </w:rPr>
        <w:t>שליח</w:t>
      </w:r>
      <w:r w:rsidRPr="00C26AFA">
        <w:rPr>
          <w:rFonts w:ascii="Narkisim" w:hAnsi="Narkisim" w:cs="Narkisim"/>
          <w:rtl/>
        </w:rPr>
        <w:t xml:space="preserve"> - ה</w:t>
      </w:r>
      <w:r w:rsidRPr="00C26AFA">
        <w:rPr>
          <w:rFonts w:ascii="Narkisim" w:hAnsi="Narkisim" w:cs="Narkisim"/>
          <w:b/>
          <w:bCs/>
          <w:rtl/>
        </w:rPr>
        <w:t>ריב"ש</w:t>
      </w:r>
      <w:r w:rsidRPr="00C26AFA">
        <w:rPr>
          <w:rFonts w:ascii="Narkisim" w:hAnsi="Narkisim" w:cs="Narkisim"/>
          <w:rtl/>
        </w:rPr>
        <w:t xml:space="preserve"> </w:t>
      </w:r>
      <w:r w:rsidRPr="00C26AFA">
        <w:rPr>
          <w:rFonts w:ascii="Narkisim" w:hAnsi="Narkisim" w:cs="Narkisim"/>
          <w:sz w:val="20"/>
          <w:szCs w:val="20"/>
          <w:rtl/>
        </w:rPr>
        <w:t xml:space="preserve">(א והו' ברמ”א קסו ב) </w:t>
      </w:r>
      <w:r w:rsidRPr="00C26AFA">
        <w:rPr>
          <w:rFonts w:ascii="Narkisim" w:hAnsi="Narkisim" w:cs="Narkisim"/>
          <w:rtl/>
        </w:rPr>
        <w:t>כתב דמהני מאמר ע"י שליח, וכמו קידושין בעלמא</w:t>
      </w:r>
      <w:r w:rsidRPr="00C26AFA">
        <w:rPr>
          <w:rStyle w:val="ac"/>
          <w:rFonts w:ascii="Narkisim" w:hAnsi="Narkisim" w:cs="Narkisim"/>
          <w:rtl/>
        </w:rPr>
        <w:footnoteReference w:id="3171"/>
      </w:r>
      <w:r w:rsidRPr="00C26AFA">
        <w:rPr>
          <w:rFonts w:ascii="Narkisim" w:hAnsi="Narkisim" w:cs="Narkisim"/>
          <w:rtl/>
        </w:rPr>
        <w:t>. וה</w:t>
      </w:r>
      <w:r w:rsidRPr="00C26AFA">
        <w:rPr>
          <w:rFonts w:ascii="Narkisim" w:hAnsi="Narkisim" w:cs="Narkisim"/>
          <w:b/>
          <w:bCs/>
          <w:rtl/>
        </w:rPr>
        <w:t>גר"א</w:t>
      </w:r>
      <w:r w:rsidRPr="00C26AFA">
        <w:rPr>
          <w:rFonts w:ascii="Narkisim" w:hAnsi="Narkisim" w:cs="Narkisim"/>
          <w:rtl/>
        </w:rPr>
        <w:t xml:space="preserve"> (ח) ציין דקי"ל כרבנן (לעיל יח:) [דל"מ מאמר בע"כ] דגמרי מקידושין. ומשמע דלרבי </w:t>
      </w:r>
      <w:r w:rsidRPr="00C26AFA">
        <w:rPr>
          <w:rFonts w:ascii="Narkisim" w:hAnsi="Narkisim" w:cs="Narkisim"/>
          <w:rtl/>
        </w:rPr>
        <w:lastRenderedPageBreak/>
        <w:t>(דיליף מיבום, ול"מ בע"כ) ל"מ שליח למאמר.</w:t>
      </w:r>
      <w:r w:rsidRPr="00C26AFA">
        <w:rPr>
          <w:rFonts w:ascii="Narkisim" w:hAnsi="Narkisim" w:cs="Narkisim"/>
          <w:sz w:val="20"/>
          <w:szCs w:val="20"/>
          <w:rtl/>
        </w:rPr>
        <w:t xml:space="preserve"> וכ"כ ה</w:t>
      </w:r>
      <w:r w:rsidRPr="00C26AFA">
        <w:rPr>
          <w:rFonts w:ascii="Narkisim" w:hAnsi="Narkisim" w:cs="Narkisim"/>
          <w:b/>
          <w:bCs/>
          <w:sz w:val="20"/>
          <w:szCs w:val="20"/>
          <w:rtl/>
        </w:rPr>
        <w:t>או"ש</w:t>
      </w:r>
      <w:r w:rsidRPr="00C26AFA">
        <w:rPr>
          <w:rFonts w:ascii="Narkisim" w:hAnsi="Narkisim" w:cs="Narkisim"/>
          <w:sz w:val="20"/>
          <w:szCs w:val="20"/>
          <w:rtl/>
        </w:rPr>
        <w:t xml:space="preserve"> (ה א), וכתב דאף גט לרבי הוה גזירה אטו חליצה, ול"מ ע"י שליח דומיא דחליצה. ונסתפק האם צריך לכתוב את הגט ע"י עצמו</w:t>
      </w:r>
      <w:r w:rsidRPr="00C26AFA">
        <w:rPr>
          <w:rStyle w:val="ac"/>
          <w:rFonts w:ascii="Narkisim" w:hAnsi="Narkisim" w:cs="Narkisim"/>
          <w:sz w:val="20"/>
          <w:szCs w:val="20"/>
          <w:rtl/>
        </w:rPr>
        <w:footnoteReference w:id="3172"/>
      </w:r>
      <w:r w:rsidRPr="00C26AFA">
        <w:rPr>
          <w:rFonts w:ascii="Narkisim" w:hAnsi="Narkisim" w:cs="Narkisim"/>
          <w:sz w:val="20"/>
          <w:szCs w:val="20"/>
          <w:rtl/>
        </w:rPr>
        <w:t xml:space="preserve"> (או דסגי במסירתו).</w:t>
      </w:r>
    </w:p>
    <w:p w14:paraId="6BF19CEB" w14:textId="77777777" w:rsidR="006074A5" w:rsidRPr="00C26AFA" w:rsidRDefault="006074A5" w:rsidP="006074A5">
      <w:pPr>
        <w:pStyle w:val="aa"/>
        <w:bidi/>
        <w:rPr>
          <w:rFonts w:ascii="Narkisim" w:hAnsi="Narkisim"/>
        </w:rPr>
      </w:pPr>
      <w:r w:rsidRPr="00C26AFA">
        <w:rPr>
          <w:rFonts w:ascii="Narkisim" w:hAnsi="Narkisim"/>
          <w:u w:val="single"/>
          <w:rtl/>
        </w:rPr>
        <w:t>אלא מעתה וכו' ניירא בעלמא.</w:t>
      </w:r>
      <w:r w:rsidRPr="00C26AFA">
        <w:rPr>
          <w:rFonts w:ascii="Narkisim" w:hAnsi="Narkisim"/>
          <w:rtl/>
        </w:rPr>
        <w:t xml:space="preserve"> ה</w:t>
      </w:r>
      <w:r w:rsidRPr="00C26AFA">
        <w:rPr>
          <w:rFonts w:ascii="Narkisim" w:hAnsi="Narkisim"/>
          <w:b/>
          <w:bCs/>
          <w:rtl/>
        </w:rPr>
        <w:t>ריטב"א</w:t>
      </w:r>
      <w:r w:rsidRPr="00C26AFA">
        <w:rPr>
          <w:rFonts w:ascii="Narkisim" w:hAnsi="Narkisim"/>
          <w:rtl/>
        </w:rPr>
        <w:t xml:space="preserve"> כתב דאיירי דאמר לה הא גיטך. ואיירי בעפיץ, ומש"ה לא חיישינן משום מי מילין [כדאמרי' בגיטין יט:].</w:t>
      </w:r>
    </w:p>
    <w:p w14:paraId="2F1DCFA5" w14:textId="77777777" w:rsidR="006074A5" w:rsidRPr="00C26AFA" w:rsidRDefault="006074A5" w:rsidP="006074A5">
      <w:pPr>
        <w:bidi/>
        <w:rPr>
          <w:rFonts w:ascii="Narkisim" w:hAnsi="Narkisim" w:cs="Narkisim"/>
        </w:rPr>
      </w:pPr>
      <w:r w:rsidRPr="00C26AFA">
        <w:rPr>
          <w:rFonts w:ascii="Narkisim" w:hAnsi="Narkisim" w:cs="Narkisim"/>
          <w:u w:val="single"/>
          <w:rtl/>
        </w:rPr>
        <w:t>הכא קפסיל בכהונה.</w:t>
      </w:r>
      <w:r w:rsidRPr="00C26AFA">
        <w:rPr>
          <w:rFonts w:ascii="Narkisim" w:hAnsi="Narkisim" w:cs="Narkisim"/>
          <w:rtl/>
        </w:rPr>
        <w:t xml:space="preserve"> ה</w:t>
      </w:r>
      <w:r w:rsidRPr="00C26AFA">
        <w:rPr>
          <w:rFonts w:ascii="Narkisim" w:hAnsi="Narkisim" w:cs="Narkisim"/>
          <w:b/>
          <w:bCs/>
          <w:rtl/>
        </w:rPr>
        <w:t>רא"ש</w:t>
      </w:r>
      <w:r w:rsidRPr="00C26AFA">
        <w:rPr>
          <w:rFonts w:ascii="Narkisim" w:hAnsi="Narkisim" w:cs="Narkisim"/>
          <w:rtl/>
        </w:rPr>
        <w:t xml:space="preserve"> ביאר דכיון דמהני לפסול לכהונה, ואף גט ביבמה הוה לפסול. ואי אמרת האי גיטא לא פסיל, יאמרו גט בעלמא לא פסיל. </w:t>
      </w:r>
      <w:r w:rsidRPr="00C26AFA">
        <w:rPr>
          <w:rFonts w:ascii="Narkisim" w:hAnsi="Narkisim" w:cs="Narkisim"/>
          <w:sz w:val="20"/>
          <w:szCs w:val="20"/>
          <w:rtl/>
        </w:rPr>
        <w:t>וה</w:t>
      </w:r>
      <w:r w:rsidRPr="00C26AFA">
        <w:rPr>
          <w:rFonts w:ascii="Narkisim" w:hAnsi="Narkisim" w:cs="Narkisim"/>
          <w:b/>
          <w:bCs/>
          <w:sz w:val="20"/>
          <w:szCs w:val="20"/>
          <w:rtl/>
        </w:rPr>
        <w:t>ב"י</w:t>
      </w:r>
      <w:r w:rsidRPr="00C26AFA">
        <w:rPr>
          <w:rFonts w:ascii="Narkisim" w:hAnsi="Narkisim" w:cs="Narkisim"/>
          <w:sz w:val="20"/>
          <w:szCs w:val="20"/>
          <w:rtl/>
        </w:rPr>
        <w:t xml:space="preserve"> (קע) הביא מדברי הרא"ש דנפשט בזה הספק דביבמה פוסל</w:t>
      </w:r>
      <w:r w:rsidRPr="00C26AFA">
        <w:rPr>
          <w:rStyle w:val="ac"/>
          <w:rFonts w:ascii="Narkisim" w:hAnsi="Narkisim" w:cs="Narkisim"/>
          <w:sz w:val="20"/>
          <w:szCs w:val="20"/>
          <w:rtl/>
        </w:rPr>
        <w:footnoteReference w:id="3173"/>
      </w:r>
      <w:r w:rsidRPr="00C26AFA">
        <w:rPr>
          <w:rFonts w:ascii="Narkisim" w:hAnsi="Narkisim" w:cs="Narkisim"/>
          <w:sz w:val="20"/>
          <w:szCs w:val="20"/>
          <w:rtl/>
        </w:rPr>
        <w:t>.</w:t>
      </w:r>
    </w:p>
    <w:p w14:paraId="25B3B28D" w14:textId="77777777" w:rsidR="006074A5" w:rsidRPr="00C26AFA" w:rsidRDefault="006074A5" w:rsidP="006074A5">
      <w:pPr>
        <w:pStyle w:val="a7"/>
        <w:bidi/>
        <w:rPr>
          <w:rFonts w:ascii="Narkisim" w:hAnsi="Narkisim"/>
        </w:rPr>
      </w:pPr>
      <w:r w:rsidRPr="00C26AFA">
        <w:rPr>
          <w:rFonts w:ascii="Narkisim" w:hAnsi="Narkisim"/>
          <w:rtl/>
        </w:rPr>
        <w:t>אבל ב</w:t>
      </w:r>
      <w:r w:rsidRPr="00C26AFA">
        <w:rPr>
          <w:rFonts w:ascii="Narkisim" w:hAnsi="Narkisim"/>
          <w:b/>
          <w:bCs/>
          <w:rtl/>
        </w:rPr>
        <w:t>חי' ר"א מן ההר</w:t>
      </w:r>
      <w:r w:rsidRPr="00C26AFA">
        <w:rPr>
          <w:rFonts w:ascii="Narkisim" w:hAnsi="Narkisim"/>
          <w:rtl/>
        </w:rPr>
        <w:t xml:space="preserve"> כת' דמסתבר דלא פסיל, דזיל בתר טעמא, דגזרו משום דיאמר גט להוציא (וכדאמרי' נ:), והאי גט ל"מ להוציא.</w:t>
      </w:r>
    </w:p>
    <w:p w14:paraId="79D59B3E" w14:textId="77777777" w:rsidR="006074A5" w:rsidRPr="00C26AFA" w:rsidRDefault="006074A5" w:rsidP="006074A5">
      <w:pPr>
        <w:pStyle w:val="a7"/>
        <w:bidi/>
        <w:rPr>
          <w:rFonts w:ascii="Narkisim" w:hAnsi="Narkisim"/>
        </w:rPr>
      </w:pPr>
      <w:r w:rsidRPr="00C26AFA">
        <w:rPr>
          <w:rFonts w:ascii="Narkisim" w:hAnsi="Narkisim"/>
          <w:sz w:val="20"/>
          <w:szCs w:val="20"/>
          <w:rtl/>
        </w:rPr>
        <w:t xml:space="preserve">ויש </w:t>
      </w:r>
      <w:r w:rsidRPr="00C26AFA">
        <w:rPr>
          <w:rFonts w:ascii="Narkisim" w:hAnsi="Narkisim"/>
          <w:b/>
          <w:bCs/>
          <w:sz w:val="20"/>
          <w:szCs w:val="20"/>
          <w:rtl/>
        </w:rPr>
        <w:t>אחרונים</w:t>
      </w:r>
      <w:r w:rsidRPr="00C26AFA">
        <w:rPr>
          <w:rFonts w:ascii="Narkisim" w:hAnsi="Narkisim"/>
          <w:sz w:val="20"/>
          <w:szCs w:val="20"/>
          <w:rtl/>
        </w:rPr>
        <w:t xml:space="preserve"> שפי' מסקנת הגמ' דגט יבמין אינו כדי להתיר לשוק, אלא כדי להפקיע הזיקה ולהוציא ממנו, ולכן מסתבר דיהני גט זה. וכוונת הגמ' דהפסול כהונה הוא משום דמהני להפקיע ממנו</w:t>
      </w:r>
      <w:r w:rsidRPr="00C26AFA">
        <w:rPr>
          <w:rStyle w:val="ac"/>
          <w:rFonts w:ascii="Narkisim" w:hAnsi="Narkisim"/>
          <w:sz w:val="20"/>
          <w:szCs w:val="20"/>
          <w:rtl/>
        </w:rPr>
        <w:footnoteReference w:id="3174"/>
      </w:r>
      <w:r w:rsidRPr="00C26AFA">
        <w:rPr>
          <w:rFonts w:ascii="Narkisim" w:hAnsi="Narkisim"/>
          <w:sz w:val="20"/>
          <w:szCs w:val="20"/>
          <w:rtl/>
        </w:rPr>
        <w:t>. [אבל ה</w:t>
      </w:r>
      <w:r w:rsidRPr="00C26AFA">
        <w:rPr>
          <w:rFonts w:ascii="Narkisim" w:hAnsi="Narkisim"/>
          <w:b/>
          <w:bCs/>
          <w:sz w:val="20"/>
          <w:szCs w:val="20"/>
          <w:rtl/>
        </w:rPr>
        <w:t>ראשונים</w:t>
      </w:r>
      <w:r w:rsidRPr="00C26AFA">
        <w:rPr>
          <w:rFonts w:ascii="Narkisim" w:hAnsi="Narkisim"/>
          <w:sz w:val="20"/>
          <w:szCs w:val="20"/>
          <w:rtl/>
        </w:rPr>
        <w:t xml:space="preserve"> לא כתבו כן].</w:t>
      </w:r>
    </w:p>
    <w:p w14:paraId="12B1996E" w14:textId="77777777" w:rsidR="006074A5" w:rsidRPr="00C26AFA" w:rsidRDefault="006074A5" w:rsidP="006074A5">
      <w:pPr>
        <w:pStyle w:val="aa"/>
        <w:bidi/>
        <w:rPr>
          <w:rFonts w:ascii="Narkisim" w:hAnsi="Narkisim"/>
        </w:rPr>
      </w:pPr>
      <w:r w:rsidRPr="00C26AFA">
        <w:rPr>
          <w:rFonts w:ascii="Narkisim" w:hAnsi="Narkisim"/>
          <w:u w:val="single"/>
          <w:rtl/>
        </w:rPr>
        <w:t>גרושה מאשה לא יקחו, אפי' לא נתגרשה אלא מאישה וכו' זהו ריח הגט.</w:t>
      </w:r>
      <w:r w:rsidRPr="00C26AFA">
        <w:rPr>
          <w:rFonts w:ascii="Narkisim" w:hAnsi="Narkisim"/>
          <w:rtl/>
        </w:rPr>
        <w:t xml:space="preserve"> פשטות הגמ' גיטין (פב:) דהוה דרשא גמורה, דריח הגט פוסל לכהונה מדאורייתא. [ור“א יליף מהתם דמהני גירושין חוץ מפלוני</w:t>
      </w:r>
      <w:r w:rsidRPr="00C26AFA">
        <w:rPr>
          <w:rStyle w:val="ac"/>
          <w:rFonts w:ascii="Narkisim" w:hAnsi="Narkisim"/>
          <w:rtl/>
        </w:rPr>
        <w:footnoteReference w:id="3175"/>
      </w:r>
      <w:r w:rsidRPr="00C26AFA">
        <w:rPr>
          <w:rFonts w:ascii="Narkisim" w:hAnsi="Narkisim"/>
          <w:rtl/>
        </w:rPr>
        <w:t>]. אבל ה</w:t>
      </w:r>
      <w:r w:rsidRPr="00C26AFA">
        <w:rPr>
          <w:rFonts w:ascii="Narkisim" w:hAnsi="Narkisim"/>
          <w:b/>
          <w:bCs/>
          <w:rtl/>
        </w:rPr>
        <w:t>רמב"ם</w:t>
      </w:r>
      <w:r w:rsidRPr="00C26AFA">
        <w:rPr>
          <w:rFonts w:ascii="Narkisim" w:hAnsi="Narkisim"/>
          <w:rtl/>
        </w:rPr>
        <w:t xml:space="preserve"> (גירושין י א) כתב דהוה דרבנן. [וע' </w:t>
      </w:r>
      <w:r w:rsidRPr="00C26AFA">
        <w:rPr>
          <w:rFonts w:ascii="Narkisim" w:hAnsi="Narkisim"/>
          <w:b/>
          <w:bCs/>
          <w:rtl/>
        </w:rPr>
        <w:t xml:space="preserve">ה"ה </w:t>
      </w:r>
      <w:r w:rsidRPr="00C26AFA">
        <w:rPr>
          <w:rFonts w:ascii="Narkisim" w:hAnsi="Narkisim"/>
          <w:rtl/>
        </w:rPr>
        <w:t>ו</w:t>
      </w:r>
      <w:r w:rsidRPr="00C26AFA">
        <w:rPr>
          <w:rFonts w:ascii="Narkisim" w:hAnsi="Narkisim"/>
          <w:b/>
          <w:bCs/>
          <w:rtl/>
        </w:rPr>
        <w:t>לח"מ</w:t>
      </w:r>
      <w:r w:rsidRPr="00C26AFA">
        <w:rPr>
          <w:rFonts w:ascii="Narkisim" w:hAnsi="Narkisim"/>
          <w:rtl/>
        </w:rPr>
        <w:t xml:space="preserve"> (שם) דנדחקו בסוגיה הנ"ל לדעת הרמב"ם</w:t>
      </w:r>
      <w:r w:rsidRPr="00C26AFA">
        <w:rPr>
          <w:rStyle w:val="ac"/>
          <w:rFonts w:ascii="Narkisim" w:hAnsi="Narkisim"/>
          <w:rtl/>
        </w:rPr>
        <w:footnoteReference w:id="3176"/>
      </w:r>
      <w:r w:rsidRPr="00C26AFA">
        <w:rPr>
          <w:rFonts w:ascii="Narkisim" w:hAnsi="Narkisim"/>
          <w:rtl/>
        </w:rPr>
        <w:t>].</w:t>
      </w:r>
    </w:p>
    <w:p w14:paraId="4257C6D6" w14:textId="77777777" w:rsidR="006074A5" w:rsidRPr="00C26AFA" w:rsidRDefault="006074A5" w:rsidP="006074A5">
      <w:pPr>
        <w:bidi/>
        <w:rPr>
          <w:rFonts w:ascii="Narkisim" w:hAnsi="Narkisim" w:cs="Narkisim"/>
        </w:rPr>
      </w:pPr>
      <w:r w:rsidRPr="00C26AFA">
        <w:rPr>
          <w:rFonts w:ascii="Narkisim" w:hAnsi="Narkisim" w:cs="Narkisim"/>
          <w:sz w:val="20"/>
          <w:szCs w:val="20"/>
          <w:u w:val="single"/>
          <w:rtl/>
        </w:rPr>
        <w:t>שם</w:t>
      </w:r>
      <w:r w:rsidRPr="00C26AFA">
        <w:rPr>
          <w:rFonts w:ascii="Narkisim" w:hAnsi="Narkisim" w:cs="Narkisim"/>
          <w:sz w:val="20"/>
          <w:szCs w:val="20"/>
          <w:rtl/>
        </w:rPr>
        <w:t>. דעת שמואל (לקמן צו.) דקטן בן ט' הנותן גט ליבמתו פסלה [פ</w:t>
      </w:r>
      <w:r w:rsidRPr="00C26AFA">
        <w:rPr>
          <w:rFonts w:ascii="Narkisim" w:hAnsi="Narkisim" w:cs="Narkisim"/>
          <w:b/>
          <w:bCs/>
          <w:sz w:val="20"/>
          <w:szCs w:val="20"/>
          <w:rtl/>
        </w:rPr>
        <w:t>רש"י</w:t>
      </w:r>
      <w:r w:rsidRPr="00C26AFA">
        <w:rPr>
          <w:rFonts w:ascii="Narkisim" w:hAnsi="Narkisim" w:cs="Narkisim"/>
          <w:sz w:val="20"/>
          <w:szCs w:val="20"/>
          <w:rtl/>
        </w:rPr>
        <w:t xml:space="preserve"> דקיימא עליו בלא יבנה]</w:t>
      </w:r>
      <w:r w:rsidRPr="00C26AFA">
        <w:rPr>
          <w:rStyle w:val="ac"/>
          <w:rFonts w:ascii="Narkisim" w:hAnsi="Narkisim" w:cs="Narkisim"/>
          <w:sz w:val="20"/>
          <w:szCs w:val="20"/>
          <w:rtl/>
        </w:rPr>
        <w:footnoteReference w:id="3177"/>
      </w:r>
      <w:r w:rsidRPr="00C26AFA">
        <w:rPr>
          <w:rFonts w:ascii="Narkisim" w:hAnsi="Narkisim" w:cs="Narkisim"/>
          <w:sz w:val="20"/>
          <w:szCs w:val="20"/>
          <w:rtl/>
        </w:rPr>
        <w:t>. וב</w:t>
      </w:r>
      <w:r w:rsidRPr="00C26AFA">
        <w:rPr>
          <w:rFonts w:ascii="Narkisim" w:hAnsi="Narkisim" w:cs="Narkisim"/>
          <w:b/>
          <w:bCs/>
          <w:sz w:val="20"/>
          <w:szCs w:val="20"/>
          <w:rtl/>
        </w:rPr>
        <w:t>תוס' חד מקמאי</w:t>
      </w:r>
      <w:r w:rsidRPr="00C26AFA">
        <w:rPr>
          <w:rFonts w:ascii="Narkisim" w:hAnsi="Narkisim" w:cs="Narkisim"/>
          <w:sz w:val="20"/>
          <w:szCs w:val="20"/>
          <w:rtl/>
        </w:rPr>
        <w:t xml:space="preserve"> (לקמן צו.) כת' דה"מ כשכתב הגט בכתב ידו. אבל היכא דעדים כתבו את הגט ל"מ לפסול, דאין שליחות לקטן. ובגט צריך שיאמר לסופר כתוב ולעדים חתומו</w:t>
      </w:r>
      <w:r w:rsidRPr="00C26AFA">
        <w:rPr>
          <w:rStyle w:val="ac"/>
          <w:rFonts w:ascii="Narkisim" w:hAnsi="Narkisim" w:cs="Narkisim"/>
          <w:sz w:val="20"/>
          <w:szCs w:val="20"/>
          <w:rtl/>
        </w:rPr>
        <w:footnoteReference w:id="3178"/>
      </w:r>
      <w:r w:rsidRPr="00C26AFA">
        <w:rPr>
          <w:rFonts w:ascii="Narkisim" w:hAnsi="Narkisim" w:cs="Narkisim"/>
          <w:sz w:val="20"/>
          <w:szCs w:val="20"/>
          <w:rtl/>
        </w:rPr>
        <w:t xml:space="preserve"> (כדאי' גיטין עא:). [ואם נכתב שלא בשליחות הבעל אינו פוסל כלל]. והא</w:t>
      </w:r>
      <w:r w:rsidRPr="00C26AFA">
        <w:rPr>
          <w:rFonts w:ascii="Narkisim" w:hAnsi="Narkisim" w:cs="Narkisim"/>
          <w:b/>
          <w:bCs/>
          <w:sz w:val="20"/>
          <w:szCs w:val="20"/>
          <w:rtl/>
        </w:rPr>
        <w:t>ו"ש</w:t>
      </w:r>
      <w:r w:rsidRPr="00C26AFA">
        <w:rPr>
          <w:rFonts w:ascii="Narkisim" w:hAnsi="Narkisim" w:cs="Narkisim"/>
          <w:sz w:val="20"/>
          <w:szCs w:val="20"/>
          <w:rtl/>
        </w:rPr>
        <w:t xml:space="preserve"> (יבום ה א) הביא מדבריו דגדר גט יבמין הוה כמו גט בעלמא, ולא כמו גדר חליצה. והאו"ש דן האם מהני גט ביבמה בע"כ [וכמו גט בעלמא], או דדמי לחליצה ודוקא מדעתה</w:t>
      </w:r>
      <w:r w:rsidRPr="00C26AFA">
        <w:rPr>
          <w:rStyle w:val="ac"/>
          <w:rFonts w:ascii="Narkisim" w:hAnsi="Narkisim" w:cs="Narkisim"/>
          <w:sz w:val="20"/>
          <w:szCs w:val="20"/>
          <w:rtl/>
        </w:rPr>
        <w:footnoteReference w:id="3179"/>
      </w:r>
      <w:r w:rsidRPr="00C26AFA">
        <w:rPr>
          <w:rFonts w:ascii="Narkisim" w:hAnsi="Narkisim" w:cs="Narkisim"/>
          <w:sz w:val="20"/>
          <w:szCs w:val="20"/>
          <w:rtl/>
        </w:rPr>
        <w:t>.</w:t>
      </w:r>
    </w:p>
    <w:p w14:paraId="3C73CA39" w14:textId="77777777" w:rsidR="006074A5" w:rsidRPr="00C26AFA" w:rsidRDefault="006074A5" w:rsidP="006074A5">
      <w:pPr>
        <w:pStyle w:val="aa"/>
        <w:bidi/>
        <w:rPr>
          <w:rFonts w:ascii="Narkisim" w:hAnsi="Narkisim"/>
        </w:rPr>
      </w:pPr>
      <w:r w:rsidRPr="00C26AFA">
        <w:rPr>
          <w:rFonts w:ascii="Narkisim" w:hAnsi="Narkisim"/>
          <w:u w:val="single"/>
          <w:rtl/>
        </w:rPr>
        <w:t>תוד"ה לכשאכנסנה.</w:t>
      </w:r>
      <w:r w:rsidRPr="00C26AFA">
        <w:rPr>
          <w:rFonts w:ascii="Narkisim" w:hAnsi="Narkisim"/>
          <w:rtl/>
        </w:rPr>
        <w:t xml:space="preserve"> ואר"ת דהכא וכו' שלא נתייחד עמה אחר זמן שכתוב בה. וגזירת גיטה קודם לבנה תלי בזמן הכתוב בו, ולא בכתיבת הגט. וה</w:t>
      </w:r>
      <w:r w:rsidRPr="00C26AFA">
        <w:rPr>
          <w:rFonts w:ascii="Narkisim" w:hAnsi="Narkisim"/>
          <w:b/>
          <w:bCs/>
          <w:rtl/>
        </w:rPr>
        <w:t>רשב"א</w:t>
      </w:r>
      <w:r w:rsidRPr="00C26AFA">
        <w:rPr>
          <w:rFonts w:ascii="Narkisim" w:hAnsi="Narkisim"/>
          <w:rtl/>
        </w:rPr>
        <w:t xml:space="preserve"> (גיטין כו:) תי' דאיירי שצווה קודם, והסופר כתב את הגט לאחר שכנסה וגירשה</w:t>
      </w:r>
      <w:r w:rsidRPr="00C26AFA">
        <w:rPr>
          <w:rStyle w:val="ac"/>
          <w:rFonts w:ascii="Narkisim" w:hAnsi="Narkisim"/>
          <w:rtl/>
        </w:rPr>
        <w:footnoteReference w:id="3180"/>
      </w:r>
      <w:r w:rsidRPr="00C26AFA">
        <w:rPr>
          <w:rFonts w:ascii="Narkisim" w:hAnsi="Narkisim"/>
          <w:rtl/>
        </w:rPr>
        <w:t>. [ע"ע בסמוך].</w:t>
      </w:r>
    </w:p>
    <w:p w14:paraId="4121B550"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רש"ש</w:t>
      </w:r>
      <w:r w:rsidRPr="00C26AFA">
        <w:rPr>
          <w:rFonts w:ascii="Narkisim" w:hAnsi="Narkisim"/>
          <w:rtl/>
        </w:rPr>
        <w:t xml:space="preserve"> כת' דאפשר דאיירי כשכנסה אח"כ בלא יחוד. [וכדאי' כתובות יא: יב. נשאת ויש עדים שלא בא עליה]</w:t>
      </w:r>
      <w:r w:rsidRPr="00C26AFA">
        <w:rPr>
          <w:rStyle w:val="ac"/>
          <w:rFonts w:ascii="Narkisim" w:hAnsi="Narkisim"/>
          <w:rtl/>
        </w:rPr>
        <w:footnoteReference w:id="3181"/>
      </w:r>
      <w:r w:rsidRPr="00C26AFA">
        <w:rPr>
          <w:rFonts w:ascii="Narkisim" w:hAnsi="Narkisim"/>
          <w:rtl/>
        </w:rPr>
        <w:t>.</w:t>
      </w:r>
    </w:p>
    <w:p w14:paraId="45359847" w14:textId="77777777" w:rsidR="006074A5" w:rsidRPr="00C26AFA" w:rsidRDefault="006074A5" w:rsidP="006074A5">
      <w:pPr>
        <w:pStyle w:val="aa"/>
        <w:bidi/>
        <w:rPr>
          <w:rFonts w:ascii="Narkisim" w:hAnsi="Narkisim"/>
        </w:rPr>
      </w:pPr>
      <w:r w:rsidRPr="00C26AFA">
        <w:rPr>
          <w:rFonts w:ascii="Narkisim" w:hAnsi="Narkisim"/>
          <w:u w:val="single"/>
          <w:rtl/>
        </w:rPr>
        <w:t>בא"ד [בע"ב] וגרע טפי מגט ישן וכו' אבל התם דכנסה ואיכא ודאי ביאה, אינו גט כלל</w:t>
      </w:r>
      <w:r w:rsidRPr="00C26AFA">
        <w:rPr>
          <w:rFonts w:ascii="Narkisim" w:hAnsi="Narkisim"/>
          <w:rtl/>
        </w:rPr>
        <w:t xml:space="preserve">. [וכ"כ </w:t>
      </w:r>
      <w:r w:rsidRPr="00C26AFA">
        <w:rPr>
          <w:rFonts w:ascii="Narkisim" w:hAnsi="Narkisim"/>
          <w:b/>
          <w:bCs/>
          <w:rtl/>
        </w:rPr>
        <w:t>תוס</w:t>
      </w:r>
      <w:r w:rsidRPr="00C26AFA">
        <w:rPr>
          <w:rFonts w:ascii="Narkisim" w:hAnsi="Narkisim"/>
          <w:rtl/>
        </w:rPr>
        <w:t>' גיטין כו:, ב”ב קלה:]. וה</w:t>
      </w:r>
      <w:r w:rsidRPr="00C26AFA">
        <w:rPr>
          <w:rFonts w:ascii="Narkisim" w:hAnsi="Narkisim"/>
          <w:b/>
          <w:bCs/>
          <w:rtl/>
        </w:rPr>
        <w:t>רמב"ן</w:t>
      </w:r>
      <w:r w:rsidRPr="00C26AFA">
        <w:rPr>
          <w:rFonts w:ascii="Narkisim" w:hAnsi="Narkisim"/>
          <w:rtl/>
        </w:rPr>
        <w:t xml:space="preserve"> (גיטין שם) כתב דבארוסה חששו יותר, דלא יתלו שנשא וגירש. אבל בנשואה לא יתלו בעבירה. והכא איירי דכתוב הזמן שאח"כ.</w:t>
      </w:r>
    </w:p>
    <w:p w14:paraId="341FA9F2" w14:textId="77777777" w:rsidR="006074A5" w:rsidRPr="00C26AFA" w:rsidRDefault="006074A5" w:rsidP="006074A5">
      <w:pPr>
        <w:pStyle w:val="3"/>
        <w:bidi/>
        <w:rPr>
          <w:rFonts w:ascii="Narkisim" w:hAnsi="Narkisim"/>
        </w:rPr>
      </w:pPr>
      <w:r w:rsidRPr="00C26AFA">
        <w:rPr>
          <w:rFonts w:ascii="Narkisim" w:hAnsi="Narkisim"/>
          <w:rtl/>
        </w:rPr>
        <w:lastRenderedPageBreak/>
        <w:t>דף נב:</w:t>
      </w:r>
    </w:p>
    <w:p w14:paraId="3DC76DB3" w14:textId="77777777" w:rsidR="006074A5" w:rsidRPr="00C26AFA" w:rsidRDefault="006074A5" w:rsidP="006074A5">
      <w:pPr>
        <w:pStyle w:val="2"/>
        <w:bidi/>
        <w:rPr>
          <w:rFonts w:ascii="Narkisim" w:hAnsi="Narkisim"/>
          <w:sz w:val="21"/>
        </w:rPr>
      </w:pPr>
      <w:r w:rsidRPr="00C26AFA">
        <w:rPr>
          <w:rFonts w:ascii="Narkisim" w:hAnsi="Narkisim"/>
          <w:sz w:val="21"/>
          <w:rtl/>
        </w:rPr>
        <w:t>כתוב גט קודם קידושין</w:t>
      </w:r>
    </w:p>
    <w:p w14:paraId="26C83C21" w14:textId="77777777" w:rsidR="006074A5" w:rsidRPr="00C26AFA" w:rsidRDefault="006074A5" w:rsidP="006074A5">
      <w:pPr>
        <w:bidi/>
        <w:rPr>
          <w:rFonts w:ascii="Narkisim" w:hAnsi="Narkisim" w:cs="Narkisim"/>
        </w:rPr>
      </w:pPr>
      <w:r w:rsidRPr="00C26AFA">
        <w:rPr>
          <w:rFonts w:ascii="Narkisim" w:hAnsi="Narkisim" w:cs="Narkisim"/>
          <w:u w:val="single"/>
          <w:rtl/>
        </w:rPr>
        <w:t>ולאשה בעלמא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אינו גט הואיל וכשנכתב לא היה ראוי</w:t>
      </w:r>
      <w:r w:rsidRPr="00C26AFA">
        <w:rPr>
          <w:rStyle w:val="ac"/>
          <w:rFonts w:ascii="Narkisim" w:hAnsi="Narkisim" w:cs="Narkisim"/>
          <w:rtl/>
        </w:rPr>
        <w:footnoteReference w:id="3182"/>
      </w:r>
      <w:r w:rsidRPr="00C26AFA">
        <w:rPr>
          <w:rFonts w:ascii="Narkisim" w:hAnsi="Narkisim" w:cs="Narkisim"/>
          <w:rtl/>
        </w:rPr>
        <w:t xml:space="preserve"> לגירושין</w:t>
      </w:r>
      <w:r w:rsidRPr="00C26AFA">
        <w:rPr>
          <w:rStyle w:val="ac"/>
          <w:rFonts w:ascii="Narkisim" w:hAnsi="Narkisim" w:cs="Narkisim"/>
          <w:rtl/>
        </w:rPr>
        <w:footnoteReference w:id="3183"/>
      </w:r>
      <w:r w:rsidRPr="00C26AFA">
        <w:rPr>
          <w:rFonts w:ascii="Narkisim" w:hAnsi="Narkisim" w:cs="Narkisim"/>
          <w:rtl/>
        </w:rPr>
        <w:t>. וכעי"ז כ' ה</w:t>
      </w:r>
      <w:r w:rsidRPr="00C26AFA">
        <w:rPr>
          <w:rFonts w:ascii="Narkisim" w:hAnsi="Narkisim" w:cs="Narkisim"/>
          <w:b/>
          <w:bCs/>
          <w:rtl/>
        </w:rPr>
        <w:t>רמב"ם</w:t>
      </w:r>
      <w:r w:rsidRPr="00C26AFA">
        <w:rPr>
          <w:rFonts w:ascii="Narkisim" w:hAnsi="Narkisim" w:cs="Narkisim"/>
          <w:rtl/>
        </w:rPr>
        <w:t xml:space="preserve"> </w:t>
      </w:r>
      <w:r w:rsidRPr="00C26AFA">
        <w:rPr>
          <w:rFonts w:ascii="Narkisim" w:hAnsi="Narkisim" w:cs="Narkisim"/>
          <w:sz w:val="20"/>
          <w:szCs w:val="20"/>
          <w:rtl/>
        </w:rPr>
        <w:t>(גירושין ג ו)</w:t>
      </w:r>
      <w:r w:rsidRPr="00C26AFA">
        <w:rPr>
          <w:rFonts w:ascii="Narkisim" w:hAnsi="Narkisim" w:cs="Narkisim"/>
          <w:rtl/>
        </w:rPr>
        <w:t xml:space="preserve"> דלא היתה בת גירושין ממנו כשנכתב הגט</w:t>
      </w:r>
      <w:r w:rsidRPr="00C26AFA">
        <w:rPr>
          <w:rStyle w:val="ac"/>
          <w:rFonts w:ascii="Narkisim" w:hAnsi="Narkisim" w:cs="Narkisim"/>
          <w:rtl/>
        </w:rPr>
        <w:footnoteReference w:id="3184"/>
      </w:r>
      <w:r w:rsidRPr="00C26AFA">
        <w:rPr>
          <w:rFonts w:ascii="Narkisim" w:hAnsi="Narkisim" w:cs="Narkisim"/>
          <w:rtl/>
        </w:rPr>
        <w:t>. וה</w:t>
      </w:r>
      <w:r w:rsidRPr="00C26AFA">
        <w:rPr>
          <w:rFonts w:ascii="Narkisim" w:hAnsi="Narkisim" w:cs="Narkisim"/>
          <w:b/>
          <w:bCs/>
          <w:rtl/>
        </w:rPr>
        <w:t>תוס' מהר"ם ור"פ</w:t>
      </w:r>
      <w:r w:rsidRPr="00C26AFA">
        <w:rPr>
          <w:rFonts w:ascii="Narkisim" w:hAnsi="Narkisim" w:cs="Narkisim"/>
          <w:rtl/>
        </w:rPr>
        <w:t xml:space="preserve"> כתב דלפ"ז אם המתין השליח וכתב אח"כ יהני [דבשעת כתיבה היתה ראויה], אך הק' דאמרי' (נזיר יב.) דכל מילתא דאיהו לא מצי עביד שליח לא מצי משויא</w:t>
      </w:r>
      <w:r w:rsidRPr="00C26AFA">
        <w:rPr>
          <w:rStyle w:val="ac"/>
          <w:rFonts w:ascii="Narkisim" w:hAnsi="Narkisim" w:cs="Narkisim"/>
          <w:rtl/>
        </w:rPr>
        <w:footnoteReference w:id="3185"/>
      </w:r>
      <w:r w:rsidRPr="00C26AFA">
        <w:rPr>
          <w:rFonts w:ascii="Narkisim" w:hAnsi="Narkisim" w:cs="Narkisim"/>
          <w:rtl/>
        </w:rPr>
        <w:t>.</w:t>
      </w:r>
    </w:p>
    <w:p w14:paraId="6AB77821" w14:textId="77777777" w:rsidR="006074A5" w:rsidRPr="00C26AFA" w:rsidRDefault="006074A5" w:rsidP="006074A5">
      <w:pPr>
        <w:pStyle w:val="a7"/>
        <w:bidi/>
        <w:rPr>
          <w:rFonts w:ascii="Narkisim" w:hAnsi="Narkisim"/>
        </w:rPr>
      </w:pPr>
      <w:r w:rsidRPr="00C26AFA">
        <w:rPr>
          <w:rFonts w:ascii="Narkisim" w:hAnsi="Narkisim"/>
          <w:rtl/>
        </w:rPr>
        <w:t xml:space="preserve">וכ"כ </w:t>
      </w:r>
      <w:r w:rsidRPr="00C26AFA">
        <w:rPr>
          <w:rFonts w:ascii="Narkisim" w:hAnsi="Narkisim"/>
          <w:b/>
          <w:bCs/>
          <w:rtl/>
        </w:rPr>
        <w:t>תוס</w:t>
      </w:r>
      <w:r w:rsidRPr="00C26AFA">
        <w:rPr>
          <w:rFonts w:ascii="Narkisim" w:hAnsi="Narkisim"/>
          <w:rtl/>
        </w:rPr>
        <w:t xml:space="preserve">' </w:t>
      </w:r>
      <w:r w:rsidRPr="00C26AFA">
        <w:rPr>
          <w:rFonts w:ascii="Narkisim" w:hAnsi="Narkisim"/>
          <w:sz w:val="20"/>
          <w:szCs w:val="20"/>
          <w:rtl/>
        </w:rPr>
        <w:t xml:space="preserve">(ד"ה ולאשה) </w:t>
      </w:r>
      <w:r w:rsidRPr="00C26AFA">
        <w:rPr>
          <w:rFonts w:ascii="Narkisim" w:hAnsi="Narkisim"/>
          <w:rtl/>
        </w:rPr>
        <w:t>דאף כשהשליח כתבו אח"כ ל"מ, דבשעה שעשאו שליח אין בידו לגרשה. ומבואר דהוה חסרון במינוי השליחות. וכעי"ז כ' ה</w:t>
      </w:r>
      <w:r w:rsidRPr="00C26AFA">
        <w:rPr>
          <w:rFonts w:ascii="Narkisim" w:hAnsi="Narkisim"/>
          <w:b/>
          <w:bCs/>
          <w:rtl/>
        </w:rPr>
        <w:t>רמב"ן</w:t>
      </w:r>
      <w:r w:rsidRPr="00C26AFA">
        <w:rPr>
          <w:rFonts w:ascii="Narkisim" w:hAnsi="Narkisim"/>
          <w:rtl/>
        </w:rPr>
        <w:t xml:space="preserve"> (ורשב"א) דכיון דאין בידו לגרשה אין בידו לעשות שליח, ונעשה כמי שלא אמר לסופר כתוב ולעדים חתומו. </w:t>
      </w:r>
      <w:r w:rsidRPr="00C26AFA">
        <w:rPr>
          <w:rFonts w:ascii="Narkisim" w:hAnsi="Narkisim"/>
          <w:szCs w:val="20"/>
          <w:rtl/>
        </w:rPr>
        <w:t>[דתנן (גיטין עא:) דהגט בטל עד שיאמר לסופר כתוב ולעדים חתומו]</w:t>
      </w:r>
      <w:r w:rsidRPr="00C26AFA">
        <w:rPr>
          <w:rFonts w:ascii="Narkisim" w:hAnsi="Narkisim"/>
          <w:rtl/>
        </w:rPr>
        <w:t>.</w:t>
      </w:r>
    </w:p>
    <w:p w14:paraId="1B888865"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ריטב"א</w:t>
      </w:r>
      <w:r w:rsidRPr="00C26AFA">
        <w:rPr>
          <w:rFonts w:ascii="Narkisim" w:hAnsi="Narkisim"/>
          <w:rtl/>
        </w:rPr>
        <w:t xml:space="preserve"> כתב דאין שליחות של עכשיו שליחות כלל, ומש"ה לא קרינן ביה 'וכתב ונתן'.</w:t>
      </w:r>
    </w:p>
    <w:p w14:paraId="5FE54E93"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חי' ר"א מן ההר</w:t>
      </w:r>
      <w:r w:rsidRPr="00C26AFA">
        <w:rPr>
          <w:rFonts w:ascii="Narkisim" w:hAnsi="Narkisim"/>
          <w:rtl/>
        </w:rPr>
        <w:t xml:space="preserve"> כתב דטעם זה תליא אי בעי שלוחו ובמקומו דבעל לכתיבת הגט [ונח' בזה הראשונים, ע' תוס' גיטין כב:]. וכתב דאי לא בעינן שליחות, וסגי שנכתב במצוותו, ודאי כה"ג מהני (שיצווה עכשיו ויכתוב אח"כ).</w:t>
      </w:r>
      <w:r w:rsidRPr="00C26AFA">
        <w:rPr>
          <w:rFonts w:ascii="Narkisim" w:hAnsi="Narkisim"/>
          <w:sz w:val="20"/>
          <w:szCs w:val="20"/>
          <w:rtl/>
        </w:rPr>
        <w:t xml:space="preserve"> [ור"א מן ההר האריך לדון אי בעינן שליחות בכתיבה</w:t>
      </w:r>
      <w:r w:rsidRPr="00C26AFA">
        <w:rPr>
          <w:rStyle w:val="ac"/>
          <w:rFonts w:ascii="Narkisim" w:hAnsi="Narkisim"/>
          <w:sz w:val="20"/>
          <w:szCs w:val="20"/>
          <w:rtl/>
        </w:rPr>
        <w:footnoteReference w:id="3186"/>
      </w:r>
      <w:r w:rsidRPr="00C26AFA">
        <w:rPr>
          <w:rFonts w:ascii="Narkisim" w:hAnsi="Narkisim"/>
          <w:sz w:val="20"/>
          <w:szCs w:val="20"/>
          <w:rtl/>
        </w:rPr>
        <w:t>]. וכן ה</w:t>
      </w:r>
      <w:r w:rsidRPr="00C26AFA">
        <w:rPr>
          <w:rFonts w:ascii="Narkisim" w:hAnsi="Narkisim"/>
          <w:b/>
          <w:bCs/>
          <w:sz w:val="20"/>
          <w:szCs w:val="20"/>
          <w:rtl/>
        </w:rPr>
        <w:t>מחנ”א</w:t>
      </w:r>
      <w:r w:rsidRPr="00C26AFA">
        <w:rPr>
          <w:rFonts w:ascii="Narkisim" w:hAnsi="Narkisim"/>
          <w:sz w:val="20"/>
          <w:szCs w:val="20"/>
          <w:rtl/>
        </w:rPr>
        <w:t xml:space="preserve"> (גירו' ג טו ד"ה וראיה) הוכיח מסוגיין דצריך שליחות בכתיבת הגט</w:t>
      </w:r>
      <w:r w:rsidRPr="00C26AFA">
        <w:rPr>
          <w:rFonts w:ascii="Narkisim" w:hAnsi="Narkisim"/>
          <w:rtl/>
        </w:rPr>
        <w:t>.</w:t>
      </w:r>
    </w:p>
    <w:p w14:paraId="7B044CF8" w14:textId="77777777" w:rsidR="006074A5" w:rsidRPr="00C26AFA" w:rsidRDefault="006074A5" w:rsidP="006074A5">
      <w:pPr>
        <w:pStyle w:val="a8"/>
        <w:bidi/>
        <w:rPr>
          <w:rFonts w:ascii="Narkisim" w:hAnsi="Narkisim"/>
        </w:rPr>
      </w:pPr>
      <w:r w:rsidRPr="00C26AFA">
        <w:rPr>
          <w:rFonts w:ascii="Narkisim" w:hAnsi="Narkisim"/>
          <w:rtl/>
        </w:rPr>
        <w:t>[אך לכאורה מבואר בראשונים דאף לצד דלא בעי שליחות, אלא צריך צווי הבעל להחשב לשמה. ואף לגדרי צווי לשמה ל"מ בדבר שלא בא לעולם. דעדיין אינו בעלים לצוות].</w:t>
      </w:r>
    </w:p>
    <w:p w14:paraId="6F09B1B0" w14:textId="77777777" w:rsidR="006074A5" w:rsidRPr="00C26AFA" w:rsidRDefault="006074A5" w:rsidP="006074A5">
      <w:pPr>
        <w:pStyle w:val="aa"/>
        <w:bidi/>
        <w:rPr>
          <w:rFonts w:ascii="Narkisim" w:hAnsi="Narkisim"/>
        </w:rPr>
      </w:pPr>
      <w:r w:rsidRPr="00C26AFA">
        <w:rPr>
          <w:rFonts w:ascii="Narkisim" w:hAnsi="Narkisim"/>
          <w:rtl/>
        </w:rPr>
        <w:t>ועד"ז כ' ה</w:t>
      </w:r>
      <w:r w:rsidRPr="00C26AFA">
        <w:rPr>
          <w:rFonts w:ascii="Narkisim" w:hAnsi="Narkisim"/>
          <w:b/>
          <w:bCs/>
          <w:rtl/>
        </w:rPr>
        <w:t xml:space="preserve">מגיה למשנ"ל </w:t>
      </w:r>
      <w:r w:rsidRPr="00C26AFA">
        <w:rPr>
          <w:rFonts w:ascii="Narkisim" w:hAnsi="Narkisim"/>
          <w:rtl/>
        </w:rPr>
        <w:t>(גירושין ו ג) דנח' הרמב"ם ותוס' אי החסרון בסוגיין משום לשמה או משום שליחות</w:t>
      </w:r>
      <w:r w:rsidRPr="00C26AFA">
        <w:rPr>
          <w:rStyle w:val="ac"/>
          <w:rFonts w:ascii="Narkisim" w:hAnsi="Narkisim"/>
          <w:rtl/>
        </w:rPr>
        <w:footnoteReference w:id="3187"/>
      </w:r>
      <w:r w:rsidRPr="00C26AFA">
        <w:rPr>
          <w:rFonts w:ascii="Narkisim" w:hAnsi="Narkisim"/>
          <w:rtl/>
        </w:rPr>
        <w:t>. וכתב דלסוברים דלא בעי שליחות בכתיבת הגט</w:t>
      </w:r>
      <w:r w:rsidRPr="00C26AFA">
        <w:rPr>
          <w:rStyle w:val="ac"/>
          <w:rFonts w:ascii="Narkisim" w:hAnsi="Narkisim"/>
          <w:rtl/>
        </w:rPr>
        <w:footnoteReference w:id="3188"/>
      </w:r>
      <w:r w:rsidRPr="00C26AFA">
        <w:rPr>
          <w:rFonts w:ascii="Narkisim" w:hAnsi="Narkisim"/>
          <w:rtl/>
        </w:rPr>
        <w:t xml:space="preserve"> ע”כ הוה משום לשמה. ו</w:t>
      </w:r>
      <w:r w:rsidRPr="00C26AFA">
        <w:rPr>
          <w:rFonts w:ascii="Narkisim" w:hAnsi="Narkisim"/>
          <w:b/>
          <w:bCs/>
          <w:rtl/>
        </w:rPr>
        <w:t>רע"א</w:t>
      </w:r>
      <w:r w:rsidRPr="00C26AFA">
        <w:rPr>
          <w:rFonts w:ascii="Narkisim" w:hAnsi="Narkisim"/>
          <w:rtl/>
        </w:rPr>
        <w:t xml:space="preserve"> וה</w:t>
      </w:r>
      <w:r w:rsidRPr="00C26AFA">
        <w:rPr>
          <w:rFonts w:ascii="Narkisim" w:hAnsi="Narkisim"/>
          <w:b/>
          <w:bCs/>
          <w:rtl/>
        </w:rPr>
        <w:t>תור"ג</w:t>
      </w:r>
      <w:r w:rsidRPr="00C26AFA">
        <w:rPr>
          <w:rFonts w:ascii="Narkisim" w:hAnsi="Narkisim"/>
          <w:rtl/>
        </w:rPr>
        <w:t xml:space="preserve"> (קלב ב) חלקו דאף לתוס' בעינן לב' הטעמים, דלולי טעם לשמה (שכתב הרמב"ם) יכול בעצמו לכתוב [ואף דאינו יכול לתת לה, מ”מ לכתיבה נחשב 'מצי עבדי', א"כ ה"ה ע"י שליח. ותוס' הוסיפו דאף מינוי שליחות עכשיו, שיכתוב אח"כ ל”מ, כיון דאינו בידו.</w:t>
      </w:r>
    </w:p>
    <w:p w14:paraId="61F2A6D8"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משנ”ל</w:t>
      </w:r>
      <w:r w:rsidRPr="00C26AFA">
        <w:rPr>
          <w:rFonts w:ascii="Narkisim" w:hAnsi="Narkisim"/>
          <w:rtl/>
        </w:rPr>
        <w:t xml:space="preserve"> (גירושין ו ג) דן כשקידש לאחר ל', אם יוכל לגרש תוך הזמן. דעדיין אינה אשתו ודאית. והוה כאשה בעלמא (בסוגיין) דאינו יכול לגרש. וכתב דכיון דזמן בא ממילא, א"כ אין בזה חסרון דבר שלא בא לעולם, ובתוס' כתבו דלמ”ד אדם מקנה דבר שלא בא לעולם יכול אף לכתוב גט.</w:t>
      </w:r>
    </w:p>
    <w:p w14:paraId="34F79AB0" w14:textId="77777777" w:rsidR="006074A5" w:rsidRPr="00C26AFA" w:rsidRDefault="006074A5" w:rsidP="006074A5">
      <w:pPr>
        <w:pStyle w:val="aa"/>
        <w:bidi/>
        <w:rPr>
          <w:rFonts w:ascii="Narkisim" w:hAnsi="Narkisim"/>
        </w:rPr>
      </w:pPr>
      <w:r w:rsidRPr="00C26AFA">
        <w:rPr>
          <w:rFonts w:ascii="Narkisim" w:hAnsi="Narkisim"/>
          <w:u w:val="single"/>
          <w:rtl/>
        </w:rPr>
        <w:t>תוד"ה ולאשה בעלמא</w:t>
      </w:r>
      <w:r w:rsidRPr="00C26AFA">
        <w:rPr>
          <w:rFonts w:ascii="Narkisim" w:hAnsi="Narkisim"/>
          <w:rtl/>
        </w:rPr>
        <w:t>. אבל למ"ד אדם מקנה הוי גט, דבידו לגרשה</w:t>
      </w:r>
      <w:r w:rsidRPr="00C26AFA">
        <w:rPr>
          <w:rStyle w:val="ac"/>
          <w:rFonts w:ascii="Narkisim" w:hAnsi="Narkisim"/>
          <w:rtl/>
        </w:rPr>
        <w:footnoteReference w:id="3189"/>
      </w:r>
      <w:r w:rsidRPr="00C26AFA">
        <w:rPr>
          <w:rFonts w:ascii="Narkisim" w:hAnsi="Narkisim"/>
          <w:rtl/>
        </w:rPr>
        <w:t xml:space="preserve"> וכו'. ובפשוטו מבואר דמהני כתיבת הגט אף קודם שקידש, ולר' מאיר נחשב לשמה, כיון דבידו לגרשה בשעה זו [משום דאדם מקנה דבר שלא בא לעולם]</w:t>
      </w:r>
      <w:r w:rsidRPr="00C26AFA">
        <w:rPr>
          <w:rStyle w:val="ac"/>
          <w:rFonts w:ascii="Narkisim" w:hAnsi="Narkisim"/>
          <w:rtl/>
        </w:rPr>
        <w:footnoteReference w:id="3190"/>
      </w:r>
      <w:r w:rsidRPr="00C26AFA">
        <w:rPr>
          <w:rFonts w:ascii="Narkisim" w:hAnsi="Narkisim"/>
          <w:rtl/>
        </w:rPr>
        <w:t>. וקצת קשה דמ"מ עדיין לא הוה 'בעל', והאיך יחשב לשמה. וה</w:t>
      </w:r>
      <w:r w:rsidRPr="00C26AFA">
        <w:rPr>
          <w:rFonts w:ascii="Narkisim" w:hAnsi="Narkisim"/>
          <w:b/>
          <w:bCs/>
          <w:rtl/>
        </w:rPr>
        <w:t>קה"י</w:t>
      </w:r>
      <w:r w:rsidRPr="00C26AFA">
        <w:rPr>
          <w:rFonts w:ascii="Narkisim" w:hAnsi="Narkisim"/>
          <w:rtl/>
        </w:rPr>
        <w:t xml:space="preserve"> (נזיר ג ג) ביאר דאף דלא מצי להחיל חלות גירושין עכשיו, מ"מ למ"ד אדם מקנה יכול לעשות 'מעשה גירושין'</w:t>
      </w:r>
      <w:r w:rsidRPr="00C26AFA">
        <w:rPr>
          <w:rStyle w:val="ac"/>
          <w:rFonts w:ascii="Narkisim" w:hAnsi="Narkisim"/>
          <w:rtl/>
        </w:rPr>
        <w:footnoteReference w:id="3191"/>
      </w:r>
      <w:r w:rsidRPr="00C26AFA">
        <w:rPr>
          <w:rFonts w:ascii="Narkisim" w:hAnsi="Narkisim"/>
          <w:rtl/>
        </w:rPr>
        <w:t xml:space="preserve">, ולענין לשמה סגי במה </w:t>
      </w:r>
      <w:r w:rsidRPr="00C26AFA">
        <w:rPr>
          <w:rFonts w:ascii="Narkisim" w:hAnsi="Narkisim"/>
          <w:rtl/>
        </w:rPr>
        <w:lastRenderedPageBreak/>
        <w:t>שראוי לעשות אותו מעשה.</w:t>
      </w:r>
    </w:p>
    <w:p w14:paraId="19F63332" w14:textId="77777777" w:rsidR="006074A5" w:rsidRPr="00C26AFA" w:rsidRDefault="006074A5" w:rsidP="006074A5">
      <w:pPr>
        <w:pStyle w:val="a7"/>
        <w:bidi/>
        <w:rPr>
          <w:rFonts w:ascii="Narkisim" w:hAnsi="Narkisim"/>
        </w:rPr>
      </w:pPr>
      <w:r w:rsidRPr="00C26AFA">
        <w:rPr>
          <w:rFonts w:ascii="Narkisim" w:hAnsi="Narkisim"/>
          <w:rtl/>
        </w:rPr>
        <w:t>וב</w:t>
      </w:r>
      <w:r w:rsidRPr="00C26AFA">
        <w:rPr>
          <w:rFonts w:ascii="Narkisim" w:hAnsi="Narkisim"/>
          <w:b/>
          <w:bCs/>
          <w:rtl/>
        </w:rPr>
        <w:t>חי' ר"א מן ההר</w:t>
      </w:r>
      <w:r w:rsidRPr="00C26AFA">
        <w:rPr>
          <w:rFonts w:ascii="Narkisim" w:hAnsi="Narkisim"/>
          <w:rtl/>
        </w:rPr>
        <w:t xml:space="preserve"> תי' </w:t>
      </w:r>
      <w:r w:rsidRPr="00C26AFA">
        <w:rPr>
          <w:rFonts w:ascii="Narkisim" w:hAnsi="Narkisim"/>
          <w:sz w:val="20"/>
          <w:szCs w:val="20"/>
          <w:rtl/>
        </w:rPr>
        <w:t>(קו' התוס')</w:t>
      </w:r>
      <w:r w:rsidRPr="00C26AFA">
        <w:rPr>
          <w:rFonts w:ascii="Narkisim" w:hAnsi="Narkisim"/>
          <w:rtl/>
        </w:rPr>
        <w:t xml:space="preserve"> דהתם העבד 'בר שחרור', אלא שהוא לא היה אדון. וכל החסרון כשאינו בעולם</w:t>
      </w:r>
      <w:r w:rsidRPr="00C26AFA">
        <w:rPr>
          <w:rStyle w:val="ac"/>
          <w:rFonts w:ascii="Narkisim" w:hAnsi="Narkisim"/>
          <w:rtl/>
        </w:rPr>
        <w:footnoteReference w:id="3192"/>
      </w:r>
      <w:r w:rsidRPr="00C26AFA">
        <w:rPr>
          <w:rFonts w:ascii="Narkisim" w:hAnsi="Narkisim"/>
          <w:rtl/>
        </w:rPr>
        <w:t>.</w:t>
      </w:r>
    </w:p>
    <w:p w14:paraId="1516D62A" w14:textId="77777777" w:rsidR="006074A5" w:rsidRPr="00C26AFA" w:rsidRDefault="006074A5" w:rsidP="006074A5">
      <w:pPr>
        <w:pStyle w:val="2"/>
        <w:bidi/>
        <w:rPr>
          <w:rFonts w:ascii="Narkisim" w:hAnsi="Narkisim"/>
        </w:rPr>
      </w:pPr>
      <w:r w:rsidRPr="00C26AFA">
        <w:rPr>
          <w:rFonts w:ascii="Narkisim" w:hAnsi="Narkisim"/>
          <w:rtl/>
        </w:rPr>
        <w:t>בידו – לענין לשמה ושליחות</w:t>
      </w:r>
    </w:p>
    <w:p w14:paraId="2822CA4C" w14:textId="77777777" w:rsidR="006074A5" w:rsidRPr="00C26AFA" w:rsidRDefault="006074A5" w:rsidP="006074A5">
      <w:pPr>
        <w:bidi/>
        <w:rPr>
          <w:rFonts w:ascii="Narkisim" w:hAnsi="Narkisim" w:cs="Narkisim"/>
        </w:rPr>
      </w:pPr>
      <w:r w:rsidRPr="00C26AFA">
        <w:rPr>
          <w:rFonts w:ascii="Narkisim" w:hAnsi="Narkisim" w:cs="Narkisim"/>
          <w:u w:val="single"/>
          <w:rtl/>
        </w:rPr>
        <w:t>בעי רמי בר חמא ליבמתו מהו וכו' או דילמא כיון דלא עביד ביה מאמר וכו'.</w:t>
      </w:r>
      <w:r w:rsidRPr="00C26AFA">
        <w:rPr>
          <w:rFonts w:ascii="Narkisim" w:hAnsi="Narkisim" w:cs="Narkisim"/>
          <w:rtl/>
        </w:rPr>
        <w:t xml:space="preserve"> </w:t>
      </w:r>
      <w:r w:rsidRPr="00C26AFA">
        <w:rPr>
          <w:rFonts w:ascii="Narkisim" w:hAnsi="Narkisim" w:cs="Narkisim"/>
          <w:b/>
          <w:bCs/>
          <w:rtl/>
        </w:rPr>
        <w:t>תוס</w:t>
      </w:r>
      <w:r w:rsidRPr="00C26AFA">
        <w:rPr>
          <w:rFonts w:ascii="Narkisim" w:hAnsi="Narkisim" w:cs="Narkisim"/>
          <w:rtl/>
        </w:rPr>
        <w:t>' (ד"ה ליבמתו) וה</w:t>
      </w:r>
      <w:r w:rsidRPr="00C26AFA">
        <w:rPr>
          <w:rFonts w:ascii="Narkisim" w:hAnsi="Narkisim" w:cs="Narkisim"/>
          <w:b/>
          <w:bCs/>
          <w:rtl/>
        </w:rPr>
        <w:t>רמב"ן</w:t>
      </w:r>
      <w:r w:rsidRPr="00C26AFA">
        <w:rPr>
          <w:rFonts w:ascii="Narkisim" w:hAnsi="Narkisim" w:cs="Narkisim"/>
          <w:rtl/>
        </w:rPr>
        <w:t xml:space="preserve"> הקשו דמאמר ל"מ כלל מדאורייתא. ולכן פי' דנידון הגמ' מדרבנן, האם נפסלת בגט לכהונה</w:t>
      </w:r>
      <w:r w:rsidRPr="00C26AFA">
        <w:rPr>
          <w:rStyle w:val="ac"/>
          <w:rFonts w:ascii="Narkisim" w:hAnsi="Narkisim" w:cs="Narkisim"/>
          <w:rtl/>
        </w:rPr>
        <w:footnoteReference w:id="3193"/>
      </w:r>
      <w:r w:rsidRPr="00C26AFA">
        <w:rPr>
          <w:rFonts w:ascii="Narkisim" w:hAnsi="Narkisim" w:cs="Narkisim"/>
          <w:rtl/>
        </w:rPr>
        <w:t>, ומעתה יש לו יד ומגורשת מדבריהם.</w:t>
      </w:r>
    </w:p>
    <w:p w14:paraId="59B7928F" w14:textId="77777777" w:rsidR="006074A5" w:rsidRPr="00C26AFA" w:rsidRDefault="006074A5" w:rsidP="006074A5">
      <w:pPr>
        <w:pStyle w:val="a7"/>
        <w:bidi/>
        <w:rPr>
          <w:rFonts w:ascii="Narkisim" w:hAnsi="Narkisim"/>
        </w:rPr>
      </w:pPr>
      <w:r w:rsidRPr="00C26AFA">
        <w:rPr>
          <w:rFonts w:ascii="Narkisim" w:hAnsi="Narkisim"/>
          <w:rtl/>
        </w:rPr>
        <w:t xml:space="preserve">אבל לשון </w:t>
      </w:r>
      <w:r w:rsidRPr="00C26AFA">
        <w:rPr>
          <w:rFonts w:ascii="Narkisim" w:hAnsi="Narkisim"/>
          <w:b/>
          <w:bCs/>
          <w:rtl/>
        </w:rPr>
        <w:t>רש"י</w:t>
      </w:r>
      <w:r w:rsidRPr="00C26AFA">
        <w:rPr>
          <w:rFonts w:ascii="Narkisim" w:hAnsi="Narkisim"/>
          <w:rtl/>
        </w:rPr>
        <w:t xml:space="preserve"> מהו שתתגרש בו, משמע דהנידון להתיר לשוק. וכ"מ ב</w:t>
      </w:r>
      <w:r w:rsidRPr="00C26AFA">
        <w:rPr>
          <w:rFonts w:ascii="Narkisim" w:hAnsi="Narkisim"/>
          <w:b/>
          <w:bCs/>
          <w:rtl/>
        </w:rPr>
        <w:t>רמב"ם</w:t>
      </w:r>
      <w:r w:rsidRPr="00C26AFA">
        <w:rPr>
          <w:rFonts w:ascii="Narkisim" w:hAnsi="Narkisim"/>
          <w:b/>
          <w:bCs/>
          <w:sz w:val="20"/>
          <w:szCs w:val="20"/>
          <w:rtl/>
        </w:rPr>
        <w:t xml:space="preserve"> </w:t>
      </w:r>
      <w:r w:rsidRPr="00C26AFA">
        <w:rPr>
          <w:rFonts w:ascii="Narkisim" w:hAnsi="Narkisim"/>
          <w:sz w:val="20"/>
          <w:szCs w:val="20"/>
          <w:rtl/>
        </w:rPr>
        <w:t xml:space="preserve">(גירושין ג ו) </w:t>
      </w:r>
      <w:r w:rsidRPr="00C26AFA">
        <w:rPr>
          <w:rFonts w:ascii="Narkisim" w:hAnsi="Narkisim"/>
          <w:rtl/>
        </w:rPr>
        <w:t>דכתב דהוה ספק גירושין.</w:t>
      </w:r>
    </w:p>
    <w:p w14:paraId="727E66B1"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רשב"א</w:t>
      </w:r>
      <w:r w:rsidRPr="00C26AFA">
        <w:rPr>
          <w:rFonts w:ascii="Narkisim" w:hAnsi="Narkisim"/>
          <w:rtl/>
        </w:rPr>
        <w:t xml:space="preserve"> וה</w:t>
      </w:r>
      <w:r w:rsidRPr="00C26AFA">
        <w:rPr>
          <w:rFonts w:ascii="Narkisim" w:hAnsi="Narkisim"/>
          <w:b/>
          <w:bCs/>
          <w:rtl/>
        </w:rPr>
        <w:t>רא"ש</w:t>
      </w:r>
      <w:r w:rsidRPr="00C26AFA">
        <w:rPr>
          <w:rFonts w:ascii="Narkisim" w:hAnsi="Narkisim"/>
          <w:rtl/>
        </w:rPr>
        <w:t xml:space="preserve"> כתבו ליישב דספק הגמ' הוה בתרתי להתיר לשוק ולאסור ליבם</w:t>
      </w:r>
      <w:r w:rsidRPr="00C26AFA">
        <w:rPr>
          <w:rStyle w:val="ac"/>
          <w:rFonts w:ascii="Narkisim" w:hAnsi="Narkisim"/>
          <w:rtl/>
        </w:rPr>
        <w:footnoteReference w:id="3194"/>
      </w:r>
      <w:r w:rsidRPr="00C26AFA">
        <w:rPr>
          <w:rFonts w:ascii="Narkisim" w:hAnsi="Narkisim"/>
          <w:rtl/>
        </w:rPr>
        <w:t>, ולכן הוזכר אף מאמר.</w:t>
      </w:r>
    </w:p>
    <w:p w14:paraId="76367FF8"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רשב"א</w:t>
      </w:r>
      <w:r w:rsidRPr="00C26AFA">
        <w:rPr>
          <w:rFonts w:ascii="Narkisim" w:hAnsi="Narkisim"/>
          <w:rtl/>
        </w:rPr>
        <w:t xml:space="preserve"> ביאר דכיון דאגידא ביה מה"ת, ומן שמיא אקנו ליה כארוסתו. והואיל ובידו לפוטרה בחליצה, בידו לעשות שליח על גט, ונקרא שליחות הבעל אע"ג דאין בידו להתירה ממש.</w:t>
      </w:r>
    </w:p>
    <w:p w14:paraId="23D84E0C" w14:textId="77777777" w:rsidR="006074A5" w:rsidRPr="00C26AFA" w:rsidRDefault="006074A5" w:rsidP="006074A5">
      <w:pPr>
        <w:pStyle w:val="a8"/>
        <w:bidi/>
        <w:rPr>
          <w:rFonts w:ascii="Narkisim" w:hAnsi="Narkisim"/>
        </w:rPr>
      </w:pPr>
      <w:r w:rsidRPr="00C26AFA">
        <w:rPr>
          <w:rFonts w:ascii="Narkisim" w:hAnsi="Narkisim"/>
          <w:rtl/>
        </w:rPr>
        <w:t>ואילו ה</w:t>
      </w:r>
      <w:r w:rsidRPr="00C26AFA">
        <w:rPr>
          <w:rFonts w:ascii="Narkisim" w:hAnsi="Narkisim"/>
          <w:b/>
          <w:bCs/>
          <w:rtl/>
        </w:rPr>
        <w:t>רא”ש</w:t>
      </w:r>
      <w:r w:rsidRPr="00C26AFA">
        <w:rPr>
          <w:rFonts w:ascii="Narkisim" w:hAnsi="Narkisim"/>
          <w:rtl/>
        </w:rPr>
        <w:t xml:space="preserve"> (ובתוס' הרא"ש) כתב דבידו לבא עליה בע"כ, ואין בידה לעכב, ולכן נחשב בידו לגרש</w:t>
      </w:r>
      <w:r w:rsidRPr="00C26AFA">
        <w:rPr>
          <w:rStyle w:val="ac"/>
          <w:rFonts w:ascii="Narkisim" w:hAnsi="Narkisim"/>
          <w:rtl/>
        </w:rPr>
        <w:footnoteReference w:id="3195"/>
      </w:r>
      <w:r w:rsidRPr="00C26AFA">
        <w:rPr>
          <w:rFonts w:ascii="Narkisim" w:hAnsi="Narkisim"/>
          <w:rtl/>
        </w:rPr>
        <w:t>.</w:t>
      </w:r>
    </w:p>
    <w:p w14:paraId="3C36ED10" w14:textId="77777777" w:rsidR="006074A5" w:rsidRPr="00C26AFA" w:rsidRDefault="006074A5" w:rsidP="006074A5">
      <w:pPr>
        <w:pStyle w:val="aa"/>
        <w:bidi/>
        <w:rPr>
          <w:rFonts w:ascii="Narkisim" w:hAnsi="Narkisim"/>
        </w:rPr>
      </w:pPr>
      <w:r w:rsidRPr="00C26AFA">
        <w:rPr>
          <w:rFonts w:ascii="Narkisim" w:hAnsi="Narkisim"/>
          <w:u w:val="single"/>
          <w:rtl/>
        </w:rPr>
        <w:t>שם. כיון דלא עבד בה מאמר לא</w:t>
      </w:r>
      <w:r w:rsidRPr="00C26AFA">
        <w:rPr>
          <w:rFonts w:ascii="Narkisim" w:hAnsi="Narkisim"/>
          <w:rtl/>
        </w:rPr>
        <w:t>. מבואר דאילו עשה מאמר מהני. ו</w:t>
      </w:r>
      <w:r w:rsidRPr="00C26AFA">
        <w:rPr>
          <w:rFonts w:ascii="Narkisim" w:hAnsi="Narkisim"/>
          <w:b/>
          <w:bCs/>
          <w:rtl/>
        </w:rPr>
        <w:t xml:space="preserve">ר”י </w:t>
      </w:r>
      <w:r w:rsidRPr="00C26AFA">
        <w:rPr>
          <w:rFonts w:ascii="Narkisim" w:hAnsi="Narkisim"/>
          <w:rtl/>
        </w:rPr>
        <w:t>(בתוד”ה ליבמתו) דייק דכל הנידון ליאסר עליו. וה</w:t>
      </w:r>
      <w:r w:rsidRPr="00C26AFA">
        <w:rPr>
          <w:rFonts w:ascii="Narkisim" w:hAnsi="Narkisim"/>
          <w:b/>
          <w:bCs/>
          <w:rtl/>
        </w:rPr>
        <w:t>ריטב"א</w:t>
      </w:r>
      <w:r w:rsidRPr="00C26AFA">
        <w:rPr>
          <w:rFonts w:ascii="Narkisim" w:hAnsi="Narkisim"/>
          <w:rtl/>
        </w:rPr>
        <w:t xml:space="preserve"> כת' דהכל נכלל בדברי הגמ', דלא הוי שליחות מדאורייתא להכשיר גט זה מן התורה, ואפי' מדרבנן לא הוי גיטא לפסלה לכהונה, דכל כמה דלא עבד בה מאמר לא קאי בתורת גט כלל. ואין שליחותו דהשתא שליחות כלל</w:t>
      </w:r>
      <w:r w:rsidRPr="00C26AFA">
        <w:rPr>
          <w:rStyle w:val="ac"/>
          <w:rFonts w:ascii="Narkisim" w:hAnsi="Narkisim"/>
          <w:rtl/>
        </w:rPr>
        <w:footnoteReference w:id="3196"/>
      </w:r>
      <w:r w:rsidRPr="00C26AFA">
        <w:rPr>
          <w:rFonts w:ascii="Narkisim" w:hAnsi="Narkisim"/>
          <w:rtl/>
        </w:rPr>
        <w:t>.</w:t>
      </w:r>
    </w:p>
    <w:p w14:paraId="22315C53" w14:textId="77777777" w:rsidR="006074A5" w:rsidRPr="00C26AFA" w:rsidRDefault="006074A5" w:rsidP="006074A5">
      <w:pPr>
        <w:bidi/>
        <w:rPr>
          <w:rFonts w:ascii="Narkisim" w:hAnsi="Narkisim" w:cs="Narkisim"/>
        </w:rPr>
      </w:pPr>
      <w:r w:rsidRPr="00C26AFA">
        <w:rPr>
          <w:rFonts w:ascii="Narkisim" w:hAnsi="Narkisim" w:cs="Narkisim"/>
          <w:u w:val="single"/>
          <w:rtl/>
        </w:rPr>
        <w:t>שם. ליבמתו מהו</w:t>
      </w:r>
      <w:r w:rsidRPr="00C26AFA">
        <w:rPr>
          <w:rFonts w:ascii="Narkisim" w:hAnsi="Narkisim" w:cs="Narkisim"/>
          <w:rtl/>
        </w:rPr>
        <w:t xml:space="preserve">. </w:t>
      </w:r>
      <w:r w:rsidRPr="00C26AFA">
        <w:rPr>
          <w:rFonts w:ascii="Narkisim" w:hAnsi="Narkisim" w:cs="Narkisim"/>
          <w:b/>
          <w:bCs/>
          <w:rtl/>
        </w:rPr>
        <w:t>תוס</w:t>
      </w:r>
      <w:r w:rsidRPr="00C26AFA">
        <w:rPr>
          <w:rFonts w:ascii="Narkisim" w:hAnsi="Narkisim" w:cs="Narkisim"/>
          <w:rtl/>
        </w:rPr>
        <w:t>' (נזיר יב.) הביאו מסוגיין דא"א למנות שליח להפרשת חלה לפני שנילוש, ואף דבידו ללוש. דהא בסוגיין ל"מ הא דבידו לבא על היבמה ולגרשה. אלא ודאי כיון דהשתא לא מצי מגרש לא מצי משוי שליח, כיון דמחוסר מעשה לבא עליה. וה"נ כיון דלפני לישה איהו לא מצי להפריש, אינו קרוי בידו, לענין שיוכל לעשות שליח.</w:t>
      </w:r>
    </w:p>
    <w:p w14:paraId="5AAFAA00" w14:textId="77777777" w:rsidR="006074A5" w:rsidRPr="00C26AFA" w:rsidRDefault="006074A5" w:rsidP="006074A5">
      <w:pPr>
        <w:pStyle w:val="a7"/>
        <w:bidi/>
        <w:rPr>
          <w:rFonts w:ascii="Narkisim" w:hAnsi="Narkisim"/>
        </w:rPr>
      </w:pPr>
      <w:r w:rsidRPr="00C26AFA">
        <w:rPr>
          <w:rFonts w:ascii="Narkisim" w:hAnsi="Narkisim"/>
          <w:rtl/>
        </w:rPr>
        <w:t xml:space="preserve">ומבואר דנח' הרשב"א ותוס' בנזיר האם מהני בידו לענין כתיבת גט. </w:t>
      </w:r>
      <w:r w:rsidRPr="00C26AFA">
        <w:rPr>
          <w:rFonts w:ascii="Narkisim" w:hAnsi="Narkisim"/>
          <w:sz w:val="20"/>
          <w:szCs w:val="20"/>
          <w:rtl/>
        </w:rPr>
        <w:t>[ולדברי הרשב"א י"ל דספק הגמ' האם נחשב בידו, וי"ל דדעת שא"ר דלא נחשב בידו, דשמא לא יוכל לבא עליה בע"כ. אבל תוס' בנזיר דייקו מהגמ' דנחשב בידו, ומ"מ ל"מ].</w:t>
      </w:r>
    </w:p>
    <w:p w14:paraId="2019B7A4" w14:textId="77777777" w:rsidR="006074A5" w:rsidRPr="00C26AFA" w:rsidRDefault="006074A5" w:rsidP="006074A5">
      <w:pPr>
        <w:bidi/>
        <w:rPr>
          <w:rFonts w:ascii="Narkisim" w:hAnsi="Narkisim" w:cs="Narkisim"/>
        </w:rPr>
      </w:pPr>
      <w:r w:rsidRPr="00C26AFA">
        <w:rPr>
          <w:rFonts w:ascii="Narkisim" w:hAnsi="Narkisim" w:cs="Narkisim"/>
          <w:b/>
          <w:bCs/>
          <w:rtl/>
        </w:rPr>
        <w:t>דתוס'</w:t>
      </w:r>
      <w:r w:rsidRPr="00C26AFA">
        <w:rPr>
          <w:rFonts w:ascii="Narkisim" w:hAnsi="Narkisim" w:cs="Narkisim"/>
          <w:rtl/>
        </w:rPr>
        <w:t xml:space="preserve"> (שם לעיל מיניה) הביאו בשם</w:t>
      </w:r>
      <w:r w:rsidRPr="00C26AFA">
        <w:rPr>
          <w:rFonts w:ascii="Narkisim" w:hAnsi="Narkisim" w:cs="Narkisim"/>
          <w:b/>
          <w:bCs/>
          <w:rtl/>
        </w:rPr>
        <w:t xml:space="preserve"> ר"ת</w:t>
      </w:r>
      <w:r w:rsidRPr="00C26AFA">
        <w:rPr>
          <w:rFonts w:ascii="Narkisim" w:hAnsi="Narkisim" w:cs="Narkisim"/>
          <w:rtl/>
        </w:rPr>
        <w:t xml:space="preserve"> דבידו להביא עיסה מגולגלת</w:t>
      </w:r>
      <w:r w:rsidRPr="00C26AFA">
        <w:rPr>
          <w:rStyle w:val="ac"/>
          <w:rFonts w:ascii="Narkisim" w:hAnsi="Narkisim" w:cs="Narkisim"/>
          <w:rtl/>
        </w:rPr>
        <w:footnoteReference w:id="3197"/>
      </w:r>
      <w:r w:rsidRPr="00C26AFA">
        <w:rPr>
          <w:rFonts w:ascii="Narkisim" w:hAnsi="Narkisim" w:cs="Narkisim"/>
          <w:rtl/>
        </w:rPr>
        <w:t xml:space="preserve"> ולומר עיסה זו תהא חלה על קמח, ובידו מהני בדבר שלא בא לעולם (וכדאמרי' בקידושין סב:). ושוב הביאו התוס'</w:t>
      </w:r>
      <w:r w:rsidRPr="00C26AFA">
        <w:rPr>
          <w:rStyle w:val="ac"/>
          <w:rFonts w:ascii="Narkisim" w:hAnsi="Narkisim" w:cs="Narkisim"/>
          <w:rtl/>
        </w:rPr>
        <w:footnoteReference w:id="3198"/>
      </w:r>
      <w:r w:rsidRPr="00C26AFA">
        <w:rPr>
          <w:rFonts w:ascii="Narkisim" w:hAnsi="Narkisim" w:cs="Narkisim"/>
          <w:rtl/>
        </w:rPr>
        <w:t xml:space="preserve"> דבסוגיין מבואר דל”מ בידו לכתוב עכשיו (וכנ”ל). </w:t>
      </w:r>
      <w:r w:rsidRPr="00C26AFA">
        <w:rPr>
          <w:rFonts w:ascii="Narkisim" w:hAnsi="Narkisim" w:cs="Narkisim"/>
          <w:szCs w:val="20"/>
          <w:rtl/>
        </w:rPr>
        <w:t>וה</w:t>
      </w:r>
      <w:r w:rsidRPr="00C26AFA">
        <w:rPr>
          <w:rFonts w:ascii="Narkisim" w:hAnsi="Narkisim" w:cs="Narkisim"/>
          <w:b/>
          <w:bCs/>
          <w:szCs w:val="20"/>
          <w:rtl/>
        </w:rPr>
        <w:t>מחנ"א</w:t>
      </w:r>
      <w:r w:rsidRPr="00C26AFA">
        <w:rPr>
          <w:rFonts w:ascii="Narkisim" w:hAnsi="Narkisim" w:cs="Narkisim"/>
          <w:szCs w:val="20"/>
          <w:rtl/>
        </w:rPr>
        <w:t xml:space="preserve"> (גירושין ג טו סוד"ה ראיה) דחה דאין בידו לבא על יבמתו בע"כ, דאם היא לא תרצה ערקת לעלמא</w:t>
      </w:r>
      <w:r w:rsidRPr="00C26AFA">
        <w:rPr>
          <w:rStyle w:val="ac"/>
          <w:rFonts w:ascii="Narkisim" w:hAnsi="Narkisim" w:cs="Narkisim"/>
          <w:szCs w:val="20"/>
          <w:rtl/>
        </w:rPr>
        <w:footnoteReference w:id="3199"/>
      </w:r>
      <w:r w:rsidRPr="00C26AFA">
        <w:rPr>
          <w:rFonts w:ascii="Narkisim" w:hAnsi="Narkisim" w:cs="Narkisim"/>
          <w:rtl/>
        </w:rPr>
        <w:t>.</w:t>
      </w:r>
    </w:p>
    <w:p w14:paraId="15A6C8CD" w14:textId="77777777" w:rsidR="006074A5" w:rsidRPr="00C26AFA" w:rsidRDefault="006074A5" w:rsidP="006074A5">
      <w:pPr>
        <w:pStyle w:val="a7"/>
        <w:bidi/>
        <w:rPr>
          <w:rFonts w:ascii="Narkisim" w:hAnsi="Narkisim"/>
        </w:rPr>
      </w:pPr>
      <w:r w:rsidRPr="00C26AFA">
        <w:rPr>
          <w:rFonts w:ascii="Narkisim" w:hAnsi="Narkisim"/>
          <w:rtl/>
        </w:rPr>
        <w:t xml:space="preserve">ויש </w:t>
      </w:r>
      <w:r w:rsidRPr="00C26AFA">
        <w:rPr>
          <w:rFonts w:ascii="Narkisim" w:hAnsi="Narkisim"/>
          <w:b/>
          <w:bCs/>
          <w:rtl/>
        </w:rPr>
        <w:t>אחרונים</w:t>
      </w:r>
      <w:r w:rsidRPr="00C26AFA">
        <w:rPr>
          <w:rFonts w:ascii="Narkisim" w:hAnsi="Narkisim"/>
          <w:rtl/>
        </w:rPr>
        <w:t xml:space="preserve"> (</w:t>
      </w:r>
      <w:r w:rsidRPr="00C26AFA">
        <w:rPr>
          <w:rFonts w:ascii="Narkisim" w:hAnsi="Narkisim"/>
          <w:b/>
          <w:bCs/>
          <w:rtl/>
        </w:rPr>
        <w:t>אבנ"מ</w:t>
      </w:r>
      <w:r w:rsidRPr="00C26AFA">
        <w:rPr>
          <w:rFonts w:ascii="Narkisim" w:hAnsi="Narkisim"/>
          <w:rtl/>
        </w:rPr>
        <w:t xml:space="preserve"> לה יג עוד)</w:t>
      </w:r>
      <w:r w:rsidRPr="00C26AFA">
        <w:rPr>
          <w:rStyle w:val="ac"/>
          <w:rFonts w:ascii="Narkisim" w:hAnsi="Narkisim"/>
          <w:rtl/>
        </w:rPr>
        <w:footnoteReference w:id="3200"/>
      </w:r>
      <w:r w:rsidRPr="00C26AFA">
        <w:rPr>
          <w:rFonts w:ascii="Narkisim" w:hAnsi="Narkisim"/>
          <w:rtl/>
        </w:rPr>
        <w:t xml:space="preserve"> שהביאו דכוונת התוס' לחלוק על ר"ת ע”פ סוגיין. </w:t>
      </w:r>
      <w:r w:rsidRPr="00C26AFA">
        <w:rPr>
          <w:rFonts w:ascii="Narkisim" w:hAnsi="Narkisim"/>
          <w:sz w:val="20"/>
          <w:szCs w:val="20"/>
          <w:rtl/>
        </w:rPr>
        <w:t xml:space="preserve">[ולפ"ז כוונת התוס' דאף דמהני 'בידו' להפרשת תרומוה בדבר שלא בא לעולם, ל"מ לענין למנות שליח, דאף דבידו </w:t>
      </w:r>
      <w:r w:rsidRPr="00C26AFA">
        <w:rPr>
          <w:rFonts w:ascii="Narkisim" w:hAnsi="Narkisim"/>
          <w:sz w:val="20"/>
          <w:szCs w:val="20"/>
          <w:rtl/>
        </w:rPr>
        <w:lastRenderedPageBreak/>
        <w:t>לגלגל, מ"מ עכשיו לא מצי עביד</w:t>
      </w:r>
      <w:r w:rsidRPr="00C26AFA">
        <w:rPr>
          <w:rStyle w:val="ac"/>
          <w:rFonts w:ascii="Narkisim" w:hAnsi="Narkisim"/>
          <w:sz w:val="20"/>
          <w:szCs w:val="20"/>
          <w:rtl/>
        </w:rPr>
        <w:footnoteReference w:id="3201"/>
      </w:r>
      <w:r w:rsidRPr="00C26AFA">
        <w:rPr>
          <w:rFonts w:ascii="Narkisim" w:hAnsi="Narkisim"/>
          <w:sz w:val="20"/>
          <w:szCs w:val="20"/>
          <w:rtl/>
        </w:rPr>
        <w:t>].</w:t>
      </w:r>
    </w:p>
    <w:p w14:paraId="3A72191E" w14:textId="77777777" w:rsidR="006074A5" w:rsidRPr="00C26AFA" w:rsidRDefault="006074A5" w:rsidP="006074A5">
      <w:pPr>
        <w:pStyle w:val="a7"/>
        <w:bidi/>
        <w:rPr>
          <w:rFonts w:ascii="Narkisim" w:hAnsi="Narkisim"/>
        </w:rPr>
      </w:pPr>
      <w:r w:rsidRPr="00C26AFA">
        <w:rPr>
          <w:rFonts w:ascii="Narkisim" w:hAnsi="Narkisim"/>
          <w:rtl/>
        </w:rPr>
        <w:t>אבל ה</w:t>
      </w:r>
      <w:r w:rsidRPr="00C26AFA">
        <w:rPr>
          <w:rFonts w:ascii="Narkisim" w:hAnsi="Narkisim"/>
          <w:b/>
          <w:bCs/>
          <w:rtl/>
        </w:rPr>
        <w:t>משנ”ל</w:t>
      </w:r>
      <w:r w:rsidRPr="00C26AFA">
        <w:rPr>
          <w:rFonts w:ascii="Narkisim" w:hAnsi="Narkisim"/>
          <w:rtl/>
        </w:rPr>
        <w:t xml:space="preserve"> (אישות ט ו, ע' קר”א נזיר) כתבו דכוונת התוס' (לפרש דברי ר"ת) דהאי טעם לחוד שבידו לגלגל ל"מ לענין למנות שליח מעכשיו, אלא דמהני שיוכל הוא עצמו להפריש דבר שלא בא לעולם. וכיון דאיהו מצי עביד, יכול למנות בזה שליח.</w:t>
      </w:r>
    </w:p>
    <w:p w14:paraId="463A7A07" w14:textId="77777777" w:rsidR="006074A5" w:rsidRPr="00C26AFA" w:rsidRDefault="006074A5" w:rsidP="006074A5">
      <w:pPr>
        <w:pStyle w:val="a8"/>
        <w:bidi/>
        <w:rPr>
          <w:rFonts w:ascii="Narkisim" w:hAnsi="Narkisim"/>
        </w:rPr>
      </w:pPr>
      <w:r w:rsidRPr="00C26AFA">
        <w:rPr>
          <w:rFonts w:ascii="Narkisim" w:hAnsi="Narkisim"/>
          <w:rtl/>
        </w:rPr>
        <w:t>וכן ה</w:t>
      </w:r>
      <w:r w:rsidRPr="00C26AFA">
        <w:rPr>
          <w:rFonts w:ascii="Narkisim" w:hAnsi="Narkisim"/>
          <w:b/>
          <w:bCs/>
          <w:rtl/>
        </w:rPr>
        <w:t>גר"א</w:t>
      </w:r>
      <w:r w:rsidRPr="00C26AFA">
        <w:rPr>
          <w:rFonts w:ascii="Narkisim" w:hAnsi="Narkisim"/>
          <w:rtl/>
        </w:rPr>
        <w:t xml:space="preserve"> (יו"ד שכז א) כת' דהא דבידו לגלגל ל"מ שיוכל לעשות שליח. אלא כיון דבידו לעשות עיסה, יכול להפריש חלה בעצמו. וכיון דאיהו מצי עביד, יכול למנות שליח [אף מעכשיו]. משא"כ ביבמה דאינו יכול לגרשה כלל בלא ביאה</w:t>
      </w:r>
      <w:r w:rsidRPr="00C26AFA">
        <w:rPr>
          <w:rStyle w:val="ac"/>
          <w:rFonts w:ascii="Narkisim" w:hAnsi="Narkisim"/>
          <w:rtl/>
        </w:rPr>
        <w:footnoteReference w:id="3202"/>
      </w:r>
      <w:r w:rsidRPr="00C26AFA">
        <w:rPr>
          <w:rFonts w:ascii="Narkisim" w:hAnsi="Narkisim"/>
          <w:rtl/>
        </w:rPr>
        <w:t>.</w:t>
      </w:r>
    </w:p>
    <w:p w14:paraId="4C68281F"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קה”י</w:t>
      </w:r>
      <w:r w:rsidRPr="00C26AFA">
        <w:rPr>
          <w:rFonts w:ascii="Narkisim" w:hAnsi="Narkisim"/>
          <w:rtl/>
        </w:rPr>
        <w:t xml:space="preserve"> (נזיר ג) ביאר דמהני השליחות רק מדרגא לדרגא, דכיון דהוא בעצמו יכול לעשות מעשה שיחול לאחר שיבוא, מהני עי”ז שליח. [וכוונת התוס' דמשום דהוה בידו לחוד ל”מ לעשות שליח].</w:t>
      </w:r>
    </w:p>
    <w:p w14:paraId="52D81556" w14:textId="77777777" w:rsidR="006074A5" w:rsidRPr="00C26AFA" w:rsidRDefault="006074A5" w:rsidP="006074A5">
      <w:pPr>
        <w:bidi/>
        <w:rPr>
          <w:rFonts w:ascii="Narkisim" w:hAnsi="Narkisim" w:cs="Narkisim"/>
        </w:rPr>
      </w:pPr>
      <w:r w:rsidRPr="00C26AFA">
        <w:rPr>
          <w:rFonts w:ascii="Narkisim" w:hAnsi="Narkisim" w:cs="Narkisim"/>
          <w:u w:val="single"/>
          <w:rtl/>
        </w:rPr>
        <w:t>שם.</w:t>
      </w:r>
      <w:r w:rsidRPr="00C26AFA">
        <w:rPr>
          <w:rFonts w:ascii="Narkisim" w:hAnsi="Narkisim" w:cs="Narkisim"/>
          <w:rtl/>
        </w:rPr>
        <w:t xml:space="preserve"> </w:t>
      </w:r>
      <w:r w:rsidRPr="00C26AFA">
        <w:rPr>
          <w:rFonts w:ascii="Narkisim" w:hAnsi="Narkisim" w:cs="Narkisim"/>
          <w:b/>
          <w:bCs/>
          <w:rtl/>
        </w:rPr>
        <w:t>רע"א</w:t>
      </w:r>
      <w:r w:rsidRPr="00C26AFA">
        <w:rPr>
          <w:rFonts w:ascii="Narkisim" w:hAnsi="Narkisim" w:cs="Narkisim"/>
          <w:rtl/>
        </w:rPr>
        <w:t xml:space="preserve"> וה</w:t>
      </w:r>
      <w:r w:rsidRPr="00C26AFA">
        <w:rPr>
          <w:rFonts w:ascii="Narkisim" w:hAnsi="Narkisim" w:cs="Narkisim"/>
          <w:b/>
          <w:bCs/>
          <w:rtl/>
        </w:rPr>
        <w:t>אבנ"מ</w:t>
      </w:r>
      <w:r w:rsidRPr="00C26AFA">
        <w:rPr>
          <w:rFonts w:ascii="Narkisim" w:hAnsi="Narkisim" w:cs="Narkisim"/>
          <w:rtl/>
        </w:rPr>
        <w:t xml:space="preserve"> (שם) הקשו ע"פ מש"כ </w:t>
      </w:r>
      <w:r w:rsidRPr="00C26AFA">
        <w:rPr>
          <w:rFonts w:ascii="Narkisim" w:hAnsi="Narkisim" w:cs="Narkisim"/>
          <w:b/>
          <w:bCs/>
          <w:rtl/>
        </w:rPr>
        <w:t>תוס</w:t>
      </w:r>
      <w:r w:rsidRPr="00C26AFA">
        <w:rPr>
          <w:rFonts w:ascii="Narkisim" w:hAnsi="Narkisim" w:cs="Narkisim"/>
          <w:rtl/>
        </w:rPr>
        <w:t xml:space="preserve">' (ד"ה לאשה) דלר' מאיר נחשב לשמה, כיון דאדם מקנה דבר שלא בא לעולם. א"כ ה"נ לדידן במידי דהוה בידו, ובידו חשיב בא לעולם </w:t>
      </w:r>
      <w:r w:rsidRPr="00C26AFA">
        <w:rPr>
          <w:rFonts w:ascii="Narkisim" w:hAnsi="Narkisim" w:cs="Narkisim"/>
          <w:szCs w:val="20"/>
          <w:rtl/>
        </w:rPr>
        <w:t>[וכדאי' קידושין סב.]</w:t>
      </w:r>
      <w:r w:rsidRPr="00C26AFA">
        <w:rPr>
          <w:rFonts w:ascii="Narkisim" w:hAnsi="Narkisim" w:cs="Narkisim"/>
          <w:rtl/>
        </w:rPr>
        <w:t xml:space="preserve">, א"כ ביבמתו נימא דבידו ויחשב לשמה לדידן. </w:t>
      </w:r>
      <w:r w:rsidRPr="00C26AFA">
        <w:rPr>
          <w:rFonts w:ascii="Narkisim" w:hAnsi="Narkisim" w:cs="Narkisim"/>
          <w:szCs w:val="20"/>
          <w:rtl/>
        </w:rPr>
        <w:t>[ורע"א (בגהש"ס נזיר) נשאר בצ"ע</w:t>
      </w:r>
      <w:r w:rsidRPr="00C26AFA">
        <w:rPr>
          <w:rStyle w:val="ac"/>
          <w:rFonts w:ascii="Narkisim" w:hAnsi="Narkisim" w:cs="Narkisim"/>
          <w:szCs w:val="20"/>
          <w:rtl/>
        </w:rPr>
        <w:footnoteReference w:id="3203"/>
      </w:r>
      <w:r w:rsidRPr="00C26AFA">
        <w:rPr>
          <w:rFonts w:ascii="Narkisim" w:hAnsi="Narkisim" w:cs="Narkisim"/>
          <w:rtl/>
        </w:rPr>
        <w:t>].</w:t>
      </w:r>
    </w:p>
    <w:p w14:paraId="46B7698C"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אבנ"מ</w:t>
      </w:r>
      <w:r w:rsidRPr="00C26AFA">
        <w:rPr>
          <w:rFonts w:ascii="Narkisim" w:hAnsi="Narkisim"/>
          <w:rtl/>
        </w:rPr>
        <w:t xml:space="preserve"> כתב דלדעת תוס' (נזיר הנ"ל) ניחא דל"מ ע"י שליח משום דבידו, אבל אה”נ יוכל לכתוב בעצמו. וכתב דדעת הרמב"ם דאפי' בדבר שלא בא לעולם ל"מ, דנחשב שלא לשמה.</w:t>
      </w:r>
    </w:p>
    <w:p w14:paraId="0558E985"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שער"י</w:t>
      </w:r>
      <w:r w:rsidRPr="00C26AFA">
        <w:rPr>
          <w:rFonts w:ascii="Narkisim" w:hAnsi="Narkisim"/>
          <w:rtl/>
        </w:rPr>
        <w:t xml:space="preserve"> (ו יז, וכן בחי' ר' שמעון מב) יישב דיש חילוק בדבר שלא בא לעולם בין היכא דהגוף בעולם, ובידו מהני רק במקום שהגוף בעולם (וכמ"ש הרשב"א קידושין נו:). ועפ"ז חילק דאף דלענין קידושין מהני היכא דהוה, שהאשה בעולם והיא הדבר הנקנית. אבל ענין הגירושין להפקיע את קנין האישות, ולכן אילו קנין האישות אינו קיים ל"מ הא דהוה בידו</w:t>
      </w:r>
      <w:r w:rsidRPr="00C26AFA">
        <w:rPr>
          <w:rStyle w:val="ac"/>
          <w:rFonts w:ascii="Narkisim" w:hAnsi="Narkisim"/>
          <w:rtl/>
        </w:rPr>
        <w:footnoteReference w:id="3204"/>
      </w:r>
      <w:r w:rsidRPr="00C26AFA">
        <w:rPr>
          <w:rFonts w:ascii="Narkisim" w:hAnsi="Narkisim"/>
          <w:rtl/>
        </w:rPr>
        <w:t>. (וכ"כ בחי' ר"א מן ההר, כדלעיל). ועפ"ז ביאר הא דכתבו התוס' בנזיר דל"מ שליחות, דבעינן בעלות כדי למנות שליח</w:t>
      </w:r>
      <w:r w:rsidRPr="00C26AFA">
        <w:rPr>
          <w:rStyle w:val="ac"/>
          <w:rFonts w:ascii="Narkisim" w:hAnsi="Narkisim"/>
          <w:rtl/>
        </w:rPr>
        <w:footnoteReference w:id="3205"/>
      </w:r>
      <w:r w:rsidRPr="00C26AFA">
        <w:rPr>
          <w:rFonts w:ascii="Narkisim" w:hAnsi="Narkisim"/>
          <w:rtl/>
        </w:rPr>
        <w:t>.</w:t>
      </w:r>
    </w:p>
    <w:p w14:paraId="3F0335A2" w14:textId="77777777" w:rsidR="006074A5" w:rsidRPr="00C26AFA" w:rsidRDefault="006074A5" w:rsidP="006074A5">
      <w:pPr>
        <w:bidi/>
        <w:rPr>
          <w:rFonts w:ascii="Narkisim" w:hAnsi="Narkisim" w:cs="Narkisim"/>
        </w:rPr>
      </w:pPr>
      <w:r w:rsidRPr="00C26AFA">
        <w:rPr>
          <w:rFonts w:ascii="Narkisim" w:hAnsi="Narkisim" w:cs="Narkisim"/>
          <w:u w:val="single"/>
          <w:rtl/>
        </w:rPr>
        <w:t>תיקו.</w:t>
      </w:r>
      <w:r w:rsidRPr="00C26AFA">
        <w:rPr>
          <w:rFonts w:ascii="Narkisim" w:hAnsi="Narkisim" w:cs="Narkisim"/>
          <w:rtl/>
        </w:rPr>
        <w:t xml:space="preserve"> ה</w:t>
      </w:r>
      <w:r w:rsidRPr="00C26AFA">
        <w:rPr>
          <w:rFonts w:ascii="Narkisim" w:hAnsi="Narkisim" w:cs="Narkisim"/>
          <w:b/>
          <w:bCs/>
          <w:rtl/>
        </w:rPr>
        <w:t>רמב"ם</w:t>
      </w:r>
      <w:r w:rsidRPr="00C26AFA">
        <w:rPr>
          <w:rFonts w:ascii="Narkisim" w:hAnsi="Narkisim" w:cs="Narkisim"/>
          <w:rtl/>
        </w:rPr>
        <w:t xml:space="preserve"> (אישות ז טו) פסק דהמקדש יבמה לאחר שיחלוץ, הרי זו מקודשת הואיל ואילו קידשה עתה תופסין קידושין מספק. ו</w:t>
      </w:r>
      <w:r w:rsidRPr="00C26AFA">
        <w:rPr>
          <w:rFonts w:ascii="Narkisim" w:hAnsi="Narkisim" w:cs="Narkisim"/>
          <w:b/>
          <w:bCs/>
          <w:rtl/>
        </w:rPr>
        <w:t>ה"ה</w:t>
      </w:r>
      <w:r w:rsidRPr="00C26AFA">
        <w:rPr>
          <w:rFonts w:ascii="Narkisim" w:hAnsi="Narkisim" w:cs="Narkisim"/>
          <w:rtl/>
        </w:rPr>
        <w:t xml:space="preserve"> וה</w:t>
      </w:r>
      <w:r w:rsidRPr="00C26AFA">
        <w:rPr>
          <w:rFonts w:ascii="Narkisim" w:hAnsi="Narkisim" w:cs="Narkisim"/>
          <w:b/>
          <w:bCs/>
          <w:rtl/>
        </w:rPr>
        <w:t>רמ"ך</w:t>
      </w:r>
      <w:r w:rsidRPr="00C26AFA">
        <w:rPr>
          <w:rFonts w:ascii="Narkisim" w:hAnsi="Narkisim" w:cs="Narkisim"/>
          <w:rtl/>
        </w:rPr>
        <w:t xml:space="preserve"> גרסו בדברי הרמב"ם דהוה ספק קידושין. אבל ה</w:t>
      </w:r>
      <w:r w:rsidRPr="00C26AFA">
        <w:rPr>
          <w:rFonts w:ascii="Narkisim" w:hAnsi="Narkisim" w:cs="Narkisim"/>
          <w:b/>
          <w:bCs/>
          <w:rtl/>
        </w:rPr>
        <w:t>כס"מ</w:t>
      </w:r>
      <w:r w:rsidRPr="00C26AFA">
        <w:rPr>
          <w:rFonts w:ascii="Narkisim" w:hAnsi="Narkisim" w:cs="Narkisim"/>
          <w:rtl/>
        </w:rPr>
        <w:t xml:space="preserve"> נקט דהוה קידושי ודאי, וביאר דכיון דעכשיו תפסי ספק קידושין לא נחשב דבר שלא בא לעולם</w:t>
      </w:r>
      <w:r w:rsidRPr="00C26AFA">
        <w:rPr>
          <w:rStyle w:val="ac"/>
          <w:rFonts w:ascii="Narkisim" w:hAnsi="Narkisim" w:cs="Narkisim"/>
          <w:rtl/>
        </w:rPr>
        <w:footnoteReference w:id="3206"/>
      </w:r>
      <w:r w:rsidRPr="00C26AFA">
        <w:rPr>
          <w:rFonts w:ascii="Narkisim" w:hAnsi="Narkisim" w:cs="Narkisim"/>
          <w:rtl/>
        </w:rPr>
        <w:t>. וה</w:t>
      </w:r>
      <w:r w:rsidRPr="00C26AFA">
        <w:rPr>
          <w:rFonts w:ascii="Narkisim" w:hAnsi="Narkisim" w:cs="Narkisim"/>
          <w:b/>
          <w:bCs/>
          <w:rtl/>
        </w:rPr>
        <w:t>משנ"ל</w:t>
      </w:r>
      <w:r w:rsidRPr="00C26AFA">
        <w:rPr>
          <w:rFonts w:ascii="Narkisim" w:hAnsi="Narkisim" w:cs="Narkisim"/>
          <w:rtl/>
        </w:rPr>
        <w:t xml:space="preserve"> תמה האיך יחשב ודאי קידושין, הא אילו האמת דאין קידושין תופסין ביבמה, א”כ הוה דבר שלא בא לעולם</w:t>
      </w:r>
      <w:r w:rsidRPr="00C26AFA">
        <w:rPr>
          <w:rStyle w:val="ac"/>
          <w:rFonts w:ascii="Narkisim" w:hAnsi="Narkisim" w:cs="Narkisim"/>
          <w:rtl/>
        </w:rPr>
        <w:footnoteReference w:id="3207"/>
      </w:r>
      <w:r w:rsidRPr="00C26AFA">
        <w:rPr>
          <w:rFonts w:ascii="Narkisim" w:hAnsi="Narkisim" w:cs="Narkisim"/>
          <w:rtl/>
        </w:rPr>
        <w:t>.</w:t>
      </w:r>
    </w:p>
    <w:p w14:paraId="792D6908" w14:textId="77777777" w:rsidR="006074A5" w:rsidRPr="00C26AFA" w:rsidRDefault="006074A5" w:rsidP="006074A5">
      <w:pPr>
        <w:bidi/>
        <w:rPr>
          <w:rFonts w:ascii="Narkisim" w:hAnsi="Narkisim" w:cs="Narkisim"/>
        </w:rPr>
      </w:pPr>
      <w:r w:rsidRPr="00C26AFA">
        <w:rPr>
          <w:rFonts w:ascii="Narkisim" w:hAnsi="Narkisim" w:cs="Narkisim"/>
          <w:sz w:val="20"/>
          <w:szCs w:val="20"/>
          <w:rtl/>
        </w:rPr>
        <w:t>אך ה</w:t>
      </w:r>
      <w:r w:rsidRPr="00C26AFA">
        <w:rPr>
          <w:rFonts w:ascii="Narkisim" w:hAnsi="Narkisim" w:cs="Narkisim"/>
          <w:b/>
          <w:bCs/>
          <w:sz w:val="20"/>
          <w:szCs w:val="20"/>
          <w:rtl/>
        </w:rPr>
        <w:t xml:space="preserve">משנ”ל </w:t>
      </w:r>
      <w:r w:rsidRPr="00C26AFA">
        <w:rPr>
          <w:rFonts w:ascii="Narkisim" w:hAnsi="Narkisim" w:cs="Narkisim"/>
          <w:sz w:val="20"/>
          <w:szCs w:val="20"/>
          <w:rtl/>
        </w:rPr>
        <w:t xml:space="preserve">(אישות ט ו ד”ה ולפי זה) דן ע"פ דברי הכס"מ דבמקום ספק קידושין (שלא נתקיים התנאי) </w:t>
      </w:r>
      <w:r w:rsidRPr="00C26AFA">
        <w:rPr>
          <w:rFonts w:ascii="Narkisim" w:hAnsi="Narkisim" w:cs="Narkisim"/>
          <w:sz w:val="20"/>
          <w:szCs w:val="20"/>
          <w:rtl/>
        </w:rPr>
        <w:lastRenderedPageBreak/>
        <w:t>יחשב איהו מצי עביד מחמת הספק</w:t>
      </w:r>
      <w:r w:rsidRPr="00C26AFA">
        <w:rPr>
          <w:rStyle w:val="ac"/>
          <w:rFonts w:ascii="Narkisim" w:hAnsi="Narkisim" w:cs="Narkisim"/>
          <w:sz w:val="20"/>
          <w:szCs w:val="20"/>
          <w:rtl/>
        </w:rPr>
        <w:footnoteReference w:id="3208"/>
      </w:r>
      <w:r w:rsidRPr="00C26AFA">
        <w:rPr>
          <w:rFonts w:ascii="Narkisim" w:hAnsi="Narkisim" w:cs="Narkisim"/>
          <w:sz w:val="20"/>
          <w:szCs w:val="20"/>
          <w:rtl/>
        </w:rPr>
        <w:t>, וכמו היכא דהוה ספק אי קי”ל דקידושין תופסים ביבמה</w:t>
      </w:r>
      <w:r w:rsidRPr="00C26AFA">
        <w:rPr>
          <w:rStyle w:val="ac"/>
          <w:rFonts w:ascii="Narkisim" w:hAnsi="Narkisim" w:cs="Narkisim"/>
          <w:sz w:val="20"/>
          <w:szCs w:val="20"/>
          <w:rtl/>
        </w:rPr>
        <w:footnoteReference w:id="3209"/>
      </w:r>
      <w:r w:rsidRPr="00C26AFA">
        <w:rPr>
          <w:rFonts w:ascii="Narkisim" w:hAnsi="Narkisim" w:cs="Narkisim"/>
          <w:sz w:val="20"/>
          <w:szCs w:val="20"/>
          <w:rtl/>
        </w:rPr>
        <w:t>. וע"ע תור"ג (קלב ב). [וצ"ע].</w:t>
      </w:r>
    </w:p>
    <w:p w14:paraId="5E23484C" w14:textId="77777777" w:rsidR="006074A5" w:rsidRPr="00C26AFA" w:rsidRDefault="006074A5" w:rsidP="006074A5">
      <w:pPr>
        <w:bidi/>
        <w:rPr>
          <w:rFonts w:ascii="Narkisim" w:hAnsi="Narkisim" w:cs="Narkisim"/>
        </w:rPr>
      </w:pPr>
      <w:r w:rsidRPr="00C26AFA">
        <w:rPr>
          <w:rFonts w:ascii="Narkisim" w:hAnsi="Narkisim" w:cs="Narkisim"/>
          <w:u w:val="single"/>
          <w:rtl/>
        </w:rPr>
        <w:t>בעי רב חנניה כתב גט לזיקתו ולא למאמרו וכו' מאמר עילוי זיקה קא רמי, והו"ל כמגרש חצי אשה.</w:t>
      </w:r>
      <w:r w:rsidRPr="00C26AFA">
        <w:rPr>
          <w:rFonts w:ascii="Narkisim" w:hAnsi="Narkisim" w:cs="Narkisim"/>
          <w:sz w:val="20"/>
          <w:szCs w:val="20"/>
          <w:rtl/>
        </w:rPr>
        <w:t xml:space="preserve"> ב</w:t>
      </w:r>
      <w:r w:rsidRPr="00C26AFA">
        <w:rPr>
          <w:rFonts w:ascii="Narkisim" w:hAnsi="Narkisim" w:cs="Narkisim"/>
          <w:b/>
          <w:bCs/>
          <w:sz w:val="20"/>
          <w:szCs w:val="20"/>
          <w:rtl/>
        </w:rPr>
        <w:t>קוב"ש</w:t>
      </w:r>
      <w:r w:rsidRPr="00C26AFA">
        <w:rPr>
          <w:rFonts w:ascii="Narkisim" w:hAnsi="Narkisim" w:cs="Narkisim"/>
          <w:sz w:val="20"/>
          <w:szCs w:val="20"/>
          <w:rtl/>
        </w:rPr>
        <w:t xml:space="preserve"> (קי' צח) הקשה שהרשב"א (קידושין ס) כת' שבחצי קנין אין חסרון חצי אשה, וה"נ הוה חצי קנין ולא חצי באשה.</w:t>
      </w:r>
    </w:p>
    <w:p w14:paraId="0A997723"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 xml:space="preserve">ברכ"ש </w:t>
      </w:r>
      <w:r w:rsidRPr="00C26AFA">
        <w:rPr>
          <w:rFonts w:ascii="Narkisim" w:hAnsi="Narkisim"/>
          <w:rtl/>
        </w:rPr>
        <w:t>(גיטין לח) חקר האם החסרון במגרש חצי אשה משום דמשייר בקנינו, או אף לו יצוייר דיש לו ב' קנינים באשה אחת, נימא דהוה מגרש חצי אשה במה שנשאר קנין נוסף, דסוף סוף אגידא גביה. והביא מסוגיין דחזינן דמהני במה ששייר בזיקה. ושוב דחה דבגט יבמין סגי דהוה ריח הגט (כדאמרי' בע"א) ולא בעינן כריתות.</w:t>
      </w:r>
    </w:p>
    <w:p w14:paraId="3C7C1FEE" w14:textId="77777777" w:rsidR="006074A5" w:rsidRPr="00C26AFA" w:rsidRDefault="006074A5" w:rsidP="006074A5">
      <w:pPr>
        <w:bidi/>
        <w:rPr>
          <w:rFonts w:ascii="Narkisim" w:hAnsi="Narkisim" w:cs="Narkisim"/>
        </w:rPr>
      </w:pPr>
      <w:r w:rsidRPr="00C26AFA">
        <w:rPr>
          <w:rFonts w:ascii="Narkisim" w:hAnsi="Narkisim" w:cs="Narkisim"/>
          <w:u w:val="single"/>
          <w:rtl/>
        </w:rPr>
        <w:t>דאמר רבא נתן גט למאמרו הותרה צרתה וכו'</w:t>
      </w:r>
      <w:r w:rsidRPr="00C26AFA">
        <w:rPr>
          <w:rFonts w:ascii="Narkisim" w:hAnsi="Narkisim" w:cs="Narkisim"/>
          <w:rtl/>
        </w:rPr>
        <w:t>. ובגמ' (לעיל לב., הו' בתוס') הו' ב' לשונות דרבא האם רק צרתה הותרה, או דאף היא הותרה. והגמ' פי' דלל”ק היא אסורה דמיחלפה בבעלת הגט. ומשמע דבעיקר הדבר [לב' הלשונות] מהני הגט למאמר בלבד, אלא דהוה גזירה מצד אחר.</w:t>
      </w:r>
    </w:p>
    <w:p w14:paraId="00E1B95E" w14:textId="77777777" w:rsidR="006074A5" w:rsidRPr="00C26AFA" w:rsidRDefault="006074A5" w:rsidP="006074A5">
      <w:pPr>
        <w:bidi/>
        <w:rPr>
          <w:rFonts w:ascii="Narkisim" w:hAnsi="Narkisim" w:cs="Narkisim"/>
        </w:rPr>
      </w:pPr>
      <w:r w:rsidRPr="00C26AFA">
        <w:rPr>
          <w:rFonts w:ascii="Narkisim" w:hAnsi="Narkisim" w:cs="Narkisim"/>
          <w:u w:val="single"/>
          <w:rtl/>
        </w:rPr>
        <w:t>שם. הותרה צרתה</w:t>
      </w:r>
      <w:r w:rsidRPr="00C26AFA">
        <w:rPr>
          <w:rFonts w:ascii="Narkisim" w:hAnsi="Narkisim" w:cs="Narkisim"/>
          <w:rtl/>
        </w:rPr>
        <w:t>. פ</w:t>
      </w:r>
      <w:r w:rsidRPr="00C26AFA">
        <w:rPr>
          <w:rFonts w:ascii="Narkisim" w:hAnsi="Narkisim" w:cs="Narkisim"/>
          <w:b/>
          <w:bCs/>
          <w:rtl/>
        </w:rPr>
        <w:t>רש"י</w:t>
      </w:r>
      <w:r w:rsidRPr="00C26AFA">
        <w:rPr>
          <w:rFonts w:ascii="Narkisim" w:hAnsi="Narkisim" w:cs="Narkisim"/>
          <w:rtl/>
        </w:rPr>
        <w:t xml:space="preserve"> דאם מת הותרה אשתו הראשונה, שהיא צרתה [של בעלת הגט בזיקה]. וה</w:t>
      </w:r>
      <w:r w:rsidRPr="00C26AFA">
        <w:rPr>
          <w:rFonts w:ascii="Narkisim" w:hAnsi="Narkisim" w:cs="Narkisim"/>
          <w:b/>
          <w:bCs/>
          <w:rtl/>
        </w:rPr>
        <w:t>רמב"ן</w:t>
      </w:r>
      <w:r w:rsidRPr="00C26AFA">
        <w:rPr>
          <w:rFonts w:ascii="Narkisim" w:hAnsi="Narkisim" w:cs="Narkisim"/>
          <w:rtl/>
        </w:rPr>
        <w:t xml:space="preserve"> (לעיל לב.) כת' דרש"י נקט דקאי אמתני' (שם לא:). ומש"ה לא קאי אצרה שנופלת עמה [דצרה שנופלת עמה אסורה כמו היא בעצמה].</w:t>
      </w:r>
    </w:p>
    <w:p w14:paraId="6E90FEB2"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(שם) חלק דמסתבר דקאי אצרה דביתה [שנופלת עמה]. שפקע דין המאמר.</w:t>
      </w:r>
    </w:p>
    <w:p w14:paraId="4B87F1AB" w14:textId="77777777" w:rsidR="006074A5" w:rsidRPr="00C26AFA" w:rsidRDefault="006074A5" w:rsidP="006074A5">
      <w:pPr>
        <w:bidi/>
        <w:rPr>
          <w:rFonts w:ascii="Narkisim" w:hAnsi="Narkisim" w:cs="Narkisim"/>
        </w:rPr>
      </w:pPr>
      <w:r w:rsidRPr="00C26AFA">
        <w:rPr>
          <w:rFonts w:ascii="Narkisim" w:hAnsi="Narkisim" w:cs="Narkisim"/>
          <w:u w:val="single"/>
          <w:rtl/>
        </w:rPr>
        <w:t>תוד"ה או.</w:t>
      </w:r>
      <w:r w:rsidRPr="00C26AFA">
        <w:rPr>
          <w:rFonts w:ascii="Narkisim" w:hAnsi="Narkisim" w:cs="Narkisim"/>
          <w:rtl/>
        </w:rPr>
        <w:t xml:space="preserve"> פי' בקו' וכו' אסורה לו ומותרת לאחיו. (וכ"ד ה</w:t>
      </w:r>
      <w:r w:rsidRPr="00C26AFA">
        <w:rPr>
          <w:rFonts w:ascii="Narkisim" w:hAnsi="Narkisim" w:cs="Narkisim"/>
          <w:b/>
          <w:bCs/>
          <w:rtl/>
        </w:rPr>
        <w:t>רמב"ם</w:t>
      </w:r>
      <w:r w:rsidRPr="00C26AFA">
        <w:rPr>
          <w:rFonts w:ascii="Narkisim" w:hAnsi="Narkisim" w:cs="Narkisim"/>
          <w:rtl/>
        </w:rPr>
        <w:t xml:space="preserve"> ד ד). ותוס</w:t>
      </w:r>
      <w:r w:rsidRPr="00C26AFA">
        <w:rPr>
          <w:rFonts w:ascii="Narkisim" w:hAnsi="Narkisim" w:cs="Narkisim"/>
          <w:b/>
          <w:bCs/>
          <w:rtl/>
        </w:rPr>
        <w:t>'</w:t>
      </w:r>
      <w:r w:rsidRPr="00C26AFA">
        <w:rPr>
          <w:rFonts w:ascii="Narkisim" w:hAnsi="Narkisim" w:cs="Narkisim"/>
          <w:rtl/>
        </w:rPr>
        <w:t xml:space="preserve"> </w:t>
      </w:r>
      <w:r w:rsidRPr="00C26AFA">
        <w:rPr>
          <w:rFonts w:ascii="Narkisim" w:hAnsi="Narkisim" w:cs="Narkisim"/>
          <w:sz w:val="20"/>
          <w:szCs w:val="20"/>
          <w:rtl/>
        </w:rPr>
        <w:t>(ויותר מפורש בתוס' מהר"ם ור"פ)</w:t>
      </w:r>
      <w:r w:rsidRPr="00C26AFA">
        <w:rPr>
          <w:rFonts w:ascii="Narkisim" w:hAnsi="Narkisim" w:cs="Narkisim"/>
          <w:rtl/>
        </w:rPr>
        <w:t xml:space="preserve"> הקשו דלל"ק </w:t>
      </w:r>
      <w:r w:rsidRPr="00C26AFA">
        <w:rPr>
          <w:rFonts w:ascii="Narkisim" w:hAnsi="Narkisim" w:cs="Narkisim"/>
          <w:sz w:val="20"/>
          <w:szCs w:val="20"/>
          <w:rtl/>
        </w:rPr>
        <w:t xml:space="preserve">(לעיל לב.) </w:t>
      </w:r>
      <w:r w:rsidRPr="00C26AFA">
        <w:rPr>
          <w:rFonts w:ascii="Narkisim" w:hAnsi="Narkisim" w:cs="Narkisim"/>
          <w:rtl/>
        </w:rPr>
        <w:t>מותרת אף לו, ולל"ב אסורה אף לאחיו.</w:t>
      </w:r>
    </w:p>
    <w:p w14:paraId="394F0E01"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ראשונים</w:t>
      </w:r>
      <w:r w:rsidRPr="00C26AFA">
        <w:rPr>
          <w:rFonts w:ascii="Narkisim" w:hAnsi="Narkisim"/>
          <w:rtl/>
        </w:rPr>
        <w:t xml:space="preserve"> (לעיל לב.) ביארו דרש"י למד דדברי רבא קאי אמתני' (כשיטתו הנ"ל), היכא דמת האם מותרת לאחיו. [ולא קאי כלל האם מותרת לו בעצמו].</w:t>
      </w:r>
    </w:p>
    <w:p w14:paraId="28D910E2" w14:textId="77777777" w:rsidR="006074A5" w:rsidRPr="00C26AFA" w:rsidRDefault="006074A5" w:rsidP="006074A5">
      <w:pPr>
        <w:pStyle w:val="a7"/>
        <w:bidi/>
        <w:rPr>
          <w:rFonts w:ascii="Narkisim" w:hAnsi="Narkisim"/>
        </w:rPr>
      </w:pPr>
      <w:r w:rsidRPr="00C26AFA">
        <w:rPr>
          <w:rFonts w:ascii="Narkisim" w:hAnsi="Narkisim"/>
          <w:rtl/>
        </w:rPr>
        <w:t>ובפשוטו רש"י ביאר את הספק בסוגיין דכיון דנתן גט למאמר מיד סילק המאמר והותרה באחיו. והיא עצמה אסורה. אבל ה</w:t>
      </w:r>
      <w:r w:rsidRPr="00C26AFA">
        <w:rPr>
          <w:rFonts w:ascii="Narkisim" w:hAnsi="Narkisim"/>
          <w:b/>
          <w:bCs/>
          <w:rtl/>
        </w:rPr>
        <w:t>תוס' הרא"ש</w:t>
      </w:r>
      <w:r w:rsidRPr="00C26AFA">
        <w:rPr>
          <w:rFonts w:ascii="Narkisim" w:hAnsi="Narkisim"/>
          <w:rtl/>
        </w:rPr>
        <w:t xml:space="preserve"> (נ:) כתב בשם </w:t>
      </w:r>
      <w:r w:rsidRPr="00C26AFA">
        <w:rPr>
          <w:rFonts w:ascii="Narkisim" w:hAnsi="Narkisim"/>
          <w:b/>
          <w:bCs/>
          <w:rtl/>
        </w:rPr>
        <w:t>ר' מנחם</w:t>
      </w:r>
      <w:r w:rsidRPr="00C26AFA">
        <w:rPr>
          <w:rFonts w:ascii="Narkisim" w:hAnsi="Narkisim"/>
          <w:rtl/>
        </w:rPr>
        <w:t xml:space="preserve"> דלרש”י אף לאחיו מותר רק כשמת</w:t>
      </w:r>
      <w:r w:rsidRPr="00C26AFA">
        <w:rPr>
          <w:rStyle w:val="ac"/>
          <w:rFonts w:ascii="Narkisim" w:hAnsi="Narkisim"/>
          <w:rtl/>
        </w:rPr>
        <w:footnoteReference w:id="3210"/>
      </w:r>
      <w:r w:rsidRPr="00C26AFA">
        <w:rPr>
          <w:rFonts w:ascii="Narkisim" w:hAnsi="Narkisim"/>
          <w:rtl/>
        </w:rPr>
        <w:t>. וב</w:t>
      </w:r>
      <w:r w:rsidRPr="00C26AFA">
        <w:rPr>
          <w:rFonts w:ascii="Narkisim" w:hAnsi="Narkisim"/>
          <w:b/>
          <w:bCs/>
          <w:rtl/>
        </w:rPr>
        <w:t>רמב"ן</w:t>
      </w:r>
      <w:r w:rsidRPr="00C26AFA">
        <w:rPr>
          <w:rFonts w:ascii="Narkisim" w:hAnsi="Narkisim"/>
          <w:rtl/>
        </w:rPr>
        <w:t xml:space="preserve"> ו</w:t>
      </w:r>
      <w:r w:rsidRPr="00C26AFA">
        <w:rPr>
          <w:rFonts w:ascii="Narkisim" w:hAnsi="Narkisim"/>
          <w:b/>
          <w:bCs/>
          <w:rtl/>
        </w:rPr>
        <w:t>רשב"א</w:t>
      </w:r>
      <w:r w:rsidRPr="00C26AFA">
        <w:rPr>
          <w:rFonts w:ascii="Narkisim" w:hAnsi="Narkisim"/>
          <w:rtl/>
        </w:rPr>
        <w:t xml:space="preserve"> </w:t>
      </w:r>
      <w:r w:rsidRPr="00C26AFA">
        <w:rPr>
          <w:rFonts w:ascii="Narkisim" w:hAnsi="Narkisim"/>
          <w:sz w:val="20"/>
          <w:szCs w:val="20"/>
          <w:rtl/>
        </w:rPr>
        <w:t>(לב. ונ:)</w:t>
      </w:r>
      <w:r w:rsidRPr="00C26AFA">
        <w:rPr>
          <w:rFonts w:ascii="Narkisim" w:hAnsi="Narkisim"/>
          <w:rtl/>
        </w:rPr>
        <w:t xml:space="preserve"> כתב דמ"מ נראה דצרתה מותרת לו. ושוב דייקו מלשון</w:t>
      </w:r>
      <w:r w:rsidRPr="00C26AFA">
        <w:rPr>
          <w:rFonts w:ascii="Narkisim" w:hAnsi="Narkisim"/>
          <w:b/>
          <w:bCs/>
          <w:rtl/>
        </w:rPr>
        <w:t xml:space="preserve"> רש"י</w:t>
      </w:r>
      <w:r w:rsidRPr="00C26AFA">
        <w:rPr>
          <w:rFonts w:ascii="Narkisim" w:hAnsi="Narkisim"/>
          <w:rtl/>
        </w:rPr>
        <w:t xml:space="preserve"> (במשנה) דא"א לייבם כלל, ואסור אף בצרה</w:t>
      </w:r>
      <w:r w:rsidRPr="00C26AFA">
        <w:rPr>
          <w:rStyle w:val="ac"/>
          <w:rFonts w:ascii="Narkisim" w:hAnsi="Narkisim"/>
          <w:rtl/>
        </w:rPr>
        <w:footnoteReference w:id="3211"/>
      </w:r>
      <w:r w:rsidRPr="00C26AFA">
        <w:rPr>
          <w:rFonts w:ascii="Narkisim" w:hAnsi="Narkisim"/>
          <w:rtl/>
        </w:rPr>
        <w:t>.</w:t>
      </w:r>
    </w:p>
    <w:p w14:paraId="2A6983BF" w14:textId="77777777" w:rsidR="006074A5" w:rsidRPr="00C26AFA" w:rsidRDefault="006074A5" w:rsidP="006074A5">
      <w:pPr>
        <w:bidi/>
        <w:rPr>
          <w:rFonts w:ascii="Narkisim" w:hAnsi="Narkisim" w:cs="Narkisim"/>
        </w:rPr>
      </w:pPr>
      <w:r w:rsidRPr="00C26AFA">
        <w:rPr>
          <w:rFonts w:ascii="Narkisim" w:hAnsi="Narkisim" w:cs="Narkisim"/>
          <w:u w:val="single"/>
          <w:rtl/>
        </w:rPr>
        <w:t>זו דברי ר"ע דאמר אין קידושין תופסים בחייבי לאוין וכו'</w:t>
      </w:r>
      <w:r w:rsidRPr="00C26AFA">
        <w:rPr>
          <w:rFonts w:ascii="Narkisim" w:hAnsi="Narkisim" w:cs="Narkisim"/>
          <w:rtl/>
        </w:rPr>
        <w:t>. שעובר משום לאו דלא יבנה. אמנם דעת ה</w:t>
      </w:r>
      <w:r w:rsidRPr="00C26AFA">
        <w:rPr>
          <w:rFonts w:ascii="Narkisim" w:hAnsi="Narkisim" w:cs="Narkisim"/>
          <w:b/>
          <w:bCs/>
          <w:rtl/>
        </w:rPr>
        <w:t>רמב"ם</w:t>
      </w:r>
      <w:r w:rsidRPr="00C26AFA">
        <w:rPr>
          <w:rFonts w:ascii="Narkisim" w:hAnsi="Narkisim" w:cs="Narkisim"/>
          <w:rtl/>
        </w:rPr>
        <w:t xml:space="preserve"> (א יב, הובא לעיל י:) דאיסור לא יבנה מדברי סופרים, והוה כשניות. וב</w:t>
      </w:r>
      <w:r w:rsidRPr="00C26AFA">
        <w:rPr>
          <w:rFonts w:ascii="Narkisim" w:hAnsi="Narkisim" w:cs="Narkisim"/>
          <w:b/>
          <w:bCs/>
          <w:rtl/>
        </w:rPr>
        <w:t>חי' ר"א מן ההר</w:t>
      </w:r>
      <w:r w:rsidRPr="00C26AFA">
        <w:rPr>
          <w:rFonts w:ascii="Narkisim" w:hAnsi="Narkisim" w:cs="Narkisim"/>
          <w:rtl/>
        </w:rPr>
        <w:t xml:space="preserve"> (י:) הק' דבסוגיין מפורש דלא תפסי קידושין לר"ע משום לא יבנה. וה</w:t>
      </w:r>
      <w:r w:rsidRPr="00C26AFA">
        <w:rPr>
          <w:rFonts w:ascii="Narkisim" w:hAnsi="Narkisim" w:cs="Narkisim"/>
          <w:b/>
          <w:bCs/>
          <w:rtl/>
        </w:rPr>
        <w:t>אחרונים</w:t>
      </w:r>
      <w:r w:rsidRPr="00C26AFA">
        <w:rPr>
          <w:rFonts w:ascii="Narkisim" w:hAnsi="Narkisim" w:cs="Narkisim"/>
          <w:rtl/>
        </w:rPr>
        <w:t xml:space="preserve"> הביאו דהרמב"ם בפיה"מ ביאר בסוגיין באופן אחר, ע' בסמוך.</w:t>
      </w:r>
    </w:p>
    <w:p w14:paraId="2CF00177" w14:textId="77777777" w:rsidR="006074A5" w:rsidRPr="00C26AFA" w:rsidRDefault="006074A5" w:rsidP="006074A5">
      <w:pPr>
        <w:pStyle w:val="aa"/>
        <w:bidi/>
        <w:rPr>
          <w:rFonts w:ascii="Narkisim" w:hAnsi="Narkisim"/>
        </w:rPr>
      </w:pPr>
      <w:r w:rsidRPr="00C26AFA">
        <w:rPr>
          <w:rFonts w:ascii="Narkisim" w:hAnsi="Narkisim"/>
          <w:u w:val="single"/>
          <w:rtl/>
        </w:rPr>
        <w:t>שם. זו דברי ר"ע וכו' אבל חכ”א וכו'.</w:t>
      </w:r>
      <w:r w:rsidRPr="00C26AFA">
        <w:rPr>
          <w:rFonts w:ascii="Narkisim" w:hAnsi="Narkisim"/>
          <w:rtl/>
        </w:rPr>
        <w:t xml:space="preserve"> ה</w:t>
      </w:r>
      <w:r w:rsidRPr="00C26AFA">
        <w:rPr>
          <w:rFonts w:ascii="Narkisim" w:hAnsi="Narkisim"/>
          <w:b/>
          <w:bCs/>
          <w:rtl/>
        </w:rPr>
        <w:t>יפ"ע</w:t>
      </w:r>
      <w:r w:rsidRPr="00C26AFA">
        <w:rPr>
          <w:rFonts w:ascii="Narkisim" w:hAnsi="Narkisim"/>
          <w:rtl/>
        </w:rPr>
        <w:t xml:space="preserve"> מביא דב</w:t>
      </w:r>
      <w:r w:rsidRPr="00C26AFA">
        <w:rPr>
          <w:rFonts w:ascii="Narkisim" w:hAnsi="Narkisim"/>
          <w:b/>
          <w:bCs/>
          <w:rtl/>
        </w:rPr>
        <w:t>ירושלמי</w:t>
      </w:r>
      <w:r w:rsidRPr="00C26AFA">
        <w:rPr>
          <w:rFonts w:ascii="Narkisim" w:hAnsi="Narkisim"/>
          <w:rtl/>
        </w:rPr>
        <w:t xml:space="preserve"> אי' כשקידש לשם יבמות וכרבי (בסמוך), ולרבנן בקידשה שלא לדעת. [וכן ב</w:t>
      </w:r>
      <w:r w:rsidRPr="00C26AFA">
        <w:rPr>
          <w:rFonts w:ascii="Narkisim" w:hAnsi="Narkisim"/>
          <w:b/>
          <w:bCs/>
          <w:rtl/>
        </w:rPr>
        <w:t>תוס' מהר"ם והר"פ</w:t>
      </w:r>
      <w:r w:rsidRPr="00C26AFA">
        <w:rPr>
          <w:rFonts w:ascii="Narkisim" w:hAnsi="Narkisim"/>
          <w:rtl/>
        </w:rPr>
        <w:t xml:space="preserve"> כת' דגמ' דידן המ"ל כן].</w:t>
      </w:r>
    </w:p>
    <w:p w14:paraId="0E750C39" w14:textId="77777777" w:rsidR="006074A5" w:rsidRPr="00C26AFA" w:rsidRDefault="006074A5" w:rsidP="006074A5">
      <w:pPr>
        <w:bidi/>
        <w:rPr>
          <w:rFonts w:ascii="Narkisim" w:hAnsi="Narkisim" w:cs="Narkisim"/>
        </w:rPr>
      </w:pPr>
      <w:r w:rsidRPr="00C26AFA">
        <w:rPr>
          <w:rFonts w:ascii="Narkisim" w:hAnsi="Narkisim" w:cs="Narkisim"/>
          <w:u w:val="single"/>
          <w:rtl/>
        </w:rPr>
        <w:t>לר' עקיבא שהיה עושה חלוצה כערוה.</w:t>
      </w:r>
      <w:r w:rsidRPr="00C26AFA">
        <w:rPr>
          <w:rFonts w:ascii="Narkisim" w:hAnsi="Narkisim" w:cs="Narkisim"/>
          <w:rtl/>
        </w:rPr>
        <w:t xml:space="preserve"> ה</w:t>
      </w:r>
      <w:r w:rsidRPr="00C26AFA">
        <w:rPr>
          <w:rFonts w:ascii="Narkisim" w:hAnsi="Narkisim" w:cs="Narkisim"/>
          <w:b/>
          <w:bCs/>
          <w:rtl/>
        </w:rPr>
        <w:t>ריטב"א</w:t>
      </w:r>
      <w:r w:rsidRPr="00C26AFA">
        <w:rPr>
          <w:rFonts w:ascii="Narkisim" w:hAnsi="Narkisim" w:cs="Narkisim"/>
          <w:rtl/>
        </w:rPr>
        <w:t xml:space="preserve"> כתב לא ערוה ממש, למהוי איסור אשת אח וכרת, אלא לענין שאין תפיסת קידושין. </w:t>
      </w:r>
      <w:r w:rsidRPr="00C26AFA">
        <w:rPr>
          <w:rFonts w:ascii="Narkisim" w:hAnsi="Narkisim" w:cs="Narkisim"/>
          <w:sz w:val="20"/>
          <w:szCs w:val="20"/>
          <w:rtl/>
        </w:rPr>
        <w:t>[אלא סברת ר"ע דאין קידושין תפסין משום לאו דלא יבנה</w:t>
      </w:r>
      <w:r w:rsidRPr="00C26AFA">
        <w:rPr>
          <w:rStyle w:val="ac"/>
          <w:rFonts w:ascii="Narkisim" w:hAnsi="Narkisim" w:cs="Narkisim"/>
          <w:sz w:val="20"/>
          <w:szCs w:val="20"/>
          <w:rtl/>
        </w:rPr>
        <w:footnoteReference w:id="3212"/>
      </w:r>
      <w:r w:rsidRPr="00C26AFA">
        <w:rPr>
          <w:rFonts w:ascii="Narkisim" w:hAnsi="Narkisim" w:cs="Narkisim"/>
          <w:sz w:val="20"/>
          <w:szCs w:val="20"/>
          <w:rtl/>
        </w:rPr>
        <w:t>].</w:t>
      </w:r>
    </w:p>
    <w:p w14:paraId="3B629FF4" w14:textId="77777777" w:rsidR="006074A5" w:rsidRPr="00C26AFA" w:rsidRDefault="006074A5" w:rsidP="006074A5">
      <w:pPr>
        <w:pStyle w:val="a7"/>
        <w:bidi/>
        <w:rPr>
          <w:rFonts w:ascii="Narkisim" w:hAnsi="Narkisim"/>
        </w:rPr>
      </w:pPr>
      <w:r w:rsidRPr="00C26AFA">
        <w:rPr>
          <w:rFonts w:ascii="Narkisim" w:hAnsi="Narkisim"/>
          <w:rtl/>
        </w:rPr>
        <w:t>אבל ה</w:t>
      </w:r>
      <w:r w:rsidRPr="00C26AFA">
        <w:rPr>
          <w:rFonts w:ascii="Narkisim" w:hAnsi="Narkisim"/>
          <w:b/>
          <w:bCs/>
          <w:rtl/>
        </w:rPr>
        <w:t xml:space="preserve">רמב"ם </w:t>
      </w:r>
      <w:r w:rsidRPr="00C26AFA">
        <w:rPr>
          <w:rFonts w:ascii="Narkisim" w:hAnsi="Narkisim"/>
          <w:rtl/>
        </w:rPr>
        <w:t>בפיה"מ כתב דזו דעת ר"ע שאין קידושין תופסין בחלוצתו, שכשחלץ חוזר ערוה כמו שהיתה קודם מיתת אחיו.</w:t>
      </w:r>
      <w:r w:rsidRPr="00C26AFA">
        <w:rPr>
          <w:rFonts w:ascii="Narkisim" w:hAnsi="Narkisim"/>
          <w:sz w:val="20"/>
          <w:szCs w:val="20"/>
          <w:rtl/>
        </w:rPr>
        <w:t xml:space="preserve"> [משמע דחוזרת לאיסור אשת אח, בכרת]</w:t>
      </w:r>
      <w:r w:rsidRPr="00C26AFA">
        <w:rPr>
          <w:rFonts w:ascii="Narkisim" w:hAnsi="Narkisim"/>
          <w:rtl/>
        </w:rPr>
        <w:t>. וה</w:t>
      </w:r>
      <w:r w:rsidRPr="00C26AFA">
        <w:rPr>
          <w:rFonts w:ascii="Narkisim" w:hAnsi="Narkisim"/>
          <w:b/>
          <w:bCs/>
          <w:rtl/>
        </w:rPr>
        <w:t>רשב"א</w:t>
      </w:r>
      <w:r w:rsidRPr="00C26AFA">
        <w:rPr>
          <w:rFonts w:ascii="Narkisim" w:hAnsi="Narkisim"/>
          <w:rtl/>
        </w:rPr>
        <w:t xml:space="preserve"> תמה דבהדיא אמרו</w:t>
      </w:r>
      <w:r w:rsidRPr="00C26AFA">
        <w:rPr>
          <w:rFonts w:ascii="Narkisim" w:hAnsi="Narkisim"/>
          <w:szCs w:val="20"/>
          <w:rtl/>
        </w:rPr>
        <w:t xml:space="preserve"> (לעי' י:, וכן בגמ' כאן לעיל) </w:t>
      </w:r>
      <w:r w:rsidRPr="00C26AFA">
        <w:rPr>
          <w:rFonts w:ascii="Narkisim" w:hAnsi="Narkisim"/>
          <w:rtl/>
        </w:rPr>
        <w:t>דחלוצה חייבי לאוין היא בפלוגתא דר"ע ורבנן.</w:t>
      </w:r>
    </w:p>
    <w:p w14:paraId="519F24CA"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(קר"א י: ועוד) כת' דלדעת הרמב"ם (הנ"ל) איסור לא יבנה הוה מדרבנן, ומשום </w:t>
      </w:r>
      <w:r w:rsidRPr="00C26AFA">
        <w:rPr>
          <w:rFonts w:ascii="Narkisim" w:hAnsi="Narkisim"/>
          <w:rtl/>
        </w:rPr>
        <w:lastRenderedPageBreak/>
        <w:t>הכי הרמב"ם בפיה"מ פי' דר' עקיבא חולק וס"ל דהוה ערוה</w:t>
      </w:r>
      <w:r w:rsidRPr="00C26AFA">
        <w:rPr>
          <w:rStyle w:val="ac"/>
          <w:rFonts w:ascii="Narkisim" w:hAnsi="Narkisim"/>
          <w:rtl/>
        </w:rPr>
        <w:footnoteReference w:id="3213"/>
      </w:r>
      <w:r w:rsidRPr="00C26AFA">
        <w:rPr>
          <w:rFonts w:ascii="Narkisim" w:hAnsi="Narkisim"/>
          <w:rtl/>
        </w:rPr>
        <w:t>. וכיון דס"ל לר"ע דגדר איסור דיבמה הוה 'כערוה', מש"ה ס"ל דחוזרת לאיסור אשת אח</w:t>
      </w:r>
      <w:r w:rsidRPr="00C26AFA">
        <w:rPr>
          <w:rStyle w:val="ac"/>
          <w:rFonts w:ascii="Narkisim" w:hAnsi="Narkisim"/>
          <w:rtl/>
        </w:rPr>
        <w:footnoteReference w:id="3214"/>
      </w:r>
      <w:r w:rsidRPr="00C26AFA">
        <w:rPr>
          <w:rFonts w:ascii="Narkisim" w:hAnsi="Narkisim"/>
          <w:rtl/>
        </w:rPr>
        <w:t xml:space="preserve">. וצ"ב. </w:t>
      </w:r>
      <w:r w:rsidRPr="00C26AFA">
        <w:rPr>
          <w:rFonts w:ascii="Narkisim" w:hAnsi="Narkisim"/>
          <w:sz w:val="20"/>
          <w:szCs w:val="20"/>
          <w:rtl/>
        </w:rPr>
        <w:t>[וכעי"ז מצאנו דלר"ע שומרת יבם שזינתה נאסרת על היבם, דלר"ע הוה ערוה בחייבי לאוין דיבמה לשוק, א"כ נחשבת מיוחדת לו טפי]. ועפ”ז יש שדנו דר”ע דצרת חלוצתו דאורייתא (לעיל מד.) הוה לשיטתו</w:t>
      </w:r>
      <w:r w:rsidRPr="00C26AFA">
        <w:rPr>
          <w:rStyle w:val="ac"/>
          <w:rFonts w:ascii="Narkisim" w:hAnsi="Narkisim"/>
          <w:sz w:val="20"/>
          <w:szCs w:val="20"/>
          <w:rtl/>
        </w:rPr>
        <w:footnoteReference w:id="3215"/>
      </w:r>
      <w:r w:rsidRPr="00C26AFA">
        <w:rPr>
          <w:rFonts w:ascii="Narkisim" w:hAnsi="Narkisim"/>
          <w:rtl/>
        </w:rPr>
        <w:t>.</w:t>
      </w:r>
    </w:p>
    <w:p w14:paraId="6153285B" w14:textId="77777777" w:rsidR="006074A5" w:rsidRPr="00C26AFA" w:rsidRDefault="006074A5" w:rsidP="006074A5">
      <w:pPr>
        <w:bidi/>
        <w:rPr>
          <w:rFonts w:ascii="Narkisim" w:hAnsi="Narkisim" w:cs="Narkisim"/>
        </w:rPr>
      </w:pPr>
      <w:r w:rsidRPr="00C26AFA">
        <w:rPr>
          <w:rFonts w:ascii="Narkisim" w:hAnsi="Narkisim" w:cs="Narkisim"/>
          <w:u w:val="single"/>
          <w:rtl/>
        </w:rPr>
        <w:t xml:space="preserve">והתניא ר"ע אומר מנין לנותן גט ליבמתו </w:t>
      </w:r>
      <w:r w:rsidRPr="00C26AFA">
        <w:rPr>
          <w:rFonts w:ascii="Narkisim" w:hAnsi="Narkisim" w:cs="Narkisim"/>
          <w:i/>
          <w:iCs/>
          <w:u w:val="single"/>
          <w:rtl/>
        </w:rPr>
        <w:t>שנאסרה</w:t>
      </w:r>
      <w:r w:rsidRPr="00C26AFA">
        <w:rPr>
          <w:rFonts w:ascii="Narkisim" w:hAnsi="Narkisim" w:cs="Narkisim"/>
          <w:u w:val="single"/>
          <w:rtl/>
        </w:rPr>
        <w:t xml:space="preserve"> וכו' שנאמר לא יוכל בעלה הראשון וכו'.</w:t>
      </w:r>
      <w:r w:rsidRPr="00C26AFA">
        <w:rPr>
          <w:rFonts w:ascii="Narkisim" w:hAnsi="Narkisim" w:cs="Narkisim"/>
          <w:rtl/>
        </w:rPr>
        <w:t xml:space="preserve"> וס"ד דילפי' דמהני גט ביבמה מדאורייתא</w:t>
      </w:r>
      <w:r w:rsidRPr="00C26AFA">
        <w:rPr>
          <w:rStyle w:val="ac"/>
          <w:rFonts w:ascii="Narkisim" w:hAnsi="Narkisim" w:cs="Narkisim"/>
          <w:rtl/>
        </w:rPr>
        <w:footnoteReference w:id="3216"/>
      </w:r>
      <w:r w:rsidRPr="00C26AFA">
        <w:rPr>
          <w:rFonts w:ascii="Narkisim" w:hAnsi="Narkisim" w:cs="Narkisim"/>
          <w:rtl/>
        </w:rPr>
        <w:t>. [אלא דהגמ' מק' דאי הוה חייבי לאוין האיך תפסי קידושין</w:t>
      </w:r>
      <w:r w:rsidRPr="00C26AFA">
        <w:rPr>
          <w:rStyle w:val="ac"/>
          <w:rFonts w:ascii="Narkisim" w:hAnsi="Narkisim" w:cs="Narkisim"/>
          <w:rtl/>
        </w:rPr>
        <w:footnoteReference w:id="3217"/>
      </w:r>
      <w:r w:rsidRPr="00C26AFA">
        <w:rPr>
          <w:rFonts w:ascii="Narkisim" w:hAnsi="Narkisim" w:cs="Narkisim"/>
          <w:rtl/>
        </w:rPr>
        <w:t>]. וה</w:t>
      </w:r>
      <w:r w:rsidRPr="00C26AFA">
        <w:rPr>
          <w:rFonts w:ascii="Narkisim" w:hAnsi="Narkisim" w:cs="Narkisim"/>
          <w:b/>
          <w:bCs/>
          <w:rtl/>
        </w:rPr>
        <w:t>אחרונים</w:t>
      </w:r>
      <w:r w:rsidRPr="00C26AFA">
        <w:rPr>
          <w:rFonts w:ascii="Narkisim" w:hAnsi="Narkisim" w:cs="Narkisim"/>
          <w:rtl/>
        </w:rPr>
        <w:t xml:space="preserve"> דייקו דמשמע דלא הותרה לשוק. </w:t>
      </w:r>
      <w:r w:rsidRPr="00C26AFA">
        <w:rPr>
          <w:rFonts w:ascii="Narkisim" w:hAnsi="Narkisim" w:cs="Narkisim"/>
          <w:sz w:val="20"/>
          <w:szCs w:val="20"/>
          <w:rtl/>
        </w:rPr>
        <w:t>[ומהני הגט רק לאסור, אף לס"ד דמהני מדאורייתא, וע' מש"כ בזה ב</w:t>
      </w:r>
      <w:r w:rsidRPr="00C26AFA">
        <w:rPr>
          <w:rFonts w:ascii="Narkisim" w:hAnsi="Narkisim" w:cs="Narkisim"/>
          <w:b/>
          <w:bCs/>
          <w:sz w:val="20"/>
          <w:szCs w:val="20"/>
          <w:rtl/>
        </w:rPr>
        <w:t>תוס</w:t>
      </w:r>
      <w:r w:rsidRPr="00C26AFA">
        <w:rPr>
          <w:rFonts w:ascii="Narkisim" w:hAnsi="Narkisim" w:cs="Narkisim"/>
          <w:sz w:val="20"/>
          <w:szCs w:val="20"/>
          <w:rtl/>
        </w:rPr>
        <w:t>' נא:].</w:t>
      </w:r>
    </w:p>
    <w:p w14:paraId="4E401621" w14:textId="77777777" w:rsidR="006074A5" w:rsidRPr="00C26AFA" w:rsidRDefault="006074A5" w:rsidP="006074A5">
      <w:pPr>
        <w:pStyle w:val="2"/>
        <w:bidi/>
        <w:rPr>
          <w:rFonts w:ascii="Narkisim" w:hAnsi="Narkisim"/>
        </w:rPr>
      </w:pPr>
      <w:r w:rsidRPr="00C26AFA">
        <w:rPr>
          <w:rFonts w:ascii="Narkisim" w:hAnsi="Narkisim"/>
          <w:rtl/>
        </w:rPr>
        <w:t>מאמר אחר חליצה – עודר בנכסי הגר</w:t>
      </w:r>
    </w:p>
    <w:p w14:paraId="0B9DDF7C" w14:textId="77777777" w:rsidR="006074A5" w:rsidRPr="00C26AFA" w:rsidRDefault="006074A5" w:rsidP="006074A5">
      <w:pPr>
        <w:pStyle w:val="aa"/>
        <w:bidi/>
        <w:rPr>
          <w:rFonts w:ascii="Narkisim" w:hAnsi="Narkisim"/>
        </w:rPr>
      </w:pPr>
      <w:r w:rsidRPr="00C26AFA">
        <w:rPr>
          <w:rFonts w:ascii="Narkisim" w:hAnsi="Narkisim"/>
          <w:u w:val="single"/>
          <w:rtl/>
        </w:rPr>
        <w:t>וחכמים אומרים וכו' בין קידשה לשם יבמות צריכה גט.</w:t>
      </w:r>
      <w:r w:rsidRPr="00C26AFA">
        <w:rPr>
          <w:rFonts w:ascii="Narkisim" w:hAnsi="Narkisim"/>
          <w:rtl/>
        </w:rPr>
        <w:t xml:space="preserve"> ומבואר בראשונים דיש בזה ב' צדדים, משום קידושין דאורייתא [בחייבי לאוין] או משום גדר מאמר דרבנן, אף אחרי חליצה. [ותליא באוקימתא דהגמ'].</w:t>
      </w:r>
    </w:p>
    <w:p w14:paraId="42935650" w14:textId="77777777" w:rsidR="006074A5" w:rsidRPr="00C26AFA" w:rsidRDefault="006074A5" w:rsidP="006074A5">
      <w:pPr>
        <w:bidi/>
        <w:rPr>
          <w:rFonts w:ascii="Narkisim" w:hAnsi="Narkisim" w:cs="Narkisim"/>
        </w:rPr>
      </w:pPr>
      <w:r w:rsidRPr="00C26AFA">
        <w:rPr>
          <w:rFonts w:ascii="Narkisim" w:hAnsi="Narkisim" w:cs="Narkisim"/>
          <w:u w:val="single"/>
          <w:rtl/>
        </w:rPr>
        <w:t>אמר רב יוסף מ"ט דרבי</w:t>
      </w:r>
      <w:r w:rsidRPr="00C26AFA">
        <w:rPr>
          <w:rStyle w:val="ac"/>
          <w:rFonts w:ascii="Narkisim" w:hAnsi="Narkisim" w:cs="Narkisim"/>
          <w:u w:val="single"/>
          <w:rtl/>
        </w:rPr>
        <w:footnoteReference w:id="3218"/>
      </w:r>
      <w:r w:rsidRPr="00C26AFA">
        <w:rPr>
          <w:rFonts w:ascii="Narkisim" w:hAnsi="Narkisim" w:cs="Narkisim"/>
          <w:u w:val="single"/>
          <w:rtl/>
        </w:rPr>
        <w:t>, עשאוה כעודר וכו'.</w:t>
      </w:r>
      <w:r w:rsidRPr="00C26AFA">
        <w:rPr>
          <w:rFonts w:ascii="Narkisim" w:hAnsi="Narkisim" w:cs="Narkisim"/>
          <w:rtl/>
        </w:rPr>
        <w:t xml:space="preserve"> ה</w:t>
      </w:r>
      <w:r w:rsidRPr="00C26AFA">
        <w:rPr>
          <w:rFonts w:ascii="Narkisim" w:hAnsi="Narkisim" w:cs="Narkisim"/>
          <w:b/>
          <w:bCs/>
          <w:rtl/>
        </w:rPr>
        <w:t>ריטב"א</w:t>
      </w:r>
      <w:r w:rsidRPr="00C26AFA">
        <w:rPr>
          <w:rFonts w:ascii="Narkisim" w:hAnsi="Narkisim" w:cs="Narkisim"/>
          <w:rtl/>
        </w:rPr>
        <w:t xml:space="preserve"> ביאר דחלוצה זו היא נכסי הפקר, דיצאה לשוק בחליצה. ואפ"ה היבם סבור לקדשה בצד אחר [כל זמן שלא נשאת</w:t>
      </w:r>
      <w:r w:rsidRPr="00C26AFA">
        <w:rPr>
          <w:rStyle w:val="ac"/>
          <w:rFonts w:ascii="Narkisim" w:hAnsi="Narkisim" w:cs="Narkisim"/>
          <w:rtl/>
        </w:rPr>
        <w:footnoteReference w:id="3219"/>
      </w:r>
      <w:r w:rsidRPr="00C26AFA">
        <w:rPr>
          <w:rFonts w:ascii="Narkisim" w:hAnsi="Narkisim" w:cs="Narkisim"/>
          <w:rtl/>
        </w:rPr>
        <w:t>]. וכתב דלא נתכוון זה להתפיס קידושין בחייבי לאוין.</w:t>
      </w:r>
    </w:p>
    <w:p w14:paraId="296312BB" w14:textId="77777777" w:rsidR="006074A5" w:rsidRPr="00C26AFA" w:rsidRDefault="006074A5" w:rsidP="006074A5">
      <w:pPr>
        <w:bidi/>
        <w:rPr>
          <w:rFonts w:ascii="Narkisim" w:hAnsi="Narkisim" w:cs="Narkisim"/>
        </w:rPr>
      </w:pPr>
      <w:r w:rsidRPr="00C26AFA">
        <w:rPr>
          <w:rFonts w:ascii="Narkisim" w:hAnsi="Narkisim" w:cs="Narkisim"/>
          <w:rtl/>
        </w:rPr>
        <w:t>וה</w:t>
      </w:r>
      <w:r w:rsidRPr="00C26AFA">
        <w:rPr>
          <w:rFonts w:ascii="Narkisim" w:hAnsi="Narkisim" w:cs="Narkisim"/>
          <w:b/>
          <w:bCs/>
          <w:rtl/>
        </w:rPr>
        <w:t>ריטב"א</w:t>
      </w:r>
      <w:r w:rsidRPr="00C26AFA">
        <w:rPr>
          <w:rFonts w:ascii="Narkisim" w:hAnsi="Narkisim" w:cs="Narkisim"/>
          <w:rtl/>
        </w:rPr>
        <w:t xml:space="preserve"> (בסמוך) ביאר דנחשב עודר בנכסי הגר וכסבור של גר אחר, דסבור לקדשה לשם יבמות, דעדיין נכסי אחיו ואגידא ביה מחמתיה [שיכול ליבמה כל זמן שלא נשאת]. ואף שאינו כן, ובחליצה זו נפטרה לשוק והוה כנכסי הגר הראויה לכל אדם</w:t>
      </w:r>
      <w:r w:rsidRPr="00C26AFA">
        <w:rPr>
          <w:rStyle w:val="ac"/>
          <w:rFonts w:ascii="Narkisim" w:hAnsi="Narkisim" w:cs="Narkisim"/>
          <w:rtl/>
        </w:rPr>
        <w:footnoteReference w:id="3220"/>
      </w:r>
      <w:r w:rsidRPr="00C26AFA">
        <w:rPr>
          <w:rFonts w:ascii="Narkisim" w:hAnsi="Narkisim" w:cs="Narkisim"/>
          <w:rtl/>
        </w:rPr>
        <w:t>.</w:t>
      </w:r>
    </w:p>
    <w:p w14:paraId="58D25757" w14:textId="77777777" w:rsidR="006074A5" w:rsidRPr="00C26AFA" w:rsidRDefault="006074A5" w:rsidP="006074A5">
      <w:pPr>
        <w:bidi/>
        <w:rPr>
          <w:rFonts w:ascii="Narkisim" w:hAnsi="Narkisim" w:cs="Narkisim"/>
        </w:rPr>
      </w:pPr>
      <w:r w:rsidRPr="00C26AFA">
        <w:rPr>
          <w:rFonts w:ascii="Narkisim" w:hAnsi="Narkisim" w:cs="Narkisim"/>
          <w:u w:val="single"/>
          <w:rtl/>
        </w:rPr>
        <w:t>עודר בנכסי הגר וקסבור שהם שלו דלא קני.</w:t>
      </w:r>
      <w:r w:rsidRPr="00C26AFA">
        <w:rPr>
          <w:rFonts w:ascii="Narkisim" w:hAnsi="Narkisim" w:cs="Narkisim"/>
          <w:rtl/>
        </w:rPr>
        <w:t xml:space="preserve"> ה</w:t>
      </w:r>
      <w:r w:rsidRPr="00C26AFA">
        <w:rPr>
          <w:rFonts w:ascii="Narkisim" w:hAnsi="Narkisim" w:cs="Narkisim"/>
          <w:b/>
          <w:bCs/>
          <w:rtl/>
        </w:rPr>
        <w:t>רמב"ן</w:t>
      </w:r>
      <w:r w:rsidRPr="00C26AFA">
        <w:rPr>
          <w:rFonts w:ascii="Narkisim" w:hAnsi="Narkisim" w:cs="Narkisim"/>
          <w:rtl/>
        </w:rPr>
        <w:t xml:space="preserve"> </w:t>
      </w:r>
      <w:r w:rsidRPr="00C26AFA">
        <w:rPr>
          <w:rFonts w:ascii="Narkisim" w:hAnsi="Narkisim" w:cs="Narkisim"/>
          <w:sz w:val="20"/>
          <w:szCs w:val="20"/>
          <w:rtl/>
        </w:rPr>
        <w:t xml:space="preserve">(וכן הראשונים בכ"מ) </w:t>
      </w:r>
      <w:r w:rsidRPr="00C26AFA">
        <w:rPr>
          <w:rFonts w:ascii="Narkisim" w:hAnsi="Narkisim" w:cs="Narkisim"/>
          <w:rtl/>
        </w:rPr>
        <w:t xml:space="preserve">כת' דדבר פשוט דלא קנה היכא שלא נתכוון לזכות. </w:t>
      </w:r>
      <w:r w:rsidRPr="00C26AFA">
        <w:rPr>
          <w:rFonts w:ascii="Narkisim" w:hAnsi="Narkisim" w:cs="Narkisim"/>
          <w:sz w:val="20"/>
          <w:szCs w:val="20"/>
          <w:rtl/>
        </w:rPr>
        <w:t>וה</w:t>
      </w:r>
      <w:r w:rsidRPr="00C26AFA">
        <w:rPr>
          <w:rFonts w:ascii="Narkisim" w:hAnsi="Narkisim" w:cs="Narkisim"/>
          <w:b/>
          <w:bCs/>
          <w:sz w:val="20"/>
          <w:szCs w:val="20"/>
          <w:rtl/>
        </w:rPr>
        <w:t>אחרונים</w:t>
      </w:r>
      <w:r w:rsidRPr="00C26AFA">
        <w:rPr>
          <w:rFonts w:ascii="Narkisim" w:hAnsi="Narkisim" w:cs="Narkisim"/>
          <w:sz w:val="20"/>
          <w:szCs w:val="20"/>
          <w:rtl/>
        </w:rPr>
        <w:t xml:space="preserve"> (ע' דברי יחזקאל נג) דנו האם החסרון ד'מעשה הקנין' בעי כוונה</w:t>
      </w:r>
      <w:r w:rsidRPr="00C26AFA">
        <w:rPr>
          <w:rStyle w:val="ac"/>
          <w:rFonts w:ascii="Narkisim" w:hAnsi="Narkisim" w:cs="Narkisim"/>
          <w:sz w:val="20"/>
          <w:szCs w:val="20"/>
          <w:rtl/>
        </w:rPr>
        <w:footnoteReference w:id="3221"/>
      </w:r>
      <w:r w:rsidRPr="00C26AFA">
        <w:rPr>
          <w:rFonts w:ascii="Narkisim" w:hAnsi="Narkisim" w:cs="Narkisim"/>
          <w:sz w:val="20"/>
          <w:szCs w:val="20"/>
          <w:rtl/>
        </w:rPr>
        <w:t>, או בכוונת זכיה.</w:t>
      </w:r>
    </w:p>
    <w:p w14:paraId="186D826B" w14:textId="77777777" w:rsidR="006074A5" w:rsidRPr="00C26AFA" w:rsidRDefault="006074A5" w:rsidP="006074A5">
      <w:pPr>
        <w:pStyle w:val="a7"/>
        <w:bidi/>
        <w:rPr>
          <w:rFonts w:ascii="Narkisim" w:hAnsi="Narkisim"/>
        </w:rPr>
      </w:pPr>
      <w:r w:rsidRPr="00C26AFA">
        <w:rPr>
          <w:rFonts w:ascii="Narkisim" w:hAnsi="Narkisim"/>
          <w:rtl/>
        </w:rPr>
        <w:t>ו</w:t>
      </w:r>
      <w:r w:rsidRPr="00C26AFA">
        <w:rPr>
          <w:rFonts w:ascii="Narkisim" w:hAnsi="Narkisim"/>
          <w:b/>
          <w:bCs/>
          <w:rtl/>
        </w:rPr>
        <w:t>תוס</w:t>
      </w:r>
      <w:r w:rsidRPr="00C26AFA">
        <w:rPr>
          <w:rFonts w:ascii="Narkisim" w:hAnsi="Narkisim"/>
          <w:rtl/>
        </w:rPr>
        <w:t>' (ב"ב נד.) הביאו</w:t>
      </w:r>
      <w:r w:rsidRPr="00C26AFA">
        <w:rPr>
          <w:rStyle w:val="ac"/>
          <w:rFonts w:ascii="Narkisim" w:hAnsi="Narkisim"/>
          <w:rtl/>
        </w:rPr>
        <w:footnoteReference w:id="3222"/>
      </w:r>
      <w:r w:rsidRPr="00C26AFA">
        <w:rPr>
          <w:rFonts w:ascii="Narkisim" w:hAnsi="Narkisim"/>
          <w:rtl/>
        </w:rPr>
        <w:t xml:space="preserve"> עד"ז הא דאי' (ב"ק מט:) דהמחזיק בשטרות הגר אדעתא דארעא ל"ק את גוף השטר. </w:t>
      </w:r>
      <w:r w:rsidRPr="00C26AFA">
        <w:rPr>
          <w:rFonts w:ascii="Narkisim" w:hAnsi="Narkisim"/>
          <w:szCs w:val="20"/>
          <w:rtl/>
        </w:rPr>
        <w:t>ו</w:t>
      </w:r>
      <w:r w:rsidRPr="00C26AFA">
        <w:rPr>
          <w:rFonts w:ascii="Narkisim" w:hAnsi="Narkisim"/>
          <w:b/>
          <w:bCs/>
          <w:szCs w:val="20"/>
          <w:rtl/>
        </w:rPr>
        <w:t>תוס</w:t>
      </w:r>
      <w:r w:rsidRPr="00C26AFA">
        <w:rPr>
          <w:rFonts w:ascii="Narkisim" w:hAnsi="Narkisim"/>
          <w:szCs w:val="20"/>
          <w:rtl/>
        </w:rPr>
        <w:t>' הק' דנימא דידו של אדם קונה לו שלא מדעתו, וכמו חצירו</w:t>
      </w:r>
      <w:r w:rsidRPr="00C26AFA">
        <w:rPr>
          <w:rStyle w:val="ac"/>
          <w:rFonts w:ascii="Narkisim" w:hAnsi="Narkisim"/>
          <w:szCs w:val="20"/>
          <w:rtl/>
        </w:rPr>
        <w:footnoteReference w:id="3223"/>
      </w:r>
      <w:r w:rsidRPr="00C26AFA">
        <w:rPr>
          <w:rFonts w:ascii="Narkisim" w:hAnsi="Narkisim"/>
          <w:szCs w:val="20"/>
          <w:rtl/>
        </w:rPr>
        <w:t>. ותוס' תי' דהיכא דיודע שהדבר נמצא בחצירו ואין מתכווין לקנות ל"ק</w:t>
      </w:r>
      <w:r w:rsidRPr="00C26AFA">
        <w:rPr>
          <w:rStyle w:val="ac"/>
          <w:rFonts w:ascii="Narkisim" w:hAnsi="Narkisim"/>
          <w:szCs w:val="20"/>
          <w:rtl/>
        </w:rPr>
        <w:footnoteReference w:id="3224"/>
      </w:r>
      <w:r w:rsidRPr="00C26AFA">
        <w:rPr>
          <w:rFonts w:ascii="Narkisim" w:hAnsi="Narkisim"/>
          <w:rtl/>
        </w:rPr>
        <w:t>.</w:t>
      </w:r>
    </w:p>
    <w:p w14:paraId="3C31063B"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דנו האם כוונת התוס' באופן שהחפץ כולו בתוך ידו</w:t>
      </w:r>
      <w:r w:rsidRPr="00C26AFA">
        <w:rPr>
          <w:rStyle w:val="ac"/>
          <w:rFonts w:ascii="Narkisim" w:hAnsi="Narkisim"/>
          <w:rtl/>
        </w:rPr>
        <w:footnoteReference w:id="3225"/>
      </w:r>
      <w:r w:rsidRPr="00C26AFA">
        <w:rPr>
          <w:rFonts w:ascii="Narkisim" w:hAnsi="Narkisim"/>
          <w:rtl/>
        </w:rPr>
        <w:t>, ועי"ז ידו הוה כחצירו (וכמ"ש תוס' כתובות לא.) וחצירו קונה שלא מדעתו. או דקאי אף בקנין הגבהה ומשיכה, דנימא דהוה ע”י ידו, וקונה שלא מדעתו].</w:t>
      </w:r>
    </w:p>
    <w:p w14:paraId="3FC8EA96" w14:textId="77777777" w:rsidR="006074A5" w:rsidRPr="00C26AFA" w:rsidRDefault="006074A5" w:rsidP="006074A5">
      <w:pPr>
        <w:pStyle w:val="a7"/>
        <w:bidi/>
        <w:rPr>
          <w:rFonts w:ascii="Narkisim" w:hAnsi="Narkisim"/>
        </w:rPr>
      </w:pPr>
      <w:r w:rsidRPr="00C26AFA">
        <w:rPr>
          <w:rFonts w:ascii="Narkisim" w:hAnsi="Narkisim"/>
          <w:rtl/>
        </w:rPr>
        <w:lastRenderedPageBreak/>
        <w:t>אבל ה</w:t>
      </w:r>
      <w:r w:rsidRPr="00C26AFA">
        <w:rPr>
          <w:rFonts w:ascii="Narkisim" w:hAnsi="Narkisim"/>
          <w:b/>
          <w:bCs/>
          <w:rtl/>
        </w:rPr>
        <w:t>תו"י</w:t>
      </w:r>
      <w:r w:rsidRPr="00C26AFA">
        <w:rPr>
          <w:rFonts w:ascii="Narkisim" w:hAnsi="Narkisim"/>
          <w:rtl/>
        </w:rPr>
        <w:t xml:space="preserve"> כת' דבסוגיין איירי בקניני קרקע, אבל קנין מטלטלין אי"צ כוונה, דמטלטלין אין להם אחריות, ולא אלים חזקת בעלים עליהם. ומש"ה נקנין בקל</w:t>
      </w:r>
      <w:r w:rsidRPr="00C26AFA">
        <w:rPr>
          <w:rStyle w:val="ac"/>
          <w:rFonts w:ascii="Narkisim" w:hAnsi="Narkisim"/>
          <w:rtl/>
        </w:rPr>
        <w:footnoteReference w:id="3226"/>
      </w:r>
      <w:r w:rsidRPr="00C26AFA">
        <w:rPr>
          <w:rFonts w:ascii="Narkisim" w:hAnsi="Narkisim"/>
          <w:rtl/>
        </w:rPr>
        <w:t xml:space="preserve">. </w:t>
      </w:r>
      <w:r w:rsidRPr="00C26AFA">
        <w:rPr>
          <w:rFonts w:ascii="Narkisim" w:hAnsi="Narkisim"/>
          <w:szCs w:val="20"/>
          <w:rtl/>
        </w:rPr>
        <w:t>[ומשמע דהוה יסוד דגדרי קניני קרקע צריך קנין אלים, להוציא מרשות בעלים</w:t>
      </w:r>
      <w:r w:rsidRPr="00C26AFA">
        <w:rPr>
          <w:rStyle w:val="ac"/>
          <w:rFonts w:ascii="Narkisim" w:hAnsi="Narkisim"/>
          <w:szCs w:val="20"/>
          <w:rtl/>
        </w:rPr>
        <w:footnoteReference w:id="3227"/>
      </w:r>
      <w:r w:rsidRPr="00C26AFA">
        <w:rPr>
          <w:rFonts w:ascii="Narkisim" w:hAnsi="Narkisim"/>
          <w:rtl/>
        </w:rPr>
        <w:t>].</w:t>
      </w:r>
    </w:p>
    <w:p w14:paraId="19DC5E93" w14:textId="77777777" w:rsidR="006074A5" w:rsidRPr="00C26AFA" w:rsidRDefault="006074A5" w:rsidP="006074A5">
      <w:pPr>
        <w:bidi/>
        <w:rPr>
          <w:rFonts w:ascii="Narkisim" w:hAnsi="Narkisim" w:cs="Narkisim"/>
        </w:rPr>
      </w:pPr>
      <w:r w:rsidRPr="00C26AFA">
        <w:rPr>
          <w:rFonts w:ascii="Narkisim" w:hAnsi="Narkisim" w:cs="Narkisim"/>
          <w:u w:val="single"/>
          <w:rtl/>
        </w:rPr>
        <w:t>שם. בנכסי הגר</w:t>
      </w:r>
      <w:r w:rsidRPr="00C26AFA">
        <w:rPr>
          <w:rFonts w:ascii="Narkisim" w:hAnsi="Narkisim" w:cs="Narkisim"/>
          <w:rtl/>
        </w:rPr>
        <w:t>. וה</w:t>
      </w:r>
      <w:r w:rsidRPr="00C26AFA">
        <w:rPr>
          <w:rFonts w:ascii="Narkisim" w:hAnsi="Narkisim" w:cs="Narkisim"/>
          <w:b/>
          <w:bCs/>
          <w:rtl/>
        </w:rPr>
        <w:t>ריטב"א</w:t>
      </w:r>
      <w:r w:rsidRPr="00C26AFA">
        <w:rPr>
          <w:rFonts w:ascii="Narkisim" w:hAnsi="Narkisim" w:cs="Narkisim"/>
          <w:rtl/>
        </w:rPr>
        <w:t xml:space="preserve"> כת' דבדעת אחרת מקנה קנה אף אם לא נתכוון לזכות (</w:t>
      </w:r>
      <w:r w:rsidRPr="00C26AFA">
        <w:rPr>
          <w:rFonts w:ascii="Narkisim" w:hAnsi="Narkisim" w:cs="Narkisim"/>
          <w:szCs w:val="20"/>
          <w:rtl/>
        </w:rPr>
        <w:t>וכמו דקטן זוכה בדעת אחרת מקנה</w:t>
      </w:r>
      <w:r w:rsidRPr="00C26AFA">
        <w:rPr>
          <w:rFonts w:ascii="Narkisim" w:hAnsi="Narkisim" w:cs="Narkisim"/>
          <w:rtl/>
        </w:rPr>
        <w:t xml:space="preserve">) (וכ"ד הראב"ד). והריטב"א ביאר דביבמה בדידיה תליא רחמנא </w:t>
      </w:r>
      <w:r w:rsidRPr="00C26AFA">
        <w:rPr>
          <w:rFonts w:ascii="Narkisim" w:hAnsi="Narkisim" w:cs="Narkisim"/>
          <w:szCs w:val="20"/>
          <w:rtl/>
        </w:rPr>
        <w:t>(ולא נחשב דעת אחרת מקנה)</w:t>
      </w:r>
      <w:r w:rsidRPr="00C26AFA">
        <w:rPr>
          <w:rFonts w:ascii="Narkisim" w:hAnsi="Narkisim" w:cs="Narkisim"/>
          <w:rtl/>
        </w:rPr>
        <w:t>. אבל ה</w:t>
      </w:r>
      <w:r w:rsidRPr="00C26AFA">
        <w:rPr>
          <w:rFonts w:ascii="Narkisim" w:hAnsi="Narkisim" w:cs="Narkisim"/>
          <w:b/>
          <w:bCs/>
          <w:rtl/>
        </w:rPr>
        <w:t>רמ"ה</w:t>
      </w:r>
      <w:r w:rsidRPr="00C26AFA">
        <w:rPr>
          <w:rFonts w:ascii="Narkisim" w:hAnsi="Narkisim" w:cs="Narkisim"/>
          <w:rtl/>
        </w:rPr>
        <w:t xml:space="preserve"> </w:t>
      </w:r>
      <w:r w:rsidRPr="00C26AFA">
        <w:rPr>
          <w:rFonts w:ascii="Narkisim" w:hAnsi="Narkisim" w:cs="Narkisim"/>
          <w:szCs w:val="20"/>
          <w:rtl/>
        </w:rPr>
        <w:t>(ב"ב נג אות רכד)</w:t>
      </w:r>
      <w:r w:rsidRPr="00C26AFA">
        <w:rPr>
          <w:rFonts w:ascii="Narkisim" w:hAnsi="Narkisim" w:cs="Narkisim"/>
          <w:rtl/>
        </w:rPr>
        <w:t xml:space="preserve"> כת' דאף בנכסי חבירו ל"מ בלא כוונת קנין</w:t>
      </w:r>
      <w:r w:rsidRPr="00C26AFA">
        <w:rPr>
          <w:rStyle w:val="ac"/>
          <w:rFonts w:ascii="Narkisim" w:hAnsi="Narkisim" w:cs="Narkisim"/>
          <w:rtl/>
        </w:rPr>
        <w:footnoteReference w:id="3228"/>
      </w:r>
      <w:r w:rsidRPr="00C26AFA">
        <w:rPr>
          <w:rFonts w:ascii="Narkisim" w:hAnsi="Narkisim" w:cs="Narkisim"/>
          <w:rtl/>
        </w:rPr>
        <w:t>. והוכיח כן מהא דל"מ ביבמה, וקידושין לא הוה בע”כ.</w:t>
      </w:r>
    </w:p>
    <w:p w14:paraId="3624FE53"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רש"ש</w:t>
      </w:r>
      <w:r w:rsidRPr="00C26AFA">
        <w:rPr>
          <w:rFonts w:ascii="Narkisim" w:hAnsi="Narkisim"/>
          <w:rtl/>
        </w:rPr>
        <w:t xml:space="preserve"> דחה דבסוגיין אף היא נתכוונה לשם יבומי המת, ולכן אין כאן דעת מקנה.</w:t>
      </w:r>
    </w:p>
    <w:p w14:paraId="443D9696" w14:textId="77777777" w:rsidR="006074A5" w:rsidRPr="00C26AFA" w:rsidRDefault="006074A5" w:rsidP="006074A5">
      <w:pPr>
        <w:bidi/>
        <w:rPr>
          <w:rFonts w:ascii="Narkisim" w:hAnsi="Narkisim" w:cs="Narkisim"/>
        </w:rPr>
      </w:pPr>
      <w:r w:rsidRPr="00C26AFA">
        <w:rPr>
          <w:rFonts w:ascii="Narkisim" w:hAnsi="Narkisim" w:cs="Narkisim"/>
          <w:u w:val="single"/>
          <w:rtl/>
        </w:rPr>
        <w:t>א"ל אביי מי דמי וכו' הכא קא מכוון למיקני.</w:t>
      </w:r>
      <w:r w:rsidRPr="00C26AFA">
        <w:rPr>
          <w:rFonts w:ascii="Narkisim" w:hAnsi="Narkisim" w:cs="Narkisim"/>
          <w:rtl/>
        </w:rPr>
        <w:t xml:space="preserve"> ה</w:t>
      </w:r>
      <w:r w:rsidRPr="00C26AFA">
        <w:rPr>
          <w:rFonts w:ascii="Narkisim" w:hAnsi="Narkisim" w:cs="Narkisim"/>
          <w:b/>
          <w:bCs/>
          <w:rtl/>
        </w:rPr>
        <w:t>רמב"ן</w:t>
      </w:r>
      <w:r w:rsidRPr="00C26AFA">
        <w:rPr>
          <w:rFonts w:ascii="Narkisim" w:hAnsi="Narkisim" w:cs="Narkisim"/>
          <w:rtl/>
        </w:rPr>
        <w:t xml:space="preserve"> ביאר דודאי ידע דכיון דחלץ מותרת לשוק, אלא דטועה וסבור לחזור ליבמתו, ולא ידע דיש איסור לא יבנה. ומ"מ ידע דבקידושין אלו קנאה, ומש"ה נחשב כסבור של גר זה ונמצא של גר אחר דקני.</w:t>
      </w:r>
    </w:p>
    <w:p w14:paraId="09C6C991" w14:textId="77777777" w:rsidR="006074A5" w:rsidRPr="00C26AFA" w:rsidRDefault="006074A5" w:rsidP="006074A5">
      <w:pPr>
        <w:bidi/>
        <w:rPr>
          <w:rFonts w:ascii="Narkisim" w:hAnsi="Narkisim" w:cs="Narkisim"/>
        </w:rPr>
      </w:pPr>
      <w:r w:rsidRPr="00C26AFA">
        <w:rPr>
          <w:rFonts w:ascii="Narkisim" w:hAnsi="Narkisim" w:cs="Narkisim"/>
          <w:u w:val="single"/>
          <w:rtl/>
        </w:rPr>
        <w:t>הא לא דמי אלא לעודר בנכסי גר זה וכו'.</w:t>
      </w:r>
      <w:r w:rsidRPr="00C26AFA">
        <w:rPr>
          <w:rFonts w:ascii="Narkisim" w:hAnsi="Narkisim" w:cs="Narkisim"/>
          <w:rtl/>
        </w:rPr>
        <w:t xml:space="preserve"> </w:t>
      </w:r>
      <w:r w:rsidRPr="00C26AFA">
        <w:rPr>
          <w:rFonts w:ascii="Narkisim" w:hAnsi="Narkisim" w:cs="Narkisim"/>
          <w:sz w:val="20"/>
          <w:szCs w:val="20"/>
          <w:rtl/>
        </w:rPr>
        <w:t>[וצ"ב דבזוכה מהפקר מה לי לקנות מה שהיה של גר זה או של אחר, הרי הכל הפקר. ומאי נפק"מ איזה גר היה בעלים קודם, דהוה רק סיבה למה הוה הפקר</w:t>
      </w:r>
      <w:r w:rsidRPr="00C26AFA">
        <w:rPr>
          <w:rStyle w:val="ac"/>
          <w:rFonts w:ascii="Narkisim" w:hAnsi="Narkisim" w:cs="Narkisim"/>
          <w:sz w:val="20"/>
          <w:szCs w:val="20"/>
          <w:rtl/>
        </w:rPr>
        <w:footnoteReference w:id="3229"/>
      </w:r>
      <w:r w:rsidRPr="00C26AFA">
        <w:rPr>
          <w:rFonts w:ascii="Narkisim" w:hAnsi="Narkisim" w:cs="Narkisim"/>
          <w:sz w:val="20"/>
          <w:szCs w:val="20"/>
          <w:rtl/>
        </w:rPr>
        <w:t>].</w:t>
      </w:r>
      <w:r w:rsidRPr="00C26AFA">
        <w:rPr>
          <w:rFonts w:ascii="Narkisim" w:hAnsi="Narkisim" w:cs="Narkisim"/>
          <w:rtl/>
        </w:rPr>
        <w:t xml:space="preserve"> וה</w:t>
      </w:r>
      <w:r w:rsidRPr="00C26AFA">
        <w:rPr>
          <w:rFonts w:ascii="Narkisim" w:hAnsi="Narkisim" w:cs="Narkisim"/>
          <w:b/>
          <w:bCs/>
          <w:rtl/>
        </w:rPr>
        <w:t>או"ש</w:t>
      </w:r>
      <w:r w:rsidRPr="00C26AFA">
        <w:rPr>
          <w:rFonts w:ascii="Narkisim" w:hAnsi="Narkisim" w:cs="Narkisim"/>
          <w:szCs w:val="20"/>
          <w:rtl/>
        </w:rPr>
        <w:t xml:space="preserve"> (זכיה ב יג)</w:t>
      </w:r>
      <w:r w:rsidRPr="00C26AFA">
        <w:rPr>
          <w:rFonts w:ascii="Narkisim" w:hAnsi="Narkisim" w:cs="Narkisim"/>
          <w:rtl/>
        </w:rPr>
        <w:t xml:space="preserve"> נסתפק האם כוונת אביי דכיון דנתכוון לקנות מהני, ואף שנתכוון לקנות מרשות אחר </w:t>
      </w:r>
      <w:r w:rsidRPr="00C26AFA">
        <w:rPr>
          <w:rFonts w:ascii="Narkisim" w:hAnsi="Narkisim" w:cs="Narkisim"/>
          <w:sz w:val="20"/>
          <w:szCs w:val="20"/>
          <w:rtl/>
        </w:rPr>
        <w:t>[וה"ה במכר, היכא דקסבר של ראובן ונמצא של שמעון]</w:t>
      </w:r>
      <w:r w:rsidRPr="00C26AFA">
        <w:rPr>
          <w:rFonts w:ascii="Narkisim" w:hAnsi="Narkisim" w:cs="Narkisim"/>
          <w:rtl/>
        </w:rPr>
        <w:t>. או דוקא בהפקר, וכלשון ה</w:t>
      </w:r>
      <w:r w:rsidRPr="00C26AFA">
        <w:rPr>
          <w:rFonts w:ascii="Narkisim" w:hAnsi="Narkisim" w:cs="Narkisim"/>
          <w:b/>
          <w:bCs/>
          <w:rtl/>
        </w:rPr>
        <w:t>רמב"ם</w:t>
      </w:r>
      <w:r w:rsidRPr="00C26AFA">
        <w:rPr>
          <w:rFonts w:ascii="Narkisim" w:hAnsi="Narkisim" w:cs="Narkisim"/>
          <w:rtl/>
        </w:rPr>
        <w:t xml:space="preserve"> (שם) הואיל ונתכוון לזכות מהפקר.</w:t>
      </w:r>
    </w:p>
    <w:p w14:paraId="2A2F87AF"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או"ש</w:t>
      </w:r>
      <w:r w:rsidRPr="00C26AFA">
        <w:rPr>
          <w:rFonts w:ascii="Narkisim" w:hAnsi="Narkisim"/>
          <w:rtl/>
        </w:rPr>
        <w:t xml:space="preserve"> ביאר עפ"ז דרב יוסף ביאר טעם רבי, ורבי לטעמיה (יט:) דמאמר מהני בע"כ, והוה כמו נתכוון לזכות מגר ונמצא של חבירו [דאחרי חליצה בעי דעת האשה]. אבל לרבנן מאמר בעי דעת האשה, והוה נתכוון לזכות משל חבירו, ולכן קני. ובזה השיג אביי דאף לרבי מהני דכלפי קידושין נחשב הפקר, דהאשה אינה מקנה, וכמ"ש ה</w:t>
      </w:r>
      <w:r w:rsidRPr="00C26AFA">
        <w:rPr>
          <w:rFonts w:ascii="Narkisim" w:hAnsi="Narkisim"/>
          <w:b/>
          <w:bCs/>
          <w:rtl/>
        </w:rPr>
        <w:t>ר"ן</w:t>
      </w:r>
      <w:r w:rsidRPr="00C26AFA">
        <w:rPr>
          <w:rFonts w:ascii="Narkisim" w:hAnsi="Narkisim"/>
          <w:rtl/>
        </w:rPr>
        <w:t xml:space="preserve"> (נדרים ל.) דאינה מקנה את עצמה, אלא מסלקת עצמה והוה כזוכה מההפקר.</w:t>
      </w:r>
    </w:p>
    <w:p w14:paraId="7C750D67" w14:textId="77777777" w:rsidR="006074A5" w:rsidRPr="00C26AFA" w:rsidRDefault="006074A5" w:rsidP="006074A5">
      <w:pPr>
        <w:bidi/>
        <w:rPr>
          <w:rFonts w:ascii="Narkisim" w:hAnsi="Narkisim" w:cs="Narkisim"/>
        </w:rPr>
      </w:pPr>
      <w:r w:rsidRPr="00C26AFA">
        <w:rPr>
          <w:rFonts w:ascii="Narkisim" w:hAnsi="Narkisim" w:cs="Narkisim"/>
          <w:u w:val="single"/>
          <w:rtl/>
        </w:rPr>
        <w:t>אלא אמר אביי הב"ע דאמר התקדשי לי במאמר יבמין.</w:t>
      </w:r>
      <w:r w:rsidRPr="00C26AFA">
        <w:rPr>
          <w:rFonts w:ascii="Narkisim" w:hAnsi="Narkisim" w:cs="Narkisim"/>
          <w:rtl/>
        </w:rPr>
        <w:t xml:space="preserve"> ב</w:t>
      </w:r>
      <w:r w:rsidRPr="00C26AFA">
        <w:rPr>
          <w:rFonts w:ascii="Narkisim" w:hAnsi="Narkisim" w:cs="Narkisim"/>
          <w:b/>
          <w:bCs/>
          <w:rtl/>
        </w:rPr>
        <w:t xml:space="preserve">תוס' חד מקמאי </w:t>
      </w:r>
      <w:r w:rsidRPr="00C26AFA">
        <w:rPr>
          <w:rFonts w:ascii="Narkisim" w:hAnsi="Narkisim" w:cs="Narkisim"/>
          <w:rtl/>
        </w:rPr>
        <w:t>ביאר דלס”ד איירי שאמר לשום יבמות. א"נ דמעיקרא ס”ד דקידש סתם, וסתמא לשם יבמות. והביא בשם ה</w:t>
      </w:r>
      <w:r w:rsidRPr="00C26AFA">
        <w:rPr>
          <w:rFonts w:ascii="Narkisim" w:hAnsi="Narkisim" w:cs="Narkisim"/>
          <w:b/>
          <w:bCs/>
          <w:rtl/>
        </w:rPr>
        <w:t>ראב”ד</w:t>
      </w:r>
      <w:r w:rsidRPr="00C26AFA">
        <w:rPr>
          <w:rFonts w:ascii="Narkisim" w:hAnsi="Narkisim" w:cs="Narkisim"/>
          <w:rtl/>
        </w:rPr>
        <w:t xml:space="preserve"> דאיירי דאמר 'פלונית יבמתי', אבל לא תלה במאמר.</w:t>
      </w:r>
    </w:p>
    <w:p w14:paraId="3190178A" w14:textId="77777777" w:rsidR="006074A5" w:rsidRPr="00C26AFA" w:rsidRDefault="006074A5" w:rsidP="006074A5">
      <w:pPr>
        <w:bidi/>
        <w:rPr>
          <w:rFonts w:ascii="Narkisim" w:hAnsi="Narkisim" w:cs="Narkisim"/>
        </w:rPr>
      </w:pPr>
      <w:r w:rsidRPr="00C26AFA">
        <w:rPr>
          <w:rFonts w:ascii="Narkisim" w:hAnsi="Narkisim" w:cs="Narkisim"/>
          <w:u w:val="single"/>
          <w:rtl/>
        </w:rPr>
        <w:t>מאמר עילוי זיקה.</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דלא תקנו מאמר אלא היכא דקיימא זיקה, ואתא מאמר ונוסף על הזיקה. </w:t>
      </w:r>
      <w:r w:rsidRPr="00C26AFA">
        <w:rPr>
          <w:rFonts w:ascii="Narkisim" w:hAnsi="Narkisim" w:cs="Narkisim"/>
          <w:szCs w:val="20"/>
          <w:rtl/>
        </w:rPr>
        <w:t>[ולאחר חליצה כבר אינה זקוקה לו]</w:t>
      </w:r>
      <w:r w:rsidRPr="00C26AFA">
        <w:rPr>
          <w:rFonts w:ascii="Narkisim" w:hAnsi="Narkisim" w:cs="Narkisim"/>
          <w:rtl/>
        </w:rPr>
        <w:t>.</w:t>
      </w:r>
    </w:p>
    <w:p w14:paraId="7FE3CAFE" w14:textId="77777777" w:rsidR="006074A5" w:rsidRPr="00C26AFA" w:rsidRDefault="006074A5" w:rsidP="006074A5">
      <w:pPr>
        <w:pStyle w:val="a7"/>
        <w:bidi/>
        <w:rPr>
          <w:rFonts w:ascii="Narkisim" w:hAnsi="Narkisim"/>
        </w:rPr>
      </w:pPr>
      <w:r w:rsidRPr="00C26AFA">
        <w:rPr>
          <w:rFonts w:ascii="Narkisim" w:hAnsi="Narkisim"/>
          <w:rtl/>
        </w:rPr>
        <w:t>וב</w:t>
      </w:r>
      <w:r w:rsidRPr="00C26AFA">
        <w:rPr>
          <w:rFonts w:ascii="Narkisim" w:hAnsi="Narkisim"/>
          <w:b/>
          <w:bCs/>
          <w:rtl/>
        </w:rPr>
        <w:t>תוס' חד מקמאי</w:t>
      </w:r>
      <w:r w:rsidRPr="00C26AFA">
        <w:rPr>
          <w:rFonts w:ascii="Narkisim" w:hAnsi="Narkisim"/>
          <w:rtl/>
        </w:rPr>
        <w:t xml:space="preserve"> כת' דקי"ל כרבא </w:t>
      </w:r>
      <w:r w:rsidRPr="00C26AFA">
        <w:rPr>
          <w:rFonts w:ascii="Narkisim" w:hAnsi="Narkisim"/>
          <w:sz w:val="20"/>
          <w:szCs w:val="20"/>
          <w:rtl/>
        </w:rPr>
        <w:t>(לעיל גבי נתן גט למאמרו)</w:t>
      </w:r>
      <w:r w:rsidRPr="00C26AFA">
        <w:rPr>
          <w:rFonts w:ascii="Narkisim" w:hAnsi="Narkisim"/>
          <w:rtl/>
        </w:rPr>
        <w:t xml:space="preserve"> דהאי לחודיה קאי, א"כ קי"ל כרבנן דהאי לחודיה קאי.</w:t>
      </w:r>
    </w:p>
    <w:p w14:paraId="60EF6583" w14:textId="77777777" w:rsidR="006074A5" w:rsidRPr="00C26AFA" w:rsidRDefault="006074A5" w:rsidP="006074A5">
      <w:pPr>
        <w:bidi/>
        <w:rPr>
          <w:rFonts w:ascii="Narkisim" w:hAnsi="Narkisim" w:cs="Narkisim"/>
        </w:rPr>
      </w:pPr>
      <w:r w:rsidRPr="00C26AFA">
        <w:rPr>
          <w:rFonts w:ascii="Narkisim" w:hAnsi="Narkisim" w:cs="Narkisim"/>
          <w:u w:val="single"/>
          <w:rtl/>
        </w:rPr>
        <w:t>ורבנן סברי האי לחודיה קאי וכו' השתא נמי מהני.</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הילכך השתא כמעיקרא וכו'. משמע ברש"י דאף אחר חליצה מהני מאמר מדרבנן</w:t>
      </w:r>
      <w:r w:rsidRPr="00C26AFA">
        <w:rPr>
          <w:rStyle w:val="ac"/>
          <w:rFonts w:ascii="Narkisim" w:hAnsi="Narkisim" w:cs="Narkisim"/>
          <w:rtl/>
        </w:rPr>
        <w:footnoteReference w:id="3230"/>
      </w:r>
      <w:r w:rsidRPr="00C26AFA">
        <w:rPr>
          <w:rFonts w:ascii="Narkisim" w:hAnsi="Narkisim" w:cs="Narkisim"/>
          <w:rtl/>
        </w:rPr>
        <w:t>. וכ"כ ה</w:t>
      </w:r>
      <w:r w:rsidRPr="00C26AFA">
        <w:rPr>
          <w:rFonts w:ascii="Narkisim" w:hAnsi="Narkisim" w:cs="Narkisim"/>
          <w:b/>
          <w:bCs/>
          <w:rtl/>
        </w:rPr>
        <w:t>מלחמות</w:t>
      </w:r>
      <w:r w:rsidRPr="00C26AFA">
        <w:rPr>
          <w:rFonts w:ascii="Narkisim" w:hAnsi="Narkisim" w:cs="Narkisim"/>
          <w:rtl/>
        </w:rPr>
        <w:t xml:space="preserve"> (בסו"ד) דמאמר תקינו רבנן ביבמה בין לבתר חליצה, גזרינן משום קידושין. וה</w:t>
      </w:r>
      <w:r w:rsidRPr="00C26AFA">
        <w:rPr>
          <w:rFonts w:ascii="Narkisim" w:hAnsi="Narkisim" w:cs="Narkisim"/>
          <w:b/>
          <w:bCs/>
          <w:rtl/>
        </w:rPr>
        <w:t>ריטב"א</w:t>
      </w:r>
      <w:r w:rsidRPr="00C26AFA">
        <w:rPr>
          <w:rFonts w:ascii="Narkisim" w:hAnsi="Narkisim" w:cs="Narkisim"/>
          <w:rtl/>
        </w:rPr>
        <w:t xml:space="preserve"> כתב דכל אשה שראוייה להתקדש מן התורה, אם פירש שרוצה לקדש לשם מאמר חיילי בה קידושי מאמר דרבנן, תהא מקודשת עכ"פ מדרבנן וכעין קידושי יבמין דרבנן (ואף שאינה יבמה כלל). וכ"כ ה</w:t>
      </w:r>
      <w:r w:rsidRPr="00C26AFA">
        <w:rPr>
          <w:rFonts w:ascii="Narkisim" w:hAnsi="Narkisim" w:cs="Narkisim"/>
          <w:b/>
          <w:bCs/>
          <w:rtl/>
        </w:rPr>
        <w:t>בי"ש</w:t>
      </w:r>
      <w:r w:rsidRPr="00C26AFA">
        <w:rPr>
          <w:rFonts w:ascii="Narkisim" w:hAnsi="Narkisim" w:cs="Narkisim"/>
          <w:rtl/>
        </w:rPr>
        <w:t xml:space="preserve"> (קע ט) דהוה דרבנן.</w:t>
      </w:r>
    </w:p>
    <w:p w14:paraId="5B163A84" w14:textId="77777777" w:rsidR="006074A5" w:rsidRPr="00C26AFA" w:rsidRDefault="006074A5" w:rsidP="006074A5">
      <w:pPr>
        <w:pStyle w:val="a7"/>
        <w:bidi/>
        <w:rPr>
          <w:rFonts w:ascii="Narkisim" w:hAnsi="Narkisim"/>
        </w:rPr>
      </w:pPr>
      <w:r w:rsidRPr="00C26AFA">
        <w:rPr>
          <w:rFonts w:ascii="Narkisim" w:hAnsi="Narkisim"/>
          <w:rtl/>
        </w:rPr>
        <w:t>אבל ה</w:t>
      </w:r>
      <w:r w:rsidRPr="00C26AFA">
        <w:rPr>
          <w:rFonts w:ascii="Narkisim" w:hAnsi="Narkisim"/>
          <w:b/>
          <w:bCs/>
          <w:rtl/>
        </w:rPr>
        <w:t>חזו"א</w:t>
      </w:r>
      <w:r w:rsidRPr="00C26AFA">
        <w:rPr>
          <w:rFonts w:ascii="Narkisim" w:hAnsi="Narkisim"/>
          <w:rtl/>
        </w:rPr>
        <w:t xml:space="preserve"> כת' דסתימת הפוסקים דהוה קידושין דאורייתא לכל תי' הגמ'. וביאר דכיון דלא התנה מפורש שלא יהא לשם קידושי אישות, חל קידושי מאמר.</w:t>
      </w:r>
      <w:r w:rsidRPr="00C26AFA">
        <w:rPr>
          <w:rFonts w:ascii="Narkisim" w:hAnsi="Narkisim"/>
          <w:sz w:val="20"/>
          <w:szCs w:val="20"/>
          <w:rtl/>
        </w:rPr>
        <w:t xml:space="preserve"> [וכמו ללישנא דעודר בנכסי הגר].</w:t>
      </w:r>
    </w:p>
    <w:p w14:paraId="7ECFB151" w14:textId="77777777" w:rsidR="006074A5" w:rsidRPr="00C26AFA" w:rsidRDefault="006074A5" w:rsidP="006074A5">
      <w:pPr>
        <w:bidi/>
        <w:rPr>
          <w:rFonts w:ascii="Narkisim" w:hAnsi="Narkisim" w:cs="Narkisim"/>
        </w:rPr>
      </w:pPr>
      <w:r w:rsidRPr="00C26AFA">
        <w:rPr>
          <w:rFonts w:ascii="Narkisim" w:hAnsi="Narkisim" w:cs="Narkisim"/>
          <w:u w:val="single"/>
          <w:rtl/>
        </w:rPr>
        <w:t>רבא אמר וכו' בזיקת יבמין, רבי סבר יש זיקה וכו'.</w:t>
      </w:r>
      <w:r w:rsidRPr="00C26AFA">
        <w:rPr>
          <w:rFonts w:ascii="Narkisim" w:hAnsi="Narkisim" w:cs="Narkisim"/>
          <w:rtl/>
        </w:rPr>
        <w:t xml:space="preserve"> פ</w:t>
      </w:r>
      <w:r w:rsidRPr="00C26AFA">
        <w:rPr>
          <w:rFonts w:ascii="Narkisim" w:hAnsi="Narkisim" w:cs="Narkisim"/>
          <w:b/>
          <w:bCs/>
          <w:rtl/>
        </w:rPr>
        <w:t>רש"י</w:t>
      </w:r>
      <w:r w:rsidRPr="00C26AFA">
        <w:rPr>
          <w:rFonts w:ascii="Narkisim" w:hAnsi="Narkisim" w:cs="Narkisim"/>
          <w:rtl/>
        </w:rPr>
        <w:t xml:space="preserve"> דלמ"ד יש זיקה מהני לשון התקדשי בזיקת יבמין, משום שהמאמר מוסיף על הזיקה. ואילו רבנן ס"ל דאין כח לזיקה. וע"כ לשון בזיקת יבמין לא תלי בזיקה. ו</w:t>
      </w:r>
      <w:r w:rsidRPr="00C26AFA">
        <w:rPr>
          <w:rFonts w:ascii="Narkisim" w:hAnsi="Narkisim" w:cs="Narkisim"/>
          <w:b/>
          <w:bCs/>
          <w:rtl/>
        </w:rPr>
        <w:t>תוס</w:t>
      </w:r>
      <w:r w:rsidRPr="00C26AFA">
        <w:rPr>
          <w:rFonts w:ascii="Narkisim" w:hAnsi="Narkisim" w:cs="Narkisim"/>
          <w:rtl/>
        </w:rPr>
        <w:t xml:space="preserve">' פי' דלמ"ד אין זיקה מתפרש הלשון מה שהיא </w:t>
      </w:r>
      <w:r w:rsidRPr="00C26AFA">
        <w:rPr>
          <w:rFonts w:ascii="Narkisim" w:hAnsi="Narkisim" w:cs="Narkisim"/>
          <w:rtl/>
        </w:rPr>
        <w:lastRenderedPageBreak/>
        <w:t>זקוקה</w:t>
      </w:r>
      <w:r w:rsidRPr="00C26AFA">
        <w:rPr>
          <w:rStyle w:val="ac"/>
          <w:rFonts w:ascii="Narkisim" w:hAnsi="Narkisim" w:cs="Narkisim"/>
          <w:rtl/>
        </w:rPr>
        <w:footnoteReference w:id="3231"/>
      </w:r>
      <w:r w:rsidRPr="00C26AFA">
        <w:rPr>
          <w:rFonts w:ascii="Narkisim" w:hAnsi="Narkisim" w:cs="Narkisim"/>
          <w:rtl/>
        </w:rPr>
        <w:t xml:space="preserve"> </w:t>
      </w:r>
      <w:r w:rsidRPr="00C26AFA">
        <w:rPr>
          <w:rFonts w:ascii="Narkisim" w:hAnsi="Narkisim" w:cs="Narkisim"/>
          <w:sz w:val="20"/>
          <w:szCs w:val="20"/>
          <w:rtl/>
        </w:rPr>
        <w:t>[ואף דלא ס"ל דין 'זיקה' להחשב אישות ליבם].</w:t>
      </w:r>
    </w:p>
    <w:p w14:paraId="00D268B1" w14:textId="77777777" w:rsidR="006074A5" w:rsidRPr="00C26AFA" w:rsidRDefault="006074A5" w:rsidP="006074A5">
      <w:pPr>
        <w:pStyle w:val="a7"/>
        <w:bidi/>
        <w:rPr>
          <w:rFonts w:ascii="Narkisim" w:hAnsi="Narkisim"/>
        </w:rPr>
      </w:pPr>
      <w:r w:rsidRPr="00C26AFA">
        <w:rPr>
          <w:rFonts w:ascii="Narkisim" w:hAnsi="Narkisim"/>
          <w:rtl/>
        </w:rPr>
        <w:t>בפשוטו משמע דלרבא תליא בדין יש זיקה לענין איסור קרובות (לעיל יז: וכ"מ)</w:t>
      </w:r>
      <w:r w:rsidRPr="00C26AFA">
        <w:rPr>
          <w:rStyle w:val="ac"/>
          <w:rFonts w:ascii="Narkisim" w:hAnsi="Narkisim"/>
          <w:rtl/>
        </w:rPr>
        <w:footnoteReference w:id="3232"/>
      </w:r>
      <w:r w:rsidRPr="00C26AFA">
        <w:rPr>
          <w:rFonts w:ascii="Narkisim" w:hAnsi="Narkisim"/>
          <w:rtl/>
        </w:rPr>
        <w:t>, וכ”מ ב</w:t>
      </w:r>
      <w:r w:rsidRPr="00C26AFA">
        <w:rPr>
          <w:rFonts w:ascii="Narkisim" w:hAnsi="Narkisim"/>
          <w:b/>
          <w:bCs/>
          <w:rtl/>
        </w:rPr>
        <w:t>תוס</w:t>
      </w:r>
      <w:r w:rsidRPr="00C26AFA">
        <w:rPr>
          <w:rFonts w:ascii="Narkisim" w:hAnsi="Narkisim"/>
          <w:rtl/>
        </w:rPr>
        <w:t>'. וכ"כ ה</w:t>
      </w:r>
      <w:r w:rsidRPr="00C26AFA">
        <w:rPr>
          <w:rFonts w:ascii="Narkisim" w:hAnsi="Narkisim"/>
          <w:b/>
          <w:bCs/>
          <w:rtl/>
        </w:rPr>
        <w:t>ראב"ד</w:t>
      </w:r>
      <w:r w:rsidRPr="00C26AFA">
        <w:rPr>
          <w:rFonts w:ascii="Narkisim" w:hAnsi="Narkisim"/>
          <w:rtl/>
        </w:rPr>
        <w:t xml:space="preserve"> </w:t>
      </w:r>
      <w:r w:rsidRPr="00C26AFA">
        <w:rPr>
          <w:rFonts w:ascii="Narkisim" w:hAnsi="Narkisim"/>
          <w:sz w:val="20"/>
          <w:szCs w:val="20"/>
          <w:rtl/>
        </w:rPr>
        <w:t>(על הרי"ף).</w:t>
      </w:r>
    </w:p>
    <w:p w14:paraId="2306EFF2" w14:textId="77777777" w:rsidR="006074A5" w:rsidRPr="00C26AFA" w:rsidRDefault="006074A5" w:rsidP="006074A5">
      <w:pPr>
        <w:pStyle w:val="a7"/>
        <w:bidi/>
        <w:rPr>
          <w:rFonts w:ascii="Narkisim" w:hAnsi="Narkisim"/>
        </w:rPr>
      </w:pPr>
      <w:r w:rsidRPr="00C26AFA">
        <w:rPr>
          <w:rFonts w:ascii="Narkisim" w:hAnsi="Narkisim"/>
          <w:rtl/>
        </w:rPr>
        <w:t>אבל ה</w:t>
      </w:r>
      <w:r w:rsidRPr="00C26AFA">
        <w:rPr>
          <w:rFonts w:ascii="Narkisim" w:hAnsi="Narkisim"/>
          <w:b/>
          <w:bCs/>
          <w:rtl/>
        </w:rPr>
        <w:t>רא"ש</w:t>
      </w:r>
      <w:r w:rsidRPr="00C26AFA">
        <w:rPr>
          <w:rFonts w:ascii="Narkisim" w:hAnsi="Narkisim"/>
          <w:rtl/>
        </w:rPr>
        <w:t xml:space="preserve"> כת' (בדעת הרי"ף) דלא קאי אפלוגתא דיש זיקה (דלעיל שם), אלא דרבנן ס"ל דתקנו מאמר ביבמה, ואפי' לולי דין זיקה הא תקינו רבנן קידושין ביבמה שזקוקה ועומדת. וכמו דמהני מעיקרא אע"ג דהזיקה אינה גורמת לו לחול.</w:t>
      </w:r>
    </w:p>
    <w:p w14:paraId="5C2FDFBF" w14:textId="77777777" w:rsidR="006074A5" w:rsidRPr="00C26AFA" w:rsidRDefault="006074A5" w:rsidP="006074A5">
      <w:pPr>
        <w:pStyle w:val="3"/>
        <w:bidi/>
        <w:rPr>
          <w:rFonts w:ascii="Narkisim" w:hAnsi="Narkisim"/>
        </w:rPr>
      </w:pPr>
      <w:r w:rsidRPr="00C26AFA">
        <w:rPr>
          <w:rFonts w:ascii="Narkisim" w:hAnsi="Narkisim"/>
          <w:rtl/>
        </w:rPr>
        <w:t>דף נג.</w:t>
      </w:r>
    </w:p>
    <w:p w14:paraId="33A776A5" w14:textId="77777777" w:rsidR="006074A5" w:rsidRPr="00C26AFA" w:rsidRDefault="006074A5" w:rsidP="006074A5">
      <w:pPr>
        <w:bidi/>
        <w:rPr>
          <w:rFonts w:ascii="Narkisim" w:hAnsi="Narkisim" w:cs="Narkisim"/>
        </w:rPr>
      </w:pPr>
      <w:r w:rsidRPr="00C26AFA">
        <w:rPr>
          <w:rFonts w:ascii="Narkisim" w:hAnsi="Narkisim" w:cs="Narkisim"/>
          <w:u w:val="single"/>
          <w:rtl/>
        </w:rPr>
        <w:t>רב שרביא אמר וכו' והכא בחליצה פסולה וכו' מר סבר ח"פ פוטרת וכו'.</w:t>
      </w:r>
      <w:r w:rsidRPr="00C26AFA">
        <w:rPr>
          <w:rFonts w:ascii="Narkisim" w:hAnsi="Narkisim" w:cs="Narkisim"/>
          <w:rtl/>
        </w:rPr>
        <w:t xml:space="preserve"> ה</w:t>
      </w:r>
      <w:r w:rsidRPr="00C26AFA">
        <w:rPr>
          <w:rFonts w:ascii="Narkisim" w:hAnsi="Narkisim" w:cs="Narkisim"/>
          <w:b/>
          <w:bCs/>
          <w:rtl/>
        </w:rPr>
        <w:t xml:space="preserve">רי"ף </w:t>
      </w:r>
      <w:r w:rsidRPr="00C26AFA">
        <w:rPr>
          <w:rFonts w:ascii="Narkisim" w:hAnsi="Narkisim" w:cs="Narkisim"/>
          <w:rtl/>
        </w:rPr>
        <w:t xml:space="preserve">מביא בשם </w:t>
      </w:r>
      <w:r w:rsidRPr="00C26AFA">
        <w:rPr>
          <w:rFonts w:ascii="Narkisim" w:hAnsi="Narkisim" w:cs="Narkisim"/>
          <w:b/>
          <w:bCs/>
          <w:rtl/>
        </w:rPr>
        <w:t>רבוותא</w:t>
      </w:r>
      <w:r w:rsidRPr="00C26AFA">
        <w:rPr>
          <w:rFonts w:ascii="Narkisim" w:hAnsi="Narkisim" w:cs="Narkisim"/>
          <w:rtl/>
        </w:rPr>
        <w:t xml:space="preserve"> להקשות דקי"ל דחליצה פסולה פוטרת</w:t>
      </w:r>
      <w:r w:rsidRPr="00C26AFA">
        <w:rPr>
          <w:rStyle w:val="ac"/>
          <w:rFonts w:ascii="Narkisim" w:hAnsi="Narkisim" w:cs="Narkisim"/>
          <w:rtl/>
        </w:rPr>
        <w:footnoteReference w:id="3233"/>
      </w:r>
      <w:r w:rsidRPr="00C26AFA">
        <w:rPr>
          <w:rFonts w:ascii="Narkisim" w:hAnsi="Narkisim" w:cs="Narkisim"/>
          <w:rtl/>
        </w:rPr>
        <w:t>. ועוד אי לא מיפטר בחליצה במה ליפטר.</w:t>
      </w:r>
    </w:p>
    <w:p w14:paraId="3A7F686A"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רי"ף</w:t>
      </w:r>
      <w:r w:rsidRPr="00C26AFA">
        <w:rPr>
          <w:rFonts w:ascii="Narkisim" w:hAnsi="Narkisim"/>
          <w:rtl/>
        </w:rPr>
        <w:t xml:space="preserve"> פי' דכוונת הגמ' דצריכה לחזור על כל האחין, ולכן אם חזר וקידשה במאמר צריכה גט, דעדיין אגידא באחים</w:t>
      </w:r>
      <w:r w:rsidRPr="00C26AFA">
        <w:rPr>
          <w:rStyle w:val="ac"/>
          <w:rFonts w:ascii="Narkisim" w:hAnsi="Narkisim"/>
          <w:rtl/>
        </w:rPr>
        <w:footnoteReference w:id="3234"/>
      </w:r>
      <w:r w:rsidRPr="00C26AFA">
        <w:rPr>
          <w:rFonts w:ascii="Narkisim" w:hAnsi="Narkisim"/>
          <w:rtl/>
        </w:rPr>
        <w:t>. וה</w:t>
      </w:r>
      <w:r w:rsidRPr="00C26AFA">
        <w:rPr>
          <w:rFonts w:ascii="Narkisim" w:hAnsi="Narkisim"/>
          <w:b/>
          <w:bCs/>
          <w:rtl/>
        </w:rPr>
        <w:t>רמב"ן</w:t>
      </w:r>
      <w:r w:rsidRPr="00C26AFA">
        <w:rPr>
          <w:rFonts w:ascii="Narkisim" w:hAnsi="Narkisim"/>
          <w:rtl/>
        </w:rPr>
        <w:t xml:space="preserve"> פי' דאף שהיא פטורה, כיון דצרתה זקוקה אישתייר זיקה בהאי ביתא. ותפס מאמר אף בה.</w:t>
      </w:r>
    </w:p>
    <w:p w14:paraId="44D5877E" w14:textId="77777777" w:rsidR="006074A5" w:rsidRPr="00C26AFA" w:rsidRDefault="006074A5" w:rsidP="006074A5">
      <w:pPr>
        <w:pStyle w:val="a7"/>
        <w:bidi/>
        <w:rPr>
          <w:rFonts w:ascii="Narkisim" w:hAnsi="Narkisim"/>
        </w:rPr>
      </w:pPr>
      <w:r w:rsidRPr="00C26AFA">
        <w:rPr>
          <w:rFonts w:ascii="Narkisim" w:hAnsi="Narkisim"/>
          <w:rtl/>
        </w:rPr>
        <w:t>אבל ה</w:t>
      </w:r>
      <w:r w:rsidRPr="00C26AFA">
        <w:rPr>
          <w:rFonts w:ascii="Narkisim" w:hAnsi="Narkisim"/>
          <w:b/>
          <w:bCs/>
          <w:rtl/>
        </w:rPr>
        <w:t>תו"י</w:t>
      </w:r>
      <w:r w:rsidRPr="00C26AFA">
        <w:rPr>
          <w:rFonts w:ascii="Narkisim" w:hAnsi="Narkisim"/>
          <w:sz w:val="20"/>
          <w:szCs w:val="20"/>
          <w:rtl/>
        </w:rPr>
        <w:t xml:space="preserve"> (וכ"כ </w:t>
      </w:r>
      <w:r w:rsidRPr="00C26AFA">
        <w:rPr>
          <w:rFonts w:ascii="Narkisim" w:hAnsi="Narkisim"/>
          <w:b/>
          <w:bCs/>
          <w:sz w:val="20"/>
          <w:szCs w:val="20"/>
          <w:rtl/>
        </w:rPr>
        <w:t>תוס</w:t>
      </w:r>
      <w:r w:rsidRPr="00C26AFA">
        <w:rPr>
          <w:rFonts w:ascii="Narkisim" w:hAnsi="Narkisim"/>
          <w:sz w:val="20"/>
          <w:szCs w:val="20"/>
          <w:rtl/>
        </w:rPr>
        <w:t xml:space="preserve">' כתובות עד. ד"ה תנאי) </w:t>
      </w:r>
      <w:r w:rsidRPr="00C26AFA">
        <w:rPr>
          <w:rFonts w:ascii="Narkisim" w:hAnsi="Narkisim"/>
          <w:rtl/>
        </w:rPr>
        <w:t>פי' כוונת הגמ' דנשאר קצת זיקה, ואף דמותרת לשוק</w:t>
      </w:r>
      <w:r w:rsidRPr="00C26AFA">
        <w:rPr>
          <w:rStyle w:val="ac"/>
          <w:rFonts w:ascii="Narkisim" w:hAnsi="Narkisim"/>
          <w:rtl/>
        </w:rPr>
        <w:footnoteReference w:id="3235"/>
      </w:r>
      <w:r w:rsidRPr="00C26AFA">
        <w:rPr>
          <w:rFonts w:ascii="Narkisim" w:hAnsi="Narkisim"/>
          <w:rtl/>
        </w:rPr>
        <w:t xml:space="preserve">. </w:t>
      </w:r>
      <w:r w:rsidRPr="00C26AFA">
        <w:rPr>
          <w:rFonts w:ascii="Narkisim" w:hAnsi="Narkisim"/>
          <w:sz w:val="20"/>
          <w:szCs w:val="20"/>
          <w:rtl/>
        </w:rPr>
        <w:t>וה</w:t>
      </w:r>
      <w:r w:rsidRPr="00C26AFA">
        <w:rPr>
          <w:rFonts w:ascii="Narkisim" w:hAnsi="Narkisim"/>
          <w:b/>
          <w:bCs/>
          <w:sz w:val="20"/>
          <w:szCs w:val="20"/>
          <w:rtl/>
        </w:rPr>
        <w:t>מהרש”א</w:t>
      </w:r>
      <w:r w:rsidRPr="00C26AFA">
        <w:rPr>
          <w:rFonts w:ascii="Narkisim" w:hAnsi="Narkisim"/>
          <w:sz w:val="20"/>
          <w:szCs w:val="20"/>
          <w:rtl/>
        </w:rPr>
        <w:t xml:space="preserve"> הביא דמצאנו כן דעת אבא יוסי בן חנן (לקמן בע”ב), והקשה על הרי"ף אמאי לא העמידו רבנן דרבי כוותיה.</w:t>
      </w:r>
    </w:p>
    <w:p w14:paraId="4EBBD692" w14:textId="77777777" w:rsidR="006074A5" w:rsidRPr="00C26AFA" w:rsidRDefault="006074A5" w:rsidP="006074A5">
      <w:pPr>
        <w:pStyle w:val="a7"/>
        <w:bidi/>
        <w:rPr>
          <w:rFonts w:ascii="Narkisim" w:hAnsi="Narkisim"/>
        </w:rPr>
      </w:pPr>
      <w:r w:rsidRPr="00C26AFA">
        <w:rPr>
          <w:rFonts w:ascii="Narkisim" w:hAnsi="Narkisim"/>
          <w:sz w:val="20"/>
          <w:szCs w:val="20"/>
          <w:rtl/>
        </w:rPr>
        <w:t>וה</w:t>
      </w:r>
      <w:r w:rsidRPr="00C26AFA">
        <w:rPr>
          <w:rFonts w:ascii="Narkisim" w:hAnsi="Narkisim"/>
          <w:b/>
          <w:bCs/>
          <w:sz w:val="20"/>
          <w:szCs w:val="20"/>
          <w:rtl/>
        </w:rPr>
        <w:t>חזו"א</w:t>
      </w:r>
      <w:r w:rsidRPr="00C26AFA">
        <w:rPr>
          <w:rFonts w:ascii="Narkisim" w:hAnsi="Narkisim"/>
          <w:sz w:val="20"/>
          <w:szCs w:val="20"/>
          <w:rtl/>
        </w:rPr>
        <w:t xml:space="preserve"> הקשה דלדעת ה</w:t>
      </w:r>
      <w:r w:rsidRPr="00C26AFA">
        <w:rPr>
          <w:rFonts w:ascii="Narkisim" w:hAnsi="Narkisim"/>
          <w:b/>
          <w:bCs/>
          <w:sz w:val="20"/>
          <w:szCs w:val="20"/>
          <w:rtl/>
        </w:rPr>
        <w:t>ראשונים</w:t>
      </w:r>
      <w:r w:rsidRPr="00C26AFA">
        <w:rPr>
          <w:rFonts w:ascii="Narkisim" w:hAnsi="Narkisim"/>
          <w:sz w:val="20"/>
          <w:szCs w:val="20"/>
          <w:rtl/>
        </w:rPr>
        <w:t xml:space="preserve"> (הנ"ל) דמהני מאמר [מדרבנן] אחרי חליצה בכל אופן, א”כ מה הוסיף התוס' דלענין זה חליצה פסולה ותנאי מהני שנשתייר זיקה.</w:t>
      </w:r>
    </w:p>
    <w:p w14:paraId="17238B2A" w14:textId="77777777" w:rsidR="006074A5" w:rsidRPr="00C26AFA" w:rsidRDefault="006074A5" w:rsidP="006074A5">
      <w:pPr>
        <w:pStyle w:val="aa"/>
        <w:bidi/>
        <w:rPr>
          <w:rFonts w:ascii="Narkisim" w:hAnsi="Narkisim"/>
        </w:rPr>
      </w:pPr>
      <w:r w:rsidRPr="00C26AFA">
        <w:rPr>
          <w:rFonts w:ascii="Narkisim" w:hAnsi="Narkisim"/>
          <w:u w:val="single"/>
          <w:rtl/>
        </w:rPr>
        <w:t>מר סבר יש תנאי בחליצה וכו'.</w:t>
      </w:r>
      <w:r w:rsidRPr="00C26AFA">
        <w:rPr>
          <w:rFonts w:ascii="Narkisim" w:hAnsi="Narkisim"/>
          <w:rtl/>
        </w:rPr>
        <w:t xml:space="preserve"> ב</w:t>
      </w:r>
      <w:r w:rsidRPr="00C26AFA">
        <w:rPr>
          <w:rFonts w:ascii="Narkisim" w:hAnsi="Narkisim"/>
          <w:b/>
          <w:bCs/>
          <w:rtl/>
        </w:rPr>
        <w:t>גמ'</w:t>
      </w:r>
      <w:r w:rsidRPr="00C26AFA">
        <w:rPr>
          <w:rFonts w:ascii="Narkisim" w:hAnsi="Narkisim"/>
          <w:rtl/>
        </w:rPr>
        <w:t xml:space="preserve"> (כתובות עד.) אי' דאין תנאי בחליצה, דכל מילתא דליתא בשליחות</w:t>
      </w:r>
      <w:r w:rsidRPr="00C26AFA">
        <w:rPr>
          <w:rStyle w:val="ac"/>
          <w:rFonts w:ascii="Narkisim" w:hAnsi="Narkisim"/>
          <w:rtl/>
        </w:rPr>
        <w:footnoteReference w:id="3236"/>
      </w:r>
      <w:r w:rsidRPr="00C26AFA">
        <w:rPr>
          <w:rFonts w:ascii="Narkisim" w:hAnsi="Narkisim"/>
          <w:rtl/>
        </w:rPr>
        <w:t xml:space="preserve"> ליתא בתנאי. ו</w:t>
      </w:r>
      <w:r w:rsidRPr="00C26AFA">
        <w:rPr>
          <w:rFonts w:ascii="Narkisim" w:hAnsi="Narkisim"/>
          <w:b/>
          <w:bCs/>
          <w:rtl/>
        </w:rPr>
        <w:t>תוס'</w:t>
      </w:r>
      <w:r w:rsidRPr="00C26AFA">
        <w:rPr>
          <w:rFonts w:ascii="Narkisim" w:hAnsi="Narkisim"/>
          <w:rtl/>
        </w:rPr>
        <w:t xml:space="preserve"> (שם) כתבו דהוה סברא דהיכא דהמעשה כ"כ בידו שיכול לקיים ע"י שליח, סברא שיכול להטיל בו תנאי. ואילו חליצה אין בידו לקיימו ע"י שליח, ומש"ה ל"מ תנאי.</w:t>
      </w:r>
    </w:p>
    <w:p w14:paraId="499E81DB"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אחרונים</w:t>
      </w:r>
      <w:r w:rsidRPr="00C26AFA">
        <w:rPr>
          <w:rFonts w:ascii="Narkisim" w:hAnsi="Narkisim"/>
          <w:rtl/>
        </w:rPr>
        <w:t xml:space="preserve"> (ע' גר"ח סטנסל לק' קו., וע' </w:t>
      </w:r>
      <w:r w:rsidRPr="00C26AFA">
        <w:rPr>
          <w:rFonts w:ascii="Narkisim" w:hAnsi="Narkisim"/>
          <w:b/>
          <w:bCs/>
          <w:rtl/>
        </w:rPr>
        <w:t>קובה"ע</w:t>
      </w:r>
      <w:r w:rsidRPr="00C26AFA">
        <w:rPr>
          <w:rFonts w:ascii="Narkisim" w:hAnsi="Narkisim"/>
          <w:rtl/>
        </w:rPr>
        <w:t xml:space="preserve"> עו ה) ביארו דחליצה לא נחשב שהאדם פועל את ההיתר. אלא דחל ממילא [בידי שמים</w:t>
      </w:r>
      <w:r w:rsidRPr="00C26AFA">
        <w:rPr>
          <w:rStyle w:val="ac"/>
          <w:rFonts w:ascii="Narkisim" w:hAnsi="Narkisim"/>
          <w:rtl/>
        </w:rPr>
        <w:footnoteReference w:id="3237"/>
      </w:r>
      <w:r w:rsidRPr="00C26AFA">
        <w:rPr>
          <w:rFonts w:ascii="Narkisim" w:hAnsi="Narkisim"/>
          <w:rtl/>
        </w:rPr>
        <w:t>] ע”י 'מעשה' דידיה</w:t>
      </w:r>
      <w:r w:rsidRPr="00C26AFA">
        <w:rPr>
          <w:rStyle w:val="ac"/>
          <w:rFonts w:ascii="Narkisim" w:hAnsi="Narkisim"/>
          <w:rtl/>
        </w:rPr>
        <w:footnoteReference w:id="3238"/>
      </w:r>
      <w:r w:rsidRPr="00C26AFA">
        <w:rPr>
          <w:rFonts w:ascii="Narkisim" w:hAnsi="Narkisim"/>
          <w:rtl/>
        </w:rPr>
        <w:t>.</w:t>
      </w:r>
    </w:p>
    <w:p w14:paraId="60E87FDB" w14:textId="77777777" w:rsidR="006074A5" w:rsidRPr="00C26AFA" w:rsidRDefault="006074A5" w:rsidP="006074A5">
      <w:pPr>
        <w:bidi/>
        <w:rPr>
          <w:rFonts w:ascii="Narkisim" w:hAnsi="Narkisim" w:cs="Narkisim"/>
        </w:rPr>
      </w:pPr>
      <w:r w:rsidRPr="00C26AFA">
        <w:rPr>
          <w:rFonts w:ascii="Narkisim" w:hAnsi="Narkisim" w:cs="Narkisim"/>
          <w:u w:val="single"/>
          <w:rtl/>
        </w:rPr>
        <w:t>שם</w:t>
      </w:r>
      <w:r w:rsidRPr="00C26AFA">
        <w:rPr>
          <w:rFonts w:ascii="Narkisim" w:hAnsi="Narkisim" w:cs="Narkisim"/>
          <w:rtl/>
        </w:rPr>
        <w:t>. מבואר ב</w:t>
      </w:r>
      <w:r w:rsidRPr="00C26AFA">
        <w:rPr>
          <w:rFonts w:ascii="Narkisim" w:hAnsi="Narkisim" w:cs="Narkisim"/>
          <w:b/>
          <w:bCs/>
          <w:rtl/>
        </w:rPr>
        <w:t>רש"י</w:t>
      </w:r>
      <w:r w:rsidRPr="00C26AFA">
        <w:rPr>
          <w:rFonts w:ascii="Narkisim" w:hAnsi="Narkisim" w:cs="Narkisim"/>
          <w:rtl/>
        </w:rPr>
        <w:t xml:space="preserve"> </w:t>
      </w:r>
      <w:r w:rsidRPr="00C26AFA">
        <w:rPr>
          <w:rFonts w:ascii="Narkisim" w:hAnsi="Narkisim" w:cs="Narkisim"/>
          <w:sz w:val="20"/>
          <w:szCs w:val="20"/>
          <w:rtl/>
        </w:rPr>
        <w:t>(ורמב"ן וראב"ד ובעה"מ וכו')</w:t>
      </w:r>
      <w:r w:rsidRPr="00C26AFA">
        <w:rPr>
          <w:rFonts w:ascii="Narkisim" w:hAnsi="Narkisim" w:cs="Narkisim"/>
          <w:rtl/>
        </w:rPr>
        <w:t xml:space="preserve"> דסוגיין פליג אגמ' בכתובות, וס"ל דמהני תנאי שהחליצה לא יתיר. אבל </w:t>
      </w:r>
      <w:r w:rsidRPr="00C26AFA">
        <w:rPr>
          <w:rFonts w:ascii="Narkisim" w:hAnsi="Narkisim" w:cs="Narkisim"/>
          <w:b/>
          <w:bCs/>
          <w:rtl/>
        </w:rPr>
        <w:t>תוס</w:t>
      </w:r>
      <w:r w:rsidRPr="00C26AFA">
        <w:rPr>
          <w:rFonts w:ascii="Narkisim" w:hAnsi="Narkisim" w:cs="Narkisim"/>
          <w:rtl/>
        </w:rPr>
        <w:t xml:space="preserve">' </w:t>
      </w:r>
      <w:r w:rsidRPr="00C26AFA">
        <w:rPr>
          <w:rFonts w:ascii="Narkisim" w:hAnsi="Narkisim" w:cs="Narkisim"/>
          <w:sz w:val="20"/>
          <w:szCs w:val="20"/>
          <w:rtl/>
        </w:rPr>
        <w:t xml:space="preserve">(ד"ה רבינא) </w:t>
      </w:r>
      <w:r w:rsidRPr="00C26AFA">
        <w:rPr>
          <w:rFonts w:ascii="Narkisim" w:hAnsi="Narkisim" w:cs="Narkisim"/>
          <w:rtl/>
        </w:rPr>
        <w:t>פי' דחליצה בתנאי לא מפקע זיקה לגמרי, ואף דמותרת לשוק.</w:t>
      </w:r>
    </w:p>
    <w:p w14:paraId="527DD178" w14:textId="77777777" w:rsidR="006074A5" w:rsidRPr="00C26AFA" w:rsidRDefault="006074A5" w:rsidP="006074A5">
      <w:pPr>
        <w:pStyle w:val="a8"/>
        <w:bidi/>
        <w:rPr>
          <w:rFonts w:ascii="Narkisim" w:hAnsi="Narkisim"/>
        </w:rPr>
      </w:pPr>
      <w:r w:rsidRPr="00C26AFA">
        <w:rPr>
          <w:rFonts w:ascii="Narkisim" w:hAnsi="Narkisim"/>
          <w:rtl/>
        </w:rPr>
        <w:t>ומבואר בתוס' דהחליצה פועל ב' פעולות, היתר לשוק והפקעת הזיקה [לענין הא דאין אחריה כלום]. ולענין הפקעת זיקה צריך חליצה מעלייתא. [אך צ"ב דכיון דל"מ התנאי בעיקר החליצה כיון דליתא בשליחות, א"כ אמאי לא הוה חליצה מעלייתא להפקעת הזיקה, הא אף בזה ליתא בשליחות</w:t>
      </w:r>
      <w:r w:rsidRPr="00C26AFA">
        <w:rPr>
          <w:rStyle w:val="ac"/>
          <w:rFonts w:ascii="Narkisim" w:hAnsi="Narkisim"/>
          <w:rtl/>
        </w:rPr>
        <w:footnoteReference w:id="3239"/>
      </w:r>
      <w:r w:rsidRPr="00C26AFA">
        <w:rPr>
          <w:rFonts w:ascii="Narkisim" w:hAnsi="Narkisim"/>
          <w:rtl/>
        </w:rPr>
        <w:t>].</w:t>
      </w:r>
    </w:p>
    <w:p w14:paraId="3FD9CB6D" w14:textId="77777777" w:rsidR="006074A5" w:rsidRPr="00C26AFA" w:rsidRDefault="006074A5" w:rsidP="006074A5">
      <w:pPr>
        <w:pStyle w:val="aa"/>
        <w:bidi/>
        <w:rPr>
          <w:rFonts w:ascii="Narkisim" w:hAnsi="Narkisim"/>
        </w:rPr>
      </w:pPr>
      <w:r w:rsidRPr="00C26AFA">
        <w:rPr>
          <w:rFonts w:ascii="Narkisim" w:hAnsi="Narkisim"/>
          <w:rtl/>
        </w:rPr>
        <w:t>וה</w:t>
      </w:r>
      <w:r w:rsidRPr="00C26AFA">
        <w:rPr>
          <w:rFonts w:ascii="Narkisim" w:hAnsi="Narkisim"/>
          <w:b/>
          <w:bCs/>
          <w:rtl/>
        </w:rPr>
        <w:t xml:space="preserve">רש"ש </w:t>
      </w:r>
      <w:r w:rsidRPr="00C26AFA">
        <w:rPr>
          <w:rFonts w:ascii="Narkisim" w:hAnsi="Narkisim"/>
          <w:rtl/>
        </w:rPr>
        <w:t>כת' דלפ"ז ניחא הא דאמרי' לכו"ע חליצה פסולה לא פטרה, דהא דתנאי אינו פוטר הוה משום דחליצה פסולה לא פטרה.</w:t>
      </w:r>
    </w:p>
    <w:p w14:paraId="215DDE7B" w14:textId="77777777" w:rsidR="006074A5" w:rsidRPr="00C26AFA" w:rsidRDefault="006074A5" w:rsidP="006074A5">
      <w:pPr>
        <w:bidi/>
        <w:rPr>
          <w:rFonts w:ascii="Narkisim" w:hAnsi="Narkisim" w:cs="Narkisim"/>
        </w:rPr>
      </w:pPr>
      <w:r w:rsidRPr="00C26AFA">
        <w:rPr>
          <w:rFonts w:ascii="Narkisim" w:hAnsi="Narkisim" w:cs="Narkisim"/>
          <w:u w:val="single"/>
          <w:rtl/>
        </w:rPr>
        <w:t>רבינא אמר וכו' והכא דתנאי כפול וכו' ומר סבר לא בעינן תנאי כפול</w:t>
      </w:r>
      <w:r w:rsidRPr="00C26AFA">
        <w:rPr>
          <w:rFonts w:ascii="Narkisim" w:hAnsi="Narkisim" w:cs="Narkisim"/>
          <w:rtl/>
        </w:rPr>
        <w:t>. פ</w:t>
      </w:r>
      <w:r w:rsidRPr="00C26AFA">
        <w:rPr>
          <w:rFonts w:ascii="Narkisim" w:hAnsi="Narkisim" w:cs="Narkisim"/>
          <w:b/>
          <w:bCs/>
          <w:rtl/>
        </w:rPr>
        <w:t>רש"י</w:t>
      </w:r>
      <w:r w:rsidRPr="00C26AFA">
        <w:rPr>
          <w:rFonts w:ascii="Narkisim" w:hAnsi="Narkisim" w:cs="Narkisim"/>
          <w:rtl/>
        </w:rPr>
        <w:t xml:space="preserve"> דכיון דלא כפליה לתנאי, לא הוה תנאי לבטל החליצה. ולדברי ה</w:t>
      </w:r>
      <w:r w:rsidRPr="00C26AFA">
        <w:rPr>
          <w:rFonts w:ascii="Narkisim" w:hAnsi="Narkisim" w:cs="Narkisim"/>
          <w:b/>
          <w:bCs/>
          <w:rtl/>
        </w:rPr>
        <w:t>תוס</w:t>
      </w:r>
      <w:r w:rsidRPr="00C26AFA">
        <w:rPr>
          <w:rFonts w:ascii="Narkisim" w:hAnsi="Narkisim" w:cs="Narkisim"/>
          <w:rtl/>
        </w:rPr>
        <w:t>' לכאו' הנידון האם הוה חליצה מעלייתא, לענין להפקיע הזיקה לגמרי.</w:t>
      </w:r>
    </w:p>
    <w:p w14:paraId="292CCBE8" w14:textId="77777777" w:rsidR="006074A5" w:rsidRPr="00C26AFA" w:rsidRDefault="006074A5" w:rsidP="006074A5">
      <w:pPr>
        <w:bidi/>
        <w:rPr>
          <w:rFonts w:ascii="Narkisim" w:hAnsi="Narkisim" w:cs="Narkisim"/>
        </w:rPr>
      </w:pPr>
      <w:r w:rsidRPr="00C26AFA">
        <w:rPr>
          <w:rFonts w:ascii="Narkisim" w:hAnsi="Narkisim" w:cs="Narkisim"/>
          <w:u w:val="single"/>
          <w:rtl/>
        </w:rPr>
        <w:t>שם</w:t>
      </w:r>
      <w:r w:rsidRPr="00C26AFA">
        <w:rPr>
          <w:rFonts w:ascii="Narkisim" w:hAnsi="Narkisim" w:cs="Narkisim"/>
          <w:rtl/>
        </w:rPr>
        <w:t>. ה</w:t>
      </w:r>
      <w:r w:rsidRPr="00C26AFA">
        <w:rPr>
          <w:rFonts w:ascii="Narkisim" w:hAnsi="Narkisim" w:cs="Narkisim"/>
          <w:b/>
          <w:bCs/>
          <w:rtl/>
        </w:rPr>
        <w:t>רי"ף</w:t>
      </w:r>
      <w:r w:rsidRPr="00C26AFA">
        <w:rPr>
          <w:rFonts w:ascii="Narkisim" w:hAnsi="Narkisim" w:cs="Narkisim"/>
          <w:rtl/>
        </w:rPr>
        <w:t xml:space="preserve"> כת' דקי"ל כרבנן, דהא לא קי"ל כרבי מחביריו, הילכך בין קידשה לשם אישות </w:t>
      </w:r>
      <w:r w:rsidRPr="00C26AFA">
        <w:rPr>
          <w:rFonts w:ascii="Narkisim" w:hAnsi="Narkisim" w:cs="Narkisim"/>
          <w:rtl/>
        </w:rPr>
        <w:lastRenderedPageBreak/>
        <w:t>צריכה גט. וכוליה טעמי דסוגיין לא סמכינן עלייהו, דלאו אליבא דהילכתא נינהו, אלא אוקימתא בעלמא נינהו</w:t>
      </w:r>
      <w:r w:rsidRPr="00C26AFA">
        <w:rPr>
          <w:rStyle w:val="ac"/>
          <w:rFonts w:ascii="Narkisim" w:hAnsi="Narkisim" w:cs="Narkisim"/>
          <w:rtl/>
        </w:rPr>
        <w:footnoteReference w:id="3240"/>
      </w:r>
      <w:r w:rsidRPr="00C26AFA">
        <w:rPr>
          <w:rFonts w:ascii="Narkisim" w:hAnsi="Narkisim" w:cs="Narkisim"/>
          <w:rtl/>
        </w:rPr>
        <w:t>. וה</w:t>
      </w:r>
      <w:r w:rsidRPr="00C26AFA">
        <w:rPr>
          <w:rFonts w:ascii="Narkisim" w:hAnsi="Narkisim" w:cs="Narkisim"/>
          <w:b/>
          <w:bCs/>
          <w:rtl/>
        </w:rPr>
        <w:t>ראב"ד</w:t>
      </w:r>
      <w:r w:rsidRPr="00C26AFA">
        <w:rPr>
          <w:rFonts w:ascii="Narkisim" w:hAnsi="Narkisim" w:cs="Narkisim"/>
          <w:rtl/>
        </w:rPr>
        <w:t xml:space="preserve"> הק' דקי"ל (לעיל יח:) דיש זיקה, ועוד דקי"ל חליצה פסולה פוטרת (כשמואל לעיל כז.), ועוד דקי"ל (כתובות עד.) דאין תנאי בחליצה, ולכן ל"ש כפלו או לא. וא"כ קי"ל כדברי רבי (וכה”ק הבעה”מ).</w:t>
      </w:r>
    </w:p>
    <w:p w14:paraId="3697581A"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מלחמות</w:t>
      </w:r>
      <w:r w:rsidRPr="00C26AFA">
        <w:rPr>
          <w:rFonts w:ascii="Narkisim" w:hAnsi="Narkisim"/>
          <w:rtl/>
        </w:rPr>
        <w:t xml:space="preserve"> ביאר דכוונת הרי"ף דבתחילת הסוגיה טעמא דרבנן ניחא, וכולהו טעמי דגמ' ליישב דברי רבי. ולהעמיד דרבי איירי דוקא בכה"ג, ודלא להוסיף עליו. אבל למסקנא הרי"ף דחה לכל הנך טעמיה, דהא קי"ל כרבנן, כדי לא לפסוק כיחידאה. וכיון דא"א לסמוך אאוקימתא דמסקנא פסקי' כטעם רב יוסף עשאוה כעודר וכו'. א"נ בדאמר התקדשי לי בזיקת או מאמר יבמין, וס"ל לרבנן דמהני, דמאמר תקנו חכמים אפי' בתר חליצה.</w:t>
      </w:r>
    </w:p>
    <w:p w14:paraId="671BA899" w14:textId="77777777" w:rsidR="006074A5" w:rsidRPr="00C26AFA" w:rsidRDefault="006074A5" w:rsidP="006074A5">
      <w:pPr>
        <w:pStyle w:val="a8"/>
        <w:bidi/>
        <w:rPr>
          <w:rFonts w:ascii="Narkisim" w:hAnsi="Narkisim"/>
        </w:rPr>
      </w:pPr>
      <w:r w:rsidRPr="00C26AFA">
        <w:rPr>
          <w:rFonts w:ascii="Narkisim" w:hAnsi="Narkisim"/>
          <w:rtl/>
        </w:rPr>
        <w:t>וה</w:t>
      </w:r>
      <w:r w:rsidRPr="00C26AFA">
        <w:rPr>
          <w:rFonts w:ascii="Narkisim" w:hAnsi="Narkisim"/>
          <w:b/>
          <w:bCs/>
          <w:rtl/>
        </w:rPr>
        <w:t>רא"ש</w:t>
      </w:r>
      <w:r w:rsidRPr="00C26AFA">
        <w:rPr>
          <w:rFonts w:ascii="Narkisim" w:hAnsi="Narkisim"/>
          <w:rtl/>
        </w:rPr>
        <w:t xml:space="preserve"> כת' דדעת רבנן [לדעת הרי”ף] דבקל מהני קידושין בזיקת יבמין, ומש”ה אף דבעלמא ל"מ תנאי כה”ג לבטל החליצה. מ"מ תפס קידושין לאחריו.</w:t>
      </w:r>
    </w:p>
    <w:p w14:paraId="2B1FD68A" w14:textId="77777777" w:rsidR="006074A5" w:rsidRPr="00C26AFA" w:rsidRDefault="006074A5" w:rsidP="006074A5">
      <w:pPr>
        <w:pStyle w:val="aa"/>
        <w:bidi/>
        <w:rPr>
          <w:rFonts w:ascii="Narkisim" w:hAnsi="Narkisim"/>
        </w:rPr>
      </w:pPr>
      <w:r w:rsidRPr="00C26AFA">
        <w:rPr>
          <w:rFonts w:ascii="Narkisim" w:hAnsi="Narkisim"/>
          <w:u w:val="single"/>
          <w:rtl/>
        </w:rPr>
        <w:t>ותנא דידן התרת יבמה לשוק עדיפא ליה</w:t>
      </w:r>
      <w:r w:rsidRPr="00C26AFA">
        <w:rPr>
          <w:rFonts w:ascii="Narkisim" w:hAnsi="Narkisim"/>
          <w:rtl/>
        </w:rPr>
        <w:t>. ה</w:t>
      </w:r>
      <w:r w:rsidRPr="00C26AFA">
        <w:rPr>
          <w:rFonts w:ascii="Narkisim" w:hAnsi="Narkisim"/>
          <w:b/>
          <w:bCs/>
          <w:rtl/>
        </w:rPr>
        <w:t>רש"ש</w:t>
      </w:r>
      <w:r w:rsidRPr="00C26AFA">
        <w:rPr>
          <w:rFonts w:ascii="Narkisim" w:hAnsi="Narkisim"/>
          <w:rtl/>
        </w:rPr>
        <w:t xml:space="preserve"> ביאר דמתני' כאבא שאול (לעיל לט:) דמצוות חליצה עדיפא ממצוות יבום.</w:t>
      </w:r>
    </w:p>
    <w:p w14:paraId="7F76479E" w14:textId="77777777" w:rsidR="006074A5" w:rsidRPr="00C26AFA" w:rsidRDefault="006074A5" w:rsidP="006074A5">
      <w:pPr>
        <w:bidi/>
        <w:rPr>
          <w:rFonts w:ascii="Narkisim" w:hAnsi="Narkisim" w:cs="Narkisim"/>
        </w:rPr>
      </w:pPr>
      <w:r w:rsidRPr="00C26AFA">
        <w:rPr>
          <w:rFonts w:ascii="Narkisim" w:hAnsi="Narkisim" w:cs="Narkisim"/>
          <w:u w:val="single"/>
          <w:rtl/>
        </w:rPr>
        <w:t>תוד"ה לימא.</w:t>
      </w:r>
      <w:r w:rsidRPr="00C26AFA">
        <w:rPr>
          <w:rFonts w:ascii="Narkisim" w:hAnsi="Narkisim" w:cs="Narkisim"/>
          <w:rtl/>
        </w:rPr>
        <w:t xml:space="preserve"> וי"ל דה"ק וכו' או תהוי תיובתא וכו'. וה</w:t>
      </w:r>
      <w:r w:rsidRPr="00C26AFA">
        <w:rPr>
          <w:rFonts w:ascii="Narkisim" w:hAnsi="Narkisim" w:cs="Narkisim"/>
          <w:b/>
          <w:bCs/>
          <w:rtl/>
        </w:rPr>
        <w:t>תוס' הרא"ש</w:t>
      </w:r>
      <w:r w:rsidRPr="00C26AFA">
        <w:rPr>
          <w:rFonts w:ascii="Narkisim" w:hAnsi="Narkisim" w:cs="Narkisim"/>
          <w:rtl/>
        </w:rPr>
        <w:t xml:space="preserve"> (בשם מהר"ם) ו</w:t>
      </w:r>
      <w:r w:rsidRPr="00C26AFA">
        <w:rPr>
          <w:rFonts w:ascii="Narkisim" w:hAnsi="Narkisim" w:cs="Narkisim"/>
          <w:b/>
          <w:bCs/>
          <w:rtl/>
        </w:rPr>
        <w:t>תוס' מהר"ם ור"פ</w:t>
      </w:r>
      <w:r w:rsidRPr="00C26AFA">
        <w:rPr>
          <w:rFonts w:ascii="Narkisim" w:hAnsi="Narkisim" w:cs="Narkisim"/>
          <w:rtl/>
        </w:rPr>
        <w:t xml:space="preserve"> כתבו עוד לפרש דלרב יוסף יחלוץ לבעלת המאמר, ואף דצריך חיזור לצרות [לשמואל], לא נפסלה בכך לכהונה. </w:t>
      </w:r>
      <w:r w:rsidRPr="00C26AFA">
        <w:rPr>
          <w:rFonts w:ascii="Narkisim" w:hAnsi="Narkisim" w:cs="Narkisim"/>
          <w:sz w:val="20"/>
          <w:szCs w:val="20"/>
          <w:rtl/>
        </w:rPr>
        <w:t xml:space="preserve">וכמ"ש </w:t>
      </w:r>
      <w:r w:rsidRPr="00C26AFA">
        <w:rPr>
          <w:rFonts w:ascii="Narkisim" w:hAnsi="Narkisim" w:cs="Narkisim"/>
          <w:b/>
          <w:bCs/>
          <w:sz w:val="20"/>
          <w:szCs w:val="20"/>
          <w:rtl/>
        </w:rPr>
        <w:t>ר' אברהם מבורגוייל</w:t>
      </w:r>
      <w:r w:rsidRPr="00C26AFA">
        <w:rPr>
          <w:rFonts w:ascii="Narkisim" w:hAnsi="Narkisim" w:cs="Narkisim"/>
          <w:sz w:val="20"/>
          <w:szCs w:val="20"/>
          <w:rtl/>
        </w:rPr>
        <w:t xml:space="preserve"> (הו' בתוס' כו:) דמשום חיזור לא נפסלה לאחים, וכ"ש דמשום חיזור בעלמא לא נפסלה לכהונה.</w:t>
      </w:r>
      <w:r w:rsidRPr="00C26AFA">
        <w:rPr>
          <w:rFonts w:ascii="Narkisim" w:hAnsi="Narkisim" w:cs="Narkisim"/>
          <w:rtl/>
        </w:rPr>
        <w:t xml:space="preserve"> וה</w:t>
      </w:r>
      <w:r w:rsidRPr="00C26AFA">
        <w:rPr>
          <w:rFonts w:ascii="Narkisim" w:hAnsi="Narkisim" w:cs="Narkisim"/>
          <w:b/>
          <w:bCs/>
          <w:rtl/>
        </w:rPr>
        <w:t>תוס' הרא"ש</w:t>
      </w:r>
      <w:r w:rsidRPr="00C26AFA">
        <w:rPr>
          <w:rFonts w:ascii="Narkisim" w:hAnsi="Narkisim" w:cs="Narkisim"/>
          <w:rtl/>
        </w:rPr>
        <w:t xml:space="preserve"> חלק דאף דלרב יוסף לא ישפוך מי בורו, אבל אי"צ לטרוח ולחלוץ לפסולה [ועי"ז יהא צריך לחלוץ לתרוייהו] כדי להציל את הצרה לכהונה.</w:t>
      </w:r>
    </w:p>
    <w:p w14:paraId="77A67048" w14:textId="77777777" w:rsidR="006074A5" w:rsidRPr="00C26AFA" w:rsidRDefault="006074A5" w:rsidP="006074A5">
      <w:pPr>
        <w:pStyle w:val="a7"/>
        <w:bidi/>
        <w:rPr>
          <w:rFonts w:ascii="Narkisim" w:hAnsi="Narkisim"/>
        </w:rPr>
      </w:pPr>
      <w:r w:rsidRPr="00C26AFA">
        <w:rPr>
          <w:rFonts w:ascii="Narkisim" w:hAnsi="Narkisim"/>
          <w:rtl/>
        </w:rPr>
        <w:t xml:space="preserve">ומש"ה התוס' רא"ש פי' בשם </w:t>
      </w:r>
      <w:r w:rsidRPr="00C26AFA">
        <w:rPr>
          <w:rFonts w:ascii="Narkisim" w:hAnsi="Narkisim"/>
          <w:b/>
          <w:bCs/>
          <w:rtl/>
        </w:rPr>
        <w:t>רבינו מאיר</w:t>
      </w:r>
      <w:r w:rsidRPr="00C26AFA">
        <w:rPr>
          <w:rFonts w:ascii="Narkisim" w:hAnsi="Narkisim"/>
          <w:rtl/>
        </w:rPr>
        <w:t xml:space="preserve"> דכוונת הגמ' תיובתא דרב יוסף (מגילה יח:) דאית ליה דאין שום תנא דס"ל יש זיקה, דכדמשמע (לעיל נ., וכמ”ש תוס' יז:). וא"כ ע"כ ל"ל חליצת חיזור (כדלעיל נא.).</w:t>
      </w:r>
    </w:p>
    <w:p w14:paraId="472E6BF9" w14:textId="77777777" w:rsidR="006074A5" w:rsidRPr="00C26AFA" w:rsidRDefault="006074A5" w:rsidP="006074A5">
      <w:pPr>
        <w:bidi/>
        <w:rPr>
          <w:rFonts w:ascii="Narkisim" w:hAnsi="Narkisim" w:cs="Narkisim"/>
        </w:rPr>
      </w:pPr>
      <w:r w:rsidRPr="00C26AFA">
        <w:rPr>
          <w:rFonts w:ascii="Narkisim" w:hAnsi="Narkisim" w:cs="Narkisim"/>
          <w:rtl/>
        </w:rPr>
        <w:t>וה</w:t>
      </w:r>
      <w:r w:rsidRPr="00C26AFA">
        <w:rPr>
          <w:rFonts w:ascii="Narkisim" w:hAnsi="Narkisim" w:cs="Narkisim"/>
          <w:b/>
          <w:bCs/>
          <w:rtl/>
        </w:rPr>
        <w:t>רמב"ן</w:t>
      </w:r>
      <w:r w:rsidRPr="00C26AFA">
        <w:rPr>
          <w:rFonts w:ascii="Narkisim" w:hAnsi="Narkisim" w:cs="Narkisim"/>
          <w:rtl/>
        </w:rPr>
        <w:t xml:space="preserve"> הביא בשם</w:t>
      </w:r>
      <w:r w:rsidRPr="00C26AFA">
        <w:rPr>
          <w:rFonts w:ascii="Narkisim" w:hAnsi="Narkisim" w:cs="Narkisim"/>
          <w:b/>
          <w:bCs/>
          <w:rtl/>
        </w:rPr>
        <w:t xml:space="preserve"> ר"ח</w:t>
      </w:r>
      <w:r w:rsidRPr="00C26AFA">
        <w:rPr>
          <w:rFonts w:ascii="Narkisim" w:hAnsi="Narkisim" w:cs="Narkisim"/>
          <w:rtl/>
        </w:rPr>
        <w:t xml:space="preserve"> דהוה תיובתא דרב יוסף (לעיל נב:) דעודר בנכסי הגר וקסבור שהם שלו דל"ק, וה"נ איירי דסבור דבמאמר מקודשת גמורה ומש"ה לא קנה במאמר, וחליצתה כשירה. וה</w:t>
      </w:r>
      <w:r w:rsidRPr="00C26AFA">
        <w:rPr>
          <w:rFonts w:ascii="Narkisim" w:hAnsi="Narkisim" w:cs="Narkisim"/>
          <w:b/>
          <w:bCs/>
          <w:rtl/>
        </w:rPr>
        <w:t>רמב"ן</w:t>
      </w:r>
      <w:r w:rsidRPr="00C26AFA">
        <w:rPr>
          <w:rFonts w:ascii="Narkisim" w:hAnsi="Narkisim" w:cs="Narkisim"/>
          <w:rtl/>
        </w:rPr>
        <w:t xml:space="preserve"> תמה א"כ פליג על כל מאמר ביבמה, ואמאי הקשו דוקא הכא.</w:t>
      </w:r>
    </w:p>
    <w:p w14:paraId="5AF105FF" w14:textId="77777777" w:rsidR="006074A5" w:rsidRPr="00C26AFA" w:rsidRDefault="006074A5" w:rsidP="006074A5">
      <w:pPr>
        <w:bidi/>
        <w:rPr>
          <w:rFonts w:ascii="Narkisim" w:hAnsi="Narkisim" w:cs="Narkisim"/>
        </w:rPr>
      </w:pPr>
      <w:r w:rsidRPr="00C26AFA">
        <w:rPr>
          <w:rFonts w:ascii="Narkisim" w:hAnsi="Narkisim" w:cs="Narkisim"/>
          <w:u w:val="single"/>
          <w:rtl/>
        </w:rPr>
        <w:t>בשלמא לר' יוחנן דאמר כוליה ביתא בלאו וכו'.</w:t>
      </w:r>
      <w:r w:rsidRPr="00C26AFA">
        <w:rPr>
          <w:rFonts w:ascii="Narkisim" w:hAnsi="Narkisim" w:cs="Narkisim"/>
          <w:rtl/>
        </w:rPr>
        <w:t xml:space="preserve"> </w:t>
      </w:r>
      <w:r w:rsidRPr="00C26AFA">
        <w:rPr>
          <w:rFonts w:ascii="Narkisim" w:hAnsi="Narkisim" w:cs="Narkisim"/>
          <w:sz w:val="20"/>
          <w:szCs w:val="20"/>
          <w:rtl/>
        </w:rPr>
        <w:t>פ</w:t>
      </w:r>
      <w:r w:rsidRPr="00C26AFA">
        <w:rPr>
          <w:rFonts w:ascii="Narkisim" w:hAnsi="Narkisim" w:cs="Narkisim"/>
          <w:b/>
          <w:bCs/>
          <w:sz w:val="20"/>
          <w:szCs w:val="20"/>
          <w:rtl/>
        </w:rPr>
        <w:t>רש"י</w:t>
      </w:r>
      <w:r w:rsidRPr="00C26AFA">
        <w:rPr>
          <w:rFonts w:ascii="Narkisim" w:hAnsi="Narkisim" w:cs="Narkisim"/>
          <w:sz w:val="20"/>
          <w:szCs w:val="20"/>
          <w:rtl/>
        </w:rPr>
        <w:t xml:space="preserve"> כחולץ עצמו דשליחות דידיה עביד.</w:t>
      </w:r>
      <w:r w:rsidRPr="00C26AFA">
        <w:rPr>
          <w:rFonts w:ascii="Narkisim" w:hAnsi="Narkisim" w:cs="Narkisim"/>
          <w:rtl/>
        </w:rPr>
        <w:t xml:space="preserve"> [</w:t>
      </w:r>
      <w:r w:rsidRPr="00C26AFA">
        <w:rPr>
          <w:rFonts w:ascii="Narkisim" w:hAnsi="Narkisim" w:cs="Narkisim"/>
          <w:sz w:val="20"/>
          <w:szCs w:val="20"/>
          <w:rtl/>
        </w:rPr>
        <w:t>ע' לעיל י: ומ: בסברות המח'].</w:t>
      </w:r>
      <w:r w:rsidRPr="00C26AFA">
        <w:rPr>
          <w:rFonts w:ascii="Narkisim" w:hAnsi="Narkisim" w:cs="Narkisim"/>
          <w:rtl/>
        </w:rPr>
        <w:t xml:space="preserve"> ולדעת </w:t>
      </w:r>
      <w:r w:rsidRPr="00C26AFA">
        <w:rPr>
          <w:rFonts w:ascii="Narkisim" w:hAnsi="Narkisim" w:cs="Narkisim"/>
          <w:b/>
          <w:bCs/>
          <w:rtl/>
        </w:rPr>
        <w:t>רש"י</w:t>
      </w:r>
      <w:r w:rsidRPr="00C26AFA">
        <w:rPr>
          <w:rFonts w:ascii="Narkisim" w:hAnsi="Narkisim" w:cs="Narkisim"/>
          <w:rtl/>
        </w:rPr>
        <w:t xml:space="preserve"> (לעיל יא.) קאי רק לענין חליצה, אבל ביאה אחר ביאה [בב' יבמות] קאי בעשה דאינו בונה ב' בתים</w:t>
      </w:r>
      <w:r w:rsidRPr="00C26AFA">
        <w:rPr>
          <w:rStyle w:val="ac"/>
          <w:rFonts w:ascii="Narkisim" w:hAnsi="Narkisim" w:cs="Narkisim"/>
          <w:rtl/>
        </w:rPr>
        <w:footnoteReference w:id="3241"/>
      </w:r>
      <w:r w:rsidRPr="00C26AFA">
        <w:rPr>
          <w:rFonts w:ascii="Narkisim" w:hAnsi="Narkisim" w:cs="Narkisim"/>
          <w:rtl/>
        </w:rPr>
        <w:t>. ו</w:t>
      </w:r>
      <w:r w:rsidRPr="00C26AFA">
        <w:rPr>
          <w:rFonts w:ascii="Narkisim" w:hAnsi="Narkisim" w:cs="Narkisim"/>
          <w:b/>
          <w:bCs/>
          <w:rtl/>
        </w:rPr>
        <w:t>תוס</w:t>
      </w:r>
      <w:r w:rsidRPr="00C26AFA">
        <w:rPr>
          <w:rFonts w:ascii="Narkisim" w:hAnsi="Narkisim" w:cs="Narkisim"/>
          <w:rtl/>
        </w:rPr>
        <w:t>' (לעיל שם, וכתובות ל.) חלקו דהוה בכלל לאו דלא יבנה, ולפ"ז כוונת הגמ' הכא אף כלפי ביאה.</w:t>
      </w:r>
    </w:p>
    <w:p w14:paraId="6B7FFFF8" w14:textId="77777777" w:rsidR="006074A5" w:rsidRPr="00C26AFA" w:rsidRDefault="006074A5" w:rsidP="006074A5">
      <w:pPr>
        <w:bidi/>
        <w:rPr>
          <w:rFonts w:ascii="Narkisim" w:hAnsi="Narkisim" w:cs="Narkisim"/>
        </w:rPr>
      </w:pPr>
      <w:r w:rsidRPr="00C26AFA">
        <w:rPr>
          <w:rFonts w:ascii="Narkisim" w:hAnsi="Narkisim" w:cs="Narkisim"/>
          <w:rtl/>
        </w:rPr>
        <w:t>וה</w:t>
      </w:r>
      <w:r w:rsidRPr="00C26AFA">
        <w:rPr>
          <w:rFonts w:ascii="Narkisim" w:hAnsi="Narkisim" w:cs="Narkisim"/>
          <w:b/>
          <w:bCs/>
          <w:rtl/>
        </w:rPr>
        <w:t>רמב"ן</w:t>
      </w:r>
      <w:r w:rsidRPr="00C26AFA">
        <w:rPr>
          <w:rFonts w:ascii="Narkisim" w:hAnsi="Narkisim" w:cs="Narkisim"/>
          <w:rtl/>
        </w:rPr>
        <w:t xml:space="preserve"> </w:t>
      </w:r>
      <w:r w:rsidRPr="00C26AFA">
        <w:rPr>
          <w:rFonts w:ascii="Narkisim" w:hAnsi="Narkisim" w:cs="Narkisim"/>
          <w:szCs w:val="20"/>
          <w:rtl/>
        </w:rPr>
        <w:t>(</w:t>
      </w:r>
      <w:r w:rsidRPr="00C26AFA">
        <w:rPr>
          <w:rFonts w:ascii="Narkisim" w:hAnsi="Narkisim" w:cs="Narkisim"/>
          <w:sz w:val="20"/>
          <w:szCs w:val="20"/>
          <w:rtl/>
        </w:rPr>
        <w:t xml:space="preserve">ושא"ר וכן </w:t>
      </w:r>
      <w:r w:rsidRPr="00C26AFA">
        <w:rPr>
          <w:rFonts w:ascii="Narkisim" w:hAnsi="Narkisim" w:cs="Narkisim"/>
          <w:b/>
          <w:bCs/>
          <w:sz w:val="20"/>
          <w:szCs w:val="20"/>
          <w:rtl/>
        </w:rPr>
        <w:t>תו"י</w:t>
      </w:r>
      <w:r w:rsidRPr="00C26AFA">
        <w:rPr>
          <w:rFonts w:ascii="Narkisim" w:hAnsi="Narkisim" w:cs="Narkisim"/>
          <w:sz w:val="20"/>
          <w:szCs w:val="20"/>
          <w:rtl/>
        </w:rPr>
        <w:t xml:space="preserve"> לעיל יא. ו</w:t>
      </w:r>
      <w:r w:rsidRPr="00C26AFA">
        <w:rPr>
          <w:rFonts w:ascii="Narkisim" w:hAnsi="Narkisim" w:cs="Narkisim"/>
          <w:b/>
          <w:bCs/>
          <w:sz w:val="20"/>
          <w:szCs w:val="20"/>
          <w:rtl/>
        </w:rPr>
        <w:t>תוס</w:t>
      </w:r>
      <w:r w:rsidRPr="00C26AFA">
        <w:rPr>
          <w:rFonts w:ascii="Narkisim" w:hAnsi="Narkisim" w:cs="Narkisim"/>
          <w:sz w:val="20"/>
          <w:szCs w:val="20"/>
          <w:rtl/>
        </w:rPr>
        <w:t xml:space="preserve">' כתובות ל.) </w:t>
      </w:r>
      <w:r w:rsidRPr="00C26AFA">
        <w:rPr>
          <w:rFonts w:ascii="Narkisim" w:hAnsi="Narkisim" w:cs="Narkisim"/>
          <w:rtl/>
        </w:rPr>
        <w:t>הקשו דע"פ דברי רש"י מבואר במשנה [דבעל ועשה מאמר אי"צ גט], דאין קידושין תופסין בחייבי עשה, ואילו ה</w:t>
      </w:r>
      <w:r w:rsidRPr="00C26AFA">
        <w:rPr>
          <w:rFonts w:ascii="Narkisim" w:hAnsi="Narkisim" w:cs="Narkisim"/>
          <w:b/>
          <w:bCs/>
          <w:rtl/>
        </w:rPr>
        <w:t>גמ'</w:t>
      </w:r>
      <w:r w:rsidRPr="00C26AFA">
        <w:rPr>
          <w:rFonts w:ascii="Narkisim" w:hAnsi="Narkisim" w:cs="Narkisim"/>
          <w:rtl/>
        </w:rPr>
        <w:t xml:space="preserve"> (כתובות ל.) מסתפקת לר' ישבב אליבא דר"ע האם קידושין תופסין בעשה</w:t>
      </w:r>
      <w:r w:rsidRPr="00C26AFA">
        <w:rPr>
          <w:rStyle w:val="ac"/>
          <w:rFonts w:ascii="Narkisim" w:hAnsi="Narkisim" w:cs="Narkisim"/>
          <w:rtl/>
        </w:rPr>
        <w:footnoteReference w:id="3242"/>
      </w:r>
      <w:r w:rsidRPr="00C26AFA">
        <w:rPr>
          <w:rFonts w:ascii="Narkisim" w:hAnsi="Narkisim" w:cs="Narkisim"/>
          <w:rtl/>
        </w:rPr>
        <w:t xml:space="preserve">, </w:t>
      </w:r>
      <w:r w:rsidRPr="00C26AFA">
        <w:rPr>
          <w:rFonts w:ascii="Narkisim" w:hAnsi="Narkisim" w:cs="Narkisim"/>
          <w:sz w:val="20"/>
          <w:szCs w:val="20"/>
          <w:rtl/>
        </w:rPr>
        <w:t>[דאין לה ביאה בישראל או לאפוקי מר' סימאי קאמר]</w:t>
      </w:r>
      <w:r w:rsidRPr="00C26AFA">
        <w:rPr>
          <w:rFonts w:ascii="Narkisim" w:hAnsi="Narkisim" w:cs="Narkisim"/>
          <w:rtl/>
        </w:rPr>
        <w:t>. ותוס' (הנ"ל) הוכיחו דיש לאו דלא יבנה.</w:t>
      </w:r>
    </w:p>
    <w:p w14:paraId="288BC25C" w14:textId="77777777" w:rsidR="006074A5" w:rsidRPr="00C26AFA" w:rsidRDefault="006074A5" w:rsidP="006074A5">
      <w:pPr>
        <w:pStyle w:val="a7"/>
        <w:bidi/>
        <w:rPr>
          <w:rFonts w:ascii="Narkisim" w:hAnsi="Narkisim"/>
        </w:rPr>
      </w:pPr>
      <w:r w:rsidRPr="00C26AFA">
        <w:rPr>
          <w:rFonts w:ascii="Narkisim" w:hAnsi="Narkisim"/>
          <w:rtl/>
        </w:rPr>
        <w:t>וה</w:t>
      </w:r>
      <w:r w:rsidRPr="00C26AFA">
        <w:rPr>
          <w:rFonts w:ascii="Narkisim" w:hAnsi="Narkisim"/>
          <w:b/>
          <w:bCs/>
          <w:rtl/>
        </w:rPr>
        <w:t>רמב"ן</w:t>
      </w:r>
      <w:r w:rsidRPr="00C26AFA">
        <w:rPr>
          <w:rFonts w:ascii="Narkisim" w:hAnsi="Narkisim"/>
          <w:rtl/>
        </w:rPr>
        <w:t xml:space="preserve"> כתב דצ"ל דהגמ' (שם) מסתפקת אליבא דר”ל, אבל לדעת ר' יוחנן מתני' היא דאין קידושין תופסים בעשה דאינו בונה ב' בתים</w:t>
      </w:r>
      <w:r w:rsidRPr="00C26AFA">
        <w:rPr>
          <w:rStyle w:val="ac"/>
          <w:rFonts w:ascii="Narkisim" w:hAnsi="Narkisim"/>
          <w:rtl/>
        </w:rPr>
        <w:footnoteReference w:id="3243"/>
      </w:r>
      <w:r w:rsidRPr="00C26AFA">
        <w:rPr>
          <w:rFonts w:ascii="Narkisim" w:hAnsi="Narkisim"/>
          <w:rtl/>
        </w:rPr>
        <w:t>.</w:t>
      </w:r>
      <w:r w:rsidRPr="00C26AFA">
        <w:rPr>
          <w:rFonts w:ascii="Narkisim" w:hAnsi="Narkisim"/>
          <w:sz w:val="20"/>
          <w:szCs w:val="20"/>
          <w:rtl/>
        </w:rPr>
        <w:t xml:space="preserve"> ו</w:t>
      </w:r>
      <w:r w:rsidRPr="00C26AFA">
        <w:rPr>
          <w:rFonts w:ascii="Narkisim" w:hAnsi="Narkisim"/>
          <w:b/>
          <w:bCs/>
          <w:sz w:val="20"/>
          <w:szCs w:val="20"/>
          <w:rtl/>
        </w:rPr>
        <w:t>רע"א</w:t>
      </w:r>
      <w:r w:rsidRPr="00C26AFA">
        <w:rPr>
          <w:rFonts w:ascii="Narkisim" w:hAnsi="Narkisim"/>
          <w:sz w:val="20"/>
          <w:szCs w:val="20"/>
          <w:rtl/>
        </w:rPr>
        <w:t xml:space="preserve"> (כתובות שם) תמה דבמשנה קאי אף ביבם א' וב' יבמות, ו</w:t>
      </w:r>
      <w:r w:rsidRPr="00C26AFA">
        <w:rPr>
          <w:rFonts w:ascii="Narkisim" w:hAnsi="Narkisim"/>
          <w:b/>
          <w:bCs/>
          <w:sz w:val="20"/>
          <w:szCs w:val="20"/>
          <w:rtl/>
        </w:rPr>
        <w:t>תוס</w:t>
      </w:r>
      <w:r w:rsidRPr="00C26AFA">
        <w:rPr>
          <w:rFonts w:ascii="Narkisim" w:hAnsi="Narkisim"/>
          <w:sz w:val="20"/>
          <w:szCs w:val="20"/>
          <w:rtl/>
        </w:rPr>
        <w:t>' (לעיל יא. סוד"ה חד) כתבו דאף לר"ל איהו קאי בעשה אצרה. א"כ אף לר"ל מבואר במשנה דאין קידושין תופסין בעשה. וצ"ע</w:t>
      </w:r>
      <w:r w:rsidRPr="00C26AFA">
        <w:rPr>
          <w:rStyle w:val="ac"/>
          <w:rFonts w:ascii="Narkisim" w:hAnsi="Narkisim"/>
          <w:sz w:val="20"/>
          <w:szCs w:val="20"/>
          <w:rtl/>
        </w:rPr>
        <w:footnoteReference w:id="3244"/>
      </w:r>
      <w:r w:rsidRPr="00C26AFA">
        <w:rPr>
          <w:rFonts w:ascii="Narkisim" w:hAnsi="Narkisim"/>
          <w:sz w:val="20"/>
          <w:szCs w:val="20"/>
          <w:rtl/>
        </w:rPr>
        <w:t>.</w:t>
      </w:r>
    </w:p>
    <w:p w14:paraId="14AC013E" w14:textId="77777777" w:rsidR="006074A5" w:rsidRPr="00C26AFA" w:rsidRDefault="006074A5" w:rsidP="006074A5">
      <w:pPr>
        <w:pStyle w:val="3"/>
        <w:bidi/>
        <w:rPr>
          <w:rFonts w:ascii="Narkisim" w:hAnsi="Narkisim"/>
        </w:rPr>
      </w:pPr>
      <w:r w:rsidRPr="00C26AFA">
        <w:rPr>
          <w:rFonts w:ascii="Narkisim" w:hAnsi="Narkisim"/>
          <w:rtl/>
        </w:rPr>
        <w:lastRenderedPageBreak/>
        <w:t>דף נג:</w:t>
      </w:r>
    </w:p>
    <w:p w14:paraId="25B85562" w14:textId="77777777" w:rsidR="006074A5" w:rsidRPr="00C26AFA" w:rsidRDefault="006074A5" w:rsidP="006074A5">
      <w:pPr>
        <w:pStyle w:val="aa"/>
        <w:bidi/>
        <w:rPr>
          <w:rFonts w:ascii="Narkisim" w:hAnsi="Narkisim"/>
        </w:rPr>
      </w:pPr>
      <w:r w:rsidRPr="00C26AFA">
        <w:rPr>
          <w:rFonts w:ascii="Narkisim" w:hAnsi="Narkisim"/>
          <w:u w:val="single"/>
          <w:rtl/>
        </w:rPr>
        <w:t>רש"י ד"ה סד"א.</w:t>
      </w:r>
      <w:r w:rsidRPr="00C26AFA">
        <w:rPr>
          <w:rFonts w:ascii="Narkisim" w:hAnsi="Narkisim"/>
          <w:rtl/>
        </w:rPr>
        <w:t xml:space="preserve"> אפי' לר' עקיבא. [דלרבנן מהני מדין קידושין דאורייתא בחייבי לאוין]. וב</w:t>
      </w:r>
      <w:r w:rsidRPr="00C26AFA">
        <w:rPr>
          <w:rFonts w:ascii="Narkisim" w:hAnsi="Narkisim"/>
          <w:b/>
          <w:bCs/>
          <w:rtl/>
        </w:rPr>
        <w:t>תוס' מהר"ם ור"פ</w:t>
      </w:r>
      <w:r w:rsidRPr="00C26AFA">
        <w:rPr>
          <w:rFonts w:ascii="Narkisim" w:hAnsi="Narkisim"/>
          <w:rtl/>
        </w:rPr>
        <w:t xml:space="preserve"> כת' דנפק”מ אף לרבנן במאמר בע”כ וכדו' או באומר לשם מאמר לחוד.</w:t>
      </w:r>
    </w:p>
    <w:p w14:paraId="2BB04A5F" w14:textId="77777777" w:rsidR="006074A5" w:rsidRPr="00C26AFA" w:rsidRDefault="006074A5" w:rsidP="006074A5">
      <w:pPr>
        <w:pStyle w:val="aa"/>
        <w:bidi/>
        <w:rPr>
          <w:rFonts w:ascii="Narkisim" w:hAnsi="Narkisim"/>
        </w:rPr>
      </w:pPr>
      <w:r w:rsidRPr="00C26AFA">
        <w:rPr>
          <w:rFonts w:ascii="Narkisim" w:hAnsi="Narkisim"/>
          <w:u w:val="single"/>
          <w:rtl/>
        </w:rPr>
        <w:t>אלא חלץ ונתן גט למה לי וכו'</w:t>
      </w:r>
      <w:r w:rsidRPr="00C26AFA">
        <w:rPr>
          <w:rFonts w:ascii="Narkisim" w:hAnsi="Narkisim"/>
          <w:rtl/>
        </w:rPr>
        <w:t>. פ</w:t>
      </w:r>
      <w:r w:rsidRPr="00C26AFA">
        <w:rPr>
          <w:rFonts w:ascii="Narkisim" w:hAnsi="Narkisim"/>
          <w:b/>
          <w:bCs/>
          <w:rtl/>
        </w:rPr>
        <w:t>רש"י</w:t>
      </w:r>
      <w:r w:rsidRPr="00C26AFA">
        <w:rPr>
          <w:rFonts w:ascii="Narkisim" w:hAnsi="Narkisim"/>
          <w:rtl/>
        </w:rPr>
        <w:t xml:space="preserve"> קו' הגמ' ביבם א' ויבמה א'. [ברישא דמתני']. וה</w:t>
      </w:r>
      <w:r w:rsidRPr="00C26AFA">
        <w:rPr>
          <w:rFonts w:ascii="Narkisim" w:hAnsi="Narkisim"/>
          <w:b/>
          <w:bCs/>
          <w:rtl/>
        </w:rPr>
        <w:t>מהרש"א</w:t>
      </w:r>
      <w:r w:rsidRPr="00C26AFA">
        <w:rPr>
          <w:rFonts w:ascii="Narkisim" w:hAnsi="Narkisim"/>
          <w:rtl/>
        </w:rPr>
        <w:t xml:space="preserve"> הק' דא"כ הו"ל לגמ' להעמיד קו' זו ברישא דמתני'. ו</w:t>
      </w:r>
      <w:r w:rsidRPr="00C26AFA">
        <w:rPr>
          <w:rFonts w:ascii="Narkisim" w:hAnsi="Narkisim"/>
          <w:b/>
          <w:bCs/>
          <w:rtl/>
        </w:rPr>
        <w:t>מהרש"א</w:t>
      </w:r>
      <w:r w:rsidRPr="00C26AFA">
        <w:rPr>
          <w:rFonts w:ascii="Narkisim" w:hAnsi="Narkisim"/>
          <w:rtl/>
        </w:rPr>
        <w:t xml:space="preserve"> ביאר דקו' הגמ' לר"ל, דכל המשנה איידי דתנא ב' יבמות ויבם תנא נמי ב' יבמין. וביאר דבשלמא לר' יוחנן אמרי' איידי דתנא ב' יבמין תנא נמי יבם א' וב' יבמות. [דאיצטריך לגופה]. אבל לר"ל ההיא גופה לא איצטריך לגופה.</w:t>
      </w:r>
    </w:p>
    <w:p w14:paraId="2521FA13" w14:textId="77777777" w:rsidR="006074A5" w:rsidRPr="00C26AFA" w:rsidRDefault="006074A5" w:rsidP="006074A5">
      <w:pPr>
        <w:bidi/>
        <w:rPr>
          <w:rFonts w:ascii="Narkisim" w:hAnsi="Narkisim" w:cs="Narkisim"/>
        </w:rPr>
      </w:pPr>
      <w:r w:rsidRPr="00C26AFA">
        <w:rPr>
          <w:rFonts w:ascii="Narkisim" w:hAnsi="Narkisim" w:cs="Narkisim"/>
          <w:u w:val="single"/>
          <w:rtl/>
        </w:rPr>
        <w:t>רש"י ד"ה סד"א ליגזור גט דבתר ביאה.</w:t>
      </w:r>
      <w:r w:rsidRPr="00C26AFA">
        <w:rPr>
          <w:rFonts w:ascii="Narkisim" w:hAnsi="Narkisim" w:cs="Narkisim"/>
          <w:rtl/>
        </w:rPr>
        <w:t xml:space="preserve"> דלא תסגי ליה בגט בלא חליצה, אטו גט דמקמי ביאה וכו'. </w:t>
      </w:r>
      <w:r w:rsidRPr="00C26AFA">
        <w:rPr>
          <w:rFonts w:ascii="Narkisim" w:hAnsi="Narkisim" w:cs="Narkisim"/>
          <w:sz w:val="20"/>
          <w:szCs w:val="20"/>
          <w:rtl/>
        </w:rPr>
        <w:t>[דהוה ביאה פסולה, ודעת</w:t>
      </w:r>
      <w:r w:rsidRPr="00C26AFA">
        <w:rPr>
          <w:rFonts w:ascii="Narkisim" w:hAnsi="Narkisim" w:cs="Narkisim"/>
          <w:b/>
          <w:bCs/>
          <w:sz w:val="20"/>
          <w:szCs w:val="20"/>
          <w:rtl/>
        </w:rPr>
        <w:t xml:space="preserve"> רש”י</w:t>
      </w:r>
      <w:r w:rsidRPr="00C26AFA">
        <w:rPr>
          <w:rFonts w:ascii="Narkisim" w:hAnsi="Narkisim" w:cs="Narkisim"/>
          <w:sz w:val="20"/>
          <w:szCs w:val="20"/>
          <w:rtl/>
        </w:rPr>
        <w:t xml:space="preserve"> דביאה פסולה בעי חליצה מגזירה. ובזה פליג ר' נחמיה].</w:t>
      </w:r>
      <w:r w:rsidRPr="00C26AFA">
        <w:rPr>
          <w:rFonts w:ascii="Narkisim" w:hAnsi="Narkisim" w:cs="Narkisim"/>
          <w:rtl/>
        </w:rPr>
        <w:t xml:space="preserve"> וה</w:t>
      </w:r>
      <w:r w:rsidRPr="00C26AFA">
        <w:rPr>
          <w:rFonts w:ascii="Narkisim" w:hAnsi="Narkisim" w:cs="Narkisim"/>
          <w:b/>
          <w:bCs/>
          <w:rtl/>
        </w:rPr>
        <w:t>ריטב"א</w:t>
      </w:r>
      <w:r w:rsidRPr="00C26AFA">
        <w:rPr>
          <w:rFonts w:ascii="Narkisim" w:hAnsi="Narkisim" w:cs="Narkisim"/>
          <w:rtl/>
        </w:rPr>
        <w:t xml:space="preserve"> כתב דכ"ז רש"י לשיטתו דביאה פסולה צריך חליצה מגזירה, אבל למש"כ דהנידון 'אחריה כלום' הוה רק כלפי מאמר שאחריה, ה"נ הנידון לגזור שיהני מאמר.</w:t>
      </w:r>
    </w:p>
    <w:p w14:paraId="23838365" w14:textId="77777777" w:rsidR="006074A5" w:rsidRPr="00C26AFA" w:rsidRDefault="006074A5" w:rsidP="006074A5">
      <w:pPr>
        <w:pStyle w:val="aa"/>
        <w:bidi/>
        <w:rPr>
          <w:rFonts w:ascii="Narkisim" w:hAnsi="Narkisim"/>
        </w:rPr>
      </w:pPr>
      <w:r w:rsidRPr="00C26AFA">
        <w:rPr>
          <w:rFonts w:ascii="Narkisim" w:hAnsi="Narkisim"/>
          <w:u w:val="single"/>
          <w:rtl/>
        </w:rPr>
        <w:t>משום ר' מאיר וכו' ואבא יוסי סבר כרבנן דגזרו וכו'.</w:t>
      </w:r>
      <w:r w:rsidRPr="00C26AFA">
        <w:rPr>
          <w:rFonts w:ascii="Narkisim" w:hAnsi="Narkisim"/>
          <w:rtl/>
        </w:rPr>
        <w:t xml:space="preserve"> ה</w:t>
      </w:r>
      <w:r w:rsidRPr="00C26AFA">
        <w:rPr>
          <w:rFonts w:ascii="Narkisim" w:hAnsi="Narkisim"/>
          <w:b/>
          <w:bCs/>
          <w:rtl/>
        </w:rPr>
        <w:t>פור"י</w:t>
      </w:r>
      <w:r w:rsidRPr="00C26AFA">
        <w:rPr>
          <w:rFonts w:ascii="Narkisim" w:hAnsi="Narkisim"/>
          <w:rtl/>
        </w:rPr>
        <w:t xml:space="preserve"> הקשה דאי הוה גזירה, נימא דהלכה כר' מאיר בגזירותיו</w:t>
      </w:r>
      <w:r w:rsidRPr="00C26AFA">
        <w:rPr>
          <w:rStyle w:val="ac"/>
          <w:rFonts w:ascii="Narkisim" w:hAnsi="Narkisim"/>
          <w:rtl/>
        </w:rPr>
        <w:footnoteReference w:id="3245"/>
      </w:r>
      <w:r w:rsidRPr="00C26AFA">
        <w:rPr>
          <w:rFonts w:ascii="Narkisim" w:hAnsi="Narkisim"/>
          <w:rtl/>
        </w:rPr>
        <w:t>, והכא לא קי"ל כר"מ</w:t>
      </w:r>
      <w:r w:rsidRPr="00C26AFA">
        <w:rPr>
          <w:rStyle w:val="ac"/>
          <w:rFonts w:ascii="Narkisim" w:hAnsi="Narkisim"/>
          <w:rtl/>
        </w:rPr>
        <w:footnoteReference w:id="3246"/>
      </w:r>
      <w:r w:rsidRPr="00C26AFA">
        <w:rPr>
          <w:rFonts w:ascii="Narkisim" w:hAnsi="Narkisim"/>
          <w:rtl/>
        </w:rPr>
        <w:t>.</w:t>
      </w:r>
    </w:p>
    <w:p w14:paraId="07548107" w14:textId="77777777" w:rsidR="006074A5" w:rsidRPr="00C26AFA" w:rsidRDefault="006074A5" w:rsidP="006074A5">
      <w:pPr>
        <w:pStyle w:val="a9"/>
        <w:bidi/>
        <w:rPr>
          <w:rFonts w:ascii="Narkisim" w:hAnsi="Narkisim"/>
          <w:sz w:val="20"/>
          <w:szCs w:val="20"/>
        </w:rPr>
      </w:pPr>
      <w:r w:rsidRPr="00C26AFA">
        <w:rPr>
          <w:rFonts w:ascii="Narkisim" w:hAnsi="Narkisim"/>
          <w:sz w:val="20"/>
          <w:szCs w:val="20"/>
          <w:rtl/>
        </w:rPr>
        <w:t>הדרן עלך פרק רבן גמליאל</w:t>
      </w:r>
    </w:p>
    <w:p w14:paraId="77061BC6" w14:textId="77777777" w:rsidR="006074A5" w:rsidRPr="00440CAB" w:rsidRDefault="006074A5" w:rsidP="006074A5">
      <w:pPr>
        <w:pStyle w:val="a9"/>
        <w:bidi/>
        <w:rPr>
          <w:rFonts w:ascii="Narkisim" w:hAnsi="Narkisim"/>
        </w:rPr>
      </w:pPr>
      <w:r w:rsidRPr="00440CAB">
        <w:rPr>
          <w:rFonts w:ascii="Narkisim" w:hAnsi="Narkisim"/>
          <w:rtl/>
        </w:rPr>
        <w:t>בס"ד</w:t>
      </w:r>
    </w:p>
    <w:p w14:paraId="4064700B" w14:textId="77777777" w:rsidR="006074A5" w:rsidRPr="00440CAB" w:rsidRDefault="006074A5" w:rsidP="006074A5">
      <w:pPr>
        <w:pStyle w:val="3"/>
        <w:bidi/>
        <w:rPr>
          <w:rFonts w:ascii="Narkisim" w:hAnsi="Narkisim"/>
          <w:szCs w:val="4"/>
        </w:rPr>
      </w:pPr>
      <w:r w:rsidRPr="00440CAB">
        <w:rPr>
          <w:rFonts w:ascii="Narkisim" w:hAnsi="Narkisim"/>
          <w:szCs w:val="4"/>
          <w:rtl/>
        </w:rPr>
        <w:t>דף נג:</w:t>
      </w:r>
    </w:p>
    <w:p w14:paraId="682B2C3D" w14:textId="77777777" w:rsidR="006074A5" w:rsidRPr="00440CAB" w:rsidRDefault="006074A5" w:rsidP="006074A5">
      <w:pPr>
        <w:pStyle w:val="1"/>
        <w:bidi/>
        <w:rPr>
          <w:rFonts w:ascii="Narkisim" w:hAnsi="Narkisim"/>
        </w:rPr>
      </w:pPr>
      <w:r w:rsidRPr="00440CAB">
        <w:rPr>
          <w:rFonts w:ascii="Narkisim" w:hAnsi="Narkisim"/>
          <w:rtl/>
        </w:rPr>
        <w:t>פרק הבא על יבמתו</w:t>
      </w:r>
    </w:p>
    <w:p w14:paraId="5B4CFC9F" w14:textId="77777777" w:rsidR="006074A5" w:rsidRPr="00440CAB" w:rsidRDefault="006074A5" w:rsidP="006074A5">
      <w:pPr>
        <w:bidi/>
        <w:rPr>
          <w:rFonts w:ascii="Narkisim" w:hAnsi="Narkisim" w:cs="Narkisim"/>
        </w:rPr>
      </w:pPr>
      <w:r w:rsidRPr="00440CAB">
        <w:rPr>
          <w:rFonts w:ascii="Narkisim" w:hAnsi="Narkisim" w:cs="Narkisim"/>
          <w:u w:val="single"/>
          <w:rtl/>
        </w:rPr>
        <w:t>בין בשוגג בין במזיד וכו' קנה.</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לשם זנות. וה</w:t>
      </w:r>
      <w:r w:rsidRPr="00440CAB">
        <w:rPr>
          <w:rFonts w:ascii="Narkisim" w:hAnsi="Narkisim" w:cs="Narkisim"/>
          <w:b/>
          <w:bCs/>
          <w:rtl/>
        </w:rPr>
        <w:t>רמב"ן</w:t>
      </w:r>
      <w:r w:rsidRPr="00440CAB">
        <w:rPr>
          <w:rFonts w:ascii="Narkisim" w:hAnsi="Narkisim" w:cs="Narkisim"/>
          <w:rtl/>
        </w:rPr>
        <w:t xml:space="preserve"> (לעיל לט:) כתב דמתני' דלא כאבא שאול, דלאבא שאול לשם זנות לא קנה. אבל ה</w:t>
      </w:r>
      <w:r w:rsidRPr="00440CAB">
        <w:rPr>
          <w:rFonts w:ascii="Narkisim" w:hAnsi="Narkisim" w:cs="Narkisim"/>
          <w:b/>
          <w:bCs/>
          <w:rtl/>
        </w:rPr>
        <w:t>אחרונים</w:t>
      </w:r>
      <w:r w:rsidRPr="00440CAB">
        <w:rPr>
          <w:rFonts w:ascii="Narkisim" w:hAnsi="Narkisim" w:cs="Narkisim"/>
          <w:rtl/>
        </w:rPr>
        <w:t xml:space="preserve"> הביאו דמדברי </w:t>
      </w:r>
      <w:r w:rsidRPr="00440CAB">
        <w:rPr>
          <w:rFonts w:ascii="Narkisim" w:hAnsi="Narkisim" w:cs="Narkisim"/>
          <w:b/>
          <w:bCs/>
          <w:rtl/>
        </w:rPr>
        <w:t>תוס</w:t>
      </w:r>
      <w:r w:rsidRPr="00440CAB">
        <w:rPr>
          <w:rFonts w:ascii="Narkisim" w:hAnsi="Narkisim" w:cs="Narkisim"/>
          <w:rtl/>
        </w:rPr>
        <w:t>'</w:t>
      </w:r>
      <w:r w:rsidRPr="00440CAB">
        <w:rPr>
          <w:rStyle w:val="ac"/>
          <w:rFonts w:ascii="Narkisim" w:hAnsi="Narkisim" w:cs="Narkisim"/>
          <w:rtl/>
        </w:rPr>
        <w:footnoteReference w:id="3247"/>
      </w:r>
      <w:r w:rsidRPr="00440CAB">
        <w:rPr>
          <w:rFonts w:ascii="Narkisim" w:hAnsi="Narkisim" w:cs="Narkisim"/>
          <w:rtl/>
        </w:rPr>
        <w:t xml:space="preserve"> מבואר דהך משנה קאי אף לאבא שאול.</w:t>
      </w:r>
    </w:p>
    <w:p w14:paraId="33843F26"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ו</w:t>
      </w:r>
      <w:r w:rsidRPr="00440CAB">
        <w:rPr>
          <w:rFonts w:ascii="Narkisim" w:hAnsi="Narkisim"/>
          <w:b/>
          <w:bCs/>
          <w:rtl/>
        </w:rPr>
        <w:t xml:space="preserve">נמוק"י </w:t>
      </w:r>
      <w:r w:rsidRPr="00440CAB">
        <w:rPr>
          <w:rFonts w:ascii="Narkisim" w:hAnsi="Narkisim"/>
          <w:rtl/>
        </w:rPr>
        <w:t>כת' דאפשר דאבא שאול מדרבנן קאמר, וקנה בדיעבד. וה</w:t>
      </w:r>
      <w:r w:rsidRPr="00440CAB">
        <w:rPr>
          <w:rFonts w:ascii="Narkisim" w:hAnsi="Narkisim"/>
          <w:b/>
          <w:bCs/>
          <w:rtl/>
        </w:rPr>
        <w:t>בי"ש</w:t>
      </w:r>
      <w:r w:rsidRPr="00440CAB">
        <w:rPr>
          <w:rFonts w:ascii="Narkisim" w:hAnsi="Narkisim"/>
          <w:rtl/>
        </w:rPr>
        <w:t xml:space="preserve"> (קסו ה) כתב די"ל דסברת אבא שאול דפגע בערוה מדאורייתא, ומ"מ קנה</w:t>
      </w:r>
      <w:r w:rsidRPr="00440CAB">
        <w:rPr>
          <w:rStyle w:val="ac"/>
          <w:rFonts w:ascii="Narkisim" w:hAnsi="Narkisim"/>
          <w:rtl/>
        </w:rPr>
        <w:footnoteReference w:id="3248"/>
      </w:r>
      <w:r w:rsidRPr="00440CAB">
        <w:rPr>
          <w:rFonts w:ascii="Narkisim" w:hAnsi="Narkisim"/>
          <w:rtl/>
        </w:rPr>
        <w:t xml:space="preserve">. </w:t>
      </w:r>
      <w:r w:rsidRPr="00440CAB">
        <w:rPr>
          <w:rFonts w:ascii="Narkisim" w:hAnsi="Narkisim"/>
          <w:szCs w:val="20"/>
          <w:rtl/>
        </w:rPr>
        <w:t>וה</w:t>
      </w:r>
      <w:r w:rsidRPr="00440CAB">
        <w:rPr>
          <w:rFonts w:ascii="Narkisim" w:hAnsi="Narkisim"/>
          <w:b/>
          <w:bCs/>
          <w:szCs w:val="20"/>
          <w:rtl/>
        </w:rPr>
        <w:t>אחרונים</w:t>
      </w:r>
      <w:r w:rsidRPr="00440CAB">
        <w:rPr>
          <w:rFonts w:ascii="Narkisim" w:hAnsi="Narkisim"/>
          <w:szCs w:val="20"/>
          <w:rtl/>
        </w:rPr>
        <w:t xml:space="preserve"> דנו בהא דאי' דקרוב בעיני להיות הולד ממזר, האם הולד</w:t>
      </w:r>
      <w:r w:rsidRPr="00440CAB">
        <w:rPr>
          <w:rStyle w:val="ac"/>
          <w:rFonts w:ascii="Narkisim" w:hAnsi="Narkisim"/>
          <w:szCs w:val="20"/>
          <w:rtl/>
        </w:rPr>
        <w:footnoteReference w:id="3249"/>
      </w:r>
      <w:r w:rsidRPr="00440CAB">
        <w:rPr>
          <w:rFonts w:ascii="Narkisim" w:hAnsi="Narkisim"/>
          <w:szCs w:val="20"/>
          <w:rtl/>
        </w:rPr>
        <w:t xml:space="preserve"> הוה ממזר ממש ליאסר בקהל</w:t>
      </w:r>
      <w:r w:rsidRPr="00440CAB">
        <w:rPr>
          <w:rStyle w:val="ac"/>
          <w:rFonts w:ascii="Narkisim" w:hAnsi="Narkisim"/>
          <w:rtl/>
        </w:rPr>
        <w:footnoteReference w:id="3250"/>
      </w:r>
      <w:r w:rsidRPr="00440CAB">
        <w:rPr>
          <w:rFonts w:ascii="Narkisim" w:hAnsi="Narkisim"/>
          <w:rtl/>
        </w:rPr>
        <w:t>. [וע' מש"כ לעיל לט:].</w:t>
      </w:r>
    </w:p>
    <w:p w14:paraId="7377510B"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נמוק"י</w:t>
      </w:r>
      <w:r w:rsidRPr="00440CAB">
        <w:rPr>
          <w:rFonts w:ascii="Narkisim" w:hAnsi="Narkisim" w:cs="Narkisim"/>
          <w:rtl/>
        </w:rPr>
        <w:t xml:space="preserve"> כתב דאף לרבנן אסור לעשות כן, דלכתחילה בעינן שיתכוון לשם מצווה.</w:t>
      </w:r>
      <w:r w:rsidRPr="00440CAB">
        <w:rPr>
          <w:rFonts w:ascii="Narkisim" w:hAnsi="Narkisim" w:cs="Narkisim"/>
          <w:sz w:val="20"/>
          <w:szCs w:val="20"/>
          <w:rtl/>
        </w:rPr>
        <w:t xml:space="preserve"> [אבל ה</w:t>
      </w:r>
      <w:r w:rsidRPr="00440CAB">
        <w:rPr>
          <w:rFonts w:ascii="Narkisim" w:hAnsi="Narkisim" w:cs="Narkisim"/>
          <w:b/>
          <w:bCs/>
          <w:sz w:val="20"/>
          <w:szCs w:val="20"/>
          <w:rtl/>
        </w:rPr>
        <w:t>ריטב"א</w:t>
      </w:r>
      <w:r w:rsidRPr="00440CAB">
        <w:rPr>
          <w:rFonts w:ascii="Narkisim" w:hAnsi="Narkisim" w:cs="Narkisim"/>
          <w:sz w:val="20"/>
          <w:szCs w:val="20"/>
          <w:rtl/>
        </w:rPr>
        <w:t xml:space="preserve"> כתב דלאבא שאול לכתחילה בעינן שיתכוון. ומשמע דלרבנן ל"צ</w:t>
      </w:r>
      <w:r w:rsidRPr="00440CAB">
        <w:rPr>
          <w:rStyle w:val="ac"/>
          <w:rFonts w:ascii="Narkisim" w:hAnsi="Narkisim" w:cs="Narkisim"/>
          <w:sz w:val="20"/>
          <w:szCs w:val="20"/>
          <w:rtl/>
        </w:rPr>
        <w:footnoteReference w:id="3251"/>
      </w:r>
      <w:r w:rsidRPr="00440CAB">
        <w:rPr>
          <w:rFonts w:ascii="Narkisim" w:hAnsi="Narkisim" w:cs="Narkisim"/>
          <w:sz w:val="20"/>
          <w:szCs w:val="20"/>
          <w:rtl/>
        </w:rPr>
        <w:t>].</w:t>
      </w:r>
    </w:p>
    <w:p w14:paraId="436D14B2" w14:textId="77777777" w:rsidR="006074A5" w:rsidRPr="00440CAB" w:rsidRDefault="006074A5" w:rsidP="006074A5">
      <w:pPr>
        <w:bidi/>
        <w:rPr>
          <w:rFonts w:ascii="Narkisim" w:hAnsi="Narkisim" w:cs="Narkisim"/>
        </w:rPr>
      </w:pPr>
      <w:r w:rsidRPr="00440CAB">
        <w:rPr>
          <w:rFonts w:ascii="Narkisim" w:hAnsi="Narkisim" w:cs="Narkisim"/>
          <w:u w:val="single"/>
          <w:rtl/>
        </w:rPr>
        <w:t>אפי' הוא שוגג וכו'</w:t>
      </w:r>
      <w:r w:rsidRPr="00440CAB">
        <w:rPr>
          <w:rFonts w:ascii="Narkisim" w:hAnsi="Narkisim" w:cs="Narkisim"/>
          <w:rtl/>
        </w:rPr>
        <w:t>. [ובגמ' ילפי' מקרא דקנה אפי' בשוגג]. ה</w:t>
      </w:r>
      <w:r w:rsidRPr="00440CAB">
        <w:rPr>
          <w:rFonts w:ascii="Narkisim" w:hAnsi="Narkisim" w:cs="Narkisim"/>
          <w:b/>
          <w:bCs/>
          <w:rtl/>
        </w:rPr>
        <w:t>אחרונים</w:t>
      </w:r>
      <w:r w:rsidRPr="00440CAB">
        <w:rPr>
          <w:rFonts w:ascii="Narkisim" w:hAnsi="Narkisim" w:cs="Narkisim"/>
          <w:rtl/>
        </w:rPr>
        <w:t xml:space="preserve"> למדו דהגדר דקנין יבום לא תלי בכוונתו. דאשה הקנו לו מן השמים. ונחשב שהיבם אינו עושה מעשה הקנין של יבום, אלא דהתורה מקנה ע"י מעשה דידיה</w:t>
      </w:r>
      <w:r w:rsidRPr="00440CAB">
        <w:rPr>
          <w:rStyle w:val="ac"/>
          <w:rFonts w:ascii="Narkisim" w:hAnsi="Narkisim" w:cs="Narkisim"/>
          <w:rtl/>
        </w:rPr>
        <w:footnoteReference w:id="3252"/>
      </w:r>
      <w:r w:rsidRPr="00440CAB">
        <w:rPr>
          <w:rFonts w:ascii="Narkisim" w:hAnsi="Narkisim" w:cs="Narkisim"/>
          <w:rtl/>
        </w:rPr>
        <w:t xml:space="preserve">. </w:t>
      </w:r>
      <w:r w:rsidRPr="00440CAB">
        <w:rPr>
          <w:rFonts w:ascii="Narkisim" w:hAnsi="Narkisim" w:cs="Narkisim"/>
          <w:sz w:val="20"/>
          <w:szCs w:val="20"/>
          <w:rtl/>
        </w:rPr>
        <w:t>[ועד"ז ביארו ה</w:t>
      </w:r>
      <w:r w:rsidRPr="00440CAB">
        <w:rPr>
          <w:rFonts w:ascii="Narkisim" w:hAnsi="Narkisim" w:cs="Narkisim"/>
          <w:b/>
          <w:bCs/>
          <w:sz w:val="20"/>
          <w:szCs w:val="20"/>
          <w:rtl/>
        </w:rPr>
        <w:t>אחרונים</w:t>
      </w:r>
      <w:r w:rsidRPr="00440CAB">
        <w:rPr>
          <w:rFonts w:ascii="Narkisim" w:hAnsi="Narkisim" w:cs="Narkisim"/>
          <w:sz w:val="20"/>
          <w:szCs w:val="20"/>
          <w:rtl/>
        </w:rPr>
        <w:t xml:space="preserve"> (הו' לעיל נב.) אף בחליצה, דמש"ה ל"מ תנאי לגמ' כתובות עד.].</w:t>
      </w:r>
    </w:p>
    <w:p w14:paraId="4ABFDAB0" w14:textId="77777777" w:rsidR="006074A5" w:rsidRPr="00440CAB" w:rsidRDefault="006074A5" w:rsidP="006074A5">
      <w:pPr>
        <w:pStyle w:val="a7"/>
        <w:bidi/>
        <w:rPr>
          <w:rFonts w:ascii="Narkisim" w:hAnsi="Narkisim"/>
        </w:rPr>
      </w:pPr>
      <w:r w:rsidRPr="00440CAB">
        <w:rPr>
          <w:rFonts w:ascii="Narkisim" w:hAnsi="Narkisim"/>
          <w:rtl/>
        </w:rPr>
        <w:t>אך ה</w:t>
      </w:r>
      <w:r w:rsidRPr="00440CAB">
        <w:rPr>
          <w:rFonts w:ascii="Narkisim" w:hAnsi="Narkisim"/>
          <w:b/>
          <w:bCs/>
          <w:rtl/>
        </w:rPr>
        <w:t>ר"ש איגר</w:t>
      </w:r>
      <w:r w:rsidRPr="00440CAB">
        <w:rPr>
          <w:rFonts w:ascii="Narkisim" w:hAnsi="Narkisim"/>
          <w:rtl/>
        </w:rPr>
        <w:t xml:space="preserve"> (שו"ת רע"א ק' רכא ה) נסתפק היכא דאמר בהדיא דאינו רוצה לקנות, האם אמרי' דאפ"ה קונה בע"כ. ודייק כן מה</w:t>
      </w:r>
      <w:r w:rsidRPr="00440CAB">
        <w:rPr>
          <w:rFonts w:ascii="Narkisim" w:hAnsi="Narkisim"/>
          <w:b/>
          <w:bCs/>
          <w:rtl/>
        </w:rPr>
        <w:t>נמוק"י</w:t>
      </w:r>
      <w:r w:rsidRPr="00440CAB">
        <w:rPr>
          <w:rFonts w:ascii="Narkisim" w:hAnsi="Narkisim"/>
          <w:rtl/>
        </w:rPr>
        <w:t xml:space="preserve"> (ע' לקמן נה:)</w:t>
      </w:r>
      <w:r w:rsidRPr="00440CAB">
        <w:rPr>
          <w:rStyle w:val="ac"/>
          <w:rFonts w:ascii="Narkisim" w:hAnsi="Narkisim"/>
          <w:rtl/>
        </w:rPr>
        <w:footnoteReference w:id="3253"/>
      </w:r>
      <w:r w:rsidRPr="00440CAB">
        <w:rPr>
          <w:rFonts w:ascii="Narkisim" w:hAnsi="Narkisim"/>
          <w:rtl/>
        </w:rPr>
        <w:t xml:space="preserve"> דהיכא דדעתו שלא לקנות </w:t>
      </w:r>
      <w:r w:rsidRPr="00440CAB">
        <w:rPr>
          <w:rFonts w:ascii="Narkisim" w:hAnsi="Narkisim"/>
          <w:rtl/>
        </w:rPr>
        <w:lastRenderedPageBreak/>
        <w:t>ל"ק</w:t>
      </w:r>
      <w:r w:rsidRPr="00440CAB">
        <w:rPr>
          <w:rStyle w:val="ac"/>
          <w:rFonts w:ascii="Narkisim" w:hAnsi="Narkisim"/>
          <w:rtl/>
        </w:rPr>
        <w:footnoteReference w:id="3254"/>
      </w:r>
      <w:r w:rsidRPr="00440CAB">
        <w:rPr>
          <w:rFonts w:ascii="Narkisim" w:hAnsi="Narkisim"/>
          <w:rtl/>
        </w:rPr>
        <w:t>. ו</w:t>
      </w:r>
      <w:r w:rsidRPr="00440CAB">
        <w:rPr>
          <w:rFonts w:ascii="Narkisim" w:hAnsi="Narkisim"/>
          <w:b/>
          <w:bCs/>
          <w:rtl/>
        </w:rPr>
        <w:t>רע"א</w:t>
      </w:r>
      <w:r w:rsidRPr="00440CAB">
        <w:rPr>
          <w:rFonts w:ascii="Narkisim" w:hAnsi="Narkisim"/>
          <w:rtl/>
        </w:rPr>
        <w:t xml:space="preserve"> (שו"ת רכב יד, ובחי' כאן) חלק דאף היכא דאינו רוצה לקנות, קונה בע"כ</w:t>
      </w:r>
      <w:r w:rsidRPr="00440CAB">
        <w:rPr>
          <w:rStyle w:val="ac"/>
          <w:rFonts w:ascii="Narkisim" w:hAnsi="Narkisim"/>
          <w:rtl/>
        </w:rPr>
        <w:footnoteReference w:id="3255"/>
      </w:r>
      <w:r w:rsidRPr="00440CAB">
        <w:rPr>
          <w:rFonts w:ascii="Narkisim" w:hAnsi="Narkisim"/>
          <w:rtl/>
        </w:rPr>
        <w:t>.</w:t>
      </w:r>
    </w:p>
    <w:p w14:paraId="3D356C9A" w14:textId="77777777" w:rsidR="006074A5" w:rsidRPr="00440CAB" w:rsidRDefault="006074A5" w:rsidP="006074A5">
      <w:pPr>
        <w:pStyle w:val="aa"/>
        <w:bidi/>
        <w:rPr>
          <w:rFonts w:ascii="Narkisim" w:hAnsi="Narkisim"/>
        </w:rPr>
      </w:pPr>
      <w:r w:rsidRPr="00440CAB">
        <w:rPr>
          <w:rFonts w:ascii="Narkisim" w:hAnsi="Narkisim"/>
          <w:u w:val="single"/>
          <w:rtl/>
        </w:rPr>
        <w:t>והיא מזידה וכו'</w:t>
      </w:r>
      <w:r w:rsidRPr="00440CAB">
        <w:rPr>
          <w:rFonts w:ascii="Narkisim" w:hAnsi="Narkisim"/>
          <w:rtl/>
        </w:rPr>
        <w:t>. ב</w:t>
      </w:r>
      <w:r w:rsidRPr="00440CAB">
        <w:rPr>
          <w:rFonts w:ascii="Narkisim" w:hAnsi="Narkisim"/>
          <w:b/>
          <w:bCs/>
          <w:rtl/>
        </w:rPr>
        <w:t>שו"ת הרדב"ז</w:t>
      </w:r>
      <w:r w:rsidRPr="00440CAB">
        <w:rPr>
          <w:rFonts w:ascii="Narkisim" w:hAnsi="Narkisim"/>
          <w:rtl/>
        </w:rPr>
        <w:t xml:space="preserve"> (א תנז) הביא ממעשה דיהודה עם תמר דלא כאבא שאול, שהרי לא נתכוון למצווה כלל, ויצאו מלכי בית דוד והמשיח. ויש </w:t>
      </w:r>
      <w:r w:rsidRPr="00440CAB">
        <w:rPr>
          <w:rFonts w:ascii="Narkisim" w:hAnsi="Narkisim"/>
          <w:b/>
          <w:bCs/>
          <w:rtl/>
        </w:rPr>
        <w:t>אחרונים</w:t>
      </w:r>
      <w:r w:rsidRPr="00440CAB">
        <w:rPr>
          <w:rFonts w:ascii="Narkisim" w:hAnsi="Narkisim"/>
          <w:rtl/>
        </w:rPr>
        <w:t xml:space="preserve"> שדחו דשאני התם דתמר נתכוונה. [ולפ"ז במשנה באמת מהני כוונת היבם או היבמה לאבא שאול</w:t>
      </w:r>
      <w:r w:rsidRPr="00440CAB">
        <w:rPr>
          <w:rStyle w:val="ac"/>
          <w:rFonts w:ascii="Narkisim" w:hAnsi="Narkisim"/>
          <w:rtl/>
        </w:rPr>
        <w:footnoteReference w:id="3256"/>
      </w:r>
      <w:r w:rsidRPr="00440CAB">
        <w:rPr>
          <w:rFonts w:ascii="Narkisim" w:hAnsi="Narkisim"/>
          <w:rtl/>
        </w:rPr>
        <w:t>]. אך מדברי אבא שאול משמע דתלי בדידיה</w:t>
      </w:r>
      <w:r w:rsidRPr="00440CAB">
        <w:rPr>
          <w:rStyle w:val="ac"/>
          <w:rFonts w:ascii="Narkisim" w:hAnsi="Narkisim"/>
          <w:rtl/>
        </w:rPr>
        <w:footnoteReference w:id="3257"/>
      </w:r>
      <w:r w:rsidRPr="00440CAB">
        <w:rPr>
          <w:rFonts w:ascii="Narkisim" w:hAnsi="Narkisim"/>
          <w:rtl/>
        </w:rPr>
        <w:t>, ולא מצאנו דמהני כוונה דידה</w:t>
      </w:r>
      <w:r w:rsidRPr="00440CAB">
        <w:rPr>
          <w:rStyle w:val="ac"/>
          <w:rFonts w:ascii="Narkisim" w:hAnsi="Narkisim"/>
          <w:rtl/>
        </w:rPr>
        <w:footnoteReference w:id="3258"/>
      </w:r>
      <w:r w:rsidRPr="00440CAB">
        <w:rPr>
          <w:rFonts w:ascii="Narkisim" w:hAnsi="Narkisim"/>
          <w:rtl/>
        </w:rPr>
        <w:t>.</w:t>
      </w:r>
    </w:p>
    <w:p w14:paraId="4594218B" w14:textId="77777777" w:rsidR="006074A5" w:rsidRPr="00440CAB" w:rsidRDefault="006074A5" w:rsidP="006074A5">
      <w:pPr>
        <w:pStyle w:val="aa"/>
        <w:bidi/>
        <w:rPr>
          <w:rFonts w:ascii="Narkisim" w:hAnsi="Narkisim"/>
        </w:rPr>
      </w:pPr>
      <w:r w:rsidRPr="00440CAB">
        <w:rPr>
          <w:rFonts w:ascii="Narkisim" w:hAnsi="Narkisim"/>
          <w:u w:val="single"/>
          <w:rtl/>
        </w:rPr>
        <w:t>הוא מזיד</w:t>
      </w:r>
      <w:r w:rsidRPr="00440CAB">
        <w:rPr>
          <w:rFonts w:ascii="Narkisim" w:hAnsi="Narkisim"/>
          <w:rtl/>
        </w:rPr>
        <w:t>. פ</w:t>
      </w:r>
      <w:r w:rsidRPr="00440CAB">
        <w:rPr>
          <w:rFonts w:ascii="Narkisim" w:hAnsi="Narkisim"/>
          <w:b/>
          <w:bCs/>
          <w:rtl/>
        </w:rPr>
        <w:t>רש"י</w:t>
      </w:r>
      <w:r w:rsidRPr="00440CAB">
        <w:rPr>
          <w:rFonts w:ascii="Narkisim" w:hAnsi="Narkisim"/>
          <w:rtl/>
        </w:rPr>
        <w:t xml:space="preserve"> לשם זנות. [שלא נתכוון לשם מצווה, וכמ"ש תוס' דמזיד ורצון הוה ב' מילי</w:t>
      </w:r>
      <w:r w:rsidRPr="00440CAB">
        <w:rPr>
          <w:rStyle w:val="ac"/>
          <w:rFonts w:ascii="Narkisim" w:hAnsi="Narkisim"/>
          <w:rtl/>
        </w:rPr>
        <w:footnoteReference w:id="3259"/>
      </w:r>
      <w:r w:rsidRPr="00440CAB">
        <w:rPr>
          <w:rFonts w:ascii="Narkisim" w:hAnsi="Narkisim"/>
          <w:rtl/>
        </w:rPr>
        <w:t>]. וכ"מ בגמ' דתני ר' חייא אפי' שניהם מזידים, ומבואר דיש בזה תוספת חידוש.</w:t>
      </w:r>
    </w:p>
    <w:p w14:paraId="5ED7A3EA" w14:textId="77777777" w:rsidR="006074A5" w:rsidRPr="00440CAB" w:rsidRDefault="006074A5" w:rsidP="006074A5">
      <w:pPr>
        <w:bidi/>
        <w:rPr>
          <w:rFonts w:ascii="Narkisim" w:hAnsi="Narkisim" w:cs="Narkisim"/>
        </w:rPr>
      </w:pPr>
      <w:r w:rsidRPr="00440CAB">
        <w:rPr>
          <w:rFonts w:ascii="Narkisim" w:hAnsi="Narkisim" w:cs="Narkisim"/>
          <w:u w:val="single"/>
          <w:rtl/>
        </w:rPr>
        <w:t>קנה</w:t>
      </w:r>
      <w:r w:rsidRPr="00440CAB">
        <w:rPr>
          <w:rFonts w:ascii="Narkisim" w:hAnsi="Narkisim" w:cs="Narkisim"/>
          <w:rtl/>
        </w:rPr>
        <w:t>. ה</w:t>
      </w:r>
      <w:r w:rsidRPr="00440CAB">
        <w:rPr>
          <w:rFonts w:ascii="Narkisim" w:hAnsi="Narkisim" w:cs="Narkisim"/>
          <w:b/>
          <w:bCs/>
          <w:rtl/>
        </w:rPr>
        <w:t>מנח"ח</w:t>
      </w:r>
      <w:r w:rsidRPr="00440CAB">
        <w:rPr>
          <w:rFonts w:ascii="Narkisim" w:hAnsi="Narkisim" w:cs="Narkisim"/>
          <w:rtl/>
        </w:rPr>
        <w:t xml:space="preserve"> (תקצח ו) כתב דאע"ג דקנאה, מ"מ למ"ד (ר"ה כח.) מצוות צריכות כוונה לא קיים את המצווה. וצריך לחזור ולבא עליה לשם מצוות יבום</w:t>
      </w:r>
      <w:r w:rsidRPr="00440CAB">
        <w:rPr>
          <w:rStyle w:val="ac"/>
          <w:rFonts w:ascii="Narkisim" w:hAnsi="Narkisim" w:cs="Narkisim"/>
          <w:rtl/>
        </w:rPr>
        <w:footnoteReference w:id="3260"/>
      </w:r>
      <w:r w:rsidRPr="00440CAB">
        <w:rPr>
          <w:rFonts w:ascii="Narkisim" w:hAnsi="Narkisim" w:cs="Narkisim"/>
          <w:rtl/>
        </w:rPr>
        <w:t>. וה</w:t>
      </w:r>
      <w:r w:rsidRPr="00440CAB">
        <w:rPr>
          <w:rFonts w:ascii="Narkisim" w:hAnsi="Narkisim" w:cs="Narkisim"/>
          <w:b/>
          <w:bCs/>
          <w:rtl/>
        </w:rPr>
        <w:t>קוב"ש</w:t>
      </w:r>
      <w:r w:rsidRPr="00440CAB">
        <w:rPr>
          <w:rFonts w:ascii="Narkisim" w:hAnsi="Narkisim" w:cs="Narkisim"/>
          <w:rtl/>
        </w:rPr>
        <w:t xml:space="preserve"> (כתובות רמט) חלק דל"ש מצוות צריכות כוונה ביבום, דעיקר המצווה הוא בתוצאה</w:t>
      </w:r>
      <w:r w:rsidRPr="00440CAB">
        <w:rPr>
          <w:rStyle w:val="ac"/>
          <w:rFonts w:ascii="Narkisim" w:hAnsi="Narkisim" w:cs="Narkisim"/>
          <w:rtl/>
        </w:rPr>
        <w:footnoteReference w:id="3261"/>
      </w:r>
      <w:r w:rsidRPr="00440CAB">
        <w:rPr>
          <w:rFonts w:ascii="Narkisim" w:hAnsi="Narkisim" w:cs="Narkisim"/>
          <w:rtl/>
        </w:rPr>
        <w:t xml:space="preserve">. </w:t>
      </w:r>
      <w:r w:rsidRPr="00440CAB">
        <w:rPr>
          <w:rFonts w:ascii="Narkisim" w:hAnsi="Narkisim" w:cs="Narkisim"/>
          <w:sz w:val="20"/>
          <w:szCs w:val="20"/>
          <w:rtl/>
        </w:rPr>
        <w:t xml:space="preserve">[וכמו פריה ורביה ופריעת בע"ח, דאף אם לא נתכוון ודאי יצא. אך כמה </w:t>
      </w:r>
      <w:r w:rsidRPr="00440CAB">
        <w:rPr>
          <w:rFonts w:ascii="Narkisim" w:hAnsi="Narkisim" w:cs="Narkisim"/>
          <w:b/>
          <w:bCs/>
          <w:sz w:val="20"/>
          <w:szCs w:val="20"/>
          <w:rtl/>
        </w:rPr>
        <w:t>אחרונים</w:t>
      </w:r>
      <w:r w:rsidRPr="00440CAB">
        <w:rPr>
          <w:rFonts w:ascii="Narkisim" w:hAnsi="Narkisim" w:cs="Narkisim"/>
          <w:sz w:val="20"/>
          <w:szCs w:val="20"/>
          <w:rtl/>
        </w:rPr>
        <w:t xml:space="preserve"> נקטו דלא כן. ואף היכא דעיקר המצווה בתוצאה לא קיים המצווה בלא כוונה</w:t>
      </w:r>
      <w:r w:rsidRPr="00440CAB">
        <w:rPr>
          <w:rStyle w:val="ac"/>
          <w:rFonts w:ascii="Narkisim" w:hAnsi="Narkisim" w:cs="Narkisim"/>
          <w:sz w:val="20"/>
          <w:szCs w:val="20"/>
          <w:rtl/>
        </w:rPr>
        <w:footnoteReference w:id="3262"/>
      </w:r>
      <w:r w:rsidRPr="00440CAB">
        <w:rPr>
          <w:rFonts w:ascii="Narkisim" w:hAnsi="Narkisim" w:cs="Narkisim"/>
          <w:sz w:val="20"/>
          <w:szCs w:val="20"/>
          <w:rtl/>
        </w:rPr>
        <w:t>].</w:t>
      </w:r>
    </w:p>
    <w:p w14:paraId="11B840B8" w14:textId="77777777" w:rsidR="006074A5" w:rsidRPr="00440CAB" w:rsidRDefault="006074A5" w:rsidP="006074A5">
      <w:pPr>
        <w:pStyle w:val="a8"/>
        <w:bidi/>
        <w:rPr>
          <w:rFonts w:ascii="Narkisim" w:hAnsi="Narkisim"/>
        </w:rPr>
      </w:pPr>
      <w:r w:rsidRPr="00440CAB">
        <w:rPr>
          <w:rFonts w:ascii="Narkisim" w:hAnsi="Narkisim"/>
          <w:rtl/>
        </w:rPr>
        <w:t>ועוד העירו ה</w:t>
      </w:r>
      <w:r w:rsidRPr="00440CAB">
        <w:rPr>
          <w:rFonts w:ascii="Narkisim" w:hAnsi="Narkisim"/>
          <w:b/>
          <w:bCs/>
          <w:rtl/>
        </w:rPr>
        <w:t>אחרונים</w:t>
      </w:r>
      <w:r w:rsidRPr="00440CAB">
        <w:rPr>
          <w:rFonts w:ascii="Narkisim" w:hAnsi="Narkisim"/>
          <w:rtl/>
        </w:rPr>
        <w:t xml:space="preserve"> דאחרי שכבר קנאה ונעשית כאשתו ל"ש לקיים מצוות יבום. אך הביאו דכן מבואר ברמב"ן (לעיל כ:) דמקיים המצווה אף אחרי שכבר קנאה [וע' מש"כ שם. וע"ע רמב"ן כט. אחר מאמר לבי"ש].</w:t>
      </w:r>
    </w:p>
    <w:p w14:paraId="64979E38" w14:textId="77777777" w:rsidR="006074A5" w:rsidRPr="00440CAB" w:rsidRDefault="006074A5" w:rsidP="006074A5">
      <w:pPr>
        <w:bidi/>
        <w:rPr>
          <w:rFonts w:ascii="Narkisim" w:hAnsi="Narkisim" w:cs="Narkisim"/>
        </w:rPr>
      </w:pPr>
      <w:r w:rsidRPr="00440CAB">
        <w:rPr>
          <w:rFonts w:ascii="Narkisim" w:hAnsi="Narkisim" w:cs="Narkisim"/>
          <w:u w:val="single"/>
          <w:rtl/>
        </w:rPr>
        <w:t>רש"י ד"ה מזיד.</w:t>
      </w:r>
      <w:r w:rsidRPr="00440CAB">
        <w:rPr>
          <w:rFonts w:ascii="Narkisim" w:hAnsi="Narkisim" w:cs="Narkisim"/>
          <w:rtl/>
        </w:rPr>
        <w:t xml:space="preserve"> ולא לשם מצוה. משמע דעיקר הכוונה הוא לשם מצות היבום, ולא לשם קנין היבום. וכן לשון הגמ' בסמוך.</w:t>
      </w:r>
    </w:p>
    <w:p w14:paraId="279DC035"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חכ"צ</w:t>
      </w:r>
      <w:r w:rsidRPr="00440CAB">
        <w:rPr>
          <w:rFonts w:ascii="Narkisim" w:hAnsi="Narkisim"/>
          <w:rtl/>
        </w:rPr>
        <w:t xml:space="preserve"> (א) חקר גבי חליצה דבעי כוונה, האם תליא בכוונת מצוה או כוונת קנין. והחכ"צ כת' ליישב הא דבעי קרא למעט קטן מחליצה, ואף דאין לו דעת קנין, שהרי יש דעת אחרת מקנה</w:t>
      </w:r>
      <w:r w:rsidRPr="00440CAB">
        <w:rPr>
          <w:rStyle w:val="ac"/>
          <w:rFonts w:ascii="Narkisim" w:hAnsi="Narkisim"/>
          <w:rtl/>
        </w:rPr>
        <w:footnoteReference w:id="3263"/>
      </w:r>
      <w:r w:rsidRPr="00440CAB">
        <w:rPr>
          <w:rFonts w:ascii="Narkisim" w:hAnsi="Narkisim"/>
          <w:rtl/>
        </w:rPr>
        <w:t>. וה</w:t>
      </w:r>
      <w:r w:rsidRPr="00440CAB">
        <w:rPr>
          <w:rFonts w:ascii="Narkisim" w:hAnsi="Narkisim"/>
          <w:b/>
          <w:bCs/>
          <w:rtl/>
        </w:rPr>
        <w:t>בי"מ</w:t>
      </w:r>
      <w:r w:rsidRPr="00440CAB">
        <w:rPr>
          <w:rFonts w:ascii="Narkisim" w:hAnsi="Narkisim"/>
          <w:rtl/>
        </w:rPr>
        <w:t xml:space="preserve"> (קסט מד) כתב דאף בחליצה תליא בכוונת מצוה.</w:t>
      </w:r>
    </w:p>
    <w:p w14:paraId="69E38060" w14:textId="77777777" w:rsidR="006074A5" w:rsidRPr="00440CAB" w:rsidRDefault="006074A5" w:rsidP="006074A5">
      <w:pPr>
        <w:pStyle w:val="aa"/>
        <w:bidi/>
        <w:rPr>
          <w:rFonts w:ascii="Narkisim" w:hAnsi="Narkisim"/>
        </w:rPr>
      </w:pPr>
      <w:r w:rsidRPr="00440CAB">
        <w:rPr>
          <w:rFonts w:ascii="Narkisim" w:hAnsi="Narkisim"/>
          <w:u w:val="single"/>
          <w:rtl/>
        </w:rPr>
        <w:t>תוד"ה הוא</w:t>
      </w:r>
      <w:r w:rsidRPr="00440CAB">
        <w:rPr>
          <w:rFonts w:ascii="Narkisim" w:hAnsi="Narkisim"/>
          <w:rtl/>
        </w:rPr>
        <w:t>. תימה דהו"ל למינקט שניהם אנוסים, דהוה רבותא טפי. [ובגמ' תני ר' חייא דאפי' תרוייהו אנוסים]. ו</w:t>
      </w:r>
      <w:r w:rsidRPr="00440CAB">
        <w:rPr>
          <w:rFonts w:ascii="Narkisim" w:hAnsi="Narkisim"/>
          <w:b/>
          <w:bCs/>
          <w:rtl/>
        </w:rPr>
        <w:t>תוס</w:t>
      </w:r>
      <w:r w:rsidRPr="00440CAB">
        <w:rPr>
          <w:rFonts w:ascii="Narkisim" w:hAnsi="Narkisim"/>
          <w:rtl/>
        </w:rPr>
        <w:t>' (מעילה ב.) כת' דכן דרך המשנה ששונה כל א' בפנ"ע, ולא חש לשנותם יחד. ובמשנה שייריה אע"ג דהוי רבותא טפי, משום דמסתמא כיון דשמעת חדא לריעותא ה"ה בתרתי.</w:t>
      </w:r>
    </w:p>
    <w:p w14:paraId="57C0DBE2" w14:textId="77777777" w:rsidR="006074A5" w:rsidRPr="00440CAB" w:rsidRDefault="006074A5" w:rsidP="006074A5">
      <w:pPr>
        <w:pStyle w:val="aa"/>
        <w:bidi/>
        <w:rPr>
          <w:rFonts w:ascii="Narkisim" w:hAnsi="Narkisim"/>
        </w:rPr>
      </w:pPr>
      <w:r w:rsidRPr="00440CAB">
        <w:rPr>
          <w:rFonts w:ascii="Narkisim" w:hAnsi="Narkisim"/>
          <w:u w:val="single"/>
          <w:rtl/>
        </w:rPr>
        <w:t>רש"י ד"ה פסולה.</w:t>
      </w:r>
      <w:r w:rsidRPr="00440CAB">
        <w:rPr>
          <w:rFonts w:ascii="Narkisim" w:hAnsi="Narkisim"/>
          <w:rtl/>
        </w:rPr>
        <w:t xml:space="preserve"> משום זונה. בפשוטו קאי אמש"כ לעיל, בפסולות לכהונה. ועפ"ז דייק ב</w:t>
      </w:r>
      <w:r w:rsidRPr="00440CAB">
        <w:rPr>
          <w:rFonts w:ascii="Narkisim" w:hAnsi="Narkisim"/>
          <w:b/>
          <w:bCs/>
          <w:rtl/>
        </w:rPr>
        <w:t>הג' ר"א לנדא</w:t>
      </w:r>
      <w:r w:rsidRPr="00440CAB">
        <w:rPr>
          <w:rFonts w:ascii="Narkisim" w:hAnsi="Narkisim"/>
          <w:rtl/>
        </w:rPr>
        <w:t xml:space="preserve"> דבכל ביאת איסור נעשית זונה, ואף בפסולי כהונה. אע"ג דהוה ל"ת שאינו שווה בכל</w:t>
      </w:r>
      <w:r w:rsidRPr="00440CAB">
        <w:rPr>
          <w:rStyle w:val="ac"/>
          <w:rFonts w:ascii="Narkisim" w:hAnsi="Narkisim"/>
          <w:rtl/>
        </w:rPr>
        <w:footnoteReference w:id="3264"/>
      </w:r>
      <w:r w:rsidRPr="00440CAB">
        <w:rPr>
          <w:rFonts w:ascii="Narkisim" w:hAnsi="Narkisim"/>
          <w:rtl/>
        </w:rPr>
        <w:t>. וכחד תנא (לקמן סא:). אבל ה</w:t>
      </w:r>
      <w:r w:rsidRPr="00440CAB">
        <w:rPr>
          <w:rFonts w:ascii="Narkisim" w:hAnsi="Narkisim"/>
          <w:b/>
          <w:bCs/>
          <w:rtl/>
        </w:rPr>
        <w:t>רש"ש</w:t>
      </w:r>
      <w:r w:rsidRPr="00440CAB">
        <w:rPr>
          <w:rFonts w:ascii="Narkisim" w:hAnsi="Narkisim"/>
          <w:rtl/>
        </w:rPr>
        <w:t xml:space="preserve"> כתב דקאי רק אחייבי כריתות, ובפסולי כהונה נעשית חללה. וכתב דנפק"מ דכהן לוקה משום חללה, והוה איסור מוסיף (וכדאי' קידושין עז:).</w:t>
      </w:r>
    </w:p>
    <w:p w14:paraId="1CC0545B" w14:textId="77777777" w:rsidR="006074A5" w:rsidRPr="00440CAB" w:rsidRDefault="006074A5" w:rsidP="006074A5">
      <w:pPr>
        <w:bidi/>
        <w:rPr>
          <w:rFonts w:ascii="Narkisim" w:hAnsi="Narkisim" w:cs="Narkisim"/>
        </w:rPr>
      </w:pPr>
      <w:r w:rsidRPr="00440CAB">
        <w:rPr>
          <w:rFonts w:ascii="Narkisim" w:hAnsi="Narkisim" w:cs="Narkisim"/>
          <w:u w:val="single"/>
          <w:rtl/>
        </w:rPr>
        <w:t>רש"י ד"ה ממזרת.</w:t>
      </w:r>
      <w:r w:rsidRPr="00440CAB">
        <w:rPr>
          <w:rFonts w:ascii="Narkisim" w:hAnsi="Narkisim" w:cs="Narkisim"/>
          <w:rtl/>
        </w:rPr>
        <w:t xml:space="preserve"> ולענין תרומה דבי נשא ליכא למימר, ועוד ביאת כשר מאי מגרעא וכו'</w:t>
      </w:r>
      <w:r w:rsidRPr="00440CAB">
        <w:rPr>
          <w:rFonts w:ascii="Narkisim" w:hAnsi="Narkisim" w:cs="Narkisim"/>
          <w:sz w:val="20"/>
          <w:szCs w:val="20"/>
          <w:rtl/>
        </w:rPr>
        <w:t>. [ו</w:t>
      </w:r>
      <w:r w:rsidRPr="00440CAB">
        <w:rPr>
          <w:rFonts w:ascii="Narkisim" w:hAnsi="Narkisim" w:cs="Narkisim"/>
          <w:b/>
          <w:bCs/>
          <w:sz w:val="20"/>
          <w:szCs w:val="20"/>
          <w:rtl/>
        </w:rPr>
        <w:t>תוס</w:t>
      </w:r>
      <w:r w:rsidRPr="00440CAB">
        <w:rPr>
          <w:rFonts w:ascii="Narkisim" w:hAnsi="Narkisim" w:cs="Narkisim"/>
          <w:sz w:val="20"/>
          <w:szCs w:val="20"/>
          <w:rtl/>
        </w:rPr>
        <w:t>' (נו.) כת' רק הטעם הראשון].</w:t>
      </w:r>
      <w:r w:rsidRPr="00440CAB">
        <w:rPr>
          <w:rFonts w:ascii="Narkisim" w:hAnsi="Narkisim" w:cs="Narkisim"/>
          <w:rtl/>
        </w:rPr>
        <w:t xml:space="preserve"> וה</w:t>
      </w:r>
      <w:r w:rsidRPr="00440CAB">
        <w:rPr>
          <w:rFonts w:ascii="Narkisim" w:hAnsi="Narkisim" w:cs="Narkisim"/>
          <w:b/>
          <w:bCs/>
          <w:rtl/>
        </w:rPr>
        <w:t>ריטב"א</w:t>
      </w:r>
      <w:r w:rsidRPr="00440CAB">
        <w:rPr>
          <w:rFonts w:ascii="Narkisim" w:hAnsi="Narkisim" w:cs="Narkisim"/>
          <w:rtl/>
        </w:rPr>
        <w:t xml:space="preserve"> פי' כוונת רש"י דממזרת שהיא בת כהן, כיון דאמה היתה זונה, אף הבת נפסלת. שהולד שהוא 'בן זונה' פסולה לכהונה [ושם 'בן זונה' פוסל מתרומה]. </w:t>
      </w:r>
      <w:r w:rsidRPr="00440CAB">
        <w:rPr>
          <w:rFonts w:ascii="Narkisim" w:hAnsi="Narkisim" w:cs="Narkisim"/>
          <w:i/>
          <w:iCs/>
          <w:rtl/>
        </w:rPr>
        <w:t>ועוד</w:t>
      </w:r>
      <w:r w:rsidRPr="00440CAB">
        <w:rPr>
          <w:rFonts w:ascii="Narkisim" w:hAnsi="Narkisim" w:cs="Narkisim"/>
          <w:rtl/>
        </w:rPr>
        <w:t xml:space="preserve"> כשתמצא לומר דלא נפסלת בתרומה מחמת זנות אמה, מ"מ ביאת ישראל כשר לא גרעא בה</w:t>
      </w:r>
      <w:r w:rsidRPr="00440CAB">
        <w:rPr>
          <w:rStyle w:val="ac"/>
          <w:rFonts w:ascii="Narkisim" w:hAnsi="Narkisim" w:cs="Narkisim"/>
          <w:rtl/>
        </w:rPr>
        <w:footnoteReference w:id="3265"/>
      </w:r>
      <w:r w:rsidRPr="00440CAB">
        <w:rPr>
          <w:rFonts w:ascii="Narkisim" w:hAnsi="Narkisim" w:cs="Narkisim"/>
          <w:rtl/>
        </w:rPr>
        <w:t>.</w:t>
      </w:r>
    </w:p>
    <w:p w14:paraId="1970E613" w14:textId="77777777" w:rsidR="006074A5" w:rsidRPr="00440CAB" w:rsidRDefault="006074A5" w:rsidP="006074A5">
      <w:pPr>
        <w:pStyle w:val="a8"/>
        <w:bidi/>
        <w:rPr>
          <w:rFonts w:ascii="Narkisim" w:hAnsi="Narkisim"/>
        </w:rPr>
      </w:pPr>
      <w:r w:rsidRPr="00440CAB">
        <w:rPr>
          <w:rFonts w:ascii="Narkisim" w:hAnsi="Narkisim"/>
          <w:rtl/>
        </w:rPr>
        <w:t>ובגמ' (קידושין עח.) איתא דכהן הבא על אחותו עשאה זונה, וכשחזר ובא עליה עשאה חללה. צ"ל דהריטב"א איירי בולד מביאה ראשונה. דלאחר שנעשית חללה, אף הולד נתחלל ואינו כהן</w:t>
      </w:r>
      <w:r w:rsidRPr="00440CAB">
        <w:rPr>
          <w:rStyle w:val="ac"/>
          <w:rFonts w:ascii="Narkisim" w:hAnsi="Narkisim"/>
          <w:rtl/>
        </w:rPr>
        <w:footnoteReference w:id="3266"/>
      </w:r>
      <w:r w:rsidRPr="00440CAB">
        <w:rPr>
          <w:rFonts w:ascii="Narkisim" w:hAnsi="Narkisim"/>
          <w:rtl/>
        </w:rPr>
        <w:t>.</w:t>
      </w:r>
    </w:p>
    <w:p w14:paraId="1B373787" w14:textId="77777777" w:rsidR="006074A5" w:rsidRPr="00440CAB" w:rsidRDefault="006074A5" w:rsidP="006074A5">
      <w:pPr>
        <w:pStyle w:val="a7"/>
        <w:bidi/>
        <w:rPr>
          <w:rFonts w:ascii="Narkisim" w:hAnsi="Narkisim"/>
        </w:rPr>
      </w:pPr>
      <w:r w:rsidRPr="00440CAB">
        <w:rPr>
          <w:rFonts w:ascii="Narkisim" w:hAnsi="Narkisim"/>
          <w:rtl/>
        </w:rPr>
        <w:lastRenderedPageBreak/>
        <w:t>ומבואר בריטב"א דרש"י נסתפק האם יתכן בת כהן שהיא ממזרת [ולא נתחללה]. או דכיון דאמה נעשית זונה, הולד הוה 'בן זונה'</w:t>
      </w:r>
      <w:r w:rsidRPr="00440CAB">
        <w:rPr>
          <w:rStyle w:val="ac"/>
          <w:rFonts w:ascii="Narkisim" w:hAnsi="Narkisim"/>
          <w:rtl/>
        </w:rPr>
        <w:footnoteReference w:id="3267"/>
      </w:r>
      <w:r w:rsidRPr="00440CAB">
        <w:rPr>
          <w:rFonts w:ascii="Narkisim" w:hAnsi="Narkisim"/>
          <w:rtl/>
        </w:rPr>
        <w:t xml:space="preserve"> ופסול מתרומה. וה</w:t>
      </w:r>
      <w:r w:rsidRPr="00440CAB">
        <w:rPr>
          <w:rFonts w:ascii="Narkisim" w:hAnsi="Narkisim"/>
          <w:b/>
          <w:bCs/>
          <w:rtl/>
        </w:rPr>
        <w:t>אחרונים</w:t>
      </w:r>
      <w:r w:rsidRPr="00440CAB">
        <w:rPr>
          <w:rFonts w:ascii="Narkisim" w:hAnsi="Narkisim"/>
          <w:rtl/>
        </w:rPr>
        <w:t xml:space="preserve"> (דבר אברהם ב כג) הקשו דבגמ' (לעיל מד:) אי' דהבא על ערוה לר' יהושע, כיון דבא עליה עשאה זונה. ודנו לפסול את הולד שיהא פגום משום ק"ו</w:t>
      </w:r>
      <w:r w:rsidRPr="00440CAB">
        <w:rPr>
          <w:rStyle w:val="ac"/>
          <w:rFonts w:ascii="Narkisim" w:hAnsi="Narkisim"/>
          <w:rtl/>
        </w:rPr>
        <w:footnoteReference w:id="3268"/>
      </w:r>
      <w:r w:rsidRPr="00440CAB">
        <w:rPr>
          <w:rFonts w:ascii="Narkisim" w:hAnsi="Narkisim"/>
          <w:rtl/>
        </w:rPr>
        <w:t xml:space="preserve">. ולא אמרי' דהולד הוה בן זונה. ויש </w:t>
      </w:r>
      <w:r w:rsidRPr="00440CAB">
        <w:rPr>
          <w:rFonts w:ascii="Narkisim" w:hAnsi="Narkisim"/>
          <w:b/>
          <w:bCs/>
          <w:rtl/>
        </w:rPr>
        <w:t>אחרונים</w:t>
      </w:r>
      <w:r w:rsidRPr="00440CAB">
        <w:rPr>
          <w:rFonts w:ascii="Narkisim" w:hAnsi="Narkisim"/>
          <w:rtl/>
        </w:rPr>
        <w:t xml:space="preserve"> שכת' דה"נ כוונת רש"י בסוגיין משום ק"ו דהתם, דהולד הוה פגום לכהונה מק"ו דאלמנה לכה"ג. (וכ"כ בשו"ת הרשב"א א אלף רא).</w:t>
      </w:r>
    </w:p>
    <w:p w14:paraId="3059FA9B"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הק' דמדברי רש"י (מד:) משמע דהך ק"ו קאי דוקא לפסול את הבת. אבל הבן אינו נפסל. [ע' מה שהו' לעיל שם]. אך בחי' ר' שמואל (י) דייק מדברי רש"י (מה.) דדוקא התם שהבן אינו כהן לא ילפי' ק"ו לבן [שיפסול דורותיו]. אבל רש"י מודה דבכהן מהני ק"ו לחלל הבן שלא יהא כהן.</w:t>
      </w:r>
    </w:p>
    <w:p w14:paraId="06EFC781" w14:textId="77777777" w:rsidR="006074A5" w:rsidRPr="00440CAB" w:rsidRDefault="006074A5" w:rsidP="006074A5">
      <w:pPr>
        <w:pStyle w:val="a7"/>
        <w:bidi/>
        <w:rPr>
          <w:rFonts w:ascii="Narkisim" w:hAnsi="Narkisim"/>
        </w:rPr>
      </w:pPr>
      <w:r w:rsidRPr="00440CAB">
        <w:rPr>
          <w:rFonts w:ascii="Narkisim" w:hAnsi="Narkisim"/>
          <w:rtl/>
        </w:rPr>
        <w:t>וב</w:t>
      </w:r>
      <w:r w:rsidRPr="00440CAB">
        <w:rPr>
          <w:rFonts w:ascii="Narkisim" w:hAnsi="Narkisim"/>
          <w:b/>
          <w:bCs/>
          <w:rtl/>
        </w:rPr>
        <w:t>חי' ר' שמואל</w:t>
      </w:r>
      <w:r w:rsidRPr="00440CAB">
        <w:rPr>
          <w:rFonts w:ascii="Narkisim" w:hAnsi="Narkisim"/>
          <w:rtl/>
        </w:rPr>
        <w:t xml:space="preserve"> (י יז) יישב דרק במקום דהוה כהן מהני פסול זה לאסור הבנים.</w:t>
      </w:r>
    </w:p>
    <w:p w14:paraId="37C5665F"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אמר"מ</w:t>
      </w:r>
      <w:r w:rsidRPr="00440CAB">
        <w:rPr>
          <w:rFonts w:ascii="Narkisim" w:hAnsi="Narkisim"/>
          <w:rtl/>
        </w:rPr>
        <w:t xml:space="preserve"> (י א) כתב לפרש דכוונת הריטב"א דבהעראה נעשית זונה, ובגמ"ב הוה חלל</w:t>
      </w:r>
      <w:r w:rsidRPr="00440CAB">
        <w:rPr>
          <w:rStyle w:val="ac"/>
          <w:rFonts w:ascii="Narkisim" w:hAnsi="Narkisim"/>
          <w:rtl/>
        </w:rPr>
        <w:footnoteReference w:id="3269"/>
      </w:r>
      <w:r w:rsidRPr="00440CAB">
        <w:rPr>
          <w:rFonts w:ascii="Narkisim" w:hAnsi="Narkisim"/>
          <w:rtl/>
        </w:rPr>
        <w:t>.</w:t>
      </w:r>
    </w:p>
    <w:p w14:paraId="2AF5216E"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רמב"ם</w:t>
      </w:r>
      <w:r w:rsidRPr="00440CAB">
        <w:rPr>
          <w:rFonts w:ascii="Narkisim" w:hAnsi="Narkisim" w:cs="Narkisim"/>
          <w:rtl/>
        </w:rPr>
        <w:t xml:space="preserve"> (איסו"ב יט ה) כתב דכהן הבא על שומרת יבם אף דעושה את האשה זונה, הולד מביאה ראשונה כשר לכהונה [מבואר דלא ס"ל כסברת הריטב"א דהוה בן זונה</w:t>
      </w:r>
      <w:r w:rsidRPr="00440CAB">
        <w:rPr>
          <w:rStyle w:val="ac"/>
          <w:rFonts w:ascii="Narkisim" w:hAnsi="Narkisim" w:cs="Narkisim"/>
          <w:rtl/>
        </w:rPr>
        <w:footnoteReference w:id="3270"/>
      </w:r>
      <w:r w:rsidRPr="00440CAB">
        <w:rPr>
          <w:rFonts w:ascii="Narkisim" w:hAnsi="Narkisim" w:cs="Narkisim"/>
          <w:rtl/>
        </w:rPr>
        <w:t>]. ו</w:t>
      </w:r>
      <w:r w:rsidRPr="00440CAB">
        <w:rPr>
          <w:rFonts w:ascii="Narkisim" w:hAnsi="Narkisim" w:cs="Narkisim"/>
          <w:b/>
          <w:bCs/>
          <w:rtl/>
        </w:rPr>
        <w:t>ה"ה</w:t>
      </w:r>
      <w:r w:rsidRPr="00440CAB">
        <w:rPr>
          <w:rFonts w:ascii="Narkisim" w:hAnsi="Narkisim" w:cs="Narkisim"/>
          <w:rtl/>
        </w:rPr>
        <w:t xml:space="preserve"> ביאר דהרמב"ם כתב כן רק בשומרת יבם, דבעריות הולד ממזר.</w:t>
      </w:r>
    </w:p>
    <w:p w14:paraId="1910476A"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(ע' </w:t>
      </w:r>
      <w:r w:rsidRPr="00440CAB">
        <w:rPr>
          <w:rFonts w:ascii="Narkisim" w:hAnsi="Narkisim"/>
          <w:b/>
          <w:bCs/>
          <w:rtl/>
        </w:rPr>
        <w:t>פוסקים</w:t>
      </w:r>
      <w:r w:rsidRPr="00440CAB">
        <w:rPr>
          <w:rFonts w:ascii="Narkisim" w:hAnsi="Narkisim"/>
          <w:rtl/>
        </w:rPr>
        <w:t xml:space="preserve"> ז יד) דייקו מדברי המגיד משנה דכיון שהוא ממזר אינו כהן. [דשם הממזרות מפקיע את הכהונה</w:t>
      </w:r>
      <w:r w:rsidRPr="00440CAB">
        <w:rPr>
          <w:rStyle w:val="ac"/>
          <w:rFonts w:ascii="Narkisim" w:hAnsi="Narkisim"/>
          <w:rtl/>
        </w:rPr>
        <w:footnoteReference w:id="3271"/>
      </w:r>
      <w:r w:rsidRPr="00440CAB">
        <w:rPr>
          <w:rFonts w:ascii="Narkisim" w:hAnsi="Narkisim"/>
          <w:rtl/>
        </w:rPr>
        <w:t>, ולא משום דנפסלה אמו]. אבל ה</w:t>
      </w:r>
      <w:r w:rsidRPr="00440CAB">
        <w:rPr>
          <w:rFonts w:ascii="Narkisim" w:hAnsi="Narkisim"/>
          <w:b/>
          <w:bCs/>
          <w:rtl/>
        </w:rPr>
        <w:t>ט"ז</w:t>
      </w:r>
      <w:r w:rsidRPr="00440CAB">
        <w:rPr>
          <w:rFonts w:ascii="Narkisim" w:hAnsi="Narkisim"/>
          <w:rtl/>
        </w:rPr>
        <w:t xml:space="preserve"> (ז יד) כת' דכהן ממזר אוכל בתרומה, ונסתפק האם מטמא למתים</w:t>
      </w:r>
      <w:r w:rsidRPr="00440CAB">
        <w:rPr>
          <w:rStyle w:val="ac"/>
          <w:rFonts w:ascii="Narkisim" w:hAnsi="Narkisim"/>
          <w:rtl/>
        </w:rPr>
        <w:footnoteReference w:id="3272"/>
      </w:r>
      <w:r w:rsidRPr="00440CAB">
        <w:rPr>
          <w:rFonts w:ascii="Narkisim" w:hAnsi="Narkisim"/>
          <w:rtl/>
        </w:rPr>
        <w:t xml:space="preserve"> [וציין ללקמן ק:</w:t>
      </w:r>
      <w:r w:rsidRPr="00440CAB">
        <w:rPr>
          <w:rStyle w:val="ac"/>
          <w:rFonts w:ascii="Narkisim" w:hAnsi="Narkisim"/>
          <w:rtl/>
        </w:rPr>
        <w:footnoteReference w:id="3273"/>
      </w:r>
      <w:r w:rsidRPr="00440CAB">
        <w:rPr>
          <w:rFonts w:ascii="Narkisim" w:hAnsi="Narkisim"/>
          <w:rtl/>
        </w:rPr>
        <w:t>].</w:t>
      </w:r>
    </w:p>
    <w:p w14:paraId="209067CE" w14:textId="77777777" w:rsidR="006074A5" w:rsidRPr="00440CAB" w:rsidRDefault="006074A5" w:rsidP="006074A5">
      <w:pPr>
        <w:bidi/>
        <w:rPr>
          <w:rFonts w:ascii="Narkisim" w:hAnsi="Narkisim" w:cs="Narkisim"/>
        </w:rPr>
      </w:pPr>
      <w:r w:rsidRPr="00440CAB">
        <w:rPr>
          <w:rFonts w:ascii="Narkisim" w:hAnsi="Narkisim" w:cs="Narkisim"/>
          <w:u w:val="single"/>
          <w:rtl/>
        </w:rPr>
        <w:t>בא"ד ועוד ביאת כשר מאי מגרעא לה.</w:t>
      </w:r>
      <w:r w:rsidRPr="00440CAB">
        <w:rPr>
          <w:rFonts w:ascii="Narkisim" w:hAnsi="Narkisim" w:cs="Narkisim"/>
          <w:rtl/>
        </w:rPr>
        <w:t xml:space="preserve"> ה</w:t>
      </w:r>
      <w:r w:rsidRPr="00440CAB">
        <w:rPr>
          <w:rFonts w:ascii="Narkisim" w:hAnsi="Narkisim" w:cs="Narkisim"/>
          <w:b/>
          <w:bCs/>
          <w:rtl/>
        </w:rPr>
        <w:t>קובה"ע</w:t>
      </w:r>
      <w:r w:rsidRPr="00440CAB">
        <w:rPr>
          <w:rFonts w:ascii="Narkisim" w:hAnsi="Narkisim" w:cs="Narkisim"/>
          <w:rtl/>
        </w:rPr>
        <w:t xml:space="preserve"> (מה ח) הביא מדברי רש"י דהאשה נפסלת בביאתה מחמת ה'פוסל'</w:t>
      </w:r>
      <w:r w:rsidRPr="00440CAB">
        <w:rPr>
          <w:rStyle w:val="ac"/>
          <w:rFonts w:ascii="Narkisim" w:hAnsi="Narkisim" w:cs="Narkisim"/>
          <w:rtl/>
        </w:rPr>
        <w:footnoteReference w:id="3274"/>
      </w:r>
      <w:r w:rsidRPr="00440CAB">
        <w:rPr>
          <w:rFonts w:ascii="Narkisim" w:hAnsi="Narkisim" w:cs="Narkisim"/>
          <w:rtl/>
        </w:rPr>
        <w:t xml:space="preserve"> שפוגמה, ולא משום ביאת איסור</w:t>
      </w:r>
      <w:r w:rsidRPr="00440CAB">
        <w:rPr>
          <w:rStyle w:val="ac"/>
          <w:rFonts w:ascii="Narkisim" w:hAnsi="Narkisim" w:cs="Narkisim"/>
          <w:rtl/>
        </w:rPr>
        <w:footnoteReference w:id="3275"/>
      </w:r>
      <w:r w:rsidRPr="00440CAB">
        <w:rPr>
          <w:rFonts w:ascii="Narkisim" w:hAnsi="Narkisim" w:cs="Narkisim"/>
          <w:rtl/>
        </w:rPr>
        <w:t>. והביא דה</w:t>
      </w:r>
      <w:r w:rsidRPr="00440CAB">
        <w:rPr>
          <w:rFonts w:ascii="Narkisim" w:hAnsi="Narkisim" w:cs="Narkisim"/>
          <w:b/>
          <w:bCs/>
          <w:rtl/>
        </w:rPr>
        <w:t>משנ"ל</w:t>
      </w:r>
      <w:r w:rsidRPr="00440CAB">
        <w:rPr>
          <w:rFonts w:ascii="Narkisim" w:hAnsi="Narkisim" w:cs="Narkisim"/>
          <w:rtl/>
        </w:rPr>
        <w:t xml:space="preserve"> (איסו"ב יט ה) דן דישראל הבא על ממזרת עשאה זונה [אלא דתליא באין איסור חל על איסור]. ומדברי רש"י מבואר דאינו מגרע.</w:t>
      </w:r>
    </w:p>
    <w:p w14:paraId="5EEB0973"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קה"י</w:t>
      </w:r>
      <w:r w:rsidRPr="00440CAB">
        <w:rPr>
          <w:rFonts w:ascii="Narkisim" w:hAnsi="Narkisim"/>
          <w:rtl/>
        </w:rPr>
        <w:t xml:space="preserve"> (לט) הק' דהבא על אחותו ושאר קרובים [דחייבי כריתות], אמאי נפסלת, דהא הוא אינו פגום. ותי' דגדר איסור קרובים דנחשב פגום כלפיה.</w:t>
      </w:r>
    </w:p>
    <w:p w14:paraId="79D662C8" w14:textId="77777777" w:rsidR="006074A5" w:rsidRPr="00440CAB" w:rsidRDefault="006074A5" w:rsidP="006074A5">
      <w:pPr>
        <w:pStyle w:val="aa"/>
        <w:bidi/>
        <w:rPr>
          <w:rFonts w:ascii="Narkisim" w:hAnsi="Narkisim"/>
        </w:rPr>
      </w:pPr>
      <w:r w:rsidRPr="00440CAB">
        <w:rPr>
          <w:rFonts w:ascii="Narkisim" w:hAnsi="Narkisim"/>
          <w:u w:val="single"/>
          <w:rtl/>
        </w:rPr>
        <w:t>לא מיבעי הוא שוגג, והיא קמכוונה למצוה.</w:t>
      </w:r>
      <w:r w:rsidRPr="00440CAB">
        <w:rPr>
          <w:rFonts w:ascii="Narkisim" w:hAnsi="Narkisim"/>
          <w:rtl/>
        </w:rPr>
        <w:t xml:space="preserve"> יש דייקו דאף האשה מקיימת מצוות היבום, ולא הוה מצווה רק על היבם. [וע' מה שהו' בזה לעיל ג:]. ויש לדחות דשייך כוונה להחשב מעשה מצווה אף כשאינה מצווה</w:t>
      </w:r>
      <w:r w:rsidRPr="00440CAB">
        <w:rPr>
          <w:rStyle w:val="ac"/>
          <w:rFonts w:ascii="Narkisim" w:hAnsi="Narkisim"/>
          <w:rtl/>
        </w:rPr>
        <w:footnoteReference w:id="3276"/>
      </w:r>
      <w:r w:rsidRPr="00440CAB">
        <w:rPr>
          <w:rFonts w:ascii="Narkisim" w:hAnsi="Narkisim"/>
          <w:rtl/>
        </w:rPr>
        <w:t>.</w:t>
      </w:r>
    </w:p>
    <w:p w14:paraId="309882FA" w14:textId="77777777" w:rsidR="006074A5" w:rsidRPr="00440CAB" w:rsidRDefault="006074A5" w:rsidP="006074A5">
      <w:pPr>
        <w:bidi/>
        <w:rPr>
          <w:rFonts w:ascii="Narkisim" w:hAnsi="Narkisim" w:cs="Narkisim"/>
        </w:rPr>
      </w:pPr>
      <w:r w:rsidRPr="00440CAB">
        <w:rPr>
          <w:rFonts w:ascii="Narkisim" w:hAnsi="Narkisim" w:cs="Narkisim"/>
          <w:u w:val="single"/>
          <w:rtl/>
        </w:rPr>
        <w:t>תוד"ה שאנסוהו.</w:t>
      </w:r>
      <w:r w:rsidRPr="00440CAB">
        <w:rPr>
          <w:rFonts w:ascii="Narkisim" w:hAnsi="Narkisim" w:cs="Narkisim"/>
          <w:rtl/>
        </w:rPr>
        <w:t xml:space="preserve"> אין לפרש שאנסוהו היינו שאיימו וכו' אלא כל דבר שעושה מעצמו </w:t>
      </w:r>
      <w:r w:rsidRPr="00440CAB">
        <w:rPr>
          <w:rFonts w:ascii="Narkisim" w:hAnsi="Narkisim" w:cs="Narkisim" w:hint="cs"/>
          <w:rtl/>
        </w:rPr>
        <w:t>9</w:t>
      </w:r>
      <w:r w:rsidRPr="00440CAB">
        <w:rPr>
          <w:rFonts w:ascii="Narkisim" w:hAnsi="Narkisim" w:cs="Narkisim"/>
          <w:rtl/>
        </w:rPr>
        <w:t>אפי' ע"י אונס פחד מיתה לדעת חשיב. ואף דהוה באונס, ופטור משום ולנערה לא תעשה דבר. אפ"ה לענין יבום סגי דהוה 'מעשה לדעת' להגדיר שהוא מעשה יבום. [ופשיטא לגמ' דיבום לא תלי ב'רצון' וכוונת קנין].</w:t>
      </w:r>
    </w:p>
    <w:p w14:paraId="65E56F15"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הביאו דלכאו' נח' בזה רמי בר חמא ור' זירא ורבא (ע"ז נד.) באנסוהו עכו"ם והשתחווה לבהמתו, האם נחשב 'נעבד'. או דכיון דאונס רחמנא פטריה לא נחשב מעשה דידיה כלל. [וע' חי' ר' ראובן וע"ע ברכ"ש נדרים יד וחי' הגרי"ז]. וצ"ל דלענין יבום סגי שיהא 'דעת'.</w:t>
      </w:r>
    </w:p>
    <w:p w14:paraId="2DE376A9"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ציינו דאי (ר"ה כח.) דכפוהו ואכל מצה יצא אף למ"ד מצוות צריכות כוונה, ופ</w:t>
      </w:r>
      <w:r w:rsidRPr="00440CAB">
        <w:rPr>
          <w:rFonts w:ascii="Narkisim" w:hAnsi="Narkisim"/>
          <w:b/>
          <w:bCs/>
          <w:rtl/>
        </w:rPr>
        <w:t xml:space="preserve">רש"י </w:t>
      </w:r>
      <w:r w:rsidRPr="00440CAB">
        <w:rPr>
          <w:rFonts w:ascii="Narkisim" w:hAnsi="Narkisim"/>
          <w:rtl/>
        </w:rPr>
        <w:t>שכן נהנה. (וע"ע רש"י סנהדרין סב:). ויש שדנו דה"מ בביאת יבום יש הנאה. אך בפשוטו משמע בתוס' דלא שייך להתם].</w:t>
      </w:r>
    </w:p>
    <w:p w14:paraId="0A4BF8CE"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כת' דהגמ' לא פי' כן אף לשון המשנה, דא"כ נקרא 'מדעת', ושלא בכוונת </w:t>
      </w:r>
      <w:r w:rsidRPr="00440CAB">
        <w:rPr>
          <w:rFonts w:ascii="Narkisim" w:hAnsi="Narkisim" w:cs="Narkisim"/>
          <w:rtl/>
        </w:rPr>
        <w:lastRenderedPageBreak/>
        <w:t>מצוה. אבל ה</w:t>
      </w:r>
      <w:r w:rsidRPr="00440CAB">
        <w:rPr>
          <w:rFonts w:ascii="Narkisim" w:hAnsi="Narkisim" w:cs="Narkisim"/>
          <w:b/>
          <w:bCs/>
          <w:rtl/>
        </w:rPr>
        <w:t>ריטב"א</w:t>
      </w:r>
      <w:r w:rsidRPr="00440CAB">
        <w:rPr>
          <w:rFonts w:ascii="Narkisim" w:hAnsi="Narkisim" w:cs="Narkisim"/>
          <w:rtl/>
        </w:rPr>
        <w:t xml:space="preserve"> העמיד את סוגיין באונס מיתה. וה</w:t>
      </w:r>
      <w:r w:rsidRPr="00440CAB">
        <w:rPr>
          <w:rFonts w:ascii="Narkisim" w:hAnsi="Narkisim" w:cs="Narkisim"/>
          <w:b/>
          <w:bCs/>
          <w:rtl/>
        </w:rPr>
        <w:t>יש"ש</w:t>
      </w:r>
      <w:r w:rsidRPr="00440CAB">
        <w:rPr>
          <w:rFonts w:ascii="Narkisim" w:hAnsi="Narkisim" w:cs="Narkisim"/>
          <w:rtl/>
        </w:rPr>
        <w:t xml:space="preserve"> הקשה א"כ מה קושיית הגמ' דאין קישוי אלא מדעת [עי"ש]. </w:t>
      </w:r>
      <w:r w:rsidRPr="00440CAB">
        <w:rPr>
          <w:rFonts w:ascii="Narkisim" w:hAnsi="Narkisim" w:cs="Narkisim"/>
          <w:sz w:val="20"/>
          <w:szCs w:val="20"/>
          <w:rtl/>
        </w:rPr>
        <w:t>וה</w:t>
      </w:r>
      <w:r w:rsidRPr="00440CAB">
        <w:rPr>
          <w:rFonts w:ascii="Narkisim" w:hAnsi="Narkisim" w:cs="Narkisim"/>
          <w:b/>
          <w:bCs/>
          <w:sz w:val="20"/>
          <w:szCs w:val="20"/>
          <w:rtl/>
        </w:rPr>
        <w:t>ריטב"א</w:t>
      </w:r>
      <w:r w:rsidRPr="00440CAB">
        <w:rPr>
          <w:rFonts w:ascii="Narkisim" w:hAnsi="Narkisim" w:cs="Narkisim"/>
          <w:sz w:val="20"/>
          <w:szCs w:val="20"/>
          <w:rtl/>
        </w:rPr>
        <w:t xml:space="preserve"> ביאר דלא חשיב אונס, שהרי נתקשה מדעתו. ומשמע דכוונתו דלא אנסוהו על הקישוי.</w:t>
      </w:r>
    </w:p>
    <w:p w14:paraId="1F94AE49" w14:textId="77777777" w:rsidR="006074A5" w:rsidRPr="00440CAB" w:rsidRDefault="006074A5" w:rsidP="006074A5">
      <w:pPr>
        <w:pStyle w:val="aa"/>
        <w:bidi/>
        <w:rPr>
          <w:rFonts w:ascii="Narkisim" w:hAnsi="Narkisim"/>
        </w:rPr>
      </w:pPr>
      <w:r w:rsidRPr="00440CAB">
        <w:rPr>
          <w:rFonts w:ascii="Narkisim" w:hAnsi="Narkisim"/>
          <w:u w:val="single"/>
          <w:rtl/>
        </w:rPr>
        <w:t>בא"ד וילפי' קיחה מעריות</w:t>
      </w:r>
      <w:r w:rsidRPr="00440CAB">
        <w:rPr>
          <w:rStyle w:val="ac"/>
          <w:rFonts w:ascii="Narkisim" w:hAnsi="Narkisim"/>
          <w:u w:val="single"/>
          <w:rtl/>
        </w:rPr>
        <w:footnoteReference w:id="3277"/>
      </w:r>
      <w:r w:rsidRPr="00440CAB">
        <w:rPr>
          <w:rFonts w:ascii="Narkisim" w:hAnsi="Narkisim"/>
          <w:u w:val="single"/>
          <w:rtl/>
        </w:rPr>
        <w:t xml:space="preserve"> דאינה נקנית אלא בקישוי.</w:t>
      </w:r>
      <w:r w:rsidRPr="00440CAB">
        <w:rPr>
          <w:rFonts w:ascii="Narkisim" w:hAnsi="Narkisim"/>
          <w:rtl/>
        </w:rPr>
        <w:t xml:space="preserve"> משמע דצריך ללמוד דמשמש מת אינו נקנה משום גזי"ש מעריות, ואילו מסברא [לולי קרא] משמש מת הוה 'שם ביאה', ולא אמרי' דגלי קרא בעריות. וצ"ע.</w:t>
      </w:r>
    </w:p>
    <w:p w14:paraId="25EEE9E2" w14:textId="77777777" w:rsidR="006074A5" w:rsidRPr="00440CAB" w:rsidRDefault="006074A5" w:rsidP="006074A5">
      <w:pPr>
        <w:bidi/>
        <w:rPr>
          <w:rFonts w:ascii="Narkisim" w:hAnsi="Narkisim" w:cs="Narkisim"/>
        </w:rPr>
      </w:pPr>
      <w:r w:rsidRPr="00440CAB">
        <w:rPr>
          <w:rFonts w:ascii="Narkisim" w:hAnsi="Narkisim" w:cs="Narkisim"/>
          <w:u w:val="single"/>
          <w:rtl/>
        </w:rPr>
        <w:t>בא"ד ועוד אר"י דלענין יבום בעי דרך הקמת שם.</w:t>
      </w:r>
      <w:r w:rsidRPr="00440CAB">
        <w:rPr>
          <w:rFonts w:ascii="Narkisim" w:hAnsi="Narkisim" w:cs="Narkisim"/>
          <w:rtl/>
        </w:rPr>
        <w:t xml:space="preserve"> וה</w:t>
      </w:r>
      <w:r w:rsidRPr="00440CAB">
        <w:rPr>
          <w:rFonts w:ascii="Narkisim" w:hAnsi="Narkisim" w:cs="Narkisim"/>
          <w:b/>
          <w:bCs/>
          <w:rtl/>
        </w:rPr>
        <w:t>קר"א</w:t>
      </w:r>
      <w:r w:rsidRPr="00440CAB">
        <w:rPr>
          <w:rFonts w:ascii="Narkisim" w:hAnsi="Narkisim" w:cs="Narkisim"/>
          <w:rtl/>
        </w:rPr>
        <w:t xml:space="preserve"> הקשה דאפי' שלא כדרך קונה ביבמה, א"כ אמאי משמש מת גרע</w:t>
      </w:r>
      <w:r w:rsidRPr="00440CAB">
        <w:rPr>
          <w:rStyle w:val="ac"/>
          <w:rFonts w:ascii="Narkisim" w:hAnsi="Narkisim" w:cs="Narkisim"/>
          <w:rtl/>
        </w:rPr>
        <w:footnoteReference w:id="3278"/>
      </w:r>
      <w:r w:rsidRPr="00440CAB">
        <w:rPr>
          <w:rFonts w:ascii="Narkisim" w:hAnsi="Narkisim" w:cs="Narkisim"/>
          <w:rtl/>
        </w:rPr>
        <w:t xml:space="preserve">. </w:t>
      </w:r>
      <w:r w:rsidRPr="00440CAB">
        <w:rPr>
          <w:rFonts w:ascii="Narkisim" w:hAnsi="Narkisim" w:cs="Narkisim"/>
          <w:sz w:val="20"/>
          <w:szCs w:val="20"/>
          <w:rtl/>
        </w:rPr>
        <w:t>[וע"ע לעיל כ. בגדר ראוי להקמת שם].</w:t>
      </w:r>
      <w:r w:rsidRPr="00440CAB">
        <w:rPr>
          <w:rFonts w:ascii="Narkisim" w:hAnsi="Narkisim" w:cs="Narkisim"/>
          <w:rtl/>
        </w:rPr>
        <w:t xml:space="preserve"> וה</w:t>
      </w:r>
      <w:r w:rsidRPr="00440CAB">
        <w:rPr>
          <w:rFonts w:ascii="Narkisim" w:hAnsi="Narkisim" w:cs="Narkisim"/>
          <w:b/>
          <w:bCs/>
          <w:rtl/>
        </w:rPr>
        <w:t>בי"ש</w:t>
      </w:r>
      <w:r w:rsidRPr="00440CAB">
        <w:rPr>
          <w:rFonts w:ascii="Narkisim" w:hAnsi="Narkisim" w:cs="Narkisim"/>
          <w:rtl/>
        </w:rPr>
        <w:t xml:space="preserve"> (קסו ט) כתב דגרע טפי מביאה שלא כדרכה דאבר מת אינו ראוי להקמת שם במקומה</w:t>
      </w:r>
      <w:r w:rsidRPr="00440CAB">
        <w:rPr>
          <w:rStyle w:val="ac"/>
          <w:rFonts w:ascii="Narkisim" w:hAnsi="Narkisim" w:cs="Narkisim"/>
          <w:rtl/>
        </w:rPr>
        <w:footnoteReference w:id="3279"/>
      </w:r>
      <w:r w:rsidRPr="00440CAB">
        <w:rPr>
          <w:rFonts w:ascii="Narkisim" w:hAnsi="Narkisim" w:cs="Narkisim"/>
          <w:rtl/>
        </w:rPr>
        <w:t>.</w:t>
      </w:r>
    </w:p>
    <w:p w14:paraId="598F41E4" w14:textId="77777777" w:rsidR="006074A5" w:rsidRPr="00440CAB" w:rsidRDefault="006074A5" w:rsidP="006074A5">
      <w:pPr>
        <w:pStyle w:val="2"/>
        <w:bidi/>
        <w:rPr>
          <w:rFonts w:ascii="Narkisim" w:hAnsi="Narkisim"/>
        </w:rPr>
      </w:pPr>
      <w:r w:rsidRPr="00440CAB">
        <w:rPr>
          <w:rFonts w:ascii="Narkisim" w:hAnsi="Narkisim"/>
          <w:rtl/>
        </w:rPr>
        <w:t>אונס בערוה</w:t>
      </w:r>
    </w:p>
    <w:p w14:paraId="67DFA9E8" w14:textId="77777777" w:rsidR="006074A5" w:rsidRPr="00440CAB" w:rsidRDefault="006074A5" w:rsidP="006074A5">
      <w:pPr>
        <w:bidi/>
        <w:rPr>
          <w:rFonts w:ascii="Narkisim" w:hAnsi="Narkisim" w:cs="Narkisim"/>
        </w:rPr>
      </w:pPr>
      <w:r w:rsidRPr="00440CAB">
        <w:rPr>
          <w:rFonts w:ascii="Narkisim" w:hAnsi="Narkisim" w:cs="Narkisim"/>
          <w:u w:val="single"/>
          <w:rtl/>
        </w:rPr>
        <w:t>אין אונס לערוה, שאין קישוי אלא לדעת</w:t>
      </w:r>
      <w:r w:rsidRPr="00440CAB">
        <w:rPr>
          <w:rFonts w:ascii="Narkisim" w:hAnsi="Narkisim" w:cs="Narkisim"/>
          <w:rtl/>
        </w:rPr>
        <w:t xml:space="preserve">. </w:t>
      </w:r>
      <w:r w:rsidRPr="00440CAB">
        <w:rPr>
          <w:rFonts w:ascii="Narkisim" w:hAnsi="Narkisim" w:cs="Narkisim"/>
          <w:szCs w:val="20"/>
          <w:rtl/>
        </w:rPr>
        <w:t>ו</w:t>
      </w:r>
      <w:r w:rsidRPr="00440CAB">
        <w:rPr>
          <w:rFonts w:ascii="Narkisim" w:hAnsi="Narkisim" w:cs="Narkisim"/>
          <w:b/>
          <w:bCs/>
          <w:szCs w:val="20"/>
          <w:rtl/>
        </w:rPr>
        <w:t>תוס</w:t>
      </w:r>
      <w:r w:rsidRPr="00440CAB">
        <w:rPr>
          <w:rFonts w:ascii="Narkisim" w:hAnsi="Narkisim" w:cs="Narkisim"/>
          <w:szCs w:val="20"/>
          <w:rtl/>
        </w:rPr>
        <w:t>' וה</w:t>
      </w:r>
      <w:r w:rsidRPr="00440CAB">
        <w:rPr>
          <w:rFonts w:ascii="Narkisim" w:hAnsi="Narkisim" w:cs="Narkisim"/>
          <w:b/>
          <w:bCs/>
          <w:szCs w:val="20"/>
          <w:rtl/>
        </w:rPr>
        <w:t>ראשונים</w:t>
      </w:r>
      <w:r w:rsidRPr="00440CAB">
        <w:rPr>
          <w:rFonts w:ascii="Narkisim" w:hAnsi="Narkisim" w:cs="Narkisim"/>
          <w:szCs w:val="20"/>
          <w:rtl/>
        </w:rPr>
        <w:t xml:space="preserve"> הק' דאף אי הוה אונס, הא בגילוי עריות יהרג ואל יעבור</w:t>
      </w:r>
      <w:r w:rsidRPr="00440CAB">
        <w:rPr>
          <w:rFonts w:ascii="Narkisim" w:hAnsi="Narkisim" w:cs="Narkisim"/>
          <w:rtl/>
        </w:rPr>
        <w:t>.</w:t>
      </w:r>
    </w:p>
    <w:p w14:paraId="0A862092" w14:textId="77777777" w:rsidR="006074A5" w:rsidRPr="00440CAB" w:rsidRDefault="006074A5" w:rsidP="006074A5">
      <w:pPr>
        <w:pStyle w:val="a8"/>
        <w:bidi/>
        <w:rPr>
          <w:rFonts w:ascii="Narkisim" w:hAnsi="Narkisim"/>
        </w:rPr>
      </w:pPr>
      <w:r w:rsidRPr="00440CAB">
        <w:rPr>
          <w:rFonts w:ascii="Narkisim" w:hAnsi="Narkisim"/>
          <w:rtl/>
        </w:rPr>
        <w:t>ובכל התורה ילפי' (יומא פה:) מקרא ד'וחי בהם' ולא שימות בהם. וה</w:t>
      </w:r>
      <w:r w:rsidRPr="00440CAB">
        <w:rPr>
          <w:rFonts w:ascii="Narkisim" w:hAnsi="Narkisim"/>
          <w:b/>
          <w:bCs/>
          <w:rtl/>
        </w:rPr>
        <w:t>אחרונים</w:t>
      </w:r>
      <w:r w:rsidRPr="00440CAB">
        <w:rPr>
          <w:rFonts w:ascii="Narkisim" w:hAnsi="Narkisim"/>
          <w:rtl/>
        </w:rPr>
        <w:t xml:space="preserve"> [ע' אריכות ב</w:t>
      </w:r>
      <w:r w:rsidRPr="00440CAB">
        <w:rPr>
          <w:rFonts w:ascii="Narkisim" w:hAnsi="Narkisim"/>
          <w:b/>
          <w:bCs/>
          <w:rtl/>
        </w:rPr>
        <w:t>זכרון שמואל</w:t>
      </w:r>
      <w:r w:rsidRPr="00440CAB">
        <w:rPr>
          <w:rFonts w:ascii="Narkisim" w:hAnsi="Narkisim"/>
          <w:rtl/>
        </w:rPr>
        <w:t xml:space="preserve"> סה] העמידו דמלבד דין חוי בהם יש סברא דאינו חייב במקום איבוד נפשו. וכן מבואר ב</w:t>
      </w:r>
      <w:r w:rsidRPr="00440CAB">
        <w:rPr>
          <w:rFonts w:ascii="Narkisim" w:hAnsi="Narkisim"/>
          <w:b/>
          <w:bCs/>
          <w:rtl/>
        </w:rPr>
        <w:t>תוס</w:t>
      </w:r>
      <w:r w:rsidRPr="00440CAB">
        <w:rPr>
          <w:rFonts w:ascii="Narkisim" w:hAnsi="Narkisim"/>
          <w:rtl/>
        </w:rPr>
        <w:t>' (סנהדרין עד:) דבבני נח לא הותר משום 'וחי בהם', ואפ"ה במקום אונס מיתה אינם חייבים. [וה</w:t>
      </w:r>
      <w:r w:rsidRPr="00440CAB">
        <w:rPr>
          <w:rFonts w:ascii="Narkisim" w:hAnsi="Narkisim"/>
          <w:b/>
          <w:bCs/>
          <w:rtl/>
        </w:rPr>
        <w:t>אחרונים</w:t>
      </w:r>
      <w:r w:rsidRPr="00440CAB">
        <w:rPr>
          <w:rFonts w:ascii="Narkisim" w:hAnsi="Narkisim"/>
          <w:rtl/>
        </w:rPr>
        <w:t xml:space="preserve"> הוסיפו דכיון דהוה אונס, לא נחשב מעשה דידיה, אלא המעשה מיוחס למי שכופהו</w:t>
      </w:r>
      <w:r w:rsidRPr="00440CAB">
        <w:rPr>
          <w:rStyle w:val="ac"/>
          <w:rFonts w:ascii="Narkisim" w:hAnsi="Narkisim"/>
          <w:rtl/>
        </w:rPr>
        <w:footnoteReference w:id="3280"/>
      </w:r>
      <w:r w:rsidRPr="00440CAB">
        <w:rPr>
          <w:rFonts w:ascii="Narkisim" w:hAnsi="Narkisim"/>
          <w:rtl/>
        </w:rPr>
        <w:t>].</w:t>
      </w:r>
    </w:p>
    <w:p w14:paraId="569C3B1C"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ביארו דמ"מ לענין להתרפאות בעינן לקרא ד'וחי בהם', דכיון דאינו אנוס במעשה זו [אלא דהוה מעשה מרצון</w:t>
      </w:r>
      <w:r w:rsidRPr="00440CAB">
        <w:rPr>
          <w:rStyle w:val="ac"/>
          <w:rFonts w:ascii="Narkisim" w:hAnsi="Narkisim"/>
          <w:rtl/>
        </w:rPr>
        <w:footnoteReference w:id="3281"/>
      </w:r>
      <w:r w:rsidRPr="00440CAB">
        <w:rPr>
          <w:rFonts w:ascii="Narkisim" w:hAnsi="Narkisim"/>
          <w:rtl/>
        </w:rPr>
        <w:t xml:space="preserve"> לצורך הצלה נפשו] ל"ש פטור אונס. אלא דהותר משום וחי בהם. ועכו"ם אסור להתרפאות בעבירה.</w:t>
      </w:r>
    </w:p>
    <w:p w14:paraId="4294723F" w14:textId="77777777" w:rsidR="006074A5" w:rsidRPr="00440CAB" w:rsidRDefault="006074A5" w:rsidP="006074A5">
      <w:pPr>
        <w:pStyle w:val="a8"/>
        <w:bidi/>
        <w:rPr>
          <w:rFonts w:ascii="Narkisim" w:hAnsi="Narkisim"/>
        </w:rPr>
      </w:pPr>
      <w:r w:rsidRPr="00440CAB">
        <w:rPr>
          <w:rFonts w:ascii="Narkisim" w:hAnsi="Narkisim"/>
          <w:rtl/>
        </w:rPr>
        <w:t>ובג' עבירות קי"ל דיהרג ואל יעבור. ונתחדש בהנך דילפי' בכל נפשך, וצריך למסור נפשו. וכן הוה גילוי דאין בהם היתר דוחי בהם. (וע' בסמוך).</w:t>
      </w:r>
    </w:p>
    <w:p w14:paraId="53EFA2E4" w14:textId="77777777" w:rsidR="006074A5" w:rsidRPr="00440CAB" w:rsidRDefault="006074A5" w:rsidP="006074A5">
      <w:pPr>
        <w:bidi/>
        <w:rPr>
          <w:rFonts w:ascii="Narkisim" w:hAnsi="Narkisim" w:cs="Narkisim"/>
        </w:rPr>
      </w:pPr>
      <w:r w:rsidRPr="00440CAB">
        <w:rPr>
          <w:rFonts w:ascii="Narkisim" w:hAnsi="Narkisim" w:cs="Narkisim"/>
          <w:u w:val="single"/>
          <w:rtl/>
        </w:rPr>
        <w:t>תוד"ה אין.</w:t>
      </w:r>
      <w:r w:rsidRPr="00440CAB">
        <w:rPr>
          <w:rFonts w:ascii="Narkisim" w:hAnsi="Narkisim" w:cs="Narkisim"/>
          <w:rtl/>
        </w:rPr>
        <w:t xml:space="preserve"> אין לפרש במאיימין וכו' תיפוק ליה דאגילוי עריות יהרג ואל יעבור. וה</w:t>
      </w:r>
      <w:r w:rsidRPr="00440CAB">
        <w:rPr>
          <w:rFonts w:ascii="Narkisim" w:hAnsi="Narkisim" w:cs="Narkisim"/>
          <w:b/>
          <w:bCs/>
          <w:rtl/>
        </w:rPr>
        <w:t xml:space="preserve">רש"ש </w:t>
      </w:r>
      <w:r w:rsidRPr="00440CAB">
        <w:rPr>
          <w:rFonts w:ascii="Narkisim" w:hAnsi="Narkisim" w:cs="Narkisim"/>
          <w:rtl/>
        </w:rPr>
        <w:t>הקשה דמ"מ נפק"מ אם עבר ולא נהרג, דפטור [וכמ"ש תוס' בסו"ד]. ואילו קישוי דהוה מדעת ל"ש פטור אונס.</w:t>
      </w:r>
    </w:p>
    <w:p w14:paraId="2B48F406" w14:textId="77777777" w:rsidR="006074A5" w:rsidRPr="00440CAB" w:rsidRDefault="006074A5" w:rsidP="006074A5">
      <w:pPr>
        <w:pStyle w:val="a7"/>
        <w:bidi/>
        <w:rPr>
          <w:rFonts w:ascii="Narkisim" w:hAnsi="Narkisim"/>
        </w:rPr>
      </w:pPr>
      <w:r w:rsidRPr="00440CAB">
        <w:rPr>
          <w:rFonts w:ascii="Narkisim" w:hAnsi="Narkisim"/>
          <w:rtl/>
        </w:rPr>
        <w:t>אך ה</w:t>
      </w:r>
      <w:r w:rsidRPr="00440CAB">
        <w:rPr>
          <w:rFonts w:ascii="Narkisim" w:hAnsi="Narkisim"/>
          <w:b/>
          <w:bCs/>
          <w:rtl/>
        </w:rPr>
        <w:t xml:space="preserve">רמב"ן </w:t>
      </w:r>
      <w:r w:rsidRPr="00440CAB">
        <w:rPr>
          <w:rFonts w:ascii="Narkisim" w:hAnsi="Narkisim"/>
          <w:rtl/>
        </w:rPr>
        <w:t>ו</w:t>
      </w:r>
      <w:r w:rsidRPr="00440CAB">
        <w:rPr>
          <w:rFonts w:ascii="Narkisim" w:hAnsi="Narkisim"/>
          <w:b/>
          <w:bCs/>
          <w:rtl/>
        </w:rPr>
        <w:t>ראשונים</w:t>
      </w:r>
      <w:r w:rsidRPr="00440CAB">
        <w:rPr>
          <w:rFonts w:ascii="Narkisim" w:hAnsi="Narkisim"/>
          <w:rtl/>
        </w:rPr>
        <w:t xml:space="preserve"> נקטו דאינו חייב מיתה אף שעבר ונתקשה, דנחשב מחמת אונס</w:t>
      </w:r>
      <w:r w:rsidRPr="00440CAB">
        <w:rPr>
          <w:rStyle w:val="ac"/>
          <w:rFonts w:ascii="Narkisim" w:hAnsi="Narkisim"/>
          <w:rtl/>
        </w:rPr>
        <w:footnoteReference w:id="3282"/>
      </w:r>
      <w:r w:rsidRPr="00440CAB">
        <w:rPr>
          <w:rFonts w:ascii="Narkisim" w:hAnsi="Narkisim"/>
          <w:rtl/>
        </w:rPr>
        <w:t>. דאילו תסלק האונס היה פורש</w:t>
      </w:r>
      <w:r w:rsidRPr="00440CAB">
        <w:rPr>
          <w:rStyle w:val="ac"/>
          <w:rFonts w:ascii="Narkisim" w:hAnsi="Narkisim"/>
          <w:rtl/>
        </w:rPr>
        <w:footnoteReference w:id="3283"/>
      </w:r>
      <w:r w:rsidRPr="00440CAB">
        <w:rPr>
          <w:rFonts w:ascii="Narkisim" w:hAnsi="Narkisim"/>
          <w:rtl/>
        </w:rPr>
        <w:t xml:space="preserve">. </w:t>
      </w:r>
      <w:r w:rsidRPr="00440CAB">
        <w:rPr>
          <w:rFonts w:ascii="Narkisim" w:hAnsi="Narkisim"/>
          <w:sz w:val="20"/>
          <w:szCs w:val="20"/>
          <w:rtl/>
        </w:rPr>
        <w:t xml:space="preserve">[וכמ"ש </w:t>
      </w:r>
      <w:r w:rsidRPr="00440CAB">
        <w:rPr>
          <w:rFonts w:ascii="Narkisim" w:hAnsi="Narkisim"/>
          <w:b/>
          <w:bCs/>
          <w:sz w:val="20"/>
          <w:szCs w:val="20"/>
          <w:rtl/>
        </w:rPr>
        <w:t>תוס</w:t>
      </w:r>
      <w:r w:rsidRPr="00440CAB">
        <w:rPr>
          <w:rFonts w:ascii="Narkisim" w:hAnsi="Narkisim"/>
          <w:sz w:val="20"/>
          <w:szCs w:val="20"/>
          <w:rtl/>
        </w:rPr>
        <w:t>' ד"ה שאנסוהו]. [אלא דתוס' כאן לא נחתו להקשות כן]</w:t>
      </w:r>
      <w:r w:rsidRPr="00440CAB">
        <w:rPr>
          <w:rFonts w:ascii="Narkisim" w:hAnsi="Narkisim"/>
          <w:rtl/>
        </w:rPr>
        <w:t>.</w:t>
      </w:r>
    </w:p>
    <w:p w14:paraId="28C652F0" w14:textId="77777777" w:rsidR="006074A5" w:rsidRPr="00440CAB" w:rsidRDefault="006074A5" w:rsidP="006074A5">
      <w:pPr>
        <w:bidi/>
        <w:rPr>
          <w:rFonts w:ascii="Narkisim" w:hAnsi="Narkisim" w:cs="Narkisim"/>
        </w:rPr>
      </w:pPr>
      <w:r w:rsidRPr="00440CAB">
        <w:rPr>
          <w:rFonts w:ascii="Narkisim" w:hAnsi="Narkisim" w:cs="Narkisim"/>
          <w:rtl/>
        </w:rPr>
        <w:t>אבל ה</w:t>
      </w:r>
      <w:r w:rsidRPr="00440CAB">
        <w:rPr>
          <w:rFonts w:ascii="Narkisim" w:hAnsi="Narkisim" w:cs="Narkisim"/>
          <w:b/>
          <w:bCs/>
          <w:rtl/>
        </w:rPr>
        <w:t>רמב"ם</w:t>
      </w:r>
      <w:r w:rsidRPr="00440CAB">
        <w:rPr>
          <w:rFonts w:ascii="Narkisim" w:hAnsi="Narkisim" w:cs="Narkisim"/>
          <w:rtl/>
        </w:rPr>
        <w:t xml:space="preserve"> (סנהדרין כ ג) כתב דאם אנסוהו לבא על הערוה, חייב מיתה בבי"ד</w:t>
      </w:r>
      <w:r w:rsidRPr="00440CAB">
        <w:rPr>
          <w:rStyle w:val="ac"/>
          <w:rFonts w:ascii="Narkisim" w:hAnsi="Narkisim" w:cs="Narkisim"/>
          <w:rtl/>
        </w:rPr>
        <w:footnoteReference w:id="3284"/>
      </w:r>
      <w:r w:rsidRPr="00440CAB">
        <w:rPr>
          <w:rFonts w:ascii="Narkisim" w:hAnsi="Narkisim" w:cs="Narkisim"/>
          <w:rtl/>
        </w:rPr>
        <w:t>, דאין קישוי אלא לדעת. (וכ"פ איסו"ב א ט). וה</w:t>
      </w:r>
      <w:r w:rsidRPr="00440CAB">
        <w:rPr>
          <w:rFonts w:ascii="Narkisim" w:hAnsi="Narkisim" w:cs="Narkisim"/>
          <w:b/>
          <w:bCs/>
          <w:rtl/>
        </w:rPr>
        <w:t>כס"מ</w:t>
      </w:r>
      <w:r w:rsidRPr="00440CAB">
        <w:rPr>
          <w:rFonts w:ascii="Narkisim" w:hAnsi="Narkisim" w:cs="Narkisim"/>
          <w:rtl/>
        </w:rPr>
        <w:t xml:space="preserve"> נקט דאפי' מאיימין עליו שיבעול בקישוי, מ"מ חייב מיתה. כיון דהוה מעשה לדעת.</w:t>
      </w:r>
    </w:p>
    <w:p w14:paraId="5B6882F9"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חלק"מ</w:t>
      </w:r>
      <w:r w:rsidRPr="00440CAB">
        <w:rPr>
          <w:rFonts w:ascii="Narkisim" w:hAnsi="Narkisim"/>
          <w:rtl/>
        </w:rPr>
        <w:t xml:space="preserve"> (כ ג) פי' כוונת הרמב"ם דנתקשה מדעת עצמו</w:t>
      </w:r>
      <w:r w:rsidRPr="00440CAB">
        <w:rPr>
          <w:rStyle w:val="ac"/>
          <w:rFonts w:ascii="Narkisim" w:hAnsi="Narkisim"/>
          <w:rtl/>
        </w:rPr>
        <w:footnoteReference w:id="3285"/>
      </w:r>
      <w:r w:rsidRPr="00440CAB">
        <w:rPr>
          <w:rFonts w:ascii="Narkisim" w:hAnsi="Narkisim"/>
          <w:rtl/>
        </w:rPr>
        <w:t>. ועד"ז כת' ב</w:t>
      </w:r>
      <w:r w:rsidRPr="00440CAB">
        <w:rPr>
          <w:rFonts w:ascii="Narkisim" w:hAnsi="Narkisim"/>
          <w:b/>
          <w:bCs/>
          <w:rtl/>
        </w:rPr>
        <w:t>חי' ר"א מן ההר</w:t>
      </w:r>
      <w:r w:rsidRPr="00440CAB">
        <w:rPr>
          <w:rFonts w:ascii="Narkisim" w:hAnsi="Narkisim"/>
          <w:rtl/>
        </w:rPr>
        <w:t xml:space="preserve"> [בשם הרמב"ם] דאפי' נתקשה לאשתו, מ"מ כשמעמיד האבר בקישוי ודאי מדעתו עשה. ואפ"ה לענין יבום נחשב אונס. ושוב כת' דמסתברא דאם רק עשה העראה לפני שיוכל להמית הערוה, פטור אף בעריות.</w:t>
      </w:r>
    </w:p>
    <w:p w14:paraId="537576BA"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כס"מ</w:t>
      </w:r>
      <w:r w:rsidRPr="00440CAB">
        <w:rPr>
          <w:rFonts w:ascii="Narkisim" w:hAnsi="Narkisim"/>
          <w:rtl/>
        </w:rPr>
        <w:t xml:space="preserve"> הקשה דמ"מ נעשה באונס, וה</w:t>
      </w:r>
      <w:r w:rsidRPr="00440CAB">
        <w:rPr>
          <w:rFonts w:ascii="Narkisim" w:hAnsi="Narkisim"/>
          <w:b/>
          <w:bCs/>
          <w:rtl/>
        </w:rPr>
        <w:t>רמב"ם</w:t>
      </w:r>
      <w:r w:rsidRPr="00440CAB">
        <w:rPr>
          <w:rFonts w:ascii="Narkisim" w:hAnsi="Narkisim"/>
          <w:rtl/>
        </w:rPr>
        <w:t xml:space="preserve"> (שם ב, ויסוה"ת ה ד) ס"ל דאין חיוב מיתת </w:t>
      </w:r>
      <w:r w:rsidRPr="00440CAB">
        <w:rPr>
          <w:rFonts w:ascii="Narkisim" w:hAnsi="Narkisim"/>
          <w:rtl/>
        </w:rPr>
        <w:lastRenderedPageBreak/>
        <w:t>בי"ד באונס (וכה"ק ה</w:t>
      </w:r>
      <w:r w:rsidRPr="00440CAB">
        <w:rPr>
          <w:rFonts w:ascii="Narkisim" w:hAnsi="Narkisim"/>
          <w:b/>
          <w:bCs/>
          <w:rtl/>
        </w:rPr>
        <w:t>רמ"ך</w:t>
      </w:r>
      <w:r w:rsidRPr="00440CAB">
        <w:rPr>
          <w:rFonts w:ascii="Narkisim" w:hAnsi="Narkisim"/>
          <w:rtl/>
        </w:rPr>
        <w:t>). וה</w:t>
      </w:r>
      <w:r w:rsidRPr="00440CAB">
        <w:rPr>
          <w:rFonts w:ascii="Narkisim" w:hAnsi="Narkisim"/>
          <w:b/>
          <w:bCs/>
          <w:rtl/>
        </w:rPr>
        <w:t xml:space="preserve">כס"מ </w:t>
      </w:r>
      <w:r w:rsidRPr="00440CAB">
        <w:rPr>
          <w:rFonts w:ascii="Narkisim" w:hAnsi="Narkisim"/>
          <w:rtl/>
        </w:rPr>
        <w:t>תי' דבשלמא מעשה בידים יכול לעשות שלא ברצון, אבל קישוי א"א לעשות אא"כ מרוצה בדבר. ולפיכך חייב. וה</w:t>
      </w:r>
      <w:r w:rsidRPr="00440CAB">
        <w:rPr>
          <w:rFonts w:ascii="Narkisim" w:hAnsi="Narkisim"/>
          <w:b/>
          <w:bCs/>
          <w:rtl/>
        </w:rPr>
        <w:t>אחרונים</w:t>
      </w:r>
      <w:r w:rsidRPr="00440CAB">
        <w:rPr>
          <w:rFonts w:ascii="Narkisim" w:hAnsi="Narkisim"/>
          <w:rtl/>
        </w:rPr>
        <w:t xml:space="preserve"> ביארו דהכא איירי דעבר שלא כדין, ונחשב בחירת איסור. אלא דיש פטור מחמת שהמעשה הוה 'מעשה באונס', ובזה מהני הא דהקישוי היה ברצון.</w:t>
      </w:r>
    </w:p>
    <w:p w14:paraId="5C58A977"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קובה"ע</w:t>
      </w:r>
      <w:r w:rsidRPr="00440CAB">
        <w:rPr>
          <w:rFonts w:ascii="Narkisim" w:hAnsi="Narkisim"/>
          <w:rtl/>
        </w:rPr>
        <w:t xml:space="preserve"> (מט ג) ביאר דאף דהוה אונס מחמת פחד מיתה, מ"מ יש כאן גם רצון, ועשה מחמת רצון. וכיון דיש ג"כ רצון חייב. וכיון דקישוי א"א בשום אופן אלא מרצון, וע"כ דיש בזה ג"כ רצון ונחשב מעשה ברצון</w:t>
      </w:r>
      <w:r w:rsidRPr="00440CAB">
        <w:rPr>
          <w:rStyle w:val="ac"/>
          <w:rFonts w:ascii="Narkisim" w:hAnsi="Narkisim"/>
          <w:rtl/>
        </w:rPr>
        <w:footnoteReference w:id="3286"/>
      </w:r>
      <w:r w:rsidRPr="00440CAB">
        <w:rPr>
          <w:rFonts w:ascii="Narkisim" w:hAnsi="Narkisim"/>
          <w:rtl/>
        </w:rPr>
        <w:t>.</w:t>
      </w:r>
    </w:p>
    <w:p w14:paraId="506A29A6" w14:textId="77777777" w:rsidR="006074A5" w:rsidRPr="00440CAB" w:rsidRDefault="006074A5" w:rsidP="006074A5">
      <w:pPr>
        <w:bidi/>
        <w:rPr>
          <w:rFonts w:ascii="Narkisim" w:hAnsi="Narkisim" w:cs="Narkisim"/>
        </w:rPr>
      </w:pPr>
      <w:r w:rsidRPr="00440CAB">
        <w:rPr>
          <w:rFonts w:ascii="Narkisim" w:hAnsi="Narkisim" w:cs="Narkisim"/>
          <w:u w:val="single"/>
          <w:rtl/>
        </w:rPr>
        <w:t>בא"ד וקאמר רבא דיש לו למסור עצמו ליהרג אם יודע שא"א לו אם לא יתקשה</w:t>
      </w:r>
      <w:r w:rsidRPr="00440CAB">
        <w:rPr>
          <w:rFonts w:ascii="Narkisim" w:hAnsi="Narkisim" w:cs="Narkisim"/>
          <w:rtl/>
        </w:rPr>
        <w:t>. כיון שיודע שלבסוף יעשה מעשה בעריות. וב</w:t>
      </w:r>
      <w:r w:rsidRPr="00440CAB">
        <w:rPr>
          <w:rFonts w:ascii="Narkisim" w:hAnsi="Narkisim" w:cs="Narkisim"/>
          <w:b/>
          <w:bCs/>
          <w:rtl/>
        </w:rPr>
        <w:t>ריטב"א</w:t>
      </w:r>
      <w:r w:rsidRPr="00440CAB">
        <w:rPr>
          <w:rFonts w:ascii="Narkisim" w:hAnsi="Narkisim" w:cs="Narkisim"/>
          <w:rtl/>
        </w:rPr>
        <w:t xml:space="preserve"> מבואר דאפי' אנסוהו </w:t>
      </w:r>
      <w:r w:rsidRPr="00440CAB">
        <w:rPr>
          <w:rFonts w:ascii="Narkisim" w:hAnsi="Narkisim" w:cs="Narkisim"/>
          <w:szCs w:val="20"/>
          <w:rtl/>
        </w:rPr>
        <w:t>[באיום מיתה</w:t>
      </w:r>
      <w:r w:rsidRPr="00440CAB">
        <w:rPr>
          <w:rFonts w:ascii="Narkisim" w:hAnsi="Narkisim" w:cs="Narkisim"/>
          <w:rtl/>
        </w:rPr>
        <w:t xml:space="preserve">] להתקשות, ואח"כ ידביקו אותו על הערוה הדין ליהרג ולא יעבור </w:t>
      </w:r>
      <w:r w:rsidRPr="00440CAB">
        <w:rPr>
          <w:rFonts w:ascii="Narkisim" w:hAnsi="Narkisim" w:cs="Narkisim"/>
          <w:sz w:val="20"/>
          <w:szCs w:val="20"/>
          <w:rtl/>
        </w:rPr>
        <w:t>[ואפי' דהעבירה אח"כ אינה במעשה]</w:t>
      </w:r>
      <w:r w:rsidRPr="00440CAB">
        <w:rPr>
          <w:rFonts w:ascii="Narkisim" w:hAnsi="Narkisim" w:cs="Narkisim"/>
          <w:rtl/>
        </w:rPr>
        <w:t>. ואע"ג דהקישוי אינה העבירה עצמה אלא הביאה, כיון דא"א לביאה בלא קישוי ראוי ליהרג עליו. וה</w:t>
      </w:r>
      <w:r w:rsidRPr="00440CAB">
        <w:rPr>
          <w:rFonts w:ascii="Narkisim" w:hAnsi="Narkisim" w:cs="Narkisim"/>
          <w:b/>
          <w:bCs/>
          <w:rtl/>
        </w:rPr>
        <w:t>חזו"א</w:t>
      </w:r>
      <w:r w:rsidRPr="00440CAB">
        <w:rPr>
          <w:rFonts w:ascii="Narkisim" w:hAnsi="Narkisim" w:cs="Narkisim"/>
          <w:rtl/>
        </w:rPr>
        <w:t xml:space="preserve"> (לג) כת' דהקישוי נחשב כאבזרי' דעריות.</w:t>
      </w:r>
    </w:p>
    <w:p w14:paraId="13CCA2F8" w14:textId="77777777" w:rsidR="006074A5" w:rsidRPr="00440CAB" w:rsidRDefault="006074A5" w:rsidP="006074A5">
      <w:pPr>
        <w:pStyle w:val="aa"/>
        <w:bidi/>
        <w:rPr>
          <w:rFonts w:ascii="Narkisim" w:hAnsi="Narkisim"/>
        </w:rPr>
      </w:pPr>
      <w:r w:rsidRPr="00440CAB">
        <w:rPr>
          <w:rFonts w:ascii="Narkisim" w:hAnsi="Narkisim"/>
          <w:u w:val="single"/>
          <w:rtl/>
        </w:rPr>
        <w:t>שם. דיש לו למסור עצמו ליהרג אם יודע וכו' דחשיב כעושה מעשה.</w:t>
      </w:r>
      <w:r w:rsidRPr="00440CAB">
        <w:rPr>
          <w:rFonts w:ascii="Narkisim" w:hAnsi="Narkisim"/>
          <w:rtl/>
        </w:rPr>
        <w:t xml:space="preserve"> מבואר דצריך למסור נפשו בידים, כדי למנוע שלא לעבור במעשה. (וע' בסמוך).</w:t>
      </w:r>
    </w:p>
    <w:p w14:paraId="2C94B985" w14:textId="77777777" w:rsidR="006074A5" w:rsidRPr="00440CAB" w:rsidRDefault="006074A5" w:rsidP="006074A5">
      <w:pPr>
        <w:pStyle w:val="aa"/>
        <w:bidi/>
        <w:rPr>
          <w:rFonts w:ascii="Narkisim" w:hAnsi="Narkisim"/>
        </w:rPr>
      </w:pPr>
      <w:r w:rsidRPr="00440CAB">
        <w:rPr>
          <w:rFonts w:ascii="Narkisim" w:hAnsi="Narkisim"/>
          <w:u w:val="single"/>
          <w:rtl/>
        </w:rPr>
        <w:t>שם. אם יודע וכו'.</w:t>
      </w:r>
      <w:r w:rsidRPr="00440CAB">
        <w:rPr>
          <w:rFonts w:ascii="Narkisim" w:hAnsi="Narkisim"/>
          <w:rtl/>
        </w:rPr>
        <w:t xml:space="preserve"> ה</w:t>
      </w:r>
      <w:r w:rsidRPr="00440CAB">
        <w:rPr>
          <w:rFonts w:ascii="Narkisim" w:hAnsi="Narkisim"/>
          <w:b/>
          <w:bCs/>
          <w:rtl/>
        </w:rPr>
        <w:t>רש"ש</w:t>
      </w:r>
      <w:r w:rsidRPr="00440CAB">
        <w:rPr>
          <w:rFonts w:ascii="Narkisim" w:hAnsi="Narkisim"/>
          <w:rtl/>
        </w:rPr>
        <w:t xml:space="preserve"> דייק דהיכא שאינו יודע לא ימסור עצמו</w:t>
      </w:r>
      <w:r w:rsidRPr="00440CAB">
        <w:rPr>
          <w:rStyle w:val="ac"/>
          <w:rFonts w:ascii="Narkisim" w:hAnsi="Narkisim"/>
          <w:rtl/>
        </w:rPr>
        <w:footnoteReference w:id="3287"/>
      </w:r>
      <w:r w:rsidRPr="00440CAB">
        <w:rPr>
          <w:rFonts w:ascii="Narkisim" w:hAnsi="Narkisim"/>
          <w:rtl/>
        </w:rPr>
        <w:t>. דספק נפשות להקל. אבל המשך לשון התוס' שיודע שלא יתקשה. וצ"ע.</w:t>
      </w:r>
    </w:p>
    <w:p w14:paraId="609DEA59" w14:textId="77777777" w:rsidR="006074A5" w:rsidRPr="00440CAB" w:rsidRDefault="006074A5" w:rsidP="006074A5">
      <w:pPr>
        <w:pStyle w:val="2"/>
        <w:bidi/>
        <w:rPr>
          <w:rFonts w:ascii="Narkisim" w:hAnsi="Narkisim"/>
        </w:rPr>
      </w:pPr>
      <w:r w:rsidRPr="00440CAB">
        <w:rPr>
          <w:rFonts w:ascii="Narkisim" w:hAnsi="Narkisim"/>
          <w:rtl/>
        </w:rPr>
        <w:t>קרקע עולם – מאי חזית</w:t>
      </w:r>
    </w:p>
    <w:p w14:paraId="253439AA" w14:textId="77777777" w:rsidR="006074A5" w:rsidRPr="00440CAB" w:rsidRDefault="006074A5" w:rsidP="006074A5">
      <w:pPr>
        <w:bidi/>
        <w:rPr>
          <w:rFonts w:ascii="Narkisim" w:hAnsi="Narkisim" w:cs="Narkisim"/>
        </w:rPr>
      </w:pPr>
      <w:r w:rsidRPr="00440CAB">
        <w:rPr>
          <w:rFonts w:ascii="Narkisim" w:hAnsi="Narkisim" w:cs="Narkisim"/>
          <w:u w:val="single"/>
          <w:rtl/>
        </w:rPr>
        <w:t>בא"ד שהוא אינו עושה מעשה והוי כקרקע עולם וכו'.</w:t>
      </w:r>
      <w:r w:rsidRPr="00440CAB">
        <w:rPr>
          <w:rFonts w:ascii="Narkisim" w:hAnsi="Narkisim" w:cs="Narkisim"/>
          <w:rtl/>
        </w:rPr>
        <w:t xml:space="preserve"> וכ"ד </w:t>
      </w:r>
      <w:r w:rsidRPr="00440CAB">
        <w:rPr>
          <w:rFonts w:ascii="Narkisim" w:hAnsi="Narkisim" w:cs="Narkisim"/>
          <w:b/>
          <w:bCs/>
          <w:rtl/>
        </w:rPr>
        <w:t>רש"י</w:t>
      </w:r>
      <w:r w:rsidRPr="00440CAB">
        <w:rPr>
          <w:rFonts w:ascii="Narkisim" w:hAnsi="Narkisim" w:cs="Narkisim"/>
          <w:rtl/>
        </w:rPr>
        <w:t xml:space="preserve"> (יומא פב.) דאף בגילוי עריות יש היתר דקרקע עולם, וראיה לדבר אסתר. </w:t>
      </w:r>
      <w:r w:rsidRPr="00440CAB">
        <w:rPr>
          <w:rFonts w:ascii="Narkisim" w:hAnsi="Narkisim" w:cs="Narkisim"/>
          <w:sz w:val="20"/>
          <w:szCs w:val="20"/>
          <w:rtl/>
        </w:rPr>
        <w:t xml:space="preserve">וכ"כ </w:t>
      </w:r>
      <w:r w:rsidRPr="00440CAB">
        <w:rPr>
          <w:rFonts w:ascii="Narkisim" w:hAnsi="Narkisim" w:cs="Narkisim"/>
          <w:b/>
          <w:bCs/>
          <w:sz w:val="20"/>
          <w:szCs w:val="20"/>
          <w:rtl/>
        </w:rPr>
        <w:t>תוס</w:t>
      </w:r>
      <w:r w:rsidRPr="00440CAB">
        <w:rPr>
          <w:rFonts w:ascii="Narkisim" w:hAnsi="Narkisim" w:cs="Narkisim"/>
          <w:sz w:val="20"/>
          <w:szCs w:val="20"/>
          <w:rtl/>
        </w:rPr>
        <w:t>' (סנהדרין עד:, ויומא פב: ובכ"מ) אף דרבא (סנהדרין עד:) לא תי' סברת קרקע עולם לענין פרהסיא, לענין גילוי עריות אף רבא ס"ל הך סברא.</w:t>
      </w:r>
    </w:p>
    <w:p w14:paraId="5F9506B9" w14:textId="77777777" w:rsidR="006074A5" w:rsidRPr="00440CAB" w:rsidRDefault="006074A5" w:rsidP="006074A5">
      <w:pPr>
        <w:pStyle w:val="a8"/>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(בכ"מ הנ"ל) הביאו בשם </w:t>
      </w:r>
      <w:r w:rsidRPr="00440CAB">
        <w:rPr>
          <w:rFonts w:ascii="Narkisim" w:hAnsi="Narkisim"/>
          <w:b/>
          <w:bCs/>
          <w:rtl/>
        </w:rPr>
        <w:t>ר"ת</w:t>
      </w:r>
      <w:r w:rsidRPr="00440CAB">
        <w:rPr>
          <w:rFonts w:ascii="Narkisim" w:hAnsi="Narkisim"/>
          <w:rtl/>
        </w:rPr>
        <w:t xml:space="preserve"> ליישב [הא דאסתר] דאין חייבין על ביאת עכו"ם, דנחשב כבהמה. וה</w:t>
      </w:r>
      <w:r w:rsidRPr="00440CAB">
        <w:rPr>
          <w:rFonts w:ascii="Narkisim" w:hAnsi="Narkisim"/>
          <w:b/>
          <w:bCs/>
          <w:rtl/>
        </w:rPr>
        <w:t>בעה"מ</w:t>
      </w:r>
      <w:r w:rsidRPr="00440CAB">
        <w:rPr>
          <w:rFonts w:ascii="Narkisim" w:hAnsi="Narkisim"/>
          <w:rtl/>
        </w:rPr>
        <w:t xml:space="preserve"> (סנהדרין) כת' דהותר משום הנאת עצמן של עכו"ם.</w:t>
      </w:r>
    </w:p>
    <w:p w14:paraId="732FCA7C"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w:t>
      </w:r>
      <w:r w:rsidRPr="00440CAB">
        <w:rPr>
          <w:rFonts w:ascii="Narkisim" w:hAnsi="Narkisim"/>
          <w:sz w:val="20"/>
          <w:szCs w:val="20"/>
          <w:rtl/>
        </w:rPr>
        <w:t>(מלחמות סנהדרין שם, ונמוק"י שם, וכן בריטב"א בסוגיין)</w:t>
      </w:r>
      <w:r w:rsidRPr="00440CAB">
        <w:rPr>
          <w:rFonts w:ascii="Narkisim" w:hAnsi="Narkisim"/>
          <w:rtl/>
        </w:rPr>
        <w:t xml:space="preserve"> תי' דמאחר דיכולים לבעול אותה בע"כ אי"צ למסור נפש, דלא ימנע האונס בכך.</w:t>
      </w:r>
    </w:p>
    <w:p w14:paraId="0B77EABD" w14:textId="77777777" w:rsidR="006074A5" w:rsidRPr="00440CAB" w:rsidRDefault="006074A5" w:rsidP="006074A5">
      <w:pPr>
        <w:bidi/>
        <w:rPr>
          <w:rFonts w:ascii="Narkisim" w:hAnsi="Narkisim" w:cs="Narkisim"/>
        </w:rPr>
      </w:pPr>
      <w:r w:rsidRPr="00440CAB">
        <w:rPr>
          <w:rFonts w:ascii="Narkisim" w:hAnsi="Narkisim" w:cs="Narkisim"/>
          <w:rtl/>
        </w:rPr>
        <w:t>אבל ה</w:t>
      </w:r>
      <w:r w:rsidRPr="00440CAB">
        <w:rPr>
          <w:rFonts w:ascii="Narkisim" w:hAnsi="Narkisim" w:cs="Narkisim"/>
          <w:b/>
          <w:bCs/>
          <w:rtl/>
        </w:rPr>
        <w:t>גר"ח</w:t>
      </w:r>
      <w:r w:rsidRPr="00440CAB">
        <w:rPr>
          <w:rFonts w:ascii="Narkisim" w:hAnsi="Narkisim" w:cs="Narkisim"/>
          <w:rtl/>
        </w:rPr>
        <w:t xml:space="preserve"> (יסוה"ת ה) דייק מסתימת ה</w:t>
      </w:r>
      <w:r w:rsidRPr="00440CAB">
        <w:rPr>
          <w:rFonts w:ascii="Narkisim" w:hAnsi="Narkisim" w:cs="Narkisim"/>
          <w:b/>
          <w:bCs/>
          <w:rtl/>
        </w:rPr>
        <w:t>רמב"ם</w:t>
      </w:r>
      <w:r w:rsidRPr="00440CAB">
        <w:rPr>
          <w:rFonts w:ascii="Narkisim" w:hAnsi="Narkisim" w:cs="Narkisim"/>
          <w:rtl/>
        </w:rPr>
        <w:t xml:space="preserve"> דלא חילק לענין גילוי עריות בין קום ועשה לשב ואל תעשה</w:t>
      </w:r>
      <w:r w:rsidRPr="00440CAB">
        <w:rPr>
          <w:rStyle w:val="ac"/>
          <w:rFonts w:ascii="Narkisim" w:hAnsi="Narkisim" w:cs="Narkisim"/>
          <w:rtl/>
        </w:rPr>
        <w:footnoteReference w:id="3288"/>
      </w:r>
      <w:r w:rsidRPr="00440CAB">
        <w:rPr>
          <w:rFonts w:ascii="Narkisim" w:hAnsi="Narkisim" w:cs="Narkisim"/>
          <w:rtl/>
        </w:rPr>
        <w:t>.</w:t>
      </w:r>
    </w:p>
    <w:p w14:paraId="12751986" w14:textId="77777777" w:rsidR="006074A5" w:rsidRPr="00440CAB" w:rsidRDefault="006074A5" w:rsidP="006074A5">
      <w:pPr>
        <w:bidi/>
        <w:rPr>
          <w:rFonts w:ascii="Narkisim" w:hAnsi="Narkisim" w:cs="Narkisim"/>
        </w:rPr>
      </w:pPr>
      <w:r w:rsidRPr="00440CAB">
        <w:rPr>
          <w:rFonts w:ascii="Narkisim" w:hAnsi="Narkisim" w:cs="Narkisim"/>
          <w:u w:val="single"/>
          <w:rtl/>
        </w:rPr>
        <w:t>בא"ד וטעמא משום דנערה המאורסה ילפי' וכו' (נד.) ורוצח קאמר דסברא הוא דמאי חזית וכו'</w:t>
      </w:r>
      <w:r w:rsidRPr="00440CAB">
        <w:rPr>
          <w:rStyle w:val="ac"/>
          <w:rFonts w:ascii="Narkisim" w:hAnsi="Narkisim" w:cs="Narkisim"/>
          <w:u w:val="single"/>
          <w:rtl/>
        </w:rPr>
        <w:footnoteReference w:id="3289"/>
      </w:r>
      <w:r w:rsidRPr="00440CAB">
        <w:rPr>
          <w:rFonts w:ascii="Narkisim" w:hAnsi="Narkisim" w:cs="Narkisim"/>
          <w:u w:val="single"/>
          <w:rtl/>
        </w:rPr>
        <w:t>, אבל וכו' איכא למימר איפכא וכו'.</w:t>
      </w:r>
      <w:r w:rsidRPr="00440CAB">
        <w:rPr>
          <w:rFonts w:ascii="Narkisim" w:hAnsi="Narkisim" w:cs="Narkisim"/>
          <w:rtl/>
        </w:rPr>
        <w:t xml:space="preserve"> בפשוטו סברת 'מאי חזית' הוא דאינו רשאי להעדיף נפשו על פני נפש חבירו. דמי יימר דדמך דידך סומק טפי, והוה ספק</w:t>
      </w:r>
      <w:r w:rsidRPr="00440CAB">
        <w:rPr>
          <w:rStyle w:val="ac"/>
          <w:rFonts w:ascii="Narkisim" w:hAnsi="Narkisim" w:cs="Narkisim"/>
          <w:rtl/>
        </w:rPr>
        <w:footnoteReference w:id="3290"/>
      </w:r>
      <w:r w:rsidRPr="00440CAB">
        <w:rPr>
          <w:rFonts w:ascii="Narkisim" w:hAnsi="Narkisim" w:cs="Narkisim"/>
          <w:rtl/>
        </w:rPr>
        <w:t xml:space="preserve">. </w:t>
      </w:r>
      <w:r w:rsidRPr="00440CAB">
        <w:rPr>
          <w:rFonts w:ascii="Narkisim" w:hAnsi="Narkisim" w:cs="Narkisim"/>
          <w:sz w:val="20"/>
          <w:szCs w:val="20"/>
          <w:rtl/>
        </w:rPr>
        <w:t>[ושב ואל תעשה. ומש"ה כת' התוס' דהיכא דאינו עושה מעשה אדרבה שב ואל תעשה, ולא יהרוג עצמו].</w:t>
      </w:r>
    </w:p>
    <w:p w14:paraId="3160DA62" w14:textId="77777777" w:rsidR="006074A5" w:rsidRPr="00440CAB" w:rsidRDefault="006074A5" w:rsidP="006074A5">
      <w:pPr>
        <w:pStyle w:val="a7"/>
        <w:bidi/>
        <w:rPr>
          <w:rFonts w:ascii="Narkisim" w:hAnsi="Narkisim"/>
        </w:rPr>
      </w:pPr>
      <w:r w:rsidRPr="00440CAB">
        <w:rPr>
          <w:rFonts w:ascii="Narkisim" w:hAnsi="Narkisim"/>
          <w:rtl/>
        </w:rPr>
        <w:t xml:space="preserve">אבל </w:t>
      </w:r>
      <w:r w:rsidRPr="00440CAB">
        <w:rPr>
          <w:rFonts w:ascii="Narkisim" w:hAnsi="Narkisim"/>
          <w:b/>
          <w:bCs/>
          <w:rtl/>
        </w:rPr>
        <w:t>רש"י</w:t>
      </w:r>
      <w:r w:rsidRPr="00440CAB">
        <w:rPr>
          <w:rFonts w:ascii="Narkisim" w:hAnsi="Narkisim"/>
          <w:rtl/>
        </w:rPr>
        <w:t xml:space="preserve"> (יומא פב:, פסחים כה:, סנהדרין עד.) פי' דסברת מאי חזית דכיון דסוף סוף איכא איבוד נשמה, הילכך לא ניתן לדחות המצווה. [והוה סברא דליכא היתר 'וחי בהם'].</w:t>
      </w:r>
    </w:p>
    <w:p w14:paraId="6BA6BDFC"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גר"ח</w:t>
      </w:r>
      <w:r w:rsidRPr="00440CAB">
        <w:rPr>
          <w:rFonts w:ascii="Narkisim" w:hAnsi="Narkisim"/>
          <w:rtl/>
        </w:rPr>
        <w:t xml:space="preserve"> (שם) חקר הסברא בזה, אי הוה משום דשב ואל תעשה עדיף, דב' רציחות אינן דוחות זו את זו. או דכיון דאין בזה פיקו"נ, ממילא לא הותר כלל רציחה, אפי' בשב ואל תעשה. </w:t>
      </w:r>
      <w:r w:rsidRPr="00440CAB">
        <w:rPr>
          <w:rFonts w:ascii="Narkisim" w:hAnsi="Narkisim"/>
          <w:sz w:val="20"/>
          <w:szCs w:val="20"/>
          <w:rtl/>
        </w:rPr>
        <w:t>וה</w:t>
      </w:r>
      <w:r w:rsidRPr="00440CAB">
        <w:rPr>
          <w:rFonts w:ascii="Narkisim" w:hAnsi="Narkisim"/>
          <w:b/>
          <w:bCs/>
          <w:sz w:val="20"/>
          <w:szCs w:val="20"/>
          <w:rtl/>
        </w:rPr>
        <w:t>חזו"א</w:t>
      </w:r>
      <w:r w:rsidRPr="00440CAB">
        <w:rPr>
          <w:rFonts w:ascii="Narkisim" w:hAnsi="Narkisim"/>
          <w:sz w:val="20"/>
          <w:szCs w:val="20"/>
          <w:rtl/>
        </w:rPr>
        <w:t xml:space="preserve"> כתב דאף מניעת הצלת נפשו הוה בכלל העבירה של שפיכת דמים, ולכן נחשב איסור כנגד איסור.</w:t>
      </w:r>
    </w:p>
    <w:p w14:paraId="76D36B53"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גר"ח</w:t>
      </w:r>
      <w:r w:rsidRPr="00440CAB">
        <w:rPr>
          <w:rFonts w:ascii="Narkisim" w:hAnsi="Narkisim" w:cs="Narkisim"/>
          <w:rtl/>
        </w:rPr>
        <w:t xml:space="preserve"> חקר בביאור סברת התוס' דבקרקע עולם יעבור ואל יהרג, האם הוא משום דעבירה בשב ואל תעשה אינו חמור כ"כ. (וכ"כ ר"ש איגר בחי' רע"א כתובות ג:), או משום שב ואל </w:t>
      </w:r>
      <w:r w:rsidRPr="00440CAB">
        <w:rPr>
          <w:rFonts w:ascii="Narkisim" w:hAnsi="Narkisim" w:cs="Narkisim"/>
          <w:rtl/>
        </w:rPr>
        <w:lastRenderedPageBreak/>
        <w:t>תעשה.</w:t>
      </w:r>
    </w:p>
    <w:p w14:paraId="27C935E1"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העירו דבתוס' דידן מבואר דצריך למסור עצמו בידים, כדי למנוע שלא יתקשה אח"כ. ואם הסברא משום שב ואל תעשה, א"כ ה"נ דינו שב ואל תעשה ולא ליהרג, ואין דין להרוג עצמו, אף אם יעבור אח"כ ויתקשה</w:t>
      </w:r>
      <w:r w:rsidRPr="00440CAB">
        <w:rPr>
          <w:rStyle w:val="ac"/>
          <w:rFonts w:ascii="Narkisim" w:hAnsi="Narkisim"/>
          <w:rtl/>
        </w:rPr>
        <w:footnoteReference w:id="3291"/>
      </w:r>
      <w:r w:rsidRPr="00440CAB">
        <w:rPr>
          <w:rFonts w:ascii="Narkisim" w:hAnsi="Narkisim"/>
          <w:rtl/>
        </w:rPr>
        <w:t>.</w:t>
      </w:r>
    </w:p>
    <w:p w14:paraId="6D24D3C6"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ותוס' למדו עד"ז אף לענין עריות, וצ"ב דהתם לכאו' ל"ש סברת 'מאי חזית'. ויש שפי' דמ"מ הוקש דדוקא לענין קום ועשה [ואף דל"ש סברא זו].</w:t>
      </w:r>
    </w:p>
    <w:p w14:paraId="38DD475E"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גר"ח</w:t>
      </w:r>
      <w:r w:rsidRPr="00440CAB">
        <w:rPr>
          <w:rFonts w:ascii="Narkisim" w:hAnsi="Narkisim"/>
          <w:rtl/>
        </w:rPr>
        <w:t xml:space="preserve"> כת' [באופן הא'] דסברת הרמב"ם דברציחה בשב ואל תעשה אמרי' מאי חזית, דשקול לתורה נפש זה כנגד זה. אבל בעריות היאך נימא דדיני התורה שקולים לדין עריות. [ושוב כתב דברציחה איירי דשב ואל תעשה אינו מעשה רציחה כלל, כדבסמוך]. אבל ה</w:t>
      </w:r>
      <w:r w:rsidRPr="00440CAB">
        <w:rPr>
          <w:rFonts w:ascii="Narkisim" w:hAnsi="Narkisim"/>
          <w:b/>
          <w:bCs/>
          <w:rtl/>
        </w:rPr>
        <w:t>חזו"א</w:t>
      </w:r>
      <w:r w:rsidRPr="00440CAB">
        <w:rPr>
          <w:rFonts w:ascii="Narkisim" w:hAnsi="Narkisim"/>
          <w:rtl/>
        </w:rPr>
        <w:t xml:space="preserve"> (בגליונות) כתב די"ל דהתורה החשיבה עבירת עריות כאיבוד נפש.</w:t>
      </w:r>
    </w:p>
    <w:p w14:paraId="1C07C57B" w14:textId="77777777" w:rsidR="006074A5" w:rsidRPr="00440CAB" w:rsidRDefault="006074A5" w:rsidP="006074A5">
      <w:pPr>
        <w:bidi/>
        <w:rPr>
          <w:rFonts w:ascii="Narkisim" w:hAnsi="Narkisim" w:cs="Narkisim"/>
        </w:rPr>
      </w:pPr>
      <w:r w:rsidRPr="00440CAB">
        <w:rPr>
          <w:rFonts w:ascii="Narkisim" w:hAnsi="Narkisim" w:cs="Narkisim"/>
          <w:u w:val="single"/>
          <w:rtl/>
        </w:rPr>
        <w:t>בא"ד אבל אם רוצים לזורקו על התינוק וכו'.</w:t>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רמ"א</w:t>
      </w:r>
      <w:r w:rsidRPr="00440CAB">
        <w:rPr>
          <w:rFonts w:ascii="Narkisim" w:hAnsi="Narkisim" w:cs="Narkisim"/>
          <w:sz w:val="20"/>
          <w:szCs w:val="20"/>
          <w:rtl/>
        </w:rPr>
        <w:t xml:space="preserve"> (יו"ד קנז א) פסק כדברי התוס' דבקרקע עולם בעריות אי"צ למסור עצמו, וכן אם זורקים אותו על תינוק]. </w:t>
      </w:r>
      <w:r w:rsidRPr="00440CAB">
        <w:rPr>
          <w:rFonts w:ascii="Narkisim" w:hAnsi="Narkisim" w:cs="Narkisim"/>
          <w:rtl/>
        </w:rPr>
        <w:t>וה</w:t>
      </w:r>
      <w:r w:rsidRPr="00440CAB">
        <w:rPr>
          <w:rFonts w:ascii="Narkisim" w:hAnsi="Narkisim" w:cs="Narkisim"/>
          <w:b/>
          <w:bCs/>
          <w:rtl/>
        </w:rPr>
        <w:t>גר"ח</w:t>
      </w:r>
      <w:r w:rsidRPr="00440CAB">
        <w:rPr>
          <w:rFonts w:ascii="Narkisim" w:hAnsi="Narkisim" w:cs="Narkisim"/>
          <w:rtl/>
        </w:rPr>
        <w:t xml:space="preserve"> תמה דהיכא דזורקים אותו, הוא אינו רוצח כלל, אלא כעץ ביד הרוצח. ואינו עובר כלל משום שפיכות דמים</w:t>
      </w:r>
      <w:r w:rsidRPr="00440CAB">
        <w:rPr>
          <w:rStyle w:val="ac"/>
          <w:rFonts w:ascii="Narkisim" w:hAnsi="Narkisim" w:cs="Narkisim"/>
          <w:rtl/>
        </w:rPr>
        <w:footnoteReference w:id="3292"/>
      </w:r>
      <w:r w:rsidRPr="00440CAB">
        <w:rPr>
          <w:rFonts w:ascii="Narkisim" w:hAnsi="Narkisim" w:cs="Narkisim"/>
          <w:rtl/>
        </w:rPr>
        <w:t>. וה</w:t>
      </w:r>
      <w:r w:rsidRPr="00440CAB">
        <w:rPr>
          <w:rFonts w:ascii="Narkisim" w:hAnsi="Narkisim" w:cs="Narkisim"/>
          <w:b/>
          <w:bCs/>
          <w:rtl/>
        </w:rPr>
        <w:t>אחרונים</w:t>
      </w:r>
      <w:r w:rsidRPr="00440CAB">
        <w:rPr>
          <w:rFonts w:ascii="Narkisim" w:hAnsi="Narkisim" w:cs="Narkisim"/>
          <w:rtl/>
        </w:rPr>
        <w:t xml:space="preserve"> דנו דהוה עכ"פ אבזרייהו דרציחה</w:t>
      </w:r>
      <w:r w:rsidRPr="00440CAB">
        <w:rPr>
          <w:rStyle w:val="ac"/>
          <w:rFonts w:ascii="Narkisim" w:hAnsi="Narkisim" w:cs="Narkisim"/>
          <w:rtl/>
        </w:rPr>
        <w:footnoteReference w:id="3293"/>
      </w:r>
      <w:r w:rsidRPr="00440CAB">
        <w:rPr>
          <w:rFonts w:ascii="Narkisim" w:hAnsi="Narkisim" w:cs="Narkisim"/>
          <w:rtl/>
        </w:rPr>
        <w:t>, וקי"ל דאף אבזרייהו</w:t>
      </w:r>
      <w:r w:rsidRPr="00440CAB">
        <w:rPr>
          <w:rStyle w:val="ac"/>
          <w:rFonts w:ascii="Narkisim" w:hAnsi="Narkisim" w:cs="Narkisim"/>
          <w:rtl/>
        </w:rPr>
        <w:footnoteReference w:id="3294"/>
      </w:r>
      <w:r w:rsidRPr="00440CAB">
        <w:rPr>
          <w:rFonts w:ascii="Narkisim" w:hAnsi="Narkisim" w:cs="Narkisim"/>
          <w:rtl/>
        </w:rPr>
        <w:t xml:space="preserve"> יהרג ואל יעבור</w:t>
      </w:r>
      <w:r w:rsidRPr="00440CAB">
        <w:rPr>
          <w:rStyle w:val="ac"/>
          <w:rFonts w:ascii="Narkisim" w:hAnsi="Narkisim" w:cs="Narkisim"/>
          <w:rtl/>
        </w:rPr>
        <w:footnoteReference w:id="3295"/>
      </w:r>
      <w:r w:rsidRPr="00440CAB">
        <w:rPr>
          <w:rFonts w:ascii="Narkisim" w:hAnsi="Narkisim" w:cs="Narkisim"/>
          <w:rtl/>
        </w:rPr>
        <w:t>. וה</w:t>
      </w:r>
      <w:r w:rsidRPr="00440CAB">
        <w:rPr>
          <w:rFonts w:ascii="Narkisim" w:hAnsi="Narkisim" w:cs="Narkisim"/>
          <w:b/>
          <w:bCs/>
          <w:rtl/>
        </w:rPr>
        <w:t>אבה"א</w:t>
      </w:r>
      <w:r w:rsidRPr="00440CAB">
        <w:rPr>
          <w:rFonts w:ascii="Narkisim" w:hAnsi="Narkisim" w:cs="Narkisim"/>
          <w:rtl/>
        </w:rPr>
        <w:t xml:space="preserve"> (יסוה"ת ה א) כת' דכוונת התוס' דכובד גופו הורג, דנחשב מעשה דידיה</w:t>
      </w:r>
      <w:r w:rsidRPr="00440CAB">
        <w:rPr>
          <w:rStyle w:val="ac"/>
          <w:rFonts w:ascii="Narkisim" w:hAnsi="Narkisim" w:cs="Narkisim"/>
          <w:rtl/>
        </w:rPr>
        <w:footnoteReference w:id="3296"/>
      </w:r>
      <w:r w:rsidRPr="00440CAB">
        <w:rPr>
          <w:rFonts w:ascii="Narkisim" w:hAnsi="Narkisim" w:cs="Narkisim"/>
          <w:rtl/>
        </w:rPr>
        <w:t>.</w:t>
      </w:r>
    </w:p>
    <w:p w14:paraId="712FBB79"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גר"ח</w:t>
      </w:r>
      <w:r w:rsidRPr="00440CAB">
        <w:rPr>
          <w:rFonts w:ascii="Narkisim" w:hAnsi="Narkisim"/>
          <w:rtl/>
        </w:rPr>
        <w:t xml:space="preserve"> יישב דלדעת הרמב"ם כשזורקים אותו על תינוק אינו רוצח. אבל אילו היה נחשב רוצח, צריך ליהרג ולא לעבור.</w:t>
      </w:r>
    </w:p>
    <w:p w14:paraId="4F380F36" w14:textId="77777777" w:rsidR="006074A5" w:rsidRPr="00440CAB" w:rsidRDefault="006074A5" w:rsidP="006074A5">
      <w:pPr>
        <w:pStyle w:val="aa"/>
        <w:bidi/>
        <w:rPr>
          <w:rFonts w:ascii="Narkisim" w:hAnsi="Narkisim"/>
        </w:rPr>
      </w:pPr>
      <w:r w:rsidRPr="00440CAB">
        <w:rPr>
          <w:rFonts w:ascii="Narkisim" w:hAnsi="Narkisim"/>
          <w:u w:val="single"/>
          <w:rtl/>
        </w:rPr>
        <w:t>בא"ד ואין מצווה להציל חברו בגופו, דאדרבה חייו קודמין.</w:t>
      </w:r>
      <w:r w:rsidRPr="00440CAB">
        <w:rPr>
          <w:rFonts w:ascii="Narkisim" w:hAnsi="Narkisim"/>
          <w:rtl/>
        </w:rPr>
        <w:t xml:space="preserve"> משמע דכוונת ה</w:t>
      </w:r>
      <w:r w:rsidRPr="00440CAB">
        <w:rPr>
          <w:rFonts w:ascii="Narkisim" w:hAnsi="Narkisim"/>
          <w:b/>
          <w:bCs/>
          <w:rtl/>
        </w:rPr>
        <w:t>תוס</w:t>
      </w:r>
      <w:r w:rsidRPr="00440CAB">
        <w:rPr>
          <w:rFonts w:ascii="Narkisim" w:hAnsi="Narkisim"/>
          <w:rtl/>
        </w:rPr>
        <w:t>' ע"פ הגמ' (ב"מ סב.) דלר' עקיבא דרשינן חייך קודמין. אבל ה</w:t>
      </w:r>
      <w:r w:rsidRPr="00440CAB">
        <w:rPr>
          <w:rFonts w:ascii="Narkisim" w:hAnsi="Narkisim"/>
          <w:b/>
          <w:bCs/>
          <w:rtl/>
        </w:rPr>
        <w:t>אחרונים</w:t>
      </w:r>
      <w:r w:rsidRPr="00440CAB">
        <w:rPr>
          <w:rFonts w:ascii="Narkisim" w:hAnsi="Narkisim"/>
          <w:rtl/>
        </w:rPr>
        <w:t xml:space="preserve"> כתבו דכוונת התוס' כמ"ש דשב ואל תעשה עדיף, ונקט לשון בעלמא [וע' חזו"א בגליונות שם].</w:t>
      </w:r>
    </w:p>
    <w:p w14:paraId="34AC6701" w14:textId="77777777" w:rsidR="006074A5" w:rsidRPr="00440CAB" w:rsidRDefault="006074A5" w:rsidP="006074A5">
      <w:pPr>
        <w:pStyle w:val="aa"/>
        <w:bidi/>
        <w:rPr>
          <w:rFonts w:ascii="Narkisim" w:hAnsi="Narkisim"/>
        </w:rPr>
      </w:pPr>
      <w:r w:rsidRPr="00440CAB">
        <w:rPr>
          <w:rFonts w:ascii="Narkisim" w:hAnsi="Narkisim"/>
          <w:u w:val="single"/>
          <w:rtl/>
        </w:rPr>
        <w:t>בא"ד ולא גרסי' תיהרג, דקרקע עולם היא וכו'</w:t>
      </w:r>
      <w:r w:rsidRPr="00440CAB">
        <w:rPr>
          <w:rFonts w:ascii="Narkisim" w:hAnsi="Narkisim"/>
          <w:rtl/>
        </w:rPr>
        <w:t xml:space="preserve">. וכ"כ </w:t>
      </w:r>
      <w:r w:rsidRPr="00440CAB">
        <w:rPr>
          <w:rFonts w:ascii="Narkisim" w:hAnsi="Narkisim"/>
          <w:b/>
          <w:bCs/>
          <w:rtl/>
        </w:rPr>
        <w:t>רש"י</w:t>
      </w:r>
      <w:r w:rsidRPr="00440CAB">
        <w:rPr>
          <w:rFonts w:ascii="Narkisim" w:hAnsi="Narkisim"/>
          <w:rtl/>
        </w:rPr>
        <w:t xml:space="preserve"> (יומא פב.)</w:t>
      </w:r>
      <w:r w:rsidRPr="00440CAB">
        <w:rPr>
          <w:rStyle w:val="ac"/>
          <w:rFonts w:ascii="Narkisim" w:hAnsi="Narkisim"/>
          <w:rtl/>
        </w:rPr>
        <w:footnoteReference w:id="3297"/>
      </w:r>
      <w:r w:rsidRPr="00440CAB">
        <w:rPr>
          <w:rFonts w:ascii="Narkisim" w:hAnsi="Narkisim"/>
          <w:rtl/>
        </w:rPr>
        <w:t>, ו</w:t>
      </w:r>
      <w:r w:rsidRPr="00440CAB">
        <w:rPr>
          <w:rFonts w:ascii="Narkisim" w:hAnsi="Narkisim"/>
          <w:b/>
          <w:bCs/>
          <w:rtl/>
        </w:rPr>
        <w:t>רש"י</w:t>
      </w:r>
      <w:r w:rsidRPr="00440CAB">
        <w:rPr>
          <w:rFonts w:ascii="Narkisim" w:hAnsi="Narkisim"/>
          <w:rtl/>
        </w:rPr>
        <w:t xml:space="preserve"> ביאר דבנערה המאורסה תעבור ולא תיהרג, דלא עבדא מעשה 'דאינה עושה כלום, דקרקע עולם בעלמא היא'</w:t>
      </w:r>
      <w:r w:rsidRPr="00440CAB">
        <w:rPr>
          <w:rStyle w:val="ac"/>
          <w:rFonts w:ascii="Narkisim" w:hAnsi="Narkisim"/>
          <w:rtl/>
        </w:rPr>
        <w:footnoteReference w:id="3298"/>
      </w:r>
      <w:r w:rsidRPr="00440CAB">
        <w:rPr>
          <w:rFonts w:ascii="Narkisim" w:hAnsi="Narkisim"/>
          <w:rtl/>
        </w:rPr>
        <w:t>. ויש שדייקו דהטעם דכיון דהוה אונס ובלא מעשה, לא נחשב כלל הנאתה כעבירת עריות.</w:t>
      </w:r>
    </w:p>
    <w:p w14:paraId="54F869C7" w14:textId="77777777" w:rsidR="006074A5" w:rsidRPr="00440CAB" w:rsidRDefault="006074A5" w:rsidP="006074A5">
      <w:pPr>
        <w:bidi/>
        <w:rPr>
          <w:rFonts w:ascii="Narkisim" w:hAnsi="Narkisim" w:cs="Narkisim"/>
        </w:rPr>
      </w:pPr>
      <w:r w:rsidRPr="00440CAB">
        <w:rPr>
          <w:rFonts w:ascii="Narkisim" w:hAnsi="Narkisim" w:cs="Narkisim"/>
          <w:u w:val="single"/>
          <w:rtl/>
        </w:rPr>
        <w:t>בא"ד וא"ת במס' ע"ז וכו' והתם קעביד מעשה וכו'.</w:t>
      </w:r>
      <w:r w:rsidRPr="00440CAB">
        <w:rPr>
          <w:rFonts w:ascii="Narkisim" w:hAnsi="Narkisim" w:cs="Narkisim"/>
          <w:rtl/>
        </w:rPr>
        <w:t xml:space="preserve"> מבואר בתוס' דאילו משכחת בע"ז קרקע עולם הדין דיעבור ואל יהרג. וה</w:t>
      </w:r>
      <w:r w:rsidRPr="00440CAB">
        <w:rPr>
          <w:rFonts w:ascii="Narkisim" w:hAnsi="Narkisim" w:cs="Narkisim"/>
          <w:b/>
          <w:bCs/>
          <w:rtl/>
        </w:rPr>
        <w:t>אחרונים</w:t>
      </w:r>
      <w:r w:rsidRPr="00440CAB">
        <w:rPr>
          <w:rFonts w:ascii="Narkisim" w:hAnsi="Narkisim" w:cs="Narkisim"/>
          <w:rtl/>
        </w:rPr>
        <w:t xml:space="preserve"> הקשו דע"ז נלמד מבכל נפשך, ולא מרוצח. א"כ היאך ילפי' לדין קרקע עולם. </w:t>
      </w:r>
      <w:r w:rsidRPr="00440CAB">
        <w:rPr>
          <w:rFonts w:ascii="Narkisim" w:hAnsi="Narkisim" w:cs="Narkisim"/>
          <w:sz w:val="20"/>
          <w:szCs w:val="20"/>
          <w:rtl/>
        </w:rPr>
        <w:t>[וע' חי' ר' ראובן].</w:t>
      </w:r>
    </w:p>
    <w:p w14:paraId="58FEDE05" w14:textId="77777777" w:rsidR="006074A5" w:rsidRPr="00440CAB" w:rsidRDefault="006074A5" w:rsidP="006074A5">
      <w:pPr>
        <w:bidi/>
        <w:rPr>
          <w:rFonts w:ascii="Narkisim" w:hAnsi="Narkisim" w:cs="Narkisim"/>
        </w:rPr>
      </w:pPr>
      <w:r w:rsidRPr="00440CAB">
        <w:rPr>
          <w:rFonts w:ascii="Narkisim" w:hAnsi="Narkisim" w:cs="Narkisim"/>
          <w:u w:val="single"/>
          <w:rtl/>
        </w:rPr>
        <w:t>בא"ד נהי דחייב למסור עצמו, מ"מ וכו' לא מחייב מיתה וכו'.</w:t>
      </w:r>
      <w:r w:rsidRPr="00440CAB">
        <w:rPr>
          <w:rFonts w:ascii="Narkisim" w:hAnsi="Narkisim" w:cs="Narkisim"/>
          <w:sz w:val="20"/>
          <w:szCs w:val="20"/>
          <w:rtl/>
        </w:rPr>
        <w:t xml:space="preserve"> [וה</w:t>
      </w:r>
      <w:r w:rsidRPr="00440CAB">
        <w:rPr>
          <w:rFonts w:ascii="Narkisim" w:hAnsi="Narkisim" w:cs="Narkisim"/>
          <w:b/>
          <w:bCs/>
          <w:sz w:val="20"/>
          <w:szCs w:val="20"/>
          <w:rtl/>
        </w:rPr>
        <w:t>ראשונים</w:t>
      </w:r>
      <w:r w:rsidRPr="00440CAB">
        <w:rPr>
          <w:rFonts w:ascii="Narkisim" w:hAnsi="Narkisim" w:cs="Narkisim"/>
          <w:sz w:val="20"/>
          <w:szCs w:val="20"/>
          <w:rtl/>
        </w:rPr>
        <w:t xml:space="preserve"> למדו כן מהגמ' (סנהדרין סא:) וכ"כ תוס' שם ד"ה רבא]</w:t>
      </w:r>
      <w:r w:rsidRPr="00440CAB">
        <w:rPr>
          <w:rFonts w:ascii="Narkisim" w:hAnsi="Narkisim" w:cs="Narkisim"/>
          <w:rtl/>
        </w:rPr>
        <w:t>, וכ"פ ה</w:t>
      </w:r>
      <w:r w:rsidRPr="00440CAB">
        <w:rPr>
          <w:rFonts w:ascii="Narkisim" w:hAnsi="Narkisim" w:cs="Narkisim"/>
          <w:b/>
          <w:bCs/>
          <w:rtl/>
        </w:rPr>
        <w:t>רמב"ם</w:t>
      </w:r>
      <w:r w:rsidRPr="00440CAB">
        <w:rPr>
          <w:rFonts w:ascii="Narkisim" w:hAnsi="Narkisim" w:cs="Narkisim"/>
          <w:rtl/>
        </w:rPr>
        <w:t xml:space="preserve"> (יסוה"ת ה ד) דבגילוי עריות, אם עבר ולא נהרג הרי זה מחלל את השם, אבל אין חיוב מיתה. וכן בהל' סנהדרין (כ ב) דאפי' דמצווה להרג ולא לעבור, אם עבר אינו חייב מיתה בבי"ד, דכתיב ולנערה לא תעשה דבר</w:t>
      </w:r>
      <w:r w:rsidRPr="00440CAB">
        <w:rPr>
          <w:rStyle w:val="ac"/>
          <w:rFonts w:ascii="Narkisim" w:hAnsi="Narkisim" w:cs="Narkisim"/>
          <w:rtl/>
        </w:rPr>
        <w:footnoteReference w:id="3299"/>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w:t>
      </w:r>
      <w:r w:rsidRPr="00440CAB">
        <w:rPr>
          <w:rFonts w:ascii="Narkisim" w:hAnsi="Narkisim" w:cs="Narkisim"/>
          <w:sz w:val="20"/>
          <w:szCs w:val="20"/>
          <w:rtl/>
        </w:rPr>
        <w:lastRenderedPageBreak/>
        <w:t>(קובה"ע נא ב) דנו האם נחשב שהותר איסור עריות של התורה, אלא שביטל מצוות קידוש ד'</w:t>
      </w:r>
      <w:r w:rsidRPr="00440CAB">
        <w:rPr>
          <w:rStyle w:val="ac"/>
          <w:rFonts w:ascii="Narkisim" w:hAnsi="Narkisim" w:cs="Narkisim"/>
          <w:sz w:val="20"/>
          <w:szCs w:val="20"/>
          <w:rtl/>
        </w:rPr>
        <w:footnoteReference w:id="3300"/>
      </w:r>
      <w:r w:rsidRPr="00440CAB">
        <w:rPr>
          <w:rFonts w:ascii="Narkisim" w:hAnsi="Narkisim" w:cs="Narkisim"/>
          <w:sz w:val="20"/>
          <w:szCs w:val="20"/>
          <w:rtl/>
        </w:rPr>
        <w:t>. אך משמע טפי דעבר על גוף האיסור, אלא דגזיה"כ דפטור מקרא ד'ולנערה'</w:t>
      </w:r>
      <w:r w:rsidRPr="00440CAB">
        <w:rPr>
          <w:rStyle w:val="ac"/>
          <w:rFonts w:ascii="Narkisim" w:hAnsi="Narkisim" w:cs="Narkisim"/>
          <w:sz w:val="20"/>
          <w:szCs w:val="20"/>
          <w:rtl/>
        </w:rPr>
        <w:footnoteReference w:id="3301"/>
      </w:r>
      <w:r w:rsidRPr="00440CAB">
        <w:rPr>
          <w:rFonts w:ascii="Narkisim" w:hAnsi="Narkisim" w:cs="Narkisim"/>
          <w:sz w:val="20"/>
          <w:szCs w:val="20"/>
          <w:rtl/>
        </w:rPr>
        <w:t>. וביארו כיון דהוה מעשה באונס אינו נענש</w:t>
      </w:r>
      <w:r w:rsidRPr="00440CAB">
        <w:rPr>
          <w:rStyle w:val="ac"/>
          <w:rFonts w:ascii="Narkisim" w:hAnsi="Narkisim" w:cs="Narkisim"/>
          <w:sz w:val="20"/>
          <w:szCs w:val="20"/>
          <w:rtl/>
        </w:rPr>
        <w:footnoteReference w:id="3302"/>
      </w:r>
      <w:r w:rsidRPr="00440CAB">
        <w:rPr>
          <w:rFonts w:ascii="Narkisim" w:hAnsi="Narkisim" w:cs="Narkisim"/>
          <w:sz w:val="20"/>
          <w:szCs w:val="20"/>
          <w:rtl/>
        </w:rPr>
        <w:t>.</w:t>
      </w:r>
    </w:p>
    <w:p w14:paraId="449840C8"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ר"ן</w:t>
      </w:r>
      <w:r w:rsidRPr="00440CAB">
        <w:rPr>
          <w:rFonts w:ascii="Narkisim" w:hAnsi="Narkisim"/>
          <w:rtl/>
        </w:rPr>
        <w:t xml:space="preserve"> (סנהדרין סא:) הביא בשם </w:t>
      </w:r>
      <w:r w:rsidRPr="00440CAB">
        <w:rPr>
          <w:rFonts w:ascii="Narkisim" w:hAnsi="Narkisim"/>
          <w:b/>
          <w:bCs/>
          <w:rtl/>
        </w:rPr>
        <w:t>רבינו</w:t>
      </w:r>
      <w:r w:rsidRPr="00440CAB">
        <w:rPr>
          <w:rFonts w:ascii="Narkisim" w:hAnsi="Narkisim"/>
          <w:rtl/>
        </w:rPr>
        <w:t xml:space="preserve"> </w:t>
      </w:r>
      <w:r w:rsidRPr="00440CAB">
        <w:rPr>
          <w:rFonts w:ascii="Narkisim" w:hAnsi="Narkisim"/>
          <w:b/>
          <w:bCs/>
          <w:rtl/>
        </w:rPr>
        <w:t>דוד</w:t>
      </w:r>
      <w:r w:rsidRPr="00440CAB">
        <w:rPr>
          <w:rFonts w:ascii="Narkisim" w:hAnsi="Narkisim"/>
          <w:rtl/>
        </w:rPr>
        <w:t xml:space="preserve"> דאם עבר ולא נהרג חייב מיתת בי"ד.</w:t>
      </w:r>
    </w:p>
    <w:p w14:paraId="1FF9FFC4" w14:textId="77777777" w:rsidR="006074A5" w:rsidRPr="00440CAB" w:rsidRDefault="006074A5" w:rsidP="006074A5">
      <w:pPr>
        <w:bidi/>
        <w:rPr>
          <w:rFonts w:ascii="Narkisim" w:hAnsi="Narkisim" w:cs="Narkisim"/>
        </w:rPr>
      </w:pPr>
      <w:r w:rsidRPr="00440CAB">
        <w:rPr>
          <w:rFonts w:ascii="Narkisim" w:hAnsi="Narkisim" w:cs="Narkisim"/>
          <w:u w:val="single"/>
          <w:rtl/>
        </w:rPr>
        <w:t>בא"ד ועוד וכו' דהא אשה חייבת ברצון, אע"ג דקרקע עולם היא.</w:t>
      </w:r>
      <w:r w:rsidRPr="00440CAB">
        <w:rPr>
          <w:rFonts w:ascii="Narkisim" w:hAnsi="Narkisim" w:cs="Narkisim"/>
          <w:sz w:val="20"/>
          <w:szCs w:val="20"/>
          <w:rtl/>
        </w:rPr>
        <w:t xml:space="preserve"> [ואי' בגמ' (ב"ק לב.) דאשה חייבת בעריות משום הנאה, ורחמנא אחשביה למעשה</w:t>
      </w:r>
      <w:r w:rsidRPr="00440CAB">
        <w:rPr>
          <w:rStyle w:val="ac"/>
          <w:rFonts w:ascii="Narkisim" w:hAnsi="Narkisim" w:cs="Narkisim"/>
          <w:sz w:val="20"/>
          <w:szCs w:val="20"/>
          <w:rtl/>
        </w:rPr>
        <w:footnoteReference w:id="3303"/>
      </w:r>
      <w:r w:rsidRPr="00440CAB">
        <w:rPr>
          <w:rFonts w:ascii="Narkisim" w:hAnsi="Narkisim" w:cs="Narkisim"/>
          <w:sz w:val="20"/>
          <w:szCs w:val="20"/>
          <w:rtl/>
        </w:rPr>
        <w:t>. ותוס' (כאן) נקטו דכוונת הגמ' דחיוב האשה תלי ב'רצון'</w:t>
      </w:r>
      <w:r w:rsidRPr="00440CAB">
        <w:rPr>
          <w:rFonts w:ascii="Narkisim" w:hAnsi="Narkisim" w:cs="Narkisim"/>
          <w:rtl/>
        </w:rPr>
        <w:t>]. ו</w:t>
      </w:r>
      <w:r w:rsidRPr="00440CAB">
        <w:rPr>
          <w:rFonts w:ascii="Narkisim" w:hAnsi="Narkisim" w:cs="Narkisim"/>
          <w:b/>
          <w:bCs/>
          <w:rtl/>
        </w:rPr>
        <w:t>רע"א</w:t>
      </w:r>
      <w:r w:rsidRPr="00440CAB">
        <w:rPr>
          <w:rFonts w:ascii="Narkisim" w:hAnsi="Narkisim" w:cs="Narkisim"/>
          <w:rtl/>
        </w:rPr>
        <w:t xml:space="preserve"> (גהש"ס יומא פב:) תמה דמ"מ באשה מותרת כיון דהוה קרקע עולם, וכיון דעושה בהיתר לא שייך לחייבה מיתה. והיאך ילפי' במקום דעושה מעשה באיסור. וה</w:t>
      </w:r>
      <w:r w:rsidRPr="00440CAB">
        <w:rPr>
          <w:rFonts w:ascii="Narkisim" w:hAnsi="Narkisim" w:cs="Narkisim"/>
          <w:b/>
          <w:bCs/>
          <w:rtl/>
        </w:rPr>
        <w:t>אחרונים</w:t>
      </w:r>
      <w:r w:rsidRPr="00440CAB">
        <w:rPr>
          <w:rFonts w:ascii="Narkisim" w:hAnsi="Narkisim" w:cs="Narkisim"/>
          <w:rtl/>
        </w:rPr>
        <w:t xml:space="preserve"> האריכו ליישב. </w:t>
      </w:r>
      <w:r w:rsidRPr="00440CAB">
        <w:rPr>
          <w:rFonts w:ascii="Narkisim" w:hAnsi="Narkisim" w:cs="Narkisim"/>
          <w:sz w:val="20"/>
          <w:szCs w:val="20"/>
          <w:rtl/>
        </w:rPr>
        <w:t>וה</w:t>
      </w:r>
      <w:r w:rsidRPr="00440CAB">
        <w:rPr>
          <w:rFonts w:ascii="Narkisim" w:hAnsi="Narkisim" w:cs="Narkisim"/>
          <w:b/>
          <w:bCs/>
          <w:sz w:val="20"/>
          <w:szCs w:val="20"/>
          <w:rtl/>
        </w:rPr>
        <w:t>אבה"א</w:t>
      </w:r>
      <w:r w:rsidRPr="00440CAB">
        <w:rPr>
          <w:rFonts w:ascii="Narkisim" w:hAnsi="Narkisim" w:cs="Narkisim"/>
          <w:sz w:val="20"/>
          <w:szCs w:val="20"/>
          <w:rtl/>
        </w:rPr>
        <w:t xml:space="preserve"> (שם) תי' דכיון דנחשב במזיד כעושה מעשה, א"כ בדין שתהא חייבת מיתה אף באונס. וע"כ דבאונס לא מקרי מעשה דידה.</w:t>
      </w:r>
    </w:p>
    <w:p w14:paraId="54D5C424" w14:textId="77777777" w:rsidR="006074A5" w:rsidRPr="00440CAB" w:rsidRDefault="006074A5" w:rsidP="006074A5">
      <w:pPr>
        <w:bidi/>
        <w:rPr>
          <w:rFonts w:ascii="Narkisim" w:hAnsi="Narkisim" w:cs="Narkisim"/>
        </w:rPr>
      </w:pPr>
      <w:r w:rsidRPr="00440CAB">
        <w:rPr>
          <w:rFonts w:ascii="Narkisim" w:hAnsi="Narkisim" w:cs="Narkisim"/>
          <w:u w:val="single"/>
          <w:rtl/>
        </w:rPr>
        <w:t>רש"י ד"ה אלא בישן.</w:t>
      </w:r>
      <w:r w:rsidRPr="00440CAB">
        <w:rPr>
          <w:rFonts w:ascii="Narkisim" w:hAnsi="Narkisim" w:cs="Narkisim"/>
          <w:rtl/>
        </w:rPr>
        <w:t xml:space="preserve"> שנתקשה כשהוא ישן. אבל אילו נתקשה מדעת נחשב ביאה [משמע דאף אי ישן אח"כ]. וצ"ב במה תליא בקישוי, הרי עצם הביאה היתה שלא מדעת</w:t>
      </w:r>
      <w:r w:rsidRPr="00440CAB">
        <w:rPr>
          <w:rStyle w:val="ac"/>
          <w:rFonts w:ascii="Narkisim" w:hAnsi="Narkisim" w:cs="Narkisim"/>
          <w:rtl/>
        </w:rPr>
        <w:footnoteReference w:id="3304"/>
      </w:r>
      <w:r w:rsidRPr="00440CAB">
        <w:rPr>
          <w:rFonts w:ascii="Narkisim" w:hAnsi="Narkisim" w:cs="Narkisim"/>
          <w:rtl/>
        </w:rPr>
        <w:t>.</w:t>
      </w:r>
    </w:p>
    <w:p w14:paraId="27D26CED" w14:textId="77777777" w:rsidR="006074A5" w:rsidRPr="00440CAB" w:rsidRDefault="006074A5" w:rsidP="006074A5">
      <w:pPr>
        <w:pStyle w:val="3"/>
        <w:bidi/>
        <w:jc w:val="right"/>
        <w:rPr>
          <w:rFonts w:ascii="Narkisim" w:hAnsi="Narkisim"/>
        </w:rPr>
      </w:pPr>
      <w:r w:rsidRPr="00440CAB">
        <w:rPr>
          <w:rFonts w:ascii="Narkisim" w:hAnsi="Narkisim"/>
          <w:rtl/>
        </w:rPr>
        <w:t>דף נד.</w:t>
      </w:r>
    </w:p>
    <w:p w14:paraId="4EA97D63" w14:textId="77777777" w:rsidR="006074A5" w:rsidRPr="00440CAB" w:rsidRDefault="006074A5" w:rsidP="006074A5">
      <w:pPr>
        <w:bidi/>
        <w:rPr>
          <w:rFonts w:ascii="Narkisim" w:hAnsi="Narkisim" w:cs="Narkisim"/>
        </w:rPr>
      </w:pPr>
      <w:r w:rsidRPr="00440CAB">
        <w:rPr>
          <w:rFonts w:ascii="Narkisim" w:hAnsi="Narkisim" w:cs="Narkisim"/>
          <w:u w:val="single"/>
          <w:rtl/>
        </w:rPr>
        <w:t>נפל ונתקע וכו' וביבמתו לא קנה.</w:t>
      </w:r>
      <w:r w:rsidRPr="00440CAB">
        <w:rPr>
          <w:rFonts w:ascii="Narkisim" w:hAnsi="Narkisim" w:cs="Narkisim"/>
          <w:rtl/>
        </w:rPr>
        <w:t xml:space="preserve"> ה</w:t>
      </w:r>
      <w:r w:rsidRPr="00440CAB">
        <w:rPr>
          <w:rFonts w:ascii="Narkisim" w:hAnsi="Narkisim" w:cs="Narkisim"/>
          <w:b/>
          <w:bCs/>
          <w:rtl/>
        </w:rPr>
        <w:t>אחרונים</w:t>
      </w:r>
      <w:r w:rsidRPr="00440CAB">
        <w:rPr>
          <w:rFonts w:ascii="Narkisim" w:hAnsi="Narkisim" w:cs="Narkisim"/>
          <w:rtl/>
        </w:rPr>
        <w:t xml:space="preserve"> (קר"א) הקשו מ"ש מתקפתו יבמתו, וכן בהדביקום נכרים, דקנה. וה</w:t>
      </w:r>
      <w:r w:rsidRPr="00440CAB">
        <w:rPr>
          <w:rFonts w:ascii="Narkisim" w:hAnsi="Narkisim" w:cs="Narkisim"/>
          <w:b/>
          <w:bCs/>
          <w:rtl/>
        </w:rPr>
        <w:t>ריטב"א</w:t>
      </w:r>
      <w:r w:rsidRPr="00440CAB">
        <w:rPr>
          <w:rFonts w:ascii="Narkisim" w:hAnsi="Narkisim" w:cs="Narkisim"/>
          <w:rtl/>
        </w:rPr>
        <w:t xml:space="preserve"> כתב דהתם איירי דתקפתו והחזיקה בו עד שבא עליה מעצמו.</w:t>
      </w:r>
      <w:r w:rsidRPr="00440CAB">
        <w:rPr>
          <w:rFonts w:ascii="Narkisim" w:hAnsi="Narkisim" w:cs="Narkisim"/>
          <w:szCs w:val="20"/>
          <w:rtl/>
        </w:rPr>
        <w:t xml:space="preserve"> [אבל מדברי ה</w:t>
      </w:r>
      <w:r w:rsidRPr="00440CAB">
        <w:rPr>
          <w:rFonts w:ascii="Narkisim" w:hAnsi="Narkisim" w:cs="Narkisim"/>
          <w:b/>
          <w:bCs/>
          <w:szCs w:val="20"/>
          <w:rtl/>
        </w:rPr>
        <w:t>תוס</w:t>
      </w:r>
      <w:r w:rsidRPr="00440CAB">
        <w:rPr>
          <w:rFonts w:ascii="Narkisim" w:hAnsi="Narkisim" w:cs="Narkisim"/>
          <w:szCs w:val="20"/>
          <w:rtl/>
        </w:rPr>
        <w:t>' מבואר דלא כן]</w:t>
      </w:r>
      <w:r w:rsidRPr="00440CAB">
        <w:rPr>
          <w:rFonts w:ascii="Narkisim" w:hAnsi="Narkisim" w:cs="Narkisim"/>
          <w:rtl/>
        </w:rPr>
        <w:t>. וה</w:t>
      </w:r>
      <w:r w:rsidRPr="00440CAB">
        <w:rPr>
          <w:rFonts w:ascii="Narkisim" w:hAnsi="Narkisim" w:cs="Narkisim"/>
          <w:b/>
          <w:bCs/>
          <w:rtl/>
        </w:rPr>
        <w:t>אחרונים</w:t>
      </w:r>
      <w:r w:rsidRPr="00440CAB">
        <w:rPr>
          <w:rFonts w:ascii="Narkisim" w:hAnsi="Narkisim" w:cs="Narkisim"/>
          <w:rtl/>
        </w:rPr>
        <w:t xml:space="preserve"> כת' דמהני לזה דעת התוקף להחשיבו לביאה.</w:t>
      </w:r>
    </w:p>
    <w:p w14:paraId="573C2F22" w14:textId="77777777" w:rsidR="006074A5" w:rsidRPr="00440CAB" w:rsidRDefault="006074A5" w:rsidP="006074A5">
      <w:pPr>
        <w:bidi/>
        <w:rPr>
          <w:rFonts w:ascii="Narkisim" w:hAnsi="Narkisim" w:cs="Narkisim"/>
        </w:rPr>
      </w:pPr>
      <w:r w:rsidRPr="00440CAB">
        <w:rPr>
          <w:rFonts w:ascii="Narkisim" w:hAnsi="Narkisim" w:cs="Narkisim"/>
          <w:u w:val="single"/>
          <w:rtl/>
        </w:rPr>
        <w:t>רש"י ד"ה חייב בד' דברים.</w:t>
      </w:r>
      <w:r w:rsidRPr="00440CAB">
        <w:rPr>
          <w:rFonts w:ascii="Narkisim" w:hAnsi="Narkisim" w:cs="Narkisim"/>
          <w:rtl/>
        </w:rPr>
        <w:t xml:space="preserve"> דכתיב פצע וכו'.</w:t>
      </w:r>
      <w:r w:rsidRPr="00440CAB">
        <w:rPr>
          <w:rFonts w:ascii="Narkisim" w:hAnsi="Narkisim" w:cs="Narkisim"/>
          <w:b/>
          <w:bCs/>
          <w:rtl/>
        </w:rPr>
        <w:t xml:space="preserve"> רש"י</w:t>
      </w:r>
      <w:r w:rsidRPr="00440CAB">
        <w:rPr>
          <w:rFonts w:ascii="Narkisim" w:hAnsi="Narkisim" w:cs="Narkisim"/>
          <w:rtl/>
        </w:rPr>
        <w:t xml:space="preserve"> (ב"ק כז.) כתב דאיירי ברוח מצויה, דהוה קרוב למזיד</w:t>
      </w:r>
      <w:r w:rsidRPr="00440CAB">
        <w:rPr>
          <w:rStyle w:val="ac"/>
          <w:rFonts w:ascii="Narkisim" w:hAnsi="Narkisim" w:cs="Narkisim"/>
          <w:rtl/>
        </w:rPr>
        <w:footnoteReference w:id="3305"/>
      </w:r>
      <w:r w:rsidRPr="00440CAB">
        <w:rPr>
          <w:rFonts w:ascii="Narkisim" w:hAnsi="Narkisim" w:cs="Narkisim"/>
          <w:rtl/>
        </w:rPr>
        <w:t xml:space="preserve">, דאל"כ אינו חייב בד' דברים. </w:t>
      </w:r>
      <w:r w:rsidRPr="00440CAB">
        <w:rPr>
          <w:rFonts w:ascii="Narkisim" w:hAnsi="Narkisim" w:cs="Narkisim"/>
          <w:sz w:val="20"/>
          <w:szCs w:val="20"/>
          <w:rtl/>
        </w:rPr>
        <w:t>ו</w:t>
      </w:r>
      <w:r w:rsidRPr="00440CAB">
        <w:rPr>
          <w:rFonts w:ascii="Narkisim" w:hAnsi="Narkisim" w:cs="Narkisim"/>
          <w:b/>
          <w:bCs/>
          <w:sz w:val="20"/>
          <w:szCs w:val="20"/>
          <w:rtl/>
        </w:rPr>
        <w:t>רע"א</w:t>
      </w:r>
      <w:r w:rsidRPr="00440CAB">
        <w:rPr>
          <w:rFonts w:ascii="Narkisim" w:hAnsi="Narkisim" w:cs="Narkisim"/>
          <w:sz w:val="20"/>
          <w:szCs w:val="20"/>
          <w:rtl/>
        </w:rPr>
        <w:t xml:space="preserve"> (ב"ק שם) תמה א"כ אמאי הביא רש"י דרשת פצע תחת פצע, דמרבי' רק לנזק, והכא שחייב ד' דברים הוה משום קרוב למזיד.</w:t>
      </w:r>
    </w:p>
    <w:p w14:paraId="3AE901F8" w14:textId="77777777" w:rsidR="006074A5" w:rsidRPr="00440CAB" w:rsidRDefault="006074A5" w:rsidP="006074A5">
      <w:pPr>
        <w:bidi/>
        <w:rPr>
          <w:rFonts w:ascii="Narkisim" w:hAnsi="Narkisim" w:cs="Narkisim"/>
        </w:rPr>
      </w:pPr>
      <w:r w:rsidRPr="00440CAB">
        <w:rPr>
          <w:rFonts w:ascii="Narkisim" w:hAnsi="Narkisim" w:cs="Narkisim"/>
          <w:u w:val="single"/>
          <w:rtl/>
        </w:rPr>
        <w:t>תוד"ה ישן.</w:t>
      </w:r>
      <w:r w:rsidRPr="00440CAB">
        <w:rPr>
          <w:rFonts w:ascii="Narkisim" w:hAnsi="Narkisim" w:cs="Narkisim"/>
          <w:rtl/>
        </w:rPr>
        <w:t xml:space="preserve"> וקשה דהא קטן אע"ג דלא הוי בר דעת הוי קונה, אי לאו דמיעטה קרא. ה</w:t>
      </w:r>
      <w:r w:rsidRPr="00440CAB">
        <w:rPr>
          <w:rFonts w:ascii="Narkisim" w:hAnsi="Narkisim" w:cs="Narkisim"/>
          <w:b/>
          <w:bCs/>
          <w:rtl/>
        </w:rPr>
        <w:t xml:space="preserve">אחרונים </w:t>
      </w:r>
      <w:r w:rsidRPr="00440CAB">
        <w:rPr>
          <w:rFonts w:ascii="Narkisim" w:hAnsi="Narkisim" w:cs="Narkisim"/>
          <w:rtl/>
        </w:rPr>
        <w:t xml:space="preserve">כתבו דלדעת </w:t>
      </w:r>
      <w:r w:rsidRPr="00440CAB">
        <w:rPr>
          <w:rFonts w:ascii="Narkisim" w:hAnsi="Narkisim" w:cs="Narkisim"/>
          <w:b/>
          <w:bCs/>
          <w:rtl/>
        </w:rPr>
        <w:t>רש"י</w:t>
      </w:r>
      <w:r w:rsidRPr="00440CAB">
        <w:rPr>
          <w:rFonts w:ascii="Narkisim" w:hAnsi="Narkisim" w:cs="Narkisim"/>
          <w:rtl/>
        </w:rPr>
        <w:t xml:space="preserve"> (קידושין יט., הו' לעיל נא:) דקטן קונה יבמתו מה"ת קשה טפי. </w:t>
      </w:r>
      <w:r w:rsidRPr="00440CAB">
        <w:rPr>
          <w:rFonts w:ascii="Narkisim" w:hAnsi="Narkisim" w:cs="Narkisim"/>
          <w:i/>
          <w:iCs/>
          <w:rtl/>
        </w:rPr>
        <w:t>ועוד</w:t>
      </w:r>
      <w:r w:rsidRPr="00440CAB">
        <w:rPr>
          <w:rFonts w:ascii="Narkisim" w:hAnsi="Narkisim" w:cs="Narkisim"/>
          <w:rtl/>
        </w:rPr>
        <w:t xml:space="preserve"> הקשו דהו"ל לתוס' להקשות מחרש, דמבואר (לקמן קיב:) דקנה מן התורה.</w:t>
      </w:r>
    </w:p>
    <w:p w14:paraId="17FD6009"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הביאו דדעת </w:t>
      </w:r>
      <w:r w:rsidRPr="00440CAB">
        <w:rPr>
          <w:rFonts w:ascii="Narkisim" w:hAnsi="Narkisim"/>
          <w:b/>
          <w:bCs/>
          <w:rtl/>
        </w:rPr>
        <w:t>רש"י</w:t>
      </w:r>
      <w:r w:rsidRPr="00440CAB">
        <w:rPr>
          <w:rFonts w:ascii="Narkisim" w:hAnsi="Narkisim"/>
          <w:rtl/>
        </w:rPr>
        <w:t xml:space="preserve"> (לעיל לד.) דקטן יכול לעשות 'מעשה' קנין </w:t>
      </w:r>
      <w:r w:rsidRPr="00440CAB">
        <w:rPr>
          <w:rFonts w:ascii="Narkisim" w:hAnsi="Narkisim"/>
          <w:sz w:val="20"/>
          <w:szCs w:val="20"/>
          <w:rtl/>
        </w:rPr>
        <w:t>[שיהני כשיגדיל, אלא דאינו בתורת קנין. וע' קה"י ל]</w:t>
      </w:r>
      <w:r w:rsidRPr="00440CAB">
        <w:rPr>
          <w:rFonts w:ascii="Narkisim" w:hAnsi="Narkisim"/>
          <w:rtl/>
        </w:rPr>
        <w:t>. וה</w:t>
      </w:r>
      <w:r w:rsidRPr="00440CAB">
        <w:rPr>
          <w:rFonts w:ascii="Narkisim" w:hAnsi="Narkisim"/>
          <w:b/>
          <w:bCs/>
          <w:rtl/>
        </w:rPr>
        <w:t>יעב"ץ</w:t>
      </w:r>
      <w:r w:rsidRPr="00440CAB">
        <w:rPr>
          <w:rFonts w:ascii="Narkisim" w:hAnsi="Narkisim"/>
          <w:rtl/>
        </w:rPr>
        <w:t xml:space="preserve"> כתב דקטן יש לו מחשבה עם מעשה מיהת (כדאמרי' חולין יג.).</w:t>
      </w:r>
    </w:p>
    <w:p w14:paraId="6E5A040C" w14:textId="77777777" w:rsidR="006074A5" w:rsidRPr="00440CAB" w:rsidRDefault="006074A5" w:rsidP="006074A5">
      <w:pPr>
        <w:pStyle w:val="a8"/>
        <w:bidi/>
        <w:rPr>
          <w:rFonts w:ascii="Narkisim" w:hAnsi="Narkisim"/>
        </w:rPr>
      </w:pPr>
      <w:r w:rsidRPr="00440CAB">
        <w:rPr>
          <w:rFonts w:ascii="Narkisim" w:hAnsi="Narkisim"/>
          <w:rtl/>
        </w:rPr>
        <w:t>ובפשוטו בישן אין לו כוונת מעשה קנין כלל [וביבום בעינן עכ"פ כוונת מעשה הקנין]. אבל לשון רש"י מורה דאי"צ אפי' כוונת מעשה קנין, אלא סגי דהגברא ראוי לכך [וישן עכשיו אינו בר קנין].</w:t>
      </w:r>
    </w:p>
    <w:p w14:paraId="0E5A24D7"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הביאו עוד דמבואר ברש"י דיבום נחשב 'מעשה קנין' [וכמ"ש המהרי"ק קלט], ולא שהקנו מהשמים ע"י קיום המצוה.</w:t>
      </w:r>
    </w:p>
    <w:p w14:paraId="334415E9" w14:textId="77777777" w:rsidR="006074A5" w:rsidRPr="00440CAB" w:rsidRDefault="006074A5" w:rsidP="006074A5">
      <w:pPr>
        <w:pStyle w:val="aa"/>
        <w:bidi/>
        <w:rPr>
          <w:rFonts w:ascii="Narkisim" w:hAnsi="Narkisim"/>
        </w:rPr>
      </w:pPr>
      <w:r w:rsidRPr="00440CAB">
        <w:rPr>
          <w:rFonts w:ascii="Narkisim" w:hAnsi="Narkisim"/>
          <w:u w:val="single"/>
          <w:rtl/>
        </w:rPr>
        <w:t>ולקחה לו שלא כדרכה.</w:t>
      </w:r>
      <w:r w:rsidRPr="00440CAB">
        <w:rPr>
          <w:rFonts w:ascii="Narkisim" w:hAnsi="Narkisim"/>
          <w:rtl/>
        </w:rPr>
        <w:t xml:space="preserve"> ה</w:t>
      </w:r>
      <w:r w:rsidRPr="00440CAB">
        <w:rPr>
          <w:rFonts w:ascii="Narkisim" w:hAnsi="Narkisim"/>
          <w:b/>
          <w:bCs/>
          <w:rtl/>
        </w:rPr>
        <w:t xml:space="preserve">רמב"ן </w:t>
      </w:r>
      <w:r w:rsidRPr="00440CAB">
        <w:rPr>
          <w:rFonts w:ascii="Narkisim" w:hAnsi="Narkisim"/>
          <w:rtl/>
        </w:rPr>
        <w:t xml:space="preserve">כתב בשם </w:t>
      </w:r>
      <w:r w:rsidRPr="00440CAB">
        <w:rPr>
          <w:rFonts w:ascii="Narkisim" w:hAnsi="Narkisim"/>
          <w:b/>
          <w:bCs/>
          <w:rtl/>
        </w:rPr>
        <w:t>תוס</w:t>
      </w:r>
      <w:r w:rsidRPr="00440CAB">
        <w:rPr>
          <w:rFonts w:ascii="Narkisim" w:hAnsi="Narkisim"/>
          <w:rtl/>
        </w:rPr>
        <w:t>' דאיצטריך ריבוי ביבמה, ולא ילפי' דנחשב ביאה בגזי"ש דעריות. דגבי יבום ס"ד דבעינן ביאה דרך הקמת שם.</w:t>
      </w:r>
    </w:p>
    <w:p w14:paraId="56096243"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הביא </w:t>
      </w:r>
      <w:r w:rsidRPr="00440CAB">
        <w:rPr>
          <w:rFonts w:ascii="Narkisim" w:hAnsi="Narkisim"/>
          <w:b/>
          <w:bCs/>
          <w:rtl/>
        </w:rPr>
        <w:t>י"מ</w:t>
      </w:r>
      <w:r w:rsidRPr="00440CAB">
        <w:rPr>
          <w:rFonts w:ascii="Narkisim" w:hAnsi="Narkisim"/>
          <w:rtl/>
        </w:rPr>
        <w:t xml:space="preserve"> דאיצטיך לרבות העראה שלא כדרכה, דביאה שלא כדרכה ילפי' מגזי"ש דביאה ביאה מעריות. והרמב"ן חלק דכיון דרבי רחמנא העראה כגמר ביאה, א"כ נכלל בזה בין בכדרכה ובין שלא כדרכה. דאי לא תימא הכי העראה שלא כדרכה בחייבי לאוין ועשה מנ"ל. אלא משכבי אשה בכל משכבות שבאשה רבייה רחמנא, ולא צריך ג"ש כלל.</w:t>
      </w:r>
    </w:p>
    <w:p w14:paraId="410B7D48" w14:textId="77777777" w:rsidR="006074A5" w:rsidRPr="00440CAB" w:rsidRDefault="006074A5" w:rsidP="006074A5">
      <w:pPr>
        <w:pStyle w:val="aa"/>
        <w:bidi/>
        <w:rPr>
          <w:rFonts w:ascii="Narkisim" w:hAnsi="Narkisim"/>
        </w:rPr>
      </w:pPr>
      <w:r w:rsidRPr="00440CAB">
        <w:rPr>
          <w:rFonts w:ascii="Narkisim" w:hAnsi="Narkisim"/>
          <w:u w:val="single"/>
          <w:rtl/>
        </w:rPr>
        <w:t>ביאה גומרת בה ואין כסף ושטר גומרים בה.</w:t>
      </w:r>
      <w:r w:rsidRPr="00440CAB">
        <w:rPr>
          <w:rFonts w:ascii="Narkisim" w:hAnsi="Narkisim"/>
          <w:rtl/>
        </w:rPr>
        <w:t xml:space="preserve"> ה</w:t>
      </w:r>
      <w:r w:rsidRPr="00440CAB">
        <w:rPr>
          <w:rFonts w:ascii="Narkisim" w:hAnsi="Narkisim"/>
          <w:b/>
          <w:bCs/>
          <w:rtl/>
        </w:rPr>
        <w:t>אחרונים</w:t>
      </w:r>
      <w:r w:rsidRPr="00440CAB">
        <w:rPr>
          <w:rFonts w:ascii="Narkisim" w:hAnsi="Narkisim"/>
          <w:rtl/>
        </w:rPr>
        <w:t xml:space="preserve"> העמידו דיל"פ דהוה גזיה"כ דלא תפסי הקידושין.</w:t>
      </w:r>
    </w:p>
    <w:p w14:paraId="70D1FDEF" w14:textId="77777777" w:rsidR="006074A5" w:rsidRPr="00440CAB" w:rsidRDefault="006074A5" w:rsidP="006074A5">
      <w:pPr>
        <w:bidi/>
        <w:rPr>
          <w:rFonts w:ascii="Narkisim" w:hAnsi="Narkisim" w:cs="Narkisim"/>
        </w:rPr>
      </w:pPr>
      <w:r w:rsidRPr="00440CAB">
        <w:rPr>
          <w:rFonts w:ascii="Narkisim" w:hAnsi="Narkisim" w:cs="Narkisim"/>
          <w:u w:val="single"/>
          <w:rtl/>
        </w:rPr>
        <w:t>בין ישינה היא.</w:t>
      </w:r>
      <w:r w:rsidRPr="00440CAB">
        <w:rPr>
          <w:rFonts w:ascii="Narkisim" w:hAnsi="Narkisim" w:cs="Narkisim"/>
          <w:rtl/>
        </w:rPr>
        <w:t xml:space="preserve"> ה</w:t>
      </w:r>
      <w:r w:rsidRPr="00440CAB">
        <w:rPr>
          <w:rFonts w:ascii="Narkisim" w:hAnsi="Narkisim" w:cs="Narkisim"/>
          <w:b/>
          <w:bCs/>
          <w:rtl/>
        </w:rPr>
        <w:t>ריטב"א</w:t>
      </w:r>
      <w:r w:rsidRPr="00440CAB">
        <w:rPr>
          <w:rFonts w:ascii="Narkisim" w:hAnsi="Narkisim" w:cs="Narkisim"/>
          <w:rtl/>
        </w:rPr>
        <w:t xml:space="preserve"> כתב דישינה היא קנה אפי' בלא מתנמנם. דבדידיה תלה רחמנא </w:t>
      </w:r>
      <w:r w:rsidRPr="00440CAB">
        <w:rPr>
          <w:rFonts w:ascii="Narkisim" w:hAnsi="Narkisim" w:cs="Narkisim"/>
          <w:rtl/>
        </w:rPr>
        <w:lastRenderedPageBreak/>
        <w:t xml:space="preserve">יבמה יבא עליה, ולא בעי דעתא אפי' לביאה. אבל </w:t>
      </w:r>
      <w:r w:rsidRPr="00440CAB">
        <w:rPr>
          <w:rFonts w:ascii="Narkisim" w:hAnsi="Narkisim" w:cs="Narkisim"/>
          <w:b/>
          <w:bCs/>
          <w:rtl/>
        </w:rPr>
        <w:t>ר"ח</w:t>
      </w:r>
      <w:r w:rsidRPr="00440CAB">
        <w:rPr>
          <w:rFonts w:ascii="Narkisim" w:hAnsi="Narkisim" w:cs="Narkisim"/>
          <w:rtl/>
        </w:rPr>
        <w:t xml:space="preserve"> (ב"ק כז) כתב דדרשי' יבמה יבא עלה, עד שיתכוונו שניהם לביאה. [וצ"ע].</w:t>
      </w:r>
    </w:p>
    <w:p w14:paraId="43079E4E" w14:textId="77777777" w:rsidR="006074A5" w:rsidRPr="00440CAB" w:rsidRDefault="006074A5" w:rsidP="006074A5">
      <w:pPr>
        <w:bidi/>
        <w:rPr>
          <w:rFonts w:ascii="Narkisim" w:hAnsi="Narkisim" w:cs="Narkisim"/>
        </w:rPr>
      </w:pPr>
      <w:r w:rsidRPr="00440CAB">
        <w:rPr>
          <w:rFonts w:ascii="Narkisim" w:hAnsi="Narkisim" w:cs="Narkisim"/>
          <w:u w:val="single"/>
          <w:rtl/>
        </w:rPr>
        <w:t>אמר רבא וכו' להטיח בבהמה, לשם ביאה בעולם.</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xml:space="preserve">' (סוטה כו: ד"ה למעוטי) הביאו דדעת רבא דיש זנות לבהמה </w:t>
      </w:r>
      <w:r w:rsidRPr="00440CAB">
        <w:rPr>
          <w:rFonts w:ascii="Narkisim" w:hAnsi="Narkisim" w:cs="Narkisim"/>
          <w:sz w:val="20"/>
          <w:szCs w:val="20"/>
          <w:rtl/>
        </w:rPr>
        <w:t>[ודלא כרב אשי (שם, וכן לקמן נט:) דאין זנות לבהמה]</w:t>
      </w:r>
      <w:r w:rsidRPr="00440CAB">
        <w:rPr>
          <w:rFonts w:ascii="Narkisim" w:hAnsi="Narkisim" w:cs="Narkisim"/>
          <w:rtl/>
        </w:rPr>
        <w:t>. וה</w:t>
      </w:r>
      <w:r w:rsidRPr="00440CAB">
        <w:rPr>
          <w:rFonts w:ascii="Narkisim" w:hAnsi="Narkisim" w:cs="Narkisim"/>
          <w:b/>
          <w:bCs/>
          <w:rtl/>
        </w:rPr>
        <w:t>אחרונים</w:t>
      </w:r>
      <w:r w:rsidRPr="00440CAB">
        <w:rPr>
          <w:rFonts w:ascii="Narkisim" w:hAnsi="Narkisim" w:cs="Narkisim"/>
          <w:rtl/>
        </w:rPr>
        <w:t xml:space="preserve"> (קר"א ורש"ש שם, וערול"נ כאן) ביארו דכוונת התוס' להביא מהכא. והאחרונים הביאו דה</w:t>
      </w:r>
      <w:r w:rsidRPr="00440CAB">
        <w:rPr>
          <w:rFonts w:ascii="Narkisim" w:hAnsi="Narkisim" w:cs="Narkisim"/>
          <w:b/>
          <w:bCs/>
          <w:rtl/>
        </w:rPr>
        <w:t>רמב"ם</w:t>
      </w:r>
      <w:r w:rsidRPr="00440CAB">
        <w:rPr>
          <w:rFonts w:ascii="Narkisim" w:hAnsi="Narkisim" w:cs="Narkisim"/>
          <w:rtl/>
        </w:rPr>
        <w:t xml:space="preserve"> (יבום ב ד) פסק כרבא, ואף דפסק (איסו"ב יח א) דלא מקרי זונה. וע"כ דלא תליא הא בהא. וכ"כ ב</w:t>
      </w:r>
      <w:r w:rsidRPr="00440CAB">
        <w:rPr>
          <w:rFonts w:ascii="Narkisim" w:hAnsi="Narkisim" w:cs="Narkisim"/>
          <w:b/>
          <w:bCs/>
          <w:rtl/>
        </w:rPr>
        <w:t>פסקי רי"ד</w:t>
      </w:r>
      <w:r w:rsidRPr="00440CAB">
        <w:rPr>
          <w:rFonts w:ascii="Narkisim" w:hAnsi="Narkisim" w:cs="Narkisim"/>
          <w:rtl/>
        </w:rPr>
        <w:t xml:space="preserve"> (בסוגיין) דאע"ג דאמרי' אין זנות לבהמה [בסוטה לאסור על בעלה, ולקמן נט: דאפי' בעולה לא מקרי לכה"ג], אפ"ה נחשב ביאה, דקא מקטיל עליה.</w:t>
      </w:r>
    </w:p>
    <w:p w14:paraId="1650E025"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חילקו דלענין שם זונה תליא במה שהיה לה קשר ביאה לאיש</w:t>
      </w:r>
      <w:r w:rsidRPr="00440CAB">
        <w:rPr>
          <w:rStyle w:val="ac"/>
          <w:rFonts w:ascii="Narkisim" w:hAnsi="Narkisim"/>
          <w:rtl/>
        </w:rPr>
        <w:footnoteReference w:id="3306"/>
      </w:r>
      <w:r w:rsidRPr="00440CAB">
        <w:rPr>
          <w:rFonts w:ascii="Narkisim" w:hAnsi="Narkisim"/>
          <w:rtl/>
        </w:rPr>
        <w:t>, ולביאת בהמה אין יחס, ולכן לא נחשב בשם 'זנות'</w:t>
      </w:r>
      <w:r w:rsidRPr="00440CAB">
        <w:rPr>
          <w:rStyle w:val="ac"/>
          <w:rFonts w:ascii="Narkisim" w:hAnsi="Narkisim"/>
          <w:rtl/>
        </w:rPr>
        <w:footnoteReference w:id="3307"/>
      </w:r>
      <w:r w:rsidRPr="00440CAB">
        <w:rPr>
          <w:rFonts w:ascii="Narkisim" w:hAnsi="Narkisim"/>
          <w:rtl/>
        </w:rPr>
        <w:t>. אבל עצם המעשה הוה מעשה ביאת עריות (וע"ע תוס' בע"ב). שהרי חייבים עליו].</w:t>
      </w:r>
    </w:p>
    <w:p w14:paraId="37B39BB2" w14:textId="77777777" w:rsidR="006074A5" w:rsidRPr="00440CAB" w:rsidRDefault="006074A5" w:rsidP="006074A5">
      <w:pPr>
        <w:bidi/>
        <w:rPr>
          <w:rFonts w:ascii="Narkisim" w:hAnsi="Narkisim" w:cs="Narkisim"/>
        </w:rPr>
      </w:pPr>
      <w:r w:rsidRPr="00440CAB">
        <w:rPr>
          <w:rFonts w:ascii="Narkisim" w:hAnsi="Narkisim" w:cs="Narkisim"/>
          <w:u w:val="single"/>
          <w:rtl/>
        </w:rPr>
        <w:t>תוד"ה דמכוין לה.</w:t>
      </w:r>
      <w:r w:rsidRPr="00440CAB">
        <w:rPr>
          <w:rFonts w:ascii="Narkisim" w:hAnsi="Narkisim" w:cs="Narkisim"/>
          <w:rtl/>
        </w:rPr>
        <w:t xml:space="preserve"> לאו דוקא נקט דמכוין לה, דהא בסמוך וכו'. אבל ה</w:t>
      </w:r>
      <w:r w:rsidRPr="00440CAB">
        <w:rPr>
          <w:rFonts w:ascii="Narkisim" w:hAnsi="Narkisim" w:cs="Narkisim"/>
          <w:b/>
          <w:bCs/>
          <w:rtl/>
        </w:rPr>
        <w:t>רש"ש</w:t>
      </w:r>
      <w:r w:rsidRPr="00440CAB">
        <w:rPr>
          <w:rFonts w:ascii="Narkisim" w:hAnsi="Narkisim" w:cs="Narkisim"/>
          <w:rtl/>
        </w:rPr>
        <w:t xml:space="preserve"> כתב דאפשר דבעינן דיתכוון לאותו גוף דוקא [וכעין הא דחילקו תוס' שבת עג. לענין מתעסק].</w:t>
      </w:r>
      <w:r w:rsidRPr="00440CAB">
        <w:rPr>
          <w:rFonts w:ascii="Narkisim" w:hAnsi="Narkisim" w:cs="Narkisim"/>
          <w:sz w:val="20"/>
          <w:szCs w:val="20"/>
          <w:rtl/>
        </w:rPr>
        <w:t xml:space="preserve"> [ולפ"ז נתכוון לבהמה היינו כשנתכוון לגוף זה, וסבור בהמה</w:t>
      </w:r>
      <w:r w:rsidRPr="00440CAB">
        <w:rPr>
          <w:rStyle w:val="ac"/>
          <w:rFonts w:ascii="Narkisim" w:hAnsi="Narkisim" w:cs="Narkisim"/>
          <w:sz w:val="20"/>
          <w:szCs w:val="20"/>
          <w:rtl/>
        </w:rPr>
        <w:footnoteReference w:id="3308"/>
      </w:r>
      <w:r w:rsidRPr="00440CAB">
        <w:rPr>
          <w:rFonts w:ascii="Narkisim" w:hAnsi="Narkisim" w:cs="Narkisim"/>
          <w:sz w:val="20"/>
          <w:szCs w:val="20"/>
          <w:rtl/>
        </w:rPr>
        <w:t>. אבל תוס' נקטו דסגי דנתכוין לשם ביאה בעלמא].</w:t>
      </w:r>
    </w:p>
    <w:p w14:paraId="0068D49C" w14:textId="77777777" w:rsidR="006074A5" w:rsidRPr="00440CAB" w:rsidRDefault="006074A5" w:rsidP="006074A5">
      <w:pPr>
        <w:pStyle w:val="aa"/>
        <w:bidi/>
        <w:rPr>
          <w:rFonts w:ascii="Narkisim" w:hAnsi="Narkisim"/>
        </w:rPr>
      </w:pPr>
      <w:r w:rsidRPr="00440CAB">
        <w:rPr>
          <w:rFonts w:ascii="Narkisim" w:hAnsi="Narkisim"/>
          <w:u w:val="single"/>
          <w:rtl/>
        </w:rPr>
        <w:t>אמר עולא מנין להעראה וכו'.</w:t>
      </w:r>
      <w:r w:rsidRPr="00440CAB">
        <w:rPr>
          <w:rFonts w:ascii="Narkisim" w:hAnsi="Narkisim"/>
          <w:rtl/>
        </w:rPr>
        <w:t xml:space="preserve"> ה</w:t>
      </w:r>
      <w:r w:rsidRPr="00440CAB">
        <w:rPr>
          <w:rFonts w:ascii="Narkisim" w:hAnsi="Narkisim"/>
          <w:b/>
          <w:bCs/>
          <w:rtl/>
        </w:rPr>
        <w:t>קוב"ש</w:t>
      </w:r>
      <w:r w:rsidRPr="00440CAB">
        <w:rPr>
          <w:rFonts w:ascii="Narkisim" w:hAnsi="Narkisim"/>
          <w:rtl/>
        </w:rPr>
        <w:t xml:space="preserve"> (ח"ב י ו) חקר בגדר העראה כגמר ביאה, האם נחשב ההעראה מצד עצמה מעשה ביאה, או דנחשב עי"ז שהתחיל הביאה של אח"כ [וכעין הגדר מקצת היום ככולו, וכן ביאה במקצת ע' לעיל ז:]. ונפק"מ לענין לחלק מעשה ביאה א' [וע' לקמן נה:].</w:t>
      </w:r>
    </w:p>
    <w:p w14:paraId="50B10916" w14:textId="77777777" w:rsidR="006074A5" w:rsidRPr="00440CAB" w:rsidRDefault="006074A5" w:rsidP="006074A5">
      <w:pPr>
        <w:pStyle w:val="aa"/>
        <w:bidi/>
        <w:rPr>
          <w:rFonts w:ascii="Narkisim" w:hAnsi="Narkisim"/>
        </w:rPr>
      </w:pPr>
      <w:r w:rsidRPr="00440CAB">
        <w:rPr>
          <w:rFonts w:ascii="Narkisim" w:hAnsi="Narkisim"/>
          <w:u w:val="single"/>
          <w:rtl/>
        </w:rPr>
        <w:t>דכתיב וכו' נדה היא, וכי אשת אחיו לעולם נדה וכו'</w:t>
      </w:r>
      <w:r w:rsidRPr="00440CAB">
        <w:rPr>
          <w:rFonts w:ascii="Narkisim" w:hAnsi="Narkisim"/>
          <w:rtl/>
        </w:rPr>
        <w:t>. אבל ב</w:t>
      </w:r>
      <w:r w:rsidRPr="00440CAB">
        <w:rPr>
          <w:rFonts w:ascii="Narkisim" w:hAnsi="Narkisim"/>
          <w:b/>
          <w:bCs/>
          <w:rtl/>
        </w:rPr>
        <w:t>תור"כ</w:t>
      </w:r>
      <w:r w:rsidRPr="00440CAB">
        <w:rPr>
          <w:rFonts w:ascii="Narkisim" w:hAnsi="Narkisim"/>
          <w:rtl/>
        </w:rPr>
        <w:t xml:space="preserve"> (הו' בתוס' לעיל ב.) דרשי' מה נדה יש לה היתר ויש לה איסור, אף אשת אח. למעוטי אשת אח מאם [עי"ש תוס']. וה</w:t>
      </w:r>
      <w:r w:rsidRPr="00440CAB">
        <w:rPr>
          <w:rFonts w:ascii="Narkisim" w:hAnsi="Narkisim"/>
          <w:b/>
          <w:bCs/>
          <w:rtl/>
        </w:rPr>
        <w:t>תוס' מהר"ם ור"פ</w:t>
      </w:r>
      <w:r w:rsidRPr="00440CAB">
        <w:rPr>
          <w:rFonts w:ascii="Narkisim" w:hAnsi="Narkisim"/>
          <w:rtl/>
        </w:rPr>
        <w:t xml:space="preserve"> כת' דאף לההוא דרשא, עדיין קשה למה לימדו בלשון 'נדה', הול"ל להדיא מהאב. ומש"ה ילפי' בסוגיין העראה. ואי להעראה לחודה, הול"ל לכתוב נדה בערוה אחריתי. ומדכתבה באשת אח מן האב, ש"מ דאתא למעוטי מן האם.</w:t>
      </w:r>
    </w:p>
    <w:p w14:paraId="32B67579" w14:textId="77777777" w:rsidR="006074A5" w:rsidRPr="00440CAB" w:rsidRDefault="006074A5" w:rsidP="006074A5">
      <w:pPr>
        <w:pStyle w:val="aa"/>
        <w:bidi/>
        <w:rPr>
          <w:rFonts w:ascii="Narkisim" w:hAnsi="Narkisim"/>
        </w:rPr>
      </w:pPr>
      <w:r w:rsidRPr="00440CAB">
        <w:rPr>
          <w:rFonts w:ascii="Narkisim" w:hAnsi="Narkisim"/>
          <w:u w:val="single"/>
          <w:rtl/>
        </w:rPr>
        <w:t>נדה מטמאה את בועלה.</w:t>
      </w:r>
      <w:r w:rsidRPr="00440CAB">
        <w:rPr>
          <w:rFonts w:ascii="Narkisim" w:hAnsi="Narkisim"/>
          <w:rtl/>
        </w:rPr>
        <w:t xml:space="preserve"> ה</w:t>
      </w:r>
      <w:r w:rsidRPr="00440CAB">
        <w:rPr>
          <w:rFonts w:ascii="Narkisim" w:hAnsi="Narkisim"/>
          <w:b/>
          <w:bCs/>
          <w:rtl/>
        </w:rPr>
        <w:t>רמב"ם</w:t>
      </w:r>
      <w:r w:rsidRPr="00440CAB">
        <w:rPr>
          <w:rFonts w:ascii="Narkisim" w:hAnsi="Narkisim"/>
          <w:rtl/>
        </w:rPr>
        <w:t xml:space="preserve"> (משכב ומושב ג ג) פסק דאפי' בהעראה מטמא. ו</w:t>
      </w:r>
      <w:r w:rsidRPr="00440CAB">
        <w:rPr>
          <w:rFonts w:ascii="Narkisim" w:hAnsi="Narkisim"/>
          <w:b/>
          <w:bCs/>
          <w:rtl/>
        </w:rPr>
        <w:t>ה"ה</w:t>
      </w:r>
      <w:r w:rsidRPr="00440CAB">
        <w:rPr>
          <w:rFonts w:ascii="Narkisim" w:hAnsi="Narkisim"/>
          <w:rtl/>
        </w:rPr>
        <w:t xml:space="preserve"> ציין לסוגיין. וה</w:t>
      </w:r>
      <w:r w:rsidRPr="00440CAB">
        <w:rPr>
          <w:rFonts w:ascii="Narkisim" w:hAnsi="Narkisim"/>
          <w:b/>
          <w:bCs/>
          <w:rtl/>
        </w:rPr>
        <w:t>משנ"ל</w:t>
      </w:r>
      <w:r w:rsidRPr="00440CAB">
        <w:rPr>
          <w:rFonts w:ascii="Narkisim" w:hAnsi="Narkisim"/>
          <w:rtl/>
        </w:rPr>
        <w:t xml:space="preserve"> (שם) דחה דבסוגיין ילפי' העראה לענין איסור, והוה פירכא בעלמא. אבל לענין טומאה איתא בתו"כ מרבינן העראה מואם שכב ישכב.</w:t>
      </w:r>
    </w:p>
    <w:p w14:paraId="1CC57B13" w14:textId="77777777" w:rsidR="006074A5" w:rsidRPr="00440CAB" w:rsidRDefault="006074A5" w:rsidP="006074A5">
      <w:pPr>
        <w:pStyle w:val="aa"/>
        <w:bidi/>
        <w:rPr>
          <w:rFonts w:ascii="Narkisim" w:hAnsi="Narkisim"/>
        </w:rPr>
      </w:pPr>
      <w:r w:rsidRPr="00440CAB">
        <w:rPr>
          <w:rFonts w:ascii="Narkisim" w:hAnsi="Narkisim"/>
          <w:u w:val="single"/>
          <w:rtl/>
        </w:rPr>
        <w:t>איסור הבא מאליו.</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משא"כ עריות דע"י קידושין. וה</w:t>
      </w:r>
      <w:r w:rsidRPr="00440CAB">
        <w:rPr>
          <w:rFonts w:ascii="Narkisim" w:hAnsi="Narkisim"/>
          <w:b/>
          <w:bCs/>
          <w:rtl/>
        </w:rPr>
        <w:t>רשב"א</w:t>
      </w:r>
      <w:r w:rsidRPr="00440CAB">
        <w:rPr>
          <w:rFonts w:ascii="Narkisim" w:hAnsi="Narkisim"/>
          <w:rtl/>
        </w:rPr>
        <w:t xml:space="preserve"> כתב דאיסור הבא מאליו היינו איסור הבא מהגוף מעת היותו, ואינו נפרד ממנו לעולם. שלא היתה להן שעת הכושר, ולא מתווסף מחמת מעשה, כנשי קרובות. ולכן אף נדה אינו איסור מחמת הבא מאליו, דתחילתו וסופו בהכשר. אבל הביא גירסת </w:t>
      </w:r>
      <w:r w:rsidRPr="00440CAB">
        <w:rPr>
          <w:rFonts w:ascii="Narkisim" w:hAnsi="Narkisim"/>
          <w:b/>
          <w:bCs/>
          <w:rtl/>
        </w:rPr>
        <w:t>ר"ח</w:t>
      </w:r>
      <w:r w:rsidRPr="00440CAB">
        <w:rPr>
          <w:rFonts w:ascii="Narkisim" w:hAnsi="Narkisim"/>
          <w:rtl/>
        </w:rPr>
        <w:t xml:space="preserve"> דנדה נחשב בא מאליו. וה</w:t>
      </w:r>
      <w:r w:rsidRPr="00440CAB">
        <w:rPr>
          <w:rFonts w:ascii="Narkisim" w:hAnsi="Narkisim"/>
          <w:b/>
          <w:bCs/>
          <w:rtl/>
        </w:rPr>
        <w:t>רשב"א</w:t>
      </w:r>
      <w:r w:rsidRPr="00440CAB">
        <w:rPr>
          <w:rFonts w:ascii="Narkisim" w:hAnsi="Narkisim"/>
          <w:rtl/>
        </w:rPr>
        <w:t xml:space="preserve"> הקשה א"כ אף אחות אביו לא יחשב בא מאליו, דמי לא עסקינן שאבי אביו נשא אשה לאחר שנולד. ומה לי עמד אחיו ונשא, לעמד אבי אביו ונשא והוליד בת.</w:t>
      </w:r>
    </w:p>
    <w:p w14:paraId="5F0F52C1" w14:textId="77777777" w:rsidR="006074A5" w:rsidRPr="00440CAB" w:rsidRDefault="006074A5" w:rsidP="006074A5">
      <w:pPr>
        <w:pStyle w:val="aa"/>
        <w:bidi/>
        <w:rPr>
          <w:rFonts w:ascii="Narkisim" w:hAnsi="Narkisim"/>
        </w:rPr>
      </w:pPr>
      <w:r w:rsidRPr="00440CAB">
        <w:rPr>
          <w:rFonts w:ascii="Narkisim" w:hAnsi="Narkisim"/>
          <w:u w:val="single"/>
          <w:rtl/>
        </w:rPr>
        <w:t>רש"י ד"ה בחיי אוסרן.</w:t>
      </w:r>
      <w:r w:rsidRPr="00440CAB">
        <w:rPr>
          <w:rFonts w:ascii="Narkisim" w:hAnsi="Narkisim"/>
          <w:rtl/>
        </w:rPr>
        <w:t xml:space="preserve"> כל זמן, שהיא שופעת וכו' וכן אשת איש יש לה היתר. ועי"ז פקע ממנה שם אשת איש, בחיי האיש. אבל נדה לא פקע ממנה 'שם נדה' כשיש דם. [ורש"י פי' משום הדם האוסר, ולא משום דאסורה כל זמן שיש עליה 'שם נדה'].</w:t>
      </w:r>
    </w:p>
    <w:p w14:paraId="69E6A18F" w14:textId="77777777" w:rsidR="006074A5" w:rsidRPr="00440CAB" w:rsidRDefault="006074A5" w:rsidP="006074A5">
      <w:pPr>
        <w:pStyle w:val="aa"/>
        <w:bidi/>
        <w:rPr>
          <w:rFonts w:ascii="Narkisim" w:hAnsi="Narkisim"/>
        </w:rPr>
      </w:pPr>
      <w:r w:rsidRPr="00440CAB">
        <w:rPr>
          <w:rFonts w:ascii="Narkisim" w:hAnsi="Narkisim"/>
          <w:u w:val="single"/>
          <w:rtl/>
        </w:rPr>
        <w:t>תוד"ה מה</w:t>
      </w:r>
      <w:r w:rsidRPr="00440CAB">
        <w:rPr>
          <w:rFonts w:ascii="Narkisim" w:hAnsi="Narkisim"/>
          <w:rtl/>
        </w:rPr>
        <w:t>. וי"ל דאשת איש לא אתי וכו' מה להנך שכן שאר. דאיסור אשת איש לעלמא לא הוה איסור שאר. [ואף שתוס' (לעיל מט.) כת' דמחזיר גרושתו וסוטה שע"י אישות הוה שאר, היינו באיסורים לבעל. אבל איסור אשת איש לעלמא לא שייך לשאר].</w:t>
      </w:r>
    </w:p>
    <w:p w14:paraId="4FD0D6EC" w14:textId="77777777" w:rsidR="006074A5" w:rsidRPr="00440CAB" w:rsidRDefault="006074A5" w:rsidP="006074A5">
      <w:pPr>
        <w:pStyle w:val="3"/>
        <w:bidi/>
        <w:rPr>
          <w:rFonts w:ascii="Narkisim" w:hAnsi="Narkisim"/>
        </w:rPr>
      </w:pPr>
      <w:r w:rsidRPr="00440CAB">
        <w:rPr>
          <w:rFonts w:ascii="Narkisim" w:hAnsi="Narkisim"/>
          <w:rtl/>
        </w:rPr>
        <w:t>דף נד:</w:t>
      </w:r>
    </w:p>
    <w:p w14:paraId="19D1EBC3" w14:textId="77777777" w:rsidR="006074A5" w:rsidRPr="00440CAB" w:rsidRDefault="006074A5" w:rsidP="006074A5">
      <w:pPr>
        <w:pStyle w:val="aa"/>
        <w:bidi/>
        <w:rPr>
          <w:rFonts w:ascii="Narkisim" w:hAnsi="Narkisim"/>
        </w:rPr>
      </w:pPr>
      <w:r w:rsidRPr="00440CAB">
        <w:rPr>
          <w:rFonts w:ascii="Narkisim" w:hAnsi="Narkisim"/>
          <w:u w:val="single"/>
          <w:rtl/>
        </w:rPr>
        <w:t>ביומי תליא מלתא.</w:t>
      </w:r>
      <w:r w:rsidRPr="00440CAB">
        <w:rPr>
          <w:rFonts w:ascii="Narkisim" w:hAnsi="Narkisim"/>
          <w:rtl/>
        </w:rPr>
        <w:t xml:space="preserve"> ה</w:t>
      </w:r>
      <w:r w:rsidRPr="00440CAB">
        <w:rPr>
          <w:rFonts w:ascii="Narkisim" w:hAnsi="Narkisim"/>
          <w:b/>
          <w:bCs/>
          <w:rtl/>
        </w:rPr>
        <w:t>רש"ש</w:t>
      </w:r>
      <w:r w:rsidRPr="00440CAB">
        <w:rPr>
          <w:rFonts w:ascii="Narkisim" w:hAnsi="Narkisim"/>
          <w:rtl/>
        </w:rPr>
        <w:t xml:space="preserve"> כתב דלאו דוקא, דיומי לחוד ל"מ עד שתטבול</w:t>
      </w:r>
      <w:r w:rsidRPr="00440CAB">
        <w:rPr>
          <w:rStyle w:val="ac"/>
          <w:rFonts w:ascii="Narkisim" w:hAnsi="Narkisim"/>
          <w:rtl/>
        </w:rPr>
        <w:footnoteReference w:id="3309"/>
      </w:r>
      <w:r w:rsidRPr="00440CAB">
        <w:rPr>
          <w:rFonts w:ascii="Narkisim" w:hAnsi="Narkisim"/>
          <w:rtl/>
        </w:rPr>
        <w:t>.</w:t>
      </w:r>
    </w:p>
    <w:p w14:paraId="254E4B05" w14:textId="77777777" w:rsidR="006074A5" w:rsidRPr="00440CAB" w:rsidRDefault="006074A5" w:rsidP="006074A5">
      <w:pPr>
        <w:bidi/>
        <w:rPr>
          <w:rFonts w:ascii="Narkisim" w:hAnsi="Narkisim" w:cs="Narkisim"/>
        </w:rPr>
      </w:pPr>
      <w:r w:rsidRPr="00440CAB">
        <w:rPr>
          <w:rFonts w:ascii="Narkisim" w:hAnsi="Narkisim" w:cs="Narkisim"/>
          <w:u w:val="single"/>
          <w:rtl/>
        </w:rPr>
        <w:t>רמז ליבמה שאסורה בחיי בעלה.</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אם גירשה אחיו. ו</w:t>
      </w:r>
      <w:r w:rsidRPr="00440CAB">
        <w:rPr>
          <w:rFonts w:ascii="Narkisim" w:hAnsi="Narkisim" w:cs="Narkisim"/>
          <w:b/>
          <w:bCs/>
          <w:rtl/>
        </w:rPr>
        <w:t>תוס</w:t>
      </w:r>
      <w:r w:rsidRPr="00440CAB">
        <w:rPr>
          <w:rFonts w:ascii="Narkisim" w:hAnsi="Narkisim" w:cs="Narkisim"/>
          <w:rtl/>
        </w:rPr>
        <w:t>' משמע דאף בחיי אחיו ליכא איסור אשת אח [אלא דאסורה משום אשת איש קודם שנתגרשה]. אבל ה</w:t>
      </w:r>
      <w:r w:rsidRPr="00440CAB">
        <w:rPr>
          <w:rFonts w:ascii="Narkisim" w:hAnsi="Narkisim" w:cs="Narkisim"/>
          <w:b/>
          <w:bCs/>
          <w:rtl/>
        </w:rPr>
        <w:t>רשב"א</w:t>
      </w:r>
      <w:r w:rsidRPr="00440CAB">
        <w:rPr>
          <w:rFonts w:ascii="Narkisim" w:hAnsi="Narkisim" w:cs="Narkisim"/>
          <w:rtl/>
        </w:rPr>
        <w:t xml:space="preserve"> כתב דהך ס"ד דוקא כשנתגרשה, דס"ד דכל האיסור בעודה אשת אחיו, וכיון דנתגרשה בטלה אותה שם. דומיה דא"א שנתגרשה ונתאלמנה</w:t>
      </w:r>
      <w:r w:rsidRPr="00440CAB">
        <w:rPr>
          <w:rStyle w:val="ac"/>
          <w:rFonts w:ascii="Narkisim" w:hAnsi="Narkisim" w:cs="Narkisim"/>
          <w:rtl/>
        </w:rPr>
        <w:footnoteReference w:id="3310"/>
      </w:r>
      <w:r w:rsidRPr="00440CAB">
        <w:rPr>
          <w:rFonts w:ascii="Narkisim" w:hAnsi="Narkisim" w:cs="Narkisim"/>
          <w:rtl/>
        </w:rPr>
        <w:t>. [וע"ע בתוס' נה.].</w:t>
      </w:r>
    </w:p>
    <w:p w14:paraId="47A0B49D" w14:textId="77777777" w:rsidR="006074A5" w:rsidRPr="00440CAB" w:rsidRDefault="006074A5" w:rsidP="006074A5">
      <w:pPr>
        <w:bidi/>
        <w:rPr>
          <w:rFonts w:ascii="Narkisim" w:hAnsi="Narkisim" w:cs="Narkisim"/>
        </w:rPr>
      </w:pPr>
      <w:r w:rsidRPr="00440CAB">
        <w:rPr>
          <w:rFonts w:ascii="Narkisim" w:hAnsi="Narkisim" w:cs="Narkisim"/>
          <w:u w:val="single"/>
          <w:rtl/>
        </w:rPr>
        <w:lastRenderedPageBreak/>
        <w:t>ודילמא בחיי בעלה רשות.</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הק' היכי ס"ד דהוה רשות, כיון דאין מצוות יבום הוה בכלל איסור אשת אח. דמ"ש מאילונית ואשת אח שלא היו בעולמו, דנתמעטו מדין יבום וממילא הוה בכלל איסור אשת אח.</w:t>
      </w:r>
    </w:p>
    <w:p w14:paraId="7B3DD4E8" w14:textId="77777777" w:rsidR="006074A5" w:rsidRPr="00440CAB" w:rsidRDefault="006074A5" w:rsidP="006074A5">
      <w:pPr>
        <w:pStyle w:val="a8"/>
        <w:bidi/>
        <w:rPr>
          <w:rFonts w:ascii="Narkisim" w:hAnsi="Narkisim"/>
        </w:rPr>
      </w:pPr>
      <w:r w:rsidRPr="00440CAB">
        <w:rPr>
          <w:rFonts w:ascii="Narkisim" w:hAnsi="Narkisim"/>
          <w:rtl/>
        </w:rPr>
        <w:t>ולדברי התוס' י"ל דלהך ס"ד דגלי קרא דאשת אח הותרה לגמרי, דלא מסתבר ליה דהוה גדר דחויה. ולהך ס"ד אף אילונית ליכא כרת</w:t>
      </w:r>
      <w:r w:rsidRPr="00440CAB">
        <w:rPr>
          <w:rStyle w:val="ac"/>
          <w:rFonts w:ascii="Narkisim" w:hAnsi="Narkisim"/>
          <w:rtl/>
        </w:rPr>
        <w:footnoteReference w:id="3311"/>
      </w:r>
      <w:r w:rsidRPr="00440CAB">
        <w:rPr>
          <w:rFonts w:ascii="Narkisim" w:hAnsi="Narkisim"/>
          <w:rtl/>
        </w:rPr>
        <w:t>.</w:t>
      </w:r>
    </w:p>
    <w:p w14:paraId="0E1DBB60"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תי' דכיון דרבי רחמנא (לקמן נה.) אשת אח שיש לה בנים, גלי דהיכא דליכא צד יבום אסורה. אבל היכא דאילו עמדה אצלו סופה להתייבם</w:t>
      </w:r>
      <w:r w:rsidRPr="00440CAB">
        <w:rPr>
          <w:rStyle w:val="ac"/>
          <w:rFonts w:ascii="Narkisim" w:hAnsi="Narkisim"/>
          <w:rtl/>
        </w:rPr>
        <w:footnoteReference w:id="3312"/>
      </w:r>
      <w:r w:rsidRPr="00440CAB">
        <w:rPr>
          <w:rFonts w:ascii="Narkisim" w:hAnsi="Narkisim"/>
          <w:rtl/>
        </w:rPr>
        <w:t xml:space="preserve"> ס"ד דמותרת, וכה"ג מתחילה לא חל איסור אשת אח כלל. </w:t>
      </w:r>
      <w:r w:rsidRPr="00440CAB">
        <w:rPr>
          <w:rFonts w:ascii="Narkisim" w:hAnsi="Narkisim"/>
          <w:szCs w:val="20"/>
          <w:rtl/>
        </w:rPr>
        <w:t>וה</w:t>
      </w:r>
      <w:r w:rsidRPr="00440CAB">
        <w:rPr>
          <w:rFonts w:ascii="Narkisim" w:hAnsi="Narkisim"/>
          <w:b/>
          <w:bCs/>
          <w:szCs w:val="20"/>
          <w:rtl/>
        </w:rPr>
        <w:t>קובה"ע</w:t>
      </w:r>
      <w:r w:rsidRPr="00440CAB">
        <w:rPr>
          <w:rFonts w:ascii="Narkisim" w:hAnsi="Narkisim"/>
          <w:szCs w:val="20"/>
          <w:rtl/>
        </w:rPr>
        <w:t xml:space="preserve"> (נא) דייק מדבריו דאף דעכשיו גירשה ואינה נופלת ליבום, מ"מ כיון דקודם גירושין היתה ראויה ליבום, לא יחול איסור אחר גירושין</w:t>
      </w:r>
      <w:r w:rsidRPr="00440CAB">
        <w:rPr>
          <w:rStyle w:val="ac"/>
          <w:rFonts w:ascii="Narkisim" w:hAnsi="Narkisim"/>
          <w:szCs w:val="20"/>
          <w:rtl/>
        </w:rPr>
        <w:footnoteReference w:id="3313"/>
      </w:r>
      <w:r w:rsidRPr="00440CAB">
        <w:rPr>
          <w:rFonts w:ascii="Narkisim" w:hAnsi="Narkisim"/>
          <w:szCs w:val="20"/>
          <w:rtl/>
        </w:rPr>
        <w:t>.</w:t>
      </w:r>
    </w:p>
    <w:p w14:paraId="25AA055A" w14:textId="77777777" w:rsidR="006074A5" w:rsidRPr="00440CAB" w:rsidRDefault="006074A5" w:rsidP="006074A5">
      <w:pPr>
        <w:pStyle w:val="aa"/>
        <w:bidi/>
        <w:rPr>
          <w:rFonts w:ascii="Narkisim" w:hAnsi="Narkisim"/>
        </w:rPr>
      </w:pPr>
      <w:r w:rsidRPr="00440CAB">
        <w:rPr>
          <w:rFonts w:ascii="Narkisim" w:hAnsi="Narkisim"/>
          <w:u w:val="single"/>
          <w:rtl/>
        </w:rPr>
        <w:t>ולאו הבא מכלל עשה עשה.</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הקשה דכיון דיש עליה שם אשת אח [ולא בטל השם כשיצאת מרשותו], א"כ מה הצד שתהא בעשה. ותי' דילמא איצטריך למצות יבום, ואסורה מחמת מצוות יבום. [וה</w:t>
      </w:r>
      <w:r w:rsidRPr="00440CAB">
        <w:rPr>
          <w:rFonts w:ascii="Narkisim" w:hAnsi="Narkisim"/>
          <w:b/>
          <w:bCs/>
          <w:rtl/>
        </w:rPr>
        <w:t>ערול"נ</w:t>
      </w:r>
      <w:r w:rsidRPr="00440CAB">
        <w:rPr>
          <w:rFonts w:ascii="Narkisim" w:hAnsi="Narkisim"/>
          <w:rtl/>
        </w:rPr>
        <w:t xml:space="preserve"> האריך בכלל דאהדריה קרא לאיסוריה, מתי דנים כן. ובהג' ה</w:t>
      </w:r>
      <w:r w:rsidRPr="00440CAB">
        <w:rPr>
          <w:rFonts w:ascii="Narkisim" w:hAnsi="Narkisim"/>
          <w:b/>
          <w:bCs/>
          <w:rtl/>
        </w:rPr>
        <w:t>מהרש"ם</w:t>
      </w:r>
      <w:r w:rsidRPr="00440CAB">
        <w:rPr>
          <w:rFonts w:ascii="Narkisim" w:hAnsi="Narkisim"/>
          <w:rtl/>
        </w:rPr>
        <w:t xml:space="preserve"> כתב דהכא אמרי' דלא אהדריה, כדי שלא נאמר דהתיר הקרא עדל"ת שיש בו כרת, וכמ"ש תוס'].</w:t>
      </w:r>
    </w:p>
    <w:p w14:paraId="069C1F5F"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מהרש"א</w:t>
      </w:r>
      <w:r w:rsidRPr="00440CAB">
        <w:rPr>
          <w:rFonts w:ascii="Narkisim" w:hAnsi="Narkisim"/>
          <w:rtl/>
        </w:rPr>
        <w:t xml:space="preserve"> (נה.) הקשה דהו"ל לגמ' להביא צד נוסף דהו"א דשרי ליבם ולעלמא, וכדאי' (לקמן נה.). וה</w:t>
      </w:r>
      <w:r w:rsidRPr="00440CAB">
        <w:rPr>
          <w:rFonts w:ascii="Narkisim" w:hAnsi="Narkisim"/>
          <w:b/>
          <w:bCs/>
          <w:rtl/>
        </w:rPr>
        <w:t>קרנ"ר</w:t>
      </w:r>
      <w:r w:rsidRPr="00440CAB">
        <w:rPr>
          <w:rFonts w:ascii="Narkisim" w:hAnsi="Narkisim"/>
          <w:rtl/>
        </w:rPr>
        <w:t xml:space="preserve"> דחה דהכא [בחיי האח כשלא גירשה] הוה אשת איש, ומה ס"ד דתהא מותרת לעלמא.</w:t>
      </w:r>
    </w:p>
    <w:p w14:paraId="2E6C328A" w14:textId="77777777" w:rsidR="006074A5" w:rsidRPr="00440CAB" w:rsidRDefault="006074A5" w:rsidP="006074A5">
      <w:pPr>
        <w:bidi/>
        <w:rPr>
          <w:rFonts w:ascii="Narkisim" w:hAnsi="Narkisim" w:cs="Narkisim"/>
        </w:rPr>
      </w:pPr>
      <w:r w:rsidRPr="00440CAB">
        <w:rPr>
          <w:rFonts w:ascii="Narkisim" w:hAnsi="Narkisim" w:cs="Narkisim"/>
          <w:u w:val="single"/>
          <w:rtl/>
        </w:rPr>
        <w:t>תוד"ה אלא.</w:t>
      </w:r>
      <w:r w:rsidRPr="00440CAB">
        <w:rPr>
          <w:rFonts w:ascii="Narkisim" w:hAnsi="Narkisim" w:cs="Narkisim"/>
          <w:rtl/>
        </w:rPr>
        <w:t xml:space="preserve"> דכיון דשריא, אין סברא לומר דאסירא בחיי בעלה, דלא מסתבר לומר דאתי עשה ודחי ל"ת שיש בו כרת. ה</w:t>
      </w:r>
      <w:r w:rsidRPr="00440CAB">
        <w:rPr>
          <w:rFonts w:ascii="Narkisim" w:hAnsi="Narkisim" w:cs="Narkisim"/>
          <w:b/>
          <w:bCs/>
          <w:rtl/>
        </w:rPr>
        <w:t>מהר"ם</w:t>
      </w:r>
      <w:r w:rsidRPr="00440CAB">
        <w:rPr>
          <w:rFonts w:ascii="Narkisim" w:hAnsi="Narkisim" w:cs="Narkisim"/>
          <w:rtl/>
        </w:rPr>
        <w:t xml:space="preserve"> דייק מתוס' דלמסקנא אשת אח דיבום הוה מדין עשה דוחה ל"ת, וכמ"ש </w:t>
      </w:r>
      <w:r w:rsidRPr="00440CAB">
        <w:rPr>
          <w:rFonts w:ascii="Narkisim" w:hAnsi="Narkisim" w:cs="Narkisim"/>
          <w:b/>
          <w:bCs/>
          <w:rtl/>
        </w:rPr>
        <w:t>תוס</w:t>
      </w:r>
      <w:r w:rsidRPr="00440CAB">
        <w:rPr>
          <w:rFonts w:ascii="Narkisim" w:hAnsi="Narkisim" w:cs="Narkisim"/>
          <w:rtl/>
        </w:rPr>
        <w:t xml:space="preserve">' (לעיל ג:) בקושייתו. </w:t>
      </w:r>
      <w:r w:rsidRPr="00440CAB">
        <w:rPr>
          <w:rFonts w:ascii="Narkisim" w:hAnsi="Narkisim" w:cs="Narkisim"/>
          <w:sz w:val="20"/>
          <w:szCs w:val="20"/>
          <w:rtl/>
        </w:rPr>
        <w:t>[והאחרונים דנו בתי' התוס' דמצוותו בכך</w:t>
      </w:r>
      <w:r w:rsidRPr="00440CAB">
        <w:rPr>
          <w:rStyle w:val="ac"/>
          <w:rFonts w:ascii="Narkisim" w:hAnsi="Narkisim" w:cs="Narkisim"/>
          <w:sz w:val="20"/>
          <w:szCs w:val="20"/>
          <w:rtl/>
        </w:rPr>
        <w:footnoteReference w:id="3314"/>
      </w:r>
      <w:r w:rsidRPr="00440CAB">
        <w:rPr>
          <w:rFonts w:ascii="Narkisim" w:hAnsi="Narkisim" w:cs="Narkisim"/>
          <w:sz w:val="20"/>
          <w:szCs w:val="20"/>
          <w:rtl/>
        </w:rPr>
        <w:t>, אי הוה גדר הותרה</w:t>
      </w:r>
      <w:r w:rsidRPr="00440CAB">
        <w:rPr>
          <w:rStyle w:val="ac"/>
          <w:rFonts w:ascii="Narkisim" w:hAnsi="Narkisim" w:cs="Narkisim"/>
          <w:sz w:val="20"/>
          <w:szCs w:val="20"/>
          <w:rtl/>
        </w:rPr>
        <w:footnoteReference w:id="3315"/>
      </w:r>
      <w:r w:rsidRPr="00440CAB">
        <w:rPr>
          <w:rFonts w:ascii="Narkisim" w:hAnsi="Narkisim" w:cs="Narkisim"/>
          <w:sz w:val="20"/>
          <w:szCs w:val="20"/>
          <w:rtl/>
        </w:rPr>
        <w:t>. ע' מה שהו' לעיל שם].</w:t>
      </w:r>
      <w:r w:rsidRPr="00440CAB">
        <w:rPr>
          <w:rFonts w:ascii="Narkisim" w:hAnsi="Narkisim" w:cs="Narkisim"/>
          <w:rtl/>
        </w:rPr>
        <w:t xml:space="preserve"> [וה</w:t>
      </w:r>
      <w:r w:rsidRPr="00440CAB">
        <w:rPr>
          <w:rFonts w:ascii="Narkisim" w:hAnsi="Narkisim" w:cs="Narkisim"/>
          <w:b/>
          <w:bCs/>
          <w:rtl/>
        </w:rPr>
        <w:t>אחרונים</w:t>
      </w:r>
      <w:r w:rsidRPr="00440CAB">
        <w:rPr>
          <w:rFonts w:ascii="Narkisim" w:hAnsi="Narkisim" w:cs="Narkisim"/>
          <w:rtl/>
        </w:rPr>
        <w:t xml:space="preserve"> דנו דע"י הדין דחייה חל היתר גמור, שהרי אף מעוברת וקטן שתגדלנו הותר לתוס' לה:]. </w:t>
      </w:r>
      <w:r w:rsidRPr="00440CAB">
        <w:rPr>
          <w:rFonts w:ascii="Narkisim" w:hAnsi="Narkisim" w:cs="Narkisim"/>
          <w:sz w:val="20"/>
          <w:szCs w:val="20"/>
          <w:rtl/>
        </w:rPr>
        <w:t>וע' לעיל ג: ולט: דעת הרמב"ן ורמ"ה ורמב"ם בזה.</w:t>
      </w:r>
    </w:p>
    <w:p w14:paraId="07DBA65D" w14:textId="77777777" w:rsidR="006074A5" w:rsidRPr="00440CAB" w:rsidRDefault="006074A5" w:rsidP="006074A5">
      <w:pPr>
        <w:bidi/>
        <w:rPr>
          <w:rFonts w:ascii="Narkisim" w:hAnsi="Narkisim" w:cs="Narkisim"/>
        </w:rPr>
      </w:pPr>
      <w:r w:rsidRPr="00440CAB">
        <w:rPr>
          <w:rFonts w:ascii="Narkisim" w:hAnsi="Narkisim" w:cs="Narkisim"/>
          <w:u w:val="single"/>
          <w:rtl/>
        </w:rPr>
        <w:t>תוד"ה בזכור.</w:t>
      </w:r>
      <w:r w:rsidRPr="00440CAB">
        <w:rPr>
          <w:rFonts w:ascii="Narkisim" w:hAnsi="Narkisim" w:cs="Narkisim"/>
          <w:rtl/>
        </w:rPr>
        <w:t xml:space="preserve"> הא דלא יליף זכור ובהמה מהיקישא דר' יונה וכו'</w:t>
      </w:r>
      <w:r w:rsidRPr="00440CAB">
        <w:rPr>
          <w:rStyle w:val="ac"/>
          <w:rFonts w:ascii="Narkisim" w:hAnsi="Narkisim" w:cs="Narkisim"/>
          <w:rtl/>
        </w:rPr>
        <w:footnoteReference w:id="3316"/>
      </w:r>
      <w:r w:rsidRPr="00440CAB">
        <w:rPr>
          <w:rFonts w:ascii="Narkisim" w:hAnsi="Narkisim" w:cs="Narkisim"/>
          <w:rtl/>
        </w:rPr>
        <w:t>. וה</w:t>
      </w:r>
      <w:r w:rsidRPr="00440CAB">
        <w:rPr>
          <w:rFonts w:ascii="Narkisim" w:hAnsi="Narkisim" w:cs="Narkisim"/>
          <w:b/>
          <w:bCs/>
          <w:rtl/>
        </w:rPr>
        <w:t>רמב"ן</w:t>
      </w:r>
      <w:r w:rsidRPr="00440CAB">
        <w:rPr>
          <w:rFonts w:ascii="Narkisim" w:hAnsi="Narkisim" w:cs="Narkisim"/>
          <w:rtl/>
        </w:rPr>
        <w:t xml:space="preserve"> תי' דלא הוקשו לנדה אלא בת מינה.</w:t>
      </w:r>
    </w:p>
    <w:p w14:paraId="1089E32D" w14:textId="77777777" w:rsidR="006074A5" w:rsidRPr="00440CAB" w:rsidRDefault="006074A5" w:rsidP="006074A5">
      <w:pPr>
        <w:pStyle w:val="a8"/>
        <w:bidi/>
        <w:rPr>
          <w:rFonts w:ascii="Narkisim" w:hAnsi="Narkisim"/>
        </w:rPr>
      </w:pPr>
      <w:r w:rsidRPr="00440CAB">
        <w:rPr>
          <w:rFonts w:ascii="Narkisim" w:hAnsi="Narkisim"/>
          <w:rtl/>
        </w:rPr>
        <w:t>ומבואר דנח' תי' התוס' האם בהמה וזכור הוה בכלל היקישא דר' יונה, ושם עריות</w:t>
      </w:r>
      <w:r w:rsidRPr="00440CAB">
        <w:rPr>
          <w:rStyle w:val="ac"/>
          <w:rFonts w:ascii="Narkisim" w:hAnsi="Narkisim"/>
          <w:rtl/>
        </w:rPr>
        <w:footnoteReference w:id="3317"/>
      </w:r>
      <w:r w:rsidRPr="00440CAB">
        <w:rPr>
          <w:rFonts w:ascii="Narkisim" w:hAnsi="Narkisim"/>
          <w:rtl/>
        </w:rPr>
        <w:t>. [וב</w:t>
      </w:r>
      <w:r w:rsidRPr="00440CAB">
        <w:rPr>
          <w:rFonts w:ascii="Narkisim" w:hAnsi="Narkisim"/>
          <w:b/>
          <w:bCs/>
          <w:rtl/>
        </w:rPr>
        <w:t xml:space="preserve">נוב"י </w:t>
      </w:r>
      <w:r w:rsidRPr="00440CAB">
        <w:rPr>
          <w:rFonts w:ascii="Narkisim" w:hAnsi="Narkisim"/>
          <w:rtl/>
        </w:rPr>
        <w:t>(ק' צה) פלפל דהוה מח' הסוגיות]. ויל"ד האם תליא בנידון זנות בבהמה (ע' בסוגיא לקמן נט:).</w:t>
      </w:r>
    </w:p>
    <w:p w14:paraId="14DD0154" w14:textId="77777777" w:rsidR="006074A5" w:rsidRPr="00440CAB" w:rsidRDefault="006074A5" w:rsidP="006074A5">
      <w:pPr>
        <w:pStyle w:val="aa"/>
        <w:bidi/>
        <w:rPr>
          <w:rFonts w:ascii="Narkisim" w:hAnsi="Narkisim"/>
        </w:rPr>
      </w:pPr>
      <w:r w:rsidRPr="00440CAB">
        <w:rPr>
          <w:rFonts w:ascii="Narkisim" w:hAnsi="Narkisim"/>
          <w:rtl/>
        </w:rPr>
        <w:t>ועד"ז דנו הפוסקים האם למסקנא</w:t>
      </w:r>
      <w:r w:rsidRPr="00440CAB">
        <w:rPr>
          <w:rStyle w:val="ac"/>
          <w:rFonts w:ascii="Narkisim" w:hAnsi="Narkisim"/>
          <w:rtl/>
        </w:rPr>
        <w:footnoteReference w:id="3318"/>
      </w:r>
      <w:r w:rsidRPr="00440CAB">
        <w:rPr>
          <w:rFonts w:ascii="Narkisim" w:hAnsi="Narkisim"/>
          <w:rtl/>
        </w:rPr>
        <w:t xml:space="preserve"> נדה הוה גדר עריות לענין יהרג ואל יעבור</w:t>
      </w:r>
      <w:r w:rsidRPr="00440CAB">
        <w:rPr>
          <w:rStyle w:val="ac"/>
          <w:rFonts w:ascii="Narkisim" w:hAnsi="Narkisim"/>
          <w:rtl/>
        </w:rPr>
        <w:footnoteReference w:id="3319"/>
      </w:r>
      <w:r w:rsidRPr="00440CAB">
        <w:rPr>
          <w:rFonts w:ascii="Narkisim" w:hAnsi="Narkisim"/>
          <w:rtl/>
        </w:rPr>
        <w:t xml:space="preserve">.  </w:t>
      </w:r>
    </w:p>
    <w:p w14:paraId="7D88AE08" w14:textId="77777777" w:rsidR="006074A5" w:rsidRPr="00440CAB" w:rsidRDefault="006074A5" w:rsidP="006074A5">
      <w:pPr>
        <w:bidi/>
        <w:rPr>
          <w:rFonts w:ascii="Narkisim" w:hAnsi="Narkisim" w:cs="Narkisim"/>
        </w:rPr>
      </w:pPr>
      <w:r w:rsidRPr="00440CAB">
        <w:rPr>
          <w:rFonts w:ascii="Narkisim" w:hAnsi="Narkisim" w:cs="Narkisim"/>
          <w:u w:val="single"/>
          <w:rtl/>
        </w:rPr>
        <w:t>מה דודתו וכו' איסור הבא מאליו.</w:t>
      </w:r>
      <w:r w:rsidRPr="00440CAB">
        <w:rPr>
          <w:rFonts w:ascii="Narkisim" w:hAnsi="Narkisim" w:cs="Narkisim"/>
          <w:rtl/>
        </w:rPr>
        <w:t xml:space="preserve"> [וכן איתא בגמ' נה. דילפי' ע"י קידושין]. ה</w:t>
      </w:r>
      <w:r w:rsidRPr="00440CAB">
        <w:rPr>
          <w:rFonts w:ascii="Narkisim" w:hAnsi="Narkisim" w:cs="Narkisim"/>
          <w:b/>
          <w:bCs/>
          <w:rtl/>
        </w:rPr>
        <w:t>רש"ש</w:t>
      </w:r>
      <w:r w:rsidRPr="00440CAB">
        <w:rPr>
          <w:rFonts w:ascii="Narkisim" w:hAnsi="Narkisim" w:cs="Narkisim"/>
          <w:rtl/>
        </w:rPr>
        <w:t xml:space="preserve"> הביא דבגמ' (סנהדרין נד.) דרשינן דהבא על אחי אביו חייב ב' משום זכר ומשום דודו. והרש"ש כת' דכיון דהוה בא מאליו א"כ היינו אפי' אחי האב מהאם. וכ"כ ב</w:t>
      </w:r>
      <w:r w:rsidRPr="00440CAB">
        <w:rPr>
          <w:rFonts w:ascii="Narkisim" w:hAnsi="Narkisim" w:cs="Narkisim"/>
          <w:b/>
          <w:bCs/>
          <w:rtl/>
        </w:rPr>
        <w:t>ס' החינוך</w:t>
      </w:r>
      <w:r w:rsidRPr="00440CAB">
        <w:rPr>
          <w:rFonts w:ascii="Narkisim" w:hAnsi="Narkisim" w:cs="Narkisim"/>
          <w:rtl/>
        </w:rPr>
        <w:t xml:space="preserve"> (קצט) דהוה אפי' מהאם, וב</w:t>
      </w:r>
      <w:r w:rsidRPr="00440CAB">
        <w:rPr>
          <w:rFonts w:ascii="Narkisim" w:hAnsi="Narkisim" w:cs="Narkisim"/>
          <w:b/>
          <w:bCs/>
          <w:rtl/>
        </w:rPr>
        <w:t xml:space="preserve">הג' משנ"ל </w:t>
      </w:r>
      <w:r w:rsidRPr="00440CAB">
        <w:rPr>
          <w:rFonts w:ascii="Narkisim" w:hAnsi="Narkisim" w:cs="Narkisim"/>
          <w:rtl/>
        </w:rPr>
        <w:t>תמה מנליה [דהסברא נותן דתליא בקרא דדודתו].</w:t>
      </w:r>
    </w:p>
    <w:p w14:paraId="7F8963C9" w14:textId="77777777" w:rsidR="006074A5" w:rsidRPr="00440CAB" w:rsidRDefault="006074A5" w:rsidP="006074A5">
      <w:pPr>
        <w:bidi/>
        <w:rPr>
          <w:rFonts w:ascii="Narkisim" w:hAnsi="Narkisim" w:cs="Narkisim"/>
        </w:rPr>
      </w:pPr>
      <w:r w:rsidRPr="00440CAB">
        <w:rPr>
          <w:rFonts w:ascii="Narkisim" w:hAnsi="Narkisim" w:cs="Narkisim"/>
          <w:u w:val="single"/>
          <w:rtl/>
        </w:rPr>
        <w:t>רש"י ד"ה אחות שם ודאי.</w:t>
      </w:r>
      <w:r w:rsidRPr="00440CAB">
        <w:rPr>
          <w:rFonts w:ascii="Narkisim" w:hAnsi="Narkisim" w:cs="Narkisim"/>
          <w:rtl/>
        </w:rPr>
        <w:t xml:space="preserve"> שמא ח"ו אינו אביו. וכעי"ז איתא (נזיר מט.) דאיצטריך קרא </w:t>
      </w:r>
      <w:r w:rsidRPr="00440CAB">
        <w:rPr>
          <w:rFonts w:ascii="Narkisim" w:hAnsi="Narkisim" w:cs="Narkisim"/>
          <w:rtl/>
        </w:rPr>
        <w:lastRenderedPageBreak/>
        <w:t>דכהן מטמא לאביו, 'שאינו ודאי'. וצ"ב דכיון דאזלי' בתר רוב, א"כ דנים בתורת ודאי דהוה אביו. וה</w:t>
      </w:r>
      <w:r w:rsidRPr="00440CAB">
        <w:rPr>
          <w:rFonts w:ascii="Narkisim" w:hAnsi="Narkisim" w:cs="Narkisim"/>
          <w:b/>
          <w:bCs/>
          <w:rtl/>
        </w:rPr>
        <w:t>אחרונים</w:t>
      </w:r>
      <w:r w:rsidRPr="00440CAB">
        <w:rPr>
          <w:rFonts w:ascii="Narkisim" w:hAnsi="Narkisim" w:cs="Narkisim"/>
          <w:rtl/>
        </w:rPr>
        <w:t xml:space="preserve"> ביארו דהוה סברא בקורבא, דכל שמבורר יותר נחשב קורבא טפי.</w:t>
      </w:r>
    </w:p>
    <w:p w14:paraId="54C61206" w14:textId="77777777" w:rsidR="006074A5" w:rsidRPr="00440CAB" w:rsidRDefault="006074A5" w:rsidP="006074A5">
      <w:pPr>
        <w:pStyle w:val="a8"/>
        <w:bidi/>
        <w:rPr>
          <w:rFonts w:ascii="Narkisim" w:hAnsi="Narkisim"/>
        </w:rPr>
      </w:pPr>
      <w:r w:rsidRPr="00440CAB">
        <w:rPr>
          <w:rFonts w:ascii="Narkisim" w:hAnsi="Narkisim"/>
          <w:rtl/>
        </w:rPr>
        <w:t>וב</w:t>
      </w:r>
      <w:r w:rsidRPr="00440CAB">
        <w:rPr>
          <w:rFonts w:ascii="Narkisim" w:hAnsi="Narkisim"/>
          <w:b/>
          <w:bCs/>
          <w:rtl/>
        </w:rPr>
        <w:t>שו"ת הרשב"א</w:t>
      </w:r>
      <w:r w:rsidRPr="00440CAB">
        <w:rPr>
          <w:rFonts w:ascii="Narkisim" w:hAnsi="Narkisim"/>
          <w:rtl/>
        </w:rPr>
        <w:t xml:space="preserve"> (א כז) הק' [אסוגיא דנזיר] דממ"נ אם אינו אביו אין איסור לטמאות, דאינו כהן. וממ"נ יוכל לטמאות. [אך ע"פ סברת האחרונים י"ל דאף דבאמת הוא אביו נחשב פחות קורבא]. ותי' דמ"מ נפק"מ לענין מצוות לטמאות</w:t>
      </w:r>
      <w:r w:rsidRPr="00440CAB">
        <w:rPr>
          <w:rStyle w:val="ac"/>
          <w:rFonts w:ascii="Narkisim" w:hAnsi="Narkisim"/>
          <w:rtl/>
        </w:rPr>
        <w:footnoteReference w:id="3320"/>
      </w:r>
      <w:r w:rsidRPr="00440CAB">
        <w:rPr>
          <w:rFonts w:ascii="Narkisim" w:hAnsi="Narkisim"/>
          <w:rtl/>
        </w:rPr>
        <w:t>.</w:t>
      </w:r>
    </w:p>
    <w:p w14:paraId="4DAE61B2" w14:textId="77777777" w:rsidR="006074A5" w:rsidRPr="00440CAB" w:rsidRDefault="006074A5" w:rsidP="006074A5">
      <w:pPr>
        <w:bidi/>
        <w:rPr>
          <w:rFonts w:ascii="Narkisim" w:hAnsi="Narkisim" w:cs="Narkisim"/>
        </w:rPr>
      </w:pPr>
      <w:r w:rsidRPr="00440CAB">
        <w:rPr>
          <w:rFonts w:ascii="Narkisim" w:hAnsi="Narkisim" w:cs="Narkisim"/>
          <w:u w:val="single"/>
          <w:rtl/>
        </w:rPr>
        <w:t>רש"י ד"ה מה.</w:t>
      </w:r>
      <w:r w:rsidRPr="00440CAB">
        <w:rPr>
          <w:rFonts w:ascii="Narkisim" w:hAnsi="Narkisim" w:cs="Narkisim"/>
          <w:rtl/>
        </w:rPr>
        <w:t xml:space="preserve"> ומצוות גאולה מוטל עליו יותר מקרובי האם. משמע דאם אין קרובי אב, מצוה על קרובי האם [יותר מאחרים, אלא דאין כופין]. וכן דייקו ה</w:t>
      </w:r>
      <w:r w:rsidRPr="00440CAB">
        <w:rPr>
          <w:rFonts w:ascii="Narkisim" w:hAnsi="Narkisim" w:cs="Narkisim"/>
          <w:b/>
          <w:bCs/>
          <w:rtl/>
        </w:rPr>
        <w:t>קר"א</w:t>
      </w:r>
      <w:r w:rsidRPr="00440CAB">
        <w:rPr>
          <w:rFonts w:ascii="Narkisim" w:hAnsi="Narkisim" w:cs="Narkisim"/>
          <w:rtl/>
        </w:rPr>
        <w:t xml:space="preserve"> ו</w:t>
      </w:r>
      <w:r w:rsidRPr="00440CAB">
        <w:rPr>
          <w:rFonts w:ascii="Narkisim" w:hAnsi="Narkisim" w:cs="Narkisim"/>
          <w:b/>
          <w:bCs/>
          <w:rtl/>
        </w:rPr>
        <w:t>רש"ש</w:t>
      </w:r>
      <w:r w:rsidRPr="00440CAB">
        <w:rPr>
          <w:rFonts w:ascii="Narkisim" w:hAnsi="Narkisim" w:cs="Narkisim"/>
          <w:rtl/>
        </w:rPr>
        <w:t xml:space="preserve">, הקשו מנ"ל הא </w:t>
      </w:r>
      <w:r w:rsidRPr="00440CAB">
        <w:rPr>
          <w:rFonts w:ascii="Narkisim" w:hAnsi="Narkisim" w:cs="Narkisim"/>
          <w:sz w:val="20"/>
          <w:szCs w:val="20"/>
          <w:rtl/>
        </w:rPr>
        <w:t>[והרי משפחת אם אינה משפחה כלל לענין ירושה]</w:t>
      </w:r>
      <w:r w:rsidRPr="00440CAB">
        <w:rPr>
          <w:rFonts w:ascii="Narkisim" w:hAnsi="Narkisim" w:cs="Narkisim"/>
          <w:rtl/>
        </w:rPr>
        <w:t>. וכה"ק ה</w:t>
      </w:r>
      <w:r w:rsidRPr="00440CAB">
        <w:rPr>
          <w:rFonts w:ascii="Narkisim" w:hAnsi="Narkisim" w:cs="Narkisim"/>
          <w:b/>
          <w:bCs/>
          <w:rtl/>
        </w:rPr>
        <w:t>מאירי</w:t>
      </w:r>
      <w:r w:rsidRPr="00440CAB">
        <w:rPr>
          <w:rFonts w:ascii="Narkisim" w:hAnsi="Narkisim" w:cs="Narkisim"/>
          <w:rtl/>
        </w:rPr>
        <w:t xml:space="preserve">. </w:t>
      </w:r>
      <w:r w:rsidRPr="00440CAB">
        <w:rPr>
          <w:rFonts w:ascii="Narkisim" w:hAnsi="Narkisim" w:cs="Narkisim"/>
          <w:szCs w:val="20"/>
          <w:rtl/>
        </w:rPr>
        <w:t>וה</w:t>
      </w:r>
      <w:r w:rsidRPr="00440CAB">
        <w:rPr>
          <w:rFonts w:ascii="Narkisim" w:hAnsi="Narkisim" w:cs="Narkisim"/>
          <w:b/>
          <w:bCs/>
          <w:szCs w:val="20"/>
          <w:rtl/>
        </w:rPr>
        <w:t>קובה"ע</w:t>
      </w:r>
      <w:r w:rsidRPr="00440CAB">
        <w:rPr>
          <w:rFonts w:ascii="Narkisim" w:hAnsi="Narkisim" w:cs="Narkisim"/>
          <w:szCs w:val="20"/>
          <w:rtl/>
        </w:rPr>
        <w:t xml:space="preserve"> (כ ג) הביא דמבואר ברש"י דמשפחת אם ג"כ הוה משפחה, אלא דמשפחת האב קודם יותר. ונפק"מ בבת ישראל שנתעברה מעכו"ם</w:t>
      </w:r>
      <w:r w:rsidRPr="00440CAB">
        <w:rPr>
          <w:rStyle w:val="ac"/>
          <w:rFonts w:ascii="Narkisim" w:hAnsi="Narkisim" w:cs="Narkisim"/>
          <w:szCs w:val="20"/>
          <w:rtl/>
        </w:rPr>
        <w:footnoteReference w:id="3321"/>
      </w:r>
      <w:r w:rsidRPr="00440CAB">
        <w:rPr>
          <w:rFonts w:ascii="Narkisim" w:hAnsi="Narkisim" w:cs="Narkisim"/>
          <w:szCs w:val="20"/>
          <w:rtl/>
        </w:rPr>
        <w:t>, כיון דאין משפחת אב</w:t>
      </w:r>
      <w:r w:rsidRPr="00440CAB">
        <w:rPr>
          <w:rStyle w:val="ac"/>
          <w:rFonts w:ascii="Narkisim" w:hAnsi="Narkisim" w:cs="Narkisim"/>
          <w:szCs w:val="20"/>
          <w:rtl/>
        </w:rPr>
        <w:footnoteReference w:id="3322"/>
      </w:r>
      <w:r w:rsidRPr="00440CAB">
        <w:rPr>
          <w:rFonts w:ascii="Narkisim" w:hAnsi="Narkisim" w:cs="Narkisim"/>
          <w:szCs w:val="20"/>
          <w:rtl/>
        </w:rPr>
        <w:t xml:space="preserve"> יש דין משפחת האם</w:t>
      </w:r>
      <w:r w:rsidRPr="00440CAB">
        <w:rPr>
          <w:rStyle w:val="ac"/>
          <w:rFonts w:ascii="Narkisim" w:hAnsi="Narkisim" w:cs="Narkisim"/>
          <w:szCs w:val="20"/>
          <w:rtl/>
        </w:rPr>
        <w:footnoteReference w:id="3323"/>
      </w:r>
      <w:r w:rsidRPr="00440CAB">
        <w:rPr>
          <w:rFonts w:ascii="Narkisim" w:hAnsi="Narkisim" w:cs="Narkisim"/>
          <w:sz w:val="20"/>
          <w:szCs w:val="20"/>
          <w:rtl/>
        </w:rPr>
        <w:t>.</w:t>
      </w:r>
    </w:p>
    <w:p w14:paraId="35E6CA9F" w14:textId="77777777" w:rsidR="006074A5" w:rsidRPr="00440CAB" w:rsidRDefault="006074A5" w:rsidP="006074A5">
      <w:pPr>
        <w:pStyle w:val="3"/>
        <w:bidi/>
        <w:rPr>
          <w:rFonts w:ascii="Narkisim" w:hAnsi="Narkisim"/>
        </w:rPr>
      </w:pPr>
      <w:r w:rsidRPr="00440CAB">
        <w:rPr>
          <w:rFonts w:ascii="Narkisim" w:hAnsi="Narkisim"/>
          <w:rtl/>
        </w:rPr>
        <w:t>דף נה.</w:t>
      </w:r>
    </w:p>
    <w:p w14:paraId="71F8113F" w14:textId="77777777" w:rsidR="006074A5" w:rsidRPr="00440CAB" w:rsidRDefault="006074A5" w:rsidP="006074A5">
      <w:pPr>
        <w:bidi/>
        <w:rPr>
          <w:rFonts w:ascii="Narkisim" w:hAnsi="Narkisim" w:cs="Narkisim"/>
        </w:rPr>
      </w:pPr>
      <w:r w:rsidRPr="00440CAB">
        <w:rPr>
          <w:rFonts w:ascii="Narkisim" w:hAnsi="Narkisim" w:cs="Narkisim"/>
          <w:u w:val="single"/>
          <w:rtl/>
        </w:rPr>
        <w:t>יש לה בנים לאחר מיתה וכו' רשות.</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(ד"ה דיש) וה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(נד:) מבואר דהוה נידון בכל קורבא ע"י אישות, דכיון שמת יש צד דפקע האיסור קורבא, כיון דנעקר אותה השם. [וגרע מנתגרשה]. אבל ה</w:t>
      </w:r>
      <w:r w:rsidRPr="00440CAB">
        <w:rPr>
          <w:rFonts w:ascii="Narkisim" w:hAnsi="Narkisim" w:cs="Narkisim"/>
          <w:b/>
          <w:bCs/>
          <w:rtl/>
        </w:rPr>
        <w:t>רש"ש</w:t>
      </w:r>
      <w:r w:rsidRPr="00440CAB">
        <w:rPr>
          <w:rFonts w:ascii="Narkisim" w:hAnsi="Narkisim" w:cs="Narkisim"/>
          <w:rtl/>
        </w:rPr>
        <w:t xml:space="preserve"> כת' דהכא ס"ד דשרי משום דילפי' מדין יבום. דלא מסתבר דדחתה התורה [וכעין מש"כ תוס' נד:].</w:t>
      </w:r>
    </w:p>
    <w:p w14:paraId="54BA95C5" w14:textId="77777777" w:rsidR="006074A5" w:rsidRPr="00440CAB" w:rsidRDefault="006074A5" w:rsidP="006074A5">
      <w:pPr>
        <w:bidi/>
        <w:ind w:firstLine="0"/>
        <w:rPr>
          <w:rFonts w:ascii="Narkisim" w:hAnsi="Narkisim" w:cs="Narkisim"/>
        </w:rPr>
      </w:pPr>
      <w:r w:rsidRPr="00440CAB">
        <w:rPr>
          <w:rFonts w:ascii="Narkisim" w:hAnsi="Narkisim" w:cs="Narkisim"/>
          <w:rtl/>
        </w:rPr>
        <w:t>וה</w:t>
      </w:r>
      <w:r w:rsidRPr="00440CAB">
        <w:rPr>
          <w:rFonts w:ascii="Narkisim" w:hAnsi="Narkisim" w:cs="Narkisim"/>
          <w:b/>
          <w:bCs/>
          <w:rtl/>
        </w:rPr>
        <w:t>רמב"ן</w:t>
      </w:r>
      <w:r w:rsidRPr="00440CAB">
        <w:rPr>
          <w:rFonts w:ascii="Narkisim" w:hAnsi="Narkisim" w:cs="Narkisim"/>
          <w:rtl/>
        </w:rPr>
        <w:t xml:space="preserve"> כת' דאף כל מקום דליכא צד יבום נלמד מאשת אח שיש לה בנים. </w:t>
      </w:r>
      <w:r w:rsidRPr="00440CAB">
        <w:rPr>
          <w:rFonts w:ascii="Narkisim" w:hAnsi="Narkisim" w:cs="Narkisim"/>
          <w:sz w:val="20"/>
          <w:szCs w:val="20"/>
          <w:rtl/>
        </w:rPr>
        <w:t>[וכ"כ</w:t>
      </w:r>
      <w:r w:rsidRPr="00440CAB">
        <w:rPr>
          <w:rFonts w:ascii="Narkisim" w:hAnsi="Narkisim" w:cs="Narkisim"/>
          <w:b/>
          <w:bCs/>
          <w:sz w:val="20"/>
          <w:szCs w:val="20"/>
          <w:rtl/>
        </w:rPr>
        <w:t xml:space="preserve"> רש"י</w:t>
      </w:r>
      <w:r w:rsidRPr="00440CAB">
        <w:rPr>
          <w:rFonts w:ascii="Narkisim" w:hAnsi="Narkisim" w:cs="Narkisim"/>
          <w:sz w:val="20"/>
          <w:szCs w:val="20"/>
          <w:rtl/>
        </w:rPr>
        <w:t xml:space="preserve"> (ב:) דאשת אחיו שלא בעולמו הוה כאשת אח שיש לה בנים. ולכאורה כוונתו לסמוך אסוגיין].</w:t>
      </w:r>
    </w:p>
    <w:p w14:paraId="15109863" w14:textId="77777777" w:rsidR="006074A5" w:rsidRPr="00440CAB" w:rsidRDefault="006074A5" w:rsidP="006074A5">
      <w:pPr>
        <w:bidi/>
        <w:rPr>
          <w:rFonts w:ascii="Narkisim" w:hAnsi="Narkisim" w:cs="Narkisim"/>
        </w:rPr>
      </w:pPr>
      <w:r w:rsidRPr="00440CAB">
        <w:rPr>
          <w:rFonts w:ascii="Narkisim" w:hAnsi="Narkisim" w:cs="Narkisim"/>
          <w:u w:val="single"/>
          <w:rtl/>
        </w:rPr>
        <w:t>תוד"ה דיש לה בנים.</w:t>
      </w:r>
      <w:r w:rsidRPr="00440CAB">
        <w:rPr>
          <w:rFonts w:ascii="Narkisim" w:hAnsi="Narkisim" w:cs="Narkisim"/>
          <w:rtl/>
        </w:rPr>
        <w:t xml:space="preserve"> דבכל הנך קרא איצטריך דס"ד דלא נילף מאשת איש. וה</w:t>
      </w:r>
      <w:r w:rsidRPr="00440CAB">
        <w:rPr>
          <w:rFonts w:ascii="Narkisim" w:hAnsi="Narkisim" w:cs="Narkisim"/>
          <w:b/>
          <w:bCs/>
          <w:rtl/>
        </w:rPr>
        <w:t>אחרונים</w:t>
      </w:r>
      <w:r w:rsidRPr="00440CAB">
        <w:rPr>
          <w:rFonts w:ascii="Narkisim" w:hAnsi="Narkisim" w:cs="Narkisim"/>
          <w:rtl/>
        </w:rPr>
        <w:t xml:space="preserve"> (קוב"ש ח"ב כח) חקרו בגדר היתר אשת איש אחר מיתת בעלה [אחרי הפסוק], האם הוא משום דאינה אשתו של איש</w:t>
      </w:r>
      <w:r w:rsidRPr="00440CAB">
        <w:rPr>
          <w:rStyle w:val="ac"/>
          <w:rFonts w:ascii="Narkisim" w:hAnsi="Narkisim" w:cs="Narkisim"/>
          <w:rtl/>
        </w:rPr>
        <w:footnoteReference w:id="3324"/>
      </w:r>
      <w:r w:rsidRPr="00440CAB">
        <w:rPr>
          <w:rFonts w:ascii="Narkisim" w:hAnsi="Narkisim" w:cs="Narkisim"/>
          <w:rtl/>
        </w:rPr>
        <w:t>. או דהמיתה הוה מעשה מתיר</w:t>
      </w:r>
      <w:r w:rsidRPr="00440CAB">
        <w:rPr>
          <w:rStyle w:val="ac"/>
          <w:rFonts w:ascii="Narkisim" w:hAnsi="Narkisim" w:cs="Narkisim"/>
          <w:rtl/>
        </w:rPr>
        <w:footnoteReference w:id="3325"/>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חקרו האם מעשה המיתה הוה המתיר, או כל העדר החיות].</w:t>
      </w:r>
    </w:p>
    <w:p w14:paraId="38B2BE12" w14:textId="77777777" w:rsidR="006074A5" w:rsidRPr="00440CAB" w:rsidRDefault="006074A5" w:rsidP="006074A5">
      <w:pPr>
        <w:pStyle w:val="a8"/>
        <w:bidi/>
        <w:rPr>
          <w:rFonts w:ascii="Narkisim" w:hAnsi="Narkisim"/>
        </w:rPr>
      </w:pPr>
      <w:r w:rsidRPr="00440CAB">
        <w:rPr>
          <w:rFonts w:ascii="Narkisim" w:hAnsi="Narkisim"/>
          <w:rtl/>
        </w:rPr>
        <w:t>ויש שחקרו בגדר קורבא דע"י אישות, האם הוה חלק מעצם האישות, או דע"י האישות נוצר שהם קרובים, ועי"ז הוה קרוב לכל דבר.</w:t>
      </w:r>
    </w:p>
    <w:p w14:paraId="3C32838B" w14:textId="77777777" w:rsidR="006074A5" w:rsidRPr="00440CAB" w:rsidRDefault="006074A5" w:rsidP="006074A5">
      <w:pPr>
        <w:bidi/>
        <w:rPr>
          <w:rFonts w:ascii="Narkisim" w:hAnsi="Narkisim" w:cs="Narkisim"/>
        </w:rPr>
      </w:pPr>
      <w:r w:rsidRPr="00440CAB">
        <w:rPr>
          <w:rFonts w:ascii="Narkisim" w:hAnsi="Narkisim" w:cs="Narkisim"/>
          <w:u w:val="single"/>
          <w:rtl/>
        </w:rPr>
        <w:t>בא"ד דבכולהו צריך קרא לאסור ולהתיר דלא למילף מהדדי.</w:t>
      </w:r>
      <w:r w:rsidRPr="00440CAB">
        <w:rPr>
          <w:rFonts w:ascii="Narkisim" w:hAnsi="Narkisim" w:cs="Narkisim"/>
          <w:rtl/>
        </w:rPr>
        <w:t xml:space="preserve"> וב</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(נד:) מבואר דמסברא אמרי' דפקע השם, ומותרין. </w:t>
      </w:r>
      <w:r w:rsidRPr="00440CAB">
        <w:rPr>
          <w:rFonts w:ascii="Narkisim" w:hAnsi="Narkisim" w:cs="Narkisim"/>
          <w:sz w:val="20"/>
          <w:szCs w:val="20"/>
          <w:rtl/>
        </w:rPr>
        <w:t>[אלא דברמב"ן משמע דוקא לאחר מיתה פקע השם, ואילו הרשב"א כתב דאף ע"י גירושין פקע השם].</w:t>
      </w:r>
    </w:p>
    <w:p w14:paraId="78ED3E83" w14:textId="77777777" w:rsidR="006074A5" w:rsidRPr="00440CAB" w:rsidRDefault="006074A5" w:rsidP="006074A5">
      <w:pPr>
        <w:bidi/>
        <w:rPr>
          <w:rFonts w:ascii="Narkisim" w:hAnsi="Narkisim" w:cs="Narkisim"/>
        </w:rPr>
      </w:pPr>
      <w:r w:rsidRPr="00440CAB">
        <w:rPr>
          <w:rFonts w:ascii="Narkisim" w:hAnsi="Narkisim" w:cs="Narkisim"/>
          <w:rtl/>
        </w:rPr>
        <w:t>ה</w:t>
      </w:r>
      <w:r w:rsidRPr="00440CAB">
        <w:rPr>
          <w:rFonts w:ascii="Narkisim" w:hAnsi="Narkisim" w:cs="Narkisim"/>
          <w:b/>
          <w:bCs/>
          <w:rtl/>
        </w:rPr>
        <w:t>אחרונים</w:t>
      </w:r>
      <w:r w:rsidRPr="00440CAB">
        <w:rPr>
          <w:rFonts w:ascii="Narkisim" w:hAnsi="Narkisim" w:cs="Narkisim"/>
          <w:rtl/>
        </w:rPr>
        <w:t xml:space="preserve"> (ע' אתוון דאורייתא סו"ס ח) חקרו בגדר איסור קרובים לאחר מיתה וגירושין, האם נחשב דנשאר כלפי זה מקצת אישות</w:t>
      </w:r>
      <w:r w:rsidRPr="00440CAB">
        <w:rPr>
          <w:rStyle w:val="ac"/>
          <w:rFonts w:ascii="Narkisim" w:hAnsi="Narkisim" w:cs="Narkisim"/>
          <w:rtl/>
        </w:rPr>
        <w:footnoteReference w:id="3326"/>
      </w:r>
      <w:r w:rsidRPr="00440CAB">
        <w:rPr>
          <w:rFonts w:ascii="Narkisim" w:hAnsi="Narkisim" w:cs="Narkisim"/>
          <w:rtl/>
        </w:rPr>
        <w:t xml:space="preserve">, או דהתורה אסרה משום שהיתה בעבר אשתו. </w:t>
      </w:r>
      <w:r w:rsidRPr="00440CAB">
        <w:rPr>
          <w:rFonts w:ascii="Narkisim" w:hAnsi="Narkisim" w:cs="Narkisim"/>
          <w:sz w:val="20"/>
          <w:szCs w:val="20"/>
          <w:rtl/>
        </w:rPr>
        <w:t>[ועוד יש העלו צד דהמתיר של הגט והמיתה אינו מתירה לקרובים</w:t>
      </w:r>
      <w:r w:rsidRPr="00440CAB">
        <w:rPr>
          <w:rStyle w:val="ac"/>
          <w:rFonts w:ascii="Narkisim" w:hAnsi="Narkisim" w:cs="Narkisim"/>
          <w:sz w:val="20"/>
          <w:szCs w:val="20"/>
          <w:rtl/>
        </w:rPr>
        <w:footnoteReference w:id="3327"/>
      </w:r>
      <w:r w:rsidRPr="00440CAB">
        <w:rPr>
          <w:rFonts w:ascii="Narkisim" w:hAnsi="Narkisim" w:cs="Narkisim"/>
          <w:sz w:val="20"/>
          <w:szCs w:val="20"/>
          <w:rtl/>
        </w:rPr>
        <w:t>].</w:t>
      </w:r>
    </w:p>
    <w:p w14:paraId="408431AF" w14:textId="77777777" w:rsidR="006074A5" w:rsidRPr="00440CAB" w:rsidRDefault="006074A5" w:rsidP="006074A5">
      <w:pPr>
        <w:pStyle w:val="a8"/>
        <w:bidi/>
        <w:rPr>
          <w:rFonts w:ascii="Narkisim" w:hAnsi="Narkisim"/>
        </w:rPr>
      </w:pPr>
      <w:r w:rsidRPr="00440CAB">
        <w:rPr>
          <w:rFonts w:ascii="Narkisim" w:hAnsi="Narkisim"/>
          <w:rtl/>
        </w:rPr>
        <w:t>[ובשומרת יבם שמתה דנו (לעיל יח.) האם כשמתה פקע הזיקה, והותר לקרובותיה, ואף שהיתה בעבר אישות של זיקה. ע' מש"כ שם]. ועוד דנו ה</w:t>
      </w:r>
      <w:r w:rsidRPr="00440CAB">
        <w:rPr>
          <w:rFonts w:ascii="Narkisim" w:hAnsi="Narkisim"/>
          <w:b/>
          <w:bCs/>
          <w:rtl/>
        </w:rPr>
        <w:t>אחרונים</w:t>
      </w:r>
      <w:r w:rsidRPr="00440CAB">
        <w:rPr>
          <w:rFonts w:ascii="Narkisim" w:hAnsi="Narkisim"/>
          <w:rtl/>
        </w:rPr>
        <w:t xml:space="preserve"> במקום שנפקע האישות ע"י שם ערוה [או שחרור שפחה חרופה] האם הותר האיסור קרובים, דאיסור הראשון אינו ראוי לאסור כלפי זה.</w:t>
      </w:r>
    </w:p>
    <w:p w14:paraId="2A72D76C"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רש"ש</w:t>
      </w:r>
      <w:r w:rsidRPr="00440CAB">
        <w:rPr>
          <w:rFonts w:ascii="Narkisim" w:hAnsi="Narkisim"/>
          <w:rtl/>
        </w:rPr>
        <w:t xml:space="preserve"> כתב לחלק ע"פ מש"כ </w:t>
      </w:r>
      <w:r w:rsidRPr="00440CAB">
        <w:rPr>
          <w:rFonts w:ascii="Narkisim" w:hAnsi="Narkisim"/>
          <w:b/>
          <w:bCs/>
          <w:rtl/>
        </w:rPr>
        <w:t>תוס</w:t>
      </w:r>
      <w:r w:rsidRPr="00440CAB">
        <w:rPr>
          <w:rFonts w:ascii="Narkisim" w:hAnsi="Narkisim"/>
          <w:rtl/>
        </w:rPr>
        <w:t>' (ב"ב קיד. ע' לקמן בע"ב) דאחרי שמתה עדיין נקראת שארו, אבל כשהוא מת אינה שאר.</w:t>
      </w:r>
    </w:p>
    <w:p w14:paraId="12BF23B4" w14:textId="77777777" w:rsidR="006074A5" w:rsidRPr="00440CAB" w:rsidRDefault="006074A5" w:rsidP="006074A5">
      <w:pPr>
        <w:bidi/>
        <w:rPr>
          <w:rFonts w:ascii="Narkisim" w:hAnsi="Narkisim" w:cs="Narkisim"/>
        </w:rPr>
      </w:pPr>
      <w:r w:rsidRPr="00440CAB">
        <w:rPr>
          <w:rFonts w:ascii="Narkisim" w:hAnsi="Narkisim" w:cs="Narkisim"/>
          <w:u w:val="single"/>
          <w:rtl/>
        </w:rPr>
        <w:t>אימא אשת אח מאם כאשת אח מאב וכו' לאחר מיתת בעלה שריא.</w:t>
      </w:r>
      <w:r w:rsidRPr="00440CAB">
        <w:rPr>
          <w:rFonts w:ascii="Narkisim" w:hAnsi="Narkisim" w:cs="Narkisim"/>
          <w:rtl/>
        </w:rPr>
        <w:t xml:space="preserve"> משמע דהוה היתר כפנויה, דמדין יבום ממעטינן (לעיל יז:) דאין חיוב יבום מצד האם. וה</w:t>
      </w:r>
      <w:r w:rsidRPr="00440CAB">
        <w:rPr>
          <w:rFonts w:ascii="Narkisim" w:hAnsi="Narkisim" w:cs="Narkisim"/>
          <w:b/>
          <w:bCs/>
          <w:rtl/>
        </w:rPr>
        <w:t>קובה"ע</w:t>
      </w:r>
      <w:r w:rsidRPr="00440CAB">
        <w:rPr>
          <w:rFonts w:ascii="Narkisim" w:hAnsi="Narkisim" w:cs="Narkisim"/>
          <w:rtl/>
        </w:rPr>
        <w:t xml:space="preserve"> (נא) כתב דה"נ חוזרת קושיית הרמב"ן, דא"כ הוה כאילונית דאין בה צד יבום. ותי' דס"ד דהוה גדר יבום של רשות, דומיה דקודם מתן תורה [ע' לקמן צח].</w:t>
      </w:r>
    </w:p>
    <w:p w14:paraId="49C95F38" w14:textId="77777777" w:rsidR="006074A5" w:rsidRPr="00440CAB" w:rsidRDefault="006074A5" w:rsidP="006074A5">
      <w:pPr>
        <w:pStyle w:val="aa"/>
        <w:bidi/>
        <w:rPr>
          <w:rFonts w:ascii="Narkisim" w:hAnsi="Narkisim"/>
        </w:rPr>
      </w:pPr>
      <w:r w:rsidRPr="00440CAB">
        <w:rPr>
          <w:rFonts w:ascii="Narkisim" w:hAnsi="Narkisim"/>
          <w:u w:val="single"/>
          <w:rtl/>
        </w:rPr>
        <w:t>ולר' יצחק דאמר כל חייבי כריתות בכלל היו, ולמה יצתה כרת באחותו וכו'</w:t>
      </w:r>
      <w:r w:rsidRPr="00440CAB">
        <w:rPr>
          <w:rFonts w:ascii="Narkisim" w:hAnsi="Narkisim"/>
          <w:rtl/>
        </w:rPr>
        <w:t>. וב</w:t>
      </w:r>
      <w:r w:rsidRPr="00440CAB">
        <w:rPr>
          <w:rFonts w:ascii="Narkisim" w:hAnsi="Narkisim"/>
          <w:b/>
          <w:bCs/>
          <w:rtl/>
        </w:rPr>
        <w:t>תוס' מהר"ם ור"פ</w:t>
      </w:r>
      <w:r w:rsidRPr="00440CAB">
        <w:rPr>
          <w:rFonts w:ascii="Narkisim" w:hAnsi="Narkisim"/>
          <w:rtl/>
        </w:rPr>
        <w:t xml:space="preserve"> הביא ד</w:t>
      </w:r>
      <w:r w:rsidRPr="00440CAB">
        <w:rPr>
          <w:rFonts w:ascii="Narkisim" w:hAnsi="Narkisim"/>
          <w:b/>
          <w:bCs/>
          <w:rtl/>
        </w:rPr>
        <w:t>רש"י</w:t>
      </w:r>
      <w:r w:rsidRPr="00440CAB">
        <w:rPr>
          <w:rFonts w:ascii="Narkisim" w:hAnsi="Narkisim"/>
          <w:rtl/>
        </w:rPr>
        <w:t xml:space="preserve"> </w:t>
      </w:r>
      <w:r w:rsidRPr="00440CAB">
        <w:rPr>
          <w:rFonts w:ascii="Narkisim" w:hAnsi="Narkisim"/>
          <w:rtl/>
        </w:rPr>
        <w:lastRenderedPageBreak/>
        <w:t>פי' דאחותו היתה בכלל העריות, ויצתה לדון בכרת ולא במלקות. והביא ד</w:t>
      </w:r>
      <w:r w:rsidRPr="00440CAB">
        <w:rPr>
          <w:rFonts w:ascii="Narkisim" w:hAnsi="Narkisim"/>
          <w:b/>
          <w:bCs/>
          <w:rtl/>
        </w:rPr>
        <w:t>ר"ת</w:t>
      </w:r>
      <w:r w:rsidRPr="00440CAB">
        <w:rPr>
          <w:rFonts w:ascii="Narkisim" w:hAnsi="Narkisim"/>
          <w:rtl/>
        </w:rPr>
        <w:t xml:space="preserve"> פי' דחייבי כריתות הוה בכלל חייבי מלקות, ולמה יצתה ללמד שאין לוקה עליה. ודבר שהיה בכלל ויצא מן הכלל ללמד, לא ללמד על עצמו יצא, אלא ללמד על הכלל. וילפי' דה"ה שאינו לוקה בכל העריות.</w:t>
      </w:r>
    </w:p>
    <w:p w14:paraId="4D56D557" w14:textId="77777777" w:rsidR="006074A5" w:rsidRPr="00440CAB" w:rsidRDefault="006074A5" w:rsidP="006074A5">
      <w:pPr>
        <w:bidi/>
        <w:rPr>
          <w:rFonts w:ascii="Narkisim" w:hAnsi="Narkisim" w:cs="Narkisim"/>
        </w:rPr>
      </w:pPr>
      <w:r w:rsidRPr="00440CAB">
        <w:rPr>
          <w:rFonts w:ascii="Narkisim" w:hAnsi="Narkisim" w:cs="Narkisim"/>
          <w:u w:val="single"/>
          <w:rtl/>
        </w:rPr>
        <w:t>רש"י ד"ה לכרת.</w:t>
      </w:r>
      <w:r w:rsidRPr="00440CAB">
        <w:rPr>
          <w:rFonts w:ascii="Narkisim" w:hAnsi="Narkisim" w:cs="Narkisim"/>
          <w:rtl/>
        </w:rPr>
        <w:t xml:space="preserve"> דלאו שניתן לאזהרת כרת</w:t>
      </w:r>
      <w:r w:rsidRPr="00440CAB">
        <w:rPr>
          <w:rStyle w:val="ac"/>
          <w:rFonts w:ascii="Narkisim" w:hAnsi="Narkisim" w:cs="Narkisim"/>
          <w:rtl/>
        </w:rPr>
        <w:footnoteReference w:id="3328"/>
      </w:r>
      <w:r w:rsidRPr="00440CAB">
        <w:rPr>
          <w:rFonts w:ascii="Narkisim" w:hAnsi="Narkisim" w:cs="Narkisim"/>
          <w:rtl/>
        </w:rPr>
        <w:t xml:space="preserve">. </w:t>
      </w:r>
      <w:r w:rsidRPr="00440CAB">
        <w:rPr>
          <w:rFonts w:ascii="Narkisim" w:hAnsi="Narkisim" w:cs="Narkisim"/>
          <w:b/>
          <w:bCs/>
          <w:rtl/>
        </w:rPr>
        <w:t>רע"א</w:t>
      </w:r>
      <w:r w:rsidRPr="00440CAB">
        <w:rPr>
          <w:rFonts w:ascii="Narkisim" w:hAnsi="Narkisim" w:cs="Narkisim"/>
          <w:rtl/>
        </w:rPr>
        <w:t xml:space="preserve"> תמה דאיתא (מכות יג:) דכרת לא בעי אזהרה, דהא פסח ומילה הוה עשה וחייבין כרת. [ואף ר' יצחק לא יחלוק בזה]. וע"כ כוונת רש"י דאיצטריך אזהרה לחטאת</w:t>
      </w:r>
      <w:r w:rsidRPr="00440CAB">
        <w:rPr>
          <w:rStyle w:val="ac"/>
          <w:rFonts w:ascii="Narkisim" w:hAnsi="Narkisim" w:cs="Narkisim"/>
          <w:rtl/>
        </w:rPr>
        <w:footnoteReference w:id="3329"/>
      </w:r>
      <w:r w:rsidRPr="00440CAB">
        <w:rPr>
          <w:rFonts w:ascii="Narkisim" w:hAnsi="Narkisim" w:cs="Narkisim"/>
          <w:rtl/>
        </w:rPr>
        <w:t>.</w:t>
      </w:r>
    </w:p>
    <w:p w14:paraId="174336F6" w14:textId="77777777" w:rsidR="006074A5" w:rsidRPr="00440CAB" w:rsidRDefault="006074A5" w:rsidP="006074A5">
      <w:pPr>
        <w:pStyle w:val="a8"/>
        <w:bidi/>
        <w:rPr>
          <w:rFonts w:ascii="Narkisim" w:hAnsi="Narkisim"/>
        </w:rPr>
      </w:pPr>
      <w:r w:rsidRPr="00440CAB">
        <w:rPr>
          <w:rFonts w:ascii="Narkisim" w:hAnsi="Narkisim"/>
          <w:rtl/>
        </w:rPr>
        <w:t>ואף דמבואר (מכות יג:) דאף חטאת ל"צ אזהרה, י"ל דר' יצחק פליג. [ובראשונים בכ"מ</w:t>
      </w:r>
      <w:r w:rsidRPr="00440CAB">
        <w:rPr>
          <w:rStyle w:val="ac"/>
          <w:rFonts w:ascii="Narkisim" w:hAnsi="Narkisim"/>
          <w:rtl/>
        </w:rPr>
        <w:footnoteReference w:id="3330"/>
      </w:r>
      <w:r w:rsidRPr="00440CAB">
        <w:rPr>
          <w:rFonts w:ascii="Narkisim" w:hAnsi="Narkisim"/>
          <w:rtl/>
        </w:rPr>
        <w:t xml:space="preserve"> כת' דיש בזה מח'].</w:t>
      </w:r>
    </w:p>
    <w:p w14:paraId="08A0325E" w14:textId="77777777" w:rsidR="006074A5" w:rsidRPr="00440CAB" w:rsidRDefault="006074A5" w:rsidP="006074A5">
      <w:pPr>
        <w:bidi/>
        <w:rPr>
          <w:rFonts w:ascii="Narkisim" w:hAnsi="Narkisim" w:cs="Narkisim"/>
        </w:rPr>
      </w:pPr>
      <w:r w:rsidRPr="00440CAB">
        <w:rPr>
          <w:rFonts w:ascii="Narkisim" w:hAnsi="Narkisim" w:cs="Narkisim"/>
          <w:u w:val="single"/>
          <w:rtl/>
        </w:rPr>
        <w:t>ואיצטריך למכתב ערירים וכו'</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היינו נמי כרת, שזרעו נכרת. ו</w:t>
      </w:r>
      <w:r w:rsidRPr="00440CAB">
        <w:rPr>
          <w:rFonts w:ascii="Narkisim" w:hAnsi="Narkisim" w:cs="Narkisim"/>
          <w:b/>
          <w:bCs/>
          <w:rtl/>
        </w:rPr>
        <w:t>תוס</w:t>
      </w:r>
      <w:r w:rsidRPr="00440CAB">
        <w:rPr>
          <w:rFonts w:ascii="Narkisim" w:hAnsi="Narkisim" w:cs="Narkisim"/>
          <w:rtl/>
        </w:rPr>
        <w:t xml:space="preserve">' (לעיל ב. ד"ה אשת, ותוס' מהר"ם ור"פ כאן) הביאו מח' דדעת </w:t>
      </w:r>
      <w:r w:rsidRPr="00440CAB">
        <w:rPr>
          <w:rFonts w:ascii="Narkisim" w:hAnsi="Narkisim" w:cs="Narkisim"/>
          <w:b/>
          <w:bCs/>
          <w:rtl/>
        </w:rPr>
        <w:t>רש"י</w:t>
      </w:r>
      <w:r w:rsidRPr="00440CAB">
        <w:rPr>
          <w:rFonts w:ascii="Narkisim" w:hAnsi="Narkisim" w:cs="Narkisim"/>
          <w:rtl/>
        </w:rPr>
        <w:t xml:space="preserve"> (שבת כה.) דכל כרת כולל הוא וזרעו. א"כ ערירי הוה בכל כרת. ואילו לדעת</w:t>
      </w:r>
      <w:r w:rsidRPr="00440CAB">
        <w:rPr>
          <w:rFonts w:ascii="Narkisim" w:hAnsi="Narkisim" w:cs="Narkisim"/>
          <w:b/>
          <w:bCs/>
          <w:rtl/>
        </w:rPr>
        <w:t xml:space="preserve"> ריב"א</w:t>
      </w:r>
      <w:r w:rsidRPr="00440CAB">
        <w:rPr>
          <w:rFonts w:ascii="Narkisim" w:hAnsi="Narkisim" w:cs="Narkisim"/>
          <w:rtl/>
        </w:rPr>
        <w:t xml:space="preserve"> דדוקא בעריות דכתיב בהו ערירי אמרי' דאף זרעו נכרת. אבל שאר חייבי כריתות לא הוה ערירי.</w:t>
      </w:r>
    </w:p>
    <w:p w14:paraId="04B90011" w14:textId="77777777" w:rsidR="006074A5" w:rsidRPr="00440CAB" w:rsidRDefault="006074A5" w:rsidP="006074A5">
      <w:pPr>
        <w:pStyle w:val="a7"/>
        <w:bidi/>
        <w:rPr>
          <w:rFonts w:ascii="Narkisim" w:hAnsi="Narkisim"/>
        </w:rPr>
      </w:pPr>
      <w:r w:rsidRPr="00440CAB">
        <w:rPr>
          <w:rFonts w:ascii="Narkisim" w:hAnsi="Narkisim"/>
          <w:rtl/>
        </w:rPr>
        <w:t>ותוס' כת' הביאו בשם ה</w:t>
      </w:r>
      <w:r w:rsidRPr="00440CAB">
        <w:rPr>
          <w:rFonts w:ascii="Narkisim" w:hAnsi="Narkisim"/>
          <w:b/>
          <w:bCs/>
          <w:rtl/>
        </w:rPr>
        <w:t>ר' משה</w:t>
      </w:r>
      <w:r w:rsidRPr="00440CAB">
        <w:rPr>
          <w:rFonts w:ascii="Narkisim" w:hAnsi="Narkisim"/>
          <w:rtl/>
        </w:rPr>
        <w:t xml:space="preserve"> </w:t>
      </w:r>
      <w:r w:rsidRPr="00440CAB">
        <w:rPr>
          <w:rFonts w:ascii="Narkisim" w:hAnsi="Narkisim"/>
          <w:szCs w:val="20"/>
          <w:rtl/>
        </w:rPr>
        <w:t>[ע"פ דעת</w:t>
      </w:r>
      <w:r w:rsidRPr="00440CAB">
        <w:rPr>
          <w:rFonts w:ascii="Narkisim" w:hAnsi="Narkisim"/>
          <w:b/>
          <w:bCs/>
          <w:szCs w:val="20"/>
          <w:rtl/>
        </w:rPr>
        <w:t xml:space="preserve"> ריב"א</w:t>
      </w:r>
      <w:r w:rsidRPr="00440CAB">
        <w:rPr>
          <w:rFonts w:ascii="Narkisim" w:hAnsi="Narkisim"/>
          <w:szCs w:val="20"/>
          <w:rtl/>
        </w:rPr>
        <w:t>]</w:t>
      </w:r>
      <w:r w:rsidRPr="00440CAB">
        <w:rPr>
          <w:rFonts w:ascii="Narkisim" w:hAnsi="Narkisim"/>
          <w:rtl/>
        </w:rPr>
        <w:t xml:space="preserve"> דמ"מ ילפי' בהקיש דר' יונה דיש ערירי בכל העריות</w:t>
      </w:r>
      <w:r w:rsidRPr="00440CAB">
        <w:rPr>
          <w:rStyle w:val="ac"/>
          <w:rFonts w:ascii="Narkisim" w:hAnsi="Narkisim"/>
          <w:rtl/>
        </w:rPr>
        <w:footnoteReference w:id="3331"/>
      </w:r>
      <w:r w:rsidRPr="00440CAB">
        <w:rPr>
          <w:rFonts w:ascii="Narkisim" w:hAnsi="Narkisim"/>
          <w:rtl/>
        </w:rPr>
        <w:t>. אלא דאשת אח מאם נתמעט בתו"כ.</w:t>
      </w:r>
    </w:p>
    <w:p w14:paraId="48443D54" w14:textId="77777777" w:rsidR="006074A5" w:rsidRPr="00440CAB" w:rsidRDefault="006074A5" w:rsidP="006074A5">
      <w:pPr>
        <w:bidi/>
        <w:rPr>
          <w:rFonts w:ascii="Narkisim" w:hAnsi="Narkisim" w:cs="Narkisim"/>
        </w:rPr>
      </w:pPr>
      <w:r w:rsidRPr="00440CAB">
        <w:rPr>
          <w:rFonts w:ascii="Narkisim" w:hAnsi="Narkisim" w:cs="Narkisim"/>
          <w:u w:val="single"/>
          <w:rtl/>
        </w:rPr>
        <w:t>רש"י ד"ה שפחה חייבי לאוין.</w:t>
      </w:r>
      <w:r w:rsidRPr="00440CAB">
        <w:rPr>
          <w:rFonts w:ascii="Narkisim" w:hAnsi="Narkisim" w:cs="Narkisim"/>
          <w:rtl/>
        </w:rPr>
        <w:t xml:space="preserve"> מכלל דחייבי לאוין דלאו דאשם וכו'. משמע דבהעראה בשפחה חרופה אינו לוקה (וכ"כ הפור"י בע"ב), וכ"כ </w:t>
      </w:r>
      <w:r w:rsidRPr="00440CAB">
        <w:rPr>
          <w:rFonts w:ascii="Narkisim" w:hAnsi="Narkisim" w:cs="Narkisim"/>
          <w:b/>
          <w:bCs/>
          <w:rtl/>
        </w:rPr>
        <w:t>רש"י</w:t>
      </w:r>
      <w:r w:rsidRPr="00440CAB">
        <w:rPr>
          <w:rFonts w:ascii="Narkisim" w:hAnsi="Narkisim" w:cs="Narkisim"/>
          <w:rtl/>
        </w:rPr>
        <w:t xml:space="preserve"> (בסו"ד) שפחה דלאו חרופה, אבל חרופה אינו לוקה בלאו דלא יהא קדש. </w:t>
      </w:r>
      <w:r w:rsidRPr="00440CAB">
        <w:rPr>
          <w:rFonts w:ascii="Narkisim" w:hAnsi="Narkisim" w:cs="Narkisim"/>
          <w:sz w:val="20"/>
          <w:szCs w:val="20"/>
          <w:rtl/>
        </w:rPr>
        <w:t>[דכיון דהוציאו הכתוב מכללו, שדינו באשם, אף במעשה שאין עליו חיוב אשם אינו חייב מלקות</w:t>
      </w:r>
      <w:r w:rsidRPr="00440CAB">
        <w:rPr>
          <w:rStyle w:val="ac"/>
          <w:rFonts w:ascii="Narkisim" w:hAnsi="Narkisim" w:cs="Narkisim"/>
          <w:sz w:val="20"/>
          <w:szCs w:val="20"/>
          <w:rtl/>
        </w:rPr>
        <w:footnoteReference w:id="3332"/>
      </w:r>
      <w:r w:rsidRPr="00440CAB">
        <w:rPr>
          <w:rFonts w:ascii="Narkisim" w:hAnsi="Narkisim" w:cs="Narkisim"/>
          <w:sz w:val="20"/>
          <w:szCs w:val="20"/>
          <w:rtl/>
        </w:rPr>
        <w:t>].</w:t>
      </w:r>
    </w:p>
    <w:p w14:paraId="7CF19F58"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מנח"ח</w:t>
      </w:r>
      <w:r w:rsidRPr="00440CAB">
        <w:rPr>
          <w:rFonts w:ascii="Narkisim" w:hAnsi="Narkisim"/>
          <w:rtl/>
        </w:rPr>
        <w:t xml:space="preserve"> (רסו יח) נקט דכל שפחה חרופה לוקה ג"כ משום לא תהיה קדישה</w:t>
      </w:r>
      <w:r w:rsidRPr="00440CAB">
        <w:rPr>
          <w:rStyle w:val="ac"/>
          <w:rFonts w:ascii="Narkisim" w:hAnsi="Narkisim"/>
          <w:rtl/>
        </w:rPr>
        <w:footnoteReference w:id="3333"/>
      </w:r>
      <w:r w:rsidRPr="00440CAB">
        <w:rPr>
          <w:rFonts w:ascii="Narkisim" w:hAnsi="Narkisim"/>
          <w:rtl/>
        </w:rPr>
        <w:t xml:space="preserve"> [ככל שפחה</w:t>
      </w:r>
      <w:r w:rsidRPr="00440CAB">
        <w:rPr>
          <w:rStyle w:val="ac"/>
          <w:rFonts w:ascii="Narkisim" w:hAnsi="Narkisim"/>
          <w:rtl/>
        </w:rPr>
        <w:footnoteReference w:id="3334"/>
      </w:r>
      <w:r w:rsidRPr="00440CAB">
        <w:rPr>
          <w:rFonts w:ascii="Narkisim" w:hAnsi="Narkisim"/>
          <w:rtl/>
        </w:rPr>
        <w:t>], ואפי' לא גמר ביאתו. ובגמר ביאתו חייב ב'.</w:t>
      </w:r>
    </w:p>
    <w:p w14:paraId="5C7AFF62" w14:textId="77777777" w:rsidR="006074A5" w:rsidRPr="00440CAB" w:rsidRDefault="006074A5" w:rsidP="006074A5">
      <w:pPr>
        <w:bidi/>
        <w:rPr>
          <w:rFonts w:ascii="Narkisim" w:hAnsi="Narkisim" w:cs="Narkisim"/>
        </w:rPr>
      </w:pPr>
      <w:r w:rsidRPr="00440CAB">
        <w:rPr>
          <w:rFonts w:ascii="Narkisim" w:hAnsi="Narkisim" w:cs="Narkisim"/>
          <w:u w:val="single"/>
          <w:rtl/>
        </w:rPr>
        <w:t>רש"י ד"ה שפחה כנענית.</w:t>
      </w:r>
      <w:r w:rsidRPr="00440CAB">
        <w:rPr>
          <w:rFonts w:ascii="Narkisim" w:hAnsi="Narkisim" w:cs="Narkisim"/>
          <w:rtl/>
        </w:rPr>
        <w:t xml:space="preserve"> המאורסת לעבד עברי שמותר בה. ה</w:t>
      </w:r>
      <w:r w:rsidRPr="00440CAB">
        <w:rPr>
          <w:rFonts w:ascii="Narkisim" w:hAnsi="Narkisim" w:cs="Narkisim"/>
          <w:b/>
          <w:bCs/>
          <w:rtl/>
        </w:rPr>
        <w:t>מהרש"ל</w:t>
      </w:r>
      <w:r w:rsidRPr="00440CAB">
        <w:rPr>
          <w:rFonts w:ascii="Narkisim" w:hAnsi="Narkisim" w:cs="Narkisim"/>
          <w:rtl/>
        </w:rPr>
        <w:t xml:space="preserve"> כתב דנקט עבד עברי שמותר בה, דחצי משוחררת. אבל ה</w:t>
      </w:r>
      <w:r w:rsidRPr="00440CAB">
        <w:rPr>
          <w:rFonts w:ascii="Narkisim" w:hAnsi="Narkisim" w:cs="Narkisim"/>
          <w:b/>
          <w:bCs/>
          <w:rtl/>
        </w:rPr>
        <w:t>רש"ש</w:t>
      </w:r>
      <w:r w:rsidRPr="00440CAB">
        <w:rPr>
          <w:rFonts w:ascii="Narkisim" w:hAnsi="Narkisim" w:cs="Narkisim"/>
          <w:rtl/>
        </w:rPr>
        <w:t xml:space="preserve"> כתב דקאי כר' ישמעאל (גיטין מג.) בשפחה דלא נשתחררה. וה</w:t>
      </w:r>
      <w:r w:rsidRPr="00440CAB">
        <w:rPr>
          <w:rFonts w:ascii="Narkisim" w:hAnsi="Narkisim" w:cs="Narkisim"/>
          <w:b/>
          <w:bCs/>
          <w:rtl/>
        </w:rPr>
        <w:t>אחרונים</w:t>
      </w:r>
      <w:r w:rsidRPr="00440CAB">
        <w:rPr>
          <w:rFonts w:ascii="Narkisim" w:hAnsi="Narkisim" w:cs="Narkisim"/>
          <w:rtl/>
        </w:rPr>
        <w:t xml:space="preserve"> נתקשו אמאי נקט רש"י כר' ישמעאל</w:t>
      </w:r>
      <w:r w:rsidRPr="00440CAB">
        <w:rPr>
          <w:rStyle w:val="ac"/>
          <w:rFonts w:ascii="Narkisim" w:hAnsi="Narkisim" w:cs="Narkisim"/>
          <w:rtl/>
        </w:rPr>
        <w:footnoteReference w:id="3335"/>
      </w:r>
      <w:r w:rsidRPr="00440CAB">
        <w:rPr>
          <w:rFonts w:ascii="Narkisim" w:hAnsi="Narkisim" w:cs="Narkisim"/>
          <w:rtl/>
        </w:rPr>
        <w:t>. וע"ע יפ"ע.</w:t>
      </w:r>
    </w:p>
    <w:p w14:paraId="75A43BB9" w14:textId="77777777" w:rsidR="006074A5" w:rsidRPr="00440CAB" w:rsidRDefault="006074A5" w:rsidP="006074A5">
      <w:pPr>
        <w:pStyle w:val="aa"/>
        <w:bidi/>
        <w:rPr>
          <w:rFonts w:ascii="Narkisim" w:hAnsi="Narkisim"/>
        </w:rPr>
      </w:pPr>
      <w:r w:rsidRPr="00440CAB">
        <w:rPr>
          <w:rFonts w:ascii="Narkisim" w:hAnsi="Narkisim"/>
          <w:u w:val="single"/>
          <w:rtl/>
        </w:rPr>
        <w:t>רש"י ד"ה דכהונה.</w:t>
      </w:r>
      <w:r w:rsidRPr="00440CAB">
        <w:rPr>
          <w:rFonts w:ascii="Narkisim" w:hAnsi="Narkisim"/>
          <w:rtl/>
        </w:rPr>
        <w:t xml:space="preserve"> לאו השווה בכל. אבל כהונה לא נחשב שווה בכל. [וע' </w:t>
      </w:r>
      <w:r w:rsidRPr="00440CAB">
        <w:rPr>
          <w:rFonts w:ascii="Narkisim" w:hAnsi="Narkisim"/>
          <w:b/>
          <w:bCs/>
          <w:rtl/>
        </w:rPr>
        <w:t>תוס</w:t>
      </w:r>
      <w:r w:rsidRPr="00440CAB">
        <w:rPr>
          <w:rFonts w:ascii="Narkisim" w:hAnsi="Narkisim"/>
          <w:rtl/>
        </w:rPr>
        <w:t>' (לעיל ה.) דהיכא דהיא מוזהרת נחשב שווה בכל]. וה</w:t>
      </w:r>
      <w:r w:rsidRPr="00440CAB">
        <w:rPr>
          <w:rFonts w:ascii="Narkisim" w:hAnsi="Narkisim"/>
          <w:b/>
          <w:bCs/>
          <w:rtl/>
        </w:rPr>
        <w:t xml:space="preserve">רש"ש </w:t>
      </w:r>
      <w:r w:rsidRPr="00440CAB">
        <w:rPr>
          <w:rFonts w:ascii="Narkisim" w:hAnsi="Narkisim"/>
          <w:rtl/>
        </w:rPr>
        <w:t>הקשה דאף שפחה הותרה לעבד עברי.</w:t>
      </w:r>
    </w:p>
    <w:p w14:paraId="38942257" w14:textId="77777777" w:rsidR="006074A5" w:rsidRPr="00440CAB" w:rsidRDefault="006074A5" w:rsidP="006074A5">
      <w:pPr>
        <w:pStyle w:val="3"/>
        <w:bidi/>
        <w:rPr>
          <w:rFonts w:ascii="Narkisim" w:hAnsi="Narkisim"/>
        </w:rPr>
      </w:pPr>
      <w:r w:rsidRPr="00440CAB">
        <w:rPr>
          <w:rFonts w:ascii="Narkisim" w:hAnsi="Narkisim"/>
          <w:rtl/>
        </w:rPr>
        <w:t>דף נה:</w:t>
      </w:r>
    </w:p>
    <w:p w14:paraId="25F64072" w14:textId="77777777" w:rsidR="006074A5" w:rsidRPr="00440CAB" w:rsidRDefault="006074A5" w:rsidP="006074A5">
      <w:pPr>
        <w:pStyle w:val="aa"/>
        <w:bidi/>
        <w:rPr>
          <w:rFonts w:ascii="Narkisim" w:hAnsi="Narkisim"/>
        </w:rPr>
      </w:pPr>
      <w:r w:rsidRPr="00440CAB">
        <w:rPr>
          <w:rFonts w:ascii="Narkisim" w:hAnsi="Narkisim"/>
          <w:u w:val="single"/>
          <w:rtl/>
        </w:rPr>
        <w:t>תוד"ה אי למ"ד עשה.</w:t>
      </w:r>
      <w:r w:rsidRPr="00440CAB">
        <w:rPr>
          <w:rFonts w:ascii="Narkisim" w:hAnsi="Narkisim"/>
          <w:rtl/>
        </w:rPr>
        <w:t xml:space="preserve"> ל"ג ליה וכו'. וכן </w:t>
      </w:r>
      <w:r w:rsidRPr="00440CAB">
        <w:rPr>
          <w:rFonts w:ascii="Narkisim" w:hAnsi="Narkisim"/>
          <w:b/>
          <w:bCs/>
          <w:rtl/>
        </w:rPr>
        <w:t>תוס</w:t>
      </w:r>
      <w:r w:rsidRPr="00440CAB">
        <w:rPr>
          <w:rFonts w:ascii="Narkisim" w:hAnsi="Narkisim"/>
          <w:rtl/>
        </w:rPr>
        <w:t xml:space="preserve">' (לעיל מט: ד"ה אי) האריכו דאף לדעת רב יבמה לשוק הוה לאו. אבל </w:t>
      </w:r>
      <w:r w:rsidRPr="00440CAB">
        <w:rPr>
          <w:rFonts w:ascii="Narkisim" w:hAnsi="Narkisim"/>
          <w:b/>
          <w:bCs/>
          <w:rtl/>
        </w:rPr>
        <w:t>רש"י</w:t>
      </w:r>
      <w:r w:rsidRPr="00440CAB">
        <w:rPr>
          <w:rFonts w:ascii="Narkisim" w:hAnsi="Narkisim"/>
          <w:rtl/>
        </w:rPr>
        <w:t xml:space="preserve"> (כאן) פי' דלרב דאין קידושין תופסים הוה לאו הבא מכלל עשה. [וע' לעיל מט: מש"כ בזה].</w:t>
      </w:r>
    </w:p>
    <w:p w14:paraId="73130AE9" w14:textId="77777777" w:rsidR="006074A5" w:rsidRPr="00440CAB" w:rsidRDefault="006074A5" w:rsidP="006074A5">
      <w:pPr>
        <w:pStyle w:val="2"/>
        <w:bidi/>
        <w:rPr>
          <w:rFonts w:ascii="Narkisim" w:hAnsi="Narkisim"/>
        </w:rPr>
      </w:pPr>
      <w:r w:rsidRPr="00440CAB">
        <w:rPr>
          <w:rFonts w:ascii="Narkisim" w:hAnsi="Narkisim"/>
          <w:rtl/>
        </w:rPr>
        <w:t>דעתו על גמר ביאה</w:t>
      </w:r>
    </w:p>
    <w:p w14:paraId="3C968102" w14:textId="77777777" w:rsidR="006074A5" w:rsidRPr="00440CAB" w:rsidRDefault="006074A5" w:rsidP="006074A5">
      <w:pPr>
        <w:bidi/>
        <w:rPr>
          <w:rFonts w:ascii="Narkisim" w:hAnsi="Narkisim" w:cs="Narkisim"/>
        </w:rPr>
      </w:pPr>
      <w:r w:rsidRPr="00440CAB">
        <w:rPr>
          <w:rFonts w:ascii="Narkisim" w:hAnsi="Narkisim" w:cs="Narkisim"/>
          <w:u w:val="single"/>
          <w:rtl/>
        </w:rPr>
        <w:t>תוד"ה אשה.</w:t>
      </w:r>
      <w:r w:rsidRPr="00440CAB">
        <w:rPr>
          <w:rFonts w:ascii="Narkisim" w:hAnsi="Narkisim" w:cs="Narkisim"/>
          <w:rtl/>
        </w:rPr>
        <w:t xml:space="preserve"> הקשה ה"ר נסים דבקידושין (י.) וכו' דעתו על גמר ביאה, ול"ק בהעראה וכו'</w:t>
      </w:r>
      <w:r w:rsidRPr="00440CAB">
        <w:rPr>
          <w:rStyle w:val="ac"/>
          <w:rFonts w:ascii="Narkisim" w:hAnsi="Narkisim" w:cs="Narkisim"/>
          <w:rtl/>
        </w:rPr>
        <w:footnoteReference w:id="3336"/>
      </w:r>
      <w:r w:rsidRPr="00440CAB">
        <w:rPr>
          <w:rFonts w:ascii="Narkisim" w:hAnsi="Narkisim" w:cs="Narkisim"/>
          <w:rtl/>
        </w:rPr>
        <w:t>. ו</w:t>
      </w:r>
      <w:r w:rsidRPr="00440CAB">
        <w:rPr>
          <w:rFonts w:ascii="Narkisim" w:hAnsi="Narkisim" w:cs="Narkisim"/>
          <w:b/>
          <w:bCs/>
          <w:rtl/>
        </w:rPr>
        <w:t>ריב"ם</w:t>
      </w:r>
      <w:r w:rsidRPr="00440CAB">
        <w:rPr>
          <w:rFonts w:ascii="Narkisim" w:hAnsi="Narkisim" w:cs="Narkisim"/>
          <w:rtl/>
        </w:rPr>
        <w:t xml:space="preserve"> (בסו"ד התוס') תי' דבסוגיין איירי שפירש דכוונתו לקנות בהעראה, ואילו התם איירי דלא פירש, ובסתמא דעתו על גמר ביאה. [וכוונת הגמ' משום אומדנא דלא נתכוון לקנין. אך מדברי </w:t>
      </w:r>
      <w:r w:rsidRPr="00440CAB">
        <w:rPr>
          <w:rFonts w:ascii="Narkisim" w:hAnsi="Narkisim" w:cs="Narkisim"/>
          <w:b/>
          <w:bCs/>
          <w:rtl/>
        </w:rPr>
        <w:t>רב נסים גאון</w:t>
      </w:r>
      <w:r w:rsidRPr="00440CAB">
        <w:rPr>
          <w:rFonts w:ascii="Narkisim" w:hAnsi="Narkisim" w:cs="Narkisim"/>
          <w:rtl/>
        </w:rPr>
        <w:t xml:space="preserve"> וה</w:t>
      </w:r>
      <w:r w:rsidRPr="00440CAB">
        <w:rPr>
          <w:rFonts w:ascii="Narkisim" w:hAnsi="Narkisim" w:cs="Narkisim"/>
          <w:b/>
          <w:bCs/>
          <w:rtl/>
        </w:rPr>
        <w:t>רי"ף</w:t>
      </w:r>
      <w:r w:rsidRPr="00440CAB">
        <w:rPr>
          <w:rFonts w:ascii="Narkisim" w:hAnsi="Narkisim" w:cs="Narkisim"/>
          <w:rtl/>
        </w:rPr>
        <w:t xml:space="preserve"> (הו' בסמוך) מבואר דסברת 'אין דעתו' הוה סברא בעצם מעשה הקנין].</w:t>
      </w:r>
    </w:p>
    <w:p w14:paraId="74E00702" w14:textId="77777777" w:rsidR="006074A5" w:rsidRPr="00440CAB" w:rsidRDefault="006074A5" w:rsidP="006074A5">
      <w:pPr>
        <w:bidi/>
        <w:rPr>
          <w:rFonts w:ascii="Narkisim" w:hAnsi="Narkisim" w:cs="Narkisim"/>
        </w:rPr>
      </w:pPr>
      <w:r w:rsidRPr="00440CAB">
        <w:rPr>
          <w:rFonts w:ascii="Narkisim" w:hAnsi="Narkisim" w:cs="Narkisim"/>
          <w:u w:val="single"/>
          <w:rtl/>
        </w:rPr>
        <w:lastRenderedPageBreak/>
        <w:t>בא"ד ותי' הר"ש</w:t>
      </w:r>
      <w:r w:rsidRPr="00440CAB">
        <w:rPr>
          <w:rStyle w:val="ac"/>
          <w:rFonts w:ascii="Narkisim" w:hAnsi="Narkisim" w:cs="Narkisim"/>
          <w:u w:val="single"/>
          <w:rtl/>
        </w:rPr>
        <w:footnoteReference w:id="3337"/>
      </w:r>
      <w:r w:rsidRPr="00440CAB">
        <w:rPr>
          <w:rFonts w:ascii="Narkisim" w:hAnsi="Narkisim" w:cs="Narkisim"/>
          <w:u w:val="single"/>
          <w:rtl/>
        </w:rPr>
        <w:t xml:space="preserve"> הזקן וכו' העראה ופירש מיד וכו' אבל התם איירי שעושה כל הביאה וכו' שדעתו אגמ"ב</w:t>
      </w:r>
      <w:r w:rsidRPr="00440CAB">
        <w:rPr>
          <w:rStyle w:val="ac"/>
          <w:rFonts w:ascii="Narkisim" w:hAnsi="Narkisim" w:cs="Narkisim"/>
          <w:u w:val="single"/>
          <w:rtl/>
        </w:rPr>
        <w:footnoteReference w:id="3338"/>
      </w:r>
      <w:r w:rsidRPr="00440CAB">
        <w:rPr>
          <w:rFonts w:ascii="Narkisim" w:hAnsi="Narkisim" w:cs="Narkisim"/>
          <w:rtl/>
        </w:rPr>
        <w:t>. ה</w:t>
      </w:r>
      <w:r w:rsidRPr="00440CAB">
        <w:rPr>
          <w:rFonts w:ascii="Narkisim" w:hAnsi="Narkisim" w:cs="Narkisim"/>
          <w:b/>
          <w:bCs/>
          <w:rtl/>
        </w:rPr>
        <w:t>משנ"ל</w:t>
      </w:r>
      <w:r w:rsidRPr="00440CAB">
        <w:rPr>
          <w:rFonts w:ascii="Narkisim" w:hAnsi="Narkisim" w:cs="Narkisim"/>
          <w:sz w:val="20"/>
          <w:szCs w:val="20"/>
          <w:rtl/>
        </w:rPr>
        <w:t xml:space="preserve"> (איסו"ב יז טו)</w:t>
      </w:r>
      <w:r w:rsidRPr="00440CAB">
        <w:rPr>
          <w:rFonts w:ascii="Narkisim" w:hAnsi="Narkisim" w:cs="Narkisim"/>
          <w:rtl/>
        </w:rPr>
        <w:t xml:space="preserve"> כת' דהר"ש והריב"ם שניהם ס"ל דהוה חסרון באומדנא, והכל תלי בדעתו. ומר אמר חדא ומר אמר חדא ולא פליגי</w:t>
      </w:r>
      <w:r w:rsidRPr="00440CAB">
        <w:rPr>
          <w:rStyle w:val="ac"/>
          <w:rFonts w:ascii="Narkisim" w:hAnsi="Narkisim" w:cs="Narkisim"/>
          <w:rtl/>
        </w:rPr>
        <w:footnoteReference w:id="3339"/>
      </w:r>
      <w:r w:rsidRPr="00440CAB">
        <w:rPr>
          <w:rFonts w:ascii="Narkisim" w:hAnsi="Narkisim" w:cs="Narkisim"/>
          <w:rtl/>
        </w:rPr>
        <w:t>. ועוד הביא המשנ"ל דה</w:t>
      </w:r>
      <w:r w:rsidRPr="00440CAB">
        <w:rPr>
          <w:rFonts w:ascii="Narkisim" w:hAnsi="Narkisim" w:cs="Narkisim"/>
          <w:b/>
          <w:bCs/>
          <w:rtl/>
        </w:rPr>
        <w:t>מהרי"ט</w:t>
      </w:r>
      <w:r w:rsidRPr="00440CAB">
        <w:rPr>
          <w:rFonts w:ascii="Narkisim" w:hAnsi="Narkisim" w:cs="Narkisim"/>
          <w:rtl/>
        </w:rPr>
        <w:t xml:space="preserve"> כתב דלדעת ר"ש הזקן לא מהני שיפרש להדיא, דכל שגמר ביאתו קונה רק בגמר ביאה. </w:t>
      </w:r>
      <w:r w:rsidRPr="00440CAB">
        <w:rPr>
          <w:rFonts w:ascii="Narkisim" w:hAnsi="Narkisim" w:cs="Narkisim"/>
          <w:sz w:val="20"/>
          <w:szCs w:val="20"/>
          <w:rtl/>
        </w:rPr>
        <w:t>וב</w:t>
      </w:r>
      <w:r w:rsidRPr="00440CAB">
        <w:rPr>
          <w:rFonts w:ascii="Narkisim" w:hAnsi="Narkisim" w:cs="Narkisim"/>
          <w:b/>
          <w:bCs/>
          <w:sz w:val="20"/>
          <w:szCs w:val="20"/>
          <w:rtl/>
        </w:rPr>
        <w:t>שיע' ר' שמואל</w:t>
      </w:r>
      <w:r w:rsidRPr="00440CAB">
        <w:rPr>
          <w:rFonts w:ascii="Narkisim" w:hAnsi="Narkisim" w:cs="Narkisim"/>
          <w:sz w:val="20"/>
          <w:szCs w:val="20"/>
          <w:rtl/>
        </w:rPr>
        <w:t xml:space="preserve"> (קידושין קלג) ביאר דאמרי' בטלה דעתו, והעראה אינו נחשב 'מעשה קנין'.</w:t>
      </w:r>
    </w:p>
    <w:p w14:paraId="5179DD66"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ריטב"א</w:t>
      </w:r>
      <w:r w:rsidRPr="00440CAB">
        <w:rPr>
          <w:rFonts w:ascii="Narkisim" w:hAnsi="Narkisim" w:cs="Narkisim"/>
          <w:rtl/>
        </w:rPr>
        <w:t xml:space="preserve"> (כאן ורמב"ן ריטב"א ור"ן קידושין י.) כתב דכ"ז באשה מעלמא, אבל ביבמתו</w:t>
      </w:r>
      <w:r w:rsidRPr="00440CAB">
        <w:rPr>
          <w:rStyle w:val="ac"/>
          <w:rFonts w:ascii="Narkisim" w:hAnsi="Narkisim" w:cs="Narkisim"/>
          <w:rtl/>
        </w:rPr>
        <w:footnoteReference w:id="3340"/>
      </w:r>
      <w:r w:rsidRPr="00440CAB">
        <w:rPr>
          <w:rFonts w:ascii="Narkisim" w:hAnsi="Narkisim" w:cs="Narkisim"/>
          <w:rtl/>
        </w:rPr>
        <w:t xml:space="preserve"> אין הדבר תלוי בדעתו. שהתורה ריבתה שוגג ומזיד, והעראה קונה לעולם.</w:t>
      </w:r>
    </w:p>
    <w:p w14:paraId="4B2F6DB1"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ראשונים</w:t>
      </w:r>
      <w:r w:rsidRPr="00440CAB">
        <w:rPr>
          <w:rFonts w:ascii="Narkisim" w:hAnsi="Narkisim"/>
          <w:rtl/>
        </w:rPr>
        <w:t xml:space="preserve"> הביאו ראיה מהא דאמרי' (לעיל כ. ולקמן סא.) בכהן גדול עשה דוחה ל"ת [לולי גזירה ביאה ראשונה אטו שניה], והרי דעתו על גמ"ב, ובשעת גמר ביאה הוה בעולה</w:t>
      </w:r>
      <w:r w:rsidRPr="00440CAB">
        <w:rPr>
          <w:rStyle w:val="ac"/>
          <w:rFonts w:ascii="Narkisim" w:hAnsi="Narkisim"/>
          <w:rtl/>
        </w:rPr>
        <w:footnoteReference w:id="3341"/>
      </w:r>
      <w:r w:rsidRPr="00440CAB">
        <w:rPr>
          <w:rFonts w:ascii="Narkisim" w:hAnsi="Narkisim"/>
          <w:rtl/>
        </w:rPr>
        <w:t>.</w:t>
      </w:r>
    </w:p>
    <w:p w14:paraId="758FFEC2"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דנו דנימא דאיירי שהתנה שרוצה לקנות בתחילת ביאה. וה</w:t>
      </w:r>
      <w:r w:rsidRPr="00440CAB">
        <w:rPr>
          <w:rFonts w:ascii="Narkisim" w:hAnsi="Narkisim"/>
          <w:b/>
          <w:bCs/>
          <w:rtl/>
        </w:rPr>
        <w:t>משנ"ל</w:t>
      </w:r>
      <w:r w:rsidRPr="00440CAB">
        <w:rPr>
          <w:rFonts w:ascii="Narkisim" w:hAnsi="Narkisim"/>
          <w:rtl/>
        </w:rPr>
        <w:t xml:space="preserve"> (שם) ביאר דראיית הראשונים א"כ נגזור אטו כשלא התנה</w:t>
      </w:r>
      <w:r w:rsidRPr="00440CAB">
        <w:rPr>
          <w:rStyle w:val="ac"/>
          <w:rFonts w:ascii="Narkisim" w:hAnsi="Narkisim"/>
          <w:rtl/>
        </w:rPr>
        <w:footnoteReference w:id="3342"/>
      </w:r>
      <w:r w:rsidRPr="00440CAB">
        <w:rPr>
          <w:rFonts w:ascii="Narkisim" w:hAnsi="Narkisim"/>
          <w:rtl/>
        </w:rPr>
        <w:t>.</w:t>
      </w:r>
    </w:p>
    <w:p w14:paraId="302D420D" w14:textId="77777777" w:rsidR="006074A5" w:rsidRPr="00440CAB" w:rsidRDefault="006074A5" w:rsidP="006074A5">
      <w:pPr>
        <w:bidi/>
        <w:rPr>
          <w:rFonts w:ascii="Narkisim" w:hAnsi="Narkisim" w:cs="Narkisim"/>
        </w:rPr>
      </w:pPr>
      <w:r w:rsidRPr="00440CAB">
        <w:rPr>
          <w:rFonts w:ascii="Narkisim" w:hAnsi="Narkisim" w:cs="Narkisim"/>
          <w:rtl/>
        </w:rPr>
        <w:t>אך ה</w:t>
      </w:r>
      <w:r w:rsidRPr="00440CAB">
        <w:rPr>
          <w:rFonts w:ascii="Narkisim" w:hAnsi="Narkisim" w:cs="Narkisim"/>
          <w:b/>
          <w:bCs/>
          <w:rtl/>
        </w:rPr>
        <w:t>ריטב"א</w:t>
      </w:r>
      <w:r w:rsidRPr="00440CAB">
        <w:rPr>
          <w:rFonts w:ascii="Narkisim" w:hAnsi="Narkisim" w:cs="Narkisim"/>
          <w:rtl/>
        </w:rPr>
        <w:t xml:space="preserve"> (קידושין עז:) נקט אף לענין פסול זונה לכהן, דהיכא דגמר ביאתו דעתו על גמר ביאה. דאי' (קידושין שם) דכהן הבא על אחותו עשאה זונה, חזר ובא עליה עשאה חללה. וה</w:t>
      </w:r>
      <w:r w:rsidRPr="00440CAB">
        <w:rPr>
          <w:rFonts w:ascii="Narkisim" w:hAnsi="Narkisim" w:cs="Narkisim"/>
          <w:b/>
          <w:bCs/>
          <w:rtl/>
        </w:rPr>
        <w:t>ריטב"א</w:t>
      </w:r>
      <w:r w:rsidRPr="00440CAB">
        <w:rPr>
          <w:rFonts w:ascii="Narkisim" w:hAnsi="Narkisim" w:cs="Narkisim"/>
          <w:rtl/>
        </w:rPr>
        <w:t xml:space="preserve"> הק' דנימא דבהעראה נעשית זונה ובגמר ביאה הוה חללה</w:t>
      </w:r>
      <w:r w:rsidRPr="00440CAB">
        <w:rPr>
          <w:rStyle w:val="ac"/>
          <w:rFonts w:ascii="Narkisim" w:hAnsi="Narkisim" w:cs="Narkisim"/>
          <w:rtl/>
        </w:rPr>
        <w:footnoteReference w:id="3343"/>
      </w:r>
      <w:r w:rsidRPr="00440CAB">
        <w:rPr>
          <w:rFonts w:ascii="Narkisim" w:hAnsi="Narkisim" w:cs="Narkisim"/>
          <w:rtl/>
        </w:rPr>
        <w:t>. והריטב"א ביאר דכי אמרי' העראה כגמר ביאה כשפירש ולא גמר ביאתו. אבל כשגמר ביאתו דעתו על גמ"ב. [וציין כמ"ש בפ"ק, הנ"ל]. וצ"ב דפסול זונה וחללה הוה ממילא, ואמאי תלי בדעתו.</w:t>
      </w:r>
    </w:p>
    <w:p w14:paraId="534BC403" w14:textId="77777777" w:rsidR="006074A5" w:rsidRPr="00440CAB" w:rsidRDefault="006074A5" w:rsidP="006074A5">
      <w:pPr>
        <w:pStyle w:val="a7"/>
        <w:bidi/>
        <w:rPr>
          <w:rFonts w:ascii="Narkisim" w:hAnsi="Narkisim"/>
          <w:b/>
          <w:bCs/>
        </w:rPr>
      </w:pPr>
      <w:r w:rsidRPr="00440CAB">
        <w:rPr>
          <w:rFonts w:ascii="Narkisim" w:hAnsi="Narkisim"/>
          <w:rtl/>
        </w:rPr>
        <w:t>ו</w:t>
      </w:r>
      <w:r w:rsidRPr="00440CAB">
        <w:rPr>
          <w:rFonts w:ascii="Narkisim" w:hAnsi="Narkisim"/>
          <w:b/>
          <w:bCs/>
          <w:rtl/>
        </w:rPr>
        <w:t>רע"א</w:t>
      </w:r>
      <w:r w:rsidRPr="00440CAB">
        <w:rPr>
          <w:rFonts w:ascii="Narkisim" w:hAnsi="Narkisim"/>
          <w:rtl/>
        </w:rPr>
        <w:t xml:space="preserve"> (שו"ת ק' רכב יד) ביאר סברת הריטב"א דהעראה הוה ביאה גרועה ול"מ לקנות אא"כ אחשביה למעשה</w:t>
      </w:r>
      <w:r w:rsidRPr="00440CAB">
        <w:rPr>
          <w:rStyle w:val="ac"/>
          <w:rFonts w:ascii="Narkisim" w:hAnsi="Narkisim"/>
          <w:rtl/>
        </w:rPr>
        <w:footnoteReference w:id="3344"/>
      </w:r>
      <w:r w:rsidRPr="00440CAB">
        <w:rPr>
          <w:rFonts w:ascii="Narkisim" w:hAnsi="Narkisim"/>
          <w:rtl/>
        </w:rPr>
        <w:t xml:space="preserve">. ומש"ה אף בעריות אינו אוסר אלא היכא דהערה ופירש. </w:t>
      </w:r>
      <w:r w:rsidRPr="00440CAB">
        <w:rPr>
          <w:rFonts w:ascii="Narkisim" w:hAnsi="Narkisim"/>
          <w:szCs w:val="20"/>
          <w:rtl/>
        </w:rPr>
        <w:t>ומ"מ רע"א תמה דהריטב"א סותר משנתו למש"כ דביבמה קנה בהעראה, אף דאין דעתו אלא על גמ"ב.</w:t>
      </w:r>
      <w:r w:rsidRPr="00440CAB">
        <w:rPr>
          <w:rFonts w:ascii="Narkisim" w:hAnsi="Narkisim"/>
          <w:sz w:val="20"/>
          <w:szCs w:val="20"/>
          <w:rtl/>
        </w:rPr>
        <w:t xml:space="preserve"> וה</w:t>
      </w:r>
      <w:r w:rsidRPr="00440CAB">
        <w:rPr>
          <w:rFonts w:ascii="Narkisim" w:hAnsi="Narkisim"/>
          <w:b/>
          <w:bCs/>
          <w:sz w:val="20"/>
          <w:szCs w:val="20"/>
          <w:rtl/>
        </w:rPr>
        <w:t xml:space="preserve">דברי יחזקאל </w:t>
      </w:r>
      <w:r w:rsidRPr="00440CAB">
        <w:rPr>
          <w:rFonts w:ascii="Narkisim" w:hAnsi="Narkisim"/>
          <w:sz w:val="20"/>
          <w:szCs w:val="20"/>
          <w:rtl/>
        </w:rPr>
        <w:t>(מא) תי' דכוונת הריטב"א דאחרי הגמ"ב נחשב ביאה למפרע, ולענין כה"ג ביבמתו קנאה עי"ז למפרע. אבל 'שם זונה' חל אח"כ, דתליא במציאות הזנות ולא חל למפרע.</w:t>
      </w:r>
    </w:p>
    <w:p w14:paraId="1CAB9862"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שיטמ"ק</w:t>
      </w:r>
      <w:r w:rsidRPr="00440CAB">
        <w:rPr>
          <w:rFonts w:ascii="Narkisim" w:hAnsi="Narkisim"/>
          <w:rtl/>
        </w:rPr>
        <w:t xml:space="preserve"> </w:t>
      </w:r>
      <w:r w:rsidRPr="00440CAB">
        <w:rPr>
          <w:rFonts w:ascii="Narkisim" w:hAnsi="Narkisim"/>
          <w:szCs w:val="20"/>
          <w:rtl/>
        </w:rPr>
        <w:t>(כתובות ל. בשם הרשב"א ושיטה ישנה)</w:t>
      </w:r>
      <w:r w:rsidRPr="00440CAB">
        <w:rPr>
          <w:rFonts w:ascii="Narkisim" w:hAnsi="Narkisim"/>
          <w:rtl/>
        </w:rPr>
        <w:t xml:space="preserve"> תי' [את הגמ' בקידושין] דלא נעשית חללה בגמ"ב, דחד ביאה לא פלגינן שתאסר בב' איסורין.</w:t>
      </w:r>
    </w:p>
    <w:p w14:paraId="7E01B3A6"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קוב"ש</w:t>
      </w:r>
      <w:r w:rsidRPr="00440CAB">
        <w:rPr>
          <w:rFonts w:ascii="Narkisim" w:hAnsi="Narkisim"/>
          <w:rtl/>
        </w:rPr>
        <w:t xml:space="preserve"> (ח"ב י ו) ביאר דהגדר העראה דנחשב שהגיע מקצת הביאה [כאילו הגיע הביאה השלימה</w:t>
      </w:r>
      <w:r w:rsidRPr="00440CAB">
        <w:rPr>
          <w:rStyle w:val="ac"/>
          <w:rFonts w:ascii="Narkisim" w:hAnsi="Narkisim"/>
          <w:rtl/>
        </w:rPr>
        <w:footnoteReference w:id="3345"/>
      </w:r>
      <w:r w:rsidRPr="00440CAB">
        <w:rPr>
          <w:rFonts w:ascii="Narkisim" w:hAnsi="Narkisim"/>
          <w:rtl/>
        </w:rPr>
        <w:t>]. אבל היכא דגמר ביאתו נחשב הכל מעשה א' לאסור. ולא נחשב סיבה בפנ"ע לאסור</w:t>
      </w:r>
      <w:r w:rsidRPr="00440CAB">
        <w:rPr>
          <w:rStyle w:val="ac"/>
          <w:rFonts w:ascii="Narkisim" w:hAnsi="Narkisim"/>
          <w:rtl/>
        </w:rPr>
        <w:footnoteReference w:id="3346"/>
      </w:r>
      <w:r w:rsidRPr="00440CAB">
        <w:rPr>
          <w:rFonts w:ascii="Narkisim" w:hAnsi="Narkisim"/>
          <w:rtl/>
        </w:rPr>
        <w:t>. וה</w:t>
      </w:r>
      <w:r w:rsidRPr="00440CAB">
        <w:rPr>
          <w:rFonts w:ascii="Narkisim" w:hAnsi="Narkisim"/>
          <w:b/>
          <w:bCs/>
          <w:rtl/>
        </w:rPr>
        <w:t>חזו"א</w:t>
      </w:r>
      <w:r w:rsidRPr="00440CAB">
        <w:rPr>
          <w:rFonts w:ascii="Narkisim" w:hAnsi="Narkisim"/>
          <w:rtl/>
        </w:rPr>
        <w:t xml:space="preserve"> (יד ט) תי' דיש </w:t>
      </w:r>
      <w:r w:rsidRPr="00440CAB">
        <w:rPr>
          <w:rFonts w:ascii="Narkisim" w:hAnsi="Narkisim"/>
          <w:rtl/>
        </w:rPr>
        <w:lastRenderedPageBreak/>
        <w:t>סברא</w:t>
      </w:r>
      <w:r w:rsidRPr="00440CAB">
        <w:rPr>
          <w:rStyle w:val="ac"/>
          <w:rFonts w:ascii="Narkisim" w:hAnsi="Narkisim"/>
          <w:rtl/>
        </w:rPr>
        <w:footnoteReference w:id="3347"/>
      </w:r>
      <w:r w:rsidRPr="00440CAB">
        <w:rPr>
          <w:rFonts w:ascii="Narkisim" w:hAnsi="Narkisim"/>
          <w:rtl/>
        </w:rPr>
        <w:t xml:space="preserve"> דאינו מצווה אלא על דבר שנאסר קודם המעשה. והכא כיון שנעשית זונה במעשה זו, באותו מעשה אינו מצווה עליו</w:t>
      </w:r>
      <w:r w:rsidRPr="00440CAB">
        <w:rPr>
          <w:rStyle w:val="ac"/>
          <w:rFonts w:ascii="Narkisim" w:hAnsi="Narkisim"/>
          <w:rtl/>
        </w:rPr>
        <w:footnoteReference w:id="3348"/>
      </w:r>
      <w:r w:rsidRPr="00440CAB">
        <w:rPr>
          <w:rFonts w:ascii="Narkisim" w:hAnsi="Narkisim"/>
          <w:rtl/>
        </w:rPr>
        <w:t>.</w:t>
      </w:r>
    </w:p>
    <w:p w14:paraId="2255F585"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(קידושין י.) הביאו ד</w:t>
      </w:r>
      <w:r w:rsidRPr="00440CAB">
        <w:rPr>
          <w:rFonts w:ascii="Narkisim" w:hAnsi="Narkisim" w:cs="Narkisim"/>
          <w:b/>
          <w:bCs/>
          <w:rtl/>
        </w:rPr>
        <w:t>רבינו נסים גאון</w:t>
      </w:r>
      <w:r w:rsidRPr="00440CAB">
        <w:rPr>
          <w:rFonts w:ascii="Narkisim" w:hAnsi="Narkisim" w:cs="Narkisim"/>
          <w:rtl/>
        </w:rPr>
        <w:t xml:space="preserve"> תי' דבסוגיין איירי בביאה שאחר קידושין, וע"י העראה חשיבא כנשואה. וכמו חופה לאחר קידושין. אבל בקידושי ביאה דעתו אגמר ביאה. וכ"כ ה</w:t>
      </w:r>
      <w:r w:rsidRPr="00440CAB">
        <w:rPr>
          <w:rFonts w:ascii="Narkisim" w:hAnsi="Narkisim" w:cs="Narkisim"/>
          <w:b/>
          <w:bCs/>
          <w:rtl/>
        </w:rPr>
        <w:t>רי"ף</w:t>
      </w:r>
      <w:r w:rsidRPr="00440CAB">
        <w:rPr>
          <w:rFonts w:ascii="Narkisim" w:hAnsi="Narkisim" w:cs="Narkisim"/>
          <w:rtl/>
        </w:rPr>
        <w:t xml:space="preserve"> </w:t>
      </w:r>
      <w:r w:rsidRPr="00440CAB">
        <w:rPr>
          <w:rFonts w:ascii="Narkisim" w:hAnsi="Narkisim" w:cs="Narkisim"/>
          <w:sz w:val="20"/>
          <w:szCs w:val="20"/>
          <w:rtl/>
        </w:rPr>
        <w:t>(כאן</w:t>
      </w:r>
      <w:r w:rsidRPr="00440CAB">
        <w:rPr>
          <w:rStyle w:val="ac"/>
          <w:rFonts w:ascii="Narkisim" w:hAnsi="Narkisim" w:cs="Narkisim"/>
          <w:sz w:val="20"/>
          <w:szCs w:val="20"/>
          <w:rtl/>
        </w:rPr>
        <w:footnoteReference w:id="3349"/>
      </w:r>
      <w:r w:rsidRPr="00440CAB">
        <w:rPr>
          <w:rFonts w:ascii="Narkisim" w:hAnsi="Narkisim" w:cs="Narkisim"/>
          <w:sz w:val="20"/>
          <w:szCs w:val="20"/>
          <w:rtl/>
        </w:rPr>
        <w:t>)</w:t>
      </w:r>
      <w:r w:rsidRPr="00440CAB">
        <w:rPr>
          <w:rFonts w:ascii="Narkisim" w:hAnsi="Narkisim" w:cs="Narkisim"/>
          <w:rtl/>
        </w:rPr>
        <w:t xml:space="preserve"> כת' דהתם קאי בביאת קידושין. דכיון דאין לה בה קנין לא סגי בהעראה, דאין דעתו אלא על גמר ביאה. </w:t>
      </w:r>
      <w:r w:rsidRPr="00440CAB">
        <w:rPr>
          <w:rFonts w:ascii="Narkisim" w:hAnsi="Narkisim" w:cs="Narkisim"/>
          <w:sz w:val="20"/>
          <w:szCs w:val="20"/>
          <w:rtl/>
        </w:rPr>
        <w:t>[והעראה אינו קונה כלל בקידושין, ולא תלי בדעתו</w:t>
      </w:r>
      <w:r w:rsidRPr="00440CAB">
        <w:rPr>
          <w:rStyle w:val="ac"/>
          <w:rFonts w:ascii="Narkisim" w:hAnsi="Narkisim" w:cs="Narkisim"/>
          <w:sz w:val="20"/>
          <w:szCs w:val="20"/>
          <w:rtl/>
        </w:rPr>
        <w:footnoteReference w:id="3350"/>
      </w:r>
      <w:r w:rsidRPr="00440CAB">
        <w:rPr>
          <w:rFonts w:ascii="Narkisim" w:hAnsi="Narkisim" w:cs="Narkisim"/>
          <w:sz w:val="20"/>
          <w:szCs w:val="20"/>
          <w:rtl/>
        </w:rPr>
        <w:t>].</w:t>
      </w:r>
      <w:r w:rsidRPr="00440CAB">
        <w:rPr>
          <w:rFonts w:ascii="Narkisim" w:hAnsi="Narkisim" w:cs="Narkisim"/>
          <w:rtl/>
        </w:rPr>
        <w:t xml:space="preserve"> אבל סוגיין בביאה דבתר אירוסין, דקנאה לנישואין אף בלא חופה </w:t>
      </w:r>
      <w:r w:rsidRPr="00440CAB">
        <w:rPr>
          <w:rFonts w:ascii="Narkisim" w:hAnsi="Narkisim" w:cs="Narkisim"/>
          <w:sz w:val="20"/>
          <w:szCs w:val="20"/>
          <w:rtl/>
        </w:rPr>
        <w:t>[וביאה עושה נישואין</w:t>
      </w:r>
      <w:r w:rsidRPr="00440CAB">
        <w:rPr>
          <w:rStyle w:val="ac"/>
          <w:rFonts w:ascii="Narkisim" w:hAnsi="Narkisim" w:cs="Narkisim"/>
          <w:sz w:val="20"/>
          <w:szCs w:val="20"/>
          <w:rtl/>
        </w:rPr>
        <w:footnoteReference w:id="3351"/>
      </w:r>
      <w:r w:rsidRPr="00440CAB">
        <w:rPr>
          <w:rFonts w:ascii="Narkisim" w:hAnsi="Narkisim" w:cs="Narkisim"/>
          <w:sz w:val="20"/>
          <w:szCs w:val="20"/>
          <w:rtl/>
        </w:rPr>
        <w:t>]</w:t>
      </w:r>
      <w:r w:rsidRPr="00440CAB">
        <w:rPr>
          <w:rFonts w:ascii="Narkisim" w:hAnsi="Narkisim" w:cs="Narkisim"/>
          <w:rtl/>
        </w:rPr>
        <w:t xml:space="preserve">. וקונה בהעראה דהא יש לו בה קנין קודם, דומיה דיבמה דיש לו בה זיקה מעיקרא. </w:t>
      </w:r>
      <w:r w:rsidRPr="00440CAB">
        <w:rPr>
          <w:rFonts w:ascii="Narkisim" w:hAnsi="Narkisim" w:cs="Narkisim"/>
          <w:sz w:val="20"/>
          <w:szCs w:val="20"/>
          <w:rtl/>
        </w:rPr>
        <w:t>ו</w:t>
      </w:r>
      <w:r w:rsidRPr="00440CAB">
        <w:rPr>
          <w:rFonts w:ascii="Narkisim" w:hAnsi="Narkisim" w:cs="Narkisim"/>
          <w:b/>
          <w:bCs/>
          <w:sz w:val="20"/>
          <w:szCs w:val="20"/>
          <w:rtl/>
        </w:rPr>
        <w:t>תוס</w:t>
      </w:r>
      <w:r w:rsidRPr="00440CAB">
        <w:rPr>
          <w:rFonts w:ascii="Narkisim" w:hAnsi="Narkisim" w:cs="Narkisim"/>
          <w:sz w:val="20"/>
          <w:szCs w:val="20"/>
          <w:rtl/>
        </w:rPr>
        <w:t>' (שם) הקשו ד'קיחה קיחה' כתיב בקידושין, ולא מיירי בחופה כלל.</w:t>
      </w:r>
    </w:p>
    <w:p w14:paraId="56B8BFDD" w14:textId="77777777" w:rsidR="006074A5" w:rsidRPr="00440CAB" w:rsidRDefault="006074A5" w:rsidP="006074A5">
      <w:pPr>
        <w:pStyle w:val="a8"/>
        <w:bidi/>
        <w:rPr>
          <w:rFonts w:ascii="Narkisim" w:hAnsi="Narkisim"/>
        </w:rPr>
      </w:pPr>
      <w:r w:rsidRPr="00440CAB">
        <w:rPr>
          <w:rFonts w:ascii="Narkisim" w:hAnsi="Narkisim"/>
          <w:rtl/>
        </w:rPr>
        <w:t xml:space="preserve">ולדעת </w:t>
      </w:r>
      <w:r w:rsidRPr="00440CAB">
        <w:rPr>
          <w:rFonts w:ascii="Narkisim" w:hAnsi="Narkisim"/>
          <w:b/>
          <w:bCs/>
          <w:rtl/>
        </w:rPr>
        <w:t>רבינו נסים</w:t>
      </w:r>
      <w:r w:rsidRPr="00440CAB">
        <w:rPr>
          <w:rFonts w:ascii="Narkisim" w:hAnsi="Narkisim"/>
          <w:rtl/>
        </w:rPr>
        <w:t xml:space="preserve"> וה</w:t>
      </w:r>
      <w:r w:rsidRPr="00440CAB">
        <w:rPr>
          <w:rFonts w:ascii="Narkisim" w:hAnsi="Narkisim"/>
          <w:b/>
          <w:bCs/>
          <w:rtl/>
        </w:rPr>
        <w:t>רי"ף</w:t>
      </w:r>
      <w:r w:rsidRPr="00440CAB">
        <w:rPr>
          <w:rFonts w:ascii="Narkisim" w:hAnsi="Narkisim"/>
          <w:rtl/>
        </w:rPr>
        <w:t xml:space="preserve"> מבואר דלא איתרבי העראה כלל לקידושין, וכוונת הגמ' דעתו על גמ"ב הוה סברא בעצם חשיבות הביאה. וה</w:t>
      </w:r>
      <w:r w:rsidRPr="00440CAB">
        <w:rPr>
          <w:rFonts w:ascii="Narkisim" w:hAnsi="Narkisim"/>
          <w:b/>
          <w:bCs/>
          <w:rtl/>
        </w:rPr>
        <w:t xml:space="preserve">אחרונים </w:t>
      </w:r>
      <w:r w:rsidRPr="00440CAB">
        <w:rPr>
          <w:rFonts w:ascii="Narkisim" w:hAnsi="Narkisim"/>
          <w:rtl/>
        </w:rPr>
        <w:t>האריכו לדון עפ"ז בדרשא ריש קידושין. ועוד דנו ה</w:t>
      </w:r>
      <w:r w:rsidRPr="00440CAB">
        <w:rPr>
          <w:rFonts w:ascii="Narkisim" w:hAnsi="Narkisim"/>
          <w:b/>
          <w:bCs/>
          <w:rtl/>
        </w:rPr>
        <w:t>אחרונים</w:t>
      </w:r>
      <w:r w:rsidRPr="00440CAB">
        <w:rPr>
          <w:rFonts w:ascii="Narkisim" w:hAnsi="Narkisim"/>
          <w:rtl/>
        </w:rPr>
        <w:t xml:space="preserve"> אי מהני קידושין ביאה שלא כדרכה</w:t>
      </w:r>
      <w:r w:rsidRPr="00440CAB">
        <w:rPr>
          <w:rStyle w:val="ac"/>
          <w:rFonts w:ascii="Narkisim" w:hAnsi="Narkisim"/>
          <w:rtl/>
        </w:rPr>
        <w:footnoteReference w:id="3352"/>
      </w:r>
      <w:r w:rsidRPr="00440CAB">
        <w:rPr>
          <w:rFonts w:ascii="Narkisim" w:hAnsi="Narkisim"/>
          <w:rtl/>
        </w:rPr>
        <w:t xml:space="preserve"> [לרי"ף דלא ילפי' מעריות].</w:t>
      </w:r>
    </w:p>
    <w:p w14:paraId="08A5653E" w14:textId="77777777" w:rsidR="006074A5" w:rsidRPr="00440CAB" w:rsidRDefault="006074A5" w:rsidP="006074A5">
      <w:pPr>
        <w:bidi/>
        <w:rPr>
          <w:rFonts w:ascii="Narkisim" w:hAnsi="Narkisim" w:cs="Narkisim"/>
        </w:rPr>
      </w:pPr>
      <w:r w:rsidRPr="00440CAB">
        <w:rPr>
          <w:rFonts w:ascii="Narkisim" w:hAnsi="Narkisim" w:cs="Narkisim"/>
          <w:u w:val="single"/>
          <w:rtl/>
        </w:rPr>
        <w:t>בא"ד ור"ת פי' באופ"א וכו'</w:t>
      </w:r>
      <w:r w:rsidRPr="00440CAB">
        <w:rPr>
          <w:rFonts w:ascii="Narkisim" w:hAnsi="Narkisim" w:cs="Narkisim"/>
          <w:rtl/>
        </w:rPr>
        <w:t xml:space="preserve">. דעת </w:t>
      </w:r>
      <w:r w:rsidRPr="00440CAB">
        <w:rPr>
          <w:rFonts w:ascii="Narkisim" w:hAnsi="Narkisim" w:cs="Narkisim"/>
          <w:b/>
          <w:bCs/>
          <w:rtl/>
        </w:rPr>
        <w:t>ר"ת</w:t>
      </w:r>
      <w:r w:rsidRPr="00440CAB">
        <w:rPr>
          <w:rFonts w:ascii="Narkisim" w:hAnsi="Narkisim" w:cs="Narkisim"/>
          <w:rtl/>
        </w:rPr>
        <w:t xml:space="preserve"> </w:t>
      </w:r>
      <w:r w:rsidRPr="00440CAB">
        <w:rPr>
          <w:rFonts w:ascii="Narkisim" w:hAnsi="Narkisim" w:cs="Narkisim"/>
          <w:sz w:val="20"/>
          <w:szCs w:val="20"/>
          <w:rtl/>
        </w:rPr>
        <w:t>(הו' בתו"י, ותוס' קידושין י. ובשא"ר)</w:t>
      </w:r>
      <w:r w:rsidRPr="00440CAB">
        <w:rPr>
          <w:rFonts w:ascii="Narkisim" w:hAnsi="Narkisim" w:cs="Narkisim"/>
          <w:rtl/>
        </w:rPr>
        <w:t xml:space="preserve"> דספק הגמ' (בקידושין) האם קונה בתחילת העראה או בסוף ההעראה [ולעולם לא בעינן גמר ביאה, וכדמבואר בסוגיין]. למ"ד העראה זו הכנסת עטרה דשייך בו תחילה וסוף </w:t>
      </w:r>
      <w:r w:rsidRPr="00440CAB">
        <w:rPr>
          <w:rFonts w:ascii="Narkisim" w:hAnsi="Narkisim" w:cs="Narkisim"/>
          <w:sz w:val="20"/>
          <w:szCs w:val="20"/>
          <w:rtl/>
        </w:rPr>
        <w:t>[ולמסקנא קנה בסוף העראה</w:t>
      </w:r>
      <w:r w:rsidRPr="00440CAB">
        <w:rPr>
          <w:rStyle w:val="ac"/>
          <w:rFonts w:ascii="Narkisim" w:hAnsi="Narkisim" w:cs="Narkisim"/>
          <w:sz w:val="20"/>
          <w:szCs w:val="20"/>
          <w:rtl/>
        </w:rPr>
        <w:footnoteReference w:id="3353"/>
      </w:r>
      <w:r w:rsidRPr="00440CAB">
        <w:rPr>
          <w:rFonts w:ascii="Narkisim" w:hAnsi="Narkisim" w:cs="Narkisim"/>
          <w:sz w:val="20"/>
          <w:szCs w:val="20"/>
          <w:rtl/>
        </w:rPr>
        <w:t>].</w:t>
      </w:r>
      <w:r w:rsidRPr="00440CAB">
        <w:rPr>
          <w:rFonts w:ascii="Narkisim" w:hAnsi="Narkisim" w:cs="Narkisim"/>
          <w:rtl/>
        </w:rPr>
        <w:t xml:space="preserve"> וה</w:t>
      </w:r>
      <w:r w:rsidRPr="00440CAB">
        <w:rPr>
          <w:rFonts w:ascii="Narkisim" w:hAnsi="Narkisim" w:cs="Narkisim"/>
          <w:b/>
          <w:bCs/>
          <w:rtl/>
        </w:rPr>
        <w:t>משנ"ל</w:t>
      </w:r>
      <w:r w:rsidRPr="00440CAB">
        <w:rPr>
          <w:rFonts w:ascii="Narkisim" w:hAnsi="Narkisim" w:cs="Narkisim"/>
          <w:rtl/>
        </w:rPr>
        <w:t xml:space="preserve"> (שם) נקט [כפשוטו] דכוונת ר"ת דהגמ' בקידושין מסתפקת בגדר העראה, האם סגי להכניס מקצת עטרה, או בעי כל העטרה</w:t>
      </w:r>
      <w:r w:rsidRPr="00440CAB">
        <w:rPr>
          <w:rStyle w:val="ac"/>
          <w:rFonts w:ascii="Narkisim" w:hAnsi="Narkisim" w:cs="Narkisim"/>
          <w:rtl/>
        </w:rPr>
        <w:footnoteReference w:id="3354"/>
      </w:r>
      <w:r w:rsidRPr="00440CAB">
        <w:rPr>
          <w:rFonts w:ascii="Narkisim" w:hAnsi="Narkisim" w:cs="Narkisim"/>
          <w:rtl/>
        </w:rPr>
        <w:t xml:space="preserve"> </w:t>
      </w:r>
      <w:r w:rsidRPr="00440CAB">
        <w:rPr>
          <w:rFonts w:ascii="Narkisim" w:hAnsi="Narkisim" w:cs="Narkisim"/>
          <w:sz w:val="20"/>
          <w:szCs w:val="20"/>
          <w:rtl/>
        </w:rPr>
        <w:t>[ונח' בזה הפוסקים ע' אה"ע כ]</w:t>
      </w:r>
      <w:r w:rsidRPr="00440CAB">
        <w:rPr>
          <w:rFonts w:ascii="Narkisim" w:hAnsi="Narkisim" w:cs="Narkisim"/>
          <w:rtl/>
        </w:rPr>
        <w:t>. והמשנ"ל הקשה דבגמ' משמע דהוה ספק לענין קידושין. ואילו עפ"ז הוה ספק בגדר העראה בכל איסורי ביאה. (</w:t>
      </w:r>
      <w:r w:rsidRPr="00440CAB">
        <w:rPr>
          <w:rFonts w:ascii="Narkisim" w:hAnsi="Narkisim" w:cs="Narkisim"/>
          <w:sz w:val="20"/>
          <w:szCs w:val="20"/>
          <w:rtl/>
        </w:rPr>
        <w:t>וכ"כ הנוב"י ת' כג)</w:t>
      </w:r>
      <w:r w:rsidRPr="00440CAB">
        <w:rPr>
          <w:rFonts w:ascii="Narkisim" w:hAnsi="Narkisim" w:cs="Narkisim"/>
          <w:rtl/>
        </w:rPr>
        <w:t>.</w:t>
      </w:r>
    </w:p>
    <w:p w14:paraId="4C29BAD6"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הביאו ד</w:t>
      </w:r>
      <w:r w:rsidRPr="00440CAB">
        <w:rPr>
          <w:rFonts w:ascii="Narkisim" w:hAnsi="Narkisim"/>
          <w:b/>
          <w:bCs/>
          <w:rtl/>
        </w:rPr>
        <w:t>ר"ת</w:t>
      </w:r>
      <w:r w:rsidRPr="00440CAB">
        <w:rPr>
          <w:rFonts w:ascii="Narkisim" w:hAnsi="Narkisim"/>
          <w:rtl/>
        </w:rPr>
        <w:t xml:space="preserve"> (בספר הישר ובאו"ז) כת' דהוה ספק על שעת הקנין. ובעינן סוף הכנסת עטרה, ומבעי לגמ' האם אינו קונה אלא לבסוף [כשגמר להכניס], או במקום דנגמרה ההעראה אמרי' שמתחיל הקנין מתחילתו [דומיא דישנה לשחיטה מתחילה ועד סוף].</w:t>
      </w:r>
    </w:p>
    <w:p w14:paraId="77F1903C"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דברי יחזקאל</w:t>
      </w:r>
      <w:r w:rsidRPr="00440CAB">
        <w:rPr>
          <w:rFonts w:ascii="Narkisim" w:hAnsi="Narkisim"/>
          <w:rtl/>
        </w:rPr>
        <w:t xml:space="preserve"> (מא) האריך עד"ז, וביאר דדעת ר"ת דרק אחרי שגמר ביאתו, נחשב ההעראה כחלק מהביאה [וע"י סוף המעשה מהני למפרע]</w:t>
      </w:r>
      <w:r w:rsidRPr="00440CAB">
        <w:rPr>
          <w:rStyle w:val="ac"/>
          <w:rFonts w:ascii="Narkisim" w:hAnsi="Narkisim"/>
          <w:rtl/>
        </w:rPr>
        <w:footnoteReference w:id="3355"/>
      </w:r>
      <w:r w:rsidRPr="00440CAB">
        <w:rPr>
          <w:rFonts w:ascii="Narkisim" w:hAnsi="Narkisim"/>
          <w:rtl/>
        </w:rPr>
        <w:t>.</w:t>
      </w:r>
    </w:p>
    <w:p w14:paraId="09374E9A" w14:textId="77777777" w:rsidR="006074A5" w:rsidRPr="00440CAB" w:rsidRDefault="006074A5" w:rsidP="006074A5">
      <w:pPr>
        <w:pStyle w:val="aa"/>
        <w:bidi/>
        <w:rPr>
          <w:rFonts w:ascii="Narkisim" w:hAnsi="Narkisim"/>
        </w:rPr>
      </w:pPr>
      <w:r w:rsidRPr="00440CAB">
        <w:rPr>
          <w:rFonts w:ascii="Narkisim" w:hAnsi="Narkisim"/>
          <w:u w:val="single"/>
          <w:rtl/>
        </w:rPr>
        <w:t>פרט למשמש מת, הניחא למ"ד משמש מת בעריות פטור וכו'</w:t>
      </w:r>
      <w:r w:rsidRPr="00440CAB">
        <w:rPr>
          <w:rFonts w:ascii="Narkisim" w:hAnsi="Narkisim"/>
          <w:rtl/>
        </w:rPr>
        <w:t xml:space="preserve">. </w:t>
      </w:r>
      <w:r w:rsidRPr="00440CAB">
        <w:rPr>
          <w:rFonts w:ascii="Narkisim" w:hAnsi="Narkisim"/>
          <w:b/>
          <w:bCs/>
          <w:rtl/>
        </w:rPr>
        <w:t>רש"י</w:t>
      </w:r>
      <w:r w:rsidRPr="00440CAB">
        <w:rPr>
          <w:rFonts w:ascii="Narkisim" w:hAnsi="Narkisim"/>
          <w:rtl/>
        </w:rPr>
        <w:t xml:space="preserve"> ציין לגמ' (שבועות יח.) דנח' בזה אביי ורבא</w:t>
      </w:r>
      <w:r w:rsidRPr="00440CAB">
        <w:rPr>
          <w:rStyle w:val="ac"/>
          <w:rFonts w:ascii="Narkisim" w:hAnsi="Narkisim"/>
          <w:rtl/>
        </w:rPr>
        <w:footnoteReference w:id="3356"/>
      </w:r>
      <w:r w:rsidRPr="00440CAB">
        <w:rPr>
          <w:rFonts w:ascii="Narkisim" w:hAnsi="Narkisim"/>
          <w:rtl/>
        </w:rPr>
        <w:t>. ו</w:t>
      </w:r>
      <w:r w:rsidRPr="00440CAB">
        <w:rPr>
          <w:rFonts w:ascii="Narkisim" w:hAnsi="Narkisim"/>
          <w:b/>
          <w:bCs/>
          <w:rtl/>
        </w:rPr>
        <w:t>תוס'</w:t>
      </w:r>
      <w:r w:rsidRPr="00440CAB">
        <w:rPr>
          <w:rFonts w:ascii="Narkisim" w:hAnsi="Narkisim"/>
          <w:rtl/>
        </w:rPr>
        <w:t xml:space="preserve"> (שבועות יח. ד"ה דאי) תמהו דהתם משמע דממעטינן משמש מת מקרא דהתם</w:t>
      </w:r>
      <w:r w:rsidRPr="00440CAB">
        <w:rPr>
          <w:rStyle w:val="ac"/>
          <w:rFonts w:ascii="Narkisim" w:hAnsi="Narkisim"/>
          <w:rtl/>
        </w:rPr>
        <w:footnoteReference w:id="3357"/>
      </w:r>
      <w:r w:rsidRPr="00440CAB">
        <w:rPr>
          <w:rFonts w:ascii="Narkisim" w:hAnsi="Narkisim"/>
          <w:rtl/>
        </w:rPr>
        <w:t>, ואילו בסוגיין דרשינן מקרא דשכבת זרע</w:t>
      </w:r>
      <w:r w:rsidRPr="00440CAB">
        <w:rPr>
          <w:rStyle w:val="ac"/>
          <w:rFonts w:ascii="Narkisim" w:hAnsi="Narkisim"/>
          <w:rtl/>
        </w:rPr>
        <w:footnoteReference w:id="3358"/>
      </w:r>
      <w:r w:rsidRPr="00440CAB">
        <w:rPr>
          <w:rFonts w:ascii="Narkisim" w:hAnsi="Narkisim"/>
          <w:rtl/>
        </w:rPr>
        <w:t>.</w:t>
      </w:r>
    </w:p>
    <w:p w14:paraId="29CF26B7" w14:textId="77777777" w:rsidR="006074A5" w:rsidRPr="00440CAB" w:rsidRDefault="006074A5" w:rsidP="006074A5">
      <w:pPr>
        <w:pStyle w:val="a7"/>
        <w:bidi/>
        <w:rPr>
          <w:rFonts w:ascii="Narkisim" w:hAnsi="Narkisim"/>
        </w:rPr>
      </w:pPr>
      <w:r w:rsidRPr="00440CAB">
        <w:rPr>
          <w:rFonts w:ascii="Narkisim" w:hAnsi="Narkisim"/>
          <w:rtl/>
        </w:rPr>
        <w:lastRenderedPageBreak/>
        <w:t>וה</w:t>
      </w:r>
      <w:r w:rsidRPr="00440CAB">
        <w:rPr>
          <w:rFonts w:ascii="Narkisim" w:hAnsi="Narkisim"/>
          <w:b/>
          <w:bCs/>
          <w:rtl/>
        </w:rPr>
        <w:t>רמב"ם</w:t>
      </w:r>
      <w:r w:rsidRPr="00440CAB">
        <w:rPr>
          <w:rFonts w:ascii="Narkisim" w:hAnsi="Narkisim"/>
          <w:rtl/>
        </w:rPr>
        <w:t xml:space="preserve"> (איסו"ב א יא) פסק דהמשמש מת אינו חייב כרת או מלקות, שאין זו ביאה. אבל פוסל לתרומה, ומכין מכת מרדות [דלא גרע מקרבה לעריות]. </w:t>
      </w:r>
      <w:r w:rsidRPr="00440CAB">
        <w:rPr>
          <w:rFonts w:ascii="Narkisim" w:hAnsi="Narkisim"/>
          <w:sz w:val="20"/>
          <w:szCs w:val="20"/>
          <w:rtl/>
        </w:rPr>
        <w:t>וה</w:t>
      </w:r>
      <w:r w:rsidRPr="00440CAB">
        <w:rPr>
          <w:rFonts w:ascii="Narkisim" w:hAnsi="Narkisim"/>
          <w:b/>
          <w:bCs/>
          <w:sz w:val="20"/>
          <w:szCs w:val="20"/>
          <w:rtl/>
        </w:rPr>
        <w:t>אבי עזרי</w:t>
      </w:r>
      <w:r w:rsidRPr="00440CAB">
        <w:rPr>
          <w:rFonts w:ascii="Narkisim" w:hAnsi="Narkisim"/>
          <w:sz w:val="20"/>
          <w:szCs w:val="20"/>
          <w:rtl/>
        </w:rPr>
        <w:t xml:space="preserve"> (שם) דייק לשון הרמב"ם דאינו ביאה כלל, ומ"מ נחשב 'זנות'.</w:t>
      </w:r>
    </w:p>
    <w:p w14:paraId="0B0CF9E0" w14:textId="77777777" w:rsidR="006074A5" w:rsidRPr="00440CAB" w:rsidRDefault="006074A5" w:rsidP="006074A5">
      <w:pPr>
        <w:bidi/>
        <w:rPr>
          <w:rFonts w:ascii="Narkisim" w:hAnsi="Narkisim" w:cs="Narkisim"/>
        </w:rPr>
      </w:pPr>
      <w:r w:rsidRPr="00440CAB">
        <w:rPr>
          <w:rFonts w:ascii="Narkisim" w:hAnsi="Narkisim" w:cs="Narkisim"/>
          <w:u w:val="single"/>
          <w:rtl/>
        </w:rPr>
        <w:t>תוד"ה לאחר.</w:t>
      </w:r>
      <w:r w:rsidRPr="00440CAB">
        <w:rPr>
          <w:rFonts w:ascii="Narkisim" w:hAnsi="Narkisim" w:cs="Narkisim"/>
          <w:rtl/>
        </w:rPr>
        <w:t xml:space="preserve"> והא דפשיט"ל דאין הבעל יורש את אשתו כשהוא בקבר וכו' מהך דרשא דהכא וכו' דלאחר מיתה לא מקרי שארו. דלמסקנא ילפי' [מ'שכבת זרע'] דכשמת הבעל פקע האישות. </w:t>
      </w:r>
      <w:r w:rsidRPr="00440CAB">
        <w:rPr>
          <w:rFonts w:ascii="Narkisim" w:hAnsi="Narkisim" w:cs="Narkisim"/>
          <w:sz w:val="20"/>
          <w:szCs w:val="20"/>
          <w:rtl/>
        </w:rPr>
        <w:t>[דתוס' דייקו את הלשון סד"א לאחר מיתה איקרי שארו, דלמסקנא לא איקרי שאר].</w:t>
      </w:r>
      <w:r w:rsidRPr="00440CAB">
        <w:rPr>
          <w:rFonts w:ascii="Narkisim" w:hAnsi="Narkisim" w:cs="Narkisim"/>
          <w:rtl/>
        </w:rPr>
        <w:t xml:space="preserve"> וה</w:t>
      </w:r>
      <w:r w:rsidRPr="00440CAB">
        <w:rPr>
          <w:rFonts w:ascii="Narkisim" w:hAnsi="Narkisim" w:cs="Narkisim"/>
          <w:b/>
          <w:bCs/>
          <w:rtl/>
        </w:rPr>
        <w:t>תוס' הרא"ש</w:t>
      </w:r>
      <w:r w:rsidRPr="00440CAB">
        <w:rPr>
          <w:rFonts w:ascii="Narkisim" w:hAnsi="Narkisim" w:cs="Narkisim"/>
          <w:rtl/>
        </w:rPr>
        <w:t xml:space="preserve"> ביאר דדוקא גבי טומאה כתיב 'כי אם לשארו'</w:t>
      </w:r>
      <w:r w:rsidRPr="00440CAB">
        <w:rPr>
          <w:rStyle w:val="ac"/>
          <w:rFonts w:ascii="Narkisim" w:hAnsi="Narkisim" w:cs="Narkisim"/>
          <w:rtl/>
        </w:rPr>
        <w:footnoteReference w:id="3359"/>
      </w:r>
      <w:r w:rsidRPr="00440CAB">
        <w:rPr>
          <w:rFonts w:ascii="Narkisim" w:hAnsi="Narkisim" w:cs="Narkisim"/>
          <w:rtl/>
        </w:rPr>
        <w:t>, וה"ק קרא למי שהיתה שארו בחייו.</w:t>
      </w:r>
    </w:p>
    <w:p w14:paraId="0BDAAD1E" w14:textId="77777777" w:rsidR="006074A5" w:rsidRPr="00440CAB" w:rsidRDefault="006074A5" w:rsidP="006074A5">
      <w:pPr>
        <w:pStyle w:val="a7"/>
        <w:bidi/>
        <w:rPr>
          <w:rFonts w:ascii="Narkisim" w:hAnsi="Narkisim"/>
        </w:rPr>
      </w:pPr>
      <w:r w:rsidRPr="00440CAB">
        <w:rPr>
          <w:rFonts w:ascii="Narkisim" w:hAnsi="Narkisim"/>
          <w:rtl/>
        </w:rPr>
        <w:t xml:space="preserve">אבל </w:t>
      </w:r>
      <w:r w:rsidRPr="00440CAB">
        <w:rPr>
          <w:rFonts w:ascii="Narkisim" w:hAnsi="Narkisim"/>
          <w:b/>
          <w:bCs/>
          <w:rtl/>
        </w:rPr>
        <w:t>תוס</w:t>
      </w:r>
      <w:r w:rsidRPr="00440CAB">
        <w:rPr>
          <w:rFonts w:ascii="Narkisim" w:hAnsi="Narkisim"/>
          <w:rtl/>
        </w:rPr>
        <w:t xml:space="preserve">' </w:t>
      </w:r>
      <w:r w:rsidRPr="00440CAB">
        <w:rPr>
          <w:rFonts w:ascii="Narkisim" w:hAnsi="Narkisim"/>
          <w:szCs w:val="20"/>
          <w:rtl/>
        </w:rPr>
        <w:t>(ב"ב קיד: ד"ה מה)</w:t>
      </w:r>
      <w:r w:rsidRPr="00440CAB">
        <w:rPr>
          <w:rFonts w:ascii="Narkisim" w:hAnsi="Narkisim"/>
          <w:rtl/>
        </w:rPr>
        <w:t xml:space="preserve"> הביאו מסוגיין דלאחר מיתה איקרי שאר</w:t>
      </w:r>
      <w:r w:rsidRPr="00440CAB">
        <w:rPr>
          <w:rStyle w:val="ac"/>
          <w:rFonts w:ascii="Narkisim" w:hAnsi="Narkisim"/>
          <w:rtl/>
        </w:rPr>
        <w:footnoteReference w:id="3360"/>
      </w:r>
      <w:r w:rsidRPr="00440CAB">
        <w:rPr>
          <w:rFonts w:ascii="Narkisim" w:hAnsi="Narkisim"/>
          <w:rtl/>
        </w:rPr>
        <w:t xml:space="preserve"> [אף למסקנא]. וביארו דהא דאינו יורש מטעם אחר דל"ש משמוש [כיון דאינו מחמת קורבא]. ולפ"ז נתמעט בסוגיין דכיון שמתה לא נחשב מעשה 'ביאה'.</w:t>
      </w:r>
    </w:p>
    <w:p w14:paraId="5F3007DA"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קובה"ע</w:t>
      </w:r>
      <w:r w:rsidRPr="00440CAB">
        <w:rPr>
          <w:rFonts w:ascii="Narkisim" w:hAnsi="Narkisim"/>
          <w:rtl/>
        </w:rPr>
        <w:t xml:space="preserve"> (מו, ועוד אחרונים</w:t>
      </w:r>
      <w:r w:rsidRPr="00440CAB">
        <w:rPr>
          <w:rStyle w:val="ac"/>
          <w:rFonts w:ascii="Narkisim" w:hAnsi="Narkisim"/>
          <w:rtl/>
        </w:rPr>
        <w:footnoteReference w:id="3361"/>
      </w:r>
      <w:r w:rsidRPr="00440CAB">
        <w:rPr>
          <w:rFonts w:ascii="Narkisim" w:hAnsi="Narkisim"/>
          <w:rtl/>
        </w:rPr>
        <w:t>) הביא דנח' התוס' האם פקע 'שארות' ע"י מיתה</w:t>
      </w:r>
      <w:r w:rsidRPr="00440CAB">
        <w:rPr>
          <w:rStyle w:val="ac"/>
          <w:rFonts w:ascii="Narkisim" w:hAnsi="Narkisim"/>
          <w:rtl/>
        </w:rPr>
        <w:footnoteReference w:id="3362"/>
      </w:r>
      <w:r w:rsidRPr="00440CAB">
        <w:rPr>
          <w:rFonts w:ascii="Narkisim" w:hAnsi="Narkisim"/>
          <w:rtl/>
        </w:rPr>
        <w:t>.</w:t>
      </w:r>
    </w:p>
    <w:p w14:paraId="50AA19A0" w14:textId="77777777" w:rsidR="006074A5" w:rsidRPr="00440CAB" w:rsidRDefault="006074A5" w:rsidP="006074A5">
      <w:pPr>
        <w:pStyle w:val="a7"/>
        <w:bidi/>
        <w:rPr>
          <w:rFonts w:ascii="Narkisim" w:hAnsi="Narkisim"/>
        </w:rPr>
      </w:pPr>
      <w:r w:rsidRPr="00440CAB">
        <w:rPr>
          <w:rFonts w:ascii="Narkisim" w:hAnsi="Narkisim"/>
          <w:rtl/>
        </w:rPr>
        <w:t>ובפשוטו נפק"מ בשאר עריות, דלתוס' ב"ב נתמעט דלא הוה ביאת עריות</w:t>
      </w:r>
      <w:r w:rsidRPr="00440CAB">
        <w:rPr>
          <w:rStyle w:val="ac"/>
          <w:rFonts w:ascii="Narkisim" w:hAnsi="Narkisim"/>
          <w:rtl/>
        </w:rPr>
        <w:footnoteReference w:id="3363"/>
      </w:r>
      <w:r w:rsidRPr="00440CAB">
        <w:rPr>
          <w:rFonts w:ascii="Narkisim" w:hAnsi="Narkisim"/>
          <w:rtl/>
        </w:rPr>
        <w:t>. ואילו לתוס' דידן מבואר דנחשב ביאה בערוה. וה</w:t>
      </w:r>
      <w:r w:rsidRPr="00440CAB">
        <w:rPr>
          <w:rFonts w:ascii="Narkisim" w:hAnsi="Narkisim"/>
          <w:b/>
          <w:bCs/>
          <w:rtl/>
        </w:rPr>
        <w:t>רש"ש</w:t>
      </w:r>
      <w:r w:rsidRPr="00440CAB">
        <w:rPr>
          <w:rFonts w:ascii="Narkisim" w:hAnsi="Narkisim"/>
          <w:rtl/>
        </w:rPr>
        <w:t xml:space="preserve"> הביא מהגמ' (סנהדרין עח.) דאי' [גבי רובע זכר] דהמשמש מת פטור</w:t>
      </w:r>
      <w:r w:rsidRPr="00440CAB">
        <w:rPr>
          <w:rStyle w:val="ac"/>
          <w:rFonts w:ascii="Narkisim" w:hAnsi="Narkisim"/>
          <w:rtl/>
        </w:rPr>
        <w:footnoteReference w:id="3364"/>
      </w:r>
      <w:r w:rsidRPr="00440CAB">
        <w:rPr>
          <w:rFonts w:ascii="Narkisim" w:hAnsi="Narkisim"/>
          <w:rtl/>
        </w:rPr>
        <w:t>, ומבואר דפטור אף בשאר עריות</w:t>
      </w:r>
      <w:r w:rsidRPr="00440CAB">
        <w:rPr>
          <w:rStyle w:val="ac"/>
          <w:rFonts w:ascii="Narkisim" w:hAnsi="Narkisim"/>
          <w:rtl/>
        </w:rPr>
        <w:footnoteReference w:id="3365"/>
      </w:r>
      <w:r w:rsidRPr="00440CAB">
        <w:rPr>
          <w:rFonts w:ascii="Narkisim" w:hAnsi="Narkisim"/>
          <w:rtl/>
        </w:rPr>
        <w:t xml:space="preserve"> [וכתוס' ב"ב]. וצ"ע לתוס' דידן. </w:t>
      </w:r>
      <w:r w:rsidRPr="00440CAB">
        <w:rPr>
          <w:rFonts w:ascii="Narkisim" w:hAnsi="Narkisim"/>
          <w:sz w:val="20"/>
          <w:szCs w:val="20"/>
          <w:rtl/>
        </w:rPr>
        <w:t>וה</w:t>
      </w:r>
      <w:r w:rsidRPr="00440CAB">
        <w:rPr>
          <w:rFonts w:ascii="Narkisim" w:hAnsi="Narkisim"/>
          <w:b/>
          <w:bCs/>
          <w:sz w:val="20"/>
          <w:szCs w:val="20"/>
          <w:rtl/>
        </w:rPr>
        <w:t>קובה"ע</w:t>
      </w:r>
      <w:r w:rsidRPr="00440CAB">
        <w:rPr>
          <w:rFonts w:ascii="Narkisim" w:hAnsi="Narkisim"/>
          <w:sz w:val="20"/>
          <w:szCs w:val="20"/>
          <w:rtl/>
        </w:rPr>
        <w:t xml:space="preserve"> כתב דילפי' מדרשא ד'גם שניהם' [כגמ' סנהדרין, ע' תוס' בסמוך].</w:t>
      </w:r>
    </w:p>
    <w:p w14:paraId="28A5EA64" w14:textId="77777777" w:rsidR="006074A5" w:rsidRPr="00440CAB" w:rsidRDefault="006074A5" w:rsidP="006074A5">
      <w:pPr>
        <w:pStyle w:val="aa"/>
        <w:bidi/>
        <w:rPr>
          <w:rFonts w:ascii="Narkisim" w:hAnsi="Narkisim"/>
        </w:rPr>
      </w:pPr>
      <w:r w:rsidRPr="00440CAB">
        <w:rPr>
          <w:rFonts w:ascii="Narkisim" w:hAnsi="Narkisim"/>
          <w:u w:val="single"/>
          <w:rtl/>
        </w:rPr>
        <w:t>בא"ד וא"ת דבפ' ד' מיתות ממעט מקרא אחרינא וכו' גם שניהם פרט למעשה הורדוס וכו' המ"ל דנפק"ל מקרא דהכא וכו'.</w:t>
      </w:r>
      <w:r w:rsidRPr="00440CAB">
        <w:rPr>
          <w:rFonts w:ascii="Narkisim" w:hAnsi="Narkisim"/>
          <w:rtl/>
        </w:rPr>
        <w:t xml:space="preserve"> וצ"ב דלדעת תוס' דידן נתמעט בסוגיין דוקא אשת איש, דכיון דמתה פקע 'שאר'. ואילו התם הוה מיעוט בעצם הביאה. [וצ"ל דכוונת התוס' להקשות דכיון דאינה שארו, אמאי איצטריך מיעוט דאינו מעשה ביאה, וצריך תלמוד].</w:t>
      </w:r>
    </w:p>
    <w:p w14:paraId="001DBAF3" w14:textId="77777777" w:rsidR="006074A5" w:rsidRPr="00440CAB" w:rsidRDefault="006074A5" w:rsidP="006074A5">
      <w:pPr>
        <w:pStyle w:val="aa"/>
        <w:bidi/>
        <w:rPr>
          <w:rFonts w:ascii="Narkisim" w:hAnsi="Narkisim"/>
        </w:rPr>
      </w:pPr>
      <w:r w:rsidRPr="00440CAB">
        <w:rPr>
          <w:rFonts w:ascii="Narkisim" w:hAnsi="Narkisim"/>
          <w:u w:val="single"/>
          <w:rtl/>
        </w:rPr>
        <w:t>רש"י ד"ה כדאמרן.</w:t>
      </w:r>
      <w:r w:rsidRPr="00440CAB">
        <w:rPr>
          <w:rFonts w:ascii="Narkisim" w:hAnsi="Narkisim"/>
          <w:rtl/>
        </w:rPr>
        <w:t xml:space="preserve"> כ"ה דמחייב מלקות בהעראה, ליחייב נמי אשם בהעראה. בפשוטו מבואר דבשפחה חרופה חייב מלקות על העראה, דנתמעט רק מחיוב אשם [וכיון דאין אשם לוקה]. ע' ערול"נ. אבל </w:t>
      </w:r>
      <w:r w:rsidRPr="00440CAB">
        <w:rPr>
          <w:rFonts w:ascii="Narkisim" w:hAnsi="Narkisim"/>
          <w:b/>
          <w:bCs/>
          <w:rtl/>
        </w:rPr>
        <w:t>רש"י</w:t>
      </w:r>
      <w:r w:rsidRPr="00440CAB">
        <w:rPr>
          <w:rFonts w:ascii="Narkisim" w:hAnsi="Narkisim"/>
          <w:rtl/>
        </w:rPr>
        <w:t xml:space="preserve"> (לעיל בע"א ד"ה שפחה) מבואר דהעראה בשפחה חרופה ליכא חיוב מלקות. וה</w:t>
      </w:r>
      <w:r w:rsidRPr="00440CAB">
        <w:rPr>
          <w:rFonts w:ascii="Narkisim" w:hAnsi="Narkisim"/>
          <w:b/>
          <w:bCs/>
          <w:rtl/>
        </w:rPr>
        <w:t>פור"י</w:t>
      </w:r>
      <w:r w:rsidRPr="00440CAB">
        <w:rPr>
          <w:rFonts w:ascii="Narkisim" w:hAnsi="Narkisim"/>
          <w:rtl/>
        </w:rPr>
        <w:t xml:space="preserve"> נדחק דכוונת רש"י (כאן) כ"ה דמתחייב מלקות בשאר חייבי לאוין.</w:t>
      </w:r>
    </w:p>
    <w:p w14:paraId="0F99ADBC" w14:textId="77777777" w:rsidR="006074A5" w:rsidRPr="00440CAB" w:rsidRDefault="006074A5" w:rsidP="006074A5">
      <w:pPr>
        <w:pStyle w:val="2"/>
        <w:bidi/>
        <w:rPr>
          <w:rFonts w:ascii="Narkisim" w:hAnsi="Narkisim"/>
        </w:rPr>
      </w:pPr>
      <w:r w:rsidRPr="00440CAB">
        <w:rPr>
          <w:rFonts w:ascii="Narkisim" w:hAnsi="Narkisim"/>
          <w:rtl/>
        </w:rPr>
        <w:t>קינוי – בקפידא דבעל</w:t>
      </w:r>
    </w:p>
    <w:p w14:paraId="15AAB448" w14:textId="77777777" w:rsidR="006074A5" w:rsidRPr="00440CAB" w:rsidRDefault="006074A5" w:rsidP="006074A5">
      <w:pPr>
        <w:pStyle w:val="aa"/>
        <w:bidi/>
        <w:rPr>
          <w:rFonts w:ascii="Narkisim" w:hAnsi="Narkisim"/>
        </w:rPr>
      </w:pPr>
      <w:r w:rsidRPr="00440CAB">
        <w:rPr>
          <w:rFonts w:ascii="Narkisim" w:hAnsi="Narkisim"/>
          <w:u w:val="single"/>
          <w:rtl/>
        </w:rPr>
        <w:t>אמר רב ששת פרט לשקינא לה שלא כדרכה.</w:t>
      </w:r>
      <w:r w:rsidRPr="00440CAB">
        <w:rPr>
          <w:rFonts w:ascii="Narkisim" w:hAnsi="Narkisim"/>
          <w:rtl/>
        </w:rPr>
        <w:t xml:space="preserve"> לכאורה דעת רב ששת דאף דיש דבגדרי איסורי ביאה חייב שלא כדרכה, אפ"ה נתמעט מגדרי סוטה</w:t>
      </w:r>
      <w:r w:rsidRPr="00440CAB">
        <w:rPr>
          <w:rStyle w:val="ac"/>
          <w:rFonts w:ascii="Narkisim" w:hAnsi="Narkisim"/>
          <w:rtl/>
        </w:rPr>
        <w:footnoteReference w:id="3366"/>
      </w:r>
      <w:r w:rsidRPr="00440CAB">
        <w:rPr>
          <w:rFonts w:ascii="Narkisim" w:hAnsi="Narkisim"/>
          <w:rtl/>
        </w:rPr>
        <w:t>.</w:t>
      </w:r>
    </w:p>
    <w:p w14:paraId="50D2EBBA" w14:textId="77777777" w:rsidR="006074A5" w:rsidRPr="00440CAB" w:rsidRDefault="006074A5" w:rsidP="006074A5">
      <w:pPr>
        <w:bidi/>
        <w:rPr>
          <w:rFonts w:ascii="Narkisim" w:hAnsi="Narkisim" w:cs="Narkisim"/>
        </w:rPr>
      </w:pPr>
      <w:r w:rsidRPr="00440CAB">
        <w:rPr>
          <w:rFonts w:ascii="Narkisim" w:hAnsi="Narkisim" w:cs="Narkisim"/>
          <w:u w:val="single"/>
          <w:rtl/>
        </w:rPr>
        <w:t>אלא אמר אביי פרט לשקינא לה בנשיקה, הניחא למ"ד וכו</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דלמ"ד הכנסת עטרה נשיקה לאו העראה הוא, ולא מיתסרא לבעלה, ולאו קינוי הוא. ו</w:t>
      </w:r>
      <w:r w:rsidRPr="00440CAB">
        <w:rPr>
          <w:rFonts w:ascii="Narkisim" w:hAnsi="Narkisim" w:cs="Narkisim"/>
          <w:b/>
          <w:bCs/>
          <w:rtl/>
        </w:rPr>
        <w:t>תוס'</w:t>
      </w:r>
      <w:r w:rsidRPr="00440CAB">
        <w:rPr>
          <w:rFonts w:ascii="Narkisim" w:hAnsi="Narkisim" w:cs="Narkisim"/>
          <w:rtl/>
        </w:rPr>
        <w:t xml:space="preserve"> (סוטה כו: ד"ה אלא) </w:t>
      </w:r>
      <w:r w:rsidRPr="00440CAB">
        <w:rPr>
          <w:rFonts w:ascii="Narkisim" w:hAnsi="Narkisim" w:cs="Narkisim"/>
          <w:rtl/>
        </w:rPr>
        <w:lastRenderedPageBreak/>
        <w:t>הק' דאיפכא מסתברא, דלמ"ד דבשאר עריות חשיבא ביאה היינו דאיצטריך קרא למעוטי</w:t>
      </w:r>
      <w:r w:rsidRPr="00440CAB">
        <w:rPr>
          <w:rStyle w:val="ac"/>
          <w:rFonts w:ascii="Narkisim" w:hAnsi="Narkisim" w:cs="Narkisim"/>
          <w:rtl/>
        </w:rPr>
        <w:footnoteReference w:id="3367"/>
      </w:r>
      <w:r w:rsidRPr="00440CAB">
        <w:rPr>
          <w:rFonts w:ascii="Narkisim" w:hAnsi="Narkisim" w:cs="Narkisim"/>
          <w:rtl/>
        </w:rPr>
        <w:t>. אבל אי נשיקה לא חשיב בשאר עריות אמאי איצטריך קרא. [דאביי הק' דפריצותא אסר רחמנא</w:t>
      </w:r>
      <w:r w:rsidRPr="00440CAB">
        <w:rPr>
          <w:rStyle w:val="ac"/>
          <w:rFonts w:ascii="Narkisim" w:hAnsi="Narkisim" w:cs="Narkisim"/>
          <w:rtl/>
        </w:rPr>
        <w:footnoteReference w:id="3368"/>
      </w:r>
      <w:r w:rsidRPr="00440CAB">
        <w:rPr>
          <w:rFonts w:ascii="Narkisim" w:hAnsi="Narkisim" w:cs="Narkisim"/>
          <w:rtl/>
        </w:rPr>
        <w:t xml:space="preserve">]. אבל </w:t>
      </w:r>
      <w:r w:rsidRPr="00440CAB">
        <w:rPr>
          <w:rFonts w:ascii="Narkisim" w:hAnsi="Narkisim" w:cs="Narkisim"/>
          <w:b/>
          <w:bCs/>
          <w:rtl/>
        </w:rPr>
        <w:t>רש"י</w:t>
      </w:r>
      <w:r w:rsidRPr="00440CAB">
        <w:rPr>
          <w:rFonts w:ascii="Narkisim" w:hAnsi="Narkisim" w:cs="Narkisim"/>
          <w:rtl/>
        </w:rPr>
        <w:t xml:space="preserve"> (סוטה כו: ד"ה היינו) כתב דילפי' מהך קרא דנשיקה לאו העראה היא [וילפי' מהכא לכל התורה].</w:t>
      </w:r>
    </w:p>
    <w:p w14:paraId="46AA2C19" w14:textId="77777777" w:rsidR="006074A5" w:rsidRPr="00440CAB" w:rsidRDefault="006074A5" w:rsidP="006074A5">
      <w:pPr>
        <w:bidi/>
        <w:rPr>
          <w:rFonts w:ascii="Narkisim" w:hAnsi="Narkisim" w:cs="Narkisim"/>
        </w:rPr>
      </w:pPr>
      <w:r w:rsidRPr="00440CAB">
        <w:rPr>
          <w:rFonts w:ascii="Narkisim" w:hAnsi="Narkisim" w:cs="Narkisim"/>
          <w:u w:val="single"/>
          <w:rtl/>
        </w:rPr>
        <w:t>סד"א בקפידא דבעל תליא רחמנא והא קא קפיד, קמ"ל.</w:t>
      </w:r>
      <w:r w:rsidRPr="00440CAB">
        <w:rPr>
          <w:rFonts w:ascii="Narkisim" w:hAnsi="Narkisim" w:cs="Narkisim"/>
          <w:rtl/>
        </w:rPr>
        <w:t xml:space="preserve"> ה</w:t>
      </w:r>
      <w:r w:rsidRPr="00440CAB">
        <w:rPr>
          <w:rFonts w:ascii="Narkisim" w:hAnsi="Narkisim" w:cs="Narkisim"/>
          <w:b/>
          <w:bCs/>
          <w:rtl/>
        </w:rPr>
        <w:t>משנ"ל</w:t>
      </w:r>
      <w:r w:rsidRPr="00440CAB">
        <w:rPr>
          <w:rFonts w:ascii="Narkisim" w:hAnsi="Narkisim" w:cs="Narkisim"/>
          <w:rtl/>
        </w:rPr>
        <w:t xml:space="preserve"> (סוטה א ג) הביא מכאן דשייך קינוי וסתירה אף בדבר שאינה נאסרת ע"י לבעל</w:t>
      </w:r>
      <w:r w:rsidRPr="00440CAB">
        <w:rPr>
          <w:rStyle w:val="ac"/>
          <w:rFonts w:ascii="Narkisim" w:hAnsi="Narkisim" w:cs="Narkisim"/>
          <w:rtl/>
        </w:rPr>
        <w:footnoteReference w:id="3369"/>
      </w:r>
      <w:r w:rsidRPr="00440CAB">
        <w:rPr>
          <w:rFonts w:ascii="Narkisim" w:hAnsi="Narkisim" w:cs="Narkisim"/>
          <w:rtl/>
        </w:rPr>
        <w:t xml:space="preserve">, ואיצטריך קרא לרבות. </w:t>
      </w:r>
      <w:r w:rsidRPr="00440CAB">
        <w:rPr>
          <w:rFonts w:ascii="Narkisim" w:hAnsi="Narkisim" w:cs="Narkisim"/>
          <w:szCs w:val="20"/>
          <w:rtl/>
        </w:rPr>
        <w:t>והביא כעי"ז כת' רש"י (סוטה כג:) דמקנין לשומרת יבם ועי"ז תפסיד כתובתה</w:t>
      </w:r>
      <w:r w:rsidRPr="00440CAB">
        <w:rPr>
          <w:rStyle w:val="ac"/>
          <w:rFonts w:ascii="Narkisim" w:hAnsi="Narkisim" w:cs="Narkisim"/>
          <w:szCs w:val="20"/>
          <w:rtl/>
        </w:rPr>
        <w:footnoteReference w:id="3370"/>
      </w:r>
      <w:r w:rsidRPr="00440CAB">
        <w:rPr>
          <w:rFonts w:ascii="Narkisim" w:hAnsi="Narkisim" w:cs="Narkisim"/>
          <w:szCs w:val="20"/>
          <w:rtl/>
        </w:rPr>
        <w:t>, ואף למ"ד דאינה נאסרת ליבם בזנות</w:t>
      </w:r>
      <w:r w:rsidRPr="00440CAB">
        <w:rPr>
          <w:rStyle w:val="ac"/>
          <w:rFonts w:ascii="Narkisim" w:hAnsi="Narkisim" w:cs="Narkisim"/>
          <w:rtl/>
        </w:rPr>
        <w:footnoteReference w:id="3371"/>
      </w:r>
      <w:r w:rsidRPr="00440CAB">
        <w:rPr>
          <w:rFonts w:ascii="Narkisim" w:hAnsi="Narkisim" w:cs="Narkisim"/>
          <w:rtl/>
        </w:rPr>
        <w:t>. וה</w:t>
      </w:r>
      <w:r w:rsidRPr="00440CAB">
        <w:rPr>
          <w:rFonts w:ascii="Narkisim" w:hAnsi="Narkisim" w:cs="Narkisim"/>
          <w:b/>
          <w:bCs/>
          <w:rtl/>
        </w:rPr>
        <w:t>מנח"ח</w:t>
      </w:r>
      <w:r w:rsidRPr="00440CAB">
        <w:rPr>
          <w:rFonts w:ascii="Narkisim" w:hAnsi="Narkisim" w:cs="Narkisim"/>
          <w:rtl/>
        </w:rPr>
        <w:t xml:space="preserve"> (שסה לב) חלק דהחשד בסוגיין דנבעלה ונאסרת, אלא דהקינוי היתה רק לדרך אברים וכדו'. וה</w:t>
      </w:r>
      <w:r w:rsidRPr="00440CAB">
        <w:rPr>
          <w:rFonts w:ascii="Narkisim" w:hAnsi="Narkisim" w:cs="Narkisim"/>
          <w:b/>
          <w:bCs/>
          <w:rtl/>
        </w:rPr>
        <w:t>בית הלוי</w:t>
      </w:r>
      <w:r w:rsidRPr="00440CAB">
        <w:rPr>
          <w:rFonts w:ascii="Narkisim" w:hAnsi="Narkisim" w:cs="Narkisim"/>
          <w:rtl/>
        </w:rPr>
        <w:t xml:space="preserve"> (ב מ) כתב דכוונת הגמ' כאן מדין קינוי וסתירה חמיר. ואף דבעלמא אינה נאסרת דרך אברים, ע"י קינוי וסתירה נאסרת.</w:t>
      </w:r>
    </w:p>
    <w:p w14:paraId="096A8BDC"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אחרונים</w:t>
      </w:r>
      <w:r w:rsidRPr="00440CAB">
        <w:rPr>
          <w:rFonts w:ascii="Narkisim" w:hAnsi="Narkisim" w:cs="Narkisim"/>
          <w:rtl/>
        </w:rPr>
        <w:t xml:space="preserve"> הביאו מכאן מקור לדברי ה</w:t>
      </w:r>
      <w:r w:rsidRPr="00440CAB">
        <w:rPr>
          <w:rFonts w:ascii="Narkisim" w:hAnsi="Narkisim" w:cs="Narkisim"/>
          <w:b/>
          <w:bCs/>
          <w:rtl/>
        </w:rPr>
        <w:t>מהרי"ק</w:t>
      </w:r>
      <w:r w:rsidRPr="00440CAB">
        <w:rPr>
          <w:rFonts w:ascii="Narkisim" w:hAnsi="Narkisim" w:cs="Narkisim"/>
          <w:rtl/>
        </w:rPr>
        <w:t xml:space="preserve"> (קסז) דסוטה נאסרת על בעלה מדין 'ומעלה מעל' דהוה בגידה בבעל</w:t>
      </w:r>
      <w:r w:rsidRPr="00440CAB">
        <w:rPr>
          <w:rStyle w:val="ac"/>
          <w:rFonts w:ascii="Narkisim" w:hAnsi="Narkisim" w:cs="Narkisim"/>
          <w:rtl/>
        </w:rPr>
        <w:footnoteReference w:id="3372"/>
      </w:r>
      <w:r w:rsidRPr="00440CAB">
        <w:rPr>
          <w:rFonts w:ascii="Narkisim" w:hAnsi="Narkisim" w:cs="Narkisim"/>
          <w:rtl/>
        </w:rPr>
        <w:t xml:space="preserve">, ואפי' כשהיא שוגגת באיסור התורה. </w:t>
      </w:r>
      <w:r w:rsidRPr="00440CAB">
        <w:rPr>
          <w:rFonts w:ascii="Narkisim" w:hAnsi="Narkisim" w:cs="Narkisim"/>
          <w:sz w:val="20"/>
          <w:szCs w:val="20"/>
          <w:rtl/>
        </w:rPr>
        <w:t>[והאחרונים דנו האם כוונת המהרי"ק דזהו הגדר בכל איסור סוטה לבעל, או איסור נוסף מחמת הבגידה].</w:t>
      </w:r>
    </w:p>
    <w:p w14:paraId="5784230E"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ב</w:t>
      </w:r>
      <w:r w:rsidRPr="00440CAB">
        <w:rPr>
          <w:rFonts w:ascii="Narkisim" w:hAnsi="Narkisim" w:cs="Narkisim"/>
          <w:b/>
          <w:bCs/>
          <w:rtl/>
        </w:rPr>
        <w:t>גמ</w:t>
      </w:r>
      <w:r w:rsidRPr="00440CAB">
        <w:rPr>
          <w:rFonts w:ascii="Narkisim" w:hAnsi="Narkisim" w:cs="Narkisim"/>
          <w:rtl/>
        </w:rPr>
        <w:t>' (סוטה כו:) איתא דשחוף מקנין על ידו. פשיטא מהו דתימא שכבת זרע אמר רחמנא והא לאו בר הכי</w:t>
      </w:r>
      <w:r w:rsidRPr="00440CAB">
        <w:rPr>
          <w:rStyle w:val="ac"/>
          <w:rFonts w:ascii="Narkisim" w:hAnsi="Narkisim" w:cs="Narkisim"/>
          <w:rtl/>
        </w:rPr>
        <w:footnoteReference w:id="3373"/>
      </w:r>
      <w:r w:rsidRPr="00440CAB">
        <w:rPr>
          <w:rFonts w:ascii="Narkisim" w:hAnsi="Narkisim" w:cs="Narkisim"/>
          <w:rtl/>
        </w:rPr>
        <w:t>. וה</w:t>
      </w:r>
      <w:r w:rsidRPr="00440CAB">
        <w:rPr>
          <w:rFonts w:ascii="Narkisim" w:hAnsi="Narkisim" w:cs="Narkisim"/>
          <w:b/>
          <w:bCs/>
          <w:rtl/>
        </w:rPr>
        <w:t>רמב"ם</w:t>
      </w:r>
      <w:r w:rsidRPr="00440CAB">
        <w:rPr>
          <w:rFonts w:ascii="Narkisim" w:hAnsi="Narkisim" w:cs="Narkisim"/>
          <w:rtl/>
        </w:rPr>
        <w:t xml:space="preserve"> (סוטה א א) כתב דשחוף אינו מתקשה ואינו מוליד. ומבואר דהוה כמשמש מת.</w:t>
      </w:r>
    </w:p>
    <w:p w14:paraId="0341A968"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בי"ש</w:t>
      </w:r>
      <w:r w:rsidRPr="00440CAB">
        <w:rPr>
          <w:rFonts w:ascii="Narkisim" w:hAnsi="Narkisim"/>
          <w:rtl/>
        </w:rPr>
        <w:t xml:space="preserve"> (כ ה) כתב אע"ג דקי"ל [כרבא בשבועות] דאין חייבין מיתה במשמש מת, אפ"ה נאסרת על בעלה</w:t>
      </w:r>
      <w:r w:rsidRPr="00440CAB">
        <w:rPr>
          <w:rStyle w:val="ac"/>
          <w:rFonts w:ascii="Narkisim" w:hAnsi="Narkisim"/>
          <w:rtl/>
        </w:rPr>
        <w:footnoteReference w:id="3374"/>
      </w:r>
      <w:r w:rsidRPr="00440CAB">
        <w:rPr>
          <w:rFonts w:ascii="Narkisim" w:hAnsi="Narkisim"/>
          <w:rtl/>
        </w:rPr>
        <w:t>. אבל ה</w:t>
      </w:r>
      <w:r w:rsidRPr="00440CAB">
        <w:rPr>
          <w:rFonts w:ascii="Narkisim" w:hAnsi="Narkisim"/>
          <w:b/>
          <w:bCs/>
          <w:rtl/>
        </w:rPr>
        <w:t>לבוש</w:t>
      </w:r>
      <w:r w:rsidRPr="00440CAB">
        <w:rPr>
          <w:rFonts w:ascii="Narkisim" w:hAnsi="Narkisim"/>
          <w:rtl/>
        </w:rPr>
        <w:t xml:space="preserve"> (שם) כת' דמשמש מת אינה נאסרת על בעלה אלא מדרבנן. ומבואר דאפ"ה מקנין על ידו. וה</w:t>
      </w:r>
      <w:r w:rsidRPr="00440CAB">
        <w:rPr>
          <w:rFonts w:ascii="Narkisim" w:hAnsi="Narkisim"/>
          <w:b/>
          <w:bCs/>
          <w:rtl/>
        </w:rPr>
        <w:t>מנח"ח</w:t>
      </w:r>
      <w:r w:rsidRPr="00440CAB">
        <w:rPr>
          <w:rFonts w:ascii="Narkisim" w:hAnsi="Narkisim"/>
          <w:rtl/>
        </w:rPr>
        <w:t xml:space="preserve"> (שסה לב) הביא מה</w:t>
      </w:r>
      <w:r w:rsidRPr="00440CAB">
        <w:rPr>
          <w:rFonts w:ascii="Narkisim" w:hAnsi="Narkisim"/>
          <w:b/>
          <w:bCs/>
          <w:rtl/>
        </w:rPr>
        <w:t>עצי ארזים</w:t>
      </w:r>
      <w:r w:rsidRPr="00440CAB">
        <w:rPr>
          <w:rFonts w:ascii="Narkisim" w:hAnsi="Narkisim"/>
          <w:rtl/>
        </w:rPr>
        <w:t xml:space="preserve"> דמבואר בלבוש כסברת ה</w:t>
      </w:r>
      <w:r w:rsidRPr="00440CAB">
        <w:rPr>
          <w:rFonts w:ascii="Narkisim" w:hAnsi="Narkisim"/>
          <w:b/>
          <w:bCs/>
          <w:rtl/>
        </w:rPr>
        <w:t>משנ"ל</w:t>
      </w:r>
      <w:r w:rsidRPr="00440CAB">
        <w:rPr>
          <w:rFonts w:ascii="Narkisim" w:hAnsi="Narkisim"/>
          <w:rtl/>
        </w:rPr>
        <w:t xml:space="preserve"> (הו' לעיל) דשייך קינוי אע"פ שאינה נאסרת ע"פ</w:t>
      </w:r>
      <w:r w:rsidRPr="00440CAB">
        <w:rPr>
          <w:rStyle w:val="ac"/>
          <w:rFonts w:ascii="Narkisim" w:hAnsi="Narkisim"/>
          <w:rtl/>
        </w:rPr>
        <w:footnoteReference w:id="3375"/>
      </w:r>
      <w:r w:rsidRPr="00440CAB">
        <w:rPr>
          <w:rFonts w:ascii="Narkisim" w:hAnsi="Narkisim"/>
          <w:rtl/>
        </w:rPr>
        <w:t>. וה</w:t>
      </w:r>
      <w:r w:rsidRPr="00440CAB">
        <w:rPr>
          <w:rFonts w:ascii="Narkisim" w:hAnsi="Narkisim"/>
          <w:b/>
          <w:bCs/>
          <w:rtl/>
        </w:rPr>
        <w:t xml:space="preserve">בית הלוי </w:t>
      </w:r>
      <w:r w:rsidRPr="00440CAB">
        <w:rPr>
          <w:rFonts w:ascii="Narkisim" w:hAnsi="Narkisim"/>
          <w:rtl/>
        </w:rPr>
        <w:t>(ב מ) ביאר דאף דבעלמא משמש מת אינה נאסרת על בעל, ע"י קינוי וסתירה גרע. דנתחדש בפרשת סוטה שנאסרת על בעלה מחמת קפידתו [ולפ"ז זהו בס"ד דהגמ' כאן</w:t>
      </w:r>
      <w:r w:rsidRPr="00440CAB">
        <w:rPr>
          <w:rStyle w:val="ac"/>
          <w:rFonts w:ascii="Narkisim" w:hAnsi="Narkisim"/>
          <w:rtl/>
        </w:rPr>
        <w:footnoteReference w:id="3376"/>
      </w:r>
      <w:r w:rsidRPr="00440CAB">
        <w:rPr>
          <w:rFonts w:ascii="Narkisim" w:hAnsi="Narkisim"/>
          <w:rtl/>
        </w:rPr>
        <w:t xml:space="preserve">]. </w:t>
      </w:r>
      <w:r w:rsidRPr="00440CAB">
        <w:rPr>
          <w:rFonts w:ascii="Narkisim" w:hAnsi="Narkisim"/>
          <w:sz w:val="20"/>
          <w:szCs w:val="20"/>
          <w:rtl/>
        </w:rPr>
        <w:t>וכעי"ז כתב לדעת הרמב"ם קטן פחות מבן ט' (ע' לקמן נח:) ושומרת יבם (ע' לקמן נח.).</w:t>
      </w:r>
    </w:p>
    <w:p w14:paraId="090C9BAE" w14:textId="77777777" w:rsidR="006074A5" w:rsidRPr="00440CAB" w:rsidRDefault="006074A5" w:rsidP="006074A5">
      <w:pPr>
        <w:pStyle w:val="aa"/>
        <w:bidi/>
        <w:rPr>
          <w:rFonts w:ascii="Narkisim" w:hAnsi="Narkisim"/>
        </w:rPr>
      </w:pPr>
      <w:r w:rsidRPr="00440CAB">
        <w:rPr>
          <w:rFonts w:ascii="Narkisim" w:hAnsi="Narkisim"/>
          <w:u w:val="single"/>
          <w:rtl/>
        </w:rPr>
        <w:t>כי אתא רב דימי אר"י העראה זו הכנסת עטרה וכו'.</w:t>
      </w:r>
      <w:r w:rsidRPr="00440CAB">
        <w:rPr>
          <w:rFonts w:ascii="Narkisim" w:hAnsi="Narkisim"/>
          <w:rtl/>
        </w:rPr>
        <w:t xml:space="preserve"> ה</w:t>
      </w:r>
      <w:r w:rsidRPr="00440CAB">
        <w:rPr>
          <w:rFonts w:ascii="Narkisim" w:hAnsi="Narkisim"/>
          <w:b/>
          <w:bCs/>
          <w:rtl/>
        </w:rPr>
        <w:t>פוסקים</w:t>
      </w:r>
      <w:r w:rsidRPr="00440CAB">
        <w:rPr>
          <w:rFonts w:ascii="Narkisim" w:hAnsi="Narkisim"/>
          <w:rtl/>
        </w:rPr>
        <w:t xml:space="preserve"> (ע' בי"ש כ ג) דנו מה נחשב עטרה, האם סגי במקצתו. ואכמ"ל.</w:t>
      </w:r>
    </w:p>
    <w:p w14:paraId="43BD0BB9" w14:textId="77777777" w:rsidR="006074A5" w:rsidRPr="00440CAB" w:rsidRDefault="006074A5" w:rsidP="006074A5">
      <w:pPr>
        <w:pStyle w:val="aa"/>
        <w:bidi/>
        <w:rPr>
          <w:rFonts w:ascii="Narkisim" w:hAnsi="Narkisim"/>
        </w:rPr>
      </w:pPr>
      <w:r w:rsidRPr="00440CAB">
        <w:rPr>
          <w:rFonts w:ascii="Narkisim" w:hAnsi="Narkisim"/>
          <w:u w:val="single"/>
          <w:rtl/>
        </w:rPr>
        <w:t>תוד"ה אינו.</w:t>
      </w:r>
      <w:r w:rsidRPr="00440CAB">
        <w:rPr>
          <w:rFonts w:ascii="Narkisim" w:hAnsi="Narkisim"/>
          <w:rtl/>
        </w:rPr>
        <w:t xml:space="preserve"> כמו באשת איש דלא בעינן הוצאת זרע</w:t>
      </w:r>
      <w:r w:rsidRPr="00440CAB">
        <w:rPr>
          <w:rStyle w:val="ac"/>
          <w:rFonts w:ascii="Narkisim" w:hAnsi="Narkisim"/>
          <w:rtl/>
        </w:rPr>
        <w:footnoteReference w:id="3377"/>
      </w:r>
      <w:r w:rsidRPr="00440CAB">
        <w:rPr>
          <w:rFonts w:ascii="Narkisim" w:hAnsi="Narkisim"/>
          <w:rtl/>
        </w:rPr>
        <w:t xml:space="preserve">, אע"ג דכתיב בה ש"ז וכו'. דס"ד דתוס' דבא"א בעינן </w:t>
      </w:r>
      <w:r w:rsidRPr="00440CAB">
        <w:rPr>
          <w:rFonts w:ascii="Narkisim" w:hAnsi="Narkisim"/>
          <w:rtl/>
        </w:rPr>
        <w:lastRenderedPageBreak/>
        <w:t>הוצאת זרע, כיון דכתיב קרא ש"ז. וצ"ב דבאשת איש נתרבה דהעראה קני. ואפשר דס"ד דהתוס' דצריך הו"ז עם ההעראה. א"נ כוונת התוס' דכיון דאיתרבי העראה, ע"כ דקרא ד'שכבת זרע' לאו דוקא</w:t>
      </w:r>
      <w:r w:rsidRPr="00440CAB">
        <w:rPr>
          <w:rStyle w:val="ac"/>
          <w:rFonts w:ascii="Narkisim" w:hAnsi="Narkisim"/>
          <w:rtl/>
        </w:rPr>
        <w:footnoteReference w:id="3378"/>
      </w:r>
      <w:r w:rsidRPr="00440CAB">
        <w:rPr>
          <w:rFonts w:ascii="Narkisim" w:hAnsi="Narkisim"/>
          <w:rtl/>
        </w:rPr>
        <w:t>.</w:t>
      </w:r>
    </w:p>
    <w:p w14:paraId="46779ACE" w14:textId="77777777" w:rsidR="006074A5" w:rsidRPr="00440CAB" w:rsidRDefault="006074A5" w:rsidP="006074A5">
      <w:pPr>
        <w:pStyle w:val="3"/>
        <w:bidi/>
        <w:rPr>
          <w:rFonts w:ascii="Narkisim" w:hAnsi="Narkisim"/>
        </w:rPr>
      </w:pPr>
      <w:r w:rsidRPr="00440CAB">
        <w:rPr>
          <w:rFonts w:ascii="Narkisim" w:hAnsi="Narkisim"/>
          <w:rtl/>
        </w:rPr>
        <w:t>דף נו.</w:t>
      </w:r>
    </w:p>
    <w:p w14:paraId="757A9CE3" w14:textId="77777777" w:rsidR="006074A5" w:rsidRPr="00440CAB" w:rsidRDefault="006074A5" w:rsidP="006074A5">
      <w:pPr>
        <w:pStyle w:val="2"/>
        <w:bidi/>
        <w:rPr>
          <w:rFonts w:ascii="Narkisim" w:hAnsi="Narkisim"/>
          <w:sz w:val="21"/>
        </w:rPr>
      </w:pPr>
      <w:r w:rsidRPr="00440CAB">
        <w:rPr>
          <w:rFonts w:ascii="Narkisim" w:hAnsi="Narkisim"/>
          <w:sz w:val="21"/>
          <w:rtl/>
        </w:rPr>
        <w:t>קנה לדברים הכתובים בפרשה</w:t>
      </w:r>
    </w:p>
    <w:p w14:paraId="7BE19850" w14:textId="77777777" w:rsidR="006074A5" w:rsidRPr="00440CAB" w:rsidRDefault="006074A5" w:rsidP="006074A5">
      <w:pPr>
        <w:bidi/>
        <w:rPr>
          <w:rFonts w:ascii="Narkisim" w:hAnsi="Narkisim" w:cs="Narkisim"/>
        </w:rPr>
      </w:pPr>
      <w:r w:rsidRPr="00440CAB">
        <w:rPr>
          <w:rFonts w:ascii="Narkisim" w:hAnsi="Narkisim" w:cs="Narkisim"/>
          <w:u w:val="single"/>
          <w:rtl/>
        </w:rPr>
        <w:t>לא קנה אלא לדברים הכתובים וכו'.</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כתב דיבום עושה קנין אירוסין, כיון שפוטרת צרתה ויוצאת בגט, וקנאה לענין להתחייב משום אשת איש</w:t>
      </w:r>
      <w:r w:rsidRPr="00440CAB">
        <w:rPr>
          <w:rStyle w:val="ac"/>
          <w:rFonts w:ascii="Narkisim" w:hAnsi="Narkisim" w:cs="Narkisim"/>
          <w:rtl/>
        </w:rPr>
        <w:footnoteReference w:id="3379"/>
      </w:r>
      <w:r w:rsidRPr="00440CAB">
        <w:rPr>
          <w:rFonts w:ascii="Narkisim" w:hAnsi="Narkisim" w:cs="Narkisim"/>
          <w:rtl/>
        </w:rPr>
        <w:t>. ו</w:t>
      </w:r>
      <w:r w:rsidRPr="00440CAB">
        <w:rPr>
          <w:rFonts w:ascii="Narkisim" w:hAnsi="Narkisim" w:cs="Narkisim"/>
          <w:b/>
          <w:bCs/>
          <w:rtl/>
        </w:rPr>
        <w:t>תוס</w:t>
      </w:r>
      <w:r w:rsidRPr="00440CAB">
        <w:rPr>
          <w:rFonts w:ascii="Narkisim" w:hAnsi="Narkisim" w:cs="Narkisim"/>
          <w:rtl/>
        </w:rPr>
        <w:t>' (סוטה כד: ד"ה כשמואל) כת' דחייבת חנק ע"י ביאת שוגג. אבל ה</w:t>
      </w:r>
      <w:r w:rsidRPr="00440CAB">
        <w:rPr>
          <w:rFonts w:ascii="Narkisim" w:hAnsi="Narkisim" w:cs="Narkisim"/>
          <w:b/>
          <w:bCs/>
          <w:rtl/>
        </w:rPr>
        <w:t>אחרונים</w:t>
      </w:r>
      <w:r w:rsidRPr="00440CAB">
        <w:rPr>
          <w:rFonts w:ascii="Narkisim" w:hAnsi="Narkisim" w:cs="Narkisim"/>
          <w:rtl/>
        </w:rPr>
        <w:t xml:space="preserve"> הביאו דה</w:t>
      </w:r>
      <w:r w:rsidRPr="00440CAB">
        <w:rPr>
          <w:rFonts w:ascii="Narkisim" w:hAnsi="Narkisim" w:cs="Narkisim"/>
          <w:b/>
          <w:bCs/>
          <w:rtl/>
        </w:rPr>
        <w:t>רמב"ן</w:t>
      </w:r>
      <w:r w:rsidRPr="00440CAB">
        <w:rPr>
          <w:rFonts w:ascii="Narkisim" w:hAnsi="Narkisim" w:cs="Narkisim"/>
          <w:rtl/>
        </w:rPr>
        <w:t xml:space="preserve"> (לקמן צו.) כתב דאין חיוב מיתה על ביאת שוגג</w:t>
      </w:r>
      <w:r w:rsidRPr="00440CAB">
        <w:rPr>
          <w:rStyle w:val="ac"/>
          <w:rFonts w:ascii="Narkisim" w:hAnsi="Narkisim" w:cs="Narkisim"/>
          <w:rtl/>
        </w:rPr>
        <w:footnoteReference w:id="3380"/>
      </w:r>
      <w:r w:rsidRPr="00440CAB">
        <w:rPr>
          <w:rFonts w:ascii="Narkisim" w:hAnsi="Narkisim" w:cs="Narkisim"/>
          <w:rtl/>
        </w:rPr>
        <w:t>. [דחיוב מיתה לא הוה דברים הכתובים בפרשה</w:t>
      </w:r>
      <w:r w:rsidRPr="00440CAB">
        <w:rPr>
          <w:rStyle w:val="ac"/>
          <w:rFonts w:ascii="Narkisim" w:hAnsi="Narkisim" w:cs="Narkisim"/>
          <w:rtl/>
        </w:rPr>
        <w:footnoteReference w:id="3381"/>
      </w:r>
      <w:r w:rsidRPr="00440CAB">
        <w:rPr>
          <w:rFonts w:ascii="Narkisim" w:hAnsi="Narkisim" w:cs="Narkisim"/>
          <w:rtl/>
        </w:rPr>
        <w:t>, ואף שקנאה להיות אשתו ליכא חיוב מיתה</w:t>
      </w:r>
      <w:r w:rsidRPr="00440CAB">
        <w:rPr>
          <w:rStyle w:val="ac"/>
          <w:rFonts w:ascii="Narkisim" w:hAnsi="Narkisim" w:cs="Narkisim"/>
          <w:rtl/>
        </w:rPr>
        <w:footnoteReference w:id="3382"/>
      </w:r>
      <w:r w:rsidRPr="00440CAB">
        <w:rPr>
          <w:rFonts w:ascii="Narkisim" w:hAnsi="Narkisim" w:cs="Narkisim"/>
          <w:rtl/>
        </w:rPr>
        <w:t>].</w:t>
      </w:r>
    </w:p>
    <w:p w14:paraId="189D2BFA"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והגמ' (בסמוך) פי' דנח' בהא דרבי רחמנא ביאת שוגג כמזיד, האם נתרבה דהוה יבום לכל דבר. או רק לדברים הכתובים בפרשה</w:t>
      </w:r>
      <w:r w:rsidRPr="00440CAB">
        <w:rPr>
          <w:rStyle w:val="ac"/>
          <w:rFonts w:ascii="Narkisim" w:hAnsi="Narkisim" w:cs="Narkisim"/>
          <w:rtl/>
        </w:rPr>
        <w:footnoteReference w:id="3383"/>
      </w:r>
      <w:r w:rsidRPr="00440CAB">
        <w:rPr>
          <w:rFonts w:ascii="Narkisim" w:hAnsi="Narkisim" w:cs="Narkisim"/>
          <w:rtl/>
        </w:rPr>
        <w:t>.</w:t>
      </w:r>
    </w:p>
    <w:p w14:paraId="60ACD37C"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קר"א</w:t>
      </w:r>
      <w:r w:rsidRPr="00440CAB">
        <w:rPr>
          <w:rFonts w:ascii="Narkisim" w:hAnsi="Narkisim"/>
          <w:rtl/>
        </w:rPr>
        <w:t xml:space="preserve"> נסתפק האם אף בביאת בע"כ [או שוגג] של היבמה, אמרי' דקנה רק לדברים הכתובים בפרשה. וה</w:t>
      </w:r>
      <w:r w:rsidRPr="00440CAB">
        <w:rPr>
          <w:rFonts w:ascii="Narkisim" w:hAnsi="Narkisim"/>
          <w:b/>
          <w:bCs/>
          <w:rtl/>
        </w:rPr>
        <w:t>שער"י</w:t>
      </w:r>
      <w:r w:rsidRPr="00440CAB">
        <w:rPr>
          <w:rFonts w:ascii="Narkisim" w:hAnsi="Narkisim"/>
          <w:rtl/>
        </w:rPr>
        <w:t xml:space="preserve"> (ז ח, וכן בחי' כט) כת' דיבום תליא ביבם, וכיון דהיבם נתכוון לקנין מהני אף בע"כ דידה</w:t>
      </w:r>
      <w:r w:rsidRPr="00440CAB">
        <w:rPr>
          <w:rStyle w:val="ac"/>
          <w:rFonts w:ascii="Narkisim" w:hAnsi="Narkisim"/>
          <w:rtl/>
        </w:rPr>
        <w:footnoteReference w:id="3384"/>
      </w:r>
      <w:r w:rsidRPr="00440CAB">
        <w:rPr>
          <w:rFonts w:ascii="Narkisim" w:hAnsi="Narkisim"/>
          <w:rtl/>
        </w:rPr>
        <w:t>. אבל ה</w:t>
      </w:r>
      <w:r w:rsidRPr="00440CAB">
        <w:rPr>
          <w:rFonts w:ascii="Narkisim" w:hAnsi="Narkisim"/>
          <w:b/>
          <w:bCs/>
          <w:rtl/>
        </w:rPr>
        <w:t>חזו"א</w:t>
      </w:r>
      <w:r w:rsidRPr="00440CAB">
        <w:rPr>
          <w:rFonts w:ascii="Narkisim" w:hAnsi="Narkisim"/>
          <w:rtl/>
        </w:rPr>
        <w:t xml:space="preserve"> </w:t>
      </w:r>
      <w:r w:rsidRPr="00440CAB">
        <w:rPr>
          <w:rFonts w:ascii="Narkisim" w:hAnsi="Narkisim"/>
          <w:sz w:val="20"/>
          <w:szCs w:val="20"/>
          <w:rtl/>
        </w:rPr>
        <w:t>(קכג ב)</w:t>
      </w:r>
      <w:r w:rsidRPr="00440CAB">
        <w:rPr>
          <w:rFonts w:ascii="Narkisim" w:hAnsi="Narkisim"/>
          <w:rtl/>
        </w:rPr>
        <w:t xml:space="preserve"> הוכיח מדברי הרמב"ן ורשב"א דאף בע"כ דידה קנה רק לדברים הכתובים בפרשה.</w:t>
      </w:r>
    </w:p>
    <w:p w14:paraId="613A28B1" w14:textId="77777777" w:rsidR="006074A5" w:rsidRPr="00440CAB" w:rsidRDefault="006074A5" w:rsidP="006074A5">
      <w:pPr>
        <w:pStyle w:val="a8"/>
        <w:bidi/>
        <w:rPr>
          <w:rFonts w:ascii="Narkisim" w:hAnsi="Narkisim"/>
        </w:rPr>
      </w:pPr>
      <w:r w:rsidRPr="00440CAB">
        <w:rPr>
          <w:rFonts w:ascii="Narkisim" w:hAnsi="Narkisim"/>
          <w:rtl/>
        </w:rPr>
        <w:t>וב</w:t>
      </w:r>
      <w:r w:rsidRPr="00440CAB">
        <w:rPr>
          <w:rFonts w:ascii="Narkisim" w:hAnsi="Narkisim"/>
          <w:b/>
          <w:bCs/>
          <w:rtl/>
        </w:rPr>
        <w:t>חי' ר' שמואל</w:t>
      </w:r>
      <w:r w:rsidRPr="00440CAB">
        <w:rPr>
          <w:rFonts w:ascii="Narkisim" w:hAnsi="Narkisim"/>
          <w:rtl/>
        </w:rPr>
        <w:t xml:space="preserve"> (טו ובזכרון שמואל מכתב ו) העלה צד דבכל יבום קנין היבום קונה לדברים הכתובים בפרשה. אלא דכיון דקנאה מדעתו, מעשה היבום נחשב כקנין נישואין. [אך דחה דלא מסתבר לומר כן]. וכתב דצ"ל דביאה גרועה הוה קנין במקצת, דכיון דלא הוה דרך אישות</w:t>
      </w:r>
      <w:r w:rsidRPr="00440CAB">
        <w:rPr>
          <w:rStyle w:val="ac"/>
          <w:rFonts w:ascii="Narkisim" w:hAnsi="Narkisim"/>
          <w:rtl/>
        </w:rPr>
        <w:footnoteReference w:id="3385"/>
      </w:r>
      <w:r w:rsidRPr="00440CAB">
        <w:rPr>
          <w:rFonts w:ascii="Narkisim" w:hAnsi="Narkisim"/>
          <w:rtl/>
        </w:rPr>
        <w:t>, ומש"ה ל"ק אלא לדברים הכתובים. [וכן מבואר בתוס' דאף גדר נעשית כאשתו לכל דבר הוה נישואין מדאורייתא. ואפ"ה יש סברא דביאה גרועה מהני רק לדברים הכתובים].</w:t>
      </w:r>
    </w:p>
    <w:p w14:paraId="0F37F6AE" w14:textId="77777777" w:rsidR="006074A5" w:rsidRPr="00440CAB" w:rsidRDefault="006074A5" w:rsidP="006074A5">
      <w:pPr>
        <w:bidi/>
        <w:rPr>
          <w:rFonts w:ascii="Narkisim" w:hAnsi="Narkisim" w:cs="Narkisim"/>
        </w:rPr>
      </w:pPr>
      <w:r w:rsidRPr="00440CAB">
        <w:rPr>
          <w:rFonts w:ascii="Narkisim" w:hAnsi="Narkisim" w:cs="Narkisim"/>
          <w:rtl/>
        </w:rPr>
        <w:t>וב</w:t>
      </w:r>
      <w:r w:rsidRPr="00440CAB">
        <w:rPr>
          <w:rFonts w:ascii="Narkisim" w:hAnsi="Narkisim" w:cs="Narkisim"/>
          <w:b/>
          <w:bCs/>
          <w:rtl/>
        </w:rPr>
        <w:t>חי' הגר"ש</w:t>
      </w:r>
      <w:r w:rsidRPr="00440CAB">
        <w:rPr>
          <w:rFonts w:ascii="Narkisim" w:hAnsi="Narkisim" w:cs="Narkisim"/>
          <w:rtl/>
        </w:rPr>
        <w:t xml:space="preserve"> (טו ד, וכ"כ במשנת ר' אהרן) הוכיח מהסוגיא (לקמן נח:) דאף לאחר שקנאה לדברים הכתובים בפרשה עדיין יש עליה 'שם יבמה'. ואם בא עליה לשם יבום [אפי' בע"כ</w:t>
      </w:r>
      <w:r w:rsidRPr="00440CAB">
        <w:rPr>
          <w:rStyle w:val="ac"/>
          <w:rFonts w:ascii="Narkisim" w:hAnsi="Narkisim" w:cs="Narkisim"/>
          <w:rtl/>
        </w:rPr>
        <w:footnoteReference w:id="3386"/>
      </w:r>
      <w:r w:rsidRPr="00440CAB">
        <w:rPr>
          <w:rFonts w:ascii="Narkisim" w:hAnsi="Narkisim" w:cs="Narkisim"/>
          <w:rtl/>
        </w:rPr>
        <w:t>] קנאה, ועי"ז יושלם קנינו לנישואין.</w:t>
      </w:r>
    </w:p>
    <w:p w14:paraId="70FF25A8"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אבנ"מ</w:t>
      </w:r>
      <w:r w:rsidRPr="00440CAB">
        <w:rPr>
          <w:rFonts w:ascii="Narkisim" w:hAnsi="Narkisim" w:cs="Narkisim"/>
          <w:rtl/>
        </w:rPr>
        <w:t xml:space="preserve"> (לג ב) הקשה דאמרי' (קידושין י. הו' לעיל נה:) דכל הבועל דעתו על גמר ביאה, וא"כ בכל יבום נימא דההעראה הוה ביאת שוגג. ואף דכתבו הראשונים דביבמה קנאה אפי' בלא דעתו, מ"מ הוה ביאת שוגג, ולא נעשית נשואה. [והקשה עפ"ז כה"ג המייבם אלמנה מהאירוסין, דלא נעשית נשואה בביאתו]. </w:t>
      </w:r>
      <w:r w:rsidRPr="00440CAB">
        <w:rPr>
          <w:rFonts w:ascii="Narkisim" w:hAnsi="Narkisim" w:cs="Narkisim"/>
          <w:sz w:val="20"/>
          <w:szCs w:val="20"/>
          <w:rtl/>
        </w:rPr>
        <w:t>וכ"ש לדברי ה</w:t>
      </w:r>
      <w:r w:rsidRPr="00440CAB">
        <w:rPr>
          <w:rFonts w:ascii="Narkisim" w:hAnsi="Narkisim" w:cs="Narkisim"/>
          <w:b/>
          <w:bCs/>
          <w:sz w:val="20"/>
          <w:szCs w:val="20"/>
          <w:rtl/>
        </w:rPr>
        <w:t>ירושלמי</w:t>
      </w:r>
      <w:r w:rsidRPr="00440CAB">
        <w:rPr>
          <w:rFonts w:ascii="Narkisim" w:hAnsi="Narkisim" w:cs="Narkisim"/>
          <w:sz w:val="20"/>
          <w:szCs w:val="20"/>
          <w:rtl/>
        </w:rPr>
        <w:t xml:space="preserve"> וה</w:t>
      </w:r>
      <w:r w:rsidRPr="00440CAB">
        <w:rPr>
          <w:rFonts w:ascii="Narkisim" w:hAnsi="Narkisim" w:cs="Narkisim"/>
          <w:b/>
          <w:bCs/>
          <w:sz w:val="20"/>
          <w:szCs w:val="20"/>
          <w:rtl/>
        </w:rPr>
        <w:t>רי"ף</w:t>
      </w:r>
      <w:r w:rsidRPr="00440CAB">
        <w:rPr>
          <w:rFonts w:ascii="Narkisim" w:hAnsi="Narkisim" w:cs="Narkisim"/>
          <w:sz w:val="20"/>
          <w:szCs w:val="20"/>
          <w:rtl/>
        </w:rPr>
        <w:t xml:space="preserve"> וה</w:t>
      </w:r>
      <w:r w:rsidRPr="00440CAB">
        <w:rPr>
          <w:rFonts w:ascii="Narkisim" w:hAnsi="Narkisim" w:cs="Narkisim"/>
          <w:b/>
          <w:bCs/>
          <w:sz w:val="20"/>
          <w:szCs w:val="20"/>
          <w:rtl/>
        </w:rPr>
        <w:t>רמב"ם</w:t>
      </w:r>
      <w:r w:rsidRPr="00440CAB">
        <w:rPr>
          <w:rFonts w:ascii="Narkisim" w:hAnsi="Narkisim" w:cs="Narkisim"/>
          <w:sz w:val="20"/>
          <w:szCs w:val="20"/>
          <w:rtl/>
        </w:rPr>
        <w:t xml:space="preserve"> אף אם יאמר בהדיא דדעתו לקנות העראה, מ"מ העראה הוה ביאה גרועה, ול"ק אלא לדברים הכתובים בפרשה.</w:t>
      </w:r>
    </w:p>
    <w:p w14:paraId="0754A3EF"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שער"י</w:t>
      </w:r>
      <w:r w:rsidRPr="00440CAB">
        <w:rPr>
          <w:rFonts w:ascii="Narkisim" w:hAnsi="Narkisim"/>
          <w:rtl/>
        </w:rPr>
        <w:t xml:space="preserve"> (שם) תי' דביאת שוגג לא תליא ב'דעת קנין', דאשה הקנו מהשמים. אלא סגי במה שנתכוון לביאת אישות לקנות לכל מילי.</w:t>
      </w:r>
      <w:r w:rsidRPr="00440CAB">
        <w:rPr>
          <w:rFonts w:ascii="Narkisim" w:hAnsi="Narkisim"/>
          <w:sz w:val="20"/>
          <w:szCs w:val="20"/>
          <w:rtl/>
        </w:rPr>
        <w:t xml:space="preserve"> ועוד דנו ה</w:t>
      </w:r>
      <w:r w:rsidRPr="00440CAB">
        <w:rPr>
          <w:rFonts w:ascii="Narkisim" w:hAnsi="Narkisim"/>
          <w:b/>
          <w:bCs/>
          <w:sz w:val="20"/>
          <w:szCs w:val="20"/>
          <w:rtl/>
        </w:rPr>
        <w:t>אחרונים</w:t>
      </w:r>
      <w:r w:rsidRPr="00440CAB">
        <w:rPr>
          <w:rFonts w:ascii="Narkisim" w:hAnsi="Narkisim"/>
          <w:sz w:val="20"/>
          <w:szCs w:val="20"/>
          <w:rtl/>
        </w:rPr>
        <w:t xml:space="preserve"> דדעתו לקנות בשעת גמר ביאה, ע"י כל הביאה. ודעתו שאף ההעראה נחשב חלק ממעשה יבום [אלא שיקנה לאחר זמן].</w:t>
      </w:r>
    </w:p>
    <w:p w14:paraId="5521ABB7" w14:textId="77777777" w:rsidR="006074A5" w:rsidRPr="00440CAB" w:rsidRDefault="006074A5" w:rsidP="006074A5">
      <w:pPr>
        <w:pStyle w:val="aa"/>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הקשו [דע"פ דברי האבנ"מ] בכל יבום בשעת העראה קנאה לדברים הכתובים בפרשה [דדעתו על גמ"ב], וא"כ לא שייך יבום כתיקונו שיקנה לכל מילי, דעתו על גמר ביאה, א"כ כבר קנאה לדברים הכתובים. וב</w:t>
      </w:r>
      <w:r w:rsidRPr="00440CAB">
        <w:rPr>
          <w:rFonts w:ascii="Narkisim" w:hAnsi="Narkisim"/>
          <w:b/>
          <w:bCs/>
          <w:rtl/>
        </w:rPr>
        <w:t>חי' ר' שמואל</w:t>
      </w:r>
      <w:r w:rsidRPr="00440CAB">
        <w:rPr>
          <w:rFonts w:ascii="Narkisim" w:hAnsi="Narkisim"/>
          <w:rtl/>
        </w:rPr>
        <w:t xml:space="preserve"> כתב דמ"מ יש עליה שם יבמה, ובגמר ביאה נחשב קנין יבום לקנות לשאר מילי.</w:t>
      </w:r>
    </w:p>
    <w:p w14:paraId="07C5658C" w14:textId="77777777" w:rsidR="006074A5" w:rsidRPr="00440CAB" w:rsidRDefault="006074A5" w:rsidP="006074A5">
      <w:pPr>
        <w:pStyle w:val="a8"/>
        <w:bidi/>
        <w:rPr>
          <w:rFonts w:ascii="Narkisim" w:hAnsi="Narkisim"/>
        </w:rPr>
      </w:pPr>
      <w:r w:rsidRPr="00440CAB">
        <w:rPr>
          <w:rFonts w:ascii="Narkisim" w:hAnsi="Narkisim"/>
          <w:rtl/>
        </w:rPr>
        <w:lastRenderedPageBreak/>
        <w:t>ולדברי הירושלמי יש להקשות בכל יבום, בשעת העראה כבר קנאו לדברים הכתובים בפרשה. וכי נאמר דבכל יבום קנה ב' קנינים, בהעראה ובגמ"ב</w:t>
      </w:r>
      <w:r w:rsidRPr="00440CAB">
        <w:rPr>
          <w:rStyle w:val="ac"/>
          <w:rFonts w:ascii="Narkisim" w:hAnsi="Narkisim"/>
          <w:rtl/>
        </w:rPr>
        <w:footnoteReference w:id="3387"/>
      </w:r>
      <w:r w:rsidRPr="00440CAB">
        <w:rPr>
          <w:rFonts w:ascii="Narkisim" w:hAnsi="Narkisim"/>
          <w:rtl/>
        </w:rPr>
        <w:t>.</w:t>
      </w:r>
    </w:p>
    <w:p w14:paraId="3AD56C13" w14:textId="77777777" w:rsidR="006074A5" w:rsidRPr="00440CAB" w:rsidRDefault="006074A5" w:rsidP="006074A5">
      <w:pPr>
        <w:bidi/>
        <w:rPr>
          <w:rFonts w:ascii="Narkisim" w:hAnsi="Narkisim" w:cs="Narkisim"/>
        </w:rPr>
      </w:pPr>
      <w:r w:rsidRPr="00440CAB">
        <w:rPr>
          <w:rFonts w:ascii="Narkisim" w:hAnsi="Narkisim" w:cs="Narkisim"/>
          <w:u w:val="single"/>
          <w:rtl/>
        </w:rPr>
        <w:t>תוד"ה לדברים.</w:t>
      </w:r>
      <w:r w:rsidRPr="00440CAB">
        <w:rPr>
          <w:rFonts w:ascii="Narkisim" w:hAnsi="Narkisim" w:cs="Narkisim"/>
          <w:rtl/>
        </w:rPr>
        <w:t xml:space="preserve"> ולפטור אשת אחיו, דכתיב לו לאשה ולא לאחיו לאשה דפקע מינה זיקת אחיו וכו'. [לא מצאנו דרשא זו</w:t>
      </w:r>
      <w:r w:rsidRPr="00440CAB">
        <w:rPr>
          <w:rStyle w:val="ac"/>
          <w:rFonts w:ascii="Narkisim" w:hAnsi="Narkisim" w:cs="Narkisim"/>
          <w:rtl/>
        </w:rPr>
        <w:footnoteReference w:id="3388"/>
      </w:r>
      <w:r w:rsidRPr="00440CAB">
        <w:rPr>
          <w:rFonts w:ascii="Narkisim" w:hAnsi="Narkisim" w:cs="Narkisim"/>
          <w:rtl/>
        </w:rPr>
        <w:t>]. דהא דסגי בביאת א' מהיבמין</w:t>
      </w:r>
      <w:r w:rsidRPr="00440CAB">
        <w:rPr>
          <w:rStyle w:val="ac"/>
          <w:rFonts w:ascii="Narkisim" w:hAnsi="Narkisim" w:cs="Narkisim"/>
          <w:rtl/>
        </w:rPr>
        <w:footnoteReference w:id="3389"/>
      </w:r>
      <w:r w:rsidRPr="00440CAB">
        <w:rPr>
          <w:rFonts w:ascii="Narkisim" w:hAnsi="Narkisim" w:cs="Narkisim"/>
          <w:rtl/>
        </w:rPr>
        <w:t xml:space="preserve"> ילפי' מדרשא זו.</w:t>
      </w:r>
    </w:p>
    <w:p w14:paraId="289FE1EE" w14:textId="77777777" w:rsidR="006074A5" w:rsidRPr="00440CAB" w:rsidRDefault="006074A5" w:rsidP="006074A5">
      <w:pPr>
        <w:pStyle w:val="aa"/>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הקשו אמאי בעי דרשא, הא כיון דקנאה ממילא חייב עליה משום אשת איש ואשת אח. [ועד"ז סברת ה</w:t>
      </w:r>
      <w:r w:rsidRPr="00440CAB">
        <w:rPr>
          <w:rFonts w:ascii="Narkisim" w:hAnsi="Narkisim"/>
          <w:b/>
          <w:bCs/>
          <w:rtl/>
        </w:rPr>
        <w:t>גר"ח</w:t>
      </w:r>
      <w:r w:rsidRPr="00440CAB">
        <w:rPr>
          <w:rFonts w:ascii="Narkisim" w:hAnsi="Narkisim"/>
          <w:rtl/>
        </w:rPr>
        <w:t xml:space="preserve"> (הו' לעיל כט.) דאפי' ע"י מאמר פקע זיקת האחין מדין ערוה]. ואי נימא דע"י ביאה גרועה ליכא איסור אשת איש ניחא. ואפשר דמ"מ נתחדש דהוה מגדרי יבום דסגי בא', ולא מחמת שנאסרת ע"י אישות אחיו</w:t>
      </w:r>
      <w:r w:rsidRPr="00440CAB">
        <w:rPr>
          <w:rStyle w:val="ac"/>
          <w:rFonts w:ascii="Narkisim" w:hAnsi="Narkisim"/>
          <w:rtl/>
        </w:rPr>
        <w:footnoteReference w:id="3390"/>
      </w:r>
      <w:r w:rsidRPr="00440CAB">
        <w:rPr>
          <w:rFonts w:ascii="Narkisim" w:hAnsi="Narkisim"/>
          <w:rtl/>
        </w:rPr>
        <w:t>.</w:t>
      </w:r>
    </w:p>
    <w:p w14:paraId="18AB36D0" w14:textId="77777777" w:rsidR="006074A5" w:rsidRPr="00440CAB" w:rsidRDefault="006074A5" w:rsidP="006074A5">
      <w:pPr>
        <w:bidi/>
        <w:rPr>
          <w:rFonts w:ascii="Narkisim" w:hAnsi="Narkisim" w:cs="Narkisim"/>
        </w:rPr>
      </w:pPr>
      <w:r w:rsidRPr="00440CAB">
        <w:rPr>
          <w:rFonts w:ascii="Narkisim" w:hAnsi="Narkisim" w:cs="Narkisim"/>
          <w:u w:val="single"/>
          <w:rtl/>
        </w:rPr>
        <w:t>בא"ד ובירושלמי וכו' איכא דמוקי פלוגתייהו בהעראה.</w:t>
      </w:r>
      <w:r w:rsidRPr="00440CAB">
        <w:rPr>
          <w:rFonts w:ascii="Narkisim" w:hAnsi="Narkisim" w:cs="Narkisim"/>
          <w:rtl/>
        </w:rPr>
        <w:t xml:space="preserve"> וכ"מ ב</w:t>
      </w:r>
      <w:r w:rsidRPr="00440CAB">
        <w:rPr>
          <w:rFonts w:ascii="Narkisim" w:hAnsi="Narkisim" w:cs="Narkisim"/>
          <w:b/>
          <w:bCs/>
          <w:rtl/>
        </w:rPr>
        <w:t>רמב"ם</w:t>
      </w:r>
      <w:r w:rsidRPr="00440CAB">
        <w:rPr>
          <w:rFonts w:ascii="Narkisim" w:hAnsi="Narkisim" w:cs="Narkisim"/>
          <w:rtl/>
        </w:rPr>
        <w:t xml:space="preserve"> (תרומות ח ו) דסוגיין קאי בהעראה</w:t>
      </w:r>
      <w:r w:rsidRPr="00440CAB">
        <w:rPr>
          <w:rStyle w:val="ac"/>
          <w:rFonts w:ascii="Narkisim" w:hAnsi="Narkisim" w:cs="Narkisim"/>
          <w:rtl/>
        </w:rPr>
        <w:footnoteReference w:id="3391"/>
      </w:r>
      <w:r w:rsidRPr="00440CAB">
        <w:rPr>
          <w:rFonts w:ascii="Narkisim" w:hAnsi="Narkisim" w:cs="Narkisim"/>
          <w:rtl/>
        </w:rPr>
        <w:t>. וכן דייק ה</w:t>
      </w:r>
      <w:r w:rsidRPr="00440CAB">
        <w:rPr>
          <w:rFonts w:ascii="Narkisim" w:hAnsi="Narkisim" w:cs="Narkisim"/>
          <w:b/>
          <w:bCs/>
          <w:rtl/>
        </w:rPr>
        <w:t xml:space="preserve">רמב"ן </w:t>
      </w:r>
      <w:r w:rsidRPr="00440CAB">
        <w:rPr>
          <w:rFonts w:ascii="Narkisim" w:hAnsi="Narkisim" w:cs="Narkisim"/>
          <w:rtl/>
        </w:rPr>
        <w:t>מדברי ה</w:t>
      </w:r>
      <w:r w:rsidRPr="00440CAB">
        <w:rPr>
          <w:rFonts w:ascii="Narkisim" w:hAnsi="Narkisim" w:cs="Narkisim"/>
          <w:b/>
          <w:bCs/>
          <w:rtl/>
        </w:rPr>
        <w:t>רי"ף</w:t>
      </w:r>
      <w:r w:rsidRPr="00440CAB">
        <w:rPr>
          <w:rFonts w:ascii="Narkisim" w:hAnsi="Narkisim" w:cs="Narkisim"/>
          <w:rtl/>
        </w:rPr>
        <w:t>. ותוס' (לעיל) הקשו דהעראה קני בעלמא, והוה ביאה בכל התורה [חוץ משפחה חרופה]</w:t>
      </w:r>
      <w:r w:rsidRPr="00440CAB">
        <w:rPr>
          <w:rStyle w:val="ac"/>
          <w:rFonts w:ascii="Narkisim" w:hAnsi="Narkisim" w:cs="Narkisim"/>
          <w:rtl/>
        </w:rPr>
        <w:footnoteReference w:id="3392"/>
      </w:r>
      <w:r w:rsidRPr="00440CAB">
        <w:rPr>
          <w:rFonts w:ascii="Narkisim" w:hAnsi="Narkisim" w:cs="Narkisim"/>
          <w:rtl/>
        </w:rPr>
        <w:t>.</w:t>
      </w:r>
    </w:p>
    <w:p w14:paraId="7B628ABF"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 xml:space="preserve">רמב"ן </w:t>
      </w:r>
      <w:r w:rsidRPr="00440CAB">
        <w:rPr>
          <w:rFonts w:ascii="Narkisim" w:hAnsi="Narkisim"/>
          <w:rtl/>
        </w:rPr>
        <w:t>כת' לפרש דדברי ה</w:t>
      </w:r>
      <w:r w:rsidRPr="00440CAB">
        <w:rPr>
          <w:rFonts w:ascii="Narkisim" w:hAnsi="Narkisim"/>
          <w:b/>
          <w:bCs/>
          <w:rtl/>
        </w:rPr>
        <w:t xml:space="preserve">ירושלמי </w:t>
      </w:r>
      <w:r w:rsidRPr="00440CAB">
        <w:rPr>
          <w:rFonts w:ascii="Narkisim" w:hAnsi="Narkisim"/>
          <w:rtl/>
        </w:rPr>
        <w:t>קאי בהעראה בשוגג. ודעת הירושלמי דבגמר ביאה קנאה לכל אפי' בשוגג.</w:t>
      </w:r>
    </w:p>
    <w:p w14:paraId="0E71C2A4" w14:textId="77777777" w:rsidR="006074A5" w:rsidRPr="00440CAB" w:rsidRDefault="006074A5" w:rsidP="006074A5">
      <w:pPr>
        <w:pStyle w:val="aa"/>
        <w:bidi/>
        <w:rPr>
          <w:rFonts w:ascii="Narkisim" w:hAnsi="Narkisim"/>
        </w:rPr>
      </w:pPr>
      <w:r w:rsidRPr="00440CAB">
        <w:rPr>
          <w:rFonts w:ascii="Narkisim" w:hAnsi="Narkisim"/>
          <w:u w:val="single"/>
          <w:rtl/>
        </w:rPr>
        <w:t>מן הנישואין לד"ה אכלה, דהא הות קאכלה מעיקרא וכו'</w:t>
      </w:r>
      <w:r w:rsidRPr="00440CAB">
        <w:rPr>
          <w:rFonts w:ascii="Narkisim" w:hAnsi="Narkisim"/>
          <w:rtl/>
        </w:rPr>
        <w:t>. פ</w:t>
      </w:r>
      <w:r w:rsidRPr="00440CAB">
        <w:rPr>
          <w:rFonts w:ascii="Narkisim" w:hAnsi="Narkisim"/>
          <w:b/>
          <w:bCs/>
          <w:rtl/>
        </w:rPr>
        <w:t>רש"י</w:t>
      </w:r>
      <w:r w:rsidRPr="00440CAB">
        <w:rPr>
          <w:rFonts w:ascii="Narkisim" w:hAnsi="Narkisim"/>
          <w:rtl/>
        </w:rPr>
        <w:t xml:space="preserve"> ואף דמת ובטלה קנינו, אפ"ה ביאה גרועה קני להאכיל, ולהחזיר אכילתה. [לכאורה משמע דהוה סברא לאכילת תרומה. דכיון דאכלה מעיקרא, בקל קונה שוב. ע"ע בסמוך].</w:t>
      </w:r>
    </w:p>
    <w:p w14:paraId="3D44CDCB" w14:textId="77777777" w:rsidR="006074A5" w:rsidRPr="00440CAB" w:rsidRDefault="006074A5" w:rsidP="006074A5">
      <w:pPr>
        <w:bidi/>
        <w:rPr>
          <w:rFonts w:ascii="Narkisim" w:hAnsi="Narkisim" w:cs="Narkisim"/>
        </w:rPr>
      </w:pPr>
      <w:r w:rsidRPr="00440CAB">
        <w:rPr>
          <w:rFonts w:ascii="Narkisim" w:hAnsi="Narkisim" w:cs="Narkisim"/>
          <w:u w:val="single"/>
          <w:rtl/>
        </w:rPr>
        <w:t>דהא רבי רחמנא ביאת שוגג כמזיד וכו' ושמואל אמר וכו' לאוקמי במקום בעל וכו'.</w:t>
      </w:r>
      <w:r w:rsidRPr="00440CAB">
        <w:rPr>
          <w:rFonts w:ascii="Narkisim" w:hAnsi="Narkisim" w:cs="Narkisim"/>
          <w:rtl/>
        </w:rPr>
        <w:t xml:space="preserve"> [ולל"ב דעת שמואל נתרבה רק לדברים הכתובים בפרשה, ול"מ אף לאוקמי כבעל].</w:t>
      </w:r>
    </w:p>
    <w:p w14:paraId="1397B1C7" w14:textId="77777777" w:rsidR="006074A5" w:rsidRPr="00440CAB" w:rsidRDefault="006074A5" w:rsidP="006074A5">
      <w:pPr>
        <w:pStyle w:val="aa"/>
        <w:bidi/>
        <w:rPr>
          <w:rFonts w:ascii="Narkisim" w:hAnsi="Narkisim"/>
        </w:rPr>
      </w:pPr>
      <w:r w:rsidRPr="00440CAB">
        <w:rPr>
          <w:rFonts w:ascii="Narkisim" w:hAnsi="Narkisim"/>
          <w:u w:val="single"/>
          <w:rtl/>
        </w:rPr>
        <w:t>לאוקמי במקום בעל וכו' לאלומי מבעל לא.</w:t>
      </w:r>
      <w:r w:rsidRPr="00440CAB">
        <w:rPr>
          <w:rFonts w:ascii="Narkisim" w:hAnsi="Narkisim"/>
          <w:rtl/>
        </w:rPr>
        <w:t xml:space="preserve"> משמע דקנין יבום מהני להמשיך אישות המת, ובנוסף לזה נתחדש דקנין יבום הוה נישואין, להחשב כאשתו לכל דבר. והקנין הנוסף הזה נחשב חידוש. ולדברי הרמב"ן החילוק בזה הוה סברא רק לענין תרומה.</w:t>
      </w:r>
    </w:p>
    <w:p w14:paraId="3D8BC847" w14:textId="77777777" w:rsidR="006074A5" w:rsidRPr="00440CAB" w:rsidRDefault="006074A5" w:rsidP="006074A5">
      <w:pPr>
        <w:bidi/>
        <w:rPr>
          <w:rFonts w:ascii="Narkisim" w:hAnsi="Narkisim" w:cs="Narkisim"/>
        </w:rPr>
      </w:pPr>
      <w:r w:rsidRPr="00440CAB">
        <w:rPr>
          <w:rFonts w:ascii="Narkisim" w:hAnsi="Narkisim" w:cs="Narkisim"/>
          <w:u w:val="single"/>
          <w:rtl/>
        </w:rPr>
        <w:t>תוד"ה מן הנישואין.</w:t>
      </w:r>
      <w:r w:rsidRPr="00440CAB">
        <w:rPr>
          <w:rFonts w:ascii="Narkisim" w:hAnsi="Narkisim" w:cs="Narkisim"/>
          <w:rtl/>
        </w:rPr>
        <w:t xml:space="preserve"> וה"ה דהמ"ל ליורשה ולטמא לה וכו'. מבואר בתוס' דהחילוק בין נשואה מעיקרא </w:t>
      </w:r>
      <w:r w:rsidRPr="00440CAB">
        <w:rPr>
          <w:rFonts w:ascii="Narkisim" w:hAnsi="Narkisim" w:cs="Narkisim"/>
          <w:sz w:val="20"/>
          <w:szCs w:val="20"/>
          <w:rtl/>
        </w:rPr>
        <w:t>[לל"ק אליבא דשמואל, ולל"ב אליבא דרב]</w:t>
      </w:r>
      <w:r w:rsidRPr="00440CAB">
        <w:rPr>
          <w:rFonts w:ascii="Narkisim" w:hAnsi="Narkisim" w:cs="Narkisim"/>
          <w:rtl/>
        </w:rPr>
        <w:t xml:space="preserve"> הוה לכל גדרי נישואין. דכיון דהיתה כבר נשואה מהני הקנין לאוקמי במקום בעל.</w:t>
      </w:r>
    </w:p>
    <w:p w14:paraId="368F3358" w14:textId="77777777" w:rsidR="006074A5" w:rsidRPr="00440CAB" w:rsidRDefault="006074A5" w:rsidP="006074A5">
      <w:pPr>
        <w:pStyle w:val="a7"/>
        <w:bidi/>
        <w:rPr>
          <w:rFonts w:ascii="Narkisim" w:hAnsi="Narkisim"/>
        </w:rPr>
      </w:pPr>
      <w:r w:rsidRPr="00440CAB">
        <w:rPr>
          <w:rFonts w:ascii="Narkisim" w:hAnsi="Narkisim"/>
          <w:rtl/>
        </w:rPr>
        <w:t xml:space="preserve">אבל </w:t>
      </w:r>
      <w:r w:rsidRPr="00440CAB">
        <w:rPr>
          <w:rFonts w:ascii="Narkisim" w:hAnsi="Narkisim"/>
          <w:b/>
          <w:bCs/>
          <w:rtl/>
        </w:rPr>
        <w:t>תוס</w:t>
      </w:r>
      <w:r w:rsidRPr="00440CAB">
        <w:rPr>
          <w:rFonts w:ascii="Narkisim" w:hAnsi="Narkisim"/>
          <w:rtl/>
        </w:rPr>
        <w:t>' (סוטה כד: ד"ה דהאמר) כתבו הני לישני [דפליגי ביבמה מן האירוסין] לא שייכא דוקא לענין תרומה שכבר אכלה, אבל לענין להשקותה וליורשה ולטמא לה אין חילוק. וכן משמע מדברי רש"י דהנידון לענין תרומה.</w:t>
      </w:r>
    </w:p>
    <w:p w14:paraId="2EB191DC" w14:textId="77777777" w:rsidR="006074A5" w:rsidRPr="00440CAB" w:rsidRDefault="006074A5" w:rsidP="006074A5">
      <w:pPr>
        <w:pStyle w:val="a7"/>
        <w:bidi/>
        <w:rPr>
          <w:rFonts w:ascii="Narkisim" w:hAnsi="Narkisim"/>
        </w:rPr>
      </w:pPr>
      <w:r w:rsidRPr="00440CAB">
        <w:rPr>
          <w:rFonts w:ascii="Narkisim" w:hAnsi="Narkisim"/>
          <w:rtl/>
        </w:rPr>
        <w:t>וכ"כ ה</w:t>
      </w:r>
      <w:r w:rsidRPr="00440CAB">
        <w:rPr>
          <w:rFonts w:ascii="Narkisim" w:hAnsi="Narkisim"/>
          <w:b/>
          <w:bCs/>
          <w:rtl/>
        </w:rPr>
        <w:t>רמב"ן</w:t>
      </w:r>
      <w:r w:rsidRPr="00440CAB">
        <w:rPr>
          <w:rFonts w:ascii="Narkisim" w:hAnsi="Narkisim"/>
          <w:rtl/>
        </w:rPr>
        <w:t xml:space="preserve"> ו</w:t>
      </w:r>
      <w:r w:rsidRPr="00440CAB">
        <w:rPr>
          <w:rFonts w:ascii="Narkisim" w:hAnsi="Narkisim"/>
          <w:b/>
          <w:bCs/>
          <w:rtl/>
        </w:rPr>
        <w:t>רשב"א</w:t>
      </w:r>
      <w:r w:rsidRPr="00440CAB">
        <w:rPr>
          <w:rFonts w:ascii="Narkisim" w:hAnsi="Narkisim"/>
          <w:rtl/>
        </w:rPr>
        <w:t xml:space="preserve"> (בסוגיין) דלל"ק מן הנישואין אוכלת בתרומה, אף דל"ק ליורשה ולטמא לה. ומן התורה כיון דקנאה אוכלת בתרומה [דכיון דקנאה להתחייב משום אשת איש הוה כמו ארוסה]. וללישנא בתרא לדעת רב אף מהאירוסין קנאה לשאר מילי כנשואה, אלא דאינה אוכלת בתרומה, דגזרינן שלא יאמרו נישואין שלא מדעת מאכילים בתרומה, כדאמרי' בחרש.</w:t>
      </w:r>
    </w:p>
    <w:p w14:paraId="6D35650F" w14:textId="77777777" w:rsidR="006074A5" w:rsidRPr="00440CAB" w:rsidRDefault="006074A5" w:rsidP="006074A5">
      <w:pPr>
        <w:pStyle w:val="a7"/>
        <w:bidi/>
        <w:rPr>
          <w:rFonts w:ascii="Narkisim" w:hAnsi="Narkisim"/>
        </w:rPr>
      </w:pPr>
      <w:r w:rsidRPr="00440CAB">
        <w:rPr>
          <w:rFonts w:ascii="Narkisim" w:hAnsi="Narkisim"/>
          <w:rtl/>
        </w:rPr>
        <w:t>וכן ה</w:t>
      </w:r>
      <w:r w:rsidRPr="00440CAB">
        <w:rPr>
          <w:rFonts w:ascii="Narkisim" w:hAnsi="Narkisim"/>
          <w:b/>
          <w:bCs/>
          <w:rtl/>
        </w:rPr>
        <w:t>רמב"ם</w:t>
      </w:r>
      <w:r w:rsidRPr="00440CAB">
        <w:rPr>
          <w:rFonts w:ascii="Narkisim" w:hAnsi="Narkisim"/>
          <w:rtl/>
        </w:rPr>
        <w:t xml:space="preserve"> (תרומות ח ו) הביא את החילוק בין ארוסה מעיקרא רק לענין תרומה [ופסק כרב, וכל"ב]. וה</w:t>
      </w:r>
      <w:r w:rsidRPr="00440CAB">
        <w:rPr>
          <w:rFonts w:ascii="Narkisim" w:hAnsi="Narkisim"/>
          <w:b/>
          <w:bCs/>
          <w:rtl/>
        </w:rPr>
        <w:t>ב"י</w:t>
      </w:r>
      <w:r w:rsidRPr="00440CAB">
        <w:rPr>
          <w:rFonts w:ascii="Narkisim" w:hAnsi="Narkisim"/>
          <w:rtl/>
        </w:rPr>
        <w:t xml:space="preserve"> (קסו) דייק דלשאר דברים קנה אף ביאה גרועה. דהרמב"ם ס"ל דמח' [רב ושמואל</w:t>
      </w:r>
      <w:r w:rsidRPr="00440CAB">
        <w:rPr>
          <w:rStyle w:val="ac"/>
          <w:rFonts w:ascii="Narkisim" w:hAnsi="Narkisim"/>
          <w:rtl/>
        </w:rPr>
        <w:footnoteReference w:id="3393"/>
      </w:r>
      <w:r w:rsidRPr="00440CAB">
        <w:rPr>
          <w:rFonts w:ascii="Narkisim" w:hAnsi="Narkisim"/>
          <w:rtl/>
        </w:rPr>
        <w:t>] הוה דוקא לענין תרומה. אבל לשאר מילי קנה</w:t>
      </w:r>
      <w:r w:rsidRPr="00440CAB">
        <w:rPr>
          <w:rStyle w:val="ac"/>
          <w:rFonts w:ascii="Narkisim" w:hAnsi="Narkisim"/>
          <w:rtl/>
        </w:rPr>
        <w:footnoteReference w:id="3394"/>
      </w:r>
      <w:r w:rsidRPr="00440CAB">
        <w:rPr>
          <w:rFonts w:ascii="Narkisim" w:hAnsi="Narkisim"/>
          <w:rtl/>
        </w:rPr>
        <w:t>.</w:t>
      </w:r>
    </w:p>
    <w:p w14:paraId="3472DCDF" w14:textId="77777777" w:rsidR="006074A5" w:rsidRPr="00440CAB" w:rsidRDefault="006074A5" w:rsidP="006074A5">
      <w:pPr>
        <w:pStyle w:val="a8"/>
        <w:bidi/>
        <w:rPr>
          <w:rFonts w:ascii="Narkisim" w:hAnsi="Narkisim"/>
        </w:rPr>
      </w:pPr>
      <w:r w:rsidRPr="00440CAB">
        <w:rPr>
          <w:rFonts w:ascii="Narkisim" w:hAnsi="Narkisim"/>
          <w:rtl/>
        </w:rPr>
        <w:lastRenderedPageBreak/>
        <w:t>וה</w:t>
      </w:r>
      <w:r w:rsidRPr="00440CAB">
        <w:rPr>
          <w:rFonts w:ascii="Narkisim" w:hAnsi="Narkisim"/>
          <w:b/>
          <w:bCs/>
          <w:rtl/>
        </w:rPr>
        <w:t>אבנ"מ</w:t>
      </w:r>
      <w:r w:rsidRPr="00440CAB">
        <w:rPr>
          <w:rFonts w:ascii="Narkisim" w:hAnsi="Narkisim"/>
          <w:rtl/>
        </w:rPr>
        <w:t xml:space="preserve"> (שו"ת יז) הביא דביאה גרועה קנה להחשב נשואה [אף לשמואל], ורק שאינה אוכלת בתרומה. וה</w:t>
      </w:r>
      <w:r w:rsidRPr="00440CAB">
        <w:rPr>
          <w:rFonts w:ascii="Narkisim" w:hAnsi="Narkisim"/>
          <w:b/>
          <w:bCs/>
          <w:rtl/>
        </w:rPr>
        <w:t>אבנ"מ</w:t>
      </w:r>
      <w:r w:rsidRPr="00440CAB">
        <w:rPr>
          <w:rFonts w:ascii="Narkisim" w:hAnsi="Narkisim"/>
          <w:rtl/>
        </w:rPr>
        <w:t xml:space="preserve"> ביאר דאכילת תרומה תליא בקנין כספו [במעשה הקנין, ואיתקיש הווית להדדי. וקנין יבום לא איתרבי].</w:t>
      </w:r>
    </w:p>
    <w:p w14:paraId="35902A8F" w14:textId="77777777" w:rsidR="006074A5" w:rsidRPr="00440CAB" w:rsidRDefault="006074A5" w:rsidP="006074A5">
      <w:pPr>
        <w:bidi/>
        <w:rPr>
          <w:rFonts w:ascii="Narkisim" w:hAnsi="Narkisim" w:cs="Narkisim"/>
        </w:rPr>
      </w:pPr>
      <w:r w:rsidRPr="00440CAB">
        <w:rPr>
          <w:rFonts w:ascii="Narkisim" w:hAnsi="Narkisim" w:cs="Narkisim"/>
          <w:u w:val="single"/>
          <w:rtl/>
        </w:rPr>
        <w:t>דא"ר נחמן אמר שמואל כל שהבעל מאכיל יבם מאכיל וכו'.</w:t>
      </w:r>
      <w:r w:rsidRPr="00440CAB">
        <w:rPr>
          <w:rFonts w:ascii="Narkisim" w:hAnsi="Narkisim" w:cs="Narkisim"/>
          <w:rtl/>
        </w:rPr>
        <w:t xml:space="preserve"> [אחר היבום]. ב</w:t>
      </w:r>
      <w:r w:rsidRPr="00440CAB">
        <w:rPr>
          <w:rFonts w:ascii="Narkisim" w:hAnsi="Narkisim" w:cs="Narkisim"/>
          <w:b/>
          <w:bCs/>
          <w:rtl/>
        </w:rPr>
        <w:t xml:space="preserve">תוס' חד מקמאי </w:t>
      </w:r>
      <w:r w:rsidRPr="00440CAB">
        <w:rPr>
          <w:rFonts w:ascii="Narkisim" w:hAnsi="Narkisim" w:cs="Narkisim"/>
          <w:rtl/>
        </w:rPr>
        <w:t xml:space="preserve">הביא דמבואר בסוגיין דבעודה שומרת יבם אינה אוכלת בתרומה, אף כשאכלה תחת הבעל. ודלא כדעת </w:t>
      </w:r>
      <w:r w:rsidRPr="00440CAB">
        <w:rPr>
          <w:rFonts w:ascii="Narkisim" w:hAnsi="Narkisim" w:cs="Narkisim"/>
          <w:b/>
          <w:bCs/>
          <w:rtl/>
        </w:rPr>
        <w:t>ר"ת</w:t>
      </w:r>
      <w:r w:rsidRPr="00440CAB">
        <w:rPr>
          <w:rFonts w:ascii="Narkisim" w:hAnsi="Narkisim" w:cs="Narkisim"/>
          <w:rtl/>
        </w:rPr>
        <w:t xml:space="preserve"> (בתוס' לקמן סז: וכתובות נח.) דיבם מאכיל בתרומה מדאורייתא. ואף מדרבנן היכא דאכלה תחת לבעל אוכלת בעודה שומרת יבם.</w:t>
      </w:r>
    </w:p>
    <w:p w14:paraId="76BD77BA" w14:textId="77777777" w:rsidR="006074A5" w:rsidRPr="00440CAB" w:rsidRDefault="006074A5" w:rsidP="006074A5">
      <w:pPr>
        <w:pStyle w:val="a8"/>
        <w:bidi/>
        <w:rPr>
          <w:rFonts w:ascii="Narkisim" w:hAnsi="Narkisim"/>
        </w:rPr>
      </w:pPr>
      <w:r w:rsidRPr="00440CAB">
        <w:rPr>
          <w:rFonts w:ascii="Narkisim" w:hAnsi="Narkisim"/>
          <w:rtl/>
        </w:rPr>
        <w:t>וב</w:t>
      </w:r>
      <w:r w:rsidRPr="00440CAB">
        <w:rPr>
          <w:rFonts w:ascii="Narkisim" w:hAnsi="Narkisim"/>
          <w:b/>
          <w:bCs/>
          <w:rtl/>
        </w:rPr>
        <w:t>משנת ר' אהרן</w:t>
      </w:r>
      <w:r w:rsidRPr="00440CAB">
        <w:rPr>
          <w:rFonts w:ascii="Narkisim" w:hAnsi="Narkisim"/>
          <w:rtl/>
        </w:rPr>
        <w:t xml:space="preserve"> (כו) העמיד דנח' הראשונים בסברת ר"ת, דדעת </w:t>
      </w:r>
      <w:r w:rsidRPr="00440CAB">
        <w:rPr>
          <w:rFonts w:ascii="Narkisim" w:hAnsi="Narkisim"/>
          <w:b/>
          <w:bCs/>
          <w:rtl/>
        </w:rPr>
        <w:t>תוס</w:t>
      </w:r>
      <w:r w:rsidRPr="00440CAB">
        <w:rPr>
          <w:rFonts w:ascii="Narkisim" w:hAnsi="Narkisim"/>
          <w:rtl/>
        </w:rPr>
        <w:t>' דאוכלת מחמת הזיקה ליבם</w:t>
      </w:r>
      <w:r w:rsidRPr="00440CAB">
        <w:rPr>
          <w:rStyle w:val="ac"/>
          <w:rFonts w:ascii="Narkisim" w:hAnsi="Narkisim"/>
          <w:rtl/>
        </w:rPr>
        <w:footnoteReference w:id="3395"/>
      </w:r>
      <w:r w:rsidRPr="00440CAB">
        <w:rPr>
          <w:rFonts w:ascii="Narkisim" w:hAnsi="Narkisim"/>
          <w:rtl/>
        </w:rPr>
        <w:t>, ואילו ה</w:t>
      </w:r>
      <w:r w:rsidRPr="00440CAB">
        <w:rPr>
          <w:rFonts w:ascii="Narkisim" w:hAnsi="Narkisim"/>
          <w:b/>
          <w:bCs/>
          <w:rtl/>
        </w:rPr>
        <w:t>ריטב"א</w:t>
      </w:r>
      <w:r w:rsidRPr="00440CAB">
        <w:rPr>
          <w:rFonts w:ascii="Narkisim" w:hAnsi="Narkisim"/>
          <w:rtl/>
        </w:rPr>
        <w:t xml:space="preserve"> (כתובות שם) כתב דאוכלת מחמת קנין הבעל [המת], דלא פקע קנינו כיון דזקוקה ליבם. ועפ"ז תי' דהנידון הכא כדי לאכול מחמת היבם.</w:t>
      </w:r>
    </w:p>
    <w:p w14:paraId="5DA71B39" w14:textId="77777777" w:rsidR="006074A5" w:rsidRPr="00440CAB" w:rsidRDefault="006074A5" w:rsidP="006074A5">
      <w:pPr>
        <w:pStyle w:val="aa"/>
        <w:bidi/>
        <w:rPr>
          <w:rFonts w:ascii="Narkisim" w:hAnsi="Narkisim"/>
        </w:rPr>
      </w:pPr>
      <w:r w:rsidRPr="00440CAB">
        <w:rPr>
          <w:rFonts w:ascii="Narkisim" w:hAnsi="Narkisim"/>
          <w:u w:val="single"/>
          <w:rtl/>
        </w:rPr>
        <w:t>נפלה לפני יבם חרש אוכלת.</w:t>
      </w:r>
      <w:r w:rsidRPr="00440CAB">
        <w:rPr>
          <w:rFonts w:ascii="Narkisim" w:hAnsi="Narkisim"/>
          <w:rtl/>
        </w:rPr>
        <w:t xml:space="preserve"> בפשוטו מבואר דחרש קונה את יבמתו מדאורייתא [ולא ממעטינן ליה כאשת קטן]. אלא דנחשב כביאת שוגג</w:t>
      </w:r>
      <w:r w:rsidRPr="00440CAB">
        <w:rPr>
          <w:rStyle w:val="ac"/>
          <w:rFonts w:ascii="Narkisim" w:hAnsi="Narkisim"/>
          <w:rtl/>
        </w:rPr>
        <w:footnoteReference w:id="3396"/>
      </w:r>
      <w:r w:rsidRPr="00440CAB">
        <w:rPr>
          <w:rFonts w:ascii="Narkisim" w:hAnsi="Narkisim"/>
          <w:rtl/>
        </w:rPr>
        <w:t>.</w:t>
      </w:r>
    </w:p>
    <w:p w14:paraId="6ECC2EE6" w14:textId="77777777" w:rsidR="006074A5" w:rsidRPr="00440CAB" w:rsidRDefault="006074A5" w:rsidP="006074A5">
      <w:pPr>
        <w:bidi/>
        <w:rPr>
          <w:rFonts w:ascii="Narkisim" w:hAnsi="Narkisim" w:cs="Narkisim"/>
        </w:rPr>
      </w:pPr>
      <w:r w:rsidRPr="00440CAB">
        <w:rPr>
          <w:rFonts w:ascii="Narkisim" w:hAnsi="Narkisim" w:cs="Narkisim"/>
          <w:u w:val="single"/>
          <w:rtl/>
        </w:rPr>
        <w:t>תוד"ה מת.</w:t>
      </w:r>
      <w:r w:rsidRPr="00440CAB">
        <w:rPr>
          <w:rFonts w:ascii="Narkisim" w:hAnsi="Narkisim" w:cs="Narkisim"/>
          <w:rtl/>
        </w:rPr>
        <w:t xml:space="preserve"> ואור"י דלא חיישי' לסמפון אלא כשיכול הדבר להתגלות וכו'. מבואר בתוס' דאף דבשעת קידושין אילו ידע שיש בה מום היה מקפיד</w:t>
      </w:r>
      <w:r w:rsidRPr="00440CAB">
        <w:rPr>
          <w:rStyle w:val="ac"/>
          <w:rFonts w:ascii="Narkisim" w:hAnsi="Narkisim" w:cs="Narkisim"/>
          <w:rtl/>
        </w:rPr>
        <w:footnoteReference w:id="3397"/>
      </w:r>
      <w:r w:rsidRPr="00440CAB">
        <w:rPr>
          <w:rFonts w:ascii="Narkisim" w:hAnsi="Narkisim" w:cs="Narkisim"/>
          <w:rtl/>
        </w:rPr>
        <w:t>, אפ"ה לא הוה מקח טעות כיון דלא נודע לו</w:t>
      </w:r>
      <w:r w:rsidRPr="00440CAB">
        <w:rPr>
          <w:rStyle w:val="ac"/>
          <w:rFonts w:ascii="Narkisim" w:hAnsi="Narkisim" w:cs="Narkisim"/>
          <w:rtl/>
        </w:rPr>
        <w:footnoteReference w:id="3398"/>
      </w:r>
      <w:r w:rsidRPr="00440CAB">
        <w:rPr>
          <w:rFonts w:ascii="Narkisim" w:hAnsi="Narkisim" w:cs="Narkisim"/>
          <w:rtl/>
        </w:rPr>
        <w:t>. [דגדר מקח טעות תלי בקפידא לבסוף</w:t>
      </w:r>
      <w:r w:rsidRPr="00440CAB">
        <w:rPr>
          <w:rStyle w:val="ac"/>
          <w:rFonts w:ascii="Narkisim" w:hAnsi="Narkisim" w:cs="Narkisim"/>
          <w:rtl/>
        </w:rPr>
        <w:footnoteReference w:id="3399"/>
      </w:r>
      <w:r w:rsidRPr="00440CAB">
        <w:rPr>
          <w:rFonts w:ascii="Narkisim" w:hAnsi="Narkisim" w:cs="Narkisim"/>
          <w:rtl/>
        </w:rPr>
        <w:t>].</w:t>
      </w:r>
      <w:r w:rsidRPr="00440CAB">
        <w:rPr>
          <w:rFonts w:ascii="Narkisim" w:hAnsi="Narkisim" w:cs="Narkisim"/>
          <w:sz w:val="20"/>
          <w:szCs w:val="20"/>
          <w:rtl/>
        </w:rPr>
        <w:t xml:space="preserve"> וב</w:t>
      </w:r>
      <w:r w:rsidRPr="00440CAB">
        <w:rPr>
          <w:rFonts w:ascii="Narkisim" w:hAnsi="Narkisim" w:cs="Narkisim"/>
          <w:b/>
          <w:bCs/>
          <w:sz w:val="20"/>
          <w:szCs w:val="20"/>
          <w:rtl/>
        </w:rPr>
        <w:t>חי' ר' מאיר שמחה</w:t>
      </w:r>
      <w:r w:rsidRPr="00440CAB">
        <w:rPr>
          <w:rFonts w:ascii="Narkisim" w:hAnsi="Narkisim" w:cs="Narkisim"/>
          <w:sz w:val="20"/>
          <w:szCs w:val="20"/>
          <w:rtl/>
        </w:rPr>
        <w:t xml:space="preserve"> ביאר דלא דמי לשאר מקח, דדמיו פחותים מחמת המום, אבל אשה לא חזי אלא לדידיה, וכיון דלא אתוודע כל ימי חייו תו לא קפיד. [אבל ה</w:t>
      </w:r>
      <w:r w:rsidRPr="00440CAB">
        <w:rPr>
          <w:rFonts w:ascii="Narkisim" w:hAnsi="Narkisim" w:cs="Narkisim"/>
          <w:b/>
          <w:bCs/>
          <w:sz w:val="20"/>
          <w:szCs w:val="20"/>
          <w:rtl/>
        </w:rPr>
        <w:t>אחרונים</w:t>
      </w:r>
      <w:r w:rsidRPr="00440CAB">
        <w:rPr>
          <w:rFonts w:ascii="Narkisim" w:hAnsi="Narkisim" w:cs="Narkisim"/>
          <w:sz w:val="20"/>
          <w:szCs w:val="20"/>
          <w:rtl/>
        </w:rPr>
        <w:t xml:space="preserve"> למדו כן אף במום במקח].</w:t>
      </w:r>
    </w:p>
    <w:p w14:paraId="2A301B8D" w14:textId="77777777" w:rsidR="006074A5" w:rsidRPr="00440CAB" w:rsidRDefault="006074A5" w:rsidP="006074A5">
      <w:pPr>
        <w:bidi/>
        <w:rPr>
          <w:rFonts w:ascii="Narkisim" w:hAnsi="Narkisim" w:cs="Narkisim"/>
        </w:rPr>
      </w:pPr>
      <w:r w:rsidRPr="00440CAB">
        <w:rPr>
          <w:rFonts w:ascii="Narkisim" w:hAnsi="Narkisim" w:cs="Narkisim"/>
          <w:u w:val="single"/>
          <w:rtl/>
        </w:rPr>
        <w:t>תוד"ה כל.</w:t>
      </w:r>
      <w:r w:rsidRPr="00440CAB">
        <w:rPr>
          <w:rFonts w:ascii="Narkisim" w:hAnsi="Narkisim" w:cs="Narkisim"/>
          <w:rtl/>
        </w:rPr>
        <w:t xml:space="preserve"> שהבעל מאכיל ע"י חופה שאחריה. לכאורה כוונת התוס' דקונה ע"י הביאה, והנישואין הוה תנאי לאכילה בתרומה. </w:t>
      </w:r>
      <w:r w:rsidRPr="00440CAB">
        <w:rPr>
          <w:rFonts w:ascii="Narkisim" w:hAnsi="Narkisim" w:cs="Narkisim"/>
          <w:sz w:val="20"/>
          <w:szCs w:val="20"/>
          <w:rtl/>
        </w:rPr>
        <w:t>[וכעי"ז כתב ה</w:t>
      </w:r>
      <w:r w:rsidRPr="00440CAB">
        <w:rPr>
          <w:rFonts w:ascii="Narkisim" w:hAnsi="Narkisim" w:cs="Narkisim"/>
          <w:b/>
          <w:bCs/>
          <w:sz w:val="20"/>
          <w:szCs w:val="20"/>
          <w:rtl/>
        </w:rPr>
        <w:t>רשב"א</w:t>
      </w:r>
      <w:r w:rsidRPr="00440CAB">
        <w:rPr>
          <w:rFonts w:ascii="Narkisim" w:hAnsi="Narkisim" w:cs="Narkisim"/>
          <w:sz w:val="20"/>
          <w:szCs w:val="20"/>
          <w:rtl/>
        </w:rPr>
        <w:t xml:space="preserve"> דביאת קידושין ראוי להאכיל מן הדין, אלא שאסרוה חכמים עד שתיכנס לחופה].</w:t>
      </w:r>
      <w:r w:rsidRPr="00440CAB">
        <w:rPr>
          <w:rFonts w:ascii="Narkisim" w:hAnsi="Narkisim" w:cs="Narkisim"/>
          <w:rtl/>
        </w:rPr>
        <w:t xml:space="preserve"> ועוד כתב ה</w:t>
      </w:r>
      <w:r w:rsidRPr="00440CAB">
        <w:rPr>
          <w:rFonts w:ascii="Narkisim" w:hAnsi="Narkisim" w:cs="Narkisim"/>
          <w:b/>
          <w:bCs/>
          <w:rtl/>
        </w:rPr>
        <w:t>רמב"ן</w:t>
      </w:r>
      <w:r w:rsidRPr="00440CAB">
        <w:rPr>
          <w:rFonts w:ascii="Narkisim" w:hAnsi="Narkisim" w:cs="Narkisim"/>
          <w:rtl/>
        </w:rPr>
        <w:t xml:space="preserve"> כגון שהכניסה לחופה ובא עליה לשם קידושין, שבביאה זו נעשית נשואה ומאכיל בה.</w:t>
      </w:r>
    </w:p>
    <w:p w14:paraId="129DBC94" w14:textId="77777777" w:rsidR="006074A5" w:rsidRPr="00440CAB" w:rsidRDefault="006074A5" w:rsidP="006074A5">
      <w:pPr>
        <w:pStyle w:val="a7"/>
        <w:bidi/>
        <w:rPr>
          <w:rFonts w:ascii="Narkisim" w:hAnsi="Narkisim"/>
        </w:rPr>
      </w:pPr>
      <w:r w:rsidRPr="00440CAB">
        <w:rPr>
          <w:rFonts w:ascii="Narkisim" w:hAnsi="Narkisim"/>
          <w:rtl/>
        </w:rPr>
        <w:t>אבל רש"י כת' כגון ביאת חופה. ומשמע דכוונתו כדעת ה</w:t>
      </w:r>
      <w:r w:rsidRPr="00440CAB">
        <w:rPr>
          <w:rFonts w:ascii="Narkisim" w:hAnsi="Narkisim"/>
          <w:b/>
          <w:bCs/>
          <w:rtl/>
        </w:rPr>
        <w:t>רי"ף</w:t>
      </w:r>
      <w:r w:rsidRPr="00440CAB">
        <w:rPr>
          <w:rFonts w:ascii="Narkisim" w:hAnsi="Narkisim"/>
          <w:rtl/>
        </w:rPr>
        <w:t xml:space="preserve"> (לעיל נה:) דביאה עושה נישואין. ועפ"ז ניחא דכוונת הגמ' לביאת נישואין דמאכיל בתרומה.</w:t>
      </w:r>
    </w:p>
    <w:p w14:paraId="485830C3"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ר"ן</w:t>
      </w:r>
      <w:r w:rsidRPr="00440CAB">
        <w:rPr>
          <w:rFonts w:ascii="Narkisim" w:hAnsi="Narkisim"/>
          <w:rtl/>
        </w:rPr>
        <w:t xml:space="preserve"> (קידושין י ה: בדה"ר) דן בזה היכי משכח"ל ביאה שעושה נישואין, דהא כשבא עליה בבית אביה [שלא בכוונת חופה] ודאי ל"ק [כדמבואר לקמן' נח.], ואם הכניסה לרשותו קנה. </w:t>
      </w:r>
      <w:r w:rsidRPr="00440CAB">
        <w:rPr>
          <w:rFonts w:ascii="Narkisim" w:hAnsi="Narkisim"/>
          <w:sz w:val="20"/>
          <w:szCs w:val="20"/>
          <w:rtl/>
        </w:rPr>
        <w:t>וה</w:t>
      </w:r>
      <w:r w:rsidRPr="00440CAB">
        <w:rPr>
          <w:rFonts w:ascii="Narkisim" w:hAnsi="Narkisim"/>
          <w:b/>
          <w:bCs/>
          <w:sz w:val="20"/>
          <w:szCs w:val="20"/>
          <w:rtl/>
        </w:rPr>
        <w:t>רמ"א</w:t>
      </w:r>
      <w:r w:rsidRPr="00440CAB">
        <w:rPr>
          <w:rFonts w:ascii="Narkisim" w:hAnsi="Narkisim"/>
          <w:sz w:val="20"/>
          <w:szCs w:val="20"/>
          <w:rtl/>
        </w:rPr>
        <w:t xml:space="preserve"> (לג א) פסק דביאה עושה נישואין, וה</w:t>
      </w:r>
      <w:r w:rsidRPr="00440CAB">
        <w:rPr>
          <w:rFonts w:ascii="Narkisim" w:hAnsi="Narkisim"/>
          <w:b/>
          <w:bCs/>
          <w:sz w:val="20"/>
          <w:szCs w:val="20"/>
          <w:rtl/>
        </w:rPr>
        <w:t>גר"א</w:t>
      </w:r>
      <w:r w:rsidRPr="00440CAB">
        <w:rPr>
          <w:rFonts w:ascii="Narkisim" w:hAnsi="Narkisim"/>
          <w:sz w:val="20"/>
          <w:szCs w:val="20"/>
          <w:rtl/>
        </w:rPr>
        <w:t xml:space="preserve"> (שם ה) חלק דביאה לחוד אינו עושה נישואין, אלא ע"י חופה. וכגון שהכניסה לביתו.</w:t>
      </w:r>
    </w:p>
    <w:p w14:paraId="7A538F1D" w14:textId="77777777" w:rsidR="006074A5" w:rsidRPr="00440CAB" w:rsidRDefault="006074A5" w:rsidP="006074A5">
      <w:pPr>
        <w:bidi/>
        <w:rPr>
          <w:rFonts w:ascii="Narkisim" w:hAnsi="Narkisim" w:cs="Narkisim"/>
        </w:rPr>
      </w:pPr>
      <w:r w:rsidRPr="00440CAB">
        <w:rPr>
          <w:rFonts w:ascii="Narkisim" w:hAnsi="Narkisim" w:cs="Narkisim"/>
          <w:u w:val="single"/>
          <w:rtl/>
        </w:rPr>
        <w:t>ת"ר וכו' לא הספיק לכונסה עד שנתחרש אינה אוכלת וכו'</w:t>
      </w:r>
      <w:r w:rsidRPr="00440CAB">
        <w:rPr>
          <w:rFonts w:ascii="Narkisim" w:hAnsi="Narkisim" w:cs="Narkisim"/>
          <w:rtl/>
        </w:rPr>
        <w:t>. בפשוטו מבואר דמדאורייתא חרש אינו יכול לעשות נישואין</w:t>
      </w:r>
      <w:r w:rsidRPr="00440CAB">
        <w:rPr>
          <w:rStyle w:val="ac"/>
          <w:rFonts w:ascii="Narkisim" w:hAnsi="Narkisim" w:cs="Narkisim"/>
          <w:rtl/>
        </w:rPr>
        <w:footnoteReference w:id="3400"/>
      </w:r>
      <w:r w:rsidRPr="00440CAB">
        <w:rPr>
          <w:rFonts w:ascii="Narkisim" w:hAnsi="Narkisim" w:cs="Narkisim"/>
          <w:rtl/>
        </w:rPr>
        <w:t>. ולכאורה הוא משום דצריך 'דעת' לקנין נישואין. וה</w:t>
      </w:r>
      <w:r w:rsidRPr="00440CAB">
        <w:rPr>
          <w:rFonts w:ascii="Narkisim" w:hAnsi="Narkisim" w:cs="Narkisim"/>
          <w:b/>
          <w:bCs/>
          <w:rtl/>
        </w:rPr>
        <w:t>קר"א</w:t>
      </w:r>
      <w:r w:rsidRPr="00440CAB">
        <w:rPr>
          <w:rFonts w:ascii="Narkisim" w:hAnsi="Narkisim" w:cs="Narkisim"/>
          <w:rtl/>
        </w:rPr>
        <w:t xml:space="preserve"> הק' מנ"ל דחופה צריך 'קנין', ונימא כיון דהכניסה לביתו ונתייחדה לו דרך נישואין ממילא הוה נשואה</w:t>
      </w:r>
      <w:r w:rsidRPr="00440CAB">
        <w:rPr>
          <w:rStyle w:val="ac"/>
          <w:rFonts w:ascii="Narkisim" w:hAnsi="Narkisim" w:cs="Narkisim"/>
          <w:rtl/>
        </w:rPr>
        <w:footnoteReference w:id="3401"/>
      </w:r>
      <w:r w:rsidRPr="00440CAB">
        <w:rPr>
          <w:rFonts w:ascii="Narkisim" w:hAnsi="Narkisim" w:cs="Narkisim"/>
          <w:rtl/>
        </w:rPr>
        <w:t>. ואף בחרש נימא הכי</w:t>
      </w:r>
      <w:r w:rsidRPr="00440CAB">
        <w:rPr>
          <w:rStyle w:val="ac"/>
          <w:rFonts w:ascii="Narkisim" w:hAnsi="Narkisim" w:cs="Narkisim"/>
          <w:rtl/>
        </w:rPr>
        <w:footnoteReference w:id="3402"/>
      </w:r>
      <w:r w:rsidRPr="00440CAB">
        <w:rPr>
          <w:rFonts w:ascii="Narkisim" w:hAnsi="Narkisim" w:cs="Narkisim"/>
          <w:rtl/>
        </w:rPr>
        <w:t>.</w:t>
      </w:r>
    </w:p>
    <w:p w14:paraId="72A64969" w14:textId="77777777" w:rsidR="006074A5" w:rsidRPr="00440CAB" w:rsidRDefault="006074A5" w:rsidP="006074A5">
      <w:pPr>
        <w:pStyle w:val="a7"/>
        <w:bidi/>
        <w:rPr>
          <w:rFonts w:ascii="Narkisim" w:hAnsi="Narkisim"/>
        </w:rPr>
      </w:pPr>
      <w:r w:rsidRPr="00440CAB">
        <w:rPr>
          <w:rFonts w:ascii="Narkisim" w:hAnsi="Narkisim"/>
          <w:rtl/>
        </w:rPr>
        <w:lastRenderedPageBreak/>
        <w:t>וה</w:t>
      </w:r>
      <w:r w:rsidRPr="00440CAB">
        <w:rPr>
          <w:rFonts w:ascii="Narkisim" w:hAnsi="Narkisim"/>
          <w:b/>
          <w:bCs/>
          <w:rtl/>
        </w:rPr>
        <w:t>אחרונים</w:t>
      </w:r>
      <w:r w:rsidRPr="00440CAB">
        <w:rPr>
          <w:rFonts w:ascii="Narkisim" w:hAnsi="Narkisim"/>
          <w:rtl/>
        </w:rPr>
        <w:t xml:space="preserve"> הביאו דכ"מ מדברי ה</w:t>
      </w:r>
      <w:r w:rsidRPr="00440CAB">
        <w:rPr>
          <w:rFonts w:ascii="Narkisim" w:hAnsi="Narkisim"/>
          <w:b/>
          <w:bCs/>
          <w:rtl/>
        </w:rPr>
        <w:t>מרדכי</w:t>
      </w:r>
      <w:r w:rsidRPr="00440CAB">
        <w:rPr>
          <w:rFonts w:ascii="Narkisim" w:hAnsi="Narkisim"/>
          <w:rtl/>
        </w:rPr>
        <w:t xml:space="preserve"> (קידושין תקמו בשם הר"ש) דמהני נישואין של קטן</w:t>
      </w:r>
      <w:r w:rsidRPr="00440CAB">
        <w:rPr>
          <w:rStyle w:val="ac"/>
          <w:rFonts w:ascii="Narkisim" w:hAnsi="Narkisim"/>
          <w:rtl/>
        </w:rPr>
        <w:footnoteReference w:id="3403"/>
      </w:r>
      <w:r w:rsidRPr="00440CAB">
        <w:rPr>
          <w:rFonts w:ascii="Narkisim" w:hAnsi="Narkisim"/>
          <w:rtl/>
        </w:rPr>
        <w:t xml:space="preserve">. </w:t>
      </w:r>
      <w:r w:rsidRPr="00440CAB">
        <w:rPr>
          <w:rFonts w:ascii="Narkisim" w:hAnsi="Narkisim"/>
          <w:szCs w:val="20"/>
          <w:rtl/>
        </w:rPr>
        <w:t>[וה</w:t>
      </w:r>
      <w:r w:rsidRPr="00440CAB">
        <w:rPr>
          <w:rFonts w:ascii="Narkisim" w:hAnsi="Narkisim"/>
          <w:b/>
          <w:bCs/>
          <w:szCs w:val="20"/>
          <w:rtl/>
        </w:rPr>
        <w:t>אחרונים</w:t>
      </w:r>
      <w:r w:rsidRPr="00440CAB">
        <w:rPr>
          <w:rFonts w:ascii="Narkisim" w:hAnsi="Narkisim"/>
          <w:szCs w:val="20"/>
          <w:rtl/>
        </w:rPr>
        <w:t xml:space="preserve"> העמידו דעד"ז נח' הראשונים</w:t>
      </w:r>
      <w:r w:rsidRPr="00440CAB">
        <w:rPr>
          <w:rStyle w:val="ac"/>
          <w:rFonts w:ascii="Narkisim" w:hAnsi="Narkisim"/>
          <w:szCs w:val="20"/>
          <w:rtl/>
        </w:rPr>
        <w:footnoteReference w:id="3404"/>
      </w:r>
      <w:r w:rsidRPr="00440CAB">
        <w:rPr>
          <w:rFonts w:ascii="Narkisim" w:hAnsi="Narkisim"/>
          <w:szCs w:val="20"/>
          <w:rtl/>
        </w:rPr>
        <w:t xml:space="preserve"> בקטנה כשנתקדשה ע"י אביה ומת אביה, האם מהני נישואין בקטנה</w:t>
      </w:r>
      <w:r w:rsidRPr="00440CAB">
        <w:rPr>
          <w:rStyle w:val="ac"/>
          <w:rFonts w:ascii="Narkisim" w:hAnsi="Narkisim"/>
          <w:szCs w:val="20"/>
          <w:rtl/>
        </w:rPr>
        <w:footnoteReference w:id="3405"/>
      </w:r>
      <w:r w:rsidRPr="00440CAB">
        <w:rPr>
          <w:rFonts w:ascii="Narkisim" w:hAnsi="Narkisim"/>
          <w:rtl/>
        </w:rPr>
        <w:t>].</w:t>
      </w:r>
    </w:p>
    <w:p w14:paraId="705B4757" w14:textId="77777777" w:rsidR="006074A5" w:rsidRPr="00440CAB" w:rsidRDefault="006074A5" w:rsidP="006074A5">
      <w:pPr>
        <w:pStyle w:val="a7"/>
        <w:bidi/>
        <w:rPr>
          <w:rFonts w:ascii="Narkisim" w:hAnsi="Narkisim"/>
        </w:rPr>
      </w:pPr>
      <w:r w:rsidRPr="00440CAB">
        <w:rPr>
          <w:rFonts w:ascii="Narkisim" w:hAnsi="Narkisim"/>
          <w:rtl/>
        </w:rPr>
        <w:t>ויש שתי' [לדעת המרדכי] דאף אי נישואי חרש קנה, גזרו נישואי חרש אינו מאכיל בתרומה אטו קידושי חרש (וכמ"ש רש"י, ע' בסמוך).</w:t>
      </w:r>
    </w:p>
    <w:p w14:paraId="78CCBABB" w14:textId="77777777" w:rsidR="006074A5" w:rsidRPr="00440CAB" w:rsidRDefault="006074A5" w:rsidP="006074A5">
      <w:pPr>
        <w:pStyle w:val="aa"/>
        <w:bidi/>
        <w:rPr>
          <w:rFonts w:ascii="Narkisim" w:hAnsi="Narkisim"/>
        </w:rPr>
      </w:pPr>
      <w:r w:rsidRPr="00440CAB">
        <w:rPr>
          <w:rFonts w:ascii="Narkisim" w:hAnsi="Narkisim"/>
          <w:rtl/>
        </w:rPr>
        <w:t>והגמ' (גיטין נה.) מק' דכיון דרבנן תקנו לחרש קידושין, א"כ אמאי לא תאכל בתרומה דרבנן</w:t>
      </w:r>
      <w:r w:rsidRPr="00440CAB">
        <w:rPr>
          <w:rStyle w:val="ac"/>
          <w:rFonts w:ascii="Narkisim" w:hAnsi="Narkisim"/>
          <w:rtl/>
        </w:rPr>
        <w:footnoteReference w:id="3406"/>
      </w:r>
      <w:r w:rsidRPr="00440CAB">
        <w:rPr>
          <w:rFonts w:ascii="Narkisim" w:hAnsi="Narkisim"/>
          <w:rtl/>
        </w:rPr>
        <w:t>. והגמ' פי' דהוה גזירה שמא יאכיל בתרומה דאורייתא</w:t>
      </w:r>
      <w:r w:rsidRPr="00440CAB">
        <w:rPr>
          <w:rStyle w:val="ac"/>
          <w:rFonts w:ascii="Narkisim" w:hAnsi="Narkisim"/>
          <w:rtl/>
        </w:rPr>
        <w:footnoteReference w:id="3407"/>
      </w:r>
      <w:r w:rsidRPr="00440CAB">
        <w:rPr>
          <w:rFonts w:ascii="Narkisim" w:hAnsi="Narkisim"/>
          <w:rtl/>
        </w:rPr>
        <w:t>. ובסוגיין מבואר דאף היכא דנתקדשה מדאורייתא, ונשאה בקנין דרבנן [כדין חרש]. אפ"ה העמידו דבריהם שלא תאכל בתרומה</w:t>
      </w:r>
      <w:r w:rsidRPr="00440CAB">
        <w:rPr>
          <w:rStyle w:val="ac"/>
          <w:rFonts w:ascii="Narkisim" w:hAnsi="Narkisim"/>
          <w:rtl/>
        </w:rPr>
        <w:footnoteReference w:id="3408"/>
      </w:r>
      <w:r w:rsidRPr="00440CAB">
        <w:rPr>
          <w:rFonts w:ascii="Narkisim" w:hAnsi="Narkisim"/>
          <w:rtl/>
        </w:rPr>
        <w:t>.</w:t>
      </w:r>
    </w:p>
    <w:p w14:paraId="612487F3" w14:textId="77777777" w:rsidR="006074A5" w:rsidRPr="00440CAB" w:rsidRDefault="006074A5" w:rsidP="006074A5">
      <w:pPr>
        <w:bidi/>
        <w:rPr>
          <w:rFonts w:ascii="Narkisim" w:hAnsi="Narkisim" w:cs="Narkisim"/>
        </w:rPr>
      </w:pPr>
      <w:r w:rsidRPr="00440CAB">
        <w:rPr>
          <w:rFonts w:ascii="Narkisim" w:hAnsi="Narkisim" w:cs="Narkisim"/>
          <w:u w:val="single"/>
          <w:rtl/>
        </w:rPr>
        <w:t>אמר רבה הואיל שכבר אכלה וכו'.</w:t>
      </w:r>
      <w:r w:rsidRPr="00440CAB">
        <w:rPr>
          <w:rFonts w:ascii="Narkisim" w:hAnsi="Narkisim" w:cs="Narkisim"/>
          <w:rtl/>
        </w:rPr>
        <w:t xml:space="preserve"> מבואר דסברת רבה דאף שאכלה מחמת סיבה אחרת [ופקע סיבת אכילה מחמת הבן], מ"מ הוה טעם שיותר בקל תאכל מחמת נישואי חרש. [ואביי פליג דכיון דפקע הסיבה ל"מ כלל].</w:t>
      </w:r>
    </w:p>
    <w:p w14:paraId="51806465" w14:textId="77777777" w:rsidR="006074A5" w:rsidRPr="00440CAB" w:rsidRDefault="006074A5" w:rsidP="006074A5">
      <w:pPr>
        <w:pStyle w:val="aa"/>
        <w:bidi/>
        <w:rPr>
          <w:rFonts w:ascii="Narkisim" w:hAnsi="Narkisim"/>
        </w:rPr>
      </w:pPr>
      <w:r w:rsidRPr="00440CAB">
        <w:rPr>
          <w:rFonts w:ascii="Narkisim" w:hAnsi="Narkisim"/>
          <w:u w:val="single"/>
          <w:rtl/>
        </w:rPr>
        <w:t>א"ל אביי אלא מעתה בת ישראל שנשאת לכהן ומית וכו' פקע קדושתיה וכו'</w:t>
      </w:r>
      <w:r w:rsidRPr="00440CAB">
        <w:rPr>
          <w:rFonts w:ascii="Narkisim" w:hAnsi="Narkisim"/>
          <w:rtl/>
        </w:rPr>
        <w:t>. [וכדתנן לקמן סז., ועד"ז תנן לקמן סח: דכשאוכלת מחמת בנה, כשמת הבן אינה אוכלת</w:t>
      </w:r>
      <w:r w:rsidRPr="00440CAB">
        <w:rPr>
          <w:rStyle w:val="ac"/>
          <w:rFonts w:ascii="Narkisim" w:hAnsi="Narkisim"/>
          <w:rtl/>
        </w:rPr>
        <w:footnoteReference w:id="3409"/>
      </w:r>
      <w:r w:rsidRPr="00440CAB">
        <w:rPr>
          <w:rFonts w:ascii="Narkisim" w:hAnsi="Narkisim"/>
          <w:rtl/>
        </w:rPr>
        <w:t>]. בפשוטו לס"ד כיון דנתקדשה לאכול בתרומה, תאכל לעולם [אף מדאורייתא]. ואביי הוכיח דכיון דפקע הסיבה, שוב ל"ש לאכול בתרומה. אבל ב</w:t>
      </w:r>
      <w:r w:rsidRPr="00440CAB">
        <w:rPr>
          <w:rFonts w:ascii="Narkisim" w:hAnsi="Narkisim"/>
          <w:b/>
          <w:bCs/>
          <w:rtl/>
        </w:rPr>
        <w:t>תוס' מהר"ם ור"פ</w:t>
      </w:r>
      <w:r w:rsidRPr="00440CAB">
        <w:rPr>
          <w:rFonts w:ascii="Narkisim" w:hAnsi="Narkisim"/>
          <w:rtl/>
        </w:rPr>
        <w:t xml:space="preserve"> כת' דקו' אביי דתאכל עכ"פ בתרומה דרבנן.</w:t>
      </w:r>
    </w:p>
    <w:p w14:paraId="45985ED7" w14:textId="77777777" w:rsidR="006074A5" w:rsidRPr="00440CAB" w:rsidRDefault="006074A5" w:rsidP="006074A5">
      <w:pPr>
        <w:pStyle w:val="a8"/>
        <w:bidi/>
        <w:rPr>
          <w:rFonts w:ascii="Narkisim" w:hAnsi="Narkisim"/>
        </w:rPr>
      </w:pPr>
      <w:r w:rsidRPr="00440CAB">
        <w:rPr>
          <w:rFonts w:ascii="Narkisim" w:hAnsi="Narkisim"/>
          <w:rtl/>
        </w:rPr>
        <w:t>ובגמ' (לקמן עה. וכן נז.) מבואר דהיכא דאכלה בהיתר, ואח"כ נעשה פצוע דכא והוה משתמרת לביאה פסולה לדעת ר' יוחנן אוכלת משום שכבר אכלה. והגמ' פי' דר' אלעזר פליג דלא אמרי' שכבר אכלה, וכמו בת ישראל לכהן שמת בעלה. ור' יוחנן תי' דהתם פקע קנינו, והכא לא פקע קנינו</w:t>
      </w:r>
      <w:r w:rsidRPr="00440CAB">
        <w:rPr>
          <w:rStyle w:val="ac"/>
          <w:rFonts w:ascii="Narkisim" w:hAnsi="Narkisim"/>
          <w:rtl/>
        </w:rPr>
        <w:footnoteReference w:id="3410"/>
      </w:r>
      <w:r w:rsidRPr="00440CAB">
        <w:rPr>
          <w:rFonts w:ascii="Narkisim" w:hAnsi="Narkisim"/>
          <w:rtl/>
        </w:rPr>
        <w:t>.</w:t>
      </w:r>
    </w:p>
    <w:p w14:paraId="017B4A62" w14:textId="77777777" w:rsidR="006074A5" w:rsidRPr="00440CAB" w:rsidRDefault="006074A5" w:rsidP="006074A5">
      <w:pPr>
        <w:bidi/>
        <w:rPr>
          <w:rFonts w:ascii="Narkisim" w:hAnsi="Narkisim" w:cs="Narkisim"/>
        </w:rPr>
      </w:pPr>
      <w:r w:rsidRPr="00440CAB">
        <w:rPr>
          <w:rFonts w:ascii="Narkisim" w:hAnsi="Narkisim" w:cs="Narkisim"/>
          <w:u w:val="single"/>
          <w:rtl/>
        </w:rPr>
        <w:t>אלא כיון דמת פקע קדושתיה מינה.</w:t>
      </w:r>
      <w:r w:rsidRPr="00440CAB">
        <w:rPr>
          <w:rFonts w:ascii="Narkisim" w:hAnsi="Narkisim" w:cs="Narkisim"/>
          <w:rtl/>
        </w:rPr>
        <w:t xml:space="preserve"> ה</w:t>
      </w:r>
      <w:r w:rsidRPr="00440CAB">
        <w:rPr>
          <w:rFonts w:ascii="Narkisim" w:hAnsi="Narkisim" w:cs="Narkisim"/>
          <w:b/>
          <w:bCs/>
          <w:rtl/>
        </w:rPr>
        <w:t>אחרונים</w:t>
      </w:r>
      <w:r w:rsidRPr="00440CAB">
        <w:rPr>
          <w:rFonts w:ascii="Narkisim" w:hAnsi="Narkisim" w:cs="Narkisim"/>
          <w:rtl/>
        </w:rPr>
        <w:t xml:space="preserve"> חקרו בגדר אכילת תרומה דאשת כהן, דילפי' מקרא דקנין כספו </w:t>
      </w:r>
      <w:r w:rsidRPr="00440CAB">
        <w:rPr>
          <w:rFonts w:ascii="Narkisim" w:hAnsi="Narkisim" w:cs="Narkisim"/>
          <w:sz w:val="20"/>
          <w:szCs w:val="20"/>
          <w:rtl/>
        </w:rPr>
        <w:t>(ע' לקמן סו)</w:t>
      </w:r>
      <w:r w:rsidRPr="00440CAB">
        <w:rPr>
          <w:rFonts w:ascii="Narkisim" w:hAnsi="Narkisim" w:cs="Narkisim"/>
          <w:rtl/>
        </w:rPr>
        <w:t xml:space="preserve"> האם נחשב שאוכלת בזכות הבעל</w:t>
      </w:r>
      <w:r w:rsidRPr="00440CAB">
        <w:rPr>
          <w:rStyle w:val="ac"/>
          <w:rFonts w:ascii="Narkisim" w:hAnsi="Narkisim" w:cs="Narkisim"/>
          <w:rtl/>
        </w:rPr>
        <w:footnoteReference w:id="3411"/>
      </w:r>
      <w:r w:rsidRPr="00440CAB">
        <w:rPr>
          <w:rFonts w:ascii="Narkisim" w:hAnsi="Narkisim" w:cs="Narkisim"/>
          <w:rtl/>
        </w:rPr>
        <w:t>, או דנחשבת כהנת</w:t>
      </w:r>
      <w:r w:rsidRPr="00440CAB">
        <w:rPr>
          <w:rStyle w:val="ac"/>
          <w:rFonts w:ascii="Narkisim" w:hAnsi="Narkisim" w:cs="Narkisim"/>
          <w:rtl/>
        </w:rPr>
        <w:footnoteReference w:id="3412"/>
      </w:r>
      <w:r w:rsidRPr="00440CAB">
        <w:rPr>
          <w:rFonts w:ascii="Narkisim" w:hAnsi="Narkisim" w:cs="Narkisim"/>
          <w:rtl/>
        </w:rPr>
        <w:t xml:space="preserve"> [וע' </w:t>
      </w:r>
      <w:r w:rsidRPr="00440CAB">
        <w:rPr>
          <w:rFonts w:ascii="Narkisim" w:hAnsi="Narkisim" w:cs="Narkisim"/>
          <w:b/>
          <w:bCs/>
          <w:rtl/>
        </w:rPr>
        <w:t>קובה"ע</w:t>
      </w:r>
      <w:r w:rsidRPr="00440CAB">
        <w:rPr>
          <w:rFonts w:ascii="Narkisim" w:hAnsi="Narkisim" w:cs="Narkisim"/>
          <w:rtl/>
        </w:rPr>
        <w:t xml:space="preserve"> (מז) שהאריך עד"ז]. ויש שדייקו כן מלשון הגמ' דידן 'פקע קדושתיה'</w:t>
      </w:r>
      <w:r w:rsidRPr="00440CAB">
        <w:rPr>
          <w:rStyle w:val="ac"/>
          <w:rFonts w:ascii="Narkisim" w:hAnsi="Narkisim" w:cs="Narkisim"/>
          <w:rtl/>
        </w:rPr>
        <w:footnoteReference w:id="3413"/>
      </w:r>
      <w:r w:rsidRPr="00440CAB">
        <w:rPr>
          <w:rFonts w:ascii="Narkisim" w:hAnsi="Narkisim" w:cs="Narkisim"/>
          <w:rtl/>
        </w:rPr>
        <w:t>.</w:t>
      </w:r>
    </w:p>
    <w:p w14:paraId="71E130C5" w14:textId="77777777" w:rsidR="006074A5" w:rsidRPr="00440CAB" w:rsidRDefault="006074A5" w:rsidP="006074A5">
      <w:pPr>
        <w:pStyle w:val="aa"/>
        <w:bidi/>
        <w:rPr>
          <w:rFonts w:ascii="Narkisim" w:hAnsi="Narkisim"/>
        </w:rPr>
      </w:pPr>
      <w:r w:rsidRPr="00440CAB">
        <w:rPr>
          <w:rFonts w:ascii="Narkisim" w:hAnsi="Narkisim"/>
          <w:u w:val="single"/>
          <w:rtl/>
        </w:rPr>
        <w:t>אלא אמר רב יוסף קסבר ר' נתן נישואי חרש מאכילים.</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דמדאוריי' משעת אירוסין אכלה, וכיון דהכניסה לחופה ל"ש חשש סמפון וכו'. משמע [דאף למסקנא] חרש אינו קונה להחשב נשואה [מדאורייתא]. אלא דליכא חשש סמפון.</w:t>
      </w:r>
    </w:p>
    <w:p w14:paraId="6718E4FC" w14:textId="77777777" w:rsidR="006074A5" w:rsidRPr="00440CAB" w:rsidRDefault="006074A5" w:rsidP="006074A5">
      <w:pPr>
        <w:pStyle w:val="3"/>
        <w:bidi/>
        <w:rPr>
          <w:rFonts w:ascii="Narkisim" w:hAnsi="Narkisim"/>
        </w:rPr>
      </w:pPr>
      <w:r w:rsidRPr="00440CAB">
        <w:rPr>
          <w:rFonts w:ascii="Narkisim" w:hAnsi="Narkisim"/>
          <w:rtl/>
        </w:rPr>
        <w:t>דף נו:</w:t>
      </w:r>
    </w:p>
    <w:p w14:paraId="411580D2" w14:textId="77777777" w:rsidR="006074A5" w:rsidRPr="00440CAB" w:rsidRDefault="006074A5" w:rsidP="006074A5">
      <w:pPr>
        <w:pStyle w:val="2"/>
        <w:bidi/>
        <w:rPr>
          <w:rFonts w:ascii="Narkisim" w:hAnsi="Narkisim"/>
          <w:sz w:val="21"/>
        </w:rPr>
      </w:pPr>
      <w:r w:rsidRPr="00440CAB">
        <w:rPr>
          <w:rFonts w:ascii="Narkisim" w:hAnsi="Narkisim"/>
          <w:sz w:val="21"/>
          <w:rtl/>
        </w:rPr>
        <w:t>זונה באונס</w:t>
      </w:r>
    </w:p>
    <w:p w14:paraId="70FBD9FE" w14:textId="77777777" w:rsidR="006074A5" w:rsidRPr="00440CAB" w:rsidRDefault="006074A5" w:rsidP="006074A5">
      <w:pPr>
        <w:bidi/>
        <w:rPr>
          <w:rFonts w:ascii="Narkisim" w:hAnsi="Narkisim" w:cs="Narkisim"/>
        </w:rPr>
      </w:pPr>
      <w:r w:rsidRPr="00440CAB">
        <w:rPr>
          <w:rFonts w:ascii="Narkisim" w:hAnsi="Narkisim" w:cs="Narkisim"/>
          <w:u w:val="single"/>
          <w:rtl/>
        </w:rPr>
        <w:t>אשת ישראל שנאנסה וכו' פסולה לכהונה, ותנא תונא וכן הבא על א' מכל העריות וכו' מאי לאו ל"ש שוגג וכו'.</w:t>
      </w:r>
      <w:r w:rsidRPr="00440CAB">
        <w:rPr>
          <w:rFonts w:ascii="Narkisim" w:hAnsi="Narkisim" w:cs="Narkisim"/>
          <w:rtl/>
        </w:rPr>
        <w:t xml:space="preserve"> ורב עמרם חידש דהבא על עריות בשוגג או אונס פסלה. ופ</w:t>
      </w:r>
      <w:r w:rsidRPr="00440CAB">
        <w:rPr>
          <w:rFonts w:ascii="Narkisim" w:hAnsi="Narkisim" w:cs="Narkisim"/>
          <w:b/>
          <w:bCs/>
          <w:rtl/>
        </w:rPr>
        <w:t>רש"י</w:t>
      </w:r>
      <w:r w:rsidRPr="00440CAB">
        <w:rPr>
          <w:rFonts w:ascii="Narkisim" w:hAnsi="Narkisim" w:cs="Narkisim"/>
          <w:rtl/>
        </w:rPr>
        <w:t xml:space="preserve"> דאף אשת איש בכלל עריות.</w:t>
      </w:r>
    </w:p>
    <w:p w14:paraId="08E6E016" w14:textId="77777777" w:rsidR="006074A5" w:rsidRPr="00440CAB" w:rsidRDefault="006074A5" w:rsidP="006074A5">
      <w:pPr>
        <w:pStyle w:val="a7"/>
        <w:bidi/>
        <w:rPr>
          <w:rFonts w:ascii="Narkisim" w:hAnsi="Narkisim"/>
        </w:rPr>
      </w:pPr>
      <w:r w:rsidRPr="00440CAB">
        <w:rPr>
          <w:rFonts w:ascii="Narkisim" w:hAnsi="Narkisim"/>
          <w:rtl/>
        </w:rPr>
        <w:lastRenderedPageBreak/>
        <w:t>[ודעת רבה בלישנא בתרא (בסמוך) דבאונס לא הוה זונה. וה</w:t>
      </w:r>
      <w:r w:rsidRPr="00440CAB">
        <w:rPr>
          <w:rFonts w:ascii="Narkisim" w:hAnsi="Narkisim"/>
          <w:b/>
          <w:bCs/>
          <w:rtl/>
        </w:rPr>
        <w:t>ראשונים</w:t>
      </w:r>
      <w:r w:rsidRPr="00440CAB">
        <w:rPr>
          <w:rFonts w:ascii="Narkisim" w:hAnsi="Narkisim"/>
          <w:rtl/>
        </w:rPr>
        <w:t xml:space="preserve"> נחלקו אי פליג על רב עמרם, ע' בסמוך].</w:t>
      </w:r>
    </w:p>
    <w:p w14:paraId="1C2F5462"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בעה"מ</w:t>
      </w:r>
      <w:r w:rsidRPr="00440CAB">
        <w:rPr>
          <w:rFonts w:ascii="Narkisim" w:hAnsi="Narkisim" w:cs="Narkisim"/>
          <w:rtl/>
        </w:rPr>
        <w:t xml:space="preserve"> כת' דרבה (בסמוך) פליג ארב עמרם וס"ל [בל"ב] דמתוך שכשירה לבעלה</w:t>
      </w:r>
      <w:r w:rsidRPr="00440CAB">
        <w:rPr>
          <w:rStyle w:val="ac"/>
          <w:rFonts w:ascii="Narkisim" w:hAnsi="Narkisim" w:cs="Narkisim"/>
          <w:rtl/>
        </w:rPr>
        <w:footnoteReference w:id="3414"/>
      </w:r>
      <w:r w:rsidRPr="00440CAB">
        <w:rPr>
          <w:rFonts w:ascii="Narkisim" w:hAnsi="Narkisim" w:cs="Narkisim"/>
          <w:rtl/>
        </w:rPr>
        <w:t xml:space="preserve"> כשירה לכהונה</w:t>
      </w:r>
      <w:r w:rsidRPr="00440CAB">
        <w:rPr>
          <w:rStyle w:val="ac"/>
          <w:rFonts w:ascii="Narkisim" w:hAnsi="Narkisim" w:cs="Narkisim"/>
          <w:rtl/>
        </w:rPr>
        <w:footnoteReference w:id="3415"/>
      </w:r>
      <w:r w:rsidRPr="00440CAB">
        <w:rPr>
          <w:rFonts w:ascii="Narkisim" w:hAnsi="Narkisim" w:cs="Narkisim"/>
          <w:rtl/>
        </w:rPr>
        <w:t xml:space="preserve"> [ועדיף מכל אונס]. [וה</w:t>
      </w:r>
      <w:r w:rsidRPr="00440CAB">
        <w:rPr>
          <w:rFonts w:ascii="Narkisim" w:hAnsi="Narkisim" w:cs="Narkisim"/>
          <w:b/>
          <w:bCs/>
          <w:rtl/>
        </w:rPr>
        <w:t>אחרונים</w:t>
      </w:r>
      <w:r w:rsidRPr="00440CAB">
        <w:rPr>
          <w:rFonts w:ascii="Narkisim" w:hAnsi="Narkisim" w:cs="Narkisim"/>
          <w:rtl/>
        </w:rPr>
        <w:t xml:space="preserve"> הביאו דמבואר דהאיסור לכהונה שייך באיסור לבעלה. אך עדיין צ"ב סברת מתוך שהותרה].</w:t>
      </w:r>
    </w:p>
    <w:p w14:paraId="5EC4E367" w14:textId="77777777" w:rsidR="006074A5" w:rsidRPr="00440CAB" w:rsidRDefault="006074A5" w:rsidP="006074A5">
      <w:pPr>
        <w:pStyle w:val="a8"/>
        <w:bidi/>
        <w:rPr>
          <w:rFonts w:ascii="Narkisim" w:hAnsi="Narkisim"/>
        </w:rPr>
      </w:pPr>
      <w:r w:rsidRPr="00440CAB">
        <w:rPr>
          <w:rFonts w:ascii="Narkisim" w:hAnsi="Narkisim"/>
          <w:rtl/>
        </w:rPr>
        <w:t>וכן ב</w:t>
      </w:r>
      <w:r w:rsidRPr="00440CAB">
        <w:rPr>
          <w:rFonts w:ascii="Narkisim" w:hAnsi="Narkisim"/>
          <w:b/>
          <w:bCs/>
          <w:rtl/>
        </w:rPr>
        <w:t>תוס</w:t>
      </w:r>
      <w:r w:rsidRPr="00440CAB">
        <w:rPr>
          <w:rFonts w:ascii="Narkisim" w:hAnsi="Narkisim"/>
          <w:rtl/>
        </w:rPr>
        <w:t>' (ד"ה מאי) מבואר דרב עמרם חידש לגבי אשת איש דנאסרת. אבל בשאר כל העריות פשיטא דנאסרת באונס</w:t>
      </w:r>
      <w:r w:rsidRPr="00440CAB">
        <w:rPr>
          <w:rStyle w:val="ac"/>
          <w:rFonts w:ascii="Narkisim" w:hAnsi="Narkisim"/>
          <w:rtl/>
        </w:rPr>
        <w:footnoteReference w:id="3416"/>
      </w:r>
      <w:r w:rsidRPr="00440CAB">
        <w:rPr>
          <w:rFonts w:ascii="Narkisim" w:hAnsi="Narkisim"/>
          <w:rtl/>
        </w:rPr>
        <w:t>. וכ"מ מרש"י.</w:t>
      </w:r>
    </w:p>
    <w:p w14:paraId="4254E246"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מלחמות</w:t>
      </w:r>
      <w:r w:rsidRPr="00440CAB">
        <w:rPr>
          <w:rFonts w:ascii="Narkisim" w:hAnsi="Narkisim"/>
          <w:rtl/>
        </w:rPr>
        <w:t xml:space="preserve"> חלק דהנידון של רבה הוה לגבי כל פסול זונה, אי לוקה אף באונס. ע"ע בסמוך</w:t>
      </w:r>
      <w:r w:rsidRPr="00440CAB">
        <w:rPr>
          <w:rStyle w:val="ac"/>
          <w:rFonts w:ascii="Narkisim" w:hAnsi="Narkisim"/>
          <w:rtl/>
        </w:rPr>
        <w:footnoteReference w:id="3417"/>
      </w:r>
      <w:r w:rsidRPr="00440CAB">
        <w:rPr>
          <w:rFonts w:ascii="Narkisim" w:hAnsi="Narkisim"/>
          <w:rtl/>
        </w:rPr>
        <w:t>.</w:t>
      </w:r>
    </w:p>
    <w:p w14:paraId="4D797AEF"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וה</w:t>
      </w:r>
      <w:r w:rsidRPr="00440CAB">
        <w:rPr>
          <w:rFonts w:ascii="Narkisim" w:hAnsi="Narkisim" w:cs="Narkisim"/>
          <w:b/>
          <w:bCs/>
          <w:rtl/>
        </w:rPr>
        <w:t>ראשונים</w:t>
      </w:r>
      <w:r w:rsidRPr="00440CAB">
        <w:rPr>
          <w:rFonts w:ascii="Narkisim" w:hAnsi="Narkisim" w:cs="Narkisim"/>
          <w:rtl/>
        </w:rPr>
        <w:t xml:space="preserve"> הביאו דכן משמע בכמה מקומות דאף כשנאנסה נפסלה לכהונה. וכדתנן (כתובות יד:) דתינוקת שירדה למעין ונאנסה וכו' אם רוב העיר פסולים פסולה לכהונה</w:t>
      </w:r>
      <w:r w:rsidRPr="00440CAB">
        <w:rPr>
          <w:rStyle w:val="ac"/>
          <w:rFonts w:ascii="Narkisim" w:hAnsi="Narkisim" w:cs="Narkisim"/>
          <w:rtl/>
        </w:rPr>
        <w:footnoteReference w:id="3418"/>
      </w:r>
      <w:r w:rsidRPr="00440CAB">
        <w:rPr>
          <w:rFonts w:ascii="Narkisim" w:hAnsi="Narkisim" w:cs="Narkisim"/>
          <w:rtl/>
        </w:rPr>
        <w:t>. וב</w:t>
      </w:r>
      <w:r w:rsidRPr="00440CAB">
        <w:rPr>
          <w:rFonts w:ascii="Narkisim" w:hAnsi="Narkisim" w:cs="Narkisim"/>
          <w:b/>
          <w:bCs/>
          <w:rtl/>
        </w:rPr>
        <w:t>תוס' חד מקמאי</w:t>
      </w:r>
      <w:r w:rsidRPr="00440CAB">
        <w:rPr>
          <w:rFonts w:ascii="Narkisim" w:hAnsi="Narkisim" w:cs="Narkisim"/>
          <w:rtl/>
        </w:rPr>
        <w:t xml:space="preserve"> הביא סייעתא לרב עמרם מהמשנה בכתובות (הנ"ל), דאף באונס נחשב זונה</w:t>
      </w:r>
      <w:r w:rsidRPr="00440CAB">
        <w:rPr>
          <w:rStyle w:val="ac"/>
          <w:rFonts w:ascii="Narkisim" w:hAnsi="Narkisim" w:cs="Narkisim"/>
          <w:rtl/>
        </w:rPr>
        <w:footnoteReference w:id="3419"/>
      </w:r>
      <w:r w:rsidRPr="00440CAB">
        <w:rPr>
          <w:rFonts w:ascii="Narkisim" w:hAnsi="Narkisim" w:cs="Narkisim"/>
          <w:rtl/>
        </w:rPr>
        <w:t>.</w:t>
      </w:r>
    </w:p>
    <w:p w14:paraId="486E050E" w14:textId="77777777" w:rsidR="006074A5" w:rsidRPr="00440CAB" w:rsidRDefault="006074A5" w:rsidP="006074A5">
      <w:pPr>
        <w:pStyle w:val="a7"/>
        <w:bidi/>
        <w:rPr>
          <w:rFonts w:ascii="Narkisim" w:hAnsi="Narkisim"/>
        </w:rPr>
      </w:pPr>
      <w:r w:rsidRPr="00440CAB">
        <w:rPr>
          <w:rFonts w:ascii="Narkisim" w:hAnsi="Narkisim"/>
          <w:sz w:val="20"/>
          <w:szCs w:val="20"/>
          <w:rtl/>
        </w:rPr>
        <w:t>וה</w:t>
      </w:r>
      <w:r w:rsidRPr="00440CAB">
        <w:rPr>
          <w:rFonts w:ascii="Narkisim" w:hAnsi="Narkisim"/>
          <w:b/>
          <w:bCs/>
          <w:sz w:val="20"/>
          <w:szCs w:val="20"/>
          <w:rtl/>
        </w:rPr>
        <w:t>ריטב"א</w:t>
      </w:r>
      <w:r w:rsidRPr="00440CAB">
        <w:rPr>
          <w:rFonts w:ascii="Narkisim" w:hAnsi="Narkisim"/>
          <w:sz w:val="20"/>
          <w:szCs w:val="20"/>
          <w:rtl/>
        </w:rPr>
        <w:t xml:space="preserve"> העלה צד דבסוגיין דוקא משום חומר א"א נחשב זונה באונס, אבל ביאות פסולות בעלמא באונס לא נחשב זונה</w:t>
      </w:r>
      <w:r w:rsidRPr="00440CAB">
        <w:rPr>
          <w:rStyle w:val="ac"/>
          <w:rFonts w:ascii="Narkisim" w:hAnsi="Narkisim"/>
          <w:sz w:val="20"/>
          <w:szCs w:val="20"/>
          <w:rtl/>
        </w:rPr>
        <w:footnoteReference w:id="3420"/>
      </w:r>
      <w:r w:rsidRPr="00440CAB">
        <w:rPr>
          <w:rFonts w:ascii="Narkisim" w:hAnsi="Narkisim"/>
          <w:sz w:val="20"/>
          <w:szCs w:val="20"/>
          <w:rtl/>
        </w:rPr>
        <w:t>. אך שוב דחה מהמשנה בכתובות.</w:t>
      </w:r>
    </w:p>
    <w:p w14:paraId="3FC4C8F2" w14:textId="77777777" w:rsidR="006074A5" w:rsidRPr="00440CAB" w:rsidRDefault="006074A5" w:rsidP="006074A5">
      <w:pPr>
        <w:bidi/>
        <w:rPr>
          <w:rFonts w:ascii="Narkisim" w:hAnsi="Narkisim" w:cs="Narkisim"/>
        </w:rPr>
      </w:pPr>
      <w:r w:rsidRPr="00440CAB">
        <w:rPr>
          <w:rFonts w:ascii="Narkisim" w:hAnsi="Narkisim" w:cs="Narkisim"/>
          <w:rtl/>
        </w:rPr>
        <w:t>ו</w:t>
      </w:r>
      <w:r w:rsidRPr="00440CAB">
        <w:rPr>
          <w:rFonts w:ascii="Narkisim" w:hAnsi="Narkisim" w:cs="Narkisim"/>
          <w:b/>
          <w:bCs/>
          <w:rtl/>
        </w:rPr>
        <w:t>תוס'</w:t>
      </w:r>
      <w:r w:rsidRPr="00440CAB">
        <w:rPr>
          <w:rFonts w:ascii="Narkisim" w:hAnsi="Narkisim" w:cs="Narkisim"/>
          <w:rtl/>
        </w:rPr>
        <w:t xml:space="preserve"> (לעיל לה.) חילקו דהיכא דהוה זר אצלה מעיקרא ילפי' לפסול מקרא ד'כי תהיה לאיש זר'</w:t>
      </w:r>
      <w:r w:rsidRPr="00440CAB">
        <w:rPr>
          <w:rStyle w:val="ac"/>
          <w:rFonts w:ascii="Narkisim" w:hAnsi="Narkisim" w:cs="Narkisim"/>
          <w:rtl/>
        </w:rPr>
        <w:footnoteReference w:id="3421"/>
      </w:r>
      <w:r w:rsidRPr="00440CAB">
        <w:rPr>
          <w:rFonts w:ascii="Narkisim" w:hAnsi="Narkisim" w:cs="Narkisim"/>
          <w:rtl/>
        </w:rPr>
        <w:t>. ובהך קרא אין לחלק בין אונס לרצון. ותוס' הוכיחו מסוגיין דאשת איש אינה בכלל איש זר</w:t>
      </w:r>
      <w:r w:rsidRPr="00440CAB">
        <w:rPr>
          <w:rStyle w:val="ac"/>
          <w:rFonts w:ascii="Narkisim" w:hAnsi="Narkisim" w:cs="Narkisim"/>
          <w:rtl/>
        </w:rPr>
        <w:footnoteReference w:id="3422"/>
      </w:r>
      <w:r w:rsidRPr="00440CAB">
        <w:rPr>
          <w:rFonts w:ascii="Narkisim" w:hAnsi="Narkisim" w:cs="Narkisim"/>
          <w:rtl/>
        </w:rPr>
        <w:t>, ואף דהוה חייבי כריתות כיון דלא הוה זר אצלה מעיקרא</w:t>
      </w:r>
      <w:r w:rsidRPr="00440CAB">
        <w:rPr>
          <w:rStyle w:val="ac"/>
          <w:rFonts w:ascii="Narkisim" w:hAnsi="Narkisim" w:cs="Narkisim"/>
          <w:rtl/>
        </w:rPr>
        <w:footnoteReference w:id="3423"/>
      </w:r>
      <w:r w:rsidRPr="00440CAB">
        <w:rPr>
          <w:rFonts w:ascii="Narkisim" w:hAnsi="Narkisim" w:cs="Narkisim"/>
          <w:rtl/>
        </w:rPr>
        <w:t>.</w:t>
      </w:r>
    </w:p>
    <w:p w14:paraId="7B5DC41A"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ר"י</w:t>
      </w:r>
      <w:r w:rsidRPr="00440CAB">
        <w:rPr>
          <w:rFonts w:ascii="Narkisim" w:hAnsi="Narkisim"/>
          <w:rtl/>
        </w:rPr>
        <w:t xml:space="preserve"> (בתוס' לה.) כת' דהא דאשת איש שזינתה נפסלת לכהונה הוה משום טומאה וזונה</w:t>
      </w:r>
      <w:r w:rsidRPr="00440CAB">
        <w:rPr>
          <w:rStyle w:val="ac"/>
          <w:rFonts w:ascii="Narkisim" w:hAnsi="Narkisim"/>
          <w:rtl/>
        </w:rPr>
        <w:footnoteReference w:id="3424"/>
      </w:r>
      <w:r w:rsidRPr="00440CAB">
        <w:rPr>
          <w:rFonts w:ascii="Narkisim" w:hAnsi="Narkisim"/>
          <w:rtl/>
        </w:rPr>
        <w:t xml:space="preserve"> [וכדאי' בסמוך]. ובהנך קראי יש מקום לחלק בין אונס לרצון. </w:t>
      </w:r>
      <w:r w:rsidRPr="00440CAB">
        <w:rPr>
          <w:rFonts w:ascii="Narkisim" w:hAnsi="Narkisim"/>
          <w:sz w:val="20"/>
          <w:szCs w:val="20"/>
          <w:rtl/>
        </w:rPr>
        <w:t>[דס"ד דבאשת ישראל באונס לא נחשב טומאה, קמ"ל דהמיעוט והיא לא נתפסה קאי רק לבעל].</w:t>
      </w:r>
    </w:p>
    <w:p w14:paraId="573911A1" w14:textId="77777777" w:rsidR="006074A5" w:rsidRPr="00440CAB" w:rsidRDefault="006074A5" w:rsidP="006074A5">
      <w:pPr>
        <w:pStyle w:val="a8"/>
        <w:bidi/>
        <w:rPr>
          <w:rFonts w:ascii="Narkisim" w:hAnsi="Narkisim"/>
        </w:rPr>
      </w:pPr>
      <w:r w:rsidRPr="00440CAB">
        <w:rPr>
          <w:rFonts w:ascii="Narkisim" w:hAnsi="Narkisim"/>
          <w:rtl/>
        </w:rPr>
        <w:t>ו</w:t>
      </w:r>
      <w:r w:rsidRPr="00440CAB">
        <w:rPr>
          <w:rFonts w:ascii="Narkisim" w:hAnsi="Narkisim"/>
          <w:b/>
          <w:bCs/>
          <w:rtl/>
        </w:rPr>
        <w:t>ר"י בר אברהם</w:t>
      </w:r>
      <w:r w:rsidRPr="00440CAB">
        <w:rPr>
          <w:rFonts w:ascii="Narkisim" w:hAnsi="Narkisim"/>
          <w:rtl/>
        </w:rPr>
        <w:t xml:space="preserve"> (לגירסת הב"ח שם) הק' דכיון דאשת ישראל נתמעט מ'והיא לא נתפסה', מ"ש דילפי' דהוה זונה לכהונה. ו</w:t>
      </w:r>
      <w:r w:rsidRPr="00440CAB">
        <w:rPr>
          <w:rFonts w:ascii="Narkisim" w:hAnsi="Narkisim"/>
          <w:b/>
          <w:bCs/>
          <w:rtl/>
        </w:rPr>
        <w:t>ר"י</w:t>
      </w:r>
      <w:r w:rsidRPr="00440CAB">
        <w:rPr>
          <w:rFonts w:ascii="Narkisim" w:hAnsi="Narkisim"/>
          <w:rtl/>
        </w:rPr>
        <w:t xml:space="preserve"> תי' ד'ונטמאה' בתרא ילפי' איסור תרומה וכהונה, ובהך פסוק לא נתמעט אונס</w:t>
      </w:r>
      <w:r w:rsidRPr="00440CAB">
        <w:rPr>
          <w:rStyle w:val="ac"/>
          <w:rFonts w:ascii="Narkisim" w:hAnsi="Narkisim"/>
          <w:rtl/>
        </w:rPr>
        <w:footnoteReference w:id="3425"/>
      </w:r>
      <w:r w:rsidRPr="00440CAB">
        <w:rPr>
          <w:rFonts w:ascii="Narkisim" w:hAnsi="Narkisim"/>
          <w:rtl/>
        </w:rPr>
        <w:t>.</w:t>
      </w:r>
    </w:p>
    <w:p w14:paraId="436634D1" w14:textId="77777777" w:rsidR="006074A5" w:rsidRPr="00440CAB" w:rsidRDefault="006074A5" w:rsidP="006074A5">
      <w:pPr>
        <w:bidi/>
        <w:rPr>
          <w:rFonts w:ascii="Narkisim" w:hAnsi="Narkisim" w:cs="Narkisim"/>
        </w:rPr>
      </w:pPr>
      <w:r w:rsidRPr="00440CAB">
        <w:rPr>
          <w:rFonts w:ascii="Narkisim" w:hAnsi="Narkisim" w:cs="Narkisim"/>
          <w:rtl/>
        </w:rPr>
        <w:lastRenderedPageBreak/>
        <w:t>וב</w:t>
      </w:r>
      <w:r w:rsidRPr="00440CAB">
        <w:rPr>
          <w:rFonts w:ascii="Narkisim" w:hAnsi="Narkisim" w:cs="Narkisim"/>
          <w:b/>
          <w:bCs/>
          <w:rtl/>
        </w:rPr>
        <w:t>שו"ת הרשב"א</w:t>
      </w:r>
      <w:r w:rsidRPr="00440CAB">
        <w:rPr>
          <w:rFonts w:ascii="Narkisim" w:hAnsi="Narkisim" w:cs="Narkisim"/>
          <w:rtl/>
        </w:rPr>
        <w:t xml:space="preserve"> (ו סו הו' בקובה"ע) כת' דכל שנבעלה לפסול אף באונס נפסלה. אבל הבא על אשת איש אינו פוסל אלא מחמת דאגידא בבעל, והבעל הוא הגורם</w:t>
      </w:r>
      <w:r w:rsidRPr="00440CAB">
        <w:rPr>
          <w:rStyle w:val="ac"/>
          <w:rFonts w:ascii="Narkisim" w:hAnsi="Narkisim" w:cs="Narkisim"/>
          <w:rtl/>
        </w:rPr>
        <w:footnoteReference w:id="3426"/>
      </w:r>
      <w:r w:rsidRPr="00440CAB">
        <w:rPr>
          <w:rFonts w:ascii="Narkisim" w:hAnsi="Narkisim" w:cs="Narkisim"/>
          <w:rtl/>
        </w:rPr>
        <w:t xml:space="preserve">. ומש"ה בדין שלא תפסל באונס, וכמו שמותרת לבעלה. וכעי"ז כת' </w:t>
      </w:r>
      <w:r w:rsidRPr="00440CAB">
        <w:rPr>
          <w:rFonts w:ascii="Narkisim" w:hAnsi="Narkisim" w:cs="Narkisim"/>
          <w:b/>
          <w:bCs/>
          <w:rtl/>
        </w:rPr>
        <w:t>ה"ה</w:t>
      </w:r>
      <w:r w:rsidRPr="00440CAB">
        <w:rPr>
          <w:rFonts w:ascii="Narkisim" w:hAnsi="Narkisim" w:cs="Narkisim"/>
          <w:rtl/>
        </w:rPr>
        <w:t xml:space="preserve"> (איסו"ב יח ו) דס"ד דלא נחשב נבעלה לפסול לה אלא מחמת שהיא א"א, כיון שהוא באונס לא תחשב זונה.</w:t>
      </w:r>
      <w:r w:rsidRPr="00440CAB">
        <w:rPr>
          <w:rFonts w:ascii="Narkisim" w:hAnsi="Narkisim" w:cs="Narkisim"/>
          <w:sz w:val="20"/>
          <w:szCs w:val="20"/>
          <w:rtl/>
        </w:rPr>
        <w:t xml:space="preserve"> [אך צ"ב דסוף סוף יש חיוב כרת בביאתה, ומ"ש משאר חייבי כריתות</w:t>
      </w:r>
      <w:r w:rsidRPr="00440CAB">
        <w:rPr>
          <w:rStyle w:val="ac"/>
          <w:rFonts w:ascii="Narkisim" w:hAnsi="Narkisim" w:cs="Narkisim"/>
          <w:sz w:val="20"/>
          <w:szCs w:val="20"/>
          <w:rtl/>
        </w:rPr>
        <w:footnoteReference w:id="3427"/>
      </w:r>
      <w:r w:rsidRPr="00440CAB">
        <w:rPr>
          <w:rFonts w:ascii="Narkisim" w:hAnsi="Narkisim" w:cs="Narkisim"/>
          <w:sz w:val="20"/>
          <w:szCs w:val="20"/>
          <w:rtl/>
        </w:rPr>
        <w:t>. ואפשר דכוונתו כבעה"מ דמותרת משום מיגו].</w:t>
      </w:r>
    </w:p>
    <w:p w14:paraId="4304FBE9" w14:textId="77777777" w:rsidR="006074A5" w:rsidRPr="00440CAB" w:rsidRDefault="006074A5" w:rsidP="006074A5">
      <w:pPr>
        <w:pStyle w:val="aa"/>
        <w:bidi/>
        <w:rPr>
          <w:rFonts w:ascii="Narkisim" w:hAnsi="Narkisim"/>
        </w:rPr>
      </w:pPr>
      <w:r w:rsidRPr="00440CAB">
        <w:rPr>
          <w:rFonts w:ascii="Narkisim" w:hAnsi="Narkisim"/>
          <w:u w:val="single"/>
          <w:rtl/>
        </w:rPr>
        <w:t>רש"י ד"ה לא אהעראה.</w:t>
      </w:r>
      <w:r w:rsidRPr="00440CAB">
        <w:rPr>
          <w:rFonts w:ascii="Narkisim" w:hAnsi="Narkisim"/>
          <w:rtl/>
        </w:rPr>
        <w:t xml:space="preserve"> וברצון דהוה זונה. לכאו' כוונתו דלולי דברי רב עמרם דוקא ברצון הוה זונה [אבל לרב עמרם אף באונס]. אך יש שפי' כוונת רש"י דברצון הוה זונה, אבל בלא רצון נאסרת משם אחר. [וכדעת הרמב"ן, ע' בסמוך].</w:t>
      </w:r>
    </w:p>
    <w:p w14:paraId="3140E626" w14:textId="77777777" w:rsidR="006074A5" w:rsidRPr="00440CAB" w:rsidRDefault="006074A5" w:rsidP="006074A5">
      <w:pPr>
        <w:bidi/>
        <w:rPr>
          <w:rFonts w:ascii="Narkisim" w:hAnsi="Narkisim" w:cs="Narkisim"/>
        </w:rPr>
      </w:pPr>
      <w:r w:rsidRPr="00440CAB">
        <w:rPr>
          <w:rFonts w:ascii="Narkisim" w:hAnsi="Narkisim" w:cs="Narkisim"/>
          <w:u w:val="single"/>
          <w:rtl/>
        </w:rPr>
        <w:t>אמר רבה אשת כהן שנאנסה בעלה לוקה משום זונה</w:t>
      </w:r>
      <w:r w:rsidRPr="00440CAB">
        <w:rPr>
          <w:rFonts w:ascii="Narkisim" w:hAnsi="Narkisim" w:cs="Narkisim"/>
          <w:rtl/>
        </w:rPr>
        <w:t>. דאשת איש שזינתה הוה זונה</w:t>
      </w:r>
      <w:r w:rsidRPr="00440CAB">
        <w:rPr>
          <w:rStyle w:val="ac"/>
          <w:rFonts w:ascii="Narkisim" w:hAnsi="Narkisim" w:cs="Narkisim"/>
          <w:rtl/>
        </w:rPr>
        <w:footnoteReference w:id="3428"/>
      </w:r>
      <w:r w:rsidRPr="00440CAB">
        <w:rPr>
          <w:rFonts w:ascii="Narkisim" w:hAnsi="Narkisim" w:cs="Narkisim"/>
          <w:rtl/>
        </w:rPr>
        <w:t>.</w:t>
      </w:r>
    </w:p>
    <w:p w14:paraId="21CA04BE"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בעה"מ</w:t>
      </w:r>
      <w:r w:rsidRPr="00440CAB">
        <w:rPr>
          <w:rFonts w:ascii="Narkisim" w:hAnsi="Narkisim"/>
          <w:rtl/>
        </w:rPr>
        <w:t xml:space="preserve"> דייק דרבה קאי דוקא באשת כהן, דכיון שנאסרת לבעלה לוקה משום זונה. אבל אשת ישראל שמותרת לבעלה, מש"ה אינה נאסרת לכהונה [מתוך שהותרה לבעלה]. וכת' דאף ל"ק דרבה חולק על רב עמרם, דלרב עמרם דאף אשת ישראל נאסרת [והוה זונה].</w:t>
      </w:r>
    </w:p>
    <w:p w14:paraId="5E24A4B2"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 xml:space="preserve">מלחמות </w:t>
      </w:r>
      <w:r w:rsidRPr="00440CAB">
        <w:rPr>
          <w:rFonts w:ascii="Narkisim" w:hAnsi="Narkisim"/>
          <w:rtl/>
        </w:rPr>
        <w:t>(ושא"ר) חלק דאין חילוק בין אשת כהן לאשת ישראל, אלא דרבה קמ"ל דלוקה משום טומאה, וזה שייך דוקא באשת כהן</w:t>
      </w:r>
      <w:r w:rsidRPr="00440CAB">
        <w:rPr>
          <w:rStyle w:val="ac"/>
          <w:rFonts w:ascii="Narkisim" w:hAnsi="Narkisim"/>
          <w:rtl/>
        </w:rPr>
        <w:footnoteReference w:id="3429"/>
      </w:r>
      <w:r w:rsidRPr="00440CAB">
        <w:rPr>
          <w:rFonts w:ascii="Narkisim" w:hAnsi="Narkisim"/>
          <w:rtl/>
        </w:rPr>
        <w:t>.</w:t>
      </w:r>
    </w:p>
    <w:p w14:paraId="3ECF18EE" w14:textId="77777777" w:rsidR="006074A5" w:rsidRPr="00440CAB" w:rsidRDefault="006074A5" w:rsidP="006074A5">
      <w:pPr>
        <w:bidi/>
        <w:rPr>
          <w:rFonts w:ascii="Narkisim" w:hAnsi="Narkisim" w:cs="Narkisim"/>
        </w:rPr>
      </w:pPr>
      <w:r w:rsidRPr="00440CAB">
        <w:rPr>
          <w:rFonts w:ascii="Narkisim" w:hAnsi="Narkisim" w:cs="Narkisim"/>
          <w:u w:val="single"/>
          <w:rtl/>
        </w:rPr>
        <w:t>אימא אף משום זונה.</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Cs w:val="20"/>
          <w:rtl/>
        </w:rPr>
        <w:t>(לעיל לה., וה</w:t>
      </w:r>
      <w:r w:rsidRPr="00440CAB">
        <w:rPr>
          <w:rFonts w:ascii="Narkisim" w:hAnsi="Narkisim" w:cs="Narkisim"/>
          <w:b/>
          <w:bCs/>
          <w:szCs w:val="20"/>
          <w:rtl/>
        </w:rPr>
        <w:t>תוס' הרא"ש</w:t>
      </w:r>
      <w:r w:rsidRPr="00440CAB">
        <w:rPr>
          <w:rFonts w:ascii="Narkisim" w:hAnsi="Narkisim" w:cs="Narkisim"/>
          <w:szCs w:val="20"/>
          <w:rtl/>
        </w:rPr>
        <w:t xml:space="preserve"> כאן</w:t>
      </w:r>
      <w:r w:rsidRPr="00440CAB">
        <w:rPr>
          <w:rFonts w:ascii="Narkisim" w:hAnsi="Narkisim" w:cs="Narkisim"/>
          <w:rtl/>
        </w:rPr>
        <w:t>) הק' דילקה אף משום 'כי תהיה לאיש זר', דהוה לאו בפנ"ע לאסור בכהונה [משום גילוי מילתא, וכדלקמן סח:]. וילקה ג'. ותוס' הוכיחו דאשת איש לא הוה בכלל איש זר, כיון דלא הוה זר מעיקרא.</w:t>
      </w:r>
      <w:r w:rsidRPr="00440CAB">
        <w:rPr>
          <w:rFonts w:ascii="Narkisim" w:hAnsi="Narkisim" w:cs="Narkisim"/>
          <w:szCs w:val="20"/>
          <w:rtl/>
        </w:rPr>
        <w:t xml:space="preserve"> [ואף דהוה חייבי כריתות]</w:t>
      </w:r>
      <w:r w:rsidRPr="00440CAB">
        <w:rPr>
          <w:rFonts w:ascii="Narkisim" w:hAnsi="Narkisim" w:cs="Narkisim"/>
          <w:rtl/>
        </w:rPr>
        <w:t>.</w:t>
      </w:r>
    </w:p>
    <w:p w14:paraId="29FC3B41" w14:textId="77777777" w:rsidR="006074A5" w:rsidRPr="00440CAB" w:rsidRDefault="006074A5" w:rsidP="006074A5">
      <w:pPr>
        <w:pStyle w:val="a7"/>
        <w:bidi/>
        <w:rPr>
          <w:rFonts w:ascii="Narkisim" w:hAnsi="Narkisim"/>
        </w:rPr>
      </w:pPr>
      <w:r w:rsidRPr="00440CAB">
        <w:rPr>
          <w:rFonts w:ascii="Narkisim" w:hAnsi="Narkisim"/>
          <w:rtl/>
        </w:rPr>
        <w:t>ועוד הביא ה</w:t>
      </w:r>
      <w:r w:rsidRPr="00440CAB">
        <w:rPr>
          <w:rFonts w:ascii="Narkisim" w:hAnsi="Narkisim"/>
          <w:b/>
          <w:bCs/>
          <w:rtl/>
        </w:rPr>
        <w:t>תוס' רא"ש</w:t>
      </w:r>
      <w:r w:rsidRPr="00440CAB">
        <w:rPr>
          <w:rFonts w:ascii="Narkisim" w:hAnsi="Narkisim"/>
          <w:rtl/>
        </w:rPr>
        <w:t xml:space="preserve"> בשם </w:t>
      </w:r>
      <w:r w:rsidRPr="00440CAB">
        <w:rPr>
          <w:rFonts w:ascii="Narkisim" w:hAnsi="Narkisim"/>
          <w:b/>
          <w:bCs/>
          <w:rtl/>
        </w:rPr>
        <w:t>רבינו</w:t>
      </w:r>
      <w:r w:rsidRPr="00440CAB">
        <w:rPr>
          <w:rFonts w:ascii="Narkisim" w:hAnsi="Narkisim"/>
          <w:rtl/>
        </w:rPr>
        <w:t xml:space="preserve"> </w:t>
      </w:r>
      <w:r w:rsidRPr="00440CAB">
        <w:rPr>
          <w:rFonts w:ascii="Narkisim" w:hAnsi="Narkisim"/>
          <w:b/>
          <w:bCs/>
          <w:rtl/>
        </w:rPr>
        <w:t>מאיר</w:t>
      </w:r>
      <w:r w:rsidRPr="00440CAB">
        <w:rPr>
          <w:rFonts w:ascii="Narkisim" w:hAnsi="Narkisim"/>
          <w:rtl/>
        </w:rPr>
        <w:t xml:space="preserve"> דחייבי כריתות הוה בכלל 'איש זר' כיון דחמירי</w:t>
      </w:r>
      <w:r w:rsidRPr="00440CAB">
        <w:rPr>
          <w:rStyle w:val="ac"/>
          <w:rFonts w:ascii="Narkisim" w:hAnsi="Narkisim"/>
          <w:rtl/>
        </w:rPr>
        <w:footnoteReference w:id="3430"/>
      </w:r>
      <w:r w:rsidRPr="00440CAB">
        <w:rPr>
          <w:rFonts w:ascii="Narkisim" w:hAnsi="Narkisim"/>
          <w:rtl/>
        </w:rPr>
        <w:t>. אבל באונס לא הוה בכלל איש זר, דדוקא כשנבעלה ברצון נחשב עבירה חמורה</w:t>
      </w:r>
      <w:r w:rsidRPr="00440CAB">
        <w:rPr>
          <w:rStyle w:val="ac"/>
          <w:rFonts w:ascii="Narkisim" w:hAnsi="Narkisim"/>
          <w:rtl/>
        </w:rPr>
        <w:footnoteReference w:id="3431"/>
      </w:r>
      <w:r w:rsidRPr="00440CAB">
        <w:rPr>
          <w:rFonts w:ascii="Narkisim" w:hAnsi="Narkisim"/>
          <w:rtl/>
        </w:rPr>
        <w:t xml:space="preserve">. </w:t>
      </w:r>
      <w:r w:rsidRPr="00440CAB">
        <w:rPr>
          <w:rFonts w:ascii="Narkisim" w:hAnsi="Narkisim"/>
          <w:sz w:val="20"/>
          <w:szCs w:val="20"/>
          <w:rtl/>
        </w:rPr>
        <w:t>ועוד תי' דלא חשיב אלא לאוין דכתיבי בהדיא, אבל ע"י ק"ו לא חשיב.</w:t>
      </w:r>
    </w:p>
    <w:p w14:paraId="4C79E974"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ראב"ד</w:t>
      </w:r>
      <w:r w:rsidRPr="00440CAB">
        <w:rPr>
          <w:rFonts w:ascii="Narkisim" w:hAnsi="Narkisim"/>
          <w:rtl/>
        </w:rPr>
        <w:t xml:space="preserve"> וה</w:t>
      </w:r>
      <w:r w:rsidRPr="00440CAB">
        <w:rPr>
          <w:rFonts w:ascii="Narkisim" w:hAnsi="Narkisim"/>
          <w:b/>
          <w:bCs/>
          <w:rtl/>
        </w:rPr>
        <w:t>מלחמות</w:t>
      </w:r>
      <w:r w:rsidRPr="00440CAB">
        <w:rPr>
          <w:rFonts w:ascii="Narkisim" w:hAnsi="Narkisim"/>
          <w:rtl/>
        </w:rPr>
        <w:t xml:space="preserve"> תי' דאין לוקין משום 'כי תהיה לאיש זר'. ועפ"ז כת' דכו"ע מודו לדברי רב עמרם דפסולה [אפי' באונס] מקרא ד'כי תהיה לאיש זר', אלא דאין לוקים. ורבה חידש שלוקה משום זונה, ולל"ק אפי' באונס. ועד"ז כת' בתוס' חד מקמאי.</w:t>
      </w:r>
    </w:p>
    <w:p w14:paraId="7BFDF3DC" w14:textId="77777777" w:rsidR="006074A5" w:rsidRPr="00440CAB" w:rsidRDefault="006074A5" w:rsidP="006074A5">
      <w:pPr>
        <w:pStyle w:val="a8"/>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(לה.) הביאו מהגמ' (סח:) דהוה גילוי מילתא, ומש"ה אין חסרון אין מזהירין מהדין. ומבואר דלוקין עליו</w:t>
      </w:r>
      <w:r w:rsidRPr="00440CAB">
        <w:rPr>
          <w:rStyle w:val="ac"/>
          <w:rFonts w:ascii="Narkisim" w:hAnsi="Narkisim"/>
          <w:rtl/>
        </w:rPr>
        <w:footnoteReference w:id="3432"/>
      </w:r>
      <w:r w:rsidRPr="00440CAB">
        <w:rPr>
          <w:rFonts w:ascii="Narkisim" w:hAnsi="Narkisim"/>
          <w:rtl/>
        </w:rPr>
        <w:t>. וצ"ע לדעת הנך ראשונים דנקטו דאין לוקים. וה</w:t>
      </w:r>
      <w:r w:rsidRPr="00440CAB">
        <w:rPr>
          <w:rFonts w:ascii="Narkisim" w:hAnsi="Narkisim"/>
          <w:b/>
          <w:bCs/>
          <w:rtl/>
        </w:rPr>
        <w:t>בי"ש</w:t>
      </w:r>
      <w:r w:rsidRPr="00440CAB">
        <w:rPr>
          <w:rFonts w:ascii="Narkisim" w:hAnsi="Narkisim"/>
          <w:rtl/>
        </w:rPr>
        <w:t xml:space="preserve"> (ו טז) כת' דהגמ' קאי לדעת אביי דגילוי מילתא לא חשיב מזהירין מהדין. ואנן קי"ל כרבא (סנהדרין עה:) דאף גילוי מילתא אין לוקים.</w:t>
      </w:r>
    </w:p>
    <w:p w14:paraId="58812E44" w14:textId="77777777" w:rsidR="006074A5" w:rsidRPr="00440CAB" w:rsidRDefault="006074A5" w:rsidP="006074A5">
      <w:pPr>
        <w:pStyle w:val="aa"/>
        <w:bidi/>
        <w:rPr>
          <w:rFonts w:ascii="Narkisim" w:hAnsi="Narkisim"/>
        </w:rPr>
      </w:pPr>
      <w:r w:rsidRPr="00440CAB">
        <w:rPr>
          <w:rFonts w:ascii="Narkisim" w:hAnsi="Narkisim"/>
          <w:u w:val="single"/>
          <w:rtl/>
        </w:rPr>
        <w:t>שם. משום זונה</w:t>
      </w:r>
      <w:r w:rsidRPr="00440CAB">
        <w:rPr>
          <w:rFonts w:ascii="Narkisim" w:hAnsi="Narkisim"/>
          <w:rtl/>
        </w:rPr>
        <w:t xml:space="preserve">. </w:t>
      </w:r>
      <w:r w:rsidRPr="00440CAB">
        <w:rPr>
          <w:rFonts w:ascii="Narkisim" w:hAnsi="Narkisim"/>
          <w:b/>
          <w:bCs/>
          <w:rtl/>
        </w:rPr>
        <w:t>ר"ש איגר</w:t>
      </w:r>
      <w:r w:rsidRPr="00440CAB">
        <w:rPr>
          <w:rFonts w:ascii="Narkisim" w:hAnsi="Narkisim"/>
          <w:rtl/>
        </w:rPr>
        <w:t xml:space="preserve"> (שו"ת רע"א ק' רכא ד) הקשה דלדעת ה</w:t>
      </w:r>
      <w:r w:rsidRPr="00440CAB">
        <w:rPr>
          <w:rFonts w:ascii="Narkisim" w:hAnsi="Narkisim"/>
          <w:b/>
          <w:bCs/>
          <w:rtl/>
        </w:rPr>
        <w:t>רמב"ם</w:t>
      </w:r>
      <w:r w:rsidRPr="00440CAB">
        <w:rPr>
          <w:rFonts w:ascii="Narkisim" w:hAnsi="Narkisim"/>
          <w:rtl/>
        </w:rPr>
        <w:t xml:space="preserve"> (איסו"ב טו ב) דחייבי לאוין אין חייבין אא"כ קידש, והכא לא קידש. ותי' דלא בעינן דמעשה הקידושין יהא חלק מהאיסור, והעיקר תליא דהוה ביאה דרך אישות. וה"נ כיון דנשאה בהיתר הוה ביאה דרך אישות</w:t>
      </w:r>
      <w:r w:rsidRPr="00440CAB">
        <w:rPr>
          <w:rStyle w:val="ac"/>
          <w:rFonts w:ascii="Narkisim" w:hAnsi="Narkisim"/>
          <w:rtl/>
        </w:rPr>
        <w:footnoteReference w:id="3433"/>
      </w:r>
      <w:r w:rsidRPr="00440CAB">
        <w:rPr>
          <w:rFonts w:ascii="Narkisim" w:hAnsi="Narkisim"/>
          <w:rtl/>
        </w:rPr>
        <w:t xml:space="preserve">. ויש </w:t>
      </w:r>
      <w:r w:rsidRPr="00440CAB">
        <w:rPr>
          <w:rFonts w:ascii="Narkisim" w:hAnsi="Narkisim"/>
          <w:b/>
          <w:bCs/>
          <w:rtl/>
        </w:rPr>
        <w:t>אחרונים</w:t>
      </w:r>
      <w:r w:rsidRPr="00440CAB">
        <w:rPr>
          <w:rFonts w:ascii="Narkisim" w:hAnsi="Narkisim"/>
          <w:rtl/>
        </w:rPr>
        <w:t xml:space="preserve"> שתי' דהרמב"ם מודה דהיכא דלא תפסי קידושין</w:t>
      </w:r>
      <w:r w:rsidRPr="00440CAB">
        <w:rPr>
          <w:rStyle w:val="ac"/>
          <w:rFonts w:ascii="Narkisim" w:hAnsi="Narkisim"/>
          <w:rtl/>
        </w:rPr>
        <w:footnoteReference w:id="3434"/>
      </w:r>
      <w:r w:rsidRPr="00440CAB">
        <w:rPr>
          <w:rFonts w:ascii="Narkisim" w:hAnsi="Narkisim"/>
          <w:rtl/>
        </w:rPr>
        <w:t>, שלוקה על ביאה לחוד</w:t>
      </w:r>
      <w:r w:rsidRPr="00440CAB">
        <w:rPr>
          <w:rStyle w:val="ac"/>
          <w:rFonts w:ascii="Narkisim" w:hAnsi="Narkisim"/>
          <w:rtl/>
        </w:rPr>
        <w:footnoteReference w:id="3435"/>
      </w:r>
      <w:r w:rsidRPr="00440CAB">
        <w:rPr>
          <w:rFonts w:ascii="Narkisim" w:hAnsi="Narkisim"/>
          <w:rtl/>
        </w:rPr>
        <w:t>.</w:t>
      </w:r>
    </w:p>
    <w:p w14:paraId="6ED8BD8B" w14:textId="77777777" w:rsidR="006074A5" w:rsidRPr="00440CAB" w:rsidRDefault="006074A5" w:rsidP="006074A5">
      <w:pPr>
        <w:pStyle w:val="aa"/>
        <w:bidi/>
        <w:rPr>
          <w:rFonts w:ascii="Narkisim" w:hAnsi="Narkisim"/>
        </w:rPr>
      </w:pPr>
      <w:r w:rsidRPr="00440CAB">
        <w:rPr>
          <w:rFonts w:ascii="Narkisim" w:hAnsi="Narkisim"/>
          <w:u w:val="single"/>
          <w:rtl/>
        </w:rPr>
        <w:lastRenderedPageBreak/>
        <w:t>שם.</w:t>
      </w:r>
      <w:r w:rsidRPr="00440CAB">
        <w:rPr>
          <w:rFonts w:ascii="Narkisim" w:hAnsi="Narkisim"/>
          <w:rtl/>
        </w:rPr>
        <w:t xml:space="preserve"> ה</w:t>
      </w:r>
      <w:r w:rsidRPr="00440CAB">
        <w:rPr>
          <w:rFonts w:ascii="Narkisim" w:hAnsi="Narkisim"/>
          <w:b/>
          <w:bCs/>
          <w:rtl/>
        </w:rPr>
        <w:t>קוב"ש</w:t>
      </w:r>
      <w:r w:rsidRPr="00440CAB">
        <w:rPr>
          <w:rFonts w:ascii="Narkisim" w:hAnsi="Narkisim"/>
          <w:rtl/>
        </w:rPr>
        <w:t xml:space="preserve"> (קוב"ב גיטין נ) הקשה כיון דנשאה בהיתר אמאי חל איסור זונה [באשת כהן שנאנסה] לאוסרה עליו, למש"כ </w:t>
      </w:r>
      <w:r w:rsidRPr="00440CAB">
        <w:rPr>
          <w:rFonts w:ascii="Narkisim" w:hAnsi="Narkisim"/>
          <w:b/>
          <w:bCs/>
          <w:rtl/>
        </w:rPr>
        <w:t>תוס</w:t>
      </w:r>
      <w:r w:rsidRPr="00440CAB">
        <w:rPr>
          <w:rFonts w:ascii="Narkisim" w:hAnsi="Narkisim"/>
          <w:rtl/>
        </w:rPr>
        <w:t>' (כ: ד"ה אטו) דהכלל (לקמן נט.) דנשאה בהיתר [בלא דחיית איסור] מהני להתיר בכל האיסורין. ואילו חל איסור לאחר שנשאה בהיתר אינה נאסרת, מלבד איסור סוטה דגלי קרא שנאסרת. ותי' דכיון דילפי' גזיה"כ דטומאה דחל איסור סוטה, עי"ז חל אף איסור זונה</w:t>
      </w:r>
      <w:r w:rsidRPr="00440CAB">
        <w:rPr>
          <w:rStyle w:val="ac"/>
          <w:rFonts w:ascii="Narkisim" w:hAnsi="Narkisim"/>
          <w:rtl/>
        </w:rPr>
        <w:footnoteReference w:id="3436"/>
      </w:r>
      <w:r w:rsidRPr="00440CAB">
        <w:rPr>
          <w:rFonts w:ascii="Narkisim" w:hAnsi="Narkisim"/>
          <w:rtl/>
        </w:rPr>
        <w:t>.</w:t>
      </w:r>
    </w:p>
    <w:p w14:paraId="0BEC6B58" w14:textId="77777777" w:rsidR="006074A5" w:rsidRPr="00440CAB" w:rsidRDefault="006074A5" w:rsidP="006074A5">
      <w:pPr>
        <w:pStyle w:val="aa"/>
        <w:bidi/>
        <w:rPr>
          <w:rFonts w:ascii="Narkisim" w:hAnsi="Narkisim"/>
        </w:rPr>
      </w:pPr>
      <w:r w:rsidRPr="00440CAB">
        <w:rPr>
          <w:rFonts w:ascii="Narkisim" w:hAnsi="Narkisim"/>
          <w:rtl/>
        </w:rPr>
        <w:t>ויש שהק' לדעת ר' עקיבא [לר' סימאי] לא תפסי קידושין בזונה לכהן, א"כ אשת כהן שנאנסה כיון דחל איסור זונה אינה ראויה לכהונה</w:t>
      </w:r>
      <w:r w:rsidRPr="00440CAB">
        <w:rPr>
          <w:rStyle w:val="ac"/>
          <w:rFonts w:ascii="Narkisim" w:hAnsi="Narkisim"/>
          <w:rtl/>
        </w:rPr>
        <w:footnoteReference w:id="3437"/>
      </w:r>
      <w:r w:rsidRPr="00440CAB">
        <w:rPr>
          <w:rFonts w:ascii="Narkisim" w:hAnsi="Narkisim"/>
          <w:rtl/>
        </w:rPr>
        <w:t xml:space="preserve">, ולדעת </w:t>
      </w:r>
      <w:r w:rsidRPr="00440CAB">
        <w:rPr>
          <w:rFonts w:ascii="Narkisim" w:hAnsi="Narkisim"/>
          <w:b/>
          <w:bCs/>
          <w:rtl/>
        </w:rPr>
        <w:t>רש"י</w:t>
      </w:r>
      <w:r w:rsidRPr="00440CAB">
        <w:rPr>
          <w:rFonts w:ascii="Narkisim" w:hAnsi="Narkisim"/>
          <w:rtl/>
        </w:rPr>
        <w:t xml:space="preserve"> (לעיל מט:) נימא דיפקע קידושיה. ונהי דגלי קרא גבי איסור סוטה דתפסי קידושין [ולא פקעי], אבל באיסור זונה לא גלי. [דהא לא תפסי קידושין לר"ע בזונה לכהן</w:t>
      </w:r>
      <w:r w:rsidRPr="00440CAB">
        <w:rPr>
          <w:rStyle w:val="ac"/>
          <w:rFonts w:ascii="Narkisim" w:hAnsi="Narkisim"/>
          <w:rtl/>
        </w:rPr>
        <w:footnoteReference w:id="3438"/>
      </w:r>
      <w:r w:rsidRPr="00440CAB">
        <w:rPr>
          <w:rFonts w:ascii="Narkisim" w:hAnsi="Narkisim"/>
          <w:rtl/>
        </w:rPr>
        <w:t>].</w:t>
      </w:r>
    </w:p>
    <w:p w14:paraId="07DECD8A" w14:textId="77777777" w:rsidR="006074A5" w:rsidRPr="00440CAB" w:rsidRDefault="006074A5" w:rsidP="006074A5">
      <w:pPr>
        <w:bidi/>
        <w:rPr>
          <w:rFonts w:ascii="Narkisim" w:hAnsi="Narkisim" w:cs="Narkisim"/>
        </w:rPr>
      </w:pPr>
      <w:r w:rsidRPr="00440CAB">
        <w:rPr>
          <w:rFonts w:ascii="Narkisim" w:hAnsi="Narkisim" w:cs="Narkisim"/>
          <w:u w:val="single"/>
          <w:rtl/>
        </w:rPr>
        <w:t>הכל היו בכלל זונה, כשפרט וכו'.</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כל הנבעלות תחת בעליהם וכו' והוציא לך אנוסת ישראל מהכלל. וה</w:t>
      </w:r>
      <w:r w:rsidRPr="00440CAB">
        <w:rPr>
          <w:rFonts w:ascii="Narkisim" w:hAnsi="Narkisim" w:cs="Narkisim"/>
          <w:b/>
          <w:bCs/>
          <w:rtl/>
        </w:rPr>
        <w:t>רשב"א</w:t>
      </w:r>
      <w:r w:rsidRPr="00440CAB">
        <w:rPr>
          <w:rFonts w:ascii="Narkisim" w:hAnsi="Narkisim" w:cs="Narkisim"/>
          <w:rtl/>
        </w:rPr>
        <w:t xml:space="preserve"> הקשה דהך קרא קאי בכהן, ואשת ישראל לא היתה בהך כלל. והרשב"א פי' דקאי אקרא דסוטה, דאשת ישראל אסורה עליו משום שזנתה ונטמאתה</w:t>
      </w:r>
      <w:r w:rsidRPr="00440CAB">
        <w:rPr>
          <w:rStyle w:val="ac"/>
          <w:rFonts w:ascii="Narkisim" w:hAnsi="Narkisim" w:cs="Narkisim"/>
          <w:rtl/>
        </w:rPr>
        <w:footnoteReference w:id="3439"/>
      </w:r>
      <w:r w:rsidRPr="00440CAB">
        <w:rPr>
          <w:rFonts w:ascii="Narkisim" w:hAnsi="Narkisim" w:cs="Narkisim"/>
          <w:rtl/>
        </w:rPr>
        <w:t>, וכשהתיר הכתוב ס"ד דכל אונס לאו זונה וטמאה היא וכו'</w:t>
      </w:r>
      <w:r w:rsidRPr="00440CAB">
        <w:rPr>
          <w:rStyle w:val="ac"/>
          <w:rFonts w:ascii="Narkisim" w:hAnsi="Narkisim" w:cs="Narkisim"/>
          <w:rtl/>
        </w:rPr>
        <w:footnoteReference w:id="3440"/>
      </w:r>
      <w:r w:rsidRPr="00440CAB">
        <w:rPr>
          <w:rFonts w:ascii="Narkisim" w:hAnsi="Narkisim" w:cs="Narkisim"/>
          <w:rtl/>
        </w:rPr>
        <w:t>.</w:t>
      </w:r>
    </w:p>
    <w:p w14:paraId="097FCDF3"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(קובה"ע מה ז) הביאו דהגמ' קרי לאיסור סוטה לבעלה בשם 'זונה', דהאיסור סוטה לבעלה הוה מחמת שם זונה. והביאו כן עוד מהגמ' (קידושין עז:) דאיסור זונה נחשב איסור כולל 'הואיל ושם זנות פוסל בישראל' [ופ</w:t>
      </w:r>
      <w:r w:rsidRPr="00440CAB">
        <w:rPr>
          <w:rFonts w:ascii="Narkisim" w:hAnsi="Narkisim"/>
          <w:b/>
          <w:bCs/>
          <w:rtl/>
        </w:rPr>
        <w:t>רש"י</w:t>
      </w:r>
      <w:r w:rsidRPr="00440CAB">
        <w:rPr>
          <w:rFonts w:ascii="Narkisim" w:hAnsi="Narkisim"/>
          <w:rtl/>
        </w:rPr>
        <w:t xml:space="preserve"> כגון זינתה תחת בעלה</w:t>
      </w:r>
      <w:r w:rsidRPr="00440CAB">
        <w:rPr>
          <w:rStyle w:val="ac"/>
          <w:rFonts w:ascii="Narkisim" w:hAnsi="Narkisim"/>
          <w:rtl/>
        </w:rPr>
        <w:footnoteReference w:id="3441"/>
      </w:r>
      <w:r w:rsidRPr="00440CAB">
        <w:rPr>
          <w:rFonts w:ascii="Narkisim" w:hAnsi="Narkisim"/>
          <w:rtl/>
        </w:rPr>
        <w:t>].</w:t>
      </w:r>
    </w:p>
    <w:p w14:paraId="070C9A34"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תוס' הרא"ש</w:t>
      </w:r>
      <w:r w:rsidRPr="00440CAB">
        <w:rPr>
          <w:rFonts w:ascii="Narkisim" w:hAnsi="Narkisim"/>
          <w:rtl/>
        </w:rPr>
        <w:t xml:space="preserve"> כתב דכיון דאשת כהן אסירא, ממילא אשת ישראל אסירא לכהן. [דגלי קרא] דלגבי כהן אין חילוק אונס לרצון.</w:t>
      </w:r>
    </w:p>
    <w:p w14:paraId="098475D7" w14:textId="77777777" w:rsidR="006074A5" w:rsidRPr="00440CAB" w:rsidRDefault="006074A5" w:rsidP="006074A5">
      <w:pPr>
        <w:bidi/>
        <w:rPr>
          <w:rFonts w:ascii="Narkisim" w:hAnsi="Narkisim" w:cs="Narkisim"/>
        </w:rPr>
      </w:pPr>
      <w:r w:rsidRPr="00440CAB">
        <w:rPr>
          <w:rFonts w:ascii="Narkisim" w:hAnsi="Narkisim" w:cs="Narkisim"/>
          <w:u w:val="single"/>
          <w:rtl/>
        </w:rPr>
        <w:t>מכלל דאשת כהן כדקיימא קיימא.</w:t>
      </w:r>
      <w:r w:rsidRPr="00440CAB">
        <w:rPr>
          <w:rFonts w:ascii="Narkisim" w:hAnsi="Narkisim" w:cs="Narkisim"/>
          <w:rtl/>
        </w:rPr>
        <w:t xml:space="preserve"> ה</w:t>
      </w:r>
      <w:r w:rsidRPr="00440CAB">
        <w:rPr>
          <w:rFonts w:ascii="Narkisim" w:hAnsi="Narkisim" w:cs="Narkisim"/>
          <w:b/>
          <w:bCs/>
          <w:rtl/>
        </w:rPr>
        <w:t>ריטב"א</w:t>
      </w:r>
      <w:r w:rsidRPr="00440CAB">
        <w:rPr>
          <w:rFonts w:ascii="Narkisim" w:hAnsi="Narkisim" w:cs="Narkisim"/>
          <w:rtl/>
        </w:rPr>
        <w:t xml:space="preserve"> מביא בשם </w:t>
      </w:r>
      <w:r w:rsidRPr="00440CAB">
        <w:rPr>
          <w:rFonts w:ascii="Narkisim" w:hAnsi="Narkisim" w:cs="Narkisim"/>
          <w:b/>
          <w:bCs/>
          <w:rtl/>
        </w:rPr>
        <w:t>רבו</w:t>
      </w:r>
      <w:r w:rsidRPr="00440CAB">
        <w:rPr>
          <w:rFonts w:ascii="Narkisim" w:hAnsi="Narkisim" w:cs="Narkisim"/>
          <w:rtl/>
        </w:rPr>
        <w:t xml:space="preserve"> הר"א דכיון דאהדריה לכללא, כל היכא דיש טומאה אצל הבעל, יש טומאה אף לבועל. ואשת כהן שנאנסה אסורה לבועל. וכן דייק ה</w:t>
      </w:r>
      <w:r w:rsidRPr="00440CAB">
        <w:rPr>
          <w:rFonts w:ascii="Narkisim" w:hAnsi="Narkisim" w:cs="Narkisim"/>
          <w:b/>
          <w:bCs/>
          <w:rtl/>
        </w:rPr>
        <w:t>משנ"ל</w:t>
      </w:r>
      <w:r w:rsidRPr="00440CAB">
        <w:rPr>
          <w:rFonts w:ascii="Narkisim" w:hAnsi="Narkisim" w:cs="Narkisim"/>
          <w:rtl/>
        </w:rPr>
        <w:t xml:space="preserve"> (סוטה ב יב בסופו) מדברי ה</w:t>
      </w:r>
      <w:r w:rsidRPr="00440CAB">
        <w:rPr>
          <w:rFonts w:ascii="Narkisim" w:hAnsi="Narkisim" w:cs="Narkisim"/>
          <w:b/>
          <w:bCs/>
          <w:rtl/>
        </w:rPr>
        <w:t>תוס'</w:t>
      </w:r>
      <w:r w:rsidRPr="00440CAB">
        <w:rPr>
          <w:rFonts w:ascii="Narkisim" w:hAnsi="Narkisim" w:cs="Narkisim"/>
          <w:rtl/>
        </w:rPr>
        <w:t xml:space="preserve"> (לעיל לה.). וה</w:t>
      </w:r>
      <w:r w:rsidRPr="00440CAB">
        <w:rPr>
          <w:rFonts w:ascii="Narkisim" w:hAnsi="Narkisim" w:cs="Narkisim"/>
          <w:b/>
          <w:bCs/>
          <w:rtl/>
        </w:rPr>
        <w:t>חלק"מ</w:t>
      </w:r>
      <w:r w:rsidRPr="00440CAB">
        <w:rPr>
          <w:rFonts w:ascii="Narkisim" w:hAnsi="Narkisim" w:cs="Narkisim"/>
          <w:rtl/>
        </w:rPr>
        <w:t xml:space="preserve"> (יא י) נסתפק בזה, והבי"ש (שם ג) דייק מהרמ"א דאסורה לבועל</w:t>
      </w:r>
      <w:r w:rsidRPr="00440CAB">
        <w:rPr>
          <w:rStyle w:val="ac"/>
          <w:rFonts w:ascii="Narkisim" w:hAnsi="Narkisim" w:cs="Narkisim"/>
          <w:rtl/>
        </w:rPr>
        <w:footnoteReference w:id="3442"/>
      </w:r>
      <w:r w:rsidRPr="00440CAB">
        <w:rPr>
          <w:rFonts w:ascii="Narkisim" w:hAnsi="Narkisim" w:cs="Narkisim"/>
          <w:rtl/>
        </w:rPr>
        <w:t>.</w:t>
      </w:r>
    </w:p>
    <w:p w14:paraId="39A96E61" w14:textId="77777777" w:rsidR="006074A5" w:rsidRPr="00440CAB" w:rsidRDefault="006074A5" w:rsidP="006074A5">
      <w:pPr>
        <w:bidi/>
        <w:rPr>
          <w:rFonts w:ascii="Narkisim" w:hAnsi="Narkisim" w:cs="Narkisim"/>
        </w:rPr>
      </w:pPr>
      <w:r w:rsidRPr="00440CAB">
        <w:rPr>
          <w:rFonts w:ascii="Narkisim" w:hAnsi="Narkisim" w:cs="Narkisim"/>
          <w:u w:val="single"/>
          <w:rtl/>
        </w:rPr>
        <w:t>ואיכא דאמרי וכו' אלמא באונס לא קרינן ביה זונה.</w:t>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רי"ף</w:t>
      </w:r>
      <w:r w:rsidRPr="00440CAB">
        <w:rPr>
          <w:rFonts w:ascii="Narkisim" w:hAnsi="Narkisim" w:cs="Narkisim"/>
          <w:sz w:val="20"/>
          <w:szCs w:val="20"/>
          <w:rtl/>
        </w:rPr>
        <w:t xml:space="preserve"> הביא פסק כל"ב].</w:t>
      </w:r>
      <w:r w:rsidRPr="00440CAB">
        <w:rPr>
          <w:rFonts w:ascii="Narkisim" w:hAnsi="Narkisim" w:cs="Narkisim"/>
          <w:rtl/>
        </w:rPr>
        <w:t xml:space="preserve"> ויש </w:t>
      </w:r>
      <w:r w:rsidRPr="00440CAB">
        <w:rPr>
          <w:rFonts w:ascii="Narkisim" w:hAnsi="Narkisim" w:cs="Narkisim"/>
          <w:b/>
          <w:bCs/>
          <w:rtl/>
        </w:rPr>
        <w:t>ראשונים</w:t>
      </w:r>
      <w:r w:rsidRPr="00440CAB">
        <w:rPr>
          <w:rFonts w:ascii="Narkisim" w:hAnsi="Narkisim" w:cs="Narkisim"/>
          <w:rtl/>
        </w:rPr>
        <w:t xml:space="preserve"> </w:t>
      </w:r>
      <w:r w:rsidRPr="00440CAB">
        <w:rPr>
          <w:rFonts w:ascii="Narkisim" w:hAnsi="Narkisim" w:cs="Narkisim"/>
          <w:sz w:val="20"/>
          <w:szCs w:val="20"/>
          <w:rtl/>
        </w:rPr>
        <w:t>[חי' ר"א מן ההר, וכ"כ הראב"ד ומלחמות בתחילת דבריהם</w:t>
      </w:r>
      <w:r w:rsidRPr="00440CAB">
        <w:rPr>
          <w:rFonts w:ascii="Narkisim" w:hAnsi="Narkisim" w:cs="Narkisim"/>
          <w:rtl/>
        </w:rPr>
        <w:t>] דהך לישנא הוה דלא כרב עמרם, דלרב עמרם אף באונס נאסרת לכהונה.</w:t>
      </w:r>
    </w:p>
    <w:p w14:paraId="33FC5EB3"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 xml:space="preserve">רמב"ם </w:t>
      </w:r>
      <w:r w:rsidRPr="00440CAB">
        <w:rPr>
          <w:rFonts w:ascii="Narkisim" w:hAnsi="Narkisim"/>
          <w:rtl/>
        </w:rPr>
        <w:t>(א כא) פסק דלוקה משום זונה, וכל"ק, ו</w:t>
      </w:r>
      <w:r w:rsidRPr="00440CAB">
        <w:rPr>
          <w:rFonts w:ascii="Narkisim" w:hAnsi="Narkisim"/>
          <w:b/>
          <w:bCs/>
          <w:rtl/>
        </w:rPr>
        <w:t>ה"ה</w:t>
      </w:r>
      <w:r w:rsidRPr="00440CAB">
        <w:rPr>
          <w:rFonts w:ascii="Narkisim" w:hAnsi="Narkisim"/>
          <w:rtl/>
        </w:rPr>
        <w:t xml:space="preserve"> כתב דהרמב"ם סמך אדברי רב עמרם].</w:t>
      </w:r>
    </w:p>
    <w:p w14:paraId="73C9BC3C"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מלחמות</w:t>
      </w:r>
      <w:r w:rsidRPr="00440CAB">
        <w:rPr>
          <w:rFonts w:ascii="Narkisim" w:hAnsi="Narkisim"/>
          <w:rtl/>
        </w:rPr>
        <w:t xml:space="preserve"> דחה דאף ללישנא בתרא, אף דאינו לוקה משום זונה. מ"מ נפסלת לכהונה מקרא דובת כהן וכו' מי שיש לו אלמנה וגירושין בה, שפסולה לתרומה, וכהונה מק"ו (וכדאי' בגמ' לקמן סח:). ופסולה לכהונה [וכרב עמרם] אלא דאינה לוקה</w:t>
      </w:r>
      <w:r w:rsidRPr="00440CAB">
        <w:rPr>
          <w:rStyle w:val="ac"/>
          <w:rFonts w:ascii="Narkisim" w:hAnsi="Narkisim"/>
          <w:rtl/>
        </w:rPr>
        <w:footnoteReference w:id="3443"/>
      </w:r>
      <w:r w:rsidRPr="00440CAB">
        <w:rPr>
          <w:rFonts w:ascii="Narkisim" w:hAnsi="Narkisim"/>
          <w:rtl/>
        </w:rPr>
        <w:t xml:space="preserve">. </w:t>
      </w:r>
      <w:r w:rsidRPr="00440CAB">
        <w:rPr>
          <w:rFonts w:ascii="Narkisim" w:hAnsi="Narkisim"/>
          <w:sz w:val="20"/>
          <w:szCs w:val="20"/>
          <w:rtl/>
        </w:rPr>
        <w:t>[וס"ל דאין לוקין על הק"ו</w:t>
      </w:r>
      <w:r w:rsidRPr="00440CAB">
        <w:rPr>
          <w:rFonts w:ascii="Narkisim" w:hAnsi="Narkisim"/>
          <w:rtl/>
        </w:rPr>
        <w:t>]. וכ"כ ב</w:t>
      </w:r>
      <w:r w:rsidRPr="00440CAB">
        <w:rPr>
          <w:rFonts w:ascii="Narkisim" w:hAnsi="Narkisim"/>
          <w:b/>
          <w:bCs/>
          <w:rtl/>
        </w:rPr>
        <w:t>תוס' חד מקמאי</w:t>
      </w:r>
      <w:r w:rsidRPr="00440CAB">
        <w:rPr>
          <w:rFonts w:ascii="Narkisim" w:hAnsi="Narkisim"/>
          <w:rtl/>
        </w:rPr>
        <w:t>, וכן ה</w:t>
      </w:r>
      <w:r w:rsidRPr="00440CAB">
        <w:rPr>
          <w:rFonts w:ascii="Narkisim" w:hAnsi="Narkisim"/>
          <w:b/>
          <w:bCs/>
          <w:rtl/>
        </w:rPr>
        <w:t>רשב"א</w:t>
      </w:r>
      <w:r w:rsidRPr="00440CAB">
        <w:rPr>
          <w:rFonts w:ascii="Narkisim" w:hAnsi="Narkisim"/>
          <w:rtl/>
        </w:rPr>
        <w:t xml:space="preserve"> (לקמן סח. בתי' הב') דלכו"ע אסור מק"ו מתרומה, אלא מח' האם הוה בכלל זונה.</w:t>
      </w:r>
    </w:p>
    <w:p w14:paraId="1D474761" w14:textId="77777777" w:rsidR="006074A5" w:rsidRPr="00440CAB" w:rsidRDefault="006074A5" w:rsidP="006074A5">
      <w:pPr>
        <w:pStyle w:val="aa"/>
        <w:bidi/>
        <w:rPr>
          <w:rFonts w:ascii="Narkisim" w:hAnsi="Narkisim"/>
        </w:rPr>
      </w:pPr>
      <w:r w:rsidRPr="00440CAB">
        <w:rPr>
          <w:rFonts w:ascii="Narkisim" w:hAnsi="Narkisim"/>
          <w:u w:val="single"/>
          <w:rtl/>
        </w:rPr>
        <w:t>שם</w:t>
      </w:r>
      <w:r w:rsidRPr="00440CAB">
        <w:rPr>
          <w:rFonts w:ascii="Narkisim" w:hAnsi="Narkisim"/>
          <w:rtl/>
        </w:rPr>
        <w:t>. וה</w:t>
      </w:r>
      <w:r w:rsidRPr="00440CAB">
        <w:rPr>
          <w:rFonts w:ascii="Narkisim" w:hAnsi="Narkisim"/>
          <w:b/>
          <w:bCs/>
          <w:rtl/>
        </w:rPr>
        <w:t>רמב"ם</w:t>
      </w:r>
      <w:r w:rsidRPr="00440CAB">
        <w:rPr>
          <w:rFonts w:ascii="Narkisim" w:hAnsi="Narkisim"/>
          <w:rtl/>
        </w:rPr>
        <w:t xml:space="preserve"> (איסו"ב א כב) כת' דאף סוטה שנסתרה ועד א' מעיד שנטמאה, כהן לוקה עליה משום זונה. ואע"פ שעיקר העדות בע"א, כבר הוחזקה זונה. וה</w:t>
      </w:r>
      <w:r w:rsidRPr="00440CAB">
        <w:rPr>
          <w:rFonts w:ascii="Narkisim" w:hAnsi="Narkisim"/>
          <w:b/>
          <w:bCs/>
          <w:rtl/>
        </w:rPr>
        <w:t>ראב"ד</w:t>
      </w:r>
      <w:r w:rsidRPr="00440CAB">
        <w:rPr>
          <w:rFonts w:ascii="Narkisim" w:hAnsi="Narkisim"/>
          <w:rtl/>
        </w:rPr>
        <w:t xml:space="preserve"> השיג דע"א נאמן רק לענין טומאה, ולא לאיסור זונה לכהן. והראב"ד הוסיף דלל"ב דרבה (בסוגיין) כל אונס בעד אחד לא קרינן ביה זונה, אלא משום טומאה. וצ"ב כוונת הראב"ד הביא מסוגיין דזונה באונס, ומשמע דהנך ב' לשונות שייכי לענין עד א' אי הוה זונה.</w:t>
      </w:r>
    </w:p>
    <w:p w14:paraId="528A1833"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גר"ח</w:t>
      </w:r>
      <w:r w:rsidRPr="00440CAB">
        <w:rPr>
          <w:rFonts w:ascii="Narkisim" w:hAnsi="Narkisim"/>
          <w:rtl/>
        </w:rPr>
        <w:t xml:space="preserve"> (שם) כת' שנתחדש באשת איש סיבה נוספת להחשב זונה [וכדאי' בסוגיין הכל היו בכלל זונה וכו'], דמחמת הטומאה דבעלה נחשבת זונה לענין כהונה. מלבד הא דאשת איש שזינתה הוה בכלל כל העריות דחייבי כריתות.</w:t>
      </w:r>
    </w:p>
    <w:p w14:paraId="16CF2CB4" w14:textId="77777777" w:rsidR="006074A5" w:rsidRPr="00440CAB" w:rsidRDefault="006074A5" w:rsidP="006074A5">
      <w:pPr>
        <w:pStyle w:val="a8"/>
        <w:bidi/>
        <w:rPr>
          <w:rFonts w:ascii="Narkisim" w:hAnsi="Narkisim"/>
        </w:rPr>
      </w:pPr>
      <w:r w:rsidRPr="00440CAB">
        <w:rPr>
          <w:rFonts w:ascii="Narkisim" w:hAnsi="Narkisim"/>
          <w:rtl/>
        </w:rPr>
        <w:t xml:space="preserve">והגר"ח כת' דרב עמרם [בתחילת סוגיין] קאי דהוה זונה משום דלא גרע משאר עריות. ואף באונס נפסלה לכהונה. ורבה הוסיף דיש שם זונה מחמת שהיא אשת איש שזינתה. ונפק"מ היכא דליכא עדות, אלא נאסרת משום קינוי וסתירה ועד א', דמדין ביאת חייבי כריתות צריך עדות כשאר דבר שבערוה. קמ"ל רבה דיש פרשות </w:t>
      </w:r>
      <w:r w:rsidRPr="00440CAB">
        <w:rPr>
          <w:rFonts w:ascii="Narkisim" w:hAnsi="Narkisim"/>
          <w:rtl/>
        </w:rPr>
        <w:lastRenderedPageBreak/>
        <w:t>זונה מדין אשת איש שזינתה, ובזה מהני קינוי וסתירה [דשייכא לדיני הסוטה], ובזה האמינתו תורה</w:t>
      </w:r>
      <w:r w:rsidRPr="00440CAB">
        <w:rPr>
          <w:rStyle w:val="ac"/>
          <w:rFonts w:ascii="Narkisim" w:hAnsi="Narkisim"/>
          <w:rtl/>
        </w:rPr>
        <w:footnoteReference w:id="3444"/>
      </w:r>
      <w:r w:rsidRPr="00440CAB">
        <w:rPr>
          <w:rFonts w:ascii="Narkisim" w:hAnsi="Narkisim"/>
          <w:rtl/>
        </w:rPr>
        <w:t>.</w:t>
      </w:r>
    </w:p>
    <w:p w14:paraId="24F2B681" w14:textId="77777777" w:rsidR="006074A5" w:rsidRPr="00440CAB" w:rsidRDefault="006074A5" w:rsidP="006074A5">
      <w:pPr>
        <w:pStyle w:val="a8"/>
        <w:bidi/>
        <w:rPr>
          <w:rFonts w:ascii="Narkisim" w:hAnsi="Narkisim"/>
        </w:rPr>
      </w:pPr>
      <w:r w:rsidRPr="00440CAB">
        <w:rPr>
          <w:rFonts w:ascii="Narkisim" w:hAnsi="Narkisim"/>
          <w:rtl/>
        </w:rPr>
        <w:t>והגר"ח פירש דסוגיין איירי בקינוי וסתירה וע"א, דהוה זונה משום פרשת סוטה. ונח' ב' לשונות דרבה האם באונס חשיב זונה</w:t>
      </w:r>
      <w:r w:rsidRPr="00440CAB">
        <w:rPr>
          <w:rStyle w:val="ac"/>
          <w:rFonts w:ascii="Narkisim" w:hAnsi="Narkisim"/>
          <w:rtl/>
        </w:rPr>
        <w:footnoteReference w:id="3445"/>
      </w:r>
      <w:r w:rsidRPr="00440CAB">
        <w:rPr>
          <w:rFonts w:ascii="Narkisim" w:hAnsi="Narkisim"/>
          <w:rtl/>
        </w:rPr>
        <w:t>. [אך צ"ע דלכאו' קינוי וסתירה אינו ריעותא היכא דנאנסה].</w:t>
      </w:r>
    </w:p>
    <w:p w14:paraId="0E5046C9" w14:textId="77777777" w:rsidR="006074A5" w:rsidRPr="00440CAB" w:rsidRDefault="006074A5" w:rsidP="006074A5">
      <w:pPr>
        <w:pStyle w:val="2"/>
        <w:bidi/>
        <w:rPr>
          <w:rFonts w:ascii="Narkisim" w:hAnsi="Narkisim"/>
        </w:rPr>
      </w:pPr>
      <w:r w:rsidRPr="00440CAB">
        <w:rPr>
          <w:rFonts w:ascii="Narkisim" w:hAnsi="Narkisim"/>
          <w:rtl/>
        </w:rPr>
        <w:t>משתמרת לביאה פסולה</w:t>
      </w:r>
    </w:p>
    <w:p w14:paraId="38B85148" w14:textId="77777777" w:rsidR="006074A5" w:rsidRPr="00440CAB" w:rsidRDefault="006074A5" w:rsidP="006074A5">
      <w:pPr>
        <w:bidi/>
        <w:rPr>
          <w:rFonts w:ascii="Narkisim" w:hAnsi="Narkisim" w:cs="Narkisim"/>
        </w:rPr>
      </w:pPr>
      <w:r w:rsidRPr="00440CAB">
        <w:rPr>
          <w:rFonts w:ascii="Narkisim" w:hAnsi="Narkisim" w:cs="Narkisim"/>
          <w:u w:val="single"/>
          <w:rtl/>
        </w:rPr>
        <w:t>חלוצה לכהן הדיוט.</w:t>
      </w:r>
      <w:r w:rsidRPr="00440CAB">
        <w:rPr>
          <w:rFonts w:ascii="Narkisim" w:hAnsi="Narkisim" w:cs="Narkisim"/>
          <w:rtl/>
        </w:rPr>
        <w:t xml:space="preserve"> ה</w:t>
      </w:r>
      <w:r w:rsidRPr="00440CAB">
        <w:rPr>
          <w:rFonts w:ascii="Narkisim" w:hAnsi="Narkisim" w:cs="Narkisim"/>
          <w:b/>
          <w:bCs/>
          <w:rtl/>
        </w:rPr>
        <w:t>רשב"א</w:t>
      </w:r>
      <w:r w:rsidRPr="00440CAB">
        <w:rPr>
          <w:rFonts w:ascii="Narkisim" w:hAnsi="Narkisim" w:cs="Narkisim"/>
          <w:rtl/>
        </w:rPr>
        <w:t xml:space="preserve"> כתב דנקט חלוצה אגב גרושה</w:t>
      </w:r>
      <w:r w:rsidRPr="00440CAB">
        <w:rPr>
          <w:rStyle w:val="ac"/>
          <w:rFonts w:ascii="Narkisim" w:hAnsi="Narkisim" w:cs="Narkisim"/>
          <w:rtl/>
        </w:rPr>
        <w:footnoteReference w:id="3446"/>
      </w:r>
      <w:r w:rsidRPr="00440CAB">
        <w:rPr>
          <w:rFonts w:ascii="Narkisim" w:hAnsi="Narkisim" w:cs="Narkisim"/>
          <w:rtl/>
        </w:rPr>
        <w:t>, דחלוצה דרבנן, וקי"ל (לקמן נח:) דבאיסור דרבנן משתמרת אינה נפסלת</w:t>
      </w:r>
      <w:r w:rsidRPr="00440CAB">
        <w:rPr>
          <w:rStyle w:val="ac"/>
          <w:rFonts w:ascii="Narkisim" w:hAnsi="Narkisim" w:cs="Narkisim"/>
          <w:rtl/>
        </w:rPr>
        <w:footnoteReference w:id="3447"/>
      </w:r>
      <w:r w:rsidRPr="00440CAB">
        <w:rPr>
          <w:rFonts w:ascii="Narkisim" w:hAnsi="Narkisim" w:cs="Narkisim"/>
          <w:rtl/>
        </w:rPr>
        <w:t>. וכ"פ ה</w:t>
      </w:r>
      <w:r w:rsidRPr="00440CAB">
        <w:rPr>
          <w:rFonts w:ascii="Narkisim" w:hAnsi="Narkisim" w:cs="Narkisim"/>
          <w:b/>
          <w:bCs/>
          <w:rtl/>
        </w:rPr>
        <w:t>רמב"ם</w:t>
      </w:r>
      <w:r w:rsidRPr="00440CAB">
        <w:rPr>
          <w:rFonts w:ascii="Narkisim" w:hAnsi="Narkisim" w:cs="Narkisim"/>
          <w:rtl/>
        </w:rPr>
        <w:t xml:space="preserve"> (תרומות ז כג) דחלוצה שנתארסה לכהן אוכלת בתרומה. </w:t>
      </w:r>
      <w:r w:rsidRPr="00440CAB">
        <w:rPr>
          <w:rFonts w:ascii="Narkisim" w:hAnsi="Narkisim" w:cs="Narkisim"/>
          <w:sz w:val="20"/>
          <w:szCs w:val="20"/>
          <w:rtl/>
        </w:rPr>
        <w:t>וה</w:t>
      </w:r>
      <w:r w:rsidRPr="00440CAB">
        <w:rPr>
          <w:rFonts w:ascii="Narkisim" w:hAnsi="Narkisim" w:cs="Narkisim"/>
          <w:b/>
          <w:bCs/>
          <w:sz w:val="20"/>
          <w:szCs w:val="20"/>
          <w:rtl/>
        </w:rPr>
        <w:t>רדב"ז</w:t>
      </w:r>
      <w:r w:rsidRPr="00440CAB">
        <w:rPr>
          <w:rFonts w:ascii="Narkisim" w:hAnsi="Narkisim" w:cs="Narkisim"/>
          <w:sz w:val="20"/>
          <w:szCs w:val="20"/>
          <w:rtl/>
        </w:rPr>
        <w:t xml:space="preserve"> (שם) כתב עוד לפרש דר' מאיר ס"ל דחלוצה אסורה מה"ת לכהן</w:t>
      </w:r>
      <w:r w:rsidRPr="00440CAB">
        <w:rPr>
          <w:rStyle w:val="ac"/>
          <w:rFonts w:ascii="Narkisim" w:hAnsi="Narkisim" w:cs="Narkisim"/>
          <w:sz w:val="20"/>
          <w:szCs w:val="20"/>
          <w:rtl/>
        </w:rPr>
        <w:footnoteReference w:id="3448"/>
      </w:r>
      <w:r w:rsidRPr="00440CAB">
        <w:rPr>
          <w:rFonts w:ascii="Narkisim" w:hAnsi="Narkisim" w:cs="Narkisim"/>
          <w:sz w:val="20"/>
          <w:szCs w:val="20"/>
          <w:rtl/>
        </w:rPr>
        <w:t>. ולא קי"ל כוותיה בזה.</w:t>
      </w:r>
    </w:p>
    <w:p w14:paraId="1212FCD8" w14:textId="77777777" w:rsidR="006074A5" w:rsidRPr="00440CAB" w:rsidRDefault="006074A5" w:rsidP="006074A5">
      <w:pPr>
        <w:bidi/>
        <w:rPr>
          <w:rFonts w:ascii="Narkisim" w:hAnsi="Narkisim" w:cs="Narkisim"/>
        </w:rPr>
      </w:pPr>
      <w:r w:rsidRPr="00440CAB">
        <w:rPr>
          <w:rFonts w:ascii="Narkisim" w:hAnsi="Narkisim" w:cs="Narkisim"/>
          <w:u w:val="single"/>
          <w:rtl/>
        </w:rPr>
        <w:t>לא יאכלו בתרומה.</w:t>
      </w:r>
      <w:r w:rsidRPr="00440CAB">
        <w:rPr>
          <w:rFonts w:ascii="Narkisim" w:hAnsi="Narkisim" w:cs="Narkisim"/>
          <w:rtl/>
        </w:rPr>
        <w:t xml:space="preserve"> ואף בבת כהן [שיש לה סיבה לאכול בתרומה], ע"י קידושי עבירה נפסלה. כ"כ </w:t>
      </w:r>
      <w:r w:rsidRPr="00440CAB">
        <w:rPr>
          <w:rFonts w:ascii="Narkisim" w:hAnsi="Narkisim" w:cs="Narkisim"/>
          <w:b/>
          <w:bCs/>
          <w:rtl/>
        </w:rPr>
        <w:t>רש"י</w:t>
      </w:r>
      <w:r w:rsidRPr="00440CAB">
        <w:rPr>
          <w:rFonts w:ascii="Narkisim" w:hAnsi="Narkisim" w:cs="Narkisim"/>
          <w:rtl/>
        </w:rPr>
        <w:t>. ובגמ' מבואר דהוה משום שמשתמרת לביאה פסולה, ומבואר ב</w:t>
      </w:r>
      <w:r w:rsidRPr="00440CAB">
        <w:rPr>
          <w:rFonts w:ascii="Narkisim" w:hAnsi="Narkisim" w:cs="Narkisim"/>
          <w:b/>
          <w:bCs/>
          <w:rtl/>
        </w:rPr>
        <w:t>ראשונים</w:t>
      </w:r>
      <w:r w:rsidRPr="00440CAB">
        <w:rPr>
          <w:rFonts w:ascii="Narkisim" w:hAnsi="Narkisim" w:cs="Narkisim"/>
          <w:rtl/>
        </w:rPr>
        <w:t xml:space="preserve"> (תוס' נז: ועוד) דהוה פסול דרבנן</w:t>
      </w:r>
      <w:r w:rsidRPr="00440CAB">
        <w:rPr>
          <w:rStyle w:val="ac"/>
          <w:rFonts w:ascii="Narkisim" w:hAnsi="Narkisim" w:cs="Narkisim"/>
          <w:rtl/>
        </w:rPr>
        <w:footnoteReference w:id="3449"/>
      </w:r>
      <w:r w:rsidRPr="00440CAB">
        <w:rPr>
          <w:rFonts w:ascii="Narkisim" w:hAnsi="Narkisim" w:cs="Narkisim"/>
          <w:rtl/>
        </w:rPr>
        <w:t>.</w:t>
      </w:r>
    </w:p>
    <w:p w14:paraId="7D7A9B18"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חקרו בגדר הפסול מדרבנן, האם תקנו דקנין אירוסין פסולים הוה זיקה לפסול</w:t>
      </w:r>
      <w:r w:rsidRPr="00440CAB">
        <w:rPr>
          <w:rStyle w:val="ac"/>
          <w:rFonts w:ascii="Narkisim" w:hAnsi="Narkisim"/>
          <w:rtl/>
        </w:rPr>
        <w:footnoteReference w:id="3450"/>
      </w:r>
      <w:r w:rsidRPr="00440CAB">
        <w:rPr>
          <w:rFonts w:ascii="Narkisim" w:hAnsi="Narkisim"/>
          <w:rtl/>
        </w:rPr>
        <w:t>, אך בפשוטו הגדר משום דעומדת לביאה שמחללה.</w:t>
      </w:r>
    </w:p>
    <w:p w14:paraId="639CE380" w14:textId="77777777" w:rsidR="006074A5" w:rsidRPr="00440CAB" w:rsidRDefault="006074A5" w:rsidP="006074A5">
      <w:pPr>
        <w:pStyle w:val="a7"/>
        <w:bidi/>
        <w:rPr>
          <w:rFonts w:ascii="Narkisim" w:hAnsi="Narkisim"/>
        </w:rPr>
      </w:pPr>
      <w:r w:rsidRPr="00440CAB">
        <w:rPr>
          <w:rFonts w:ascii="Narkisim" w:hAnsi="Narkisim"/>
          <w:rtl/>
        </w:rPr>
        <w:t>וב</w:t>
      </w:r>
      <w:r w:rsidRPr="00440CAB">
        <w:rPr>
          <w:rFonts w:ascii="Narkisim" w:hAnsi="Narkisim"/>
          <w:b/>
          <w:bCs/>
          <w:rtl/>
        </w:rPr>
        <w:t xml:space="preserve">תוס' חד מקמאי </w:t>
      </w:r>
      <w:r w:rsidRPr="00440CAB">
        <w:rPr>
          <w:rFonts w:ascii="Narkisim" w:hAnsi="Narkisim"/>
          <w:rtl/>
        </w:rPr>
        <w:t xml:space="preserve">כת' דרבנן משוו לה כאילו נבעלה. </w:t>
      </w:r>
      <w:r w:rsidRPr="00440CAB">
        <w:rPr>
          <w:rFonts w:ascii="Narkisim" w:hAnsi="Narkisim"/>
          <w:sz w:val="20"/>
          <w:szCs w:val="20"/>
          <w:rtl/>
        </w:rPr>
        <w:t>[אך מ"מ כשנתגרשה מותרת, וצ"ל דרק בעודה עומדת לינשא הוה 'כאילו' חילל].</w:t>
      </w:r>
    </w:p>
    <w:p w14:paraId="14D0820A" w14:textId="77777777" w:rsidR="006074A5" w:rsidRPr="00440CAB" w:rsidRDefault="006074A5" w:rsidP="006074A5">
      <w:pPr>
        <w:pStyle w:val="aa"/>
        <w:bidi/>
        <w:rPr>
          <w:rFonts w:ascii="Narkisim" w:hAnsi="Narkisim"/>
        </w:rPr>
      </w:pPr>
      <w:r w:rsidRPr="00440CAB">
        <w:rPr>
          <w:rFonts w:ascii="Narkisim" w:hAnsi="Narkisim"/>
          <w:u w:val="single"/>
          <w:rtl/>
        </w:rPr>
        <w:t>מן הנישואין פסולות.</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דשוייה חללה בביאתו. משמע דדוקא משום ביאה. אבל </w:t>
      </w:r>
      <w:r w:rsidRPr="00440CAB">
        <w:rPr>
          <w:rFonts w:ascii="Narkisim" w:hAnsi="Narkisim"/>
          <w:b/>
          <w:bCs/>
          <w:rtl/>
        </w:rPr>
        <w:t>תוס</w:t>
      </w:r>
      <w:r w:rsidRPr="00440CAB">
        <w:rPr>
          <w:rFonts w:ascii="Narkisim" w:hAnsi="Narkisim"/>
          <w:rtl/>
        </w:rPr>
        <w:t>' (נז: סוף ד"ה רב) הביאו דאף נישואין בלא ביאה. [וה</w:t>
      </w:r>
      <w:r w:rsidRPr="00440CAB">
        <w:rPr>
          <w:rFonts w:ascii="Narkisim" w:hAnsi="Narkisim"/>
          <w:b/>
          <w:bCs/>
          <w:rtl/>
        </w:rPr>
        <w:t>אחרונים</w:t>
      </w:r>
      <w:r w:rsidRPr="00440CAB">
        <w:rPr>
          <w:rFonts w:ascii="Narkisim" w:hAnsi="Narkisim"/>
          <w:rtl/>
        </w:rPr>
        <w:t xml:space="preserve"> דנו אי הוה מדאורייתא או מדרבנן. ויתבאר לקמן].</w:t>
      </w:r>
    </w:p>
    <w:p w14:paraId="1E1979A0" w14:textId="77777777" w:rsidR="006074A5" w:rsidRPr="00440CAB" w:rsidRDefault="006074A5" w:rsidP="006074A5">
      <w:pPr>
        <w:bidi/>
        <w:rPr>
          <w:rFonts w:ascii="Narkisim" w:hAnsi="Narkisim" w:cs="Narkisim"/>
        </w:rPr>
      </w:pPr>
      <w:r w:rsidRPr="00440CAB">
        <w:rPr>
          <w:rFonts w:ascii="Narkisim" w:hAnsi="Narkisim" w:cs="Narkisim"/>
          <w:u w:val="single"/>
          <w:rtl/>
        </w:rPr>
        <w:t>תניא אר"מ ומה קידושי רשות אין מאכילין, קידושי עבירה לא כ"ש וכו'.</w:t>
      </w:r>
      <w:r w:rsidRPr="00440CAB">
        <w:rPr>
          <w:rFonts w:ascii="Narkisim" w:hAnsi="Narkisim" w:cs="Narkisim"/>
          <w:rtl/>
        </w:rPr>
        <w:t xml:space="preserve"> </w:t>
      </w:r>
      <w:r w:rsidRPr="00440CAB">
        <w:rPr>
          <w:rFonts w:ascii="Narkisim" w:hAnsi="Narkisim" w:cs="Narkisim"/>
          <w:b/>
          <w:bCs/>
          <w:rtl/>
        </w:rPr>
        <w:t>רש"י</w:t>
      </w:r>
      <w:r w:rsidRPr="00440CAB">
        <w:rPr>
          <w:rFonts w:ascii="Narkisim" w:hAnsi="Narkisim" w:cs="Narkisim"/>
          <w:rtl/>
        </w:rPr>
        <w:t xml:space="preserve"> פי' ב' לשונות אי איירי לפסול בת כהן מתרומה</w:t>
      </w:r>
      <w:r w:rsidRPr="00440CAB">
        <w:rPr>
          <w:rStyle w:val="ac"/>
          <w:rFonts w:ascii="Narkisim" w:hAnsi="Narkisim" w:cs="Narkisim"/>
          <w:rtl/>
        </w:rPr>
        <w:footnoteReference w:id="3451"/>
      </w:r>
      <w:r w:rsidRPr="00440CAB">
        <w:rPr>
          <w:rFonts w:ascii="Narkisim" w:hAnsi="Narkisim" w:cs="Narkisim"/>
          <w:rtl/>
        </w:rPr>
        <w:t xml:space="preserve">, או להאכיל בבת ישראל. </w:t>
      </w:r>
      <w:r w:rsidRPr="00440CAB">
        <w:rPr>
          <w:rFonts w:ascii="Narkisim" w:hAnsi="Narkisim" w:cs="Narkisim"/>
          <w:szCs w:val="20"/>
          <w:rtl/>
        </w:rPr>
        <w:t>[ורש"י הכריע דלשון הגמ' ע"כ כל"ב להאכיל בבת ישראל. ותוס' גרסו באופ"א]</w:t>
      </w:r>
      <w:r w:rsidRPr="00440CAB">
        <w:rPr>
          <w:rFonts w:ascii="Narkisim" w:hAnsi="Narkisim" w:cs="Narkisim"/>
          <w:rtl/>
        </w:rPr>
        <w:t>.</w:t>
      </w:r>
    </w:p>
    <w:p w14:paraId="525BA73F" w14:textId="77777777" w:rsidR="006074A5" w:rsidRPr="00440CAB" w:rsidRDefault="006074A5" w:rsidP="006074A5">
      <w:pPr>
        <w:bidi/>
        <w:rPr>
          <w:rFonts w:ascii="Narkisim" w:hAnsi="Narkisim" w:cs="Narkisim"/>
        </w:rPr>
      </w:pPr>
      <w:r w:rsidRPr="00440CAB">
        <w:rPr>
          <w:rFonts w:ascii="Narkisim" w:hAnsi="Narkisim" w:cs="Narkisim"/>
          <w:rtl/>
        </w:rPr>
        <w:t>ולל"ב דרש"י ר"מ למד ק"ו דאינו מאכיל בבת ישראל. ואף דת"ק דמתני' [ר' מאיר] ס"ל דמשתמרת לביאה פסולה פסל אף בבת כהן, אפ"ה למד ק"ו להק' לשיטתם עכ"פ בבת ישראל</w:t>
      </w:r>
      <w:r w:rsidRPr="00440CAB">
        <w:rPr>
          <w:rStyle w:val="ac"/>
          <w:rFonts w:ascii="Narkisim" w:hAnsi="Narkisim" w:cs="Narkisim"/>
          <w:rtl/>
        </w:rPr>
        <w:footnoteReference w:id="3452"/>
      </w:r>
      <w:r w:rsidRPr="00440CAB">
        <w:rPr>
          <w:rFonts w:ascii="Narkisim" w:hAnsi="Narkisim" w:cs="Narkisim"/>
          <w:rtl/>
        </w:rPr>
        <w:t>.</w:t>
      </w:r>
    </w:p>
    <w:p w14:paraId="212BF79A" w14:textId="77777777" w:rsidR="006074A5" w:rsidRPr="00440CAB" w:rsidRDefault="006074A5" w:rsidP="006074A5">
      <w:pPr>
        <w:pStyle w:val="a8"/>
        <w:bidi/>
        <w:rPr>
          <w:rFonts w:ascii="Narkisim" w:hAnsi="Narkisim"/>
        </w:rPr>
      </w:pPr>
      <w:r w:rsidRPr="00440CAB">
        <w:rPr>
          <w:rFonts w:ascii="Narkisim" w:hAnsi="Narkisim"/>
          <w:rtl/>
        </w:rPr>
        <w:t>ובפשוטו הק"ו דסוגיין הוה ראיה שראוי שתפסל ע"י שמשתמרת. אבל ה</w:t>
      </w:r>
      <w:r w:rsidRPr="00440CAB">
        <w:rPr>
          <w:rFonts w:ascii="Narkisim" w:hAnsi="Narkisim"/>
          <w:b/>
          <w:bCs/>
          <w:rtl/>
        </w:rPr>
        <w:t>קר"א</w:t>
      </w:r>
      <w:r w:rsidRPr="00440CAB">
        <w:rPr>
          <w:rFonts w:ascii="Narkisim" w:hAnsi="Narkisim"/>
          <w:rtl/>
        </w:rPr>
        <w:t xml:space="preserve"> כתב דהוה טעם נוסף, דאינו ראוי שקידושין אלו יאכילו.</w:t>
      </w:r>
    </w:p>
    <w:p w14:paraId="2EC68F03" w14:textId="77777777" w:rsidR="006074A5" w:rsidRPr="00440CAB" w:rsidRDefault="006074A5" w:rsidP="006074A5">
      <w:pPr>
        <w:bidi/>
        <w:rPr>
          <w:rFonts w:ascii="Narkisim" w:hAnsi="Narkisim" w:cs="Narkisim"/>
        </w:rPr>
      </w:pPr>
      <w:r w:rsidRPr="00440CAB">
        <w:rPr>
          <w:rFonts w:ascii="Narkisim" w:hAnsi="Narkisim" w:cs="Narkisim"/>
          <w:u w:val="single"/>
          <w:rtl/>
        </w:rPr>
        <w:t>שם. אין מאכילים</w:t>
      </w:r>
      <w:r w:rsidRPr="00440CAB">
        <w:rPr>
          <w:rFonts w:ascii="Narkisim" w:hAnsi="Narkisim" w:cs="Narkisim"/>
          <w:rtl/>
        </w:rPr>
        <w:t>. לפי' א' ברש"י איירי בבת כהן. וה</w:t>
      </w:r>
      <w:r w:rsidRPr="00440CAB">
        <w:rPr>
          <w:rFonts w:ascii="Narkisim" w:hAnsi="Narkisim" w:cs="Narkisim"/>
          <w:b/>
          <w:bCs/>
          <w:rtl/>
        </w:rPr>
        <w:t>אחרונים</w:t>
      </w:r>
      <w:r w:rsidRPr="00440CAB">
        <w:rPr>
          <w:rFonts w:ascii="Narkisim" w:hAnsi="Narkisim" w:cs="Narkisim"/>
          <w:rtl/>
        </w:rPr>
        <w:t xml:space="preserve"> הביאו דמשמע בסוגיין דבת כהן שנתארסה לכהן, אוכלת אף מחמת אביה. ואף דאילו נתארסה לישראל אי' (לקמן סז) דאירוסין פוסל</w:t>
      </w:r>
      <w:r w:rsidRPr="00440CAB">
        <w:rPr>
          <w:rStyle w:val="ac"/>
          <w:rFonts w:ascii="Narkisim" w:hAnsi="Narkisim" w:cs="Narkisim"/>
          <w:rtl/>
        </w:rPr>
        <w:footnoteReference w:id="3453"/>
      </w:r>
      <w:r w:rsidRPr="00440CAB">
        <w:rPr>
          <w:rFonts w:ascii="Narkisim" w:hAnsi="Narkisim" w:cs="Narkisim"/>
          <w:rtl/>
        </w:rPr>
        <w:t xml:space="preserve">, בכהן אינו פוסל כלל, ואוכלת מחמת ב' סיבות </w:t>
      </w:r>
      <w:r w:rsidRPr="00440CAB">
        <w:rPr>
          <w:rFonts w:ascii="Narkisim" w:hAnsi="Narkisim" w:cs="Narkisim"/>
          <w:sz w:val="20"/>
          <w:szCs w:val="20"/>
          <w:rtl/>
        </w:rPr>
        <w:t>[ואפי' הכי מהני הדין 'משתמרת' לפוסלה]</w:t>
      </w:r>
      <w:r w:rsidRPr="00440CAB">
        <w:rPr>
          <w:rFonts w:ascii="Narkisim" w:hAnsi="Narkisim" w:cs="Narkisim"/>
          <w:rtl/>
        </w:rPr>
        <w:t xml:space="preserve">. אבל היה אפ"ל דאוכלת מחמת הבעל, אלא דל"ש סמפון ושמא תשקה, דממ"נ תחזור לבית אביה. </w:t>
      </w:r>
      <w:r w:rsidRPr="00440CAB">
        <w:rPr>
          <w:rFonts w:ascii="Narkisim" w:hAnsi="Narkisim" w:cs="Narkisim"/>
          <w:sz w:val="20"/>
          <w:szCs w:val="20"/>
          <w:rtl/>
        </w:rPr>
        <w:t>[וה</w:t>
      </w:r>
      <w:r w:rsidRPr="00440CAB">
        <w:rPr>
          <w:rFonts w:ascii="Narkisim" w:hAnsi="Narkisim" w:cs="Narkisim"/>
          <w:b/>
          <w:bCs/>
          <w:sz w:val="20"/>
          <w:szCs w:val="20"/>
          <w:rtl/>
        </w:rPr>
        <w:t xml:space="preserve">חזו"א </w:t>
      </w:r>
      <w:r w:rsidRPr="00440CAB">
        <w:rPr>
          <w:rFonts w:ascii="Narkisim" w:hAnsi="Narkisim" w:cs="Narkisim"/>
          <w:sz w:val="20"/>
          <w:szCs w:val="20"/>
          <w:rtl/>
        </w:rPr>
        <w:t>כאן נסתפק בזה, ובתחילת דבריו כתב דכיון דכבר אכלה אינו ראוי לאוסרה לר"א ור"ש].</w:t>
      </w:r>
    </w:p>
    <w:p w14:paraId="1269252F" w14:textId="77777777" w:rsidR="006074A5" w:rsidRPr="00440CAB" w:rsidRDefault="006074A5" w:rsidP="006074A5">
      <w:pPr>
        <w:pStyle w:val="aa"/>
        <w:bidi/>
        <w:rPr>
          <w:rFonts w:ascii="Narkisim" w:hAnsi="Narkisim"/>
        </w:rPr>
      </w:pPr>
      <w:r w:rsidRPr="00440CAB">
        <w:rPr>
          <w:rFonts w:ascii="Narkisim" w:hAnsi="Narkisim"/>
          <w:u w:val="single"/>
          <w:rtl/>
        </w:rPr>
        <w:t>אמרו לו וכו' בקידושי רשות דאין לו להאכיל במקום אחר</w:t>
      </w:r>
      <w:r w:rsidRPr="00440CAB">
        <w:rPr>
          <w:rFonts w:ascii="Narkisim" w:hAnsi="Narkisim"/>
          <w:rtl/>
        </w:rPr>
        <w:t xml:space="preserve">. יל"ד אי הוה בגדר 'פירכא' על הק"ו. או דעיקר קו' </w:t>
      </w:r>
      <w:r w:rsidRPr="00440CAB">
        <w:rPr>
          <w:rFonts w:ascii="Narkisim" w:hAnsi="Narkisim"/>
          <w:rtl/>
        </w:rPr>
        <w:lastRenderedPageBreak/>
        <w:t>הגמ' דקידושי ישראל הוה זרות, ומש"ה פוסל. אבל קידושי עבירה, נהי דיש כאן עבירה, הא יש צד כהונה.</w:t>
      </w:r>
    </w:p>
    <w:p w14:paraId="66C42D4D" w14:textId="77777777" w:rsidR="006074A5" w:rsidRPr="00440CAB" w:rsidRDefault="006074A5" w:rsidP="006074A5">
      <w:pPr>
        <w:bidi/>
        <w:rPr>
          <w:rFonts w:ascii="Narkisim" w:hAnsi="Narkisim" w:cs="Narkisim"/>
        </w:rPr>
      </w:pPr>
      <w:r w:rsidRPr="00440CAB">
        <w:rPr>
          <w:rFonts w:ascii="Narkisim" w:hAnsi="Narkisim" w:cs="Narkisim"/>
          <w:u w:val="single"/>
          <w:rtl/>
        </w:rPr>
        <w:t>תוד"ה מן.</w:t>
      </w:r>
      <w:r w:rsidRPr="00440CAB">
        <w:rPr>
          <w:rFonts w:ascii="Narkisim" w:hAnsi="Narkisim" w:cs="Narkisim"/>
          <w:rtl/>
        </w:rPr>
        <w:t xml:space="preserve"> וקשה לר"י, דליכא צד קדושה כלל וכו'. ועוה"ק ה</w:t>
      </w:r>
      <w:r w:rsidRPr="00440CAB">
        <w:rPr>
          <w:rFonts w:ascii="Narkisim" w:hAnsi="Narkisim" w:cs="Narkisim"/>
          <w:b/>
          <w:bCs/>
          <w:rtl/>
        </w:rPr>
        <w:t>ריטב"א</w:t>
      </w:r>
      <w:r w:rsidRPr="00440CAB">
        <w:rPr>
          <w:rFonts w:ascii="Narkisim" w:hAnsi="Narkisim" w:cs="Narkisim"/>
          <w:rtl/>
        </w:rPr>
        <w:t xml:space="preserve"> דלא מסתבר </w:t>
      </w:r>
      <w:r w:rsidRPr="00440CAB">
        <w:rPr>
          <w:rFonts w:ascii="Narkisim" w:hAnsi="Narkisim" w:cs="Narkisim"/>
          <w:sz w:val="20"/>
          <w:szCs w:val="20"/>
          <w:rtl/>
        </w:rPr>
        <w:t>[אף לר"א ור"ש]</w:t>
      </w:r>
      <w:r w:rsidRPr="00440CAB">
        <w:rPr>
          <w:rFonts w:ascii="Narkisim" w:hAnsi="Narkisim" w:cs="Narkisim"/>
          <w:rtl/>
        </w:rPr>
        <w:t xml:space="preserve"> שיאכלו מחמתו מאחר שאסור לקיימא. </w:t>
      </w:r>
      <w:r w:rsidRPr="00440CAB">
        <w:rPr>
          <w:rFonts w:ascii="Narkisim" w:hAnsi="Narkisim" w:cs="Narkisim"/>
          <w:sz w:val="20"/>
          <w:szCs w:val="20"/>
          <w:rtl/>
        </w:rPr>
        <w:t>[ויל"ד האם כוונתו דיש לקנוס, וכמו שלא תקנו מזונות. או סברא בגדרי תרומה, דהאישות אינו מאכיל].</w:t>
      </w:r>
    </w:p>
    <w:p w14:paraId="0F0AC9C7" w14:textId="77777777" w:rsidR="006074A5" w:rsidRPr="00440CAB" w:rsidRDefault="006074A5" w:rsidP="006074A5">
      <w:pPr>
        <w:pStyle w:val="a8"/>
        <w:bidi/>
        <w:rPr>
          <w:rFonts w:ascii="Narkisim" w:hAnsi="Narkisim"/>
        </w:rPr>
      </w:pPr>
      <w:r w:rsidRPr="00440CAB">
        <w:rPr>
          <w:rFonts w:ascii="Narkisim" w:hAnsi="Narkisim"/>
          <w:rtl/>
        </w:rPr>
        <w:t>ועוה"ק ה</w:t>
      </w:r>
      <w:r w:rsidRPr="00440CAB">
        <w:rPr>
          <w:rFonts w:ascii="Narkisim" w:hAnsi="Narkisim"/>
          <w:b/>
          <w:bCs/>
          <w:rtl/>
        </w:rPr>
        <w:t xml:space="preserve">ראשונים </w:t>
      </w:r>
      <w:r w:rsidRPr="00440CAB">
        <w:rPr>
          <w:rFonts w:ascii="Narkisim" w:hAnsi="Narkisim"/>
          <w:rtl/>
        </w:rPr>
        <w:t>דלפ"ז מתני' כמשנה ראשונה דבהגעת זמן אוכלת בתרומה, דלמשנה אחרונה אסורה בתרומה עד שתכנס לחופה.</w:t>
      </w:r>
    </w:p>
    <w:p w14:paraId="2BEB92DD" w14:textId="77777777" w:rsidR="006074A5" w:rsidRPr="00440CAB" w:rsidRDefault="006074A5" w:rsidP="006074A5">
      <w:pPr>
        <w:pStyle w:val="aa"/>
        <w:bidi/>
        <w:rPr>
          <w:rFonts w:ascii="Narkisim" w:hAnsi="Narkisim"/>
        </w:rPr>
      </w:pPr>
      <w:r w:rsidRPr="00440CAB">
        <w:rPr>
          <w:rFonts w:ascii="Narkisim" w:hAnsi="Narkisim"/>
          <w:u w:val="single"/>
          <w:rtl/>
        </w:rPr>
        <w:t>בא"ד ועוד הקשה הר"מ כהן דהאיך יאכיל בהגעת זמן, דבפסולות וכו' מזוני אית לה</w:t>
      </w:r>
      <w:r w:rsidRPr="00440CAB">
        <w:rPr>
          <w:rStyle w:val="ac"/>
          <w:rFonts w:ascii="Narkisim" w:hAnsi="Narkisim"/>
          <w:rtl/>
        </w:rPr>
        <w:footnoteReference w:id="3454"/>
      </w:r>
      <w:r w:rsidRPr="00440CAB">
        <w:rPr>
          <w:rFonts w:ascii="Narkisim" w:hAnsi="Narkisim"/>
          <w:rtl/>
        </w:rPr>
        <w:t xml:space="preserve">. [וע"ע </w:t>
      </w:r>
      <w:r w:rsidRPr="00440CAB">
        <w:rPr>
          <w:rFonts w:ascii="Narkisim" w:hAnsi="Narkisim"/>
          <w:b/>
          <w:bCs/>
          <w:rtl/>
        </w:rPr>
        <w:t>תוס</w:t>
      </w:r>
      <w:r w:rsidRPr="00440CAB">
        <w:rPr>
          <w:rFonts w:ascii="Narkisim" w:hAnsi="Narkisim"/>
          <w:rtl/>
        </w:rPr>
        <w:t xml:space="preserve">' נח. והמהרש"א]. וכעי"ז הקשה </w:t>
      </w:r>
      <w:r w:rsidRPr="00440CAB">
        <w:rPr>
          <w:rFonts w:ascii="Narkisim" w:hAnsi="Narkisim"/>
          <w:b/>
          <w:bCs/>
          <w:rtl/>
        </w:rPr>
        <w:t>רע"א</w:t>
      </w:r>
      <w:r w:rsidRPr="00440CAB">
        <w:rPr>
          <w:rFonts w:ascii="Narkisim" w:hAnsi="Narkisim"/>
          <w:rtl/>
        </w:rPr>
        <w:t xml:space="preserve"> (בשו"ע נו ג) [על תוס' נח.] דלא שייך הגיע הזמן כיון דאסורה לו, ול"ש תביעה לינשא. וצ"ע</w:t>
      </w:r>
      <w:r w:rsidRPr="00440CAB">
        <w:rPr>
          <w:rStyle w:val="ac"/>
          <w:rFonts w:ascii="Narkisim" w:hAnsi="Narkisim"/>
          <w:rtl/>
        </w:rPr>
        <w:footnoteReference w:id="3455"/>
      </w:r>
      <w:r w:rsidRPr="00440CAB">
        <w:rPr>
          <w:rFonts w:ascii="Narkisim" w:hAnsi="Narkisim"/>
          <w:rtl/>
        </w:rPr>
        <w:t>.</w:t>
      </w:r>
    </w:p>
    <w:p w14:paraId="076DEB46" w14:textId="77777777" w:rsidR="006074A5" w:rsidRPr="00440CAB" w:rsidRDefault="006074A5" w:rsidP="006074A5">
      <w:pPr>
        <w:pStyle w:val="aa"/>
        <w:bidi/>
        <w:rPr>
          <w:rFonts w:ascii="Narkisim" w:hAnsi="Narkisim"/>
        </w:rPr>
      </w:pPr>
      <w:r w:rsidRPr="00440CAB">
        <w:rPr>
          <w:rFonts w:ascii="Narkisim" w:hAnsi="Narkisim"/>
          <w:u w:val="single"/>
          <w:rtl/>
        </w:rPr>
        <w:t>א"ר אלעזר א"ר אושעיא פצוע דכא כהן שקידש בת ישראל וכו'</w:t>
      </w:r>
      <w:r w:rsidRPr="00440CAB">
        <w:rPr>
          <w:rFonts w:ascii="Narkisim" w:hAnsi="Narkisim"/>
          <w:rtl/>
        </w:rPr>
        <w:t>. דמבואר במשנה (לקמן ע.) דפצוע דכא פוסל בביאתו, דהוה מפסולי קהל. וגדר משתמרת לביאה פסולה הוה אף בפסולי קהל הפוסל בביאתו, ולא רק בפסולי כהונה.</w:t>
      </w:r>
    </w:p>
    <w:p w14:paraId="1EE79EBE" w14:textId="77777777" w:rsidR="006074A5" w:rsidRPr="00440CAB" w:rsidRDefault="006074A5" w:rsidP="006074A5">
      <w:pPr>
        <w:pStyle w:val="3"/>
        <w:bidi/>
        <w:rPr>
          <w:rFonts w:ascii="Narkisim" w:hAnsi="Narkisim"/>
        </w:rPr>
      </w:pPr>
      <w:r w:rsidRPr="00440CAB">
        <w:rPr>
          <w:rFonts w:ascii="Narkisim" w:hAnsi="Narkisim"/>
          <w:rtl/>
        </w:rPr>
        <w:t>דף נז.</w:t>
      </w:r>
    </w:p>
    <w:p w14:paraId="36C1AF59" w14:textId="77777777" w:rsidR="006074A5" w:rsidRPr="00440CAB" w:rsidRDefault="006074A5" w:rsidP="006074A5">
      <w:pPr>
        <w:pStyle w:val="aa"/>
        <w:bidi/>
        <w:rPr>
          <w:rFonts w:ascii="Narkisim" w:hAnsi="Narkisim"/>
        </w:rPr>
      </w:pPr>
      <w:r w:rsidRPr="00440CAB">
        <w:rPr>
          <w:rFonts w:ascii="Narkisim" w:hAnsi="Narkisim"/>
          <w:u w:val="single"/>
          <w:rtl/>
        </w:rPr>
        <w:t>רש"י ד"ה הא נמי</w:t>
      </w:r>
      <w:r w:rsidRPr="00440CAB">
        <w:rPr>
          <w:rFonts w:ascii="Narkisim" w:hAnsi="Narkisim"/>
          <w:rtl/>
        </w:rPr>
        <w:t xml:space="preserve">. דשוייה חללה בביאתו. וכ"כ </w:t>
      </w:r>
      <w:r w:rsidRPr="00440CAB">
        <w:rPr>
          <w:rFonts w:ascii="Narkisim" w:hAnsi="Narkisim"/>
          <w:b/>
          <w:bCs/>
          <w:rtl/>
        </w:rPr>
        <w:t>רש"י</w:t>
      </w:r>
      <w:r w:rsidRPr="00440CAB">
        <w:rPr>
          <w:rFonts w:ascii="Narkisim" w:hAnsi="Narkisim"/>
          <w:rtl/>
        </w:rPr>
        <w:t xml:space="preserve"> (לקמן ע. וכ"מ) דפצוע דכא עושה חללה בביאתו. וה</w:t>
      </w:r>
      <w:r w:rsidRPr="00440CAB">
        <w:rPr>
          <w:rFonts w:ascii="Narkisim" w:hAnsi="Narkisim"/>
          <w:b/>
          <w:bCs/>
          <w:rtl/>
        </w:rPr>
        <w:t>רש"ש</w:t>
      </w:r>
      <w:r w:rsidRPr="00440CAB">
        <w:rPr>
          <w:rFonts w:ascii="Narkisim" w:hAnsi="Narkisim"/>
          <w:rtl/>
        </w:rPr>
        <w:t xml:space="preserve"> הק' דאין חללה אלא מאיסורי כהונה. וכה"ק ה</w:t>
      </w:r>
      <w:r w:rsidRPr="00440CAB">
        <w:rPr>
          <w:rFonts w:ascii="Narkisim" w:hAnsi="Narkisim"/>
          <w:b/>
          <w:bCs/>
          <w:rtl/>
        </w:rPr>
        <w:t>רשב"א</w:t>
      </w:r>
      <w:r w:rsidRPr="00440CAB">
        <w:rPr>
          <w:rFonts w:ascii="Narkisim" w:hAnsi="Narkisim"/>
          <w:rtl/>
        </w:rPr>
        <w:t xml:space="preserve"> (לקמן ע.). ודעת ה</w:t>
      </w:r>
      <w:r w:rsidRPr="00440CAB">
        <w:rPr>
          <w:rFonts w:ascii="Narkisim" w:hAnsi="Narkisim"/>
          <w:b/>
          <w:bCs/>
          <w:rtl/>
        </w:rPr>
        <w:t>רמב"ם</w:t>
      </w:r>
      <w:r w:rsidRPr="00440CAB">
        <w:rPr>
          <w:rFonts w:ascii="Narkisim" w:hAnsi="Narkisim"/>
          <w:rtl/>
        </w:rPr>
        <w:t xml:space="preserve"> (יח ג) דעשאה זונה בביאתו. וה</w:t>
      </w:r>
      <w:r w:rsidRPr="00440CAB">
        <w:rPr>
          <w:rFonts w:ascii="Narkisim" w:hAnsi="Narkisim"/>
          <w:b/>
          <w:bCs/>
          <w:rtl/>
        </w:rPr>
        <w:t>רשב"א</w:t>
      </w:r>
      <w:r w:rsidRPr="00440CAB">
        <w:rPr>
          <w:rFonts w:ascii="Narkisim" w:hAnsi="Narkisim"/>
          <w:rtl/>
        </w:rPr>
        <w:t xml:space="preserve"> (לקמן שם) כת' דעפ"ז אינה אוכלת בתרומה דזונה אסורה לאכול בתרומה. [וע' תוס' מד: שדנו בזה</w:t>
      </w:r>
      <w:r w:rsidRPr="00440CAB">
        <w:rPr>
          <w:rStyle w:val="ac"/>
          <w:rFonts w:ascii="Narkisim" w:hAnsi="Narkisim"/>
          <w:rtl/>
        </w:rPr>
        <w:footnoteReference w:id="3456"/>
      </w:r>
      <w:r w:rsidRPr="00440CAB">
        <w:rPr>
          <w:rFonts w:ascii="Narkisim" w:hAnsi="Narkisim"/>
          <w:rtl/>
        </w:rPr>
        <w:t>].</w:t>
      </w:r>
    </w:p>
    <w:p w14:paraId="3F70B862" w14:textId="77777777" w:rsidR="006074A5" w:rsidRPr="00440CAB" w:rsidRDefault="006074A5" w:rsidP="006074A5">
      <w:pPr>
        <w:pStyle w:val="a8"/>
        <w:bidi/>
        <w:rPr>
          <w:rFonts w:ascii="Narkisim" w:hAnsi="Narkisim"/>
        </w:rPr>
      </w:pPr>
      <w:r w:rsidRPr="00440CAB">
        <w:rPr>
          <w:rFonts w:ascii="Narkisim" w:hAnsi="Narkisim"/>
          <w:rtl/>
        </w:rPr>
        <w:t xml:space="preserve">ולדעת </w:t>
      </w:r>
      <w:r w:rsidRPr="00440CAB">
        <w:rPr>
          <w:rFonts w:ascii="Narkisim" w:hAnsi="Narkisim"/>
          <w:b/>
          <w:bCs/>
          <w:rtl/>
        </w:rPr>
        <w:t>תוס</w:t>
      </w:r>
      <w:r w:rsidRPr="00440CAB">
        <w:rPr>
          <w:rFonts w:ascii="Narkisim" w:hAnsi="Narkisim"/>
          <w:rtl/>
        </w:rPr>
        <w:t>' (בכ"מ) בכל פסולי קהל ילפי' לפסול מדרשא דכי תהיה לאיש זר</w:t>
      </w:r>
      <w:r w:rsidRPr="00440CAB">
        <w:rPr>
          <w:rStyle w:val="ac"/>
          <w:rFonts w:ascii="Narkisim" w:hAnsi="Narkisim"/>
          <w:rtl/>
        </w:rPr>
        <w:footnoteReference w:id="3457"/>
      </w:r>
      <w:r w:rsidRPr="00440CAB">
        <w:rPr>
          <w:rFonts w:ascii="Narkisim" w:hAnsi="Narkisim"/>
          <w:rtl/>
        </w:rPr>
        <w:t>. [ולכאו' אף פצוע דכא בכלל]. אלא דה</w:t>
      </w:r>
      <w:r w:rsidRPr="00440CAB">
        <w:rPr>
          <w:rFonts w:ascii="Narkisim" w:hAnsi="Narkisim"/>
          <w:b/>
          <w:bCs/>
          <w:rtl/>
        </w:rPr>
        <w:t>רשב"א</w:t>
      </w:r>
      <w:r w:rsidRPr="00440CAB">
        <w:rPr>
          <w:rFonts w:ascii="Narkisim" w:hAnsi="Narkisim"/>
          <w:rtl/>
        </w:rPr>
        <w:t xml:space="preserve"> הק' דמבואר (לקמן סט.) דאינו פוסל אלא היכא דהוה זר אצלו מעיקרא. [והרשב"א הק' כן אף לצד דהוה זונה, מ"מ בעינן שיהא זר אצלה מעיקרא</w:t>
      </w:r>
      <w:r w:rsidRPr="00440CAB">
        <w:rPr>
          <w:rStyle w:val="ac"/>
          <w:rFonts w:ascii="Narkisim" w:hAnsi="Narkisim"/>
          <w:rtl/>
        </w:rPr>
        <w:footnoteReference w:id="3458"/>
      </w:r>
      <w:r w:rsidRPr="00440CAB">
        <w:rPr>
          <w:rFonts w:ascii="Narkisim" w:hAnsi="Narkisim"/>
          <w:rtl/>
        </w:rPr>
        <w:t>. וה</w:t>
      </w:r>
      <w:r w:rsidRPr="00440CAB">
        <w:rPr>
          <w:rFonts w:ascii="Narkisim" w:hAnsi="Narkisim"/>
          <w:b/>
          <w:bCs/>
          <w:rtl/>
        </w:rPr>
        <w:t>רשב"א</w:t>
      </w:r>
      <w:r w:rsidRPr="00440CAB">
        <w:rPr>
          <w:rFonts w:ascii="Narkisim" w:hAnsi="Narkisim"/>
          <w:rtl/>
        </w:rPr>
        <w:t xml:space="preserve"> הביא דתלי במח' התנאים (לקמן סא:) האם כל האיסורין עושים זונה].</w:t>
      </w:r>
    </w:p>
    <w:p w14:paraId="625E5347" w14:textId="77777777" w:rsidR="006074A5" w:rsidRPr="00440CAB" w:rsidRDefault="006074A5" w:rsidP="006074A5">
      <w:pPr>
        <w:pStyle w:val="a8"/>
        <w:bidi/>
        <w:rPr>
          <w:rFonts w:ascii="Narkisim" w:hAnsi="Narkisim"/>
        </w:rPr>
      </w:pPr>
      <w:r w:rsidRPr="00440CAB">
        <w:rPr>
          <w:rFonts w:ascii="Narkisim" w:hAnsi="Narkisim"/>
          <w:rtl/>
        </w:rPr>
        <w:t>וכה"ק ה</w:t>
      </w:r>
      <w:r w:rsidRPr="00440CAB">
        <w:rPr>
          <w:rFonts w:ascii="Narkisim" w:hAnsi="Narkisim"/>
          <w:b/>
          <w:bCs/>
          <w:rtl/>
        </w:rPr>
        <w:t>תו"י</w:t>
      </w:r>
      <w:r w:rsidRPr="00440CAB">
        <w:rPr>
          <w:rFonts w:ascii="Narkisim" w:hAnsi="Narkisim"/>
          <w:rtl/>
        </w:rPr>
        <w:t xml:space="preserve"> (לקמן ע.), ותי' דפצוע דכא נשתנה הגוף, ומש"ה חשיב זר מעיקרא. ודעת ה</w:t>
      </w:r>
      <w:r w:rsidRPr="00440CAB">
        <w:rPr>
          <w:rFonts w:ascii="Narkisim" w:hAnsi="Narkisim"/>
          <w:b/>
          <w:bCs/>
          <w:rtl/>
        </w:rPr>
        <w:t>יראים</w:t>
      </w:r>
      <w:r w:rsidRPr="00440CAB">
        <w:rPr>
          <w:rFonts w:ascii="Narkisim" w:hAnsi="Narkisim"/>
          <w:rtl/>
        </w:rPr>
        <w:t xml:space="preserve"> (מה, הו' באבנ"מ ו ד בסופו) דכיון דמשכח"ל פצוע דכא משעת לידה, מש"ה קרינן בה איסור דזר מעיקרא</w:t>
      </w:r>
      <w:r w:rsidRPr="00440CAB">
        <w:rPr>
          <w:rStyle w:val="ac"/>
          <w:rFonts w:ascii="Narkisim" w:hAnsi="Narkisim"/>
          <w:rtl/>
        </w:rPr>
        <w:footnoteReference w:id="3459"/>
      </w:r>
      <w:r w:rsidRPr="00440CAB">
        <w:rPr>
          <w:rFonts w:ascii="Narkisim" w:hAnsi="Narkisim"/>
          <w:rtl/>
        </w:rPr>
        <w:t>.</w:t>
      </w:r>
    </w:p>
    <w:p w14:paraId="57ADB62A"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(בסו"ד) כת' דפסולי קהל פוסלים, אך היכא דלא הוה זר מעיקרא</w:t>
      </w:r>
      <w:r w:rsidRPr="00440CAB">
        <w:rPr>
          <w:rStyle w:val="ac"/>
          <w:rFonts w:ascii="Narkisim" w:hAnsi="Narkisim"/>
          <w:rtl/>
        </w:rPr>
        <w:footnoteReference w:id="3460"/>
      </w:r>
      <w:r w:rsidRPr="00440CAB">
        <w:rPr>
          <w:rFonts w:ascii="Narkisim" w:hAnsi="Narkisim"/>
          <w:rtl/>
        </w:rPr>
        <w:t>.</w:t>
      </w:r>
    </w:p>
    <w:p w14:paraId="3E324E43" w14:textId="77777777" w:rsidR="006074A5" w:rsidRPr="00440CAB" w:rsidRDefault="006074A5" w:rsidP="006074A5">
      <w:pPr>
        <w:bidi/>
        <w:rPr>
          <w:rFonts w:ascii="Narkisim" w:hAnsi="Narkisim" w:cs="Narkisim"/>
        </w:rPr>
      </w:pPr>
      <w:r w:rsidRPr="00440CAB">
        <w:rPr>
          <w:rFonts w:ascii="Narkisim" w:hAnsi="Narkisim" w:cs="Narkisim"/>
          <w:u w:val="single"/>
          <w:rtl/>
        </w:rPr>
        <w:t>דילמא וכו' דיש לו להאכיל במקום אחר וכו'.</w:t>
      </w:r>
      <w:r w:rsidRPr="00440CAB">
        <w:rPr>
          <w:rFonts w:ascii="Narkisim" w:hAnsi="Narkisim" w:cs="Narkisim"/>
          <w:rtl/>
        </w:rPr>
        <w:t xml:space="preserve"> מבואר דהגמ' נקטה מסברא דכיון דאין לו אפשרות בהיתר להאכיל בתרומה, מש"ה אף באיסור אינו מאכיל. וצ"ב מ"ט</w:t>
      </w:r>
      <w:r w:rsidRPr="00440CAB">
        <w:rPr>
          <w:rStyle w:val="ac"/>
          <w:rFonts w:ascii="Narkisim" w:hAnsi="Narkisim" w:cs="Narkisim"/>
          <w:rtl/>
        </w:rPr>
        <w:footnoteReference w:id="3461"/>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חזו"א</w:t>
      </w:r>
      <w:r w:rsidRPr="00440CAB">
        <w:rPr>
          <w:rFonts w:ascii="Narkisim" w:hAnsi="Narkisim" w:cs="Narkisim"/>
          <w:sz w:val="20"/>
          <w:szCs w:val="20"/>
          <w:rtl/>
        </w:rPr>
        <w:t xml:space="preserve"> כת' דהוה סברא בדרבנן, שהרי בלא"ה מאכיל בדאורייתא].</w:t>
      </w:r>
    </w:p>
    <w:p w14:paraId="2AF1347C"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הביא בשם ה</w:t>
      </w:r>
      <w:r w:rsidRPr="00440CAB">
        <w:rPr>
          <w:rFonts w:ascii="Narkisim" w:hAnsi="Narkisim"/>
          <w:b/>
          <w:bCs/>
          <w:rtl/>
        </w:rPr>
        <w:t xml:space="preserve">ר"א אב"ד </w:t>
      </w:r>
      <w:r w:rsidRPr="00440CAB">
        <w:rPr>
          <w:rFonts w:ascii="Narkisim" w:hAnsi="Narkisim"/>
          <w:rtl/>
        </w:rPr>
        <w:t xml:space="preserve">דאביי פליג על הנחת המקשן, דתי' דכיון דמאכילה בלא ידעה, ואביי ל"ל סברת שכבר אכלה [ע' תוס'], א"כ מוכח [מהמשנה דלקמן ע] דמאכיל אף דאין לו להאכיל במקום אחר. </w:t>
      </w:r>
      <w:r w:rsidRPr="00440CAB">
        <w:rPr>
          <w:rFonts w:ascii="Narkisim" w:hAnsi="Narkisim"/>
          <w:sz w:val="20"/>
          <w:szCs w:val="20"/>
          <w:rtl/>
        </w:rPr>
        <w:t>[וה</w:t>
      </w:r>
      <w:r w:rsidRPr="00440CAB">
        <w:rPr>
          <w:rFonts w:ascii="Narkisim" w:hAnsi="Narkisim"/>
          <w:b/>
          <w:bCs/>
          <w:sz w:val="20"/>
          <w:szCs w:val="20"/>
          <w:rtl/>
        </w:rPr>
        <w:t>רמב"ן</w:t>
      </w:r>
      <w:r w:rsidRPr="00440CAB">
        <w:rPr>
          <w:rFonts w:ascii="Narkisim" w:hAnsi="Narkisim"/>
          <w:sz w:val="20"/>
          <w:szCs w:val="20"/>
          <w:rtl/>
        </w:rPr>
        <w:t xml:space="preserve"> הקשה ע"ז מלשון הגמ', וע' רשב"א שיישב לשון הגמ'].</w:t>
      </w:r>
    </w:p>
    <w:p w14:paraId="02775237"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וה</w:t>
      </w:r>
      <w:r w:rsidRPr="00440CAB">
        <w:rPr>
          <w:rFonts w:ascii="Narkisim" w:hAnsi="Narkisim"/>
          <w:b/>
          <w:bCs/>
          <w:rtl/>
        </w:rPr>
        <w:t>רמב"ן</w:t>
      </w:r>
      <w:r w:rsidRPr="00440CAB">
        <w:rPr>
          <w:rFonts w:ascii="Narkisim" w:hAnsi="Narkisim"/>
          <w:rtl/>
        </w:rPr>
        <w:t xml:space="preserve"> כת' דאף אביי ס"ל סברת שכבר אכלה מחמת קידושי היתר, אלא דלא נחשב יש לו להאכיל במקו"א.</w:t>
      </w:r>
    </w:p>
    <w:p w14:paraId="3699C14D" w14:textId="77777777" w:rsidR="006074A5" w:rsidRPr="00440CAB" w:rsidRDefault="006074A5" w:rsidP="006074A5">
      <w:pPr>
        <w:bidi/>
        <w:rPr>
          <w:rFonts w:ascii="Narkisim" w:hAnsi="Narkisim" w:cs="Narkisim"/>
        </w:rPr>
      </w:pPr>
      <w:r w:rsidRPr="00440CAB">
        <w:rPr>
          <w:rFonts w:ascii="Narkisim" w:hAnsi="Narkisim" w:cs="Narkisim"/>
          <w:u w:val="single"/>
          <w:rtl/>
        </w:rPr>
        <w:lastRenderedPageBreak/>
        <w:t>אביי לא אמר כרבא, לא ילפי' קנין אישות מקנין דעבדים.</w:t>
      </w:r>
      <w:r w:rsidRPr="00440CAB">
        <w:rPr>
          <w:rFonts w:ascii="Narkisim" w:hAnsi="Narkisim" w:cs="Narkisim"/>
          <w:rtl/>
        </w:rPr>
        <w:t xml:space="preserve"> מבואר דנח' אביי ורבא אי יש לדמות קנין אישות לקנין דעבדים. ויל"פ ע"פ דברי ה</w:t>
      </w:r>
      <w:r w:rsidRPr="00440CAB">
        <w:rPr>
          <w:rFonts w:ascii="Narkisim" w:hAnsi="Narkisim" w:cs="Narkisim"/>
          <w:b/>
          <w:bCs/>
          <w:rtl/>
        </w:rPr>
        <w:t>קובה"ע</w:t>
      </w:r>
      <w:r w:rsidRPr="00440CAB">
        <w:rPr>
          <w:rFonts w:ascii="Narkisim" w:hAnsi="Narkisim" w:cs="Narkisim"/>
          <w:rtl/>
        </w:rPr>
        <w:t xml:space="preserve"> (מז) שחילק דאכילת עבד כהן הוה כמו בהמת כהן [דעבד כהן אין לו קדושה עצמי], דאוכל בתרומה משום דנחשב אכילת האדון [וזכות האדון להאכילו בתרומה]. ואילו אשת כהן מקדשה [ונחשב דין אכילה דידה</w:t>
      </w:r>
      <w:r w:rsidRPr="00440CAB">
        <w:rPr>
          <w:rStyle w:val="ac"/>
          <w:rFonts w:ascii="Narkisim" w:hAnsi="Narkisim" w:cs="Narkisim"/>
          <w:rtl/>
        </w:rPr>
        <w:footnoteReference w:id="3462"/>
      </w:r>
      <w:r w:rsidRPr="00440CAB">
        <w:rPr>
          <w:rFonts w:ascii="Narkisim" w:hAnsi="Narkisim" w:cs="Narkisim"/>
          <w:rtl/>
        </w:rPr>
        <w:t>].</w:t>
      </w:r>
      <w:r w:rsidRPr="00440CAB">
        <w:rPr>
          <w:rFonts w:ascii="Narkisim" w:hAnsi="Narkisim" w:cs="Narkisim"/>
          <w:sz w:val="20"/>
          <w:szCs w:val="20"/>
          <w:rtl/>
        </w:rPr>
        <w:t xml:space="preserve"> ומש"ה ס"ל לאביי דמה דיש לו להאכיל מחמת זכות דידיה ל"מ לאשת. ואפשר דאפ"ה רבא ס"ל דלענין 'מאכיל במקום אחר' סגי בהא דמאכיל מחמת דין אחר.</w:t>
      </w:r>
    </w:p>
    <w:p w14:paraId="43997F17" w14:textId="77777777" w:rsidR="006074A5" w:rsidRPr="00440CAB" w:rsidRDefault="006074A5" w:rsidP="006074A5">
      <w:pPr>
        <w:bidi/>
        <w:rPr>
          <w:rFonts w:ascii="Narkisim" w:hAnsi="Narkisim" w:cs="Narkisim"/>
        </w:rPr>
      </w:pPr>
      <w:r w:rsidRPr="00440CAB">
        <w:rPr>
          <w:rFonts w:ascii="Narkisim" w:hAnsi="Narkisim" w:cs="Narkisim"/>
          <w:u w:val="single"/>
          <w:rtl/>
        </w:rPr>
        <w:t>תוד"ה אביי.</w:t>
      </w:r>
      <w:r w:rsidRPr="00440CAB">
        <w:rPr>
          <w:rFonts w:ascii="Narkisim" w:hAnsi="Narkisim" w:cs="Narkisim"/>
          <w:rtl/>
        </w:rPr>
        <w:t xml:space="preserve"> בלא ידעה אמאי מאכיל. דתנן (ע.) שאם לא בא עליה משנעשה פצוע דכא, יאכלו. והגמ' (לקמן עה.) מקשה דהוה משתמרת לביאה פסולה. ור' אלעזר תי' דאיירי כר"א ור"ש דמשתמרת לב"פ אוכלת. ור' יוחנן תי' דכבר אכלה, כיון דלא פקע קנינו. ובזה הק' התוס' דאביי דהכא כר' אלעזר, א"כ באמת אינה אוכלת [לר"מ]. וא"כ אף לר"א ור"ש אין לו להאכיל במקום אחר.</w:t>
      </w:r>
    </w:p>
    <w:p w14:paraId="72AD7736" w14:textId="77777777" w:rsidR="006074A5" w:rsidRPr="00440CAB" w:rsidRDefault="006074A5" w:rsidP="006074A5">
      <w:pPr>
        <w:bidi/>
        <w:rPr>
          <w:rFonts w:ascii="Narkisim" w:hAnsi="Narkisim" w:cs="Narkisim"/>
        </w:rPr>
      </w:pPr>
      <w:r w:rsidRPr="00440CAB">
        <w:rPr>
          <w:rFonts w:ascii="Narkisim" w:hAnsi="Narkisim" w:cs="Narkisim"/>
          <w:u w:val="single"/>
          <w:rtl/>
        </w:rPr>
        <w:t>בא"ד וי"ל וכו</w:t>
      </w:r>
      <w:r w:rsidRPr="00440CAB">
        <w:rPr>
          <w:rFonts w:ascii="Narkisim" w:hAnsi="Narkisim" w:cs="Narkisim"/>
          <w:rtl/>
        </w:rPr>
        <w:t>'. לאביי חשיב שהוא מאכיל בלא ידעה [ואף שמאכיל מחמת דין 'שכבר אכלה'], ולרבא לא נחשב שהוא מאכיל. וה</w:t>
      </w:r>
      <w:r w:rsidRPr="00440CAB">
        <w:rPr>
          <w:rFonts w:ascii="Narkisim" w:hAnsi="Narkisim" w:cs="Narkisim"/>
          <w:b/>
          <w:bCs/>
          <w:rtl/>
        </w:rPr>
        <w:t>קובה"ע</w:t>
      </w:r>
      <w:r w:rsidRPr="00440CAB">
        <w:rPr>
          <w:rFonts w:ascii="Narkisim" w:hAnsi="Narkisim" w:cs="Narkisim"/>
          <w:rtl/>
        </w:rPr>
        <w:t xml:space="preserve"> (מז ד) ביאר דהאשה אוכלת כל זמן שלא פקע קנינה, דאשת כהן נחשב 'כהנת' ואוכלת בשביל עצמה. ואי"צ לבעלה בכל שעה ושעה שיאכילה עכשיו.</w:t>
      </w:r>
    </w:p>
    <w:p w14:paraId="03C33501" w14:textId="77777777" w:rsidR="006074A5" w:rsidRPr="00440CAB" w:rsidRDefault="006074A5" w:rsidP="006074A5">
      <w:pPr>
        <w:pStyle w:val="2"/>
        <w:bidi/>
        <w:rPr>
          <w:rFonts w:ascii="Narkisim" w:hAnsi="Narkisim"/>
        </w:rPr>
      </w:pPr>
      <w:r w:rsidRPr="00440CAB">
        <w:rPr>
          <w:rFonts w:ascii="Narkisim" w:hAnsi="Narkisim"/>
          <w:rtl/>
        </w:rPr>
        <w:t>פצוע דכא כהן מאכיל בבת גרים</w:t>
      </w:r>
    </w:p>
    <w:p w14:paraId="72D50781" w14:textId="77777777" w:rsidR="006074A5" w:rsidRPr="00440CAB" w:rsidRDefault="006074A5" w:rsidP="006074A5">
      <w:pPr>
        <w:bidi/>
        <w:rPr>
          <w:rFonts w:ascii="Narkisim" w:hAnsi="Narkisim" w:cs="Narkisim"/>
        </w:rPr>
      </w:pPr>
      <w:r w:rsidRPr="00440CAB">
        <w:rPr>
          <w:rFonts w:ascii="Narkisim" w:hAnsi="Narkisim" w:cs="Narkisim"/>
          <w:u w:val="single"/>
          <w:rtl/>
        </w:rPr>
        <w:t>בעא מיניה ר' יוחנן מר"א פצ"ד כהן שנשא בת גרים, מהו שיאכלנו בתרומה וכו'.</w:t>
      </w:r>
      <w:r w:rsidRPr="00440CAB">
        <w:rPr>
          <w:rFonts w:ascii="Narkisim" w:hAnsi="Narkisim" w:cs="Narkisim"/>
          <w:rtl/>
        </w:rPr>
        <w:t xml:space="preserve"> ומבואר בגמ' דהנידון האם מותרת לו, ואם מותרת לו פשיטא שמאכיל אותה בתרומה.</w:t>
      </w:r>
    </w:p>
    <w:p w14:paraId="718DDD24" w14:textId="77777777" w:rsidR="006074A5" w:rsidRPr="00440CAB" w:rsidRDefault="006074A5" w:rsidP="006074A5">
      <w:pPr>
        <w:pStyle w:val="a7"/>
        <w:bidi/>
        <w:rPr>
          <w:rFonts w:ascii="Narkisim" w:hAnsi="Narkisim"/>
        </w:rPr>
      </w:pPr>
      <w:r w:rsidRPr="00440CAB">
        <w:rPr>
          <w:rFonts w:ascii="Narkisim" w:hAnsi="Narkisim"/>
          <w:rtl/>
        </w:rPr>
        <w:t xml:space="preserve">וצ"ב דהו"ל לר' יוחנן לדון להדיא אי מותר לנושאה [והביאו דכה"ק </w:t>
      </w:r>
      <w:r w:rsidRPr="00440CAB">
        <w:rPr>
          <w:rFonts w:ascii="Narkisim" w:hAnsi="Narkisim"/>
          <w:b/>
          <w:bCs/>
          <w:rtl/>
        </w:rPr>
        <w:t>רע"א</w:t>
      </w:r>
      <w:r w:rsidRPr="00440CAB">
        <w:rPr>
          <w:rFonts w:ascii="Narkisim" w:hAnsi="Narkisim"/>
          <w:rtl/>
        </w:rPr>
        <w:t>]. וכן בברייתא (בסוף העמ') ילפי' מקרא דאכילה בתרומה, וקשה דילפי' מהך קרא דמותר בה [ולמסקנא הוה ספק בגדרי יוחסין].</w:t>
      </w:r>
    </w:p>
    <w:p w14:paraId="6A69A2E4" w14:textId="77777777" w:rsidR="006074A5" w:rsidRPr="00440CAB" w:rsidRDefault="006074A5" w:rsidP="006074A5">
      <w:pPr>
        <w:bidi/>
        <w:rPr>
          <w:rFonts w:ascii="Narkisim" w:hAnsi="Narkisim" w:cs="Narkisim"/>
        </w:rPr>
      </w:pPr>
      <w:r w:rsidRPr="00440CAB">
        <w:rPr>
          <w:rFonts w:ascii="Narkisim" w:hAnsi="Narkisim" w:cs="Narkisim"/>
          <w:u w:val="single"/>
          <w:rtl/>
        </w:rPr>
        <w:t>בין בקדושתיה קאי, בין לאו בקדושתיה קאי.</w:t>
      </w:r>
      <w:r w:rsidRPr="00440CAB">
        <w:rPr>
          <w:rFonts w:ascii="Narkisim" w:hAnsi="Narkisim" w:cs="Narkisim"/>
          <w:rtl/>
        </w:rPr>
        <w:t xml:space="preserve"> דהגמ' </w:t>
      </w:r>
      <w:r w:rsidRPr="00440CAB">
        <w:rPr>
          <w:rFonts w:ascii="Narkisim" w:hAnsi="Narkisim" w:cs="Narkisim"/>
          <w:szCs w:val="20"/>
          <w:rtl/>
        </w:rPr>
        <w:t>(לקמן עו.</w:t>
      </w:r>
      <w:r w:rsidRPr="00440CAB">
        <w:rPr>
          <w:rFonts w:ascii="Narkisim" w:hAnsi="Narkisim" w:cs="Narkisim"/>
          <w:rtl/>
        </w:rPr>
        <w:t xml:space="preserve">) מסתפקת האם פצוע דכא כהן מותר בגיורת. ורב ששת הביא ראיה דפצוע דכא ישראל מותר בנתינה, וע"כ דלאו בקדושתיה קאי </w:t>
      </w:r>
      <w:r w:rsidRPr="00440CAB">
        <w:rPr>
          <w:rFonts w:ascii="Narkisim" w:hAnsi="Narkisim" w:cs="Narkisim"/>
          <w:szCs w:val="20"/>
          <w:rtl/>
        </w:rPr>
        <w:t>[דאין לו קדושת קהל ליאסר בנתינה</w:t>
      </w:r>
      <w:r w:rsidRPr="00440CAB">
        <w:rPr>
          <w:rFonts w:ascii="Narkisim" w:hAnsi="Narkisim" w:cs="Narkisim"/>
          <w:rtl/>
        </w:rPr>
        <w:t>]. וא"כ ה"ה דאין לו קדושה [קדושת כהונה] ליאסר בגיורת.</w:t>
      </w:r>
    </w:p>
    <w:p w14:paraId="719AE58F" w14:textId="77777777" w:rsidR="006074A5" w:rsidRPr="00440CAB" w:rsidRDefault="006074A5" w:rsidP="006074A5">
      <w:pPr>
        <w:pStyle w:val="a7"/>
        <w:bidi/>
        <w:rPr>
          <w:rFonts w:ascii="Narkisim" w:hAnsi="Narkisim"/>
        </w:rPr>
      </w:pPr>
      <w:r w:rsidRPr="00440CAB">
        <w:rPr>
          <w:rFonts w:ascii="Narkisim" w:hAnsi="Narkisim"/>
          <w:rtl/>
        </w:rPr>
        <w:t>והגמ' דוחה דנתינים נאסרו מדרבנן</w:t>
      </w:r>
      <w:r w:rsidRPr="00440CAB">
        <w:rPr>
          <w:rStyle w:val="ac"/>
          <w:rFonts w:ascii="Narkisim" w:hAnsi="Narkisim"/>
          <w:rtl/>
        </w:rPr>
        <w:footnoteReference w:id="3463"/>
      </w:r>
      <w:r w:rsidRPr="00440CAB">
        <w:rPr>
          <w:rFonts w:ascii="Narkisim" w:hAnsi="Narkisim"/>
          <w:rtl/>
        </w:rPr>
        <w:t>, ולעולם אסור בפסולי קהל דאורייתא. ונח' ה</w:t>
      </w:r>
      <w:r w:rsidRPr="00440CAB">
        <w:rPr>
          <w:rFonts w:ascii="Narkisim" w:hAnsi="Narkisim"/>
          <w:b/>
          <w:bCs/>
          <w:rtl/>
        </w:rPr>
        <w:t>ראשונים</w:t>
      </w:r>
      <w:r w:rsidRPr="00440CAB">
        <w:rPr>
          <w:rFonts w:ascii="Narkisim" w:hAnsi="Narkisim"/>
          <w:rtl/>
        </w:rPr>
        <w:t xml:space="preserve"> האיך קי"ל למסקנת הגמ' (שם).</w:t>
      </w:r>
    </w:p>
    <w:p w14:paraId="5E658BE5" w14:textId="77777777" w:rsidR="006074A5" w:rsidRPr="00440CAB" w:rsidRDefault="006074A5" w:rsidP="006074A5">
      <w:pPr>
        <w:pStyle w:val="a8"/>
        <w:bidi/>
        <w:rPr>
          <w:rFonts w:ascii="Narkisim" w:hAnsi="Narkisim"/>
        </w:rPr>
      </w:pPr>
      <w:r w:rsidRPr="00440CAB">
        <w:rPr>
          <w:rFonts w:ascii="Narkisim" w:hAnsi="Narkisim"/>
          <w:rtl/>
        </w:rPr>
        <w:t>ובמסקנת סוגיין לל"ב דרש"י (וכ"ד הרמב"ם) מבואר דהגמ' נקטה דלאו בקדושתיה קאי ומותר בגיורת</w:t>
      </w:r>
      <w:r w:rsidRPr="00440CAB">
        <w:rPr>
          <w:rStyle w:val="ac"/>
          <w:rFonts w:ascii="Narkisim" w:hAnsi="Narkisim"/>
          <w:rtl/>
        </w:rPr>
        <w:footnoteReference w:id="3464"/>
      </w:r>
      <w:r w:rsidRPr="00440CAB">
        <w:rPr>
          <w:rFonts w:ascii="Narkisim" w:hAnsi="Narkisim"/>
          <w:rtl/>
        </w:rPr>
        <w:t>. [אבל לל"ק דרש"י לא תלי בהא].</w:t>
      </w:r>
    </w:p>
    <w:p w14:paraId="78B4AE39" w14:textId="77777777" w:rsidR="006074A5" w:rsidRPr="00440CAB" w:rsidRDefault="006074A5" w:rsidP="006074A5">
      <w:pPr>
        <w:pStyle w:val="aa"/>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(איסו"ב טז א) חילק דפצוע דכא אסור בממזרת, אבל מותר בגיורת. וה</w:t>
      </w:r>
      <w:r w:rsidRPr="00440CAB">
        <w:rPr>
          <w:rFonts w:ascii="Narkisim" w:hAnsi="Narkisim"/>
          <w:b/>
          <w:bCs/>
          <w:rtl/>
        </w:rPr>
        <w:t>ראשונים</w:t>
      </w:r>
      <w:r w:rsidRPr="00440CAB">
        <w:rPr>
          <w:rFonts w:ascii="Narkisim" w:hAnsi="Narkisim"/>
          <w:rtl/>
        </w:rPr>
        <w:t xml:space="preserve"> הק' דבגמ' (שם) משמע דאי קאי בקדושת כהונה תלי בקדושת קהל, לענין פסולי קהל. ו</w:t>
      </w:r>
      <w:r w:rsidRPr="00440CAB">
        <w:rPr>
          <w:rFonts w:ascii="Narkisim" w:hAnsi="Narkisim"/>
          <w:b/>
          <w:bCs/>
          <w:rtl/>
        </w:rPr>
        <w:t>ה"ה</w:t>
      </w:r>
      <w:r w:rsidRPr="00440CAB">
        <w:rPr>
          <w:rFonts w:ascii="Narkisim" w:hAnsi="Narkisim"/>
          <w:rtl/>
        </w:rPr>
        <w:t xml:space="preserve"> תי' דהרמב"ם נקט דהאמוראים (לקמן) נקטו דלאו בקדושתיה קאי ומותר בגיורת</w:t>
      </w:r>
      <w:r w:rsidRPr="00440CAB">
        <w:rPr>
          <w:rStyle w:val="ac"/>
          <w:rFonts w:ascii="Narkisim" w:hAnsi="Narkisim"/>
          <w:rtl/>
        </w:rPr>
        <w:footnoteReference w:id="3465"/>
      </w:r>
      <w:r w:rsidRPr="00440CAB">
        <w:rPr>
          <w:rFonts w:ascii="Narkisim" w:hAnsi="Narkisim"/>
          <w:rtl/>
        </w:rPr>
        <w:t>. אך למסקנא (לקמן) מבואר בברייתא דהותר רק דנתינה [דהוה מדרבנן], ולא בממזרת.</w:t>
      </w:r>
    </w:p>
    <w:p w14:paraId="468CBF56" w14:textId="77777777" w:rsidR="006074A5" w:rsidRPr="00440CAB" w:rsidRDefault="006074A5" w:rsidP="006074A5">
      <w:pPr>
        <w:pStyle w:val="a8"/>
        <w:bidi/>
        <w:rPr>
          <w:rFonts w:ascii="Narkisim" w:hAnsi="Narkisim"/>
        </w:rPr>
      </w:pPr>
      <w:r w:rsidRPr="00440CAB">
        <w:rPr>
          <w:rFonts w:ascii="Narkisim" w:hAnsi="Narkisim"/>
          <w:rtl/>
        </w:rPr>
        <w:t>ו</w:t>
      </w:r>
      <w:r w:rsidRPr="00440CAB">
        <w:rPr>
          <w:rFonts w:ascii="Narkisim" w:hAnsi="Narkisim"/>
          <w:b/>
          <w:bCs/>
          <w:rtl/>
        </w:rPr>
        <w:t>ה"ה</w:t>
      </w:r>
      <w:r w:rsidRPr="00440CAB">
        <w:rPr>
          <w:rFonts w:ascii="Narkisim" w:hAnsi="Narkisim"/>
          <w:rtl/>
        </w:rPr>
        <w:t xml:space="preserve"> ביאר דלא ילפינן ממזרת [שהוא לאו השוה בכל], מגיורת לכהן דלא מפרש לאויה בקרא</w:t>
      </w:r>
      <w:r w:rsidRPr="00440CAB">
        <w:rPr>
          <w:rStyle w:val="ac"/>
          <w:rFonts w:ascii="Narkisim" w:hAnsi="Narkisim"/>
          <w:rtl/>
        </w:rPr>
        <w:footnoteReference w:id="3466"/>
      </w:r>
      <w:r w:rsidRPr="00440CAB">
        <w:rPr>
          <w:rFonts w:ascii="Narkisim" w:hAnsi="Narkisim"/>
          <w:rtl/>
        </w:rPr>
        <w:t xml:space="preserve"> [דילפי' מקרא דיחזקאל</w:t>
      </w:r>
      <w:r w:rsidRPr="00440CAB">
        <w:rPr>
          <w:rStyle w:val="ac"/>
          <w:rFonts w:ascii="Narkisim" w:hAnsi="Narkisim"/>
          <w:rtl/>
        </w:rPr>
        <w:footnoteReference w:id="3467"/>
      </w:r>
      <w:r w:rsidRPr="00440CAB">
        <w:rPr>
          <w:rFonts w:ascii="Narkisim" w:hAnsi="Narkisim"/>
          <w:rtl/>
        </w:rPr>
        <w:t>, ע' בסוגיא קידושין עח: ולקמן ס:], ואין איסורו שוה בכל. ואין לנו להתיר אלא מה שמנו חכמים.</w:t>
      </w:r>
    </w:p>
    <w:p w14:paraId="20951F2F" w14:textId="77777777" w:rsidR="006074A5" w:rsidRPr="00440CAB" w:rsidRDefault="006074A5" w:rsidP="006074A5">
      <w:pPr>
        <w:bidi/>
        <w:rPr>
          <w:rFonts w:ascii="Narkisim" w:hAnsi="Narkisim" w:cs="Narkisim"/>
        </w:rPr>
      </w:pPr>
      <w:r w:rsidRPr="00440CAB">
        <w:rPr>
          <w:rFonts w:ascii="Narkisim" w:hAnsi="Narkisim" w:cs="Narkisim"/>
          <w:u w:val="single"/>
          <w:rtl/>
        </w:rPr>
        <w:t>שם. לאו בקדושתיה קאי</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דאינו מוזהר מלישא אשה פגומה. ולכאורה הוה סברא </w:t>
      </w:r>
      <w:r w:rsidRPr="00440CAB">
        <w:rPr>
          <w:rFonts w:ascii="Narkisim" w:hAnsi="Narkisim" w:cs="Narkisim"/>
          <w:rtl/>
        </w:rPr>
        <w:lastRenderedPageBreak/>
        <w:t>דכיון שפצוע דכא אסור בקהל, ע"כ דאין עליו קדושת כהונה.</w:t>
      </w:r>
    </w:p>
    <w:p w14:paraId="13DA18DB"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חלק"מ</w:t>
      </w:r>
      <w:r w:rsidRPr="00440CAB">
        <w:rPr>
          <w:rFonts w:ascii="Narkisim" w:hAnsi="Narkisim"/>
          <w:rtl/>
        </w:rPr>
        <w:t xml:space="preserve"> (ה א) כתב דמשמע דה"ה דמותר בגרושה וחללה, וכן מטמא למתים ואינו נושא כפיו דאין עליו קדושת כהונה</w:t>
      </w:r>
      <w:r w:rsidRPr="00440CAB">
        <w:rPr>
          <w:rStyle w:val="ac"/>
          <w:rFonts w:ascii="Narkisim" w:hAnsi="Narkisim"/>
          <w:rtl/>
        </w:rPr>
        <w:footnoteReference w:id="3468"/>
      </w:r>
      <w:r w:rsidRPr="00440CAB">
        <w:rPr>
          <w:rFonts w:ascii="Narkisim" w:hAnsi="Narkisim"/>
          <w:rtl/>
        </w:rPr>
        <w:t xml:space="preserve">. </w:t>
      </w:r>
      <w:r w:rsidRPr="00440CAB">
        <w:rPr>
          <w:rFonts w:ascii="Narkisim" w:hAnsi="Narkisim"/>
          <w:szCs w:val="20"/>
          <w:rtl/>
        </w:rPr>
        <w:t>אך ה</w:t>
      </w:r>
      <w:r w:rsidRPr="00440CAB">
        <w:rPr>
          <w:rFonts w:ascii="Narkisim" w:hAnsi="Narkisim"/>
          <w:b/>
          <w:bCs/>
          <w:szCs w:val="20"/>
          <w:rtl/>
        </w:rPr>
        <w:t>חלק"מ</w:t>
      </w:r>
      <w:r w:rsidRPr="00440CAB">
        <w:rPr>
          <w:rFonts w:ascii="Narkisim" w:hAnsi="Narkisim"/>
          <w:szCs w:val="20"/>
          <w:rtl/>
        </w:rPr>
        <w:t xml:space="preserve"> הביא דמבואר במשנה (ע.) דפצוע דכא אוכל בתרומה, ומאכיל את אשתו ועבדיו. וכת' דשאני תרומה דאפי' עבדים אוכלים בתרומה</w:t>
      </w:r>
      <w:r w:rsidRPr="00440CAB">
        <w:rPr>
          <w:rStyle w:val="ac"/>
          <w:rFonts w:ascii="Narkisim" w:hAnsi="Narkisim"/>
          <w:szCs w:val="20"/>
          <w:rtl/>
        </w:rPr>
        <w:footnoteReference w:id="3469"/>
      </w:r>
      <w:r w:rsidRPr="00440CAB">
        <w:rPr>
          <w:rFonts w:ascii="Narkisim" w:hAnsi="Narkisim"/>
          <w:szCs w:val="20"/>
          <w:rtl/>
        </w:rPr>
        <w:t>. ומ"מ הק' דמרוח אשך [דהוה פצוע דכא] הוא בכלל מומי כהנים, ומבואר דפסול בעבודה ואוכל בקדשי קדשים. [וע"כ דנחשב כהן]</w:t>
      </w:r>
      <w:r w:rsidRPr="00440CAB">
        <w:rPr>
          <w:rFonts w:ascii="Narkisim" w:hAnsi="Narkisim"/>
          <w:rtl/>
        </w:rPr>
        <w:t>. אבל ה</w:t>
      </w:r>
      <w:r w:rsidRPr="00440CAB">
        <w:rPr>
          <w:rFonts w:ascii="Narkisim" w:hAnsi="Narkisim"/>
          <w:b/>
          <w:bCs/>
          <w:rtl/>
        </w:rPr>
        <w:t>בית מאיר</w:t>
      </w:r>
      <w:r w:rsidRPr="00440CAB">
        <w:rPr>
          <w:rFonts w:ascii="Narkisim" w:hAnsi="Narkisim"/>
          <w:rtl/>
        </w:rPr>
        <w:t xml:space="preserve"> (שם, הו' בפתח"ת) כת' דלכל הענינים הוה כהן גמור, ודוקא לענין קדושת הזיווג אינו בקדושתו, ומשום שאסור בקהל.</w:t>
      </w:r>
    </w:p>
    <w:p w14:paraId="30F847AD" w14:textId="77777777" w:rsidR="006074A5" w:rsidRPr="00440CAB" w:rsidRDefault="006074A5" w:rsidP="006074A5">
      <w:pPr>
        <w:pStyle w:val="aa"/>
        <w:bidi/>
        <w:rPr>
          <w:rFonts w:ascii="Narkisim" w:hAnsi="Narkisim"/>
        </w:rPr>
      </w:pPr>
      <w:r w:rsidRPr="00440CAB">
        <w:rPr>
          <w:rFonts w:ascii="Narkisim" w:hAnsi="Narkisim"/>
          <w:u w:val="single"/>
          <w:rtl/>
        </w:rPr>
        <w:t>אי לאו בקדושתיה קאי לא אכלה, דהא אמרי' קהל גרים איקרי קהל</w:t>
      </w:r>
      <w:r w:rsidRPr="00440CAB">
        <w:rPr>
          <w:rFonts w:ascii="Narkisim" w:hAnsi="Narkisim"/>
          <w:rtl/>
        </w:rPr>
        <w:t>. [ואף דלאו בקדושתיה קאי, ומותר בפסולי כהונה. מ"מ הגיורת אסורה בפצוע דכא, דהוה פסולי קהל]. אך למ"ד קהל גרים לא איקרי קהל אתי שפיר, דלמ"ד לאו בקדושתיה קאי מותר בה, ומאכילה בתרומה. ואף שהיא אסורה לכהונה, כיון דמותרת לכהן זה אוכלת בתרומה. [ותוס' הק' דלר' יהודה יש עליה שם 'חללה', ומש"ה פסולה בתרומה].</w:t>
      </w:r>
    </w:p>
    <w:p w14:paraId="3FE28194" w14:textId="77777777" w:rsidR="006074A5" w:rsidRPr="00440CAB" w:rsidRDefault="006074A5" w:rsidP="006074A5">
      <w:pPr>
        <w:bidi/>
        <w:rPr>
          <w:rFonts w:ascii="Narkisim" w:hAnsi="Narkisim" w:cs="Narkisim"/>
        </w:rPr>
      </w:pPr>
      <w:r w:rsidRPr="00440CAB">
        <w:rPr>
          <w:rFonts w:ascii="Narkisim" w:hAnsi="Narkisim" w:cs="Narkisim"/>
          <w:u w:val="single"/>
          <w:rtl/>
        </w:rPr>
        <w:t>תוד"ה ואי.</w:t>
      </w:r>
      <w:r w:rsidRPr="00440CAB">
        <w:rPr>
          <w:rFonts w:ascii="Narkisim" w:hAnsi="Narkisim" w:cs="Narkisim"/>
          <w:rtl/>
        </w:rPr>
        <w:t xml:space="preserve"> מטעם דבת גר זכר כבת חלל זכר וכו' וחללה אינה אוכלת בתרומה וכו'. וה</w:t>
      </w:r>
      <w:r w:rsidRPr="00440CAB">
        <w:rPr>
          <w:rFonts w:ascii="Narkisim" w:hAnsi="Narkisim" w:cs="Narkisim"/>
          <w:b/>
          <w:bCs/>
          <w:rtl/>
        </w:rPr>
        <w:t>קה"י</w:t>
      </w:r>
      <w:r w:rsidRPr="00440CAB">
        <w:rPr>
          <w:rFonts w:ascii="Narkisim" w:hAnsi="Narkisim" w:cs="Narkisim"/>
          <w:rtl/>
        </w:rPr>
        <w:t xml:space="preserve"> (מ) הביא דמבואר דפשיטא לתוס' דפגם חללות [שנולדה מחלל</w:t>
      </w:r>
      <w:r w:rsidRPr="00440CAB">
        <w:rPr>
          <w:rStyle w:val="ac"/>
          <w:rFonts w:ascii="Narkisim" w:hAnsi="Narkisim" w:cs="Narkisim"/>
          <w:rtl/>
        </w:rPr>
        <w:footnoteReference w:id="3470"/>
      </w:r>
      <w:r w:rsidRPr="00440CAB">
        <w:rPr>
          <w:rFonts w:ascii="Narkisim" w:hAnsi="Narkisim" w:cs="Narkisim"/>
          <w:rtl/>
        </w:rPr>
        <w:t xml:space="preserve">] פוסל שאינה אוכלת בתרומה [אף כשיש סיבה לאכול מחמת בעלה]. ולא אמרי' דגדר חללות הוה מטעם דלאו זרעיה דאהרן (כדאי' לקמן עד: ובכורות מז.). ואינה כהנת. אפ"ה מבואר בתוס' דאף אינה אוכלת מחמת הבעל, דהשם חלל אוסר בתרומה. </w:t>
      </w:r>
      <w:r w:rsidRPr="00440CAB">
        <w:rPr>
          <w:rFonts w:ascii="Narkisim" w:hAnsi="Narkisim" w:cs="Narkisim"/>
          <w:sz w:val="20"/>
          <w:szCs w:val="20"/>
          <w:rtl/>
        </w:rPr>
        <w:t>[וחללה אסורה בתרומה מב' סיבות]</w:t>
      </w:r>
      <w:r w:rsidRPr="00440CAB">
        <w:rPr>
          <w:rStyle w:val="ac"/>
          <w:rFonts w:ascii="Narkisim" w:hAnsi="Narkisim" w:cs="Narkisim"/>
          <w:sz w:val="20"/>
          <w:szCs w:val="20"/>
          <w:rtl/>
        </w:rPr>
        <w:footnoteReference w:id="3471"/>
      </w:r>
      <w:r w:rsidRPr="00440CAB">
        <w:rPr>
          <w:rFonts w:ascii="Narkisim" w:hAnsi="Narkisim" w:cs="Narkisim"/>
          <w:sz w:val="20"/>
          <w:szCs w:val="20"/>
          <w:rtl/>
        </w:rPr>
        <w:t>.</w:t>
      </w:r>
    </w:p>
    <w:p w14:paraId="6F91DA69"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 xml:space="preserve">אחרונים </w:t>
      </w:r>
      <w:r w:rsidRPr="00440CAB">
        <w:rPr>
          <w:rFonts w:ascii="Narkisim" w:hAnsi="Narkisim" w:cs="Narkisim"/>
          <w:rtl/>
        </w:rPr>
        <w:t>הקשו מ"ש שפחת כהן דאוכלת בתרומה, ואף דשפחה הוה זונה לכהונה (כדאי' לקמן סא.) אפ"ה אוכלת בתרומה מחמת האדון [ולא אמרי' דנפסלת משום שהיא זונה כחללה]. וב</w:t>
      </w:r>
      <w:r w:rsidRPr="00440CAB">
        <w:rPr>
          <w:rFonts w:ascii="Narkisim" w:hAnsi="Narkisim" w:cs="Narkisim"/>
          <w:b/>
          <w:bCs/>
          <w:rtl/>
        </w:rPr>
        <w:t>כתבי הגר"ח</w:t>
      </w:r>
      <w:r w:rsidRPr="00440CAB">
        <w:rPr>
          <w:rFonts w:ascii="Narkisim" w:hAnsi="Narkisim" w:cs="Narkisim"/>
          <w:rtl/>
        </w:rPr>
        <w:t xml:space="preserve"> כתב דשפחה אינה זונה בחפצא, אלא דביאתה זנות. וה</w:t>
      </w:r>
      <w:r w:rsidRPr="00440CAB">
        <w:rPr>
          <w:rFonts w:ascii="Narkisim" w:hAnsi="Narkisim" w:cs="Narkisim"/>
          <w:b/>
          <w:bCs/>
          <w:rtl/>
        </w:rPr>
        <w:t>קה"י</w:t>
      </w:r>
      <w:r w:rsidRPr="00440CAB">
        <w:rPr>
          <w:rFonts w:ascii="Narkisim" w:hAnsi="Narkisim" w:cs="Narkisim"/>
          <w:rtl/>
        </w:rPr>
        <w:t xml:space="preserve"> הביא ד</w:t>
      </w:r>
      <w:r w:rsidRPr="00440CAB">
        <w:rPr>
          <w:rFonts w:ascii="Narkisim" w:hAnsi="Narkisim" w:cs="Narkisim"/>
          <w:b/>
          <w:bCs/>
          <w:rtl/>
        </w:rPr>
        <w:t>תוס</w:t>
      </w:r>
      <w:r w:rsidRPr="00440CAB">
        <w:rPr>
          <w:rFonts w:ascii="Narkisim" w:hAnsi="Narkisim" w:cs="Narkisim"/>
          <w:rtl/>
        </w:rPr>
        <w:t>' (לקמן סא.) מבואר דבעודה שפחה לא חל שם 'זונה'. וה</w:t>
      </w:r>
      <w:r w:rsidRPr="00440CAB">
        <w:rPr>
          <w:rFonts w:ascii="Narkisim" w:hAnsi="Narkisim" w:cs="Narkisim"/>
          <w:b/>
          <w:bCs/>
          <w:rtl/>
        </w:rPr>
        <w:t>קובה"ע</w:t>
      </w:r>
      <w:r w:rsidRPr="00440CAB">
        <w:rPr>
          <w:rFonts w:ascii="Narkisim" w:hAnsi="Narkisim" w:cs="Narkisim"/>
          <w:rtl/>
        </w:rPr>
        <w:t xml:space="preserve"> (מז) חילק דשפחת כהן אוכלת מחמת דין אכילה של האדון, ומש"ה לא איכפ"ל דהיא זונה. משא"כ גדר אכילת אשת כהן, הוא משום שהאשה עצמה נתקדשה ע"י. ומש"ה כשהיא זונה אינה אוכלת בתרומה</w:t>
      </w:r>
      <w:r w:rsidRPr="00440CAB">
        <w:rPr>
          <w:rStyle w:val="ac"/>
          <w:rFonts w:ascii="Narkisim" w:hAnsi="Narkisim" w:cs="Narkisim"/>
          <w:rtl/>
        </w:rPr>
        <w:footnoteReference w:id="3472"/>
      </w:r>
      <w:r w:rsidRPr="00440CAB">
        <w:rPr>
          <w:rFonts w:ascii="Narkisim" w:hAnsi="Narkisim" w:cs="Narkisim"/>
          <w:rtl/>
        </w:rPr>
        <w:t>.</w:t>
      </w:r>
    </w:p>
    <w:p w14:paraId="4974F192" w14:textId="77777777" w:rsidR="006074A5" w:rsidRPr="00440CAB" w:rsidRDefault="006074A5" w:rsidP="006074A5">
      <w:pPr>
        <w:bidi/>
        <w:rPr>
          <w:rFonts w:ascii="Narkisim" w:hAnsi="Narkisim" w:cs="Narkisim"/>
        </w:rPr>
      </w:pPr>
      <w:r w:rsidRPr="00440CAB">
        <w:rPr>
          <w:rFonts w:ascii="Narkisim" w:hAnsi="Narkisim" w:cs="Narkisim"/>
          <w:u w:val="single"/>
          <w:rtl/>
        </w:rPr>
        <w:t>ואי לר' יוסי וכו' דהא אמר קהל גרים לא איקרי קהל.</w:t>
      </w:r>
      <w:r w:rsidRPr="00440CAB">
        <w:rPr>
          <w:rFonts w:ascii="Narkisim" w:hAnsi="Narkisim" w:cs="Narkisim"/>
          <w:rtl/>
        </w:rPr>
        <w:t xml:space="preserve"> מפורש בגמ' דפצוע דכא שנשא גיורת [המותרת לו], אינו מחלל אותה בביאתו. וה</w:t>
      </w:r>
      <w:r w:rsidRPr="00440CAB">
        <w:rPr>
          <w:rFonts w:ascii="Narkisim" w:hAnsi="Narkisim" w:cs="Narkisim"/>
          <w:b/>
          <w:bCs/>
          <w:rtl/>
        </w:rPr>
        <w:t>אחרונים</w:t>
      </w:r>
      <w:r w:rsidRPr="00440CAB">
        <w:rPr>
          <w:rFonts w:ascii="Narkisim" w:hAnsi="Narkisim" w:cs="Narkisim"/>
          <w:rtl/>
        </w:rPr>
        <w:t xml:space="preserve"> הק' מ"ש מחלל שנשא בת ישראל [המותרת לו], דמחללה בביאתו. ולדעת ה</w:t>
      </w:r>
      <w:r w:rsidRPr="00440CAB">
        <w:rPr>
          <w:rFonts w:ascii="Narkisim" w:hAnsi="Narkisim" w:cs="Narkisim"/>
          <w:b/>
          <w:bCs/>
          <w:rtl/>
        </w:rPr>
        <w:t>רמב"ם</w:t>
      </w:r>
      <w:r w:rsidRPr="00440CAB">
        <w:rPr>
          <w:rFonts w:ascii="Narkisim" w:hAnsi="Narkisim" w:cs="Narkisim"/>
          <w:rtl/>
        </w:rPr>
        <w:t xml:space="preserve"> (יח א) נעשית זונה, וה</w:t>
      </w:r>
      <w:r w:rsidRPr="00440CAB">
        <w:rPr>
          <w:rFonts w:ascii="Narkisim" w:hAnsi="Narkisim" w:cs="Narkisim"/>
          <w:b/>
          <w:bCs/>
          <w:rtl/>
        </w:rPr>
        <w:t>רמב"ם</w:t>
      </w:r>
      <w:r w:rsidRPr="00440CAB">
        <w:rPr>
          <w:rFonts w:ascii="Narkisim" w:hAnsi="Narkisim" w:cs="Narkisim"/>
          <w:rtl/>
        </w:rPr>
        <w:t xml:space="preserve"> (שם ה) הוכיח מחלל דהא דפוסל בביאתו לא תלי באיסור, אלא בפגימה. וחלל הוא פגום כלפי בת ישראל [אף דמותרת לו]. [וע"ע קובה"ע מה א]. וצ"ל דפצוע דכא וממזר אינו פגום כלפי גר שאינו קהל. וה</w:t>
      </w:r>
      <w:r w:rsidRPr="00440CAB">
        <w:rPr>
          <w:rFonts w:ascii="Narkisim" w:hAnsi="Narkisim" w:cs="Narkisim"/>
          <w:b/>
          <w:bCs/>
          <w:rtl/>
        </w:rPr>
        <w:t>קה"י</w:t>
      </w:r>
      <w:r w:rsidRPr="00440CAB">
        <w:rPr>
          <w:rFonts w:ascii="Narkisim" w:hAnsi="Narkisim" w:cs="Narkisim"/>
          <w:rtl/>
        </w:rPr>
        <w:t xml:space="preserve"> (לט) כת' דע"כ בעינן לתרוייהו האיסור והפגם.</w:t>
      </w:r>
    </w:p>
    <w:p w14:paraId="26643898" w14:textId="77777777" w:rsidR="006074A5" w:rsidRPr="00440CAB" w:rsidRDefault="006074A5" w:rsidP="006074A5">
      <w:pPr>
        <w:bidi/>
        <w:rPr>
          <w:rFonts w:ascii="Narkisim" w:hAnsi="Narkisim" w:cs="Narkisim"/>
        </w:rPr>
      </w:pPr>
      <w:r w:rsidRPr="00440CAB">
        <w:rPr>
          <w:rFonts w:ascii="Narkisim" w:hAnsi="Narkisim" w:cs="Narkisim"/>
          <w:u w:val="single"/>
          <w:rtl/>
        </w:rPr>
        <w:t>שם. דהא אמר קהל גרים לא איקרי קהל</w:t>
      </w:r>
      <w:r w:rsidRPr="00440CAB">
        <w:rPr>
          <w:rFonts w:ascii="Narkisim" w:hAnsi="Narkisim" w:cs="Narkisim"/>
          <w:rtl/>
        </w:rPr>
        <w:t>. מבואר דקו' ר' אושעיא דלא מצאנו מ"ד דס"ל דבת גרים פסול לכהונה, וס"ל דקהל גרים לא איקרי קהל</w:t>
      </w:r>
      <w:r w:rsidRPr="00440CAB">
        <w:rPr>
          <w:rStyle w:val="ac"/>
          <w:rFonts w:ascii="Narkisim" w:hAnsi="Narkisim" w:cs="Narkisim"/>
          <w:rtl/>
        </w:rPr>
        <w:footnoteReference w:id="3473"/>
      </w:r>
      <w:r w:rsidRPr="00440CAB">
        <w:rPr>
          <w:rFonts w:ascii="Narkisim" w:hAnsi="Narkisim" w:cs="Narkisim"/>
          <w:rtl/>
        </w:rPr>
        <w:t>. אבל אילו מצאנו מ"ד דס"ל כוותיה בחדא ספיקו דר' יוחנן אתי שפיר, דנסתפק האם אמרי' בקדושתיה קאי [בספק דהגמ' לקמן עו.], ומותר בבת גרים.</w:t>
      </w:r>
    </w:p>
    <w:p w14:paraId="6DDBEECA" w14:textId="77777777" w:rsidR="006074A5" w:rsidRPr="00440CAB" w:rsidRDefault="006074A5" w:rsidP="006074A5">
      <w:pPr>
        <w:pStyle w:val="a8"/>
        <w:bidi/>
        <w:rPr>
          <w:rFonts w:ascii="Narkisim" w:hAnsi="Narkisim"/>
        </w:rPr>
      </w:pPr>
      <w:r w:rsidRPr="00440CAB">
        <w:rPr>
          <w:rFonts w:ascii="Narkisim" w:hAnsi="Narkisim"/>
          <w:rtl/>
        </w:rPr>
        <w:t>ולכאו' הו"ל לגמ' לומר בפשיטות דהספק אליבא דראב"י. ואף דלא מצאנו דעתו לענין קהל גרים. אך במסקנת הגמ' פי' ספיקו דר' יוחנן באופן אחר, בדעת ראב"י. [ולא בדין בקדושתיה קאי].</w:t>
      </w:r>
    </w:p>
    <w:p w14:paraId="2964B7D7" w14:textId="77777777" w:rsidR="006074A5" w:rsidRPr="00440CAB" w:rsidRDefault="006074A5" w:rsidP="006074A5">
      <w:pPr>
        <w:pStyle w:val="aa"/>
        <w:bidi/>
        <w:rPr>
          <w:rFonts w:ascii="Narkisim" w:hAnsi="Narkisim"/>
        </w:rPr>
      </w:pPr>
      <w:r w:rsidRPr="00440CAB">
        <w:rPr>
          <w:rFonts w:ascii="Narkisim" w:hAnsi="Narkisim"/>
          <w:u w:val="single"/>
          <w:rtl/>
        </w:rPr>
        <w:t>אלא אליבא דהאי תנא, דתנן ראב"י וכו' עד שתהא אמה מישראל</w:t>
      </w:r>
      <w:r w:rsidRPr="00440CAB">
        <w:rPr>
          <w:rFonts w:ascii="Narkisim" w:hAnsi="Narkisim"/>
          <w:rtl/>
        </w:rPr>
        <w:t>. הגמ' (קידושין עח.) פי' דדרש את הפסוק ביחזקאל 'כי אם בתולה מזרע ישראל', מזרע, אפי' מקצת זרע</w:t>
      </w:r>
      <w:r w:rsidRPr="00440CAB">
        <w:rPr>
          <w:rStyle w:val="ac"/>
          <w:rFonts w:ascii="Narkisim" w:hAnsi="Narkisim"/>
          <w:rtl/>
        </w:rPr>
        <w:footnoteReference w:id="3474"/>
      </w:r>
      <w:r w:rsidRPr="00440CAB">
        <w:rPr>
          <w:rFonts w:ascii="Narkisim" w:hAnsi="Narkisim"/>
          <w:rtl/>
        </w:rPr>
        <w:t>. ודעת ר' יהודה (הו' בגמ' לעיל) דבעי' כל זרע ישראל, ובת גר זכר פסולה לכהונה. ור' יוסי דרש נזרעו בתוליה בישראל.</w:t>
      </w:r>
    </w:p>
    <w:p w14:paraId="17ED81B5" w14:textId="77777777" w:rsidR="006074A5" w:rsidRPr="00440CAB" w:rsidRDefault="006074A5" w:rsidP="006074A5">
      <w:pPr>
        <w:pStyle w:val="aa"/>
        <w:bidi/>
        <w:rPr>
          <w:rFonts w:ascii="Narkisim" w:hAnsi="Narkisim"/>
        </w:rPr>
      </w:pPr>
      <w:r w:rsidRPr="00440CAB">
        <w:rPr>
          <w:rFonts w:ascii="Narkisim" w:hAnsi="Narkisim"/>
          <w:rtl/>
        </w:rPr>
        <w:t>ונח' ה</w:t>
      </w:r>
      <w:r w:rsidRPr="00440CAB">
        <w:rPr>
          <w:rFonts w:ascii="Narkisim" w:hAnsi="Narkisim"/>
          <w:b/>
          <w:bCs/>
          <w:rtl/>
        </w:rPr>
        <w:t>ראשונים</w:t>
      </w:r>
      <w:r w:rsidRPr="00440CAB">
        <w:rPr>
          <w:rFonts w:ascii="Narkisim" w:hAnsi="Narkisim"/>
          <w:rtl/>
        </w:rPr>
        <w:t xml:space="preserve"> בגדר האיסור מדאורייתא. דדעת </w:t>
      </w:r>
      <w:r w:rsidRPr="00440CAB">
        <w:rPr>
          <w:rFonts w:ascii="Narkisim" w:hAnsi="Narkisim"/>
          <w:b/>
          <w:bCs/>
          <w:rtl/>
        </w:rPr>
        <w:t>תוס</w:t>
      </w:r>
      <w:r w:rsidRPr="00440CAB">
        <w:rPr>
          <w:rFonts w:ascii="Narkisim" w:hAnsi="Narkisim"/>
          <w:rtl/>
        </w:rPr>
        <w:t>' (לקמן סא. ד"ה אין) אסורה מטעם זונה, ואתא יחזקאל ואסמכא אקרא</w:t>
      </w:r>
      <w:r w:rsidRPr="00440CAB">
        <w:rPr>
          <w:rStyle w:val="ac"/>
          <w:rFonts w:ascii="Narkisim" w:hAnsi="Narkisim"/>
          <w:rtl/>
        </w:rPr>
        <w:footnoteReference w:id="3475"/>
      </w:r>
      <w:r w:rsidRPr="00440CAB">
        <w:rPr>
          <w:rFonts w:ascii="Narkisim" w:hAnsi="Narkisim"/>
          <w:rtl/>
        </w:rPr>
        <w:t>. ועד"ז דעת ה</w:t>
      </w:r>
      <w:r w:rsidRPr="00440CAB">
        <w:rPr>
          <w:rFonts w:ascii="Narkisim" w:hAnsi="Narkisim"/>
          <w:b/>
          <w:bCs/>
          <w:rtl/>
        </w:rPr>
        <w:t>רמב"ם</w:t>
      </w:r>
      <w:r w:rsidRPr="00440CAB">
        <w:rPr>
          <w:rFonts w:ascii="Narkisim" w:hAnsi="Narkisim"/>
          <w:rtl/>
        </w:rPr>
        <w:t xml:space="preserve"> (איסו"ב יח ג). וה</w:t>
      </w:r>
      <w:r w:rsidRPr="00440CAB">
        <w:rPr>
          <w:rFonts w:ascii="Narkisim" w:hAnsi="Narkisim"/>
          <w:b/>
          <w:bCs/>
          <w:rtl/>
        </w:rPr>
        <w:t>ראב"ד</w:t>
      </w:r>
      <w:r w:rsidRPr="00440CAB">
        <w:rPr>
          <w:rFonts w:ascii="Narkisim" w:hAnsi="Narkisim"/>
          <w:rtl/>
        </w:rPr>
        <w:t xml:space="preserve"> חלק דאינה זונה, אלא אסורה מקרא דיחזקאל. </w:t>
      </w:r>
      <w:r w:rsidRPr="00440CAB">
        <w:rPr>
          <w:rFonts w:ascii="Narkisim" w:hAnsi="Narkisim"/>
          <w:rtl/>
        </w:rPr>
        <w:lastRenderedPageBreak/>
        <w:t>וכ"ד ה</w:t>
      </w:r>
      <w:r w:rsidRPr="00440CAB">
        <w:rPr>
          <w:rFonts w:ascii="Narkisim" w:hAnsi="Narkisim"/>
          <w:b/>
          <w:bCs/>
          <w:rtl/>
        </w:rPr>
        <w:t>רשב"א</w:t>
      </w:r>
      <w:r w:rsidRPr="00440CAB">
        <w:rPr>
          <w:rFonts w:ascii="Narkisim" w:hAnsi="Narkisim"/>
          <w:rtl/>
        </w:rPr>
        <w:t xml:space="preserve"> (לקמן ס:).</w:t>
      </w:r>
    </w:p>
    <w:p w14:paraId="0D95C4FD" w14:textId="77777777" w:rsidR="006074A5" w:rsidRPr="00440CAB" w:rsidRDefault="006074A5" w:rsidP="006074A5">
      <w:pPr>
        <w:pStyle w:val="a8"/>
        <w:bidi/>
        <w:rPr>
          <w:rFonts w:ascii="Narkisim" w:hAnsi="Narkisim"/>
        </w:rPr>
      </w:pPr>
      <w:r w:rsidRPr="00440CAB">
        <w:rPr>
          <w:rFonts w:ascii="Narkisim" w:hAnsi="Narkisim"/>
          <w:rtl/>
        </w:rPr>
        <w:t>ויל"ד בסברת ראב"י, אי הוה סברא ביחוס, דמתייחס אחר הישראל</w:t>
      </w:r>
      <w:r w:rsidRPr="00440CAB">
        <w:rPr>
          <w:rStyle w:val="ac"/>
          <w:rFonts w:ascii="Narkisim" w:hAnsi="Narkisim"/>
          <w:rtl/>
        </w:rPr>
        <w:footnoteReference w:id="3476"/>
      </w:r>
      <w:r w:rsidRPr="00440CAB">
        <w:rPr>
          <w:rFonts w:ascii="Narkisim" w:hAnsi="Narkisim"/>
          <w:rtl/>
        </w:rPr>
        <w:t>. ועיל"פ דסגי במה שיש לו קצת ישראלות שלא יחשב גר גמור</w:t>
      </w:r>
      <w:r w:rsidRPr="00440CAB">
        <w:rPr>
          <w:rStyle w:val="ac"/>
          <w:rFonts w:ascii="Narkisim" w:hAnsi="Narkisim"/>
          <w:rtl/>
        </w:rPr>
        <w:footnoteReference w:id="3477"/>
      </w:r>
      <w:r w:rsidRPr="00440CAB">
        <w:rPr>
          <w:rFonts w:ascii="Narkisim" w:hAnsi="Narkisim"/>
          <w:rtl/>
        </w:rPr>
        <w:t>.</w:t>
      </w:r>
    </w:p>
    <w:p w14:paraId="45B2D548" w14:textId="77777777" w:rsidR="006074A5" w:rsidRPr="00440CAB" w:rsidRDefault="006074A5" w:rsidP="006074A5">
      <w:pPr>
        <w:pStyle w:val="aa"/>
        <w:bidi/>
        <w:rPr>
          <w:rFonts w:ascii="Narkisim" w:hAnsi="Narkisim"/>
        </w:rPr>
      </w:pPr>
      <w:r w:rsidRPr="00440CAB">
        <w:rPr>
          <w:rFonts w:ascii="Narkisim" w:hAnsi="Narkisim"/>
          <w:u w:val="single"/>
          <w:rtl/>
        </w:rPr>
        <w:t>תוד"ה ה"ג דתנן</w:t>
      </w:r>
      <w:r w:rsidRPr="00440CAB">
        <w:rPr>
          <w:rFonts w:ascii="Narkisim" w:hAnsi="Narkisim"/>
          <w:rtl/>
        </w:rPr>
        <w:t>. דמשנה היא במס' ביכורים וכו' דהך נמי מתני'. וב</w:t>
      </w:r>
      <w:r w:rsidRPr="00440CAB">
        <w:rPr>
          <w:rFonts w:ascii="Narkisim" w:hAnsi="Narkisim"/>
          <w:b/>
          <w:bCs/>
          <w:rtl/>
        </w:rPr>
        <w:t>תוס' מהר"ם ור"פ</w:t>
      </w:r>
      <w:r w:rsidRPr="00440CAB">
        <w:rPr>
          <w:rFonts w:ascii="Narkisim" w:hAnsi="Narkisim"/>
          <w:rtl/>
        </w:rPr>
        <w:t xml:space="preserve"> כת' דהביאו מתני' דביכורים, דמבואר דהוה מעיקר הדין</w:t>
      </w:r>
      <w:r w:rsidRPr="00440CAB">
        <w:rPr>
          <w:rStyle w:val="ac"/>
          <w:rFonts w:ascii="Narkisim" w:hAnsi="Narkisim"/>
          <w:rtl/>
        </w:rPr>
        <w:footnoteReference w:id="3478"/>
      </w:r>
      <w:r w:rsidRPr="00440CAB">
        <w:rPr>
          <w:rFonts w:ascii="Narkisim" w:hAnsi="Narkisim"/>
          <w:rtl/>
        </w:rPr>
        <w:t>. ואילו ממתני' דקידושין הו"א דהוה מעלה ביוחסין [ומדרבנן]</w:t>
      </w:r>
      <w:r w:rsidRPr="00440CAB">
        <w:rPr>
          <w:rStyle w:val="ac"/>
          <w:rFonts w:ascii="Narkisim" w:hAnsi="Narkisim"/>
          <w:rtl/>
        </w:rPr>
        <w:footnoteReference w:id="3479"/>
      </w:r>
      <w:r w:rsidRPr="00440CAB">
        <w:rPr>
          <w:rFonts w:ascii="Narkisim" w:hAnsi="Narkisim"/>
          <w:rtl/>
        </w:rPr>
        <w:t xml:space="preserve"> ומותרת בתרומה</w:t>
      </w:r>
      <w:r w:rsidRPr="00440CAB">
        <w:rPr>
          <w:rStyle w:val="ac"/>
          <w:rFonts w:ascii="Narkisim" w:hAnsi="Narkisim"/>
          <w:rtl/>
        </w:rPr>
        <w:footnoteReference w:id="3480"/>
      </w:r>
      <w:r w:rsidRPr="00440CAB">
        <w:rPr>
          <w:rFonts w:ascii="Narkisim" w:hAnsi="Narkisim"/>
          <w:rtl/>
        </w:rPr>
        <w:t>.</w:t>
      </w:r>
    </w:p>
    <w:p w14:paraId="78AD0DE9" w14:textId="77777777" w:rsidR="006074A5" w:rsidRPr="00440CAB" w:rsidRDefault="006074A5" w:rsidP="006074A5">
      <w:pPr>
        <w:bidi/>
        <w:rPr>
          <w:rFonts w:ascii="Narkisim" w:hAnsi="Narkisim" w:cs="Narkisim"/>
        </w:rPr>
      </w:pPr>
      <w:r w:rsidRPr="00440CAB">
        <w:rPr>
          <w:rFonts w:ascii="Narkisim" w:hAnsi="Narkisim" w:cs="Narkisim"/>
          <w:u w:val="single"/>
          <w:rtl/>
        </w:rPr>
        <w:t>והכי קמבעי ליה כשרות איתוספא בה וכו'.</w:t>
      </w:r>
      <w:r w:rsidRPr="00440CAB">
        <w:rPr>
          <w:rFonts w:ascii="Narkisim" w:hAnsi="Narkisim" w:cs="Narkisim"/>
          <w:rtl/>
        </w:rPr>
        <w:t xml:space="preserve"> </w:t>
      </w:r>
      <w:r w:rsidRPr="00440CAB">
        <w:rPr>
          <w:rFonts w:ascii="Narkisim" w:hAnsi="Narkisim" w:cs="Narkisim"/>
          <w:b/>
          <w:bCs/>
          <w:rtl/>
        </w:rPr>
        <w:t>רש"י</w:t>
      </w:r>
      <w:r w:rsidRPr="00440CAB">
        <w:rPr>
          <w:rFonts w:ascii="Narkisim" w:hAnsi="Narkisim" w:cs="Narkisim"/>
          <w:rtl/>
        </w:rPr>
        <w:t xml:space="preserve"> בפי' הא' העמיד דר' יוחנן נסתפק היכא דאמה מישראל, האם בת של גר ובת ישראל חשיבא 'קהל' ליאסר בפצוע דכא וממזר. והגמ' פי' דהספק בהא דראב"י הכשיר לכהונה היכא אמה מישראל, האם מטעם זה הוה גם קדושת קהל, או דהוה סברא באיסור כהונה.</w:t>
      </w:r>
    </w:p>
    <w:p w14:paraId="21FB8CEC" w14:textId="77777777" w:rsidR="006074A5" w:rsidRPr="00440CAB" w:rsidRDefault="006074A5" w:rsidP="006074A5">
      <w:pPr>
        <w:pStyle w:val="a7"/>
        <w:bidi/>
        <w:rPr>
          <w:rFonts w:ascii="Narkisim" w:hAnsi="Narkisim"/>
        </w:rPr>
      </w:pPr>
      <w:r w:rsidRPr="00440CAB">
        <w:rPr>
          <w:rFonts w:ascii="Narkisim" w:hAnsi="Narkisim"/>
          <w:rtl/>
        </w:rPr>
        <w:t>ולפי' הב' ב</w:t>
      </w:r>
      <w:r w:rsidRPr="00440CAB">
        <w:rPr>
          <w:rFonts w:ascii="Narkisim" w:hAnsi="Narkisim"/>
          <w:b/>
          <w:bCs/>
          <w:rtl/>
        </w:rPr>
        <w:t>רש"י</w:t>
      </w:r>
      <w:r w:rsidRPr="00440CAB">
        <w:rPr>
          <w:rFonts w:ascii="Narkisim" w:hAnsi="Narkisim"/>
          <w:rtl/>
        </w:rPr>
        <w:t xml:space="preserve"> ר' יוחנן נסתפק בבת גר וגיורת, האם הוה 'קהל' לראב"י, או רק כשאמה מישראל נחשבת 'קהל'. [ופשיטא ליה דלראב"י היכא שאמה מישראל יש לה קדושת קהל</w:t>
      </w:r>
      <w:r w:rsidRPr="00440CAB">
        <w:rPr>
          <w:rStyle w:val="ac"/>
          <w:rFonts w:ascii="Narkisim" w:hAnsi="Narkisim"/>
          <w:rtl/>
        </w:rPr>
        <w:footnoteReference w:id="3481"/>
      </w:r>
      <w:r w:rsidRPr="00440CAB">
        <w:rPr>
          <w:rFonts w:ascii="Narkisim" w:hAnsi="Narkisim"/>
          <w:rtl/>
        </w:rPr>
        <w:t>, ואסורה בפצוע דכא].</w:t>
      </w:r>
    </w:p>
    <w:p w14:paraId="4A59F527" w14:textId="77777777" w:rsidR="006074A5" w:rsidRPr="00440CAB" w:rsidRDefault="006074A5" w:rsidP="006074A5">
      <w:pPr>
        <w:pStyle w:val="a8"/>
        <w:bidi/>
        <w:rPr>
          <w:rFonts w:ascii="Narkisim" w:hAnsi="Narkisim"/>
        </w:rPr>
      </w:pPr>
      <w:r w:rsidRPr="00440CAB">
        <w:rPr>
          <w:rFonts w:ascii="Narkisim" w:hAnsi="Narkisim"/>
          <w:rtl/>
        </w:rPr>
        <w:t>אך לדעת ר' יוסי אף בבן גרים אמרי' דקהל גרים לא איקרי קהל [וכדאי' בגמ' לעיל</w:t>
      </w:r>
      <w:r w:rsidRPr="00440CAB">
        <w:rPr>
          <w:rStyle w:val="ac"/>
          <w:rFonts w:ascii="Narkisim" w:hAnsi="Narkisim"/>
          <w:rtl/>
        </w:rPr>
        <w:footnoteReference w:id="3482"/>
      </w:r>
      <w:r w:rsidRPr="00440CAB">
        <w:rPr>
          <w:rFonts w:ascii="Narkisim" w:hAnsi="Narkisim"/>
          <w:rtl/>
        </w:rPr>
        <w:t>]. ומ"מ הגמ' מסתפקת לדעת ראב"י דאף בן של גר וגיורת אסור בקהל. וס"ל במקצת כר' יוסי. וצ"ב מנ"ל לגמ' שיש בזה מח' נוספת</w:t>
      </w:r>
      <w:r w:rsidRPr="00440CAB">
        <w:rPr>
          <w:rStyle w:val="ac"/>
          <w:rFonts w:ascii="Narkisim" w:hAnsi="Narkisim"/>
          <w:rtl/>
        </w:rPr>
        <w:footnoteReference w:id="3483"/>
      </w:r>
      <w:r w:rsidRPr="00440CAB">
        <w:rPr>
          <w:rFonts w:ascii="Narkisim" w:hAnsi="Narkisim"/>
          <w:rtl/>
        </w:rPr>
        <w:t>. [וכה"ק השעה"מ (טו ט)].</w:t>
      </w:r>
    </w:p>
    <w:p w14:paraId="781EB494" w14:textId="77777777" w:rsidR="006074A5" w:rsidRPr="00440CAB" w:rsidRDefault="006074A5" w:rsidP="006074A5">
      <w:pPr>
        <w:pStyle w:val="a7"/>
        <w:bidi/>
        <w:rPr>
          <w:rFonts w:ascii="Narkisim" w:hAnsi="Narkisim"/>
        </w:rPr>
      </w:pPr>
      <w:r w:rsidRPr="00440CAB">
        <w:rPr>
          <w:rFonts w:ascii="Narkisim" w:hAnsi="Narkisim"/>
          <w:rtl/>
        </w:rPr>
        <w:t>ולב' הלשונות הספק של הגמ' האם מותרת בפסולי קהל. וספק הגמ' לא הוה משום קדושת הכהונה.</w:t>
      </w:r>
    </w:p>
    <w:p w14:paraId="4D0282AF" w14:textId="77777777" w:rsidR="006074A5" w:rsidRPr="00440CAB" w:rsidRDefault="006074A5" w:rsidP="006074A5">
      <w:pPr>
        <w:bidi/>
        <w:rPr>
          <w:rFonts w:ascii="Narkisim" w:hAnsi="Narkisim" w:cs="Narkisim"/>
        </w:rPr>
      </w:pPr>
      <w:r w:rsidRPr="00440CAB">
        <w:rPr>
          <w:rFonts w:ascii="Narkisim" w:hAnsi="Narkisim" w:cs="Narkisim"/>
          <w:u w:val="single"/>
          <w:rtl/>
        </w:rPr>
        <w:t>או דילמא קדושה מיתוספא בה ולא אכלה</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(בל"ק) דע"י שאמו מישראל איקרי קהל. ולל"ב דרש"י כוונת הגמ' להוכיח דכשרות לקהל לא תלי באמו מישראל. [וע"כ דראב"י ס"ל דבת גרים אסורה בקהל].</w:t>
      </w:r>
    </w:p>
    <w:p w14:paraId="745C4338" w14:textId="77777777" w:rsidR="006074A5" w:rsidRPr="00440CAB" w:rsidRDefault="006074A5" w:rsidP="006074A5">
      <w:pPr>
        <w:pStyle w:val="a8"/>
        <w:bidi/>
        <w:rPr>
          <w:rFonts w:ascii="Narkisim" w:hAnsi="Narkisim"/>
        </w:rPr>
      </w:pPr>
      <w:r w:rsidRPr="00440CAB">
        <w:rPr>
          <w:rFonts w:ascii="Narkisim" w:hAnsi="Narkisim"/>
          <w:rtl/>
        </w:rPr>
        <w:t>ולל"ק דרש"י לשון 'קדושה' שייך בקהל. ולשון כשרות לכהונה</w:t>
      </w:r>
      <w:r w:rsidRPr="00440CAB">
        <w:rPr>
          <w:rStyle w:val="ac"/>
          <w:rFonts w:ascii="Narkisim" w:hAnsi="Narkisim"/>
          <w:rtl/>
        </w:rPr>
        <w:footnoteReference w:id="3484"/>
      </w:r>
      <w:r w:rsidRPr="00440CAB">
        <w:rPr>
          <w:rFonts w:ascii="Narkisim" w:hAnsi="Narkisim"/>
          <w:rtl/>
        </w:rPr>
        <w:t>. ולל"ב לשון קדושה הוה לינשא לכהונה. וכשרות לקהל. וכן הסכים ה</w:t>
      </w:r>
      <w:r w:rsidRPr="00440CAB">
        <w:rPr>
          <w:rFonts w:ascii="Narkisim" w:hAnsi="Narkisim"/>
          <w:b/>
          <w:bCs/>
          <w:rtl/>
        </w:rPr>
        <w:t>תו"י</w:t>
      </w:r>
      <w:r w:rsidRPr="00440CAB">
        <w:rPr>
          <w:rFonts w:ascii="Narkisim" w:hAnsi="Narkisim"/>
          <w:rtl/>
        </w:rPr>
        <w:t>.</w:t>
      </w:r>
    </w:p>
    <w:p w14:paraId="128BBEC5" w14:textId="77777777" w:rsidR="006074A5" w:rsidRPr="00440CAB" w:rsidRDefault="006074A5" w:rsidP="006074A5">
      <w:pPr>
        <w:bidi/>
        <w:rPr>
          <w:rFonts w:ascii="Narkisim" w:hAnsi="Narkisim" w:cs="Narkisim"/>
        </w:rPr>
      </w:pPr>
      <w:r w:rsidRPr="00440CAB">
        <w:rPr>
          <w:rFonts w:ascii="Narkisim" w:hAnsi="Narkisim" w:cs="Narkisim"/>
          <w:rtl/>
        </w:rPr>
        <w:t>ה</w:t>
      </w:r>
      <w:r w:rsidRPr="00440CAB">
        <w:rPr>
          <w:rFonts w:ascii="Narkisim" w:hAnsi="Narkisim" w:cs="Narkisim"/>
          <w:b/>
          <w:bCs/>
          <w:rtl/>
        </w:rPr>
        <w:t>רמב"ם</w:t>
      </w:r>
      <w:r w:rsidRPr="00440CAB">
        <w:rPr>
          <w:rFonts w:ascii="Narkisim" w:hAnsi="Narkisim" w:cs="Narkisim"/>
          <w:rtl/>
        </w:rPr>
        <w:t xml:space="preserve"> (איסו"ב טו ט, והשו"ע ד כג) פסק דגר שנשא בת ישראל, הולד ישראל לכל דבר ואסור בממזרת</w:t>
      </w:r>
      <w:r w:rsidRPr="00440CAB">
        <w:rPr>
          <w:rStyle w:val="ac"/>
          <w:rFonts w:ascii="Narkisim" w:hAnsi="Narkisim" w:cs="Narkisim"/>
          <w:rtl/>
        </w:rPr>
        <w:footnoteReference w:id="3485"/>
      </w:r>
      <w:r w:rsidRPr="00440CAB">
        <w:rPr>
          <w:rFonts w:ascii="Narkisim" w:hAnsi="Narkisim" w:cs="Narkisim"/>
          <w:rtl/>
        </w:rPr>
        <w:t>. וה</w:t>
      </w:r>
      <w:r w:rsidRPr="00440CAB">
        <w:rPr>
          <w:rFonts w:ascii="Narkisim" w:hAnsi="Narkisim" w:cs="Narkisim"/>
          <w:b/>
          <w:bCs/>
          <w:rtl/>
        </w:rPr>
        <w:t>ר"ן</w:t>
      </w:r>
      <w:r w:rsidRPr="00440CAB">
        <w:rPr>
          <w:rFonts w:ascii="Narkisim" w:hAnsi="Narkisim" w:cs="Narkisim"/>
          <w:rtl/>
        </w:rPr>
        <w:t xml:space="preserve"> </w:t>
      </w:r>
      <w:r w:rsidRPr="00440CAB">
        <w:rPr>
          <w:rFonts w:ascii="Narkisim" w:hAnsi="Narkisim" w:cs="Narkisim"/>
          <w:sz w:val="20"/>
          <w:szCs w:val="20"/>
          <w:rtl/>
        </w:rPr>
        <w:t>(קידושין עג. ל: בדה"ר)</w:t>
      </w:r>
      <w:r w:rsidRPr="00440CAB">
        <w:rPr>
          <w:rFonts w:ascii="Narkisim" w:hAnsi="Narkisim" w:cs="Narkisim"/>
          <w:rtl/>
        </w:rPr>
        <w:t xml:space="preserve"> חלק דאמרי' למשפחותם לבית אבותם</w:t>
      </w:r>
      <w:r w:rsidRPr="00440CAB">
        <w:rPr>
          <w:rStyle w:val="ac"/>
          <w:rFonts w:ascii="Narkisim" w:hAnsi="Narkisim" w:cs="Narkisim"/>
          <w:rtl/>
        </w:rPr>
        <w:footnoteReference w:id="3486"/>
      </w:r>
      <w:r w:rsidRPr="00440CAB">
        <w:rPr>
          <w:rFonts w:ascii="Narkisim" w:hAnsi="Narkisim" w:cs="Narkisim"/>
          <w:rtl/>
        </w:rPr>
        <w:t xml:space="preserve">, </w:t>
      </w:r>
      <w:r w:rsidRPr="00440CAB">
        <w:rPr>
          <w:rFonts w:ascii="Narkisim" w:hAnsi="Narkisim" w:cs="Narkisim"/>
          <w:rtl/>
        </w:rPr>
        <w:lastRenderedPageBreak/>
        <w:t>ומיוחס לאביו שהוא ישראל [וגר], ומשפחת גר הוה אחר הזכר</w:t>
      </w:r>
      <w:r w:rsidRPr="00440CAB">
        <w:rPr>
          <w:rStyle w:val="ac"/>
          <w:rFonts w:ascii="Narkisim" w:hAnsi="Narkisim" w:cs="Narkisim"/>
          <w:rtl/>
        </w:rPr>
        <w:footnoteReference w:id="3487"/>
      </w:r>
      <w:r w:rsidRPr="00440CAB">
        <w:rPr>
          <w:rFonts w:ascii="Narkisim" w:hAnsi="Narkisim" w:cs="Narkisim"/>
          <w:rtl/>
        </w:rPr>
        <w:t>. ומש"ה מותר בממזרת</w:t>
      </w:r>
      <w:r w:rsidRPr="00440CAB">
        <w:rPr>
          <w:rStyle w:val="ac"/>
          <w:rFonts w:ascii="Narkisim" w:hAnsi="Narkisim" w:cs="Narkisim"/>
          <w:rtl/>
        </w:rPr>
        <w:footnoteReference w:id="3488"/>
      </w:r>
      <w:r w:rsidRPr="00440CAB">
        <w:rPr>
          <w:rFonts w:ascii="Narkisim" w:hAnsi="Narkisim" w:cs="Narkisim"/>
          <w:rtl/>
        </w:rPr>
        <w:t>. ותמה מנ"ל לרמב"ם לאסור.</w:t>
      </w:r>
    </w:p>
    <w:p w14:paraId="1622561F"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גר"ח</w:t>
      </w:r>
      <w:r w:rsidRPr="00440CAB">
        <w:rPr>
          <w:rFonts w:ascii="Narkisim" w:hAnsi="Narkisim"/>
          <w:rtl/>
        </w:rPr>
        <w:t xml:space="preserve"> (שם) העמיד דעיקר סברת הר"ן דקהל תליא ב</w:t>
      </w:r>
      <w:r w:rsidRPr="00440CAB">
        <w:rPr>
          <w:rFonts w:ascii="Narkisim" w:hAnsi="Narkisim"/>
          <w:i/>
          <w:iCs/>
          <w:rtl/>
        </w:rPr>
        <w:t>משפחת</w:t>
      </w:r>
      <w:r w:rsidRPr="00440CAB">
        <w:rPr>
          <w:rFonts w:ascii="Narkisim" w:hAnsi="Narkisim"/>
          <w:rtl/>
        </w:rPr>
        <w:t xml:space="preserve"> </w:t>
      </w:r>
      <w:r w:rsidRPr="00440CAB">
        <w:rPr>
          <w:rFonts w:ascii="Narkisim" w:hAnsi="Narkisim"/>
          <w:i/>
          <w:iCs/>
          <w:rtl/>
        </w:rPr>
        <w:t>ישראל</w:t>
      </w:r>
      <w:r w:rsidRPr="00440CAB">
        <w:rPr>
          <w:rFonts w:ascii="Narkisim" w:hAnsi="Narkisim"/>
          <w:rtl/>
        </w:rPr>
        <w:t>, ומשפחת אם אינו קרוי משפחה. וכת' דדעת הרמב"ם דגדר קהל לא תלי במשפחה</w:t>
      </w:r>
      <w:r w:rsidRPr="00440CAB">
        <w:rPr>
          <w:rStyle w:val="ac"/>
          <w:rFonts w:ascii="Narkisim" w:hAnsi="Narkisim"/>
          <w:rtl/>
        </w:rPr>
        <w:footnoteReference w:id="3489"/>
      </w:r>
      <w:r w:rsidRPr="00440CAB">
        <w:rPr>
          <w:rFonts w:ascii="Narkisim" w:hAnsi="Narkisim"/>
          <w:rtl/>
        </w:rPr>
        <w:t>. ובן הישראלית נחשב 'קהל' ממילא</w:t>
      </w:r>
      <w:r w:rsidRPr="00440CAB">
        <w:rPr>
          <w:rStyle w:val="ac"/>
          <w:rFonts w:ascii="Narkisim" w:hAnsi="Narkisim"/>
          <w:rtl/>
        </w:rPr>
        <w:footnoteReference w:id="3490"/>
      </w:r>
      <w:r w:rsidRPr="00440CAB">
        <w:rPr>
          <w:rFonts w:ascii="Narkisim" w:hAnsi="Narkisim"/>
          <w:rtl/>
        </w:rPr>
        <w:t>. [והגר"ח דן לדעת הר"ן האם משפחת האב שנחשב גר מפקיע השם קהל</w:t>
      </w:r>
      <w:r w:rsidRPr="00440CAB">
        <w:rPr>
          <w:rStyle w:val="ac"/>
          <w:rFonts w:ascii="Narkisim" w:hAnsi="Narkisim"/>
          <w:rtl/>
        </w:rPr>
        <w:footnoteReference w:id="3491"/>
      </w:r>
      <w:r w:rsidRPr="00440CAB">
        <w:rPr>
          <w:rFonts w:ascii="Narkisim" w:hAnsi="Narkisim"/>
          <w:rtl/>
        </w:rPr>
        <w:t>, או עצם מה שמיוחס לאביו מפקיע דאינו שייך לאמו].</w:t>
      </w:r>
    </w:p>
    <w:p w14:paraId="3E4EB2D6"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(שעה"מ טו ט, וכן הביא הגר"ח שם) כת' דבפשוטו תליא בב' לשונות ברש"י, דלל"ק זהו ספק הגמ' האם נחשב קהל מחמת שאמו מישראל. ונפשט דהותרה בפצוע דכא [וכדעת הר"ן]. </w:t>
      </w:r>
      <w:r w:rsidRPr="00440CAB">
        <w:rPr>
          <w:rFonts w:ascii="Narkisim" w:hAnsi="Narkisim"/>
          <w:sz w:val="20"/>
          <w:szCs w:val="20"/>
          <w:rtl/>
        </w:rPr>
        <w:t>[וכ"כ ה</w:t>
      </w:r>
      <w:r w:rsidRPr="00440CAB">
        <w:rPr>
          <w:rFonts w:ascii="Narkisim" w:hAnsi="Narkisim"/>
          <w:b/>
          <w:bCs/>
          <w:sz w:val="20"/>
          <w:szCs w:val="20"/>
          <w:rtl/>
        </w:rPr>
        <w:t>תוס' הרא"ש</w:t>
      </w:r>
      <w:r w:rsidRPr="00440CAB">
        <w:rPr>
          <w:rFonts w:ascii="Narkisim" w:hAnsi="Narkisim"/>
          <w:sz w:val="20"/>
          <w:szCs w:val="20"/>
          <w:rtl/>
        </w:rPr>
        <w:t xml:space="preserve"> (לקמן פד:) דבן ישראלית מגר נחשב קהל גרים, כדמוכח בסוגיין</w:t>
      </w:r>
      <w:r w:rsidRPr="00440CAB">
        <w:rPr>
          <w:rStyle w:val="ac"/>
          <w:rFonts w:ascii="Narkisim" w:hAnsi="Narkisim"/>
          <w:sz w:val="20"/>
          <w:szCs w:val="20"/>
          <w:rtl/>
        </w:rPr>
        <w:footnoteReference w:id="3492"/>
      </w:r>
      <w:r w:rsidRPr="00440CAB">
        <w:rPr>
          <w:rFonts w:ascii="Narkisim" w:hAnsi="Narkisim"/>
          <w:sz w:val="20"/>
          <w:szCs w:val="20"/>
          <w:rtl/>
        </w:rPr>
        <w:t>].</w:t>
      </w:r>
    </w:p>
    <w:p w14:paraId="6C2F91D5" w14:textId="77777777" w:rsidR="006074A5" w:rsidRPr="00440CAB" w:rsidRDefault="006074A5" w:rsidP="006074A5">
      <w:pPr>
        <w:pStyle w:val="a7"/>
        <w:bidi/>
        <w:rPr>
          <w:rFonts w:ascii="Narkisim" w:hAnsi="Narkisim"/>
        </w:rPr>
      </w:pPr>
      <w:r w:rsidRPr="00440CAB">
        <w:rPr>
          <w:rFonts w:ascii="Narkisim" w:hAnsi="Narkisim"/>
          <w:rtl/>
        </w:rPr>
        <w:t>ואילו לל"ב דרש"י הספק בגמ' היכא דאין אמו מישראל, ומבואר דהיכא דאמו מישראל פשיט"ל דאסורה בפסולי קהל [וכדעת הרמב"ם]</w:t>
      </w:r>
      <w:r w:rsidRPr="00440CAB">
        <w:rPr>
          <w:rStyle w:val="ac"/>
          <w:rFonts w:ascii="Narkisim" w:hAnsi="Narkisim"/>
          <w:rtl/>
        </w:rPr>
        <w:footnoteReference w:id="3493"/>
      </w:r>
      <w:r w:rsidRPr="00440CAB">
        <w:rPr>
          <w:rFonts w:ascii="Narkisim" w:hAnsi="Narkisim"/>
          <w:rtl/>
        </w:rPr>
        <w:t>.</w:t>
      </w:r>
    </w:p>
    <w:p w14:paraId="77FA8D44"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שעה"מ</w:t>
      </w:r>
      <w:r w:rsidRPr="00440CAB">
        <w:rPr>
          <w:rFonts w:ascii="Narkisim" w:hAnsi="Narkisim"/>
          <w:rtl/>
        </w:rPr>
        <w:t xml:space="preserve"> תמה דה</w:t>
      </w:r>
      <w:r w:rsidRPr="00440CAB">
        <w:rPr>
          <w:rFonts w:ascii="Narkisim" w:hAnsi="Narkisim"/>
          <w:b/>
          <w:bCs/>
          <w:rtl/>
        </w:rPr>
        <w:t>ר"ן</w:t>
      </w:r>
      <w:r w:rsidRPr="00440CAB">
        <w:rPr>
          <w:rFonts w:ascii="Narkisim" w:hAnsi="Narkisim"/>
          <w:rtl/>
        </w:rPr>
        <w:t xml:space="preserve"> ו</w:t>
      </w:r>
      <w:r w:rsidRPr="00440CAB">
        <w:rPr>
          <w:rFonts w:ascii="Narkisim" w:hAnsi="Narkisim"/>
          <w:b/>
          <w:bCs/>
          <w:rtl/>
        </w:rPr>
        <w:t>ה"ה</w:t>
      </w:r>
      <w:r w:rsidRPr="00440CAB">
        <w:rPr>
          <w:rFonts w:ascii="Narkisim" w:hAnsi="Narkisim"/>
          <w:rtl/>
        </w:rPr>
        <w:t xml:space="preserve"> לא ציינו דשורש המח' ע"פ סוגיין</w:t>
      </w:r>
      <w:r w:rsidRPr="00440CAB">
        <w:rPr>
          <w:rStyle w:val="ac"/>
          <w:rFonts w:ascii="Narkisim" w:hAnsi="Narkisim"/>
          <w:rtl/>
        </w:rPr>
        <w:footnoteReference w:id="3494"/>
      </w:r>
      <w:r w:rsidRPr="00440CAB">
        <w:rPr>
          <w:rFonts w:ascii="Narkisim" w:hAnsi="Narkisim"/>
          <w:rtl/>
        </w:rPr>
        <w:t>. ושוב תי' השעה"מ דהנידון בסוגיין לראב"י, האם איתווסף כשרות או קדושה. אבל לדידן קי"ל כר' יוסי, ומש"ה לא תלי בסוגיין. אך צ"ב אמאי תלי בהא.</w:t>
      </w:r>
    </w:p>
    <w:p w14:paraId="620A5154"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שעה"מ</w:t>
      </w:r>
      <w:r w:rsidRPr="00440CAB">
        <w:rPr>
          <w:rFonts w:ascii="Narkisim" w:hAnsi="Narkisim"/>
          <w:rtl/>
        </w:rPr>
        <w:t xml:space="preserve"> ביאר דראב"י ס"ל דאמה מישראל מוסיף תת כחה לה לינשא לכהונה, א"כ ה"נ איתוספת בה קדושה</w:t>
      </w:r>
      <w:r w:rsidRPr="00440CAB">
        <w:rPr>
          <w:rStyle w:val="ac"/>
          <w:rFonts w:ascii="Narkisim" w:hAnsi="Narkisim"/>
          <w:rtl/>
        </w:rPr>
        <w:footnoteReference w:id="3495"/>
      </w:r>
      <w:r w:rsidRPr="00440CAB">
        <w:rPr>
          <w:rFonts w:ascii="Narkisim" w:hAnsi="Narkisim"/>
          <w:rtl/>
        </w:rPr>
        <w:t>. אבל קי"ל כר' יוסי דכל בני גרים מותרים לכהונה, ולא שמעינן ליה שנוסף מידי באמה מישראל.</w:t>
      </w:r>
    </w:p>
    <w:p w14:paraId="40DEE572"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אבנ"מ</w:t>
      </w:r>
      <w:r w:rsidRPr="00440CAB">
        <w:rPr>
          <w:rFonts w:ascii="Narkisim" w:hAnsi="Narkisim"/>
          <w:rtl/>
        </w:rPr>
        <w:t xml:space="preserve"> (ד טו[כג]) תי' דראב"י יליף (קידושין עח.) דסגי במקצת זרע להחשב ישראל לענין כהונה. וזרע האם חשיב 'מקצת' זרע. וה"נ ס"ל דסגי במקצת להחשב קהל, ומש"ה לראב"י כשאמו מישראל נחשב קהל ליאסר בפצו"ד. [לל"ב דרש"י]. אבל דעת ר' יוסי דתלי בקהל גרים [ולא דרש מקצת זרע], ומש"ה אזלי' בתר הזכר לדעת הר"ן.</w:t>
      </w:r>
    </w:p>
    <w:p w14:paraId="42152FC3" w14:textId="77777777" w:rsidR="006074A5" w:rsidRPr="00440CAB" w:rsidRDefault="006074A5" w:rsidP="006074A5">
      <w:pPr>
        <w:pStyle w:val="aa"/>
        <w:bidi/>
        <w:rPr>
          <w:rFonts w:ascii="Narkisim" w:hAnsi="Narkisim"/>
        </w:rPr>
      </w:pPr>
      <w:r w:rsidRPr="00440CAB">
        <w:rPr>
          <w:rFonts w:ascii="Narkisim" w:hAnsi="Narkisim"/>
          <w:u w:val="single"/>
          <w:rtl/>
        </w:rPr>
        <w:t>ת"ש כי אתא ר' אחא וכו' ואי לר' יוסי ל"ל קרא וכו' אלא לאו לראב"י וש"מ כשרות איתוספא בה ואכלה ש"מ</w:t>
      </w:r>
      <w:r w:rsidRPr="00440CAB">
        <w:rPr>
          <w:rFonts w:ascii="Narkisim" w:hAnsi="Narkisim"/>
          <w:rtl/>
        </w:rPr>
        <w:t>. ואיצטריך קרא לחדש דכשרות איתוספה בה. [וצ"ע דהנידון אי נוסף כשרות הוה נידון באיסורי קהל, ואמאי אייתר קרא גבי כהונה].</w:t>
      </w:r>
    </w:p>
    <w:p w14:paraId="41D63484" w14:textId="77777777" w:rsidR="006074A5" w:rsidRPr="00440CAB" w:rsidRDefault="006074A5" w:rsidP="006074A5">
      <w:pPr>
        <w:pStyle w:val="a8"/>
        <w:bidi/>
        <w:rPr>
          <w:rFonts w:ascii="Narkisim" w:hAnsi="Narkisim"/>
        </w:rPr>
      </w:pPr>
      <w:r w:rsidRPr="00440CAB">
        <w:rPr>
          <w:rFonts w:ascii="Narkisim" w:hAnsi="Narkisim"/>
          <w:rtl/>
        </w:rPr>
        <w:t>ולל"ק דרש"י קאי קרא באמה מישראל, אבל כשאין אמה מישראל למ"ד דלאו בקדושתיה קאי פשיטא דהותר, דהא ל"ל קהל. ולא איצטריך קרא לחדש. [אבל אי בקדושתיה קאי אסור מצד כהונה</w:t>
      </w:r>
      <w:r w:rsidRPr="00440CAB">
        <w:rPr>
          <w:rStyle w:val="ac"/>
          <w:rFonts w:ascii="Narkisim" w:hAnsi="Narkisim"/>
          <w:rtl/>
        </w:rPr>
        <w:footnoteReference w:id="3496"/>
      </w:r>
      <w:r w:rsidRPr="00440CAB">
        <w:rPr>
          <w:rFonts w:ascii="Narkisim" w:hAnsi="Narkisim"/>
          <w:rtl/>
        </w:rPr>
        <w:t>].</w:t>
      </w:r>
    </w:p>
    <w:p w14:paraId="51A97C47" w14:textId="77777777" w:rsidR="006074A5" w:rsidRPr="00440CAB" w:rsidRDefault="006074A5" w:rsidP="006074A5">
      <w:pPr>
        <w:pStyle w:val="a8"/>
        <w:bidi/>
        <w:rPr>
          <w:rFonts w:ascii="Narkisim" w:hAnsi="Narkisim"/>
        </w:rPr>
      </w:pPr>
      <w:r w:rsidRPr="00440CAB">
        <w:rPr>
          <w:rFonts w:ascii="Narkisim" w:hAnsi="Narkisim"/>
          <w:rtl/>
        </w:rPr>
        <w:t>וללישנא בתרא דרש"י הך דרשא כשאין אמה מישראל [וקמ"ל דבת גר וגיורת לא חשיבא קהל ליאסר לפצוע דכא], אבל כשאמה מישראל אסורה.</w:t>
      </w:r>
    </w:p>
    <w:p w14:paraId="6E117ED7" w14:textId="77777777" w:rsidR="006074A5" w:rsidRPr="00440CAB" w:rsidRDefault="006074A5" w:rsidP="006074A5">
      <w:pPr>
        <w:pStyle w:val="3"/>
        <w:bidi/>
        <w:rPr>
          <w:rFonts w:ascii="Narkisim" w:hAnsi="Narkisim"/>
        </w:rPr>
      </w:pPr>
      <w:r w:rsidRPr="00440CAB">
        <w:rPr>
          <w:rFonts w:ascii="Narkisim" w:hAnsi="Narkisim"/>
          <w:rtl/>
        </w:rPr>
        <w:t>דף נז:</w:t>
      </w:r>
    </w:p>
    <w:p w14:paraId="303BF026" w14:textId="77777777" w:rsidR="006074A5" w:rsidRPr="00440CAB" w:rsidRDefault="006074A5" w:rsidP="006074A5">
      <w:pPr>
        <w:pStyle w:val="2"/>
        <w:bidi/>
        <w:rPr>
          <w:rFonts w:ascii="Narkisim" w:hAnsi="Narkisim"/>
          <w:sz w:val="21"/>
        </w:rPr>
      </w:pPr>
      <w:r w:rsidRPr="00440CAB">
        <w:rPr>
          <w:rFonts w:ascii="Narkisim" w:hAnsi="Narkisim"/>
          <w:sz w:val="21"/>
          <w:rtl/>
        </w:rPr>
        <w:t>חופה לפסולות</w:t>
      </w:r>
    </w:p>
    <w:p w14:paraId="0678A6F8" w14:textId="77777777" w:rsidR="006074A5" w:rsidRPr="00440CAB" w:rsidRDefault="006074A5" w:rsidP="006074A5">
      <w:pPr>
        <w:bidi/>
        <w:rPr>
          <w:rFonts w:ascii="Narkisim" w:hAnsi="Narkisim" w:cs="Narkisim"/>
        </w:rPr>
      </w:pPr>
      <w:r w:rsidRPr="00440CAB">
        <w:rPr>
          <w:rFonts w:ascii="Narkisim" w:hAnsi="Narkisim" w:cs="Narkisim"/>
          <w:u w:val="single"/>
          <w:rtl/>
        </w:rPr>
        <w:t>אין חופה לפסולות.</w:t>
      </w:r>
      <w:r w:rsidRPr="00440CAB">
        <w:rPr>
          <w:rFonts w:ascii="Narkisim" w:hAnsi="Narkisim" w:cs="Narkisim"/>
          <w:rtl/>
        </w:rPr>
        <w:t xml:space="preserve"> ה</w:t>
      </w:r>
      <w:r w:rsidRPr="00440CAB">
        <w:rPr>
          <w:rFonts w:ascii="Narkisim" w:hAnsi="Narkisim" w:cs="Narkisim"/>
          <w:b/>
          <w:bCs/>
          <w:rtl/>
        </w:rPr>
        <w:t>ראשונים</w:t>
      </w:r>
      <w:r w:rsidRPr="00440CAB">
        <w:rPr>
          <w:rFonts w:ascii="Narkisim" w:hAnsi="Narkisim" w:cs="Narkisim"/>
          <w:rtl/>
        </w:rPr>
        <w:t xml:space="preserve"> (ע' המשך הסוגיא) דנו אי נידון הגמ' האם </w:t>
      </w:r>
      <w:r w:rsidRPr="00440CAB">
        <w:rPr>
          <w:rFonts w:ascii="Narkisim" w:hAnsi="Narkisim" w:cs="Narkisim"/>
          <w:i/>
          <w:iCs/>
          <w:rtl/>
        </w:rPr>
        <w:t>חל</w:t>
      </w:r>
      <w:r w:rsidRPr="00440CAB">
        <w:rPr>
          <w:rFonts w:ascii="Narkisim" w:hAnsi="Narkisim" w:cs="Narkisim"/>
          <w:rtl/>
        </w:rPr>
        <w:t xml:space="preserve"> החופה [וכן מוכח בגמ' (לקמן נח.) שמביאה מזה ראיה לגבי שומרת יבם]</w:t>
      </w:r>
      <w:r w:rsidRPr="00440CAB">
        <w:rPr>
          <w:rStyle w:val="ac"/>
          <w:rFonts w:ascii="Narkisim" w:hAnsi="Narkisim" w:cs="Narkisim"/>
          <w:rtl/>
        </w:rPr>
        <w:footnoteReference w:id="3497"/>
      </w:r>
      <w:r w:rsidRPr="00440CAB">
        <w:rPr>
          <w:rFonts w:ascii="Narkisim" w:hAnsi="Narkisim" w:cs="Narkisim"/>
          <w:rtl/>
        </w:rPr>
        <w:t xml:space="preserve">, או דהנידון האם נפסלת ע"י </w:t>
      </w:r>
      <w:r w:rsidRPr="00440CAB">
        <w:rPr>
          <w:rFonts w:ascii="Narkisim" w:hAnsi="Narkisim" w:cs="Narkisim"/>
          <w:rtl/>
        </w:rPr>
        <w:lastRenderedPageBreak/>
        <w:t>קנין החופה. [וכן מוכח מדברי רמי בר חמא דתלי בדין משתמרת לביאה פסולה].</w:t>
      </w:r>
    </w:p>
    <w:p w14:paraId="5DAA1E4E" w14:textId="77777777" w:rsidR="006074A5" w:rsidRPr="00440CAB" w:rsidRDefault="006074A5" w:rsidP="006074A5">
      <w:pPr>
        <w:bidi/>
        <w:rPr>
          <w:rFonts w:ascii="Narkisim" w:hAnsi="Narkisim" w:cs="Narkisim"/>
        </w:rPr>
      </w:pPr>
      <w:r w:rsidRPr="00440CAB">
        <w:rPr>
          <w:rFonts w:ascii="Narkisim" w:hAnsi="Narkisim" w:cs="Narkisim"/>
          <w:u w:val="single"/>
          <w:rtl/>
        </w:rPr>
        <w:t>שם. אין חופה</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(ד"ה יש) דאיירי שמעיקרא נמי לא קידשה. ו</w:t>
      </w:r>
      <w:r w:rsidRPr="00440CAB">
        <w:rPr>
          <w:rFonts w:ascii="Narkisim" w:hAnsi="Narkisim" w:cs="Narkisim"/>
          <w:b/>
          <w:bCs/>
          <w:rtl/>
        </w:rPr>
        <w:t>תוס</w:t>
      </w:r>
      <w:r w:rsidRPr="00440CAB">
        <w:rPr>
          <w:rFonts w:ascii="Narkisim" w:hAnsi="Narkisim" w:cs="Narkisim"/>
          <w:rtl/>
        </w:rPr>
        <w:t xml:space="preserve">' (ד"ה רב) נקטו דכוונת רש"י דאיירי כרב הונא (קידושין ה:) דחופה קונה. אבל </w:t>
      </w:r>
      <w:r w:rsidRPr="00440CAB">
        <w:rPr>
          <w:rFonts w:ascii="Narkisim" w:hAnsi="Narkisim" w:cs="Narkisim"/>
          <w:b/>
          <w:bCs/>
          <w:rtl/>
        </w:rPr>
        <w:t>הרמב"ן</w:t>
      </w:r>
      <w:r w:rsidRPr="00440CAB">
        <w:rPr>
          <w:rFonts w:ascii="Narkisim" w:hAnsi="Narkisim" w:cs="Narkisim"/>
          <w:rtl/>
        </w:rPr>
        <w:t xml:space="preserve"> (ושא"ר) כתבו בדעת רש"י דחופה לחוד ל"ק </w:t>
      </w:r>
      <w:r w:rsidRPr="00440CAB">
        <w:rPr>
          <w:rFonts w:ascii="Narkisim" w:hAnsi="Narkisim" w:cs="Narkisim"/>
          <w:sz w:val="20"/>
          <w:szCs w:val="20"/>
          <w:rtl/>
        </w:rPr>
        <w:t>[וכ"מ ב</w:t>
      </w:r>
      <w:r w:rsidRPr="00440CAB">
        <w:rPr>
          <w:rFonts w:ascii="Narkisim" w:hAnsi="Narkisim" w:cs="Narkisim"/>
          <w:b/>
          <w:bCs/>
          <w:sz w:val="20"/>
          <w:szCs w:val="20"/>
          <w:rtl/>
        </w:rPr>
        <w:t>רש"י</w:t>
      </w:r>
      <w:r w:rsidRPr="00440CAB">
        <w:rPr>
          <w:rFonts w:ascii="Narkisim" w:hAnsi="Narkisim" w:cs="Narkisim"/>
          <w:sz w:val="20"/>
          <w:szCs w:val="20"/>
          <w:rtl/>
        </w:rPr>
        <w:t xml:space="preserve"> נח. ד"ה חופה</w:t>
      </w:r>
      <w:r w:rsidRPr="00440CAB">
        <w:rPr>
          <w:rStyle w:val="ac"/>
          <w:rFonts w:ascii="Narkisim" w:hAnsi="Narkisim" w:cs="Narkisim"/>
          <w:sz w:val="20"/>
          <w:szCs w:val="20"/>
          <w:rtl/>
        </w:rPr>
        <w:footnoteReference w:id="3498"/>
      </w:r>
      <w:r w:rsidRPr="00440CAB">
        <w:rPr>
          <w:rFonts w:ascii="Narkisim" w:hAnsi="Narkisim" w:cs="Narkisim"/>
          <w:sz w:val="20"/>
          <w:szCs w:val="20"/>
          <w:rtl/>
        </w:rPr>
        <w:t>]</w:t>
      </w:r>
      <w:r w:rsidRPr="00440CAB">
        <w:rPr>
          <w:rFonts w:ascii="Narkisim" w:hAnsi="Narkisim" w:cs="Narkisim"/>
          <w:rtl/>
        </w:rPr>
        <w:t>, אלא דע"י החופה נפסלת אף דלא קנאה. וכ"ד ה</w:t>
      </w:r>
      <w:r w:rsidRPr="00440CAB">
        <w:rPr>
          <w:rFonts w:ascii="Narkisim" w:hAnsi="Narkisim" w:cs="Narkisim"/>
          <w:b/>
          <w:bCs/>
          <w:rtl/>
        </w:rPr>
        <w:t>רמב"ם</w:t>
      </w:r>
      <w:r w:rsidRPr="00440CAB">
        <w:rPr>
          <w:rFonts w:ascii="Narkisim" w:hAnsi="Narkisim" w:cs="Narkisim"/>
          <w:rtl/>
        </w:rPr>
        <w:t xml:space="preserve"> (תרומות ז כא)</w:t>
      </w:r>
      <w:r w:rsidRPr="00440CAB">
        <w:rPr>
          <w:rStyle w:val="ac"/>
          <w:rFonts w:ascii="Narkisim" w:hAnsi="Narkisim" w:cs="Narkisim"/>
          <w:rtl/>
        </w:rPr>
        <w:footnoteReference w:id="3499"/>
      </w:r>
      <w:r w:rsidRPr="00440CAB">
        <w:rPr>
          <w:rFonts w:ascii="Narkisim" w:hAnsi="Narkisim" w:cs="Narkisim"/>
          <w:rtl/>
        </w:rPr>
        <w:t>.</w:t>
      </w:r>
    </w:p>
    <w:p w14:paraId="6259889A" w14:textId="77777777" w:rsidR="006074A5" w:rsidRPr="00440CAB" w:rsidRDefault="006074A5" w:rsidP="006074A5">
      <w:pPr>
        <w:pStyle w:val="a7"/>
        <w:bidi/>
        <w:rPr>
          <w:rFonts w:ascii="Narkisim" w:hAnsi="Narkisim"/>
        </w:rPr>
      </w:pPr>
      <w:r w:rsidRPr="00440CAB">
        <w:rPr>
          <w:rFonts w:ascii="Narkisim" w:hAnsi="Narkisim"/>
          <w:rtl/>
        </w:rPr>
        <w:t>אלא דה</w:t>
      </w:r>
      <w:r w:rsidRPr="00440CAB">
        <w:rPr>
          <w:rFonts w:ascii="Narkisim" w:hAnsi="Narkisim"/>
          <w:b/>
          <w:bCs/>
          <w:rtl/>
        </w:rPr>
        <w:t>ראשונים</w:t>
      </w:r>
      <w:r w:rsidRPr="00440CAB">
        <w:rPr>
          <w:rFonts w:ascii="Narkisim" w:hAnsi="Narkisim"/>
          <w:rtl/>
        </w:rPr>
        <w:t xml:space="preserve"> הקשו דכיון דל"ק אמאי פסולה. ועוד הקשו מהגמ' (לקמן נח.) גבי סוטה דמיירי בחופה דבתר קידושין. וה</w:t>
      </w:r>
      <w:r w:rsidRPr="00440CAB">
        <w:rPr>
          <w:rFonts w:ascii="Narkisim" w:hAnsi="Narkisim"/>
          <w:b/>
          <w:bCs/>
          <w:rtl/>
        </w:rPr>
        <w:t>ריטב"א</w:t>
      </w:r>
      <w:r w:rsidRPr="00440CAB">
        <w:rPr>
          <w:rFonts w:ascii="Narkisim" w:hAnsi="Narkisim"/>
          <w:rtl/>
        </w:rPr>
        <w:t xml:space="preserve"> תי' בשם </w:t>
      </w:r>
      <w:r w:rsidRPr="00440CAB">
        <w:rPr>
          <w:rFonts w:ascii="Narkisim" w:hAnsi="Narkisim"/>
          <w:b/>
          <w:bCs/>
          <w:rtl/>
        </w:rPr>
        <w:t>ר"י</w:t>
      </w:r>
      <w:r w:rsidRPr="00440CAB">
        <w:rPr>
          <w:rFonts w:ascii="Narkisim" w:hAnsi="Narkisim"/>
          <w:rtl/>
        </w:rPr>
        <w:t xml:space="preserve"> דשורש המח' האם יש בפסולות יש מציאות חופה, בין לקידושין ובין לנישואין [ועל דרך מש"כ בתוס' ליישב דברי רש"י].</w:t>
      </w:r>
    </w:p>
    <w:p w14:paraId="1FDA55DD"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רשב"א</w:t>
      </w:r>
      <w:r w:rsidRPr="00440CAB">
        <w:rPr>
          <w:rFonts w:ascii="Narkisim" w:hAnsi="Narkisim" w:cs="Narkisim"/>
          <w:rtl/>
        </w:rPr>
        <w:t xml:space="preserve"> כת' בשם </w:t>
      </w:r>
      <w:r w:rsidRPr="00440CAB">
        <w:rPr>
          <w:rFonts w:ascii="Narkisim" w:hAnsi="Narkisim" w:cs="Narkisim"/>
          <w:b/>
          <w:bCs/>
          <w:rtl/>
        </w:rPr>
        <w:t>ר"ח</w:t>
      </w:r>
      <w:r w:rsidRPr="00440CAB">
        <w:rPr>
          <w:rFonts w:ascii="Narkisim" w:hAnsi="Narkisim" w:cs="Narkisim"/>
          <w:rtl/>
        </w:rPr>
        <w:t xml:space="preserve"> דאיירי בין חופה גרידתא ובין לאחר קידושין, ופליגי בתרתי, דקודם קידושין נפסלת מדרבנן כיון שזימנה עצמה לביאה פסולה, וחופה לביאה קיימא [אע"ג דלא קנאה]. ופליגי אף בחופה דבתר קידושין דלא קני, כיון דאינה ראויה לביאה אינה חופה</w:t>
      </w:r>
      <w:r w:rsidRPr="00440CAB">
        <w:rPr>
          <w:rStyle w:val="ac"/>
          <w:rFonts w:ascii="Narkisim" w:hAnsi="Narkisim" w:cs="Narkisim"/>
          <w:rtl/>
        </w:rPr>
        <w:footnoteReference w:id="3500"/>
      </w:r>
      <w:r w:rsidRPr="00440CAB">
        <w:rPr>
          <w:rFonts w:ascii="Narkisim" w:hAnsi="Narkisim" w:cs="Narkisim"/>
          <w:rtl/>
        </w:rPr>
        <w:t>.</w:t>
      </w:r>
    </w:p>
    <w:p w14:paraId="161CB191"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דנו דמסתבר דאם נפסלת ע"י חופה בלא קידושין, הוה משום דמיוחדת לו לאיסור</w:t>
      </w:r>
      <w:r w:rsidRPr="00440CAB">
        <w:rPr>
          <w:rStyle w:val="ac"/>
          <w:rFonts w:ascii="Narkisim" w:hAnsi="Narkisim"/>
          <w:rtl/>
        </w:rPr>
        <w:footnoteReference w:id="3501"/>
      </w:r>
      <w:r w:rsidRPr="00440CAB">
        <w:rPr>
          <w:rFonts w:ascii="Narkisim" w:hAnsi="Narkisim"/>
          <w:rtl/>
        </w:rPr>
        <w:t>. וא"כ כיון דסיכמו ביניהם דשוב לא ישאנה, בטל הדין חופה וחוזרת לכשרות ומותרת בתרומה (וכ"כ בדרך אמונה ז קמג). אבל ב</w:t>
      </w:r>
      <w:r w:rsidRPr="00440CAB">
        <w:rPr>
          <w:rFonts w:ascii="Narkisim" w:hAnsi="Narkisim"/>
          <w:b/>
          <w:bCs/>
          <w:rtl/>
        </w:rPr>
        <w:t>חי' ר"א מן ההר</w:t>
      </w:r>
      <w:r w:rsidRPr="00440CAB">
        <w:rPr>
          <w:rFonts w:ascii="Narkisim" w:hAnsi="Narkisim"/>
          <w:rtl/>
        </w:rPr>
        <w:t xml:space="preserve"> (נח.) כתב [בדעת הרמב"ם] דפסלה לעולם הואיל ויחדה קרינן ביה אישה, וכאילו בא עליה. [וכ"כ הרדב"ז שם].</w:t>
      </w:r>
    </w:p>
    <w:p w14:paraId="65D4B694" w14:textId="77777777" w:rsidR="006074A5" w:rsidRPr="00440CAB" w:rsidRDefault="006074A5" w:rsidP="006074A5">
      <w:pPr>
        <w:bidi/>
        <w:rPr>
          <w:rFonts w:ascii="Narkisim" w:hAnsi="Narkisim" w:cs="Narkisim"/>
        </w:rPr>
      </w:pPr>
      <w:r w:rsidRPr="00440CAB">
        <w:rPr>
          <w:rFonts w:ascii="Narkisim" w:hAnsi="Narkisim" w:cs="Narkisim"/>
          <w:rtl/>
        </w:rPr>
        <w:t xml:space="preserve">אבל דעת </w:t>
      </w:r>
      <w:r w:rsidRPr="00440CAB">
        <w:rPr>
          <w:rFonts w:ascii="Narkisim" w:hAnsi="Narkisim" w:cs="Narkisim"/>
          <w:b/>
          <w:bCs/>
          <w:rtl/>
        </w:rPr>
        <w:t>ר"ת</w:t>
      </w:r>
      <w:r w:rsidRPr="00440CAB">
        <w:rPr>
          <w:rFonts w:ascii="Narkisim" w:hAnsi="Narkisim" w:cs="Narkisim"/>
          <w:rtl/>
        </w:rPr>
        <w:t xml:space="preserve"> (והרמב"ן ועוד ראשונים) דאיירי דוקא בחופה דבתר קידושין.</w:t>
      </w:r>
    </w:p>
    <w:p w14:paraId="2C6D40BB"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 xml:space="preserve">תו"י </w:t>
      </w:r>
      <w:r w:rsidRPr="00440CAB">
        <w:rPr>
          <w:rFonts w:ascii="Narkisim" w:hAnsi="Narkisim" w:cs="Narkisim"/>
          <w:rtl/>
        </w:rPr>
        <w:t>הק' דלשמואל דאין חופה לפסולות, א"כ אין להם נישואין לעולם</w:t>
      </w:r>
      <w:r w:rsidRPr="00440CAB">
        <w:rPr>
          <w:rStyle w:val="ac"/>
          <w:rFonts w:ascii="Narkisim" w:hAnsi="Narkisim" w:cs="Narkisim"/>
          <w:rtl/>
        </w:rPr>
        <w:footnoteReference w:id="3502"/>
      </w:r>
      <w:r w:rsidRPr="00440CAB">
        <w:rPr>
          <w:rFonts w:ascii="Narkisim" w:hAnsi="Narkisim" w:cs="Narkisim"/>
          <w:rtl/>
        </w:rPr>
        <w:t>, ואמאי איצטריך קרא למעט שלא יטמא לאשתו פסולה. ותי' דע"י ביאה ודאי יש להם נישואין. אבל ה</w:t>
      </w:r>
      <w:r w:rsidRPr="00440CAB">
        <w:rPr>
          <w:rFonts w:ascii="Narkisim" w:hAnsi="Narkisim" w:cs="Narkisim"/>
          <w:b/>
          <w:bCs/>
          <w:rtl/>
        </w:rPr>
        <w:t>ריטב"א</w:t>
      </w:r>
      <w:r w:rsidRPr="00440CAB">
        <w:rPr>
          <w:rStyle w:val="ac"/>
          <w:rFonts w:ascii="Narkisim" w:hAnsi="Narkisim" w:cs="Narkisim"/>
          <w:b/>
          <w:bCs/>
          <w:rtl/>
        </w:rPr>
        <w:footnoteReference w:id="3503"/>
      </w:r>
      <w:r w:rsidRPr="00440CAB">
        <w:rPr>
          <w:rFonts w:ascii="Narkisim" w:hAnsi="Narkisim" w:cs="Narkisim"/>
          <w:rtl/>
        </w:rPr>
        <w:t xml:space="preserve"> תי' דהא דאין מטמא הוא משום דאין חופה לפסולות, ומאי טעמא.</w:t>
      </w:r>
    </w:p>
    <w:p w14:paraId="76590E29"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(אישות י ב) פסק דחופת נדה לא קני</w:t>
      </w:r>
      <w:r w:rsidRPr="00440CAB">
        <w:rPr>
          <w:rStyle w:val="ac"/>
          <w:rFonts w:ascii="Narkisim" w:hAnsi="Narkisim"/>
          <w:rtl/>
        </w:rPr>
        <w:footnoteReference w:id="3504"/>
      </w:r>
      <w:r w:rsidRPr="00440CAB">
        <w:rPr>
          <w:rFonts w:ascii="Narkisim" w:hAnsi="Narkisim"/>
          <w:rtl/>
        </w:rPr>
        <w:t xml:space="preserve"> [ופי' כן בספק הגמ' כתובות נו.</w:t>
      </w:r>
      <w:r w:rsidRPr="00440CAB">
        <w:rPr>
          <w:rStyle w:val="ac"/>
          <w:rFonts w:ascii="Narkisim" w:hAnsi="Narkisim"/>
          <w:rtl/>
        </w:rPr>
        <w:footnoteReference w:id="3505"/>
      </w:r>
      <w:r w:rsidRPr="00440CAB">
        <w:rPr>
          <w:rFonts w:ascii="Narkisim" w:hAnsi="Narkisim"/>
          <w:rtl/>
        </w:rPr>
        <w:t>]. וה</w:t>
      </w:r>
      <w:r w:rsidRPr="00440CAB">
        <w:rPr>
          <w:rFonts w:ascii="Narkisim" w:hAnsi="Narkisim"/>
          <w:b/>
          <w:bCs/>
          <w:rtl/>
        </w:rPr>
        <w:t xml:space="preserve">ר"ן </w:t>
      </w:r>
      <w:r w:rsidRPr="00440CAB">
        <w:rPr>
          <w:rFonts w:ascii="Narkisim" w:hAnsi="Narkisim"/>
          <w:rtl/>
        </w:rPr>
        <w:t>(כתובות שם כב: בדה"ר) הקשה דכיון דהרמב"ם פסק דיש חופה לפסולות, כ"ש לנדה. וה</w:t>
      </w:r>
      <w:r w:rsidRPr="00440CAB">
        <w:rPr>
          <w:rFonts w:ascii="Narkisim" w:hAnsi="Narkisim"/>
          <w:b/>
          <w:bCs/>
          <w:rtl/>
        </w:rPr>
        <w:t>לח"מ</w:t>
      </w:r>
      <w:r w:rsidRPr="00440CAB">
        <w:rPr>
          <w:rFonts w:ascii="Narkisim" w:hAnsi="Narkisim"/>
          <w:rtl/>
        </w:rPr>
        <w:t xml:space="preserve"> (מה"ק שם) תי' דהא דמהני חופה לפסולות הא משום דדעתו לבא עליה בעודה אסורה, אבל נדה אין דעתו לבא עליה עכשיו</w:t>
      </w:r>
      <w:r w:rsidRPr="00440CAB">
        <w:rPr>
          <w:rStyle w:val="ac"/>
          <w:rFonts w:ascii="Narkisim" w:hAnsi="Narkisim"/>
          <w:rtl/>
        </w:rPr>
        <w:footnoteReference w:id="3506"/>
      </w:r>
      <w:r w:rsidRPr="00440CAB">
        <w:rPr>
          <w:rFonts w:ascii="Narkisim" w:hAnsi="Narkisim"/>
          <w:rtl/>
        </w:rPr>
        <w:t>.</w:t>
      </w:r>
    </w:p>
    <w:p w14:paraId="51813EFE" w14:textId="77777777" w:rsidR="006074A5" w:rsidRPr="00440CAB" w:rsidRDefault="006074A5" w:rsidP="006074A5">
      <w:pPr>
        <w:bidi/>
        <w:rPr>
          <w:rFonts w:ascii="Narkisim" w:hAnsi="Narkisim" w:cs="Narkisim"/>
        </w:rPr>
      </w:pPr>
      <w:r w:rsidRPr="00440CAB">
        <w:rPr>
          <w:rFonts w:ascii="Narkisim" w:hAnsi="Narkisim" w:cs="Narkisim"/>
          <w:u w:val="single"/>
          <w:rtl/>
        </w:rPr>
        <w:t>תוד"ה רב.</w:t>
      </w:r>
      <w:r w:rsidRPr="00440CAB">
        <w:rPr>
          <w:rFonts w:ascii="Narkisim" w:hAnsi="Narkisim" w:cs="Narkisim"/>
          <w:rtl/>
        </w:rPr>
        <w:t xml:space="preserve"> קנייה נמי בלא כסף לשוייה ארוסה. מבואר בתוס' דלרב הונא דחופה קונה, הוה ארוסה</w:t>
      </w:r>
      <w:r w:rsidRPr="00440CAB">
        <w:rPr>
          <w:rStyle w:val="ac"/>
          <w:rFonts w:ascii="Narkisim" w:hAnsi="Narkisim" w:cs="Narkisim"/>
          <w:rtl/>
        </w:rPr>
        <w:footnoteReference w:id="3507"/>
      </w:r>
      <w:r w:rsidRPr="00440CAB">
        <w:rPr>
          <w:rFonts w:ascii="Narkisim" w:hAnsi="Narkisim" w:cs="Narkisim"/>
          <w:rtl/>
        </w:rPr>
        <w:t>. אבל ה</w:t>
      </w:r>
      <w:r w:rsidRPr="00440CAB">
        <w:rPr>
          <w:rFonts w:ascii="Narkisim" w:hAnsi="Narkisim" w:cs="Narkisim"/>
          <w:b/>
          <w:bCs/>
          <w:rtl/>
        </w:rPr>
        <w:t>מהרש"א</w:t>
      </w:r>
      <w:r w:rsidRPr="00440CAB">
        <w:rPr>
          <w:rFonts w:ascii="Narkisim" w:hAnsi="Narkisim" w:cs="Narkisim"/>
          <w:rtl/>
        </w:rPr>
        <w:t xml:space="preserve"> (קידושין ה:) כתב דלרב הונא חופה גומרת, והוה נשואה</w:t>
      </w:r>
      <w:r w:rsidRPr="00440CAB">
        <w:rPr>
          <w:rStyle w:val="ac"/>
          <w:rFonts w:ascii="Narkisim" w:hAnsi="Narkisim" w:cs="Narkisim"/>
          <w:rtl/>
        </w:rPr>
        <w:footnoteReference w:id="3508"/>
      </w:r>
      <w:r w:rsidRPr="00440CAB">
        <w:rPr>
          <w:rFonts w:ascii="Narkisim" w:hAnsi="Narkisim" w:cs="Narkisim"/>
          <w:rtl/>
        </w:rPr>
        <w:t>. וה</w:t>
      </w:r>
      <w:r w:rsidRPr="00440CAB">
        <w:rPr>
          <w:rFonts w:ascii="Narkisim" w:hAnsi="Narkisim" w:cs="Narkisim"/>
          <w:b/>
          <w:bCs/>
          <w:rtl/>
        </w:rPr>
        <w:t>תוס' הרא"ש</w:t>
      </w:r>
      <w:r w:rsidRPr="00440CAB">
        <w:rPr>
          <w:rFonts w:ascii="Narkisim" w:hAnsi="Narkisim" w:cs="Narkisim"/>
          <w:rtl/>
        </w:rPr>
        <w:t xml:space="preserve"> (קידושין ה.) נסתפק בזה.</w:t>
      </w:r>
    </w:p>
    <w:p w14:paraId="665A791A" w14:textId="77777777" w:rsidR="006074A5" w:rsidRPr="00440CAB" w:rsidRDefault="006074A5" w:rsidP="006074A5">
      <w:pPr>
        <w:bidi/>
        <w:rPr>
          <w:rFonts w:ascii="Narkisim" w:hAnsi="Narkisim" w:cs="Narkisim"/>
        </w:rPr>
      </w:pPr>
      <w:r w:rsidRPr="00440CAB">
        <w:rPr>
          <w:rFonts w:ascii="Narkisim" w:hAnsi="Narkisim" w:cs="Narkisim"/>
          <w:u w:val="single"/>
          <w:rtl/>
        </w:rPr>
        <w:t>בא"ד ואין לפרש וכו' כגון שלא היה הפסול בשעת קידושין.</w:t>
      </w:r>
      <w:r w:rsidRPr="00440CAB">
        <w:rPr>
          <w:rFonts w:ascii="Narkisim" w:hAnsi="Narkisim" w:cs="Narkisim"/>
          <w:sz w:val="20"/>
          <w:szCs w:val="20"/>
          <w:rtl/>
        </w:rPr>
        <w:t xml:space="preserve"> [וכיון דקידשה בהיתר לא נחשב משתמרת לביאה פסולה, דומיא דנשאה בהיתר. אבל ע"י החופה נחשבת משמרת]</w:t>
      </w:r>
      <w:r w:rsidRPr="00440CAB">
        <w:rPr>
          <w:rFonts w:ascii="Narkisim" w:hAnsi="Narkisim" w:cs="Narkisim"/>
          <w:rtl/>
        </w:rPr>
        <w:t>. וכ"כ ב</w:t>
      </w:r>
      <w:r w:rsidRPr="00440CAB">
        <w:rPr>
          <w:rFonts w:ascii="Narkisim" w:hAnsi="Narkisim" w:cs="Narkisim"/>
          <w:b/>
          <w:bCs/>
          <w:rtl/>
        </w:rPr>
        <w:t xml:space="preserve">תוס' חד מקמאי </w:t>
      </w:r>
      <w:r w:rsidRPr="00440CAB">
        <w:rPr>
          <w:rFonts w:ascii="Narkisim" w:hAnsi="Narkisim" w:cs="Narkisim"/>
          <w:rtl/>
        </w:rPr>
        <w:t>וב</w:t>
      </w:r>
      <w:r w:rsidRPr="00440CAB">
        <w:rPr>
          <w:rFonts w:ascii="Narkisim" w:hAnsi="Narkisim" w:cs="Narkisim"/>
          <w:b/>
          <w:bCs/>
          <w:rtl/>
        </w:rPr>
        <w:t>תוס' מהר"ם ור"פ</w:t>
      </w:r>
      <w:r w:rsidRPr="00440CAB">
        <w:rPr>
          <w:rFonts w:ascii="Narkisim" w:hAnsi="Narkisim" w:cs="Narkisim"/>
          <w:rtl/>
        </w:rPr>
        <w:t xml:space="preserve"> (נח.). ובתוס' חלק דאפי' קידושי היתר נחשב משתמרת לביאה פסולה.</w:t>
      </w:r>
    </w:p>
    <w:p w14:paraId="37E4CAB0" w14:textId="77777777" w:rsidR="006074A5" w:rsidRPr="00440CAB" w:rsidRDefault="006074A5" w:rsidP="006074A5">
      <w:pPr>
        <w:bidi/>
        <w:rPr>
          <w:rFonts w:ascii="Narkisim" w:hAnsi="Narkisim" w:cs="Narkisim"/>
        </w:rPr>
      </w:pPr>
      <w:r w:rsidRPr="00440CAB">
        <w:rPr>
          <w:rFonts w:ascii="Narkisim" w:hAnsi="Narkisim" w:cs="Narkisim"/>
          <w:u w:val="single"/>
          <w:rtl/>
        </w:rPr>
        <w:t>בא"ד ולא מסתבר נמי לאוקמי בארוסה שכבר אכלה וכו'.</w:t>
      </w:r>
      <w:r w:rsidRPr="00440CAB">
        <w:rPr>
          <w:rFonts w:ascii="Narkisim" w:hAnsi="Narkisim" w:cs="Narkisim"/>
          <w:rtl/>
        </w:rPr>
        <w:t xml:space="preserve"> מבואר בתוס' שאם כבר אכלה </w:t>
      </w:r>
      <w:r w:rsidRPr="00440CAB">
        <w:rPr>
          <w:rFonts w:ascii="Narkisim" w:hAnsi="Narkisim" w:cs="Narkisim"/>
          <w:rtl/>
        </w:rPr>
        <w:lastRenderedPageBreak/>
        <w:t xml:space="preserve">מדין הגעת זמן, אינה נפסלת ע"י שמשתמרת לביאה פסולה </w:t>
      </w:r>
      <w:r w:rsidRPr="00440CAB">
        <w:rPr>
          <w:rFonts w:ascii="Narkisim" w:hAnsi="Narkisim" w:cs="Narkisim"/>
          <w:sz w:val="20"/>
          <w:szCs w:val="20"/>
          <w:rtl/>
        </w:rPr>
        <w:t>[ולא תליא דוקא בנישואין</w:t>
      </w:r>
      <w:r w:rsidRPr="00440CAB">
        <w:rPr>
          <w:rStyle w:val="ac"/>
          <w:rFonts w:ascii="Narkisim" w:hAnsi="Narkisim" w:cs="Narkisim"/>
          <w:sz w:val="20"/>
          <w:szCs w:val="20"/>
          <w:rtl/>
        </w:rPr>
        <w:footnoteReference w:id="3509"/>
      </w:r>
      <w:r w:rsidRPr="00440CAB">
        <w:rPr>
          <w:rFonts w:ascii="Narkisim" w:hAnsi="Narkisim" w:cs="Narkisim"/>
          <w:rtl/>
        </w:rPr>
        <w:t>]. [ומבואר מתוס' דבת כהן המאורסת לכהן, אף דל"ש סברת סמפון, אינה אוכלת מכח הבעל, דא"כ נימא דכבר אכלה מדין בעלה].</w:t>
      </w:r>
    </w:p>
    <w:p w14:paraId="5F409F85" w14:textId="77777777" w:rsidR="006074A5" w:rsidRPr="00440CAB" w:rsidRDefault="006074A5" w:rsidP="006074A5">
      <w:pPr>
        <w:pStyle w:val="2"/>
        <w:bidi/>
        <w:rPr>
          <w:rFonts w:ascii="Narkisim" w:hAnsi="Narkisim"/>
        </w:rPr>
      </w:pPr>
      <w:r w:rsidRPr="00440CAB">
        <w:rPr>
          <w:rFonts w:ascii="Narkisim" w:hAnsi="Narkisim"/>
          <w:rtl/>
        </w:rPr>
        <w:t>נשואה אסורה כבעולה</w:t>
      </w:r>
    </w:p>
    <w:p w14:paraId="4D34AC7F" w14:textId="77777777" w:rsidR="006074A5" w:rsidRPr="00440CAB" w:rsidRDefault="006074A5" w:rsidP="006074A5">
      <w:pPr>
        <w:bidi/>
        <w:rPr>
          <w:rFonts w:ascii="Narkisim" w:hAnsi="Narkisim" w:cs="Narkisim"/>
        </w:rPr>
      </w:pPr>
      <w:r w:rsidRPr="00440CAB">
        <w:rPr>
          <w:rFonts w:ascii="Narkisim" w:hAnsi="Narkisim" w:cs="Narkisim"/>
          <w:u w:val="single"/>
          <w:rtl/>
        </w:rPr>
        <w:t>בא"ד ונראה לר"י כפי' ר"ת וכו' דיש חופה, וחופה חשיבא כביאה לפסול לעולם וכו'.</w:t>
      </w:r>
      <w:r w:rsidRPr="00440CAB">
        <w:rPr>
          <w:rFonts w:ascii="Narkisim" w:hAnsi="Narkisim" w:cs="Narkisim"/>
          <w:rtl/>
        </w:rPr>
        <w:t xml:space="preserve"> בפשוטו כוונת התוס' דתקנו מדרבנן לפסול</w:t>
      </w:r>
      <w:r w:rsidRPr="00440CAB">
        <w:rPr>
          <w:rStyle w:val="ac"/>
          <w:rFonts w:ascii="Narkisim" w:hAnsi="Narkisim" w:cs="Narkisim"/>
          <w:rtl/>
        </w:rPr>
        <w:footnoteReference w:id="3510"/>
      </w:r>
      <w:r w:rsidRPr="00440CAB">
        <w:rPr>
          <w:rFonts w:ascii="Narkisim" w:hAnsi="Narkisim" w:cs="Narkisim"/>
          <w:rtl/>
        </w:rPr>
        <w:t xml:space="preserve">. וכ"כ </w:t>
      </w:r>
      <w:r w:rsidRPr="00440CAB">
        <w:rPr>
          <w:rFonts w:ascii="Narkisim" w:hAnsi="Narkisim" w:cs="Narkisim"/>
          <w:b/>
          <w:bCs/>
          <w:rtl/>
        </w:rPr>
        <w:t>תוס</w:t>
      </w:r>
      <w:r w:rsidRPr="00440CAB">
        <w:rPr>
          <w:rFonts w:ascii="Narkisim" w:hAnsi="Narkisim" w:cs="Narkisim"/>
          <w:rtl/>
        </w:rPr>
        <w:t>' (גיטין פה.) דנשאת לכהן פסולה בתרומה מדרבנן מדין משתמרת לביאה פסולה</w:t>
      </w:r>
      <w:r w:rsidRPr="00440CAB">
        <w:rPr>
          <w:rStyle w:val="ac"/>
          <w:rFonts w:ascii="Narkisim" w:hAnsi="Narkisim" w:cs="Narkisim"/>
          <w:rtl/>
        </w:rPr>
        <w:footnoteReference w:id="3511"/>
      </w:r>
      <w:r w:rsidRPr="00440CAB">
        <w:rPr>
          <w:rFonts w:ascii="Narkisim" w:hAnsi="Narkisim" w:cs="Narkisim"/>
          <w:rtl/>
        </w:rPr>
        <w:t>. וה</w:t>
      </w:r>
      <w:r w:rsidRPr="00440CAB">
        <w:rPr>
          <w:rFonts w:ascii="Narkisim" w:hAnsi="Narkisim" w:cs="Narkisim"/>
          <w:b/>
          <w:bCs/>
          <w:rtl/>
        </w:rPr>
        <w:t>שעה"מ</w:t>
      </w:r>
      <w:r w:rsidRPr="00440CAB">
        <w:rPr>
          <w:rFonts w:ascii="Narkisim" w:hAnsi="Narkisim" w:cs="Narkisim"/>
          <w:rtl/>
        </w:rPr>
        <w:t xml:space="preserve"> (חופת חתנים ה) הקשה דאם פסולה מדין משתמרת לביאה פסולה, א"כ כיון דגירשה שוב אינה משתמרת.</w:t>
      </w:r>
      <w:r w:rsidRPr="00440CAB">
        <w:rPr>
          <w:rFonts w:ascii="Narkisim" w:hAnsi="Narkisim" w:cs="Narkisim"/>
          <w:sz w:val="20"/>
          <w:szCs w:val="20"/>
          <w:rtl/>
        </w:rPr>
        <w:t xml:space="preserve"> וה</w:t>
      </w:r>
      <w:r w:rsidRPr="00440CAB">
        <w:rPr>
          <w:rFonts w:ascii="Narkisim" w:hAnsi="Narkisim" w:cs="Narkisim"/>
          <w:b/>
          <w:bCs/>
          <w:sz w:val="20"/>
          <w:szCs w:val="20"/>
          <w:rtl/>
        </w:rPr>
        <w:t>אחרונים</w:t>
      </w:r>
      <w:r w:rsidRPr="00440CAB">
        <w:rPr>
          <w:rFonts w:ascii="Narkisim" w:hAnsi="Narkisim" w:cs="Narkisim"/>
          <w:sz w:val="20"/>
          <w:szCs w:val="20"/>
          <w:rtl/>
        </w:rPr>
        <w:t xml:space="preserve"> תי' דתקנו מדרבנן דיחשב שהאישות פוסל</w:t>
      </w:r>
      <w:r w:rsidRPr="00440CAB">
        <w:rPr>
          <w:rStyle w:val="ac"/>
          <w:rFonts w:ascii="Narkisim" w:hAnsi="Narkisim" w:cs="Narkisim"/>
          <w:sz w:val="20"/>
          <w:szCs w:val="20"/>
          <w:rtl/>
        </w:rPr>
        <w:footnoteReference w:id="3512"/>
      </w:r>
      <w:r w:rsidRPr="00440CAB">
        <w:rPr>
          <w:rFonts w:ascii="Narkisim" w:hAnsi="Narkisim" w:cs="Narkisim"/>
          <w:rtl/>
        </w:rPr>
        <w:t>.</w:t>
      </w:r>
    </w:p>
    <w:p w14:paraId="78CA75A6"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 xml:space="preserve">שעה"מ </w:t>
      </w:r>
      <w:r w:rsidRPr="00440CAB">
        <w:rPr>
          <w:rFonts w:ascii="Narkisim" w:hAnsi="Narkisim"/>
          <w:rtl/>
        </w:rPr>
        <w:t>הביא דכוונת התוס' לחדש דעצם הנישואין נחשב כביאה לפסול מדאורייתא. והביא מדברי ה</w:t>
      </w:r>
      <w:r w:rsidRPr="00440CAB">
        <w:rPr>
          <w:rFonts w:ascii="Narkisim" w:hAnsi="Narkisim"/>
          <w:b/>
          <w:bCs/>
          <w:rtl/>
        </w:rPr>
        <w:t>תוס</w:t>
      </w:r>
      <w:r w:rsidRPr="00440CAB">
        <w:rPr>
          <w:rFonts w:ascii="Narkisim" w:hAnsi="Narkisim"/>
          <w:rtl/>
        </w:rPr>
        <w:t>' (כתובות מט.) דנישואין נחשב 'אשתני גופא'</w:t>
      </w:r>
      <w:r w:rsidRPr="00440CAB">
        <w:rPr>
          <w:rStyle w:val="ac"/>
          <w:rFonts w:ascii="Narkisim" w:hAnsi="Narkisim"/>
          <w:rtl/>
        </w:rPr>
        <w:footnoteReference w:id="3513"/>
      </w:r>
      <w:r w:rsidRPr="00440CAB">
        <w:rPr>
          <w:rFonts w:ascii="Narkisim" w:hAnsi="Narkisim"/>
          <w:rtl/>
        </w:rPr>
        <w:t>, דהוה כביאה מדאורייתא</w:t>
      </w:r>
      <w:r w:rsidRPr="00440CAB">
        <w:rPr>
          <w:rStyle w:val="ac"/>
          <w:rFonts w:ascii="Narkisim" w:hAnsi="Narkisim"/>
          <w:rtl/>
        </w:rPr>
        <w:footnoteReference w:id="3514"/>
      </w:r>
      <w:r w:rsidRPr="00440CAB">
        <w:rPr>
          <w:rFonts w:ascii="Narkisim" w:hAnsi="Narkisim"/>
          <w:rtl/>
        </w:rPr>
        <w:t>, ועי"ז נפסלת</w:t>
      </w:r>
      <w:r w:rsidRPr="00440CAB">
        <w:rPr>
          <w:rStyle w:val="ac"/>
          <w:rFonts w:ascii="Narkisim" w:hAnsi="Narkisim"/>
          <w:rtl/>
        </w:rPr>
        <w:footnoteReference w:id="3515"/>
      </w:r>
      <w:r w:rsidRPr="00440CAB">
        <w:rPr>
          <w:rFonts w:ascii="Narkisim" w:hAnsi="Narkisim"/>
          <w:rtl/>
        </w:rPr>
        <w:t xml:space="preserve">. </w:t>
      </w:r>
      <w:r w:rsidRPr="00440CAB">
        <w:rPr>
          <w:rFonts w:ascii="Narkisim" w:hAnsi="Narkisim"/>
          <w:sz w:val="20"/>
          <w:szCs w:val="20"/>
          <w:rtl/>
        </w:rPr>
        <w:t>וכ"מ דעת ה</w:t>
      </w:r>
      <w:r w:rsidRPr="00440CAB">
        <w:rPr>
          <w:rFonts w:ascii="Narkisim" w:hAnsi="Narkisim"/>
          <w:b/>
          <w:bCs/>
          <w:sz w:val="20"/>
          <w:szCs w:val="20"/>
          <w:rtl/>
        </w:rPr>
        <w:t>בי"ש</w:t>
      </w:r>
      <w:r w:rsidRPr="00440CAB">
        <w:rPr>
          <w:rFonts w:ascii="Narkisim" w:hAnsi="Narkisim"/>
          <w:sz w:val="20"/>
          <w:szCs w:val="20"/>
          <w:rtl/>
        </w:rPr>
        <w:t xml:space="preserve"> (ז לו בדעת הרמב"ם).</w:t>
      </w:r>
      <w:r w:rsidRPr="00440CAB">
        <w:rPr>
          <w:rFonts w:ascii="Narkisim" w:hAnsi="Narkisim"/>
          <w:rtl/>
        </w:rPr>
        <w:t xml:space="preserve"> וה</w:t>
      </w:r>
      <w:r w:rsidRPr="00440CAB">
        <w:rPr>
          <w:rFonts w:ascii="Narkisim" w:hAnsi="Narkisim"/>
          <w:b/>
          <w:bCs/>
          <w:rtl/>
        </w:rPr>
        <w:t>טעם המלך</w:t>
      </w:r>
      <w:r w:rsidRPr="00440CAB">
        <w:rPr>
          <w:rFonts w:ascii="Narkisim" w:hAnsi="Narkisim"/>
          <w:rtl/>
        </w:rPr>
        <w:t xml:space="preserve"> (לשעה"מ, ועוד אחרונים) תמהו דהיאך תחשב 'זונה' בלא ביאה</w:t>
      </w:r>
      <w:r w:rsidRPr="00440CAB">
        <w:rPr>
          <w:rStyle w:val="ac"/>
          <w:rFonts w:ascii="Narkisim" w:hAnsi="Narkisim"/>
          <w:rtl/>
        </w:rPr>
        <w:footnoteReference w:id="3516"/>
      </w:r>
      <w:r w:rsidRPr="00440CAB">
        <w:rPr>
          <w:rFonts w:ascii="Narkisim" w:hAnsi="Narkisim"/>
          <w:rtl/>
        </w:rPr>
        <w:t>.</w:t>
      </w:r>
    </w:p>
    <w:p w14:paraId="0A1068A1"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(נט.) כתב דפשיטא דאינו מתחללת ע"י נישואין אלא ע"י ביאה, דכתיב בקרא ולא יחלל זרעו, ב' חילולין. ומשמרת לביאה פסולה אפי' מנישואין אינו אלא מדרבנן. ומה דאיתא (במשנה נו:) מן הנישואין אסורות לעולם דסתם נישואין יש לה ביאה [ודוקא נבעלה, וכמ"ש </w:t>
      </w:r>
      <w:r w:rsidRPr="00440CAB">
        <w:rPr>
          <w:rFonts w:ascii="Narkisim" w:hAnsi="Narkisim"/>
          <w:b/>
          <w:bCs/>
          <w:rtl/>
        </w:rPr>
        <w:t>רש"י</w:t>
      </w:r>
      <w:r w:rsidRPr="00440CAB">
        <w:rPr>
          <w:rFonts w:ascii="Narkisim" w:hAnsi="Narkisim"/>
          <w:rtl/>
        </w:rPr>
        <w:t xml:space="preserve"> במשנה].</w:t>
      </w:r>
      <w:r w:rsidRPr="00440CAB">
        <w:rPr>
          <w:rFonts w:ascii="Narkisim" w:hAnsi="Narkisim"/>
          <w:i/>
          <w:iCs/>
          <w:rtl/>
        </w:rPr>
        <w:t xml:space="preserve"> ואת"ל</w:t>
      </w:r>
      <w:r w:rsidRPr="00440CAB">
        <w:rPr>
          <w:rFonts w:ascii="Narkisim" w:hAnsi="Narkisim"/>
          <w:rtl/>
        </w:rPr>
        <w:t xml:space="preserve"> דכל נכנסה לחופה אסורה לעולם היינו מדרבנן גזירה אטו נישואין גמורים בבעילה.</w:t>
      </w:r>
    </w:p>
    <w:p w14:paraId="328A9DC3" w14:textId="77777777" w:rsidR="006074A5" w:rsidRPr="00440CAB" w:rsidRDefault="006074A5" w:rsidP="006074A5">
      <w:pPr>
        <w:pStyle w:val="aa"/>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(איסו"ב יט ג) פסק דכל הנשואה בחזקת בעולה, אע"פ שנמצאת בתולה. וה"ה ציין המקור כתובות יא. גבי חיוב כתובה</w:t>
      </w:r>
      <w:r w:rsidRPr="00440CAB">
        <w:rPr>
          <w:rStyle w:val="ac"/>
          <w:rFonts w:ascii="Narkisim" w:hAnsi="Narkisim"/>
          <w:rtl/>
        </w:rPr>
        <w:footnoteReference w:id="3517"/>
      </w:r>
      <w:r w:rsidRPr="00440CAB">
        <w:rPr>
          <w:rFonts w:ascii="Narkisim" w:hAnsi="Narkisim"/>
          <w:rtl/>
        </w:rPr>
        <w:t>, וכ"ש לאיסור דאורייתא. וה</w:t>
      </w:r>
      <w:r w:rsidRPr="00440CAB">
        <w:rPr>
          <w:rFonts w:ascii="Narkisim" w:hAnsi="Narkisim"/>
          <w:b/>
          <w:bCs/>
          <w:rtl/>
        </w:rPr>
        <w:t>מגיה לט"ז</w:t>
      </w:r>
      <w:r w:rsidRPr="00440CAB">
        <w:rPr>
          <w:rFonts w:ascii="Narkisim" w:hAnsi="Narkisim"/>
          <w:rtl/>
        </w:rPr>
        <w:t xml:space="preserve"> נקט דכוונת הרמב"ם דהוה חומרא, דחיישינן שמא הערה בה ולאו אדעתא. אבל ה</w:t>
      </w:r>
      <w:r w:rsidRPr="00440CAB">
        <w:rPr>
          <w:rFonts w:ascii="Narkisim" w:hAnsi="Narkisim"/>
          <w:b/>
          <w:bCs/>
          <w:rtl/>
        </w:rPr>
        <w:t>בי"ש</w:t>
      </w:r>
      <w:r w:rsidRPr="00440CAB">
        <w:rPr>
          <w:rFonts w:ascii="Narkisim" w:hAnsi="Narkisim"/>
          <w:rtl/>
        </w:rPr>
        <w:t xml:space="preserve"> (ז לו) נקט דכוונת הרמב"ם מדאורייתא, והולד חלל.</w:t>
      </w:r>
    </w:p>
    <w:p w14:paraId="0AD3214D"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רשב"א</w:t>
      </w:r>
      <w:r w:rsidRPr="00440CAB">
        <w:rPr>
          <w:rFonts w:ascii="Narkisim" w:hAnsi="Narkisim" w:cs="Narkisim"/>
          <w:rtl/>
        </w:rPr>
        <w:t xml:space="preserve"> מביא </w:t>
      </w:r>
      <w:r w:rsidRPr="00440CAB">
        <w:rPr>
          <w:rFonts w:ascii="Narkisim" w:hAnsi="Narkisim" w:cs="Narkisim"/>
          <w:b/>
          <w:bCs/>
          <w:rtl/>
        </w:rPr>
        <w:t>תוספתא</w:t>
      </w:r>
      <w:r w:rsidRPr="00440CAB">
        <w:rPr>
          <w:rFonts w:ascii="Narkisim" w:hAnsi="Narkisim" w:cs="Narkisim"/>
          <w:rtl/>
        </w:rPr>
        <w:t xml:space="preserve"> אלמה לכה"ג וכו' שנכנסה לשם נישואין ולא הספיק לבועלה עד שמת כשירה לכהונה וכשירה לאכול בתרומה. בא עליה פסלה. ותי' דאתיא כשמואל [אבל ל</w:t>
      </w:r>
      <w:r w:rsidRPr="00440CAB">
        <w:rPr>
          <w:rFonts w:ascii="Narkisim" w:hAnsi="Narkisim" w:cs="Narkisim"/>
          <w:b/>
          <w:bCs/>
          <w:rtl/>
        </w:rPr>
        <w:t>רש"י</w:t>
      </w:r>
      <w:r w:rsidRPr="00440CAB">
        <w:rPr>
          <w:rFonts w:ascii="Narkisim" w:hAnsi="Narkisim" w:cs="Narkisim"/>
          <w:rtl/>
        </w:rPr>
        <w:t xml:space="preserve"> כשיש עדים שלא בעלה לא נפסלה].</w:t>
      </w:r>
    </w:p>
    <w:p w14:paraId="60B14A2F" w14:textId="77777777" w:rsidR="006074A5" w:rsidRPr="00440CAB" w:rsidRDefault="006074A5" w:rsidP="006074A5">
      <w:pPr>
        <w:pStyle w:val="2"/>
        <w:bidi/>
        <w:rPr>
          <w:rFonts w:ascii="Narkisim" w:hAnsi="Narkisim"/>
        </w:rPr>
      </w:pPr>
      <w:r w:rsidRPr="00440CAB">
        <w:rPr>
          <w:rFonts w:ascii="Narkisim" w:hAnsi="Narkisim"/>
          <w:rtl/>
        </w:rPr>
        <w:t>חופה בפחותה מבת ג'</w:t>
      </w:r>
    </w:p>
    <w:p w14:paraId="0C77C44B" w14:textId="77777777" w:rsidR="006074A5" w:rsidRPr="00440CAB" w:rsidRDefault="006074A5" w:rsidP="006074A5">
      <w:pPr>
        <w:bidi/>
        <w:rPr>
          <w:rFonts w:ascii="Narkisim" w:hAnsi="Narkisim" w:cs="Narkisim"/>
        </w:rPr>
      </w:pPr>
      <w:r w:rsidRPr="00440CAB">
        <w:rPr>
          <w:rFonts w:ascii="Narkisim" w:hAnsi="Narkisim" w:cs="Narkisim"/>
          <w:u w:val="single"/>
          <w:rtl/>
        </w:rPr>
        <w:t>אמר שמואל ומודה וכו' בפחותה מבת ג' ויום א', הואיל ואין לה ביאה אין לה חופה.</w:t>
      </w:r>
      <w:r w:rsidRPr="00440CAB">
        <w:rPr>
          <w:rFonts w:ascii="Narkisim" w:hAnsi="Narkisim" w:cs="Narkisim"/>
          <w:rtl/>
        </w:rPr>
        <w:t xml:space="preserve"> </w:t>
      </w:r>
      <w:r w:rsidRPr="00440CAB">
        <w:rPr>
          <w:rFonts w:ascii="Narkisim" w:hAnsi="Narkisim" w:cs="Narkisim"/>
          <w:b/>
          <w:bCs/>
          <w:rtl/>
        </w:rPr>
        <w:t>רש"י</w:t>
      </w:r>
      <w:r w:rsidRPr="00440CAB">
        <w:rPr>
          <w:rFonts w:ascii="Narkisim" w:hAnsi="Narkisim" w:cs="Narkisim"/>
          <w:rtl/>
        </w:rPr>
        <w:t xml:space="preserve"> (סנהדרין נה:) כתב דפחות מבת ג' אינה אוכלת בתרומה, דבעינן שתהא ראויה לביאה. וכל שאין לה ביאה אין לה חופה. </w:t>
      </w:r>
      <w:r w:rsidRPr="00440CAB">
        <w:rPr>
          <w:rFonts w:ascii="Narkisim" w:hAnsi="Narkisim" w:cs="Narkisim"/>
          <w:sz w:val="20"/>
          <w:szCs w:val="20"/>
          <w:rtl/>
        </w:rPr>
        <w:t xml:space="preserve">וכעי"ז כתב </w:t>
      </w:r>
      <w:r w:rsidRPr="00440CAB">
        <w:rPr>
          <w:rFonts w:ascii="Narkisim" w:hAnsi="Narkisim" w:cs="Narkisim"/>
          <w:b/>
          <w:bCs/>
          <w:sz w:val="20"/>
          <w:szCs w:val="20"/>
          <w:rtl/>
        </w:rPr>
        <w:t>רש"י</w:t>
      </w:r>
      <w:r w:rsidRPr="00440CAB">
        <w:rPr>
          <w:rFonts w:ascii="Narkisim" w:hAnsi="Narkisim" w:cs="Narkisim"/>
          <w:sz w:val="20"/>
          <w:szCs w:val="20"/>
          <w:rtl/>
        </w:rPr>
        <w:t xml:space="preserve"> (סנהדרין סט. וקידושין י:).</w:t>
      </w:r>
      <w:r w:rsidRPr="00440CAB">
        <w:rPr>
          <w:rFonts w:ascii="Narkisim" w:hAnsi="Narkisim" w:cs="Narkisim"/>
          <w:rtl/>
        </w:rPr>
        <w:t xml:space="preserve"> ו</w:t>
      </w:r>
      <w:r w:rsidRPr="00440CAB">
        <w:rPr>
          <w:rFonts w:ascii="Narkisim" w:hAnsi="Narkisim" w:cs="Narkisim"/>
          <w:b/>
          <w:bCs/>
          <w:rtl/>
        </w:rPr>
        <w:t>תוס</w:t>
      </w:r>
      <w:r w:rsidRPr="00440CAB">
        <w:rPr>
          <w:rFonts w:ascii="Narkisim" w:hAnsi="Narkisim" w:cs="Narkisim"/>
          <w:rtl/>
        </w:rPr>
        <w:t>' (לקמן עב. ד"ה מבחוץ) למד מכאן דטומטום כיון דאין ראוי לביאה ל"ש חופה.</w:t>
      </w:r>
    </w:p>
    <w:p w14:paraId="69B23534" w14:textId="77777777" w:rsidR="006074A5" w:rsidRPr="00440CAB" w:rsidRDefault="006074A5" w:rsidP="006074A5">
      <w:pPr>
        <w:pStyle w:val="a7"/>
        <w:bidi/>
        <w:rPr>
          <w:rFonts w:ascii="Narkisim" w:hAnsi="Narkisim"/>
        </w:rPr>
      </w:pPr>
      <w:r w:rsidRPr="00440CAB">
        <w:rPr>
          <w:rFonts w:ascii="Narkisim" w:hAnsi="Narkisim"/>
          <w:rtl/>
        </w:rPr>
        <w:lastRenderedPageBreak/>
        <w:t xml:space="preserve">אבל </w:t>
      </w:r>
      <w:r w:rsidRPr="00440CAB">
        <w:rPr>
          <w:rFonts w:ascii="Narkisim" w:hAnsi="Narkisim"/>
          <w:b/>
          <w:bCs/>
          <w:rtl/>
        </w:rPr>
        <w:t>רש"י</w:t>
      </w:r>
      <w:r w:rsidRPr="00440CAB">
        <w:rPr>
          <w:rFonts w:ascii="Narkisim" w:hAnsi="Narkisim"/>
          <w:rtl/>
        </w:rPr>
        <w:t xml:space="preserve"> (כאן) כת' דאין ביאתה פוסלתה, אין חופתה פוסלתה. משמע דחל קנין החופה</w:t>
      </w:r>
      <w:r w:rsidRPr="00440CAB">
        <w:rPr>
          <w:rStyle w:val="ac"/>
          <w:rFonts w:ascii="Narkisim" w:hAnsi="Narkisim"/>
          <w:rtl/>
        </w:rPr>
        <w:footnoteReference w:id="3518"/>
      </w:r>
      <w:r w:rsidRPr="00440CAB">
        <w:rPr>
          <w:rFonts w:ascii="Narkisim" w:hAnsi="Narkisim"/>
          <w:rtl/>
        </w:rPr>
        <w:t>, אלא דחופה זו אינה פוסלת</w:t>
      </w:r>
      <w:r w:rsidRPr="00440CAB">
        <w:rPr>
          <w:rStyle w:val="ac"/>
          <w:rFonts w:ascii="Narkisim" w:hAnsi="Narkisim"/>
          <w:rtl/>
        </w:rPr>
        <w:footnoteReference w:id="3519"/>
      </w:r>
      <w:r w:rsidRPr="00440CAB">
        <w:rPr>
          <w:rFonts w:ascii="Narkisim" w:hAnsi="Narkisim"/>
          <w:rtl/>
        </w:rPr>
        <w:t>. אמנם בהמשך דבריו פרש"י דהטעם דחופתה אינו פוסלה, דאין 'חשיבות חופה' אלא כשהיא קרובה לביאה. [משמע דהחופה לא קנה]. וצ"ע. [וה</w:t>
      </w:r>
      <w:r w:rsidRPr="00440CAB">
        <w:rPr>
          <w:rFonts w:ascii="Narkisim" w:hAnsi="Narkisim"/>
          <w:b/>
          <w:bCs/>
          <w:rtl/>
        </w:rPr>
        <w:t>משנ"ל</w:t>
      </w:r>
      <w:r w:rsidRPr="00440CAB">
        <w:rPr>
          <w:rFonts w:ascii="Narkisim" w:hAnsi="Narkisim"/>
          <w:rtl/>
        </w:rPr>
        <w:t xml:space="preserve"> (אישות ג יא) הביא צדדים אלו האם חלו נישואין בפחות מבת ג'].</w:t>
      </w:r>
    </w:p>
    <w:p w14:paraId="74B0026D" w14:textId="77777777" w:rsidR="006074A5" w:rsidRPr="00440CAB" w:rsidRDefault="006074A5" w:rsidP="006074A5">
      <w:pPr>
        <w:bidi/>
        <w:rPr>
          <w:rFonts w:ascii="Narkisim" w:hAnsi="Narkisim" w:cs="Narkisim"/>
        </w:rPr>
      </w:pPr>
      <w:r w:rsidRPr="00440CAB">
        <w:rPr>
          <w:rFonts w:ascii="Narkisim" w:hAnsi="Narkisim" w:cs="Narkisim"/>
          <w:u w:val="single"/>
          <w:rtl/>
        </w:rPr>
        <w:t>תוד"ה נשאת</w:t>
      </w:r>
      <w:r w:rsidRPr="00440CAB">
        <w:rPr>
          <w:rFonts w:ascii="Narkisim" w:hAnsi="Narkisim" w:cs="Narkisim"/>
          <w:rtl/>
        </w:rPr>
        <w:t>. כיון דלאו בת ביאה היא לא בדיק לה, ואיכא למיחש לסמפון וכו'. ה</w:t>
      </w:r>
      <w:r w:rsidRPr="00440CAB">
        <w:rPr>
          <w:rFonts w:ascii="Narkisim" w:hAnsi="Narkisim" w:cs="Narkisim"/>
          <w:b/>
          <w:bCs/>
          <w:rtl/>
        </w:rPr>
        <w:t>אחרונים</w:t>
      </w:r>
      <w:r w:rsidRPr="00440CAB">
        <w:rPr>
          <w:rFonts w:ascii="Narkisim" w:hAnsi="Narkisim" w:cs="Narkisim"/>
          <w:rtl/>
        </w:rPr>
        <w:t xml:space="preserve"> דייקו דהוה סברות לענין אכילת תרומה. ומשמע דחל חופה, ואפ"ה שייך בזה הנך גזירות בנשואה זו. וכ"כ ה</w:t>
      </w:r>
      <w:r w:rsidRPr="00440CAB">
        <w:rPr>
          <w:rFonts w:ascii="Narkisim" w:hAnsi="Narkisim" w:cs="Narkisim"/>
          <w:b/>
          <w:bCs/>
          <w:rtl/>
        </w:rPr>
        <w:t>משנ"ל</w:t>
      </w:r>
      <w:r w:rsidRPr="00440CAB">
        <w:rPr>
          <w:rFonts w:ascii="Narkisim" w:hAnsi="Narkisim" w:cs="Narkisim"/>
          <w:rtl/>
        </w:rPr>
        <w:t xml:space="preserve"> (הנ"ל), וכת' דאין לפרש כוונת התוס' דלא חל חופה, ואפ"ה ס"ד דתוס' דנכנסה לביתו ותאכל בתרומה, דהא </w:t>
      </w:r>
      <w:r w:rsidRPr="00440CAB">
        <w:rPr>
          <w:rFonts w:ascii="Narkisim" w:hAnsi="Narkisim" w:cs="Narkisim"/>
          <w:b/>
          <w:bCs/>
          <w:rtl/>
        </w:rPr>
        <w:t>תוס</w:t>
      </w:r>
      <w:r w:rsidRPr="00440CAB">
        <w:rPr>
          <w:rFonts w:ascii="Narkisim" w:hAnsi="Narkisim" w:cs="Narkisim"/>
          <w:rtl/>
        </w:rPr>
        <w:t>' (קידושין מה: ד"ה ונמצאת) כת' דכל היכא דאינה נשואה אמרי' לא פלוג, ואינה אוכלת. וה</w:t>
      </w:r>
      <w:r w:rsidRPr="00440CAB">
        <w:rPr>
          <w:rFonts w:ascii="Narkisim" w:hAnsi="Narkisim" w:cs="Narkisim"/>
          <w:b/>
          <w:bCs/>
          <w:rtl/>
        </w:rPr>
        <w:t>שעה"מ</w:t>
      </w:r>
      <w:r w:rsidRPr="00440CAB">
        <w:rPr>
          <w:rFonts w:ascii="Narkisim" w:hAnsi="Narkisim" w:cs="Narkisim"/>
          <w:rtl/>
        </w:rPr>
        <w:t xml:space="preserve"> (קו' ח"ח ז) האריך לחלוק דתוס' דידן (ע' </w:t>
      </w:r>
      <w:r w:rsidRPr="00440CAB">
        <w:rPr>
          <w:rFonts w:ascii="Narkisim" w:hAnsi="Narkisim" w:cs="Narkisim"/>
          <w:b/>
          <w:bCs/>
          <w:rtl/>
        </w:rPr>
        <w:t>תוס'</w:t>
      </w:r>
      <w:r w:rsidRPr="00440CAB">
        <w:rPr>
          <w:rFonts w:ascii="Narkisim" w:hAnsi="Narkisim" w:cs="Narkisim"/>
          <w:rtl/>
        </w:rPr>
        <w:t xml:space="preserve"> נח. ד"ה דהני) דיתכן שאוכלת בתרומה ואף דלא חל נישואין.</w:t>
      </w:r>
    </w:p>
    <w:p w14:paraId="1F59F713" w14:textId="77777777" w:rsidR="006074A5" w:rsidRPr="00440CAB" w:rsidRDefault="006074A5" w:rsidP="006074A5">
      <w:pPr>
        <w:pStyle w:val="aa"/>
        <w:bidi/>
        <w:rPr>
          <w:rFonts w:ascii="Narkisim" w:hAnsi="Narkisim"/>
        </w:rPr>
      </w:pPr>
      <w:r w:rsidRPr="00440CAB">
        <w:rPr>
          <w:rFonts w:ascii="Narkisim" w:hAnsi="Narkisim"/>
          <w:rtl/>
        </w:rPr>
        <w:t>ובגמ' (קידושין י:) אי' דנפק"מ בין טעם דשמא תשקה לטעם דסמפון, קיבל מסר והלך. [ולא אמרי' לא פלוג בארוסה]. וה</w:t>
      </w:r>
      <w:r w:rsidRPr="00440CAB">
        <w:rPr>
          <w:rFonts w:ascii="Narkisim" w:hAnsi="Narkisim"/>
          <w:b/>
          <w:bCs/>
          <w:rtl/>
        </w:rPr>
        <w:t>אחרונים</w:t>
      </w:r>
      <w:r w:rsidRPr="00440CAB">
        <w:rPr>
          <w:rFonts w:ascii="Narkisim" w:hAnsi="Narkisim"/>
          <w:rtl/>
        </w:rPr>
        <w:t xml:space="preserve"> ביארו דה"מ למשנה ראשונה דבהגעת זמן אוכלת בתרומה. אבל משנה אחרונה פליגי בזה</w:t>
      </w:r>
      <w:r w:rsidRPr="00440CAB">
        <w:rPr>
          <w:rStyle w:val="ac"/>
          <w:rFonts w:ascii="Narkisim" w:hAnsi="Narkisim"/>
          <w:rtl/>
        </w:rPr>
        <w:footnoteReference w:id="3520"/>
      </w:r>
      <w:r w:rsidRPr="00440CAB">
        <w:rPr>
          <w:rFonts w:ascii="Narkisim" w:hAnsi="Narkisim"/>
          <w:rtl/>
        </w:rPr>
        <w:t xml:space="preserve">. וכ"כ </w:t>
      </w:r>
      <w:r w:rsidRPr="00440CAB">
        <w:rPr>
          <w:rFonts w:ascii="Narkisim" w:hAnsi="Narkisim"/>
          <w:b/>
          <w:bCs/>
          <w:rtl/>
        </w:rPr>
        <w:t>תוס</w:t>
      </w:r>
      <w:r w:rsidRPr="00440CAB">
        <w:rPr>
          <w:rFonts w:ascii="Narkisim" w:hAnsi="Narkisim"/>
          <w:rtl/>
        </w:rPr>
        <w:t>' (שם יא.) דלל"ב בכל הנך לא אכלה משום לא פלוג.</w:t>
      </w:r>
    </w:p>
    <w:p w14:paraId="596867E5" w14:textId="77777777" w:rsidR="006074A5" w:rsidRPr="00440CAB" w:rsidRDefault="006074A5" w:rsidP="006074A5">
      <w:pPr>
        <w:bidi/>
        <w:rPr>
          <w:rFonts w:ascii="Narkisim" w:hAnsi="Narkisim" w:cs="Narkisim"/>
        </w:rPr>
      </w:pPr>
      <w:r w:rsidRPr="00440CAB">
        <w:rPr>
          <w:rFonts w:ascii="Narkisim" w:hAnsi="Narkisim" w:cs="Narkisim"/>
          <w:u w:val="single"/>
          <w:rtl/>
        </w:rPr>
        <w:t>רש"י ד"ה אף.</w:t>
      </w:r>
      <w:r w:rsidRPr="00440CAB">
        <w:rPr>
          <w:rFonts w:ascii="Narkisim" w:hAnsi="Narkisim" w:cs="Narkisim"/>
          <w:rtl/>
        </w:rPr>
        <w:t xml:space="preserve"> דאין ביאתה פוסלתה וכו'. משמע דפשיטא דאילו אין ביאה אין חופה, וסייעתא לשמואל בהא דאינה בת ביאה</w:t>
      </w:r>
      <w:r w:rsidRPr="00440CAB">
        <w:rPr>
          <w:rStyle w:val="ac"/>
          <w:rFonts w:ascii="Narkisim" w:hAnsi="Narkisim" w:cs="Narkisim"/>
          <w:rtl/>
        </w:rPr>
        <w:footnoteReference w:id="3521"/>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 xml:space="preserve">רשב"א </w:t>
      </w:r>
      <w:r w:rsidRPr="00440CAB">
        <w:rPr>
          <w:rFonts w:ascii="Narkisim" w:hAnsi="Narkisim" w:cs="Narkisim"/>
          <w:sz w:val="20"/>
          <w:szCs w:val="20"/>
          <w:rtl/>
        </w:rPr>
        <w:t>כת'</w:t>
      </w:r>
      <w:r w:rsidRPr="00440CAB">
        <w:rPr>
          <w:rFonts w:ascii="Narkisim" w:hAnsi="Narkisim" w:cs="Narkisim"/>
          <w:b/>
          <w:bCs/>
          <w:sz w:val="20"/>
          <w:szCs w:val="20"/>
          <w:rtl/>
        </w:rPr>
        <w:t xml:space="preserve"> </w:t>
      </w:r>
      <w:r w:rsidRPr="00440CAB">
        <w:rPr>
          <w:rFonts w:ascii="Narkisim" w:hAnsi="Narkisim" w:cs="Narkisim"/>
          <w:sz w:val="20"/>
          <w:szCs w:val="20"/>
          <w:rtl/>
        </w:rPr>
        <w:t>דאינה ביאה ליפסל, דס"ד דשמיה ביאה לגבי ליפסל, ואף דלגבי לידון וליענש אינה ביאה</w:t>
      </w:r>
      <w:r w:rsidRPr="00440CAB">
        <w:rPr>
          <w:rStyle w:val="ac"/>
          <w:rFonts w:ascii="Narkisim" w:hAnsi="Narkisim" w:cs="Narkisim"/>
          <w:sz w:val="20"/>
          <w:szCs w:val="20"/>
          <w:rtl/>
        </w:rPr>
        <w:footnoteReference w:id="3522"/>
      </w:r>
      <w:r w:rsidRPr="00440CAB">
        <w:rPr>
          <w:rFonts w:ascii="Narkisim" w:hAnsi="Narkisim" w:cs="Narkisim"/>
          <w:sz w:val="20"/>
          <w:szCs w:val="20"/>
          <w:rtl/>
        </w:rPr>
        <w:t>].</w:t>
      </w:r>
      <w:r w:rsidRPr="00440CAB">
        <w:rPr>
          <w:rFonts w:ascii="Narkisim" w:hAnsi="Narkisim" w:cs="Narkisim"/>
          <w:rtl/>
        </w:rPr>
        <w:t xml:space="preserve"> אבל ה</w:t>
      </w:r>
      <w:r w:rsidRPr="00440CAB">
        <w:rPr>
          <w:rFonts w:ascii="Narkisim" w:hAnsi="Narkisim" w:cs="Narkisim"/>
          <w:b/>
          <w:bCs/>
          <w:rtl/>
        </w:rPr>
        <w:t>רמב"ן</w:t>
      </w:r>
      <w:r w:rsidRPr="00440CAB">
        <w:rPr>
          <w:rFonts w:ascii="Narkisim" w:hAnsi="Narkisim" w:cs="Narkisim"/>
          <w:rtl/>
        </w:rPr>
        <w:t xml:space="preserve"> דייק דמלשון שמואל משמע הואיל ואין לה ביאה. דפשיט"ל דאין לה ביאה, וחידש דחופה תלי בביאה. וה</w:t>
      </w:r>
      <w:r w:rsidRPr="00440CAB">
        <w:rPr>
          <w:rFonts w:ascii="Narkisim" w:hAnsi="Narkisim" w:cs="Narkisim"/>
          <w:b/>
          <w:bCs/>
          <w:rtl/>
        </w:rPr>
        <w:t>רמב"ן</w:t>
      </w:r>
      <w:r w:rsidRPr="00440CAB">
        <w:rPr>
          <w:rFonts w:ascii="Narkisim" w:hAnsi="Narkisim" w:cs="Narkisim"/>
          <w:rtl/>
        </w:rPr>
        <w:t xml:space="preserve"> פי' דסייע לשמואל מהא דאינה אוכלת בתרומה, וע"כ דאינה נישואין.</w:t>
      </w:r>
    </w:p>
    <w:p w14:paraId="1566ADC9" w14:textId="77777777" w:rsidR="006074A5" w:rsidRPr="00440CAB" w:rsidRDefault="006074A5" w:rsidP="006074A5">
      <w:pPr>
        <w:pStyle w:val="aa"/>
        <w:bidi/>
        <w:rPr>
          <w:rFonts w:ascii="Narkisim" w:hAnsi="Narkisim"/>
        </w:rPr>
      </w:pPr>
      <w:r w:rsidRPr="00440CAB">
        <w:rPr>
          <w:rFonts w:ascii="Narkisim" w:hAnsi="Narkisim"/>
          <w:u w:val="single"/>
          <w:rtl/>
        </w:rPr>
        <w:t>תוד"ה וחייבין.</w:t>
      </w:r>
      <w:r w:rsidRPr="00440CAB">
        <w:rPr>
          <w:rFonts w:ascii="Narkisim" w:hAnsi="Narkisim"/>
          <w:rtl/>
        </w:rPr>
        <w:t xml:space="preserve"> וקמ"ל דקנאה קנין גמור מדאורייתא ולא הוי כביאת בן ט'. [דעת </w:t>
      </w:r>
      <w:r w:rsidRPr="00440CAB">
        <w:rPr>
          <w:rFonts w:ascii="Narkisim" w:hAnsi="Narkisim"/>
          <w:b/>
          <w:bCs/>
          <w:rtl/>
        </w:rPr>
        <w:t>תוס'</w:t>
      </w:r>
      <w:r w:rsidRPr="00440CAB">
        <w:rPr>
          <w:rFonts w:ascii="Narkisim" w:hAnsi="Narkisim"/>
          <w:rtl/>
        </w:rPr>
        <w:t xml:space="preserve"> דנתמעט דבן ט' לא קנה מדאורייתא. וכשיטתם (קידושין יט. וכ"מ הו' לעיל נא:) דאינו אשת איש</w:t>
      </w:r>
      <w:r w:rsidRPr="00440CAB">
        <w:rPr>
          <w:rStyle w:val="ac"/>
          <w:rFonts w:ascii="Narkisim" w:hAnsi="Narkisim"/>
          <w:rtl/>
        </w:rPr>
        <w:footnoteReference w:id="3523"/>
      </w:r>
      <w:r w:rsidRPr="00440CAB">
        <w:rPr>
          <w:rFonts w:ascii="Narkisim" w:hAnsi="Narkisim"/>
          <w:rtl/>
        </w:rPr>
        <w:t>]. וס"ד דאף יבמה קטנה ל"ק מדאורייתא. וצ"ב מה ס"ד דאף קטנה תתמעט, דהרי יש אישות לקטנה, ולא בעינן דעת האשה לביאת יבום.</w:t>
      </w:r>
    </w:p>
    <w:p w14:paraId="1F25B996" w14:textId="77777777" w:rsidR="006074A5" w:rsidRPr="00440CAB" w:rsidRDefault="006074A5" w:rsidP="006074A5">
      <w:pPr>
        <w:pStyle w:val="aa"/>
        <w:bidi/>
        <w:rPr>
          <w:rFonts w:ascii="Narkisim" w:hAnsi="Narkisim"/>
        </w:rPr>
      </w:pPr>
      <w:r w:rsidRPr="00440CAB">
        <w:rPr>
          <w:rFonts w:ascii="Narkisim" w:hAnsi="Narkisim"/>
          <w:u w:val="single"/>
          <w:rtl/>
        </w:rPr>
        <w:t>בא"ד וה"נ אדעתא דהכי לא ייבם.</w:t>
      </w:r>
      <w:r w:rsidRPr="00440CAB">
        <w:rPr>
          <w:rFonts w:ascii="Narkisim" w:hAnsi="Narkisim"/>
          <w:rtl/>
        </w:rPr>
        <w:t xml:space="preserve"> צ"ב דיבום לא תליא בדעתו. וה</w:t>
      </w:r>
      <w:r w:rsidRPr="00440CAB">
        <w:rPr>
          <w:rFonts w:ascii="Narkisim" w:hAnsi="Narkisim"/>
          <w:b/>
          <w:bCs/>
          <w:rtl/>
        </w:rPr>
        <w:t>רש"ש</w:t>
      </w:r>
      <w:r w:rsidRPr="00440CAB">
        <w:rPr>
          <w:rFonts w:ascii="Narkisim" w:hAnsi="Narkisim"/>
          <w:rtl/>
        </w:rPr>
        <w:t xml:space="preserve"> כת' דכוונת התוס' דאם ייבם אדעתא דהכי קנאה לשם קידושין, כדאמרי' (לעיל נב:) דכיון דמכוון לקנות וכו'</w:t>
      </w:r>
      <w:r w:rsidRPr="00440CAB">
        <w:rPr>
          <w:rStyle w:val="ac"/>
          <w:rFonts w:ascii="Narkisim" w:hAnsi="Narkisim"/>
          <w:rtl/>
        </w:rPr>
        <w:footnoteReference w:id="3524"/>
      </w:r>
      <w:r w:rsidRPr="00440CAB">
        <w:rPr>
          <w:rFonts w:ascii="Narkisim" w:hAnsi="Narkisim"/>
          <w:rtl/>
        </w:rPr>
        <w:t>.</w:t>
      </w:r>
    </w:p>
    <w:p w14:paraId="054D6080" w14:textId="77777777" w:rsidR="006074A5" w:rsidRPr="00440CAB" w:rsidRDefault="006074A5" w:rsidP="006074A5">
      <w:pPr>
        <w:pStyle w:val="3"/>
        <w:bidi/>
        <w:rPr>
          <w:rFonts w:ascii="Narkisim" w:hAnsi="Narkisim"/>
        </w:rPr>
      </w:pPr>
      <w:r w:rsidRPr="00440CAB">
        <w:rPr>
          <w:rFonts w:ascii="Narkisim" w:hAnsi="Narkisim"/>
          <w:rtl/>
        </w:rPr>
        <w:t>דף נח.</w:t>
      </w:r>
    </w:p>
    <w:p w14:paraId="047BBA0A" w14:textId="77777777" w:rsidR="006074A5" w:rsidRPr="00440CAB" w:rsidRDefault="006074A5" w:rsidP="006074A5">
      <w:pPr>
        <w:bidi/>
        <w:rPr>
          <w:rFonts w:ascii="Narkisim" w:hAnsi="Narkisim" w:cs="Narkisim"/>
        </w:rPr>
      </w:pPr>
      <w:r w:rsidRPr="00440CAB">
        <w:rPr>
          <w:rFonts w:ascii="Narkisim" w:hAnsi="Narkisim" w:cs="Narkisim"/>
          <w:u w:val="single"/>
          <w:rtl/>
        </w:rPr>
        <w:t>תוד"ה דהני.</w:t>
      </w:r>
      <w:r w:rsidRPr="00440CAB">
        <w:rPr>
          <w:rFonts w:ascii="Narkisim" w:hAnsi="Narkisim" w:cs="Narkisim"/>
          <w:rtl/>
        </w:rPr>
        <w:t xml:space="preserve"> וי"ל דלא גרע מהגעת זמן וכו' ואוכלת תרומה מחיים. מבואר דאף דאינה נשואה, מ"מ חל גדר הגעת זמן [לענין מזונות ותרומה], ואף דאסורה עליו. וה</w:t>
      </w:r>
      <w:r w:rsidRPr="00440CAB">
        <w:rPr>
          <w:rFonts w:ascii="Narkisim" w:hAnsi="Narkisim" w:cs="Narkisim"/>
          <w:b/>
          <w:bCs/>
          <w:rtl/>
        </w:rPr>
        <w:t>מהרש"א</w:t>
      </w:r>
      <w:r w:rsidRPr="00440CAB">
        <w:rPr>
          <w:rFonts w:ascii="Narkisim" w:hAnsi="Narkisim" w:cs="Narkisim"/>
          <w:rtl/>
        </w:rPr>
        <w:t xml:space="preserve"> הק' ד</w:t>
      </w:r>
      <w:r w:rsidRPr="00440CAB">
        <w:rPr>
          <w:rFonts w:ascii="Narkisim" w:hAnsi="Narkisim" w:cs="Narkisim"/>
          <w:b/>
          <w:bCs/>
          <w:rtl/>
        </w:rPr>
        <w:t>תוס'</w:t>
      </w:r>
      <w:r w:rsidRPr="00440CAB">
        <w:rPr>
          <w:rFonts w:ascii="Narkisim" w:hAnsi="Narkisim" w:cs="Narkisim"/>
          <w:rtl/>
        </w:rPr>
        <w:t xml:space="preserve"> (לעיל נו: ד"ה מן) כת' דבפסולות אינה אוכלת מחמת הגעת זמן. והמהרש"א תי' דהכא שהכניסה לחופה מש"ה ליכא חשש סמפון, ואף שאינה אוכלת משלו.</w:t>
      </w:r>
      <w:r w:rsidRPr="00440CAB">
        <w:rPr>
          <w:rFonts w:ascii="Narkisim" w:hAnsi="Narkisim" w:cs="Narkisim"/>
          <w:sz w:val="20"/>
          <w:szCs w:val="20"/>
          <w:rtl/>
        </w:rPr>
        <w:t xml:space="preserve"> [משא"כ בהגעת זמן, דכיון דאינה אוכלת משלו בפועל, מחמת הקנס, הוה כמי שלא הגיע הזמן. אבל אחרי חופה נחשב ברשותו אף דלא חל החופה, ואינו חייב במזונות בפועל. וע' קרני ראם].</w:t>
      </w:r>
    </w:p>
    <w:p w14:paraId="199CB334"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שעה"מ</w:t>
      </w:r>
      <w:r w:rsidRPr="00440CAB">
        <w:rPr>
          <w:rFonts w:ascii="Narkisim" w:hAnsi="Narkisim"/>
          <w:rtl/>
        </w:rPr>
        <w:t xml:space="preserve"> (קו' ח"ח ז) הביא דמבואר דהיכא דל"ש טעם הגזירה אוכלת בתרומה, אף דהוה ארוסה. ולא אמרי' לא פלוג. [ודלא כמ"ש ה</w:t>
      </w:r>
      <w:r w:rsidRPr="00440CAB">
        <w:rPr>
          <w:rFonts w:ascii="Narkisim" w:hAnsi="Narkisim"/>
          <w:b/>
          <w:bCs/>
          <w:rtl/>
        </w:rPr>
        <w:t>משנ"ל</w:t>
      </w:r>
      <w:r w:rsidRPr="00440CAB">
        <w:rPr>
          <w:rFonts w:ascii="Narkisim" w:hAnsi="Narkisim"/>
          <w:rtl/>
        </w:rPr>
        <w:t xml:space="preserve"> (הו' לעיל)</w:t>
      </w:r>
      <w:r w:rsidRPr="00440CAB">
        <w:rPr>
          <w:rFonts w:ascii="Narkisim" w:hAnsi="Narkisim"/>
          <w:b/>
          <w:bCs/>
          <w:rtl/>
        </w:rPr>
        <w:t xml:space="preserve"> </w:t>
      </w:r>
      <w:r w:rsidRPr="00440CAB">
        <w:rPr>
          <w:rFonts w:ascii="Narkisim" w:hAnsi="Narkisim"/>
          <w:rtl/>
        </w:rPr>
        <w:t>ע"פ תוס' (קידושין מה) דאמרי' לא פלוג, וארוסה אינה אוכלת בתרומה</w:t>
      </w:r>
      <w:r w:rsidRPr="00440CAB">
        <w:rPr>
          <w:rStyle w:val="ac"/>
          <w:rFonts w:ascii="Narkisim" w:hAnsi="Narkisim"/>
          <w:rtl/>
        </w:rPr>
        <w:footnoteReference w:id="3525"/>
      </w:r>
      <w:r w:rsidRPr="00440CAB">
        <w:rPr>
          <w:rFonts w:ascii="Narkisim" w:hAnsi="Narkisim"/>
          <w:rtl/>
        </w:rPr>
        <w:t>]. וב</w:t>
      </w:r>
      <w:r w:rsidRPr="00440CAB">
        <w:rPr>
          <w:rFonts w:ascii="Narkisim" w:hAnsi="Narkisim"/>
          <w:b/>
          <w:bCs/>
          <w:rtl/>
        </w:rPr>
        <w:t>חי' ר' ראובן</w:t>
      </w:r>
      <w:r w:rsidRPr="00440CAB">
        <w:rPr>
          <w:rFonts w:ascii="Narkisim" w:hAnsi="Narkisim"/>
          <w:rtl/>
        </w:rPr>
        <w:t xml:space="preserve"> (לט) תי' דהכא הוה גדר חיוב 'מזונות' דאישות, ולא רק חיוב ממון בעלמא. ובחיוב מזונות דנשואה ל"ש לא פלוג בארוסה. </w:t>
      </w:r>
      <w:r w:rsidRPr="00440CAB">
        <w:rPr>
          <w:rFonts w:ascii="Narkisim" w:hAnsi="Narkisim"/>
          <w:sz w:val="20"/>
          <w:szCs w:val="20"/>
          <w:rtl/>
        </w:rPr>
        <w:lastRenderedPageBreak/>
        <w:t>[וה</w:t>
      </w:r>
      <w:r w:rsidRPr="00440CAB">
        <w:rPr>
          <w:rFonts w:ascii="Narkisim" w:hAnsi="Narkisim"/>
          <w:b/>
          <w:bCs/>
          <w:sz w:val="20"/>
          <w:szCs w:val="20"/>
          <w:rtl/>
        </w:rPr>
        <w:t>אחרונים</w:t>
      </w:r>
      <w:r w:rsidRPr="00440CAB">
        <w:rPr>
          <w:rFonts w:ascii="Narkisim" w:hAnsi="Narkisim"/>
          <w:sz w:val="20"/>
          <w:szCs w:val="20"/>
          <w:rtl/>
        </w:rPr>
        <w:t xml:space="preserve"> האריכו בגדר הזה, ונפק"מ לענין כשנאנס מלכונסה. ע' ריש כתובות].</w:t>
      </w:r>
    </w:p>
    <w:p w14:paraId="2B9393C1" w14:textId="77777777" w:rsidR="006074A5" w:rsidRPr="00440CAB" w:rsidRDefault="006074A5" w:rsidP="006074A5">
      <w:pPr>
        <w:pStyle w:val="aa"/>
        <w:bidi/>
        <w:rPr>
          <w:rFonts w:ascii="Narkisim" w:hAnsi="Narkisim"/>
        </w:rPr>
      </w:pPr>
      <w:r w:rsidRPr="00440CAB">
        <w:rPr>
          <w:rFonts w:ascii="Narkisim" w:hAnsi="Narkisim"/>
          <w:u w:val="single"/>
          <w:rtl/>
        </w:rPr>
        <w:t>בא"ד אוכלות משלו לאחר מיתה.</w:t>
      </w:r>
      <w:r w:rsidRPr="00440CAB">
        <w:rPr>
          <w:rFonts w:ascii="Narkisim" w:hAnsi="Narkisim"/>
          <w:rtl/>
        </w:rPr>
        <w:t xml:space="preserve"> [דכיון דחל גדר הגעת זמן מחיים, ממילא חייב לאחר מיתה. וה</w:t>
      </w:r>
      <w:r w:rsidRPr="00440CAB">
        <w:rPr>
          <w:rFonts w:ascii="Narkisim" w:hAnsi="Narkisim"/>
          <w:b/>
          <w:bCs/>
          <w:rtl/>
        </w:rPr>
        <w:t>אחרונים</w:t>
      </w:r>
      <w:r w:rsidRPr="00440CAB">
        <w:rPr>
          <w:rFonts w:ascii="Narkisim" w:hAnsi="Narkisim"/>
          <w:rtl/>
        </w:rPr>
        <w:t xml:space="preserve"> העירו דלצד דחיוב הגעת זמן הוה קנס כדי שיכנוס, א"כ אמאי יתקנו לאחר מיתה. וצ"ל דכיון דנתחייב כבר לא פקע חיובו כשנאנס, כדמבואר בריש כתובות. ולצד דגדר התקנה דחל עי"ז מחיובי האישות ניחא טפי].</w:t>
      </w:r>
    </w:p>
    <w:p w14:paraId="57981FFD" w14:textId="77777777" w:rsidR="006074A5" w:rsidRPr="00440CAB" w:rsidRDefault="006074A5" w:rsidP="006074A5">
      <w:pPr>
        <w:pStyle w:val="a8"/>
        <w:bidi/>
        <w:rPr>
          <w:rFonts w:ascii="Narkisim" w:hAnsi="Narkisim"/>
        </w:rPr>
      </w:pPr>
      <w:r w:rsidRPr="00440CAB">
        <w:rPr>
          <w:rFonts w:ascii="Narkisim" w:hAnsi="Narkisim"/>
          <w:rtl/>
        </w:rPr>
        <w:t>ו</w:t>
      </w:r>
      <w:r w:rsidRPr="00440CAB">
        <w:rPr>
          <w:rFonts w:ascii="Narkisim" w:hAnsi="Narkisim"/>
          <w:b/>
          <w:bCs/>
          <w:rtl/>
        </w:rPr>
        <w:t>רע"א</w:t>
      </w:r>
      <w:r w:rsidRPr="00440CAB">
        <w:rPr>
          <w:rFonts w:ascii="Narkisim" w:hAnsi="Narkisim"/>
          <w:rtl/>
        </w:rPr>
        <w:t xml:space="preserve"> (בשו"ע נו ג) הביא דה</w:t>
      </w:r>
      <w:r w:rsidRPr="00440CAB">
        <w:rPr>
          <w:rFonts w:ascii="Narkisim" w:hAnsi="Narkisim"/>
          <w:b/>
          <w:bCs/>
          <w:rtl/>
        </w:rPr>
        <w:t>ר"ן</w:t>
      </w:r>
      <w:r w:rsidRPr="00440CAB">
        <w:rPr>
          <w:rFonts w:ascii="Narkisim" w:hAnsi="Narkisim"/>
          <w:rtl/>
        </w:rPr>
        <w:t xml:space="preserve"> (כתובות נח) חולק וס"ל דכיון דלא אכלה משלו מחיים, לא אכלה לאחר מיתה. אבל דעת התוס' דאף דמחיים קנסו שלא יתחייב מזונות, מ"מ חל גדר הגעת זמן, ולאחר מיתה מתחייב במזונות. אך </w:t>
      </w:r>
      <w:r w:rsidRPr="00440CAB">
        <w:rPr>
          <w:rFonts w:ascii="Narkisim" w:hAnsi="Narkisim"/>
          <w:b/>
          <w:bCs/>
          <w:rtl/>
        </w:rPr>
        <w:t>רע"א</w:t>
      </w:r>
      <w:r w:rsidRPr="00440CAB">
        <w:rPr>
          <w:rFonts w:ascii="Narkisim" w:hAnsi="Narkisim"/>
          <w:rtl/>
        </w:rPr>
        <w:t xml:space="preserve"> הקשה דלענין תרומה ל"ש סברא זו דלא אכלה מחיים, ואמאי יתחייב לאחר מיתה.</w:t>
      </w:r>
    </w:p>
    <w:p w14:paraId="021014B1" w14:textId="77777777" w:rsidR="006074A5" w:rsidRPr="00440CAB" w:rsidRDefault="006074A5" w:rsidP="006074A5">
      <w:pPr>
        <w:pStyle w:val="a8"/>
        <w:bidi/>
        <w:rPr>
          <w:rFonts w:ascii="Narkisim" w:hAnsi="Narkisim"/>
        </w:rPr>
      </w:pPr>
      <w:r w:rsidRPr="00440CAB">
        <w:rPr>
          <w:rFonts w:ascii="Narkisim" w:hAnsi="Narkisim"/>
          <w:rtl/>
        </w:rPr>
        <w:t xml:space="preserve">ועוה"ק </w:t>
      </w:r>
      <w:r w:rsidRPr="00440CAB">
        <w:rPr>
          <w:rFonts w:ascii="Narkisim" w:hAnsi="Narkisim"/>
          <w:b/>
          <w:bCs/>
          <w:rtl/>
        </w:rPr>
        <w:t>רע"א</w:t>
      </w:r>
      <w:r w:rsidRPr="00440CAB">
        <w:rPr>
          <w:rFonts w:ascii="Narkisim" w:hAnsi="Narkisim"/>
          <w:rtl/>
        </w:rPr>
        <w:t xml:space="preserve"> דבפסולות ל"ש תביעה לינשא, א"כ מה שייך לומר דהגיע הזמן.</w:t>
      </w:r>
    </w:p>
    <w:p w14:paraId="3DF66D5E" w14:textId="77777777" w:rsidR="006074A5" w:rsidRPr="00440CAB" w:rsidRDefault="006074A5" w:rsidP="006074A5">
      <w:pPr>
        <w:pStyle w:val="aa"/>
        <w:bidi/>
        <w:rPr>
          <w:rFonts w:ascii="Narkisim" w:hAnsi="Narkisim"/>
        </w:rPr>
      </w:pPr>
      <w:r w:rsidRPr="00440CAB">
        <w:rPr>
          <w:rFonts w:ascii="Narkisim" w:hAnsi="Narkisim"/>
          <w:u w:val="single"/>
          <w:rtl/>
        </w:rPr>
        <w:t>אמר רב עמרם וכו' ותנא תונא וכו' ונכנסה לחופה.</w:t>
      </w:r>
      <w:r w:rsidRPr="00440CAB">
        <w:rPr>
          <w:rFonts w:ascii="Narkisim" w:hAnsi="Narkisim"/>
          <w:rtl/>
        </w:rPr>
        <w:t xml:space="preserve"> ה</w:t>
      </w:r>
      <w:r w:rsidRPr="00440CAB">
        <w:rPr>
          <w:rFonts w:ascii="Narkisim" w:hAnsi="Narkisim"/>
          <w:b/>
          <w:bCs/>
          <w:rtl/>
        </w:rPr>
        <w:t>רמב"ן</w:t>
      </w:r>
      <w:r w:rsidRPr="00440CAB">
        <w:rPr>
          <w:rFonts w:ascii="Narkisim" w:hAnsi="Narkisim"/>
          <w:rtl/>
        </w:rPr>
        <w:t xml:space="preserve"> (ושא"ר) כתב ש"מ דלכל מילי נח' האם יש חופה, ולא רק לענין פסול [וע' מש"כ לעיל בשם הרשב"א].</w:t>
      </w:r>
    </w:p>
    <w:p w14:paraId="31CE894A" w14:textId="77777777" w:rsidR="006074A5" w:rsidRPr="00440CAB" w:rsidRDefault="006074A5" w:rsidP="006074A5">
      <w:pPr>
        <w:bidi/>
        <w:rPr>
          <w:rFonts w:ascii="Narkisim" w:hAnsi="Narkisim" w:cs="Narkisim"/>
        </w:rPr>
      </w:pPr>
      <w:r w:rsidRPr="00440CAB">
        <w:rPr>
          <w:rFonts w:ascii="Narkisim" w:hAnsi="Narkisim" w:cs="Narkisim"/>
          <w:u w:val="single"/>
          <w:rtl/>
        </w:rPr>
        <w:t>רש"י ד"ה שומרת יבם.</w:t>
      </w:r>
      <w:r w:rsidRPr="00440CAB">
        <w:rPr>
          <w:rFonts w:ascii="Narkisim" w:hAnsi="Narkisim" w:cs="Narkisim"/>
          <w:rtl/>
        </w:rPr>
        <w:t xml:space="preserve"> וכר' עקיבא וכו' דמשוי לה יבמה לשוק כאשת איש, ונאסרת על גברא</w:t>
      </w:r>
      <w:r w:rsidRPr="00440CAB">
        <w:rPr>
          <w:rStyle w:val="ac"/>
          <w:rFonts w:ascii="Narkisim" w:hAnsi="Narkisim" w:cs="Narkisim"/>
          <w:rtl/>
        </w:rPr>
        <w:footnoteReference w:id="3526"/>
      </w:r>
      <w:r w:rsidRPr="00440CAB">
        <w:rPr>
          <w:rFonts w:ascii="Narkisim" w:hAnsi="Narkisim" w:cs="Narkisim"/>
          <w:rtl/>
        </w:rPr>
        <w:t>.</w:t>
      </w:r>
      <w:r w:rsidRPr="00440CAB">
        <w:rPr>
          <w:rFonts w:ascii="Narkisim" w:hAnsi="Narkisim" w:cs="Narkisim"/>
          <w:sz w:val="20"/>
          <w:szCs w:val="20"/>
          <w:rtl/>
        </w:rPr>
        <w:t xml:space="preserve"> [כדאי' דסוטה יח: דמתני' אתי כרב המנונא דנאסרת, והגמ' דוחה כר' עקיבא</w:t>
      </w:r>
      <w:r w:rsidRPr="00440CAB">
        <w:rPr>
          <w:rStyle w:val="ac"/>
          <w:rFonts w:ascii="Narkisim" w:hAnsi="Narkisim" w:cs="Narkisim"/>
          <w:sz w:val="20"/>
          <w:szCs w:val="20"/>
          <w:rtl/>
        </w:rPr>
        <w:footnoteReference w:id="3527"/>
      </w:r>
      <w:r w:rsidRPr="00440CAB">
        <w:rPr>
          <w:rFonts w:ascii="Narkisim" w:hAnsi="Narkisim" w:cs="Narkisim"/>
          <w:sz w:val="20"/>
          <w:szCs w:val="20"/>
          <w:rtl/>
        </w:rPr>
        <w:t>]</w:t>
      </w:r>
      <w:r w:rsidRPr="00440CAB">
        <w:rPr>
          <w:rFonts w:ascii="Narkisim" w:hAnsi="Narkisim" w:cs="Narkisim"/>
          <w:rtl/>
        </w:rPr>
        <w:t>. בפשוטו הא דשומרת יבם אינה נאסרת על היבם הוא משום דזיקה אינה כאישות, ולא נחשב שזינתה תחתיו</w:t>
      </w:r>
      <w:r w:rsidRPr="00440CAB">
        <w:rPr>
          <w:rStyle w:val="ac"/>
          <w:rFonts w:ascii="Narkisim" w:hAnsi="Narkisim" w:cs="Narkisim"/>
          <w:rtl/>
        </w:rPr>
        <w:footnoteReference w:id="3528"/>
      </w:r>
      <w:r w:rsidRPr="00440CAB">
        <w:rPr>
          <w:rFonts w:ascii="Narkisim" w:hAnsi="Narkisim" w:cs="Narkisim"/>
          <w:rtl/>
        </w:rPr>
        <w:t>. וצ"ב א"כ במה עדיף לר' עקיבא</w:t>
      </w:r>
      <w:r w:rsidRPr="00440CAB">
        <w:rPr>
          <w:rStyle w:val="ac"/>
          <w:rFonts w:ascii="Narkisim" w:hAnsi="Narkisim" w:cs="Narkisim"/>
          <w:rtl/>
        </w:rPr>
        <w:footnoteReference w:id="3529"/>
      </w:r>
      <w:r w:rsidRPr="00440CAB">
        <w:rPr>
          <w:rFonts w:ascii="Narkisim" w:hAnsi="Narkisim" w:cs="Narkisim"/>
          <w:rtl/>
        </w:rPr>
        <w:t>. וה</w:t>
      </w:r>
      <w:r w:rsidRPr="00440CAB">
        <w:rPr>
          <w:rFonts w:ascii="Narkisim" w:hAnsi="Narkisim" w:cs="Narkisim"/>
          <w:b/>
          <w:bCs/>
          <w:rtl/>
        </w:rPr>
        <w:t>אחרונים</w:t>
      </w:r>
      <w:r w:rsidRPr="00440CAB">
        <w:rPr>
          <w:rStyle w:val="ac"/>
          <w:rFonts w:ascii="Narkisim" w:hAnsi="Narkisim" w:cs="Narkisim"/>
          <w:rtl/>
        </w:rPr>
        <w:footnoteReference w:id="3530"/>
      </w:r>
      <w:r w:rsidRPr="00440CAB">
        <w:rPr>
          <w:rFonts w:ascii="Narkisim" w:hAnsi="Narkisim" w:cs="Narkisim"/>
          <w:rtl/>
        </w:rPr>
        <w:t xml:space="preserve"> הוכיחו מכאן דהטעם דלא נאסרת הא משום דלא נחשב 'מעשה זנות'</w:t>
      </w:r>
      <w:r w:rsidRPr="00440CAB">
        <w:rPr>
          <w:rStyle w:val="ac"/>
          <w:rFonts w:ascii="Narkisim" w:hAnsi="Narkisim" w:cs="Narkisim"/>
          <w:rtl/>
        </w:rPr>
        <w:footnoteReference w:id="3531"/>
      </w:r>
      <w:r w:rsidRPr="00440CAB">
        <w:rPr>
          <w:rFonts w:ascii="Narkisim" w:hAnsi="Narkisim" w:cs="Narkisim"/>
          <w:rtl/>
        </w:rPr>
        <w:t>, ומש"ה לר' עקיבא נאסרת, כיון דנחשב מעשה זנות.</w:t>
      </w:r>
    </w:p>
    <w:p w14:paraId="5B75BA11" w14:textId="77777777" w:rsidR="006074A5" w:rsidRPr="00440CAB" w:rsidRDefault="006074A5" w:rsidP="006074A5">
      <w:pPr>
        <w:pStyle w:val="aa"/>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(סוטה כג:) נקטו דאף המשנה (שם) דארוסה ושומרת יבם אינן שותות ויוצאות בלא כתובה קאי כדרב המנונא [או כר"ע]</w:t>
      </w:r>
      <w:r w:rsidRPr="00440CAB">
        <w:rPr>
          <w:rStyle w:val="ac"/>
          <w:rFonts w:ascii="Narkisim" w:hAnsi="Narkisim"/>
          <w:rtl/>
        </w:rPr>
        <w:footnoteReference w:id="3532"/>
      </w:r>
      <w:r w:rsidRPr="00440CAB">
        <w:rPr>
          <w:rFonts w:ascii="Narkisim" w:hAnsi="Narkisim"/>
          <w:rtl/>
        </w:rPr>
        <w:t>. אבל ה</w:t>
      </w:r>
      <w:r w:rsidRPr="00440CAB">
        <w:rPr>
          <w:rFonts w:ascii="Narkisim" w:hAnsi="Narkisim"/>
          <w:b/>
          <w:bCs/>
          <w:rtl/>
        </w:rPr>
        <w:t>מאירי</w:t>
      </w:r>
      <w:r w:rsidRPr="00440CAB">
        <w:rPr>
          <w:rFonts w:ascii="Narkisim" w:hAnsi="Narkisim"/>
          <w:rtl/>
        </w:rPr>
        <w:t xml:space="preserve"> (שם) דהיכא דקינה לה מהני לאוסרה עליו</w:t>
      </w:r>
      <w:r w:rsidRPr="00440CAB">
        <w:rPr>
          <w:rStyle w:val="ac"/>
          <w:rFonts w:ascii="Narkisim" w:hAnsi="Narkisim"/>
          <w:rtl/>
        </w:rPr>
        <w:footnoteReference w:id="3533"/>
      </w:r>
      <w:r w:rsidRPr="00440CAB">
        <w:rPr>
          <w:rFonts w:ascii="Narkisim" w:hAnsi="Narkisim"/>
          <w:rtl/>
        </w:rPr>
        <w:t>. וה</w:t>
      </w:r>
      <w:r w:rsidRPr="00440CAB">
        <w:rPr>
          <w:rFonts w:ascii="Narkisim" w:hAnsi="Narkisim"/>
          <w:b/>
          <w:bCs/>
          <w:rtl/>
        </w:rPr>
        <w:t>אחרונים</w:t>
      </w:r>
      <w:r w:rsidRPr="00440CAB">
        <w:rPr>
          <w:rFonts w:ascii="Narkisim" w:hAnsi="Narkisim"/>
          <w:rtl/>
        </w:rPr>
        <w:t xml:space="preserve"> (</w:t>
      </w:r>
      <w:r w:rsidRPr="00440CAB">
        <w:rPr>
          <w:rFonts w:ascii="Narkisim" w:hAnsi="Narkisim"/>
          <w:b/>
          <w:bCs/>
          <w:rtl/>
        </w:rPr>
        <w:t>או"ש</w:t>
      </w:r>
      <w:r w:rsidRPr="00440CAB">
        <w:rPr>
          <w:rFonts w:ascii="Narkisim" w:hAnsi="Narkisim"/>
          <w:rtl/>
        </w:rPr>
        <w:t xml:space="preserve"> סוטה ב ב, ו</w:t>
      </w:r>
      <w:r w:rsidRPr="00440CAB">
        <w:rPr>
          <w:rFonts w:ascii="Narkisim" w:hAnsi="Narkisim"/>
          <w:b/>
          <w:bCs/>
          <w:rtl/>
        </w:rPr>
        <w:t>בית הלוי</w:t>
      </w:r>
      <w:r w:rsidRPr="00440CAB">
        <w:rPr>
          <w:rFonts w:ascii="Narkisim" w:hAnsi="Narkisim"/>
          <w:rtl/>
        </w:rPr>
        <w:t xml:space="preserve"> ב מ ח) ביארו דתלי בקפידא.</w:t>
      </w:r>
    </w:p>
    <w:p w14:paraId="4E700461"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ה</w:t>
      </w:r>
      <w:r w:rsidRPr="00440CAB">
        <w:rPr>
          <w:rFonts w:ascii="Narkisim" w:hAnsi="Narkisim" w:cs="Narkisim"/>
          <w:b/>
          <w:bCs/>
          <w:rtl/>
        </w:rPr>
        <w:t xml:space="preserve">אחרונים </w:t>
      </w:r>
      <w:r w:rsidRPr="00440CAB">
        <w:rPr>
          <w:rFonts w:ascii="Narkisim" w:hAnsi="Narkisim" w:cs="Narkisim"/>
          <w:rtl/>
        </w:rPr>
        <w:t>דנו דלמ"ד דשומרת יבם שזינתה נאסרת על היבם, א"כ בפשוטו חל בה דין טומאה כעריות, וניתרת בלא חליצה</w:t>
      </w:r>
      <w:r w:rsidRPr="00440CAB">
        <w:rPr>
          <w:rStyle w:val="ac"/>
          <w:rFonts w:ascii="Narkisim" w:hAnsi="Narkisim" w:cs="Narkisim"/>
          <w:rtl/>
        </w:rPr>
        <w:footnoteReference w:id="3534"/>
      </w:r>
      <w:r w:rsidRPr="00440CAB">
        <w:rPr>
          <w:rFonts w:ascii="Narkisim" w:hAnsi="Narkisim" w:cs="Narkisim"/>
          <w:rtl/>
        </w:rPr>
        <w:t xml:space="preserve">, וכ"כ </w:t>
      </w:r>
      <w:r w:rsidRPr="00440CAB">
        <w:rPr>
          <w:rFonts w:ascii="Narkisim" w:hAnsi="Narkisim" w:cs="Narkisim"/>
          <w:b/>
          <w:bCs/>
          <w:rtl/>
        </w:rPr>
        <w:t>רע"א</w:t>
      </w:r>
      <w:r w:rsidRPr="00440CAB">
        <w:rPr>
          <w:rFonts w:ascii="Narkisim" w:hAnsi="Narkisim" w:cs="Narkisim"/>
          <w:rtl/>
        </w:rPr>
        <w:t xml:space="preserve"> (בשו"ת ק' רו בסוגריים)</w:t>
      </w:r>
      <w:r w:rsidRPr="00440CAB">
        <w:rPr>
          <w:rStyle w:val="ac"/>
          <w:rFonts w:ascii="Narkisim" w:hAnsi="Narkisim" w:cs="Narkisim"/>
          <w:rtl/>
        </w:rPr>
        <w:footnoteReference w:id="3535"/>
      </w:r>
      <w:r w:rsidRPr="00440CAB">
        <w:rPr>
          <w:rFonts w:ascii="Narkisim" w:hAnsi="Narkisim" w:cs="Narkisim"/>
          <w:rtl/>
        </w:rPr>
        <w:t>.</w:t>
      </w:r>
    </w:p>
    <w:p w14:paraId="3A64CDC9"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אחיעזר</w:t>
      </w:r>
      <w:r w:rsidRPr="00440CAB">
        <w:rPr>
          <w:rFonts w:ascii="Narkisim" w:hAnsi="Narkisim"/>
          <w:rtl/>
        </w:rPr>
        <w:t xml:space="preserve"> (א א י) האריך לחלוק דבעי חליצה. </w:t>
      </w:r>
      <w:r w:rsidRPr="00440CAB">
        <w:rPr>
          <w:rFonts w:ascii="Narkisim" w:hAnsi="Narkisim"/>
          <w:sz w:val="20"/>
          <w:szCs w:val="20"/>
          <w:rtl/>
        </w:rPr>
        <w:t>[כיון דאף מהבעל סוטה בעי גט</w:t>
      </w:r>
      <w:r w:rsidRPr="00440CAB">
        <w:rPr>
          <w:rStyle w:val="ac"/>
          <w:rFonts w:ascii="Narkisim" w:hAnsi="Narkisim"/>
          <w:sz w:val="20"/>
          <w:szCs w:val="20"/>
          <w:rtl/>
        </w:rPr>
        <w:footnoteReference w:id="3536"/>
      </w:r>
      <w:r w:rsidRPr="00440CAB">
        <w:rPr>
          <w:rFonts w:ascii="Narkisim" w:hAnsi="Narkisim"/>
          <w:sz w:val="20"/>
          <w:szCs w:val="20"/>
          <w:rtl/>
        </w:rPr>
        <w:t>. ועוד האריך שם בדין ערוה לאחר נפילה].</w:t>
      </w:r>
      <w:r w:rsidRPr="00440CAB">
        <w:rPr>
          <w:rFonts w:ascii="Narkisim" w:hAnsi="Narkisim"/>
          <w:rtl/>
        </w:rPr>
        <w:t xml:space="preserve"> והאחיעזר הוכיח כן מסוגיין, דהיאך משקה לשומרת יבם, הרי על הצד דנטמאת אינה זקוקה לו</w:t>
      </w:r>
      <w:r w:rsidRPr="00440CAB">
        <w:rPr>
          <w:rStyle w:val="ac"/>
          <w:rFonts w:ascii="Narkisim" w:hAnsi="Narkisim"/>
          <w:rtl/>
        </w:rPr>
        <w:footnoteReference w:id="3537"/>
      </w:r>
      <w:r w:rsidRPr="00440CAB">
        <w:rPr>
          <w:rFonts w:ascii="Narkisim" w:hAnsi="Narkisim"/>
          <w:rtl/>
        </w:rPr>
        <w:t>. [ודחה דלמסקנת הגמ' דמשקה רק ע"י גלגול אין ראיה].</w:t>
      </w:r>
    </w:p>
    <w:p w14:paraId="48377BF9" w14:textId="77777777" w:rsidR="006074A5" w:rsidRPr="00440CAB" w:rsidRDefault="006074A5" w:rsidP="006074A5">
      <w:pPr>
        <w:pStyle w:val="a7"/>
        <w:bidi/>
        <w:rPr>
          <w:rFonts w:ascii="Narkisim" w:hAnsi="Narkisim"/>
        </w:rPr>
      </w:pPr>
      <w:r w:rsidRPr="00440CAB">
        <w:rPr>
          <w:rFonts w:ascii="Narkisim" w:hAnsi="Narkisim"/>
          <w:rtl/>
        </w:rPr>
        <w:t>אך ה</w:t>
      </w:r>
      <w:r w:rsidRPr="00440CAB">
        <w:rPr>
          <w:rFonts w:ascii="Narkisim" w:hAnsi="Narkisim"/>
          <w:b/>
          <w:bCs/>
          <w:rtl/>
        </w:rPr>
        <w:t>אחרונים</w:t>
      </w:r>
      <w:r w:rsidRPr="00440CAB">
        <w:rPr>
          <w:rFonts w:ascii="Narkisim" w:hAnsi="Narkisim"/>
          <w:rtl/>
        </w:rPr>
        <w:t xml:space="preserve"> דחו דכיון דהוחזקה אשתו משקה</w:t>
      </w:r>
      <w:r w:rsidRPr="00440CAB">
        <w:rPr>
          <w:rStyle w:val="ac"/>
          <w:rFonts w:ascii="Narkisim" w:hAnsi="Narkisim"/>
          <w:rtl/>
        </w:rPr>
        <w:footnoteReference w:id="3538"/>
      </w:r>
      <w:r w:rsidRPr="00440CAB">
        <w:rPr>
          <w:rFonts w:ascii="Narkisim" w:hAnsi="Narkisim"/>
          <w:rtl/>
        </w:rPr>
        <w:t xml:space="preserve">. </w:t>
      </w:r>
      <w:r w:rsidRPr="00440CAB">
        <w:rPr>
          <w:rFonts w:ascii="Narkisim" w:hAnsi="Narkisim"/>
          <w:szCs w:val="20"/>
          <w:rtl/>
        </w:rPr>
        <w:t xml:space="preserve">והוכיחו כן מהצד (ע' בסמוך ובסוגיא בסוטה </w:t>
      </w:r>
      <w:r w:rsidRPr="00440CAB">
        <w:rPr>
          <w:rFonts w:ascii="Narkisim" w:hAnsi="Narkisim"/>
          <w:szCs w:val="20"/>
          <w:rtl/>
        </w:rPr>
        <w:lastRenderedPageBreak/>
        <w:t>כה.) דמשקה לאחר שייבם ע"י גלגול, ואף שאם זינתה ל"ק ביבום, ואינה אשתו</w:t>
      </w:r>
      <w:r w:rsidRPr="00440CAB">
        <w:rPr>
          <w:rStyle w:val="ac"/>
          <w:rFonts w:ascii="Narkisim" w:hAnsi="Narkisim"/>
          <w:szCs w:val="20"/>
          <w:rtl/>
        </w:rPr>
        <w:footnoteReference w:id="3539"/>
      </w:r>
      <w:r w:rsidRPr="00440CAB">
        <w:rPr>
          <w:rFonts w:ascii="Narkisim" w:hAnsi="Narkisim"/>
          <w:rtl/>
        </w:rPr>
        <w:t>.</w:t>
      </w:r>
    </w:p>
    <w:p w14:paraId="139BE523" w14:textId="77777777" w:rsidR="006074A5" w:rsidRPr="00440CAB" w:rsidRDefault="006074A5" w:rsidP="006074A5">
      <w:pPr>
        <w:bidi/>
        <w:rPr>
          <w:rFonts w:ascii="Narkisim" w:hAnsi="Narkisim" w:cs="Narkisim"/>
        </w:rPr>
      </w:pPr>
      <w:r w:rsidRPr="00440CAB">
        <w:rPr>
          <w:rFonts w:ascii="Narkisim" w:hAnsi="Narkisim" w:cs="Narkisim"/>
          <w:u w:val="single"/>
          <w:rtl/>
        </w:rPr>
        <w:t>מנוקה מעוון.</w:t>
      </w:r>
      <w:r w:rsidRPr="00440CAB">
        <w:rPr>
          <w:rFonts w:ascii="Narkisim" w:hAnsi="Narkisim" w:cs="Narkisim"/>
          <w:rtl/>
        </w:rPr>
        <w:t xml:space="preserve"> פ</w:t>
      </w:r>
      <w:r w:rsidRPr="00440CAB">
        <w:rPr>
          <w:rFonts w:ascii="Narkisim" w:hAnsi="Narkisim" w:cs="Narkisim"/>
          <w:b/>
          <w:bCs/>
          <w:rtl/>
        </w:rPr>
        <w:t xml:space="preserve">רש"י </w:t>
      </w:r>
      <w:r w:rsidRPr="00440CAB">
        <w:rPr>
          <w:rFonts w:ascii="Narkisim" w:hAnsi="Narkisim" w:cs="Narkisim"/>
          <w:rtl/>
        </w:rPr>
        <w:t>שלא בא עליה אחר שנסתרה. וה</w:t>
      </w:r>
      <w:r w:rsidRPr="00440CAB">
        <w:rPr>
          <w:rFonts w:ascii="Narkisim" w:hAnsi="Narkisim" w:cs="Narkisim"/>
          <w:b/>
          <w:bCs/>
          <w:rtl/>
        </w:rPr>
        <w:t>רמב"ם</w:t>
      </w:r>
      <w:r w:rsidRPr="00440CAB">
        <w:rPr>
          <w:rFonts w:ascii="Narkisim" w:hAnsi="Narkisim" w:cs="Narkisim"/>
          <w:rtl/>
        </w:rPr>
        <w:t xml:space="preserve"> (סוטה ב ח) כתב שלא בא ביאת איסור מימיו. </w:t>
      </w:r>
      <w:r w:rsidRPr="00440CAB">
        <w:rPr>
          <w:rFonts w:ascii="Narkisim" w:hAnsi="Narkisim" w:cs="Narkisim"/>
          <w:sz w:val="20"/>
          <w:szCs w:val="20"/>
          <w:rtl/>
        </w:rPr>
        <w:t xml:space="preserve">וע' </w:t>
      </w:r>
      <w:r w:rsidRPr="00440CAB">
        <w:rPr>
          <w:rFonts w:ascii="Narkisim" w:hAnsi="Narkisim" w:cs="Narkisim"/>
          <w:b/>
          <w:bCs/>
          <w:sz w:val="20"/>
          <w:szCs w:val="20"/>
          <w:rtl/>
        </w:rPr>
        <w:t>משנ"ל</w:t>
      </w:r>
      <w:r w:rsidRPr="00440CAB">
        <w:rPr>
          <w:rFonts w:ascii="Narkisim" w:hAnsi="Narkisim" w:cs="Narkisim"/>
          <w:sz w:val="20"/>
          <w:szCs w:val="20"/>
          <w:rtl/>
        </w:rPr>
        <w:t xml:space="preserve"> (שם) שהאריך בזה.</w:t>
      </w:r>
    </w:p>
    <w:p w14:paraId="5EB235D9" w14:textId="77777777" w:rsidR="006074A5" w:rsidRPr="00440CAB" w:rsidRDefault="006074A5" w:rsidP="006074A5">
      <w:pPr>
        <w:bidi/>
        <w:rPr>
          <w:rFonts w:ascii="Narkisim" w:hAnsi="Narkisim" w:cs="Narkisim"/>
        </w:rPr>
      </w:pPr>
      <w:r w:rsidRPr="00440CAB">
        <w:rPr>
          <w:rFonts w:ascii="Narkisim" w:hAnsi="Narkisim" w:cs="Narkisim"/>
          <w:u w:val="single"/>
          <w:rtl/>
        </w:rPr>
        <w:t>ונכנסה לחופה ולא נבעלה.</w:t>
      </w:r>
      <w:r w:rsidRPr="00440CAB">
        <w:rPr>
          <w:rFonts w:ascii="Narkisim" w:hAnsi="Narkisim" w:cs="Narkisim"/>
          <w:rtl/>
        </w:rPr>
        <w:t xml:space="preserve"> </w:t>
      </w:r>
      <w:r w:rsidRPr="00440CAB">
        <w:rPr>
          <w:rFonts w:ascii="Narkisim" w:hAnsi="Narkisim" w:cs="Narkisim"/>
          <w:b/>
          <w:bCs/>
          <w:rtl/>
        </w:rPr>
        <w:t>רע"א</w:t>
      </w:r>
      <w:r w:rsidRPr="00440CAB">
        <w:rPr>
          <w:rFonts w:ascii="Narkisim" w:hAnsi="Narkisim" w:cs="Narkisim"/>
          <w:rtl/>
        </w:rPr>
        <w:t xml:space="preserve"> הביא דמבואר כאן דשייך חופה בבעולה</w:t>
      </w:r>
      <w:r w:rsidRPr="00440CAB">
        <w:rPr>
          <w:rFonts w:ascii="Narkisim" w:hAnsi="Narkisim" w:cs="Narkisim"/>
          <w:sz w:val="20"/>
          <w:szCs w:val="20"/>
          <w:rtl/>
        </w:rPr>
        <w:t xml:space="preserve"> [ובסוגיין אילו זינתה הוה בעולה</w:t>
      </w:r>
      <w:r w:rsidRPr="00440CAB">
        <w:rPr>
          <w:rStyle w:val="ac"/>
          <w:rFonts w:ascii="Narkisim" w:hAnsi="Narkisim" w:cs="Narkisim"/>
          <w:sz w:val="20"/>
          <w:szCs w:val="20"/>
          <w:rtl/>
        </w:rPr>
        <w:footnoteReference w:id="3540"/>
      </w:r>
      <w:r w:rsidRPr="00440CAB">
        <w:rPr>
          <w:rFonts w:ascii="Narkisim" w:hAnsi="Narkisim" w:cs="Narkisim"/>
          <w:sz w:val="20"/>
          <w:szCs w:val="20"/>
          <w:rtl/>
        </w:rPr>
        <w:t>]</w:t>
      </w:r>
      <w:r w:rsidRPr="00440CAB">
        <w:rPr>
          <w:rFonts w:ascii="Narkisim" w:hAnsi="Narkisim" w:cs="Narkisim"/>
          <w:rtl/>
        </w:rPr>
        <w:t xml:space="preserve">, ודלא כמ"ש </w:t>
      </w:r>
      <w:r w:rsidRPr="00440CAB">
        <w:rPr>
          <w:rFonts w:ascii="Narkisim" w:hAnsi="Narkisim" w:cs="Narkisim"/>
          <w:b/>
          <w:bCs/>
          <w:rtl/>
        </w:rPr>
        <w:t>תוס</w:t>
      </w:r>
      <w:r w:rsidRPr="00440CAB">
        <w:rPr>
          <w:rFonts w:ascii="Narkisim" w:hAnsi="Narkisim" w:cs="Narkisim"/>
          <w:rtl/>
        </w:rPr>
        <w:t>' (יומא יג: ד"ה לחדא והראשונים שם) ע"פ הירושלמי דל"ש חופה בבעולה.</w:t>
      </w:r>
    </w:p>
    <w:p w14:paraId="75C8A044" w14:textId="77777777" w:rsidR="006074A5" w:rsidRPr="00440CAB" w:rsidRDefault="006074A5" w:rsidP="006074A5">
      <w:pPr>
        <w:pStyle w:val="a8"/>
        <w:bidi/>
        <w:rPr>
          <w:rFonts w:ascii="Narkisim" w:hAnsi="Narkisim"/>
        </w:rPr>
      </w:pPr>
      <w:r w:rsidRPr="00440CAB">
        <w:rPr>
          <w:rFonts w:ascii="Narkisim" w:hAnsi="Narkisim"/>
          <w:rtl/>
        </w:rPr>
        <w:t>ה</w:t>
      </w:r>
      <w:r w:rsidRPr="00440CAB">
        <w:rPr>
          <w:rFonts w:ascii="Narkisim" w:hAnsi="Narkisim"/>
          <w:b/>
          <w:bCs/>
          <w:rtl/>
        </w:rPr>
        <w:t>קר"א</w:t>
      </w:r>
      <w:r w:rsidRPr="00440CAB">
        <w:rPr>
          <w:rFonts w:ascii="Narkisim" w:hAnsi="Narkisim"/>
          <w:rtl/>
        </w:rPr>
        <w:t xml:space="preserve"> הק' דכיון דזינתה הו' נישואין בטעות</w:t>
      </w:r>
      <w:r w:rsidRPr="00440CAB">
        <w:rPr>
          <w:rStyle w:val="ac"/>
          <w:rFonts w:ascii="Narkisim" w:hAnsi="Narkisim"/>
          <w:rtl/>
        </w:rPr>
        <w:footnoteReference w:id="3541"/>
      </w:r>
      <w:r w:rsidRPr="00440CAB">
        <w:rPr>
          <w:rFonts w:ascii="Narkisim" w:hAnsi="Narkisim"/>
          <w:rtl/>
        </w:rPr>
        <w:t>. וה</w:t>
      </w:r>
      <w:r w:rsidRPr="00440CAB">
        <w:rPr>
          <w:rFonts w:ascii="Narkisim" w:hAnsi="Narkisim"/>
          <w:b/>
          <w:bCs/>
          <w:rtl/>
        </w:rPr>
        <w:t>או"ש</w:t>
      </w:r>
      <w:r w:rsidRPr="00440CAB">
        <w:rPr>
          <w:rFonts w:ascii="Narkisim" w:hAnsi="Narkisim"/>
          <w:rtl/>
        </w:rPr>
        <w:t xml:space="preserve"> (אישות י א) דן דל"ש מקח טעות בחופה</w:t>
      </w:r>
      <w:r w:rsidRPr="00440CAB">
        <w:rPr>
          <w:rStyle w:val="ac"/>
          <w:rFonts w:ascii="Narkisim" w:hAnsi="Narkisim"/>
          <w:rtl/>
        </w:rPr>
        <w:footnoteReference w:id="3542"/>
      </w:r>
      <w:r w:rsidRPr="00440CAB">
        <w:rPr>
          <w:rFonts w:ascii="Narkisim" w:hAnsi="Narkisim"/>
          <w:rtl/>
        </w:rPr>
        <w:t xml:space="preserve">. וכן </w:t>
      </w:r>
      <w:r w:rsidRPr="00440CAB">
        <w:rPr>
          <w:rFonts w:ascii="Narkisim" w:hAnsi="Narkisim"/>
          <w:b/>
          <w:bCs/>
          <w:rtl/>
        </w:rPr>
        <w:t>רע"א</w:t>
      </w:r>
      <w:r w:rsidRPr="00440CAB">
        <w:rPr>
          <w:rFonts w:ascii="Narkisim" w:hAnsi="Narkisim"/>
          <w:rtl/>
        </w:rPr>
        <w:t xml:space="preserve"> (כתוב' מה) דן דמקח טעות משום תנאי, ול"ש  בנישואין</w:t>
      </w:r>
      <w:r w:rsidRPr="00440CAB">
        <w:rPr>
          <w:rStyle w:val="ac"/>
          <w:rFonts w:ascii="Narkisim" w:hAnsi="Narkisim"/>
          <w:rtl/>
        </w:rPr>
        <w:footnoteReference w:id="3543"/>
      </w:r>
      <w:r w:rsidRPr="00440CAB">
        <w:rPr>
          <w:rFonts w:ascii="Narkisim" w:hAnsi="Narkisim"/>
          <w:rtl/>
        </w:rPr>
        <w:t xml:space="preserve">.  </w:t>
      </w:r>
    </w:p>
    <w:p w14:paraId="2CB95A20" w14:textId="77777777" w:rsidR="006074A5" w:rsidRPr="00440CAB" w:rsidRDefault="006074A5" w:rsidP="006074A5">
      <w:pPr>
        <w:bidi/>
        <w:rPr>
          <w:rFonts w:ascii="Narkisim" w:hAnsi="Narkisim" w:cs="Narkisim"/>
        </w:rPr>
      </w:pPr>
      <w:r w:rsidRPr="00440CAB">
        <w:rPr>
          <w:rFonts w:ascii="Narkisim" w:hAnsi="Narkisim" w:cs="Narkisim"/>
          <w:u w:val="single"/>
          <w:rtl/>
        </w:rPr>
        <w:t>כגון שבא עליה ארוסה בבית אביה.</w:t>
      </w:r>
      <w:r w:rsidRPr="00440CAB">
        <w:rPr>
          <w:rFonts w:ascii="Narkisim" w:hAnsi="Narkisim" w:cs="Narkisim"/>
          <w:rtl/>
        </w:rPr>
        <w:t xml:space="preserve"> ה</w:t>
      </w:r>
      <w:r w:rsidRPr="00440CAB">
        <w:rPr>
          <w:rFonts w:ascii="Narkisim" w:hAnsi="Narkisim" w:cs="Narkisim"/>
          <w:b/>
          <w:bCs/>
          <w:rtl/>
        </w:rPr>
        <w:t>רמב"ם</w:t>
      </w:r>
      <w:r w:rsidRPr="00440CAB">
        <w:rPr>
          <w:rFonts w:ascii="Narkisim" w:hAnsi="Narkisim" w:cs="Narkisim"/>
          <w:rtl/>
        </w:rPr>
        <w:t xml:space="preserve"> (סוטה ב ח) כתב דאפי' בא על ארוסתו בבית חמיו [ועבר איסור דרבנן] נחשב אינו מנוקה מעוון. וה</w:t>
      </w:r>
      <w:r w:rsidRPr="00440CAB">
        <w:rPr>
          <w:rFonts w:ascii="Narkisim" w:hAnsi="Narkisim" w:cs="Narkisim"/>
          <w:b/>
          <w:bCs/>
          <w:rtl/>
        </w:rPr>
        <w:t>ראב"ד</w:t>
      </w:r>
      <w:r w:rsidRPr="00440CAB">
        <w:rPr>
          <w:rFonts w:ascii="Narkisim" w:hAnsi="Narkisim" w:cs="Narkisim"/>
          <w:rtl/>
        </w:rPr>
        <w:t xml:space="preserve"> השיג </w:t>
      </w:r>
      <w:r w:rsidRPr="00440CAB">
        <w:rPr>
          <w:rFonts w:ascii="Narkisim" w:hAnsi="Narkisim" w:cs="Narkisim"/>
          <w:sz w:val="20"/>
          <w:szCs w:val="20"/>
          <w:rtl/>
        </w:rPr>
        <w:t>[מהגמ' בסוטה כד דאיתא כעין סוגיין]</w:t>
      </w:r>
      <w:r w:rsidRPr="00440CAB">
        <w:rPr>
          <w:rFonts w:ascii="Narkisim" w:hAnsi="Narkisim" w:cs="Narkisim"/>
          <w:rtl/>
        </w:rPr>
        <w:t>, דמבואר דאין חסרון משום דאינו מנוקה מעוון</w:t>
      </w:r>
      <w:r w:rsidRPr="00440CAB">
        <w:rPr>
          <w:rStyle w:val="ac"/>
          <w:rFonts w:ascii="Narkisim" w:hAnsi="Narkisim" w:cs="Narkisim"/>
          <w:rtl/>
        </w:rPr>
        <w:footnoteReference w:id="3544"/>
      </w:r>
      <w:r w:rsidRPr="00440CAB">
        <w:rPr>
          <w:rFonts w:ascii="Narkisim" w:hAnsi="Narkisim" w:cs="Narkisim"/>
          <w:rtl/>
        </w:rPr>
        <w:t>. וצ"ע לרמב"ם.</w:t>
      </w:r>
    </w:p>
    <w:p w14:paraId="5DC33632"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(מנח"ח שסה טז, או"ש אישות י ב) הקשו דהיה אפשר לתרץ דקידש בביאה, למאי דקי"ל (קידושין י.) דביאה אירוסין עושה. ותי' דבעינן דוקא שבשעת שכיבה יהא בעל [דהא אילו בא עליה לפני שקידש אינה ביאת אישות]. וה"נ בקידושי ביאה קודם הביאה לא היתה בעל.</w:t>
      </w:r>
    </w:p>
    <w:p w14:paraId="2502FB53" w14:textId="77777777" w:rsidR="006074A5" w:rsidRPr="00440CAB" w:rsidRDefault="006074A5" w:rsidP="006074A5">
      <w:pPr>
        <w:bidi/>
        <w:rPr>
          <w:rFonts w:ascii="Narkisim" w:hAnsi="Narkisim" w:cs="Narkisim"/>
        </w:rPr>
      </w:pPr>
      <w:r w:rsidRPr="00440CAB">
        <w:rPr>
          <w:rFonts w:ascii="Narkisim" w:hAnsi="Narkisim" w:cs="Narkisim"/>
          <w:u w:val="single"/>
          <w:rtl/>
        </w:rPr>
        <w:t>דכוותה גבי שומרת יבם שבא עליה וכו'.</w:t>
      </w:r>
      <w:r w:rsidRPr="00440CAB">
        <w:rPr>
          <w:rFonts w:ascii="Narkisim" w:hAnsi="Narkisim" w:cs="Narkisim"/>
          <w:rtl/>
        </w:rPr>
        <w:t xml:space="preserve"> </w:t>
      </w:r>
      <w:r w:rsidRPr="00440CAB">
        <w:rPr>
          <w:rFonts w:ascii="Narkisim" w:hAnsi="Narkisim" w:cs="Narkisim"/>
          <w:sz w:val="20"/>
          <w:szCs w:val="20"/>
          <w:rtl/>
        </w:rPr>
        <w:t>[ל</w:t>
      </w:r>
      <w:r w:rsidRPr="00440CAB">
        <w:rPr>
          <w:rFonts w:ascii="Narkisim" w:hAnsi="Narkisim" w:cs="Narkisim"/>
          <w:b/>
          <w:bCs/>
          <w:sz w:val="20"/>
          <w:szCs w:val="20"/>
          <w:rtl/>
        </w:rPr>
        <w:t>ל"ק דרש"י</w:t>
      </w:r>
      <w:r w:rsidRPr="00440CAB">
        <w:rPr>
          <w:rFonts w:ascii="Narkisim" w:hAnsi="Narkisim" w:cs="Narkisim"/>
          <w:sz w:val="20"/>
          <w:szCs w:val="20"/>
          <w:rtl/>
        </w:rPr>
        <w:t xml:space="preserve"> כוונת הגמ' דבכה"ג משכחת לה קדמה שכיבת היבם].</w:t>
      </w:r>
      <w:r w:rsidRPr="00440CAB">
        <w:rPr>
          <w:rFonts w:ascii="Narkisim" w:hAnsi="Narkisim" w:cs="Narkisim"/>
          <w:rtl/>
        </w:rPr>
        <w:t xml:space="preserve"> ו</w:t>
      </w:r>
      <w:r w:rsidRPr="00440CAB">
        <w:rPr>
          <w:rFonts w:ascii="Narkisim" w:hAnsi="Narkisim" w:cs="Narkisim"/>
          <w:b/>
          <w:bCs/>
          <w:rtl/>
        </w:rPr>
        <w:t>תוס'</w:t>
      </w:r>
      <w:r w:rsidRPr="00440CAB">
        <w:rPr>
          <w:rFonts w:ascii="Narkisim" w:hAnsi="Narkisim" w:cs="Narkisim"/>
          <w:szCs w:val="20"/>
          <w:rtl/>
        </w:rPr>
        <w:t xml:space="preserve"> (ד"ה דכוותה</w:t>
      </w:r>
      <w:r w:rsidRPr="00440CAB">
        <w:rPr>
          <w:rFonts w:ascii="Narkisim" w:hAnsi="Narkisim" w:cs="Narkisim"/>
          <w:rtl/>
        </w:rPr>
        <w:t xml:space="preserve">) העמידו את הגמ' כר' יאשיה דיכול להשקות שומרת יבם </w:t>
      </w:r>
      <w:r w:rsidRPr="00440CAB">
        <w:rPr>
          <w:rFonts w:ascii="Narkisim" w:hAnsi="Narkisim" w:cs="Narkisim"/>
          <w:sz w:val="20"/>
          <w:szCs w:val="20"/>
          <w:rtl/>
        </w:rPr>
        <w:t>[ואף דהמשנה (שם כג:) ס"ל דאינו משקה</w:t>
      </w:r>
      <w:r w:rsidRPr="00440CAB">
        <w:rPr>
          <w:rFonts w:ascii="Narkisim" w:hAnsi="Narkisim" w:cs="Narkisim"/>
          <w:rtl/>
        </w:rPr>
        <w:t xml:space="preserve">]. דלר' יונתן עדיין הוה שומרת יבם. ולפ"ז ל"צ חופה, אבל </w:t>
      </w:r>
      <w:r w:rsidRPr="00440CAB">
        <w:rPr>
          <w:rFonts w:ascii="Narkisim" w:hAnsi="Narkisim" w:cs="Narkisim"/>
          <w:b/>
          <w:bCs/>
          <w:rtl/>
        </w:rPr>
        <w:t>רש"י</w:t>
      </w:r>
      <w:r w:rsidRPr="00440CAB">
        <w:rPr>
          <w:rFonts w:ascii="Narkisim" w:hAnsi="Narkisim" w:cs="Narkisim"/>
          <w:rtl/>
        </w:rPr>
        <w:t xml:space="preserve"> כת' והדר הכניסה לחופה. וה</w:t>
      </w:r>
      <w:r w:rsidRPr="00440CAB">
        <w:rPr>
          <w:rFonts w:ascii="Narkisim" w:hAnsi="Narkisim" w:cs="Narkisim"/>
          <w:b/>
          <w:bCs/>
          <w:rtl/>
        </w:rPr>
        <w:t>מהרש"א</w:t>
      </w:r>
      <w:r w:rsidRPr="00440CAB">
        <w:rPr>
          <w:rFonts w:ascii="Narkisim" w:hAnsi="Narkisim" w:cs="Narkisim"/>
          <w:rtl/>
        </w:rPr>
        <w:t xml:space="preserve"> ביאר דכוונת רש"י דאף לר' יונתן דאחר ביאה פסולה [וכן מאמר] שוב מהני חופה.</w:t>
      </w:r>
      <w:r w:rsidRPr="00440CAB">
        <w:rPr>
          <w:rFonts w:ascii="Narkisim" w:hAnsi="Narkisim" w:cs="Narkisim"/>
          <w:szCs w:val="20"/>
          <w:rtl/>
        </w:rPr>
        <w:t xml:space="preserve"> [ע"ע בסמוך לל"ב דרש"י</w:t>
      </w:r>
      <w:r w:rsidRPr="00440CAB">
        <w:rPr>
          <w:rFonts w:ascii="Narkisim" w:hAnsi="Narkisim" w:cs="Narkisim"/>
          <w:rtl/>
        </w:rPr>
        <w:t>].</w:t>
      </w:r>
    </w:p>
    <w:p w14:paraId="7E706CD9" w14:textId="77777777" w:rsidR="006074A5" w:rsidRPr="00440CAB" w:rsidRDefault="006074A5" w:rsidP="006074A5">
      <w:pPr>
        <w:bidi/>
        <w:rPr>
          <w:rFonts w:ascii="Narkisim" w:hAnsi="Narkisim" w:cs="Narkisim"/>
        </w:rPr>
      </w:pPr>
      <w:r w:rsidRPr="00440CAB">
        <w:rPr>
          <w:rFonts w:ascii="Narkisim" w:hAnsi="Narkisim" w:cs="Narkisim"/>
          <w:u w:val="single"/>
          <w:rtl/>
        </w:rPr>
        <w:t>תוד"ה ונקה.</w:t>
      </w:r>
      <w:r w:rsidRPr="00440CAB">
        <w:rPr>
          <w:rFonts w:ascii="Narkisim" w:hAnsi="Narkisim" w:cs="Narkisim"/>
          <w:rtl/>
        </w:rPr>
        <w:t xml:space="preserve"> אבל ע"י גלגול שאינו יודע בשעת השקאה מנוקה מעוון מקרי. </w:t>
      </w:r>
      <w:r w:rsidRPr="00440CAB">
        <w:rPr>
          <w:rFonts w:ascii="Narkisim" w:hAnsi="Narkisim" w:cs="Narkisim"/>
          <w:sz w:val="20"/>
          <w:szCs w:val="20"/>
          <w:rtl/>
        </w:rPr>
        <w:t>ה</w:t>
      </w:r>
      <w:r w:rsidRPr="00440CAB">
        <w:rPr>
          <w:rFonts w:ascii="Narkisim" w:hAnsi="Narkisim" w:cs="Narkisim"/>
          <w:b/>
          <w:bCs/>
          <w:sz w:val="20"/>
          <w:szCs w:val="20"/>
          <w:rtl/>
        </w:rPr>
        <w:t>שער"י</w:t>
      </w:r>
      <w:r w:rsidRPr="00440CAB">
        <w:rPr>
          <w:rFonts w:ascii="Narkisim" w:hAnsi="Narkisim" w:cs="Narkisim"/>
          <w:sz w:val="20"/>
          <w:szCs w:val="20"/>
          <w:rtl/>
        </w:rPr>
        <w:t xml:space="preserve"> (א ד) הביא מדברי התוס' דכשחטא בשוגג ולא נודע לו, נחשב שאין עליו חטא. וע"י הידיעה נחשב 'חוטא'</w:t>
      </w:r>
      <w:r w:rsidRPr="00440CAB">
        <w:rPr>
          <w:rStyle w:val="ac"/>
          <w:rFonts w:ascii="Narkisim" w:hAnsi="Narkisim" w:cs="Narkisim"/>
          <w:sz w:val="20"/>
          <w:szCs w:val="20"/>
          <w:rtl/>
        </w:rPr>
        <w:footnoteReference w:id="3545"/>
      </w:r>
      <w:r w:rsidRPr="00440CAB">
        <w:rPr>
          <w:rFonts w:ascii="Narkisim" w:hAnsi="Narkisim" w:cs="Narkisim"/>
          <w:sz w:val="20"/>
          <w:szCs w:val="20"/>
          <w:rtl/>
        </w:rPr>
        <w:t>.</w:t>
      </w:r>
      <w:r w:rsidRPr="00440CAB">
        <w:rPr>
          <w:rFonts w:ascii="Narkisim" w:hAnsi="Narkisim" w:cs="Narkisim"/>
          <w:rtl/>
        </w:rPr>
        <w:t xml:space="preserve"> וה</w:t>
      </w:r>
      <w:r w:rsidRPr="00440CAB">
        <w:rPr>
          <w:rFonts w:ascii="Narkisim" w:hAnsi="Narkisim" w:cs="Narkisim"/>
          <w:b/>
          <w:bCs/>
          <w:rtl/>
        </w:rPr>
        <w:t xml:space="preserve">משנ"ל </w:t>
      </w:r>
      <w:r w:rsidRPr="00440CAB">
        <w:rPr>
          <w:rFonts w:ascii="Narkisim" w:hAnsi="Narkisim" w:cs="Narkisim"/>
          <w:rtl/>
        </w:rPr>
        <w:t xml:space="preserve">(ב ח) דן דאפשר אפי' מזיד ושכח בשעת השקאה יחשב מנוקה מעוון, כיון דאינו יודע. </w:t>
      </w:r>
      <w:r w:rsidRPr="00440CAB">
        <w:rPr>
          <w:rFonts w:ascii="Narkisim" w:hAnsi="Narkisim" w:cs="Narkisim"/>
          <w:sz w:val="20"/>
          <w:szCs w:val="20"/>
          <w:rtl/>
        </w:rPr>
        <w:t>[ועי"ש שדן כשעשה תשובה, והאריך טובא. וע"ע במנח"ח שסה].</w:t>
      </w:r>
    </w:p>
    <w:p w14:paraId="3A0CCEE6" w14:textId="77777777" w:rsidR="006074A5" w:rsidRPr="00440CAB" w:rsidRDefault="006074A5" w:rsidP="006074A5">
      <w:pPr>
        <w:pStyle w:val="aa"/>
        <w:bidi/>
        <w:rPr>
          <w:rFonts w:ascii="Narkisim" w:hAnsi="Narkisim"/>
        </w:rPr>
      </w:pPr>
      <w:r w:rsidRPr="00440CAB">
        <w:rPr>
          <w:rFonts w:ascii="Narkisim" w:hAnsi="Narkisim"/>
          <w:rtl/>
        </w:rPr>
        <w:t>וה</w:t>
      </w:r>
      <w:r w:rsidRPr="00440CAB">
        <w:rPr>
          <w:rFonts w:ascii="Narkisim" w:hAnsi="Narkisim"/>
          <w:b/>
          <w:bCs/>
          <w:rtl/>
        </w:rPr>
        <w:t>תו"י</w:t>
      </w:r>
      <w:r w:rsidRPr="00440CAB">
        <w:rPr>
          <w:rFonts w:ascii="Narkisim" w:hAnsi="Narkisim"/>
          <w:rtl/>
        </w:rPr>
        <w:t xml:space="preserve"> (נח: עי"ש) תי' דבמקום שקינה לה נחשב קרוב למזיד.</w:t>
      </w:r>
    </w:p>
    <w:p w14:paraId="186A1005" w14:textId="77777777" w:rsidR="006074A5" w:rsidRPr="00440CAB" w:rsidRDefault="006074A5" w:rsidP="006074A5">
      <w:pPr>
        <w:pStyle w:val="3"/>
        <w:bidi/>
        <w:rPr>
          <w:rFonts w:ascii="Narkisim" w:hAnsi="Narkisim"/>
        </w:rPr>
      </w:pPr>
      <w:r w:rsidRPr="00440CAB">
        <w:rPr>
          <w:rFonts w:ascii="Narkisim" w:hAnsi="Narkisim"/>
          <w:rtl/>
        </w:rPr>
        <w:t>דף נח:</w:t>
      </w:r>
    </w:p>
    <w:p w14:paraId="37F547B7" w14:textId="77777777" w:rsidR="006074A5" w:rsidRPr="00440CAB" w:rsidRDefault="006074A5" w:rsidP="006074A5">
      <w:pPr>
        <w:bidi/>
        <w:rPr>
          <w:rFonts w:ascii="Narkisim" w:hAnsi="Narkisim" w:cs="Narkisim"/>
        </w:rPr>
      </w:pPr>
      <w:r w:rsidRPr="00440CAB">
        <w:rPr>
          <w:rFonts w:ascii="Narkisim" w:hAnsi="Narkisim" w:cs="Narkisim"/>
          <w:u w:val="single"/>
          <w:rtl/>
        </w:rPr>
        <w:t>תוד"ה שומרת.</w:t>
      </w:r>
      <w:r w:rsidRPr="00440CAB">
        <w:rPr>
          <w:rFonts w:ascii="Narkisim" w:hAnsi="Narkisim" w:cs="Narkisim"/>
          <w:rtl/>
        </w:rPr>
        <w:t xml:space="preserve"> ואע"ג דקרי ליה שומר"י וכו'. [דבגמ' סוטה כד: לר' יונתן נקראת שומר"י, ונתמעטה מקרא להדיא]. ו</w:t>
      </w:r>
      <w:r w:rsidRPr="00440CAB">
        <w:rPr>
          <w:rFonts w:ascii="Narkisim" w:hAnsi="Narkisim" w:cs="Narkisim"/>
          <w:b/>
          <w:bCs/>
          <w:rtl/>
        </w:rPr>
        <w:t xml:space="preserve">תוס' </w:t>
      </w:r>
      <w:r w:rsidRPr="00440CAB">
        <w:rPr>
          <w:rFonts w:ascii="Narkisim" w:hAnsi="Narkisim" w:cs="Narkisim"/>
          <w:rtl/>
        </w:rPr>
        <w:t>(סוטה כד: ד"ה כשמואל) הקשו כיון דקנה מיהת לדברים הכתובים בפרשה, וחייבת חנק ע"י [כדין אשת איש]. א"כ אמאי לר' יונתן ממעטינן לה, ובמה אלים ארוסה משומרת יבם. ותי' דלענין השקאה קפיד רחמנא דבעינן ביאה לשם אישות.</w:t>
      </w:r>
    </w:p>
    <w:p w14:paraId="57CCFE49" w14:textId="77777777" w:rsidR="006074A5" w:rsidRPr="00440CAB" w:rsidRDefault="006074A5" w:rsidP="006074A5">
      <w:pPr>
        <w:pStyle w:val="aa"/>
        <w:bidi/>
        <w:rPr>
          <w:rFonts w:ascii="Narkisim" w:hAnsi="Narkisim"/>
        </w:rPr>
      </w:pPr>
      <w:r w:rsidRPr="00440CAB">
        <w:rPr>
          <w:rFonts w:ascii="Narkisim" w:hAnsi="Narkisim"/>
          <w:u w:val="single"/>
          <w:rtl/>
        </w:rPr>
        <w:t>מידי הוא טעמא אלא לרב האמר רב וכו'.</w:t>
      </w:r>
      <w:r w:rsidRPr="00440CAB">
        <w:rPr>
          <w:rFonts w:ascii="Narkisim" w:hAnsi="Narkisim"/>
          <w:rtl/>
        </w:rPr>
        <w:t xml:space="preserve"> ה</w:t>
      </w:r>
      <w:r w:rsidRPr="00440CAB">
        <w:rPr>
          <w:rFonts w:ascii="Narkisim" w:hAnsi="Narkisim"/>
          <w:b/>
          <w:bCs/>
          <w:rtl/>
        </w:rPr>
        <w:t>רשב"א</w:t>
      </w:r>
      <w:r w:rsidRPr="00440CAB">
        <w:rPr>
          <w:rFonts w:ascii="Narkisim" w:hAnsi="Narkisim"/>
          <w:rtl/>
        </w:rPr>
        <w:t xml:space="preserve"> הקשה לוקמי כרב וכל"ב (לעיל נו.), דמן האירוסין ל"ק אלא לדברים הכתובים. וכתב דכיון דההיא לישנא קאי בקשיא</w:t>
      </w:r>
      <w:r w:rsidRPr="00440CAB">
        <w:rPr>
          <w:rStyle w:val="ac"/>
          <w:rFonts w:ascii="Narkisim" w:hAnsi="Narkisim"/>
          <w:rtl/>
        </w:rPr>
        <w:footnoteReference w:id="3546"/>
      </w:r>
      <w:r w:rsidRPr="00440CAB">
        <w:rPr>
          <w:rFonts w:ascii="Narkisim" w:hAnsi="Narkisim"/>
          <w:rtl/>
        </w:rPr>
        <w:t xml:space="preserve"> לא ניח"ל לגמ' לפרש כן.</w:t>
      </w:r>
    </w:p>
    <w:p w14:paraId="6E44294F" w14:textId="77777777" w:rsidR="006074A5" w:rsidRPr="00440CAB" w:rsidRDefault="006074A5" w:rsidP="006074A5">
      <w:pPr>
        <w:bidi/>
        <w:rPr>
          <w:rFonts w:ascii="Narkisim" w:hAnsi="Narkisim" w:cs="Narkisim"/>
        </w:rPr>
      </w:pPr>
      <w:r w:rsidRPr="00440CAB">
        <w:rPr>
          <w:rFonts w:ascii="Narkisim" w:hAnsi="Narkisim" w:cs="Narkisim"/>
          <w:u w:val="single"/>
          <w:rtl/>
        </w:rPr>
        <w:t>תוד"ה דהא.</w:t>
      </w:r>
      <w:r w:rsidRPr="00440CAB">
        <w:rPr>
          <w:rFonts w:ascii="Narkisim" w:hAnsi="Narkisim" w:cs="Narkisim"/>
          <w:rtl/>
        </w:rPr>
        <w:t xml:space="preserve"> משמע דבעינן בבעל כוונת שכיבה. [דלהחשב שכיבת הבעל קדמה דבעינן מעשה ביאת אישות, ובנתקע לא נחשב ביאת אישות]. </w:t>
      </w:r>
      <w:r w:rsidRPr="00440CAB">
        <w:rPr>
          <w:rFonts w:ascii="Narkisim" w:hAnsi="Narkisim" w:cs="Narkisim"/>
          <w:sz w:val="20"/>
          <w:szCs w:val="20"/>
          <w:rtl/>
        </w:rPr>
        <w:t>וה</w:t>
      </w:r>
      <w:r w:rsidRPr="00440CAB">
        <w:rPr>
          <w:rFonts w:ascii="Narkisim" w:hAnsi="Narkisim" w:cs="Narkisim"/>
          <w:b/>
          <w:bCs/>
          <w:sz w:val="20"/>
          <w:szCs w:val="20"/>
          <w:rtl/>
        </w:rPr>
        <w:t>ערול"נ</w:t>
      </w:r>
      <w:r w:rsidRPr="00440CAB">
        <w:rPr>
          <w:rFonts w:ascii="Narkisim" w:hAnsi="Narkisim" w:cs="Narkisim"/>
          <w:sz w:val="20"/>
          <w:szCs w:val="20"/>
          <w:rtl/>
        </w:rPr>
        <w:t xml:space="preserve"> הקשה אמאי לא תי' במשמש מת, למש"כ </w:t>
      </w:r>
      <w:r w:rsidRPr="00440CAB">
        <w:rPr>
          <w:rFonts w:ascii="Narkisim" w:hAnsi="Narkisim" w:cs="Narkisim"/>
          <w:b/>
          <w:bCs/>
          <w:sz w:val="20"/>
          <w:szCs w:val="20"/>
          <w:rtl/>
        </w:rPr>
        <w:t>תוס</w:t>
      </w:r>
      <w:r w:rsidRPr="00440CAB">
        <w:rPr>
          <w:rFonts w:ascii="Narkisim" w:hAnsi="Narkisim" w:cs="Narkisim"/>
          <w:sz w:val="20"/>
          <w:szCs w:val="20"/>
          <w:rtl/>
        </w:rPr>
        <w:t>' (לעיל נג:) דאף למ"ד דחייב עליו ל"ק ביבמה. וה</w:t>
      </w:r>
      <w:r w:rsidRPr="00440CAB">
        <w:rPr>
          <w:rFonts w:ascii="Narkisim" w:hAnsi="Narkisim" w:cs="Narkisim"/>
          <w:b/>
          <w:bCs/>
          <w:sz w:val="20"/>
          <w:szCs w:val="20"/>
          <w:rtl/>
        </w:rPr>
        <w:t>אחרונים</w:t>
      </w:r>
      <w:r w:rsidRPr="00440CAB">
        <w:rPr>
          <w:rFonts w:ascii="Narkisim" w:hAnsi="Narkisim" w:cs="Narkisim"/>
          <w:sz w:val="20"/>
          <w:szCs w:val="20"/>
          <w:rtl/>
        </w:rPr>
        <w:t xml:space="preserve"> דנו דאף לא נחשב ביאת אישות, ולא יחשב קדמה שכיבת הבעל.</w:t>
      </w:r>
    </w:p>
    <w:p w14:paraId="47F1A007" w14:textId="77777777" w:rsidR="006074A5" w:rsidRPr="00440CAB" w:rsidRDefault="006074A5" w:rsidP="006074A5">
      <w:pPr>
        <w:pStyle w:val="aa"/>
        <w:bidi/>
        <w:rPr>
          <w:rFonts w:ascii="Narkisim" w:hAnsi="Narkisim"/>
        </w:rPr>
      </w:pPr>
      <w:r w:rsidRPr="00440CAB">
        <w:rPr>
          <w:rFonts w:ascii="Narkisim" w:hAnsi="Narkisim"/>
          <w:rtl/>
        </w:rPr>
        <w:t>ו</w:t>
      </w:r>
      <w:r w:rsidRPr="00440CAB">
        <w:rPr>
          <w:rFonts w:ascii="Narkisim" w:hAnsi="Narkisim"/>
          <w:b/>
          <w:bCs/>
          <w:rtl/>
        </w:rPr>
        <w:t>רע"א</w:t>
      </w:r>
      <w:r w:rsidRPr="00440CAB">
        <w:rPr>
          <w:rFonts w:ascii="Narkisim" w:hAnsi="Narkisim"/>
          <w:rtl/>
        </w:rPr>
        <w:t xml:space="preserve"> (ק' רכב יד) הוכיח מהכא דאף היכא שנתכוון להדיא שלא לקנות את היבמה, מ"מ קנה בע"כ. דאל"כ אפשר להעמיד דבא עליה ע"מ שלא לקנות [וע"ע בסמוך].</w:t>
      </w:r>
    </w:p>
    <w:p w14:paraId="1B950EC7" w14:textId="77777777" w:rsidR="006074A5" w:rsidRPr="00440CAB" w:rsidRDefault="006074A5" w:rsidP="006074A5">
      <w:pPr>
        <w:bidi/>
        <w:rPr>
          <w:rFonts w:ascii="Narkisim" w:hAnsi="Narkisim" w:cs="Narkisim"/>
        </w:rPr>
      </w:pPr>
      <w:r w:rsidRPr="00440CAB">
        <w:rPr>
          <w:rFonts w:ascii="Narkisim" w:hAnsi="Narkisim" w:cs="Narkisim"/>
          <w:rtl/>
        </w:rPr>
        <w:lastRenderedPageBreak/>
        <w:t>וה</w:t>
      </w:r>
      <w:r w:rsidRPr="00440CAB">
        <w:rPr>
          <w:rFonts w:ascii="Narkisim" w:hAnsi="Narkisim" w:cs="Narkisim"/>
          <w:b/>
          <w:bCs/>
          <w:rtl/>
        </w:rPr>
        <w:t>אחרונים</w:t>
      </w:r>
      <w:r w:rsidRPr="00440CAB">
        <w:rPr>
          <w:rFonts w:ascii="Narkisim" w:hAnsi="Narkisim" w:cs="Narkisim"/>
          <w:rtl/>
        </w:rPr>
        <w:t xml:space="preserve"> </w:t>
      </w:r>
      <w:r w:rsidRPr="00440CAB">
        <w:rPr>
          <w:rFonts w:ascii="Narkisim" w:hAnsi="Narkisim" w:cs="Narkisim"/>
          <w:sz w:val="20"/>
          <w:szCs w:val="20"/>
          <w:rtl/>
        </w:rPr>
        <w:t>(הו' בפתח"ת קסו ו)</w:t>
      </w:r>
      <w:r w:rsidRPr="00440CAB">
        <w:rPr>
          <w:rFonts w:ascii="Narkisim" w:hAnsi="Narkisim" w:cs="Narkisim"/>
          <w:rtl/>
        </w:rPr>
        <w:t xml:space="preserve"> הקשו לצד דיבום בעי עדים (ע' מש"כ לעיל נב.), אמאי לא העמידו דבא עליה בלא עדים</w:t>
      </w:r>
      <w:r w:rsidRPr="00440CAB">
        <w:rPr>
          <w:rStyle w:val="ac"/>
          <w:rFonts w:ascii="Narkisim" w:hAnsi="Narkisim" w:cs="Narkisim"/>
          <w:rtl/>
        </w:rPr>
        <w:footnoteReference w:id="3547"/>
      </w:r>
      <w:r w:rsidRPr="00440CAB">
        <w:rPr>
          <w:rFonts w:ascii="Narkisim" w:hAnsi="Narkisim" w:cs="Narkisim"/>
          <w:rtl/>
        </w:rPr>
        <w:t>. וה</w:t>
      </w:r>
      <w:r w:rsidRPr="00440CAB">
        <w:rPr>
          <w:rFonts w:ascii="Narkisim" w:hAnsi="Narkisim" w:cs="Narkisim"/>
          <w:b/>
          <w:bCs/>
          <w:rtl/>
        </w:rPr>
        <w:t>נוב"י</w:t>
      </w:r>
      <w:r w:rsidRPr="00440CAB">
        <w:rPr>
          <w:rFonts w:ascii="Narkisim" w:hAnsi="Narkisim" w:cs="Narkisim"/>
          <w:rtl/>
        </w:rPr>
        <w:t xml:space="preserve"> (ת' קמח) ו</w:t>
      </w:r>
      <w:r w:rsidRPr="00440CAB">
        <w:rPr>
          <w:rFonts w:ascii="Narkisim" w:hAnsi="Narkisim" w:cs="Narkisim"/>
          <w:b/>
          <w:bCs/>
          <w:rtl/>
        </w:rPr>
        <w:t>רע"א</w:t>
      </w:r>
      <w:r w:rsidRPr="00440CAB">
        <w:rPr>
          <w:rFonts w:ascii="Narkisim" w:hAnsi="Narkisim" w:cs="Narkisim"/>
          <w:rtl/>
        </w:rPr>
        <w:t xml:space="preserve"> כת' דבלא עדים אינו נאמן לומר שבא עליה, ואין משקין אותה.</w:t>
      </w:r>
    </w:p>
    <w:p w14:paraId="4064A0CA" w14:textId="77777777" w:rsidR="006074A5" w:rsidRPr="00440CAB" w:rsidRDefault="006074A5" w:rsidP="006074A5">
      <w:pPr>
        <w:pStyle w:val="a7"/>
        <w:bidi/>
        <w:rPr>
          <w:rFonts w:ascii="Narkisim" w:hAnsi="Narkisim"/>
        </w:rPr>
      </w:pPr>
      <w:r w:rsidRPr="00440CAB">
        <w:rPr>
          <w:rFonts w:ascii="Narkisim" w:hAnsi="Narkisim"/>
          <w:rtl/>
        </w:rPr>
        <w:t xml:space="preserve">אך </w:t>
      </w:r>
      <w:r w:rsidRPr="00440CAB">
        <w:rPr>
          <w:rFonts w:ascii="Narkisim" w:hAnsi="Narkisim"/>
          <w:b/>
          <w:bCs/>
          <w:rtl/>
        </w:rPr>
        <w:t>רע"א</w:t>
      </w:r>
      <w:r w:rsidRPr="00440CAB">
        <w:rPr>
          <w:rFonts w:ascii="Narkisim" w:hAnsi="Narkisim"/>
          <w:rtl/>
        </w:rPr>
        <w:t xml:space="preserve"> הק' דמשכחת לה בעדות מיוחדת, דלענין יבום ל"מ דבעי לעדות לקיומי, אבל מהני לברר</w:t>
      </w:r>
      <w:r w:rsidRPr="00440CAB">
        <w:rPr>
          <w:rStyle w:val="ac"/>
          <w:rFonts w:ascii="Narkisim" w:hAnsi="Narkisim"/>
          <w:rtl/>
        </w:rPr>
        <w:footnoteReference w:id="3548"/>
      </w:r>
      <w:r w:rsidRPr="00440CAB">
        <w:rPr>
          <w:rFonts w:ascii="Narkisim" w:hAnsi="Narkisim"/>
          <w:rtl/>
        </w:rPr>
        <w:t xml:space="preserve">. </w:t>
      </w:r>
      <w:r w:rsidRPr="00440CAB">
        <w:rPr>
          <w:rFonts w:ascii="Narkisim" w:hAnsi="Narkisim"/>
          <w:sz w:val="20"/>
          <w:szCs w:val="20"/>
          <w:rtl/>
        </w:rPr>
        <w:t>וה</w:t>
      </w:r>
      <w:r w:rsidRPr="00440CAB">
        <w:rPr>
          <w:rFonts w:ascii="Narkisim" w:hAnsi="Narkisim"/>
          <w:b/>
          <w:bCs/>
          <w:sz w:val="20"/>
          <w:szCs w:val="20"/>
          <w:rtl/>
        </w:rPr>
        <w:t>מנח"ח</w:t>
      </w:r>
      <w:r w:rsidRPr="00440CAB">
        <w:rPr>
          <w:rFonts w:ascii="Narkisim" w:hAnsi="Narkisim"/>
          <w:sz w:val="20"/>
          <w:szCs w:val="20"/>
          <w:rtl/>
        </w:rPr>
        <w:t xml:space="preserve"> (שסה טז) כת' דלענין יבום ודאי מהני עדות מיוחדת, דאף דבעי עדות לקיומי, מ"מ לא תליא כלל בדעתו דנימא דהמקדש בלא עדים אינו מעשה קידושין. וע"ע פתח"ת (שם) וחזו"א.</w:t>
      </w:r>
    </w:p>
    <w:p w14:paraId="6F793D92"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רע"א</w:t>
      </w:r>
      <w:r w:rsidRPr="00440CAB">
        <w:rPr>
          <w:rFonts w:ascii="Narkisim" w:hAnsi="Narkisim"/>
          <w:rtl/>
        </w:rPr>
        <w:t xml:space="preserve"> בהמשך דבריו תי' דבעינן שכיבה ב'תורת בעל' וארוס, ומש"ה כשבא עליה כשהיא עדיין שומרת יבם לא נחשב שכיבת בעל. וכ"מ ב</w:t>
      </w:r>
      <w:r w:rsidRPr="00440CAB">
        <w:rPr>
          <w:rFonts w:ascii="Narkisim" w:hAnsi="Narkisim"/>
          <w:b/>
          <w:bCs/>
          <w:rtl/>
        </w:rPr>
        <w:t>נוב"י</w:t>
      </w:r>
      <w:r w:rsidRPr="00440CAB">
        <w:rPr>
          <w:rFonts w:ascii="Narkisim" w:hAnsi="Narkisim"/>
          <w:rtl/>
        </w:rPr>
        <w:t xml:space="preserve"> (שם). וכן תי' ב</w:t>
      </w:r>
      <w:r w:rsidRPr="00440CAB">
        <w:rPr>
          <w:rFonts w:ascii="Narkisim" w:hAnsi="Narkisim"/>
          <w:b/>
          <w:bCs/>
          <w:rtl/>
        </w:rPr>
        <w:t>שו"ת הרשב"א</w:t>
      </w:r>
      <w:r w:rsidRPr="00440CAB">
        <w:rPr>
          <w:rFonts w:ascii="Narkisim" w:hAnsi="Narkisim"/>
          <w:rtl/>
        </w:rPr>
        <w:t xml:space="preserve"> (ד שכח</w:t>
      </w:r>
      <w:r w:rsidRPr="00440CAB">
        <w:rPr>
          <w:rStyle w:val="ac"/>
          <w:rFonts w:ascii="Narkisim" w:hAnsi="Narkisim"/>
          <w:rtl/>
        </w:rPr>
        <w:footnoteReference w:id="3549"/>
      </w:r>
      <w:r w:rsidRPr="00440CAB">
        <w:rPr>
          <w:rFonts w:ascii="Narkisim" w:hAnsi="Narkisim"/>
          <w:rtl/>
        </w:rPr>
        <w:t>) דלא קרינן ביה קדמה שכיבת בעל, דיבם לאו בעל הוא. אך ה</w:t>
      </w:r>
      <w:r w:rsidRPr="00440CAB">
        <w:rPr>
          <w:rFonts w:ascii="Narkisim" w:hAnsi="Narkisim"/>
          <w:b/>
          <w:bCs/>
          <w:rtl/>
        </w:rPr>
        <w:t>אחרונים</w:t>
      </w:r>
      <w:r w:rsidRPr="00440CAB">
        <w:rPr>
          <w:rFonts w:ascii="Narkisim" w:hAnsi="Narkisim"/>
          <w:rtl/>
        </w:rPr>
        <w:t xml:space="preserve"> (</w:t>
      </w:r>
      <w:r w:rsidRPr="00440CAB">
        <w:rPr>
          <w:rFonts w:ascii="Narkisim" w:hAnsi="Narkisim"/>
          <w:b/>
          <w:bCs/>
          <w:rtl/>
        </w:rPr>
        <w:t>חזו"א</w:t>
      </w:r>
      <w:r w:rsidRPr="00440CAB">
        <w:rPr>
          <w:rFonts w:ascii="Narkisim" w:hAnsi="Narkisim"/>
          <w:rtl/>
        </w:rPr>
        <w:t xml:space="preserve"> קל ו) ציינו דמדברי התוס' משמע דלא כן, דנקטו דבנפל היה נחשב קדמה, אף דהוה שומרת יבם</w:t>
      </w:r>
      <w:r w:rsidRPr="00440CAB">
        <w:rPr>
          <w:rFonts w:ascii="Narkisim" w:hAnsi="Narkisim"/>
          <w:sz w:val="20"/>
          <w:szCs w:val="20"/>
          <w:rtl/>
        </w:rPr>
        <w:t>.</w:t>
      </w:r>
    </w:p>
    <w:p w14:paraId="193C023A" w14:textId="77777777" w:rsidR="006074A5" w:rsidRPr="00440CAB" w:rsidRDefault="006074A5" w:rsidP="006074A5">
      <w:pPr>
        <w:bidi/>
        <w:rPr>
          <w:rFonts w:ascii="Narkisim" w:hAnsi="Narkisim" w:cs="Narkisim"/>
        </w:rPr>
      </w:pPr>
      <w:r w:rsidRPr="00440CAB">
        <w:rPr>
          <w:rFonts w:ascii="Narkisim" w:hAnsi="Narkisim" w:cs="Narkisim"/>
          <w:u w:val="single"/>
          <w:rtl/>
        </w:rPr>
        <w:t>רש"י לישנא אחרינא וכו'</w:t>
      </w:r>
      <w:r w:rsidRPr="00440CAB">
        <w:rPr>
          <w:rFonts w:ascii="Narkisim" w:hAnsi="Narkisim" w:cs="Narkisim"/>
          <w:rtl/>
        </w:rPr>
        <w:t xml:space="preserve"> דהא חופה ביבמה לא שייכא. ולפ"ז קושיית הגמ' דלא נחשב 'תחת אישך', ובזה תי' הגמ' בביאת שוגג, או מאמר. דעי"ז קנאה להחשב תחת אישך. וה</w:t>
      </w:r>
      <w:r w:rsidRPr="00440CAB">
        <w:rPr>
          <w:rFonts w:ascii="Narkisim" w:hAnsi="Narkisim" w:cs="Narkisim"/>
          <w:b/>
          <w:bCs/>
          <w:rtl/>
        </w:rPr>
        <w:t>רשב"א</w:t>
      </w:r>
      <w:r w:rsidRPr="00440CAB">
        <w:rPr>
          <w:rFonts w:ascii="Narkisim" w:hAnsi="Narkisim" w:cs="Narkisim"/>
          <w:rtl/>
        </w:rPr>
        <w:t xml:space="preserve"> הקשה דכיון דל"ק אלא לדברים הכתובים בפרשה, א"כ לא קרינן תחת אשך. וה</w:t>
      </w:r>
      <w:r w:rsidRPr="00440CAB">
        <w:rPr>
          <w:rFonts w:ascii="Narkisim" w:hAnsi="Narkisim" w:cs="Narkisim"/>
          <w:b/>
          <w:bCs/>
          <w:rtl/>
        </w:rPr>
        <w:t xml:space="preserve">מהרש"א </w:t>
      </w:r>
      <w:r w:rsidRPr="00440CAB">
        <w:rPr>
          <w:rFonts w:ascii="Narkisim" w:hAnsi="Narkisim" w:cs="Narkisim"/>
          <w:rtl/>
        </w:rPr>
        <w:t>(נח.) תי' דלאחר ביאת שוגג קנאה בחופה.</w:t>
      </w:r>
    </w:p>
    <w:p w14:paraId="2E2E2C09"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רשב"א</w:t>
      </w:r>
      <w:r w:rsidRPr="00440CAB">
        <w:rPr>
          <w:rFonts w:ascii="Narkisim" w:hAnsi="Narkisim"/>
          <w:rtl/>
        </w:rPr>
        <w:t xml:space="preserve"> כת' דאף אם אח"כ הכניסה לחופה, הא אין חופה קונה ביבמה. [דאף לאחר שקנה לדברים הכתובים בפרשה, עדיין יש עליה 'שם יבמה' לענין נישואין, וקנאה רק בביאה</w:t>
      </w:r>
      <w:r w:rsidRPr="00440CAB">
        <w:rPr>
          <w:rStyle w:val="ac"/>
          <w:rFonts w:ascii="Narkisim" w:hAnsi="Narkisim"/>
          <w:rtl/>
        </w:rPr>
        <w:footnoteReference w:id="3550"/>
      </w:r>
      <w:r w:rsidRPr="00440CAB">
        <w:rPr>
          <w:rFonts w:ascii="Narkisim" w:hAnsi="Narkisim"/>
          <w:rtl/>
        </w:rPr>
        <w:t xml:space="preserve">]. </w:t>
      </w:r>
      <w:r w:rsidRPr="00440CAB">
        <w:rPr>
          <w:rFonts w:ascii="Narkisim" w:hAnsi="Narkisim"/>
          <w:sz w:val="20"/>
          <w:szCs w:val="20"/>
          <w:rtl/>
        </w:rPr>
        <w:t>ואילו המהרש"א ס"ל דכבר פרחה זיקת יבמין, ומהני חופה.</w:t>
      </w:r>
    </w:p>
    <w:p w14:paraId="3C5C1B41" w14:textId="77777777" w:rsidR="006074A5" w:rsidRPr="00440CAB" w:rsidRDefault="006074A5" w:rsidP="006074A5">
      <w:pPr>
        <w:pStyle w:val="a7"/>
        <w:bidi/>
        <w:rPr>
          <w:rFonts w:ascii="Narkisim" w:hAnsi="Narkisim"/>
        </w:rPr>
      </w:pPr>
      <w:r w:rsidRPr="00440CAB">
        <w:rPr>
          <w:rFonts w:ascii="Narkisim" w:hAnsi="Narkisim"/>
          <w:rtl/>
        </w:rPr>
        <w:t xml:space="preserve">והרשב"א כתב דהוה מצי להקשות, ועדיפא מיניה דחי. </w:t>
      </w:r>
      <w:r w:rsidRPr="00440CAB">
        <w:rPr>
          <w:rFonts w:ascii="Narkisim" w:hAnsi="Narkisim"/>
          <w:sz w:val="20"/>
          <w:szCs w:val="20"/>
          <w:rtl/>
        </w:rPr>
        <w:t>[אבל הקשה דבגמ' סוטה איתא כי הך סוגיא, וקאי למסקנא. וסיים וצריך לי עיון]</w:t>
      </w:r>
      <w:r w:rsidRPr="00440CAB">
        <w:rPr>
          <w:rFonts w:ascii="Narkisim" w:hAnsi="Narkisim"/>
          <w:rtl/>
        </w:rPr>
        <w:t>.</w:t>
      </w:r>
    </w:p>
    <w:p w14:paraId="348E591E" w14:textId="77777777" w:rsidR="006074A5" w:rsidRPr="00440CAB" w:rsidRDefault="006074A5" w:rsidP="006074A5">
      <w:pPr>
        <w:pStyle w:val="aa"/>
        <w:bidi/>
        <w:rPr>
          <w:rFonts w:ascii="Narkisim" w:hAnsi="Narkisim"/>
        </w:rPr>
      </w:pPr>
      <w:r w:rsidRPr="00440CAB">
        <w:rPr>
          <w:rFonts w:ascii="Narkisim" w:hAnsi="Narkisim"/>
          <w:u w:val="single"/>
          <w:rtl/>
        </w:rPr>
        <w:t>רש"י ד"ה שומרת יבם.</w:t>
      </w:r>
      <w:r w:rsidRPr="00440CAB">
        <w:rPr>
          <w:rFonts w:ascii="Narkisim" w:hAnsi="Narkisim"/>
          <w:rtl/>
        </w:rPr>
        <w:t xml:space="preserve"> דהא קדמה שכיבת בעל הראשון שהיא באה מכחו. [לל"ב]. וה</w:t>
      </w:r>
      <w:r w:rsidRPr="00440CAB">
        <w:rPr>
          <w:rFonts w:ascii="Narkisim" w:hAnsi="Narkisim"/>
          <w:b/>
          <w:bCs/>
          <w:rtl/>
        </w:rPr>
        <w:t>רשב"א</w:t>
      </w:r>
      <w:r w:rsidRPr="00440CAB">
        <w:rPr>
          <w:rFonts w:ascii="Narkisim" w:hAnsi="Narkisim"/>
          <w:rtl/>
        </w:rPr>
        <w:t xml:space="preserve"> הוסיף דמחמת הראשון הקנו לו מהשמים. [ומבואר דכוונתם כדברי ה</w:t>
      </w:r>
      <w:r w:rsidRPr="00440CAB">
        <w:rPr>
          <w:rFonts w:ascii="Narkisim" w:hAnsi="Narkisim"/>
          <w:b/>
          <w:bCs/>
          <w:rtl/>
        </w:rPr>
        <w:t>אחרונים</w:t>
      </w:r>
      <w:r w:rsidRPr="00440CAB">
        <w:rPr>
          <w:rFonts w:ascii="Narkisim" w:hAnsi="Narkisim"/>
          <w:rtl/>
        </w:rPr>
        <w:t xml:space="preserve"> דאישות היבם הוה המשך מאישות המת, וקם תחתיו</w:t>
      </w:r>
      <w:r w:rsidRPr="00440CAB">
        <w:rPr>
          <w:rStyle w:val="ac"/>
          <w:rFonts w:ascii="Narkisim" w:hAnsi="Narkisim"/>
          <w:rtl/>
        </w:rPr>
        <w:footnoteReference w:id="3551"/>
      </w:r>
      <w:r w:rsidRPr="00440CAB">
        <w:rPr>
          <w:rFonts w:ascii="Narkisim" w:hAnsi="Narkisim"/>
          <w:rtl/>
        </w:rPr>
        <w:t>].</w:t>
      </w:r>
    </w:p>
    <w:p w14:paraId="53FD98D5" w14:textId="77777777" w:rsidR="006074A5" w:rsidRPr="00440CAB" w:rsidRDefault="006074A5" w:rsidP="006074A5">
      <w:pPr>
        <w:bidi/>
        <w:rPr>
          <w:rFonts w:ascii="Narkisim" w:hAnsi="Narkisim" w:cs="Narkisim"/>
        </w:rPr>
      </w:pPr>
      <w:r w:rsidRPr="00440CAB">
        <w:rPr>
          <w:rFonts w:ascii="Narkisim" w:hAnsi="Narkisim" w:cs="Narkisim"/>
          <w:u w:val="single"/>
          <w:rtl/>
        </w:rPr>
        <w:t>בא"ד ומאמר קונה קנין גמור וקרינן ביה תחת אישך.</w:t>
      </w:r>
      <w:r w:rsidRPr="00440CAB">
        <w:rPr>
          <w:rFonts w:ascii="Narkisim" w:hAnsi="Narkisim" w:cs="Narkisim"/>
          <w:rtl/>
        </w:rPr>
        <w:t xml:space="preserve"> וה</w:t>
      </w:r>
      <w:r w:rsidRPr="00440CAB">
        <w:rPr>
          <w:rFonts w:ascii="Narkisim" w:hAnsi="Narkisim" w:cs="Narkisim"/>
          <w:b/>
          <w:bCs/>
          <w:rtl/>
        </w:rPr>
        <w:t>רשב"א</w:t>
      </w:r>
      <w:r w:rsidRPr="00440CAB">
        <w:rPr>
          <w:rFonts w:ascii="Narkisim" w:hAnsi="Narkisim" w:cs="Narkisim"/>
          <w:rtl/>
        </w:rPr>
        <w:t xml:space="preserve"> הקשה דאכתי ארוסה היא [כדאמרי' כט: אירוסין עושה], וארוסה אינה שותה. </w:t>
      </w:r>
      <w:r w:rsidRPr="00440CAB">
        <w:rPr>
          <w:rFonts w:ascii="Narkisim" w:hAnsi="Narkisim" w:cs="Narkisim"/>
          <w:sz w:val="20"/>
          <w:szCs w:val="20"/>
          <w:rtl/>
        </w:rPr>
        <w:t>[ועוד הקשה ה</w:t>
      </w:r>
      <w:r w:rsidRPr="00440CAB">
        <w:rPr>
          <w:rFonts w:ascii="Narkisim" w:hAnsi="Narkisim" w:cs="Narkisim"/>
          <w:b/>
          <w:bCs/>
          <w:sz w:val="20"/>
          <w:szCs w:val="20"/>
          <w:rtl/>
        </w:rPr>
        <w:t xml:space="preserve">רשב"א </w:t>
      </w:r>
      <w:r w:rsidRPr="00440CAB">
        <w:rPr>
          <w:rFonts w:ascii="Narkisim" w:hAnsi="Narkisim" w:cs="Narkisim"/>
          <w:sz w:val="20"/>
          <w:szCs w:val="20"/>
          <w:rtl/>
        </w:rPr>
        <w:t>דאחרי שזינתה ונאסרת עליו לר' עקיבא ל"מ מאמר].</w:t>
      </w:r>
      <w:r w:rsidRPr="00440CAB">
        <w:rPr>
          <w:rFonts w:ascii="Narkisim" w:hAnsi="Narkisim" w:cs="Narkisim"/>
          <w:rtl/>
        </w:rPr>
        <w:t xml:space="preserve"> וה</w:t>
      </w:r>
      <w:r w:rsidRPr="00440CAB">
        <w:rPr>
          <w:rFonts w:ascii="Narkisim" w:hAnsi="Narkisim" w:cs="Narkisim"/>
          <w:b/>
          <w:bCs/>
          <w:rtl/>
        </w:rPr>
        <w:t>רשב"א</w:t>
      </w:r>
      <w:r w:rsidRPr="00440CAB">
        <w:rPr>
          <w:rFonts w:ascii="Narkisim" w:hAnsi="Narkisim" w:cs="Narkisim"/>
          <w:rtl/>
        </w:rPr>
        <w:t xml:space="preserve"> פי' דעשה מאמר [ופרחה זיקת יבמין</w:t>
      </w:r>
      <w:r w:rsidRPr="00440CAB">
        <w:rPr>
          <w:rStyle w:val="ac"/>
          <w:rFonts w:ascii="Narkisim" w:hAnsi="Narkisim" w:cs="Narkisim"/>
          <w:rtl/>
        </w:rPr>
        <w:footnoteReference w:id="3552"/>
      </w:r>
      <w:r w:rsidRPr="00440CAB">
        <w:rPr>
          <w:rFonts w:ascii="Narkisim" w:hAnsi="Narkisim" w:cs="Narkisim"/>
          <w:rtl/>
        </w:rPr>
        <w:t>], ואח"כ בא עליה [בבית חמיה], ושוב קינה לה ונסתרה.</w:t>
      </w:r>
    </w:p>
    <w:p w14:paraId="42DD016A" w14:textId="77777777" w:rsidR="006074A5" w:rsidRPr="00440CAB" w:rsidRDefault="006074A5" w:rsidP="006074A5">
      <w:pPr>
        <w:bidi/>
        <w:rPr>
          <w:rFonts w:ascii="Narkisim" w:hAnsi="Narkisim" w:cs="Narkisim"/>
        </w:rPr>
      </w:pPr>
      <w:r w:rsidRPr="00440CAB">
        <w:rPr>
          <w:rFonts w:ascii="Narkisim" w:hAnsi="Narkisim" w:cs="Narkisim"/>
          <w:u w:val="single"/>
          <w:rtl/>
        </w:rPr>
        <w:t>ע"י גילגול.</w:t>
      </w:r>
      <w:r w:rsidRPr="00440CAB">
        <w:rPr>
          <w:rFonts w:ascii="Narkisim" w:hAnsi="Narkisim" w:cs="Narkisim"/>
          <w:rtl/>
        </w:rPr>
        <w:t xml:space="preserve"> בפשוטו בעי והביא האיש את אשתו, וקדמה שכיבת הבעל לעיקר ההשקאה, ואגב זה מהני לבדוק כל שתאסר עליו. אבל </w:t>
      </w:r>
      <w:r w:rsidRPr="00440CAB">
        <w:rPr>
          <w:rFonts w:ascii="Narkisim" w:hAnsi="Narkisim" w:cs="Narkisim"/>
          <w:b/>
          <w:bCs/>
          <w:rtl/>
        </w:rPr>
        <w:t>רע"א</w:t>
      </w:r>
      <w:r w:rsidRPr="00440CAB">
        <w:rPr>
          <w:rFonts w:ascii="Narkisim" w:hAnsi="Narkisim" w:cs="Narkisim"/>
          <w:rtl/>
        </w:rPr>
        <w:t xml:space="preserve"> (קידושין כז) כתב דע"י גלגול המים לא יבדקו, ומ"מ משביע שתפרוש מחמת השבועה.</w:t>
      </w:r>
    </w:p>
    <w:p w14:paraId="338C17C6" w14:textId="77777777" w:rsidR="006074A5" w:rsidRPr="00440CAB" w:rsidRDefault="006074A5" w:rsidP="006074A5">
      <w:pPr>
        <w:bidi/>
        <w:rPr>
          <w:rFonts w:ascii="Narkisim" w:hAnsi="Narkisim" w:cs="Narkisim"/>
        </w:rPr>
      </w:pPr>
      <w:r w:rsidRPr="00440CAB">
        <w:rPr>
          <w:rFonts w:ascii="Narkisim" w:hAnsi="Narkisim" w:cs="Narkisim"/>
          <w:u w:val="single"/>
          <w:rtl/>
        </w:rPr>
        <w:t>תוד"ה על ידי.</w:t>
      </w:r>
      <w:r w:rsidRPr="00440CAB">
        <w:rPr>
          <w:rFonts w:ascii="Narkisim" w:hAnsi="Narkisim" w:cs="Narkisim"/>
          <w:rtl/>
        </w:rPr>
        <w:t xml:space="preserve"> א"נ משמע לאיש אחר אפי' קטן, דדמי לקרקעות שאין מקנין על ידו. [אף דנאסרת על בעל]. כ"ד </w:t>
      </w:r>
      <w:r w:rsidRPr="00440CAB">
        <w:rPr>
          <w:rFonts w:ascii="Narkisim" w:hAnsi="Narkisim" w:cs="Narkisim"/>
          <w:b/>
          <w:bCs/>
          <w:rtl/>
        </w:rPr>
        <w:t>תוס</w:t>
      </w:r>
      <w:r w:rsidRPr="00440CAB">
        <w:rPr>
          <w:rFonts w:ascii="Narkisim" w:hAnsi="Narkisim" w:cs="Narkisim"/>
          <w:rtl/>
        </w:rPr>
        <w:t>' (בכ"מ) דהא דתנן (בסוטה) דאין משקין ע"פ קטן איירי בקטן בן ט', ונתמעט מהשקאה אף דחייבין מיתה על ביאתו.</w:t>
      </w:r>
    </w:p>
    <w:p w14:paraId="2078DFB9" w14:textId="77777777" w:rsidR="006074A5" w:rsidRPr="00440CAB" w:rsidRDefault="006074A5" w:rsidP="006074A5">
      <w:pPr>
        <w:pStyle w:val="a7"/>
        <w:bidi/>
        <w:rPr>
          <w:rFonts w:ascii="Narkisim" w:hAnsi="Narkisim"/>
        </w:rPr>
      </w:pPr>
      <w:r w:rsidRPr="00440CAB">
        <w:rPr>
          <w:rFonts w:ascii="Narkisim" w:hAnsi="Narkisim"/>
          <w:rtl/>
        </w:rPr>
        <w:t>אבל דעת ה</w:t>
      </w:r>
      <w:r w:rsidRPr="00440CAB">
        <w:rPr>
          <w:rFonts w:ascii="Narkisim" w:hAnsi="Narkisim"/>
          <w:b/>
          <w:bCs/>
          <w:rtl/>
        </w:rPr>
        <w:t>רמב"ם</w:t>
      </w:r>
      <w:r w:rsidRPr="00440CAB">
        <w:rPr>
          <w:rFonts w:ascii="Narkisim" w:hAnsi="Narkisim"/>
          <w:rtl/>
        </w:rPr>
        <w:t xml:space="preserve"> דאיירי בקטן פחות מבן ט', וילפי' מקרא דאין משקין ע"י. וה</w:t>
      </w:r>
      <w:r w:rsidRPr="00440CAB">
        <w:rPr>
          <w:rFonts w:ascii="Narkisim" w:hAnsi="Narkisim"/>
          <w:b/>
          <w:bCs/>
          <w:rtl/>
        </w:rPr>
        <w:t xml:space="preserve">אחרונים </w:t>
      </w:r>
      <w:r w:rsidRPr="00440CAB">
        <w:rPr>
          <w:rFonts w:ascii="Narkisim" w:hAnsi="Narkisim"/>
          <w:rtl/>
        </w:rPr>
        <w:t>הקשו דכיון דאין ביאתו ביאה מה ס"ד דשייך קינוי ממנו. וה</w:t>
      </w:r>
      <w:r w:rsidRPr="00440CAB">
        <w:rPr>
          <w:rFonts w:ascii="Narkisim" w:hAnsi="Narkisim"/>
          <w:b/>
          <w:bCs/>
          <w:rtl/>
        </w:rPr>
        <w:t>מנח"ח</w:t>
      </w:r>
      <w:r w:rsidRPr="00440CAB">
        <w:rPr>
          <w:rFonts w:ascii="Narkisim" w:hAnsi="Narkisim"/>
          <w:rtl/>
        </w:rPr>
        <w:t xml:space="preserve"> (שסה לב) כתב דכוונת </w:t>
      </w:r>
      <w:r w:rsidRPr="00440CAB">
        <w:rPr>
          <w:rFonts w:ascii="Narkisim" w:hAnsi="Narkisim"/>
          <w:rtl/>
        </w:rPr>
        <w:lastRenderedPageBreak/>
        <w:t>הרמב"ם דקינה כשהוא פחות מבן ט', ושוב גדל. אבל ה</w:t>
      </w:r>
      <w:r w:rsidRPr="00440CAB">
        <w:rPr>
          <w:rFonts w:ascii="Narkisim" w:hAnsi="Narkisim"/>
          <w:b/>
          <w:bCs/>
          <w:rtl/>
        </w:rPr>
        <w:t>בית</w:t>
      </w:r>
      <w:r w:rsidRPr="00440CAB">
        <w:rPr>
          <w:rFonts w:ascii="Narkisim" w:hAnsi="Narkisim"/>
          <w:rtl/>
        </w:rPr>
        <w:t xml:space="preserve"> </w:t>
      </w:r>
      <w:r w:rsidRPr="00440CAB">
        <w:rPr>
          <w:rFonts w:ascii="Narkisim" w:hAnsi="Narkisim"/>
          <w:b/>
          <w:bCs/>
          <w:rtl/>
        </w:rPr>
        <w:t>הלוי</w:t>
      </w:r>
      <w:r w:rsidRPr="00440CAB">
        <w:rPr>
          <w:rFonts w:ascii="Narkisim" w:hAnsi="Narkisim"/>
          <w:rtl/>
        </w:rPr>
        <w:t xml:space="preserve"> (ב מ) כתב דס"ד דקינוי תליא בקפידת הבעל, ועי"ז תאסר [דומיא דדרך אברים לעיל נה:].</w:t>
      </w:r>
    </w:p>
    <w:p w14:paraId="582B790C" w14:textId="77777777" w:rsidR="006074A5" w:rsidRPr="00440CAB" w:rsidRDefault="006074A5" w:rsidP="006074A5">
      <w:pPr>
        <w:bidi/>
        <w:rPr>
          <w:rFonts w:ascii="Narkisim" w:hAnsi="Narkisim" w:cs="Narkisim"/>
        </w:rPr>
      </w:pPr>
      <w:r w:rsidRPr="00440CAB">
        <w:rPr>
          <w:rFonts w:ascii="Narkisim" w:hAnsi="Narkisim" w:cs="Narkisim"/>
          <w:u w:val="single"/>
          <w:rtl/>
        </w:rPr>
        <w:t>יש לו אח חלל.</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דאכתי משתמרת לביאת החלל. אבל בדברי המאירי משמע דנפסלת מחמת עצם הקנין, שהיא קנויה לחלל</w:t>
      </w:r>
      <w:r w:rsidRPr="00440CAB">
        <w:rPr>
          <w:rStyle w:val="ac"/>
          <w:rFonts w:ascii="Narkisim" w:hAnsi="Narkisim" w:cs="Narkisim"/>
          <w:rtl/>
        </w:rPr>
        <w:footnoteReference w:id="3553"/>
      </w:r>
      <w:r w:rsidRPr="00440CAB">
        <w:rPr>
          <w:rFonts w:ascii="Narkisim" w:hAnsi="Narkisim" w:cs="Narkisim"/>
          <w:rtl/>
        </w:rPr>
        <w:t>.</w:t>
      </w:r>
    </w:p>
    <w:p w14:paraId="16CFAE15" w14:textId="77777777" w:rsidR="006074A5" w:rsidRPr="00440CAB" w:rsidRDefault="006074A5" w:rsidP="006074A5">
      <w:pPr>
        <w:pStyle w:val="a8"/>
        <w:bidi/>
        <w:rPr>
          <w:rFonts w:ascii="Narkisim" w:hAnsi="Narkisim"/>
        </w:rPr>
      </w:pPr>
      <w:r w:rsidRPr="00440CAB">
        <w:rPr>
          <w:rFonts w:ascii="Narkisim" w:hAnsi="Narkisim"/>
          <w:rtl/>
        </w:rPr>
        <w:t>ודעת רש"י דכיון דזקוקה לכהן ולחלל מהני קנין הכהן להאכיל, והחלל אינו פוסל</w:t>
      </w:r>
      <w:r w:rsidRPr="00440CAB">
        <w:rPr>
          <w:rStyle w:val="ac"/>
          <w:rFonts w:ascii="Narkisim" w:hAnsi="Narkisim"/>
          <w:rtl/>
        </w:rPr>
        <w:footnoteReference w:id="3554"/>
      </w:r>
      <w:r w:rsidRPr="00440CAB">
        <w:rPr>
          <w:rFonts w:ascii="Narkisim" w:hAnsi="Narkisim"/>
          <w:rtl/>
        </w:rPr>
        <w:t>. וב</w:t>
      </w:r>
      <w:r w:rsidRPr="00440CAB">
        <w:rPr>
          <w:rFonts w:ascii="Narkisim" w:hAnsi="Narkisim"/>
          <w:b/>
          <w:bCs/>
          <w:rtl/>
        </w:rPr>
        <w:t>משנת ר' אהרן</w:t>
      </w:r>
      <w:r w:rsidRPr="00440CAB">
        <w:rPr>
          <w:rFonts w:ascii="Narkisim" w:hAnsi="Narkisim"/>
          <w:rtl/>
        </w:rPr>
        <w:t xml:space="preserve"> (כו ג) כתב [ע"פ דברי הריטב"א כתובות נח] דיבם פוסל דנחשב שנשאר אישות המת, והכא כיון דהמת היה כהן הזיקה לחלל אינו אוסר.</w:t>
      </w:r>
    </w:p>
    <w:p w14:paraId="3856249C" w14:textId="77777777" w:rsidR="006074A5" w:rsidRPr="00440CAB" w:rsidRDefault="006074A5" w:rsidP="006074A5">
      <w:pPr>
        <w:bidi/>
        <w:rPr>
          <w:rFonts w:ascii="Narkisim" w:hAnsi="Narkisim" w:cs="Narkisim"/>
        </w:rPr>
      </w:pPr>
      <w:r w:rsidRPr="00440CAB">
        <w:rPr>
          <w:rFonts w:ascii="Narkisim" w:hAnsi="Narkisim" w:cs="Narkisim"/>
          <w:u w:val="single"/>
          <w:rtl/>
        </w:rPr>
        <w:t>שנתן לה גט.</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דמשתרת לביאת היבם [ואפי' שנתן לה גט]. אבל ה</w:t>
      </w:r>
      <w:r w:rsidRPr="00440CAB">
        <w:rPr>
          <w:rFonts w:ascii="Narkisim" w:hAnsi="Narkisim" w:cs="Narkisim"/>
          <w:b/>
          <w:bCs/>
          <w:rtl/>
        </w:rPr>
        <w:t>ראשונים</w:t>
      </w:r>
      <w:r w:rsidRPr="00440CAB">
        <w:rPr>
          <w:rFonts w:ascii="Narkisim" w:hAnsi="Narkisim" w:cs="Narkisim"/>
          <w:rtl/>
        </w:rPr>
        <w:t xml:space="preserve"> הביאו בשם </w:t>
      </w:r>
      <w:r w:rsidRPr="00440CAB">
        <w:rPr>
          <w:rFonts w:ascii="Narkisim" w:hAnsi="Narkisim" w:cs="Narkisim"/>
          <w:b/>
          <w:bCs/>
          <w:rtl/>
        </w:rPr>
        <w:t>ר"ח</w:t>
      </w:r>
      <w:r w:rsidRPr="00440CAB">
        <w:rPr>
          <w:rFonts w:ascii="Narkisim" w:hAnsi="Narkisim" w:cs="Narkisim"/>
          <w:rtl/>
        </w:rPr>
        <w:t xml:space="preserve"> דאיירי שנתן גט ושוב עשה מאמר [הוא עצמו] דהשתא משתמרת לביאה פסולה דרבנן, דגט יבמין דרבנן. וכהן שגירש את אשתו לא אשכחן שיאכיל.</w:t>
      </w:r>
    </w:p>
    <w:p w14:paraId="5BC74B5D" w14:textId="77777777" w:rsidR="006074A5" w:rsidRPr="00440CAB" w:rsidRDefault="006074A5" w:rsidP="006074A5">
      <w:pPr>
        <w:pStyle w:val="aa"/>
        <w:bidi/>
        <w:rPr>
          <w:rFonts w:ascii="Narkisim" w:hAnsi="Narkisim"/>
        </w:rPr>
      </w:pPr>
      <w:r w:rsidRPr="00440CAB">
        <w:rPr>
          <w:rFonts w:ascii="Narkisim" w:hAnsi="Narkisim"/>
          <w:u w:val="single"/>
          <w:rtl/>
        </w:rPr>
        <w:t>יש לו להאכיל בחוזרת.</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כתב דלאו דוקא, דאין הגט מאכיל, אלא בסיבתו חוזרת לבית אביה.</w:t>
      </w:r>
    </w:p>
    <w:p w14:paraId="07A30EB2" w14:textId="77777777" w:rsidR="006074A5" w:rsidRPr="00440CAB" w:rsidRDefault="006074A5" w:rsidP="006074A5">
      <w:pPr>
        <w:pStyle w:val="2"/>
        <w:bidi/>
        <w:rPr>
          <w:rFonts w:ascii="Narkisim" w:hAnsi="Narkisim"/>
        </w:rPr>
      </w:pPr>
      <w:r w:rsidRPr="00440CAB">
        <w:rPr>
          <w:rFonts w:ascii="Narkisim" w:hAnsi="Narkisim"/>
          <w:rtl/>
        </w:rPr>
        <w:t>בגרה תחתיו</w:t>
      </w:r>
    </w:p>
    <w:p w14:paraId="15778953" w14:textId="77777777" w:rsidR="006074A5" w:rsidRPr="00440CAB" w:rsidRDefault="006074A5" w:rsidP="006074A5">
      <w:pPr>
        <w:bidi/>
        <w:rPr>
          <w:rFonts w:ascii="Narkisim" w:hAnsi="Narkisim" w:cs="Narkisim"/>
        </w:rPr>
      </w:pPr>
      <w:r w:rsidRPr="00440CAB">
        <w:rPr>
          <w:rFonts w:ascii="Narkisim" w:hAnsi="Narkisim" w:cs="Narkisim"/>
          <w:u w:val="single"/>
          <w:rtl/>
        </w:rPr>
        <w:t>כה"ג שקידש את הקטנה וכו'.</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ומצוותו בקטנה או נערה</w:t>
      </w:r>
      <w:r w:rsidRPr="00440CAB">
        <w:rPr>
          <w:rStyle w:val="ac"/>
          <w:rFonts w:ascii="Narkisim" w:hAnsi="Narkisim" w:cs="Narkisim"/>
          <w:rtl/>
        </w:rPr>
        <w:footnoteReference w:id="3555"/>
      </w:r>
      <w:r w:rsidRPr="00440CAB">
        <w:rPr>
          <w:rFonts w:ascii="Narkisim" w:hAnsi="Narkisim" w:cs="Narkisim"/>
          <w:rtl/>
        </w:rPr>
        <w:t>. ולחד מ"ד (לקמן סא:) כה"ג אסור בקטנה, וכ"פ ה</w:t>
      </w:r>
      <w:r w:rsidRPr="00440CAB">
        <w:rPr>
          <w:rFonts w:ascii="Narkisim" w:hAnsi="Narkisim" w:cs="Narkisim"/>
          <w:b/>
          <w:bCs/>
          <w:rtl/>
        </w:rPr>
        <w:t>רמב"ם</w:t>
      </w:r>
      <w:r w:rsidRPr="00440CAB">
        <w:rPr>
          <w:rFonts w:ascii="Narkisim" w:hAnsi="Narkisim" w:cs="Narkisim"/>
          <w:rtl/>
        </w:rPr>
        <w:t xml:space="preserve"> </w:t>
      </w:r>
      <w:r w:rsidRPr="00440CAB">
        <w:rPr>
          <w:rFonts w:ascii="Narkisim" w:hAnsi="Narkisim" w:cs="Narkisim"/>
          <w:sz w:val="20"/>
          <w:szCs w:val="20"/>
          <w:rtl/>
        </w:rPr>
        <w:t>(איסו"ב יז יג).</w:t>
      </w:r>
      <w:r w:rsidRPr="00440CAB">
        <w:rPr>
          <w:rFonts w:ascii="Narkisim" w:hAnsi="Narkisim" w:cs="Narkisim"/>
          <w:rtl/>
        </w:rPr>
        <w:t xml:space="preserve"> וה</w:t>
      </w:r>
      <w:r w:rsidRPr="00440CAB">
        <w:rPr>
          <w:rFonts w:ascii="Narkisim" w:hAnsi="Narkisim" w:cs="Narkisim"/>
          <w:b/>
          <w:bCs/>
          <w:rtl/>
        </w:rPr>
        <w:t>מאירי</w:t>
      </w:r>
      <w:r w:rsidRPr="00440CAB">
        <w:rPr>
          <w:rFonts w:ascii="Narkisim" w:hAnsi="Narkisim" w:cs="Narkisim"/>
          <w:rtl/>
        </w:rPr>
        <w:t xml:space="preserve"> (כאן) הקשה מסוגיין. וה</w:t>
      </w:r>
      <w:r w:rsidRPr="00440CAB">
        <w:rPr>
          <w:rFonts w:ascii="Narkisim" w:hAnsi="Narkisim" w:cs="Narkisim"/>
          <w:b/>
          <w:bCs/>
          <w:rtl/>
        </w:rPr>
        <w:t>משנ"ל</w:t>
      </w:r>
      <w:r w:rsidRPr="00440CAB">
        <w:rPr>
          <w:rFonts w:ascii="Narkisim" w:hAnsi="Narkisim" w:cs="Narkisim"/>
          <w:rtl/>
        </w:rPr>
        <w:t xml:space="preserve"> (איסו"ב יז יז) כתב דאף לדעת הרמב"ם האיסור דוקא כשהיא קטנה בשעת נישואין. אבל מותר לקדש בעודה קטנה ולכנוס בנערות.</w:t>
      </w:r>
    </w:p>
    <w:p w14:paraId="25DBF3A5" w14:textId="77777777" w:rsidR="006074A5" w:rsidRPr="00440CAB" w:rsidRDefault="006074A5" w:rsidP="006074A5">
      <w:pPr>
        <w:pStyle w:val="3"/>
        <w:bidi/>
        <w:rPr>
          <w:rFonts w:ascii="Narkisim" w:hAnsi="Narkisim"/>
        </w:rPr>
      </w:pPr>
      <w:r w:rsidRPr="00440CAB">
        <w:rPr>
          <w:rFonts w:ascii="Narkisim" w:hAnsi="Narkisim"/>
          <w:rtl/>
        </w:rPr>
        <w:t>דף נט.</w:t>
      </w:r>
    </w:p>
    <w:p w14:paraId="021EC727" w14:textId="77777777" w:rsidR="006074A5" w:rsidRPr="00440CAB" w:rsidRDefault="006074A5" w:rsidP="006074A5">
      <w:pPr>
        <w:bidi/>
        <w:rPr>
          <w:rFonts w:ascii="Narkisim" w:hAnsi="Narkisim" w:cs="Narkisim"/>
        </w:rPr>
      </w:pPr>
      <w:r w:rsidRPr="00440CAB">
        <w:rPr>
          <w:rFonts w:ascii="Narkisim" w:hAnsi="Narkisim" w:cs="Narkisim"/>
          <w:u w:val="single"/>
          <w:rtl/>
        </w:rPr>
        <w:t>מהו בתר נישואין אזלינן וכו'</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וכיון דבגרה אסורה, שהרי נושאה בבגרות. [וכדאי' בגמ' בסמוך]. אך </w:t>
      </w:r>
      <w:r w:rsidRPr="00440CAB">
        <w:rPr>
          <w:rFonts w:ascii="Narkisim" w:hAnsi="Narkisim" w:cs="Narkisim"/>
          <w:b/>
          <w:bCs/>
          <w:rtl/>
        </w:rPr>
        <w:t>תוס</w:t>
      </w:r>
      <w:r w:rsidRPr="00440CAB">
        <w:rPr>
          <w:rFonts w:ascii="Narkisim" w:hAnsi="Narkisim" w:cs="Narkisim"/>
          <w:rtl/>
        </w:rPr>
        <w:t>' פי' דס"ד דשמואל דאסור לכונסה, ונסתפק האם נחשב משתמרת לביאה פסולה.</w:t>
      </w:r>
    </w:p>
    <w:p w14:paraId="71CADE35" w14:textId="77777777" w:rsidR="006074A5" w:rsidRPr="00440CAB" w:rsidRDefault="006074A5" w:rsidP="006074A5">
      <w:pPr>
        <w:bidi/>
        <w:rPr>
          <w:rFonts w:ascii="Narkisim" w:hAnsi="Narkisim" w:cs="Narkisim"/>
        </w:rPr>
      </w:pPr>
      <w:r w:rsidRPr="00440CAB">
        <w:rPr>
          <w:rFonts w:ascii="Narkisim" w:hAnsi="Narkisim" w:cs="Narkisim"/>
          <w:u w:val="single"/>
          <w:rtl/>
        </w:rPr>
        <w:t>רש"י ד"ה מן האירוסין.</w:t>
      </w:r>
      <w:r w:rsidRPr="00440CAB">
        <w:rPr>
          <w:rFonts w:ascii="Narkisim" w:hAnsi="Narkisim" w:cs="Narkisim"/>
          <w:rtl/>
        </w:rPr>
        <w:t xml:space="preserve"> מדלא פסיל אלמנה שנתארסה לכה"ג וכו'. מבואר דהיה ס"ד דתתחלל ע"י עצם הקידושין. [וע' תוס']. וה</w:t>
      </w:r>
      <w:r w:rsidRPr="00440CAB">
        <w:rPr>
          <w:rFonts w:ascii="Narkisim" w:hAnsi="Narkisim" w:cs="Narkisim"/>
          <w:b/>
          <w:bCs/>
          <w:rtl/>
        </w:rPr>
        <w:t>רמב"ן</w:t>
      </w:r>
      <w:r w:rsidRPr="00440CAB">
        <w:rPr>
          <w:rFonts w:ascii="Narkisim" w:hAnsi="Narkisim" w:cs="Narkisim"/>
          <w:rtl/>
        </w:rPr>
        <w:t xml:space="preserve"> כת' דפשטינן דחללות כתיב גבי נישואין, א"כ ילפי' דקאי קרא בנישואין.</w:t>
      </w:r>
    </w:p>
    <w:p w14:paraId="0EBB9C8F" w14:textId="77777777" w:rsidR="006074A5" w:rsidRPr="00440CAB" w:rsidRDefault="006074A5" w:rsidP="006074A5">
      <w:pPr>
        <w:bidi/>
        <w:rPr>
          <w:rFonts w:ascii="Narkisim" w:hAnsi="Narkisim" w:cs="Narkisim"/>
        </w:rPr>
      </w:pPr>
      <w:r w:rsidRPr="00440CAB">
        <w:rPr>
          <w:rFonts w:ascii="Narkisim" w:hAnsi="Narkisim" w:cs="Narkisim"/>
          <w:u w:val="single"/>
          <w:rtl/>
        </w:rPr>
        <w:t>תניתוה אירס את האלמנה ונתמנה יכנוס וכו'</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אלמא בתר אירוסין אזלי'. [ואירס בהיתר, ומש"ה מותר לכונסה]. והגמ' דוחה דהוה גזיה"כ, דכתיב יקח אשה.</w:t>
      </w:r>
    </w:p>
    <w:p w14:paraId="4E71C362"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w:t>
      </w:r>
      <w:r w:rsidRPr="00440CAB">
        <w:rPr>
          <w:rFonts w:ascii="Narkisim" w:hAnsi="Narkisim"/>
          <w:szCs w:val="20"/>
          <w:rtl/>
        </w:rPr>
        <w:t>(לעיל כ: ד"ה אטו</w:t>
      </w:r>
      <w:r w:rsidRPr="00440CAB">
        <w:rPr>
          <w:rFonts w:ascii="Narkisim" w:hAnsi="Narkisim"/>
          <w:rtl/>
        </w:rPr>
        <w:t xml:space="preserve">) כת' דדוקא באירס ואח"כ נתמנה להיות כה"ג בעי קרא להתיר, אבל היכא דנשאה בהיתר כיון דנשא בהיתר בלא דחיית איסור יכול לקיימה. </w:t>
      </w:r>
      <w:r w:rsidRPr="00440CAB">
        <w:rPr>
          <w:rFonts w:ascii="Narkisim" w:hAnsi="Narkisim"/>
          <w:sz w:val="20"/>
          <w:szCs w:val="20"/>
          <w:rtl/>
        </w:rPr>
        <w:t>[ומשמע דהוה סברא בכל איסורי ביאה, דהיכא דנשאה בהיתר לא חל איסור לאוסרה על בעלה</w:t>
      </w:r>
      <w:r w:rsidRPr="00440CAB">
        <w:rPr>
          <w:rStyle w:val="ac"/>
          <w:rFonts w:ascii="Narkisim" w:hAnsi="Narkisim"/>
          <w:sz w:val="20"/>
          <w:szCs w:val="20"/>
          <w:rtl/>
        </w:rPr>
        <w:footnoteReference w:id="3556"/>
      </w:r>
      <w:r w:rsidRPr="00440CAB">
        <w:rPr>
          <w:rFonts w:ascii="Narkisim" w:hAnsi="Narkisim"/>
          <w:sz w:val="20"/>
          <w:szCs w:val="20"/>
          <w:rtl/>
        </w:rPr>
        <w:t>. אבל היכא דחל לאחר אירוסין חל לאסור]</w:t>
      </w:r>
      <w:r w:rsidRPr="00440CAB">
        <w:rPr>
          <w:rFonts w:ascii="Narkisim" w:hAnsi="Narkisim"/>
          <w:rtl/>
        </w:rPr>
        <w:t>.</w:t>
      </w:r>
    </w:p>
    <w:p w14:paraId="7D617199"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אחרונים</w:t>
      </w:r>
      <w:r w:rsidRPr="00440CAB">
        <w:rPr>
          <w:rFonts w:ascii="Narkisim" w:hAnsi="Narkisim" w:cs="Narkisim"/>
          <w:rtl/>
        </w:rPr>
        <w:t xml:space="preserve"> דנו האם ספק הגמ' 'דבתר אירוסין', הוה ג"כ עד"ז [דילפי' מקרא] דבפסולי כהונה מהני דקידש בהיתר [שהיתה מותרת לו לישאנה]. או דהוה ספק בגדר האיסור של בעולה ובוגרת [דהוה איסור רק במעשה הנישואין], האם מהני דקידש בהיתר שלא תאסר עליו.</w:t>
      </w:r>
      <w:r w:rsidRPr="00440CAB">
        <w:rPr>
          <w:rFonts w:ascii="Narkisim" w:hAnsi="Narkisim" w:cs="Narkisim"/>
          <w:sz w:val="20"/>
          <w:szCs w:val="20"/>
          <w:rtl/>
        </w:rPr>
        <w:t xml:space="preserve"> [וה</w:t>
      </w:r>
      <w:r w:rsidRPr="00440CAB">
        <w:rPr>
          <w:rFonts w:ascii="Narkisim" w:hAnsi="Narkisim" w:cs="Narkisim"/>
          <w:b/>
          <w:bCs/>
          <w:sz w:val="20"/>
          <w:szCs w:val="20"/>
          <w:rtl/>
        </w:rPr>
        <w:t>משנ"ל</w:t>
      </w:r>
      <w:r w:rsidRPr="00440CAB">
        <w:rPr>
          <w:rFonts w:ascii="Narkisim" w:hAnsi="Narkisim" w:cs="Narkisim"/>
          <w:sz w:val="20"/>
          <w:szCs w:val="20"/>
          <w:rtl/>
        </w:rPr>
        <w:t xml:space="preserve"> (הנ"ל) כתב דפשיטא דאין איסור בקידושין של בוגרת, אלא בנישואין, ויל"ד האם זה גופה ספק הגמ' לעיל. או דמ"מ ס"ד דמהני בהיתר].</w:t>
      </w:r>
    </w:p>
    <w:p w14:paraId="1E4FE31C"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חזו"א</w:t>
      </w:r>
      <w:r w:rsidRPr="00440CAB">
        <w:rPr>
          <w:rFonts w:ascii="Narkisim" w:hAnsi="Narkisim"/>
          <w:rtl/>
        </w:rPr>
        <w:t xml:space="preserve"> (יד ה) ביאר דלא נחשב נישואי כה"ג, אלא כהן הדיוט. וגנאי הוא שכה"ג יכנוס מי שהיא בוגרת קודם, אבל במה שמכניס מי שקידש [בהיתר] לא נחשב כה"ג שנושא.</w:t>
      </w:r>
    </w:p>
    <w:p w14:paraId="79C86BA1" w14:textId="77777777" w:rsidR="006074A5" w:rsidRPr="00440CAB" w:rsidRDefault="006074A5" w:rsidP="006074A5">
      <w:pPr>
        <w:bidi/>
        <w:rPr>
          <w:rFonts w:ascii="Narkisim" w:hAnsi="Narkisim" w:cs="Narkisim"/>
        </w:rPr>
      </w:pPr>
      <w:r w:rsidRPr="00440CAB">
        <w:rPr>
          <w:rFonts w:ascii="Narkisim" w:hAnsi="Narkisim" w:cs="Narkisim"/>
          <w:u w:val="single"/>
          <w:rtl/>
        </w:rPr>
        <w:t>הא אישתני גופא וכו'.</w:t>
      </w:r>
      <w:r w:rsidRPr="00440CAB">
        <w:rPr>
          <w:rFonts w:ascii="Narkisim" w:hAnsi="Narkisim" w:cs="Narkisim"/>
          <w:rtl/>
        </w:rPr>
        <w:t xml:space="preserve"> ה</w:t>
      </w:r>
      <w:r w:rsidRPr="00440CAB">
        <w:rPr>
          <w:rFonts w:ascii="Narkisim" w:hAnsi="Narkisim" w:cs="Narkisim"/>
          <w:b/>
          <w:bCs/>
          <w:rtl/>
        </w:rPr>
        <w:t>משנ"ל</w:t>
      </w:r>
      <w:r w:rsidRPr="00440CAB">
        <w:rPr>
          <w:rFonts w:ascii="Narkisim" w:hAnsi="Narkisim" w:cs="Narkisim"/>
          <w:rtl/>
        </w:rPr>
        <w:t xml:space="preserve"> (איסו"ב יז יז) כתב דפשטות סברת הגמ' דיש חילוק בין היכא דנשתנה האשה האסורה. להיכא דנשתנה גורם האיסור, שנתמנה להיות כה"ג. ועפ"ז </w:t>
      </w:r>
      <w:r w:rsidRPr="00440CAB">
        <w:rPr>
          <w:rFonts w:ascii="Narkisim" w:hAnsi="Narkisim" w:cs="Narkisim"/>
          <w:rtl/>
        </w:rPr>
        <w:lastRenderedPageBreak/>
        <w:t>נקט דאירס קטנה אלמנה, ונתמנה להיות כה"ג ואח"כ בגרה אסורה עליו. [מחמת השם 'בוגרת', ואף דהאלמנות אינו אוסר].</w:t>
      </w:r>
    </w:p>
    <w:p w14:paraId="18D6041D" w14:textId="77777777" w:rsidR="006074A5" w:rsidRPr="00440CAB" w:rsidRDefault="006074A5" w:rsidP="006074A5">
      <w:pPr>
        <w:pStyle w:val="a7"/>
        <w:bidi/>
        <w:rPr>
          <w:rFonts w:ascii="Narkisim" w:hAnsi="Narkisim"/>
        </w:rPr>
      </w:pPr>
      <w:r w:rsidRPr="00440CAB">
        <w:rPr>
          <w:rFonts w:ascii="Narkisim" w:hAnsi="Narkisim"/>
          <w:rtl/>
        </w:rPr>
        <w:t xml:space="preserve">אבל </w:t>
      </w:r>
      <w:r w:rsidRPr="00440CAB">
        <w:rPr>
          <w:rFonts w:ascii="Narkisim" w:hAnsi="Narkisim"/>
          <w:b/>
          <w:bCs/>
          <w:rtl/>
        </w:rPr>
        <w:t>תוס'</w:t>
      </w:r>
      <w:r w:rsidRPr="00440CAB">
        <w:rPr>
          <w:rFonts w:ascii="Narkisim" w:hAnsi="Narkisim"/>
          <w:rtl/>
        </w:rPr>
        <w:t xml:space="preserve"> (ד"ה הא, וכן בריטב"א) מבואר דתליא אי הוה שינוי הגוף או שינוי 'דין'. ובזה תוס' דנו האם בעולה נחשב שינוי הגוף. וה</w:t>
      </w:r>
      <w:r w:rsidRPr="00440CAB">
        <w:rPr>
          <w:rFonts w:ascii="Narkisim" w:hAnsi="Narkisim"/>
          <w:b/>
          <w:bCs/>
          <w:rtl/>
        </w:rPr>
        <w:t>משנ"ל</w:t>
      </w:r>
      <w:r w:rsidRPr="00440CAB">
        <w:rPr>
          <w:rFonts w:ascii="Narkisim" w:hAnsi="Narkisim"/>
          <w:rtl/>
        </w:rPr>
        <w:t xml:space="preserve"> חלק דהוה שינוי באשה, ואוסר.</w:t>
      </w:r>
    </w:p>
    <w:p w14:paraId="6568937E"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חזו"א</w:t>
      </w:r>
      <w:r w:rsidRPr="00440CAB">
        <w:rPr>
          <w:rFonts w:ascii="Narkisim" w:hAnsi="Narkisim"/>
          <w:rtl/>
        </w:rPr>
        <w:t xml:space="preserve"> (יד ה) כתב דאף לתוס' כיון דקידשה קודם שנתמנה נחשב שלא נשתנה הגוף, בין בגרה קודם שנתמנה או אח"כ. ומש"כ תוס' דנשתנה הגוף אחר שנתמנה היינו שקידש אח"כ.</w:t>
      </w:r>
    </w:p>
    <w:p w14:paraId="77EF2322"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ערול"נ</w:t>
      </w:r>
      <w:r w:rsidRPr="00440CAB">
        <w:rPr>
          <w:rFonts w:ascii="Narkisim" w:hAnsi="Narkisim" w:cs="Narkisim"/>
          <w:rtl/>
        </w:rPr>
        <w:t xml:space="preserve"> נסתפק האם בשאר פסולי כהונה מהני קידוש בהיתר [כשאינו שינוי הגוף]. </w:t>
      </w:r>
      <w:r w:rsidRPr="00440CAB">
        <w:rPr>
          <w:rFonts w:ascii="Narkisim" w:hAnsi="Narkisim" w:cs="Narkisim"/>
          <w:sz w:val="20"/>
          <w:szCs w:val="20"/>
          <w:rtl/>
        </w:rPr>
        <w:t>כגון קידש חוץ מפלוני, והמשני קידש וגירש, האם נחשבת גרושה תחתיו.</w:t>
      </w:r>
    </w:p>
    <w:p w14:paraId="2C23D1CE" w14:textId="77777777" w:rsidR="006074A5" w:rsidRPr="00440CAB" w:rsidRDefault="006074A5" w:rsidP="006074A5">
      <w:pPr>
        <w:bidi/>
        <w:rPr>
          <w:rFonts w:ascii="Narkisim" w:hAnsi="Narkisim" w:cs="Narkisim"/>
        </w:rPr>
      </w:pPr>
      <w:r w:rsidRPr="00440CAB">
        <w:rPr>
          <w:rFonts w:ascii="Narkisim" w:hAnsi="Narkisim" w:cs="Narkisim"/>
          <w:u w:val="single"/>
          <w:rtl/>
        </w:rPr>
        <w:t>תוד"ה מהו.</w:t>
      </w:r>
      <w:r w:rsidRPr="00440CAB">
        <w:rPr>
          <w:rFonts w:ascii="Narkisim" w:hAnsi="Narkisim" w:cs="Narkisim"/>
          <w:rtl/>
        </w:rPr>
        <w:t xml:space="preserve"> אי חשיב ליה לר"מ משתמרת לביאה פסולה. ה</w:t>
      </w:r>
      <w:r w:rsidRPr="00440CAB">
        <w:rPr>
          <w:rFonts w:ascii="Narkisim" w:hAnsi="Narkisim" w:cs="Narkisim"/>
          <w:b/>
          <w:bCs/>
          <w:rtl/>
        </w:rPr>
        <w:t>דרך אמונה</w:t>
      </w:r>
      <w:r w:rsidRPr="00440CAB">
        <w:rPr>
          <w:rFonts w:ascii="Narkisim" w:hAnsi="Narkisim" w:cs="Narkisim"/>
          <w:rtl/>
        </w:rPr>
        <w:t xml:space="preserve"> (תרומות ז כג ביאוה"ה, וכן בשיעו' רב"ב) הקשה דקי"ל (ע' לקמן ס.) דבעולת עצמו ובוגרת אינו עושה חללים, א"כ אינה משתמרת ליפסל בחללות. והביא דמבואר דכל היכא דאסורה עליו חשיבא משתמרת לביאה פסולה. ואף לולי שתעשה חללה עי"ז. אלא עצם הא דזקוקה לביאה האסורה</w:t>
      </w:r>
      <w:r w:rsidRPr="00440CAB">
        <w:rPr>
          <w:rStyle w:val="ac"/>
          <w:rFonts w:ascii="Narkisim" w:hAnsi="Narkisim" w:cs="Narkisim"/>
          <w:rtl/>
        </w:rPr>
        <w:footnoteReference w:id="3557"/>
      </w:r>
      <w:r w:rsidRPr="00440CAB">
        <w:rPr>
          <w:rFonts w:ascii="Narkisim" w:hAnsi="Narkisim" w:cs="Narkisim"/>
          <w:rtl/>
        </w:rPr>
        <w:t>.</w:t>
      </w:r>
    </w:p>
    <w:p w14:paraId="75348873" w14:textId="77777777" w:rsidR="006074A5" w:rsidRPr="00440CAB" w:rsidRDefault="006074A5" w:rsidP="006074A5">
      <w:pPr>
        <w:pStyle w:val="a8"/>
        <w:bidi/>
        <w:rPr>
          <w:rFonts w:ascii="Narkisim" w:hAnsi="Narkisim"/>
        </w:rPr>
      </w:pPr>
      <w:r w:rsidRPr="00440CAB">
        <w:rPr>
          <w:rFonts w:ascii="Narkisim" w:hAnsi="Narkisim"/>
          <w:rtl/>
        </w:rPr>
        <w:t>ועפ"ז פי' דברי ה</w:t>
      </w:r>
      <w:r w:rsidRPr="00440CAB">
        <w:rPr>
          <w:rFonts w:ascii="Narkisim" w:hAnsi="Narkisim"/>
          <w:b/>
          <w:bCs/>
          <w:rtl/>
        </w:rPr>
        <w:t>רמב"ם</w:t>
      </w:r>
      <w:r w:rsidRPr="00440CAB">
        <w:rPr>
          <w:rFonts w:ascii="Narkisim" w:hAnsi="Narkisim"/>
          <w:rtl/>
        </w:rPr>
        <w:t xml:space="preserve"> (שם) שכת' גבי שניות דהוה משתמרת לביאה פסולה דרבנן, ולא פסיל. ותיפו"ל דבשניות אינה נעשית חללה. וכן בגמ' (לעיל נח:) לגבי גט ביבמה.</w:t>
      </w:r>
    </w:p>
    <w:p w14:paraId="7B63A1F4" w14:textId="77777777" w:rsidR="006074A5" w:rsidRPr="00440CAB" w:rsidRDefault="006074A5" w:rsidP="006074A5">
      <w:pPr>
        <w:pStyle w:val="aa"/>
        <w:bidi/>
        <w:rPr>
          <w:rFonts w:ascii="Narkisim" w:hAnsi="Narkisim"/>
        </w:rPr>
      </w:pPr>
      <w:r w:rsidRPr="00440CAB">
        <w:rPr>
          <w:rFonts w:ascii="Narkisim" w:hAnsi="Narkisim"/>
          <w:u w:val="single"/>
          <w:rtl/>
        </w:rPr>
        <w:t>תוד"ה הא.</w:t>
      </w:r>
      <w:r w:rsidRPr="00440CAB">
        <w:rPr>
          <w:rFonts w:ascii="Narkisim" w:hAnsi="Narkisim"/>
          <w:rtl/>
        </w:rPr>
        <w:t xml:space="preserve"> נעשית בעולה. ה</w:t>
      </w:r>
      <w:r w:rsidRPr="00440CAB">
        <w:rPr>
          <w:rFonts w:ascii="Narkisim" w:hAnsi="Narkisim"/>
          <w:b/>
          <w:bCs/>
          <w:rtl/>
        </w:rPr>
        <w:t>רש"ש</w:t>
      </w:r>
      <w:r w:rsidRPr="00440CAB">
        <w:rPr>
          <w:rFonts w:ascii="Narkisim" w:hAnsi="Narkisim"/>
          <w:rtl/>
        </w:rPr>
        <w:t xml:space="preserve"> פי' דהיינו בעולת עצמו, וכמ"ש תוס' בסמוך. [דאל"כ הוה זונה].</w:t>
      </w:r>
    </w:p>
    <w:p w14:paraId="38490959" w14:textId="77777777" w:rsidR="006074A5" w:rsidRPr="00440CAB" w:rsidRDefault="006074A5" w:rsidP="006074A5">
      <w:pPr>
        <w:bidi/>
        <w:rPr>
          <w:rFonts w:ascii="Narkisim" w:hAnsi="Narkisim" w:cs="Narkisim"/>
        </w:rPr>
      </w:pPr>
      <w:r w:rsidRPr="00440CAB">
        <w:rPr>
          <w:rFonts w:ascii="Narkisim" w:hAnsi="Narkisim" w:cs="Narkisim"/>
          <w:u w:val="single"/>
          <w:rtl/>
        </w:rPr>
        <w:t>בא"ד וקצת משמע (קידושין י.) וכו' היאך יכנוס והלא בעולה היא בשעת נישואין וכו'</w:t>
      </w:r>
      <w:r w:rsidRPr="00440CAB">
        <w:rPr>
          <w:rFonts w:ascii="Narkisim" w:hAnsi="Narkisim" w:cs="Narkisim"/>
          <w:rtl/>
        </w:rPr>
        <w:t>. וכה"ק הראשונים לצד דביאת קידושין עושה אירוסין, א"כ בשעת נישואין הוה בעולה. וה</w:t>
      </w:r>
      <w:r w:rsidRPr="00440CAB">
        <w:rPr>
          <w:rFonts w:ascii="Narkisim" w:hAnsi="Narkisim" w:cs="Narkisim"/>
          <w:b/>
          <w:bCs/>
          <w:rtl/>
        </w:rPr>
        <w:t>ריטב"א</w:t>
      </w:r>
      <w:r w:rsidRPr="00440CAB">
        <w:rPr>
          <w:rFonts w:ascii="Narkisim" w:hAnsi="Narkisim" w:cs="Narkisim"/>
          <w:rtl/>
        </w:rPr>
        <w:t xml:space="preserve"> (קידושין י) הוסיף דאף לצד דביאה נישואין עושה, היינו סוף ביאה דהוה ביאה גמורה. [וה</w:t>
      </w:r>
      <w:r w:rsidRPr="00440CAB">
        <w:rPr>
          <w:rFonts w:ascii="Narkisim" w:hAnsi="Narkisim" w:cs="Narkisim"/>
          <w:b/>
          <w:bCs/>
          <w:rtl/>
        </w:rPr>
        <w:t>משנ"ל</w:t>
      </w:r>
      <w:r w:rsidRPr="00440CAB">
        <w:rPr>
          <w:rFonts w:ascii="Narkisim" w:hAnsi="Narkisim" w:cs="Narkisim"/>
          <w:rtl/>
        </w:rPr>
        <w:t xml:space="preserve"> </w:t>
      </w:r>
      <w:r w:rsidRPr="00440CAB">
        <w:rPr>
          <w:rFonts w:ascii="Narkisim" w:hAnsi="Narkisim" w:cs="Narkisim"/>
          <w:sz w:val="20"/>
          <w:szCs w:val="20"/>
          <w:rtl/>
        </w:rPr>
        <w:t>(איסו"ב יז טו)</w:t>
      </w:r>
      <w:r w:rsidRPr="00440CAB">
        <w:rPr>
          <w:rFonts w:ascii="Narkisim" w:hAnsi="Narkisim" w:cs="Narkisim"/>
          <w:rtl/>
        </w:rPr>
        <w:t xml:space="preserve"> תמה מנליה הא. </w:t>
      </w:r>
      <w:r w:rsidRPr="00440CAB">
        <w:rPr>
          <w:rFonts w:ascii="Narkisim" w:hAnsi="Narkisim" w:cs="Narkisim"/>
          <w:sz w:val="20"/>
          <w:szCs w:val="20"/>
          <w:rtl/>
        </w:rPr>
        <w:t>וע' אבנ"מ לג ב].</w:t>
      </w:r>
    </w:p>
    <w:p w14:paraId="64F870F9"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 xml:space="preserve">רמב"ן </w:t>
      </w:r>
      <w:r w:rsidRPr="00440CAB">
        <w:rPr>
          <w:rFonts w:ascii="Narkisim" w:hAnsi="Narkisim"/>
          <w:rtl/>
        </w:rPr>
        <w:t>(קידושין י. וריטב"א כאן) תי' דאיירי נכנסה לחופה בלא קידושין, ואח"כ בא עליה.</w:t>
      </w:r>
    </w:p>
    <w:p w14:paraId="2A12F1E6"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(אישות י ב) הביא מדבריהם דמהני חופה לפני קידושין</w:t>
      </w:r>
      <w:r w:rsidRPr="00440CAB">
        <w:rPr>
          <w:rStyle w:val="ac"/>
          <w:rFonts w:ascii="Narkisim" w:hAnsi="Narkisim"/>
          <w:rtl/>
        </w:rPr>
        <w:footnoteReference w:id="3558"/>
      </w:r>
      <w:r w:rsidRPr="00440CAB">
        <w:rPr>
          <w:rFonts w:ascii="Narkisim" w:hAnsi="Narkisim"/>
          <w:rtl/>
        </w:rPr>
        <w:t>, ודלא כ</w:t>
      </w:r>
      <w:r w:rsidRPr="00440CAB">
        <w:rPr>
          <w:rFonts w:ascii="Narkisim" w:hAnsi="Narkisim"/>
          <w:b/>
          <w:bCs/>
          <w:rtl/>
        </w:rPr>
        <w:t>משאת בנימין</w:t>
      </w:r>
      <w:r w:rsidRPr="00440CAB">
        <w:rPr>
          <w:rFonts w:ascii="Narkisim" w:hAnsi="Narkisim"/>
          <w:rtl/>
        </w:rPr>
        <w:t>. וה</w:t>
      </w:r>
      <w:r w:rsidRPr="00440CAB">
        <w:rPr>
          <w:rFonts w:ascii="Narkisim" w:hAnsi="Narkisim"/>
          <w:b/>
          <w:bCs/>
          <w:rtl/>
        </w:rPr>
        <w:t>שעה"מ</w:t>
      </w:r>
      <w:r w:rsidRPr="00440CAB">
        <w:rPr>
          <w:rFonts w:ascii="Narkisim" w:hAnsi="Narkisim"/>
          <w:rtl/>
        </w:rPr>
        <w:t xml:space="preserve"> (קו' ח"ח ו) חלק דהכא איירי דבשעת קידושין הוה עדיין בתוך החופה, ובזה ודאי מהני כאחת. והשעה"מ הביא ד</w:t>
      </w:r>
      <w:r w:rsidRPr="00440CAB">
        <w:rPr>
          <w:rFonts w:ascii="Narkisim" w:hAnsi="Narkisim"/>
          <w:b/>
          <w:bCs/>
          <w:rtl/>
        </w:rPr>
        <w:t>תוס</w:t>
      </w:r>
      <w:r w:rsidRPr="00440CAB">
        <w:rPr>
          <w:rFonts w:ascii="Narkisim" w:hAnsi="Narkisim"/>
          <w:rtl/>
        </w:rPr>
        <w:t>' (לעיל נז: ד"ה רב) משמע דל"מ חופה קודם קידושין.</w:t>
      </w:r>
    </w:p>
    <w:p w14:paraId="33D6DE8B" w14:textId="77777777" w:rsidR="006074A5" w:rsidRPr="00440CAB" w:rsidRDefault="006074A5" w:rsidP="006074A5">
      <w:pPr>
        <w:pStyle w:val="aa"/>
        <w:bidi/>
        <w:rPr>
          <w:rFonts w:ascii="Narkisim" w:hAnsi="Narkisim"/>
        </w:rPr>
      </w:pPr>
      <w:r w:rsidRPr="00440CAB">
        <w:rPr>
          <w:rFonts w:ascii="Narkisim" w:hAnsi="Narkisim"/>
          <w:u w:val="single"/>
          <w:rtl/>
        </w:rPr>
        <w:t>הכא נמי כתיב אשה, א' ולא ב' וכו'.</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דאין לך לרבות יותר מא'. אבל ה</w:t>
      </w:r>
      <w:r w:rsidRPr="00440CAB">
        <w:rPr>
          <w:rFonts w:ascii="Narkisim" w:hAnsi="Narkisim"/>
          <w:b/>
          <w:bCs/>
          <w:rtl/>
        </w:rPr>
        <w:t>רמב"ם</w:t>
      </w:r>
      <w:r w:rsidRPr="00440CAB">
        <w:rPr>
          <w:rFonts w:ascii="Narkisim" w:hAnsi="Narkisim"/>
          <w:rtl/>
        </w:rPr>
        <w:t xml:space="preserve"> (איסו"ב יז יג) כת' דרש מהך קרא דאסור לכה"ג לישא ב' נשים לעולם. [וב</w:t>
      </w:r>
      <w:r w:rsidRPr="00440CAB">
        <w:rPr>
          <w:rFonts w:ascii="Narkisim" w:hAnsi="Narkisim"/>
          <w:b/>
          <w:bCs/>
          <w:rtl/>
        </w:rPr>
        <w:t>חי' ר"א מן ההר</w:t>
      </w:r>
      <w:r w:rsidRPr="00440CAB">
        <w:rPr>
          <w:rFonts w:ascii="Narkisim" w:hAnsi="Narkisim"/>
          <w:rtl/>
        </w:rPr>
        <w:t xml:space="preserve"> הביא דלמד מסוגיין, וצ"ב]. וה</w:t>
      </w:r>
      <w:r w:rsidRPr="00440CAB">
        <w:rPr>
          <w:rFonts w:ascii="Narkisim" w:hAnsi="Narkisim"/>
          <w:b/>
          <w:bCs/>
          <w:rtl/>
        </w:rPr>
        <w:t>ראב"ד</w:t>
      </w:r>
      <w:r w:rsidRPr="00440CAB">
        <w:rPr>
          <w:rFonts w:ascii="Narkisim" w:hAnsi="Narkisim"/>
          <w:rtl/>
        </w:rPr>
        <w:t xml:space="preserve"> השיג דבסוגיא (יומא יג) משמע דמותר.</w:t>
      </w:r>
    </w:p>
    <w:p w14:paraId="55245A1B" w14:textId="77777777" w:rsidR="006074A5" w:rsidRPr="00440CAB" w:rsidRDefault="006074A5" w:rsidP="006074A5">
      <w:pPr>
        <w:bidi/>
        <w:rPr>
          <w:rFonts w:ascii="Narkisim" w:hAnsi="Narkisim" w:cs="Narkisim"/>
        </w:rPr>
      </w:pPr>
      <w:r w:rsidRPr="00440CAB">
        <w:rPr>
          <w:rFonts w:ascii="Narkisim" w:hAnsi="Narkisim" w:cs="Narkisim"/>
          <w:u w:val="single"/>
          <w:rtl/>
        </w:rPr>
        <w:t>ולא ישא את מוכת עץ.</w:t>
      </w:r>
      <w:r w:rsidRPr="00440CAB">
        <w:rPr>
          <w:rFonts w:ascii="Narkisim" w:hAnsi="Narkisim" w:cs="Narkisim"/>
          <w:rtl/>
        </w:rPr>
        <w:t xml:space="preserve"> ה</w:t>
      </w:r>
      <w:r w:rsidRPr="00440CAB">
        <w:rPr>
          <w:rFonts w:ascii="Narkisim" w:hAnsi="Narkisim" w:cs="Narkisim"/>
          <w:b/>
          <w:bCs/>
          <w:rtl/>
        </w:rPr>
        <w:t>ראשונים</w:t>
      </w:r>
      <w:r w:rsidRPr="00440CAB">
        <w:rPr>
          <w:rFonts w:ascii="Narkisim" w:hAnsi="Narkisim" w:cs="Narkisim"/>
          <w:rtl/>
        </w:rPr>
        <w:t xml:space="preserve"> (בע"ב) גרסו כן במתני'. דכו"ע מודו דאסורה לכה"ג [ולא פליגי הנך תנאי בזה</w:t>
      </w:r>
      <w:r w:rsidRPr="00440CAB">
        <w:rPr>
          <w:rStyle w:val="ac"/>
          <w:rFonts w:ascii="Narkisim" w:hAnsi="Narkisim" w:cs="Narkisim"/>
          <w:rtl/>
        </w:rPr>
        <w:footnoteReference w:id="3559"/>
      </w:r>
      <w:r w:rsidRPr="00440CAB">
        <w:rPr>
          <w:rFonts w:ascii="Narkisim" w:hAnsi="Narkisim" w:cs="Narkisim"/>
          <w:rtl/>
        </w:rPr>
        <w:t>]. אבל ה</w:t>
      </w:r>
      <w:r w:rsidRPr="00440CAB">
        <w:rPr>
          <w:rFonts w:ascii="Narkisim" w:hAnsi="Narkisim" w:cs="Narkisim"/>
          <w:b/>
          <w:bCs/>
          <w:rtl/>
        </w:rPr>
        <w:t>ריטב"א</w:t>
      </w:r>
      <w:r w:rsidRPr="00440CAB">
        <w:rPr>
          <w:rFonts w:ascii="Narkisim" w:hAnsi="Narkisim" w:cs="Narkisim"/>
          <w:rtl/>
        </w:rPr>
        <w:t xml:space="preserve"> (ס.) הביא דיש דלא גרסי' לה במשנה</w:t>
      </w:r>
      <w:r w:rsidRPr="00440CAB">
        <w:rPr>
          <w:rStyle w:val="ac"/>
          <w:rFonts w:ascii="Narkisim" w:hAnsi="Narkisim" w:cs="Narkisim"/>
          <w:rtl/>
        </w:rPr>
        <w:footnoteReference w:id="3560"/>
      </w:r>
      <w:r w:rsidRPr="00440CAB">
        <w:rPr>
          <w:rFonts w:ascii="Narkisim" w:hAnsi="Narkisim" w:cs="Narkisim"/>
          <w:rtl/>
        </w:rPr>
        <w:t>.</w:t>
      </w:r>
    </w:p>
    <w:p w14:paraId="6EA18EF4"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(נט:) הביא דהברייתא (נדה ח:) פליג. דאי' בתולת אדם, כל זמן שלא נבעלה כשירה לכה"ג. ומשמע דתליא דוקא בביאת אדם ומוכת עץ כשירה. וה</w:t>
      </w:r>
      <w:r w:rsidRPr="00440CAB">
        <w:rPr>
          <w:rFonts w:ascii="Narkisim" w:hAnsi="Narkisim"/>
          <w:b/>
          <w:bCs/>
          <w:rtl/>
        </w:rPr>
        <w:t>ריטב"א</w:t>
      </w:r>
      <w:r w:rsidRPr="00440CAB">
        <w:rPr>
          <w:rFonts w:ascii="Narkisim" w:hAnsi="Narkisim"/>
          <w:rtl/>
        </w:rPr>
        <w:t xml:space="preserve"> (ס., והרשב"א נדה בשם י"מ) דחה דכוונת הברייתא שנעשית מעשה ע"י אדם</w:t>
      </w:r>
      <w:r w:rsidRPr="00440CAB">
        <w:rPr>
          <w:rStyle w:val="ac"/>
          <w:rFonts w:ascii="Narkisim" w:hAnsi="Narkisim"/>
          <w:rtl/>
        </w:rPr>
        <w:footnoteReference w:id="3561"/>
      </w:r>
      <w:r w:rsidRPr="00440CAB">
        <w:rPr>
          <w:rFonts w:ascii="Narkisim" w:hAnsi="Narkisim"/>
          <w:rtl/>
        </w:rPr>
        <w:t>, ואף מוכת עץ פסולה</w:t>
      </w:r>
      <w:r w:rsidRPr="00440CAB">
        <w:rPr>
          <w:rStyle w:val="ac"/>
          <w:rFonts w:ascii="Narkisim" w:hAnsi="Narkisim"/>
          <w:rtl/>
        </w:rPr>
        <w:footnoteReference w:id="3562"/>
      </w:r>
      <w:r w:rsidRPr="00440CAB">
        <w:rPr>
          <w:rFonts w:ascii="Narkisim" w:hAnsi="Narkisim"/>
          <w:rtl/>
        </w:rPr>
        <w:t>.</w:t>
      </w:r>
    </w:p>
    <w:p w14:paraId="46F61BFA"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תוס' רא"ש</w:t>
      </w:r>
      <w:r w:rsidRPr="00440CAB">
        <w:rPr>
          <w:rFonts w:ascii="Narkisim" w:hAnsi="Narkisim"/>
          <w:rtl/>
        </w:rPr>
        <w:t xml:space="preserve"> (נדה שם) תי' דבוגרת ומוכת עץ אם נשא נשוי, אבל בעולת אדם יוציא. ועד"ז כת' ה</w:t>
      </w:r>
      <w:r w:rsidRPr="00440CAB">
        <w:rPr>
          <w:rFonts w:ascii="Narkisim" w:hAnsi="Narkisim"/>
          <w:b/>
          <w:bCs/>
          <w:rtl/>
        </w:rPr>
        <w:t>רשב"א</w:t>
      </w:r>
      <w:r w:rsidRPr="00440CAB">
        <w:rPr>
          <w:rFonts w:ascii="Narkisim" w:hAnsi="Narkisim"/>
          <w:rtl/>
        </w:rPr>
        <w:t xml:space="preserve"> (נדה) דהמשנה פוסלת לכתחילה ומדרבנן. ואילו הברייתא בדיעבד ומדאורייתא.</w:t>
      </w:r>
    </w:p>
    <w:p w14:paraId="6A9C310A" w14:textId="77777777" w:rsidR="006074A5" w:rsidRPr="00440CAB" w:rsidRDefault="006074A5" w:rsidP="006074A5">
      <w:pPr>
        <w:pStyle w:val="a7"/>
        <w:bidi/>
        <w:rPr>
          <w:rFonts w:ascii="Narkisim" w:hAnsi="Narkisim"/>
        </w:rPr>
      </w:pPr>
      <w:r w:rsidRPr="00440CAB">
        <w:rPr>
          <w:rFonts w:ascii="Narkisim" w:hAnsi="Narkisim"/>
          <w:rtl/>
        </w:rPr>
        <w:t>ועוד כת' ה</w:t>
      </w:r>
      <w:r w:rsidRPr="00440CAB">
        <w:rPr>
          <w:rFonts w:ascii="Narkisim" w:hAnsi="Narkisim"/>
          <w:b/>
          <w:bCs/>
          <w:rtl/>
        </w:rPr>
        <w:t>תוס' רא"ש</w:t>
      </w:r>
      <w:r w:rsidRPr="00440CAB">
        <w:rPr>
          <w:rFonts w:ascii="Narkisim" w:hAnsi="Narkisim"/>
          <w:rtl/>
        </w:rPr>
        <w:t xml:space="preserve"> (שם) דאיירי שעדיין היא בתולה, וכגון שבעל בהטייה. ובעולת אדם אסורה לכה"ג.</w:t>
      </w:r>
    </w:p>
    <w:p w14:paraId="05124A11" w14:textId="77777777" w:rsidR="006074A5" w:rsidRPr="00440CAB" w:rsidRDefault="006074A5" w:rsidP="006074A5">
      <w:pPr>
        <w:pStyle w:val="aa"/>
        <w:bidi/>
        <w:rPr>
          <w:rFonts w:ascii="Narkisim" w:hAnsi="Narkisim"/>
        </w:rPr>
      </w:pPr>
      <w:r w:rsidRPr="00440CAB">
        <w:rPr>
          <w:rFonts w:ascii="Narkisim" w:hAnsi="Narkisim"/>
          <w:u w:val="single"/>
          <w:rtl/>
        </w:rPr>
        <w:t>מהד"ת נילף אלמנה אלמנה מתמר וכו' מהנישואין וכו'</w:t>
      </w:r>
      <w:r w:rsidRPr="00440CAB">
        <w:rPr>
          <w:rFonts w:ascii="Narkisim" w:hAnsi="Narkisim"/>
          <w:rtl/>
        </w:rPr>
        <w:t xml:space="preserve">. בס' </w:t>
      </w:r>
      <w:r w:rsidRPr="00440CAB">
        <w:rPr>
          <w:rFonts w:ascii="Narkisim" w:hAnsi="Narkisim"/>
          <w:b/>
          <w:bCs/>
          <w:rtl/>
        </w:rPr>
        <w:t>פור"י</w:t>
      </w:r>
      <w:r w:rsidRPr="00440CAB">
        <w:rPr>
          <w:rFonts w:ascii="Narkisim" w:hAnsi="Narkisim"/>
          <w:rtl/>
        </w:rPr>
        <w:t xml:space="preserve"> (לפרמ"ג) הק' א"כ הוה כבר בעולה</w:t>
      </w:r>
      <w:r w:rsidRPr="00440CAB">
        <w:rPr>
          <w:rStyle w:val="ac"/>
          <w:rFonts w:ascii="Narkisim" w:hAnsi="Narkisim"/>
          <w:rtl/>
        </w:rPr>
        <w:footnoteReference w:id="3563"/>
      </w:r>
      <w:r w:rsidRPr="00440CAB">
        <w:rPr>
          <w:rFonts w:ascii="Narkisim" w:hAnsi="Narkisim"/>
          <w:rtl/>
        </w:rPr>
        <w:t xml:space="preserve">, </w:t>
      </w:r>
      <w:r w:rsidRPr="00440CAB">
        <w:rPr>
          <w:rFonts w:ascii="Narkisim" w:hAnsi="Narkisim"/>
          <w:rtl/>
        </w:rPr>
        <w:lastRenderedPageBreak/>
        <w:t>ונימא דאין איסור אלמנה חל על איסור בעולה</w:t>
      </w:r>
      <w:r w:rsidRPr="00440CAB">
        <w:rPr>
          <w:rStyle w:val="ac"/>
          <w:rFonts w:ascii="Narkisim" w:hAnsi="Narkisim"/>
          <w:rtl/>
        </w:rPr>
        <w:footnoteReference w:id="3564"/>
      </w:r>
      <w:r w:rsidRPr="00440CAB">
        <w:rPr>
          <w:rFonts w:ascii="Narkisim" w:hAnsi="Narkisim"/>
          <w:rtl/>
        </w:rPr>
        <w:t>. ותי' דבעודה אשת איש לא חל איסור בעולה [לכה"ג]. וכשמת בעלה חלו תרוייהו בבת א'. [וע"ע פרמ"ג יו"ד כלל אאחע"א].</w:t>
      </w:r>
    </w:p>
    <w:p w14:paraId="29B02433" w14:textId="77777777" w:rsidR="006074A5" w:rsidRPr="00440CAB" w:rsidRDefault="006074A5" w:rsidP="006074A5">
      <w:pPr>
        <w:pStyle w:val="aa"/>
        <w:bidi/>
        <w:rPr>
          <w:rFonts w:ascii="Narkisim" w:hAnsi="Narkisim"/>
        </w:rPr>
      </w:pPr>
      <w:r w:rsidRPr="00440CAB">
        <w:rPr>
          <w:rFonts w:ascii="Narkisim" w:hAnsi="Narkisim"/>
          <w:u w:val="single"/>
          <w:rtl/>
        </w:rPr>
        <w:t>תוד"ה דומיא.</w:t>
      </w:r>
      <w:r w:rsidRPr="00440CAB">
        <w:rPr>
          <w:rFonts w:ascii="Narkisim" w:hAnsi="Narkisim"/>
          <w:rtl/>
        </w:rPr>
        <w:t xml:space="preserve"> וי"ל דלחומרא מקשינן</w:t>
      </w:r>
      <w:r w:rsidRPr="00440CAB">
        <w:rPr>
          <w:rStyle w:val="ac"/>
          <w:rFonts w:ascii="Narkisim" w:hAnsi="Narkisim"/>
          <w:rtl/>
        </w:rPr>
        <w:footnoteReference w:id="3565"/>
      </w:r>
      <w:r w:rsidRPr="00440CAB">
        <w:rPr>
          <w:rFonts w:ascii="Narkisim" w:hAnsi="Narkisim"/>
          <w:rtl/>
        </w:rPr>
        <w:t xml:space="preserve">. </w:t>
      </w:r>
      <w:r w:rsidRPr="00440CAB">
        <w:rPr>
          <w:rFonts w:ascii="Narkisim" w:hAnsi="Narkisim"/>
          <w:b/>
          <w:bCs/>
          <w:rtl/>
        </w:rPr>
        <w:t>רע"א</w:t>
      </w:r>
      <w:r w:rsidRPr="00440CAB">
        <w:rPr>
          <w:rFonts w:ascii="Narkisim" w:hAnsi="Narkisim"/>
          <w:rtl/>
        </w:rPr>
        <w:t xml:space="preserve"> הקשה דלחומרא שייך היכא דהנידון להקיש לזה או לזה, אבל הכא השתא מתבטל הגזי"ש דאלמנה. ועדיף לקיים הגזי"ש וההיקש.</w:t>
      </w:r>
    </w:p>
    <w:p w14:paraId="656990F1" w14:textId="77777777" w:rsidR="006074A5" w:rsidRPr="00440CAB" w:rsidRDefault="006074A5" w:rsidP="006074A5">
      <w:pPr>
        <w:pStyle w:val="aa"/>
        <w:bidi/>
        <w:rPr>
          <w:rFonts w:ascii="Narkisim" w:hAnsi="Narkisim"/>
        </w:rPr>
      </w:pPr>
      <w:r w:rsidRPr="00440CAB">
        <w:rPr>
          <w:rFonts w:ascii="Narkisim" w:hAnsi="Narkisim"/>
          <w:u w:val="single"/>
          <w:rtl/>
        </w:rPr>
        <w:t>בא"ד כמו גרושה דכהן הדיוט.</w:t>
      </w:r>
      <w:r w:rsidRPr="00440CAB">
        <w:rPr>
          <w:rFonts w:ascii="Narkisim" w:hAnsi="Narkisim"/>
          <w:rtl/>
        </w:rPr>
        <w:t xml:space="preserve"> וה</w:t>
      </w:r>
      <w:r w:rsidRPr="00440CAB">
        <w:rPr>
          <w:rFonts w:ascii="Narkisim" w:hAnsi="Narkisim"/>
          <w:b/>
          <w:bCs/>
          <w:rtl/>
        </w:rPr>
        <w:t>רשב"א</w:t>
      </w:r>
      <w:r w:rsidRPr="00440CAB">
        <w:rPr>
          <w:rFonts w:ascii="Narkisim" w:hAnsi="Narkisim"/>
          <w:rtl/>
        </w:rPr>
        <w:t xml:space="preserve"> כתב בשם </w:t>
      </w:r>
      <w:r w:rsidRPr="00440CAB">
        <w:rPr>
          <w:rFonts w:ascii="Narkisim" w:hAnsi="Narkisim"/>
          <w:b/>
          <w:bCs/>
          <w:rtl/>
        </w:rPr>
        <w:t>תוס</w:t>
      </w:r>
      <w:r w:rsidRPr="00440CAB">
        <w:rPr>
          <w:rFonts w:ascii="Narkisim" w:hAnsi="Narkisim"/>
          <w:rtl/>
        </w:rPr>
        <w:t>' שלא יהא כח הדיוט חמור מכח כהן גדול [וכעי"ז ב</w:t>
      </w:r>
      <w:r w:rsidRPr="00440CAB">
        <w:rPr>
          <w:rFonts w:ascii="Narkisim" w:hAnsi="Narkisim"/>
          <w:b/>
          <w:bCs/>
          <w:rtl/>
        </w:rPr>
        <w:t>רמב"ן</w:t>
      </w:r>
      <w:r w:rsidRPr="00440CAB">
        <w:rPr>
          <w:rFonts w:ascii="Narkisim" w:hAnsi="Narkisim"/>
          <w:rtl/>
        </w:rPr>
        <w:t>]. מבואר דכל הנידון בתוס' על גרושה דכתיב בקרא דכה"ג. וצ"ב דמ"מ יאסר מחמת שם גרושה דכהן הדיוט מק"ו</w:t>
      </w:r>
      <w:r w:rsidRPr="00440CAB">
        <w:rPr>
          <w:rStyle w:val="ac"/>
          <w:rFonts w:ascii="Narkisim" w:hAnsi="Narkisim"/>
          <w:rtl/>
        </w:rPr>
        <w:footnoteReference w:id="3566"/>
      </w:r>
      <w:r w:rsidRPr="00440CAB">
        <w:rPr>
          <w:rFonts w:ascii="Narkisim" w:hAnsi="Narkisim"/>
          <w:rtl/>
        </w:rPr>
        <w:t>.</w:t>
      </w:r>
    </w:p>
    <w:p w14:paraId="1DEA5448" w14:textId="77777777" w:rsidR="006074A5" w:rsidRPr="00440CAB" w:rsidRDefault="006074A5" w:rsidP="006074A5">
      <w:pPr>
        <w:pStyle w:val="2"/>
        <w:bidi/>
        <w:rPr>
          <w:rFonts w:ascii="Narkisim" w:hAnsi="Narkisim"/>
        </w:rPr>
      </w:pPr>
      <w:r w:rsidRPr="00440CAB">
        <w:rPr>
          <w:rFonts w:ascii="Narkisim" w:hAnsi="Narkisim"/>
          <w:rtl/>
        </w:rPr>
        <w:t>בעולה לכה"ג</w:t>
      </w:r>
    </w:p>
    <w:p w14:paraId="41B002C2" w14:textId="77777777" w:rsidR="006074A5" w:rsidRPr="00440CAB" w:rsidRDefault="006074A5" w:rsidP="006074A5">
      <w:pPr>
        <w:pStyle w:val="aa"/>
        <w:bidi/>
        <w:rPr>
          <w:rFonts w:ascii="Narkisim" w:hAnsi="Narkisim"/>
        </w:rPr>
      </w:pPr>
      <w:r w:rsidRPr="00440CAB">
        <w:rPr>
          <w:rFonts w:ascii="Narkisim" w:hAnsi="Narkisim"/>
          <w:u w:val="single"/>
          <w:rtl/>
        </w:rPr>
        <w:t>פרט לבוגרת שכלו לה בתוליה.</w:t>
      </w:r>
      <w:r w:rsidRPr="00440CAB">
        <w:rPr>
          <w:rFonts w:ascii="Narkisim" w:hAnsi="Narkisim"/>
          <w:rtl/>
        </w:rPr>
        <w:t xml:space="preserve"> </w:t>
      </w:r>
      <w:r w:rsidRPr="00440CAB">
        <w:rPr>
          <w:rFonts w:ascii="Narkisim" w:hAnsi="Narkisim"/>
          <w:b/>
          <w:bCs/>
          <w:rtl/>
        </w:rPr>
        <w:t>תוס</w:t>
      </w:r>
      <w:r w:rsidRPr="00440CAB">
        <w:rPr>
          <w:rFonts w:ascii="Narkisim" w:hAnsi="Narkisim"/>
          <w:rtl/>
        </w:rPr>
        <w:t>' פי' נתמעטו קצת בתוליה. וכ"מ ברש"י דבוגרת הוה מקצת בתולים. ה</w:t>
      </w:r>
      <w:r w:rsidRPr="00440CAB">
        <w:rPr>
          <w:rFonts w:ascii="Narkisim" w:hAnsi="Narkisim"/>
          <w:b/>
          <w:bCs/>
          <w:rtl/>
        </w:rPr>
        <w:t>ריטב"א</w:t>
      </w:r>
      <w:r w:rsidRPr="00440CAB">
        <w:rPr>
          <w:rFonts w:ascii="Narkisim" w:hAnsi="Narkisim"/>
          <w:rtl/>
        </w:rPr>
        <w:t xml:space="preserve"> מביא דדעת </w:t>
      </w:r>
      <w:r w:rsidRPr="00440CAB">
        <w:rPr>
          <w:rFonts w:ascii="Narkisim" w:hAnsi="Narkisim"/>
          <w:b/>
          <w:bCs/>
          <w:rtl/>
        </w:rPr>
        <w:t>רש"י</w:t>
      </w:r>
      <w:r w:rsidRPr="00440CAB">
        <w:rPr>
          <w:rFonts w:ascii="Narkisim" w:hAnsi="Narkisim"/>
          <w:rtl/>
        </w:rPr>
        <w:t xml:space="preserve"> (כתובות לו:, והו' בתוס' שם ט. ד"ה האומר) דבוגרת פתחה פתוח, אבל יש לה דמים</w:t>
      </w:r>
      <w:r w:rsidRPr="00440CAB">
        <w:rPr>
          <w:rStyle w:val="ac"/>
          <w:rFonts w:ascii="Narkisim" w:hAnsi="Narkisim"/>
          <w:rtl/>
        </w:rPr>
        <w:footnoteReference w:id="3567"/>
      </w:r>
      <w:r w:rsidRPr="00440CAB">
        <w:rPr>
          <w:rFonts w:ascii="Narkisim" w:hAnsi="Narkisim"/>
          <w:rtl/>
        </w:rPr>
        <w:t xml:space="preserve"> (וכ"ד ה</w:t>
      </w:r>
      <w:r w:rsidRPr="00440CAB">
        <w:rPr>
          <w:rFonts w:ascii="Narkisim" w:hAnsi="Narkisim"/>
          <w:b/>
          <w:bCs/>
          <w:rtl/>
        </w:rPr>
        <w:t>רמב"ם</w:t>
      </w:r>
      <w:r w:rsidRPr="00440CAB">
        <w:rPr>
          <w:rFonts w:ascii="Narkisim" w:hAnsi="Narkisim"/>
          <w:rtl/>
        </w:rPr>
        <w:t xml:space="preserve"> אישות יא יג). ולפ"ז כלו בתוליה היינו נתמעטו, דבעינן 'כל' בתוליה [וכמ"ש רש"י].</w:t>
      </w:r>
    </w:p>
    <w:p w14:paraId="18669396" w14:textId="77777777" w:rsidR="006074A5" w:rsidRPr="00440CAB" w:rsidRDefault="006074A5" w:rsidP="006074A5">
      <w:pPr>
        <w:pStyle w:val="a8"/>
        <w:bidi/>
        <w:rPr>
          <w:rFonts w:ascii="Narkisim" w:hAnsi="Narkisim"/>
        </w:rPr>
      </w:pPr>
      <w:r w:rsidRPr="00440CAB">
        <w:rPr>
          <w:rFonts w:ascii="Narkisim" w:hAnsi="Narkisim"/>
          <w:rtl/>
        </w:rPr>
        <w:t xml:space="preserve">ודעת </w:t>
      </w:r>
      <w:r w:rsidRPr="00440CAB">
        <w:rPr>
          <w:rFonts w:ascii="Narkisim" w:hAnsi="Narkisim"/>
          <w:b/>
          <w:bCs/>
          <w:rtl/>
        </w:rPr>
        <w:t>ר"ח</w:t>
      </w:r>
      <w:r w:rsidRPr="00440CAB">
        <w:rPr>
          <w:rFonts w:ascii="Narkisim" w:hAnsi="Narkisim"/>
          <w:rtl/>
        </w:rPr>
        <w:t xml:space="preserve"> וה</w:t>
      </w:r>
      <w:r w:rsidRPr="00440CAB">
        <w:rPr>
          <w:rFonts w:ascii="Narkisim" w:hAnsi="Narkisim"/>
          <w:b/>
          <w:bCs/>
          <w:rtl/>
        </w:rPr>
        <w:t>רי"ף</w:t>
      </w:r>
      <w:r w:rsidRPr="00440CAB">
        <w:rPr>
          <w:rFonts w:ascii="Narkisim" w:hAnsi="Narkisim"/>
          <w:rtl/>
        </w:rPr>
        <w:t xml:space="preserve"> להיפך דבוגרת פתחה סתום, אבל אין לה דמים.</w:t>
      </w:r>
    </w:p>
    <w:p w14:paraId="3238A36E" w14:textId="77777777" w:rsidR="006074A5" w:rsidRPr="00440CAB" w:rsidRDefault="006074A5" w:rsidP="006074A5">
      <w:pPr>
        <w:pStyle w:val="aa"/>
        <w:bidi/>
        <w:rPr>
          <w:rFonts w:ascii="Narkisim" w:hAnsi="Narkisim"/>
        </w:rPr>
      </w:pPr>
      <w:r w:rsidRPr="00440CAB">
        <w:rPr>
          <w:rFonts w:ascii="Narkisim" w:hAnsi="Narkisim"/>
          <w:u w:val="single"/>
          <w:rtl/>
        </w:rPr>
        <w:t>במאי קמפלגי וכו'</w:t>
      </w:r>
      <w:r w:rsidRPr="00440CAB">
        <w:rPr>
          <w:rFonts w:ascii="Narkisim" w:hAnsi="Narkisim"/>
          <w:rtl/>
        </w:rPr>
        <w:t>. ובגמ' (כתובות צז:) ס"ד דנח' אי מקצת בתולים ככל בתולים. והגמ' מק' דגבי כתובה נח' להיפך, דר"ש ס"ל מקצת כסף ככל כסף, ורבנן [ר' מאיר] ס"ל דלאו ככל כסף. והגמ' דוחה דהכא בקראי פליגי, בדרשת 'בתוליה' (וכדאי' בסוגיין).</w:t>
      </w:r>
    </w:p>
    <w:p w14:paraId="41E286CE" w14:textId="77777777" w:rsidR="006074A5" w:rsidRPr="00440CAB" w:rsidRDefault="006074A5" w:rsidP="006074A5">
      <w:pPr>
        <w:bidi/>
        <w:rPr>
          <w:rFonts w:ascii="Narkisim" w:hAnsi="Narkisim" w:cs="Narkisim"/>
        </w:rPr>
      </w:pPr>
      <w:r w:rsidRPr="00440CAB">
        <w:rPr>
          <w:rFonts w:ascii="Narkisim" w:hAnsi="Narkisim" w:cs="Narkisim"/>
          <w:u w:val="single"/>
          <w:rtl/>
        </w:rPr>
        <w:t>ר"מ סבר וכו' בבתוליה בכדרכה אין, שלא כדרכה לא.</w:t>
      </w:r>
      <w:r w:rsidRPr="00440CAB">
        <w:rPr>
          <w:rFonts w:ascii="Narkisim" w:hAnsi="Narkisim" w:cs="Narkisim"/>
          <w:rtl/>
        </w:rPr>
        <w:t xml:space="preserve"> מבואר בגמ' דמ"ד דאוסר בוגרת מכשיר שלא כדרכה</w:t>
      </w:r>
      <w:r w:rsidRPr="00440CAB">
        <w:rPr>
          <w:rStyle w:val="ac"/>
          <w:rFonts w:ascii="Narkisim" w:hAnsi="Narkisim" w:cs="Narkisim"/>
          <w:rtl/>
        </w:rPr>
        <w:footnoteReference w:id="3568"/>
      </w:r>
      <w:r w:rsidRPr="00440CAB">
        <w:rPr>
          <w:rFonts w:ascii="Narkisim" w:hAnsi="Narkisim" w:cs="Narkisim"/>
          <w:rtl/>
        </w:rPr>
        <w:t xml:space="preserve">. </w:t>
      </w:r>
      <w:r w:rsidRPr="00440CAB">
        <w:rPr>
          <w:rFonts w:ascii="Narkisim" w:hAnsi="Narkisim" w:cs="Narkisim"/>
          <w:sz w:val="20"/>
          <w:szCs w:val="20"/>
          <w:rtl/>
        </w:rPr>
        <w:t>ו</w:t>
      </w:r>
      <w:r w:rsidRPr="00440CAB">
        <w:rPr>
          <w:rFonts w:ascii="Narkisim" w:hAnsi="Narkisim" w:cs="Narkisim"/>
          <w:b/>
          <w:bCs/>
          <w:sz w:val="20"/>
          <w:szCs w:val="20"/>
          <w:rtl/>
        </w:rPr>
        <w:t>רש"י</w:t>
      </w:r>
      <w:r w:rsidRPr="00440CAB">
        <w:rPr>
          <w:rFonts w:ascii="Narkisim" w:hAnsi="Narkisim" w:cs="Narkisim"/>
          <w:sz w:val="20"/>
          <w:szCs w:val="20"/>
          <w:rtl/>
        </w:rPr>
        <w:t xml:space="preserve"> פי' דכיון דאיתרבי בוגרת איצטריך למעט שלא כדרכה [דס"ד דלא בעי כל בתולים]</w:t>
      </w:r>
      <w:r w:rsidRPr="00440CAB">
        <w:rPr>
          <w:rStyle w:val="ac"/>
          <w:rFonts w:ascii="Narkisim" w:hAnsi="Narkisim" w:cs="Narkisim"/>
          <w:sz w:val="20"/>
          <w:szCs w:val="20"/>
          <w:rtl/>
        </w:rPr>
        <w:footnoteReference w:id="3569"/>
      </w:r>
      <w:r w:rsidRPr="00440CAB">
        <w:rPr>
          <w:rFonts w:ascii="Narkisim" w:hAnsi="Narkisim" w:cs="Narkisim"/>
          <w:sz w:val="20"/>
          <w:szCs w:val="20"/>
          <w:rtl/>
        </w:rPr>
        <w:t>.</w:t>
      </w:r>
    </w:p>
    <w:p w14:paraId="2A5A707E"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רמב"ם</w:t>
      </w:r>
      <w:r w:rsidRPr="00440CAB">
        <w:rPr>
          <w:rFonts w:ascii="Narkisim" w:hAnsi="Narkisim"/>
          <w:rtl/>
        </w:rPr>
        <w:t xml:space="preserve"> (איסו"ב יז יג,יד) אסר בין בבוגרת ובין שלא כדרכה, וה</w:t>
      </w:r>
      <w:r w:rsidRPr="00440CAB">
        <w:rPr>
          <w:rFonts w:ascii="Narkisim" w:hAnsi="Narkisim"/>
          <w:b/>
          <w:bCs/>
          <w:rtl/>
        </w:rPr>
        <w:t>יש"ש</w:t>
      </w:r>
      <w:r w:rsidRPr="00440CAB">
        <w:rPr>
          <w:rFonts w:ascii="Narkisim" w:hAnsi="Narkisim"/>
          <w:rtl/>
        </w:rPr>
        <w:t xml:space="preserve"> הקשה דליכא מ"ד בסוגיין דתרוייהו אסירי. וה</w:t>
      </w:r>
      <w:r w:rsidRPr="00440CAB">
        <w:rPr>
          <w:rFonts w:ascii="Narkisim" w:hAnsi="Narkisim"/>
          <w:b/>
          <w:bCs/>
          <w:rtl/>
        </w:rPr>
        <w:t>או"ש</w:t>
      </w:r>
      <w:r w:rsidRPr="00440CAB">
        <w:rPr>
          <w:rFonts w:ascii="Narkisim" w:hAnsi="Narkisim"/>
          <w:rtl/>
        </w:rPr>
        <w:t xml:space="preserve"> (שם) וה</w:t>
      </w:r>
      <w:r w:rsidRPr="00440CAB">
        <w:rPr>
          <w:rFonts w:ascii="Narkisim" w:hAnsi="Narkisim"/>
          <w:b/>
          <w:bCs/>
          <w:rtl/>
        </w:rPr>
        <w:t>קר"א</w:t>
      </w:r>
      <w:r w:rsidRPr="00440CAB">
        <w:rPr>
          <w:rFonts w:ascii="Narkisim" w:hAnsi="Narkisim"/>
          <w:rtl/>
        </w:rPr>
        <w:t xml:space="preserve"> (סא:) תי' דכיון דהרמב"ם פסק כמ"ד (לקמן סא:) דכה"ג אסור בקטנה, א"כ ה"ה דאוסר בבוגרת מחמת שאינה נערה. ולא מטעם ר' מאיר דהוה מקצת בתולים.</w:t>
      </w:r>
    </w:p>
    <w:p w14:paraId="6A9A5B93" w14:textId="77777777" w:rsidR="006074A5" w:rsidRPr="00440CAB" w:rsidRDefault="006074A5" w:rsidP="006074A5">
      <w:pPr>
        <w:bidi/>
        <w:rPr>
          <w:rFonts w:ascii="Narkisim" w:hAnsi="Narkisim" w:cs="Narkisim"/>
        </w:rPr>
      </w:pPr>
      <w:r w:rsidRPr="00440CAB">
        <w:rPr>
          <w:rFonts w:ascii="Narkisim" w:hAnsi="Narkisim" w:cs="Narkisim"/>
          <w:u w:val="single"/>
          <w:rtl/>
        </w:rPr>
        <w:t>ור"א ור"ש סברי בתולה שלימה משמע, בתוליה אפי' מקצת בתולים וכו'</w:t>
      </w:r>
      <w:r w:rsidRPr="00440CAB">
        <w:rPr>
          <w:rFonts w:ascii="Narkisim" w:hAnsi="Narkisim" w:cs="Narkisim"/>
          <w:rtl/>
        </w:rPr>
        <w:t>. ה</w:t>
      </w:r>
      <w:r w:rsidRPr="00440CAB">
        <w:rPr>
          <w:rFonts w:ascii="Narkisim" w:hAnsi="Narkisim" w:cs="Narkisim"/>
          <w:b/>
          <w:bCs/>
          <w:rtl/>
        </w:rPr>
        <w:t>תו"י</w:t>
      </w:r>
      <w:r w:rsidRPr="00440CAB">
        <w:rPr>
          <w:rFonts w:ascii="Narkisim" w:hAnsi="Narkisim" w:cs="Narkisim"/>
          <w:rtl/>
        </w:rPr>
        <w:t xml:space="preserve"> (בע"ב) נקט דלפ"ז כתובת בוגרת אינו מדאורייתא. דאינה בתולה שלימה</w:t>
      </w:r>
      <w:r w:rsidRPr="00440CAB">
        <w:rPr>
          <w:rStyle w:val="ac"/>
          <w:rFonts w:ascii="Narkisim" w:hAnsi="Narkisim" w:cs="Narkisim"/>
          <w:rtl/>
        </w:rPr>
        <w:footnoteReference w:id="3570"/>
      </w:r>
      <w:r w:rsidRPr="00440CAB">
        <w:rPr>
          <w:rFonts w:ascii="Narkisim" w:hAnsi="Narkisim" w:cs="Narkisim"/>
          <w:rtl/>
        </w:rPr>
        <w:t>. [ולמ"ד כתובה דאורייתא תלי ב'שם בתולה']. וכן מבואר ב</w:t>
      </w:r>
      <w:r w:rsidRPr="00440CAB">
        <w:rPr>
          <w:rFonts w:ascii="Narkisim" w:hAnsi="Narkisim" w:cs="Narkisim"/>
          <w:b/>
          <w:bCs/>
          <w:rtl/>
        </w:rPr>
        <w:t>תוס'</w:t>
      </w:r>
      <w:r w:rsidRPr="00440CAB">
        <w:rPr>
          <w:rFonts w:ascii="Narkisim" w:hAnsi="Narkisim" w:cs="Narkisim"/>
          <w:rtl/>
        </w:rPr>
        <w:t xml:space="preserve"> (סוד"ה אפי') דלמ"ד בתולה שלימה ידעי' דלא שייך קנס ופרשת נערה המאורסה בבוגרת [ולא איצטריך קרא למעט].</w:t>
      </w:r>
    </w:p>
    <w:p w14:paraId="3EB81362" w14:textId="77777777" w:rsidR="006074A5" w:rsidRPr="00440CAB" w:rsidRDefault="006074A5" w:rsidP="006074A5">
      <w:pPr>
        <w:pStyle w:val="aa"/>
        <w:bidi/>
        <w:rPr>
          <w:rFonts w:ascii="Narkisim" w:hAnsi="Narkisim"/>
        </w:rPr>
      </w:pPr>
      <w:r w:rsidRPr="00440CAB">
        <w:rPr>
          <w:rFonts w:ascii="Narkisim" w:hAnsi="Narkisim"/>
          <w:u w:val="single"/>
          <w:rtl/>
        </w:rPr>
        <w:t>בבתוליה עד שיהיו כל בתוליה קיימין, בין בכדרכה ובין שלא כדרכה</w:t>
      </w:r>
      <w:r w:rsidRPr="00440CAB">
        <w:rPr>
          <w:rFonts w:ascii="Narkisim" w:hAnsi="Narkisim"/>
          <w:rtl/>
        </w:rPr>
        <w:t>. פ</w:t>
      </w:r>
      <w:r w:rsidRPr="00440CAB">
        <w:rPr>
          <w:rFonts w:ascii="Narkisim" w:hAnsi="Narkisim"/>
          <w:b/>
          <w:bCs/>
          <w:rtl/>
        </w:rPr>
        <w:t>רש"י</w:t>
      </w:r>
      <w:r w:rsidRPr="00440CAB">
        <w:rPr>
          <w:rFonts w:ascii="Narkisim" w:hAnsi="Narkisim"/>
          <w:rtl/>
        </w:rPr>
        <w:t xml:space="preserve"> כיון דאיתרבי בוגרת [דמותרת דסגי במקצת בתולים], איצטריך לאסור, דמ"מ בעינן כל מקומות בתוליה. ולר"מ גלי קרא [להיפך] דאף דצריך כל בתולים [ואסור בבוגרת], לא איכפ"ל דליכא 'כל בתולים' שלא כדרכה.</w:t>
      </w:r>
    </w:p>
    <w:p w14:paraId="36CC6F8B" w14:textId="77777777" w:rsidR="006074A5" w:rsidRPr="00440CAB" w:rsidRDefault="006074A5" w:rsidP="006074A5">
      <w:pPr>
        <w:bidi/>
        <w:rPr>
          <w:rFonts w:ascii="Narkisim" w:hAnsi="Narkisim" w:cs="Narkisim"/>
        </w:rPr>
      </w:pPr>
      <w:r w:rsidRPr="00440CAB">
        <w:rPr>
          <w:rFonts w:ascii="Narkisim" w:hAnsi="Narkisim" w:cs="Narkisim"/>
          <w:u w:val="single"/>
          <w:rtl/>
        </w:rPr>
        <w:t>אמר רב יהודה אמר רב נבעלה שלא כדרכה פסולה לכהונה וכו'.</w:t>
      </w:r>
      <w:r w:rsidRPr="00440CAB">
        <w:rPr>
          <w:rFonts w:ascii="Narkisim" w:hAnsi="Narkisim" w:cs="Narkisim"/>
          <w:rtl/>
        </w:rPr>
        <w:t xml:space="preserve"> פ</w:t>
      </w:r>
      <w:r w:rsidRPr="00440CAB">
        <w:rPr>
          <w:rFonts w:ascii="Narkisim" w:hAnsi="Narkisim" w:cs="Narkisim"/>
          <w:b/>
          <w:bCs/>
          <w:rtl/>
        </w:rPr>
        <w:t xml:space="preserve">רש"י </w:t>
      </w:r>
      <w:r w:rsidRPr="00440CAB">
        <w:rPr>
          <w:rFonts w:ascii="Narkisim" w:hAnsi="Narkisim" w:cs="Narkisim"/>
          <w:rtl/>
        </w:rPr>
        <w:t>לכה"ג דמצווה על הבתולה. ורב חידש דאע"ג דלא נעשה השרת בתולים, מ"מ התורה הקפידא על עצם הביאה לאסור לכה"ג. [ותלי במח' ר"מ ור"א ור"ש הנ"ל].</w:t>
      </w:r>
    </w:p>
    <w:p w14:paraId="5BDFF246"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(איסו"ב יז יג) נסתפק כשבא עליה בהטיה [ולא השיר בתולים], האם מותרת לכה"ג. וה</w:t>
      </w:r>
      <w:r w:rsidRPr="00440CAB">
        <w:rPr>
          <w:rFonts w:ascii="Narkisim" w:hAnsi="Narkisim"/>
          <w:b/>
          <w:bCs/>
          <w:rtl/>
        </w:rPr>
        <w:t>משנ"ל</w:t>
      </w:r>
      <w:r w:rsidRPr="00440CAB">
        <w:rPr>
          <w:rFonts w:ascii="Narkisim" w:hAnsi="Narkisim"/>
          <w:rtl/>
        </w:rPr>
        <w:t xml:space="preserve"> הביא דבפשוטו מבואר בגמ' (חגיגה יד:) דמותרת לכה"ג. </w:t>
      </w:r>
      <w:r w:rsidRPr="00440CAB">
        <w:rPr>
          <w:rFonts w:ascii="Narkisim" w:hAnsi="Narkisim"/>
          <w:sz w:val="20"/>
          <w:szCs w:val="20"/>
          <w:rtl/>
        </w:rPr>
        <w:t>אבל ה</w:t>
      </w:r>
      <w:r w:rsidRPr="00440CAB">
        <w:rPr>
          <w:rFonts w:ascii="Narkisim" w:hAnsi="Narkisim"/>
          <w:b/>
          <w:bCs/>
          <w:sz w:val="20"/>
          <w:szCs w:val="20"/>
          <w:rtl/>
        </w:rPr>
        <w:t>שעה"מ</w:t>
      </w:r>
      <w:r w:rsidRPr="00440CAB">
        <w:rPr>
          <w:rFonts w:ascii="Narkisim" w:hAnsi="Narkisim"/>
          <w:sz w:val="20"/>
          <w:szCs w:val="20"/>
          <w:rtl/>
        </w:rPr>
        <w:t xml:space="preserve"> (שם) כתב דיל"פ את הסוגיא בחגיגה להיפך, שנאסרת לכה"ג. וכתב דתליא בפרש"י ותוס' (חגיגה שם)</w:t>
      </w:r>
      <w:r w:rsidRPr="00440CAB">
        <w:rPr>
          <w:rStyle w:val="ac"/>
          <w:rFonts w:ascii="Narkisim" w:hAnsi="Narkisim"/>
          <w:sz w:val="20"/>
          <w:szCs w:val="20"/>
          <w:rtl/>
        </w:rPr>
        <w:footnoteReference w:id="3571"/>
      </w:r>
      <w:r w:rsidRPr="00440CAB">
        <w:rPr>
          <w:rFonts w:ascii="Narkisim" w:hAnsi="Narkisim"/>
          <w:sz w:val="20"/>
          <w:szCs w:val="20"/>
          <w:rtl/>
        </w:rPr>
        <w:t xml:space="preserve"> (וכ"כ ה</w:t>
      </w:r>
      <w:r w:rsidRPr="00440CAB">
        <w:rPr>
          <w:rFonts w:ascii="Narkisim" w:hAnsi="Narkisim"/>
          <w:b/>
          <w:bCs/>
          <w:sz w:val="20"/>
          <w:szCs w:val="20"/>
          <w:rtl/>
        </w:rPr>
        <w:t>חזו"א</w:t>
      </w:r>
      <w:r w:rsidRPr="00440CAB">
        <w:rPr>
          <w:rFonts w:ascii="Narkisim" w:hAnsi="Narkisim"/>
          <w:sz w:val="20"/>
          <w:szCs w:val="20"/>
          <w:rtl/>
        </w:rPr>
        <w:t xml:space="preserve"> יד יא).</w:t>
      </w:r>
    </w:p>
    <w:p w14:paraId="395E4BE9"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הביא מסוגיין דמבואר דאסור, דהו"ל לגמ' לתרץ דהך ברייתא איירי בהטיה. </w:t>
      </w:r>
      <w:r w:rsidRPr="00440CAB">
        <w:rPr>
          <w:rFonts w:ascii="Narkisim" w:hAnsi="Narkisim"/>
          <w:sz w:val="20"/>
          <w:szCs w:val="20"/>
          <w:rtl/>
        </w:rPr>
        <w:t xml:space="preserve">[והטיה </w:t>
      </w:r>
      <w:r w:rsidRPr="00440CAB">
        <w:rPr>
          <w:rFonts w:ascii="Narkisim" w:hAnsi="Narkisim"/>
          <w:sz w:val="20"/>
          <w:szCs w:val="20"/>
          <w:rtl/>
        </w:rPr>
        <w:lastRenderedPageBreak/>
        <w:t>נחשב ביאה גמורה בכל מקום, ולא מצאנו ריבוי לזה כלל</w:t>
      </w:r>
      <w:r w:rsidRPr="00440CAB">
        <w:rPr>
          <w:rStyle w:val="ac"/>
          <w:rFonts w:ascii="Narkisim" w:hAnsi="Narkisim"/>
          <w:sz w:val="20"/>
          <w:szCs w:val="20"/>
          <w:rtl/>
        </w:rPr>
        <w:footnoteReference w:id="3572"/>
      </w:r>
      <w:r w:rsidRPr="00440CAB">
        <w:rPr>
          <w:rFonts w:ascii="Narkisim" w:hAnsi="Narkisim"/>
          <w:sz w:val="20"/>
          <w:szCs w:val="20"/>
          <w:rtl/>
        </w:rPr>
        <w:t>].</w:t>
      </w:r>
      <w:r w:rsidRPr="00440CAB">
        <w:rPr>
          <w:rFonts w:ascii="Narkisim" w:hAnsi="Narkisim"/>
          <w:rtl/>
        </w:rPr>
        <w:t xml:space="preserve"> וה</w:t>
      </w:r>
      <w:r w:rsidRPr="00440CAB">
        <w:rPr>
          <w:rFonts w:ascii="Narkisim" w:hAnsi="Narkisim"/>
          <w:b/>
          <w:bCs/>
          <w:rtl/>
        </w:rPr>
        <w:t>שעה"מ</w:t>
      </w:r>
      <w:r w:rsidRPr="00440CAB">
        <w:rPr>
          <w:rFonts w:ascii="Narkisim" w:hAnsi="Narkisim"/>
          <w:rtl/>
        </w:rPr>
        <w:t xml:space="preserve"> (יז יג) כת' דלדידן דקי"ל דאפי' שלא כדרכה חשיבה בעולה, פשיטא דאין הדבר תלוי בהשרת בתולים.</w:t>
      </w:r>
    </w:p>
    <w:p w14:paraId="7192F35F" w14:textId="77777777" w:rsidR="006074A5" w:rsidRPr="00440CAB" w:rsidRDefault="006074A5" w:rsidP="006074A5">
      <w:pPr>
        <w:bidi/>
        <w:rPr>
          <w:rFonts w:ascii="Narkisim" w:hAnsi="Narkisim" w:cs="Narkisim"/>
        </w:rPr>
      </w:pPr>
      <w:r w:rsidRPr="00440CAB">
        <w:rPr>
          <w:rFonts w:ascii="Narkisim" w:hAnsi="Narkisim" w:cs="Narkisim"/>
          <w:rtl/>
        </w:rPr>
        <w:t>ו</w:t>
      </w:r>
      <w:r w:rsidRPr="00440CAB">
        <w:rPr>
          <w:rFonts w:ascii="Narkisim" w:hAnsi="Narkisim" w:cs="Narkisim"/>
          <w:b/>
          <w:bCs/>
          <w:rtl/>
        </w:rPr>
        <w:t>תוס</w:t>
      </w:r>
      <w:r w:rsidRPr="00440CAB">
        <w:rPr>
          <w:rFonts w:ascii="Narkisim" w:hAnsi="Narkisim" w:cs="Narkisim"/>
          <w:rtl/>
        </w:rPr>
        <w:t>' (ד"ה אלא) מבואר דלמ"ד העראה הוה נשיקה אינה נאסרת לכה"ג. אבל 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ריטב"א</w:t>
      </w:r>
      <w:r w:rsidRPr="00440CAB">
        <w:rPr>
          <w:rFonts w:ascii="Narkisim" w:hAnsi="Narkisim" w:cs="Narkisim"/>
          <w:rtl/>
        </w:rPr>
        <w:t xml:space="preserve"> (קידושין י.) מבואר לדעת ר"ת דבנשיקה נאסרת לכה"ג. </w:t>
      </w:r>
      <w:r w:rsidRPr="00440CAB">
        <w:rPr>
          <w:rFonts w:ascii="Narkisim" w:hAnsi="Narkisim" w:cs="Narkisim"/>
          <w:sz w:val="20"/>
          <w:szCs w:val="20"/>
          <w:rtl/>
        </w:rPr>
        <w:t>[וה</w:t>
      </w:r>
      <w:r w:rsidRPr="00440CAB">
        <w:rPr>
          <w:rFonts w:ascii="Narkisim" w:hAnsi="Narkisim" w:cs="Narkisim"/>
          <w:b/>
          <w:bCs/>
          <w:sz w:val="20"/>
          <w:szCs w:val="20"/>
          <w:rtl/>
        </w:rPr>
        <w:t xml:space="preserve">אבנ"מ </w:t>
      </w:r>
      <w:r w:rsidRPr="00440CAB">
        <w:rPr>
          <w:rFonts w:ascii="Narkisim" w:hAnsi="Narkisim" w:cs="Narkisim"/>
          <w:sz w:val="20"/>
          <w:szCs w:val="20"/>
          <w:rtl/>
        </w:rPr>
        <w:t>(לג ב) כתב דאף לצד דנאסרה לכה"ג, מ"מ ע"י העראת נשיקה לא נחשב 'אישתני גופא', ולכן אם קידש בביאה לא נפסלה עליו בתחילת העראה</w:t>
      </w:r>
      <w:r w:rsidRPr="00440CAB">
        <w:rPr>
          <w:rStyle w:val="ac"/>
          <w:rFonts w:ascii="Narkisim" w:hAnsi="Narkisim" w:cs="Narkisim"/>
          <w:sz w:val="20"/>
          <w:szCs w:val="20"/>
          <w:rtl/>
        </w:rPr>
        <w:footnoteReference w:id="3573"/>
      </w:r>
      <w:r w:rsidRPr="00440CAB">
        <w:rPr>
          <w:rFonts w:ascii="Narkisim" w:hAnsi="Narkisim" w:cs="Narkisim"/>
          <w:sz w:val="20"/>
          <w:szCs w:val="20"/>
          <w:rtl/>
        </w:rPr>
        <w:t>].</w:t>
      </w:r>
    </w:p>
    <w:p w14:paraId="2D8F7986" w14:textId="77777777" w:rsidR="006074A5" w:rsidRPr="00440CAB" w:rsidRDefault="006074A5" w:rsidP="006074A5">
      <w:pPr>
        <w:pStyle w:val="aa"/>
        <w:bidi/>
        <w:rPr>
          <w:rFonts w:ascii="Narkisim" w:hAnsi="Narkisim"/>
        </w:rPr>
      </w:pPr>
      <w:r w:rsidRPr="00440CAB">
        <w:rPr>
          <w:rFonts w:ascii="Narkisim" w:hAnsi="Narkisim"/>
          <w:rtl/>
        </w:rPr>
        <w:t>ודעת רבי (קידושין י) דבעל עושה בעולה שלא כדרכה, אבל אחר אינו עושה בעולה שלא כדרכה [ועדיין יש חיוב קנס]</w:t>
      </w:r>
      <w:r w:rsidRPr="00440CAB">
        <w:rPr>
          <w:rStyle w:val="ac"/>
          <w:rFonts w:ascii="Narkisim" w:hAnsi="Narkisim"/>
          <w:rtl/>
        </w:rPr>
        <w:footnoteReference w:id="3574"/>
      </w:r>
      <w:r w:rsidRPr="00440CAB">
        <w:rPr>
          <w:rFonts w:ascii="Narkisim" w:hAnsi="Narkisim"/>
          <w:rtl/>
        </w:rPr>
        <w:t>. וב</w:t>
      </w:r>
      <w:r w:rsidRPr="00440CAB">
        <w:rPr>
          <w:rFonts w:ascii="Narkisim" w:hAnsi="Narkisim"/>
          <w:b/>
          <w:bCs/>
          <w:rtl/>
        </w:rPr>
        <w:t>רשב"א</w:t>
      </w:r>
      <w:r w:rsidRPr="00440CAB">
        <w:rPr>
          <w:rFonts w:ascii="Narkisim" w:hAnsi="Narkisim"/>
          <w:rtl/>
        </w:rPr>
        <w:t xml:space="preserve"> (בע"ב) מבואר דסוגיין דלא כרבי [דמשמע דטעמו דהוה בעולה]. ובהמשך כת' אף לרב אינה 'בתולה', ואף דלא הוה בעולה.</w:t>
      </w:r>
    </w:p>
    <w:p w14:paraId="7435E6D0" w14:textId="77777777" w:rsidR="006074A5" w:rsidRPr="00440CAB" w:rsidRDefault="006074A5" w:rsidP="006074A5">
      <w:pPr>
        <w:bidi/>
        <w:rPr>
          <w:rFonts w:ascii="Narkisim" w:hAnsi="Narkisim" w:cs="Narkisim"/>
        </w:rPr>
      </w:pPr>
      <w:r w:rsidRPr="00440CAB">
        <w:rPr>
          <w:rFonts w:ascii="Narkisim" w:hAnsi="Narkisim" w:cs="Narkisim"/>
          <w:u w:val="single"/>
          <w:rtl/>
        </w:rPr>
        <w:t>מתיב רבא וכו' פרט לאלמנה לכה"ג וכו' תיפו"ל דהו"ל בעולה.</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(ד"ה היכי דמי) ו</w:t>
      </w:r>
      <w:r w:rsidRPr="00440CAB">
        <w:rPr>
          <w:rFonts w:ascii="Narkisim" w:hAnsi="Narkisim" w:cs="Narkisim"/>
          <w:b/>
          <w:bCs/>
          <w:rtl/>
        </w:rPr>
        <w:t>תוס'</w:t>
      </w:r>
      <w:r w:rsidRPr="00440CAB">
        <w:rPr>
          <w:rFonts w:ascii="Narkisim" w:hAnsi="Narkisim" w:cs="Narkisim"/>
          <w:rtl/>
        </w:rPr>
        <w:t xml:space="preserve"> דקושיית הגמ' דכשאנס אותה עשאה בעולה, ואינה ראויה לקיים מצוות ולו תהא לאשה. [דאף בעולת עצמו אסורה עליו].</w:t>
      </w:r>
    </w:p>
    <w:p w14:paraId="52E4B14C" w14:textId="77777777" w:rsidR="006074A5" w:rsidRPr="00440CAB" w:rsidRDefault="006074A5" w:rsidP="006074A5">
      <w:pPr>
        <w:pStyle w:val="a8"/>
        <w:bidi/>
        <w:rPr>
          <w:rFonts w:ascii="Narkisim" w:hAnsi="Narkisim"/>
        </w:rPr>
      </w:pPr>
      <w:r w:rsidRPr="00440CAB">
        <w:rPr>
          <w:rFonts w:ascii="Narkisim" w:hAnsi="Narkisim"/>
          <w:rtl/>
        </w:rPr>
        <w:t>וב</w:t>
      </w:r>
      <w:r w:rsidRPr="00440CAB">
        <w:rPr>
          <w:rFonts w:ascii="Narkisim" w:hAnsi="Narkisim"/>
          <w:b/>
          <w:bCs/>
          <w:rtl/>
        </w:rPr>
        <w:t>גמ'</w:t>
      </w:r>
      <w:r w:rsidRPr="00440CAB">
        <w:rPr>
          <w:rFonts w:ascii="Narkisim" w:hAnsi="Narkisim"/>
          <w:rtl/>
        </w:rPr>
        <w:t xml:space="preserve"> (כתובות ל.) הגמ' מקשה לענין קנס בבעולה לכה"ג, דבעינן אשה ראויה לו. ו</w:t>
      </w:r>
      <w:r w:rsidRPr="00440CAB">
        <w:rPr>
          <w:rFonts w:ascii="Narkisim" w:hAnsi="Narkisim"/>
          <w:b/>
          <w:bCs/>
          <w:rtl/>
        </w:rPr>
        <w:t>תוס'</w:t>
      </w:r>
      <w:r w:rsidRPr="00440CAB">
        <w:rPr>
          <w:rFonts w:ascii="Narkisim" w:hAnsi="Narkisim"/>
          <w:rtl/>
        </w:rPr>
        <w:t xml:space="preserve"> (כאן ושם בשם ר"ח) העמידו שכה"ג אנס בתולה [ועי"ז הוה בעולה, וכדאי' בסוגיין]. אבל </w:t>
      </w:r>
      <w:r w:rsidRPr="00440CAB">
        <w:rPr>
          <w:rFonts w:ascii="Narkisim" w:hAnsi="Narkisim"/>
          <w:b/>
          <w:bCs/>
          <w:rtl/>
        </w:rPr>
        <w:t>רש"י</w:t>
      </w:r>
      <w:r w:rsidRPr="00440CAB">
        <w:rPr>
          <w:rFonts w:ascii="Narkisim" w:hAnsi="Narkisim"/>
          <w:rtl/>
        </w:rPr>
        <w:t xml:space="preserve"> (שם) מבואר דקושיית הגמ' כשאנס בעולה [שנבעלה לאחר שלא כדרכה</w:t>
      </w:r>
      <w:r w:rsidRPr="00440CAB">
        <w:rPr>
          <w:rStyle w:val="ac"/>
          <w:rFonts w:ascii="Narkisim" w:hAnsi="Narkisim"/>
          <w:rtl/>
        </w:rPr>
        <w:footnoteReference w:id="3575"/>
      </w:r>
      <w:r w:rsidRPr="00440CAB">
        <w:rPr>
          <w:rFonts w:ascii="Narkisim" w:hAnsi="Narkisim"/>
          <w:rtl/>
        </w:rPr>
        <w:t>].</w:t>
      </w:r>
    </w:p>
    <w:p w14:paraId="2A7294A4"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שיטמ"ק</w:t>
      </w:r>
      <w:r w:rsidRPr="00440CAB">
        <w:rPr>
          <w:rFonts w:ascii="Narkisim" w:hAnsi="Narkisim"/>
          <w:rtl/>
        </w:rPr>
        <w:t xml:space="preserve"> (שם בשם שיטה ישנה) ביאר דעת רש"י דנתחייב קנס כיון דבשעה שבא עליה היתה ראויה לקיימה</w:t>
      </w:r>
      <w:r w:rsidRPr="00440CAB">
        <w:rPr>
          <w:rStyle w:val="ac"/>
          <w:rFonts w:ascii="Narkisim" w:hAnsi="Narkisim"/>
          <w:rtl/>
        </w:rPr>
        <w:footnoteReference w:id="3576"/>
      </w:r>
      <w:r w:rsidRPr="00440CAB">
        <w:rPr>
          <w:rFonts w:ascii="Narkisim" w:hAnsi="Narkisim"/>
          <w:rtl/>
        </w:rPr>
        <w:t>. וחייב קנס אע"ג דעי"ז נאסרת עליו</w:t>
      </w:r>
      <w:r w:rsidRPr="00440CAB">
        <w:rPr>
          <w:rStyle w:val="ac"/>
          <w:rFonts w:ascii="Narkisim" w:hAnsi="Narkisim"/>
          <w:rtl/>
        </w:rPr>
        <w:footnoteReference w:id="3577"/>
      </w:r>
      <w:r w:rsidRPr="00440CAB">
        <w:rPr>
          <w:rFonts w:ascii="Narkisim" w:hAnsi="Narkisim"/>
          <w:rtl/>
        </w:rPr>
        <w:t>. וה</w:t>
      </w:r>
      <w:r w:rsidRPr="00440CAB">
        <w:rPr>
          <w:rFonts w:ascii="Narkisim" w:hAnsi="Narkisim"/>
          <w:b/>
          <w:bCs/>
          <w:rtl/>
        </w:rPr>
        <w:t>אחרונים</w:t>
      </w:r>
      <w:r w:rsidRPr="00440CAB">
        <w:rPr>
          <w:rFonts w:ascii="Narkisim" w:hAnsi="Narkisim"/>
          <w:rtl/>
        </w:rPr>
        <w:t xml:space="preserve"> (רע"א) ביארו דעפ"ז ה"מ לענין קנס</w:t>
      </w:r>
      <w:r w:rsidRPr="00440CAB">
        <w:rPr>
          <w:rStyle w:val="ac"/>
          <w:rFonts w:ascii="Narkisim" w:hAnsi="Narkisim"/>
          <w:rtl/>
        </w:rPr>
        <w:footnoteReference w:id="3578"/>
      </w:r>
      <w:r w:rsidRPr="00440CAB">
        <w:rPr>
          <w:rFonts w:ascii="Narkisim" w:hAnsi="Narkisim"/>
          <w:rtl/>
        </w:rPr>
        <w:t>. ואילו בסוגיין קאי לענין מצוות ולו תהיה לאשה, וכיון דמיד לאחר הביאה אסורה עליו נתמעט ולא חל המצווה.</w:t>
      </w:r>
    </w:p>
    <w:p w14:paraId="08BD1DDD" w14:textId="77777777" w:rsidR="006074A5" w:rsidRPr="00440CAB" w:rsidRDefault="006074A5" w:rsidP="006074A5">
      <w:pPr>
        <w:bidi/>
        <w:rPr>
          <w:rFonts w:ascii="Narkisim" w:hAnsi="Narkisim" w:cs="Narkisim"/>
        </w:rPr>
      </w:pPr>
      <w:r w:rsidRPr="00440CAB">
        <w:rPr>
          <w:rFonts w:ascii="Narkisim" w:hAnsi="Narkisim" w:cs="Narkisim"/>
          <w:u w:val="single"/>
          <w:rtl/>
        </w:rPr>
        <w:t>תוד"ה אילימא.</w:t>
      </w:r>
      <w:r w:rsidRPr="00440CAB">
        <w:rPr>
          <w:rFonts w:ascii="Narkisim" w:hAnsi="Narkisim" w:cs="Narkisim"/>
          <w:rtl/>
        </w:rPr>
        <w:t xml:space="preserve"> דאסירא ליה אע"פ שהיא בעולת עצמו. ו</w:t>
      </w:r>
      <w:r w:rsidRPr="00440CAB">
        <w:rPr>
          <w:rFonts w:ascii="Narkisim" w:hAnsi="Narkisim" w:cs="Narkisim"/>
          <w:b/>
          <w:bCs/>
          <w:rtl/>
        </w:rPr>
        <w:t>תוס</w:t>
      </w:r>
      <w:r w:rsidRPr="00440CAB">
        <w:rPr>
          <w:rFonts w:ascii="Narkisim" w:hAnsi="Narkisim" w:cs="Narkisim"/>
          <w:rtl/>
        </w:rPr>
        <w:t>' (כתובות ל. ד"ה איכא) הוסיפו דאף דאי' (בע"ב) דבעולת עצמו אם נשא נשוי, מ"מ לכתחילה אסורה לינשא מדאורייתא</w:t>
      </w:r>
      <w:r w:rsidRPr="00440CAB">
        <w:rPr>
          <w:rStyle w:val="ac"/>
          <w:rFonts w:ascii="Narkisim" w:hAnsi="Narkisim" w:cs="Narkisim"/>
          <w:rtl/>
        </w:rPr>
        <w:footnoteReference w:id="3579"/>
      </w:r>
      <w:r w:rsidRPr="00440CAB">
        <w:rPr>
          <w:rFonts w:ascii="Narkisim" w:hAnsi="Narkisim" w:cs="Narkisim"/>
          <w:rtl/>
        </w:rPr>
        <w:t xml:space="preserve"> (וע"ע בע"ב).</w:t>
      </w:r>
    </w:p>
    <w:p w14:paraId="5A2F694C"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תו"י</w:t>
      </w:r>
      <w:r w:rsidRPr="00440CAB">
        <w:rPr>
          <w:rFonts w:ascii="Narkisim" w:hAnsi="Narkisim"/>
          <w:rtl/>
        </w:rPr>
        <w:t xml:space="preserve"> ו</w:t>
      </w:r>
      <w:r w:rsidRPr="00440CAB">
        <w:rPr>
          <w:rFonts w:ascii="Narkisim" w:hAnsi="Narkisim"/>
          <w:b/>
          <w:bCs/>
          <w:rtl/>
        </w:rPr>
        <w:t>תוס' מהר"ם ור"פ</w:t>
      </w:r>
      <w:r w:rsidRPr="00440CAB">
        <w:rPr>
          <w:rFonts w:ascii="Narkisim" w:hAnsi="Narkisim"/>
          <w:rtl/>
        </w:rPr>
        <w:t xml:space="preserve"> (לעיל נה:) כתבו דבעולת עצמו אסורה רק מדרבנן. וה</w:t>
      </w:r>
      <w:r w:rsidRPr="00440CAB">
        <w:rPr>
          <w:rFonts w:ascii="Narkisim" w:hAnsi="Narkisim"/>
          <w:b/>
          <w:bCs/>
          <w:rtl/>
        </w:rPr>
        <w:t>שעה"מ</w:t>
      </w:r>
      <w:r w:rsidRPr="00440CAB">
        <w:rPr>
          <w:rFonts w:ascii="Narkisim" w:hAnsi="Narkisim"/>
          <w:rtl/>
        </w:rPr>
        <w:t xml:space="preserve"> (איסו"ב יז יג) הביא דה</w:t>
      </w:r>
      <w:r w:rsidRPr="00440CAB">
        <w:rPr>
          <w:rFonts w:ascii="Narkisim" w:hAnsi="Narkisim"/>
          <w:b/>
          <w:bCs/>
          <w:rtl/>
        </w:rPr>
        <w:t xml:space="preserve">שיטמ"ק </w:t>
      </w:r>
      <w:r w:rsidRPr="00440CAB">
        <w:rPr>
          <w:rFonts w:ascii="Narkisim" w:hAnsi="Narkisim"/>
          <w:rtl/>
        </w:rPr>
        <w:t xml:space="preserve">(סנהדרין כת"י יח) הביא דכ"כ </w:t>
      </w:r>
      <w:r w:rsidRPr="00440CAB">
        <w:rPr>
          <w:rFonts w:ascii="Narkisim" w:hAnsi="Narkisim"/>
          <w:b/>
          <w:bCs/>
          <w:rtl/>
        </w:rPr>
        <w:t>ר"ת</w:t>
      </w:r>
      <w:r w:rsidRPr="00440CAB">
        <w:rPr>
          <w:rStyle w:val="ac"/>
          <w:rFonts w:ascii="Narkisim" w:hAnsi="Narkisim"/>
          <w:rtl/>
        </w:rPr>
        <w:footnoteReference w:id="3580"/>
      </w:r>
      <w:r w:rsidRPr="00440CAB">
        <w:rPr>
          <w:rFonts w:ascii="Narkisim" w:hAnsi="Narkisim"/>
          <w:rtl/>
        </w:rPr>
        <w:t xml:space="preserve">. והשעה"מ כת' דאפ"ה מחמת איסור דרבנן נתמעט מ'ולא תהיה לאשה', דדמי לחלוצה אע"ג דלא הוה אלא מדרבנן. </w:t>
      </w:r>
      <w:r w:rsidRPr="00440CAB">
        <w:rPr>
          <w:rFonts w:ascii="Narkisim" w:hAnsi="Narkisim"/>
          <w:sz w:val="20"/>
          <w:szCs w:val="20"/>
          <w:rtl/>
        </w:rPr>
        <w:t>וכ"כ ה</w:t>
      </w:r>
      <w:r w:rsidRPr="00440CAB">
        <w:rPr>
          <w:rFonts w:ascii="Narkisim" w:hAnsi="Narkisim"/>
          <w:b/>
          <w:bCs/>
          <w:sz w:val="20"/>
          <w:szCs w:val="20"/>
          <w:rtl/>
        </w:rPr>
        <w:t>משנ"ל</w:t>
      </w:r>
      <w:r w:rsidRPr="00440CAB">
        <w:rPr>
          <w:rFonts w:ascii="Narkisim" w:hAnsi="Narkisim"/>
          <w:sz w:val="20"/>
          <w:szCs w:val="20"/>
          <w:rtl/>
        </w:rPr>
        <w:t xml:space="preserve"> (יח ב) בדעת ר"ת.</w:t>
      </w:r>
    </w:p>
    <w:p w14:paraId="67E7636C" w14:textId="77777777" w:rsidR="006074A5" w:rsidRPr="00440CAB" w:rsidRDefault="006074A5" w:rsidP="006074A5">
      <w:pPr>
        <w:bidi/>
        <w:rPr>
          <w:rFonts w:ascii="Narkisim" w:hAnsi="Narkisim" w:cs="Narkisim"/>
        </w:rPr>
      </w:pPr>
      <w:r w:rsidRPr="00440CAB">
        <w:rPr>
          <w:rFonts w:ascii="Narkisim" w:hAnsi="Narkisim" w:cs="Narkisim"/>
          <w:u w:val="single"/>
          <w:rtl/>
        </w:rPr>
        <w:t>תוד"ה אלא.</w:t>
      </w:r>
      <w:r w:rsidRPr="00440CAB">
        <w:rPr>
          <w:rFonts w:ascii="Narkisim" w:hAnsi="Narkisim" w:cs="Narkisim"/>
          <w:rtl/>
        </w:rPr>
        <w:t xml:space="preserve"> משמע דמשלם קנס אביאה שלא כדרכה</w:t>
      </w:r>
      <w:r w:rsidRPr="00440CAB">
        <w:rPr>
          <w:rStyle w:val="ac"/>
          <w:rFonts w:ascii="Narkisim" w:hAnsi="Narkisim" w:cs="Narkisim"/>
          <w:rtl/>
        </w:rPr>
        <w:footnoteReference w:id="3581"/>
      </w:r>
      <w:r w:rsidRPr="00440CAB">
        <w:rPr>
          <w:rFonts w:ascii="Narkisim" w:hAnsi="Narkisim" w:cs="Narkisim"/>
          <w:rtl/>
        </w:rPr>
        <w:t xml:space="preserve"> וכו'. אבל ה</w:t>
      </w:r>
      <w:r w:rsidRPr="00440CAB">
        <w:rPr>
          <w:rFonts w:ascii="Narkisim" w:hAnsi="Narkisim" w:cs="Narkisim"/>
          <w:b/>
          <w:bCs/>
          <w:rtl/>
        </w:rPr>
        <w:t>רמב"ם</w:t>
      </w:r>
      <w:r w:rsidRPr="00440CAB">
        <w:rPr>
          <w:rFonts w:ascii="Narkisim" w:hAnsi="Narkisim" w:cs="Narkisim"/>
          <w:rtl/>
        </w:rPr>
        <w:t xml:space="preserve"> (נערה א ח) פסק דאין האונס ומפתה חייב קנס עד שיבא עליה כדרכה. וה</w:t>
      </w:r>
      <w:r w:rsidRPr="00440CAB">
        <w:rPr>
          <w:rFonts w:ascii="Narkisim" w:hAnsi="Narkisim" w:cs="Narkisim"/>
          <w:b/>
          <w:bCs/>
          <w:rtl/>
        </w:rPr>
        <w:t>ראב"ד</w:t>
      </w:r>
      <w:r w:rsidRPr="00440CAB">
        <w:rPr>
          <w:rFonts w:ascii="Narkisim" w:hAnsi="Narkisim" w:cs="Narkisim"/>
          <w:rtl/>
        </w:rPr>
        <w:t xml:space="preserve"> השיג דמפורש בגמ' אפי' שלא כדרכה. </w:t>
      </w:r>
      <w:r w:rsidRPr="00440CAB">
        <w:rPr>
          <w:rFonts w:ascii="Narkisim" w:hAnsi="Narkisim" w:cs="Narkisim"/>
          <w:sz w:val="20"/>
          <w:szCs w:val="20"/>
          <w:rtl/>
        </w:rPr>
        <w:t>וה</w:t>
      </w:r>
      <w:r w:rsidRPr="00440CAB">
        <w:rPr>
          <w:rFonts w:ascii="Narkisim" w:hAnsi="Narkisim" w:cs="Narkisim"/>
          <w:b/>
          <w:bCs/>
          <w:sz w:val="20"/>
          <w:szCs w:val="20"/>
          <w:rtl/>
        </w:rPr>
        <w:t>רמ"ך</w:t>
      </w:r>
      <w:r w:rsidRPr="00440CAB">
        <w:rPr>
          <w:rFonts w:ascii="Narkisim" w:hAnsi="Narkisim" w:cs="Narkisim"/>
          <w:sz w:val="20"/>
          <w:szCs w:val="20"/>
          <w:rtl/>
        </w:rPr>
        <w:t xml:space="preserve"> הביא כן מהגמ' (קידושין י. הו' בתוס')</w:t>
      </w:r>
      <w:r w:rsidRPr="00440CAB">
        <w:rPr>
          <w:rStyle w:val="ac"/>
          <w:rFonts w:ascii="Narkisim" w:hAnsi="Narkisim" w:cs="Narkisim"/>
          <w:sz w:val="20"/>
          <w:szCs w:val="20"/>
          <w:rtl/>
        </w:rPr>
        <w:footnoteReference w:id="3582"/>
      </w:r>
      <w:r w:rsidRPr="00440CAB">
        <w:rPr>
          <w:rFonts w:ascii="Narkisim" w:hAnsi="Narkisim" w:cs="Narkisim"/>
          <w:sz w:val="20"/>
          <w:szCs w:val="20"/>
          <w:rtl/>
        </w:rPr>
        <w:t>, וכן מסוגיין</w:t>
      </w:r>
      <w:r w:rsidRPr="00440CAB">
        <w:rPr>
          <w:rStyle w:val="ac"/>
          <w:rFonts w:ascii="Narkisim" w:hAnsi="Narkisim" w:cs="Narkisim"/>
          <w:sz w:val="20"/>
          <w:szCs w:val="20"/>
          <w:rtl/>
        </w:rPr>
        <w:footnoteReference w:id="3583"/>
      </w:r>
      <w:r w:rsidRPr="00440CAB">
        <w:rPr>
          <w:rFonts w:ascii="Narkisim" w:hAnsi="Narkisim" w:cs="Narkisim"/>
          <w:sz w:val="20"/>
          <w:szCs w:val="20"/>
          <w:rtl/>
        </w:rPr>
        <w:t xml:space="preserve">. וכתב דאע"ג דבגמ' (סנהדרין </w:t>
      </w:r>
      <w:r w:rsidRPr="00440CAB">
        <w:rPr>
          <w:rFonts w:ascii="Narkisim" w:hAnsi="Narkisim" w:cs="Narkisim"/>
          <w:sz w:val="20"/>
          <w:szCs w:val="20"/>
          <w:rtl/>
        </w:rPr>
        <w:lastRenderedPageBreak/>
        <w:t>עג:) מסייע ליה קצת, יש לנו ליישבו.</w:t>
      </w:r>
    </w:p>
    <w:p w14:paraId="32DE05C5" w14:textId="77777777" w:rsidR="006074A5" w:rsidRPr="00440CAB" w:rsidRDefault="006074A5" w:rsidP="006074A5">
      <w:pPr>
        <w:pStyle w:val="a7"/>
        <w:bidi/>
        <w:rPr>
          <w:rFonts w:ascii="Narkisim" w:hAnsi="Narkisim"/>
        </w:rPr>
      </w:pPr>
      <w:r w:rsidRPr="00440CAB">
        <w:rPr>
          <w:rFonts w:ascii="Narkisim" w:hAnsi="Narkisim"/>
          <w:rtl/>
        </w:rPr>
        <w:t>וב</w:t>
      </w:r>
      <w:r w:rsidRPr="00440CAB">
        <w:rPr>
          <w:rFonts w:ascii="Narkisim" w:hAnsi="Narkisim"/>
          <w:b/>
          <w:bCs/>
          <w:rtl/>
        </w:rPr>
        <w:t xml:space="preserve">תוס' ר"י הזקן </w:t>
      </w:r>
      <w:r w:rsidRPr="00440CAB">
        <w:rPr>
          <w:rFonts w:ascii="Narkisim" w:hAnsi="Narkisim"/>
          <w:rtl/>
        </w:rPr>
        <w:t>(קידושין י.) כתב דאף לדברי הרמב"ם דפטור מקנס, אפ"ה נתחייב לישאנה וקרינן ביה 'ולו תהיה לאשה', ו'לא יוכל לשלחה'. כדמבואר בסוגיין. וחידש דמצוות ולו תהיה לאשה לא תלי בחיוב קנס</w:t>
      </w:r>
      <w:r w:rsidRPr="00440CAB">
        <w:rPr>
          <w:rStyle w:val="ac"/>
          <w:rFonts w:ascii="Narkisim" w:hAnsi="Narkisim"/>
          <w:rtl/>
        </w:rPr>
        <w:footnoteReference w:id="3584"/>
      </w:r>
      <w:r w:rsidRPr="00440CAB">
        <w:rPr>
          <w:rFonts w:ascii="Narkisim" w:hAnsi="Narkisim"/>
          <w:rtl/>
        </w:rPr>
        <w:t>. וע"ע או"ש (נערה א ט).</w:t>
      </w:r>
    </w:p>
    <w:p w14:paraId="0A9020C0" w14:textId="77777777" w:rsidR="006074A5" w:rsidRPr="00440CAB" w:rsidRDefault="006074A5" w:rsidP="006074A5">
      <w:pPr>
        <w:bidi/>
        <w:rPr>
          <w:rFonts w:ascii="Narkisim" w:hAnsi="Narkisim" w:cs="Narkisim"/>
        </w:rPr>
      </w:pPr>
      <w:r w:rsidRPr="00440CAB">
        <w:rPr>
          <w:rFonts w:ascii="Narkisim" w:hAnsi="Narkisim" w:cs="Narkisim"/>
          <w:u w:val="single"/>
          <w:rtl/>
        </w:rPr>
        <w:t>שם. דמשלם קנס אביאה שלכ"ד וכו' הק' ריב"א</w:t>
      </w:r>
      <w:r w:rsidRPr="00440CAB">
        <w:rPr>
          <w:rStyle w:val="ac"/>
          <w:rFonts w:ascii="Narkisim" w:hAnsi="Narkisim" w:cs="Narkisim"/>
          <w:u w:val="single"/>
          <w:rtl/>
        </w:rPr>
        <w:footnoteReference w:id="3585"/>
      </w:r>
      <w:r w:rsidRPr="00440CAB">
        <w:rPr>
          <w:rFonts w:ascii="Narkisim" w:hAnsi="Narkisim" w:cs="Narkisim"/>
          <w:u w:val="single"/>
          <w:rtl/>
        </w:rPr>
        <w:t xml:space="preserve"> וכו' ומשני משעת העראה וכו'</w:t>
      </w:r>
      <w:r w:rsidRPr="00440CAB">
        <w:rPr>
          <w:rFonts w:ascii="Narkisim" w:hAnsi="Narkisim" w:cs="Narkisim"/>
          <w:rtl/>
        </w:rPr>
        <w:t xml:space="preserve">. תוס' דימו דה"ה העראה מתחייב קנס [כיון דהוה ביאה בדיני התורה, ואף דליכא השרת בתולים], ותוס' הק' לדברי </w:t>
      </w:r>
      <w:r w:rsidRPr="00440CAB">
        <w:rPr>
          <w:rFonts w:ascii="Narkisim" w:hAnsi="Narkisim" w:cs="Narkisim"/>
          <w:b/>
          <w:bCs/>
          <w:rtl/>
        </w:rPr>
        <w:t>רש"י</w:t>
      </w:r>
      <w:r w:rsidRPr="00440CAB">
        <w:rPr>
          <w:rFonts w:ascii="Narkisim" w:hAnsi="Narkisim" w:cs="Narkisim"/>
          <w:rtl/>
        </w:rPr>
        <w:t xml:space="preserve"> (סנהד' עג:). ו</w:t>
      </w:r>
      <w:r w:rsidRPr="00440CAB">
        <w:rPr>
          <w:rFonts w:ascii="Narkisim" w:hAnsi="Narkisim" w:cs="Narkisim"/>
          <w:b/>
          <w:bCs/>
          <w:rtl/>
        </w:rPr>
        <w:t>תוס'</w:t>
      </w:r>
      <w:r w:rsidRPr="00440CAB">
        <w:rPr>
          <w:rFonts w:ascii="Narkisim" w:hAnsi="Narkisim" w:cs="Narkisim"/>
          <w:rtl/>
        </w:rPr>
        <w:t xml:space="preserve"> (בתי' הב') תי' דגבי קנס לא נתחדש העראה. וה</w:t>
      </w:r>
      <w:r w:rsidRPr="00440CAB">
        <w:rPr>
          <w:rFonts w:ascii="Narkisim" w:hAnsi="Narkisim" w:cs="Narkisim"/>
          <w:b/>
          <w:bCs/>
          <w:rtl/>
        </w:rPr>
        <w:t>ר"ן</w:t>
      </w:r>
      <w:r w:rsidRPr="00440CAB">
        <w:rPr>
          <w:rFonts w:ascii="Narkisim" w:hAnsi="Narkisim" w:cs="Narkisim"/>
          <w:rtl/>
        </w:rPr>
        <w:t xml:space="preserve"> </w:t>
      </w:r>
      <w:r w:rsidRPr="00440CAB">
        <w:rPr>
          <w:rFonts w:ascii="Narkisim" w:hAnsi="Narkisim" w:cs="Narkisim"/>
          <w:sz w:val="20"/>
          <w:szCs w:val="20"/>
          <w:rtl/>
        </w:rPr>
        <w:t>(סנהדרין עג:)</w:t>
      </w:r>
      <w:r w:rsidRPr="00440CAB">
        <w:rPr>
          <w:rFonts w:ascii="Narkisim" w:hAnsi="Narkisim" w:cs="Narkisim"/>
          <w:rtl/>
        </w:rPr>
        <w:t xml:space="preserve"> ביאר </w:t>
      </w:r>
      <w:r w:rsidRPr="00440CAB">
        <w:rPr>
          <w:rFonts w:ascii="Narkisim" w:hAnsi="Narkisim" w:cs="Narkisim"/>
          <w:sz w:val="20"/>
          <w:szCs w:val="20"/>
          <w:rtl/>
        </w:rPr>
        <w:t>[ליישב דעת רש"י]</w:t>
      </w:r>
      <w:r w:rsidRPr="00440CAB">
        <w:rPr>
          <w:rFonts w:ascii="Narkisim" w:hAnsi="Narkisim" w:cs="Narkisim"/>
          <w:rtl/>
        </w:rPr>
        <w:t xml:space="preserve"> דאין ראיה מביאה שלא כדרכה, דהוה ביאה שלימה במקומו ולכן מתחייב קנס. משא"כ העראה דלא גמר ביאתו במקומו. </w:t>
      </w:r>
      <w:r w:rsidRPr="00440CAB">
        <w:rPr>
          <w:rFonts w:ascii="Narkisim" w:hAnsi="Narkisim" w:cs="Narkisim"/>
          <w:sz w:val="20"/>
          <w:szCs w:val="20"/>
          <w:rtl/>
        </w:rPr>
        <w:t>[אמנם מדברי רש"י משמע דתליא בהוצאת בתולים, ולא ב'שם ביאה'].</w:t>
      </w:r>
    </w:p>
    <w:p w14:paraId="5645127B" w14:textId="77777777" w:rsidR="006074A5" w:rsidRPr="00440CAB" w:rsidRDefault="006074A5" w:rsidP="006074A5">
      <w:pPr>
        <w:pStyle w:val="a7"/>
        <w:bidi/>
        <w:rPr>
          <w:rFonts w:ascii="Narkisim" w:hAnsi="Narkisim"/>
        </w:rPr>
      </w:pPr>
      <w:r w:rsidRPr="00440CAB">
        <w:rPr>
          <w:rFonts w:ascii="Narkisim" w:hAnsi="Narkisim"/>
          <w:rtl/>
        </w:rPr>
        <w:t>אך ב</w:t>
      </w:r>
      <w:r w:rsidRPr="00440CAB">
        <w:rPr>
          <w:rFonts w:ascii="Narkisim" w:hAnsi="Narkisim"/>
          <w:b/>
          <w:bCs/>
          <w:rtl/>
        </w:rPr>
        <w:t>ירושלמי</w:t>
      </w:r>
      <w:r w:rsidRPr="00440CAB">
        <w:rPr>
          <w:rFonts w:ascii="Narkisim" w:hAnsi="Narkisim"/>
          <w:rtl/>
        </w:rPr>
        <w:t xml:space="preserve"> (הו' בתוס' סנהדרין עג: והר"ן) תניא דאם הערו בה י' וכו' לרבי כולם חייבין קנס. ומבואר דיש קנס בהעראה.</w:t>
      </w:r>
    </w:p>
    <w:p w14:paraId="32E2E362" w14:textId="77777777" w:rsidR="006074A5" w:rsidRPr="00440CAB" w:rsidRDefault="006074A5" w:rsidP="006074A5">
      <w:pPr>
        <w:pStyle w:val="aa"/>
        <w:bidi/>
        <w:rPr>
          <w:rFonts w:ascii="Narkisim" w:hAnsi="Narkisim"/>
        </w:rPr>
      </w:pPr>
      <w:r w:rsidRPr="00440CAB">
        <w:rPr>
          <w:rFonts w:ascii="Narkisim" w:hAnsi="Narkisim"/>
          <w:u w:val="single"/>
          <w:rtl/>
        </w:rPr>
        <w:t>בא"ד [בע"ב] ומפרש ר"ת וריב"א וכו' התם דוקא דמעיקרא קם לי' וכו'.</w:t>
      </w:r>
      <w:r w:rsidRPr="00440CAB">
        <w:rPr>
          <w:rFonts w:ascii="Narkisim" w:hAnsi="Narkisim"/>
          <w:rtl/>
        </w:rPr>
        <w:t xml:space="preserve"> משמע בתוס' דבכל ביאת אונס יש חיוב על העראה, וגם על גמ"ב. והכא אע"פ שא"א לחייבו על תחילת ביאה חייב על גמ"ב</w:t>
      </w:r>
      <w:r w:rsidRPr="00440CAB">
        <w:rPr>
          <w:rStyle w:val="ac"/>
          <w:rFonts w:ascii="Narkisim" w:hAnsi="Narkisim"/>
          <w:rtl/>
        </w:rPr>
        <w:footnoteReference w:id="3586"/>
      </w:r>
      <w:r w:rsidRPr="00440CAB">
        <w:rPr>
          <w:rFonts w:ascii="Narkisim" w:hAnsi="Narkisim"/>
          <w:rtl/>
        </w:rPr>
        <w:t xml:space="preserve">.  </w:t>
      </w:r>
    </w:p>
    <w:p w14:paraId="4539F341" w14:textId="77777777" w:rsidR="006074A5" w:rsidRPr="00440CAB" w:rsidRDefault="006074A5" w:rsidP="006074A5">
      <w:pPr>
        <w:pStyle w:val="aa"/>
        <w:bidi/>
        <w:rPr>
          <w:rFonts w:ascii="Narkisim" w:hAnsi="Narkisim"/>
        </w:rPr>
      </w:pPr>
      <w:r w:rsidRPr="00440CAB">
        <w:rPr>
          <w:rFonts w:ascii="Narkisim" w:hAnsi="Narkisim"/>
          <w:u w:val="single"/>
          <w:rtl/>
        </w:rPr>
        <w:t>בא"ד ועוד מ"ל דאע"ג דיש קנס שלכ"ד בהעראה אין קנס וכו' שלא נתרבתה וכו'.</w:t>
      </w:r>
      <w:r w:rsidRPr="00440CAB">
        <w:rPr>
          <w:rFonts w:ascii="Narkisim" w:hAnsi="Narkisim"/>
          <w:rtl/>
        </w:rPr>
        <w:t xml:space="preserve"> דהעראה לא הוה ביאה בכל התורה, אלא למה שנתרבה להדיא. ואף למ"ד דהעראה זו הכנסת עטרה, ומשיר בתולים, מ"מ לא נחשב 'ביאה' לענין קנס.</w:t>
      </w:r>
    </w:p>
    <w:p w14:paraId="5B35D77C" w14:textId="77777777" w:rsidR="006074A5" w:rsidRPr="00440CAB" w:rsidRDefault="006074A5" w:rsidP="006074A5">
      <w:pPr>
        <w:pStyle w:val="a8"/>
        <w:bidi/>
        <w:rPr>
          <w:rFonts w:ascii="Narkisim" w:hAnsi="Narkisim"/>
        </w:rPr>
      </w:pPr>
      <w:r w:rsidRPr="00440CAB">
        <w:rPr>
          <w:rFonts w:ascii="Narkisim" w:hAnsi="Narkisim"/>
          <w:rtl/>
        </w:rPr>
        <w:t>ומ"מ משמע דעי"ז הוה בעולה לכה"ג, כיון דיש הוצאת בתולים. דלא תלי בגדרי איסורי ביאה, אלא ב'שם בעולה'.</w:t>
      </w:r>
    </w:p>
    <w:p w14:paraId="3B9885D7" w14:textId="77777777" w:rsidR="006074A5" w:rsidRPr="00440CAB" w:rsidRDefault="006074A5" w:rsidP="006074A5">
      <w:pPr>
        <w:bidi/>
        <w:rPr>
          <w:rFonts w:ascii="Narkisim" w:hAnsi="Narkisim" w:cs="Narkisim"/>
        </w:rPr>
      </w:pPr>
      <w:r w:rsidRPr="00440CAB">
        <w:rPr>
          <w:rFonts w:ascii="Narkisim" w:hAnsi="Narkisim" w:cs="Narkisim"/>
          <w:u w:val="single"/>
          <w:rtl/>
        </w:rPr>
        <w:t>בא"ד הו"ל לשנויי כגון שלא עשה אלא נשיקה, ובנשיקה אינו משיר בתולים וכו'.</w:t>
      </w:r>
      <w:r w:rsidRPr="00440CAB">
        <w:rPr>
          <w:rFonts w:ascii="Narkisim" w:hAnsi="Narkisim" w:cs="Narkisim"/>
          <w:rtl/>
        </w:rPr>
        <w:t xml:space="preserve"> מבואר בתוס' דלמ"ד העראה הוה בנשיקה אינו נפסלת לכה"ג</w:t>
      </w:r>
      <w:r w:rsidRPr="00440CAB">
        <w:rPr>
          <w:rStyle w:val="ac"/>
          <w:rFonts w:ascii="Narkisim" w:hAnsi="Narkisim" w:cs="Narkisim"/>
          <w:rtl/>
        </w:rPr>
        <w:footnoteReference w:id="3587"/>
      </w:r>
      <w:r w:rsidRPr="00440CAB">
        <w:rPr>
          <w:rFonts w:ascii="Narkisim" w:hAnsi="Narkisim" w:cs="Narkisim"/>
          <w:rtl/>
        </w:rPr>
        <w:t xml:space="preserve"> [עכ"פ למ"ד דשלא כדרכה מותרת לכה"ג]. </w:t>
      </w:r>
      <w:r w:rsidRPr="00440CAB">
        <w:rPr>
          <w:rFonts w:ascii="Narkisim" w:hAnsi="Narkisim" w:cs="Narkisim"/>
          <w:sz w:val="20"/>
          <w:szCs w:val="20"/>
          <w:rtl/>
        </w:rPr>
        <w:t>וה</w:t>
      </w:r>
      <w:r w:rsidRPr="00440CAB">
        <w:rPr>
          <w:rFonts w:ascii="Narkisim" w:hAnsi="Narkisim" w:cs="Narkisim"/>
          <w:b/>
          <w:bCs/>
          <w:sz w:val="20"/>
          <w:szCs w:val="20"/>
          <w:rtl/>
        </w:rPr>
        <w:t>קרני ראם</w:t>
      </w:r>
      <w:r w:rsidRPr="00440CAB">
        <w:rPr>
          <w:rFonts w:ascii="Narkisim" w:hAnsi="Narkisim" w:cs="Narkisim"/>
          <w:sz w:val="20"/>
          <w:szCs w:val="20"/>
          <w:rtl/>
        </w:rPr>
        <w:t xml:space="preserve"> כתב דלפ"ז הא דמבואר (קידושין י.) דבתחילת ביאה נאסרת לכה"ג, היינו למ"ד הכנסת עטרה. אבל העראה לא נפסלת.</w:t>
      </w:r>
      <w:r w:rsidRPr="00440CAB">
        <w:rPr>
          <w:rFonts w:ascii="Narkisim" w:hAnsi="Narkisim" w:cs="Narkisim"/>
          <w:rtl/>
        </w:rPr>
        <w:t xml:space="preserve"> וה</w:t>
      </w:r>
      <w:r w:rsidRPr="00440CAB">
        <w:rPr>
          <w:rFonts w:ascii="Narkisim" w:hAnsi="Narkisim" w:cs="Narkisim"/>
          <w:b/>
          <w:bCs/>
          <w:rtl/>
        </w:rPr>
        <w:t>מהרש"א</w:t>
      </w:r>
      <w:r w:rsidRPr="00440CAB">
        <w:rPr>
          <w:rFonts w:ascii="Narkisim" w:hAnsi="Narkisim" w:cs="Narkisim"/>
          <w:rtl/>
        </w:rPr>
        <w:t xml:space="preserve"> ביאר דאע"ג דלרב שלא כדרכה פסולה מריבוי דקרא, אבל על העראה אין ריבוי. ואף דפשיטא לתוס' דלענין קנס תליין בהדדי. וה</w:t>
      </w:r>
      <w:r w:rsidRPr="00440CAB">
        <w:rPr>
          <w:rFonts w:ascii="Narkisim" w:hAnsi="Narkisim" w:cs="Narkisim"/>
          <w:b/>
          <w:bCs/>
          <w:rtl/>
        </w:rPr>
        <w:t>משנ"ל</w:t>
      </w:r>
      <w:r w:rsidRPr="00440CAB">
        <w:rPr>
          <w:rFonts w:ascii="Narkisim" w:hAnsi="Narkisim" w:cs="Narkisim"/>
          <w:rtl/>
        </w:rPr>
        <w:t xml:space="preserve"> ביאר דבאונס כתיב שכיבה סתם, ולכן פשיטא דכל ביאה בכלל.</w:t>
      </w:r>
    </w:p>
    <w:p w14:paraId="6553621E" w14:textId="77777777" w:rsidR="006074A5" w:rsidRPr="00440CAB" w:rsidRDefault="006074A5" w:rsidP="006074A5">
      <w:pPr>
        <w:bidi/>
        <w:rPr>
          <w:rFonts w:ascii="Narkisim" w:hAnsi="Narkisim" w:cs="Narkisim"/>
        </w:rPr>
      </w:pPr>
      <w:r w:rsidRPr="00440CAB">
        <w:rPr>
          <w:rFonts w:ascii="Narkisim" w:hAnsi="Narkisim" w:cs="Narkisim"/>
          <w:u w:val="single"/>
          <w:rtl/>
        </w:rPr>
        <w:t>בא"ד וי"ל דבהכי חייב רחמנא, הואיל ובבעילה זו נעשית בעולה.</w:t>
      </w:r>
      <w:r w:rsidRPr="00440CAB">
        <w:rPr>
          <w:rFonts w:ascii="Narkisim" w:hAnsi="Narkisim" w:cs="Narkisim"/>
          <w:rtl/>
        </w:rPr>
        <w:t xml:space="preserve"> בפשוטו נקטו ה</w:t>
      </w:r>
      <w:r w:rsidRPr="00440CAB">
        <w:rPr>
          <w:rFonts w:ascii="Narkisim" w:hAnsi="Narkisim" w:cs="Narkisim"/>
          <w:b/>
          <w:bCs/>
          <w:rtl/>
        </w:rPr>
        <w:t>אחרונים</w:t>
      </w:r>
      <w:r w:rsidRPr="00440CAB">
        <w:rPr>
          <w:rFonts w:ascii="Narkisim" w:hAnsi="Narkisim" w:cs="Narkisim"/>
          <w:rtl/>
        </w:rPr>
        <w:t xml:space="preserve"> [וכ"מ בדברי רע"א, ע' בסמוך] דחייב רק על הגמ"ב, בתנאי דבמעשה הזה עשה ג"כ העראה</w:t>
      </w:r>
      <w:r w:rsidRPr="00440CAB">
        <w:rPr>
          <w:rStyle w:val="ac"/>
          <w:rFonts w:ascii="Narkisim" w:hAnsi="Narkisim" w:cs="Narkisim"/>
          <w:rtl/>
        </w:rPr>
        <w:footnoteReference w:id="3588"/>
      </w:r>
      <w:r w:rsidRPr="00440CAB">
        <w:rPr>
          <w:rFonts w:ascii="Narkisim" w:hAnsi="Narkisim" w:cs="Narkisim"/>
          <w:rtl/>
        </w:rPr>
        <w:t>.</w:t>
      </w:r>
    </w:p>
    <w:p w14:paraId="4AE81102" w14:textId="77777777" w:rsidR="006074A5" w:rsidRPr="00440CAB" w:rsidRDefault="006074A5" w:rsidP="006074A5">
      <w:pPr>
        <w:bidi/>
        <w:rPr>
          <w:rFonts w:ascii="Narkisim" w:hAnsi="Narkisim" w:cs="Narkisim"/>
        </w:rPr>
      </w:pPr>
      <w:r w:rsidRPr="00440CAB">
        <w:rPr>
          <w:rFonts w:ascii="Narkisim" w:hAnsi="Narkisim" w:cs="Narkisim"/>
          <w:u w:val="single"/>
          <w:rtl/>
        </w:rPr>
        <w:t>בא"ד אבל קשה וכו' א"כ מאי פריך (סנהדרין עג:) וכו' הא לדידיה ניחא דלא מחייב אלא בגמ"ב ממש.</w:t>
      </w:r>
      <w:r w:rsidRPr="00440CAB">
        <w:rPr>
          <w:rFonts w:ascii="Narkisim" w:hAnsi="Narkisim" w:cs="Narkisim"/>
          <w:rtl/>
        </w:rPr>
        <w:t xml:space="preserve"> ה</w:t>
      </w:r>
      <w:r w:rsidRPr="00440CAB">
        <w:rPr>
          <w:rFonts w:ascii="Narkisim" w:hAnsi="Narkisim" w:cs="Narkisim"/>
          <w:b/>
          <w:bCs/>
          <w:rtl/>
        </w:rPr>
        <w:t>מהרש"א</w:t>
      </w:r>
      <w:r w:rsidRPr="00440CAB">
        <w:rPr>
          <w:rFonts w:ascii="Narkisim" w:hAnsi="Narkisim" w:cs="Narkisim"/>
          <w:rtl/>
        </w:rPr>
        <w:t xml:space="preserve"> ביאר דקושיה זו קשה רק לתי' הב' בתוס' דחיוב קנס דאונס הוא על גמ"ב, משום בהכי חייב רחמנא. וה"נ נימא הכי.</w:t>
      </w:r>
      <w:r w:rsidRPr="00440CAB">
        <w:rPr>
          <w:rFonts w:ascii="Narkisim" w:hAnsi="Narkisim" w:cs="Narkisim"/>
          <w:sz w:val="20"/>
          <w:szCs w:val="20"/>
          <w:rtl/>
        </w:rPr>
        <w:t xml:space="preserve"> אבל לר"ת וריב"א רק למ"ד נשיקה מתחייב שוב בגמ"ב, דעדיין היא בתולה. אבל למ"ד הכנסת עטרה ל"ש לחייב בשעת גמ"ב דכבר השיר בתולים.</w:t>
      </w:r>
    </w:p>
    <w:p w14:paraId="43E15A16" w14:textId="77777777" w:rsidR="006074A5" w:rsidRPr="00440CAB" w:rsidRDefault="006074A5" w:rsidP="006074A5">
      <w:pPr>
        <w:bidi/>
        <w:rPr>
          <w:rFonts w:ascii="Narkisim" w:hAnsi="Narkisim" w:cs="Narkisim"/>
        </w:rPr>
      </w:pPr>
      <w:r w:rsidRPr="00440CAB">
        <w:rPr>
          <w:rFonts w:ascii="Narkisim" w:hAnsi="Narkisim" w:cs="Narkisim"/>
          <w:rtl/>
        </w:rPr>
        <w:t>ו</w:t>
      </w:r>
      <w:r w:rsidRPr="00440CAB">
        <w:rPr>
          <w:rFonts w:ascii="Narkisim" w:hAnsi="Narkisim" w:cs="Narkisim"/>
          <w:b/>
          <w:bCs/>
          <w:rtl/>
        </w:rPr>
        <w:t>רע"א</w:t>
      </w:r>
      <w:r w:rsidRPr="00440CAB">
        <w:rPr>
          <w:rFonts w:ascii="Narkisim" w:hAnsi="Narkisim" w:cs="Narkisim"/>
          <w:rtl/>
        </w:rPr>
        <w:t xml:space="preserve"> כת' ליישב קושיית התוס' [ע"פ הא דמבואר בתוס' גיטין נג</w:t>
      </w:r>
      <w:r w:rsidRPr="00440CAB">
        <w:rPr>
          <w:rStyle w:val="ac"/>
          <w:rFonts w:ascii="Narkisim" w:hAnsi="Narkisim" w:cs="Narkisim"/>
          <w:rtl/>
        </w:rPr>
        <w:footnoteReference w:id="3589"/>
      </w:r>
      <w:r w:rsidRPr="00440CAB">
        <w:rPr>
          <w:rFonts w:ascii="Narkisim" w:hAnsi="Narkisim" w:cs="Narkisim"/>
          <w:rtl/>
        </w:rPr>
        <w:t>] דגדר קלב"מ כאילו עשאו אחר, והכא אילו אחר היה עושה העראה ובא הוא וגמר ביאתו לא יתחייב קנס. ודוקא באדם א' אמרי' בהכי חייב רחמנא, אבל ע"י קלב"מ כאילו לא הוא עשאה, וממילא א"א לחייב על הגמר. וה</w:t>
      </w:r>
      <w:r w:rsidRPr="00440CAB">
        <w:rPr>
          <w:rFonts w:ascii="Narkisim" w:hAnsi="Narkisim" w:cs="Narkisim"/>
          <w:b/>
          <w:bCs/>
          <w:rtl/>
        </w:rPr>
        <w:t>אחרונים</w:t>
      </w:r>
      <w:r w:rsidRPr="00440CAB">
        <w:rPr>
          <w:rFonts w:ascii="Narkisim" w:hAnsi="Narkisim" w:cs="Narkisim"/>
          <w:rtl/>
        </w:rPr>
        <w:t xml:space="preserve"> ביארו כוונתו דיש פטור קלב"מ אף בתנאי החיוב</w:t>
      </w:r>
      <w:r w:rsidRPr="00440CAB">
        <w:rPr>
          <w:rStyle w:val="ac"/>
          <w:rFonts w:ascii="Narkisim" w:hAnsi="Narkisim" w:cs="Narkisim"/>
          <w:rtl/>
        </w:rPr>
        <w:footnoteReference w:id="3590"/>
      </w:r>
      <w:r w:rsidRPr="00440CAB">
        <w:rPr>
          <w:rFonts w:ascii="Narkisim" w:hAnsi="Narkisim" w:cs="Narkisim"/>
          <w:rtl/>
        </w:rPr>
        <w:t xml:space="preserve">, [ולא רק בעיקר </w:t>
      </w:r>
      <w:r w:rsidRPr="00440CAB">
        <w:rPr>
          <w:rFonts w:ascii="Narkisim" w:hAnsi="Narkisim" w:cs="Narkisim"/>
          <w:rtl/>
        </w:rPr>
        <w:lastRenderedPageBreak/>
        <w:t xml:space="preserve">מעשה המחייב]. </w:t>
      </w:r>
      <w:r w:rsidRPr="00440CAB">
        <w:rPr>
          <w:rFonts w:ascii="Narkisim" w:hAnsi="Narkisim" w:cs="Narkisim"/>
          <w:sz w:val="20"/>
          <w:szCs w:val="20"/>
          <w:rtl/>
        </w:rPr>
        <w:t>וה</w:t>
      </w:r>
      <w:r w:rsidRPr="00440CAB">
        <w:rPr>
          <w:rFonts w:ascii="Narkisim" w:hAnsi="Narkisim" w:cs="Narkisim"/>
          <w:b/>
          <w:bCs/>
          <w:sz w:val="20"/>
          <w:szCs w:val="20"/>
          <w:rtl/>
        </w:rPr>
        <w:t>קוב"ש</w:t>
      </w:r>
      <w:r w:rsidRPr="00440CAB">
        <w:rPr>
          <w:rFonts w:ascii="Narkisim" w:hAnsi="Narkisim" w:cs="Narkisim"/>
          <w:sz w:val="20"/>
          <w:szCs w:val="20"/>
          <w:rtl/>
        </w:rPr>
        <w:t xml:space="preserve"> (ח"ב י יב) הקשה דהתם הוה מתנאי החיוב, אבל הכא אילו היה אפשר לעשות גמ"ב בלא העראה היה חייב עליה בלא העראה, ול"ש פטור קלב"מ דאינה מתנאי החיוב. וכיון דהוא עצמו עשאה, מתחייב אגמ"ב</w:t>
      </w:r>
      <w:r w:rsidRPr="00440CAB">
        <w:rPr>
          <w:rFonts w:ascii="Narkisim" w:hAnsi="Narkisim" w:cs="Narkisim"/>
          <w:rtl/>
        </w:rPr>
        <w:t>.</w:t>
      </w:r>
    </w:p>
    <w:p w14:paraId="3749C819" w14:textId="77777777" w:rsidR="006074A5" w:rsidRPr="00440CAB" w:rsidRDefault="006074A5" w:rsidP="006074A5">
      <w:pPr>
        <w:pStyle w:val="a7"/>
        <w:bidi/>
        <w:rPr>
          <w:rFonts w:ascii="Narkisim" w:hAnsi="Narkisim"/>
        </w:rPr>
      </w:pPr>
      <w:r w:rsidRPr="00440CAB">
        <w:rPr>
          <w:rFonts w:ascii="Narkisim" w:hAnsi="Narkisim"/>
          <w:rtl/>
        </w:rPr>
        <w:t>וב</w:t>
      </w:r>
      <w:r w:rsidRPr="00440CAB">
        <w:rPr>
          <w:rFonts w:ascii="Narkisim" w:hAnsi="Narkisim"/>
          <w:b/>
          <w:bCs/>
          <w:rtl/>
        </w:rPr>
        <w:t xml:space="preserve">שיע' ר' שמואל </w:t>
      </w:r>
      <w:r w:rsidRPr="00440CAB">
        <w:rPr>
          <w:rFonts w:ascii="Narkisim" w:hAnsi="Narkisim"/>
          <w:rtl/>
        </w:rPr>
        <w:t>(מכות תכו) יישב [קושית התוס'] דכל הביאה הוא המחייב, ולא רק הגמ"ב. ויש קלב"מ על תחילת עיקר המעשה</w:t>
      </w:r>
      <w:r w:rsidRPr="00440CAB">
        <w:rPr>
          <w:rStyle w:val="ac"/>
          <w:rFonts w:ascii="Narkisim" w:hAnsi="Narkisim"/>
          <w:rtl/>
        </w:rPr>
        <w:footnoteReference w:id="3591"/>
      </w:r>
      <w:r w:rsidRPr="00440CAB">
        <w:rPr>
          <w:rFonts w:ascii="Narkisim" w:hAnsi="Narkisim"/>
          <w:rtl/>
        </w:rPr>
        <w:t>.</w:t>
      </w:r>
    </w:p>
    <w:p w14:paraId="248E3336" w14:textId="77777777" w:rsidR="006074A5" w:rsidRPr="00440CAB" w:rsidRDefault="006074A5" w:rsidP="006074A5">
      <w:pPr>
        <w:pStyle w:val="3"/>
        <w:bidi/>
        <w:rPr>
          <w:rFonts w:ascii="Narkisim" w:hAnsi="Narkisim"/>
        </w:rPr>
      </w:pPr>
      <w:r w:rsidRPr="00440CAB">
        <w:rPr>
          <w:rFonts w:ascii="Narkisim" w:hAnsi="Narkisim"/>
          <w:rtl/>
        </w:rPr>
        <w:t>דף נט:</w:t>
      </w:r>
    </w:p>
    <w:p w14:paraId="7E4F6712" w14:textId="77777777" w:rsidR="006074A5" w:rsidRPr="00440CAB" w:rsidRDefault="006074A5" w:rsidP="006074A5">
      <w:pPr>
        <w:pStyle w:val="aa"/>
        <w:bidi/>
        <w:rPr>
          <w:rFonts w:ascii="Narkisim" w:hAnsi="Narkisim"/>
        </w:rPr>
      </w:pPr>
      <w:r w:rsidRPr="00440CAB">
        <w:rPr>
          <w:rFonts w:ascii="Narkisim" w:hAnsi="Narkisim"/>
          <w:u w:val="single"/>
          <w:rtl/>
        </w:rPr>
        <w:t>תוד"ה הא.</w:t>
      </w:r>
      <w:r w:rsidRPr="00440CAB">
        <w:rPr>
          <w:rFonts w:ascii="Narkisim" w:hAnsi="Narkisim"/>
          <w:rtl/>
        </w:rPr>
        <w:t xml:space="preserve"> תימה דהתם (כתובות מ.) פריך וליתי עשה ולידחי ל"ת</w:t>
      </w:r>
      <w:r w:rsidRPr="00440CAB">
        <w:rPr>
          <w:rStyle w:val="ac"/>
          <w:rFonts w:ascii="Narkisim" w:hAnsi="Narkisim"/>
          <w:rtl/>
        </w:rPr>
        <w:footnoteReference w:id="3592"/>
      </w:r>
      <w:r w:rsidRPr="00440CAB">
        <w:rPr>
          <w:rFonts w:ascii="Narkisim" w:hAnsi="Narkisim"/>
          <w:rtl/>
        </w:rPr>
        <w:t xml:space="preserve"> וכו' שאני הכא דגלי קרא. דגזיה"כ דבעינן ראוי לקיימו. ואף דהכא ראויה מדין עשה דוחה ל"ת, נחשב 'אינו ראוי'</w:t>
      </w:r>
      <w:r w:rsidRPr="00440CAB">
        <w:rPr>
          <w:rStyle w:val="ac"/>
          <w:rFonts w:ascii="Narkisim" w:hAnsi="Narkisim"/>
          <w:rtl/>
        </w:rPr>
        <w:footnoteReference w:id="3593"/>
      </w:r>
      <w:r w:rsidRPr="00440CAB">
        <w:rPr>
          <w:rFonts w:ascii="Narkisim" w:hAnsi="Narkisim"/>
          <w:rtl/>
        </w:rPr>
        <w:t>.</w:t>
      </w:r>
    </w:p>
    <w:p w14:paraId="4732102E" w14:textId="77777777" w:rsidR="006074A5" w:rsidRPr="00440CAB" w:rsidRDefault="006074A5" w:rsidP="006074A5">
      <w:pPr>
        <w:pStyle w:val="aa"/>
        <w:bidi/>
        <w:rPr>
          <w:rFonts w:ascii="Narkisim" w:hAnsi="Narkisim"/>
        </w:rPr>
      </w:pPr>
      <w:r w:rsidRPr="00440CAB">
        <w:rPr>
          <w:rFonts w:ascii="Narkisim" w:hAnsi="Narkisim"/>
          <w:u w:val="single"/>
          <w:rtl/>
        </w:rPr>
        <w:t>אי כר"א וכו' תיפו"ל דהו"ל זונה וכו'</w:t>
      </w:r>
      <w:r w:rsidRPr="00440CAB">
        <w:rPr>
          <w:rFonts w:ascii="Narkisim" w:hAnsi="Narkisim"/>
          <w:rtl/>
        </w:rPr>
        <w:t>. מבואר דלר"א אף בביאה שלא כדרכה עשאה זונה.</w:t>
      </w:r>
    </w:p>
    <w:p w14:paraId="66A38B40" w14:textId="77777777" w:rsidR="006074A5" w:rsidRPr="00440CAB" w:rsidRDefault="006074A5" w:rsidP="006074A5">
      <w:pPr>
        <w:bidi/>
        <w:rPr>
          <w:rFonts w:ascii="Narkisim" w:hAnsi="Narkisim" w:cs="Narkisim"/>
        </w:rPr>
      </w:pPr>
      <w:r w:rsidRPr="00440CAB">
        <w:rPr>
          <w:rFonts w:ascii="Narkisim" w:hAnsi="Narkisim" w:cs="Narkisim"/>
          <w:u w:val="single"/>
          <w:rtl/>
        </w:rPr>
        <w:t>דהא"ר אלעזר פנוי</w:t>
      </w:r>
      <w:r w:rsidRPr="00440CAB">
        <w:rPr>
          <w:rStyle w:val="ac"/>
          <w:rFonts w:ascii="Narkisim" w:hAnsi="Narkisim" w:cs="Narkisim"/>
          <w:u w:val="single"/>
          <w:rtl/>
        </w:rPr>
        <w:footnoteReference w:id="3594"/>
      </w:r>
      <w:r w:rsidRPr="00440CAB">
        <w:rPr>
          <w:rFonts w:ascii="Narkisim" w:hAnsi="Narkisim" w:cs="Narkisim"/>
          <w:u w:val="single"/>
          <w:rtl/>
        </w:rPr>
        <w:t xml:space="preserve"> הבא על הפנויה שלא לשם אישות עשאה זונה</w:t>
      </w:r>
      <w:r w:rsidRPr="00440CAB">
        <w:rPr>
          <w:rFonts w:ascii="Narkisim" w:hAnsi="Narkisim" w:cs="Narkisim"/>
          <w:rtl/>
        </w:rPr>
        <w:t xml:space="preserve">. דכל ביאת פנויה נעשית זונה. </w:t>
      </w:r>
      <w:r w:rsidRPr="00440CAB">
        <w:rPr>
          <w:rFonts w:ascii="Narkisim" w:hAnsi="Narkisim" w:cs="Narkisim"/>
          <w:b/>
          <w:bCs/>
          <w:rtl/>
        </w:rPr>
        <w:t>ה"ה</w:t>
      </w:r>
      <w:r w:rsidRPr="00440CAB">
        <w:rPr>
          <w:rFonts w:ascii="Narkisim" w:hAnsi="Narkisim" w:cs="Narkisim"/>
          <w:rtl/>
        </w:rPr>
        <w:t xml:space="preserve"> (אישות א ד) הביא דמדברי ר"א מבואר דיש איסור דאורייתא בביאת פנויה [אף שאינה מופקרת]. וכדעת ה</w:t>
      </w:r>
      <w:r w:rsidRPr="00440CAB">
        <w:rPr>
          <w:rFonts w:ascii="Narkisim" w:hAnsi="Narkisim" w:cs="Narkisim"/>
          <w:b/>
          <w:bCs/>
          <w:rtl/>
        </w:rPr>
        <w:t>רמב"ם</w:t>
      </w:r>
      <w:r w:rsidRPr="00440CAB">
        <w:rPr>
          <w:rFonts w:ascii="Narkisim" w:hAnsi="Narkisim" w:cs="Narkisim"/>
          <w:rtl/>
        </w:rPr>
        <w:t xml:space="preserve"> (שם) דכל הבועל אשה לשם זנות [בלא קידושין] לוקה מן התורה</w:t>
      </w:r>
      <w:r w:rsidRPr="00440CAB">
        <w:rPr>
          <w:rStyle w:val="ac"/>
          <w:rFonts w:ascii="Narkisim" w:hAnsi="Narkisim" w:cs="Narkisim"/>
          <w:rtl/>
        </w:rPr>
        <w:footnoteReference w:id="3595"/>
      </w:r>
      <w:r w:rsidRPr="00440CAB">
        <w:rPr>
          <w:rFonts w:ascii="Narkisim" w:hAnsi="Narkisim" w:cs="Narkisim"/>
          <w:rtl/>
        </w:rPr>
        <w:t xml:space="preserve"> דכתיב לא תהיה קדשה מבנות ישראל</w:t>
      </w:r>
      <w:r w:rsidRPr="00440CAB">
        <w:rPr>
          <w:rStyle w:val="ac"/>
          <w:rFonts w:ascii="Narkisim" w:hAnsi="Narkisim" w:cs="Narkisim"/>
          <w:rtl/>
        </w:rPr>
        <w:footnoteReference w:id="3596"/>
      </w:r>
      <w:r w:rsidRPr="00440CAB">
        <w:rPr>
          <w:rFonts w:ascii="Narkisim" w:hAnsi="Narkisim" w:cs="Narkisim"/>
          <w:rtl/>
        </w:rPr>
        <w:t>. והרי בעל קדישה</w:t>
      </w:r>
      <w:r w:rsidRPr="00440CAB">
        <w:rPr>
          <w:rStyle w:val="ac"/>
          <w:rFonts w:ascii="Narkisim" w:hAnsi="Narkisim" w:cs="Narkisim"/>
          <w:rtl/>
        </w:rPr>
        <w:footnoteReference w:id="3597"/>
      </w:r>
      <w:r w:rsidRPr="00440CAB">
        <w:rPr>
          <w:rFonts w:ascii="Narkisim" w:hAnsi="Narkisim" w:cs="Narkisim"/>
          <w:rtl/>
        </w:rPr>
        <w:t>.</w:t>
      </w:r>
    </w:p>
    <w:p w14:paraId="2B220E96"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תוס' רא"ש</w:t>
      </w:r>
      <w:r w:rsidRPr="00440CAB">
        <w:rPr>
          <w:rFonts w:ascii="Narkisim" w:hAnsi="Narkisim"/>
          <w:rtl/>
        </w:rPr>
        <w:t xml:space="preserve"> (לעיל טז:) כת' דאף ביאת היתר פוסל לכהונה</w:t>
      </w:r>
      <w:r w:rsidRPr="00440CAB">
        <w:rPr>
          <w:rStyle w:val="ac"/>
          <w:rFonts w:ascii="Narkisim" w:hAnsi="Narkisim"/>
          <w:rtl/>
        </w:rPr>
        <w:footnoteReference w:id="3598"/>
      </w:r>
      <w:r w:rsidRPr="00440CAB">
        <w:rPr>
          <w:rFonts w:ascii="Narkisim" w:hAnsi="Narkisim"/>
          <w:rtl/>
        </w:rPr>
        <w:t>, דאשכחן אפילו פנוי הבא על הפנויה לר' אלעזר עשאה זונה. וכן חלל פוסל בביאתו</w:t>
      </w:r>
      <w:r w:rsidRPr="00440CAB">
        <w:rPr>
          <w:rStyle w:val="ac"/>
          <w:rFonts w:ascii="Narkisim" w:hAnsi="Narkisim"/>
          <w:rtl/>
        </w:rPr>
        <w:footnoteReference w:id="3599"/>
      </w:r>
      <w:r w:rsidRPr="00440CAB">
        <w:rPr>
          <w:rFonts w:ascii="Narkisim" w:hAnsi="Narkisim"/>
          <w:rtl/>
        </w:rPr>
        <w:t>. וכן ה</w:t>
      </w:r>
      <w:r w:rsidRPr="00440CAB">
        <w:rPr>
          <w:rFonts w:ascii="Narkisim" w:hAnsi="Narkisim"/>
          <w:b/>
          <w:bCs/>
          <w:rtl/>
        </w:rPr>
        <w:t>רמב"ם</w:t>
      </w:r>
      <w:r w:rsidRPr="00440CAB">
        <w:rPr>
          <w:rFonts w:ascii="Narkisim" w:hAnsi="Narkisim"/>
          <w:rtl/>
        </w:rPr>
        <w:t xml:space="preserve"> (איסו"ב יח ה) כת' דזונה לא תלי בביאת איסור, שהרי מי שנשאת לחלל בהיתר עשאה זונה. </w:t>
      </w:r>
      <w:r w:rsidRPr="00440CAB">
        <w:rPr>
          <w:rFonts w:ascii="Narkisim" w:hAnsi="Narkisim"/>
          <w:szCs w:val="20"/>
          <w:rtl/>
        </w:rPr>
        <w:t>[א"כ צ"ע האיך ה"ה הביא מדברי ר"א דיש איסור בדבר]</w:t>
      </w:r>
      <w:r w:rsidRPr="00440CAB">
        <w:rPr>
          <w:rFonts w:ascii="Narkisim" w:hAnsi="Narkisim"/>
          <w:rtl/>
        </w:rPr>
        <w:t>.</w:t>
      </w:r>
    </w:p>
    <w:p w14:paraId="54965F64"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בגמ' (סא:) פסקו דאין הלכה כר"א. וה</w:t>
      </w:r>
      <w:r w:rsidRPr="00440CAB">
        <w:rPr>
          <w:rFonts w:ascii="Narkisim" w:hAnsi="Narkisim" w:cs="Narkisim"/>
          <w:b/>
          <w:bCs/>
          <w:rtl/>
        </w:rPr>
        <w:t>רמב"ם</w:t>
      </w:r>
      <w:r w:rsidRPr="00440CAB">
        <w:rPr>
          <w:rFonts w:ascii="Narkisim" w:hAnsi="Narkisim" w:cs="Narkisim"/>
          <w:rtl/>
        </w:rPr>
        <w:t xml:space="preserve"> (יח ה) הביא דזונה לא תלי בביאת איסור, שהרי הבא על הנדה וקדישה וכן נרבעת לבהמה הוה ביאת איסור, ולא עשאה זונה. והרמב"ם הביא ראיה מקדישה, דהוה ביאת איסור מדאורייתא [וכנ"ל], ואפ"ה לדעת רבנן אינו פוסל.</w:t>
      </w:r>
    </w:p>
    <w:p w14:paraId="27D6636F"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ה"ה</w:t>
      </w:r>
      <w:r w:rsidRPr="00440CAB">
        <w:rPr>
          <w:rFonts w:ascii="Narkisim" w:hAnsi="Narkisim"/>
          <w:rtl/>
        </w:rPr>
        <w:t xml:space="preserve"> (אישות הנ"ל) הביא ראיה מדברי ר"א דאיסור זנות בפנויה הוה מדאורייתא. וכת' דאע"ג דלא קי"ל כוותיה דר"א, מכל מקום משמע דאף רבנן לא פליגי דיש בזה איסור לאו</w:t>
      </w:r>
      <w:r w:rsidRPr="00440CAB">
        <w:rPr>
          <w:rStyle w:val="ac"/>
          <w:rFonts w:ascii="Narkisim" w:hAnsi="Narkisim"/>
          <w:rtl/>
        </w:rPr>
        <w:footnoteReference w:id="3600"/>
      </w:r>
      <w:r w:rsidRPr="00440CAB">
        <w:rPr>
          <w:rFonts w:ascii="Narkisim" w:hAnsi="Narkisim"/>
          <w:rtl/>
        </w:rPr>
        <w:t>. אבל ה</w:t>
      </w:r>
      <w:r w:rsidRPr="00440CAB">
        <w:rPr>
          <w:rFonts w:ascii="Narkisim" w:hAnsi="Narkisim"/>
          <w:b/>
          <w:bCs/>
          <w:rtl/>
        </w:rPr>
        <w:t>רמב"ן</w:t>
      </w:r>
      <w:r w:rsidRPr="00440CAB">
        <w:rPr>
          <w:rFonts w:ascii="Narkisim" w:hAnsi="Narkisim"/>
          <w:rtl/>
        </w:rPr>
        <w:t xml:space="preserve"> (סה"מ שורש ה) כת' דאזהרת התורה [למסור בתו לזנות] לא הוה איסור דאורייתא לפנוי הבא על הפנויה, שכבר פסקו שאין הלכה כר"א. ולרבנן אין לזה שם 'זנות', וא"כ א"א לפרש בזה הפסוק 'להזנותה'</w:t>
      </w:r>
      <w:r w:rsidRPr="00440CAB">
        <w:rPr>
          <w:rStyle w:val="ac"/>
          <w:rFonts w:ascii="Narkisim" w:hAnsi="Narkisim"/>
          <w:rtl/>
        </w:rPr>
        <w:footnoteReference w:id="3601"/>
      </w:r>
      <w:r w:rsidRPr="00440CAB">
        <w:rPr>
          <w:rFonts w:ascii="Narkisim" w:hAnsi="Narkisim"/>
          <w:rtl/>
        </w:rPr>
        <w:t>.</w:t>
      </w:r>
    </w:p>
    <w:p w14:paraId="66B16693" w14:textId="77777777" w:rsidR="006074A5" w:rsidRPr="00440CAB" w:rsidRDefault="006074A5" w:rsidP="006074A5">
      <w:pPr>
        <w:bidi/>
        <w:rPr>
          <w:rFonts w:ascii="Narkisim" w:hAnsi="Narkisim" w:cs="Narkisim"/>
        </w:rPr>
      </w:pPr>
      <w:r w:rsidRPr="00440CAB">
        <w:rPr>
          <w:rFonts w:ascii="Narkisim" w:hAnsi="Narkisim" w:cs="Narkisim"/>
          <w:u w:val="single"/>
          <w:rtl/>
        </w:rPr>
        <w:t>שם. עשאה זונה.</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Cs w:val="20"/>
          <w:rtl/>
        </w:rPr>
        <w:t>(לקמן סט. ד"ה לא)</w:t>
      </w:r>
      <w:r w:rsidRPr="00440CAB">
        <w:rPr>
          <w:rFonts w:ascii="Narkisim" w:hAnsi="Narkisim" w:cs="Narkisim"/>
          <w:rtl/>
        </w:rPr>
        <w:t xml:space="preserve"> כת' דאפי' שעשאו זונה, מ"מ לא פסלה מתרומה דאין זה איש זר. ו</w:t>
      </w:r>
      <w:r w:rsidRPr="00440CAB">
        <w:rPr>
          <w:rFonts w:ascii="Narkisim" w:hAnsi="Narkisim" w:cs="Narkisim"/>
          <w:b/>
          <w:bCs/>
          <w:rtl/>
        </w:rPr>
        <w:t>רע"א</w:t>
      </w:r>
      <w:r w:rsidRPr="00440CAB">
        <w:rPr>
          <w:rFonts w:ascii="Narkisim" w:hAnsi="Narkisim" w:cs="Narkisim"/>
          <w:rtl/>
        </w:rPr>
        <w:t xml:space="preserve"> ציין ד</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Cs w:val="20"/>
          <w:rtl/>
        </w:rPr>
        <w:t>(גיטין עג: ד"ה נתן)</w:t>
      </w:r>
      <w:r w:rsidRPr="00440CAB">
        <w:rPr>
          <w:rFonts w:ascii="Narkisim" w:hAnsi="Narkisim" w:cs="Narkisim"/>
          <w:rtl/>
        </w:rPr>
        <w:t xml:space="preserve"> מבואר דנפסלה מתרומת בית אביה</w:t>
      </w:r>
      <w:r w:rsidRPr="00440CAB">
        <w:rPr>
          <w:rStyle w:val="ac"/>
          <w:rFonts w:ascii="Narkisim" w:hAnsi="Narkisim" w:cs="Narkisim"/>
          <w:rtl/>
        </w:rPr>
        <w:footnoteReference w:id="3602"/>
      </w:r>
      <w:r w:rsidRPr="00440CAB">
        <w:rPr>
          <w:rFonts w:ascii="Narkisim" w:hAnsi="Narkisim" w:cs="Narkisim"/>
          <w:rtl/>
        </w:rPr>
        <w:t xml:space="preserve">. </w:t>
      </w:r>
      <w:r w:rsidRPr="00440CAB">
        <w:rPr>
          <w:rFonts w:ascii="Narkisim" w:hAnsi="Narkisim" w:cs="Narkisim"/>
          <w:rtl/>
        </w:rPr>
        <w:lastRenderedPageBreak/>
        <w:t>וה</w:t>
      </w:r>
      <w:r w:rsidRPr="00440CAB">
        <w:rPr>
          <w:rFonts w:ascii="Narkisim" w:hAnsi="Narkisim" w:cs="Narkisim"/>
          <w:b/>
          <w:bCs/>
          <w:rtl/>
        </w:rPr>
        <w:t>אפיקי ים</w:t>
      </w:r>
      <w:r w:rsidRPr="00440CAB">
        <w:rPr>
          <w:rFonts w:ascii="Narkisim" w:hAnsi="Narkisim" w:cs="Narkisim"/>
          <w:rtl/>
        </w:rPr>
        <w:t xml:space="preserve"> </w:t>
      </w:r>
      <w:r w:rsidRPr="00440CAB">
        <w:rPr>
          <w:rFonts w:ascii="Narkisim" w:hAnsi="Narkisim" w:cs="Narkisim"/>
          <w:sz w:val="20"/>
          <w:szCs w:val="20"/>
          <w:rtl/>
        </w:rPr>
        <w:t>(א טו ד, וכ"כ בקוב"ב גיטין שם)</w:t>
      </w:r>
      <w:r w:rsidRPr="00440CAB">
        <w:rPr>
          <w:rFonts w:ascii="Narkisim" w:hAnsi="Narkisim" w:cs="Narkisim"/>
          <w:rtl/>
        </w:rPr>
        <w:t xml:space="preserve"> הביא בשם ה</w:t>
      </w:r>
      <w:r w:rsidRPr="00440CAB">
        <w:rPr>
          <w:rFonts w:ascii="Narkisim" w:hAnsi="Narkisim" w:cs="Narkisim"/>
          <w:b/>
          <w:bCs/>
          <w:rtl/>
        </w:rPr>
        <w:t>אור גדול</w:t>
      </w:r>
      <w:r w:rsidRPr="00440CAB">
        <w:rPr>
          <w:rFonts w:ascii="Narkisim" w:hAnsi="Narkisim" w:cs="Narkisim"/>
          <w:rtl/>
        </w:rPr>
        <w:t xml:space="preserve"> דתלי בנידון ה</w:t>
      </w:r>
      <w:r w:rsidRPr="00440CAB">
        <w:rPr>
          <w:rFonts w:ascii="Narkisim" w:hAnsi="Narkisim" w:cs="Narkisim"/>
          <w:b/>
          <w:bCs/>
          <w:rtl/>
        </w:rPr>
        <w:t>תוס</w:t>
      </w:r>
      <w:r w:rsidRPr="00440CAB">
        <w:rPr>
          <w:rFonts w:ascii="Narkisim" w:hAnsi="Narkisim" w:cs="Narkisim"/>
          <w:rtl/>
        </w:rPr>
        <w:t xml:space="preserve">' (לעיל מד: ד"ה הכא) האם זונה אסורה בתרומה מקרא דכי תהיה לאיש זר </w:t>
      </w:r>
      <w:r w:rsidRPr="00440CAB">
        <w:rPr>
          <w:rFonts w:ascii="Narkisim" w:hAnsi="Narkisim" w:cs="Narkisim"/>
          <w:sz w:val="20"/>
          <w:szCs w:val="20"/>
          <w:rtl/>
        </w:rPr>
        <w:t>[ואילו הכא לא הוה איש זר]</w:t>
      </w:r>
      <w:r w:rsidRPr="00440CAB">
        <w:rPr>
          <w:rFonts w:ascii="Narkisim" w:hAnsi="Narkisim" w:cs="Narkisim"/>
          <w:rtl/>
        </w:rPr>
        <w:t>. או דשם זונה פוסל לתרומה, דהוקש לחללה</w:t>
      </w:r>
      <w:r w:rsidRPr="00440CAB">
        <w:rPr>
          <w:rFonts w:ascii="Narkisim" w:hAnsi="Narkisim" w:cs="Narkisim"/>
          <w:sz w:val="20"/>
          <w:szCs w:val="20"/>
          <w:rtl/>
        </w:rPr>
        <w:t xml:space="preserve"> [וכמ"ש </w:t>
      </w:r>
      <w:r w:rsidRPr="00440CAB">
        <w:rPr>
          <w:rFonts w:ascii="Narkisim" w:hAnsi="Narkisim" w:cs="Narkisim"/>
          <w:b/>
          <w:bCs/>
          <w:sz w:val="20"/>
          <w:szCs w:val="20"/>
          <w:rtl/>
        </w:rPr>
        <w:t>תוס</w:t>
      </w:r>
      <w:r w:rsidRPr="00440CAB">
        <w:rPr>
          <w:rFonts w:ascii="Narkisim" w:hAnsi="Narkisim" w:cs="Narkisim"/>
          <w:sz w:val="20"/>
          <w:szCs w:val="20"/>
          <w:rtl/>
        </w:rPr>
        <w:t>' (לה. בסו"ד) וכ"כ ב</w:t>
      </w:r>
      <w:r w:rsidRPr="00440CAB">
        <w:rPr>
          <w:rFonts w:ascii="Narkisim" w:hAnsi="Narkisim" w:cs="Narkisim"/>
          <w:b/>
          <w:bCs/>
          <w:sz w:val="20"/>
          <w:szCs w:val="20"/>
          <w:rtl/>
        </w:rPr>
        <w:t>תו"י</w:t>
      </w:r>
      <w:r w:rsidRPr="00440CAB">
        <w:rPr>
          <w:rFonts w:ascii="Narkisim" w:hAnsi="Narkisim" w:cs="Narkisim"/>
          <w:sz w:val="20"/>
          <w:szCs w:val="20"/>
          <w:rtl/>
        </w:rPr>
        <w:t xml:space="preserve"> מד:].</w:t>
      </w:r>
    </w:p>
    <w:p w14:paraId="3EB8F9A8" w14:textId="77777777" w:rsidR="006074A5" w:rsidRPr="00440CAB" w:rsidRDefault="006074A5" w:rsidP="006074A5">
      <w:pPr>
        <w:bidi/>
        <w:rPr>
          <w:rFonts w:ascii="Narkisim" w:hAnsi="Narkisim" w:cs="Narkisim"/>
        </w:rPr>
      </w:pPr>
      <w:r w:rsidRPr="00440CAB">
        <w:rPr>
          <w:rFonts w:ascii="Narkisim" w:hAnsi="Narkisim" w:cs="Narkisim"/>
          <w:u w:val="single"/>
          <w:rtl/>
        </w:rPr>
        <w:t>תוד"ה ורב.</w:t>
      </w:r>
      <w:r w:rsidRPr="00440CAB">
        <w:rPr>
          <w:rFonts w:ascii="Narkisim" w:hAnsi="Narkisim" w:cs="Narkisim"/>
          <w:rtl/>
        </w:rPr>
        <w:t xml:space="preserve"> דרב דאמר לר"א וכו' דאטו משום דסבר וכו'. וה</w:t>
      </w:r>
      <w:r w:rsidRPr="00440CAB">
        <w:rPr>
          <w:rFonts w:ascii="Narkisim" w:hAnsi="Narkisim" w:cs="Narkisim"/>
          <w:b/>
          <w:bCs/>
          <w:rtl/>
        </w:rPr>
        <w:t>ריטב"א</w:t>
      </w:r>
      <w:r w:rsidRPr="00440CAB">
        <w:rPr>
          <w:rFonts w:ascii="Narkisim" w:hAnsi="Narkisim" w:cs="Narkisim"/>
          <w:rtl/>
        </w:rPr>
        <w:t xml:space="preserve"> כתב דכוליה סוגיין להגדיל תורה ויאדיר ולברורי מילתא אליבא דר' אלעזר. והוה מצי למימר דרב סבר כר"ש [דס"ל בברייתא כר"א].</w:t>
      </w:r>
    </w:p>
    <w:p w14:paraId="594E7D38"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רשב"א</w:t>
      </w:r>
      <w:r w:rsidRPr="00440CAB">
        <w:rPr>
          <w:rFonts w:ascii="Narkisim" w:hAnsi="Narkisim"/>
          <w:rtl/>
        </w:rPr>
        <w:t xml:space="preserve"> כתב דרב משמע דפסל משום בעולה, ולא משום בתולים. ולר' שמעון הוה משום דריבה הכתוב כל בתולים, אבל אינה בעולה. דס"ל כרבי (קידושין ט:) דאחר אינו עושה בעולה שלא כדרך.</w:t>
      </w:r>
    </w:p>
    <w:p w14:paraId="3326A95B" w14:textId="77777777" w:rsidR="006074A5" w:rsidRPr="00440CAB" w:rsidRDefault="006074A5" w:rsidP="006074A5">
      <w:pPr>
        <w:bidi/>
        <w:rPr>
          <w:rFonts w:ascii="Narkisim" w:hAnsi="Narkisim" w:cs="Narkisim"/>
        </w:rPr>
      </w:pPr>
      <w:r w:rsidRPr="00440CAB">
        <w:rPr>
          <w:rFonts w:ascii="Narkisim" w:hAnsi="Narkisim" w:cs="Narkisim"/>
          <w:u w:val="single"/>
          <w:rtl/>
        </w:rPr>
        <w:t>בא"ד ובסוף פ"ק בכתובות וכו' אי סבר פנוי הבא על הפנויה עשאה זונה וכו'.</w:t>
      </w:r>
      <w:r w:rsidRPr="00440CAB">
        <w:rPr>
          <w:rFonts w:ascii="Narkisim" w:hAnsi="Narkisim" w:cs="Narkisim"/>
          <w:rtl/>
        </w:rPr>
        <w:t xml:space="preserve"> ומבואר בתוס' דאף כשנאנסה נעשית זונה [לר"א], דהתם איירי בנאנסה. וכ"כ ה</w:t>
      </w:r>
      <w:r w:rsidRPr="00440CAB">
        <w:rPr>
          <w:rFonts w:ascii="Narkisim" w:hAnsi="Narkisim" w:cs="Narkisim"/>
          <w:b/>
          <w:bCs/>
          <w:rtl/>
        </w:rPr>
        <w:t>ריטב"א</w:t>
      </w:r>
      <w:r w:rsidRPr="00440CAB">
        <w:rPr>
          <w:rFonts w:ascii="Narkisim" w:hAnsi="Narkisim" w:cs="Narkisim"/>
          <w:rtl/>
        </w:rPr>
        <w:t xml:space="preserve"> דאף נאנסה נעשית זונה, מדלא אוקימנא (בסוגיין) בנאנסה. ע"כ דלא שאני ליה.</w:t>
      </w:r>
    </w:p>
    <w:p w14:paraId="6D3BE3FE"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(וע"ע שו"ת הרשב"א א אלף רלא) הקשה דרבה (נו: לחד לישנא) ס"ל דבאונס לא נחשב זונה</w:t>
      </w:r>
      <w:r w:rsidRPr="00440CAB">
        <w:rPr>
          <w:rStyle w:val="ac"/>
          <w:rFonts w:ascii="Narkisim" w:hAnsi="Narkisim"/>
          <w:rtl/>
        </w:rPr>
        <w:footnoteReference w:id="3603"/>
      </w:r>
      <w:r w:rsidRPr="00440CAB">
        <w:rPr>
          <w:rFonts w:ascii="Narkisim" w:hAnsi="Narkisim"/>
          <w:rtl/>
        </w:rPr>
        <w:t xml:space="preserve">. ובתי' הב' כתב דלר' אלעזר כל שלא לשם אישות הוה זונה. </w:t>
      </w:r>
      <w:r w:rsidRPr="00440CAB">
        <w:rPr>
          <w:rFonts w:ascii="Narkisim" w:hAnsi="Narkisim"/>
          <w:sz w:val="20"/>
          <w:szCs w:val="20"/>
          <w:rtl/>
        </w:rPr>
        <w:t>[ומשמע דלענין פנוי הבא על הפנויה גרע משאר פוסלין בביאתן. וצ"ב].</w:t>
      </w:r>
    </w:p>
    <w:p w14:paraId="2DA6829B" w14:textId="77777777" w:rsidR="006074A5" w:rsidRPr="00440CAB" w:rsidRDefault="006074A5" w:rsidP="006074A5">
      <w:pPr>
        <w:pStyle w:val="a7"/>
        <w:bidi/>
        <w:rPr>
          <w:rFonts w:ascii="Narkisim" w:hAnsi="Narkisim"/>
        </w:rPr>
      </w:pPr>
      <w:r w:rsidRPr="00440CAB">
        <w:rPr>
          <w:rFonts w:ascii="Narkisim" w:hAnsi="Narkisim"/>
          <w:rtl/>
        </w:rPr>
        <w:t>אבל ב</w:t>
      </w:r>
      <w:r w:rsidRPr="00440CAB">
        <w:rPr>
          <w:rFonts w:ascii="Narkisim" w:hAnsi="Narkisim"/>
          <w:b/>
          <w:bCs/>
          <w:rtl/>
        </w:rPr>
        <w:t>תוס' חד מקמאי</w:t>
      </w:r>
      <w:r w:rsidRPr="00440CAB">
        <w:rPr>
          <w:rFonts w:ascii="Narkisim" w:hAnsi="Narkisim"/>
          <w:rtl/>
        </w:rPr>
        <w:t xml:space="preserve"> (בע"א) כתב דבאונס לא נחשב זונה בפנוי הבא על הפנויה [דהאשה אינה מופקרת</w:t>
      </w:r>
      <w:r w:rsidRPr="00440CAB">
        <w:rPr>
          <w:rStyle w:val="ac"/>
          <w:rFonts w:ascii="Narkisim" w:hAnsi="Narkisim"/>
          <w:sz w:val="20"/>
          <w:szCs w:val="20"/>
          <w:rtl/>
        </w:rPr>
        <w:footnoteReference w:id="3604"/>
      </w:r>
      <w:r w:rsidRPr="00440CAB">
        <w:rPr>
          <w:rFonts w:ascii="Narkisim" w:hAnsi="Narkisim"/>
          <w:rtl/>
        </w:rPr>
        <w:t>]. וה</w:t>
      </w:r>
      <w:r w:rsidRPr="00440CAB">
        <w:rPr>
          <w:rFonts w:ascii="Narkisim" w:hAnsi="Narkisim"/>
          <w:b/>
          <w:bCs/>
          <w:rtl/>
        </w:rPr>
        <w:t>משנ"ל</w:t>
      </w:r>
      <w:r w:rsidRPr="00440CAB">
        <w:rPr>
          <w:rFonts w:ascii="Narkisim" w:hAnsi="Narkisim"/>
          <w:rtl/>
        </w:rPr>
        <w:t xml:space="preserve"> (יח ב) נסתפק האם בפנוי הבא על הפנוי באונס נחשבת זונה, והביא מדברי ה</w:t>
      </w:r>
      <w:r w:rsidRPr="00440CAB">
        <w:rPr>
          <w:rFonts w:ascii="Narkisim" w:hAnsi="Narkisim"/>
          <w:b/>
          <w:bCs/>
          <w:rtl/>
        </w:rPr>
        <w:t>שיטמ"ק</w:t>
      </w:r>
      <w:r w:rsidRPr="00440CAB">
        <w:rPr>
          <w:rFonts w:ascii="Narkisim" w:hAnsi="Narkisim"/>
          <w:rtl/>
        </w:rPr>
        <w:t xml:space="preserve"> (כתובות ל. בשם שיטה ישנה) דהבא על הפנויה באונס לא נחשבת זונה, וכן בביאה שלא כדרכה אינה נאסרת. והמשנ"ל הביא דמפשטות הגמ' משמע דהוה זונה אף שלא כדרכה, דאל"כ אמאי לא תי' כן הגמ'.</w:t>
      </w:r>
    </w:p>
    <w:p w14:paraId="67ED4D8C" w14:textId="77777777" w:rsidR="006074A5" w:rsidRPr="00440CAB" w:rsidRDefault="006074A5" w:rsidP="006074A5">
      <w:pPr>
        <w:bidi/>
        <w:rPr>
          <w:rFonts w:ascii="Narkisim" w:hAnsi="Narkisim" w:cs="Narkisim"/>
        </w:rPr>
      </w:pPr>
      <w:r w:rsidRPr="00440CAB">
        <w:rPr>
          <w:rFonts w:ascii="Narkisim" w:hAnsi="Narkisim" w:cs="Narkisim"/>
          <w:u w:val="single"/>
          <w:rtl/>
        </w:rPr>
        <w:t>בממאנת.</w:t>
      </w:r>
      <w:r w:rsidRPr="00440CAB">
        <w:rPr>
          <w:rFonts w:ascii="Narkisim" w:hAnsi="Narkisim" w:cs="Narkisim"/>
          <w:rtl/>
        </w:rPr>
        <w:t xml:space="preserve"> ה</w:t>
      </w:r>
      <w:r w:rsidRPr="00440CAB">
        <w:rPr>
          <w:rFonts w:ascii="Narkisim" w:hAnsi="Narkisim" w:cs="Narkisim"/>
          <w:b/>
          <w:bCs/>
          <w:rtl/>
        </w:rPr>
        <w:t>רשב"א</w:t>
      </w:r>
      <w:r w:rsidRPr="00440CAB">
        <w:rPr>
          <w:rFonts w:ascii="Narkisim" w:hAnsi="Narkisim" w:cs="Narkisim"/>
          <w:rtl/>
        </w:rPr>
        <w:t xml:space="preserve"> הק' דנישואי יתומה קטנה הוה מדרבנן. ומדאורייתא נישואי קטנה כביאת פנוי, ונישואי קטנה דרבנן ל"מ באיסורי כהונה</w:t>
      </w:r>
      <w:r w:rsidRPr="00440CAB">
        <w:rPr>
          <w:rStyle w:val="ac"/>
          <w:rFonts w:ascii="Narkisim" w:hAnsi="Narkisim" w:cs="Narkisim"/>
          <w:rtl/>
        </w:rPr>
        <w:footnoteReference w:id="3605"/>
      </w:r>
      <w:r w:rsidRPr="00440CAB">
        <w:rPr>
          <w:rFonts w:ascii="Narkisim" w:hAnsi="Narkisim" w:cs="Narkisim"/>
          <w:rtl/>
        </w:rPr>
        <w:t>. ותי' דכל דנבעלה בעילת נישואין אפי' דרבנן לאו בעילת זנות הוא. וה</w:t>
      </w:r>
      <w:r w:rsidRPr="00440CAB">
        <w:rPr>
          <w:rFonts w:ascii="Narkisim" w:hAnsi="Narkisim" w:cs="Narkisim"/>
          <w:b/>
          <w:bCs/>
          <w:rtl/>
        </w:rPr>
        <w:t>ריטב"א</w:t>
      </w:r>
      <w:r w:rsidRPr="00440CAB">
        <w:rPr>
          <w:rFonts w:ascii="Narkisim" w:hAnsi="Narkisim" w:cs="Narkisim"/>
          <w:rtl/>
        </w:rPr>
        <w:t xml:space="preserve"> כת' דאע"ג דנפקעו קידושיה למפרע</w:t>
      </w:r>
      <w:r w:rsidRPr="00440CAB">
        <w:rPr>
          <w:rStyle w:val="ac"/>
          <w:rFonts w:ascii="Narkisim" w:hAnsi="Narkisim" w:cs="Narkisim"/>
          <w:rtl/>
        </w:rPr>
        <w:footnoteReference w:id="3606"/>
      </w:r>
      <w:r w:rsidRPr="00440CAB">
        <w:rPr>
          <w:rFonts w:ascii="Narkisim" w:hAnsi="Narkisim" w:cs="Narkisim"/>
          <w:rtl/>
        </w:rPr>
        <w:t>, מ"מ לשם אישות היתה הבעילה. וה</w:t>
      </w:r>
      <w:r w:rsidRPr="00440CAB">
        <w:rPr>
          <w:rFonts w:ascii="Narkisim" w:hAnsi="Narkisim" w:cs="Narkisim"/>
          <w:b/>
          <w:bCs/>
          <w:rtl/>
        </w:rPr>
        <w:t>ריב"ש</w:t>
      </w:r>
      <w:r w:rsidRPr="00440CAB">
        <w:rPr>
          <w:rFonts w:ascii="Narkisim" w:hAnsi="Narkisim" w:cs="Narkisim"/>
          <w:rtl/>
        </w:rPr>
        <w:t xml:space="preserve"> (קצד) הביא דכיון דבא עליה לכוונת אישות, אע"פ שאין האישות מתקיים לא הוה זונה. דהוה לשם אישות ולא לכוונת זנות. ואף שהמיאון עוקרת הנישואין לגמרי, ומותר בקרובותיה. וכן דייק ה</w:t>
      </w:r>
      <w:r w:rsidRPr="00440CAB">
        <w:rPr>
          <w:rFonts w:ascii="Narkisim" w:hAnsi="Narkisim" w:cs="Narkisim"/>
          <w:b/>
          <w:bCs/>
          <w:rtl/>
        </w:rPr>
        <w:t>משנ"ל</w:t>
      </w:r>
      <w:r w:rsidRPr="00440CAB">
        <w:rPr>
          <w:rFonts w:ascii="Narkisim" w:hAnsi="Narkisim" w:cs="Narkisim"/>
          <w:rtl/>
        </w:rPr>
        <w:t xml:space="preserve"> מתוס' (סוד"ה ורב), דכל 'לשם אישות' לא הוי זונה.</w:t>
      </w:r>
    </w:p>
    <w:p w14:paraId="15C4DA84" w14:textId="77777777" w:rsidR="006074A5" w:rsidRPr="00440CAB" w:rsidRDefault="006074A5" w:rsidP="006074A5">
      <w:pPr>
        <w:pStyle w:val="a8"/>
        <w:bidi/>
        <w:rPr>
          <w:rFonts w:ascii="Narkisim" w:hAnsi="Narkisim"/>
        </w:rPr>
      </w:pPr>
      <w:r w:rsidRPr="00440CAB">
        <w:rPr>
          <w:rFonts w:ascii="Narkisim" w:hAnsi="Narkisim"/>
          <w:rtl/>
        </w:rPr>
        <w:t>והריב"ש נקט דהמיאון עוקר למפרע, ועי"ז הוה ביאת זנות [אלא דאזלי' בתר הכוונה]. וה</w:t>
      </w:r>
      <w:r w:rsidRPr="00440CAB">
        <w:rPr>
          <w:rFonts w:ascii="Narkisim" w:hAnsi="Narkisim"/>
          <w:b/>
          <w:bCs/>
          <w:rtl/>
        </w:rPr>
        <w:t>אחרונים</w:t>
      </w:r>
      <w:r w:rsidRPr="00440CAB">
        <w:rPr>
          <w:rFonts w:ascii="Narkisim" w:hAnsi="Narkisim"/>
          <w:rtl/>
        </w:rPr>
        <w:t xml:space="preserve"> ציינו דה</w:t>
      </w:r>
      <w:r w:rsidRPr="00440CAB">
        <w:rPr>
          <w:rFonts w:ascii="Narkisim" w:hAnsi="Narkisim"/>
          <w:b/>
          <w:bCs/>
          <w:rtl/>
        </w:rPr>
        <w:t>גר"ח</w:t>
      </w:r>
      <w:r w:rsidRPr="00440CAB">
        <w:rPr>
          <w:rFonts w:ascii="Narkisim" w:hAnsi="Narkisim"/>
          <w:rtl/>
        </w:rPr>
        <w:t xml:space="preserve"> (אישות ב ט בסו"ד) חידש דהמיאון עוקר למפרע רק כלפי עיקר הקידושין. אבל בשעתו היתה מקודשת [בגדר 'מכאן ולמפרע']. ועפ"ז הביאה שהיתה בעודה אשתו מדרבנן לא יחשב ביאת זנות. [דתלי בדין נישואין של אתמול, ואינו משתנה למפרע להחשב הפקר].</w:t>
      </w:r>
    </w:p>
    <w:p w14:paraId="3BFFA796"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ה</w:t>
      </w:r>
      <w:r w:rsidRPr="00440CAB">
        <w:rPr>
          <w:rFonts w:ascii="Narkisim" w:hAnsi="Narkisim" w:cs="Narkisim"/>
          <w:b/>
          <w:bCs/>
          <w:rtl/>
        </w:rPr>
        <w:t>משנ"ל</w:t>
      </w:r>
      <w:r w:rsidRPr="00440CAB">
        <w:rPr>
          <w:rFonts w:ascii="Narkisim" w:hAnsi="Narkisim" w:cs="Narkisim"/>
          <w:rtl/>
        </w:rPr>
        <w:t xml:space="preserve"> (יח ב) נסתפק כשייחד פילגש [בלא קידושין] האם נימא דכיון דמיוחדת לו לא תחשב זונה</w:t>
      </w:r>
      <w:r w:rsidRPr="00440CAB">
        <w:rPr>
          <w:rStyle w:val="ac"/>
          <w:rFonts w:ascii="Narkisim" w:hAnsi="Narkisim" w:cs="Narkisim"/>
          <w:rtl/>
        </w:rPr>
        <w:footnoteReference w:id="3607"/>
      </w:r>
      <w:r w:rsidRPr="00440CAB">
        <w:rPr>
          <w:rFonts w:ascii="Narkisim" w:hAnsi="Narkisim" w:cs="Narkisim"/>
          <w:rtl/>
        </w:rPr>
        <w:t>, או בעינן קידושין [דרבנן] דוקא. והביא דבגמ' לא אשכח אלא בממאנת</w:t>
      </w:r>
      <w:r w:rsidRPr="00440CAB">
        <w:rPr>
          <w:rStyle w:val="ac"/>
          <w:rFonts w:ascii="Narkisim" w:hAnsi="Narkisim" w:cs="Narkisim"/>
          <w:rtl/>
        </w:rPr>
        <w:footnoteReference w:id="3608"/>
      </w:r>
      <w:r w:rsidRPr="00440CAB">
        <w:rPr>
          <w:rFonts w:ascii="Narkisim" w:hAnsi="Narkisim" w:cs="Narkisim"/>
          <w:rtl/>
        </w:rPr>
        <w:t>.</w:t>
      </w:r>
      <w:r w:rsidRPr="00440CAB">
        <w:rPr>
          <w:rFonts w:ascii="Narkisim" w:hAnsi="Narkisim" w:cs="Narkisim"/>
          <w:sz w:val="20"/>
          <w:szCs w:val="20"/>
          <w:rtl/>
        </w:rPr>
        <w:t xml:space="preserve"> ושוב הביא מדברי הריב"ש דה"ה כשלא חלו הקידושין, ולפ"ז מילתא אגב אורחא בממאנת. [ומשמע מדבריו דפשט דה"ה פילגש].</w:t>
      </w:r>
    </w:p>
    <w:p w14:paraId="59CCF0B8"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רשב"א</w:t>
      </w:r>
      <w:r w:rsidRPr="00440CAB">
        <w:rPr>
          <w:rFonts w:ascii="Narkisim" w:hAnsi="Narkisim" w:cs="Narkisim"/>
          <w:rtl/>
        </w:rPr>
        <w:t xml:space="preserve"> (בע"א) הקשה דיש להקשות כקושיית הגמ' כאן על דברי ר"א, אמאי איצטריך </w:t>
      </w:r>
      <w:r w:rsidRPr="00440CAB">
        <w:rPr>
          <w:rFonts w:ascii="Narkisim" w:hAnsi="Narkisim" w:cs="Narkisim"/>
          <w:rtl/>
        </w:rPr>
        <w:lastRenderedPageBreak/>
        <w:t>קרא למעט שלא כדרכה לר' אלעזר ותיפו"ל דהוה זונה</w:t>
      </w:r>
      <w:r w:rsidRPr="00440CAB">
        <w:rPr>
          <w:rStyle w:val="ac"/>
          <w:rFonts w:ascii="Narkisim" w:hAnsi="Narkisim" w:cs="Narkisim"/>
          <w:rtl/>
        </w:rPr>
        <w:footnoteReference w:id="3609"/>
      </w:r>
      <w:r w:rsidRPr="00440CAB">
        <w:rPr>
          <w:rFonts w:ascii="Narkisim" w:hAnsi="Narkisim" w:cs="Narkisim"/>
          <w:rtl/>
        </w:rPr>
        <w:t>, וכי איצטריך קרא למעט קידושין דרבנן</w:t>
      </w:r>
      <w:r w:rsidRPr="00440CAB">
        <w:rPr>
          <w:rStyle w:val="ac"/>
          <w:rFonts w:ascii="Narkisim" w:hAnsi="Narkisim" w:cs="Narkisim"/>
          <w:rtl/>
        </w:rPr>
        <w:footnoteReference w:id="3610"/>
      </w:r>
      <w:r w:rsidRPr="00440CAB">
        <w:rPr>
          <w:rFonts w:ascii="Narkisim" w:hAnsi="Narkisim" w:cs="Narkisim"/>
          <w:rtl/>
        </w:rPr>
        <w:t>. וה</w:t>
      </w:r>
      <w:r w:rsidRPr="00440CAB">
        <w:rPr>
          <w:rFonts w:ascii="Narkisim" w:hAnsi="Narkisim" w:cs="Narkisim"/>
          <w:b/>
          <w:bCs/>
          <w:rtl/>
        </w:rPr>
        <w:t>משנ"ל</w:t>
      </w:r>
      <w:r w:rsidRPr="00440CAB">
        <w:rPr>
          <w:rFonts w:ascii="Narkisim" w:hAnsi="Narkisim" w:cs="Narkisim"/>
          <w:rtl/>
        </w:rPr>
        <w:t xml:space="preserve"> (יח ב) הוכיח מדבריו דבמייחד פילגש נעשית זונה, דאל"כ בזה יש נפק"מ בדאורייתא. </w:t>
      </w:r>
      <w:r w:rsidRPr="00440CAB">
        <w:rPr>
          <w:rFonts w:ascii="Narkisim" w:hAnsi="Narkisim" w:cs="Narkisim"/>
          <w:sz w:val="20"/>
          <w:szCs w:val="20"/>
          <w:rtl/>
        </w:rPr>
        <w:t>וה</w:t>
      </w:r>
      <w:r w:rsidRPr="00440CAB">
        <w:rPr>
          <w:rFonts w:ascii="Narkisim" w:hAnsi="Narkisim" w:cs="Narkisim"/>
          <w:b/>
          <w:bCs/>
          <w:sz w:val="20"/>
          <w:szCs w:val="20"/>
          <w:rtl/>
        </w:rPr>
        <w:t xml:space="preserve">משנ"ל </w:t>
      </w:r>
      <w:r w:rsidRPr="00440CAB">
        <w:rPr>
          <w:rFonts w:ascii="Narkisim" w:hAnsi="Narkisim" w:cs="Narkisim"/>
          <w:sz w:val="20"/>
          <w:szCs w:val="20"/>
          <w:rtl/>
        </w:rPr>
        <w:t>כתב דמ"מ יש נפק"מ דיש ג"כ עשה דבעולה</w:t>
      </w:r>
      <w:r w:rsidRPr="00440CAB">
        <w:rPr>
          <w:rStyle w:val="ac"/>
          <w:rFonts w:ascii="Narkisim" w:hAnsi="Narkisim" w:cs="Narkisim"/>
          <w:sz w:val="20"/>
          <w:szCs w:val="20"/>
          <w:rtl/>
        </w:rPr>
        <w:footnoteReference w:id="3611"/>
      </w:r>
      <w:r w:rsidRPr="00440CAB">
        <w:rPr>
          <w:rFonts w:ascii="Narkisim" w:hAnsi="Narkisim" w:cs="Narkisim"/>
          <w:sz w:val="20"/>
          <w:szCs w:val="20"/>
          <w:rtl/>
        </w:rPr>
        <w:t xml:space="preserve"> [ונפק"מ דהוה ל"ת ועשה ולענין יבום בעלו ל"ק</w:t>
      </w:r>
      <w:r w:rsidRPr="00440CAB">
        <w:rPr>
          <w:rStyle w:val="ac"/>
          <w:rFonts w:ascii="Narkisim" w:hAnsi="Narkisim" w:cs="Narkisim"/>
          <w:sz w:val="20"/>
          <w:szCs w:val="20"/>
          <w:rtl/>
        </w:rPr>
        <w:footnoteReference w:id="3612"/>
      </w:r>
      <w:r w:rsidRPr="00440CAB">
        <w:rPr>
          <w:rFonts w:ascii="Narkisim" w:hAnsi="Narkisim" w:cs="Narkisim"/>
          <w:sz w:val="20"/>
          <w:szCs w:val="20"/>
          <w:rtl/>
        </w:rPr>
        <w:t xml:space="preserve">]. </w:t>
      </w:r>
      <w:r w:rsidRPr="00440CAB">
        <w:rPr>
          <w:rFonts w:ascii="Narkisim" w:hAnsi="Narkisim" w:cs="Narkisim"/>
          <w:rtl/>
        </w:rPr>
        <w:t>וה</w:t>
      </w:r>
      <w:r w:rsidRPr="00440CAB">
        <w:rPr>
          <w:rFonts w:ascii="Narkisim" w:hAnsi="Narkisim" w:cs="Narkisim"/>
          <w:b/>
          <w:bCs/>
          <w:rtl/>
        </w:rPr>
        <w:t>נוב"י</w:t>
      </w:r>
      <w:r w:rsidRPr="00440CAB">
        <w:rPr>
          <w:rFonts w:ascii="Narkisim" w:hAnsi="Narkisim" w:cs="Narkisim"/>
          <w:rtl/>
        </w:rPr>
        <w:t xml:space="preserve"> (ת' ה) תי' די"ל דהפסוק בא למעט דאסור לקדש בביאה שלא כדרכה [כשדעתו על גמ"ב], דבביאת קידושין אינה נעשית זונה.</w:t>
      </w:r>
    </w:p>
    <w:p w14:paraId="263BAAC5" w14:textId="77777777" w:rsidR="006074A5" w:rsidRPr="00440CAB" w:rsidRDefault="006074A5" w:rsidP="006074A5">
      <w:pPr>
        <w:bidi/>
        <w:rPr>
          <w:rFonts w:ascii="Narkisim" w:hAnsi="Narkisim" w:cs="Narkisim"/>
        </w:rPr>
      </w:pPr>
      <w:r w:rsidRPr="00440CAB">
        <w:rPr>
          <w:rFonts w:ascii="Narkisim" w:hAnsi="Narkisim" w:cs="Narkisim"/>
          <w:u w:val="single"/>
          <w:rtl/>
        </w:rPr>
        <w:t>רש"י ד"ה כשרה לכהונה.</w:t>
      </w:r>
      <w:r w:rsidRPr="00440CAB">
        <w:rPr>
          <w:rFonts w:ascii="Narkisim" w:hAnsi="Narkisim" w:cs="Narkisim"/>
          <w:rtl/>
        </w:rPr>
        <w:t xml:space="preserve"> מאן דשרי במוכת עץ. ה</w:t>
      </w:r>
      <w:r w:rsidRPr="00440CAB">
        <w:rPr>
          <w:rFonts w:ascii="Narkisim" w:hAnsi="Narkisim" w:cs="Narkisim"/>
          <w:b/>
          <w:bCs/>
          <w:rtl/>
        </w:rPr>
        <w:t>ראשונים</w:t>
      </w:r>
      <w:r w:rsidRPr="00440CAB">
        <w:rPr>
          <w:rFonts w:ascii="Narkisim" w:hAnsi="Narkisim" w:cs="Narkisim"/>
          <w:rtl/>
        </w:rPr>
        <w:t xml:space="preserve"> הקשו דלא מצאנו בסוגיין מאן דשרי מוכת עץ. </w:t>
      </w:r>
      <w:r w:rsidRPr="00440CAB">
        <w:rPr>
          <w:rFonts w:ascii="Narkisim" w:hAnsi="Narkisim" w:cs="Narkisim"/>
          <w:sz w:val="20"/>
          <w:szCs w:val="20"/>
          <w:rtl/>
        </w:rPr>
        <w:t>[וה</w:t>
      </w:r>
      <w:r w:rsidRPr="00440CAB">
        <w:rPr>
          <w:rFonts w:ascii="Narkisim" w:hAnsi="Narkisim" w:cs="Narkisim"/>
          <w:b/>
          <w:bCs/>
          <w:sz w:val="20"/>
          <w:szCs w:val="20"/>
          <w:rtl/>
        </w:rPr>
        <w:t>רשב"א</w:t>
      </w:r>
      <w:r w:rsidRPr="00440CAB">
        <w:rPr>
          <w:rFonts w:ascii="Narkisim" w:hAnsi="Narkisim" w:cs="Narkisim"/>
          <w:sz w:val="20"/>
          <w:szCs w:val="20"/>
          <w:rtl/>
        </w:rPr>
        <w:t xml:space="preserve"> הביא דבברייתא (נדה ח:) יש מ"ד דמוכת עץ כשר, ועוד הביאו דבירושלמי יש מ"ד דר"א ור"ש מכשירין מוכת עץ].</w:t>
      </w:r>
      <w:r w:rsidRPr="00440CAB">
        <w:rPr>
          <w:rFonts w:ascii="Narkisim" w:hAnsi="Narkisim" w:cs="Narkisim"/>
          <w:rtl/>
        </w:rPr>
        <w:t xml:space="preserve"> וה</w:t>
      </w:r>
      <w:r w:rsidRPr="00440CAB">
        <w:rPr>
          <w:rFonts w:ascii="Narkisim" w:hAnsi="Narkisim" w:cs="Narkisim"/>
          <w:b/>
          <w:bCs/>
          <w:rtl/>
        </w:rPr>
        <w:t>ריטב"א</w:t>
      </w:r>
      <w:r w:rsidRPr="00440CAB">
        <w:rPr>
          <w:rFonts w:ascii="Narkisim" w:hAnsi="Narkisim" w:cs="Narkisim"/>
          <w:rtl/>
        </w:rPr>
        <w:t xml:space="preserve"> כתב דאיירי בשלא כדרכה, ולכן סמכו ענין לו מעשה דרבי.</w:t>
      </w:r>
    </w:p>
    <w:p w14:paraId="5A131EEE"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רמב"ם</w:t>
      </w:r>
      <w:r w:rsidRPr="00440CAB">
        <w:rPr>
          <w:rFonts w:ascii="Narkisim" w:hAnsi="Narkisim"/>
          <w:rtl/>
        </w:rPr>
        <w:t xml:space="preserve"> (יז יד) פסק דנבעלה לבהמה כשירה, ולא חילק שלא כדרכה</w:t>
      </w:r>
      <w:r w:rsidRPr="00440CAB">
        <w:rPr>
          <w:rStyle w:val="ac"/>
          <w:rFonts w:ascii="Narkisim" w:hAnsi="Narkisim"/>
          <w:rtl/>
        </w:rPr>
        <w:footnoteReference w:id="3613"/>
      </w:r>
      <w:r w:rsidRPr="00440CAB">
        <w:rPr>
          <w:rFonts w:ascii="Narkisim" w:hAnsi="Narkisim"/>
          <w:rtl/>
        </w:rPr>
        <w:t>. וה</w:t>
      </w:r>
      <w:r w:rsidRPr="00440CAB">
        <w:rPr>
          <w:rFonts w:ascii="Narkisim" w:hAnsi="Narkisim"/>
          <w:b/>
          <w:bCs/>
          <w:rtl/>
        </w:rPr>
        <w:t>מנח"ח</w:t>
      </w:r>
      <w:r w:rsidRPr="00440CAB">
        <w:rPr>
          <w:rFonts w:ascii="Narkisim" w:hAnsi="Narkisim"/>
          <w:rtl/>
        </w:rPr>
        <w:t xml:space="preserve"> (רעב ה) תי' דקי"ל דאין מוכת עץ בבשר (כתובות יא:) בקטן פחות מבן ט'. ואף שהוציא בתולים לא נפסלה. ול"ד לעץ הנתקע</w:t>
      </w:r>
      <w:r w:rsidRPr="00440CAB">
        <w:rPr>
          <w:rStyle w:val="ac"/>
          <w:rFonts w:ascii="Narkisim" w:hAnsi="Narkisim"/>
          <w:rtl/>
        </w:rPr>
        <w:footnoteReference w:id="3614"/>
      </w:r>
      <w:r w:rsidRPr="00440CAB">
        <w:rPr>
          <w:rFonts w:ascii="Narkisim" w:hAnsi="Narkisim"/>
          <w:rtl/>
        </w:rPr>
        <w:t>.</w:t>
      </w:r>
    </w:p>
    <w:p w14:paraId="2A9688B9" w14:textId="77777777" w:rsidR="006074A5" w:rsidRPr="00440CAB" w:rsidRDefault="006074A5" w:rsidP="006074A5">
      <w:pPr>
        <w:pStyle w:val="a8"/>
        <w:bidi/>
        <w:rPr>
          <w:rFonts w:ascii="Narkisim" w:hAnsi="Narkisim"/>
        </w:rPr>
      </w:pPr>
      <w:r w:rsidRPr="00440CAB">
        <w:rPr>
          <w:rFonts w:ascii="Narkisim" w:hAnsi="Narkisim"/>
          <w:rtl/>
        </w:rPr>
        <w:t>וכ"כ ה</w:t>
      </w:r>
      <w:r w:rsidRPr="00440CAB">
        <w:rPr>
          <w:rFonts w:ascii="Narkisim" w:hAnsi="Narkisim"/>
          <w:b/>
          <w:bCs/>
          <w:rtl/>
        </w:rPr>
        <w:t>תוס' רי"ד</w:t>
      </w:r>
      <w:r w:rsidRPr="00440CAB">
        <w:rPr>
          <w:rFonts w:ascii="Narkisim" w:hAnsi="Narkisim"/>
          <w:rtl/>
        </w:rPr>
        <w:t xml:space="preserve"> (כתובות שם) דביאת בן ט' הוה כממעכת באצבע דלא נאסרה לכה"ג</w:t>
      </w:r>
      <w:r w:rsidRPr="00440CAB">
        <w:rPr>
          <w:rStyle w:val="ac"/>
          <w:rFonts w:ascii="Narkisim" w:hAnsi="Narkisim"/>
          <w:rtl/>
        </w:rPr>
        <w:footnoteReference w:id="3615"/>
      </w:r>
      <w:r w:rsidRPr="00440CAB">
        <w:rPr>
          <w:rFonts w:ascii="Narkisim" w:hAnsi="Narkisim"/>
          <w:rtl/>
        </w:rPr>
        <w:t xml:space="preserve">. אבל </w:t>
      </w:r>
      <w:r w:rsidRPr="00440CAB">
        <w:rPr>
          <w:rFonts w:ascii="Narkisim" w:hAnsi="Narkisim"/>
          <w:b/>
          <w:bCs/>
          <w:rtl/>
        </w:rPr>
        <w:t>תוס</w:t>
      </w:r>
      <w:r w:rsidRPr="00440CAB">
        <w:rPr>
          <w:rFonts w:ascii="Narkisim" w:hAnsi="Narkisim"/>
          <w:rtl/>
        </w:rPr>
        <w:t>' (כתובות שם) העמיד בלא השיר בתולים. וקטן פחות מבן ט' שהשיר בתולים דינה כמוכת עץ</w:t>
      </w:r>
      <w:r w:rsidRPr="00440CAB">
        <w:rPr>
          <w:rStyle w:val="ac"/>
          <w:rFonts w:ascii="Narkisim" w:hAnsi="Narkisim"/>
          <w:rtl/>
        </w:rPr>
        <w:footnoteReference w:id="3616"/>
      </w:r>
      <w:r w:rsidRPr="00440CAB">
        <w:rPr>
          <w:rFonts w:ascii="Narkisim" w:hAnsi="Narkisim"/>
          <w:rtl/>
        </w:rPr>
        <w:t>.</w:t>
      </w:r>
    </w:p>
    <w:p w14:paraId="6C07E923" w14:textId="77777777" w:rsidR="006074A5" w:rsidRPr="00440CAB" w:rsidRDefault="006074A5" w:rsidP="006074A5">
      <w:pPr>
        <w:bidi/>
        <w:rPr>
          <w:rFonts w:ascii="Narkisim" w:hAnsi="Narkisim" w:cs="Narkisim"/>
        </w:rPr>
      </w:pPr>
      <w:r w:rsidRPr="00440CAB">
        <w:rPr>
          <w:rFonts w:ascii="Narkisim" w:hAnsi="Narkisim" w:cs="Narkisim"/>
          <w:u w:val="single"/>
          <w:rtl/>
        </w:rPr>
        <w:t>אין זנות לבהמה.</w:t>
      </w:r>
      <w:r w:rsidRPr="00440CAB">
        <w:rPr>
          <w:rFonts w:ascii="Narkisim" w:hAnsi="Narkisim" w:cs="Narkisim"/>
          <w:rtl/>
        </w:rPr>
        <w:t xml:space="preserve"> ה</w:t>
      </w:r>
      <w:r w:rsidRPr="00440CAB">
        <w:rPr>
          <w:rFonts w:ascii="Narkisim" w:hAnsi="Narkisim" w:cs="Narkisim"/>
          <w:b/>
          <w:bCs/>
          <w:rtl/>
        </w:rPr>
        <w:t>ריטב"א</w:t>
      </w:r>
      <w:r w:rsidRPr="00440CAB">
        <w:rPr>
          <w:rFonts w:ascii="Narkisim" w:hAnsi="Narkisim" w:cs="Narkisim"/>
          <w:rtl/>
        </w:rPr>
        <w:t xml:space="preserve"> פי' ולא חשיבא ביאתו לענין פסול יוחסין אלא כמוכת עץ בעלמא, ואע"פ שיש בביאתו חיוב מיתה. </w:t>
      </w:r>
      <w:r w:rsidRPr="00440CAB">
        <w:rPr>
          <w:rFonts w:ascii="Narkisim" w:hAnsi="Narkisim" w:cs="Narkisim"/>
          <w:sz w:val="20"/>
          <w:szCs w:val="20"/>
          <w:rtl/>
        </w:rPr>
        <w:t>[ומבואר בסוגיין דבעי קרא למעוטי, דס"ד דיש ע"ז שם ביאה</w:t>
      </w:r>
      <w:r w:rsidRPr="00440CAB">
        <w:rPr>
          <w:rStyle w:val="ac"/>
          <w:rFonts w:ascii="Narkisim" w:hAnsi="Narkisim" w:cs="Narkisim"/>
          <w:sz w:val="20"/>
          <w:szCs w:val="20"/>
          <w:rtl/>
        </w:rPr>
        <w:footnoteReference w:id="3617"/>
      </w:r>
      <w:r w:rsidRPr="00440CAB">
        <w:rPr>
          <w:rFonts w:ascii="Narkisim" w:hAnsi="Narkisim" w:cs="Narkisim"/>
          <w:rtl/>
        </w:rPr>
        <w:t>.</w:t>
      </w:r>
    </w:p>
    <w:p w14:paraId="0687CBF2"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 xml:space="preserve">רמב"ם </w:t>
      </w:r>
      <w:r w:rsidRPr="00440CAB">
        <w:rPr>
          <w:rFonts w:ascii="Narkisim" w:hAnsi="Narkisim"/>
          <w:rtl/>
        </w:rPr>
        <w:t xml:space="preserve">(יח ה) הוכיח ד'שם זונה' לא תליא בביאה של </w:t>
      </w:r>
      <w:r w:rsidRPr="00440CAB">
        <w:rPr>
          <w:rFonts w:ascii="Narkisim" w:hAnsi="Narkisim"/>
          <w:i/>
          <w:iCs/>
          <w:rtl/>
        </w:rPr>
        <w:t>איסור</w:t>
      </w:r>
      <w:r w:rsidRPr="00440CAB">
        <w:rPr>
          <w:rFonts w:ascii="Narkisim" w:hAnsi="Narkisim"/>
          <w:rtl/>
        </w:rPr>
        <w:t>, שהרי הבא על הנדה ונרבעת לבהמה אינה זונה. ואין הדבר תלוי אלא בפגימה, ומפי השמועה למדנו דאינה פגומה אלא מאדם האסור לה או חלל.</w:t>
      </w:r>
    </w:p>
    <w:p w14:paraId="22A7A981" w14:textId="77777777" w:rsidR="006074A5" w:rsidRPr="00440CAB" w:rsidRDefault="006074A5" w:rsidP="006074A5">
      <w:pPr>
        <w:bidi/>
        <w:rPr>
          <w:rFonts w:ascii="Narkisim" w:hAnsi="Narkisim" w:cs="Narkisim"/>
        </w:rPr>
      </w:pPr>
      <w:r w:rsidRPr="00440CAB">
        <w:rPr>
          <w:rFonts w:ascii="Narkisim" w:hAnsi="Narkisim" w:cs="Narkisim"/>
          <w:rtl/>
        </w:rPr>
        <w:t xml:space="preserve">ודעת רב יוסף (לעיל) דמ"מ כלפי כה"ג נחשבת 'בעולה', ואביי פליג דאף שם 'בעולה' תליא בשם זנות. </w:t>
      </w:r>
      <w:r w:rsidRPr="00440CAB">
        <w:rPr>
          <w:rFonts w:ascii="Narkisim" w:hAnsi="Narkisim" w:cs="Narkisim"/>
          <w:sz w:val="20"/>
          <w:szCs w:val="20"/>
          <w:rtl/>
        </w:rPr>
        <w:t>[ויל"ד האם דעת רב יוסף דבעולה לכה"ג תליא בנעשית 'מעשה ביאה', או דס"ל דבהמה נחשב זנות לענין זה].</w:t>
      </w:r>
    </w:p>
    <w:p w14:paraId="151E823F" w14:textId="77777777" w:rsidR="006074A5" w:rsidRPr="00440CAB" w:rsidRDefault="006074A5" w:rsidP="006074A5">
      <w:pPr>
        <w:pStyle w:val="aa"/>
        <w:bidi/>
        <w:rPr>
          <w:rFonts w:ascii="Narkisim" w:hAnsi="Narkisim"/>
        </w:rPr>
      </w:pPr>
      <w:r w:rsidRPr="00440CAB">
        <w:rPr>
          <w:rFonts w:ascii="Narkisim" w:hAnsi="Narkisim"/>
          <w:u w:val="single"/>
          <w:rtl/>
        </w:rPr>
        <w:t>אתנן כלב.</w:t>
      </w:r>
      <w:r w:rsidRPr="00440CAB">
        <w:rPr>
          <w:rFonts w:ascii="Narkisim" w:hAnsi="Narkisim"/>
          <w:rtl/>
        </w:rPr>
        <w:t xml:space="preserve"> </w:t>
      </w:r>
      <w:r w:rsidRPr="00440CAB">
        <w:rPr>
          <w:rFonts w:ascii="Narkisim" w:hAnsi="Narkisim"/>
          <w:b/>
          <w:bCs/>
          <w:rtl/>
        </w:rPr>
        <w:t>תוס</w:t>
      </w:r>
      <w:r w:rsidRPr="00440CAB">
        <w:rPr>
          <w:rFonts w:ascii="Narkisim" w:hAnsi="Narkisim"/>
          <w:rtl/>
        </w:rPr>
        <w:t xml:space="preserve">' (ב"מ צא.) הביאו </w:t>
      </w:r>
      <w:r w:rsidRPr="00440CAB">
        <w:rPr>
          <w:rFonts w:ascii="Narkisim" w:hAnsi="Narkisim"/>
          <w:b/>
          <w:bCs/>
          <w:rtl/>
        </w:rPr>
        <w:t>י"מ</w:t>
      </w:r>
      <w:r w:rsidRPr="00440CAB">
        <w:rPr>
          <w:rFonts w:ascii="Narkisim" w:hAnsi="Narkisim"/>
          <w:rtl/>
        </w:rPr>
        <w:t xml:space="preserve"> דאע"ג דקים ליה בדרבה מיניה נחשב אתנן, דאתנן אסרה תורה אפי' בא על אמו</w:t>
      </w:r>
      <w:r w:rsidRPr="00440CAB">
        <w:rPr>
          <w:rStyle w:val="ac"/>
          <w:rFonts w:ascii="Narkisim" w:hAnsi="Narkisim"/>
          <w:rtl/>
        </w:rPr>
        <w:footnoteReference w:id="3618"/>
      </w:r>
      <w:r w:rsidRPr="00440CAB">
        <w:rPr>
          <w:rFonts w:ascii="Narkisim" w:hAnsi="Narkisim"/>
          <w:rtl/>
        </w:rPr>
        <w:t xml:space="preserve"> (וכדאי' בגמ' שם). וילפי' כן מהל דרשא. וה</w:t>
      </w:r>
      <w:r w:rsidRPr="00440CAB">
        <w:rPr>
          <w:rFonts w:ascii="Narkisim" w:hAnsi="Narkisim"/>
          <w:b/>
          <w:bCs/>
          <w:rtl/>
        </w:rPr>
        <w:t>רמב"ן</w:t>
      </w:r>
      <w:r w:rsidRPr="00440CAB">
        <w:rPr>
          <w:rFonts w:ascii="Narkisim" w:hAnsi="Narkisim"/>
          <w:rtl/>
        </w:rPr>
        <w:t xml:space="preserve"> דחה די"ל דאיירי דהאדון נותן אתנן כדי שעבדו יבעל לכלב.</w:t>
      </w:r>
    </w:p>
    <w:p w14:paraId="4E777032" w14:textId="77777777" w:rsidR="006074A5" w:rsidRPr="00440CAB" w:rsidRDefault="006074A5" w:rsidP="006074A5">
      <w:pPr>
        <w:bidi/>
        <w:rPr>
          <w:rFonts w:ascii="Narkisim" w:hAnsi="Narkisim" w:cs="Narkisim"/>
        </w:rPr>
      </w:pPr>
      <w:r w:rsidRPr="00440CAB">
        <w:rPr>
          <w:rFonts w:ascii="Narkisim" w:hAnsi="Narkisim" w:cs="Narkisim"/>
          <w:u w:val="single"/>
          <w:rtl/>
        </w:rPr>
        <w:t>אמר רב הונא אמר רב ומוציא בגט.</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כתב דמדאורייתא מוציא בגט. וה</w:t>
      </w:r>
      <w:r w:rsidRPr="00440CAB">
        <w:rPr>
          <w:rFonts w:ascii="Narkisim" w:hAnsi="Narkisim" w:cs="Narkisim"/>
          <w:b/>
          <w:bCs/>
          <w:rtl/>
        </w:rPr>
        <w:t>רמב"ן</w:t>
      </w:r>
      <w:r w:rsidRPr="00440CAB">
        <w:rPr>
          <w:rFonts w:ascii="Narkisim" w:hAnsi="Narkisim" w:cs="Narkisim"/>
          <w:rtl/>
        </w:rPr>
        <w:t xml:space="preserve"> (נט. וכתובות ל.) כתב דמ"מ מהני סברת סופה להיות בעולה תחתיו לענין שאין הולד חלל</w:t>
      </w:r>
      <w:r w:rsidRPr="00440CAB">
        <w:rPr>
          <w:rStyle w:val="ac"/>
          <w:rFonts w:ascii="Narkisim" w:hAnsi="Narkisim" w:cs="Narkisim"/>
          <w:rtl/>
        </w:rPr>
        <w:footnoteReference w:id="3619"/>
      </w:r>
      <w:r w:rsidRPr="00440CAB">
        <w:rPr>
          <w:rFonts w:ascii="Narkisim" w:hAnsi="Narkisim" w:cs="Narkisim"/>
          <w:rtl/>
        </w:rPr>
        <w:t xml:space="preserve"> </w:t>
      </w:r>
      <w:r w:rsidRPr="00440CAB">
        <w:rPr>
          <w:rFonts w:ascii="Narkisim" w:hAnsi="Narkisim" w:cs="Narkisim"/>
          <w:sz w:val="20"/>
          <w:szCs w:val="20"/>
          <w:rtl/>
        </w:rPr>
        <w:t xml:space="preserve">[וע' </w:t>
      </w:r>
      <w:r w:rsidRPr="00440CAB">
        <w:rPr>
          <w:rFonts w:ascii="Narkisim" w:hAnsi="Narkisim" w:cs="Narkisim"/>
          <w:sz w:val="20"/>
          <w:szCs w:val="20"/>
          <w:rtl/>
        </w:rPr>
        <w:lastRenderedPageBreak/>
        <w:t>בסמוך].</w:t>
      </w:r>
      <w:r w:rsidRPr="00440CAB">
        <w:rPr>
          <w:rFonts w:ascii="Narkisim" w:hAnsi="Narkisim" w:cs="Narkisim"/>
          <w:rtl/>
        </w:rPr>
        <w:t xml:space="preserve"> אבל ה</w:t>
      </w:r>
      <w:r w:rsidRPr="00440CAB">
        <w:rPr>
          <w:rFonts w:ascii="Narkisim" w:hAnsi="Narkisim" w:cs="Narkisim"/>
          <w:b/>
          <w:bCs/>
          <w:rtl/>
        </w:rPr>
        <w:t xml:space="preserve">משנ"ל </w:t>
      </w:r>
      <w:r w:rsidRPr="00440CAB">
        <w:rPr>
          <w:rFonts w:ascii="Narkisim" w:hAnsi="Narkisim" w:cs="Narkisim"/>
          <w:rtl/>
        </w:rPr>
        <w:t>(יז טו) כתב דמסתימת ה</w:t>
      </w:r>
      <w:r w:rsidRPr="00440CAB">
        <w:rPr>
          <w:rFonts w:ascii="Narkisim" w:hAnsi="Narkisim" w:cs="Narkisim"/>
          <w:b/>
          <w:bCs/>
          <w:rtl/>
        </w:rPr>
        <w:t>רמב"ם</w:t>
      </w:r>
      <w:r w:rsidRPr="00440CAB">
        <w:rPr>
          <w:rFonts w:ascii="Narkisim" w:hAnsi="Narkisim" w:cs="Narkisim"/>
          <w:rtl/>
        </w:rPr>
        <w:t xml:space="preserve"> ס"ל דבעולת עצמו הולד חלל</w:t>
      </w:r>
      <w:r w:rsidRPr="00440CAB">
        <w:rPr>
          <w:rStyle w:val="ac"/>
          <w:rFonts w:ascii="Narkisim" w:hAnsi="Narkisim" w:cs="Narkisim"/>
          <w:rtl/>
        </w:rPr>
        <w:footnoteReference w:id="3620"/>
      </w:r>
      <w:r w:rsidRPr="00440CAB">
        <w:rPr>
          <w:rFonts w:ascii="Narkisim" w:hAnsi="Narkisim" w:cs="Narkisim"/>
          <w:rtl/>
        </w:rPr>
        <w:t>.</w:t>
      </w:r>
    </w:p>
    <w:p w14:paraId="571808AD"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(ס. ד"ה שאינו בתי' הב') כת' דהוה רק מדרבנן [ומדאורי' מהני הא דנשא כבר</w:t>
      </w:r>
      <w:r w:rsidRPr="00440CAB">
        <w:rPr>
          <w:rStyle w:val="ac"/>
          <w:rFonts w:ascii="Narkisim" w:hAnsi="Narkisim"/>
          <w:rtl/>
        </w:rPr>
        <w:footnoteReference w:id="3621"/>
      </w:r>
      <w:r w:rsidRPr="00440CAB">
        <w:rPr>
          <w:rFonts w:ascii="Narkisim" w:hAnsi="Narkisim"/>
          <w:rtl/>
        </w:rPr>
        <w:t>]. וה</w:t>
      </w:r>
      <w:r w:rsidRPr="00440CAB">
        <w:rPr>
          <w:rFonts w:ascii="Narkisim" w:hAnsi="Narkisim"/>
          <w:b/>
          <w:bCs/>
          <w:rtl/>
        </w:rPr>
        <w:t>רשב"א</w:t>
      </w:r>
      <w:r w:rsidRPr="00440CAB">
        <w:rPr>
          <w:rFonts w:ascii="Narkisim" w:hAnsi="Narkisim"/>
          <w:rtl/>
        </w:rPr>
        <w:t xml:space="preserve"> (נט.) הוכיח דע"כ הוה דרבנן, דאי מדאורייתא אמאי הוה נשוי להפטר מקנס, דלאו נישואין הם</w:t>
      </w:r>
      <w:r w:rsidRPr="00440CAB">
        <w:rPr>
          <w:rStyle w:val="ac"/>
          <w:rFonts w:ascii="Narkisim" w:hAnsi="Narkisim"/>
          <w:rtl/>
        </w:rPr>
        <w:footnoteReference w:id="3622"/>
      </w:r>
      <w:r w:rsidRPr="00440CAB">
        <w:rPr>
          <w:rFonts w:ascii="Narkisim" w:hAnsi="Narkisim"/>
          <w:rtl/>
        </w:rPr>
        <w:t>. ואפי' את"ל דכיון דקידושין תפסי הוה נישואין למה לא יהא הולד חלל [ומשמע בברייתא דלא פליג ראב"י אהא].</w:t>
      </w:r>
    </w:p>
    <w:p w14:paraId="5011BEDF" w14:textId="77777777" w:rsidR="006074A5" w:rsidRPr="00440CAB" w:rsidRDefault="006074A5" w:rsidP="006074A5">
      <w:pPr>
        <w:pStyle w:val="3"/>
        <w:bidi/>
        <w:rPr>
          <w:rFonts w:ascii="Narkisim" w:hAnsi="Narkisim"/>
        </w:rPr>
      </w:pPr>
      <w:r w:rsidRPr="00440CAB">
        <w:rPr>
          <w:rFonts w:ascii="Narkisim" w:hAnsi="Narkisim"/>
          <w:rtl/>
        </w:rPr>
        <w:t>דף ס.</w:t>
      </w:r>
    </w:p>
    <w:p w14:paraId="53D44BAD" w14:textId="77777777" w:rsidR="006074A5" w:rsidRPr="00440CAB" w:rsidRDefault="006074A5" w:rsidP="006074A5">
      <w:pPr>
        <w:bidi/>
        <w:rPr>
          <w:rFonts w:ascii="Narkisim" w:hAnsi="Narkisim" w:cs="Narkisim"/>
        </w:rPr>
      </w:pPr>
      <w:r w:rsidRPr="00440CAB">
        <w:rPr>
          <w:rFonts w:ascii="Narkisim" w:hAnsi="Narkisim" w:cs="Narkisim"/>
          <w:u w:val="single"/>
          <w:rtl/>
        </w:rPr>
        <w:t>שאין משלם קנס במפותה.</w:t>
      </w:r>
      <w:r w:rsidRPr="00440CAB">
        <w:rPr>
          <w:rFonts w:ascii="Narkisim" w:hAnsi="Narkisim" w:cs="Narkisim"/>
          <w:rtl/>
        </w:rPr>
        <w:t xml:space="preserve"> ה</w:t>
      </w:r>
      <w:r w:rsidRPr="00440CAB">
        <w:rPr>
          <w:rFonts w:ascii="Narkisim" w:hAnsi="Narkisim" w:cs="Narkisim"/>
          <w:b/>
          <w:bCs/>
          <w:rtl/>
        </w:rPr>
        <w:t>משנ"ל</w:t>
      </w:r>
      <w:r w:rsidRPr="00440CAB">
        <w:rPr>
          <w:rFonts w:ascii="Narkisim" w:hAnsi="Narkisim" w:cs="Narkisim"/>
          <w:rtl/>
        </w:rPr>
        <w:t xml:space="preserve"> </w:t>
      </w:r>
      <w:r w:rsidRPr="00440CAB">
        <w:rPr>
          <w:rFonts w:ascii="Narkisim" w:hAnsi="Narkisim" w:cs="Narkisim"/>
          <w:sz w:val="20"/>
          <w:szCs w:val="20"/>
          <w:rtl/>
        </w:rPr>
        <w:t>(נערה א ג, והו' ב</w:t>
      </w:r>
      <w:r w:rsidRPr="00440CAB">
        <w:rPr>
          <w:rFonts w:ascii="Narkisim" w:hAnsi="Narkisim" w:cs="Narkisim"/>
          <w:b/>
          <w:bCs/>
          <w:sz w:val="20"/>
          <w:szCs w:val="20"/>
          <w:rtl/>
        </w:rPr>
        <w:t>מנח"ח</w:t>
      </w:r>
      <w:r w:rsidRPr="00440CAB">
        <w:rPr>
          <w:rFonts w:ascii="Narkisim" w:hAnsi="Narkisim" w:cs="Narkisim"/>
          <w:sz w:val="20"/>
          <w:szCs w:val="20"/>
          <w:rtl/>
        </w:rPr>
        <w:t xml:space="preserve"> סא ב)</w:t>
      </w:r>
      <w:r w:rsidRPr="00440CAB">
        <w:rPr>
          <w:rFonts w:ascii="Narkisim" w:hAnsi="Narkisim" w:cs="Narkisim"/>
          <w:rtl/>
        </w:rPr>
        <w:t xml:space="preserve"> נסתפק המפתה אשה האסורה לו [בחייבי לאוין דתפסי קידושין], ועבר וכנסה, האם נתחייב קנס</w:t>
      </w:r>
      <w:r w:rsidRPr="00440CAB">
        <w:rPr>
          <w:rStyle w:val="ac"/>
          <w:rFonts w:ascii="Narkisim" w:hAnsi="Narkisim" w:cs="Narkisim"/>
          <w:rtl/>
        </w:rPr>
        <w:footnoteReference w:id="3623"/>
      </w:r>
      <w:r w:rsidRPr="00440CAB">
        <w:rPr>
          <w:rFonts w:ascii="Narkisim" w:hAnsi="Narkisim" w:cs="Narkisim"/>
          <w:rtl/>
        </w:rPr>
        <w:t>. והביא דבסוגיין מבואר דאהנו מעשיו ונפטר</w:t>
      </w:r>
      <w:r w:rsidRPr="00440CAB">
        <w:rPr>
          <w:rStyle w:val="ac"/>
          <w:rFonts w:ascii="Narkisim" w:hAnsi="Narkisim" w:cs="Narkisim"/>
          <w:rtl/>
        </w:rPr>
        <w:footnoteReference w:id="3624"/>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הביאו ד</w:t>
      </w:r>
      <w:r w:rsidRPr="00440CAB">
        <w:rPr>
          <w:rFonts w:ascii="Narkisim" w:hAnsi="Narkisim" w:cs="Narkisim"/>
          <w:b/>
          <w:bCs/>
          <w:sz w:val="20"/>
          <w:szCs w:val="20"/>
          <w:rtl/>
        </w:rPr>
        <w:t>תוס'</w:t>
      </w:r>
      <w:r w:rsidRPr="00440CAB">
        <w:rPr>
          <w:rFonts w:ascii="Narkisim" w:hAnsi="Narkisim" w:cs="Narkisim"/>
          <w:sz w:val="20"/>
          <w:szCs w:val="20"/>
          <w:rtl/>
        </w:rPr>
        <w:t xml:space="preserve"> (ד"ה סופה) מבואר דאף אילו הוה זונה היה מהני הא דנשאה.</w:t>
      </w:r>
      <w:r w:rsidRPr="00440CAB">
        <w:rPr>
          <w:rFonts w:ascii="Narkisim" w:hAnsi="Narkisim" w:cs="Narkisim"/>
          <w:rtl/>
        </w:rPr>
        <w:t xml:space="preserve"> אבל ה</w:t>
      </w:r>
      <w:r w:rsidRPr="00440CAB">
        <w:rPr>
          <w:rFonts w:ascii="Narkisim" w:hAnsi="Narkisim" w:cs="Narkisim"/>
          <w:b/>
          <w:bCs/>
          <w:rtl/>
        </w:rPr>
        <w:t>רשב"א</w:t>
      </w:r>
      <w:r w:rsidRPr="00440CAB">
        <w:rPr>
          <w:rFonts w:ascii="Narkisim" w:hAnsi="Narkisim" w:cs="Narkisim"/>
          <w:rtl/>
        </w:rPr>
        <w:t xml:space="preserve"> (נט. הו' לעיל בסמוך) נקט דאילו הוה איסור דאורייתא לא יחשב נישואין לענין קנס דמפותה.</w:t>
      </w:r>
    </w:p>
    <w:p w14:paraId="1267FD73" w14:textId="77777777" w:rsidR="006074A5" w:rsidRPr="00440CAB" w:rsidRDefault="006074A5" w:rsidP="006074A5">
      <w:pPr>
        <w:bidi/>
        <w:rPr>
          <w:rFonts w:ascii="Narkisim" w:hAnsi="Narkisim" w:cs="Narkisim"/>
        </w:rPr>
      </w:pPr>
      <w:r w:rsidRPr="00440CAB">
        <w:rPr>
          <w:rFonts w:ascii="Narkisim" w:hAnsi="Narkisim" w:cs="Narkisim"/>
          <w:u w:val="single"/>
          <w:rtl/>
        </w:rPr>
        <w:t>תוד"ה שאינו.</w:t>
      </w:r>
      <w:r w:rsidRPr="00440CAB">
        <w:rPr>
          <w:rFonts w:ascii="Narkisim" w:hAnsi="Narkisim" w:cs="Narkisim"/>
          <w:rtl/>
        </w:rPr>
        <w:t xml:space="preserve"> ומה לי קנס ומה לי כתובה. ה</w:t>
      </w:r>
      <w:r w:rsidRPr="00440CAB">
        <w:rPr>
          <w:rFonts w:ascii="Narkisim" w:hAnsi="Narkisim" w:cs="Narkisim"/>
          <w:b/>
          <w:bCs/>
          <w:rtl/>
        </w:rPr>
        <w:t xml:space="preserve">ריטב"א </w:t>
      </w:r>
      <w:r w:rsidRPr="00440CAB">
        <w:rPr>
          <w:rFonts w:ascii="Narkisim" w:hAnsi="Narkisim" w:cs="Narkisim"/>
          <w:rtl/>
        </w:rPr>
        <w:t>כתב דנפק"מ דכתובתה מנה, וכדין בעולה</w:t>
      </w:r>
      <w:r w:rsidRPr="00440CAB">
        <w:rPr>
          <w:rStyle w:val="ac"/>
          <w:rFonts w:ascii="Narkisim" w:hAnsi="Narkisim" w:cs="Narkisim"/>
          <w:rtl/>
        </w:rPr>
        <w:footnoteReference w:id="3625"/>
      </w:r>
      <w:r w:rsidRPr="00440CAB">
        <w:rPr>
          <w:rFonts w:ascii="Narkisim" w:hAnsi="Narkisim" w:cs="Narkisim"/>
          <w:rtl/>
        </w:rPr>
        <w:t>. וה</w:t>
      </w:r>
      <w:r w:rsidRPr="00440CAB">
        <w:rPr>
          <w:rFonts w:ascii="Narkisim" w:hAnsi="Narkisim" w:cs="Narkisim"/>
          <w:b/>
          <w:bCs/>
          <w:rtl/>
        </w:rPr>
        <w:t>משנ"ל</w:t>
      </w:r>
      <w:r w:rsidRPr="00440CAB">
        <w:rPr>
          <w:rFonts w:ascii="Narkisim" w:hAnsi="Narkisim" w:cs="Narkisim"/>
          <w:rtl/>
        </w:rPr>
        <w:t xml:space="preserve"> (א ג) הקשה א"כ מה הקשו בתוס', הרי נפק"מ כתובתה רק מנה. והביא דב</w:t>
      </w:r>
      <w:r w:rsidRPr="00440CAB">
        <w:rPr>
          <w:rFonts w:ascii="Narkisim" w:hAnsi="Narkisim" w:cs="Narkisim"/>
          <w:b/>
          <w:bCs/>
          <w:rtl/>
        </w:rPr>
        <w:t>רמב"ם</w:t>
      </w:r>
      <w:r w:rsidRPr="00440CAB">
        <w:rPr>
          <w:rFonts w:ascii="Narkisim" w:hAnsi="Narkisim" w:cs="Narkisim"/>
          <w:rtl/>
        </w:rPr>
        <w:t xml:space="preserve"> (שם וה</w:t>
      </w:r>
      <w:r w:rsidRPr="00440CAB">
        <w:rPr>
          <w:rFonts w:ascii="Narkisim" w:hAnsi="Narkisim" w:cs="Narkisim"/>
          <w:b/>
          <w:bCs/>
          <w:rtl/>
        </w:rPr>
        <w:t>טור</w:t>
      </w:r>
      <w:r w:rsidRPr="00440CAB">
        <w:rPr>
          <w:rFonts w:ascii="Narkisim" w:hAnsi="Narkisim" w:cs="Narkisim"/>
          <w:rtl/>
        </w:rPr>
        <w:t xml:space="preserve"> קעז) פסק דכתובתה מאתיים, דהוה בעולת עצמו. [ובפשוטו נקטו דהוה מכלל גזיה"כ דמפתה</w:t>
      </w:r>
      <w:r w:rsidRPr="00440CAB">
        <w:rPr>
          <w:rStyle w:val="ac"/>
          <w:rFonts w:ascii="Narkisim" w:hAnsi="Narkisim" w:cs="Narkisim"/>
          <w:rtl/>
        </w:rPr>
        <w:footnoteReference w:id="3626"/>
      </w:r>
      <w:r w:rsidRPr="00440CAB">
        <w:rPr>
          <w:rFonts w:ascii="Narkisim" w:hAnsi="Narkisim" w:cs="Narkisim"/>
          <w:rtl/>
        </w:rPr>
        <w:t>]. אך הקשה דבתוס' תי' 'ועוד' דכתובת בעולה דרבנן, ומבואר דנחשב כתובת בעולה ולא כבתולה, וא"כ היה צריך כתובה מנה.</w:t>
      </w:r>
    </w:p>
    <w:p w14:paraId="3A72D0D6" w14:textId="77777777" w:rsidR="006074A5" w:rsidRPr="00440CAB" w:rsidRDefault="006074A5" w:rsidP="006074A5">
      <w:pPr>
        <w:pStyle w:val="a8"/>
        <w:bidi/>
        <w:rPr>
          <w:rFonts w:ascii="Narkisim" w:hAnsi="Narkisim"/>
        </w:rPr>
      </w:pPr>
      <w:r w:rsidRPr="00440CAB">
        <w:rPr>
          <w:rFonts w:ascii="Narkisim" w:hAnsi="Narkisim"/>
          <w:rtl/>
        </w:rPr>
        <w:t>וב</w:t>
      </w:r>
      <w:r w:rsidRPr="00440CAB">
        <w:rPr>
          <w:rFonts w:ascii="Narkisim" w:hAnsi="Narkisim"/>
          <w:b/>
          <w:bCs/>
          <w:rtl/>
        </w:rPr>
        <w:t xml:space="preserve">חי' ר"א מן ההר </w:t>
      </w:r>
      <w:r w:rsidRPr="00440CAB">
        <w:rPr>
          <w:rFonts w:ascii="Narkisim" w:hAnsi="Narkisim"/>
          <w:rtl/>
        </w:rPr>
        <w:t>תי' עוד נפק"מ דאם נשאה כתובתה לעצמה, ואילו קנס לאביה.</w:t>
      </w:r>
    </w:p>
    <w:p w14:paraId="61C27416" w14:textId="77777777" w:rsidR="006074A5" w:rsidRPr="00440CAB" w:rsidRDefault="006074A5" w:rsidP="006074A5">
      <w:pPr>
        <w:pStyle w:val="aa"/>
        <w:bidi/>
        <w:rPr>
          <w:rFonts w:ascii="Narkisim" w:hAnsi="Narkisim"/>
        </w:rPr>
      </w:pPr>
      <w:r w:rsidRPr="00440CAB">
        <w:rPr>
          <w:rFonts w:ascii="Narkisim" w:hAnsi="Narkisim"/>
          <w:u w:val="single"/>
          <w:rtl/>
        </w:rPr>
        <w:t>בא"ד ועוד נראה דהא דאמר רב מוציא בגט היינו מדרבנן וכו'.</w:t>
      </w:r>
      <w:r w:rsidRPr="00440CAB">
        <w:rPr>
          <w:rFonts w:ascii="Narkisim" w:hAnsi="Narkisim"/>
          <w:rtl/>
        </w:rPr>
        <w:t xml:space="preserve"> ה</w:t>
      </w:r>
      <w:r w:rsidRPr="00440CAB">
        <w:rPr>
          <w:rFonts w:ascii="Narkisim" w:hAnsi="Narkisim"/>
          <w:b/>
          <w:bCs/>
          <w:rtl/>
        </w:rPr>
        <w:t>משנ"ל</w:t>
      </w:r>
      <w:r w:rsidRPr="00440CAB">
        <w:rPr>
          <w:rFonts w:ascii="Narkisim" w:hAnsi="Narkisim"/>
          <w:rtl/>
        </w:rPr>
        <w:t xml:space="preserve"> (שם) ביאר דכוונת התוס' דבאיסור דרבנן קנסו דאין לה כתובה כלל, כדאמרי' (לקמן פד.) לגבי שניות.</w:t>
      </w:r>
    </w:p>
    <w:p w14:paraId="7BEC61BB" w14:textId="77777777" w:rsidR="006074A5" w:rsidRPr="00440CAB" w:rsidRDefault="006074A5" w:rsidP="006074A5">
      <w:pPr>
        <w:pStyle w:val="2"/>
        <w:bidi/>
        <w:rPr>
          <w:rFonts w:ascii="Narkisim" w:hAnsi="Narkisim"/>
        </w:rPr>
      </w:pPr>
      <w:r w:rsidRPr="00440CAB">
        <w:rPr>
          <w:rFonts w:ascii="Narkisim" w:hAnsi="Narkisim"/>
          <w:rtl/>
        </w:rPr>
        <w:t>נשא נשוי - סופה להיות תחתיו</w:t>
      </w:r>
    </w:p>
    <w:p w14:paraId="366E38CC" w14:textId="77777777" w:rsidR="006074A5" w:rsidRPr="00440CAB" w:rsidRDefault="006074A5" w:rsidP="006074A5">
      <w:pPr>
        <w:bidi/>
        <w:rPr>
          <w:rFonts w:ascii="Narkisim" w:hAnsi="Narkisim" w:cs="Narkisim"/>
        </w:rPr>
      </w:pPr>
      <w:r w:rsidRPr="00440CAB">
        <w:rPr>
          <w:rFonts w:ascii="Narkisim" w:hAnsi="Narkisim" w:cs="Narkisim"/>
          <w:u w:val="single"/>
          <w:rtl/>
        </w:rPr>
        <w:t>והא רב ור' יוחנן בוגרת ומוכת עץ לא ישא ואם נשא נשוי, אלמא סופה להיות בוגרת תחתיו וכו'.</w:t>
      </w:r>
      <w:r w:rsidRPr="00440CAB">
        <w:rPr>
          <w:rFonts w:ascii="Narkisim" w:hAnsi="Narkisim" w:cs="Narkisim"/>
          <w:rtl/>
        </w:rPr>
        <w:t xml:space="preserve"> ה</w:t>
      </w:r>
      <w:r w:rsidRPr="00440CAB">
        <w:rPr>
          <w:rFonts w:ascii="Narkisim" w:hAnsi="Narkisim" w:cs="Narkisim"/>
          <w:b/>
          <w:bCs/>
          <w:rtl/>
        </w:rPr>
        <w:t>רשב"א</w:t>
      </w:r>
      <w:r w:rsidRPr="00440CAB">
        <w:rPr>
          <w:rFonts w:ascii="Narkisim" w:hAnsi="Narkisim" w:cs="Narkisim"/>
          <w:rtl/>
        </w:rPr>
        <w:t xml:space="preserve"> הקשה דהמשנה סתמא דמוכת עץ לא ישא. והרשב"א נקט דמבואר במשנה דהוה איסור גמור. </w:t>
      </w:r>
      <w:r w:rsidRPr="00440CAB">
        <w:rPr>
          <w:rFonts w:ascii="Narkisim" w:hAnsi="Narkisim" w:cs="Narkisim"/>
          <w:sz w:val="20"/>
          <w:szCs w:val="20"/>
          <w:rtl/>
        </w:rPr>
        <w:t>[ואם נשא אינו נשוי</w:t>
      </w:r>
      <w:r w:rsidRPr="00440CAB">
        <w:rPr>
          <w:rStyle w:val="ac"/>
          <w:rFonts w:ascii="Narkisim" w:hAnsi="Narkisim" w:cs="Narkisim"/>
          <w:sz w:val="20"/>
          <w:szCs w:val="20"/>
          <w:rtl/>
        </w:rPr>
        <w:footnoteReference w:id="3627"/>
      </w:r>
      <w:r w:rsidRPr="00440CAB">
        <w:rPr>
          <w:rFonts w:ascii="Narkisim" w:hAnsi="Narkisim" w:cs="Narkisim"/>
          <w:sz w:val="20"/>
          <w:szCs w:val="20"/>
          <w:rtl/>
        </w:rPr>
        <w:t>]</w:t>
      </w:r>
      <w:r w:rsidRPr="00440CAB">
        <w:rPr>
          <w:rFonts w:ascii="Narkisim" w:hAnsi="Narkisim" w:cs="Narkisim"/>
          <w:rtl/>
        </w:rPr>
        <w:t>.</w:t>
      </w:r>
    </w:p>
    <w:p w14:paraId="3D85B94F" w14:textId="77777777" w:rsidR="006074A5" w:rsidRPr="00440CAB" w:rsidRDefault="006074A5" w:rsidP="006074A5">
      <w:pPr>
        <w:pStyle w:val="a7"/>
        <w:bidi/>
        <w:rPr>
          <w:rFonts w:ascii="Narkisim" w:hAnsi="Narkisim"/>
        </w:rPr>
      </w:pPr>
      <w:r w:rsidRPr="00440CAB">
        <w:rPr>
          <w:rFonts w:ascii="Narkisim" w:hAnsi="Narkisim"/>
          <w:rtl/>
        </w:rPr>
        <w:t xml:space="preserve">והביא דהברייתא </w:t>
      </w:r>
      <w:r w:rsidRPr="00440CAB">
        <w:rPr>
          <w:rFonts w:ascii="Narkisim" w:hAnsi="Narkisim"/>
          <w:sz w:val="20"/>
          <w:szCs w:val="20"/>
          <w:rtl/>
        </w:rPr>
        <w:t>(בנדה ח: ע' לעיל נט.)</w:t>
      </w:r>
      <w:r w:rsidRPr="00440CAB">
        <w:rPr>
          <w:rFonts w:ascii="Narkisim" w:hAnsi="Narkisim"/>
          <w:rtl/>
        </w:rPr>
        <w:t xml:space="preserve"> פליג דאסור דוקא בבעולת איש. אך הק' דהו"ל לגמ' להק' דר' יוחנן ס"ל הלכה כסתם משנה. וכת' ומיהו מבוגרת ל"ק דת"ק דמתני' אסר. דכיון דהוזכר מח' במשנה לא הוה סתם גמור</w:t>
      </w:r>
      <w:r w:rsidRPr="00440CAB">
        <w:rPr>
          <w:rStyle w:val="ac"/>
          <w:rFonts w:ascii="Narkisim" w:hAnsi="Narkisim"/>
          <w:rtl/>
        </w:rPr>
        <w:footnoteReference w:id="3628"/>
      </w:r>
      <w:r w:rsidRPr="00440CAB">
        <w:rPr>
          <w:rFonts w:ascii="Narkisim" w:hAnsi="Narkisim"/>
          <w:rtl/>
        </w:rPr>
        <w:t>.</w:t>
      </w:r>
    </w:p>
    <w:p w14:paraId="4E22E550"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כת' עפ"ז דמוכת עץ דמתני' הוה איסור דרבנן. וכתב דיש שאין גורסין כאן מוכת עץ.</w:t>
      </w:r>
    </w:p>
    <w:p w14:paraId="2BC41132" w14:textId="77777777" w:rsidR="006074A5" w:rsidRPr="00440CAB" w:rsidRDefault="006074A5" w:rsidP="006074A5">
      <w:pPr>
        <w:pStyle w:val="a7"/>
        <w:bidi/>
        <w:rPr>
          <w:rFonts w:ascii="Narkisim" w:hAnsi="Narkisim"/>
        </w:rPr>
      </w:pPr>
      <w:r w:rsidRPr="00440CAB">
        <w:rPr>
          <w:rFonts w:ascii="Narkisim" w:hAnsi="Narkisim"/>
          <w:rtl/>
        </w:rPr>
        <w:t>אבל דעת ה</w:t>
      </w:r>
      <w:r w:rsidRPr="00440CAB">
        <w:rPr>
          <w:rFonts w:ascii="Narkisim" w:hAnsi="Narkisim"/>
          <w:b/>
          <w:bCs/>
          <w:rtl/>
        </w:rPr>
        <w:t>רמב"ן</w:t>
      </w:r>
      <w:r w:rsidRPr="00440CAB">
        <w:rPr>
          <w:rFonts w:ascii="Narkisim" w:hAnsi="Narkisim"/>
          <w:rtl/>
        </w:rPr>
        <w:t xml:space="preserve"> דמהני סברת סופה להיות תחתיו אף באיסור דאורייתא, דמש"ה אי"צ להוציא. וכן פסק ה</w:t>
      </w:r>
      <w:r w:rsidRPr="00440CAB">
        <w:rPr>
          <w:rFonts w:ascii="Narkisim" w:hAnsi="Narkisim"/>
          <w:b/>
          <w:bCs/>
          <w:rtl/>
        </w:rPr>
        <w:t>רמב"ם</w:t>
      </w:r>
      <w:r w:rsidRPr="00440CAB">
        <w:rPr>
          <w:rFonts w:ascii="Narkisim" w:hAnsi="Narkisim"/>
          <w:rtl/>
        </w:rPr>
        <w:t xml:space="preserve"> (יז טו) דבוגרת ומוכת עץ אסורין מדאורייתא, ואפ"ה יקיים. וה</w:t>
      </w:r>
      <w:r w:rsidRPr="00440CAB">
        <w:rPr>
          <w:rFonts w:ascii="Narkisim" w:hAnsi="Narkisim"/>
          <w:b/>
          <w:bCs/>
          <w:rtl/>
        </w:rPr>
        <w:t>זכר יצחק</w:t>
      </w:r>
      <w:r w:rsidRPr="00440CAB">
        <w:rPr>
          <w:rFonts w:ascii="Narkisim" w:hAnsi="Narkisim"/>
          <w:rtl/>
        </w:rPr>
        <w:t xml:space="preserve"> (סה ב) ביאר דבבעולה לכה"ג יש 'איסור עשה' </w:t>
      </w:r>
      <w:r w:rsidRPr="00440CAB">
        <w:rPr>
          <w:rFonts w:ascii="Narkisim" w:hAnsi="Narkisim"/>
          <w:sz w:val="20"/>
          <w:szCs w:val="20"/>
          <w:rtl/>
        </w:rPr>
        <w:t xml:space="preserve">[דלאו הבא מכלל עשה], </w:t>
      </w:r>
      <w:r w:rsidRPr="00440CAB">
        <w:rPr>
          <w:rFonts w:ascii="Narkisim" w:hAnsi="Narkisim"/>
          <w:rtl/>
        </w:rPr>
        <w:t xml:space="preserve">וכן יש מצוות עשה לישא בתולה. </w:t>
      </w:r>
      <w:r w:rsidRPr="00440CAB">
        <w:rPr>
          <w:rFonts w:ascii="Narkisim" w:hAnsi="Narkisim"/>
          <w:sz w:val="20"/>
          <w:szCs w:val="20"/>
          <w:rtl/>
        </w:rPr>
        <w:t>ובבוגרת ומוכת עץ, כיון דסופה להיות תחתיו ידעינן דאין איסור עשה על האישות, והוה רק ביטול עשה דבתולה יקח. והוה ביטול עשה בעלמא, וליכא איסור עשה</w:t>
      </w:r>
      <w:r w:rsidRPr="00440CAB">
        <w:rPr>
          <w:rStyle w:val="ac"/>
          <w:rFonts w:ascii="Narkisim" w:hAnsi="Narkisim"/>
          <w:sz w:val="20"/>
          <w:szCs w:val="20"/>
          <w:rtl/>
        </w:rPr>
        <w:footnoteReference w:id="3629"/>
      </w:r>
      <w:r w:rsidRPr="00440CAB">
        <w:rPr>
          <w:rFonts w:ascii="Narkisim" w:hAnsi="Narkisim"/>
          <w:sz w:val="20"/>
          <w:szCs w:val="20"/>
          <w:rtl/>
        </w:rPr>
        <w:t>.</w:t>
      </w:r>
    </w:p>
    <w:p w14:paraId="1BD46A8E" w14:textId="77777777" w:rsidR="006074A5" w:rsidRPr="00440CAB" w:rsidRDefault="006074A5" w:rsidP="006074A5">
      <w:pPr>
        <w:pStyle w:val="a7"/>
        <w:bidi/>
        <w:rPr>
          <w:rFonts w:ascii="Narkisim" w:hAnsi="Narkisim"/>
        </w:rPr>
      </w:pPr>
      <w:r w:rsidRPr="00440CAB">
        <w:rPr>
          <w:rFonts w:ascii="Narkisim" w:hAnsi="Narkisim"/>
          <w:rtl/>
        </w:rPr>
        <w:lastRenderedPageBreak/>
        <w:t>וכן ה</w:t>
      </w:r>
      <w:r w:rsidRPr="00440CAB">
        <w:rPr>
          <w:rFonts w:ascii="Narkisim" w:hAnsi="Narkisim"/>
          <w:b/>
          <w:bCs/>
          <w:rtl/>
        </w:rPr>
        <w:t>חזו"א</w:t>
      </w:r>
      <w:r w:rsidRPr="00440CAB">
        <w:rPr>
          <w:rFonts w:ascii="Narkisim" w:hAnsi="Narkisim"/>
          <w:rtl/>
        </w:rPr>
        <w:t xml:space="preserve"> (יד ה) ביאר דבוגרת ומוכת עץ אין פגם בעצם האישות [כיון דסופה להיות תחתיו], ולא אסרה התורה הביא., אלא יש מצוות עשה בתחילת הנישואין. ולאחר שעבר ונשאה [וכבר ביטל את העשה] ליכא איסור.</w:t>
      </w:r>
    </w:p>
    <w:p w14:paraId="3F0896B0" w14:textId="77777777" w:rsidR="006074A5" w:rsidRPr="00440CAB" w:rsidRDefault="006074A5" w:rsidP="006074A5">
      <w:pPr>
        <w:pStyle w:val="a8"/>
        <w:bidi/>
        <w:rPr>
          <w:rFonts w:ascii="Narkisim" w:hAnsi="Narkisim"/>
        </w:rPr>
      </w:pPr>
      <w:r w:rsidRPr="00440CAB">
        <w:rPr>
          <w:rFonts w:ascii="Narkisim" w:hAnsi="Narkisim"/>
          <w:rtl/>
        </w:rPr>
        <w:t>אך כ"ז בבוגרת ומכת עץ ובעולת עצמו, אבל בעולת אחרים יש ג"כ איסור לא והבא מכלל עשה על כל ביאה וביאה.</w:t>
      </w:r>
    </w:p>
    <w:p w14:paraId="4789B441" w14:textId="77777777" w:rsidR="006074A5" w:rsidRPr="00440CAB" w:rsidRDefault="006074A5" w:rsidP="006074A5">
      <w:pPr>
        <w:pStyle w:val="aa"/>
        <w:bidi/>
        <w:rPr>
          <w:rFonts w:ascii="Narkisim" w:hAnsi="Narkisim"/>
        </w:rPr>
      </w:pPr>
      <w:r w:rsidRPr="00440CAB">
        <w:rPr>
          <w:rFonts w:ascii="Narkisim" w:hAnsi="Narkisim"/>
          <w:rtl/>
        </w:rPr>
        <w:t>וה</w:t>
      </w:r>
      <w:r w:rsidRPr="00440CAB">
        <w:rPr>
          <w:rFonts w:ascii="Narkisim" w:hAnsi="Narkisim"/>
          <w:b/>
          <w:bCs/>
          <w:rtl/>
        </w:rPr>
        <w:t>חזו"א</w:t>
      </w:r>
      <w:r w:rsidRPr="00440CAB">
        <w:rPr>
          <w:rFonts w:ascii="Narkisim" w:hAnsi="Narkisim"/>
          <w:rtl/>
        </w:rPr>
        <w:t xml:space="preserve"> חידש דאף כשנשא בחופה בלא ביאה, עובר בשעת נישואין, ומותרת לו. אבל הביא דה</w:t>
      </w:r>
      <w:r w:rsidRPr="00440CAB">
        <w:rPr>
          <w:rFonts w:ascii="Narkisim" w:hAnsi="Narkisim"/>
          <w:b/>
          <w:bCs/>
          <w:rtl/>
        </w:rPr>
        <w:t>משנ"ל</w:t>
      </w:r>
      <w:r w:rsidRPr="00440CAB">
        <w:rPr>
          <w:rFonts w:ascii="Narkisim" w:hAnsi="Narkisim"/>
          <w:rtl/>
        </w:rPr>
        <w:t xml:space="preserve"> (יז טו) כת' דהך איסור הוה דוקא היכא דבא עליה. והחזו"א הקשה לדברי המשנ"ל דכיון דהך ביאה הוה באיסור, הול"ל שתתחלל בביאתו. דלדעת ראב"י (בסמוך) דיש חלל מחייבי עשה. והאחרונים העמידו דדעת המשנ"ל דכיון דבביאה זו חל נישואין ועי"ז הותרה לו, אף בביאה זו לא נעשית חללה.</w:t>
      </w:r>
    </w:p>
    <w:p w14:paraId="08D5050C" w14:textId="77777777" w:rsidR="006074A5" w:rsidRPr="00440CAB" w:rsidRDefault="006074A5" w:rsidP="006074A5">
      <w:pPr>
        <w:bidi/>
        <w:rPr>
          <w:rFonts w:ascii="Narkisim" w:hAnsi="Narkisim" w:cs="Narkisim"/>
        </w:rPr>
      </w:pPr>
      <w:r w:rsidRPr="00440CAB">
        <w:rPr>
          <w:rFonts w:ascii="Narkisim" w:hAnsi="Narkisim" w:cs="Narkisim"/>
          <w:u w:val="single"/>
          <w:rtl/>
        </w:rPr>
        <w:t>הכא נמי סופה להיות בעולה תחתיו.</w:t>
      </w:r>
      <w:r w:rsidRPr="00440CAB">
        <w:rPr>
          <w:rFonts w:ascii="Narkisim" w:hAnsi="Narkisim" w:cs="Narkisim"/>
          <w:rtl/>
        </w:rPr>
        <w:t xml:space="preserve"> </w:t>
      </w:r>
      <w:r w:rsidRPr="00440CAB">
        <w:rPr>
          <w:rFonts w:ascii="Narkisim" w:hAnsi="Narkisim" w:cs="Narkisim"/>
          <w:szCs w:val="20"/>
          <w:rtl/>
        </w:rPr>
        <w:t>[לדברי הרשב"א הוכיחו דע"כ איסור בעולת עצמו הוה מדרבנן</w:t>
      </w:r>
      <w:r w:rsidRPr="00440CAB">
        <w:rPr>
          <w:rStyle w:val="ac"/>
          <w:rFonts w:ascii="Narkisim" w:hAnsi="Narkisim" w:cs="Narkisim"/>
          <w:szCs w:val="20"/>
          <w:rtl/>
        </w:rPr>
        <w:footnoteReference w:id="3630"/>
      </w:r>
      <w:r w:rsidRPr="00440CAB">
        <w:rPr>
          <w:rFonts w:ascii="Narkisim" w:hAnsi="Narkisim" w:cs="Narkisim"/>
          <w:szCs w:val="20"/>
          <w:rtl/>
        </w:rPr>
        <w:t>. ולדברי הרמב"ן אף דהוה איסור דאורייתא התירו משום דסופו להיות תחתיו]</w:t>
      </w:r>
      <w:r w:rsidRPr="00440CAB">
        <w:rPr>
          <w:rFonts w:ascii="Narkisim" w:hAnsi="Narkisim" w:cs="Narkisim"/>
          <w:rtl/>
        </w:rPr>
        <w:t>. ה</w:t>
      </w:r>
      <w:r w:rsidRPr="00440CAB">
        <w:rPr>
          <w:rFonts w:ascii="Narkisim" w:hAnsi="Narkisim" w:cs="Narkisim"/>
          <w:b/>
          <w:bCs/>
          <w:rtl/>
        </w:rPr>
        <w:t>ריטב"א</w:t>
      </w:r>
      <w:r w:rsidRPr="00440CAB">
        <w:rPr>
          <w:rFonts w:ascii="Narkisim" w:hAnsi="Narkisim" w:cs="Narkisim"/>
          <w:rtl/>
        </w:rPr>
        <w:t xml:space="preserve"> כתב דהיינו דוקא בעולת עצמו, דאין הגנאי גדול כ"כ. אבל בבעולת אחרים הוה גנאי גדול</w:t>
      </w:r>
      <w:r w:rsidRPr="00440CAB">
        <w:rPr>
          <w:rStyle w:val="ac"/>
          <w:rFonts w:ascii="Narkisim" w:hAnsi="Narkisim" w:cs="Narkisim"/>
          <w:rtl/>
        </w:rPr>
        <w:footnoteReference w:id="3631"/>
      </w:r>
      <w:r w:rsidRPr="00440CAB">
        <w:rPr>
          <w:rFonts w:ascii="Narkisim" w:hAnsi="Narkisim" w:cs="Narkisim"/>
          <w:rtl/>
        </w:rPr>
        <w:t>, ולא מהני האי טעמא</w:t>
      </w:r>
      <w:r w:rsidRPr="00440CAB">
        <w:rPr>
          <w:rStyle w:val="ac"/>
          <w:rFonts w:ascii="Narkisim" w:hAnsi="Narkisim" w:cs="Narkisim"/>
          <w:rtl/>
        </w:rPr>
        <w:footnoteReference w:id="3632"/>
      </w:r>
      <w:r w:rsidRPr="00440CAB">
        <w:rPr>
          <w:rFonts w:ascii="Narkisim" w:hAnsi="Narkisim" w:cs="Narkisim"/>
          <w:rtl/>
        </w:rPr>
        <w:t>.</w:t>
      </w:r>
    </w:p>
    <w:p w14:paraId="6F2F5242" w14:textId="77777777" w:rsidR="006074A5" w:rsidRPr="00440CAB" w:rsidRDefault="006074A5" w:rsidP="006074A5">
      <w:pPr>
        <w:bidi/>
        <w:rPr>
          <w:rFonts w:ascii="Narkisim" w:hAnsi="Narkisim" w:cs="Narkisim"/>
        </w:rPr>
      </w:pPr>
      <w:r w:rsidRPr="00440CAB">
        <w:rPr>
          <w:rFonts w:ascii="Narkisim" w:hAnsi="Narkisim" w:cs="Narkisim"/>
          <w:u w:val="single"/>
          <w:rtl/>
        </w:rPr>
        <w:t>קשיא.</w:t>
      </w:r>
      <w:r w:rsidRPr="00440CAB">
        <w:rPr>
          <w:rFonts w:ascii="Narkisim" w:hAnsi="Narkisim" w:cs="Narkisim"/>
          <w:rtl/>
        </w:rPr>
        <w:t xml:space="preserve"> ה</w:t>
      </w:r>
      <w:r w:rsidRPr="00440CAB">
        <w:rPr>
          <w:rFonts w:ascii="Narkisim" w:hAnsi="Narkisim" w:cs="Narkisim"/>
          <w:b/>
          <w:bCs/>
          <w:rtl/>
        </w:rPr>
        <w:t>ראשונים</w:t>
      </w:r>
      <w:r w:rsidRPr="00440CAB">
        <w:rPr>
          <w:rFonts w:ascii="Narkisim" w:hAnsi="Narkisim" w:cs="Narkisim"/>
          <w:rtl/>
        </w:rPr>
        <w:t xml:space="preserve"> פסקו דבעולת עצמו אם נשא מוציא בגט. וה</w:t>
      </w:r>
      <w:r w:rsidRPr="00440CAB">
        <w:rPr>
          <w:rFonts w:ascii="Narkisim" w:hAnsi="Narkisim" w:cs="Narkisim"/>
          <w:b/>
          <w:bCs/>
          <w:rtl/>
        </w:rPr>
        <w:t>ריטב"א</w:t>
      </w:r>
      <w:r w:rsidRPr="00440CAB">
        <w:rPr>
          <w:rFonts w:ascii="Narkisim" w:hAnsi="Narkisim" w:cs="Narkisim"/>
          <w:rtl/>
        </w:rPr>
        <w:t xml:space="preserve"> ביאר דלא שבקינן מה דאמר רב בהדיא משום דברי רב אשי דמדמה מסברא</w:t>
      </w:r>
      <w:r w:rsidRPr="00440CAB">
        <w:rPr>
          <w:rStyle w:val="ac"/>
          <w:rFonts w:ascii="Narkisim" w:hAnsi="Narkisim" w:cs="Narkisim"/>
          <w:rtl/>
        </w:rPr>
        <w:footnoteReference w:id="3633"/>
      </w:r>
      <w:r w:rsidRPr="00440CAB">
        <w:rPr>
          <w:rFonts w:ascii="Narkisim" w:hAnsi="Narkisim" w:cs="Narkisim"/>
          <w:rtl/>
        </w:rPr>
        <w:t xml:space="preserve">. </w:t>
      </w:r>
      <w:r w:rsidRPr="00440CAB">
        <w:rPr>
          <w:rFonts w:ascii="Narkisim" w:hAnsi="Narkisim" w:cs="Narkisim"/>
          <w:szCs w:val="20"/>
          <w:rtl/>
        </w:rPr>
        <w:t>וה</w:t>
      </w:r>
      <w:r w:rsidRPr="00440CAB">
        <w:rPr>
          <w:rFonts w:ascii="Narkisim" w:hAnsi="Narkisim" w:cs="Narkisim"/>
          <w:b/>
          <w:bCs/>
          <w:szCs w:val="20"/>
          <w:rtl/>
        </w:rPr>
        <w:t>חזו"א</w:t>
      </w:r>
      <w:r w:rsidRPr="00440CAB">
        <w:rPr>
          <w:rFonts w:ascii="Narkisim" w:hAnsi="Narkisim" w:cs="Narkisim"/>
          <w:szCs w:val="20"/>
          <w:rtl/>
        </w:rPr>
        <w:t xml:space="preserve"> (שם) ביאר דכלפי ביאה שקודם נישואין</w:t>
      </w:r>
      <w:r w:rsidRPr="00440CAB">
        <w:rPr>
          <w:rStyle w:val="ac"/>
          <w:rFonts w:ascii="Narkisim" w:hAnsi="Narkisim" w:cs="Narkisim"/>
          <w:szCs w:val="20"/>
          <w:rtl/>
        </w:rPr>
        <w:footnoteReference w:id="3634"/>
      </w:r>
      <w:r w:rsidRPr="00440CAB">
        <w:rPr>
          <w:rFonts w:ascii="Narkisim" w:hAnsi="Narkisim" w:cs="Narkisim"/>
          <w:szCs w:val="20"/>
          <w:rtl/>
        </w:rPr>
        <w:t xml:space="preserve"> לא אמרי' דסופה להיות תחתיו</w:t>
      </w:r>
      <w:r w:rsidRPr="00440CAB">
        <w:rPr>
          <w:rStyle w:val="ac"/>
          <w:rFonts w:ascii="Narkisim" w:hAnsi="Narkisim" w:cs="Narkisim"/>
          <w:szCs w:val="20"/>
          <w:rtl/>
        </w:rPr>
        <w:footnoteReference w:id="3635"/>
      </w:r>
      <w:r w:rsidRPr="00440CAB">
        <w:rPr>
          <w:rFonts w:ascii="Narkisim" w:hAnsi="Narkisim" w:cs="Narkisim"/>
          <w:szCs w:val="20"/>
          <w:rtl/>
        </w:rPr>
        <w:t>.</w:t>
      </w:r>
    </w:p>
    <w:p w14:paraId="057390F6"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(ד"ה שאינו) בתי' הב' כת' דמדאורייתא מהני ואי"צ להוציא, ורק מדרבנן ל"מ הך סברא.</w:t>
      </w:r>
    </w:p>
    <w:p w14:paraId="3D8CDEE5"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(נט. וכתובות ל.) כת' דמ"מ מהני הא דסופה להיות תחתיו לענין שלא יעשה חללות. ומבואר דאף בבעולה שייך סברת סופה להיות תחתיו, אלא דל"מ להתירה, אלא להקליש האיסור</w:t>
      </w:r>
      <w:r w:rsidRPr="00440CAB">
        <w:rPr>
          <w:rStyle w:val="ac"/>
          <w:rFonts w:ascii="Narkisim" w:hAnsi="Narkisim"/>
          <w:rtl/>
        </w:rPr>
        <w:footnoteReference w:id="3636"/>
      </w:r>
      <w:r w:rsidRPr="00440CAB">
        <w:rPr>
          <w:rFonts w:ascii="Narkisim" w:hAnsi="Narkisim"/>
          <w:rtl/>
        </w:rPr>
        <w:t>. [והרשב"א תמה על סברא זו].</w:t>
      </w:r>
    </w:p>
    <w:p w14:paraId="604FD380" w14:textId="77777777" w:rsidR="006074A5" w:rsidRPr="00440CAB" w:rsidRDefault="006074A5" w:rsidP="006074A5">
      <w:pPr>
        <w:bidi/>
        <w:rPr>
          <w:rFonts w:ascii="Narkisim" w:hAnsi="Narkisim" w:cs="Narkisim"/>
        </w:rPr>
      </w:pPr>
      <w:r w:rsidRPr="00440CAB">
        <w:rPr>
          <w:rFonts w:ascii="Narkisim" w:hAnsi="Narkisim" w:cs="Narkisim"/>
          <w:u w:val="single"/>
          <w:rtl/>
        </w:rPr>
        <w:t>אנוסת חבירו וכו' לא ישא ואם נשא וכו'.</w:t>
      </w:r>
      <w:r w:rsidRPr="00440CAB">
        <w:rPr>
          <w:rFonts w:ascii="Narkisim" w:hAnsi="Narkisim" w:cs="Narkisim"/>
          <w:rtl/>
        </w:rPr>
        <w:t xml:space="preserve"> ה</w:t>
      </w:r>
      <w:r w:rsidRPr="00440CAB">
        <w:rPr>
          <w:rFonts w:ascii="Narkisim" w:hAnsi="Narkisim" w:cs="Narkisim"/>
          <w:b/>
          <w:bCs/>
          <w:rtl/>
        </w:rPr>
        <w:t>רמב"ם</w:t>
      </w:r>
      <w:r w:rsidRPr="00440CAB">
        <w:rPr>
          <w:rFonts w:ascii="Narkisim" w:hAnsi="Narkisim" w:cs="Narkisim"/>
          <w:rtl/>
        </w:rPr>
        <w:t xml:space="preserve"> (יט ד) פסק דכה"ג הבא על בעולה בלא נישואין לא חיללה</w:t>
      </w:r>
      <w:r w:rsidRPr="00440CAB">
        <w:rPr>
          <w:rStyle w:val="ac"/>
          <w:rFonts w:ascii="Narkisim" w:hAnsi="Narkisim" w:cs="Narkisim"/>
          <w:rtl/>
        </w:rPr>
        <w:footnoteReference w:id="3637"/>
      </w:r>
      <w:r w:rsidRPr="00440CAB">
        <w:rPr>
          <w:rFonts w:ascii="Narkisim" w:hAnsi="Narkisim" w:cs="Narkisim"/>
          <w:rtl/>
        </w:rPr>
        <w:t>. ו</w:t>
      </w:r>
      <w:r w:rsidRPr="00440CAB">
        <w:rPr>
          <w:rFonts w:ascii="Narkisim" w:hAnsi="Narkisim" w:cs="Narkisim"/>
          <w:b/>
          <w:bCs/>
          <w:rtl/>
        </w:rPr>
        <w:t xml:space="preserve">ה"ה </w:t>
      </w:r>
      <w:r w:rsidRPr="00440CAB">
        <w:rPr>
          <w:rFonts w:ascii="Narkisim" w:hAnsi="Narkisim" w:cs="Narkisim"/>
          <w:rtl/>
        </w:rPr>
        <w:t>ביאר דאיסור בעולה לכה"ג ילפי' והוא אשה בבתוליה יקח, דהצווי הוה דרך נישואין. ודרך זנות אסורה מדין פנויה, וכמו שאר בני אדם</w:t>
      </w:r>
      <w:r w:rsidRPr="00440CAB">
        <w:rPr>
          <w:rStyle w:val="ac"/>
          <w:rFonts w:ascii="Narkisim" w:hAnsi="Narkisim" w:cs="Narkisim"/>
          <w:rtl/>
        </w:rPr>
        <w:footnoteReference w:id="3638"/>
      </w:r>
      <w:r w:rsidRPr="00440CAB">
        <w:rPr>
          <w:rFonts w:ascii="Narkisim" w:hAnsi="Narkisim" w:cs="Narkisim"/>
          <w:rtl/>
        </w:rPr>
        <w:t>. וכת' דהרמב"ם למד כן מהלשון 'לא נשא ואם נשא' בסוגיין.</w:t>
      </w:r>
    </w:p>
    <w:p w14:paraId="7171CD4F"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הביא דה</w:t>
      </w:r>
      <w:r w:rsidRPr="00440CAB">
        <w:rPr>
          <w:rFonts w:ascii="Narkisim" w:hAnsi="Narkisim"/>
          <w:b/>
          <w:bCs/>
          <w:rtl/>
        </w:rPr>
        <w:t>שיטמ"ק</w:t>
      </w:r>
      <w:r w:rsidRPr="00440CAB">
        <w:rPr>
          <w:rFonts w:ascii="Narkisim" w:hAnsi="Narkisim"/>
          <w:sz w:val="20"/>
          <w:szCs w:val="20"/>
          <w:rtl/>
        </w:rPr>
        <w:t xml:space="preserve"> (כתובות ל.) </w:t>
      </w:r>
      <w:r w:rsidRPr="00440CAB">
        <w:rPr>
          <w:rFonts w:ascii="Narkisim" w:hAnsi="Narkisim"/>
          <w:rtl/>
        </w:rPr>
        <w:t>כתב דכה"ג שאנס אלמנה</w:t>
      </w:r>
      <w:r w:rsidRPr="00440CAB">
        <w:rPr>
          <w:rFonts w:ascii="Narkisim" w:hAnsi="Narkisim"/>
          <w:sz w:val="20"/>
          <w:szCs w:val="20"/>
          <w:rtl/>
        </w:rPr>
        <w:t xml:space="preserve"> [לדעת רש"י שם] </w:t>
      </w:r>
      <w:r w:rsidRPr="00440CAB">
        <w:rPr>
          <w:rFonts w:ascii="Narkisim" w:hAnsi="Narkisim"/>
          <w:rtl/>
        </w:rPr>
        <w:t>מתחייב קנס, אף דנעשית חללה ותו אין לו בה הויה, מ"מ בשעה שבא עליה היה לו עליו הויה. ומבואר דבביאה בלא קידושין נעשית חללה.</w:t>
      </w:r>
    </w:p>
    <w:p w14:paraId="35DE3A8C" w14:textId="77777777" w:rsidR="006074A5" w:rsidRPr="00440CAB" w:rsidRDefault="006074A5" w:rsidP="006074A5">
      <w:pPr>
        <w:pStyle w:val="aa"/>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(מכירה א ד) נסתפק היכא דכה"ג קידש בעולה ובא עליה האם חללה. במש"כ הרמב"ם בלא נישואין האם כוונתו נישואין דוקא או קידושין</w:t>
      </w:r>
      <w:r w:rsidRPr="00440CAB">
        <w:rPr>
          <w:rStyle w:val="ac"/>
          <w:rFonts w:ascii="Narkisim" w:hAnsi="Narkisim"/>
          <w:rtl/>
        </w:rPr>
        <w:footnoteReference w:id="3639"/>
      </w:r>
      <w:r w:rsidRPr="00440CAB">
        <w:rPr>
          <w:rFonts w:ascii="Narkisim" w:hAnsi="Narkisim"/>
          <w:rtl/>
        </w:rPr>
        <w:t>.</w:t>
      </w:r>
    </w:p>
    <w:p w14:paraId="2978E799" w14:textId="77777777" w:rsidR="006074A5" w:rsidRPr="00440CAB" w:rsidRDefault="006074A5" w:rsidP="006074A5">
      <w:pPr>
        <w:bidi/>
        <w:rPr>
          <w:rFonts w:ascii="Narkisim" w:hAnsi="Narkisim" w:cs="Narkisim"/>
        </w:rPr>
      </w:pPr>
      <w:r w:rsidRPr="00440CAB">
        <w:rPr>
          <w:rFonts w:ascii="Narkisim" w:hAnsi="Narkisim" w:cs="Narkisim"/>
          <w:u w:val="single"/>
          <w:rtl/>
        </w:rPr>
        <w:t>תוד"ה חלל.</w:t>
      </w:r>
      <w:r w:rsidRPr="00440CAB">
        <w:rPr>
          <w:rFonts w:ascii="Narkisim" w:hAnsi="Narkisim" w:cs="Narkisim"/>
          <w:rtl/>
        </w:rPr>
        <w:t xml:space="preserve"> תימה כיון דלא יחלל קאי נמי אבעולה לראב"י, א"כ אין זה חייבי עשה </w:t>
      </w:r>
      <w:r w:rsidRPr="00440CAB">
        <w:rPr>
          <w:rFonts w:ascii="Narkisim" w:hAnsi="Narkisim" w:cs="Narkisim"/>
          <w:rtl/>
        </w:rPr>
        <w:lastRenderedPageBreak/>
        <w:t>גרידא</w:t>
      </w:r>
      <w:r w:rsidRPr="00440CAB">
        <w:rPr>
          <w:rStyle w:val="ac"/>
          <w:rFonts w:ascii="Narkisim" w:hAnsi="Narkisim" w:cs="Narkisim"/>
          <w:rtl/>
        </w:rPr>
        <w:footnoteReference w:id="3640"/>
      </w:r>
      <w:r w:rsidRPr="00440CAB">
        <w:rPr>
          <w:rFonts w:ascii="Narkisim" w:hAnsi="Narkisim" w:cs="Narkisim"/>
          <w:rtl/>
        </w:rPr>
        <w:t xml:space="preserve">. אך </w:t>
      </w:r>
      <w:r w:rsidRPr="00440CAB">
        <w:rPr>
          <w:rFonts w:ascii="Narkisim" w:hAnsi="Narkisim" w:cs="Narkisim"/>
          <w:b/>
          <w:bCs/>
          <w:rtl/>
        </w:rPr>
        <w:t>תוס</w:t>
      </w:r>
      <w:r w:rsidRPr="00440CAB">
        <w:rPr>
          <w:rFonts w:ascii="Narkisim" w:hAnsi="Narkisim" w:cs="Narkisim"/>
          <w:rtl/>
        </w:rPr>
        <w:t>' (</w:t>
      </w:r>
      <w:r w:rsidRPr="00440CAB">
        <w:rPr>
          <w:rFonts w:ascii="Narkisim" w:hAnsi="Narkisim" w:cs="Narkisim"/>
          <w:sz w:val="20"/>
          <w:szCs w:val="20"/>
          <w:rtl/>
        </w:rPr>
        <w:t xml:space="preserve">עז: ד"ה מחלל) </w:t>
      </w:r>
      <w:r w:rsidRPr="00440CAB">
        <w:rPr>
          <w:rFonts w:ascii="Narkisim" w:hAnsi="Narkisim" w:cs="Narkisim"/>
          <w:rtl/>
        </w:rPr>
        <w:t>כת' דחלל הבאה מחייבי עשה, הבא עליה [על הבת</w:t>
      </w:r>
      <w:r w:rsidRPr="00440CAB">
        <w:rPr>
          <w:rStyle w:val="ac"/>
          <w:rFonts w:ascii="Narkisim" w:hAnsi="Narkisim" w:cs="Narkisim"/>
          <w:rtl/>
        </w:rPr>
        <w:footnoteReference w:id="3641"/>
      </w:r>
      <w:r w:rsidRPr="00440CAB">
        <w:rPr>
          <w:rFonts w:ascii="Narkisim" w:hAnsi="Narkisim" w:cs="Narkisim"/>
          <w:rtl/>
        </w:rPr>
        <w:t xml:space="preserve">] עובר בעשה ולא בלאו. </w:t>
      </w:r>
      <w:r w:rsidRPr="00440CAB">
        <w:rPr>
          <w:rFonts w:ascii="Narkisim" w:hAnsi="Narkisim" w:cs="Narkisim"/>
          <w:szCs w:val="20"/>
          <w:rtl/>
        </w:rPr>
        <w:t xml:space="preserve">[דדיו כחיוב עשה. </w:t>
      </w:r>
      <w:r w:rsidRPr="00440CAB">
        <w:rPr>
          <w:rFonts w:ascii="Narkisim" w:hAnsi="Narkisim" w:cs="Narkisim"/>
          <w:sz w:val="20"/>
          <w:szCs w:val="20"/>
          <w:rtl/>
        </w:rPr>
        <w:t>והוא חידוש]. וה</w:t>
      </w:r>
      <w:r w:rsidRPr="00440CAB">
        <w:rPr>
          <w:rFonts w:ascii="Narkisim" w:hAnsi="Narkisim" w:cs="Narkisim"/>
          <w:b/>
          <w:bCs/>
          <w:sz w:val="20"/>
          <w:szCs w:val="20"/>
          <w:rtl/>
        </w:rPr>
        <w:t>אחרונים</w:t>
      </w:r>
      <w:r w:rsidRPr="00440CAB">
        <w:rPr>
          <w:rFonts w:ascii="Narkisim" w:hAnsi="Narkisim" w:cs="Narkisim"/>
          <w:sz w:val="20"/>
          <w:szCs w:val="20"/>
          <w:rtl/>
        </w:rPr>
        <w:t xml:space="preserve"> דנו דלפ"ז י"ל דאף איסור עשיית החילול הוה רק עשה, וכ"כ ה</w:t>
      </w:r>
      <w:r w:rsidRPr="00440CAB">
        <w:rPr>
          <w:rFonts w:ascii="Narkisim" w:hAnsi="Narkisim" w:cs="Narkisim"/>
          <w:b/>
          <w:bCs/>
          <w:sz w:val="20"/>
          <w:szCs w:val="20"/>
          <w:rtl/>
        </w:rPr>
        <w:t xml:space="preserve">תו"י </w:t>
      </w:r>
      <w:r w:rsidRPr="00440CAB">
        <w:rPr>
          <w:rFonts w:ascii="Narkisim" w:hAnsi="Narkisim" w:cs="Narkisim"/>
          <w:sz w:val="20"/>
          <w:szCs w:val="20"/>
          <w:rtl/>
        </w:rPr>
        <w:t>(שם) [דקרא] דלא יחלל לא קאי אחייבי עשה, אלא אחייבי לאוין.</w:t>
      </w:r>
    </w:p>
    <w:p w14:paraId="1E59B126"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גר"א</w:t>
      </w:r>
      <w:r w:rsidRPr="00440CAB">
        <w:rPr>
          <w:rFonts w:ascii="Narkisim" w:hAnsi="Narkisim" w:cs="Narkisim"/>
          <w:rtl/>
        </w:rPr>
        <w:t xml:space="preserve"> (ז מג) כת' דלדעת הרמב"ם (הנ"ל) נפק"מ היכא דבעל בלא קידושין, דהולד חלל. ואינו פוסל את האשה.</w:t>
      </w:r>
    </w:p>
    <w:p w14:paraId="71EDCD1A" w14:textId="77777777" w:rsidR="006074A5" w:rsidRPr="00440CAB" w:rsidRDefault="006074A5" w:rsidP="006074A5">
      <w:pPr>
        <w:bidi/>
        <w:rPr>
          <w:rFonts w:ascii="Narkisim" w:hAnsi="Narkisim" w:cs="Narkisim"/>
        </w:rPr>
      </w:pPr>
      <w:r w:rsidRPr="00440CAB">
        <w:rPr>
          <w:rFonts w:ascii="Narkisim" w:hAnsi="Narkisim" w:cs="Narkisim"/>
          <w:u w:val="single"/>
          <w:rtl/>
        </w:rPr>
        <w:t>שם. א"כ אין זה חייבי עשה גרידא, דלא יחלל לאו הוא</w:t>
      </w:r>
      <w:r w:rsidRPr="00440CAB">
        <w:rPr>
          <w:rFonts w:ascii="Narkisim" w:hAnsi="Narkisim" w:cs="Narkisim"/>
          <w:rtl/>
        </w:rPr>
        <w:t>. וכ"כ ה</w:t>
      </w:r>
      <w:r w:rsidRPr="00440CAB">
        <w:rPr>
          <w:rFonts w:ascii="Narkisim" w:hAnsi="Narkisim" w:cs="Narkisim"/>
          <w:b/>
          <w:bCs/>
          <w:rtl/>
        </w:rPr>
        <w:t>תוס' הרא"ש</w:t>
      </w:r>
      <w:r w:rsidRPr="00440CAB">
        <w:rPr>
          <w:rFonts w:ascii="Narkisim" w:hAnsi="Narkisim" w:cs="Narkisim"/>
          <w:rtl/>
        </w:rPr>
        <w:t xml:space="preserve"> דלראב"י עובר בלא יחלל, אלא דכוונת הגמ' דנקרא חייבי עשה, ודלא יחלל קאי אף על מה שנכתב בתורה בלשון עשה</w:t>
      </w:r>
      <w:r w:rsidRPr="00440CAB">
        <w:rPr>
          <w:rStyle w:val="ac"/>
          <w:rFonts w:ascii="Narkisim" w:hAnsi="Narkisim" w:cs="Narkisim"/>
          <w:rtl/>
        </w:rPr>
        <w:footnoteReference w:id="3642"/>
      </w:r>
      <w:r w:rsidRPr="00440CAB">
        <w:rPr>
          <w:rFonts w:ascii="Narkisim" w:hAnsi="Narkisim" w:cs="Narkisim"/>
          <w:rtl/>
        </w:rPr>
        <w:t>.</w:t>
      </w:r>
    </w:p>
    <w:p w14:paraId="4AE25787"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אחרונים</w:t>
      </w:r>
      <w:r w:rsidRPr="00440CAB">
        <w:rPr>
          <w:rFonts w:ascii="Narkisim" w:hAnsi="Narkisim"/>
          <w:rtl/>
        </w:rPr>
        <w:t xml:space="preserve"> דנו בגדר הלאו האם הוה במה שעושה חללות, או על עצם הביאה].</w:t>
      </w:r>
    </w:p>
    <w:p w14:paraId="6844C443"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חזו"א</w:t>
      </w:r>
      <w:r w:rsidRPr="00440CAB">
        <w:rPr>
          <w:rFonts w:ascii="Narkisim" w:hAnsi="Narkisim"/>
          <w:rtl/>
        </w:rPr>
        <w:t xml:space="preserve"> כתב בשם ה</w:t>
      </w:r>
      <w:r w:rsidRPr="00440CAB">
        <w:rPr>
          <w:rFonts w:ascii="Narkisim" w:hAnsi="Narkisim"/>
          <w:b/>
          <w:bCs/>
          <w:rtl/>
        </w:rPr>
        <w:t>גר"א</w:t>
      </w:r>
      <w:r w:rsidRPr="00440CAB">
        <w:rPr>
          <w:rFonts w:ascii="Narkisim" w:hAnsi="Narkisim"/>
          <w:rtl/>
        </w:rPr>
        <w:t xml:space="preserve"> (הנ"ל) [לתרץ קושיית התוס'] דאף דעושה חלל, מ"מ אינו בכלל איסור 'לא יחלל'. וה</w:t>
      </w:r>
      <w:r w:rsidRPr="00440CAB">
        <w:rPr>
          <w:rFonts w:ascii="Narkisim" w:hAnsi="Narkisim"/>
          <w:b/>
          <w:bCs/>
          <w:rtl/>
        </w:rPr>
        <w:t>חזו"א</w:t>
      </w:r>
      <w:r w:rsidRPr="00440CAB">
        <w:rPr>
          <w:rFonts w:ascii="Narkisim" w:hAnsi="Narkisim"/>
          <w:rtl/>
        </w:rPr>
        <w:t xml:space="preserve"> ביאר דהאיסור משום קיחה ולא משום חילול, נהי דמרבינן שעושה חללות. מ"מ לאו דלא יחלל ליכא.</w:t>
      </w:r>
    </w:p>
    <w:p w14:paraId="312A1F99" w14:textId="77777777" w:rsidR="006074A5" w:rsidRPr="00440CAB" w:rsidRDefault="006074A5" w:rsidP="006074A5">
      <w:pPr>
        <w:pStyle w:val="aa"/>
        <w:bidi/>
        <w:rPr>
          <w:rFonts w:ascii="Narkisim" w:hAnsi="Narkisim"/>
        </w:rPr>
      </w:pPr>
      <w:r w:rsidRPr="00440CAB">
        <w:rPr>
          <w:rFonts w:ascii="Narkisim" w:hAnsi="Narkisim"/>
          <w:u w:val="single"/>
          <w:rtl/>
        </w:rPr>
        <w:t>וראב"י אלה למעוטי נדה, כמאן אזלא הא דתניא וכו'</w:t>
      </w:r>
      <w:r w:rsidRPr="00440CAB">
        <w:rPr>
          <w:rFonts w:ascii="Narkisim" w:hAnsi="Narkisim"/>
          <w:rtl/>
        </w:rPr>
        <w:t>. ה</w:t>
      </w:r>
      <w:r w:rsidRPr="00440CAB">
        <w:rPr>
          <w:rFonts w:ascii="Narkisim" w:hAnsi="Narkisim"/>
          <w:b/>
          <w:bCs/>
          <w:rtl/>
        </w:rPr>
        <w:t>תו"י</w:t>
      </w:r>
      <w:r w:rsidRPr="00440CAB">
        <w:rPr>
          <w:rFonts w:ascii="Narkisim" w:hAnsi="Narkisim"/>
          <w:rtl/>
        </w:rPr>
        <w:t xml:space="preserve"> כת' דמשמע דלדעת רבנן הוה חלל מנדה. אך בסו"ד כת' דדוקא ראב"י לשיטתו [דיש חלל מחייבי עשה] איצטריך למעט, ומש"ה ס"ד ללמוד אף מנדה הוה חלל. ועפ"ז י"ל דלדעת רבנן פשיטא דאינו עושה חלל</w:t>
      </w:r>
      <w:r w:rsidRPr="00440CAB">
        <w:rPr>
          <w:rStyle w:val="ac"/>
          <w:rFonts w:ascii="Narkisim" w:hAnsi="Narkisim"/>
          <w:rtl/>
        </w:rPr>
        <w:footnoteReference w:id="3643"/>
      </w:r>
      <w:r w:rsidRPr="00440CAB">
        <w:rPr>
          <w:rFonts w:ascii="Narkisim" w:hAnsi="Narkisim"/>
          <w:rtl/>
        </w:rPr>
        <w:t>.</w:t>
      </w:r>
    </w:p>
    <w:p w14:paraId="380B0195" w14:textId="77777777" w:rsidR="006074A5" w:rsidRPr="00440CAB" w:rsidRDefault="006074A5" w:rsidP="006074A5">
      <w:pPr>
        <w:bidi/>
        <w:rPr>
          <w:rFonts w:ascii="Narkisim" w:hAnsi="Narkisim" w:cs="Narkisim"/>
        </w:rPr>
      </w:pPr>
      <w:r w:rsidRPr="00440CAB">
        <w:rPr>
          <w:rFonts w:ascii="Narkisim" w:hAnsi="Narkisim" w:cs="Narkisim"/>
          <w:u w:val="single"/>
          <w:rtl/>
        </w:rPr>
        <w:t>ואי אתה עושה חלל מנדה וכו'.</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אם בא כהן</w:t>
      </w:r>
      <w:r w:rsidRPr="00440CAB">
        <w:rPr>
          <w:rStyle w:val="ac"/>
          <w:rFonts w:ascii="Narkisim" w:hAnsi="Narkisim" w:cs="Narkisim"/>
          <w:rtl/>
        </w:rPr>
        <w:footnoteReference w:id="3644"/>
      </w:r>
      <w:r w:rsidRPr="00440CAB">
        <w:rPr>
          <w:rFonts w:ascii="Narkisim" w:hAnsi="Narkisim" w:cs="Narkisim"/>
          <w:rtl/>
        </w:rPr>
        <w:t xml:space="preserve"> על אשתו נדה אין הולד חלל</w:t>
      </w:r>
      <w:r w:rsidRPr="00440CAB">
        <w:rPr>
          <w:rStyle w:val="ac"/>
          <w:rFonts w:ascii="Narkisim" w:hAnsi="Narkisim" w:cs="Narkisim"/>
          <w:rtl/>
        </w:rPr>
        <w:footnoteReference w:id="3645"/>
      </w:r>
      <w:r w:rsidRPr="00440CAB">
        <w:rPr>
          <w:rFonts w:ascii="Narkisim" w:hAnsi="Narkisim" w:cs="Narkisim"/>
          <w:rtl/>
        </w:rPr>
        <w:t>. וכן ב</w:t>
      </w:r>
      <w:r w:rsidRPr="00440CAB">
        <w:rPr>
          <w:rFonts w:ascii="Narkisim" w:hAnsi="Narkisim" w:cs="Narkisim"/>
          <w:b/>
          <w:bCs/>
          <w:rtl/>
        </w:rPr>
        <w:t>תוס</w:t>
      </w:r>
      <w:r w:rsidRPr="00440CAB">
        <w:rPr>
          <w:rFonts w:ascii="Narkisim" w:hAnsi="Narkisim" w:cs="Narkisim"/>
          <w:rtl/>
        </w:rPr>
        <w:t xml:space="preserve">' מבואר דהנידון על חילול הולד. </w:t>
      </w:r>
      <w:r w:rsidRPr="00440CAB">
        <w:rPr>
          <w:rFonts w:ascii="Narkisim" w:hAnsi="Narkisim" w:cs="Narkisim"/>
          <w:szCs w:val="20"/>
          <w:rtl/>
        </w:rPr>
        <w:t>[ומשמע דלא היה הו"א לחלל את האשה</w:t>
      </w:r>
      <w:r w:rsidRPr="00440CAB">
        <w:rPr>
          <w:rStyle w:val="ac"/>
          <w:rFonts w:ascii="Narkisim" w:hAnsi="Narkisim" w:cs="Narkisim"/>
          <w:szCs w:val="20"/>
          <w:rtl/>
        </w:rPr>
        <w:footnoteReference w:id="3646"/>
      </w:r>
      <w:r w:rsidRPr="00440CAB">
        <w:rPr>
          <w:rFonts w:ascii="Narkisim" w:hAnsi="Narkisim" w:cs="Narkisim"/>
          <w:szCs w:val="20"/>
          <w:rtl/>
        </w:rPr>
        <w:t>]</w:t>
      </w:r>
      <w:r w:rsidRPr="00440CAB">
        <w:rPr>
          <w:rFonts w:ascii="Narkisim" w:hAnsi="Narkisim" w:cs="Narkisim"/>
          <w:rtl/>
        </w:rPr>
        <w:t>. וה</w:t>
      </w:r>
      <w:r w:rsidRPr="00440CAB">
        <w:rPr>
          <w:rFonts w:ascii="Narkisim" w:hAnsi="Narkisim" w:cs="Narkisim"/>
          <w:b/>
          <w:bCs/>
          <w:rtl/>
        </w:rPr>
        <w:t>רמב"ן</w:t>
      </w:r>
      <w:r w:rsidRPr="00440CAB">
        <w:rPr>
          <w:rFonts w:ascii="Narkisim" w:hAnsi="Narkisim" w:cs="Narkisim"/>
          <w:rtl/>
        </w:rPr>
        <w:t xml:space="preserve"> הביא דה</w:t>
      </w:r>
      <w:r w:rsidRPr="00440CAB">
        <w:rPr>
          <w:rFonts w:ascii="Narkisim" w:hAnsi="Narkisim" w:cs="Narkisim"/>
          <w:b/>
          <w:bCs/>
          <w:rtl/>
        </w:rPr>
        <w:t>ר"א אב"ד</w:t>
      </w:r>
      <w:r w:rsidRPr="00440CAB">
        <w:rPr>
          <w:rFonts w:ascii="Narkisim" w:hAnsi="Narkisim" w:cs="Narkisim"/>
          <w:rtl/>
        </w:rPr>
        <w:t xml:space="preserve"> הקשה אמאי איצטריך קרא הא אין חללה אלא מאיסורי כהונה (כדילפי' קידושין עז:), ותי' דהכא קאי אליבא דראב"י</w:t>
      </w:r>
      <w:r w:rsidRPr="00440CAB">
        <w:rPr>
          <w:rStyle w:val="ac"/>
          <w:rFonts w:ascii="Narkisim" w:hAnsi="Narkisim" w:cs="Narkisim"/>
          <w:rtl/>
        </w:rPr>
        <w:footnoteReference w:id="3647"/>
      </w:r>
      <w:r w:rsidRPr="00440CAB">
        <w:rPr>
          <w:rFonts w:ascii="Narkisim" w:hAnsi="Narkisim" w:cs="Narkisim"/>
          <w:rtl/>
        </w:rPr>
        <w:t>. וה</w:t>
      </w:r>
      <w:r w:rsidRPr="00440CAB">
        <w:rPr>
          <w:rFonts w:ascii="Narkisim" w:hAnsi="Narkisim" w:cs="Narkisim"/>
          <w:b/>
          <w:bCs/>
          <w:rtl/>
        </w:rPr>
        <w:t>רמב"ן</w:t>
      </w:r>
      <w:r w:rsidRPr="00440CAB">
        <w:rPr>
          <w:rFonts w:ascii="Narkisim" w:hAnsi="Narkisim" w:cs="Narkisim"/>
          <w:rtl/>
        </w:rPr>
        <w:t xml:space="preserve"> תי' דפגום מיהא הוה, וכדאמרי' (לעיל מד:). אלא שאינה שם חלל.</w:t>
      </w:r>
    </w:p>
    <w:p w14:paraId="1948722B"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תוס' הרא"ש</w:t>
      </w:r>
      <w:r w:rsidRPr="00440CAB">
        <w:rPr>
          <w:rFonts w:ascii="Narkisim" w:hAnsi="Narkisim"/>
          <w:rtl/>
        </w:rPr>
        <w:t xml:space="preserve"> ו</w:t>
      </w:r>
      <w:r w:rsidRPr="00440CAB">
        <w:rPr>
          <w:rFonts w:ascii="Narkisim" w:hAnsi="Narkisim"/>
          <w:b/>
          <w:bCs/>
          <w:rtl/>
        </w:rPr>
        <w:t>תוס' מהר"ם ור"פ</w:t>
      </w:r>
      <w:r w:rsidRPr="00440CAB">
        <w:rPr>
          <w:rFonts w:ascii="Narkisim" w:hAnsi="Narkisim"/>
          <w:rtl/>
        </w:rPr>
        <w:t xml:space="preserve"> דנו דהך ברייתא (התור"כ שהו' בתוס') הוה ר' יהודה, דסתם ספרא ר' יהודה. ור' יהודה (ע' תוס' לעיל טו:) ל"ל הך כללא דבעינן פסולי כהונה. [אך דחו דבסוגיין קאי אליבא דראב"י דקי"ל כוותיה].</w:t>
      </w:r>
    </w:p>
    <w:p w14:paraId="0B50A893"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ה</w:t>
      </w:r>
      <w:r w:rsidRPr="00440CAB">
        <w:rPr>
          <w:rFonts w:ascii="Narkisim" w:hAnsi="Narkisim" w:cs="Narkisim"/>
          <w:b/>
          <w:bCs/>
          <w:rtl/>
        </w:rPr>
        <w:t>גר"א</w:t>
      </w:r>
      <w:r w:rsidRPr="00440CAB">
        <w:rPr>
          <w:rFonts w:ascii="Narkisim" w:hAnsi="Narkisim" w:cs="Narkisim"/>
          <w:rtl/>
        </w:rPr>
        <w:t xml:space="preserve"> (ו כג) תמה מכאן על דברי ה</w:t>
      </w:r>
      <w:r w:rsidRPr="00440CAB">
        <w:rPr>
          <w:rFonts w:ascii="Narkisim" w:hAnsi="Narkisim" w:cs="Narkisim"/>
          <w:b/>
          <w:bCs/>
          <w:rtl/>
        </w:rPr>
        <w:t>רמב"ם</w:t>
      </w:r>
      <w:r w:rsidRPr="00440CAB">
        <w:rPr>
          <w:rFonts w:ascii="Narkisim" w:hAnsi="Narkisim" w:cs="Narkisim"/>
          <w:rtl/>
        </w:rPr>
        <w:t>, שכתב דאף חייבי כריתות אינן עושים חללות אלא זונה, דאין חללה אלא מאיסורי כהונה. א"כ מה ס"ד דנדה תעשה חללות. וכתב דלא הוה חללה, אבל פגום מיהא הוה. וה</w:t>
      </w:r>
      <w:r w:rsidRPr="00440CAB">
        <w:rPr>
          <w:rFonts w:ascii="Narkisim" w:hAnsi="Narkisim" w:cs="Narkisim"/>
          <w:b/>
          <w:bCs/>
          <w:rtl/>
        </w:rPr>
        <w:t>בית שמואל</w:t>
      </w:r>
      <w:r w:rsidRPr="00440CAB">
        <w:rPr>
          <w:rFonts w:ascii="Narkisim" w:hAnsi="Narkisim" w:cs="Narkisim"/>
          <w:rtl/>
        </w:rPr>
        <w:t xml:space="preserve"> (ז לה) כתב [ע"פ דברי הרמב"ם] דילפי' מהך דרשא דאינה נעשית זונה, דס"ד דנעשית זונה</w:t>
      </w:r>
      <w:r w:rsidRPr="00440CAB">
        <w:rPr>
          <w:rStyle w:val="ac"/>
          <w:rFonts w:ascii="Narkisim" w:hAnsi="Narkisim" w:cs="Narkisim"/>
          <w:rtl/>
        </w:rPr>
        <w:footnoteReference w:id="3648"/>
      </w:r>
      <w:r w:rsidRPr="00440CAB">
        <w:rPr>
          <w:rFonts w:ascii="Narkisim" w:hAnsi="Narkisim" w:cs="Narkisim"/>
          <w:rtl/>
        </w:rPr>
        <w:t xml:space="preserve"> א"כ ובביאה שניה תעשה חללה [וכמ"ש ה</w:t>
      </w:r>
      <w:r w:rsidRPr="00440CAB">
        <w:rPr>
          <w:rFonts w:ascii="Narkisim" w:hAnsi="Narkisim" w:cs="Narkisim"/>
          <w:b/>
          <w:bCs/>
          <w:rtl/>
        </w:rPr>
        <w:t>רמב"ם</w:t>
      </w:r>
      <w:r w:rsidRPr="00440CAB">
        <w:rPr>
          <w:rFonts w:ascii="Narkisim" w:hAnsi="Narkisim" w:cs="Narkisim"/>
          <w:rtl/>
        </w:rPr>
        <w:t xml:space="preserve"> (יט ה) גבי שומרת יבם]. וקמ"ל 'אלה' דאינה נעשית זונה</w:t>
      </w:r>
      <w:r w:rsidRPr="00440CAB">
        <w:rPr>
          <w:rStyle w:val="ac"/>
          <w:rFonts w:ascii="Narkisim" w:hAnsi="Narkisim" w:cs="Narkisim"/>
          <w:rtl/>
        </w:rPr>
        <w:footnoteReference w:id="3649"/>
      </w:r>
      <w:r w:rsidRPr="00440CAB">
        <w:rPr>
          <w:rFonts w:ascii="Narkisim" w:hAnsi="Narkisim" w:cs="Narkisim"/>
          <w:rtl/>
        </w:rPr>
        <w:t>.</w:t>
      </w:r>
    </w:p>
    <w:p w14:paraId="305FD7C9"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רמב"ם</w:t>
      </w:r>
      <w:r w:rsidRPr="00440CAB">
        <w:rPr>
          <w:rFonts w:ascii="Narkisim" w:hAnsi="Narkisim" w:cs="Narkisim"/>
          <w:rtl/>
        </w:rPr>
        <w:t xml:space="preserve"> (יח א) כתב דהבא על נדה [אינה נעשית זונה] שהרי אינה אסורה להנשא לו</w:t>
      </w:r>
      <w:r w:rsidRPr="00440CAB">
        <w:rPr>
          <w:rStyle w:val="ac"/>
          <w:rFonts w:ascii="Narkisim" w:hAnsi="Narkisim" w:cs="Narkisim"/>
          <w:rtl/>
        </w:rPr>
        <w:footnoteReference w:id="3650"/>
      </w:r>
      <w:r w:rsidRPr="00440CAB">
        <w:rPr>
          <w:rFonts w:ascii="Narkisim" w:hAnsi="Narkisim" w:cs="Narkisim"/>
          <w:rtl/>
        </w:rPr>
        <w:t>.</w:t>
      </w:r>
    </w:p>
    <w:p w14:paraId="67E5FF53" w14:textId="77777777" w:rsidR="006074A5" w:rsidRPr="00440CAB" w:rsidRDefault="006074A5" w:rsidP="006074A5">
      <w:pPr>
        <w:pStyle w:val="aa"/>
        <w:bidi/>
        <w:rPr>
          <w:rFonts w:ascii="Narkisim" w:hAnsi="Narkisim"/>
        </w:rPr>
      </w:pPr>
      <w:r w:rsidRPr="00440CAB">
        <w:rPr>
          <w:rFonts w:ascii="Narkisim" w:hAnsi="Narkisim"/>
          <w:u w:val="single"/>
          <w:rtl/>
        </w:rPr>
        <w:lastRenderedPageBreak/>
        <w:t>תוד"ה ואי</w:t>
      </w:r>
      <w:r w:rsidRPr="00440CAB">
        <w:rPr>
          <w:rFonts w:ascii="Narkisim" w:hAnsi="Narkisim"/>
          <w:rtl/>
        </w:rPr>
        <w:t>. בתור"כ (אמור פרק ב ה) מפרש דאיצטריך דלא נילף דליהוי חלל מק"ו וכו'. דנדה חמיר [דחייבת כרת], ומש"ה ס"ד דילפי' בק"ו. ואף דשאר חייבי כריתות פוסל את האשה בביאתו, אך פסול הולד צריך ללמוד דוקא מק"ו (וכדאי' לעיל מד:). ועוד דבנדה תפסי קידושין, ומש"ה אינה זונה.</w:t>
      </w:r>
    </w:p>
    <w:p w14:paraId="7D811407" w14:textId="77777777" w:rsidR="006074A5" w:rsidRPr="00440CAB" w:rsidRDefault="006074A5" w:rsidP="006074A5">
      <w:pPr>
        <w:pStyle w:val="aa"/>
        <w:bidi/>
        <w:rPr>
          <w:rFonts w:ascii="Narkisim" w:hAnsi="Narkisim"/>
        </w:rPr>
      </w:pPr>
      <w:r w:rsidRPr="00440CAB">
        <w:rPr>
          <w:rFonts w:ascii="Narkisim" w:hAnsi="Narkisim"/>
          <w:u w:val="single"/>
          <w:rtl/>
        </w:rPr>
        <w:t>נילף בתולה בתולה מהתם</w:t>
      </w:r>
      <w:r w:rsidRPr="00440CAB">
        <w:rPr>
          <w:rFonts w:ascii="Narkisim" w:hAnsi="Narkisim"/>
          <w:rtl/>
        </w:rPr>
        <w:t>. פ</w:t>
      </w:r>
      <w:r w:rsidRPr="00440CAB">
        <w:rPr>
          <w:rFonts w:ascii="Narkisim" w:hAnsi="Narkisim"/>
          <w:b/>
          <w:bCs/>
          <w:rtl/>
        </w:rPr>
        <w:t>רש"י</w:t>
      </w:r>
      <w:r w:rsidRPr="00440CAB">
        <w:rPr>
          <w:rFonts w:ascii="Narkisim" w:hAnsi="Narkisim"/>
          <w:rtl/>
        </w:rPr>
        <w:t xml:space="preserve"> מהא דכתיב (דברים כב כח) כי ימצא איש נערה בתולה [פרשת אונס ומפתה]. ו</w:t>
      </w:r>
      <w:r w:rsidRPr="00440CAB">
        <w:rPr>
          <w:rFonts w:ascii="Narkisim" w:hAnsi="Narkisim"/>
          <w:b/>
          <w:bCs/>
          <w:rtl/>
        </w:rPr>
        <w:t>ר"ת</w:t>
      </w:r>
      <w:r w:rsidRPr="00440CAB">
        <w:rPr>
          <w:rFonts w:ascii="Narkisim" w:hAnsi="Narkisim"/>
          <w:rtl/>
        </w:rPr>
        <w:t xml:space="preserve"> פי' מבתולה לכה"ג (ויקרא כא יד).</w:t>
      </w:r>
    </w:p>
    <w:p w14:paraId="5BEA3A91" w14:textId="77777777" w:rsidR="006074A5" w:rsidRPr="00440CAB" w:rsidRDefault="006074A5" w:rsidP="006074A5">
      <w:pPr>
        <w:bidi/>
        <w:rPr>
          <w:rFonts w:ascii="Narkisim" w:hAnsi="Narkisim" w:cs="Narkisim"/>
        </w:rPr>
      </w:pPr>
      <w:r w:rsidRPr="00440CAB">
        <w:rPr>
          <w:rFonts w:ascii="Narkisim" w:hAnsi="Narkisim" w:cs="Narkisim"/>
          <w:u w:val="single"/>
          <w:rtl/>
        </w:rPr>
        <w:t>ארוסה שנתגרשה.</w:t>
      </w:r>
      <w:r w:rsidRPr="00440CAB">
        <w:rPr>
          <w:rFonts w:ascii="Narkisim" w:hAnsi="Narkisim" w:cs="Narkisim"/>
          <w:rtl/>
        </w:rPr>
        <w:t xml:space="preserve"> ה</w:t>
      </w:r>
      <w:r w:rsidRPr="00440CAB">
        <w:rPr>
          <w:rFonts w:ascii="Narkisim" w:hAnsi="Narkisim" w:cs="Narkisim"/>
          <w:b/>
          <w:bCs/>
          <w:rtl/>
        </w:rPr>
        <w:t xml:space="preserve">רמב"ן </w:t>
      </w:r>
      <w:r w:rsidRPr="00440CAB">
        <w:rPr>
          <w:rFonts w:ascii="Narkisim" w:hAnsi="Narkisim" w:cs="Narkisim"/>
          <w:rtl/>
        </w:rPr>
        <w:t>כתב דה"ה נשואה דלא נבעלה, דכל דלא נשתנה גופה חוזרת לקרבותה.</w:t>
      </w:r>
    </w:p>
    <w:p w14:paraId="43D5A76A"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כתב ומיהו מסתבר דמתה תחת בעלה לא מטמא לה. דבזה ליכא קרא לרבות, ודוקא ארוסה. אבל הביא דלרמב"ן מטמא</w:t>
      </w:r>
      <w:r w:rsidRPr="00440CAB">
        <w:rPr>
          <w:rStyle w:val="ac"/>
          <w:rFonts w:ascii="Narkisim" w:hAnsi="Narkisim"/>
          <w:rtl/>
        </w:rPr>
        <w:footnoteReference w:id="3651"/>
      </w:r>
      <w:r w:rsidRPr="00440CAB">
        <w:rPr>
          <w:rFonts w:ascii="Narkisim" w:hAnsi="Narkisim"/>
          <w:rtl/>
        </w:rPr>
        <w:t>.</w:t>
      </w:r>
    </w:p>
    <w:p w14:paraId="76846612" w14:textId="77777777" w:rsidR="006074A5" w:rsidRPr="00440CAB" w:rsidRDefault="006074A5" w:rsidP="006074A5">
      <w:pPr>
        <w:pStyle w:val="3"/>
        <w:bidi/>
        <w:rPr>
          <w:rFonts w:ascii="Narkisim" w:hAnsi="Narkisim"/>
        </w:rPr>
      </w:pPr>
      <w:r w:rsidRPr="00440CAB">
        <w:rPr>
          <w:rFonts w:ascii="Narkisim" w:hAnsi="Narkisim"/>
          <w:rtl/>
        </w:rPr>
        <w:t>דף ס:</w:t>
      </w:r>
    </w:p>
    <w:p w14:paraId="504CB534" w14:textId="77777777" w:rsidR="006074A5" w:rsidRPr="00440CAB" w:rsidRDefault="006074A5" w:rsidP="006074A5">
      <w:pPr>
        <w:pStyle w:val="aa"/>
        <w:bidi/>
        <w:rPr>
          <w:rFonts w:ascii="Narkisim" w:hAnsi="Narkisim"/>
        </w:rPr>
      </w:pPr>
      <w:r w:rsidRPr="00440CAB">
        <w:rPr>
          <w:rFonts w:ascii="Narkisim" w:hAnsi="Narkisim"/>
          <w:u w:val="single"/>
          <w:rtl/>
        </w:rPr>
        <w:t>ר' שמעון וכו' הא איתעבד ביה מעשה.</w:t>
      </w:r>
      <w:r w:rsidRPr="00440CAB">
        <w:rPr>
          <w:rFonts w:ascii="Narkisim" w:hAnsi="Narkisim"/>
          <w:rtl/>
        </w:rPr>
        <w:t xml:space="preserve"> בפשוטו משמע ד'מוכת העץ' הוה מעשה הפוסל</w:t>
      </w:r>
      <w:r w:rsidRPr="00440CAB">
        <w:rPr>
          <w:rStyle w:val="ac"/>
          <w:rFonts w:ascii="Narkisim" w:hAnsi="Narkisim"/>
          <w:rtl/>
        </w:rPr>
        <w:footnoteReference w:id="3652"/>
      </w:r>
      <w:r w:rsidRPr="00440CAB">
        <w:rPr>
          <w:rFonts w:ascii="Narkisim" w:hAnsi="Narkisim"/>
          <w:rtl/>
        </w:rPr>
        <w:t xml:space="preserve"> [ולא משום העדר בתולים]. אבל יל"פ דכוונת ר' שמעון דדין 'אחותו בתולה' תליא בבתולים</w:t>
      </w:r>
      <w:r w:rsidRPr="00440CAB">
        <w:rPr>
          <w:rStyle w:val="ac"/>
          <w:rFonts w:ascii="Narkisim" w:hAnsi="Narkisim"/>
          <w:rtl/>
        </w:rPr>
        <w:footnoteReference w:id="3653"/>
      </w:r>
      <w:r w:rsidRPr="00440CAB">
        <w:rPr>
          <w:rFonts w:ascii="Narkisim" w:hAnsi="Narkisim"/>
          <w:rtl/>
        </w:rPr>
        <w:t>, ולכן היכא דיש שינוי בבתולים גרע.</w:t>
      </w:r>
    </w:p>
    <w:p w14:paraId="29D05EB0" w14:textId="77777777" w:rsidR="006074A5" w:rsidRPr="00440CAB" w:rsidRDefault="006074A5" w:rsidP="006074A5">
      <w:pPr>
        <w:bidi/>
        <w:rPr>
          <w:rFonts w:ascii="Narkisim" w:hAnsi="Narkisim" w:cs="Narkisim"/>
        </w:rPr>
      </w:pPr>
      <w:r w:rsidRPr="00440CAB">
        <w:rPr>
          <w:rFonts w:ascii="Narkisim" w:hAnsi="Narkisim" w:cs="Narkisim"/>
          <w:u w:val="single"/>
          <w:rtl/>
        </w:rPr>
        <w:t>תניא רשב"י אומר גיורת פחותה מבת ג' כשירה לכהונה וכו'.</w:t>
      </w:r>
      <w:r w:rsidRPr="00440CAB">
        <w:rPr>
          <w:rFonts w:ascii="Narkisim" w:hAnsi="Narkisim" w:cs="Narkisim"/>
          <w:rtl/>
        </w:rPr>
        <w:t xml:space="preserve"> דבמשנה (סא.) אי' דלרבנן גיורת ומשוחררת הוה זונה. והגמ' (קידושין עח.) הביאה מח' בזה, דדעת ר' יהודה (במשנה שם עז., והו' לעיל נז.) אף בת גר אסורה לכהונה. ולר' אלעזר ב"י (שם) בת גר וגיורת אסורה לכהונה, אבל היכא דאמה מישראל מותרת לכהונה. ודעת ר' יוסי (שם) דבת גרים כשירה לכהונה, אבל כשנולדה נכרית אסורה לכהונה</w:t>
      </w:r>
      <w:r w:rsidRPr="00440CAB">
        <w:rPr>
          <w:rStyle w:val="ac"/>
          <w:rFonts w:ascii="Narkisim" w:hAnsi="Narkisim" w:cs="Narkisim"/>
          <w:rtl/>
        </w:rPr>
        <w:footnoteReference w:id="3654"/>
      </w:r>
      <w:r w:rsidRPr="00440CAB">
        <w:rPr>
          <w:rFonts w:ascii="Narkisim" w:hAnsi="Narkisim" w:cs="Narkisim"/>
          <w:rtl/>
        </w:rPr>
        <w:t>. ודעת ר' שמעון ב"י דאפי' נולדה נכרית מותרת לכהונה.</w:t>
      </w:r>
    </w:p>
    <w:p w14:paraId="39CD54C3" w14:textId="77777777" w:rsidR="006074A5" w:rsidRPr="00440CAB" w:rsidRDefault="006074A5" w:rsidP="006074A5">
      <w:pPr>
        <w:bidi/>
        <w:rPr>
          <w:rFonts w:ascii="Narkisim" w:hAnsi="Narkisim" w:cs="Narkisim"/>
        </w:rPr>
      </w:pPr>
      <w:r w:rsidRPr="00440CAB">
        <w:rPr>
          <w:rFonts w:ascii="Narkisim" w:hAnsi="Narkisim" w:cs="Narkisim"/>
          <w:rtl/>
        </w:rPr>
        <w:t>וב</w:t>
      </w:r>
      <w:r w:rsidRPr="00440CAB">
        <w:rPr>
          <w:rFonts w:ascii="Narkisim" w:hAnsi="Narkisim" w:cs="Narkisim"/>
          <w:b/>
          <w:bCs/>
          <w:rtl/>
        </w:rPr>
        <w:t>גמ'</w:t>
      </w:r>
      <w:r w:rsidRPr="00440CAB">
        <w:rPr>
          <w:rFonts w:ascii="Narkisim" w:hAnsi="Narkisim" w:cs="Narkisim"/>
          <w:rtl/>
        </w:rPr>
        <w:t xml:space="preserve"> (קידושין שם) אי' דכולן דרשו מקרא א', דאי' (יחזקאל מד כב) כי אם בתולות מזרע בית ישראל</w:t>
      </w:r>
      <w:r w:rsidRPr="00440CAB">
        <w:rPr>
          <w:rStyle w:val="ac"/>
          <w:rFonts w:ascii="Narkisim" w:hAnsi="Narkisim" w:cs="Narkisim"/>
          <w:rtl/>
        </w:rPr>
        <w:footnoteReference w:id="3655"/>
      </w:r>
      <w:r w:rsidRPr="00440CAB">
        <w:rPr>
          <w:rFonts w:ascii="Narkisim" w:hAnsi="Narkisim" w:cs="Narkisim"/>
          <w:rtl/>
        </w:rPr>
        <w:t>. ר' יהודה סבר דבעינן כל זרע מישראל</w:t>
      </w:r>
      <w:r w:rsidRPr="00440CAB">
        <w:rPr>
          <w:rStyle w:val="ac"/>
          <w:rFonts w:ascii="Narkisim" w:hAnsi="Narkisim" w:cs="Narkisim"/>
          <w:rtl/>
        </w:rPr>
        <w:footnoteReference w:id="3656"/>
      </w:r>
      <w:r w:rsidRPr="00440CAB">
        <w:rPr>
          <w:rFonts w:ascii="Narkisim" w:hAnsi="Narkisim" w:cs="Narkisim"/>
          <w:rtl/>
        </w:rPr>
        <w:t>. וראב"י סבר 'מזרע', ואפי' מקצת זרע</w:t>
      </w:r>
      <w:r w:rsidRPr="00440CAB">
        <w:rPr>
          <w:rStyle w:val="ac"/>
          <w:rFonts w:ascii="Narkisim" w:hAnsi="Narkisim" w:cs="Narkisim"/>
          <w:rtl/>
        </w:rPr>
        <w:footnoteReference w:id="3657"/>
      </w:r>
      <w:r w:rsidRPr="00440CAB">
        <w:rPr>
          <w:rFonts w:ascii="Narkisim" w:hAnsi="Narkisim" w:cs="Narkisim"/>
          <w:rtl/>
        </w:rPr>
        <w:t>. ור' יוסי סבר מי שנזרעו בישראל. ור"ש סבר מי שנזרעו בתוליה בישראל</w:t>
      </w:r>
      <w:r w:rsidRPr="00440CAB">
        <w:rPr>
          <w:rStyle w:val="ac"/>
          <w:rFonts w:ascii="Narkisim" w:hAnsi="Narkisim" w:cs="Narkisim"/>
          <w:rtl/>
        </w:rPr>
        <w:footnoteReference w:id="3658"/>
      </w:r>
      <w:r w:rsidRPr="00440CAB">
        <w:rPr>
          <w:rFonts w:ascii="Narkisim" w:hAnsi="Narkisim" w:cs="Narkisim"/>
          <w:rtl/>
        </w:rPr>
        <w:t>, אבל פחות מבת ג' כשירה</w:t>
      </w:r>
      <w:r w:rsidRPr="00440CAB">
        <w:rPr>
          <w:rStyle w:val="ac"/>
          <w:rFonts w:ascii="Narkisim" w:hAnsi="Narkisim" w:cs="Narkisim"/>
          <w:rtl/>
        </w:rPr>
        <w:footnoteReference w:id="3659"/>
      </w:r>
      <w:r w:rsidRPr="00440CAB">
        <w:rPr>
          <w:rFonts w:ascii="Narkisim" w:hAnsi="Narkisim" w:cs="Narkisim"/>
          <w:rtl/>
        </w:rPr>
        <w:t>.</w:t>
      </w:r>
    </w:p>
    <w:p w14:paraId="153999FB"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רמב"ם</w:t>
      </w:r>
      <w:r w:rsidRPr="00440CAB">
        <w:rPr>
          <w:rFonts w:ascii="Narkisim" w:hAnsi="Narkisim" w:cs="Narkisim"/>
          <w:rtl/>
        </w:rPr>
        <w:t xml:space="preserve"> (איסו"ב יח ג) כת' דגיורת הוה זונה, הואיל ואינה בת ישראל. ו</w:t>
      </w:r>
      <w:r w:rsidRPr="00440CAB">
        <w:rPr>
          <w:rFonts w:ascii="Narkisim" w:hAnsi="Narkisim" w:cs="Narkisim"/>
          <w:b/>
          <w:bCs/>
          <w:rtl/>
        </w:rPr>
        <w:t>תוס</w:t>
      </w:r>
      <w:r w:rsidRPr="00440CAB">
        <w:rPr>
          <w:rFonts w:ascii="Narkisim" w:hAnsi="Narkisim" w:cs="Narkisim"/>
          <w:rtl/>
        </w:rPr>
        <w:t>' (סא. ד"ה אין) פי' דהוה זונה, דבאה מהעכו"ם השטופים בזימה. וה</w:t>
      </w:r>
      <w:r w:rsidRPr="00440CAB">
        <w:rPr>
          <w:rFonts w:ascii="Narkisim" w:hAnsi="Narkisim" w:cs="Narkisim"/>
          <w:b/>
          <w:bCs/>
          <w:rtl/>
        </w:rPr>
        <w:t>ראב"ד</w:t>
      </w:r>
      <w:r w:rsidRPr="00440CAB">
        <w:rPr>
          <w:rFonts w:ascii="Narkisim" w:hAnsi="Narkisim" w:cs="Narkisim"/>
          <w:rtl/>
        </w:rPr>
        <w:t xml:space="preserve"> השיג דאינה זונה, אלא ילפי' מדכתיב (ביחזקאל) בתולות מזרע בית ישראל. וכ"ד הרשב"א.</w:t>
      </w:r>
    </w:p>
    <w:p w14:paraId="5DD4DD31" w14:textId="77777777" w:rsidR="006074A5" w:rsidRPr="00440CAB" w:rsidRDefault="006074A5" w:rsidP="006074A5">
      <w:pPr>
        <w:pStyle w:val="a7"/>
        <w:bidi/>
        <w:rPr>
          <w:rFonts w:ascii="Narkisim" w:hAnsi="Narkisim"/>
        </w:rPr>
      </w:pPr>
      <w:r w:rsidRPr="00440CAB">
        <w:rPr>
          <w:rFonts w:ascii="Narkisim" w:hAnsi="Narkisim"/>
          <w:rtl/>
        </w:rPr>
        <w:t>ולדעת תוס' דלכו"ע אסורה מטעם זונה</w:t>
      </w:r>
      <w:r w:rsidRPr="00440CAB">
        <w:rPr>
          <w:rStyle w:val="ac"/>
          <w:rFonts w:ascii="Narkisim" w:hAnsi="Narkisim"/>
          <w:rtl/>
        </w:rPr>
        <w:footnoteReference w:id="3660"/>
      </w:r>
      <w:r w:rsidRPr="00440CAB">
        <w:rPr>
          <w:rFonts w:ascii="Narkisim" w:hAnsi="Narkisim"/>
          <w:rtl/>
        </w:rPr>
        <w:t>, והא דדרשי' (קידושין שם) מקרא דיחזקאל, דאתא יחזקאל ואסמכיה אקרא לכל מ"ד כדאית ליה</w:t>
      </w:r>
      <w:r w:rsidRPr="00440CAB">
        <w:rPr>
          <w:rStyle w:val="ac"/>
          <w:rFonts w:ascii="Narkisim" w:hAnsi="Narkisim"/>
          <w:rtl/>
        </w:rPr>
        <w:footnoteReference w:id="3661"/>
      </w:r>
      <w:r w:rsidRPr="00440CAB">
        <w:rPr>
          <w:rFonts w:ascii="Narkisim" w:hAnsi="Narkisim"/>
          <w:rtl/>
        </w:rPr>
        <w:t>.</w:t>
      </w:r>
    </w:p>
    <w:p w14:paraId="4A3684AE" w14:textId="77777777" w:rsidR="006074A5" w:rsidRPr="00440CAB" w:rsidRDefault="006074A5" w:rsidP="006074A5">
      <w:pPr>
        <w:pStyle w:val="a8"/>
        <w:bidi/>
        <w:rPr>
          <w:rFonts w:ascii="Narkisim" w:hAnsi="Narkisim"/>
        </w:rPr>
      </w:pPr>
      <w:r w:rsidRPr="00440CAB">
        <w:rPr>
          <w:rFonts w:ascii="Narkisim" w:hAnsi="Narkisim"/>
          <w:rtl/>
        </w:rPr>
        <w:lastRenderedPageBreak/>
        <w:t>ו</w:t>
      </w:r>
      <w:r w:rsidRPr="00440CAB">
        <w:rPr>
          <w:rFonts w:ascii="Narkisim" w:hAnsi="Narkisim"/>
          <w:b/>
          <w:bCs/>
          <w:rtl/>
        </w:rPr>
        <w:t>תוס'</w:t>
      </w:r>
      <w:r w:rsidRPr="00440CAB">
        <w:rPr>
          <w:rFonts w:ascii="Narkisim" w:hAnsi="Narkisim"/>
          <w:rtl/>
        </w:rPr>
        <w:t xml:space="preserve"> (לעיל נז. ד"ה ואי) דנו האם ר' יהודה יליף מקרא דיחזקאל, וכת' דמשמע (בקידושין שם) דעיקר סברת ר' יהודה דפגומה מק"ו. [ונפק"מ דיש לה גדר חללה, ואינה אוכלת בתרומה].</w:t>
      </w:r>
    </w:p>
    <w:p w14:paraId="288CE5EC" w14:textId="77777777" w:rsidR="006074A5" w:rsidRPr="00440CAB" w:rsidRDefault="006074A5" w:rsidP="006074A5">
      <w:pPr>
        <w:bidi/>
        <w:rPr>
          <w:rFonts w:ascii="Narkisim" w:hAnsi="Narkisim" w:cs="Narkisim"/>
        </w:rPr>
      </w:pPr>
      <w:r w:rsidRPr="00440CAB">
        <w:rPr>
          <w:rFonts w:ascii="Narkisim" w:hAnsi="Narkisim" w:cs="Narkisim"/>
          <w:u w:val="single"/>
          <w:rtl/>
        </w:rPr>
        <w:t>שם. כשירה לכהונה</w:t>
      </w:r>
      <w:r w:rsidRPr="00440CAB">
        <w:rPr>
          <w:rFonts w:ascii="Narkisim" w:hAnsi="Narkisim" w:cs="Narkisim"/>
          <w:rtl/>
        </w:rPr>
        <w:t>. פ</w:t>
      </w:r>
      <w:r w:rsidRPr="00440CAB">
        <w:rPr>
          <w:rFonts w:ascii="Narkisim" w:hAnsi="Narkisim" w:cs="Narkisim"/>
          <w:b/>
          <w:bCs/>
          <w:rtl/>
        </w:rPr>
        <w:t xml:space="preserve">רש"י </w:t>
      </w:r>
      <w:r w:rsidRPr="00440CAB">
        <w:rPr>
          <w:rFonts w:ascii="Narkisim" w:hAnsi="Narkisim" w:cs="Narkisim"/>
          <w:rtl/>
        </w:rPr>
        <w:t xml:space="preserve">ולא מחזקינן לה כזונה. משמע דתלי בזנות. </w:t>
      </w:r>
      <w:r w:rsidRPr="00440CAB">
        <w:rPr>
          <w:rFonts w:ascii="Narkisim" w:hAnsi="Narkisim" w:cs="Narkisim"/>
          <w:sz w:val="20"/>
          <w:szCs w:val="20"/>
          <w:rtl/>
        </w:rPr>
        <w:t xml:space="preserve">וכעי"ז כת' </w:t>
      </w:r>
      <w:r w:rsidRPr="00440CAB">
        <w:rPr>
          <w:rFonts w:ascii="Narkisim" w:hAnsi="Narkisim" w:cs="Narkisim"/>
          <w:b/>
          <w:bCs/>
          <w:sz w:val="20"/>
          <w:szCs w:val="20"/>
          <w:rtl/>
        </w:rPr>
        <w:t>רש"י</w:t>
      </w:r>
      <w:r w:rsidRPr="00440CAB">
        <w:rPr>
          <w:rFonts w:ascii="Narkisim" w:hAnsi="Narkisim" w:cs="Narkisim"/>
          <w:sz w:val="20"/>
          <w:szCs w:val="20"/>
          <w:rtl/>
        </w:rPr>
        <w:t xml:space="preserve"> (לקמן סא. במשנה, וסא: ד"ה אלא גיורת) עי"ש. </w:t>
      </w:r>
      <w:r w:rsidRPr="00440CAB">
        <w:rPr>
          <w:rFonts w:ascii="Narkisim" w:hAnsi="Narkisim" w:cs="Narkisim"/>
          <w:rtl/>
        </w:rPr>
        <w:t>וה</w:t>
      </w:r>
      <w:r w:rsidRPr="00440CAB">
        <w:rPr>
          <w:rFonts w:ascii="Narkisim" w:hAnsi="Narkisim" w:cs="Narkisim"/>
          <w:b/>
          <w:bCs/>
          <w:rtl/>
        </w:rPr>
        <w:t>רשב"א</w:t>
      </w:r>
      <w:r w:rsidRPr="00440CAB">
        <w:rPr>
          <w:rFonts w:ascii="Narkisim" w:hAnsi="Narkisim" w:cs="Narkisim"/>
          <w:rtl/>
        </w:rPr>
        <w:t xml:space="preserve"> ו</w:t>
      </w:r>
      <w:r w:rsidRPr="00440CAB">
        <w:rPr>
          <w:rFonts w:ascii="Narkisim" w:hAnsi="Narkisim" w:cs="Narkisim"/>
          <w:b/>
          <w:bCs/>
          <w:rtl/>
        </w:rPr>
        <w:t>ריטב"א</w:t>
      </w:r>
      <w:r w:rsidRPr="00440CAB">
        <w:rPr>
          <w:rFonts w:ascii="Narkisim" w:hAnsi="Narkisim" w:cs="Narkisim"/>
          <w:rtl/>
        </w:rPr>
        <w:t xml:space="preserve"> דייקו [מדברי רש"י] דסברת רבנן דמחזקינן ליה שזינתה, ומש"ה פסולה אף פחות מבת ג'. [ואף ר' שמעון מודה דהיכא דזינתה פחות מבת ג' פסולה]</w:t>
      </w:r>
      <w:r w:rsidRPr="00440CAB">
        <w:rPr>
          <w:rStyle w:val="ac"/>
          <w:rFonts w:ascii="Narkisim" w:hAnsi="Narkisim" w:cs="Narkisim"/>
          <w:rtl/>
        </w:rPr>
        <w:footnoteReference w:id="3662"/>
      </w:r>
      <w:r w:rsidRPr="00440CAB">
        <w:rPr>
          <w:rFonts w:ascii="Narkisim" w:hAnsi="Narkisim" w:cs="Narkisim"/>
          <w:rtl/>
        </w:rPr>
        <w:t>.</w:t>
      </w:r>
    </w:p>
    <w:p w14:paraId="405D58FD"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האריך להק' ע"פ רש"י, דזנות פחות מבת ג' אינו פוסל</w:t>
      </w:r>
      <w:r w:rsidRPr="00440CAB">
        <w:rPr>
          <w:rStyle w:val="ac"/>
          <w:rFonts w:ascii="Narkisim" w:hAnsi="Narkisim"/>
          <w:rtl/>
        </w:rPr>
        <w:footnoteReference w:id="3663"/>
      </w:r>
      <w:r w:rsidRPr="00440CAB">
        <w:rPr>
          <w:rFonts w:ascii="Narkisim" w:hAnsi="Narkisim"/>
          <w:rtl/>
        </w:rPr>
        <w:t xml:space="preserve">. </w:t>
      </w:r>
      <w:r w:rsidRPr="00440CAB">
        <w:rPr>
          <w:rFonts w:ascii="Narkisim" w:hAnsi="Narkisim"/>
          <w:sz w:val="20"/>
          <w:szCs w:val="20"/>
          <w:rtl/>
        </w:rPr>
        <w:t>[ויש ה</w:t>
      </w:r>
      <w:r w:rsidRPr="00440CAB">
        <w:rPr>
          <w:rFonts w:ascii="Narkisim" w:hAnsi="Narkisim"/>
          <w:b/>
          <w:bCs/>
          <w:sz w:val="20"/>
          <w:szCs w:val="20"/>
          <w:rtl/>
        </w:rPr>
        <w:t xml:space="preserve">אחרונים </w:t>
      </w:r>
      <w:r w:rsidRPr="00440CAB">
        <w:rPr>
          <w:rFonts w:ascii="Narkisim" w:hAnsi="Narkisim"/>
          <w:sz w:val="20"/>
          <w:szCs w:val="20"/>
          <w:rtl/>
        </w:rPr>
        <w:t>שדנו דבעכו"ם לא נאמרה ההילכתא דפחות מבת ג', ולפני שנתגיירה יש לזה שם ביאה. ולכן נעשית זונה].</w:t>
      </w:r>
    </w:p>
    <w:p w14:paraId="582BBBF9" w14:textId="77777777" w:rsidR="006074A5" w:rsidRPr="00440CAB" w:rsidRDefault="006074A5" w:rsidP="006074A5">
      <w:pPr>
        <w:pStyle w:val="a7"/>
        <w:bidi/>
        <w:rPr>
          <w:rFonts w:ascii="Narkisim" w:hAnsi="Narkisim"/>
        </w:rPr>
      </w:pPr>
      <w:r w:rsidRPr="00440CAB">
        <w:rPr>
          <w:rFonts w:ascii="Narkisim" w:hAnsi="Narkisim"/>
          <w:rtl/>
        </w:rPr>
        <w:t>ועוד</w:t>
      </w:r>
      <w:r w:rsidRPr="00440CAB">
        <w:rPr>
          <w:rFonts w:ascii="Narkisim" w:hAnsi="Narkisim"/>
          <w:i/>
          <w:iCs/>
          <w:rtl/>
        </w:rPr>
        <w:t xml:space="preserve"> </w:t>
      </w:r>
      <w:r w:rsidRPr="00440CAB">
        <w:rPr>
          <w:rFonts w:ascii="Narkisim" w:hAnsi="Narkisim"/>
          <w:rtl/>
        </w:rPr>
        <w:t>הקשה הרשב"א דאי משום הא הוה דרבנן</w:t>
      </w:r>
      <w:r w:rsidRPr="00440CAB">
        <w:rPr>
          <w:rStyle w:val="ac"/>
          <w:rFonts w:ascii="Narkisim" w:hAnsi="Narkisim"/>
          <w:rtl/>
        </w:rPr>
        <w:footnoteReference w:id="3664"/>
      </w:r>
      <w:r w:rsidRPr="00440CAB">
        <w:rPr>
          <w:rFonts w:ascii="Narkisim" w:hAnsi="Narkisim"/>
          <w:rtl/>
        </w:rPr>
        <w:t>, ומבואר בברייתא דנח' מדאורייתא. והרשב"א כת' דסברת רבנן דדרשי' מקרא דיחזקאל (הו' לעיל) דבעינן מזרע ישראל, שנזרעו בתוליה בישראל. ור' יוסי דפליג ס"ל דנזרעה בישראל, ואפי' הורתה שלא בקדושה ולידתו בקדושה פסולה. [וע"ע בסמוך סא. תוד"ה אין].</w:t>
      </w:r>
    </w:p>
    <w:p w14:paraId="20D72609" w14:textId="77777777" w:rsidR="006074A5" w:rsidRPr="00440CAB" w:rsidRDefault="006074A5" w:rsidP="006074A5">
      <w:pPr>
        <w:pStyle w:val="aa"/>
        <w:bidi/>
        <w:rPr>
          <w:rFonts w:ascii="Narkisim" w:hAnsi="Narkisim"/>
        </w:rPr>
      </w:pPr>
      <w:r w:rsidRPr="00440CAB">
        <w:rPr>
          <w:rFonts w:ascii="Narkisim" w:hAnsi="Narkisim"/>
          <w:u w:val="single"/>
          <w:rtl/>
        </w:rPr>
        <w:t>גיורת פחותה מבת ג' וכו'.</w:t>
      </w:r>
      <w:r w:rsidRPr="00440CAB">
        <w:rPr>
          <w:rFonts w:ascii="Narkisim" w:hAnsi="Narkisim"/>
          <w:rtl/>
        </w:rPr>
        <w:t xml:space="preserve"> מבואר דשייך גר קטן בדאורייתא. וע' </w:t>
      </w:r>
      <w:r w:rsidRPr="00440CAB">
        <w:rPr>
          <w:rFonts w:ascii="Narkisim" w:hAnsi="Narkisim"/>
          <w:b/>
          <w:bCs/>
          <w:rtl/>
        </w:rPr>
        <w:t>תוס</w:t>
      </w:r>
      <w:r w:rsidRPr="00440CAB">
        <w:rPr>
          <w:rFonts w:ascii="Narkisim" w:hAnsi="Narkisim"/>
          <w:rtl/>
        </w:rPr>
        <w:t>' (סנהדרין סח: וכתובות יא.) שנסתפקו בזה. [ויש ליישב בשפחה שנשתחררה]. אמנם מבואר בראשונים (כתובות שם) דכשנתגייר עם אביו מהני מדאורייתא.</w:t>
      </w:r>
    </w:p>
    <w:p w14:paraId="78DAF44B" w14:textId="77777777" w:rsidR="006074A5" w:rsidRPr="00440CAB" w:rsidRDefault="006074A5" w:rsidP="006074A5">
      <w:pPr>
        <w:pStyle w:val="aa"/>
        <w:bidi/>
        <w:rPr>
          <w:rFonts w:ascii="Narkisim" w:hAnsi="Narkisim"/>
        </w:rPr>
      </w:pPr>
      <w:r w:rsidRPr="00440CAB">
        <w:rPr>
          <w:rFonts w:ascii="Narkisim" w:hAnsi="Narkisim"/>
          <w:u w:val="single"/>
          <w:rtl/>
        </w:rPr>
        <w:t>והרי פנחס עמהם היה.</w:t>
      </w:r>
      <w:r w:rsidRPr="00440CAB">
        <w:rPr>
          <w:rFonts w:ascii="Narkisim" w:hAnsi="Narkisim"/>
          <w:rtl/>
        </w:rPr>
        <w:t xml:space="preserve"> ה</w:t>
      </w:r>
      <w:r w:rsidRPr="00440CAB">
        <w:rPr>
          <w:rFonts w:ascii="Narkisim" w:hAnsi="Narkisim"/>
          <w:b/>
          <w:bCs/>
          <w:rtl/>
        </w:rPr>
        <w:t xml:space="preserve">ריטב"א </w:t>
      </w:r>
      <w:r w:rsidRPr="00440CAB">
        <w:rPr>
          <w:rFonts w:ascii="Narkisim" w:hAnsi="Narkisim"/>
          <w:rtl/>
        </w:rPr>
        <w:t>כת' וכבר נתכהן. [למ"ד (זבחים קא:) דנתכהן במעשה זמרי. אך ה</w:t>
      </w:r>
      <w:r w:rsidRPr="00440CAB">
        <w:rPr>
          <w:rFonts w:ascii="Narkisim" w:hAnsi="Narkisim"/>
          <w:b/>
          <w:bCs/>
          <w:rtl/>
        </w:rPr>
        <w:t xml:space="preserve">ערול"נ </w:t>
      </w:r>
      <w:r w:rsidRPr="00440CAB">
        <w:rPr>
          <w:rFonts w:ascii="Narkisim" w:hAnsi="Narkisim"/>
          <w:rtl/>
        </w:rPr>
        <w:t>הביא דלדעת רב אשי (שם) לא נתכהן עד שעשה שלום בין השבטים (ביהושע כב ל)</w:t>
      </w:r>
      <w:r w:rsidRPr="00440CAB">
        <w:rPr>
          <w:rStyle w:val="ac"/>
          <w:rFonts w:ascii="Narkisim" w:hAnsi="Narkisim"/>
          <w:rtl/>
        </w:rPr>
        <w:footnoteReference w:id="3665"/>
      </w:r>
      <w:r w:rsidRPr="00440CAB">
        <w:rPr>
          <w:rFonts w:ascii="Narkisim" w:hAnsi="Narkisim"/>
          <w:rtl/>
        </w:rPr>
        <w:t>. וכתב דע"כ היינו דלא כהך ברייתא</w:t>
      </w:r>
      <w:r w:rsidRPr="00440CAB">
        <w:rPr>
          <w:rStyle w:val="ac"/>
          <w:rFonts w:ascii="Narkisim" w:hAnsi="Narkisim"/>
          <w:rtl/>
        </w:rPr>
        <w:footnoteReference w:id="3666"/>
      </w:r>
      <w:r w:rsidRPr="00440CAB">
        <w:rPr>
          <w:rFonts w:ascii="Narkisim" w:hAnsi="Narkisim"/>
          <w:rtl/>
        </w:rPr>
        <w:t>].</w:t>
      </w:r>
    </w:p>
    <w:p w14:paraId="02DAD6F6" w14:textId="77777777" w:rsidR="006074A5" w:rsidRPr="00440CAB" w:rsidRDefault="006074A5" w:rsidP="006074A5">
      <w:pPr>
        <w:pStyle w:val="aa"/>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כת' דלרשב"י מותרת אף לכהן גדול. וה</w:t>
      </w:r>
      <w:r w:rsidRPr="00440CAB">
        <w:rPr>
          <w:rFonts w:ascii="Narkisim" w:hAnsi="Narkisim"/>
          <w:b/>
          <w:bCs/>
          <w:rtl/>
        </w:rPr>
        <w:t>אחרונים</w:t>
      </w:r>
      <w:r w:rsidRPr="00440CAB">
        <w:rPr>
          <w:rFonts w:ascii="Narkisim" w:hAnsi="Narkisim"/>
          <w:rtl/>
        </w:rPr>
        <w:t xml:space="preserve"> (קר"א) הביאו דכ"מ מהא דהותרה לפנחס, ופנחס היה משוח מלחמה באותו שעה</w:t>
      </w:r>
      <w:r w:rsidRPr="00440CAB">
        <w:rPr>
          <w:rStyle w:val="ac"/>
          <w:rFonts w:ascii="Narkisim" w:hAnsi="Narkisim"/>
          <w:rtl/>
        </w:rPr>
        <w:footnoteReference w:id="3667"/>
      </w:r>
      <w:r w:rsidRPr="00440CAB">
        <w:rPr>
          <w:rFonts w:ascii="Narkisim" w:hAnsi="Narkisim"/>
          <w:rtl/>
        </w:rPr>
        <w:t>. ומשוח מלחמה מצווה בבתולה (הוריות יב: והרמב"ם יז א).</w:t>
      </w:r>
    </w:p>
    <w:p w14:paraId="20755CA2" w14:textId="77777777" w:rsidR="006074A5" w:rsidRPr="00440CAB" w:rsidRDefault="006074A5" w:rsidP="006074A5">
      <w:pPr>
        <w:pStyle w:val="aa"/>
        <w:bidi/>
        <w:rPr>
          <w:rFonts w:ascii="Narkisim" w:hAnsi="Narkisim"/>
        </w:rPr>
      </w:pPr>
      <w:r w:rsidRPr="00440CAB">
        <w:rPr>
          <w:rFonts w:ascii="Narkisim" w:hAnsi="Narkisim"/>
          <w:u w:val="single"/>
          <w:rtl/>
        </w:rPr>
        <w:t>ונעברינהו לפני הציץ</w:t>
      </w:r>
      <w:r w:rsidRPr="00440CAB">
        <w:rPr>
          <w:rStyle w:val="ac"/>
          <w:rFonts w:ascii="Narkisim" w:hAnsi="Narkisim"/>
          <w:u w:val="single"/>
          <w:rtl/>
        </w:rPr>
        <w:footnoteReference w:id="3668"/>
      </w:r>
      <w:r w:rsidRPr="00440CAB">
        <w:rPr>
          <w:rFonts w:ascii="Narkisim" w:hAnsi="Narkisim"/>
          <w:u w:val="single"/>
          <w:rtl/>
        </w:rPr>
        <w:t xml:space="preserve"> וכו'</w:t>
      </w:r>
      <w:r w:rsidRPr="00440CAB">
        <w:rPr>
          <w:rFonts w:ascii="Narkisim" w:hAnsi="Narkisim"/>
          <w:rtl/>
        </w:rPr>
        <w:t>. ה</w:t>
      </w:r>
      <w:r w:rsidRPr="00440CAB">
        <w:rPr>
          <w:rFonts w:ascii="Narkisim" w:hAnsi="Narkisim"/>
          <w:b/>
          <w:bCs/>
          <w:rtl/>
        </w:rPr>
        <w:t>רש"ש</w:t>
      </w:r>
      <w:r w:rsidRPr="00440CAB">
        <w:rPr>
          <w:rFonts w:ascii="Narkisim" w:hAnsi="Narkisim"/>
          <w:rtl/>
        </w:rPr>
        <w:t xml:space="preserve"> הקשה דציץ מעשה נס, וכיון דמצו לבדוק ע"פ חבית דהוא טבע, למה יסמכו על הנס.</w:t>
      </w:r>
    </w:p>
    <w:p w14:paraId="516F6E59" w14:textId="77777777" w:rsidR="006074A5" w:rsidRPr="00440CAB" w:rsidRDefault="006074A5" w:rsidP="006074A5">
      <w:pPr>
        <w:pStyle w:val="aa"/>
        <w:bidi/>
        <w:rPr>
          <w:rFonts w:ascii="Narkisim" w:hAnsi="Narkisim"/>
        </w:rPr>
      </w:pPr>
      <w:r w:rsidRPr="00440CAB">
        <w:rPr>
          <w:rFonts w:ascii="Narkisim" w:hAnsi="Narkisim"/>
          <w:u w:val="single"/>
          <w:rtl/>
        </w:rPr>
        <w:t>הואיל ואינסיב וכו'.</w:t>
      </w:r>
      <w:r w:rsidRPr="00440CAB">
        <w:rPr>
          <w:rFonts w:ascii="Narkisim" w:hAnsi="Narkisim"/>
          <w:rtl/>
        </w:rPr>
        <w:t xml:space="preserve"> וס"ד דאף בכהן הדיוט</w:t>
      </w:r>
      <w:r w:rsidRPr="00440CAB">
        <w:rPr>
          <w:rStyle w:val="ac"/>
          <w:rFonts w:ascii="Narkisim" w:hAnsi="Narkisim"/>
          <w:rtl/>
        </w:rPr>
        <w:footnoteReference w:id="3669"/>
      </w:r>
      <w:r w:rsidRPr="00440CAB">
        <w:rPr>
          <w:rFonts w:ascii="Narkisim" w:hAnsi="Narkisim"/>
          <w:rtl/>
        </w:rPr>
        <w:t xml:space="preserve"> כיון דנשאת [אפי' באיסור], אף בחשש פסול זונה לא תצא</w:t>
      </w:r>
      <w:r w:rsidRPr="00440CAB">
        <w:rPr>
          <w:rStyle w:val="ac"/>
          <w:rFonts w:ascii="Narkisim" w:hAnsi="Narkisim"/>
          <w:rtl/>
        </w:rPr>
        <w:footnoteReference w:id="3670"/>
      </w:r>
      <w:r w:rsidRPr="00440CAB">
        <w:rPr>
          <w:rFonts w:ascii="Narkisim" w:hAnsi="Narkisim"/>
          <w:rtl/>
        </w:rPr>
        <w:t>. וצ"ב. ומשמע דס"ל דזהו גדר ההיתר דסופה להיות בוגרת תחתיו, דאינו איסור חמור וכיון דנשאת מותרת [ואף דנשאה באיסור]. [וה</w:t>
      </w:r>
      <w:r w:rsidRPr="00440CAB">
        <w:rPr>
          <w:rFonts w:ascii="Narkisim" w:hAnsi="Narkisim"/>
          <w:b/>
          <w:bCs/>
          <w:rtl/>
        </w:rPr>
        <w:t xml:space="preserve">רשב"א </w:t>
      </w:r>
      <w:r w:rsidRPr="00440CAB">
        <w:rPr>
          <w:rFonts w:ascii="Narkisim" w:hAnsi="Narkisim"/>
          <w:rtl/>
        </w:rPr>
        <w:t>כ' דס"ד דהוה דרבנן].</w:t>
      </w:r>
    </w:p>
    <w:p w14:paraId="3AE91F5A" w14:textId="77777777" w:rsidR="006074A5" w:rsidRPr="00440CAB" w:rsidRDefault="006074A5" w:rsidP="006074A5">
      <w:pPr>
        <w:bidi/>
        <w:rPr>
          <w:rFonts w:ascii="Narkisim" w:hAnsi="Narkisim" w:cs="Narkisim"/>
        </w:rPr>
      </w:pPr>
      <w:r w:rsidRPr="00440CAB">
        <w:rPr>
          <w:rFonts w:ascii="Narkisim" w:hAnsi="Narkisim" w:cs="Narkisim"/>
          <w:u w:val="single"/>
          <w:rtl/>
        </w:rPr>
        <w:t>הכא סופה להיות זונה תחתיו.</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(סא. ד"ה אין) הביאו מסוגיין דגיורת אסורה מטעם זונה. וכן ה</w:t>
      </w:r>
      <w:r w:rsidRPr="00440CAB">
        <w:rPr>
          <w:rFonts w:ascii="Narkisim" w:hAnsi="Narkisim" w:cs="Narkisim"/>
          <w:b/>
          <w:bCs/>
          <w:rtl/>
        </w:rPr>
        <w:t>רשב"א</w:t>
      </w:r>
      <w:r w:rsidRPr="00440CAB">
        <w:rPr>
          <w:rFonts w:ascii="Narkisim" w:hAnsi="Narkisim" w:cs="Narkisim"/>
          <w:rtl/>
        </w:rPr>
        <w:t xml:space="preserve"> הביא דמכאן מקור לדברי </w:t>
      </w:r>
      <w:r w:rsidRPr="00440CAB">
        <w:rPr>
          <w:rFonts w:ascii="Narkisim" w:hAnsi="Narkisim" w:cs="Narkisim"/>
          <w:b/>
          <w:bCs/>
          <w:rtl/>
        </w:rPr>
        <w:t>רש"י</w:t>
      </w:r>
      <w:r w:rsidRPr="00440CAB">
        <w:rPr>
          <w:rFonts w:ascii="Narkisim" w:hAnsi="Narkisim" w:cs="Narkisim"/>
          <w:rtl/>
        </w:rPr>
        <w:t xml:space="preserve"> וה</w:t>
      </w:r>
      <w:r w:rsidRPr="00440CAB">
        <w:rPr>
          <w:rFonts w:ascii="Narkisim" w:hAnsi="Narkisim" w:cs="Narkisim"/>
          <w:b/>
          <w:bCs/>
          <w:rtl/>
        </w:rPr>
        <w:t>רמב"ם</w:t>
      </w:r>
      <w:r w:rsidRPr="00440CAB">
        <w:rPr>
          <w:rFonts w:ascii="Narkisim" w:hAnsi="Narkisim" w:cs="Narkisim"/>
          <w:rtl/>
        </w:rPr>
        <w:t xml:space="preserve"> (ע' בסמוך) דכתב דלמ"ד דפוסל הוא משום דהוחזקה כזונה. וה</w:t>
      </w:r>
      <w:r w:rsidRPr="00440CAB">
        <w:rPr>
          <w:rFonts w:ascii="Narkisim" w:hAnsi="Narkisim" w:cs="Narkisim"/>
          <w:b/>
          <w:bCs/>
          <w:rtl/>
        </w:rPr>
        <w:t>רשב"א</w:t>
      </w:r>
      <w:r w:rsidRPr="00440CAB">
        <w:rPr>
          <w:rFonts w:ascii="Narkisim" w:hAnsi="Narkisim" w:cs="Narkisim"/>
          <w:rtl/>
        </w:rPr>
        <w:t xml:space="preserve"> דחה דלטעמיך קאמר, כיון דאמרת דשייך בזה סופו להיות תחתיו, א"כ ס"ל דהוה דרבנן</w:t>
      </w:r>
      <w:r w:rsidRPr="00440CAB">
        <w:rPr>
          <w:rStyle w:val="ac"/>
          <w:rFonts w:ascii="Narkisim" w:hAnsi="Narkisim" w:cs="Narkisim"/>
          <w:rtl/>
        </w:rPr>
        <w:footnoteReference w:id="3671"/>
      </w:r>
      <w:r w:rsidRPr="00440CAB">
        <w:rPr>
          <w:rFonts w:ascii="Narkisim" w:hAnsi="Narkisim" w:cs="Narkisim"/>
          <w:rtl/>
        </w:rPr>
        <w:t>, ומשום גזירת זנות. [וכ"כ ב</w:t>
      </w:r>
      <w:r w:rsidRPr="00440CAB">
        <w:rPr>
          <w:rFonts w:ascii="Narkisim" w:hAnsi="Narkisim" w:cs="Narkisim"/>
          <w:b/>
          <w:bCs/>
          <w:rtl/>
        </w:rPr>
        <w:t>שו"ת הרשב"א</w:t>
      </w:r>
      <w:r w:rsidRPr="00440CAB">
        <w:rPr>
          <w:rFonts w:ascii="Narkisim" w:hAnsi="Narkisim" w:cs="Narkisim"/>
          <w:rtl/>
        </w:rPr>
        <w:t xml:space="preserve"> (א אלף </w:t>
      </w:r>
      <w:r w:rsidRPr="00440CAB">
        <w:rPr>
          <w:rFonts w:ascii="Narkisim" w:hAnsi="Narkisim" w:cs="Narkisim"/>
          <w:rtl/>
        </w:rPr>
        <w:lastRenderedPageBreak/>
        <w:t>רלא)]. ומיהו קושטא דמילתא לאו משום זונה, אלא דבעיא שתהא נולדת בקדושת ישראל. (ע"ע בסמוך).</w:t>
      </w:r>
    </w:p>
    <w:p w14:paraId="1C64A36D" w14:textId="77777777" w:rsidR="006074A5" w:rsidRPr="00440CAB" w:rsidRDefault="006074A5" w:rsidP="006074A5">
      <w:pPr>
        <w:pStyle w:val="aa"/>
        <w:bidi/>
        <w:rPr>
          <w:rFonts w:ascii="Narkisim" w:hAnsi="Narkisim"/>
        </w:rPr>
      </w:pPr>
      <w:r w:rsidRPr="00440CAB">
        <w:rPr>
          <w:rFonts w:ascii="Narkisim" w:hAnsi="Narkisim"/>
          <w:u w:val="single"/>
          <w:rtl/>
        </w:rPr>
        <w:t>תוד"ה סימן</w:t>
      </w:r>
      <w:r w:rsidRPr="00440CAB">
        <w:rPr>
          <w:rFonts w:ascii="Narkisim" w:hAnsi="Narkisim"/>
          <w:rtl/>
        </w:rPr>
        <w:t xml:space="preserve">. והדרוקן לאו היינו ירקון וכו'. וכ"כ </w:t>
      </w:r>
      <w:r w:rsidRPr="00440CAB">
        <w:rPr>
          <w:rFonts w:ascii="Narkisim" w:hAnsi="Narkisim"/>
          <w:b/>
          <w:bCs/>
          <w:rtl/>
        </w:rPr>
        <w:t>תוס</w:t>
      </w:r>
      <w:r w:rsidRPr="00440CAB">
        <w:rPr>
          <w:rFonts w:ascii="Narkisim" w:hAnsi="Narkisim"/>
          <w:rtl/>
        </w:rPr>
        <w:t>' (בכורות מד:) בתחילת דבריהם דמשמע (שם) דהדרוקן וירקון תרי מילי נינהו. וכת' ומיהו בסוגיין נראה שהם ענין א'.</w:t>
      </w:r>
    </w:p>
    <w:p w14:paraId="5BDE5D5E" w14:textId="77777777" w:rsidR="006074A5" w:rsidRPr="00440CAB" w:rsidRDefault="006074A5" w:rsidP="006074A5">
      <w:pPr>
        <w:pStyle w:val="3"/>
        <w:bidi/>
        <w:rPr>
          <w:rFonts w:ascii="Narkisim" w:hAnsi="Narkisim"/>
        </w:rPr>
      </w:pPr>
      <w:r w:rsidRPr="00440CAB">
        <w:rPr>
          <w:rFonts w:ascii="Narkisim" w:hAnsi="Narkisim"/>
          <w:rtl/>
        </w:rPr>
        <w:t>דף סא.</w:t>
      </w:r>
    </w:p>
    <w:p w14:paraId="7CB0D801" w14:textId="77777777" w:rsidR="006074A5" w:rsidRPr="00440CAB" w:rsidRDefault="006074A5" w:rsidP="006074A5">
      <w:pPr>
        <w:pStyle w:val="2"/>
        <w:bidi/>
        <w:rPr>
          <w:rFonts w:ascii="Narkisim" w:hAnsi="Narkisim"/>
          <w:sz w:val="21"/>
        </w:rPr>
      </w:pPr>
      <w:r w:rsidRPr="00440CAB">
        <w:rPr>
          <w:rFonts w:ascii="Narkisim" w:hAnsi="Narkisim"/>
          <w:sz w:val="21"/>
          <w:rtl/>
        </w:rPr>
        <w:t>עכו"ם אינן מטמאין באוהל</w:t>
      </w:r>
    </w:p>
    <w:p w14:paraId="275B9E0B" w14:textId="77777777" w:rsidR="006074A5" w:rsidRPr="00440CAB" w:rsidRDefault="006074A5" w:rsidP="006074A5">
      <w:pPr>
        <w:bidi/>
        <w:rPr>
          <w:rFonts w:ascii="Narkisim" w:hAnsi="Narkisim" w:cs="Narkisim"/>
        </w:rPr>
      </w:pPr>
      <w:r w:rsidRPr="00440CAB">
        <w:rPr>
          <w:rFonts w:ascii="Narkisim" w:hAnsi="Narkisim" w:cs="Narkisim"/>
          <w:u w:val="single"/>
          <w:rtl/>
        </w:rPr>
        <w:t>רש"י ד"ה אין מטמאין.</w:t>
      </w:r>
      <w:r w:rsidRPr="00440CAB">
        <w:rPr>
          <w:rFonts w:ascii="Narkisim" w:hAnsi="Narkisim" w:cs="Narkisim"/>
          <w:rtl/>
        </w:rPr>
        <w:t xml:space="preserve"> את המאהיל עליהם. [טהור שמאהיל על המת]. אבל ה</w:t>
      </w:r>
      <w:r w:rsidRPr="00440CAB">
        <w:rPr>
          <w:rFonts w:ascii="Narkisim" w:hAnsi="Narkisim" w:cs="Narkisim"/>
          <w:b/>
          <w:bCs/>
          <w:rtl/>
        </w:rPr>
        <w:t>גר"א</w:t>
      </w:r>
      <w:r w:rsidRPr="00440CAB">
        <w:rPr>
          <w:rFonts w:ascii="Narkisim" w:hAnsi="Narkisim" w:cs="Narkisim"/>
          <w:rtl/>
        </w:rPr>
        <w:t xml:space="preserve"> </w:t>
      </w:r>
      <w:r w:rsidRPr="00440CAB">
        <w:rPr>
          <w:rFonts w:ascii="Narkisim" w:hAnsi="Narkisim" w:cs="Narkisim"/>
          <w:sz w:val="20"/>
          <w:szCs w:val="20"/>
          <w:rtl/>
        </w:rPr>
        <w:t xml:space="preserve">(אדרת אליהו פ' חקת, הו' באו"ש טו"מ א ג) </w:t>
      </w:r>
      <w:r w:rsidRPr="00440CAB">
        <w:rPr>
          <w:rFonts w:ascii="Narkisim" w:hAnsi="Narkisim" w:cs="Narkisim"/>
          <w:rtl/>
        </w:rPr>
        <w:t>כתב דאף לר"ש המאהיל על עכו"ם נטמא</w:t>
      </w:r>
      <w:r w:rsidRPr="00440CAB">
        <w:rPr>
          <w:rFonts w:ascii="Narkisim" w:hAnsi="Narkisim" w:cs="Narkisim"/>
          <w:sz w:val="20"/>
          <w:szCs w:val="20"/>
          <w:rtl/>
        </w:rPr>
        <w:t xml:space="preserve"> [דמאהיל כנוגע, ע' חולין קכה:]</w:t>
      </w:r>
      <w:r w:rsidRPr="00440CAB">
        <w:rPr>
          <w:rFonts w:ascii="Narkisim" w:hAnsi="Narkisim" w:cs="Narkisim"/>
          <w:rtl/>
        </w:rPr>
        <w:t xml:space="preserve">, ועכו"ם נתמעט רק מטומאת אוהל המת </w:t>
      </w:r>
      <w:r w:rsidRPr="00440CAB">
        <w:rPr>
          <w:rFonts w:ascii="Narkisim" w:hAnsi="Narkisim" w:cs="Narkisim"/>
          <w:sz w:val="20"/>
          <w:szCs w:val="20"/>
          <w:rtl/>
        </w:rPr>
        <w:t>[דדבר אחר מאהיל על המת ועליו]</w:t>
      </w:r>
      <w:r w:rsidRPr="00440CAB">
        <w:rPr>
          <w:rStyle w:val="ac"/>
          <w:rFonts w:ascii="Narkisim" w:hAnsi="Narkisim" w:cs="Narkisim"/>
          <w:sz w:val="20"/>
          <w:szCs w:val="20"/>
          <w:rtl/>
        </w:rPr>
        <w:footnoteReference w:id="3672"/>
      </w:r>
      <w:r w:rsidRPr="00440CAB">
        <w:rPr>
          <w:rFonts w:ascii="Narkisim" w:hAnsi="Narkisim" w:cs="Narkisim"/>
          <w:rtl/>
        </w:rPr>
        <w:t>.</w:t>
      </w:r>
    </w:p>
    <w:p w14:paraId="00CAD342" w14:textId="77777777" w:rsidR="006074A5" w:rsidRPr="00440CAB" w:rsidRDefault="006074A5" w:rsidP="006074A5">
      <w:pPr>
        <w:pStyle w:val="aa"/>
        <w:bidi/>
        <w:rPr>
          <w:rFonts w:ascii="Narkisim" w:hAnsi="Narkisim"/>
        </w:rPr>
      </w:pPr>
      <w:r w:rsidRPr="00440CAB">
        <w:rPr>
          <w:rFonts w:ascii="Narkisim" w:hAnsi="Narkisim"/>
          <w:u w:val="single"/>
          <w:rtl/>
        </w:rPr>
        <w:t>דילמא אקטיל.</w:t>
      </w:r>
      <w:r w:rsidRPr="00440CAB">
        <w:rPr>
          <w:rFonts w:ascii="Narkisim" w:hAnsi="Narkisim"/>
          <w:rtl/>
        </w:rPr>
        <w:t xml:space="preserve"> בפשוטו כוונת הגמ' דשמא היה כך דאיקטיל. וידעו שנטמאו בקבורת המת. [ולא שהיה ספק, וכ"מ בתי' הב' ב</w:t>
      </w:r>
      <w:r w:rsidRPr="00440CAB">
        <w:rPr>
          <w:rFonts w:ascii="Narkisim" w:hAnsi="Narkisim"/>
          <w:b/>
          <w:bCs/>
          <w:rtl/>
        </w:rPr>
        <w:t>תו"י</w:t>
      </w:r>
      <w:r w:rsidRPr="00440CAB">
        <w:rPr>
          <w:rFonts w:ascii="Narkisim" w:hAnsi="Narkisim"/>
          <w:rtl/>
        </w:rPr>
        <w:t>]. אבל ה</w:t>
      </w:r>
      <w:r w:rsidRPr="00440CAB">
        <w:rPr>
          <w:rFonts w:ascii="Narkisim" w:hAnsi="Narkisim"/>
          <w:b/>
          <w:bCs/>
          <w:rtl/>
        </w:rPr>
        <w:t>תו"י</w:t>
      </w:r>
      <w:r w:rsidRPr="00440CAB">
        <w:rPr>
          <w:rFonts w:ascii="Narkisim" w:hAnsi="Narkisim"/>
          <w:rtl/>
        </w:rPr>
        <w:t xml:space="preserve"> הביא </w:t>
      </w:r>
      <w:r w:rsidRPr="00440CAB">
        <w:rPr>
          <w:rFonts w:ascii="Narkisim" w:hAnsi="Narkisim"/>
          <w:b/>
          <w:bCs/>
          <w:rtl/>
        </w:rPr>
        <w:t>י"מ</w:t>
      </w:r>
      <w:r w:rsidRPr="00440CAB">
        <w:rPr>
          <w:rFonts w:ascii="Narkisim" w:hAnsi="Narkisim"/>
          <w:rtl/>
        </w:rPr>
        <w:t xml:space="preserve"> כוונת הגמ' דהוה ספק, ומספק היה צריכים ליטהר. ור' שמעון יליף מהכא דכל קבוע כמחצה על מחצה ולא אזלי' בתר רוב</w:t>
      </w:r>
      <w:r w:rsidRPr="00440CAB">
        <w:rPr>
          <w:rStyle w:val="ac"/>
          <w:rFonts w:ascii="Narkisim" w:hAnsi="Narkisim"/>
          <w:rtl/>
        </w:rPr>
        <w:footnoteReference w:id="3673"/>
      </w:r>
      <w:r w:rsidRPr="00440CAB">
        <w:rPr>
          <w:rFonts w:ascii="Narkisim" w:hAnsi="Narkisim"/>
          <w:rtl/>
        </w:rPr>
        <w:t>.</w:t>
      </w:r>
    </w:p>
    <w:p w14:paraId="0017347E" w14:textId="77777777" w:rsidR="006074A5" w:rsidRPr="00440CAB" w:rsidRDefault="006074A5" w:rsidP="006074A5">
      <w:pPr>
        <w:pStyle w:val="aa"/>
        <w:bidi/>
        <w:rPr>
          <w:rFonts w:ascii="Narkisim" w:hAnsi="Narkisim"/>
        </w:rPr>
      </w:pPr>
      <w:r w:rsidRPr="00440CAB">
        <w:rPr>
          <w:rFonts w:ascii="Narkisim" w:hAnsi="Narkisim"/>
          <w:u w:val="single"/>
          <w:rtl/>
        </w:rPr>
        <w:t>ורשב"י לא נפקד ממנו איש לעבירה</w:t>
      </w:r>
      <w:r w:rsidRPr="00440CAB">
        <w:rPr>
          <w:rFonts w:ascii="Narkisim" w:hAnsi="Narkisim"/>
          <w:rtl/>
        </w:rPr>
        <w:t>. והגמ' (שבת סד.) אי' שמשה שאל אותם א"כ למה הביאו כפרה. אמרו לו אם מידי עבירה יצאנו מידי הרהור לא יצאנו וכו' שזנו עיניהם מן הערוה.</w:t>
      </w:r>
    </w:p>
    <w:p w14:paraId="15456B04" w14:textId="77777777" w:rsidR="006074A5" w:rsidRPr="00440CAB" w:rsidRDefault="006074A5" w:rsidP="006074A5">
      <w:pPr>
        <w:bidi/>
        <w:rPr>
          <w:rFonts w:ascii="Narkisim" w:hAnsi="Narkisim" w:cs="Narkisim"/>
        </w:rPr>
      </w:pPr>
      <w:r w:rsidRPr="00440CAB">
        <w:rPr>
          <w:rFonts w:ascii="Narkisim" w:hAnsi="Narkisim" w:cs="Narkisim"/>
          <w:u w:val="single"/>
          <w:rtl/>
        </w:rPr>
        <w:t>רבינא אמר וכו' ממגע ומשא מי מעטינהו קרא.</w:t>
      </w:r>
      <w:r w:rsidRPr="00440CAB">
        <w:rPr>
          <w:rFonts w:ascii="Narkisim" w:hAnsi="Narkisim" w:cs="Narkisim"/>
          <w:rtl/>
        </w:rPr>
        <w:t xml:space="preserve"> וכ"פ רוב ה</w:t>
      </w:r>
      <w:r w:rsidRPr="00440CAB">
        <w:rPr>
          <w:rFonts w:ascii="Narkisim" w:hAnsi="Narkisim" w:cs="Narkisim"/>
          <w:b/>
          <w:bCs/>
          <w:rtl/>
        </w:rPr>
        <w:t>ראשונים</w:t>
      </w:r>
      <w:r w:rsidRPr="00440CAB">
        <w:rPr>
          <w:rFonts w:ascii="Narkisim" w:hAnsi="Narkisim" w:cs="Narkisim"/>
          <w:rtl/>
        </w:rPr>
        <w:t xml:space="preserve"> דלכו"ע עכו"ם מטמא במגע ומשא. אבל ה</w:t>
      </w:r>
      <w:r w:rsidRPr="00440CAB">
        <w:rPr>
          <w:rFonts w:ascii="Narkisim" w:hAnsi="Narkisim" w:cs="Narkisim"/>
          <w:b/>
          <w:bCs/>
          <w:rtl/>
        </w:rPr>
        <w:t>יראים</w:t>
      </w:r>
      <w:r w:rsidRPr="00440CAB">
        <w:rPr>
          <w:rFonts w:ascii="Narkisim" w:hAnsi="Narkisim" w:cs="Narkisim"/>
          <w:rtl/>
        </w:rPr>
        <w:t xml:space="preserve"> </w:t>
      </w:r>
      <w:r w:rsidRPr="00440CAB">
        <w:rPr>
          <w:rFonts w:ascii="Narkisim" w:hAnsi="Narkisim" w:cs="Narkisim"/>
          <w:sz w:val="20"/>
          <w:szCs w:val="20"/>
          <w:rtl/>
        </w:rPr>
        <w:t>(שכב הו' ב</w:t>
      </w:r>
      <w:r w:rsidRPr="00440CAB">
        <w:rPr>
          <w:rFonts w:ascii="Narkisim" w:hAnsi="Narkisim" w:cs="Narkisim"/>
          <w:b/>
          <w:bCs/>
          <w:sz w:val="20"/>
          <w:szCs w:val="20"/>
          <w:rtl/>
        </w:rPr>
        <w:t>הג"מ</w:t>
      </w:r>
      <w:r w:rsidRPr="00440CAB">
        <w:rPr>
          <w:rFonts w:ascii="Narkisim" w:hAnsi="Narkisim" w:cs="Narkisim"/>
          <w:sz w:val="20"/>
          <w:szCs w:val="20"/>
          <w:rtl/>
        </w:rPr>
        <w:t xml:space="preserve"> אבל ג ב) </w:t>
      </w:r>
      <w:r w:rsidRPr="00440CAB">
        <w:rPr>
          <w:rFonts w:ascii="Narkisim" w:hAnsi="Narkisim" w:cs="Narkisim"/>
          <w:rtl/>
        </w:rPr>
        <w:t>כתב דאינו מטמא אף במגע ומשא. ומשמע דס"ל דלא קי"ל כרבינא דמסקנא דהכא</w:t>
      </w:r>
      <w:r w:rsidRPr="00440CAB">
        <w:rPr>
          <w:rStyle w:val="ac"/>
          <w:rFonts w:ascii="Narkisim" w:hAnsi="Narkisim" w:cs="Narkisim"/>
          <w:rtl/>
        </w:rPr>
        <w:footnoteReference w:id="3674"/>
      </w:r>
      <w:r w:rsidRPr="00440CAB">
        <w:rPr>
          <w:rFonts w:ascii="Narkisim" w:hAnsi="Narkisim" w:cs="Narkisim"/>
          <w:rtl/>
        </w:rPr>
        <w:t>. וה</w:t>
      </w:r>
      <w:r w:rsidRPr="00440CAB">
        <w:rPr>
          <w:rFonts w:ascii="Narkisim" w:hAnsi="Narkisim" w:cs="Narkisim"/>
          <w:b/>
          <w:bCs/>
          <w:rtl/>
        </w:rPr>
        <w:t>משנ"ל</w:t>
      </w:r>
      <w:r w:rsidRPr="00440CAB">
        <w:rPr>
          <w:rFonts w:ascii="Narkisim" w:hAnsi="Narkisim" w:cs="Narkisim"/>
          <w:rtl/>
        </w:rPr>
        <w:t xml:space="preserve"> (אבל ג א) כתב דכוונת היראים דכהן [ונזיר] אינו מוזהר אלא מגע עכו"ם. ואף דמטמא טומאת מת, ונזיר וכהן אינן מצווין אלא על טומאת אדם</w:t>
      </w:r>
      <w:r w:rsidRPr="00440CAB">
        <w:rPr>
          <w:rStyle w:val="ac"/>
          <w:rFonts w:ascii="Narkisim" w:hAnsi="Narkisim" w:cs="Narkisim"/>
          <w:rtl/>
        </w:rPr>
        <w:footnoteReference w:id="3675"/>
      </w:r>
      <w:r w:rsidRPr="00440CAB">
        <w:rPr>
          <w:rFonts w:ascii="Narkisim" w:hAnsi="Narkisim" w:cs="Narkisim"/>
          <w:rtl/>
        </w:rPr>
        <w:t xml:space="preserve"> המת</w:t>
      </w:r>
      <w:r w:rsidRPr="00440CAB">
        <w:rPr>
          <w:rStyle w:val="ac"/>
          <w:rFonts w:ascii="Narkisim" w:hAnsi="Narkisim" w:cs="Narkisim"/>
          <w:rtl/>
        </w:rPr>
        <w:footnoteReference w:id="3676"/>
      </w:r>
      <w:r w:rsidRPr="00440CAB">
        <w:rPr>
          <w:rFonts w:ascii="Narkisim" w:hAnsi="Narkisim" w:cs="Narkisim"/>
          <w:rtl/>
        </w:rPr>
        <w:t>.</w:t>
      </w:r>
    </w:p>
    <w:p w14:paraId="232741FF" w14:textId="77777777" w:rsidR="006074A5" w:rsidRPr="00440CAB" w:rsidRDefault="006074A5" w:rsidP="006074A5">
      <w:pPr>
        <w:bidi/>
        <w:rPr>
          <w:rFonts w:ascii="Narkisim" w:hAnsi="Narkisim" w:cs="Narkisim"/>
        </w:rPr>
      </w:pPr>
      <w:r w:rsidRPr="00440CAB">
        <w:rPr>
          <w:rFonts w:ascii="Narkisim" w:hAnsi="Narkisim" w:cs="Narkisim"/>
          <w:u w:val="single"/>
          <w:rtl/>
        </w:rPr>
        <w:t>תוד"ה קברי.</w:t>
      </w:r>
      <w:r w:rsidRPr="00440CAB">
        <w:rPr>
          <w:rFonts w:ascii="Narkisim" w:hAnsi="Narkisim" w:cs="Narkisim"/>
          <w:rtl/>
        </w:rPr>
        <w:t xml:space="preserve"> מערתא דאברהם אבינו</w:t>
      </w:r>
      <w:r w:rsidRPr="00440CAB">
        <w:rPr>
          <w:rStyle w:val="ac"/>
          <w:rFonts w:ascii="Narkisim" w:hAnsi="Narkisim" w:cs="Narkisim"/>
          <w:rtl/>
        </w:rPr>
        <w:footnoteReference w:id="3677"/>
      </w:r>
      <w:r w:rsidRPr="00440CAB">
        <w:rPr>
          <w:rFonts w:ascii="Narkisim" w:hAnsi="Narkisim" w:cs="Narkisim"/>
          <w:rtl/>
        </w:rPr>
        <w:t xml:space="preserve"> ואדם הראשון אף דאיקרי אדם וכו'. תוס' רמזו למש"כ </w:t>
      </w:r>
      <w:r w:rsidRPr="00440CAB">
        <w:rPr>
          <w:rFonts w:ascii="Narkisim" w:hAnsi="Narkisim" w:cs="Narkisim"/>
          <w:b/>
          <w:bCs/>
          <w:rtl/>
        </w:rPr>
        <w:t>תוס</w:t>
      </w:r>
      <w:r w:rsidRPr="00440CAB">
        <w:rPr>
          <w:rFonts w:ascii="Narkisim" w:hAnsi="Narkisim" w:cs="Narkisim"/>
          <w:rtl/>
        </w:rPr>
        <w:t>' (ב"ב נח.)  דאברהם נקרא 'אדם', ולכן אין למעטם מהכא</w:t>
      </w:r>
      <w:r w:rsidRPr="00440CAB">
        <w:rPr>
          <w:rStyle w:val="ac"/>
          <w:rFonts w:ascii="Narkisim" w:hAnsi="Narkisim" w:cs="Narkisim"/>
          <w:rtl/>
        </w:rPr>
        <w:footnoteReference w:id="3678"/>
      </w:r>
      <w:r w:rsidRPr="00440CAB">
        <w:rPr>
          <w:rFonts w:ascii="Narkisim" w:hAnsi="Narkisim" w:cs="Narkisim"/>
          <w:rtl/>
        </w:rPr>
        <w:t>.</w:t>
      </w:r>
    </w:p>
    <w:p w14:paraId="341B9033"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(נדה ע: ד"ה ואין) כתבו דרק אחרי מתן תורה איקרו ישראל אדם יש חילוק בין עכו"ם לישראל, אבל קודם מתן תורה אין חילוק. ואפי' לר' שמעון מטמאין באוהל</w:t>
      </w:r>
      <w:r w:rsidRPr="00440CAB">
        <w:rPr>
          <w:rStyle w:val="ac"/>
          <w:rFonts w:ascii="Narkisim" w:hAnsi="Narkisim"/>
          <w:rtl/>
        </w:rPr>
        <w:footnoteReference w:id="3679"/>
      </w:r>
      <w:r w:rsidRPr="00440CAB">
        <w:rPr>
          <w:rFonts w:ascii="Narkisim" w:hAnsi="Narkisim"/>
          <w:rtl/>
        </w:rPr>
        <w:t>.</w:t>
      </w:r>
    </w:p>
    <w:p w14:paraId="2077BD82" w14:textId="77777777" w:rsidR="006074A5" w:rsidRPr="00440CAB" w:rsidRDefault="006074A5" w:rsidP="006074A5">
      <w:pPr>
        <w:pStyle w:val="aa"/>
        <w:bidi/>
        <w:rPr>
          <w:rFonts w:ascii="Narkisim" w:hAnsi="Narkisim"/>
        </w:rPr>
      </w:pPr>
      <w:r w:rsidRPr="00440CAB">
        <w:rPr>
          <w:rFonts w:ascii="Narkisim" w:hAnsi="Narkisim"/>
          <w:u w:val="single"/>
          <w:rtl/>
        </w:rPr>
        <w:t>בא"ד או אפי' לרבנן וכו' אלא אותם שמתו משעה שנאמרה אותה פרשה וכו'</w:t>
      </w:r>
      <w:r w:rsidRPr="00440CAB">
        <w:rPr>
          <w:rFonts w:ascii="Narkisim" w:hAnsi="Narkisim"/>
          <w:rtl/>
        </w:rPr>
        <w:t>. תוס' הק' קו' נוספת אמאי איצטריך לציין קברי האבות, הא קבר שלפני הדיבור אינו מטמא. וה</w:t>
      </w:r>
      <w:r w:rsidRPr="00440CAB">
        <w:rPr>
          <w:rFonts w:ascii="Narkisim" w:hAnsi="Narkisim"/>
          <w:b/>
          <w:bCs/>
          <w:rtl/>
        </w:rPr>
        <w:t>גר"ח</w:t>
      </w:r>
      <w:r w:rsidRPr="00440CAB">
        <w:rPr>
          <w:rFonts w:ascii="Narkisim" w:hAnsi="Narkisim"/>
          <w:rtl/>
        </w:rPr>
        <w:t xml:space="preserve"> (סטנסל נזיר שם) תי' דהמיעוט קבר לפני הדיבור הוה רק מדיני קבר, באופן שהמת כבר אינו מטמא. אבל המת עצמו מטמא אף שמת לפני הדיבור. והיו צריכים לציין משום טומאת אהל המת</w:t>
      </w:r>
      <w:r w:rsidRPr="00440CAB">
        <w:rPr>
          <w:rStyle w:val="ac"/>
          <w:rFonts w:ascii="Narkisim" w:hAnsi="Narkisim"/>
          <w:rtl/>
        </w:rPr>
        <w:footnoteReference w:id="3680"/>
      </w:r>
      <w:r w:rsidRPr="00440CAB">
        <w:rPr>
          <w:rFonts w:ascii="Narkisim" w:hAnsi="Narkisim"/>
          <w:rtl/>
        </w:rPr>
        <w:t>.</w:t>
      </w:r>
    </w:p>
    <w:p w14:paraId="2CADFAEC" w14:textId="77777777" w:rsidR="006074A5" w:rsidRPr="00440CAB" w:rsidRDefault="006074A5" w:rsidP="006074A5">
      <w:pPr>
        <w:pStyle w:val="aa"/>
        <w:bidi/>
        <w:rPr>
          <w:rFonts w:ascii="Narkisim" w:hAnsi="Narkisim"/>
        </w:rPr>
      </w:pPr>
      <w:r w:rsidRPr="00440CAB">
        <w:rPr>
          <w:rFonts w:ascii="Narkisim" w:hAnsi="Narkisim"/>
          <w:u w:val="single"/>
          <w:rtl/>
        </w:rPr>
        <w:t>תוד"ה ואין העכו"ם קרויין אדם</w:t>
      </w:r>
      <w:r w:rsidRPr="00440CAB">
        <w:rPr>
          <w:rStyle w:val="ac"/>
          <w:rFonts w:ascii="Narkisim" w:hAnsi="Narkisim"/>
          <w:rtl/>
        </w:rPr>
        <w:footnoteReference w:id="3681"/>
      </w:r>
      <w:r w:rsidRPr="00440CAB">
        <w:rPr>
          <w:rFonts w:ascii="Narkisim" w:hAnsi="Narkisim"/>
          <w:rtl/>
        </w:rPr>
        <w:t>. דעכו"ם העוסק בתורה וכו' האדם וכו'. ו</w:t>
      </w:r>
      <w:r w:rsidRPr="00440CAB">
        <w:rPr>
          <w:rFonts w:ascii="Narkisim" w:hAnsi="Narkisim"/>
          <w:b/>
          <w:bCs/>
          <w:rtl/>
        </w:rPr>
        <w:t>ראב"ן</w:t>
      </w:r>
      <w:r w:rsidRPr="00440CAB">
        <w:rPr>
          <w:rFonts w:ascii="Narkisim" w:hAnsi="Narkisim"/>
          <w:rtl/>
        </w:rPr>
        <w:t xml:space="preserve"> (ע"ז שיז) תי' דהתם מענינו דקרא, דקרא לישראל קאמר ושמרתם את חקותי וכו'. והוסיף אשר יעשה אותם 'האדם' מיותר, ומדכתב אדם לרבות הגוים. וכן נמי והארץ נתן לבני אדם בישראל מיירי לעיל מיניה, יברך את בית ישראל וכו' עד ברוכים אתם לה' וגו'. והיה לו לומר והארץ נתן לישראל [שהרי ארץ ישראל ניתנה לישראל ולא לגוים], ומדכתב 'אדם' מרבה גוי. אבל הכא 'אדם כי ימות באהל' לאו לריבויא נכתב. וכיון דאיצטריך לכתב אדם לא מרבי מיניה גוי, אלא ישראל דוקא הקרואים אדם קאמר. ותו דהו"ל לכתוב וכי ימות מת באוהל דהוה משמע כל מת וכתב אדם, ש"מ דלא מטמאה אלא הקרויין אדם במקום אחר דהיינו ישראל.</w:t>
      </w:r>
    </w:p>
    <w:p w14:paraId="297FE948" w14:textId="77777777" w:rsidR="006074A5" w:rsidRPr="00440CAB" w:rsidRDefault="006074A5" w:rsidP="006074A5">
      <w:pPr>
        <w:bidi/>
        <w:rPr>
          <w:rFonts w:ascii="Narkisim" w:hAnsi="Narkisim" w:cs="Narkisim"/>
        </w:rPr>
      </w:pPr>
      <w:r w:rsidRPr="00440CAB">
        <w:rPr>
          <w:rFonts w:ascii="Narkisim" w:hAnsi="Narkisim" w:cs="Narkisim"/>
          <w:u w:val="single"/>
          <w:rtl/>
        </w:rPr>
        <w:t>תוד"ה ממגע.</w:t>
      </w:r>
      <w:r w:rsidRPr="00440CAB">
        <w:rPr>
          <w:rFonts w:ascii="Narkisim" w:hAnsi="Narkisim" w:cs="Narkisim"/>
          <w:rtl/>
        </w:rPr>
        <w:t xml:space="preserve"> ואר"י דאין הלכה כר"ש. אבל ה</w:t>
      </w:r>
      <w:r w:rsidRPr="00440CAB">
        <w:rPr>
          <w:rFonts w:ascii="Narkisim" w:hAnsi="Narkisim" w:cs="Narkisim"/>
          <w:b/>
          <w:bCs/>
          <w:rtl/>
        </w:rPr>
        <w:t>רמב"ם</w:t>
      </w:r>
      <w:r w:rsidRPr="00440CAB">
        <w:rPr>
          <w:rFonts w:ascii="Narkisim" w:hAnsi="Narkisim" w:cs="Narkisim"/>
          <w:rtl/>
        </w:rPr>
        <w:t xml:space="preserve"> (</w:t>
      </w:r>
      <w:r w:rsidRPr="00440CAB">
        <w:rPr>
          <w:rFonts w:ascii="Narkisim" w:hAnsi="Narkisim" w:cs="Narkisim"/>
          <w:sz w:val="20"/>
          <w:szCs w:val="20"/>
          <w:rtl/>
        </w:rPr>
        <w:t xml:space="preserve">טומאת מת א יג, ואבל ג ג) </w:t>
      </w:r>
      <w:r w:rsidRPr="00440CAB">
        <w:rPr>
          <w:rFonts w:ascii="Narkisim" w:hAnsi="Narkisim" w:cs="Narkisim"/>
          <w:rtl/>
        </w:rPr>
        <w:t xml:space="preserve">פסק דאינו </w:t>
      </w:r>
      <w:r w:rsidRPr="00440CAB">
        <w:rPr>
          <w:rFonts w:ascii="Narkisim" w:hAnsi="Narkisim" w:cs="Narkisim"/>
          <w:rtl/>
        </w:rPr>
        <w:lastRenderedPageBreak/>
        <w:t>מטמא באהל, לפיכך קברותיהם טהורים</w:t>
      </w:r>
      <w:r w:rsidRPr="00440CAB">
        <w:rPr>
          <w:rStyle w:val="ac"/>
          <w:rFonts w:ascii="Narkisim" w:hAnsi="Narkisim" w:cs="Narkisim"/>
          <w:rtl/>
        </w:rPr>
        <w:footnoteReference w:id="3682"/>
      </w:r>
      <w:r w:rsidRPr="00440CAB">
        <w:rPr>
          <w:rFonts w:ascii="Narkisim" w:hAnsi="Narkisim" w:cs="Narkisim"/>
          <w:rtl/>
        </w:rPr>
        <w:t xml:space="preserve">. </w:t>
      </w:r>
      <w:r w:rsidRPr="00440CAB">
        <w:rPr>
          <w:rFonts w:ascii="Narkisim" w:hAnsi="Narkisim" w:cs="Narkisim"/>
          <w:sz w:val="20"/>
          <w:szCs w:val="20"/>
          <w:rtl/>
        </w:rPr>
        <w:t>וכ"ד ה</w:t>
      </w:r>
      <w:r w:rsidRPr="00440CAB">
        <w:rPr>
          <w:rFonts w:ascii="Narkisim" w:hAnsi="Narkisim" w:cs="Narkisim"/>
          <w:b/>
          <w:bCs/>
          <w:sz w:val="20"/>
          <w:szCs w:val="20"/>
          <w:rtl/>
        </w:rPr>
        <w:t>רמב"ן</w:t>
      </w:r>
      <w:r w:rsidRPr="00440CAB">
        <w:rPr>
          <w:rFonts w:ascii="Narkisim" w:hAnsi="Narkisim" w:cs="Narkisim"/>
          <w:sz w:val="20"/>
          <w:szCs w:val="20"/>
          <w:rtl/>
        </w:rPr>
        <w:t xml:space="preserve"> (ושא"ר) בסוגיין.</w:t>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שו"ע</w:t>
      </w:r>
      <w:r w:rsidRPr="00440CAB">
        <w:rPr>
          <w:rFonts w:ascii="Narkisim" w:hAnsi="Narkisim" w:cs="Narkisim"/>
          <w:sz w:val="20"/>
          <w:szCs w:val="20"/>
          <w:rtl/>
        </w:rPr>
        <w:t xml:space="preserve"> (יו"ד שעב ב) פסק דנכון ליזהר שלא ללכת עליהם. והרמ"א הוסיף ונכון להחמיר</w:t>
      </w:r>
      <w:r w:rsidRPr="00440CAB">
        <w:rPr>
          <w:rStyle w:val="ac"/>
          <w:rFonts w:ascii="Narkisim" w:hAnsi="Narkisim" w:cs="Narkisim"/>
          <w:sz w:val="20"/>
          <w:szCs w:val="20"/>
          <w:rtl/>
        </w:rPr>
        <w:footnoteReference w:id="3683"/>
      </w:r>
      <w:r w:rsidRPr="00440CAB">
        <w:rPr>
          <w:rFonts w:ascii="Narkisim" w:hAnsi="Narkisim" w:cs="Narkisim"/>
          <w:sz w:val="20"/>
          <w:szCs w:val="20"/>
          <w:rtl/>
        </w:rPr>
        <w:t>.</w:t>
      </w:r>
    </w:p>
    <w:p w14:paraId="2B2535D1" w14:textId="77777777" w:rsidR="006074A5" w:rsidRPr="00440CAB" w:rsidRDefault="006074A5" w:rsidP="006074A5">
      <w:pPr>
        <w:bidi/>
        <w:rPr>
          <w:rFonts w:ascii="Narkisim" w:hAnsi="Narkisim" w:cs="Narkisim"/>
        </w:rPr>
      </w:pPr>
      <w:r w:rsidRPr="00440CAB">
        <w:rPr>
          <w:rFonts w:ascii="Narkisim" w:hAnsi="Narkisim" w:cs="Narkisim"/>
          <w:u w:val="single"/>
          <w:rtl/>
        </w:rPr>
        <w:t>בא"ד דרשב"ג פליג וכו'.</w:t>
      </w:r>
      <w:r w:rsidRPr="00440CAB">
        <w:rPr>
          <w:rFonts w:ascii="Narkisim" w:hAnsi="Narkisim" w:cs="Narkisim"/>
          <w:rtl/>
        </w:rPr>
        <w:t xml:space="preserve"> </w:t>
      </w:r>
      <w:r w:rsidRPr="00440CAB">
        <w:rPr>
          <w:rFonts w:ascii="Narkisim" w:hAnsi="Narkisim" w:cs="Narkisim"/>
          <w:sz w:val="20"/>
          <w:szCs w:val="20"/>
          <w:rtl/>
        </w:rPr>
        <w:t>[במשנה דמדורות עכו"ם'</w:t>
      </w:r>
      <w:r w:rsidRPr="00440CAB">
        <w:rPr>
          <w:rStyle w:val="ac"/>
          <w:rFonts w:ascii="Narkisim" w:hAnsi="Narkisim" w:cs="Narkisim"/>
          <w:sz w:val="20"/>
          <w:szCs w:val="20"/>
          <w:rtl/>
        </w:rPr>
        <w:footnoteReference w:id="3684"/>
      </w:r>
      <w:r w:rsidRPr="00440CAB">
        <w:rPr>
          <w:rFonts w:ascii="Narkisim" w:hAnsi="Narkisim" w:cs="Narkisim"/>
          <w:sz w:val="20"/>
          <w:szCs w:val="20"/>
          <w:rtl/>
        </w:rPr>
        <w:t>, ולר"ש לא יתכן לטמאות מדורות באהל], והלכה כמותו במשנתינו. וה</w:t>
      </w:r>
      <w:r w:rsidRPr="00440CAB">
        <w:rPr>
          <w:rFonts w:ascii="Narkisim" w:hAnsi="Narkisim" w:cs="Narkisim"/>
          <w:b/>
          <w:bCs/>
          <w:sz w:val="20"/>
          <w:szCs w:val="20"/>
          <w:rtl/>
        </w:rPr>
        <w:t>רמב"ן</w:t>
      </w:r>
      <w:r w:rsidRPr="00440CAB">
        <w:rPr>
          <w:rFonts w:ascii="Narkisim" w:hAnsi="Narkisim" w:cs="Narkisim"/>
          <w:sz w:val="20"/>
          <w:szCs w:val="20"/>
          <w:rtl/>
        </w:rPr>
        <w:t xml:space="preserve"> ו</w:t>
      </w:r>
      <w:r w:rsidRPr="00440CAB">
        <w:rPr>
          <w:rFonts w:ascii="Narkisim" w:hAnsi="Narkisim" w:cs="Narkisim"/>
          <w:b/>
          <w:bCs/>
          <w:sz w:val="20"/>
          <w:szCs w:val="20"/>
          <w:rtl/>
        </w:rPr>
        <w:t>רשב"א</w:t>
      </w:r>
      <w:r w:rsidRPr="00440CAB">
        <w:rPr>
          <w:rFonts w:ascii="Narkisim" w:hAnsi="Narkisim" w:cs="Narkisim"/>
          <w:sz w:val="20"/>
          <w:szCs w:val="20"/>
          <w:rtl/>
        </w:rPr>
        <w:t xml:space="preserve"> כתבו דאין הלכה כהך כלל דהלכה כרשב"ג במשנתינו</w:t>
      </w:r>
      <w:r w:rsidRPr="00440CAB">
        <w:rPr>
          <w:rStyle w:val="ac"/>
          <w:rFonts w:ascii="Narkisim" w:hAnsi="Narkisim" w:cs="Narkisim"/>
          <w:sz w:val="20"/>
          <w:szCs w:val="20"/>
          <w:rtl/>
        </w:rPr>
        <w:footnoteReference w:id="3685"/>
      </w:r>
      <w:r w:rsidRPr="00440CAB">
        <w:rPr>
          <w:rFonts w:ascii="Narkisim" w:hAnsi="Narkisim" w:cs="Narkisim"/>
          <w:sz w:val="20"/>
          <w:szCs w:val="20"/>
          <w:rtl/>
        </w:rPr>
        <w:t>, ואף אי רשב"ג פליג על ר' שמעון הלכה כר' שמעון.</w:t>
      </w:r>
      <w:r w:rsidRPr="00440CAB">
        <w:rPr>
          <w:rFonts w:ascii="Narkisim" w:hAnsi="Narkisim" w:cs="Narkisim"/>
          <w:rtl/>
        </w:rPr>
        <w:t xml:space="preserve"> אבל </w:t>
      </w:r>
      <w:r w:rsidRPr="00440CAB">
        <w:rPr>
          <w:rFonts w:ascii="Narkisim" w:hAnsi="Narkisim" w:cs="Narkisim"/>
          <w:b/>
          <w:bCs/>
          <w:rtl/>
        </w:rPr>
        <w:t>רש"י</w:t>
      </w:r>
      <w:r w:rsidRPr="00440CAB">
        <w:rPr>
          <w:rFonts w:ascii="Narkisim" w:hAnsi="Narkisim" w:cs="Narkisim"/>
          <w:rtl/>
        </w:rPr>
        <w:t xml:space="preserve"> (פסחים ט. ד"ה מי) כתב דהמשנה אתיא אף לרשב"י, דבמגע מודה. וה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הוסיפו דשמא רשב"ג משום מגע, דחיישינן שיתגלה הנפל, שאין חופרין לנפלים אלא קל.</w:t>
      </w:r>
    </w:p>
    <w:p w14:paraId="4D8E516A"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(טומ"מ יא ז) פסק דמדורות עכו"ם מטמאין, אף דס"ל דעכו"ם אינו מטמא באהל. וה</w:t>
      </w:r>
      <w:r w:rsidRPr="00440CAB">
        <w:rPr>
          <w:rFonts w:ascii="Narkisim" w:hAnsi="Narkisim"/>
          <w:b/>
          <w:bCs/>
          <w:rtl/>
        </w:rPr>
        <w:t>תוי"ט</w:t>
      </w:r>
      <w:r w:rsidRPr="00440CAB">
        <w:rPr>
          <w:rFonts w:ascii="Narkisim" w:hAnsi="Narkisim"/>
          <w:rtl/>
        </w:rPr>
        <w:t xml:space="preserve"> (אהלות יח ז) דייק מדברי הרמב"ם דהוה בכלל טומאת ארץ העמים</w:t>
      </w:r>
      <w:r w:rsidRPr="00440CAB">
        <w:rPr>
          <w:rStyle w:val="ac"/>
          <w:rFonts w:ascii="Narkisim" w:hAnsi="Narkisim"/>
          <w:rtl/>
        </w:rPr>
        <w:footnoteReference w:id="3686"/>
      </w:r>
      <w:r w:rsidRPr="00440CAB">
        <w:rPr>
          <w:rFonts w:ascii="Narkisim" w:hAnsi="Narkisim"/>
          <w:rtl/>
        </w:rPr>
        <w:t xml:space="preserve">. </w:t>
      </w:r>
      <w:r w:rsidRPr="00440CAB">
        <w:rPr>
          <w:rFonts w:ascii="Narkisim" w:hAnsi="Narkisim"/>
          <w:sz w:val="20"/>
          <w:szCs w:val="20"/>
          <w:rtl/>
        </w:rPr>
        <w:t>וה</w:t>
      </w:r>
      <w:r w:rsidRPr="00440CAB">
        <w:rPr>
          <w:rFonts w:ascii="Narkisim" w:hAnsi="Narkisim"/>
          <w:b/>
          <w:bCs/>
          <w:sz w:val="20"/>
          <w:szCs w:val="20"/>
          <w:rtl/>
        </w:rPr>
        <w:t>משנ"ל</w:t>
      </w:r>
      <w:r w:rsidRPr="00440CAB">
        <w:rPr>
          <w:rFonts w:ascii="Narkisim" w:hAnsi="Narkisim"/>
          <w:sz w:val="20"/>
          <w:szCs w:val="20"/>
          <w:rtl/>
        </w:rPr>
        <w:t xml:space="preserve"> (טומ"מ יא ז) דייק מהרמב"ם דאף אויר מדורות עכו"ם מטמא, וכדין ארץ העמים. אבל הביא דברש"י פסחים מבואר דרק במגע. וכתב דכ"מ בתוס' דידן.</w:t>
      </w:r>
    </w:p>
    <w:p w14:paraId="67D63C14" w14:textId="77777777" w:rsidR="006074A5" w:rsidRPr="00440CAB" w:rsidRDefault="006074A5" w:rsidP="006074A5">
      <w:pPr>
        <w:bidi/>
        <w:rPr>
          <w:rFonts w:ascii="Narkisim" w:hAnsi="Narkisim" w:cs="Narkisim"/>
        </w:rPr>
      </w:pPr>
      <w:r w:rsidRPr="00440CAB">
        <w:rPr>
          <w:rFonts w:ascii="Narkisim" w:hAnsi="Narkisim" w:cs="Narkisim"/>
          <w:u w:val="single"/>
          <w:rtl/>
        </w:rPr>
        <w:t>בא"ד ועיקר טעמא שהיה סומך על רוב ארונות וכו'.</w:t>
      </w:r>
      <w:r w:rsidRPr="00440CAB">
        <w:rPr>
          <w:rFonts w:ascii="Narkisim" w:hAnsi="Narkisim" w:cs="Narkisim"/>
          <w:sz w:val="20"/>
          <w:szCs w:val="20"/>
          <w:rtl/>
        </w:rPr>
        <w:t xml:space="preserve"> [דהוה טומאה דרבנן כדאמרי' בברכות יט:]. ו</w:t>
      </w:r>
      <w:r w:rsidRPr="00440CAB">
        <w:rPr>
          <w:rFonts w:ascii="Narkisim" w:hAnsi="Narkisim" w:cs="Narkisim"/>
          <w:b/>
          <w:bCs/>
          <w:sz w:val="20"/>
          <w:szCs w:val="20"/>
          <w:rtl/>
        </w:rPr>
        <w:t>תוס</w:t>
      </w:r>
      <w:r w:rsidRPr="00440CAB">
        <w:rPr>
          <w:rFonts w:ascii="Narkisim" w:hAnsi="Narkisim" w:cs="Narkisim"/>
          <w:sz w:val="20"/>
          <w:szCs w:val="20"/>
          <w:rtl/>
        </w:rPr>
        <w:t>' (ב"מ קיד:) הוסיפו דיש מקום דלא גזרו כגון לצאת לקראת מלכים</w:t>
      </w:r>
      <w:r w:rsidRPr="00440CAB">
        <w:rPr>
          <w:rFonts w:ascii="Narkisim" w:hAnsi="Narkisim" w:cs="Narkisim"/>
          <w:rtl/>
        </w:rPr>
        <w:t>. אבל 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הקשו דא"א שיהא אליהו זכור לטוב פורץ גדרן של חכמים, שגזרו על כל הארונות, ועוד שלא היה נותן מכשול לפני ר' אבהו לומר שאין מטמאין, ומטמאין</w:t>
      </w:r>
      <w:r w:rsidRPr="00440CAB">
        <w:rPr>
          <w:rStyle w:val="ac"/>
          <w:rFonts w:ascii="Narkisim" w:hAnsi="Narkisim" w:cs="Narkisim"/>
          <w:rtl/>
        </w:rPr>
        <w:footnoteReference w:id="3687"/>
      </w:r>
      <w:r w:rsidRPr="00440CAB">
        <w:rPr>
          <w:rFonts w:ascii="Narkisim" w:hAnsi="Narkisim" w:cs="Narkisim"/>
          <w:rtl/>
        </w:rPr>
        <w:t>.</w:t>
      </w:r>
    </w:p>
    <w:p w14:paraId="20CBACAD" w14:textId="77777777" w:rsidR="006074A5" w:rsidRPr="00440CAB" w:rsidRDefault="006074A5" w:rsidP="006074A5">
      <w:pPr>
        <w:bidi/>
        <w:rPr>
          <w:rFonts w:ascii="Narkisim" w:hAnsi="Narkisim" w:cs="Narkisim"/>
        </w:rPr>
      </w:pPr>
      <w:r w:rsidRPr="00440CAB">
        <w:rPr>
          <w:rFonts w:ascii="Narkisim" w:hAnsi="Narkisim" w:cs="Narkisim"/>
          <w:u w:val="single"/>
          <w:rtl/>
        </w:rPr>
        <w:t>שומרת יבם שנפלה לפני כהן הדיוט, ונתמנה להיות כה"ג</w:t>
      </w:r>
      <w:r w:rsidRPr="00440CAB">
        <w:rPr>
          <w:rStyle w:val="ac"/>
          <w:rFonts w:ascii="Narkisim" w:hAnsi="Narkisim" w:cs="Narkisim"/>
          <w:u w:val="single"/>
          <w:rtl/>
        </w:rPr>
        <w:footnoteReference w:id="3688"/>
      </w:r>
      <w:r w:rsidRPr="00440CAB">
        <w:rPr>
          <w:rFonts w:ascii="Narkisim" w:hAnsi="Narkisim" w:cs="Narkisim"/>
          <w:u w:val="single"/>
          <w:rtl/>
        </w:rPr>
        <w:t>.</w:t>
      </w:r>
      <w:r w:rsidRPr="00440CAB">
        <w:rPr>
          <w:rFonts w:ascii="Narkisim" w:hAnsi="Narkisim" w:cs="Narkisim"/>
          <w:rtl/>
        </w:rPr>
        <w:t xml:space="preserve"> ה</w:t>
      </w:r>
      <w:r w:rsidRPr="00440CAB">
        <w:rPr>
          <w:rFonts w:ascii="Narkisim" w:hAnsi="Narkisim" w:cs="Narkisim"/>
          <w:b/>
          <w:bCs/>
          <w:rtl/>
        </w:rPr>
        <w:t>בית מאיר</w:t>
      </w:r>
      <w:r w:rsidRPr="00440CAB">
        <w:rPr>
          <w:rFonts w:ascii="Narkisim" w:hAnsi="Narkisim" w:cs="Narkisim"/>
          <w:sz w:val="20"/>
          <w:szCs w:val="20"/>
          <w:rtl/>
        </w:rPr>
        <w:t xml:space="preserve"> (קעד א)</w:t>
      </w:r>
      <w:r w:rsidRPr="00440CAB">
        <w:rPr>
          <w:rFonts w:ascii="Narkisim" w:hAnsi="Narkisim" w:cs="Narkisim"/>
          <w:rtl/>
        </w:rPr>
        <w:t xml:space="preserve"> הק' דנימא הואיל ואישתרי איסור אשת אח, הותר אף איסור אלמנה לכה"ג [כדאמרי' לעיל ז:, עי"ש</w:t>
      </w:r>
      <w:r w:rsidRPr="00440CAB">
        <w:rPr>
          <w:rStyle w:val="ac"/>
          <w:rFonts w:ascii="Narkisim" w:hAnsi="Narkisim" w:cs="Narkisim"/>
          <w:rtl/>
        </w:rPr>
        <w:footnoteReference w:id="3689"/>
      </w:r>
      <w:r w:rsidRPr="00440CAB">
        <w:rPr>
          <w:rFonts w:ascii="Narkisim" w:hAnsi="Narkisim" w:cs="Narkisim"/>
          <w:rtl/>
        </w:rPr>
        <w:t>]. ותי' דמ"מ גזרינן ביאה ראשונה אטו ביאה שניה.</w:t>
      </w:r>
      <w:r w:rsidRPr="00440CAB">
        <w:rPr>
          <w:rFonts w:ascii="Narkisim" w:hAnsi="Narkisim" w:cs="Narkisim"/>
          <w:sz w:val="20"/>
          <w:szCs w:val="20"/>
          <w:rtl/>
        </w:rPr>
        <w:t xml:space="preserve"> [וה</w:t>
      </w:r>
      <w:r w:rsidRPr="00440CAB">
        <w:rPr>
          <w:rFonts w:ascii="Narkisim" w:hAnsi="Narkisim" w:cs="Narkisim"/>
          <w:b/>
          <w:bCs/>
          <w:sz w:val="20"/>
          <w:szCs w:val="20"/>
          <w:rtl/>
        </w:rPr>
        <w:t>אחיעזר</w:t>
      </w:r>
      <w:r w:rsidRPr="00440CAB">
        <w:rPr>
          <w:rFonts w:ascii="Narkisim" w:hAnsi="Narkisim" w:cs="Narkisim"/>
          <w:sz w:val="20"/>
          <w:szCs w:val="20"/>
          <w:rtl/>
        </w:rPr>
        <w:t xml:space="preserve"> (ד) דן די"ל דהואיל ואישתרי הוה הותרה, ולא דחויה, וא"כ אף ביאה שניה תהא מותרת].</w:t>
      </w:r>
      <w:r w:rsidRPr="00440CAB">
        <w:rPr>
          <w:rFonts w:ascii="Narkisim" w:hAnsi="Narkisim" w:cs="Narkisim"/>
          <w:rtl/>
        </w:rPr>
        <w:t xml:space="preserve"> וה</w:t>
      </w:r>
      <w:r w:rsidRPr="00440CAB">
        <w:rPr>
          <w:rFonts w:ascii="Narkisim" w:hAnsi="Narkisim" w:cs="Narkisim"/>
          <w:b/>
          <w:bCs/>
          <w:rtl/>
        </w:rPr>
        <w:t>אחיעזר</w:t>
      </w:r>
      <w:r w:rsidRPr="00440CAB">
        <w:rPr>
          <w:rFonts w:ascii="Narkisim" w:hAnsi="Narkisim" w:cs="Narkisim"/>
          <w:rtl/>
        </w:rPr>
        <w:t xml:space="preserve"> תי' דלא שייך הואיל ואישתרי אלא באותו שם איסור, וכמ"ש </w:t>
      </w:r>
      <w:r w:rsidRPr="00440CAB">
        <w:rPr>
          <w:rFonts w:ascii="Narkisim" w:hAnsi="Narkisim" w:cs="Narkisim"/>
          <w:b/>
          <w:bCs/>
          <w:rtl/>
        </w:rPr>
        <w:t>רע"א</w:t>
      </w:r>
      <w:r w:rsidRPr="00440CAB">
        <w:rPr>
          <w:rFonts w:ascii="Narkisim" w:hAnsi="Narkisim" w:cs="Narkisim"/>
          <w:rtl/>
        </w:rPr>
        <w:t xml:space="preserve"> דדוקא בעריות דשם עריות א'</w:t>
      </w:r>
      <w:r w:rsidRPr="00440CAB">
        <w:rPr>
          <w:rStyle w:val="ac"/>
          <w:rFonts w:ascii="Narkisim" w:hAnsi="Narkisim" w:cs="Narkisim"/>
          <w:rtl/>
        </w:rPr>
        <w:footnoteReference w:id="3690"/>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תי' בכמה אופנים</w:t>
      </w:r>
      <w:r w:rsidRPr="00440CAB">
        <w:rPr>
          <w:rStyle w:val="ac"/>
          <w:rFonts w:ascii="Narkisim" w:hAnsi="Narkisim" w:cs="Narkisim"/>
          <w:sz w:val="20"/>
          <w:szCs w:val="20"/>
          <w:rtl/>
        </w:rPr>
        <w:footnoteReference w:id="3691"/>
      </w:r>
      <w:r w:rsidRPr="00440CAB">
        <w:rPr>
          <w:rFonts w:ascii="Narkisim" w:hAnsi="Narkisim" w:cs="Narkisim"/>
          <w:sz w:val="20"/>
          <w:szCs w:val="20"/>
          <w:rtl/>
        </w:rPr>
        <w:t>].</w:t>
      </w:r>
    </w:p>
    <w:p w14:paraId="40AC216B" w14:textId="77777777" w:rsidR="006074A5" w:rsidRPr="00440CAB" w:rsidRDefault="006074A5" w:rsidP="006074A5">
      <w:pPr>
        <w:bidi/>
        <w:rPr>
          <w:rFonts w:ascii="Narkisim" w:hAnsi="Narkisim" w:cs="Narkisim"/>
        </w:rPr>
      </w:pPr>
      <w:r w:rsidRPr="00440CAB">
        <w:rPr>
          <w:rFonts w:ascii="Narkisim" w:hAnsi="Narkisim" w:cs="Narkisim"/>
          <w:u w:val="single"/>
          <w:rtl/>
        </w:rPr>
        <w:t>א"ה שומרת יבם נמי.</w:t>
      </w:r>
      <w:r w:rsidRPr="00440CAB">
        <w:rPr>
          <w:rFonts w:ascii="Narkisim" w:hAnsi="Narkisim" w:cs="Narkisim"/>
          <w:rtl/>
        </w:rPr>
        <w:t xml:space="preserve"> ה</w:t>
      </w:r>
      <w:r w:rsidRPr="00440CAB">
        <w:rPr>
          <w:rFonts w:ascii="Narkisim" w:hAnsi="Narkisim" w:cs="Narkisim"/>
          <w:b/>
          <w:bCs/>
          <w:rtl/>
        </w:rPr>
        <w:t>ריטב"א</w:t>
      </w:r>
      <w:r w:rsidRPr="00440CAB">
        <w:rPr>
          <w:rFonts w:ascii="Narkisim" w:hAnsi="Narkisim" w:cs="Narkisim"/>
          <w:rtl/>
        </w:rPr>
        <w:t xml:space="preserve"> הקשה דממעטינן (לעיל נט.) א' ולא ב'. ותי' דשם אלמנה חד הוא.</w:t>
      </w:r>
    </w:p>
    <w:p w14:paraId="268AE508" w14:textId="77777777" w:rsidR="006074A5" w:rsidRPr="00440CAB" w:rsidRDefault="006074A5" w:rsidP="006074A5">
      <w:pPr>
        <w:pStyle w:val="aa"/>
        <w:bidi/>
        <w:rPr>
          <w:rFonts w:ascii="Narkisim" w:hAnsi="Narkisim"/>
        </w:rPr>
      </w:pPr>
      <w:r w:rsidRPr="00440CAB">
        <w:rPr>
          <w:rFonts w:ascii="Narkisim" w:hAnsi="Narkisim"/>
          <w:u w:val="single"/>
          <w:rtl/>
        </w:rPr>
        <w:t>אמר רב יוסף קטיר דחזינא הכא וכו' תרקבא דדינרי וכו' עד דמוקי להושע ב"ג בכה"ג</w:t>
      </w:r>
      <w:r w:rsidRPr="00440CAB">
        <w:rPr>
          <w:rFonts w:ascii="Narkisim" w:hAnsi="Narkisim"/>
          <w:rtl/>
        </w:rPr>
        <w:t>. ה</w:t>
      </w:r>
      <w:r w:rsidRPr="00440CAB">
        <w:rPr>
          <w:rFonts w:ascii="Narkisim" w:hAnsi="Narkisim"/>
          <w:b/>
          <w:bCs/>
          <w:rtl/>
        </w:rPr>
        <w:t xml:space="preserve">תו"י </w:t>
      </w:r>
      <w:r w:rsidRPr="00440CAB">
        <w:rPr>
          <w:rFonts w:ascii="Narkisim" w:hAnsi="Narkisim"/>
          <w:rtl/>
        </w:rPr>
        <w:t>כת' דאין זה יהושע בן גמלא שתיקן תקנות (להושיב מלמדי תינוקות, ב"ב כא.), דאותו היה צדיק. ו</w:t>
      </w:r>
      <w:r w:rsidRPr="00440CAB">
        <w:rPr>
          <w:rFonts w:ascii="Narkisim" w:hAnsi="Narkisim"/>
          <w:b/>
          <w:bCs/>
          <w:rtl/>
        </w:rPr>
        <w:t>תוס</w:t>
      </w:r>
      <w:r w:rsidRPr="00440CAB">
        <w:rPr>
          <w:rFonts w:ascii="Narkisim" w:hAnsi="Narkisim"/>
          <w:rtl/>
        </w:rPr>
        <w:t>' (ב"ב כא. ד"ה זכור ותוס' הרא"ש כאן, והתו"י יומא יח.) תי' דהיה צדיק גמור, אלא שהיו אחרים חשובים ממנו</w:t>
      </w:r>
      <w:r w:rsidRPr="00440CAB">
        <w:rPr>
          <w:rStyle w:val="ac"/>
          <w:rFonts w:ascii="Narkisim" w:hAnsi="Narkisim"/>
          <w:rtl/>
        </w:rPr>
        <w:footnoteReference w:id="3692"/>
      </w:r>
      <w:r w:rsidRPr="00440CAB">
        <w:rPr>
          <w:rFonts w:ascii="Narkisim" w:hAnsi="Narkisim"/>
          <w:rtl/>
        </w:rPr>
        <w:t>. וה</w:t>
      </w:r>
      <w:r w:rsidRPr="00440CAB">
        <w:rPr>
          <w:rFonts w:ascii="Narkisim" w:hAnsi="Narkisim"/>
          <w:b/>
          <w:bCs/>
          <w:rtl/>
        </w:rPr>
        <w:t xml:space="preserve">ריטב"א </w:t>
      </w:r>
      <w:r w:rsidRPr="00440CAB">
        <w:rPr>
          <w:rFonts w:ascii="Narkisim" w:hAnsi="Narkisim"/>
          <w:rtl/>
        </w:rPr>
        <w:t>תי' עוד דלבתר הכי הוה חסיד.</w:t>
      </w:r>
    </w:p>
    <w:p w14:paraId="3981319C" w14:textId="77777777" w:rsidR="006074A5" w:rsidRPr="00440CAB" w:rsidRDefault="006074A5" w:rsidP="006074A5">
      <w:pPr>
        <w:pStyle w:val="aa"/>
        <w:bidi/>
        <w:rPr>
          <w:rFonts w:ascii="Narkisim" w:hAnsi="Narkisim"/>
        </w:rPr>
      </w:pPr>
      <w:r w:rsidRPr="00440CAB">
        <w:rPr>
          <w:rFonts w:ascii="Narkisim" w:hAnsi="Narkisim"/>
          <w:rtl/>
        </w:rPr>
        <w:lastRenderedPageBreak/>
        <w:t>וה</w:t>
      </w:r>
      <w:r w:rsidRPr="00440CAB">
        <w:rPr>
          <w:rFonts w:ascii="Narkisim" w:hAnsi="Narkisim"/>
          <w:b/>
          <w:bCs/>
          <w:rtl/>
        </w:rPr>
        <w:t>ב"ח</w:t>
      </w:r>
      <w:r w:rsidRPr="00440CAB">
        <w:rPr>
          <w:rFonts w:ascii="Narkisim" w:hAnsi="Narkisim"/>
          <w:rtl/>
        </w:rPr>
        <w:t xml:space="preserve"> (חו"מ ח) הביא דלדעת תוס' (ב"ב) כיון דנתנו מעות למנותו נחשב 'קשר רשעים'</w:t>
      </w:r>
      <w:r w:rsidRPr="00440CAB">
        <w:rPr>
          <w:rStyle w:val="ac"/>
          <w:rFonts w:ascii="Narkisim" w:hAnsi="Narkisim"/>
          <w:rtl/>
        </w:rPr>
        <w:footnoteReference w:id="3693"/>
      </w:r>
      <w:r w:rsidRPr="00440CAB">
        <w:rPr>
          <w:rFonts w:ascii="Narkisim" w:hAnsi="Narkisim"/>
          <w:rtl/>
        </w:rPr>
        <w:t>. ואף שהוא גדול בחכמה ובמנין. אבל ה</w:t>
      </w:r>
      <w:r w:rsidRPr="00440CAB">
        <w:rPr>
          <w:rFonts w:ascii="Narkisim" w:hAnsi="Narkisim"/>
          <w:b/>
          <w:bCs/>
          <w:rtl/>
        </w:rPr>
        <w:t>קוב"ש</w:t>
      </w:r>
      <w:r w:rsidRPr="00440CAB">
        <w:rPr>
          <w:rFonts w:ascii="Narkisim" w:hAnsi="Narkisim"/>
          <w:rtl/>
        </w:rPr>
        <w:t xml:space="preserve"> (ב"ב עא) דייק מדברי התוס' דדוקא משום שהיו אחרים ראויין ממנו. אבל במקום שהוא הראוי ביותר אין איסור להעמיד אף ע"י דמים.</w:t>
      </w:r>
    </w:p>
    <w:p w14:paraId="2C58EF03" w14:textId="77777777" w:rsidR="006074A5" w:rsidRPr="00440CAB" w:rsidRDefault="006074A5" w:rsidP="006074A5">
      <w:pPr>
        <w:pStyle w:val="aa"/>
        <w:bidi/>
        <w:rPr>
          <w:rFonts w:ascii="Narkisim" w:hAnsi="Narkisim"/>
        </w:rPr>
      </w:pPr>
      <w:r w:rsidRPr="00440CAB">
        <w:rPr>
          <w:rFonts w:ascii="Narkisim" w:hAnsi="Narkisim"/>
          <w:u w:val="single"/>
          <w:rtl/>
        </w:rPr>
        <w:t>תוד"ה עיילה ליה מרתא.</w:t>
      </w:r>
      <w:r w:rsidRPr="00440CAB">
        <w:rPr>
          <w:rFonts w:ascii="Narkisim" w:hAnsi="Narkisim"/>
          <w:rtl/>
        </w:rPr>
        <w:t xml:space="preserve"> לאו היינו ינאי כה"ג</w:t>
      </w:r>
      <w:r w:rsidRPr="00440CAB">
        <w:rPr>
          <w:rStyle w:val="ac"/>
          <w:rFonts w:ascii="Narkisim" w:hAnsi="Narkisim"/>
          <w:rtl/>
        </w:rPr>
        <w:footnoteReference w:id="3694"/>
      </w:r>
      <w:r w:rsidRPr="00440CAB">
        <w:rPr>
          <w:rFonts w:ascii="Narkisim" w:hAnsi="Narkisim"/>
          <w:rtl/>
        </w:rPr>
        <w:t xml:space="preserve"> וכו'. וב</w:t>
      </w:r>
      <w:r w:rsidRPr="00440CAB">
        <w:rPr>
          <w:rFonts w:ascii="Narkisim" w:hAnsi="Narkisim"/>
          <w:b/>
          <w:bCs/>
          <w:rtl/>
        </w:rPr>
        <w:t>פסקי הרי"ד</w:t>
      </w:r>
      <w:r w:rsidRPr="00440CAB">
        <w:rPr>
          <w:rFonts w:ascii="Narkisim" w:hAnsi="Narkisim"/>
          <w:rtl/>
        </w:rPr>
        <w:t xml:space="preserve"> הוכיח כן דהא מרתא בת בייתוס היתה בזמן החורבן (כדאיתא בגיטין נו.) ואילו מלכי בית חשמונאי קדם טובא</w:t>
      </w:r>
      <w:r w:rsidRPr="00440CAB">
        <w:rPr>
          <w:rStyle w:val="ac"/>
          <w:rFonts w:ascii="Narkisim" w:hAnsi="Narkisim"/>
          <w:rtl/>
        </w:rPr>
        <w:footnoteReference w:id="3695"/>
      </w:r>
      <w:r w:rsidRPr="00440CAB">
        <w:rPr>
          <w:rFonts w:ascii="Narkisim" w:hAnsi="Narkisim"/>
          <w:rtl/>
        </w:rPr>
        <w:t>. וע"כ דינאי דהכא היה ממלכי הורדוס.</w:t>
      </w:r>
    </w:p>
    <w:p w14:paraId="6AD6088D" w14:textId="77777777" w:rsidR="006074A5" w:rsidRPr="00440CAB" w:rsidRDefault="006074A5" w:rsidP="006074A5">
      <w:pPr>
        <w:pStyle w:val="aa"/>
        <w:bidi/>
        <w:rPr>
          <w:rFonts w:ascii="Narkisim" w:hAnsi="Narkisim"/>
        </w:rPr>
      </w:pPr>
      <w:r w:rsidRPr="00440CAB">
        <w:rPr>
          <w:rFonts w:ascii="Narkisim" w:hAnsi="Narkisim"/>
          <w:u w:val="single"/>
          <w:rtl/>
        </w:rPr>
        <w:t>בשלמא מן הנישואין וכו' ואין עשה דוחה ל"ת ועשה.</w:t>
      </w:r>
      <w:r w:rsidRPr="00440CAB">
        <w:rPr>
          <w:rFonts w:ascii="Narkisim" w:hAnsi="Narkisim"/>
          <w:rtl/>
        </w:rPr>
        <w:t xml:space="preserve"> </w:t>
      </w:r>
      <w:r w:rsidRPr="00440CAB">
        <w:rPr>
          <w:rFonts w:ascii="Narkisim" w:hAnsi="Narkisim"/>
          <w:b/>
          <w:bCs/>
          <w:rtl/>
        </w:rPr>
        <w:t>תוס</w:t>
      </w:r>
      <w:r w:rsidRPr="00440CAB">
        <w:rPr>
          <w:rFonts w:ascii="Narkisim" w:hAnsi="Narkisim"/>
          <w:rtl/>
        </w:rPr>
        <w:t>' (לעיל ה. ד"ה ואכתי) הק' דבגמ' (ב"מ ל.) מבואר דעשה דוחה ל"ת ועשה שאינו שוה בכל, א"כ ה"נ עשה דיבום ידחה ל"ת ועשה דכה"ג. ועי"ש. וה</w:t>
      </w:r>
      <w:r w:rsidRPr="00440CAB">
        <w:rPr>
          <w:rFonts w:ascii="Narkisim" w:hAnsi="Narkisim"/>
          <w:b/>
          <w:bCs/>
          <w:rtl/>
        </w:rPr>
        <w:t>ריטב"א</w:t>
      </w:r>
      <w:r w:rsidRPr="00440CAB">
        <w:rPr>
          <w:rFonts w:ascii="Narkisim" w:hAnsi="Narkisim"/>
          <w:rtl/>
        </w:rPr>
        <w:t xml:space="preserve"> (בחד תי') כתב דסוגיין פליג דלא דחי אף ל"ת ועשה  ס"ל כן [ולסוגיא דהתם אה"נ ידחה].</w:t>
      </w:r>
    </w:p>
    <w:p w14:paraId="3012E77C" w14:textId="77777777" w:rsidR="006074A5" w:rsidRPr="00440CAB" w:rsidRDefault="006074A5" w:rsidP="006074A5">
      <w:pPr>
        <w:bidi/>
        <w:rPr>
          <w:rFonts w:ascii="Narkisim" w:hAnsi="Narkisim" w:cs="Narkisim"/>
        </w:rPr>
      </w:pPr>
      <w:r w:rsidRPr="00440CAB">
        <w:rPr>
          <w:rFonts w:ascii="Narkisim" w:hAnsi="Narkisim" w:cs="Narkisim"/>
          <w:u w:val="single"/>
          <w:rtl/>
        </w:rPr>
        <w:t>גזירה ביאה ראשונה אטו ביאה שניה.</w:t>
      </w:r>
      <w:r w:rsidRPr="00440CAB">
        <w:rPr>
          <w:rFonts w:ascii="Narkisim" w:hAnsi="Narkisim" w:cs="Narkisim"/>
          <w:rtl/>
        </w:rPr>
        <w:t xml:space="preserve"> ו</w:t>
      </w:r>
      <w:r w:rsidRPr="00440CAB">
        <w:rPr>
          <w:rFonts w:ascii="Narkisim" w:hAnsi="Narkisim" w:cs="Narkisim"/>
          <w:b/>
          <w:bCs/>
          <w:rtl/>
        </w:rPr>
        <w:t>תוס</w:t>
      </w:r>
      <w:r w:rsidRPr="00440CAB">
        <w:rPr>
          <w:rFonts w:ascii="Narkisim" w:hAnsi="Narkisim" w:cs="Narkisim"/>
          <w:rtl/>
        </w:rPr>
        <w:t>' (כ: ד"ה אטו) פי' דהיינו גזירה אטו גמר ביאה, דמצוות יבום דוחה רק את ההעראה. אבל ה</w:t>
      </w:r>
      <w:r w:rsidRPr="00440CAB">
        <w:rPr>
          <w:rFonts w:ascii="Narkisim" w:hAnsi="Narkisim" w:cs="Narkisim"/>
          <w:b/>
          <w:bCs/>
          <w:rtl/>
        </w:rPr>
        <w:t>רמב"ן</w:t>
      </w:r>
      <w:r w:rsidRPr="00440CAB">
        <w:rPr>
          <w:rFonts w:ascii="Narkisim" w:hAnsi="Narkisim" w:cs="Narkisim"/>
          <w:rtl/>
        </w:rPr>
        <w:t xml:space="preserve"> (לעיל כ:) כת' דאף גמר ביאה הותר משום מצוות יבום, דיבמה יבא עליה גמ"ב משמע. ואף דריבתה תורה העראה ליבום. וה</w:t>
      </w:r>
      <w:r w:rsidRPr="00440CAB">
        <w:rPr>
          <w:rFonts w:ascii="Narkisim" w:hAnsi="Narkisim" w:cs="Narkisim"/>
          <w:b/>
          <w:bCs/>
          <w:rtl/>
        </w:rPr>
        <w:t>רמב"ן</w:t>
      </w:r>
      <w:r w:rsidRPr="00440CAB">
        <w:rPr>
          <w:rFonts w:ascii="Narkisim" w:hAnsi="Narkisim" w:cs="Narkisim"/>
          <w:rtl/>
        </w:rPr>
        <w:t xml:space="preserve"> (קידושין י.) ביאר דמצוות יבום ישנה בכל ביאה ראשונה עם גמ"ב. שזה ביאה האמורה בתורה, אע"פ שריבתה תורה העראה.</w:t>
      </w:r>
      <w:r w:rsidRPr="00440CAB">
        <w:rPr>
          <w:rFonts w:ascii="Narkisim" w:hAnsi="Narkisim" w:cs="Narkisim"/>
          <w:sz w:val="20"/>
          <w:szCs w:val="20"/>
          <w:rtl/>
        </w:rPr>
        <w:t xml:space="preserve"> [ומבואר דכוונתו דהיכא דעושה את כל הביאה, הכל מעשה ביאה א', וביאה זו הותר בכלל המצוה</w:t>
      </w:r>
      <w:r w:rsidRPr="00440CAB">
        <w:rPr>
          <w:rStyle w:val="ac"/>
          <w:rFonts w:ascii="Narkisim" w:hAnsi="Narkisim" w:cs="Narkisim"/>
          <w:sz w:val="20"/>
          <w:szCs w:val="20"/>
          <w:rtl/>
        </w:rPr>
        <w:footnoteReference w:id="3696"/>
      </w:r>
      <w:r w:rsidRPr="00440CAB">
        <w:rPr>
          <w:rFonts w:ascii="Narkisim" w:hAnsi="Narkisim" w:cs="Narkisim"/>
          <w:sz w:val="20"/>
          <w:szCs w:val="20"/>
          <w:rtl/>
        </w:rPr>
        <w:t>]</w:t>
      </w:r>
      <w:r w:rsidRPr="00440CAB">
        <w:rPr>
          <w:rFonts w:ascii="Narkisim" w:hAnsi="Narkisim" w:cs="Narkisim"/>
          <w:rtl/>
        </w:rPr>
        <w:t>. ועוד דכתיב 'להקים שם לאחיו', ואינה מתעברת בהעראה.</w:t>
      </w:r>
    </w:p>
    <w:p w14:paraId="60474701" w14:textId="77777777" w:rsidR="006074A5" w:rsidRPr="00440CAB" w:rsidRDefault="006074A5" w:rsidP="006074A5">
      <w:pPr>
        <w:pStyle w:val="a8"/>
        <w:bidi/>
        <w:rPr>
          <w:rFonts w:ascii="Narkisim" w:hAnsi="Narkisim"/>
        </w:rPr>
      </w:pPr>
      <w:r w:rsidRPr="00440CAB">
        <w:rPr>
          <w:rFonts w:ascii="Narkisim" w:hAnsi="Narkisim"/>
          <w:rtl/>
        </w:rPr>
        <w:t>וצ"ב דהא מבואר דהעראה קונה ביבמה, ומוציא בגט. ולכאו' כוונתו דמ"מ יש מצווה נוסף בגמ"ב. וה</w:t>
      </w:r>
      <w:r w:rsidRPr="00440CAB">
        <w:rPr>
          <w:rFonts w:ascii="Narkisim" w:hAnsi="Narkisim"/>
          <w:b/>
          <w:bCs/>
          <w:rtl/>
        </w:rPr>
        <w:t>אחרונים</w:t>
      </w:r>
      <w:r w:rsidRPr="00440CAB">
        <w:rPr>
          <w:rFonts w:ascii="Narkisim" w:hAnsi="Narkisim"/>
          <w:rtl/>
        </w:rPr>
        <w:t xml:space="preserve"> (ע' בסמוך) הביאו מזה דיש מצוות הקמת שם בפנ"ע, אף דכבר קנה את היבמה</w:t>
      </w:r>
      <w:r w:rsidRPr="00440CAB">
        <w:rPr>
          <w:rStyle w:val="ac"/>
          <w:rFonts w:ascii="Narkisim" w:hAnsi="Narkisim"/>
          <w:rtl/>
        </w:rPr>
        <w:footnoteReference w:id="3697"/>
      </w:r>
      <w:r w:rsidRPr="00440CAB">
        <w:rPr>
          <w:rFonts w:ascii="Narkisim" w:hAnsi="Narkisim"/>
          <w:rtl/>
        </w:rPr>
        <w:t>.</w:t>
      </w:r>
    </w:p>
    <w:p w14:paraId="297BCBBA" w14:textId="77777777" w:rsidR="006074A5" w:rsidRPr="00440CAB" w:rsidRDefault="006074A5" w:rsidP="006074A5">
      <w:pPr>
        <w:bidi/>
        <w:rPr>
          <w:rFonts w:ascii="Narkisim" w:hAnsi="Narkisim" w:cs="Narkisim"/>
        </w:rPr>
      </w:pPr>
      <w:r w:rsidRPr="00440CAB">
        <w:rPr>
          <w:rFonts w:ascii="Narkisim" w:hAnsi="Narkisim" w:cs="Narkisim"/>
          <w:rtl/>
        </w:rPr>
        <w:t>ו</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 w:val="20"/>
          <w:szCs w:val="20"/>
          <w:rtl/>
        </w:rPr>
        <w:t xml:space="preserve">(לעיל שם) </w:t>
      </w:r>
      <w:r w:rsidRPr="00440CAB">
        <w:rPr>
          <w:rFonts w:ascii="Narkisim" w:hAnsi="Narkisim" w:cs="Narkisim"/>
          <w:rtl/>
        </w:rPr>
        <w:t>הקשו דכיון דאיסור אלמנה נדחה, נימא דקנאה ונעשית כאשתו</w:t>
      </w:r>
      <w:r w:rsidRPr="00440CAB">
        <w:rPr>
          <w:rStyle w:val="ac"/>
          <w:rFonts w:ascii="Narkisim" w:hAnsi="Narkisim" w:cs="Narkisim"/>
          <w:rtl/>
        </w:rPr>
        <w:footnoteReference w:id="3698"/>
      </w:r>
      <w:r w:rsidRPr="00440CAB">
        <w:rPr>
          <w:rFonts w:ascii="Narkisim" w:hAnsi="Narkisim" w:cs="Narkisim"/>
          <w:rtl/>
        </w:rPr>
        <w:t xml:space="preserve">. וכיון דנשאה בהיתר לא יחול איסור אלמנה. </w:t>
      </w:r>
      <w:r w:rsidRPr="00440CAB">
        <w:rPr>
          <w:rFonts w:ascii="Narkisim" w:hAnsi="Narkisim" w:cs="Narkisim"/>
          <w:sz w:val="20"/>
          <w:szCs w:val="20"/>
          <w:rtl/>
        </w:rPr>
        <w:t>[והביא דהא כה"ג דנשא נערה ובגרה לא בעי קרא להתיר (ע' במשנה דלעיל), דכיון דנשאת בהיתר שרי. ותוס' נקטו דבכל איסורי התורה לא חלו אחרי שנשאת</w:t>
      </w:r>
      <w:r w:rsidRPr="00440CAB">
        <w:rPr>
          <w:rStyle w:val="ac"/>
          <w:rFonts w:ascii="Narkisim" w:hAnsi="Narkisim" w:cs="Narkisim"/>
          <w:sz w:val="20"/>
          <w:szCs w:val="20"/>
          <w:rtl/>
        </w:rPr>
        <w:footnoteReference w:id="3699"/>
      </w:r>
      <w:r w:rsidRPr="00440CAB">
        <w:rPr>
          <w:rFonts w:ascii="Narkisim" w:hAnsi="Narkisim" w:cs="Narkisim"/>
          <w:sz w:val="20"/>
          <w:szCs w:val="20"/>
          <w:rtl/>
        </w:rPr>
        <w:t>]</w:t>
      </w:r>
      <w:r w:rsidRPr="00440CAB">
        <w:rPr>
          <w:rFonts w:ascii="Narkisim" w:hAnsi="Narkisim" w:cs="Narkisim"/>
          <w:rtl/>
        </w:rPr>
        <w:t xml:space="preserve">. ותי' דכיון דהותר רק מדין דחייה לא אמרי' דהותר לגמרי </w:t>
      </w:r>
      <w:r w:rsidRPr="00440CAB">
        <w:rPr>
          <w:rFonts w:ascii="Narkisim" w:hAnsi="Narkisim" w:cs="Narkisim"/>
          <w:sz w:val="20"/>
          <w:szCs w:val="20"/>
          <w:rtl/>
        </w:rPr>
        <w:t>[ובנשאת באיסור לא הותר].</w:t>
      </w:r>
      <w:r w:rsidRPr="00440CAB">
        <w:rPr>
          <w:rFonts w:ascii="Narkisim" w:hAnsi="Narkisim" w:cs="Narkisim"/>
          <w:rtl/>
        </w:rPr>
        <w:t xml:space="preserve"> וה</w:t>
      </w:r>
      <w:r w:rsidRPr="00440CAB">
        <w:rPr>
          <w:rFonts w:ascii="Narkisim" w:hAnsi="Narkisim" w:cs="Narkisim"/>
          <w:b/>
          <w:bCs/>
          <w:rtl/>
        </w:rPr>
        <w:t>ריטב"א</w:t>
      </w:r>
      <w:r w:rsidRPr="00440CAB">
        <w:rPr>
          <w:rFonts w:ascii="Narkisim" w:hAnsi="Narkisim" w:cs="Narkisim"/>
          <w:rtl/>
        </w:rPr>
        <w:t xml:space="preserve"> (כאן) הוסיף דכיון דהוה ע"י דחיית לאו, ובמקום אחר אפשר בלא שום דחייה. </w:t>
      </w:r>
      <w:r w:rsidRPr="00440CAB">
        <w:rPr>
          <w:rFonts w:ascii="Narkisim" w:hAnsi="Narkisim" w:cs="Narkisim"/>
          <w:sz w:val="20"/>
          <w:szCs w:val="20"/>
          <w:rtl/>
        </w:rPr>
        <w:t>[משא"כ איסור אשת אח דגלי רחמנא דהותרה, ונעשית כאשתו</w:t>
      </w:r>
      <w:r w:rsidRPr="00440CAB">
        <w:rPr>
          <w:rStyle w:val="ac"/>
          <w:rFonts w:ascii="Narkisim" w:hAnsi="Narkisim" w:cs="Narkisim"/>
          <w:sz w:val="20"/>
          <w:szCs w:val="20"/>
          <w:rtl/>
        </w:rPr>
        <w:footnoteReference w:id="3700"/>
      </w:r>
      <w:r w:rsidRPr="00440CAB">
        <w:rPr>
          <w:rFonts w:ascii="Narkisim" w:hAnsi="Narkisim" w:cs="Narkisim"/>
          <w:sz w:val="20"/>
          <w:szCs w:val="20"/>
          <w:rtl/>
        </w:rPr>
        <w:t>].</w:t>
      </w:r>
    </w:p>
    <w:p w14:paraId="0D437AA9" w14:textId="77777777" w:rsidR="006074A5" w:rsidRPr="00440CAB" w:rsidRDefault="006074A5" w:rsidP="006074A5">
      <w:pPr>
        <w:pStyle w:val="2"/>
        <w:bidi/>
        <w:rPr>
          <w:rFonts w:ascii="Narkisim" w:hAnsi="Narkisim"/>
        </w:rPr>
      </w:pPr>
      <w:r w:rsidRPr="00440CAB">
        <w:rPr>
          <w:rFonts w:ascii="Narkisim" w:hAnsi="Narkisim"/>
          <w:rtl/>
        </w:rPr>
        <w:t>גיורת וזונה</w:t>
      </w:r>
    </w:p>
    <w:p w14:paraId="70C561EF" w14:textId="77777777" w:rsidR="006074A5" w:rsidRPr="00440CAB" w:rsidRDefault="006074A5" w:rsidP="006074A5">
      <w:pPr>
        <w:bidi/>
        <w:rPr>
          <w:rFonts w:ascii="Narkisim" w:hAnsi="Narkisim" w:cs="Narkisim"/>
        </w:rPr>
      </w:pPr>
      <w:r w:rsidRPr="00440CAB">
        <w:rPr>
          <w:rFonts w:ascii="Narkisim" w:hAnsi="Narkisim" w:cs="Narkisim"/>
          <w:u w:val="single"/>
          <w:rtl/>
        </w:rPr>
        <w:t>כהן הדיוט לא ישא איילונית</w:t>
      </w:r>
      <w:r w:rsidRPr="00440CAB">
        <w:rPr>
          <w:rFonts w:ascii="Narkisim" w:hAnsi="Narkisim" w:cs="Narkisim"/>
          <w:rtl/>
        </w:rPr>
        <w:t>. פ</w:t>
      </w:r>
      <w:r w:rsidRPr="00440CAB">
        <w:rPr>
          <w:rFonts w:ascii="Narkisim" w:hAnsi="Narkisim" w:cs="Narkisim"/>
          <w:b/>
          <w:bCs/>
          <w:rtl/>
        </w:rPr>
        <w:t xml:space="preserve">רש"י </w:t>
      </w:r>
      <w:r w:rsidRPr="00440CAB">
        <w:rPr>
          <w:rFonts w:ascii="Narkisim" w:hAnsi="Narkisim" w:cs="Narkisim"/>
          <w:rtl/>
        </w:rPr>
        <w:t>משום מצוות פריה ורביה. וה"ה לישראל</w:t>
      </w:r>
      <w:r w:rsidRPr="00440CAB">
        <w:rPr>
          <w:rStyle w:val="ac"/>
          <w:rFonts w:ascii="Narkisim" w:hAnsi="Narkisim" w:cs="Narkisim"/>
          <w:rtl/>
        </w:rPr>
        <w:footnoteReference w:id="3701"/>
      </w:r>
      <w:r w:rsidRPr="00440CAB">
        <w:rPr>
          <w:rFonts w:ascii="Narkisim" w:hAnsi="Narkisim" w:cs="Narkisim"/>
          <w:rtl/>
        </w:rPr>
        <w:t xml:space="preserve"> [וכדאי' בגמ']. וק"ק דהו"ל למשנה לחדש דמחוייב לישא בת בנים. [ואף אם ישא איילונית, יוכל לישא אשה אחרת עמה]. וב</w:t>
      </w:r>
      <w:r w:rsidRPr="00440CAB">
        <w:rPr>
          <w:rFonts w:ascii="Narkisim" w:hAnsi="Narkisim" w:cs="Narkisim"/>
          <w:b/>
          <w:bCs/>
          <w:rtl/>
        </w:rPr>
        <w:t>חי' ר"א מן ההר</w:t>
      </w:r>
      <w:r w:rsidRPr="00440CAB">
        <w:rPr>
          <w:rFonts w:ascii="Narkisim" w:hAnsi="Narkisim" w:cs="Narkisim"/>
          <w:rtl/>
        </w:rPr>
        <w:t xml:space="preserve"> </w:t>
      </w:r>
      <w:r w:rsidRPr="00440CAB">
        <w:rPr>
          <w:rFonts w:ascii="Narkisim" w:hAnsi="Narkisim" w:cs="Narkisim"/>
          <w:sz w:val="20"/>
          <w:szCs w:val="20"/>
          <w:rtl/>
        </w:rPr>
        <w:t>(סב:)</w:t>
      </w:r>
      <w:r w:rsidRPr="00440CAB">
        <w:rPr>
          <w:rFonts w:ascii="Narkisim" w:hAnsi="Narkisim" w:cs="Narkisim"/>
          <w:rtl/>
        </w:rPr>
        <w:t xml:space="preserve"> כת' דמבטל מצוה בנישואיה</w:t>
      </w:r>
      <w:r w:rsidRPr="00440CAB">
        <w:rPr>
          <w:rStyle w:val="ac"/>
          <w:rFonts w:ascii="Narkisim" w:hAnsi="Narkisim" w:cs="Narkisim"/>
          <w:rtl/>
        </w:rPr>
        <w:footnoteReference w:id="3702"/>
      </w:r>
      <w:r w:rsidRPr="00440CAB">
        <w:rPr>
          <w:rFonts w:ascii="Narkisim" w:hAnsi="Narkisim" w:cs="Narkisim"/>
          <w:rtl/>
        </w:rPr>
        <w:t>.</w:t>
      </w:r>
    </w:p>
    <w:p w14:paraId="5F4B0509" w14:textId="77777777" w:rsidR="006074A5" w:rsidRPr="00440CAB" w:rsidRDefault="006074A5" w:rsidP="006074A5">
      <w:pPr>
        <w:pStyle w:val="aa"/>
        <w:bidi/>
        <w:rPr>
          <w:rFonts w:ascii="Narkisim" w:hAnsi="Narkisim"/>
        </w:rPr>
      </w:pPr>
      <w:r w:rsidRPr="00440CAB">
        <w:rPr>
          <w:rFonts w:ascii="Narkisim" w:hAnsi="Narkisim"/>
          <w:u w:val="single"/>
          <w:rtl/>
        </w:rPr>
        <w:t>שם. לא ישא אילונית</w:t>
      </w:r>
      <w:r w:rsidRPr="00440CAB">
        <w:rPr>
          <w:rFonts w:ascii="Narkisim" w:hAnsi="Narkisim"/>
          <w:rtl/>
        </w:rPr>
        <w:t>. משמע דדוקא איילונית, אבל רשאי לישא קטנה, שתגדל ותהא ראויה לבנים. אבל ה</w:t>
      </w:r>
      <w:r w:rsidRPr="00440CAB">
        <w:rPr>
          <w:rFonts w:ascii="Narkisim" w:hAnsi="Narkisim"/>
          <w:b/>
          <w:bCs/>
          <w:rtl/>
        </w:rPr>
        <w:t>רמב"ם</w:t>
      </w:r>
      <w:r w:rsidRPr="00440CAB">
        <w:rPr>
          <w:rFonts w:ascii="Narkisim" w:hAnsi="Narkisim"/>
          <w:rtl/>
        </w:rPr>
        <w:t xml:space="preserve"> (אישות טו ז) כת' דלא ישא אדם עקרה וזקנה ואילונית וקטנה שאינה ראויה לילד</w:t>
      </w:r>
      <w:r w:rsidRPr="00440CAB">
        <w:rPr>
          <w:rStyle w:val="ac"/>
          <w:rFonts w:ascii="Narkisim" w:hAnsi="Narkisim"/>
          <w:rtl/>
        </w:rPr>
        <w:footnoteReference w:id="3703"/>
      </w:r>
      <w:r w:rsidRPr="00440CAB">
        <w:rPr>
          <w:rFonts w:ascii="Narkisim" w:hAnsi="Narkisim"/>
          <w:rtl/>
        </w:rPr>
        <w:t xml:space="preserve"> אא"כ קיים מצות </w:t>
      </w:r>
      <w:r w:rsidRPr="00440CAB">
        <w:rPr>
          <w:rFonts w:ascii="Narkisim" w:hAnsi="Narkisim"/>
          <w:rtl/>
        </w:rPr>
        <w:lastRenderedPageBreak/>
        <w:t>פריה ורביה או שהיתה לו אשה אחרת לפרות ולרבות ממנה</w:t>
      </w:r>
      <w:r w:rsidRPr="00440CAB">
        <w:rPr>
          <w:rStyle w:val="ac"/>
          <w:rFonts w:ascii="Narkisim" w:hAnsi="Narkisim"/>
          <w:rtl/>
        </w:rPr>
        <w:footnoteReference w:id="3704"/>
      </w:r>
      <w:r w:rsidRPr="00440CAB">
        <w:rPr>
          <w:rFonts w:ascii="Narkisim" w:hAnsi="Narkisim"/>
          <w:rtl/>
        </w:rPr>
        <w:t>. ו</w:t>
      </w:r>
      <w:r w:rsidRPr="00440CAB">
        <w:rPr>
          <w:rFonts w:ascii="Narkisim" w:hAnsi="Narkisim"/>
          <w:b/>
          <w:bCs/>
          <w:rtl/>
        </w:rPr>
        <w:t>ה"ה</w:t>
      </w:r>
      <w:r w:rsidRPr="00440CAB">
        <w:rPr>
          <w:rFonts w:ascii="Narkisim" w:hAnsi="Narkisim"/>
          <w:rtl/>
        </w:rPr>
        <w:t xml:space="preserve"> ביאר שאע"פ שקטנה באה לכלל בנים, השתא הוא מחוייב והיא לאו בת בנים היא.</w:t>
      </w:r>
    </w:p>
    <w:p w14:paraId="5C0D03CF" w14:textId="77777777" w:rsidR="006074A5" w:rsidRPr="00440CAB" w:rsidRDefault="006074A5" w:rsidP="006074A5">
      <w:pPr>
        <w:bidi/>
        <w:rPr>
          <w:rFonts w:ascii="Narkisim" w:hAnsi="Narkisim" w:cs="Narkisim"/>
        </w:rPr>
      </w:pPr>
      <w:r w:rsidRPr="00440CAB">
        <w:rPr>
          <w:rFonts w:ascii="Narkisim" w:hAnsi="Narkisim" w:cs="Narkisim"/>
          <w:u w:val="single"/>
          <w:rtl/>
        </w:rPr>
        <w:t>רש"י ד"ה אלא הגיורת.</w:t>
      </w:r>
      <w:r w:rsidRPr="00440CAB">
        <w:rPr>
          <w:rFonts w:ascii="Narkisim" w:hAnsi="Narkisim" w:cs="Narkisim"/>
          <w:rtl/>
        </w:rPr>
        <w:t xml:space="preserve"> דביאת עכו"ם ועבד פסלה. </w:t>
      </w:r>
      <w:r w:rsidRPr="00440CAB">
        <w:rPr>
          <w:rFonts w:ascii="Narkisim" w:hAnsi="Narkisim" w:cs="Narkisim"/>
          <w:sz w:val="20"/>
          <w:szCs w:val="20"/>
          <w:rtl/>
        </w:rPr>
        <w:t>[וצ"ב דמי מגרעא ביאת בת מינא להחשב זונה, וע' בסמוך].</w:t>
      </w:r>
      <w:r w:rsidRPr="00440CAB">
        <w:rPr>
          <w:rFonts w:ascii="Narkisim" w:hAnsi="Narkisim" w:cs="Narkisim"/>
          <w:rtl/>
        </w:rPr>
        <w:t xml:space="preserve"> וה</w:t>
      </w:r>
      <w:r w:rsidRPr="00440CAB">
        <w:rPr>
          <w:rFonts w:ascii="Narkisim" w:hAnsi="Narkisim" w:cs="Narkisim"/>
          <w:b/>
          <w:bCs/>
          <w:rtl/>
        </w:rPr>
        <w:t>רשב"א</w:t>
      </w:r>
      <w:r w:rsidRPr="00440CAB">
        <w:rPr>
          <w:rFonts w:ascii="Narkisim" w:hAnsi="Narkisim" w:cs="Narkisim"/>
          <w:rtl/>
        </w:rPr>
        <w:t xml:space="preserve"> (ס:) האריך לתמוה דגיורת אפי' משומרת אסורה, דילפי' מקרא דיחזקאל. ובפשוטו דעת רש"י דגדר הגזיה"כ דכל נכרית הוה בחזקת מופקרת לזנות, ומש"ה נקראת זונה. וה</w:t>
      </w:r>
      <w:r w:rsidRPr="00440CAB">
        <w:rPr>
          <w:rFonts w:ascii="Narkisim" w:hAnsi="Narkisim" w:cs="Narkisim"/>
          <w:b/>
          <w:bCs/>
          <w:rtl/>
        </w:rPr>
        <w:t>מנח"ח</w:t>
      </w:r>
      <w:r w:rsidRPr="00440CAB">
        <w:rPr>
          <w:rFonts w:ascii="Narkisim" w:hAnsi="Narkisim" w:cs="Narkisim"/>
          <w:rtl/>
        </w:rPr>
        <w:t xml:space="preserve"> (רסו טז) פי' דעת רש"י דשם זונה הוה רק בנבעלה ביאת זנות, אבל אל"כ אסורה מקרא דיחזקאל [ואינה לוקה]. וע' בסמוך.</w:t>
      </w:r>
    </w:p>
    <w:p w14:paraId="7A57F85C" w14:textId="77777777" w:rsidR="006074A5" w:rsidRPr="00440CAB" w:rsidRDefault="006074A5" w:rsidP="006074A5">
      <w:pPr>
        <w:bidi/>
        <w:rPr>
          <w:rFonts w:ascii="Narkisim" w:hAnsi="Narkisim" w:cs="Narkisim"/>
        </w:rPr>
      </w:pPr>
      <w:r w:rsidRPr="00440CAB">
        <w:rPr>
          <w:rFonts w:ascii="Narkisim" w:hAnsi="Narkisim" w:cs="Narkisim"/>
          <w:u w:val="single"/>
          <w:rtl/>
        </w:rPr>
        <w:t>תוד"ה אין זונה.</w:t>
      </w:r>
      <w:r w:rsidRPr="00440CAB">
        <w:rPr>
          <w:rFonts w:ascii="Narkisim" w:hAnsi="Narkisim" w:cs="Narkisim"/>
          <w:rtl/>
        </w:rPr>
        <w:t xml:space="preserve"> אפי' נתגיירה פחותה מבת ג' אסורה מטעם זונה וכו' שבאה מעכו"ם השטופים בזימה. </w:t>
      </w:r>
      <w:r w:rsidRPr="00440CAB">
        <w:rPr>
          <w:rFonts w:ascii="Narkisim" w:hAnsi="Narkisim" w:cs="Narkisim"/>
          <w:sz w:val="20"/>
          <w:szCs w:val="20"/>
          <w:rtl/>
        </w:rPr>
        <w:t>[ושם 'זונה' הוא השתייכות לנכרי. ולא משום דהיא זינתה].</w:t>
      </w:r>
      <w:r w:rsidRPr="00440CAB">
        <w:rPr>
          <w:rFonts w:ascii="Narkisim" w:hAnsi="Narkisim" w:cs="Narkisim"/>
          <w:rtl/>
        </w:rPr>
        <w:t xml:space="preserve"> ועד"ז כת' ה</w:t>
      </w:r>
      <w:r w:rsidRPr="00440CAB">
        <w:rPr>
          <w:rFonts w:ascii="Narkisim" w:hAnsi="Narkisim" w:cs="Narkisim"/>
          <w:b/>
          <w:bCs/>
          <w:rtl/>
        </w:rPr>
        <w:t>רמב"ם</w:t>
      </w:r>
      <w:r w:rsidRPr="00440CAB">
        <w:rPr>
          <w:rFonts w:ascii="Narkisim" w:hAnsi="Narkisim" w:cs="Narkisim"/>
          <w:rtl/>
        </w:rPr>
        <w:t xml:space="preserve"> </w:t>
      </w:r>
      <w:r w:rsidRPr="00440CAB">
        <w:rPr>
          <w:rFonts w:ascii="Narkisim" w:hAnsi="Narkisim" w:cs="Narkisim"/>
          <w:sz w:val="20"/>
          <w:szCs w:val="20"/>
          <w:rtl/>
        </w:rPr>
        <w:t>(איסו"ב יח ג)</w:t>
      </w:r>
      <w:r w:rsidRPr="00440CAB">
        <w:rPr>
          <w:rFonts w:ascii="Narkisim" w:hAnsi="Narkisim" w:cs="Narkisim"/>
          <w:rtl/>
        </w:rPr>
        <w:t xml:space="preserve"> דגיורת פחותה מבת ג', הואיל ואינה בת ישראל לוקה משום זונה. וה</w:t>
      </w:r>
      <w:r w:rsidRPr="00440CAB">
        <w:rPr>
          <w:rFonts w:ascii="Narkisim" w:hAnsi="Narkisim" w:cs="Narkisim"/>
          <w:b/>
          <w:bCs/>
          <w:rtl/>
        </w:rPr>
        <w:t>ראב"ד</w:t>
      </w:r>
      <w:r w:rsidRPr="00440CAB">
        <w:rPr>
          <w:rFonts w:ascii="Narkisim" w:hAnsi="Narkisim" w:cs="Narkisim"/>
          <w:rtl/>
        </w:rPr>
        <w:t xml:space="preserve"> השיג דאינה משום זונה אלא דכתיב (ביחזקאל) בתולות מזרע ישראל (כדדרשי' קידושין עח.). </w:t>
      </w:r>
      <w:r w:rsidRPr="00440CAB">
        <w:rPr>
          <w:rFonts w:ascii="Narkisim" w:hAnsi="Narkisim" w:cs="Narkisim"/>
          <w:sz w:val="20"/>
          <w:szCs w:val="20"/>
          <w:rtl/>
        </w:rPr>
        <w:t>[וכה"ק ה</w:t>
      </w:r>
      <w:r w:rsidRPr="00440CAB">
        <w:rPr>
          <w:rFonts w:ascii="Narkisim" w:hAnsi="Narkisim" w:cs="Narkisim"/>
          <w:b/>
          <w:bCs/>
          <w:sz w:val="20"/>
          <w:szCs w:val="20"/>
          <w:rtl/>
        </w:rPr>
        <w:t>רשב"א</w:t>
      </w:r>
      <w:r w:rsidRPr="00440CAB">
        <w:rPr>
          <w:rFonts w:ascii="Narkisim" w:hAnsi="Narkisim" w:cs="Narkisim"/>
          <w:sz w:val="20"/>
          <w:szCs w:val="20"/>
          <w:rtl/>
        </w:rPr>
        <w:t xml:space="preserve"> ס: על הרמב"ם].</w:t>
      </w:r>
    </w:p>
    <w:p w14:paraId="1BDFCB4C"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(ע"ז לו:) כת' דגיורת אסורה מגזיה"כ דכתיב 'בתולה מעמיו' ולא גיורת, והוה לאו הבא מכלל עשה. [ואינה לוקה]. ולא הוה משום זונה.</w:t>
      </w:r>
    </w:p>
    <w:p w14:paraId="7386EF68" w14:textId="77777777" w:rsidR="006074A5" w:rsidRPr="00440CAB" w:rsidRDefault="006074A5" w:rsidP="006074A5">
      <w:pPr>
        <w:pStyle w:val="a7"/>
        <w:bidi/>
        <w:rPr>
          <w:rFonts w:ascii="Narkisim" w:hAnsi="Narkisim"/>
        </w:rPr>
      </w:pPr>
      <w:r w:rsidRPr="00440CAB">
        <w:rPr>
          <w:rFonts w:ascii="Narkisim" w:hAnsi="Narkisim"/>
          <w:rtl/>
        </w:rPr>
        <w:t>ולדעת תוס' בע"ז והראב"ד והרשב"א אין לוקים על הגיורת, אלא הוה שם איסור חדש. אבל לרמב"ם ותוס' דידן לוקים משום זונה</w:t>
      </w:r>
      <w:r w:rsidRPr="00440CAB">
        <w:rPr>
          <w:rStyle w:val="ac"/>
          <w:rFonts w:ascii="Narkisim" w:hAnsi="Narkisim"/>
          <w:rtl/>
        </w:rPr>
        <w:footnoteReference w:id="3705"/>
      </w:r>
      <w:r w:rsidRPr="00440CAB">
        <w:rPr>
          <w:rFonts w:ascii="Narkisim" w:hAnsi="Narkisim"/>
          <w:rtl/>
        </w:rPr>
        <w:t>.</w:t>
      </w:r>
    </w:p>
    <w:p w14:paraId="1A9B6FF4"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(ס:) כתב דקרא דיחזקאל אסמכתא בעלמא, והכי גמירי דפסולה דאורייתא משום זונה. וכ"כ ה</w:t>
      </w:r>
      <w:r w:rsidRPr="00440CAB">
        <w:rPr>
          <w:rFonts w:ascii="Narkisim" w:hAnsi="Narkisim"/>
          <w:b/>
          <w:bCs/>
          <w:rtl/>
        </w:rPr>
        <w:t xml:space="preserve">גר"א </w:t>
      </w:r>
      <w:r w:rsidRPr="00440CAB">
        <w:rPr>
          <w:rFonts w:ascii="Narkisim" w:hAnsi="Narkisim"/>
          <w:rtl/>
        </w:rPr>
        <w:t>(ו כז) לדעת הרמב"ם דגלי קרא דיחזקאל דגם היא בכלל זונה דקרא.</w:t>
      </w:r>
    </w:p>
    <w:p w14:paraId="5822B131" w14:textId="77777777" w:rsidR="006074A5" w:rsidRPr="00440CAB" w:rsidRDefault="006074A5" w:rsidP="006074A5">
      <w:pPr>
        <w:pStyle w:val="aa"/>
        <w:bidi/>
        <w:rPr>
          <w:rFonts w:ascii="Narkisim" w:hAnsi="Narkisim"/>
        </w:rPr>
      </w:pPr>
      <w:r w:rsidRPr="00440CAB">
        <w:rPr>
          <w:rFonts w:ascii="Narkisim" w:hAnsi="Narkisim"/>
          <w:u w:val="single"/>
          <w:rtl/>
        </w:rPr>
        <w:t>בא"ד והק' ה"ר משה וכו' נשג"ז אם הוא כהן חייב משום זונה.</w:t>
      </w:r>
      <w:r w:rsidRPr="00440CAB">
        <w:rPr>
          <w:rFonts w:ascii="Narkisim" w:hAnsi="Narkisim"/>
          <w:rtl/>
        </w:rPr>
        <w:t xml:space="preserve"> וכן פ</w:t>
      </w:r>
      <w:r w:rsidRPr="00440CAB">
        <w:rPr>
          <w:rFonts w:ascii="Narkisim" w:hAnsi="Narkisim"/>
          <w:b/>
          <w:bCs/>
          <w:rtl/>
        </w:rPr>
        <w:t>רש"י</w:t>
      </w:r>
      <w:r w:rsidRPr="00440CAB">
        <w:rPr>
          <w:rFonts w:ascii="Narkisim" w:hAnsi="Narkisim"/>
          <w:rtl/>
        </w:rPr>
        <w:t xml:space="preserve"> (ע"ז לו:) דאם הוא כהן גזרו מדרבנן משום זונה. ומבואר דאין בזה איסור דאורייתא. ו</w:t>
      </w:r>
      <w:r w:rsidRPr="00440CAB">
        <w:rPr>
          <w:rFonts w:ascii="Narkisim" w:hAnsi="Narkisim"/>
          <w:b/>
          <w:bCs/>
          <w:rtl/>
        </w:rPr>
        <w:t>תוס'</w:t>
      </w:r>
      <w:r w:rsidRPr="00440CAB">
        <w:rPr>
          <w:rFonts w:ascii="Narkisim" w:hAnsi="Narkisim"/>
          <w:rtl/>
        </w:rPr>
        <w:t xml:space="preserve"> (ע"ז לו:) תי' דסוגיא דהתם כאביי, אבל לרבא חייב מדאורייתא משום זונה</w:t>
      </w:r>
      <w:r w:rsidRPr="00440CAB">
        <w:rPr>
          <w:rStyle w:val="ac"/>
          <w:rFonts w:ascii="Narkisim" w:hAnsi="Narkisim"/>
          <w:rtl/>
        </w:rPr>
        <w:footnoteReference w:id="3706"/>
      </w:r>
      <w:r w:rsidRPr="00440CAB">
        <w:rPr>
          <w:rFonts w:ascii="Narkisim" w:hAnsi="Narkisim"/>
          <w:rtl/>
        </w:rPr>
        <w:t>.</w:t>
      </w:r>
    </w:p>
    <w:p w14:paraId="45F47E91"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 xml:space="preserve">רמב"ם </w:t>
      </w:r>
      <w:r w:rsidRPr="00440CAB">
        <w:rPr>
          <w:rFonts w:ascii="Narkisim" w:hAnsi="Narkisim"/>
          <w:rtl/>
        </w:rPr>
        <w:t>(יב ב) כתב דאף ישראל חייב משום נשג"ז, דעכו"ם נחשב זונה אף כלפי ישראל. וה</w:t>
      </w:r>
      <w:r w:rsidRPr="00440CAB">
        <w:rPr>
          <w:rFonts w:ascii="Narkisim" w:hAnsi="Narkisim"/>
          <w:b/>
          <w:bCs/>
          <w:rtl/>
        </w:rPr>
        <w:t>בי"ש</w:t>
      </w:r>
      <w:r w:rsidRPr="00440CAB">
        <w:rPr>
          <w:rFonts w:ascii="Narkisim" w:hAnsi="Narkisim"/>
          <w:rtl/>
        </w:rPr>
        <w:t xml:space="preserve"> (ו טו, טז ג) כת' דלפ"ז י"ל דאה"נ דכהן לוקה</w:t>
      </w:r>
      <w:r w:rsidRPr="00440CAB">
        <w:rPr>
          <w:rStyle w:val="ac"/>
          <w:rFonts w:ascii="Narkisim" w:hAnsi="Narkisim"/>
          <w:rtl/>
        </w:rPr>
        <w:footnoteReference w:id="3707"/>
      </w:r>
      <w:r w:rsidRPr="00440CAB">
        <w:rPr>
          <w:rFonts w:ascii="Narkisim" w:hAnsi="Narkisim"/>
          <w:rtl/>
        </w:rPr>
        <w:t xml:space="preserve"> [ותליא במח' אביי ורבא בתמורה].</w:t>
      </w:r>
    </w:p>
    <w:p w14:paraId="4FA84B61" w14:textId="77777777" w:rsidR="006074A5" w:rsidRPr="00440CAB" w:rsidRDefault="006074A5" w:rsidP="006074A5">
      <w:pPr>
        <w:pStyle w:val="aa"/>
        <w:bidi/>
        <w:rPr>
          <w:rFonts w:ascii="Narkisim" w:hAnsi="Narkisim"/>
        </w:rPr>
      </w:pPr>
      <w:r w:rsidRPr="00440CAB">
        <w:rPr>
          <w:rFonts w:ascii="Narkisim" w:hAnsi="Narkisim"/>
          <w:u w:val="single"/>
          <w:rtl/>
        </w:rPr>
        <w:t>בא"ד וי"ל דרבא לא פליג אלא היכא דזינתה דיליף לה מזונה ישראלית וכו'.</w:t>
      </w:r>
      <w:r w:rsidRPr="00440CAB">
        <w:rPr>
          <w:rFonts w:ascii="Narkisim" w:hAnsi="Narkisim"/>
          <w:rtl/>
        </w:rPr>
        <w:t xml:space="preserve"> מבואר דעכו"ם יש להם דין 'זונה' משום דשטופין בזימה. אלא דנתמעט דקרא דאיסור זונה לא קאי בזה, דאיסור זונה כתיב דרך קיחה. אלא דדעת רבא דהיכא דזינתה ילפי' [דין זונה נוסף] מישראלית, ולוקה</w:t>
      </w:r>
      <w:r w:rsidRPr="00440CAB">
        <w:rPr>
          <w:rStyle w:val="ac"/>
          <w:rFonts w:ascii="Narkisim" w:hAnsi="Narkisim"/>
          <w:rtl/>
        </w:rPr>
        <w:footnoteReference w:id="3708"/>
      </w:r>
      <w:r w:rsidRPr="00440CAB">
        <w:rPr>
          <w:rFonts w:ascii="Narkisim" w:hAnsi="Narkisim"/>
          <w:rtl/>
        </w:rPr>
        <w:t>. [דילפי' דלא גרע מישראלית</w:t>
      </w:r>
      <w:r w:rsidRPr="00440CAB">
        <w:rPr>
          <w:rStyle w:val="ac"/>
          <w:rFonts w:ascii="Narkisim" w:hAnsi="Narkisim"/>
          <w:rtl/>
        </w:rPr>
        <w:footnoteReference w:id="3709"/>
      </w:r>
      <w:r w:rsidRPr="00440CAB">
        <w:rPr>
          <w:rFonts w:ascii="Narkisim" w:hAnsi="Narkisim"/>
          <w:rtl/>
        </w:rPr>
        <w:t>].</w:t>
      </w:r>
    </w:p>
    <w:p w14:paraId="0660A5C1" w14:textId="77777777" w:rsidR="006074A5" w:rsidRPr="00440CAB" w:rsidRDefault="006074A5" w:rsidP="006074A5">
      <w:pPr>
        <w:pStyle w:val="a8"/>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(סנהדרין פב.) פי' דמח' ר' יהודה ור' יוסי ור"ש בגיורת, אף דפליגי מדאורייתא מגזיה"כ, אך לא הוה משום 'זונה'. [ויל"ד אי כוונתו לאו הבא מכלל עשה בתולה בעמיו ולא גיורת כתוס' בע"ז. או מקרא דיחזקאל, וכדעת הראב"ד].</w:t>
      </w:r>
    </w:p>
    <w:p w14:paraId="44C3849A"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בי"ש</w:t>
      </w:r>
      <w:r w:rsidRPr="00440CAB">
        <w:rPr>
          <w:rFonts w:ascii="Narkisim" w:hAnsi="Narkisim"/>
          <w:rtl/>
        </w:rPr>
        <w:t xml:space="preserve"> (ו טו, טז ג) הביא דלדעת הרמב"ם רבא קאי אף היכא דלא זינתה</w:t>
      </w:r>
      <w:r w:rsidRPr="00440CAB">
        <w:rPr>
          <w:rStyle w:val="ac"/>
          <w:rFonts w:ascii="Narkisim" w:hAnsi="Narkisim"/>
          <w:rtl/>
        </w:rPr>
        <w:footnoteReference w:id="3710"/>
      </w:r>
      <w:r w:rsidRPr="00440CAB">
        <w:rPr>
          <w:rFonts w:ascii="Narkisim" w:hAnsi="Narkisim"/>
          <w:rtl/>
        </w:rPr>
        <w:t>.</w:t>
      </w:r>
    </w:p>
    <w:p w14:paraId="1BC2D739" w14:textId="77777777" w:rsidR="006074A5" w:rsidRPr="00440CAB" w:rsidRDefault="006074A5" w:rsidP="006074A5">
      <w:pPr>
        <w:bidi/>
        <w:rPr>
          <w:rFonts w:ascii="Narkisim" w:hAnsi="Narkisim" w:cs="Narkisim"/>
        </w:rPr>
      </w:pPr>
      <w:r w:rsidRPr="00440CAB">
        <w:rPr>
          <w:rFonts w:ascii="Narkisim" w:hAnsi="Narkisim" w:cs="Narkisim"/>
          <w:u w:val="single"/>
          <w:rtl/>
        </w:rPr>
        <w:t>שם. היכא דזינתה</w:t>
      </w:r>
      <w:r w:rsidRPr="00440CAB">
        <w:rPr>
          <w:rStyle w:val="ac"/>
          <w:rFonts w:ascii="Narkisim" w:hAnsi="Narkisim" w:cs="Narkisim"/>
          <w:rtl/>
        </w:rPr>
        <w:footnoteReference w:id="3711"/>
      </w:r>
      <w:r w:rsidRPr="00440CAB">
        <w:rPr>
          <w:rFonts w:ascii="Narkisim" w:hAnsi="Narkisim" w:cs="Narkisim"/>
          <w:rtl/>
        </w:rPr>
        <w:t xml:space="preserve">. לכאורה היינו שזינתה מעכו"ם, וצ"ב אמאי חשיב 'זנות', דעובדת </w:t>
      </w:r>
      <w:r w:rsidRPr="00440CAB">
        <w:rPr>
          <w:rFonts w:ascii="Narkisim" w:hAnsi="Narkisim" w:cs="Narkisim"/>
          <w:rtl/>
        </w:rPr>
        <w:lastRenderedPageBreak/>
        <w:t>כוכבים בעכו"ם לא הוה ביאת איסור</w:t>
      </w:r>
      <w:r w:rsidRPr="00440CAB">
        <w:rPr>
          <w:rStyle w:val="ac"/>
          <w:rFonts w:ascii="Narkisim" w:hAnsi="Narkisim" w:cs="Narkisim"/>
          <w:rtl/>
        </w:rPr>
        <w:footnoteReference w:id="3712"/>
      </w:r>
      <w:r w:rsidRPr="00440CAB">
        <w:rPr>
          <w:rFonts w:ascii="Narkisim" w:hAnsi="Narkisim" w:cs="Narkisim"/>
          <w:rtl/>
        </w:rPr>
        <w:t>. וכן מבואר מדברי רש"י דע"י ביאת עכו"ם תחשב זונה. ו</w:t>
      </w:r>
      <w:r w:rsidRPr="00440CAB">
        <w:rPr>
          <w:rFonts w:ascii="Narkisim" w:hAnsi="Narkisim" w:cs="Narkisim"/>
          <w:b/>
          <w:bCs/>
          <w:rtl/>
        </w:rPr>
        <w:t>רש"י</w:t>
      </w:r>
      <w:r w:rsidRPr="00440CAB">
        <w:rPr>
          <w:rFonts w:ascii="Narkisim" w:hAnsi="Narkisim" w:cs="Narkisim"/>
          <w:rtl/>
        </w:rPr>
        <w:t xml:space="preserve"> (בע"ב) פי' דהואיל ולאו בני קידושין נינהו פסלי</w:t>
      </w:r>
      <w:r w:rsidRPr="00440CAB">
        <w:rPr>
          <w:rStyle w:val="ac"/>
          <w:rFonts w:ascii="Narkisim" w:hAnsi="Narkisim" w:cs="Narkisim"/>
          <w:rtl/>
        </w:rPr>
        <w:footnoteReference w:id="3713"/>
      </w:r>
      <w:r w:rsidRPr="00440CAB">
        <w:rPr>
          <w:rFonts w:ascii="Narkisim" w:hAnsi="Narkisim" w:cs="Narkisim"/>
          <w:rtl/>
        </w:rPr>
        <w:t>. ואף בעודה עכו"ם.</w:t>
      </w:r>
    </w:p>
    <w:p w14:paraId="1CC75FEE" w14:textId="77777777" w:rsidR="006074A5" w:rsidRPr="00440CAB" w:rsidRDefault="006074A5" w:rsidP="006074A5">
      <w:pPr>
        <w:bidi/>
        <w:rPr>
          <w:rFonts w:ascii="Narkisim" w:hAnsi="Narkisim" w:cs="Narkisim"/>
        </w:rPr>
      </w:pPr>
      <w:r w:rsidRPr="00440CAB">
        <w:rPr>
          <w:rFonts w:ascii="Narkisim" w:hAnsi="Narkisim" w:cs="Narkisim"/>
          <w:u w:val="single"/>
          <w:rtl/>
        </w:rPr>
        <w:t>תוד"ה שנבעלה בעילת זנות.</w:t>
      </w:r>
      <w:r w:rsidRPr="00440CAB">
        <w:rPr>
          <w:rFonts w:ascii="Narkisim" w:hAnsi="Narkisim" w:cs="Narkisim"/>
          <w:rtl/>
        </w:rPr>
        <w:t xml:space="preserve"> פ"ה ישראלית שנבעלה לפסול לה וכו'. ותוס' נקטו דכוונת רש"י לכל הפסולים לה</w:t>
      </w:r>
      <w:r w:rsidRPr="00440CAB">
        <w:rPr>
          <w:rStyle w:val="ac"/>
          <w:rFonts w:ascii="Narkisim" w:hAnsi="Narkisim" w:cs="Narkisim"/>
          <w:rtl/>
        </w:rPr>
        <w:footnoteReference w:id="3714"/>
      </w:r>
      <w:r w:rsidRPr="00440CAB">
        <w:rPr>
          <w:rFonts w:ascii="Narkisim" w:hAnsi="Narkisim" w:cs="Narkisim"/>
          <w:rtl/>
        </w:rPr>
        <w:t>. וכדעת ה</w:t>
      </w:r>
      <w:r w:rsidRPr="00440CAB">
        <w:rPr>
          <w:rFonts w:ascii="Narkisim" w:hAnsi="Narkisim" w:cs="Narkisim"/>
          <w:b/>
          <w:bCs/>
          <w:rtl/>
        </w:rPr>
        <w:t>רמב"ם</w:t>
      </w:r>
      <w:r w:rsidRPr="00440CAB">
        <w:rPr>
          <w:rFonts w:ascii="Narkisim" w:hAnsi="Narkisim" w:cs="Narkisim"/>
          <w:rtl/>
        </w:rPr>
        <w:t xml:space="preserve"> (איסו"ב יח א) דכל אשה האסורה עליו באיסור השווה בכל</w:t>
      </w:r>
      <w:r w:rsidRPr="00440CAB">
        <w:rPr>
          <w:rStyle w:val="ac"/>
          <w:rFonts w:ascii="Narkisim" w:hAnsi="Narkisim" w:cs="Narkisim"/>
          <w:rtl/>
        </w:rPr>
        <w:footnoteReference w:id="3715"/>
      </w:r>
      <w:r w:rsidRPr="00440CAB">
        <w:rPr>
          <w:rFonts w:ascii="Narkisim" w:hAnsi="Narkisim" w:cs="Narkisim"/>
          <w:rtl/>
        </w:rPr>
        <w:t xml:space="preserve"> עשאה זונה</w:t>
      </w:r>
      <w:r w:rsidRPr="00440CAB">
        <w:rPr>
          <w:rStyle w:val="ac"/>
          <w:rFonts w:ascii="Narkisim" w:hAnsi="Narkisim" w:cs="Narkisim"/>
          <w:rtl/>
        </w:rPr>
        <w:footnoteReference w:id="3716"/>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ראב"ד</w:t>
      </w:r>
      <w:r w:rsidRPr="00440CAB">
        <w:rPr>
          <w:rFonts w:ascii="Narkisim" w:hAnsi="Narkisim" w:cs="Narkisim"/>
          <w:sz w:val="20"/>
          <w:szCs w:val="20"/>
          <w:rtl/>
        </w:rPr>
        <w:t xml:space="preserve"> השיג דאין זונה אלא מחייבי כריתות ועכו"ם ועבד שאין להם קידושין. ומיהו כל הפסולים בקהל פסלוה מן הכהונה ותרומה, אבל אינו לוקה משום זונה [וכדעת תוס'</w:t>
      </w:r>
      <w:r w:rsidRPr="00440CAB">
        <w:rPr>
          <w:rStyle w:val="ac"/>
          <w:rFonts w:ascii="Narkisim" w:hAnsi="Narkisim" w:cs="Narkisim"/>
          <w:sz w:val="20"/>
          <w:szCs w:val="20"/>
          <w:rtl/>
        </w:rPr>
        <w:footnoteReference w:id="3717"/>
      </w:r>
      <w:r w:rsidRPr="00440CAB">
        <w:rPr>
          <w:rFonts w:ascii="Narkisim" w:hAnsi="Narkisim" w:cs="Narkisim"/>
          <w:sz w:val="20"/>
          <w:szCs w:val="20"/>
          <w:rtl/>
        </w:rPr>
        <w:t>].</w:t>
      </w:r>
    </w:p>
    <w:p w14:paraId="27B7E61C" w14:textId="77777777" w:rsidR="006074A5" w:rsidRPr="00440CAB" w:rsidRDefault="006074A5" w:rsidP="006074A5">
      <w:pPr>
        <w:bidi/>
        <w:rPr>
          <w:rFonts w:ascii="Narkisim" w:hAnsi="Narkisim" w:cs="Narkisim"/>
        </w:rPr>
      </w:pPr>
      <w:r w:rsidRPr="00440CAB">
        <w:rPr>
          <w:rFonts w:ascii="Narkisim" w:hAnsi="Narkisim" w:cs="Narkisim"/>
          <w:rtl/>
        </w:rPr>
        <w:t xml:space="preserve">ובפשוטו דעת הרמב"ם דאף חייבי לאוין דלא הוה זר מעיקרא עשאה זונה. [ודלא כגמ' לקמן סט.]. ומשמע דכן נקטו תוס' בדעת רש"י. אבל יש </w:t>
      </w:r>
      <w:r w:rsidRPr="00440CAB">
        <w:rPr>
          <w:rFonts w:ascii="Narkisim" w:hAnsi="Narkisim" w:cs="Narkisim"/>
          <w:b/>
          <w:bCs/>
          <w:rtl/>
        </w:rPr>
        <w:t>אחרונים</w:t>
      </w:r>
      <w:r w:rsidRPr="00440CAB">
        <w:rPr>
          <w:rFonts w:ascii="Narkisim" w:hAnsi="Narkisim" w:cs="Narkisim"/>
          <w:rtl/>
        </w:rPr>
        <w:t xml:space="preserve"> שנקטו דרש"י קאי דוקא ב'פסול לה', ומי שאינו זר אצלה מעיקרא, אף דהוה ביאת איסור לא נחשב 'פסול לה'. ולפ"ז רש"י קאי דוקא בביאת עריות ופסולי קהל (וכ"מ בדברי רש"י בע"ב).</w:t>
      </w:r>
    </w:p>
    <w:p w14:paraId="55037FEF"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xml:space="preserve"> ודעת ר' מתיא בן חרש (בברייתא בע"ב) אפי' באיסור קל נעשית זונה. אלא דהראשונים דנו כאן לדעת רבנן [דמשנה ודברייתא]. וה</w:t>
      </w:r>
      <w:r w:rsidRPr="00440CAB">
        <w:rPr>
          <w:rFonts w:ascii="Narkisim" w:hAnsi="Narkisim" w:cs="Narkisim"/>
          <w:b/>
          <w:bCs/>
          <w:rtl/>
        </w:rPr>
        <w:t>רשב"א</w:t>
      </w:r>
      <w:r w:rsidRPr="00440CAB">
        <w:rPr>
          <w:rFonts w:ascii="Narkisim" w:hAnsi="Narkisim" w:cs="Narkisim"/>
          <w:rtl/>
        </w:rPr>
        <w:t xml:space="preserve"> (לקמן סח.) כת' דאף דעת רבנן דהכא דכל ביאת זנות עשאה זונה [וכדעת הרמב"ם</w:t>
      </w:r>
      <w:r w:rsidRPr="00440CAB">
        <w:rPr>
          <w:rStyle w:val="ac"/>
          <w:rFonts w:ascii="Narkisim" w:hAnsi="Narkisim" w:cs="Narkisim"/>
          <w:rtl/>
        </w:rPr>
        <w:footnoteReference w:id="3718"/>
      </w:r>
      <w:r w:rsidRPr="00440CAB">
        <w:rPr>
          <w:rFonts w:ascii="Narkisim" w:hAnsi="Narkisim" w:cs="Narkisim"/>
          <w:rtl/>
        </w:rPr>
        <w:t>]. והגמ' (לקמן סח.-סט.) דילפי' מאיש זר קאי אליבא דשאר תנאים (בברייתא בע"ב) דס"ל דלא הוה בכלל זונה</w:t>
      </w:r>
      <w:r w:rsidRPr="00440CAB">
        <w:rPr>
          <w:rStyle w:val="ac"/>
          <w:rFonts w:ascii="Narkisim" w:hAnsi="Narkisim" w:cs="Narkisim"/>
          <w:rtl/>
        </w:rPr>
        <w:footnoteReference w:id="3719"/>
      </w:r>
      <w:r w:rsidRPr="00440CAB">
        <w:rPr>
          <w:rFonts w:ascii="Narkisim" w:hAnsi="Narkisim" w:cs="Narkisim"/>
          <w:rtl/>
        </w:rPr>
        <w:t>.</w:t>
      </w:r>
    </w:p>
    <w:p w14:paraId="024FE3C5" w14:textId="77777777" w:rsidR="006074A5" w:rsidRPr="00440CAB" w:rsidRDefault="006074A5" w:rsidP="006074A5">
      <w:pPr>
        <w:bidi/>
        <w:rPr>
          <w:rFonts w:ascii="Narkisim" w:hAnsi="Narkisim" w:cs="Narkisim"/>
        </w:rPr>
      </w:pPr>
      <w:r w:rsidRPr="00440CAB">
        <w:rPr>
          <w:rFonts w:ascii="Narkisim" w:hAnsi="Narkisim" w:cs="Narkisim"/>
          <w:u w:val="single"/>
          <w:rtl/>
        </w:rPr>
        <w:t>בא"ד וא"א לומר כן, דמחייבי לאוין דתפסי בה קידושין ל"ה זונה</w:t>
      </w:r>
      <w:r w:rsidRPr="00440CAB">
        <w:rPr>
          <w:rStyle w:val="ac"/>
          <w:rFonts w:ascii="Narkisim" w:hAnsi="Narkisim" w:cs="Narkisim"/>
          <w:u w:val="single"/>
          <w:rtl/>
        </w:rPr>
        <w:footnoteReference w:id="3720"/>
      </w:r>
      <w:r w:rsidRPr="00440CAB">
        <w:rPr>
          <w:rFonts w:ascii="Narkisim" w:hAnsi="Narkisim" w:cs="Narkisim"/>
          <w:u w:val="single"/>
          <w:rtl/>
        </w:rPr>
        <w:t xml:space="preserve"> אלא מחייבי כריתות</w:t>
      </w:r>
      <w:r w:rsidRPr="00440CAB">
        <w:rPr>
          <w:rFonts w:ascii="Narkisim" w:hAnsi="Narkisim" w:cs="Narkisim"/>
          <w:rtl/>
        </w:rPr>
        <w:t xml:space="preserve">. וכמ"ש </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 w:val="20"/>
          <w:szCs w:val="20"/>
          <w:rtl/>
        </w:rPr>
        <w:t xml:space="preserve">(לעיל מד: ד"ה עשאה) </w:t>
      </w:r>
      <w:r w:rsidRPr="00440CAB">
        <w:rPr>
          <w:rFonts w:ascii="Narkisim" w:hAnsi="Narkisim" w:cs="Narkisim"/>
          <w:rtl/>
        </w:rPr>
        <w:t>דשם זונה תליא האם תפסי קידושין.</w:t>
      </w:r>
    </w:p>
    <w:p w14:paraId="4DE1BE47" w14:textId="77777777" w:rsidR="006074A5" w:rsidRPr="00440CAB" w:rsidRDefault="006074A5" w:rsidP="006074A5">
      <w:pPr>
        <w:pStyle w:val="a7"/>
        <w:bidi/>
        <w:rPr>
          <w:rFonts w:ascii="Narkisim" w:hAnsi="Narkisim"/>
        </w:rPr>
      </w:pPr>
      <w:r w:rsidRPr="00440CAB">
        <w:rPr>
          <w:rFonts w:ascii="Narkisim" w:hAnsi="Narkisim"/>
          <w:rtl/>
        </w:rPr>
        <w:t>ובפשוטו משמע בתוס' דבכל חייבי לאוין אינו פוסל בביאתו. אבל ה</w:t>
      </w:r>
      <w:r w:rsidRPr="00440CAB">
        <w:rPr>
          <w:rFonts w:ascii="Narkisim" w:hAnsi="Narkisim"/>
          <w:b/>
          <w:bCs/>
          <w:rtl/>
        </w:rPr>
        <w:t>פוסקים</w:t>
      </w:r>
      <w:r w:rsidRPr="00440CAB">
        <w:rPr>
          <w:rFonts w:ascii="Narkisim" w:hAnsi="Narkisim"/>
          <w:rtl/>
        </w:rPr>
        <w:t xml:space="preserve"> (ב"ח אה"ע ו ועוד) הביאו דבכל מקום מבואר דפסולי קהל פוסלים בביאתן, כדתניא (לקמן סח.) גר עמוני ומואבי וכו'</w:t>
      </w:r>
      <w:r w:rsidRPr="00440CAB">
        <w:rPr>
          <w:rStyle w:val="ac"/>
          <w:rFonts w:ascii="Narkisim" w:hAnsi="Narkisim"/>
          <w:rtl/>
        </w:rPr>
        <w:footnoteReference w:id="3721"/>
      </w:r>
      <w:r w:rsidRPr="00440CAB">
        <w:rPr>
          <w:rFonts w:ascii="Narkisim" w:hAnsi="Narkisim"/>
          <w:rtl/>
        </w:rPr>
        <w:t>. והגמ' (סח:) דורשת כי תהיה לאיש זר, דהוה זר אצלה מעיקרא.</w:t>
      </w:r>
    </w:p>
    <w:p w14:paraId="684D8F19"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פוסקים</w:t>
      </w:r>
      <w:r w:rsidRPr="00440CAB">
        <w:rPr>
          <w:rFonts w:ascii="Narkisim" w:hAnsi="Narkisim"/>
          <w:rtl/>
        </w:rPr>
        <w:t xml:space="preserve"> תי' דתוס' מודה דפסולי קהל פוסלים משום 'איש זר'</w:t>
      </w:r>
      <w:r w:rsidRPr="00440CAB">
        <w:rPr>
          <w:rStyle w:val="ac"/>
          <w:rFonts w:ascii="Narkisim" w:hAnsi="Narkisim"/>
          <w:rtl/>
        </w:rPr>
        <w:footnoteReference w:id="3722"/>
      </w:r>
      <w:r w:rsidRPr="00440CAB">
        <w:rPr>
          <w:rFonts w:ascii="Narkisim" w:hAnsi="Narkisim"/>
          <w:rtl/>
        </w:rPr>
        <w:t>, אלא דכוונת תוס' דאינו בכלל לאו דזונה</w:t>
      </w:r>
      <w:r w:rsidRPr="00440CAB">
        <w:rPr>
          <w:rStyle w:val="ac"/>
          <w:rFonts w:ascii="Narkisim" w:hAnsi="Narkisim"/>
          <w:rtl/>
        </w:rPr>
        <w:footnoteReference w:id="3723"/>
      </w:r>
      <w:r w:rsidRPr="00440CAB">
        <w:rPr>
          <w:rFonts w:ascii="Narkisim" w:hAnsi="Narkisim"/>
          <w:rtl/>
        </w:rPr>
        <w:t>. אבל אבל ה</w:t>
      </w:r>
      <w:r w:rsidRPr="00440CAB">
        <w:rPr>
          <w:rFonts w:ascii="Narkisim" w:hAnsi="Narkisim"/>
          <w:b/>
          <w:bCs/>
          <w:rtl/>
        </w:rPr>
        <w:t>מהרש"א</w:t>
      </w:r>
      <w:r w:rsidRPr="00440CAB">
        <w:rPr>
          <w:rFonts w:ascii="Narkisim" w:hAnsi="Narkisim"/>
          <w:rtl/>
        </w:rPr>
        <w:t xml:space="preserve"> (גיטין פט., הו' בגהש"ס) הביא דלדעת תוס' והרא"ש נבעלה לחייבי לאוין אינה נפסלת לכהונה. [ואף פסולי קהל]. ונקט דכוונת התוס' דתנא דמתני' אינם פוסלים בביאתם. [ולא קי"ל כברייתא לקמן סח.].</w:t>
      </w:r>
    </w:p>
    <w:p w14:paraId="027792BE" w14:textId="77777777" w:rsidR="006074A5" w:rsidRPr="00440CAB" w:rsidRDefault="006074A5" w:rsidP="006074A5">
      <w:pPr>
        <w:pStyle w:val="a8"/>
        <w:bidi/>
        <w:rPr>
          <w:rFonts w:ascii="Narkisim" w:hAnsi="Narkisim"/>
        </w:rPr>
      </w:pPr>
      <w:r w:rsidRPr="00440CAB">
        <w:rPr>
          <w:rFonts w:ascii="Narkisim" w:hAnsi="Narkisim"/>
          <w:rtl/>
        </w:rPr>
        <w:lastRenderedPageBreak/>
        <w:t>וה</w:t>
      </w:r>
      <w:r w:rsidRPr="00440CAB">
        <w:rPr>
          <w:rFonts w:ascii="Narkisim" w:hAnsi="Narkisim"/>
          <w:b/>
          <w:bCs/>
          <w:rtl/>
        </w:rPr>
        <w:t>מהרש"א</w:t>
      </w:r>
      <w:r w:rsidRPr="00440CAB">
        <w:rPr>
          <w:rFonts w:ascii="Narkisim" w:hAnsi="Narkisim"/>
          <w:rtl/>
        </w:rPr>
        <w:t xml:space="preserve"> תמה דמבואר במשנה (כתובות יג.) דנבעלת לנתין ולממזר נפסלת לכהונה</w:t>
      </w:r>
      <w:r w:rsidRPr="00440CAB">
        <w:rPr>
          <w:rStyle w:val="ac"/>
          <w:rFonts w:ascii="Narkisim" w:hAnsi="Narkisim"/>
          <w:rtl/>
        </w:rPr>
        <w:footnoteReference w:id="3724"/>
      </w:r>
      <w:r w:rsidRPr="00440CAB">
        <w:rPr>
          <w:rFonts w:ascii="Narkisim" w:hAnsi="Narkisim"/>
          <w:rtl/>
        </w:rPr>
        <w:t>. וכת' דיש ליישב דקאי כמ"ד אין קידושין תופסין בחייבי לאוין</w:t>
      </w:r>
      <w:r w:rsidRPr="00440CAB">
        <w:rPr>
          <w:rStyle w:val="ac"/>
          <w:rFonts w:ascii="Narkisim" w:hAnsi="Narkisim"/>
          <w:rtl/>
        </w:rPr>
        <w:footnoteReference w:id="3725"/>
      </w:r>
      <w:r w:rsidRPr="00440CAB">
        <w:rPr>
          <w:rFonts w:ascii="Narkisim" w:hAnsi="Narkisim"/>
          <w:rtl/>
        </w:rPr>
        <w:t>. והאחרונים דחו דאף לתוס' פסול משום 'איש זר'.</w:t>
      </w:r>
    </w:p>
    <w:p w14:paraId="404542A3" w14:textId="77777777" w:rsidR="006074A5" w:rsidRPr="00440CAB" w:rsidRDefault="006074A5" w:rsidP="006074A5">
      <w:pPr>
        <w:pStyle w:val="aa"/>
        <w:bidi/>
        <w:rPr>
          <w:rFonts w:ascii="Narkisim" w:hAnsi="Narkisim"/>
        </w:rPr>
      </w:pPr>
      <w:r w:rsidRPr="00440CAB">
        <w:rPr>
          <w:rFonts w:ascii="Narkisim" w:hAnsi="Narkisim"/>
          <w:rtl/>
        </w:rPr>
        <w:t>וה</w:t>
      </w:r>
      <w:r w:rsidRPr="00440CAB">
        <w:rPr>
          <w:rFonts w:ascii="Narkisim" w:hAnsi="Narkisim"/>
          <w:b/>
          <w:bCs/>
          <w:rtl/>
        </w:rPr>
        <w:t>טור</w:t>
      </w:r>
      <w:r w:rsidRPr="00440CAB">
        <w:rPr>
          <w:rFonts w:ascii="Narkisim" w:hAnsi="Narkisim"/>
          <w:rtl/>
        </w:rPr>
        <w:t xml:space="preserve"> ו</w:t>
      </w:r>
      <w:r w:rsidRPr="00440CAB">
        <w:rPr>
          <w:rFonts w:ascii="Narkisim" w:hAnsi="Narkisim"/>
          <w:b/>
          <w:bCs/>
          <w:rtl/>
        </w:rPr>
        <w:t>שו"ע</w:t>
      </w:r>
      <w:r w:rsidRPr="00440CAB">
        <w:rPr>
          <w:rFonts w:ascii="Narkisim" w:hAnsi="Narkisim"/>
          <w:rtl/>
        </w:rPr>
        <w:t xml:space="preserve"> (ו ח) הביאו מח' ה</w:t>
      </w:r>
      <w:r w:rsidRPr="00440CAB">
        <w:rPr>
          <w:rFonts w:ascii="Narkisim" w:hAnsi="Narkisim"/>
          <w:b/>
          <w:bCs/>
          <w:rtl/>
        </w:rPr>
        <w:t>רמב"ם</w:t>
      </w:r>
      <w:r w:rsidRPr="00440CAB">
        <w:rPr>
          <w:rFonts w:ascii="Narkisim" w:hAnsi="Narkisim"/>
          <w:rtl/>
        </w:rPr>
        <w:t xml:space="preserve"> וה</w:t>
      </w:r>
      <w:r w:rsidRPr="00440CAB">
        <w:rPr>
          <w:rFonts w:ascii="Narkisim" w:hAnsi="Narkisim"/>
          <w:b/>
          <w:bCs/>
          <w:rtl/>
        </w:rPr>
        <w:t>רא"ש</w:t>
      </w:r>
      <w:r w:rsidRPr="00440CAB">
        <w:rPr>
          <w:rFonts w:ascii="Narkisim" w:hAnsi="Narkisim"/>
          <w:rtl/>
        </w:rPr>
        <w:t>, דדעת ה</w:t>
      </w:r>
      <w:r w:rsidRPr="00440CAB">
        <w:rPr>
          <w:rFonts w:ascii="Narkisim" w:hAnsi="Narkisim"/>
          <w:b/>
          <w:bCs/>
          <w:rtl/>
        </w:rPr>
        <w:t>רמב"ם</w:t>
      </w:r>
      <w:r w:rsidRPr="00440CAB">
        <w:rPr>
          <w:rFonts w:ascii="Narkisim" w:hAnsi="Narkisim"/>
          <w:rtl/>
        </w:rPr>
        <w:t xml:space="preserve"> דמחייב לאוין השווין בכל הוה זונה. וה</w:t>
      </w:r>
      <w:r w:rsidRPr="00440CAB">
        <w:rPr>
          <w:rFonts w:ascii="Narkisim" w:hAnsi="Narkisim"/>
          <w:b/>
          <w:bCs/>
          <w:rtl/>
        </w:rPr>
        <w:t>רא"ש</w:t>
      </w:r>
      <w:r w:rsidRPr="00440CAB">
        <w:rPr>
          <w:rFonts w:ascii="Narkisim" w:hAnsi="Narkisim"/>
          <w:rtl/>
        </w:rPr>
        <w:t xml:space="preserve"> ס"ל דדוקא היכא דלא תפסי בה קידושין. ובפשוטו משמע דלדעת הרא"ש חייבי לאוין אינם פוסלים בביאתם</w:t>
      </w:r>
      <w:r w:rsidRPr="00440CAB">
        <w:rPr>
          <w:rStyle w:val="ac"/>
          <w:rFonts w:ascii="Narkisim" w:hAnsi="Narkisim"/>
          <w:rtl/>
        </w:rPr>
        <w:footnoteReference w:id="3726"/>
      </w:r>
      <w:r w:rsidRPr="00440CAB">
        <w:rPr>
          <w:rFonts w:ascii="Narkisim" w:hAnsi="Narkisim"/>
          <w:rtl/>
        </w:rPr>
        <w:t>. אבל ה</w:t>
      </w:r>
      <w:r w:rsidRPr="00440CAB">
        <w:rPr>
          <w:rFonts w:ascii="Narkisim" w:hAnsi="Narkisim"/>
          <w:b/>
          <w:bCs/>
          <w:rtl/>
        </w:rPr>
        <w:t>פוסקים</w:t>
      </w:r>
      <w:r w:rsidRPr="00440CAB">
        <w:rPr>
          <w:rFonts w:ascii="Narkisim" w:hAnsi="Narkisim"/>
          <w:rtl/>
        </w:rPr>
        <w:t xml:space="preserve"> (מהרש"ל לטור, ב"ח, בי"ש טז) כת' דלכו"ע פסול, אלא דהנידון האם הוה בכלל שם זונה, והאם לוקה עליו</w:t>
      </w:r>
      <w:r w:rsidRPr="00440CAB">
        <w:rPr>
          <w:rStyle w:val="ac"/>
          <w:rFonts w:ascii="Narkisim" w:hAnsi="Narkisim"/>
          <w:rtl/>
        </w:rPr>
        <w:footnoteReference w:id="3727"/>
      </w:r>
      <w:r w:rsidRPr="00440CAB">
        <w:rPr>
          <w:rFonts w:ascii="Narkisim" w:hAnsi="Narkisim"/>
          <w:rtl/>
        </w:rPr>
        <w:t>.</w:t>
      </w:r>
    </w:p>
    <w:p w14:paraId="3C1A4939" w14:textId="77777777" w:rsidR="006074A5" w:rsidRPr="00440CAB" w:rsidRDefault="006074A5" w:rsidP="006074A5">
      <w:pPr>
        <w:pStyle w:val="3"/>
        <w:bidi/>
        <w:rPr>
          <w:rFonts w:ascii="Narkisim" w:hAnsi="Narkisim"/>
        </w:rPr>
      </w:pPr>
      <w:r w:rsidRPr="00440CAB">
        <w:rPr>
          <w:rFonts w:ascii="Narkisim" w:hAnsi="Narkisim"/>
          <w:rtl/>
        </w:rPr>
        <w:t>דף סא:</w:t>
      </w:r>
    </w:p>
    <w:p w14:paraId="5777F0AA" w14:textId="77777777" w:rsidR="006074A5" w:rsidRPr="00440CAB" w:rsidRDefault="006074A5" w:rsidP="006074A5">
      <w:pPr>
        <w:pStyle w:val="aa"/>
        <w:bidi/>
        <w:rPr>
          <w:rFonts w:ascii="Narkisim" w:hAnsi="Narkisim"/>
        </w:rPr>
      </w:pPr>
      <w:r w:rsidRPr="00440CAB">
        <w:rPr>
          <w:rFonts w:ascii="Narkisim" w:hAnsi="Narkisim"/>
          <w:u w:val="single"/>
          <w:rtl/>
        </w:rPr>
        <w:t>כל ביאה שאין בה פירצה, אינה אלא בעילת זנות</w:t>
      </w:r>
      <w:r w:rsidRPr="00440CAB">
        <w:rPr>
          <w:rStyle w:val="ac"/>
          <w:rFonts w:ascii="Narkisim" w:hAnsi="Narkisim"/>
          <w:u w:val="single"/>
          <w:rtl/>
        </w:rPr>
        <w:footnoteReference w:id="3728"/>
      </w:r>
      <w:r w:rsidRPr="00440CAB">
        <w:rPr>
          <w:rFonts w:ascii="Narkisim" w:hAnsi="Narkisim"/>
          <w:rtl/>
        </w:rPr>
        <w:t xml:space="preserve">. </w:t>
      </w:r>
      <w:r w:rsidRPr="00440CAB">
        <w:rPr>
          <w:rFonts w:ascii="Narkisim" w:hAnsi="Narkisim"/>
          <w:b/>
          <w:bCs/>
          <w:rtl/>
        </w:rPr>
        <w:t>תוס</w:t>
      </w:r>
      <w:r w:rsidRPr="00440CAB">
        <w:rPr>
          <w:rFonts w:ascii="Narkisim" w:hAnsi="Narkisim"/>
          <w:rtl/>
        </w:rPr>
        <w:t>' מבואר דהיינו באשה דלא אתיא לעולם לכלל פירצה. אבל קטנה דבאשה זו יהא בעתיד פירצה, לא איכפ"ל דביאה זו ל"ש בו פירצה. ועד"ז כת' ה</w:t>
      </w:r>
      <w:r w:rsidRPr="00440CAB">
        <w:rPr>
          <w:rFonts w:ascii="Narkisim" w:hAnsi="Narkisim"/>
          <w:b/>
          <w:bCs/>
          <w:rtl/>
        </w:rPr>
        <w:t>אחרונים</w:t>
      </w:r>
      <w:r w:rsidRPr="00440CAB">
        <w:rPr>
          <w:rFonts w:ascii="Narkisim" w:hAnsi="Narkisim"/>
          <w:rtl/>
        </w:rPr>
        <w:t xml:space="preserve"> דודאי מותר בזקינה</w:t>
      </w:r>
      <w:r w:rsidRPr="00440CAB">
        <w:rPr>
          <w:rStyle w:val="ac"/>
          <w:rFonts w:ascii="Narkisim" w:hAnsi="Narkisim"/>
          <w:rtl/>
        </w:rPr>
        <w:footnoteReference w:id="3729"/>
      </w:r>
      <w:r w:rsidRPr="00440CAB">
        <w:rPr>
          <w:rFonts w:ascii="Narkisim" w:hAnsi="Narkisim"/>
          <w:rtl/>
        </w:rPr>
        <w:t>.</w:t>
      </w:r>
    </w:p>
    <w:p w14:paraId="2F58853F" w14:textId="77777777" w:rsidR="006074A5" w:rsidRPr="00440CAB" w:rsidRDefault="006074A5" w:rsidP="006074A5">
      <w:pPr>
        <w:bidi/>
        <w:rPr>
          <w:rFonts w:ascii="Narkisim" w:hAnsi="Narkisim" w:cs="Narkisim"/>
        </w:rPr>
      </w:pPr>
      <w:r w:rsidRPr="00440CAB">
        <w:rPr>
          <w:rFonts w:ascii="Narkisim" w:hAnsi="Narkisim" w:cs="Narkisim"/>
          <w:u w:val="single"/>
          <w:rtl/>
        </w:rPr>
        <w:t>קטנה שמא תמצא אילונית, ונמצא פוגעין בערוה</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דהוה אשת אח שלא במקום מצווה. והראשונים הק' דאילונית הוה מקח טעות [ואי"צ כלל גט</w:t>
      </w:r>
      <w:r w:rsidRPr="00440CAB">
        <w:rPr>
          <w:rStyle w:val="ac"/>
          <w:rFonts w:ascii="Narkisim" w:hAnsi="Narkisim" w:cs="Narkisim"/>
          <w:rtl/>
        </w:rPr>
        <w:footnoteReference w:id="3730"/>
      </w:r>
      <w:r w:rsidRPr="00440CAB">
        <w:rPr>
          <w:rFonts w:ascii="Narkisim" w:hAnsi="Narkisim" w:cs="Narkisim"/>
          <w:rtl/>
        </w:rPr>
        <w:t>], ולא היתה אשת אחיו מעולם. ואמאי הוה ערוה. ו</w:t>
      </w:r>
      <w:r w:rsidRPr="00440CAB">
        <w:rPr>
          <w:rFonts w:ascii="Narkisim" w:hAnsi="Narkisim" w:cs="Narkisim"/>
          <w:b/>
          <w:bCs/>
          <w:rtl/>
        </w:rPr>
        <w:t>ר"ת</w:t>
      </w:r>
      <w:r w:rsidRPr="00440CAB">
        <w:rPr>
          <w:rFonts w:ascii="Narkisim" w:hAnsi="Narkisim" w:cs="Narkisim"/>
          <w:rtl/>
        </w:rPr>
        <w:t xml:space="preserve"> (הו' ב</w:t>
      </w:r>
      <w:r w:rsidRPr="00440CAB">
        <w:rPr>
          <w:rFonts w:ascii="Narkisim" w:hAnsi="Narkisim" w:cs="Narkisim"/>
          <w:b/>
          <w:bCs/>
          <w:rtl/>
        </w:rPr>
        <w:t>תוס</w:t>
      </w:r>
      <w:r w:rsidRPr="00440CAB">
        <w:rPr>
          <w:rFonts w:ascii="Narkisim" w:hAnsi="Narkisim" w:cs="Narkisim"/>
          <w:rtl/>
        </w:rPr>
        <w:t>' לעיל ב: ד"ה או) תי' דאיירי בדקבלה עלייהו. וכ"כ ה</w:t>
      </w:r>
      <w:r w:rsidRPr="00440CAB">
        <w:rPr>
          <w:rFonts w:ascii="Narkisim" w:hAnsi="Narkisim" w:cs="Narkisim"/>
          <w:b/>
          <w:bCs/>
          <w:rtl/>
        </w:rPr>
        <w:t>ראשונים</w:t>
      </w:r>
      <w:r w:rsidRPr="00440CAB">
        <w:rPr>
          <w:rFonts w:ascii="Narkisim" w:hAnsi="Narkisim" w:cs="Narkisim"/>
          <w:rtl/>
        </w:rPr>
        <w:t xml:space="preserve"> בסוגיין דאיירי כשאמר דאינו מקפיד אם ימצא איילונית.</w:t>
      </w:r>
    </w:p>
    <w:p w14:paraId="71FC9368"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הביא </w:t>
      </w:r>
      <w:r w:rsidRPr="00440CAB">
        <w:rPr>
          <w:rFonts w:ascii="Narkisim" w:hAnsi="Narkisim"/>
          <w:b/>
          <w:bCs/>
          <w:rtl/>
        </w:rPr>
        <w:t>אחרים</w:t>
      </w:r>
      <w:r w:rsidRPr="00440CAB">
        <w:rPr>
          <w:rFonts w:ascii="Narkisim" w:hAnsi="Narkisim"/>
          <w:rtl/>
        </w:rPr>
        <w:t xml:space="preserve"> דנמצא פוגעים בערוה היינו בצרתה הוה באיסור יבמה לשוק. ואע"ג דיבמה ליכא אלא לאו, מ"מ קרי ליה ערוה אטו סריס.</w:t>
      </w:r>
    </w:p>
    <w:p w14:paraId="01AFEE9A" w14:textId="77777777" w:rsidR="006074A5" w:rsidRPr="00440CAB" w:rsidRDefault="006074A5" w:rsidP="006074A5">
      <w:pPr>
        <w:bidi/>
        <w:rPr>
          <w:rFonts w:ascii="Narkisim" w:hAnsi="Narkisim" w:cs="Narkisim"/>
        </w:rPr>
      </w:pPr>
      <w:r w:rsidRPr="00440CAB">
        <w:rPr>
          <w:rFonts w:ascii="Narkisim" w:hAnsi="Narkisim" w:cs="Narkisim"/>
          <w:u w:val="single"/>
          <w:rtl/>
        </w:rPr>
        <w:t>רש"י ד"ה ואינה חולצת.</w:t>
      </w:r>
      <w:r w:rsidRPr="00440CAB">
        <w:rPr>
          <w:rFonts w:ascii="Narkisim" w:hAnsi="Narkisim" w:cs="Narkisim"/>
          <w:rtl/>
        </w:rPr>
        <w:t xml:space="preserve"> אבל מתייבמת ותגדל אצלו ותתקיים מצות יבום. משמע דלא סגי ביבום בקטנה, ובעי 'מצוות יבום' כשתגדל</w:t>
      </w:r>
      <w:r w:rsidRPr="00440CAB">
        <w:rPr>
          <w:rStyle w:val="ac"/>
          <w:rFonts w:ascii="Narkisim" w:hAnsi="Narkisim" w:cs="Narkisim"/>
          <w:rtl/>
        </w:rPr>
        <w:footnoteReference w:id="3731"/>
      </w:r>
      <w:r w:rsidRPr="00440CAB">
        <w:rPr>
          <w:rFonts w:ascii="Narkisim" w:hAnsi="Narkisim" w:cs="Narkisim"/>
          <w:rtl/>
        </w:rPr>
        <w:t>. וכן הביא ה</w:t>
      </w:r>
      <w:r w:rsidRPr="00440CAB">
        <w:rPr>
          <w:rFonts w:ascii="Narkisim" w:hAnsi="Narkisim" w:cs="Narkisim"/>
          <w:b/>
          <w:bCs/>
          <w:rtl/>
        </w:rPr>
        <w:t xml:space="preserve">עונג יו"ט </w:t>
      </w:r>
      <w:r w:rsidRPr="00440CAB">
        <w:rPr>
          <w:rFonts w:ascii="Narkisim" w:hAnsi="Narkisim" w:cs="Narkisim"/>
          <w:rtl/>
        </w:rPr>
        <w:t>(קעט) מדברי רש"י דהמייבם קטנה אף דקנאה מדאורייתא, לא קיים 'מצוות יבום'. דהא אינה ראויה להקמת שם ולהתעבר עד שתגדול</w:t>
      </w:r>
      <w:r w:rsidRPr="00440CAB">
        <w:rPr>
          <w:rStyle w:val="ac"/>
          <w:rFonts w:ascii="Narkisim" w:hAnsi="Narkisim" w:cs="Narkisim"/>
          <w:rtl/>
        </w:rPr>
        <w:footnoteReference w:id="3732"/>
      </w:r>
      <w:r w:rsidRPr="00440CAB">
        <w:rPr>
          <w:rFonts w:ascii="Narkisim" w:hAnsi="Narkisim" w:cs="Narkisim"/>
          <w:rtl/>
        </w:rPr>
        <w:t>. [וכקו' התוס' לעיל כ. ד"ה יבא</w:t>
      </w:r>
      <w:r w:rsidRPr="00440CAB">
        <w:rPr>
          <w:rStyle w:val="ac"/>
          <w:rFonts w:ascii="Narkisim" w:hAnsi="Narkisim" w:cs="Narkisim"/>
          <w:rtl/>
        </w:rPr>
        <w:footnoteReference w:id="3733"/>
      </w:r>
      <w:r w:rsidRPr="00440CAB">
        <w:rPr>
          <w:rFonts w:ascii="Narkisim" w:hAnsi="Narkisim" w:cs="Narkisim"/>
          <w:rtl/>
        </w:rPr>
        <w:t>]. וקונה קנין יבום מדאוריתא, ואפ"ה אינו יכול להוציאה בגט בלא חליצה</w:t>
      </w:r>
      <w:r w:rsidRPr="00440CAB">
        <w:rPr>
          <w:rStyle w:val="ac"/>
          <w:rFonts w:ascii="Narkisim" w:hAnsi="Narkisim" w:cs="Narkisim"/>
          <w:rtl/>
        </w:rPr>
        <w:footnoteReference w:id="3734"/>
      </w:r>
      <w:r w:rsidRPr="00440CAB">
        <w:rPr>
          <w:rFonts w:ascii="Narkisim" w:hAnsi="Narkisim" w:cs="Narkisim"/>
          <w:rtl/>
        </w:rPr>
        <w:t>.</w:t>
      </w:r>
    </w:p>
    <w:p w14:paraId="55613A20"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אחרונים</w:t>
      </w:r>
      <w:r w:rsidRPr="00440CAB">
        <w:rPr>
          <w:rFonts w:ascii="Narkisim" w:hAnsi="Narkisim"/>
          <w:rtl/>
        </w:rPr>
        <w:t xml:space="preserve"> הביאו ד</w:t>
      </w:r>
      <w:r w:rsidRPr="00440CAB">
        <w:rPr>
          <w:rFonts w:ascii="Narkisim" w:hAnsi="Narkisim"/>
          <w:b/>
          <w:bCs/>
          <w:rtl/>
        </w:rPr>
        <w:t>רש"י</w:t>
      </w:r>
      <w:r w:rsidRPr="00440CAB">
        <w:rPr>
          <w:rFonts w:ascii="Narkisim" w:hAnsi="Narkisim"/>
          <w:rtl/>
        </w:rPr>
        <w:t xml:space="preserve"> (סנהדרין נה:, וכעי"ז קידושין י.) כתב להדיא דקנאה היבם ויצאה ידי יבום, ומתגרשת בגט. דכיון דלקחה נעשית כאשתו לכל דבר, וזה הרי בא עליה. וה</w:t>
      </w:r>
      <w:r w:rsidRPr="00440CAB">
        <w:rPr>
          <w:rFonts w:ascii="Narkisim" w:hAnsi="Narkisim"/>
          <w:b/>
          <w:bCs/>
          <w:rtl/>
        </w:rPr>
        <w:t>או"ש</w:t>
      </w:r>
      <w:r w:rsidRPr="00440CAB">
        <w:rPr>
          <w:rFonts w:ascii="Narkisim" w:hAnsi="Narkisim"/>
          <w:rtl/>
        </w:rPr>
        <w:t xml:space="preserve"> (יבום א יז, וכן אמר"מ ו ה) כת' דקנאה ויכול להוציא בגט, ומ"מ יש מצוות ביאת יבום דהקמת שם. וכדברי ה</w:t>
      </w:r>
      <w:r w:rsidRPr="00440CAB">
        <w:rPr>
          <w:rFonts w:ascii="Narkisim" w:hAnsi="Narkisim"/>
          <w:b/>
          <w:bCs/>
          <w:rtl/>
        </w:rPr>
        <w:t>ראשונים</w:t>
      </w:r>
      <w:r w:rsidRPr="00440CAB">
        <w:rPr>
          <w:rFonts w:ascii="Narkisim" w:hAnsi="Narkisim"/>
          <w:rtl/>
        </w:rPr>
        <w:t xml:space="preserve"> (ע' רמב"ן לעיל כ:) דאף לאחר שקנאה [בהעראה] יש מצווה לגמור ביאתו כדי לבוא לידי הקמת שם</w:t>
      </w:r>
      <w:r w:rsidRPr="00440CAB">
        <w:rPr>
          <w:rStyle w:val="ac"/>
          <w:rFonts w:ascii="Narkisim" w:hAnsi="Narkisim"/>
          <w:rtl/>
        </w:rPr>
        <w:footnoteReference w:id="3735"/>
      </w:r>
      <w:r w:rsidRPr="00440CAB">
        <w:rPr>
          <w:rFonts w:ascii="Narkisim" w:hAnsi="Narkisim"/>
          <w:rtl/>
        </w:rPr>
        <w:t xml:space="preserve"> [וע' מש"כ בזה לעיל].</w:t>
      </w:r>
    </w:p>
    <w:p w14:paraId="0DFFAF9A" w14:textId="77777777" w:rsidR="006074A5" w:rsidRPr="00440CAB" w:rsidRDefault="006074A5" w:rsidP="006074A5">
      <w:pPr>
        <w:pStyle w:val="aa"/>
        <w:bidi/>
        <w:rPr>
          <w:rFonts w:ascii="Narkisim" w:hAnsi="Narkisim"/>
        </w:rPr>
      </w:pPr>
      <w:r w:rsidRPr="00440CAB">
        <w:rPr>
          <w:rFonts w:ascii="Narkisim" w:hAnsi="Narkisim"/>
          <w:u w:val="single"/>
          <w:rtl/>
        </w:rPr>
        <w:t>ותניא קטנה מתייבמת ואינה חולצת דברי ר"א.</w:t>
      </w:r>
      <w:r w:rsidRPr="00440CAB">
        <w:rPr>
          <w:rFonts w:ascii="Narkisim" w:hAnsi="Narkisim"/>
          <w:rtl/>
        </w:rPr>
        <w:t xml:space="preserve"> ו</w:t>
      </w:r>
      <w:r w:rsidRPr="00440CAB">
        <w:rPr>
          <w:rFonts w:ascii="Narkisim" w:hAnsi="Narkisim"/>
          <w:b/>
          <w:bCs/>
          <w:rtl/>
        </w:rPr>
        <w:t>רע"א</w:t>
      </w:r>
      <w:r w:rsidRPr="00440CAB">
        <w:rPr>
          <w:rFonts w:ascii="Narkisim" w:hAnsi="Narkisim"/>
          <w:rtl/>
        </w:rPr>
        <w:t xml:space="preserve"> הק' דנימא דהך ברייתא איירי דלא קיבלה עליה, ומש"ה קטנה מתייבמת ממ"נ, דאי הוה אילונית הוה מקח טעות</w:t>
      </w:r>
      <w:r w:rsidRPr="00440CAB">
        <w:rPr>
          <w:rStyle w:val="ac"/>
          <w:rFonts w:ascii="Narkisim" w:hAnsi="Narkisim"/>
          <w:rtl/>
        </w:rPr>
        <w:footnoteReference w:id="3736"/>
      </w:r>
      <w:r w:rsidRPr="00440CAB">
        <w:rPr>
          <w:rFonts w:ascii="Narkisim" w:hAnsi="Narkisim"/>
          <w:rtl/>
        </w:rPr>
        <w:t>.</w:t>
      </w:r>
    </w:p>
    <w:p w14:paraId="2500667D" w14:textId="77777777" w:rsidR="006074A5" w:rsidRPr="00440CAB" w:rsidRDefault="006074A5" w:rsidP="006074A5">
      <w:pPr>
        <w:bidi/>
        <w:rPr>
          <w:rFonts w:ascii="Narkisim" w:hAnsi="Narkisim" w:cs="Narkisim"/>
        </w:rPr>
      </w:pPr>
      <w:r w:rsidRPr="00440CAB">
        <w:rPr>
          <w:rFonts w:ascii="Narkisim" w:hAnsi="Narkisim" w:cs="Narkisim"/>
          <w:u w:val="single"/>
          <w:rtl/>
        </w:rPr>
        <w:lastRenderedPageBreak/>
        <w:t>והתניא זונה כשמה דברי ר' אליעזר</w:t>
      </w:r>
      <w:r w:rsidRPr="00440CAB">
        <w:rPr>
          <w:rFonts w:ascii="Narkisim" w:hAnsi="Narkisim" w:cs="Narkisim"/>
          <w:rtl/>
        </w:rPr>
        <w:t>. פ</w:t>
      </w:r>
      <w:r w:rsidRPr="00440CAB">
        <w:rPr>
          <w:rFonts w:ascii="Narkisim" w:hAnsi="Narkisim" w:cs="Narkisim"/>
          <w:b/>
          <w:bCs/>
          <w:rtl/>
        </w:rPr>
        <w:t>רש"י</w:t>
      </w:r>
      <w:r w:rsidRPr="00440CAB">
        <w:rPr>
          <w:rFonts w:ascii="Narkisim" w:hAnsi="Narkisim" w:cs="Narkisim"/>
          <w:rtl/>
        </w:rPr>
        <w:t xml:space="preserve"> אשת איש שזינתה, וטועה מתחת בעלה לאחרים. [וכו"ע מודו דאשת איש שזינתה הוה בכלל זונה. וע"ע בסוגיא לעיל נו:].</w:t>
      </w:r>
    </w:p>
    <w:p w14:paraId="1B687E16" w14:textId="77777777" w:rsidR="006074A5" w:rsidRPr="00440CAB" w:rsidRDefault="006074A5" w:rsidP="006074A5">
      <w:pPr>
        <w:bidi/>
        <w:rPr>
          <w:rFonts w:ascii="Narkisim" w:hAnsi="Narkisim" w:cs="Narkisim"/>
        </w:rPr>
      </w:pPr>
      <w:r w:rsidRPr="00440CAB">
        <w:rPr>
          <w:rFonts w:ascii="Narkisim" w:hAnsi="Narkisim" w:cs="Narkisim"/>
          <w:u w:val="single"/>
          <w:rtl/>
        </w:rPr>
        <w:t>ר' עקיבא אומר זונה זו מופקרת.</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אפי' פנויה, שהפקירה עצמה לכל. </w:t>
      </w:r>
      <w:r w:rsidRPr="00440CAB">
        <w:rPr>
          <w:rFonts w:ascii="Narkisim" w:hAnsi="Narkisim" w:cs="Narkisim"/>
          <w:b/>
          <w:bCs/>
          <w:rtl/>
        </w:rPr>
        <w:t>תוס'</w:t>
      </w:r>
      <w:r w:rsidRPr="00440CAB">
        <w:rPr>
          <w:rFonts w:ascii="Narkisim" w:hAnsi="Narkisim" w:cs="Narkisim"/>
          <w:rtl/>
        </w:rPr>
        <w:t xml:space="preserve"> (סנהדרין נ: ד"ה ת"ל, ותוס' רא"ש בשיטמ"ק כתובות ל.) כת' דלר"ע נעשית זונה בכמה בעילות</w:t>
      </w:r>
      <w:r w:rsidRPr="00440CAB">
        <w:rPr>
          <w:rStyle w:val="ac"/>
          <w:rFonts w:ascii="Narkisim" w:hAnsi="Narkisim" w:cs="Narkisim"/>
          <w:rtl/>
        </w:rPr>
        <w:footnoteReference w:id="3737"/>
      </w:r>
      <w:r w:rsidRPr="00440CAB">
        <w:rPr>
          <w:rFonts w:ascii="Narkisim" w:hAnsi="Narkisim" w:cs="Narkisim"/>
          <w:rtl/>
        </w:rPr>
        <w:t>.</w:t>
      </w:r>
    </w:p>
    <w:p w14:paraId="12B9E012"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משנ"ל</w:t>
      </w:r>
      <w:r w:rsidRPr="00440CAB">
        <w:rPr>
          <w:rFonts w:ascii="Narkisim" w:hAnsi="Narkisim"/>
          <w:rtl/>
        </w:rPr>
        <w:t xml:space="preserve"> (יח ב בסו"ד) דייק מדברי רש"י דהיכא דזינתה רק מאדם א' לא נחשבת זונה לר"ע, ודוקא הפקירה לכל עובר ושב. ואילו מדברי התוס' משמע דבביאות הרבה הוה זונה.</w:t>
      </w:r>
    </w:p>
    <w:p w14:paraId="7FD5D05A" w14:textId="77777777" w:rsidR="006074A5" w:rsidRPr="00440CAB" w:rsidRDefault="006074A5" w:rsidP="006074A5">
      <w:pPr>
        <w:bidi/>
        <w:rPr>
          <w:rFonts w:ascii="Narkisim" w:hAnsi="Narkisim" w:cs="Narkisim"/>
        </w:rPr>
      </w:pPr>
      <w:r w:rsidRPr="00440CAB">
        <w:rPr>
          <w:rFonts w:ascii="Narkisim" w:hAnsi="Narkisim" w:cs="Narkisim"/>
          <w:u w:val="single"/>
          <w:rtl/>
        </w:rPr>
        <w:t>רבי מתיא בן חרש אפי' הלך בעלה וכו'.</w:t>
      </w:r>
      <w:r w:rsidRPr="00440CAB">
        <w:rPr>
          <w:rFonts w:ascii="Narkisim" w:hAnsi="Narkisim" w:cs="Narkisim"/>
          <w:rtl/>
        </w:rPr>
        <w:t xml:space="preserve"> סוטה ספק שנאסרת על בעלה [עד שתשתה], ובא עליה. פ</w:t>
      </w:r>
      <w:r w:rsidRPr="00440CAB">
        <w:rPr>
          <w:rFonts w:ascii="Narkisim" w:hAnsi="Narkisim" w:cs="Narkisim"/>
          <w:b/>
          <w:bCs/>
          <w:rtl/>
        </w:rPr>
        <w:t>רש"י</w:t>
      </w:r>
      <w:r w:rsidRPr="00440CAB">
        <w:rPr>
          <w:rFonts w:ascii="Narkisim" w:hAnsi="Narkisim" w:cs="Narkisim"/>
          <w:rtl/>
        </w:rPr>
        <w:t xml:space="preserve"> הואיל ונבעלה לפסול לה. וה</w:t>
      </w:r>
      <w:r w:rsidRPr="00440CAB">
        <w:rPr>
          <w:rFonts w:ascii="Narkisim" w:hAnsi="Narkisim" w:cs="Narkisim"/>
          <w:b/>
          <w:bCs/>
          <w:rtl/>
        </w:rPr>
        <w:t>חזו"א</w:t>
      </w:r>
      <w:r w:rsidRPr="00440CAB">
        <w:rPr>
          <w:rFonts w:ascii="Narkisim" w:hAnsi="Narkisim" w:cs="Narkisim"/>
          <w:rtl/>
        </w:rPr>
        <w:t xml:space="preserve"> </w:t>
      </w:r>
      <w:r w:rsidRPr="00440CAB">
        <w:rPr>
          <w:rFonts w:ascii="Narkisim" w:hAnsi="Narkisim" w:cs="Narkisim"/>
          <w:sz w:val="20"/>
          <w:szCs w:val="20"/>
          <w:rtl/>
        </w:rPr>
        <w:t xml:space="preserve">(טו א) </w:t>
      </w:r>
      <w:r w:rsidRPr="00440CAB">
        <w:rPr>
          <w:rFonts w:ascii="Narkisim" w:hAnsi="Narkisim" w:cs="Narkisim"/>
          <w:rtl/>
        </w:rPr>
        <w:t>ביאר דנקט האיסור הקל ביותר, דבסוטה לבעל תפסי קידושין לכו"ע (כדלעיל מט:).</w:t>
      </w:r>
    </w:p>
    <w:p w14:paraId="48A70747" w14:textId="77777777" w:rsidR="006074A5" w:rsidRPr="00440CAB" w:rsidRDefault="006074A5" w:rsidP="006074A5">
      <w:pPr>
        <w:bidi/>
        <w:rPr>
          <w:rFonts w:ascii="Narkisim" w:hAnsi="Narkisim" w:cs="Narkisim"/>
        </w:rPr>
      </w:pPr>
      <w:r w:rsidRPr="00440CAB">
        <w:rPr>
          <w:rFonts w:ascii="Narkisim" w:hAnsi="Narkisim" w:cs="Narkisim"/>
          <w:u w:val="single"/>
          <w:rtl/>
        </w:rPr>
        <w:t>שם. בא עליה בדרך.</w:t>
      </w:r>
      <w:r w:rsidRPr="00440CAB">
        <w:rPr>
          <w:rFonts w:ascii="Narkisim" w:hAnsi="Narkisim" w:cs="Narkisim"/>
          <w:rtl/>
        </w:rPr>
        <w:t xml:space="preserve"> </w:t>
      </w:r>
      <w:r w:rsidRPr="00440CAB">
        <w:rPr>
          <w:rFonts w:ascii="Narkisim" w:hAnsi="Narkisim" w:cs="Narkisim"/>
          <w:b/>
          <w:bCs/>
          <w:rtl/>
        </w:rPr>
        <w:t>רע"א</w:t>
      </w:r>
      <w:r w:rsidRPr="00440CAB">
        <w:rPr>
          <w:rFonts w:ascii="Narkisim" w:hAnsi="Narkisim" w:cs="Narkisim"/>
          <w:rtl/>
        </w:rPr>
        <w:t xml:space="preserve"> הקשה דמאי נפק"מ במה שנעשית זונה, הא בלאו הכי אסורה לכהונה מחמת קינוי וסתירה. וכיון דהבעל אינו מנוקה מעוון א"א להשקות ולברר. וכת' דאולי י"ל דנפק"מ לענין מלקות, דמחמת קינוי וסתירה הוה רק עשה [וכ</w:t>
      </w:r>
      <w:r w:rsidRPr="00440CAB">
        <w:rPr>
          <w:rFonts w:ascii="Narkisim" w:hAnsi="Narkisim" w:cs="Narkisim"/>
          <w:b/>
          <w:bCs/>
          <w:rtl/>
        </w:rPr>
        <w:t>תוס</w:t>
      </w:r>
      <w:r w:rsidRPr="00440CAB">
        <w:rPr>
          <w:rFonts w:ascii="Narkisim" w:hAnsi="Narkisim" w:cs="Narkisim"/>
          <w:rtl/>
        </w:rPr>
        <w:t>' (לקמן סט.) דסוטה ספק אינו לוקה, דהוה רק עשה</w:t>
      </w:r>
      <w:r w:rsidRPr="00440CAB">
        <w:rPr>
          <w:rStyle w:val="ac"/>
          <w:rFonts w:ascii="Narkisim" w:hAnsi="Narkisim" w:cs="Narkisim"/>
          <w:rtl/>
        </w:rPr>
        <w:footnoteReference w:id="3738"/>
      </w:r>
      <w:r w:rsidRPr="00440CAB">
        <w:rPr>
          <w:rFonts w:ascii="Narkisim" w:hAnsi="Narkisim" w:cs="Narkisim"/>
          <w:rtl/>
        </w:rPr>
        <w:t>]. ואפ"ה כיון דהתורה עשתה ספק מקרי ביאה פסולה ונעשית חללה</w:t>
      </w:r>
      <w:r w:rsidRPr="00440CAB">
        <w:rPr>
          <w:rStyle w:val="ac"/>
          <w:rFonts w:ascii="Narkisim" w:hAnsi="Narkisim" w:cs="Narkisim"/>
          <w:rtl/>
        </w:rPr>
        <w:footnoteReference w:id="3739"/>
      </w:r>
      <w:r w:rsidRPr="00440CAB">
        <w:rPr>
          <w:rFonts w:ascii="Narkisim" w:hAnsi="Narkisim" w:cs="Narkisim"/>
          <w:rtl/>
        </w:rPr>
        <w:t>.</w:t>
      </w:r>
    </w:p>
    <w:p w14:paraId="4ACF0EED" w14:textId="77777777" w:rsidR="006074A5" w:rsidRPr="00440CAB" w:rsidRDefault="006074A5" w:rsidP="006074A5">
      <w:pPr>
        <w:pStyle w:val="a8"/>
        <w:bidi/>
        <w:rPr>
          <w:rFonts w:ascii="Narkisim" w:hAnsi="Narkisim"/>
        </w:rPr>
      </w:pPr>
      <w:r w:rsidRPr="00440CAB">
        <w:rPr>
          <w:rFonts w:ascii="Narkisim" w:hAnsi="Narkisim"/>
          <w:rtl/>
        </w:rPr>
        <w:t>אך ה</w:t>
      </w:r>
      <w:r w:rsidRPr="00440CAB">
        <w:rPr>
          <w:rFonts w:ascii="Narkisim" w:hAnsi="Narkisim"/>
          <w:b/>
          <w:bCs/>
          <w:rtl/>
        </w:rPr>
        <w:t>אחרונים</w:t>
      </w:r>
      <w:r w:rsidRPr="00440CAB">
        <w:rPr>
          <w:rFonts w:ascii="Narkisim" w:hAnsi="Narkisim"/>
          <w:rtl/>
        </w:rPr>
        <w:t xml:space="preserve"> הק' דממ"נ, על הצד שהיא נטמאה א"כ לא נוסף שום איסור במה שבעלה בא עליה. וה</w:t>
      </w:r>
      <w:r w:rsidRPr="00440CAB">
        <w:rPr>
          <w:rFonts w:ascii="Narkisim" w:hAnsi="Narkisim"/>
          <w:b/>
          <w:bCs/>
          <w:rtl/>
        </w:rPr>
        <w:t>אחרונים</w:t>
      </w:r>
      <w:r w:rsidRPr="00440CAB">
        <w:rPr>
          <w:rFonts w:ascii="Narkisim" w:hAnsi="Narkisim"/>
          <w:rtl/>
        </w:rPr>
        <w:t xml:space="preserve"> (</w:t>
      </w:r>
      <w:r w:rsidRPr="00440CAB">
        <w:rPr>
          <w:rFonts w:ascii="Narkisim" w:hAnsi="Narkisim"/>
          <w:b/>
          <w:bCs/>
          <w:rtl/>
        </w:rPr>
        <w:t xml:space="preserve">קובה"ע </w:t>
      </w:r>
      <w:r w:rsidRPr="00440CAB">
        <w:rPr>
          <w:rFonts w:ascii="Narkisim" w:hAnsi="Narkisim"/>
          <w:rtl/>
        </w:rPr>
        <w:t>טו ועוד) חקרו בגדר הא דהתורה עושה ספק כודאי</w:t>
      </w:r>
      <w:r w:rsidRPr="00440CAB">
        <w:rPr>
          <w:rStyle w:val="ac"/>
          <w:rFonts w:ascii="Narkisim" w:hAnsi="Narkisim"/>
          <w:rtl/>
        </w:rPr>
        <w:footnoteReference w:id="3740"/>
      </w:r>
      <w:r w:rsidRPr="00440CAB">
        <w:rPr>
          <w:rFonts w:ascii="Narkisim" w:hAnsi="Narkisim"/>
          <w:rtl/>
        </w:rPr>
        <w:t>, האם הוה גדר הכרעה לצד שנטמאה, או דהתורה טימאתו [טומאה חדשה] בתורת ודאי מחמת הספק</w:t>
      </w:r>
      <w:r w:rsidRPr="00440CAB">
        <w:rPr>
          <w:rStyle w:val="ac"/>
          <w:rFonts w:ascii="Narkisim" w:hAnsi="Narkisim"/>
          <w:rtl/>
        </w:rPr>
        <w:footnoteReference w:id="3741"/>
      </w:r>
      <w:r w:rsidRPr="00440CAB">
        <w:rPr>
          <w:rFonts w:ascii="Narkisim" w:hAnsi="Narkisim"/>
          <w:rtl/>
        </w:rPr>
        <w:t>.</w:t>
      </w:r>
    </w:p>
    <w:p w14:paraId="047C75AA"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קובה"ע</w:t>
      </w:r>
      <w:r w:rsidRPr="00440CAB">
        <w:rPr>
          <w:rFonts w:ascii="Narkisim" w:hAnsi="Narkisim"/>
          <w:rtl/>
        </w:rPr>
        <w:t xml:space="preserve"> (שם יז) ביאר ע"פ הצד דהוה טומאה חדשה, ואף לצד שכלפי שמיא היא טהורה. אפ"ה כיון דאסורה לבעלה בתורת ודאי, עי"ז נחשבת זונה. ושוב כתב (שם כב) דאף לצד דגדר ספק סוטה משום הכרעת טומאה, מ"מ כיון דהוכרע דאסורה לבעל כתולדה מכך אסורה לכהונה. וסיבת האיסור המחודש דבעלה בא עליה בדרך הוה תולדה מאיסור הבעל</w:t>
      </w:r>
      <w:r w:rsidRPr="00440CAB">
        <w:rPr>
          <w:rStyle w:val="ac"/>
          <w:rFonts w:ascii="Narkisim" w:hAnsi="Narkisim"/>
          <w:rtl/>
        </w:rPr>
        <w:footnoteReference w:id="3742"/>
      </w:r>
      <w:r w:rsidRPr="00440CAB">
        <w:rPr>
          <w:rFonts w:ascii="Narkisim" w:hAnsi="Narkisim"/>
          <w:rtl/>
        </w:rPr>
        <w:t>.</w:t>
      </w:r>
    </w:p>
    <w:p w14:paraId="35BAACE3"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ערול"נ</w:t>
      </w:r>
      <w:r w:rsidRPr="00440CAB">
        <w:rPr>
          <w:rFonts w:ascii="Narkisim" w:hAnsi="Narkisim"/>
          <w:rtl/>
        </w:rPr>
        <w:t xml:space="preserve"> נסתפק דאף אם אח"כ באו עדים שהיא טהורה, מ"מ בשעה שבא עליה היתה באיסור ספק כודאי</w:t>
      </w:r>
      <w:r w:rsidRPr="00440CAB">
        <w:rPr>
          <w:rStyle w:val="ac"/>
          <w:rFonts w:ascii="Narkisim" w:hAnsi="Narkisim"/>
          <w:rtl/>
        </w:rPr>
        <w:footnoteReference w:id="3743"/>
      </w:r>
      <w:r w:rsidRPr="00440CAB">
        <w:rPr>
          <w:rFonts w:ascii="Narkisim" w:hAnsi="Narkisim"/>
          <w:rtl/>
        </w:rPr>
        <w:t>.</w:t>
      </w:r>
    </w:p>
    <w:p w14:paraId="558747CC" w14:textId="77777777" w:rsidR="006074A5" w:rsidRPr="00440CAB" w:rsidRDefault="006074A5" w:rsidP="006074A5">
      <w:pPr>
        <w:bidi/>
        <w:rPr>
          <w:rFonts w:ascii="Narkisim" w:hAnsi="Narkisim" w:cs="Narkisim"/>
        </w:rPr>
      </w:pPr>
      <w:r w:rsidRPr="00440CAB">
        <w:rPr>
          <w:rFonts w:ascii="Narkisim" w:hAnsi="Narkisim" w:cs="Narkisim"/>
          <w:u w:val="single"/>
          <w:rtl/>
        </w:rPr>
        <w:t>וחכ"א אין זונה וכו' ושנבעלה בעילת זנות</w:t>
      </w:r>
      <w:r w:rsidRPr="00440CAB">
        <w:rPr>
          <w:rFonts w:ascii="Narkisim" w:hAnsi="Narkisim" w:cs="Narkisim"/>
          <w:rtl/>
        </w:rPr>
        <w:t>. [וכתנא דמתני']. פ</w:t>
      </w:r>
      <w:r w:rsidRPr="00440CAB">
        <w:rPr>
          <w:rFonts w:ascii="Narkisim" w:hAnsi="Narkisim" w:cs="Narkisim"/>
          <w:b/>
          <w:bCs/>
          <w:rtl/>
        </w:rPr>
        <w:t>רש"י</w:t>
      </w:r>
      <w:r w:rsidRPr="00440CAB">
        <w:rPr>
          <w:rFonts w:ascii="Narkisim" w:hAnsi="Narkisim" w:cs="Narkisim"/>
          <w:rtl/>
        </w:rPr>
        <w:t xml:space="preserve"> לפסול לה, כגון עריות ונתין וממזר. </w:t>
      </w:r>
      <w:r w:rsidRPr="00440CAB">
        <w:rPr>
          <w:rFonts w:ascii="Narkisim" w:hAnsi="Narkisim" w:cs="Narkisim"/>
          <w:b/>
          <w:bCs/>
          <w:rtl/>
        </w:rPr>
        <w:t>תוס</w:t>
      </w:r>
      <w:r w:rsidRPr="00440CAB">
        <w:rPr>
          <w:rFonts w:ascii="Narkisim" w:hAnsi="Narkisim" w:cs="Narkisim"/>
          <w:rtl/>
        </w:rPr>
        <w:t>' (בע"א) נקטו בדעת רש"י דלדעת רבנן כל ביאה מפסול לה. וכ"ד ה</w:t>
      </w:r>
      <w:r w:rsidRPr="00440CAB">
        <w:rPr>
          <w:rFonts w:ascii="Narkisim" w:hAnsi="Narkisim" w:cs="Narkisim"/>
          <w:b/>
          <w:bCs/>
          <w:rtl/>
        </w:rPr>
        <w:t>רמב"ם</w:t>
      </w:r>
      <w:r w:rsidRPr="00440CAB">
        <w:rPr>
          <w:rFonts w:ascii="Narkisim" w:hAnsi="Narkisim" w:cs="Narkisim"/>
          <w:rtl/>
        </w:rPr>
        <w:t xml:space="preserve"> (יח א) דכל איסור השווה לכל עשאה זונה. אבל </w:t>
      </w:r>
      <w:r w:rsidRPr="00440CAB">
        <w:rPr>
          <w:rFonts w:ascii="Narkisim" w:hAnsi="Narkisim" w:cs="Narkisim"/>
          <w:b/>
          <w:bCs/>
          <w:rtl/>
        </w:rPr>
        <w:t>רש"י</w:t>
      </w:r>
      <w:r w:rsidRPr="00440CAB">
        <w:rPr>
          <w:rFonts w:ascii="Narkisim" w:hAnsi="Narkisim" w:cs="Narkisim"/>
          <w:rtl/>
        </w:rPr>
        <w:t xml:space="preserve"> (כאן) נקט דוקא חייבי כריתות ופסולי קהל. [וע' מה שהו' בע"א].</w:t>
      </w:r>
    </w:p>
    <w:p w14:paraId="41DA33F4" w14:textId="77777777" w:rsidR="006074A5" w:rsidRPr="00440CAB" w:rsidRDefault="006074A5" w:rsidP="006074A5">
      <w:pPr>
        <w:bidi/>
        <w:rPr>
          <w:rFonts w:ascii="Narkisim" w:hAnsi="Narkisim" w:cs="Narkisim"/>
        </w:rPr>
      </w:pPr>
      <w:r w:rsidRPr="00440CAB">
        <w:rPr>
          <w:rFonts w:ascii="Narkisim" w:hAnsi="Narkisim" w:cs="Narkisim"/>
          <w:rtl/>
        </w:rPr>
        <w:t>ודעת ר' מתיא דבכל איסור בעלמא עשאה זונה, ואף איסור סוטה</w:t>
      </w:r>
      <w:r w:rsidRPr="00440CAB">
        <w:rPr>
          <w:rStyle w:val="ac"/>
          <w:rFonts w:ascii="Narkisim" w:hAnsi="Narkisim" w:cs="Narkisim"/>
          <w:rtl/>
        </w:rPr>
        <w:footnoteReference w:id="3744"/>
      </w:r>
      <w:r w:rsidRPr="00440CAB">
        <w:rPr>
          <w:rFonts w:ascii="Narkisim" w:hAnsi="Narkisim" w:cs="Narkisim"/>
          <w:rtl/>
        </w:rPr>
        <w:t xml:space="preserve">, ומשמע דרבנן פליגי דדוקא בעילת זנות. </w:t>
      </w:r>
      <w:r w:rsidRPr="00440CAB">
        <w:rPr>
          <w:rFonts w:ascii="Narkisim" w:hAnsi="Narkisim" w:cs="Narkisim"/>
          <w:szCs w:val="20"/>
          <w:rtl/>
        </w:rPr>
        <w:t xml:space="preserve">ולדעת תוס' היינו חייבי כריתות. ולדעת רש"י אף פסולי קהל. ולדעת הרמב"ם כל חייבי </w:t>
      </w:r>
      <w:r w:rsidRPr="00440CAB">
        <w:rPr>
          <w:rFonts w:ascii="Narkisim" w:hAnsi="Narkisim" w:cs="Narkisim"/>
          <w:szCs w:val="20"/>
          <w:rtl/>
        </w:rPr>
        <w:lastRenderedPageBreak/>
        <w:t>לאוין השווין לכל</w:t>
      </w:r>
      <w:r w:rsidRPr="00440CAB">
        <w:rPr>
          <w:rStyle w:val="ac"/>
          <w:rFonts w:ascii="Narkisim" w:hAnsi="Narkisim" w:cs="Narkisim"/>
          <w:szCs w:val="20"/>
          <w:rtl/>
        </w:rPr>
        <w:footnoteReference w:id="3745"/>
      </w:r>
      <w:r w:rsidRPr="00440CAB">
        <w:rPr>
          <w:rFonts w:ascii="Narkisim" w:hAnsi="Narkisim" w:cs="Narkisim"/>
          <w:szCs w:val="20"/>
          <w:rtl/>
        </w:rPr>
        <w:t>.</w:t>
      </w:r>
    </w:p>
    <w:p w14:paraId="6B07DF1F"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מאירי</w:t>
      </w:r>
      <w:r w:rsidRPr="00440CAB">
        <w:rPr>
          <w:rFonts w:ascii="Narkisim" w:hAnsi="Narkisim"/>
          <w:rtl/>
        </w:rPr>
        <w:t xml:space="preserve"> כת' [דלדעת רבנן] אשה אצל בעלה אף ביאת איסור לא הוי זונה</w:t>
      </w:r>
      <w:r w:rsidRPr="00440CAB">
        <w:rPr>
          <w:rStyle w:val="ac"/>
          <w:rFonts w:ascii="Narkisim" w:hAnsi="Narkisim"/>
          <w:rtl/>
        </w:rPr>
        <w:footnoteReference w:id="3746"/>
      </w:r>
      <w:r w:rsidRPr="00440CAB">
        <w:rPr>
          <w:rFonts w:ascii="Narkisim" w:hAnsi="Narkisim"/>
          <w:rtl/>
        </w:rPr>
        <w:t>. [וצ"ב].</w:t>
      </w:r>
    </w:p>
    <w:p w14:paraId="28078D0B" w14:textId="77777777" w:rsidR="006074A5" w:rsidRPr="00440CAB" w:rsidRDefault="006074A5" w:rsidP="006074A5">
      <w:pPr>
        <w:bidi/>
        <w:rPr>
          <w:rFonts w:ascii="Narkisim" w:hAnsi="Narkisim" w:cs="Narkisim"/>
        </w:rPr>
      </w:pPr>
      <w:r w:rsidRPr="00440CAB">
        <w:rPr>
          <w:rFonts w:ascii="Narkisim" w:hAnsi="Narkisim" w:cs="Narkisim"/>
          <w:u w:val="single"/>
          <w:rtl/>
        </w:rPr>
        <w:t>אלא א"ר אדא בר אהבה הכא בכה"ג עסקינן, לאימת קני וכו' בעולה היא.</w:t>
      </w:r>
      <w:r w:rsidRPr="00440CAB">
        <w:rPr>
          <w:rFonts w:ascii="Narkisim" w:hAnsi="Narkisim" w:cs="Narkisim"/>
          <w:rtl/>
        </w:rPr>
        <w:t xml:space="preserve"> ה</w:t>
      </w:r>
      <w:r w:rsidRPr="00440CAB">
        <w:rPr>
          <w:rFonts w:ascii="Narkisim" w:hAnsi="Narkisim" w:cs="Narkisim"/>
          <w:b/>
          <w:bCs/>
          <w:rtl/>
        </w:rPr>
        <w:t>משנ"ל</w:t>
      </w:r>
      <w:r w:rsidRPr="00440CAB">
        <w:rPr>
          <w:rFonts w:ascii="Narkisim" w:hAnsi="Narkisim" w:cs="Narkisim"/>
          <w:rtl/>
        </w:rPr>
        <w:t xml:space="preserve"> (יז טו) דייק דכל הנידון שנושא אחר שגדלה. אבל במה שבא עליה בקטנותה אינו עובר. וכדעת ה</w:t>
      </w:r>
      <w:r w:rsidRPr="00440CAB">
        <w:rPr>
          <w:rFonts w:ascii="Narkisim" w:hAnsi="Narkisim" w:cs="Narkisim"/>
          <w:b/>
          <w:bCs/>
          <w:rtl/>
        </w:rPr>
        <w:t>רמב"ם</w:t>
      </w:r>
      <w:r w:rsidRPr="00440CAB">
        <w:rPr>
          <w:rFonts w:ascii="Narkisim" w:hAnsi="Narkisim" w:cs="Narkisim"/>
          <w:rtl/>
        </w:rPr>
        <w:t xml:space="preserve"> (יט ד, הו' ס.) דאין איסור בעולה לכה"ג בלא קידושין. וה</w:t>
      </w:r>
      <w:r w:rsidRPr="00440CAB">
        <w:rPr>
          <w:rFonts w:ascii="Narkisim" w:hAnsi="Narkisim" w:cs="Narkisim"/>
          <w:b/>
          <w:bCs/>
          <w:rtl/>
        </w:rPr>
        <w:t>אבנ"מ</w:t>
      </w:r>
      <w:r w:rsidRPr="00440CAB">
        <w:rPr>
          <w:rFonts w:ascii="Narkisim" w:hAnsi="Narkisim" w:cs="Narkisim"/>
          <w:rtl/>
        </w:rPr>
        <w:t xml:space="preserve"> (ז ט) כתב ליישב אף לדעת החולקים על הרמב"ם דבעולה אסורה בלא קידושין מקרא דלא יחלל. ה"מ בעולת אחרים דהוה בכלל לא יחלל. אבל בעולת עצמו אינו מחלל [וכדברי הרמב"ן לעיל נט.], אלא דעובר בעשה דאשה בבתוליה יקח. וקטנה דאינה ראויה לקידושין ליכא הך עשה.</w:t>
      </w:r>
    </w:p>
    <w:p w14:paraId="44BA9E4F" w14:textId="77777777" w:rsidR="006074A5" w:rsidRPr="00440CAB" w:rsidRDefault="006074A5" w:rsidP="006074A5">
      <w:pPr>
        <w:pStyle w:val="aa"/>
        <w:bidi/>
        <w:rPr>
          <w:rFonts w:ascii="Narkisim" w:hAnsi="Narkisim"/>
        </w:rPr>
      </w:pPr>
      <w:r w:rsidRPr="00440CAB">
        <w:rPr>
          <w:rFonts w:ascii="Narkisim" w:hAnsi="Narkisim"/>
          <w:u w:val="single"/>
          <w:rtl/>
        </w:rPr>
        <w:t>פיתוי קטנה אונס.</w:t>
      </w:r>
      <w:r w:rsidRPr="00440CAB">
        <w:rPr>
          <w:rFonts w:ascii="Narkisim" w:hAnsi="Narkisim"/>
          <w:rtl/>
        </w:rPr>
        <w:t xml:space="preserve"> [וכן אי' לעיל לג:]. אבל ה</w:t>
      </w:r>
      <w:r w:rsidRPr="00440CAB">
        <w:rPr>
          <w:rFonts w:ascii="Narkisim" w:hAnsi="Narkisim"/>
          <w:b/>
          <w:bCs/>
          <w:rtl/>
        </w:rPr>
        <w:t>רמב"ם</w:t>
      </w:r>
      <w:r w:rsidRPr="00440CAB">
        <w:rPr>
          <w:rFonts w:ascii="Narkisim" w:hAnsi="Narkisim"/>
          <w:rtl/>
        </w:rPr>
        <w:t xml:space="preserve"> (איסו"ב ג ב) פסק דאף קטנה נאסרת על בעלה. ולא נחשב אונס. [וע' מה שהו' לעיל לג:]. וה</w:t>
      </w:r>
      <w:r w:rsidRPr="00440CAB">
        <w:rPr>
          <w:rFonts w:ascii="Narkisim" w:hAnsi="Narkisim"/>
          <w:b/>
          <w:bCs/>
          <w:rtl/>
        </w:rPr>
        <w:t>אחרונים</w:t>
      </w:r>
      <w:r w:rsidRPr="00440CAB">
        <w:rPr>
          <w:rFonts w:ascii="Narkisim" w:hAnsi="Narkisim"/>
          <w:rtl/>
        </w:rPr>
        <w:t xml:space="preserve"> כת' דמסוגיין לא קשה דהוה רק הו"א, דלהלכה קי"ל דאף כהן הדיוט מותר בקטנה. ולא חששו לפיתוי כלל.</w:t>
      </w:r>
    </w:p>
    <w:p w14:paraId="46582932" w14:textId="77777777" w:rsidR="006074A5" w:rsidRPr="00440CAB" w:rsidRDefault="006074A5" w:rsidP="006074A5">
      <w:pPr>
        <w:bidi/>
        <w:rPr>
          <w:rFonts w:ascii="Narkisim" w:hAnsi="Narkisim" w:cs="Narkisim"/>
        </w:rPr>
      </w:pPr>
      <w:r w:rsidRPr="00440CAB">
        <w:rPr>
          <w:rFonts w:ascii="Narkisim" w:hAnsi="Narkisim" w:cs="Narkisim"/>
          <w:u w:val="single"/>
          <w:rtl/>
        </w:rPr>
        <w:t>רב פפא אמר בתולה יכול קטנה וכו'.</w:t>
      </w:r>
      <w:r w:rsidRPr="00440CAB">
        <w:rPr>
          <w:rFonts w:ascii="Narkisim" w:hAnsi="Narkisim" w:cs="Narkisim"/>
          <w:rtl/>
        </w:rPr>
        <w:t xml:space="preserve"> (וכ"פ ה</w:t>
      </w:r>
      <w:r w:rsidRPr="00440CAB">
        <w:rPr>
          <w:rFonts w:ascii="Narkisim" w:hAnsi="Narkisim" w:cs="Narkisim"/>
          <w:b/>
          <w:bCs/>
          <w:rtl/>
        </w:rPr>
        <w:t>רמב"ם</w:t>
      </w:r>
      <w:r w:rsidRPr="00440CAB">
        <w:rPr>
          <w:rFonts w:ascii="Narkisim" w:hAnsi="Narkisim" w:cs="Narkisim"/>
          <w:rtl/>
        </w:rPr>
        <w:t xml:space="preserve"> יז יג). ה</w:t>
      </w:r>
      <w:r w:rsidRPr="00440CAB">
        <w:rPr>
          <w:rFonts w:ascii="Narkisim" w:hAnsi="Narkisim" w:cs="Narkisim"/>
          <w:b/>
          <w:bCs/>
          <w:rtl/>
        </w:rPr>
        <w:t>קר"א</w:t>
      </w:r>
      <w:r w:rsidRPr="00440CAB">
        <w:rPr>
          <w:rFonts w:ascii="Narkisim" w:hAnsi="Narkisim" w:cs="Narkisim"/>
          <w:rtl/>
        </w:rPr>
        <w:t xml:space="preserve"> ו</w:t>
      </w:r>
      <w:r w:rsidRPr="00440CAB">
        <w:rPr>
          <w:rFonts w:ascii="Narkisim" w:hAnsi="Narkisim" w:cs="Narkisim"/>
          <w:b/>
          <w:bCs/>
          <w:rtl/>
        </w:rPr>
        <w:t>או"ש</w:t>
      </w:r>
      <w:r w:rsidRPr="00440CAB">
        <w:rPr>
          <w:rFonts w:ascii="Narkisim" w:hAnsi="Narkisim" w:cs="Narkisim"/>
          <w:rtl/>
        </w:rPr>
        <w:t xml:space="preserve"> (שם) העירו דבקטנה ליכא חסרון בבתולים. אלא דילפי' גזיה"כ שתהא נערה דוקא. [וע' מש"כ בזה לעיל נט.].</w:t>
      </w:r>
    </w:p>
    <w:p w14:paraId="3F313D9A" w14:textId="77777777" w:rsidR="006074A5" w:rsidRPr="00440CAB" w:rsidRDefault="006074A5" w:rsidP="006074A5">
      <w:pPr>
        <w:pStyle w:val="aa"/>
        <w:bidi/>
        <w:rPr>
          <w:rFonts w:ascii="Narkisim" w:hAnsi="Narkisim"/>
        </w:rPr>
      </w:pPr>
      <w:r w:rsidRPr="00440CAB">
        <w:rPr>
          <w:rFonts w:ascii="Narkisim" w:hAnsi="Narkisim"/>
          <w:u w:val="single"/>
          <w:rtl/>
        </w:rPr>
        <w:t>רבנ"י אמר האי תנא הוא דתניא בתולה, אין בתולה אלא נערה</w:t>
      </w:r>
      <w:r w:rsidRPr="00440CAB">
        <w:rPr>
          <w:rFonts w:ascii="Narkisim" w:hAnsi="Narkisim"/>
          <w:rtl/>
        </w:rPr>
        <w:t xml:space="preserve">. </w:t>
      </w:r>
      <w:r w:rsidRPr="00440CAB">
        <w:rPr>
          <w:rFonts w:ascii="Narkisim" w:hAnsi="Narkisim"/>
          <w:b/>
          <w:bCs/>
          <w:rtl/>
        </w:rPr>
        <w:t>תוס</w:t>
      </w:r>
      <w:r w:rsidRPr="00440CAB">
        <w:rPr>
          <w:rFonts w:ascii="Narkisim" w:hAnsi="Narkisim"/>
          <w:rtl/>
        </w:rPr>
        <w:t>' (כאן וכתובות צז:) הק' דאמאי איצטריך בפרשת אונס ומפתה ונערה המאורסה לכתוב נערה. הא אף בתולה משמע דוקא נערה. [ויש שדנו נפק"מ היכא דבגדרה אח"כ].</w:t>
      </w:r>
    </w:p>
    <w:p w14:paraId="5F152000" w14:textId="77777777" w:rsidR="006074A5" w:rsidRPr="00440CAB" w:rsidRDefault="006074A5" w:rsidP="006074A5">
      <w:pPr>
        <w:pStyle w:val="2"/>
        <w:bidi/>
        <w:rPr>
          <w:rFonts w:ascii="Narkisim" w:hAnsi="Narkisim"/>
        </w:rPr>
      </w:pPr>
      <w:r w:rsidRPr="00440CAB">
        <w:rPr>
          <w:rFonts w:ascii="Narkisim" w:hAnsi="Narkisim"/>
          <w:rtl/>
        </w:rPr>
        <w:t>פריה ורביה</w:t>
      </w:r>
    </w:p>
    <w:p w14:paraId="48797EC9" w14:textId="77777777" w:rsidR="006074A5" w:rsidRPr="00440CAB" w:rsidRDefault="006074A5" w:rsidP="006074A5">
      <w:pPr>
        <w:bidi/>
        <w:rPr>
          <w:rFonts w:ascii="Narkisim" w:hAnsi="Narkisim" w:cs="Narkisim"/>
        </w:rPr>
      </w:pPr>
      <w:r w:rsidRPr="00440CAB">
        <w:rPr>
          <w:rFonts w:ascii="Narkisim" w:hAnsi="Narkisim" w:cs="Narkisim"/>
          <w:u w:val="single"/>
          <w:rtl/>
        </w:rPr>
        <w:t>מאשה לא בטיל</w:t>
      </w:r>
      <w:r w:rsidRPr="00440CAB">
        <w:rPr>
          <w:rStyle w:val="ac"/>
          <w:rFonts w:ascii="Narkisim" w:hAnsi="Narkisim" w:cs="Narkisim"/>
          <w:u w:val="single"/>
          <w:rtl/>
        </w:rPr>
        <w:footnoteReference w:id="3747"/>
      </w:r>
      <w:r w:rsidRPr="00440CAB">
        <w:rPr>
          <w:rFonts w:ascii="Narkisim" w:hAnsi="Narkisim" w:cs="Narkisim"/>
          <w:u w:val="single"/>
          <w:rtl/>
        </w:rPr>
        <w:t xml:space="preserve"> וכו' לרב נחמן אמר שמואל דאמר אע"פ שיש לו כמה בנים אסור</w:t>
      </w:r>
      <w:r w:rsidRPr="00440CAB">
        <w:rPr>
          <w:rStyle w:val="ac"/>
          <w:rFonts w:ascii="Narkisim" w:hAnsi="Narkisim" w:cs="Narkisim"/>
          <w:u w:val="single"/>
          <w:rtl/>
        </w:rPr>
        <w:footnoteReference w:id="3748"/>
      </w:r>
      <w:r w:rsidRPr="00440CAB">
        <w:rPr>
          <w:rFonts w:ascii="Narkisim" w:hAnsi="Narkisim" w:cs="Narkisim"/>
          <w:u w:val="single"/>
          <w:rtl/>
        </w:rPr>
        <w:t xml:space="preserve"> לעמוד בלא אשה וכו'.</w:t>
      </w:r>
      <w:r w:rsidRPr="00440CAB">
        <w:rPr>
          <w:rFonts w:ascii="Narkisim" w:hAnsi="Narkisim" w:cs="Narkisim"/>
          <w:rtl/>
        </w:rPr>
        <w:t xml:space="preserve"> ה</w:t>
      </w:r>
      <w:r w:rsidRPr="00440CAB">
        <w:rPr>
          <w:rFonts w:ascii="Narkisim" w:hAnsi="Narkisim" w:cs="Narkisim"/>
          <w:b/>
          <w:bCs/>
          <w:rtl/>
        </w:rPr>
        <w:t xml:space="preserve">ראשונים </w:t>
      </w:r>
      <w:r w:rsidRPr="00440CAB">
        <w:rPr>
          <w:rFonts w:ascii="Narkisim" w:hAnsi="Narkisim" w:cs="Narkisim"/>
          <w:rtl/>
        </w:rPr>
        <w:t>(ריטב"א, ראב"ד לרי"ף) ביארו משום הרהור.</w:t>
      </w:r>
    </w:p>
    <w:p w14:paraId="7801B63D" w14:textId="77777777" w:rsidR="006074A5" w:rsidRPr="00440CAB" w:rsidRDefault="006074A5" w:rsidP="006074A5">
      <w:pPr>
        <w:bidi/>
        <w:rPr>
          <w:rFonts w:ascii="Narkisim" w:hAnsi="Narkisim" w:cs="Narkisim"/>
        </w:rPr>
      </w:pPr>
      <w:r w:rsidRPr="00440CAB">
        <w:rPr>
          <w:rFonts w:ascii="Narkisim" w:hAnsi="Narkisim" w:cs="Narkisim"/>
          <w:u w:val="single"/>
          <w:rtl/>
        </w:rPr>
        <w:t>תוד"ה נפקא.</w:t>
      </w:r>
      <w:r w:rsidRPr="00440CAB">
        <w:rPr>
          <w:rFonts w:ascii="Narkisim" w:hAnsi="Narkisim" w:cs="Narkisim"/>
          <w:rtl/>
        </w:rPr>
        <w:t xml:space="preserve"> ועוד אור"י וכו' לעולם מצוה לישא בת בנים. [וכדברי ר' יהושע (לקמן סב:) משום ולערב אל תנח ידך, ועי"ש]. אלא דאין מוכרין ס"ת.</w:t>
      </w:r>
    </w:p>
    <w:p w14:paraId="74B93E77" w14:textId="77777777" w:rsidR="006074A5" w:rsidRPr="00440CAB" w:rsidRDefault="006074A5" w:rsidP="006074A5">
      <w:pPr>
        <w:pStyle w:val="aa"/>
        <w:bidi/>
        <w:rPr>
          <w:rFonts w:ascii="Narkisim" w:hAnsi="Narkisim"/>
        </w:rPr>
      </w:pPr>
      <w:r w:rsidRPr="00440CAB">
        <w:rPr>
          <w:rFonts w:ascii="Narkisim" w:hAnsi="Narkisim"/>
          <w:u w:val="single"/>
          <w:rtl/>
        </w:rPr>
        <w:t>בא"ד לא ימכור מאחר שמוצא שאינה בת בנים</w:t>
      </w:r>
      <w:r w:rsidRPr="00440CAB">
        <w:rPr>
          <w:rFonts w:ascii="Narkisim" w:hAnsi="Narkisim"/>
          <w:rtl/>
        </w:rPr>
        <w:t>. משמע דאם אינו מוצא אשה כלל, מוכרין ס"ת כדי שלא לעמוד בלא אשה. וכ"כ ה</w:t>
      </w:r>
      <w:r w:rsidRPr="00440CAB">
        <w:rPr>
          <w:rFonts w:ascii="Narkisim" w:hAnsi="Narkisim"/>
          <w:b/>
          <w:bCs/>
          <w:rtl/>
        </w:rPr>
        <w:t>חלק"מ</w:t>
      </w:r>
      <w:r w:rsidRPr="00440CAB">
        <w:rPr>
          <w:rFonts w:ascii="Narkisim" w:hAnsi="Narkisim"/>
          <w:rtl/>
        </w:rPr>
        <w:t xml:space="preserve"> (א י)</w:t>
      </w:r>
      <w:r w:rsidRPr="00440CAB">
        <w:rPr>
          <w:rStyle w:val="ac"/>
          <w:rFonts w:ascii="Narkisim" w:hAnsi="Narkisim"/>
          <w:rtl/>
        </w:rPr>
        <w:footnoteReference w:id="3749"/>
      </w:r>
      <w:r w:rsidRPr="00440CAB">
        <w:rPr>
          <w:rFonts w:ascii="Narkisim" w:hAnsi="Narkisim"/>
          <w:rtl/>
        </w:rPr>
        <w:t>. וכ"כ ה</w:t>
      </w:r>
      <w:r w:rsidRPr="00440CAB">
        <w:rPr>
          <w:rFonts w:ascii="Narkisim" w:hAnsi="Narkisim"/>
          <w:b/>
          <w:bCs/>
          <w:rtl/>
        </w:rPr>
        <w:t>מלחמות</w:t>
      </w:r>
      <w:r w:rsidRPr="00440CAB">
        <w:rPr>
          <w:rFonts w:ascii="Narkisim" w:hAnsi="Narkisim"/>
          <w:rtl/>
        </w:rPr>
        <w:t>. אבל ה</w:t>
      </w:r>
      <w:r w:rsidRPr="00440CAB">
        <w:rPr>
          <w:rFonts w:ascii="Narkisim" w:hAnsi="Narkisim"/>
          <w:b/>
          <w:bCs/>
          <w:rtl/>
        </w:rPr>
        <w:t xml:space="preserve">ריטב"א </w:t>
      </w:r>
      <w:r w:rsidRPr="00440CAB">
        <w:rPr>
          <w:rFonts w:ascii="Narkisim" w:hAnsi="Narkisim"/>
          <w:rtl/>
        </w:rPr>
        <w:t>ו</w:t>
      </w:r>
      <w:r w:rsidRPr="00440CAB">
        <w:rPr>
          <w:rFonts w:ascii="Narkisim" w:hAnsi="Narkisim"/>
          <w:b/>
          <w:bCs/>
          <w:rtl/>
        </w:rPr>
        <w:t>נמוק"י</w:t>
      </w:r>
      <w:r w:rsidRPr="00440CAB">
        <w:rPr>
          <w:rFonts w:ascii="Narkisim" w:hAnsi="Narkisim"/>
          <w:rtl/>
        </w:rPr>
        <w:t xml:space="preserve"> כתבו דאין מוכרין.</w:t>
      </w:r>
    </w:p>
    <w:p w14:paraId="019E4243" w14:textId="77777777" w:rsidR="006074A5" w:rsidRPr="00440CAB" w:rsidRDefault="006074A5" w:rsidP="006074A5">
      <w:pPr>
        <w:bidi/>
        <w:rPr>
          <w:rFonts w:ascii="Narkisim" w:hAnsi="Narkisim" w:cs="Narkisim"/>
        </w:rPr>
      </w:pPr>
      <w:r w:rsidRPr="00440CAB">
        <w:rPr>
          <w:rFonts w:ascii="Narkisim" w:hAnsi="Narkisim" w:cs="Narkisim"/>
          <w:u w:val="single"/>
          <w:rtl/>
        </w:rPr>
        <w:t>רש"י ד"ה ב"ש.</w:t>
      </w:r>
      <w:r w:rsidRPr="00440CAB">
        <w:rPr>
          <w:rFonts w:ascii="Narkisim" w:hAnsi="Narkisim" w:cs="Narkisim"/>
          <w:rtl/>
        </w:rPr>
        <w:t xml:space="preserve"> אבל לא זכר ונקבה. אבל ה</w:t>
      </w:r>
      <w:r w:rsidRPr="00440CAB">
        <w:rPr>
          <w:rFonts w:ascii="Narkisim" w:hAnsi="Narkisim" w:cs="Narkisim"/>
          <w:b/>
          <w:bCs/>
          <w:rtl/>
        </w:rPr>
        <w:t>רשב"א</w:t>
      </w:r>
      <w:r w:rsidRPr="00440CAB">
        <w:rPr>
          <w:rFonts w:ascii="Narkisim" w:hAnsi="Narkisim" w:cs="Narkisim"/>
          <w:rtl/>
        </w:rPr>
        <w:t xml:space="preserve"> גרס ברש"י דלבי"ש כ"ש דמהני זכר ונקיבה. [וחלק ע"ז].</w:t>
      </w:r>
    </w:p>
    <w:p w14:paraId="2F60AE87"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כתב דמשמע דלבית הלל דוקא זכר ונקיבה, ולא מהני ב' זכרים. וכדאמרי' לילפי ממשה. [וכן מבואר ב</w:t>
      </w:r>
      <w:r w:rsidRPr="00440CAB">
        <w:rPr>
          <w:rFonts w:ascii="Narkisim" w:hAnsi="Narkisim"/>
          <w:b/>
          <w:bCs/>
          <w:rtl/>
        </w:rPr>
        <w:t>תוס</w:t>
      </w:r>
      <w:r w:rsidRPr="00440CAB">
        <w:rPr>
          <w:rFonts w:ascii="Narkisim" w:hAnsi="Narkisim"/>
          <w:rtl/>
        </w:rPr>
        <w:t>' (לקמן סב:) וה</w:t>
      </w:r>
      <w:r w:rsidRPr="00440CAB">
        <w:rPr>
          <w:rFonts w:ascii="Narkisim" w:hAnsi="Narkisim"/>
          <w:b/>
          <w:bCs/>
          <w:rtl/>
        </w:rPr>
        <w:t>רמב"ם</w:t>
      </w:r>
      <w:r w:rsidRPr="00440CAB">
        <w:rPr>
          <w:rFonts w:ascii="Narkisim" w:hAnsi="Narkisim"/>
          <w:rtl/>
        </w:rPr>
        <w:t xml:space="preserve">]. </w:t>
      </w:r>
      <w:r w:rsidRPr="00440CAB">
        <w:rPr>
          <w:rFonts w:ascii="Narkisim" w:hAnsi="Narkisim"/>
          <w:szCs w:val="20"/>
          <w:rtl/>
        </w:rPr>
        <w:t>ולבי"ש צריך דוקא ב' זכרים, ולבי"ה סגי בא', אך בעי' דוקא ג"כ נקיבה. [וכל א' מחמיר]</w:t>
      </w:r>
      <w:r w:rsidRPr="00440CAB">
        <w:rPr>
          <w:rFonts w:ascii="Narkisim" w:hAnsi="Narkisim"/>
          <w:rtl/>
        </w:rPr>
        <w:t>.</w:t>
      </w:r>
    </w:p>
    <w:p w14:paraId="2B142EA3" w14:textId="77777777" w:rsidR="006074A5" w:rsidRPr="00440CAB" w:rsidRDefault="006074A5" w:rsidP="006074A5">
      <w:pPr>
        <w:pStyle w:val="a8"/>
        <w:bidi/>
        <w:rPr>
          <w:rFonts w:ascii="Narkisim" w:hAnsi="Narkisim"/>
        </w:rPr>
      </w:pPr>
      <w:r w:rsidRPr="00440CAB">
        <w:rPr>
          <w:rFonts w:ascii="Narkisim" w:hAnsi="Narkisim"/>
          <w:rtl/>
        </w:rPr>
        <w:t>וב</w:t>
      </w:r>
      <w:r w:rsidRPr="00440CAB">
        <w:rPr>
          <w:rFonts w:ascii="Narkisim" w:hAnsi="Narkisim"/>
          <w:b/>
          <w:bCs/>
          <w:rtl/>
        </w:rPr>
        <w:t>תוס' חד מקמאי</w:t>
      </w:r>
      <w:r w:rsidRPr="00440CAB">
        <w:rPr>
          <w:rFonts w:ascii="Narkisim" w:hAnsi="Narkisim"/>
          <w:rtl/>
        </w:rPr>
        <w:t xml:space="preserve"> כת' דלבי"ש בב' זכרים מקיים, דזכרים עדיפי. ולכאו' משמע דה"ה דמהני זכר ונקיבה, אלא קמ"ל דב' זכרים סגי, דזכר עדיף.</w:t>
      </w:r>
    </w:p>
    <w:p w14:paraId="404DEE08" w14:textId="77777777" w:rsidR="006074A5" w:rsidRPr="00440CAB" w:rsidRDefault="006074A5" w:rsidP="006074A5">
      <w:pPr>
        <w:pStyle w:val="aa"/>
        <w:bidi/>
        <w:rPr>
          <w:rFonts w:ascii="Narkisim" w:hAnsi="Narkisim"/>
        </w:rPr>
      </w:pPr>
      <w:r w:rsidRPr="00440CAB">
        <w:rPr>
          <w:rFonts w:ascii="Narkisim" w:hAnsi="Narkisim"/>
          <w:u w:val="single"/>
          <w:rtl/>
        </w:rPr>
        <w:t>ובי"ש נמי לילפי מברייתו של עולם, אין דנים אפשר משאי אפשר וכו'</w:t>
      </w:r>
      <w:r w:rsidRPr="00440CAB">
        <w:rPr>
          <w:rFonts w:ascii="Narkisim" w:hAnsi="Narkisim"/>
          <w:rtl/>
        </w:rPr>
        <w:t>. פ</w:t>
      </w:r>
      <w:r w:rsidRPr="00440CAB">
        <w:rPr>
          <w:rFonts w:ascii="Narkisim" w:hAnsi="Narkisim"/>
          <w:b/>
          <w:bCs/>
          <w:rtl/>
        </w:rPr>
        <w:t>רש"י</w:t>
      </w:r>
      <w:r w:rsidRPr="00440CAB">
        <w:rPr>
          <w:rFonts w:ascii="Narkisim" w:hAnsi="Narkisim"/>
          <w:rtl/>
        </w:rPr>
        <w:t xml:space="preserve"> דע"כ צריך נקיבה. אבל לדורות יש הרבה נקיבות בעולם. ויל"ד אי קו' הגמ' נילף דתסגי בזכר ונקיבה, א"כ מה תי' הגמ'. דעכ"פ בבריאת העולם לא היו ב' זכרים</w:t>
      </w:r>
      <w:r w:rsidRPr="00440CAB">
        <w:rPr>
          <w:rStyle w:val="ac"/>
          <w:rFonts w:ascii="Narkisim" w:hAnsi="Narkisim"/>
          <w:rtl/>
        </w:rPr>
        <w:footnoteReference w:id="3750"/>
      </w:r>
      <w:r w:rsidRPr="00440CAB">
        <w:rPr>
          <w:rFonts w:ascii="Narkisim" w:hAnsi="Narkisim"/>
          <w:rtl/>
        </w:rPr>
        <w:t>. ואפשר דקו' הגמ' נילף דצריך ג"כ נקיבה [ויהא צריך ב' זכרים ונקיבה</w:t>
      </w:r>
      <w:r w:rsidRPr="00440CAB">
        <w:rPr>
          <w:rStyle w:val="ac"/>
          <w:rFonts w:ascii="Narkisim" w:hAnsi="Narkisim"/>
          <w:rtl/>
        </w:rPr>
        <w:footnoteReference w:id="3751"/>
      </w:r>
      <w:r w:rsidRPr="00440CAB">
        <w:rPr>
          <w:rFonts w:ascii="Narkisim" w:hAnsi="Narkisim"/>
          <w:rtl/>
        </w:rPr>
        <w:t>].</w:t>
      </w:r>
    </w:p>
    <w:p w14:paraId="08B17DB1" w14:textId="77777777" w:rsidR="006074A5" w:rsidRPr="00440CAB" w:rsidRDefault="006074A5" w:rsidP="006074A5">
      <w:pPr>
        <w:pStyle w:val="3"/>
        <w:bidi/>
        <w:rPr>
          <w:rFonts w:ascii="Narkisim" w:hAnsi="Narkisim"/>
        </w:rPr>
      </w:pPr>
      <w:r w:rsidRPr="00440CAB">
        <w:rPr>
          <w:rFonts w:ascii="Narkisim" w:hAnsi="Narkisim"/>
          <w:rtl/>
        </w:rPr>
        <w:t>דף סב.</w:t>
      </w:r>
    </w:p>
    <w:p w14:paraId="1C2FA3C1" w14:textId="77777777" w:rsidR="006074A5" w:rsidRPr="00440CAB" w:rsidRDefault="006074A5" w:rsidP="006074A5">
      <w:pPr>
        <w:pStyle w:val="aa"/>
        <w:bidi/>
        <w:rPr>
          <w:rFonts w:ascii="Narkisim" w:hAnsi="Narkisim"/>
        </w:rPr>
      </w:pPr>
      <w:r w:rsidRPr="00440CAB">
        <w:rPr>
          <w:rFonts w:ascii="Narkisim" w:hAnsi="Narkisim"/>
          <w:u w:val="single"/>
          <w:rtl/>
        </w:rPr>
        <w:t>פירש מן האשה</w:t>
      </w:r>
      <w:r w:rsidRPr="00440CAB">
        <w:rPr>
          <w:rFonts w:ascii="Narkisim" w:hAnsi="Narkisim"/>
          <w:rtl/>
        </w:rPr>
        <w:t xml:space="preserve">. </w:t>
      </w:r>
      <w:r w:rsidRPr="00440CAB">
        <w:rPr>
          <w:rFonts w:ascii="Narkisim" w:hAnsi="Narkisim"/>
          <w:b/>
          <w:bCs/>
          <w:rtl/>
        </w:rPr>
        <w:t>תוס</w:t>
      </w:r>
      <w:r w:rsidRPr="00440CAB">
        <w:rPr>
          <w:rFonts w:ascii="Narkisim" w:hAnsi="Narkisim"/>
          <w:rtl/>
        </w:rPr>
        <w:t>' (ע"ז כד:) כת' דלמ"ד דיתרו הגיע לאחר מתן תורה, א"כ ציפורה לא היתה אצלו. אלא שהקב"ה נתן לו לב לפרוש מהאשה.</w:t>
      </w:r>
    </w:p>
    <w:p w14:paraId="6AA9DC48" w14:textId="77777777" w:rsidR="006074A5" w:rsidRPr="00440CAB" w:rsidRDefault="006074A5" w:rsidP="006074A5">
      <w:pPr>
        <w:pStyle w:val="aa"/>
        <w:bidi/>
        <w:rPr>
          <w:rFonts w:ascii="Narkisim" w:hAnsi="Narkisim"/>
        </w:rPr>
      </w:pPr>
      <w:r w:rsidRPr="00440CAB">
        <w:rPr>
          <w:rFonts w:ascii="Narkisim" w:hAnsi="Narkisim"/>
          <w:u w:val="single"/>
          <w:rtl/>
        </w:rPr>
        <w:t>והסכימה דעתו לדעת המקום.</w:t>
      </w:r>
      <w:r w:rsidRPr="00440CAB">
        <w:rPr>
          <w:rFonts w:ascii="Narkisim" w:hAnsi="Narkisim"/>
          <w:rtl/>
        </w:rPr>
        <w:t xml:space="preserve"> </w:t>
      </w:r>
      <w:r w:rsidRPr="00440CAB">
        <w:rPr>
          <w:rFonts w:ascii="Narkisim" w:hAnsi="Narkisim"/>
          <w:b/>
          <w:bCs/>
          <w:rtl/>
        </w:rPr>
        <w:t>תוס'</w:t>
      </w:r>
      <w:r w:rsidRPr="00440CAB">
        <w:rPr>
          <w:rFonts w:ascii="Narkisim" w:hAnsi="Narkisim"/>
          <w:rtl/>
        </w:rPr>
        <w:t xml:space="preserve"> (ד"ה מדעתיה) ביארו דאינו ק"ו גמור. וה</w:t>
      </w:r>
      <w:r w:rsidRPr="00440CAB">
        <w:rPr>
          <w:rFonts w:ascii="Narkisim" w:hAnsi="Narkisim"/>
          <w:b/>
          <w:bCs/>
          <w:rtl/>
        </w:rPr>
        <w:t>קוב"ש</w:t>
      </w:r>
      <w:r w:rsidRPr="00440CAB">
        <w:rPr>
          <w:rFonts w:ascii="Narkisim" w:hAnsi="Narkisim"/>
          <w:rtl/>
        </w:rPr>
        <w:t xml:space="preserve"> (קו' דברי סופרים א יז) ביאר דבאמת אינה ק"ו ללמוד ממנו הלכה, ומשה הוסיף יום מדעתו מדרבנן. אלא דלמד מק"ו דכן רצון השי"ת, אלא שלא צווה. ומש"ה ראוי לגזור. והק"ו דמיא לאסמכתא.</w:t>
      </w:r>
    </w:p>
    <w:p w14:paraId="1174A6B4" w14:textId="77777777" w:rsidR="006074A5" w:rsidRPr="00440CAB" w:rsidRDefault="006074A5" w:rsidP="006074A5">
      <w:pPr>
        <w:pStyle w:val="aa"/>
        <w:bidi/>
        <w:rPr>
          <w:rFonts w:ascii="Narkisim" w:hAnsi="Narkisim"/>
        </w:rPr>
      </w:pPr>
      <w:r w:rsidRPr="00440CAB">
        <w:rPr>
          <w:rFonts w:ascii="Narkisim" w:hAnsi="Narkisim"/>
          <w:u w:val="single"/>
          <w:rtl/>
        </w:rPr>
        <w:lastRenderedPageBreak/>
        <w:t>תניא ר"נ אומר בי"ש אומרים ב' זכרים וב' נקבות וכו' הבל ואחותו.</w:t>
      </w:r>
      <w:r w:rsidRPr="00440CAB">
        <w:rPr>
          <w:rFonts w:ascii="Narkisim" w:hAnsi="Narkisim"/>
          <w:rtl/>
        </w:rPr>
        <w:t xml:space="preserve"> ה</w:t>
      </w:r>
      <w:r w:rsidRPr="00440CAB">
        <w:rPr>
          <w:rFonts w:ascii="Narkisim" w:hAnsi="Narkisim"/>
          <w:b/>
          <w:bCs/>
          <w:rtl/>
        </w:rPr>
        <w:t>גהש"ס</w:t>
      </w:r>
      <w:r w:rsidRPr="00440CAB">
        <w:rPr>
          <w:rFonts w:ascii="Narkisim" w:hAnsi="Narkisim"/>
          <w:rtl/>
        </w:rPr>
        <w:t xml:space="preserve"> ציין ד</w:t>
      </w:r>
      <w:r w:rsidRPr="00440CAB">
        <w:rPr>
          <w:rFonts w:ascii="Narkisim" w:hAnsi="Narkisim"/>
          <w:b/>
          <w:bCs/>
          <w:rtl/>
        </w:rPr>
        <w:t>תוס'</w:t>
      </w:r>
      <w:r w:rsidRPr="00440CAB">
        <w:rPr>
          <w:rFonts w:ascii="Narkisim" w:hAnsi="Narkisim"/>
          <w:rtl/>
        </w:rPr>
        <w:t xml:space="preserve"> (סנהדרין לח:) ו</w:t>
      </w:r>
      <w:r w:rsidRPr="00440CAB">
        <w:rPr>
          <w:rFonts w:ascii="Narkisim" w:hAnsi="Narkisim"/>
          <w:b/>
          <w:bCs/>
          <w:rtl/>
        </w:rPr>
        <w:t>רש"י</w:t>
      </w:r>
      <w:r w:rsidRPr="00440CAB">
        <w:rPr>
          <w:rFonts w:ascii="Narkisim" w:hAnsi="Narkisim"/>
          <w:rtl/>
        </w:rPr>
        <w:t xml:space="preserve"> (סוטה ט:) דרשו דנולדו עם הבל ב' תאומות [דדרשי' את אחיו את הבל]. ודלא כסוגיין.</w:t>
      </w:r>
    </w:p>
    <w:p w14:paraId="432BF41F" w14:textId="77777777" w:rsidR="006074A5" w:rsidRPr="00440CAB" w:rsidRDefault="006074A5" w:rsidP="006074A5">
      <w:pPr>
        <w:pStyle w:val="2"/>
        <w:bidi/>
        <w:rPr>
          <w:rFonts w:ascii="Narkisim" w:hAnsi="Narkisim"/>
        </w:rPr>
      </w:pPr>
      <w:r w:rsidRPr="00440CAB">
        <w:rPr>
          <w:rFonts w:ascii="Narkisim" w:hAnsi="Narkisim"/>
          <w:rtl/>
        </w:rPr>
        <w:t>היו לו בנים בהיותו עכו"ם</w:t>
      </w:r>
    </w:p>
    <w:p w14:paraId="084133F7" w14:textId="77777777" w:rsidR="006074A5" w:rsidRPr="00440CAB" w:rsidRDefault="006074A5" w:rsidP="006074A5">
      <w:pPr>
        <w:bidi/>
        <w:rPr>
          <w:rFonts w:ascii="Narkisim" w:hAnsi="Narkisim" w:cs="Narkisim"/>
        </w:rPr>
      </w:pPr>
      <w:r w:rsidRPr="00440CAB">
        <w:rPr>
          <w:rFonts w:ascii="Narkisim" w:hAnsi="Narkisim" w:cs="Narkisim"/>
          <w:u w:val="single"/>
          <w:rtl/>
        </w:rPr>
        <w:t>איתמר היו לו בנים בהיותו עכו"ם ונתגייר, ר' יוחנן אמר קיים פריה ורביה וכו' דהא הוו ליה.</w:t>
      </w:r>
      <w:r w:rsidRPr="00440CAB">
        <w:rPr>
          <w:rFonts w:ascii="Narkisim" w:hAnsi="Narkisim" w:cs="Narkisim"/>
          <w:rtl/>
        </w:rPr>
        <w:t xml:space="preserve"> והגמ' פי' דמעיקרא נמי בני פריה ורביה נינהו. ה</w:t>
      </w:r>
      <w:r w:rsidRPr="00440CAB">
        <w:rPr>
          <w:rFonts w:ascii="Narkisim" w:hAnsi="Narkisim" w:cs="Narkisim"/>
          <w:b/>
          <w:bCs/>
          <w:rtl/>
        </w:rPr>
        <w:t>אחרונים</w:t>
      </w:r>
      <w:r w:rsidRPr="00440CAB">
        <w:rPr>
          <w:rFonts w:ascii="Narkisim" w:hAnsi="Narkisim" w:cs="Narkisim"/>
          <w:rtl/>
        </w:rPr>
        <w:t xml:space="preserve"> חקרו האם נחשב שקיים את המצווה, או דפטר אף שלא קיים, דמ"מ יש לו בנים</w:t>
      </w:r>
      <w:r w:rsidRPr="00440CAB">
        <w:rPr>
          <w:rStyle w:val="ac"/>
          <w:rFonts w:ascii="Narkisim" w:hAnsi="Narkisim" w:cs="Narkisim"/>
          <w:rtl/>
        </w:rPr>
        <w:footnoteReference w:id="3752"/>
      </w:r>
      <w:r w:rsidRPr="00440CAB">
        <w:rPr>
          <w:rFonts w:ascii="Narkisim" w:hAnsi="Narkisim" w:cs="Narkisim"/>
          <w:rtl/>
        </w:rPr>
        <w:t>. ו</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 w:val="20"/>
          <w:szCs w:val="20"/>
          <w:rtl/>
        </w:rPr>
        <w:t>(ד"ה ר' יוחנן)</w:t>
      </w:r>
      <w:r w:rsidRPr="00440CAB">
        <w:rPr>
          <w:rFonts w:ascii="Narkisim" w:hAnsi="Narkisim" w:cs="Narkisim"/>
          <w:rtl/>
        </w:rPr>
        <w:t xml:space="preserve"> כת' דבנכריותו קיים. משמע דקיים את המצווה [בגדר קיום]. אבל תוס' (ד"ה בני) כת' דעכו"ם אינו מצווה, אלא דסגי במה שנקרא על שמם [יחס בעלמא].</w:t>
      </w:r>
    </w:p>
    <w:p w14:paraId="48733105"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טור"א</w:t>
      </w:r>
      <w:r w:rsidRPr="00440CAB">
        <w:rPr>
          <w:rFonts w:ascii="Narkisim" w:hAnsi="Narkisim" w:cs="Narkisim"/>
          <w:rtl/>
        </w:rPr>
        <w:t xml:space="preserve"> (ר"ה כח.) הק' דבאותו שעה לא היה בר חיובא [וכדאי' (סנהדרין נט:, הו' בתוס') דעכו"ם אינו מצווה], ומ"ש מהא דאמרי' (ר"ה כח.) אכל מצה כשהיה שוטה ונשתפה, שלא יצא צריך לאכול שוב. ותי' דגבי פריה ורביה שבת בעינן והא איכא.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ביארו דבריו דאף דלא קיים המצווה, סגי בהא שנתקיים טעם המצוה, ועי"ז נחשב שיש שיעור בנים]</w:t>
      </w:r>
      <w:r w:rsidRPr="00440CAB">
        <w:rPr>
          <w:rStyle w:val="ac"/>
          <w:rFonts w:ascii="Narkisim" w:hAnsi="Narkisim" w:cs="Narkisim"/>
          <w:sz w:val="20"/>
          <w:szCs w:val="20"/>
          <w:rtl/>
        </w:rPr>
        <w:footnoteReference w:id="3753"/>
      </w:r>
      <w:r w:rsidRPr="00440CAB">
        <w:rPr>
          <w:rFonts w:ascii="Narkisim" w:hAnsi="Narkisim" w:cs="Narkisim"/>
          <w:sz w:val="20"/>
          <w:szCs w:val="20"/>
          <w:rtl/>
        </w:rPr>
        <w:t>.</w:t>
      </w:r>
      <w:r w:rsidRPr="00440CAB">
        <w:rPr>
          <w:rFonts w:ascii="Narkisim" w:hAnsi="Narkisim" w:cs="Narkisim"/>
          <w:rtl/>
        </w:rPr>
        <w:t xml:space="preserve"> וה</w:t>
      </w:r>
      <w:r w:rsidRPr="00440CAB">
        <w:rPr>
          <w:rFonts w:ascii="Narkisim" w:hAnsi="Narkisim" w:cs="Narkisim"/>
          <w:b/>
          <w:bCs/>
          <w:rtl/>
        </w:rPr>
        <w:t>מנח"ח</w:t>
      </w:r>
      <w:r w:rsidRPr="00440CAB">
        <w:rPr>
          <w:rFonts w:ascii="Narkisim" w:hAnsi="Narkisim" w:cs="Narkisim"/>
          <w:rtl/>
        </w:rPr>
        <w:t xml:space="preserve"> (א יד) כתב דמשעה שנתגייר מקיים המצוה מכאן ולהבא, כיון דיש לו בנים בעולם. [והמצוה הוא במה שיש לו בנים בעולם].</w:t>
      </w:r>
    </w:p>
    <w:p w14:paraId="062C5FB1" w14:textId="77777777" w:rsidR="006074A5" w:rsidRPr="00440CAB" w:rsidRDefault="006074A5" w:rsidP="006074A5">
      <w:pPr>
        <w:bidi/>
        <w:rPr>
          <w:rFonts w:ascii="Narkisim" w:hAnsi="Narkisim" w:cs="Narkisim"/>
        </w:rPr>
      </w:pPr>
      <w:r w:rsidRPr="00440CAB">
        <w:rPr>
          <w:rFonts w:ascii="Narkisim" w:hAnsi="Narkisim" w:cs="Narkisim"/>
          <w:i/>
          <w:iCs/>
          <w:sz w:val="21"/>
          <w:szCs w:val="21"/>
          <w:rtl/>
        </w:rPr>
        <w:t>גדר מצוות פר"ו</w:t>
      </w:r>
      <w:r w:rsidRPr="00440CAB">
        <w:rPr>
          <w:rFonts w:ascii="Narkisim" w:hAnsi="Narkisim" w:cs="Narkisim"/>
          <w:rtl/>
        </w:rPr>
        <w:t xml:space="preserve"> - </w:t>
      </w:r>
      <w:r w:rsidRPr="00440CAB">
        <w:rPr>
          <w:rFonts w:ascii="Narkisim" w:hAnsi="Narkisim" w:cs="Narkisim"/>
          <w:b/>
          <w:bCs/>
          <w:rtl/>
        </w:rPr>
        <w:t>תוס</w:t>
      </w:r>
      <w:r w:rsidRPr="00440CAB">
        <w:rPr>
          <w:rFonts w:ascii="Narkisim" w:hAnsi="Narkisim" w:cs="Narkisim"/>
          <w:rtl/>
        </w:rPr>
        <w:t>' (ב"ב יג.) כת' דקיום המצוה הוה בשעת גמר ביאה דראוי להוליד [אבל ההעראה לא הוה מעשה מצווה</w:t>
      </w:r>
      <w:r w:rsidRPr="00440CAB">
        <w:rPr>
          <w:rStyle w:val="ac"/>
          <w:rFonts w:ascii="Narkisim" w:hAnsi="Narkisim" w:cs="Narkisim"/>
          <w:rtl/>
        </w:rPr>
        <w:footnoteReference w:id="3754"/>
      </w:r>
      <w:r w:rsidRPr="00440CAB">
        <w:rPr>
          <w:rFonts w:ascii="Narkisim" w:hAnsi="Narkisim" w:cs="Narkisim"/>
          <w:rtl/>
        </w:rPr>
        <w:t>]. וה</w:t>
      </w:r>
      <w:r w:rsidRPr="00440CAB">
        <w:rPr>
          <w:rFonts w:ascii="Narkisim" w:hAnsi="Narkisim" w:cs="Narkisim"/>
          <w:b/>
          <w:bCs/>
          <w:rtl/>
        </w:rPr>
        <w:t>מנח"ח</w:t>
      </w:r>
      <w:r w:rsidRPr="00440CAB">
        <w:rPr>
          <w:rFonts w:ascii="Narkisim" w:hAnsi="Narkisim" w:cs="Narkisim"/>
          <w:rtl/>
        </w:rPr>
        <w:t xml:space="preserve"> (א יד) חלק דגוף המצוה דפריה ורביה אינה מעשה הביאה, אלא עיקר המצוה לידת הבנים. ולכן אמרי' דכשמתו הבנים מכאן ולהבא אינו מקיים המצוה.</w:t>
      </w:r>
    </w:p>
    <w:p w14:paraId="6F5FB8BA"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קובה"ע</w:t>
      </w:r>
      <w:r w:rsidRPr="00440CAB">
        <w:rPr>
          <w:rFonts w:ascii="Narkisim" w:hAnsi="Narkisim"/>
          <w:rtl/>
        </w:rPr>
        <w:t xml:space="preserve"> (סט כז) כתב דיש ליישב דאף דעת תוס' דקיום המצוה הוא רק לידת הבנים, מ"מ מעשה המצוה שמוטל על האדם לעשות האי הביאה. כיון דהלידה בידי שמים, עשיית המצוה הוה בגמ"ב, וכה"ג חשיב בעידנא. וההעראה אינה </w:t>
      </w:r>
      <w:r w:rsidRPr="00440CAB">
        <w:rPr>
          <w:rFonts w:ascii="Narkisim" w:hAnsi="Narkisim"/>
          <w:i/>
          <w:iCs/>
          <w:rtl/>
        </w:rPr>
        <w:t>מעשה</w:t>
      </w:r>
      <w:r w:rsidRPr="00440CAB">
        <w:rPr>
          <w:rFonts w:ascii="Narkisim" w:hAnsi="Narkisim"/>
          <w:rtl/>
        </w:rPr>
        <w:t xml:space="preserve"> </w:t>
      </w:r>
      <w:r w:rsidRPr="00440CAB">
        <w:rPr>
          <w:rFonts w:ascii="Narkisim" w:hAnsi="Narkisim"/>
          <w:i/>
          <w:iCs/>
          <w:rtl/>
        </w:rPr>
        <w:t>מצוה,</w:t>
      </w:r>
      <w:r w:rsidRPr="00440CAB">
        <w:rPr>
          <w:rFonts w:ascii="Narkisim" w:hAnsi="Narkisim"/>
          <w:rtl/>
        </w:rPr>
        <w:t xml:space="preserve"> אלא </w:t>
      </w:r>
      <w:r w:rsidRPr="00440CAB">
        <w:rPr>
          <w:rFonts w:ascii="Narkisim" w:hAnsi="Narkisim"/>
          <w:i/>
          <w:iCs/>
          <w:rtl/>
        </w:rPr>
        <w:t>הכשר</w:t>
      </w:r>
      <w:r w:rsidRPr="00440CAB">
        <w:rPr>
          <w:rFonts w:ascii="Narkisim" w:hAnsi="Narkisim"/>
          <w:rtl/>
        </w:rPr>
        <w:t xml:space="preserve"> למעשה מצוה.</w:t>
      </w:r>
    </w:p>
    <w:p w14:paraId="463EB6F3"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אחרונים</w:t>
      </w:r>
      <w:r w:rsidRPr="00440CAB">
        <w:rPr>
          <w:rFonts w:ascii="Narkisim" w:hAnsi="Narkisim"/>
          <w:rtl/>
        </w:rPr>
        <w:t xml:space="preserve"> (הר צבי, אגרות משה אה"ע ב יח) חלקו דצווי התורה הוא במעשה דידיה [במעשה ביאה]. דלא מסתבר דהתורה צוותה מצווה דאינו מסור בידו לקיים, והלידה בידי שמים. אלא דהתורה קבעה שיעור למצווה, כשיש לו בנים [וכשמתו שוב אין לו בנים].</w:t>
      </w:r>
    </w:p>
    <w:p w14:paraId="6EFD5A06" w14:textId="77777777" w:rsidR="006074A5" w:rsidRPr="00440CAB" w:rsidRDefault="006074A5" w:rsidP="006074A5">
      <w:pPr>
        <w:pStyle w:val="aa"/>
        <w:bidi/>
        <w:rPr>
          <w:rFonts w:ascii="Narkisim" w:hAnsi="Narkisim"/>
        </w:rPr>
      </w:pPr>
      <w:r w:rsidRPr="00440CAB">
        <w:rPr>
          <w:rFonts w:ascii="Narkisim" w:hAnsi="Narkisim"/>
          <w:u w:val="single"/>
          <w:rtl/>
        </w:rPr>
        <w:t>שם.</w:t>
      </w:r>
      <w:r w:rsidRPr="00440CAB">
        <w:rPr>
          <w:rFonts w:ascii="Narkisim" w:hAnsi="Narkisim"/>
          <w:rtl/>
        </w:rPr>
        <w:t xml:space="preserve"> ה</w:t>
      </w:r>
      <w:r w:rsidRPr="00440CAB">
        <w:rPr>
          <w:rFonts w:ascii="Narkisim" w:hAnsi="Narkisim"/>
          <w:b/>
          <w:bCs/>
          <w:rtl/>
        </w:rPr>
        <w:t>חלק"מ</w:t>
      </w:r>
      <w:r w:rsidRPr="00440CAB">
        <w:rPr>
          <w:rFonts w:ascii="Narkisim" w:hAnsi="Narkisim"/>
          <w:rtl/>
        </w:rPr>
        <w:t xml:space="preserve"> (א ח) נסתפק בנתעברה באמבטי האם קיים פר"ו, והאם מקרי בנו לכל דבר</w:t>
      </w:r>
      <w:r w:rsidRPr="00440CAB">
        <w:rPr>
          <w:rStyle w:val="ac"/>
          <w:rFonts w:ascii="Narkisim" w:hAnsi="Narkisim"/>
          <w:rtl/>
        </w:rPr>
        <w:footnoteReference w:id="3755"/>
      </w:r>
      <w:r w:rsidRPr="00440CAB">
        <w:rPr>
          <w:rFonts w:ascii="Narkisim" w:hAnsi="Narkisim"/>
          <w:rtl/>
        </w:rPr>
        <w:t>. [וע' בי"ש א י] וה</w:t>
      </w:r>
      <w:r w:rsidRPr="00440CAB">
        <w:rPr>
          <w:rFonts w:ascii="Narkisim" w:hAnsi="Narkisim"/>
          <w:b/>
          <w:bCs/>
          <w:rtl/>
        </w:rPr>
        <w:t>מנח"ח</w:t>
      </w:r>
      <w:r w:rsidRPr="00440CAB">
        <w:rPr>
          <w:rFonts w:ascii="Narkisim" w:hAnsi="Narkisim"/>
          <w:rtl/>
        </w:rPr>
        <w:t xml:space="preserve"> (א כו) הביא דמדבריהם דמקיים מצווה ע"י לידת הבנים בלא מעשה ביאה, וע"כ דהביאה אינה מצוה אלא הבנים. וה</w:t>
      </w:r>
      <w:r w:rsidRPr="00440CAB">
        <w:rPr>
          <w:rFonts w:ascii="Narkisim" w:hAnsi="Narkisim"/>
          <w:b/>
          <w:bCs/>
          <w:rtl/>
        </w:rPr>
        <w:t>אחרונים</w:t>
      </w:r>
      <w:r w:rsidRPr="00440CAB">
        <w:rPr>
          <w:rFonts w:ascii="Narkisim" w:hAnsi="Narkisim"/>
          <w:rtl/>
        </w:rPr>
        <w:t xml:space="preserve"> דחו דאף כוונת החלק"מ דאינו חייב יותר, ואף דלא קיים המצוה.</w:t>
      </w:r>
    </w:p>
    <w:p w14:paraId="0873788B"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מנח"ח</w:t>
      </w:r>
      <w:r w:rsidRPr="00440CAB">
        <w:rPr>
          <w:rFonts w:ascii="Narkisim" w:hAnsi="Narkisim"/>
          <w:rtl/>
        </w:rPr>
        <w:t xml:space="preserve"> (א כט) כתב דלא אמרי' מצוות צריכות כוונה בפריה ורביה, דהקיום הוה ממילא בלידת הבנים. ואילו לדעת תוס' בעי כוונה.</w:t>
      </w:r>
    </w:p>
    <w:p w14:paraId="50E41063" w14:textId="77777777" w:rsidR="006074A5" w:rsidRPr="00440CAB" w:rsidRDefault="006074A5" w:rsidP="006074A5">
      <w:pPr>
        <w:bidi/>
        <w:rPr>
          <w:rFonts w:ascii="Narkisim" w:hAnsi="Narkisim" w:cs="Narkisim"/>
        </w:rPr>
      </w:pPr>
      <w:r w:rsidRPr="00440CAB">
        <w:rPr>
          <w:rFonts w:ascii="Narkisim" w:hAnsi="Narkisim" w:cs="Narkisim"/>
          <w:u w:val="single"/>
          <w:rtl/>
        </w:rPr>
        <w:t>ר' יוחנן אמר קיים דהא הוה ליה.</w:t>
      </w:r>
      <w:r w:rsidRPr="00440CAB">
        <w:rPr>
          <w:rFonts w:ascii="Narkisim" w:hAnsi="Narkisim" w:cs="Narkisim"/>
          <w:rtl/>
        </w:rPr>
        <w:t xml:space="preserve"> ה</w:t>
      </w:r>
      <w:r w:rsidRPr="00440CAB">
        <w:rPr>
          <w:rFonts w:ascii="Narkisim" w:hAnsi="Narkisim" w:cs="Narkisim"/>
          <w:b/>
          <w:bCs/>
          <w:rtl/>
        </w:rPr>
        <w:t>רמב"ם</w:t>
      </w:r>
      <w:r w:rsidRPr="00440CAB">
        <w:rPr>
          <w:rFonts w:ascii="Narkisim" w:hAnsi="Narkisim" w:cs="Narkisim"/>
          <w:b/>
          <w:bCs/>
          <w:sz w:val="20"/>
          <w:szCs w:val="20"/>
          <w:rtl/>
        </w:rPr>
        <w:t xml:space="preserve"> </w:t>
      </w:r>
      <w:r w:rsidRPr="00440CAB">
        <w:rPr>
          <w:rFonts w:ascii="Narkisim" w:hAnsi="Narkisim" w:cs="Narkisim"/>
          <w:sz w:val="20"/>
          <w:szCs w:val="20"/>
          <w:rtl/>
        </w:rPr>
        <w:t>(טו ו ושו"ע א ז)</w:t>
      </w:r>
      <w:r w:rsidRPr="00440CAB">
        <w:rPr>
          <w:rFonts w:ascii="Narkisim" w:hAnsi="Narkisim" w:cs="Narkisim"/>
          <w:rtl/>
        </w:rPr>
        <w:t xml:space="preserve"> פסק דוקא כשנתגייר הוא והם. וב</w:t>
      </w:r>
      <w:r w:rsidRPr="00440CAB">
        <w:rPr>
          <w:rFonts w:ascii="Narkisim" w:hAnsi="Narkisim" w:cs="Narkisim"/>
          <w:b/>
          <w:bCs/>
          <w:rtl/>
        </w:rPr>
        <w:t>חי' ר"א מן ההר</w:t>
      </w:r>
      <w:r w:rsidRPr="00440CAB">
        <w:rPr>
          <w:rFonts w:ascii="Narkisim" w:hAnsi="Narkisim" w:cs="Narkisim"/>
          <w:rtl/>
        </w:rPr>
        <w:t xml:space="preserve"> ביאר דבעי בנים ישראלים לפטור, ואיך יפטר בגויים</w:t>
      </w:r>
      <w:r w:rsidRPr="00440CAB">
        <w:rPr>
          <w:rStyle w:val="ac"/>
          <w:rFonts w:ascii="Narkisim" w:hAnsi="Narkisim" w:cs="Narkisim"/>
          <w:rtl/>
        </w:rPr>
        <w:footnoteReference w:id="3756"/>
      </w:r>
      <w:r w:rsidRPr="00440CAB">
        <w:rPr>
          <w:rFonts w:ascii="Narkisim" w:hAnsi="Narkisim" w:cs="Narkisim"/>
          <w:rtl/>
        </w:rPr>
        <w:t>.</w:t>
      </w:r>
      <w:r w:rsidRPr="00440CAB">
        <w:rPr>
          <w:rFonts w:ascii="Narkisim" w:hAnsi="Narkisim" w:cs="Narkisim"/>
          <w:sz w:val="20"/>
          <w:szCs w:val="20"/>
          <w:rtl/>
        </w:rPr>
        <w:t xml:space="preserve"> וה</w:t>
      </w:r>
      <w:r w:rsidRPr="00440CAB">
        <w:rPr>
          <w:rFonts w:ascii="Narkisim" w:hAnsi="Narkisim" w:cs="Narkisim"/>
          <w:b/>
          <w:bCs/>
          <w:sz w:val="20"/>
          <w:szCs w:val="20"/>
          <w:rtl/>
        </w:rPr>
        <w:t>גר"א</w:t>
      </w:r>
      <w:r w:rsidRPr="00440CAB">
        <w:rPr>
          <w:rFonts w:ascii="Narkisim" w:hAnsi="Narkisim" w:cs="Narkisim"/>
          <w:sz w:val="20"/>
          <w:szCs w:val="20"/>
          <w:rtl/>
        </w:rPr>
        <w:t xml:space="preserve"> (א יז) הוסיף דאף ר"ל פליג רק משום דגר שנתגייר כקטן שנולד דמי.</w:t>
      </w:r>
    </w:p>
    <w:p w14:paraId="58558007"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 xml:space="preserve">חלק"מ </w:t>
      </w:r>
      <w:r w:rsidRPr="00440CAB">
        <w:rPr>
          <w:rFonts w:ascii="Narkisim" w:hAnsi="Narkisim"/>
          <w:rtl/>
        </w:rPr>
        <w:t>(שם ט) הביא בשם ה</w:t>
      </w:r>
      <w:r w:rsidRPr="00440CAB">
        <w:rPr>
          <w:rFonts w:ascii="Narkisim" w:hAnsi="Narkisim"/>
          <w:b/>
          <w:bCs/>
          <w:rtl/>
        </w:rPr>
        <w:t>מהרי"ל</w:t>
      </w:r>
      <w:r w:rsidRPr="00440CAB">
        <w:rPr>
          <w:rFonts w:ascii="Narkisim" w:hAnsi="Narkisim"/>
          <w:rtl/>
        </w:rPr>
        <w:t xml:space="preserve"> אפי' לא נתגיירו </w:t>
      </w:r>
      <w:r w:rsidRPr="00440CAB">
        <w:rPr>
          <w:rFonts w:ascii="Narkisim" w:hAnsi="Narkisim"/>
          <w:sz w:val="20"/>
          <w:szCs w:val="20"/>
          <w:rtl/>
        </w:rPr>
        <w:t>[וכ"כ בחי' ר"א מן ההר בשם</w:t>
      </w:r>
      <w:r w:rsidRPr="00440CAB">
        <w:rPr>
          <w:rFonts w:ascii="Narkisim" w:hAnsi="Narkisim"/>
          <w:b/>
          <w:bCs/>
          <w:sz w:val="20"/>
          <w:szCs w:val="20"/>
          <w:rtl/>
        </w:rPr>
        <w:t xml:space="preserve"> י"מ</w:t>
      </w:r>
      <w:r w:rsidRPr="00440CAB">
        <w:rPr>
          <w:rFonts w:ascii="Narkisim" w:hAnsi="Narkisim"/>
          <w:sz w:val="20"/>
          <w:szCs w:val="20"/>
          <w:rtl/>
        </w:rPr>
        <w:t>],</w:t>
      </w:r>
      <w:r w:rsidRPr="00440CAB">
        <w:rPr>
          <w:rFonts w:ascii="Narkisim" w:hAnsi="Narkisim"/>
          <w:rtl/>
        </w:rPr>
        <w:t xml:space="preserve"> וה</w:t>
      </w:r>
      <w:r w:rsidRPr="00440CAB">
        <w:rPr>
          <w:rFonts w:ascii="Narkisim" w:hAnsi="Narkisim"/>
          <w:b/>
          <w:bCs/>
          <w:rtl/>
        </w:rPr>
        <w:t xml:space="preserve">בי"ש </w:t>
      </w:r>
      <w:r w:rsidRPr="00440CAB">
        <w:rPr>
          <w:rFonts w:ascii="Narkisim" w:hAnsi="Narkisim"/>
          <w:rtl/>
        </w:rPr>
        <w:t>כתב דכ"מ מ</w:t>
      </w:r>
      <w:r w:rsidRPr="00440CAB">
        <w:rPr>
          <w:rFonts w:ascii="Narkisim" w:hAnsi="Narkisim"/>
          <w:b/>
          <w:bCs/>
          <w:rtl/>
        </w:rPr>
        <w:t>תוס</w:t>
      </w:r>
      <w:r w:rsidRPr="00440CAB">
        <w:rPr>
          <w:rFonts w:ascii="Narkisim" w:hAnsi="Narkisim"/>
          <w:rtl/>
        </w:rPr>
        <w:t>' דידן.</w:t>
      </w:r>
    </w:p>
    <w:p w14:paraId="631D731E" w14:textId="77777777" w:rsidR="006074A5" w:rsidRPr="00440CAB" w:rsidRDefault="006074A5" w:rsidP="006074A5">
      <w:pPr>
        <w:bidi/>
        <w:rPr>
          <w:rFonts w:ascii="Narkisim" w:hAnsi="Narkisim" w:cs="Narkisim"/>
        </w:rPr>
      </w:pPr>
      <w:r w:rsidRPr="00440CAB">
        <w:rPr>
          <w:rFonts w:ascii="Narkisim" w:hAnsi="Narkisim" w:cs="Narkisim"/>
          <w:u w:val="single"/>
          <w:rtl/>
        </w:rPr>
        <w:t>תוד"ה רבי יוחנן.</w:t>
      </w:r>
      <w:r w:rsidRPr="00440CAB">
        <w:rPr>
          <w:rFonts w:ascii="Narkisim" w:hAnsi="Narkisim" w:cs="Narkisim"/>
          <w:rtl/>
        </w:rPr>
        <w:t xml:space="preserve"> מ"מ מסתברא לר' יוחנן כיון דבנכריותן קיים, מפטר נמי כשנתגייר.</w:t>
      </w:r>
      <w:r w:rsidRPr="00440CAB">
        <w:rPr>
          <w:rFonts w:ascii="Narkisim" w:hAnsi="Narkisim" w:cs="Narkisim"/>
          <w:sz w:val="20"/>
          <w:szCs w:val="20"/>
          <w:rtl/>
        </w:rPr>
        <w:t xml:space="preserve"> [בפשוטו משמע דאף דהשתא ל"ל בנים, מ"מ סגי במה שהיו לו בנים קודם שנתגייר. וה</w:t>
      </w:r>
      <w:r w:rsidRPr="00440CAB">
        <w:rPr>
          <w:rFonts w:ascii="Narkisim" w:hAnsi="Narkisim" w:cs="Narkisim"/>
          <w:b/>
          <w:bCs/>
          <w:sz w:val="20"/>
          <w:szCs w:val="20"/>
          <w:rtl/>
        </w:rPr>
        <w:t>אחרונים</w:t>
      </w:r>
      <w:r w:rsidRPr="00440CAB">
        <w:rPr>
          <w:rFonts w:ascii="Narkisim" w:hAnsi="Narkisim" w:cs="Narkisim"/>
          <w:sz w:val="20"/>
          <w:szCs w:val="20"/>
          <w:rtl/>
        </w:rPr>
        <w:t xml:space="preserve"> דחו דלא יתכן לפרש כן, דהיו לו בנין ומתו לא קיים, וכדבסמוך]</w:t>
      </w:r>
      <w:r w:rsidRPr="00440CAB">
        <w:rPr>
          <w:rFonts w:ascii="Narkisim" w:hAnsi="Narkisim" w:cs="Narkisim"/>
          <w:rtl/>
        </w:rPr>
        <w:t>. וה</w:t>
      </w:r>
      <w:r w:rsidRPr="00440CAB">
        <w:rPr>
          <w:rFonts w:ascii="Narkisim" w:hAnsi="Narkisim" w:cs="Narkisim"/>
          <w:b/>
          <w:bCs/>
          <w:rtl/>
        </w:rPr>
        <w:t>אחרונים</w:t>
      </w:r>
      <w:r w:rsidRPr="00440CAB">
        <w:rPr>
          <w:rFonts w:ascii="Narkisim" w:hAnsi="Narkisim" w:cs="Narkisim"/>
          <w:rtl/>
        </w:rPr>
        <w:t xml:space="preserve"> דנו דכוונת התוס' דלא אמרי' כקטן שנולד על מה שהוא בעלים. ולכן אף דהשתא ליכא 'דין יחס', מ"מ סגי דנתייחס קודם </w:t>
      </w:r>
      <w:r w:rsidRPr="00440CAB">
        <w:rPr>
          <w:rFonts w:ascii="Narkisim" w:hAnsi="Narkisim" w:cs="Narkisim"/>
          <w:rtl/>
        </w:rPr>
        <w:lastRenderedPageBreak/>
        <w:t>שנתגייר</w:t>
      </w:r>
      <w:r w:rsidRPr="00440CAB">
        <w:rPr>
          <w:rStyle w:val="ac"/>
          <w:rFonts w:ascii="Narkisim" w:hAnsi="Narkisim" w:cs="Narkisim"/>
          <w:rtl/>
        </w:rPr>
        <w:footnoteReference w:id="3757"/>
      </w:r>
      <w:r w:rsidRPr="00440CAB">
        <w:rPr>
          <w:rFonts w:ascii="Narkisim" w:hAnsi="Narkisim" w:cs="Narkisim"/>
          <w:rtl/>
        </w:rPr>
        <w:t xml:space="preserve"> </w:t>
      </w:r>
      <w:r w:rsidRPr="00440CAB">
        <w:rPr>
          <w:rFonts w:ascii="Narkisim" w:hAnsi="Narkisim" w:cs="Narkisim"/>
          <w:sz w:val="20"/>
          <w:szCs w:val="20"/>
          <w:rtl/>
        </w:rPr>
        <w:t>[ועי"ז נחשב 'בנו' במציאות, וזה לא פקע בגירות. וכ"כ ה</w:t>
      </w:r>
      <w:r w:rsidRPr="00440CAB">
        <w:rPr>
          <w:rFonts w:ascii="Narkisim" w:hAnsi="Narkisim" w:cs="Narkisim"/>
          <w:b/>
          <w:bCs/>
          <w:sz w:val="20"/>
          <w:szCs w:val="20"/>
          <w:rtl/>
        </w:rPr>
        <w:t>אבה"א</w:t>
      </w:r>
      <w:r w:rsidRPr="00440CAB">
        <w:rPr>
          <w:rFonts w:ascii="Narkisim" w:hAnsi="Narkisim" w:cs="Narkisim"/>
          <w:sz w:val="20"/>
          <w:szCs w:val="20"/>
          <w:rtl/>
        </w:rPr>
        <w:t xml:space="preserve"> (עבדים ח כ בסו"ד)]</w:t>
      </w:r>
      <w:r w:rsidRPr="00440CAB">
        <w:rPr>
          <w:rFonts w:ascii="Narkisim" w:hAnsi="Narkisim" w:cs="Narkisim"/>
          <w:rtl/>
        </w:rPr>
        <w:t>. וה</w:t>
      </w:r>
      <w:r w:rsidRPr="00440CAB">
        <w:rPr>
          <w:rFonts w:ascii="Narkisim" w:hAnsi="Narkisim" w:cs="Narkisim"/>
          <w:b/>
          <w:bCs/>
          <w:rtl/>
        </w:rPr>
        <w:t>גרי"ז</w:t>
      </w:r>
      <w:r w:rsidRPr="00440CAB">
        <w:rPr>
          <w:rFonts w:ascii="Narkisim" w:hAnsi="Narkisim" w:cs="Narkisim"/>
          <w:rtl/>
        </w:rPr>
        <w:t xml:space="preserve"> (בכורות מז.) כתב דלא אמרי' כקטן שנולד אלא במידי דדין בן נח שונה מדין ישראל, אבל בדין שקיים גם אצל בן נח וגם אצל ישראל לא אמרי' כקטן שנולד.</w:t>
      </w:r>
    </w:p>
    <w:p w14:paraId="7BD63949" w14:textId="77777777" w:rsidR="006074A5" w:rsidRPr="00440CAB" w:rsidRDefault="006074A5" w:rsidP="006074A5">
      <w:pPr>
        <w:bidi/>
        <w:rPr>
          <w:rFonts w:ascii="Narkisim" w:hAnsi="Narkisim" w:cs="Narkisim"/>
        </w:rPr>
      </w:pPr>
      <w:r w:rsidRPr="00440CAB">
        <w:rPr>
          <w:rFonts w:ascii="Narkisim" w:hAnsi="Narkisim" w:cs="Narkisim"/>
          <w:u w:val="single"/>
          <w:rtl/>
        </w:rPr>
        <w:t>ואזדו לטעמייהו וכו' ר"י אומר אין לו בכור לנחלה.</w:t>
      </w:r>
      <w:r w:rsidRPr="00440CAB">
        <w:rPr>
          <w:rFonts w:ascii="Narkisim" w:hAnsi="Narkisim" w:cs="Narkisim"/>
          <w:rtl/>
        </w:rPr>
        <w:t xml:space="preserve"> ב</w:t>
      </w:r>
      <w:r w:rsidRPr="00440CAB">
        <w:rPr>
          <w:rFonts w:ascii="Narkisim" w:hAnsi="Narkisim" w:cs="Narkisim"/>
          <w:b/>
          <w:bCs/>
          <w:rtl/>
        </w:rPr>
        <w:t xml:space="preserve">חי' ר"א מן ההר </w:t>
      </w:r>
      <w:r w:rsidRPr="00440CAB">
        <w:rPr>
          <w:rFonts w:ascii="Narkisim" w:hAnsi="Narkisim" w:cs="Narkisim"/>
          <w:rtl/>
        </w:rPr>
        <w:t>כתב דבזה איירי אף כשלא נתגייר</w:t>
      </w:r>
      <w:r w:rsidRPr="00440CAB">
        <w:rPr>
          <w:rStyle w:val="ac"/>
          <w:rFonts w:ascii="Narkisim" w:hAnsi="Narkisim" w:cs="Narkisim"/>
          <w:rtl/>
        </w:rPr>
        <w:footnoteReference w:id="3758"/>
      </w:r>
      <w:r w:rsidRPr="00440CAB">
        <w:rPr>
          <w:rFonts w:ascii="Narkisim" w:hAnsi="Narkisim" w:cs="Narkisim"/>
          <w:rtl/>
        </w:rPr>
        <w:t>.</w:t>
      </w:r>
      <w:r w:rsidRPr="00440CAB">
        <w:rPr>
          <w:rFonts w:ascii="Narkisim" w:hAnsi="Narkisim" w:cs="Narkisim"/>
          <w:sz w:val="20"/>
          <w:szCs w:val="20"/>
          <w:rtl/>
        </w:rPr>
        <w:t xml:space="preserve"> ואף לדעת ה</w:t>
      </w:r>
      <w:r w:rsidRPr="00440CAB">
        <w:rPr>
          <w:rFonts w:ascii="Narkisim" w:hAnsi="Narkisim" w:cs="Narkisim"/>
          <w:b/>
          <w:bCs/>
          <w:sz w:val="20"/>
          <w:szCs w:val="20"/>
          <w:rtl/>
        </w:rPr>
        <w:t>רמב"ם</w:t>
      </w:r>
      <w:r w:rsidRPr="00440CAB">
        <w:rPr>
          <w:rFonts w:ascii="Narkisim" w:hAnsi="Narkisim" w:cs="Narkisim"/>
          <w:sz w:val="20"/>
          <w:szCs w:val="20"/>
          <w:rtl/>
        </w:rPr>
        <w:t xml:space="preserve"> דלא קיים פר"ו אא"כ הבן נתגייר [דרק בן ישראל פוטר], אבל מ"מ נחשב בנו והשני לא הוי בכור בנחלה</w:t>
      </w:r>
      <w:r w:rsidRPr="00440CAB">
        <w:rPr>
          <w:rStyle w:val="ac"/>
          <w:rFonts w:ascii="Narkisim" w:hAnsi="Narkisim" w:cs="Narkisim"/>
          <w:sz w:val="20"/>
          <w:szCs w:val="20"/>
          <w:rtl/>
        </w:rPr>
        <w:footnoteReference w:id="3759"/>
      </w:r>
      <w:r w:rsidRPr="00440CAB">
        <w:rPr>
          <w:rFonts w:ascii="Narkisim" w:hAnsi="Narkisim" w:cs="Narkisim"/>
          <w:sz w:val="20"/>
          <w:szCs w:val="20"/>
          <w:rtl/>
        </w:rPr>
        <w:t>.</w:t>
      </w:r>
    </w:p>
    <w:p w14:paraId="64609B3B" w14:textId="77777777" w:rsidR="006074A5" w:rsidRPr="00440CAB" w:rsidRDefault="006074A5" w:rsidP="006074A5">
      <w:pPr>
        <w:bidi/>
        <w:rPr>
          <w:rFonts w:ascii="Narkisim" w:hAnsi="Narkisim" w:cs="Narkisim"/>
        </w:rPr>
      </w:pPr>
      <w:r w:rsidRPr="00440CAB">
        <w:rPr>
          <w:rFonts w:ascii="Narkisim" w:hAnsi="Narkisim" w:cs="Narkisim"/>
          <w:u w:val="single"/>
          <w:rtl/>
        </w:rPr>
        <w:t>רש"י ד"ה בנכריותן.</w:t>
      </w:r>
      <w:r w:rsidRPr="00440CAB">
        <w:rPr>
          <w:rFonts w:ascii="Narkisim" w:hAnsi="Narkisim" w:cs="Narkisim"/>
          <w:rtl/>
        </w:rPr>
        <w:t xml:space="preserve"> לאו בני נחלה דבת כבן וכו' אבל ירושה נהגא בהו (כדאי' קידו' יז:). </w:t>
      </w:r>
      <w:r w:rsidRPr="00440CAB">
        <w:rPr>
          <w:rFonts w:ascii="Narkisim" w:hAnsi="Narkisim" w:cs="Narkisim"/>
          <w:sz w:val="20"/>
          <w:szCs w:val="20"/>
          <w:rtl/>
        </w:rPr>
        <w:t>[אבל ה</w:t>
      </w:r>
      <w:r w:rsidRPr="00440CAB">
        <w:rPr>
          <w:rFonts w:ascii="Narkisim" w:hAnsi="Narkisim" w:cs="Narkisim"/>
          <w:b/>
          <w:bCs/>
          <w:sz w:val="20"/>
          <w:szCs w:val="20"/>
          <w:rtl/>
        </w:rPr>
        <w:t>קוב"ש</w:t>
      </w:r>
      <w:r w:rsidRPr="00440CAB">
        <w:rPr>
          <w:rFonts w:ascii="Narkisim" w:hAnsi="Narkisim" w:cs="Narkisim"/>
          <w:sz w:val="20"/>
          <w:szCs w:val="20"/>
          <w:rtl/>
        </w:rPr>
        <w:t xml:space="preserve"> (ב"ב שנז) דייק מ</w:t>
      </w:r>
      <w:r w:rsidRPr="00440CAB">
        <w:rPr>
          <w:rFonts w:ascii="Narkisim" w:hAnsi="Narkisim" w:cs="Narkisim"/>
          <w:b/>
          <w:bCs/>
          <w:sz w:val="20"/>
          <w:szCs w:val="20"/>
          <w:rtl/>
        </w:rPr>
        <w:t>תוס</w:t>
      </w:r>
      <w:r w:rsidRPr="00440CAB">
        <w:rPr>
          <w:rFonts w:ascii="Narkisim" w:hAnsi="Narkisim" w:cs="Narkisim"/>
          <w:sz w:val="20"/>
          <w:szCs w:val="20"/>
          <w:rtl/>
        </w:rPr>
        <w:t>' (ב"ב קיט:) דאף בעכו"ם בן קודם לבת]</w:t>
      </w:r>
      <w:r w:rsidRPr="00440CAB">
        <w:rPr>
          <w:rFonts w:ascii="Narkisim" w:hAnsi="Narkisim" w:cs="Narkisim"/>
          <w:rtl/>
        </w:rPr>
        <w:t>. וצ"ב דמ"מ הוה בני נחלה, ואמאי תלי בירושת בת. וה</w:t>
      </w:r>
      <w:r w:rsidRPr="00440CAB">
        <w:rPr>
          <w:rFonts w:ascii="Narkisim" w:hAnsi="Narkisim" w:cs="Narkisim"/>
          <w:b/>
          <w:bCs/>
          <w:rtl/>
        </w:rPr>
        <w:t>גרי"ז</w:t>
      </w:r>
      <w:r w:rsidRPr="00440CAB">
        <w:rPr>
          <w:rFonts w:ascii="Narkisim" w:hAnsi="Narkisim" w:cs="Narkisim"/>
          <w:rtl/>
        </w:rPr>
        <w:t xml:space="preserve"> </w:t>
      </w:r>
      <w:r w:rsidRPr="00440CAB">
        <w:rPr>
          <w:rFonts w:ascii="Narkisim" w:hAnsi="Narkisim" w:cs="Narkisim"/>
          <w:sz w:val="20"/>
          <w:szCs w:val="20"/>
          <w:rtl/>
        </w:rPr>
        <w:t xml:space="preserve">(בכורות שם) </w:t>
      </w:r>
      <w:r w:rsidRPr="00440CAB">
        <w:rPr>
          <w:rFonts w:ascii="Narkisim" w:hAnsi="Narkisim" w:cs="Narkisim"/>
          <w:rtl/>
        </w:rPr>
        <w:t>ביאר דכלפי דינים שהיו להם בעודו עכו"ם לא אמרי' כקטן שנולד, וכוונת רש"י להוכיח דדין ירושה דבני נח לא שייך לדין ירושה דישראל, ולכן כלפי ירושה אמרי' כקטן שנולד דמי.</w:t>
      </w:r>
    </w:p>
    <w:p w14:paraId="69300E0F"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ט"ז</w:t>
      </w:r>
      <w:r w:rsidRPr="00440CAB">
        <w:rPr>
          <w:rFonts w:ascii="Narkisim" w:hAnsi="Narkisim"/>
          <w:rtl/>
        </w:rPr>
        <w:t xml:space="preserve"> (א ט) כתב דלדברי הרמב"ם ניחא דאיירי שנתגיירו אח"כ, ואחרי שנתגיירו בישראל אינן יורשים זה את זה</w:t>
      </w:r>
      <w:r w:rsidRPr="00440CAB">
        <w:rPr>
          <w:rStyle w:val="ac"/>
          <w:rFonts w:ascii="Narkisim" w:hAnsi="Narkisim"/>
          <w:rtl/>
        </w:rPr>
        <w:footnoteReference w:id="3760"/>
      </w:r>
      <w:r w:rsidRPr="00440CAB">
        <w:rPr>
          <w:rFonts w:ascii="Narkisim" w:hAnsi="Narkisim"/>
          <w:rtl/>
        </w:rPr>
        <w:t>.</w:t>
      </w:r>
    </w:p>
    <w:p w14:paraId="7398374E" w14:textId="77777777" w:rsidR="006074A5" w:rsidRPr="00440CAB" w:rsidRDefault="006074A5" w:rsidP="006074A5">
      <w:pPr>
        <w:pStyle w:val="a7"/>
        <w:bidi/>
        <w:rPr>
          <w:rFonts w:ascii="Narkisim" w:hAnsi="Narkisim"/>
        </w:rPr>
      </w:pPr>
      <w:r w:rsidRPr="00440CAB">
        <w:rPr>
          <w:rFonts w:ascii="Narkisim" w:hAnsi="Narkisim"/>
          <w:rtl/>
        </w:rPr>
        <w:t xml:space="preserve">וכן </w:t>
      </w:r>
      <w:r w:rsidRPr="00440CAB">
        <w:rPr>
          <w:rFonts w:ascii="Narkisim" w:hAnsi="Narkisim"/>
          <w:b/>
          <w:bCs/>
          <w:rtl/>
        </w:rPr>
        <w:t>רש"י</w:t>
      </w:r>
      <w:r w:rsidRPr="00440CAB">
        <w:rPr>
          <w:rFonts w:ascii="Narkisim" w:hAnsi="Narkisim"/>
          <w:rtl/>
        </w:rPr>
        <w:t xml:space="preserve"> (</w:t>
      </w:r>
      <w:r w:rsidRPr="00440CAB">
        <w:rPr>
          <w:rFonts w:ascii="Narkisim" w:hAnsi="Narkisim"/>
          <w:szCs w:val="20"/>
          <w:rtl/>
        </w:rPr>
        <w:t>בכורות</w:t>
      </w:r>
      <w:r w:rsidRPr="00440CAB">
        <w:rPr>
          <w:rFonts w:ascii="Narkisim" w:hAnsi="Narkisim"/>
          <w:rtl/>
        </w:rPr>
        <w:t xml:space="preserve"> </w:t>
      </w:r>
      <w:r w:rsidRPr="00440CAB">
        <w:rPr>
          <w:rFonts w:ascii="Narkisim" w:hAnsi="Narkisim"/>
          <w:sz w:val="20"/>
          <w:szCs w:val="20"/>
          <w:rtl/>
        </w:rPr>
        <w:t>מז. ד"ה עובדי כוכבים)</w:t>
      </w:r>
      <w:r w:rsidRPr="00440CAB">
        <w:rPr>
          <w:rFonts w:ascii="Narkisim" w:hAnsi="Narkisim"/>
          <w:rtl/>
        </w:rPr>
        <w:t xml:space="preserve"> כתב דאחר שנתגיירו אינן בני נחלה לירש אביהם עכו"ם. ומשמע דכוונת רש"י דהבן נתגייר</w:t>
      </w:r>
      <w:r w:rsidRPr="00440CAB">
        <w:rPr>
          <w:rStyle w:val="ac"/>
          <w:rFonts w:ascii="Narkisim" w:hAnsi="Narkisim"/>
          <w:rtl/>
        </w:rPr>
        <w:footnoteReference w:id="3761"/>
      </w:r>
      <w:r w:rsidRPr="00440CAB">
        <w:rPr>
          <w:rFonts w:ascii="Narkisim" w:hAnsi="Narkisim"/>
          <w:rtl/>
        </w:rPr>
        <w:t>. [ו</w:t>
      </w:r>
      <w:r w:rsidRPr="00440CAB">
        <w:rPr>
          <w:rFonts w:ascii="Narkisim" w:hAnsi="Narkisim"/>
          <w:b/>
          <w:bCs/>
          <w:rtl/>
        </w:rPr>
        <w:t>תוס</w:t>
      </w:r>
      <w:r w:rsidRPr="00440CAB">
        <w:rPr>
          <w:rFonts w:ascii="Narkisim" w:hAnsi="Narkisim"/>
          <w:rtl/>
        </w:rPr>
        <w:t>' (שם) הקשה דעכו"ם יורש את אביו כדאמרי' בקידושין יז:</w:t>
      </w:r>
      <w:r w:rsidRPr="00440CAB">
        <w:rPr>
          <w:rStyle w:val="ac"/>
          <w:rFonts w:ascii="Narkisim" w:hAnsi="Narkisim"/>
          <w:rtl/>
        </w:rPr>
        <w:footnoteReference w:id="3762"/>
      </w:r>
      <w:r w:rsidRPr="00440CAB">
        <w:rPr>
          <w:rFonts w:ascii="Narkisim" w:hAnsi="Narkisim"/>
          <w:rtl/>
        </w:rPr>
        <w:t>].</w:t>
      </w:r>
    </w:p>
    <w:p w14:paraId="318E8DB8"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גרי"ז</w:t>
      </w:r>
      <w:r w:rsidRPr="00440CAB">
        <w:rPr>
          <w:rFonts w:ascii="Narkisim" w:hAnsi="Narkisim"/>
          <w:rtl/>
        </w:rPr>
        <w:t xml:space="preserve"> ביאר דכוונת רש"י (שם) להוכיח דאמרי' כקטן שנולד כלפי דיני נחלות, דכיון דפרשת נחלות דעכו"ם הוה גדר שונה מנחלות דישראל [וכמ"ש רש"י כאן], אמרי' בזה כקטן שנולד [וב' טעמי רש"י צריכין זה לזה].</w:t>
      </w:r>
    </w:p>
    <w:p w14:paraId="44DF925A" w14:textId="77777777" w:rsidR="006074A5" w:rsidRPr="00440CAB" w:rsidRDefault="006074A5" w:rsidP="006074A5">
      <w:pPr>
        <w:bidi/>
        <w:rPr>
          <w:rFonts w:ascii="Narkisim" w:hAnsi="Narkisim" w:cs="Narkisim"/>
        </w:rPr>
      </w:pPr>
      <w:r w:rsidRPr="00440CAB">
        <w:rPr>
          <w:rFonts w:ascii="Narkisim" w:hAnsi="Narkisim" w:cs="Narkisim"/>
          <w:u w:val="single"/>
          <w:rtl/>
        </w:rPr>
        <w:t>איתיביה ר' יוחנן וכו', נתגיירו ל"ל חייס.</w:t>
      </w:r>
      <w:r w:rsidRPr="00440CAB">
        <w:rPr>
          <w:rFonts w:ascii="Narkisim" w:hAnsi="Narkisim" w:cs="Narkisim"/>
          <w:rtl/>
        </w:rPr>
        <w:t xml:space="preserve"> מבואר דדין פר"ו תליא בחייס, שנקרא על שמו</w:t>
      </w:r>
      <w:r w:rsidRPr="00440CAB">
        <w:rPr>
          <w:rStyle w:val="ac"/>
          <w:rFonts w:ascii="Narkisim" w:hAnsi="Narkisim" w:cs="Narkisim"/>
          <w:rtl/>
        </w:rPr>
        <w:footnoteReference w:id="3763"/>
      </w:r>
      <w:r w:rsidRPr="00440CAB">
        <w:rPr>
          <w:rFonts w:ascii="Narkisim" w:hAnsi="Narkisim" w:cs="Narkisim"/>
          <w:rtl/>
        </w:rPr>
        <w:t xml:space="preserve">. </w:t>
      </w:r>
      <w:r w:rsidRPr="00440CAB">
        <w:rPr>
          <w:rFonts w:ascii="Narkisim" w:hAnsi="Narkisim" w:cs="Narkisim"/>
          <w:sz w:val="20"/>
          <w:szCs w:val="20"/>
          <w:rtl/>
        </w:rPr>
        <w:t>וה</w:t>
      </w:r>
      <w:r w:rsidRPr="00440CAB">
        <w:rPr>
          <w:rFonts w:ascii="Narkisim" w:hAnsi="Narkisim" w:cs="Narkisim"/>
          <w:b/>
          <w:bCs/>
          <w:sz w:val="20"/>
          <w:szCs w:val="20"/>
          <w:rtl/>
        </w:rPr>
        <w:t>מנח"ח</w:t>
      </w:r>
      <w:r w:rsidRPr="00440CAB">
        <w:rPr>
          <w:rFonts w:ascii="Narkisim" w:hAnsi="Narkisim" w:cs="Narkisim"/>
          <w:sz w:val="20"/>
          <w:szCs w:val="20"/>
          <w:rtl/>
        </w:rPr>
        <w:t xml:space="preserve"> (א יח) הקשה דדעת ר' יוחנן בן ברוקה (לקמן סה:) נשים מצוות על פר"ו, ואף דאין הבן מיוחס אחריה אלא אחרי אביו. ותי' כיון דהוה בנה לכל דבר, לעריות ונחלה, לא בעינן יחס משפחה, אלא בסוגיין שנתגיירו דאינן בניהם לשום קרבות, ולכן תליא ביחס.</w:t>
      </w:r>
    </w:p>
    <w:p w14:paraId="4FFE5D9D" w14:textId="77777777" w:rsidR="006074A5" w:rsidRPr="00440CAB" w:rsidRDefault="006074A5" w:rsidP="006074A5">
      <w:pPr>
        <w:bidi/>
        <w:rPr>
          <w:rFonts w:ascii="Narkisim" w:hAnsi="Narkisim" w:cs="Narkisim"/>
        </w:rPr>
      </w:pPr>
      <w:r w:rsidRPr="00440CAB">
        <w:rPr>
          <w:rFonts w:ascii="Narkisim" w:hAnsi="Narkisim" w:cs="Narkisim"/>
          <w:rtl/>
        </w:rPr>
        <w:t>ובזה נח' ר' יוחנן ור"ל האם גר שנתגייר כקטן שנולד מגדיר דאינו מתייחס אחריו. [ולס"ד דמקשן לר"ל אף בעודו עכו"ם אינו מתייחס אחריו, ולכן לא קיים פר"ו. וה</w:t>
      </w:r>
      <w:r w:rsidRPr="00440CAB">
        <w:rPr>
          <w:rFonts w:ascii="Narkisim" w:hAnsi="Narkisim" w:cs="Narkisim"/>
          <w:b/>
          <w:bCs/>
          <w:rtl/>
        </w:rPr>
        <w:t>אחרונים</w:t>
      </w:r>
      <w:r w:rsidRPr="00440CAB">
        <w:rPr>
          <w:rFonts w:ascii="Narkisim" w:hAnsi="Narkisim" w:cs="Narkisim"/>
          <w:rtl/>
        </w:rPr>
        <w:t xml:space="preserve"> הביאו דכ"ד ה</w:t>
      </w:r>
      <w:r w:rsidRPr="00440CAB">
        <w:rPr>
          <w:rFonts w:ascii="Narkisim" w:hAnsi="Narkisim" w:cs="Narkisim"/>
          <w:b/>
          <w:bCs/>
          <w:rtl/>
        </w:rPr>
        <w:t>ירושלמי</w:t>
      </w:r>
      <w:r w:rsidRPr="00440CAB">
        <w:rPr>
          <w:rFonts w:ascii="Narkisim" w:hAnsi="Narkisim" w:cs="Narkisim"/>
          <w:rtl/>
        </w:rPr>
        <w:t>].</w:t>
      </w:r>
    </w:p>
    <w:p w14:paraId="6C5A1E7C" w14:textId="77777777" w:rsidR="006074A5" w:rsidRPr="00440CAB" w:rsidRDefault="006074A5" w:rsidP="006074A5">
      <w:pPr>
        <w:bidi/>
        <w:rPr>
          <w:rFonts w:ascii="Narkisim" w:hAnsi="Narkisim" w:cs="Narkisim"/>
        </w:rPr>
      </w:pPr>
      <w:r w:rsidRPr="00440CAB">
        <w:rPr>
          <w:rFonts w:ascii="Narkisim" w:hAnsi="Narkisim" w:cs="Narkisim"/>
          <w:u w:val="single"/>
          <w:rtl/>
        </w:rPr>
        <w:t>שם. נתגיירו ל"ל חייס</w:t>
      </w:r>
      <w:r w:rsidRPr="00440CAB">
        <w:rPr>
          <w:rFonts w:ascii="Narkisim" w:hAnsi="Narkisim" w:cs="Narkisim"/>
          <w:rtl/>
        </w:rPr>
        <w:t xml:space="preserve">. בפשוטו כוונת הגמ' כשהאב נתגייר אמרי' כקטן שנולד, ולכן בנו אינו מיוחס אחריו. </w:t>
      </w:r>
      <w:r w:rsidRPr="00440CAB">
        <w:rPr>
          <w:rFonts w:ascii="Narkisim" w:hAnsi="Narkisim" w:cs="Narkisim"/>
          <w:sz w:val="20"/>
          <w:szCs w:val="20"/>
          <w:rtl/>
        </w:rPr>
        <w:t xml:space="preserve">[ור' יוחנן ס"ל דלענין יחס לא אמרי' כן, וכמ"ש </w:t>
      </w:r>
      <w:r w:rsidRPr="00440CAB">
        <w:rPr>
          <w:rFonts w:ascii="Narkisim" w:hAnsi="Narkisim" w:cs="Narkisim"/>
          <w:b/>
          <w:bCs/>
          <w:sz w:val="20"/>
          <w:szCs w:val="20"/>
          <w:rtl/>
        </w:rPr>
        <w:t>תוס</w:t>
      </w:r>
      <w:r w:rsidRPr="00440CAB">
        <w:rPr>
          <w:rFonts w:ascii="Narkisim" w:hAnsi="Narkisim" w:cs="Narkisim"/>
          <w:sz w:val="20"/>
          <w:szCs w:val="20"/>
          <w:rtl/>
        </w:rPr>
        <w:t>' ד"ה ר' יוחנן].</w:t>
      </w:r>
      <w:r w:rsidRPr="00440CAB">
        <w:rPr>
          <w:rFonts w:ascii="Narkisim" w:hAnsi="Narkisim" w:cs="Narkisim"/>
          <w:rtl/>
        </w:rPr>
        <w:t xml:space="preserve"> אבל ה</w:t>
      </w:r>
      <w:r w:rsidRPr="00440CAB">
        <w:rPr>
          <w:rFonts w:ascii="Narkisim" w:hAnsi="Narkisim" w:cs="Narkisim"/>
          <w:b/>
          <w:bCs/>
          <w:rtl/>
        </w:rPr>
        <w:t>גר"א</w:t>
      </w:r>
      <w:r w:rsidRPr="00440CAB">
        <w:rPr>
          <w:rFonts w:ascii="Narkisim" w:hAnsi="Narkisim" w:cs="Narkisim"/>
          <w:rtl/>
        </w:rPr>
        <w:t xml:space="preserve"> (א יז) כתב לדעת הרמב"ם </w:t>
      </w:r>
      <w:r w:rsidRPr="00440CAB">
        <w:rPr>
          <w:rFonts w:ascii="Narkisim" w:hAnsi="Narkisim" w:cs="Narkisim"/>
          <w:sz w:val="20"/>
          <w:szCs w:val="20"/>
          <w:rtl/>
        </w:rPr>
        <w:t>[דאיירי דוקא דהבן נתגייר]</w:t>
      </w:r>
      <w:r w:rsidRPr="00440CAB">
        <w:rPr>
          <w:rFonts w:ascii="Narkisim" w:hAnsi="Narkisim" w:cs="Narkisim"/>
          <w:rtl/>
        </w:rPr>
        <w:t>, סברת ר"ל דכשהבן נתגייר אמרי' כקטן שנולד, והוה כאילו מתו בניו [דמבואר בגמ' בסמוך דלא קיים המצוה</w:t>
      </w:r>
      <w:r w:rsidRPr="00440CAB">
        <w:rPr>
          <w:rStyle w:val="ac"/>
          <w:rFonts w:ascii="Narkisim" w:hAnsi="Narkisim" w:cs="Narkisim"/>
          <w:rtl/>
        </w:rPr>
        <w:footnoteReference w:id="3764"/>
      </w:r>
      <w:r w:rsidRPr="00440CAB">
        <w:rPr>
          <w:rFonts w:ascii="Narkisim" w:hAnsi="Narkisim" w:cs="Narkisim"/>
          <w:rtl/>
        </w:rPr>
        <w:t>]. ואף ר"ל מודה דמשום גירות האב סגי במה שנתייחס עליו קודם, וכמש"כ תוס', אלא דע"י גירות הבן אמרי' כקטן שנולד</w:t>
      </w:r>
      <w:r w:rsidRPr="00440CAB">
        <w:rPr>
          <w:rStyle w:val="ac"/>
          <w:rFonts w:ascii="Narkisim" w:hAnsi="Narkisim" w:cs="Narkisim"/>
          <w:rtl/>
        </w:rPr>
        <w:footnoteReference w:id="3765"/>
      </w:r>
      <w:r w:rsidRPr="00440CAB">
        <w:rPr>
          <w:rFonts w:ascii="Narkisim" w:hAnsi="Narkisim" w:cs="Narkisim"/>
          <w:rtl/>
        </w:rPr>
        <w:t>.</w:t>
      </w:r>
    </w:p>
    <w:p w14:paraId="58505BB4" w14:textId="77777777" w:rsidR="006074A5" w:rsidRPr="00440CAB" w:rsidRDefault="006074A5" w:rsidP="006074A5">
      <w:pPr>
        <w:bidi/>
        <w:rPr>
          <w:rFonts w:ascii="Narkisim" w:hAnsi="Narkisim" w:cs="Narkisim"/>
        </w:rPr>
      </w:pPr>
      <w:r w:rsidRPr="00440CAB">
        <w:rPr>
          <w:rFonts w:ascii="Narkisim" w:hAnsi="Narkisim" w:cs="Narkisim"/>
          <w:u w:val="single"/>
          <w:rtl/>
        </w:rPr>
        <w:lastRenderedPageBreak/>
        <w:t>בהיותן עכו"ם אית להו חייס.</w:t>
      </w:r>
      <w:r w:rsidRPr="00440CAB">
        <w:rPr>
          <w:rFonts w:ascii="Narkisim" w:hAnsi="Narkisim" w:cs="Narkisim"/>
          <w:rtl/>
        </w:rPr>
        <w:t xml:space="preserve"> ה</w:t>
      </w:r>
      <w:r w:rsidRPr="00440CAB">
        <w:rPr>
          <w:rFonts w:ascii="Narkisim" w:hAnsi="Narkisim" w:cs="Narkisim"/>
          <w:b/>
          <w:bCs/>
          <w:rtl/>
        </w:rPr>
        <w:t>קובה"ע</w:t>
      </w:r>
      <w:r w:rsidRPr="00440CAB">
        <w:rPr>
          <w:rFonts w:ascii="Narkisim" w:hAnsi="Narkisim" w:cs="Narkisim"/>
          <w:rtl/>
        </w:rPr>
        <w:t xml:space="preserve"> (נא ג) הקשה אמאי יש להם חייס, הא אמרי' (לקמן צח.) דרחמנא אפקריה לזרעיה דעכו"ם. ותי' דעכו"ם הבא על בת ישראל אמרי' רחמנא אפקריה, אבל עכו"ם הבא על עובדת כוכבים לא אמרי' דרחמנא אפקריה </w:t>
      </w:r>
      <w:r w:rsidRPr="00440CAB">
        <w:rPr>
          <w:rFonts w:ascii="Narkisim" w:hAnsi="Narkisim" w:cs="Narkisim"/>
          <w:sz w:val="20"/>
          <w:szCs w:val="20"/>
          <w:rtl/>
        </w:rPr>
        <w:t>[והוה מדין גר שנתגייר כקטן שנולד]</w:t>
      </w:r>
      <w:r w:rsidRPr="00440CAB">
        <w:rPr>
          <w:rFonts w:ascii="Narkisim" w:hAnsi="Narkisim" w:cs="Narkisim"/>
          <w:rtl/>
        </w:rPr>
        <w:t>.</w:t>
      </w:r>
    </w:p>
    <w:p w14:paraId="1DDAEE85"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רש"י</w:t>
      </w:r>
      <w:r w:rsidRPr="00440CAB">
        <w:rPr>
          <w:rFonts w:ascii="Narkisim" w:hAnsi="Narkisim"/>
          <w:rtl/>
        </w:rPr>
        <w:t xml:space="preserve"> (ב"ק פח.) כתב דגר אין לו חייס דכתיב וזרמת סוסים זרמתם, ואע"ג דכתיב בלאדן בן בלאדן ה"מ בגיותן, אבל נתגיירו הבנים לא יתייחסו אחרי אביהם</w:t>
      </w:r>
      <w:r w:rsidRPr="00440CAB">
        <w:rPr>
          <w:rFonts w:ascii="Narkisim" w:hAnsi="Narkisim"/>
          <w:sz w:val="20"/>
          <w:szCs w:val="20"/>
          <w:rtl/>
        </w:rPr>
        <w:t xml:space="preserve"> [משמע הסברא דכלפי דין ישראל אמרי' רחמנא אפקריה</w:t>
      </w:r>
      <w:r w:rsidRPr="00440CAB">
        <w:rPr>
          <w:rStyle w:val="ac"/>
          <w:rFonts w:ascii="Narkisim" w:hAnsi="Narkisim"/>
          <w:sz w:val="20"/>
          <w:szCs w:val="20"/>
          <w:rtl/>
        </w:rPr>
        <w:footnoteReference w:id="3766"/>
      </w:r>
      <w:r w:rsidRPr="00440CAB">
        <w:rPr>
          <w:rFonts w:ascii="Narkisim" w:hAnsi="Narkisim"/>
          <w:sz w:val="20"/>
          <w:szCs w:val="20"/>
          <w:rtl/>
        </w:rPr>
        <w:t>]</w:t>
      </w:r>
      <w:r w:rsidRPr="00440CAB">
        <w:rPr>
          <w:rFonts w:ascii="Narkisim" w:hAnsi="Narkisim"/>
          <w:rtl/>
        </w:rPr>
        <w:t>.</w:t>
      </w:r>
    </w:p>
    <w:p w14:paraId="72FD2DE5"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רמב"ן</w:t>
      </w:r>
      <w:r w:rsidRPr="00440CAB">
        <w:rPr>
          <w:rFonts w:ascii="Narkisim" w:hAnsi="Narkisim"/>
          <w:rtl/>
        </w:rPr>
        <w:t xml:space="preserve"> (צח.) כתב דאמרי' רחמנא אפקריה, ועכו"ם אין לו יחס כלל לאביו לענין עריות</w:t>
      </w:r>
      <w:r w:rsidRPr="00440CAB">
        <w:rPr>
          <w:rStyle w:val="ac"/>
          <w:rFonts w:ascii="Narkisim" w:hAnsi="Narkisim"/>
          <w:rtl/>
        </w:rPr>
        <w:footnoteReference w:id="3767"/>
      </w:r>
      <w:r w:rsidRPr="00440CAB">
        <w:rPr>
          <w:rFonts w:ascii="Narkisim" w:hAnsi="Narkisim"/>
          <w:rtl/>
        </w:rPr>
        <w:t>. וכתב דהיינו דאיצטריך ריבוי לענין ירושה, דגלי קרא דיורש את אביו</w:t>
      </w:r>
      <w:r w:rsidRPr="00440CAB">
        <w:rPr>
          <w:rStyle w:val="ac"/>
          <w:rFonts w:ascii="Narkisim" w:hAnsi="Narkisim"/>
          <w:rtl/>
        </w:rPr>
        <w:footnoteReference w:id="3768"/>
      </w:r>
      <w:r w:rsidRPr="00440CAB">
        <w:rPr>
          <w:rFonts w:ascii="Narkisim" w:hAnsi="Narkisim"/>
          <w:rtl/>
        </w:rPr>
        <w:t xml:space="preserve">. </w:t>
      </w:r>
      <w:r w:rsidRPr="00440CAB">
        <w:rPr>
          <w:rFonts w:ascii="Narkisim" w:hAnsi="Narkisim"/>
          <w:sz w:val="20"/>
          <w:szCs w:val="20"/>
          <w:rtl/>
        </w:rPr>
        <w:t>[וצ"ל דהא דנחשב בנו לענין פריה ורביה הוא משום דגלי קרא בירושה. וצ"ב אמאי תלי בקרא דבראדך]. (וע"ע מש"כ בזה לעיל כב.).</w:t>
      </w:r>
    </w:p>
    <w:p w14:paraId="75D69244" w14:textId="77777777" w:rsidR="006074A5" w:rsidRPr="00440CAB" w:rsidRDefault="006074A5" w:rsidP="006074A5">
      <w:pPr>
        <w:pStyle w:val="aa"/>
        <w:bidi/>
        <w:rPr>
          <w:rFonts w:ascii="Narkisim" w:hAnsi="Narkisim"/>
        </w:rPr>
      </w:pPr>
      <w:r w:rsidRPr="00440CAB">
        <w:rPr>
          <w:rFonts w:ascii="Narkisim" w:hAnsi="Narkisim"/>
          <w:u w:val="single"/>
          <w:rtl/>
        </w:rPr>
        <w:t>אמר רב הכל מודין בעבד שאין לו חייס, שנאמר שבו לכם פה עם החמור וכו'</w:t>
      </w:r>
      <w:r w:rsidRPr="00440CAB">
        <w:rPr>
          <w:rFonts w:ascii="Narkisim" w:hAnsi="Narkisim"/>
          <w:rtl/>
        </w:rPr>
        <w:t>. פ</w:t>
      </w:r>
      <w:r w:rsidRPr="00440CAB">
        <w:rPr>
          <w:rFonts w:ascii="Narkisim" w:hAnsi="Narkisim"/>
          <w:b/>
          <w:bCs/>
          <w:rtl/>
        </w:rPr>
        <w:t>רש"י</w:t>
      </w:r>
      <w:r w:rsidRPr="00440CAB">
        <w:rPr>
          <w:rFonts w:ascii="Narkisim" w:hAnsi="Narkisim"/>
          <w:rtl/>
        </w:rPr>
        <w:t xml:space="preserve"> דקאי אאליעזר עבד אברהם. וה</w:t>
      </w:r>
      <w:r w:rsidRPr="00440CAB">
        <w:rPr>
          <w:rFonts w:ascii="Narkisim" w:hAnsi="Narkisim"/>
          <w:b/>
          <w:bCs/>
          <w:rtl/>
        </w:rPr>
        <w:t>ראשונים</w:t>
      </w:r>
      <w:r w:rsidRPr="00440CAB">
        <w:rPr>
          <w:rFonts w:ascii="Narkisim" w:hAnsi="Narkisim"/>
          <w:rtl/>
        </w:rPr>
        <w:t xml:space="preserve"> (רא"ש עה"ת בראשית כב ה, ריטב"א קידושין סח:) הק' דב' נעריו עמו [ופרש"י עה"ת אליעזר וישמעאל], א"כ קאי אף אישמעאל</w:t>
      </w:r>
      <w:r w:rsidRPr="00440CAB">
        <w:rPr>
          <w:rStyle w:val="ac"/>
          <w:rFonts w:ascii="Narkisim" w:hAnsi="Narkisim"/>
          <w:rtl/>
        </w:rPr>
        <w:footnoteReference w:id="3769"/>
      </w:r>
      <w:r w:rsidRPr="00440CAB">
        <w:rPr>
          <w:rFonts w:ascii="Narkisim" w:hAnsi="Narkisim"/>
          <w:rtl/>
        </w:rPr>
        <w:t>. וה</w:t>
      </w:r>
      <w:r w:rsidRPr="00440CAB">
        <w:rPr>
          <w:rFonts w:ascii="Narkisim" w:hAnsi="Narkisim"/>
          <w:b/>
          <w:bCs/>
          <w:rtl/>
        </w:rPr>
        <w:t>אחרונים</w:t>
      </w:r>
      <w:r w:rsidRPr="00440CAB">
        <w:rPr>
          <w:rFonts w:ascii="Narkisim" w:hAnsi="Narkisim"/>
          <w:rtl/>
        </w:rPr>
        <w:t xml:space="preserve"> דחקו דסגי שההיקש לחמור קאי אחד</w:t>
      </w:r>
      <w:r w:rsidRPr="00440CAB">
        <w:rPr>
          <w:rStyle w:val="ac"/>
          <w:rFonts w:ascii="Narkisim" w:hAnsi="Narkisim"/>
          <w:rtl/>
        </w:rPr>
        <w:footnoteReference w:id="3770"/>
      </w:r>
      <w:r w:rsidRPr="00440CAB">
        <w:rPr>
          <w:rFonts w:ascii="Narkisim" w:hAnsi="Narkisim"/>
          <w:rtl/>
        </w:rPr>
        <w:t xml:space="preserve"> מינייהו</w:t>
      </w:r>
      <w:r w:rsidRPr="00440CAB">
        <w:rPr>
          <w:rStyle w:val="ac"/>
          <w:rFonts w:ascii="Narkisim" w:hAnsi="Narkisim"/>
          <w:rtl/>
        </w:rPr>
        <w:footnoteReference w:id="3771"/>
      </w:r>
      <w:r w:rsidRPr="00440CAB">
        <w:rPr>
          <w:rFonts w:ascii="Narkisim" w:hAnsi="Narkisim"/>
          <w:rtl/>
        </w:rPr>
        <w:t>.</w:t>
      </w:r>
    </w:p>
    <w:p w14:paraId="43B62015"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(שם) הביא </w:t>
      </w:r>
      <w:r w:rsidRPr="00440CAB">
        <w:rPr>
          <w:rFonts w:ascii="Narkisim" w:hAnsi="Narkisim"/>
          <w:b/>
          <w:bCs/>
          <w:rtl/>
        </w:rPr>
        <w:t>מדרש</w:t>
      </w:r>
      <w:r w:rsidRPr="00440CAB">
        <w:rPr>
          <w:rFonts w:ascii="Narkisim" w:hAnsi="Narkisim"/>
          <w:rtl/>
        </w:rPr>
        <w:t xml:space="preserve"> דנעריו לא קאי אישמעאל [שהיה בנו, ולא נערו]</w:t>
      </w:r>
      <w:r w:rsidRPr="00440CAB">
        <w:rPr>
          <w:rStyle w:val="ac"/>
          <w:rFonts w:ascii="Narkisim" w:hAnsi="Narkisim"/>
          <w:rtl/>
        </w:rPr>
        <w:footnoteReference w:id="3772"/>
      </w:r>
      <w:r w:rsidRPr="00440CAB">
        <w:rPr>
          <w:rFonts w:ascii="Narkisim" w:hAnsi="Narkisim"/>
          <w:rtl/>
        </w:rPr>
        <w:t>.</w:t>
      </w:r>
    </w:p>
    <w:p w14:paraId="3CF99654" w14:textId="77777777" w:rsidR="006074A5" w:rsidRPr="00440CAB" w:rsidRDefault="006074A5" w:rsidP="006074A5">
      <w:pPr>
        <w:bidi/>
        <w:rPr>
          <w:rFonts w:ascii="Narkisim" w:hAnsi="Narkisim" w:cs="Narkisim"/>
        </w:rPr>
      </w:pPr>
      <w:r w:rsidRPr="00440CAB">
        <w:rPr>
          <w:rFonts w:ascii="Narkisim" w:hAnsi="Narkisim" w:cs="Narkisim"/>
          <w:u w:val="single"/>
          <w:rtl/>
        </w:rPr>
        <w:t>תוד"ה הכל.</w:t>
      </w:r>
      <w:r w:rsidRPr="00440CAB">
        <w:rPr>
          <w:rFonts w:ascii="Narkisim" w:hAnsi="Narkisim" w:cs="Narkisim"/>
          <w:rtl/>
        </w:rPr>
        <w:t xml:space="preserve"> וא"ת וכו' משמע דסגי ליה בהכי. כוונת תוס' דבסוגיין מוכח דאף בעודו עבד אינו מצווה על פר"ו, כיון דאין לו חייס. וכ"כ </w:t>
      </w:r>
      <w:r w:rsidRPr="00440CAB">
        <w:rPr>
          <w:rFonts w:ascii="Narkisim" w:hAnsi="Narkisim" w:cs="Narkisim"/>
          <w:b/>
          <w:bCs/>
          <w:rtl/>
        </w:rPr>
        <w:t>תוס</w:t>
      </w:r>
      <w:r w:rsidRPr="00440CAB">
        <w:rPr>
          <w:rFonts w:ascii="Narkisim" w:hAnsi="Narkisim" w:cs="Narkisim"/>
          <w:rtl/>
        </w:rPr>
        <w:t xml:space="preserve">' (חגיגה ב: ד"ה לא) בשם </w:t>
      </w:r>
      <w:r w:rsidRPr="00440CAB">
        <w:rPr>
          <w:rFonts w:ascii="Narkisim" w:hAnsi="Narkisim" w:cs="Narkisim"/>
          <w:b/>
          <w:bCs/>
          <w:rtl/>
        </w:rPr>
        <w:t xml:space="preserve">י"מ </w:t>
      </w:r>
      <w:r w:rsidRPr="00440CAB">
        <w:rPr>
          <w:rFonts w:ascii="Narkisim" w:hAnsi="Narkisim" w:cs="Narkisim"/>
          <w:rtl/>
        </w:rPr>
        <w:t>להוכיח מסוגיין דעבד אינו מצווה בפריה ורביה.</w:t>
      </w:r>
    </w:p>
    <w:p w14:paraId="4E08E00B"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תוס</w:t>
      </w:r>
      <w:r w:rsidRPr="00440CAB">
        <w:rPr>
          <w:rFonts w:ascii="Narkisim" w:hAnsi="Narkisim"/>
          <w:rtl/>
        </w:rPr>
        <w:t xml:space="preserve">' (שם) דחו [דלעולם עבד מחוייב בפר"ו], דהא דאמרי' לא קיים פר"ו היינו דבעינן זרעו מיוחס אחריו, ואפי' ישראל שיש לו בן מן השפחה לא קיים. </w:t>
      </w:r>
      <w:r w:rsidRPr="00440CAB">
        <w:rPr>
          <w:rFonts w:ascii="Narkisim" w:hAnsi="Narkisim"/>
          <w:sz w:val="20"/>
          <w:szCs w:val="20"/>
          <w:rtl/>
        </w:rPr>
        <w:t>[אבל עבד גמור מתקיים דין פר"ו דידיה אף כשאינו מיוחס אחריו].</w:t>
      </w:r>
      <w:r w:rsidRPr="00440CAB">
        <w:rPr>
          <w:rFonts w:ascii="Narkisim" w:hAnsi="Narkisim"/>
          <w:rtl/>
        </w:rPr>
        <w:t xml:space="preserve"> ותוס' הוכיחו כן דפרו רבו נאמר לכל בני נח, אף לכנען</w:t>
      </w:r>
      <w:r w:rsidRPr="00440CAB">
        <w:rPr>
          <w:rStyle w:val="ac"/>
          <w:rFonts w:ascii="Narkisim" w:hAnsi="Narkisim"/>
          <w:rtl/>
        </w:rPr>
        <w:footnoteReference w:id="3773"/>
      </w:r>
      <w:r w:rsidRPr="00440CAB">
        <w:rPr>
          <w:rFonts w:ascii="Narkisim" w:hAnsi="Narkisim"/>
          <w:rtl/>
        </w:rPr>
        <w:t xml:space="preserve">. </w:t>
      </w:r>
      <w:r w:rsidRPr="00440CAB">
        <w:rPr>
          <w:rFonts w:ascii="Narkisim" w:hAnsi="Narkisim"/>
          <w:sz w:val="20"/>
          <w:szCs w:val="20"/>
          <w:rtl/>
        </w:rPr>
        <w:t>[וה</w:t>
      </w:r>
      <w:r w:rsidRPr="00440CAB">
        <w:rPr>
          <w:rFonts w:ascii="Narkisim" w:hAnsi="Narkisim"/>
          <w:b/>
          <w:bCs/>
          <w:sz w:val="20"/>
          <w:szCs w:val="20"/>
          <w:rtl/>
        </w:rPr>
        <w:t xml:space="preserve">משנ"ל </w:t>
      </w:r>
      <w:r w:rsidRPr="00440CAB">
        <w:rPr>
          <w:rFonts w:ascii="Narkisim" w:hAnsi="Narkisim"/>
          <w:sz w:val="20"/>
          <w:szCs w:val="20"/>
          <w:rtl/>
        </w:rPr>
        <w:t>(מלכים י ז) ביאר דכוונת תוס' דאף דלאחר מתן תורה נתייחד המצוה דוקא לישראל, אבל קודם מתן תורה אף עכו"ם חייבין. ולכן עבד עדיין נשאר בחיובו, דהמצוה לא ניטלה מעבדים</w:t>
      </w:r>
      <w:r w:rsidRPr="00440CAB">
        <w:rPr>
          <w:rStyle w:val="ac"/>
          <w:rFonts w:ascii="Narkisim" w:hAnsi="Narkisim"/>
          <w:sz w:val="20"/>
          <w:szCs w:val="20"/>
          <w:rtl/>
        </w:rPr>
        <w:footnoteReference w:id="3774"/>
      </w:r>
      <w:r w:rsidRPr="00440CAB">
        <w:rPr>
          <w:rFonts w:ascii="Narkisim" w:hAnsi="Narkisim"/>
          <w:sz w:val="20"/>
          <w:szCs w:val="20"/>
          <w:rtl/>
        </w:rPr>
        <w:t>].</w:t>
      </w:r>
    </w:p>
    <w:p w14:paraId="4587E36F"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אבנ"מ</w:t>
      </w:r>
      <w:r w:rsidRPr="00440CAB">
        <w:rPr>
          <w:rFonts w:ascii="Narkisim" w:hAnsi="Narkisim"/>
          <w:rtl/>
        </w:rPr>
        <w:t xml:space="preserve"> (א ב) הקשה דאם קיים המצוה בעודו עבד, הרי כבר קיים מצותו ולמה יתחייב לקיים שוב. ואין לומר דהו"ל קטן שנולד, דא"כ אף עכו"ם שנתגייר. וה</w:t>
      </w:r>
      <w:r w:rsidRPr="00440CAB">
        <w:rPr>
          <w:rFonts w:ascii="Narkisim" w:hAnsi="Narkisim"/>
          <w:b/>
          <w:bCs/>
          <w:rtl/>
        </w:rPr>
        <w:t>מנח"ח</w:t>
      </w:r>
      <w:r w:rsidRPr="00440CAB">
        <w:rPr>
          <w:rFonts w:ascii="Narkisim" w:hAnsi="Narkisim"/>
          <w:rtl/>
        </w:rPr>
        <w:t xml:space="preserve"> תי' דעכו"ם שנתגייר מכאן ולהבא, דמ"מ הוה בנו. אבל עבד אינו מתייחס אחריו. ואף שהיה לו קיום בעודה עבד, משנשתחרר אין לו בן.</w:t>
      </w:r>
    </w:p>
    <w:p w14:paraId="092CE036" w14:textId="77777777" w:rsidR="006074A5" w:rsidRPr="00440CAB" w:rsidRDefault="006074A5" w:rsidP="006074A5">
      <w:pPr>
        <w:pStyle w:val="3"/>
        <w:bidi/>
        <w:rPr>
          <w:rFonts w:ascii="Narkisim" w:hAnsi="Narkisim"/>
        </w:rPr>
      </w:pPr>
      <w:r w:rsidRPr="00440CAB">
        <w:rPr>
          <w:rFonts w:ascii="Narkisim" w:hAnsi="Narkisim"/>
          <w:rtl/>
        </w:rPr>
        <w:t>דף סב:</w:t>
      </w:r>
    </w:p>
    <w:p w14:paraId="19A224A7" w14:textId="77777777" w:rsidR="006074A5" w:rsidRPr="00440CAB" w:rsidRDefault="006074A5" w:rsidP="006074A5">
      <w:pPr>
        <w:pStyle w:val="aa"/>
        <w:bidi/>
        <w:rPr>
          <w:rFonts w:ascii="Narkisim" w:hAnsi="Narkisim"/>
        </w:rPr>
      </w:pPr>
      <w:r w:rsidRPr="00440CAB">
        <w:rPr>
          <w:rFonts w:ascii="Narkisim" w:hAnsi="Narkisim"/>
          <w:u w:val="single"/>
          <w:rtl/>
        </w:rPr>
        <w:t>בני בנים כבנים.</w:t>
      </w:r>
      <w:r w:rsidRPr="00440CAB">
        <w:rPr>
          <w:rFonts w:ascii="Narkisim" w:hAnsi="Narkisim"/>
          <w:rtl/>
        </w:rPr>
        <w:t xml:space="preserve"> [ע' בסמוך]. ה</w:t>
      </w:r>
      <w:r w:rsidRPr="00440CAB">
        <w:rPr>
          <w:rFonts w:ascii="Narkisim" w:hAnsi="Narkisim"/>
          <w:b/>
          <w:bCs/>
          <w:rtl/>
        </w:rPr>
        <w:t>אחרונים</w:t>
      </w:r>
      <w:r w:rsidRPr="00440CAB">
        <w:rPr>
          <w:rFonts w:ascii="Narkisim" w:hAnsi="Narkisim"/>
          <w:rtl/>
        </w:rPr>
        <w:t xml:space="preserve"> חקרו האם הקיום בבני הבנים [אלא דבעינן שיבא מכח בן], או דע"י שיש תולדות נחשב דהבנים עדיין קיימין</w:t>
      </w:r>
      <w:r w:rsidRPr="00440CAB">
        <w:rPr>
          <w:rStyle w:val="ac"/>
          <w:rFonts w:ascii="Narkisim" w:hAnsi="Narkisim"/>
          <w:rtl/>
        </w:rPr>
        <w:footnoteReference w:id="3775"/>
      </w:r>
      <w:r w:rsidRPr="00440CAB">
        <w:rPr>
          <w:rFonts w:ascii="Narkisim" w:hAnsi="Narkisim"/>
          <w:rtl/>
        </w:rPr>
        <w:t>. [וכ"מ ב</w:t>
      </w:r>
      <w:r w:rsidRPr="00440CAB">
        <w:rPr>
          <w:rFonts w:ascii="Narkisim" w:hAnsi="Narkisim"/>
          <w:b/>
          <w:bCs/>
          <w:rtl/>
        </w:rPr>
        <w:t>נמוק"י</w:t>
      </w:r>
      <w:r w:rsidRPr="00440CAB">
        <w:rPr>
          <w:rFonts w:ascii="Narkisim" w:hAnsi="Narkisim"/>
          <w:rtl/>
        </w:rPr>
        <w:t xml:space="preserve"> דלא חשבינן כמאן דליתא].</w:t>
      </w:r>
    </w:p>
    <w:p w14:paraId="7C64D482" w14:textId="77777777" w:rsidR="006074A5" w:rsidRPr="00440CAB" w:rsidRDefault="006074A5" w:rsidP="006074A5">
      <w:pPr>
        <w:pStyle w:val="aa"/>
        <w:bidi/>
        <w:rPr>
          <w:rFonts w:ascii="Narkisim" w:hAnsi="Narkisim"/>
        </w:rPr>
      </w:pPr>
      <w:r w:rsidRPr="00440CAB">
        <w:rPr>
          <w:rFonts w:ascii="Narkisim" w:hAnsi="Narkisim"/>
          <w:u w:val="single"/>
          <w:rtl/>
        </w:rPr>
        <w:t>להשלים.</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שהיה לו מעיקרא בן א', והבן הוליד בת. וע"ע בסמוך.</w:t>
      </w:r>
    </w:p>
    <w:p w14:paraId="4339881F" w14:textId="77777777" w:rsidR="006074A5" w:rsidRPr="00440CAB" w:rsidRDefault="006074A5" w:rsidP="006074A5">
      <w:pPr>
        <w:bidi/>
        <w:rPr>
          <w:rFonts w:ascii="Narkisim" w:hAnsi="Narkisim" w:cs="Narkisim"/>
        </w:rPr>
      </w:pPr>
      <w:r w:rsidRPr="00440CAB">
        <w:rPr>
          <w:rFonts w:ascii="Narkisim" w:hAnsi="Narkisim" w:cs="Narkisim"/>
          <w:u w:val="single"/>
          <w:rtl/>
        </w:rPr>
        <w:t>או שנמצא סריס לא קיים פריה ורביה.</w:t>
      </w:r>
      <w:r w:rsidRPr="00440CAB">
        <w:rPr>
          <w:rFonts w:ascii="Narkisim" w:hAnsi="Narkisim" w:cs="Narkisim"/>
          <w:rtl/>
        </w:rPr>
        <w:t xml:space="preserve"> [אף בעוד שהבן קיים]. דבעינן שהבן יהא ראוי לדורות. וה</w:t>
      </w:r>
      <w:r w:rsidRPr="00440CAB">
        <w:rPr>
          <w:rFonts w:ascii="Narkisim" w:hAnsi="Narkisim" w:cs="Narkisim"/>
          <w:b/>
          <w:bCs/>
          <w:rtl/>
        </w:rPr>
        <w:t>חלק"מ</w:t>
      </w:r>
      <w:r w:rsidRPr="00440CAB">
        <w:rPr>
          <w:rFonts w:ascii="Narkisim" w:hAnsi="Narkisim" w:cs="Narkisim"/>
          <w:rtl/>
        </w:rPr>
        <w:t xml:space="preserve"> (א ו, ובי"ש שם ח) כת' דמ"מ היכא דהבן נשא אילונית [וכפי הנראה לא </w:t>
      </w:r>
      <w:r w:rsidRPr="00440CAB">
        <w:rPr>
          <w:rFonts w:ascii="Narkisim" w:hAnsi="Narkisim" w:cs="Narkisim"/>
          <w:rtl/>
        </w:rPr>
        <w:lastRenderedPageBreak/>
        <w:t>יהא לו עוד בנים] או שהבת נשאת לסריס</w:t>
      </w:r>
      <w:r w:rsidRPr="00440CAB">
        <w:rPr>
          <w:rStyle w:val="ac"/>
          <w:rFonts w:ascii="Narkisim" w:hAnsi="Narkisim" w:cs="Narkisim"/>
          <w:rtl/>
        </w:rPr>
        <w:footnoteReference w:id="3776"/>
      </w:r>
      <w:r w:rsidRPr="00440CAB">
        <w:rPr>
          <w:rFonts w:ascii="Narkisim" w:hAnsi="Narkisim" w:cs="Narkisim"/>
          <w:rtl/>
        </w:rPr>
        <w:t xml:space="preserve"> או שלא נשאו כלל</w:t>
      </w:r>
      <w:r w:rsidRPr="00440CAB">
        <w:rPr>
          <w:rStyle w:val="ac"/>
          <w:rFonts w:ascii="Narkisim" w:hAnsi="Narkisim" w:cs="Narkisim"/>
          <w:rtl/>
        </w:rPr>
        <w:footnoteReference w:id="3777"/>
      </w:r>
      <w:r w:rsidRPr="00440CAB">
        <w:rPr>
          <w:rFonts w:ascii="Narkisim" w:hAnsi="Narkisim" w:cs="Narkisim"/>
          <w:rtl/>
        </w:rPr>
        <w:t>, מ"מ האב קיים פריה ורביה</w:t>
      </w:r>
      <w:r w:rsidRPr="00440CAB">
        <w:rPr>
          <w:rStyle w:val="ac"/>
          <w:rFonts w:ascii="Narkisim" w:hAnsi="Narkisim" w:cs="Narkisim"/>
          <w:rtl/>
        </w:rPr>
        <w:footnoteReference w:id="3778"/>
      </w:r>
      <w:r w:rsidRPr="00440CAB">
        <w:rPr>
          <w:rFonts w:ascii="Narkisim" w:hAnsi="Narkisim" w:cs="Narkisim"/>
          <w:rtl/>
        </w:rPr>
        <w:t>. [כל זמן שהבן קיים]. וה</w:t>
      </w:r>
      <w:r w:rsidRPr="00440CAB">
        <w:rPr>
          <w:rFonts w:ascii="Narkisim" w:hAnsi="Narkisim" w:cs="Narkisim"/>
          <w:b/>
          <w:bCs/>
          <w:rtl/>
        </w:rPr>
        <w:t>פתח"ת</w:t>
      </w:r>
      <w:r w:rsidRPr="00440CAB">
        <w:rPr>
          <w:rFonts w:ascii="Narkisim" w:hAnsi="Narkisim" w:cs="Narkisim"/>
          <w:rtl/>
        </w:rPr>
        <w:t xml:space="preserve"> (א ח) הביא דה</w:t>
      </w:r>
      <w:r w:rsidRPr="00440CAB">
        <w:rPr>
          <w:rFonts w:ascii="Narkisim" w:hAnsi="Narkisim" w:cs="Narkisim"/>
          <w:b/>
          <w:bCs/>
          <w:rtl/>
        </w:rPr>
        <w:t>בני אהובה</w:t>
      </w:r>
      <w:r w:rsidRPr="00440CAB">
        <w:rPr>
          <w:rFonts w:ascii="Narkisim" w:hAnsi="Narkisim" w:cs="Narkisim"/>
          <w:rtl/>
        </w:rPr>
        <w:t xml:space="preserve"> (אישות טו ד) פליג דסופם למות בלא בנים, ועי"ז יתבטל מצוות האב.</w:t>
      </w:r>
    </w:p>
    <w:p w14:paraId="1127E1B6"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בני אהובה</w:t>
      </w:r>
      <w:r w:rsidRPr="00440CAB">
        <w:rPr>
          <w:rFonts w:ascii="Narkisim" w:hAnsi="Narkisim"/>
          <w:rtl/>
        </w:rPr>
        <w:t xml:space="preserve"> נסתפק האם דוקא היכא דמת הבן בחיי האב</w:t>
      </w:r>
      <w:r w:rsidRPr="00440CAB">
        <w:rPr>
          <w:rStyle w:val="ac"/>
          <w:rFonts w:ascii="Narkisim" w:hAnsi="Narkisim"/>
          <w:rtl/>
        </w:rPr>
        <w:footnoteReference w:id="3779"/>
      </w:r>
      <w:r w:rsidRPr="00440CAB">
        <w:rPr>
          <w:rFonts w:ascii="Narkisim" w:hAnsi="Narkisim"/>
          <w:rtl/>
        </w:rPr>
        <w:t>, עי"ז האב נתחייב לישא ולהוליד בנים [מכאן ולהבא]. אבל היכא דהבן מת לאחר מיתת האב, הא קיים המצווה בחייו, ועכשיו מה יש לו לעשות</w:t>
      </w:r>
      <w:r w:rsidRPr="00440CAB">
        <w:rPr>
          <w:rStyle w:val="ac"/>
          <w:rFonts w:ascii="Narkisim" w:hAnsi="Narkisim"/>
          <w:rtl/>
        </w:rPr>
        <w:footnoteReference w:id="3780"/>
      </w:r>
      <w:r w:rsidRPr="00440CAB">
        <w:rPr>
          <w:rFonts w:ascii="Narkisim" w:hAnsi="Narkisim"/>
          <w:rtl/>
        </w:rPr>
        <w:t>. ולא דמי לסריס דמעכשיו אינו ראוי לדורות. או דאמרי' דבשעה שמת הבן יתבטל מצוות האב למפרע</w:t>
      </w:r>
      <w:r w:rsidRPr="00440CAB">
        <w:rPr>
          <w:rStyle w:val="ac"/>
          <w:rFonts w:ascii="Narkisim" w:hAnsi="Narkisim"/>
          <w:rtl/>
        </w:rPr>
        <w:footnoteReference w:id="3781"/>
      </w:r>
      <w:r w:rsidRPr="00440CAB">
        <w:rPr>
          <w:rFonts w:ascii="Narkisim" w:hAnsi="Narkisim"/>
          <w:rtl/>
        </w:rPr>
        <w:t>.</w:t>
      </w:r>
    </w:p>
    <w:p w14:paraId="420AAB6E" w14:textId="77777777" w:rsidR="006074A5" w:rsidRPr="00440CAB" w:rsidRDefault="006074A5" w:rsidP="006074A5">
      <w:pPr>
        <w:bidi/>
        <w:rPr>
          <w:rFonts w:ascii="Narkisim" w:hAnsi="Narkisim" w:cs="Narkisim"/>
        </w:rPr>
      </w:pPr>
      <w:r w:rsidRPr="00440CAB">
        <w:rPr>
          <w:rFonts w:ascii="Narkisim" w:hAnsi="Narkisim" w:cs="Narkisim"/>
          <w:u w:val="single"/>
          <w:rtl/>
        </w:rPr>
        <w:t>סבר אביי וכו' וכל שכן ברא לברתא.</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פי' דהבן בא מכח מי שפטרתו, ובן קאי במקום בת [וע"י ב' נכדים נחשב שיש כאן בן ובת]. אבל ה</w:t>
      </w:r>
      <w:r w:rsidRPr="00440CAB">
        <w:rPr>
          <w:rFonts w:ascii="Narkisim" w:hAnsi="Narkisim" w:cs="Narkisim"/>
          <w:b/>
          <w:bCs/>
          <w:rtl/>
        </w:rPr>
        <w:t>רמב"ם</w:t>
      </w:r>
      <w:r w:rsidRPr="00440CAB">
        <w:rPr>
          <w:rFonts w:ascii="Narkisim" w:hAnsi="Narkisim" w:cs="Narkisim"/>
          <w:rtl/>
        </w:rPr>
        <w:t xml:space="preserve"> (אישות טו ה) פסק דוקא כשיש בת מהבת. וב</w:t>
      </w:r>
      <w:r w:rsidRPr="00440CAB">
        <w:rPr>
          <w:rFonts w:ascii="Narkisim" w:hAnsi="Narkisim" w:cs="Narkisim"/>
          <w:b/>
          <w:bCs/>
          <w:rtl/>
        </w:rPr>
        <w:t>חי' ר"א מן ההר</w:t>
      </w:r>
      <w:r w:rsidRPr="00440CAB">
        <w:rPr>
          <w:rFonts w:ascii="Narkisim" w:hAnsi="Narkisim" w:cs="Narkisim"/>
          <w:rtl/>
        </w:rPr>
        <w:t xml:space="preserve"> (סא:) כת' דגרס (בסוגיין) לשבת יצרה בעינן ותו לא. </w:t>
      </w:r>
      <w:r w:rsidRPr="00440CAB">
        <w:rPr>
          <w:rFonts w:ascii="Narkisim" w:hAnsi="Narkisim" w:cs="Narkisim"/>
          <w:sz w:val="20"/>
          <w:szCs w:val="20"/>
          <w:rtl/>
        </w:rPr>
        <w:t>ועד"ז כת' ה</w:t>
      </w:r>
      <w:r w:rsidRPr="00440CAB">
        <w:rPr>
          <w:rFonts w:ascii="Narkisim" w:hAnsi="Narkisim" w:cs="Narkisim"/>
          <w:b/>
          <w:bCs/>
          <w:sz w:val="20"/>
          <w:szCs w:val="20"/>
          <w:rtl/>
        </w:rPr>
        <w:t>גר"א</w:t>
      </w:r>
      <w:r w:rsidRPr="00440CAB">
        <w:rPr>
          <w:rFonts w:ascii="Narkisim" w:hAnsi="Narkisim" w:cs="Narkisim"/>
          <w:sz w:val="20"/>
          <w:szCs w:val="20"/>
          <w:rtl/>
        </w:rPr>
        <w:t xml:space="preserve"> (עה"ג, ולשו"ע א יד).</w:t>
      </w:r>
    </w:p>
    <w:p w14:paraId="2E5F6A29"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ה</w:t>
      </w:r>
      <w:r w:rsidRPr="00440CAB">
        <w:rPr>
          <w:rFonts w:ascii="Narkisim" w:hAnsi="Narkisim" w:cs="Narkisim"/>
          <w:b/>
          <w:bCs/>
          <w:rtl/>
        </w:rPr>
        <w:t>דרכ"מ</w:t>
      </w:r>
      <w:r w:rsidRPr="00440CAB">
        <w:rPr>
          <w:rFonts w:ascii="Narkisim" w:hAnsi="Narkisim" w:cs="Narkisim"/>
          <w:rtl/>
        </w:rPr>
        <w:t xml:space="preserve"> (א ד) דייק מדברי הטור דדוקא שבאו מבת ובת שפטרו מפריה ורביה, אבל מי שהיו לו ב' בנים וילדו בן ובת לא קיים</w:t>
      </w:r>
      <w:r w:rsidRPr="00440CAB">
        <w:rPr>
          <w:rStyle w:val="ac"/>
          <w:rFonts w:ascii="Narkisim" w:hAnsi="Narkisim" w:cs="Narkisim"/>
          <w:rtl/>
        </w:rPr>
        <w:footnoteReference w:id="3782"/>
      </w:r>
      <w:r w:rsidRPr="00440CAB">
        <w:rPr>
          <w:rFonts w:ascii="Narkisim" w:hAnsi="Narkisim" w:cs="Narkisim"/>
          <w:rtl/>
        </w:rPr>
        <w:t>. וה</w:t>
      </w:r>
      <w:r w:rsidRPr="00440CAB">
        <w:rPr>
          <w:rFonts w:ascii="Narkisim" w:hAnsi="Narkisim" w:cs="Narkisim"/>
          <w:b/>
          <w:bCs/>
          <w:rtl/>
        </w:rPr>
        <w:t>בי"ש</w:t>
      </w:r>
      <w:r w:rsidRPr="00440CAB">
        <w:rPr>
          <w:rFonts w:ascii="Narkisim" w:hAnsi="Narkisim" w:cs="Narkisim"/>
          <w:rtl/>
        </w:rPr>
        <w:t xml:space="preserve"> (א י) הק' דלעיל אמרי' דמהני להשלים. ותי' דלמסקנת הגמ' לא אמרי' להשלים.</w:t>
      </w:r>
    </w:p>
    <w:p w14:paraId="1D788083" w14:textId="77777777" w:rsidR="006074A5" w:rsidRPr="00440CAB" w:rsidRDefault="006074A5" w:rsidP="006074A5">
      <w:pPr>
        <w:pStyle w:val="a8"/>
        <w:bidi/>
        <w:rPr>
          <w:rFonts w:ascii="Narkisim" w:hAnsi="Narkisim"/>
        </w:rPr>
      </w:pPr>
      <w:r w:rsidRPr="00440CAB">
        <w:rPr>
          <w:rFonts w:ascii="Narkisim" w:hAnsi="Narkisim"/>
          <w:rtl/>
        </w:rPr>
        <w:t>אבל דעת תוס' דאף כשבאו מכח ב' בנים, ומהני להשלים. אך דוקא כשמעיקרא היו ב' בנים, דכשנולד לו בן א' ונולדו לו בן ובת ל"מ.</w:t>
      </w:r>
    </w:p>
    <w:p w14:paraId="32E6DE5C" w14:textId="77777777" w:rsidR="006074A5" w:rsidRPr="00440CAB" w:rsidRDefault="006074A5" w:rsidP="006074A5">
      <w:pPr>
        <w:pStyle w:val="aa"/>
        <w:bidi/>
        <w:rPr>
          <w:rFonts w:ascii="Narkisim" w:hAnsi="Narkisim"/>
        </w:rPr>
      </w:pPr>
      <w:r w:rsidRPr="00440CAB">
        <w:rPr>
          <w:rFonts w:ascii="Narkisim" w:hAnsi="Narkisim"/>
          <w:u w:val="single"/>
          <w:rtl/>
        </w:rPr>
        <w:t>והא א"ל לרב ששת וכו' בני ברתי בני נינהו וכו'.</w:t>
      </w:r>
      <w:r w:rsidRPr="00440CAB">
        <w:rPr>
          <w:rFonts w:ascii="Narkisim" w:hAnsi="Narkisim"/>
          <w:rtl/>
        </w:rPr>
        <w:t xml:space="preserve"> [ועי"ז קיים פר"ו ורשאי לבטל]. ה</w:t>
      </w:r>
      <w:r w:rsidRPr="00440CAB">
        <w:rPr>
          <w:rFonts w:ascii="Narkisim" w:hAnsi="Narkisim"/>
          <w:b/>
          <w:bCs/>
          <w:rtl/>
        </w:rPr>
        <w:t>רמב"ן</w:t>
      </w:r>
      <w:r w:rsidRPr="00440CAB">
        <w:rPr>
          <w:rFonts w:ascii="Narkisim" w:hAnsi="Narkisim"/>
          <w:rtl/>
        </w:rPr>
        <w:t xml:space="preserve"> כתב דל"ל דר' יהושע (בסמוך) דמצוה להוליד אפי' אחרי שקיים המצוה. א"נ כיון דקיימו את המצווה מדאורייתא, אין מחייבין לינשא, דדומין קצת לבן עזאי. [וכעי"ז כתב הריטב"א לקמן סג:].</w:t>
      </w:r>
    </w:p>
    <w:p w14:paraId="5DED2ECF" w14:textId="77777777" w:rsidR="006074A5" w:rsidRPr="00440CAB" w:rsidRDefault="006074A5" w:rsidP="006074A5">
      <w:pPr>
        <w:pStyle w:val="aa"/>
        <w:bidi/>
        <w:rPr>
          <w:rFonts w:ascii="Narkisim" w:hAnsi="Narkisim"/>
        </w:rPr>
      </w:pPr>
      <w:r w:rsidRPr="00440CAB">
        <w:rPr>
          <w:rFonts w:ascii="Narkisim" w:hAnsi="Narkisim"/>
          <w:u w:val="single"/>
          <w:rtl/>
        </w:rPr>
        <w:t>א"ל רבה וכו' בני בנים הרי הן כבנים.</w:t>
      </w:r>
      <w:r w:rsidRPr="00440CAB">
        <w:rPr>
          <w:rFonts w:ascii="Narkisim" w:hAnsi="Narkisim"/>
          <w:rtl/>
        </w:rPr>
        <w:t xml:space="preserve"> ב</w:t>
      </w:r>
      <w:r w:rsidRPr="00440CAB">
        <w:rPr>
          <w:rFonts w:ascii="Narkisim" w:hAnsi="Narkisim"/>
          <w:b/>
          <w:bCs/>
          <w:rtl/>
        </w:rPr>
        <w:t>גהש"ס</w:t>
      </w:r>
      <w:r w:rsidRPr="00440CAB">
        <w:rPr>
          <w:rFonts w:ascii="Narkisim" w:hAnsi="Narkisim"/>
          <w:rtl/>
        </w:rPr>
        <w:t xml:space="preserve"> ציין דבכמה מקומות המפרשים תי' פסוקים דבני בנים כבנים. וצ"ע אמאי הגמ' כאן לא הביאה מכ"ז.</w:t>
      </w:r>
    </w:p>
    <w:p w14:paraId="6F29AEA9" w14:textId="77777777" w:rsidR="006074A5" w:rsidRPr="00440CAB" w:rsidRDefault="006074A5" w:rsidP="006074A5">
      <w:pPr>
        <w:pStyle w:val="a8"/>
        <w:bidi/>
        <w:rPr>
          <w:rFonts w:ascii="Narkisim" w:hAnsi="Narkisim"/>
        </w:rPr>
      </w:pPr>
      <w:r w:rsidRPr="00440CAB">
        <w:rPr>
          <w:rFonts w:ascii="Narkisim" w:hAnsi="Narkisim"/>
          <w:rtl/>
        </w:rPr>
        <w:t>ה</w:t>
      </w:r>
      <w:r w:rsidRPr="00440CAB">
        <w:rPr>
          <w:rFonts w:ascii="Narkisim" w:hAnsi="Narkisim"/>
          <w:b/>
          <w:bCs/>
          <w:rtl/>
        </w:rPr>
        <w:t>רמ"א</w:t>
      </w:r>
      <w:r w:rsidRPr="00440CAB">
        <w:rPr>
          <w:rFonts w:ascii="Narkisim" w:hAnsi="Narkisim"/>
          <w:rtl/>
        </w:rPr>
        <w:t xml:space="preserve"> (או"ח קלט ג) הביא בשם ה</w:t>
      </w:r>
      <w:r w:rsidRPr="00440CAB">
        <w:rPr>
          <w:rFonts w:ascii="Narkisim" w:hAnsi="Narkisim"/>
          <w:b/>
          <w:bCs/>
          <w:rtl/>
        </w:rPr>
        <w:t>תה"ד</w:t>
      </w:r>
      <w:r w:rsidRPr="00440CAB">
        <w:rPr>
          <w:rFonts w:ascii="Narkisim" w:hAnsi="Narkisim"/>
          <w:rtl/>
        </w:rPr>
        <w:t xml:space="preserve"> (כא) דבנו של מומר קוראים לתורה בשם אבי אביו [אם לא הורגלו לקרותו במקום זה בשם אביו], דבני בנים כבנים. [ע"פ סוגיין]. וכן אסופי נקרא בשם אבי אמו.</w:t>
      </w:r>
    </w:p>
    <w:p w14:paraId="2D1E8614" w14:textId="77777777" w:rsidR="006074A5" w:rsidRPr="00440CAB" w:rsidRDefault="006074A5" w:rsidP="006074A5">
      <w:pPr>
        <w:bidi/>
        <w:rPr>
          <w:rFonts w:ascii="Narkisim" w:hAnsi="Narkisim" w:cs="Narkisim"/>
        </w:rPr>
      </w:pPr>
      <w:r w:rsidRPr="00440CAB">
        <w:rPr>
          <w:rFonts w:ascii="Narkisim" w:hAnsi="Narkisim" w:cs="Narkisim"/>
          <w:u w:val="single"/>
          <w:rtl/>
        </w:rPr>
        <w:t>מתני' דלא כר' יהושע וכו'.</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דבמשנה מבואר דאם יש לו בנים יבטל. [ורשאי לישא אילונית]. ואילו לר' יהושע אף שיש לו בנים חייב לישא. וה</w:t>
      </w:r>
      <w:r w:rsidRPr="00440CAB">
        <w:rPr>
          <w:rFonts w:ascii="Narkisim" w:hAnsi="Narkisim" w:cs="Narkisim"/>
          <w:b/>
          <w:bCs/>
          <w:rtl/>
        </w:rPr>
        <w:t>רא"ש</w:t>
      </w:r>
      <w:r w:rsidRPr="00440CAB">
        <w:rPr>
          <w:rFonts w:ascii="Narkisim" w:hAnsi="Narkisim" w:cs="Narkisim"/>
          <w:rtl/>
        </w:rPr>
        <w:t xml:space="preserve"> כת' [דלגירסא דידן] לר' יהושע אע"פ שקיים פריה ורביה ימכור ס"ת לישא בת בנים. אלא דנפק"מ דאם כבר יש לו בן ובת ושהה י' בנים אינו חייב לגרש את אשתו</w:t>
      </w:r>
      <w:r w:rsidRPr="00440CAB">
        <w:rPr>
          <w:rFonts w:ascii="Narkisim" w:hAnsi="Narkisim" w:cs="Narkisim"/>
          <w:sz w:val="20"/>
          <w:szCs w:val="20"/>
          <w:rtl/>
        </w:rPr>
        <w:t xml:space="preserve"> [שאינה בת בנים</w:t>
      </w:r>
      <w:r w:rsidRPr="00440CAB">
        <w:rPr>
          <w:rStyle w:val="ac"/>
          <w:rFonts w:ascii="Narkisim" w:hAnsi="Narkisim" w:cs="Narkisim"/>
          <w:sz w:val="20"/>
          <w:szCs w:val="20"/>
          <w:rtl/>
        </w:rPr>
        <w:footnoteReference w:id="3783"/>
      </w:r>
      <w:r w:rsidRPr="00440CAB">
        <w:rPr>
          <w:rFonts w:ascii="Narkisim" w:hAnsi="Narkisim" w:cs="Narkisim"/>
          <w:sz w:val="20"/>
          <w:szCs w:val="20"/>
          <w:rtl/>
        </w:rPr>
        <w:t>]</w:t>
      </w:r>
      <w:r w:rsidRPr="00440CAB">
        <w:rPr>
          <w:rFonts w:ascii="Narkisim" w:hAnsi="Narkisim" w:cs="Narkisim"/>
          <w:rtl/>
        </w:rPr>
        <w:t>. דר' יהושע לא קאמר אלא ישא</w:t>
      </w:r>
      <w:r w:rsidRPr="00440CAB">
        <w:rPr>
          <w:rFonts w:ascii="Narkisim" w:hAnsi="Narkisim" w:cs="Narkisim"/>
          <w:sz w:val="20"/>
          <w:szCs w:val="20"/>
          <w:rtl/>
        </w:rPr>
        <w:t xml:space="preserve"> [וכן דעת ה</w:t>
      </w:r>
      <w:r w:rsidRPr="00440CAB">
        <w:rPr>
          <w:rFonts w:ascii="Narkisim" w:hAnsi="Narkisim" w:cs="Narkisim"/>
          <w:b/>
          <w:bCs/>
          <w:sz w:val="20"/>
          <w:szCs w:val="20"/>
          <w:rtl/>
        </w:rPr>
        <w:t>בעה"מ</w:t>
      </w:r>
      <w:r w:rsidRPr="00440CAB">
        <w:rPr>
          <w:rFonts w:ascii="Narkisim" w:hAnsi="Narkisim" w:cs="Narkisim"/>
          <w:sz w:val="20"/>
          <w:szCs w:val="20"/>
          <w:rtl/>
        </w:rPr>
        <w:t xml:space="preserve"> וחלק על הרי"ף</w:t>
      </w:r>
      <w:r w:rsidRPr="00440CAB">
        <w:rPr>
          <w:rStyle w:val="ac"/>
          <w:rFonts w:ascii="Narkisim" w:hAnsi="Narkisim" w:cs="Narkisim"/>
          <w:sz w:val="20"/>
          <w:szCs w:val="20"/>
          <w:rtl/>
        </w:rPr>
        <w:footnoteReference w:id="3784"/>
      </w:r>
      <w:r w:rsidRPr="00440CAB">
        <w:rPr>
          <w:rFonts w:ascii="Narkisim" w:hAnsi="Narkisim" w:cs="Narkisim"/>
          <w:sz w:val="20"/>
          <w:szCs w:val="20"/>
          <w:rtl/>
        </w:rPr>
        <w:t>].</w:t>
      </w:r>
    </w:p>
    <w:p w14:paraId="070A6A56" w14:textId="77777777" w:rsidR="006074A5" w:rsidRPr="00440CAB" w:rsidRDefault="006074A5" w:rsidP="006074A5">
      <w:pPr>
        <w:bidi/>
        <w:rPr>
          <w:rFonts w:ascii="Narkisim" w:hAnsi="Narkisim" w:cs="Narkisim"/>
        </w:rPr>
      </w:pPr>
      <w:r w:rsidRPr="00440CAB">
        <w:rPr>
          <w:rFonts w:ascii="Narkisim" w:hAnsi="Narkisim" w:cs="Narkisim"/>
          <w:rtl/>
        </w:rPr>
        <w:t>אבל ה</w:t>
      </w:r>
      <w:r w:rsidRPr="00440CAB">
        <w:rPr>
          <w:rFonts w:ascii="Narkisim" w:hAnsi="Narkisim" w:cs="Narkisim"/>
          <w:b/>
          <w:bCs/>
          <w:rtl/>
        </w:rPr>
        <w:t>רי"ף</w:t>
      </w:r>
      <w:r w:rsidRPr="00440CAB">
        <w:rPr>
          <w:rFonts w:ascii="Narkisim" w:hAnsi="Narkisim" w:cs="Narkisim"/>
          <w:rtl/>
        </w:rPr>
        <w:t xml:space="preserve"> הביא דברי ר' יהושע, וכתב דהא מילתא דרבנן היא, דמדאורייתא כיון שיש לו בן ובת קיים מצות פר"ו. וה</w:t>
      </w:r>
      <w:r w:rsidRPr="00440CAB">
        <w:rPr>
          <w:rFonts w:ascii="Narkisim" w:hAnsi="Narkisim" w:cs="Narkisim"/>
          <w:b/>
          <w:bCs/>
          <w:rtl/>
        </w:rPr>
        <w:t>בעה"מ</w:t>
      </w:r>
      <w:r w:rsidRPr="00440CAB">
        <w:rPr>
          <w:rFonts w:ascii="Narkisim" w:hAnsi="Narkisim" w:cs="Narkisim"/>
          <w:rtl/>
        </w:rPr>
        <w:t xml:space="preserve"> הביא שהרי"ף ס"ל דר' יהושע לא פליג אמתני'. אלא הוסיף דיש מצווה מדרבנן, ולזה אי"צ למכור ס"ת [ע' לעיל סא:]. וכ"כ ה</w:t>
      </w:r>
      <w:r w:rsidRPr="00440CAB">
        <w:rPr>
          <w:rFonts w:ascii="Narkisim" w:hAnsi="Narkisim" w:cs="Narkisim"/>
          <w:b/>
          <w:bCs/>
          <w:rtl/>
        </w:rPr>
        <w:t>רא"ש</w:t>
      </w:r>
      <w:r w:rsidRPr="00440CAB">
        <w:rPr>
          <w:rFonts w:ascii="Narkisim" w:hAnsi="Narkisim" w:cs="Narkisim"/>
          <w:rtl/>
        </w:rPr>
        <w:t xml:space="preserve"> דהרי"ף לא גרס מתני' דלא כר"י, אלא איתא למתני' ואיתא לדר' יהושע מדרבנן. </w:t>
      </w:r>
      <w:r w:rsidRPr="00440CAB">
        <w:rPr>
          <w:rFonts w:ascii="Narkisim" w:hAnsi="Narkisim" w:cs="Narkisim"/>
          <w:sz w:val="20"/>
          <w:szCs w:val="20"/>
          <w:rtl/>
        </w:rPr>
        <w:t>ואי"צ למכור ס"ת אלא יקח שאינה בת בנים, ואל יעמוד בלא אשה.</w:t>
      </w:r>
    </w:p>
    <w:p w14:paraId="359E1A24"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מלחמות</w:t>
      </w:r>
      <w:r w:rsidRPr="00440CAB">
        <w:rPr>
          <w:rFonts w:ascii="Narkisim" w:hAnsi="Narkisim"/>
          <w:rtl/>
        </w:rPr>
        <w:t xml:space="preserve"> כתב</w:t>
      </w:r>
      <w:r w:rsidRPr="00440CAB">
        <w:rPr>
          <w:rStyle w:val="ac"/>
          <w:rFonts w:ascii="Narkisim" w:hAnsi="Narkisim"/>
          <w:rtl/>
        </w:rPr>
        <w:footnoteReference w:id="3785"/>
      </w:r>
      <w:r w:rsidRPr="00440CAB">
        <w:rPr>
          <w:rFonts w:ascii="Narkisim" w:hAnsi="Narkisim"/>
          <w:rtl/>
        </w:rPr>
        <w:t xml:space="preserve"> דבמשנה מדוייק לא יבטל וכו', הא יש לו בנים יבטל. ובזה אמרי' דמתני' דלא כר' יהושע, ואינו רשאי לבטל. אבל מ"מ יש נפק"מ בדבר.</w:t>
      </w:r>
    </w:p>
    <w:p w14:paraId="0D5DBA10" w14:textId="77777777" w:rsidR="006074A5" w:rsidRPr="00440CAB" w:rsidRDefault="006074A5" w:rsidP="006074A5">
      <w:pPr>
        <w:bidi/>
        <w:rPr>
          <w:rFonts w:ascii="Narkisim" w:hAnsi="Narkisim" w:cs="Narkisim"/>
        </w:rPr>
      </w:pPr>
      <w:r w:rsidRPr="00440CAB">
        <w:rPr>
          <w:rFonts w:ascii="Narkisim" w:hAnsi="Narkisim" w:cs="Narkisim"/>
          <w:u w:val="single"/>
          <w:rtl/>
        </w:rPr>
        <w:lastRenderedPageBreak/>
        <w:t>ישא אשה בזקנותו שנאמר וכו'</w:t>
      </w:r>
      <w:r w:rsidRPr="00440CAB">
        <w:rPr>
          <w:rFonts w:ascii="Narkisim" w:hAnsi="Narkisim" w:cs="Narkisim"/>
          <w:rtl/>
        </w:rPr>
        <w:t>. וה</w:t>
      </w:r>
      <w:r w:rsidRPr="00440CAB">
        <w:rPr>
          <w:rFonts w:ascii="Narkisim" w:hAnsi="Narkisim" w:cs="Narkisim"/>
          <w:b/>
          <w:bCs/>
          <w:rtl/>
        </w:rPr>
        <w:t>מלחמות</w:t>
      </w:r>
      <w:r w:rsidRPr="00440CAB">
        <w:rPr>
          <w:rFonts w:ascii="Narkisim" w:hAnsi="Narkisim" w:cs="Narkisim"/>
          <w:rtl/>
        </w:rPr>
        <w:t xml:space="preserve"> כתב דהוה מצוה דרבנן, כעין יישוב דרך ארץ. אבל אינו תקנה, ואם עבר על כך לא נקרא עבריינא</w:t>
      </w:r>
      <w:r w:rsidRPr="00440CAB">
        <w:rPr>
          <w:rStyle w:val="ac"/>
          <w:rFonts w:ascii="Narkisim" w:hAnsi="Narkisim" w:cs="Narkisim"/>
          <w:rtl/>
        </w:rPr>
        <w:footnoteReference w:id="3786"/>
      </w:r>
      <w:r w:rsidRPr="00440CAB">
        <w:rPr>
          <w:rFonts w:ascii="Narkisim" w:hAnsi="Narkisim" w:cs="Narkisim"/>
          <w:rtl/>
        </w:rPr>
        <w:t xml:space="preserve">. </w:t>
      </w:r>
      <w:r w:rsidRPr="00440CAB">
        <w:rPr>
          <w:rFonts w:ascii="Narkisim" w:hAnsi="Narkisim" w:cs="Narkisim"/>
          <w:sz w:val="20"/>
          <w:szCs w:val="20"/>
          <w:rtl/>
        </w:rPr>
        <w:t>[אבל לעמוד בלא אשה נקרא איסורא, ולכן הסמיכו דברי שמואל למשנה].</w:t>
      </w:r>
      <w:r w:rsidRPr="00440CAB">
        <w:rPr>
          <w:rFonts w:ascii="Narkisim" w:hAnsi="Narkisim" w:cs="Narkisim"/>
          <w:rtl/>
        </w:rPr>
        <w:t xml:space="preserve"> וכן איתא (לקמן סה.) דשלישי לא תנשא אלא למי שיש לו בנים, ואף להלכה פסקו כן</w:t>
      </w:r>
      <w:r w:rsidRPr="00440CAB">
        <w:rPr>
          <w:rStyle w:val="ac"/>
          <w:rFonts w:ascii="Narkisim" w:hAnsi="Narkisim" w:cs="Narkisim"/>
          <w:rtl/>
        </w:rPr>
        <w:footnoteReference w:id="3787"/>
      </w:r>
      <w:r w:rsidRPr="00440CAB">
        <w:rPr>
          <w:rFonts w:ascii="Narkisim" w:hAnsi="Narkisim" w:cs="Narkisim"/>
          <w:rtl/>
        </w:rPr>
        <w:t>.</w:t>
      </w:r>
    </w:p>
    <w:p w14:paraId="5FB7A943"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 xml:space="preserve">ראב"ד </w:t>
      </w:r>
      <w:r w:rsidRPr="00440CAB">
        <w:rPr>
          <w:rFonts w:ascii="Narkisim" w:hAnsi="Narkisim" w:cs="Narkisim"/>
          <w:rtl/>
        </w:rPr>
        <w:t>(על בעה"מ) כתב דר' יהושע הוה עצה טובה, וכ"ש שלא ימכור ס"ת</w:t>
      </w:r>
      <w:r w:rsidRPr="00440CAB">
        <w:rPr>
          <w:rStyle w:val="ac"/>
          <w:rFonts w:ascii="Narkisim" w:hAnsi="Narkisim" w:cs="Narkisim"/>
          <w:rtl/>
        </w:rPr>
        <w:footnoteReference w:id="3788"/>
      </w:r>
      <w:r w:rsidRPr="00440CAB">
        <w:rPr>
          <w:rFonts w:ascii="Narkisim" w:hAnsi="Narkisim" w:cs="Narkisim"/>
          <w:rtl/>
        </w:rPr>
        <w:t>. אבל ה</w:t>
      </w:r>
      <w:r w:rsidRPr="00440CAB">
        <w:rPr>
          <w:rFonts w:ascii="Narkisim" w:hAnsi="Narkisim" w:cs="Narkisim"/>
          <w:b/>
          <w:bCs/>
          <w:rtl/>
        </w:rPr>
        <w:t>מלחמות</w:t>
      </w:r>
      <w:r w:rsidRPr="00440CAB">
        <w:rPr>
          <w:rFonts w:ascii="Narkisim" w:hAnsi="Narkisim" w:cs="Narkisim"/>
          <w:rtl/>
        </w:rPr>
        <w:t xml:space="preserve"> כתב דלעולם מוכר ס"ת משום לשבת יצרה [ואף דאינו חיוב</w:t>
      </w:r>
      <w:r w:rsidRPr="00440CAB">
        <w:rPr>
          <w:rStyle w:val="ac"/>
          <w:rFonts w:ascii="Narkisim" w:hAnsi="Narkisim" w:cs="Narkisim"/>
          <w:rtl/>
        </w:rPr>
        <w:footnoteReference w:id="3789"/>
      </w:r>
      <w:r w:rsidRPr="00440CAB">
        <w:rPr>
          <w:rFonts w:ascii="Narkisim" w:hAnsi="Narkisim" w:cs="Narkisim"/>
          <w:rtl/>
        </w:rPr>
        <w:t>]. וה</w:t>
      </w:r>
      <w:r w:rsidRPr="00440CAB">
        <w:rPr>
          <w:rFonts w:ascii="Narkisim" w:hAnsi="Narkisim" w:cs="Narkisim"/>
          <w:b/>
          <w:bCs/>
          <w:rtl/>
        </w:rPr>
        <w:t>נמוק"י</w:t>
      </w:r>
      <w:r w:rsidRPr="00440CAB">
        <w:rPr>
          <w:rFonts w:ascii="Narkisim" w:hAnsi="Narkisim" w:cs="Narkisim"/>
          <w:rtl/>
        </w:rPr>
        <w:t xml:space="preserve"> כת' דמוכר ס"ת משום מצוה דרבנן.</w:t>
      </w:r>
    </w:p>
    <w:p w14:paraId="23E56B0C" w14:textId="77777777" w:rsidR="006074A5" w:rsidRPr="00440CAB" w:rsidRDefault="006074A5" w:rsidP="006074A5">
      <w:pPr>
        <w:pStyle w:val="aa"/>
        <w:bidi/>
        <w:rPr>
          <w:rFonts w:ascii="Narkisim" w:hAnsi="Narkisim"/>
        </w:rPr>
      </w:pPr>
      <w:r w:rsidRPr="00440CAB">
        <w:rPr>
          <w:rFonts w:ascii="Narkisim" w:hAnsi="Narkisim"/>
          <w:u w:val="single"/>
          <w:rtl/>
        </w:rPr>
        <w:t>שם.</w:t>
      </w:r>
      <w:r w:rsidRPr="00440CAB">
        <w:rPr>
          <w:rFonts w:ascii="Narkisim" w:hAnsi="Narkisim"/>
          <w:rtl/>
        </w:rPr>
        <w:t xml:space="preserve"> ה</w:t>
      </w:r>
      <w:r w:rsidRPr="00440CAB">
        <w:rPr>
          <w:rFonts w:ascii="Narkisim" w:hAnsi="Narkisim"/>
          <w:b/>
          <w:bCs/>
          <w:rtl/>
        </w:rPr>
        <w:t>רמב"ם</w:t>
      </w:r>
      <w:r w:rsidRPr="00440CAB">
        <w:rPr>
          <w:rFonts w:ascii="Narkisim" w:hAnsi="Narkisim"/>
          <w:rtl/>
        </w:rPr>
        <w:t xml:space="preserve"> (אישות טו א, והשו"ע עו ו) פסק דמי שכבר קיים מצוות פר"ו, והאשה נתנה רשות לבעלה שימנע עונתה הרי זה מותר. אבל אם לא קיים חייב בכל עונה עד שיהיו לו בנים, מפני שהיא מצות עשה של תורה שנאמר פרו ורבו. והגר"א ציין למשנה (סא:).</w:t>
      </w:r>
    </w:p>
    <w:p w14:paraId="334880EE"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בי"ש</w:t>
      </w:r>
      <w:r w:rsidRPr="00440CAB">
        <w:rPr>
          <w:rFonts w:ascii="Narkisim" w:hAnsi="Narkisim"/>
          <w:rtl/>
        </w:rPr>
        <w:t xml:space="preserve"> (א א) הק' האיך מהני מחילתה, הא מחוייב במצווה דרבנן דלערב אל תנח ידך</w:t>
      </w:r>
      <w:r w:rsidRPr="00440CAB">
        <w:rPr>
          <w:rStyle w:val="ac"/>
          <w:rFonts w:ascii="Narkisim" w:hAnsi="Narkisim"/>
          <w:rtl/>
        </w:rPr>
        <w:footnoteReference w:id="3790"/>
      </w:r>
      <w:r w:rsidRPr="00440CAB">
        <w:rPr>
          <w:rFonts w:ascii="Narkisim" w:hAnsi="Narkisim"/>
          <w:rtl/>
        </w:rPr>
        <w:t>. [ולא מצאנו דמהני נתינת רשות אלא משום מצוות תלמוד תורה]. וה</w:t>
      </w:r>
      <w:r w:rsidRPr="00440CAB">
        <w:rPr>
          <w:rFonts w:ascii="Narkisim" w:hAnsi="Narkisim"/>
          <w:b/>
          <w:bCs/>
          <w:rtl/>
        </w:rPr>
        <w:t>ברכי יוסף</w:t>
      </w:r>
      <w:r w:rsidRPr="00440CAB">
        <w:rPr>
          <w:rFonts w:ascii="Narkisim" w:hAnsi="Narkisim"/>
          <w:rtl/>
        </w:rPr>
        <w:t xml:space="preserve"> (הו' בפתח"ת) תי' דלמצוות לערב אל תנח ידך סגי לעיתים רחוקות, רק שלא יניח לגמרי</w:t>
      </w:r>
      <w:r w:rsidRPr="00440CAB">
        <w:rPr>
          <w:rStyle w:val="ac"/>
          <w:rFonts w:ascii="Narkisim" w:hAnsi="Narkisim"/>
          <w:rtl/>
        </w:rPr>
        <w:footnoteReference w:id="3791"/>
      </w:r>
      <w:r w:rsidRPr="00440CAB">
        <w:rPr>
          <w:rFonts w:ascii="Narkisim" w:hAnsi="Narkisim"/>
          <w:rtl/>
        </w:rPr>
        <w:t>.</w:t>
      </w:r>
    </w:p>
    <w:p w14:paraId="7F86EE91" w14:textId="77777777" w:rsidR="006074A5" w:rsidRPr="00440CAB" w:rsidRDefault="006074A5" w:rsidP="006074A5">
      <w:pPr>
        <w:pStyle w:val="aa"/>
        <w:bidi/>
        <w:rPr>
          <w:rFonts w:ascii="Narkisim" w:hAnsi="Narkisim"/>
        </w:rPr>
      </w:pPr>
      <w:r w:rsidRPr="00440CAB">
        <w:rPr>
          <w:rFonts w:ascii="Narkisim" w:hAnsi="Narkisim"/>
          <w:u w:val="single"/>
          <w:rtl/>
        </w:rPr>
        <w:t>שם</w:t>
      </w:r>
      <w:r w:rsidRPr="00440CAB">
        <w:rPr>
          <w:rFonts w:ascii="Narkisim" w:hAnsi="Narkisim"/>
          <w:rtl/>
        </w:rPr>
        <w:t>. ה</w:t>
      </w:r>
      <w:r w:rsidRPr="00440CAB">
        <w:rPr>
          <w:rFonts w:ascii="Narkisim" w:hAnsi="Narkisim"/>
          <w:b/>
          <w:bCs/>
          <w:rtl/>
        </w:rPr>
        <w:t>תה"ד</w:t>
      </w:r>
      <w:r w:rsidRPr="00440CAB">
        <w:rPr>
          <w:rFonts w:ascii="Narkisim" w:hAnsi="Narkisim"/>
          <w:rtl/>
        </w:rPr>
        <w:t xml:space="preserve"> (רסג הו' ברמ"א א ח) פסק דאם יש לו בנים</w:t>
      </w:r>
      <w:r w:rsidRPr="00440CAB">
        <w:rPr>
          <w:rStyle w:val="ac"/>
          <w:rFonts w:ascii="Narkisim" w:hAnsi="Narkisim"/>
          <w:rtl/>
        </w:rPr>
        <w:footnoteReference w:id="3792"/>
      </w:r>
      <w:r w:rsidRPr="00440CAB">
        <w:rPr>
          <w:rFonts w:ascii="Narkisim" w:hAnsi="Narkisim"/>
          <w:rtl/>
        </w:rPr>
        <w:t xml:space="preserve"> וחושש שאם ישא בת בנים יבואו לידי קטטה, מותר לישא אשה שאינה בת בנים</w:t>
      </w:r>
      <w:r w:rsidRPr="00440CAB">
        <w:rPr>
          <w:rStyle w:val="ac"/>
          <w:rFonts w:ascii="Narkisim" w:hAnsi="Narkisim"/>
          <w:rtl/>
        </w:rPr>
        <w:footnoteReference w:id="3793"/>
      </w:r>
      <w:r w:rsidRPr="00440CAB">
        <w:rPr>
          <w:rFonts w:ascii="Narkisim" w:hAnsi="Narkisim"/>
          <w:rtl/>
        </w:rPr>
        <w:t>. אבל אסור לישב בלא אשה משום חשש זו</w:t>
      </w:r>
      <w:r w:rsidRPr="00440CAB">
        <w:rPr>
          <w:rStyle w:val="ac"/>
          <w:rFonts w:ascii="Narkisim" w:hAnsi="Narkisim"/>
          <w:rtl/>
        </w:rPr>
        <w:footnoteReference w:id="3794"/>
      </w:r>
      <w:r w:rsidRPr="00440CAB">
        <w:rPr>
          <w:rFonts w:ascii="Narkisim" w:hAnsi="Narkisim"/>
          <w:rtl/>
        </w:rPr>
        <w:t>.</w:t>
      </w:r>
    </w:p>
    <w:p w14:paraId="767B3525" w14:textId="77777777" w:rsidR="006074A5" w:rsidRPr="00440CAB" w:rsidRDefault="006074A5" w:rsidP="006074A5">
      <w:pPr>
        <w:pStyle w:val="aa"/>
        <w:bidi/>
        <w:rPr>
          <w:rFonts w:ascii="Narkisim" w:hAnsi="Narkisim"/>
        </w:rPr>
      </w:pPr>
      <w:r w:rsidRPr="00440CAB">
        <w:rPr>
          <w:rFonts w:ascii="Narkisim" w:hAnsi="Narkisim"/>
          <w:u w:val="single"/>
          <w:rtl/>
        </w:rPr>
        <w:t>י"ב אלף זוגים תלמידים וכו'.</w:t>
      </w:r>
      <w:r w:rsidRPr="00440CAB">
        <w:rPr>
          <w:rFonts w:ascii="Narkisim" w:hAnsi="Narkisim"/>
          <w:rtl/>
        </w:rPr>
        <w:t xml:space="preserve"> ב</w:t>
      </w:r>
      <w:r w:rsidRPr="00440CAB">
        <w:rPr>
          <w:rFonts w:ascii="Narkisim" w:hAnsi="Narkisim"/>
          <w:b/>
          <w:bCs/>
          <w:rtl/>
        </w:rPr>
        <w:t>משנת ר' אהרן</w:t>
      </w:r>
      <w:r w:rsidRPr="00440CAB">
        <w:rPr>
          <w:rFonts w:ascii="Narkisim" w:hAnsi="Narkisim"/>
          <w:rtl/>
        </w:rPr>
        <w:t xml:space="preserve"> (ג עמ' יז) ביאר דר' עקיבא היה ממוסרי תורה שבעל פה לדורות הבאים, ולכן [מלבד הא דהקב"ה מדקדק עם צדיקים] כיון שהיה חסר להם בדיבוק חברים, שהוא ממ"ח קנינים שהתורה נקנית בהם, לא היו ראויין להיות ממוסרי התורה לדורות. [כדי שהתורה תעבור בשלימות]. ועפ"ז ביאר אמאי מתו דוקא בימי הכנת קבלת התורה.</w:t>
      </w:r>
    </w:p>
    <w:p w14:paraId="6FB2D209" w14:textId="77777777" w:rsidR="006074A5" w:rsidRPr="00440CAB" w:rsidRDefault="006074A5" w:rsidP="006074A5">
      <w:pPr>
        <w:pStyle w:val="aa"/>
        <w:bidi/>
        <w:rPr>
          <w:rFonts w:ascii="Narkisim" w:hAnsi="Narkisim"/>
        </w:rPr>
      </w:pPr>
      <w:r w:rsidRPr="00440CAB">
        <w:rPr>
          <w:rFonts w:ascii="Narkisim" w:hAnsi="Narkisim"/>
          <w:u w:val="single"/>
          <w:rtl/>
        </w:rPr>
        <w:t>אמר ר' תנחום וכו' שרוי בלא שמחה וכו'</w:t>
      </w:r>
      <w:r w:rsidRPr="00440CAB">
        <w:rPr>
          <w:rStyle w:val="ac"/>
          <w:rFonts w:ascii="Narkisim" w:hAnsi="Narkisim"/>
          <w:u w:val="single"/>
          <w:rtl/>
        </w:rPr>
        <w:footnoteReference w:id="3795"/>
      </w:r>
      <w:r w:rsidRPr="00440CAB">
        <w:rPr>
          <w:rFonts w:ascii="Narkisim" w:hAnsi="Narkisim"/>
          <w:u w:val="single"/>
          <w:rtl/>
        </w:rPr>
        <w:t>.</w:t>
      </w:r>
      <w:r w:rsidRPr="00440CAB">
        <w:rPr>
          <w:rFonts w:ascii="Narkisim" w:hAnsi="Narkisim"/>
          <w:rtl/>
        </w:rPr>
        <w:t xml:space="preserve"> ה</w:t>
      </w:r>
      <w:r w:rsidRPr="00440CAB">
        <w:rPr>
          <w:rFonts w:ascii="Narkisim" w:hAnsi="Narkisim"/>
          <w:b/>
          <w:bCs/>
          <w:rtl/>
        </w:rPr>
        <w:t>מרדכי</w:t>
      </w:r>
      <w:r w:rsidRPr="00440CAB">
        <w:rPr>
          <w:rFonts w:ascii="Narkisim" w:hAnsi="Narkisim"/>
          <w:rtl/>
        </w:rPr>
        <w:t xml:space="preserve"> (מגילה תתטו, הו' בב"י ורמ"א או"ח קכח מד) פסק דכהן שאינו נשוי לא ישא את כפיו, דהמברך צריך להיות שרוי בלא שמחה. וה</w:t>
      </w:r>
      <w:r w:rsidRPr="00440CAB">
        <w:rPr>
          <w:rFonts w:ascii="Narkisim" w:hAnsi="Narkisim"/>
          <w:b/>
          <w:bCs/>
          <w:rtl/>
        </w:rPr>
        <w:t>שו"ת הרשב"א</w:t>
      </w:r>
      <w:r w:rsidRPr="00440CAB">
        <w:rPr>
          <w:rFonts w:ascii="Narkisim" w:hAnsi="Narkisim"/>
          <w:rtl/>
        </w:rPr>
        <w:t xml:space="preserve"> (א פה) דחה דלפי גמרתינו אין נראה כן, ואולי הוא מדרש אגדה.</w:t>
      </w:r>
    </w:p>
    <w:p w14:paraId="3A309E61" w14:textId="77777777" w:rsidR="006074A5" w:rsidRPr="00440CAB" w:rsidRDefault="006074A5" w:rsidP="006074A5">
      <w:pPr>
        <w:pStyle w:val="aa"/>
        <w:bidi/>
        <w:rPr>
          <w:rFonts w:ascii="Narkisim" w:hAnsi="Narkisim"/>
        </w:rPr>
      </w:pPr>
      <w:r w:rsidRPr="00440CAB">
        <w:rPr>
          <w:rFonts w:ascii="Narkisim" w:hAnsi="Narkisim"/>
          <w:u w:val="single"/>
          <w:rtl/>
        </w:rPr>
        <w:t>רש"י ד"ה ואין פוקדה.</w:t>
      </w:r>
      <w:r w:rsidRPr="00440CAB">
        <w:rPr>
          <w:rFonts w:ascii="Narkisim" w:hAnsi="Narkisim"/>
          <w:rtl/>
        </w:rPr>
        <w:t xml:space="preserve"> בעת עונתה. ודעת ה</w:t>
      </w:r>
      <w:r w:rsidRPr="00440CAB">
        <w:rPr>
          <w:rFonts w:ascii="Narkisim" w:hAnsi="Narkisim"/>
          <w:b/>
          <w:bCs/>
          <w:rtl/>
        </w:rPr>
        <w:t>ראב"ד</w:t>
      </w:r>
      <w:r w:rsidRPr="00440CAB">
        <w:rPr>
          <w:rFonts w:ascii="Narkisim" w:hAnsi="Narkisim"/>
          <w:rtl/>
        </w:rPr>
        <w:t xml:space="preserve"> (הו' בטושו"ע או"ח רמ א) דכוונת הגמ' כשרואה שמשתוקקת. וכ"כ </w:t>
      </w:r>
      <w:r w:rsidRPr="00440CAB">
        <w:rPr>
          <w:rFonts w:ascii="Narkisim" w:hAnsi="Narkisim"/>
          <w:b/>
          <w:bCs/>
          <w:rtl/>
        </w:rPr>
        <w:t xml:space="preserve">רש"י </w:t>
      </w:r>
      <w:r w:rsidRPr="00440CAB">
        <w:rPr>
          <w:rFonts w:ascii="Narkisim" w:hAnsi="Narkisim"/>
          <w:rtl/>
        </w:rPr>
        <w:t>(פסחים עב:) דחייב לשמח את אשתו אם רואה שמתאוית לו.</w:t>
      </w:r>
    </w:p>
    <w:p w14:paraId="7638B37F" w14:textId="77777777" w:rsidR="006074A5" w:rsidRPr="00440CAB" w:rsidRDefault="006074A5" w:rsidP="006074A5">
      <w:pPr>
        <w:pStyle w:val="aa"/>
        <w:bidi/>
        <w:rPr>
          <w:rFonts w:ascii="Narkisim" w:hAnsi="Narkisim"/>
        </w:rPr>
      </w:pPr>
      <w:r w:rsidRPr="00440CAB">
        <w:rPr>
          <w:rFonts w:ascii="Narkisim" w:hAnsi="Narkisim"/>
          <w:u w:val="single"/>
          <w:rtl/>
        </w:rPr>
        <w:t>תוד"ה חייב.</w:t>
      </w:r>
      <w:r w:rsidRPr="00440CAB">
        <w:rPr>
          <w:rFonts w:ascii="Narkisim" w:hAnsi="Narkisim"/>
          <w:rtl/>
        </w:rPr>
        <w:t xml:space="preserve"> לא נצרכה אלא לאשתו נדה. [ולא גרסי' סמוך לווסתה]. וה</w:t>
      </w:r>
      <w:r w:rsidRPr="00440CAB">
        <w:rPr>
          <w:rFonts w:ascii="Narkisim" w:hAnsi="Narkisim"/>
          <w:b/>
          <w:bCs/>
          <w:rtl/>
        </w:rPr>
        <w:t xml:space="preserve">ראשונים </w:t>
      </w:r>
      <w:r w:rsidRPr="00440CAB">
        <w:rPr>
          <w:rFonts w:ascii="Narkisim" w:hAnsi="Narkisim"/>
          <w:rtl/>
        </w:rPr>
        <w:t xml:space="preserve">ביארו דקמ"ל דלא חששו </w:t>
      </w:r>
      <w:r w:rsidRPr="00440CAB">
        <w:rPr>
          <w:rFonts w:ascii="Narkisim" w:hAnsi="Narkisim"/>
          <w:rtl/>
        </w:rPr>
        <w:lastRenderedPageBreak/>
        <w:t>שיבא לידי הרגל דבר. אבל ה</w:t>
      </w:r>
      <w:r w:rsidRPr="00440CAB">
        <w:rPr>
          <w:rFonts w:ascii="Narkisim" w:hAnsi="Narkisim"/>
          <w:b/>
          <w:bCs/>
          <w:rtl/>
        </w:rPr>
        <w:t>ריטב"א</w:t>
      </w:r>
      <w:r w:rsidRPr="00440CAB">
        <w:rPr>
          <w:rFonts w:ascii="Narkisim" w:hAnsi="Narkisim"/>
          <w:rtl/>
        </w:rPr>
        <w:t xml:space="preserve"> הביא בשם ה</w:t>
      </w:r>
      <w:r w:rsidRPr="00440CAB">
        <w:rPr>
          <w:rFonts w:ascii="Narkisim" w:hAnsi="Narkisim"/>
          <w:b/>
          <w:bCs/>
          <w:rtl/>
        </w:rPr>
        <w:t>תוס</w:t>
      </w:r>
      <w:r w:rsidRPr="00440CAB">
        <w:rPr>
          <w:rFonts w:ascii="Narkisim" w:hAnsi="Narkisim"/>
          <w:rtl/>
        </w:rPr>
        <w:t>' דהתירו רק סמוך לווסתה, אבל באשתו נדה חששו שיבא להרגל דבר.</w:t>
      </w:r>
    </w:p>
    <w:p w14:paraId="784AFB2E" w14:textId="77777777" w:rsidR="006074A5" w:rsidRPr="00440CAB" w:rsidRDefault="006074A5" w:rsidP="006074A5">
      <w:pPr>
        <w:bidi/>
        <w:rPr>
          <w:rFonts w:ascii="Narkisim" w:hAnsi="Narkisim" w:cs="Narkisim"/>
        </w:rPr>
      </w:pPr>
      <w:r w:rsidRPr="00440CAB">
        <w:rPr>
          <w:rFonts w:ascii="Narkisim" w:hAnsi="Narkisim" w:cs="Narkisim"/>
          <w:u w:val="single"/>
          <w:rtl/>
        </w:rPr>
        <w:t>בא"ד ובשבועות (יח:) מוכיח דסמוך לוסתה מדאורייתא וכו'.</w:t>
      </w:r>
      <w:r w:rsidRPr="00440CAB">
        <w:rPr>
          <w:rFonts w:ascii="Narkisim" w:hAnsi="Narkisim" w:cs="Narkisim"/>
          <w:rtl/>
        </w:rPr>
        <w:t xml:space="preserve"> משמע בתוס' דפסקו כמ"ד (ע' נדה טז.) דווסתות דאורייתא. אבל דעת </w:t>
      </w:r>
      <w:r w:rsidRPr="00440CAB">
        <w:rPr>
          <w:rFonts w:ascii="Narkisim" w:hAnsi="Narkisim" w:cs="Narkisim"/>
          <w:b/>
          <w:bCs/>
          <w:rtl/>
        </w:rPr>
        <w:t>רוב</w:t>
      </w:r>
      <w:r w:rsidRPr="00440CAB">
        <w:rPr>
          <w:rFonts w:ascii="Narkisim" w:hAnsi="Narkisim" w:cs="Narkisim"/>
          <w:rtl/>
        </w:rPr>
        <w:t xml:space="preserve"> </w:t>
      </w:r>
      <w:r w:rsidRPr="00440CAB">
        <w:rPr>
          <w:rFonts w:ascii="Narkisim" w:hAnsi="Narkisim" w:cs="Narkisim"/>
          <w:b/>
          <w:bCs/>
          <w:rtl/>
        </w:rPr>
        <w:t>ראשונים</w:t>
      </w:r>
      <w:r w:rsidRPr="00440CAB">
        <w:rPr>
          <w:rFonts w:ascii="Narkisim" w:hAnsi="Narkisim" w:cs="Narkisim"/>
          <w:rtl/>
        </w:rPr>
        <w:t xml:space="preserve"> דקי"ל וסתות דרבנן.</w:t>
      </w:r>
    </w:p>
    <w:p w14:paraId="6F931137" w14:textId="77777777" w:rsidR="006074A5" w:rsidRPr="00440CAB" w:rsidRDefault="006074A5" w:rsidP="006074A5">
      <w:pPr>
        <w:pStyle w:val="a7"/>
        <w:bidi/>
        <w:rPr>
          <w:rFonts w:ascii="Narkisim" w:hAnsi="Narkisim"/>
        </w:rPr>
      </w:pPr>
      <w:r w:rsidRPr="00440CAB">
        <w:rPr>
          <w:rFonts w:ascii="Narkisim" w:hAnsi="Narkisim"/>
          <w:rtl/>
        </w:rPr>
        <w:t>ודעת ה</w:t>
      </w:r>
      <w:r w:rsidRPr="00440CAB">
        <w:rPr>
          <w:rFonts w:ascii="Narkisim" w:hAnsi="Narkisim"/>
          <w:b/>
          <w:bCs/>
          <w:rtl/>
        </w:rPr>
        <w:t>רא"ה</w:t>
      </w:r>
      <w:r w:rsidRPr="00440CAB">
        <w:rPr>
          <w:rFonts w:ascii="Narkisim" w:hAnsi="Narkisim"/>
          <w:rtl/>
        </w:rPr>
        <w:t xml:space="preserve"> (בדה"ב שער ז ד: בדה"ס) דאף למ"ד וסתות דרבנן דרשי' מ'והזרתם' דצריך לפרוש בעונת הוסת מדאורייתא. והרא"ה כת' דבסוגיין איירי בעונה הסמוך לוסת דהוה מדרבנן.</w:t>
      </w:r>
      <w:r w:rsidRPr="00440CAB">
        <w:rPr>
          <w:rFonts w:ascii="Narkisim" w:hAnsi="Narkisim"/>
          <w:sz w:val="20"/>
          <w:szCs w:val="20"/>
          <w:rtl/>
        </w:rPr>
        <w:t xml:space="preserve"> [ולדעת הרא"ה חיוב בדיקה תליא בוסתות דרבנן. וה</w:t>
      </w:r>
      <w:r w:rsidRPr="00440CAB">
        <w:rPr>
          <w:rFonts w:ascii="Narkisim" w:hAnsi="Narkisim"/>
          <w:b/>
          <w:bCs/>
          <w:sz w:val="20"/>
          <w:szCs w:val="20"/>
          <w:rtl/>
        </w:rPr>
        <w:t>אחרונים</w:t>
      </w:r>
      <w:r w:rsidRPr="00440CAB">
        <w:rPr>
          <w:rFonts w:ascii="Narkisim" w:hAnsi="Narkisim"/>
          <w:sz w:val="20"/>
          <w:szCs w:val="20"/>
          <w:rtl/>
        </w:rPr>
        <w:t xml:space="preserve"> ציינו דכ"מ ב</w:t>
      </w:r>
      <w:r w:rsidRPr="00440CAB">
        <w:rPr>
          <w:rFonts w:ascii="Narkisim" w:hAnsi="Narkisim"/>
          <w:b/>
          <w:bCs/>
          <w:sz w:val="20"/>
          <w:szCs w:val="20"/>
          <w:rtl/>
        </w:rPr>
        <w:t>רמב"ם</w:t>
      </w:r>
      <w:r w:rsidRPr="00440CAB">
        <w:rPr>
          <w:rFonts w:ascii="Narkisim" w:hAnsi="Narkisim"/>
          <w:sz w:val="20"/>
          <w:szCs w:val="20"/>
          <w:rtl/>
        </w:rPr>
        <w:t xml:space="preserve"> (איסו"ב ד יב)</w:t>
      </w:r>
      <w:r w:rsidRPr="00440CAB">
        <w:rPr>
          <w:rStyle w:val="ac"/>
          <w:rFonts w:ascii="Narkisim" w:hAnsi="Narkisim"/>
          <w:sz w:val="20"/>
          <w:szCs w:val="20"/>
          <w:rtl/>
        </w:rPr>
        <w:footnoteReference w:id="3796"/>
      </w:r>
      <w:r w:rsidRPr="00440CAB">
        <w:rPr>
          <w:rFonts w:ascii="Narkisim" w:hAnsi="Narkisim"/>
          <w:sz w:val="20"/>
          <w:szCs w:val="20"/>
          <w:rtl/>
        </w:rPr>
        <w:t>]. וכ"מ ב</w:t>
      </w:r>
      <w:r w:rsidRPr="00440CAB">
        <w:rPr>
          <w:rFonts w:ascii="Narkisim" w:hAnsi="Narkisim"/>
          <w:b/>
          <w:bCs/>
          <w:sz w:val="20"/>
          <w:szCs w:val="20"/>
          <w:rtl/>
        </w:rPr>
        <w:t>רא"ש</w:t>
      </w:r>
      <w:r w:rsidRPr="00440CAB">
        <w:rPr>
          <w:rFonts w:ascii="Narkisim" w:hAnsi="Narkisim"/>
          <w:sz w:val="20"/>
          <w:szCs w:val="20"/>
          <w:rtl/>
        </w:rPr>
        <w:t xml:space="preserve"> (כאן) דכתב דדרשי' מוהזרתם וגו' דהוה מדאורייתא</w:t>
      </w:r>
      <w:r w:rsidRPr="00440CAB">
        <w:rPr>
          <w:rStyle w:val="ac"/>
          <w:rFonts w:ascii="Narkisim" w:hAnsi="Narkisim"/>
          <w:sz w:val="20"/>
          <w:szCs w:val="20"/>
          <w:rtl/>
        </w:rPr>
        <w:footnoteReference w:id="3797"/>
      </w:r>
      <w:r w:rsidRPr="00440CAB">
        <w:rPr>
          <w:rFonts w:ascii="Narkisim" w:hAnsi="Narkisim"/>
          <w:sz w:val="20"/>
          <w:szCs w:val="20"/>
          <w:rtl/>
        </w:rPr>
        <w:t>. ואף דהרא"ש (נדה א א) פסק כמ"ד וסתות דרבנן, וע"כ דלא תליא הכי ואיסור סמוך לווסתה אסור מצד עצמו</w:t>
      </w:r>
      <w:r w:rsidRPr="00440CAB">
        <w:rPr>
          <w:rStyle w:val="ac"/>
          <w:rFonts w:ascii="Narkisim" w:hAnsi="Narkisim"/>
          <w:sz w:val="20"/>
          <w:szCs w:val="20"/>
          <w:rtl/>
        </w:rPr>
        <w:footnoteReference w:id="3798"/>
      </w:r>
      <w:r w:rsidRPr="00440CAB">
        <w:rPr>
          <w:rFonts w:ascii="Narkisim" w:hAnsi="Narkisim"/>
          <w:sz w:val="20"/>
          <w:szCs w:val="20"/>
          <w:rtl/>
        </w:rPr>
        <w:t>.</w:t>
      </w:r>
    </w:p>
    <w:p w14:paraId="78084E68" w14:textId="77777777" w:rsidR="006074A5" w:rsidRPr="00440CAB" w:rsidRDefault="006074A5" w:rsidP="006074A5">
      <w:pPr>
        <w:bidi/>
        <w:rPr>
          <w:rFonts w:ascii="Narkisim" w:hAnsi="Narkisim" w:cs="Narkisim"/>
        </w:rPr>
      </w:pPr>
      <w:r w:rsidRPr="00440CAB">
        <w:rPr>
          <w:rFonts w:ascii="Narkisim" w:hAnsi="Narkisim" w:cs="Narkisim"/>
          <w:u w:val="single"/>
          <w:rtl/>
        </w:rPr>
        <w:t>בא"ד ואפי' למ"ד דרבנן וכו' למה מותר לדבר הרשות.</w:t>
      </w:r>
      <w:r w:rsidRPr="00440CAB">
        <w:rPr>
          <w:rFonts w:ascii="Narkisim" w:hAnsi="Narkisim" w:cs="Narkisim"/>
          <w:rtl/>
        </w:rPr>
        <w:t xml:space="preserve"> אבל ה</w:t>
      </w:r>
      <w:r w:rsidRPr="00440CAB">
        <w:rPr>
          <w:rFonts w:ascii="Narkisim" w:hAnsi="Narkisim" w:cs="Narkisim"/>
          <w:b/>
          <w:bCs/>
          <w:rtl/>
        </w:rPr>
        <w:t>ריטב"א</w:t>
      </w:r>
      <w:r w:rsidRPr="00440CAB">
        <w:rPr>
          <w:rFonts w:ascii="Narkisim" w:hAnsi="Narkisim" w:cs="Narkisim"/>
          <w:rtl/>
        </w:rPr>
        <w:t xml:space="preserve"> כתב דאיסור סמוך לווסתה הוה אסמכתא</w:t>
      </w:r>
      <w:r w:rsidRPr="00440CAB">
        <w:rPr>
          <w:rFonts w:ascii="Narkisim" w:hAnsi="Narkisim" w:cs="Narkisim"/>
          <w:sz w:val="20"/>
          <w:szCs w:val="20"/>
          <w:rtl/>
        </w:rPr>
        <w:t xml:space="preserve"> [דקי"ל ווסתות דרבנן] </w:t>
      </w:r>
      <w:r w:rsidRPr="00440CAB">
        <w:rPr>
          <w:rFonts w:ascii="Narkisim" w:hAnsi="Narkisim" w:cs="Narkisim"/>
          <w:rtl/>
        </w:rPr>
        <w:t>והתירו משום מצווה זו. וכ"כ ה</w:t>
      </w:r>
      <w:r w:rsidRPr="00440CAB">
        <w:rPr>
          <w:rFonts w:ascii="Narkisim" w:hAnsi="Narkisim" w:cs="Narkisim"/>
          <w:b/>
          <w:bCs/>
          <w:rtl/>
        </w:rPr>
        <w:t>ראב"ד</w:t>
      </w:r>
      <w:r w:rsidRPr="00440CAB">
        <w:rPr>
          <w:rFonts w:ascii="Narkisim" w:hAnsi="Narkisim" w:cs="Narkisim"/>
          <w:rtl/>
        </w:rPr>
        <w:t xml:space="preserve"> </w:t>
      </w:r>
      <w:r w:rsidRPr="00440CAB">
        <w:rPr>
          <w:rFonts w:ascii="Narkisim" w:hAnsi="Narkisim" w:cs="Narkisim"/>
          <w:szCs w:val="20"/>
          <w:rtl/>
        </w:rPr>
        <w:t>(</w:t>
      </w:r>
      <w:r w:rsidRPr="00440CAB">
        <w:rPr>
          <w:rFonts w:ascii="Narkisim" w:hAnsi="Narkisim" w:cs="Narkisim"/>
          <w:sz w:val="20"/>
          <w:szCs w:val="20"/>
          <w:rtl/>
        </w:rPr>
        <w:t>בעה"נ ב)</w:t>
      </w:r>
      <w:r w:rsidRPr="00440CAB">
        <w:rPr>
          <w:rFonts w:ascii="Narkisim" w:hAnsi="Narkisim" w:cs="Narkisim"/>
          <w:rtl/>
        </w:rPr>
        <w:t xml:space="preserve">. </w:t>
      </w:r>
      <w:r w:rsidRPr="00440CAB">
        <w:rPr>
          <w:rFonts w:ascii="Narkisim" w:hAnsi="Narkisim" w:cs="Narkisim"/>
          <w:sz w:val="20"/>
          <w:szCs w:val="20"/>
          <w:rtl/>
        </w:rPr>
        <w:t>[ו</w:t>
      </w:r>
      <w:r w:rsidRPr="00440CAB">
        <w:rPr>
          <w:rFonts w:ascii="Narkisim" w:hAnsi="Narkisim" w:cs="Narkisim"/>
          <w:b/>
          <w:bCs/>
          <w:sz w:val="20"/>
          <w:szCs w:val="20"/>
          <w:rtl/>
        </w:rPr>
        <w:t>ה"ה</w:t>
      </w:r>
      <w:r w:rsidRPr="00440CAB">
        <w:rPr>
          <w:rFonts w:ascii="Narkisim" w:hAnsi="Narkisim" w:cs="Narkisim"/>
          <w:sz w:val="20"/>
          <w:szCs w:val="20"/>
          <w:rtl/>
        </w:rPr>
        <w:t xml:space="preserve"> (ד יב) הקשה דהרמב"ם השמיט דין זה].</w:t>
      </w:r>
    </w:p>
    <w:p w14:paraId="71B4ED7B" w14:textId="77777777" w:rsidR="006074A5" w:rsidRPr="00440CAB" w:rsidRDefault="006074A5" w:rsidP="006074A5">
      <w:pPr>
        <w:pStyle w:val="a7"/>
        <w:bidi/>
        <w:rPr>
          <w:rFonts w:ascii="Narkisim" w:hAnsi="Narkisim"/>
        </w:rPr>
      </w:pPr>
      <w:r w:rsidRPr="00440CAB">
        <w:rPr>
          <w:rFonts w:ascii="Narkisim" w:hAnsi="Narkisim"/>
          <w:rtl/>
        </w:rPr>
        <w:t>ועוד כתב ה</w:t>
      </w:r>
      <w:r w:rsidRPr="00440CAB">
        <w:rPr>
          <w:rFonts w:ascii="Narkisim" w:hAnsi="Narkisim"/>
          <w:b/>
          <w:bCs/>
          <w:rtl/>
        </w:rPr>
        <w:t>ריטב"א</w:t>
      </w:r>
      <w:r w:rsidRPr="00440CAB">
        <w:rPr>
          <w:rFonts w:ascii="Narkisim" w:hAnsi="Narkisim"/>
          <w:rtl/>
        </w:rPr>
        <w:t xml:space="preserve"> (שבועות יח:) [דאף למ"ד דאורייתא] התירו בעונה הסמוך לשעת ווסתה, ולא בשעת ווסתה ממש. וביאר דהתורה התירה, והכתוב מבטיחו שלא יבא לידי חטא שתראה בשעת תשמיש, והיינו דקאמר ולא תחטא.</w:t>
      </w:r>
    </w:p>
    <w:p w14:paraId="450771B5"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הביא בשם </w:t>
      </w:r>
      <w:r w:rsidRPr="00440CAB">
        <w:rPr>
          <w:rFonts w:ascii="Narkisim" w:hAnsi="Narkisim"/>
          <w:b/>
          <w:bCs/>
          <w:rtl/>
        </w:rPr>
        <w:t xml:space="preserve">ר"מ הלוי </w:t>
      </w:r>
      <w:r w:rsidRPr="00440CAB">
        <w:rPr>
          <w:rFonts w:ascii="Narkisim" w:hAnsi="Narkisim"/>
          <w:rtl/>
        </w:rPr>
        <w:t>לפרש דסמוך לווסתה היינו סמוך לזמן שצריכה לטבול, וחייב להמתין לזה.</w:t>
      </w:r>
    </w:p>
    <w:p w14:paraId="49A2077E" w14:textId="77777777" w:rsidR="006074A5" w:rsidRPr="00440CAB" w:rsidRDefault="006074A5" w:rsidP="006074A5">
      <w:pPr>
        <w:bidi/>
        <w:rPr>
          <w:rFonts w:ascii="Narkisim" w:hAnsi="Narkisim" w:cs="Narkisim"/>
        </w:rPr>
      </w:pPr>
      <w:r w:rsidRPr="00440CAB">
        <w:rPr>
          <w:rFonts w:ascii="Narkisim" w:hAnsi="Narkisim" w:cs="Narkisim"/>
          <w:u w:val="single"/>
          <w:rtl/>
        </w:rPr>
        <w:t>תוד"ה סמוך.</w:t>
      </w:r>
      <w:r w:rsidRPr="00440CAB">
        <w:rPr>
          <w:rFonts w:ascii="Narkisim" w:hAnsi="Narkisim" w:cs="Narkisim"/>
          <w:rtl/>
        </w:rPr>
        <w:t xml:space="preserve"> ואע"ג דקטן לא תקינו ליה רבנן נישואין וכו' ומיהו וכו' דלא להוי ביאת זנות. </w:t>
      </w:r>
      <w:r w:rsidRPr="00440CAB">
        <w:rPr>
          <w:rFonts w:ascii="Narkisim" w:hAnsi="Narkisim" w:cs="Narkisim"/>
          <w:sz w:val="20"/>
          <w:szCs w:val="20"/>
          <w:rtl/>
        </w:rPr>
        <w:t>ומשמע דלא בעי גט, ואם מת אינה חולצת (כדמפורש לקמן סט: וקיב), ואפ"ה התירו לו</w:t>
      </w:r>
      <w:r w:rsidRPr="00440CAB">
        <w:rPr>
          <w:rStyle w:val="ac"/>
          <w:rFonts w:ascii="Narkisim" w:hAnsi="Narkisim" w:cs="Narkisim"/>
          <w:sz w:val="20"/>
          <w:szCs w:val="20"/>
          <w:rtl/>
        </w:rPr>
        <w:footnoteReference w:id="3799"/>
      </w:r>
      <w:r w:rsidRPr="00440CAB">
        <w:rPr>
          <w:rFonts w:ascii="Narkisim" w:hAnsi="Narkisim" w:cs="Narkisim"/>
          <w:sz w:val="20"/>
          <w:szCs w:val="20"/>
          <w:rtl/>
        </w:rPr>
        <w:t>.</w:t>
      </w:r>
      <w:r w:rsidRPr="00440CAB">
        <w:rPr>
          <w:rFonts w:ascii="Narkisim" w:hAnsi="Narkisim" w:cs="Narkisim"/>
          <w:rtl/>
        </w:rPr>
        <w:t xml:space="preserve"> ו</w:t>
      </w:r>
      <w:r w:rsidRPr="00440CAB">
        <w:rPr>
          <w:rFonts w:ascii="Narkisim" w:hAnsi="Narkisim" w:cs="Narkisim"/>
          <w:b/>
          <w:bCs/>
          <w:rtl/>
        </w:rPr>
        <w:t>תוס'</w:t>
      </w:r>
      <w:r w:rsidRPr="00440CAB">
        <w:rPr>
          <w:rFonts w:ascii="Narkisim" w:hAnsi="Narkisim" w:cs="Narkisim"/>
          <w:rtl/>
        </w:rPr>
        <w:t xml:space="preserve"> (סנהדרין עו:) הביאו ראיה לזה מהגמ' (כתובות צ.) דקטן שהשיאו אשה כתובתה קיימת</w:t>
      </w:r>
      <w:r w:rsidRPr="00440CAB">
        <w:rPr>
          <w:rStyle w:val="ac"/>
          <w:rFonts w:ascii="Narkisim" w:hAnsi="Narkisim" w:cs="Narkisim"/>
          <w:rtl/>
        </w:rPr>
        <w:footnoteReference w:id="3800"/>
      </w:r>
      <w:r w:rsidRPr="00440CAB">
        <w:rPr>
          <w:rFonts w:ascii="Narkisim" w:hAnsi="Narkisim" w:cs="Narkisim"/>
          <w:rtl/>
        </w:rPr>
        <w:t xml:space="preserve"> </w:t>
      </w:r>
      <w:r w:rsidRPr="00440CAB">
        <w:rPr>
          <w:rFonts w:ascii="Narkisim" w:hAnsi="Narkisim" w:cs="Narkisim"/>
          <w:sz w:val="20"/>
          <w:szCs w:val="20"/>
          <w:rtl/>
        </w:rPr>
        <w:t>[ולענין זה נחשב שתקנו נישואין]</w:t>
      </w:r>
      <w:r w:rsidRPr="00440CAB">
        <w:rPr>
          <w:rFonts w:ascii="Narkisim" w:hAnsi="Narkisim" w:cs="Narkisim"/>
          <w:rtl/>
        </w:rPr>
        <w:t>.</w:t>
      </w:r>
    </w:p>
    <w:p w14:paraId="68064556"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ב"ח</w:t>
      </w:r>
      <w:r w:rsidRPr="00440CAB">
        <w:rPr>
          <w:rFonts w:ascii="Narkisim" w:hAnsi="Narkisim"/>
          <w:rtl/>
        </w:rPr>
        <w:t xml:space="preserve"> </w:t>
      </w:r>
      <w:r w:rsidRPr="00440CAB">
        <w:rPr>
          <w:rFonts w:ascii="Narkisim" w:hAnsi="Narkisim"/>
          <w:szCs w:val="20"/>
          <w:rtl/>
        </w:rPr>
        <w:t>(</w:t>
      </w:r>
      <w:r w:rsidRPr="00440CAB">
        <w:rPr>
          <w:rFonts w:ascii="Narkisim" w:hAnsi="Narkisim"/>
          <w:sz w:val="20"/>
          <w:szCs w:val="20"/>
          <w:rtl/>
        </w:rPr>
        <w:t>א ג, והחלק"מ א ג חלק)</w:t>
      </w:r>
      <w:r w:rsidRPr="00440CAB">
        <w:rPr>
          <w:rFonts w:ascii="Narkisim" w:hAnsi="Narkisim"/>
          <w:rtl/>
        </w:rPr>
        <w:t xml:space="preserve"> דייק מהטור דכשהשיאו אביו בשנת י"ג [י"ב שנה ויום א'</w:t>
      </w:r>
      <w:r w:rsidRPr="00440CAB">
        <w:rPr>
          <w:rStyle w:val="ac"/>
          <w:rFonts w:ascii="Narkisim" w:hAnsi="Narkisim"/>
          <w:rtl/>
        </w:rPr>
        <w:footnoteReference w:id="3801"/>
      </w:r>
      <w:r w:rsidRPr="00440CAB">
        <w:rPr>
          <w:rFonts w:ascii="Narkisim" w:hAnsi="Narkisim"/>
          <w:rtl/>
        </w:rPr>
        <w:t>] תקנו רבנן דאינו בעילת זנות [ומבואר מדבריו דבעי גט], ורק כשהשיא לעצמו הוה בעילת זנות. אבל ה</w:t>
      </w:r>
      <w:r w:rsidRPr="00440CAB">
        <w:rPr>
          <w:rFonts w:ascii="Narkisim" w:hAnsi="Narkisim"/>
          <w:b/>
          <w:bCs/>
          <w:rtl/>
        </w:rPr>
        <w:t>רמב"ם</w:t>
      </w:r>
      <w:r w:rsidRPr="00440CAB">
        <w:rPr>
          <w:rFonts w:ascii="Narkisim" w:hAnsi="Narkisim"/>
          <w:rtl/>
        </w:rPr>
        <w:t xml:space="preserve"> (איסו"ב כא כה, וכ"פ השו"ע א ג) פסק דבכל אופן הוה בעילת זנות.</w:t>
      </w:r>
    </w:p>
    <w:p w14:paraId="539EE8E8" w14:textId="77777777" w:rsidR="006074A5" w:rsidRPr="00440CAB" w:rsidRDefault="006074A5" w:rsidP="006074A5">
      <w:pPr>
        <w:pStyle w:val="aa"/>
        <w:bidi/>
        <w:rPr>
          <w:rFonts w:ascii="Narkisim" w:hAnsi="Narkisim"/>
        </w:rPr>
      </w:pPr>
      <w:r w:rsidRPr="00440CAB">
        <w:rPr>
          <w:rFonts w:ascii="Narkisim" w:hAnsi="Narkisim"/>
          <w:u w:val="single"/>
          <w:rtl/>
        </w:rPr>
        <w:t>תוד"ה והנושא.</w:t>
      </w:r>
      <w:r w:rsidRPr="00440CAB">
        <w:rPr>
          <w:rFonts w:ascii="Narkisim" w:hAnsi="Narkisim"/>
          <w:rtl/>
        </w:rPr>
        <w:t xml:space="preserve"> פרשב"ם דה"ה בת אחיו וכו'. וה</w:t>
      </w:r>
      <w:r w:rsidRPr="00440CAB">
        <w:rPr>
          <w:rFonts w:ascii="Narkisim" w:hAnsi="Narkisim"/>
          <w:b/>
          <w:bCs/>
          <w:rtl/>
        </w:rPr>
        <w:t>תו"י</w:t>
      </w:r>
      <w:r w:rsidRPr="00440CAB">
        <w:rPr>
          <w:rFonts w:ascii="Narkisim" w:hAnsi="Narkisim"/>
          <w:rtl/>
        </w:rPr>
        <w:t xml:space="preserve"> וכן </w:t>
      </w:r>
      <w:r w:rsidRPr="00440CAB">
        <w:rPr>
          <w:rFonts w:ascii="Narkisim" w:hAnsi="Narkisim"/>
          <w:b/>
          <w:bCs/>
          <w:rtl/>
        </w:rPr>
        <w:t>תוס</w:t>
      </w:r>
      <w:r w:rsidRPr="00440CAB">
        <w:rPr>
          <w:rFonts w:ascii="Narkisim" w:hAnsi="Narkisim"/>
          <w:rtl/>
        </w:rPr>
        <w:t>' (לקמן צט. ד"ה ספק) כת' דבת אחיו אינו מצווה כ"כ, דאתי לאפוקי ממצות יבום אם ימות בלא בנים. [אבל ה</w:t>
      </w:r>
      <w:r w:rsidRPr="00440CAB">
        <w:rPr>
          <w:rFonts w:ascii="Narkisim" w:hAnsi="Narkisim"/>
          <w:b/>
          <w:bCs/>
          <w:rtl/>
        </w:rPr>
        <w:t xml:space="preserve">גמ' </w:t>
      </w:r>
      <w:r w:rsidRPr="00440CAB">
        <w:rPr>
          <w:rFonts w:ascii="Narkisim" w:hAnsi="Narkisim"/>
          <w:rtl/>
        </w:rPr>
        <w:t>(גיטין פג.) הביאה דמותר לישא בת אחיו, ואין בזה משום גורם לעקור דבר מה"ת. וה</w:t>
      </w:r>
      <w:r w:rsidRPr="00440CAB">
        <w:rPr>
          <w:rFonts w:ascii="Narkisim" w:hAnsi="Narkisim"/>
          <w:b/>
          <w:bCs/>
          <w:rtl/>
        </w:rPr>
        <w:t xml:space="preserve">גהש"ס </w:t>
      </w:r>
      <w:r w:rsidRPr="00440CAB">
        <w:rPr>
          <w:rFonts w:ascii="Narkisim" w:hAnsi="Narkisim"/>
          <w:rtl/>
        </w:rPr>
        <w:t>(שם) ציין לתוס' הנ"ל].</w:t>
      </w:r>
    </w:p>
    <w:p w14:paraId="1259DF01" w14:textId="77777777" w:rsidR="006074A5" w:rsidRPr="00440CAB" w:rsidRDefault="006074A5" w:rsidP="006074A5">
      <w:pPr>
        <w:pStyle w:val="a8"/>
        <w:bidi/>
        <w:rPr>
          <w:rFonts w:ascii="Narkisim" w:hAnsi="Narkisim"/>
        </w:rPr>
      </w:pPr>
      <w:r w:rsidRPr="00440CAB">
        <w:rPr>
          <w:rFonts w:ascii="Narkisim" w:hAnsi="Narkisim"/>
          <w:rtl/>
        </w:rPr>
        <w:t>וב</w:t>
      </w:r>
      <w:r w:rsidRPr="00440CAB">
        <w:rPr>
          <w:rFonts w:ascii="Narkisim" w:hAnsi="Narkisim"/>
          <w:b/>
          <w:bCs/>
          <w:rtl/>
        </w:rPr>
        <w:t>צוואת ר' יהודה החסיד</w:t>
      </w:r>
      <w:r w:rsidRPr="00440CAB">
        <w:rPr>
          <w:rFonts w:ascii="Narkisim" w:hAnsi="Narkisim"/>
          <w:rtl/>
        </w:rPr>
        <w:t xml:space="preserve"> (כב) צווה שלא לישא בת אחיו או בת אחותו. וה</w:t>
      </w:r>
      <w:r w:rsidRPr="00440CAB">
        <w:rPr>
          <w:rFonts w:ascii="Narkisim" w:hAnsi="Narkisim"/>
          <w:b/>
          <w:bCs/>
          <w:rtl/>
        </w:rPr>
        <w:t>אחרונים</w:t>
      </w:r>
      <w:r w:rsidRPr="00440CAB">
        <w:rPr>
          <w:rFonts w:ascii="Narkisim" w:hAnsi="Narkisim"/>
          <w:rtl/>
        </w:rPr>
        <w:t xml:space="preserve"> דנו דהוא נגד הגמ' כאן</w:t>
      </w:r>
      <w:r w:rsidRPr="00440CAB">
        <w:rPr>
          <w:rStyle w:val="ac"/>
          <w:rFonts w:ascii="Narkisim" w:hAnsi="Narkisim"/>
          <w:rtl/>
        </w:rPr>
        <w:footnoteReference w:id="3802"/>
      </w:r>
      <w:r w:rsidRPr="00440CAB">
        <w:rPr>
          <w:rFonts w:ascii="Narkisim" w:hAnsi="Narkisim"/>
          <w:rtl/>
        </w:rPr>
        <w:t>.</w:t>
      </w:r>
    </w:p>
    <w:p w14:paraId="1CCCF139" w14:textId="77777777" w:rsidR="006074A5" w:rsidRPr="00440CAB" w:rsidRDefault="006074A5" w:rsidP="006074A5">
      <w:pPr>
        <w:pStyle w:val="3"/>
        <w:bidi/>
        <w:rPr>
          <w:rFonts w:ascii="Narkisim" w:hAnsi="Narkisim"/>
        </w:rPr>
      </w:pPr>
      <w:r w:rsidRPr="00440CAB">
        <w:rPr>
          <w:rFonts w:ascii="Narkisim" w:hAnsi="Narkisim"/>
          <w:rtl/>
        </w:rPr>
        <w:t>דף סג.</w:t>
      </w:r>
    </w:p>
    <w:p w14:paraId="7D4ED299" w14:textId="77777777" w:rsidR="006074A5" w:rsidRPr="00440CAB" w:rsidRDefault="006074A5" w:rsidP="006074A5">
      <w:pPr>
        <w:bidi/>
        <w:rPr>
          <w:rFonts w:ascii="Narkisim" w:hAnsi="Narkisim" w:cs="Narkisim"/>
        </w:rPr>
      </w:pPr>
      <w:r w:rsidRPr="00440CAB">
        <w:rPr>
          <w:rFonts w:ascii="Narkisim" w:hAnsi="Narkisim" w:cs="Narkisim"/>
          <w:u w:val="single"/>
          <w:rtl/>
        </w:rPr>
        <w:t>את לא תעביד הכי, שנאמר למדו לשונם.</w:t>
      </w:r>
      <w:r w:rsidRPr="00440CAB">
        <w:rPr>
          <w:rFonts w:ascii="Narkisim" w:hAnsi="Narkisim" w:cs="Narkisim"/>
          <w:rtl/>
        </w:rPr>
        <w:t xml:space="preserve"> </w:t>
      </w:r>
      <w:r w:rsidRPr="00440CAB">
        <w:rPr>
          <w:rFonts w:ascii="Narkisim" w:hAnsi="Narkisim" w:cs="Narkisim"/>
          <w:b/>
          <w:bCs/>
          <w:rtl/>
        </w:rPr>
        <w:t>רבינו</w:t>
      </w:r>
      <w:r w:rsidRPr="00440CAB">
        <w:rPr>
          <w:rFonts w:ascii="Narkisim" w:hAnsi="Narkisim" w:cs="Narkisim"/>
          <w:rtl/>
        </w:rPr>
        <w:t xml:space="preserve"> </w:t>
      </w:r>
      <w:r w:rsidRPr="00440CAB">
        <w:rPr>
          <w:rFonts w:ascii="Narkisim" w:hAnsi="Narkisim" w:cs="Narkisim"/>
          <w:b/>
          <w:bCs/>
          <w:rtl/>
        </w:rPr>
        <w:t>יונה</w:t>
      </w:r>
      <w:r w:rsidRPr="00440CAB">
        <w:rPr>
          <w:rFonts w:ascii="Narkisim" w:hAnsi="Narkisim" w:cs="Narkisim"/>
          <w:rtl/>
        </w:rPr>
        <w:t xml:space="preserve"> (אבות א יח) הביא מכאן דאפי' סיפור דברים בעלמא לא ישקר, כדאמרי' בסוגיין, כי האדם המרגיל לשונו לדבר שקר בדבר שאין בה הפסד או תועלת עי"ז, כשיבא לדבר דברים של עיקר לא יוכל לומר האמת. שההרגל שולט עליו.</w:t>
      </w:r>
    </w:p>
    <w:p w14:paraId="53F22EF1" w14:textId="77777777" w:rsidR="006074A5" w:rsidRPr="00440CAB" w:rsidRDefault="006074A5" w:rsidP="006074A5">
      <w:pPr>
        <w:pStyle w:val="a8"/>
        <w:bidi/>
        <w:rPr>
          <w:rFonts w:ascii="Narkisim" w:hAnsi="Narkisim"/>
        </w:rPr>
      </w:pPr>
      <w:r w:rsidRPr="00440CAB">
        <w:rPr>
          <w:rFonts w:ascii="Narkisim" w:hAnsi="Narkisim"/>
          <w:rtl/>
        </w:rPr>
        <w:t>וב</w:t>
      </w:r>
      <w:r w:rsidRPr="00440CAB">
        <w:rPr>
          <w:rFonts w:ascii="Narkisim" w:hAnsi="Narkisim"/>
          <w:b/>
          <w:bCs/>
          <w:rtl/>
        </w:rPr>
        <w:t>שערי תשובה</w:t>
      </w:r>
      <w:r w:rsidRPr="00440CAB">
        <w:rPr>
          <w:rFonts w:ascii="Narkisim" w:hAnsi="Narkisim"/>
          <w:rtl/>
        </w:rPr>
        <w:t xml:space="preserve"> (ג קפו) סידר ט' חלקים בכת השקרנים. והחלק התשיעי להחליף סיפורי מאורעות, ואין הפסד לאדם בדבר, אך גם זה אסרו דאמרו חז"ל למדו לשונם. אך אין ענשם כעונש המשקרים ללא דבר. [משמע דאינו </w:t>
      </w:r>
      <w:r w:rsidRPr="00440CAB">
        <w:rPr>
          <w:rFonts w:ascii="Narkisim" w:hAnsi="Narkisim"/>
          <w:rtl/>
        </w:rPr>
        <w:lastRenderedPageBreak/>
        <w:t>איסור שקר גמור כיון דאין בזה נזק לאדם].</w:t>
      </w:r>
    </w:p>
    <w:p w14:paraId="0CFFBB08"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מהרש"א</w:t>
      </w:r>
      <w:r w:rsidRPr="00440CAB">
        <w:rPr>
          <w:rFonts w:ascii="Narkisim" w:hAnsi="Narkisim"/>
          <w:rtl/>
        </w:rPr>
        <w:t xml:space="preserve"> כתב דאף דראוי לשנות ולומר כן משום כיבוד אביו, מ"מ הזהירו שלא יתרגל לכך.</w:t>
      </w:r>
    </w:p>
    <w:p w14:paraId="49B6CF76"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מאירי</w:t>
      </w:r>
      <w:r w:rsidRPr="00440CAB">
        <w:rPr>
          <w:rFonts w:ascii="Narkisim" w:hAnsi="Narkisim"/>
          <w:rtl/>
        </w:rPr>
        <w:t xml:space="preserve"> כתב דאע"פ שאמרי' (לקמן סה:) דמותר לשנות מפני דרכי שלום, היינו דוקא בדבר שיצא מזה חורבא. אבל הכא רב לא הקפיד, ומוטב שתעמוד במרדה מאשר שיוציא מפיו דבר שקר</w:t>
      </w:r>
      <w:r w:rsidRPr="00440CAB">
        <w:rPr>
          <w:rStyle w:val="ac"/>
          <w:rFonts w:ascii="Narkisim" w:hAnsi="Narkisim"/>
          <w:rtl/>
        </w:rPr>
        <w:footnoteReference w:id="3803"/>
      </w:r>
      <w:r w:rsidRPr="00440CAB">
        <w:rPr>
          <w:rFonts w:ascii="Narkisim" w:hAnsi="Narkisim"/>
          <w:rtl/>
        </w:rPr>
        <w:t>. וה</w:t>
      </w:r>
      <w:r w:rsidRPr="00440CAB">
        <w:rPr>
          <w:rFonts w:ascii="Narkisim" w:hAnsi="Narkisim"/>
          <w:b/>
          <w:bCs/>
          <w:rtl/>
        </w:rPr>
        <w:t>יש"ש</w:t>
      </w:r>
      <w:r w:rsidRPr="00440CAB">
        <w:rPr>
          <w:rFonts w:ascii="Narkisim" w:hAnsi="Narkisim"/>
          <w:rtl/>
        </w:rPr>
        <w:t xml:space="preserve"> (מו) כתב דדוקא דבר שהוא אקראי הותר מפני דרכי שלום, ולא דבר שהוא שליחות בין אביו לאמו.</w:t>
      </w:r>
    </w:p>
    <w:p w14:paraId="0541CC7E" w14:textId="77777777" w:rsidR="006074A5" w:rsidRPr="00440CAB" w:rsidRDefault="006074A5" w:rsidP="006074A5">
      <w:pPr>
        <w:pStyle w:val="3"/>
        <w:bidi/>
        <w:rPr>
          <w:rFonts w:ascii="Narkisim" w:hAnsi="Narkisim"/>
        </w:rPr>
      </w:pPr>
      <w:r w:rsidRPr="00440CAB">
        <w:rPr>
          <w:rFonts w:ascii="Narkisim" w:hAnsi="Narkisim"/>
          <w:rtl/>
        </w:rPr>
        <w:t>דף סג:</w:t>
      </w:r>
    </w:p>
    <w:p w14:paraId="484EC375" w14:textId="77777777" w:rsidR="006074A5" w:rsidRPr="00440CAB" w:rsidRDefault="006074A5" w:rsidP="006074A5">
      <w:pPr>
        <w:pStyle w:val="aa"/>
        <w:bidi/>
        <w:rPr>
          <w:rFonts w:ascii="Narkisim" w:hAnsi="Narkisim"/>
        </w:rPr>
      </w:pPr>
      <w:r w:rsidRPr="00440CAB">
        <w:rPr>
          <w:rFonts w:ascii="Narkisim" w:hAnsi="Narkisim"/>
          <w:u w:val="single"/>
          <w:rtl/>
        </w:rPr>
        <w:t>כגון מאן כגון אמך.</w:t>
      </w:r>
      <w:r w:rsidRPr="00440CAB">
        <w:rPr>
          <w:rFonts w:ascii="Narkisim" w:hAnsi="Narkisim"/>
          <w:rtl/>
        </w:rPr>
        <w:t xml:space="preserve"> ה</w:t>
      </w:r>
      <w:r w:rsidRPr="00440CAB">
        <w:rPr>
          <w:rFonts w:ascii="Narkisim" w:hAnsi="Narkisim"/>
          <w:b/>
          <w:bCs/>
          <w:rtl/>
        </w:rPr>
        <w:t>חפץ חיים</w:t>
      </w:r>
      <w:r w:rsidRPr="00440CAB">
        <w:rPr>
          <w:rFonts w:ascii="Narkisim" w:hAnsi="Narkisim"/>
          <w:rtl/>
        </w:rPr>
        <w:t xml:space="preserve"> (א במ"ח יג) הקשה אמאי אין בזה איסור לשון הרע. ותי' דרגילות הוא באשה רעה שנתפרסם עניניה בפני ג', וא"כ [לדעת הרמב"ם, עי"ש כלל ב] מותר לספר כיון דאין מתכוין להעביר הקול. ועוד</w:t>
      </w:r>
      <w:r w:rsidRPr="00440CAB">
        <w:rPr>
          <w:rFonts w:ascii="Narkisim" w:hAnsi="Narkisim"/>
          <w:i/>
          <w:iCs/>
          <w:rtl/>
        </w:rPr>
        <w:t xml:space="preserve"> </w:t>
      </w:r>
      <w:r w:rsidRPr="00440CAB">
        <w:rPr>
          <w:rFonts w:ascii="Narkisim" w:hAnsi="Narkisim"/>
          <w:rtl/>
        </w:rPr>
        <w:t>תי' דהבן ידע את טבע אמו, וכיון שכוונתו להסביר קראי ולא לגנותה דמי לנתכוון לתועלת בדבר שהוא אמת.</w:t>
      </w:r>
    </w:p>
    <w:p w14:paraId="10AD3680" w14:textId="77777777" w:rsidR="006074A5" w:rsidRPr="00440CAB" w:rsidRDefault="006074A5" w:rsidP="006074A5">
      <w:pPr>
        <w:pStyle w:val="aa"/>
        <w:bidi/>
        <w:rPr>
          <w:rFonts w:ascii="Narkisim" w:hAnsi="Narkisim"/>
        </w:rPr>
      </w:pPr>
      <w:r w:rsidRPr="00440CAB">
        <w:rPr>
          <w:rFonts w:ascii="Narkisim" w:hAnsi="Narkisim"/>
          <w:u w:val="single"/>
          <w:rtl/>
        </w:rPr>
        <w:t>אמר רבא אשה רעה מצווה לגרשה.</w:t>
      </w:r>
      <w:r w:rsidRPr="00440CAB">
        <w:rPr>
          <w:rFonts w:ascii="Narkisim" w:hAnsi="Narkisim"/>
          <w:rtl/>
        </w:rPr>
        <w:t xml:space="preserve"> [בפשוטו קאי אדלעיל, וכ"מ בעירובין מא:</w:t>
      </w:r>
      <w:r w:rsidRPr="00440CAB">
        <w:rPr>
          <w:rStyle w:val="ac"/>
          <w:rFonts w:ascii="Narkisim" w:hAnsi="Narkisim"/>
          <w:rtl/>
        </w:rPr>
        <w:footnoteReference w:id="3804"/>
      </w:r>
      <w:r w:rsidRPr="00440CAB">
        <w:rPr>
          <w:rFonts w:ascii="Narkisim" w:hAnsi="Narkisim"/>
          <w:rtl/>
        </w:rPr>
        <w:t>]. וב</w:t>
      </w:r>
      <w:r w:rsidRPr="00440CAB">
        <w:rPr>
          <w:rFonts w:ascii="Narkisim" w:hAnsi="Narkisim"/>
          <w:b/>
          <w:bCs/>
          <w:rtl/>
        </w:rPr>
        <w:t>חי' ר"א מן ההר</w:t>
      </w:r>
      <w:r w:rsidRPr="00440CAB">
        <w:rPr>
          <w:rFonts w:ascii="Narkisim" w:hAnsi="Narkisim"/>
          <w:rtl/>
        </w:rPr>
        <w:t xml:space="preserve"> פי' דהיינו בעלת מריבה ומקוטטת עם שכנותיה. וה</w:t>
      </w:r>
      <w:r w:rsidRPr="00440CAB">
        <w:rPr>
          <w:rFonts w:ascii="Narkisim" w:hAnsi="Narkisim"/>
          <w:b/>
          <w:bCs/>
          <w:rtl/>
        </w:rPr>
        <w:t>רמב"ם</w:t>
      </w:r>
      <w:r w:rsidRPr="00440CAB">
        <w:rPr>
          <w:rFonts w:ascii="Narkisim" w:hAnsi="Narkisim"/>
          <w:rtl/>
        </w:rPr>
        <w:t xml:space="preserve"> (גירושין י כב, וכ"פ בשו"ע קיט ד,ה) כתב דאשה ראה בדיעותיה ושאינה צנועה כבנות ישראל מצווה לגרשה.</w:t>
      </w:r>
    </w:p>
    <w:p w14:paraId="60107B8E" w14:textId="77777777" w:rsidR="006074A5" w:rsidRPr="00440CAB" w:rsidRDefault="006074A5" w:rsidP="006074A5">
      <w:pPr>
        <w:pStyle w:val="aa"/>
        <w:bidi/>
        <w:rPr>
          <w:rFonts w:ascii="Narkisim" w:hAnsi="Narkisim"/>
        </w:rPr>
      </w:pPr>
      <w:r w:rsidRPr="00440CAB">
        <w:rPr>
          <w:rFonts w:ascii="Narkisim" w:hAnsi="Narkisim"/>
          <w:u w:val="single"/>
          <w:rtl/>
        </w:rPr>
        <w:t>כתובתה מרובה.</w:t>
      </w:r>
      <w:r w:rsidRPr="00440CAB">
        <w:rPr>
          <w:rFonts w:ascii="Narkisim" w:hAnsi="Narkisim"/>
          <w:rtl/>
        </w:rPr>
        <w:t xml:space="preserve"> ה</w:t>
      </w:r>
      <w:r w:rsidRPr="00440CAB">
        <w:rPr>
          <w:rFonts w:ascii="Narkisim" w:hAnsi="Narkisim"/>
          <w:b/>
          <w:bCs/>
          <w:rtl/>
        </w:rPr>
        <w:t>רמ"א</w:t>
      </w:r>
      <w:r w:rsidRPr="00440CAB">
        <w:rPr>
          <w:rFonts w:ascii="Narkisim" w:hAnsi="Narkisim"/>
          <w:rtl/>
        </w:rPr>
        <w:t xml:space="preserve"> (קיט ו) פסק [ע"פ שו"ת הרא"ש] דיכול לגרש את אשתו אע"פ שאין לו לשלם כתובתה, והיא תתבע אח"כ. אבל דעת </w:t>
      </w:r>
      <w:r w:rsidRPr="00440CAB">
        <w:rPr>
          <w:rFonts w:ascii="Narkisim" w:hAnsi="Narkisim"/>
          <w:b/>
          <w:bCs/>
          <w:rtl/>
        </w:rPr>
        <w:t>שו"ת הרשב"א</w:t>
      </w:r>
      <w:r w:rsidRPr="00440CAB">
        <w:rPr>
          <w:rFonts w:ascii="Narkisim" w:hAnsi="Narkisim"/>
          <w:rtl/>
        </w:rPr>
        <w:t xml:space="preserve"> (א אלף רנד, בשם הגאון) דאינו רשאי לגרש כשאין לו לפרוע הכתובה, וה</w:t>
      </w:r>
      <w:r w:rsidRPr="00440CAB">
        <w:rPr>
          <w:rFonts w:ascii="Narkisim" w:hAnsi="Narkisim"/>
          <w:b/>
          <w:bCs/>
          <w:rtl/>
        </w:rPr>
        <w:t>פר"ח</w:t>
      </w:r>
      <w:r w:rsidRPr="00440CAB">
        <w:rPr>
          <w:rFonts w:ascii="Narkisim" w:hAnsi="Narkisim"/>
          <w:rtl/>
        </w:rPr>
        <w:t xml:space="preserve"> (שם ח) הוכיח הביא מסוגיין, ודחה דכוונת הגמ' דמסתמא אינו רוצה שיהא עליו חוב כתובה כל ימיו</w:t>
      </w:r>
      <w:r w:rsidRPr="00440CAB">
        <w:rPr>
          <w:rStyle w:val="ac"/>
          <w:rFonts w:ascii="Narkisim" w:hAnsi="Narkisim"/>
          <w:rtl/>
        </w:rPr>
        <w:footnoteReference w:id="3805"/>
      </w:r>
      <w:r w:rsidRPr="00440CAB">
        <w:rPr>
          <w:rFonts w:ascii="Narkisim" w:hAnsi="Narkisim"/>
          <w:rtl/>
        </w:rPr>
        <w:t>.</w:t>
      </w:r>
    </w:p>
    <w:p w14:paraId="7360D31F" w14:textId="77777777" w:rsidR="006074A5" w:rsidRPr="00440CAB" w:rsidRDefault="006074A5" w:rsidP="006074A5">
      <w:pPr>
        <w:pStyle w:val="aa"/>
        <w:bidi/>
        <w:rPr>
          <w:rFonts w:ascii="Narkisim" w:hAnsi="Narkisim"/>
        </w:rPr>
      </w:pPr>
      <w:r w:rsidRPr="00440CAB">
        <w:rPr>
          <w:rFonts w:ascii="Narkisim" w:hAnsi="Narkisim"/>
          <w:u w:val="single"/>
          <w:rtl/>
        </w:rPr>
        <w:t>אתו חברי לבבל וכו</w:t>
      </w:r>
      <w:r w:rsidRPr="00440CAB">
        <w:rPr>
          <w:rFonts w:ascii="Narkisim" w:hAnsi="Narkisim"/>
          <w:rtl/>
        </w:rPr>
        <w:t>'. פ</w:t>
      </w:r>
      <w:r w:rsidRPr="00440CAB">
        <w:rPr>
          <w:rFonts w:ascii="Narkisim" w:hAnsi="Narkisim"/>
          <w:b/>
          <w:bCs/>
          <w:rtl/>
        </w:rPr>
        <w:t>רש"י</w:t>
      </w:r>
      <w:r w:rsidRPr="00440CAB">
        <w:rPr>
          <w:rFonts w:ascii="Narkisim" w:hAnsi="Narkisim"/>
          <w:rtl/>
        </w:rPr>
        <w:t xml:space="preserve"> פרסיים רשעים. וה</w:t>
      </w:r>
      <w:r w:rsidRPr="00440CAB">
        <w:rPr>
          <w:rFonts w:ascii="Narkisim" w:hAnsi="Narkisim"/>
          <w:b/>
          <w:bCs/>
          <w:rtl/>
        </w:rPr>
        <w:t>ערוך</w:t>
      </w:r>
      <w:r w:rsidRPr="00440CAB">
        <w:rPr>
          <w:rFonts w:ascii="Narkisim" w:hAnsi="Narkisim"/>
          <w:rtl/>
        </w:rPr>
        <w:t xml:space="preserve"> (הו' במהרש"א ח"א) כת' שהכומרים של הפרסיים נקראו חברי.</w:t>
      </w:r>
    </w:p>
    <w:p w14:paraId="6490329D" w14:textId="77777777" w:rsidR="006074A5" w:rsidRPr="00440CAB" w:rsidRDefault="006074A5" w:rsidP="006074A5">
      <w:pPr>
        <w:pStyle w:val="a8"/>
        <w:bidi/>
        <w:rPr>
          <w:rFonts w:ascii="Narkisim" w:hAnsi="Narkisim"/>
        </w:rPr>
      </w:pPr>
      <w:r w:rsidRPr="00440CAB">
        <w:rPr>
          <w:rFonts w:ascii="Narkisim" w:hAnsi="Narkisim"/>
          <w:rtl/>
        </w:rPr>
        <w:t>ו</w:t>
      </w:r>
      <w:r w:rsidRPr="00440CAB">
        <w:rPr>
          <w:rFonts w:ascii="Narkisim" w:hAnsi="Narkisim"/>
          <w:b/>
          <w:bCs/>
          <w:rtl/>
        </w:rPr>
        <w:t>רש"י</w:t>
      </w:r>
      <w:r w:rsidRPr="00440CAB">
        <w:rPr>
          <w:rFonts w:ascii="Narkisim" w:hAnsi="Narkisim"/>
          <w:rtl/>
        </w:rPr>
        <w:t xml:space="preserve"> (גיטין יז.) פי' הא דאיתא (שם) מקמי דניתו חברי לבבל, בימי כשדים נבוכדנצר ואויל מרודך ובלשצר. ומשכבש כורש את המלכות באו הפרסיים לבבל. ותוס' (שם) הק' דבסוגיין מבואר דחברי באו לבבל בימי ר' יוחנן. ור"י פי' שחברי הם אומה שהרשיעה את הפרסיים</w:t>
      </w:r>
      <w:r w:rsidRPr="00440CAB">
        <w:rPr>
          <w:rStyle w:val="ac"/>
          <w:rFonts w:ascii="Narkisim" w:hAnsi="Narkisim"/>
          <w:rtl/>
        </w:rPr>
        <w:footnoteReference w:id="3806"/>
      </w:r>
      <w:r w:rsidRPr="00440CAB">
        <w:rPr>
          <w:rFonts w:ascii="Narkisim" w:hAnsi="Narkisim"/>
          <w:rtl/>
        </w:rPr>
        <w:t>.</w:t>
      </w:r>
    </w:p>
    <w:p w14:paraId="0AF28FAC" w14:textId="77777777" w:rsidR="006074A5" w:rsidRPr="00440CAB" w:rsidRDefault="006074A5" w:rsidP="006074A5">
      <w:pPr>
        <w:bidi/>
        <w:rPr>
          <w:rFonts w:ascii="Narkisim" w:hAnsi="Narkisim" w:cs="Narkisim"/>
        </w:rPr>
      </w:pPr>
      <w:r w:rsidRPr="00440CAB">
        <w:rPr>
          <w:rFonts w:ascii="Narkisim" w:hAnsi="Narkisim" w:cs="Narkisim"/>
          <w:u w:val="single"/>
          <w:rtl/>
        </w:rPr>
        <w:t>גזרו על הבשר מפני המתנות.</w:t>
      </w:r>
      <w:r w:rsidRPr="00440CAB">
        <w:rPr>
          <w:rFonts w:ascii="Narkisim" w:hAnsi="Narkisim" w:cs="Narkisim"/>
          <w:rtl/>
        </w:rPr>
        <w:t xml:space="preserve"> ב</w:t>
      </w:r>
      <w:r w:rsidRPr="00440CAB">
        <w:rPr>
          <w:rFonts w:ascii="Narkisim" w:hAnsi="Narkisim" w:cs="Narkisim"/>
          <w:b/>
          <w:bCs/>
          <w:rtl/>
        </w:rPr>
        <w:t>חי' ר"א מן ההר</w:t>
      </w:r>
      <w:r w:rsidRPr="00440CAB">
        <w:rPr>
          <w:rFonts w:ascii="Narkisim" w:hAnsi="Narkisim" w:cs="Narkisim"/>
          <w:rtl/>
        </w:rPr>
        <w:t xml:space="preserve"> הוכיח מכאן דמתנות כהונה [זרוע ולחיים וקיבה] נוהגת אף בחו"ל. וכן הביא ה</w:t>
      </w:r>
      <w:r w:rsidRPr="00440CAB">
        <w:rPr>
          <w:rFonts w:ascii="Narkisim" w:hAnsi="Narkisim" w:cs="Narkisim"/>
          <w:b/>
          <w:bCs/>
          <w:rtl/>
        </w:rPr>
        <w:t>רמב"ן</w:t>
      </w:r>
      <w:r w:rsidRPr="00440CAB">
        <w:rPr>
          <w:rFonts w:ascii="Narkisim" w:hAnsi="Narkisim" w:cs="Narkisim"/>
          <w:rtl/>
        </w:rPr>
        <w:t xml:space="preserve"> (חולין קלו:). אבל דעת </w:t>
      </w:r>
      <w:r w:rsidRPr="00440CAB">
        <w:rPr>
          <w:rFonts w:ascii="Narkisim" w:hAnsi="Narkisim" w:cs="Narkisim"/>
          <w:b/>
          <w:bCs/>
          <w:rtl/>
        </w:rPr>
        <w:t>רש"י</w:t>
      </w:r>
      <w:r w:rsidRPr="00440CAB">
        <w:rPr>
          <w:rFonts w:ascii="Narkisim" w:hAnsi="Narkisim" w:cs="Narkisim"/>
          <w:rtl/>
        </w:rPr>
        <w:t xml:space="preserve"> ו</w:t>
      </w:r>
      <w:r w:rsidRPr="00440CAB">
        <w:rPr>
          <w:rFonts w:ascii="Narkisim" w:hAnsi="Narkisim" w:cs="Narkisim"/>
          <w:b/>
          <w:bCs/>
          <w:rtl/>
        </w:rPr>
        <w:t>תוס'</w:t>
      </w:r>
      <w:r w:rsidRPr="00440CAB">
        <w:rPr>
          <w:rFonts w:ascii="Narkisim" w:hAnsi="Narkisim" w:cs="Narkisim"/>
          <w:rtl/>
        </w:rPr>
        <w:t xml:space="preserve"> (חולין שם) דלר' אלעאי אינו נוהג בחו"ל, והו' מח' ב</w:t>
      </w:r>
      <w:r w:rsidRPr="00440CAB">
        <w:rPr>
          <w:rFonts w:ascii="Narkisim" w:hAnsi="Narkisim" w:cs="Narkisim"/>
          <w:b/>
          <w:bCs/>
          <w:rtl/>
        </w:rPr>
        <w:t>שו"ע</w:t>
      </w:r>
      <w:r w:rsidRPr="00440CAB">
        <w:rPr>
          <w:rFonts w:ascii="Narkisim" w:hAnsi="Narkisim" w:cs="Narkisim"/>
          <w:rtl/>
        </w:rPr>
        <w:t xml:space="preserve"> (יו"ד סא כא)</w:t>
      </w:r>
      <w:r w:rsidRPr="00440CAB">
        <w:rPr>
          <w:rStyle w:val="ac"/>
          <w:rFonts w:ascii="Narkisim" w:hAnsi="Narkisim" w:cs="Narkisim"/>
          <w:rtl/>
        </w:rPr>
        <w:footnoteReference w:id="3807"/>
      </w:r>
      <w:r w:rsidRPr="00440CAB">
        <w:rPr>
          <w:rFonts w:ascii="Narkisim" w:hAnsi="Narkisim" w:cs="Narkisim"/>
          <w:rtl/>
        </w:rPr>
        <w:t>.</w:t>
      </w:r>
    </w:p>
    <w:p w14:paraId="167E7CC6" w14:textId="77777777" w:rsidR="006074A5" w:rsidRPr="00440CAB" w:rsidRDefault="006074A5" w:rsidP="006074A5">
      <w:pPr>
        <w:pStyle w:val="aa"/>
        <w:bidi/>
        <w:rPr>
          <w:rFonts w:ascii="Narkisim" w:hAnsi="Narkisim"/>
        </w:rPr>
      </w:pPr>
      <w:r w:rsidRPr="00440CAB">
        <w:rPr>
          <w:rFonts w:ascii="Narkisim" w:hAnsi="Narkisim"/>
          <w:u w:val="single"/>
          <w:rtl/>
        </w:rPr>
        <w:t>ומה אעשה שנפשי חשקה בתורה.</w:t>
      </w:r>
      <w:r w:rsidRPr="00440CAB">
        <w:rPr>
          <w:rFonts w:ascii="Narkisim" w:hAnsi="Narkisim"/>
          <w:rtl/>
        </w:rPr>
        <w:t xml:space="preserve"> ב</w:t>
      </w:r>
      <w:r w:rsidRPr="00440CAB">
        <w:rPr>
          <w:rFonts w:ascii="Narkisim" w:hAnsi="Narkisim"/>
          <w:b/>
          <w:bCs/>
          <w:rtl/>
        </w:rPr>
        <w:t>חי' ר"א מן ההר</w:t>
      </w:r>
      <w:r w:rsidRPr="00440CAB">
        <w:rPr>
          <w:rFonts w:ascii="Narkisim" w:hAnsi="Narkisim"/>
          <w:rtl/>
        </w:rPr>
        <w:t xml:space="preserve"> כת' שאין יצרי מתגבר עלי שאני מתעסק במצוה, ומפני חשק התורה אין לי הרהור. [וצ"ב דלפ"ז לא השיב כלל כלפי מצוות פר"ו]. אבל אם יש לו הרהור ישא אשה.</w:t>
      </w:r>
    </w:p>
    <w:p w14:paraId="0D856FC1" w14:textId="77777777" w:rsidR="006074A5" w:rsidRPr="00440CAB" w:rsidRDefault="006074A5" w:rsidP="006074A5">
      <w:pPr>
        <w:bidi/>
        <w:rPr>
          <w:rFonts w:ascii="Narkisim" w:hAnsi="Narkisim" w:cs="Narkisim"/>
        </w:rPr>
      </w:pPr>
      <w:r w:rsidRPr="00440CAB">
        <w:rPr>
          <w:rFonts w:ascii="Narkisim" w:hAnsi="Narkisim" w:cs="Narkisim"/>
          <w:rtl/>
        </w:rPr>
        <w:t>ה</w:t>
      </w:r>
      <w:r w:rsidRPr="00440CAB">
        <w:rPr>
          <w:rFonts w:ascii="Narkisim" w:hAnsi="Narkisim" w:cs="Narkisim"/>
          <w:b/>
          <w:bCs/>
          <w:rtl/>
        </w:rPr>
        <w:t>רמב"ם</w:t>
      </w:r>
      <w:r w:rsidRPr="00440CAB">
        <w:rPr>
          <w:rFonts w:ascii="Narkisim" w:hAnsi="Narkisim" w:cs="Narkisim"/>
          <w:sz w:val="20"/>
          <w:szCs w:val="20"/>
          <w:rtl/>
        </w:rPr>
        <w:t xml:space="preserve"> (אישות טו ג)</w:t>
      </w:r>
      <w:r w:rsidRPr="00440CAB">
        <w:rPr>
          <w:rFonts w:ascii="Narkisim" w:hAnsi="Narkisim" w:cs="Narkisim"/>
          <w:rtl/>
        </w:rPr>
        <w:t xml:space="preserve"> פסק דמי שנפשו חשקה בתורה תמיד כבן עזאי ונדבק בה כל ימיו אין בידו עוון, והוא שלא יהא יצרו מתגבר עליו לבא לידי הרהור</w:t>
      </w:r>
      <w:r w:rsidRPr="00440CAB">
        <w:rPr>
          <w:rStyle w:val="ac"/>
          <w:rFonts w:ascii="Narkisim" w:hAnsi="Narkisim" w:cs="Narkisim"/>
          <w:rtl/>
        </w:rPr>
        <w:footnoteReference w:id="3808"/>
      </w:r>
      <w:r w:rsidRPr="00440CAB">
        <w:rPr>
          <w:rFonts w:ascii="Narkisim" w:hAnsi="Narkisim" w:cs="Narkisim"/>
          <w:rtl/>
        </w:rPr>
        <w:t xml:space="preserve">. </w:t>
      </w:r>
      <w:r w:rsidRPr="00440CAB">
        <w:rPr>
          <w:rFonts w:ascii="Narkisim" w:hAnsi="Narkisim" w:cs="Narkisim"/>
          <w:sz w:val="20"/>
          <w:szCs w:val="20"/>
          <w:rtl/>
        </w:rPr>
        <w:t>[ו</w:t>
      </w:r>
      <w:r w:rsidRPr="00440CAB">
        <w:rPr>
          <w:rFonts w:ascii="Narkisim" w:hAnsi="Narkisim" w:cs="Narkisim"/>
          <w:b/>
          <w:bCs/>
          <w:sz w:val="20"/>
          <w:szCs w:val="20"/>
          <w:rtl/>
        </w:rPr>
        <w:t>ה"ה</w:t>
      </w:r>
      <w:r w:rsidRPr="00440CAB">
        <w:rPr>
          <w:rFonts w:ascii="Narkisim" w:hAnsi="Narkisim" w:cs="Narkisim"/>
          <w:sz w:val="20"/>
          <w:szCs w:val="20"/>
          <w:rtl/>
        </w:rPr>
        <w:t xml:space="preserve"> ביאר דס"ל דקיבלו חכמים תשובתו].</w:t>
      </w:r>
      <w:r w:rsidRPr="00440CAB">
        <w:rPr>
          <w:rFonts w:ascii="Narkisim" w:hAnsi="Narkisim" w:cs="Narkisim"/>
          <w:rtl/>
        </w:rPr>
        <w:t xml:space="preserve"> וה</w:t>
      </w:r>
      <w:r w:rsidRPr="00440CAB">
        <w:rPr>
          <w:rFonts w:ascii="Narkisim" w:hAnsi="Narkisim" w:cs="Narkisim"/>
          <w:b/>
          <w:bCs/>
          <w:rtl/>
        </w:rPr>
        <w:t>ריטב"א</w:t>
      </w:r>
      <w:r w:rsidRPr="00440CAB">
        <w:rPr>
          <w:rFonts w:ascii="Narkisim" w:hAnsi="Narkisim" w:cs="Narkisim"/>
          <w:rtl/>
        </w:rPr>
        <w:t xml:space="preserve"> הביא בשם </w:t>
      </w:r>
      <w:r w:rsidRPr="00440CAB">
        <w:rPr>
          <w:rFonts w:ascii="Narkisim" w:hAnsi="Narkisim" w:cs="Narkisim"/>
          <w:b/>
          <w:bCs/>
          <w:rtl/>
        </w:rPr>
        <w:t>תוס</w:t>
      </w:r>
      <w:r w:rsidRPr="00440CAB">
        <w:rPr>
          <w:rFonts w:ascii="Narkisim" w:hAnsi="Narkisim" w:cs="Narkisim"/>
          <w:rtl/>
        </w:rPr>
        <w:t>' דאין בדורות הללו מי שיוכל להיות כבן עזאי. ומ"מ הביא בשם ה</w:t>
      </w:r>
      <w:r w:rsidRPr="00440CAB">
        <w:rPr>
          <w:rFonts w:ascii="Narkisim" w:hAnsi="Narkisim" w:cs="Narkisim"/>
          <w:b/>
          <w:bCs/>
          <w:rtl/>
        </w:rPr>
        <w:t>רמב"ן</w:t>
      </w:r>
      <w:r w:rsidRPr="00440CAB">
        <w:rPr>
          <w:rFonts w:ascii="Narkisim" w:hAnsi="Narkisim" w:cs="Narkisim"/>
          <w:rtl/>
        </w:rPr>
        <w:t xml:space="preserve"> דאם קיים פר"ו ונפשו חשקה בתורה לגמרי, ורוצה לאכול או לשתות דבר של עיקור כדי שלא יתבטל מתורתו מותר, דההוא דר' יהושע מצוה דרבנן היא. </w:t>
      </w:r>
      <w:r w:rsidRPr="00440CAB">
        <w:rPr>
          <w:rFonts w:ascii="Narkisim" w:hAnsi="Narkisim" w:cs="Narkisim"/>
          <w:sz w:val="20"/>
          <w:szCs w:val="20"/>
          <w:rtl/>
        </w:rPr>
        <w:t>וה</w:t>
      </w:r>
      <w:r w:rsidRPr="00440CAB">
        <w:rPr>
          <w:rFonts w:ascii="Narkisim" w:hAnsi="Narkisim" w:cs="Narkisim"/>
          <w:b/>
          <w:bCs/>
          <w:sz w:val="20"/>
          <w:szCs w:val="20"/>
          <w:rtl/>
        </w:rPr>
        <w:t>ברכי יוסף</w:t>
      </w:r>
      <w:r w:rsidRPr="00440CAB">
        <w:rPr>
          <w:rFonts w:ascii="Narkisim" w:hAnsi="Narkisim" w:cs="Narkisim"/>
          <w:sz w:val="20"/>
          <w:szCs w:val="20"/>
          <w:rtl/>
        </w:rPr>
        <w:t xml:space="preserve"> (אה"ע ה יג) תמה דמבואר (שבת קי:) דאסור [מדאורייתא] לשתות כוס עיקרין דהוה בכלל איסור סירוס</w:t>
      </w:r>
      <w:r w:rsidRPr="00440CAB">
        <w:rPr>
          <w:rStyle w:val="ac"/>
          <w:rFonts w:ascii="Narkisim" w:hAnsi="Narkisim" w:cs="Narkisim"/>
          <w:sz w:val="20"/>
          <w:szCs w:val="20"/>
          <w:rtl/>
        </w:rPr>
        <w:footnoteReference w:id="3809"/>
      </w:r>
      <w:r w:rsidRPr="00440CAB">
        <w:rPr>
          <w:rFonts w:ascii="Narkisim" w:hAnsi="Narkisim" w:cs="Narkisim"/>
          <w:sz w:val="20"/>
          <w:szCs w:val="20"/>
          <w:rtl/>
        </w:rPr>
        <w:t>. וכתב דע"כ כוונת הריטב"א לדבר שעושהו עקר לזמן</w:t>
      </w:r>
      <w:r w:rsidRPr="00440CAB">
        <w:rPr>
          <w:rFonts w:ascii="Narkisim" w:hAnsi="Narkisim" w:cs="Narkisim"/>
          <w:rtl/>
        </w:rPr>
        <w:t>.</w:t>
      </w:r>
    </w:p>
    <w:p w14:paraId="531CFEF4"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(שם ב) כתב דאם היה עוסק בתורה וטרוד בה והיה מתירא לישא אשה כדי שלא יטרד במזונות ויבטל מן התורה הרי זה מותר להתאחר [ע"פ הגמ' קידושין כט:</w:t>
      </w:r>
      <w:r w:rsidRPr="00440CAB">
        <w:rPr>
          <w:rStyle w:val="ac"/>
          <w:rFonts w:ascii="Narkisim" w:hAnsi="Narkisim"/>
          <w:rtl/>
        </w:rPr>
        <w:footnoteReference w:id="3810"/>
      </w:r>
      <w:r w:rsidRPr="00440CAB">
        <w:rPr>
          <w:rFonts w:ascii="Narkisim" w:hAnsi="Narkisim"/>
          <w:rtl/>
        </w:rPr>
        <w:t xml:space="preserve">], שהעוסק במצוה פטור מהמצוה, וכ"ש בתלמוד </w:t>
      </w:r>
      <w:r w:rsidRPr="00440CAB">
        <w:rPr>
          <w:rFonts w:ascii="Narkisim" w:hAnsi="Narkisim"/>
          <w:rtl/>
        </w:rPr>
        <w:lastRenderedPageBreak/>
        <w:t>תורה. וה</w:t>
      </w:r>
      <w:r w:rsidRPr="00440CAB">
        <w:rPr>
          <w:rFonts w:ascii="Narkisim" w:hAnsi="Narkisim"/>
          <w:b/>
          <w:bCs/>
          <w:rtl/>
        </w:rPr>
        <w:t>אחרונים</w:t>
      </w:r>
      <w:r w:rsidRPr="00440CAB">
        <w:rPr>
          <w:rFonts w:ascii="Narkisim" w:hAnsi="Narkisim"/>
          <w:rtl/>
        </w:rPr>
        <w:t xml:space="preserve"> הקשו דלגבי מצוות תלמוד תורה לא אמרי' העוסק במצוה פטור מהמצוה [כדאמרי' במו"ק ט].</w:t>
      </w:r>
    </w:p>
    <w:p w14:paraId="1A6DA731"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גר"ז</w:t>
      </w:r>
      <w:r w:rsidRPr="00440CAB">
        <w:rPr>
          <w:rFonts w:ascii="Narkisim" w:hAnsi="Narkisim"/>
          <w:rtl/>
        </w:rPr>
        <w:t xml:space="preserve"> (הל' ת"ת ג קו"א) תי' דלימוד התורה נדחית לפי שעה מפני המצוות, ואח"כ חוזר לתלמודו. אבל לישא אשה יכול לבא לידי שכחת התורה, דריחים בצוארו יבטלנו תמידי. וידיעת התורה אינה נדחית מפני מצווה זו. וה</w:t>
      </w:r>
      <w:r w:rsidRPr="00440CAB">
        <w:rPr>
          <w:rFonts w:ascii="Narkisim" w:hAnsi="Narkisim"/>
          <w:b/>
          <w:bCs/>
          <w:rtl/>
        </w:rPr>
        <w:t>קובה"ע</w:t>
      </w:r>
      <w:r w:rsidRPr="00440CAB">
        <w:rPr>
          <w:rFonts w:ascii="Narkisim" w:hAnsi="Narkisim"/>
          <w:rtl/>
        </w:rPr>
        <w:t xml:space="preserve"> (הוספ' א) כתב דהרמב"ם קאי לענין להתאחר</w:t>
      </w:r>
      <w:r w:rsidRPr="00440CAB">
        <w:rPr>
          <w:rStyle w:val="ac"/>
          <w:rFonts w:ascii="Narkisim" w:hAnsi="Narkisim"/>
          <w:rtl/>
        </w:rPr>
        <w:footnoteReference w:id="3811"/>
      </w:r>
      <w:r w:rsidRPr="00440CAB">
        <w:rPr>
          <w:rFonts w:ascii="Narkisim" w:hAnsi="Narkisim"/>
          <w:rtl/>
        </w:rPr>
        <w:t>, וכיון דיקיים לאחר זמן הו"ל כמצוה שאפשר ע"י אחרים</w:t>
      </w:r>
      <w:r w:rsidRPr="00440CAB">
        <w:rPr>
          <w:rStyle w:val="ac"/>
          <w:rFonts w:ascii="Narkisim" w:hAnsi="Narkisim"/>
          <w:rtl/>
        </w:rPr>
        <w:footnoteReference w:id="3812"/>
      </w:r>
      <w:r w:rsidRPr="00440CAB">
        <w:rPr>
          <w:rFonts w:ascii="Narkisim" w:hAnsi="Narkisim"/>
          <w:rtl/>
        </w:rPr>
        <w:t>. והקובה"ע הקשה דהרמב"ם פסק אף מי שנפשו חשק לעולם כבן עזאי. ותי' דבן עזאי נחשב אונס</w:t>
      </w:r>
      <w:r w:rsidRPr="00440CAB">
        <w:rPr>
          <w:rStyle w:val="ac"/>
          <w:rFonts w:ascii="Narkisim" w:hAnsi="Narkisim"/>
          <w:rtl/>
        </w:rPr>
        <w:footnoteReference w:id="3813"/>
      </w:r>
      <w:r w:rsidRPr="00440CAB">
        <w:rPr>
          <w:rFonts w:ascii="Narkisim" w:hAnsi="Narkisim"/>
          <w:rtl/>
        </w:rPr>
        <w:t>, דנפשו חשקה בתורה [וכלשון הרמב"ם דאין בידו עוון].</w:t>
      </w:r>
    </w:p>
    <w:p w14:paraId="7BB3C063" w14:textId="77777777" w:rsidR="006074A5" w:rsidRPr="00440CAB" w:rsidRDefault="006074A5" w:rsidP="006074A5">
      <w:pPr>
        <w:pStyle w:val="3"/>
        <w:bidi/>
        <w:rPr>
          <w:rFonts w:ascii="Narkisim" w:hAnsi="Narkisim"/>
        </w:rPr>
      </w:pPr>
      <w:r w:rsidRPr="00440CAB">
        <w:rPr>
          <w:rFonts w:ascii="Narkisim" w:hAnsi="Narkisim"/>
          <w:rtl/>
        </w:rPr>
        <w:t>דף סד.</w:t>
      </w:r>
    </w:p>
    <w:p w14:paraId="39E8A202" w14:textId="77777777" w:rsidR="006074A5" w:rsidRPr="00440CAB" w:rsidRDefault="006074A5" w:rsidP="006074A5">
      <w:pPr>
        <w:pStyle w:val="aa"/>
        <w:bidi/>
        <w:rPr>
          <w:rFonts w:ascii="Narkisim" w:hAnsi="Narkisim"/>
        </w:rPr>
      </w:pPr>
      <w:r w:rsidRPr="00440CAB">
        <w:rPr>
          <w:rFonts w:ascii="Narkisim" w:hAnsi="Narkisim"/>
          <w:u w:val="single"/>
          <w:rtl/>
        </w:rPr>
        <w:t>אבא חנן אמר וכו' חייב מיתה, שנאמר ובנים לא היו להם וכו'</w:t>
      </w:r>
      <w:r w:rsidRPr="00440CAB">
        <w:rPr>
          <w:rFonts w:ascii="Narkisim" w:hAnsi="Narkisim"/>
          <w:rtl/>
        </w:rPr>
        <w:t>. המפרשים ציינו דנאמרו כמה טעמים אחרים</w:t>
      </w:r>
      <w:r w:rsidRPr="00440CAB">
        <w:rPr>
          <w:rStyle w:val="ac"/>
          <w:rFonts w:ascii="Narkisim" w:hAnsi="Narkisim"/>
          <w:rtl/>
        </w:rPr>
        <w:footnoteReference w:id="3814"/>
      </w:r>
      <w:r w:rsidRPr="00440CAB">
        <w:rPr>
          <w:rFonts w:ascii="Narkisim" w:hAnsi="Narkisim"/>
          <w:rtl/>
        </w:rPr>
        <w:t xml:space="preserve"> במיתת בני אהרן.</w:t>
      </w:r>
    </w:p>
    <w:p w14:paraId="2C9BECF0" w14:textId="77777777" w:rsidR="006074A5" w:rsidRPr="00440CAB" w:rsidRDefault="006074A5" w:rsidP="006074A5">
      <w:pPr>
        <w:pStyle w:val="a8"/>
        <w:bidi/>
        <w:rPr>
          <w:rFonts w:ascii="Narkisim" w:hAnsi="Narkisim"/>
        </w:rPr>
      </w:pPr>
      <w:r w:rsidRPr="00440CAB">
        <w:rPr>
          <w:rFonts w:ascii="Narkisim" w:hAnsi="Narkisim"/>
          <w:rtl/>
        </w:rPr>
        <w:t>ה</w:t>
      </w:r>
      <w:r w:rsidRPr="00440CAB">
        <w:rPr>
          <w:rFonts w:ascii="Narkisim" w:hAnsi="Narkisim"/>
          <w:b/>
          <w:bCs/>
          <w:rtl/>
        </w:rPr>
        <w:t>ב"י</w:t>
      </w:r>
      <w:r w:rsidRPr="00440CAB">
        <w:rPr>
          <w:rFonts w:ascii="Narkisim" w:hAnsi="Narkisim"/>
          <w:rtl/>
        </w:rPr>
        <w:t xml:space="preserve"> (א) כת' דלא ידע למה השמיטו הטור. וה</w:t>
      </w:r>
      <w:r w:rsidRPr="00440CAB">
        <w:rPr>
          <w:rFonts w:ascii="Narkisim" w:hAnsi="Narkisim"/>
          <w:b/>
          <w:bCs/>
          <w:rtl/>
        </w:rPr>
        <w:t>ב"ח</w:t>
      </w:r>
      <w:r w:rsidRPr="00440CAB">
        <w:rPr>
          <w:rFonts w:ascii="Narkisim" w:hAnsi="Narkisim"/>
          <w:rtl/>
        </w:rPr>
        <w:t xml:space="preserve"> (שם) כת' דנח' הברייתות בדעת ר"א, וה</w:t>
      </w:r>
      <w:r w:rsidRPr="00440CAB">
        <w:rPr>
          <w:rFonts w:ascii="Narkisim" w:hAnsi="Narkisim"/>
          <w:b/>
          <w:bCs/>
          <w:rtl/>
        </w:rPr>
        <w:t>טור</w:t>
      </w:r>
      <w:r w:rsidRPr="00440CAB">
        <w:rPr>
          <w:rFonts w:ascii="Narkisim" w:hAnsi="Narkisim"/>
          <w:rtl/>
        </w:rPr>
        <w:t xml:space="preserve"> פסק כברייתא (סג:) דכאילו שופך דמים. משמע דלא ס"ל דחייב מיתה</w:t>
      </w:r>
      <w:r w:rsidRPr="00440CAB">
        <w:rPr>
          <w:rStyle w:val="ac"/>
          <w:rFonts w:ascii="Narkisim" w:hAnsi="Narkisim"/>
          <w:rtl/>
        </w:rPr>
        <w:footnoteReference w:id="3815"/>
      </w:r>
      <w:r w:rsidRPr="00440CAB">
        <w:rPr>
          <w:rFonts w:ascii="Narkisim" w:hAnsi="Narkisim"/>
          <w:rtl/>
        </w:rPr>
        <w:t>.</w:t>
      </w:r>
    </w:p>
    <w:p w14:paraId="74DD6E3A" w14:textId="77777777" w:rsidR="006074A5" w:rsidRPr="00440CAB" w:rsidRDefault="006074A5" w:rsidP="006074A5">
      <w:pPr>
        <w:pStyle w:val="aa"/>
        <w:bidi/>
        <w:rPr>
          <w:rFonts w:ascii="Narkisim" w:hAnsi="Narkisim"/>
        </w:rPr>
      </w:pPr>
      <w:r w:rsidRPr="00440CAB">
        <w:rPr>
          <w:rFonts w:ascii="Narkisim" w:hAnsi="Narkisim"/>
          <w:u w:val="single"/>
          <w:rtl/>
        </w:rPr>
        <w:t>פחות מב' אלפים וב' רבבות.</w:t>
      </w:r>
      <w:r w:rsidRPr="00440CAB">
        <w:rPr>
          <w:rFonts w:ascii="Narkisim" w:hAnsi="Narkisim"/>
          <w:rtl/>
        </w:rPr>
        <w:t xml:space="preserve"> היינו כ"ב אלף. וב</w:t>
      </w:r>
      <w:r w:rsidRPr="00440CAB">
        <w:rPr>
          <w:rFonts w:ascii="Narkisim" w:hAnsi="Narkisim"/>
          <w:b/>
          <w:bCs/>
          <w:rtl/>
        </w:rPr>
        <w:t>שיטמ"ק</w:t>
      </w:r>
      <w:r w:rsidRPr="00440CAB">
        <w:rPr>
          <w:rFonts w:ascii="Narkisim" w:hAnsi="Narkisim"/>
          <w:rtl/>
        </w:rPr>
        <w:t xml:space="preserve"> (ב"ק פג. בשם </w:t>
      </w:r>
      <w:r w:rsidRPr="00440CAB">
        <w:rPr>
          <w:rFonts w:ascii="Narkisim" w:hAnsi="Narkisim"/>
          <w:b/>
          <w:bCs/>
          <w:rtl/>
        </w:rPr>
        <w:t>ר' ישעיה</w:t>
      </w:r>
      <w:r w:rsidRPr="00440CAB">
        <w:rPr>
          <w:rFonts w:ascii="Narkisim" w:hAnsi="Narkisim"/>
          <w:rtl/>
        </w:rPr>
        <w:t>) כתב דכן היו מנין הלוים. ועוד הביא גירסא ב' אלפים רבבות, כמו שהיו בדור המדבר בין נשים לטף</w:t>
      </w:r>
      <w:r w:rsidRPr="00440CAB">
        <w:rPr>
          <w:rStyle w:val="ac"/>
          <w:rFonts w:ascii="Narkisim" w:hAnsi="Narkisim"/>
          <w:rtl/>
        </w:rPr>
        <w:footnoteReference w:id="3816"/>
      </w:r>
      <w:r w:rsidRPr="00440CAB">
        <w:rPr>
          <w:rFonts w:ascii="Narkisim" w:hAnsi="Narkisim"/>
          <w:rtl/>
        </w:rPr>
        <w:t>, אבל מבני כ' ומעלה הוה ס' רבוא.</w:t>
      </w:r>
    </w:p>
    <w:p w14:paraId="6DDAAC5E" w14:textId="77777777" w:rsidR="006074A5" w:rsidRPr="00440CAB" w:rsidRDefault="006074A5" w:rsidP="006074A5">
      <w:pPr>
        <w:pStyle w:val="2"/>
        <w:bidi/>
        <w:rPr>
          <w:rFonts w:ascii="Narkisim" w:hAnsi="Narkisim"/>
        </w:rPr>
      </w:pPr>
      <w:r w:rsidRPr="00440CAB">
        <w:rPr>
          <w:rFonts w:ascii="Narkisim" w:hAnsi="Narkisim"/>
          <w:rtl/>
        </w:rPr>
        <w:t>שהה י' שנים</w:t>
      </w:r>
    </w:p>
    <w:p w14:paraId="79137161" w14:textId="77777777" w:rsidR="006074A5" w:rsidRPr="00440CAB" w:rsidRDefault="006074A5" w:rsidP="006074A5">
      <w:pPr>
        <w:bidi/>
        <w:rPr>
          <w:rFonts w:ascii="Narkisim" w:hAnsi="Narkisim" w:cs="Narkisim"/>
        </w:rPr>
      </w:pPr>
      <w:r w:rsidRPr="00440CAB">
        <w:rPr>
          <w:rFonts w:ascii="Narkisim" w:hAnsi="Narkisim" w:cs="Narkisim"/>
          <w:u w:val="single"/>
          <w:rtl/>
        </w:rPr>
        <w:t>ולא ילדה אינו רשאי לבטל.</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כתב דאם ילדה אפי' א' אין כופין להוציא, ואע"פ שלא קיים מצוות פר"ו כשאין לו ב' בנים</w:t>
      </w:r>
      <w:r w:rsidRPr="00440CAB">
        <w:rPr>
          <w:rStyle w:val="ac"/>
          <w:rFonts w:ascii="Narkisim" w:hAnsi="Narkisim" w:cs="Narkisim"/>
          <w:rtl/>
        </w:rPr>
        <w:footnoteReference w:id="3817"/>
      </w:r>
      <w:r w:rsidRPr="00440CAB">
        <w:rPr>
          <w:rFonts w:ascii="Narkisim" w:hAnsi="Narkisim" w:cs="Narkisim"/>
          <w:rtl/>
        </w:rPr>
        <w:t>. אבל ה</w:t>
      </w:r>
      <w:r w:rsidRPr="00440CAB">
        <w:rPr>
          <w:rFonts w:ascii="Narkisim" w:hAnsi="Narkisim" w:cs="Narkisim"/>
          <w:b/>
          <w:bCs/>
          <w:rtl/>
        </w:rPr>
        <w:t>רשב"א</w:t>
      </w:r>
      <w:r w:rsidRPr="00440CAB">
        <w:rPr>
          <w:rFonts w:ascii="Narkisim" w:hAnsi="Narkisim" w:cs="Narkisim"/>
          <w:rtl/>
        </w:rPr>
        <w:t xml:space="preserve"> הביא צד דאפשר דשלא ילדה שיעור פר"ו קאמר, וארישא סמיך.</w:t>
      </w:r>
    </w:p>
    <w:p w14:paraId="79F19158"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(ונמוק"י) כת' דאם ילדה כולם זכרים או כולם נקיבות אין כופין להוציא. דמאן לימא לן דהאשה האחרת תלד זכר</w:t>
      </w:r>
      <w:r w:rsidRPr="00440CAB">
        <w:rPr>
          <w:rStyle w:val="ac"/>
          <w:rFonts w:ascii="Narkisim" w:hAnsi="Narkisim"/>
          <w:rtl/>
        </w:rPr>
        <w:footnoteReference w:id="3818"/>
      </w:r>
      <w:r w:rsidRPr="00440CAB">
        <w:rPr>
          <w:rFonts w:ascii="Narkisim" w:hAnsi="Narkisim"/>
          <w:rtl/>
        </w:rPr>
        <w:t>.</w:t>
      </w:r>
    </w:p>
    <w:p w14:paraId="4361C798"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ריב"ש</w:t>
      </w:r>
      <w:r w:rsidRPr="00440CAB">
        <w:rPr>
          <w:rFonts w:ascii="Narkisim" w:hAnsi="Narkisim"/>
          <w:rtl/>
        </w:rPr>
        <w:t xml:space="preserve"> (טו) כתב דאף לדעת הרמב"ן, היינו לענין דאין כופין להוציא בי' שנים דלא הוחזקה בכך עקרה ואפשר שתלד עוד, שכבר זכתה ליבנות ממנו. אבל זקינה שאין לה תקנה כופין להוציא.</w:t>
      </w:r>
    </w:p>
    <w:p w14:paraId="1932D7FB" w14:textId="77777777" w:rsidR="006074A5" w:rsidRPr="00440CAB" w:rsidRDefault="006074A5" w:rsidP="006074A5">
      <w:pPr>
        <w:bidi/>
        <w:rPr>
          <w:rFonts w:ascii="Narkisim" w:hAnsi="Narkisim" w:cs="Narkisim"/>
        </w:rPr>
      </w:pPr>
      <w:r w:rsidRPr="00440CAB">
        <w:rPr>
          <w:rFonts w:ascii="Narkisim" w:hAnsi="Narkisim" w:cs="Narkisim"/>
          <w:u w:val="single"/>
          <w:rtl/>
        </w:rPr>
        <w:t>אם הפילה מונה משעה שהפילה.</w:t>
      </w:r>
      <w:r w:rsidRPr="00440CAB">
        <w:rPr>
          <w:rFonts w:ascii="Narkisim" w:hAnsi="Narkisim" w:cs="Narkisim"/>
          <w:rtl/>
        </w:rPr>
        <w:t xml:space="preserve"> ה</w:t>
      </w:r>
      <w:r w:rsidRPr="00440CAB">
        <w:rPr>
          <w:rFonts w:ascii="Narkisim" w:hAnsi="Narkisim" w:cs="Narkisim"/>
          <w:b/>
          <w:bCs/>
          <w:rtl/>
        </w:rPr>
        <w:t>ראשונים</w:t>
      </w:r>
      <w:r w:rsidRPr="00440CAB">
        <w:rPr>
          <w:rFonts w:ascii="Narkisim" w:hAnsi="Narkisim" w:cs="Narkisim"/>
          <w:rtl/>
        </w:rPr>
        <w:t xml:space="preserve"> הביאו בשם ה</w:t>
      </w:r>
      <w:r w:rsidRPr="00440CAB">
        <w:rPr>
          <w:rFonts w:ascii="Narkisim" w:hAnsi="Narkisim" w:cs="Narkisim"/>
          <w:b/>
          <w:bCs/>
          <w:rtl/>
        </w:rPr>
        <w:t>ירושלמי</w:t>
      </w:r>
      <w:r w:rsidRPr="00440CAB">
        <w:rPr>
          <w:rFonts w:ascii="Narkisim" w:hAnsi="Narkisim" w:cs="Narkisim"/>
          <w:rtl/>
        </w:rPr>
        <w:t xml:space="preserve"> דה"ה אם היו ומתו, דמונה משעה שמתו.</w:t>
      </w:r>
    </w:p>
    <w:p w14:paraId="4E946FC8" w14:textId="77777777" w:rsidR="006074A5" w:rsidRPr="00440CAB" w:rsidRDefault="006074A5" w:rsidP="006074A5">
      <w:pPr>
        <w:pStyle w:val="a7"/>
        <w:bidi/>
        <w:rPr>
          <w:rFonts w:ascii="Narkisim" w:hAnsi="Narkisim"/>
        </w:rPr>
      </w:pPr>
      <w:r w:rsidRPr="00440CAB">
        <w:rPr>
          <w:rFonts w:ascii="Narkisim" w:hAnsi="Narkisim"/>
          <w:rtl/>
        </w:rPr>
        <w:t>אבל ב</w:t>
      </w:r>
      <w:r w:rsidRPr="00440CAB">
        <w:rPr>
          <w:rFonts w:ascii="Narkisim" w:hAnsi="Narkisim"/>
          <w:b/>
          <w:bCs/>
          <w:rtl/>
        </w:rPr>
        <w:t>שו"ת הרשב"א</w:t>
      </w:r>
      <w:r w:rsidRPr="00440CAB">
        <w:rPr>
          <w:rFonts w:ascii="Narkisim" w:hAnsi="Narkisim"/>
          <w:rtl/>
        </w:rPr>
        <w:t xml:space="preserve"> (ג שלט) כתב דלא אמרו אלא שלא הוליד מעולם. אבל אם ילדה שדהו הוא שנסתחפה ולא יגרש. אלא יתעסק עד שילד או ישא אחרת עליה. ומשמע מדבריו דחייב לישא אחרת לקיים המצוה, אלא דיש פטור. </w:t>
      </w:r>
      <w:r w:rsidRPr="00440CAB">
        <w:rPr>
          <w:rFonts w:ascii="Narkisim" w:hAnsi="Narkisim"/>
          <w:szCs w:val="20"/>
          <w:rtl/>
        </w:rPr>
        <w:t>וצ"ב מה מהני סברת נסתחפה שדהו דאי"צ לגרש. וה</w:t>
      </w:r>
      <w:r w:rsidRPr="00440CAB">
        <w:rPr>
          <w:rFonts w:ascii="Narkisim" w:hAnsi="Narkisim"/>
          <w:b/>
          <w:bCs/>
          <w:szCs w:val="20"/>
          <w:rtl/>
        </w:rPr>
        <w:t>נוב"י</w:t>
      </w:r>
      <w:r w:rsidRPr="00440CAB">
        <w:rPr>
          <w:rFonts w:ascii="Narkisim" w:hAnsi="Narkisim"/>
          <w:szCs w:val="20"/>
          <w:rtl/>
        </w:rPr>
        <w:t xml:space="preserve"> (ת' קב) ביאר דכיון שילדה פעם אחת שוב אמרי' שתתרפא, ולכן אין כופין להוציא ויש לה כתובה. אבל מ"מ מצד המצוה הוא צריך לישא אחרת</w:t>
      </w:r>
      <w:r w:rsidRPr="00440CAB">
        <w:rPr>
          <w:rStyle w:val="ac"/>
          <w:rFonts w:ascii="Narkisim" w:hAnsi="Narkisim"/>
          <w:szCs w:val="20"/>
          <w:rtl/>
        </w:rPr>
        <w:footnoteReference w:id="3819"/>
      </w:r>
      <w:r w:rsidRPr="00440CAB">
        <w:rPr>
          <w:rFonts w:ascii="Narkisim" w:hAnsi="Narkisim"/>
          <w:szCs w:val="20"/>
          <w:rtl/>
        </w:rPr>
        <w:t>.</w:t>
      </w:r>
    </w:p>
    <w:p w14:paraId="2F911CF4" w14:textId="77777777" w:rsidR="006074A5" w:rsidRPr="00440CAB" w:rsidRDefault="006074A5" w:rsidP="006074A5">
      <w:pPr>
        <w:bidi/>
        <w:rPr>
          <w:rFonts w:ascii="Narkisim" w:hAnsi="Narkisim" w:cs="Narkisim"/>
        </w:rPr>
      </w:pPr>
      <w:r w:rsidRPr="00440CAB">
        <w:rPr>
          <w:rFonts w:ascii="Narkisim" w:hAnsi="Narkisim" w:cs="Narkisim"/>
          <w:u w:val="single"/>
          <w:rtl/>
        </w:rPr>
        <w:t>ת"ר וכו' יוציא ויתן כתובה.</w:t>
      </w:r>
      <w:r w:rsidRPr="00440CAB">
        <w:rPr>
          <w:rFonts w:ascii="Narkisim" w:hAnsi="Narkisim" w:cs="Narkisim"/>
          <w:rtl/>
        </w:rPr>
        <w:t xml:space="preserve"> ובגמ' (כתובות עז.) דעת רב דאין כופין להוציא, ודעת שמואל דכופין. ופ</w:t>
      </w:r>
      <w:r w:rsidRPr="00440CAB">
        <w:rPr>
          <w:rFonts w:ascii="Narkisim" w:hAnsi="Narkisim" w:cs="Narkisim"/>
          <w:b/>
          <w:bCs/>
          <w:rtl/>
        </w:rPr>
        <w:t>רש"י</w:t>
      </w:r>
      <w:r w:rsidRPr="00440CAB">
        <w:rPr>
          <w:rFonts w:ascii="Narkisim" w:hAnsi="Narkisim" w:cs="Narkisim"/>
          <w:rtl/>
        </w:rPr>
        <w:t xml:space="preserve"> (שם) ואף דיכול לישא אחרת, מדרבנן כופין דכל כמה דאיתא הא לגביה לא </w:t>
      </w:r>
      <w:r w:rsidRPr="00440CAB">
        <w:rPr>
          <w:rFonts w:ascii="Narkisim" w:hAnsi="Narkisim" w:cs="Narkisim"/>
          <w:rtl/>
        </w:rPr>
        <w:lastRenderedPageBreak/>
        <w:t>נסיב אחריתי.</w:t>
      </w:r>
      <w:r w:rsidRPr="00440CAB">
        <w:rPr>
          <w:rFonts w:ascii="Narkisim" w:hAnsi="Narkisim" w:cs="Narkisim"/>
          <w:sz w:val="20"/>
          <w:szCs w:val="20"/>
          <w:rtl/>
        </w:rPr>
        <w:t xml:space="preserve"> [ומבואר בגמ' שם שלא נכלל בשאר כופין להוציא [ע' תוס'], דהכא אפי' בהסכמתה לא שבקי', ואפי' אומר שיגור עמה עם עדים</w:t>
      </w:r>
      <w:r w:rsidRPr="00440CAB">
        <w:rPr>
          <w:rStyle w:val="ac"/>
          <w:rFonts w:ascii="Narkisim" w:hAnsi="Narkisim" w:cs="Narkisim"/>
          <w:sz w:val="20"/>
          <w:szCs w:val="20"/>
          <w:rtl/>
        </w:rPr>
        <w:footnoteReference w:id="3820"/>
      </w:r>
      <w:r w:rsidRPr="00440CAB">
        <w:rPr>
          <w:rFonts w:ascii="Narkisim" w:hAnsi="Narkisim" w:cs="Narkisim"/>
          <w:sz w:val="20"/>
          <w:szCs w:val="20"/>
          <w:rtl/>
        </w:rPr>
        <w:t>].</w:t>
      </w:r>
    </w:p>
    <w:p w14:paraId="6D10998D"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כת' ומיהו אם נשא אשה אחרת אין כופין אותו להוציא</w:t>
      </w:r>
      <w:r w:rsidRPr="00440CAB">
        <w:rPr>
          <w:rStyle w:val="ac"/>
          <w:rFonts w:ascii="Narkisim" w:hAnsi="Narkisim"/>
          <w:rtl/>
        </w:rPr>
        <w:footnoteReference w:id="3821"/>
      </w:r>
      <w:r w:rsidRPr="00440CAB">
        <w:rPr>
          <w:rFonts w:ascii="Narkisim" w:hAnsi="Narkisim"/>
          <w:rtl/>
        </w:rPr>
        <w:t xml:space="preserve">. וכן </w:t>
      </w:r>
      <w:r w:rsidRPr="00440CAB">
        <w:rPr>
          <w:rFonts w:ascii="Narkisim" w:hAnsi="Narkisim"/>
          <w:b/>
          <w:bCs/>
          <w:rtl/>
        </w:rPr>
        <w:t>רש"י</w:t>
      </w:r>
      <w:r w:rsidRPr="00440CAB">
        <w:rPr>
          <w:rFonts w:ascii="Narkisim" w:hAnsi="Narkisim"/>
          <w:rtl/>
        </w:rPr>
        <w:t xml:space="preserve"> (במשנה) כתב או ישא אחרת עמה. </w:t>
      </w:r>
      <w:r w:rsidRPr="00440CAB">
        <w:rPr>
          <w:rFonts w:ascii="Narkisim" w:hAnsi="Narkisim"/>
          <w:sz w:val="20"/>
          <w:szCs w:val="20"/>
          <w:rtl/>
        </w:rPr>
        <w:t>וה</w:t>
      </w:r>
      <w:r w:rsidRPr="00440CAB">
        <w:rPr>
          <w:rFonts w:ascii="Narkisim" w:hAnsi="Narkisim"/>
          <w:b/>
          <w:bCs/>
          <w:sz w:val="20"/>
          <w:szCs w:val="20"/>
          <w:rtl/>
        </w:rPr>
        <w:t>אחרונים</w:t>
      </w:r>
      <w:r w:rsidRPr="00440CAB">
        <w:rPr>
          <w:rFonts w:ascii="Narkisim" w:hAnsi="Narkisim"/>
          <w:sz w:val="20"/>
          <w:szCs w:val="20"/>
          <w:rtl/>
        </w:rPr>
        <w:t xml:space="preserve"> (ישרש יעקב) ביארו דכיון דנושא אשה אחרת מיד אין כופין להוציא. אבל כל זמן שלא נשא כופין להוציא.</w:t>
      </w:r>
    </w:p>
    <w:p w14:paraId="30DF990E"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ראשונים</w:t>
      </w:r>
      <w:r w:rsidRPr="00440CAB">
        <w:rPr>
          <w:rFonts w:ascii="Narkisim" w:hAnsi="Narkisim" w:cs="Narkisim"/>
          <w:rtl/>
        </w:rPr>
        <w:t xml:space="preserve"> הביאו דמבואר בסוגיין דכופין על מצוות פר"ו. וכ"כ ה</w:t>
      </w:r>
      <w:r w:rsidRPr="00440CAB">
        <w:rPr>
          <w:rFonts w:ascii="Narkisim" w:hAnsi="Narkisim" w:cs="Narkisim"/>
          <w:b/>
          <w:bCs/>
          <w:rtl/>
        </w:rPr>
        <w:t>רא"ש</w:t>
      </w:r>
      <w:r w:rsidRPr="00440CAB">
        <w:rPr>
          <w:rFonts w:ascii="Narkisim" w:hAnsi="Narkisim" w:cs="Narkisim"/>
          <w:rtl/>
        </w:rPr>
        <w:t xml:space="preserve"> (טז) דרווק שעברו עליו כ' שנה ואינו רוצה לישא, מהדין יש לבי"ד לכופו לישא</w:t>
      </w:r>
      <w:r w:rsidRPr="00440CAB">
        <w:rPr>
          <w:rStyle w:val="ac"/>
          <w:rFonts w:ascii="Narkisim" w:hAnsi="Narkisim" w:cs="Narkisim"/>
          <w:rtl/>
        </w:rPr>
        <w:footnoteReference w:id="3822"/>
      </w:r>
      <w:r w:rsidRPr="00440CAB">
        <w:rPr>
          <w:rFonts w:ascii="Narkisim" w:hAnsi="Narkisim" w:cs="Narkisim"/>
          <w:rtl/>
        </w:rPr>
        <w:t>.</w:t>
      </w:r>
    </w:p>
    <w:p w14:paraId="0CFF780B"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נמוק"י</w:t>
      </w:r>
      <w:r w:rsidRPr="00440CAB">
        <w:rPr>
          <w:rFonts w:ascii="Narkisim" w:hAnsi="Narkisim"/>
          <w:rtl/>
        </w:rPr>
        <w:t xml:space="preserve"> (כא. בדה"ר) דייק כן מדברי ה</w:t>
      </w:r>
      <w:r w:rsidRPr="00440CAB">
        <w:rPr>
          <w:rFonts w:ascii="Narkisim" w:hAnsi="Narkisim"/>
          <w:b/>
          <w:bCs/>
          <w:rtl/>
        </w:rPr>
        <w:t>רמב"ם</w:t>
      </w:r>
      <w:r w:rsidRPr="00440CAB">
        <w:rPr>
          <w:rFonts w:ascii="Narkisim" w:hAnsi="Narkisim"/>
          <w:rtl/>
        </w:rPr>
        <w:t xml:space="preserve"> (אישות טו ב) דעובר במצוה וביטל עשה, ומשמע דדינו כשאר ביטול עשה דכופין [כדאיתא בכתובות פו.]. וה</w:t>
      </w:r>
      <w:r w:rsidRPr="00440CAB">
        <w:rPr>
          <w:rFonts w:ascii="Narkisim" w:hAnsi="Narkisim"/>
          <w:b/>
          <w:bCs/>
          <w:rtl/>
        </w:rPr>
        <w:t>ריטב"א</w:t>
      </w:r>
      <w:r w:rsidRPr="00440CAB">
        <w:rPr>
          <w:rFonts w:ascii="Narkisim" w:hAnsi="Narkisim"/>
          <w:rtl/>
        </w:rPr>
        <w:t xml:space="preserve"> כתב דמ"מ אם מכיר בעצמו דאינו ראוי להוליד אין כופין, דבמצוות כגון זו נאמן על עצמו, כיון דאין הוכחה שעושה דרך מרד</w:t>
      </w:r>
      <w:r w:rsidRPr="00440CAB">
        <w:rPr>
          <w:rStyle w:val="ac"/>
          <w:rFonts w:ascii="Narkisim" w:hAnsi="Narkisim"/>
          <w:rtl/>
        </w:rPr>
        <w:footnoteReference w:id="3823"/>
      </w:r>
      <w:r w:rsidRPr="00440CAB">
        <w:rPr>
          <w:rFonts w:ascii="Narkisim" w:hAnsi="Narkisim"/>
          <w:rtl/>
        </w:rPr>
        <w:t>.</w:t>
      </w:r>
    </w:p>
    <w:p w14:paraId="3FACFC30" w14:textId="77777777" w:rsidR="006074A5" w:rsidRPr="00440CAB" w:rsidRDefault="006074A5" w:rsidP="006074A5">
      <w:pPr>
        <w:bidi/>
        <w:rPr>
          <w:rFonts w:ascii="Narkisim" w:hAnsi="Narkisim" w:cs="Narkisim"/>
        </w:rPr>
      </w:pPr>
      <w:r w:rsidRPr="00440CAB">
        <w:rPr>
          <w:rFonts w:ascii="Narkisim" w:hAnsi="Narkisim" w:cs="Narkisim"/>
          <w:rtl/>
        </w:rPr>
        <w:t>אבל ה</w:t>
      </w:r>
      <w:r w:rsidRPr="00440CAB">
        <w:rPr>
          <w:rFonts w:ascii="Narkisim" w:hAnsi="Narkisim" w:cs="Narkisim"/>
          <w:b/>
          <w:bCs/>
          <w:rtl/>
        </w:rPr>
        <w:t>רמב"ם</w:t>
      </w:r>
      <w:r w:rsidRPr="00440CAB">
        <w:rPr>
          <w:rFonts w:ascii="Narkisim" w:hAnsi="Narkisim" w:cs="Narkisim"/>
          <w:rtl/>
        </w:rPr>
        <w:t xml:space="preserve"> (הקדמה לפיה"מ סדר נשים) כתב שהקדים מסכת יבמות למס' כתובות, דהנשואים דבר עומד ברשות אדם ורצונו, דאין בי"ד לכוף האדם שישא אשה</w:t>
      </w:r>
      <w:r w:rsidRPr="00440CAB">
        <w:rPr>
          <w:rStyle w:val="ac"/>
          <w:rFonts w:ascii="Narkisim" w:hAnsi="Narkisim" w:cs="Narkisim"/>
          <w:rtl/>
        </w:rPr>
        <w:footnoteReference w:id="3824"/>
      </w:r>
      <w:r w:rsidRPr="00440CAB">
        <w:rPr>
          <w:rFonts w:ascii="Narkisim" w:hAnsi="Narkisim" w:cs="Narkisim"/>
          <w:rtl/>
        </w:rPr>
        <w:t xml:space="preserve">. </w:t>
      </w:r>
      <w:r w:rsidRPr="00440CAB">
        <w:rPr>
          <w:rFonts w:ascii="Narkisim" w:hAnsi="Narkisim" w:cs="Narkisim"/>
          <w:szCs w:val="20"/>
          <w:rtl/>
        </w:rPr>
        <w:t>וה</w:t>
      </w:r>
      <w:r w:rsidRPr="00440CAB">
        <w:rPr>
          <w:rFonts w:ascii="Narkisim" w:hAnsi="Narkisim" w:cs="Narkisim"/>
          <w:b/>
          <w:bCs/>
          <w:szCs w:val="20"/>
          <w:rtl/>
        </w:rPr>
        <w:t>קוב"ש</w:t>
      </w:r>
      <w:r w:rsidRPr="00440CAB">
        <w:rPr>
          <w:rFonts w:ascii="Narkisim" w:hAnsi="Narkisim" w:cs="Narkisim"/>
          <w:szCs w:val="20"/>
          <w:rtl/>
        </w:rPr>
        <w:t xml:space="preserve"> (כתובות ריג) כתב דכוונת הרמב"ם דאין כופין לישא אשה מסויימת, אבל על עצם המצוה ודאי כופין</w:t>
      </w:r>
      <w:r w:rsidRPr="00440CAB">
        <w:rPr>
          <w:rFonts w:ascii="Narkisim" w:hAnsi="Narkisim" w:cs="Narkisim"/>
          <w:rtl/>
        </w:rPr>
        <w:t>.</w:t>
      </w:r>
    </w:p>
    <w:p w14:paraId="6A538E22"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רמ"א</w:t>
      </w:r>
      <w:r w:rsidRPr="00440CAB">
        <w:rPr>
          <w:rFonts w:ascii="Narkisim" w:hAnsi="Narkisim" w:cs="Narkisim"/>
          <w:rtl/>
        </w:rPr>
        <w:t xml:space="preserve"> </w:t>
      </w:r>
      <w:r w:rsidRPr="00440CAB">
        <w:rPr>
          <w:rFonts w:ascii="Narkisim" w:hAnsi="Narkisim" w:cs="Narkisim"/>
          <w:szCs w:val="20"/>
          <w:rtl/>
        </w:rPr>
        <w:t>(א ג וקנד)</w:t>
      </w:r>
      <w:r w:rsidRPr="00440CAB">
        <w:rPr>
          <w:rFonts w:ascii="Narkisim" w:hAnsi="Narkisim" w:cs="Narkisim"/>
          <w:rtl/>
        </w:rPr>
        <w:t xml:space="preserve"> הביא דברי ה</w:t>
      </w:r>
      <w:r w:rsidRPr="00440CAB">
        <w:rPr>
          <w:rFonts w:ascii="Narkisim" w:hAnsi="Narkisim" w:cs="Narkisim"/>
          <w:b/>
          <w:bCs/>
          <w:rtl/>
        </w:rPr>
        <w:t>ריב"ש</w:t>
      </w:r>
      <w:r w:rsidRPr="00440CAB">
        <w:rPr>
          <w:rFonts w:ascii="Narkisim" w:hAnsi="Narkisim" w:cs="Narkisim"/>
          <w:rtl/>
        </w:rPr>
        <w:t xml:space="preserve"> (</w:t>
      </w:r>
      <w:r w:rsidRPr="00440CAB">
        <w:rPr>
          <w:rFonts w:ascii="Narkisim" w:hAnsi="Narkisim" w:cs="Narkisim"/>
          <w:szCs w:val="20"/>
          <w:rtl/>
        </w:rPr>
        <w:t>טו</w:t>
      </w:r>
      <w:r w:rsidRPr="00440CAB">
        <w:rPr>
          <w:rFonts w:ascii="Narkisim" w:hAnsi="Narkisim" w:cs="Narkisim"/>
          <w:rtl/>
        </w:rPr>
        <w:t xml:space="preserve">) דבזה"ז לא נהגו לכוף להוציא אחרי י' שנים, וכן בשאר עניני זיווגים. </w:t>
      </w:r>
      <w:r w:rsidRPr="00440CAB">
        <w:rPr>
          <w:rFonts w:ascii="Narkisim" w:hAnsi="Narkisim" w:cs="Narkisim"/>
          <w:sz w:val="20"/>
          <w:szCs w:val="20"/>
          <w:rtl/>
        </w:rPr>
        <w:t>וה</w:t>
      </w:r>
      <w:r w:rsidRPr="00440CAB">
        <w:rPr>
          <w:rFonts w:ascii="Narkisim" w:hAnsi="Narkisim" w:cs="Narkisim"/>
          <w:b/>
          <w:bCs/>
          <w:sz w:val="20"/>
          <w:szCs w:val="20"/>
          <w:rtl/>
        </w:rPr>
        <w:t>פתח"ת</w:t>
      </w:r>
      <w:r w:rsidRPr="00440CAB">
        <w:rPr>
          <w:rFonts w:ascii="Narkisim" w:hAnsi="Narkisim" w:cs="Narkisim"/>
          <w:sz w:val="20"/>
          <w:szCs w:val="20"/>
          <w:rtl/>
        </w:rPr>
        <w:t xml:space="preserve"> (קנד כז) הביא שאלה בירא אלקים ואשתו וקשה לו הגירושין דאשתו מפרנסתו ודועגת לו בחליו, דכיון דהוה ספק אם יזדמן לו אשת חיל אחרת שתחזיק אותו בלימודו אי"צ לגרש</w:t>
      </w:r>
      <w:r w:rsidRPr="00440CAB">
        <w:rPr>
          <w:rStyle w:val="ac"/>
          <w:rFonts w:ascii="Narkisim" w:hAnsi="Narkisim" w:cs="Narkisim"/>
          <w:sz w:val="20"/>
          <w:szCs w:val="20"/>
          <w:rtl/>
        </w:rPr>
        <w:footnoteReference w:id="3825"/>
      </w:r>
      <w:r w:rsidRPr="00440CAB">
        <w:rPr>
          <w:rFonts w:ascii="Narkisim" w:hAnsi="Narkisim" w:cs="Narkisim"/>
          <w:sz w:val="20"/>
          <w:szCs w:val="20"/>
          <w:rtl/>
        </w:rPr>
        <w:t>.</w:t>
      </w:r>
    </w:p>
    <w:p w14:paraId="2280A03F"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מרדכי</w:t>
      </w:r>
      <w:r w:rsidRPr="00440CAB">
        <w:rPr>
          <w:rFonts w:ascii="Narkisim" w:hAnsi="Narkisim"/>
          <w:rtl/>
        </w:rPr>
        <w:t xml:space="preserve"> (נ הג"מ טו ד) הביא דבזה"ז אין כופין להוציא, כדאמרי' (ב"ב ס:) דמיום שחרב ביהמ"ק דין הוא שנגזור על עצמינו שלא לישא אשה</w:t>
      </w:r>
      <w:r w:rsidRPr="00440CAB">
        <w:rPr>
          <w:rStyle w:val="ac"/>
          <w:rFonts w:ascii="Narkisim" w:hAnsi="Narkisim"/>
          <w:rtl/>
        </w:rPr>
        <w:footnoteReference w:id="3826"/>
      </w:r>
      <w:r w:rsidRPr="00440CAB">
        <w:rPr>
          <w:rFonts w:ascii="Narkisim" w:hAnsi="Narkisim"/>
          <w:rtl/>
        </w:rPr>
        <w:t>, אלא שאין גוזרין על הציבור אא"כ רוב הציבור יכול לעמוד בה. ולכל הפחות אין כופין להוציא. [ואף דמבואר התם דלא תקנו בזה תקנה, מ"מ ס"ל דסברת התקנה קיימת. וצ"ב</w:t>
      </w:r>
      <w:r w:rsidRPr="00440CAB">
        <w:rPr>
          <w:rStyle w:val="ac"/>
          <w:rFonts w:ascii="Narkisim" w:hAnsi="Narkisim"/>
          <w:rtl/>
        </w:rPr>
        <w:footnoteReference w:id="3827"/>
      </w:r>
      <w:r w:rsidRPr="00440CAB">
        <w:rPr>
          <w:rFonts w:ascii="Narkisim" w:hAnsi="Narkisim"/>
          <w:rtl/>
        </w:rPr>
        <w:t>].</w:t>
      </w:r>
    </w:p>
    <w:p w14:paraId="3B9047F6" w14:textId="77777777" w:rsidR="006074A5" w:rsidRPr="00440CAB" w:rsidRDefault="006074A5" w:rsidP="006074A5">
      <w:pPr>
        <w:bidi/>
        <w:rPr>
          <w:rFonts w:ascii="Narkisim" w:hAnsi="Narkisim" w:cs="Narkisim"/>
        </w:rPr>
      </w:pPr>
      <w:r w:rsidRPr="00440CAB">
        <w:rPr>
          <w:rFonts w:ascii="Narkisim" w:hAnsi="Narkisim" w:cs="Narkisim"/>
          <w:u w:val="single"/>
          <w:rtl/>
        </w:rPr>
        <w:t>תוד"ה יוציא.</w:t>
      </w:r>
      <w:r w:rsidRPr="00440CAB">
        <w:rPr>
          <w:rFonts w:ascii="Narkisim" w:hAnsi="Narkisim" w:cs="Narkisim"/>
          <w:rtl/>
        </w:rPr>
        <w:t xml:space="preserve"> ומיהו קשיא דליתני באה מחמת טענה דאמר (לקמן סה:) כופין אותו להוציא. ו</w:t>
      </w:r>
      <w:r w:rsidRPr="00440CAB">
        <w:rPr>
          <w:rFonts w:ascii="Narkisim" w:hAnsi="Narkisim" w:cs="Narkisim"/>
          <w:b/>
          <w:bCs/>
          <w:rtl/>
        </w:rPr>
        <w:t>תוס</w:t>
      </w:r>
      <w:r w:rsidRPr="00440CAB">
        <w:rPr>
          <w:rFonts w:ascii="Narkisim" w:hAnsi="Narkisim" w:cs="Narkisim"/>
          <w:rtl/>
        </w:rPr>
        <w:t>' נקטו דהיינו בשוטי [מלשון הגמ' כה"ג כייפינן ליה]. אבל ה</w:t>
      </w:r>
      <w:r w:rsidRPr="00440CAB">
        <w:rPr>
          <w:rFonts w:ascii="Narkisim" w:hAnsi="Narkisim" w:cs="Narkisim"/>
          <w:b/>
          <w:bCs/>
          <w:rtl/>
        </w:rPr>
        <w:t>ב"י</w:t>
      </w:r>
      <w:r w:rsidRPr="00440CAB">
        <w:rPr>
          <w:rFonts w:ascii="Narkisim" w:hAnsi="Narkisim" w:cs="Narkisim"/>
          <w:rtl/>
        </w:rPr>
        <w:t xml:space="preserve"> (קנד) מביא בשם</w:t>
      </w:r>
      <w:r w:rsidRPr="00440CAB">
        <w:rPr>
          <w:rFonts w:ascii="Narkisim" w:hAnsi="Narkisim" w:cs="Narkisim"/>
          <w:b/>
          <w:bCs/>
          <w:rtl/>
        </w:rPr>
        <w:t xml:space="preserve"> שו"ת הרשב"א</w:t>
      </w:r>
      <w:r w:rsidRPr="00440CAB">
        <w:rPr>
          <w:rFonts w:ascii="Narkisim" w:hAnsi="Narkisim" w:cs="Narkisim"/>
          <w:rtl/>
        </w:rPr>
        <w:t xml:space="preserve"> (א אלף קצב) דדינו כמורד</w:t>
      </w:r>
      <w:r w:rsidRPr="00440CAB">
        <w:rPr>
          <w:rStyle w:val="ac"/>
          <w:rFonts w:ascii="Narkisim" w:hAnsi="Narkisim" w:cs="Narkisim"/>
          <w:rtl/>
        </w:rPr>
        <w:footnoteReference w:id="3828"/>
      </w:r>
      <w:r w:rsidRPr="00440CAB">
        <w:rPr>
          <w:rFonts w:ascii="Narkisim" w:hAnsi="Narkisim" w:cs="Narkisim"/>
          <w:rtl/>
        </w:rPr>
        <w:t>, אבל אין כופין.</w:t>
      </w:r>
    </w:p>
    <w:p w14:paraId="29256F40" w14:textId="77777777" w:rsidR="006074A5" w:rsidRPr="00440CAB" w:rsidRDefault="006074A5" w:rsidP="006074A5">
      <w:pPr>
        <w:pStyle w:val="aa"/>
        <w:bidi/>
        <w:rPr>
          <w:rFonts w:ascii="Narkisim" w:hAnsi="Narkisim"/>
        </w:rPr>
      </w:pPr>
      <w:r w:rsidRPr="00440CAB">
        <w:rPr>
          <w:rFonts w:ascii="Narkisim" w:hAnsi="Narkisim"/>
          <w:u w:val="single"/>
          <w:rtl/>
        </w:rPr>
        <w:t>בא"ד וההיא דהחולץ וכו' שמונעה מכל עניני אישות וכו'.</w:t>
      </w:r>
      <w:r w:rsidRPr="00440CAB">
        <w:rPr>
          <w:rFonts w:ascii="Narkisim" w:hAnsi="Narkisim"/>
          <w:rtl/>
        </w:rPr>
        <w:t xml:space="preserve"> מבואר דכופין לחלוץ משום עיגון היבמה. וה</w:t>
      </w:r>
      <w:r w:rsidRPr="00440CAB">
        <w:rPr>
          <w:rFonts w:ascii="Narkisim" w:hAnsi="Narkisim"/>
          <w:b/>
          <w:bCs/>
          <w:rtl/>
        </w:rPr>
        <w:t>חכ"צ</w:t>
      </w:r>
      <w:r w:rsidRPr="00440CAB">
        <w:rPr>
          <w:rFonts w:ascii="Narkisim" w:hAnsi="Narkisim"/>
          <w:rtl/>
        </w:rPr>
        <w:t xml:space="preserve"> (א) הביא מכאן דאין דין כפייה משום כופין על המצוות דמצוות חליצה. ורק משום תביעת עיגון האשה [דאל"כ האיך הביאו ראיה מהתם לאשת איש דעלמא]. [וע' מש"כ בזה לעיל לט.].</w:t>
      </w:r>
    </w:p>
    <w:p w14:paraId="1C29BDA6" w14:textId="77777777" w:rsidR="006074A5" w:rsidRPr="00440CAB" w:rsidRDefault="006074A5" w:rsidP="006074A5">
      <w:pPr>
        <w:pStyle w:val="aa"/>
        <w:bidi/>
        <w:rPr>
          <w:rFonts w:ascii="Narkisim" w:hAnsi="Narkisim"/>
        </w:rPr>
      </w:pPr>
      <w:r w:rsidRPr="00440CAB">
        <w:rPr>
          <w:rFonts w:ascii="Narkisim" w:hAnsi="Narkisim"/>
          <w:u w:val="single"/>
          <w:rtl/>
        </w:rPr>
        <w:t>בא"ד שמונעה מכל ענייני אישות וכו'.</w:t>
      </w:r>
      <w:r w:rsidRPr="00440CAB">
        <w:rPr>
          <w:rFonts w:ascii="Narkisim" w:hAnsi="Narkisim"/>
          <w:rtl/>
        </w:rPr>
        <w:t xml:space="preserve"> וה</w:t>
      </w:r>
      <w:r w:rsidRPr="00440CAB">
        <w:rPr>
          <w:rFonts w:ascii="Narkisim" w:hAnsi="Narkisim"/>
          <w:b/>
          <w:bCs/>
          <w:rtl/>
        </w:rPr>
        <w:t>רא"ש</w:t>
      </w:r>
      <w:r w:rsidRPr="00440CAB">
        <w:rPr>
          <w:rFonts w:ascii="Narkisim" w:hAnsi="Narkisim"/>
          <w:rtl/>
        </w:rPr>
        <w:t xml:space="preserve"> כת' דזה דחוק, דעינוי תשמיש הוא עיקר האישות, וכן מזונות ראוי לכוף שלא תמות ברעב.</w:t>
      </w:r>
    </w:p>
    <w:p w14:paraId="085D4327" w14:textId="77777777" w:rsidR="006074A5" w:rsidRPr="00440CAB" w:rsidRDefault="006074A5" w:rsidP="006074A5">
      <w:pPr>
        <w:bidi/>
        <w:rPr>
          <w:rFonts w:ascii="Narkisim" w:hAnsi="Narkisim" w:cs="Narkisim"/>
        </w:rPr>
      </w:pPr>
      <w:r w:rsidRPr="00440CAB">
        <w:rPr>
          <w:rFonts w:ascii="Narkisim" w:hAnsi="Narkisim" w:cs="Narkisim"/>
          <w:u w:val="single"/>
          <w:rtl/>
        </w:rPr>
        <w:t>בא"ד וכל היכא וכו' שלא יהא גט מעושה בישראל שלא כדין ופסול</w:t>
      </w:r>
      <w:r w:rsidRPr="00440CAB">
        <w:rPr>
          <w:rStyle w:val="ac"/>
          <w:rFonts w:ascii="Narkisim" w:hAnsi="Narkisim" w:cs="Narkisim"/>
          <w:rtl/>
        </w:rPr>
        <w:footnoteReference w:id="3829"/>
      </w:r>
      <w:r w:rsidRPr="00440CAB">
        <w:rPr>
          <w:rFonts w:ascii="Narkisim" w:hAnsi="Narkisim" w:cs="Narkisim"/>
          <w:rtl/>
        </w:rPr>
        <w:t>.</w:t>
      </w:r>
      <w:r w:rsidRPr="00440CAB">
        <w:rPr>
          <w:rFonts w:ascii="Narkisim" w:hAnsi="Narkisim" w:cs="Narkisim"/>
          <w:sz w:val="20"/>
          <w:szCs w:val="20"/>
          <w:rtl/>
        </w:rPr>
        <w:t xml:space="preserve"> [וכ"כ הרא"ש, וכן תוס' </w:t>
      </w:r>
      <w:r w:rsidRPr="00440CAB">
        <w:rPr>
          <w:rFonts w:ascii="Narkisim" w:hAnsi="Narkisim" w:cs="Narkisim"/>
          <w:sz w:val="20"/>
          <w:szCs w:val="20"/>
          <w:rtl/>
        </w:rPr>
        <w:lastRenderedPageBreak/>
        <w:t xml:space="preserve">כתובות ע.] </w:t>
      </w:r>
      <w:r w:rsidRPr="00440CAB">
        <w:rPr>
          <w:rFonts w:ascii="Narkisim" w:hAnsi="Narkisim" w:cs="Narkisim"/>
          <w:rtl/>
        </w:rPr>
        <w:t>מבואר דאף דחייב לגרשה נחשב מעושה שלא כדין</w:t>
      </w:r>
      <w:r w:rsidRPr="00440CAB">
        <w:rPr>
          <w:rStyle w:val="ac"/>
          <w:rFonts w:ascii="Narkisim" w:hAnsi="Narkisim" w:cs="Narkisim"/>
          <w:rtl/>
        </w:rPr>
        <w:footnoteReference w:id="3830"/>
      </w:r>
      <w:r w:rsidRPr="00440CAB">
        <w:rPr>
          <w:rFonts w:ascii="Narkisim" w:hAnsi="Narkisim" w:cs="Narkisim"/>
          <w:rtl/>
        </w:rPr>
        <w:t>, כיון דצורת הכפייה שלא כדין</w:t>
      </w:r>
      <w:r w:rsidRPr="00440CAB">
        <w:rPr>
          <w:rStyle w:val="ac"/>
          <w:rFonts w:ascii="Narkisim" w:hAnsi="Narkisim" w:cs="Narkisim"/>
          <w:rtl/>
        </w:rPr>
        <w:footnoteReference w:id="3831"/>
      </w:r>
      <w:r w:rsidRPr="00440CAB">
        <w:rPr>
          <w:rFonts w:ascii="Narkisim" w:hAnsi="Narkisim" w:cs="Narkisim"/>
          <w:rtl/>
        </w:rPr>
        <w:t>.</w:t>
      </w:r>
    </w:p>
    <w:p w14:paraId="7CE5EB55" w14:textId="77777777" w:rsidR="006074A5" w:rsidRPr="00440CAB" w:rsidRDefault="006074A5" w:rsidP="006074A5">
      <w:pPr>
        <w:pStyle w:val="aa"/>
        <w:bidi/>
        <w:rPr>
          <w:rFonts w:ascii="Narkisim" w:hAnsi="Narkisim"/>
        </w:rPr>
      </w:pPr>
      <w:r w:rsidRPr="00440CAB">
        <w:rPr>
          <w:rFonts w:ascii="Narkisim" w:hAnsi="Narkisim"/>
          <w:u w:val="single"/>
          <w:rtl/>
        </w:rPr>
        <w:t>תוד"ה יוציא [הב'].</w:t>
      </w:r>
      <w:r w:rsidRPr="00440CAB">
        <w:rPr>
          <w:rFonts w:ascii="Narkisim" w:hAnsi="Narkisim"/>
          <w:rtl/>
        </w:rPr>
        <w:t xml:space="preserve"> שנותן כתובה, אע"פ שמגרש בע"כ. דס"ד דתוס' דכיון דאינו מוציא מרצונו אי"צ כתובה (ע' ברייתא גיטין מט:).</w:t>
      </w:r>
    </w:p>
    <w:p w14:paraId="1B82169D" w14:textId="77777777" w:rsidR="006074A5" w:rsidRPr="00440CAB" w:rsidRDefault="006074A5" w:rsidP="006074A5">
      <w:pPr>
        <w:bidi/>
        <w:rPr>
          <w:rFonts w:ascii="Narkisim" w:hAnsi="Narkisim" w:cs="Narkisim"/>
        </w:rPr>
      </w:pPr>
      <w:r w:rsidRPr="00440CAB">
        <w:rPr>
          <w:rFonts w:ascii="Narkisim" w:hAnsi="Narkisim" w:cs="Narkisim"/>
          <w:u w:val="single"/>
          <w:rtl/>
        </w:rPr>
        <w:t>שאין ישיבת חו"ל עולה וכו'.</w:t>
      </w:r>
      <w:r w:rsidRPr="00440CAB">
        <w:rPr>
          <w:rFonts w:ascii="Narkisim" w:hAnsi="Narkisim" w:cs="Narkisim"/>
          <w:rtl/>
        </w:rPr>
        <w:t xml:space="preserve"> ה</w:t>
      </w:r>
      <w:r w:rsidRPr="00440CAB">
        <w:rPr>
          <w:rFonts w:ascii="Narkisim" w:hAnsi="Narkisim" w:cs="Narkisim"/>
          <w:b/>
          <w:bCs/>
          <w:rtl/>
        </w:rPr>
        <w:t>רא"ש</w:t>
      </w:r>
      <w:r w:rsidRPr="00440CAB">
        <w:rPr>
          <w:rFonts w:ascii="Narkisim" w:hAnsi="Narkisim" w:cs="Narkisim"/>
          <w:rtl/>
        </w:rPr>
        <w:t xml:space="preserve"> וה</w:t>
      </w:r>
      <w:r w:rsidRPr="00440CAB">
        <w:rPr>
          <w:rFonts w:ascii="Narkisim" w:hAnsi="Narkisim" w:cs="Narkisim"/>
          <w:b/>
          <w:bCs/>
          <w:rtl/>
        </w:rPr>
        <w:t>מרדכי</w:t>
      </w:r>
      <w:r w:rsidRPr="00440CAB">
        <w:rPr>
          <w:rFonts w:ascii="Narkisim" w:hAnsi="Narkisim" w:cs="Narkisim"/>
          <w:rtl/>
        </w:rPr>
        <w:t xml:space="preserve"> מביאים</w:t>
      </w:r>
      <w:r w:rsidRPr="00440CAB">
        <w:rPr>
          <w:rFonts w:ascii="Narkisim" w:hAnsi="Narkisim" w:cs="Narkisim"/>
          <w:b/>
          <w:bCs/>
          <w:rtl/>
        </w:rPr>
        <w:t xml:space="preserve"> י"מ </w:t>
      </w:r>
      <w:r w:rsidRPr="00440CAB">
        <w:rPr>
          <w:rFonts w:ascii="Narkisim" w:hAnsi="Narkisim" w:cs="Narkisim"/>
          <w:rtl/>
        </w:rPr>
        <w:t>דבחו"ל אינו נוהג דין שהה י' שנים, דתלינן בעונש חו"ל. וה</w:t>
      </w:r>
      <w:r w:rsidRPr="00440CAB">
        <w:rPr>
          <w:rFonts w:ascii="Narkisim" w:hAnsi="Narkisim" w:cs="Narkisim"/>
          <w:b/>
          <w:bCs/>
          <w:rtl/>
        </w:rPr>
        <w:t xml:space="preserve">רא"ש </w:t>
      </w:r>
      <w:r w:rsidRPr="00440CAB">
        <w:rPr>
          <w:rFonts w:ascii="Narkisim" w:hAnsi="Narkisim" w:cs="Narkisim"/>
          <w:rtl/>
        </w:rPr>
        <w:t xml:space="preserve">חלק דלא מסתבר שיבטל מפריה ורביה מחמת סברא זו. דהא חזינא דרובא דאינשי פרין ורבין בחו"ל, ולמה נתלה זה בעונש חו"ל. </w:t>
      </w:r>
      <w:r w:rsidRPr="00440CAB">
        <w:rPr>
          <w:rFonts w:ascii="Narkisim" w:hAnsi="Narkisim" w:cs="Narkisim"/>
          <w:sz w:val="20"/>
          <w:szCs w:val="20"/>
          <w:rtl/>
        </w:rPr>
        <w:t>ועוד דכל הני אמוראי בבבל שקלו וטרו בהאי דינא.</w:t>
      </w:r>
      <w:r w:rsidRPr="00440CAB">
        <w:rPr>
          <w:rFonts w:ascii="Narkisim" w:hAnsi="Narkisim" w:cs="Narkisim"/>
          <w:rtl/>
        </w:rPr>
        <w:t xml:space="preserve"> וה</w:t>
      </w:r>
      <w:r w:rsidRPr="00440CAB">
        <w:rPr>
          <w:rFonts w:ascii="Narkisim" w:hAnsi="Narkisim" w:cs="Narkisim"/>
          <w:b/>
          <w:bCs/>
          <w:rtl/>
        </w:rPr>
        <w:t>רשב"א</w:t>
      </w:r>
      <w:r w:rsidRPr="00440CAB">
        <w:rPr>
          <w:rFonts w:ascii="Narkisim" w:hAnsi="Narkisim" w:cs="Narkisim"/>
          <w:rtl/>
        </w:rPr>
        <w:t xml:space="preserve"> הוסיף דמצוות פר"ו אינה תלויה בארץ.</w:t>
      </w:r>
    </w:p>
    <w:p w14:paraId="68AA4CE4"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רא"ש</w:t>
      </w:r>
      <w:r w:rsidRPr="00440CAB">
        <w:rPr>
          <w:rFonts w:ascii="Narkisim" w:hAnsi="Narkisim"/>
          <w:rtl/>
        </w:rPr>
        <w:t xml:space="preserve"> כת' דאברהם אבינו חזר לחרן אחרי ברית בין הבתרים לה' שנים, ושוב עלה לארץ. וכ"כ ה</w:t>
      </w:r>
      <w:r w:rsidRPr="00440CAB">
        <w:rPr>
          <w:rFonts w:ascii="Narkisim" w:hAnsi="Narkisim"/>
          <w:b/>
          <w:bCs/>
          <w:rtl/>
        </w:rPr>
        <w:t>רמב"ן</w:t>
      </w:r>
      <w:r w:rsidRPr="00440CAB">
        <w:rPr>
          <w:rFonts w:ascii="Narkisim" w:hAnsi="Narkisim"/>
          <w:rtl/>
        </w:rPr>
        <w:t xml:space="preserve"> בשם ה</w:t>
      </w:r>
      <w:r w:rsidRPr="00440CAB">
        <w:rPr>
          <w:rFonts w:ascii="Narkisim" w:hAnsi="Narkisim"/>
          <w:b/>
          <w:bCs/>
          <w:rtl/>
        </w:rPr>
        <w:t>ראב"ד</w:t>
      </w:r>
      <w:r w:rsidRPr="00440CAB">
        <w:rPr>
          <w:rFonts w:ascii="Narkisim" w:hAnsi="Narkisim"/>
          <w:rtl/>
        </w:rPr>
        <w:t xml:space="preserve"> דדוקא באדם שהיה רגיל לגור בארץ ועבר לחו"ל אמרי' כן.</w:t>
      </w:r>
    </w:p>
    <w:p w14:paraId="6854A815"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כתב דדוקא במי ששהה בחו"ל ושוב בא לארץ אמרי' דשמא יהני זכות אר"י, אבל לדרים בחו"ל כששהו י' שנים צריך לגרש, דלעולם לא יזכה ליבנות בחו"ל.</w:t>
      </w:r>
    </w:p>
    <w:p w14:paraId="12C124FE"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רש"י</w:t>
      </w:r>
      <w:r w:rsidRPr="00440CAB">
        <w:rPr>
          <w:rFonts w:ascii="Narkisim" w:hAnsi="Narkisim"/>
          <w:rtl/>
        </w:rPr>
        <w:t xml:space="preserve"> (עה"ת בראשית טז ג) כתב לפי שלא נאמר לו ואעשך לגוי גדול עד שבא לארץ. ועפ"ז כתב הרמב"ן דלאו לדורות קאמר, אלא לאברהם נאמר כן. דאברהם עקור היה.</w:t>
      </w:r>
    </w:p>
    <w:p w14:paraId="16B4E550" w14:textId="77777777" w:rsidR="006074A5" w:rsidRPr="00440CAB" w:rsidRDefault="006074A5" w:rsidP="006074A5">
      <w:pPr>
        <w:pStyle w:val="aa"/>
        <w:bidi/>
        <w:rPr>
          <w:rFonts w:ascii="Narkisim" w:hAnsi="Narkisim"/>
        </w:rPr>
      </w:pPr>
      <w:r w:rsidRPr="00440CAB">
        <w:rPr>
          <w:rFonts w:ascii="Narkisim" w:hAnsi="Narkisim"/>
          <w:u w:val="single"/>
          <w:rtl/>
        </w:rPr>
        <w:t>תפילת צדיק בן צדיק.</w:t>
      </w:r>
      <w:r w:rsidRPr="00440CAB">
        <w:rPr>
          <w:rFonts w:ascii="Narkisim" w:hAnsi="Narkisim"/>
          <w:rtl/>
        </w:rPr>
        <w:t xml:space="preserve"> ה</w:t>
      </w:r>
      <w:r w:rsidRPr="00440CAB">
        <w:rPr>
          <w:rFonts w:ascii="Narkisim" w:hAnsi="Narkisim"/>
          <w:b/>
          <w:bCs/>
          <w:rtl/>
        </w:rPr>
        <w:t>ט"ז</w:t>
      </w:r>
      <w:r w:rsidRPr="00440CAB">
        <w:rPr>
          <w:rFonts w:ascii="Narkisim" w:hAnsi="Narkisim"/>
          <w:rtl/>
        </w:rPr>
        <w:t xml:space="preserve"> (או"ח סג ג) הביא בשם ה</w:t>
      </w:r>
      <w:r w:rsidRPr="00440CAB">
        <w:rPr>
          <w:rFonts w:ascii="Narkisim" w:hAnsi="Narkisim"/>
          <w:b/>
          <w:bCs/>
          <w:rtl/>
        </w:rPr>
        <w:t>רש"ל</w:t>
      </w:r>
      <w:r w:rsidRPr="00440CAB">
        <w:rPr>
          <w:rFonts w:ascii="Narkisim" w:hAnsi="Narkisim"/>
          <w:rtl/>
        </w:rPr>
        <w:t xml:space="preserve"> דיש למנות עדיף למנות ש"ץ המיוחס טפי [היכא דשניהם שווים]. וע"פ הא דאיתא בסוגיין. והט"ז הביא דה</w:t>
      </w:r>
      <w:r w:rsidRPr="00440CAB">
        <w:rPr>
          <w:rFonts w:ascii="Narkisim" w:hAnsi="Narkisim"/>
          <w:b/>
          <w:bCs/>
          <w:rtl/>
        </w:rPr>
        <w:t>רא"ש</w:t>
      </w:r>
      <w:r w:rsidRPr="00440CAB">
        <w:rPr>
          <w:rFonts w:ascii="Narkisim" w:hAnsi="Narkisim"/>
          <w:rtl/>
        </w:rPr>
        <w:t xml:space="preserve"> כתב דדרשי' שלום שלום לרחוק ולקרוב, לקרב משפחה בזויה עדיף. ורחמנא ליבא בעי</w:t>
      </w:r>
      <w:r w:rsidRPr="00440CAB">
        <w:rPr>
          <w:rStyle w:val="ac"/>
          <w:rFonts w:ascii="Narkisim" w:hAnsi="Narkisim"/>
          <w:rtl/>
        </w:rPr>
        <w:footnoteReference w:id="3832"/>
      </w:r>
      <w:r w:rsidRPr="00440CAB">
        <w:rPr>
          <w:rFonts w:ascii="Narkisim" w:hAnsi="Narkisim"/>
          <w:rtl/>
        </w:rPr>
        <w:t>. אבל ה</w:t>
      </w:r>
      <w:r w:rsidRPr="00440CAB">
        <w:rPr>
          <w:rFonts w:ascii="Narkisim" w:hAnsi="Narkisim"/>
          <w:b/>
          <w:bCs/>
          <w:rtl/>
        </w:rPr>
        <w:t>משנ"ב</w:t>
      </w:r>
      <w:r w:rsidRPr="00440CAB">
        <w:rPr>
          <w:rFonts w:ascii="Narkisim" w:hAnsi="Narkisim"/>
          <w:rtl/>
        </w:rPr>
        <w:t xml:space="preserve"> (יג) כתב דהרא"ש לא קאי כשאביו רשע, אלא משפחה בזויה.</w:t>
      </w:r>
    </w:p>
    <w:p w14:paraId="34CDFB04" w14:textId="77777777" w:rsidR="006074A5" w:rsidRPr="00440CAB" w:rsidRDefault="006074A5" w:rsidP="006074A5">
      <w:pPr>
        <w:pStyle w:val="3"/>
        <w:bidi/>
        <w:rPr>
          <w:rFonts w:ascii="Narkisim" w:hAnsi="Narkisim"/>
        </w:rPr>
      </w:pPr>
      <w:r w:rsidRPr="00440CAB">
        <w:rPr>
          <w:rFonts w:ascii="Narkisim" w:hAnsi="Narkisim"/>
          <w:rtl/>
        </w:rPr>
        <w:t>דף סד:</w:t>
      </w:r>
    </w:p>
    <w:p w14:paraId="5D2390D5" w14:textId="77777777" w:rsidR="006074A5" w:rsidRPr="00440CAB" w:rsidRDefault="006074A5" w:rsidP="006074A5">
      <w:pPr>
        <w:pStyle w:val="aa"/>
        <w:bidi/>
        <w:rPr>
          <w:rFonts w:ascii="Narkisim" w:hAnsi="Narkisim"/>
        </w:rPr>
      </w:pPr>
      <w:r w:rsidRPr="00440CAB">
        <w:rPr>
          <w:rFonts w:ascii="Narkisim" w:hAnsi="Narkisim"/>
          <w:u w:val="single"/>
          <w:rtl/>
        </w:rPr>
        <w:t>ב' שנים ומחצה כנגד ג' עיבורים וכו'</w:t>
      </w:r>
      <w:r w:rsidRPr="00440CAB">
        <w:rPr>
          <w:rFonts w:ascii="Narkisim" w:hAnsi="Narkisim"/>
          <w:rtl/>
        </w:rPr>
        <w:t>. לכאורה הוה שיעור בעלמא, דלכאורה אין שייכות בין ג' עיבורים לשיעור זמן שראוי שתתעבר</w:t>
      </w:r>
      <w:r w:rsidRPr="00440CAB">
        <w:rPr>
          <w:rStyle w:val="ac"/>
          <w:rFonts w:ascii="Narkisim" w:hAnsi="Narkisim"/>
          <w:rtl/>
        </w:rPr>
        <w:footnoteReference w:id="3833"/>
      </w:r>
      <w:r w:rsidRPr="00440CAB">
        <w:rPr>
          <w:rFonts w:ascii="Narkisim" w:hAnsi="Narkisim"/>
          <w:rtl/>
        </w:rPr>
        <w:t>.</w:t>
      </w:r>
    </w:p>
    <w:p w14:paraId="3878270D" w14:textId="77777777" w:rsidR="006074A5" w:rsidRPr="00440CAB" w:rsidRDefault="006074A5" w:rsidP="006074A5">
      <w:pPr>
        <w:pStyle w:val="aa"/>
        <w:bidi/>
        <w:rPr>
          <w:rFonts w:ascii="Narkisim" w:hAnsi="Narkisim"/>
        </w:rPr>
      </w:pPr>
      <w:r w:rsidRPr="00440CAB">
        <w:rPr>
          <w:rFonts w:ascii="Narkisim" w:hAnsi="Narkisim"/>
          <w:u w:val="single"/>
          <w:rtl/>
        </w:rPr>
        <w:t>ג' פקידות דאמר מר בר"ה נפקדו וכו'.</w:t>
      </w:r>
      <w:r w:rsidRPr="00440CAB">
        <w:rPr>
          <w:rFonts w:ascii="Narkisim" w:hAnsi="Narkisim"/>
          <w:rtl/>
        </w:rPr>
        <w:t xml:space="preserve"> </w:t>
      </w:r>
      <w:r w:rsidRPr="00440CAB">
        <w:rPr>
          <w:rFonts w:ascii="Narkisim" w:hAnsi="Narkisim"/>
          <w:b/>
          <w:bCs/>
          <w:rtl/>
        </w:rPr>
        <w:t>רש"י</w:t>
      </w:r>
      <w:r w:rsidRPr="00440CAB">
        <w:rPr>
          <w:rFonts w:ascii="Narkisim" w:hAnsi="Narkisim"/>
          <w:rtl/>
        </w:rPr>
        <w:t xml:space="preserve"> (ר"ה יא.) כת' דבראש השנה בא זכרונם לטובה ונגזר עליהן הריון. [ואף שתחילת ההריון היה אח"כ].</w:t>
      </w:r>
    </w:p>
    <w:p w14:paraId="747EF83C" w14:textId="77777777" w:rsidR="006074A5" w:rsidRPr="00440CAB" w:rsidRDefault="006074A5" w:rsidP="006074A5">
      <w:pPr>
        <w:bidi/>
        <w:rPr>
          <w:rFonts w:ascii="Narkisim" w:hAnsi="Narkisim" w:cs="Narkisim"/>
        </w:rPr>
      </w:pPr>
      <w:r w:rsidRPr="00440CAB">
        <w:rPr>
          <w:rFonts w:ascii="Narkisim" w:hAnsi="Narkisim" w:cs="Narkisim"/>
          <w:u w:val="single"/>
          <w:rtl/>
        </w:rPr>
        <w:t>והאי שמא לא זכה וכו' דילמא איהי דלא זכי.</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ולא תטול כתובה. ולפ"ז קושיית הגמ' דמספק אין לה כתובה, וכ"כ ה</w:t>
      </w:r>
      <w:r w:rsidRPr="00440CAB">
        <w:rPr>
          <w:rFonts w:ascii="Narkisim" w:hAnsi="Narkisim" w:cs="Narkisim"/>
          <w:b/>
          <w:bCs/>
          <w:rtl/>
        </w:rPr>
        <w:t>ראשונים</w:t>
      </w:r>
      <w:r w:rsidRPr="00440CAB">
        <w:rPr>
          <w:rFonts w:ascii="Narkisim" w:hAnsi="Narkisim" w:cs="Narkisim"/>
          <w:rtl/>
        </w:rPr>
        <w:t xml:space="preserve">. </w:t>
      </w:r>
      <w:r w:rsidRPr="00440CAB">
        <w:rPr>
          <w:rFonts w:ascii="Narkisim" w:hAnsi="Narkisim" w:cs="Narkisim"/>
          <w:sz w:val="20"/>
          <w:szCs w:val="20"/>
          <w:rtl/>
        </w:rPr>
        <w:t>[ומבואר דאילו תלי בדידה</w:t>
      </w:r>
      <w:r w:rsidRPr="00440CAB">
        <w:rPr>
          <w:rStyle w:val="ac"/>
          <w:rFonts w:ascii="Narkisim" w:hAnsi="Narkisim" w:cs="Narkisim"/>
          <w:sz w:val="20"/>
          <w:szCs w:val="20"/>
          <w:rtl/>
        </w:rPr>
        <w:footnoteReference w:id="3834"/>
      </w:r>
      <w:r w:rsidRPr="00440CAB">
        <w:rPr>
          <w:rFonts w:ascii="Narkisim" w:hAnsi="Narkisim" w:cs="Narkisim"/>
          <w:sz w:val="20"/>
          <w:szCs w:val="20"/>
          <w:rtl/>
        </w:rPr>
        <w:t>, דאינה ראוי לבנים ממנו אין לה כתובה. ואף דאינה עקרה</w:t>
      </w:r>
      <w:r w:rsidRPr="00440CAB">
        <w:rPr>
          <w:rStyle w:val="ac"/>
          <w:rFonts w:ascii="Narkisim" w:hAnsi="Narkisim" w:cs="Narkisim"/>
          <w:sz w:val="20"/>
          <w:szCs w:val="20"/>
          <w:rtl/>
        </w:rPr>
        <w:footnoteReference w:id="3835"/>
      </w:r>
      <w:r w:rsidRPr="00440CAB">
        <w:rPr>
          <w:rFonts w:ascii="Narkisim" w:hAnsi="Narkisim" w:cs="Narkisim"/>
          <w:sz w:val="20"/>
          <w:szCs w:val="20"/>
          <w:rtl/>
        </w:rPr>
        <w:t>].</w:t>
      </w:r>
    </w:p>
    <w:p w14:paraId="4605FFD2"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רמב"ן</w:t>
      </w:r>
      <w:r w:rsidRPr="00440CAB">
        <w:rPr>
          <w:rFonts w:ascii="Narkisim" w:hAnsi="Narkisim"/>
          <w:rtl/>
        </w:rPr>
        <w:t xml:space="preserve"> (סד.) כת' דלדברי </w:t>
      </w:r>
      <w:r w:rsidRPr="00440CAB">
        <w:rPr>
          <w:rFonts w:ascii="Narkisim" w:hAnsi="Narkisim"/>
          <w:b/>
          <w:bCs/>
          <w:rtl/>
        </w:rPr>
        <w:t>רש"י</w:t>
      </w:r>
      <w:r w:rsidRPr="00440CAB">
        <w:rPr>
          <w:rFonts w:ascii="Narkisim" w:hAnsi="Narkisim"/>
          <w:rtl/>
        </w:rPr>
        <w:t xml:space="preserve"> לשון המשנה 'שמא לא זכה ליבנות ממנה' הוה טעם לחיוב כתובה. אך אפשר היה לפרש דכוונת הברייתא דהוה טעם אמאי יוציא, דלא אמרי' דשוב לא יבנה, אלא אמרי' דממנה לא זכה. ולפ"ז קו' הגמ' האי שמא וכו' הוה אלישנא דברייתא, אבל לא על עיקר דינא. וכ"כ ה</w:t>
      </w:r>
      <w:r w:rsidRPr="00440CAB">
        <w:rPr>
          <w:rFonts w:ascii="Narkisim" w:hAnsi="Narkisim"/>
          <w:b/>
          <w:bCs/>
          <w:rtl/>
        </w:rPr>
        <w:t>מרדכי</w:t>
      </w:r>
      <w:r w:rsidRPr="00440CAB">
        <w:rPr>
          <w:rFonts w:ascii="Narkisim" w:hAnsi="Narkisim"/>
          <w:rtl/>
        </w:rPr>
        <w:t xml:space="preserve"> (נב) ו</w:t>
      </w:r>
      <w:r w:rsidRPr="00440CAB">
        <w:rPr>
          <w:rFonts w:ascii="Narkisim" w:hAnsi="Narkisim"/>
          <w:b/>
          <w:bCs/>
          <w:rtl/>
        </w:rPr>
        <w:t>תוס' חד מקמאי</w:t>
      </w:r>
      <w:r w:rsidRPr="00440CAB">
        <w:rPr>
          <w:rFonts w:ascii="Narkisim" w:hAnsi="Narkisim"/>
          <w:rtl/>
        </w:rPr>
        <w:t xml:space="preserve"> בשם ה</w:t>
      </w:r>
      <w:r w:rsidRPr="00440CAB">
        <w:rPr>
          <w:rFonts w:ascii="Narkisim" w:hAnsi="Narkisim"/>
          <w:b/>
          <w:bCs/>
          <w:rtl/>
        </w:rPr>
        <w:t>ראב"ד</w:t>
      </w:r>
      <w:r w:rsidRPr="00440CAB">
        <w:rPr>
          <w:rFonts w:ascii="Narkisim" w:hAnsi="Narkisim"/>
          <w:rtl/>
        </w:rPr>
        <w:t xml:space="preserve"> דקושיית הגמ' על לשון הברייתא, שנימא יוציא ויתן כתובה, ואמאי תלי בדידיה.</w:t>
      </w:r>
    </w:p>
    <w:p w14:paraId="6F33F606"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בעה"מ</w:t>
      </w:r>
      <w:r w:rsidRPr="00440CAB">
        <w:rPr>
          <w:rFonts w:ascii="Narkisim" w:hAnsi="Narkisim" w:cs="Narkisim"/>
          <w:sz w:val="20"/>
          <w:szCs w:val="20"/>
          <w:rtl/>
        </w:rPr>
        <w:t xml:space="preserve"> (כ: בדה"ר בפי' הב', וכן מבואר בתוס' סה. בתי' א') </w:t>
      </w:r>
      <w:r w:rsidRPr="00440CAB">
        <w:rPr>
          <w:rFonts w:ascii="Narkisim" w:hAnsi="Narkisim" w:cs="Narkisim"/>
          <w:rtl/>
        </w:rPr>
        <w:t xml:space="preserve">כתב דאם יש לו בנים מאשה אחרת [שמתה] ושהה י' שנים עם אשתו השניה, ותובעת להתגרש משום חוטרא לידה </w:t>
      </w:r>
      <w:r w:rsidRPr="00440CAB">
        <w:rPr>
          <w:rFonts w:ascii="Narkisim" w:hAnsi="Narkisim" w:cs="Narkisim"/>
          <w:szCs w:val="20"/>
          <w:rtl/>
        </w:rPr>
        <w:t xml:space="preserve">(כדאי' לקמן סה:) </w:t>
      </w:r>
      <w:r w:rsidRPr="00440CAB">
        <w:rPr>
          <w:rFonts w:ascii="Narkisim" w:hAnsi="Narkisim" w:cs="Narkisim"/>
          <w:rtl/>
        </w:rPr>
        <w:t xml:space="preserve">יוצאת בלא כתובה. </w:t>
      </w:r>
      <w:r w:rsidRPr="00440CAB">
        <w:rPr>
          <w:rFonts w:ascii="Narkisim" w:hAnsi="Narkisim" w:cs="Narkisim"/>
          <w:sz w:val="20"/>
          <w:szCs w:val="20"/>
          <w:rtl/>
        </w:rPr>
        <w:t>[ולכאו' כוונתו ע"פ סוגיין דכבר קיים, תו אינו מצווה, ותולים אף בדידה].</w:t>
      </w:r>
    </w:p>
    <w:p w14:paraId="3772431C"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מלחמות</w:t>
      </w:r>
      <w:r w:rsidRPr="00440CAB">
        <w:rPr>
          <w:rFonts w:ascii="Narkisim" w:hAnsi="Narkisim"/>
          <w:rtl/>
        </w:rPr>
        <w:t xml:space="preserve"> הביא מדברי </w:t>
      </w:r>
      <w:r w:rsidRPr="00440CAB">
        <w:rPr>
          <w:rFonts w:ascii="Narkisim" w:hAnsi="Narkisim"/>
          <w:b/>
          <w:bCs/>
          <w:rtl/>
        </w:rPr>
        <w:t xml:space="preserve">ר' אחאי גאון </w:t>
      </w:r>
      <w:r w:rsidRPr="00440CAB">
        <w:rPr>
          <w:rFonts w:ascii="Narkisim" w:hAnsi="Narkisim"/>
          <w:rtl/>
        </w:rPr>
        <w:t xml:space="preserve">דבכה"ג יש חיוב כתובה. וכתב דאף דכבר קיים </w:t>
      </w:r>
      <w:r w:rsidRPr="00440CAB">
        <w:rPr>
          <w:rFonts w:ascii="Narkisim" w:hAnsi="Narkisim"/>
          <w:rtl/>
        </w:rPr>
        <w:lastRenderedPageBreak/>
        <w:t>פר"ו, מ"מ תליא בזכותו משום דאיהו מפקיד מר' יהושע</w:t>
      </w:r>
      <w:r w:rsidRPr="00440CAB">
        <w:rPr>
          <w:rStyle w:val="ac"/>
          <w:rFonts w:ascii="Narkisim" w:hAnsi="Narkisim"/>
          <w:rtl/>
        </w:rPr>
        <w:footnoteReference w:id="3836"/>
      </w:r>
      <w:r w:rsidRPr="00440CAB">
        <w:rPr>
          <w:rFonts w:ascii="Narkisim" w:hAnsi="Narkisim"/>
          <w:rtl/>
        </w:rPr>
        <w:t xml:space="preserve"> (לעיל סב:)</w:t>
      </w:r>
      <w:r w:rsidRPr="00440CAB">
        <w:rPr>
          <w:rStyle w:val="ac"/>
          <w:rFonts w:ascii="Narkisim" w:hAnsi="Narkisim"/>
          <w:rtl/>
        </w:rPr>
        <w:footnoteReference w:id="3837"/>
      </w:r>
      <w:r w:rsidRPr="00440CAB">
        <w:rPr>
          <w:rFonts w:ascii="Narkisim" w:hAnsi="Narkisim"/>
          <w:rtl/>
        </w:rPr>
        <w:t xml:space="preserve">. </w:t>
      </w:r>
      <w:r w:rsidRPr="00440CAB">
        <w:rPr>
          <w:rFonts w:ascii="Narkisim" w:hAnsi="Narkisim"/>
          <w:sz w:val="20"/>
          <w:szCs w:val="20"/>
          <w:rtl/>
        </w:rPr>
        <w:t>והמלחמות תמה על הבעה"מ דדבר רחוק דמי שיש לו בנים חמור ממי שאין לו בנים [דצריך ליתן כתובה], וכי תליא בתביעה</w:t>
      </w:r>
      <w:r w:rsidRPr="00440CAB">
        <w:rPr>
          <w:rStyle w:val="ac"/>
          <w:rFonts w:ascii="Narkisim" w:hAnsi="Narkisim"/>
          <w:sz w:val="20"/>
          <w:szCs w:val="20"/>
          <w:rtl/>
        </w:rPr>
        <w:footnoteReference w:id="3838"/>
      </w:r>
      <w:r w:rsidRPr="00440CAB">
        <w:rPr>
          <w:rFonts w:ascii="Narkisim" w:hAnsi="Narkisim"/>
          <w:sz w:val="20"/>
          <w:szCs w:val="20"/>
          <w:rtl/>
        </w:rPr>
        <w:t>.</w:t>
      </w:r>
    </w:p>
    <w:p w14:paraId="3585579F" w14:textId="77777777" w:rsidR="006074A5" w:rsidRPr="00440CAB" w:rsidRDefault="006074A5" w:rsidP="006074A5">
      <w:pPr>
        <w:pStyle w:val="aa"/>
        <w:bidi/>
        <w:rPr>
          <w:rFonts w:ascii="Narkisim" w:hAnsi="Narkisim"/>
        </w:rPr>
      </w:pPr>
      <w:r w:rsidRPr="00440CAB">
        <w:rPr>
          <w:rFonts w:ascii="Narkisim" w:hAnsi="Narkisim"/>
          <w:u w:val="single"/>
          <w:rtl/>
        </w:rPr>
        <w:t>איני וכו'.</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אמתני' פריך, שמא יזכה להבנות מהשניה. וקצת דחוק, דלשון הגמ' משמע דהוה קושיה אהא דלעיל. ויש שפי' דכוונת הגמ' דכיון דאמרי' דיש סברא דתליא בזכות דידיה, א"כ שמא אף מאחרת לא יזכה [וע"ד מש"כ הרמב"ן], ומספק לא שייך ע"ז כפייה</w:t>
      </w:r>
      <w:r w:rsidRPr="00440CAB">
        <w:rPr>
          <w:rStyle w:val="ac"/>
          <w:rFonts w:ascii="Narkisim" w:hAnsi="Narkisim"/>
          <w:rtl/>
        </w:rPr>
        <w:footnoteReference w:id="3839"/>
      </w:r>
      <w:r w:rsidRPr="00440CAB">
        <w:rPr>
          <w:rFonts w:ascii="Narkisim" w:hAnsi="Narkisim"/>
          <w:rtl/>
        </w:rPr>
        <w:t>.</w:t>
      </w:r>
    </w:p>
    <w:p w14:paraId="577F4F6B" w14:textId="77777777" w:rsidR="006074A5" w:rsidRPr="00440CAB" w:rsidRDefault="006074A5" w:rsidP="006074A5">
      <w:pPr>
        <w:pStyle w:val="2"/>
        <w:bidi/>
        <w:rPr>
          <w:rFonts w:ascii="Narkisim" w:hAnsi="Narkisim"/>
        </w:rPr>
      </w:pPr>
      <w:r w:rsidRPr="00440CAB">
        <w:rPr>
          <w:rFonts w:ascii="Narkisim" w:hAnsi="Narkisim"/>
          <w:rtl/>
        </w:rPr>
        <w:t>הוחזק בג' פעמים</w:t>
      </w:r>
    </w:p>
    <w:p w14:paraId="4A16A1D9" w14:textId="77777777" w:rsidR="006074A5" w:rsidRPr="00440CAB" w:rsidRDefault="006074A5" w:rsidP="006074A5">
      <w:pPr>
        <w:pStyle w:val="aa"/>
        <w:bidi/>
        <w:rPr>
          <w:rFonts w:ascii="Narkisim" w:hAnsi="Narkisim"/>
        </w:rPr>
      </w:pPr>
      <w:r w:rsidRPr="00440CAB">
        <w:rPr>
          <w:rFonts w:ascii="Narkisim" w:hAnsi="Narkisim"/>
          <w:u w:val="single"/>
          <w:rtl/>
        </w:rPr>
        <w:t>שלישי לא תמול וכו'.</w:t>
      </w:r>
      <w:r w:rsidRPr="00440CAB">
        <w:rPr>
          <w:rFonts w:ascii="Narkisim" w:hAnsi="Narkisim"/>
          <w:rtl/>
        </w:rPr>
        <w:t xml:space="preserve"> דכיון דהוחזק ב' פעמים [לרבי] תלינן דהוה משפחה דרפי דמיה</w:t>
      </w:r>
      <w:r w:rsidRPr="00440CAB">
        <w:rPr>
          <w:rStyle w:val="ac"/>
          <w:rFonts w:ascii="Narkisim" w:hAnsi="Narkisim"/>
          <w:rtl/>
        </w:rPr>
        <w:footnoteReference w:id="3840"/>
      </w:r>
      <w:r w:rsidRPr="00440CAB">
        <w:rPr>
          <w:rFonts w:ascii="Narkisim" w:hAnsi="Narkisim"/>
          <w:rtl/>
        </w:rPr>
        <w:t xml:space="preserve"> (כדבסמוך) ונחשב סכנה, ופיקוח נפש דוחה מצוות מילה</w:t>
      </w:r>
      <w:r w:rsidRPr="00440CAB">
        <w:rPr>
          <w:rStyle w:val="ac"/>
          <w:rFonts w:ascii="Narkisim" w:hAnsi="Narkisim"/>
          <w:rtl/>
        </w:rPr>
        <w:footnoteReference w:id="3841"/>
      </w:r>
      <w:r w:rsidRPr="00440CAB">
        <w:rPr>
          <w:rFonts w:ascii="Narkisim" w:hAnsi="Narkisim"/>
          <w:rtl/>
        </w:rPr>
        <w:t xml:space="preserve">. אבל מל א' ומת ליכא ריעותא כלל. ויש </w:t>
      </w:r>
      <w:r w:rsidRPr="00440CAB">
        <w:rPr>
          <w:rFonts w:ascii="Narkisim" w:hAnsi="Narkisim"/>
          <w:b/>
          <w:bCs/>
          <w:rtl/>
        </w:rPr>
        <w:t xml:space="preserve">אחרונים </w:t>
      </w:r>
      <w:r w:rsidRPr="00440CAB">
        <w:rPr>
          <w:rFonts w:ascii="Narkisim" w:hAnsi="Narkisim"/>
          <w:rtl/>
        </w:rPr>
        <w:t>שכת' ד</w:t>
      </w:r>
      <w:r w:rsidRPr="00440CAB">
        <w:rPr>
          <w:rFonts w:ascii="Narkisim" w:hAnsi="Narkisim"/>
          <w:b/>
          <w:bCs/>
          <w:rtl/>
        </w:rPr>
        <w:t xml:space="preserve">רש"י </w:t>
      </w:r>
      <w:r w:rsidRPr="00440CAB">
        <w:rPr>
          <w:rFonts w:ascii="Narkisim" w:hAnsi="Narkisim"/>
          <w:rtl/>
        </w:rPr>
        <w:t>(גיטין נז:) כת' דכל מצוות מילה הוה סכנה</w:t>
      </w:r>
      <w:r w:rsidRPr="00440CAB">
        <w:rPr>
          <w:rStyle w:val="ac"/>
          <w:rFonts w:ascii="Narkisim" w:hAnsi="Narkisim"/>
          <w:rtl/>
        </w:rPr>
        <w:footnoteReference w:id="3842"/>
      </w:r>
      <w:r w:rsidRPr="00440CAB">
        <w:rPr>
          <w:rFonts w:ascii="Narkisim" w:hAnsi="Narkisim"/>
          <w:rtl/>
        </w:rPr>
        <w:t>, ואפ"ה גלי קרא דחייב למול. וצ"ל דמ"מ היכא דהוחזק סכנה שאני.</w:t>
      </w:r>
    </w:p>
    <w:p w14:paraId="614BE3D6" w14:textId="77777777" w:rsidR="006074A5" w:rsidRPr="00440CAB" w:rsidRDefault="006074A5" w:rsidP="006074A5">
      <w:pPr>
        <w:pStyle w:val="aa"/>
        <w:bidi/>
        <w:rPr>
          <w:rFonts w:ascii="Narkisim" w:hAnsi="Narkisim"/>
        </w:rPr>
      </w:pPr>
      <w:r w:rsidRPr="00440CAB">
        <w:rPr>
          <w:rFonts w:ascii="Narkisim" w:hAnsi="Narkisim"/>
          <w:u w:val="single"/>
          <w:rtl/>
        </w:rPr>
        <w:t>הא קמ"ל דאחיות מחזקות וכו'.</w:t>
      </w:r>
      <w:r w:rsidRPr="00440CAB">
        <w:rPr>
          <w:rFonts w:ascii="Narkisim" w:hAnsi="Narkisim"/>
          <w:rtl/>
        </w:rPr>
        <w:t xml:space="preserve"> ה</w:t>
      </w:r>
      <w:r w:rsidRPr="00440CAB">
        <w:rPr>
          <w:rFonts w:ascii="Narkisim" w:hAnsi="Narkisim"/>
          <w:b/>
          <w:bCs/>
          <w:rtl/>
        </w:rPr>
        <w:t>שלט"ג</w:t>
      </w:r>
      <w:r w:rsidRPr="00440CAB">
        <w:rPr>
          <w:rFonts w:ascii="Narkisim" w:hAnsi="Narkisim"/>
          <w:rtl/>
        </w:rPr>
        <w:t xml:space="preserve"> (שבת קלד נג. בדה"ר) הביא בשם ה</w:t>
      </w:r>
      <w:r w:rsidRPr="00440CAB">
        <w:rPr>
          <w:rFonts w:ascii="Narkisim" w:hAnsi="Narkisim"/>
          <w:b/>
          <w:bCs/>
          <w:rtl/>
        </w:rPr>
        <w:t>ריא"ז</w:t>
      </w:r>
      <w:r w:rsidRPr="00440CAB">
        <w:rPr>
          <w:rFonts w:ascii="Narkisim" w:hAnsi="Narkisim"/>
          <w:rtl/>
        </w:rPr>
        <w:t xml:space="preserve"> דה"ה כשמתו אב ובנו ובן בנו מחמת מילה</w:t>
      </w:r>
      <w:r w:rsidRPr="00440CAB">
        <w:rPr>
          <w:rStyle w:val="ac"/>
          <w:rFonts w:ascii="Narkisim" w:hAnsi="Narkisim"/>
          <w:rtl/>
        </w:rPr>
        <w:footnoteReference w:id="3843"/>
      </w:r>
      <w:r w:rsidRPr="00440CAB">
        <w:rPr>
          <w:rFonts w:ascii="Narkisim" w:hAnsi="Narkisim"/>
          <w:rtl/>
        </w:rPr>
        <w:t>. אבל ה</w:t>
      </w:r>
      <w:r w:rsidRPr="00440CAB">
        <w:rPr>
          <w:rFonts w:ascii="Narkisim" w:hAnsi="Narkisim"/>
          <w:b/>
          <w:bCs/>
          <w:rtl/>
        </w:rPr>
        <w:t>מאירי</w:t>
      </w:r>
      <w:r w:rsidRPr="00440CAB">
        <w:rPr>
          <w:rFonts w:ascii="Narkisim" w:hAnsi="Narkisim"/>
          <w:rtl/>
        </w:rPr>
        <w:t xml:space="preserve"> כתב דחיישינן דוקא בבני האשה [דהדם בא מהאשה], אבל אם הוא נשא אחרת יחול. והובאו ב' דעות ב</w:t>
      </w:r>
      <w:r w:rsidRPr="00440CAB">
        <w:rPr>
          <w:rFonts w:ascii="Narkisim" w:hAnsi="Narkisim"/>
          <w:b/>
          <w:bCs/>
          <w:rtl/>
        </w:rPr>
        <w:t>רמ"א</w:t>
      </w:r>
      <w:r w:rsidRPr="00440CAB">
        <w:rPr>
          <w:rFonts w:ascii="Narkisim" w:hAnsi="Narkisim"/>
          <w:rtl/>
        </w:rPr>
        <w:t xml:space="preserve"> (יו"ד רסג ב), ופסק דספק נפשות להקל.</w:t>
      </w:r>
    </w:p>
    <w:p w14:paraId="3770790F" w14:textId="77777777" w:rsidR="006074A5" w:rsidRPr="00440CAB" w:rsidRDefault="006074A5" w:rsidP="006074A5">
      <w:pPr>
        <w:pStyle w:val="a7"/>
        <w:bidi/>
        <w:rPr>
          <w:rFonts w:ascii="Narkisim" w:hAnsi="Narkisim"/>
        </w:rPr>
      </w:pPr>
      <w:r w:rsidRPr="00440CAB">
        <w:rPr>
          <w:rFonts w:ascii="Narkisim" w:hAnsi="Narkisim"/>
          <w:rtl/>
        </w:rPr>
        <w:t>וב</w:t>
      </w:r>
      <w:r w:rsidRPr="00440CAB">
        <w:rPr>
          <w:rFonts w:ascii="Narkisim" w:hAnsi="Narkisim"/>
          <w:b/>
          <w:bCs/>
          <w:rtl/>
        </w:rPr>
        <w:t>חי' ר"א מן ההר</w:t>
      </w:r>
      <w:r w:rsidRPr="00440CAB">
        <w:rPr>
          <w:rFonts w:ascii="Narkisim" w:hAnsi="Narkisim"/>
          <w:rtl/>
        </w:rPr>
        <w:t xml:space="preserve"> כת' דשמא רבי פליג על הא דאחיות מחזקות, ולכן ה</w:t>
      </w:r>
      <w:r w:rsidRPr="00440CAB">
        <w:rPr>
          <w:rFonts w:ascii="Narkisim" w:hAnsi="Narkisim"/>
          <w:b/>
          <w:bCs/>
          <w:rtl/>
        </w:rPr>
        <w:t>רי"ף</w:t>
      </w:r>
      <w:r w:rsidRPr="00440CAB">
        <w:rPr>
          <w:rFonts w:ascii="Narkisim" w:hAnsi="Narkisim"/>
          <w:rtl/>
        </w:rPr>
        <w:t xml:space="preserve"> ו</w:t>
      </w:r>
      <w:r w:rsidRPr="00440CAB">
        <w:rPr>
          <w:rFonts w:ascii="Narkisim" w:hAnsi="Narkisim"/>
          <w:b/>
          <w:bCs/>
          <w:rtl/>
        </w:rPr>
        <w:t>רמב"ם</w:t>
      </w:r>
      <w:r w:rsidRPr="00440CAB">
        <w:rPr>
          <w:rFonts w:ascii="Narkisim" w:hAnsi="Narkisim"/>
          <w:rtl/>
        </w:rPr>
        <w:t xml:space="preserve"> לא הביאו. </w:t>
      </w:r>
      <w:r w:rsidRPr="00440CAB">
        <w:rPr>
          <w:rFonts w:ascii="Narkisim" w:hAnsi="Narkisim"/>
          <w:sz w:val="20"/>
          <w:szCs w:val="20"/>
          <w:rtl/>
        </w:rPr>
        <w:t>אך ה</w:t>
      </w:r>
      <w:r w:rsidRPr="00440CAB">
        <w:rPr>
          <w:rFonts w:ascii="Narkisim" w:hAnsi="Narkisim"/>
          <w:b/>
          <w:bCs/>
          <w:sz w:val="20"/>
          <w:szCs w:val="20"/>
          <w:rtl/>
        </w:rPr>
        <w:t>שו"ע</w:t>
      </w:r>
      <w:r w:rsidRPr="00440CAB">
        <w:rPr>
          <w:rFonts w:ascii="Narkisim" w:hAnsi="Narkisim"/>
          <w:sz w:val="20"/>
          <w:szCs w:val="20"/>
          <w:rtl/>
        </w:rPr>
        <w:t xml:space="preserve"> (הנ"ל) פסקו.</w:t>
      </w:r>
    </w:p>
    <w:p w14:paraId="70E11900" w14:textId="77777777" w:rsidR="006074A5" w:rsidRPr="00440CAB" w:rsidRDefault="006074A5" w:rsidP="006074A5">
      <w:pPr>
        <w:bidi/>
        <w:rPr>
          <w:rFonts w:ascii="Narkisim" w:hAnsi="Narkisim" w:cs="Narkisim"/>
        </w:rPr>
      </w:pPr>
      <w:r w:rsidRPr="00440CAB">
        <w:rPr>
          <w:rFonts w:ascii="Narkisim" w:hAnsi="Narkisim" w:cs="Narkisim"/>
          <w:u w:val="single"/>
          <w:rtl/>
        </w:rPr>
        <w:t>לא ישא לא ממשפחת וכו'.</w:t>
      </w:r>
      <w:r w:rsidRPr="00440CAB">
        <w:rPr>
          <w:rFonts w:ascii="Narkisim" w:hAnsi="Narkisim" w:cs="Narkisim"/>
          <w:rtl/>
        </w:rPr>
        <w:t xml:space="preserve"> ה</w:t>
      </w:r>
      <w:r w:rsidRPr="00440CAB">
        <w:rPr>
          <w:rFonts w:ascii="Narkisim" w:hAnsi="Narkisim" w:cs="Narkisim"/>
          <w:b/>
          <w:bCs/>
          <w:rtl/>
        </w:rPr>
        <w:t>חזו"א</w:t>
      </w:r>
      <w:r w:rsidRPr="00440CAB">
        <w:rPr>
          <w:rFonts w:ascii="Narkisim" w:hAnsi="Narkisim" w:cs="Narkisim"/>
          <w:rtl/>
        </w:rPr>
        <w:t xml:space="preserve"> (קלד) כתב דלא נתפרש כמה הוה בכלל 'משפחה'. וכתב דמסתבר דעיקר משפחה היינו בני אדם א', אלא דאם דהוחזק אף בבני אחיות חיישינן כדלעיל. </w:t>
      </w:r>
      <w:r w:rsidRPr="00440CAB">
        <w:rPr>
          <w:rFonts w:ascii="Narkisim" w:hAnsi="Narkisim" w:cs="Narkisim"/>
          <w:sz w:val="20"/>
          <w:szCs w:val="20"/>
          <w:rtl/>
        </w:rPr>
        <w:t>[ועי"ש עוד שדן אי אמרי' מחזקות באפליג דרא].</w:t>
      </w:r>
    </w:p>
    <w:p w14:paraId="06890C11"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חזו"א</w:t>
      </w:r>
      <w:r w:rsidRPr="00440CAB">
        <w:rPr>
          <w:rFonts w:ascii="Narkisim" w:hAnsi="Narkisim"/>
          <w:rtl/>
        </w:rPr>
        <w:t xml:space="preserve"> העיר דאפי' דבנכפין יש חומרא דחיישינן אף ששאר בני המשפחה אינן נכפין</w:t>
      </w:r>
      <w:r w:rsidRPr="00440CAB">
        <w:rPr>
          <w:rFonts w:ascii="Narkisim" w:hAnsi="Narkisim"/>
          <w:sz w:val="20"/>
          <w:szCs w:val="20"/>
          <w:rtl/>
        </w:rPr>
        <w:t xml:space="preserve"> [ולא אמרי' דהוה סתירה לחזקה]</w:t>
      </w:r>
      <w:r w:rsidRPr="00440CAB">
        <w:rPr>
          <w:rFonts w:ascii="Narkisim" w:hAnsi="Narkisim"/>
          <w:rtl/>
        </w:rPr>
        <w:t>, דחיישינן שמא יתלה בהם בעתיד</w:t>
      </w:r>
      <w:r w:rsidRPr="00440CAB">
        <w:rPr>
          <w:rStyle w:val="ac"/>
          <w:rFonts w:ascii="Narkisim" w:hAnsi="Narkisim"/>
          <w:rtl/>
        </w:rPr>
        <w:footnoteReference w:id="3844"/>
      </w:r>
      <w:r w:rsidRPr="00440CAB">
        <w:rPr>
          <w:rFonts w:ascii="Narkisim" w:hAnsi="Narkisim"/>
          <w:rtl/>
        </w:rPr>
        <w:t>.</w:t>
      </w:r>
    </w:p>
    <w:p w14:paraId="52A08D6A" w14:textId="77777777" w:rsidR="006074A5" w:rsidRPr="00440CAB" w:rsidRDefault="006074A5" w:rsidP="006074A5">
      <w:pPr>
        <w:bidi/>
        <w:rPr>
          <w:rFonts w:ascii="Narkisim" w:hAnsi="Narkisim" w:cs="Narkisim"/>
        </w:rPr>
      </w:pPr>
      <w:r w:rsidRPr="00440CAB">
        <w:rPr>
          <w:rFonts w:ascii="Narkisim" w:hAnsi="Narkisim" w:cs="Narkisim"/>
          <w:u w:val="single"/>
          <w:rtl/>
        </w:rPr>
        <w:t>והוא דאיתחזק ג' זימני.</w:t>
      </w:r>
      <w:r w:rsidRPr="00440CAB">
        <w:rPr>
          <w:rFonts w:ascii="Narkisim" w:hAnsi="Narkisim" w:cs="Narkisim"/>
          <w:rtl/>
        </w:rPr>
        <w:t xml:space="preserve"> ה</w:t>
      </w:r>
      <w:r w:rsidRPr="00440CAB">
        <w:rPr>
          <w:rFonts w:ascii="Narkisim" w:hAnsi="Narkisim" w:cs="Narkisim"/>
          <w:b/>
          <w:bCs/>
          <w:rtl/>
        </w:rPr>
        <w:t>רי"ף</w:t>
      </w:r>
      <w:r w:rsidRPr="00440CAB">
        <w:rPr>
          <w:rFonts w:ascii="Narkisim" w:hAnsi="Narkisim" w:cs="Narkisim"/>
          <w:rtl/>
        </w:rPr>
        <w:t xml:space="preserve"> כתב אבל ב' אקראי בעלמא הוא. וה</w:t>
      </w:r>
      <w:r w:rsidRPr="00440CAB">
        <w:rPr>
          <w:rFonts w:ascii="Narkisim" w:hAnsi="Narkisim" w:cs="Narkisim"/>
          <w:b/>
          <w:bCs/>
          <w:rtl/>
        </w:rPr>
        <w:t>רשב"א</w:t>
      </w:r>
      <w:r w:rsidRPr="00440CAB">
        <w:rPr>
          <w:rFonts w:ascii="Narkisim" w:hAnsi="Narkisim" w:cs="Narkisim"/>
          <w:rtl/>
        </w:rPr>
        <w:t xml:space="preserve"> כתב דבאחיות אף לרבי אינו מחזיק אלא בג' פעמים, דחידוש הוא. אבל אנפשיה בב' פעמים הוה חזקה. וכ"כ ה</w:t>
      </w:r>
      <w:r w:rsidRPr="00440CAB">
        <w:rPr>
          <w:rFonts w:ascii="Narkisim" w:hAnsi="Narkisim" w:cs="Narkisim"/>
          <w:b/>
          <w:bCs/>
          <w:rtl/>
        </w:rPr>
        <w:t>רמב"ן</w:t>
      </w:r>
      <w:r w:rsidRPr="00440CAB">
        <w:rPr>
          <w:rFonts w:ascii="Narkisim" w:hAnsi="Narkisim" w:cs="Narkisim"/>
          <w:rtl/>
        </w:rPr>
        <w:t xml:space="preserve"> (סה:), וכ"פ ה</w:t>
      </w:r>
      <w:r w:rsidRPr="00440CAB">
        <w:rPr>
          <w:rFonts w:ascii="Narkisim" w:hAnsi="Narkisim" w:cs="Narkisim"/>
          <w:b/>
          <w:bCs/>
          <w:rtl/>
        </w:rPr>
        <w:t>שו"ע</w:t>
      </w:r>
      <w:r w:rsidRPr="00440CAB">
        <w:rPr>
          <w:rFonts w:ascii="Narkisim" w:hAnsi="Narkisim" w:cs="Narkisim"/>
          <w:rtl/>
        </w:rPr>
        <w:t xml:space="preserve"> (ב ז). וה</w:t>
      </w:r>
      <w:r w:rsidRPr="00440CAB">
        <w:rPr>
          <w:rFonts w:ascii="Narkisim" w:hAnsi="Narkisim" w:cs="Narkisim"/>
          <w:b/>
          <w:bCs/>
          <w:rtl/>
        </w:rPr>
        <w:t>ריטב"א</w:t>
      </w:r>
      <w:r w:rsidRPr="00440CAB">
        <w:rPr>
          <w:rFonts w:ascii="Narkisim" w:hAnsi="Narkisim" w:cs="Narkisim"/>
          <w:rtl/>
        </w:rPr>
        <w:t xml:space="preserve"> כתב דחזקת משפחה בעי ג' פעמים. ועפ"ז כ' ה</w:t>
      </w:r>
      <w:r w:rsidRPr="00440CAB">
        <w:rPr>
          <w:rFonts w:ascii="Narkisim" w:hAnsi="Narkisim" w:cs="Narkisim"/>
          <w:b/>
          <w:bCs/>
          <w:rtl/>
        </w:rPr>
        <w:t>יש"ש</w:t>
      </w:r>
      <w:r w:rsidRPr="00440CAB">
        <w:rPr>
          <w:rFonts w:ascii="Narkisim" w:hAnsi="Narkisim" w:cs="Narkisim"/>
          <w:rtl/>
        </w:rPr>
        <w:t xml:space="preserve"> דבאחיות עצמן סגי בב' אחיות </w:t>
      </w:r>
      <w:r w:rsidRPr="00440CAB">
        <w:rPr>
          <w:rFonts w:ascii="Narkisim" w:hAnsi="Narkisim" w:cs="Narkisim"/>
          <w:sz w:val="20"/>
          <w:szCs w:val="20"/>
          <w:rtl/>
        </w:rPr>
        <w:t>[ורק לחשוש לכל המשפחה בעי ג'</w:t>
      </w:r>
      <w:r w:rsidRPr="00440CAB">
        <w:rPr>
          <w:rStyle w:val="ac"/>
          <w:rFonts w:ascii="Narkisim" w:hAnsi="Narkisim" w:cs="Narkisim"/>
          <w:sz w:val="20"/>
          <w:szCs w:val="20"/>
          <w:rtl/>
        </w:rPr>
        <w:footnoteReference w:id="3845"/>
      </w:r>
      <w:r w:rsidRPr="00440CAB">
        <w:rPr>
          <w:rFonts w:ascii="Narkisim" w:hAnsi="Narkisim" w:cs="Narkisim"/>
          <w:sz w:val="20"/>
          <w:szCs w:val="20"/>
          <w:rtl/>
        </w:rPr>
        <w:t>].</w:t>
      </w:r>
    </w:p>
    <w:p w14:paraId="745DFFE9" w14:textId="77777777" w:rsidR="006074A5" w:rsidRPr="00440CAB" w:rsidRDefault="006074A5" w:rsidP="006074A5">
      <w:pPr>
        <w:pStyle w:val="a8"/>
        <w:bidi/>
        <w:rPr>
          <w:rFonts w:ascii="Narkisim" w:hAnsi="Narkisim"/>
        </w:rPr>
      </w:pPr>
      <w:r w:rsidRPr="00440CAB">
        <w:rPr>
          <w:rFonts w:ascii="Narkisim" w:hAnsi="Narkisim"/>
          <w:rtl/>
        </w:rPr>
        <w:t>ולגבי מילה נפסק (יו"ד רסג ג) ג"כ דאחיות מחזקות, ואם מלה בנה ומת, וכן אחותה מלה ומת, הוחזקה המשפחה. וה</w:t>
      </w:r>
      <w:r w:rsidRPr="00440CAB">
        <w:rPr>
          <w:rFonts w:ascii="Narkisim" w:hAnsi="Narkisim"/>
          <w:b/>
          <w:bCs/>
          <w:rtl/>
        </w:rPr>
        <w:t>אחרונים</w:t>
      </w:r>
      <w:r w:rsidRPr="00440CAB">
        <w:rPr>
          <w:rFonts w:ascii="Narkisim" w:hAnsi="Narkisim"/>
          <w:rtl/>
        </w:rPr>
        <w:t xml:space="preserve"> הקשו אמאי לא אמרי' דבעי ג' לחזקת משפחה.</w:t>
      </w:r>
    </w:p>
    <w:p w14:paraId="552F76C5" w14:textId="77777777" w:rsidR="006074A5" w:rsidRPr="00440CAB" w:rsidRDefault="006074A5" w:rsidP="006074A5">
      <w:pPr>
        <w:bidi/>
        <w:rPr>
          <w:rFonts w:ascii="Narkisim" w:hAnsi="Narkisim" w:cs="Narkisim"/>
        </w:rPr>
      </w:pPr>
      <w:r w:rsidRPr="00440CAB">
        <w:rPr>
          <w:rFonts w:ascii="Narkisim" w:hAnsi="Narkisim" w:cs="Narkisim"/>
          <w:u w:val="single"/>
          <w:rtl/>
        </w:rPr>
        <w:t>רש"י ד"ה איסורא.</w:t>
      </w:r>
      <w:r w:rsidRPr="00440CAB">
        <w:rPr>
          <w:rFonts w:ascii="Narkisim" w:hAnsi="Narkisim" w:cs="Narkisim"/>
          <w:rtl/>
        </w:rPr>
        <w:t xml:space="preserve"> הויא מילה שלא בזמנו ואינה דוחה את השבת. מבואר ברש"י דבמקום סכנה נחשב שאינו מצוה במילה, ועי"ז נחשב מילה שלא בזמנה. </w:t>
      </w:r>
      <w:r w:rsidRPr="00440CAB">
        <w:rPr>
          <w:rFonts w:ascii="Narkisim" w:hAnsi="Narkisim" w:cs="Narkisim"/>
          <w:sz w:val="20"/>
          <w:szCs w:val="20"/>
          <w:rtl/>
        </w:rPr>
        <w:t>ואי לאו הסכנה מצוה למול, א"כ אם עבר והסתכן אמאי נחשב שחילל שבת [ועה"ק ב</w:t>
      </w:r>
      <w:r w:rsidRPr="00440CAB">
        <w:rPr>
          <w:rFonts w:ascii="Narkisim" w:hAnsi="Narkisim" w:cs="Narkisim"/>
          <w:b/>
          <w:bCs/>
          <w:sz w:val="20"/>
          <w:szCs w:val="20"/>
          <w:rtl/>
        </w:rPr>
        <w:t>קובה"ע</w:t>
      </w:r>
      <w:r w:rsidRPr="00440CAB">
        <w:rPr>
          <w:rFonts w:ascii="Narkisim" w:hAnsi="Narkisim" w:cs="Narkisim"/>
          <w:sz w:val="20"/>
          <w:szCs w:val="20"/>
          <w:rtl/>
        </w:rPr>
        <w:t xml:space="preserve"> (מח יט) בשם ה</w:t>
      </w:r>
      <w:r w:rsidRPr="00440CAB">
        <w:rPr>
          <w:rFonts w:ascii="Narkisim" w:hAnsi="Narkisim" w:cs="Narkisim"/>
          <w:b/>
          <w:bCs/>
          <w:sz w:val="20"/>
          <w:szCs w:val="20"/>
          <w:rtl/>
        </w:rPr>
        <w:t>גר"י מפונוביז</w:t>
      </w:r>
      <w:r w:rsidRPr="00440CAB">
        <w:rPr>
          <w:rFonts w:ascii="Narkisim" w:hAnsi="Narkisim" w:cs="Narkisim"/>
          <w:sz w:val="20"/>
          <w:szCs w:val="20"/>
          <w:rtl/>
        </w:rPr>
        <w:t xml:space="preserve">' ע"פ דברי </w:t>
      </w:r>
      <w:r w:rsidRPr="00440CAB">
        <w:rPr>
          <w:rFonts w:ascii="Narkisim" w:hAnsi="Narkisim" w:cs="Narkisim"/>
          <w:b/>
          <w:bCs/>
          <w:sz w:val="20"/>
          <w:szCs w:val="20"/>
          <w:rtl/>
        </w:rPr>
        <w:t>ריב"א</w:t>
      </w:r>
      <w:r w:rsidRPr="00440CAB">
        <w:rPr>
          <w:rFonts w:ascii="Narkisim" w:hAnsi="Narkisim" w:cs="Narkisim"/>
          <w:sz w:val="20"/>
          <w:szCs w:val="20"/>
          <w:rtl/>
        </w:rPr>
        <w:t xml:space="preserve"> (בתוס' חולין קמא.) דעשה במקום ל"ת ועשה, הל"ת נדחה אף אם עבר על העשה].</w:t>
      </w:r>
    </w:p>
    <w:p w14:paraId="18EC376A" w14:textId="77777777" w:rsidR="006074A5" w:rsidRPr="00440CAB" w:rsidRDefault="006074A5" w:rsidP="006074A5">
      <w:pPr>
        <w:pStyle w:val="a8"/>
        <w:bidi/>
        <w:rPr>
          <w:rFonts w:ascii="Narkisim" w:hAnsi="Narkisim"/>
        </w:rPr>
      </w:pPr>
      <w:r w:rsidRPr="00440CAB">
        <w:rPr>
          <w:rFonts w:ascii="Narkisim" w:hAnsi="Narkisim"/>
          <w:rtl/>
        </w:rPr>
        <w:t>והקובה"ע הביא דדעת ר"ת (לקמן ע.) דמתו אחיו מחמת מילה אינו מצווה למול כלל. ועוד כתב דצ"ל דמילה נדחית מפני פיקוח נפש.</w:t>
      </w:r>
    </w:p>
    <w:p w14:paraId="39169ACD" w14:textId="77777777" w:rsidR="006074A5" w:rsidRPr="00440CAB" w:rsidRDefault="006074A5" w:rsidP="006074A5">
      <w:pPr>
        <w:bidi/>
        <w:rPr>
          <w:rFonts w:ascii="Narkisim" w:hAnsi="Narkisim" w:cs="Narkisim"/>
        </w:rPr>
      </w:pPr>
      <w:r w:rsidRPr="00440CAB">
        <w:rPr>
          <w:rFonts w:ascii="Narkisim" w:hAnsi="Narkisim" w:cs="Narkisim"/>
          <w:u w:val="single"/>
          <w:rtl/>
        </w:rPr>
        <w:t>שם</w:t>
      </w:r>
      <w:r w:rsidRPr="00440CAB">
        <w:rPr>
          <w:rFonts w:ascii="Narkisim" w:hAnsi="Narkisim" w:cs="Narkisim"/>
          <w:rtl/>
        </w:rPr>
        <w:t>. ה</w:t>
      </w:r>
      <w:r w:rsidRPr="00440CAB">
        <w:rPr>
          <w:rFonts w:ascii="Narkisim" w:hAnsi="Narkisim" w:cs="Narkisim"/>
          <w:b/>
          <w:bCs/>
          <w:rtl/>
        </w:rPr>
        <w:t>מצפ"א</w:t>
      </w:r>
      <w:r w:rsidRPr="00440CAB">
        <w:rPr>
          <w:rFonts w:ascii="Narkisim" w:hAnsi="Narkisim" w:cs="Narkisim"/>
          <w:rtl/>
        </w:rPr>
        <w:t xml:space="preserve"> הקשה דאם לא קיים מצוות מילה הוה מקלקל בחבורה, ואמאי חשיב חילול </w:t>
      </w:r>
      <w:r w:rsidRPr="00440CAB">
        <w:rPr>
          <w:rFonts w:ascii="Narkisim" w:hAnsi="Narkisim" w:cs="Narkisim"/>
          <w:rtl/>
        </w:rPr>
        <w:lastRenderedPageBreak/>
        <w:t>שבת</w:t>
      </w:r>
      <w:r w:rsidRPr="00440CAB">
        <w:rPr>
          <w:rStyle w:val="ac"/>
          <w:rFonts w:ascii="Narkisim" w:hAnsi="Narkisim" w:cs="Narkisim"/>
          <w:rtl/>
        </w:rPr>
        <w:footnoteReference w:id="3846"/>
      </w:r>
      <w:r w:rsidRPr="00440CAB">
        <w:rPr>
          <w:rFonts w:ascii="Narkisim" w:hAnsi="Narkisim" w:cs="Narkisim"/>
          <w:rtl/>
        </w:rPr>
        <w:t xml:space="preserve">. </w:t>
      </w:r>
      <w:r w:rsidRPr="00440CAB">
        <w:rPr>
          <w:rFonts w:ascii="Narkisim" w:hAnsi="Narkisim" w:cs="Narkisim"/>
          <w:sz w:val="20"/>
          <w:szCs w:val="20"/>
          <w:rtl/>
        </w:rPr>
        <w:t>[ובפשוטו מוכח מזה דנחשב קיום מצוות מילה</w:t>
      </w:r>
      <w:r w:rsidRPr="00440CAB">
        <w:rPr>
          <w:rStyle w:val="ac"/>
          <w:rFonts w:ascii="Narkisim" w:hAnsi="Narkisim" w:cs="Narkisim"/>
          <w:sz w:val="20"/>
          <w:szCs w:val="20"/>
          <w:rtl/>
        </w:rPr>
        <w:footnoteReference w:id="3847"/>
      </w:r>
      <w:r w:rsidRPr="00440CAB">
        <w:rPr>
          <w:rFonts w:ascii="Narkisim" w:hAnsi="Narkisim" w:cs="Narkisim"/>
          <w:sz w:val="20"/>
          <w:szCs w:val="20"/>
          <w:rtl/>
        </w:rPr>
        <w:t>].</w:t>
      </w:r>
    </w:p>
    <w:p w14:paraId="333D7447" w14:textId="77777777" w:rsidR="006074A5" w:rsidRPr="00440CAB" w:rsidRDefault="006074A5" w:rsidP="006074A5">
      <w:pPr>
        <w:pStyle w:val="aa"/>
        <w:bidi/>
        <w:rPr>
          <w:rFonts w:ascii="Narkisim" w:hAnsi="Narkisim"/>
        </w:rPr>
      </w:pPr>
      <w:r w:rsidRPr="00440CAB">
        <w:rPr>
          <w:rFonts w:ascii="Narkisim" w:hAnsi="Narkisim"/>
          <w:u w:val="single"/>
          <w:rtl/>
        </w:rPr>
        <w:t>שם. מילה שלא בזמנו</w:t>
      </w:r>
      <w:r w:rsidRPr="00440CAB">
        <w:rPr>
          <w:rFonts w:ascii="Narkisim" w:hAnsi="Narkisim"/>
          <w:rtl/>
        </w:rPr>
        <w:t>. ה</w:t>
      </w:r>
      <w:r w:rsidRPr="00440CAB">
        <w:rPr>
          <w:rFonts w:ascii="Narkisim" w:hAnsi="Narkisim"/>
          <w:b/>
          <w:bCs/>
          <w:rtl/>
        </w:rPr>
        <w:t>אבנ"נ</w:t>
      </w:r>
      <w:r w:rsidRPr="00440CAB">
        <w:rPr>
          <w:rFonts w:ascii="Narkisim" w:hAnsi="Narkisim"/>
          <w:rtl/>
        </w:rPr>
        <w:t xml:space="preserve"> (יו"ד שכו) דייק דרש"י תלה משום שהוא מילה שלא בזמנו, והק' תיפו"ל דאינו מצווה מחמת סכנה א"כ נימא דאינה מילה כלל</w:t>
      </w:r>
      <w:r w:rsidRPr="00440CAB">
        <w:rPr>
          <w:rStyle w:val="ac"/>
          <w:rFonts w:ascii="Narkisim" w:hAnsi="Narkisim"/>
          <w:rtl/>
        </w:rPr>
        <w:footnoteReference w:id="3848"/>
      </w:r>
      <w:r w:rsidRPr="00440CAB">
        <w:rPr>
          <w:rFonts w:ascii="Narkisim" w:hAnsi="Narkisim"/>
          <w:rtl/>
        </w:rPr>
        <w:t>, ואמאי נחשב מילה שלא בזמנה בשבת. וה</w:t>
      </w:r>
      <w:r w:rsidRPr="00440CAB">
        <w:rPr>
          <w:rFonts w:ascii="Narkisim" w:hAnsi="Narkisim"/>
          <w:b/>
          <w:bCs/>
          <w:rtl/>
        </w:rPr>
        <w:t>אבנ"נ</w:t>
      </w:r>
      <w:r w:rsidRPr="00440CAB">
        <w:rPr>
          <w:rFonts w:ascii="Narkisim" w:hAnsi="Narkisim"/>
          <w:rtl/>
        </w:rPr>
        <w:t xml:space="preserve"> (וכ"כ הישרש יעקב) תי' דכיון דמחוייב במילה כשיבריא נחשב מצווה במצוה מילה שלא בזמנו</w:t>
      </w:r>
      <w:r w:rsidRPr="00440CAB">
        <w:rPr>
          <w:rStyle w:val="ac"/>
          <w:rFonts w:ascii="Narkisim" w:hAnsi="Narkisim"/>
          <w:rtl/>
        </w:rPr>
        <w:footnoteReference w:id="3849"/>
      </w:r>
      <w:r w:rsidRPr="00440CAB">
        <w:rPr>
          <w:rFonts w:ascii="Narkisim" w:hAnsi="Narkisim"/>
          <w:rtl/>
        </w:rPr>
        <w:t>.</w:t>
      </w:r>
    </w:p>
    <w:p w14:paraId="57A29E69" w14:textId="77777777" w:rsidR="006074A5" w:rsidRPr="00440CAB" w:rsidRDefault="006074A5" w:rsidP="006074A5">
      <w:pPr>
        <w:pStyle w:val="a8"/>
        <w:bidi/>
        <w:rPr>
          <w:rFonts w:ascii="Narkisim" w:hAnsi="Narkisim"/>
        </w:rPr>
      </w:pPr>
      <w:r w:rsidRPr="00440CAB">
        <w:rPr>
          <w:rFonts w:ascii="Narkisim" w:hAnsi="Narkisim"/>
          <w:rtl/>
        </w:rPr>
        <w:t>ועוד</w:t>
      </w:r>
      <w:r w:rsidRPr="00440CAB">
        <w:rPr>
          <w:rFonts w:ascii="Narkisim" w:hAnsi="Narkisim"/>
          <w:i/>
          <w:iCs/>
          <w:rtl/>
        </w:rPr>
        <w:t xml:space="preserve"> </w:t>
      </w:r>
      <w:r w:rsidRPr="00440CAB">
        <w:rPr>
          <w:rFonts w:ascii="Narkisim" w:hAnsi="Narkisim"/>
          <w:rtl/>
        </w:rPr>
        <w:t>שמעתי לפרש דחל עליו מצוות מילה, אלא דלדחות שבת במילה בזמנה בעי צווי בפועל כדי לדחות, ולא סגי בהא שמקיים מילת שמיני</w:t>
      </w:r>
      <w:r w:rsidRPr="00440CAB">
        <w:rPr>
          <w:rStyle w:val="ac"/>
          <w:rFonts w:ascii="Narkisim" w:hAnsi="Narkisim"/>
          <w:rtl/>
        </w:rPr>
        <w:footnoteReference w:id="3850"/>
      </w:r>
      <w:r w:rsidRPr="00440CAB">
        <w:rPr>
          <w:rFonts w:ascii="Narkisim" w:hAnsi="Narkisim"/>
          <w:rtl/>
        </w:rPr>
        <w:t>. והכא מחמת סכנה אין צווי לא נאמר דין דחייה, ואף דמתקיים בכך 'מילת שמיני'.</w:t>
      </w:r>
    </w:p>
    <w:p w14:paraId="14A3FB16" w14:textId="77777777" w:rsidR="006074A5" w:rsidRPr="00440CAB" w:rsidRDefault="006074A5" w:rsidP="006074A5">
      <w:pPr>
        <w:bidi/>
        <w:rPr>
          <w:rFonts w:ascii="Narkisim" w:hAnsi="Narkisim" w:cs="Narkisim"/>
        </w:rPr>
      </w:pPr>
      <w:r w:rsidRPr="00440CAB">
        <w:rPr>
          <w:rFonts w:ascii="Narkisim" w:hAnsi="Narkisim" w:cs="Narkisim"/>
          <w:u w:val="single"/>
          <w:rtl/>
        </w:rPr>
        <w:t>לשלישי לא תנשא וכו'.</w:t>
      </w:r>
      <w:r w:rsidRPr="00440CAB">
        <w:rPr>
          <w:rFonts w:ascii="Narkisim" w:hAnsi="Narkisim" w:cs="Narkisim"/>
          <w:rtl/>
        </w:rPr>
        <w:t xml:space="preserve"> [דחיישינן שבעלה ימות. דמעין גורם או מזל גורם]. ה</w:t>
      </w:r>
      <w:r w:rsidRPr="00440CAB">
        <w:rPr>
          <w:rFonts w:ascii="Narkisim" w:hAnsi="Narkisim" w:cs="Narkisim"/>
          <w:b/>
          <w:bCs/>
          <w:rtl/>
        </w:rPr>
        <w:t>רמב"ם</w:t>
      </w:r>
      <w:r w:rsidRPr="00440CAB">
        <w:rPr>
          <w:rFonts w:ascii="Narkisim" w:hAnsi="Narkisim" w:cs="Narkisim"/>
          <w:rtl/>
        </w:rPr>
        <w:t xml:space="preserve"> (איסו"ב כא ל) פסק דאם נשאת לא תצא, ואפי' אם נתקדשה יכנוס. וה</w:t>
      </w:r>
      <w:r w:rsidRPr="00440CAB">
        <w:rPr>
          <w:rFonts w:ascii="Narkisim" w:hAnsi="Narkisim" w:cs="Narkisim"/>
          <w:b/>
          <w:bCs/>
          <w:rtl/>
        </w:rPr>
        <w:t>ראשונים</w:t>
      </w:r>
      <w:r w:rsidRPr="00440CAB">
        <w:rPr>
          <w:rFonts w:ascii="Narkisim" w:hAnsi="Narkisim" w:cs="Narkisim"/>
          <w:rtl/>
        </w:rPr>
        <w:t xml:space="preserve"> הקשו מנ"ל לרמב"ם כן</w:t>
      </w:r>
      <w:r w:rsidRPr="00440CAB">
        <w:rPr>
          <w:rStyle w:val="ac"/>
          <w:rFonts w:ascii="Narkisim" w:hAnsi="Narkisim" w:cs="Narkisim"/>
          <w:rtl/>
        </w:rPr>
        <w:footnoteReference w:id="3851"/>
      </w:r>
      <w:r w:rsidRPr="00440CAB">
        <w:rPr>
          <w:rFonts w:ascii="Narkisim" w:hAnsi="Narkisim" w:cs="Narkisim"/>
          <w:rtl/>
        </w:rPr>
        <w:t>. ו</w:t>
      </w:r>
      <w:r w:rsidRPr="00440CAB">
        <w:rPr>
          <w:rFonts w:ascii="Narkisim" w:hAnsi="Narkisim" w:cs="Narkisim"/>
          <w:b/>
          <w:bCs/>
          <w:rtl/>
        </w:rPr>
        <w:t>ה"ה</w:t>
      </w:r>
      <w:r w:rsidRPr="00440CAB">
        <w:rPr>
          <w:rFonts w:ascii="Narkisim" w:hAnsi="Narkisim" w:cs="Narkisim"/>
          <w:rtl/>
        </w:rPr>
        <w:t xml:space="preserve"> כתב שהרמב"ם נקט דהוה דין לכתחילה כיון דלא מצאנו בשום מקום שתצא.</w:t>
      </w:r>
      <w:r w:rsidRPr="00440CAB">
        <w:rPr>
          <w:rFonts w:ascii="Narkisim" w:hAnsi="Narkisim" w:cs="Narkisim"/>
          <w:sz w:val="20"/>
          <w:szCs w:val="20"/>
          <w:rtl/>
        </w:rPr>
        <w:t xml:space="preserve"> וה</w:t>
      </w:r>
      <w:r w:rsidRPr="00440CAB">
        <w:rPr>
          <w:rFonts w:ascii="Narkisim" w:hAnsi="Narkisim" w:cs="Narkisim"/>
          <w:b/>
          <w:bCs/>
          <w:sz w:val="20"/>
          <w:szCs w:val="20"/>
          <w:rtl/>
        </w:rPr>
        <w:t>כס"מ</w:t>
      </w:r>
      <w:r w:rsidRPr="00440CAB">
        <w:rPr>
          <w:rFonts w:ascii="Narkisim" w:hAnsi="Narkisim" w:cs="Narkisim"/>
          <w:sz w:val="20"/>
          <w:szCs w:val="20"/>
          <w:rtl/>
        </w:rPr>
        <w:t xml:space="preserve"> הביא מדלא אפקוה מאביי</w:t>
      </w:r>
      <w:r w:rsidRPr="00440CAB">
        <w:rPr>
          <w:rStyle w:val="ac"/>
          <w:rFonts w:ascii="Narkisim" w:hAnsi="Narkisim" w:cs="Narkisim"/>
          <w:sz w:val="20"/>
          <w:szCs w:val="20"/>
          <w:rtl/>
        </w:rPr>
        <w:footnoteReference w:id="3852"/>
      </w:r>
      <w:r w:rsidRPr="00440CAB">
        <w:rPr>
          <w:rFonts w:ascii="Narkisim" w:hAnsi="Narkisim" w:cs="Narkisim"/>
          <w:sz w:val="20"/>
          <w:szCs w:val="20"/>
          <w:rtl/>
        </w:rPr>
        <w:t>. והביא דב</w:t>
      </w:r>
      <w:r w:rsidRPr="00440CAB">
        <w:rPr>
          <w:rFonts w:ascii="Narkisim" w:hAnsi="Narkisim" w:cs="Narkisim"/>
          <w:b/>
          <w:bCs/>
          <w:sz w:val="20"/>
          <w:szCs w:val="20"/>
          <w:rtl/>
        </w:rPr>
        <w:t>שו"ת הרמב"ם</w:t>
      </w:r>
      <w:r w:rsidRPr="00440CAB">
        <w:rPr>
          <w:rFonts w:ascii="Narkisim" w:hAnsi="Narkisim" w:cs="Narkisim"/>
          <w:sz w:val="20"/>
          <w:szCs w:val="20"/>
          <w:rtl/>
        </w:rPr>
        <w:t xml:space="preserve"> (ריח) כתב דאין איסור בקטלנית אלא הוה על צד הניחוש</w:t>
      </w:r>
      <w:r w:rsidRPr="00440CAB">
        <w:rPr>
          <w:rStyle w:val="ac"/>
          <w:rFonts w:ascii="Narkisim" w:hAnsi="Narkisim" w:cs="Narkisim"/>
          <w:sz w:val="20"/>
          <w:szCs w:val="20"/>
          <w:rtl/>
        </w:rPr>
        <w:footnoteReference w:id="3853"/>
      </w:r>
      <w:r w:rsidRPr="00440CAB">
        <w:rPr>
          <w:rFonts w:ascii="Narkisim" w:hAnsi="Narkisim" w:cs="Narkisim"/>
          <w:sz w:val="20"/>
          <w:szCs w:val="20"/>
          <w:rtl/>
        </w:rPr>
        <w:t xml:space="preserve"> וכו'. והביא דנהגו שלא לקדש לכתחילה, אבל אומרים לה שאם תמצא מי שיקדש אותה לא נחייב לגרש, ועי"ז היו מקדשים בפני עדים ואח"כ הבי"ד היו כותבים לה כתובה.</w:t>
      </w:r>
    </w:p>
    <w:p w14:paraId="71E445C5"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גר"א</w:t>
      </w:r>
      <w:r w:rsidRPr="00440CAB">
        <w:rPr>
          <w:rFonts w:ascii="Narkisim" w:hAnsi="Narkisim"/>
          <w:rtl/>
        </w:rPr>
        <w:t xml:space="preserve"> (ט ב) הביא דה</w:t>
      </w:r>
      <w:r w:rsidRPr="00440CAB">
        <w:rPr>
          <w:rFonts w:ascii="Narkisim" w:hAnsi="Narkisim"/>
          <w:b/>
          <w:bCs/>
          <w:rtl/>
        </w:rPr>
        <w:t>רא"ש</w:t>
      </w:r>
      <w:r w:rsidRPr="00440CAB">
        <w:rPr>
          <w:rFonts w:ascii="Narkisim" w:hAnsi="Narkisim"/>
          <w:rtl/>
        </w:rPr>
        <w:t xml:space="preserve"> (כתובות ד ג) ס"ל דכופין להוציא, וחמירא סכנתא מאיסורא. וכ"כ ה</w:t>
      </w:r>
      <w:r w:rsidRPr="00440CAB">
        <w:rPr>
          <w:rFonts w:ascii="Narkisim" w:hAnsi="Narkisim"/>
          <w:b/>
          <w:bCs/>
          <w:rtl/>
        </w:rPr>
        <w:t>ריטב"א</w:t>
      </w:r>
      <w:r w:rsidRPr="00440CAB">
        <w:rPr>
          <w:rFonts w:ascii="Narkisim" w:hAnsi="Narkisim"/>
          <w:rtl/>
        </w:rPr>
        <w:t xml:space="preserve"> דלא שבקינן ליה, דהוה בכלל שופך דם האדם באדם [דאסור לאבד את עצמו].</w:t>
      </w:r>
    </w:p>
    <w:p w14:paraId="5D557B0B" w14:textId="77777777" w:rsidR="006074A5" w:rsidRPr="00440CAB" w:rsidRDefault="006074A5" w:rsidP="006074A5">
      <w:pPr>
        <w:pStyle w:val="aa"/>
        <w:bidi/>
        <w:rPr>
          <w:rFonts w:ascii="Narkisim" w:hAnsi="Narkisim"/>
        </w:rPr>
      </w:pPr>
      <w:r w:rsidRPr="00440CAB">
        <w:rPr>
          <w:rFonts w:ascii="Narkisim" w:hAnsi="Narkisim"/>
          <w:u w:val="single"/>
          <w:rtl/>
        </w:rPr>
        <w:t>והא איהו דאמר וכו' לאו בר סמכא וכו' אינו בחזרה</w:t>
      </w:r>
      <w:r w:rsidRPr="00440CAB">
        <w:rPr>
          <w:rFonts w:ascii="Narkisim" w:hAnsi="Narkisim"/>
          <w:rtl/>
        </w:rPr>
        <w:t>. פ</w:t>
      </w:r>
      <w:r w:rsidRPr="00440CAB">
        <w:rPr>
          <w:rFonts w:ascii="Narkisim" w:hAnsi="Narkisim"/>
          <w:b/>
          <w:bCs/>
          <w:rtl/>
        </w:rPr>
        <w:t>רש"י</w:t>
      </w:r>
      <w:r w:rsidRPr="00440CAB">
        <w:rPr>
          <w:rFonts w:ascii="Narkisim" w:hAnsi="Narkisim"/>
          <w:rtl/>
        </w:rPr>
        <w:t xml:space="preserve"> לשון אחר שאינו יודע אם ר' יוחנן חזר בו. וצ"ב דכיון דשמע להדיא מפיו</w:t>
      </w:r>
      <w:r w:rsidRPr="00440CAB">
        <w:rPr>
          <w:rStyle w:val="ac"/>
          <w:rFonts w:ascii="Narkisim" w:hAnsi="Narkisim"/>
          <w:rtl/>
        </w:rPr>
        <w:footnoteReference w:id="3854"/>
      </w:r>
      <w:r w:rsidRPr="00440CAB">
        <w:rPr>
          <w:rFonts w:ascii="Narkisim" w:hAnsi="Narkisim"/>
          <w:rtl/>
        </w:rPr>
        <w:t xml:space="preserve"> לכאורה אי"צ לחשוש שחזר בו</w:t>
      </w:r>
      <w:r w:rsidRPr="00440CAB">
        <w:rPr>
          <w:rStyle w:val="ac"/>
          <w:rFonts w:ascii="Narkisim" w:hAnsi="Narkisim"/>
          <w:rtl/>
        </w:rPr>
        <w:footnoteReference w:id="3855"/>
      </w:r>
      <w:r w:rsidRPr="00440CAB">
        <w:rPr>
          <w:rFonts w:ascii="Narkisim" w:hAnsi="Narkisim"/>
          <w:rtl/>
        </w:rPr>
        <w:t>.</w:t>
      </w:r>
    </w:p>
    <w:p w14:paraId="335E452A" w14:textId="77777777" w:rsidR="006074A5" w:rsidRPr="00440CAB" w:rsidRDefault="006074A5" w:rsidP="006074A5">
      <w:pPr>
        <w:pStyle w:val="aa"/>
        <w:bidi/>
        <w:rPr>
          <w:rFonts w:ascii="Narkisim" w:hAnsi="Narkisim"/>
        </w:rPr>
      </w:pPr>
      <w:r w:rsidRPr="00440CAB">
        <w:rPr>
          <w:rFonts w:ascii="Narkisim" w:hAnsi="Narkisim"/>
          <w:u w:val="single"/>
          <w:rtl/>
        </w:rPr>
        <w:t>ועוד אימר דפליגי לענין מילה, בנישואין מי פליגי.</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כתב דאין זה מדברי רבא, אלא התלמוד מברר הדבר. וביאר דס"ד דהגמ' דגבי מילה אין החזקה באותו ולד, אלא מחזיקין מולד לולד ולכן בעי ג'. אבל גבי קטלנית דהיא גופה הוחזקה אפי' רשב"ג יודה.</w:t>
      </w:r>
    </w:p>
    <w:p w14:paraId="429032E0" w14:textId="77777777" w:rsidR="006074A5" w:rsidRPr="00440CAB" w:rsidRDefault="006074A5" w:rsidP="006074A5">
      <w:pPr>
        <w:bidi/>
        <w:rPr>
          <w:rFonts w:ascii="Narkisim" w:hAnsi="Narkisim" w:cs="Narkisim"/>
        </w:rPr>
      </w:pPr>
      <w:r w:rsidRPr="00440CAB">
        <w:rPr>
          <w:rFonts w:ascii="Narkisim" w:hAnsi="Narkisim" w:cs="Narkisim"/>
          <w:u w:val="single"/>
          <w:rtl/>
        </w:rPr>
        <w:t>איכא בנייהו וכו'.</w:t>
      </w:r>
      <w:r w:rsidRPr="00440CAB">
        <w:rPr>
          <w:rFonts w:ascii="Narkisim" w:hAnsi="Narkisim" w:cs="Narkisim"/>
          <w:rtl/>
        </w:rPr>
        <w:t xml:space="preserve"> </w:t>
      </w:r>
      <w:r w:rsidRPr="00440CAB">
        <w:rPr>
          <w:rFonts w:ascii="Narkisim" w:hAnsi="Narkisim" w:cs="Narkisim"/>
          <w:b/>
          <w:bCs/>
          <w:rtl/>
        </w:rPr>
        <w:t>רוב</w:t>
      </w:r>
      <w:r w:rsidRPr="00440CAB">
        <w:rPr>
          <w:rFonts w:ascii="Narkisim" w:hAnsi="Narkisim" w:cs="Narkisim"/>
          <w:rtl/>
        </w:rPr>
        <w:t xml:space="preserve"> </w:t>
      </w:r>
      <w:r w:rsidRPr="00440CAB">
        <w:rPr>
          <w:rFonts w:ascii="Narkisim" w:hAnsi="Narkisim" w:cs="Narkisim"/>
          <w:b/>
          <w:bCs/>
          <w:rtl/>
        </w:rPr>
        <w:t>ראשונים</w:t>
      </w:r>
      <w:r w:rsidRPr="00440CAB">
        <w:rPr>
          <w:rFonts w:ascii="Narkisim" w:hAnsi="Narkisim" w:cs="Narkisim"/>
          <w:rtl/>
        </w:rPr>
        <w:t xml:space="preserve"> פסקו כמ"ד מזל גורם. אבל ה</w:t>
      </w:r>
      <w:r w:rsidRPr="00440CAB">
        <w:rPr>
          <w:rFonts w:ascii="Narkisim" w:hAnsi="Narkisim" w:cs="Narkisim"/>
          <w:b/>
          <w:bCs/>
          <w:rtl/>
        </w:rPr>
        <w:t>מאירי</w:t>
      </w:r>
      <w:r w:rsidRPr="00440CAB">
        <w:rPr>
          <w:rFonts w:ascii="Narkisim" w:hAnsi="Narkisim" w:cs="Narkisim"/>
          <w:rtl/>
        </w:rPr>
        <w:t xml:space="preserve"> פסק כמ"ד מעין, וכן הביא ה</w:t>
      </w:r>
      <w:r w:rsidRPr="00440CAB">
        <w:rPr>
          <w:rFonts w:ascii="Narkisim" w:hAnsi="Narkisim" w:cs="Narkisim"/>
          <w:b/>
          <w:bCs/>
          <w:rtl/>
        </w:rPr>
        <w:t>רמ"א</w:t>
      </w:r>
      <w:r w:rsidRPr="00440CAB">
        <w:rPr>
          <w:rFonts w:ascii="Narkisim" w:hAnsi="Narkisim" w:cs="Narkisim"/>
          <w:sz w:val="20"/>
          <w:szCs w:val="20"/>
          <w:rtl/>
        </w:rPr>
        <w:t xml:space="preserve"> (ט א)</w:t>
      </w:r>
      <w:r w:rsidRPr="00440CAB">
        <w:rPr>
          <w:rFonts w:ascii="Narkisim" w:hAnsi="Narkisim" w:cs="Narkisim"/>
          <w:rtl/>
        </w:rPr>
        <w:t xml:space="preserve"> </w:t>
      </w:r>
      <w:r w:rsidRPr="00440CAB">
        <w:rPr>
          <w:rFonts w:ascii="Narkisim" w:hAnsi="Narkisim" w:cs="Narkisim"/>
          <w:b/>
          <w:bCs/>
          <w:rtl/>
        </w:rPr>
        <w:t>י"א</w:t>
      </w:r>
      <w:r w:rsidRPr="00440CAB">
        <w:rPr>
          <w:rFonts w:ascii="Narkisim" w:hAnsi="Narkisim" w:cs="Narkisim"/>
          <w:rtl/>
        </w:rPr>
        <w:t xml:space="preserve"> דאם נהרג</w:t>
      </w:r>
      <w:r w:rsidRPr="00440CAB">
        <w:rPr>
          <w:rStyle w:val="ac"/>
          <w:rFonts w:ascii="Narkisim" w:hAnsi="Narkisim" w:cs="Narkisim"/>
          <w:rtl/>
        </w:rPr>
        <w:footnoteReference w:id="3856"/>
      </w:r>
      <w:r w:rsidRPr="00440CAB">
        <w:rPr>
          <w:rFonts w:ascii="Narkisim" w:hAnsi="Narkisim" w:cs="Narkisim"/>
          <w:rtl/>
        </w:rPr>
        <w:t xml:space="preserve"> וכדו' לא הוה קטלנית. </w:t>
      </w:r>
      <w:r w:rsidRPr="00440CAB">
        <w:rPr>
          <w:rFonts w:ascii="Narkisim" w:hAnsi="Narkisim" w:cs="Narkisim"/>
          <w:sz w:val="20"/>
          <w:szCs w:val="20"/>
          <w:rtl/>
        </w:rPr>
        <w:t>והנו"כ ביארו דפסק כמ"ד מעין גורם</w:t>
      </w:r>
      <w:r w:rsidRPr="00440CAB">
        <w:rPr>
          <w:rStyle w:val="ac"/>
          <w:rFonts w:ascii="Narkisim" w:hAnsi="Narkisim" w:cs="Narkisim"/>
          <w:sz w:val="20"/>
          <w:szCs w:val="20"/>
          <w:rtl/>
        </w:rPr>
        <w:footnoteReference w:id="3857"/>
      </w:r>
      <w:r w:rsidRPr="00440CAB">
        <w:rPr>
          <w:rFonts w:ascii="Narkisim" w:hAnsi="Narkisim" w:cs="Narkisim"/>
          <w:sz w:val="20"/>
          <w:szCs w:val="20"/>
          <w:rtl/>
        </w:rPr>
        <w:t xml:space="preserve">. [וכמ"ש </w:t>
      </w:r>
      <w:r w:rsidRPr="00440CAB">
        <w:rPr>
          <w:rFonts w:ascii="Narkisim" w:hAnsi="Narkisim" w:cs="Narkisim"/>
          <w:b/>
          <w:bCs/>
          <w:sz w:val="20"/>
          <w:szCs w:val="20"/>
          <w:rtl/>
        </w:rPr>
        <w:t>תוס</w:t>
      </w:r>
      <w:r w:rsidRPr="00440CAB">
        <w:rPr>
          <w:rFonts w:ascii="Narkisim" w:hAnsi="Narkisim" w:cs="Narkisim"/>
          <w:sz w:val="20"/>
          <w:szCs w:val="20"/>
          <w:rtl/>
        </w:rPr>
        <w:t>' כתובות מג: דהגמ' שם סתמא כמ"ד מעין].</w:t>
      </w:r>
    </w:p>
    <w:p w14:paraId="30FC9451"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שו"ת הרא"ש</w:t>
      </w:r>
      <w:r w:rsidRPr="00440CAB">
        <w:rPr>
          <w:rFonts w:ascii="Narkisim" w:hAnsi="Narkisim"/>
          <w:sz w:val="20"/>
          <w:szCs w:val="20"/>
          <w:rtl/>
        </w:rPr>
        <w:t xml:space="preserve"> (נג ח, וכ"פ השו"ע ט ב)</w:t>
      </w:r>
      <w:r w:rsidRPr="00440CAB">
        <w:rPr>
          <w:rFonts w:ascii="Narkisim" w:hAnsi="Narkisim"/>
          <w:rtl/>
        </w:rPr>
        <w:t xml:space="preserve"> כתב דבאיש [שמתו נשיו] לא חיישינן שיחשב קטלן, דלמ"ד מזל גורם היינו מזל המזונות שתהא בלא בעל לפרנסה. אבל ל"ש מצד המזל שיהרוג.</w:t>
      </w:r>
    </w:p>
    <w:p w14:paraId="64D2B234" w14:textId="77777777" w:rsidR="006074A5" w:rsidRPr="00440CAB" w:rsidRDefault="006074A5" w:rsidP="006074A5">
      <w:pPr>
        <w:pStyle w:val="a8"/>
        <w:bidi/>
        <w:rPr>
          <w:rFonts w:ascii="Narkisim" w:hAnsi="Narkisim"/>
        </w:rPr>
      </w:pPr>
      <w:r w:rsidRPr="00440CAB">
        <w:rPr>
          <w:rFonts w:ascii="Narkisim" w:hAnsi="Narkisim"/>
          <w:rtl/>
        </w:rPr>
        <w:t xml:space="preserve">ודעת </w:t>
      </w:r>
      <w:r w:rsidRPr="00440CAB">
        <w:rPr>
          <w:rFonts w:ascii="Narkisim" w:hAnsi="Narkisim"/>
          <w:b/>
          <w:bCs/>
          <w:rtl/>
        </w:rPr>
        <w:t>רש"י</w:t>
      </w:r>
      <w:r w:rsidRPr="00440CAB">
        <w:rPr>
          <w:rFonts w:ascii="Narkisim" w:hAnsi="Narkisim"/>
          <w:rtl/>
        </w:rPr>
        <w:t xml:space="preserve"> (לעיל כו.) דאף בהוחזק לגרש לא תנשא לשלישי [למ"ד מזל גורם</w:t>
      </w:r>
      <w:r w:rsidRPr="00440CAB">
        <w:rPr>
          <w:rStyle w:val="ac"/>
          <w:rFonts w:ascii="Narkisim" w:hAnsi="Narkisim"/>
          <w:rtl/>
        </w:rPr>
        <w:footnoteReference w:id="3858"/>
      </w:r>
      <w:r w:rsidRPr="00440CAB">
        <w:rPr>
          <w:rFonts w:ascii="Narkisim" w:hAnsi="Narkisim"/>
          <w:rtl/>
        </w:rPr>
        <w:t>]. ו</w:t>
      </w:r>
      <w:r w:rsidRPr="00440CAB">
        <w:rPr>
          <w:rFonts w:ascii="Narkisim" w:hAnsi="Narkisim"/>
          <w:b/>
          <w:bCs/>
          <w:rtl/>
        </w:rPr>
        <w:t>תוס'</w:t>
      </w:r>
      <w:r w:rsidRPr="00440CAB">
        <w:rPr>
          <w:rFonts w:ascii="Narkisim" w:hAnsi="Narkisim"/>
          <w:rtl/>
        </w:rPr>
        <w:t xml:space="preserve"> וה</w:t>
      </w:r>
      <w:r w:rsidRPr="00440CAB">
        <w:rPr>
          <w:rFonts w:ascii="Narkisim" w:hAnsi="Narkisim"/>
          <w:b/>
          <w:bCs/>
          <w:rtl/>
        </w:rPr>
        <w:t>ראשונים</w:t>
      </w:r>
      <w:r w:rsidRPr="00440CAB">
        <w:rPr>
          <w:rFonts w:ascii="Narkisim" w:hAnsi="Narkisim"/>
          <w:rtl/>
        </w:rPr>
        <w:t xml:space="preserve"> שם חלקו.</w:t>
      </w:r>
    </w:p>
    <w:p w14:paraId="020B5960" w14:textId="77777777" w:rsidR="006074A5" w:rsidRPr="00440CAB" w:rsidRDefault="006074A5" w:rsidP="006074A5">
      <w:pPr>
        <w:pStyle w:val="aa"/>
        <w:bidi/>
        <w:rPr>
          <w:rFonts w:ascii="Narkisim" w:hAnsi="Narkisim"/>
        </w:rPr>
      </w:pPr>
      <w:r w:rsidRPr="00440CAB">
        <w:rPr>
          <w:rFonts w:ascii="Narkisim" w:hAnsi="Narkisim"/>
          <w:rtl/>
        </w:rPr>
        <w:lastRenderedPageBreak/>
        <w:t>וה</w:t>
      </w:r>
      <w:r w:rsidRPr="00440CAB">
        <w:rPr>
          <w:rFonts w:ascii="Narkisim" w:hAnsi="Narkisim"/>
          <w:b/>
          <w:bCs/>
          <w:rtl/>
        </w:rPr>
        <w:t>אחרונים</w:t>
      </w:r>
      <w:r w:rsidRPr="00440CAB">
        <w:rPr>
          <w:rFonts w:ascii="Narkisim" w:hAnsi="Narkisim"/>
          <w:rtl/>
        </w:rPr>
        <w:t xml:space="preserve"> (ע' פתח"ת ט ד) האריכו לדון האם במקום יבום חיישינן לקטלנית, או דאמרי' שומר מצווה לא ידע דבר רע</w:t>
      </w:r>
      <w:r w:rsidRPr="00440CAB">
        <w:rPr>
          <w:rStyle w:val="ac"/>
          <w:rFonts w:ascii="Narkisim" w:hAnsi="Narkisim"/>
          <w:rtl/>
        </w:rPr>
        <w:footnoteReference w:id="3859"/>
      </w:r>
      <w:r w:rsidRPr="00440CAB">
        <w:rPr>
          <w:rFonts w:ascii="Narkisim" w:hAnsi="Narkisim"/>
          <w:rtl/>
        </w:rPr>
        <w:t>. ע' מהרלב"ח (לו), נוב"י (ק' י), חכ"צ (א). והביאו דב</w:t>
      </w:r>
      <w:r w:rsidRPr="00440CAB">
        <w:rPr>
          <w:rFonts w:ascii="Narkisim" w:hAnsi="Narkisim"/>
          <w:b/>
          <w:bCs/>
          <w:rtl/>
        </w:rPr>
        <w:t>שו"ת הרמב"ם</w:t>
      </w:r>
      <w:r w:rsidRPr="00440CAB">
        <w:rPr>
          <w:rFonts w:ascii="Narkisim" w:hAnsi="Narkisim"/>
          <w:rtl/>
        </w:rPr>
        <w:t xml:space="preserve"> (ריח) כתב דלא חיישינן</w:t>
      </w:r>
      <w:r w:rsidRPr="00440CAB">
        <w:rPr>
          <w:rStyle w:val="ac"/>
          <w:rFonts w:ascii="Narkisim" w:hAnsi="Narkisim"/>
          <w:rtl/>
        </w:rPr>
        <w:footnoteReference w:id="3860"/>
      </w:r>
      <w:r w:rsidRPr="00440CAB">
        <w:rPr>
          <w:rFonts w:ascii="Narkisim" w:hAnsi="Narkisim"/>
          <w:rtl/>
        </w:rPr>
        <w:t xml:space="preserve">. אבל </w:t>
      </w:r>
      <w:r w:rsidRPr="00440CAB">
        <w:rPr>
          <w:rFonts w:ascii="Narkisim" w:hAnsi="Narkisim"/>
          <w:b/>
          <w:bCs/>
          <w:rtl/>
        </w:rPr>
        <w:t xml:space="preserve">רש"י </w:t>
      </w:r>
      <w:r w:rsidRPr="00440CAB">
        <w:rPr>
          <w:rFonts w:ascii="Narkisim" w:hAnsi="Narkisim"/>
          <w:rtl/>
        </w:rPr>
        <w:t>(בראשית לח יא) כתב דיהודה לא מסר את תמר לשילה, דהוחזקה שמתה בעליה</w:t>
      </w:r>
      <w:r w:rsidRPr="00440CAB">
        <w:rPr>
          <w:rStyle w:val="ac"/>
          <w:rFonts w:ascii="Narkisim" w:hAnsi="Narkisim"/>
          <w:rtl/>
        </w:rPr>
        <w:footnoteReference w:id="3861"/>
      </w:r>
      <w:r w:rsidRPr="00440CAB">
        <w:rPr>
          <w:rFonts w:ascii="Narkisim" w:hAnsi="Narkisim"/>
          <w:rtl/>
        </w:rPr>
        <w:t>. [אף דהוה במקום מצוה</w:t>
      </w:r>
      <w:r w:rsidRPr="00440CAB">
        <w:rPr>
          <w:rStyle w:val="ac"/>
          <w:rFonts w:ascii="Narkisim" w:hAnsi="Narkisim"/>
          <w:rtl/>
        </w:rPr>
        <w:footnoteReference w:id="3862"/>
      </w:r>
      <w:r w:rsidRPr="00440CAB">
        <w:rPr>
          <w:rFonts w:ascii="Narkisim" w:hAnsi="Narkisim"/>
          <w:rtl/>
        </w:rPr>
        <w:t>].</w:t>
      </w:r>
    </w:p>
    <w:p w14:paraId="08705B3F" w14:textId="77777777" w:rsidR="006074A5" w:rsidRPr="00440CAB" w:rsidRDefault="006074A5" w:rsidP="006074A5">
      <w:pPr>
        <w:bidi/>
        <w:rPr>
          <w:rFonts w:ascii="Narkisim" w:hAnsi="Narkisim" w:cs="Narkisim"/>
        </w:rPr>
      </w:pPr>
      <w:r w:rsidRPr="00440CAB">
        <w:rPr>
          <w:rFonts w:ascii="Narkisim" w:hAnsi="Narkisim" w:cs="Narkisim"/>
          <w:u w:val="single"/>
          <w:rtl/>
        </w:rPr>
        <w:t>נישואין ומלקיות כרבי, וסתות ושור המועד כרשב"ג.</w:t>
      </w:r>
      <w:r w:rsidRPr="00440CAB">
        <w:rPr>
          <w:rFonts w:ascii="Narkisim" w:hAnsi="Narkisim" w:cs="Narkisim"/>
          <w:rtl/>
        </w:rPr>
        <w:t xml:space="preserve"> ה</w:t>
      </w:r>
      <w:r w:rsidRPr="00440CAB">
        <w:rPr>
          <w:rFonts w:ascii="Narkisim" w:hAnsi="Narkisim" w:cs="Narkisim"/>
          <w:b/>
          <w:bCs/>
          <w:rtl/>
        </w:rPr>
        <w:t>רמב"ן</w:t>
      </w:r>
      <w:r w:rsidRPr="00440CAB">
        <w:rPr>
          <w:rFonts w:ascii="Narkisim" w:hAnsi="Narkisim" w:cs="Narkisim"/>
          <w:rtl/>
        </w:rPr>
        <w:t xml:space="preserve"> ו</w:t>
      </w:r>
      <w:r w:rsidRPr="00440CAB">
        <w:rPr>
          <w:rFonts w:ascii="Narkisim" w:hAnsi="Narkisim" w:cs="Narkisim"/>
          <w:b/>
          <w:bCs/>
          <w:rtl/>
        </w:rPr>
        <w:t>רשב"א</w:t>
      </w:r>
      <w:r w:rsidRPr="00440CAB">
        <w:rPr>
          <w:rFonts w:ascii="Narkisim" w:hAnsi="Narkisim" w:cs="Narkisim"/>
          <w:rtl/>
        </w:rPr>
        <w:t xml:space="preserve"> כת' וסתות דרבנן אזלי' לקולא, ושור המועד לא מוציאין ממון אלא בדבר ברור </w:t>
      </w:r>
      <w:r w:rsidRPr="00440CAB">
        <w:rPr>
          <w:rFonts w:ascii="Narkisim" w:hAnsi="Narkisim" w:cs="Narkisim"/>
          <w:sz w:val="20"/>
          <w:szCs w:val="20"/>
          <w:rtl/>
        </w:rPr>
        <w:t xml:space="preserve">[ומשמע דרבי פליג אף בזה. וע' </w:t>
      </w:r>
      <w:r w:rsidRPr="00440CAB">
        <w:rPr>
          <w:rFonts w:ascii="Narkisim" w:hAnsi="Narkisim" w:cs="Narkisim"/>
          <w:b/>
          <w:bCs/>
          <w:sz w:val="20"/>
          <w:szCs w:val="20"/>
          <w:rtl/>
        </w:rPr>
        <w:t>תוס</w:t>
      </w:r>
      <w:r w:rsidRPr="00440CAB">
        <w:rPr>
          <w:rFonts w:ascii="Narkisim" w:hAnsi="Narkisim" w:cs="Narkisim"/>
          <w:sz w:val="20"/>
          <w:szCs w:val="20"/>
          <w:rtl/>
        </w:rPr>
        <w:t>' סה. ד"ה ושור]</w:t>
      </w:r>
      <w:r w:rsidRPr="00440CAB">
        <w:rPr>
          <w:rFonts w:ascii="Narkisim" w:hAnsi="Narkisim" w:cs="Narkisim"/>
          <w:rtl/>
        </w:rPr>
        <w:t xml:space="preserve">. ובקטלנית ומילה משום סכנתא לחומרא. ומלקיות כיון דעבר ושנה בחייבי כריתות מבערין עושי רשע. </w:t>
      </w:r>
      <w:r w:rsidRPr="00440CAB">
        <w:rPr>
          <w:rFonts w:ascii="Narkisim" w:hAnsi="Narkisim" w:cs="Narkisim"/>
          <w:sz w:val="20"/>
          <w:szCs w:val="20"/>
          <w:rtl/>
        </w:rPr>
        <w:t>[ולא נתבאר בדבריהם מה הדין בדאורייתא, דמשמע דרק משום סכנה חמירא].</w:t>
      </w:r>
      <w:r w:rsidRPr="00440CAB">
        <w:rPr>
          <w:rFonts w:ascii="Narkisim" w:hAnsi="Narkisim" w:cs="Narkisim"/>
          <w:rtl/>
        </w:rPr>
        <w:t xml:space="preserve"> אבל ה</w:t>
      </w:r>
      <w:r w:rsidRPr="00440CAB">
        <w:rPr>
          <w:rFonts w:ascii="Narkisim" w:hAnsi="Narkisim" w:cs="Narkisim"/>
          <w:b/>
          <w:bCs/>
          <w:rtl/>
        </w:rPr>
        <w:t>תוס' רי"ד</w:t>
      </w:r>
      <w:r w:rsidRPr="00440CAB">
        <w:rPr>
          <w:rFonts w:ascii="Narkisim" w:hAnsi="Narkisim" w:cs="Narkisim"/>
          <w:rtl/>
        </w:rPr>
        <w:t xml:space="preserve"> חלק דבכל מקום הלכה כרשב"ג [דהוא רבו דרבי], מלבד נישואין ושור המועד דסתם לן תנא כרבי</w:t>
      </w:r>
      <w:r w:rsidRPr="00440CAB">
        <w:rPr>
          <w:rStyle w:val="ac"/>
          <w:rFonts w:ascii="Narkisim" w:hAnsi="Narkisim" w:cs="Narkisim"/>
          <w:rtl/>
        </w:rPr>
        <w:footnoteReference w:id="3863"/>
      </w:r>
      <w:r w:rsidRPr="00440CAB">
        <w:rPr>
          <w:rFonts w:ascii="Narkisim" w:hAnsi="Narkisim" w:cs="Narkisim"/>
          <w:rtl/>
        </w:rPr>
        <w:t>.</w:t>
      </w:r>
    </w:p>
    <w:p w14:paraId="5969292C"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מהרי"ט</w:t>
      </w:r>
      <w:r w:rsidRPr="00440CAB">
        <w:rPr>
          <w:rFonts w:ascii="Narkisim" w:hAnsi="Narkisim"/>
          <w:rtl/>
        </w:rPr>
        <w:t xml:space="preserve"> (ב יו"ד טו) כתב דשור המועד ווסתות דהוה חזקה מצד הטבע צריך ג' פעמים, אבל לגילוי מילתא בב' סגי</w:t>
      </w:r>
      <w:r w:rsidRPr="00440CAB">
        <w:rPr>
          <w:rStyle w:val="ac"/>
          <w:rFonts w:ascii="Narkisim" w:hAnsi="Narkisim"/>
          <w:rtl/>
        </w:rPr>
        <w:footnoteReference w:id="3864"/>
      </w:r>
      <w:r w:rsidRPr="00440CAB">
        <w:rPr>
          <w:rFonts w:ascii="Narkisim" w:hAnsi="Narkisim"/>
          <w:rtl/>
        </w:rPr>
        <w:t>. ונישואין החמירו בב' משום סכנתא, אע"ג דגרמא טבעית היא</w:t>
      </w:r>
      <w:r w:rsidRPr="00440CAB">
        <w:rPr>
          <w:rStyle w:val="ac"/>
          <w:rFonts w:ascii="Narkisim" w:hAnsi="Narkisim"/>
          <w:rtl/>
        </w:rPr>
        <w:footnoteReference w:id="3865"/>
      </w:r>
      <w:r w:rsidRPr="00440CAB">
        <w:rPr>
          <w:rFonts w:ascii="Narkisim" w:hAnsi="Narkisim"/>
          <w:rtl/>
        </w:rPr>
        <w:t>.</w:t>
      </w:r>
    </w:p>
    <w:p w14:paraId="325D710A"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ב"ח</w:t>
      </w:r>
      <w:r w:rsidRPr="00440CAB">
        <w:rPr>
          <w:rFonts w:ascii="Narkisim" w:hAnsi="Narkisim" w:cs="Narkisim"/>
          <w:rtl/>
        </w:rPr>
        <w:t xml:space="preserve"> (יו"ד ק) כתב דתבשיל שנמצא בו ב' תולעים אסורה, וכרבי. וה</w:t>
      </w:r>
      <w:r w:rsidRPr="00440CAB">
        <w:rPr>
          <w:rFonts w:ascii="Narkisim" w:hAnsi="Narkisim" w:cs="Narkisim"/>
          <w:b/>
          <w:bCs/>
          <w:rtl/>
        </w:rPr>
        <w:t xml:space="preserve">ט"ז </w:t>
      </w:r>
      <w:r w:rsidRPr="00440CAB">
        <w:rPr>
          <w:rFonts w:ascii="Narkisim" w:hAnsi="Narkisim" w:cs="Narkisim"/>
          <w:sz w:val="20"/>
          <w:szCs w:val="20"/>
          <w:rtl/>
        </w:rPr>
        <w:t>(ק ח)</w:t>
      </w:r>
      <w:r w:rsidRPr="00440CAB">
        <w:rPr>
          <w:rFonts w:ascii="Narkisim" w:hAnsi="Narkisim" w:cs="Narkisim"/>
          <w:rtl/>
        </w:rPr>
        <w:t xml:space="preserve"> פליג דקי"ל כרשב"ג דהוחזק רק בג', ורק בספק נפשות חיישינן לדרבי. וה</w:t>
      </w:r>
      <w:r w:rsidRPr="00440CAB">
        <w:rPr>
          <w:rFonts w:ascii="Narkisim" w:hAnsi="Narkisim" w:cs="Narkisim"/>
          <w:b/>
          <w:bCs/>
          <w:rtl/>
        </w:rPr>
        <w:t>גר"א</w:t>
      </w:r>
      <w:r w:rsidRPr="00440CAB">
        <w:rPr>
          <w:rFonts w:ascii="Narkisim" w:hAnsi="Narkisim" w:cs="Narkisim"/>
          <w:rtl/>
        </w:rPr>
        <w:t xml:space="preserve"> (שם כ) כתב דאף בתולעים הוה מדרבנן [דמדאורייתא בטל ברוב, ודין בריה הוה דרבנן], ומש"ה אזלינן לקולא.</w:t>
      </w:r>
    </w:p>
    <w:p w14:paraId="45C6650C" w14:textId="77777777" w:rsidR="006074A5" w:rsidRPr="00440CAB" w:rsidRDefault="006074A5" w:rsidP="006074A5">
      <w:pPr>
        <w:pStyle w:val="3"/>
        <w:bidi/>
        <w:jc w:val="right"/>
        <w:rPr>
          <w:rFonts w:ascii="Narkisim" w:hAnsi="Narkisim"/>
        </w:rPr>
      </w:pPr>
      <w:r w:rsidRPr="00440CAB">
        <w:rPr>
          <w:rFonts w:ascii="Narkisim" w:hAnsi="Narkisim"/>
          <w:rtl/>
        </w:rPr>
        <w:t>דף סה.</w:t>
      </w:r>
    </w:p>
    <w:p w14:paraId="671F6416" w14:textId="77777777" w:rsidR="006074A5" w:rsidRPr="00440CAB" w:rsidRDefault="006074A5" w:rsidP="006074A5">
      <w:pPr>
        <w:bidi/>
        <w:rPr>
          <w:rFonts w:ascii="Narkisim" w:hAnsi="Narkisim" w:cs="Narkisim"/>
        </w:rPr>
      </w:pPr>
      <w:r w:rsidRPr="00440CAB">
        <w:rPr>
          <w:rFonts w:ascii="Narkisim" w:hAnsi="Narkisim" w:cs="Narkisim"/>
          <w:u w:val="single"/>
          <w:rtl/>
        </w:rPr>
        <w:t>עד שתקבע ג' פעמים וכו' עד שתעקר ג' פעמים</w:t>
      </w:r>
      <w:r w:rsidRPr="00440CAB">
        <w:rPr>
          <w:rFonts w:ascii="Narkisim" w:hAnsi="Narkisim" w:cs="Narkisim"/>
          <w:rtl/>
        </w:rPr>
        <w:t>. בפשוטו מבואר דלרבי סגי בב' פעמים. וכן בפשוטו מבואר בגמ' (נדה סד.) דוסתות תליא במח' רבי ורשב"ג. וכ"כ ה</w:t>
      </w:r>
      <w:r w:rsidRPr="00440CAB">
        <w:rPr>
          <w:rFonts w:ascii="Narkisim" w:hAnsi="Narkisim" w:cs="Narkisim"/>
          <w:b/>
          <w:bCs/>
          <w:rtl/>
        </w:rPr>
        <w:t>ראשונים</w:t>
      </w:r>
      <w:r w:rsidRPr="00440CAB">
        <w:rPr>
          <w:rFonts w:ascii="Narkisim" w:hAnsi="Narkisim" w:cs="Narkisim"/>
          <w:rtl/>
        </w:rPr>
        <w:t xml:space="preserve"> בסוגיין. אבל ה</w:t>
      </w:r>
      <w:r w:rsidRPr="00440CAB">
        <w:rPr>
          <w:rFonts w:ascii="Narkisim" w:hAnsi="Narkisim" w:cs="Narkisim"/>
          <w:b/>
          <w:bCs/>
          <w:rtl/>
        </w:rPr>
        <w:t>בעה"מ</w:t>
      </w:r>
      <w:r w:rsidRPr="00440CAB">
        <w:rPr>
          <w:rFonts w:ascii="Narkisim" w:hAnsi="Narkisim" w:cs="Narkisim"/>
          <w:rtl/>
        </w:rPr>
        <w:t xml:space="preserve"> (בהשג' לבעלי הנפש יח) כתב דאף בווסתות מודה רבי דבעי ג' פעמים לחזקה. והאחרונים ביארו דהגמ' הביאה מעקירת הוסת. א"נ דבדין וסת מתקיימין חזקות כסברת רשב"ג [וע"ד מ"ש תוס' ד"ה ושור].</w:t>
      </w:r>
    </w:p>
    <w:p w14:paraId="3A4F7AF5" w14:textId="77777777" w:rsidR="006074A5" w:rsidRPr="00440CAB" w:rsidRDefault="006074A5" w:rsidP="006074A5">
      <w:pPr>
        <w:bidi/>
        <w:rPr>
          <w:rFonts w:ascii="Narkisim" w:hAnsi="Narkisim" w:cs="Narkisim"/>
        </w:rPr>
      </w:pPr>
      <w:r w:rsidRPr="00440CAB">
        <w:rPr>
          <w:rFonts w:ascii="Narkisim" w:hAnsi="Narkisim" w:cs="Narkisim"/>
          <w:u w:val="single"/>
          <w:rtl/>
        </w:rPr>
        <w:t>ושור המועד דתנן אין השור נעשה מועד עד שיעידו בו ג' פעמים</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נקטו דכוונת הגמ' להביא מהפסוק, דעיקר דין שור המועד מתקיימין לדברי רשב"ג דג' פעמים הוה חזקה.</w:t>
      </w:r>
    </w:p>
    <w:p w14:paraId="162CD01D"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תוס' שאנץ</w:t>
      </w:r>
      <w:r w:rsidRPr="00440CAB">
        <w:rPr>
          <w:rFonts w:ascii="Narkisim" w:hAnsi="Narkisim"/>
          <w:rtl/>
        </w:rPr>
        <w:t xml:space="preserve"> (בשיטמ"ק ב"ק כג:) כת' דרבא הביא סייעתא מדין חזרה, דאי' במשנה (שם) דמשחזר בו ג' פעמים הוה תם</w:t>
      </w:r>
      <w:r w:rsidRPr="00440CAB">
        <w:rPr>
          <w:rStyle w:val="ac"/>
          <w:rFonts w:ascii="Narkisim" w:hAnsi="Narkisim"/>
          <w:rtl/>
        </w:rPr>
        <w:footnoteReference w:id="3866"/>
      </w:r>
      <w:r w:rsidRPr="00440CAB">
        <w:rPr>
          <w:rFonts w:ascii="Narkisim" w:hAnsi="Narkisim"/>
          <w:rtl/>
        </w:rPr>
        <w:t>.</w:t>
      </w:r>
    </w:p>
    <w:p w14:paraId="5038AA79" w14:textId="77777777" w:rsidR="006074A5" w:rsidRPr="00440CAB" w:rsidRDefault="006074A5" w:rsidP="006074A5">
      <w:pPr>
        <w:pStyle w:val="aa"/>
        <w:bidi/>
        <w:rPr>
          <w:rFonts w:ascii="Narkisim" w:hAnsi="Narkisim"/>
        </w:rPr>
      </w:pPr>
      <w:r w:rsidRPr="00440CAB">
        <w:rPr>
          <w:rFonts w:ascii="Narkisim" w:hAnsi="Narkisim"/>
          <w:u w:val="single"/>
          <w:rtl/>
        </w:rPr>
        <w:t>שם</w:t>
      </w:r>
      <w:r w:rsidRPr="00440CAB">
        <w:rPr>
          <w:rFonts w:ascii="Narkisim" w:hAnsi="Narkisim"/>
          <w:rtl/>
        </w:rPr>
        <w:t>. מבואר דגדר שור המועד הוא משום דהוחזק ליגח. וה</w:t>
      </w:r>
      <w:r w:rsidRPr="00440CAB">
        <w:rPr>
          <w:rFonts w:ascii="Narkisim" w:hAnsi="Narkisim"/>
          <w:b/>
          <w:bCs/>
          <w:rtl/>
        </w:rPr>
        <w:t>אחרונים</w:t>
      </w:r>
      <w:r w:rsidRPr="00440CAB">
        <w:rPr>
          <w:rFonts w:ascii="Narkisim" w:hAnsi="Narkisim"/>
          <w:rtl/>
        </w:rPr>
        <w:t xml:space="preserve"> חקרו האם יסוד הדבר דהוחזק שהיה טבע נגחן מעיקרא. או דאמרי' דהורגל ונשתנה טבעו, ונקבע דרכו כך</w:t>
      </w:r>
      <w:r w:rsidRPr="00440CAB">
        <w:rPr>
          <w:rStyle w:val="ac"/>
          <w:rFonts w:ascii="Narkisim" w:hAnsi="Narkisim"/>
          <w:rtl/>
        </w:rPr>
        <w:footnoteReference w:id="3867"/>
      </w:r>
      <w:r w:rsidRPr="00440CAB">
        <w:rPr>
          <w:rFonts w:ascii="Narkisim" w:hAnsi="Narkisim"/>
          <w:rtl/>
        </w:rPr>
        <w:t>. [אך בחזקת משפחה וקטלנית וכל הנך דסוגיין ע"כ הוחזק שהיה טבעו כך מעולם. ול"ש התרגלות].</w:t>
      </w:r>
    </w:p>
    <w:p w14:paraId="28F0B7CE" w14:textId="77777777" w:rsidR="006074A5" w:rsidRPr="00440CAB" w:rsidRDefault="006074A5" w:rsidP="006074A5">
      <w:pPr>
        <w:pStyle w:val="aa"/>
        <w:bidi/>
        <w:rPr>
          <w:rFonts w:ascii="Narkisim" w:hAnsi="Narkisim"/>
        </w:rPr>
      </w:pPr>
      <w:r w:rsidRPr="00440CAB">
        <w:rPr>
          <w:rFonts w:ascii="Narkisim" w:hAnsi="Narkisim"/>
          <w:rtl/>
        </w:rPr>
        <w:lastRenderedPageBreak/>
        <w:t>וב</w:t>
      </w:r>
      <w:r w:rsidRPr="00440CAB">
        <w:rPr>
          <w:rFonts w:ascii="Narkisim" w:hAnsi="Narkisim"/>
          <w:b/>
          <w:bCs/>
          <w:rtl/>
        </w:rPr>
        <w:t>גמ</w:t>
      </w:r>
      <w:r w:rsidRPr="00440CAB">
        <w:rPr>
          <w:rFonts w:ascii="Narkisim" w:hAnsi="Narkisim"/>
          <w:rtl/>
        </w:rPr>
        <w:t>' (ב"ב כח.) אמרי' דלהולכי אושא ילפי' חזקה [דג' אכילות] משור המועד</w:t>
      </w:r>
      <w:r w:rsidRPr="00440CAB">
        <w:rPr>
          <w:rStyle w:val="ac"/>
          <w:rFonts w:ascii="Narkisim" w:hAnsi="Narkisim"/>
          <w:rtl/>
        </w:rPr>
        <w:footnoteReference w:id="3868"/>
      </w:r>
      <w:r w:rsidRPr="00440CAB">
        <w:rPr>
          <w:rFonts w:ascii="Narkisim" w:hAnsi="Narkisim"/>
          <w:rtl/>
        </w:rPr>
        <w:t>. ויל"ד האם אף כולהו חזקות דסוגיין ילפי' מהתם [ע' תו"י], או דהוחזק ג' פעמים הוה סברא בעלמא. ולרבי דבשור המועד הוה בג' פעמים, ואינך הוחזק בב' פעמים, ע"כ לא ילפי' מינה.</w:t>
      </w:r>
    </w:p>
    <w:p w14:paraId="35C81721" w14:textId="77777777" w:rsidR="006074A5" w:rsidRPr="00440CAB" w:rsidRDefault="006074A5" w:rsidP="006074A5">
      <w:pPr>
        <w:bidi/>
        <w:rPr>
          <w:rFonts w:ascii="Narkisim" w:hAnsi="Narkisim" w:cs="Narkisim"/>
        </w:rPr>
      </w:pPr>
      <w:r w:rsidRPr="00440CAB">
        <w:rPr>
          <w:rFonts w:ascii="Narkisim" w:hAnsi="Narkisim" w:cs="Narkisim"/>
          <w:u w:val="single"/>
          <w:rtl/>
        </w:rPr>
        <w:t>תוד"ה ושור.</w:t>
      </w:r>
      <w:r w:rsidRPr="00440CAB">
        <w:rPr>
          <w:rFonts w:ascii="Narkisim" w:hAnsi="Narkisim" w:cs="Narkisim"/>
          <w:rtl/>
        </w:rPr>
        <w:t xml:space="preserve"> רבי לא פליג אקרא, אלא כלומר התם מתקיימין דברי רשב"ג וכו'. ובשור המועד רבי מודה, ולא נתבאר הטעם. ויש </w:t>
      </w:r>
      <w:r w:rsidRPr="00440CAB">
        <w:rPr>
          <w:rFonts w:ascii="Narkisim" w:hAnsi="Narkisim" w:cs="Narkisim"/>
          <w:b/>
          <w:bCs/>
          <w:rtl/>
        </w:rPr>
        <w:t>ראשונים</w:t>
      </w:r>
      <w:r w:rsidRPr="00440CAB">
        <w:rPr>
          <w:rFonts w:ascii="Narkisim" w:hAnsi="Narkisim" w:cs="Narkisim"/>
          <w:rtl/>
        </w:rPr>
        <w:t xml:space="preserve"> שנקטו דהוה גזיה"כ בעלמא דבעי' ג' נגיחות. ולא תלי בגדרי חזקות</w:t>
      </w:r>
      <w:r w:rsidRPr="00440CAB">
        <w:rPr>
          <w:rStyle w:val="ac"/>
          <w:rFonts w:ascii="Narkisim" w:hAnsi="Narkisim" w:cs="Narkisim"/>
          <w:rtl/>
        </w:rPr>
        <w:footnoteReference w:id="3869"/>
      </w:r>
      <w:r w:rsidRPr="00440CAB">
        <w:rPr>
          <w:rFonts w:ascii="Narkisim" w:hAnsi="Narkisim" w:cs="Narkisim"/>
          <w:rtl/>
        </w:rPr>
        <w:t>.</w:t>
      </w:r>
    </w:p>
    <w:p w14:paraId="582C16CB"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(ד"ה נישאת) הביאו בשם </w:t>
      </w:r>
      <w:r w:rsidRPr="00440CAB">
        <w:rPr>
          <w:rFonts w:ascii="Narkisim" w:hAnsi="Narkisim"/>
          <w:b/>
          <w:bCs/>
          <w:rtl/>
        </w:rPr>
        <w:t>ר"י</w:t>
      </w:r>
      <w:r w:rsidRPr="00440CAB">
        <w:rPr>
          <w:rFonts w:ascii="Narkisim" w:hAnsi="Narkisim"/>
          <w:rtl/>
        </w:rPr>
        <w:t xml:space="preserve"> דבכל הוצאת ממון דמודה רבי דצריך ג' פעמים.</w:t>
      </w:r>
      <w:r w:rsidRPr="00440CAB">
        <w:rPr>
          <w:rFonts w:ascii="Narkisim" w:hAnsi="Narkisim"/>
          <w:sz w:val="20"/>
          <w:szCs w:val="20"/>
          <w:rtl/>
        </w:rPr>
        <w:t xml:space="preserve"> ומבואר דכל שהוחזק ב' פעמים [אליבא דרבי] לא נחשב 'ודאי' להוצאת ממון</w:t>
      </w:r>
      <w:r w:rsidRPr="00440CAB">
        <w:rPr>
          <w:rStyle w:val="ac"/>
          <w:rFonts w:ascii="Narkisim" w:hAnsi="Narkisim"/>
          <w:sz w:val="20"/>
          <w:szCs w:val="20"/>
          <w:rtl/>
        </w:rPr>
        <w:footnoteReference w:id="3870"/>
      </w:r>
      <w:r w:rsidRPr="00440CAB">
        <w:rPr>
          <w:rFonts w:ascii="Narkisim" w:hAnsi="Narkisim"/>
          <w:sz w:val="20"/>
          <w:szCs w:val="20"/>
          <w:rtl/>
        </w:rPr>
        <w:t>.</w:t>
      </w:r>
    </w:p>
    <w:p w14:paraId="2E73405D"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רמב"ן</w:t>
      </w:r>
      <w:r w:rsidRPr="00440CAB">
        <w:rPr>
          <w:rFonts w:ascii="Narkisim" w:hAnsi="Narkisim"/>
          <w:rtl/>
        </w:rPr>
        <w:t xml:space="preserve"> הביא </w:t>
      </w:r>
      <w:r w:rsidRPr="00440CAB">
        <w:rPr>
          <w:rFonts w:ascii="Narkisim" w:hAnsi="Narkisim"/>
          <w:b/>
          <w:bCs/>
          <w:rtl/>
        </w:rPr>
        <w:t>י"מ</w:t>
      </w:r>
      <w:r w:rsidRPr="00440CAB">
        <w:rPr>
          <w:rFonts w:ascii="Narkisim" w:hAnsi="Narkisim"/>
          <w:rtl/>
        </w:rPr>
        <w:t xml:space="preserve"> דב' פעמים הוה חזקה בשור המועד, ומשלם בנגיחה ג' נזק שלם. אבל בשני אינו משלם, דעדיין לא הועד</w:t>
      </w:r>
      <w:r w:rsidRPr="00440CAB">
        <w:rPr>
          <w:rStyle w:val="ac"/>
          <w:rFonts w:ascii="Narkisim" w:hAnsi="Narkisim"/>
          <w:rtl/>
        </w:rPr>
        <w:footnoteReference w:id="3871"/>
      </w:r>
      <w:r w:rsidRPr="00440CAB">
        <w:rPr>
          <w:rFonts w:ascii="Narkisim" w:hAnsi="Narkisim"/>
          <w:rtl/>
        </w:rPr>
        <w:t>. ואח"כ כי לא נגח מאי לשלם (כדאי' ב"ב כח:).</w:t>
      </w:r>
    </w:p>
    <w:p w14:paraId="167908BA" w14:textId="77777777" w:rsidR="006074A5" w:rsidRPr="00440CAB" w:rsidRDefault="006074A5" w:rsidP="006074A5">
      <w:pPr>
        <w:pStyle w:val="aa"/>
        <w:bidi/>
        <w:rPr>
          <w:rFonts w:ascii="Narkisim" w:hAnsi="Narkisim"/>
        </w:rPr>
      </w:pPr>
      <w:r w:rsidRPr="00440CAB">
        <w:rPr>
          <w:rFonts w:ascii="Narkisim" w:hAnsi="Narkisim"/>
          <w:u w:val="single"/>
          <w:rtl/>
        </w:rPr>
        <w:t>שם.</w:t>
      </w:r>
      <w:r w:rsidRPr="00440CAB">
        <w:rPr>
          <w:rFonts w:ascii="Narkisim" w:hAnsi="Narkisim"/>
          <w:rtl/>
        </w:rPr>
        <w:t xml:space="preserve"> בפשוטו מבואר דכל היכא דהוחזק לן שעומד ליגח חייב מדין מועד. אבל ה</w:t>
      </w:r>
      <w:r w:rsidRPr="00440CAB">
        <w:rPr>
          <w:rFonts w:ascii="Narkisim" w:hAnsi="Narkisim"/>
          <w:b/>
          <w:bCs/>
          <w:rtl/>
        </w:rPr>
        <w:t>אחרונים</w:t>
      </w:r>
      <w:r w:rsidRPr="00440CAB">
        <w:rPr>
          <w:rFonts w:ascii="Narkisim" w:hAnsi="Narkisim"/>
          <w:rtl/>
        </w:rPr>
        <w:t xml:space="preserve"> (חי' ר' שלמה ב"ק ג) כת' דודאי נקבע בתורה דין העדאה, ובלא והועד בבעליו אינו חייב נזק שלם. אלא דילפי' מגדרי התורה במה נקבע עי"ז להיות מועד.</w:t>
      </w:r>
    </w:p>
    <w:p w14:paraId="3C509259" w14:textId="77777777" w:rsidR="006074A5" w:rsidRPr="00440CAB" w:rsidRDefault="006074A5" w:rsidP="006074A5">
      <w:pPr>
        <w:pStyle w:val="aa"/>
        <w:bidi/>
        <w:rPr>
          <w:rFonts w:ascii="Narkisim" w:hAnsi="Narkisim"/>
        </w:rPr>
      </w:pPr>
      <w:r w:rsidRPr="00440CAB">
        <w:rPr>
          <w:rFonts w:ascii="Narkisim" w:hAnsi="Narkisim"/>
          <w:u w:val="single"/>
          <w:rtl/>
        </w:rPr>
        <w:t>שם.</w:t>
      </w:r>
      <w:r w:rsidRPr="00440CAB">
        <w:rPr>
          <w:rFonts w:ascii="Narkisim" w:hAnsi="Narkisim"/>
          <w:rtl/>
        </w:rPr>
        <w:t xml:space="preserve"> ה</w:t>
      </w:r>
      <w:r w:rsidRPr="00440CAB">
        <w:rPr>
          <w:rFonts w:ascii="Narkisim" w:hAnsi="Narkisim"/>
          <w:b/>
          <w:bCs/>
          <w:rtl/>
        </w:rPr>
        <w:t>טור"א</w:t>
      </w:r>
      <w:r w:rsidRPr="00440CAB">
        <w:rPr>
          <w:rFonts w:ascii="Narkisim" w:hAnsi="Narkisim"/>
          <w:rtl/>
        </w:rPr>
        <w:t xml:space="preserve"> (חגיגה ד.) כתב דמ"מ הא דאי' (ב"ק לז.) דע"י שנגח ג' מינין שונים הוה מועד לכל המינים. היינו לרשב"ג דבעי חזקה בג' פעמים. אבל לרבי סגי שנגח [ג' נגיחות] בב' מינים. וב</w:t>
      </w:r>
      <w:r w:rsidRPr="00440CAB">
        <w:rPr>
          <w:rFonts w:ascii="Narkisim" w:hAnsi="Narkisim"/>
          <w:b/>
          <w:bCs/>
          <w:rtl/>
        </w:rPr>
        <w:t>חי' ר' שלמה</w:t>
      </w:r>
      <w:r w:rsidRPr="00440CAB">
        <w:rPr>
          <w:rFonts w:ascii="Narkisim" w:hAnsi="Narkisim"/>
          <w:rtl/>
        </w:rPr>
        <w:t xml:space="preserve"> (שם) ביאר דכיון דנקבע דין מועד ע"י ג' נגיחות, מהני חזקת ב' פעמים לפרש את החזקה.</w:t>
      </w:r>
    </w:p>
    <w:p w14:paraId="7A0B44CF" w14:textId="77777777" w:rsidR="006074A5" w:rsidRPr="00440CAB" w:rsidRDefault="006074A5" w:rsidP="006074A5">
      <w:pPr>
        <w:bidi/>
        <w:rPr>
          <w:rFonts w:ascii="Narkisim" w:hAnsi="Narkisim" w:cs="Narkisim"/>
        </w:rPr>
      </w:pPr>
      <w:r w:rsidRPr="00440CAB">
        <w:rPr>
          <w:rFonts w:ascii="Narkisim" w:hAnsi="Narkisim" w:cs="Narkisim"/>
          <w:u w:val="single"/>
          <w:rtl/>
        </w:rPr>
        <w:t>נשאת למי שאין לו בנים, תצא שלא בכתובה.</w:t>
      </w:r>
      <w:r w:rsidRPr="00440CAB">
        <w:rPr>
          <w:rFonts w:ascii="Narkisim" w:hAnsi="Narkisim" w:cs="Narkisim"/>
          <w:rtl/>
        </w:rPr>
        <w:t xml:space="preserve"> </w:t>
      </w:r>
      <w:r w:rsidRPr="00440CAB">
        <w:rPr>
          <w:rFonts w:ascii="Narkisim" w:hAnsi="Narkisim" w:cs="Narkisim"/>
          <w:b/>
          <w:bCs/>
          <w:rtl/>
        </w:rPr>
        <w:t>תוס'</w:t>
      </w:r>
      <w:r w:rsidRPr="00440CAB">
        <w:rPr>
          <w:rFonts w:ascii="Narkisim" w:hAnsi="Narkisim" w:cs="Narkisim"/>
          <w:rtl/>
        </w:rPr>
        <w:t xml:space="preserve"> (ד"ה תצא, וכן בד"ה נישאת) מבואר דכיון דהוחזקה דאינה ראויה לילד הוה כאיילונית, והוה מקח טעות. ועפ"ז כת' תוס' (בסו"ד) דבהכיר בה יש לה כתובה. </w:t>
      </w:r>
      <w:r w:rsidRPr="00440CAB">
        <w:rPr>
          <w:rFonts w:ascii="Narkisim" w:hAnsi="Narkisim" w:cs="Narkisim"/>
          <w:sz w:val="20"/>
          <w:szCs w:val="20"/>
          <w:rtl/>
        </w:rPr>
        <w:t>[וה</w:t>
      </w:r>
      <w:r w:rsidRPr="00440CAB">
        <w:rPr>
          <w:rFonts w:ascii="Narkisim" w:hAnsi="Narkisim" w:cs="Narkisim"/>
          <w:b/>
          <w:bCs/>
          <w:sz w:val="20"/>
          <w:szCs w:val="20"/>
          <w:rtl/>
        </w:rPr>
        <w:t>רמב"ן</w:t>
      </w:r>
      <w:r w:rsidRPr="00440CAB">
        <w:rPr>
          <w:rFonts w:ascii="Narkisim" w:hAnsi="Narkisim" w:cs="Narkisim"/>
          <w:sz w:val="20"/>
          <w:szCs w:val="20"/>
          <w:rtl/>
        </w:rPr>
        <w:t xml:space="preserve"> דן דלפ"ז אף קטלנית יש לה כתובה משני</w:t>
      </w:r>
      <w:r w:rsidRPr="00440CAB">
        <w:rPr>
          <w:rStyle w:val="ac"/>
          <w:rFonts w:ascii="Narkisim" w:hAnsi="Narkisim" w:cs="Narkisim"/>
          <w:sz w:val="20"/>
          <w:szCs w:val="20"/>
          <w:rtl/>
        </w:rPr>
        <w:footnoteReference w:id="3872"/>
      </w:r>
      <w:r w:rsidRPr="00440CAB">
        <w:rPr>
          <w:rFonts w:ascii="Narkisim" w:hAnsi="Narkisim" w:cs="Narkisim"/>
          <w:sz w:val="20"/>
          <w:szCs w:val="20"/>
          <w:rtl/>
        </w:rPr>
        <w:t>, משום דלא הוחזק בב'</w:t>
      </w:r>
      <w:r w:rsidRPr="00440CAB">
        <w:rPr>
          <w:rStyle w:val="ac"/>
          <w:rFonts w:ascii="Narkisim" w:hAnsi="Narkisim" w:cs="Narkisim"/>
          <w:sz w:val="20"/>
          <w:szCs w:val="20"/>
          <w:rtl/>
        </w:rPr>
        <w:footnoteReference w:id="3873"/>
      </w:r>
      <w:r w:rsidRPr="00440CAB">
        <w:rPr>
          <w:rFonts w:ascii="Narkisim" w:hAnsi="Narkisim" w:cs="Narkisim"/>
          <w:sz w:val="20"/>
          <w:szCs w:val="20"/>
          <w:rtl/>
        </w:rPr>
        <w:t>].</w:t>
      </w:r>
      <w:r w:rsidRPr="00440CAB">
        <w:rPr>
          <w:rFonts w:ascii="Narkisim" w:hAnsi="Narkisim" w:cs="Narkisim"/>
          <w:rtl/>
        </w:rPr>
        <w:t xml:space="preserve"> וה</w:t>
      </w:r>
      <w:r w:rsidRPr="00440CAB">
        <w:rPr>
          <w:rFonts w:ascii="Narkisim" w:hAnsi="Narkisim" w:cs="Narkisim"/>
          <w:b/>
          <w:bCs/>
          <w:rtl/>
        </w:rPr>
        <w:t>רמב"ן</w:t>
      </w:r>
      <w:r w:rsidRPr="00440CAB">
        <w:rPr>
          <w:rFonts w:ascii="Narkisim" w:hAnsi="Narkisim" w:cs="Narkisim"/>
          <w:rtl/>
        </w:rPr>
        <w:t xml:space="preserve"> כת' דהוה רק ספק מקח טעות דהוה חשש</w:t>
      </w:r>
      <w:r w:rsidRPr="00440CAB">
        <w:rPr>
          <w:rStyle w:val="ac"/>
          <w:rFonts w:ascii="Narkisim" w:hAnsi="Narkisim" w:cs="Narkisim"/>
          <w:rtl/>
        </w:rPr>
        <w:footnoteReference w:id="3874"/>
      </w:r>
      <w:r w:rsidRPr="00440CAB">
        <w:rPr>
          <w:rFonts w:ascii="Narkisim" w:hAnsi="Narkisim" w:cs="Narkisim"/>
          <w:rtl/>
        </w:rPr>
        <w:t>, ובעי גט.</w:t>
      </w:r>
    </w:p>
    <w:p w14:paraId="1D5BA94B"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(ד"ה תצא) העלו צד דהפסידה כתובתה מטעם קנס כיון דנשאת לו באיסור, וכ"כ ב</w:t>
      </w:r>
      <w:r w:rsidRPr="00440CAB">
        <w:rPr>
          <w:rFonts w:ascii="Narkisim" w:hAnsi="Narkisim"/>
          <w:b/>
          <w:bCs/>
          <w:rtl/>
        </w:rPr>
        <w:t>תו"י</w:t>
      </w:r>
      <w:r w:rsidRPr="00440CAB">
        <w:rPr>
          <w:rStyle w:val="ac"/>
          <w:rFonts w:ascii="Narkisim" w:hAnsi="Narkisim"/>
          <w:b/>
          <w:bCs/>
          <w:rtl/>
        </w:rPr>
        <w:footnoteReference w:id="3875"/>
      </w:r>
      <w:r w:rsidRPr="00440CAB">
        <w:rPr>
          <w:rFonts w:ascii="Narkisim" w:hAnsi="Narkisim"/>
          <w:rtl/>
        </w:rPr>
        <w:t>. וה</w:t>
      </w:r>
      <w:r w:rsidRPr="00440CAB">
        <w:rPr>
          <w:rFonts w:ascii="Narkisim" w:hAnsi="Narkisim"/>
          <w:b/>
          <w:bCs/>
          <w:rtl/>
        </w:rPr>
        <w:t>רמב"ן</w:t>
      </w:r>
      <w:r w:rsidRPr="00440CAB">
        <w:rPr>
          <w:rFonts w:ascii="Narkisim" w:hAnsi="Narkisim"/>
          <w:rtl/>
        </w:rPr>
        <w:t xml:space="preserve"> (ורשב"א ושא"ר) כת' דיש לה כתובה מהשני כיון דבהיתר נשאת לו, ובהיתר עמדה עמו. ומש"ה לא תקנו שתהא כזונה אצלו למפרע להוציאה בלא כלום. [משמע דהוה תקנ"ח דיש לה כתובה]. והביאו כן מה</w:t>
      </w:r>
      <w:r w:rsidRPr="00440CAB">
        <w:rPr>
          <w:rFonts w:ascii="Narkisim" w:hAnsi="Narkisim"/>
          <w:b/>
          <w:bCs/>
          <w:rtl/>
        </w:rPr>
        <w:t>ירושלמי</w:t>
      </w:r>
      <w:r w:rsidRPr="00440CAB">
        <w:rPr>
          <w:rFonts w:ascii="Narkisim" w:hAnsi="Narkisim"/>
          <w:rtl/>
        </w:rPr>
        <w:t>.</w:t>
      </w:r>
    </w:p>
    <w:p w14:paraId="607A71E5"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xml:space="preserve"> דחה צד זה, דמבואר בגמ' כשנשאת לשלישי דתבעי לקמאי, הרי משני יש לה כתובה אחרי שהוחזקה. וה</w:t>
      </w:r>
      <w:r w:rsidRPr="00440CAB">
        <w:rPr>
          <w:rFonts w:ascii="Narkisim" w:hAnsi="Narkisim"/>
          <w:b/>
          <w:bCs/>
          <w:rtl/>
        </w:rPr>
        <w:t>רמב"ן</w:t>
      </w:r>
      <w:r w:rsidRPr="00440CAB">
        <w:rPr>
          <w:rFonts w:ascii="Narkisim" w:hAnsi="Narkisim"/>
          <w:rtl/>
        </w:rPr>
        <w:t xml:space="preserve"> כתב דהגמ' בסמוך אליבא דרשב"ג, ושוב נשאר בצ"ע. וה</w:t>
      </w:r>
      <w:r w:rsidRPr="00440CAB">
        <w:rPr>
          <w:rFonts w:ascii="Narkisim" w:hAnsi="Narkisim"/>
          <w:b/>
          <w:bCs/>
          <w:rtl/>
        </w:rPr>
        <w:t>רשב"א</w:t>
      </w:r>
      <w:r w:rsidRPr="00440CAB">
        <w:rPr>
          <w:rFonts w:ascii="Narkisim" w:hAnsi="Narkisim"/>
          <w:rtl/>
        </w:rPr>
        <w:t xml:space="preserve"> תי' דעי"ז איגלאי מילתא טפי דמחמתה היא, דהיאך אפשר דכולם לא זכו ליבנות ממנה, אלא שהיא עקרה מעיקרא. </w:t>
      </w:r>
      <w:r w:rsidRPr="00440CAB">
        <w:rPr>
          <w:rFonts w:ascii="Narkisim" w:hAnsi="Narkisim"/>
          <w:sz w:val="20"/>
          <w:szCs w:val="20"/>
          <w:rtl/>
        </w:rPr>
        <w:t>[משמע דבב' פעמים הוה קצת חזקה</w:t>
      </w:r>
      <w:r w:rsidRPr="00440CAB">
        <w:rPr>
          <w:rStyle w:val="ac"/>
          <w:rFonts w:ascii="Narkisim" w:hAnsi="Narkisim"/>
          <w:sz w:val="20"/>
          <w:szCs w:val="20"/>
          <w:rtl/>
        </w:rPr>
        <w:footnoteReference w:id="3876"/>
      </w:r>
      <w:r w:rsidRPr="00440CAB">
        <w:rPr>
          <w:rFonts w:ascii="Narkisim" w:hAnsi="Narkisim"/>
          <w:sz w:val="20"/>
          <w:szCs w:val="20"/>
          <w:rtl/>
        </w:rPr>
        <w:t>, ובזה ראוי לתקן שלא תחשב זונה, או למש"כ הראשונים יש לה כתובה מדינא. אבל במקום דהוה עקרה גמורה כאילונית אין לה כתובה כלל]</w:t>
      </w:r>
      <w:r w:rsidRPr="00440CAB">
        <w:rPr>
          <w:rFonts w:ascii="Narkisim" w:hAnsi="Narkisim"/>
          <w:rtl/>
        </w:rPr>
        <w:t>.</w:t>
      </w:r>
    </w:p>
    <w:p w14:paraId="54703B40" w14:textId="77777777" w:rsidR="006074A5" w:rsidRPr="00440CAB" w:rsidRDefault="006074A5" w:rsidP="006074A5">
      <w:pPr>
        <w:pStyle w:val="aa"/>
        <w:bidi/>
        <w:rPr>
          <w:rFonts w:ascii="Narkisim" w:hAnsi="Narkisim"/>
        </w:rPr>
      </w:pPr>
      <w:r w:rsidRPr="00440CAB">
        <w:rPr>
          <w:rFonts w:ascii="Narkisim" w:hAnsi="Narkisim"/>
          <w:u w:val="single"/>
          <w:rtl/>
        </w:rPr>
        <w:t>שאין לו בנים.</w:t>
      </w:r>
      <w:r w:rsidRPr="00440CAB">
        <w:rPr>
          <w:rFonts w:ascii="Narkisim" w:hAnsi="Narkisim"/>
          <w:rtl/>
        </w:rPr>
        <w:t xml:space="preserve"> משמע דאם יש לו בנים חייב כתובה. ה</w:t>
      </w:r>
      <w:r w:rsidRPr="00440CAB">
        <w:rPr>
          <w:rFonts w:ascii="Narkisim" w:hAnsi="Narkisim"/>
          <w:b/>
          <w:bCs/>
          <w:rtl/>
        </w:rPr>
        <w:t xml:space="preserve">רמב"ן </w:t>
      </w:r>
      <w:r w:rsidRPr="00440CAB">
        <w:rPr>
          <w:rFonts w:ascii="Narkisim" w:hAnsi="Narkisim"/>
          <w:rtl/>
        </w:rPr>
        <w:t xml:space="preserve">הקשה דאף כשיש לו בנים, נימא דהוה מקח </w:t>
      </w:r>
      <w:r w:rsidRPr="00440CAB">
        <w:rPr>
          <w:rFonts w:ascii="Narkisim" w:hAnsi="Narkisim"/>
          <w:rtl/>
        </w:rPr>
        <w:lastRenderedPageBreak/>
        <w:t>טעות, דומיא דאילונית</w:t>
      </w:r>
      <w:r w:rsidRPr="00440CAB">
        <w:rPr>
          <w:rStyle w:val="ac"/>
          <w:rFonts w:ascii="Narkisim" w:hAnsi="Narkisim"/>
          <w:rtl/>
        </w:rPr>
        <w:footnoteReference w:id="3877"/>
      </w:r>
      <w:r w:rsidRPr="00440CAB">
        <w:rPr>
          <w:rFonts w:ascii="Narkisim" w:hAnsi="Narkisim"/>
          <w:rtl/>
        </w:rPr>
        <w:t>. ותי' דלענין שתצא קאמר, אבל אם רוצה להוציא תצא. והביא מקצת מחברים דאין לה כתובה, וכתב דאפשר כיון דלא ניכר סימני עקרות, חיישינן שמא לא זכתה ליבנות משניהם. וכעי"ז כת' ה</w:t>
      </w:r>
      <w:r w:rsidRPr="00440CAB">
        <w:rPr>
          <w:rFonts w:ascii="Narkisim" w:hAnsi="Narkisim"/>
          <w:b/>
          <w:bCs/>
          <w:rtl/>
        </w:rPr>
        <w:t xml:space="preserve">רשב"א </w:t>
      </w:r>
      <w:r w:rsidRPr="00440CAB">
        <w:rPr>
          <w:rFonts w:ascii="Narkisim" w:hAnsi="Narkisim"/>
          <w:rtl/>
        </w:rPr>
        <w:t>דזו אין טענתא ודאי, ואפשר שתלד, אלא דלמי שאין לה בנים אינו רוצה ליבטל ולעמוד בספיקא הילכך עליה הראיה.</w:t>
      </w:r>
    </w:p>
    <w:p w14:paraId="709DF704" w14:textId="77777777" w:rsidR="006074A5" w:rsidRPr="00440CAB" w:rsidRDefault="006074A5" w:rsidP="006074A5">
      <w:pPr>
        <w:bidi/>
        <w:rPr>
          <w:rFonts w:ascii="Narkisim" w:hAnsi="Narkisim" w:cs="Narkisim"/>
        </w:rPr>
      </w:pPr>
      <w:r w:rsidRPr="00440CAB">
        <w:rPr>
          <w:rFonts w:ascii="Narkisim" w:hAnsi="Narkisim" w:cs="Narkisim"/>
          <w:u w:val="single"/>
          <w:rtl/>
        </w:rPr>
        <w:t>תוד"ה נישאת</w:t>
      </w:r>
      <w:r w:rsidRPr="00440CAB">
        <w:rPr>
          <w:rStyle w:val="ac"/>
          <w:rFonts w:ascii="Narkisim" w:hAnsi="Narkisim" w:cs="Narkisim"/>
          <w:u w:val="single"/>
          <w:rtl/>
        </w:rPr>
        <w:footnoteReference w:id="3878"/>
      </w:r>
      <w:r w:rsidRPr="00440CAB">
        <w:rPr>
          <w:rFonts w:ascii="Narkisim" w:hAnsi="Narkisim" w:cs="Narkisim"/>
          <w:rtl/>
        </w:rPr>
        <w:t xml:space="preserve">. ואור"י דלענין ממון מודה רבי וכו'. מבואר בתוס' דילפי' משור המועד דלכל גדרי ממון ל"מ חזקת ב' פעמים להוציא. </w:t>
      </w:r>
      <w:r w:rsidRPr="00440CAB">
        <w:rPr>
          <w:rFonts w:ascii="Narkisim" w:hAnsi="Narkisim" w:cs="Narkisim"/>
          <w:sz w:val="20"/>
          <w:szCs w:val="20"/>
          <w:rtl/>
        </w:rPr>
        <w:t>וה</w:t>
      </w:r>
      <w:r w:rsidRPr="00440CAB">
        <w:rPr>
          <w:rFonts w:ascii="Narkisim" w:hAnsi="Narkisim" w:cs="Narkisim"/>
          <w:b/>
          <w:bCs/>
          <w:sz w:val="20"/>
          <w:szCs w:val="20"/>
          <w:rtl/>
        </w:rPr>
        <w:t>אחרונים</w:t>
      </w:r>
      <w:r w:rsidRPr="00440CAB">
        <w:rPr>
          <w:rFonts w:ascii="Narkisim" w:hAnsi="Narkisim" w:cs="Narkisim"/>
          <w:sz w:val="20"/>
          <w:szCs w:val="20"/>
          <w:rtl/>
        </w:rPr>
        <w:t xml:space="preserve"> הקשו דבגמ' (ב"מ קו:) איתא דאם זרע ב' פעמים ונשדף תליא ברבי ורשב"ג. ואף דהוה נידון של ממון</w:t>
      </w:r>
      <w:r w:rsidRPr="00440CAB">
        <w:rPr>
          <w:rStyle w:val="ac"/>
          <w:rFonts w:ascii="Narkisim" w:hAnsi="Narkisim" w:cs="Narkisim"/>
          <w:sz w:val="20"/>
          <w:szCs w:val="20"/>
          <w:rtl/>
        </w:rPr>
        <w:footnoteReference w:id="3879"/>
      </w:r>
      <w:r w:rsidRPr="00440CAB">
        <w:rPr>
          <w:rFonts w:ascii="Narkisim" w:hAnsi="Narkisim" w:cs="Narkisim"/>
          <w:sz w:val="20"/>
          <w:szCs w:val="20"/>
          <w:rtl/>
        </w:rPr>
        <w:t>. אך הביאו דה</w:t>
      </w:r>
      <w:r w:rsidRPr="00440CAB">
        <w:rPr>
          <w:rFonts w:ascii="Narkisim" w:hAnsi="Narkisim" w:cs="Narkisim"/>
          <w:b/>
          <w:bCs/>
          <w:sz w:val="20"/>
          <w:szCs w:val="20"/>
          <w:rtl/>
        </w:rPr>
        <w:t>גר"א</w:t>
      </w:r>
      <w:r w:rsidRPr="00440CAB">
        <w:rPr>
          <w:rFonts w:ascii="Narkisim" w:hAnsi="Narkisim" w:cs="Narkisim"/>
          <w:sz w:val="20"/>
          <w:szCs w:val="20"/>
          <w:rtl/>
        </w:rPr>
        <w:t xml:space="preserve"> (חו"מ שכב ד) העמיד דהסוגיא (שם) משום עצה טובה. וא"כ אינו נידון ממון, ומש"ה תלי במח' רבי ורשב"ג</w:t>
      </w:r>
      <w:r w:rsidRPr="00440CAB">
        <w:rPr>
          <w:rStyle w:val="ac"/>
          <w:rFonts w:ascii="Narkisim" w:hAnsi="Narkisim" w:cs="Narkisim"/>
          <w:sz w:val="20"/>
          <w:szCs w:val="20"/>
          <w:rtl/>
        </w:rPr>
        <w:footnoteReference w:id="3880"/>
      </w:r>
      <w:r w:rsidRPr="00440CAB">
        <w:rPr>
          <w:rFonts w:ascii="Narkisim" w:hAnsi="Narkisim" w:cs="Narkisim"/>
          <w:sz w:val="20"/>
          <w:szCs w:val="20"/>
          <w:rtl/>
        </w:rPr>
        <w:t>.</w:t>
      </w:r>
    </w:p>
    <w:p w14:paraId="771A3C73" w14:textId="77777777" w:rsidR="006074A5" w:rsidRPr="00440CAB" w:rsidRDefault="006074A5" w:rsidP="006074A5">
      <w:pPr>
        <w:bidi/>
        <w:rPr>
          <w:rFonts w:ascii="Narkisim" w:hAnsi="Narkisim" w:cs="Narkisim"/>
        </w:rPr>
      </w:pPr>
      <w:r w:rsidRPr="00440CAB">
        <w:rPr>
          <w:rFonts w:ascii="Narkisim" w:hAnsi="Narkisim" w:cs="Narkisim"/>
          <w:u w:val="single"/>
          <w:rtl/>
        </w:rPr>
        <w:t>בא"ד ומיהו תימה וכו' ולענין ממונא סמכינן אהאי רובא אע"ג דאיתרע בתרי זימני וכו'</w:t>
      </w:r>
      <w:r w:rsidRPr="00440CAB">
        <w:rPr>
          <w:rFonts w:ascii="Narkisim" w:hAnsi="Narkisim" w:cs="Narkisim"/>
          <w:rtl/>
        </w:rPr>
        <w:t>. דכיון דלא הוחזק ג' פעמים מוציאים כתובתה</w:t>
      </w:r>
      <w:r w:rsidRPr="00440CAB">
        <w:rPr>
          <w:rStyle w:val="ac"/>
          <w:rFonts w:ascii="Narkisim" w:hAnsi="Narkisim" w:cs="Narkisim"/>
          <w:rtl/>
        </w:rPr>
        <w:footnoteReference w:id="3881"/>
      </w:r>
      <w:r w:rsidRPr="00440CAB">
        <w:rPr>
          <w:rFonts w:ascii="Narkisim" w:hAnsi="Narkisim" w:cs="Narkisim"/>
          <w:rtl/>
        </w:rPr>
        <w:t xml:space="preserve">. </w:t>
      </w:r>
      <w:r w:rsidRPr="00440CAB">
        <w:rPr>
          <w:rFonts w:ascii="Narkisim" w:hAnsi="Narkisim" w:cs="Narkisim"/>
          <w:sz w:val="20"/>
          <w:szCs w:val="20"/>
          <w:rtl/>
        </w:rPr>
        <w:t>[דלענין ממון ל"מ חזקת ב' פעמים להוציא מהפשטות שראויה לילד, ומוקמינן ארוב נשים שראויין לילד</w:t>
      </w:r>
      <w:r w:rsidRPr="00440CAB">
        <w:rPr>
          <w:rStyle w:val="ac"/>
          <w:rFonts w:ascii="Narkisim" w:hAnsi="Narkisim" w:cs="Narkisim"/>
          <w:sz w:val="20"/>
          <w:szCs w:val="20"/>
          <w:rtl/>
        </w:rPr>
        <w:footnoteReference w:id="3882"/>
      </w:r>
      <w:r w:rsidRPr="00440CAB">
        <w:rPr>
          <w:rFonts w:ascii="Narkisim" w:hAnsi="Narkisim" w:cs="Narkisim"/>
          <w:sz w:val="20"/>
          <w:szCs w:val="20"/>
          <w:rtl/>
        </w:rPr>
        <w:t>].</w:t>
      </w:r>
    </w:p>
    <w:p w14:paraId="448E0C7A"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הג' מרדכי</w:t>
      </w:r>
      <w:r w:rsidRPr="00440CAB">
        <w:rPr>
          <w:rFonts w:ascii="Narkisim" w:hAnsi="Narkisim"/>
          <w:rtl/>
        </w:rPr>
        <w:t xml:space="preserve"> (כתובות שח) הביא מכאן דמהני רוב להוציא כתובה, דאלים מעשה בי"ד דכתובה כמוחזקת</w:t>
      </w:r>
      <w:r w:rsidRPr="00440CAB">
        <w:rPr>
          <w:rStyle w:val="ac"/>
          <w:rFonts w:ascii="Narkisim" w:hAnsi="Narkisim"/>
          <w:rtl/>
        </w:rPr>
        <w:footnoteReference w:id="3883"/>
      </w:r>
      <w:r w:rsidRPr="00440CAB">
        <w:rPr>
          <w:rFonts w:ascii="Narkisim" w:hAnsi="Narkisim"/>
          <w:rtl/>
        </w:rPr>
        <w:t>. וה</w:t>
      </w:r>
      <w:r w:rsidRPr="00440CAB">
        <w:rPr>
          <w:rFonts w:ascii="Narkisim" w:hAnsi="Narkisim"/>
          <w:b/>
          <w:bCs/>
          <w:rtl/>
        </w:rPr>
        <w:t>שמעתתא</w:t>
      </w:r>
      <w:r w:rsidRPr="00440CAB">
        <w:rPr>
          <w:rFonts w:ascii="Narkisim" w:hAnsi="Narkisim"/>
          <w:rtl/>
        </w:rPr>
        <w:t xml:space="preserve"> (א כד) ביאר דאע"ג דקי"ל כבית הלל (סוטה כה: ולעיל לח:) דשטר העומד ליגבות לאו כגבוי דמי, מ"מ נחשב מוחזק לכמה דינים להחשב כממון ביד המלוה</w:t>
      </w:r>
      <w:r w:rsidRPr="00440CAB">
        <w:rPr>
          <w:rStyle w:val="ac"/>
          <w:rFonts w:ascii="Narkisim" w:hAnsi="Narkisim"/>
          <w:rtl/>
        </w:rPr>
        <w:footnoteReference w:id="3884"/>
      </w:r>
      <w:r w:rsidRPr="00440CAB">
        <w:rPr>
          <w:rFonts w:ascii="Narkisim" w:hAnsi="Narkisim"/>
          <w:rtl/>
        </w:rPr>
        <w:t>.</w:t>
      </w:r>
    </w:p>
    <w:p w14:paraId="1881722C" w14:textId="77777777" w:rsidR="006074A5" w:rsidRPr="00440CAB" w:rsidRDefault="006074A5" w:rsidP="006074A5">
      <w:pPr>
        <w:bidi/>
        <w:rPr>
          <w:rFonts w:ascii="Narkisim" w:hAnsi="Narkisim" w:cs="Narkisim"/>
        </w:rPr>
      </w:pPr>
      <w:r w:rsidRPr="00440CAB">
        <w:rPr>
          <w:rFonts w:ascii="Narkisim" w:hAnsi="Narkisim" w:cs="Narkisim"/>
          <w:rtl/>
        </w:rPr>
        <w:t>אבל ה</w:t>
      </w:r>
      <w:r w:rsidRPr="00440CAB">
        <w:rPr>
          <w:rFonts w:ascii="Narkisim" w:hAnsi="Narkisim" w:cs="Narkisim"/>
          <w:b/>
          <w:bCs/>
          <w:rtl/>
        </w:rPr>
        <w:t>מרדכי</w:t>
      </w:r>
      <w:r w:rsidRPr="00440CAB">
        <w:rPr>
          <w:rFonts w:ascii="Narkisim" w:hAnsi="Narkisim" w:cs="Narkisim"/>
          <w:rtl/>
        </w:rPr>
        <w:t xml:space="preserve"> (נב) כתב דהני דינים עשאום חז"ל בבירור דעת ולא מטעם ספק לדונם בהמוציא מחבירו עליו הראיה.</w:t>
      </w:r>
      <w:r w:rsidRPr="00440CAB">
        <w:rPr>
          <w:rFonts w:ascii="Narkisim" w:hAnsi="Narkisim" w:cs="Narkisim"/>
          <w:sz w:val="20"/>
          <w:szCs w:val="20"/>
          <w:rtl/>
        </w:rPr>
        <w:t xml:space="preserve"> [ותקנו מדרבנן להחשב בתורת ודאי, וכל הדינים בכלל התקנה].</w:t>
      </w:r>
    </w:p>
    <w:p w14:paraId="3905D142" w14:textId="77777777" w:rsidR="006074A5" w:rsidRPr="00440CAB" w:rsidRDefault="006074A5" w:rsidP="006074A5">
      <w:pPr>
        <w:bidi/>
        <w:rPr>
          <w:rFonts w:ascii="Narkisim" w:hAnsi="Narkisim" w:cs="Narkisim"/>
        </w:rPr>
      </w:pPr>
      <w:r w:rsidRPr="00440CAB">
        <w:rPr>
          <w:rFonts w:ascii="Narkisim" w:hAnsi="Narkisim" w:cs="Narkisim"/>
          <w:u w:val="single"/>
          <w:rtl/>
        </w:rPr>
        <w:t>השתא הוא דכחשי וכו'.</w:t>
      </w:r>
      <w:r w:rsidRPr="00440CAB">
        <w:rPr>
          <w:rFonts w:ascii="Narkisim" w:hAnsi="Narkisim" w:cs="Narkisim"/>
          <w:rtl/>
        </w:rPr>
        <w:t xml:space="preserve"> בתוס' ביארו דהך סברא הוה ספק, ולכן ל"מ להוציא כתובה משלישי. אבל ה</w:t>
      </w:r>
      <w:r w:rsidRPr="00440CAB">
        <w:rPr>
          <w:rFonts w:ascii="Narkisim" w:hAnsi="Narkisim" w:cs="Narkisim"/>
          <w:b/>
          <w:bCs/>
          <w:rtl/>
        </w:rPr>
        <w:t>ריטב"א</w:t>
      </w:r>
      <w:r w:rsidRPr="00440CAB">
        <w:rPr>
          <w:rFonts w:ascii="Narkisim" w:hAnsi="Narkisim" w:cs="Narkisim"/>
          <w:rtl/>
        </w:rPr>
        <w:t xml:space="preserve"> כתב דכיון דנשאת לו שלא ברצון חכמים אין מקבלין טענה זו לפוטרה עד שיתברר.</w:t>
      </w:r>
    </w:p>
    <w:p w14:paraId="2F39B18F"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קובה"ע</w:t>
      </w:r>
      <w:r w:rsidRPr="00440CAB">
        <w:rPr>
          <w:rFonts w:ascii="Narkisim" w:hAnsi="Narkisim" w:cs="Narkisim"/>
          <w:rtl/>
        </w:rPr>
        <w:t xml:space="preserve"> (הוספות ב) כתב דיסוד חזקת ג' פעמים משום דלא תלינן במקרה, ולכן יש לתלות בסיבה משותפת לכולם [וכן מפורסם בשם ה</w:t>
      </w:r>
      <w:r w:rsidRPr="00440CAB">
        <w:rPr>
          <w:rFonts w:ascii="Narkisim" w:hAnsi="Narkisim" w:cs="Narkisim"/>
          <w:b/>
          <w:bCs/>
          <w:rtl/>
        </w:rPr>
        <w:t>גר"ח</w:t>
      </w:r>
      <w:r w:rsidRPr="00440CAB">
        <w:rPr>
          <w:rStyle w:val="ac"/>
          <w:rFonts w:ascii="Narkisim" w:hAnsi="Narkisim" w:cs="Narkisim"/>
          <w:rtl/>
        </w:rPr>
        <w:footnoteReference w:id="3885"/>
      </w:r>
      <w:r w:rsidRPr="00440CAB">
        <w:rPr>
          <w:rFonts w:ascii="Narkisim" w:hAnsi="Narkisim" w:cs="Narkisim"/>
          <w:rtl/>
        </w:rPr>
        <w:t>], ומטעם זה יוחזק למפרע דאף הראשונים הם מחמת סיבה זו</w:t>
      </w:r>
      <w:r w:rsidRPr="00440CAB">
        <w:rPr>
          <w:rStyle w:val="ac"/>
          <w:rFonts w:ascii="Narkisim" w:hAnsi="Narkisim" w:cs="Narkisim"/>
          <w:rtl/>
        </w:rPr>
        <w:footnoteReference w:id="3886"/>
      </w:r>
      <w:r w:rsidRPr="00440CAB">
        <w:rPr>
          <w:rFonts w:ascii="Narkisim" w:hAnsi="Narkisim" w:cs="Narkisim"/>
          <w:rtl/>
        </w:rPr>
        <w:t>. והא דשור המועד אינו נעשה מועד למפרע הוא משום דלא שייך התראה למפרע.</w:t>
      </w:r>
    </w:p>
    <w:p w14:paraId="535D99F5" w14:textId="77777777" w:rsidR="006074A5" w:rsidRPr="00440CAB" w:rsidRDefault="006074A5" w:rsidP="006074A5">
      <w:pPr>
        <w:pStyle w:val="a7"/>
        <w:bidi/>
        <w:rPr>
          <w:rFonts w:ascii="Narkisim" w:hAnsi="Narkisim"/>
        </w:rPr>
      </w:pPr>
      <w:r w:rsidRPr="00440CAB">
        <w:rPr>
          <w:rFonts w:ascii="Narkisim" w:hAnsi="Narkisim"/>
          <w:rtl/>
        </w:rPr>
        <w:t>ועפ"ז תמה אמאי אמרי' השתא הוא דכחשי, הא איגלאי דכולהו מחמת סיבת החזקה</w:t>
      </w:r>
      <w:r w:rsidRPr="00440CAB">
        <w:rPr>
          <w:rStyle w:val="ac"/>
          <w:rFonts w:ascii="Narkisim" w:hAnsi="Narkisim"/>
          <w:rtl/>
        </w:rPr>
        <w:footnoteReference w:id="3887"/>
      </w:r>
      <w:r w:rsidRPr="00440CAB">
        <w:rPr>
          <w:rFonts w:ascii="Narkisim" w:hAnsi="Narkisim"/>
          <w:rtl/>
        </w:rPr>
        <w:t xml:space="preserve">. </w:t>
      </w:r>
      <w:r w:rsidRPr="00440CAB">
        <w:rPr>
          <w:rFonts w:ascii="Narkisim" w:hAnsi="Narkisim"/>
          <w:rtl/>
        </w:rPr>
        <w:lastRenderedPageBreak/>
        <w:t>ועוד דא"כ אין כאן חזקת ג"פ, דרק פעם א' הוה מחמת סיבה זו</w:t>
      </w:r>
      <w:r w:rsidRPr="00440CAB">
        <w:rPr>
          <w:rStyle w:val="ac"/>
          <w:rFonts w:ascii="Narkisim" w:hAnsi="Narkisim"/>
          <w:rtl/>
        </w:rPr>
        <w:footnoteReference w:id="3888"/>
      </w:r>
      <w:r w:rsidRPr="00440CAB">
        <w:rPr>
          <w:rFonts w:ascii="Narkisim" w:hAnsi="Narkisim"/>
          <w:rtl/>
        </w:rPr>
        <w:t>. וצ"ע</w:t>
      </w:r>
      <w:r w:rsidRPr="00440CAB">
        <w:rPr>
          <w:rStyle w:val="ac"/>
          <w:rFonts w:ascii="Narkisim" w:hAnsi="Narkisim"/>
          <w:rtl/>
        </w:rPr>
        <w:footnoteReference w:id="3889"/>
      </w:r>
      <w:r w:rsidRPr="00440CAB">
        <w:rPr>
          <w:rFonts w:ascii="Narkisim" w:hAnsi="Narkisim"/>
          <w:rtl/>
        </w:rPr>
        <w:t xml:space="preserve">. </w:t>
      </w:r>
      <w:r w:rsidRPr="00440CAB">
        <w:rPr>
          <w:rFonts w:ascii="Narkisim" w:hAnsi="Narkisim"/>
          <w:sz w:val="20"/>
          <w:szCs w:val="20"/>
          <w:rtl/>
        </w:rPr>
        <w:t>וכתב דיש חזקות די"ל דנחשב שנתרגל ועי"ז נעשה טבע [והורגל ליגח], אבל בניסת לג' אין שום טעם לומר דהתרגלה ע"י והוחזקה מכאן ולהבא, וע"כ דהוחזק למעיקרא אינה ראויה לילד מחמת טבעה או מזלה.</w:t>
      </w:r>
      <w:r w:rsidRPr="00440CAB">
        <w:rPr>
          <w:rFonts w:ascii="Narkisim" w:hAnsi="Narkisim"/>
          <w:rtl/>
        </w:rPr>
        <w:t xml:space="preserve"> ועד"ז הק' ה</w:t>
      </w:r>
      <w:r w:rsidRPr="00440CAB">
        <w:rPr>
          <w:rFonts w:ascii="Narkisim" w:hAnsi="Narkisim"/>
          <w:b/>
          <w:bCs/>
          <w:rtl/>
        </w:rPr>
        <w:t>חזו"א</w:t>
      </w:r>
      <w:r w:rsidRPr="00440CAB">
        <w:rPr>
          <w:rFonts w:ascii="Narkisim" w:hAnsi="Narkisim"/>
          <w:rtl/>
        </w:rPr>
        <w:t>. וה</w:t>
      </w:r>
      <w:r w:rsidRPr="00440CAB">
        <w:rPr>
          <w:rFonts w:ascii="Narkisim" w:hAnsi="Narkisim"/>
          <w:b/>
          <w:bCs/>
          <w:rtl/>
        </w:rPr>
        <w:t>קה"י</w:t>
      </w:r>
      <w:r w:rsidRPr="00440CAB">
        <w:rPr>
          <w:rFonts w:ascii="Narkisim" w:hAnsi="Narkisim"/>
          <w:rtl/>
        </w:rPr>
        <w:t xml:space="preserve"> </w:t>
      </w:r>
      <w:r w:rsidRPr="00440CAB">
        <w:rPr>
          <w:rFonts w:ascii="Narkisim" w:hAnsi="Narkisim"/>
          <w:sz w:val="20"/>
          <w:szCs w:val="20"/>
          <w:rtl/>
        </w:rPr>
        <w:t xml:space="preserve">(נדה סו) </w:t>
      </w:r>
      <w:r w:rsidRPr="00440CAB">
        <w:rPr>
          <w:rFonts w:ascii="Narkisim" w:hAnsi="Narkisim"/>
          <w:rtl/>
        </w:rPr>
        <w:t>כת' דכיון דטבע הנשים שבמשך הזמן אינן ראויין לילד, י"ל דהשתא הוא דכחשי, ודבר שהוא ע"פ טבע לא נחשב שינוי</w:t>
      </w:r>
      <w:r w:rsidRPr="00440CAB">
        <w:rPr>
          <w:rStyle w:val="ac"/>
          <w:rFonts w:ascii="Narkisim" w:hAnsi="Narkisim"/>
          <w:rtl/>
        </w:rPr>
        <w:footnoteReference w:id="3890"/>
      </w:r>
      <w:r w:rsidRPr="00440CAB">
        <w:rPr>
          <w:rFonts w:ascii="Narkisim" w:hAnsi="Narkisim"/>
          <w:rtl/>
        </w:rPr>
        <w:t>.</w:t>
      </w:r>
    </w:p>
    <w:p w14:paraId="48E83222" w14:textId="77777777" w:rsidR="006074A5" w:rsidRPr="00440CAB" w:rsidRDefault="006074A5" w:rsidP="006074A5">
      <w:pPr>
        <w:pStyle w:val="a7"/>
        <w:bidi/>
        <w:rPr>
          <w:rFonts w:ascii="Narkisim" w:hAnsi="Narkisim"/>
        </w:rPr>
      </w:pPr>
      <w:r w:rsidRPr="00440CAB">
        <w:rPr>
          <w:rFonts w:ascii="Narkisim" w:hAnsi="Narkisim"/>
          <w:rtl/>
        </w:rPr>
        <w:t>אבל ה</w:t>
      </w:r>
      <w:r w:rsidRPr="00440CAB">
        <w:rPr>
          <w:rFonts w:ascii="Narkisim" w:hAnsi="Narkisim"/>
          <w:b/>
          <w:bCs/>
          <w:rtl/>
        </w:rPr>
        <w:t>חזו"א</w:t>
      </w:r>
      <w:r w:rsidRPr="00440CAB">
        <w:rPr>
          <w:rFonts w:ascii="Narkisim" w:hAnsi="Narkisim"/>
          <w:rtl/>
        </w:rPr>
        <w:t xml:space="preserve"> (קח ד) הוכיח מזה דחזקת ג' פעמים ל"מ כלל להוציא ממון, כיון דהיתה בחזקת בריאה. אלא דכלפי השלישי השתא יהבינן לה דין עקרה. </w:t>
      </w:r>
      <w:r w:rsidRPr="00440CAB">
        <w:rPr>
          <w:rFonts w:ascii="Narkisim" w:hAnsi="Narkisim"/>
          <w:sz w:val="20"/>
          <w:szCs w:val="20"/>
          <w:rtl/>
        </w:rPr>
        <w:t>[וכוונת הגמ' השתא הוא דכחשי דמה דהוחזק עכשיו ל"מ לקודם].</w:t>
      </w:r>
    </w:p>
    <w:p w14:paraId="0ED80BEF" w14:textId="77777777" w:rsidR="006074A5" w:rsidRPr="00440CAB" w:rsidRDefault="006074A5" w:rsidP="006074A5">
      <w:pPr>
        <w:pStyle w:val="aa"/>
        <w:bidi/>
        <w:rPr>
          <w:rFonts w:ascii="Narkisim" w:hAnsi="Narkisim"/>
        </w:rPr>
      </w:pPr>
      <w:r w:rsidRPr="00440CAB">
        <w:rPr>
          <w:rFonts w:ascii="Narkisim" w:hAnsi="Narkisim"/>
          <w:u w:val="single"/>
          <w:rtl/>
        </w:rPr>
        <w:t>תוד"ה אי.</w:t>
      </w:r>
      <w:r w:rsidRPr="00440CAB">
        <w:rPr>
          <w:rFonts w:ascii="Narkisim" w:hAnsi="Narkisim"/>
          <w:rtl/>
        </w:rPr>
        <w:t xml:space="preserve"> אבל הכא אין בידו לבודקה וכו'. וב</w:t>
      </w:r>
      <w:r w:rsidRPr="00440CAB">
        <w:rPr>
          <w:rFonts w:ascii="Narkisim" w:hAnsi="Narkisim"/>
          <w:b/>
          <w:bCs/>
          <w:rtl/>
        </w:rPr>
        <w:t>חי' ר"א מן ההר</w:t>
      </w:r>
      <w:r w:rsidRPr="00440CAB">
        <w:rPr>
          <w:rFonts w:ascii="Narkisim" w:hAnsi="Narkisim"/>
          <w:rtl/>
        </w:rPr>
        <w:t xml:space="preserve"> תי' דהכא מגרש במצוות רבנן, והוה כאילו אמר להדיא משום בנים וכו'.</w:t>
      </w:r>
    </w:p>
    <w:p w14:paraId="114E918A" w14:textId="77777777" w:rsidR="006074A5" w:rsidRPr="00440CAB" w:rsidRDefault="006074A5" w:rsidP="006074A5">
      <w:pPr>
        <w:bidi/>
        <w:rPr>
          <w:rFonts w:ascii="Narkisim" w:hAnsi="Narkisim" w:cs="Narkisim"/>
        </w:rPr>
      </w:pPr>
      <w:r w:rsidRPr="00440CAB">
        <w:rPr>
          <w:rFonts w:ascii="Narkisim" w:hAnsi="Narkisim" w:cs="Narkisim"/>
          <w:u w:val="single"/>
          <w:rtl/>
        </w:rPr>
        <w:t>בא"ד והר"ש מדרוי"ש תי' דהתם יש לחוש שתקבע וסת כמו שהתחילה קודם גירושין, דאיגלאי מילתא דבעוד שהיא תחתיו איבריאת</w:t>
      </w:r>
      <w:r w:rsidRPr="00440CAB">
        <w:rPr>
          <w:rFonts w:ascii="Narkisim" w:hAnsi="Narkisim" w:cs="Narkisim"/>
          <w:rtl/>
        </w:rPr>
        <w:t xml:space="preserve">. </w:t>
      </w:r>
      <w:r w:rsidRPr="00440CAB">
        <w:rPr>
          <w:rFonts w:ascii="Narkisim" w:hAnsi="Narkisim" w:cs="Narkisim"/>
          <w:sz w:val="20"/>
          <w:szCs w:val="20"/>
          <w:rtl/>
        </w:rPr>
        <w:t>[ואחרי שקבעה בג' פעמים חזינן דאף פעם הראשונה הוה מחמת סיבת הוסת].</w:t>
      </w:r>
      <w:r w:rsidRPr="00440CAB">
        <w:rPr>
          <w:rFonts w:ascii="Narkisim" w:hAnsi="Narkisim" w:cs="Narkisim"/>
          <w:rtl/>
        </w:rPr>
        <w:t xml:space="preserve"> וה</w:t>
      </w:r>
      <w:r w:rsidRPr="00440CAB">
        <w:rPr>
          <w:rFonts w:ascii="Narkisim" w:hAnsi="Narkisim" w:cs="Narkisim"/>
          <w:b/>
          <w:bCs/>
          <w:rtl/>
        </w:rPr>
        <w:t>קה"י</w:t>
      </w:r>
      <w:r w:rsidRPr="00440CAB">
        <w:rPr>
          <w:rFonts w:ascii="Narkisim" w:hAnsi="Narkisim" w:cs="Narkisim"/>
          <w:rtl/>
        </w:rPr>
        <w:t xml:space="preserve"> (שם) הקשה מ"ט לא אמרי' השתא הוא דבריית, כדאמרי' בסוגיין דהשתא הוא דכחשי. ותי' דמהך סברא הוה רק ספק, ומ"מ מחמת ספק [או חזקה] יכול לקלקלה. והביא בשם ה</w:t>
      </w:r>
      <w:r w:rsidRPr="00440CAB">
        <w:rPr>
          <w:rFonts w:ascii="Narkisim" w:hAnsi="Narkisim" w:cs="Narkisim"/>
          <w:b/>
          <w:bCs/>
          <w:rtl/>
        </w:rPr>
        <w:t xml:space="preserve">חזו"א </w:t>
      </w:r>
      <w:r w:rsidRPr="00440CAB">
        <w:rPr>
          <w:rFonts w:ascii="Narkisim" w:hAnsi="Narkisim" w:cs="Narkisim"/>
          <w:rtl/>
        </w:rPr>
        <w:t>דכיון דטבע כל אשה שיש לה וסת תלינן כל ראיה בטבע הוסת. משא"כ בסוגיין עקרות לא שכיחא.</w:t>
      </w:r>
    </w:p>
    <w:p w14:paraId="0E321A13" w14:textId="77777777" w:rsidR="006074A5" w:rsidRPr="00440CAB" w:rsidRDefault="006074A5" w:rsidP="006074A5">
      <w:pPr>
        <w:pStyle w:val="2"/>
        <w:bidi/>
        <w:rPr>
          <w:rFonts w:ascii="Narkisim" w:hAnsi="Narkisim"/>
        </w:rPr>
      </w:pPr>
      <w:r w:rsidRPr="00440CAB">
        <w:rPr>
          <w:rFonts w:ascii="Narkisim" w:hAnsi="Narkisim"/>
          <w:rtl/>
        </w:rPr>
        <w:t>הוא אומר מינה</w:t>
      </w:r>
    </w:p>
    <w:p w14:paraId="331F148F" w14:textId="77777777" w:rsidR="006074A5" w:rsidRPr="00440CAB" w:rsidRDefault="006074A5" w:rsidP="006074A5">
      <w:pPr>
        <w:bidi/>
        <w:rPr>
          <w:rFonts w:ascii="Narkisim" w:hAnsi="Narkisim" w:cs="Narkisim"/>
        </w:rPr>
      </w:pPr>
      <w:r w:rsidRPr="00440CAB">
        <w:rPr>
          <w:rFonts w:ascii="Narkisim" w:hAnsi="Narkisim" w:cs="Narkisim"/>
          <w:u w:val="single"/>
          <w:rtl/>
        </w:rPr>
        <w:t>הוא אומר מינה, והיא אומרת מיניה</w:t>
      </w:r>
      <w:r w:rsidRPr="00440CAB">
        <w:rPr>
          <w:rStyle w:val="ac"/>
          <w:rFonts w:ascii="Narkisim" w:hAnsi="Narkisim" w:cs="Narkisim"/>
          <w:u w:val="single"/>
          <w:rtl/>
        </w:rPr>
        <w:footnoteReference w:id="3891"/>
      </w:r>
      <w:r w:rsidRPr="00440CAB">
        <w:rPr>
          <w:rFonts w:ascii="Narkisim" w:hAnsi="Narkisim" w:cs="Narkisim"/>
          <w:u w:val="single"/>
          <w:rtl/>
        </w:rPr>
        <w:t xml:space="preserve"> וכו'.</w:t>
      </w:r>
      <w:r w:rsidRPr="00440CAB">
        <w:rPr>
          <w:rFonts w:ascii="Narkisim" w:hAnsi="Narkisim" w:cs="Narkisim"/>
          <w:rtl/>
        </w:rPr>
        <w:t xml:space="preserve"> לא נתפרש בגמ' על מה הנידון, האם רוצה לגרש או שהנידון על הכתובה. והאם איירי תוך י' או אחר י'. ו</w:t>
      </w:r>
      <w:r w:rsidRPr="00440CAB">
        <w:rPr>
          <w:rFonts w:ascii="Narkisim" w:hAnsi="Narkisim" w:cs="Narkisim"/>
          <w:b/>
          <w:bCs/>
          <w:rtl/>
        </w:rPr>
        <w:t>רש"י</w:t>
      </w:r>
      <w:r w:rsidRPr="00440CAB">
        <w:rPr>
          <w:rFonts w:ascii="Narkisim" w:hAnsi="Narkisim" w:cs="Narkisim"/>
          <w:rtl/>
        </w:rPr>
        <w:t xml:space="preserve"> (ד"ה מינה) פי' יודע אני שמחמתה הוא, ולא אתן כתובה. מבואר דהנידון על הכתובה [וכ"מ ב</w:t>
      </w:r>
      <w:r w:rsidRPr="00440CAB">
        <w:rPr>
          <w:rFonts w:ascii="Narkisim" w:hAnsi="Narkisim" w:cs="Narkisim"/>
          <w:b/>
          <w:bCs/>
          <w:rtl/>
        </w:rPr>
        <w:t>רי"ף</w:t>
      </w:r>
      <w:r w:rsidRPr="00440CAB">
        <w:rPr>
          <w:rFonts w:ascii="Narkisim" w:hAnsi="Narkisim" w:cs="Narkisim"/>
          <w:rtl/>
        </w:rPr>
        <w:t xml:space="preserve"> דהנידון על הכתובה. ע' בסמוך]. ולכאו' איירי לאחר י' שנים, שהוחזקו שאין להם בנים. ומדין המשנה יוציא ויתן כתובה, אלא כיון דטוען שהוה מינה אין לה כתובה.</w:t>
      </w:r>
    </w:p>
    <w:p w14:paraId="4A647AA1"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ר"י ב"ר מאיר</w:t>
      </w:r>
      <w:r w:rsidRPr="00440CAB">
        <w:rPr>
          <w:rFonts w:ascii="Narkisim" w:hAnsi="Narkisim"/>
          <w:rtl/>
        </w:rPr>
        <w:t xml:space="preserve"> (כתוס') פי' דאיירי שנשאת לשלישי, ומדינא אין לה כתובה. אלא דתובעת כתובה וטוענת דאינו יורה כחץ.</w:t>
      </w:r>
    </w:p>
    <w:p w14:paraId="0BC153AC" w14:textId="77777777" w:rsidR="006074A5" w:rsidRPr="00440CAB" w:rsidRDefault="006074A5" w:rsidP="006074A5">
      <w:pPr>
        <w:pStyle w:val="a7"/>
        <w:bidi/>
        <w:rPr>
          <w:rFonts w:ascii="Narkisim" w:hAnsi="Narkisim"/>
        </w:rPr>
      </w:pPr>
      <w:r w:rsidRPr="00440CAB">
        <w:rPr>
          <w:rFonts w:ascii="Narkisim" w:hAnsi="Narkisim"/>
          <w:rtl/>
        </w:rPr>
        <w:t xml:space="preserve">ויש </w:t>
      </w:r>
      <w:r w:rsidRPr="00440CAB">
        <w:rPr>
          <w:rFonts w:ascii="Narkisim" w:hAnsi="Narkisim"/>
          <w:b/>
          <w:bCs/>
          <w:rtl/>
        </w:rPr>
        <w:t>ראשונים</w:t>
      </w:r>
      <w:r w:rsidRPr="00440CAB">
        <w:rPr>
          <w:rFonts w:ascii="Narkisim" w:hAnsi="Narkisim"/>
          <w:sz w:val="20"/>
          <w:szCs w:val="20"/>
          <w:rtl/>
        </w:rPr>
        <w:t xml:space="preserve"> (תוס' חד מקמאי סד:, וכ"מ בתחילת דברי תוס' ד"ה שבינו)</w:t>
      </w:r>
      <w:r w:rsidRPr="00440CAB">
        <w:rPr>
          <w:rFonts w:ascii="Narkisim" w:hAnsi="Narkisim"/>
          <w:rtl/>
        </w:rPr>
        <w:t xml:space="preserve"> העמידו דהכא תובעת להתגרש [ובאה מחמת טענה, ע"ע בע"ב], והוא מכחיש. והנידון על עיקר הגירושין.</w:t>
      </w:r>
    </w:p>
    <w:p w14:paraId="12B3B784"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בעה"מ</w:t>
      </w:r>
      <w:r w:rsidRPr="00440CAB">
        <w:rPr>
          <w:rFonts w:ascii="Narkisim" w:hAnsi="Narkisim"/>
          <w:sz w:val="20"/>
          <w:szCs w:val="20"/>
          <w:rtl/>
        </w:rPr>
        <w:t xml:space="preserve"> (בפי' הא')</w:t>
      </w:r>
      <w:r w:rsidRPr="00440CAB">
        <w:rPr>
          <w:rFonts w:ascii="Narkisim" w:hAnsi="Narkisim"/>
          <w:rtl/>
        </w:rPr>
        <w:t xml:space="preserve"> ו</w:t>
      </w:r>
      <w:r w:rsidRPr="00440CAB">
        <w:rPr>
          <w:rFonts w:ascii="Narkisim" w:hAnsi="Narkisim"/>
          <w:b/>
          <w:bCs/>
          <w:rtl/>
        </w:rPr>
        <w:t>תוס' חד מקמאי</w:t>
      </w:r>
      <w:r w:rsidRPr="00440CAB">
        <w:rPr>
          <w:rFonts w:ascii="Narkisim" w:hAnsi="Narkisim"/>
          <w:rtl/>
        </w:rPr>
        <w:t xml:space="preserve"> </w:t>
      </w:r>
      <w:r w:rsidRPr="00440CAB">
        <w:rPr>
          <w:rFonts w:ascii="Narkisim" w:hAnsi="Narkisim"/>
          <w:sz w:val="20"/>
          <w:szCs w:val="20"/>
          <w:rtl/>
        </w:rPr>
        <w:t>(סד: בשם אביו)</w:t>
      </w:r>
      <w:r w:rsidRPr="00440CAB">
        <w:rPr>
          <w:rFonts w:ascii="Narkisim" w:hAnsi="Narkisim"/>
          <w:rtl/>
        </w:rPr>
        <w:t xml:space="preserve"> פי' דאיירי אחר י' שנים ואינה רוצה להתגרש</w:t>
      </w:r>
      <w:r w:rsidRPr="00440CAB">
        <w:rPr>
          <w:rStyle w:val="ac"/>
          <w:rFonts w:ascii="Narkisim" w:hAnsi="Narkisim"/>
          <w:rtl/>
        </w:rPr>
        <w:footnoteReference w:id="3892"/>
      </w:r>
      <w:r w:rsidRPr="00440CAB">
        <w:rPr>
          <w:rFonts w:ascii="Narkisim" w:hAnsi="Narkisim"/>
          <w:rtl/>
        </w:rPr>
        <w:t>, דאומרת שהוא עקור</w:t>
      </w:r>
      <w:r w:rsidRPr="00440CAB">
        <w:rPr>
          <w:rStyle w:val="ac"/>
          <w:rFonts w:ascii="Narkisim" w:hAnsi="Narkisim"/>
          <w:rtl/>
        </w:rPr>
        <w:footnoteReference w:id="3893"/>
      </w:r>
      <w:r w:rsidRPr="00440CAB">
        <w:rPr>
          <w:rFonts w:ascii="Narkisim" w:hAnsi="Narkisim"/>
          <w:rtl/>
        </w:rPr>
        <w:t xml:space="preserve">. </w:t>
      </w:r>
      <w:r w:rsidRPr="00440CAB">
        <w:rPr>
          <w:rFonts w:ascii="Narkisim" w:hAnsi="Narkisim"/>
          <w:sz w:val="20"/>
          <w:szCs w:val="20"/>
          <w:rtl/>
        </w:rPr>
        <w:t>והתוס' חד מקמאי כת' דלפ"ז הא דאיתא בגמ' אמר איזיל איבדוק נפשיה קאי אמתני', ואינו המשך מהנידון הקודם.</w:t>
      </w:r>
    </w:p>
    <w:p w14:paraId="1394081D" w14:textId="77777777" w:rsidR="006074A5" w:rsidRPr="00440CAB" w:rsidRDefault="006074A5" w:rsidP="006074A5">
      <w:pPr>
        <w:pStyle w:val="a8"/>
        <w:bidi/>
        <w:rPr>
          <w:rFonts w:ascii="Narkisim" w:hAnsi="Narkisim"/>
        </w:rPr>
      </w:pPr>
      <w:r w:rsidRPr="00440CAB">
        <w:rPr>
          <w:rFonts w:ascii="Narkisim" w:hAnsi="Narkisim"/>
          <w:rtl/>
        </w:rPr>
        <w:t>ועוד העמיד הבעה"מ דאיירי שיש לו בנים [וכמ"ש תוס' לחד תי'] ומש"ה אינו חייב לגרש לאחר י' שנים. אלא שרוצה להוציאה בלא כתובה.</w:t>
      </w:r>
    </w:p>
    <w:p w14:paraId="31080D1D" w14:textId="77777777" w:rsidR="006074A5" w:rsidRPr="00440CAB" w:rsidRDefault="006074A5" w:rsidP="006074A5">
      <w:pPr>
        <w:bidi/>
        <w:rPr>
          <w:rFonts w:ascii="Narkisim" w:hAnsi="Narkisim" w:cs="Narkisim"/>
        </w:rPr>
      </w:pPr>
      <w:r w:rsidRPr="00440CAB">
        <w:rPr>
          <w:rFonts w:ascii="Narkisim" w:hAnsi="Narkisim" w:cs="Narkisim"/>
          <w:u w:val="single"/>
          <w:rtl/>
        </w:rPr>
        <w:t>שם. מינה</w:t>
      </w:r>
      <w:r w:rsidRPr="00440CAB">
        <w:rPr>
          <w:rFonts w:ascii="Narkisim" w:hAnsi="Narkisim" w:cs="Narkisim"/>
          <w:rtl/>
        </w:rPr>
        <w:t>. לפ</w:t>
      </w:r>
      <w:r w:rsidRPr="00440CAB">
        <w:rPr>
          <w:rFonts w:ascii="Narkisim" w:hAnsi="Narkisim" w:cs="Narkisim"/>
          <w:b/>
          <w:bCs/>
          <w:rtl/>
        </w:rPr>
        <w:t xml:space="preserve">רש"י </w:t>
      </w:r>
      <w:r w:rsidRPr="00440CAB">
        <w:rPr>
          <w:rFonts w:ascii="Narkisim" w:hAnsi="Narkisim" w:cs="Narkisim"/>
          <w:rtl/>
        </w:rPr>
        <w:t>וה</w:t>
      </w:r>
      <w:r w:rsidRPr="00440CAB">
        <w:rPr>
          <w:rFonts w:ascii="Narkisim" w:hAnsi="Narkisim" w:cs="Narkisim"/>
          <w:b/>
          <w:bCs/>
          <w:rtl/>
        </w:rPr>
        <w:t>רי"ף</w:t>
      </w:r>
      <w:r w:rsidRPr="00440CAB">
        <w:rPr>
          <w:rFonts w:ascii="Narkisim" w:hAnsi="Narkisim" w:cs="Narkisim"/>
          <w:rtl/>
        </w:rPr>
        <w:t xml:space="preserve"> הוא טוען שאין לה כתובה, ומבואר דאשה שאינה ראויה להוליד אין לה כתובה. וכמו אילונית</w:t>
      </w:r>
      <w:r w:rsidRPr="00440CAB">
        <w:rPr>
          <w:rStyle w:val="ac"/>
          <w:rFonts w:ascii="Narkisim" w:hAnsi="Narkisim" w:cs="Narkisim"/>
          <w:rtl/>
        </w:rPr>
        <w:footnoteReference w:id="3894"/>
      </w:r>
      <w:r w:rsidRPr="00440CAB">
        <w:rPr>
          <w:rFonts w:ascii="Narkisim" w:hAnsi="Narkisim" w:cs="Narkisim"/>
          <w:rtl/>
        </w:rPr>
        <w:t xml:space="preserve">. ומשמע דהוא נאמן לטעון ברי שהיא עקרה להפסידה כתובתה [אלא דכיון דטוענת ברי דמיניה אינה נאמנת]. וצ"ב אמאי נאמן להפסידה כתובתה. </w:t>
      </w:r>
      <w:r w:rsidRPr="00440CAB">
        <w:rPr>
          <w:rFonts w:ascii="Narkisim" w:hAnsi="Narkisim" w:cs="Narkisim"/>
          <w:rtl/>
        </w:rPr>
        <w:lastRenderedPageBreak/>
        <w:t>וה</w:t>
      </w:r>
      <w:r w:rsidRPr="00440CAB">
        <w:rPr>
          <w:rFonts w:ascii="Narkisim" w:hAnsi="Narkisim" w:cs="Narkisim"/>
          <w:b/>
          <w:bCs/>
          <w:rtl/>
        </w:rPr>
        <w:t>ריטב"א</w:t>
      </w:r>
      <w:r w:rsidRPr="00440CAB">
        <w:rPr>
          <w:rFonts w:ascii="Narkisim" w:hAnsi="Narkisim" w:cs="Narkisim"/>
          <w:rtl/>
        </w:rPr>
        <w:t xml:space="preserve"> תי' דכיון דשהה י' שנים [הוה רגליים לדבר], ונאמן בטענת ברי להפסידה. וכעי"ז כת' ה</w:t>
      </w:r>
      <w:r w:rsidRPr="00440CAB">
        <w:rPr>
          <w:rFonts w:ascii="Narkisim" w:hAnsi="Narkisim" w:cs="Narkisim"/>
          <w:b/>
          <w:bCs/>
          <w:rtl/>
        </w:rPr>
        <w:t>מלחמות</w:t>
      </w:r>
      <w:r w:rsidRPr="00440CAB">
        <w:rPr>
          <w:rFonts w:ascii="Narkisim" w:hAnsi="Narkisim" w:cs="Narkisim"/>
          <w:rtl/>
        </w:rPr>
        <w:t xml:space="preserve">. </w:t>
      </w:r>
      <w:r w:rsidRPr="00440CAB">
        <w:rPr>
          <w:rFonts w:ascii="Narkisim" w:hAnsi="Narkisim" w:cs="Narkisim"/>
          <w:sz w:val="20"/>
          <w:szCs w:val="20"/>
          <w:rtl/>
        </w:rPr>
        <w:t>[ומ"מ מהני היכא דהיא טוענת ברי לסתור טענה דידיה</w:t>
      </w:r>
      <w:r w:rsidRPr="00440CAB">
        <w:rPr>
          <w:rStyle w:val="ac"/>
          <w:rFonts w:ascii="Narkisim" w:hAnsi="Narkisim" w:cs="Narkisim"/>
          <w:sz w:val="20"/>
          <w:szCs w:val="20"/>
          <w:rtl/>
        </w:rPr>
        <w:footnoteReference w:id="3895"/>
      </w:r>
      <w:r w:rsidRPr="00440CAB">
        <w:rPr>
          <w:rFonts w:ascii="Narkisim" w:hAnsi="Narkisim" w:cs="Narkisim"/>
          <w:sz w:val="20"/>
          <w:szCs w:val="20"/>
          <w:rtl/>
        </w:rPr>
        <w:t>].</w:t>
      </w:r>
    </w:p>
    <w:p w14:paraId="1CEBDD71"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בעה"מ</w:t>
      </w:r>
      <w:r w:rsidRPr="00440CAB">
        <w:rPr>
          <w:rFonts w:ascii="Narkisim" w:hAnsi="Narkisim"/>
          <w:rtl/>
        </w:rPr>
        <w:t xml:space="preserve"> הביא בשם </w:t>
      </w:r>
      <w:r w:rsidRPr="00440CAB">
        <w:rPr>
          <w:rFonts w:ascii="Narkisim" w:hAnsi="Narkisim"/>
          <w:b/>
          <w:bCs/>
          <w:rtl/>
        </w:rPr>
        <w:t>ר' אחאי גאון</w:t>
      </w:r>
      <w:r w:rsidRPr="00440CAB">
        <w:rPr>
          <w:rFonts w:ascii="Narkisim" w:hAnsi="Narkisim"/>
          <w:rtl/>
        </w:rPr>
        <w:t xml:space="preserve"> דאיירי אפי' תוך י' שנים. וה</w:t>
      </w:r>
      <w:r w:rsidRPr="00440CAB">
        <w:rPr>
          <w:rFonts w:ascii="Narkisim" w:hAnsi="Narkisim"/>
          <w:b/>
          <w:bCs/>
          <w:rtl/>
        </w:rPr>
        <w:t>מלחמות</w:t>
      </w:r>
      <w:r w:rsidRPr="00440CAB">
        <w:rPr>
          <w:rFonts w:ascii="Narkisim" w:hAnsi="Narkisim"/>
          <w:rtl/>
        </w:rPr>
        <w:t xml:space="preserve"> חלק</w:t>
      </w:r>
      <w:r w:rsidRPr="00440CAB">
        <w:rPr>
          <w:rStyle w:val="ac"/>
          <w:rFonts w:ascii="Narkisim" w:hAnsi="Narkisim"/>
          <w:rtl/>
        </w:rPr>
        <w:footnoteReference w:id="3896"/>
      </w:r>
      <w:r w:rsidRPr="00440CAB">
        <w:rPr>
          <w:rFonts w:ascii="Narkisim" w:hAnsi="Narkisim"/>
          <w:rtl/>
        </w:rPr>
        <w:t xml:space="preserve"> דתוך י' ודאי אינו נאמן, דא"כ מה הואילו חכמים בתקנתם דתקנו כתובה.</w:t>
      </w:r>
    </w:p>
    <w:p w14:paraId="1F9AEB9B" w14:textId="77777777" w:rsidR="006074A5" w:rsidRPr="00440CAB" w:rsidRDefault="006074A5" w:rsidP="006074A5">
      <w:pPr>
        <w:bidi/>
        <w:rPr>
          <w:rFonts w:ascii="Narkisim" w:hAnsi="Narkisim" w:cs="Narkisim"/>
        </w:rPr>
      </w:pPr>
      <w:r w:rsidRPr="00440CAB">
        <w:rPr>
          <w:rFonts w:ascii="Narkisim" w:hAnsi="Narkisim" w:cs="Narkisim"/>
          <w:rtl/>
        </w:rPr>
        <w:t>וה</w:t>
      </w:r>
      <w:r w:rsidRPr="00440CAB">
        <w:rPr>
          <w:rFonts w:ascii="Narkisim" w:hAnsi="Narkisim" w:cs="Narkisim"/>
          <w:b/>
          <w:bCs/>
          <w:rtl/>
        </w:rPr>
        <w:t>רמב"ם</w:t>
      </w:r>
      <w:r w:rsidRPr="00440CAB">
        <w:rPr>
          <w:rFonts w:ascii="Narkisim" w:hAnsi="Narkisim" w:cs="Narkisim"/>
          <w:rtl/>
        </w:rPr>
        <w:t xml:space="preserve"> (אישות טו ח,ט) כתב דכל ששהה י' שנים, והיא טוענת דמיניה</w:t>
      </w:r>
      <w:r w:rsidRPr="00440CAB">
        <w:rPr>
          <w:rStyle w:val="ac"/>
          <w:rFonts w:ascii="Narkisim" w:hAnsi="Narkisim" w:cs="Narkisim"/>
          <w:rtl/>
        </w:rPr>
        <w:footnoteReference w:id="3897"/>
      </w:r>
      <w:r w:rsidRPr="00440CAB">
        <w:rPr>
          <w:rFonts w:ascii="Narkisim" w:hAnsi="Narkisim" w:cs="Narkisim"/>
          <w:rtl/>
        </w:rPr>
        <w:t xml:space="preserve"> נאמנת</w:t>
      </w:r>
      <w:r w:rsidRPr="00440CAB">
        <w:rPr>
          <w:rStyle w:val="ac"/>
          <w:rFonts w:ascii="Narkisim" w:hAnsi="Narkisim" w:cs="Narkisim"/>
          <w:rtl/>
        </w:rPr>
        <w:footnoteReference w:id="3898"/>
      </w:r>
      <w:r w:rsidRPr="00440CAB">
        <w:rPr>
          <w:rFonts w:ascii="Narkisim" w:hAnsi="Narkisim" w:cs="Narkisim"/>
          <w:rtl/>
        </w:rPr>
        <w:t>. והרמב"ם כת' דאם הוא יורה כחץ חזקת החולי ממנה, וכיון שעבר י' שנים אין לה כתובה</w:t>
      </w:r>
      <w:r w:rsidRPr="00440CAB">
        <w:rPr>
          <w:rStyle w:val="ac"/>
          <w:rFonts w:ascii="Narkisim" w:hAnsi="Narkisim" w:cs="Narkisim"/>
          <w:rtl/>
        </w:rPr>
        <w:footnoteReference w:id="3899"/>
      </w:r>
      <w:r w:rsidRPr="00440CAB">
        <w:rPr>
          <w:rFonts w:ascii="Narkisim" w:hAnsi="Narkisim" w:cs="Narkisim"/>
          <w:rtl/>
        </w:rPr>
        <w:t>. וה</w:t>
      </w:r>
      <w:r w:rsidRPr="00440CAB">
        <w:rPr>
          <w:rFonts w:ascii="Narkisim" w:hAnsi="Narkisim" w:cs="Narkisim"/>
          <w:b/>
          <w:bCs/>
          <w:rtl/>
        </w:rPr>
        <w:t>ראב"ד</w:t>
      </w:r>
      <w:r w:rsidRPr="00440CAB">
        <w:rPr>
          <w:rFonts w:ascii="Narkisim" w:hAnsi="Narkisim" w:cs="Narkisim"/>
          <w:rtl/>
        </w:rPr>
        <w:t xml:space="preserve"> השיג דדוקא משלישי אין לה כתובה, אבל שהה י' שנים יש לה כתובה</w:t>
      </w:r>
      <w:r w:rsidRPr="00440CAB">
        <w:rPr>
          <w:rFonts w:ascii="Narkisim" w:hAnsi="Narkisim" w:cs="Narkisim"/>
          <w:sz w:val="20"/>
          <w:szCs w:val="20"/>
          <w:rtl/>
        </w:rPr>
        <w:t>.</w:t>
      </w:r>
    </w:p>
    <w:p w14:paraId="154D4B97" w14:textId="77777777" w:rsidR="006074A5" w:rsidRPr="00440CAB" w:rsidRDefault="006074A5" w:rsidP="006074A5">
      <w:pPr>
        <w:pStyle w:val="a8"/>
        <w:bidi/>
        <w:rPr>
          <w:rFonts w:ascii="Narkisim" w:hAnsi="Narkisim"/>
        </w:rPr>
      </w:pPr>
      <w:r w:rsidRPr="00440CAB">
        <w:rPr>
          <w:rFonts w:ascii="Narkisim" w:hAnsi="Narkisim"/>
          <w:rtl/>
        </w:rPr>
        <w:t>ולכאורה דעת הרמב"ם דהא דתלינן בזכותו היינו דוקא בטוענת דאינו יורה</w:t>
      </w:r>
      <w:r w:rsidRPr="00440CAB">
        <w:rPr>
          <w:rStyle w:val="ac"/>
          <w:rFonts w:ascii="Narkisim" w:hAnsi="Narkisim"/>
          <w:rtl/>
        </w:rPr>
        <w:footnoteReference w:id="3900"/>
      </w:r>
      <w:r w:rsidRPr="00440CAB">
        <w:rPr>
          <w:rFonts w:ascii="Narkisim" w:hAnsi="Narkisim"/>
          <w:rtl/>
        </w:rPr>
        <w:t>. אבל ה</w:t>
      </w:r>
      <w:r w:rsidRPr="00440CAB">
        <w:rPr>
          <w:rFonts w:ascii="Narkisim" w:hAnsi="Narkisim"/>
          <w:b/>
          <w:bCs/>
          <w:rtl/>
        </w:rPr>
        <w:t>חזו"א</w:t>
      </w:r>
      <w:r w:rsidRPr="00440CAB">
        <w:rPr>
          <w:rFonts w:ascii="Narkisim" w:hAnsi="Narkisim"/>
          <w:rtl/>
        </w:rPr>
        <w:t xml:space="preserve"> כ' דהתם כשהוא אינו טוען ברי.</w:t>
      </w:r>
    </w:p>
    <w:p w14:paraId="51598EC3" w14:textId="77777777" w:rsidR="006074A5" w:rsidRPr="00440CAB" w:rsidRDefault="006074A5" w:rsidP="006074A5">
      <w:pPr>
        <w:pStyle w:val="aa"/>
        <w:bidi/>
        <w:rPr>
          <w:rFonts w:ascii="Narkisim" w:hAnsi="Narkisim"/>
        </w:rPr>
      </w:pPr>
      <w:r w:rsidRPr="00440CAB">
        <w:rPr>
          <w:rFonts w:ascii="Narkisim" w:hAnsi="Narkisim"/>
          <w:u w:val="single"/>
          <w:rtl/>
        </w:rPr>
        <w:t>שם. מינה</w:t>
      </w:r>
      <w:r w:rsidRPr="00440CAB">
        <w:rPr>
          <w:rFonts w:ascii="Narkisim" w:hAnsi="Narkisim"/>
          <w:rtl/>
        </w:rPr>
        <w:t>. ה</w:t>
      </w:r>
      <w:r w:rsidRPr="00440CAB">
        <w:rPr>
          <w:rFonts w:ascii="Narkisim" w:hAnsi="Narkisim"/>
          <w:b/>
          <w:bCs/>
          <w:rtl/>
        </w:rPr>
        <w:t>רמב"ן</w:t>
      </w:r>
      <w:r w:rsidRPr="00440CAB">
        <w:rPr>
          <w:rFonts w:ascii="Narkisim" w:hAnsi="Narkisim"/>
          <w:rtl/>
        </w:rPr>
        <w:t xml:space="preserve"> כתב דמשמע מדברי רש"י דטוען שהיא מתקשה בשעת תשמיש וכו' [דהוה מסימני אילונית לקמן פ:]. וב</w:t>
      </w:r>
      <w:r w:rsidRPr="00440CAB">
        <w:rPr>
          <w:rFonts w:ascii="Narkisim" w:hAnsi="Narkisim"/>
          <w:b/>
          <w:bCs/>
          <w:rtl/>
        </w:rPr>
        <w:t xml:space="preserve">תוס' חד מקמאי </w:t>
      </w:r>
      <w:r w:rsidRPr="00440CAB">
        <w:rPr>
          <w:rFonts w:ascii="Narkisim" w:hAnsi="Narkisim"/>
          <w:rtl/>
        </w:rPr>
        <w:t>כתב דמעיינה סתום ואין לה וסת [ע"פ הגמ' כתובות י:</w:t>
      </w:r>
      <w:r w:rsidRPr="00440CAB">
        <w:rPr>
          <w:rStyle w:val="ac"/>
          <w:rFonts w:ascii="Narkisim" w:hAnsi="Narkisim"/>
          <w:rtl/>
        </w:rPr>
        <w:footnoteReference w:id="3901"/>
      </w:r>
      <w:r w:rsidRPr="00440CAB">
        <w:rPr>
          <w:rFonts w:ascii="Narkisim" w:hAnsi="Narkisim"/>
          <w:rtl/>
        </w:rPr>
        <w:t>]. וב</w:t>
      </w:r>
      <w:r w:rsidRPr="00440CAB">
        <w:rPr>
          <w:rFonts w:ascii="Narkisim" w:hAnsi="Narkisim"/>
          <w:b/>
          <w:bCs/>
          <w:rtl/>
        </w:rPr>
        <w:t>חי' ר"א מן ההר</w:t>
      </w:r>
      <w:r w:rsidRPr="00440CAB">
        <w:rPr>
          <w:rFonts w:ascii="Narkisim" w:hAnsi="Narkisim"/>
          <w:rtl/>
        </w:rPr>
        <w:t xml:space="preserve"> משמע דעיקר טענתו דאינו ממנו.</w:t>
      </w:r>
    </w:p>
    <w:p w14:paraId="73C69D70" w14:textId="77777777" w:rsidR="006074A5" w:rsidRPr="00440CAB" w:rsidRDefault="006074A5" w:rsidP="006074A5">
      <w:pPr>
        <w:bidi/>
        <w:rPr>
          <w:rFonts w:ascii="Narkisim" w:hAnsi="Narkisim" w:cs="Narkisim"/>
        </w:rPr>
      </w:pPr>
      <w:r w:rsidRPr="00440CAB">
        <w:rPr>
          <w:rFonts w:ascii="Narkisim" w:hAnsi="Narkisim" w:cs="Narkisim"/>
          <w:u w:val="single"/>
          <w:rtl/>
        </w:rPr>
        <w:t>אמר רבי אמי דברים שבינו לבינה נאמנת, הוא לא קים ליה וכו'.</w:t>
      </w:r>
      <w:r w:rsidRPr="00440CAB">
        <w:rPr>
          <w:rFonts w:ascii="Narkisim" w:hAnsi="Narkisim" w:cs="Narkisim"/>
          <w:rtl/>
        </w:rPr>
        <w:t xml:space="preserve"> דכיון דהיא טוענת ברי נאמנת, והוא אינו יודע, ברי ושמא ברי עדיף</w:t>
      </w:r>
      <w:r w:rsidRPr="00440CAB">
        <w:rPr>
          <w:rStyle w:val="ac"/>
          <w:rFonts w:ascii="Narkisim" w:hAnsi="Narkisim" w:cs="Narkisim"/>
          <w:rtl/>
        </w:rPr>
        <w:footnoteReference w:id="3902"/>
      </w:r>
      <w:r w:rsidRPr="00440CAB">
        <w:rPr>
          <w:rFonts w:ascii="Narkisim" w:hAnsi="Narkisim" w:cs="Narkisim"/>
          <w:rtl/>
        </w:rPr>
        <w:t>. והראשונים הק' האיך מהני טענת ברי דידה להוציא ממון.</w:t>
      </w:r>
    </w:p>
    <w:p w14:paraId="2592C049"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רשב"א</w:t>
      </w:r>
      <w:r w:rsidRPr="00440CAB">
        <w:rPr>
          <w:rFonts w:ascii="Narkisim" w:hAnsi="Narkisim"/>
          <w:rtl/>
        </w:rPr>
        <w:t xml:space="preserve"> כתב דלרש"י והרי"ף ניחא דאיירי שלא הוחזקה ג' פעמים ובא להוציא בלא כתובה</w:t>
      </w:r>
      <w:r w:rsidRPr="00440CAB">
        <w:rPr>
          <w:rStyle w:val="ac"/>
          <w:rFonts w:ascii="Narkisim" w:hAnsi="Narkisim"/>
          <w:rtl/>
        </w:rPr>
        <w:footnoteReference w:id="3903"/>
      </w:r>
      <w:r w:rsidRPr="00440CAB">
        <w:rPr>
          <w:rFonts w:ascii="Narkisim" w:hAnsi="Narkisim"/>
          <w:rtl/>
        </w:rPr>
        <w:t>. אבל לדעת ה</w:t>
      </w:r>
      <w:r w:rsidRPr="00440CAB">
        <w:rPr>
          <w:rFonts w:ascii="Narkisim" w:hAnsi="Narkisim"/>
          <w:b/>
          <w:bCs/>
          <w:rtl/>
        </w:rPr>
        <w:t xml:space="preserve">ראב"ד </w:t>
      </w:r>
      <w:r w:rsidRPr="00440CAB">
        <w:rPr>
          <w:rFonts w:ascii="Narkisim" w:hAnsi="Narkisim"/>
          <w:rtl/>
        </w:rPr>
        <w:t>והר"י בר"מ (בתוס') דאיירי בשלישי, קשה אמאי יש לה כתובה ע"י טענת ברי, הא ברי ל"מ להוציא ממון [וכה"ק ר"י בתוס'].</w:t>
      </w:r>
    </w:p>
    <w:p w14:paraId="09E767E5" w14:textId="77777777" w:rsidR="006074A5" w:rsidRPr="00440CAB" w:rsidRDefault="006074A5" w:rsidP="006074A5">
      <w:pPr>
        <w:pStyle w:val="a7"/>
        <w:bidi/>
        <w:rPr>
          <w:rFonts w:ascii="Narkisim" w:hAnsi="Narkisim"/>
        </w:rPr>
      </w:pPr>
      <w:r w:rsidRPr="00440CAB">
        <w:rPr>
          <w:rFonts w:ascii="Narkisim" w:hAnsi="Narkisim"/>
          <w:rtl/>
        </w:rPr>
        <w:t>וב</w:t>
      </w:r>
      <w:r w:rsidRPr="00440CAB">
        <w:rPr>
          <w:rFonts w:ascii="Narkisim" w:hAnsi="Narkisim"/>
          <w:b/>
          <w:bCs/>
          <w:rtl/>
        </w:rPr>
        <w:t>תוס' חד מקמאי</w:t>
      </w:r>
      <w:r w:rsidRPr="00440CAB">
        <w:rPr>
          <w:rFonts w:ascii="Narkisim" w:hAnsi="Narkisim"/>
          <w:rtl/>
        </w:rPr>
        <w:t xml:space="preserve"> תי' דבשעת נישואין נתחייב לה ודאי, והוה איני יודע אם פרעתיך </w:t>
      </w:r>
      <w:r w:rsidRPr="00440CAB">
        <w:rPr>
          <w:rFonts w:ascii="Narkisim" w:hAnsi="Narkisim"/>
          <w:sz w:val="20"/>
          <w:szCs w:val="20"/>
          <w:rtl/>
        </w:rPr>
        <w:t>[משא"כ ספק מוכת עץ דמעולם לא נתחייב לה</w:t>
      </w:r>
      <w:r w:rsidRPr="00440CAB">
        <w:rPr>
          <w:rStyle w:val="ac"/>
          <w:rFonts w:ascii="Narkisim" w:hAnsi="Narkisim"/>
          <w:sz w:val="20"/>
          <w:szCs w:val="20"/>
          <w:rtl/>
        </w:rPr>
        <w:footnoteReference w:id="3904"/>
      </w:r>
      <w:r w:rsidRPr="00440CAB">
        <w:rPr>
          <w:rFonts w:ascii="Narkisim" w:hAnsi="Narkisim"/>
          <w:rtl/>
        </w:rPr>
        <w:t>].</w:t>
      </w:r>
    </w:p>
    <w:p w14:paraId="0D897896" w14:textId="77777777" w:rsidR="006074A5" w:rsidRPr="00440CAB" w:rsidRDefault="006074A5" w:rsidP="006074A5">
      <w:pPr>
        <w:bidi/>
        <w:rPr>
          <w:rFonts w:ascii="Narkisim" w:hAnsi="Narkisim" w:cs="Narkisim"/>
        </w:rPr>
      </w:pPr>
      <w:r w:rsidRPr="00440CAB">
        <w:rPr>
          <w:rFonts w:ascii="Narkisim" w:hAnsi="Narkisim" w:cs="Narkisim"/>
          <w:u w:val="single"/>
          <w:rtl/>
        </w:rPr>
        <w:t>תוד"ה שבינו.</w:t>
      </w:r>
      <w:r w:rsidRPr="00440CAB">
        <w:rPr>
          <w:rFonts w:ascii="Narkisim" w:hAnsi="Narkisim" w:cs="Narkisim"/>
          <w:rtl/>
        </w:rPr>
        <w:t xml:space="preserve"> ואי לא שהה ניחוש שמא עיניה נתנה באחר, וכמשנה אחרונה וכו'. </w:t>
      </w:r>
      <w:r w:rsidRPr="00440CAB">
        <w:rPr>
          <w:rFonts w:ascii="Narkisim" w:hAnsi="Narkisim" w:cs="Narkisim"/>
          <w:szCs w:val="20"/>
          <w:rtl/>
        </w:rPr>
        <w:t>דתנן (נדרים צ:) דבראשונה היו אומרים שנאמנת לטעון השמים ביני לבינך דאינו יורה כחץ, ויוציא ויתן כתובה. [ורוצה להתגרש בבאה מחמת טענה דרוצה חוטרא לידא, ע' בע"ב]. ובמשנה אחרונה חששו שמא עיניה נתנה באחר ואינה נאמנת</w:t>
      </w:r>
      <w:r w:rsidRPr="00440CAB">
        <w:rPr>
          <w:rStyle w:val="ac"/>
          <w:rFonts w:ascii="Narkisim" w:hAnsi="Narkisim" w:cs="Narkisim"/>
          <w:szCs w:val="20"/>
          <w:rtl/>
        </w:rPr>
        <w:footnoteReference w:id="3905"/>
      </w:r>
      <w:r w:rsidRPr="00440CAB">
        <w:rPr>
          <w:rFonts w:ascii="Narkisim" w:hAnsi="Narkisim" w:cs="Narkisim"/>
          <w:szCs w:val="20"/>
          <w:rtl/>
        </w:rPr>
        <w:t>. ויעשו דרך בקשה [לפייס אותה]</w:t>
      </w:r>
      <w:r w:rsidRPr="00440CAB">
        <w:rPr>
          <w:rStyle w:val="ac"/>
          <w:rFonts w:ascii="Narkisim" w:hAnsi="Narkisim" w:cs="Narkisim"/>
          <w:szCs w:val="20"/>
          <w:rtl/>
        </w:rPr>
        <w:footnoteReference w:id="3906"/>
      </w:r>
      <w:r w:rsidRPr="00440CAB">
        <w:rPr>
          <w:rFonts w:ascii="Narkisim" w:hAnsi="Narkisim" w:cs="Narkisim"/>
          <w:rtl/>
        </w:rPr>
        <w:t>.</w:t>
      </w:r>
    </w:p>
    <w:p w14:paraId="6DE3D567" w14:textId="77777777" w:rsidR="006074A5" w:rsidRPr="00440CAB" w:rsidRDefault="006074A5" w:rsidP="006074A5">
      <w:pPr>
        <w:pStyle w:val="a7"/>
        <w:bidi/>
        <w:rPr>
          <w:rFonts w:ascii="Narkisim" w:hAnsi="Narkisim"/>
        </w:rPr>
      </w:pPr>
      <w:r w:rsidRPr="00440CAB">
        <w:rPr>
          <w:rFonts w:ascii="Narkisim" w:hAnsi="Narkisim"/>
          <w:rtl/>
        </w:rPr>
        <w:t>וה</w:t>
      </w:r>
      <w:r w:rsidRPr="00440CAB">
        <w:rPr>
          <w:rFonts w:ascii="Narkisim" w:hAnsi="Narkisim"/>
          <w:b/>
          <w:bCs/>
          <w:rtl/>
        </w:rPr>
        <w:t>רי"ף</w:t>
      </w:r>
      <w:r w:rsidRPr="00440CAB">
        <w:rPr>
          <w:rFonts w:ascii="Narkisim" w:hAnsi="Narkisim"/>
          <w:rtl/>
        </w:rPr>
        <w:t xml:space="preserve"> הביא בשם ה</w:t>
      </w:r>
      <w:r w:rsidRPr="00440CAB">
        <w:rPr>
          <w:rFonts w:ascii="Narkisim" w:hAnsi="Narkisim"/>
          <w:b/>
          <w:bCs/>
          <w:rtl/>
        </w:rPr>
        <w:t>גאון</w:t>
      </w:r>
      <w:r w:rsidRPr="00440CAB">
        <w:rPr>
          <w:rFonts w:ascii="Narkisim" w:hAnsi="Narkisim"/>
          <w:rtl/>
        </w:rPr>
        <w:t xml:space="preserve"> דסוגיין קאי כמשנה ראשונה (במשנה נדרים צ:), אבל חזרו לומר דעיניה נתנה באחר. וה</w:t>
      </w:r>
      <w:r w:rsidRPr="00440CAB">
        <w:rPr>
          <w:rFonts w:ascii="Narkisim" w:hAnsi="Narkisim"/>
          <w:b/>
          <w:bCs/>
          <w:rtl/>
        </w:rPr>
        <w:t>רי"ף</w:t>
      </w:r>
      <w:r w:rsidRPr="00440CAB">
        <w:rPr>
          <w:rFonts w:ascii="Narkisim" w:hAnsi="Narkisim"/>
          <w:rtl/>
        </w:rPr>
        <w:t xml:space="preserve"> חלק דהכא איירי לאחר י' שנים דחייבים להוציא בע"כ ול"ש </w:t>
      </w:r>
      <w:r w:rsidRPr="00440CAB">
        <w:rPr>
          <w:rFonts w:ascii="Narkisim" w:hAnsi="Narkisim"/>
          <w:rtl/>
        </w:rPr>
        <w:lastRenderedPageBreak/>
        <w:t>עיניה נתנה באחר. וכל הנידון על הכתובה. וע' בעה"מ.</w:t>
      </w:r>
    </w:p>
    <w:p w14:paraId="587EB220" w14:textId="77777777" w:rsidR="006074A5" w:rsidRPr="00440CAB" w:rsidRDefault="006074A5" w:rsidP="006074A5">
      <w:pPr>
        <w:pStyle w:val="a7"/>
        <w:bidi/>
        <w:rPr>
          <w:rFonts w:ascii="Narkisim" w:hAnsi="Narkisim"/>
        </w:rPr>
      </w:pPr>
      <w:r w:rsidRPr="00440CAB">
        <w:rPr>
          <w:rFonts w:ascii="Narkisim" w:hAnsi="Narkisim"/>
          <w:rtl/>
        </w:rPr>
        <w:t>ו</w:t>
      </w:r>
      <w:r w:rsidRPr="00440CAB">
        <w:rPr>
          <w:rFonts w:ascii="Narkisim" w:hAnsi="Narkisim"/>
          <w:b/>
          <w:bCs/>
          <w:rtl/>
        </w:rPr>
        <w:t>תוס</w:t>
      </w:r>
      <w:r w:rsidRPr="00440CAB">
        <w:rPr>
          <w:rFonts w:ascii="Narkisim" w:hAnsi="Narkisim"/>
          <w:rtl/>
        </w:rPr>
        <w:t>' תי' דכיון דשהה י' שנים יש רגלים לדבר ויש להאמינה. ולתי' הב' בתוס' בכל באה מחמת טענה גמורה לא חששו</w:t>
      </w:r>
      <w:r w:rsidRPr="00440CAB">
        <w:rPr>
          <w:rStyle w:val="ac"/>
          <w:rFonts w:ascii="Narkisim" w:hAnsi="Narkisim"/>
          <w:rtl/>
        </w:rPr>
        <w:footnoteReference w:id="3907"/>
      </w:r>
      <w:r w:rsidRPr="00440CAB">
        <w:rPr>
          <w:rFonts w:ascii="Narkisim" w:hAnsi="Narkisim"/>
          <w:rtl/>
        </w:rPr>
        <w:t xml:space="preserve">. </w:t>
      </w:r>
      <w:r w:rsidRPr="00440CAB">
        <w:rPr>
          <w:rFonts w:ascii="Narkisim" w:hAnsi="Narkisim"/>
          <w:sz w:val="20"/>
          <w:szCs w:val="20"/>
          <w:rtl/>
        </w:rPr>
        <w:t>וה</w:t>
      </w:r>
      <w:r w:rsidRPr="00440CAB">
        <w:rPr>
          <w:rFonts w:ascii="Narkisim" w:hAnsi="Narkisim"/>
          <w:b/>
          <w:bCs/>
          <w:sz w:val="20"/>
          <w:szCs w:val="20"/>
          <w:rtl/>
        </w:rPr>
        <w:t xml:space="preserve">ראב"ד </w:t>
      </w:r>
      <w:r w:rsidRPr="00440CAB">
        <w:rPr>
          <w:rFonts w:ascii="Narkisim" w:hAnsi="Narkisim"/>
          <w:sz w:val="20"/>
          <w:szCs w:val="20"/>
          <w:rtl/>
        </w:rPr>
        <w:t>פי' דבגמ' בנדרים איירי בטוענת דאינו נזקק עמה, במיגו דאינו יורה כחץ [והראשונים האריכו להקשות ע"ז].</w:t>
      </w:r>
    </w:p>
    <w:p w14:paraId="0F844A13" w14:textId="77777777" w:rsidR="006074A5" w:rsidRPr="00440CAB" w:rsidRDefault="006074A5" w:rsidP="006074A5">
      <w:pPr>
        <w:bidi/>
        <w:rPr>
          <w:rFonts w:ascii="Narkisim" w:hAnsi="Narkisim" w:cs="Narkisim"/>
        </w:rPr>
      </w:pPr>
      <w:r w:rsidRPr="00440CAB">
        <w:rPr>
          <w:rFonts w:ascii="Narkisim" w:hAnsi="Narkisim" w:cs="Narkisim"/>
          <w:u w:val="single"/>
          <w:rtl/>
        </w:rPr>
        <w:t>בא"ד ליכא לאוקמא וכו' ויש לו בנים וכו' ומיהו י"ל דאין לתלות באונס שלו</w:t>
      </w:r>
      <w:r w:rsidRPr="00440CAB">
        <w:rPr>
          <w:rFonts w:ascii="Narkisim" w:hAnsi="Narkisim" w:cs="Narkisim"/>
          <w:rtl/>
        </w:rPr>
        <w:t>. כיון דקיים פר"ו</w:t>
      </w:r>
      <w:r w:rsidRPr="00440CAB">
        <w:rPr>
          <w:rStyle w:val="ac"/>
          <w:rFonts w:ascii="Narkisim" w:hAnsi="Narkisim" w:cs="Narkisim"/>
          <w:rtl/>
        </w:rPr>
        <w:footnoteReference w:id="3908"/>
      </w:r>
      <w:r w:rsidRPr="00440CAB">
        <w:rPr>
          <w:rFonts w:ascii="Narkisim" w:hAnsi="Narkisim" w:cs="Narkisim"/>
          <w:rtl/>
        </w:rPr>
        <w:t xml:space="preserve"> לא אמרי' דמחמתו </w:t>
      </w:r>
      <w:r w:rsidRPr="00440CAB">
        <w:rPr>
          <w:rFonts w:ascii="Narkisim" w:hAnsi="Narkisim" w:cs="Narkisim"/>
          <w:sz w:val="20"/>
          <w:szCs w:val="20"/>
          <w:rtl/>
        </w:rPr>
        <w:t>[אלא שהיא טוענת דנתקלקל, ואינו יורה כחץ],</w:t>
      </w:r>
      <w:r w:rsidRPr="00440CAB">
        <w:rPr>
          <w:rFonts w:ascii="Narkisim" w:hAnsi="Narkisim" w:cs="Narkisim"/>
          <w:rtl/>
        </w:rPr>
        <w:t xml:space="preserve"> וכ"כ ה</w:t>
      </w:r>
      <w:r w:rsidRPr="00440CAB">
        <w:rPr>
          <w:rFonts w:ascii="Narkisim" w:hAnsi="Narkisim" w:cs="Narkisim"/>
          <w:b/>
          <w:bCs/>
          <w:rtl/>
        </w:rPr>
        <w:t>בעה"מ</w:t>
      </w:r>
      <w:r w:rsidRPr="00440CAB">
        <w:rPr>
          <w:rFonts w:ascii="Narkisim" w:hAnsi="Narkisim" w:cs="Narkisim"/>
          <w:rtl/>
        </w:rPr>
        <w:t xml:space="preserve"> </w:t>
      </w:r>
      <w:r w:rsidRPr="00440CAB">
        <w:rPr>
          <w:rFonts w:ascii="Narkisim" w:hAnsi="Narkisim" w:cs="Narkisim"/>
          <w:sz w:val="20"/>
          <w:szCs w:val="20"/>
          <w:rtl/>
        </w:rPr>
        <w:t>(בפי' הב', הו' לעיל סד: ועי"ש דהמלחמות חלק על סברא זו)</w:t>
      </w:r>
      <w:r w:rsidRPr="00440CAB">
        <w:rPr>
          <w:rFonts w:ascii="Narkisim" w:hAnsi="Narkisim" w:cs="Narkisim"/>
          <w:rtl/>
        </w:rPr>
        <w:t xml:space="preserve">. אבל </w:t>
      </w:r>
      <w:r w:rsidRPr="00440CAB">
        <w:rPr>
          <w:rFonts w:ascii="Narkisim" w:hAnsi="Narkisim" w:cs="Narkisim"/>
          <w:b/>
          <w:bCs/>
          <w:rtl/>
        </w:rPr>
        <w:t>תוס</w:t>
      </w:r>
      <w:r w:rsidRPr="00440CAB">
        <w:rPr>
          <w:rFonts w:ascii="Narkisim" w:hAnsi="Narkisim" w:cs="Narkisim"/>
          <w:rtl/>
        </w:rPr>
        <w:t>' (נדרים צ:) כתב דהיכא דיש לו בנים מאשה אחרת [ואפי' מתו דלא קיים פר"ו], אינה נאמנת דאינו יורה.</w:t>
      </w:r>
    </w:p>
    <w:p w14:paraId="611A6336" w14:textId="77777777" w:rsidR="006074A5" w:rsidRPr="00440CAB" w:rsidRDefault="006074A5" w:rsidP="006074A5">
      <w:pPr>
        <w:bidi/>
        <w:rPr>
          <w:rFonts w:ascii="Narkisim" w:hAnsi="Narkisim" w:cs="Narkisim"/>
        </w:rPr>
      </w:pPr>
      <w:r w:rsidRPr="00440CAB">
        <w:rPr>
          <w:rFonts w:ascii="Narkisim" w:hAnsi="Narkisim" w:cs="Narkisim"/>
          <w:u w:val="single"/>
          <w:rtl/>
        </w:rPr>
        <w:t>בא"ד והר"ש בר"ח פירש דהכא איירי בששהתה עם השלישי י' שנים וכרשב"ג</w:t>
      </w:r>
      <w:r w:rsidRPr="00440CAB">
        <w:rPr>
          <w:rFonts w:ascii="Narkisim" w:hAnsi="Narkisim" w:cs="Narkisim"/>
          <w:rtl/>
        </w:rPr>
        <w:t xml:space="preserve">. דכיון דבזה נאמנת בטענת ברי שלא להחזיק אותה כעקרה. </w:t>
      </w:r>
      <w:r w:rsidRPr="00440CAB">
        <w:rPr>
          <w:rFonts w:ascii="Narkisim" w:hAnsi="Narkisim" w:cs="Narkisim"/>
          <w:sz w:val="20"/>
          <w:szCs w:val="20"/>
          <w:rtl/>
        </w:rPr>
        <w:t>וה</w:t>
      </w:r>
      <w:r w:rsidRPr="00440CAB">
        <w:rPr>
          <w:rFonts w:ascii="Narkisim" w:hAnsi="Narkisim" w:cs="Narkisim"/>
          <w:b/>
          <w:bCs/>
          <w:sz w:val="20"/>
          <w:szCs w:val="20"/>
          <w:rtl/>
        </w:rPr>
        <w:t>חזו"א</w:t>
      </w:r>
      <w:r w:rsidRPr="00440CAB">
        <w:rPr>
          <w:rFonts w:ascii="Narkisim" w:hAnsi="Narkisim" w:cs="Narkisim"/>
          <w:sz w:val="20"/>
          <w:szCs w:val="20"/>
          <w:rtl/>
        </w:rPr>
        <w:t xml:space="preserve"> (קח ג) כתב דהיינו דוקא לרשב"ג. אבל לרבי כיון דכבר הוחזקה כעקרה, א"כ אינה נאמנת על כתובתה</w:t>
      </w:r>
      <w:r w:rsidRPr="00440CAB">
        <w:rPr>
          <w:rStyle w:val="ac"/>
          <w:rFonts w:ascii="Narkisim" w:hAnsi="Narkisim" w:cs="Narkisim"/>
          <w:sz w:val="20"/>
          <w:szCs w:val="20"/>
          <w:rtl/>
        </w:rPr>
        <w:footnoteReference w:id="3909"/>
      </w:r>
      <w:r w:rsidRPr="00440CAB">
        <w:rPr>
          <w:rFonts w:ascii="Narkisim" w:hAnsi="Narkisim" w:cs="Narkisim"/>
          <w:sz w:val="20"/>
          <w:szCs w:val="20"/>
          <w:rtl/>
        </w:rPr>
        <w:t>. ועוד דכיון דנשאה בחזקת עקרה הוה כהכיר בה. [וצ"ע מתוד"ה נשאת].</w:t>
      </w:r>
    </w:p>
    <w:p w14:paraId="4C5D042E" w14:textId="77777777" w:rsidR="006074A5" w:rsidRPr="00440CAB" w:rsidRDefault="006074A5" w:rsidP="006074A5">
      <w:pPr>
        <w:bidi/>
        <w:rPr>
          <w:rFonts w:ascii="Narkisim" w:hAnsi="Narkisim" w:cs="Narkisim"/>
        </w:rPr>
      </w:pPr>
      <w:r w:rsidRPr="00440CAB">
        <w:rPr>
          <w:rFonts w:ascii="Narkisim" w:hAnsi="Narkisim" w:cs="Narkisim"/>
          <w:u w:val="single"/>
          <w:rtl/>
        </w:rPr>
        <w:t>אמר איהו איזיל ואיבדוק נפשאי.</w:t>
      </w:r>
      <w:r w:rsidRPr="00440CAB">
        <w:rPr>
          <w:rFonts w:ascii="Narkisim" w:hAnsi="Narkisim" w:cs="Narkisim"/>
          <w:rtl/>
        </w:rPr>
        <w:t xml:space="preserve"> לדעת </w:t>
      </w:r>
      <w:r w:rsidRPr="00440CAB">
        <w:rPr>
          <w:rFonts w:ascii="Narkisim" w:hAnsi="Narkisim" w:cs="Narkisim"/>
          <w:b/>
          <w:bCs/>
          <w:rtl/>
        </w:rPr>
        <w:t>רש"י</w:t>
      </w:r>
      <w:r w:rsidRPr="00440CAB">
        <w:rPr>
          <w:rFonts w:ascii="Narkisim" w:hAnsi="Narkisim" w:cs="Narkisim"/>
          <w:rtl/>
        </w:rPr>
        <w:t xml:space="preserve"> וה</w:t>
      </w:r>
      <w:r w:rsidRPr="00440CAB">
        <w:rPr>
          <w:rFonts w:ascii="Narkisim" w:hAnsi="Narkisim" w:cs="Narkisim"/>
          <w:b/>
          <w:bCs/>
          <w:rtl/>
        </w:rPr>
        <w:t>רי"ף</w:t>
      </w:r>
      <w:r w:rsidRPr="00440CAB">
        <w:rPr>
          <w:rFonts w:ascii="Narkisim" w:hAnsi="Narkisim" w:cs="Narkisim"/>
          <w:rtl/>
        </w:rPr>
        <w:t xml:space="preserve"> היינו שלא לשלם כתובה. [ובפשוטו קאי כשטוען ודאי שהיא עקרה, וכדלעיל]. וכ"פ ה</w:t>
      </w:r>
      <w:r w:rsidRPr="00440CAB">
        <w:rPr>
          <w:rFonts w:ascii="Narkisim" w:hAnsi="Narkisim" w:cs="Narkisim"/>
          <w:b/>
          <w:bCs/>
          <w:rtl/>
        </w:rPr>
        <w:t xml:space="preserve">שו"ע </w:t>
      </w:r>
      <w:r w:rsidRPr="00440CAB">
        <w:rPr>
          <w:rFonts w:ascii="Narkisim" w:hAnsi="Narkisim" w:cs="Narkisim"/>
          <w:rtl/>
        </w:rPr>
        <w:t>(קנד ו) שאם נולד לו משניה תצא שלא בכתובה</w:t>
      </w:r>
      <w:r w:rsidRPr="00440CAB">
        <w:rPr>
          <w:rStyle w:val="ac"/>
          <w:rFonts w:ascii="Narkisim" w:hAnsi="Narkisim" w:cs="Narkisim"/>
          <w:rtl/>
        </w:rPr>
        <w:footnoteReference w:id="3910"/>
      </w:r>
      <w:r w:rsidRPr="00440CAB">
        <w:rPr>
          <w:rFonts w:ascii="Narkisim" w:hAnsi="Narkisim" w:cs="Narkisim"/>
          <w:rtl/>
        </w:rPr>
        <w:t xml:space="preserve"> [שנתברר דהוה מחמתה]. וה</w:t>
      </w:r>
      <w:r w:rsidRPr="00440CAB">
        <w:rPr>
          <w:rFonts w:ascii="Narkisim" w:hAnsi="Narkisim" w:cs="Narkisim"/>
          <w:b/>
          <w:bCs/>
          <w:rtl/>
        </w:rPr>
        <w:t>גר"א</w:t>
      </w:r>
      <w:r w:rsidRPr="00440CAB">
        <w:rPr>
          <w:rFonts w:ascii="Narkisim" w:hAnsi="Narkisim" w:cs="Narkisim"/>
          <w:rtl/>
        </w:rPr>
        <w:t xml:space="preserve"> (שם ל) כתב דלדעת תוס' דהנידון בסוגיין שתובעת להתגרש, א"כ אם ילד משניה אם אינו רוצה לגרש אי"צ לגרש. אבל אם רצונו לגרש יתן כתובה. </w:t>
      </w:r>
      <w:r w:rsidRPr="00440CAB">
        <w:rPr>
          <w:rFonts w:ascii="Narkisim" w:hAnsi="Narkisim" w:cs="Narkisim"/>
          <w:sz w:val="20"/>
          <w:szCs w:val="20"/>
          <w:rtl/>
        </w:rPr>
        <w:t>[וע' חזו"א קח א דנתקשה בכ"ז].</w:t>
      </w:r>
    </w:p>
    <w:p w14:paraId="27763254" w14:textId="77777777" w:rsidR="006074A5" w:rsidRPr="00440CAB" w:rsidRDefault="006074A5" w:rsidP="006074A5">
      <w:pPr>
        <w:pStyle w:val="aa"/>
        <w:bidi/>
        <w:rPr>
          <w:rFonts w:ascii="Narkisim" w:hAnsi="Narkisim"/>
        </w:rPr>
      </w:pPr>
      <w:r w:rsidRPr="00440CAB">
        <w:rPr>
          <w:rFonts w:ascii="Narkisim" w:hAnsi="Narkisim"/>
          <w:u w:val="single"/>
          <w:rtl/>
        </w:rPr>
        <w:t>א"ר אמי וכו' נושא אדם כמה נשים על אשתו.</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(לעיל מד.) כתב דהיינו במקום שנהגו לישא כמה נשים, אבל אל"כ הוה כמו שהתנה דאינו יכול לישא על אשתו [והו' בפוסקים עו]. אבל ה</w:t>
      </w:r>
      <w:r w:rsidRPr="00440CAB">
        <w:rPr>
          <w:rFonts w:ascii="Narkisim" w:hAnsi="Narkisim"/>
          <w:b/>
          <w:bCs/>
          <w:rtl/>
        </w:rPr>
        <w:t>ריטב"א</w:t>
      </w:r>
      <w:r w:rsidRPr="00440CAB">
        <w:rPr>
          <w:rFonts w:ascii="Narkisim" w:hAnsi="Narkisim"/>
          <w:rtl/>
        </w:rPr>
        <w:t xml:space="preserve"> (כאן) כתב דבמקום מצווה לא אזלי' בתר מנהג</w:t>
      </w:r>
      <w:r w:rsidRPr="00440CAB">
        <w:rPr>
          <w:rStyle w:val="ac"/>
          <w:rFonts w:ascii="Narkisim" w:hAnsi="Narkisim"/>
          <w:rtl/>
        </w:rPr>
        <w:footnoteReference w:id="3911"/>
      </w:r>
      <w:r w:rsidRPr="00440CAB">
        <w:rPr>
          <w:rFonts w:ascii="Narkisim" w:hAnsi="Narkisim"/>
          <w:rtl/>
        </w:rPr>
        <w:t>.</w:t>
      </w:r>
    </w:p>
    <w:p w14:paraId="7C757D47"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ריטב"א</w:t>
      </w:r>
      <w:r w:rsidRPr="00440CAB">
        <w:rPr>
          <w:rFonts w:ascii="Narkisim" w:hAnsi="Narkisim"/>
          <w:rtl/>
        </w:rPr>
        <w:t xml:space="preserve"> כת' דבמקום מצוה לא החרים </w:t>
      </w:r>
      <w:r w:rsidRPr="00440CAB">
        <w:rPr>
          <w:rFonts w:ascii="Narkisim" w:hAnsi="Narkisim"/>
          <w:b/>
          <w:bCs/>
          <w:rtl/>
        </w:rPr>
        <w:t>רבינו גרשם</w:t>
      </w:r>
      <w:r w:rsidRPr="00440CAB">
        <w:rPr>
          <w:rFonts w:ascii="Narkisim" w:hAnsi="Narkisim"/>
          <w:rtl/>
        </w:rPr>
        <w:t xml:space="preserve"> דלא לישא על אשתו [וכ"כ הריטב"א (לעיל שם) דבמקום יבום לא החרים]. וה</w:t>
      </w:r>
      <w:r w:rsidRPr="00440CAB">
        <w:rPr>
          <w:rFonts w:ascii="Narkisim" w:hAnsi="Narkisim"/>
          <w:b/>
          <w:bCs/>
          <w:rtl/>
        </w:rPr>
        <w:t>רמ"א</w:t>
      </w:r>
      <w:r w:rsidRPr="00440CAB">
        <w:rPr>
          <w:rFonts w:ascii="Narkisim" w:hAnsi="Narkisim"/>
          <w:rtl/>
        </w:rPr>
        <w:t xml:space="preserve"> (א ח) הביא בזה מח'.</w:t>
      </w:r>
    </w:p>
    <w:p w14:paraId="425418E9" w14:textId="77777777" w:rsidR="006074A5" w:rsidRPr="00440CAB" w:rsidRDefault="006074A5" w:rsidP="006074A5">
      <w:pPr>
        <w:pStyle w:val="aa"/>
        <w:bidi/>
        <w:rPr>
          <w:rFonts w:ascii="Narkisim" w:hAnsi="Narkisim"/>
        </w:rPr>
      </w:pPr>
      <w:r w:rsidRPr="00440CAB">
        <w:rPr>
          <w:rFonts w:ascii="Narkisim" w:hAnsi="Narkisim"/>
          <w:u w:val="single"/>
          <w:rtl/>
        </w:rPr>
        <w:t>והוא דאית ליה למיזנייהו</w:t>
      </w:r>
      <w:r w:rsidRPr="00440CAB">
        <w:rPr>
          <w:rStyle w:val="ac"/>
          <w:rFonts w:ascii="Narkisim" w:hAnsi="Narkisim"/>
          <w:u w:val="single"/>
          <w:rtl/>
        </w:rPr>
        <w:footnoteReference w:id="3912"/>
      </w:r>
      <w:r w:rsidRPr="00440CAB">
        <w:rPr>
          <w:rFonts w:ascii="Narkisim" w:hAnsi="Narkisim"/>
          <w:rtl/>
        </w:rPr>
        <w:t>. ה</w:t>
      </w:r>
      <w:r w:rsidRPr="00440CAB">
        <w:rPr>
          <w:rFonts w:ascii="Narkisim" w:hAnsi="Narkisim"/>
          <w:b/>
          <w:bCs/>
          <w:rtl/>
        </w:rPr>
        <w:t>חלק"מ</w:t>
      </w:r>
      <w:r w:rsidRPr="00440CAB">
        <w:rPr>
          <w:rFonts w:ascii="Narkisim" w:hAnsi="Narkisim"/>
          <w:rtl/>
        </w:rPr>
        <w:t xml:space="preserve"> (א יג) נסתפק האם הוה תביעה מצד האשה, או מצד בי"ד. דאף אם היא ניחא לה אסור כשאין לו אפשרות לזון. והביא דבראשונים משמע דתליא בהאשה. ובדבר שבממון תנאו קיים.</w:t>
      </w:r>
    </w:p>
    <w:p w14:paraId="2F4C6FE6" w14:textId="77777777" w:rsidR="006074A5" w:rsidRPr="00440CAB" w:rsidRDefault="006074A5" w:rsidP="006074A5">
      <w:pPr>
        <w:pStyle w:val="3"/>
        <w:bidi/>
        <w:rPr>
          <w:rFonts w:ascii="Narkisim" w:hAnsi="Narkisim"/>
        </w:rPr>
      </w:pPr>
      <w:r w:rsidRPr="00440CAB">
        <w:rPr>
          <w:rFonts w:ascii="Narkisim" w:hAnsi="Narkisim"/>
          <w:rtl/>
        </w:rPr>
        <w:t>דף סה:</w:t>
      </w:r>
    </w:p>
    <w:p w14:paraId="226D8873" w14:textId="77777777" w:rsidR="006074A5" w:rsidRPr="00440CAB" w:rsidRDefault="006074A5" w:rsidP="006074A5">
      <w:pPr>
        <w:pStyle w:val="aa"/>
        <w:bidi/>
        <w:rPr>
          <w:rFonts w:ascii="Narkisim" w:hAnsi="Narkisim"/>
        </w:rPr>
      </w:pPr>
      <w:r w:rsidRPr="00440CAB">
        <w:rPr>
          <w:rFonts w:ascii="Narkisim" w:hAnsi="Narkisim"/>
          <w:u w:val="single"/>
          <w:rtl/>
        </w:rPr>
        <w:t>א"ר אמי אף בזו נאמנת וכו' נפשא בעקרתא לא מחזקה.</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פי' דאיירי ששניהם בטענת ברי]. וה</w:t>
      </w:r>
      <w:r w:rsidRPr="00440CAB">
        <w:rPr>
          <w:rFonts w:ascii="Narkisim" w:hAnsi="Narkisim"/>
          <w:b/>
          <w:bCs/>
          <w:rtl/>
        </w:rPr>
        <w:t>רמב"ם</w:t>
      </w:r>
      <w:r w:rsidRPr="00440CAB">
        <w:rPr>
          <w:rFonts w:ascii="Narkisim" w:hAnsi="Narkisim"/>
          <w:rtl/>
        </w:rPr>
        <w:t xml:space="preserve"> (אישות טו יג) פסק דמשביעה היסת, שבטענה זו יתחייב ליתן כתובה. וה</w:t>
      </w:r>
      <w:r w:rsidRPr="00440CAB">
        <w:rPr>
          <w:rFonts w:ascii="Narkisim" w:hAnsi="Narkisim"/>
          <w:b/>
          <w:bCs/>
          <w:rtl/>
        </w:rPr>
        <w:t xml:space="preserve">ראב"ד </w:t>
      </w:r>
      <w:r w:rsidRPr="00440CAB">
        <w:rPr>
          <w:rFonts w:ascii="Narkisim" w:hAnsi="Narkisim"/>
          <w:rtl/>
        </w:rPr>
        <w:t>השיג דחכמים האמינוה משום דלא מחזקה נפשה בעקרות. ועוד כי הגירושין מחייבתו ואין מח' בכתובה.</w:t>
      </w:r>
    </w:p>
    <w:p w14:paraId="5F18589A" w14:textId="77777777" w:rsidR="006074A5" w:rsidRPr="00440CAB" w:rsidRDefault="006074A5" w:rsidP="006074A5">
      <w:pPr>
        <w:bidi/>
        <w:rPr>
          <w:rFonts w:ascii="Narkisim" w:hAnsi="Narkisim" w:cs="Narkisim"/>
        </w:rPr>
      </w:pPr>
      <w:r w:rsidRPr="00440CAB">
        <w:rPr>
          <w:rFonts w:ascii="Narkisim" w:hAnsi="Narkisim" w:cs="Narkisim"/>
          <w:u w:val="single"/>
          <w:rtl/>
        </w:rPr>
        <w:t>הוחזקה לנפלים.</w:t>
      </w:r>
      <w:r w:rsidRPr="00440CAB">
        <w:rPr>
          <w:rFonts w:ascii="Narkisim" w:hAnsi="Narkisim" w:cs="Narkisim"/>
          <w:rtl/>
        </w:rPr>
        <w:t xml:space="preserve"> פ</w:t>
      </w:r>
      <w:r w:rsidRPr="00440CAB">
        <w:rPr>
          <w:rFonts w:ascii="Narkisim" w:hAnsi="Narkisim" w:cs="Narkisim"/>
          <w:b/>
          <w:bCs/>
          <w:rtl/>
        </w:rPr>
        <w:t>רש"י</w:t>
      </w:r>
      <w:r w:rsidRPr="00440CAB">
        <w:rPr>
          <w:rFonts w:ascii="Narkisim" w:hAnsi="Narkisim" w:cs="Narkisim"/>
          <w:rtl/>
        </w:rPr>
        <w:t xml:space="preserve"> ויוציא ויתן כתובה, שמא לא זכה ליבנות ממנה. לכאו' משמע אף תוך י'. [דהוחזק דלא זכה ליבנות ממנה]. וה</w:t>
      </w:r>
      <w:r w:rsidRPr="00440CAB">
        <w:rPr>
          <w:rFonts w:ascii="Narkisim" w:hAnsi="Narkisim" w:cs="Narkisim"/>
          <w:b/>
          <w:bCs/>
          <w:rtl/>
        </w:rPr>
        <w:t>מאירי</w:t>
      </w:r>
      <w:r w:rsidRPr="00440CAB">
        <w:rPr>
          <w:rFonts w:ascii="Narkisim" w:hAnsi="Narkisim" w:cs="Narkisim"/>
          <w:rtl/>
        </w:rPr>
        <w:t xml:space="preserve"> כתב דדוקא אחר י' שנים, אלא דאם לא הוחזקה מונין משעה שהפילה, והשתא מונין מתחילה י' שנים. אבל ה</w:t>
      </w:r>
      <w:r w:rsidRPr="00440CAB">
        <w:rPr>
          <w:rFonts w:ascii="Narkisim" w:hAnsi="Narkisim" w:cs="Narkisim"/>
          <w:b/>
          <w:bCs/>
          <w:rtl/>
        </w:rPr>
        <w:t>רא"ש</w:t>
      </w:r>
      <w:r w:rsidRPr="00440CAB">
        <w:rPr>
          <w:rFonts w:ascii="Narkisim" w:hAnsi="Narkisim" w:cs="Narkisim"/>
          <w:rtl/>
        </w:rPr>
        <w:t xml:space="preserve"> כתב דאין לה כתובה דאתרעי גופא שלעולם לא תגמור הריונה, והויא כמו אשה שהוחזקה אצל ב' בני אדם.</w:t>
      </w:r>
    </w:p>
    <w:p w14:paraId="440BE7F5" w14:textId="77777777" w:rsidR="006074A5" w:rsidRPr="00440CAB" w:rsidRDefault="006074A5" w:rsidP="006074A5">
      <w:pPr>
        <w:bidi/>
        <w:rPr>
          <w:rFonts w:ascii="Narkisim" w:hAnsi="Narkisim" w:cs="Narkisim"/>
        </w:rPr>
      </w:pPr>
      <w:r w:rsidRPr="00440CAB">
        <w:rPr>
          <w:rFonts w:ascii="Narkisim" w:hAnsi="Narkisim" w:cs="Narkisim"/>
          <w:u w:val="single"/>
          <w:rtl/>
        </w:rPr>
        <w:t>הפילה וחזרה והפילה וחזרה והפילה הוחזקה לנפלים.</w:t>
      </w:r>
      <w:r w:rsidRPr="00440CAB">
        <w:rPr>
          <w:rFonts w:ascii="Narkisim" w:hAnsi="Narkisim" w:cs="Narkisim"/>
          <w:rtl/>
        </w:rPr>
        <w:t xml:space="preserve"> [ג' פעמים]. ה</w:t>
      </w:r>
      <w:r w:rsidRPr="00440CAB">
        <w:rPr>
          <w:rFonts w:ascii="Narkisim" w:hAnsi="Narkisim" w:cs="Narkisim"/>
          <w:b/>
          <w:bCs/>
          <w:rtl/>
        </w:rPr>
        <w:t xml:space="preserve">רמב"ן </w:t>
      </w:r>
      <w:r w:rsidRPr="00440CAB">
        <w:rPr>
          <w:rFonts w:ascii="Narkisim" w:hAnsi="Narkisim" w:cs="Narkisim"/>
          <w:rtl/>
        </w:rPr>
        <w:t>כתב דבזה אף לרבי בעי ג' פעמים, דנשאת בהיתר. א"נ משום הכי קי"ל בזה לקולא כרשב"ג. וה</w:t>
      </w:r>
      <w:r w:rsidRPr="00440CAB">
        <w:rPr>
          <w:rFonts w:ascii="Narkisim" w:hAnsi="Narkisim" w:cs="Narkisim"/>
          <w:b/>
          <w:bCs/>
          <w:rtl/>
        </w:rPr>
        <w:t>ריטב"א</w:t>
      </w:r>
      <w:r w:rsidRPr="00440CAB">
        <w:rPr>
          <w:rFonts w:ascii="Narkisim" w:hAnsi="Narkisim" w:cs="Narkisim"/>
          <w:rtl/>
        </w:rPr>
        <w:t xml:space="preserve"> הוסיף דיש הרבה נשים שמפילות בתחילת עיבוריהם.</w:t>
      </w:r>
    </w:p>
    <w:p w14:paraId="17CE7DF2" w14:textId="77777777" w:rsidR="006074A5" w:rsidRPr="00440CAB" w:rsidRDefault="006074A5" w:rsidP="006074A5">
      <w:pPr>
        <w:pStyle w:val="aa"/>
        <w:bidi/>
        <w:rPr>
          <w:rFonts w:ascii="Narkisim" w:hAnsi="Narkisim"/>
        </w:rPr>
      </w:pPr>
      <w:r w:rsidRPr="00440CAB">
        <w:rPr>
          <w:rFonts w:ascii="Narkisim" w:hAnsi="Narkisim"/>
          <w:u w:val="single"/>
          <w:rtl/>
        </w:rPr>
        <w:t>ואין אשה דרכה לכבש.</w:t>
      </w:r>
      <w:r w:rsidRPr="00440CAB">
        <w:rPr>
          <w:rFonts w:ascii="Narkisim" w:hAnsi="Narkisim"/>
          <w:rtl/>
        </w:rPr>
        <w:t xml:space="preserve"> פ</w:t>
      </w:r>
      <w:r w:rsidRPr="00440CAB">
        <w:rPr>
          <w:rFonts w:ascii="Narkisim" w:hAnsi="Narkisim"/>
          <w:b/>
          <w:bCs/>
          <w:rtl/>
        </w:rPr>
        <w:t>רש"י</w:t>
      </w:r>
      <w:r w:rsidRPr="00440CAB">
        <w:rPr>
          <w:rFonts w:ascii="Narkisim" w:hAnsi="Narkisim"/>
          <w:rtl/>
        </w:rPr>
        <w:t xml:space="preserve"> (קידושין לה.) את הארץ במלחמה, וכל היכא דלא קרינן ביה וכבשוה לא קרינן ביה פרו ורבו. אבל ה</w:t>
      </w:r>
      <w:r w:rsidRPr="00440CAB">
        <w:rPr>
          <w:rFonts w:ascii="Narkisim" w:hAnsi="Narkisim"/>
          <w:b/>
          <w:bCs/>
          <w:rtl/>
        </w:rPr>
        <w:t>רע"ב</w:t>
      </w:r>
      <w:r w:rsidRPr="00440CAB">
        <w:rPr>
          <w:rFonts w:ascii="Narkisim" w:hAnsi="Narkisim"/>
          <w:rtl/>
        </w:rPr>
        <w:t xml:space="preserve"> (במשנה) כתב דאיש דרכו לכבוש את האשה</w:t>
      </w:r>
      <w:r w:rsidRPr="00440CAB">
        <w:rPr>
          <w:rStyle w:val="ac"/>
          <w:rFonts w:ascii="Narkisim" w:hAnsi="Narkisim"/>
          <w:rtl/>
        </w:rPr>
        <w:footnoteReference w:id="3913"/>
      </w:r>
      <w:r w:rsidRPr="00440CAB">
        <w:rPr>
          <w:rFonts w:ascii="Narkisim" w:hAnsi="Narkisim"/>
          <w:rtl/>
        </w:rPr>
        <w:t>.</w:t>
      </w:r>
    </w:p>
    <w:p w14:paraId="67C25B84" w14:textId="77777777" w:rsidR="006074A5" w:rsidRPr="00440CAB" w:rsidRDefault="006074A5" w:rsidP="006074A5">
      <w:pPr>
        <w:pStyle w:val="aa"/>
        <w:bidi/>
        <w:rPr>
          <w:rFonts w:ascii="Narkisim" w:hAnsi="Narkisim"/>
        </w:rPr>
      </w:pPr>
      <w:r w:rsidRPr="00440CAB">
        <w:rPr>
          <w:rFonts w:ascii="Narkisim" w:hAnsi="Narkisim"/>
          <w:u w:val="single"/>
          <w:rtl/>
        </w:rPr>
        <w:t>מצוה שלא לומר דבר שאינו נשמע.</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כת' פי' לרבים, אבל לחבירו אמרי' (ערכין טז:) דחייב להוכיח </w:t>
      </w:r>
      <w:r w:rsidRPr="00440CAB">
        <w:rPr>
          <w:rFonts w:ascii="Narkisim" w:hAnsi="Narkisim"/>
          <w:rtl/>
        </w:rPr>
        <w:lastRenderedPageBreak/>
        <w:t>עד הכאה. וכתב דהא דאמרי' (שבת נה.) דיש מצוות תוכחה אפי' שסבור שלא ישמעו, היינו פעם א', כי אולי ישמעו. ועוד כדי שלא יהא להם פתחון פה. אבל אחר שהוכיחם פעם א' ומכיר שלא ישמעו עוד, מצוה שלא לומר להם כלום.</w:t>
      </w:r>
    </w:p>
    <w:p w14:paraId="263DD668" w14:textId="77777777" w:rsidR="006074A5" w:rsidRPr="00440CAB" w:rsidRDefault="006074A5" w:rsidP="006074A5">
      <w:pPr>
        <w:pStyle w:val="a8"/>
        <w:bidi/>
        <w:rPr>
          <w:rFonts w:ascii="Narkisim" w:hAnsi="Narkisim"/>
        </w:rPr>
      </w:pPr>
      <w:r w:rsidRPr="00440CAB">
        <w:rPr>
          <w:rFonts w:ascii="Narkisim" w:hAnsi="Narkisim"/>
          <w:rtl/>
        </w:rPr>
        <w:t>וכ"פ ה</w:t>
      </w:r>
      <w:r w:rsidRPr="00440CAB">
        <w:rPr>
          <w:rFonts w:ascii="Narkisim" w:hAnsi="Narkisim"/>
          <w:b/>
          <w:bCs/>
          <w:rtl/>
        </w:rPr>
        <w:t>רמ"א</w:t>
      </w:r>
      <w:r w:rsidRPr="00440CAB">
        <w:rPr>
          <w:rFonts w:ascii="Narkisim" w:hAnsi="Narkisim"/>
          <w:rtl/>
        </w:rPr>
        <w:t xml:space="preserve"> (תרח ב) דאם יודע שאין דבריו נשמעין יאמר כן ברבים רק פעם א'. אבל ביחיד חייב להוכיח עד הכאה</w:t>
      </w:r>
      <w:r w:rsidRPr="00440CAB">
        <w:rPr>
          <w:rStyle w:val="ac"/>
          <w:rFonts w:ascii="Narkisim" w:hAnsi="Narkisim"/>
          <w:rtl/>
        </w:rPr>
        <w:footnoteReference w:id="3914"/>
      </w:r>
      <w:r w:rsidRPr="00440CAB">
        <w:rPr>
          <w:rFonts w:ascii="Narkisim" w:hAnsi="Narkisim"/>
          <w:rtl/>
        </w:rPr>
        <w:t xml:space="preserve">. וע' </w:t>
      </w:r>
      <w:r w:rsidRPr="00440CAB">
        <w:rPr>
          <w:rFonts w:ascii="Narkisim" w:hAnsi="Narkisim"/>
          <w:b/>
          <w:bCs/>
          <w:rtl/>
        </w:rPr>
        <w:t>ביאו"ה</w:t>
      </w:r>
      <w:r w:rsidRPr="00440CAB">
        <w:rPr>
          <w:rFonts w:ascii="Narkisim" w:hAnsi="Narkisim"/>
          <w:rtl/>
        </w:rPr>
        <w:t>.</w:t>
      </w:r>
    </w:p>
    <w:p w14:paraId="2D572C7F" w14:textId="77777777" w:rsidR="006074A5" w:rsidRPr="00440CAB" w:rsidRDefault="006074A5" w:rsidP="006074A5">
      <w:pPr>
        <w:pStyle w:val="aa"/>
        <w:bidi/>
        <w:rPr>
          <w:rFonts w:ascii="Narkisim" w:hAnsi="Narkisim"/>
        </w:rPr>
      </w:pPr>
      <w:r w:rsidRPr="00440CAB">
        <w:rPr>
          <w:rFonts w:ascii="Narkisim" w:hAnsi="Narkisim"/>
          <w:u w:val="single"/>
          <w:rtl/>
        </w:rPr>
        <w:t>מותר לשנות בדבר השלום וכו' מצוה.</w:t>
      </w:r>
      <w:r w:rsidRPr="00440CAB">
        <w:rPr>
          <w:rFonts w:ascii="Narkisim" w:hAnsi="Narkisim"/>
          <w:rtl/>
        </w:rPr>
        <w:t xml:space="preserve"> ה</w:t>
      </w:r>
      <w:r w:rsidRPr="00440CAB">
        <w:rPr>
          <w:rFonts w:ascii="Narkisim" w:hAnsi="Narkisim"/>
          <w:b/>
          <w:bCs/>
          <w:rtl/>
        </w:rPr>
        <w:t xml:space="preserve">תו"י </w:t>
      </w:r>
      <w:r w:rsidRPr="00440CAB">
        <w:rPr>
          <w:rFonts w:ascii="Narkisim" w:hAnsi="Narkisim"/>
          <w:rtl/>
        </w:rPr>
        <w:t>העמיד</w:t>
      </w:r>
      <w:r w:rsidRPr="00440CAB">
        <w:rPr>
          <w:rFonts w:ascii="Narkisim" w:hAnsi="Narkisim"/>
          <w:b/>
          <w:bCs/>
          <w:rtl/>
        </w:rPr>
        <w:t xml:space="preserve"> </w:t>
      </w:r>
      <w:r w:rsidRPr="00440CAB">
        <w:rPr>
          <w:rFonts w:ascii="Narkisim" w:hAnsi="Narkisim"/>
          <w:rtl/>
        </w:rPr>
        <w:t>דאינו שינוי גמור. [וה</w:t>
      </w:r>
      <w:r w:rsidRPr="00440CAB">
        <w:rPr>
          <w:rFonts w:ascii="Narkisim" w:hAnsi="Narkisim"/>
          <w:b/>
          <w:bCs/>
          <w:rtl/>
        </w:rPr>
        <w:t>אחרונים</w:t>
      </w:r>
      <w:r w:rsidRPr="00440CAB">
        <w:rPr>
          <w:rFonts w:ascii="Narkisim" w:hAnsi="Narkisim"/>
          <w:rtl/>
        </w:rPr>
        <w:t xml:space="preserve"> חקרו כשמשנה מפני דרכי שלום האם הוה בגדר 'אמת', או דהותר לעבור באיסור זה. וע"ע מש"כ בזה לעיל סג.].</w:t>
      </w:r>
    </w:p>
    <w:p w14:paraId="0452E061" w14:textId="77777777" w:rsidR="006074A5" w:rsidRPr="00440CAB" w:rsidRDefault="006074A5" w:rsidP="006074A5">
      <w:pPr>
        <w:bidi/>
        <w:rPr>
          <w:rFonts w:ascii="Narkisim" w:hAnsi="Narkisim" w:cs="Narkisim"/>
        </w:rPr>
      </w:pPr>
      <w:r w:rsidRPr="00440CAB">
        <w:rPr>
          <w:rFonts w:ascii="Narkisim" w:hAnsi="Narkisim" w:cs="Narkisim"/>
          <w:u w:val="single"/>
          <w:rtl/>
        </w:rPr>
        <w:t>אמרה ליה מסיבו דילה וכו' חוטרא לידה וכו'</w:t>
      </w:r>
      <w:r w:rsidRPr="00440CAB">
        <w:rPr>
          <w:rFonts w:ascii="Narkisim" w:hAnsi="Narkisim" w:cs="Narkisim"/>
          <w:rtl/>
        </w:rPr>
        <w:t>. וה</w:t>
      </w:r>
      <w:r w:rsidRPr="00440CAB">
        <w:rPr>
          <w:rFonts w:ascii="Narkisim" w:hAnsi="Narkisim" w:cs="Narkisim"/>
          <w:b/>
          <w:bCs/>
          <w:rtl/>
        </w:rPr>
        <w:t>ריטב"א</w:t>
      </w:r>
      <w:r w:rsidRPr="00440CAB">
        <w:rPr>
          <w:rFonts w:ascii="Narkisim" w:hAnsi="Narkisim" w:cs="Narkisim"/>
          <w:rtl/>
        </w:rPr>
        <w:t xml:space="preserve"> כת' דדוקא כשאין לה אפי' בן א', ו</w:t>
      </w:r>
      <w:r w:rsidRPr="00440CAB">
        <w:rPr>
          <w:rFonts w:ascii="Narkisim" w:hAnsi="Narkisim" w:cs="Narkisim"/>
          <w:b/>
          <w:bCs/>
          <w:rtl/>
        </w:rPr>
        <w:t>י"א</w:t>
      </w:r>
      <w:r w:rsidRPr="00440CAB">
        <w:rPr>
          <w:rFonts w:ascii="Narkisim" w:hAnsi="Narkisim" w:cs="Narkisim"/>
          <w:rtl/>
        </w:rPr>
        <w:t xml:space="preserve"> אפי' בת נחשב חוטרא לידה ומרא לקבורה.</w:t>
      </w:r>
    </w:p>
    <w:p w14:paraId="7A768D5A" w14:textId="77777777" w:rsidR="006074A5" w:rsidRPr="00440CAB" w:rsidRDefault="006074A5" w:rsidP="006074A5">
      <w:pPr>
        <w:bidi/>
        <w:rPr>
          <w:rFonts w:ascii="Narkisim" w:hAnsi="Narkisim" w:cs="Narkisim"/>
        </w:rPr>
      </w:pPr>
      <w:r w:rsidRPr="00440CAB">
        <w:rPr>
          <w:rFonts w:ascii="Narkisim" w:hAnsi="Narkisim" w:cs="Narkisim"/>
          <w:u w:val="single"/>
          <w:rtl/>
        </w:rPr>
        <w:t>כי הא ודאי כפינן.</w:t>
      </w:r>
      <w:r w:rsidRPr="00440CAB">
        <w:rPr>
          <w:rFonts w:ascii="Narkisim" w:hAnsi="Narkisim" w:cs="Narkisim"/>
          <w:rtl/>
        </w:rPr>
        <w:t xml:space="preserve"> [תוס' (לעיל סד.) מבואר דהיינו בשוטי]. </w:t>
      </w:r>
      <w:r w:rsidRPr="00440CAB">
        <w:rPr>
          <w:rFonts w:ascii="Narkisim" w:hAnsi="Narkisim" w:cs="Narkisim"/>
          <w:b/>
          <w:bCs/>
          <w:rtl/>
        </w:rPr>
        <w:t>תוס</w:t>
      </w:r>
      <w:r w:rsidRPr="00440CAB">
        <w:rPr>
          <w:rFonts w:ascii="Narkisim" w:hAnsi="Narkisim" w:cs="Narkisim"/>
          <w:rtl/>
        </w:rPr>
        <w:t xml:space="preserve">' העמידו סוגיין בידוע שהוא עקור. ומדברי </w:t>
      </w:r>
      <w:r w:rsidRPr="00440CAB">
        <w:rPr>
          <w:rFonts w:ascii="Narkisim" w:hAnsi="Narkisim" w:cs="Narkisim"/>
          <w:b/>
          <w:bCs/>
          <w:rtl/>
        </w:rPr>
        <w:t>תוס</w:t>
      </w:r>
      <w:r w:rsidRPr="00440CAB">
        <w:rPr>
          <w:rFonts w:ascii="Narkisim" w:hAnsi="Narkisim" w:cs="Narkisim"/>
          <w:rtl/>
        </w:rPr>
        <w:t>' (בע"א) מבואר דאף בשהה י' שנים [וכגון שיש לו בנים קודם, דאל"ה כופין משום פר"ו].</w:t>
      </w:r>
    </w:p>
    <w:p w14:paraId="3119A4AA" w14:textId="77777777" w:rsidR="006074A5" w:rsidRPr="00440CAB" w:rsidRDefault="006074A5" w:rsidP="006074A5">
      <w:pPr>
        <w:pStyle w:val="a8"/>
        <w:bidi/>
        <w:rPr>
          <w:rFonts w:ascii="Narkisim" w:hAnsi="Narkisim"/>
        </w:rPr>
      </w:pPr>
      <w:r w:rsidRPr="00440CAB">
        <w:rPr>
          <w:rFonts w:ascii="Narkisim" w:hAnsi="Narkisim"/>
          <w:rtl/>
        </w:rPr>
        <w:t>וה</w:t>
      </w:r>
      <w:r w:rsidRPr="00440CAB">
        <w:rPr>
          <w:rFonts w:ascii="Narkisim" w:hAnsi="Narkisim"/>
          <w:b/>
          <w:bCs/>
          <w:rtl/>
        </w:rPr>
        <w:t>רמב"ם</w:t>
      </w:r>
      <w:r w:rsidRPr="00440CAB">
        <w:rPr>
          <w:rFonts w:ascii="Narkisim" w:hAnsi="Narkisim"/>
          <w:rtl/>
        </w:rPr>
        <w:t xml:space="preserve"> (טו י) פסק דאם שהתה י' שנים והיא אומרת דאינו יורה כחץ, ובאה מחמת טענה. וה</w:t>
      </w:r>
      <w:r w:rsidRPr="00440CAB">
        <w:rPr>
          <w:rFonts w:ascii="Narkisim" w:hAnsi="Narkisim"/>
          <w:b/>
          <w:bCs/>
          <w:rtl/>
        </w:rPr>
        <w:t>ראב"ד</w:t>
      </w:r>
      <w:r w:rsidRPr="00440CAB">
        <w:rPr>
          <w:rFonts w:ascii="Narkisim" w:hAnsi="Narkisim"/>
          <w:rtl/>
        </w:rPr>
        <w:t xml:space="preserve"> השיג דאף בלאו הכי מהני טענתה.</w:t>
      </w:r>
    </w:p>
    <w:p w14:paraId="3FCEE80C" w14:textId="77777777" w:rsidR="006074A5" w:rsidRPr="00440CAB" w:rsidRDefault="006074A5" w:rsidP="006074A5">
      <w:pPr>
        <w:pStyle w:val="aa"/>
        <w:bidi/>
        <w:rPr>
          <w:rFonts w:ascii="Narkisim" w:hAnsi="Narkisim"/>
        </w:rPr>
      </w:pPr>
      <w:r w:rsidRPr="00440CAB">
        <w:rPr>
          <w:rFonts w:ascii="Narkisim" w:hAnsi="Narkisim"/>
          <w:u w:val="single"/>
          <w:rtl/>
        </w:rPr>
        <w:t>תוד"ה כי.</w:t>
      </w:r>
      <w:r w:rsidRPr="00440CAB">
        <w:rPr>
          <w:rFonts w:ascii="Narkisim" w:hAnsi="Narkisim"/>
          <w:rtl/>
        </w:rPr>
        <w:t xml:space="preserve"> פר"ח דתוספת ל"ל דאדעתא למיפק לא אוסיף לה. [דכיון דהיא גורמת שיוצא]. אבל בשהה י' שנים לא תליא בדידה, ולכן יש תוספת וכ"פ ה</w:t>
      </w:r>
      <w:r w:rsidRPr="00440CAB">
        <w:rPr>
          <w:rFonts w:ascii="Narkisim" w:hAnsi="Narkisim"/>
          <w:b/>
          <w:bCs/>
          <w:rtl/>
        </w:rPr>
        <w:t>רמב"ם</w:t>
      </w:r>
      <w:r w:rsidRPr="00440CAB">
        <w:rPr>
          <w:rFonts w:ascii="Narkisim" w:hAnsi="Narkisim"/>
          <w:rtl/>
        </w:rPr>
        <w:t xml:space="preserve"> (טו ח), וה</w:t>
      </w:r>
      <w:r w:rsidRPr="00440CAB">
        <w:rPr>
          <w:rFonts w:ascii="Narkisim" w:hAnsi="Narkisim"/>
          <w:b/>
          <w:bCs/>
          <w:rtl/>
        </w:rPr>
        <w:t>ראב"ד</w:t>
      </w:r>
      <w:r w:rsidRPr="00440CAB">
        <w:rPr>
          <w:rFonts w:ascii="Narkisim" w:hAnsi="Narkisim"/>
          <w:rtl/>
        </w:rPr>
        <w:t xml:space="preserve"> פליג דאדעתא דתיפוק ל"ל כתובה.</w:t>
      </w:r>
    </w:p>
    <w:p w14:paraId="7FA8E979" w14:textId="77777777" w:rsidR="006074A5" w:rsidRPr="00440CAB" w:rsidRDefault="006074A5" w:rsidP="006074A5">
      <w:pPr>
        <w:pStyle w:val="aa"/>
        <w:bidi/>
        <w:rPr>
          <w:rFonts w:ascii="Narkisim" w:hAnsi="Narkisim"/>
        </w:rPr>
      </w:pPr>
      <w:r w:rsidRPr="00440CAB">
        <w:rPr>
          <w:rFonts w:ascii="Narkisim" w:hAnsi="Narkisim"/>
          <w:u w:val="single"/>
          <w:rtl/>
        </w:rPr>
        <w:t>בא"ד כ"מ בתשו' א' שפסק ריצב"א וכו' היכא דהודה דאין יכול וכו' כיון דאין יכול לקיים מצוות עונה</w:t>
      </w:r>
      <w:r w:rsidRPr="00440CAB">
        <w:rPr>
          <w:rFonts w:ascii="Narkisim" w:hAnsi="Narkisim"/>
          <w:rtl/>
        </w:rPr>
        <w:t>. ו</w:t>
      </w:r>
      <w:r w:rsidRPr="00440CAB">
        <w:rPr>
          <w:rFonts w:ascii="Narkisim" w:hAnsi="Narkisim"/>
          <w:b/>
          <w:bCs/>
          <w:rtl/>
        </w:rPr>
        <w:t xml:space="preserve">תוס' </w:t>
      </w:r>
      <w:r w:rsidRPr="00440CAB">
        <w:rPr>
          <w:rFonts w:ascii="Narkisim" w:hAnsi="Narkisim"/>
          <w:rtl/>
        </w:rPr>
        <w:t>(נדרים צא.) הוכיח כן דהא אפי' אני בבגדי וכו' יוציא ויתן כתובה</w:t>
      </w:r>
      <w:r w:rsidRPr="00440CAB">
        <w:rPr>
          <w:rStyle w:val="ac"/>
          <w:rFonts w:ascii="Narkisim" w:hAnsi="Narkisim"/>
          <w:rtl/>
        </w:rPr>
        <w:footnoteReference w:id="3915"/>
      </w:r>
      <w:r w:rsidRPr="00440CAB">
        <w:rPr>
          <w:rFonts w:ascii="Narkisim" w:hAnsi="Narkisim"/>
          <w:rtl/>
        </w:rPr>
        <w:t>.</w:t>
      </w:r>
    </w:p>
    <w:p w14:paraId="0E11D45A" w14:textId="77777777" w:rsidR="006074A5" w:rsidRPr="00440CAB" w:rsidRDefault="006074A5" w:rsidP="006074A5">
      <w:pPr>
        <w:pStyle w:val="aa"/>
        <w:bidi/>
        <w:rPr>
          <w:rFonts w:ascii="Narkisim" w:hAnsi="Narkisim"/>
        </w:rPr>
      </w:pPr>
      <w:r w:rsidRPr="00440CAB">
        <w:rPr>
          <w:rFonts w:ascii="Narkisim" w:hAnsi="Narkisim"/>
          <w:u w:val="single"/>
          <w:rtl/>
        </w:rPr>
        <w:t>בא"ד ומיהו אם יכול להתקשות ויש כאן לכל הפחות הכנסת עטרה וכו' דיש כאן חיבת וכו'.</w:t>
      </w:r>
      <w:r w:rsidRPr="00440CAB">
        <w:rPr>
          <w:rFonts w:ascii="Narkisim" w:hAnsi="Narkisim"/>
          <w:rtl/>
        </w:rPr>
        <w:t xml:space="preserve"> ו</w:t>
      </w:r>
      <w:r w:rsidRPr="00440CAB">
        <w:rPr>
          <w:rFonts w:ascii="Narkisim" w:hAnsi="Narkisim"/>
          <w:b/>
          <w:bCs/>
          <w:rtl/>
        </w:rPr>
        <w:t>תוס</w:t>
      </w:r>
      <w:r w:rsidRPr="00440CAB">
        <w:rPr>
          <w:rFonts w:ascii="Narkisim" w:hAnsi="Narkisim"/>
          <w:rtl/>
        </w:rPr>
        <w:t>' (נדרים צא.) כת' דהעראה לבד לא סגי דאף דקי"ל (לעיל נה) העראה כגמ"ב לענין חיוב עריות, אבל לענין חיבה לקנות תוספת אינה ביאה. וכן מי שאינו בריא להתקשות אין כאן חיבת ביאה, ואפי' למ"ד (לעיל נה:) משמש מת חייב.</w:t>
      </w:r>
    </w:p>
    <w:p w14:paraId="5D0C2AE1" w14:textId="77777777" w:rsidR="006074A5" w:rsidRPr="00440CAB" w:rsidRDefault="006074A5" w:rsidP="006074A5">
      <w:pPr>
        <w:pStyle w:val="a8"/>
        <w:bidi/>
        <w:rPr>
          <w:rFonts w:ascii="Narkisim" w:hAnsi="Narkisim"/>
        </w:rPr>
      </w:pPr>
      <w:r w:rsidRPr="00440CAB">
        <w:rPr>
          <w:rFonts w:ascii="Narkisim" w:hAnsi="Narkisim"/>
          <w:rtl/>
        </w:rPr>
        <w:t>ומדברי התוס' משמע דהכנסת עטרה נחשב חיבת ביאה ונתחייב תוספת. ואפ"ה יוציא ויתן כתובה, כיון דאינו יכול לקיים מצוות עונה. ומבואר דלא סגי בכך למצוות עונה</w:t>
      </w:r>
      <w:r w:rsidRPr="00440CAB">
        <w:rPr>
          <w:rStyle w:val="ac"/>
          <w:rFonts w:ascii="Narkisim" w:hAnsi="Narkisim"/>
          <w:rtl/>
        </w:rPr>
        <w:footnoteReference w:id="3916"/>
      </w:r>
      <w:r w:rsidRPr="00440CAB">
        <w:rPr>
          <w:rFonts w:ascii="Narkisim" w:hAnsi="Narkisim"/>
          <w:rtl/>
        </w:rPr>
        <w:t>. וכ"כ בשו"ת ה</w:t>
      </w:r>
      <w:r w:rsidRPr="00440CAB">
        <w:rPr>
          <w:rFonts w:ascii="Narkisim" w:hAnsi="Narkisim"/>
          <w:b/>
          <w:bCs/>
          <w:rtl/>
        </w:rPr>
        <w:t>רדב"ז</w:t>
      </w:r>
      <w:r w:rsidRPr="00440CAB">
        <w:rPr>
          <w:rFonts w:ascii="Narkisim" w:hAnsi="Narkisim"/>
          <w:rtl/>
        </w:rPr>
        <w:t xml:space="preserve"> (ד קיח [אלף קפח] בשם שו"ת הרשב"א מכת"י רכ, והו' בבאר היטב עו א) דאע"ג דהעראה כביאה לכל הדברים, לקיום עונה לא מקריא ביאה. וכ"כ ה</w:t>
      </w:r>
      <w:r w:rsidRPr="00440CAB">
        <w:rPr>
          <w:rFonts w:ascii="Narkisim" w:hAnsi="Narkisim"/>
          <w:b/>
          <w:bCs/>
          <w:rtl/>
        </w:rPr>
        <w:t>שעה"מ</w:t>
      </w:r>
      <w:r w:rsidRPr="00440CAB">
        <w:rPr>
          <w:rFonts w:ascii="Narkisim" w:hAnsi="Narkisim"/>
          <w:rtl/>
        </w:rPr>
        <w:t xml:space="preserve"> (איסו"ב ג טו בסופו) דאינו מקיים מצוות עונה בהעראה.</w:t>
      </w:r>
    </w:p>
    <w:p w14:paraId="36D5DDB2" w14:textId="77777777" w:rsidR="006074A5" w:rsidRPr="00440CAB" w:rsidRDefault="006074A5" w:rsidP="006074A5">
      <w:pPr>
        <w:pStyle w:val="aa"/>
        <w:bidi/>
        <w:rPr>
          <w:rFonts w:ascii="Narkisim" w:hAnsi="Narkisim"/>
        </w:rPr>
      </w:pPr>
      <w:r w:rsidRPr="00440CAB">
        <w:rPr>
          <w:rFonts w:ascii="Narkisim" w:hAnsi="Narkisim"/>
          <w:u w:val="single"/>
          <w:rtl/>
        </w:rPr>
        <w:t>יהודית וכו' הו"ל צער לידה</w:t>
      </w:r>
      <w:r w:rsidRPr="00440CAB">
        <w:rPr>
          <w:rStyle w:val="ac"/>
          <w:rFonts w:ascii="Narkisim" w:hAnsi="Narkisim"/>
          <w:u w:val="single"/>
          <w:rtl/>
        </w:rPr>
        <w:footnoteReference w:id="3917"/>
      </w:r>
      <w:r w:rsidRPr="00440CAB">
        <w:rPr>
          <w:rFonts w:ascii="Narkisim" w:hAnsi="Narkisim"/>
          <w:u w:val="single"/>
          <w:rtl/>
        </w:rPr>
        <w:t xml:space="preserve"> וכו' אמרה איתתא מיפקדה</w:t>
      </w:r>
      <w:r w:rsidRPr="00440CAB">
        <w:rPr>
          <w:rStyle w:val="ac"/>
          <w:rFonts w:ascii="Narkisim" w:hAnsi="Narkisim"/>
          <w:u w:val="single"/>
          <w:rtl/>
        </w:rPr>
        <w:footnoteReference w:id="3918"/>
      </w:r>
      <w:r w:rsidRPr="00440CAB">
        <w:rPr>
          <w:rFonts w:ascii="Narkisim" w:hAnsi="Narkisim"/>
          <w:u w:val="single"/>
          <w:rtl/>
        </w:rPr>
        <w:t xml:space="preserve"> וכו'.</w:t>
      </w:r>
      <w:r w:rsidRPr="00440CAB">
        <w:rPr>
          <w:rFonts w:ascii="Narkisim" w:hAnsi="Narkisim"/>
          <w:rtl/>
        </w:rPr>
        <w:t xml:space="preserve"> ה</w:t>
      </w:r>
      <w:r w:rsidRPr="00440CAB">
        <w:rPr>
          <w:rFonts w:ascii="Narkisim" w:hAnsi="Narkisim"/>
          <w:b/>
          <w:bCs/>
          <w:rtl/>
        </w:rPr>
        <w:t>ריטב"א</w:t>
      </w:r>
      <w:r w:rsidRPr="00440CAB">
        <w:rPr>
          <w:rFonts w:ascii="Narkisim" w:hAnsi="Narkisim"/>
          <w:rtl/>
        </w:rPr>
        <w:t xml:space="preserve"> כתב דהיינו צער, אבל משום סכנה אף מי שמצווה מותר לו לשתות</w:t>
      </w:r>
      <w:r w:rsidRPr="00440CAB">
        <w:rPr>
          <w:rStyle w:val="ac"/>
          <w:rFonts w:ascii="Narkisim" w:hAnsi="Narkisim"/>
          <w:rtl/>
        </w:rPr>
        <w:footnoteReference w:id="3919"/>
      </w:r>
      <w:r w:rsidRPr="00440CAB">
        <w:rPr>
          <w:rFonts w:ascii="Narkisim" w:hAnsi="Narkisim"/>
          <w:rtl/>
        </w:rPr>
        <w:t>.</w:t>
      </w:r>
    </w:p>
    <w:p w14:paraId="45A6B4FA" w14:textId="77777777" w:rsidR="006074A5" w:rsidRPr="00440CAB" w:rsidRDefault="006074A5" w:rsidP="006074A5">
      <w:pPr>
        <w:bidi/>
        <w:rPr>
          <w:rFonts w:ascii="Narkisim" w:hAnsi="Narkisim" w:cs="Narkisim"/>
        </w:rPr>
      </w:pPr>
      <w:r w:rsidRPr="00440CAB">
        <w:rPr>
          <w:rFonts w:ascii="Narkisim" w:hAnsi="Narkisim" w:cs="Narkisim"/>
          <w:u w:val="single"/>
          <w:rtl/>
        </w:rPr>
        <w:t>אזלא אשתיא סמא וכו'.</w:t>
      </w:r>
      <w:r w:rsidRPr="00440CAB">
        <w:rPr>
          <w:rFonts w:ascii="Narkisim" w:hAnsi="Narkisim" w:cs="Narkisim"/>
          <w:rtl/>
        </w:rPr>
        <w:t xml:space="preserve"> וכן אי' בגמ' </w:t>
      </w:r>
      <w:r w:rsidRPr="00440CAB">
        <w:rPr>
          <w:rFonts w:ascii="Narkisim" w:hAnsi="Narkisim" w:cs="Narkisim"/>
          <w:szCs w:val="20"/>
          <w:rtl/>
        </w:rPr>
        <w:t>(שבת קיא.)</w:t>
      </w:r>
      <w:r w:rsidRPr="00440CAB">
        <w:rPr>
          <w:rFonts w:ascii="Narkisim" w:hAnsi="Narkisim" w:cs="Narkisim"/>
          <w:rtl/>
        </w:rPr>
        <w:t xml:space="preserve"> דאשה מותרת לשתות סם המעקר, למ"ד דאינה מצווה על פריה ורביה</w:t>
      </w:r>
      <w:r w:rsidRPr="00440CAB">
        <w:rPr>
          <w:rStyle w:val="ac"/>
          <w:rFonts w:ascii="Narkisim" w:hAnsi="Narkisim" w:cs="Narkisim"/>
          <w:rtl/>
        </w:rPr>
        <w:footnoteReference w:id="3920"/>
      </w:r>
      <w:r w:rsidRPr="00440CAB">
        <w:rPr>
          <w:rFonts w:ascii="Narkisim" w:hAnsi="Narkisim" w:cs="Narkisim"/>
          <w:rtl/>
        </w:rPr>
        <w:t>. וה</w:t>
      </w:r>
      <w:r w:rsidRPr="00440CAB">
        <w:rPr>
          <w:rFonts w:ascii="Narkisim" w:hAnsi="Narkisim" w:cs="Narkisim"/>
          <w:b/>
          <w:bCs/>
          <w:rtl/>
        </w:rPr>
        <w:t>אחרונים</w:t>
      </w:r>
      <w:r w:rsidRPr="00440CAB">
        <w:rPr>
          <w:rFonts w:ascii="Narkisim" w:hAnsi="Narkisim" w:cs="Narkisim"/>
          <w:rtl/>
        </w:rPr>
        <w:t xml:space="preserve"> הקשו דמשמע בגמ' (שבת קי:) דשתיית סם הוה בכלל איסור סירוס, ואיסור סירוס נוהג אף בבהמות, ולא רק במקום מצוות פריה ורביה. וה</w:t>
      </w:r>
      <w:r w:rsidRPr="00440CAB">
        <w:rPr>
          <w:rFonts w:ascii="Narkisim" w:hAnsi="Narkisim" w:cs="Narkisim"/>
          <w:b/>
          <w:bCs/>
          <w:rtl/>
        </w:rPr>
        <w:t>ראשונים</w:t>
      </w:r>
      <w:r w:rsidRPr="00440CAB">
        <w:rPr>
          <w:rFonts w:ascii="Narkisim" w:hAnsi="Narkisim" w:cs="Narkisim"/>
          <w:rtl/>
        </w:rPr>
        <w:t xml:space="preserve"> (שם) דנו האם כוונת הגמ' דהוה איסור סירוס ממש</w:t>
      </w:r>
      <w:r w:rsidRPr="00440CAB">
        <w:rPr>
          <w:rStyle w:val="ac"/>
          <w:rFonts w:ascii="Narkisim" w:hAnsi="Narkisim" w:cs="Narkisim"/>
          <w:rtl/>
        </w:rPr>
        <w:footnoteReference w:id="3921"/>
      </w:r>
      <w:r w:rsidRPr="00440CAB">
        <w:rPr>
          <w:rFonts w:ascii="Narkisim" w:hAnsi="Narkisim" w:cs="Narkisim"/>
          <w:rtl/>
        </w:rPr>
        <w:t>. ומדברי ה</w:t>
      </w:r>
      <w:r w:rsidRPr="00440CAB">
        <w:rPr>
          <w:rFonts w:ascii="Narkisim" w:hAnsi="Narkisim" w:cs="Narkisim"/>
          <w:b/>
          <w:bCs/>
          <w:rtl/>
        </w:rPr>
        <w:t>תוס'</w:t>
      </w:r>
      <w:r w:rsidRPr="00440CAB">
        <w:rPr>
          <w:rFonts w:ascii="Narkisim" w:hAnsi="Narkisim" w:cs="Narkisim"/>
          <w:rtl/>
        </w:rPr>
        <w:t xml:space="preserve"> (</w:t>
      </w:r>
      <w:r w:rsidRPr="00440CAB">
        <w:rPr>
          <w:rFonts w:ascii="Narkisim" w:hAnsi="Narkisim" w:cs="Narkisim"/>
          <w:szCs w:val="20"/>
          <w:rtl/>
        </w:rPr>
        <w:t>שם</w:t>
      </w:r>
      <w:r w:rsidRPr="00440CAB">
        <w:rPr>
          <w:rFonts w:ascii="Narkisim" w:hAnsi="Narkisim" w:cs="Narkisim"/>
          <w:rtl/>
        </w:rPr>
        <w:t>) מבואר דיש ב' סיבות לאסור, משום סירוס [וליכא איסור כלל בנשים</w:t>
      </w:r>
      <w:r w:rsidRPr="00440CAB">
        <w:rPr>
          <w:rStyle w:val="ac"/>
          <w:rFonts w:ascii="Narkisim" w:hAnsi="Narkisim" w:cs="Narkisim"/>
          <w:rtl/>
        </w:rPr>
        <w:footnoteReference w:id="3922"/>
      </w:r>
      <w:r w:rsidRPr="00440CAB">
        <w:rPr>
          <w:rFonts w:ascii="Narkisim" w:hAnsi="Narkisim" w:cs="Narkisim"/>
          <w:rtl/>
        </w:rPr>
        <w:t>], ומשום ביטול פריה ורביה</w:t>
      </w:r>
      <w:r w:rsidRPr="00440CAB">
        <w:rPr>
          <w:rStyle w:val="ac"/>
          <w:rFonts w:ascii="Narkisim" w:hAnsi="Narkisim" w:cs="Narkisim"/>
          <w:rtl/>
        </w:rPr>
        <w:footnoteReference w:id="3923"/>
      </w:r>
      <w:r w:rsidRPr="00440CAB">
        <w:rPr>
          <w:rFonts w:ascii="Narkisim" w:hAnsi="Narkisim" w:cs="Narkisim"/>
          <w:rtl/>
        </w:rPr>
        <w:t>.</w:t>
      </w:r>
    </w:p>
    <w:p w14:paraId="2779C751" w14:textId="77777777" w:rsidR="006074A5" w:rsidRPr="00440CAB" w:rsidRDefault="006074A5" w:rsidP="006074A5">
      <w:pPr>
        <w:pStyle w:val="3"/>
        <w:bidi/>
        <w:rPr>
          <w:rFonts w:ascii="Narkisim" w:hAnsi="Narkisim"/>
        </w:rPr>
      </w:pPr>
      <w:r w:rsidRPr="00440CAB">
        <w:rPr>
          <w:rFonts w:ascii="Narkisim" w:hAnsi="Narkisim"/>
          <w:rtl/>
        </w:rPr>
        <w:lastRenderedPageBreak/>
        <w:t>דף סו.</w:t>
      </w:r>
    </w:p>
    <w:p w14:paraId="05E048DE" w14:textId="77777777" w:rsidR="006074A5" w:rsidRPr="00440CAB" w:rsidRDefault="006074A5" w:rsidP="006074A5">
      <w:pPr>
        <w:pStyle w:val="aa"/>
        <w:bidi/>
        <w:rPr>
          <w:rFonts w:ascii="Narkisim" w:hAnsi="Narkisim"/>
        </w:rPr>
      </w:pPr>
      <w:r w:rsidRPr="00440CAB">
        <w:rPr>
          <w:rFonts w:ascii="Narkisim" w:hAnsi="Narkisim"/>
          <w:u w:val="single"/>
          <w:rtl/>
        </w:rPr>
        <w:t>ולא מיפקדי, והאמר רב אחא וכו'</w:t>
      </w:r>
      <w:r w:rsidRPr="00440CAB">
        <w:rPr>
          <w:rFonts w:ascii="Narkisim" w:hAnsi="Narkisim"/>
          <w:rtl/>
        </w:rPr>
        <w:t>. לכאו' כוונת הגמ' להביא מהתם דקי"ל כר' יוחנן בן ברוקה [והק' מדברי ר' חייא דפסק כרבנן].</w:t>
      </w:r>
    </w:p>
    <w:p w14:paraId="08582958" w14:textId="77777777" w:rsidR="006074A5" w:rsidRPr="00440CAB" w:rsidRDefault="006074A5" w:rsidP="006074A5">
      <w:pPr>
        <w:pStyle w:val="aa"/>
        <w:bidi/>
        <w:rPr>
          <w:rFonts w:ascii="Narkisim" w:hAnsi="Narkisim"/>
        </w:rPr>
      </w:pPr>
      <w:r w:rsidRPr="00440CAB">
        <w:rPr>
          <w:rFonts w:ascii="Narkisim" w:hAnsi="Narkisim"/>
          <w:u w:val="single"/>
          <w:rtl/>
        </w:rPr>
        <w:t>וכפו את רבה ועשאה בת חורין</w:t>
      </w:r>
      <w:r w:rsidRPr="00440CAB">
        <w:rPr>
          <w:rFonts w:ascii="Narkisim" w:hAnsi="Narkisim"/>
          <w:rtl/>
        </w:rPr>
        <w:t>. פ</w:t>
      </w:r>
      <w:r w:rsidRPr="00440CAB">
        <w:rPr>
          <w:rFonts w:ascii="Narkisim" w:hAnsi="Narkisim"/>
          <w:b/>
          <w:bCs/>
          <w:rtl/>
        </w:rPr>
        <w:t>רש"י</w:t>
      </w:r>
      <w:r w:rsidRPr="00440CAB">
        <w:rPr>
          <w:rFonts w:ascii="Narkisim" w:hAnsi="Narkisim"/>
          <w:rtl/>
        </w:rPr>
        <w:t xml:space="preserve"> אלמא מפקדא, ומש"ה כפינן שתהא מותרת לינשא. וכמשנה אחרונה (גיטין מא:) דכיון חצי עבד אינו יכול לישא. ונברא העולם לפריה ורביה, דכתיב 'לשבת יצרה', כופין את רבו לעשותו בן חורין. ו</w:t>
      </w:r>
      <w:r w:rsidRPr="00440CAB">
        <w:rPr>
          <w:rFonts w:ascii="Narkisim" w:hAnsi="Narkisim"/>
          <w:b/>
          <w:bCs/>
          <w:rtl/>
        </w:rPr>
        <w:t>תוס</w:t>
      </w:r>
      <w:r w:rsidRPr="00440CAB">
        <w:rPr>
          <w:rFonts w:ascii="Narkisim" w:hAnsi="Narkisim"/>
          <w:rtl/>
        </w:rPr>
        <w:t>' (שם ד"ה לא) הק' דמשמע דכופין משום 'שבת', ואף אשה מצווה משום שבת. ותי' דכיון דלא מיפקדה שמא לאחר שתשתחרר לא תקיים</w:t>
      </w:r>
      <w:r w:rsidRPr="00440CAB">
        <w:rPr>
          <w:rStyle w:val="ac"/>
          <w:rFonts w:ascii="Narkisim" w:hAnsi="Narkisim"/>
          <w:rtl/>
        </w:rPr>
        <w:footnoteReference w:id="3924"/>
      </w:r>
      <w:r w:rsidRPr="00440CAB">
        <w:rPr>
          <w:rFonts w:ascii="Narkisim" w:hAnsi="Narkisim"/>
          <w:rtl/>
        </w:rPr>
        <w:t>.</w:t>
      </w:r>
    </w:p>
    <w:p w14:paraId="3936CD64" w14:textId="77777777" w:rsidR="006074A5" w:rsidRPr="00440CAB" w:rsidRDefault="006074A5" w:rsidP="006074A5">
      <w:pPr>
        <w:pStyle w:val="2"/>
        <w:bidi/>
        <w:rPr>
          <w:rFonts w:ascii="Narkisim" w:hAnsi="Narkisim"/>
        </w:rPr>
      </w:pPr>
      <w:r w:rsidRPr="00440CAB">
        <w:rPr>
          <w:rFonts w:ascii="Narkisim" w:hAnsi="Narkisim"/>
          <w:rtl/>
        </w:rPr>
        <w:t>הדרן עלך פרק הבא על יבמתו</w:t>
      </w:r>
    </w:p>
    <w:p w14:paraId="0672468E" w14:textId="77777777" w:rsidR="006074A5" w:rsidRPr="00440CAB" w:rsidRDefault="006074A5" w:rsidP="006074A5">
      <w:pPr>
        <w:bidi/>
        <w:rPr>
          <w:rFonts w:ascii="Narkisim" w:hAnsi="Narkisim" w:cs="Narkisim"/>
          <w:rtl/>
          <w:lang w:val="he-IL"/>
        </w:rPr>
      </w:pPr>
    </w:p>
    <w:p w14:paraId="6909652A" w14:textId="77777777" w:rsidR="006074A5" w:rsidRPr="00440CAB" w:rsidRDefault="006074A5" w:rsidP="006074A5">
      <w:pPr>
        <w:bidi/>
        <w:rPr>
          <w:rFonts w:ascii="Narkisim" w:hAnsi="Narkisim" w:cs="Narkisim"/>
        </w:rPr>
      </w:pPr>
    </w:p>
    <w:p w14:paraId="23BE921D" w14:textId="77777777" w:rsidR="00F64AED" w:rsidRPr="00E14121" w:rsidRDefault="00F64AED" w:rsidP="00F64AED">
      <w:pPr>
        <w:pStyle w:val="a9"/>
        <w:bidi/>
        <w:rPr>
          <w:rFonts w:ascii="Narkisim" w:hAnsi="Narkisim"/>
        </w:rPr>
      </w:pPr>
      <w:r w:rsidRPr="00E14121">
        <w:rPr>
          <w:rFonts w:ascii="Narkisim" w:hAnsi="Narkisim"/>
          <w:rtl/>
        </w:rPr>
        <w:t>בס"ד</w:t>
      </w:r>
    </w:p>
    <w:p w14:paraId="60F8369A" w14:textId="77777777" w:rsidR="00F64AED" w:rsidRPr="00E14121" w:rsidRDefault="00F64AED" w:rsidP="00F64AED">
      <w:pPr>
        <w:pStyle w:val="3"/>
        <w:bidi/>
        <w:rPr>
          <w:rFonts w:ascii="Narkisim" w:hAnsi="Narkisim"/>
          <w:szCs w:val="2"/>
        </w:rPr>
      </w:pPr>
      <w:r w:rsidRPr="00E14121">
        <w:rPr>
          <w:rFonts w:ascii="Narkisim" w:hAnsi="Narkisim"/>
          <w:szCs w:val="2"/>
          <w:rtl/>
        </w:rPr>
        <w:t>דף סו.</w:t>
      </w:r>
    </w:p>
    <w:p w14:paraId="2D53AA82" w14:textId="77777777" w:rsidR="00F64AED" w:rsidRPr="00E14121" w:rsidRDefault="00F64AED" w:rsidP="00F64AED">
      <w:pPr>
        <w:pStyle w:val="1"/>
        <w:bidi/>
        <w:rPr>
          <w:rFonts w:ascii="Narkisim" w:hAnsi="Narkisim"/>
        </w:rPr>
      </w:pPr>
      <w:r w:rsidRPr="00E14121">
        <w:rPr>
          <w:rFonts w:ascii="Narkisim" w:hAnsi="Narkisim"/>
          <w:rtl/>
        </w:rPr>
        <w:t>פרק אלמנה לכה"ג</w:t>
      </w:r>
    </w:p>
    <w:p w14:paraId="7DC0FAAA" w14:textId="77777777" w:rsidR="00F64AED" w:rsidRPr="00E14121" w:rsidRDefault="00F64AED" w:rsidP="00F64AED">
      <w:pPr>
        <w:pStyle w:val="2"/>
        <w:bidi/>
        <w:rPr>
          <w:rFonts w:ascii="Narkisim" w:hAnsi="Narkisim"/>
        </w:rPr>
      </w:pPr>
      <w:r w:rsidRPr="00E14121">
        <w:rPr>
          <w:rFonts w:ascii="Narkisim" w:hAnsi="Narkisim"/>
          <w:rtl/>
        </w:rPr>
        <w:t>הקדמה – דין קנין כספו</w:t>
      </w:r>
    </w:p>
    <w:p w14:paraId="6F5D49DC" w14:textId="77777777" w:rsidR="00F64AED" w:rsidRPr="00E14121" w:rsidRDefault="00F64AED" w:rsidP="00F64AED">
      <w:pPr>
        <w:bidi/>
        <w:rPr>
          <w:rFonts w:ascii="Narkisim" w:hAnsi="Narkisim" w:cs="Narkisim"/>
        </w:rPr>
      </w:pPr>
      <w:r w:rsidRPr="00E14121">
        <w:rPr>
          <w:rFonts w:ascii="Narkisim" w:hAnsi="Narkisim" w:cs="Narkisim"/>
          <w:rtl/>
        </w:rPr>
        <w:t>בברייתא (בגמ' בסמוך) דרשי' דאשת כהן ועבד כהן אוכלים בתרומה מקרא ד'וכהן כי יקנה נפש קנין כספו הוא יאכל בו'. ועוד מצאנו (בגמ' סו:) דבהמת כהן אוכלת בתרומה, וה</w:t>
      </w:r>
      <w:r w:rsidRPr="00E14121">
        <w:rPr>
          <w:rFonts w:ascii="Narkisim" w:hAnsi="Narkisim" w:cs="Narkisim"/>
          <w:b/>
          <w:bCs/>
          <w:rtl/>
        </w:rPr>
        <w:t>ר”ש</w:t>
      </w:r>
      <w:r w:rsidRPr="00E14121">
        <w:rPr>
          <w:rFonts w:ascii="Narkisim" w:hAnsi="Narkisim" w:cs="Narkisim"/>
          <w:rtl/>
        </w:rPr>
        <w:t xml:space="preserve"> (תרומות יא ט, ופיה”מ לרמב”ם שם) הביא דאף זה דרשי' מקרא דקנין כספו, דמשמע אפי' נפש בהמה.</w:t>
      </w:r>
    </w:p>
    <w:p w14:paraId="68E771BC" w14:textId="77777777" w:rsidR="00F64AED" w:rsidRPr="00E14121" w:rsidRDefault="00F64AED" w:rsidP="00F64AED">
      <w:pPr>
        <w:bidi/>
        <w:rPr>
          <w:rFonts w:ascii="Narkisim" w:hAnsi="Narkisim" w:cs="Narkisim"/>
        </w:rPr>
      </w:pPr>
      <w:r w:rsidRPr="00E14121">
        <w:rPr>
          <w:rFonts w:ascii="Narkisim" w:hAnsi="Narkisim" w:cs="Narkisim"/>
          <w:i/>
          <w:iCs/>
          <w:sz w:val="21"/>
          <w:szCs w:val="21"/>
          <w:rtl/>
        </w:rPr>
        <w:t>עבד כהן</w:t>
      </w:r>
      <w:r w:rsidRPr="00E14121">
        <w:rPr>
          <w:rFonts w:ascii="Narkisim" w:hAnsi="Narkisim" w:cs="Narkisim"/>
          <w:rtl/>
        </w:rPr>
        <w:t xml:space="preserve"> - ה</w:t>
      </w:r>
      <w:r w:rsidRPr="00E14121">
        <w:rPr>
          <w:rFonts w:ascii="Narkisim" w:hAnsi="Narkisim" w:cs="Narkisim"/>
          <w:b/>
          <w:bCs/>
          <w:rtl/>
        </w:rPr>
        <w:t>אחרונים</w:t>
      </w:r>
      <w:r w:rsidRPr="00E14121">
        <w:rPr>
          <w:rFonts w:ascii="Narkisim" w:hAnsi="Narkisim" w:cs="Narkisim"/>
          <w:rtl/>
        </w:rPr>
        <w:t xml:space="preserve"> חקרו האם אכילת עבד כהן הוה כאכילת בהמתו, דנחשב עי"ז אכילת ממון כהן</w:t>
      </w:r>
      <w:r w:rsidRPr="00E14121">
        <w:rPr>
          <w:rStyle w:val="ac"/>
          <w:rFonts w:ascii="Narkisim" w:hAnsi="Narkisim" w:cs="Narkisim"/>
          <w:rtl/>
        </w:rPr>
        <w:footnoteReference w:id="3925"/>
      </w:r>
      <w:r w:rsidRPr="00E14121">
        <w:rPr>
          <w:rFonts w:ascii="Narkisim" w:hAnsi="Narkisim" w:cs="Narkisim"/>
          <w:rtl/>
        </w:rPr>
        <w:t>, או דעבד כהן נתקדש ונחשב דיש בו דיני כהונה. וה</w:t>
      </w:r>
      <w:r w:rsidRPr="00E14121">
        <w:rPr>
          <w:rFonts w:ascii="Narkisim" w:hAnsi="Narkisim" w:cs="Narkisim"/>
          <w:b/>
          <w:bCs/>
          <w:rtl/>
        </w:rPr>
        <w:t>קובה”ע</w:t>
      </w:r>
      <w:r w:rsidRPr="00E14121">
        <w:rPr>
          <w:rFonts w:ascii="Narkisim" w:hAnsi="Narkisim" w:cs="Narkisim"/>
          <w:rtl/>
        </w:rPr>
        <w:t xml:space="preserve"> (מז ב) הביא מדברי ה</w:t>
      </w:r>
      <w:r w:rsidRPr="00E14121">
        <w:rPr>
          <w:rFonts w:ascii="Narkisim" w:hAnsi="Narkisim" w:cs="Narkisim"/>
          <w:b/>
          <w:bCs/>
          <w:rtl/>
        </w:rPr>
        <w:t>רמב”ם</w:t>
      </w:r>
      <w:r w:rsidRPr="00E14121">
        <w:rPr>
          <w:rFonts w:ascii="Narkisim" w:hAnsi="Narkisim" w:cs="Narkisim"/>
          <w:rtl/>
        </w:rPr>
        <w:t xml:space="preserve"> (פיה”מ גיטין יא:) דעבד כהן אוכל בתרומה 'מפני שהוא קנינו</w:t>
      </w:r>
      <w:r w:rsidRPr="00E14121">
        <w:rPr>
          <w:rStyle w:val="ac"/>
          <w:rFonts w:ascii="Narkisim" w:hAnsi="Narkisim" w:cs="Narkisim"/>
          <w:rtl/>
        </w:rPr>
        <w:footnoteReference w:id="3926"/>
      </w:r>
      <w:r w:rsidRPr="00E14121">
        <w:rPr>
          <w:rFonts w:ascii="Narkisim" w:hAnsi="Narkisim" w:cs="Narkisim"/>
          <w:rtl/>
        </w:rPr>
        <w:t>', משום דנחשב אכילת רבו, ולא נחשב זכות שיש לעבד</w:t>
      </w:r>
      <w:r w:rsidRPr="00E14121">
        <w:rPr>
          <w:rStyle w:val="ac"/>
          <w:rFonts w:ascii="Narkisim" w:hAnsi="Narkisim" w:cs="Narkisim"/>
          <w:rtl/>
        </w:rPr>
        <w:footnoteReference w:id="3927"/>
      </w:r>
      <w:r w:rsidRPr="00E14121">
        <w:rPr>
          <w:rFonts w:ascii="Narkisim" w:hAnsi="Narkisim" w:cs="Narkisim"/>
          <w:rtl/>
        </w:rPr>
        <w:t xml:space="preserve">. </w:t>
      </w:r>
      <w:r w:rsidRPr="00E14121">
        <w:rPr>
          <w:rFonts w:ascii="Narkisim" w:hAnsi="Narkisim" w:cs="Narkisim"/>
          <w:szCs w:val="20"/>
          <w:rtl/>
        </w:rPr>
        <w:t>ועפ”ז ביאר ה</w:t>
      </w:r>
      <w:r w:rsidRPr="00E14121">
        <w:rPr>
          <w:rFonts w:ascii="Narkisim" w:hAnsi="Narkisim" w:cs="Narkisim"/>
          <w:b/>
          <w:bCs/>
          <w:szCs w:val="20"/>
          <w:rtl/>
        </w:rPr>
        <w:t>קובה”ע</w:t>
      </w:r>
      <w:r w:rsidRPr="00E14121">
        <w:rPr>
          <w:rFonts w:ascii="Narkisim" w:hAnsi="Narkisim" w:cs="Narkisim"/>
          <w:szCs w:val="20"/>
          <w:rtl/>
        </w:rPr>
        <w:t xml:space="preserve"> הא דשפחה אוכלת בתרומה, ואף דהוה זונה [ע' לעיל סא.],</w:t>
      </w:r>
      <w:r w:rsidRPr="00E14121">
        <w:rPr>
          <w:rFonts w:ascii="Narkisim" w:hAnsi="Narkisim" w:cs="Narkisim"/>
          <w:rtl/>
        </w:rPr>
        <w:t xml:space="preserve"> </w:t>
      </w:r>
      <w:r w:rsidRPr="00E14121">
        <w:rPr>
          <w:rFonts w:ascii="Narkisim" w:hAnsi="Narkisim" w:cs="Narkisim"/>
          <w:sz w:val="20"/>
          <w:szCs w:val="20"/>
          <w:rtl/>
        </w:rPr>
        <w:t>ואף דאשת כהן זונה אינה אוכלת בתרומה [ואף בזכות בעלה], וע”ע לעיל נז. דהאחרונים תי' בכמה אופנים.</w:t>
      </w:r>
    </w:p>
    <w:p w14:paraId="12031A08" w14:textId="77777777" w:rsidR="00F64AED" w:rsidRPr="00E14121" w:rsidRDefault="00F64AED" w:rsidP="00F64AED">
      <w:pPr>
        <w:bidi/>
        <w:rPr>
          <w:rFonts w:ascii="Narkisim" w:hAnsi="Narkisim" w:cs="Narkisim"/>
        </w:rPr>
      </w:pPr>
      <w:r w:rsidRPr="00E14121">
        <w:rPr>
          <w:rFonts w:ascii="Narkisim" w:hAnsi="Narkisim" w:cs="Narkisim"/>
          <w:i/>
          <w:iCs/>
          <w:sz w:val="21"/>
          <w:szCs w:val="21"/>
          <w:rtl/>
        </w:rPr>
        <w:t>מצוה</w:t>
      </w:r>
      <w:r w:rsidRPr="00E14121">
        <w:rPr>
          <w:rFonts w:ascii="Narkisim" w:hAnsi="Narkisim" w:cs="Narkisim"/>
          <w:rtl/>
        </w:rPr>
        <w:t xml:space="preserve"> - ב</w:t>
      </w:r>
      <w:r w:rsidRPr="00E14121">
        <w:rPr>
          <w:rFonts w:ascii="Narkisim" w:hAnsi="Narkisim" w:cs="Narkisim"/>
          <w:b/>
          <w:bCs/>
          <w:rtl/>
        </w:rPr>
        <w:t>משנה ראשונה</w:t>
      </w:r>
      <w:r w:rsidRPr="00E14121">
        <w:rPr>
          <w:rFonts w:ascii="Narkisim" w:hAnsi="Narkisim" w:cs="Narkisim"/>
          <w:rtl/>
        </w:rPr>
        <w:t xml:space="preserve"> (תרומות ח א) כת' דנראה דיש מצוה לאשת כהן ועבד כהן באכילת תרומה</w:t>
      </w:r>
      <w:r w:rsidRPr="00E14121">
        <w:rPr>
          <w:rStyle w:val="ac"/>
          <w:rFonts w:ascii="Narkisim" w:hAnsi="Narkisim" w:cs="Narkisim"/>
          <w:rtl/>
        </w:rPr>
        <w:footnoteReference w:id="3928"/>
      </w:r>
      <w:r w:rsidRPr="00E14121">
        <w:rPr>
          <w:rFonts w:ascii="Narkisim" w:hAnsi="Narkisim" w:cs="Narkisim"/>
          <w:rtl/>
        </w:rPr>
        <w:t>, והביא כן מהא דאיתא (שם, והו' בפסחים עב:) דנחשב טעה בדבר מצוה</w:t>
      </w:r>
      <w:r w:rsidRPr="00E14121">
        <w:rPr>
          <w:rStyle w:val="ac"/>
          <w:rFonts w:ascii="Narkisim" w:hAnsi="Narkisim" w:cs="Narkisim"/>
          <w:rtl/>
        </w:rPr>
        <w:footnoteReference w:id="3929"/>
      </w:r>
      <w:r w:rsidRPr="00E14121">
        <w:rPr>
          <w:rFonts w:ascii="Narkisim" w:hAnsi="Narkisim" w:cs="Narkisim"/>
          <w:rtl/>
        </w:rPr>
        <w:t>. וכתב דלפ"ז צריכין לברך כשאוכל תרומה</w:t>
      </w:r>
      <w:r w:rsidRPr="00E14121">
        <w:rPr>
          <w:rStyle w:val="ac"/>
          <w:rFonts w:ascii="Narkisim" w:hAnsi="Narkisim" w:cs="Narkisim"/>
          <w:rtl/>
        </w:rPr>
        <w:footnoteReference w:id="3930"/>
      </w:r>
      <w:r w:rsidRPr="00E14121">
        <w:rPr>
          <w:rFonts w:ascii="Narkisim" w:hAnsi="Narkisim" w:cs="Narkisim"/>
          <w:rtl/>
        </w:rPr>
        <w:t>, ודייק כן מלשון ה</w:t>
      </w:r>
      <w:r w:rsidRPr="00E14121">
        <w:rPr>
          <w:rFonts w:ascii="Narkisim" w:hAnsi="Narkisim" w:cs="Narkisim"/>
          <w:b/>
          <w:bCs/>
          <w:rtl/>
        </w:rPr>
        <w:t>רמב"ם</w:t>
      </w:r>
      <w:r w:rsidRPr="00E14121">
        <w:rPr>
          <w:rFonts w:ascii="Narkisim" w:hAnsi="Narkisim" w:cs="Narkisim"/>
          <w:rtl/>
        </w:rPr>
        <w:t xml:space="preserve"> (סו"ה תרומות) 'כל' האוכל תרומה מברך, משמע אפי' עבד</w:t>
      </w:r>
      <w:r w:rsidRPr="00E14121">
        <w:rPr>
          <w:rStyle w:val="ac"/>
          <w:rFonts w:ascii="Narkisim" w:hAnsi="Narkisim" w:cs="Narkisim"/>
          <w:rtl/>
        </w:rPr>
        <w:footnoteReference w:id="3931"/>
      </w:r>
      <w:r w:rsidRPr="00E14121">
        <w:rPr>
          <w:rFonts w:ascii="Narkisim" w:hAnsi="Narkisim" w:cs="Narkisim"/>
          <w:rtl/>
        </w:rPr>
        <w:t>. אבל ה</w:t>
      </w:r>
      <w:r w:rsidRPr="00E14121">
        <w:rPr>
          <w:rFonts w:ascii="Narkisim" w:hAnsi="Narkisim" w:cs="Narkisim"/>
          <w:b/>
          <w:bCs/>
          <w:rtl/>
        </w:rPr>
        <w:t>דרך אמונה</w:t>
      </w:r>
      <w:r w:rsidRPr="00E14121">
        <w:rPr>
          <w:rFonts w:ascii="Narkisim" w:hAnsi="Narkisim" w:cs="Narkisim"/>
          <w:rtl/>
        </w:rPr>
        <w:t xml:space="preserve"> (ז יח בביאו”ה) כתב דאין מצוה על העבד לאכול תרומה, אלא נחשב שימוש האדון וכהדלקת נר.</w:t>
      </w:r>
    </w:p>
    <w:p w14:paraId="1C0A6B7E" w14:textId="77777777" w:rsidR="00F64AED" w:rsidRPr="00E14121" w:rsidRDefault="00F64AED" w:rsidP="00F64AED">
      <w:pPr>
        <w:pStyle w:val="aa"/>
        <w:bidi/>
        <w:rPr>
          <w:rFonts w:ascii="Narkisim" w:hAnsi="Narkisim"/>
        </w:rPr>
      </w:pPr>
      <w:r w:rsidRPr="00E14121">
        <w:rPr>
          <w:rFonts w:ascii="Narkisim" w:hAnsi="Narkisim"/>
          <w:rtl/>
        </w:rPr>
        <w:t>ובגמ' (לקמן ע.) אי' דעבד עברי של כהן אינו אוכל בתרומה, דלא קני ליה רביה. וב</w:t>
      </w:r>
      <w:r w:rsidRPr="00E14121">
        <w:rPr>
          <w:rFonts w:ascii="Narkisim" w:hAnsi="Narkisim"/>
          <w:b/>
          <w:bCs/>
          <w:rtl/>
        </w:rPr>
        <w:t>תו"כ</w:t>
      </w:r>
      <w:r w:rsidRPr="00E14121">
        <w:rPr>
          <w:rFonts w:ascii="Narkisim" w:hAnsi="Narkisim"/>
          <w:rtl/>
        </w:rPr>
        <w:t xml:space="preserve"> (אמור, הו' בכס"מ י ה) ילפי' לה מקרא.</w:t>
      </w:r>
    </w:p>
    <w:p w14:paraId="56CA784B" w14:textId="77777777" w:rsidR="00F64AED" w:rsidRPr="00E14121" w:rsidRDefault="00F64AED" w:rsidP="00F64AED">
      <w:pPr>
        <w:bidi/>
        <w:rPr>
          <w:rFonts w:ascii="Narkisim" w:hAnsi="Narkisim" w:cs="Narkisim"/>
        </w:rPr>
      </w:pPr>
      <w:r w:rsidRPr="00E14121">
        <w:rPr>
          <w:rFonts w:ascii="Narkisim" w:hAnsi="Narkisim" w:cs="Narkisim"/>
          <w:i/>
          <w:iCs/>
          <w:sz w:val="21"/>
          <w:szCs w:val="21"/>
          <w:rtl/>
        </w:rPr>
        <w:t xml:space="preserve">אשת כהן </w:t>
      </w:r>
      <w:r w:rsidRPr="00E14121">
        <w:rPr>
          <w:rFonts w:ascii="Narkisim" w:hAnsi="Narkisim" w:cs="Narkisim"/>
          <w:rtl/>
        </w:rPr>
        <w:t>- ילפי' בסוגיין דאף אשת כהן ילפי' מקרא דקנין כספו. ובפשוטו משמע דהכהן מאכיל את אשתו דהוה 'קנין הכהן'. אבל ה</w:t>
      </w:r>
      <w:r w:rsidRPr="00E14121">
        <w:rPr>
          <w:rFonts w:ascii="Narkisim" w:hAnsi="Narkisim" w:cs="Narkisim"/>
          <w:b/>
          <w:bCs/>
          <w:rtl/>
        </w:rPr>
        <w:t>אחרונים</w:t>
      </w:r>
      <w:r w:rsidRPr="00E14121">
        <w:rPr>
          <w:rFonts w:ascii="Narkisim" w:hAnsi="Narkisim" w:cs="Narkisim"/>
          <w:sz w:val="20"/>
          <w:szCs w:val="20"/>
          <w:rtl/>
        </w:rPr>
        <w:t xml:space="preserve"> (זכר יצחק לא, ישועות מלכו, קובה"ע מז ד, אמר"מ יג ג, משנת ר' אהרן כו)</w:t>
      </w:r>
      <w:r w:rsidRPr="00E14121">
        <w:rPr>
          <w:rFonts w:ascii="Narkisim" w:hAnsi="Narkisim" w:cs="Narkisim"/>
          <w:rtl/>
        </w:rPr>
        <w:t xml:space="preserve"> כת' דאשת כהן יש לה דין אכילה מצד עצמה, דמתקדשת להחשב </w:t>
      </w:r>
      <w:r w:rsidRPr="00E14121">
        <w:rPr>
          <w:rFonts w:ascii="Narkisim" w:hAnsi="Narkisim" w:cs="Narkisim"/>
          <w:rtl/>
        </w:rPr>
        <w:lastRenderedPageBreak/>
        <w:t>כוהנת, וכן לשון ה</w:t>
      </w:r>
      <w:r w:rsidRPr="00E14121">
        <w:rPr>
          <w:rFonts w:ascii="Narkisim" w:hAnsi="Narkisim" w:cs="Narkisim"/>
          <w:b/>
          <w:bCs/>
          <w:rtl/>
        </w:rPr>
        <w:t>קרית ספר</w:t>
      </w:r>
      <w:r w:rsidRPr="00E14121">
        <w:rPr>
          <w:rFonts w:ascii="Narkisim" w:hAnsi="Narkisim" w:cs="Narkisim"/>
          <w:rtl/>
        </w:rPr>
        <w:t xml:space="preserve"> (תרומות י).</w:t>
      </w:r>
      <w:r w:rsidRPr="00E14121">
        <w:rPr>
          <w:rFonts w:ascii="Narkisim" w:hAnsi="Narkisim" w:cs="Narkisim"/>
          <w:sz w:val="20"/>
          <w:szCs w:val="20"/>
          <w:rtl/>
        </w:rPr>
        <w:t xml:space="preserve"> וכ"כ ה</w:t>
      </w:r>
      <w:r w:rsidRPr="00E14121">
        <w:rPr>
          <w:rFonts w:ascii="Narkisim" w:hAnsi="Narkisim" w:cs="Narkisim"/>
          <w:b/>
          <w:bCs/>
          <w:sz w:val="20"/>
          <w:szCs w:val="20"/>
          <w:rtl/>
        </w:rPr>
        <w:t>ר"ש</w:t>
      </w:r>
      <w:r w:rsidRPr="00E14121">
        <w:rPr>
          <w:rFonts w:ascii="Narkisim" w:hAnsi="Narkisim" w:cs="Narkisim"/>
          <w:sz w:val="20"/>
          <w:szCs w:val="20"/>
          <w:rtl/>
        </w:rPr>
        <w:t xml:space="preserve"> (תרומות ו ב) דנעשית כהנת בנישואיה</w:t>
      </w:r>
      <w:r w:rsidRPr="00E14121">
        <w:rPr>
          <w:rStyle w:val="ac"/>
          <w:rFonts w:ascii="Narkisim" w:hAnsi="Narkisim" w:cs="Narkisim"/>
          <w:sz w:val="20"/>
          <w:szCs w:val="20"/>
          <w:rtl/>
        </w:rPr>
        <w:footnoteReference w:id="3932"/>
      </w:r>
      <w:r w:rsidRPr="00E14121">
        <w:rPr>
          <w:rFonts w:ascii="Narkisim" w:hAnsi="Narkisim" w:cs="Narkisim"/>
          <w:sz w:val="20"/>
          <w:szCs w:val="20"/>
          <w:rtl/>
        </w:rPr>
        <w:t>. וה</w:t>
      </w:r>
      <w:r w:rsidRPr="00E14121">
        <w:rPr>
          <w:rFonts w:ascii="Narkisim" w:hAnsi="Narkisim" w:cs="Narkisim"/>
          <w:b/>
          <w:bCs/>
          <w:sz w:val="20"/>
          <w:szCs w:val="20"/>
          <w:rtl/>
        </w:rPr>
        <w:t>דרך אמונה</w:t>
      </w:r>
      <w:r w:rsidRPr="00E14121">
        <w:rPr>
          <w:rFonts w:ascii="Narkisim" w:hAnsi="Narkisim" w:cs="Narkisim"/>
          <w:sz w:val="20"/>
          <w:szCs w:val="20"/>
          <w:rtl/>
        </w:rPr>
        <w:t xml:space="preserve"> דחה דכוונתם דנעשית ככהנת לענין דין זה</w:t>
      </w:r>
      <w:r w:rsidRPr="00E14121">
        <w:rPr>
          <w:rStyle w:val="ac"/>
          <w:rFonts w:ascii="Narkisim" w:hAnsi="Narkisim" w:cs="Narkisim"/>
          <w:sz w:val="20"/>
          <w:szCs w:val="20"/>
          <w:rtl/>
        </w:rPr>
        <w:footnoteReference w:id="3933"/>
      </w:r>
      <w:r w:rsidRPr="00E14121">
        <w:rPr>
          <w:rFonts w:ascii="Narkisim" w:hAnsi="Narkisim" w:cs="Narkisim"/>
          <w:sz w:val="20"/>
          <w:szCs w:val="20"/>
          <w:rtl/>
        </w:rPr>
        <w:t>.</w:t>
      </w:r>
    </w:p>
    <w:p w14:paraId="3075C5F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הביא כן מהגמ' (לעיל נז.) דאמרי' שכבר אכלה, ואילו בבהמה פשיטא דאין לה היתר אכילה מצד עצמה אלא להבעלים, וצריך שיהא עכשיו כח לבעלים להאכילה. וה</w:t>
      </w:r>
      <w:r w:rsidRPr="00E14121">
        <w:rPr>
          <w:rFonts w:ascii="Narkisim" w:hAnsi="Narkisim"/>
          <w:b/>
          <w:bCs/>
          <w:rtl/>
        </w:rPr>
        <w:t>משנת ר"א</w:t>
      </w:r>
      <w:r w:rsidRPr="00E14121">
        <w:rPr>
          <w:rFonts w:ascii="Narkisim" w:hAnsi="Narkisim"/>
          <w:rtl/>
        </w:rPr>
        <w:t xml:space="preserve"> (כו ו) הוסיף דבאשת כהן שמת בעלה הוה חידוש ד'חוזרת' (ע' לקמן סז:).</w:t>
      </w:r>
    </w:p>
    <w:p w14:paraId="31376939" w14:textId="77777777" w:rsidR="00F64AED" w:rsidRPr="00E14121" w:rsidRDefault="00F64AED" w:rsidP="00F64AED">
      <w:pPr>
        <w:bidi/>
        <w:rPr>
          <w:rFonts w:ascii="Narkisim" w:hAnsi="Narkisim" w:cs="Narkisim"/>
        </w:rPr>
      </w:pPr>
      <w:r w:rsidRPr="00E14121">
        <w:rPr>
          <w:rFonts w:ascii="Narkisim" w:hAnsi="Narkisim" w:cs="Narkisim"/>
          <w:rtl/>
        </w:rPr>
        <w:t>ובברייתא (בסוגיין) כאן דרשו דאשת כהן אוכלת מקרא דקנין כספו. אבל ב</w:t>
      </w:r>
      <w:r w:rsidRPr="00E14121">
        <w:rPr>
          <w:rFonts w:ascii="Narkisim" w:hAnsi="Narkisim" w:cs="Narkisim"/>
          <w:b/>
          <w:bCs/>
          <w:rtl/>
        </w:rPr>
        <w:t>ספרי</w:t>
      </w:r>
      <w:r w:rsidRPr="00E14121">
        <w:rPr>
          <w:rFonts w:ascii="Narkisim" w:hAnsi="Narkisim" w:cs="Narkisim"/>
          <w:rtl/>
        </w:rPr>
        <w:t xml:space="preserve"> (קורח פיסקא ב) דרשי' מקרא דכל טהור בביתך</w:t>
      </w:r>
      <w:r w:rsidRPr="00E14121">
        <w:rPr>
          <w:rStyle w:val="ac"/>
          <w:rFonts w:ascii="Narkisim" w:hAnsi="Narkisim" w:cs="Narkisim"/>
          <w:rtl/>
        </w:rPr>
        <w:footnoteReference w:id="3934"/>
      </w:r>
      <w:r w:rsidRPr="00E14121">
        <w:rPr>
          <w:rFonts w:ascii="Narkisim" w:hAnsi="Narkisim" w:cs="Narkisim"/>
          <w:rtl/>
        </w:rPr>
        <w:t>. [ולכאורה להך דרשא ודאי מתקדשת להחשב כהנת, ואוכלת בתרומה מצד עצמה].</w:t>
      </w:r>
    </w:p>
    <w:p w14:paraId="35CC6BCD"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(סח.) כת' דדרשת הספרי הוה אסמכתא. אבל דעת </w:t>
      </w:r>
      <w:r w:rsidRPr="00E14121">
        <w:rPr>
          <w:rFonts w:ascii="Narkisim" w:hAnsi="Narkisim"/>
          <w:b/>
          <w:bCs/>
          <w:rtl/>
        </w:rPr>
        <w:t xml:space="preserve">ר"ת </w:t>
      </w:r>
      <w:r w:rsidRPr="00E14121">
        <w:rPr>
          <w:rFonts w:ascii="Narkisim" w:hAnsi="Narkisim"/>
          <w:rtl/>
        </w:rPr>
        <w:t>(סה"י ז הו' ב</w:t>
      </w:r>
      <w:r w:rsidRPr="00E14121">
        <w:rPr>
          <w:rFonts w:ascii="Narkisim" w:hAnsi="Narkisim"/>
          <w:b/>
          <w:bCs/>
          <w:rtl/>
        </w:rPr>
        <w:t xml:space="preserve">תוס' הרא"ש </w:t>
      </w:r>
      <w:r w:rsidRPr="00E14121">
        <w:rPr>
          <w:rFonts w:ascii="Narkisim" w:hAnsi="Narkisim"/>
          <w:rtl/>
        </w:rPr>
        <w:t>קידושין י:) דקנין כספו הוה אסמכתא</w:t>
      </w:r>
      <w:r w:rsidRPr="00E14121">
        <w:rPr>
          <w:rStyle w:val="ac"/>
          <w:rFonts w:ascii="Narkisim" w:hAnsi="Narkisim"/>
          <w:rtl/>
        </w:rPr>
        <w:footnoteReference w:id="3935"/>
      </w:r>
      <w:r w:rsidRPr="00E14121">
        <w:rPr>
          <w:rFonts w:ascii="Narkisim" w:hAnsi="Narkisim"/>
          <w:rtl/>
        </w:rPr>
        <w:t>. וכ"כ ה</w:t>
      </w:r>
      <w:r w:rsidRPr="00E14121">
        <w:rPr>
          <w:rFonts w:ascii="Narkisim" w:hAnsi="Narkisim"/>
          <w:b/>
          <w:bCs/>
          <w:rtl/>
        </w:rPr>
        <w:t>ריטב"א</w:t>
      </w:r>
      <w:r w:rsidRPr="00E14121">
        <w:rPr>
          <w:rFonts w:ascii="Narkisim" w:hAnsi="Narkisim"/>
          <w:rtl/>
        </w:rPr>
        <w:t xml:space="preserve"> (כתובות נח.) דקנין כספו אינו לענין אשת כהן כלל, אלא לענין עבד כהן. דאשת כהן ילפי' מקרא דכל טהור.</w:t>
      </w:r>
    </w:p>
    <w:p w14:paraId="7E5064DF"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זכר יצחק</w:t>
      </w:r>
      <w:r w:rsidRPr="00E14121">
        <w:rPr>
          <w:rFonts w:ascii="Narkisim" w:hAnsi="Narkisim"/>
          <w:rtl/>
        </w:rPr>
        <w:t xml:space="preserve"> (לא) חידש דדרשי' ב' גדרים, ומשום קרא דקנין כספו תליא בגדר הקנין</w:t>
      </w:r>
      <w:r w:rsidRPr="00E14121">
        <w:rPr>
          <w:rStyle w:val="ac"/>
          <w:rFonts w:ascii="Narkisim" w:hAnsi="Narkisim"/>
          <w:rtl/>
        </w:rPr>
        <w:footnoteReference w:id="3936"/>
      </w:r>
      <w:r w:rsidRPr="00E14121">
        <w:rPr>
          <w:rFonts w:ascii="Narkisim" w:hAnsi="Narkisim"/>
          <w:rtl/>
        </w:rPr>
        <w:t xml:space="preserve">, אלא שאוכלת ג”כ מדין כל טהור. ועד"ז דנו כמה </w:t>
      </w:r>
      <w:r w:rsidRPr="00E14121">
        <w:rPr>
          <w:rFonts w:ascii="Narkisim" w:hAnsi="Narkisim"/>
          <w:b/>
          <w:bCs/>
          <w:rtl/>
        </w:rPr>
        <w:t>אחרונים</w:t>
      </w:r>
      <w:r w:rsidRPr="00E14121">
        <w:rPr>
          <w:rFonts w:ascii="Narkisim" w:hAnsi="Narkisim"/>
          <w:rtl/>
        </w:rPr>
        <w:t xml:space="preserve"> יש ב' גדרים לאכילתה</w:t>
      </w:r>
      <w:r w:rsidRPr="00E14121">
        <w:rPr>
          <w:rStyle w:val="ac"/>
          <w:rFonts w:ascii="Narkisim" w:hAnsi="Narkisim"/>
          <w:rtl/>
        </w:rPr>
        <w:footnoteReference w:id="3937"/>
      </w:r>
      <w:r w:rsidRPr="00E14121">
        <w:rPr>
          <w:rFonts w:ascii="Narkisim" w:hAnsi="Narkisim"/>
          <w:rtl/>
        </w:rPr>
        <w:t>.</w:t>
      </w:r>
    </w:p>
    <w:p w14:paraId="6D3AB133" w14:textId="77777777" w:rsidR="00F64AED" w:rsidRPr="00E14121" w:rsidRDefault="00F64AED" w:rsidP="00F64AED">
      <w:pPr>
        <w:bidi/>
        <w:rPr>
          <w:rFonts w:ascii="Narkisim" w:hAnsi="Narkisim" w:cs="Narkisim"/>
        </w:rPr>
      </w:pPr>
      <w:r w:rsidRPr="00E14121">
        <w:rPr>
          <w:rFonts w:ascii="Narkisim" w:hAnsi="Narkisim" w:cs="Narkisim"/>
          <w:i/>
          <w:iCs/>
          <w:szCs w:val="20"/>
          <w:rtl/>
        </w:rPr>
        <w:t>ארוסה</w:t>
      </w:r>
      <w:r w:rsidRPr="00E14121">
        <w:rPr>
          <w:rFonts w:ascii="Narkisim" w:hAnsi="Narkisim" w:cs="Narkisim"/>
          <w:rtl/>
        </w:rPr>
        <w:t xml:space="preserve"> – מבואר בגמ' בכ"מ דמדאורייתא ארוסה אוכלת בתרומה, אלא דגזרו משום סמפון או שמא תאכיל את אחיה (וכדאי' כתובות נז: וקידושין יא.). אך בברייתא (קידושין י:) בן בג בג נקט דארוסה אינה אוכלת בתרומה</w:t>
      </w:r>
      <w:r w:rsidRPr="00E14121">
        <w:rPr>
          <w:rStyle w:val="ac"/>
          <w:rFonts w:ascii="Narkisim" w:hAnsi="Narkisim" w:cs="Narkisim"/>
          <w:rtl/>
        </w:rPr>
        <w:footnoteReference w:id="3938"/>
      </w:r>
      <w:r w:rsidRPr="00E14121">
        <w:rPr>
          <w:rFonts w:ascii="Narkisim" w:hAnsi="Narkisim" w:cs="Narkisim"/>
          <w:rtl/>
        </w:rPr>
        <w:t xml:space="preserve">. </w:t>
      </w:r>
      <w:r w:rsidRPr="00E14121">
        <w:rPr>
          <w:rFonts w:ascii="Narkisim" w:hAnsi="Narkisim" w:cs="Narkisim"/>
          <w:szCs w:val="20"/>
          <w:rtl/>
        </w:rPr>
        <w:t>[ולס"ד דהגמ' (שם) אף מדאורייתא אינו אוכלת, אבל רבינא דחה דהנידון משום הגזירות דרבנן. ומדאורייתא אוכלת]</w:t>
      </w:r>
      <w:r w:rsidRPr="00E14121">
        <w:rPr>
          <w:rFonts w:ascii="Narkisim" w:hAnsi="Narkisim" w:cs="Narkisim"/>
          <w:rtl/>
        </w:rPr>
        <w:t>.</w:t>
      </w:r>
    </w:p>
    <w:p w14:paraId="7FACEAD5"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(קידושין י:) פי' דנשואה פשיטא דאוכלת [אף לבן בג בג], דדרשי' בספרי כל טהור בביתך. ור"י בן בתירא השיב דאף ארוסה אוכלת, דכספה מאכילתה בתרומה, דכתיב קנין כספו הוא יאכל בו</w:t>
      </w:r>
      <w:r w:rsidRPr="00E14121">
        <w:rPr>
          <w:rStyle w:val="ac"/>
          <w:rFonts w:ascii="Narkisim" w:hAnsi="Narkisim"/>
          <w:rtl/>
        </w:rPr>
        <w:footnoteReference w:id="3939"/>
      </w:r>
      <w:r w:rsidRPr="00E14121">
        <w:rPr>
          <w:rFonts w:ascii="Narkisim" w:hAnsi="Narkisim"/>
          <w:rtl/>
        </w:rPr>
        <w:t>.</w:t>
      </w:r>
    </w:p>
    <w:p w14:paraId="27B9F09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משנת ר"א</w:t>
      </w:r>
      <w:r w:rsidRPr="00E14121">
        <w:rPr>
          <w:rFonts w:ascii="Narkisim" w:hAnsi="Narkisim"/>
          <w:rtl/>
        </w:rPr>
        <w:t xml:space="preserve"> (כו ו) דייק מדברי רש"י דבארוסה אוכלת רק מחמת דין קנין כספו, וכל טהור בביתך קאי בנשואה. </w:t>
      </w:r>
      <w:r w:rsidRPr="00E14121">
        <w:rPr>
          <w:rFonts w:ascii="Narkisim" w:hAnsi="Narkisim"/>
          <w:sz w:val="20"/>
          <w:szCs w:val="20"/>
          <w:rtl/>
        </w:rPr>
        <w:t>[אבל ה</w:t>
      </w:r>
      <w:r w:rsidRPr="00E14121">
        <w:rPr>
          <w:rFonts w:ascii="Narkisim" w:hAnsi="Narkisim"/>
          <w:b/>
          <w:bCs/>
          <w:sz w:val="20"/>
          <w:szCs w:val="20"/>
          <w:rtl/>
        </w:rPr>
        <w:t>אחרונים</w:t>
      </w:r>
      <w:r w:rsidRPr="00E14121">
        <w:rPr>
          <w:rFonts w:ascii="Narkisim" w:hAnsi="Narkisim"/>
          <w:sz w:val="20"/>
          <w:szCs w:val="20"/>
          <w:rtl/>
        </w:rPr>
        <w:t xml:space="preserve"> העירו דב</w:t>
      </w:r>
      <w:r w:rsidRPr="00E14121">
        <w:rPr>
          <w:rFonts w:ascii="Narkisim" w:hAnsi="Narkisim"/>
          <w:b/>
          <w:bCs/>
          <w:sz w:val="20"/>
          <w:szCs w:val="20"/>
          <w:rtl/>
        </w:rPr>
        <w:t>ספרי</w:t>
      </w:r>
      <w:r w:rsidRPr="00E14121">
        <w:rPr>
          <w:rFonts w:ascii="Narkisim" w:hAnsi="Narkisim"/>
          <w:sz w:val="20"/>
          <w:szCs w:val="20"/>
          <w:rtl/>
        </w:rPr>
        <w:t xml:space="preserve"> מפורש דכל טהור בביתך קאי אף בארוסה</w:t>
      </w:r>
      <w:r w:rsidRPr="00E14121">
        <w:rPr>
          <w:rStyle w:val="ac"/>
          <w:rFonts w:ascii="Narkisim" w:hAnsi="Narkisim"/>
          <w:sz w:val="20"/>
          <w:szCs w:val="20"/>
          <w:rtl/>
        </w:rPr>
        <w:footnoteReference w:id="3940"/>
      </w:r>
      <w:r w:rsidRPr="00E14121">
        <w:rPr>
          <w:rFonts w:ascii="Narkisim" w:hAnsi="Narkisim"/>
          <w:sz w:val="20"/>
          <w:szCs w:val="20"/>
          <w:rtl/>
        </w:rPr>
        <w:t>].</w:t>
      </w:r>
    </w:p>
    <w:p w14:paraId="234F39B4" w14:textId="77777777" w:rsidR="00F64AED" w:rsidRPr="00E14121" w:rsidRDefault="00F64AED" w:rsidP="00F64AED">
      <w:pPr>
        <w:bidi/>
        <w:rPr>
          <w:rFonts w:ascii="Narkisim" w:hAnsi="Narkisim" w:cs="Narkisim"/>
        </w:rPr>
      </w:pPr>
      <w:r w:rsidRPr="00E14121">
        <w:rPr>
          <w:rFonts w:ascii="Narkisim" w:hAnsi="Narkisim" w:cs="Narkisim"/>
          <w:i/>
          <w:iCs/>
          <w:szCs w:val="20"/>
          <w:rtl/>
        </w:rPr>
        <w:t>קנין כספו באשה</w:t>
      </w:r>
      <w:r w:rsidRPr="00E14121">
        <w:rPr>
          <w:rFonts w:ascii="Narkisim" w:hAnsi="Narkisim" w:cs="Narkisim"/>
          <w:rtl/>
        </w:rPr>
        <w:t xml:space="preserve"> – בפשוטו הא דאשה הוה בכלל 'קנין כספו' הוה משום דגדר קנין האישות שקנאה</w:t>
      </w:r>
      <w:r w:rsidRPr="00E14121">
        <w:rPr>
          <w:rStyle w:val="ac"/>
          <w:rFonts w:ascii="Narkisim" w:hAnsi="Narkisim" w:cs="Narkisim"/>
          <w:rtl/>
        </w:rPr>
        <w:footnoteReference w:id="3941"/>
      </w:r>
      <w:r w:rsidRPr="00E14121">
        <w:rPr>
          <w:rFonts w:ascii="Narkisim" w:hAnsi="Narkisim" w:cs="Narkisim"/>
          <w:rtl/>
        </w:rPr>
        <w:t>. וה</w:t>
      </w:r>
      <w:r w:rsidRPr="00E14121">
        <w:rPr>
          <w:rFonts w:ascii="Narkisim" w:hAnsi="Narkisim" w:cs="Narkisim"/>
          <w:b/>
          <w:bCs/>
          <w:rtl/>
        </w:rPr>
        <w:t>תוס' הרא"ש</w:t>
      </w:r>
      <w:r w:rsidRPr="00E14121">
        <w:rPr>
          <w:rFonts w:ascii="Narkisim" w:hAnsi="Narkisim" w:cs="Narkisim"/>
          <w:rtl/>
        </w:rPr>
        <w:t xml:space="preserve"> (קידושין ה.) פי' דמושל עליה ומשועבדת לו מקרי קנין כספו אפי' קנה בשטר ובביאה. וה</w:t>
      </w:r>
      <w:r w:rsidRPr="00E14121">
        <w:rPr>
          <w:rFonts w:ascii="Narkisim" w:hAnsi="Narkisim" w:cs="Narkisim"/>
          <w:b/>
          <w:bCs/>
          <w:rtl/>
        </w:rPr>
        <w:t>רשב”א</w:t>
      </w:r>
      <w:r w:rsidRPr="00E14121">
        <w:rPr>
          <w:rFonts w:ascii="Narkisim" w:hAnsi="Narkisim" w:cs="Narkisim"/>
          <w:rtl/>
        </w:rPr>
        <w:t xml:space="preserve"> (לקמן ע:) כת' דאשתו קרינן ליה קנין גמור דאין לה יציאה מתחת לאדון אלא מדעתו </w:t>
      </w:r>
      <w:r w:rsidRPr="00E14121">
        <w:rPr>
          <w:rFonts w:ascii="Narkisim" w:hAnsi="Narkisim" w:cs="Narkisim"/>
          <w:sz w:val="20"/>
          <w:szCs w:val="20"/>
          <w:rtl/>
        </w:rPr>
        <w:t>[וכתב דהוה אותו דין ואותו טעם כמו עבד כנעני</w:t>
      </w:r>
      <w:r w:rsidRPr="00E14121">
        <w:rPr>
          <w:rStyle w:val="ac"/>
          <w:rFonts w:ascii="Narkisim" w:hAnsi="Narkisim" w:cs="Narkisim"/>
          <w:sz w:val="20"/>
          <w:szCs w:val="20"/>
          <w:rtl/>
        </w:rPr>
        <w:footnoteReference w:id="3942"/>
      </w:r>
      <w:r w:rsidRPr="00E14121">
        <w:rPr>
          <w:rFonts w:ascii="Narkisim" w:hAnsi="Narkisim" w:cs="Narkisim"/>
          <w:sz w:val="20"/>
          <w:szCs w:val="20"/>
          <w:rtl/>
        </w:rPr>
        <w:t>]</w:t>
      </w:r>
      <w:r w:rsidRPr="00E14121">
        <w:rPr>
          <w:rFonts w:ascii="Narkisim" w:hAnsi="Narkisim" w:cs="Narkisim"/>
          <w:rtl/>
        </w:rPr>
        <w:t>.</w:t>
      </w:r>
    </w:p>
    <w:p w14:paraId="3165835C" w14:textId="77777777" w:rsidR="00F64AED" w:rsidRPr="00E14121" w:rsidRDefault="00F64AED" w:rsidP="00F64AED">
      <w:pPr>
        <w:bidi/>
        <w:rPr>
          <w:rFonts w:ascii="Narkisim" w:hAnsi="Narkisim" w:cs="Narkisim"/>
        </w:rPr>
      </w:pPr>
      <w:r w:rsidRPr="00E14121">
        <w:rPr>
          <w:rFonts w:ascii="Narkisim" w:hAnsi="Narkisim" w:cs="Narkisim"/>
          <w:rtl/>
        </w:rPr>
        <w:t xml:space="preserve">אבל </w:t>
      </w:r>
      <w:r w:rsidRPr="00E14121">
        <w:rPr>
          <w:rFonts w:ascii="Narkisim" w:hAnsi="Narkisim" w:cs="Narkisim"/>
          <w:b/>
          <w:bCs/>
          <w:rtl/>
        </w:rPr>
        <w:t>רש"י מה"ק</w:t>
      </w:r>
      <w:r w:rsidRPr="00E14121">
        <w:rPr>
          <w:rFonts w:ascii="Narkisim" w:hAnsi="Narkisim" w:cs="Narkisim"/>
          <w:rtl/>
        </w:rPr>
        <w:t xml:space="preserve"> (ב</w:t>
      </w:r>
      <w:r w:rsidRPr="00E14121">
        <w:rPr>
          <w:rFonts w:ascii="Narkisim" w:hAnsi="Narkisim" w:cs="Narkisim"/>
          <w:b/>
          <w:bCs/>
          <w:rtl/>
        </w:rPr>
        <w:t>שיטמ"ק</w:t>
      </w:r>
      <w:r w:rsidRPr="00E14121">
        <w:rPr>
          <w:rFonts w:ascii="Narkisim" w:hAnsi="Narkisim" w:cs="Narkisim"/>
          <w:rtl/>
        </w:rPr>
        <w:t xml:space="preserve"> כתובות נז:) פי' דאשה הוה קנין כספו, שקנאו בכסף קידושין שלו. וכ"מ ב</w:t>
      </w:r>
      <w:r w:rsidRPr="00E14121">
        <w:rPr>
          <w:rFonts w:ascii="Narkisim" w:hAnsi="Narkisim" w:cs="Narkisim"/>
          <w:b/>
          <w:bCs/>
          <w:rtl/>
        </w:rPr>
        <w:t>רש"י</w:t>
      </w:r>
      <w:r w:rsidRPr="00E14121">
        <w:rPr>
          <w:rFonts w:ascii="Narkisim" w:hAnsi="Narkisim" w:cs="Narkisim"/>
          <w:rtl/>
        </w:rPr>
        <w:t xml:space="preserve"> (כתובות נח.) דקידושי ביאה מאכילים בתרומה דאיתקש הויות להדדי. וה</w:t>
      </w:r>
      <w:r w:rsidRPr="00E14121">
        <w:rPr>
          <w:rFonts w:ascii="Narkisim" w:hAnsi="Narkisim" w:cs="Narkisim"/>
          <w:b/>
          <w:bCs/>
          <w:rtl/>
        </w:rPr>
        <w:t>אבנ"מ</w:t>
      </w:r>
      <w:r w:rsidRPr="00E14121">
        <w:rPr>
          <w:rFonts w:ascii="Narkisim" w:hAnsi="Narkisim" w:cs="Narkisim"/>
          <w:rtl/>
        </w:rPr>
        <w:t xml:space="preserve"> (שו"ת יז) דייק דמשמע דתליא במעשה הקנין להחשב 'קנין כספו'</w:t>
      </w:r>
      <w:r w:rsidRPr="00E14121">
        <w:rPr>
          <w:rStyle w:val="ac"/>
          <w:rFonts w:ascii="Narkisim" w:hAnsi="Narkisim" w:cs="Narkisim"/>
          <w:rtl/>
        </w:rPr>
        <w:footnoteReference w:id="3943"/>
      </w:r>
      <w:r w:rsidRPr="00E14121">
        <w:rPr>
          <w:rFonts w:ascii="Narkisim" w:hAnsi="Narkisim" w:cs="Narkisim"/>
          <w:rtl/>
        </w:rPr>
        <w:t xml:space="preserve">, ולא משום </w:t>
      </w:r>
      <w:r w:rsidRPr="00E14121">
        <w:rPr>
          <w:rFonts w:ascii="Narkisim" w:hAnsi="Narkisim" w:cs="Narkisim"/>
          <w:rtl/>
        </w:rPr>
        <w:lastRenderedPageBreak/>
        <w:t>עצם [קנין] האישות</w:t>
      </w:r>
      <w:r w:rsidRPr="00E14121">
        <w:rPr>
          <w:rStyle w:val="ac"/>
          <w:rFonts w:ascii="Narkisim" w:hAnsi="Narkisim" w:cs="Narkisim"/>
          <w:rtl/>
        </w:rPr>
        <w:footnoteReference w:id="3944"/>
      </w:r>
      <w:r w:rsidRPr="00E14121">
        <w:rPr>
          <w:rFonts w:ascii="Narkisim" w:hAnsi="Narkisim" w:cs="Narkisim"/>
          <w:rtl/>
        </w:rPr>
        <w:t xml:space="preserve">. </w:t>
      </w:r>
      <w:r w:rsidRPr="00E14121">
        <w:rPr>
          <w:rFonts w:ascii="Narkisim" w:hAnsi="Narkisim" w:cs="Narkisim"/>
          <w:sz w:val="20"/>
          <w:szCs w:val="20"/>
          <w:rtl/>
        </w:rPr>
        <w:t>וביאר דדבר פשוט דאשה אינה קנויה לבעל קנין ממון אלא קנין איסור</w:t>
      </w:r>
      <w:r w:rsidRPr="00E14121">
        <w:rPr>
          <w:rStyle w:val="ac"/>
          <w:rFonts w:ascii="Narkisim" w:hAnsi="Narkisim" w:cs="Narkisim"/>
          <w:sz w:val="20"/>
          <w:szCs w:val="20"/>
          <w:rtl/>
        </w:rPr>
        <w:footnoteReference w:id="3945"/>
      </w:r>
      <w:r w:rsidRPr="00E14121">
        <w:rPr>
          <w:rFonts w:ascii="Narkisim" w:hAnsi="Narkisim" w:cs="Narkisim"/>
          <w:sz w:val="20"/>
          <w:szCs w:val="20"/>
          <w:rtl/>
        </w:rPr>
        <w:t>.</w:t>
      </w:r>
    </w:p>
    <w:p w14:paraId="1E6D3984" w14:textId="77777777" w:rsidR="00F64AED" w:rsidRPr="00E14121" w:rsidRDefault="00F64AED" w:rsidP="00F64AED">
      <w:pPr>
        <w:pStyle w:val="aa"/>
        <w:bidi/>
        <w:rPr>
          <w:rFonts w:ascii="Narkisim" w:hAnsi="Narkisim"/>
        </w:rPr>
      </w:pPr>
      <w:r w:rsidRPr="00E14121">
        <w:rPr>
          <w:rFonts w:ascii="Narkisim" w:hAnsi="Narkisim"/>
          <w:rtl/>
        </w:rPr>
        <w:t>ומצאנו עוד דבת כהן אוכלת בתרומה, וכן אוכלת מחמת בנה (ויתבאר עוד לקמן סז: וסט.).</w:t>
      </w:r>
    </w:p>
    <w:p w14:paraId="5F442F4E" w14:textId="77777777" w:rsidR="00F64AED" w:rsidRPr="00E14121" w:rsidRDefault="00F64AED" w:rsidP="00F64AED">
      <w:pPr>
        <w:bidi/>
        <w:rPr>
          <w:rFonts w:ascii="Narkisim" w:hAnsi="Narkisim" w:cs="Narkisim"/>
        </w:rPr>
      </w:pPr>
      <w:r w:rsidRPr="00E14121">
        <w:rPr>
          <w:rFonts w:ascii="Narkisim" w:hAnsi="Narkisim" w:cs="Narkisim"/>
          <w:i/>
          <w:iCs/>
          <w:rtl/>
        </w:rPr>
        <w:t>משנה</w:t>
      </w:r>
      <w:r w:rsidRPr="00E14121">
        <w:rPr>
          <w:rFonts w:ascii="Narkisim" w:hAnsi="Narkisim" w:cs="Narkisim"/>
          <w:rtl/>
        </w:rPr>
        <w:t xml:space="preserve">. </w:t>
      </w:r>
      <w:r w:rsidRPr="00E14121">
        <w:rPr>
          <w:rFonts w:ascii="Narkisim" w:hAnsi="Narkisim" w:cs="Narkisim"/>
          <w:u w:val="single"/>
          <w:rtl/>
        </w:rPr>
        <w:t>אע"פ שהוא חייב במזונותן.</w:t>
      </w:r>
      <w:r w:rsidRPr="00E14121">
        <w:rPr>
          <w:rFonts w:ascii="Narkisim" w:hAnsi="Narkisim" w:cs="Narkisim"/>
          <w:rtl/>
        </w:rPr>
        <w:t xml:space="preserve"> מבואר דהבעל חייב במזונות העבדים, וכ"פ ה</w:t>
      </w:r>
      <w:r w:rsidRPr="00E14121">
        <w:rPr>
          <w:rFonts w:ascii="Narkisim" w:hAnsi="Narkisim" w:cs="Narkisim"/>
          <w:b/>
          <w:bCs/>
          <w:rtl/>
        </w:rPr>
        <w:t>רמב"ם</w:t>
      </w:r>
      <w:r w:rsidRPr="00E14121">
        <w:rPr>
          <w:rFonts w:ascii="Narkisim" w:hAnsi="Narkisim" w:cs="Narkisim"/>
          <w:rtl/>
        </w:rPr>
        <w:t xml:space="preserve"> (עבדים ט ז) דאע”פ שיכול לומר לעבדו עשה עמי ואיני זנך, בעבדי מלוג חייב במזונותיהם</w:t>
      </w:r>
      <w:r w:rsidRPr="00E14121">
        <w:rPr>
          <w:rStyle w:val="ac"/>
          <w:rFonts w:ascii="Narkisim" w:hAnsi="Narkisim" w:cs="Narkisim"/>
          <w:rtl/>
        </w:rPr>
        <w:footnoteReference w:id="3946"/>
      </w:r>
      <w:r w:rsidRPr="00E14121">
        <w:rPr>
          <w:rFonts w:ascii="Narkisim" w:hAnsi="Narkisim" w:cs="Narkisim"/>
          <w:rtl/>
        </w:rPr>
        <w:t>, דע"מ כן הכניסה אותם. וה</w:t>
      </w:r>
      <w:r w:rsidRPr="00E14121">
        <w:rPr>
          <w:rFonts w:ascii="Narkisim" w:hAnsi="Narkisim" w:cs="Narkisim"/>
          <w:b/>
          <w:bCs/>
          <w:rtl/>
        </w:rPr>
        <w:t>רמב”ם</w:t>
      </w:r>
      <w:r w:rsidRPr="00E14121">
        <w:rPr>
          <w:rFonts w:ascii="Narkisim" w:hAnsi="Narkisim" w:cs="Narkisim"/>
          <w:rtl/>
        </w:rPr>
        <w:t xml:space="preserve"> (אישות כב כה) כתב דאף בהמת מלוג חייב במוזנותיהם וכל צרכיהם. ו</w:t>
      </w:r>
      <w:r w:rsidRPr="00E14121">
        <w:rPr>
          <w:rFonts w:ascii="Narkisim" w:hAnsi="Narkisim" w:cs="Narkisim"/>
          <w:b/>
          <w:bCs/>
          <w:rtl/>
        </w:rPr>
        <w:t>ה"ה</w:t>
      </w:r>
      <w:r w:rsidRPr="00E14121">
        <w:rPr>
          <w:rFonts w:ascii="Narkisim" w:hAnsi="Narkisim" w:cs="Narkisim"/>
          <w:rtl/>
        </w:rPr>
        <w:t xml:space="preserve"> ציין מקורו מכאן.</w:t>
      </w:r>
    </w:p>
    <w:p w14:paraId="55D79F92"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מצפ"א</w:t>
      </w:r>
      <w:r w:rsidRPr="00E14121">
        <w:rPr>
          <w:rFonts w:ascii="Narkisim" w:hAnsi="Narkisim"/>
          <w:rtl/>
        </w:rPr>
        <w:t xml:space="preserve"> תמה דאלמנה לכה"ג אין לה מזונות מהבעל כיון דאסורה עליו (כדאי' לקמן פו.), וכי עבדים עדיפי מינה. ועוד הק' ה</w:t>
      </w:r>
      <w:r w:rsidRPr="00E14121">
        <w:rPr>
          <w:rFonts w:ascii="Narkisim" w:hAnsi="Narkisim"/>
          <w:b/>
          <w:bCs/>
          <w:rtl/>
        </w:rPr>
        <w:t>אבי</w:t>
      </w:r>
      <w:r w:rsidRPr="00E14121">
        <w:rPr>
          <w:rFonts w:ascii="Narkisim" w:hAnsi="Narkisim"/>
          <w:rtl/>
        </w:rPr>
        <w:t xml:space="preserve"> </w:t>
      </w:r>
      <w:r w:rsidRPr="00E14121">
        <w:rPr>
          <w:rFonts w:ascii="Narkisim" w:hAnsi="Narkisim"/>
          <w:b/>
          <w:bCs/>
          <w:rtl/>
        </w:rPr>
        <w:t>עזרי</w:t>
      </w:r>
      <w:r w:rsidRPr="00E14121">
        <w:rPr>
          <w:rFonts w:ascii="Narkisim" w:hAnsi="Narkisim"/>
          <w:rtl/>
        </w:rPr>
        <w:t xml:space="preserve"> (תרומות ז) דדעת </w:t>
      </w:r>
      <w:r w:rsidRPr="00E14121">
        <w:rPr>
          <w:rFonts w:ascii="Narkisim" w:hAnsi="Narkisim"/>
          <w:b/>
          <w:bCs/>
          <w:rtl/>
        </w:rPr>
        <w:t>רש"י</w:t>
      </w:r>
      <w:r w:rsidRPr="00E14121">
        <w:rPr>
          <w:rFonts w:ascii="Narkisim" w:hAnsi="Narkisim"/>
          <w:rtl/>
        </w:rPr>
        <w:t xml:space="preserve"> (לקמן פה., ותוס' שם פליג) אף אין לבעל פירות נכסי מלוג, א”כ אמאי יתחייב מזונות לעבדים. וכת' דצ"ל דאיירי דנתחייב בפירוש מזונות</w:t>
      </w:r>
      <w:r w:rsidRPr="00E14121">
        <w:rPr>
          <w:rStyle w:val="ac"/>
          <w:rFonts w:ascii="Narkisim" w:hAnsi="Narkisim"/>
          <w:rtl/>
        </w:rPr>
        <w:footnoteReference w:id="3947"/>
      </w:r>
      <w:r w:rsidRPr="00E14121">
        <w:rPr>
          <w:rFonts w:ascii="Narkisim" w:hAnsi="Narkisim"/>
          <w:rtl/>
        </w:rPr>
        <w:t>, וקמ”ל דאפי הכי אינו מאכיל</w:t>
      </w:r>
      <w:r w:rsidRPr="00E14121">
        <w:rPr>
          <w:rStyle w:val="ac"/>
          <w:rFonts w:ascii="Narkisim" w:hAnsi="Narkisim"/>
          <w:rtl/>
        </w:rPr>
        <w:footnoteReference w:id="3948"/>
      </w:r>
      <w:r w:rsidRPr="00E14121">
        <w:rPr>
          <w:rFonts w:ascii="Narkisim" w:hAnsi="Narkisim"/>
          <w:rtl/>
        </w:rPr>
        <w:t>.</w:t>
      </w:r>
    </w:p>
    <w:p w14:paraId="4C1194E1" w14:textId="77777777" w:rsidR="00F64AED" w:rsidRPr="00E14121" w:rsidRDefault="00F64AED" w:rsidP="00F64AED">
      <w:pPr>
        <w:pStyle w:val="aa"/>
        <w:bidi/>
        <w:rPr>
          <w:rFonts w:ascii="Narkisim" w:hAnsi="Narkisim"/>
        </w:rPr>
      </w:pPr>
      <w:r w:rsidRPr="00E14121">
        <w:rPr>
          <w:rFonts w:ascii="Narkisim" w:hAnsi="Narkisim"/>
          <w:u w:val="single"/>
          <w:rtl/>
        </w:rPr>
        <w:t>בת ישראל שנשאת לכהן וכו'.</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דעבדי מלוג אוכלין משום קנינו שקנה קנין [וכדאי' בגמ']. ובפשוטו מבואר ברש"י דאוכלים רק מחמת דין קנין שקנה קנין. ולא כדברי ה</w:t>
      </w:r>
      <w:r w:rsidRPr="00E14121">
        <w:rPr>
          <w:rFonts w:ascii="Narkisim" w:hAnsi="Narkisim"/>
          <w:b/>
          <w:bCs/>
          <w:rtl/>
        </w:rPr>
        <w:t>אחרונים</w:t>
      </w:r>
      <w:r w:rsidRPr="00E14121">
        <w:rPr>
          <w:rFonts w:ascii="Narkisim" w:hAnsi="Narkisim"/>
          <w:rtl/>
        </w:rPr>
        <w:t xml:space="preserve"> (הנ"ל) שאוכלין מחמת ב' סיבות, אף מחמת דאשת כהן מתקדשת להחשב כהנת.</w:t>
      </w:r>
    </w:p>
    <w:p w14:paraId="59896AB5" w14:textId="77777777" w:rsidR="00F64AED" w:rsidRPr="00E14121" w:rsidRDefault="00F64AED" w:rsidP="00F64AED">
      <w:pPr>
        <w:bidi/>
        <w:rPr>
          <w:rFonts w:ascii="Narkisim" w:hAnsi="Narkisim" w:cs="Narkisim"/>
        </w:rPr>
      </w:pPr>
      <w:r w:rsidRPr="00E14121">
        <w:rPr>
          <w:rFonts w:ascii="Narkisim" w:hAnsi="Narkisim" w:cs="Narkisim"/>
          <w:u w:val="single"/>
          <w:rtl/>
        </w:rPr>
        <w:t>ובת כהן הנשאת לישראל וכו' הרי אלו לא יאכלו בתרומה.</w:t>
      </w:r>
      <w:r w:rsidRPr="00E14121">
        <w:rPr>
          <w:rFonts w:ascii="Narkisim" w:hAnsi="Narkisim" w:cs="Narkisim"/>
          <w:rtl/>
        </w:rPr>
        <w:t xml:space="preserve"> דבת כהן שנשאת לישראל נפסלת לתרומה. (וכדדרשי' בגמ' סח. בסוף העמ'). וה</w:t>
      </w:r>
      <w:r w:rsidRPr="00E14121">
        <w:rPr>
          <w:rFonts w:ascii="Narkisim" w:hAnsi="Narkisim" w:cs="Narkisim"/>
          <w:b/>
          <w:bCs/>
          <w:rtl/>
        </w:rPr>
        <w:t>רמב"ם</w:t>
      </w:r>
      <w:r w:rsidRPr="00E14121">
        <w:rPr>
          <w:rFonts w:ascii="Narkisim" w:hAnsi="Narkisim" w:cs="Narkisim"/>
          <w:rtl/>
        </w:rPr>
        <w:t xml:space="preserve"> (תרומות ו ה) ביאר דכהנת אשת זר הרי הוא כזר [לענין אכילת תרומה</w:t>
      </w:r>
      <w:r w:rsidRPr="00E14121">
        <w:rPr>
          <w:rStyle w:val="ac"/>
          <w:rFonts w:ascii="Narkisim" w:hAnsi="Narkisim" w:cs="Narkisim"/>
          <w:rtl/>
        </w:rPr>
        <w:footnoteReference w:id="3949"/>
      </w:r>
      <w:r w:rsidRPr="00E14121">
        <w:rPr>
          <w:rFonts w:ascii="Narkisim" w:hAnsi="Narkisim" w:cs="Narkisim"/>
          <w:rtl/>
        </w:rPr>
        <w:t>]. וב</w:t>
      </w:r>
      <w:r w:rsidRPr="00E14121">
        <w:rPr>
          <w:rFonts w:ascii="Narkisim" w:hAnsi="Narkisim" w:cs="Narkisim"/>
          <w:b/>
          <w:bCs/>
          <w:rtl/>
        </w:rPr>
        <w:t xml:space="preserve">ספר החינוך </w:t>
      </w:r>
      <w:r w:rsidRPr="00E14121">
        <w:rPr>
          <w:rFonts w:ascii="Narkisim" w:hAnsi="Narkisim" w:cs="Narkisim"/>
          <w:rtl/>
        </w:rPr>
        <w:t>(רפג) ביאר דכשנשאת לכהן הוה כא' מצלעותיו.</w:t>
      </w:r>
    </w:p>
    <w:p w14:paraId="07CF7BF9" w14:textId="77777777" w:rsidR="00F64AED" w:rsidRPr="00E14121" w:rsidRDefault="00F64AED" w:rsidP="00F64AED">
      <w:pPr>
        <w:pStyle w:val="a7"/>
        <w:bidi/>
        <w:rPr>
          <w:rFonts w:ascii="Narkisim" w:hAnsi="Narkisim"/>
        </w:rPr>
      </w:pPr>
      <w:r w:rsidRPr="00E14121">
        <w:rPr>
          <w:rFonts w:ascii="Narkisim" w:hAnsi="Narkisim"/>
          <w:rtl/>
        </w:rPr>
        <w:t>וכיון דהיא אינה אוכלת, א"כ אינה מאכלת אף לעבדיה. וה</w:t>
      </w:r>
      <w:r w:rsidRPr="00E14121">
        <w:rPr>
          <w:rFonts w:ascii="Narkisim" w:hAnsi="Narkisim"/>
          <w:b/>
          <w:bCs/>
          <w:rtl/>
        </w:rPr>
        <w:t>קרית ספר</w:t>
      </w:r>
      <w:r w:rsidRPr="00E14121">
        <w:rPr>
          <w:rFonts w:ascii="Narkisim" w:hAnsi="Narkisim"/>
          <w:rtl/>
        </w:rPr>
        <w:t xml:space="preserve"> (תרומות ז) כת' דאע"ג דערל וטמא מאכילים בתרומה, היינו משום דתקנתם [בידם], אבל הך אין בידה להתגרש.</w:t>
      </w:r>
    </w:p>
    <w:p w14:paraId="3DD3A73F" w14:textId="77777777" w:rsidR="00F64AED" w:rsidRPr="00E14121" w:rsidRDefault="00F64AED" w:rsidP="00F64AED">
      <w:pPr>
        <w:pStyle w:val="aa"/>
        <w:bidi/>
        <w:rPr>
          <w:rFonts w:ascii="Narkisim" w:hAnsi="Narkisim"/>
        </w:rPr>
      </w:pPr>
      <w:r w:rsidRPr="00E14121">
        <w:rPr>
          <w:rFonts w:ascii="Narkisim" w:hAnsi="Narkisim"/>
          <w:u w:val="single"/>
          <w:rtl/>
        </w:rPr>
        <w:t>רש"י ד"ה הכניסה.</w:t>
      </w:r>
      <w:r w:rsidRPr="00E14121">
        <w:rPr>
          <w:rFonts w:ascii="Narkisim" w:hAnsi="Narkisim"/>
          <w:rtl/>
        </w:rPr>
        <w:t xml:space="preserve"> ויש שמכנסת וכו' ואינה כותבת כולו. ה</w:t>
      </w:r>
      <w:r w:rsidRPr="00E14121">
        <w:rPr>
          <w:rFonts w:ascii="Narkisim" w:hAnsi="Narkisim"/>
          <w:b/>
          <w:bCs/>
          <w:rtl/>
        </w:rPr>
        <w:t>רשב"א</w:t>
      </w:r>
      <w:r w:rsidRPr="00E14121">
        <w:rPr>
          <w:rFonts w:ascii="Narkisim" w:hAnsi="Narkisim"/>
          <w:rtl/>
        </w:rPr>
        <w:t xml:space="preserve"> דייק דכל מה שנכתב בכתובה נחשב צאן ברזל, ואף שלא קיבל אחריות להדיא. והרשב"א חלק דדוקא היכא דשם וקיבל אחריות נחשב צאן ברזל [ודייק כן מלשון המשנה], אבל כתבם בכתובה ולא קיבל בהדיא אחריות הוה נכסי מלוג, והביא שכ"כ ה</w:t>
      </w:r>
      <w:r w:rsidRPr="00E14121">
        <w:rPr>
          <w:rFonts w:ascii="Narkisim" w:hAnsi="Narkisim"/>
          <w:b/>
          <w:bCs/>
          <w:rtl/>
        </w:rPr>
        <w:t>רמב"ם</w:t>
      </w:r>
      <w:r w:rsidRPr="00E14121">
        <w:rPr>
          <w:rFonts w:ascii="Narkisim" w:hAnsi="Narkisim"/>
          <w:rtl/>
        </w:rPr>
        <w:t xml:space="preserve"> (אישות טז א).</w:t>
      </w:r>
    </w:p>
    <w:p w14:paraId="7BC3E0AB" w14:textId="77777777" w:rsidR="00F64AED" w:rsidRPr="00E14121" w:rsidRDefault="00F64AED" w:rsidP="00F64AED">
      <w:pPr>
        <w:bidi/>
        <w:rPr>
          <w:rFonts w:ascii="Narkisim" w:hAnsi="Narkisim" w:cs="Narkisim"/>
        </w:rPr>
      </w:pPr>
      <w:r w:rsidRPr="00E14121">
        <w:rPr>
          <w:rFonts w:ascii="Narkisim" w:hAnsi="Narkisim" w:cs="Narkisim"/>
          <w:u w:val="single"/>
          <w:rtl/>
        </w:rPr>
        <w:t>תוד"ה אלמנה לכה"ג, עבדי מלוג.</w:t>
      </w:r>
      <w:r w:rsidRPr="00E14121">
        <w:rPr>
          <w:rFonts w:ascii="Narkisim" w:hAnsi="Narkisim" w:cs="Narkisim"/>
          <w:rtl/>
        </w:rPr>
        <w:t xml:space="preserve"> לא חשיב בהכי קנין כספו שאין הגוף שלו וכו'. בפשוטו כוונת התוס' דקנין הגוף מעכב שלא יחשב קנין כספו ע”י הקנין פירות </w:t>
      </w:r>
      <w:r w:rsidRPr="00E14121">
        <w:rPr>
          <w:rFonts w:ascii="Narkisim" w:hAnsi="Narkisim" w:cs="Narkisim"/>
          <w:sz w:val="20"/>
          <w:szCs w:val="20"/>
          <w:rtl/>
        </w:rPr>
        <w:t xml:space="preserve">[וכן נקטו כמה </w:t>
      </w:r>
      <w:r w:rsidRPr="00E14121">
        <w:rPr>
          <w:rFonts w:ascii="Narkisim" w:hAnsi="Narkisim" w:cs="Narkisim"/>
          <w:b/>
          <w:bCs/>
          <w:sz w:val="20"/>
          <w:szCs w:val="20"/>
          <w:rtl/>
        </w:rPr>
        <w:t>אחרונים</w:t>
      </w:r>
      <w:r w:rsidRPr="00E14121">
        <w:rPr>
          <w:rFonts w:ascii="Narkisim" w:hAnsi="Narkisim" w:cs="Narkisim"/>
          <w:sz w:val="20"/>
          <w:szCs w:val="20"/>
          <w:rtl/>
        </w:rPr>
        <w:t>]</w:t>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הקשו דסגי בחיוב אחריות לאכילת תרומה</w:t>
      </w:r>
      <w:r w:rsidRPr="00E14121">
        <w:rPr>
          <w:rFonts w:ascii="Narkisim" w:hAnsi="Narkisim" w:cs="Narkisim"/>
          <w:sz w:val="20"/>
          <w:szCs w:val="20"/>
          <w:rtl/>
        </w:rPr>
        <w:t xml:space="preserve"> [כדאמרי' בע”ב]</w:t>
      </w:r>
      <w:r w:rsidRPr="00E14121">
        <w:rPr>
          <w:rFonts w:ascii="Narkisim" w:hAnsi="Narkisim" w:cs="Narkisim"/>
          <w:rtl/>
        </w:rPr>
        <w:t xml:space="preserve">, וכן למ"ד שכירות קניא (ע"ז טו) אוכל בתרומה, ואף דלא עדיף מק"פ כקה"ג. </w:t>
      </w:r>
      <w:r w:rsidRPr="00E14121">
        <w:rPr>
          <w:rFonts w:ascii="Narkisim" w:hAnsi="Narkisim" w:cs="Narkisim"/>
          <w:sz w:val="20"/>
          <w:szCs w:val="20"/>
          <w:rtl/>
        </w:rPr>
        <w:t>(וע' בע"ב).</w:t>
      </w:r>
    </w:p>
    <w:p w14:paraId="248EF696"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אבנ”מ</w:t>
      </w:r>
      <w:r w:rsidRPr="00E14121">
        <w:rPr>
          <w:rFonts w:ascii="Narkisim" w:hAnsi="Narkisim"/>
          <w:rtl/>
        </w:rPr>
        <w:t xml:space="preserve"> </w:t>
      </w:r>
      <w:r w:rsidRPr="00E14121">
        <w:rPr>
          <w:rFonts w:ascii="Narkisim" w:hAnsi="Narkisim"/>
          <w:sz w:val="20"/>
          <w:szCs w:val="20"/>
          <w:rtl/>
        </w:rPr>
        <w:t>(שו”ת יז)</w:t>
      </w:r>
      <w:r w:rsidRPr="00E14121">
        <w:rPr>
          <w:rFonts w:ascii="Narkisim" w:hAnsi="Narkisim"/>
          <w:rtl/>
        </w:rPr>
        <w:t xml:space="preserve"> כתב דכוונת התוס' דאכילת תרומה תליא ב'קנין איסור' </w:t>
      </w:r>
      <w:r w:rsidRPr="00E14121">
        <w:rPr>
          <w:rFonts w:ascii="Narkisim" w:hAnsi="Narkisim"/>
          <w:sz w:val="20"/>
          <w:szCs w:val="20"/>
          <w:rtl/>
        </w:rPr>
        <w:t>[שמתירו בשפחה, והוכיח כן דהא באשת כהן ליכא קנין ממון</w:t>
      </w:r>
      <w:r w:rsidRPr="00E14121">
        <w:rPr>
          <w:rStyle w:val="ac"/>
          <w:rFonts w:ascii="Narkisim" w:hAnsi="Narkisim"/>
          <w:sz w:val="20"/>
          <w:szCs w:val="20"/>
          <w:rtl/>
        </w:rPr>
        <w:footnoteReference w:id="3950"/>
      </w:r>
      <w:r w:rsidRPr="00E14121">
        <w:rPr>
          <w:rFonts w:ascii="Narkisim" w:hAnsi="Narkisim"/>
          <w:sz w:val="20"/>
          <w:szCs w:val="20"/>
          <w:rtl/>
        </w:rPr>
        <w:t>]</w:t>
      </w:r>
      <w:r w:rsidRPr="00E14121">
        <w:rPr>
          <w:rFonts w:ascii="Narkisim" w:hAnsi="Narkisim"/>
          <w:rtl/>
        </w:rPr>
        <w:t>, ורק כלפי הקנין ממון שייך לומר דק"פ כקה"ג דאין הגוף עומד אלא לפירותיו</w:t>
      </w:r>
      <w:r w:rsidRPr="00E14121">
        <w:rPr>
          <w:rStyle w:val="ac"/>
          <w:rFonts w:ascii="Narkisim" w:hAnsi="Narkisim"/>
          <w:rtl/>
        </w:rPr>
        <w:footnoteReference w:id="3951"/>
      </w:r>
      <w:r w:rsidRPr="00E14121">
        <w:rPr>
          <w:rFonts w:ascii="Narkisim" w:hAnsi="Narkisim"/>
          <w:rtl/>
        </w:rPr>
        <w:t>. אבל קנין האיסור אינו עומד לפירות ואינו מתבטל לקנין פירות.</w:t>
      </w:r>
      <w:r w:rsidRPr="00E14121">
        <w:rPr>
          <w:rFonts w:ascii="Narkisim" w:hAnsi="Narkisim"/>
          <w:sz w:val="20"/>
          <w:szCs w:val="20"/>
          <w:rtl/>
        </w:rPr>
        <w:t xml:space="preserve"> וה</w:t>
      </w:r>
      <w:r w:rsidRPr="00E14121">
        <w:rPr>
          <w:rFonts w:ascii="Narkisim" w:hAnsi="Narkisim"/>
          <w:b/>
          <w:bCs/>
          <w:sz w:val="20"/>
          <w:szCs w:val="20"/>
          <w:rtl/>
        </w:rPr>
        <w:t>ברכ"ש</w:t>
      </w:r>
      <w:r w:rsidRPr="00E14121">
        <w:rPr>
          <w:rFonts w:ascii="Narkisim" w:hAnsi="Narkisim"/>
          <w:sz w:val="20"/>
          <w:szCs w:val="20"/>
          <w:rtl/>
        </w:rPr>
        <w:t xml:space="preserve"> (יט) ביאר דדין תרומה תליא שם בעלים על החפץ</w:t>
      </w:r>
      <w:r w:rsidRPr="00E14121">
        <w:rPr>
          <w:rStyle w:val="ac"/>
          <w:rFonts w:ascii="Narkisim" w:hAnsi="Narkisim"/>
          <w:sz w:val="20"/>
          <w:szCs w:val="20"/>
          <w:rtl/>
        </w:rPr>
        <w:footnoteReference w:id="3952"/>
      </w:r>
      <w:r w:rsidRPr="00E14121">
        <w:rPr>
          <w:rFonts w:ascii="Narkisim" w:hAnsi="Narkisim"/>
          <w:sz w:val="20"/>
          <w:szCs w:val="20"/>
          <w:rtl/>
        </w:rPr>
        <w:t>, ולא שייך זכות לענין אכילת תרומה</w:t>
      </w:r>
      <w:r w:rsidRPr="00E14121">
        <w:rPr>
          <w:rStyle w:val="ac"/>
          <w:rFonts w:ascii="Narkisim" w:hAnsi="Narkisim"/>
          <w:sz w:val="20"/>
          <w:szCs w:val="20"/>
          <w:rtl/>
        </w:rPr>
        <w:footnoteReference w:id="3953"/>
      </w:r>
      <w:r w:rsidRPr="00E14121">
        <w:rPr>
          <w:rFonts w:ascii="Narkisim" w:hAnsi="Narkisim"/>
          <w:sz w:val="20"/>
          <w:szCs w:val="20"/>
          <w:rtl/>
        </w:rPr>
        <w:t>. ולכן בזה ל"ש שהקנין פירות יבטל את דין הקנין הגוף. אבל יש שדנו דכוונת האבנ"מ דקנין איסור לא תליא בדין ממון כלל.</w:t>
      </w:r>
    </w:p>
    <w:p w14:paraId="1B9692B7" w14:textId="77777777" w:rsidR="00F64AED" w:rsidRPr="00E14121" w:rsidRDefault="00F64AED" w:rsidP="00F64AED">
      <w:pPr>
        <w:pStyle w:val="a7"/>
        <w:bidi/>
        <w:rPr>
          <w:rFonts w:ascii="Narkisim" w:hAnsi="Narkisim"/>
        </w:rPr>
      </w:pPr>
      <w:r w:rsidRPr="00E14121">
        <w:rPr>
          <w:rFonts w:ascii="Narkisim" w:hAnsi="Narkisim"/>
          <w:rtl/>
        </w:rPr>
        <w:lastRenderedPageBreak/>
        <w:t>וה</w:t>
      </w:r>
      <w:r w:rsidRPr="00E14121">
        <w:rPr>
          <w:rFonts w:ascii="Narkisim" w:hAnsi="Narkisim"/>
          <w:b/>
          <w:bCs/>
          <w:rtl/>
        </w:rPr>
        <w:t>אבנ"מ</w:t>
      </w:r>
      <w:r w:rsidRPr="00E14121">
        <w:rPr>
          <w:rFonts w:ascii="Narkisim" w:hAnsi="Narkisim"/>
          <w:rtl/>
        </w:rPr>
        <w:t xml:space="preserve"> כתב דהיינו דוקא בעבד כהן, אבל בבהמת כהן ל"ש קנין איסור. וע"כ בבהמה דין קנין כספו תליא בקנין הממון</w:t>
      </w:r>
      <w:r w:rsidRPr="00E14121">
        <w:rPr>
          <w:rStyle w:val="ac"/>
          <w:rFonts w:ascii="Narkisim" w:hAnsi="Narkisim"/>
          <w:rtl/>
        </w:rPr>
        <w:footnoteReference w:id="3954"/>
      </w:r>
      <w:r w:rsidRPr="00E14121">
        <w:rPr>
          <w:rFonts w:ascii="Narkisim" w:hAnsi="Narkisim"/>
          <w:rtl/>
        </w:rPr>
        <w:t xml:space="preserve"> </w:t>
      </w:r>
      <w:r w:rsidRPr="00E14121">
        <w:rPr>
          <w:rFonts w:ascii="Narkisim" w:hAnsi="Narkisim"/>
          <w:sz w:val="20"/>
          <w:szCs w:val="20"/>
          <w:rtl/>
        </w:rPr>
        <w:t>[ולכן למ”ד שכירות קניא אוכלת בתרומה</w:t>
      </w:r>
      <w:r w:rsidRPr="00E14121">
        <w:rPr>
          <w:rStyle w:val="ac"/>
          <w:rFonts w:ascii="Narkisim" w:hAnsi="Narkisim"/>
          <w:sz w:val="20"/>
          <w:szCs w:val="20"/>
          <w:rtl/>
        </w:rPr>
        <w:footnoteReference w:id="3955"/>
      </w:r>
      <w:r w:rsidRPr="00E14121">
        <w:rPr>
          <w:rFonts w:ascii="Narkisim" w:hAnsi="Narkisim"/>
          <w:sz w:val="20"/>
          <w:szCs w:val="20"/>
          <w:rtl/>
        </w:rPr>
        <w:t>]</w:t>
      </w:r>
      <w:r w:rsidRPr="00E14121">
        <w:rPr>
          <w:rFonts w:ascii="Narkisim" w:hAnsi="Narkisim"/>
          <w:rtl/>
        </w:rPr>
        <w:t>. ועוד דנו ה</w:t>
      </w:r>
      <w:r w:rsidRPr="00E14121">
        <w:rPr>
          <w:rFonts w:ascii="Narkisim" w:hAnsi="Narkisim"/>
          <w:b/>
          <w:bCs/>
          <w:rtl/>
        </w:rPr>
        <w:t>אחרונים</w:t>
      </w:r>
      <w:r w:rsidRPr="00E14121">
        <w:rPr>
          <w:rFonts w:ascii="Narkisim" w:hAnsi="Narkisim"/>
          <w:rtl/>
        </w:rPr>
        <w:t xml:space="preserve"> (אמר"מ יג ב) דבבהמה לא שייך איסור אכילה, ולא בעי שם קנין כספו להתיר, ולכן תליא בקנין הממון להחשב 'אכילת כהן'</w:t>
      </w:r>
      <w:r w:rsidRPr="00E14121">
        <w:rPr>
          <w:rStyle w:val="ac"/>
          <w:rFonts w:ascii="Narkisim" w:hAnsi="Narkisim"/>
          <w:rtl/>
        </w:rPr>
        <w:footnoteReference w:id="3956"/>
      </w:r>
      <w:r w:rsidRPr="00E14121">
        <w:rPr>
          <w:rFonts w:ascii="Narkisim" w:hAnsi="Narkisim"/>
          <w:rtl/>
        </w:rPr>
        <w:t>.</w:t>
      </w:r>
    </w:p>
    <w:p w14:paraId="7A872F1F" w14:textId="77777777" w:rsidR="00F64AED" w:rsidRPr="00E14121" w:rsidRDefault="00F64AED" w:rsidP="00F64AED">
      <w:pPr>
        <w:pStyle w:val="a8"/>
        <w:bidi/>
        <w:rPr>
          <w:rFonts w:ascii="Narkisim" w:hAnsi="Narkisim"/>
        </w:rPr>
      </w:pPr>
      <w:r w:rsidRPr="00E14121">
        <w:rPr>
          <w:rFonts w:ascii="Narkisim" w:hAnsi="Narkisim"/>
          <w:rtl/>
        </w:rPr>
        <w:t>אבל ה</w:t>
      </w:r>
      <w:r w:rsidRPr="00E14121">
        <w:rPr>
          <w:rFonts w:ascii="Narkisim" w:hAnsi="Narkisim"/>
          <w:b/>
          <w:bCs/>
          <w:rtl/>
        </w:rPr>
        <w:t>אמר"מ</w:t>
      </w:r>
      <w:r w:rsidRPr="00E14121">
        <w:rPr>
          <w:rFonts w:ascii="Narkisim" w:hAnsi="Narkisim"/>
          <w:rtl/>
        </w:rPr>
        <w:t xml:space="preserve"> (כג כא,כב) כתב לפרש דהקנין איסור שייך גם לבעל הק"פ וגם לבעל קה"ג. ובזה כתבו תוס' דאכילת התרומה תליא בקה"ג, והוא נחשב בעלים [על קנין האיסור] לענין אכילת תרומה. דהא המפקיר עבדו אוכל בתרומה.</w:t>
      </w:r>
    </w:p>
    <w:p w14:paraId="2F27C4C1" w14:textId="77777777" w:rsidR="00F64AED" w:rsidRPr="00E14121" w:rsidRDefault="00F64AED" w:rsidP="00F64AED">
      <w:pPr>
        <w:bidi/>
        <w:rPr>
          <w:rFonts w:ascii="Narkisim" w:hAnsi="Narkisim" w:cs="Narkisim"/>
        </w:rPr>
      </w:pPr>
      <w:r w:rsidRPr="00E14121">
        <w:rPr>
          <w:rFonts w:ascii="Narkisim" w:hAnsi="Narkisim" w:cs="Narkisim"/>
          <w:u w:val="single"/>
          <w:rtl/>
        </w:rPr>
        <w:t>בא”ד כמו שאין יוצאין בשן ועין.</w:t>
      </w:r>
      <w:r w:rsidRPr="00E14121">
        <w:rPr>
          <w:rFonts w:ascii="Narkisim" w:hAnsi="Narkisim" w:cs="Narkisim"/>
          <w:rtl/>
        </w:rPr>
        <w:t xml:space="preserve"> ו</w:t>
      </w:r>
      <w:r w:rsidRPr="00E14121">
        <w:rPr>
          <w:rFonts w:ascii="Narkisim" w:hAnsi="Narkisim" w:cs="Narkisim"/>
          <w:b/>
          <w:bCs/>
          <w:rtl/>
        </w:rPr>
        <w:t>תוס'</w:t>
      </w:r>
      <w:r w:rsidRPr="00E14121">
        <w:rPr>
          <w:rFonts w:ascii="Narkisim" w:hAnsi="Narkisim" w:cs="Narkisim"/>
          <w:rtl/>
        </w:rPr>
        <w:t xml:space="preserve"> (ב”ק צ. ד”ה ר”מ, וב”ב נ.) כת' דאינו יוצא בשן ועין, דאין לו כח לשחרר קה”ג של האשה </w:t>
      </w:r>
      <w:r w:rsidRPr="00E14121">
        <w:rPr>
          <w:rFonts w:ascii="Narkisim" w:hAnsi="Narkisim" w:cs="Narkisim"/>
          <w:sz w:val="20"/>
          <w:szCs w:val="20"/>
          <w:rtl/>
        </w:rPr>
        <w:t>[ואף דהוא נקרא 'אדון', מ”מ ל"מ שחרור דידיה להפקיע כח האשה</w:t>
      </w:r>
      <w:r w:rsidRPr="00E14121">
        <w:rPr>
          <w:rFonts w:ascii="Narkisim" w:hAnsi="Narkisim" w:cs="Narkisim"/>
          <w:rtl/>
        </w:rPr>
        <w:t>]. ובפשוטו פליג אתוס' דידן. אבל האבנ"מ כתב דכוונת התוס' דהשחרור תליא בקנין איסור מהך סברא.</w:t>
      </w:r>
    </w:p>
    <w:p w14:paraId="23B3E9C5" w14:textId="77777777" w:rsidR="00F64AED" w:rsidRPr="00E14121" w:rsidRDefault="00F64AED" w:rsidP="00F64AED">
      <w:pPr>
        <w:bidi/>
        <w:rPr>
          <w:rFonts w:ascii="Narkisim" w:hAnsi="Narkisim" w:cs="Narkisim"/>
        </w:rPr>
      </w:pPr>
      <w:r w:rsidRPr="00E14121">
        <w:rPr>
          <w:rFonts w:ascii="Narkisim" w:hAnsi="Narkisim" w:cs="Narkisim"/>
          <w:u w:val="single"/>
          <w:rtl/>
        </w:rPr>
        <w:t>בא"ד וקצת וכו' גבי המפקיר עבדו וכו</w:t>
      </w:r>
      <w:r w:rsidRPr="00E14121">
        <w:rPr>
          <w:rFonts w:ascii="Narkisim" w:hAnsi="Narkisim" w:cs="Narkisim"/>
          <w:rtl/>
        </w:rPr>
        <w:t>' אע”פ שאין לרב פירות אלא הגוף. ה</w:t>
      </w:r>
      <w:r w:rsidRPr="00E14121">
        <w:rPr>
          <w:rFonts w:ascii="Narkisim" w:hAnsi="Narkisim" w:cs="Narkisim"/>
          <w:b/>
          <w:bCs/>
          <w:rtl/>
        </w:rPr>
        <w:t>קר"א</w:t>
      </w:r>
      <w:r w:rsidRPr="00E14121">
        <w:rPr>
          <w:rFonts w:ascii="Narkisim" w:hAnsi="Narkisim" w:cs="Narkisim"/>
          <w:rtl/>
        </w:rPr>
        <w:t xml:space="preserve"> הביא מדברי התוס' דהמפקיר עבדו יש לרב עדיין קנין ממון, והקשה ע"ז מהגמ' גיטין מ. דמבואר דאין קנין ממון כלל. וה</w:t>
      </w:r>
      <w:r w:rsidRPr="00E14121">
        <w:rPr>
          <w:rFonts w:ascii="Narkisim" w:hAnsi="Narkisim" w:cs="Narkisim"/>
          <w:b/>
          <w:bCs/>
          <w:rtl/>
        </w:rPr>
        <w:t>אחרונים</w:t>
      </w:r>
      <w:r w:rsidRPr="00E14121">
        <w:rPr>
          <w:rFonts w:ascii="Narkisim" w:hAnsi="Narkisim" w:cs="Narkisim"/>
          <w:rtl/>
        </w:rPr>
        <w:t xml:space="preserve"> כתבו דע”כ דכוונת התוס' להוכיח דסגי בקנין האיסור, וכמ"ש האבנ"מ</w:t>
      </w:r>
      <w:r w:rsidRPr="00E14121">
        <w:rPr>
          <w:rStyle w:val="ac"/>
          <w:rFonts w:ascii="Narkisim" w:hAnsi="Narkisim" w:cs="Narkisim"/>
          <w:rtl/>
        </w:rPr>
        <w:footnoteReference w:id="3957"/>
      </w:r>
      <w:r w:rsidRPr="00E14121">
        <w:rPr>
          <w:rFonts w:ascii="Narkisim" w:hAnsi="Narkisim" w:cs="Narkisim"/>
          <w:rtl/>
        </w:rPr>
        <w:t>.</w:t>
      </w:r>
    </w:p>
    <w:p w14:paraId="481BF33F" w14:textId="77777777" w:rsidR="00F64AED" w:rsidRPr="00E14121" w:rsidRDefault="00F64AED" w:rsidP="00F64AED">
      <w:pPr>
        <w:pStyle w:val="a8"/>
        <w:bidi/>
        <w:rPr>
          <w:rFonts w:ascii="Narkisim" w:hAnsi="Narkisim"/>
        </w:rPr>
      </w:pPr>
      <w:r w:rsidRPr="00E14121">
        <w:rPr>
          <w:rFonts w:ascii="Narkisim" w:hAnsi="Narkisim"/>
          <w:rtl/>
        </w:rPr>
        <w:t>והאבנ”מ הק' דהו"ל לתוס' להוכיח דתליא בקנין האיסור, דארוסה אוכלת בתרומה אף דאין לו בה קנין ממון. ע"כ דתליא בקנין איסור</w:t>
      </w:r>
      <w:r w:rsidRPr="00E14121">
        <w:rPr>
          <w:rStyle w:val="ac"/>
          <w:rFonts w:ascii="Narkisim" w:hAnsi="Narkisim"/>
          <w:rtl/>
        </w:rPr>
        <w:footnoteReference w:id="3958"/>
      </w:r>
      <w:r w:rsidRPr="00E14121">
        <w:rPr>
          <w:rFonts w:ascii="Narkisim" w:hAnsi="Narkisim"/>
          <w:rtl/>
        </w:rPr>
        <w:t>.</w:t>
      </w:r>
    </w:p>
    <w:p w14:paraId="734F9911" w14:textId="77777777" w:rsidR="00F64AED" w:rsidRPr="00E14121" w:rsidRDefault="00F64AED" w:rsidP="00F64AED">
      <w:pPr>
        <w:pStyle w:val="a8"/>
        <w:bidi/>
        <w:rPr>
          <w:rFonts w:ascii="Narkisim" w:hAnsi="Narkisim"/>
        </w:rPr>
      </w:pPr>
      <w:r w:rsidRPr="00E14121">
        <w:rPr>
          <w:rFonts w:ascii="Narkisim" w:hAnsi="Narkisim"/>
          <w:rtl/>
        </w:rPr>
        <w:t>והאבנ”מ הקשה דלר' אלעזר בעינן עבדו המיוחד לו, ונימא דהקנין פירות מעכב שלא יאכל בתרומה, וכתב דכיון דתליא בקנין איסור לא איכפת לן בקנין ממון של זה. וכתב דלא משמע כן בתוס' דהשוו מידותיהן לדין שן ועין. וכתב עוד די"ל דלענין תרומה קנין שקנה קנין אוכל, וכיון דהוא בעלים על הקה"ג אף הק"פ אוכל משום דהוה קנין קנינו.</w:t>
      </w:r>
    </w:p>
    <w:p w14:paraId="4FB01191" w14:textId="77777777" w:rsidR="00F64AED" w:rsidRPr="00E14121" w:rsidRDefault="00F64AED" w:rsidP="00F64AED">
      <w:pPr>
        <w:pStyle w:val="2"/>
        <w:bidi/>
        <w:rPr>
          <w:rFonts w:ascii="Narkisim" w:hAnsi="Narkisim"/>
        </w:rPr>
      </w:pPr>
      <w:r w:rsidRPr="00E14121">
        <w:rPr>
          <w:rFonts w:ascii="Narkisim" w:hAnsi="Narkisim"/>
          <w:rtl/>
        </w:rPr>
        <w:t>קנינו שקנה קנין</w:t>
      </w:r>
    </w:p>
    <w:p w14:paraId="309ED333" w14:textId="77777777" w:rsidR="00F64AED" w:rsidRPr="00E14121" w:rsidRDefault="00F64AED" w:rsidP="00F64AED">
      <w:pPr>
        <w:bidi/>
        <w:rPr>
          <w:rFonts w:ascii="Narkisim" w:hAnsi="Narkisim" w:cs="Narkisim"/>
        </w:rPr>
      </w:pPr>
      <w:r w:rsidRPr="00E14121">
        <w:rPr>
          <w:rFonts w:ascii="Narkisim" w:hAnsi="Narkisim" w:cs="Narkisim"/>
          <w:u w:val="single"/>
          <w:rtl/>
        </w:rPr>
        <w:t>אמאי להוי כקנינו שקנה קנין וכו'.</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חקרו בגדר אכילת קנין הקנין, האם הקנין הראשון מאכיל, או דהכל מכח האדון </w:t>
      </w:r>
      <w:r w:rsidRPr="00E14121">
        <w:rPr>
          <w:rFonts w:ascii="Narkisim" w:hAnsi="Narkisim" w:cs="Narkisim"/>
          <w:sz w:val="20"/>
          <w:szCs w:val="20"/>
          <w:rtl/>
        </w:rPr>
        <w:t>[וה</w:t>
      </w:r>
      <w:r w:rsidRPr="00E14121">
        <w:rPr>
          <w:rFonts w:ascii="Narkisim" w:hAnsi="Narkisim" w:cs="Narkisim"/>
          <w:b/>
          <w:bCs/>
          <w:sz w:val="20"/>
          <w:szCs w:val="20"/>
          <w:rtl/>
        </w:rPr>
        <w:t>רשב"א</w:t>
      </w:r>
      <w:r w:rsidRPr="00E14121">
        <w:rPr>
          <w:rFonts w:ascii="Narkisim" w:hAnsi="Narkisim" w:cs="Narkisim"/>
          <w:sz w:val="20"/>
          <w:szCs w:val="20"/>
          <w:rtl/>
        </w:rPr>
        <w:t xml:space="preserve"> כתב בשם ה</w:t>
      </w:r>
      <w:r w:rsidRPr="00E14121">
        <w:rPr>
          <w:rFonts w:ascii="Narkisim" w:hAnsi="Narkisim" w:cs="Narkisim"/>
          <w:b/>
          <w:bCs/>
          <w:sz w:val="20"/>
          <w:szCs w:val="20"/>
          <w:rtl/>
        </w:rPr>
        <w:t>ירושלמי</w:t>
      </w:r>
      <w:r w:rsidRPr="00E14121">
        <w:rPr>
          <w:rFonts w:ascii="Narkisim" w:hAnsi="Narkisim" w:cs="Narkisim"/>
          <w:sz w:val="20"/>
          <w:szCs w:val="20"/>
          <w:rtl/>
        </w:rPr>
        <w:t xml:space="preserve"> דכולהו כי אכלי בכחו של כהן, וע' בסמוך].</w:t>
      </w:r>
      <w:r w:rsidRPr="00E14121">
        <w:rPr>
          <w:rFonts w:ascii="Narkisim" w:hAnsi="Narkisim" w:cs="Narkisim"/>
          <w:rtl/>
        </w:rPr>
        <w:t xml:space="preserve"> וה</w:t>
      </w:r>
      <w:r w:rsidRPr="00E14121">
        <w:rPr>
          <w:rFonts w:ascii="Narkisim" w:hAnsi="Narkisim" w:cs="Narkisim"/>
          <w:b/>
          <w:bCs/>
          <w:rtl/>
        </w:rPr>
        <w:t>מנח"ח</w:t>
      </w:r>
      <w:r w:rsidRPr="00E14121">
        <w:rPr>
          <w:rFonts w:ascii="Narkisim" w:hAnsi="Narkisim" w:cs="Narkisim"/>
          <w:rtl/>
        </w:rPr>
        <w:t xml:space="preserve"> (רפ כח) נקט דבזה נח' (בסמוך) האם קנין שאינו אוכל מאכיל.</w:t>
      </w:r>
    </w:p>
    <w:p w14:paraId="5819181A"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חזו"א</w:t>
      </w:r>
      <w:r w:rsidRPr="00E14121">
        <w:rPr>
          <w:rFonts w:ascii="Narkisim" w:hAnsi="Narkisim" w:cs="Narkisim"/>
          <w:rtl/>
        </w:rPr>
        <w:t xml:space="preserve"> (קלד) כתב דדוקא אוכלת בשביל בעלה הוה גדר קנין, א"כ אף אם אינה אוכלת יכולה להאכיל את העבדים. אבל אוכלת בשביל בנה (ע' לקמן סז: וסט.) הוא משום דיש לה יחוס כהונה, ובחללה לא שייך יחוס כהונה, ואינה מאכילה את עבדיה. ועד”ז כתב ה</w:t>
      </w:r>
      <w:r w:rsidRPr="00E14121">
        <w:rPr>
          <w:rFonts w:ascii="Narkisim" w:hAnsi="Narkisim" w:cs="Narkisim"/>
          <w:b/>
          <w:bCs/>
          <w:rtl/>
        </w:rPr>
        <w:t>אמר”מ</w:t>
      </w:r>
      <w:r w:rsidRPr="00E14121">
        <w:rPr>
          <w:rFonts w:ascii="Narkisim" w:hAnsi="Narkisim" w:cs="Narkisim"/>
          <w:rtl/>
        </w:rPr>
        <w:t xml:space="preserve"> (יג ד). (וע"ע</w:t>
      </w:r>
      <w:r w:rsidRPr="00E14121">
        <w:rPr>
          <w:rFonts w:ascii="Narkisim" w:hAnsi="Narkisim" w:cs="Narkisim"/>
          <w:b/>
          <w:bCs/>
          <w:rtl/>
        </w:rPr>
        <w:t xml:space="preserve"> רש"ש</w:t>
      </w:r>
      <w:r w:rsidRPr="00E14121">
        <w:rPr>
          <w:rFonts w:ascii="Narkisim" w:hAnsi="Narkisim" w:cs="Narkisim"/>
          <w:rtl/>
        </w:rPr>
        <w:t>).</w:t>
      </w:r>
    </w:p>
    <w:p w14:paraId="55BE8FB6" w14:textId="77777777" w:rsidR="00F64AED" w:rsidRPr="00E14121" w:rsidRDefault="00F64AED" w:rsidP="00F64AED">
      <w:pPr>
        <w:bidi/>
        <w:rPr>
          <w:rFonts w:ascii="Narkisim" w:hAnsi="Narkisim" w:cs="Narkisim"/>
        </w:rPr>
      </w:pPr>
      <w:r w:rsidRPr="00E14121">
        <w:rPr>
          <w:rFonts w:ascii="Narkisim" w:hAnsi="Narkisim" w:cs="Narkisim"/>
          <w:u w:val="single"/>
          <w:rtl/>
        </w:rPr>
        <w:t>תוד"ה מנין.</w:t>
      </w:r>
      <w:r w:rsidRPr="00E14121">
        <w:rPr>
          <w:rFonts w:ascii="Narkisim" w:hAnsi="Narkisim" w:cs="Narkisim"/>
          <w:rtl/>
        </w:rPr>
        <w:t xml:space="preserve"> דאכלי מכח האשה עצמה שאוכלת. וה</w:t>
      </w:r>
      <w:r w:rsidRPr="00E14121">
        <w:rPr>
          <w:rFonts w:ascii="Narkisim" w:hAnsi="Narkisim" w:cs="Narkisim"/>
          <w:b/>
          <w:bCs/>
          <w:rtl/>
        </w:rPr>
        <w:t>רמב"ן</w:t>
      </w:r>
      <w:r w:rsidRPr="00E14121">
        <w:rPr>
          <w:rFonts w:ascii="Narkisim" w:hAnsi="Narkisim" w:cs="Narkisim"/>
          <w:rtl/>
        </w:rPr>
        <w:t xml:space="preserve"> וה</w:t>
      </w:r>
      <w:r w:rsidRPr="00E14121">
        <w:rPr>
          <w:rFonts w:ascii="Narkisim" w:hAnsi="Narkisim" w:cs="Narkisim"/>
          <w:b/>
          <w:bCs/>
          <w:rtl/>
        </w:rPr>
        <w:t>רשב"א</w:t>
      </w:r>
      <w:r w:rsidRPr="00E14121">
        <w:rPr>
          <w:rFonts w:ascii="Narkisim" w:hAnsi="Narkisim" w:cs="Narkisim"/>
          <w:rtl/>
        </w:rPr>
        <w:t xml:space="preserve"> כת' זכות היא שזכתה תורה לאוכלין שיאכילו וככהנים עצמן עשאן הכתוב.</w:t>
      </w:r>
      <w:r w:rsidRPr="00E14121">
        <w:rPr>
          <w:rFonts w:ascii="Narkisim" w:hAnsi="Narkisim" w:cs="Narkisim"/>
          <w:sz w:val="20"/>
          <w:szCs w:val="20"/>
          <w:rtl/>
        </w:rPr>
        <w:t xml:space="preserve"> ובפשוטו מבואר בדבריהם דאשת כהן האוכלת בתרומה נתקדשה, ועי"ז עבדיה אוכלים מצד עצמה</w:t>
      </w:r>
      <w:r w:rsidRPr="00E14121">
        <w:rPr>
          <w:rStyle w:val="ac"/>
          <w:rFonts w:ascii="Narkisim" w:hAnsi="Narkisim" w:cs="Narkisim"/>
          <w:sz w:val="20"/>
          <w:szCs w:val="20"/>
          <w:rtl/>
        </w:rPr>
        <w:footnoteReference w:id="3959"/>
      </w:r>
      <w:r w:rsidRPr="00E14121">
        <w:rPr>
          <w:rFonts w:ascii="Narkisim" w:hAnsi="Narkisim" w:cs="Narkisim"/>
          <w:sz w:val="20"/>
          <w:szCs w:val="20"/>
          <w:rtl/>
        </w:rPr>
        <w:t xml:space="preserve"> [וע' בהקדמה]. ורק במקום שאינה אוכלת בעינן לסברא דקנין שקנה קנין.</w:t>
      </w:r>
    </w:p>
    <w:p w14:paraId="0A9C1309" w14:textId="77777777" w:rsidR="00F64AED" w:rsidRPr="00E14121" w:rsidRDefault="00F64AED" w:rsidP="00F64AED">
      <w:pPr>
        <w:pStyle w:val="a8"/>
        <w:bidi/>
        <w:rPr>
          <w:rFonts w:ascii="Narkisim" w:hAnsi="Narkisim"/>
        </w:rPr>
      </w:pPr>
      <w:r w:rsidRPr="00E14121">
        <w:rPr>
          <w:rFonts w:ascii="Narkisim" w:hAnsi="Narkisim"/>
          <w:rtl/>
        </w:rPr>
        <w:t xml:space="preserve">אבל יש </w:t>
      </w:r>
      <w:r w:rsidRPr="00E14121">
        <w:rPr>
          <w:rFonts w:ascii="Narkisim" w:hAnsi="Narkisim"/>
          <w:b/>
          <w:bCs/>
          <w:rtl/>
        </w:rPr>
        <w:t>אחרונים</w:t>
      </w:r>
      <w:r w:rsidRPr="00E14121">
        <w:rPr>
          <w:rFonts w:ascii="Narkisim" w:hAnsi="Narkisim"/>
          <w:rtl/>
        </w:rPr>
        <w:t xml:space="preserve"> שביארו דיש סברא לחלק בדין קנין המאכיל, האם הקנין בעצמו אוכל.</w:t>
      </w:r>
    </w:p>
    <w:p w14:paraId="2092F28C" w14:textId="77777777" w:rsidR="00F64AED" w:rsidRPr="00E14121" w:rsidRDefault="00F64AED" w:rsidP="00F64AED">
      <w:pPr>
        <w:bidi/>
        <w:rPr>
          <w:rFonts w:ascii="Narkisim" w:hAnsi="Narkisim" w:cs="Narkisim"/>
        </w:rPr>
      </w:pPr>
      <w:r w:rsidRPr="00E14121">
        <w:rPr>
          <w:rFonts w:ascii="Narkisim" w:hAnsi="Narkisim" w:cs="Narkisim"/>
          <w:u w:val="single"/>
          <w:rtl/>
        </w:rPr>
        <w:t>רש"י ד"ה ומנין לאשה.</w:t>
      </w:r>
      <w:r w:rsidRPr="00E14121">
        <w:rPr>
          <w:rFonts w:ascii="Narkisim" w:hAnsi="Narkisim" w:cs="Narkisim"/>
          <w:rtl/>
        </w:rPr>
        <w:t xml:space="preserve"> או עבדיו שקנו עבדים. וגרס עבד'יו' שקנו עבדים. אבל </w:t>
      </w:r>
      <w:r w:rsidRPr="00E14121">
        <w:rPr>
          <w:rFonts w:ascii="Narkisim" w:hAnsi="Narkisim" w:cs="Narkisim"/>
          <w:b/>
          <w:bCs/>
          <w:rtl/>
        </w:rPr>
        <w:t>ר"ח</w:t>
      </w:r>
      <w:r w:rsidRPr="00E14121">
        <w:rPr>
          <w:rFonts w:ascii="Narkisim" w:hAnsi="Narkisim" w:cs="Narkisim"/>
          <w:rtl/>
        </w:rPr>
        <w:t xml:space="preserve"> (הו' ברשב"א) גרס אשה שקנתה עבדים, ועבד'יה' שקנו עבדים. דהוה קנין קנינו של האשה [קנין </w:t>
      </w:r>
      <w:r w:rsidRPr="00E14121">
        <w:rPr>
          <w:rFonts w:ascii="Narkisim" w:hAnsi="Narkisim" w:cs="Narkisim"/>
          <w:rtl/>
        </w:rPr>
        <w:lastRenderedPageBreak/>
        <w:t>שלישי], וכ"פ ה</w:t>
      </w:r>
      <w:r w:rsidRPr="00E14121">
        <w:rPr>
          <w:rFonts w:ascii="Narkisim" w:hAnsi="Narkisim" w:cs="Narkisim"/>
          <w:b/>
          <w:bCs/>
          <w:rtl/>
        </w:rPr>
        <w:t>רמב"ם</w:t>
      </w:r>
      <w:r w:rsidRPr="00E14121">
        <w:rPr>
          <w:rFonts w:ascii="Narkisim" w:hAnsi="Narkisim" w:cs="Narkisim"/>
          <w:rtl/>
        </w:rPr>
        <w:t xml:space="preserve"> (תרומות ז יח).</w:t>
      </w:r>
    </w:p>
    <w:p w14:paraId="406FBA21" w14:textId="77777777" w:rsidR="00F64AED" w:rsidRPr="00E14121" w:rsidRDefault="00F64AED" w:rsidP="00F64AED">
      <w:pPr>
        <w:bidi/>
        <w:rPr>
          <w:rFonts w:ascii="Narkisim" w:hAnsi="Narkisim" w:cs="Narkisim"/>
        </w:rPr>
      </w:pPr>
      <w:r w:rsidRPr="00E14121">
        <w:rPr>
          <w:rFonts w:ascii="Narkisim" w:hAnsi="Narkisim" w:cs="Narkisim"/>
          <w:u w:val="single"/>
          <w:rtl/>
        </w:rPr>
        <w:t>רש"י ד"ה עבדיו.</w:t>
      </w:r>
      <w:r w:rsidRPr="00E14121">
        <w:rPr>
          <w:rFonts w:ascii="Narkisim" w:hAnsi="Narkisim" w:cs="Narkisim"/>
          <w:rtl/>
        </w:rPr>
        <w:t xml:space="preserve"> משכחת לה שנתן ע"מ שאין לרבו רשות בו. [וה</w:t>
      </w:r>
      <w:r w:rsidRPr="00E14121">
        <w:rPr>
          <w:rFonts w:ascii="Narkisim" w:hAnsi="Narkisim" w:cs="Narkisim"/>
          <w:b/>
          <w:bCs/>
          <w:rtl/>
        </w:rPr>
        <w:t>ראשונים</w:t>
      </w:r>
      <w:r w:rsidRPr="00E14121">
        <w:rPr>
          <w:rFonts w:ascii="Narkisim" w:hAnsi="Narkisim" w:cs="Narkisim"/>
          <w:rtl/>
        </w:rPr>
        <w:t xml:space="preserve"> דנו דתליא במח' (נדרים פח.) אי יש קנין לעבד בלא רבו היכא דמקנה ע”מ שאין לרבו רשות בו</w:t>
      </w:r>
      <w:r w:rsidRPr="00E14121">
        <w:rPr>
          <w:rStyle w:val="ac"/>
          <w:rFonts w:ascii="Narkisim" w:hAnsi="Narkisim" w:cs="Narkisim"/>
          <w:rtl/>
        </w:rPr>
        <w:footnoteReference w:id="3960"/>
      </w:r>
      <w:r w:rsidRPr="00E14121">
        <w:rPr>
          <w:rFonts w:ascii="Narkisim" w:hAnsi="Narkisim" w:cs="Narkisim"/>
          <w:rtl/>
        </w:rPr>
        <w:t xml:space="preserve">]. </w:t>
      </w:r>
      <w:r w:rsidRPr="00E14121">
        <w:rPr>
          <w:rFonts w:ascii="Narkisim" w:hAnsi="Narkisim" w:cs="Narkisim"/>
          <w:sz w:val="20"/>
          <w:szCs w:val="20"/>
          <w:rtl/>
        </w:rPr>
        <w:t>אבל ב</w:t>
      </w:r>
      <w:r w:rsidRPr="00E14121">
        <w:rPr>
          <w:rFonts w:ascii="Narkisim" w:hAnsi="Narkisim" w:cs="Narkisim"/>
          <w:b/>
          <w:bCs/>
          <w:sz w:val="20"/>
          <w:szCs w:val="20"/>
          <w:rtl/>
        </w:rPr>
        <w:t>חי' ר"א מן ההר</w:t>
      </w:r>
      <w:r w:rsidRPr="00E14121">
        <w:rPr>
          <w:rFonts w:ascii="Narkisim" w:hAnsi="Narkisim" w:cs="Narkisim"/>
          <w:sz w:val="20"/>
          <w:szCs w:val="20"/>
          <w:rtl/>
        </w:rPr>
        <w:t xml:space="preserve"> כתב דהוה של האדון מדין מה שקנה עבד קנה רבו, אלא דס"ד דלא קרינן ביה וכהן כי יקנה</w:t>
      </w:r>
      <w:r w:rsidRPr="00E14121">
        <w:rPr>
          <w:rStyle w:val="ac"/>
          <w:rFonts w:ascii="Narkisim" w:hAnsi="Narkisim" w:cs="Narkisim"/>
          <w:sz w:val="20"/>
          <w:szCs w:val="20"/>
          <w:rtl/>
        </w:rPr>
        <w:footnoteReference w:id="3961"/>
      </w:r>
      <w:r w:rsidRPr="00E14121">
        <w:rPr>
          <w:rFonts w:ascii="Narkisim" w:hAnsi="Narkisim" w:cs="Narkisim"/>
          <w:sz w:val="20"/>
          <w:szCs w:val="20"/>
          <w:rtl/>
        </w:rPr>
        <w:t>.</w:t>
      </w:r>
    </w:p>
    <w:p w14:paraId="1944529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הביא דה</w:t>
      </w:r>
      <w:r w:rsidRPr="00E14121">
        <w:rPr>
          <w:rFonts w:ascii="Narkisim" w:hAnsi="Narkisim"/>
          <w:b/>
          <w:bCs/>
          <w:rtl/>
        </w:rPr>
        <w:t>ירושלמי</w:t>
      </w:r>
      <w:r w:rsidRPr="00E14121">
        <w:rPr>
          <w:rStyle w:val="ac"/>
          <w:rFonts w:ascii="Narkisim" w:hAnsi="Narkisim"/>
          <w:rtl/>
        </w:rPr>
        <w:footnoteReference w:id="3962"/>
      </w:r>
      <w:r w:rsidRPr="00E14121">
        <w:rPr>
          <w:rFonts w:ascii="Narkisim" w:hAnsi="Narkisim"/>
          <w:rtl/>
        </w:rPr>
        <w:t xml:space="preserve"> מקשה דא"כ קנינו הוא, וה</w:t>
      </w:r>
      <w:r w:rsidRPr="00E14121">
        <w:rPr>
          <w:rFonts w:ascii="Narkisim" w:hAnsi="Narkisim"/>
          <w:b/>
          <w:bCs/>
          <w:rtl/>
        </w:rPr>
        <w:t>רשב"א</w:t>
      </w:r>
      <w:r w:rsidRPr="00E14121">
        <w:rPr>
          <w:rFonts w:ascii="Narkisim" w:hAnsi="Narkisim"/>
          <w:rtl/>
        </w:rPr>
        <w:t xml:space="preserve"> פי' שלא אוכלים בתרומה דהוה קנינו של עבד לחוד, ול"ל לכהן קנין בגוייהו </w:t>
      </w:r>
      <w:r w:rsidRPr="00E14121">
        <w:rPr>
          <w:rFonts w:ascii="Narkisim" w:hAnsi="Narkisim"/>
          <w:sz w:val="20"/>
          <w:szCs w:val="20"/>
          <w:rtl/>
        </w:rPr>
        <w:t>[ולהאכיל בתרומה בעי קנין קנינו שיש רווח בזה לכהן]</w:t>
      </w:r>
      <w:r w:rsidRPr="00E14121">
        <w:rPr>
          <w:rFonts w:ascii="Narkisim" w:hAnsi="Narkisim"/>
          <w:rtl/>
        </w:rPr>
        <w:t>. אבל ה</w:t>
      </w:r>
      <w:r w:rsidRPr="00E14121">
        <w:rPr>
          <w:rFonts w:ascii="Narkisim" w:hAnsi="Narkisim"/>
          <w:b/>
          <w:bCs/>
          <w:rtl/>
        </w:rPr>
        <w:t>ריטב"א</w:t>
      </w:r>
      <w:r w:rsidRPr="00E14121">
        <w:rPr>
          <w:rFonts w:ascii="Narkisim" w:hAnsi="Narkisim"/>
          <w:rtl/>
        </w:rPr>
        <w:t xml:space="preserve"> כתב דאע"פ שאין שום זכות והנאה לאדון הכהן, גזיה"כ שיהו אוכלים דקנין קנינו הם. וה</w:t>
      </w:r>
      <w:r w:rsidRPr="00E14121">
        <w:rPr>
          <w:rFonts w:ascii="Narkisim" w:hAnsi="Narkisim"/>
          <w:b/>
          <w:bCs/>
          <w:rtl/>
        </w:rPr>
        <w:t>אחרונים</w:t>
      </w:r>
      <w:r w:rsidRPr="00E14121">
        <w:rPr>
          <w:rFonts w:ascii="Narkisim" w:hAnsi="Narkisim"/>
          <w:rtl/>
        </w:rPr>
        <w:t xml:space="preserve"> נקטו דכן מבואר בדברי </w:t>
      </w:r>
      <w:r w:rsidRPr="00E14121">
        <w:rPr>
          <w:rFonts w:ascii="Narkisim" w:hAnsi="Narkisim"/>
          <w:b/>
          <w:bCs/>
          <w:rtl/>
        </w:rPr>
        <w:t>תוס</w:t>
      </w:r>
      <w:r w:rsidRPr="00E14121">
        <w:rPr>
          <w:rFonts w:ascii="Narkisim" w:hAnsi="Narkisim"/>
          <w:rtl/>
        </w:rPr>
        <w:t>' (ד"ה ועבדיו) דאיירי במפקיר</w:t>
      </w:r>
      <w:r w:rsidRPr="00E14121">
        <w:rPr>
          <w:rStyle w:val="ac"/>
          <w:rFonts w:ascii="Narkisim" w:hAnsi="Narkisim"/>
          <w:rtl/>
        </w:rPr>
        <w:footnoteReference w:id="3963"/>
      </w:r>
      <w:r w:rsidRPr="00E14121">
        <w:rPr>
          <w:rFonts w:ascii="Narkisim" w:hAnsi="Narkisim"/>
          <w:rtl/>
        </w:rPr>
        <w:t>, וע"כ אין לאדון שום זכות ממון בהם.</w:t>
      </w:r>
    </w:p>
    <w:p w14:paraId="6D213315"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הק' דאחרי מיתתו עבדי מלוג אוכלין מחמתה [בכשירה, וכדתנן סז., כיון שהיא אוכלת] אע"פ שאין ליורשים בהם כלום, וה"נ אמאי לא יאכלו מחמת העבד שאוכל</w:t>
      </w:r>
      <w:r w:rsidRPr="00E14121">
        <w:rPr>
          <w:rStyle w:val="ac"/>
          <w:rFonts w:ascii="Narkisim" w:hAnsi="Narkisim"/>
          <w:rtl/>
        </w:rPr>
        <w:footnoteReference w:id="3964"/>
      </w:r>
      <w:r w:rsidRPr="00E14121">
        <w:rPr>
          <w:rFonts w:ascii="Narkisim" w:hAnsi="Narkisim"/>
          <w:rtl/>
        </w:rPr>
        <w:t>. וה</w:t>
      </w:r>
      <w:r w:rsidRPr="00E14121">
        <w:rPr>
          <w:rFonts w:ascii="Narkisim" w:hAnsi="Narkisim"/>
          <w:b/>
          <w:bCs/>
          <w:rtl/>
        </w:rPr>
        <w:t>רשב"א</w:t>
      </w:r>
      <w:r w:rsidRPr="00E14121">
        <w:rPr>
          <w:rFonts w:ascii="Narkisim" w:hAnsi="Narkisim"/>
          <w:rtl/>
        </w:rPr>
        <w:t xml:space="preserve"> תי' דהתם האשה עצמה היא אוכלת, ולכן מאכילה. והירושלמי איירי אאלמנה וגרושה דמתני'. [וה</w:t>
      </w:r>
      <w:r w:rsidRPr="00E14121">
        <w:rPr>
          <w:rFonts w:ascii="Narkisim" w:hAnsi="Narkisim"/>
          <w:b/>
          <w:bCs/>
          <w:rtl/>
        </w:rPr>
        <w:t>אחרונים</w:t>
      </w:r>
      <w:r w:rsidRPr="00E14121">
        <w:rPr>
          <w:rFonts w:ascii="Narkisim" w:hAnsi="Narkisim"/>
          <w:rtl/>
        </w:rPr>
        <w:t xml:space="preserve"> תמהו דהירושלמי איירי בעבד, והאריכו בדבריו].</w:t>
      </w:r>
    </w:p>
    <w:p w14:paraId="2DB1B0BB"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וה</w:t>
      </w:r>
      <w:r w:rsidRPr="00E14121">
        <w:rPr>
          <w:rFonts w:ascii="Narkisim" w:hAnsi="Narkisim"/>
          <w:b/>
          <w:bCs/>
          <w:rtl/>
        </w:rPr>
        <w:t>תוס' מהר"ם ור"פ</w:t>
      </w:r>
      <w:r w:rsidRPr="00E14121">
        <w:rPr>
          <w:rFonts w:ascii="Narkisim" w:hAnsi="Narkisim"/>
          <w:rtl/>
        </w:rPr>
        <w:t xml:space="preserve"> (ותו"י ותוס' הרא"ש) הקשו אף באשה נימא מה שקנתה אשה קנה בעלה. ותי' דמיירי ע"מ שאין לבעלה רשות בהם, או בנתן לה מתנה דאין הבעל אוכל פירות. ועוד תי' בתוס' מהר"ם ור"פ דה"מ מדרבנן, אבל מדאורייתא אין לבעל כלום בנכסי אשתו. ובברייתא איירי מה"ת. [יל"ד בדעת שאר ראשונים].</w:t>
      </w:r>
    </w:p>
    <w:p w14:paraId="14D5B267"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תמהו [על קושית הראשונים] דמה שקנתה אשה קנה בעלה היינו לענין קנין פירות, וכמ"ש </w:t>
      </w:r>
      <w:r w:rsidRPr="00E14121">
        <w:rPr>
          <w:rFonts w:ascii="Narkisim" w:hAnsi="Narkisim"/>
          <w:b/>
          <w:bCs/>
          <w:rtl/>
        </w:rPr>
        <w:t>תוס</w:t>
      </w:r>
      <w:r w:rsidRPr="00E14121">
        <w:rPr>
          <w:rFonts w:ascii="Narkisim" w:hAnsi="Narkisim"/>
          <w:rtl/>
        </w:rPr>
        <w:t>' בכ"מ, אבל קנין הגוף לעולם של האשה. ואכילת תרומה תליא בקנין הגוף, וכמ"ש תוס'. וצ"ע.</w:t>
      </w:r>
    </w:p>
    <w:p w14:paraId="6529E34C" w14:textId="77777777" w:rsidR="00F64AED" w:rsidRPr="00E14121" w:rsidRDefault="00F64AED" w:rsidP="00F64AED">
      <w:pPr>
        <w:bidi/>
        <w:rPr>
          <w:rFonts w:ascii="Narkisim" w:hAnsi="Narkisim" w:cs="Narkisim"/>
        </w:rPr>
      </w:pPr>
      <w:r w:rsidRPr="00E14121">
        <w:rPr>
          <w:rFonts w:ascii="Narkisim" w:hAnsi="Narkisim" w:cs="Narkisim"/>
          <w:u w:val="single"/>
          <w:rtl/>
        </w:rPr>
        <w:t>קנינו שקנה קנין וכו'.</w:t>
      </w:r>
      <w:r w:rsidRPr="00E14121">
        <w:rPr>
          <w:rFonts w:ascii="Narkisim" w:hAnsi="Narkisim" w:cs="Narkisim"/>
          <w:rtl/>
        </w:rPr>
        <w:t xml:space="preserve"> ה</w:t>
      </w:r>
      <w:r w:rsidRPr="00E14121">
        <w:rPr>
          <w:rFonts w:ascii="Narkisim" w:hAnsi="Narkisim" w:cs="Narkisim"/>
          <w:b/>
          <w:bCs/>
          <w:rtl/>
        </w:rPr>
        <w:t>חינוך</w:t>
      </w:r>
      <w:r w:rsidRPr="00E14121">
        <w:rPr>
          <w:rFonts w:ascii="Narkisim" w:hAnsi="Narkisim" w:cs="Narkisim"/>
          <w:rtl/>
        </w:rPr>
        <w:t xml:space="preserve"> (רפ) כתב דדרשי' רק דעבד שקנה עבדים, אבל אם העבד השני קנה שלישי אינו אוכל. דכי יקנה הנפש קנין, ולא קנין הקנין.</w:t>
      </w:r>
      <w:r w:rsidRPr="00E14121">
        <w:rPr>
          <w:rFonts w:ascii="Narkisim" w:hAnsi="Narkisim" w:cs="Narkisim"/>
          <w:szCs w:val="20"/>
          <w:rtl/>
        </w:rPr>
        <w:t xml:space="preserve"> וה</w:t>
      </w:r>
      <w:r w:rsidRPr="00E14121">
        <w:rPr>
          <w:rFonts w:ascii="Narkisim" w:hAnsi="Narkisim" w:cs="Narkisim"/>
          <w:b/>
          <w:bCs/>
          <w:szCs w:val="20"/>
          <w:rtl/>
        </w:rPr>
        <w:t>מנח"ח</w:t>
      </w:r>
      <w:r w:rsidRPr="00E14121">
        <w:rPr>
          <w:rFonts w:ascii="Narkisim" w:hAnsi="Narkisim" w:cs="Narkisim"/>
          <w:szCs w:val="20"/>
          <w:rtl/>
        </w:rPr>
        <w:t xml:space="preserve"> (שם ז, אות כח)</w:t>
      </w:r>
      <w:r w:rsidRPr="00E14121">
        <w:rPr>
          <w:rStyle w:val="ac"/>
          <w:rFonts w:ascii="Narkisim" w:hAnsi="Narkisim" w:cs="Narkisim"/>
          <w:szCs w:val="20"/>
          <w:rtl/>
        </w:rPr>
        <w:footnoteReference w:id="3965"/>
      </w:r>
      <w:r w:rsidRPr="00E14121">
        <w:rPr>
          <w:rFonts w:ascii="Narkisim" w:hAnsi="Narkisim" w:cs="Narkisim"/>
          <w:szCs w:val="20"/>
          <w:rtl/>
        </w:rPr>
        <w:t xml:space="preserve"> ביאר דס"ל דגדר קנין קנינו, שהשני אוכל מחמת הראשון. ועפ"ז אין לנו מקור שהשלישי אוכל מחמת השני</w:t>
      </w:r>
      <w:r w:rsidRPr="00E14121">
        <w:rPr>
          <w:rStyle w:val="ac"/>
          <w:rFonts w:ascii="Narkisim" w:hAnsi="Narkisim" w:cs="Narkisim"/>
          <w:szCs w:val="20"/>
          <w:rtl/>
        </w:rPr>
        <w:footnoteReference w:id="3966"/>
      </w:r>
      <w:r w:rsidRPr="00E14121">
        <w:rPr>
          <w:rFonts w:ascii="Narkisim" w:hAnsi="Narkisim" w:cs="Narkisim"/>
          <w:szCs w:val="20"/>
          <w:rtl/>
        </w:rPr>
        <w:t>. אך המנח"ח העלה צד דקנין קנינו לא איצטריך קרא (ע"ע בסמוך), א"כ פשיטא דאף קנין שלישי ורביעי אוכלים</w:t>
      </w:r>
      <w:r w:rsidRPr="00E14121">
        <w:rPr>
          <w:rFonts w:ascii="Narkisim" w:hAnsi="Narkisim" w:cs="Narkisim"/>
          <w:rtl/>
        </w:rPr>
        <w:t>.</w:t>
      </w:r>
    </w:p>
    <w:p w14:paraId="1301B833"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הביא דב</w:t>
      </w:r>
      <w:r w:rsidRPr="00E14121">
        <w:rPr>
          <w:rFonts w:ascii="Narkisim" w:hAnsi="Narkisim"/>
          <w:b/>
          <w:bCs/>
          <w:rtl/>
        </w:rPr>
        <w:t>רמב"ם</w:t>
      </w:r>
      <w:r w:rsidRPr="00E14121">
        <w:rPr>
          <w:rFonts w:ascii="Narkisim" w:hAnsi="Narkisim"/>
          <w:rtl/>
        </w:rPr>
        <w:t xml:space="preserve"> (ז יח, ור"ח הו' לעיל</w:t>
      </w:r>
      <w:r w:rsidRPr="00E14121">
        <w:rPr>
          <w:rFonts w:ascii="Narkisim" w:hAnsi="Narkisim"/>
          <w:u w:val="single"/>
          <w:rtl/>
        </w:rPr>
        <w:t>)</w:t>
      </w:r>
      <w:r w:rsidRPr="00E14121">
        <w:rPr>
          <w:rFonts w:ascii="Narkisim" w:hAnsi="Narkisim"/>
          <w:rtl/>
        </w:rPr>
        <w:t xml:space="preserve"> מבואר דעבדי אשתו שקנו עבדים יאכלו, ואף דהוה קנין שלישי.</w:t>
      </w:r>
    </w:p>
    <w:p w14:paraId="44042AFC"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(ישועות מלכו, זכר יצחק לא) תי' דבאשה היא עצמה נעשית כהנת [וכיסוד הקובה"ע מז ד ואמר"מ יג ג הנ”ל], ונחשב עבדי עבדיה שלה. [ובדרך אמונה (בביאו"ה שם) האריך לחלוק].</w:t>
      </w:r>
    </w:p>
    <w:p w14:paraId="6EF1D0B3" w14:textId="77777777" w:rsidR="00F64AED" w:rsidRPr="00E14121" w:rsidRDefault="00F64AED" w:rsidP="00F64AED">
      <w:pPr>
        <w:bidi/>
        <w:rPr>
          <w:rFonts w:ascii="Narkisim" w:hAnsi="Narkisim" w:cs="Narkisim"/>
        </w:rPr>
      </w:pPr>
      <w:r w:rsidRPr="00E14121">
        <w:rPr>
          <w:rFonts w:ascii="Narkisim" w:hAnsi="Narkisim" w:cs="Narkisim"/>
          <w:u w:val="single"/>
          <w:rtl/>
        </w:rPr>
        <w:t>ועבדיו שקנו עבדים.</w:t>
      </w:r>
      <w:r w:rsidRPr="00E14121">
        <w:rPr>
          <w:rFonts w:ascii="Narkisim" w:hAnsi="Narkisim" w:cs="Narkisim"/>
          <w:rtl/>
        </w:rPr>
        <w:t xml:space="preserve"> ה</w:t>
      </w:r>
      <w:r w:rsidRPr="00E14121">
        <w:rPr>
          <w:rFonts w:ascii="Narkisim" w:hAnsi="Narkisim" w:cs="Narkisim"/>
          <w:b/>
          <w:bCs/>
          <w:rtl/>
        </w:rPr>
        <w:t>גהש"ס</w:t>
      </w:r>
      <w:r w:rsidRPr="00E14121">
        <w:rPr>
          <w:rFonts w:ascii="Narkisim" w:hAnsi="Narkisim" w:cs="Narkisim"/>
          <w:rtl/>
        </w:rPr>
        <w:t xml:space="preserve"> ציין לדברי </w:t>
      </w:r>
      <w:r w:rsidRPr="00E14121">
        <w:rPr>
          <w:rFonts w:ascii="Narkisim" w:hAnsi="Narkisim" w:cs="Narkisim"/>
          <w:b/>
          <w:bCs/>
          <w:rtl/>
        </w:rPr>
        <w:t>תוס</w:t>
      </w:r>
      <w:r w:rsidRPr="00E14121">
        <w:rPr>
          <w:rFonts w:ascii="Narkisim" w:hAnsi="Narkisim" w:cs="Narkisim"/>
          <w:rtl/>
        </w:rPr>
        <w:t>' (נזיר סא:) דעבד אינו קונה קנין הגוף בעבד אחר</w:t>
      </w:r>
      <w:r w:rsidRPr="00E14121">
        <w:rPr>
          <w:rStyle w:val="ac"/>
          <w:rFonts w:ascii="Narkisim" w:hAnsi="Narkisim" w:cs="Narkisim"/>
          <w:rtl/>
        </w:rPr>
        <w:footnoteReference w:id="3967"/>
      </w:r>
      <w:r w:rsidRPr="00E14121">
        <w:rPr>
          <w:rFonts w:ascii="Narkisim" w:hAnsi="Narkisim" w:cs="Narkisim"/>
          <w:rtl/>
        </w:rPr>
        <w:t xml:space="preserve">. וכוונת </w:t>
      </w:r>
      <w:r w:rsidRPr="00E14121">
        <w:rPr>
          <w:rFonts w:ascii="Narkisim" w:hAnsi="Narkisim" w:cs="Narkisim"/>
          <w:b/>
          <w:bCs/>
          <w:rtl/>
        </w:rPr>
        <w:t>רע"א</w:t>
      </w:r>
      <w:r w:rsidRPr="00E14121">
        <w:rPr>
          <w:rFonts w:ascii="Narkisim" w:hAnsi="Narkisim" w:cs="Narkisim"/>
          <w:rtl/>
        </w:rPr>
        <w:t xml:space="preserve"> להקשות דהאיך יהני עבד שקנה עבדים לענין לאכול בתרומה. </w:t>
      </w:r>
      <w:r w:rsidRPr="00E14121">
        <w:rPr>
          <w:rFonts w:ascii="Narkisim" w:hAnsi="Narkisim" w:cs="Narkisim"/>
          <w:sz w:val="20"/>
          <w:szCs w:val="20"/>
          <w:rtl/>
        </w:rPr>
        <w:t>[דבעי קנין איסור להאכיל בתרומה</w:t>
      </w:r>
      <w:r w:rsidRPr="00E14121">
        <w:rPr>
          <w:rStyle w:val="ac"/>
          <w:rFonts w:ascii="Narkisim" w:hAnsi="Narkisim" w:cs="Narkisim"/>
          <w:sz w:val="20"/>
          <w:szCs w:val="20"/>
          <w:rtl/>
        </w:rPr>
        <w:footnoteReference w:id="3968"/>
      </w:r>
      <w:r w:rsidRPr="00E14121">
        <w:rPr>
          <w:rFonts w:ascii="Narkisim" w:hAnsi="Narkisim" w:cs="Narkisim"/>
          <w:sz w:val="20"/>
          <w:szCs w:val="20"/>
          <w:rtl/>
        </w:rPr>
        <w:t>].</w:t>
      </w:r>
      <w:r w:rsidRPr="00E14121">
        <w:rPr>
          <w:rFonts w:ascii="Narkisim" w:hAnsi="Narkisim" w:cs="Narkisim"/>
          <w:rtl/>
        </w:rPr>
        <w:t xml:space="preserve"> וה</w:t>
      </w:r>
      <w:r w:rsidRPr="00E14121">
        <w:rPr>
          <w:rFonts w:ascii="Narkisim" w:hAnsi="Narkisim" w:cs="Narkisim"/>
          <w:b/>
          <w:bCs/>
          <w:rtl/>
        </w:rPr>
        <w:t>אחרונים</w:t>
      </w:r>
      <w:r w:rsidRPr="00E14121">
        <w:rPr>
          <w:rFonts w:ascii="Narkisim" w:hAnsi="Narkisim" w:cs="Narkisim"/>
          <w:rtl/>
        </w:rPr>
        <w:t xml:space="preserve"> תי' דעבד שלא טבל דינו כבהמה, דסגי ליה בקנין ממון לאכול בתרומה</w:t>
      </w:r>
      <w:r w:rsidRPr="00E14121">
        <w:rPr>
          <w:rStyle w:val="ac"/>
          <w:rFonts w:ascii="Narkisim" w:hAnsi="Narkisim" w:cs="Narkisim"/>
          <w:rtl/>
        </w:rPr>
        <w:footnoteReference w:id="3969"/>
      </w:r>
      <w:r w:rsidRPr="00E14121">
        <w:rPr>
          <w:rFonts w:ascii="Narkisim" w:hAnsi="Narkisim" w:cs="Narkisim"/>
          <w:rtl/>
        </w:rPr>
        <w:t xml:space="preserve"> </w:t>
      </w:r>
      <w:r w:rsidRPr="00E14121">
        <w:rPr>
          <w:rFonts w:ascii="Narkisim" w:hAnsi="Narkisim" w:cs="Narkisim"/>
          <w:sz w:val="20"/>
          <w:szCs w:val="20"/>
          <w:rtl/>
        </w:rPr>
        <w:t>[ע”פ מש”כ האבנ”מ, הו' לעיל]</w:t>
      </w:r>
      <w:r w:rsidRPr="00E14121">
        <w:rPr>
          <w:rFonts w:ascii="Narkisim" w:hAnsi="Narkisim" w:cs="Narkisim"/>
          <w:rtl/>
        </w:rPr>
        <w:t>. וה</w:t>
      </w:r>
      <w:r w:rsidRPr="00E14121">
        <w:rPr>
          <w:rFonts w:ascii="Narkisim" w:hAnsi="Narkisim" w:cs="Narkisim"/>
          <w:b/>
          <w:bCs/>
          <w:rtl/>
        </w:rPr>
        <w:t>אבן האזל</w:t>
      </w:r>
      <w:r w:rsidRPr="00E14121">
        <w:rPr>
          <w:rFonts w:ascii="Narkisim" w:hAnsi="Narkisim" w:cs="Narkisim"/>
          <w:sz w:val="20"/>
          <w:szCs w:val="20"/>
          <w:rtl/>
        </w:rPr>
        <w:t xml:space="preserve"> (קונ' קנין כספו, סוף קדושה)</w:t>
      </w:r>
      <w:r w:rsidRPr="00E14121">
        <w:rPr>
          <w:rFonts w:ascii="Narkisim" w:hAnsi="Narkisim" w:cs="Narkisim"/>
          <w:rtl/>
        </w:rPr>
        <w:t xml:space="preserve"> כתב די"ל דקנין הגוף נקנה לאדון, והעבד קנה קנין הפירות. ולענין אכילת תרומה בעי גם </w:t>
      </w:r>
      <w:r w:rsidRPr="00E14121">
        <w:rPr>
          <w:rFonts w:ascii="Narkisim" w:hAnsi="Narkisim" w:cs="Narkisim"/>
          <w:rtl/>
        </w:rPr>
        <w:lastRenderedPageBreak/>
        <w:t>ק"פ וגם כקה"ג.</w:t>
      </w:r>
    </w:p>
    <w:p w14:paraId="4DE043FC" w14:textId="77777777" w:rsidR="00F64AED" w:rsidRPr="00E14121" w:rsidRDefault="00F64AED" w:rsidP="00F64AED">
      <w:pPr>
        <w:bidi/>
        <w:rPr>
          <w:rFonts w:ascii="Narkisim" w:hAnsi="Narkisim" w:cs="Narkisim"/>
        </w:rPr>
      </w:pPr>
      <w:r w:rsidRPr="00E14121">
        <w:rPr>
          <w:rFonts w:ascii="Narkisim" w:hAnsi="Narkisim" w:cs="Narkisim"/>
          <w:u w:val="single"/>
          <w:rtl/>
        </w:rPr>
        <w:t>כל האוכל מאכיל וכו'.</w:t>
      </w:r>
      <w:r w:rsidRPr="00E14121">
        <w:rPr>
          <w:rFonts w:ascii="Narkisim" w:hAnsi="Narkisim" w:cs="Narkisim"/>
          <w:rtl/>
        </w:rPr>
        <w:t xml:space="preserve"> יש שהוכיחו דלהך מ"ד ע"כ הגדר באכילת קנין קנינו, שהשני אוכל מחמת הראשון. ומש"ה דוקא היכא שהראשון עצמו אינו אוכל אינו יכול להאכיל אחרים.  </w:t>
      </w:r>
    </w:p>
    <w:p w14:paraId="2F9CF62F" w14:textId="77777777" w:rsidR="00F64AED" w:rsidRPr="00E14121" w:rsidRDefault="00F64AED" w:rsidP="00F64AED">
      <w:pPr>
        <w:pStyle w:val="a7"/>
        <w:bidi/>
        <w:rPr>
          <w:rFonts w:ascii="Narkisim" w:hAnsi="Narkisim"/>
        </w:rPr>
      </w:pPr>
      <w:r w:rsidRPr="00E14121">
        <w:rPr>
          <w:rFonts w:ascii="Narkisim" w:hAnsi="Narkisim"/>
          <w:rtl/>
        </w:rPr>
        <w:t>ואפשר דבזה פליגי אינך מ"ד [רבא ורב אשי (בסמוך) דמדאורייתא מאכיל, אלא משום גזירה], וס"ל דאף קנין קנינו אוכל מחמת האדון הראשון, ומש"ה לא תלי האם הראשון אוכל או לא. שהשני אינו בא מחמת הראשון.</w:t>
      </w:r>
    </w:p>
    <w:p w14:paraId="339D4889" w14:textId="77777777" w:rsidR="00F64AED" w:rsidRPr="00E14121" w:rsidRDefault="00F64AED" w:rsidP="00F64AED">
      <w:pPr>
        <w:pStyle w:val="a8"/>
        <w:bidi/>
        <w:rPr>
          <w:rFonts w:ascii="Narkisim" w:hAnsi="Narkisim"/>
        </w:rPr>
      </w:pPr>
      <w:r w:rsidRPr="00E14121">
        <w:rPr>
          <w:rFonts w:ascii="Narkisim" w:hAnsi="Narkisim"/>
          <w:rtl/>
        </w:rPr>
        <w:t>אבל ה</w:t>
      </w:r>
      <w:r w:rsidRPr="00E14121">
        <w:rPr>
          <w:rFonts w:ascii="Narkisim" w:hAnsi="Narkisim"/>
          <w:b/>
          <w:bCs/>
          <w:rtl/>
        </w:rPr>
        <w:t>מנח"ח</w:t>
      </w:r>
      <w:r w:rsidRPr="00E14121">
        <w:rPr>
          <w:rFonts w:ascii="Narkisim" w:hAnsi="Narkisim"/>
          <w:rtl/>
        </w:rPr>
        <w:t xml:space="preserve"> (רפ כח הנ"ל) דן דאינך מ"ד ס"ל קרא דקנין קנינו איצטריך באופן שהראשון אינו אוכל</w:t>
      </w:r>
      <w:r w:rsidRPr="00E14121">
        <w:rPr>
          <w:rStyle w:val="ac"/>
          <w:rFonts w:ascii="Narkisim" w:hAnsi="Narkisim"/>
          <w:rtl/>
        </w:rPr>
        <w:footnoteReference w:id="3970"/>
      </w:r>
      <w:r w:rsidRPr="00E14121">
        <w:rPr>
          <w:rFonts w:ascii="Narkisim" w:hAnsi="Narkisim"/>
          <w:rtl/>
        </w:rPr>
        <w:t xml:space="preserve"> [וילפי' יתורא דקרא דאפ"ה אוכל מחמת האדון]. אבל באופן שהראשון אוכל, א"כ פשיטא דמאכיל את השני. וכיון דלא איצטריך לזה קרא, א"כ אף קנין שלישי ורביעי מאכילים</w:t>
      </w:r>
      <w:r w:rsidRPr="00E14121">
        <w:rPr>
          <w:rStyle w:val="ac"/>
          <w:rFonts w:ascii="Narkisim" w:hAnsi="Narkisim"/>
          <w:rtl/>
        </w:rPr>
        <w:footnoteReference w:id="3971"/>
      </w:r>
      <w:r w:rsidRPr="00E14121">
        <w:rPr>
          <w:rFonts w:ascii="Narkisim" w:hAnsi="Narkisim"/>
          <w:rtl/>
        </w:rPr>
        <w:t xml:space="preserve"> [ודלא כס' החינוך הנ"ל].</w:t>
      </w:r>
    </w:p>
    <w:p w14:paraId="33F472FB"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(ז יח) פסק דמדאורייתא לא אכלי</w:t>
      </w:r>
      <w:r w:rsidRPr="00E14121">
        <w:rPr>
          <w:rStyle w:val="ac"/>
          <w:rFonts w:ascii="Narkisim" w:hAnsi="Narkisim" w:cs="Narkisim"/>
          <w:rtl/>
        </w:rPr>
        <w:footnoteReference w:id="3972"/>
      </w:r>
      <w:r w:rsidRPr="00E14121">
        <w:rPr>
          <w:rFonts w:ascii="Narkisim" w:hAnsi="Narkisim" w:cs="Narkisim"/>
          <w:rtl/>
        </w:rPr>
        <w:t>. [כרבינא</w:t>
      </w:r>
      <w:r w:rsidRPr="00E14121">
        <w:rPr>
          <w:rStyle w:val="ac"/>
          <w:rFonts w:ascii="Narkisim" w:hAnsi="Narkisim" w:cs="Narkisim"/>
          <w:rtl/>
        </w:rPr>
        <w:footnoteReference w:id="3973"/>
      </w:r>
      <w:r w:rsidRPr="00E14121">
        <w:rPr>
          <w:rFonts w:ascii="Narkisim" w:hAnsi="Narkisim" w:cs="Narkisim"/>
          <w:rtl/>
        </w:rPr>
        <w:t>].</w:t>
      </w:r>
    </w:p>
    <w:p w14:paraId="43EBDE66"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(תרומות ז כ) פסק דהנושא באיסור שניות אוכלת בתרומה [דאינו מתחללת</w:t>
      </w:r>
      <w:r w:rsidRPr="00E14121">
        <w:rPr>
          <w:rStyle w:val="ac"/>
          <w:rFonts w:ascii="Narkisim" w:hAnsi="Narkisim"/>
          <w:rtl/>
        </w:rPr>
        <w:footnoteReference w:id="3974"/>
      </w:r>
      <w:r w:rsidRPr="00E14121">
        <w:rPr>
          <w:rFonts w:ascii="Narkisim" w:hAnsi="Narkisim"/>
          <w:rtl/>
        </w:rPr>
        <w:t>], אבל עבדי מלוג אין אוכלים. [וה</w:t>
      </w:r>
      <w:r w:rsidRPr="00E14121">
        <w:rPr>
          <w:rFonts w:ascii="Narkisim" w:hAnsi="Narkisim"/>
          <w:b/>
          <w:bCs/>
          <w:rtl/>
        </w:rPr>
        <w:t>רדב”ז</w:t>
      </w:r>
      <w:r w:rsidRPr="00E14121">
        <w:rPr>
          <w:rFonts w:ascii="Narkisim" w:hAnsi="Narkisim"/>
          <w:rtl/>
        </w:rPr>
        <w:t xml:space="preserve"> הביא מקורו מהירושלמי, אך פשטות כוונת הירושלמי בתמיה]. וה</w:t>
      </w:r>
      <w:r w:rsidRPr="00E14121">
        <w:rPr>
          <w:rFonts w:ascii="Narkisim" w:hAnsi="Narkisim"/>
          <w:b/>
          <w:bCs/>
          <w:rtl/>
        </w:rPr>
        <w:t>אחרונים</w:t>
      </w:r>
      <w:r w:rsidRPr="00E14121">
        <w:rPr>
          <w:rFonts w:ascii="Narkisim" w:hAnsi="Narkisim"/>
          <w:rtl/>
        </w:rPr>
        <w:t xml:space="preserve"> תמהו דכיון דהיא אוכלת אמאי לא יאכלו עבדים מחמתה.</w:t>
      </w:r>
    </w:p>
    <w:p w14:paraId="4ABFD96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זכר יצחק</w:t>
      </w:r>
      <w:r w:rsidRPr="00E14121">
        <w:rPr>
          <w:rFonts w:ascii="Narkisim" w:hAnsi="Narkisim"/>
          <w:rtl/>
        </w:rPr>
        <w:t xml:space="preserve"> תי' דהיא אוכלת מקרא דכל טהור בביתך. אבל אינו מאכיל מדין קנין קנינו, כיון דכופין להוציא. [וצ"ע דאף בסוגיין כופין להוציא, והו"ל לגמ' לתרץ כן]. וה</w:t>
      </w:r>
      <w:r w:rsidRPr="00E14121">
        <w:rPr>
          <w:rFonts w:ascii="Narkisim" w:hAnsi="Narkisim"/>
          <w:b/>
          <w:bCs/>
          <w:rtl/>
        </w:rPr>
        <w:t>אבה”א</w:t>
      </w:r>
      <w:r w:rsidRPr="00E14121">
        <w:rPr>
          <w:rFonts w:ascii="Narkisim" w:hAnsi="Narkisim"/>
          <w:rtl/>
        </w:rPr>
        <w:t xml:space="preserve"> (קו' הנ”ל) פי' דבשנייה קנסו שאין לו זכות בנכסי מלוג שלה. וי"ל דהרמב"ם ס"ל כדעת הירושלמי דקנין קנינו אינו אוכל אא"כ יש לו בה זכות.</w:t>
      </w:r>
    </w:p>
    <w:p w14:paraId="3D032E69" w14:textId="77777777" w:rsidR="00F64AED" w:rsidRPr="00E14121" w:rsidRDefault="00F64AED" w:rsidP="00F64AED">
      <w:pPr>
        <w:bidi/>
        <w:rPr>
          <w:rFonts w:ascii="Narkisim" w:hAnsi="Narkisim" w:cs="Narkisim"/>
        </w:rPr>
      </w:pPr>
      <w:r w:rsidRPr="00E14121">
        <w:rPr>
          <w:rFonts w:ascii="Narkisim" w:hAnsi="Narkisim" w:cs="Narkisim"/>
          <w:u w:val="single"/>
          <w:rtl/>
        </w:rPr>
        <w:t>פומייהו הוא דכאיב.</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דעומדים ליתקן. וה</w:t>
      </w:r>
      <w:r w:rsidRPr="00E14121">
        <w:rPr>
          <w:rFonts w:ascii="Narkisim" w:hAnsi="Narkisim" w:cs="Narkisim"/>
          <w:b/>
          <w:bCs/>
          <w:rtl/>
        </w:rPr>
        <w:t>מאירי</w:t>
      </w:r>
      <w:r w:rsidRPr="00E14121">
        <w:rPr>
          <w:rFonts w:ascii="Narkisim" w:hAnsi="Narkisim" w:cs="Narkisim"/>
          <w:rtl/>
        </w:rPr>
        <w:t xml:space="preserve"> כת' דאע"ג דאיירי במתו אחיו מחמת מילה ואינו בר מילה (וע' לקמן ע.), אפ”ה אם יתברר בו סימני חוזק ובריאות חייב למול [וכ”כ שא”ר שם].</w:t>
      </w:r>
    </w:p>
    <w:p w14:paraId="3E18599F"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(לעיל מד. ד”ה כל) כת' דחרש נחשב עולה ליבום כיון דפומייהו הוא דכאיב [ולכאורה כוונתם להביא דברי הגמ' כאן]. ובפשוטו כוונת התוס' דכיון דהוה חסרון בהיכי תמצא נחשב 'בר חליצה', ולא תלי בהא דעומד לתקן</w:t>
      </w:r>
      <w:r w:rsidRPr="00E14121">
        <w:rPr>
          <w:rStyle w:val="ac"/>
          <w:rFonts w:ascii="Narkisim" w:hAnsi="Narkisim"/>
          <w:rtl/>
        </w:rPr>
        <w:footnoteReference w:id="3975"/>
      </w:r>
      <w:r w:rsidRPr="00E14121">
        <w:rPr>
          <w:rFonts w:ascii="Narkisim" w:hAnsi="Narkisim"/>
          <w:rtl/>
        </w:rPr>
        <w:t>. וה”נ בסוגיין נחשב 'בר אכילה' ולא בעינן שיהא עומד לתיקון</w:t>
      </w:r>
      <w:r w:rsidRPr="00E14121">
        <w:rPr>
          <w:rStyle w:val="ac"/>
          <w:rFonts w:ascii="Narkisim" w:hAnsi="Narkisim"/>
          <w:rtl/>
        </w:rPr>
        <w:footnoteReference w:id="3976"/>
      </w:r>
      <w:r w:rsidRPr="00E14121">
        <w:rPr>
          <w:rFonts w:ascii="Narkisim" w:hAnsi="Narkisim"/>
          <w:rtl/>
        </w:rPr>
        <w:t>.</w:t>
      </w:r>
    </w:p>
    <w:p w14:paraId="4732FCAE" w14:textId="77777777" w:rsidR="00F64AED" w:rsidRPr="00E14121" w:rsidRDefault="00F64AED" w:rsidP="00F64AED">
      <w:pPr>
        <w:pStyle w:val="a7"/>
        <w:bidi/>
        <w:rPr>
          <w:rFonts w:ascii="Narkisim" w:hAnsi="Narkisim"/>
        </w:rPr>
      </w:pPr>
      <w:r w:rsidRPr="00E14121">
        <w:rPr>
          <w:rFonts w:ascii="Narkisim" w:hAnsi="Narkisim"/>
          <w:rtl/>
        </w:rPr>
        <w:t>וב</w:t>
      </w:r>
      <w:r w:rsidRPr="00E14121">
        <w:rPr>
          <w:rFonts w:ascii="Narkisim" w:hAnsi="Narkisim"/>
          <w:b/>
          <w:bCs/>
          <w:rtl/>
        </w:rPr>
        <w:t>ירושלמי</w:t>
      </w:r>
      <w:r w:rsidRPr="00E14121">
        <w:rPr>
          <w:rFonts w:ascii="Narkisim" w:hAnsi="Narkisim"/>
          <w:rtl/>
        </w:rPr>
        <w:t xml:space="preserve"> איתא דעבד ערל אינו מאכיל בתרומה. וה</w:t>
      </w:r>
      <w:r w:rsidRPr="00E14121">
        <w:rPr>
          <w:rFonts w:ascii="Narkisim" w:hAnsi="Narkisim"/>
          <w:b/>
          <w:bCs/>
          <w:rtl/>
        </w:rPr>
        <w:t>קר"א</w:t>
      </w:r>
      <w:r w:rsidRPr="00E14121">
        <w:rPr>
          <w:rFonts w:ascii="Narkisim" w:hAnsi="Narkisim"/>
          <w:rtl/>
        </w:rPr>
        <w:t xml:space="preserve"> כת' דהירושלמי ס"ל דערל נחשב 'אינו אוכל', ודלא כסוגיין. ושוב דחה דדוקא עבד דאינו מאכיל אא"כ הוא עצמו אוכל.</w:t>
      </w:r>
    </w:p>
    <w:p w14:paraId="0A1489D6" w14:textId="77777777" w:rsidR="00F64AED" w:rsidRPr="00E14121" w:rsidRDefault="00F64AED" w:rsidP="00F64AED">
      <w:pPr>
        <w:pStyle w:val="aa"/>
        <w:bidi/>
        <w:rPr>
          <w:rFonts w:ascii="Narkisim" w:hAnsi="Narkisim"/>
        </w:rPr>
      </w:pPr>
      <w:r w:rsidRPr="00E14121">
        <w:rPr>
          <w:rFonts w:ascii="Narkisim" w:hAnsi="Narkisim"/>
          <w:u w:val="single"/>
          <w:rtl/>
        </w:rPr>
        <w:t>והרי ממזר שאין אוכל ומאכיל וכו'.</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שמאכיל את</w:t>
      </w:r>
      <w:r w:rsidRPr="00E14121">
        <w:rPr>
          <w:rFonts w:ascii="Narkisim" w:hAnsi="Narkisim"/>
          <w:b/>
          <w:bCs/>
          <w:rtl/>
        </w:rPr>
        <w:t xml:space="preserve"> </w:t>
      </w:r>
      <w:r w:rsidRPr="00E14121">
        <w:rPr>
          <w:rFonts w:ascii="Narkisim" w:hAnsi="Narkisim"/>
          <w:rtl/>
        </w:rPr>
        <w:t>אם אמו, שיש לה זרע מהכהן. ומבואר דגדר אוכלת משום בנה, שהבן 'מאכיל' את אמו. ולא רק דהוה סיבה שיש קשר לבעלה. (וע"ע לקמן סז: וסט:).</w:t>
      </w:r>
    </w:p>
    <w:p w14:paraId="50F89C6D" w14:textId="77777777" w:rsidR="00F64AED" w:rsidRPr="00E14121" w:rsidRDefault="00F64AED" w:rsidP="00F64AED">
      <w:pPr>
        <w:bidi/>
        <w:rPr>
          <w:rFonts w:ascii="Narkisim" w:hAnsi="Narkisim" w:cs="Narkisim"/>
        </w:rPr>
      </w:pPr>
      <w:r w:rsidRPr="00E14121">
        <w:rPr>
          <w:rFonts w:ascii="Narkisim" w:hAnsi="Narkisim" w:cs="Narkisim"/>
          <w:u w:val="single"/>
          <w:rtl/>
        </w:rPr>
        <w:t>רש"י ד"ה באלמנה כהנת.</w:t>
      </w:r>
      <w:r w:rsidRPr="00E14121">
        <w:rPr>
          <w:rFonts w:ascii="Narkisim" w:hAnsi="Narkisim" w:cs="Narkisim"/>
          <w:rtl/>
        </w:rPr>
        <w:t xml:space="preserve"> דלא גרעה הך אלמנה מעבד שקנה עבדים. ה</w:t>
      </w:r>
      <w:r w:rsidRPr="00E14121">
        <w:rPr>
          <w:rFonts w:ascii="Narkisim" w:hAnsi="Narkisim" w:cs="Narkisim"/>
          <w:b/>
          <w:bCs/>
          <w:rtl/>
        </w:rPr>
        <w:t>מהרש"א</w:t>
      </w:r>
      <w:r w:rsidRPr="00E14121">
        <w:rPr>
          <w:rFonts w:ascii="Narkisim" w:hAnsi="Narkisim" w:cs="Narkisim"/>
          <w:rtl/>
        </w:rPr>
        <w:t xml:space="preserve"> ביאר דקושיית הגמ' [בתחילת הסוגיה] רק מעבד שקנה עבדים, דלא גרע אשה פסולה מעבד, אבל מהא דתניא אשה שקנתה עבדים לק”מ, דאוכלים כיון דהאשה כשירה לינשא לכהונה. [ועפ”ז תי' קושיית תוד”ה מנין].</w:t>
      </w:r>
    </w:p>
    <w:p w14:paraId="6C95D896" w14:textId="77777777" w:rsidR="00F64AED" w:rsidRPr="00E14121" w:rsidRDefault="00F64AED" w:rsidP="00F64AED">
      <w:pPr>
        <w:pStyle w:val="2"/>
        <w:bidi/>
        <w:rPr>
          <w:rFonts w:ascii="Narkisim" w:hAnsi="Narkisim"/>
          <w:sz w:val="21"/>
        </w:rPr>
      </w:pPr>
      <w:r w:rsidRPr="00E14121">
        <w:rPr>
          <w:rFonts w:ascii="Narkisim" w:hAnsi="Narkisim"/>
          <w:sz w:val="21"/>
          <w:rtl/>
        </w:rPr>
        <w:t>הדין עמה</w:t>
      </w:r>
    </w:p>
    <w:p w14:paraId="4BA2EE46" w14:textId="77777777" w:rsidR="00F64AED" w:rsidRPr="00E14121" w:rsidRDefault="00F64AED" w:rsidP="00F64AED">
      <w:pPr>
        <w:bidi/>
        <w:rPr>
          <w:rFonts w:ascii="Narkisim" w:hAnsi="Narkisim" w:cs="Narkisim"/>
        </w:rPr>
      </w:pPr>
      <w:r w:rsidRPr="00E14121">
        <w:rPr>
          <w:rFonts w:ascii="Narkisim" w:hAnsi="Narkisim" w:cs="Narkisim"/>
          <w:u w:val="single"/>
          <w:rtl/>
        </w:rPr>
        <w:t>איתמר המכנסת שום לבעלה וכו' והוא אומר דמים אני נותן</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כמו שקבלתי עלי שומא, ומאז הן באחריותי ושלי הן. דע”י חיוב האחריות נחשב 'שלו'. ועד”ז מבואר בגמ' (ב"מ ע:) במקבל צאן ברזל, דכיון דקיבל עליו אחריות יש איסור ריבית [דנחשב הלואה</w:t>
      </w:r>
      <w:r w:rsidRPr="00E14121">
        <w:rPr>
          <w:rStyle w:val="ac"/>
          <w:rFonts w:ascii="Narkisim" w:hAnsi="Narkisim" w:cs="Narkisim"/>
          <w:rtl/>
        </w:rPr>
        <w:footnoteReference w:id="3977"/>
      </w:r>
      <w:r w:rsidRPr="00E14121">
        <w:rPr>
          <w:rFonts w:ascii="Narkisim" w:hAnsi="Narkisim" w:cs="Narkisim"/>
          <w:rtl/>
        </w:rPr>
        <w:t xml:space="preserve">]. </w:t>
      </w:r>
      <w:r w:rsidRPr="00E14121">
        <w:rPr>
          <w:rFonts w:ascii="Narkisim" w:hAnsi="Narkisim" w:cs="Narkisim"/>
          <w:rtl/>
        </w:rPr>
        <w:lastRenderedPageBreak/>
        <w:t>ובגמ' (שם) איתא אלמא ברשות מקבל</w:t>
      </w:r>
      <w:r w:rsidRPr="00E14121">
        <w:rPr>
          <w:rStyle w:val="ac"/>
          <w:rFonts w:ascii="Narkisim" w:hAnsi="Narkisim" w:cs="Narkisim"/>
          <w:rtl/>
        </w:rPr>
        <w:footnoteReference w:id="3978"/>
      </w:r>
      <w:r w:rsidRPr="00E14121">
        <w:rPr>
          <w:rFonts w:ascii="Narkisim" w:hAnsi="Narkisim" w:cs="Narkisim"/>
          <w:rtl/>
        </w:rPr>
        <w:t xml:space="preserve"> קיימא</w:t>
      </w:r>
      <w:r w:rsidRPr="00E14121">
        <w:rPr>
          <w:rStyle w:val="ac"/>
          <w:rFonts w:ascii="Narkisim" w:hAnsi="Narkisim" w:cs="Narkisim"/>
          <w:rtl/>
        </w:rPr>
        <w:footnoteReference w:id="3979"/>
      </w:r>
      <w:r w:rsidRPr="00E14121">
        <w:rPr>
          <w:rFonts w:ascii="Narkisim" w:hAnsi="Narkisim" w:cs="Narkisim"/>
          <w:rtl/>
        </w:rPr>
        <w:t>.</w:t>
      </w:r>
    </w:p>
    <w:p w14:paraId="449BCFF7" w14:textId="77777777" w:rsidR="00F64AED" w:rsidRPr="00E14121" w:rsidRDefault="00F64AED" w:rsidP="00F64AED">
      <w:pPr>
        <w:pStyle w:val="a8"/>
        <w:bidi/>
        <w:rPr>
          <w:rFonts w:ascii="Narkisim" w:hAnsi="Narkisim"/>
        </w:rPr>
      </w:pPr>
      <w:r w:rsidRPr="00E14121">
        <w:rPr>
          <w:rFonts w:ascii="Narkisim" w:hAnsi="Narkisim"/>
          <w:rtl/>
        </w:rPr>
        <w:t>ובפשוטו שורש הנידון באומדנא [או בתקנ"ח] האם נתכוונו שיקנה</w:t>
      </w:r>
      <w:r w:rsidRPr="00E14121">
        <w:rPr>
          <w:rStyle w:val="ac"/>
          <w:rFonts w:ascii="Narkisim" w:hAnsi="Narkisim"/>
          <w:rtl/>
        </w:rPr>
        <w:footnoteReference w:id="3980"/>
      </w:r>
      <w:r w:rsidRPr="00E14121">
        <w:rPr>
          <w:rFonts w:ascii="Narkisim" w:hAnsi="Narkisim"/>
          <w:rtl/>
        </w:rPr>
        <w:t>, או דהוה קבלת אחריות בעלמא. אך יש שדנו דעצם האחריות מגדיר שיחשב של מקבל [וע”ע בסמוך].</w:t>
      </w:r>
    </w:p>
    <w:p w14:paraId="28861D16" w14:textId="77777777" w:rsidR="00F64AED" w:rsidRPr="00E14121" w:rsidRDefault="00F64AED" w:rsidP="00F64AED">
      <w:pPr>
        <w:pStyle w:val="3"/>
        <w:bidi/>
        <w:rPr>
          <w:rFonts w:ascii="Narkisim" w:hAnsi="Narkisim"/>
        </w:rPr>
      </w:pPr>
      <w:r w:rsidRPr="00E14121">
        <w:rPr>
          <w:rFonts w:ascii="Narkisim" w:hAnsi="Narkisim"/>
          <w:rtl/>
        </w:rPr>
        <w:t>דף סו:</w:t>
      </w:r>
    </w:p>
    <w:p w14:paraId="3C168D1D" w14:textId="77777777" w:rsidR="00F64AED" w:rsidRPr="00E14121" w:rsidRDefault="00F64AED" w:rsidP="00F64AED">
      <w:pPr>
        <w:bidi/>
        <w:rPr>
          <w:rFonts w:ascii="Narkisim" w:hAnsi="Narkisim" w:cs="Narkisim"/>
        </w:rPr>
      </w:pPr>
      <w:r w:rsidRPr="00E14121">
        <w:rPr>
          <w:rFonts w:ascii="Narkisim" w:hAnsi="Narkisim" w:cs="Narkisim"/>
          <w:u w:val="single"/>
          <w:rtl/>
        </w:rPr>
        <w:t>רב יהודה אמר הדין עמה.</w:t>
      </w:r>
      <w:r w:rsidRPr="00E14121">
        <w:rPr>
          <w:rFonts w:ascii="Narkisim" w:hAnsi="Narkisim" w:cs="Narkisim"/>
          <w:rtl/>
        </w:rPr>
        <w:t xml:space="preserve"> בפשוטו דעת רב יהודה דגוף הכלי הוה שלה</w:t>
      </w:r>
      <w:r w:rsidRPr="00E14121">
        <w:rPr>
          <w:rStyle w:val="ac"/>
          <w:rFonts w:ascii="Narkisim" w:hAnsi="Narkisim" w:cs="Narkisim"/>
          <w:rtl/>
        </w:rPr>
        <w:footnoteReference w:id="3981"/>
      </w:r>
      <w:r w:rsidRPr="00E14121">
        <w:rPr>
          <w:rFonts w:ascii="Narkisim" w:hAnsi="Narkisim" w:cs="Narkisim"/>
          <w:rtl/>
        </w:rPr>
        <w:t>, ואף שהבעל קיבל אחריות. ומש"ה תובעת את הכלי שלה. אבל ב</w:t>
      </w:r>
      <w:r w:rsidRPr="00E14121">
        <w:rPr>
          <w:rFonts w:ascii="Narkisim" w:hAnsi="Narkisim" w:cs="Narkisim"/>
          <w:b/>
          <w:bCs/>
          <w:rtl/>
        </w:rPr>
        <w:t>תוס' חד מקמאי</w:t>
      </w:r>
      <w:r w:rsidRPr="00E14121">
        <w:rPr>
          <w:rFonts w:ascii="Narkisim" w:hAnsi="Narkisim" w:cs="Narkisim"/>
          <w:rtl/>
        </w:rPr>
        <w:t xml:space="preserve"> כת' דכ”ש אם אומרת דמים אני נוטלת [והוא רוצה לתת החפץ], דהדין עמה</w:t>
      </w:r>
      <w:r w:rsidRPr="00E14121">
        <w:rPr>
          <w:rStyle w:val="ac"/>
          <w:rFonts w:ascii="Narkisim" w:hAnsi="Narkisim" w:cs="Narkisim"/>
          <w:rtl/>
        </w:rPr>
        <w:footnoteReference w:id="3982"/>
      </w:r>
      <w:r w:rsidRPr="00E14121">
        <w:rPr>
          <w:rFonts w:ascii="Narkisim" w:hAnsi="Narkisim" w:cs="Narkisim"/>
          <w:rtl/>
        </w:rPr>
        <w:t>. ומבואר דהוה זכות תביעה בעלמא לקבל את גוף הכלי.</w:t>
      </w:r>
    </w:p>
    <w:p w14:paraId="48306D3F" w14:textId="77777777" w:rsidR="00F64AED" w:rsidRPr="00E14121" w:rsidRDefault="00F64AED" w:rsidP="00F64AED">
      <w:pPr>
        <w:pStyle w:val="a7"/>
        <w:bidi/>
        <w:rPr>
          <w:rFonts w:ascii="Narkisim" w:hAnsi="Narkisim"/>
        </w:rPr>
      </w:pPr>
      <w:r w:rsidRPr="00E14121">
        <w:rPr>
          <w:rFonts w:ascii="Narkisim" w:hAnsi="Narkisim"/>
          <w:rtl/>
        </w:rPr>
        <w:t>אך דעת ה</w:t>
      </w:r>
      <w:r w:rsidRPr="00E14121">
        <w:rPr>
          <w:rFonts w:ascii="Narkisim" w:hAnsi="Narkisim"/>
          <w:b/>
          <w:bCs/>
          <w:rtl/>
        </w:rPr>
        <w:t>ריב"ש</w:t>
      </w:r>
      <w:r w:rsidRPr="00E14121">
        <w:rPr>
          <w:rFonts w:ascii="Narkisim" w:hAnsi="Narkisim"/>
          <w:rtl/>
        </w:rPr>
        <w:t xml:space="preserve"> (כב וק) דאינה יכולה לתבוע מעות, דכיון דהבעל אינו יכול למוכרם עדיפי מאפותיקי מפורש, ויכול לומר לה טלי כליך. וכ”פ ה</w:t>
      </w:r>
      <w:r w:rsidRPr="00E14121">
        <w:rPr>
          <w:rFonts w:ascii="Narkisim" w:hAnsi="Narkisim"/>
          <w:b/>
          <w:bCs/>
          <w:rtl/>
        </w:rPr>
        <w:t>שו"ע</w:t>
      </w:r>
      <w:r w:rsidRPr="00E14121">
        <w:rPr>
          <w:rFonts w:ascii="Narkisim" w:hAnsi="Narkisim"/>
          <w:rtl/>
        </w:rPr>
        <w:t xml:space="preserve"> (פח ד).</w:t>
      </w:r>
    </w:p>
    <w:p w14:paraId="04DBF051" w14:textId="77777777" w:rsidR="00F64AED" w:rsidRPr="00E14121" w:rsidRDefault="00F64AED" w:rsidP="00F64AED">
      <w:pPr>
        <w:pStyle w:val="aa"/>
        <w:bidi/>
        <w:rPr>
          <w:rFonts w:ascii="Narkisim" w:hAnsi="Narkisim"/>
        </w:rPr>
      </w:pPr>
      <w:r w:rsidRPr="00E14121">
        <w:rPr>
          <w:rFonts w:ascii="Narkisim" w:hAnsi="Narkisim"/>
          <w:u w:val="single"/>
          <w:rtl/>
        </w:rPr>
        <w:t>משום שבח בית אביה</w:t>
      </w:r>
      <w:r w:rsidRPr="00E14121">
        <w:rPr>
          <w:rStyle w:val="ac"/>
          <w:rFonts w:ascii="Narkisim" w:hAnsi="Narkisim"/>
          <w:u w:val="single"/>
          <w:rtl/>
        </w:rPr>
        <w:footnoteReference w:id="3983"/>
      </w:r>
      <w:r w:rsidRPr="00E14121">
        <w:rPr>
          <w:rFonts w:ascii="Narkisim" w:hAnsi="Narkisim"/>
          <w:u w:val="single"/>
          <w:rtl/>
        </w:rPr>
        <w:t>.</w:t>
      </w:r>
      <w:r w:rsidRPr="00E14121">
        <w:rPr>
          <w:rFonts w:ascii="Narkisim" w:hAnsi="Narkisim"/>
          <w:rtl/>
        </w:rPr>
        <w:t xml:space="preserve"> קצת משמע דהוה סברא דוקא בנכסי אביה, אבל בעלמא המקבל צאן ברזל (כדתנן ב"מ ע:) יהא לכו"ע הדין עם המקבל, ואי"צ להחזיר החפץ</w:t>
      </w:r>
      <w:r w:rsidRPr="00E14121">
        <w:rPr>
          <w:rStyle w:val="ac"/>
          <w:rFonts w:ascii="Narkisim" w:hAnsi="Narkisim"/>
          <w:rtl/>
        </w:rPr>
        <w:footnoteReference w:id="3984"/>
      </w:r>
      <w:r w:rsidRPr="00E14121">
        <w:rPr>
          <w:rFonts w:ascii="Narkisim" w:hAnsi="Narkisim"/>
          <w:rtl/>
        </w:rPr>
        <w:t>. וכ"כ ה</w:t>
      </w:r>
      <w:r w:rsidRPr="00E14121">
        <w:rPr>
          <w:rFonts w:ascii="Narkisim" w:hAnsi="Narkisim"/>
          <w:b/>
          <w:bCs/>
          <w:rtl/>
        </w:rPr>
        <w:t>מאירי</w:t>
      </w:r>
      <w:r w:rsidRPr="00E14121">
        <w:rPr>
          <w:rFonts w:ascii="Narkisim" w:hAnsi="Narkisim"/>
          <w:rtl/>
        </w:rPr>
        <w:t xml:space="preserve"> (בסמוך).</w:t>
      </w:r>
    </w:p>
    <w:p w14:paraId="049F1285" w14:textId="77777777" w:rsidR="00F64AED" w:rsidRPr="00E14121" w:rsidRDefault="00F64AED" w:rsidP="00F64AED">
      <w:pPr>
        <w:bidi/>
        <w:rPr>
          <w:rFonts w:ascii="Narkisim" w:hAnsi="Narkisim" w:cs="Narkisim"/>
        </w:rPr>
      </w:pPr>
      <w:r w:rsidRPr="00E14121">
        <w:rPr>
          <w:rFonts w:ascii="Narkisim" w:hAnsi="Narkisim" w:cs="Narkisim"/>
          <w:u w:val="single"/>
          <w:rtl/>
        </w:rPr>
        <w:t>ר' אמי אמר הדין עמו וכו'.</w:t>
      </w:r>
      <w:r w:rsidRPr="00E14121">
        <w:rPr>
          <w:rFonts w:ascii="Narkisim" w:hAnsi="Narkisim" w:cs="Narkisim"/>
          <w:rtl/>
        </w:rPr>
        <w:t xml:space="preserve"> בגמ' (גיטין מד:) מיבעי הכניסה לו עבדים האם נחשב מכירה </w:t>
      </w:r>
      <w:r w:rsidRPr="00E14121">
        <w:rPr>
          <w:rFonts w:ascii="Narkisim" w:hAnsi="Narkisim" w:cs="Narkisim"/>
          <w:sz w:val="20"/>
          <w:szCs w:val="20"/>
          <w:rtl/>
        </w:rPr>
        <w:t>[דהמוכר עבדו לחו"ל יצא לחירות]</w:t>
      </w:r>
      <w:r w:rsidRPr="00E14121">
        <w:rPr>
          <w:rFonts w:ascii="Narkisim" w:hAnsi="Narkisim" w:cs="Narkisim"/>
          <w:rtl/>
        </w:rPr>
        <w:t>, תיבעי למ"ד הדין עמו, כדידיה דמי, או או דילמא לא קני לגופיה כדידה דמי, תיקו. ומבואר דאף למ"ד הדין עמו יש לאשה עדיין חלק בעבדים [וכדידה דמי], ולא נחשב חוב ממון בעלמא.</w:t>
      </w:r>
    </w:p>
    <w:p w14:paraId="6596298B" w14:textId="77777777" w:rsidR="00F64AED" w:rsidRPr="00E14121" w:rsidRDefault="00F64AED" w:rsidP="00F64AED">
      <w:pPr>
        <w:pStyle w:val="a7"/>
        <w:bidi/>
        <w:rPr>
          <w:rFonts w:ascii="Narkisim" w:hAnsi="Narkisim"/>
        </w:rPr>
      </w:pPr>
      <w:r w:rsidRPr="00E14121">
        <w:rPr>
          <w:rFonts w:ascii="Narkisim" w:hAnsi="Narkisim"/>
          <w:rtl/>
        </w:rPr>
        <w:t>ופ</w:t>
      </w:r>
      <w:r w:rsidRPr="00E14121">
        <w:rPr>
          <w:rFonts w:ascii="Narkisim" w:hAnsi="Narkisim"/>
          <w:b/>
          <w:bCs/>
          <w:rtl/>
        </w:rPr>
        <w:t>רש"י</w:t>
      </w:r>
      <w:r w:rsidRPr="00E14121">
        <w:rPr>
          <w:rFonts w:ascii="Narkisim" w:hAnsi="Narkisim"/>
          <w:rtl/>
        </w:rPr>
        <w:t xml:space="preserve"> (שם) דאי מיית או מגרש הדרי לה. וצ"ב שהרי יכול לסלקו בזוזי, ואי"צ להחזיר כלי זה</w:t>
      </w:r>
      <w:r w:rsidRPr="00E14121">
        <w:rPr>
          <w:rStyle w:val="ac"/>
          <w:rFonts w:ascii="Narkisim" w:hAnsi="Narkisim"/>
          <w:rtl/>
        </w:rPr>
        <w:footnoteReference w:id="3985"/>
      </w:r>
      <w:r w:rsidRPr="00E14121">
        <w:rPr>
          <w:rFonts w:ascii="Narkisim" w:hAnsi="Narkisim"/>
          <w:rtl/>
        </w:rPr>
        <w:t>. וה</w:t>
      </w:r>
      <w:r w:rsidRPr="00E14121">
        <w:rPr>
          <w:rFonts w:ascii="Narkisim" w:hAnsi="Narkisim"/>
          <w:b/>
          <w:bCs/>
          <w:rtl/>
        </w:rPr>
        <w:t>מהרש"א</w:t>
      </w:r>
      <w:r w:rsidRPr="00E14121">
        <w:rPr>
          <w:rFonts w:ascii="Narkisim" w:hAnsi="Narkisim"/>
          <w:rtl/>
        </w:rPr>
        <w:t xml:space="preserve"> (גיטין) פי' דכל זמן שאינו מסלקו במילתא אחריתי, עדיין לא יצא מרשותה</w:t>
      </w:r>
      <w:r w:rsidRPr="00E14121">
        <w:rPr>
          <w:rStyle w:val="ac"/>
          <w:rFonts w:ascii="Narkisim" w:hAnsi="Narkisim"/>
          <w:rtl/>
        </w:rPr>
        <w:footnoteReference w:id="3986"/>
      </w:r>
      <w:r w:rsidRPr="00E14121">
        <w:rPr>
          <w:rFonts w:ascii="Narkisim" w:hAnsi="Narkisim"/>
          <w:rtl/>
        </w:rPr>
        <w:t>. וה</w:t>
      </w:r>
      <w:r w:rsidRPr="00E14121">
        <w:rPr>
          <w:rFonts w:ascii="Narkisim" w:hAnsi="Narkisim"/>
          <w:b/>
          <w:bCs/>
          <w:rtl/>
        </w:rPr>
        <w:t>רמב"ן</w:t>
      </w:r>
      <w:r w:rsidRPr="00E14121">
        <w:rPr>
          <w:rFonts w:ascii="Narkisim" w:hAnsi="Narkisim"/>
          <w:rtl/>
        </w:rPr>
        <w:t xml:space="preserve"> ו</w:t>
      </w:r>
      <w:r w:rsidRPr="00E14121">
        <w:rPr>
          <w:rFonts w:ascii="Narkisim" w:hAnsi="Narkisim"/>
          <w:b/>
          <w:bCs/>
          <w:rtl/>
        </w:rPr>
        <w:t>רשב"א</w:t>
      </w:r>
      <w:r w:rsidRPr="00E14121">
        <w:rPr>
          <w:rFonts w:ascii="Narkisim" w:hAnsi="Narkisim"/>
          <w:rtl/>
        </w:rPr>
        <w:t xml:space="preserve"> (גיטין שם) פי' דמסתמא עומדים להגבותם, ובאיתנהו בענייהו אין לה תביעה אלא עליהם</w:t>
      </w:r>
      <w:r w:rsidRPr="00E14121">
        <w:rPr>
          <w:rStyle w:val="ac"/>
          <w:rFonts w:ascii="Narkisim" w:hAnsi="Narkisim"/>
          <w:rtl/>
        </w:rPr>
        <w:footnoteReference w:id="3987"/>
      </w:r>
      <w:r w:rsidRPr="00E14121">
        <w:rPr>
          <w:rFonts w:ascii="Narkisim" w:hAnsi="Narkisim"/>
          <w:rtl/>
        </w:rPr>
        <w:t>.</w:t>
      </w:r>
    </w:p>
    <w:p w14:paraId="4CC4A04C"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מאירי</w:t>
      </w:r>
      <w:r w:rsidRPr="00E14121">
        <w:rPr>
          <w:rFonts w:ascii="Narkisim" w:hAnsi="Narkisim"/>
          <w:rtl/>
        </w:rPr>
        <w:t xml:space="preserve"> (בסוגיין) כת' דאינו יכול לסלק בשאר מטלטלין, אלא בזוזי.</w:t>
      </w:r>
    </w:p>
    <w:p w14:paraId="2E46658B" w14:textId="77777777" w:rsidR="00F64AED" w:rsidRPr="00E14121" w:rsidRDefault="00F64AED" w:rsidP="00F64AED">
      <w:pPr>
        <w:bidi/>
        <w:rPr>
          <w:rFonts w:ascii="Narkisim" w:hAnsi="Narkisim" w:cs="Narkisim"/>
        </w:rPr>
      </w:pPr>
      <w:r w:rsidRPr="00E14121">
        <w:rPr>
          <w:rFonts w:ascii="Narkisim" w:hAnsi="Narkisim" w:cs="Narkisim"/>
          <w:u w:val="single"/>
          <w:rtl/>
        </w:rPr>
        <w:t>ר' אמי אמר וכו' הואיל וחייב באחריותן יאכלו וכו'.</w:t>
      </w:r>
      <w:r w:rsidRPr="00E14121">
        <w:rPr>
          <w:rFonts w:ascii="Narkisim" w:hAnsi="Narkisim" w:cs="Narkisim"/>
          <w:rtl/>
        </w:rPr>
        <w:t xml:space="preserve"> ורב ספרא דחה דלעולם לאו דידיה הוא. מבואר דלרב יהודה כיון דהדין עמה נחשב 'לאו דידיה'. ובפשוטו מבואר דאף קודם גוביינא הוה נכסים שלה, וכ”כ ה</w:t>
      </w:r>
      <w:r w:rsidRPr="00E14121">
        <w:rPr>
          <w:rFonts w:ascii="Narkisim" w:hAnsi="Narkisim" w:cs="Narkisim"/>
          <w:b/>
          <w:bCs/>
          <w:rtl/>
        </w:rPr>
        <w:t>ריטב”א</w:t>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כתב דרבא (בסוף העמ') פליג וס”ל דכיון דמחוסרין גוביינא כדידיה (וכ”מ ב</w:t>
      </w:r>
      <w:r w:rsidRPr="00E14121">
        <w:rPr>
          <w:rFonts w:ascii="Narkisim" w:hAnsi="Narkisim" w:cs="Narkisim"/>
          <w:b/>
          <w:bCs/>
          <w:rtl/>
        </w:rPr>
        <w:t>רשב”א</w:t>
      </w:r>
      <w:r w:rsidRPr="00E14121">
        <w:rPr>
          <w:rFonts w:ascii="Narkisim" w:hAnsi="Narkisim" w:cs="Narkisim"/>
          <w:rtl/>
        </w:rPr>
        <w:t xml:space="preserve"> בסמוך).</w:t>
      </w:r>
    </w:p>
    <w:p w14:paraId="5DB2487B" w14:textId="77777777" w:rsidR="00F64AED" w:rsidRPr="00E14121" w:rsidRDefault="00F64AED" w:rsidP="00F64AED">
      <w:pPr>
        <w:pStyle w:val="a7"/>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(ד“ה עבדי) משמע דאין בזה מח', ואף דמחוסר גוביינא חשיב כספו לענין תרומה. וה</w:t>
      </w:r>
      <w:r w:rsidRPr="00E14121">
        <w:rPr>
          <w:rFonts w:ascii="Narkisim" w:hAnsi="Narkisim"/>
          <w:b/>
          <w:bCs/>
          <w:rtl/>
        </w:rPr>
        <w:t>תו"י</w:t>
      </w:r>
      <w:r w:rsidRPr="00E14121">
        <w:rPr>
          <w:rFonts w:ascii="Narkisim" w:hAnsi="Narkisim"/>
          <w:rtl/>
        </w:rPr>
        <w:t xml:space="preserve"> ביאר דר' יהודה ס"ל דכיון דהבעל אינו יכול למכור לאו כדידיה דמו, דאין גופן קנוי לו</w:t>
      </w:r>
      <w:r w:rsidRPr="00E14121">
        <w:rPr>
          <w:rStyle w:val="ac"/>
          <w:rFonts w:ascii="Narkisim" w:hAnsi="Narkisim"/>
          <w:rtl/>
        </w:rPr>
        <w:footnoteReference w:id="3988"/>
      </w:r>
      <w:r w:rsidRPr="00E14121">
        <w:rPr>
          <w:rFonts w:ascii="Narkisim" w:hAnsi="Narkisim"/>
          <w:rtl/>
        </w:rPr>
        <w:t>.</w:t>
      </w:r>
    </w:p>
    <w:p w14:paraId="1B937F5C" w14:textId="77777777" w:rsidR="00F64AED" w:rsidRPr="00E14121" w:rsidRDefault="00F64AED" w:rsidP="00F64AED">
      <w:pPr>
        <w:bidi/>
        <w:rPr>
          <w:rFonts w:ascii="Narkisim" w:hAnsi="Narkisim" w:cs="Narkisim"/>
        </w:rPr>
      </w:pPr>
      <w:r w:rsidRPr="00E14121">
        <w:rPr>
          <w:rFonts w:ascii="Narkisim" w:hAnsi="Narkisim" w:cs="Narkisim"/>
          <w:u w:val="single"/>
          <w:rtl/>
        </w:rPr>
        <w:lastRenderedPageBreak/>
        <w:t>שם.</w:t>
      </w:r>
      <w:r w:rsidRPr="00E14121">
        <w:rPr>
          <w:rFonts w:ascii="Narkisim" w:hAnsi="Narkisim" w:cs="Narkisim"/>
          <w:rtl/>
        </w:rPr>
        <w:t xml:space="preserve"> בפשוטו משמע דמח' ר' אמי ור' יהודה האם נכסי צאן ברזל נקנים לבעל, ובזמן חיוב הכתובה הוה חוב להחזיר. או דהוה נכסים שלה, והבעל הוה כשומר בעלמא שנתחייב באחריות בעלמא עליהם</w:t>
      </w:r>
      <w:r w:rsidRPr="00E14121">
        <w:rPr>
          <w:rStyle w:val="ac"/>
          <w:rFonts w:ascii="Narkisim" w:hAnsi="Narkisim" w:cs="Narkisim"/>
          <w:rtl/>
        </w:rPr>
        <w:footnoteReference w:id="3989"/>
      </w:r>
      <w:r w:rsidRPr="00E14121">
        <w:rPr>
          <w:rFonts w:ascii="Narkisim" w:hAnsi="Narkisim" w:cs="Narkisim"/>
          <w:rtl/>
        </w:rPr>
        <w:t>. [ועוד נח' האם סגי בחיוב אחריות להחשב בעלים לענין תרומה] [וע”ע ברכ”ש כ ג דהאריך בזה]</w:t>
      </w:r>
      <w:r w:rsidRPr="00E14121">
        <w:rPr>
          <w:rStyle w:val="ac"/>
          <w:rFonts w:ascii="Narkisim" w:hAnsi="Narkisim" w:cs="Narkisim"/>
          <w:rtl/>
        </w:rPr>
        <w:footnoteReference w:id="3990"/>
      </w:r>
      <w:r w:rsidRPr="00E14121">
        <w:rPr>
          <w:rFonts w:ascii="Narkisim" w:hAnsi="Narkisim" w:cs="Narkisim"/>
          <w:rtl/>
        </w:rPr>
        <w:t>.</w:t>
      </w:r>
    </w:p>
    <w:p w14:paraId="0489BCC0" w14:textId="77777777" w:rsidR="00F64AED" w:rsidRPr="00E14121" w:rsidRDefault="00F64AED" w:rsidP="00F64AED">
      <w:pPr>
        <w:pStyle w:val="a8"/>
        <w:bidi/>
        <w:rPr>
          <w:rFonts w:ascii="Narkisim" w:hAnsi="Narkisim"/>
        </w:rPr>
      </w:pPr>
      <w:r w:rsidRPr="00E14121">
        <w:rPr>
          <w:rFonts w:ascii="Narkisim" w:hAnsi="Narkisim"/>
          <w:rtl/>
        </w:rPr>
        <w:t>אבל ה</w:t>
      </w:r>
      <w:r w:rsidRPr="00E14121">
        <w:rPr>
          <w:rFonts w:ascii="Narkisim" w:hAnsi="Narkisim"/>
          <w:b/>
          <w:bCs/>
          <w:rtl/>
        </w:rPr>
        <w:t>חזו"א</w:t>
      </w:r>
      <w:r w:rsidRPr="00E14121">
        <w:rPr>
          <w:rFonts w:ascii="Narkisim" w:hAnsi="Narkisim"/>
          <w:rtl/>
        </w:rPr>
        <w:t xml:space="preserve"> (עה יא) כתב [דאף למ"ד הדין עמה] הוה שלו משעת נישואין [לענין זולא], וע"י חיוב האחריות [בגוף החפץ] נחשב כבעלים, דאילו הוה התחייבות דמים בעלמא לא יאכלו מחמת זה בתרומה</w:t>
      </w:r>
      <w:r w:rsidRPr="00E14121">
        <w:rPr>
          <w:rStyle w:val="ac"/>
          <w:rFonts w:ascii="Narkisim" w:hAnsi="Narkisim"/>
          <w:rtl/>
        </w:rPr>
        <w:footnoteReference w:id="3991"/>
      </w:r>
      <w:r w:rsidRPr="00E14121">
        <w:rPr>
          <w:rFonts w:ascii="Narkisim" w:hAnsi="Narkisim"/>
          <w:rtl/>
        </w:rPr>
        <w:t>. [וצ"ב הגדר בזה].</w:t>
      </w:r>
    </w:p>
    <w:p w14:paraId="331ABA70" w14:textId="77777777" w:rsidR="00F64AED" w:rsidRPr="00E14121" w:rsidRDefault="00F64AED" w:rsidP="00F64AED">
      <w:pPr>
        <w:pStyle w:val="a8"/>
        <w:bidi/>
        <w:rPr>
          <w:rFonts w:ascii="Narkisim" w:hAnsi="Narkisim"/>
        </w:rPr>
      </w:pPr>
      <w:r w:rsidRPr="00E14121">
        <w:rPr>
          <w:rFonts w:ascii="Narkisim" w:hAnsi="Narkisim"/>
          <w:rtl/>
        </w:rPr>
        <w:t>וכן ב</w:t>
      </w:r>
      <w:r w:rsidRPr="00E14121">
        <w:rPr>
          <w:rFonts w:ascii="Narkisim" w:hAnsi="Narkisim"/>
          <w:b/>
          <w:bCs/>
          <w:rtl/>
        </w:rPr>
        <w:t>חי' ר' שמעון</w:t>
      </w:r>
      <w:r w:rsidRPr="00E14121">
        <w:rPr>
          <w:rFonts w:ascii="Narkisim" w:hAnsi="Narkisim"/>
          <w:rtl/>
        </w:rPr>
        <w:t xml:space="preserve"> (קונ' השעבוד א) ביאר דודאי הבעל קנה, אלא דיש שעבוד להחזיר את החפץ בעין לרב יהודה. ומשום שעבוד גוף החפץ נחשב שאינו שלו [אלא לענין תרומה סגי בהכי].</w:t>
      </w:r>
    </w:p>
    <w:p w14:paraId="236F265E" w14:textId="77777777" w:rsidR="00F64AED" w:rsidRPr="00E14121" w:rsidRDefault="00F64AED" w:rsidP="00F64AED">
      <w:pPr>
        <w:bidi/>
        <w:rPr>
          <w:rFonts w:ascii="Narkisim" w:hAnsi="Narkisim" w:cs="Narkisim"/>
        </w:rPr>
      </w:pPr>
      <w:r w:rsidRPr="00E14121">
        <w:rPr>
          <w:rFonts w:ascii="Narkisim" w:hAnsi="Narkisim" w:cs="Narkisim"/>
          <w:u w:val="single"/>
          <w:rtl/>
        </w:rPr>
        <w:t>אמר רב ספרא וכו' הואיל וחייב באחריותן קתני, ולעולם לאו דידיה נינהו</w:t>
      </w:r>
      <w:r w:rsidRPr="00E14121">
        <w:rPr>
          <w:rFonts w:ascii="Narkisim" w:hAnsi="Narkisim" w:cs="Narkisim"/>
          <w:rtl/>
        </w:rPr>
        <w:t>. ה</w:t>
      </w:r>
      <w:r w:rsidRPr="00E14121">
        <w:rPr>
          <w:rFonts w:ascii="Narkisim" w:hAnsi="Narkisim" w:cs="Narkisim"/>
          <w:b/>
          <w:bCs/>
          <w:rtl/>
        </w:rPr>
        <w:t>ריטב"א</w:t>
      </w:r>
      <w:r w:rsidRPr="00E14121">
        <w:rPr>
          <w:rFonts w:ascii="Narkisim" w:hAnsi="Narkisim" w:cs="Narkisim"/>
          <w:rtl/>
        </w:rPr>
        <w:t xml:space="preserve"> הק' דבעי קנין כספו, והאיך אוכל בתרומה משום חיוב אחריות לחוד. אלא דרב ספרא ס"ל דלגבי אכילת תרומה סגי בקנין כל דהו </w:t>
      </w:r>
      <w:r w:rsidRPr="00E14121">
        <w:rPr>
          <w:rFonts w:ascii="Narkisim" w:hAnsi="Narkisim" w:cs="Narkisim"/>
          <w:szCs w:val="20"/>
          <w:rtl/>
        </w:rPr>
        <w:t>[ואינו שלו לכל דבר]</w:t>
      </w:r>
      <w:r w:rsidRPr="00E14121">
        <w:rPr>
          <w:rFonts w:ascii="Narkisim" w:hAnsi="Narkisim" w:cs="Narkisim"/>
          <w:rtl/>
        </w:rPr>
        <w:t>. וסגי בחיוב אחריות להחשב קנין כספו.</w:t>
      </w:r>
    </w:p>
    <w:p w14:paraId="7A1FA927" w14:textId="77777777" w:rsidR="00F64AED" w:rsidRPr="00E14121" w:rsidRDefault="00F64AED" w:rsidP="00F64AED">
      <w:pPr>
        <w:bidi/>
        <w:rPr>
          <w:rFonts w:ascii="Narkisim" w:hAnsi="Narkisim" w:cs="Narkisim"/>
        </w:rPr>
      </w:pPr>
      <w:r w:rsidRPr="00E14121">
        <w:rPr>
          <w:rFonts w:ascii="Narkisim" w:hAnsi="Narkisim" w:cs="Narkisim"/>
          <w:rtl/>
        </w:rPr>
        <w:t>ובפשוטו משמע דחיוב האחריות קובע דהוה דידיה, כיון שהוא מפסיד בהעדרו. אבל ה</w:t>
      </w:r>
      <w:r w:rsidRPr="00E14121">
        <w:rPr>
          <w:rFonts w:ascii="Narkisim" w:hAnsi="Narkisim" w:cs="Narkisim"/>
          <w:b/>
          <w:bCs/>
          <w:rtl/>
        </w:rPr>
        <w:t>גרי"ז</w:t>
      </w:r>
      <w:r w:rsidRPr="00E14121">
        <w:rPr>
          <w:rFonts w:ascii="Narkisim" w:hAnsi="Narkisim" w:cs="Narkisim"/>
          <w:rtl/>
        </w:rPr>
        <w:t xml:space="preserve"> (עט. בדה"ס) הק' דלכאו' מבואר בסוגיין דהוה סברא [דלא מצאנו ילפותא מקרא דתליא באחריות</w:t>
      </w:r>
      <w:r w:rsidRPr="00E14121">
        <w:rPr>
          <w:rStyle w:val="ac"/>
          <w:rFonts w:ascii="Narkisim" w:hAnsi="Narkisim" w:cs="Narkisim"/>
          <w:rtl/>
        </w:rPr>
        <w:footnoteReference w:id="3992"/>
      </w:r>
      <w:r w:rsidRPr="00E14121">
        <w:rPr>
          <w:rFonts w:ascii="Narkisim" w:hAnsi="Narkisim" w:cs="Narkisim"/>
          <w:rtl/>
        </w:rPr>
        <w:t>]. והוכיח דיש לו זכות בחפץ עיקר דיני הממונות. ונחשב שלו בכל התורה. ומחמת זכות זה אוכלין בתרומה, אף אילו יפקע חיוב האחריות</w:t>
      </w:r>
      <w:r w:rsidRPr="00E14121">
        <w:rPr>
          <w:rStyle w:val="ac"/>
          <w:rFonts w:ascii="Narkisim" w:hAnsi="Narkisim" w:cs="Narkisim"/>
          <w:rtl/>
        </w:rPr>
        <w:footnoteReference w:id="3993"/>
      </w:r>
      <w:r w:rsidRPr="00E14121">
        <w:rPr>
          <w:rFonts w:ascii="Narkisim" w:hAnsi="Narkisim" w:cs="Narkisim"/>
          <w:rtl/>
        </w:rPr>
        <w:t>.</w:t>
      </w:r>
    </w:p>
    <w:p w14:paraId="2BA94889" w14:textId="77777777" w:rsidR="00F64AED" w:rsidRPr="00E14121" w:rsidRDefault="00F64AED" w:rsidP="00F64AED">
      <w:pPr>
        <w:pStyle w:val="a8"/>
        <w:bidi/>
        <w:rPr>
          <w:rFonts w:ascii="Narkisim" w:hAnsi="Narkisim"/>
        </w:rPr>
      </w:pPr>
      <w:r w:rsidRPr="00E14121">
        <w:rPr>
          <w:rFonts w:ascii="Narkisim" w:hAnsi="Narkisim"/>
          <w:rtl/>
        </w:rPr>
        <w:t>וביארו דעצם האחריות מחייב שיש לו זכות תביעה על קיום החפץ. ונכלל בקבלת האחריות שקונה זכות זו</w:t>
      </w:r>
      <w:r w:rsidRPr="00E14121">
        <w:rPr>
          <w:rStyle w:val="ac"/>
          <w:rFonts w:ascii="Narkisim" w:hAnsi="Narkisim"/>
          <w:rtl/>
        </w:rPr>
        <w:footnoteReference w:id="3994"/>
      </w:r>
      <w:r w:rsidRPr="00E14121">
        <w:rPr>
          <w:rFonts w:ascii="Narkisim" w:hAnsi="Narkisim"/>
          <w:rtl/>
        </w:rPr>
        <w:t>. [וזכות זה נחשב קנין כל דהוא, וכמ”ש הריטב”א].</w:t>
      </w:r>
    </w:p>
    <w:p w14:paraId="185083EB"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הקשו דאע"ג דהוה בעלים על זכות החיוב אחריות, מ"מ יש בעלים על הגוף, ו</w:t>
      </w:r>
      <w:r w:rsidRPr="00E14121">
        <w:rPr>
          <w:rFonts w:ascii="Narkisim" w:hAnsi="Narkisim"/>
          <w:b/>
          <w:bCs/>
          <w:rtl/>
        </w:rPr>
        <w:t>תוס</w:t>
      </w:r>
      <w:r w:rsidRPr="00E14121">
        <w:rPr>
          <w:rFonts w:ascii="Narkisim" w:hAnsi="Narkisim"/>
          <w:rtl/>
        </w:rPr>
        <w:t>' (בע"א) כת' דאכילת תרומה תליא בקנין הגוף</w:t>
      </w:r>
      <w:r w:rsidRPr="00E14121">
        <w:rPr>
          <w:rStyle w:val="ac"/>
          <w:rFonts w:ascii="Narkisim" w:hAnsi="Narkisim"/>
          <w:rtl/>
        </w:rPr>
        <w:footnoteReference w:id="3995"/>
      </w:r>
      <w:r w:rsidRPr="00E14121">
        <w:rPr>
          <w:rFonts w:ascii="Narkisim" w:hAnsi="Narkisim"/>
          <w:rtl/>
        </w:rPr>
        <w:t>. [וע' ברכ"ש כ ג דהאריך דסגי דהוה יש לו קנין להחשב שלו].</w:t>
      </w:r>
    </w:p>
    <w:p w14:paraId="63E1812C"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שו"ע </w:t>
      </w:r>
      <w:r w:rsidRPr="00E14121">
        <w:rPr>
          <w:rFonts w:ascii="Narkisim" w:hAnsi="Narkisim" w:cs="Narkisim"/>
          <w:rtl/>
        </w:rPr>
        <w:t>(רמו ד) הביא מח' (בשם ס' התרומה וסמ"ג משו"ת רש”י צה) במשכיר שור לגוי והגוי קיבל עליו אחריות ויוקרא וזולא, די"א דאין איסור שביתת בהמתו, וי"א כיון דאינו יכול למכור</w:t>
      </w:r>
      <w:r w:rsidRPr="00E14121">
        <w:rPr>
          <w:rStyle w:val="ac"/>
          <w:rFonts w:ascii="Narkisim" w:hAnsi="Narkisim" w:cs="Narkisim"/>
          <w:rtl/>
        </w:rPr>
        <w:footnoteReference w:id="3996"/>
      </w:r>
      <w:r w:rsidRPr="00E14121">
        <w:rPr>
          <w:rFonts w:ascii="Narkisim" w:hAnsi="Narkisim" w:cs="Narkisim"/>
          <w:rtl/>
        </w:rPr>
        <w:t xml:space="preserve"> נקראת בהמת ישראל. וה</w:t>
      </w:r>
      <w:r w:rsidRPr="00E14121">
        <w:rPr>
          <w:rFonts w:ascii="Narkisim" w:hAnsi="Narkisim" w:cs="Narkisim"/>
          <w:b/>
          <w:bCs/>
          <w:rtl/>
        </w:rPr>
        <w:t>גר"א</w:t>
      </w:r>
      <w:r w:rsidRPr="00E14121">
        <w:rPr>
          <w:rFonts w:ascii="Narkisim" w:hAnsi="Narkisim" w:cs="Narkisim"/>
          <w:rtl/>
        </w:rPr>
        <w:t xml:space="preserve"> (שם) ביאר דנח' האם למסקנא קי"ל כסברת 'הא לא דמי', והאם חיוב אחריות נחשב כשלו. [וע"ע בסמוך].</w:t>
      </w:r>
    </w:p>
    <w:p w14:paraId="5D2554AB" w14:textId="77777777" w:rsidR="00F64AED" w:rsidRPr="00E14121" w:rsidRDefault="00F64AED" w:rsidP="00F64AED">
      <w:pPr>
        <w:pStyle w:val="2"/>
        <w:bidi/>
        <w:rPr>
          <w:rFonts w:ascii="Narkisim" w:hAnsi="Narkisim"/>
        </w:rPr>
      </w:pPr>
      <w:r w:rsidRPr="00E14121">
        <w:rPr>
          <w:rFonts w:ascii="Narkisim" w:hAnsi="Narkisim"/>
          <w:rtl/>
        </w:rPr>
        <w:t>אכילת בהמה בתרומה</w:t>
      </w:r>
    </w:p>
    <w:p w14:paraId="7C2DFC3C" w14:textId="77777777" w:rsidR="00F64AED" w:rsidRPr="00E14121" w:rsidRDefault="00F64AED" w:rsidP="00F64AED">
      <w:pPr>
        <w:bidi/>
        <w:rPr>
          <w:rFonts w:ascii="Narkisim" w:hAnsi="Narkisim" w:cs="Narkisim"/>
        </w:rPr>
      </w:pPr>
      <w:r w:rsidRPr="00E14121">
        <w:rPr>
          <w:rFonts w:ascii="Narkisim" w:hAnsi="Narkisim" w:cs="Narkisim"/>
          <w:u w:val="single"/>
          <w:rtl/>
        </w:rPr>
        <w:t>הרי זה יאכילנו כרשיני תרומה.</w:t>
      </w:r>
      <w:r w:rsidRPr="00E14121">
        <w:rPr>
          <w:rFonts w:ascii="Narkisim" w:hAnsi="Narkisim" w:cs="Narkisim"/>
          <w:rtl/>
        </w:rPr>
        <w:t xml:space="preserve"> כיון דהפרה של כהן, וקנין שכירות של זר אינו מפקיע. והגמ' (ע”ז טו.) הביאה מהך משנה דשכירות לא קניא</w:t>
      </w:r>
      <w:r w:rsidRPr="00E14121">
        <w:rPr>
          <w:rStyle w:val="ac"/>
          <w:rFonts w:ascii="Narkisim" w:hAnsi="Narkisim" w:cs="Narkisim"/>
          <w:rtl/>
        </w:rPr>
        <w:footnoteReference w:id="3997"/>
      </w:r>
      <w:r w:rsidRPr="00E14121">
        <w:rPr>
          <w:rFonts w:ascii="Narkisim" w:hAnsi="Narkisim" w:cs="Narkisim"/>
          <w:rtl/>
        </w:rPr>
        <w:t>. דאילו שכירות הישראל 'קני' א"כ אינו רשאי להאכילו.</w:t>
      </w:r>
    </w:p>
    <w:p w14:paraId="0B327B04" w14:textId="77777777" w:rsidR="00F64AED" w:rsidRPr="00E14121" w:rsidRDefault="00F64AED" w:rsidP="00F64AED">
      <w:pPr>
        <w:bidi/>
        <w:rPr>
          <w:rFonts w:ascii="Narkisim" w:hAnsi="Narkisim" w:cs="Narkisim"/>
        </w:rPr>
      </w:pPr>
      <w:r w:rsidRPr="00E14121">
        <w:rPr>
          <w:rFonts w:ascii="Narkisim" w:hAnsi="Narkisim" w:cs="Narkisim"/>
          <w:rtl/>
        </w:rPr>
        <w:t>ובפשוטו משמע דאיירי אף שהישראל קיבל עליו לזון, אפ"ה רשאי להאכילו בתרומה. וצ"ב אי הישראל נתחייב לזונו, האיך פוטר חובו בממון של כהן.</w:t>
      </w:r>
    </w:p>
    <w:p w14:paraId="2AA60D9D" w14:textId="77777777" w:rsidR="00F64AED" w:rsidRPr="00E14121" w:rsidRDefault="00F64AED" w:rsidP="00F64AED">
      <w:pPr>
        <w:pStyle w:val="a7"/>
        <w:bidi/>
        <w:rPr>
          <w:rFonts w:ascii="Narkisim" w:hAnsi="Narkisim"/>
        </w:rPr>
      </w:pPr>
      <w:r w:rsidRPr="00E14121">
        <w:rPr>
          <w:rFonts w:ascii="Narkisim" w:hAnsi="Narkisim"/>
          <w:rtl/>
        </w:rPr>
        <w:lastRenderedPageBreak/>
        <w:t>ו</w:t>
      </w:r>
      <w:r w:rsidRPr="00E14121">
        <w:rPr>
          <w:rFonts w:ascii="Narkisim" w:hAnsi="Narkisim"/>
          <w:b/>
          <w:bCs/>
          <w:rtl/>
        </w:rPr>
        <w:t>רש"י</w:t>
      </w:r>
      <w:r w:rsidRPr="00E14121">
        <w:rPr>
          <w:rFonts w:ascii="Narkisim" w:hAnsi="Narkisim"/>
          <w:rtl/>
        </w:rPr>
        <w:t xml:space="preserve"> </w:t>
      </w:r>
      <w:r w:rsidRPr="00E14121">
        <w:rPr>
          <w:rFonts w:ascii="Narkisim" w:hAnsi="Narkisim"/>
          <w:szCs w:val="20"/>
          <w:rtl/>
        </w:rPr>
        <w:t>(ע"ז טו.)</w:t>
      </w:r>
      <w:r w:rsidRPr="00E14121">
        <w:rPr>
          <w:rFonts w:ascii="Narkisim" w:hAnsi="Narkisim"/>
          <w:rtl/>
        </w:rPr>
        <w:t xml:space="preserve"> בפי' הב' כת' דאיירי כשנפלו כרשינים לישראל מבית אבי אמו כהן</w:t>
      </w:r>
      <w:r w:rsidRPr="00E14121">
        <w:rPr>
          <w:rStyle w:val="ac"/>
          <w:rFonts w:ascii="Narkisim" w:hAnsi="Narkisim"/>
          <w:rtl/>
        </w:rPr>
        <w:footnoteReference w:id="3998"/>
      </w:r>
      <w:r w:rsidRPr="00E14121">
        <w:rPr>
          <w:rFonts w:ascii="Narkisim" w:hAnsi="Narkisim"/>
          <w:rtl/>
        </w:rPr>
        <w:t xml:space="preserve">. </w:t>
      </w:r>
      <w:r w:rsidRPr="00E14121">
        <w:rPr>
          <w:rFonts w:ascii="Narkisim" w:hAnsi="Narkisim"/>
          <w:szCs w:val="20"/>
          <w:rtl/>
        </w:rPr>
        <w:t>[דהוה שלו בגדרי הממון, וקמ"ל דנחשב אכילת בהמת כהן]</w:t>
      </w:r>
      <w:r w:rsidRPr="00E14121">
        <w:rPr>
          <w:rFonts w:ascii="Narkisim" w:hAnsi="Narkisim"/>
          <w:rtl/>
        </w:rPr>
        <w:t>.</w:t>
      </w:r>
    </w:p>
    <w:p w14:paraId="3F650C9D" w14:textId="77777777" w:rsidR="00F64AED" w:rsidRPr="00E14121" w:rsidRDefault="00F64AED" w:rsidP="00F64AED">
      <w:pPr>
        <w:pStyle w:val="a7"/>
        <w:bidi/>
        <w:rPr>
          <w:rFonts w:ascii="Narkisim" w:hAnsi="Narkisim"/>
        </w:rPr>
      </w:pPr>
      <w:r w:rsidRPr="00E14121">
        <w:rPr>
          <w:rFonts w:ascii="Narkisim" w:hAnsi="Narkisim"/>
          <w:rtl/>
        </w:rPr>
        <w:t xml:space="preserve">אבל </w:t>
      </w:r>
      <w:r w:rsidRPr="00E14121">
        <w:rPr>
          <w:rFonts w:ascii="Narkisim" w:hAnsi="Narkisim"/>
          <w:b/>
          <w:bCs/>
          <w:rtl/>
        </w:rPr>
        <w:t>רש"י</w:t>
      </w:r>
      <w:r w:rsidRPr="00E14121">
        <w:rPr>
          <w:rFonts w:ascii="Narkisim" w:hAnsi="Narkisim"/>
          <w:rtl/>
        </w:rPr>
        <w:t xml:space="preserve"> (שם בפי' הא') כת' דאף בלא"ה מותר להאכילו תרומה, דתרומה ממון שאין לה תובעים. והכהן מסתמא ניח"ל ומחיל שמאכילה הרבה כרשיני תרומה</w:t>
      </w:r>
      <w:r w:rsidRPr="00E14121">
        <w:rPr>
          <w:rStyle w:val="ac"/>
          <w:rFonts w:ascii="Narkisim" w:hAnsi="Narkisim"/>
          <w:rtl/>
        </w:rPr>
        <w:footnoteReference w:id="3999"/>
      </w:r>
      <w:r w:rsidRPr="00E14121">
        <w:rPr>
          <w:rFonts w:ascii="Narkisim" w:hAnsi="Narkisim"/>
          <w:rtl/>
        </w:rPr>
        <w:t xml:space="preserve">. דמה לו להקפיד שאינה מיוחדת לו. </w:t>
      </w:r>
      <w:r w:rsidRPr="00E14121">
        <w:rPr>
          <w:rFonts w:ascii="Narkisim" w:hAnsi="Narkisim"/>
          <w:sz w:val="20"/>
          <w:szCs w:val="20"/>
          <w:rtl/>
        </w:rPr>
        <w:t>[אך ה</w:t>
      </w:r>
      <w:r w:rsidRPr="00E14121">
        <w:rPr>
          <w:rFonts w:ascii="Narkisim" w:hAnsi="Narkisim"/>
          <w:b/>
          <w:bCs/>
          <w:sz w:val="20"/>
          <w:szCs w:val="20"/>
          <w:rtl/>
        </w:rPr>
        <w:t>אחרונים</w:t>
      </w:r>
      <w:r w:rsidRPr="00E14121">
        <w:rPr>
          <w:rFonts w:ascii="Narkisim" w:hAnsi="Narkisim"/>
          <w:sz w:val="20"/>
          <w:szCs w:val="20"/>
          <w:rtl/>
        </w:rPr>
        <w:t xml:space="preserve"> הק' האיך נתקיים בכך מצוות נתינה</w:t>
      </w:r>
      <w:r w:rsidRPr="00E14121">
        <w:rPr>
          <w:rStyle w:val="ac"/>
          <w:rFonts w:ascii="Narkisim" w:hAnsi="Narkisim"/>
          <w:sz w:val="20"/>
          <w:szCs w:val="20"/>
          <w:rtl/>
        </w:rPr>
        <w:footnoteReference w:id="4000"/>
      </w:r>
      <w:r w:rsidRPr="00E14121">
        <w:rPr>
          <w:rFonts w:ascii="Narkisim" w:hAnsi="Narkisim"/>
          <w:sz w:val="20"/>
          <w:szCs w:val="20"/>
          <w:rtl/>
        </w:rPr>
        <w:t>].</w:t>
      </w:r>
      <w:r w:rsidRPr="00E14121">
        <w:rPr>
          <w:rFonts w:ascii="Narkisim" w:hAnsi="Narkisim"/>
          <w:rtl/>
        </w:rPr>
        <w:t xml:space="preserve"> ו</w:t>
      </w:r>
      <w:r w:rsidRPr="00E14121">
        <w:rPr>
          <w:rFonts w:ascii="Narkisim" w:hAnsi="Narkisim"/>
          <w:b/>
          <w:bCs/>
          <w:rtl/>
        </w:rPr>
        <w:t>תוס</w:t>
      </w:r>
      <w:r w:rsidRPr="00E14121">
        <w:rPr>
          <w:rFonts w:ascii="Narkisim" w:hAnsi="Narkisim"/>
          <w:rtl/>
        </w:rPr>
        <w:t>' (ע"ז שם ד"ה ישראל) חלק, והעמיד דאיירי דאין מזונותיו על הישראל, אלא על הכהן.</w:t>
      </w:r>
    </w:p>
    <w:p w14:paraId="22A1AEF1" w14:textId="77777777" w:rsidR="00F64AED" w:rsidRPr="00E14121" w:rsidRDefault="00F64AED" w:rsidP="00F64AED">
      <w:pPr>
        <w:bidi/>
        <w:rPr>
          <w:rFonts w:ascii="Narkisim" w:hAnsi="Narkisim" w:cs="Narkisim"/>
        </w:rPr>
      </w:pPr>
      <w:r w:rsidRPr="00E14121">
        <w:rPr>
          <w:rFonts w:ascii="Narkisim" w:hAnsi="Narkisim" w:cs="Narkisim"/>
          <w:rtl/>
        </w:rPr>
        <w:t>ו</w:t>
      </w:r>
      <w:r w:rsidRPr="00E14121">
        <w:rPr>
          <w:rFonts w:ascii="Narkisim" w:hAnsi="Narkisim" w:cs="Narkisim"/>
          <w:b/>
          <w:bCs/>
          <w:rtl/>
        </w:rPr>
        <w:t>תוס</w:t>
      </w:r>
      <w:r w:rsidRPr="00E14121">
        <w:rPr>
          <w:rFonts w:ascii="Narkisim" w:hAnsi="Narkisim" w:cs="Narkisim"/>
          <w:rtl/>
        </w:rPr>
        <w:t>' (כאן ד"ה ישראל) כת' דהישראל נהנה רק מהדמים, וכיון דהבהמה קנין כספו של כהן הוה כמוכר תרומה לכהן.</w:t>
      </w:r>
      <w:r w:rsidRPr="00E14121">
        <w:rPr>
          <w:rFonts w:ascii="Narkisim" w:hAnsi="Narkisim" w:cs="Narkisim"/>
          <w:sz w:val="20"/>
          <w:szCs w:val="20"/>
          <w:rtl/>
        </w:rPr>
        <w:t xml:space="preserve"> ויש שפי' דכוונת התוס' ליישב קו' הנ"ל, דכיון דעיקר השימוש הוה אכילת בהמת כהן נחשב שמתקיים בכך מצוות נתינת תרומה. ולא איכפ"ל דנהנה הנאת דמים</w:t>
      </w:r>
      <w:r w:rsidRPr="00E14121">
        <w:rPr>
          <w:rStyle w:val="ac"/>
          <w:rFonts w:ascii="Narkisim" w:hAnsi="Narkisim" w:cs="Narkisim"/>
          <w:sz w:val="20"/>
          <w:szCs w:val="20"/>
          <w:rtl/>
        </w:rPr>
        <w:footnoteReference w:id="4001"/>
      </w:r>
      <w:r w:rsidRPr="00E14121">
        <w:rPr>
          <w:rFonts w:ascii="Narkisim" w:hAnsi="Narkisim" w:cs="Narkisim"/>
          <w:sz w:val="20"/>
          <w:szCs w:val="20"/>
          <w:rtl/>
        </w:rPr>
        <w:t>. ועיל"פ דאח"כ ישלם דמים לכהן, וכמ"ש דהוה כמוכרו לו.</w:t>
      </w:r>
    </w:p>
    <w:p w14:paraId="2FC1071A" w14:textId="77777777" w:rsidR="00F64AED" w:rsidRPr="00E14121" w:rsidRDefault="00F64AED" w:rsidP="00F64AED">
      <w:pPr>
        <w:pStyle w:val="a8"/>
        <w:bidi/>
        <w:rPr>
          <w:rFonts w:ascii="Narkisim" w:hAnsi="Narkisim"/>
        </w:rPr>
      </w:pPr>
      <w:r w:rsidRPr="00E14121">
        <w:rPr>
          <w:rFonts w:ascii="Narkisim" w:hAnsi="Narkisim"/>
          <w:rtl/>
        </w:rPr>
        <w:t>אך בפשוטו תוס' הק' האיך רשאי לישראל להנות [הנאת כילוי] במה שמאכיל בהמה שבאחריותו. ובזה תוס' תי' דעיקר האכילה עבור בהמת כהן, הנאה דממילא מותר בתרומה [וע"ד דין נר לא' נר למאה].</w:t>
      </w:r>
    </w:p>
    <w:p w14:paraId="1B3A4917" w14:textId="77777777" w:rsidR="00F64AED" w:rsidRPr="00E14121" w:rsidRDefault="00F64AED" w:rsidP="00F64AED">
      <w:pPr>
        <w:pStyle w:val="aa"/>
        <w:bidi/>
        <w:rPr>
          <w:rFonts w:ascii="Narkisim" w:hAnsi="Narkisim"/>
        </w:rPr>
      </w:pPr>
      <w:r w:rsidRPr="00E14121">
        <w:rPr>
          <w:rFonts w:ascii="Narkisim" w:hAnsi="Narkisim"/>
          <w:u w:val="single"/>
          <w:rtl/>
        </w:rPr>
        <w:t>תוד"ה כרשיני.</w:t>
      </w:r>
      <w:r w:rsidRPr="00E14121">
        <w:rPr>
          <w:rFonts w:ascii="Narkisim" w:hAnsi="Narkisim"/>
          <w:rtl/>
        </w:rPr>
        <w:t xml:space="preserve"> דאם עיקרם לאדם היה אסור ליתנם לבהמה משום הפסד תרומה. וה</w:t>
      </w:r>
      <w:r w:rsidRPr="00E14121">
        <w:rPr>
          <w:rFonts w:ascii="Narkisim" w:hAnsi="Narkisim"/>
          <w:b/>
          <w:bCs/>
          <w:rtl/>
        </w:rPr>
        <w:t>ר"ש</w:t>
      </w:r>
      <w:r w:rsidRPr="00E14121">
        <w:rPr>
          <w:rFonts w:ascii="Narkisim" w:hAnsi="Narkisim"/>
          <w:rtl/>
        </w:rPr>
        <w:t xml:space="preserve"> (תרומות יא ט) ו</w:t>
      </w:r>
      <w:r w:rsidRPr="00E14121">
        <w:rPr>
          <w:rFonts w:ascii="Narkisim" w:hAnsi="Narkisim"/>
          <w:b/>
          <w:bCs/>
          <w:rtl/>
        </w:rPr>
        <w:t>מהר"י קורקוס</w:t>
      </w:r>
      <w:r w:rsidRPr="00E14121">
        <w:rPr>
          <w:rFonts w:ascii="Narkisim" w:hAnsi="Narkisim"/>
          <w:rtl/>
        </w:rPr>
        <w:t xml:space="preserve"> (תרומות ט ז) הביאו מה</w:t>
      </w:r>
      <w:r w:rsidRPr="00E14121">
        <w:rPr>
          <w:rFonts w:ascii="Narkisim" w:hAnsi="Narkisim"/>
          <w:b/>
          <w:bCs/>
          <w:rtl/>
        </w:rPr>
        <w:t>ירושלמי</w:t>
      </w:r>
      <w:r w:rsidRPr="00E14121">
        <w:rPr>
          <w:rFonts w:ascii="Narkisim" w:hAnsi="Narkisim"/>
          <w:rtl/>
        </w:rPr>
        <w:t xml:space="preserve"> ו</w:t>
      </w:r>
      <w:r w:rsidRPr="00E14121">
        <w:rPr>
          <w:rFonts w:ascii="Narkisim" w:hAnsi="Narkisim"/>
          <w:b/>
          <w:bCs/>
          <w:rtl/>
        </w:rPr>
        <w:t>תו"כ</w:t>
      </w:r>
      <w:r w:rsidRPr="00E14121">
        <w:rPr>
          <w:rFonts w:ascii="Narkisim" w:hAnsi="Narkisim"/>
          <w:rtl/>
        </w:rPr>
        <w:t xml:space="preserve"> דדרשי' הם יאכלו ואין הבהמה אוכלת. אבל בתוס' משמע דהוה משום סברת הפסד, דמאכל אדם להאכיל לבהמה נחשב הפסד. וה</w:t>
      </w:r>
      <w:r w:rsidRPr="00E14121">
        <w:rPr>
          <w:rFonts w:ascii="Narkisim" w:hAnsi="Narkisim"/>
          <w:b/>
          <w:bCs/>
          <w:rtl/>
        </w:rPr>
        <w:t>אמר"מ</w:t>
      </w:r>
      <w:r w:rsidRPr="00E14121">
        <w:rPr>
          <w:rFonts w:ascii="Narkisim" w:hAnsi="Narkisim"/>
          <w:rtl/>
        </w:rPr>
        <w:t xml:space="preserve"> (יג א) דן אי שייך דין משמרת בדבר הראוי רק לבהמה.</w:t>
      </w:r>
    </w:p>
    <w:p w14:paraId="2612A643"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מהר"י קורקוס</w:t>
      </w:r>
      <w:r w:rsidRPr="00E14121">
        <w:rPr>
          <w:rFonts w:ascii="Narkisim" w:hAnsi="Narkisim"/>
          <w:rtl/>
        </w:rPr>
        <w:t xml:space="preserve"> (שם) דייק מדברי ה</w:t>
      </w:r>
      <w:r w:rsidRPr="00E14121">
        <w:rPr>
          <w:rFonts w:ascii="Narkisim" w:hAnsi="Narkisim"/>
          <w:b/>
          <w:bCs/>
          <w:rtl/>
        </w:rPr>
        <w:t>רמב"ם</w:t>
      </w:r>
      <w:r w:rsidRPr="00E14121">
        <w:rPr>
          <w:rFonts w:ascii="Narkisim" w:hAnsi="Narkisim"/>
          <w:rtl/>
        </w:rPr>
        <w:t xml:space="preserve"> (שם) דאף פירות הראויין לאכילה מותר לבהמה.</w:t>
      </w:r>
    </w:p>
    <w:p w14:paraId="348126F1" w14:textId="77777777" w:rsidR="00F64AED" w:rsidRPr="00E14121" w:rsidRDefault="00F64AED" w:rsidP="00F64AED">
      <w:pPr>
        <w:bidi/>
        <w:rPr>
          <w:rFonts w:ascii="Narkisim" w:hAnsi="Narkisim" w:cs="Narkisim"/>
        </w:rPr>
      </w:pPr>
      <w:r w:rsidRPr="00E14121">
        <w:rPr>
          <w:rFonts w:ascii="Narkisim" w:hAnsi="Narkisim" w:cs="Narkisim"/>
          <w:u w:val="single"/>
          <w:rtl/>
        </w:rPr>
        <w:t>תוד"ה לא.</w:t>
      </w:r>
      <w:r w:rsidRPr="00E14121">
        <w:rPr>
          <w:rFonts w:ascii="Narkisim" w:hAnsi="Narkisim" w:cs="Narkisim"/>
          <w:rtl/>
        </w:rPr>
        <w:t xml:space="preserve"> והא דתנן וכו'. כוונת התוס' להקשות דבסוגיין מוכח דאסור לבהמת ישראל לאכול תרומה</w:t>
      </w:r>
      <w:r w:rsidRPr="00E14121">
        <w:rPr>
          <w:rStyle w:val="ac"/>
          <w:rFonts w:ascii="Narkisim" w:hAnsi="Narkisim" w:cs="Narkisim"/>
          <w:rtl/>
        </w:rPr>
        <w:footnoteReference w:id="4002"/>
      </w:r>
      <w:r w:rsidRPr="00E14121">
        <w:rPr>
          <w:rFonts w:ascii="Narkisim" w:hAnsi="Narkisim" w:cs="Narkisim"/>
          <w:rtl/>
        </w:rPr>
        <w:t>, וע”כ הטעם דתרומה אסור בהנאה</w:t>
      </w:r>
      <w:r w:rsidRPr="00E14121">
        <w:rPr>
          <w:rStyle w:val="ac"/>
          <w:rFonts w:ascii="Narkisim" w:hAnsi="Narkisim" w:cs="Narkisim"/>
          <w:rtl/>
        </w:rPr>
        <w:footnoteReference w:id="4003"/>
      </w:r>
      <w:r w:rsidRPr="00E14121">
        <w:rPr>
          <w:rFonts w:ascii="Narkisim" w:hAnsi="Narkisim" w:cs="Narkisim"/>
          <w:sz w:val="20"/>
          <w:szCs w:val="20"/>
          <w:rtl/>
        </w:rPr>
        <w:t xml:space="preserve"> [לישראל]</w:t>
      </w:r>
      <w:r w:rsidRPr="00E14121">
        <w:rPr>
          <w:rFonts w:ascii="Narkisim" w:hAnsi="Narkisim" w:cs="Narkisim"/>
          <w:rtl/>
        </w:rPr>
        <w:t>. דהא הבהמה אינה מוזהרת מלאכול.</w:t>
      </w:r>
    </w:p>
    <w:p w14:paraId="59BFB3C8" w14:textId="77777777" w:rsidR="00F64AED" w:rsidRPr="00E14121" w:rsidRDefault="00F64AED" w:rsidP="00F64AED">
      <w:pPr>
        <w:pStyle w:val="a8"/>
        <w:bidi/>
        <w:rPr>
          <w:rFonts w:ascii="Narkisim" w:hAnsi="Narkisim"/>
        </w:rPr>
      </w:pPr>
      <w:r w:rsidRPr="00E14121">
        <w:rPr>
          <w:rFonts w:ascii="Narkisim" w:hAnsi="Narkisim"/>
          <w:rtl/>
        </w:rPr>
        <w:t>ויל"ד אי דוקא כשהזר מאכיל את הבהמה נחשב מעשה הנאת כילוי, או אף כשהבהמה אוכלת לבד צריך להפרישו, שלא יהנה ע"י כילוי התרומה</w:t>
      </w:r>
      <w:r w:rsidRPr="00E14121">
        <w:rPr>
          <w:rStyle w:val="ac"/>
          <w:rFonts w:ascii="Narkisim" w:hAnsi="Narkisim"/>
          <w:rtl/>
        </w:rPr>
        <w:footnoteReference w:id="4004"/>
      </w:r>
      <w:r w:rsidRPr="00E14121">
        <w:rPr>
          <w:rFonts w:ascii="Narkisim" w:hAnsi="Narkisim"/>
          <w:rtl/>
        </w:rPr>
        <w:t>.</w:t>
      </w:r>
    </w:p>
    <w:p w14:paraId="2A60DD65"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תו"י</w:t>
      </w:r>
      <w:r w:rsidRPr="00E14121">
        <w:rPr>
          <w:rFonts w:ascii="Narkisim" w:hAnsi="Narkisim" w:cs="Narkisim"/>
          <w:rtl/>
        </w:rPr>
        <w:t xml:space="preserve"> (וכן הר"ש תרומות שם) הביא </w:t>
      </w:r>
      <w:r w:rsidRPr="00E14121">
        <w:rPr>
          <w:rFonts w:ascii="Narkisim" w:hAnsi="Narkisim" w:cs="Narkisim"/>
          <w:b/>
          <w:bCs/>
          <w:rtl/>
        </w:rPr>
        <w:t>ה"ר משה</w:t>
      </w:r>
      <w:r w:rsidRPr="00E14121">
        <w:rPr>
          <w:rFonts w:ascii="Narkisim" w:hAnsi="Narkisim" w:cs="Narkisim"/>
          <w:rtl/>
        </w:rPr>
        <w:t xml:space="preserve"> [מפונטייזא] תי' דאסור להאכיל בהמתו, דנפש בהמה הוה בכלל נפש וכו'</w:t>
      </w:r>
      <w:r w:rsidRPr="00E14121">
        <w:rPr>
          <w:rStyle w:val="ac"/>
          <w:rFonts w:ascii="Narkisim" w:hAnsi="Narkisim" w:cs="Narkisim"/>
          <w:rtl/>
        </w:rPr>
        <w:footnoteReference w:id="4005"/>
      </w:r>
      <w:r w:rsidRPr="00E14121">
        <w:rPr>
          <w:rFonts w:ascii="Narkisim" w:hAnsi="Narkisim" w:cs="Narkisim"/>
          <w:rtl/>
        </w:rPr>
        <w:t>.</w:t>
      </w:r>
    </w:p>
    <w:p w14:paraId="611A2815" w14:textId="77777777" w:rsidR="00F64AED" w:rsidRPr="00E14121" w:rsidRDefault="00F64AED" w:rsidP="00F64AED">
      <w:pPr>
        <w:pStyle w:val="a7"/>
        <w:bidi/>
        <w:rPr>
          <w:rFonts w:ascii="Narkisim" w:hAnsi="Narkisim"/>
        </w:rPr>
      </w:pPr>
      <w:r w:rsidRPr="00E14121">
        <w:rPr>
          <w:rFonts w:ascii="Narkisim" w:hAnsi="Narkisim"/>
          <w:rtl/>
        </w:rPr>
        <w:t>וצ"ב דלא שייך בזה גדר מאכלות אסורות, דהבהמה אינה מצווה שלא לאכול תרומה. וה</w:t>
      </w:r>
      <w:r w:rsidRPr="00E14121">
        <w:rPr>
          <w:rFonts w:ascii="Narkisim" w:hAnsi="Narkisim"/>
          <w:b/>
          <w:bCs/>
          <w:rtl/>
        </w:rPr>
        <w:t>גרי"ז</w:t>
      </w:r>
      <w:r w:rsidRPr="00E14121">
        <w:rPr>
          <w:rFonts w:ascii="Narkisim" w:hAnsi="Narkisim"/>
          <w:sz w:val="20"/>
          <w:szCs w:val="20"/>
          <w:rtl/>
        </w:rPr>
        <w:t xml:space="preserve"> (בסה"ס עמ' עח:) </w:t>
      </w:r>
      <w:r w:rsidRPr="00E14121">
        <w:rPr>
          <w:rFonts w:ascii="Narkisim" w:hAnsi="Narkisim"/>
          <w:rtl/>
        </w:rPr>
        <w:t xml:space="preserve">כתב דיש דין מצד החפצא של התרומה שיאכל כדינו. ומלבד האיסור אכילה לזרים, יש איסור שיאכל שלא כדינו. </w:t>
      </w:r>
      <w:r w:rsidRPr="00E14121">
        <w:rPr>
          <w:rFonts w:ascii="Narkisim" w:hAnsi="Narkisim"/>
          <w:sz w:val="20"/>
          <w:szCs w:val="20"/>
          <w:rtl/>
        </w:rPr>
        <w:t>וכתב דסיכה כשתייה הוה רק כלפי החפצא של התרומה, אבל מצד הגברא לא חשיב מעשה אכילה.</w:t>
      </w:r>
      <w:r w:rsidRPr="00E14121">
        <w:rPr>
          <w:rFonts w:ascii="Narkisim" w:hAnsi="Narkisim"/>
          <w:rtl/>
        </w:rPr>
        <w:t xml:space="preserve"> ואף אכילת הבהמה אסור מצד החפצא של התרומה</w:t>
      </w:r>
      <w:r w:rsidRPr="00E14121">
        <w:rPr>
          <w:rStyle w:val="ac"/>
          <w:rFonts w:ascii="Narkisim" w:hAnsi="Narkisim"/>
          <w:rtl/>
        </w:rPr>
        <w:footnoteReference w:id="4006"/>
      </w:r>
      <w:r w:rsidRPr="00E14121">
        <w:rPr>
          <w:rFonts w:ascii="Narkisim" w:hAnsi="Narkisim"/>
          <w:rtl/>
        </w:rPr>
        <w:t>.</w:t>
      </w:r>
    </w:p>
    <w:p w14:paraId="438096E7"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וה</w:t>
      </w:r>
      <w:r w:rsidRPr="00E14121">
        <w:rPr>
          <w:rFonts w:ascii="Narkisim" w:hAnsi="Narkisim" w:cs="Narkisim"/>
          <w:b/>
          <w:bCs/>
          <w:rtl/>
        </w:rPr>
        <w:t>מרדכי</w:t>
      </w:r>
      <w:r w:rsidRPr="00E14121">
        <w:rPr>
          <w:rFonts w:ascii="Narkisim" w:hAnsi="Narkisim" w:cs="Narkisim"/>
          <w:rtl/>
        </w:rPr>
        <w:t xml:space="preserve"> (סו) הביא בשם </w:t>
      </w:r>
      <w:r w:rsidRPr="00E14121">
        <w:rPr>
          <w:rFonts w:ascii="Narkisim" w:hAnsi="Narkisim" w:cs="Narkisim"/>
          <w:b/>
          <w:bCs/>
          <w:rtl/>
        </w:rPr>
        <w:t>ר' יקר</w:t>
      </w:r>
      <w:r w:rsidRPr="00E14121">
        <w:rPr>
          <w:rFonts w:ascii="Narkisim" w:hAnsi="Narkisim" w:cs="Narkisim"/>
          <w:rtl/>
        </w:rPr>
        <w:t xml:space="preserve"> דהכא שאני דהבהמה מתפטמת מן התרומה, ונמצא </w:t>
      </w:r>
      <w:r w:rsidRPr="00E14121">
        <w:rPr>
          <w:rFonts w:ascii="Narkisim" w:hAnsi="Narkisim" w:cs="Narkisim"/>
          <w:rtl/>
        </w:rPr>
        <w:lastRenderedPageBreak/>
        <w:t>הישראל יאכל תרומה</w:t>
      </w:r>
      <w:r w:rsidRPr="00E14121">
        <w:rPr>
          <w:rStyle w:val="ac"/>
          <w:rFonts w:ascii="Narkisim" w:hAnsi="Narkisim" w:cs="Narkisim"/>
          <w:rtl/>
        </w:rPr>
        <w:footnoteReference w:id="4007"/>
      </w:r>
      <w:r w:rsidRPr="00E14121">
        <w:rPr>
          <w:rFonts w:ascii="Narkisim" w:hAnsi="Narkisim" w:cs="Narkisim"/>
          <w:rtl/>
        </w:rPr>
        <w:t>. וה</w:t>
      </w:r>
      <w:r w:rsidRPr="00E14121">
        <w:rPr>
          <w:rFonts w:ascii="Narkisim" w:hAnsi="Narkisim" w:cs="Narkisim"/>
          <w:b/>
          <w:bCs/>
          <w:rtl/>
        </w:rPr>
        <w:t>מרדכי</w:t>
      </w:r>
      <w:r w:rsidRPr="00E14121">
        <w:rPr>
          <w:rFonts w:ascii="Narkisim" w:hAnsi="Narkisim" w:cs="Narkisim"/>
          <w:rtl/>
        </w:rPr>
        <w:t xml:space="preserve"> חלק ולא נראה דא"כ אנו אוכלים תרנגולם המתפטמין מן השרצים</w:t>
      </w:r>
      <w:r w:rsidRPr="00E14121">
        <w:rPr>
          <w:rStyle w:val="ac"/>
          <w:rFonts w:ascii="Narkisim" w:hAnsi="Narkisim" w:cs="Narkisim"/>
          <w:rtl/>
        </w:rPr>
        <w:footnoteReference w:id="4008"/>
      </w:r>
      <w:r w:rsidRPr="00E14121">
        <w:rPr>
          <w:rFonts w:ascii="Narkisim" w:hAnsi="Narkisim" w:cs="Narkisim"/>
          <w:rtl/>
        </w:rPr>
        <w:t>. וה</w:t>
      </w:r>
      <w:r w:rsidRPr="00E14121">
        <w:rPr>
          <w:rFonts w:ascii="Narkisim" w:hAnsi="Narkisim" w:cs="Narkisim"/>
          <w:b/>
          <w:bCs/>
          <w:rtl/>
        </w:rPr>
        <w:t>קה"י</w:t>
      </w:r>
      <w:r w:rsidRPr="00E14121">
        <w:rPr>
          <w:rFonts w:ascii="Narkisim" w:hAnsi="Narkisim" w:cs="Narkisim"/>
          <w:rtl/>
        </w:rPr>
        <w:t xml:space="preserve"> (מב) כתב דבתרומה אסור טפי דנחשב גידולי תרומה. </w:t>
      </w:r>
      <w:r w:rsidRPr="00E14121">
        <w:rPr>
          <w:rFonts w:ascii="Narkisim" w:hAnsi="Narkisim" w:cs="Narkisim"/>
          <w:sz w:val="20"/>
          <w:szCs w:val="20"/>
          <w:rtl/>
        </w:rPr>
        <w:t>ועוד כתבו ה</w:t>
      </w:r>
      <w:r w:rsidRPr="00E14121">
        <w:rPr>
          <w:rFonts w:ascii="Narkisim" w:hAnsi="Narkisim" w:cs="Narkisim"/>
          <w:b/>
          <w:bCs/>
          <w:sz w:val="20"/>
          <w:szCs w:val="20"/>
          <w:rtl/>
        </w:rPr>
        <w:t>אחרונים</w:t>
      </w:r>
      <w:r w:rsidRPr="00E14121">
        <w:rPr>
          <w:rFonts w:ascii="Narkisim" w:hAnsi="Narkisim" w:cs="Narkisim"/>
          <w:sz w:val="20"/>
          <w:szCs w:val="20"/>
          <w:rtl/>
        </w:rPr>
        <w:t xml:space="preserve"> [ע"פ דברי הגרי"ז הנ”ל] דבתרומה יש דין בחפץ שלא יבא לידי שימוש ישראל [מלבד האיסור בעצם האכילה], ולכן אף מה שגדל ממנו בכלל.</w:t>
      </w:r>
    </w:p>
    <w:p w14:paraId="3729FDA0" w14:textId="77777777" w:rsidR="00F64AED" w:rsidRPr="00E14121" w:rsidRDefault="00F64AED" w:rsidP="00F64AED">
      <w:pPr>
        <w:pStyle w:val="a8"/>
        <w:bidi/>
        <w:rPr>
          <w:rFonts w:ascii="Narkisim" w:hAnsi="Narkisim"/>
        </w:rPr>
      </w:pPr>
      <w:r w:rsidRPr="00E14121">
        <w:rPr>
          <w:rFonts w:ascii="Narkisim" w:hAnsi="Narkisim"/>
          <w:rtl/>
        </w:rPr>
        <w:t>ועוד הקשו ה</w:t>
      </w:r>
      <w:r w:rsidRPr="00E14121">
        <w:rPr>
          <w:rFonts w:ascii="Narkisim" w:hAnsi="Narkisim"/>
          <w:b/>
          <w:bCs/>
          <w:rtl/>
        </w:rPr>
        <w:t>אחרונים</w:t>
      </w:r>
      <w:r w:rsidRPr="00E14121">
        <w:rPr>
          <w:rFonts w:ascii="Narkisim" w:hAnsi="Narkisim"/>
          <w:rtl/>
        </w:rPr>
        <w:t xml:space="preserve"> דא"כ אף בבהמת כהן האוכלת תרומה, נימא דהבשר אסור לישראל. וה</w:t>
      </w:r>
      <w:r w:rsidRPr="00E14121">
        <w:rPr>
          <w:rFonts w:ascii="Narkisim" w:hAnsi="Narkisim"/>
          <w:b/>
          <w:bCs/>
          <w:rtl/>
        </w:rPr>
        <w:t>קה"י</w:t>
      </w:r>
      <w:r w:rsidRPr="00E14121">
        <w:rPr>
          <w:rFonts w:ascii="Narkisim" w:hAnsi="Narkisim"/>
          <w:rtl/>
        </w:rPr>
        <w:t xml:space="preserve"> (שם) תי' דהוא ע"פ הגמ' (כריתות ז.) דכהן שסך שמן תרומה, נתחלל ומותר לבן בתו להתעגל בו. ולפ"ז ה"נ כשבהמת כהן אכלה, נתחלל ומותר לזר. ורק כשבהמת ישראל אוכלת אסור.</w:t>
      </w:r>
    </w:p>
    <w:p w14:paraId="60F3B791" w14:textId="77777777" w:rsidR="00F64AED" w:rsidRPr="00E14121" w:rsidRDefault="00F64AED" w:rsidP="00F64AED">
      <w:pPr>
        <w:bidi/>
        <w:rPr>
          <w:rFonts w:ascii="Narkisim" w:hAnsi="Narkisim" w:cs="Narkisim"/>
        </w:rPr>
      </w:pPr>
      <w:r w:rsidRPr="00E14121">
        <w:rPr>
          <w:rFonts w:ascii="Narkisim" w:hAnsi="Narkisim" w:cs="Narkisim"/>
          <w:u w:val="single"/>
          <w:rtl/>
        </w:rPr>
        <w:t>בא"ד וטעמא דלא אסר אלא הנאה של כילוי וכו'.</w:t>
      </w:r>
      <w:r w:rsidRPr="00E14121">
        <w:rPr>
          <w:rFonts w:ascii="Narkisim" w:hAnsi="Narkisim" w:cs="Narkisim"/>
          <w:rtl/>
        </w:rPr>
        <w:t xml:space="preserve"> מבואר בתוס' דהנאת כילוי אסור מדאורייתא</w:t>
      </w:r>
      <w:r w:rsidRPr="00E14121">
        <w:rPr>
          <w:rFonts w:ascii="Narkisim" w:hAnsi="Narkisim" w:cs="Narkisim"/>
          <w:sz w:val="20"/>
          <w:szCs w:val="20"/>
          <w:rtl/>
        </w:rPr>
        <w:t xml:space="preserve"> (וכ”ד </w:t>
      </w:r>
      <w:r w:rsidRPr="00E14121">
        <w:rPr>
          <w:rFonts w:ascii="Narkisim" w:hAnsi="Narkisim" w:cs="Narkisim"/>
          <w:b/>
          <w:bCs/>
          <w:sz w:val="20"/>
          <w:szCs w:val="20"/>
          <w:rtl/>
        </w:rPr>
        <w:t>תוס</w:t>
      </w:r>
      <w:r w:rsidRPr="00E14121">
        <w:rPr>
          <w:rFonts w:ascii="Narkisim" w:hAnsi="Narkisim" w:cs="Narkisim"/>
          <w:sz w:val="20"/>
          <w:szCs w:val="20"/>
          <w:rtl/>
        </w:rPr>
        <w:t>' פסחים לג:, ומנחות סז:)</w:t>
      </w:r>
      <w:r w:rsidRPr="00E14121">
        <w:rPr>
          <w:rFonts w:ascii="Narkisim" w:hAnsi="Narkisim" w:cs="Narkisim"/>
          <w:rtl/>
        </w:rPr>
        <w:t>, ולכן אסור להאכיל בהמתו</w:t>
      </w:r>
      <w:r w:rsidRPr="00E14121">
        <w:rPr>
          <w:rStyle w:val="ac"/>
          <w:rFonts w:ascii="Narkisim" w:hAnsi="Narkisim" w:cs="Narkisim"/>
          <w:rtl/>
        </w:rPr>
        <w:footnoteReference w:id="4009"/>
      </w:r>
      <w:r w:rsidRPr="00E14121">
        <w:rPr>
          <w:rFonts w:ascii="Narkisim" w:hAnsi="Narkisim" w:cs="Narkisim"/>
          <w:rtl/>
        </w:rPr>
        <w:t>. אבל ה</w:t>
      </w:r>
      <w:r w:rsidRPr="00E14121">
        <w:rPr>
          <w:rFonts w:ascii="Narkisim" w:hAnsi="Narkisim" w:cs="Narkisim"/>
          <w:b/>
          <w:bCs/>
          <w:rtl/>
        </w:rPr>
        <w:t>ר"ש</w:t>
      </w:r>
      <w:r w:rsidRPr="00E14121">
        <w:rPr>
          <w:rFonts w:ascii="Narkisim" w:hAnsi="Narkisim" w:cs="Narkisim"/>
          <w:rtl/>
        </w:rPr>
        <w:t xml:space="preserve"> (תרומות יא ט) למד מדברי הירושלמי דמדאורייתא כל הנאות מותרות</w:t>
      </w:r>
      <w:r w:rsidRPr="00E14121">
        <w:rPr>
          <w:rStyle w:val="ac"/>
          <w:rFonts w:ascii="Narkisim" w:hAnsi="Narkisim" w:cs="Narkisim"/>
          <w:rtl/>
        </w:rPr>
        <w:footnoteReference w:id="4010"/>
      </w:r>
      <w:r w:rsidRPr="00E14121">
        <w:rPr>
          <w:rFonts w:ascii="Narkisim" w:hAnsi="Narkisim" w:cs="Narkisim"/>
          <w:rtl/>
        </w:rPr>
        <w:t>. דב</w:t>
      </w:r>
      <w:r w:rsidRPr="00E14121">
        <w:rPr>
          <w:rFonts w:ascii="Narkisim" w:hAnsi="Narkisim" w:cs="Narkisim"/>
          <w:b/>
          <w:bCs/>
          <w:rtl/>
        </w:rPr>
        <w:t>ירושלמי</w:t>
      </w:r>
      <w:r w:rsidRPr="00E14121">
        <w:rPr>
          <w:rFonts w:ascii="Narkisim" w:hAnsi="Narkisim" w:cs="Narkisim"/>
          <w:rtl/>
        </w:rPr>
        <w:t xml:space="preserve"> דמדליקין במבואות וכו' אף בלא כהן </w:t>
      </w:r>
      <w:r w:rsidRPr="00E14121">
        <w:rPr>
          <w:rFonts w:ascii="Narkisim" w:hAnsi="Narkisim" w:cs="Narkisim"/>
          <w:sz w:val="20"/>
          <w:szCs w:val="20"/>
          <w:rtl/>
        </w:rPr>
        <w:t>(וכ”ד ה</w:t>
      </w:r>
      <w:r w:rsidRPr="00E14121">
        <w:rPr>
          <w:rFonts w:ascii="Narkisim" w:hAnsi="Narkisim" w:cs="Narkisim"/>
          <w:b/>
          <w:bCs/>
          <w:sz w:val="20"/>
          <w:szCs w:val="20"/>
          <w:rtl/>
        </w:rPr>
        <w:t>רמב”ם</w:t>
      </w:r>
      <w:r w:rsidRPr="00E14121">
        <w:rPr>
          <w:rFonts w:ascii="Narkisim" w:hAnsi="Narkisim" w:cs="Narkisim"/>
          <w:sz w:val="20"/>
          <w:szCs w:val="20"/>
          <w:rtl/>
        </w:rPr>
        <w:t xml:space="preserve"> יא יח)</w:t>
      </w:r>
      <w:r w:rsidRPr="00E14121">
        <w:rPr>
          <w:rFonts w:ascii="Narkisim" w:hAnsi="Narkisim" w:cs="Narkisim"/>
          <w:rtl/>
        </w:rPr>
        <w:t>, והר"ש ביאר דמשום צרכי רבים לא החמירו. וה</w:t>
      </w:r>
      <w:r w:rsidRPr="00E14121">
        <w:rPr>
          <w:rFonts w:ascii="Narkisim" w:hAnsi="Narkisim" w:cs="Narkisim"/>
          <w:b/>
          <w:bCs/>
          <w:rtl/>
        </w:rPr>
        <w:t>משנ"ל</w:t>
      </w:r>
      <w:r w:rsidRPr="00E14121">
        <w:rPr>
          <w:rFonts w:ascii="Narkisim" w:hAnsi="Narkisim" w:cs="Narkisim"/>
          <w:rtl/>
        </w:rPr>
        <w:t xml:space="preserve"> (תרומות ב יד) האריך בזה</w:t>
      </w:r>
      <w:r w:rsidRPr="00E14121">
        <w:rPr>
          <w:rStyle w:val="ac"/>
          <w:rFonts w:ascii="Narkisim" w:hAnsi="Narkisim" w:cs="Narkisim"/>
          <w:rtl/>
        </w:rPr>
        <w:footnoteReference w:id="4011"/>
      </w:r>
      <w:r w:rsidRPr="00E14121">
        <w:rPr>
          <w:rFonts w:ascii="Narkisim" w:hAnsi="Narkisim" w:cs="Narkisim"/>
          <w:rtl/>
        </w:rPr>
        <w:t>.</w:t>
      </w:r>
    </w:p>
    <w:p w14:paraId="00D62AB8"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חקרו ביסוד איסור הנאת כילוי, האם הוה איסור הנאה [וכ”מ בדברי התוס'], או איסור משום כילוי התרומה [והביאו דכ”מ בר”ן פסחים לד.]. וה</w:t>
      </w:r>
      <w:r w:rsidRPr="00E14121">
        <w:rPr>
          <w:rFonts w:ascii="Narkisim" w:hAnsi="Narkisim"/>
          <w:b/>
          <w:bCs/>
          <w:rtl/>
        </w:rPr>
        <w:t>קוב"ש</w:t>
      </w:r>
      <w:r w:rsidRPr="00E14121">
        <w:rPr>
          <w:rFonts w:ascii="Narkisim" w:hAnsi="Narkisim"/>
          <w:rtl/>
        </w:rPr>
        <w:t xml:space="preserve"> (פסחים קנח) הביא דבתרומה הותר כשמדליק לכהן ונר לא'</w:t>
      </w:r>
      <w:r w:rsidRPr="00E14121">
        <w:rPr>
          <w:rStyle w:val="ac"/>
          <w:rFonts w:ascii="Narkisim" w:hAnsi="Narkisim"/>
          <w:rtl/>
        </w:rPr>
        <w:footnoteReference w:id="4012"/>
      </w:r>
      <w:r w:rsidRPr="00E14121">
        <w:rPr>
          <w:rFonts w:ascii="Narkisim" w:hAnsi="Narkisim"/>
          <w:rtl/>
        </w:rPr>
        <w:t>, דכל האיסור כשהכילוי בשביל ישראל</w:t>
      </w:r>
      <w:r w:rsidRPr="00E14121">
        <w:rPr>
          <w:rStyle w:val="ac"/>
          <w:rFonts w:ascii="Narkisim" w:hAnsi="Narkisim"/>
          <w:rtl/>
        </w:rPr>
        <w:footnoteReference w:id="4013"/>
      </w:r>
      <w:r w:rsidRPr="00E14121">
        <w:rPr>
          <w:rFonts w:ascii="Narkisim" w:hAnsi="Narkisim"/>
          <w:rtl/>
        </w:rPr>
        <w:t>.</w:t>
      </w:r>
    </w:p>
    <w:p w14:paraId="33317DAE" w14:textId="77777777" w:rsidR="00F64AED" w:rsidRPr="00E14121" w:rsidRDefault="00F64AED" w:rsidP="00F64AED">
      <w:pPr>
        <w:pStyle w:val="a8"/>
        <w:bidi/>
        <w:rPr>
          <w:rFonts w:ascii="Narkisim" w:hAnsi="Narkisim"/>
        </w:rPr>
      </w:pPr>
      <w:r w:rsidRPr="00E14121">
        <w:rPr>
          <w:rFonts w:ascii="Narkisim" w:hAnsi="Narkisim"/>
          <w:rtl/>
        </w:rPr>
        <w:t>והקוב"ש הקשה א"כ אמאי לא הותר להנות כששורף לשם מצוות שריפה.</w:t>
      </w:r>
    </w:p>
    <w:p w14:paraId="0CAF55D4"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מרדכי</w:t>
      </w:r>
      <w:r w:rsidRPr="00E14121">
        <w:rPr>
          <w:rFonts w:ascii="Narkisim" w:hAnsi="Narkisim"/>
          <w:rtl/>
        </w:rPr>
        <w:t xml:space="preserve"> הק' דישראל ששכר בהמה, הרי נהנה הנאת כילוי</w:t>
      </w:r>
      <w:r w:rsidRPr="00E14121">
        <w:rPr>
          <w:rStyle w:val="ac"/>
          <w:rFonts w:ascii="Narkisim" w:hAnsi="Narkisim"/>
          <w:rtl/>
        </w:rPr>
        <w:footnoteReference w:id="4014"/>
      </w:r>
      <w:r w:rsidRPr="00E14121">
        <w:rPr>
          <w:rFonts w:ascii="Narkisim" w:hAnsi="Narkisim"/>
          <w:rtl/>
        </w:rPr>
        <w:t xml:space="preserve"> [שנתחייב במזונותיו, ומשתמש בתרומה להאכיל הבהמה]. וי"ל דכיון דעיקר ההנאה לקנין כספו מצי להאכילה</w:t>
      </w:r>
      <w:r w:rsidRPr="00E14121">
        <w:rPr>
          <w:rStyle w:val="ac"/>
          <w:rFonts w:ascii="Narkisim" w:hAnsi="Narkisim"/>
          <w:rtl/>
        </w:rPr>
        <w:footnoteReference w:id="4015"/>
      </w:r>
      <w:r w:rsidRPr="00E14121">
        <w:rPr>
          <w:rFonts w:ascii="Narkisim" w:hAnsi="Narkisim"/>
          <w:rtl/>
        </w:rPr>
        <w:t>.</w:t>
      </w:r>
    </w:p>
    <w:p w14:paraId="3D7C6E49" w14:textId="77777777" w:rsidR="00F64AED" w:rsidRPr="00E14121" w:rsidRDefault="00F64AED" w:rsidP="00F64AED">
      <w:pPr>
        <w:pStyle w:val="aa"/>
        <w:bidi/>
        <w:rPr>
          <w:rFonts w:ascii="Narkisim" w:hAnsi="Narkisim"/>
        </w:rPr>
      </w:pPr>
      <w:r w:rsidRPr="00E14121">
        <w:rPr>
          <w:rFonts w:ascii="Narkisim" w:hAnsi="Narkisim"/>
          <w:u w:val="single"/>
          <w:rtl/>
        </w:rPr>
        <w:t>בא"ד דמשעת הרמה לא הותרה אלא לכהנים וכו'.</w:t>
      </w:r>
      <w:r w:rsidRPr="00E14121">
        <w:rPr>
          <w:rFonts w:ascii="Narkisim" w:hAnsi="Narkisim"/>
          <w:rtl/>
        </w:rPr>
        <w:t xml:space="preserve"> ה</w:t>
      </w:r>
      <w:r w:rsidRPr="00E14121">
        <w:rPr>
          <w:rFonts w:ascii="Narkisim" w:hAnsi="Narkisim"/>
          <w:b/>
          <w:bCs/>
          <w:rtl/>
        </w:rPr>
        <w:t>אתוון דאורייתא</w:t>
      </w:r>
      <w:r w:rsidRPr="00E14121">
        <w:rPr>
          <w:rFonts w:ascii="Narkisim" w:hAnsi="Narkisim"/>
          <w:rtl/>
        </w:rPr>
        <w:t xml:space="preserve"> (ב) הביא מדברי התוס' דהאיסור תרומה הוא מחמת האיסור טבל, ולא הוה איסור חדש שנתחדש בשעת הפרשה. אלא כלפי הזר האיסור טבל עדיין קיימת אף אחר הפרשה [ועי”ש דהאריך בזה טובא].</w:t>
      </w:r>
    </w:p>
    <w:p w14:paraId="699FB48E" w14:textId="77777777" w:rsidR="00F64AED" w:rsidRPr="00E14121" w:rsidRDefault="00F64AED" w:rsidP="00F64AED">
      <w:pPr>
        <w:bidi/>
        <w:rPr>
          <w:rFonts w:ascii="Narkisim" w:hAnsi="Narkisim" w:cs="Narkisim"/>
        </w:rPr>
      </w:pPr>
      <w:r w:rsidRPr="00E14121">
        <w:rPr>
          <w:rFonts w:ascii="Narkisim" w:hAnsi="Narkisim" w:cs="Narkisim"/>
          <w:u w:val="single"/>
          <w:rtl/>
        </w:rPr>
        <w:t>נהי נמי דחייב בגו"א, באונסיה ובכחשה וכו' מי מחייב.</w:t>
      </w:r>
      <w:r w:rsidRPr="00E14121">
        <w:rPr>
          <w:rFonts w:ascii="Narkisim" w:hAnsi="Narkisim" w:cs="Narkisim"/>
          <w:rtl/>
        </w:rPr>
        <w:t xml:space="preserve"> כ"ג </w:t>
      </w:r>
      <w:r w:rsidRPr="00E14121">
        <w:rPr>
          <w:rFonts w:ascii="Narkisim" w:hAnsi="Narkisim" w:cs="Narkisim"/>
          <w:b/>
          <w:bCs/>
          <w:rtl/>
        </w:rPr>
        <w:t>רש"י</w:t>
      </w:r>
      <w:r w:rsidRPr="00E14121">
        <w:rPr>
          <w:rFonts w:ascii="Narkisim" w:hAnsi="Narkisim" w:cs="Narkisim"/>
          <w:rtl/>
        </w:rPr>
        <w:t>. אבל ה</w:t>
      </w:r>
      <w:r w:rsidRPr="00E14121">
        <w:rPr>
          <w:rFonts w:ascii="Narkisim" w:hAnsi="Narkisim" w:cs="Narkisim"/>
          <w:b/>
          <w:bCs/>
          <w:rtl/>
        </w:rPr>
        <w:t>רמב"ן</w:t>
      </w:r>
      <w:r w:rsidRPr="00E14121">
        <w:rPr>
          <w:rFonts w:ascii="Narkisim" w:hAnsi="Narkisim" w:cs="Narkisim"/>
          <w:rtl/>
        </w:rPr>
        <w:t xml:space="preserve"> הביא הגי' נהי נמי דמחייב באונסיה, בכחש ובפחיתת דמיה מי מחייב [וכ”ג הרי”ף]. דקים לגמ' דה"ה כהן ששאל, לא יאכילנה כרשיני תרומה. [ודלא כ</w:t>
      </w:r>
      <w:r w:rsidRPr="00E14121">
        <w:rPr>
          <w:rFonts w:ascii="Narkisim" w:hAnsi="Narkisim" w:cs="Narkisim"/>
          <w:b/>
          <w:bCs/>
          <w:rtl/>
        </w:rPr>
        <w:t>תוס</w:t>
      </w:r>
      <w:r w:rsidRPr="00E14121">
        <w:rPr>
          <w:rFonts w:ascii="Narkisim" w:hAnsi="Narkisim" w:cs="Narkisim"/>
          <w:rtl/>
        </w:rPr>
        <w:t>' דשואל דינו כשם ומאכיל בתרומה]. וה</w:t>
      </w:r>
      <w:r w:rsidRPr="00E14121">
        <w:rPr>
          <w:rFonts w:ascii="Narkisim" w:hAnsi="Narkisim" w:cs="Narkisim"/>
          <w:b/>
          <w:bCs/>
          <w:rtl/>
        </w:rPr>
        <w:t>ריטב"א</w:t>
      </w:r>
      <w:r w:rsidRPr="00E14121">
        <w:rPr>
          <w:rFonts w:ascii="Narkisim" w:hAnsi="Narkisim" w:cs="Narkisim"/>
          <w:rtl/>
        </w:rPr>
        <w:t xml:space="preserve"> כתב דאף לגירסת רש"י שואל אינו מאכיל.</w:t>
      </w:r>
    </w:p>
    <w:p w14:paraId="2EDE9F6D" w14:textId="77777777" w:rsidR="00F64AED" w:rsidRPr="00E14121" w:rsidRDefault="00F64AED" w:rsidP="00F64AED">
      <w:pPr>
        <w:pStyle w:val="aa"/>
        <w:bidi/>
        <w:rPr>
          <w:rFonts w:ascii="Narkisim" w:hAnsi="Narkisim"/>
        </w:rPr>
      </w:pPr>
      <w:r w:rsidRPr="00E14121">
        <w:rPr>
          <w:rFonts w:ascii="Narkisim" w:hAnsi="Narkisim"/>
          <w:rtl/>
        </w:rPr>
        <w:t>ה</w:t>
      </w:r>
      <w:r w:rsidRPr="00E14121">
        <w:rPr>
          <w:rFonts w:ascii="Narkisim" w:hAnsi="Narkisim"/>
          <w:b/>
          <w:bCs/>
          <w:rtl/>
        </w:rPr>
        <w:t>רי"ף</w:t>
      </w:r>
      <w:r w:rsidRPr="00E14121">
        <w:rPr>
          <w:rFonts w:ascii="Narkisim" w:hAnsi="Narkisim"/>
          <w:rtl/>
        </w:rPr>
        <w:t xml:space="preserve"> הביא בשם ה</w:t>
      </w:r>
      <w:r w:rsidRPr="00E14121">
        <w:rPr>
          <w:rFonts w:ascii="Narkisim" w:hAnsi="Narkisim"/>
          <w:b/>
          <w:bCs/>
          <w:rtl/>
        </w:rPr>
        <w:t>גאונים</w:t>
      </w:r>
      <w:r w:rsidRPr="00E14121">
        <w:rPr>
          <w:rFonts w:ascii="Narkisim" w:hAnsi="Narkisim"/>
          <w:rtl/>
        </w:rPr>
        <w:t xml:space="preserve"> (וכ”ד ר”ח, וכ”כ ה</w:t>
      </w:r>
      <w:r w:rsidRPr="00E14121">
        <w:rPr>
          <w:rFonts w:ascii="Narkisim" w:hAnsi="Narkisim"/>
          <w:b/>
          <w:bCs/>
          <w:rtl/>
        </w:rPr>
        <w:t>רמב”ם</w:t>
      </w:r>
      <w:r w:rsidRPr="00E14121">
        <w:rPr>
          <w:rFonts w:ascii="Narkisim" w:hAnsi="Narkisim"/>
          <w:rtl/>
        </w:rPr>
        <w:t xml:space="preserve"> אישות כב לה</w:t>
      </w:r>
      <w:r w:rsidRPr="00E14121">
        <w:rPr>
          <w:rStyle w:val="ac"/>
          <w:rFonts w:ascii="Narkisim" w:hAnsi="Narkisim"/>
          <w:rtl/>
        </w:rPr>
        <w:footnoteReference w:id="4016"/>
      </w:r>
      <w:r w:rsidRPr="00E14121">
        <w:rPr>
          <w:rFonts w:ascii="Narkisim" w:hAnsi="Narkisim"/>
          <w:rtl/>
        </w:rPr>
        <w:t>) לדייק מהמשנה דדוקא כשמתו אמרי' דמתו לו, אבל אם עדיין קיימין ומשמשים מעין מלאכתן מחזירן בעין, ואע"ג דבלעי טובא</w:t>
      </w:r>
      <w:r w:rsidRPr="00E14121">
        <w:rPr>
          <w:rStyle w:val="ac"/>
          <w:rFonts w:ascii="Narkisim" w:hAnsi="Narkisim"/>
          <w:rtl/>
        </w:rPr>
        <w:footnoteReference w:id="4017"/>
      </w:r>
      <w:r w:rsidRPr="00E14121">
        <w:rPr>
          <w:rFonts w:ascii="Narkisim" w:hAnsi="Narkisim"/>
          <w:rtl/>
        </w:rPr>
        <w:t>. וה</w:t>
      </w:r>
      <w:r w:rsidRPr="00E14121">
        <w:rPr>
          <w:rFonts w:ascii="Narkisim" w:hAnsi="Narkisim"/>
          <w:b/>
          <w:bCs/>
          <w:rtl/>
        </w:rPr>
        <w:t>רי"ף</w:t>
      </w:r>
      <w:r w:rsidRPr="00E14121">
        <w:rPr>
          <w:rFonts w:ascii="Narkisim" w:hAnsi="Narkisim"/>
          <w:rtl/>
        </w:rPr>
        <w:t xml:space="preserve"> חלק דמבואר בגמ' (כאן) דמתחייב כחשה.</w:t>
      </w:r>
    </w:p>
    <w:p w14:paraId="2D96EB65" w14:textId="77777777" w:rsidR="00F64AED" w:rsidRPr="00E14121" w:rsidRDefault="00F64AED" w:rsidP="00F64AED">
      <w:pPr>
        <w:pStyle w:val="2"/>
        <w:bidi/>
        <w:rPr>
          <w:rFonts w:ascii="Narkisim" w:hAnsi="Narkisim"/>
        </w:rPr>
      </w:pPr>
      <w:r w:rsidRPr="00E14121">
        <w:rPr>
          <w:rFonts w:ascii="Narkisim" w:hAnsi="Narkisim"/>
          <w:rtl/>
        </w:rPr>
        <w:lastRenderedPageBreak/>
        <w:t>חיוב אחריות כדידיה</w:t>
      </w:r>
    </w:p>
    <w:p w14:paraId="11D15085" w14:textId="77777777" w:rsidR="00F64AED" w:rsidRPr="00E14121" w:rsidRDefault="00F64AED" w:rsidP="00F64AED">
      <w:pPr>
        <w:bidi/>
        <w:rPr>
          <w:rFonts w:ascii="Narkisim" w:hAnsi="Narkisim" w:cs="Narkisim"/>
        </w:rPr>
      </w:pPr>
      <w:r w:rsidRPr="00E14121">
        <w:rPr>
          <w:rFonts w:ascii="Narkisim" w:hAnsi="Narkisim" w:cs="Narkisim"/>
          <w:u w:val="single"/>
          <w:rtl/>
        </w:rPr>
        <w:t>הא לא דמי אלא לסיפא וכו' כהן ששם פרה מישראל יאכילנו</w:t>
      </w:r>
      <w:r w:rsidRPr="00E14121">
        <w:rPr>
          <w:rStyle w:val="ac"/>
          <w:rFonts w:ascii="Narkisim" w:hAnsi="Narkisim" w:cs="Narkisim"/>
          <w:u w:val="single"/>
          <w:rtl/>
        </w:rPr>
        <w:footnoteReference w:id="4018"/>
      </w:r>
      <w:r w:rsidRPr="00E14121">
        <w:rPr>
          <w:rFonts w:ascii="Narkisim" w:hAnsi="Narkisim" w:cs="Narkisim"/>
          <w:u w:val="single"/>
          <w:rtl/>
        </w:rPr>
        <w:t xml:space="preserve">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הואיל וקיבלה באחריותו. ואף שאם לא יפחתו דמיה חוזרת בעיניה, כל כמה דלא הדרי דידיה הוא. אבל ה</w:t>
      </w:r>
      <w:r w:rsidRPr="00E14121">
        <w:rPr>
          <w:rFonts w:ascii="Narkisim" w:hAnsi="Narkisim" w:cs="Narkisim"/>
          <w:b/>
          <w:bCs/>
          <w:rtl/>
        </w:rPr>
        <w:t>מאירי</w:t>
      </w:r>
      <w:r w:rsidRPr="00E14121">
        <w:rPr>
          <w:rFonts w:ascii="Narkisim" w:hAnsi="Narkisim" w:cs="Narkisim"/>
          <w:rtl/>
        </w:rPr>
        <w:t xml:space="preserve"> (ד"ה לפי דרכך) כת' דהמקבל צאן ברזל מחבירו הרי הם ברשות מקבל לגמרי ויכול לסלקו בזוזי, ואין הלה יכול לומר שלי אני נוטל. [ודוקא באשה אמרו שתובעת הכלי משום שבח בית אביה].</w:t>
      </w:r>
    </w:p>
    <w:p w14:paraId="260AB51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ברכ"ש</w:t>
      </w:r>
      <w:r w:rsidRPr="00E14121">
        <w:rPr>
          <w:rFonts w:ascii="Narkisim" w:hAnsi="Narkisim"/>
          <w:rtl/>
        </w:rPr>
        <w:t xml:space="preserve"> (כ ג) תי' [לרש"י] דלדעת ר' אמי כיון דחיוב אחריות הוה הוכחה שהוא של המקבל, א"כ הוה תנאי בעלמא להחזיר את הפרה, ואינו חסרון בבעלות. ורב יהודה פליג דכיון דאינו יכול למכור נחשב דאינו של הכהן, ומ"מ מהני חיוב אחריות להחשב שלו לענין אכילת תרומה [כשיש חיוב אחריות ופחת].</w:t>
      </w:r>
    </w:p>
    <w:p w14:paraId="03D204BB" w14:textId="77777777" w:rsidR="00F64AED" w:rsidRPr="00E14121" w:rsidRDefault="00F64AED" w:rsidP="00F64AED">
      <w:pPr>
        <w:bidi/>
        <w:rPr>
          <w:rFonts w:ascii="Narkisim" w:hAnsi="Narkisim" w:cs="Narkisim"/>
        </w:rPr>
      </w:pPr>
      <w:r w:rsidRPr="00E14121">
        <w:rPr>
          <w:rFonts w:ascii="Narkisim" w:hAnsi="Narkisim" w:cs="Narkisim"/>
          <w:u w:val="single"/>
          <w:rtl/>
        </w:rPr>
        <w:t>תוד"ה אבל.</w:t>
      </w:r>
      <w:r w:rsidRPr="00E14121">
        <w:rPr>
          <w:rFonts w:ascii="Narkisim" w:hAnsi="Narkisim" w:cs="Narkisim"/>
          <w:rtl/>
        </w:rPr>
        <w:t xml:space="preserve"> אלא איירי בשואל. משמע דשואל 'קנה' ע"י חיוב אונסים, ונחשב בעלים להאכיל תרומה</w:t>
      </w:r>
      <w:r w:rsidRPr="00E14121">
        <w:rPr>
          <w:rStyle w:val="ac"/>
          <w:rFonts w:ascii="Narkisim" w:hAnsi="Narkisim" w:cs="Narkisim"/>
          <w:rtl/>
        </w:rPr>
        <w:footnoteReference w:id="4019"/>
      </w:r>
      <w:r w:rsidRPr="00E14121">
        <w:rPr>
          <w:rFonts w:ascii="Narkisim" w:hAnsi="Narkisim" w:cs="Narkisim"/>
          <w:rtl/>
        </w:rPr>
        <w:t>.</w:t>
      </w:r>
      <w:r w:rsidRPr="00E14121">
        <w:rPr>
          <w:rFonts w:ascii="Narkisim" w:hAnsi="Narkisim" w:cs="Narkisim"/>
          <w:sz w:val="20"/>
          <w:szCs w:val="20"/>
          <w:rtl/>
        </w:rPr>
        <w:t xml:space="preserve"> אבל ב</w:t>
      </w:r>
      <w:r w:rsidRPr="00E14121">
        <w:rPr>
          <w:rFonts w:ascii="Narkisim" w:hAnsi="Narkisim" w:cs="Narkisim"/>
          <w:b/>
          <w:bCs/>
          <w:sz w:val="20"/>
          <w:szCs w:val="20"/>
          <w:rtl/>
        </w:rPr>
        <w:t>תוס' מהר"ם ור”פ</w:t>
      </w:r>
      <w:r w:rsidRPr="00E14121">
        <w:rPr>
          <w:rFonts w:ascii="Narkisim" w:hAnsi="Narkisim" w:cs="Narkisim"/>
          <w:sz w:val="20"/>
          <w:szCs w:val="20"/>
          <w:rtl/>
        </w:rPr>
        <w:t xml:space="preserve"> כתב דאיירי בשואל דשם אותה בפחת דמים אם תיזול. ולעולם איירי בשם דמיהם. אלא דאין בזה משום ריבית כיון דאינו נותן דמי שכירות.</w:t>
      </w:r>
    </w:p>
    <w:p w14:paraId="2B0C3774" w14:textId="77777777" w:rsidR="00F64AED" w:rsidRPr="00E14121" w:rsidRDefault="00F64AED" w:rsidP="00F64AED">
      <w:pPr>
        <w:bidi/>
        <w:rPr>
          <w:rFonts w:ascii="Narkisim" w:hAnsi="Narkisim" w:cs="Narkisim"/>
        </w:rPr>
      </w:pPr>
      <w:r w:rsidRPr="00E14121">
        <w:rPr>
          <w:rFonts w:ascii="Narkisim" w:hAnsi="Narkisim" w:cs="Narkisim"/>
          <w:u w:val="single"/>
          <w:rtl/>
        </w:rPr>
        <w:t>תוד"ה עבדי.</w:t>
      </w:r>
      <w:r w:rsidRPr="00E14121">
        <w:rPr>
          <w:rFonts w:ascii="Narkisim" w:hAnsi="Narkisim" w:cs="Narkisim"/>
          <w:rtl/>
        </w:rPr>
        <w:t xml:space="preserve"> תימה לר"י וכו' דהא רב יהודה מודה וכו' דחשיב כעבדו [ע"י החיוב אחריות] וכו' דתרומה ושין ועין ענין א'. [וה</w:t>
      </w:r>
      <w:r w:rsidRPr="00E14121">
        <w:rPr>
          <w:rFonts w:ascii="Narkisim" w:hAnsi="Narkisim" w:cs="Narkisim"/>
          <w:b/>
          <w:bCs/>
          <w:rtl/>
        </w:rPr>
        <w:t>אחרונים</w:t>
      </w:r>
      <w:r w:rsidRPr="00E14121">
        <w:rPr>
          <w:rFonts w:ascii="Narkisim" w:hAnsi="Narkisim" w:cs="Narkisim"/>
          <w:rtl/>
        </w:rPr>
        <w:t xml:space="preserve"> ביארו דבהנך תליא ב'שם בעלים' של החפץ</w:t>
      </w:r>
      <w:r w:rsidRPr="00E14121">
        <w:rPr>
          <w:rStyle w:val="ac"/>
          <w:rFonts w:ascii="Narkisim" w:hAnsi="Narkisim" w:cs="Narkisim"/>
          <w:rtl/>
        </w:rPr>
        <w:footnoteReference w:id="4020"/>
      </w:r>
      <w:r w:rsidRPr="00E14121">
        <w:rPr>
          <w:rFonts w:ascii="Narkisim" w:hAnsi="Narkisim" w:cs="Narkisim"/>
          <w:rtl/>
        </w:rPr>
        <w:t>]. וה</w:t>
      </w:r>
      <w:r w:rsidRPr="00E14121">
        <w:rPr>
          <w:rFonts w:ascii="Narkisim" w:hAnsi="Narkisim" w:cs="Narkisim"/>
          <w:b/>
          <w:bCs/>
          <w:rtl/>
        </w:rPr>
        <w:t>תו"י</w:t>
      </w:r>
      <w:r w:rsidRPr="00E14121">
        <w:rPr>
          <w:rFonts w:ascii="Narkisim" w:hAnsi="Narkisim" w:cs="Narkisim"/>
          <w:rtl/>
        </w:rPr>
        <w:t xml:space="preserve"> תי' דאף דמהני לאכול בתרומה, מ"מ אינו יכול למוכרה</w:t>
      </w:r>
      <w:r w:rsidRPr="00E14121">
        <w:rPr>
          <w:rStyle w:val="ac"/>
          <w:rFonts w:ascii="Narkisim" w:hAnsi="Narkisim" w:cs="Narkisim"/>
          <w:rtl/>
        </w:rPr>
        <w:footnoteReference w:id="4021"/>
      </w:r>
      <w:r w:rsidRPr="00E14121">
        <w:rPr>
          <w:rFonts w:ascii="Narkisim" w:hAnsi="Narkisim" w:cs="Narkisim"/>
          <w:rtl/>
        </w:rPr>
        <w:t>, ומש"ה אינו יוצא בשן ועין.</w:t>
      </w:r>
    </w:p>
    <w:p w14:paraId="0EB8157D" w14:textId="77777777" w:rsidR="00F64AED" w:rsidRPr="00E14121" w:rsidRDefault="00F64AED" w:rsidP="00F64AED">
      <w:pPr>
        <w:bidi/>
        <w:rPr>
          <w:rFonts w:ascii="Narkisim" w:hAnsi="Narkisim" w:cs="Narkisim"/>
        </w:rPr>
      </w:pPr>
      <w:r w:rsidRPr="00E14121">
        <w:rPr>
          <w:rFonts w:ascii="Narkisim" w:hAnsi="Narkisim" w:cs="Narkisim"/>
          <w:u w:val="single"/>
          <w:rtl/>
        </w:rPr>
        <w:t>בא"ד ועוד הקשה הר' משה כהן דמיחסרי גוביינא וכו' ויכול לשחרר.</w:t>
      </w:r>
      <w:r w:rsidRPr="00E14121">
        <w:rPr>
          <w:rFonts w:ascii="Narkisim" w:hAnsi="Narkisim" w:cs="Narkisim"/>
          <w:rtl/>
        </w:rPr>
        <w:t xml:space="preserve"> ו</w:t>
      </w:r>
      <w:r w:rsidRPr="00E14121">
        <w:rPr>
          <w:rFonts w:ascii="Narkisim" w:hAnsi="Narkisim" w:cs="Narkisim"/>
          <w:b/>
          <w:bCs/>
          <w:rtl/>
        </w:rPr>
        <w:t xml:space="preserve">תוס' </w:t>
      </w:r>
      <w:r w:rsidRPr="00E14121">
        <w:rPr>
          <w:rFonts w:ascii="Narkisim" w:hAnsi="Narkisim" w:cs="Narkisim"/>
          <w:rtl/>
        </w:rPr>
        <w:t>(ב"ק פט: ד"ה מאי) כת' דהגמ' כאן ס"ל כר' נאני [בסמוך] דל"ל סברת מחוסר גוביינא כיון דאינו יכול לסלקה במילתא אחריתי. [ותוס' כאן הקשו דהגמ' מקשה לרבא והא תניא כוותיה, מבואר דס”ל כן].</w:t>
      </w:r>
    </w:p>
    <w:p w14:paraId="471D26A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(שם וכאן) כת' [כעי"ז] דפליגי האם שחרור מפקיע מידי שעבוד. ועוד כתב דיש לה שעבוד אלים, ולכן בדין מעכב זכותה שלא יצא בשן ועין.</w:t>
      </w:r>
      <w:r w:rsidRPr="00E14121">
        <w:rPr>
          <w:rFonts w:ascii="Narkisim" w:hAnsi="Narkisim"/>
          <w:sz w:val="20"/>
          <w:szCs w:val="20"/>
          <w:rtl/>
        </w:rPr>
        <w:t xml:space="preserve"> וה</w:t>
      </w:r>
      <w:r w:rsidRPr="00E14121">
        <w:rPr>
          <w:rFonts w:ascii="Narkisim" w:hAnsi="Narkisim"/>
          <w:b/>
          <w:bCs/>
          <w:sz w:val="20"/>
          <w:szCs w:val="20"/>
          <w:rtl/>
        </w:rPr>
        <w:t>ברכ"ש</w:t>
      </w:r>
      <w:r w:rsidRPr="00E14121">
        <w:rPr>
          <w:rFonts w:ascii="Narkisim" w:hAnsi="Narkisim"/>
          <w:sz w:val="20"/>
          <w:szCs w:val="20"/>
          <w:rtl/>
        </w:rPr>
        <w:t xml:space="preserve"> (כ ה) ביאר דלענין שין ועין תליא בבעלות בעצם, ולא סגי שיש זכות לענין דין זה. אבל בפשוטו כוונת הרשב"א [ע"ד התו"י] דע"י השעבוד אלים, אין לו זכות ממון למכור ולשחרר.</w:t>
      </w:r>
    </w:p>
    <w:p w14:paraId="446121D2"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כתב דנחלקו בגדר צאן ברזל, האם הוה שלו או שלה [ע"ד מש"כ לעיל]. וסיים והשתא נמי אתי שפיר מתני' דתרומה. דעבדיה אוכלים בתרומה דנחשב שלו דמחוסר גוביינא. אבל בתוס' משמע דאוכלים בתרומה מחמת האחריות. [וע' בסמוך]. </w:t>
      </w:r>
      <w:r w:rsidRPr="00E14121">
        <w:rPr>
          <w:rFonts w:ascii="Narkisim" w:hAnsi="Narkisim"/>
          <w:sz w:val="20"/>
          <w:szCs w:val="20"/>
          <w:rtl/>
        </w:rPr>
        <w:t>וה</w:t>
      </w:r>
      <w:r w:rsidRPr="00E14121">
        <w:rPr>
          <w:rFonts w:ascii="Narkisim" w:hAnsi="Narkisim"/>
          <w:b/>
          <w:bCs/>
          <w:sz w:val="20"/>
          <w:szCs w:val="20"/>
          <w:rtl/>
        </w:rPr>
        <w:t>אבנ"נ</w:t>
      </w:r>
      <w:r w:rsidRPr="00E14121">
        <w:rPr>
          <w:rFonts w:ascii="Narkisim" w:hAnsi="Narkisim"/>
          <w:sz w:val="20"/>
          <w:szCs w:val="20"/>
          <w:rtl/>
        </w:rPr>
        <w:t xml:space="preserve"> (תמב ד) כתב דהוא משום דכשיגבה למפרע, יתברר שאכלו בתרומה שלא כדין.</w:t>
      </w:r>
    </w:p>
    <w:p w14:paraId="5D5B5BDD" w14:textId="77777777" w:rsidR="00F64AED" w:rsidRPr="00E14121" w:rsidRDefault="00F64AED" w:rsidP="00F64AED">
      <w:pPr>
        <w:bidi/>
        <w:rPr>
          <w:rFonts w:ascii="Narkisim" w:hAnsi="Narkisim" w:cs="Narkisim"/>
        </w:rPr>
      </w:pPr>
      <w:r w:rsidRPr="00E14121">
        <w:rPr>
          <w:rFonts w:ascii="Narkisim" w:hAnsi="Narkisim" w:cs="Narkisim"/>
          <w:u w:val="single"/>
          <w:rtl/>
        </w:rPr>
        <w:t>בא"ד ותי' הר"ש בר"ח דדייק מ'אבל לא לאשה' וכו' אלא לאחר מיתה קאמר וכו'.</w:t>
      </w:r>
      <w:r w:rsidRPr="00E14121">
        <w:rPr>
          <w:rFonts w:ascii="Narkisim" w:hAnsi="Narkisim" w:cs="Narkisim"/>
          <w:rtl/>
        </w:rPr>
        <w:t xml:space="preserve"> וה</w:t>
      </w:r>
      <w:r w:rsidRPr="00E14121">
        <w:rPr>
          <w:rFonts w:ascii="Narkisim" w:hAnsi="Narkisim" w:cs="Narkisim"/>
          <w:b/>
          <w:bCs/>
          <w:rtl/>
        </w:rPr>
        <w:t>תוס' הרא"ש</w:t>
      </w:r>
      <w:r w:rsidRPr="00E14121">
        <w:rPr>
          <w:rFonts w:ascii="Narkisim" w:hAnsi="Narkisim" w:cs="Narkisim"/>
          <w:rtl/>
        </w:rPr>
        <w:t xml:space="preserve"> הוסיף דהיינו כר' אמי, דאי כר' יהודה נהי דיוצאין בשן ועין לאיש משום דמחסרי גוביינא, כ"ש לאשה</w:t>
      </w:r>
      <w:r w:rsidRPr="00E14121">
        <w:rPr>
          <w:rStyle w:val="ac"/>
          <w:rFonts w:ascii="Narkisim" w:hAnsi="Narkisim" w:cs="Narkisim"/>
          <w:rtl/>
        </w:rPr>
        <w:footnoteReference w:id="4022"/>
      </w:r>
      <w:r w:rsidRPr="00E14121">
        <w:rPr>
          <w:rFonts w:ascii="Narkisim" w:hAnsi="Narkisim" w:cs="Narkisim"/>
          <w:rtl/>
        </w:rPr>
        <w:t>. ומבואר דאין בזה סתירה שיחשב גם שלו וגם שלה</w:t>
      </w:r>
      <w:r w:rsidRPr="00E14121">
        <w:rPr>
          <w:rStyle w:val="ac"/>
          <w:rFonts w:ascii="Narkisim" w:hAnsi="Narkisim" w:cs="Narkisim"/>
          <w:rtl/>
        </w:rPr>
        <w:footnoteReference w:id="4023"/>
      </w:r>
      <w:r w:rsidRPr="00E14121">
        <w:rPr>
          <w:rFonts w:ascii="Narkisim" w:hAnsi="Narkisim" w:cs="Narkisim"/>
          <w:rtl/>
        </w:rPr>
        <w:t>, וכ”כ ה</w:t>
      </w:r>
      <w:r w:rsidRPr="00E14121">
        <w:rPr>
          <w:rFonts w:ascii="Narkisim" w:hAnsi="Narkisim" w:cs="Narkisim"/>
          <w:b/>
          <w:bCs/>
          <w:rtl/>
        </w:rPr>
        <w:t>מהרש”א</w:t>
      </w:r>
      <w:r w:rsidRPr="00E14121">
        <w:rPr>
          <w:rFonts w:ascii="Narkisim" w:hAnsi="Narkisim" w:cs="Narkisim"/>
          <w:rtl/>
        </w:rPr>
        <w:t xml:space="preserve"> [ע' בסמוך]. </w:t>
      </w:r>
      <w:r w:rsidRPr="00E14121">
        <w:rPr>
          <w:rFonts w:ascii="Narkisim" w:hAnsi="Narkisim" w:cs="Narkisim"/>
          <w:sz w:val="20"/>
          <w:szCs w:val="20"/>
          <w:rtl/>
        </w:rPr>
        <w:t>וה</w:t>
      </w:r>
      <w:r w:rsidRPr="00E14121">
        <w:rPr>
          <w:rFonts w:ascii="Narkisim" w:hAnsi="Narkisim" w:cs="Narkisim"/>
          <w:b/>
          <w:bCs/>
          <w:sz w:val="20"/>
          <w:szCs w:val="20"/>
          <w:rtl/>
        </w:rPr>
        <w:t>מגיה לאבנ"מ</w:t>
      </w:r>
      <w:r w:rsidRPr="00E14121">
        <w:rPr>
          <w:rFonts w:ascii="Narkisim" w:hAnsi="Narkisim" w:cs="Narkisim"/>
          <w:sz w:val="20"/>
          <w:szCs w:val="20"/>
          <w:rtl/>
        </w:rPr>
        <w:t xml:space="preserve"> (שם י) כת' דלפ"ז הא דיוצאין בשן ועין לאשה היינו לרבנן, אבל לר' אלעזר אינו יוצא דבעי עבדו המיוחד לו.</w:t>
      </w:r>
    </w:p>
    <w:p w14:paraId="14E020AD" w14:textId="77777777" w:rsidR="00F64AED" w:rsidRPr="00E14121" w:rsidRDefault="00F64AED" w:rsidP="00F64AED">
      <w:pPr>
        <w:pStyle w:val="a7"/>
        <w:bidi/>
        <w:rPr>
          <w:rFonts w:ascii="Narkisim" w:hAnsi="Narkisim"/>
        </w:rPr>
      </w:pPr>
      <w:r w:rsidRPr="00E14121">
        <w:rPr>
          <w:rFonts w:ascii="Narkisim" w:hAnsi="Narkisim"/>
          <w:rtl/>
        </w:rPr>
        <w:t>וב</w:t>
      </w:r>
      <w:r w:rsidRPr="00E14121">
        <w:rPr>
          <w:rFonts w:ascii="Narkisim" w:hAnsi="Narkisim"/>
          <w:b/>
          <w:bCs/>
          <w:rtl/>
        </w:rPr>
        <w:t>חי' בית מאיר</w:t>
      </w:r>
      <w:r w:rsidRPr="00E14121">
        <w:rPr>
          <w:rFonts w:ascii="Narkisim" w:hAnsi="Narkisim"/>
          <w:rtl/>
        </w:rPr>
        <w:t xml:space="preserve"> (כאן) יישב דדוקא לענין שחרור אמרי' דכשהפילה השן הוה כאילו תפסה העבד ושחררו, ונחשב מעשה גוביינא. אבל ה</w:t>
      </w:r>
      <w:r w:rsidRPr="00E14121">
        <w:rPr>
          <w:rFonts w:ascii="Narkisim" w:hAnsi="Narkisim"/>
          <w:b/>
          <w:bCs/>
          <w:rtl/>
        </w:rPr>
        <w:t>קר"א</w:t>
      </w:r>
      <w:r w:rsidRPr="00E14121">
        <w:rPr>
          <w:rFonts w:ascii="Narkisim" w:hAnsi="Narkisim"/>
          <w:rtl/>
        </w:rPr>
        <w:t xml:space="preserve"> פי' כוונת התוס' דאחרי גוביינא בבי"ד יוצא בשן ועין לאשה</w:t>
      </w:r>
      <w:r w:rsidRPr="00E14121">
        <w:rPr>
          <w:rStyle w:val="ac"/>
          <w:rFonts w:ascii="Narkisim" w:hAnsi="Narkisim"/>
          <w:rtl/>
        </w:rPr>
        <w:footnoteReference w:id="4024"/>
      </w:r>
      <w:r w:rsidRPr="00E14121">
        <w:rPr>
          <w:rFonts w:ascii="Narkisim" w:hAnsi="Narkisim"/>
          <w:rtl/>
        </w:rPr>
        <w:t>.</w:t>
      </w:r>
    </w:p>
    <w:p w14:paraId="75525C32" w14:textId="77777777" w:rsidR="00F64AED" w:rsidRPr="00E14121" w:rsidRDefault="00F64AED" w:rsidP="00F64AED">
      <w:pPr>
        <w:bidi/>
        <w:rPr>
          <w:rFonts w:ascii="Narkisim" w:hAnsi="Narkisim" w:cs="Narkisim"/>
        </w:rPr>
      </w:pPr>
      <w:r w:rsidRPr="00E14121">
        <w:rPr>
          <w:rFonts w:ascii="Narkisim" w:hAnsi="Narkisim" w:cs="Narkisim"/>
          <w:u w:val="single"/>
          <w:rtl/>
        </w:rPr>
        <w:lastRenderedPageBreak/>
        <w:t>שם.</w:t>
      </w:r>
      <w:r w:rsidRPr="00E14121">
        <w:rPr>
          <w:rFonts w:ascii="Narkisim" w:hAnsi="Narkisim" w:cs="Narkisim"/>
          <w:rtl/>
        </w:rPr>
        <w:t xml:space="preserve"> ה</w:t>
      </w:r>
      <w:r w:rsidRPr="00E14121">
        <w:rPr>
          <w:rFonts w:ascii="Narkisim" w:hAnsi="Narkisim" w:cs="Narkisim"/>
          <w:b/>
          <w:bCs/>
          <w:rtl/>
        </w:rPr>
        <w:t xml:space="preserve">מהרש"א </w:t>
      </w:r>
      <w:r w:rsidRPr="00E14121">
        <w:rPr>
          <w:rFonts w:ascii="Narkisim" w:hAnsi="Narkisim" w:cs="Narkisim"/>
          <w:rtl/>
        </w:rPr>
        <w:t>הק' א"כ אמאי לא אכלי בתרומה מחמתה, ותנן (לקמן סז.) דלאחר מיתתו דעבדי צאן ברזל לא יאכלו [משום חלקו של עובר]. והרי האשה אוכלת מחמת הבנים, ואף העבדים יאכלו בתרומה מחמתה. וה</w:t>
      </w:r>
      <w:r w:rsidRPr="00E14121">
        <w:rPr>
          <w:rFonts w:ascii="Narkisim" w:hAnsi="Narkisim" w:cs="Narkisim"/>
          <w:b/>
          <w:bCs/>
          <w:rtl/>
        </w:rPr>
        <w:t>מהרש"א</w:t>
      </w:r>
      <w:r w:rsidRPr="00E14121">
        <w:rPr>
          <w:rFonts w:ascii="Narkisim" w:hAnsi="Narkisim" w:cs="Narkisim"/>
          <w:rtl/>
        </w:rPr>
        <w:t xml:space="preserve"> תי' דלענין תרומה כיון דקיימי ברשותה בתרוייהו אינה אוכלת בתרומה, דהעובר פוסל. ודוקא לענין שן ועין לא נחשב שזה פוסל על זה </w:t>
      </w:r>
      <w:r w:rsidRPr="00E14121">
        <w:rPr>
          <w:rFonts w:ascii="Narkisim" w:hAnsi="Narkisim" w:cs="Narkisim"/>
          <w:sz w:val="20"/>
          <w:szCs w:val="20"/>
          <w:rtl/>
        </w:rPr>
        <w:t>[וכ”כ המגיה לאבנ”מ שם ט</w:t>
      </w:r>
      <w:r w:rsidRPr="00E14121">
        <w:rPr>
          <w:rFonts w:ascii="Narkisim" w:hAnsi="Narkisim" w:cs="Narkisim"/>
          <w:rtl/>
        </w:rPr>
        <w:t>].</w:t>
      </w:r>
    </w:p>
    <w:p w14:paraId="73A7D1B6"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וה</w:t>
      </w:r>
      <w:r w:rsidRPr="00E14121">
        <w:rPr>
          <w:rFonts w:ascii="Narkisim" w:hAnsi="Narkisim"/>
          <w:b/>
          <w:bCs/>
          <w:rtl/>
        </w:rPr>
        <w:t>קר"א</w:t>
      </w:r>
      <w:r w:rsidRPr="00E14121">
        <w:rPr>
          <w:rFonts w:ascii="Narkisim" w:hAnsi="Narkisim"/>
          <w:rtl/>
        </w:rPr>
        <w:t xml:space="preserve"> תמהו דמבואר בתוס' (בע”א) דעבדי צאן ברזל [דאלמנה לכה"ג] אוכלים בתרומה מחמתו [דמחוסרין גוביינא], ולא אמרי' דלר' יהודה הוה דידה</w:t>
      </w:r>
      <w:r w:rsidRPr="00E14121">
        <w:rPr>
          <w:rStyle w:val="ac"/>
          <w:rFonts w:ascii="Narkisim" w:hAnsi="Narkisim"/>
          <w:rtl/>
        </w:rPr>
        <w:footnoteReference w:id="4025"/>
      </w:r>
      <w:r w:rsidRPr="00E14121">
        <w:rPr>
          <w:rFonts w:ascii="Narkisim" w:hAnsi="Narkisim"/>
          <w:rtl/>
        </w:rPr>
        <w:t>.</w:t>
      </w:r>
    </w:p>
    <w:p w14:paraId="08253486" w14:textId="77777777" w:rsidR="00F64AED" w:rsidRPr="00E14121" w:rsidRDefault="00F64AED" w:rsidP="00F64AED">
      <w:pPr>
        <w:pStyle w:val="aa"/>
        <w:bidi/>
        <w:rPr>
          <w:rFonts w:ascii="Narkisim" w:hAnsi="Narkisim"/>
        </w:rPr>
      </w:pPr>
      <w:r w:rsidRPr="00E14121">
        <w:rPr>
          <w:rFonts w:ascii="Narkisim" w:hAnsi="Narkisim"/>
          <w:u w:val="single"/>
          <w:rtl/>
        </w:rPr>
        <w:t>שם. לאחר מיתה.</w:t>
      </w:r>
      <w:r w:rsidRPr="00E14121">
        <w:rPr>
          <w:rFonts w:ascii="Narkisim" w:hAnsi="Narkisim"/>
          <w:rtl/>
        </w:rPr>
        <w:t xml:space="preserve"> מבואר בתוס' דמחיים אינו יוצא בשין ועין ע"י, ואף דהדין עמה והוה שלה. אבל ב</w:t>
      </w:r>
      <w:r w:rsidRPr="00E14121">
        <w:rPr>
          <w:rFonts w:ascii="Narkisim" w:hAnsi="Narkisim"/>
          <w:b/>
          <w:bCs/>
          <w:rtl/>
        </w:rPr>
        <w:t>תוס' מהר"ם ור"פ</w:t>
      </w:r>
      <w:r w:rsidRPr="00E14121">
        <w:rPr>
          <w:rFonts w:ascii="Narkisim" w:hAnsi="Narkisim"/>
          <w:rtl/>
        </w:rPr>
        <w:t xml:space="preserve"> וה</w:t>
      </w:r>
      <w:r w:rsidRPr="00E14121">
        <w:rPr>
          <w:rFonts w:ascii="Narkisim" w:hAnsi="Narkisim"/>
          <w:b/>
          <w:bCs/>
          <w:rtl/>
        </w:rPr>
        <w:t>תו"י</w:t>
      </w:r>
      <w:r w:rsidRPr="00E14121">
        <w:rPr>
          <w:rFonts w:ascii="Narkisim" w:hAnsi="Narkisim"/>
          <w:rtl/>
        </w:rPr>
        <w:t xml:space="preserve"> (הנדמ"ח) משמע דלר"ש בר"ח אף מחיים יוצא לאשה למ"ד הדין עמה.</w:t>
      </w:r>
    </w:p>
    <w:p w14:paraId="165CA078" w14:textId="77777777" w:rsidR="00F64AED" w:rsidRPr="00E14121" w:rsidRDefault="00F64AED" w:rsidP="00F64AED">
      <w:pPr>
        <w:pStyle w:val="a8"/>
        <w:bidi/>
        <w:rPr>
          <w:rFonts w:ascii="Narkisim" w:hAnsi="Narkisim"/>
        </w:rPr>
      </w:pPr>
      <w:r w:rsidRPr="00E14121">
        <w:rPr>
          <w:rFonts w:ascii="Narkisim" w:hAnsi="Narkisim"/>
          <w:rtl/>
        </w:rPr>
        <w:t>ה</w:t>
      </w:r>
      <w:r w:rsidRPr="00E14121">
        <w:rPr>
          <w:rFonts w:ascii="Narkisim" w:hAnsi="Narkisim"/>
          <w:b/>
          <w:bCs/>
          <w:rtl/>
        </w:rPr>
        <w:t>רמב"ם</w:t>
      </w:r>
      <w:r w:rsidRPr="00E14121">
        <w:rPr>
          <w:rFonts w:ascii="Narkisim" w:hAnsi="Narkisim"/>
          <w:rtl/>
        </w:rPr>
        <w:t xml:space="preserve"> (עבדים ה טז) פסק דעבדי צ"ב יוצאין בשן ועין לאיש ולא לאשה. וה</w:t>
      </w:r>
      <w:r w:rsidRPr="00E14121">
        <w:rPr>
          <w:rFonts w:ascii="Narkisim" w:hAnsi="Narkisim"/>
          <w:b/>
          <w:bCs/>
          <w:rtl/>
        </w:rPr>
        <w:t>שעה"מ</w:t>
      </w:r>
      <w:r w:rsidRPr="00E14121">
        <w:rPr>
          <w:rFonts w:ascii="Narkisim" w:hAnsi="Narkisim"/>
          <w:rtl/>
        </w:rPr>
        <w:t xml:space="preserve"> הקשה דה</w:t>
      </w:r>
      <w:r w:rsidRPr="00E14121">
        <w:rPr>
          <w:rFonts w:ascii="Narkisim" w:hAnsi="Narkisim"/>
          <w:b/>
          <w:bCs/>
          <w:rtl/>
        </w:rPr>
        <w:t>רמב"ם</w:t>
      </w:r>
      <w:r w:rsidRPr="00E14121">
        <w:rPr>
          <w:rFonts w:ascii="Narkisim" w:hAnsi="Narkisim"/>
          <w:rtl/>
        </w:rPr>
        <w:t xml:space="preserve"> (אישות כב כו) פסק דהדין עמה, והך ברייתא מסייע למ”ד הדין עמו. ולמש”כ בתוס' למ”ד הדין עמה יוצא אף לאשה לאחר מיתה. וה</w:t>
      </w:r>
      <w:r w:rsidRPr="00E14121">
        <w:rPr>
          <w:rFonts w:ascii="Narkisim" w:hAnsi="Narkisim"/>
          <w:b/>
          <w:bCs/>
          <w:rtl/>
        </w:rPr>
        <w:t>אחרונים</w:t>
      </w:r>
      <w:r w:rsidRPr="00E14121">
        <w:rPr>
          <w:rFonts w:ascii="Narkisim" w:hAnsi="Narkisim"/>
          <w:rtl/>
        </w:rPr>
        <w:t xml:space="preserve"> תי' די"ל דהרמב"ם קאי מחיים, אבל לאחר מיתה יוצאין אף לאשה, וכתוס' [ויוצא לאיש משום חיוב האחריות וכקושיית התוס']. והשעה"מ כתב דע"פ הריטב"א [וכ"ד הרמב"ן ורשב"א] ניחא, דלמסקנא יוצאין לאיש משום דמחוסר גוביינא.</w:t>
      </w:r>
    </w:p>
    <w:p w14:paraId="7A84E060" w14:textId="77777777" w:rsidR="00F64AED" w:rsidRPr="00E14121" w:rsidRDefault="00F64AED" w:rsidP="00F64AED">
      <w:pPr>
        <w:bidi/>
        <w:rPr>
          <w:rFonts w:ascii="Narkisim" w:hAnsi="Narkisim" w:cs="Narkisim"/>
        </w:rPr>
      </w:pPr>
      <w:r w:rsidRPr="00E14121">
        <w:rPr>
          <w:rFonts w:ascii="Narkisim" w:hAnsi="Narkisim" w:cs="Narkisim"/>
          <w:u w:val="single"/>
          <w:rtl/>
        </w:rPr>
        <w:t>תניא כוותיה דר' יהודה וכו' לא ימכור.</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שאם יגרשנה תטול כליה. משמע דלר' אמי יכול למכור, דחייב לה רק דמים</w:t>
      </w:r>
      <w:r w:rsidRPr="00E14121">
        <w:rPr>
          <w:rStyle w:val="ac"/>
          <w:rFonts w:ascii="Narkisim" w:hAnsi="Narkisim" w:cs="Narkisim"/>
          <w:rtl/>
        </w:rPr>
        <w:footnoteReference w:id="4026"/>
      </w:r>
      <w:r w:rsidRPr="00E14121">
        <w:rPr>
          <w:rFonts w:ascii="Narkisim" w:hAnsi="Narkisim" w:cs="Narkisim"/>
          <w:rtl/>
        </w:rPr>
        <w:t>. וה</w:t>
      </w:r>
      <w:r w:rsidRPr="00E14121">
        <w:rPr>
          <w:rFonts w:ascii="Narkisim" w:hAnsi="Narkisim" w:cs="Narkisim"/>
          <w:b/>
          <w:bCs/>
          <w:rtl/>
        </w:rPr>
        <w:t xml:space="preserve">רא"ש </w:t>
      </w:r>
      <w:r w:rsidRPr="00E14121">
        <w:rPr>
          <w:rFonts w:ascii="Narkisim" w:hAnsi="Narkisim" w:cs="Narkisim"/>
          <w:rtl/>
        </w:rPr>
        <w:t xml:space="preserve">כתב דלר' אמי יכול למכור ואחריות הדמים על הנכסים. </w:t>
      </w:r>
      <w:r w:rsidRPr="00E14121">
        <w:rPr>
          <w:rFonts w:ascii="Narkisim" w:hAnsi="Narkisim" w:cs="Narkisim"/>
          <w:sz w:val="20"/>
          <w:szCs w:val="20"/>
          <w:rtl/>
        </w:rPr>
        <w:t>וה</w:t>
      </w:r>
      <w:r w:rsidRPr="00E14121">
        <w:rPr>
          <w:rFonts w:ascii="Narkisim" w:hAnsi="Narkisim" w:cs="Narkisim"/>
          <w:b/>
          <w:bCs/>
          <w:sz w:val="20"/>
          <w:szCs w:val="20"/>
          <w:rtl/>
        </w:rPr>
        <w:t>גר"א</w:t>
      </w:r>
      <w:r w:rsidRPr="00E14121">
        <w:rPr>
          <w:rFonts w:ascii="Narkisim" w:hAnsi="Narkisim" w:cs="Narkisim"/>
          <w:sz w:val="20"/>
          <w:szCs w:val="20"/>
          <w:rtl/>
        </w:rPr>
        <w:t xml:space="preserve"> (או"ח רמו ד) כתב דמכאן למדו הראשונים דהיכא דאינו יכול למכור לא מקרי שלו.</w:t>
      </w:r>
    </w:p>
    <w:p w14:paraId="56A0B956" w14:textId="77777777" w:rsidR="00F64AED" w:rsidRPr="00E14121" w:rsidRDefault="00F64AED" w:rsidP="00F64AED">
      <w:pPr>
        <w:bidi/>
        <w:rPr>
          <w:rFonts w:ascii="Narkisim" w:hAnsi="Narkisim" w:cs="Narkisim"/>
        </w:rPr>
      </w:pPr>
      <w:r w:rsidRPr="00E14121">
        <w:rPr>
          <w:rFonts w:ascii="Narkisim" w:hAnsi="Narkisim" w:cs="Narkisim"/>
          <w:u w:val="single"/>
          <w:rtl/>
        </w:rPr>
        <w:t>מכרו שניהם.</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או זה או זה. אבל ה</w:t>
      </w:r>
      <w:r w:rsidRPr="00E14121">
        <w:rPr>
          <w:rFonts w:ascii="Narkisim" w:hAnsi="Narkisim" w:cs="Narkisim"/>
          <w:b/>
          <w:bCs/>
          <w:rtl/>
        </w:rPr>
        <w:t>ראשונים</w:t>
      </w:r>
      <w:r w:rsidRPr="00E14121">
        <w:rPr>
          <w:rFonts w:ascii="Narkisim" w:hAnsi="Narkisim" w:cs="Narkisim"/>
          <w:rtl/>
        </w:rPr>
        <w:t xml:space="preserve"> (רמב"ן בשם י"מ, ריטב"א, תוס' חד מקמאי סז.) כת' דלדעת </w:t>
      </w:r>
      <w:r w:rsidRPr="00E14121">
        <w:rPr>
          <w:rFonts w:ascii="Narkisim" w:hAnsi="Narkisim" w:cs="Narkisim"/>
          <w:b/>
          <w:bCs/>
          <w:rtl/>
        </w:rPr>
        <w:t>ר"ח</w:t>
      </w:r>
      <w:r w:rsidRPr="00E14121">
        <w:rPr>
          <w:rFonts w:ascii="Narkisim" w:hAnsi="Narkisim" w:cs="Narkisim"/>
          <w:rtl/>
        </w:rPr>
        <w:t xml:space="preserve"> (הו' בתוד”ה הבעל) דאפי' מכרו שניהם [דאמרי' נחת רוח עשיתי לבעלי].</w:t>
      </w:r>
    </w:p>
    <w:p w14:paraId="6EF2F8D2" w14:textId="77777777" w:rsidR="00F64AED" w:rsidRPr="00E14121" w:rsidRDefault="00F64AED" w:rsidP="00F64AED">
      <w:pPr>
        <w:bidi/>
        <w:rPr>
          <w:rFonts w:ascii="Narkisim" w:hAnsi="Narkisim" w:cs="Narkisim"/>
        </w:rPr>
      </w:pPr>
      <w:r w:rsidRPr="00E14121">
        <w:rPr>
          <w:rFonts w:ascii="Narkisim" w:hAnsi="Narkisim" w:cs="Narkisim"/>
          <w:u w:val="single"/>
          <w:rtl/>
        </w:rPr>
        <w:t>תוד"ה הבעל.</w:t>
      </w:r>
      <w:r w:rsidRPr="00E14121">
        <w:rPr>
          <w:rFonts w:ascii="Narkisim" w:hAnsi="Narkisim" w:cs="Narkisim"/>
          <w:rtl/>
        </w:rPr>
        <w:t xml:space="preserve"> פי' בקו' וכו' משמע דכל זמן שהיא חיה אינו יכול להוציא. אבל ה</w:t>
      </w:r>
      <w:r w:rsidRPr="00E14121">
        <w:rPr>
          <w:rFonts w:ascii="Narkisim" w:hAnsi="Narkisim" w:cs="Narkisim"/>
          <w:b/>
          <w:bCs/>
          <w:rtl/>
        </w:rPr>
        <w:t>רמב"ן</w:t>
      </w:r>
      <w:r w:rsidRPr="00E14121">
        <w:rPr>
          <w:rFonts w:ascii="Narkisim" w:hAnsi="Narkisim" w:cs="Narkisim"/>
          <w:rtl/>
        </w:rPr>
        <w:t xml:space="preserve"> (ושא"ר, וכ”מ בתוס' גיטין מא. בדעת רש”י) כתבו [דכוונת רש"י] דהבעל יכול לבטל לאלתר. והא דנקט ומתה לרבותא דאפי' דנתרוקן כל הזכות עליו, כיון דבשעת מכירה לא היתה לו בה זכות ודאית. אבל האשה אינו יכולה לבטל אלא לאחר גירושין.</w:t>
      </w:r>
    </w:p>
    <w:p w14:paraId="7A4095A8" w14:textId="77777777" w:rsidR="00F64AED" w:rsidRPr="00E14121" w:rsidRDefault="00F64AED" w:rsidP="00F64AED">
      <w:pPr>
        <w:bidi/>
        <w:rPr>
          <w:rFonts w:ascii="Narkisim" w:hAnsi="Narkisim" w:cs="Narkisim"/>
        </w:rPr>
      </w:pPr>
      <w:r w:rsidRPr="00E14121">
        <w:rPr>
          <w:rFonts w:ascii="Narkisim" w:hAnsi="Narkisim" w:cs="Narkisim"/>
          <w:u w:val="single"/>
          <w:rtl/>
        </w:rPr>
        <w:t>בא"ד ונראה כפר"ח דאין המקח קיים כלל אפי' שעה א'.</w:t>
      </w:r>
      <w:r w:rsidRPr="00E14121">
        <w:rPr>
          <w:rFonts w:ascii="Narkisim" w:hAnsi="Narkisim" w:cs="Narkisim"/>
          <w:sz w:val="20"/>
          <w:szCs w:val="20"/>
          <w:rtl/>
        </w:rPr>
        <w:t xml:space="preserve"> ועפ"ז כתבו </w:t>
      </w:r>
      <w:r w:rsidRPr="00E14121">
        <w:rPr>
          <w:rFonts w:ascii="Narkisim" w:hAnsi="Narkisim" w:cs="Narkisim"/>
          <w:b/>
          <w:bCs/>
          <w:sz w:val="20"/>
          <w:szCs w:val="20"/>
          <w:rtl/>
        </w:rPr>
        <w:t>תוס</w:t>
      </w:r>
      <w:r w:rsidRPr="00E14121">
        <w:rPr>
          <w:rFonts w:ascii="Narkisim" w:hAnsi="Narkisim" w:cs="Narkisim"/>
          <w:sz w:val="20"/>
          <w:szCs w:val="20"/>
          <w:rtl/>
        </w:rPr>
        <w:t>' (ב”ב נ. ד”ה אילימא) דבהנך ג' שדות [א' שכתבה לו בכתובתה וכו', שכולל נכסי צ"ב] מכרן בטל לאלתר, אבל בשעבוד שאר הנכסים בטל משעת טריפה</w:t>
      </w:r>
      <w:r w:rsidRPr="00E14121">
        <w:rPr>
          <w:rStyle w:val="ac"/>
          <w:rFonts w:ascii="Narkisim" w:hAnsi="Narkisim" w:cs="Narkisim"/>
          <w:sz w:val="20"/>
          <w:szCs w:val="20"/>
          <w:rtl/>
        </w:rPr>
        <w:footnoteReference w:id="4027"/>
      </w:r>
      <w:r w:rsidRPr="00E14121">
        <w:rPr>
          <w:rFonts w:ascii="Narkisim" w:hAnsi="Narkisim" w:cs="Narkisim"/>
          <w:sz w:val="20"/>
          <w:szCs w:val="20"/>
          <w:rtl/>
        </w:rPr>
        <w:t xml:space="preserve">. אבל דעת </w:t>
      </w:r>
      <w:r w:rsidRPr="00E14121">
        <w:rPr>
          <w:rFonts w:ascii="Narkisim" w:hAnsi="Narkisim" w:cs="Narkisim"/>
          <w:b/>
          <w:bCs/>
          <w:sz w:val="20"/>
          <w:szCs w:val="20"/>
          <w:rtl/>
        </w:rPr>
        <w:t>ר"י</w:t>
      </w:r>
      <w:r w:rsidRPr="00E14121">
        <w:rPr>
          <w:rFonts w:ascii="Narkisim" w:hAnsi="Narkisim" w:cs="Narkisim"/>
          <w:sz w:val="20"/>
          <w:szCs w:val="20"/>
          <w:rtl/>
        </w:rPr>
        <w:t xml:space="preserve"> (בתוס' שם, וכ"כ הרא"ש כאן) דמקחן בטל רק משעת טריפה [וכ"ש בשאר נכסים, וכפשטות הגמ' ב"ב שם]</w:t>
      </w:r>
      <w:r w:rsidRPr="00E14121">
        <w:rPr>
          <w:rFonts w:ascii="Narkisim" w:hAnsi="Narkisim" w:cs="Narkisim"/>
          <w:rtl/>
        </w:rPr>
        <w:t>. וה</w:t>
      </w:r>
      <w:r w:rsidRPr="00E14121">
        <w:rPr>
          <w:rFonts w:ascii="Narkisim" w:hAnsi="Narkisim" w:cs="Narkisim"/>
          <w:b/>
          <w:bCs/>
          <w:rtl/>
        </w:rPr>
        <w:t>רא"ש</w:t>
      </w:r>
      <w:r w:rsidRPr="00E14121">
        <w:rPr>
          <w:rFonts w:ascii="Narkisim" w:hAnsi="Narkisim" w:cs="Narkisim"/>
          <w:rtl/>
        </w:rPr>
        <w:t xml:space="preserve"> מביא </w:t>
      </w:r>
      <w:r w:rsidRPr="00E14121">
        <w:rPr>
          <w:rFonts w:ascii="Narkisim" w:hAnsi="Narkisim" w:cs="Narkisim"/>
          <w:b/>
          <w:bCs/>
          <w:rtl/>
        </w:rPr>
        <w:t>ירושלמי</w:t>
      </w:r>
      <w:r w:rsidRPr="00E14121">
        <w:rPr>
          <w:rFonts w:ascii="Narkisim" w:hAnsi="Narkisim" w:cs="Narkisim"/>
          <w:rtl/>
        </w:rPr>
        <w:t xml:space="preserve"> דאיירי כשמכרה לשעה, אבל מכרה לעולם המקח בטל.</w:t>
      </w:r>
    </w:p>
    <w:p w14:paraId="1ABA5A86" w14:textId="77777777" w:rsidR="00F64AED" w:rsidRPr="00E14121" w:rsidRDefault="00F64AED" w:rsidP="00F64AED">
      <w:pPr>
        <w:bidi/>
        <w:rPr>
          <w:rFonts w:ascii="Narkisim" w:hAnsi="Narkisim" w:cs="Narkisim"/>
        </w:rPr>
      </w:pPr>
      <w:r w:rsidRPr="00E14121">
        <w:rPr>
          <w:rFonts w:ascii="Narkisim" w:hAnsi="Narkisim" w:cs="Narkisim"/>
          <w:u w:val="single"/>
          <w:rtl/>
        </w:rPr>
        <w:t>הבעל מוציא.</w:t>
      </w:r>
      <w:r w:rsidRPr="00E14121">
        <w:rPr>
          <w:rFonts w:ascii="Narkisim" w:hAnsi="Narkisim" w:cs="Narkisim"/>
          <w:rtl/>
        </w:rPr>
        <w:t xml:space="preserve"> ה</w:t>
      </w:r>
      <w:r w:rsidRPr="00E14121">
        <w:rPr>
          <w:rFonts w:ascii="Narkisim" w:hAnsi="Narkisim" w:cs="Narkisim"/>
          <w:b/>
          <w:bCs/>
          <w:rtl/>
        </w:rPr>
        <w:t>רי"ף</w:t>
      </w:r>
      <w:r w:rsidRPr="00E14121">
        <w:rPr>
          <w:rFonts w:ascii="Narkisim" w:hAnsi="Narkisim" w:cs="Narkisim"/>
          <w:rtl/>
        </w:rPr>
        <w:t xml:space="preserve"> כתב דלא איפשיטא שפיר האם מוציאין. וה</w:t>
      </w:r>
      <w:r w:rsidRPr="00E14121">
        <w:rPr>
          <w:rFonts w:ascii="Narkisim" w:hAnsi="Narkisim" w:cs="Narkisim"/>
          <w:b/>
          <w:bCs/>
          <w:rtl/>
        </w:rPr>
        <w:t xml:space="preserve">ראשונים </w:t>
      </w:r>
      <w:r w:rsidRPr="00E14121">
        <w:rPr>
          <w:rFonts w:ascii="Narkisim" w:hAnsi="Narkisim" w:cs="Narkisim"/>
          <w:rtl/>
        </w:rPr>
        <w:t>הקשו דלא מצאנו חולק בדבר, ומ”ט לא יפסקו כן. וה</w:t>
      </w:r>
      <w:r w:rsidRPr="00E14121">
        <w:rPr>
          <w:rFonts w:ascii="Narkisim" w:hAnsi="Narkisim" w:cs="Narkisim"/>
          <w:b/>
          <w:bCs/>
          <w:rtl/>
        </w:rPr>
        <w:t>רמב"ן</w:t>
      </w:r>
      <w:r w:rsidRPr="00E14121">
        <w:rPr>
          <w:rFonts w:ascii="Narkisim" w:hAnsi="Narkisim" w:cs="Narkisim"/>
          <w:rtl/>
        </w:rPr>
        <w:t xml:space="preserve"> כתב די"ל דרשב"ג מחמיר לשיטתו (גיטין מא.) לענין אפותיקי.</w:t>
      </w:r>
    </w:p>
    <w:p w14:paraId="7A2F9055" w14:textId="77777777" w:rsidR="00F64AED" w:rsidRPr="00E14121" w:rsidRDefault="00F64AED" w:rsidP="00F64AED">
      <w:pPr>
        <w:bidi/>
        <w:rPr>
          <w:rFonts w:ascii="Narkisim" w:hAnsi="Narkisim" w:cs="Narkisim"/>
        </w:rPr>
      </w:pPr>
      <w:r w:rsidRPr="00E14121">
        <w:rPr>
          <w:rFonts w:ascii="Narkisim" w:hAnsi="Narkisim" w:cs="Narkisim"/>
          <w:u w:val="single"/>
          <w:rtl/>
        </w:rPr>
        <w:t>רש"י ד"ה לא ימכור.</w:t>
      </w:r>
      <w:r w:rsidRPr="00E14121">
        <w:rPr>
          <w:rFonts w:ascii="Narkisim" w:hAnsi="Narkisim" w:cs="Narkisim"/>
          <w:rtl/>
        </w:rPr>
        <w:t xml:space="preserve"> תטול כליה. מבואר דאיירי במטלטלין. וכ"כ ה</w:t>
      </w:r>
      <w:r w:rsidRPr="00E14121">
        <w:rPr>
          <w:rFonts w:ascii="Narkisim" w:hAnsi="Narkisim" w:cs="Narkisim"/>
          <w:b/>
          <w:bCs/>
          <w:rtl/>
        </w:rPr>
        <w:t>בעה"מ</w:t>
      </w:r>
      <w:r w:rsidRPr="00E14121">
        <w:rPr>
          <w:rFonts w:ascii="Narkisim" w:hAnsi="Narkisim" w:cs="Narkisim"/>
          <w:rtl/>
        </w:rPr>
        <w:t>, וה</w:t>
      </w:r>
      <w:r w:rsidRPr="00E14121">
        <w:rPr>
          <w:rFonts w:ascii="Narkisim" w:hAnsi="Narkisim" w:cs="Narkisim"/>
          <w:b/>
          <w:bCs/>
          <w:rtl/>
        </w:rPr>
        <w:t>מלחמות</w:t>
      </w:r>
      <w:r w:rsidRPr="00E14121">
        <w:rPr>
          <w:rFonts w:ascii="Narkisim" w:hAnsi="Narkisim" w:cs="Narkisim"/>
          <w:rtl/>
        </w:rPr>
        <w:t xml:space="preserve"> האריך בזה. אבל </w:t>
      </w:r>
      <w:r w:rsidRPr="00E14121">
        <w:rPr>
          <w:rFonts w:ascii="Narkisim" w:hAnsi="Narkisim" w:cs="Narkisim"/>
          <w:b/>
          <w:bCs/>
          <w:rtl/>
        </w:rPr>
        <w:t>תוס</w:t>
      </w:r>
      <w:r w:rsidRPr="00E14121">
        <w:rPr>
          <w:rFonts w:ascii="Narkisim" w:hAnsi="Narkisim" w:cs="Narkisim"/>
          <w:rtl/>
        </w:rPr>
        <w:t>' בגיטין [מא. הו' בסמוך] כתב דאם מכרו אין מוציאין [במטלטלין] [וכ”כ ה</w:t>
      </w:r>
      <w:r w:rsidRPr="00E14121">
        <w:rPr>
          <w:rFonts w:ascii="Narkisim" w:hAnsi="Narkisim" w:cs="Narkisim"/>
          <w:b/>
          <w:bCs/>
          <w:rtl/>
        </w:rPr>
        <w:t>אבנ”מ</w:t>
      </w:r>
      <w:r w:rsidRPr="00E14121">
        <w:rPr>
          <w:rFonts w:ascii="Narkisim" w:hAnsi="Narkisim" w:cs="Narkisim"/>
          <w:rtl/>
        </w:rPr>
        <w:t xml:space="preserve"> (צ כא) לדייק מהתוס'].</w:t>
      </w:r>
    </w:p>
    <w:p w14:paraId="0DC0FBED"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(אישות כב טז, מכירה ל ה) כתב דדוקא בקרקע אבל במטלטלין בדיעבד מכור. ובפשוטו העמיד את סוגיין בקרקע. אבל ה</w:t>
      </w:r>
      <w:r w:rsidRPr="00E14121">
        <w:rPr>
          <w:rFonts w:ascii="Narkisim" w:hAnsi="Narkisim"/>
          <w:b/>
          <w:bCs/>
          <w:rtl/>
        </w:rPr>
        <w:t>גר"א</w:t>
      </w:r>
      <w:r w:rsidRPr="00E14121">
        <w:rPr>
          <w:rFonts w:ascii="Narkisim" w:hAnsi="Narkisim"/>
          <w:rtl/>
        </w:rPr>
        <w:t xml:space="preserve"> (שם) כתב דכוונת הרמב"ם דנסתפק האם למסקנא אינו מכור. </w:t>
      </w:r>
      <w:r w:rsidRPr="00E14121">
        <w:rPr>
          <w:rFonts w:ascii="Narkisim" w:hAnsi="Narkisim"/>
          <w:sz w:val="20"/>
          <w:szCs w:val="20"/>
          <w:rtl/>
        </w:rPr>
        <w:t>[וסוגיין איירי במטלטלין]</w:t>
      </w:r>
      <w:r w:rsidRPr="00E14121">
        <w:rPr>
          <w:rFonts w:ascii="Narkisim" w:hAnsi="Narkisim"/>
          <w:rtl/>
        </w:rPr>
        <w:t>, כדאמרי' בסמוך.</w:t>
      </w:r>
    </w:p>
    <w:p w14:paraId="3F8D6E11" w14:textId="77777777" w:rsidR="00F64AED" w:rsidRPr="00E14121" w:rsidRDefault="00F64AED" w:rsidP="00F64AED">
      <w:pPr>
        <w:pStyle w:val="aa"/>
        <w:bidi/>
        <w:rPr>
          <w:rFonts w:ascii="Narkisim" w:hAnsi="Narkisim"/>
        </w:rPr>
      </w:pPr>
      <w:r w:rsidRPr="00E14121">
        <w:rPr>
          <w:rFonts w:ascii="Narkisim" w:hAnsi="Narkisim"/>
          <w:u w:val="single"/>
          <w:rtl/>
        </w:rPr>
        <w:t>א"ל רבא לר' נחמן והתניא כוותיה דר' אמי וכו'.</w:t>
      </w:r>
      <w:r w:rsidRPr="00E14121">
        <w:rPr>
          <w:rFonts w:ascii="Narkisim" w:hAnsi="Narkisim"/>
          <w:rtl/>
        </w:rPr>
        <w:t xml:space="preserve"> ה</w:t>
      </w:r>
      <w:r w:rsidRPr="00E14121">
        <w:rPr>
          <w:rFonts w:ascii="Narkisim" w:hAnsi="Narkisim"/>
          <w:b/>
          <w:bCs/>
          <w:rtl/>
        </w:rPr>
        <w:t>ראשונים</w:t>
      </w:r>
      <w:r w:rsidRPr="00E14121">
        <w:rPr>
          <w:rFonts w:ascii="Narkisim" w:hAnsi="Narkisim"/>
          <w:rtl/>
        </w:rPr>
        <w:t xml:space="preserve"> הקשו דתניא כוותיה דתרוייהו. ובפשוטו כוונת רבא להקשות דכיון דתניא כתרוייהו מאי חזית וכו'</w:t>
      </w:r>
      <w:r w:rsidRPr="00E14121">
        <w:rPr>
          <w:rStyle w:val="ac"/>
          <w:rFonts w:ascii="Narkisim" w:hAnsi="Narkisim"/>
          <w:rtl/>
        </w:rPr>
        <w:footnoteReference w:id="4028"/>
      </w:r>
      <w:r w:rsidRPr="00E14121">
        <w:rPr>
          <w:rFonts w:ascii="Narkisim" w:hAnsi="Narkisim"/>
          <w:rtl/>
        </w:rPr>
        <w:t>. אבל ב</w:t>
      </w:r>
      <w:r w:rsidRPr="00E14121">
        <w:rPr>
          <w:rFonts w:ascii="Narkisim" w:hAnsi="Narkisim"/>
          <w:b/>
          <w:bCs/>
          <w:rtl/>
        </w:rPr>
        <w:t>חי' ר”א מן ההר</w:t>
      </w:r>
      <w:r w:rsidRPr="00E14121">
        <w:rPr>
          <w:rFonts w:ascii="Narkisim" w:hAnsi="Narkisim"/>
          <w:rtl/>
        </w:rPr>
        <w:t xml:space="preserve"> ביאר דתניא בהדיא כוותיה, אבל ברייתא דסייעתא דר' יהודה לא תניא בהדיא שאם יגרשנה תטול כליה. וכ"כ ה</w:t>
      </w:r>
      <w:r w:rsidRPr="00E14121">
        <w:rPr>
          <w:rFonts w:ascii="Narkisim" w:hAnsi="Narkisim"/>
          <w:b/>
          <w:bCs/>
          <w:rtl/>
        </w:rPr>
        <w:t>גר”א</w:t>
      </w:r>
      <w:r w:rsidRPr="00E14121">
        <w:rPr>
          <w:rFonts w:ascii="Narkisim" w:hAnsi="Narkisim"/>
          <w:rtl/>
        </w:rPr>
        <w:t xml:space="preserve"> (שם) דלא הויה הוכחה גמורה די"ל דהוה שלו ואינו יכול למכור.</w:t>
      </w:r>
    </w:p>
    <w:p w14:paraId="2FC45A25" w14:textId="77777777" w:rsidR="00F64AED" w:rsidRPr="00E14121" w:rsidRDefault="00F64AED" w:rsidP="00F64AED">
      <w:pPr>
        <w:pStyle w:val="a8"/>
        <w:bidi/>
        <w:rPr>
          <w:rFonts w:ascii="Narkisim" w:hAnsi="Narkisim"/>
        </w:rPr>
      </w:pPr>
      <w:r w:rsidRPr="00E14121">
        <w:rPr>
          <w:rFonts w:ascii="Narkisim" w:hAnsi="Narkisim"/>
          <w:rtl/>
        </w:rPr>
        <w:t xml:space="preserve">ועוד כתב די"ל דיחידאה היא כרשב"ג (גיטין מא.) דאפותיקי אין יכול למכור משום דאין דרכה שלא אשה לחזר </w:t>
      </w:r>
      <w:r w:rsidRPr="00E14121">
        <w:rPr>
          <w:rFonts w:ascii="Narkisim" w:hAnsi="Narkisim"/>
          <w:rtl/>
        </w:rPr>
        <w:lastRenderedPageBreak/>
        <w:t>[וכמ”ש הרמב”ן]. וכתב הגר"א דבזה פליגי ב' הדיעות ב</w:t>
      </w:r>
      <w:r w:rsidRPr="00E14121">
        <w:rPr>
          <w:rFonts w:ascii="Narkisim" w:hAnsi="Narkisim"/>
          <w:b/>
          <w:bCs/>
          <w:rtl/>
        </w:rPr>
        <w:t>שו"ע</w:t>
      </w:r>
      <w:r w:rsidRPr="00E14121">
        <w:rPr>
          <w:rFonts w:ascii="Narkisim" w:hAnsi="Narkisim"/>
          <w:rtl/>
        </w:rPr>
        <w:t xml:space="preserve"> (רמו ד, הו' לעיל) האם לענין שביתת בהמתו נחשב שלו במקום שאינו יכול למכור.</w:t>
      </w:r>
    </w:p>
    <w:p w14:paraId="1AC2FA5C" w14:textId="77777777" w:rsidR="00F64AED" w:rsidRPr="00E14121" w:rsidRDefault="00F64AED" w:rsidP="00F64AED">
      <w:pPr>
        <w:pStyle w:val="aa"/>
        <w:bidi/>
        <w:rPr>
          <w:rFonts w:ascii="Narkisim" w:hAnsi="Narkisim"/>
        </w:rPr>
      </w:pPr>
      <w:r w:rsidRPr="00E14121">
        <w:rPr>
          <w:rFonts w:ascii="Narkisim" w:hAnsi="Narkisim"/>
          <w:u w:val="single"/>
          <w:rtl/>
        </w:rPr>
        <w:t>ופרסוה אמיתנא, אמר רבא קנייה מיתנא</w:t>
      </w:r>
      <w:r w:rsidRPr="00E14121">
        <w:rPr>
          <w:rFonts w:ascii="Narkisim" w:hAnsi="Narkisim"/>
          <w:rtl/>
        </w:rPr>
        <w:t>. פ</w:t>
      </w:r>
      <w:r w:rsidRPr="00E14121">
        <w:rPr>
          <w:rFonts w:ascii="Narkisim" w:hAnsi="Narkisim"/>
          <w:b/>
          <w:bCs/>
          <w:rtl/>
        </w:rPr>
        <w:t xml:space="preserve">רש"י </w:t>
      </w:r>
      <w:r w:rsidRPr="00E14121">
        <w:rPr>
          <w:rFonts w:ascii="Narkisim" w:hAnsi="Narkisim"/>
          <w:rtl/>
        </w:rPr>
        <w:t>דתכריכי המת אסורין בהנאה. וה</w:t>
      </w:r>
      <w:r w:rsidRPr="00E14121">
        <w:rPr>
          <w:rFonts w:ascii="Narkisim" w:hAnsi="Narkisim"/>
          <w:b/>
          <w:bCs/>
          <w:rtl/>
        </w:rPr>
        <w:t>רא"ש</w:t>
      </w:r>
      <w:r w:rsidRPr="00E14121">
        <w:rPr>
          <w:rFonts w:ascii="Narkisim" w:hAnsi="Narkisim"/>
          <w:rtl/>
        </w:rPr>
        <w:t xml:space="preserve"> (מו"ק ג עט) ביאר דפרסוה על המת ע”ד ליקבר עמו, ומש”ה הוה תכריכי המת. אבל שאר בגדים שפרסו על המת אינן נאסרין. ובפסקי הריא”ז (סנהד' מז:, הו' בשלט”ג ברכות טו. בדה”ר) כת' דהיכא דיחדו למת להניחו לעולם מתייחד למת ונאסר</w:t>
      </w:r>
      <w:r w:rsidRPr="00E14121">
        <w:rPr>
          <w:rStyle w:val="ac"/>
          <w:rFonts w:ascii="Narkisim" w:hAnsi="Narkisim"/>
          <w:rtl/>
        </w:rPr>
        <w:footnoteReference w:id="4029"/>
      </w:r>
      <w:r w:rsidRPr="00E14121">
        <w:rPr>
          <w:rFonts w:ascii="Narkisim" w:hAnsi="Narkisim"/>
          <w:rtl/>
        </w:rPr>
        <w:t>.</w:t>
      </w:r>
    </w:p>
    <w:p w14:paraId="450B68BF" w14:textId="77777777" w:rsidR="00F64AED" w:rsidRPr="00E14121" w:rsidRDefault="00F64AED" w:rsidP="00F64AED">
      <w:pPr>
        <w:bidi/>
        <w:rPr>
          <w:rFonts w:ascii="Narkisim" w:hAnsi="Narkisim" w:cs="Narkisim"/>
        </w:rPr>
      </w:pPr>
      <w:r w:rsidRPr="00E14121">
        <w:rPr>
          <w:rFonts w:ascii="Narkisim" w:hAnsi="Narkisim" w:cs="Narkisim"/>
          <w:u w:val="single"/>
          <w:rtl/>
        </w:rPr>
        <w:t>א”ל מי לא מודה רב יהודה דמחוסר גוביינא וכו' ברשותיה קאי.</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דכל זמן שלא גבה לאו ברשותה קיימא, דשעבודא בעלמא אית לה עלייהו. ו</w:t>
      </w:r>
      <w:r w:rsidRPr="00E14121">
        <w:rPr>
          <w:rFonts w:ascii="Narkisim" w:hAnsi="Narkisim" w:cs="Narkisim"/>
          <w:b/>
          <w:bCs/>
          <w:rtl/>
        </w:rPr>
        <w:t>רש"י</w:t>
      </w:r>
      <w:r w:rsidRPr="00E14121">
        <w:rPr>
          <w:rFonts w:ascii="Narkisim" w:hAnsi="Narkisim" w:cs="Narkisim"/>
          <w:rtl/>
        </w:rPr>
        <w:t xml:space="preserve"> הוסיף דהיתומין חייבין באחריות.</w:t>
      </w:r>
    </w:p>
    <w:p w14:paraId="61BE529B" w14:textId="77777777" w:rsidR="00F64AED" w:rsidRPr="00E14121" w:rsidRDefault="00F64AED" w:rsidP="00F64AED">
      <w:pPr>
        <w:pStyle w:val="a7"/>
        <w:bidi/>
        <w:rPr>
          <w:rFonts w:ascii="Narkisim" w:hAnsi="Narkisim"/>
        </w:rPr>
      </w:pPr>
      <w:r w:rsidRPr="00E14121">
        <w:rPr>
          <w:rFonts w:ascii="Narkisim" w:hAnsi="Narkisim"/>
          <w:rtl/>
        </w:rPr>
        <w:t>וכן ה</w:t>
      </w:r>
      <w:r w:rsidRPr="00E14121">
        <w:rPr>
          <w:rFonts w:ascii="Narkisim" w:hAnsi="Narkisim"/>
          <w:b/>
          <w:bCs/>
          <w:rtl/>
        </w:rPr>
        <w:t>רי"ף</w:t>
      </w:r>
      <w:r w:rsidRPr="00E14121">
        <w:rPr>
          <w:rFonts w:ascii="Narkisim" w:hAnsi="Narkisim"/>
          <w:rtl/>
        </w:rPr>
        <w:t xml:space="preserve"> כתב כיון דחייב באחריותא. וה</w:t>
      </w:r>
      <w:r w:rsidRPr="00E14121">
        <w:rPr>
          <w:rFonts w:ascii="Narkisim" w:hAnsi="Narkisim"/>
          <w:b/>
          <w:bCs/>
          <w:rtl/>
        </w:rPr>
        <w:t>רשב"א</w:t>
      </w:r>
      <w:r w:rsidRPr="00E14121">
        <w:rPr>
          <w:rFonts w:ascii="Narkisim" w:hAnsi="Narkisim"/>
          <w:rtl/>
        </w:rPr>
        <w:t xml:space="preserve"> הקשה דא"כ הוה כשוכר דאינו ברשותו, ולכן כתב דהכא ברשותייהו עד שתגבה, ואין לאשה בהם אלא שעבוד.</w:t>
      </w:r>
    </w:p>
    <w:p w14:paraId="5D7401BD" w14:textId="77777777" w:rsidR="00F64AED" w:rsidRPr="00E14121" w:rsidRDefault="00F64AED" w:rsidP="00F64AED">
      <w:pPr>
        <w:bidi/>
        <w:rPr>
          <w:rFonts w:ascii="Narkisim" w:hAnsi="Narkisim" w:cs="Narkisim"/>
        </w:rPr>
      </w:pPr>
      <w:r w:rsidRPr="00E14121">
        <w:rPr>
          <w:rFonts w:ascii="Narkisim" w:hAnsi="Narkisim" w:cs="Narkisim"/>
          <w:u w:val="single"/>
          <w:rtl/>
        </w:rPr>
        <w:t>רש”י ד”ה מי לא</w:t>
      </w:r>
      <w:r w:rsidRPr="00E14121">
        <w:rPr>
          <w:rFonts w:ascii="Narkisim" w:hAnsi="Narkisim" w:cs="Narkisim"/>
          <w:rtl/>
        </w:rPr>
        <w:t>. דכל כמה דלא גבתינהו מיניה לאו ברשותה קיימי, אלא שעבודא וכו' דהא אם נאנסו וכו' חייב באחריותן. וצ"ב דהיורשים לא נתחייבו באחריות, אלא משום שעבוד נכסי המת.</w:t>
      </w:r>
    </w:p>
    <w:p w14:paraId="46738C0C"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(בסה"ס עמ' עט.) ביאר דאף דהיורשים אינן מתחייבים בחיוב אחריות, מ"מ יורשים את כל זכותו בגוף החפץ, דכיון דהאב נתחייב באחריות נחשב שלו. ועדיין קיים בתורת צאן ברזל כמעיקרא ולא נשתנה דין החפצא. ואף דעל היורשים עצמן אין חיוב.</w:t>
      </w:r>
    </w:p>
    <w:p w14:paraId="59D080C6"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ריטב"א</w:t>
      </w:r>
      <w:r w:rsidRPr="00E14121">
        <w:rPr>
          <w:rFonts w:ascii="Narkisim" w:hAnsi="Narkisim" w:cs="Narkisim"/>
          <w:rtl/>
        </w:rPr>
        <w:t xml:space="preserve"> הקשה דאי' (לעיל) דלר' יהודה הדין עמה, וכדידה חשבי, ואמאי נחשב מפקיע מידי שעבוד. וי”ל דרבא סבר דאף לר' יהודה דידיה חשיב, כיון דקבלו עליו כנכסי צאן ברזל. אלא דמשום שבח בית אביה אלמוה לשעבודא כאילו הם אפותיקי גמור, ע"מ שלא יוכל למכור.</w:t>
      </w:r>
      <w:r w:rsidRPr="00E14121">
        <w:rPr>
          <w:rFonts w:ascii="Narkisim" w:hAnsi="Narkisim" w:cs="Narkisim"/>
          <w:sz w:val="20"/>
          <w:szCs w:val="20"/>
          <w:rtl/>
        </w:rPr>
        <w:t xml:space="preserve"> ובפשוטו לפ"ז גדר צאן ברזל הוה חוב גמור. אבל ה</w:t>
      </w:r>
      <w:r w:rsidRPr="00E14121">
        <w:rPr>
          <w:rFonts w:ascii="Narkisim" w:hAnsi="Narkisim" w:cs="Narkisim"/>
          <w:b/>
          <w:bCs/>
          <w:sz w:val="20"/>
          <w:szCs w:val="20"/>
          <w:rtl/>
        </w:rPr>
        <w:t>ברכ"ש</w:t>
      </w:r>
      <w:r w:rsidRPr="00E14121">
        <w:rPr>
          <w:rFonts w:ascii="Narkisim" w:hAnsi="Narkisim" w:cs="Narkisim"/>
          <w:sz w:val="20"/>
          <w:szCs w:val="20"/>
          <w:rtl/>
        </w:rPr>
        <w:t xml:space="preserve"> ביאר סברתו דחיוב אחריות אלימי ומהני אף לענין למכור, וממילא יש לה רק אפותיקי.</w:t>
      </w:r>
    </w:p>
    <w:p w14:paraId="2EE912A8" w14:textId="77777777" w:rsidR="00F64AED" w:rsidRPr="00E14121" w:rsidRDefault="00F64AED" w:rsidP="00F64AED">
      <w:pPr>
        <w:bidi/>
        <w:rPr>
          <w:rFonts w:ascii="Narkisim" w:hAnsi="Narkisim" w:cs="Narkisim"/>
        </w:rPr>
      </w:pPr>
      <w:r w:rsidRPr="00E14121">
        <w:rPr>
          <w:rFonts w:ascii="Narkisim" w:hAnsi="Narkisim" w:cs="Narkisim"/>
          <w:u w:val="single"/>
          <w:rtl/>
        </w:rPr>
        <w:t>רבא לטעמיה וכו' מפקיעין מידי שעבוד.</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(גיטין מא.) נקטו דכ"ז רבא לשיטתו (פסחים לא.) דבע"ח גובה מכאן ולהבא. אבל לאביי דלמפרע הוא גובה א"כ הלווה אינו יכול לאסור [דהא נתברר שגבאו הלווה].</w:t>
      </w:r>
    </w:p>
    <w:p w14:paraId="3E7D91FF"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(שם, וה</w:t>
      </w:r>
      <w:r w:rsidRPr="00E14121">
        <w:rPr>
          <w:rFonts w:ascii="Narkisim" w:hAnsi="Narkisim"/>
          <w:b/>
          <w:bCs/>
          <w:rtl/>
        </w:rPr>
        <w:t>תו"י</w:t>
      </w:r>
      <w:r w:rsidRPr="00E14121">
        <w:rPr>
          <w:rFonts w:ascii="Narkisim" w:hAnsi="Narkisim"/>
          <w:rtl/>
        </w:rPr>
        <w:t xml:space="preserve"> כאן) הק' דבסוגיין אינם יכולים לסלקה בזוזי, והיכא דאינו יכול לסלק בזוזי אף רבא מודה דלמפרע גובה</w:t>
      </w:r>
      <w:r w:rsidRPr="00E14121">
        <w:rPr>
          <w:rStyle w:val="ac"/>
          <w:rFonts w:ascii="Narkisim" w:hAnsi="Narkisim"/>
          <w:rtl/>
        </w:rPr>
        <w:footnoteReference w:id="4030"/>
      </w:r>
      <w:r w:rsidRPr="00E14121">
        <w:rPr>
          <w:rFonts w:ascii="Narkisim" w:hAnsi="Narkisim"/>
          <w:rtl/>
        </w:rPr>
        <w:t>.</w:t>
      </w:r>
    </w:p>
    <w:p w14:paraId="7256AABE"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(בגיטין) תי' דמכל מקום כיון דמשתמשין באצטלא לעשות כל חפצם, ואם מכרוה מסלקו בזוזי ולא טרפה לקוחות</w:t>
      </w:r>
      <w:r w:rsidRPr="00E14121">
        <w:rPr>
          <w:rStyle w:val="ac"/>
          <w:rFonts w:ascii="Narkisim" w:hAnsi="Narkisim"/>
          <w:rtl/>
        </w:rPr>
        <w:footnoteReference w:id="4031"/>
      </w:r>
      <w:r w:rsidRPr="00E14121">
        <w:rPr>
          <w:rFonts w:ascii="Narkisim" w:hAnsi="Narkisim"/>
          <w:rtl/>
        </w:rPr>
        <w:t xml:space="preserve"> </w:t>
      </w:r>
      <w:r w:rsidRPr="00E14121">
        <w:rPr>
          <w:rFonts w:ascii="Narkisim" w:hAnsi="Narkisim"/>
          <w:sz w:val="20"/>
          <w:szCs w:val="20"/>
          <w:rtl/>
        </w:rPr>
        <w:t>[ודלא כמ”ש הראשונים בסוגיין דאינו מכור]</w:t>
      </w:r>
      <w:r w:rsidRPr="00E14121">
        <w:rPr>
          <w:rFonts w:ascii="Narkisim" w:hAnsi="Narkisim"/>
          <w:rtl/>
        </w:rPr>
        <w:t>, מכאן ולהבא הוא גובה.</w:t>
      </w:r>
    </w:p>
    <w:p w14:paraId="01E12354"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תו"י</w:t>
      </w:r>
      <w:r w:rsidRPr="00E14121">
        <w:rPr>
          <w:rFonts w:ascii="Narkisim" w:hAnsi="Narkisim"/>
          <w:rtl/>
        </w:rPr>
        <w:t xml:space="preserve"> (ותוס' מהר"ם ור"פ) תי' דדוקא במלוה אמרי' דלמפרע גובה אם אינו יכול לסלקו בזוזי, אבל הכא כל זמן שלא גבתה הגוף קנוי לו, אע"ג דהדין עמה</w:t>
      </w:r>
      <w:r w:rsidRPr="00E14121">
        <w:rPr>
          <w:rStyle w:val="ac"/>
          <w:rFonts w:ascii="Narkisim" w:hAnsi="Narkisim"/>
          <w:rtl/>
        </w:rPr>
        <w:footnoteReference w:id="4032"/>
      </w:r>
      <w:r w:rsidRPr="00E14121">
        <w:rPr>
          <w:rFonts w:ascii="Narkisim" w:hAnsi="Narkisim"/>
          <w:rtl/>
        </w:rPr>
        <w:t>. וה</w:t>
      </w:r>
      <w:r w:rsidRPr="00E14121">
        <w:rPr>
          <w:rFonts w:ascii="Narkisim" w:hAnsi="Narkisim"/>
          <w:b/>
          <w:bCs/>
          <w:rtl/>
        </w:rPr>
        <w:t>קה”י</w:t>
      </w:r>
      <w:r w:rsidRPr="00E14121">
        <w:rPr>
          <w:rFonts w:ascii="Narkisim" w:hAnsi="Narkisim"/>
          <w:rtl/>
        </w:rPr>
        <w:t xml:space="preserve"> (מא) כתב דכן מוכח לדעת ה</w:t>
      </w:r>
      <w:r w:rsidRPr="00E14121">
        <w:rPr>
          <w:rFonts w:ascii="Narkisim" w:hAnsi="Narkisim"/>
          <w:b/>
          <w:bCs/>
          <w:rtl/>
        </w:rPr>
        <w:t>ראשונים</w:t>
      </w:r>
      <w:r w:rsidRPr="00E14121">
        <w:rPr>
          <w:rFonts w:ascii="Narkisim" w:hAnsi="Narkisim"/>
          <w:rtl/>
        </w:rPr>
        <w:t xml:space="preserve"> (בסוגיין) דלא מהני מכירה במטלטלין דצ”ב, דאף באופן דלמפרע הוא גובה, הקדש מפקיע מידי שעבוד. וביאר דלמפרע הא גובה הוא משום שגובהו לבסוף, וכיון </w:t>
      </w:r>
      <w:r w:rsidRPr="00E14121">
        <w:rPr>
          <w:rFonts w:ascii="Narkisim" w:hAnsi="Narkisim"/>
          <w:rtl/>
        </w:rPr>
        <w:lastRenderedPageBreak/>
        <w:t>דהוה הקדש ואיסור, לא שייך 'מעשה גבייה'</w:t>
      </w:r>
      <w:r w:rsidRPr="00E14121">
        <w:rPr>
          <w:rStyle w:val="ac"/>
          <w:rFonts w:ascii="Narkisim" w:hAnsi="Narkisim"/>
          <w:rtl/>
        </w:rPr>
        <w:footnoteReference w:id="4033"/>
      </w:r>
      <w:r w:rsidRPr="00E14121">
        <w:rPr>
          <w:rFonts w:ascii="Narkisim" w:hAnsi="Narkisim"/>
          <w:rtl/>
        </w:rPr>
        <w:t>, ולכן נפקע השעבוד</w:t>
      </w:r>
      <w:r w:rsidRPr="00E14121">
        <w:rPr>
          <w:rStyle w:val="ac"/>
          <w:rFonts w:ascii="Narkisim" w:hAnsi="Narkisim"/>
          <w:rtl/>
        </w:rPr>
        <w:footnoteReference w:id="4034"/>
      </w:r>
      <w:r w:rsidRPr="00E14121">
        <w:rPr>
          <w:rFonts w:ascii="Narkisim" w:hAnsi="Narkisim"/>
          <w:rtl/>
        </w:rPr>
        <w:t>.</w:t>
      </w:r>
    </w:p>
    <w:p w14:paraId="3514FB00" w14:textId="77777777" w:rsidR="00F64AED" w:rsidRPr="00E14121" w:rsidRDefault="00F64AED" w:rsidP="00F64AED">
      <w:pPr>
        <w:pStyle w:val="aa"/>
        <w:bidi/>
        <w:rPr>
          <w:rFonts w:ascii="Narkisim" w:hAnsi="Narkisim"/>
        </w:rPr>
      </w:pPr>
      <w:r w:rsidRPr="00E14121">
        <w:rPr>
          <w:rFonts w:ascii="Narkisim" w:hAnsi="Narkisim"/>
          <w:u w:val="single"/>
          <w:rtl/>
        </w:rPr>
        <w:t>מפקיע מידי שעבוד.</w:t>
      </w:r>
      <w:r w:rsidRPr="00E14121">
        <w:rPr>
          <w:rFonts w:ascii="Narkisim" w:hAnsi="Narkisim"/>
          <w:rtl/>
        </w:rPr>
        <w:t xml:space="preserve"> [ע' מש"כ בזה בתוד"ה עבדי]. </w:t>
      </w:r>
      <w:r w:rsidRPr="00E14121">
        <w:rPr>
          <w:rFonts w:ascii="Narkisim" w:hAnsi="Narkisim"/>
          <w:b/>
          <w:bCs/>
          <w:rtl/>
        </w:rPr>
        <w:t>תוס</w:t>
      </w:r>
      <w:r w:rsidRPr="00E14121">
        <w:rPr>
          <w:rFonts w:ascii="Narkisim" w:hAnsi="Narkisim"/>
          <w:rtl/>
        </w:rPr>
        <w:t>' (כתובות נט. וגיטין מ:, וכן בתוס' מהר"ם ור”פ וריטב"א כאן) כת' דהיכא דבע"ח אוסר על המלוה בקונם אלמוה רבנן לשעבודיה דאינו יכול להפקיע. ושאני בסוגיין דאוסרתו על כל העולם. [וכה"ג ל"צ אלמוה].</w:t>
      </w:r>
    </w:p>
    <w:p w14:paraId="00EDEC4C" w14:textId="77777777" w:rsidR="00F64AED" w:rsidRPr="00E14121" w:rsidRDefault="00F64AED" w:rsidP="00F64AED">
      <w:pPr>
        <w:pStyle w:val="aa"/>
        <w:bidi/>
        <w:rPr>
          <w:rFonts w:ascii="Narkisim" w:hAnsi="Narkisim"/>
        </w:rPr>
      </w:pPr>
      <w:r w:rsidRPr="00E14121">
        <w:rPr>
          <w:rFonts w:ascii="Narkisim" w:hAnsi="Narkisim"/>
          <w:u w:val="single"/>
          <w:rtl/>
        </w:rPr>
        <w:t>חמץ</w:t>
      </w:r>
      <w:r w:rsidRPr="00E14121">
        <w:rPr>
          <w:rFonts w:ascii="Narkisim" w:hAnsi="Narkisim"/>
          <w:rtl/>
        </w:rPr>
        <w:t>. פ</w:t>
      </w:r>
      <w:r w:rsidRPr="00E14121">
        <w:rPr>
          <w:rFonts w:ascii="Narkisim" w:hAnsi="Narkisim"/>
          <w:b/>
          <w:bCs/>
          <w:rtl/>
        </w:rPr>
        <w:t>רש"י</w:t>
      </w:r>
      <w:r w:rsidRPr="00E14121">
        <w:rPr>
          <w:rFonts w:ascii="Narkisim" w:hAnsi="Narkisim"/>
          <w:rtl/>
        </w:rPr>
        <w:t xml:space="preserve"> דאתי איסור הנאה ומפקע ליה לשעבודא דעכו”ם וכו'. משמע דאילו לא מפקיע החמץ לא היה נאסר. [וכן דייק בקובה”ע נב ג עי”ש]. אבל </w:t>
      </w:r>
      <w:r w:rsidRPr="00E14121">
        <w:rPr>
          <w:rFonts w:ascii="Narkisim" w:hAnsi="Narkisim"/>
          <w:b/>
          <w:bCs/>
          <w:rtl/>
        </w:rPr>
        <w:t>רש”י</w:t>
      </w:r>
      <w:r w:rsidRPr="00E14121">
        <w:rPr>
          <w:rFonts w:ascii="Narkisim" w:hAnsi="Narkisim"/>
          <w:rtl/>
        </w:rPr>
        <w:t xml:space="preserve"> (לעיל מו.) כתב דכיון דפקע שעבודיה חייב לבערו.</w:t>
      </w:r>
    </w:p>
    <w:p w14:paraId="428EDA0E" w14:textId="77777777" w:rsidR="00F64AED" w:rsidRPr="00E14121" w:rsidRDefault="00F64AED" w:rsidP="00F64AED">
      <w:pPr>
        <w:pStyle w:val="3"/>
        <w:bidi/>
        <w:rPr>
          <w:rFonts w:ascii="Narkisim" w:hAnsi="Narkisim"/>
        </w:rPr>
      </w:pPr>
      <w:r w:rsidRPr="00E14121">
        <w:rPr>
          <w:rFonts w:ascii="Narkisim" w:hAnsi="Narkisim"/>
          <w:rtl/>
        </w:rPr>
        <w:t>דף סז.</w:t>
      </w:r>
    </w:p>
    <w:p w14:paraId="7D5018A2" w14:textId="77777777" w:rsidR="00F64AED" w:rsidRPr="00E14121" w:rsidRDefault="00F64AED" w:rsidP="00F64AED">
      <w:pPr>
        <w:pStyle w:val="aa"/>
        <w:bidi/>
        <w:rPr>
          <w:rFonts w:ascii="Narkisim" w:hAnsi="Narkisim"/>
        </w:rPr>
      </w:pPr>
      <w:r w:rsidRPr="00E14121">
        <w:rPr>
          <w:rFonts w:ascii="Narkisim" w:hAnsi="Narkisim"/>
          <w:u w:val="single"/>
          <w:rtl/>
        </w:rPr>
        <w:t>הכניסה לו ב' כלים וכו' אבל מיתן דמין ומישקל לא קמ"ל.</w:t>
      </w:r>
      <w:r w:rsidRPr="00E14121">
        <w:rPr>
          <w:rFonts w:ascii="Narkisim" w:hAnsi="Narkisim"/>
          <w:rtl/>
        </w:rPr>
        <w:t xml:space="preserve"> משמע דס"ד דבב' כלים אינה רשאית ליטול, כיון דאין שעבוד דמים כלל על הכלי השני. וקמ"ל דאפי' הכי יש לה זכות החפץ, ונותנת דמיה</w:t>
      </w:r>
      <w:r w:rsidRPr="00E14121">
        <w:rPr>
          <w:rStyle w:val="ac"/>
          <w:rFonts w:ascii="Narkisim" w:hAnsi="Narkisim"/>
          <w:rtl/>
        </w:rPr>
        <w:footnoteReference w:id="4035"/>
      </w:r>
      <w:r w:rsidRPr="00E14121">
        <w:rPr>
          <w:rFonts w:ascii="Narkisim" w:hAnsi="Narkisim"/>
          <w:rtl/>
        </w:rPr>
        <w:t>. ועויל"פ דלעולם חצי שעבוד הממון הוה על כל כלי.</w:t>
      </w:r>
    </w:p>
    <w:p w14:paraId="04CE0A72" w14:textId="77777777" w:rsidR="00F64AED" w:rsidRPr="00E14121" w:rsidRDefault="00F64AED" w:rsidP="00F64AED">
      <w:pPr>
        <w:pStyle w:val="2"/>
        <w:bidi/>
        <w:rPr>
          <w:rFonts w:ascii="Narkisim" w:hAnsi="Narkisim"/>
        </w:rPr>
      </w:pPr>
      <w:r w:rsidRPr="00E14121">
        <w:rPr>
          <w:rFonts w:ascii="Narkisim" w:hAnsi="Narkisim"/>
          <w:rtl/>
        </w:rPr>
        <w:t>חלקו של עובר</w:t>
      </w:r>
    </w:p>
    <w:p w14:paraId="6F737A2C" w14:textId="77777777" w:rsidR="00F64AED" w:rsidRPr="00E14121" w:rsidRDefault="00F64AED" w:rsidP="00F64AED">
      <w:pPr>
        <w:bidi/>
        <w:rPr>
          <w:rFonts w:ascii="Narkisim" w:hAnsi="Narkisim" w:cs="Narkisim"/>
        </w:rPr>
      </w:pPr>
      <w:r w:rsidRPr="00E14121">
        <w:rPr>
          <w:rFonts w:ascii="Narkisim" w:hAnsi="Narkisim" w:cs="Narkisim"/>
          <w:u w:val="single"/>
          <w:rtl/>
        </w:rPr>
        <w:t>לא יאכלו עבדיה בתרומה מפני חלקו של עובר וכו' דברי ר' יוסי</w:t>
      </w:r>
      <w:r w:rsidRPr="00E14121">
        <w:rPr>
          <w:rFonts w:ascii="Narkisim" w:hAnsi="Narkisim" w:cs="Narkisim"/>
          <w:rtl/>
        </w:rPr>
        <w:t>. דהעובר זכה בירושה, ומש"ה פוסל בתרומה. והגמ' (ב"ב קמא:) הביאה דדעת ר' יוסי דיש זכייה לעובר. והגמ' דוחה דה”מ בירושה הבאה מאיליה</w:t>
      </w:r>
      <w:r w:rsidRPr="00E14121">
        <w:rPr>
          <w:rStyle w:val="ac"/>
          <w:rFonts w:ascii="Narkisim" w:hAnsi="Narkisim" w:cs="Narkisim"/>
          <w:rtl/>
        </w:rPr>
        <w:footnoteReference w:id="4036"/>
      </w:r>
      <w:r w:rsidRPr="00E14121">
        <w:rPr>
          <w:rFonts w:ascii="Narkisim" w:hAnsi="Narkisim" w:cs="Narkisim"/>
          <w:rtl/>
        </w:rPr>
        <w:t>. [אבל המזכה לעובר ל"ק]. וע"ע בסמוך.</w:t>
      </w:r>
    </w:p>
    <w:p w14:paraId="3C22E41E" w14:textId="77777777" w:rsidR="00F64AED" w:rsidRPr="00E14121" w:rsidRDefault="00F64AED" w:rsidP="00F64AED">
      <w:pPr>
        <w:bidi/>
        <w:rPr>
          <w:rFonts w:ascii="Narkisim" w:hAnsi="Narkisim" w:cs="Narkisim"/>
        </w:rPr>
      </w:pPr>
      <w:r w:rsidRPr="00E14121">
        <w:rPr>
          <w:rFonts w:ascii="Narkisim" w:hAnsi="Narkisim" w:cs="Narkisim"/>
          <w:u w:val="single"/>
          <w:rtl/>
        </w:rPr>
        <w:t>שם. מפני חלקו של עובר</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אע"פ שיש לו בנים הימנה. וכן מבואר בברייתא (בסמוך) דאיירי אף כשיש אחים, כיון דיש לעובר שותפות פוסל (ע"ע בסמוך). ושותפות זר פוסל לתרומה</w:t>
      </w:r>
      <w:r w:rsidRPr="00E14121">
        <w:rPr>
          <w:rStyle w:val="ac"/>
          <w:rFonts w:ascii="Narkisim" w:hAnsi="Narkisim" w:cs="Narkisim"/>
          <w:rtl/>
        </w:rPr>
        <w:footnoteReference w:id="4037"/>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הביאו דמבואר במשנה דשותפות זר פוסל לתרומה. וכ"פ ה</w:t>
      </w:r>
      <w:r w:rsidRPr="00E14121">
        <w:rPr>
          <w:rFonts w:ascii="Narkisim" w:hAnsi="Narkisim" w:cs="Narkisim"/>
          <w:b/>
          <w:bCs/>
          <w:rtl/>
        </w:rPr>
        <w:t>רמב"ם</w:t>
      </w:r>
      <w:r w:rsidRPr="00E14121">
        <w:rPr>
          <w:rFonts w:ascii="Narkisim" w:hAnsi="Narkisim" w:cs="Narkisim"/>
          <w:rtl/>
        </w:rPr>
        <w:t xml:space="preserve"> (תרומות ז יז). וכן איתא ב</w:t>
      </w:r>
      <w:r w:rsidRPr="00E14121">
        <w:rPr>
          <w:rFonts w:ascii="Narkisim" w:hAnsi="Narkisim" w:cs="Narkisim"/>
          <w:b/>
          <w:bCs/>
          <w:rtl/>
        </w:rPr>
        <w:t>תו"כ</w:t>
      </w:r>
      <w:r w:rsidRPr="00E14121">
        <w:rPr>
          <w:rFonts w:ascii="Narkisim" w:hAnsi="Narkisim" w:cs="Narkisim"/>
          <w:rtl/>
        </w:rPr>
        <w:t xml:space="preserve"> (אמור ה ג)</w:t>
      </w:r>
      <w:r w:rsidRPr="00E14121">
        <w:rPr>
          <w:rStyle w:val="ac"/>
          <w:rFonts w:ascii="Narkisim" w:hAnsi="Narkisim" w:cs="Narkisim"/>
          <w:rtl/>
        </w:rPr>
        <w:footnoteReference w:id="4038"/>
      </w:r>
      <w:r w:rsidRPr="00E14121">
        <w:rPr>
          <w:rFonts w:ascii="Narkisim" w:hAnsi="Narkisim" w:cs="Narkisim"/>
          <w:rtl/>
        </w:rPr>
        <w:t>. אבל ה</w:t>
      </w:r>
      <w:r w:rsidRPr="00E14121">
        <w:rPr>
          <w:rFonts w:ascii="Narkisim" w:hAnsi="Narkisim" w:cs="Narkisim"/>
          <w:b/>
          <w:bCs/>
          <w:rtl/>
        </w:rPr>
        <w:t>פנ"י</w:t>
      </w:r>
      <w:r w:rsidRPr="00E14121">
        <w:rPr>
          <w:rFonts w:ascii="Narkisim" w:hAnsi="Narkisim" w:cs="Narkisim"/>
          <w:rtl/>
        </w:rPr>
        <w:t xml:space="preserve"> (גיטין מב:) דחה די"ל דהמשנה איירי דיש הרבה עבדים ומדין ברירה. וכ"כ </w:t>
      </w:r>
      <w:r w:rsidRPr="00E14121">
        <w:rPr>
          <w:rFonts w:ascii="Narkisim" w:hAnsi="Narkisim" w:cs="Narkisim"/>
          <w:b/>
          <w:bCs/>
          <w:rtl/>
        </w:rPr>
        <w:t>רש"י</w:t>
      </w:r>
      <w:r w:rsidRPr="00E14121">
        <w:rPr>
          <w:rFonts w:ascii="Narkisim" w:hAnsi="Narkisim" w:cs="Narkisim"/>
          <w:rtl/>
        </w:rPr>
        <w:t xml:space="preserve"> (בסמוך) עי"ש.</w:t>
      </w:r>
    </w:p>
    <w:p w14:paraId="21962FBD" w14:textId="77777777" w:rsidR="00F64AED" w:rsidRPr="00E14121" w:rsidRDefault="00F64AED" w:rsidP="00F64AED">
      <w:pPr>
        <w:pStyle w:val="a7"/>
        <w:bidi/>
        <w:rPr>
          <w:rFonts w:ascii="Narkisim" w:hAnsi="Narkisim"/>
        </w:rPr>
      </w:pPr>
      <w:r w:rsidRPr="00E14121">
        <w:rPr>
          <w:rFonts w:ascii="Narkisim" w:hAnsi="Narkisim"/>
          <w:rtl/>
        </w:rPr>
        <w:t>אך משמע מדברי ה</w:t>
      </w:r>
      <w:r w:rsidRPr="00E14121">
        <w:rPr>
          <w:rFonts w:ascii="Narkisim" w:hAnsi="Narkisim"/>
          <w:b/>
          <w:bCs/>
          <w:rtl/>
        </w:rPr>
        <w:t>תוס'</w:t>
      </w:r>
      <w:r w:rsidRPr="00E14121">
        <w:rPr>
          <w:rFonts w:ascii="Narkisim" w:hAnsi="Narkisim"/>
          <w:rtl/>
        </w:rPr>
        <w:t xml:space="preserve"> </w:t>
      </w:r>
      <w:r w:rsidRPr="00E14121">
        <w:rPr>
          <w:rFonts w:ascii="Narkisim" w:hAnsi="Narkisim"/>
          <w:sz w:val="20"/>
          <w:szCs w:val="20"/>
          <w:rtl/>
        </w:rPr>
        <w:t xml:space="preserve">(גיטין מב: ד"ה מעוכב) </w:t>
      </w:r>
      <w:r w:rsidRPr="00E14121">
        <w:rPr>
          <w:rFonts w:ascii="Narkisim" w:hAnsi="Narkisim"/>
          <w:rtl/>
        </w:rPr>
        <w:t>דחצי עבד וחציו בן חורין אוכל בתרומה</w:t>
      </w:r>
      <w:r w:rsidRPr="00E14121">
        <w:rPr>
          <w:rStyle w:val="ac"/>
          <w:rFonts w:ascii="Narkisim" w:hAnsi="Narkisim"/>
          <w:rtl/>
        </w:rPr>
        <w:footnoteReference w:id="4039"/>
      </w:r>
      <w:r w:rsidRPr="00E14121">
        <w:rPr>
          <w:rFonts w:ascii="Narkisim" w:hAnsi="Narkisim"/>
          <w:rtl/>
        </w:rPr>
        <w:t>. וה</w:t>
      </w:r>
      <w:r w:rsidRPr="00E14121">
        <w:rPr>
          <w:rFonts w:ascii="Narkisim" w:hAnsi="Narkisim"/>
          <w:b/>
          <w:bCs/>
          <w:rtl/>
        </w:rPr>
        <w:t>תוס' הרא"ש</w:t>
      </w:r>
      <w:r w:rsidRPr="00E14121">
        <w:rPr>
          <w:rFonts w:ascii="Narkisim" w:hAnsi="Narkisim"/>
          <w:rtl/>
        </w:rPr>
        <w:t xml:space="preserve"> (שם) חלק דהיאך יאכל צד חירות בתרומה </w:t>
      </w:r>
      <w:r w:rsidRPr="00E14121">
        <w:rPr>
          <w:rFonts w:ascii="Narkisim" w:hAnsi="Narkisim"/>
          <w:sz w:val="20"/>
          <w:szCs w:val="20"/>
          <w:rtl/>
        </w:rPr>
        <w:t>[וכה”ק ה</w:t>
      </w:r>
      <w:r w:rsidRPr="00E14121">
        <w:rPr>
          <w:rFonts w:ascii="Narkisim" w:hAnsi="Narkisim"/>
          <w:b/>
          <w:bCs/>
          <w:sz w:val="20"/>
          <w:szCs w:val="20"/>
          <w:rtl/>
        </w:rPr>
        <w:t>מהרש”ל</w:t>
      </w:r>
      <w:r w:rsidRPr="00E14121">
        <w:rPr>
          <w:rFonts w:ascii="Narkisim" w:hAnsi="Narkisim"/>
          <w:sz w:val="20"/>
          <w:szCs w:val="20"/>
          <w:rtl/>
        </w:rPr>
        <w:t xml:space="preserve"> והאחרונים שם</w:t>
      </w:r>
      <w:r w:rsidRPr="00E14121">
        <w:rPr>
          <w:rStyle w:val="ac"/>
          <w:rFonts w:ascii="Narkisim" w:hAnsi="Narkisim"/>
          <w:sz w:val="20"/>
          <w:szCs w:val="20"/>
          <w:rtl/>
        </w:rPr>
        <w:footnoteReference w:id="4040"/>
      </w:r>
      <w:r w:rsidRPr="00E14121">
        <w:rPr>
          <w:rFonts w:ascii="Narkisim" w:hAnsi="Narkisim"/>
          <w:sz w:val="20"/>
          <w:szCs w:val="20"/>
          <w:rtl/>
        </w:rPr>
        <w:t>]</w:t>
      </w:r>
      <w:r w:rsidRPr="00E14121">
        <w:rPr>
          <w:rFonts w:ascii="Narkisim" w:hAnsi="Narkisim"/>
          <w:rtl/>
        </w:rPr>
        <w:t>. וה</w:t>
      </w:r>
      <w:r w:rsidRPr="00E14121">
        <w:rPr>
          <w:rFonts w:ascii="Narkisim" w:hAnsi="Narkisim"/>
          <w:b/>
          <w:bCs/>
          <w:rtl/>
        </w:rPr>
        <w:t>פנ"י</w:t>
      </w:r>
      <w:r w:rsidRPr="00E14121">
        <w:rPr>
          <w:rFonts w:ascii="Narkisim" w:hAnsi="Narkisim"/>
          <w:rtl/>
        </w:rPr>
        <w:t xml:space="preserve"> (שם) הוסיף להקשות דבמשנתינו מבואר דעבד שיש לזר חלק בו אינו אוכל בתרומה. וה</w:t>
      </w:r>
      <w:r w:rsidRPr="00E14121">
        <w:rPr>
          <w:rFonts w:ascii="Narkisim" w:hAnsi="Narkisim"/>
          <w:b/>
          <w:bCs/>
          <w:rtl/>
        </w:rPr>
        <w:t>אבנ"מ</w:t>
      </w:r>
      <w:r w:rsidRPr="00E14121">
        <w:rPr>
          <w:rFonts w:ascii="Narkisim" w:hAnsi="Narkisim"/>
          <w:rtl/>
        </w:rPr>
        <w:t xml:space="preserve"> (שו"ת יז) כתב דהוה כקנין שקנה קנין העבד קנוי לעצמו</w:t>
      </w:r>
      <w:r w:rsidRPr="00E14121">
        <w:rPr>
          <w:rStyle w:val="ac"/>
          <w:rFonts w:ascii="Narkisim" w:hAnsi="Narkisim"/>
          <w:rtl/>
        </w:rPr>
        <w:footnoteReference w:id="4041"/>
      </w:r>
      <w:r w:rsidRPr="00E14121">
        <w:rPr>
          <w:rFonts w:ascii="Narkisim" w:hAnsi="Narkisim"/>
          <w:sz w:val="20"/>
          <w:szCs w:val="20"/>
          <w:rtl/>
        </w:rPr>
        <w:t xml:space="preserve"> [דשייכי להדדי, ואין לאחרים זכות עליו]</w:t>
      </w:r>
      <w:r w:rsidRPr="00E14121">
        <w:rPr>
          <w:rFonts w:ascii="Narkisim" w:hAnsi="Narkisim"/>
          <w:rtl/>
        </w:rPr>
        <w:t>. ולא דמי לכל שותף</w:t>
      </w:r>
      <w:r w:rsidRPr="00E14121">
        <w:rPr>
          <w:rStyle w:val="ac"/>
          <w:rFonts w:ascii="Narkisim" w:hAnsi="Narkisim"/>
          <w:rtl/>
        </w:rPr>
        <w:footnoteReference w:id="4042"/>
      </w:r>
      <w:r w:rsidRPr="00E14121">
        <w:rPr>
          <w:rFonts w:ascii="Narkisim" w:hAnsi="Narkisim"/>
          <w:rtl/>
        </w:rPr>
        <w:t>.</w:t>
      </w:r>
    </w:p>
    <w:p w14:paraId="19B21B29"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ר"ש</w:t>
      </w:r>
      <w:r w:rsidRPr="00E14121">
        <w:rPr>
          <w:rFonts w:ascii="Narkisim" w:hAnsi="Narkisim" w:cs="Narkisim"/>
          <w:rtl/>
        </w:rPr>
        <w:t xml:space="preserve"> בתו"כ (שם) כתב דנתמעט דאף עבד דב' שותפין כהנים אינו אוכל בתרומה, דבעינן מיוחד לו</w:t>
      </w:r>
      <w:r w:rsidRPr="00E14121">
        <w:rPr>
          <w:rStyle w:val="ac"/>
          <w:rFonts w:ascii="Narkisim" w:hAnsi="Narkisim" w:cs="Narkisim"/>
          <w:rtl/>
        </w:rPr>
        <w:footnoteReference w:id="4043"/>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הק' דבסוגיין מבואר דכשיש ב' בנים אוכל בתרומה, ודוקא עובר אינו מאכיל. וי"ל דהתו"כ קאי כר' אלעזר (ב"ב נ. וב"ק פח) דבעינן עבדו המיוחד לו, והמשנה דלא כר"א. </w:t>
      </w:r>
      <w:r w:rsidRPr="00E14121">
        <w:rPr>
          <w:rFonts w:ascii="Narkisim" w:hAnsi="Narkisim" w:cs="Narkisim"/>
          <w:i/>
          <w:iCs/>
          <w:rtl/>
        </w:rPr>
        <w:t>א"נ</w:t>
      </w:r>
      <w:r w:rsidRPr="00E14121">
        <w:rPr>
          <w:rFonts w:ascii="Narkisim" w:hAnsi="Narkisim" w:cs="Narkisim"/>
          <w:rtl/>
        </w:rPr>
        <w:t xml:space="preserve"> שאני יורשים [שלא חילקו] דהוה תפוסת הבית, ונחשב בעלים א'.</w:t>
      </w:r>
    </w:p>
    <w:p w14:paraId="60C8C1E5"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(רפ ו) הקשה דה</w:t>
      </w:r>
      <w:r w:rsidRPr="00E14121">
        <w:rPr>
          <w:rFonts w:ascii="Narkisim" w:hAnsi="Narkisim"/>
          <w:b/>
          <w:bCs/>
          <w:rtl/>
        </w:rPr>
        <w:t>רמב"ם</w:t>
      </w:r>
      <w:r w:rsidRPr="00E14121">
        <w:rPr>
          <w:rFonts w:ascii="Narkisim" w:hAnsi="Narkisim"/>
          <w:rtl/>
        </w:rPr>
        <w:t xml:space="preserve"> (עבדים ה טו, רוצח ב טו) פסק כר"א דעבד של ב' שותפין אינו יוצא בשן ועין, </w:t>
      </w:r>
      <w:r w:rsidRPr="00E14121">
        <w:rPr>
          <w:rFonts w:ascii="Narkisim" w:hAnsi="Narkisim"/>
          <w:rtl/>
        </w:rPr>
        <w:lastRenderedPageBreak/>
        <w:t>דבעי עבדו המיוחד לו</w:t>
      </w:r>
      <w:r w:rsidRPr="00E14121">
        <w:rPr>
          <w:rStyle w:val="ac"/>
          <w:rFonts w:ascii="Narkisim" w:hAnsi="Narkisim"/>
          <w:rtl/>
        </w:rPr>
        <w:footnoteReference w:id="4044"/>
      </w:r>
      <w:r w:rsidRPr="00E14121">
        <w:rPr>
          <w:rFonts w:ascii="Narkisim" w:hAnsi="Narkisim"/>
          <w:rtl/>
        </w:rPr>
        <w:t>. א"כ ה"נ עבד של ב' כהנים האיך יאכל בתרומה.</w:t>
      </w:r>
    </w:p>
    <w:p w14:paraId="10C34B68" w14:textId="77777777" w:rsidR="00F64AED" w:rsidRPr="00E14121" w:rsidRDefault="00F64AED" w:rsidP="00F64AED">
      <w:pPr>
        <w:bidi/>
        <w:rPr>
          <w:rFonts w:ascii="Narkisim" w:hAnsi="Narkisim" w:cs="Narkisim"/>
        </w:rPr>
      </w:pPr>
      <w:r w:rsidRPr="00E14121">
        <w:rPr>
          <w:rFonts w:ascii="Narkisim" w:hAnsi="Narkisim" w:cs="Narkisim"/>
          <w:u w:val="single"/>
          <w:rtl/>
        </w:rPr>
        <w:t>רש"י ד"ה ואינו מאכיל.</w:t>
      </w:r>
      <w:r w:rsidRPr="00E14121">
        <w:rPr>
          <w:rFonts w:ascii="Narkisim" w:hAnsi="Narkisim" w:cs="Narkisim"/>
          <w:rtl/>
        </w:rPr>
        <w:t xml:space="preserve"> אין בעובר כח להאכילה, וה"ה בעבדים. משמע דתליא בהדדי הא דהעובר לא חשיב זרע להאכיל את אמו, והא דאינו כהן להאכיל עבדיו. ולפ"ז 'אינו מאכיל' קאי אף דאינו מאכיל בעבדים, וכ"כ ה</w:t>
      </w:r>
      <w:r w:rsidRPr="00E14121">
        <w:rPr>
          <w:rFonts w:ascii="Narkisim" w:hAnsi="Narkisim" w:cs="Narkisim"/>
          <w:b/>
          <w:bCs/>
          <w:rtl/>
        </w:rPr>
        <w:t>רש"ש</w:t>
      </w:r>
      <w:r w:rsidRPr="00E14121">
        <w:rPr>
          <w:rFonts w:ascii="Narkisim" w:hAnsi="Narkisim" w:cs="Narkisim"/>
          <w:rtl/>
        </w:rPr>
        <w:t xml:space="preserve">. ודלא כמ"ש </w:t>
      </w:r>
      <w:r w:rsidRPr="00E14121">
        <w:rPr>
          <w:rFonts w:ascii="Narkisim" w:hAnsi="Narkisim" w:cs="Narkisim"/>
          <w:b/>
          <w:bCs/>
          <w:rtl/>
        </w:rPr>
        <w:t>תוס</w:t>
      </w:r>
      <w:r w:rsidRPr="00E14121">
        <w:rPr>
          <w:rFonts w:ascii="Narkisim" w:hAnsi="Narkisim" w:cs="Narkisim"/>
          <w:rtl/>
        </w:rPr>
        <w:t>' (ד"ה פוסל) בשם רש"י דפוסל קאי אעבדים. [וע"ע תוס' ב"ב קמא:].</w:t>
      </w:r>
    </w:p>
    <w:p w14:paraId="2F3086C3" w14:textId="77777777" w:rsidR="00F64AED" w:rsidRPr="00E14121" w:rsidRDefault="00F64AED" w:rsidP="00F64AED">
      <w:pPr>
        <w:pStyle w:val="a8"/>
        <w:bidi/>
        <w:rPr>
          <w:rFonts w:ascii="Narkisim" w:hAnsi="Narkisim"/>
        </w:rPr>
      </w:pPr>
      <w:r w:rsidRPr="00E14121">
        <w:rPr>
          <w:rFonts w:ascii="Narkisim" w:hAnsi="Narkisim"/>
          <w:rtl/>
        </w:rPr>
        <w:t xml:space="preserve">אך צ"ב במה תלוי זה בזה, דהא דאינו מאכיל את אמו הוא משום דאינו ילוד אינו מאכיל [להחשב שיש לה זרע מכהן], וכן </w:t>
      </w:r>
      <w:r w:rsidRPr="00E14121">
        <w:rPr>
          <w:rFonts w:ascii="Narkisim" w:hAnsi="Narkisim"/>
          <w:b/>
          <w:bCs/>
          <w:rtl/>
        </w:rPr>
        <w:t>תוס</w:t>
      </w:r>
      <w:r w:rsidRPr="00E14121">
        <w:rPr>
          <w:rFonts w:ascii="Narkisim" w:hAnsi="Narkisim"/>
          <w:rtl/>
        </w:rPr>
        <w:t>' (ד"ה למאי) כת' דלא תליא בהדדי. ועוד דלמסקנת הגמ' טעמו של ר' יוסי משום עובר במעי זרה זר הוא. ומבואר דב' הטעמים תליין בהדדי, וכרשב"ם (ע' בסמוך).</w:t>
      </w:r>
    </w:p>
    <w:p w14:paraId="73AEA03B" w14:textId="77777777" w:rsidR="00F64AED" w:rsidRPr="00E14121" w:rsidRDefault="00F64AED" w:rsidP="00F64AED">
      <w:pPr>
        <w:bidi/>
        <w:rPr>
          <w:rFonts w:ascii="Narkisim" w:hAnsi="Narkisim" w:cs="Narkisim"/>
        </w:rPr>
      </w:pPr>
      <w:r w:rsidRPr="00E14121">
        <w:rPr>
          <w:rFonts w:ascii="Narkisim" w:hAnsi="Narkisim" w:cs="Narkisim"/>
          <w:u w:val="single"/>
          <w:rtl/>
        </w:rPr>
        <w:t>איבע"ל טעמא דר' יוסי משום דקסבר עובר במעי זרה זר הוא וכו'.</w:t>
      </w:r>
      <w:r w:rsidRPr="00E14121">
        <w:rPr>
          <w:rFonts w:ascii="Narkisim" w:hAnsi="Narkisim" w:cs="Narkisim"/>
          <w:rtl/>
        </w:rPr>
        <w:t xml:space="preserve"> ובפשוטו נחשב זר לכל דבר, ורק בשעת לידה נתקדש להיות כהן. וה</w:t>
      </w:r>
      <w:r w:rsidRPr="00E14121">
        <w:rPr>
          <w:rFonts w:ascii="Narkisim" w:hAnsi="Narkisim" w:cs="Narkisim"/>
          <w:b/>
          <w:bCs/>
          <w:rtl/>
        </w:rPr>
        <w:t>שמעתתא</w:t>
      </w:r>
      <w:r w:rsidRPr="00E14121">
        <w:rPr>
          <w:rFonts w:ascii="Narkisim" w:hAnsi="Narkisim" w:cs="Narkisim"/>
          <w:rtl/>
        </w:rPr>
        <w:t xml:space="preserve"> (ו טז) כת' דכשלא ידעי' האם הוא כהן, יש חזקת זרות ממעי אמו. ומש"ה ע"א אינו נאמן להעיד שהוא כהן, שמעיד נגד חזקה. דבמעי אמו היה זר</w:t>
      </w:r>
      <w:r w:rsidRPr="00E14121">
        <w:rPr>
          <w:rStyle w:val="ac"/>
          <w:rFonts w:ascii="Narkisim" w:hAnsi="Narkisim" w:cs="Narkisim"/>
          <w:rtl/>
        </w:rPr>
        <w:footnoteReference w:id="4045"/>
      </w:r>
      <w:r w:rsidRPr="00E14121">
        <w:rPr>
          <w:rFonts w:ascii="Narkisim" w:hAnsi="Narkisim" w:cs="Narkisim"/>
          <w:rtl/>
        </w:rPr>
        <w:t>. אבל ה</w:t>
      </w:r>
      <w:r w:rsidRPr="00E14121">
        <w:rPr>
          <w:rFonts w:ascii="Narkisim" w:hAnsi="Narkisim" w:cs="Narkisim"/>
          <w:b/>
          <w:bCs/>
          <w:rtl/>
        </w:rPr>
        <w:t>גרי"ז</w:t>
      </w:r>
      <w:r w:rsidRPr="00E14121">
        <w:rPr>
          <w:rFonts w:ascii="Narkisim" w:hAnsi="Narkisim" w:cs="Narkisim"/>
          <w:rtl/>
        </w:rPr>
        <w:t xml:space="preserve"> (הו' בסמוך) כתב דיש לו רק 'פסול זרות' לתרומה.</w:t>
      </w:r>
    </w:p>
    <w:p w14:paraId="0D45FCE2" w14:textId="77777777" w:rsidR="00F64AED" w:rsidRPr="00E14121" w:rsidRDefault="00F64AED" w:rsidP="00F64AED">
      <w:pPr>
        <w:bidi/>
        <w:rPr>
          <w:rFonts w:ascii="Narkisim" w:hAnsi="Narkisim" w:cs="Narkisim"/>
        </w:rPr>
      </w:pPr>
      <w:r w:rsidRPr="00E14121">
        <w:rPr>
          <w:rFonts w:ascii="Narkisim" w:hAnsi="Narkisim" w:cs="Narkisim"/>
          <w:u w:val="single"/>
          <w:rtl/>
        </w:rPr>
        <w:t>במעי זרה זר הוא</w:t>
      </w:r>
      <w:r w:rsidRPr="00E14121">
        <w:rPr>
          <w:rFonts w:ascii="Narkisim" w:hAnsi="Narkisim" w:cs="Narkisim"/>
          <w:rtl/>
        </w:rPr>
        <w:t>. ה</w:t>
      </w:r>
      <w:r w:rsidRPr="00E14121">
        <w:rPr>
          <w:rFonts w:ascii="Narkisim" w:hAnsi="Narkisim" w:cs="Narkisim"/>
          <w:b/>
          <w:bCs/>
          <w:rtl/>
        </w:rPr>
        <w:t>רוקח</w:t>
      </w:r>
      <w:r w:rsidRPr="00E14121">
        <w:rPr>
          <w:rFonts w:ascii="Narkisim" w:hAnsi="Narkisim" w:cs="Narkisim"/>
          <w:rtl/>
        </w:rPr>
        <w:t xml:space="preserve"> (הו' בש"ך יו"ד שעא א ומג"א שמג ב) כתב דאשת כהן מעוברת מותרת ליכנס לאוהל המת [ולא אמרי' דאסור לעובר הכהן לטמאות</w:t>
      </w:r>
      <w:r w:rsidRPr="00E14121">
        <w:rPr>
          <w:rStyle w:val="ac"/>
          <w:rFonts w:ascii="Narkisim" w:hAnsi="Narkisim" w:cs="Narkisim"/>
          <w:rtl/>
        </w:rPr>
        <w:footnoteReference w:id="4046"/>
      </w:r>
      <w:r w:rsidRPr="00E14121">
        <w:rPr>
          <w:rFonts w:ascii="Narkisim" w:hAnsi="Narkisim" w:cs="Narkisim"/>
          <w:rtl/>
        </w:rPr>
        <w:t>], משום ספק ספיקא</w:t>
      </w:r>
      <w:r w:rsidRPr="00E14121">
        <w:rPr>
          <w:rStyle w:val="ac"/>
          <w:rFonts w:ascii="Narkisim" w:hAnsi="Narkisim" w:cs="Narkisim"/>
          <w:rtl/>
        </w:rPr>
        <w:footnoteReference w:id="4047"/>
      </w:r>
      <w:r w:rsidRPr="00E14121">
        <w:rPr>
          <w:rFonts w:ascii="Narkisim" w:hAnsi="Narkisim" w:cs="Narkisim"/>
          <w:rtl/>
        </w:rPr>
        <w:t xml:space="preserve"> ספק נקיבה וספק מפילות</w:t>
      </w:r>
      <w:r w:rsidRPr="00E14121">
        <w:rPr>
          <w:rStyle w:val="ac"/>
          <w:rFonts w:ascii="Narkisim" w:hAnsi="Narkisim" w:cs="Narkisim"/>
          <w:rtl/>
        </w:rPr>
        <w:footnoteReference w:id="4048"/>
      </w:r>
      <w:r w:rsidRPr="00E14121">
        <w:rPr>
          <w:rFonts w:ascii="Narkisim" w:hAnsi="Narkisim" w:cs="Narkisim"/>
          <w:rtl/>
        </w:rPr>
        <w:t xml:space="preserve">. </w:t>
      </w:r>
      <w:r w:rsidRPr="00E14121">
        <w:rPr>
          <w:rFonts w:ascii="Narkisim" w:hAnsi="Narkisim" w:cs="Narkisim"/>
          <w:szCs w:val="20"/>
          <w:rtl/>
        </w:rPr>
        <w:t>וה</w:t>
      </w:r>
      <w:r w:rsidRPr="00E14121">
        <w:rPr>
          <w:rFonts w:ascii="Narkisim" w:hAnsi="Narkisim" w:cs="Narkisim"/>
          <w:b/>
          <w:bCs/>
          <w:szCs w:val="20"/>
          <w:rtl/>
        </w:rPr>
        <w:t>מג"א</w:t>
      </w:r>
      <w:r w:rsidRPr="00E14121">
        <w:rPr>
          <w:rFonts w:ascii="Narkisim" w:hAnsi="Narkisim" w:cs="Narkisim"/>
          <w:szCs w:val="20"/>
          <w:rtl/>
        </w:rPr>
        <w:t xml:space="preserve"> תמה דהוה טומאה בלועה.</w:t>
      </w:r>
    </w:p>
    <w:p w14:paraId="510330E8"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עונג</w:t>
      </w:r>
      <w:r w:rsidRPr="00E14121">
        <w:rPr>
          <w:rFonts w:ascii="Narkisim" w:hAnsi="Narkisim"/>
          <w:rtl/>
        </w:rPr>
        <w:t xml:space="preserve"> </w:t>
      </w:r>
      <w:r w:rsidRPr="00E14121">
        <w:rPr>
          <w:rFonts w:ascii="Narkisim" w:hAnsi="Narkisim"/>
          <w:b/>
          <w:bCs/>
          <w:rtl/>
        </w:rPr>
        <w:t>יו"ט</w:t>
      </w:r>
      <w:r w:rsidRPr="00E14121">
        <w:rPr>
          <w:rFonts w:ascii="Narkisim" w:hAnsi="Narkisim"/>
          <w:rtl/>
        </w:rPr>
        <w:t xml:space="preserve"> (יו"ד קטו) הקשה דעובר במעי זרה זר הוא ואין איסור לטמאותו. ועוד דאפי' במעי כהנת הוה כחלק מאמו, וכהנת מותרת לטמאות למתים</w:t>
      </w:r>
      <w:r w:rsidRPr="00E14121">
        <w:rPr>
          <w:rStyle w:val="ac"/>
          <w:rFonts w:ascii="Narkisim" w:hAnsi="Narkisim"/>
          <w:rtl/>
        </w:rPr>
        <w:footnoteReference w:id="4049"/>
      </w:r>
      <w:r w:rsidRPr="00E14121">
        <w:rPr>
          <w:rFonts w:ascii="Narkisim" w:hAnsi="Narkisim"/>
          <w:rtl/>
        </w:rPr>
        <w:t>. וה</w:t>
      </w:r>
      <w:r w:rsidRPr="00E14121">
        <w:rPr>
          <w:rFonts w:ascii="Narkisim" w:hAnsi="Narkisim"/>
          <w:b/>
          <w:bCs/>
          <w:rtl/>
        </w:rPr>
        <w:t xml:space="preserve">אחרונים </w:t>
      </w:r>
      <w:r w:rsidRPr="00E14121">
        <w:rPr>
          <w:rFonts w:ascii="Narkisim" w:hAnsi="Narkisim"/>
          <w:rtl/>
        </w:rPr>
        <w:t>(רש"ש, ערול"נ, קוב"ש ח“ב מא) דנו דהא דעובר במעי זרה זר קאי למ"ד עובר ירך אמו</w:t>
      </w:r>
      <w:r w:rsidRPr="00E14121">
        <w:rPr>
          <w:rStyle w:val="ac"/>
          <w:rFonts w:ascii="Narkisim" w:hAnsi="Narkisim"/>
          <w:rtl/>
        </w:rPr>
        <w:footnoteReference w:id="4050"/>
      </w:r>
      <w:r w:rsidRPr="00E14121">
        <w:rPr>
          <w:rFonts w:ascii="Narkisim" w:hAnsi="Narkisim"/>
          <w:rtl/>
        </w:rPr>
        <w:t>.</w:t>
      </w:r>
    </w:p>
    <w:p w14:paraId="0278271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(בגר"ח סטנסל תי) כתב דעובר במעי אמו הוה 'כהן', אלא דיש פסול זרות לענין תרומה, דאף בת כהן הנשואה לישראל אסורה מטעם זרות, ואף דהוה כהנת לשאר דיני מתנות כהונה.</w:t>
      </w:r>
    </w:p>
    <w:p w14:paraId="567FC1DE" w14:textId="77777777" w:rsidR="00F64AED" w:rsidRPr="00E14121" w:rsidRDefault="00F64AED" w:rsidP="00F64AED">
      <w:pPr>
        <w:bidi/>
        <w:rPr>
          <w:rFonts w:ascii="Narkisim" w:hAnsi="Narkisim" w:cs="Narkisim"/>
        </w:rPr>
      </w:pPr>
      <w:r w:rsidRPr="00E14121">
        <w:rPr>
          <w:rFonts w:ascii="Narkisim" w:hAnsi="Narkisim" w:cs="Narkisim"/>
          <w:u w:val="single"/>
          <w:rtl/>
        </w:rPr>
        <w:t>או דילמא ילוד מאכיל וכו'</w:t>
      </w:r>
      <w:r w:rsidRPr="00E14121">
        <w:rPr>
          <w:rFonts w:ascii="Narkisim" w:hAnsi="Narkisim" w:cs="Narkisim"/>
          <w:rtl/>
        </w:rPr>
        <w:t xml:space="preserve">. </w:t>
      </w:r>
      <w:r w:rsidRPr="00E14121">
        <w:rPr>
          <w:rFonts w:ascii="Narkisim" w:hAnsi="Narkisim" w:cs="Narkisim"/>
          <w:b/>
          <w:bCs/>
          <w:rtl/>
        </w:rPr>
        <w:t>רשב"ם</w:t>
      </w:r>
      <w:r w:rsidRPr="00E14121">
        <w:rPr>
          <w:rFonts w:ascii="Narkisim" w:hAnsi="Narkisim" w:cs="Narkisim"/>
          <w:rtl/>
        </w:rPr>
        <w:t xml:space="preserve"> (ב"ב קמא: ד"ה דתנן) פי' [דברי ר' יוסי] דכתיב יליד ביתו יאכלו בלחמו אבל עובר לא, דס"ל לר"י דעובר במעי זרה זר הוא. ועירב את ב' הטעמים. ומשמע דהסברא דילוד מאכיל ילפי' מהך קרא. </w:t>
      </w:r>
      <w:r w:rsidRPr="00E14121">
        <w:rPr>
          <w:rFonts w:ascii="Narkisim" w:hAnsi="Narkisim" w:cs="Narkisim"/>
          <w:sz w:val="20"/>
          <w:szCs w:val="20"/>
          <w:rtl/>
        </w:rPr>
        <w:t>וה</w:t>
      </w:r>
      <w:r w:rsidRPr="00E14121">
        <w:rPr>
          <w:rFonts w:ascii="Narkisim" w:hAnsi="Narkisim" w:cs="Narkisim"/>
          <w:b/>
          <w:bCs/>
          <w:sz w:val="20"/>
          <w:szCs w:val="20"/>
          <w:rtl/>
        </w:rPr>
        <w:t xml:space="preserve">אחרונים </w:t>
      </w:r>
      <w:r w:rsidRPr="00E14121">
        <w:rPr>
          <w:rFonts w:ascii="Narkisim" w:hAnsi="Narkisim" w:cs="Narkisim"/>
          <w:sz w:val="20"/>
          <w:szCs w:val="20"/>
          <w:rtl/>
        </w:rPr>
        <w:t xml:space="preserve">הקשו א"כ נילף נמי דעובר במעי כהנת אינו מאכיל. </w:t>
      </w:r>
      <w:r w:rsidRPr="00E14121">
        <w:rPr>
          <w:rFonts w:ascii="Narkisim" w:hAnsi="Narkisim" w:cs="Narkisim"/>
          <w:rtl/>
        </w:rPr>
        <w:t>וה</w:t>
      </w:r>
      <w:r w:rsidRPr="00E14121">
        <w:rPr>
          <w:rFonts w:ascii="Narkisim" w:hAnsi="Narkisim" w:cs="Narkisim"/>
          <w:b/>
          <w:bCs/>
          <w:rtl/>
        </w:rPr>
        <w:t>רש"ש</w:t>
      </w:r>
      <w:r w:rsidRPr="00E14121">
        <w:rPr>
          <w:rFonts w:ascii="Narkisim" w:hAnsi="Narkisim" w:cs="Narkisim"/>
          <w:rtl/>
        </w:rPr>
        <w:t xml:space="preserve"> (כאן) ביאר דהעובר במעי אמו עדיין הוה כא' מאבריה [דעובר ירך אמו], ואינו מתייחס אחרי אביו. ומש"ה אינו מאכיל.</w:t>
      </w:r>
    </w:p>
    <w:p w14:paraId="7E3D43CE" w14:textId="77777777" w:rsidR="00F64AED" w:rsidRPr="00E14121" w:rsidRDefault="00F64AED" w:rsidP="00F64AED">
      <w:pPr>
        <w:pStyle w:val="aa"/>
        <w:bidi/>
        <w:rPr>
          <w:rFonts w:ascii="Narkisim" w:hAnsi="Narkisim"/>
        </w:rPr>
      </w:pPr>
      <w:r w:rsidRPr="00E14121">
        <w:rPr>
          <w:rFonts w:ascii="Narkisim" w:hAnsi="Narkisim"/>
          <w:u w:val="single"/>
          <w:rtl/>
        </w:rPr>
        <w:t>למאי נפק"מ לעובר במעי כהנת.</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בת כהן מעוברת מכהן וכו'. ויש שהעירו דאף בת ישראל כשיש לה בנים מכהן, ויש לה אף עובר זה. נימא דע"י הבנים מכהן הוה ככהנת, והעובר מאכיל בעבדים [ומפורש בברייתא בסמוך דאינו מאכיל]</w:t>
      </w:r>
      <w:r w:rsidRPr="00E14121">
        <w:rPr>
          <w:rStyle w:val="ac"/>
          <w:rFonts w:ascii="Narkisim" w:hAnsi="Narkisim"/>
          <w:rtl/>
        </w:rPr>
        <w:footnoteReference w:id="4051"/>
      </w:r>
      <w:r w:rsidRPr="00E14121">
        <w:rPr>
          <w:rFonts w:ascii="Narkisim" w:hAnsi="Narkisim"/>
          <w:rtl/>
        </w:rPr>
        <w:t>. ולכאורה מבואר שהאוכלת משום בנה לא נחשבת כהנת לענין העובר</w:t>
      </w:r>
      <w:r w:rsidRPr="00E14121">
        <w:rPr>
          <w:rStyle w:val="ac"/>
          <w:rFonts w:ascii="Narkisim" w:hAnsi="Narkisim"/>
          <w:rtl/>
        </w:rPr>
        <w:footnoteReference w:id="4052"/>
      </w:r>
      <w:r w:rsidRPr="00E14121">
        <w:rPr>
          <w:rFonts w:ascii="Narkisim" w:hAnsi="Narkisim"/>
          <w:rtl/>
        </w:rPr>
        <w:t>.</w:t>
      </w:r>
    </w:p>
    <w:p w14:paraId="0F5F24BC" w14:textId="77777777" w:rsidR="00F64AED" w:rsidRPr="00E14121" w:rsidRDefault="00F64AED" w:rsidP="00F64AED">
      <w:pPr>
        <w:bidi/>
        <w:rPr>
          <w:rFonts w:ascii="Narkisim" w:hAnsi="Narkisim" w:cs="Narkisim"/>
        </w:rPr>
      </w:pPr>
      <w:r w:rsidRPr="00E14121">
        <w:rPr>
          <w:rFonts w:ascii="Narkisim" w:hAnsi="Narkisim" w:cs="Narkisim"/>
          <w:u w:val="single"/>
          <w:rtl/>
        </w:rPr>
        <w:t>תוד"ה למאי נפק"מ.</w:t>
      </w:r>
      <w:r w:rsidRPr="00E14121">
        <w:rPr>
          <w:rFonts w:ascii="Narkisim" w:hAnsi="Narkisim" w:cs="Narkisim"/>
          <w:rtl/>
        </w:rPr>
        <w:t xml:space="preserve"> אע"ג דע"כ דרשי' ההיא דרשא דילוד מאכיל (בסוף הע"ב) דבת ישראל לכהן והניחה מעוברת וכו' דאיכא למימר דוקא אמו דכתב בה קרא וכו'. יל"פ דלענין זרע מאכיל את אמו צריך שיהא זרע חשוב [שנולד כבר]. אבל הא דכהן מאכיל את עבדיו סגי במה </w:t>
      </w:r>
      <w:r w:rsidRPr="00E14121">
        <w:rPr>
          <w:rFonts w:ascii="Narkisim" w:hAnsi="Narkisim" w:cs="Narkisim"/>
          <w:rtl/>
        </w:rPr>
        <w:lastRenderedPageBreak/>
        <w:t>שהוא כהן, ואף עובר שעדיין לא נולד.</w:t>
      </w:r>
    </w:p>
    <w:p w14:paraId="5010ED2E"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מאירי</w:t>
      </w:r>
      <w:r w:rsidRPr="00E14121">
        <w:rPr>
          <w:rFonts w:ascii="Narkisim" w:hAnsi="Narkisim" w:cs="Narkisim"/>
          <w:rtl/>
        </w:rPr>
        <w:t xml:space="preserve"> כת' דסברת ר' יוסי כיון דיש ילוד אחר, אמו אוכלת מחמתו. והעובר </w:t>
      </w:r>
      <w:r w:rsidRPr="00E14121">
        <w:rPr>
          <w:rFonts w:ascii="Narkisim" w:hAnsi="Narkisim" w:cs="Narkisim"/>
          <w:sz w:val="20"/>
          <w:szCs w:val="20"/>
          <w:rtl/>
        </w:rPr>
        <w:t>[במעי כהנת]</w:t>
      </w:r>
      <w:r w:rsidRPr="00E14121">
        <w:rPr>
          <w:rFonts w:ascii="Narkisim" w:hAnsi="Narkisim" w:cs="Narkisim"/>
          <w:rtl/>
        </w:rPr>
        <w:t xml:space="preserve"> אינו פוסל, ודיו במה שאינו מאכיל</w:t>
      </w:r>
      <w:r w:rsidRPr="00E14121">
        <w:rPr>
          <w:rStyle w:val="ac"/>
          <w:rFonts w:ascii="Narkisim" w:hAnsi="Narkisim" w:cs="Narkisim"/>
          <w:rtl/>
        </w:rPr>
        <w:footnoteReference w:id="4053"/>
      </w:r>
      <w:r w:rsidRPr="00E14121">
        <w:rPr>
          <w:rFonts w:ascii="Narkisim" w:hAnsi="Narkisim" w:cs="Narkisim"/>
          <w:rtl/>
        </w:rPr>
        <w:t xml:space="preserve">. </w:t>
      </w:r>
      <w:r w:rsidRPr="00E14121">
        <w:rPr>
          <w:rFonts w:ascii="Narkisim" w:hAnsi="Narkisim" w:cs="Narkisim"/>
          <w:sz w:val="20"/>
          <w:szCs w:val="20"/>
          <w:rtl/>
        </w:rPr>
        <w:t>[ומבואר דהוה אותו גדר אינו ילוד אינו מאכיל].</w:t>
      </w:r>
    </w:p>
    <w:p w14:paraId="3467CFFC" w14:textId="77777777" w:rsidR="00F64AED" w:rsidRPr="00E14121" w:rsidRDefault="00F64AED" w:rsidP="00F64AED">
      <w:pPr>
        <w:bidi/>
        <w:rPr>
          <w:rFonts w:ascii="Narkisim" w:hAnsi="Narkisim" w:cs="Narkisim"/>
        </w:rPr>
      </w:pPr>
      <w:r w:rsidRPr="00E14121">
        <w:rPr>
          <w:rFonts w:ascii="Narkisim" w:hAnsi="Narkisim" w:cs="Narkisim"/>
          <w:u w:val="single"/>
          <w:rtl/>
        </w:rPr>
        <w:t>בא”ד דאפי' זר מאכיל את אמו, ואפי' ממזר</w:t>
      </w:r>
      <w:r w:rsidRPr="00E14121">
        <w:rPr>
          <w:rStyle w:val="ac"/>
          <w:rFonts w:ascii="Narkisim" w:hAnsi="Narkisim" w:cs="Narkisim"/>
          <w:u w:val="single"/>
          <w:rtl/>
        </w:rPr>
        <w:footnoteReference w:id="4054"/>
      </w:r>
      <w:r w:rsidRPr="00E14121">
        <w:rPr>
          <w:rFonts w:ascii="Narkisim" w:hAnsi="Narkisim" w:cs="Narkisim"/>
          <w:u w:val="single"/>
          <w:rtl/>
        </w:rPr>
        <w:t xml:space="preserve"> וכו'.</w:t>
      </w:r>
      <w:r w:rsidRPr="00E14121">
        <w:rPr>
          <w:rFonts w:ascii="Narkisim" w:hAnsi="Narkisim" w:cs="Narkisim"/>
          <w:rtl/>
        </w:rPr>
        <w:t xml:space="preserve"> </w:t>
      </w:r>
      <w:r w:rsidRPr="00E14121">
        <w:rPr>
          <w:rFonts w:ascii="Narkisim" w:hAnsi="Narkisim" w:cs="Narkisim"/>
          <w:szCs w:val="20"/>
          <w:rtl/>
        </w:rPr>
        <w:t>דכל שיש זרע מכהן מאכיל, ואף אי הזרע הוא 'זר'. וע”כ דבמשנה (בע”ב) כו”ע מודו דהטעם משום דאינו יליד אינו מאכיל.</w:t>
      </w:r>
    </w:p>
    <w:p w14:paraId="0DA2BAF6"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 xml:space="preserve">נמוק"י </w:t>
      </w:r>
      <w:r w:rsidRPr="00E14121">
        <w:rPr>
          <w:rFonts w:ascii="Narkisim" w:hAnsi="Narkisim"/>
          <w:rtl/>
        </w:rPr>
        <w:t>(במשנה סז:) כת' אף שם הטעם דעובר במעי זרה זר הוא. ו</w:t>
      </w:r>
      <w:r w:rsidRPr="00E14121">
        <w:rPr>
          <w:rFonts w:ascii="Narkisim" w:hAnsi="Narkisim"/>
          <w:b/>
          <w:bCs/>
          <w:rtl/>
        </w:rPr>
        <w:t>רע"א</w:t>
      </w:r>
      <w:r w:rsidRPr="00E14121">
        <w:rPr>
          <w:rFonts w:ascii="Narkisim" w:hAnsi="Narkisim"/>
          <w:rtl/>
        </w:rPr>
        <w:t xml:space="preserve"> תמה דאף ממזר מאכיל. [ועע"ש]. וה</w:t>
      </w:r>
      <w:r w:rsidRPr="00E14121">
        <w:rPr>
          <w:rFonts w:ascii="Narkisim" w:hAnsi="Narkisim"/>
          <w:b/>
          <w:bCs/>
          <w:rtl/>
        </w:rPr>
        <w:t>רש"ש</w:t>
      </w:r>
      <w:r w:rsidRPr="00E14121">
        <w:rPr>
          <w:rFonts w:ascii="Narkisim" w:hAnsi="Narkisim"/>
          <w:rtl/>
        </w:rPr>
        <w:t xml:space="preserve"> כת' דהיסוד דעובר במעי זרה הוא דבעודו עובר אינו מתייחס אחרי אביו. ומש"ה אינו מאכיל את אמו, דמתייחס אחריה. [וכן בסוגיין אינו מאכיל את העבדים למ”ד במעי זרה זר</w:t>
      </w:r>
      <w:r w:rsidRPr="00E14121">
        <w:rPr>
          <w:rStyle w:val="ac"/>
          <w:rFonts w:ascii="Narkisim" w:hAnsi="Narkisim"/>
          <w:rtl/>
        </w:rPr>
        <w:footnoteReference w:id="4055"/>
      </w:r>
      <w:r w:rsidRPr="00E14121">
        <w:rPr>
          <w:rFonts w:ascii="Narkisim" w:hAnsi="Narkisim"/>
          <w:rtl/>
        </w:rPr>
        <w:t>].</w:t>
      </w:r>
    </w:p>
    <w:p w14:paraId="36EB1CA0" w14:textId="77777777" w:rsidR="00F64AED" w:rsidRPr="00E14121" w:rsidRDefault="00F64AED" w:rsidP="00F64AED">
      <w:pPr>
        <w:bidi/>
        <w:rPr>
          <w:rFonts w:ascii="Narkisim" w:hAnsi="Narkisim" w:cs="Narkisim"/>
        </w:rPr>
      </w:pPr>
      <w:r w:rsidRPr="00E14121">
        <w:rPr>
          <w:rFonts w:ascii="Narkisim" w:hAnsi="Narkisim" w:cs="Narkisim"/>
          <w:u w:val="single"/>
          <w:rtl/>
        </w:rPr>
        <w:t>אבל חכמים אומרים אוכלים משום בנים וכו' משום משפחה כולה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דעובר ל"ל זכיה </w:t>
      </w:r>
      <w:r w:rsidRPr="00E14121">
        <w:rPr>
          <w:rFonts w:ascii="Narkisim" w:hAnsi="Narkisim" w:cs="Narkisim"/>
          <w:sz w:val="20"/>
          <w:szCs w:val="20"/>
          <w:rtl/>
        </w:rPr>
        <w:t>[ואפי' בירושה דממילא]</w:t>
      </w:r>
      <w:r w:rsidRPr="00E14121">
        <w:rPr>
          <w:rFonts w:ascii="Narkisim" w:hAnsi="Narkisim" w:cs="Narkisim"/>
          <w:rtl/>
        </w:rPr>
        <w:t>. ומש"ה כל זמן שלא נולד זוכה הקרוב וכו' ואוכלים מחמת היורש הרחוק יותר.</w:t>
      </w:r>
    </w:p>
    <w:p w14:paraId="74B5F4DF" w14:textId="77777777" w:rsidR="00F64AED" w:rsidRPr="00E14121" w:rsidRDefault="00F64AED" w:rsidP="00F64AED">
      <w:pPr>
        <w:bidi/>
        <w:rPr>
          <w:rFonts w:ascii="Narkisim" w:hAnsi="Narkisim" w:cs="Narkisim"/>
        </w:rPr>
      </w:pPr>
      <w:r w:rsidRPr="00E14121">
        <w:rPr>
          <w:rFonts w:ascii="Narkisim" w:hAnsi="Narkisim" w:cs="Narkisim"/>
          <w:rtl/>
        </w:rPr>
        <w:t xml:space="preserve">ומבואר דהיורש המאוחר זוכה כל זמן שלא נולד. ואפ”ה משעה שנולד הבן זוכה בנכסים </w:t>
      </w:r>
      <w:r w:rsidRPr="00E14121">
        <w:rPr>
          <w:rFonts w:ascii="Narkisim" w:hAnsi="Narkisim" w:cs="Narkisim"/>
          <w:sz w:val="20"/>
          <w:szCs w:val="20"/>
          <w:rtl/>
        </w:rPr>
        <w:t>[מכאן ולהבא],</w:t>
      </w:r>
      <w:r w:rsidRPr="00E14121">
        <w:rPr>
          <w:rFonts w:ascii="Narkisim" w:hAnsi="Narkisim" w:cs="Narkisim"/>
          <w:rtl/>
        </w:rPr>
        <w:t xml:space="preserve"> ונפקע ירושת המשפחה</w:t>
      </w:r>
      <w:r w:rsidRPr="00E14121">
        <w:rPr>
          <w:rStyle w:val="ac"/>
          <w:rFonts w:ascii="Narkisim" w:hAnsi="Narkisim" w:cs="Narkisim"/>
          <w:rtl/>
        </w:rPr>
        <w:footnoteReference w:id="4056"/>
      </w:r>
      <w:r w:rsidRPr="00E14121">
        <w:rPr>
          <w:rFonts w:ascii="Narkisim" w:hAnsi="Narkisim" w:cs="Narkisim"/>
          <w:rtl/>
        </w:rPr>
        <w:t>. ועוד מצאנו (ב"ב קמב.) בגר שמת והניח אשה מעוברת [למ”ד עובר אינו יורש], כשנולד מוציא מיד הזוכים [ואף שזכו בתורת הפקר]</w:t>
      </w:r>
      <w:r w:rsidRPr="00E14121">
        <w:rPr>
          <w:rStyle w:val="ac"/>
          <w:rFonts w:ascii="Narkisim" w:hAnsi="Narkisim" w:cs="Narkisim"/>
          <w:rtl/>
        </w:rPr>
        <w:footnoteReference w:id="4057"/>
      </w:r>
      <w:r w:rsidRPr="00E14121">
        <w:rPr>
          <w:rFonts w:ascii="Narkisim" w:hAnsi="Narkisim" w:cs="Narkisim"/>
          <w:rtl/>
        </w:rPr>
        <w:t>.</w:t>
      </w:r>
    </w:p>
    <w:p w14:paraId="03800B8C"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דנו האיך זוכה כשנולד, ואמאי לא אמרי' שכבר פקע זכותו מהנכסים</w:t>
      </w:r>
      <w:r w:rsidRPr="00E14121">
        <w:rPr>
          <w:rStyle w:val="ac"/>
          <w:rFonts w:ascii="Narkisim" w:hAnsi="Narkisim"/>
          <w:rtl/>
        </w:rPr>
        <w:footnoteReference w:id="4058"/>
      </w:r>
      <w:r w:rsidRPr="00E14121">
        <w:rPr>
          <w:rFonts w:ascii="Narkisim" w:hAnsi="Narkisim"/>
          <w:rtl/>
        </w:rPr>
        <w:t>. וצ"ל דמכאן ולהבא יש לו זכות עדיף, ומש"ה מוציא מיד היורשים.</w:t>
      </w:r>
    </w:p>
    <w:p w14:paraId="6247A923"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(מ יג) הביא דמבואר דהיכא שנעשה יורש מוקדם עי”ז מוציא את הנכסים מיד יורש מאוחר</w:t>
      </w:r>
      <w:r w:rsidRPr="00E14121">
        <w:rPr>
          <w:rStyle w:val="ac"/>
          <w:rFonts w:ascii="Narkisim" w:hAnsi="Narkisim"/>
          <w:rtl/>
        </w:rPr>
        <w:footnoteReference w:id="4059"/>
      </w:r>
      <w:r w:rsidRPr="00E14121">
        <w:rPr>
          <w:rFonts w:ascii="Narkisim" w:hAnsi="Narkisim"/>
          <w:rtl/>
        </w:rPr>
        <w:t>. וכת' דלמש"כ ה</w:t>
      </w:r>
      <w:r w:rsidRPr="00E14121">
        <w:rPr>
          <w:rFonts w:ascii="Narkisim" w:hAnsi="Narkisim"/>
          <w:b/>
          <w:bCs/>
          <w:rtl/>
        </w:rPr>
        <w:t>גר"ח</w:t>
      </w:r>
      <w:r w:rsidRPr="00E14121">
        <w:rPr>
          <w:rFonts w:ascii="Narkisim" w:hAnsi="Narkisim"/>
          <w:rtl/>
        </w:rPr>
        <w:t xml:space="preserve"> (הל' תרומות הו' בסמוך) ניחא טפי דאף בעודו עובר יש 'שם יורש' [דבהלכות נחלות אין מיעוט על עובר], אלא דבפועל אינו יכול לזכות בנכסים [דלא שייך גביו זכות ממון בפועל]. אך ה</w:t>
      </w:r>
      <w:r w:rsidRPr="00E14121">
        <w:rPr>
          <w:rFonts w:ascii="Narkisim" w:hAnsi="Narkisim"/>
          <w:b/>
          <w:bCs/>
          <w:rtl/>
        </w:rPr>
        <w:t>קובה"ע</w:t>
      </w:r>
      <w:r w:rsidRPr="00E14121">
        <w:rPr>
          <w:rFonts w:ascii="Narkisim" w:hAnsi="Narkisim"/>
          <w:rtl/>
        </w:rPr>
        <w:t xml:space="preserve"> הקשה דבמת קודם מ' יום הוה מיא בעלמא, או קודם שנקלט הזרע, ואפ”ה כשנולד זוכה בירושתו מכאן ולהבא</w:t>
      </w:r>
      <w:r w:rsidRPr="00E14121">
        <w:rPr>
          <w:rStyle w:val="ac"/>
          <w:rFonts w:ascii="Narkisim" w:hAnsi="Narkisim"/>
          <w:rtl/>
        </w:rPr>
        <w:footnoteReference w:id="4060"/>
      </w:r>
      <w:r w:rsidRPr="00E14121">
        <w:rPr>
          <w:rFonts w:ascii="Narkisim" w:hAnsi="Narkisim"/>
          <w:rtl/>
        </w:rPr>
        <w:t>.</w:t>
      </w:r>
    </w:p>
    <w:p w14:paraId="72309527"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וה</w:t>
      </w:r>
      <w:r w:rsidRPr="00E14121">
        <w:rPr>
          <w:rFonts w:ascii="Narkisim" w:hAnsi="Narkisim" w:cs="Narkisim"/>
          <w:b/>
          <w:bCs/>
          <w:rtl/>
        </w:rPr>
        <w:t>שו"ת הרשב"א</w:t>
      </w:r>
      <w:r w:rsidRPr="00E14121">
        <w:rPr>
          <w:rFonts w:ascii="Narkisim" w:hAnsi="Narkisim" w:cs="Narkisim"/>
          <w:rtl/>
        </w:rPr>
        <w:t xml:space="preserve"> (</w:t>
      </w:r>
      <w:r w:rsidRPr="00E14121">
        <w:rPr>
          <w:rFonts w:ascii="Narkisim" w:hAnsi="Narkisim" w:cs="Narkisim"/>
          <w:szCs w:val="20"/>
          <w:rtl/>
        </w:rPr>
        <w:t>ב שעא, הו' בב”י חו”מ רפט</w:t>
      </w:r>
      <w:r w:rsidRPr="00E14121">
        <w:rPr>
          <w:rFonts w:ascii="Narkisim" w:hAnsi="Narkisim" w:cs="Narkisim"/>
          <w:rtl/>
        </w:rPr>
        <w:t>) כת' דהאחים אינם רשאים לחלק את הנכסים וליטול חלקו של עובר</w:t>
      </w:r>
      <w:r w:rsidRPr="00E14121">
        <w:rPr>
          <w:rStyle w:val="ac"/>
          <w:rFonts w:ascii="Narkisim" w:hAnsi="Narkisim" w:cs="Narkisim"/>
          <w:rtl/>
        </w:rPr>
        <w:footnoteReference w:id="4061"/>
      </w:r>
      <w:r w:rsidRPr="00E14121">
        <w:rPr>
          <w:rFonts w:ascii="Narkisim" w:hAnsi="Narkisim" w:cs="Narkisim"/>
          <w:rtl/>
        </w:rPr>
        <w:t>. ואף דקי"ל כרבנן דאין זכיה לעובר, והעבדים אוכלים בתרומה משום האחים והמשפחה. מ"מ מעמידים אפוטרופוס על הנכסים שלא יטלו ויפסידו. דאל"כ לקתה מידת הדין, דילמא שמטי ואכלי כל חלקו של זה</w:t>
      </w:r>
      <w:r w:rsidRPr="00E14121">
        <w:rPr>
          <w:rStyle w:val="ac"/>
          <w:rFonts w:ascii="Narkisim" w:hAnsi="Narkisim" w:cs="Narkisim"/>
          <w:rtl/>
        </w:rPr>
        <w:footnoteReference w:id="4062"/>
      </w:r>
      <w:r w:rsidRPr="00E14121">
        <w:rPr>
          <w:rFonts w:ascii="Narkisim" w:hAnsi="Narkisim" w:cs="Narkisim"/>
          <w:rtl/>
        </w:rPr>
        <w:t>.</w:t>
      </w:r>
    </w:p>
    <w:p w14:paraId="4CD6F985" w14:textId="77777777" w:rsidR="00F64AED" w:rsidRPr="00E14121" w:rsidRDefault="00F64AED" w:rsidP="00F64AED">
      <w:pPr>
        <w:pStyle w:val="a7"/>
        <w:bidi/>
        <w:rPr>
          <w:rFonts w:ascii="Narkisim" w:hAnsi="Narkisim"/>
        </w:rPr>
      </w:pPr>
      <w:r w:rsidRPr="00E14121">
        <w:rPr>
          <w:rFonts w:ascii="Narkisim" w:hAnsi="Narkisim"/>
          <w:rtl/>
        </w:rPr>
        <w:t xml:space="preserve">וצ"ב הגדר בזה, דכיון דהנכסים הוה של שאר יורשים [עד שיוולד זה], אמאי חששו דשמטי </w:t>
      </w:r>
      <w:r w:rsidRPr="00E14121">
        <w:rPr>
          <w:rFonts w:ascii="Narkisim" w:hAnsi="Narkisim"/>
          <w:rtl/>
        </w:rPr>
        <w:lastRenderedPageBreak/>
        <w:t xml:space="preserve">ואכלי. ואפשר דהוה תקנת חכמים שלא להפסיד חלק הראוי לזה. ותקנו להעמיד אפוטרופוס שלא להפסידו. </w:t>
      </w:r>
      <w:r w:rsidRPr="00E14121">
        <w:rPr>
          <w:rFonts w:ascii="Narkisim" w:hAnsi="Narkisim"/>
          <w:sz w:val="20"/>
          <w:szCs w:val="20"/>
          <w:rtl/>
        </w:rPr>
        <w:t>[וכן נקט ה</w:t>
      </w:r>
      <w:r w:rsidRPr="00E14121">
        <w:rPr>
          <w:rFonts w:ascii="Narkisim" w:hAnsi="Narkisim"/>
          <w:b/>
          <w:bCs/>
          <w:sz w:val="20"/>
          <w:szCs w:val="20"/>
          <w:rtl/>
        </w:rPr>
        <w:t>קצות</w:t>
      </w:r>
      <w:r w:rsidRPr="00E14121">
        <w:rPr>
          <w:rFonts w:ascii="Narkisim" w:hAnsi="Narkisim"/>
          <w:sz w:val="20"/>
          <w:szCs w:val="20"/>
          <w:rtl/>
        </w:rPr>
        <w:t xml:space="preserve"> במשובב קי</w:t>
      </w:r>
      <w:r w:rsidRPr="00E14121">
        <w:rPr>
          <w:rStyle w:val="ac"/>
          <w:rFonts w:ascii="Narkisim" w:hAnsi="Narkisim"/>
          <w:sz w:val="20"/>
          <w:szCs w:val="20"/>
          <w:rtl/>
        </w:rPr>
        <w:footnoteReference w:id="4063"/>
      </w:r>
      <w:r w:rsidRPr="00E14121">
        <w:rPr>
          <w:rFonts w:ascii="Narkisim" w:hAnsi="Narkisim"/>
          <w:sz w:val="20"/>
          <w:szCs w:val="20"/>
          <w:rtl/>
        </w:rPr>
        <w:t>]</w:t>
      </w:r>
      <w:r w:rsidRPr="00E14121">
        <w:rPr>
          <w:rFonts w:ascii="Narkisim" w:hAnsi="Narkisim"/>
          <w:rtl/>
        </w:rPr>
        <w:t>. אבל ה</w:t>
      </w:r>
      <w:r w:rsidRPr="00E14121">
        <w:rPr>
          <w:rFonts w:ascii="Narkisim" w:hAnsi="Narkisim"/>
          <w:b/>
          <w:bCs/>
          <w:rtl/>
        </w:rPr>
        <w:t>נתיבות</w:t>
      </w:r>
      <w:r w:rsidRPr="00E14121">
        <w:rPr>
          <w:rFonts w:ascii="Narkisim" w:hAnsi="Narkisim"/>
          <w:rtl/>
        </w:rPr>
        <w:t xml:space="preserve"> (קי א) כתב דחלק העובר דמיתלא תלי</w:t>
      </w:r>
      <w:r w:rsidRPr="00E14121">
        <w:rPr>
          <w:rFonts w:ascii="Narkisim" w:hAnsi="Narkisim"/>
          <w:sz w:val="20"/>
          <w:szCs w:val="20"/>
          <w:rtl/>
        </w:rPr>
        <w:t xml:space="preserve"> [והאחים אינם זוכים בו</w:t>
      </w:r>
      <w:r w:rsidRPr="00E14121">
        <w:rPr>
          <w:rStyle w:val="ac"/>
          <w:rFonts w:ascii="Narkisim" w:hAnsi="Narkisim"/>
          <w:sz w:val="20"/>
          <w:szCs w:val="20"/>
          <w:rtl/>
        </w:rPr>
        <w:footnoteReference w:id="4064"/>
      </w:r>
      <w:r w:rsidRPr="00E14121">
        <w:rPr>
          <w:rFonts w:ascii="Narkisim" w:hAnsi="Narkisim"/>
          <w:sz w:val="20"/>
          <w:szCs w:val="20"/>
          <w:rtl/>
        </w:rPr>
        <w:t>]</w:t>
      </w:r>
      <w:r w:rsidRPr="00E14121">
        <w:rPr>
          <w:rFonts w:ascii="Narkisim" w:hAnsi="Narkisim"/>
          <w:rtl/>
        </w:rPr>
        <w:t>, אלא דאינו מקלקל היתר אכילה בתרומה. דכיון שהאחים הוה שותפין בחלק מאכילים בתרומה, כיון שעדיין אינו משועבד לאחר</w:t>
      </w:r>
      <w:r w:rsidRPr="00E14121">
        <w:rPr>
          <w:rStyle w:val="ac"/>
          <w:rFonts w:ascii="Narkisim" w:hAnsi="Narkisim"/>
          <w:rtl/>
        </w:rPr>
        <w:footnoteReference w:id="4065"/>
      </w:r>
      <w:r w:rsidRPr="00E14121">
        <w:rPr>
          <w:rFonts w:ascii="Narkisim" w:hAnsi="Narkisim"/>
          <w:rtl/>
        </w:rPr>
        <w:t>. וה</w:t>
      </w:r>
      <w:r w:rsidRPr="00E14121">
        <w:rPr>
          <w:rFonts w:ascii="Narkisim" w:hAnsi="Narkisim"/>
          <w:b/>
          <w:bCs/>
          <w:rtl/>
        </w:rPr>
        <w:t>משובב</w:t>
      </w:r>
      <w:r w:rsidRPr="00E14121">
        <w:rPr>
          <w:rFonts w:ascii="Narkisim" w:hAnsi="Narkisim"/>
          <w:rtl/>
        </w:rPr>
        <w:t xml:space="preserve"> תמה דשמואל אמר להדיא דכשאין בנים אוכלים משום כל בני המשפחה, ואף שאין להם חלק בזה כלל. </w:t>
      </w:r>
      <w:r w:rsidRPr="00E14121">
        <w:rPr>
          <w:rFonts w:ascii="Narkisim" w:hAnsi="Narkisim"/>
          <w:sz w:val="20"/>
          <w:szCs w:val="20"/>
          <w:rtl/>
        </w:rPr>
        <w:t>וכת' דדברי הנתיבות הוה דוקא לדעת רב ששת (נדה מד., הו' בתוס') דמחלק בין היכא דיש אחים או לא. [וע"ע בסמוך דנקטו האחרונים דכ"ד הרמב"ם</w:t>
      </w:r>
      <w:r w:rsidRPr="00E14121">
        <w:rPr>
          <w:rStyle w:val="ac"/>
          <w:rFonts w:ascii="Narkisim" w:hAnsi="Narkisim"/>
          <w:sz w:val="20"/>
          <w:szCs w:val="20"/>
          <w:rtl/>
        </w:rPr>
        <w:footnoteReference w:id="4066"/>
      </w:r>
      <w:r w:rsidRPr="00E14121">
        <w:rPr>
          <w:rFonts w:ascii="Narkisim" w:hAnsi="Narkisim"/>
          <w:sz w:val="20"/>
          <w:szCs w:val="20"/>
          <w:rtl/>
        </w:rPr>
        <w:t>]</w:t>
      </w:r>
      <w:r w:rsidRPr="00E14121">
        <w:rPr>
          <w:rFonts w:ascii="Narkisim" w:hAnsi="Narkisim"/>
          <w:rtl/>
        </w:rPr>
        <w:t>.</w:t>
      </w:r>
    </w:p>
    <w:p w14:paraId="6E2F42FF" w14:textId="77777777" w:rsidR="00F64AED" w:rsidRPr="00E14121" w:rsidRDefault="00F64AED" w:rsidP="00F64AED">
      <w:pPr>
        <w:pStyle w:val="aa"/>
        <w:bidi/>
        <w:rPr>
          <w:rFonts w:ascii="Narkisim" w:hAnsi="Narkisim"/>
        </w:rPr>
      </w:pPr>
      <w:r w:rsidRPr="00E14121">
        <w:rPr>
          <w:rFonts w:ascii="Narkisim" w:hAnsi="Narkisim"/>
          <w:u w:val="single"/>
          <w:rtl/>
        </w:rPr>
        <w:t>רש"י ד"ה בשביל משפחה.</w:t>
      </w:r>
      <w:r w:rsidRPr="00E14121">
        <w:rPr>
          <w:rFonts w:ascii="Narkisim" w:hAnsi="Narkisim"/>
          <w:rtl/>
        </w:rPr>
        <w:t xml:space="preserve"> דאין א' מישראל שאין לו יורשין. וצ"ב דפעמים שזר יורשו [וכגון בן אחותו]</w:t>
      </w:r>
      <w:r w:rsidRPr="00E14121">
        <w:rPr>
          <w:rStyle w:val="ac"/>
          <w:rFonts w:ascii="Narkisim" w:hAnsi="Narkisim"/>
          <w:rtl/>
        </w:rPr>
        <w:footnoteReference w:id="4067"/>
      </w:r>
      <w:r w:rsidRPr="00E14121">
        <w:rPr>
          <w:rFonts w:ascii="Narkisim" w:hAnsi="Narkisim"/>
          <w:rtl/>
        </w:rPr>
        <w:t>. וצ"ע.</w:t>
      </w:r>
    </w:p>
    <w:p w14:paraId="262A2F1E" w14:textId="77777777" w:rsidR="00F64AED" w:rsidRPr="00E14121" w:rsidRDefault="00F64AED" w:rsidP="00F64AED">
      <w:pPr>
        <w:bidi/>
        <w:rPr>
          <w:rFonts w:ascii="Narkisim" w:hAnsi="Narkisim" w:cs="Narkisim"/>
        </w:rPr>
      </w:pPr>
      <w:r w:rsidRPr="00E14121">
        <w:rPr>
          <w:rFonts w:ascii="Narkisim" w:hAnsi="Narkisim" w:cs="Narkisim"/>
          <w:u w:val="single"/>
          <w:rtl/>
        </w:rPr>
        <w:t>הא א"ל שמואל וכו' המזכה לעובר קנה, אלא זו וס”ל</w:t>
      </w:r>
      <w:r w:rsidRPr="00E14121">
        <w:rPr>
          <w:rFonts w:ascii="Narkisim" w:hAnsi="Narkisim" w:cs="Narkisim"/>
          <w:rtl/>
        </w:rPr>
        <w:t>. ושמואל פסק כר' יוסי דיש זכייה לעובר, ואף כשמזכה לו בקנין. דעובר נחשב בא לעולם.</w:t>
      </w:r>
    </w:p>
    <w:p w14:paraId="3B5E5CC1"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(ד"ה זו) כת' דבעלמא שמואל ס"ל אין אדם מקנה דבר שלא בא לעולם, אלא דס"ל דעובר נחשב בא לעולם. ו</w:t>
      </w:r>
      <w:r w:rsidRPr="00E14121">
        <w:rPr>
          <w:rFonts w:ascii="Narkisim" w:hAnsi="Narkisim"/>
          <w:b/>
          <w:bCs/>
          <w:rtl/>
        </w:rPr>
        <w:t>תוס'</w:t>
      </w:r>
      <w:r w:rsidRPr="00E14121">
        <w:rPr>
          <w:rFonts w:ascii="Narkisim" w:hAnsi="Narkisim"/>
          <w:rtl/>
        </w:rPr>
        <w:t xml:space="preserve"> (כתובות ז: וכ"מ) תי' עוד דס"ל דטפי אדם מקנה לדבר שלא בא לעולם, ואף דאינו מקנה דבר שלא בא לעולם. [היפך סברת רב הונא גיטין יג: והגמ' ב"ב קמא:, וע”ע תוס' לקמן צג:].</w:t>
      </w:r>
    </w:p>
    <w:p w14:paraId="2E191D33" w14:textId="77777777" w:rsidR="00F64AED" w:rsidRPr="00E14121" w:rsidRDefault="00F64AED" w:rsidP="00F64AED">
      <w:pPr>
        <w:bidi/>
        <w:rPr>
          <w:rFonts w:ascii="Narkisim" w:hAnsi="Narkisim" w:cs="Narkisim"/>
        </w:rPr>
      </w:pPr>
      <w:r w:rsidRPr="00E14121">
        <w:rPr>
          <w:rFonts w:ascii="Narkisim" w:hAnsi="Narkisim" w:cs="Narkisim"/>
          <w:u w:val="single"/>
          <w:rtl/>
        </w:rPr>
        <w:t>מאי קמ"ל דפליגי רבנן עליה דר' יוסי וכו'</w:t>
      </w:r>
      <w:r w:rsidRPr="00E14121">
        <w:rPr>
          <w:rFonts w:ascii="Narkisim" w:hAnsi="Narkisim" w:cs="Narkisim"/>
          <w:rtl/>
        </w:rPr>
        <w:t>. ופליגי רבנן דעובר אינו יורש. ועוד נח' על ר' יוסי [בברייתא בסמוך] דאין חוששין למיעוטא. [ואף אי עובר יורש, לא חיישי' לזה].</w:t>
      </w:r>
    </w:p>
    <w:p w14:paraId="1481F324" w14:textId="77777777" w:rsidR="00F64AED" w:rsidRPr="00E14121" w:rsidRDefault="00F64AED" w:rsidP="00F64AED">
      <w:pPr>
        <w:bidi/>
        <w:rPr>
          <w:rFonts w:ascii="Narkisim" w:hAnsi="Narkisim" w:cs="Narkisim"/>
        </w:rPr>
      </w:pPr>
      <w:r w:rsidRPr="00E14121">
        <w:rPr>
          <w:rFonts w:ascii="Narkisim" w:hAnsi="Narkisim" w:cs="Narkisim"/>
          <w:rtl/>
        </w:rPr>
        <w:t>ושמואל פסק כר' יוסי [זו וס"ל, כיון דמסתבר טעמיה].</w:t>
      </w:r>
    </w:p>
    <w:p w14:paraId="585955BD"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רי"ף</w:t>
      </w:r>
      <w:r w:rsidRPr="00E14121">
        <w:rPr>
          <w:rFonts w:ascii="Narkisim" w:hAnsi="Narkisim"/>
          <w:rtl/>
        </w:rPr>
        <w:t xml:space="preserve"> פסק כרבנן דהכא, דאף ירושה מאיליה לא קנה. והראשונים פי' דסמך ע"ד ר' יוחנן (ב"ב קמב:) דס"ל שהמזכה לעובר לא קנה. [אלא בבנו דדעתו של אדם קרובה אצל בנו].</w:t>
      </w:r>
    </w:p>
    <w:p w14:paraId="763B0D32"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ריב"ם</w:t>
      </w:r>
      <w:r w:rsidRPr="00E14121">
        <w:rPr>
          <w:rFonts w:ascii="Narkisim" w:hAnsi="Narkisim"/>
          <w:rtl/>
        </w:rPr>
        <w:t xml:space="preserve"> ב</w:t>
      </w:r>
      <w:r w:rsidRPr="00E14121">
        <w:rPr>
          <w:rFonts w:ascii="Narkisim" w:hAnsi="Narkisim"/>
          <w:b/>
          <w:bCs/>
          <w:rtl/>
        </w:rPr>
        <w:t>תוס</w:t>
      </w:r>
      <w:r w:rsidRPr="00E14121">
        <w:rPr>
          <w:rFonts w:ascii="Narkisim" w:hAnsi="Narkisim"/>
          <w:b/>
          <w:bCs/>
          <w:sz w:val="20"/>
          <w:szCs w:val="20"/>
          <w:rtl/>
        </w:rPr>
        <w:t>'</w:t>
      </w:r>
      <w:r w:rsidRPr="00E14121">
        <w:rPr>
          <w:rFonts w:ascii="Narkisim" w:hAnsi="Narkisim"/>
          <w:sz w:val="20"/>
          <w:szCs w:val="20"/>
          <w:rtl/>
        </w:rPr>
        <w:t xml:space="preserve"> (שם קמב: ד”ה והילכתא)</w:t>
      </w:r>
      <w:r w:rsidRPr="00E14121">
        <w:rPr>
          <w:rFonts w:ascii="Narkisim" w:hAnsi="Narkisim"/>
          <w:rtl/>
        </w:rPr>
        <w:t xml:space="preserve"> כת' דאף לר' יוחנן דהמזכה לעובר ל"ק, בירושה מאליה יכול להיות שהלכה כר' יוסי. וה</w:t>
      </w:r>
      <w:r w:rsidRPr="00E14121">
        <w:rPr>
          <w:rFonts w:ascii="Narkisim" w:hAnsi="Narkisim"/>
          <w:b/>
          <w:bCs/>
          <w:rtl/>
        </w:rPr>
        <w:t>ראב"ד</w:t>
      </w:r>
      <w:r w:rsidRPr="00E14121">
        <w:rPr>
          <w:rFonts w:ascii="Narkisim" w:hAnsi="Narkisim"/>
          <w:rtl/>
        </w:rPr>
        <w:t xml:space="preserve"> (</w:t>
      </w:r>
      <w:r w:rsidRPr="00E14121">
        <w:rPr>
          <w:rFonts w:ascii="Narkisim" w:hAnsi="Narkisim"/>
          <w:sz w:val="20"/>
          <w:szCs w:val="20"/>
          <w:rtl/>
        </w:rPr>
        <w:t>על הרי"ף, ובהשגות לרמב"ם תרומות ח ד)</w:t>
      </w:r>
      <w:r w:rsidRPr="00E14121">
        <w:rPr>
          <w:rFonts w:ascii="Narkisim" w:hAnsi="Narkisim"/>
          <w:rtl/>
        </w:rPr>
        <w:t xml:space="preserve"> הוסיף דכיון דמהני מתנת אביו [משום דדעתו קרובה אצל בנו], כ"ש דמהני ירושה הבא מאליה</w:t>
      </w:r>
      <w:r w:rsidRPr="00E14121">
        <w:rPr>
          <w:rStyle w:val="ac"/>
          <w:rFonts w:ascii="Narkisim" w:hAnsi="Narkisim"/>
          <w:rtl/>
        </w:rPr>
        <w:footnoteReference w:id="4068"/>
      </w:r>
      <w:r w:rsidRPr="00E14121">
        <w:rPr>
          <w:rFonts w:ascii="Narkisim" w:hAnsi="Narkisim"/>
          <w:rtl/>
        </w:rPr>
        <w:t>.</w:t>
      </w:r>
    </w:p>
    <w:p w14:paraId="527639B0"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פי' דהא דדעתו אצל בנו מהני דוקא במתנת שכיב מרע, ומשום תקנ"ח</w:t>
      </w:r>
      <w:r w:rsidRPr="00E14121">
        <w:rPr>
          <w:rStyle w:val="ac"/>
          <w:rFonts w:ascii="Narkisim" w:hAnsi="Narkisim"/>
          <w:rtl/>
        </w:rPr>
        <w:footnoteReference w:id="4069"/>
      </w:r>
      <w:r w:rsidRPr="00E14121">
        <w:rPr>
          <w:rFonts w:ascii="Narkisim" w:hAnsi="Narkisim"/>
          <w:rtl/>
        </w:rPr>
        <w:t xml:space="preserve">. אך </w:t>
      </w:r>
      <w:r w:rsidRPr="00E14121">
        <w:rPr>
          <w:rFonts w:ascii="Narkisim" w:hAnsi="Narkisim"/>
          <w:b/>
          <w:bCs/>
          <w:rtl/>
        </w:rPr>
        <w:t>ה"ה</w:t>
      </w:r>
      <w:r w:rsidRPr="00E14121">
        <w:rPr>
          <w:rFonts w:ascii="Narkisim" w:hAnsi="Narkisim"/>
          <w:rtl/>
        </w:rPr>
        <w:t xml:space="preserve"> (מכירה כב י) דייק דהרמב"ם לא חילק בזה, ובכל אופן מהני</w:t>
      </w:r>
      <w:r w:rsidRPr="00E14121">
        <w:rPr>
          <w:rStyle w:val="ac"/>
          <w:rFonts w:ascii="Narkisim" w:hAnsi="Narkisim"/>
          <w:rtl/>
        </w:rPr>
        <w:footnoteReference w:id="4070"/>
      </w:r>
      <w:r w:rsidRPr="00E14121">
        <w:rPr>
          <w:rFonts w:ascii="Narkisim" w:hAnsi="Narkisim"/>
          <w:rtl/>
        </w:rPr>
        <w:t>.</w:t>
      </w:r>
    </w:p>
    <w:p w14:paraId="1C8FFEF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w:t>
      </w:r>
      <w:r w:rsidRPr="00E14121">
        <w:rPr>
          <w:rFonts w:ascii="Narkisim" w:hAnsi="Narkisim"/>
          <w:sz w:val="20"/>
          <w:szCs w:val="20"/>
          <w:rtl/>
        </w:rPr>
        <w:t>(תרומות ח בסו"ד)</w:t>
      </w:r>
      <w:r w:rsidRPr="00E14121">
        <w:rPr>
          <w:rFonts w:ascii="Narkisim" w:hAnsi="Narkisim"/>
          <w:rtl/>
        </w:rPr>
        <w:t xml:space="preserve"> כתב דדעת ה</w:t>
      </w:r>
      <w:r w:rsidRPr="00E14121">
        <w:rPr>
          <w:rFonts w:ascii="Narkisim" w:hAnsi="Narkisim"/>
          <w:b/>
          <w:bCs/>
          <w:rtl/>
        </w:rPr>
        <w:t>רמב"ם</w:t>
      </w:r>
      <w:r w:rsidRPr="00E14121">
        <w:rPr>
          <w:rFonts w:ascii="Narkisim" w:hAnsi="Narkisim"/>
          <w:rtl/>
        </w:rPr>
        <w:t xml:space="preserve"> דמהני לזכות לעובר, ומ"מ העובר אינו זוכה אלא כשיבא לעולם.</w:t>
      </w:r>
    </w:p>
    <w:p w14:paraId="5B34FE07" w14:textId="77777777" w:rsidR="00F64AED" w:rsidRPr="00E14121" w:rsidRDefault="00F64AED" w:rsidP="00F64AED">
      <w:pPr>
        <w:pStyle w:val="aa"/>
        <w:bidi/>
        <w:rPr>
          <w:rFonts w:ascii="Narkisim" w:hAnsi="Narkisim"/>
        </w:rPr>
      </w:pPr>
      <w:r w:rsidRPr="00E14121">
        <w:rPr>
          <w:rFonts w:ascii="Narkisim" w:hAnsi="Narkisim"/>
          <w:rtl/>
        </w:rPr>
        <w:t>ו</w:t>
      </w:r>
      <w:r w:rsidRPr="00E14121">
        <w:rPr>
          <w:rFonts w:ascii="Narkisim" w:hAnsi="Narkisim"/>
          <w:b/>
          <w:bCs/>
          <w:rtl/>
        </w:rPr>
        <w:t>תוס' חד מקמאי</w:t>
      </w:r>
      <w:r w:rsidRPr="00E14121">
        <w:rPr>
          <w:rFonts w:ascii="Narkisim" w:hAnsi="Narkisim"/>
          <w:rtl/>
        </w:rPr>
        <w:t xml:space="preserve"> (בסוגיין, והשיטמ”ק ב”ב שם) הביא דנח' בביהמ"ד של ה</w:t>
      </w:r>
      <w:r w:rsidRPr="00E14121">
        <w:rPr>
          <w:rFonts w:ascii="Narkisim" w:hAnsi="Narkisim"/>
          <w:b/>
          <w:bCs/>
          <w:rtl/>
        </w:rPr>
        <w:t>ראב"ד</w:t>
      </w:r>
      <w:r w:rsidRPr="00E14121">
        <w:rPr>
          <w:rFonts w:ascii="Narkisim" w:hAnsi="Narkisim"/>
          <w:rtl/>
        </w:rPr>
        <w:t xml:space="preserve"> במזכה לבנו פחות ממ' יום ליצירתו, האם אמרי' דדעתו אצל בנו. או דתוך מ' יום מיא בעלמא [והביא דכ”ד אביו</w:t>
      </w:r>
      <w:r w:rsidRPr="00E14121">
        <w:rPr>
          <w:rStyle w:val="ac"/>
          <w:rFonts w:ascii="Narkisim" w:hAnsi="Narkisim"/>
          <w:rtl/>
        </w:rPr>
        <w:footnoteReference w:id="4071"/>
      </w:r>
      <w:r w:rsidRPr="00E14121">
        <w:rPr>
          <w:rFonts w:ascii="Narkisim" w:hAnsi="Narkisim"/>
          <w:rtl/>
        </w:rPr>
        <w:t>]. והביא דנגמר הדין שזכה</w:t>
      </w:r>
      <w:r w:rsidRPr="00E14121">
        <w:rPr>
          <w:rStyle w:val="ac"/>
          <w:rFonts w:ascii="Narkisim" w:hAnsi="Narkisim"/>
          <w:rtl/>
        </w:rPr>
        <w:footnoteReference w:id="4072"/>
      </w:r>
      <w:r w:rsidRPr="00E14121">
        <w:rPr>
          <w:rFonts w:ascii="Narkisim" w:hAnsi="Narkisim"/>
          <w:rtl/>
        </w:rPr>
        <w:t>.</w:t>
      </w:r>
    </w:p>
    <w:p w14:paraId="1B024A81" w14:textId="77777777" w:rsidR="00F64AED" w:rsidRPr="00E14121" w:rsidRDefault="00F64AED" w:rsidP="00F64AED">
      <w:pPr>
        <w:pStyle w:val="a8"/>
        <w:bidi/>
        <w:rPr>
          <w:rFonts w:ascii="Narkisim" w:hAnsi="Narkisim"/>
        </w:rPr>
      </w:pPr>
      <w:r w:rsidRPr="00E14121">
        <w:rPr>
          <w:rFonts w:ascii="Narkisim" w:hAnsi="Narkisim"/>
          <w:rtl/>
        </w:rPr>
        <w:lastRenderedPageBreak/>
        <w:t>ועד"ז דנו ה</w:t>
      </w:r>
      <w:r w:rsidRPr="00E14121">
        <w:rPr>
          <w:rFonts w:ascii="Narkisim" w:hAnsi="Narkisim"/>
          <w:b/>
          <w:bCs/>
          <w:rtl/>
        </w:rPr>
        <w:t>אחרונים</w:t>
      </w:r>
      <w:r w:rsidRPr="00E14121">
        <w:rPr>
          <w:rFonts w:ascii="Narkisim" w:hAnsi="Narkisim"/>
          <w:rtl/>
        </w:rPr>
        <w:t xml:space="preserve"> לענין ירושה האם זכה קודם מ' יום.</w:t>
      </w:r>
    </w:p>
    <w:p w14:paraId="41F10949" w14:textId="77777777" w:rsidR="00F64AED" w:rsidRPr="00E14121" w:rsidRDefault="00F64AED" w:rsidP="00F64AED">
      <w:pPr>
        <w:bidi/>
        <w:rPr>
          <w:rFonts w:ascii="Narkisim" w:hAnsi="Narkisim" w:cs="Narkisim"/>
        </w:rPr>
      </w:pPr>
      <w:r w:rsidRPr="00E14121">
        <w:rPr>
          <w:rFonts w:ascii="Narkisim" w:hAnsi="Narkisim" w:cs="Narkisim"/>
          <w:u w:val="single"/>
          <w:rtl/>
        </w:rPr>
        <w:t>רש"י ד"ה עבדי צ"ב.</w:t>
      </w:r>
      <w:r w:rsidRPr="00E14121">
        <w:rPr>
          <w:rFonts w:ascii="Narkisim" w:hAnsi="Narkisim" w:cs="Narkisim"/>
          <w:rtl/>
        </w:rPr>
        <w:t xml:space="preserve"> ולא ידעינן האי מתרמי לחלקו וכו'. [וכ"כ </w:t>
      </w:r>
      <w:r w:rsidRPr="00E14121">
        <w:rPr>
          <w:rFonts w:ascii="Narkisim" w:hAnsi="Narkisim" w:cs="Narkisim"/>
          <w:b/>
          <w:bCs/>
          <w:rtl/>
        </w:rPr>
        <w:t>רש"י</w:t>
      </w:r>
      <w:r w:rsidRPr="00E14121">
        <w:rPr>
          <w:rFonts w:ascii="Narkisim" w:hAnsi="Narkisim" w:cs="Narkisim"/>
          <w:rtl/>
        </w:rPr>
        <w:t xml:space="preserve"> נדה מד]. ה</w:t>
      </w:r>
      <w:r w:rsidRPr="00E14121">
        <w:rPr>
          <w:rFonts w:ascii="Narkisim" w:hAnsi="Narkisim" w:cs="Narkisim"/>
          <w:b/>
          <w:bCs/>
          <w:rtl/>
        </w:rPr>
        <w:t xml:space="preserve">רשב"א </w:t>
      </w:r>
      <w:r w:rsidRPr="00E14121">
        <w:rPr>
          <w:rFonts w:ascii="Narkisim" w:hAnsi="Narkisim" w:cs="Narkisim"/>
          <w:rtl/>
        </w:rPr>
        <w:t>הקשה דאף אם לא יבא כלל לחלקו, עכשיו מיהא יש לו חלק בו, ואינו אוכל משום חלק הזר</w:t>
      </w:r>
      <w:r w:rsidRPr="00E14121">
        <w:rPr>
          <w:rStyle w:val="ac"/>
          <w:rFonts w:ascii="Narkisim" w:hAnsi="Narkisim" w:cs="Narkisim"/>
          <w:rtl/>
        </w:rPr>
        <w:footnoteReference w:id="4073"/>
      </w:r>
      <w:r w:rsidRPr="00E14121">
        <w:rPr>
          <w:rFonts w:ascii="Narkisim" w:hAnsi="Narkisim" w:cs="Narkisim"/>
          <w:rtl/>
        </w:rPr>
        <w:t>. ועוד בדאורייתא אין ברירה, ולא מהני מה שמתברר אח"כ</w:t>
      </w:r>
      <w:r w:rsidRPr="00E14121">
        <w:rPr>
          <w:rStyle w:val="ac"/>
          <w:rFonts w:ascii="Narkisim" w:hAnsi="Narkisim" w:cs="Narkisim"/>
          <w:rtl/>
        </w:rPr>
        <w:footnoteReference w:id="4074"/>
      </w:r>
      <w:r w:rsidRPr="00E14121">
        <w:rPr>
          <w:rFonts w:ascii="Narkisim" w:hAnsi="Narkisim" w:cs="Narkisim"/>
          <w:rtl/>
        </w:rPr>
        <w:t>. ונדחק דרש"י ס"ל יש ברירה אפי' בדאורייתא</w:t>
      </w:r>
      <w:r w:rsidRPr="00E14121">
        <w:rPr>
          <w:rStyle w:val="ac"/>
          <w:rFonts w:ascii="Narkisim" w:hAnsi="Narkisim" w:cs="Narkisim"/>
          <w:rtl/>
        </w:rPr>
        <w:footnoteReference w:id="4075"/>
      </w:r>
      <w:r w:rsidRPr="00E14121">
        <w:rPr>
          <w:rFonts w:ascii="Narkisim" w:hAnsi="Narkisim" w:cs="Narkisim"/>
          <w:rtl/>
        </w:rPr>
        <w:t>.</w:t>
      </w:r>
    </w:p>
    <w:p w14:paraId="56FE07DD" w14:textId="77777777" w:rsidR="00F64AED" w:rsidRPr="00E14121" w:rsidRDefault="00F64AED" w:rsidP="00F64AED">
      <w:pPr>
        <w:bidi/>
        <w:rPr>
          <w:rFonts w:ascii="Narkisim" w:hAnsi="Narkisim" w:cs="Narkisim"/>
        </w:rPr>
      </w:pPr>
      <w:r w:rsidRPr="00E14121">
        <w:rPr>
          <w:rFonts w:ascii="Narkisim" w:hAnsi="Narkisim" w:cs="Narkisim"/>
          <w:u w:val="single"/>
          <w:rtl/>
        </w:rPr>
        <w:t>תוד"ה אוכלין.</w:t>
      </w:r>
      <w:r w:rsidRPr="00E14121">
        <w:rPr>
          <w:rFonts w:ascii="Narkisim" w:hAnsi="Narkisim" w:cs="Narkisim"/>
          <w:rtl/>
        </w:rPr>
        <w:t xml:space="preserve"> וקצת תימה דמסתמא מעש"י הוא לעובר ולא לשאר בני המשפחה וכו'. ותוס' הקשו דכיון דזוכה בנכסים רק מכאן ולהבא, אמאי הוה מעש"י לולד</w:t>
      </w:r>
      <w:r w:rsidRPr="00E14121">
        <w:rPr>
          <w:rStyle w:val="ac"/>
          <w:rFonts w:ascii="Narkisim" w:hAnsi="Narkisim" w:cs="Narkisim"/>
          <w:rtl/>
        </w:rPr>
        <w:footnoteReference w:id="4076"/>
      </w:r>
      <w:r w:rsidRPr="00E14121">
        <w:rPr>
          <w:rFonts w:ascii="Narkisim" w:hAnsi="Narkisim" w:cs="Narkisim"/>
          <w:rtl/>
        </w:rPr>
        <w:t xml:space="preserve">. </w:t>
      </w:r>
      <w:r w:rsidRPr="00E14121">
        <w:rPr>
          <w:rFonts w:ascii="Narkisim" w:hAnsi="Narkisim" w:cs="Narkisim"/>
          <w:sz w:val="20"/>
          <w:szCs w:val="20"/>
          <w:rtl/>
        </w:rPr>
        <w:t>[וצ”ל דהמעש”י והפירות שגדלו הוה כחלק מגוף הנכסים, ומכאן ולהבא הכל הוה של העובר</w:t>
      </w:r>
      <w:r w:rsidRPr="00E14121">
        <w:rPr>
          <w:rStyle w:val="ac"/>
          <w:rFonts w:ascii="Narkisim" w:hAnsi="Narkisim" w:cs="Narkisim"/>
          <w:sz w:val="20"/>
          <w:szCs w:val="20"/>
          <w:rtl/>
        </w:rPr>
        <w:footnoteReference w:id="4077"/>
      </w:r>
      <w:r w:rsidRPr="00E14121">
        <w:rPr>
          <w:rFonts w:ascii="Narkisim" w:hAnsi="Narkisim" w:cs="Narkisim"/>
          <w:sz w:val="20"/>
          <w:szCs w:val="20"/>
          <w:rtl/>
        </w:rPr>
        <w:t>].</w:t>
      </w:r>
      <w:r w:rsidRPr="00E14121">
        <w:rPr>
          <w:rFonts w:ascii="Narkisim" w:hAnsi="Narkisim" w:cs="Narkisim"/>
          <w:rtl/>
        </w:rPr>
        <w:t xml:space="preserve"> אבל ה</w:t>
      </w:r>
      <w:r w:rsidRPr="00E14121">
        <w:rPr>
          <w:rFonts w:ascii="Narkisim" w:hAnsi="Narkisim" w:cs="Narkisim"/>
          <w:b/>
          <w:bCs/>
          <w:rtl/>
        </w:rPr>
        <w:t>ב"ח</w:t>
      </w:r>
      <w:r w:rsidRPr="00E14121">
        <w:rPr>
          <w:rFonts w:ascii="Narkisim" w:hAnsi="Narkisim" w:cs="Narkisim"/>
          <w:rtl/>
        </w:rPr>
        <w:t xml:space="preserve"> (חו"מ רי ב) כתב דהפירות שגדלו עד שיוולד שייכים לשאר היורשין. [וכקושיית התוס']</w:t>
      </w:r>
      <w:r w:rsidRPr="00E14121">
        <w:rPr>
          <w:rStyle w:val="ac"/>
          <w:rFonts w:ascii="Narkisim" w:hAnsi="Narkisim" w:cs="Narkisim"/>
          <w:rtl/>
        </w:rPr>
        <w:footnoteReference w:id="4078"/>
      </w:r>
      <w:r w:rsidRPr="00E14121">
        <w:rPr>
          <w:rFonts w:ascii="Narkisim" w:hAnsi="Narkisim" w:cs="Narkisim"/>
          <w:rtl/>
        </w:rPr>
        <w:t xml:space="preserve">. </w:t>
      </w:r>
      <w:r w:rsidRPr="00E14121">
        <w:rPr>
          <w:rFonts w:ascii="Narkisim" w:hAnsi="Narkisim" w:cs="Narkisim"/>
          <w:sz w:val="20"/>
          <w:szCs w:val="20"/>
          <w:rtl/>
        </w:rPr>
        <w:t>וה</w:t>
      </w:r>
      <w:r w:rsidRPr="00E14121">
        <w:rPr>
          <w:rFonts w:ascii="Narkisim" w:hAnsi="Narkisim" w:cs="Narkisim"/>
          <w:b/>
          <w:bCs/>
          <w:sz w:val="20"/>
          <w:szCs w:val="20"/>
          <w:rtl/>
        </w:rPr>
        <w:t>חלקת יואב</w:t>
      </w:r>
      <w:r w:rsidRPr="00E14121">
        <w:rPr>
          <w:rFonts w:ascii="Narkisim" w:hAnsi="Narkisim" w:cs="Narkisim"/>
          <w:sz w:val="20"/>
          <w:szCs w:val="20"/>
          <w:rtl/>
        </w:rPr>
        <w:t xml:space="preserve"> (יא) האריך בנידון הזה האם העובר יורש מעכשיו.</w:t>
      </w:r>
    </w:p>
    <w:p w14:paraId="6A809B06" w14:textId="77777777" w:rsidR="00F64AED" w:rsidRPr="00E14121" w:rsidRDefault="00F64AED" w:rsidP="00F64AED">
      <w:pPr>
        <w:bidi/>
        <w:rPr>
          <w:rFonts w:ascii="Narkisim" w:hAnsi="Narkisim" w:cs="Narkisim"/>
        </w:rPr>
      </w:pPr>
      <w:r w:rsidRPr="00E14121">
        <w:rPr>
          <w:rFonts w:ascii="Narkisim" w:hAnsi="Narkisim" w:cs="Narkisim"/>
          <w:u w:val="single"/>
          <w:rtl/>
        </w:rPr>
        <w:t>בא"ד ומשני רב ששת שיש לו ב' נשים וכו'.</w:t>
      </w:r>
      <w:r w:rsidRPr="00E14121">
        <w:rPr>
          <w:rFonts w:ascii="Narkisim" w:hAnsi="Narkisim" w:cs="Narkisim"/>
          <w:rtl/>
        </w:rPr>
        <w:t xml:space="preserve"> ופליג אשמואל (דסוגיין), ואף דעובר יורש אינו פוסל</w:t>
      </w:r>
      <w:r w:rsidRPr="00E14121">
        <w:rPr>
          <w:rFonts w:ascii="Narkisim" w:hAnsi="Narkisim" w:cs="Narkisim"/>
          <w:sz w:val="20"/>
          <w:szCs w:val="20"/>
          <w:rtl/>
        </w:rPr>
        <w:t xml:space="preserve"> [כר' שמעון בברייתא בסמוך דלא חיישינן למיעוטא].</w:t>
      </w:r>
      <w:r w:rsidRPr="00E14121">
        <w:rPr>
          <w:rFonts w:ascii="Narkisim" w:hAnsi="Narkisim" w:cs="Narkisim"/>
          <w:rtl/>
        </w:rPr>
        <w:t xml:space="preserve"> אבל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 xml:space="preserve">(בפיה"מ נדה שם) </w:t>
      </w:r>
      <w:r w:rsidRPr="00E14121">
        <w:rPr>
          <w:rFonts w:ascii="Narkisim" w:hAnsi="Narkisim" w:cs="Narkisim"/>
          <w:rtl/>
        </w:rPr>
        <w:t>כתב דעובר אינו יורש, וכתב אוקימתא דרב ששת.</w:t>
      </w:r>
    </w:p>
    <w:p w14:paraId="62C82B0A" w14:textId="77777777" w:rsidR="00F64AED" w:rsidRPr="00E14121" w:rsidRDefault="00F64AED" w:rsidP="00F64AED">
      <w:pPr>
        <w:bidi/>
        <w:rPr>
          <w:rFonts w:ascii="Narkisim" w:hAnsi="Narkisim" w:cs="Narkisim"/>
        </w:rPr>
      </w:pPr>
      <w:r w:rsidRPr="00E14121">
        <w:rPr>
          <w:rFonts w:ascii="Narkisim" w:hAnsi="Narkisim" w:cs="Narkisim"/>
          <w:rtl/>
        </w:rPr>
        <w:t>ה</w:t>
      </w:r>
      <w:r w:rsidRPr="00E14121">
        <w:rPr>
          <w:rFonts w:ascii="Narkisim" w:hAnsi="Narkisim" w:cs="Narkisim"/>
          <w:b/>
          <w:bCs/>
          <w:rtl/>
        </w:rPr>
        <w:t>רמב"ם</w:t>
      </w:r>
      <w:r w:rsidRPr="00E14121">
        <w:rPr>
          <w:rFonts w:ascii="Narkisim" w:hAnsi="Narkisim" w:cs="Narkisim"/>
          <w:rtl/>
        </w:rPr>
        <w:t xml:space="preserve"> (תרומות ח ד) פסק דהעבדים לא יאכלו בתרומה משום העובר, דשאינו ילוד אינו מאכיל. לפיכך אם העובר חלל אינו פסול, ואוכלים מחמת האחים וכו'. </w:t>
      </w:r>
      <w:r w:rsidRPr="00E14121">
        <w:rPr>
          <w:rFonts w:ascii="Narkisim" w:hAnsi="Narkisim" w:cs="Narkisim"/>
          <w:sz w:val="20"/>
          <w:szCs w:val="20"/>
          <w:rtl/>
        </w:rPr>
        <w:t>[וה</w:t>
      </w:r>
      <w:r w:rsidRPr="00E14121">
        <w:rPr>
          <w:rFonts w:ascii="Narkisim" w:hAnsi="Narkisim" w:cs="Narkisim"/>
          <w:b/>
          <w:bCs/>
          <w:sz w:val="20"/>
          <w:szCs w:val="20"/>
          <w:rtl/>
        </w:rPr>
        <w:t>ראב"ד</w:t>
      </w:r>
      <w:r w:rsidRPr="00E14121">
        <w:rPr>
          <w:rFonts w:ascii="Narkisim" w:hAnsi="Narkisim" w:cs="Narkisim"/>
          <w:sz w:val="20"/>
          <w:szCs w:val="20"/>
          <w:rtl/>
        </w:rPr>
        <w:t xml:space="preserve"> השיג דעובר יש לו זכיה ופוסל].</w:t>
      </w:r>
      <w:r w:rsidRPr="00E14121">
        <w:rPr>
          <w:rFonts w:ascii="Narkisim" w:hAnsi="Narkisim" w:cs="Narkisim"/>
          <w:rtl/>
        </w:rPr>
        <w:t xml:space="preserve"> וצ"ב דכיון דפסק בסיפא דאוכל מחמת האחים, היינו משום דהעובר אינו יורש, א"כ אף ברישא יאכלו העבדים בחזקת שאר יורשים</w:t>
      </w:r>
      <w:r w:rsidRPr="00E14121">
        <w:rPr>
          <w:rStyle w:val="ac"/>
          <w:rFonts w:ascii="Narkisim" w:hAnsi="Narkisim" w:cs="Narkisim"/>
          <w:rtl/>
        </w:rPr>
        <w:footnoteReference w:id="4079"/>
      </w:r>
      <w:r w:rsidRPr="00E14121">
        <w:rPr>
          <w:rFonts w:ascii="Narkisim" w:hAnsi="Narkisim" w:cs="Narkisim"/>
          <w:rtl/>
        </w:rPr>
        <w:t>, ומ"ש מהסיפא. ועוד אמאי בעי דרשא דשאינו אוכל אינו מאכיל, תיפו"ל דאינו שלו כלל.</w:t>
      </w:r>
    </w:p>
    <w:p w14:paraId="3428141F"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כס"מ</w:t>
      </w:r>
      <w:r w:rsidRPr="00E14121">
        <w:rPr>
          <w:rFonts w:ascii="Narkisim" w:hAnsi="Narkisim"/>
          <w:rtl/>
        </w:rPr>
        <w:t xml:space="preserve"> דייק דס"ל לרמב"ם דעובר יורש ושאינו ילוד אינו מאכיל, והא דאוכל בסיפא הוא משום דין רוב [וכתוס' לדעת רב ששת]</w:t>
      </w:r>
      <w:r w:rsidRPr="00E14121">
        <w:rPr>
          <w:rStyle w:val="ac"/>
          <w:rFonts w:ascii="Narkisim" w:hAnsi="Narkisim"/>
          <w:rtl/>
        </w:rPr>
        <w:footnoteReference w:id="4080"/>
      </w:r>
      <w:r w:rsidRPr="00E14121">
        <w:rPr>
          <w:rFonts w:ascii="Narkisim" w:hAnsi="Narkisim"/>
          <w:rtl/>
        </w:rPr>
        <w:t>. אבל ה</w:t>
      </w:r>
      <w:r w:rsidRPr="00E14121">
        <w:rPr>
          <w:rFonts w:ascii="Narkisim" w:hAnsi="Narkisim"/>
          <w:b/>
          <w:bCs/>
          <w:rtl/>
        </w:rPr>
        <w:t>אחרונים</w:t>
      </w:r>
      <w:r w:rsidRPr="00E14121">
        <w:rPr>
          <w:rFonts w:ascii="Narkisim" w:hAnsi="Narkisim"/>
          <w:rtl/>
        </w:rPr>
        <w:t xml:space="preserve"> דייקו מהלשון 'לפיכך' דסברת הרמב”ם אף בסיפא משום דעובר אינו פוסל</w:t>
      </w:r>
      <w:r w:rsidRPr="00E14121">
        <w:rPr>
          <w:rStyle w:val="ac"/>
          <w:rFonts w:ascii="Narkisim" w:hAnsi="Narkisim"/>
          <w:rtl/>
        </w:rPr>
        <w:footnoteReference w:id="4081"/>
      </w:r>
      <w:r w:rsidRPr="00E14121">
        <w:rPr>
          <w:rFonts w:ascii="Narkisim" w:hAnsi="Narkisim"/>
          <w:rtl/>
        </w:rPr>
        <w:t>.</w:t>
      </w:r>
    </w:p>
    <w:p w14:paraId="0098BBE9"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אחרונים</w:t>
      </w:r>
      <w:r w:rsidRPr="00E14121">
        <w:rPr>
          <w:rFonts w:ascii="Narkisim" w:hAnsi="Narkisim" w:cs="Narkisim"/>
          <w:rtl/>
        </w:rPr>
        <w:t xml:space="preserve"> תי' דברישא איירי כשאין בנים, ועובר פוסל [ואינו אוכל מחמת שאר בני המשפחה]. אבל בסיפא איירי כשיש בנים שנולדו, ואוכל מחמת האחים. וכדברי רב ששת דלרבנן אוכל רק בחזקת שאר אחים.</w:t>
      </w:r>
      <w:r w:rsidRPr="00E14121">
        <w:rPr>
          <w:rFonts w:ascii="Narkisim" w:hAnsi="Narkisim" w:cs="Narkisim"/>
          <w:szCs w:val="20"/>
          <w:rtl/>
        </w:rPr>
        <w:t xml:space="preserve"> [ודלא כשמואל דסוגיין]</w:t>
      </w:r>
      <w:r w:rsidRPr="00E14121">
        <w:rPr>
          <w:rFonts w:ascii="Narkisim" w:hAnsi="Narkisim" w:cs="Narkisim"/>
          <w:rtl/>
        </w:rPr>
        <w:t>.</w:t>
      </w:r>
    </w:p>
    <w:p w14:paraId="7E6D9A8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או"ש</w:t>
      </w:r>
      <w:r w:rsidRPr="00E14121">
        <w:rPr>
          <w:rFonts w:ascii="Narkisim" w:hAnsi="Narkisim"/>
          <w:rtl/>
        </w:rPr>
        <w:t xml:space="preserve"> (נחלות א יג) ביאר דדעת הרמב"ם דעובר יורש, אבל מ"מ העבדים אוכלים משום האחים</w:t>
      </w:r>
      <w:r w:rsidRPr="00E14121">
        <w:rPr>
          <w:rStyle w:val="ac"/>
          <w:rFonts w:ascii="Narkisim" w:hAnsi="Narkisim"/>
          <w:rtl/>
        </w:rPr>
        <w:footnoteReference w:id="4082"/>
      </w:r>
      <w:r w:rsidRPr="00E14121">
        <w:rPr>
          <w:rFonts w:ascii="Narkisim" w:hAnsi="Narkisim"/>
          <w:rtl/>
        </w:rPr>
        <w:t>. וביאר דסגי שיש שותף כהן להאכיל. ואף דישראל שותף פוסל מתרומה, אבל עובר אינו 'פוסל'</w:t>
      </w:r>
      <w:r w:rsidRPr="00E14121">
        <w:rPr>
          <w:rStyle w:val="ac"/>
          <w:rFonts w:ascii="Narkisim" w:hAnsi="Narkisim"/>
          <w:rtl/>
        </w:rPr>
        <w:footnoteReference w:id="4083"/>
      </w:r>
      <w:r w:rsidRPr="00E14121">
        <w:rPr>
          <w:rFonts w:ascii="Narkisim" w:hAnsi="Narkisim"/>
          <w:rtl/>
        </w:rPr>
        <w:t>.</w:t>
      </w:r>
    </w:p>
    <w:p w14:paraId="4DCE38C9" w14:textId="77777777" w:rsidR="00F64AED" w:rsidRPr="00E14121" w:rsidRDefault="00F64AED" w:rsidP="00F64AED">
      <w:pPr>
        <w:pStyle w:val="a7"/>
        <w:bidi/>
        <w:rPr>
          <w:rFonts w:ascii="Narkisim" w:hAnsi="Narkisim"/>
        </w:rPr>
      </w:pPr>
      <w:r w:rsidRPr="00E14121">
        <w:rPr>
          <w:rFonts w:ascii="Narkisim" w:hAnsi="Narkisim"/>
          <w:rtl/>
        </w:rPr>
        <w:lastRenderedPageBreak/>
        <w:t>וה</w:t>
      </w:r>
      <w:r w:rsidRPr="00E14121">
        <w:rPr>
          <w:rFonts w:ascii="Narkisim" w:hAnsi="Narkisim"/>
          <w:b/>
          <w:bCs/>
          <w:rtl/>
        </w:rPr>
        <w:t>גר"ח</w:t>
      </w:r>
      <w:r w:rsidRPr="00E14121">
        <w:rPr>
          <w:rFonts w:ascii="Narkisim" w:hAnsi="Narkisim"/>
          <w:rtl/>
        </w:rPr>
        <w:t xml:space="preserve"> (תרומות שם) כתב דיש לעובר 'שם יורש', אלא שאינו יכול לזכות בנכסים בפועל. והיכא דיש אחים, כל יורש הוה סיבה לזכות בכולו, ושאר אחים זוכים בעבדים ואוכל מחמתם [בסיפא]. אבל במקום דליכא בנים, כיון דהעובר יש לו 'שם יורש, מש"ה שאר בני המשפחה אינם זוכים כלל בנכסים</w:t>
      </w:r>
      <w:r w:rsidRPr="00E14121">
        <w:rPr>
          <w:rStyle w:val="ac"/>
          <w:rFonts w:ascii="Narkisim" w:hAnsi="Narkisim"/>
          <w:rtl/>
        </w:rPr>
        <w:footnoteReference w:id="4084"/>
      </w:r>
      <w:r w:rsidRPr="00E14121">
        <w:rPr>
          <w:rFonts w:ascii="Narkisim" w:hAnsi="Narkisim"/>
          <w:rtl/>
        </w:rPr>
        <w:t>. [ודלא כשמואל שאוכל בחזקת כל המשפחה, אף דהוה יורש מאוחר</w:t>
      </w:r>
      <w:r w:rsidRPr="00E14121">
        <w:rPr>
          <w:rStyle w:val="ac"/>
          <w:rFonts w:ascii="Narkisim" w:hAnsi="Narkisim"/>
          <w:rtl/>
        </w:rPr>
        <w:footnoteReference w:id="4085"/>
      </w:r>
      <w:r w:rsidRPr="00E14121">
        <w:rPr>
          <w:rFonts w:ascii="Narkisim" w:hAnsi="Narkisim"/>
          <w:rtl/>
        </w:rPr>
        <w:t>].</w:t>
      </w:r>
    </w:p>
    <w:p w14:paraId="7B65534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ביאר דמ"מ הרמב"ם הוצרך לטעם משום דדרשינן ש'אינו אוכל אינו מאכיל', דגדר קנין כספו לענין תרומה לא תליא בקנין הממון, וכיון דהעובר יש לו דין יורש היה נחשב קנין כספו, קמ"ל דאינו ילוד אינו מאכיל</w:t>
      </w:r>
      <w:r w:rsidRPr="00E14121">
        <w:rPr>
          <w:rStyle w:val="ac"/>
          <w:rFonts w:ascii="Narkisim" w:hAnsi="Narkisim"/>
          <w:rtl/>
        </w:rPr>
        <w:footnoteReference w:id="4086"/>
      </w:r>
      <w:r w:rsidRPr="00E14121">
        <w:rPr>
          <w:rFonts w:ascii="Narkisim" w:hAnsi="Narkisim"/>
          <w:rtl/>
        </w:rPr>
        <w:t>. ובזה כתב הרמב"ם לפיכך אינו פוסל, דנתמעט דאין לעובר כלל 'שם בעלים' לענין תרומה. [דכיון דלענין דין קנין כספו אינו מאכיל אינו פוסל</w:t>
      </w:r>
      <w:r w:rsidRPr="00E14121">
        <w:rPr>
          <w:rStyle w:val="ac"/>
          <w:rFonts w:ascii="Narkisim" w:hAnsi="Narkisim"/>
          <w:rtl/>
        </w:rPr>
        <w:footnoteReference w:id="4087"/>
      </w:r>
      <w:r w:rsidRPr="00E14121">
        <w:rPr>
          <w:rFonts w:ascii="Narkisim" w:hAnsi="Narkisim"/>
          <w:rtl/>
        </w:rPr>
        <w:t>].</w:t>
      </w:r>
    </w:p>
    <w:p w14:paraId="7937D574"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וה</w:t>
      </w:r>
      <w:r w:rsidRPr="00E14121">
        <w:rPr>
          <w:rFonts w:ascii="Narkisim" w:hAnsi="Narkisim" w:cs="Narkisim"/>
          <w:b/>
          <w:bCs/>
          <w:rtl/>
        </w:rPr>
        <w:t>רמב"ן</w:t>
      </w:r>
      <w:r w:rsidRPr="00E14121">
        <w:rPr>
          <w:rFonts w:ascii="Narkisim" w:hAnsi="Narkisim" w:cs="Narkisim"/>
          <w:rtl/>
        </w:rPr>
        <w:t xml:space="preserve"> (ב"ב קמב.) מביא </w:t>
      </w:r>
      <w:r w:rsidRPr="00E14121">
        <w:rPr>
          <w:rFonts w:ascii="Narkisim" w:hAnsi="Narkisim" w:cs="Narkisim"/>
          <w:b/>
          <w:bCs/>
          <w:rtl/>
        </w:rPr>
        <w:t>י"א</w:t>
      </w:r>
      <w:r w:rsidRPr="00E14121">
        <w:rPr>
          <w:rFonts w:ascii="Narkisim" w:hAnsi="Narkisim" w:cs="Narkisim"/>
          <w:rtl/>
        </w:rPr>
        <w:t xml:space="preserve"> </w:t>
      </w:r>
      <w:r w:rsidRPr="00E14121">
        <w:rPr>
          <w:rFonts w:ascii="Narkisim" w:hAnsi="Narkisim" w:cs="Narkisim"/>
          <w:szCs w:val="20"/>
          <w:rtl/>
        </w:rPr>
        <w:t>(וכ"מ ב</w:t>
      </w:r>
      <w:r w:rsidRPr="00E14121">
        <w:rPr>
          <w:rFonts w:ascii="Narkisim" w:hAnsi="Narkisim" w:cs="Narkisim"/>
          <w:b/>
          <w:bCs/>
          <w:szCs w:val="20"/>
          <w:rtl/>
        </w:rPr>
        <w:t>מאירי</w:t>
      </w:r>
      <w:r w:rsidRPr="00E14121">
        <w:rPr>
          <w:rFonts w:ascii="Narkisim" w:hAnsi="Narkisim" w:cs="Narkisim"/>
          <w:szCs w:val="20"/>
          <w:rtl/>
        </w:rPr>
        <w:t xml:space="preserve"> בסוגיין)</w:t>
      </w:r>
      <w:r w:rsidRPr="00E14121">
        <w:rPr>
          <w:rFonts w:ascii="Narkisim" w:hAnsi="Narkisim" w:cs="Narkisim"/>
          <w:rtl/>
        </w:rPr>
        <w:t xml:space="preserve"> [דדעת רב ששת] דהיכא שהעובר חלל אינו יכול לאכול בחזקת האחים, כיון דהעובר סופו לפסול</w:t>
      </w:r>
      <w:r w:rsidRPr="00E14121">
        <w:rPr>
          <w:rStyle w:val="ac"/>
          <w:rFonts w:ascii="Narkisim" w:hAnsi="Narkisim" w:cs="Narkisim"/>
          <w:rtl/>
        </w:rPr>
        <w:footnoteReference w:id="4088"/>
      </w:r>
      <w:r w:rsidRPr="00E14121">
        <w:rPr>
          <w:rFonts w:ascii="Narkisim" w:hAnsi="Narkisim" w:cs="Narkisim"/>
          <w:rtl/>
        </w:rPr>
        <w:t>. ורק בכשר (בסוגיין) אוכלים בחזקת המשפחה, כיון דיאכל כשיוולד.</w:t>
      </w:r>
    </w:p>
    <w:p w14:paraId="6E04B242" w14:textId="77777777" w:rsidR="00F64AED" w:rsidRPr="00E14121" w:rsidRDefault="00F64AED" w:rsidP="00F64AED">
      <w:pPr>
        <w:pStyle w:val="3"/>
        <w:bidi/>
        <w:rPr>
          <w:rFonts w:ascii="Narkisim" w:hAnsi="Narkisim"/>
        </w:rPr>
      </w:pPr>
      <w:r w:rsidRPr="00E14121">
        <w:rPr>
          <w:rFonts w:ascii="Narkisim" w:hAnsi="Narkisim"/>
          <w:rtl/>
        </w:rPr>
        <w:t>דף סז:</w:t>
      </w:r>
    </w:p>
    <w:p w14:paraId="45377634" w14:textId="77777777" w:rsidR="00F64AED" w:rsidRPr="00E14121" w:rsidRDefault="00F64AED" w:rsidP="00F64AED">
      <w:pPr>
        <w:bidi/>
        <w:rPr>
          <w:rFonts w:ascii="Narkisim" w:hAnsi="Narkisim" w:cs="Narkisim"/>
        </w:rPr>
      </w:pPr>
      <w:r w:rsidRPr="00E14121">
        <w:rPr>
          <w:rFonts w:ascii="Narkisim" w:hAnsi="Narkisim" w:cs="Narkisim"/>
          <w:u w:val="single"/>
          <w:rtl/>
        </w:rPr>
        <w:t>קסבר אין חוששין למיעוטא.</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(בע"א) סמוך מיעוטא דמפילות למחצה נקיבות. וכדאיתא (לקמן קיט. גבי יבום, ועד”ז בכורות כ: גבי בכור). ו</w:t>
      </w:r>
      <w:r w:rsidRPr="00E14121">
        <w:rPr>
          <w:rFonts w:ascii="Narkisim" w:hAnsi="Narkisim" w:cs="Narkisim"/>
          <w:b/>
          <w:bCs/>
          <w:rtl/>
        </w:rPr>
        <w:t>ר"י</w:t>
      </w:r>
      <w:r w:rsidRPr="00E14121">
        <w:rPr>
          <w:rFonts w:ascii="Narkisim" w:hAnsi="Narkisim" w:cs="Narkisim"/>
          <w:rtl/>
        </w:rPr>
        <w:t xml:space="preserve"> בתוס' פי' דמצרפין מיעוט שכבר הפילה</w:t>
      </w:r>
      <w:r w:rsidRPr="00E14121">
        <w:rPr>
          <w:rStyle w:val="ac"/>
          <w:rFonts w:ascii="Narkisim" w:hAnsi="Narkisim" w:cs="Narkisim"/>
          <w:rtl/>
        </w:rPr>
        <w:footnoteReference w:id="4089"/>
      </w:r>
      <w:r w:rsidRPr="00E14121">
        <w:rPr>
          <w:rFonts w:ascii="Narkisim" w:hAnsi="Narkisim" w:cs="Narkisim"/>
          <w:rtl/>
        </w:rPr>
        <w:t>.</w:t>
      </w:r>
    </w:p>
    <w:p w14:paraId="7BBE75D7" w14:textId="77777777" w:rsidR="00F64AED" w:rsidRPr="00E14121" w:rsidRDefault="00F64AED" w:rsidP="00F64AED">
      <w:pPr>
        <w:pStyle w:val="a7"/>
        <w:bidi/>
        <w:rPr>
          <w:rFonts w:ascii="Narkisim" w:hAnsi="Narkisim"/>
        </w:rPr>
      </w:pPr>
      <w:r w:rsidRPr="00E14121">
        <w:rPr>
          <w:rFonts w:ascii="Narkisim" w:hAnsi="Narkisim"/>
          <w:rtl/>
        </w:rPr>
        <w:t>ובפשוטו משמע דהוה גדר ספק ספיקא</w:t>
      </w:r>
      <w:r w:rsidRPr="00E14121">
        <w:rPr>
          <w:rStyle w:val="ac"/>
          <w:rFonts w:ascii="Narkisim" w:hAnsi="Narkisim"/>
          <w:rtl/>
        </w:rPr>
        <w:footnoteReference w:id="4090"/>
      </w:r>
      <w:r w:rsidRPr="00E14121">
        <w:rPr>
          <w:rFonts w:ascii="Narkisim" w:hAnsi="Narkisim"/>
          <w:rtl/>
        </w:rPr>
        <w:t xml:space="preserve"> [וכ”מ בתוס' פסחים ז.]. אך ה</w:t>
      </w:r>
      <w:r w:rsidRPr="00E14121">
        <w:rPr>
          <w:rFonts w:ascii="Narkisim" w:hAnsi="Narkisim"/>
          <w:b/>
          <w:bCs/>
          <w:rtl/>
        </w:rPr>
        <w:t>ריב"ש</w:t>
      </w:r>
      <w:r w:rsidRPr="00E14121">
        <w:rPr>
          <w:rFonts w:ascii="Narkisim" w:hAnsi="Narkisim"/>
          <w:rtl/>
        </w:rPr>
        <w:t xml:space="preserve"> (שעב, הו' בשמעתתא א יח) כתב דל"מ ספק ספיקא היכא דא' מהספיקות אינו שקול</w:t>
      </w:r>
      <w:r w:rsidRPr="00E14121">
        <w:rPr>
          <w:rStyle w:val="ac"/>
          <w:rFonts w:ascii="Narkisim" w:hAnsi="Narkisim"/>
          <w:rtl/>
        </w:rPr>
        <w:footnoteReference w:id="4091"/>
      </w:r>
      <w:r w:rsidRPr="00E14121">
        <w:rPr>
          <w:rFonts w:ascii="Narkisim" w:hAnsi="Narkisim"/>
          <w:rtl/>
        </w:rPr>
        <w:t xml:space="preserve"> [וה"נ יש רוב שאין מפילות]. וביאר דשאני הכא דהוה גדר רוב, דמחצה נקיבות הוא ודאי והכרח כי כן יסד מלכו של עולם</w:t>
      </w:r>
      <w:r w:rsidRPr="00E14121">
        <w:rPr>
          <w:rStyle w:val="ac"/>
          <w:rFonts w:ascii="Narkisim" w:hAnsi="Narkisim"/>
          <w:rtl/>
        </w:rPr>
        <w:footnoteReference w:id="4092"/>
      </w:r>
      <w:r w:rsidRPr="00E14121">
        <w:rPr>
          <w:rFonts w:ascii="Narkisim" w:hAnsi="Narkisim"/>
          <w:rtl/>
        </w:rPr>
        <w:t>, ומש"ה זכרים הנולדים הוה מיעוט.</w:t>
      </w:r>
    </w:p>
    <w:p w14:paraId="54BBA7D9"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(בע"א) נקט הלשון 'ואת"ל זכר', דמשמע ס"ס. אבל רש"י (בע"ב ד"ה אין) מבואר דהוה מדין רוב. אך ה</w:t>
      </w:r>
      <w:r w:rsidRPr="00E14121">
        <w:rPr>
          <w:rFonts w:ascii="Narkisim" w:hAnsi="Narkisim"/>
          <w:b/>
          <w:bCs/>
          <w:rtl/>
        </w:rPr>
        <w:t xml:space="preserve">אחרונים </w:t>
      </w:r>
      <w:r w:rsidRPr="00E14121">
        <w:rPr>
          <w:rFonts w:ascii="Narkisim" w:hAnsi="Narkisim"/>
          <w:rtl/>
        </w:rPr>
        <w:t>הביאו דב</w:t>
      </w:r>
      <w:r w:rsidRPr="00E14121">
        <w:rPr>
          <w:rFonts w:ascii="Narkisim" w:hAnsi="Narkisim"/>
          <w:b/>
          <w:bCs/>
          <w:rtl/>
        </w:rPr>
        <w:t>ירושלמי</w:t>
      </w:r>
      <w:r w:rsidRPr="00E14121">
        <w:rPr>
          <w:rFonts w:ascii="Narkisim" w:hAnsi="Narkisim"/>
          <w:rtl/>
        </w:rPr>
        <w:t xml:space="preserve"> איתא דהוה משום שני ספיקות וכו'.</w:t>
      </w:r>
    </w:p>
    <w:p w14:paraId="3E231BA7" w14:textId="77777777" w:rsidR="00F64AED" w:rsidRPr="00E14121" w:rsidRDefault="00F64AED" w:rsidP="00F64AED">
      <w:pPr>
        <w:bidi/>
        <w:rPr>
          <w:rFonts w:ascii="Narkisim" w:hAnsi="Narkisim" w:cs="Narkisim"/>
        </w:rPr>
      </w:pPr>
      <w:r w:rsidRPr="00E14121">
        <w:rPr>
          <w:rFonts w:ascii="Narkisim" w:hAnsi="Narkisim" w:cs="Narkisim"/>
          <w:u w:val="single"/>
          <w:rtl/>
        </w:rPr>
        <w:t>תוד"ה אין.</w:t>
      </w:r>
      <w:r w:rsidRPr="00E14121">
        <w:rPr>
          <w:rFonts w:ascii="Narkisim" w:hAnsi="Narkisim" w:cs="Narkisim"/>
          <w:rtl/>
        </w:rPr>
        <w:t xml:space="preserve"> הק' הר"ש בר"ח וכו' הא כי הוה נמי נפל פסיל וכו'. תוס' הוכיחו [מב"ב קמב.] שלמ"ד עובר יורש, יורש חלקו אף שתפיל לבסוף. וכ"כ </w:t>
      </w:r>
      <w:r w:rsidRPr="00E14121">
        <w:rPr>
          <w:rFonts w:ascii="Narkisim" w:hAnsi="Narkisim" w:cs="Narkisim"/>
          <w:b/>
          <w:bCs/>
          <w:rtl/>
        </w:rPr>
        <w:t>רשב"ם</w:t>
      </w:r>
      <w:r w:rsidRPr="00E14121">
        <w:rPr>
          <w:rFonts w:ascii="Narkisim" w:hAnsi="Narkisim" w:cs="Narkisim"/>
          <w:rtl/>
        </w:rPr>
        <w:t xml:space="preserve"> (שם). אבל ה</w:t>
      </w:r>
      <w:r w:rsidRPr="00E14121">
        <w:rPr>
          <w:rFonts w:ascii="Narkisim" w:hAnsi="Narkisim" w:cs="Narkisim"/>
          <w:b/>
          <w:bCs/>
          <w:rtl/>
        </w:rPr>
        <w:t xml:space="preserve">רמב"ן </w:t>
      </w:r>
      <w:r w:rsidRPr="00E14121">
        <w:rPr>
          <w:rFonts w:ascii="Narkisim" w:hAnsi="Narkisim" w:cs="Narkisim"/>
          <w:rtl/>
        </w:rPr>
        <w:t xml:space="preserve">(שם) כתב דאם הפילה אגילאי מילתא דל"ק מעולם. אלא דאיירי התם שהוציא ראשו חי, ואח”כ מת. </w:t>
      </w:r>
      <w:r w:rsidRPr="00E14121">
        <w:rPr>
          <w:rFonts w:ascii="Narkisim" w:hAnsi="Narkisim" w:cs="Narkisim"/>
          <w:sz w:val="20"/>
          <w:szCs w:val="20"/>
          <w:rtl/>
        </w:rPr>
        <w:t>וה</w:t>
      </w:r>
      <w:r w:rsidRPr="00E14121">
        <w:rPr>
          <w:rFonts w:ascii="Narkisim" w:hAnsi="Narkisim" w:cs="Narkisim"/>
          <w:b/>
          <w:bCs/>
          <w:sz w:val="20"/>
          <w:szCs w:val="20"/>
          <w:rtl/>
        </w:rPr>
        <w:t>קצות</w:t>
      </w:r>
      <w:r w:rsidRPr="00E14121">
        <w:rPr>
          <w:rFonts w:ascii="Narkisim" w:hAnsi="Narkisim" w:cs="Narkisim"/>
          <w:sz w:val="20"/>
          <w:szCs w:val="20"/>
          <w:rtl/>
        </w:rPr>
        <w:t xml:space="preserve"> (רעו א) האריך בזה</w:t>
      </w:r>
      <w:r w:rsidRPr="00E14121">
        <w:rPr>
          <w:rStyle w:val="ac"/>
          <w:rFonts w:ascii="Narkisim" w:hAnsi="Narkisim" w:cs="Narkisim"/>
          <w:sz w:val="20"/>
          <w:szCs w:val="20"/>
          <w:rtl/>
        </w:rPr>
        <w:footnoteReference w:id="4093"/>
      </w:r>
      <w:r w:rsidRPr="00E14121">
        <w:rPr>
          <w:rFonts w:ascii="Narkisim" w:hAnsi="Narkisim" w:cs="Narkisim"/>
          <w:sz w:val="20"/>
          <w:szCs w:val="20"/>
          <w:rtl/>
        </w:rPr>
        <w:t>.</w:t>
      </w:r>
    </w:p>
    <w:p w14:paraId="63E8BE1E"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תוס' רי"ד</w:t>
      </w:r>
      <w:r w:rsidRPr="00E14121">
        <w:rPr>
          <w:rFonts w:ascii="Narkisim" w:hAnsi="Narkisim"/>
          <w:rtl/>
        </w:rPr>
        <w:t xml:space="preserve"> (ב"ב קמב.) הביא מסוגיין דאם הפילה בסוף אינו יורש, דאיגלאי מילתא דלא היה כלום. והק' דבסוגיא (שם) משמע דיורש. ותי' דס"ל לרב ששת דבזה פליגי ר' שמעון ור' יוסי, דלר' יוסי פוסל אפי' תפיל ולכן אין כאן רוב.</w:t>
      </w:r>
    </w:p>
    <w:p w14:paraId="72D266AD" w14:textId="77777777" w:rsidR="00F64AED" w:rsidRPr="00E14121" w:rsidRDefault="00F64AED" w:rsidP="00F64AED">
      <w:pPr>
        <w:pStyle w:val="aa"/>
        <w:bidi/>
        <w:rPr>
          <w:rFonts w:ascii="Narkisim" w:hAnsi="Narkisim"/>
        </w:rPr>
      </w:pPr>
      <w:r w:rsidRPr="00E14121">
        <w:rPr>
          <w:rFonts w:ascii="Narkisim" w:hAnsi="Narkisim"/>
          <w:u w:val="single"/>
          <w:rtl/>
        </w:rPr>
        <w:lastRenderedPageBreak/>
        <w:t>בא"ד כיון דאין עולה לייבום אין עולה לחליצה, וי”ל וכו' כיון דאם יבא אליהו.</w:t>
      </w:r>
      <w:r w:rsidRPr="00E14121">
        <w:rPr>
          <w:rFonts w:ascii="Narkisim" w:hAnsi="Narkisim"/>
          <w:rtl/>
        </w:rPr>
        <w:t xml:space="preserve"> [וכ"כ הרמב"ן ושא"ר]. וב</w:t>
      </w:r>
      <w:r w:rsidRPr="00E14121">
        <w:rPr>
          <w:rFonts w:ascii="Narkisim" w:hAnsi="Narkisim"/>
          <w:b/>
          <w:bCs/>
          <w:rtl/>
        </w:rPr>
        <w:t>גהש"ס</w:t>
      </w:r>
      <w:r w:rsidRPr="00E14121">
        <w:rPr>
          <w:rFonts w:ascii="Narkisim" w:hAnsi="Narkisim"/>
          <w:rtl/>
        </w:rPr>
        <w:t xml:space="preserve"> ציין לגמ' (לעיל מא:) דאיתא הכי להדיא דמהני חליצה ב'ספיקות' משום דאם יבא אליהו. וצ"ב אמאי לא ציינו דזהו קושיית ותי' הגמ' שם</w:t>
      </w:r>
      <w:r w:rsidRPr="00E14121">
        <w:rPr>
          <w:rStyle w:val="ac"/>
          <w:rFonts w:ascii="Narkisim" w:hAnsi="Narkisim"/>
          <w:rtl/>
        </w:rPr>
        <w:footnoteReference w:id="4094"/>
      </w:r>
      <w:r w:rsidRPr="00E14121">
        <w:rPr>
          <w:rFonts w:ascii="Narkisim" w:hAnsi="Narkisim"/>
          <w:rtl/>
        </w:rPr>
        <w:t>.</w:t>
      </w:r>
    </w:p>
    <w:p w14:paraId="0CB9FCA0" w14:textId="77777777" w:rsidR="00F64AED" w:rsidRPr="00E14121" w:rsidRDefault="00F64AED" w:rsidP="00F64AED">
      <w:pPr>
        <w:bidi/>
        <w:rPr>
          <w:rFonts w:ascii="Narkisim" w:hAnsi="Narkisim" w:cs="Narkisim"/>
        </w:rPr>
      </w:pPr>
      <w:r w:rsidRPr="00E14121">
        <w:rPr>
          <w:rFonts w:ascii="Narkisim" w:hAnsi="Narkisim" w:cs="Narkisim"/>
          <w:u w:val="single"/>
          <w:rtl/>
        </w:rPr>
        <w:t>בא"ד וא"ת דבפ"ק דכתובות לא חייש ר' יוסי וכו'.</w:t>
      </w:r>
      <w:r w:rsidRPr="00E14121">
        <w:rPr>
          <w:rFonts w:ascii="Narkisim" w:hAnsi="Narkisim" w:cs="Narkisim"/>
          <w:rtl/>
        </w:rPr>
        <w:t xml:space="preserve"> ואור"י דרובא דאיתא קמן כו"ע לא חיישינן. וכ”כ </w:t>
      </w:r>
      <w:r w:rsidRPr="00E14121">
        <w:rPr>
          <w:rFonts w:ascii="Narkisim" w:hAnsi="Narkisim" w:cs="Narkisim"/>
          <w:b/>
          <w:bCs/>
          <w:rtl/>
        </w:rPr>
        <w:t>תוס</w:t>
      </w:r>
      <w:r w:rsidRPr="00E14121">
        <w:rPr>
          <w:rFonts w:ascii="Narkisim" w:hAnsi="Narkisim" w:cs="Narkisim"/>
          <w:rtl/>
        </w:rPr>
        <w:t>' (בכורות יט: ד"ה ברובא, ולקמן קיט. ד"ה כגון) דלא פליג ר' מאיר ברובא דאיתא קמן, דט' חנויות ילפי' מקרא דאחרי רבים להטות</w:t>
      </w:r>
      <w:r w:rsidRPr="00E14121">
        <w:rPr>
          <w:rStyle w:val="ac"/>
          <w:rFonts w:ascii="Narkisim" w:hAnsi="Narkisim" w:cs="Narkisim"/>
          <w:rtl/>
        </w:rPr>
        <w:footnoteReference w:id="4095"/>
      </w:r>
      <w:r w:rsidRPr="00E14121">
        <w:rPr>
          <w:rFonts w:ascii="Narkisim" w:hAnsi="Narkisim" w:cs="Narkisim"/>
          <w:rtl/>
        </w:rPr>
        <w:t xml:space="preserve">. </w:t>
      </w:r>
      <w:r w:rsidRPr="00E14121">
        <w:rPr>
          <w:rFonts w:ascii="Narkisim" w:hAnsi="Narkisim" w:cs="Narkisim"/>
          <w:sz w:val="20"/>
          <w:szCs w:val="20"/>
          <w:rtl/>
        </w:rPr>
        <w:t>[אבל</w:t>
      </w:r>
      <w:r w:rsidRPr="00E14121">
        <w:rPr>
          <w:rFonts w:ascii="Narkisim" w:hAnsi="Narkisim" w:cs="Narkisim"/>
          <w:b/>
          <w:bCs/>
          <w:sz w:val="20"/>
          <w:szCs w:val="20"/>
          <w:rtl/>
        </w:rPr>
        <w:t xml:space="preserve"> </w:t>
      </w:r>
      <w:r w:rsidRPr="00E14121">
        <w:rPr>
          <w:rFonts w:ascii="Narkisim" w:hAnsi="Narkisim" w:cs="Narkisim"/>
          <w:sz w:val="20"/>
          <w:szCs w:val="20"/>
          <w:rtl/>
        </w:rPr>
        <w:t>ה</w:t>
      </w:r>
      <w:r w:rsidRPr="00E14121">
        <w:rPr>
          <w:rFonts w:ascii="Narkisim" w:hAnsi="Narkisim" w:cs="Narkisim"/>
          <w:b/>
          <w:bCs/>
          <w:sz w:val="20"/>
          <w:szCs w:val="20"/>
          <w:rtl/>
        </w:rPr>
        <w:t>ראשונים</w:t>
      </w:r>
      <w:r w:rsidRPr="00E14121">
        <w:rPr>
          <w:rFonts w:ascii="Narkisim" w:hAnsi="Narkisim" w:cs="Narkisim"/>
          <w:sz w:val="20"/>
          <w:szCs w:val="20"/>
          <w:rtl/>
        </w:rPr>
        <w:t xml:space="preserve"> דתי' באופ"א מבואר דס"ל דאף ברובא דאיתא קמן חייש ר' מאיר למיעוטא].</w:t>
      </w:r>
    </w:p>
    <w:p w14:paraId="561D50AD"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תי' התם בדיעבד והכא לכתחילה. א"נ התם הו"ל תרי רובי (וכדאי' כתובות טו.)</w:t>
      </w:r>
      <w:r w:rsidRPr="00E14121">
        <w:rPr>
          <w:rStyle w:val="ac"/>
          <w:rFonts w:ascii="Narkisim" w:hAnsi="Narkisim"/>
          <w:rtl/>
        </w:rPr>
        <w:footnoteReference w:id="4096"/>
      </w:r>
      <w:r w:rsidRPr="00E14121">
        <w:rPr>
          <w:rFonts w:ascii="Narkisim" w:hAnsi="Narkisim"/>
          <w:rtl/>
        </w:rPr>
        <w:t>. וה</w:t>
      </w:r>
      <w:r w:rsidRPr="00E14121">
        <w:rPr>
          <w:rFonts w:ascii="Narkisim" w:hAnsi="Narkisim"/>
          <w:b/>
          <w:bCs/>
          <w:rtl/>
        </w:rPr>
        <w:t>ריטב"א</w:t>
      </w:r>
      <w:r w:rsidRPr="00E14121">
        <w:rPr>
          <w:rFonts w:ascii="Narkisim" w:hAnsi="Narkisim"/>
          <w:rtl/>
        </w:rPr>
        <w:t xml:space="preserve"> ביאר דעי"ז הוה מיעוטא דמיעוטא</w:t>
      </w:r>
      <w:r w:rsidRPr="00E14121">
        <w:rPr>
          <w:rStyle w:val="ac"/>
          <w:rFonts w:ascii="Narkisim" w:hAnsi="Narkisim"/>
          <w:rtl/>
        </w:rPr>
        <w:footnoteReference w:id="4097"/>
      </w:r>
      <w:r w:rsidRPr="00E14121">
        <w:rPr>
          <w:rFonts w:ascii="Narkisim" w:hAnsi="Narkisim"/>
          <w:rtl/>
        </w:rPr>
        <w:t>.</w:t>
      </w:r>
    </w:p>
    <w:p w14:paraId="3DACF2C9" w14:textId="77777777" w:rsidR="00F64AED" w:rsidRPr="00E14121" w:rsidRDefault="00F64AED" w:rsidP="00F64AED">
      <w:pPr>
        <w:pStyle w:val="a7"/>
        <w:bidi/>
        <w:rPr>
          <w:rFonts w:ascii="Narkisim" w:hAnsi="Narkisim"/>
        </w:rPr>
      </w:pPr>
      <w:r w:rsidRPr="00E14121">
        <w:rPr>
          <w:rFonts w:ascii="Narkisim" w:hAnsi="Narkisim"/>
          <w:rtl/>
        </w:rPr>
        <w:t>ועוד תי' ה</w:t>
      </w:r>
      <w:r w:rsidRPr="00E14121">
        <w:rPr>
          <w:rFonts w:ascii="Narkisim" w:hAnsi="Narkisim"/>
          <w:b/>
          <w:bCs/>
          <w:rtl/>
        </w:rPr>
        <w:t xml:space="preserve">ריטב"א </w:t>
      </w:r>
      <w:r w:rsidRPr="00E14121">
        <w:rPr>
          <w:rFonts w:ascii="Narkisim" w:hAnsi="Narkisim"/>
          <w:rtl/>
        </w:rPr>
        <w:t>דהתם קאי בחזקת כשרות, ומשום מיעוט לא מפקעינן להחזיקה בפסול.</w:t>
      </w:r>
    </w:p>
    <w:p w14:paraId="2EEADF1D"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ר"ן</w:t>
      </w:r>
      <w:r w:rsidRPr="00E14121">
        <w:rPr>
          <w:rFonts w:ascii="Narkisim" w:hAnsi="Narkisim"/>
          <w:rtl/>
        </w:rPr>
        <w:t xml:space="preserve"> (נדה מד.) כתב דר' יוסי חייש להך מיעוטא, דלא חשיב ליה מיעוט דמפילות.</w:t>
      </w:r>
    </w:p>
    <w:p w14:paraId="037E2A10" w14:textId="77777777" w:rsidR="00F64AED" w:rsidRPr="00E14121" w:rsidRDefault="00F64AED" w:rsidP="00F64AED">
      <w:pPr>
        <w:pStyle w:val="a7"/>
        <w:bidi/>
        <w:rPr>
          <w:rFonts w:ascii="Narkisim" w:hAnsi="Narkisim"/>
        </w:rPr>
      </w:pPr>
      <w:r w:rsidRPr="00E14121">
        <w:rPr>
          <w:rFonts w:ascii="Narkisim" w:hAnsi="Narkisim"/>
          <w:rtl/>
        </w:rPr>
        <w:t xml:space="preserve">ועוד תי' </w:t>
      </w:r>
      <w:r w:rsidRPr="00E14121">
        <w:rPr>
          <w:rFonts w:ascii="Narkisim" w:hAnsi="Narkisim"/>
          <w:b/>
          <w:bCs/>
          <w:rtl/>
        </w:rPr>
        <w:t>רע"א</w:t>
      </w:r>
      <w:r w:rsidRPr="00E14121">
        <w:rPr>
          <w:rFonts w:ascii="Narkisim" w:hAnsi="Narkisim"/>
          <w:rtl/>
        </w:rPr>
        <w:t xml:space="preserve"> די"ל דדוקא בסוגיין חייש ר' יוסי למיעוטא, כיון שסופו ליוולד ויתברר הספק, והוה גנאי שאוכל תרומה שלא כדין. [ודעת ר' שמעון דאזלי' בתר רוב אף שסופו שיתברר שיוולד זכר].</w:t>
      </w:r>
    </w:p>
    <w:p w14:paraId="1A206914" w14:textId="77777777" w:rsidR="00F64AED" w:rsidRPr="00E14121" w:rsidRDefault="00F64AED" w:rsidP="00F64AED">
      <w:pPr>
        <w:bidi/>
        <w:rPr>
          <w:rFonts w:ascii="Narkisim" w:hAnsi="Narkisim" w:cs="Narkisim"/>
        </w:rPr>
      </w:pPr>
      <w:r w:rsidRPr="00E14121">
        <w:rPr>
          <w:rFonts w:ascii="Narkisim" w:hAnsi="Narkisim" w:cs="Narkisim"/>
          <w:u w:val="single"/>
          <w:rtl/>
        </w:rPr>
        <w:t>בא"ד ומיהו צ"ע וכו' אלמא לא חייש ר' יוסי לענין ממונא וכו'</w:t>
      </w:r>
      <w:r w:rsidRPr="00E14121">
        <w:rPr>
          <w:rStyle w:val="ac"/>
          <w:rFonts w:ascii="Narkisim" w:hAnsi="Narkisim" w:cs="Narkisim"/>
          <w:rtl/>
        </w:rPr>
        <w:footnoteReference w:id="4098"/>
      </w:r>
      <w:r w:rsidRPr="00E14121">
        <w:rPr>
          <w:rFonts w:ascii="Narkisim" w:hAnsi="Narkisim" w:cs="Narkisim"/>
          <w:rtl/>
        </w:rPr>
        <w:t>. וה</w:t>
      </w:r>
      <w:r w:rsidRPr="00E14121">
        <w:rPr>
          <w:rFonts w:ascii="Narkisim" w:hAnsi="Narkisim" w:cs="Narkisim"/>
          <w:b/>
          <w:bCs/>
          <w:rtl/>
        </w:rPr>
        <w:t>תוס' הרא"ש</w:t>
      </w:r>
      <w:r w:rsidRPr="00E14121">
        <w:rPr>
          <w:rFonts w:ascii="Narkisim" w:hAnsi="Narkisim" w:cs="Narkisim"/>
          <w:rtl/>
        </w:rPr>
        <w:t xml:space="preserve"> תי' דלענין ממון כיון דמדאורייתא אזלינן בתר רוב אין לנו כח להפקיע ממונו של זה לחוש למיעוט.</w:t>
      </w:r>
    </w:p>
    <w:p w14:paraId="686BDFC2" w14:textId="77777777" w:rsidR="00F64AED" w:rsidRPr="00E14121" w:rsidRDefault="00F64AED" w:rsidP="00F64AED">
      <w:pPr>
        <w:pStyle w:val="aa"/>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בגהש"ס ציין דב</w:t>
      </w:r>
      <w:r w:rsidRPr="00E14121">
        <w:rPr>
          <w:rFonts w:ascii="Narkisim" w:hAnsi="Narkisim"/>
          <w:b/>
          <w:bCs/>
          <w:rtl/>
          <w:lang w:val="he-IL"/>
        </w:rPr>
        <w:t>שו"ת הר"ן</w:t>
      </w:r>
      <w:r w:rsidRPr="00E14121">
        <w:rPr>
          <w:rFonts w:ascii="Narkisim" w:hAnsi="Narkisim"/>
          <w:rtl/>
          <w:lang w:val="he-IL"/>
        </w:rPr>
        <w:t xml:space="preserve"> (מט הו' בב"י קצא) נקט דר' יוסי</w:t>
      </w:r>
      <w:r w:rsidRPr="00E14121">
        <w:rPr>
          <w:rStyle w:val="ac"/>
          <w:rFonts w:ascii="Narkisim" w:hAnsi="Narkisim"/>
          <w:rtl/>
          <w:lang w:val="he-IL"/>
        </w:rPr>
        <w:footnoteReference w:id="4099"/>
      </w:r>
      <w:r w:rsidRPr="00E14121">
        <w:rPr>
          <w:rFonts w:ascii="Narkisim" w:hAnsi="Narkisim"/>
          <w:rtl/>
          <w:lang w:val="he-IL"/>
        </w:rPr>
        <w:t xml:space="preserve"> לא חייש למיעוטא. וכן ה</w:t>
      </w:r>
      <w:r w:rsidRPr="00E14121">
        <w:rPr>
          <w:rFonts w:ascii="Narkisim" w:hAnsi="Narkisim"/>
          <w:b/>
          <w:bCs/>
          <w:rtl/>
          <w:lang w:val="he-IL"/>
        </w:rPr>
        <w:t>ר"ן</w:t>
      </w:r>
      <w:r w:rsidRPr="00E14121">
        <w:rPr>
          <w:rFonts w:ascii="Narkisim" w:hAnsi="Narkisim"/>
          <w:rtl/>
          <w:lang w:val="he-IL"/>
        </w:rPr>
        <w:t xml:space="preserve"> (שבת קלד: נד. בדה"ר) נקט דר' יוסי לא חייש למיעוטא דנולד כשהוא מהול.</w:t>
      </w:r>
    </w:p>
    <w:p w14:paraId="0D73F7DC" w14:textId="77777777" w:rsidR="00F64AED" w:rsidRPr="00E14121" w:rsidRDefault="00F64AED" w:rsidP="00F64AED">
      <w:pPr>
        <w:pStyle w:val="aa"/>
        <w:bidi/>
        <w:rPr>
          <w:rFonts w:ascii="Narkisim" w:hAnsi="Narkisim"/>
        </w:rPr>
      </w:pPr>
      <w:r w:rsidRPr="00E14121">
        <w:rPr>
          <w:rFonts w:ascii="Narkisim" w:hAnsi="Narkisim"/>
          <w:u w:val="single"/>
          <w:rtl/>
        </w:rPr>
        <w:t>יתומין שבאו לחלוק בנכסי אביהם, בי"ד מעמידין להם אפוטרופוס וכו'.</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דהאפוטרופוס בורר חלק יפה</w:t>
      </w:r>
      <w:r w:rsidRPr="00E14121">
        <w:rPr>
          <w:rStyle w:val="ac"/>
          <w:rFonts w:ascii="Narkisim" w:hAnsi="Narkisim"/>
          <w:rtl/>
        </w:rPr>
        <w:footnoteReference w:id="4100"/>
      </w:r>
      <w:r w:rsidRPr="00E14121">
        <w:rPr>
          <w:rFonts w:ascii="Narkisim" w:hAnsi="Narkisim"/>
          <w:rtl/>
        </w:rPr>
        <w:t>. ו</w:t>
      </w:r>
      <w:r w:rsidRPr="00E14121">
        <w:rPr>
          <w:rFonts w:ascii="Narkisim" w:hAnsi="Narkisim"/>
          <w:b/>
          <w:bCs/>
          <w:rtl/>
        </w:rPr>
        <w:t>תוס'</w:t>
      </w:r>
      <w:r w:rsidRPr="00E14121">
        <w:rPr>
          <w:rFonts w:ascii="Narkisim" w:hAnsi="Narkisim"/>
          <w:rtl/>
        </w:rPr>
        <w:t xml:space="preserve"> וה</w:t>
      </w:r>
      <w:r w:rsidRPr="00E14121">
        <w:rPr>
          <w:rFonts w:ascii="Narkisim" w:hAnsi="Narkisim"/>
          <w:b/>
          <w:bCs/>
          <w:rtl/>
        </w:rPr>
        <w:t>ראשונים</w:t>
      </w:r>
      <w:r w:rsidRPr="00E14121">
        <w:rPr>
          <w:rFonts w:ascii="Narkisim" w:hAnsi="Narkisim"/>
          <w:rtl/>
        </w:rPr>
        <w:t xml:space="preserve"> (בכ"מ) הביאו מח' האם חולקים בגורל</w:t>
      </w:r>
      <w:r w:rsidRPr="00E14121">
        <w:rPr>
          <w:rStyle w:val="ac"/>
          <w:rFonts w:ascii="Narkisim" w:hAnsi="Narkisim"/>
          <w:rtl/>
        </w:rPr>
        <w:footnoteReference w:id="4101"/>
      </w:r>
      <w:r w:rsidRPr="00E14121">
        <w:rPr>
          <w:rFonts w:ascii="Narkisim" w:hAnsi="Narkisim"/>
          <w:rtl/>
        </w:rPr>
        <w:t>, או דהאפוטרופוס רשאי לחלוק אף ע"י גוד או איגוד.</w:t>
      </w:r>
    </w:p>
    <w:p w14:paraId="34F8795B" w14:textId="77777777" w:rsidR="00F64AED" w:rsidRPr="00E14121" w:rsidRDefault="00F64AED" w:rsidP="00F64AED">
      <w:pPr>
        <w:pStyle w:val="aa"/>
        <w:bidi/>
        <w:rPr>
          <w:rFonts w:ascii="Narkisim" w:hAnsi="Narkisim"/>
        </w:rPr>
      </w:pPr>
      <w:r w:rsidRPr="00E14121">
        <w:rPr>
          <w:rFonts w:ascii="Narkisim" w:hAnsi="Narkisim"/>
          <w:rtl/>
        </w:rPr>
        <w:t>ופ</w:t>
      </w:r>
      <w:r w:rsidRPr="00E14121">
        <w:rPr>
          <w:rFonts w:ascii="Narkisim" w:hAnsi="Narkisim"/>
          <w:b/>
          <w:bCs/>
          <w:rtl/>
        </w:rPr>
        <w:t>רש"י</w:t>
      </w:r>
      <w:r w:rsidRPr="00E14121">
        <w:rPr>
          <w:rFonts w:ascii="Narkisim" w:hAnsi="Narkisim"/>
          <w:rtl/>
        </w:rPr>
        <w:t xml:space="preserve"> דעבדינן תקנתא ובוררין לעובר שאר נכסים כנגד העבד. ו</w:t>
      </w:r>
      <w:r w:rsidRPr="00E14121">
        <w:rPr>
          <w:rFonts w:ascii="Narkisim" w:hAnsi="Narkisim"/>
          <w:b/>
          <w:bCs/>
          <w:rtl/>
        </w:rPr>
        <w:t>תוס</w:t>
      </w:r>
      <w:r w:rsidRPr="00E14121">
        <w:rPr>
          <w:rFonts w:ascii="Narkisim" w:hAnsi="Narkisim"/>
          <w:rtl/>
        </w:rPr>
        <w:t>' (גיטין לד. ד"ה בית דין) הביאו דמבואר דמהני הך תקנה אף במידי דצריך גוד או איגוד, לחלוק עבד כנגד שאר נכסים</w:t>
      </w:r>
      <w:r w:rsidRPr="00E14121">
        <w:rPr>
          <w:rStyle w:val="ac"/>
          <w:rFonts w:ascii="Narkisim" w:hAnsi="Narkisim"/>
          <w:rtl/>
        </w:rPr>
        <w:footnoteReference w:id="4102"/>
      </w:r>
      <w:r w:rsidRPr="00E14121">
        <w:rPr>
          <w:rFonts w:ascii="Narkisim" w:hAnsi="Narkisim"/>
          <w:rtl/>
        </w:rPr>
        <w:t>. ותוס' דחו דשאני הכא דמתעלה חלק העובר בכך, במה שהעבד אוכל בתרומה. ועוד תי' דחלקו עבדים כנגד עבדים, ועשו תקנה עכ"פ לחלק שאר האחים. ועוד תי' דחילקו עבדים כנגד קרקע, וכדאי' (גיטין נב.) דאפוטרופוס מוכרים עבדים לקנות שדות</w:t>
      </w:r>
      <w:r w:rsidRPr="00E14121">
        <w:rPr>
          <w:rStyle w:val="ac"/>
          <w:rFonts w:ascii="Narkisim" w:hAnsi="Narkisim"/>
          <w:rtl/>
        </w:rPr>
        <w:footnoteReference w:id="4103"/>
      </w:r>
      <w:r w:rsidRPr="00E14121">
        <w:rPr>
          <w:rFonts w:ascii="Narkisim" w:hAnsi="Narkisim"/>
          <w:rtl/>
        </w:rPr>
        <w:t>.</w:t>
      </w:r>
    </w:p>
    <w:p w14:paraId="3B546802" w14:textId="77777777" w:rsidR="00F64AED" w:rsidRPr="00E14121" w:rsidRDefault="00F64AED" w:rsidP="00F64AED">
      <w:pPr>
        <w:pStyle w:val="aa"/>
        <w:bidi/>
        <w:rPr>
          <w:rFonts w:ascii="Narkisim" w:hAnsi="Narkisim"/>
        </w:rPr>
      </w:pPr>
      <w:r w:rsidRPr="00E14121">
        <w:rPr>
          <w:rFonts w:ascii="Narkisim" w:hAnsi="Narkisim"/>
          <w:u w:val="single"/>
          <w:rtl/>
        </w:rPr>
        <w:t>שם. שבאו לחלוק</w:t>
      </w:r>
      <w:r w:rsidRPr="00E14121">
        <w:rPr>
          <w:rFonts w:ascii="Narkisim" w:hAnsi="Narkisim"/>
          <w:rtl/>
        </w:rPr>
        <w:t xml:space="preserve">. </w:t>
      </w:r>
      <w:r w:rsidRPr="00E14121">
        <w:rPr>
          <w:rFonts w:ascii="Narkisim" w:hAnsi="Narkisim"/>
          <w:b/>
          <w:bCs/>
          <w:rtl/>
        </w:rPr>
        <w:t>תוס</w:t>
      </w:r>
      <w:r w:rsidRPr="00E14121">
        <w:rPr>
          <w:rFonts w:ascii="Narkisim" w:hAnsi="Narkisim"/>
          <w:rtl/>
        </w:rPr>
        <w:t>' (גיטין לד. ד"ה יתומין וכ"מ) דנו האם דוקא כשכל היתומים באו לחלוק. ותוס' דחו דבסוגיין אין ראיה דחולקין אף בלא תביעת העובר, דהכא יש תקנה לחלק העובר בכך, שיאכלו עבדים אלו בתרומה ולא ימותו ברעב.</w:t>
      </w:r>
    </w:p>
    <w:p w14:paraId="3026E74D" w14:textId="77777777" w:rsidR="00F64AED" w:rsidRPr="00E14121" w:rsidRDefault="00F64AED" w:rsidP="00F64AED">
      <w:pPr>
        <w:pStyle w:val="aa"/>
        <w:bidi/>
        <w:rPr>
          <w:rFonts w:ascii="Narkisim" w:hAnsi="Narkisim"/>
        </w:rPr>
      </w:pPr>
      <w:r w:rsidRPr="00E14121">
        <w:rPr>
          <w:rFonts w:ascii="Narkisim" w:hAnsi="Narkisim"/>
          <w:u w:val="single"/>
          <w:rtl/>
        </w:rPr>
        <w:t>רש"י ד"ה הגדילו.</w:t>
      </w:r>
      <w:r w:rsidRPr="00E14121">
        <w:rPr>
          <w:rFonts w:ascii="Narkisim" w:hAnsi="Narkisim"/>
          <w:rtl/>
        </w:rPr>
        <w:t xml:space="preserve"> ומהניא חלוקה לפירות דעד מחאה. וה</w:t>
      </w:r>
      <w:r w:rsidRPr="00E14121">
        <w:rPr>
          <w:rFonts w:ascii="Narkisim" w:hAnsi="Narkisim"/>
          <w:b/>
          <w:bCs/>
          <w:rtl/>
        </w:rPr>
        <w:t>קוב"ש</w:t>
      </w:r>
      <w:r w:rsidRPr="00E14121">
        <w:rPr>
          <w:rFonts w:ascii="Narkisim" w:hAnsi="Narkisim"/>
          <w:rtl/>
        </w:rPr>
        <w:t xml:space="preserve"> (ח"ב ב"מ י) הקשה דכיון דמחו תתבטל </w:t>
      </w:r>
      <w:r w:rsidRPr="00E14121">
        <w:rPr>
          <w:rFonts w:ascii="Narkisim" w:hAnsi="Narkisim"/>
          <w:rtl/>
        </w:rPr>
        <w:lastRenderedPageBreak/>
        <w:t>החלוקה למפרע, דאינה זכות להם. וה</w:t>
      </w:r>
      <w:r w:rsidRPr="00E14121">
        <w:rPr>
          <w:rFonts w:ascii="Narkisim" w:hAnsi="Narkisim"/>
          <w:b/>
          <w:bCs/>
          <w:rtl/>
        </w:rPr>
        <w:t>ערול"נ</w:t>
      </w:r>
      <w:r w:rsidRPr="00E14121">
        <w:rPr>
          <w:rFonts w:ascii="Narkisim" w:hAnsi="Narkisim"/>
          <w:rtl/>
        </w:rPr>
        <w:t xml:space="preserve"> דייק (מדברי רש"י ד"ה לימא) דאף אם מחו, מה שאכלו בתרומה הוה כדין. וביאר דאף דמהני מחאה בקנין הגוף, מהני חלוקה לקנין פירות שהיה. והביא דדעת רש"י דסגי בקנין פירות לאכול בתרומה, ולא בעי קנין הגוף [ודלא כתוס' סו.].</w:t>
      </w:r>
    </w:p>
    <w:p w14:paraId="5F842EE4" w14:textId="77777777" w:rsidR="00F64AED" w:rsidRPr="00E14121" w:rsidRDefault="00F64AED" w:rsidP="00F64AED">
      <w:pPr>
        <w:bidi/>
        <w:rPr>
          <w:rFonts w:ascii="Narkisim" w:hAnsi="Narkisim" w:cs="Narkisim"/>
        </w:rPr>
      </w:pPr>
      <w:r w:rsidRPr="00E14121">
        <w:rPr>
          <w:rFonts w:ascii="Narkisim" w:hAnsi="Narkisim" w:cs="Narkisim"/>
          <w:u w:val="single"/>
          <w:rtl/>
        </w:rPr>
        <w:t>לא עדיף מהאי דקאי אבראי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דשקלינהו רבנן מהבנים, והעמידו ברשות בנות. ה</w:t>
      </w:r>
      <w:r w:rsidRPr="00E14121">
        <w:rPr>
          <w:rFonts w:ascii="Narkisim" w:hAnsi="Narkisim" w:cs="Narkisim"/>
          <w:b/>
          <w:bCs/>
          <w:rtl/>
        </w:rPr>
        <w:t>רשב"א</w:t>
      </w:r>
      <w:r w:rsidRPr="00E14121">
        <w:rPr>
          <w:rFonts w:ascii="Narkisim" w:hAnsi="Narkisim" w:cs="Narkisim"/>
          <w:rtl/>
        </w:rPr>
        <w:t xml:space="preserve"> הקשה דכיון דיש זכיה לעובר מדאורייתא, היאך אתי תקנ"ח ומפקא איסור תרומה דאורייתא</w:t>
      </w:r>
      <w:r w:rsidRPr="00E14121">
        <w:rPr>
          <w:rStyle w:val="ac"/>
          <w:rFonts w:ascii="Narkisim" w:hAnsi="Narkisim" w:cs="Narkisim"/>
          <w:rtl/>
        </w:rPr>
        <w:footnoteReference w:id="4104"/>
      </w:r>
      <w:r w:rsidRPr="00E14121">
        <w:rPr>
          <w:rFonts w:ascii="Narkisim" w:hAnsi="Narkisim" w:cs="Narkisim"/>
          <w:rtl/>
        </w:rPr>
        <w:t>. וכתב דאפשר דמ"ד הכא ס"ל כמ"ד יש כח ביד חכמים לעקור דבר מה"ת (כרב חסדא לקמן פט.), ומשום תקנת העבדים ותקנת היורשין מפקינן מתרומה לחולין</w:t>
      </w:r>
      <w:r w:rsidRPr="00E14121">
        <w:rPr>
          <w:rStyle w:val="ac"/>
          <w:rFonts w:ascii="Narkisim" w:hAnsi="Narkisim" w:cs="Narkisim"/>
          <w:rtl/>
        </w:rPr>
        <w:footnoteReference w:id="4105"/>
      </w:r>
      <w:r w:rsidRPr="00E14121">
        <w:rPr>
          <w:rFonts w:ascii="Narkisim" w:hAnsi="Narkisim" w:cs="Narkisim"/>
          <w:rtl/>
        </w:rPr>
        <w:t xml:space="preserve"> [וסיים וצ"ע]. וה</w:t>
      </w:r>
      <w:r w:rsidRPr="00E14121">
        <w:rPr>
          <w:rFonts w:ascii="Narkisim" w:hAnsi="Narkisim" w:cs="Narkisim"/>
          <w:b/>
          <w:bCs/>
          <w:rtl/>
        </w:rPr>
        <w:t xml:space="preserve">קר"א </w:t>
      </w:r>
      <w:r w:rsidRPr="00E14121">
        <w:rPr>
          <w:rFonts w:ascii="Narkisim" w:hAnsi="Narkisim" w:cs="Narkisim"/>
          <w:rtl/>
        </w:rPr>
        <w:t>הביא דכן הק' ה</w:t>
      </w:r>
      <w:r w:rsidRPr="00E14121">
        <w:rPr>
          <w:rFonts w:ascii="Narkisim" w:hAnsi="Narkisim" w:cs="Narkisim"/>
          <w:b/>
          <w:bCs/>
          <w:rtl/>
        </w:rPr>
        <w:t>ירושלמי</w:t>
      </w:r>
      <w:r w:rsidRPr="00E14121">
        <w:rPr>
          <w:rFonts w:ascii="Narkisim" w:hAnsi="Narkisim" w:cs="Narkisim"/>
          <w:rtl/>
        </w:rPr>
        <w:t>, והירושלמי תי' דאתיא כמ"ד תרומה בזה"ז דרבנן.</w:t>
      </w:r>
    </w:p>
    <w:p w14:paraId="6D07CA5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כת' דבפשוטו י"ל דתקנו קנין דרבנן ומהני לדאורייתא, ומשום הפקר בי"ד</w:t>
      </w:r>
      <w:r w:rsidRPr="00E14121">
        <w:rPr>
          <w:rStyle w:val="ac"/>
          <w:rFonts w:ascii="Narkisim" w:hAnsi="Narkisim"/>
          <w:rtl/>
        </w:rPr>
        <w:footnoteReference w:id="4106"/>
      </w:r>
      <w:r w:rsidRPr="00E14121">
        <w:rPr>
          <w:rFonts w:ascii="Narkisim" w:hAnsi="Narkisim"/>
          <w:rtl/>
        </w:rPr>
        <w:t>. וה</w:t>
      </w:r>
      <w:r w:rsidRPr="00E14121">
        <w:rPr>
          <w:rFonts w:ascii="Narkisim" w:hAnsi="Narkisim"/>
          <w:b/>
          <w:bCs/>
          <w:rtl/>
        </w:rPr>
        <w:t xml:space="preserve">אבנ"מ </w:t>
      </w:r>
      <w:r w:rsidRPr="00E14121">
        <w:rPr>
          <w:rFonts w:ascii="Narkisim" w:hAnsi="Narkisim"/>
          <w:rtl/>
        </w:rPr>
        <w:t>(כח לג בסופו) הוכיח מכאן בקנין דרבנן מהני להאכיל בתרומה</w:t>
      </w:r>
      <w:r w:rsidRPr="00E14121">
        <w:rPr>
          <w:rStyle w:val="ac"/>
          <w:rFonts w:ascii="Narkisim" w:hAnsi="Narkisim"/>
          <w:rtl/>
        </w:rPr>
        <w:footnoteReference w:id="4107"/>
      </w:r>
      <w:r w:rsidRPr="00E14121">
        <w:rPr>
          <w:rFonts w:ascii="Narkisim" w:hAnsi="Narkisim"/>
          <w:rtl/>
        </w:rPr>
        <w:t xml:space="preserve">. </w:t>
      </w:r>
      <w:r w:rsidRPr="00E14121">
        <w:rPr>
          <w:rFonts w:ascii="Narkisim" w:hAnsi="Narkisim"/>
          <w:sz w:val="20"/>
          <w:szCs w:val="20"/>
          <w:rtl/>
        </w:rPr>
        <w:t>[וצ"ב אמאי לא תי' כן הרשב"א והירושלמי</w:t>
      </w:r>
      <w:r w:rsidRPr="00E14121">
        <w:rPr>
          <w:rStyle w:val="ac"/>
          <w:rFonts w:ascii="Narkisim" w:hAnsi="Narkisim"/>
          <w:sz w:val="20"/>
          <w:szCs w:val="20"/>
          <w:rtl/>
        </w:rPr>
        <w:footnoteReference w:id="4108"/>
      </w:r>
      <w:r w:rsidRPr="00E14121">
        <w:rPr>
          <w:rFonts w:ascii="Narkisim" w:hAnsi="Narkisim"/>
          <w:sz w:val="20"/>
          <w:szCs w:val="20"/>
          <w:rtl/>
        </w:rPr>
        <w:t>].</w:t>
      </w:r>
    </w:p>
    <w:p w14:paraId="5EE9C8C3" w14:textId="77777777" w:rsidR="00F64AED" w:rsidRPr="00E14121" w:rsidRDefault="00F64AED" w:rsidP="00F64AED">
      <w:pPr>
        <w:pStyle w:val="aa"/>
        <w:bidi/>
        <w:rPr>
          <w:rFonts w:ascii="Narkisim" w:hAnsi="Narkisim"/>
        </w:rPr>
      </w:pPr>
      <w:r w:rsidRPr="00E14121">
        <w:rPr>
          <w:rFonts w:ascii="Narkisim" w:hAnsi="Narkisim"/>
          <w:u w:val="single"/>
          <w:rtl/>
        </w:rPr>
        <w:t>תוד"ה שקדמו.</w:t>
      </w:r>
      <w:r w:rsidRPr="00E14121">
        <w:rPr>
          <w:rFonts w:ascii="Narkisim" w:hAnsi="Narkisim"/>
          <w:rtl/>
        </w:rPr>
        <w:t xml:space="preserve"> מלשון שקדמו משמע קודם שהחזיקו וכו'. וכ"כ </w:t>
      </w:r>
      <w:r w:rsidRPr="00E14121">
        <w:rPr>
          <w:rFonts w:ascii="Narkisim" w:hAnsi="Narkisim"/>
          <w:b/>
          <w:bCs/>
          <w:rtl/>
        </w:rPr>
        <w:t>רש"י</w:t>
      </w:r>
      <w:r w:rsidRPr="00E14121">
        <w:rPr>
          <w:rFonts w:ascii="Narkisim" w:hAnsi="Narkisim"/>
          <w:rtl/>
        </w:rPr>
        <w:t xml:space="preserve"> (סוטה כא: וכתובות קג.) ו</w:t>
      </w:r>
      <w:r w:rsidRPr="00E14121">
        <w:rPr>
          <w:rFonts w:ascii="Narkisim" w:hAnsi="Narkisim"/>
          <w:b/>
          <w:bCs/>
          <w:rtl/>
        </w:rPr>
        <w:t>רשב"ם</w:t>
      </w:r>
      <w:r w:rsidRPr="00E14121">
        <w:rPr>
          <w:rFonts w:ascii="Narkisim" w:hAnsi="Narkisim"/>
          <w:rtl/>
        </w:rPr>
        <w:t xml:space="preserve"> (ב"ב קמ.).</w:t>
      </w:r>
    </w:p>
    <w:p w14:paraId="49C7CF5C" w14:textId="77777777" w:rsidR="00F64AED" w:rsidRPr="00E14121" w:rsidRDefault="00F64AED" w:rsidP="00F64AED">
      <w:pPr>
        <w:pStyle w:val="aa"/>
        <w:bidi/>
        <w:rPr>
          <w:rFonts w:ascii="Narkisim" w:hAnsi="Narkisim"/>
        </w:rPr>
      </w:pPr>
      <w:r w:rsidRPr="00E14121">
        <w:rPr>
          <w:rFonts w:ascii="Narkisim" w:hAnsi="Narkisim"/>
          <w:u w:val="single"/>
          <w:rtl/>
        </w:rPr>
        <w:t>בא"ד דא"כ הול"ל כגון שכבר החזיקו.</w:t>
      </w:r>
      <w:r w:rsidRPr="00E14121">
        <w:rPr>
          <w:rFonts w:ascii="Narkisim" w:hAnsi="Narkisim"/>
          <w:rtl/>
        </w:rPr>
        <w:t xml:space="preserve"> וה</w:t>
      </w:r>
      <w:r w:rsidRPr="00E14121">
        <w:rPr>
          <w:rFonts w:ascii="Narkisim" w:hAnsi="Narkisim"/>
          <w:b/>
          <w:bCs/>
          <w:rtl/>
        </w:rPr>
        <w:t>תוס</w:t>
      </w:r>
      <w:r w:rsidRPr="00E14121">
        <w:rPr>
          <w:rFonts w:ascii="Narkisim" w:hAnsi="Narkisim"/>
          <w:rtl/>
        </w:rPr>
        <w:t>' (ב"ב שם) דחו דאף דאפשר לגבות שאר החלקים, אבל יש לחוש שהעובר הוה בת, וא"א לגבות חלק זה כיון שלא יצאת לאויר העולם. ואותו חלק יכולים למכור. וכ”כ ה</w:t>
      </w:r>
      <w:r w:rsidRPr="00E14121">
        <w:rPr>
          <w:rFonts w:ascii="Narkisim" w:hAnsi="Narkisim"/>
          <w:b/>
          <w:bCs/>
          <w:rtl/>
        </w:rPr>
        <w:t>רשב"א</w:t>
      </w:r>
      <w:r w:rsidRPr="00E14121">
        <w:rPr>
          <w:rFonts w:ascii="Narkisim" w:hAnsi="Narkisim"/>
          <w:rtl/>
        </w:rPr>
        <w:t xml:space="preserve"> ושא"ר בסוגיין לדחות.</w:t>
      </w:r>
    </w:p>
    <w:p w14:paraId="116AD331" w14:textId="77777777" w:rsidR="00F64AED" w:rsidRPr="00E14121" w:rsidRDefault="00F64AED" w:rsidP="00F64AED">
      <w:pPr>
        <w:pStyle w:val="2"/>
        <w:bidi/>
        <w:rPr>
          <w:rFonts w:ascii="Narkisim" w:hAnsi="Narkisim"/>
        </w:rPr>
      </w:pPr>
      <w:r w:rsidRPr="00E14121">
        <w:rPr>
          <w:rFonts w:ascii="Narkisim" w:hAnsi="Narkisim"/>
          <w:rtl/>
        </w:rPr>
        <w:t>הקדמה - אכילת בת כהן ואוכלת משום בנה</w:t>
      </w:r>
    </w:p>
    <w:p w14:paraId="4A34BF50" w14:textId="77777777" w:rsidR="00F64AED" w:rsidRPr="00E14121" w:rsidRDefault="00F64AED" w:rsidP="00F64AED">
      <w:pPr>
        <w:bidi/>
        <w:rPr>
          <w:rFonts w:ascii="Narkisim" w:hAnsi="Narkisim" w:cs="Narkisim"/>
        </w:rPr>
      </w:pPr>
      <w:r w:rsidRPr="00E14121">
        <w:rPr>
          <w:rFonts w:ascii="Narkisim" w:hAnsi="Narkisim" w:cs="Narkisim"/>
          <w:u w:val="single"/>
          <w:rtl/>
        </w:rPr>
        <w:t xml:space="preserve"> </w:t>
      </w:r>
      <w:r w:rsidRPr="00E14121">
        <w:rPr>
          <w:rFonts w:ascii="Narkisim" w:hAnsi="Narkisim" w:cs="Narkisim"/>
          <w:rtl/>
        </w:rPr>
        <w:t>מבואר בפסוקים שבת כהן אוכלת בתרומה, וה</w:t>
      </w:r>
      <w:r w:rsidRPr="00E14121">
        <w:rPr>
          <w:rFonts w:ascii="Narkisim" w:hAnsi="Narkisim" w:cs="Narkisim"/>
          <w:b/>
          <w:bCs/>
          <w:rtl/>
        </w:rPr>
        <w:t>אחרונים</w:t>
      </w:r>
      <w:r w:rsidRPr="00E14121">
        <w:rPr>
          <w:rFonts w:ascii="Narkisim" w:hAnsi="Narkisim" w:cs="Narkisim"/>
          <w:rtl/>
        </w:rPr>
        <w:t xml:space="preserve"> חקרו האם אוכלת מחמת עצמה, דהוה כהנת וממשפחת הכהונה</w:t>
      </w:r>
      <w:r w:rsidRPr="00E14121">
        <w:rPr>
          <w:rStyle w:val="ac"/>
          <w:rFonts w:ascii="Narkisim" w:hAnsi="Narkisim" w:cs="Narkisim"/>
          <w:rtl/>
        </w:rPr>
        <w:footnoteReference w:id="4109"/>
      </w:r>
      <w:r w:rsidRPr="00E14121">
        <w:rPr>
          <w:rFonts w:ascii="Narkisim" w:hAnsi="Narkisim" w:cs="Narkisim"/>
          <w:rtl/>
        </w:rPr>
        <w:t>, או דאוכלת מחמת אביה</w:t>
      </w:r>
      <w:r w:rsidRPr="00E14121">
        <w:rPr>
          <w:rStyle w:val="ac"/>
          <w:rFonts w:ascii="Narkisim" w:hAnsi="Narkisim" w:cs="Narkisim"/>
          <w:rtl/>
        </w:rPr>
        <w:footnoteReference w:id="4110"/>
      </w:r>
      <w:r w:rsidRPr="00E14121">
        <w:rPr>
          <w:rFonts w:ascii="Narkisim" w:hAnsi="Narkisim" w:cs="Narkisim"/>
          <w:rtl/>
        </w:rPr>
        <w:t>. ויש דייקו מלשון הגמ' (לקמן סח:) דקדיש גופה, שיש בה קדושה מצד עצמה.</w:t>
      </w:r>
    </w:p>
    <w:p w14:paraId="649C48F6"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sz w:val="20"/>
          <w:szCs w:val="20"/>
          <w:rtl/>
        </w:rPr>
        <w:t xml:space="preserve"> (כתובות מו: ד"ה לענין, ותוס' הרא"ש קידושין ד.)</w:t>
      </w:r>
      <w:r w:rsidRPr="00E14121">
        <w:rPr>
          <w:rFonts w:ascii="Narkisim" w:hAnsi="Narkisim"/>
          <w:rtl/>
        </w:rPr>
        <w:t xml:space="preserve"> מבואר דבת כהן הוה 'ברשות אביה' לענין תרומה</w:t>
      </w:r>
      <w:r w:rsidRPr="00E14121">
        <w:rPr>
          <w:rStyle w:val="ac"/>
          <w:rFonts w:ascii="Narkisim" w:hAnsi="Narkisim"/>
          <w:rtl/>
        </w:rPr>
        <w:footnoteReference w:id="4111"/>
      </w:r>
      <w:r w:rsidRPr="00E14121">
        <w:rPr>
          <w:rFonts w:ascii="Narkisim" w:hAnsi="Narkisim"/>
          <w:sz w:val="20"/>
          <w:szCs w:val="20"/>
          <w:rtl/>
        </w:rPr>
        <w:t xml:space="preserve"> [ותוס' דימו להא דברשות אביה להפרת נדרים</w:t>
      </w:r>
      <w:r w:rsidRPr="00E14121">
        <w:rPr>
          <w:rStyle w:val="ac"/>
          <w:rFonts w:ascii="Narkisim" w:hAnsi="Narkisim"/>
          <w:sz w:val="20"/>
          <w:szCs w:val="20"/>
          <w:rtl/>
        </w:rPr>
        <w:footnoteReference w:id="4112"/>
      </w:r>
      <w:r w:rsidRPr="00E14121">
        <w:rPr>
          <w:rFonts w:ascii="Narkisim" w:hAnsi="Narkisim"/>
          <w:sz w:val="20"/>
          <w:szCs w:val="20"/>
          <w:rtl/>
        </w:rPr>
        <w:t>]</w:t>
      </w:r>
      <w:r w:rsidRPr="00E14121">
        <w:rPr>
          <w:rFonts w:ascii="Narkisim" w:hAnsi="Narkisim"/>
          <w:rtl/>
        </w:rPr>
        <w:t>. והו' בשם ה</w:t>
      </w:r>
      <w:r w:rsidRPr="00E14121">
        <w:rPr>
          <w:rFonts w:ascii="Narkisim" w:hAnsi="Narkisim"/>
          <w:b/>
          <w:bCs/>
          <w:rtl/>
        </w:rPr>
        <w:t>גרי"ז</w:t>
      </w:r>
      <w:r w:rsidRPr="00E14121">
        <w:rPr>
          <w:rFonts w:ascii="Narkisim" w:hAnsi="Narkisim"/>
          <w:rtl/>
        </w:rPr>
        <w:t xml:space="preserve"> שתמה על התוס' דלאו משום רשות אב הוא, אלא מחמת שהיא עצמה כהנת</w:t>
      </w:r>
      <w:r w:rsidRPr="00E14121">
        <w:rPr>
          <w:rStyle w:val="ac"/>
          <w:rFonts w:ascii="Narkisim" w:hAnsi="Narkisim"/>
          <w:rtl/>
        </w:rPr>
        <w:footnoteReference w:id="4113"/>
      </w:r>
      <w:r w:rsidRPr="00E14121">
        <w:rPr>
          <w:rFonts w:ascii="Narkisim" w:hAnsi="Narkisim"/>
          <w:rtl/>
        </w:rPr>
        <w:t>.</w:t>
      </w:r>
    </w:p>
    <w:p w14:paraId="5AA7EA98" w14:textId="77777777" w:rsidR="00F64AED" w:rsidRPr="00E14121" w:rsidRDefault="00F64AED" w:rsidP="00F64AED">
      <w:pPr>
        <w:pStyle w:val="aa"/>
        <w:bidi/>
        <w:rPr>
          <w:rFonts w:ascii="Narkisim" w:hAnsi="Narkisim"/>
        </w:rPr>
      </w:pPr>
      <w:r w:rsidRPr="00E14121">
        <w:rPr>
          <w:rFonts w:ascii="Narkisim" w:hAnsi="Narkisim"/>
          <w:i/>
          <w:iCs/>
          <w:rtl/>
        </w:rPr>
        <w:t>בן כהן</w:t>
      </w:r>
      <w:r w:rsidRPr="00E14121">
        <w:rPr>
          <w:rFonts w:ascii="Narkisim" w:hAnsi="Narkisim"/>
          <w:rtl/>
        </w:rPr>
        <w:t xml:space="preserve"> - ב</w:t>
      </w:r>
      <w:r w:rsidRPr="00E14121">
        <w:rPr>
          <w:rFonts w:ascii="Narkisim" w:hAnsi="Narkisim"/>
          <w:b/>
          <w:bCs/>
          <w:rtl/>
        </w:rPr>
        <w:t>משך חכמה</w:t>
      </w:r>
      <w:r w:rsidRPr="00E14121">
        <w:rPr>
          <w:rFonts w:ascii="Narkisim" w:hAnsi="Narkisim"/>
          <w:rtl/>
        </w:rPr>
        <w:t xml:space="preserve"> (קרח יח יא) כתב קודם שנתכהן פנחס היה אוכל בקדשים קלים מדין </w:t>
      </w:r>
      <w:r w:rsidRPr="00E14121">
        <w:rPr>
          <w:rFonts w:ascii="Narkisim" w:hAnsi="Narkisim"/>
          <w:i/>
          <w:iCs/>
          <w:rtl/>
        </w:rPr>
        <w:t>בן</w:t>
      </w:r>
      <w:r w:rsidRPr="00E14121">
        <w:rPr>
          <w:rFonts w:ascii="Narkisim" w:hAnsi="Narkisim"/>
          <w:rtl/>
        </w:rPr>
        <w:t xml:space="preserve"> </w:t>
      </w:r>
      <w:r w:rsidRPr="00E14121">
        <w:rPr>
          <w:rFonts w:ascii="Narkisim" w:hAnsi="Narkisim"/>
          <w:i/>
          <w:iCs/>
          <w:rtl/>
        </w:rPr>
        <w:t>כהן</w:t>
      </w:r>
      <w:r w:rsidRPr="00E14121">
        <w:rPr>
          <w:rStyle w:val="ac"/>
          <w:rFonts w:ascii="Narkisim" w:hAnsi="Narkisim"/>
          <w:rtl/>
        </w:rPr>
        <w:footnoteReference w:id="4114"/>
      </w:r>
      <w:r w:rsidRPr="00E14121">
        <w:rPr>
          <w:rFonts w:ascii="Narkisim" w:hAnsi="Narkisim"/>
          <w:rtl/>
        </w:rPr>
        <w:t xml:space="preserve"> [וכן בניו]</w:t>
      </w:r>
      <w:r w:rsidRPr="00E14121">
        <w:rPr>
          <w:rStyle w:val="ac"/>
          <w:rFonts w:ascii="Narkisim" w:hAnsi="Narkisim"/>
          <w:rtl/>
        </w:rPr>
        <w:footnoteReference w:id="4115"/>
      </w:r>
      <w:r w:rsidRPr="00E14121">
        <w:rPr>
          <w:rFonts w:ascii="Narkisim" w:hAnsi="Narkisim"/>
          <w:rtl/>
        </w:rPr>
        <w:t>. אבל ה</w:t>
      </w:r>
      <w:r w:rsidRPr="00E14121">
        <w:rPr>
          <w:rFonts w:ascii="Narkisim" w:hAnsi="Narkisim"/>
          <w:b/>
          <w:bCs/>
          <w:rtl/>
        </w:rPr>
        <w:t>חזו"א</w:t>
      </w:r>
      <w:r w:rsidRPr="00E14121">
        <w:rPr>
          <w:rFonts w:ascii="Narkisim" w:hAnsi="Narkisim"/>
          <w:rtl/>
        </w:rPr>
        <w:t xml:space="preserve"> (קמח לדף לו) נקט דפנחס קודם שנתכהן לא אכל תרומה, ולא קיבל מתנות כהונה. וביאר דבנות שאני שנטפלין לאביהן ואוכלין בתרומה מחמתו. דאינם בכהונה עיקרים אלא נטפלין. [אבל בן שראוי להיות עיקרי, אינו יכול להחשב 'נטפל'].</w:t>
      </w:r>
    </w:p>
    <w:p w14:paraId="76DFB244"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 xml:space="preserve">חלק"מ </w:t>
      </w:r>
      <w:r w:rsidRPr="00E14121">
        <w:rPr>
          <w:rFonts w:ascii="Narkisim" w:hAnsi="Narkisim"/>
          <w:rtl/>
        </w:rPr>
        <w:t>(ה א הו' לעיל נז.) כת' דפצוע דכא כהן אין עליו קדושת כהונה, ואף דמבואר שאוכל בתרומה, אכילת תרומה שאני דאפי' עבדים אוכלים בתרומה. ודבריו צ"ב, דהעבדים אוכלים מדין האדון, ולא שסגי בכהונה במקצת. ויש שפי' ע"ד הנ"ל, דאוכל בתרומה מדין אביו.</w:t>
      </w:r>
    </w:p>
    <w:p w14:paraId="7EC6CDDD" w14:textId="77777777" w:rsidR="00F64AED" w:rsidRPr="00E14121" w:rsidRDefault="00F64AED" w:rsidP="00F64AED">
      <w:pPr>
        <w:bidi/>
        <w:rPr>
          <w:rFonts w:ascii="Narkisim" w:hAnsi="Narkisim" w:cs="Narkisim"/>
        </w:rPr>
      </w:pPr>
      <w:r w:rsidRPr="00E14121">
        <w:rPr>
          <w:rFonts w:ascii="Narkisim" w:hAnsi="Narkisim" w:cs="Narkisim"/>
          <w:i/>
          <w:iCs/>
          <w:sz w:val="21"/>
          <w:szCs w:val="21"/>
          <w:rtl/>
        </w:rPr>
        <w:lastRenderedPageBreak/>
        <w:t>נשואה</w:t>
      </w:r>
      <w:r w:rsidRPr="00E14121">
        <w:rPr>
          <w:rFonts w:ascii="Narkisim" w:hAnsi="Narkisim" w:cs="Narkisim"/>
          <w:rtl/>
        </w:rPr>
        <w:t xml:space="preserve"> - בת כהן שנשאת לישראל אינה אוכלת בתרומה, ובגמ' (לקמן סח.) הו' כמה פסוקים, ומבואר דהוה בכלל 'וכל זר'</w:t>
      </w:r>
      <w:r w:rsidRPr="00E14121">
        <w:rPr>
          <w:rStyle w:val="ac"/>
          <w:rFonts w:ascii="Narkisim" w:hAnsi="Narkisim" w:cs="Narkisim"/>
          <w:rtl/>
        </w:rPr>
        <w:footnoteReference w:id="4116"/>
      </w:r>
      <w:r w:rsidRPr="00E14121">
        <w:rPr>
          <w:rFonts w:ascii="Narkisim" w:hAnsi="Narkisim" w:cs="Narkisim"/>
          <w:rtl/>
        </w:rPr>
        <w:t xml:space="preserve">. אבל לענין לקבל מתנות </w:t>
      </w:r>
      <w:r w:rsidRPr="00E14121">
        <w:rPr>
          <w:rFonts w:ascii="Narkisim" w:hAnsi="Narkisim" w:cs="Narkisim"/>
          <w:sz w:val="20"/>
          <w:szCs w:val="20"/>
          <w:rtl/>
        </w:rPr>
        <w:t>[דאין בהם קדושה, ופדיון הבן]</w:t>
      </w:r>
      <w:r w:rsidRPr="00E14121">
        <w:rPr>
          <w:rFonts w:ascii="Narkisim" w:hAnsi="Narkisim" w:cs="Narkisim"/>
          <w:rtl/>
        </w:rPr>
        <w:t xml:space="preserve"> עדיין יש עליה שם כהנת </w:t>
      </w:r>
      <w:r w:rsidRPr="00E14121">
        <w:rPr>
          <w:rFonts w:ascii="Narkisim" w:hAnsi="Narkisim" w:cs="Narkisim"/>
          <w:sz w:val="20"/>
          <w:szCs w:val="20"/>
          <w:rtl/>
        </w:rPr>
        <w:t>[כדאי' בחולין קלב ובשו"ע יו"ד סא].</w:t>
      </w:r>
    </w:p>
    <w:p w14:paraId="2BD49E88" w14:textId="77777777" w:rsidR="00F64AED" w:rsidRPr="00E14121" w:rsidRDefault="00F64AED" w:rsidP="00F64AED">
      <w:pPr>
        <w:pStyle w:val="a7"/>
        <w:bidi/>
        <w:rPr>
          <w:rFonts w:ascii="Narkisim" w:hAnsi="Narkisim"/>
        </w:rPr>
      </w:pPr>
      <w:r w:rsidRPr="00E14121">
        <w:rPr>
          <w:rFonts w:ascii="Narkisim" w:hAnsi="Narkisim"/>
          <w:rtl/>
        </w:rPr>
        <w:t>ומשמע דהנישואין לזר 'מחללה', אלא שאם נתלאמנה או נתגרשה [בלא בנים] חוזרת. [וע' ב</w:t>
      </w:r>
      <w:r w:rsidRPr="00E14121">
        <w:rPr>
          <w:rFonts w:ascii="Narkisim" w:hAnsi="Narkisim"/>
          <w:b/>
          <w:bCs/>
          <w:rtl/>
        </w:rPr>
        <w:t>רמב"ם</w:t>
      </w:r>
      <w:r w:rsidRPr="00E14121">
        <w:rPr>
          <w:rFonts w:ascii="Narkisim" w:hAnsi="Narkisim"/>
          <w:rtl/>
        </w:rPr>
        <w:t xml:space="preserve"> תרומות ו יג והלאה]. וה</w:t>
      </w:r>
      <w:r w:rsidRPr="00E14121">
        <w:rPr>
          <w:rFonts w:ascii="Narkisim" w:hAnsi="Narkisim"/>
          <w:b/>
          <w:bCs/>
          <w:rtl/>
        </w:rPr>
        <w:t>חינוך</w:t>
      </w:r>
      <w:r w:rsidRPr="00E14121">
        <w:rPr>
          <w:rFonts w:ascii="Narkisim" w:hAnsi="Narkisim"/>
          <w:rtl/>
        </w:rPr>
        <w:t xml:space="preserve"> (רפג) ביאר דכשנשאת לזר אינה אוכלת בתרומה, דהוה כא' מצלעותיו.</w:t>
      </w:r>
    </w:p>
    <w:p w14:paraId="16D29C01" w14:textId="77777777" w:rsidR="00F64AED" w:rsidRPr="00E14121" w:rsidRDefault="00F64AED" w:rsidP="00F64AED">
      <w:pPr>
        <w:pStyle w:val="a7"/>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xml:space="preserve"> (כתובות מו: הנ"ל) כת' דארוסה נפקא מרשות אביה, דבת כהן שנתארסה לישראל אינה אוכלת בתרומה. והביאו שה</w:t>
      </w:r>
      <w:r w:rsidRPr="00E14121">
        <w:rPr>
          <w:rFonts w:ascii="Narkisim" w:hAnsi="Narkisim"/>
          <w:b/>
          <w:bCs/>
          <w:rtl/>
        </w:rPr>
        <w:t>גרי"ז</w:t>
      </w:r>
      <w:r w:rsidRPr="00E14121">
        <w:rPr>
          <w:rFonts w:ascii="Narkisim" w:hAnsi="Narkisim"/>
          <w:rtl/>
        </w:rPr>
        <w:t xml:space="preserve"> תמה דלא הוה יציאה מרשות אביה, אלא שע"י הנישואין לזר חל בה 'פסול' לתרומה.</w:t>
      </w:r>
    </w:p>
    <w:p w14:paraId="28B7889D"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אחרונים</w:t>
      </w:r>
      <w:r w:rsidRPr="00E14121">
        <w:rPr>
          <w:rFonts w:ascii="Narkisim" w:hAnsi="Narkisim" w:cs="Narkisim"/>
          <w:rtl/>
        </w:rPr>
        <w:t xml:space="preserve"> (ע' </w:t>
      </w:r>
      <w:r w:rsidRPr="00E14121">
        <w:rPr>
          <w:rFonts w:ascii="Narkisim" w:hAnsi="Narkisim" w:cs="Narkisim"/>
          <w:b/>
          <w:bCs/>
          <w:rtl/>
        </w:rPr>
        <w:t>חזו"א</w:t>
      </w:r>
      <w:r w:rsidRPr="00E14121">
        <w:rPr>
          <w:rFonts w:ascii="Narkisim" w:hAnsi="Narkisim" w:cs="Narkisim"/>
          <w:rtl/>
        </w:rPr>
        <w:t xml:space="preserve"> קלד לדף נו:) חקרו בבת כהן הנשאת לכהן, האם אוכלת רק מחמת בעלה </w:t>
      </w:r>
      <w:r w:rsidRPr="00E14121">
        <w:rPr>
          <w:rFonts w:ascii="Narkisim" w:hAnsi="Narkisim" w:cs="Narkisim"/>
          <w:sz w:val="20"/>
          <w:szCs w:val="20"/>
          <w:rtl/>
        </w:rPr>
        <w:t>[דכיון דנשאת נכנסת לרשות בעלה ועי”ז מפקיע דין כהונה מחמת אביה, וכבר יצאת מרשות אביה]</w:t>
      </w:r>
      <w:r w:rsidRPr="00E14121">
        <w:rPr>
          <w:rFonts w:ascii="Narkisim" w:hAnsi="Narkisim" w:cs="Narkisim"/>
          <w:rtl/>
        </w:rPr>
        <w:t xml:space="preserve">. או דאוכלת אף מחמת אביה, ומב' סיבות. </w:t>
      </w:r>
      <w:r w:rsidRPr="00E14121">
        <w:rPr>
          <w:rFonts w:ascii="Narkisim" w:hAnsi="Narkisim" w:cs="Narkisim"/>
          <w:sz w:val="20"/>
          <w:szCs w:val="20"/>
          <w:rtl/>
        </w:rPr>
        <w:t>[וי"ל דתליא בדברי הבעה"מ וב"י, ע' בסמוך].</w:t>
      </w:r>
    </w:p>
    <w:p w14:paraId="2400B5FF"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ערול"נ</w:t>
      </w:r>
      <w:r w:rsidRPr="00E14121">
        <w:rPr>
          <w:rFonts w:ascii="Narkisim" w:hAnsi="Narkisim"/>
          <w:rtl/>
        </w:rPr>
        <w:t xml:space="preserve"> נסתפק בת כהן שומרת יבם לכהן האם אוכלת, ופשטות הראשונים משמע דאכלה.</w:t>
      </w:r>
    </w:p>
    <w:p w14:paraId="4A52ABA3" w14:textId="77777777" w:rsidR="00F64AED" w:rsidRPr="00E14121" w:rsidRDefault="00F64AED" w:rsidP="00F64AED">
      <w:pPr>
        <w:pStyle w:val="a7"/>
        <w:bidi/>
        <w:rPr>
          <w:rFonts w:ascii="Narkisim" w:hAnsi="Narkisim"/>
        </w:rPr>
      </w:pPr>
      <w:r w:rsidRPr="00E14121">
        <w:rPr>
          <w:rFonts w:ascii="Narkisim" w:hAnsi="Narkisim"/>
          <w:rtl/>
        </w:rPr>
        <w:t>ובת כהן המאורסת לכהן מבואר דאוכלת בתרומה [אף למשנה אחרונה], ויל"פ דאירוסין דכהן אינו לא פוסל בתרומת אביה, א"נ י"ל דאוכלת בזכות בעלה, דבבת כהן לא שייך גזירה</w:t>
      </w:r>
      <w:r w:rsidRPr="00E14121">
        <w:rPr>
          <w:rStyle w:val="ac"/>
          <w:rFonts w:ascii="Narkisim" w:hAnsi="Narkisim"/>
          <w:rtl/>
        </w:rPr>
        <w:footnoteReference w:id="4117"/>
      </w:r>
      <w:r w:rsidRPr="00E14121">
        <w:rPr>
          <w:rFonts w:ascii="Narkisim" w:hAnsi="Narkisim"/>
          <w:rtl/>
        </w:rPr>
        <w:t>. וה</w:t>
      </w:r>
      <w:r w:rsidRPr="00E14121">
        <w:rPr>
          <w:rFonts w:ascii="Narkisim" w:hAnsi="Narkisim"/>
          <w:b/>
          <w:bCs/>
          <w:rtl/>
        </w:rPr>
        <w:t>חזו"א</w:t>
      </w:r>
      <w:r w:rsidRPr="00E14121">
        <w:rPr>
          <w:rFonts w:ascii="Narkisim" w:hAnsi="Narkisim"/>
          <w:rtl/>
        </w:rPr>
        <w:t xml:space="preserve"> (שם) הוכיח מהסוגיא (לעיל נו:) דארוסה</w:t>
      </w:r>
      <w:r w:rsidRPr="00E14121">
        <w:rPr>
          <w:rFonts w:ascii="Narkisim" w:hAnsi="Narkisim"/>
          <w:sz w:val="20"/>
          <w:szCs w:val="20"/>
          <w:rtl/>
        </w:rPr>
        <w:t xml:space="preserve"> [אף שמשתמרת לביאה פסולה</w:t>
      </w:r>
      <w:r w:rsidRPr="00E14121">
        <w:rPr>
          <w:rFonts w:ascii="Narkisim" w:hAnsi="Narkisim"/>
          <w:rtl/>
        </w:rPr>
        <w:t>] עדיין אוכלת בזכות אביה. ויש שדחו די"ל דמהני סברת 'שכבר אכלה' ועי"ז אוכלת מכח בעלה</w:t>
      </w:r>
      <w:r w:rsidRPr="00E14121">
        <w:rPr>
          <w:rStyle w:val="ac"/>
          <w:rFonts w:ascii="Narkisim" w:hAnsi="Narkisim"/>
          <w:rtl/>
        </w:rPr>
        <w:footnoteReference w:id="4118"/>
      </w:r>
      <w:r w:rsidRPr="00E14121">
        <w:rPr>
          <w:rFonts w:ascii="Narkisim" w:hAnsi="Narkisim"/>
          <w:rtl/>
        </w:rPr>
        <w:t>.</w:t>
      </w:r>
    </w:p>
    <w:p w14:paraId="608F684D" w14:textId="77777777" w:rsidR="00F64AED" w:rsidRPr="00E14121" w:rsidRDefault="00F64AED" w:rsidP="00F64AED">
      <w:pPr>
        <w:bidi/>
        <w:rPr>
          <w:rFonts w:ascii="Narkisim" w:hAnsi="Narkisim" w:cs="Narkisim"/>
        </w:rPr>
      </w:pPr>
      <w:r w:rsidRPr="00E14121">
        <w:rPr>
          <w:rFonts w:ascii="Narkisim" w:hAnsi="Narkisim" w:cs="Narkisim"/>
          <w:rtl/>
        </w:rPr>
        <w:t>ודרשי' (לקמן סח: ופז.) דכשהיא חוזרת [בת כהן שנשאת לישראל ומת] אינה חוזרת לחזה ושוק</w:t>
      </w:r>
      <w:r w:rsidRPr="00E14121">
        <w:rPr>
          <w:rStyle w:val="ac"/>
          <w:rFonts w:ascii="Narkisim" w:hAnsi="Narkisim" w:cs="Narkisim"/>
          <w:rtl/>
        </w:rPr>
        <w:footnoteReference w:id="4119"/>
      </w:r>
      <w:r w:rsidRPr="00E14121">
        <w:rPr>
          <w:rFonts w:ascii="Narkisim" w:hAnsi="Narkisim" w:cs="Narkisim"/>
          <w:rtl/>
        </w:rPr>
        <w:t>. ולכאורה משמע ברמב"ם שנתחללה לענין זה</w:t>
      </w:r>
      <w:r w:rsidRPr="00E14121">
        <w:rPr>
          <w:rStyle w:val="ac"/>
          <w:rFonts w:ascii="Narkisim" w:hAnsi="Narkisim" w:cs="Narkisim"/>
          <w:rtl/>
        </w:rPr>
        <w:footnoteReference w:id="4120"/>
      </w:r>
      <w:r w:rsidRPr="00E14121">
        <w:rPr>
          <w:rFonts w:ascii="Narkisim" w:hAnsi="Narkisim" w:cs="Narkisim"/>
          <w:rtl/>
        </w:rPr>
        <w:t>.</w:t>
      </w:r>
    </w:p>
    <w:p w14:paraId="78A134E0" w14:textId="77777777" w:rsidR="00F64AED" w:rsidRPr="00E14121" w:rsidRDefault="00F64AED" w:rsidP="00F64AED">
      <w:pPr>
        <w:pStyle w:val="a8"/>
        <w:bidi/>
        <w:rPr>
          <w:rFonts w:ascii="Narkisim" w:hAnsi="Narkisim"/>
        </w:rPr>
      </w:pPr>
      <w:r w:rsidRPr="00E14121">
        <w:rPr>
          <w:rFonts w:ascii="Narkisim" w:hAnsi="Narkisim"/>
          <w:rtl/>
        </w:rPr>
        <w:t>אמנם בת כהן שנשאת לכהן ומת, לכאורה חוזרת אף לחזה ושוק [כיון דלא פקע ממנה דין אכילה</w:t>
      </w:r>
      <w:r w:rsidRPr="00E14121">
        <w:rPr>
          <w:rStyle w:val="ac"/>
          <w:rFonts w:ascii="Narkisim" w:hAnsi="Narkisim"/>
          <w:rtl/>
        </w:rPr>
        <w:footnoteReference w:id="4121"/>
      </w:r>
      <w:r w:rsidRPr="00E14121">
        <w:rPr>
          <w:rFonts w:ascii="Narkisim" w:hAnsi="Narkisim"/>
          <w:rtl/>
        </w:rPr>
        <w:t>].</w:t>
      </w:r>
    </w:p>
    <w:p w14:paraId="5B766C96" w14:textId="77777777" w:rsidR="00F64AED" w:rsidRPr="00E14121" w:rsidRDefault="00F64AED" w:rsidP="00F64AED">
      <w:pPr>
        <w:bidi/>
        <w:rPr>
          <w:rFonts w:ascii="Narkisim" w:hAnsi="Narkisim" w:cs="Narkisim"/>
        </w:rPr>
      </w:pPr>
      <w:r w:rsidRPr="00E14121">
        <w:rPr>
          <w:rFonts w:ascii="Narkisim" w:hAnsi="Narkisim" w:cs="Narkisim"/>
          <w:i/>
          <w:iCs/>
          <w:sz w:val="21"/>
          <w:szCs w:val="21"/>
          <w:rtl/>
        </w:rPr>
        <w:t>בן ועובר מישראל</w:t>
      </w:r>
      <w:r w:rsidRPr="00E14121">
        <w:rPr>
          <w:rFonts w:ascii="Narkisim" w:hAnsi="Narkisim" w:cs="Narkisim"/>
          <w:rtl/>
        </w:rPr>
        <w:t xml:space="preserve"> – ב</w:t>
      </w:r>
      <w:r w:rsidRPr="00E14121">
        <w:rPr>
          <w:rFonts w:ascii="Narkisim" w:hAnsi="Narkisim" w:cs="Narkisim"/>
          <w:b/>
          <w:bCs/>
          <w:rtl/>
        </w:rPr>
        <w:t>משנה</w:t>
      </w:r>
      <w:r w:rsidRPr="00E14121">
        <w:rPr>
          <w:rFonts w:ascii="Narkisim" w:hAnsi="Narkisim" w:cs="Narkisim"/>
          <w:rtl/>
        </w:rPr>
        <w:t xml:space="preserve"> (סט. ופו:) מבואר דאם יש לה בן מישראל אינה חוזרת לאכול בתרומה, ואפי' נולד בזנות. דכתיב וזרע אין לה, שאינה חוזרת לבית אביה. וב</w:t>
      </w:r>
      <w:r w:rsidRPr="00E14121">
        <w:rPr>
          <w:rFonts w:ascii="Narkisim" w:hAnsi="Narkisim" w:cs="Narkisim"/>
          <w:b/>
          <w:bCs/>
          <w:rtl/>
        </w:rPr>
        <w:t>משנה</w:t>
      </w:r>
      <w:r w:rsidRPr="00E14121">
        <w:rPr>
          <w:rFonts w:ascii="Narkisim" w:hAnsi="Narkisim" w:cs="Narkisim"/>
          <w:rtl/>
        </w:rPr>
        <w:t xml:space="preserve"> (כאן) נתחדש דאפי' עובר פוסל, דדרשי' כנעוריה פרט למעוברת</w:t>
      </w:r>
      <w:r w:rsidRPr="00E14121">
        <w:rPr>
          <w:rStyle w:val="ac"/>
          <w:rFonts w:ascii="Narkisim" w:hAnsi="Narkisim" w:cs="Narkisim"/>
          <w:rtl/>
        </w:rPr>
        <w:footnoteReference w:id="4122"/>
      </w:r>
      <w:r w:rsidRPr="00E14121">
        <w:rPr>
          <w:rFonts w:ascii="Narkisim" w:hAnsi="Narkisim" w:cs="Narkisim"/>
          <w:rtl/>
        </w:rPr>
        <w:t>. וה</w:t>
      </w:r>
      <w:r w:rsidRPr="00E14121">
        <w:rPr>
          <w:rFonts w:ascii="Narkisim" w:hAnsi="Narkisim" w:cs="Narkisim"/>
          <w:b/>
          <w:bCs/>
          <w:rtl/>
        </w:rPr>
        <w:t>גמ</w:t>
      </w:r>
      <w:r w:rsidRPr="00E14121">
        <w:rPr>
          <w:rFonts w:ascii="Narkisim" w:hAnsi="Narkisim" w:cs="Narkisim"/>
          <w:rtl/>
        </w:rPr>
        <w:t>' (פז.) לומדת מזה ד'עשה עובר כילוד'. וב</w:t>
      </w:r>
      <w:r w:rsidRPr="00E14121">
        <w:rPr>
          <w:rFonts w:ascii="Narkisim" w:hAnsi="Narkisim" w:cs="Narkisim"/>
          <w:b/>
          <w:bCs/>
          <w:rtl/>
        </w:rPr>
        <w:t>גמ</w:t>
      </w:r>
      <w:r w:rsidRPr="00E14121">
        <w:rPr>
          <w:rFonts w:ascii="Narkisim" w:hAnsi="Narkisim" w:cs="Narkisim"/>
          <w:rtl/>
        </w:rPr>
        <w:t>' (פז. ונדה מד.) איתא דאיצטריך קרא דזרע אין לה, וקרא דכנעוריה. דס"ד דאינה חוזרת כשיש לה בן, דהוה תרי גופי. וס"ד דמעוברת אינה חוזרת דמעיקרא גופא סריקא, והשתא גופא מליא</w:t>
      </w:r>
      <w:r w:rsidRPr="00E14121">
        <w:rPr>
          <w:rStyle w:val="ac"/>
          <w:rFonts w:ascii="Narkisim" w:hAnsi="Narkisim" w:cs="Narkisim"/>
          <w:rtl/>
        </w:rPr>
        <w:footnoteReference w:id="4123"/>
      </w:r>
      <w:r w:rsidRPr="00E14121">
        <w:rPr>
          <w:rFonts w:ascii="Narkisim" w:hAnsi="Narkisim" w:cs="Narkisim"/>
          <w:rtl/>
        </w:rPr>
        <w:t>, צריכה.</w:t>
      </w:r>
    </w:p>
    <w:p w14:paraId="69309008" w14:textId="77777777" w:rsidR="00F64AED" w:rsidRPr="00E14121" w:rsidRDefault="00F64AED" w:rsidP="00F64AED">
      <w:pPr>
        <w:pStyle w:val="a7"/>
        <w:bidi/>
        <w:rPr>
          <w:rFonts w:ascii="Narkisim" w:hAnsi="Narkisim"/>
        </w:rPr>
      </w:pPr>
      <w:r w:rsidRPr="00E14121">
        <w:rPr>
          <w:rFonts w:ascii="Narkisim" w:hAnsi="Narkisim"/>
          <w:rtl/>
        </w:rPr>
        <w:t>ובפשוטו משמע דהעובר מונע שלא תחזור לרשות אביה</w:t>
      </w:r>
      <w:r w:rsidRPr="00E14121">
        <w:rPr>
          <w:rStyle w:val="ac"/>
          <w:rFonts w:ascii="Narkisim" w:hAnsi="Narkisim"/>
          <w:rtl/>
        </w:rPr>
        <w:footnoteReference w:id="4124"/>
      </w:r>
      <w:r w:rsidRPr="00E14121">
        <w:rPr>
          <w:rFonts w:ascii="Narkisim" w:hAnsi="Narkisim"/>
          <w:rtl/>
        </w:rPr>
        <w:t xml:space="preserve">, דחל בה דין ישראל עד שנתחדש </w:t>
      </w:r>
      <w:r w:rsidRPr="00E14121">
        <w:rPr>
          <w:rFonts w:ascii="Narkisim" w:hAnsi="Narkisim"/>
          <w:rtl/>
        </w:rPr>
        <w:lastRenderedPageBreak/>
        <w:t>'חוזרת' (וכ"כ במשנת ר"א כו). וה</w:t>
      </w:r>
      <w:r w:rsidRPr="00E14121">
        <w:rPr>
          <w:rFonts w:ascii="Narkisim" w:hAnsi="Narkisim"/>
          <w:b/>
          <w:bCs/>
          <w:rtl/>
        </w:rPr>
        <w:t>אחרונים</w:t>
      </w:r>
      <w:r w:rsidRPr="00E14121">
        <w:rPr>
          <w:rFonts w:ascii="Narkisim" w:hAnsi="Narkisim"/>
          <w:rtl/>
        </w:rPr>
        <w:t xml:space="preserve"> הקשו דנתעברה בזנות מעולם לא יצאה מרשות אביה, דנימא דבעי חזרה. ומשמע דהעובר בעצמו מטיל בה דין 'זרות'. וצ"ל דע"י העובר נחשב דנמשך קשר הזנות</w:t>
      </w:r>
      <w:r w:rsidRPr="00E14121">
        <w:rPr>
          <w:rStyle w:val="ac"/>
          <w:rFonts w:ascii="Narkisim" w:hAnsi="Narkisim"/>
          <w:rtl/>
        </w:rPr>
        <w:footnoteReference w:id="4125"/>
      </w:r>
      <w:r w:rsidRPr="00E14121">
        <w:rPr>
          <w:rFonts w:ascii="Narkisim" w:hAnsi="Narkisim"/>
          <w:rtl/>
        </w:rPr>
        <w:t>. (וע' בסמוך).</w:t>
      </w:r>
    </w:p>
    <w:p w14:paraId="07125F12"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(רפ ט) נסתפק בת כהן שמת בעלה ישראל, דדרשי' דאינה חוזרת משום בנה או כשהיא מעוברת, האם אינה אוכלת משום עשה או דהוה בכלל זרות לחיוב מיתה.</w:t>
      </w:r>
    </w:p>
    <w:p w14:paraId="66D5F90C" w14:textId="77777777" w:rsidR="00F64AED" w:rsidRPr="00E14121" w:rsidRDefault="00F64AED" w:rsidP="00F64AED">
      <w:pPr>
        <w:bidi/>
        <w:rPr>
          <w:rFonts w:ascii="Narkisim" w:hAnsi="Narkisim" w:cs="Narkisim"/>
        </w:rPr>
      </w:pPr>
      <w:r w:rsidRPr="00E14121">
        <w:rPr>
          <w:rFonts w:ascii="Narkisim" w:hAnsi="Narkisim" w:cs="Narkisim"/>
          <w:i/>
          <w:iCs/>
          <w:sz w:val="21"/>
          <w:szCs w:val="21"/>
          <w:rtl/>
        </w:rPr>
        <w:t>אוכלת מחמת בנה</w:t>
      </w:r>
      <w:r w:rsidRPr="00E14121">
        <w:rPr>
          <w:rFonts w:ascii="Narkisim" w:hAnsi="Narkisim" w:cs="Narkisim"/>
          <w:rtl/>
        </w:rPr>
        <w:t xml:space="preserve"> – וכן ישראלית שיש לה בן מכהן אוכלת בתרומה, דדרשי' (נדה מד.) ויליד ביתו הוא יאכלו בלחמו, קרי ביה יאכילו. ומבואר במשנה (סט:) דאפי' נולד בזנות. ואפי' זרע זרעה, ואפי' זרע פסול מאכיל</w:t>
      </w:r>
      <w:r w:rsidRPr="00E14121">
        <w:rPr>
          <w:rFonts w:ascii="Narkisim" w:hAnsi="Narkisim" w:cs="Narkisim"/>
          <w:sz w:val="20"/>
          <w:szCs w:val="20"/>
          <w:rtl/>
        </w:rPr>
        <w:t xml:space="preserve"> (וכדדרשי' ע.)</w:t>
      </w:r>
      <w:r w:rsidRPr="00E14121">
        <w:rPr>
          <w:rFonts w:ascii="Narkisim" w:hAnsi="Narkisim" w:cs="Narkisim"/>
          <w:rtl/>
        </w:rPr>
        <w:t>. וה</w:t>
      </w:r>
      <w:r w:rsidRPr="00E14121">
        <w:rPr>
          <w:rFonts w:ascii="Narkisim" w:hAnsi="Narkisim" w:cs="Narkisim"/>
          <w:b/>
          <w:bCs/>
          <w:rtl/>
        </w:rPr>
        <w:t>רמב"ם</w:t>
      </w:r>
      <w:r w:rsidRPr="00E14121">
        <w:rPr>
          <w:rFonts w:ascii="Narkisim" w:hAnsi="Narkisim" w:cs="Narkisim"/>
          <w:rtl/>
        </w:rPr>
        <w:t xml:space="preserve"> (ו יג) כת' כשם שזרע ישראל פוסל לכהנת, כך זרע כהן מאכיל ישראלית, ואע"פ שהוא זרע פסול.</w:t>
      </w:r>
    </w:p>
    <w:p w14:paraId="39C0347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חקרו האם הגדר שהבן מאכיל בתרומה, או שהבעל מאכיל ע”י הבן כיון שיש זרע. והביאו דמבואר דאף בן פסול וממזר מאכיל [לקמן סט:], וע"כ דאוכלת מחמת הכהן [וע' מש”כ בתוס' בע”א ד”ה למאי]. שהזרע אינו כהן כלל והאיך יאכיל.</w:t>
      </w:r>
    </w:p>
    <w:p w14:paraId="1DA8F99E"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(ו יט) כתב שהרי הוא [הבן] מאכילה כמו שהאכילה אביו. וצ"ב כוונתו. וה</w:t>
      </w:r>
      <w:r w:rsidRPr="00E14121">
        <w:rPr>
          <w:rFonts w:ascii="Narkisim" w:hAnsi="Narkisim"/>
          <w:b/>
          <w:bCs/>
          <w:rtl/>
        </w:rPr>
        <w:t>יש"ש</w:t>
      </w:r>
      <w:r w:rsidRPr="00E14121">
        <w:rPr>
          <w:rFonts w:ascii="Narkisim" w:hAnsi="Narkisim"/>
          <w:rtl/>
        </w:rPr>
        <w:t xml:space="preserve"> (ט ט) ביאר דחשבינן לה כאילו היא עדיין ברשות הכהן, שהרי הבן עומד במקום האב. ומשמע דהגדר שנשאר קשר האישות</w:t>
      </w:r>
      <w:r w:rsidRPr="00E14121">
        <w:rPr>
          <w:rStyle w:val="ac"/>
          <w:rFonts w:ascii="Narkisim" w:hAnsi="Narkisim"/>
          <w:rtl/>
        </w:rPr>
        <w:footnoteReference w:id="4126"/>
      </w:r>
      <w:r w:rsidRPr="00E14121">
        <w:rPr>
          <w:rFonts w:ascii="Narkisim" w:hAnsi="Narkisim"/>
          <w:rtl/>
        </w:rPr>
        <w:t>.</w:t>
      </w:r>
    </w:p>
    <w:p w14:paraId="767CF411" w14:textId="77777777" w:rsidR="00F64AED" w:rsidRPr="00E14121" w:rsidRDefault="00F64AED" w:rsidP="00F64AED">
      <w:pPr>
        <w:pStyle w:val="a8"/>
        <w:bidi/>
        <w:rPr>
          <w:rFonts w:ascii="Narkisim" w:hAnsi="Narkisim"/>
        </w:rPr>
      </w:pPr>
      <w:r w:rsidRPr="00E14121">
        <w:rPr>
          <w:rFonts w:ascii="Narkisim" w:hAnsi="Narkisim"/>
          <w:rtl/>
        </w:rPr>
        <w:t>וב</w:t>
      </w:r>
      <w:r w:rsidRPr="00E14121">
        <w:rPr>
          <w:rFonts w:ascii="Narkisim" w:hAnsi="Narkisim"/>
          <w:b/>
          <w:bCs/>
          <w:rtl/>
        </w:rPr>
        <w:t>משנת ר"א</w:t>
      </w:r>
      <w:r w:rsidRPr="00E14121">
        <w:rPr>
          <w:rFonts w:ascii="Narkisim" w:hAnsi="Narkisim"/>
          <w:rtl/>
        </w:rPr>
        <w:t xml:space="preserve"> (כו) ביאר דכיון דנשאת לכהן, אוכלת מחמתה עד שיתחדש גדר 'חזרה' לבית אביה, וממעטי' דמעוברת אינה חוזרת [וכמ”ש הבעה”מ ע' בסמוך].</w:t>
      </w:r>
    </w:p>
    <w:p w14:paraId="32AC2FEE"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דרך אמונה</w:t>
      </w:r>
      <w:r w:rsidRPr="00E14121">
        <w:rPr>
          <w:rFonts w:ascii="Narkisim" w:hAnsi="Narkisim"/>
          <w:rtl/>
        </w:rPr>
        <w:t xml:space="preserve"> (ביאוה"ה שם) הק' דאף בן מזנות מאכיל (כדאי' במשנה סט:), וע"כ דכוונת הרמב"ם אילו היה נושאה. </w:t>
      </w:r>
      <w:r w:rsidRPr="00E14121">
        <w:rPr>
          <w:rFonts w:ascii="Narkisim" w:hAnsi="Narkisim"/>
          <w:szCs w:val="20"/>
          <w:rtl/>
        </w:rPr>
        <w:t>[ויש שדנו די"ל דזנות</w:t>
      </w:r>
      <w:r w:rsidRPr="00E14121">
        <w:rPr>
          <w:rStyle w:val="ac"/>
          <w:rFonts w:ascii="Narkisim" w:hAnsi="Narkisim"/>
          <w:szCs w:val="20"/>
          <w:rtl/>
        </w:rPr>
        <w:footnoteReference w:id="4127"/>
      </w:r>
      <w:r w:rsidRPr="00E14121">
        <w:rPr>
          <w:rFonts w:ascii="Narkisim" w:hAnsi="Narkisim"/>
          <w:szCs w:val="20"/>
          <w:rtl/>
        </w:rPr>
        <w:t xml:space="preserve"> הוה גם גדר אישות במקצת</w:t>
      </w:r>
      <w:r w:rsidRPr="00E14121">
        <w:rPr>
          <w:rStyle w:val="ac"/>
          <w:rFonts w:ascii="Narkisim" w:hAnsi="Narkisim"/>
          <w:szCs w:val="20"/>
          <w:rtl/>
        </w:rPr>
        <w:footnoteReference w:id="4128"/>
      </w:r>
      <w:r w:rsidRPr="00E14121">
        <w:rPr>
          <w:rFonts w:ascii="Narkisim" w:hAnsi="Narkisim"/>
          <w:szCs w:val="20"/>
          <w:rtl/>
        </w:rPr>
        <w:t>. אך צ”ע לומר דעדיין הוה בגדר קנין כספו של כהן</w:t>
      </w:r>
      <w:r w:rsidRPr="00E14121">
        <w:rPr>
          <w:rStyle w:val="ac"/>
          <w:rFonts w:ascii="Narkisim" w:hAnsi="Narkisim"/>
          <w:szCs w:val="20"/>
          <w:rtl/>
        </w:rPr>
        <w:footnoteReference w:id="4129"/>
      </w:r>
      <w:r w:rsidRPr="00E14121">
        <w:rPr>
          <w:rFonts w:ascii="Narkisim" w:hAnsi="Narkisim"/>
          <w:szCs w:val="20"/>
          <w:rtl/>
        </w:rPr>
        <w:t>]</w:t>
      </w:r>
      <w:r w:rsidRPr="00E14121">
        <w:rPr>
          <w:rFonts w:ascii="Narkisim" w:hAnsi="Narkisim"/>
          <w:rtl/>
        </w:rPr>
        <w:t>.</w:t>
      </w:r>
    </w:p>
    <w:p w14:paraId="12B78BC4"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אמר"מ</w:t>
      </w:r>
      <w:r w:rsidRPr="00E14121">
        <w:rPr>
          <w:rFonts w:ascii="Narkisim" w:hAnsi="Narkisim"/>
          <w:rtl/>
        </w:rPr>
        <w:t xml:space="preserve"> (יג ד) הקשה דאם נימא דאשת כהן מאכילה עבדיה משום קנין שקנה קנין, א"כ האוכלת משום בנה האיך תאכיל בעבדי מלוג (וכדאי' במשנה בע”א), דכשמת הבעל ל"ש קנין שקנה קנין. והוכיח דאשת כהן אוכלת משום שנתקדשה בעצמה. וכ"כ ה</w:t>
      </w:r>
      <w:r w:rsidRPr="00E14121">
        <w:rPr>
          <w:rFonts w:ascii="Narkisim" w:hAnsi="Narkisim"/>
          <w:b/>
          <w:bCs/>
          <w:rtl/>
        </w:rPr>
        <w:t>משנת ר"א</w:t>
      </w:r>
      <w:r w:rsidRPr="00E14121">
        <w:rPr>
          <w:rFonts w:ascii="Narkisim" w:hAnsi="Narkisim"/>
          <w:rtl/>
        </w:rPr>
        <w:t xml:space="preserve"> דמוכח מכ"ז דכיון דהיא אשתו של כהן אוכלת מחמת זה, עד שנתחדש 'חזרה'. והביא כן מדברי </w:t>
      </w:r>
      <w:r w:rsidRPr="00E14121">
        <w:rPr>
          <w:rFonts w:ascii="Narkisim" w:hAnsi="Narkisim"/>
          <w:b/>
          <w:bCs/>
          <w:rtl/>
        </w:rPr>
        <w:t>תוס</w:t>
      </w:r>
      <w:r w:rsidRPr="00E14121">
        <w:rPr>
          <w:rFonts w:ascii="Narkisim" w:hAnsi="Narkisim"/>
          <w:rtl/>
        </w:rPr>
        <w:t>' (נז. ד"ה אביי) אליבא דרבא דאוכלת מחמת האישות שכבר אכלה</w:t>
      </w:r>
      <w:r w:rsidRPr="00E14121">
        <w:rPr>
          <w:rStyle w:val="ac"/>
          <w:rFonts w:ascii="Narkisim" w:hAnsi="Narkisim"/>
          <w:rtl/>
        </w:rPr>
        <w:footnoteReference w:id="4130"/>
      </w:r>
      <w:r w:rsidRPr="00E14121">
        <w:rPr>
          <w:rFonts w:ascii="Narkisim" w:hAnsi="Narkisim"/>
          <w:rtl/>
        </w:rPr>
        <w:t>.</w:t>
      </w:r>
    </w:p>
    <w:p w14:paraId="26798A90" w14:textId="77777777" w:rsidR="00F64AED" w:rsidRPr="00E14121" w:rsidRDefault="00F64AED" w:rsidP="00F64AED">
      <w:pPr>
        <w:bidi/>
        <w:rPr>
          <w:rFonts w:ascii="Narkisim" w:hAnsi="Narkisim" w:cs="Narkisim"/>
        </w:rPr>
      </w:pPr>
      <w:r w:rsidRPr="00E14121">
        <w:rPr>
          <w:rFonts w:ascii="Narkisim" w:hAnsi="Narkisim" w:cs="Narkisim"/>
          <w:rtl/>
        </w:rPr>
        <w:t>אבל מדברי ה</w:t>
      </w:r>
      <w:r w:rsidRPr="00E14121">
        <w:rPr>
          <w:rFonts w:ascii="Narkisim" w:hAnsi="Narkisim" w:cs="Narkisim"/>
          <w:b/>
          <w:bCs/>
          <w:rtl/>
        </w:rPr>
        <w:t>נמוק"י</w:t>
      </w:r>
      <w:r w:rsidRPr="00E14121">
        <w:rPr>
          <w:rFonts w:ascii="Narkisim" w:hAnsi="Narkisim" w:cs="Narkisim"/>
          <w:sz w:val="20"/>
          <w:szCs w:val="20"/>
          <w:rtl/>
        </w:rPr>
        <w:t xml:space="preserve"> (ע' בסמוך, ועוד ראשונים ע' לקמן סט:)</w:t>
      </w:r>
      <w:r w:rsidRPr="00E14121">
        <w:rPr>
          <w:rFonts w:ascii="Narkisim" w:hAnsi="Narkisim" w:cs="Narkisim"/>
          <w:rtl/>
        </w:rPr>
        <w:t xml:space="preserve"> מבואר דאוכלת מחמת שהבן כהן. וצ"ע מהא דממזר מאכיל. ויש שתי' דזרע פסול מאכיל דוקא בזרע זרעה. דע"י שיש לבת בנים, רואים את הבת כאילו עדיין קיימת והבת כהן מאכילה בתרומה</w:t>
      </w:r>
      <w:r w:rsidRPr="00E14121">
        <w:rPr>
          <w:rStyle w:val="ac"/>
          <w:rFonts w:ascii="Narkisim" w:hAnsi="Narkisim" w:cs="Narkisim"/>
          <w:rtl/>
        </w:rPr>
        <w:footnoteReference w:id="4131"/>
      </w:r>
      <w:r w:rsidRPr="00E14121">
        <w:rPr>
          <w:rFonts w:ascii="Narkisim" w:hAnsi="Narkisim" w:cs="Narkisim"/>
          <w:rtl/>
        </w:rPr>
        <w:t>.</w:t>
      </w:r>
    </w:p>
    <w:p w14:paraId="1FC57E2C" w14:textId="77777777" w:rsidR="00F64AED" w:rsidRPr="00E14121" w:rsidRDefault="00F64AED" w:rsidP="00F64AED">
      <w:pPr>
        <w:pStyle w:val="aa"/>
        <w:bidi/>
        <w:rPr>
          <w:rFonts w:ascii="Narkisim" w:hAnsi="Narkisim"/>
        </w:rPr>
      </w:pPr>
      <w:r w:rsidRPr="00E14121">
        <w:rPr>
          <w:rFonts w:ascii="Narkisim" w:hAnsi="Narkisim"/>
          <w:rtl/>
        </w:rPr>
        <w:t>וב</w:t>
      </w:r>
      <w:r w:rsidRPr="00E14121">
        <w:rPr>
          <w:rFonts w:ascii="Narkisim" w:hAnsi="Narkisim"/>
          <w:b/>
          <w:bCs/>
          <w:rtl/>
        </w:rPr>
        <w:t>משנה</w:t>
      </w:r>
      <w:r w:rsidRPr="00E14121">
        <w:rPr>
          <w:rFonts w:ascii="Narkisim" w:hAnsi="Narkisim"/>
          <w:rtl/>
        </w:rPr>
        <w:t xml:space="preserve"> (לקמן פו:) אי' דכשיש לה בן מכהן ובן מישראל, ע"י הבן מישראל אינה אוכלת בתרומה. ובפשוטו מבואר במשנה דאזלי' בתר הבן הנולד אחרון. [וכ"פ הרמב"ם ו יט]. [ויל"פ דע"י הבן קשר האישות האחרון נשאר קיים]. אבל ה</w:t>
      </w:r>
      <w:r w:rsidRPr="00E14121">
        <w:rPr>
          <w:rFonts w:ascii="Narkisim" w:hAnsi="Narkisim"/>
          <w:b/>
          <w:bCs/>
          <w:rtl/>
        </w:rPr>
        <w:t>ערול"נ</w:t>
      </w:r>
      <w:r w:rsidRPr="00E14121">
        <w:rPr>
          <w:rFonts w:ascii="Narkisim" w:hAnsi="Narkisim"/>
          <w:rtl/>
        </w:rPr>
        <w:t xml:space="preserve"> (פו:) נסתפק [דכוונת המשנה] דכיון שיש זרע פוסל וזרע מכשיר הדרינן לעיקר דינה. ובת כהן אוכלת משום אביה, ובת ישראל אינה אוכלת.</w:t>
      </w:r>
    </w:p>
    <w:p w14:paraId="768618E0" w14:textId="77777777" w:rsidR="00F64AED" w:rsidRPr="00E14121" w:rsidRDefault="00F64AED" w:rsidP="00F64AED">
      <w:pPr>
        <w:bidi/>
        <w:rPr>
          <w:rFonts w:ascii="Narkisim" w:hAnsi="Narkisim" w:cs="Narkisim"/>
        </w:rPr>
      </w:pPr>
      <w:r w:rsidRPr="00E14121">
        <w:rPr>
          <w:rFonts w:ascii="Narkisim" w:hAnsi="Narkisim" w:cs="Narkisim"/>
          <w:u w:val="single"/>
          <w:rtl/>
        </w:rPr>
        <w:t>העובר פוסל ואינו מאכיל</w:t>
      </w:r>
      <w:r w:rsidRPr="00E14121">
        <w:rPr>
          <w:rFonts w:ascii="Narkisim" w:hAnsi="Narkisim" w:cs="Narkisim"/>
          <w:rtl/>
        </w:rPr>
        <w:t xml:space="preserve">. [וכדדרשי' בגמ']. </w:t>
      </w:r>
      <w:r w:rsidRPr="00E14121">
        <w:rPr>
          <w:rFonts w:ascii="Narkisim" w:hAnsi="Narkisim" w:cs="Narkisim"/>
          <w:b/>
          <w:bCs/>
          <w:rtl/>
        </w:rPr>
        <w:t>תוס</w:t>
      </w:r>
      <w:r w:rsidRPr="00E14121">
        <w:rPr>
          <w:rFonts w:ascii="Narkisim" w:hAnsi="Narkisim" w:cs="Narkisim"/>
          <w:rtl/>
        </w:rPr>
        <w:t>' (בע"א ד"ה למאי) הוכיחו דהכא ל"ש טעם במעי זרה זר, דהא אף זר ואפי' ממזר מאכיל. אבל ה</w:t>
      </w:r>
      <w:r w:rsidRPr="00E14121">
        <w:rPr>
          <w:rFonts w:ascii="Narkisim" w:hAnsi="Narkisim" w:cs="Narkisim"/>
          <w:b/>
          <w:bCs/>
          <w:rtl/>
        </w:rPr>
        <w:t>נמוק"י</w:t>
      </w:r>
      <w:r w:rsidRPr="00E14121">
        <w:rPr>
          <w:rFonts w:ascii="Narkisim" w:hAnsi="Narkisim" w:cs="Narkisim"/>
          <w:rtl/>
        </w:rPr>
        <w:t xml:space="preserve"> כתב דעובר אינו מאכיל דעובר במעי זרה זר. וה</w:t>
      </w:r>
      <w:r w:rsidRPr="00E14121">
        <w:rPr>
          <w:rFonts w:ascii="Narkisim" w:hAnsi="Narkisim" w:cs="Narkisim"/>
          <w:b/>
          <w:bCs/>
          <w:rtl/>
        </w:rPr>
        <w:t>תוי"ט</w:t>
      </w:r>
      <w:r w:rsidRPr="00E14121">
        <w:rPr>
          <w:rFonts w:ascii="Narkisim" w:hAnsi="Narkisim" w:cs="Narkisim"/>
          <w:rtl/>
        </w:rPr>
        <w:t xml:space="preserve"> כתב דלא דק אליבא דהילכתא. </w:t>
      </w:r>
      <w:r w:rsidRPr="00E14121">
        <w:rPr>
          <w:rFonts w:ascii="Narkisim" w:hAnsi="Narkisim" w:cs="Narkisim"/>
          <w:sz w:val="20"/>
          <w:szCs w:val="20"/>
          <w:rtl/>
        </w:rPr>
        <w:t>[דלהאכיל עבדים (בע"א) קי”ל הטעם דילוד מאכיל, אפי' כהנת. וה</w:t>
      </w:r>
      <w:r w:rsidRPr="00E14121">
        <w:rPr>
          <w:rFonts w:ascii="Narkisim" w:hAnsi="Narkisim" w:cs="Narkisim"/>
          <w:b/>
          <w:bCs/>
          <w:sz w:val="20"/>
          <w:szCs w:val="20"/>
          <w:rtl/>
        </w:rPr>
        <w:t>רש"ש</w:t>
      </w:r>
      <w:r w:rsidRPr="00E14121">
        <w:rPr>
          <w:rFonts w:ascii="Narkisim" w:hAnsi="Narkisim" w:cs="Narkisim"/>
          <w:sz w:val="20"/>
          <w:szCs w:val="20"/>
          <w:rtl/>
        </w:rPr>
        <w:t xml:space="preserve"> (שם) תי' דהנמוק"י ס"ל דגדר ילוד אינו מאכיל הוא משום דאינו מתייחס אחרי אביו, ואף דהוה בן כהנת אינו מאכיל]</w:t>
      </w:r>
      <w:r w:rsidRPr="00E14121">
        <w:rPr>
          <w:rFonts w:ascii="Narkisim" w:hAnsi="Narkisim" w:cs="Narkisim"/>
          <w:rtl/>
        </w:rPr>
        <w:t>.</w:t>
      </w:r>
    </w:p>
    <w:p w14:paraId="117540BD"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(במשניות) תמה ע"ד הנמוק"י דהכא ל"צ טעם זה. ומדברי הנמוק”י מבואר דבעי שהעובר יהא לו דין כהונה להאכיל. [וצ"ל דזר וזרע פסול מאכיל דוקא בזרע זרעה, וכנ”ל]. </w:t>
      </w:r>
      <w:r w:rsidRPr="00E14121">
        <w:rPr>
          <w:rFonts w:ascii="Narkisim" w:hAnsi="Narkisim"/>
          <w:rtl/>
        </w:rPr>
        <w:lastRenderedPageBreak/>
        <w:t>[וע' מה שהו' בזה לעיל ולקמן סט:].</w:t>
      </w:r>
    </w:p>
    <w:p w14:paraId="5A4153C6" w14:textId="77777777" w:rsidR="00F64AED" w:rsidRPr="00E14121" w:rsidRDefault="00F64AED" w:rsidP="00F64AED">
      <w:pPr>
        <w:bidi/>
        <w:rPr>
          <w:rFonts w:ascii="Narkisim" w:hAnsi="Narkisim" w:cs="Narkisim"/>
        </w:rPr>
      </w:pPr>
      <w:r w:rsidRPr="00E14121">
        <w:rPr>
          <w:rFonts w:ascii="Narkisim" w:hAnsi="Narkisim" w:cs="Narkisim"/>
          <w:u w:val="single"/>
          <w:rtl/>
        </w:rPr>
        <w:t>ואינו מאכיל</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בת ישראל שנשאת לכהן ומת והניחה מעוברת. משמע דבת כהן המעוברת מכהן אוכלת.</w:t>
      </w:r>
    </w:p>
    <w:p w14:paraId="1737A6D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ראשונים</w:t>
      </w:r>
      <w:r w:rsidRPr="00E14121">
        <w:rPr>
          <w:rFonts w:ascii="Narkisim" w:hAnsi="Narkisim"/>
          <w:rtl/>
        </w:rPr>
        <w:t xml:space="preserve"> הקשו דבת כהן המעוברת מכהן אמאי אוכלת בתרומה. דהעובר אינו מאכיל, ויצאה מרשות אביה, ומעוברת אינה חוזרת. וה</w:t>
      </w:r>
      <w:r w:rsidRPr="00E14121">
        <w:rPr>
          <w:rFonts w:ascii="Narkisim" w:hAnsi="Narkisim"/>
          <w:b/>
          <w:bCs/>
          <w:rtl/>
        </w:rPr>
        <w:t>בעה"מ</w:t>
      </w:r>
      <w:r w:rsidRPr="00E14121">
        <w:rPr>
          <w:rFonts w:ascii="Narkisim" w:hAnsi="Narkisim"/>
          <w:rtl/>
        </w:rPr>
        <w:t xml:space="preserve"> כת' דבת כהן לכהן, לעולם אכלה אפי' מעוברת, דדוקא בחוזרת אמרי' כנעוריה פרט למעוברת. </w:t>
      </w:r>
      <w:r w:rsidRPr="00E14121">
        <w:rPr>
          <w:rFonts w:ascii="Narkisim" w:hAnsi="Narkisim"/>
          <w:sz w:val="20"/>
          <w:szCs w:val="20"/>
          <w:rtl/>
        </w:rPr>
        <w:t>[ומשמע דבת כהן לכהן אי”צ 'חזרה', ולכאורה מבואר דאף נשואה אוכלת משום אביה. ומש”ה אף מעוברת</w:t>
      </w:r>
      <w:r w:rsidRPr="00E14121">
        <w:rPr>
          <w:rStyle w:val="ac"/>
          <w:rFonts w:ascii="Narkisim" w:hAnsi="Narkisim"/>
          <w:sz w:val="20"/>
          <w:szCs w:val="20"/>
          <w:rtl/>
        </w:rPr>
        <w:footnoteReference w:id="4132"/>
      </w:r>
      <w:r w:rsidRPr="00E14121">
        <w:rPr>
          <w:rFonts w:ascii="Narkisim" w:hAnsi="Narkisim"/>
          <w:sz w:val="20"/>
          <w:szCs w:val="20"/>
          <w:rtl/>
        </w:rPr>
        <w:t>].</w:t>
      </w:r>
      <w:r w:rsidRPr="00E14121">
        <w:rPr>
          <w:rFonts w:ascii="Narkisim" w:hAnsi="Narkisim"/>
          <w:rtl/>
        </w:rPr>
        <w:t xml:space="preserve"> וה</w:t>
      </w:r>
      <w:r w:rsidRPr="00E14121">
        <w:rPr>
          <w:rFonts w:ascii="Narkisim" w:hAnsi="Narkisim"/>
          <w:b/>
          <w:bCs/>
          <w:rtl/>
        </w:rPr>
        <w:t>ב"י</w:t>
      </w:r>
      <w:r w:rsidRPr="00E14121">
        <w:rPr>
          <w:rFonts w:ascii="Narkisim" w:hAnsi="Narkisim"/>
          <w:rtl/>
        </w:rPr>
        <w:t xml:space="preserve"> (יו"ד שלא) כתב דבת כהן מעוברת מכהן שפיר מקרי 'כנעוריה', שאינה מעוברת אלא מכהן</w:t>
      </w:r>
      <w:r w:rsidRPr="00E14121">
        <w:rPr>
          <w:rStyle w:val="ac"/>
          <w:rFonts w:ascii="Narkisim" w:hAnsi="Narkisim"/>
          <w:rtl/>
        </w:rPr>
        <w:footnoteReference w:id="4133"/>
      </w:r>
      <w:r w:rsidRPr="00E14121">
        <w:rPr>
          <w:rFonts w:ascii="Narkisim" w:hAnsi="Narkisim"/>
          <w:rtl/>
        </w:rPr>
        <w:t>. וה</w:t>
      </w:r>
      <w:r w:rsidRPr="00E14121">
        <w:rPr>
          <w:rFonts w:ascii="Narkisim" w:hAnsi="Narkisim"/>
          <w:b/>
          <w:bCs/>
          <w:rtl/>
        </w:rPr>
        <w:t>פרישה</w:t>
      </w:r>
      <w:r w:rsidRPr="00E14121">
        <w:rPr>
          <w:rFonts w:ascii="Narkisim" w:hAnsi="Narkisim"/>
          <w:rtl/>
        </w:rPr>
        <w:t xml:space="preserve"> (שם פא) כת' דבבת כהן העובר במעיה אינה זר. וכוונתו כמ”ש הנמוק”י דהטעם דעובר אינו מאכיל משום דעובר במעי זרה הוה זר [וזר אינו מאכיל, ע' לעיל]. אבל אי לאו הכי מאכיל אף קודם שנולד.</w:t>
      </w:r>
    </w:p>
    <w:p w14:paraId="4D08BD74" w14:textId="77777777" w:rsidR="00F64AED" w:rsidRPr="00E14121" w:rsidRDefault="00F64AED" w:rsidP="00F64AED">
      <w:pPr>
        <w:bidi/>
        <w:rPr>
          <w:rFonts w:ascii="Narkisim" w:hAnsi="Narkisim" w:cs="Narkisim"/>
        </w:rPr>
      </w:pPr>
      <w:r w:rsidRPr="00E14121">
        <w:rPr>
          <w:rFonts w:ascii="Narkisim" w:hAnsi="Narkisim" w:cs="Narkisim"/>
          <w:u w:val="single"/>
          <w:rtl/>
        </w:rPr>
        <w:t>ספק הביא ב' שערות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שקידש האשה. </w:t>
      </w:r>
      <w:r w:rsidRPr="00E14121">
        <w:rPr>
          <w:rFonts w:ascii="Narkisim" w:hAnsi="Narkisim" w:cs="Narkisim"/>
          <w:sz w:val="20"/>
          <w:szCs w:val="20"/>
          <w:rtl/>
        </w:rPr>
        <w:t>[וכ"פ ה</w:t>
      </w:r>
      <w:r w:rsidRPr="00E14121">
        <w:rPr>
          <w:rFonts w:ascii="Narkisim" w:hAnsi="Narkisim" w:cs="Narkisim"/>
          <w:b/>
          <w:bCs/>
          <w:sz w:val="20"/>
          <w:szCs w:val="20"/>
          <w:rtl/>
        </w:rPr>
        <w:t>רמב"ם</w:t>
      </w:r>
      <w:r w:rsidRPr="00E14121">
        <w:rPr>
          <w:rFonts w:ascii="Narkisim" w:hAnsi="Narkisim" w:cs="Narkisim"/>
          <w:sz w:val="20"/>
          <w:szCs w:val="20"/>
          <w:rtl/>
        </w:rPr>
        <w:t xml:space="preserve"> (תרומות ח יא) דנשאת לבן י"ג, וספק הביא ב' שערות הרי זו אסורה לאכול בתרומה</w:t>
      </w:r>
      <w:r w:rsidRPr="00E14121">
        <w:rPr>
          <w:rStyle w:val="ac"/>
          <w:rFonts w:ascii="Narkisim" w:hAnsi="Narkisim" w:cs="Narkisim"/>
          <w:sz w:val="20"/>
          <w:szCs w:val="20"/>
          <w:rtl/>
        </w:rPr>
        <w:footnoteReference w:id="4134"/>
      </w:r>
      <w:r w:rsidRPr="00E14121">
        <w:rPr>
          <w:rFonts w:ascii="Narkisim" w:hAnsi="Narkisim" w:cs="Narkisim"/>
          <w:sz w:val="20"/>
          <w:szCs w:val="20"/>
          <w:rtl/>
        </w:rPr>
        <w:t>].</w:t>
      </w:r>
      <w:r w:rsidRPr="00E14121">
        <w:rPr>
          <w:rFonts w:ascii="Narkisim" w:hAnsi="Narkisim" w:cs="Narkisim"/>
          <w:rtl/>
        </w:rPr>
        <w:t xml:space="preserve"> אבל ה</w:t>
      </w:r>
      <w:r w:rsidRPr="00E14121">
        <w:rPr>
          <w:rFonts w:ascii="Narkisim" w:hAnsi="Narkisim" w:cs="Narkisim"/>
          <w:b/>
          <w:bCs/>
          <w:rtl/>
        </w:rPr>
        <w:t>רמב"ם</w:t>
      </w:r>
      <w:r w:rsidRPr="00E14121">
        <w:rPr>
          <w:rFonts w:ascii="Narkisim" w:hAnsi="Narkisim" w:cs="Narkisim"/>
          <w:rtl/>
        </w:rPr>
        <w:t xml:space="preserve"> (בפיה"מ) כתב דאיירי ביבם </w:t>
      </w:r>
      <w:r w:rsidRPr="00E14121">
        <w:rPr>
          <w:rFonts w:ascii="Narkisim" w:hAnsi="Narkisim" w:cs="Narkisim"/>
          <w:sz w:val="20"/>
          <w:szCs w:val="20"/>
          <w:rtl/>
        </w:rPr>
        <w:t>[שספק האם הוא גדול]</w:t>
      </w:r>
      <w:r w:rsidRPr="00E14121">
        <w:rPr>
          <w:rFonts w:ascii="Narkisim" w:hAnsi="Narkisim" w:cs="Narkisim"/>
          <w:rtl/>
        </w:rPr>
        <w:t xml:space="preserve"> שחלץ, דדינו לחומרא שחולצת ולא מתייבמת [וכ"כ ה</w:t>
      </w:r>
      <w:r w:rsidRPr="00E14121">
        <w:rPr>
          <w:rFonts w:ascii="Narkisim" w:hAnsi="Narkisim" w:cs="Narkisim"/>
          <w:b/>
          <w:bCs/>
          <w:rtl/>
        </w:rPr>
        <w:t>רע"ב</w:t>
      </w:r>
      <w:r w:rsidRPr="00E14121">
        <w:rPr>
          <w:rFonts w:ascii="Narkisim" w:hAnsi="Narkisim" w:cs="Narkisim"/>
          <w:rtl/>
        </w:rPr>
        <w:t>]. וה</w:t>
      </w:r>
      <w:r w:rsidRPr="00E14121">
        <w:rPr>
          <w:rFonts w:ascii="Narkisim" w:hAnsi="Narkisim" w:cs="Narkisim"/>
          <w:b/>
          <w:bCs/>
          <w:rtl/>
        </w:rPr>
        <w:t>תוי"ט</w:t>
      </w:r>
      <w:r w:rsidRPr="00E14121">
        <w:rPr>
          <w:rFonts w:ascii="Narkisim" w:hAnsi="Narkisim" w:cs="Narkisim"/>
          <w:rtl/>
        </w:rPr>
        <w:t xml:space="preserve"> תמה דאם מת תתייבם ממ"נ</w:t>
      </w:r>
      <w:r w:rsidRPr="00E14121">
        <w:rPr>
          <w:rStyle w:val="ac"/>
          <w:rFonts w:ascii="Narkisim" w:hAnsi="Narkisim" w:cs="Narkisim"/>
          <w:rtl/>
        </w:rPr>
        <w:footnoteReference w:id="4135"/>
      </w:r>
      <w:r w:rsidRPr="00E14121">
        <w:rPr>
          <w:rFonts w:ascii="Narkisim" w:hAnsi="Narkisim" w:cs="Narkisim"/>
          <w:rtl/>
        </w:rPr>
        <w:t>.</w:t>
      </w:r>
    </w:p>
    <w:p w14:paraId="6358F72F" w14:textId="77777777" w:rsidR="00F64AED" w:rsidRPr="00E14121" w:rsidRDefault="00F64AED" w:rsidP="00F64AED">
      <w:pPr>
        <w:pStyle w:val="aa"/>
        <w:bidi/>
        <w:rPr>
          <w:rFonts w:ascii="Narkisim" w:hAnsi="Narkisim"/>
        </w:rPr>
      </w:pPr>
      <w:r w:rsidRPr="00E14121">
        <w:rPr>
          <w:rFonts w:ascii="Narkisim" w:hAnsi="Narkisim"/>
          <w:u w:val="single"/>
          <w:rtl/>
        </w:rPr>
        <w:t>נפל הבית וכו' צרתה חולצת ולא מתייבמת.</w:t>
      </w:r>
      <w:r w:rsidRPr="00E14121">
        <w:rPr>
          <w:rFonts w:ascii="Narkisim" w:hAnsi="Narkisim"/>
          <w:rtl/>
        </w:rPr>
        <w:t xml:space="preserve"> הגמ' (לעיל לא.) מק' אמאי לא מוקמינן אחזקה, לדברי רבה (ל:) דאמרי' דבחזקת היתר לשוק קיימא. והגמ' פי' דהוה לחומרא, ולא גזרו שמא תתייבם. כיון דלא שכיח, א"נ במפולת לא חששו שיאמרו דקים לחכמים.</w:t>
      </w:r>
    </w:p>
    <w:p w14:paraId="670FC36D" w14:textId="77777777" w:rsidR="00F64AED" w:rsidRPr="00E14121" w:rsidRDefault="00F64AED" w:rsidP="00F64AED">
      <w:pPr>
        <w:pStyle w:val="aa"/>
        <w:bidi/>
        <w:rPr>
          <w:rFonts w:ascii="Narkisim" w:hAnsi="Narkisim"/>
        </w:rPr>
      </w:pPr>
      <w:r w:rsidRPr="00E14121">
        <w:rPr>
          <w:rFonts w:ascii="Narkisim" w:hAnsi="Narkisim"/>
          <w:u w:val="single"/>
          <w:rtl/>
        </w:rPr>
        <w:t>העובר וכו' בנעוריה פרט למעוברת וכו'</w:t>
      </w:r>
      <w:r w:rsidRPr="00E14121">
        <w:rPr>
          <w:rFonts w:ascii="Narkisim" w:hAnsi="Narkisim"/>
          <w:rtl/>
        </w:rPr>
        <w:t xml:space="preserve">. </w:t>
      </w:r>
      <w:r w:rsidRPr="00E14121">
        <w:rPr>
          <w:rFonts w:ascii="Narkisim" w:hAnsi="Narkisim"/>
          <w:b/>
          <w:bCs/>
          <w:rtl/>
          <w:lang w:val="he-IL"/>
        </w:rPr>
        <w:t>תוס'</w:t>
      </w:r>
      <w:r w:rsidRPr="00E14121">
        <w:rPr>
          <w:rFonts w:ascii="Narkisim" w:hAnsi="Narkisim"/>
          <w:rtl/>
          <w:lang w:val="he-IL"/>
        </w:rPr>
        <w:t xml:space="preserve"> (נדה מד.) הק' תיפו"ל מ'וזרע אין לה' עיין עליה, כמו שנתמעט (לעיל לה:) חליצת מעוברת מאין לו עיין עליו. ותי' דהתם ה"ק עיין והמתן אם יהיה ולד של קיימא, אבל לא הוה פטור מיבום משום דכתיב אין לו, וה"נ לא מיפסלא מן התרומה בהכי.</w:t>
      </w:r>
    </w:p>
    <w:p w14:paraId="62C92861" w14:textId="77777777" w:rsidR="00F64AED" w:rsidRPr="00E14121" w:rsidRDefault="00F64AED" w:rsidP="00F64AED">
      <w:pPr>
        <w:pStyle w:val="2"/>
        <w:bidi/>
        <w:rPr>
          <w:rFonts w:ascii="Narkisim" w:hAnsi="Narkisim"/>
        </w:rPr>
      </w:pPr>
      <w:r w:rsidRPr="00E14121">
        <w:rPr>
          <w:rFonts w:ascii="Narkisim" w:hAnsi="Narkisim"/>
          <w:rtl/>
        </w:rPr>
        <w:t>יבם אינו מאכיל</w:t>
      </w:r>
    </w:p>
    <w:p w14:paraId="5A1EEDC6" w14:textId="77777777" w:rsidR="00F64AED" w:rsidRPr="00E14121" w:rsidRDefault="00F64AED" w:rsidP="00F64AED">
      <w:pPr>
        <w:bidi/>
        <w:rPr>
          <w:rFonts w:ascii="Narkisim" w:hAnsi="Narkisim" w:cs="Narkisim"/>
        </w:rPr>
      </w:pPr>
      <w:r w:rsidRPr="00E14121">
        <w:rPr>
          <w:rFonts w:ascii="Narkisim" w:hAnsi="Narkisim" w:cs="Narkisim"/>
          <w:u w:val="single"/>
          <w:rtl/>
        </w:rPr>
        <w:t>אי בת ישראל לכהן וכו' קנין כספו אמר רחמנא, והא קנין דאחיו הוא.</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(כתובות נח.) דכי מיית פקע קנינו [של מת]. משמע דמדאורייתא אינה אוכלת בתרומה.</w:t>
      </w:r>
      <w:r w:rsidRPr="00E14121">
        <w:rPr>
          <w:rFonts w:ascii="Narkisim" w:hAnsi="Narkisim" w:cs="Narkisim"/>
          <w:sz w:val="20"/>
          <w:szCs w:val="20"/>
          <w:rtl/>
        </w:rPr>
        <w:t xml:space="preserve"> וה</w:t>
      </w:r>
      <w:r w:rsidRPr="00E14121">
        <w:rPr>
          <w:rFonts w:ascii="Narkisim" w:hAnsi="Narkisim" w:cs="Narkisim"/>
          <w:b/>
          <w:bCs/>
          <w:sz w:val="20"/>
          <w:szCs w:val="20"/>
          <w:rtl/>
        </w:rPr>
        <w:t>מנח"ח</w:t>
      </w:r>
      <w:r w:rsidRPr="00E14121">
        <w:rPr>
          <w:rFonts w:ascii="Narkisim" w:hAnsi="Narkisim" w:cs="Narkisim"/>
          <w:sz w:val="20"/>
          <w:szCs w:val="20"/>
          <w:rtl/>
        </w:rPr>
        <w:t xml:space="preserve"> (רפ יא) כתב דכ"מ ב</w:t>
      </w:r>
      <w:r w:rsidRPr="00E14121">
        <w:rPr>
          <w:rFonts w:ascii="Narkisim" w:hAnsi="Narkisim" w:cs="Narkisim"/>
          <w:b/>
          <w:bCs/>
          <w:sz w:val="20"/>
          <w:szCs w:val="20"/>
          <w:rtl/>
        </w:rPr>
        <w:t>רמב"ם</w:t>
      </w:r>
      <w:r w:rsidRPr="00E14121">
        <w:rPr>
          <w:rFonts w:ascii="Narkisim" w:hAnsi="Narkisim" w:cs="Narkisim"/>
          <w:sz w:val="20"/>
          <w:szCs w:val="20"/>
          <w:rtl/>
        </w:rPr>
        <w:t xml:space="preserve"> (תרומות ח ה). וכן הוכיח ה</w:t>
      </w:r>
      <w:r w:rsidRPr="00E14121">
        <w:rPr>
          <w:rFonts w:ascii="Narkisim" w:hAnsi="Narkisim" w:cs="Narkisim"/>
          <w:b/>
          <w:bCs/>
          <w:sz w:val="20"/>
          <w:szCs w:val="20"/>
          <w:rtl/>
        </w:rPr>
        <w:t>תוס' חד מקמאי</w:t>
      </w:r>
      <w:r w:rsidRPr="00E14121">
        <w:rPr>
          <w:rFonts w:ascii="Narkisim" w:hAnsi="Narkisim" w:cs="Narkisim"/>
          <w:sz w:val="20"/>
          <w:szCs w:val="20"/>
          <w:rtl/>
        </w:rPr>
        <w:t xml:space="preserve"> (לעיל נו.) מהגמ' (שם) דביאת שוגג</w:t>
      </w:r>
      <w:r w:rsidRPr="00E14121">
        <w:rPr>
          <w:rFonts w:ascii="Narkisim" w:hAnsi="Narkisim" w:cs="Narkisim"/>
          <w:rtl/>
        </w:rPr>
        <w:t>.</w:t>
      </w:r>
    </w:p>
    <w:p w14:paraId="6F94AB47" w14:textId="77777777" w:rsidR="00F64AED" w:rsidRPr="00E14121" w:rsidRDefault="00F64AED" w:rsidP="00F64AED">
      <w:pPr>
        <w:pStyle w:val="a8"/>
        <w:bidi/>
        <w:rPr>
          <w:rFonts w:ascii="Narkisim" w:hAnsi="Narkisim"/>
        </w:rPr>
      </w:pPr>
      <w:r w:rsidRPr="00E14121">
        <w:rPr>
          <w:rFonts w:ascii="Narkisim" w:hAnsi="Narkisim"/>
          <w:rtl/>
        </w:rPr>
        <w:t>ופ</w:t>
      </w:r>
      <w:r w:rsidRPr="00E14121">
        <w:rPr>
          <w:rFonts w:ascii="Narkisim" w:hAnsi="Narkisim"/>
          <w:b/>
          <w:bCs/>
          <w:rtl/>
        </w:rPr>
        <w:t>רש"י</w:t>
      </w:r>
      <w:r w:rsidRPr="00E14121">
        <w:rPr>
          <w:rFonts w:ascii="Narkisim" w:hAnsi="Narkisim"/>
          <w:rtl/>
        </w:rPr>
        <w:t xml:space="preserve"> (שם) דלאחר יבום הרי היא כאשתו לכל דבר, והכתוב קראו אשתו. וכי היכי דקידושי ביאה מאכילים, דאיתקיש הוויות להדדי, כך מאכילים ביבמה</w:t>
      </w:r>
      <w:r w:rsidRPr="00E14121">
        <w:rPr>
          <w:rStyle w:val="ac"/>
          <w:rFonts w:ascii="Narkisim" w:hAnsi="Narkisim"/>
          <w:rtl/>
        </w:rPr>
        <w:footnoteReference w:id="4136"/>
      </w:r>
      <w:r w:rsidRPr="00E14121">
        <w:rPr>
          <w:rFonts w:ascii="Narkisim" w:hAnsi="Narkisim"/>
          <w:rtl/>
        </w:rPr>
        <w:t>.</w:t>
      </w:r>
    </w:p>
    <w:p w14:paraId="357BC7A4" w14:textId="77777777" w:rsidR="00F64AED" w:rsidRPr="00E14121" w:rsidRDefault="00F64AED" w:rsidP="00F64AED">
      <w:pPr>
        <w:pStyle w:val="a7"/>
        <w:bidi/>
        <w:rPr>
          <w:rFonts w:ascii="Narkisim" w:hAnsi="Narkisim"/>
        </w:rPr>
      </w:pPr>
      <w:r w:rsidRPr="00E14121">
        <w:rPr>
          <w:rFonts w:ascii="Narkisim" w:hAnsi="Narkisim"/>
          <w:rtl/>
        </w:rPr>
        <w:t>אבל דעת</w:t>
      </w:r>
      <w:r w:rsidRPr="00E14121">
        <w:rPr>
          <w:rFonts w:ascii="Narkisim" w:hAnsi="Narkisim"/>
          <w:b/>
          <w:bCs/>
          <w:rtl/>
        </w:rPr>
        <w:t xml:space="preserve"> ר"ת</w:t>
      </w:r>
      <w:r w:rsidRPr="00E14121">
        <w:rPr>
          <w:rFonts w:ascii="Narkisim" w:hAnsi="Narkisim"/>
          <w:rtl/>
        </w:rPr>
        <w:t xml:space="preserve"> </w:t>
      </w:r>
      <w:r w:rsidRPr="00E14121">
        <w:rPr>
          <w:rFonts w:ascii="Narkisim" w:hAnsi="Narkisim"/>
          <w:szCs w:val="20"/>
          <w:rtl/>
        </w:rPr>
        <w:t>(ס' הישר חי' ז, הו' בתוד"ה קנין, ובתוס' ושא"ר כתובות שם)</w:t>
      </w:r>
      <w:r w:rsidRPr="00E14121">
        <w:rPr>
          <w:rFonts w:ascii="Narkisim" w:hAnsi="Narkisim"/>
          <w:rtl/>
        </w:rPr>
        <w:t xml:space="preserve"> דשומרת יבם אוכלת בתרומה מדאורייתא [דהך דרשא אסמכתא]. ומבואר דמסברא אוכלת כיון דקנויה לו. וה</w:t>
      </w:r>
      <w:r w:rsidRPr="00E14121">
        <w:rPr>
          <w:rFonts w:ascii="Narkisim" w:hAnsi="Narkisim"/>
          <w:b/>
          <w:bCs/>
          <w:rtl/>
        </w:rPr>
        <w:t>אחרונים</w:t>
      </w:r>
      <w:r w:rsidRPr="00E14121">
        <w:rPr>
          <w:rFonts w:ascii="Narkisim" w:hAnsi="Narkisim"/>
          <w:rtl/>
        </w:rPr>
        <w:t xml:space="preserve"> הקשו מ"ש דמהני הזיקה להאכיל בתרומה</w:t>
      </w:r>
      <w:r w:rsidRPr="00E14121">
        <w:rPr>
          <w:rStyle w:val="ac"/>
          <w:rFonts w:ascii="Narkisim" w:hAnsi="Narkisim"/>
          <w:rtl/>
        </w:rPr>
        <w:footnoteReference w:id="4137"/>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w:t>
      </w:r>
      <w:r w:rsidRPr="00E14121">
        <w:rPr>
          <w:rFonts w:ascii="Narkisim" w:hAnsi="Narkisim"/>
          <w:sz w:val="20"/>
          <w:szCs w:val="20"/>
          <w:rtl/>
        </w:rPr>
        <w:t>(משנת ר"א כו, חי' ר' שמואל, אבי עזרי יבום א יג)</w:t>
      </w:r>
      <w:r w:rsidRPr="00E14121">
        <w:rPr>
          <w:rFonts w:ascii="Narkisim" w:hAnsi="Narkisim"/>
          <w:rtl/>
        </w:rPr>
        <w:t xml:space="preserve"> תי' דאכילת תרומה תליא בקנין כספו, ויבם יש לו 'קנין' ביבמתו. אבל אין ביניהם גדר 'אישות'. </w:t>
      </w:r>
      <w:r w:rsidRPr="00E14121">
        <w:rPr>
          <w:rFonts w:ascii="Narkisim" w:hAnsi="Narkisim"/>
          <w:sz w:val="20"/>
          <w:szCs w:val="20"/>
          <w:rtl/>
        </w:rPr>
        <w:t>וה</w:t>
      </w:r>
      <w:r w:rsidRPr="00E14121">
        <w:rPr>
          <w:rFonts w:ascii="Narkisim" w:hAnsi="Narkisim"/>
          <w:b/>
          <w:bCs/>
          <w:sz w:val="20"/>
          <w:szCs w:val="20"/>
          <w:rtl/>
        </w:rPr>
        <w:t>קובה"ע</w:t>
      </w:r>
      <w:r w:rsidRPr="00E14121">
        <w:rPr>
          <w:rFonts w:ascii="Narkisim" w:hAnsi="Narkisim"/>
          <w:sz w:val="20"/>
          <w:szCs w:val="20"/>
          <w:rtl/>
        </w:rPr>
        <w:t xml:space="preserve"> (מז בהשמטות, וקוב”ש כתובות קפג) הקשה איך ילפי' יבמה מאשת איש, דיבמה קיל ואין ללמוד בק"ו. וכתב דע"כ דעצם הקנין אסורה לשוק מחמתו, והיא בכלל הפסוק דקרא כתיב קנינו וכל הקנויות לו בכלל.</w:t>
      </w:r>
    </w:p>
    <w:p w14:paraId="68A6BA5D"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(שו"ת יז, וכ"כ בקובה"ע מז ח) כתב ד</w:t>
      </w:r>
      <w:r w:rsidRPr="00E14121">
        <w:rPr>
          <w:rFonts w:ascii="Narkisim" w:hAnsi="Narkisim"/>
          <w:b/>
          <w:bCs/>
          <w:rtl/>
        </w:rPr>
        <w:t>רש"י</w:t>
      </w:r>
      <w:r w:rsidRPr="00E14121">
        <w:rPr>
          <w:rFonts w:ascii="Narkisim" w:hAnsi="Narkisim"/>
          <w:rtl/>
        </w:rPr>
        <w:t xml:space="preserve"> פליג [לשיטתו] משום דס"ל דקנין כספו דאישות תליא ב'מעשה הקנין', שקנאו בכסף. והכא היבם לא קנאה, אלא אשה הקנו לו מהשמים.</w:t>
      </w:r>
    </w:p>
    <w:p w14:paraId="5F486F2E" w14:textId="77777777" w:rsidR="00F64AED" w:rsidRPr="00E14121" w:rsidRDefault="00F64AED" w:rsidP="00F64AED">
      <w:pPr>
        <w:bidi/>
        <w:rPr>
          <w:rFonts w:ascii="Narkisim" w:hAnsi="Narkisim" w:cs="Narkisim"/>
        </w:rPr>
      </w:pPr>
      <w:r w:rsidRPr="00E14121">
        <w:rPr>
          <w:rFonts w:ascii="Narkisim" w:hAnsi="Narkisim" w:cs="Narkisim"/>
          <w:u w:val="single"/>
          <w:rtl/>
        </w:rPr>
        <w:lastRenderedPageBreak/>
        <w:t>שם. האי קנין אחיו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(בסו"ד) כת' דלדעת ר"ת כוונת הגמ' דלא תקון הגעת זמן דתאכל מחמת היבם</w:t>
      </w:r>
      <w:r w:rsidRPr="00E14121">
        <w:rPr>
          <w:rFonts w:ascii="Narkisim" w:hAnsi="Narkisim" w:cs="Narkisim"/>
          <w:sz w:val="20"/>
          <w:szCs w:val="20"/>
          <w:rtl/>
        </w:rPr>
        <w:t xml:space="preserve"> [שהוא לא קידש].</w:t>
      </w:r>
      <w:r w:rsidRPr="00E14121">
        <w:rPr>
          <w:rFonts w:ascii="Narkisim" w:hAnsi="Narkisim" w:cs="Narkisim"/>
          <w:rtl/>
        </w:rPr>
        <w:t xml:space="preserve"> והסמיכו אקרא. אבל ה</w:t>
      </w:r>
      <w:r w:rsidRPr="00E14121">
        <w:rPr>
          <w:rFonts w:ascii="Narkisim" w:hAnsi="Narkisim" w:cs="Narkisim"/>
          <w:b/>
          <w:bCs/>
          <w:rtl/>
        </w:rPr>
        <w:t>רמב"ן</w:t>
      </w:r>
      <w:r w:rsidRPr="00E14121">
        <w:rPr>
          <w:rFonts w:ascii="Narkisim" w:hAnsi="Narkisim" w:cs="Narkisim"/>
          <w:rtl/>
        </w:rPr>
        <w:t xml:space="preserve"> (כתובות נז. והרשב"א שם) פי' האי קנין אחיו, והיאך יהא חמור מן הקונה, דאין לו באשת אחיו אלא זכותו של אחיו</w:t>
      </w:r>
      <w:r w:rsidRPr="00E14121">
        <w:rPr>
          <w:rStyle w:val="ac"/>
          <w:rFonts w:ascii="Narkisim" w:hAnsi="Narkisim" w:cs="Narkisim"/>
          <w:rtl/>
        </w:rPr>
        <w:footnoteReference w:id="4138"/>
      </w:r>
      <w:r w:rsidRPr="00E14121">
        <w:rPr>
          <w:rFonts w:ascii="Narkisim" w:hAnsi="Narkisim" w:cs="Narkisim"/>
          <w:rtl/>
        </w:rPr>
        <w:t xml:space="preserve">. </w:t>
      </w:r>
      <w:r w:rsidRPr="00E14121">
        <w:rPr>
          <w:rFonts w:ascii="Narkisim" w:hAnsi="Narkisim" w:cs="Narkisim"/>
          <w:sz w:val="20"/>
          <w:szCs w:val="20"/>
          <w:rtl/>
        </w:rPr>
        <w:t>[משמע דהוה סברא בקנין כספו לענין תרומה].</w:t>
      </w:r>
      <w:r w:rsidRPr="00E14121">
        <w:rPr>
          <w:rFonts w:ascii="Narkisim" w:hAnsi="Narkisim" w:cs="Narkisim"/>
          <w:rtl/>
        </w:rPr>
        <w:t xml:space="preserve"> ודייק כן מלשון הדרשא דהול"ל שומרת יבם לא תאכל, משמע דאינה אוכלת מחמת היבם, אבל אם אכלה מחמת הבעל מהני.</w:t>
      </w:r>
    </w:p>
    <w:p w14:paraId="78DE190A" w14:textId="77777777" w:rsidR="00F64AED" w:rsidRPr="00E14121" w:rsidRDefault="00F64AED" w:rsidP="00F64AED">
      <w:pPr>
        <w:pStyle w:val="a7"/>
        <w:bidi/>
        <w:rPr>
          <w:rFonts w:ascii="Narkisim" w:hAnsi="Narkisim"/>
        </w:rPr>
      </w:pPr>
      <w:r w:rsidRPr="00E14121">
        <w:rPr>
          <w:rFonts w:ascii="Narkisim" w:hAnsi="Narkisim"/>
          <w:rtl/>
        </w:rPr>
        <w:t>וב</w:t>
      </w:r>
      <w:r w:rsidRPr="00E14121">
        <w:rPr>
          <w:rFonts w:ascii="Narkisim" w:hAnsi="Narkisim"/>
          <w:b/>
          <w:bCs/>
          <w:rtl/>
        </w:rPr>
        <w:t>משנת ר' אהרן</w:t>
      </w:r>
      <w:r w:rsidRPr="00E14121">
        <w:rPr>
          <w:rFonts w:ascii="Narkisim" w:hAnsi="Narkisim"/>
          <w:rtl/>
        </w:rPr>
        <w:t xml:space="preserve"> (כו ד) העמיד דמשמעות הרמב"ן (הנ"ל</w:t>
      </w:r>
      <w:r w:rsidRPr="00E14121">
        <w:rPr>
          <w:rStyle w:val="ac"/>
          <w:rFonts w:ascii="Narkisim" w:hAnsi="Narkisim"/>
          <w:rtl/>
        </w:rPr>
        <w:footnoteReference w:id="4139"/>
      </w:r>
      <w:r w:rsidRPr="00E14121">
        <w:rPr>
          <w:rFonts w:ascii="Narkisim" w:hAnsi="Narkisim"/>
          <w:rtl/>
        </w:rPr>
        <w:t>) דדעת ר"ת שאוכלת בתרומה מחמת המת</w:t>
      </w:r>
      <w:r w:rsidRPr="00E14121">
        <w:rPr>
          <w:rStyle w:val="ac"/>
          <w:rFonts w:ascii="Narkisim" w:hAnsi="Narkisim"/>
          <w:rtl/>
        </w:rPr>
        <w:footnoteReference w:id="4140"/>
      </w:r>
      <w:r w:rsidRPr="00E14121">
        <w:rPr>
          <w:rFonts w:ascii="Narkisim" w:hAnsi="Narkisim"/>
          <w:rtl/>
        </w:rPr>
        <w:t xml:space="preserve"> [שנחשב האישות קיים בזמן שיש יבם]</w:t>
      </w:r>
      <w:r w:rsidRPr="00E14121">
        <w:rPr>
          <w:rStyle w:val="ac"/>
          <w:rFonts w:ascii="Narkisim" w:hAnsi="Narkisim"/>
          <w:rtl/>
        </w:rPr>
        <w:footnoteReference w:id="4141"/>
      </w:r>
      <w:r w:rsidRPr="00E14121">
        <w:rPr>
          <w:rFonts w:ascii="Narkisim" w:hAnsi="Narkisim"/>
          <w:rtl/>
        </w:rPr>
        <w:t>. דכיון דיש יבם אינה חוזרת לבית אביה, ועדיין נמשך דין אכילה מחמת אישות הראשון. [דשומרת יבם נתמעטה מדין חזרה</w:t>
      </w:r>
      <w:r w:rsidRPr="00E14121">
        <w:rPr>
          <w:rStyle w:val="ac"/>
          <w:rFonts w:ascii="Narkisim" w:hAnsi="Narkisim"/>
          <w:rtl/>
        </w:rPr>
        <w:footnoteReference w:id="4142"/>
      </w:r>
      <w:r w:rsidRPr="00E14121">
        <w:rPr>
          <w:rFonts w:ascii="Narkisim" w:hAnsi="Narkisim"/>
          <w:rtl/>
        </w:rPr>
        <w:t xml:space="preserve">]. ואילו תוס' נקטו דדעת ר"ת דאוכלת מחמת היבם. </w:t>
      </w:r>
      <w:r w:rsidRPr="00E14121">
        <w:rPr>
          <w:rFonts w:ascii="Narkisim" w:hAnsi="Narkisim"/>
          <w:sz w:val="20"/>
          <w:szCs w:val="20"/>
          <w:rtl/>
        </w:rPr>
        <w:t>ובמשנת ר"א האריך דנפק"מ בזה אם הבעל היה חלל, לא תאכל מחמת היבם. ואילו למש"כ תוס' הוה קנינו ותאכל</w:t>
      </w:r>
      <w:r w:rsidRPr="00E14121">
        <w:rPr>
          <w:rStyle w:val="ac"/>
          <w:rFonts w:ascii="Narkisim" w:hAnsi="Narkisim"/>
          <w:sz w:val="20"/>
          <w:szCs w:val="20"/>
          <w:rtl/>
        </w:rPr>
        <w:footnoteReference w:id="4143"/>
      </w:r>
      <w:r w:rsidRPr="00E14121">
        <w:rPr>
          <w:rFonts w:ascii="Narkisim" w:hAnsi="Narkisim"/>
          <w:sz w:val="20"/>
          <w:szCs w:val="20"/>
          <w:rtl/>
        </w:rPr>
        <w:t>. וכן במקום דהבעל היה כהן והיבם חלל, לפי הראשונים אוכלת מחמת הבעל [לולי דין משתמרת לביאה פסולה]. [ועפ"ז ביאר את הגמ' לעיל נח: עי"ש].</w:t>
      </w:r>
    </w:p>
    <w:p w14:paraId="7B7392F5"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ריטב"א</w:t>
      </w:r>
      <w:r w:rsidRPr="00E14121">
        <w:rPr>
          <w:rFonts w:ascii="Narkisim" w:hAnsi="Narkisim" w:cs="Narkisim"/>
          <w:rtl/>
        </w:rPr>
        <w:t xml:space="preserve"> (כאן) כת' אף לדעת רש"י דפקע קנין דאחיו, כיון דמת קודם כניסה לחופה. משמע דאף רש"י מודה דאוכלת היכא דנשאת לראשון. [וכמ”ש הרמב”ן והרשב”א לר”ת]. וכל הנידון בסוגיין בארוסה. וה</w:t>
      </w:r>
      <w:r w:rsidRPr="00E14121">
        <w:rPr>
          <w:rFonts w:ascii="Narkisim" w:hAnsi="Narkisim" w:cs="Narkisim"/>
          <w:b/>
          <w:bCs/>
          <w:rtl/>
        </w:rPr>
        <w:t>אחרונים</w:t>
      </w:r>
      <w:r w:rsidRPr="00E14121">
        <w:rPr>
          <w:rFonts w:ascii="Narkisim" w:hAnsi="Narkisim" w:cs="Narkisim"/>
          <w:rtl/>
        </w:rPr>
        <w:t xml:space="preserve"> (משנת ר"א כו ו) למדו דכוונתו דאוכלת מחמת הדין כל טהור בביתך, ולא תליא בקנין.</w:t>
      </w:r>
    </w:p>
    <w:p w14:paraId="1BD9CACD" w14:textId="77777777" w:rsidR="00F64AED" w:rsidRPr="00E14121" w:rsidRDefault="00F64AED" w:rsidP="00F64AED">
      <w:pPr>
        <w:pStyle w:val="3"/>
        <w:bidi/>
        <w:rPr>
          <w:rFonts w:ascii="Narkisim" w:hAnsi="Narkisim"/>
        </w:rPr>
      </w:pPr>
      <w:r w:rsidRPr="00E14121">
        <w:rPr>
          <w:rFonts w:ascii="Narkisim" w:hAnsi="Narkisim"/>
          <w:rtl/>
        </w:rPr>
        <w:t>דף סח.</w:t>
      </w:r>
    </w:p>
    <w:p w14:paraId="0D45CF73" w14:textId="77777777" w:rsidR="00F64AED" w:rsidRPr="00E14121" w:rsidRDefault="00F64AED" w:rsidP="00F64AED">
      <w:pPr>
        <w:pStyle w:val="aa"/>
        <w:bidi/>
        <w:rPr>
          <w:rFonts w:ascii="Narkisim" w:hAnsi="Narkisim"/>
        </w:rPr>
      </w:pPr>
      <w:r w:rsidRPr="00E14121">
        <w:rPr>
          <w:rFonts w:ascii="Narkisim" w:hAnsi="Narkisim"/>
          <w:u w:val="single"/>
          <w:rtl/>
        </w:rPr>
        <w:t>ואי בת ישראל לכהן וכו' משום דעולא וכו'</w:t>
      </w:r>
      <w:r w:rsidRPr="00E14121">
        <w:rPr>
          <w:rFonts w:ascii="Narkisim" w:hAnsi="Narkisim"/>
          <w:rtl/>
        </w:rPr>
        <w:t>. גזירה שמא ימזגו לה כוס ותשקה לאחיה</w:t>
      </w:r>
      <w:r w:rsidRPr="00E14121">
        <w:rPr>
          <w:rStyle w:val="ac"/>
          <w:rFonts w:ascii="Narkisim" w:hAnsi="Narkisim"/>
          <w:rtl/>
        </w:rPr>
        <w:footnoteReference w:id="4144"/>
      </w:r>
      <w:r w:rsidRPr="00E14121">
        <w:rPr>
          <w:rFonts w:ascii="Narkisim" w:hAnsi="Narkisim"/>
          <w:rtl/>
        </w:rPr>
        <w:t xml:space="preserve"> וכו'. ועוד יש מ"ד (כתובות נז. וקידושין י:) דהוה משום גזירה דסמפון</w:t>
      </w:r>
      <w:r w:rsidRPr="00E14121">
        <w:rPr>
          <w:rStyle w:val="ac"/>
          <w:rFonts w:ascii="Narkisim" w:hAnsi="Narkisim"/>
          <w:rtl/>
        </w:rPr>
        <w:footnoteReference w:id="4145"/>
      </w:r>
      <w:r w:rsidRPr="00E14121">
        <w:rPr>
          <w:rFonts w:ascii="Narkisim" w:hAnsi="Narkisim"/>
          <w:rtl/>
        </w:rPr>
        <w:t>.</w:t>
      </w:r>
    </w:p>
    <w:p w14:paraId="4A34325D" w14:textId="77777777" w:rsidR="00F64AED" w:rsidRPr="00E14121" w:rsidRDefault="00F64AED" w:rsidP="00F64AED">
      <w:pPr>
        <w:pStyle w:val="aa"/>
        <w:bidi/>
        <w:rPr>
          <w:rFonts w:ascii="Narkisim" w:hAnsi="Narkisim"/>
        </w:rPr>
      </w:pPr>
      <w:r w:rsidRPr="00E14121">
        <w:rPr>
          <w:rFonts w:ascii="Narkisim" w:hAnsi="Narkisim"/>
          <w:u w:val="single"/>
          <w:rtl/>
        </w:rPr>
        <w:t>תוד"ה אי.</w:t>
      </w:r>
      <w:r w:rsidRPr="00E14121">
        <w:rPr>
          <w:rFonts w:ascii="Narkisim" w:hAnsi="Narkisim"/>
          <w:rtl/>
        </w:rPr>
        <w:t xml:space="preserve"> ועוד אור"י דמשום האי קרא דכי תהיה דרשי' נמי דאינה חוזרת בהויה דאירוסין לחזה ושוק וכו'. דאף אירוסין נחשב 'יציאה' מבית אביה [לענין חזה ושוק]. ויל”פ דעפ”ז ילפי' דאף לענין תרומה הויה דאירוסין פוסל [ומוציאתה מרשות אביה]</w:t>
      </w:r>
      <w:r w:rsidRPr="00E14121">
        <w:rPr>
          <w:rStyle w:val="ac"/>
          <w:rFonts w:ascii="Narkisim" w:hAnsi="Narkisim"/>
          <w:rtl/>
        </w:rPr>
        <w:footnoteReference w:id="4146"/>
      </w:r>
      <w:r w:rsidRPr="00E14121">
        <w:rPr>
          <w:rFonts w:ascii="Narkisim" w:hAnsi="Narkisim"/>
          <w:rtl/>
        </w:rPr>
        <w:t>.</w:t>
      </w:r>
    </w:p>
    <w:p w14:paraId="4F7CED7B" w14:textId="77777777" w:rsidR="00F64AED" w:rsidRPr="00E14121" w:rsidRDefault="00F64AED" w:rsidP="00F64AED">
      <w:pPr>
        <w:pStyle w:val="aa"/>
        <w:bidi/>
        <w:rPr>
          <w:rFonts w:ascii="Narkisim" w:hAnsi="Narkisim"/>
        </w:rPr>
      </w:pPr>
      <w:r w:rsidRPr="00E14121">
        <w:rPr>
          <w:rFonts w:ascii="Narkisim" w:hAnsi="Narkisim"/>
          <w:u w:val="single"/>
          <w:rtl/>
        </w:rPr>
        <w:t>והחרש וכו' ואי בת ישראל לכהן היא לא מאכיל, קנין כספו אמר רחמנא, והאי לאו בר קנין</w:t>
      </w:r>
      <w:r w:rsidRPr="00E14121">
        <w:rPr>
          <w:rFonts w:ascii="Narkisim" w:hAnsi="Narkisim"/>
          <w:rtl/>
        </w:rPr>
        <w:t>. בפשוטו הוה יתור לשון, דכיון דל"מ קידושיו מדאורייתא מה ס"ד דתאכל. וקצת משמע בגמ' דהטעם משום דאינו 'בר קנין'</w:t>
      </w:r>
      <w:r w:rsidRPr="00E14121">
        <w:rPr>
          <w:rStyle w:val="ac"/>
          <w:rFonts w:ascii="Narkisim" w:hAnsi="Narkisim"/>
          <w:rtl/>
        </w:rPr>
        <w:footnoteReference w:id="4147"/>
      </w:r>
      <w:r w:rsidRPr="00E14121">
        <w:rPr>
          <w:rFonts w:ascii="Narkisim" w:hAnsi="Narkisim"/>
          <w:rtl/>
        </w:rPr>
        <w:t>.</w:t>
      </w:r>
    </w:p>
    <w:p w14:paraId="06AF5D68" w14:textId="77777777" w:rsidR="00F64AED" w:rsidRPr="00E14121" w:rsidRDefault="00F64AED" w:rsidP="00F64AED">
      <w:pPr>
        <w:pStyle w:val="aa"/>
        <w:bidi/>
        <w:rPr>
          <w:rFonts w:ascii="Narkisim" w:hAnsi="Narkisim"/>
        </w:rPr>
      </w:pPr>
      <w:r w:rsidRPr="00E14121">
        <w:rPr>
          <w:rFonts w:ascii="Narkisim" w:hAnsi="Narkisim"/>
          <w:rtl/>
        </w:rPr>
        <w:t>ובגמ' (גיטין נה.) אי' דאינו מאכיל אף בתרומה דרבנן משום גזירה דתרומה דאורייתא.</w:t>
      </w:r>
    </w:p>
    <w:p w14:paraId="109F0A78" w14:textId="77777777" w:rsidR="00F64AED" w:rsidRPr="00E14121" w:rsidRDefault="00F64AED" w:rsidP="00F64AED">
      <w:pPr>
        <w:bidi/>
        <w:rPr>
          <w:rFonts w:ascii="Narkisim" w:hAnsi="Narkisim" w:cs="Narkisim"/>
        </w:rPr>
      </w:pPr>
      <w:r w:rsidRPr="00E14121">
        <w:rPr>
          <w:rFonts w:ascii="Narkisim" w:hAnsi="Narkisim" w:cs="Narkisim"/>
          <w:u w:val="single"/>
          <w:rtl/>
        </w:rPr>
        <w:t>תוד"ה קניא ליה.</w:t>
      </w:r>
      <w:r w:rsidRPr="00E14121">
        <w:rPr>
          <w:rFonts w:ascii="Narkisim" w:hAnsi="Narkisim" w:cs="Narkisim"/>
          <w:rtl/>
        </w:rPr>
        <w:t xml:space="preserve"> לאו דוקא וכו' ובפ"ק דקידושין ממעטין ליה דלא קניא וכו' פרט לאשת קטן. ודעת </w:t>
      </w:r>
      <w:r w:rsidRPr="00E14121">
        <w:rPr>
          <w:rFonts w:ascii="Narkisim" w:hAnsi="Narkisim" w:cs="Narkisim"/>
          <w:b/>
          <w:bCs/>
          <w:rtl/>
        </w:rPr>
        <w:t>תוס</w:t>
      </w:r>
      <w:r w:rsidRPr="00E14121">
        <w:rPr>
          <w:rFonts w:ascii="Narkisim" w:hAnsi="Narkisim" w:cs="Narkisim"/>
          <w:rtl/>
        </w:rPr>
        <w:t xml:space="preserve">' (בכ"מ, ע' מה שהו' לעיל נא:) דנתמעט דקטן בן ט' לא קנאה. אבל דעת </w:t>
      </w:r>
      <w:r w:rsidRPr="00E14121">
        <w:rPr>
          <w:rFonts w:ascii="Narkisim" w:hAnsi="Narkisim" w:cs="Narkisim"/>
          <w:b/>
          <w:bCs/>
          <w:rtl/>
        </w:rPr>
        <w:t>רש"י</w:t>
      </w:r>
      <w:r w:rsidRPr="00E14121">
        <w:rPr>
          <w:rFonts w:ascii="Narkisim" w:hAnsi="Narkisim" w:cs="Narkisim"/>
          <w:rtl/>
        </w:rPr>
        <w:t xml:space="preserve"> (קידושין שם) דקונה מדאורייתא, אלא דנתמעט דאין בזה חיוב מיתה. </w:t>
      </w:r>
      <w:r w:rsidRPr="00E14121">
        <w:rPr>
          <w:rFonts w:ascii="Narkisim" w:hAnsi="Narkisim" w:cs="Narkisim"/>
          <w:sz w:val="20"/>
          <w:szCs w:val="20"/>
          <w:rtl/>
        </w:rPr>
        <w:t>[אלא דמדרבנן ביאת בן ט' הוה כמאמר].</w:t>
      </w:r>
    </w:p>
    <w:p w14:paraId="40614D19"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(צו.) הקשה דרש"י (לקמן שם) כתב דהואיל וזקוקה שויוה רבנן כמאמר, משמע דיבום לא קנה מדאורייתא, אלא דזקוקה לו. וה</w:t>
      </w:r>
      <w:r w:rsidRPr="00E14121">
        <w:rPr>
          <w:rFonts w:ascii="Narkisim" w:hAnsi="Narkisim"/>
          <w:b/>
          <w:bCs/>
          <w:rtl/>
        </w:rPr>
        <w:t>רמב"ן</w:t>
      </w:r>
      <w:r w:rsidRPr="00E14121">
        <w:rPr>
          <w:rFonts w:ascii="Narkisim" w:hAnsi="Narkisim"/>
          <w:rtl/>
        </w:rPr>
        <w:t xml:space="preserve"> כת' דאף דביאת בן ט' קנה מדאורייתא מ"מ הוה כביאת שוגג, ואין ע"ז חיוב מיתה.</w:t>
      </w:r>
      <w:r w:rsidRPr="00E14121">
        <w:rPr>
          <w:rFonts w:ascii="Narkisim" w:hAnsi="Narkisim"/>
          <w:sz w:val="20"/>
          <w:szCs w:val="20"/>
          <w:rtl/>
        </w:rPr>
        <w:t xml:space="preserve"> [וע"ע מש"כ בזה לעיל נא: ונו.].</w:t>
      </w:r>
    </w:p>
    <w:p w14:paraId="6FD79810"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פי' דמדאורייתא קני היינו דאשה הקנו לו מהשמים, וביאתו הוה ביאה</w:t>
      </w:r>
      <w:r w:rsidRPr="00E14121">
        <w:rPr>
          <w:rStyle w:val="ac"/>
          <w:rFonts w:ascii="Narkisim" w:hAnsi="Narkisim"/>
          <w:rtl/>
        </w:rPr>
        <w:footnoteReference w:id="4148"/>
      </w:r>
      <w:r w:rsidRPr="00E14121">
        <w:rPr>
          <w:rFonts w:ascii="Narkisim" w:hAnsi="Narkisim"/>
          <w:rtl/>
        </w:rPr>
        <w:t xml:space="preserve">. וכתב </w:t>
      </w:r>
      <w:r w:rsidRPr="00E14121">
        <w:rPr>
          <w:rFonts w:ascii="Narkisim" w:hAnsi="Narkisim"/>
          <w:rtl/>
        </w:rPr>
        <w:lastRenderedPageBreak/>
        <w:t>דמדאורייתא שומרת יבם אוכלת בתרומה [וכדעת ר"ת], ולכן ס"ד דאוכל בתרומה בין דאורייתא ובין מדרבנן.</w:t>
      </w:r>
    </w:p>
    <w:p w14:paraId="3CF191CD" w14:textId="77777777" w:rsidR="00F64AED" w:rsidRPr="00E14121" w:rsidRDefault="00F64AED" w:rsidP="00F64AED">
      <w:pPr>
        <w:pStyle w:val="aa"/>
        <w:bidi/>
        <w:rPr>
          <w:rFonts w:ascii="Narkisim" w:hAnsi="Narkisim"/>
        </w:rPr>
      </w:pPr>
      <w:r w:rsidRPr="00E14121">
        <w:rPr>
          <w:rFonts w:ascii="Narkisim" w:hAnsi="Narkisim"/>
          <w:u w:val="single"/>
          <w:rtl/>
        </w:rPr>
        <w:t>כותי</w:t>
      </w:r>
      <w:r w:rsidRPr="00E14121">
        <w:rPr>
          <w:rFonts w:ascii="Narkisim" w:hAnsi="Narkisim"/>
          <w:rtl/>
        </w:rPr>
        <w:t>. פ</w:t>
      </w:r>
      <w:r w:rsidRPr="00E14121">
        <w:rPr>
          <w:rFonts w:ascii="Narkisim" w:hAnsi="Narkisim"/>
          <w:b/>
          <w:bCs/>
          <w:rtl/>
        </w:rPr>
        <w:t>רש"י</w:t>
      </w:r>
      <w:r w:rsidRPr="00E14121">
        <w:rPr>
          <w:rFonts w:ascii="Narkisim" w:hAnsi="Narkisim"/>
          <w:rtl/>
        </w:rPr>
        <w:t xml:space="preserve"> דקסבר גירי עריות, ועובר בלא תתחתן בה. דאיירי בנכרית [וע”ע בסוגיה דלא תתחתן לקמן עו.]. ו</w:t>
      </w:r>
      <w:r w:rsidRPr="00E14121">
        <w:rPr>
          <w:rFonts w:ascii="Narkisim" w:hAnsi="Narkisim"/>
          <w:b/>
          <w:bCs/>
          <w:rtl/>
        </w:rPr>
        <w:t>תוס</w:t>
      </w:r>
      <w:r w:rsidRPr="00E14121">
        <w:rPr>
          <w:rFonts w:ascii="Narkisim" w:hAnsi="Narkisim"/>
          <w:rtl/>
        </w:rPr>
        <w:t>' (בע"ב ד"ה בעכו"ם) חלקו דלא משמע דאיירי בנכרית, ונקטו כותי לפסולא בעלמא. וכמ"ד דהוה גירות, אלא דהוה פסולי קהל.</w:t>
      </w:r>
    </w:p>
    <w:p w14:paraId="1A734635" w14:textId="77777777" w:rsidR="00F64AED" w:rsidRPr="00E14121" w:rsidRDefault="00F64AED" w:rsidP="00F64AED">
      <w:pPr>
        <w:pStyle w:val="aa"/>
        <w:bidi/>
        <w:rPr>
          <w:rFonts w:ascii="Narkisim" w:hAnsi="Narkisim"/>
        </w:rPr>
      </w:pPr>
      <w:r w:rsidRPr="00E14121">
        <w:rPr>
          <w:rFonts w:ascii="Narkisim" w:hAnsi="Narkisim"/>
          <w:u w:val="single"/>
          <w:rtl/>
        </w:rPr>
        <w:t>ונתין.</w:t>
      </w:r>
      <w:r w:rsidRPr="00E14121">
        <w:rPr>
          <w:rFonts w:ascii="Narkisim" w:hAnsi="Narkisim"/>
          <w:rtl/>
        </w:rPr>
        <w:t xml:space="preserve"> מדברי רש"י משמע דעובר בלא תתחתן מדאורייתא. ודלא כמשמעות רש"י (לקמן עט. וכ”מ) דגזרו על הנתינים מדרבנן. [ויתבאר לקמן שם].</w:t>
      </w:r>
    </w:p>
    <w:p w14:paraId="535925D6" w14:textId="77777777" w:rsidR="00F64AED" w:rsidRPr="00E14121" w:rsidRDefault="00F64AED" w:rsidP="00F64AED">
      <w:pPr>
        <w:pStyle w:val="aa"/>
        <w:bidi/>
        <w:rPr>
          <w:rFonts w:ascii="Narkisim" w:hAnsi="Narkisim"/>
        </w:rPr>
      </w:pPr>
      <w:r w:rsidRPr="00E14121">
        <w:rPr>
          <w:rFonts w:ascii="Narkisim" w:hAnsi="Narkisim"/>
          <w:u w:val="single"/>
          <w:rtl/>
        </w:rPr>
        <w:t>תוד"ה רישא.</w:t>
      </w:r>
      <w:r w:rsidRPr="00E14121">
        <w:rPr>
          <w:rFonts w:ascii="Narkisim" w:hAnsi="Narkisim"/>
          <w:rtl/>
        </w:rPr>
        <w:t xml:space="preserve"> וא"ת וכו' למה לי למתני פסולי קהל, דכ"ש הוא. וצ"ב היאך שייך כ"ש, דכל איסורי כהונה עשאה חללה. ואילו בשאר איסורין [אפי' דחמירי] אינו עושה בשם חללה. אלא פוסל מדין זונה או כי תהיה לאיש זר [ע”ע בסמוך] היכא דאינו זר מעיקרא. ול”ש כ”ש.</w:t>
      </w:r>
    </w:p>
    <w:p w14:paraId="1E0D60A1" w14:textId="77777777" w:rsidR="00F64AED" w:rsidRPr="00E14121" w:rsidRDefault="00F64AED" w:rsidP="00F64AED">
      <w:pPr>
        <w:pStyle w:val="2"/>
        <w:bidi/>
        <w:rPr>
          <w:rFonts w:ascii="Narkisim" w:hAnsi="Narkisim"/>
        </w:rPr>
      </w:pPr>
      <w:r w:rsidRPr="00E14121">
        <w:rPr>
          <w:rFonts w:ascii="Narkisim" w:hAnsi="Narkisim"/>
          <w:rtl/>
        </w:rPr>
        <w:t>חזקת קטן</w:t>
      </w:r>
    </w:p>
    <w:p w14:paraId="0240CAD2" w14:textId="77777777" w:rsidR="00F64AED" w:rsidRPr="00E14121" w:rsidRDefault="00F64AED" w:rsidP="00F64AED">
      <w:pPr>
        <w:bidi/>
        <w:rPr>
          <w:rFonts w:ascii="Narkisim" w:hAnsi="Narkisim" w:cs="Narkisim"/>
        </w:rPr>
      </w:pPr>
      <w:r w:rsidRPr="00E14121">
        <w:rPr>
          <w:rFonts w:ascii="Narkisim" w:hAnsi="Narkisim" w:cs="Narkisim"/>
          <w:u w:val="single"/>
          <w:rtl/>
        </w:rPr>
        <w:t>בא"ד וא"ת וספק בן ט' וכו' נוקמיה אחזקה קמייתא דהוה פחות מבן ט', ונוקי איתתא בחזקת כשרות וכו'.</w:t>
      </w:r>
      <w:r w:rsidRPr="00E14121">
        <w:rPr>
          <w:rFonts w:ascii="Narkisim" w:hAnsi="Narkisim" w:cs="Narkisim"/>
          <w:rtl/>
        </w:rPr>
        <w:t xml:space="preserve"> </w:t>
      </w:r>
      <w:r w:rsidRPr="00E14121">
        <w:rPr>
          <w:rFonts w:ascii="Narkisim" w:hAnsi="Narkisim" w:cs="Narkisim"/>
          <w:sz w:val="20"/>
          <w:szCs w:val="20"/>
          <w:rtl/>
        </w:rPr>
        <w:t>העירו דתוס' הביאו ב' חזקות, שפתחו בחזקה קמייתא [דקטנות שפחות מבן ט'], וסיימו בחזקת כשרות [דהאשה]</w:t>
      </w:r>
      <w:r w:rsidRPr="00E14121">
        <w:rPr>
          <w:rStyle w:val="ac"/>
          <w:rFonts w:ascii="Narkisim" w:hAnsi="Narkisim" w:cs="Narkisim"/>
          <w:sz w:val="20"/>
          <w:szCs w:val="20"/>
          <w:rtl/>
        </w:rPr>
        <w:footnoteReference w:id="4149"/>
      </w:r>
      <w:r w:rsidRPr="00E14121">
        <w:rPr>
          <w:rFonts w:ascii="Narkisim" w:hAnsi="Narkisim" w:cs="Narkisim"/>
          <w:sz w:val="20"/>
          <w:szCs w:val="20"/>
          <w:rtl/>
        </w:rPr>
        <w:t>.</w:t>
      </w:r>
    </w:p>
    <w:p w14:paraId="0AB194F6" w14:textId="77777777" w:rsidR="00F64AED" w:rsidRPr="00E14121" w:rsidRDefault="00F64AED" w:rsidP="00F64AED">
      <w:pPr>
        <w:pStyle w:val="a8"/>
        <w:bidi/>
        <w:rPr>
          <w:rFonts w:ascii="Narkisim" w:hAnsi="Narkisim"/>
        </w:rPr>
      </w:pPr>
      <w:r w:rsidRPr="00E14121">
        <w:rPr>
          <w:rFonts w:ascii="Narkisim" w:hAnsi="Narkisim"/>
          <w:rtl/>
        </w:rPr>
        <w:t>וב</w:t>
      </w:r>
      <w:r w:rsidRPr="00E14121">
        <w:rPr>
          <w:rFonts w:ascii="Narkisim" w:hAnsi="Narkisim"/>
          <w:b/>
          <w:bCs/>
          <w:rtl/>
        </w:rPr>
        <w:t>הג' ראמ"ה</w:t>
      </w:r>
      <w:r w:rsidRPr="00E14121">
        <w:rPr>
          <w:rFonts w:ascii="Narkisim" w:hAnsi="Narkisim"/>
          <w:rtl/>
        </w:rPr>
        <w:t xml:space="preserve"> כתב דכוונת התוס' דאף אי נימא דאיירי באופן דידוע מתי הוא בן ט', אלא דלא ידוע זמן הביאה. ובכה"ג לא שייך חזקת הגוף של הקטן, אלא חזקת כשרות של האשה. וקושיית התוס' מב' צדדים.</w:t>
      </w:r>
    </w:p>
    <w:p w14:paraId="59AC5D76" w14:textId="77777777" w:rsidR="00F64AED" w:rsidRPr="00E14121" w:rsidRDefault="00F64AED" w:rsidP="00F64AED">
      <w:pPr>
        <w:pStyle w:val="aa"/>
        <w:bidi/>
        <w:rPr>
          <w:rFonts w:ascii="Narkisim" w:hAnsi="Narkisim"/>
        </w:rPr>
      </w:pPr>
      <w:r w:rsidRPr="00E14121">
        <w:rPr>
          <w:rFonts w:ascii="Narkisim" w:hAnsi="Narkisim"/>
          <w:u w:val="single"/>
          <w:rtl/>
        </w:rPr>
        <w:t>בא"ד ומיהו לכהונה ניחא דלא אזלינן בתר חזקה ליוחסין וכו'.</w:t>
      </w:r>
      <w:r w:rsidRPr="00E14121">
        <w:rPr>
          <w:rFonts w:ascii="Narkisim" w:hAnsi="Narkisim"/>
          <w:rtl/>
        </w:rPr>
        <w:t xml:space="preserve"> [ע"פ הסוגיות כתובות יג.]. ומשמע בתוס' דביוחסין לא אזלי' כלל בתר חזקה</w:t>
      </w:r>
      <w:r w:rsidRPr="00E14121">
        <w:rPr>
          <w:rStyle w:val="ac"/>
          <w:rFonts w:ascii="Narkisim" w:hAnsi="Narkisim"/>
          <w:rtl/>
        </w:rPr>
        <w:footnoteReference w:id="4150"/>
      </w:r>
      <w:r w:rsidRPr="00E14121">
        <w:rPr>
          <w:rFonts w:ascii="Narkisim" w:hAnsi="Narkisim"/>
          <w:rtl/>
        </w:rPr>
        <w:t xml:space="preserve"> [וה</w:t>
      </w:r>
      <w:r w:rsidRPr="00E14121">
        <w:rPr>
          <w:rFonts w:ascii="Narkisim" w:hAnsi="Narkisim"/>
          <w:b/>
          <w:bCs/>
          <w:rtl/>
        </w:rPr>
        <w:t>חזו"א</w:t>
      </w:r>
      <w:r w:rsidRPr="00E14121">
        <w:rPr>
          <w:rFonts w:ascii="Narkisim" w:hAnsi="Narkisim"/>
          <w:rtl/>
        </w:rPr>
        <w:t xml:space="preserve"> (פ יז) עמד בזה].</w:t>
      </w:r>
    </w:p>
    <w:p w14:paraId="448A5C43" w14:textId="77777777" w:rsidR="00F64AED" w:rsidRPr="00E14121" w:rsidRDefault="00F64AED" w:rsidP="00F64AED">
      <w:pPr>
        <w:pStyle w:val="a8"/>
        <w:bidi/>
        <w:rPr>
          <w:rFonts w:ascii="Narkisim" w:hAnsi="Narkisim"/>
        </w:rPr>
      </w:pPr>
      <w:r w:rsidRPr="00E14121">
        <w:rPr>
          <w:rFonts w:ascii="Narkisim" w:hAnsi="Narkisim"/>
          <w:rtl/>
        </w:rPr>
        <w:t>וילה"ק ע"ד כקושיית התוס' גם בבבא דספק הביא ב' שערות, להעמיד על חזקת קטנות, וחזקת האישה דאינה מקודשת. [ותלי בסוגיא דלעיל ל: לא. האם מעמידים על חזקה בספק קידושין]. וצ”ל דאיירי שבא לפנינו בגדלות. א"נ בתרי ותרי, דומיא דנפל הבית.</w:t>
      </w:r>
    </w:p>
    <w:p w14:paraId="0B02502F" w14:textId="77777777" w:rsidR="00F64AED" w:rsidRPr="00E14121" w:rsidRDefault="00F64AED" w:rsidP="00F64AED">
      <w:pPr>
        <w:bidi/>
        <w:rPr>
          <w:rFonts w:ascii="Narkisim" w:hAnsi="Narkisim" w:cs="Narkisim"/>
        </w:rPr>
      </w:pPr>
      <w:r w:rsidRPr="00E14121">
        <w:rPr>
          <w:rFonts w:ascii="Narkisim" w:hAnsi="Narkisim" w:cs="Narkisim"/>
          <w:u w:val="single"/>
          <w:rtl/>
        </w:rPr>
        <w:t>בא"ד וי"ל וכו' לא מוקמינן אחזקה קמייתא, אלא אזלי' בתר השתא שהוא ודאי בן ט', דחזקה קמייתא איתרע ליה.</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הקשו דבכ"מ קי”ל דחזקה דמעיקרא עדיף מחזקה דהשתא [וכמ”ש תוס' נדה ב. וכתובות עו. וכ”מ</w:t>
      </w:r>
      <w:r w:rsidRPr="00E14121">
        <w:rPr>
          <w:rStyle w:val="ac"/>
          <w:rFonts w:ascii="Narkisim" w:hAnsi="Narkisim" w:cs="Narkisim"/>
          <w:rtl/>
        </w:rPr>
        <w:footnoteReference w:id="4151"/>
      </w:r>
      <w:r w:rsidRPr="00E14121">
        <w:rPr>
          <w:rFonts w:ascii="Narkisim" w:hAnsi="Narkisim" w:cs="Narkisim"/>
          <w:rtl/>
        </w:rPr>
        <w:t>], ולא אמרי' דהורעה חזקתה.</w:t>
      </w:r>
    </w:p>
    <w:p w14:paraId="72CAC66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מהרי"ט</w:t>
      </w:r>
      <w:r w:rsidRPr="00E14121">
        <w:rPr>
          <w:rFonts w:ascii="Narkisim" w:hAnsi="Narkisim"/>
          <w:rtl/>
        </w:rPr>
        <w:t xml:space="preserve"> (א יא) הביא בשם </w:t>
      </w:r>
      <w:r w:rsidRPr="00E14121">
        <w:rPr>
          <w:rFonts w:ascii="Narkisim" w:hAnsi="Narkisim"/>
          <w:b/>
          <w:bCs/>
          <w:rtl/>
        </w:rPr>
        <w:t>רבו</w:t>
      </w:r>
      <w:r w:rsidRPr="00E14121">
        <w:rPr>
          <w:rFonts w:ascii="Narkisim" w:hAnsi="Narkisim"/>
          <w:rtl/>
        </w:rPr>
        <w:t xml:space="preserve"> לחלק דכל חזקה דמעיקרא הוחזק לפנינו, ולא באנו לכלל ספק עד שראינו ודאי טמאה לפנינו. ומש"ה מהני החזקה. משא"כ בסוגיין דבשעה שהפסול בא עליה היינו מסופקים אם היה בן ט' או לאו, ומאותה שעה הורעה החזקה</w:t>
      </w:r>
      <w:r w:rsidRPr="00E14121">
        <w:rPr>
          <w:rStyle w:val="ac"/>
          <w:rFonts w:ascii="Narkisim" w:hAnsi="Narkisim"/>
          <w:rtl/>
        </w:rPr>
        <w:footnoteReference w:id="4152"/>
      </w:r>
      <w:r w:rsidRPr="00E14121">
        <w:rPr>
          <w:rFonts w:ascii="Narkisim" w:hAnsi="Narkisim"/>
          <w:rtl/>
        </w:rPr>
        <w:t>. [ועד"ז כת' המחנ"א אישות ג].</w:t>
      </w:r>
    </w:p>
    <w:p w14:paraId="682976FD"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מהרי"ט</w:t>
      </w:r>
      <w:r w:rsidRPr="00E14121">
        <w:rPr>
          <w:rFonts w:ascii="Narkisim" w:hAnsi="Narkisim"/>
          <w:rtl/>
        </w:rPr>
        <w:t xml:space="preserve"> (א יא ומא, הו' בשמעתתא ג ט) תי' דתוס' קאי דוקא בחזקת קטנות. דכל שמועדת ומעותדת לכך ל"מ חזקתו</w:t>
      </w:r>
      <w:r w:rsidRPr="00E14121">
        <w:rPr>
          <w:rStyle w:val="ac"/>
          <w:rFonts w:ascii="Narkisim" w:hAnsi="Narkisim"/>
          <w:rtl/>
        </w:rPr>
        <w:footnoteReference w:id="4153"/>
      </w:r>
      <w:r w:rsidRPr="00E14121">
        <w:rPr>
          <w:rFonts w:ascii="Narkisim" w:hAnsi="Narkisim"/>
          <w:rtl/>
        </w:rPr>
        <w:t>. ואף גדלות מעיקרא להכי קאי, ובכל יום גדל</w:t>
      </w:r>
      <w:r w:rsidRPr="00E14121">
        <w:rPr>
          <w:rStyle w:val="ac"/>
          <w:rFonts w:ascii="Narkisim" w:hAnsi="Narkisim"/>
          <w:rtl/>
        </w:rPr>
        <w:footnoteReference w:id="4154"/>
      </w:r>
      <w:r w:rsidRPr="00E14121">
        <w:rPr>
          <w:rFonts w:ascii="Narkisim" w:hAnsi="Narkisim"/>
          <w:rtl/>
        </w:rPr>
        <w:t xml:space="preserve">. וכיון דהשתא הוא גדול לפנינו והורעה חזקתה ול"מ החזקה. </w:t>
      </w:r>
      <w:r w:rsidRPr="00E14121">
        <w:rPr>
          <w:rFonts w:ascii="Narkisim" w:hAnsi="Narkisim"/>
          <w:sz w:val="20"/>
          <w:szCs w:val="20"/>
          <w:rtl/>
        </w:rPr>
        <w:t>[וכעי"ז כתב ה</w:t>
      </w:r>
      <w:r w:rsidRPr="00E14121">
        <w:rPr>
          <w:rFonts w:ascii="Narkisim" w:hAnsi="Narkisim"/>
          <w:b/>
          <w:bCs/>
          <w:sz w:val="20"/>
          <w:szCs w:val="20"/>
          <w:rtl/>
        </w:rPr>
        <w:t>ט"ז</w:t>
      </w:r>
      <w:r w:rsidRPr="00E14121">
        <w:rPr>
          <w:rFonts w:ascii="Narkisim" w:hAnsi="Narkisim"/>
          <w:sz w:val="20"/>
          <w:szCs w:val="20"/>
          <w:rtl/>
        </w:rPr>
        <w:t xml:space="preserve"> יו"ד שצז דל"מ חזקה העשויה להשתנות כשאיתרע לפנינו</w:t>
      </w:r>
      <w:r w:rsidRPr="00E14121">
        <w:rPr>
          <w:rStyle w:val="ac"/>
          <w:rFonts w:ascii="Narkisim" w:hAnsi="Narkisim"/>
          <w:sz w:val="20"/>
          <w:szCs w:val="20"/>
          <w:rtl/>
        </w:rPr>
        <w:footnoteReference w:id="4155"/>
      </w:r>
      <w:r w:rsidRPr="00E14121">
        <w:rPr>
          <w:rFonts w:ascii="Narkisim" w:hAnsi="Narkisim"/>
          <w:sz w:val="20"/>
          <w:szCs w:val="20"/>
          <w:rtl/>
        </w:rPr>
        <w:t>].</w:t>
      </w:r>
      <w:r w:rsidRPr="00E14121">
        <w:rPr>
          <w:rStyle w:val="ac"/>
          <w:rFonts w:ascii="Narkisim" w:hAnsi="Narkisim"/>
          <w:sz w:val="20"/>
          <w:szCs w:val="20"/>
          <w:rtl/>
        </w:rPr>
        <w:footnoteReference w:id="4156"/>
      </w:r>
    </w:p>
    <w:p w14:paraId="19C6BC9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שמעתתא</w:t>
      </w:r>
      <w:r w:rsidRPr="00E14121">
        <w:rPr>
          <w:rFonts w:ascii="Narkisim" w:hAnsi="Narkisim"/>
          <w:rtl/>
        </w:rPr>
        <w:t xml:space="preserve"> (ג יג) כתב בשם אחיו [בעל התרוה"כ] דתוס' תי' כן רק לגבי תרומה, ולענין </w:t>
      </w:r>
      <w:r w:rsidRPr="00E14121">
        <w:rPr>
          <w:rFonts w:ascii="Narkisim" w:hAnsi="Narkisim"/>
          <w:rtl/>
        </w:rPr>
        <w:lastRenderedPageBreak/>
        <w:t>תרומה חיישינן לחזקה דהשתא, דבתרומה אזלי' בתר שעת מציאתן [וכמ"ש תוס' נדה ב.</w:t>
      </w:r>
      <w:r w:rsidRPr="00E14121">
        <w:rPr>
          <w:rStyle w:val="ac"/>
          <w:rFonts w:ascii="Narkisim" w:hAnsi="Narkisim"/>
          <w:rtl/>
        </w:rPr>
        <w:footnoteReference w:id="4157"/>
      </w:r>
      <w:r w:rsidRPr="00E14121">
        <w:rPr>
          <w:rFonts w:ascii="Narkisim" w:hAnsi="Narkisim"/>
          <w:rtl/>
        </w:rPr>
        <w:t>].</w:t>
      </w:r>
    </w:p>
    <w:p w14:paraId="783D261F"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שער"י</w:t>
      </w:r>
      <w:r w:rsidRPr="00E14121">
        <w:rPr>
          <w:rFonts w:ascii="Narkisim" w:hAnsi="Narkisim"/>
          <w:rtl/>
        </w:rPr>
        <w:t xml:space="preserve"> (ב ד) כת' דל"מ חזקת הקטן, דאין נפק"מ כלפיו אלא כלפי אחרים </w:t>
      </w:r>
      <w:r w:rsidRPr="00E14121">
        <w:rPr>
          <w:rFonts w:ascii="Narkisim" w:hAnsi="Narkisim"/>
          <w:szCs w:val="20"/>
          <w:rtl/>
        </w:rPr>
        <w:t>[ועד”ז כתב ה</w:t>
      </w:r>
      <w:r w:rsidRPr="00E14121">
        <w:rPr>
          <w:rFonts w:ascii="Narkisim" w:hAnsi="Narkisim"/>
          <w:b/>
          <w:bCs/>
          <w:szCs w:val="20"/>
          <w:rtl/>
        </w:rPr>
        <w:t>חזו”א</w:t>
      </w:r>
      <w:r w:rsidRPr="00E14121">
        <w:rPr>
          <w:rFonts w:ascii="Narkisim" w:hAnsi="Narkisim"/>
          <w:szCs w:val="20"/>
          <w:rtl/>
        </w:rPr>
        <w:t xml:space="preserve"> פ יז בחד תי', ועי”ש עוד]</w:t>
      </w:r>
      <w:r w:rsidRPr="00E14121">
        <w:rPr>
          <w:rFonts w:ascii="Narkisim" w:hAnsi="Narkisim"/>
          <w:rtl/>
        </w:rPr>
        <w:t>.</w:t>
      </w:r>
    </w:p>
    <w:p w14:paraId="5CEC617B"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(סט:) תי' דכיון שיש כאן פסול ודאי וביאה ודאית, ואין הספק אלא על השנים, מש"ה ריע חזקתה ולא מכשירין לה. וכדאמרי' בעלמא דכל היכא דודאי נגע ל"מ חזקה דידה לענין טומאה וטהרה</w:t>
      </w:r>
      <w:r w:rsidRPr="00E14121">
        <w:rPr>
          <w:rStyle w:val="ac"/>
          <w:rFonts w:ascii="Narkisim" w:hAnsi="Narkisim" w:cs="Narkisim"/>
          <w:rtl/>
        </w:rPr>
        <w:footnoteReference w:id="4158"/>
      </w:r>
      <w:r w:rsidRPr="00E14121">
        <w:rPr>
          <w:rFonts w:ascii="Narkisim" w:hAnsi="Narkisim" w:cs="Narkisim"/>
          <w:rtl/>
        </w:rPr>
        <w:t>.</w:t>
      </w:r>
    </w:p>
    <w:p w14:paraId="73648D03" w14:textId="77777777" w:rsidR="00F64AED" w:rsidRPr="00E14121" w:rsidRDefault="00F64AED" w:rsidP="00F64AED">
      <w:pPr>
        <w:pStyle w:val="a7"/>
        <w:bidi/>
        <w:rPr>
          <w:rFonts w:ascii="Narkisim" w:hAnsi="Narkisim"/>
        </w:rPr>
      </w:pPr>
      <w:r w:rsidRPr="00E14121">
        <w:rPr>
          <w:rFonts w:ascii="Narkisim" w:hAnsi="Narkisim"/>
          <w:rtl/>
        </w:rPr>
        <w:t xml:space="preserve">אך צ"ב מ"ש מאלמנת עיסה (כתובות יד.) דמהני חזקת האשה (וכמ”ש תוס' שם), אף דודאי נבעלה לספק חלל </w:t>
      </w:r>
      <w:r w:rsidRPr="00E14121">
        <w:rPr>
          <w:rFonts w:ascii="Narkisim" w:hAnsi="Narkisim"/>
          <w:sz w:val="20"/>
          <w:szCs w:val="20"/>
          <w:rtl/>
        </w:rPr>
        <w:t>[וה</w:t>
      </w:r>
      <w:r w:rsidRPr="00E14121">
        <w:rPr>
          <w:rFonts w:ascii="Narkisim" w:hAnsi="Narkisim"/>
          <w:b/>
          <w:bCs/>
          <w:sz w:val="20"/>
          <w:szCs w:val="20"/>
          <w:rtl/>
        </w:rPr>
        <w:t>אחרונים</w:t>
      </w:r>
      <w:r w:rsidRPr="00E14121">
        <w:rPr>
          <w:rFonts w:ascii="Narkisim" w:hAnsi="Narkisim"/>
          <w:sz w:val="20"/>
          <w:szCs w:val="20"/>
          <w:rtl/>
        </w:rPr>
        <w:t xml:space="preserve"> דנו לחלק]</w:t>
      </w:r>
      <w:r w:rsidRPr="00E14121">
        <w:rPr>
          <w:rStyle w:val="ac"/>
          <w:rFonts w:ascii="Narkisim" w:hAnsi="Narkisim"/>
          <w:sz w:val="20"/>
          <w:szCs w:val="20"/>
          <w:rtl/>
        </w:rPr>
        <w:footnoteReference w:id="4159"/>
      </w:r>
      <w:r w:rsidRPr="00E14121">
        <w:rPr>
          <w:rFonts w:ascii="Narkisim" w:hAnsi="Narkisim"/>
          <w:sz w:val="20"/>
          <w:szCs w:val="20"/>
          <w:rtl/>
        </w:rPr>
        <w:t>.</w:t>
      </w:r>
    </w:p>
    <w:p w14:paraId="7382AA6B"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וה</w:t>
      </w:r>
      <w:r w:rsidRPr="00E14121">
        <w:rPr>
          <w:rFonts w:ascii="Narkisim" w:hAnsi="Narkisim" w:cs="Narkisim"/>
          <w:b/>
          <w:bCs/>
          <w:rtl/>
        </w:rPr>
        <w:t>תו"י</w:t>
      </w:r>
      <w:r w:rsidRPr="00E14121">
        <w:rPr>
          <w:rFonts w:ascii="Narkisim" w:hAnsi="Narkisim" w:cs="Narkisim"/>
          <w:rtl/>
        </w:rPr>
        <w:t xml:space="preserve"> תי' דכיון דסופו ליגדל אין החזקה כלום. ולכאורה כוונתו לנידון חזקה העשויה להשתנות </w:t>
      </w:r>
      <w:r w:rsidRPr="00E14121">
        <w:rPr>
          <w:rFonts w:ascii="Narkisim" w:hAnsi="Narkisim" w:cs="Narkisim"/>
          <w:sz w:val="20"/>
          <w:szCs w:val="20"/>
          <w:rtl/>
        </w:rPr>
        <w:t>(ע' קידושין עט. ושמעתתא ג).</w:t>
      </w:r>
      <w:r w:rsidRPr="00E14121">
        <w:rPr>
          <w:rFonts w:ascii="Narkisim" w:hAnsi="Narkisim" w:cs="Narkisim"/>
          <w:rtl/>
        </w:rPr>
        <w:t xml:space="preserve"> וה</w:t>
      </w:r>
      <w:r w:rsidRPr="00E14121">
        <w:rPr>
          <w:rFonts w:ascii="Narkisim" w:hAnsi="Narkisim" w:cs="Narkisim"/>
          <w:b/>
          <w:bCs/>
          <w:rtl/>
        </w:rPr>
        <w:t>שמעתתא</w:t>
      </w:r>
      <w:r w:rsidRPr="00E14121">
        <w:rPr>
          <w:rFonts w:ascii="Narkisim" w:hAnsi="Narkisim" w:cs="Narkisim"/>
          <w:rtl/>
        </w:rPr>
        <w:t xml:space="preserve"> (ג י) הביא דתוס' דידן ס"ל דחזקה העשויה להשתנות הוה חזקה. אך יש </w:t>
      </w:r>
      <w:r w:rsidRPr="00E14121">
        <w:rPr>
          <w:rFonts w:ascii="Narkisim" w:hAnsi="Narkisim" w:cs="Narkisim"/>
          <w:b/>
          <w:bCs/>
          <w:rtl/>
        </w:rPr>
        <w:t>אחרונים</w:t>
      </w:r>
      <w:r w:rsidRPr="00E14121">
        <w:rPr>
          <w:rFonts w:ascii="Narkisim" w:hAnsi="Narkisim" w:cs="Narkisim"/>
          <w:rtl/>
        </w:rPr>
        <w:t xml:space="preserve"> (מלבושי יו"ט) שהק' דבספק בן ט' לא שייך חזקה כלל. דמעיקרא הוה קטן לזמן קצוב ומוגבל</w:t>
      </w:r>
      <w:r w:rsidRPr="00E14121">
        <w:rPr>
          <w:rStyle w:val="ac"/>
          <w:rFonts w:ascii="Narkisim" w:hAnsi="Narkisim" w:cs="Narkisim"/>
          <w:rtl/>
        </w:rPr>
        <w:footnoteReference w:id="4160"/>
      </w:r>
      <w:r w:rsidRPr="00E14121">
        <w:rPr>
          <w:rFonts w:ascii="Narkisim" w:hAnsi="Narkisim" w:cs="Narkisim"/>
          <w:rtl/>
        </w:rPr>
        <w:t>, ולא שייך לומר דדין החזקה להמשיך המצב</w:t>
      </w:r>
      <w:r w:rsidRPr="00E14121">
        <w:rPr>
          <w:rStyle w:val="ac"/>
          <w:rFonts w:ascii="Narkisim" w:hAnsi="Narkisim" w:cs="Narkisim"/>
          <w:rtl/>
        </w:rPr>
        <w:footnoteReference w:id="4161"/>
      </w:r>
      <w:r w:rsidRPr="00E14121">
        <w:rPr>
          <w:rFonts w:ascii="Narkisim" w:hAnsi="Narkisim" w:cs="Narkisim"/>
          <w:rtl/>
        </w:rPr>
        <w:t>. וכעי"ז תי' ב</w:t>
      </w:r>
      <w:r w:rsidRPr="00E14121">
        <w:rPr>
          <w:rFonts w:ascii="Narkisim" w:hAnsi="Narkisim" w:cs="Narkisim"/>
          <w:b/>
          <w:bCs/>
          <w:rtl/>
        </w:rPr>
        <w:t>חי' ר"א מן ההר</w:t>
      </w:r>
      <w:r w:rsidRPr="00E14121">
        <w:rPr>
          <w:rFonts w:ascii="Narkisim" w:hAnsi="Narkisim" w:cs="Narkisim"/>
          <w:rtl/>
        </w:rPr>
        <w:t xml:space="preserve"> דל"ש הכא חזקה, דזמן ממילא קאתי ולא שייך בשנים לומר דההיא שעתא בחזקת פחות מבן ט'.</w:t>
      </w:r>
    </w:p>
    <w:p w14:paraId="76D0AE4C" w14:textId="77777777" w:rsidR="00F64AED" w:rsidRPr="00E14121" w:rsidRDefault="00F64AED" w:rsidP="00F64AED">
      <w:pPr>
        <w:pStyle w:val="2"/>
        <w:bidi/>
        <w:rPr>
          <w:rFonts w:ascii="Narkisim" w:hAnsi="Narkisim"/>
        </w:rPr>
      </w:pPr>
      <w:r w:rsidRPr="00E14121">
        <w:rPr>
          <w:rFonts w:ascii="Narkisim" w:hAnsi="Narkisim"/>
          <w:rtl/>
        </w:rPr>
        <w:t>כי תהיה לאיש זר</w:t>
      </w:r>
    </w:p>
    <w:p w14:paraId="3EBB9B50" w14:textId="77777777" w:rsidR="00F64AED" w:rsidRPr="00E14121" w:rsidRDefault="00F64AED" w:rsidP="00F64AED">
      <w:pPr>
        <w:bidi/>
        <w:rPr>
          <w:rFonts w:ascii="Narkisim" w:hAnsi="Narkisim" w:cs="Narkisim"/>
        </w:rPr>
      </w:pPr>
      <w:r w:rsidRPr="00E14121">
        <w:rPr>
          <w:rFonts w:ascii="Narkisim" w:hAnsi="Narkisim" w:cs="Narkisim"/>
          <w:u w:val="single"/>
          <w:rtl/>
        </w:rPr>
        <w:t>מנא ה"מ וכו' כי תהיה לאיש זר וכו'.</w:t>
      </w:r>
      <w:r w:rsidRPr="00E14121">
        <w:rPr>
          <w:rFonts w:ascii="Narkisim" w:hAnsi="Narkisim" w:cs="Narkisim"/>
          <w:rtl/>
        </w:rPr>
        <w:t xml:space="preserve"> </w:t>
      </w:r>
      <w:r w:rsidRPr="00E14121">
        <w:rPr>
          <w:rFonts w:ascii="Narkisim" w:hAnsi="Narkisim" w:cs="Narkisim"/>
          <w:sz w:val="20"/>
          <w:szCs w:val="20"/>
          <w:rtl/>
        </w:rPr>
        <w:t>[ודרשי' שאסורה לאכול בתרומה, ובגמ' (בע"ב) ילפי' שאסורה לכהונה].</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הקשה אמאי בעי קרא לאסור, דכיון דהוה זונה אסורה (ע"ע בע"ב). ועד"ז הק' </w:t>
      </w:r>
      <w:r w:rsidRPr="00E14121">
        <w:rPr>
          <w:rFonts w:ascii="Narkisim" w:hAnsi="Narkisim" w:cs="Narkisim"/>
          <w:b/>
          <w:bCs/>
          <w:rtl/>
        </w:rPr>
        <w:t>תוס</w:t>
      </w:r>
      <w:r w:rsidRPr="00E14121">
        <w:rPr>
          <w:rFonts w:ascii="Narkisim" w:hAnsi="Narkisim" w:cs="Narkisim"/>
          <w:rtl/>
        </w:rPr>
        <w:t>' (לעיל מד: ד”ה הכא) דבגמ' (בע"ב) דנו דקרא בחייבי כריתות, ותיפו"ל דכיון דלא תפסי קידושין הוה זונה, וזונה אסורה בתרומה.</w:t>
      </w:r>
    </w:p>
    <w:p w14:paraId="3E420FB9"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(לעיל מד: ולה.) דנו האם זונה אסורה לתרומה [כדין חללה], או דצריך ילפותא לפסול לתרומה</w:t>
      </w:r>
      <w:r w:rsidRPr="00E14121">
        <w:rPr>
          <w:rStyle w:val="ac"/>
          <w:rFonts w:ascii="Narkisim" w:hAnsi="Narkisim"/>
          <w:rtl/>
        </w:rPr>
        <w:footnoteReference w:id="4162"/>
      </w:r>
      <w:r w:rsidRPr="00E14121">
        <w:rPr>
          <w:rFonts w:ascii="Narkisim" w:hAnsi="Narkisim"/>
          <w:rtl/>
        </w:rPr>
        <w:t>. ותוס' (בסו"ד) כת' דלצד דשם זונה פוסל, צריך ליישב קו' הגמ' דסוגיין (בע"ב) גבי חייבי כריתות.</w:t>
      </w:r>
    </w:p>
    <w:p w14:paraId="076206E0"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כת' דקו' הגמ' דידן כמ"ד (לעיל סא:) דנבעלה לחייבי לאוין אינה זונה, דדעת ר' אליעזר דזונה כשמה [דוקא אשת איש שזינתה]. אבל למ"ד דהוה זונה מחייבי לאוין לא איצטריך.</w:t>
      </w:r>
    </w:p>
    <w:p w14:paraId="56AE6A9C" w14:textId="77777777" w:rsidR="00F64AED" w:rsidRPr="00E14121" w:rsidRDefault="00F64AED" w:rsidP="00F64AED">
      <w:pPr>
        <w:pStyle w:val="a7"/>
        <w:bidi/>
        <w:rPr>
          <w:rFonts w:ascii="Narkisim" w:hAnsi="Narkisim"/>
        </w:rPr>
      </w:pPr>
      <w:r w:rsidRPr="00E14121">
        <w:rPr>
          <w:rFonts w:ascii="Narkisim" w:hAnsi="Narkisim"/>
          <w:rtl/>
        </w:rPr>
        <w:t xml:space="preserve">וכת' דדעת ר' מתיא בן חרש (שם) דבכל איסור [אפי' סוטה ספק] עשאה זונה. והביא דאף דעת רבנן (שם) דנבעלה בעילת זנות עושה זונה, ונקט כדעת </w:t>
      </w:r>
      <w:r w:rsidRPr="00E14121">
        <w:rPr>
          <w:rFonts w:ascii="Narkisim" w:hAnsi="Narkisim"/>
          <w:b/>
          <w:bCs/>
          <w:rtl/>
        </w:rPr>
        <w:t>רש"י</w:t>
      </w:r>
      <w:r w:rsidRPr="00E14121">
        <w:rPr>
          <w:rFonts w:ascii="Narkisim" w:hAnsi="Narkisim"/>
          <w:rtl/>
        </w:rPr>
        <w:t xml:space="preserve"> (לעיל סא.) דחכמים ס"ל בכל ביאת איסור הוה זונה. אבל לדעת </w:t>
      </w:r>
      <w:r w:rsidRPr="00E14121">
        <w:rPr>
          <w:rFonts w:ascii="Narkisim" w:hAnsi="Narkisim"/>
          <w:b/>
          <w:bCs/>
          <w:rtl/>
        </w:rPr>
        <w:t>תוס</w:t>
      </w:r>
      <w:r w:rsidRPr="00E14121">
        <w:rPr>
          <w:rFonts w:ascii="Narkisim" w:hAnsi="Narkisim"/>
          <w:rtl/>
        </w:rPr>
        <w:t>' (שם ד”ה שנבעלה) לחכמים אינה נעשית זונה אלא מחייבי כריתות.</w:t>
      </w:r>
    </w:p>
    <w:p w14:paraId="7C3CB517" w14:textId="77777777" w:rsidR="00F64AED" w:rsidRPr="00E14121" w:rsidRDefault="00F64AED" w:rsidP="00F64AED">
      <w:pPr>
        <w:bidi/>
        <w:rPr>
          <w:rFonts w:ascii="Narkisim" w:hAnsi="Narkisim" w:cs="Narkisim"/>
        </w:rPr>
      </w:pPr>
      <w:r w:rsidRPr="00E14121">
        <w:rPr>
          <w:rFonts w:ascii="Narkisim" w:hAnsi="Narkisim" w:cs="Narkisim"/>
          <w:rtl/>
        </w:rPr>
        <w:t>ועוד תי' ה</w:t>
      </w:r>
      <w:r w:rsidRPr="00E14121">
        <w:rPr>
          <w:rFonts w:ascii="Narkisim" w:hAnsi="Narkisim" w:cs="Narkisim"/>
          <w:b/>
          <w:bCs/>
          <w:rtl/>
        </w:rPr>
        <w:t>רשב”א</w:t>
      </w:r>
      <w:r w:rsidRPr="00E14121">
        <w:rPr>
          <w:rFonts w:ascii="Narkisim" w:hAnsi="Narkisim" w:cs="Narkisim"/>
          <w:rtl/>
        </w:rPr>
        <w:t xml:space="preserve"> דקו' הגמ' בנבעלה באונס, וכדרבה (נו:) דכל באונס לא הוה זונה</w:t>
      </w:r>
      <w:r w:rsidRPr="00E14121">
        <w:rPr>
          <w:rStyle w:val="ac"/>
          <w:rFonts w:ascii="Narkisim" w:hAnsi="Narkisim" w:cs="Narkisim"/>
          <w:rtl/>
        </w:rPr>
        <w:footnoteReference w:id="4163"/>
      </w:r>
      <w:r w:rsidRPr="00E14121">
        <w:rPr>
          <w:rFonts w:ascii="Narkisim" w:hAnsi="Narkisim" w:cs="Narkisim"/>
          <w:rtl/>
        </w:rPr>
        <w:t>. [ואפ"ה אסורה מחמת קרא דסוגיין, וכמ”ש המלחמות שם].</w:t>
      </w:r>
    </w:p>
    <w:p w14:paraId="3FFC2C1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(ו ד) ו</w:t>
      </w:r>
      <w:r w:rsidRPr="00E14121">
        <w:rPr>
          <w:rFonts w:ascii="Narkisim" w:hAnsi="Narkisim"/>
          <w:b/>
          <w:bCs/>
          <w:rtl/>
        </w:rPr>
        <w:t>מנח"ח</w:t>
      </w:r>
      <w:r w:rsidRPr="00E14121">
        <w:rPr>
          <w:rFonts w:ascii="Narkisim" w:hAnsi="Narkisim"/>
          <w:rtl/>
        </w:rPr>
        <w:t xml:space="preserve"> (רסו יט,כד</w:t>
      </w:r>
      <w:r w:rsidRPr="00E14121">
        <w:rPr>
          <w:rStyle w:val="ac"/>
          <w:rFonts w:ascii="Narkisim" w:hAnsi="Narkisim"/>
          <w:rtl/>
        </w:rPr>
        <w:footnoteReference w:id="4164"/>
      </w:r>
      <w:r w:rsidRPr="00E14121">
        <w:rPr>
          <w:rFonts w:ascii="Narkisim" w:hAnsi="Narkisim"/>
          <w:rtl/>
        </w:rPr>
        <w:t>) הביאו מדברי הרשב"א דס"ל דחייבי לאוין הוה זונה, אף דלא הוה זר מעיקרא</w:t>
      </w:r>
      <w:r w:rsidRPr="00E14121">
        <w:rPr>
          <w:rStyle w:val="ac"/>
          <w:rFonts w:ascii="Narkisim" w:hAnsi="Narkisim"/>
          <w:rtl/>
        </w:rPr>
        <w:footnoteReference w:id="4165"/>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(חי' ר' שלמה יג) הקשו דה</w:t>
      </w:r>
      <w:r w:rsidRPr="00E14121">
        <w:rPr>
          <w:rFonts w:ascii="Narkisim" w:hAnsi="Narkisim"/>
          <w:b/>
          <w:bCs/>
          <w:rtl/>
        </w:rPr>
        <w:t>רשב"א</w:t>
      </w:r>
      <w:r w:rsidRPr="00E14121">
        <w:rPr>
          <w:rFonts w:ascii="Narkisim" w:hAnsi="Narkisim"/>
          <w:rtl/>
        </w:rPr>
        <w:t xml:space="preserve"> (לקמן ע., הו' סט.) כת' להדיא דמחייבי לאוין לא הוה זונה אם לא הוה זר מעיקרא. וה</w:t>
      </w:r>
      <w:r w:rsidRPr="00E14121">
        <w:rPr>
          <w:rFonts w:ascii="Narkisim" w:hAnsi="Narkisim"/>
          <w:b/>
          <w:bCs/>
          <w:rtl/>
        </w:rPr>
        <w:t>מגיה לריטב"א</w:t>
      </w:r>
      <w:r w:rsidRPr="00E14121">
        <w:rPr>
          <w:rFonts w:ascii="Narkisim" w:hAnsi="Narkisim"/>
          <w:rtl/>
        </w:rPr>
        <w:t xml:space="preserve"> (שם) תי' דהרשב"א ס"ל דלא הוה זונה היכא דהוה זר מעיקרא</w:t>
      </w:r>
      <w:r w:rsidRPr="00E14121">
        <w:rPr>
          <w:rStyle w:val="ac"/>
          <w:rFonts w:ascii="Narkisim" w:hAnsi="Narkisim"/>
          <w:rtl/>
        </w:rPr>
        <w:footnoteReference w:id="4166"/>
      </w:r>
      <w:r w:rsidRPr="00E14121">
        <w:rPr>
          <w:rFonts w:ascii="Narkisim" w:hAnsi="Narkisim"/>
          <w:rtl/>
        </w:rPr>
        <w:t>.</w:t>
      </w:r>
    </w:p>
    <w:p w14:paraId="483353A1" w14:textId="77777777" w:rsidR="00F64AED" w:rsidRPr="00E14121" w:rsidRDefault="00F64AED" w:rsidP="00F64AED">
      <w:pPr>
        <w:bidi/>
        <w:rPr>
          <w:rFonts w:ascii="Narkisim" w:hAnsi="Narkisim" w:cs="Narkisim"/>
        </w:rPr>
      </w:pPr>
      <w:r w:rsidRPr="00E14121">
        <w:rPr>
          <w:rFonts w:ascii="Narkisim" w:hAnsi="Narkisim" w:cs="Narkisim"/>
          <w:rtl/>
        </w:rPr>
        <w:lastRenderedPageBreak/>
        <w:t>וה</w:t>
      </w:r>
      <w:r w:rsidRPr="00E14121">
        <w:rPr>
          <w:rFonts w:ascii="Narkisim" w:hAnsi="Narkisim" w:cs="Narkisim"/>
          <w:b/>
          <w:bCs/>
          <w:rtl/>
        </w:rPr>
        <w:t>רשב"א</w:t>
      </w:r>
      <w:r w:rsidRPr="00E14121">
        <w:rPr>
          <w:rFonts w:ascii="Narkisim" w:hAnsi="Narkisim" w:cs="Narkisim"/>
          <w:rtl/>
        </w:rPr>
        <w:t xml:space="preserve"> העלה צד ('אין לומר') דפשיטא דהוה זונה, וקו' הגמ' מנ"ל דזונה אסורה בתרומה. [וכ"כ האבנ"מ בדעת הרמב"ם]. וה</w:t>
      </w:r>
      <w:r w:rsidRPr="00E14121">
        <w:rPr>
          <w:rFonts w:ascii="Narkisim" w:hAnsi="Narkisim" w:cs="Narkisim"/>
          <w:b/>
          <w:bCs/>
          <w:rtl/>
        </w:rPr>
        <w:t>רשב"א</w:t>
      </w:r>
      <w:r w:rsidRPr="00E14121">
        <w:rPr>
          <w:rFonts w:ascii="Narkisim" w:hAnsi="Narkisim" w:cs="Narkisim"/>
          <w:rtl/>
        </w:rPr>
        <w:t xml:space="preserve"> דחה דהגמ' (בע"ב) מק' אשכחן תרומה, לכהונה מנ"ל.</w:t>
      </w:r>
    </w:p>
    <w:p w14:paraId="741C1DF4" w14:textId="77777777" w:rsidR="00F64AED" w:rsidRPr="00E14121" w:rsidRDefault="00F64AED" w:rsidP="00F64AED">
      <w:pPr>
        <w:bidi/>
        <w:rPr>
          <w:rFonts w:ascii="Narkisim" w:hAnsi="Narkisim" w:cs="Narkisim"/>
        </w:rPr>
      </w:pPr>
      <w:r w:rsidRPr="00E14121">
        <w:rPr>
          <w:rFonts w:ascii="Narkisim" w:hAnsi="Narkisim" w:cs="Narkisim"/>
          <w:rtl/>
        </w:rPr>
        <w:t>ו</w:t>
      </w:r>
      <w:r w:rsidRPr="00E14121">
        <w:rPr>
          <w:rFonts w:ascii="Narkisim" w:hAnsi="Narkisim" w:cs="Narkisim"/>
          <w:b/>
          <w:bCs/>
          <w:rtl/>
        </w:rPr>
        <w:t>תוס</w:t>
      </w:r>
      <w:r w:rsidRPr="00E14121">
        <w:rPr>
          <w:rFonts w:ascii="Narkisim" w:hAnsi="Narkisim" w:cs="Narkisim"/>
          <w:rtl/>
        </w:rPr>
        <w:t>' (לעיל מד:) הביאו ד</w:t>
      </w:r>
      <w:r w:rsidRPr="00E14121">
        <w:rPr>
          <w:rFonts w:ascii="Narkisim" w:hAnsi="Narkisim" w:cs="Narkisim"/>
          <w:b/>
          <w:bCs/>
          <w:rtl/>
        </w:rPr>
        <w:t>ר"י</w:t>
      </w:r>
      <w:r w:rsidRPr="00E14121">
        <w:rPr>
          <w:rFonts w:ascii="Narkisim" w:hAnsi="Narkisim" w:cs="Narkisim"/>
          <w:rtl/>
        </w:rPr>
        <w:t xml:space="preserve"> דן מנ"ל דזונה אסורה בתרומה. ו</w:t>
      </w:r>
      <w:r w:rsidRPr="00E14121">
        <w:rPr>
          <w:rFonts w:ascii="Narkisim" w:hAnsi="Narkisim" w:cs="Narkisim"/>
          <w:b/>
          <w:bCs/>
          <w:rtl/>
        </w:rPr>
        <w:t>תוס</w:t>
      </w:r>
      <w:r w:rsidRPr="00E14121">
        <w:rPr>
          <w:rFonts w:ascii="Narkisim" w:hAnsi="Narkisim" w:cs="Narkisim"/>
          <w:rtl/>
        </w:rPr>
        <w:t>' כת' בחד תי' [והיה נראה לר"י] דילפי' מסוגיין מ'כי תהיה לאיש זר', וכל היכא דלא תפסי קידושין ונעשית זונה</w:t>
      </w:r>
      <w:r w:rsidRPr="00E14121">
        <w:rPr>
          <w:rStyle w:val="ac"/>
          <w:rFonts w:ascii="Narkisim" w:hAnsi="Narkisim" w:cs="Narkisim"/>
          <w:rtl/>
        </w:rPr>
        <w:footnoteReference w:id="4167"/>
      </w:r>
      <w:r w:rsidRPr="00E14121">
        <w:rPr>
          <w:rFonts w:ascii="Narkisim" w:hAnsi="Narkisim" w:cs="Narkisim"/>
          <w:rtl/>
        </w:rPr>
        <w:t xml:space="preserve"> נחשב 'איש זר'.</w:t>
      </w:r>
    </w:p>
    <w:p w14:paraId="75B60B01" w14:textId="77777777" w:rsidR="00F64AED" w:rsidRPr="00E14121" w:rsidRDefault="00F64AED" w:rsidP="00F64AED">
      <w:pPr>
        <w:bidi/>
        <w:rPr>
          <w:rFonts w:ascii="Narkisim" w:hAnsi="Narkisim" w:cs="Narkisim"/>
        </w:rPr>
      </w:pPr>
      <w:r w:rsidRPr="00E14121">
        <w:rPr>
          <w:rFonts w:ascii="Narkisim" w:hAnsi="Narkisim" w:cs="Narkisim"/>
          <w:rtl/>
        </w:rPr>
        <w:t xml:space="preserve">ועוד כ'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(בסו"ד 'וזהו דוחק')</w:t>
      </w:r>
      <w:r w:rsidRPr="00E14121">
        <w:rPr>
          <w:rFonts w:ascii="Narkisim" w:hAnsi="Narkisim" w:cs="Narkisim"/>
          <w:rtl/>
        </w:rPr>
        <w:t xml:space="preserve"> דמשמע בכ"מ דהיכא דעשאה זונה פוסלה לתרומה. אלא דילפי' מדכלל הקרא בהדי חללה, דפסלה כחללה.</w:t>
      </w:r>
    </w:p>
    <w:p w14:paraId="63D11ED2"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(תרומות ו ז) למד מפסוק זה 'כי תהיה לאיש זר', שאם תבעל לאסור לה ותעשה זונה או חללה, וכמו שבארנו בהלכות איסורי ביאה הרי היא אסורה לאכול בתרומות לעולם וכו'</w:t>
      </w:r>
      <w:r w:rsidRPr="00E14121">
        <w:rPr>
          <w:rStyle w:val="ac"/>
          <w:rFonts w:ascii="Narkisim" w:hAnsi="Narkisim" w:cs="Narkisim"/>
          <w:rtl/>
        </w:rPr>
        <w:footnoteReference w:id="4168"/>
      </w:r>
      <w:r w:rsidRPr="00E14121">
        <w:rPr>
          <w:rFonts w:ascii="Narkisim" w:hAnsi="Narkisim" w:cs="Narkisim"/>
          <w:rtl/>
        </w:rPr>
        <w:t xml:space="preserve">. </w:t>
      </w:r>
      <w:r w:rsidRPr="00E14121">
        <w:rPr>
          <w:rFonts w:ascii="Narkisim" w:hAnsi="Narkisim" w:cs="Narkisim"/>
          <w:szCs w:val="20"/>
          <w:rtl/>
        </w:rPr>
        <w:t>ומשמע דידעינן כבר שנפסלה לכהונה</w:t>
      </w:r>
      <w:r w:rsidRPr="00E14121">
        <w:rPr>
          <w:rStyle w:val="ac"/>
          <w:rFonts w:ascii="Narkisim" w:hAnsi="Narkisim" w:cs="Narkisim"/>
          <w:szCs w:val="20"/>
          <w:rtl/>
        </w:rPr>
        <w:footnoteReference w:id="4169"/>
      </w:r>
      <w:r w:rsidRPr="00E14121">
        <w:rPr>
          <w:rFonts w:ascii="Narkisim" w:hAnsi="Narkisim" w:cs="Narkisim"/>
          <w:szCs w:val="20"/>
          <w:rtl/>
        </w:rPr>
        <w:t>, וילפי' מסוגיין דפסולה בתרומה</w:t>
      </w:r>
      <w:r w:rsidRPr="00E14121">
        <w:rPr>
          <w:rFonts w:ascii="Narkisim" w:hAnsi="Narkisim" w:cs="Narkisim"/>
          <w:rtl/>
        </w:rPr>
        <w:t xml:space="preserve">. </w:t>
      </w:r>
      <w:r w:rsidRPr="00E14121">
        <w:rPr>
          <w:rFonts w:ascii="Narkisim" w:hAnsi="Narkisim" w:cs="Narkisim"/>
          <w:sz w:val="20"/>
          <w:szCs w:val="20"/>
          <w:rtl/>
        </w:rPr>
        <w:t>[ועוד מבואר דאף זונה נתחללה מכהונה, וכדאיתא בגמ' בכורות מז.].</w:t>
      </w:r>
    </w:p>
    <w:p w14:paraId="6898490F"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(לעיל סא. ד"ה שנבעלה) כת' דזונה לא הוה אלא מחייבי כריתות [לרבנן</w:t>
      </w:r>
      <w:r w:rsidRPr="00E14121">
        <w:rPr>
          <w:rStyle w:val="ac"/>
          <w:rFonts w:ascii="Narkisim" w:hAnsi="Narkisim" w:cs="Narkisim"/>
          <w:rtl/>
        </w:rPr>
        <w:footnoteReference w:id="4170"/>
      </w:r>
      <w:r w:rsidRPr="00E14121">
        <w:rPr>
          <w:rFonts w:ascii="Narkisim" w:hAnsi="Narkisim" w:cs="Narkisim"/>
          <w:rtl/>
        </w:rPr>
        <w:t>]. ולפ"ז שפיר בעי קרא לחייבי לאוין [דזר מעיקרא] בסוגיין. וה</w:t>
      </w:r>
      <w:r w:rsidRPr="00E14121">
        <w:rPr>
          <w:rFonts w:ascii="Narkisim" w:hAnsi="Narkisim" w:cs="Narkisim"/>
          <w:b/>
          <w:bCs/>
          <w:rtl/>
        </w:rPr>
        <w:t>פוסקים</w:t>
      </w:r>
      <w:r w:rsidRPr="00E14121">
        <w:rPr>
          <w:rFonts w:ascii="Narkisim" w:hAnsi="Narkisim" w:cs="Narkisim"/>
          <w:rtl/>
        </w:rPr>
        <w:t xml:space="preserve"> (ב"ח ומהרש"ל לטור אה"ע ו) ביארו דה"מ משום 'שם זונה', אבל גר עמוני ופסולי קהל דסוגיין פסולים לתרומה וכהונה מקרא ד'איש זר'</w:t>
      </w:r>
      <w:r w:rsidRPr="00E14121">
        <w:rPr>
          <w:rStyle w:val="ac"/>
          <w:rFonts w:ascii="Narkisim" w:hAnsi="Narkisim" w:cs="Narkisim"/>
          <w:rtl/>
        </w:rPr>
        <w:footnoteReference w:id="4171"/>
      </w:r>
      <w:r w:rsidRPr="00E14121">
        <w:rPr>
          <w:rFonts w:ascii="Narkisim" w:hAnsi="Narkisim" w:cs="Narkisim"/>
          <w:rtl/>
        </w:rPr>
        <w:t>. [וע"ע בע"ב אי לוקה משום איש זר].</w:t>
      </w:r>
    </w:p>
    <w:p w14:paraId="3537BE6F" w14:textId="77777777" w:rsidR="00F64AED" w:rsidRPr="00E14121" w:rsidRDefault="00F64AED" w:rsidP="00F64AED">
      <w:pPr>
        <w:pStyle w:val="a7"/>
        <w:bidi/>
        <w:rPr>
          <w:rFonts w:ascii="Narkisim" w:hAnsi="Narkisim"/>
        </w:rPr>
      </w:pPr>
      <w:r w:rsidRPr="00E14121">
        <w:rPr>
          <w:rFonts w:ascii="Narkisim" w:hAnsi="Narkisim"/>
          <w:rtl/>
        </w:rPr>
        <w:t>אבל מדברי ה</w:t>
      </w:r>
      <w:r w:rsidRPr="00E14121">
        <w:rPr>
          <w:rFonts w:ascii="Narkisim" w:hAnsi="Narkisim"/>
          <w:b/>
          <w:bCs/>
          <w:rtl/>
        </w:rPr>
        <w:t>ב"י</w:t>
      </w:r>
      <w:r w:rsidRPr="00E14121">
        <w:rPr>
          <w:rFonts w:ascii="Narkisim" w:hAnsi="Narkisim"/>
          <w:rtl/>
        </w:rPr>
        <w:t xml:space="preserve"> (אה"ע ו) משמע דנקט דלדעת תוס' כל חייבי לאוין אינם פוסלים בביאתן</w:t>
      </w:r>
      <w:r w:rsidRPr="00E14121">
        <w:rPr>
          <w:rStyle w:val="ac"/>
          <w:rFonts w:ascii="Narkisim" w:hAnsi="Narkisim"/>
          <w:rtl/>
        </w:rPr>
        <w:footnoteReference w:id="4172"/>
      </w:r>
      <w:r w:rsidRPr="00E14121">
        <w:rPr>
          <w:rFonts w:ascii="Narkisim" w:hAnsi="Narkisim"/>
          <w:rtl/>
        </w:rPr>
        <w:t>. והב"י תמה על התוס' דמבואר בסוגיין דאף גר עמוני וכו' פסל האשה בביאתו</w:t>
      </w:r>
      <w:r w:rsidRPr="00E14121">
        <w:rPr>
          <w:rStyle w:val="ac"/>
          <w:rFonts w:ascii="Narkisim" w:hAnsi="Narkisim"/>
          <w:rtl/>
        </w:rPr>
        <w:footnoteReference w:id="4173"/>
      </w:r>
      <w:r w:rsidRPr="00E14121">
        <w:rPr>
          <w:rFonts w:ascii="Narkisim" w:hAnsi="Narkisim"/>
          <w:rtl/>
        </w:rPr>
        <w:t>.</w:t>
      </w:r>
    </w:p>
    <w:p w14:paraId="36917713"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 xml:space="preserve">מהרש"א </w:t>
      </w:r>
      <w:r w:rsidRPr="00E14121">
        <w:rPr>
          <w:rFonts w:ascii="Narkisim" w:hAnsi="Narkisim"/>
          <w:rtl/>
        </w:rPr>
        <w:t>(גיטין פט.) כתב דלדעת תוס' לא קי"ל כהך ברייתא, דהך ברייתא אתי כמ"ד אין קידושין תופסין בחייבי לאוין</w:t>
      </w:r>
      <w:r w:rsidRPr="00E14121">
        <w:rPr>
          <w:rStyle w:val="ac"/>
          <w:rFonts w:ascii="Narkisim" w:hAnsi="Narkisim"/>
          <w:rtl/>
        </w:rPr>
        <w:footnoteReference w:id="4174"/>
      </w:r>
      <w:r w:rsidRPr="00E14121">
        <w:rPr>
          <w:rFonts w:ascii="Narkisim" w:hAnsi="Narkisim"/>
          <w:rtl/>
        </w:rPr>
        <w:t>. וה</w:t>
      </w:r>
      <w:r w:rsidRPr="00E14121">
        <w:rPr>
          <w:rFonts w:ascii="Narkisim" w:hAnsi="Narkisim"/>
          <w:b/>
          <w:bCs/>
          <w:rtl/>
        </w:rPr>
        <w:t>שעה"מ</w:t>
      </w:r>
      <w:r w:rsidRPr="00E14121">
        <w:rPr>
          <w:rFonts w:ascii="Narkisim" w:hAnsi="Narkisim"/>
          <w:rtl/>
        </w:rPr>
        <w:t xml:space="preserve"> הקשה דבגמ' (סט.) מבואר דקאי אף למ"ד קידושין תופסין בחייבי לאוין.</w:t>
      </w:r>
    </w:p>
    <w:p w14:paraId="0591EA13"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(מד: הנ"ל)</w:t>
      </w:r>
      <w:r w:rsidRPr="00E14121">
        <w:rPr>
          <w:rFonts w:ascii="Narkisim" w:hAnsi="Narkisim" w:cs="Narkisim"/>
          <w:rtl/>
        </w:rPr>
        <w:t xml:space="preserve"> הק' עוד [להיפך מקו' הרשב”א] אמאי איצטריך קרא זונה לא יקחו, תיפו"ל דאסורה לתרומה. וילפי' </w:t>
      </w:r>
      <w:r w:rsidRPr="00E14121">
        <w:rPr>
          <w:rFonts w:ascii="Narkisim" w:hAnsi="Narkisim" w:cs="Narkisim"/>
          <w:szCs w:val="20"/>
          <w:rtl/>
        </w:rPr>
        <w:t>(בע"ב)</w:t>
      </w:r>
      <w:r w:rsidRPr="00E14121">
        <w:rPr>
          <w:rFonts w:ascii="Narkisim" w:hAnsi="Narkisim" w:cs="Narkisim"/>
          <w:rtl/>
        </w:rPr>
        <w:t xml:space="preserve"> לכהונה מכ"ש. ותוס' כת' דנפק"מ דלוקה ב'. ועוד צריך קרא היכא דנעשית זונה ע”י ביאת עכו"ם [ע”ע בע”ב]. וכן ילפי' לאו לגיורת ומשוחררת </w:t>
      </w:r>
      <w:r w:rsidRPr="00E14121">
        <w:rPr>
          <w:rFonts w:ascii="Narkisim" w:hAnsi="Narkisim" w:cs="Narkisim"/>
          <w:szCs w:val="20"/>
          <w:rtl/>
        </w:rPr>
        <w:t>(ע' לעיל סא.)</w:t>
      </w:r>
      <w:r w:rsidRPr="00E14121">
        <w:rPr>
          <w:rFonts w:ascii="Narkisim" w:hAnsi="Narkisim" w:cs="Narkisim"/>
          <w:rtl/>
        </w:rPr>
        <w:t>.</w:t>
      </w:r>
    </w:p>
    <w:p w14:paraId="49CD8A08" w14:textId="77777777" w:rsidR="00F64AED" w:rsidRPr="00E14121" w:rsidRDefault="00F64AED" w:rsidP="00F64AED">
      <w:pPr>
        <w:pStyle w:val="a7"/>
        <w:bidi/>
        <w:rPr>
          <w:rFonts w:ascii="Narkisim" w:hAnsi="Narkisim"/>
        </w:rPr>
      </w:pPr>
      <w:r w:rsidRPr="00E14121">
        <w:rPr>
          <w:rFonts w:ascii="Narkisim" w:hAnsi="Narkisim"/>
          <w:rtl/>
        </w:rPr>
        <w:t xml:space="preserve">ועוד תי' </w:t>
      </w:r>
      <w:r w:rsidRPr="00E14121">
        <w:rPr>
          <w:rFonts w:ascii="Narkisim" w:hAnsi="Narkisim"/>
          <w:b/>
          <w:bCs/>
          <w:rtl/>
        </w:rPr>
        <w:t>תוס</w:t>
      </w:r>
      <w:r w:rsidRPr="00E14121">
        <w:rPr>
          <w:rFonts w:ascii="Narkisim" w:hAnsi="Narkisim"/>
          <w:rtl/>
        </w:rPr>
        <w:t>' דדוקא לאחר דילפי' מקרא דהוה זונה [במקום דלא תפסי קידושין], עי"ז הוה אף בכלל לאו ד'איש זר'</w:t>
      </w:r>
      <w:r w:rsidRPr="00E14121">
        <w:rPr>
          <w:rStyle w:val="ac"/>
          <w:rFonts w:ascii="Narkisim" w:hAnsi="Narkisim"/>
          <w:rtl/>
        </w:rPr>
        <w:footnoteReference w:id="4175"/>
      </w:r>
      <w:r w:rsidRPr="00E14121">
        <w:rPr>
          <w:rFonts w:ascii="Narkisim" w:hAnsi="Narkisim"/>
          <w:rtl/>
        </w:rPr>
        <w:t>.</w:t>
      </w:r>
    </w:p>
    <w:p w14:paraId="6D353869"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(בסו"ד) הביאו צד דהיכא דלא הוה זר מעיקרא לא הוה בכלל איש זר, אף חייבי כריתות דלא תפסי קידושין. ומש"ה איצטריך לאו דזונה בנבעלה לחייבי כריתות דע"י קידושין. [ותוס' הוסיפו דילפי' דנפסלה אף לתרומה דנכלל זונה וחללה יחד].</w:t>
      </w:r>
    </w:p>
    <w:p w14:paraId="2DC1F661" w14:textId="77777777" w:rsidR="00F64AED" w:rsidRPr="00E14121" w:rsidRDefault="00F64AED" w:rsidP="00F64AED">
      <w:pPr>
        <w:pStyle w:val="a7"/>
        <w:bidi/>
        <w:rPr>
          <w:rFonts w:ascii="Narkisim" w:hAnsi="Narkisim"/>
        </w:rPr>
      </w:pPr>
      <w:r w:rsidRPr="00E14121">
        <w:rPr>
          <w:rFonts w:ascii="Narkisim" w:hAnsi="Narkisim"/>
          <w:rtl/>
        </w:rPr>
        <w:lastRenderedPageBreak/>
        <w:t>ולדעת ה</w:t>
      </w:r>
      <w:r w:rsidRPr="00E14121">
        <w:rPr>
          <w:rFonts w:ascii="Narkisim" w:hAnsi="Narkisim"/>
          <w:b/>
          <w:bCs/>
          <w:rtl/>
        </w:rPr>
        <w:t>ראשונים</w:t>
      </w:r>
      <w:r w:rsidRPr="00E14121">
        <w:rPr>
          <w:rFonts w:ascii="Narkisim" w:hAnsi="Narkisim"/>
          <w:rtl/>
        </w:rPr>
        <w:t xml:space="preserve"> דהוה זונה אף בחייבי לאוין דתפסי קידושין [דלא הוה זר מעיקרא] לק"מ, דאיצטריך לאו דזונה להני דלא הוה בכלל איש זר</w:t>
      </w:r>
      <w:r w:rsidRPr="00E14121">
        <w:rPr>
          <w:rStyle w:val="ac"/>
          <w:rFonts w:ascii="Narkisim" w:hAnsi="Narkisim"/>
          <w:rtl/>
        </w:rPr>
        <w:footnoteReference w:id="4176"/>
      </w:r>
      <w:r w:rsidRPr="00E14121">
        <w:rPr>
          <w:rFonts w:ascii="Narkisim" w:hAnsi="Narkisim"/>
          <w:rtl/>
        </w:rPr>
        <w:t xml:space="preserve"> [וכ”כ הגר”א ו כט].</w:t>
      </w:r>
    </w:p>
    <w:p w14:paraId="05159FD0" w14:textId="77777777" w:rsidR="00F64AED" w:rsidRPr="00E14121" w:rsidRDefault="00F64AED" w:rsidP="00F64AED">
      <w:pPr>
        <w:pStyle w:val="3"/>
        <w:bidi/>
        <w:rPr>
          <w:rFonts w:ascii="Narkisim" w:hAnsi="Narkisim"/>
        </w:rPr>
      </w:pPr>
      <w:r w:rsidRPr="00E14121">
        <w:rPr>
          <w:rFonts w:ascii="Narkisim" w:hAnsi="Narkisim"/>
          <w:rtl/>
        </w:rPr>
        <w:t>דף סח:</w:t>
      </w:r>
    </w:p>
    <w:p w14:paraId="29A0A75C" w14:textId="77777777" w:rsidR="00F64AED" w:rsidRPr="00E14121" w:rsidRDefault="00F64AED" w:rsidP="00F64AED">
      <w:pPr>
        <w:pStyle w:val="aa"/>
        <w:bidi/>
        <w:rPr>
          <w:rFonts w:ascii="Narkisim" w:hAnsi="Narkisim"/>
        </w:rPr>
      </w:pPr>
      <w:r w:rsidRPr="00E14121">
        <w:rPr>
          <w:rFonts w:ascii="Narkisim" w:hAnsi="Narkisim"/>
          <w:u w:val="single"/>
          <w:rtl/>
        </w:rPr>
        <w:t>דר' יוסי בר"ח מן זר וכל זר.</w:t>
      </w:r>
      <w:r w:rsidRPr="00E14121">
        <w:rPr>
          <w:rFonts w:ascii="Narkisim" w:hAnsi="Narkisim"/>
          <w:rtl/>
        </w:rPr>
        <w:t xml:space="preserve"> לגירסא זו פשטיה דקרא לרבות נשואה לישראל, וריבוי ד'כל' למעט אנינות (וכ”כ ה</w:t>
      </w:r>
      <w:r w:rsidRPr="00E14121">
        <w:rPr>
          <w:rFonts w:ascii="Narkisim" w:hAnsi="Narkisim"/>
          <w:b/>
          <w:bCs/>
          <w:rtl/>
        </w:rPr>
        <w:t>מהרש”א</w:t>
      </w:r>
      <w:r w:rsidRPr="00E14121">
        <w:rPr>
          <w:rFonts w:ascii="Narkisim" w:hAnsi="Narkisim"/>
          <w:rtl/>
        </w:rPr>
        <w:t xml:space="preserve"> בשם ה</w:t>
      </w:r>
      <w:r w:rsidRPr="00E14121">
        <w:rPr>
          <w:rFonts w:ascii="Narkisim" w:hAnsi="Narkisim"/>
          <w:b/>
          <w:bCs/>
          <w:rtl/>
        </w:rPr>
        <w:t>סמ”ג</w:t>
      </w:r>
      <w:r w:rsidRPr="00E14121">
        <w:rPr>
          <w:rFonts w:ascii="Narkisim" w:hAnsi="Narkisim"/>
          <w:rtl/>
        </w:rPr>
        <w:t>). אבל ה</w:t>
      </w:r>
      <w:r w:rsidRPr="00E14121">
        <w:rPr>
          <w:rFonts w:ascii="Narkisim" w:hAnsi="Narkisim"/>
          <w:b/>
          <w:bCs/>
          <w:rtl/>
        </w:rPr>
        <w:t>מהרש"ל</w:t>
      </w:r>
      <w:r w:rsidRPr="00E14121">
        <w:rPr>
          <w:rFonts w:ascii="Narkisim" w:hAnsi="Narkisim"/>
          <w:rtl/>
        </w:rPr>
        <w:t xml:space="preserve"> מחק 'דר"י בר"ח', והריבוי ד'כל' לרבות נשואה לישראל. וכ"כ ה</w:t>
      </w:r>
      <w:r w:rsidRPr="00E14121">
        <w:rPr>
          <w:rFonts w:ascii="Narkisim" w:hAnsi="Narkisim"/>
          <w:b/>
          <w:bCs/>
          <w:rtl/>
        </w:rPr>
        <w:t>רמב"ם</w:t>
      </w:r>
      <w:r w:rsidRPr="00E14121">
        <w:rPr>
          <w:rFonts w:ascii="Narkisim" w:hAnsi="Narkisim"/>
          <w:rtl/>
        </w:rPr>
        <w:t xml:space="preserve"> (תרומות ו ה וסה”מ ל”ת קלז).</w:t>
      </w:r>
    </w:p>
    <w:p w14:paraId="13414220" w14:textId="77777777" w:rsidR="00F64AED" w:rsidRPr="00E14121" w:rsidRDefault="00F64AED" w:rsidP="00F64AED">
      <w:pPr>
        <w:pStyle w:val="aa"/>
        <w:bidi/>
        <w:rPr>
          <w:rFonts w:ascii="Narkisim" w:hAnsi="Narkisim"/>
        </w:rPr>
      </w:pPr>
      <w:r w:rsidRPr="00E14121">
        <w:rPr>
          <w:rFonts w:ascii="Narkisim" w:hAnsi="Narkisim"/>
          <w:u w:val="single"/>
          <w:rtl/>
        </w:rPr>
        <w:t>ואינה חוזרת לחזה ושוק</w:t>
      </w:r>
      <w:r w:rsidRPr="00E14121">
        <w:rPr>
          <w:rStyle w:val="ac"/>
          <w:rFonts w:ascii="Narkisim" w:hAnsi="Narkisim"/>
          <w:u w:val="single"/>
          <w:rtl/>
        </w:rPr>
        <w:footnoteReference w:id="4177"/>
      </w:r>
      <w:r w:rsidRPr="00E14121">
        <w:rPr>
          <w:rFonts w:ascii="Narkisim" w:hAnsi="Narkisim"/>
          <w:u w:val="single"/>
          <w:rtl/>
        </w:rPr>
        <w:t xml:space="preserve"> וכו' מאי בתרומת הקדשים ש”מ תרתי</w:t>
      </w:r>
      <w:r w:rsidRPr="00E14121">
        <w:rPr>
          <w:rFonts w:ascii="Narkisim" w:hAnsi="Narkisim"/>
          <w:rtl/>
        </w:rPr>
        <w:t>. ה</w:t>
      </w:r>
      <w:r w:rsidRPr="00E14121">
        <w:rPr>
          <w:rFonts w:ascii="Narkisim" w:hAnsi="Narkisim"/>
          <w:b/>
          <w:bCs/>
          <w:rtl/>
        </w:rPr>
        <w:t>ריטב”א</w:t>
      </w:r>
      <w:r w:rsidRPr="00E14121">
        <w:rPr>
          <w:rFonts w:ascii="Narkisim" w:hAnsi="Narkisim"/>
          <w:rtl/>
        </w:rPr>
        <w:t xml:space="preserve"> ביאר דדרשי' לקרא לצדדים, דכי תנשא לישראל שלא תאכל עולמית בחזה ושוק המורם מן הקדשים [ואף שחוזרת לבית אביה]. ועוד דרשי' כי תבעל לאדם פסול, לא תאכל בשום תרומה.</w:t>
      </w:r>
    </w:p>
    <w:p w14:paraId="499286F6"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(תרומות ו ז) כת' דשני ענינים נכללו בלאו זה, שאם תבעל לאסור לה וכו' אסורה לאכול בתרומות לעולם, ואם תנשא לישראל הרי היא אסורה לאכול במורם מן הקדשים שהוא חזה ושוק לעולם, אף שגירשה או מת.</w:t>
      </w:r>
    </w:p>
    <w:p w14:paraId="15507432" w14:textId="77777777" w:rsidR="00F64AED" w:rsidRPr="00E14121" w:rsidRDefault="00F64AED" w:rsidP="00F64AED">
      <w:pPr>
        <w:pStyle w:val="2"/>
        <w:bidi/>
        <w:rPr>
          <w:rFonts w:ascii="Narkisim" w:hAnsi="Narkisim"/>
        </w:rPr>
      </w:pPr>
      <w:r w:rsidRPr="00E14121">
        <w:rPr>
          <w:rFonts w:ascii="Narkisim" w:hAnsi="Narkisim"/>
          <w:rtl/>
        </w:rPr>
        <w:t>גדר 'איש זר' לכהונה</w:t>
      </w:r>
    </w:p>
    <w:p w14:paraId="4A865A0F" w14:textId="77777777" w:rsidR="00F64AED" w:rsidRPr="00E14121" w:rsidRDefault="00F64AED" w:rsidP="00F64AED">
      <w:pPr>
        <w:bidi/>
        <w:rPr>
          <w:rFonts w:ascii="Narkisim" w:hAnsi="Narkisim" w:cs="Narkisim"/>
        </w:rPr>
      </w:pPr>
      <w:r w:rsidRPr="00E14121">
        <w:rPr>
          <w:rFonts w:ascii="Narkisim" w:hAnsi="Narkisim" w:cs="Narkisim"/>
          <w:u w:val="single"/>
          <w:rtl/>
        </w:rPr>
        <w:t>לכהונה מנלן וכו'.</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(בע"א, הו' לעיל) וה</w:t>
      </w:r>
      <w:r w:rsidRPr="00E14121">
        <w:rPr>
          <w:rFonts w:ascii="Narkisim" w:hAnsi="Narkisim" w:cs="Narkisim"/>
          <w:b/>
          <w:bCs/>
          <w:rtl/>
        </w:rPr>
        <w:t>ריטב"א</w:t>
      </w:r>
      <w:r w:rsidRPr="00E14121">
        <w:rPr>
          <w:rFonts w:ascii="Narkisim" w:hAnsi="Narkisim" w:cs="Narkisim"/>
          <w:rtl/>
        </w:rPr>
        <w:t xml:space="preserve"> (כאן) הק' אמאי איצטריך קרא לפסול, תיפו"ל משום זונה</w:t>
      </w:r>
      <w:r w:rsidRPr="00E14121">
        <w:rPr>
          <w:rStyle w:val="ac"/>
          <w:rFonts w:ascii="Narkisim" w:hAnsi="Narkisim" w:cs="Narkisim"/>
          <w:rtl/>
        </w:rPr>
        <w:footnoteReference w:id="4178"/>
      </w:r>
      <w:r w:rsidRPr="00E14121">
        <w:rPr>
          <w:rFonts w:ascii="Narkisim" w:hAnsi="Narkisim" w:cs="Narkisim"/>
          <w:rtl/>
        </w:rPr>
        <w:t>. ותי' דבסוגיין קאי לר"א (סא:) דדוקא אשת איש שזינתה נעשית זונה</w:t>
      </w:r>
      <w:r w:rsidRPr="00E14121">
        <w:rPr>
          <w:rStyle w:val="ac"/>
          <w:rFonts w:ascii="Narkisim" w:hAnsi="Narkisim" w:cs="Narkisim"/>
          <w:rtl/>
        </w:rPr>
        <w:footnoteReference w:id="4179"/>
      </w:r>
      <w:r w:rsidRPr="00E14121">
        <w:rPr>
          <w:rFonts w:ascii="Narkisim" w:hAnsi="Narkisim" w:cs="Narkisim"/>
          <w:rtl/>
        </w:rPr>
        <w:t>. [הו' לעיל].</w:t>
      </w:r>
    </w:p>
    <w:p w14:paraId="1F39DE9F"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(לעיל מד:, הו' בע”א) הקשו להיפך, אמאי איצטריך קרא לאסור זונה, תיפוק ליה מהך דרשא דהכא. ובחד תי' כת' לעבור בב' לאוין.</w:t>
      </w:r>
    </w:p>
    <w:p w14:paraId="0A1E4631" w14:textId="77777777" w:rsidR="00F64AED" w:rsidRPr="00E14121" w:rsidRDefault="00F64AED" w:rsidP="00F64AED">
      <w:pPr>
        <w:pStyle w:val="aa"/>
        <w:bidi/>
        <w:rPr>
          <w:rFonts w:ascii="Narkisim" w:hAnsi="Narkisim"/>
        </w:rPr>
      </w:pPr>
      <w:r w:rsidRPr="00E14121">
        <w:rPr>
          <w:rFonts w:ascii="Narkisim" w:hAnsi="Narkisim"/>
          <w:u w:val="single"/>
          <w:rtl/>
        </w:rPr>
        <w:t>אלמא לא, משכח"ל דקאכלה בשביל בנה וכו'.</w:t>
      </w:r>
      <w:r w:rsidRPr="00E14121">
        <w:rPr>
          <w:rFonts w:ascii="Narkisim" w:hAnsi="Narkisim"/>
          <w:rtl/>
        </w:rPr>
        <w:t xml:space="preserve"> ה</w:t>
      </w:r>
      <w:r w:rsidRPr="00E14121">
        <w:rPr>
          <w:rFonts w:ascii="Narkisim" w:hAnsi="Narkisim"/>
          <w:b/>
          <w:bCs/>
          <w:rtl/>
        </w:rPr>
        <w:t>אחרונים</w:t>
      </w:r>
      <w:r w:rsidRPr="00E14121">
        <w:rPr>
          <w:rFonts w:ascii="Narkisim" w:hAnsi="Narkisim"/>
          <w:rtl/>
        </w:rPr>
        <w:t xml:space="preserve"> הקשו דלמאי דס”ד השתא דמותרת לכהונה, המ”ל דנשואה לכהן.</w:t>
      </w:r>
    </w:p>
    <w:p w14:paraId="467783C4" w14:textId="77777777" w:rsidR="00F64AED" w:rsidRPr="00E14121" w:rsidRDefault="00F64AED" w:rsidP="00F64AED">
      <w:pPr>
        <w:pStyle w:val="aa"/>
        <w:bidi/>
        <w:rPr>
          <w:rFonts w:ascii="Narkisim" w:hAnsi="Narkisim"/>
        </w:rPr>
      </w:pPr>
      <w:r w:rsidRPr="00E14121">
        <w:rPr>
          <w:rFonts w:ascii="Narkisim" w:hAnsi="Narkisim"/>
          <w:u w:val="single"/>
          <w:rtl/>
        </w:rPr>
        <w:t>כהנת דבקדושה דנפשה וכו' והיא הנותנת כהנת דקדיש גופה וכו'.</w:t>
      </w:r>
      <w:r w:rsidRPr="00E14121">
        <w:rPr>
          <w:rFonts w:ascii="Narkisim" w:hAnsi="Narkisim"/>
          <w:rtl/>
        </w:rPr>
        <w:t xml:space="preserve"> משמע דבת כהן אוכלת בתרומה מצד עצמה, ודלא כתוס' (כתובות מו:). [וע' מש"כ בהקדמה סז:].</w:t>
      </w:r>
    </w:p>
    <w:p w14:paraId="7206D85B" w14:textId="77777777" w:rsidR="00F64AED" w:rsidRPr="00E14121" w:rsidRDefault="00F64AED" w:rsidP="00F64AED">
      <w:pPr>
        <w:bidi/>
        <w:rPr>
          <w:rFonts w:ascii="Narkisim" w:hAnsi="Narkisim" w:cs="Narkisim"/>
        </w:rPr>
      </w:pPr>
      <w:r w:rsidRPr="00E14121">
        <w:rPr>
          <w:rFonts w:ascii="Narkisim" w:hAnsi="Narkisim" w:cs="Narkisim"/>
          <w:u w:val="single"/>
          <w:rtl/>
        </w:rPr>
        <w:t>ומה גרושה שמותרת בתרומה אסורה לכהונה וכו'.</w:t>
      </w:r>
      <w:r w:rsidRPr="00E14121">
        <w:rPr>
          <w:rFonts w:ascii="Narkisim" w:hAnsi="Narkisim" w:cs="Narkisim"/>
          <w:rtl/>
        </w:rPr>
        <w:t xml:space="preserve"> ה</w:t>
      </w:r>
      <w:r w:rsidRPr="00E14121">
        <w:rPr>
          <w:rFonts w:ascii="Narkisim" w:hAnsi="Narkisim" w:cs="Narkisim"/>
          <w:b/>
          <w:bCs/>
          <w:rtl/>
        </w:rPr>
        <w:t>תוס' הרא"ש</w:t>
      </w:r>
      <w:r w:rsidRPr="00E14121">
        <w:rPr>
          <w:rFonts w:ascii="Narkisim" w:hAnsi="Narkisim" w:cs="Narkisim"/>
          <w:rtl/>
        </w:rPr>
        <w:t xml:space="preserve"> הקשה זרה תוכיח דאסורה לתרומה ומותרת לכהונה. ות' דילפי' רק ממידי דאתעבד ביה מעשה. וא"ת בת כהן שיש לה זרע מישראל תוכיח, שאסורה בתרומה ומותרת לכהונה</w:t>
      </w:r>
      <w:r w:rsidRPr="00E14121">
        <w:rPr>
          <w:rStyle w:val="ac"/>
          <w:rFonts w:ascii="Narkisim" w:hAnsi="Narkisim" w:cs="Narkisim"/>
          <w:rtl/>
        </w:rPr>
        <w:footnoteReference w:id="4180"/>
      </w:r>
      <w:r w:rsidRPr="00E14121">
        <w:rPr>
          <w:rFonts w:ascii="Narkisim" w:hAnsi="Narkisim" w:cs="Narkisim"/>
          <w:rtl/>
        </w:rPr>
        <w:t>. וי"ל כיון דאם מת זרע חוזרת לתרומה לא קרינא ביה אסורה בתרומה.</w:t>
      </w:r>
    </w:p>
    <w:p w14:paraId="0BA71951" w14:textId="77777777" w:rsidR="00F64AED" w:rsidRPr="00E14121" w:rsidRDefault="00F64AED" w:rsidP="00F64AED">
      <w:pPr>
        <w:bidi/>
        <w:rPr>
          <w:rFonts w:ascii="Narkisim" w:hAnsi="Narkisim" w:cs="Narkisim"/>
        </w:rPr>
      </w:pPr>
      <w:r w:rsidRPr="00E14121">
        <w:rPr>
          <w:rFonts w:ascii="Narkisim" w:hAnsi="Narkisim" w:cs="Narkisim"/>
          <w:u w:val="single"/>
          <w:rtl/>
        </w:rPr>
        <w:t>אלא לכהונה ק"ו מגרושה וכו' גילוי מילתא בעלמא הוא.</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(ד"ה גלוי) דכיון דאיפסלה לתרומה איפסלה לכהונה, דתרומה היינו קדושת כהונה. והוה גילוי מילתא דפסולה לכהונה, וממילא כהן מוזהר עליה.</w:t>
      </w:r>
    </w:p>
    <w:p w14:paraId="2482EE73"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הביא בשם </w:t>
      </w:r>
      <w:r w:rsidRPr="00E14121">
        <w:rPr>
          <w:rFonts w:ascii="Narkisim" w:hAnsi="Narkisim"/>
          <w:b/>
          <w:bCs/>
          <w:rtl/>
        </w:rPr>
        <w:t>רש"י</w:t>
      </w:r>
      <w:r w:rsidRPr="00E14121">
        <w:rPr>
          <w:rFonts w:ascii="Narkisim" w:hAnsi="Narkisim"/>
          <w:rtl/>
        </w:rPr>
        <w:t xml:space="preserve"> דלאו למימרא דילפי' איסור דכהונה מתרומה, אלא כיון דפסלה רחמנא לתרומה משום קדושת כהונה, ממילא שמעי' דפסולה לכהונה.</w:t>
      </w:r>
    </w:p>
    <w:p w14:paraId="4E028A31" w14:textId="77777777" w:rsidR="00F64AED" w:rsidRPr="00E14121" w:rsidRDefault="00F64AED" w:rsidP="00F64AED">
      <w:pPr>
        <w:pStyle w:val="a7"/>
        <w:bidi/>
        <w:rPr>
          <w:rFonts w:ascii="Narkisim" w:hAnsi="Narkisim"/>
        </w:rPr>
      </w:pPr>
      <w:r w:rsidRPr="00E14121">
        <w:rPr>
          <w:rFonts w:ascii="Narkisim" w:hAnsi="Narkisim"/>
          <w:rtl/>
        </w:rPr>
        <w:t>ויל"ד מאיזה לאו הוא מוזהר עליה. ו</w:t>
      </w:r>
      <w:r w:rsidRPr="00E14121">
        <w:rPr>
          <w:rFonts w:ascii="Narkisim" w:hAnsi="Narkisim"/>
          <w:b/>
          <w:bCs/>
          <w:rtl/>
        </w:rPr>
        <w:t>תוס'</w:t>
      </w:r>
      <w:r w:rsidRPr="00E14121">
        <w:rPr>
          <w:rFonts w:ascii="Narkisim" w:hAnsi="Narkisim"/>
          <w:rtl/>
        </w:rPr>
        <w:t xml:space="preserve"> </w:t>
      </w:r>
      <w:r w:rsidRPr="00E14121">
        <w:rPr>
          <w:rFonts w:ascii="Narkisim" w:hAnsi="Narkisim"/>
          <w:szCs w:val="20"/>
          <w:rtl/>
        </w:rPr>
        <w:t>(לעיל לה., וכ”מ תוס' לעיל מד:</w:t>
      </w:r>
      <w:r w:rsidRPr="00E14121">
        <w:rPr>
          <w:rFonts w:ascii="Narkisim" w:hAnsi="Narkisim"/>
          <w:rtl/>
        </w:rPr>
        <w:t>) כת' דלוקה משום קרא דבת כהן כי תהיה לאיש זר. ואף דבקרא כתיב 'לא תאכל'</w:t>
      </w:r>
      <w:r w:rsidRPr="00E14121">
        <w:rPr>
          <w:rStyle w:val="ac"/>
          <w:rFonts w:ascii="Narkisim" w:hAnsi="Narkisim"/>
          <w:rtl/>
        </w:rPr>
        <w:footnoteReference w:id="4181"/>
      </w:r>
      <w:r w:rsidRPr="00E14121">
        <w:rPr>
          <w:rFonts w:ascii="Narkisim" w:hAnsi="Narkisim"/>
          <w:rtl/>
        </w:rPr>
        <w:t>, ילפי' מק"ו דאף בביאה לכהן עובר משום 'לא תאכל'. והוה בכלל איסור זרות.</w:t>
      </w:r>
    </w:p>
    <w:p w14:paraId="527C6087"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(לקמן ע.) כתב [גבי פצוע דכא] דשויא חללה, משמע דהוה שם חללות. [ויל"פ ע”פ מש”כ רש”י כאן, דנפסלה ונשללה מאכילת תרומה]. וה</w:t>
      </w:r>
      <w:r w:rsidRPr="00E14121">
        <w:rPr>
          <w:rFonts w:ascii="Narkisim" w:hAnsi="Narkisim"/>
          <w:b/>
          <w:bCs/>
          <w:rtl/>
        </w:rPr>
        <w:t>רשב"א</w:t>
      </w:r>
      <w:r w:rsidRPr="00E14121">
        <w:rPr>
          <w:rFonts w:ascii="Narkisim" w:hAnsi="Narkisim"/>
          <w:rtl/>
        </w:rPr>
        <w:t xml:space="preserve"> (לקמן ע.) חלק דאין חללה </w:t>
      </w:r>
      <w:r w:rsidRPr="00E14121">
        <w:rPr>
          <w:rFonts w:ascii="Narkisim" w:hAnsi="Narkisim"/>
          <w:rtl/>
        </w:rPr>
        <w:lastRenderedPageBreak/>
        <w:t>אלא מאיסורי כהונה</w:t>
      </w:r>
      <w:r w:rsidRPr="00E14121">
        <w:rPr>
          <w:rStyle w:val="ac"/>
          <w:rFonts w:ascii="Narkisim" w:hAnsi="Narkisim"/>
          <w:rtl/>
        </w:rPr>
        <w:footnoteReference w:id="4182"/>
      </w:r>
      <w:r w:rsidRPr="00E14121">
        <w:rPr>
          <w:rFonts w:ascii="Narkisim" w:hAnsi="Narkisim"/>
          <w:rtl/>
        </w:rPr>
        <w:t>. ו</w:t>
      </w:r>
      <w:r w:rsidRPr="00E14121">
        <w:rPr>
          <w:rFonts w:ascii="Narkisim" w:hAnsi="Narkisim"/>
          <w:b/>
          <w:bCs/>
          <w:rtl/>
        </w:rPr>
        <w:t xml:space="preserve">תוס' </w:t>
      </w:r>
      <w:r w:rsidRPr="00E14121">
        <w:rPr>
          <w:rFonts w:ascii="Narkisim" w:hAnsi="Narkisim"/>
          <w:sz w:val="20"/>
          <w:szCs w:val="20"/>
          <w:rtl/>
        </w:rPr>
        <w:t>(לעיל טו: ד"ה מה בתו"ד ונדה סט:)</w:t>
      </w:r>
      <w:r w:rsidRPr="00E14121">
        <w:rPr>
          <w:rFonts w:ascii="Narkisim" w:hAnsi="Narkisim"/>
          <w:rtl/>
        </w:rPr>
        <w:t xml:space="preserve"> כת' דמקרא יליף דמתחללת בביאת גר אמוני וכו'. וה</w:t>
      </w:r>
      <w:r w:rsidRPr="00E14121">
        <w:rPr>
          <w:rFonts w:ascii="Narkisim" w:hAnsi="Narkisim"/>
          <w:b/>
          <w:bCs/>
          <w:rtl/>
        </w:rPr>
        <w:t>מהד"ב</w:t>
      </w:r>
      <w:r w:rsidRPr="00E14121">
        <w:rPr>
          <w:rFonts w:ascii="Narkisim" w:hAnsi="Narkisim"/>
          <w:rtl/>
        </w:rPr>
        <w:t xml:space="preserve"> ל</w:t>
      </w:r>
      <w:r w:rsidRPr="00E14121">
        <w:rPr>
          <w:rFonts w:ascii="Narkisim" w:hAnsi="Narkisim"/>
          <w:b/>
          <w:bCs/>
          <w:rtl/>
        </w:rPr>
        <w:t>מהרש"א</w:t>
      </w:r>
      <w:r w:rsidRPr="00E14121">
        <w:rPr>
          <w:rFonts w:ascii="Narkisim" w:hAnsi="Narkisim"/>
          <w:rtl/>
        </w:rPr>
        <w:t xml:space="preserve"> דייק דשם האיסור הוה חללות, וגלי קרא דבזה נעשית חללה אף דלא הוה פסול כהונה</w:t>
      </w:r>
      <w:r w:rsidRPr="00E14121">
        <w:rPr>
          <w:rStyle w:val="ac"/>
          <w:rFonts w:ascii="Narkisim" w:hAnsi="Narkisim"/>
          <w:rtl/>
        </w:rPr>
        <w:footnoteReference w:id="4183"/>
      </w:r>
      <w:r w:rsidRPr="00E14121">
        <w:rPr>
          <w:rFonts w:ascii="Narkisim" w:hAnsi="Narkisim"/>
          <w:rtl/>
        </w:rPr>
        <w:t>.</w:t>
      </w:r>
    </w:p>
    <w:p w14:paraId="088FF602"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(איסו"ב יח א) הביא דכל אלו הוה בכלל לאו דזונה</w:t>
      </w:r>
      <w:r w:rsidRPr="00E14121">
        <w:rPr>
          <w:rStyle w:val="ac"/>
          <w:rFonts w:ascii="Narkisim" w:hAnsi="Narkisim"/>
          <w:rtl/>
        </w:rPr>
        <w:footnoteReference w:id="4184"/>
      </w:r>
      <w:r w:rsidRPr="00E14121">
        <w:rPr>
          <w:rFonts w:ascii="Narkisim" w:hAnsi="Narkisim"/>
          <w:rtl/>
        </w:rPr>
        <w:t>. וה</w:t>
      </w:r>
      <w:r w:rsidRPr="00E14121">
        <w:rPr>
          <w:rFonts w:ascii="Narkisim" w:hAnsi="Narkisim"/>
          <w:b/>
          <w:bCs/>
          <w:rtl/>
        </w:rPr>
        <w:t>ראב"ד</w:t>
      </w:r>
      <w:r w:rsidRPr="00E14121">
        <w:rPr>
          <w:rFonts w:ascii="Narkisim" w:hAnsi="Narkisim"/>
          <w:rtl/>
        </w:rPr>
        <w:t xml:space="preserve"> השיג דאין זונה אלא מחייבי כריתות, ומ"מ פסולי קהל פוסלה בביאתה מתרומה וכהונה. אבל אינו לוקה משום זונה.</w:t>
      </w:r>
    </w:p>
    <w:p w14:paraId="15DD71D6" w14:textId="77777777" w:rsidR="00F64AED" w:rsidRPr="00E14121" w:rsidRDefault="00F64AED" w:rsidP="00F64AED">
      <w:pPr>
        <w:pStyle w:val="a7"/>
        <w:bidi/>
        <w:rPr>
          <w:rFonts w:ascii="Narkisim" w:hAnsi="Narkisim"/>
        </w:rPr>
      </w:pPr>
      <w:r w:rsidRPr="00E14121">
        <w:rPr>
          <w:rFonts w:ascii="Narkisim" w:hAnsi="Narkisim"/>
          <w:rtl/>
        </w:rPr>
        <w:t>וכן ה</w:t>
      </w:r>
      <w:r w:rsidRPr="00E14121">
        <w:rPr>
          <w:rFonts w:ascii="Narkisim" w:hAnsi="Narkisim"/>
          <w:b/>
          <w:bCs/>
          <w:rtl/>
        </w:rPr>
        <w:t>רשב"א</w:t>
      </w:r>
      <w:r w:rsidRPr="00E14121">
        <w:rPr>
          <w:rFonts w:ascii="Narkisim" w:hAnsi="Narkisim"/>
          <w:rtl/>
        </w:rPr>
        <w:t xml:space="preserve"> (ע.) כת' דפצוע דכא לוקה משום זונה.</w:t>
      </w:r>
      <w:r w:rsidRPr="00E14121">
        <w:rPr>
          <w:rFonts w:ascii="Narkisim" w:hAnsi="Narkisim"/>
          <w:sz w:val="20"/>
          <w:szCs w:val="20"/>
          <w:rtl/>
        </w:rPr>
        <w:t xml:space="preserve"> [אך למש"כ הרשב"א (סח.) סוגיין אינה מדין זונה, אלא שם איסור דאיש זר].</w:t>
      </w:r>
    </w:p>
    <w:p w14:paraId="6B64E0AD" w14:textId="77777777" w:rsidR="00F64AED" w:rsidRPr="00E14121" w:rsidRDefault="00F64AED" w:rsidP="00F64AED">
      <w:pPr>
        <w:pStyle w:val="a7"/>
        <w:bidi/>
        <w:rPr>
          <w:rFonts w:ascii="Narkisim" w:hAnsi="Narkisim"/>
        </w:rPr>
      </w:pPr>
      <w:r w:rsidRPr="00E14121">
        <w:rPr>
          <w:rFonts w:ascii="Narkisim" w:hAnsi="Narkisim"/>
          <w:rtl/>
        </w:rPr>
        <w:t>ובפשוטו משמע דכוונת הרמב"ם דכל ביאת איסור [השווה לכל] עושה זונה (וכמ"ש תוס' סא. בדעת רש"י, וכן נקט הרשב”א בע”א), ואי"צ לסוגיין. וה</w:t>
      </w:r>
      <w:r w:rsidRPr="00E14121">
        <w:rPr>
          <w:rFonts w:ascii="Narkisim" w:hAnsi="Narkisim"/>
          <w:b/>
          <w:bCs/>
          <w:rtl/>
        </w:rPr>
        <w:t>אבנ"מ</w:t>
      </w:r>
      <w:r w:rsidRPr="00E14121">
        <w:rPr>
          <w:rFonts w:ascii="Narkisim" w:hAnsi="Narkisim"/>
          <w:rtl/>
        </w:rPr>
        <w:t xml:space="preserve"> (ו ד) ביאר ע"פ דברי ה</w:t>
      </w:r>
      <w:r w:rsidRPr="00E14121">
        <w:rPr>
          <w:rFonts w:ascii="Narkisim" w:hAnsi="Narkisim"/>
          <w:b/>
          <w:bCs/>
          <w:rtl/>
        </w:rPr>
        <w:t>רשב"א</w:t>
      </w:r>
      <w:r w:rsidRPr="00E14121">
        <w:rPr>
          <w:rFonts w:ascii="Narkisim" w:hAnsi="Narkisim"/>
          <w:rtl/>
        </w:rPr>
        <w:t xml:space="preserve"> (בע”א) דסוגיין קאי כמ"ד דאין זונה אלא מא"א</w:t>
      </w:r>
      <w:r w:rsidRPr="00E14121">
        <w:rPr>
          <w:rStyle w:val="ac"/>
          <w:rFonts w:ascii="Narkisim" w:hAnsi="Narkisim"/>
          <w:rtl/>
        </w:rPr>
        <w:footnoteReference w:id="4185"/>
      </w:r>
      <w:r w:rsidRPr="00E14121">
        <w:rPr>
          <w:rFonts w:ascii="Narkisim" w:hAnsi="Narkisim"/>
          <w:rtl/>
        </w:rPr>
        <w:t>, אבל להלכה לוקים משום זונה.</w:t>
      </w:r>
    </w:p>
    <w:p w14:paraId="180C470F" w14:textId="77777777" w:rsidR="00F64AED" w:rsidRPr="00E14121" w:rsidRDefault="00F64AED" w:rsidP="00F64AED">
      <w:pPr>
        <w:pStyle w:val="a7"/>
        <w:bidi/>
        <w:rPr>
          <w:rFonts w:ascii="Narkisim" w:hAnsi="Narkisim"/>
        </w:rPr>
      </w:pPr>
      <w:r w:rsidRPr="00E14121">
        <w:rPr>
          <w:rFonts w:ascii="Narkisim" w:hAnsi="Narkisim"/>
          <w:rtl/>
        </w:rPr>
        <w:t xml:space="preserve">אבל </w:t>
      </w:r>
      <w:r w:rsidRPr="00E14121">
        <w:rPr>
          <w:rFonts w:ascii="Narkisim" w:hAnsi="Narkisim"/>
          <w:b/>
          <w:bCs/>
          <w:rtl/>
        </w:rPr>
        <w:t>ה"ה</w:t>
      </w:r>
      <w:r w:rsidRPr="00E14121">
        <w:rPr>
          <w:rFonts w:ascii="Narkisim" w:hAnsi="Narkisim"/>
          <w:rtl/>
        </w:rPr>
        <w:t xml:space="preserve"> הביא דמקור הרמב"ם מסוגיין. וה</w:t>
      </w:r>
      <w:r w:rsidRPr="00E14121">
        <w:rPr>
          <w:rFonts w:ascii="Narkisim" w:hAnsi="Narkisim"/>
          <w:b/>
          <w:bCs/>
          <w:rtl/>
        </w:rPr>
        <w:t>גר"א</w:t>
      </w:r>
      <w:r w:rsidRPr="00E14121">
        <w:rPr>
          <w:rFonts w:ascii="Narkisim" w:hAnsi="Narkisim"/>
          <w:rtl/>
        </w:rPr>
        <w:t xml:space="preserve"> (ו כט הב') ביאר דאנן ילפי' מק"ו מתרומה להבין פי' של זונה האמורה בתורה. וגילוי מילתא דהוה בכלל זונה. </w:t>
      </w:r>
      <w:r w:rsidRPr="00E14121">
        <w:rPr>
          <w:rFonts w:ascii="Narkisim" w:hAnsi="Narkisim"/>
          <w:sz w:val="20"/>
          <w:szCs w:val="20"/>
          <w:rtl/>
        </w:rPr>
        <w:t>וכתב דבזה מתורץ קושיית התוס' (לעיל מד:) ל”ל לאו בזונה [דהא כל האיסור משום זונה].</w:t>
      </w:r>
    </w:p>
    <w:p w14:paraId="2A0EC7D1" w14:textId="77777777" w:rsidR="00F64AED" w:rsidRPr="00E14121" w:rsidRDefault="00F64AED" w:rsidP="00F64AED">
      <w:pPr>
        <w:bidi/>
        <w:rPr>
          <w:rFonts w:ascii="Narkisim" w:hAnsi="Narkisim" w:cs="Narkisim"/>
        </w:rPr>
      </w:pPr>
      <w:r w:rsidRPr="00E14121">
        <w:rPr>
          <w:rFonts w:ascii="Narkisim" w:hAnsi="Narkisim" w:cs="Narkisim"/>
          <w:u w:val="single"/>
          <w:rtl/>
        </w:rPr>
        <w:t>שם. גילוי מילתא בעלמא</w:t>
      </w:r>
      <w:r w:rsidRPr="00E14121">
        <w:rPr>
          <w:rFonts w:ascii="Narkisim" w:hAnsi="Narkisim" w:cs="Narkisim"/>
          <w:rtl/>
        </w:rPr>
        <w:t xml:space="preserve">. </w:t>
      </w:r>
      <w:r w:rsidRPr="00E14121">
        <w:rPr>
          <w:rFonts w:ascii="Narkisim" w:hAnsi="Narkisim" w:cs="Narkisim"/>
          <w:b/>
          <w:bCs/>
          <w:rtl/>
        </w:rPr>
        <w:t>רע"א</w:t>
      </w:r>
      <w:r w:rsidRPr="00E14121">
        <w:rPr>
          <w:rFonts w:ascii="Narkisim" w:hAnsi="Narkisim" w:cs="Narkisim"/>
          <w:rtl/>
        </w:rPr>
        <w:t xml:space="preserve"> בגהש"ס ציין דנח' עד"ז אביי ורבא (סנהדרין עו.)</w:t>
      </w:r>
      <w:r w:rsidRPr="00E14121">
        <w:rPr>
          <w:rStyle w:val="ac"/>
          <w:rFonts w:ascii="Narkisim" w:hAnsi="Narkisim" w:cs="Narkisim"/>
          <w:rtl/>
        </w:rPr>
        <w:footnoteReference w:id="4186"/>
      </w:r>
      <w:r w:rsidRPr="00E14121">
        <w:rPr>
          <w:rFonts w:ascii="Narkisim" w:hAnsi="Narkisim" w:cs="Narkisim"/>
          <w:rtl/>
        </w:rPr>
        <w:t>. ויל”ד אי הוה מח' כללי האם לוקין על גילוי מילתא</w:t>
      </w:r>
      <w:r w:rsidRPr="00E14121">
        <w:rPr>
          <w:rStyle w:val="ac"/>
          <w:rFonts w:ascii="Narkisim" w:hAnsi="Narkisim" w:cs="Narkisim"/>
          <w:rtl/>
        </w:rPr>
        <w:footnoteReference w:id="4187"/>
      </w:r>
      <w:r w:rsidRPr="00E14121">
        <w:rPr>
          <w:rFonts w:ascii="Narkisim" w:hAnsi="Narkisim" w:cs="Narkisim"/>
          <w:rtl/>
        </w:rPr>
        <w:t>. או דנח' התם האם חשיב גילוי מילתא. וה</w:t>
      </w:r>
      <w:r w:rsidRPr="00E14121">
        <w:rPr>
          <w:rFonts w:ascii="Narkisim" w:hAnsi="Narkisim" w:cs="Narkisim"/>
          <w:b/>
          <w:bCs/>
          <w:rtl/>
        </w:rPr>
        <w:t>בי"ש</w:t>
      </w:r>
      <w:r w:rsidRPr="00E14121">
        <w:rPr>
          <w:rFonts w:ascii="Narkisim" w:hAnsi="Narkisim" w:cs="Narkisim"/>
          <w:rtl/>
        </w:rPr>
        <w:t xml:space="preserve"> (הו' בסמוך) כת' דאף בסוגיין גילוי מילתא קאי אליבא דאביי. אבל מדברי התוס' (בכ"מ) מבואר דהכא לכו"ע לוקה</w:t>
      </w:r>
      <w:r w:rsidRPr="00E14121">
        <w:rPr>
          <w:rStyle w:val="ac"/>
          <w:rFonts w:ascii="Narkisim" w:hAnsi="Narkisim" w:cs="Narkisim"/>
          <w:rtl/>
        </w:rPr>
        <w:footnoteReference w:id="4188"/>
      </w:r>
      <w:r w:rsidRPr="00E14121">
        <w:rPr>
          <w:rFonts w:ascii="Narkisim" w:hAnsi="Narkisim" w:cs="Narkisim"/>
          <w:rtl/>
        </w:rPr>
        <w:t>. וכן לדעת ה</w:t>
      </w:r>
      <w:r w:rsidRPr="00E14121">
        <w:rPr>
          <w:rFonts w:ascii="Narkisim" w:hAnsi="Narkisim" w:cs="Narkisim"/>
          <w:b/>
          <w:bCs/>
          <w:rtl/>
        </w:rPr>
        <w:t>רמב"ם</w:t>
      </w:r>
      <w:r w:rsidRPr="00E14121">
        <w:rPr>
          <w:rFonts w:ascii="Narkisim" w:hAnsi="Narkisim" w:cs="Narkisim"/>
          <w:rtl/>
        </w:rPr>
        <w:t xml:space="preserve"> לוקה [משום זונה].</w:t>
      </w:r>
    </w:p>
    <w:p w14:paraId="14146DB4"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(לעיל לה. ומד:) הביאו מסוגיין דכהן לוקה עליה [מקרא ד'איש זר'], וכדמוכח מקו' הגמ' דאין מזהירין מהדין. ותי' דהוה גילוי מילתא ושפיר לקי. אבל מדברי ה</w:t>
      </w:r>
      <w:r w:rsidRPr="00E14121">
        <w:rPr>
          <w:rFonts w:ascii="Narkisim" w:hAnsi="Narkisim"/>
          <w:b/>
          <w:bCs/>
          <w:rtl/>
        </w:rPr>
        <w:t>ראב"ד</w:t>
      </w:r>
      <w:r w:rsidRPr="00E14121">
        <w:rPr>
          <w:rFonts w:ascii="Narkisim" w:hAnsi="Narkisim"/>
          <w:rtl/>
        </w:rPr>
        <w:t xml:space="preserve"> (יח א הנ”ל) משמע דהוה איסור בעלמא ואינו לוקה. וכ"כ ה</w:t>
      </w:r>
      <w:r w:rsidRPr="00E14121">
        <w:rPr>
          <w:rFonts w:ascii="Narkisim" w:hAnsi="Narkisim"/>
          <w:b/>
          <w:bCs/>
          <w:rtl/>
        </w:rPr>
        <w:t>ראב"ד</w:t>
      </w:r>
      <w:r w:rsidRPr="00E14121">
        <w:rPr>
          <w:rFonts w:ascii="Narkisim" w:hAnsi="Narkisim"/>
          <w:rtl/>
        </w:rPr>
        <w:t xml:space="preserve"> (לבעה"מ לעיל נו: יח: בדה”ר, ובתוס' חד מקמאי שם) דאינה לוקה מקרא ד'איש זר', וילפי' איסור בעלמא מק"ו</w:t>
      </w:r>
      <w:r w:rsidRPr="00E14121">
        <w:rPr>
          <w:rStyle w:val="ac"/>
          <w:rFonts w:ascii="Narkisim" w:hAnsi="Narkisim"/>
          <w:rtl/>
        </w:rPr>
        <w:footnoteReference w:id="4189"/>
      </w:r>
      <w:r w:rsidRPr="00E14121">
        <w:rPr>
          <w:rFonts w:ascii="Narkisim" w:hAnsi="Narkisim"/>
          <w:rtl/>
        </w:rPr>
        <w:t>. וכן משמע מדברי ה</w:t>
      </w:r>
      <w:r w:rsidRPr="00E14121">
        <w:rPr>
          <w:rFonts w:ascii="Narkisim" w:hAnsi="Narkisim"/>
          <w:b/>
          <w:bCs/>
          <w:rtl/>
        </w:rPr>
        <w:t>טור</w:t>
      </w:r>
      <w:r w:rsidRPr="00E14121">
        <w:rPr>
          <w:rFonts w:ascii="Narkisim" w:hAnsi="Narkisim"/>
          <w:rtl/>
        </w:rPr>
        <w:t xml:space="preserve"> (ושו"ע ו ח) בדעת ה</w:t>
      </w:r>
      <w:r w:rsidRPr="00E14121">
        <w:rPr>
          <w:rFonts w:ascii="Narkisim" w:hAnsi="Narkisim"/>
          <w:b/>
          <w:bCs/>
          <w:rtl/>
        </w:rPr>
        <w:t>רא”ש</w:t>
      </w:r>
      <w:r w:rsidRPr="00E14121">
        <w:rPr>
          <w:rFonts w:ascii="Narkisim" w:hAnsi="Narkisim"/>
          <w:rtl/>
        </w:rPr>
        <w:t>.</w:t>
      </w:r>
    </w:p>
    <w:p w14:paraId="6EC13E8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פוסקים</w:t>
      </w:r>
      <w:r w:rsidRPr="00E14121">
        <w:rPr>
          <w:rFonts w:ascii="Narkisim" w:hAnsi="Narkisim"/>
          <w:rtl/>
        </w:rPr>
        <w:t xml:space="preserve"> תמהו דבסוגיין דנו משום מזהירין מהדין, וע"כ דיש כאן נידון לענין מלקות</w:t>
      </w:r>
      <w:r w:rsidRPr="00E14121">
        <w:rPr>
          <w:rStyle w:val="ac"/>
          <w:rFonts w:ascii="Narkisim" w:hAnsi="Narkisim"/>
          <w:rtl/>
        </w:rPr>
        <w:footnoteReference w:id="4190"/>
      </w:r>
      <w:r w:rsidRPr="00E14121">
        <w:rPr>
          <w:rFonts w:ascii="Narkisim" w:hAnsi="Narkisim"/>
          <w:rtl/>
        </w:rPr>
        <w:t>. וה</w:t>
      </w:r>
      <w:r w:rsidRPr="00E14121">
        <w:rPr>
          <w:rFonts w:ascii="Narkisim" w:hAnsi="Narkisim"/>
          <w:b/>
          <w:bCs/>
          <w:rtl/>
        </w:rPr>
        <w:t>בית שמואל</w:t>
      </w:r>
      <w:r w:rsidRPr="00E14121">
        <w:rPr>
          <w:rFonts w:ascii="Narkisim" w:hAnsi="Narkisim"/>
          <w:rtl/>
        </w:rPr>
        <w:t xml:space="preserve"> (ו טז) כת' דדעת ה</w:t>
      </w:r>
      <w:r w:rsidRPr="00E14121">
        <w:rPr>
          <w:rFonts w:ascii="Narkisim" w:hAnsi="Narkisim"/>
          <w:b/>
          <w:bCs/>
          <w:rtl/>
        </w:rPr>
        <w:t>ראב"ד</w:t>
      </w:r>
      <w:r w:rsidRPr="00E14121">
        <w:rPr>
          <w:rFonts w:ascii="Narkisim" w:hAnsi="Narkisim"/>
          <w:rtl/>
        </w:rPr>
        <w:t xml:space="preserve"> ותוס'</w:t>
      </w:r>
      <w:r w:rsidRPr="00E14121">
        <w:rPr>
          <w:rStyle w:val="ac"/>
          <w:rFonts w:ascii="Narkisim" w:hAnsi="Narkisim"/>
          <w:rtl/>
        </w:rPr>
        <w:footnoteReference w:id="4191"/>
      </w:r>
      <w:r w:rsidRPr="00E14121">
        <w:rPr>
          <w:rFonts w:ascii="Narkisim" w:hAnsi="Narkisim"/>
          <w:rtl/>
        </w:rPr>
        <w:t xml:space="preserve"> והרא"ש דסוגיין כאביי (סנהדרין עו.) דלוקין </w:t>
      </w:r>
      <w:r w:rsidRPr="00E14121">
        <w:rPr>
          <w:rFonts w:ascii="Narkisim" w:hAnsi="Narkisim"/>
          <w:rtl/>
        </w:rPr>
        <w:lastRenderedPageBreak/>
        <w:t>על גילוי מילתא. ולהלכה קי"ל כרבא דאין לוקין.</w:t>
      </w:r>
    </w:p>
    <w:p w14:paraId="068873FF"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בית שמואל</w:t>
      </w:r>
      <w:r w:rsidRPr="00E14121">
        <w:rPr>
          <w:rFonts w:ascii="Narkisim" w:hAnsi="Narkisim"/>
          <w:rtl/>
        </w:rPr>
        <w:t xml:space="preserve"> תמה על הרמב"ם דפסק דלוקה [משום זונה], הא קי"ל כרבא דלא אמרי' דהוה גילוי מילתא בעלמא. וה</w:t>
      </w:r>
      <w:r w:rsidRPr="00E14121">
        <w:rPr>
          <w:rFonts w:ascii="Narkisim" w:hAnsi="Narkisim"/>
          <w:b/>
          <w:bCs/>
          <w:rtl/>
        </w:rPr>
        <w:t>גר"א</w:t>
      </w:r>
      <w:r w:rsidRPr="00E14121">
        <w:rPr>
          <w:rFonts w:ascii="Narkisim" w:hAnsi="Narkisim"/>
          <w:rtl/>
        </w:rPr>
        <w:t xml:space="preserve"> (ו כט הב') יישב דלדעת הרמב"ם ילפי' מק"ו מתרומה להבין פי' של זונה האמורה בתורה, ולא דמי לסנהדרין שם</w:t>
      </w:r>
      <w:r w:rsidRPr="00E14121">
        <w:rPr>
          <w:rStyle w:val="ac"/>
          <w:rFonts w:ascii="Narkisim" w:hAnsi="Narkisim"/>
          <w:rtl/>
        </w:rPr>
        <w:footnoteReference w:id="4192"/>
      </w:r>
      <w:r w:rsidRPr="00E14121">
        <w:rPr>
          <w:rFonts w:ascii="Narkisim" w:hAnsi="Narkisim"/>
          <w:rtl/>
        </w:rPr>
        <w:t>.</w:t>
      </w:r>
    </w:p>
    <w:p w14:paraId="3BD6C4E5" w14:textId="77777777" w:rsidR="00F64AED" w:rsidRPr="00E14121" w:rsidRDefault="00F64AED" w:rsidP="00F64AED">
      <w:pPr>
        <w:bidi/>
        <w:rPr>
          <w:rFonts w:ascii="Narkisim" w:hAnsi="Narkisim" w:cs="Narkisim"/>
        </w:rPr>
      </w:pPr>
      <w:r w:rsidRPr="00E14121">
        <w:rPr>
          <w:rFonts w:ascii="Narkisim" w:hAnsi="Narkisim" w:cs="Narkisim"/>
          <w:u w:val="single"/>
          <w:rtl/>
        </w:rPr>
        <w:t>כי תהיה אמר רחמנא הנך דאית בהו הויה, חייבי כריתות לאו בני הויה</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חייבי כריתות ולא חייבי לאוין, ותי' הגמ' דמשתעי אף היכא דתפסי קידושין.</w:t>
      </w:r>
    </w:p>
    <w:p w14:paraId="394C5511"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נקט דלתי' הגמ' חייבי כריתות לא הוה בכלל איש זר. ו</w:t>
      </w:r>
      <w:r w:rsidRPr="00E14121">
        <w:rPr>
          <w:rFonts w:ascii="Narkisim" w:hAnsi="Narkisim"/>
          <w:b/>
          <w:bCs/>
          <w:rtl/>
        </w:rPr>
        <w:t>רש"י</w:t>
      </w:r>
      <w:r w:rsidRPr="00E14121">
        <w:rPr>
          <w:rFonts w:ascii="Narkisim" w:hAnsi="Narkisim"/>
          <w:rtl/>
        </w:rPr>
        <w:t xml:space="preserve"> (בפי' הא') פי' דילפי' חייבי כריתות מקרא דר' יוחנן, שאין להם אלמנות וגירושין בה.</w:t>
      </w:r>
    </w:p>
    <w:p w14:paraId="406838C7" w14:textId="77777777" w:rsidR="00F64AED" w:rsidRPr="00E14121" w:rsidRDefault="00F64AED" w:rsidP="00F64AED">
      <w:pPr>
        <w:pStyle w:val="a7"/>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xml:space="preserve">' </w:t>
      </w:r>
      <w:r w:rsidRPr="00E14121">
        <w:rPr>
          <w:rFonts w:ascii="Narkisim" w:hAnsi="Narkisim"/>
          <w:szCs w:val="20"/>
          <w:rtl/>
        </w:rPr>
        <w:t>(סוד"ה עובד כוכבים)</w:t>
      </w:r>
      <w:r w:rsidRPr="00E14121">
        <w:rPr>
          <w:rFonts w:ascii="Narkisim" w:hAnsi="Narkisim"/>
          <w:rtl/>
        </w:rPr>
        <w:t xml:space="preserve"> פי' דחייבי כריתות דחמירי הוה איש זר</w:t>
      </w:r>
      <w:r w:rsidRPr="00E14121">
        <w:rPr>
          <w:rStyle w:val="ac"/>
          <w:rFonts w:ascii="Narkisim" w:hAnsi="Narkisim"/>
          <w:rtl/>
        </w:rPr>
        <w:footnoteReference w:id="4193"/>
      </w:r>
      <w:r w:rsidRPr="00E14121">
        <w:rPr>
          <w:rFonts w:ascii="Narkisim" w:hAnsi="Narkisim"/>
          <w:rtl/>
        </w:rPr>
        <w:t>, וילפי' מקרא דאיש זר</w:t>
      </w:r>
      <w:r w:rsidRPr="00E14121">
        <w:rPr>
          <w:rStyle w:val="ac"/>
          <w:rFonts w:ascii="Narkisim" w:hAnsi="Narkisim"/>
          <w:rtl/>
        </w:rPr>
        <w:footnoteReference w:id="4194"/>
      </w:r>
      <w:r w:rsidRPr="00E14121">
        <w:rPr>
          <w:rFonts w:ascii="Narkisim" w:hAnsi="Narkisim"/>
          <w:rtl/>
        </w:rPr>
        <w:t>. ותי' הגמ' כי תהיה דקאי אף בהנך דתפסי קידושין.</w:t>
      </w:r>
    </w:p>
    <w:p w14:paraId="79570EB2" w14:textId="77777777" w:rsidR="00F64AED" w:rsidRPr="00E14121" w:rsidRDefault="00F64AED" w:rsidP="00F64AED">
      <w:pPr>
        <w:pStyle w:val="a8"/>
        <w:bidi/>
        <w:rPr>
          <w:rFonts w:ascii="Narkisim" w:hAnsi="Narkisim"/>
        </w:rPr>
      </w:pPr>
      <w:r w:rsidRPr="00E14121">
        <w:rPr>
          <w:rFonts w:ascii="Narkisim" w:hAnsi="Narkisim"/>
          <w:rtl/>
        </w:rPr>
        <w:t>וכן רש"י כת' דקו' הגמ' חייבי כריתות ולא חייבי לאוין, ומשמע דלמסקנא אף חייבי לאוין הוה בכלל איש זר. וכי תהיה אלמנה וגרושה לא הוה שם איסור בפנ"ע, אלא דגלי הך קרא דאף הנך פסלי. וכ”מ ב</w:t>
      </w:r>
      <w:r w:rsidRPr="00E14121">
        <w:rPr>
          <w:rFonts w:ascii="Narkisim" w:hAnsi="Narkisim"/>
          <w:b/>
          <w:bCs/>
          <w:rtl/>
        </w:rPr>
        <w:t>רש”י</w:t>
      </w:r>
      <w:r w:rsidRPr="00E14121">
        <w:rPr>
          <w:rFonts w:ascii="Narkisim" w:hAnsi="Narkisim"/>
          <w:rtl/>
        </w:rPr>
        <w:t xml:space="preserve"> (לעיל לה.) דכת' דחייבי כריתות פסלי, והביא סוגיין דילפי' משום איש זר. והדר מייתינא כי תהיה אלמנה וגרושה, ונפק"ל אף חייבי כריתות. ומעיקרא פרכי' חייבי כריתות ולא חייבי לאוין [משמע דלמסקנא ילפי' אף חייבי כריתות</w:t>
      </w:r>
      <w:r w:rsidRPr="00E14121">
        <w:rPr>
          <w:rStyle w:val="ac"/>
          <w:rFonts w:ascii="Narkisim" w:hAnsi="Narkisim"/>
          <w:rtl/>
        </w:rPr>
        <w:footnoteReference w:id="4195"/>
      </w:r>
      <w:r w:rsidRPr="00E14121">
        <w:rPr>
          <w:rFonts w:ascii="Narkisim" w:hAnsi="Narkisim"/>
          <w:rtl/>
        </w:rPr>
        <w:t>].</w:t>
      </w:r>
    </w:p>
    <w:p w14:paraId="1BDBABCA"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ו</w:t>
      </w:r>
      <w:r w:rsidRPr="00E14121">
        <w:rPr>
          <w:rFonts w:ascii="Narkisim" w:hAnsi="Narkisim"/>
          <w:b/>
          <w:bCs/>
          <w:rtl/>
        </w:rPr>
        <w:t>תוס</w:t>
      </w:r>
      <w:r w:rsidRPr="00E14121">
        <w:rPr>
          <w:rFonts w:ascii="Narkisim" w:hAnsi="Narkisim"/>
          <w:rtl/>
        </w:rPr>
        <w:t>' כת' דחייבי כריתות חמירי, ולא בעינן זר אצלה מעיקרא</w:t>
      </w:r>
      <w:r w:rsidRPr="00E14121">
        <w:rPr>
          <w:rStyle w:val="ac"/>
          <w:rFonts w:ascii="Narkisim" w:hAnsi="Narkisim"/>
          <w:rtl/>
        </w:rPr>
        <w:footnoteReference w:id="4196"/>
      </w:r>
      <w:r w:rsidRPr="00E14121">
        <w:rPr>
          <w:rFonts w:ascii="Narkisim" w:hAnsi="Narkisim"/>
          <w:rtl/>
        </w:rPr>
        <w:t xml:space="preserve">. אבל </w:t>
      </w:r>
      <w:r w:rsidRPr="00E14121">
        <w:rPr>
          <w:rFonts w:ascii="Narkisim" w:hAnsi="Narkisim"/>
          <w:b/>
          <w:bCs/>
          <w:rtl/>
        </w:rPr>
        <w:t>תוס</w:t>
      </w:r>
      <w:r w:rsidRPr="00E14121">
        <w:rPr>
          <w:rFonts w:ascii="Narkisim" w:hAnsi="Narkisim"/>
          <w:rtl/>
        </w:rPr>
        <w:t>' (לעיל לה.) נקטו דאף בחייבי כריתות בעינן זר מעיקרא, וחייבי כריתות הנאסרות ע”י קידושין לא יפסלו</w:t>
      </w:r>
      <w:r w:rsidRPr="00E14121">
        <w:rPr>
          <w:rStyle w:val="ac"/>
          <w:rFonts w:ascii="Narkisim" w:hAnsi="Narkisim"/>
          <w:rtl/>
        </w:rPr>
        <w:footnoteReference w:id="4197"/>
      </w:r>
      <w:r w:rsidRPr="00E14121">
        <w:rPr>
          <w:rFonts w:ascii="Narkisim" w:hAnsi="Narkisim"/>
          <w:rtl/>
        </w:rPr>
        <w:t>. ו</w:t>
      </w:r>
      <w:r w:rsidRPr="00E14121">
        <w:rPr>
          <w:rFonts w:ascii="Narkisim" w:hAnsi="Narkisim"/>
          <w:b/>
          <w:bCs/>
          <w:rtl/>
        </w:rPr>
        <w:t>תוס</w:t>
      </w:r>
      <w:r w:rsidRPr="00E14121">
        <w:rPr>
          <w:rFonts w:ascii="Narkisim" w:hAnsi="Narkisim"/>
          <w:rtl/>
        </w:rPr>
        <w:t>' (שם, ומד: בסו”ד) תי' דפסולה משום דהוה זונה</w:t>
      </w:r>
      <w:r w:rsidRPr="00E14121">
        <w:rPr>
          <w:rStyle w:val="ac"/>
          <w:rFonts w:ascii="Narkisim" w:hAnsi="Narkisim"/>
          <w:rtl/>
        </w:rPr>
        <w:footnoteReference w:id="4198"/>
      </w:r>
      <w:r w:rsidRPr="00E14121">
        <w:rPr>
          <w:rFonts w:ascii="Narkisim" w:hAnsi="Narkisim"/>
          <w:rtl/>
        </w:rPr>
        <w:t>. [ותוס' כת' דלפ”ז צ"ל דשם זונה פוסל לתרומה, מדכלליה בהדי חללה]. ו</w:t>
      </w:r>
      <w:r w:rsidRPr="00E14121">
        <w:rPr>
          <w:rFonts w:ascii="Narkisim" w:hAnsi="Narkisim"/>
          <w:b/>
          <w:bCs/>
          <w:rtl/>
        </w:rPr>
        <w:t>תוס</w:t>
      </w:r>
      <w:r w:rsidRPr="00E14121">
        <w:rPr>
          <w:rFonts w:ascii="Narkisim" w:hAnsi="Narkisim"/>
          <w:rtl/>
        </w:rPr>
        <w:t>' (מד:) סיימו דלפ"ז צריך ליישב את סוגיין דנבעלה לפסול בחייבי כריתות.</w:t>
      </w:r>
    </w:p>
    <w:p w14:paraId="555A383A" w14:textId="77777777" w:rsidR="00F64AED" w:rsidRPr="00E14121" w:rsidRDefault="00F64AED" w:rsidP="00F64AED">
      <w:pPr>
        <w:pStyle w:val="aa"/>
        <w:bidi/>
        <w:rPr>
          <w:rFonts w:ascii="Narkisim" w:hAnsi="Narkisim"/>
        </w:rPr>
      </w:pPr>
      <w:r w:rsidRPr="00E14121">
        <w:rPr>
          <w:rFonts w:ascii="Narkisim" w:hAnsi="Narkisim"/>
          <w:u w:val="single"/>
          <w:rtl/>
        </w:rPr>
        <w:t>רש"י ד"ה ואימא.</w:t>
      </w:r>
      <w:r w:rsidRPr="00E14121">
        <w:rPr>
          <w:rFonts w:ascii="Narkisim" w:hAnsi="Narkisim"/>
          <w:rtl/>
        </w:rPr>
        <w:t xml:space="preserve"> וכותי ונתין דפסלי מנלן. ה</w:t>
      </w:r>
      <w:r w:rsidRPr="00E14121">
        <w:rPr>
          <w:rFonts w:ascii="Narkisim" w:hAnsi="Narkisim"/>
          <w:b/>
          <w:bCs/>
          <w:rtl/>
        </w:rPr>
        <w:t>מהרש"א</w:t>
      </w:r>
      <w:r w:rsidRPr="00E14121">
        <w:rPr>
          <w:rFonts w:ascii="Narkisim" w:hAnsi="Narkisim"/>
          <w:rtl/>
        </w:rPr>
        <w:t xml:space="preserve"> כתב ד'כותי' דנקט שגירת לישנא, למש"כ </w:t>
      </w:r>
      <w:r w:rsidRPr="00E14121">
        <w:rPr>
          <w:rFonts w:ascii="Narkisim" w:hAnsi="Narkisim"/>
          <w:b/>
          <w:bCs/>
          <w:rtl/>
        </w:rPr>
        <w:t>רש"י</w:t>
      </w:r>
      <w:r w:rsidRPr="00E14121">
        <w:rPr>
          <w:rFonts w:ascii="Narkisim" w:hAnsi="Narkisim"/>
          <w:rtl/>
        </w:rPr>
        <w:t xml:space="preserve"> (בע"א) דכותי דסוגיין הוה עכו"ם, וכמ"ד גרי אריות. וא"כ לא תפסי קידושין כלל.</w:t>
      </w:r>
    </w:p>
    <w:p w14:paraId="012BECBB" w14:textId="77777777" w:rsidR="00F64AED" w:rsidRPr="00E14121" w:rsidRDefault="00F64AED" w:rsidP="00F64AED">
      <w:pPr>
        <w:pStyle w:val="aa"/>
        <w:bidi/>
        <w:rPr>
          <w:rFonts w:ascii="Narkisim" w:hAnsi="Narkisim"/>
        </w:rPr>
      </w:pPr>
      <w:r w:rsidRPr="00E14121">
        <w:rPr>
          <w:rFonts w:ascii="Narkisim" w:hAnsi="Narkisim"/>
          <w:u w:val="single"/>
          <w:rtl/>
        </w:rPr>
        <w:t>רש"י ד"ה עבד כנעני וכו</w:t>
      </w:r>
      <w:r w:rsidRPr="00E14121">
        <w:rPr>
          <w:rFonts w:ascii="Narkisim" w:hAnsi="Narkisim"/>
          <w:rtl/>
        </w:rPr>
        <w:t>'. עכו”ם ל”ל קידושין דאי' (סנהד' נב:) אשת רעהו וכו' ובשאלתות דרב אחאי יליף וכו' וגבי ישראל מקיש וכו'. ו</w:t>
      </w:r>
      <w:r w:rsidRPr="00E14121">
        <w:rPr>
          <w:rFonts w:ascii="Narkisim" w:hAnsi="Narkisim"/>
          <w:b/>
          <w:bCs/>
          <w:rtl/>
        </w:rPr>
        <w:t>רש"י</w:t>
      </w:r>
      <w:r w:rsidRPr="00E14121">
        <w:rPr>
          <w:rFonts w:ascii="Narkisim" w:hAnsi="Narkisim"/>
          <w:rtl/>
        </w:rPr>
        <w:t xml:space="preserve"> (לעיל מה.) הביא דרשא ואח"כ תבא עליה, מעיקרא לא.</w:t>
      </w:r>
    </w:p>
    <w:p w14:paraId="0D256561" w14:textId="77777777" w:rsidR="00F64AED" w:rsidRPr="00E14121" w:rsidRDefault="00F64AED" w:rsidP="00F64AED">
      <w:pPr>
        <w:bidi/>
        <w:rPr>
          <w:rFonts w:ascii="Narkisim" w:hAnsi="Narkisim" w:cs="Narkisim"/>
        </w:rPr>
      </w:pPr>
      <w:r w:rsidRPr="00E14121">
        <w:rPr>
          <w:rFonts w:ascii="Narkisim" w:hAnsi="Narkisim" w:cs="Narkisim"/>
          <w:u w:val="single"/>
          <w:rtl/>
        </w:rPr>
        <w:t>רש"י ואית דמפרשי וכו' דחייבי כריתות לא פסלי וכו'.</w:t>
      </w:r>
      <w:r w:rsidRPr="00E14121">
        <w:rPr>
          <w:rFonts w:ascii="Narkisim" w:hAnsi="Narkisim" w:cs="Narkisim"/>
          <w:rtl/>
        </w:rPr>
        <w:t xml:space="preserve"> ו</w:t>
      </w:r>
      <w:r w:rsidRPr="00E14121">
        <w:rPr>
          <w:rFonts w:ascii="Narkisim" w:hAnsi="Narkisim" w:cs="Narkisim"/>
          <w:b/>
          <w:bCs/>
          <w:rtl/>
        </w:rPr>
        <w:t>רש”י</w:t>
      </w:r>
      <w:r w:rsidRPr="00E14121">
        <w:rPr>
          <w:rFonts w:ascii="Narkisim" w:hAnsi="Narkisim" w:cs="Narkisim"/>
          <w:rtl/>
        </w:rPr>
        <w:t xml:space="preserve"> הקשה בכמה מקומות דמבואר דביאת חייבי כריתות פוסלה לכהונה. וה</w:t>
      </w:r>
      <w:r w:rsidRPr="00E14121">
        <w:rPr>
          <w:rFonts w:ascii="Narkisim" w:hAnsi="Narkisim" w:cs="Narkisim"/>
          <w:b/>
          <w:bCs/>
          <w:rtl/>
        </w:rPr>
        <w:t>אחרונים</w:t>
      </w:r>
      <w:r w:rsidRPr="00E14121">
        <w:rPr>
          <w:rFonts w:ascii="Narkisim" w:hAnsi="Narkisim" w:cs="Narkisim"/>
          <w:rtl/>
        </w:rPr>
        <w:t xml:space="preserve"> דנו דיל”פ דכוונת ה'אית דמפרשי' רק לענין תרומה, דכיון דלא הוה זר מעיקרא לא נפסלה לתרומה. ומ"מ כיון דלא תפסי קידושין הוה זונה ליפסל לכהונה</w:t>
      </w:r>
      <w:r w:rsidRPr="00E14121">
        <w:rPr>
          <w:rStyle w:val="ac"/>
          <w:rFonts w:ascii="Narkisim" w:hAnsi="Narkisim" w:cs="Narkisim"/>
          <w:rtl/>
        </w:rPr>
        <w:footnoteReference w:id="4199"/>
      </w:r>
      <w:r w:rsidRPr="00E14121">
        <w:rPr>
          <w:rFonts w:ascii="Narkisim" w:hAnsi="Narkisim" w:cs="Narkisim"/>
          <w:rtl/>
        </w:rPr>
        <w:t>. וכצד בתוס' (לה. ומד:) דזונה אוכלת בתרומה. ועפ"ז מתורץ קושיות רש"י, די"ל שפסולה רק מכהונה</w:t>
      </w:r>
      <w:r w:rsidRPr="00E14121">
        <w:rPr>
          <w:rStyle w:val="ac"/>
          <w:rFonts w:ascii="Narkisim" w:hAnsi="Narkisim" w:cs="Narkisim"/>
          <w:rtl/>
        </w:rPr>
        <w:footnoteReference w:id="4200"/>
      </w:r>
      <w:r w:rsidRPr="00E14121">
        <w:rPr>
          <w:rFonts w:ascii="Narkisim" w:hAnsi="Narkisim" w:cs="Narkisim"/>
          <w:rtl/>
        </w:rPr>
        <w:t>.</w:t>
      </w:r>
    </w:p>
    <w:p w14:paraId="6EAEEA7E" w14:textId="77777777" w:rsidR="00F64AED" w:rsidRPr="00E14121" w:rsidRDefault="00F64AED" w:rsidP="00F64AED">
      <w:pPr>
        <w:pStyle w:val="a7"/>
        <w:bidi/>
        <w:rPr>
          <w:rFonts w:ascii="Narkisim" w:hAnsi="Narkisim"/>
        </w:rPr>
      </w:pPr>
      <w:r w:rsidRPr="00E14121">
        <w:rPr>
          <w:rFonts w:ascii="Narkisim" w:hAnsi="Narkisim"/>
          <w:rtl/>
        </w:rPr>
        <w:t xml:space="preserve">וכ”כ </w:t>
      </w:r>
      <w:r w:rsidRPr="00E14121">
        <w:rPr>
          <w:rFonts w:ascii="Narkisim" w:hAnsi="Narkisim"/>
          <w:b/>
          <w:bCs/>
          <w:rtl/>
        </w:rPr>
        <w:t>רש"י</w:t>
      </w:r>
      <w:r w:rsidRPr="00E14121">
        <w:rPr>
          <w:rFonts w:ascii="Narkisim" w:hAnsi="Narkisim"/>
          <w:rtl/>
        </w:rPr>
        <w:t xml:space="preserve"> </w:t>
      </w:r>
      <w:r w:rsidRPr="00E14121">
        <w:rPr>
          <w:rFonts w:ascii="Narkisim" w:hAnsi="Narkisim"/>
          <w:sz w:val="20"/>
          <w:szCs w:val="20"/>
          <w:rtl/>
        </w:rPr>
        <w:t xml:space="preserve">(יג: ד”ה וב”ה) </w:t>
      </w:r>
      <w:r w:rsidRPr="00E14121">
        <w:rPr>
          <w:rFonts w:ascii="Narkisim" w:hAnsi="Narkisim"/>
          <w:rtl/>
        </w:rPr>
        <w:t xml:space="preserve">[דבביאת אשת אח] אינה נפסלת מתרומה דבי נשא בבעילת כרת, אלא בבעילת חלל נתין וממזר. </w:t>
      </w:r>
      <w:r w:rsidRPr="00E14121">
        <w:rPr>
          <w:rFonts w:ascii="Narkisim" w:hAnsi="Narkisim"/>
          <w:sz w:val="20"/>
          <w:szCs w:val="20"/>
          <w:rtl/>
        </w:rPr>
        <w:t>ו</w:t>
      </w:r>
      <w:r w:rsidRPr="00E14121">
        <w:rPr>
          <w:rFonts w:ascii="Narkisim" w:hAnsi="Narkisim"/>
          <w:b/>
          <w:bCs/>
          <w:sz w:val="20"/>
          <w:szCs w:val="20"/>
          <w:rtl/>
        </w:rPr>
        <w:t>תוס'</w:t>
      </w:r>
      <w:r w:rsidRPr="00E14121">
        <w:rPr>
          <w:rFonts w:ascii="Narkisim" w:hAnsi="Narkisim"/>
          <w:sz w:val="20"/>
          <w:szCs w:val="20"/>
          <w:rtl/>
        </w:rPr>
        <w:t xml:space="preserve"> (שם ד”ה בית הלל) חלקו דזונה אסורה בתרומה. ונח' בזה תי' </w:t>
      </w:r>
      <w:r w:rsidRPr="00E14121">
        <w:rPr>
          <w:rFonts w:ascii="Narkisim" w:hAnsi="Narkisim"/>
          <w:sz w:val="20"/>
          <w:szCs w:val="20"/>
          <w:rtl/>
        </w:rPr>
        <w:lastRenderedPageBreak/>
        <w:t>התוס' (לה. ומד:). ולתי' הא' (בתוס' מד:) זונה פסולה משום איש זר דסוגיין</w:t>
      </w:r>
      <w:r w:rsidRPr="00E14121">
        <w:rPr>
          <w:rStyle w:val="ac"/>
          <w:rFonts w:ascii="Narkisim" w:hAnsi="Narkisim"/>
          <w:sz w:val="20"/>
          <w:szCs w:val="20"/>
          <w:rtl/>
        </w:rPr>
        <w:footnoteReference w:id="4201"/>
      </w:r>
      <w:r w:rsidRPr="00E14121">
        <w:rPr>
          <w:rFonts w:ascii="Narkisim" w:hAnsi="Narkisim"/>
          <w:sz w:val="20"/>
          <w:szCs w:val="20"/>
          <w:rtl/>
        </w:rPr>
        <w:t>. ותוס' הביאו דרש”י עצמו חזר בו.</w:t>
      </w:r>
    </w:p>
    <w:p w14:paraId="4766C837" w14:textId="77777777" w:rsidR="00F64AED" w:rsidRPr="00E14121" w:rsidRDefault="00F64AED" w:rsidP="00F64AED">
      <w:pPr>
        <w:pStyle w:val="aa"/>
        <w:bidi/>
        <w:rPr>
          <w:rFonts w:ascii="Narkisim" w:hAnsi="Narkisim"/>
        </w:rPr>
      </w:pPr>
      <w:r w:rsidRPr="00E14121">
        <w:rPr>
          <w:rFonts w:ascii="Narkisim" w:hAnsi="Narkisim"/>
          <w:u w:val="single"/>
          <w:rtl/>
        </w:rPr>
        <w:t>בא"ד נפסלו מתרומה בביעלת אשת איש וכו'</w:t>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דחו דאשת איש שזינתה נפסלה לכהונה ותרומה משום 'טומאה', וכדאי' (לעיל נו:). ולרב עמרם אף אשת ישראל שנאנסה. וי"ל דכוונת רש"י דרבה נקט דוקא אשת כהן שנאנסה, ואילו אשת ישראל ששנאנסה אינה בכלל טומאה. [ע"ע לעיל שם].</w:t>
      </w:r>
    </w:p>
    <w:p w14:paraId="4D1BBF85" w14:textId="77777777" w:rsidR="00F64AED" w:rsidRPr="00E14121" w:rsidRDefault="00F64AED" w:rsidP="00F64AED">
      <w:pPr>
        <w:pStyle w:val="aa"/>
        <w:bidi/>
        <w:rPr>
          <w:rFonts w:ascii="Narkisim" w:hAnsi="Narkisim"/>
        </w:rPr>
      </w:pPr>
      <w:r w:rsidRPr="00E14121">
        <w:rPr>
          <w:rFonts w:ascii="Narkisim" w:hAnsi="Narkisim"/>
          <w:u w:val="single"/>
          <w:rtl/>
        </w:rPr>
        <w:t>בא"ד כיון דהוה זונה ביאתו פוסלתה דתניא וכו'.</w:t>
      </w:r>
      <w:r w:rsidRPr="00E14121">
        <w:rPr>
          <w:rFonts w:ascii="Narkisim" w:hAnsi="Narkisim"/>
          <w:rtl/>
        </w:rPr>
        <w:t xml:space="preserve"> וצ"ב דאי הוה סברא דזונה אסורה בתרומה, א"כ אמאי צריך ריבוי בסוגיין. ומדברי רש"י משמע דזונה פסולה לתרומה משום קרא דסוגיין. [ולא הוה שם איסור בפנ”ע]. אלא דהוה סברא מוכרחת, דכיון דהוה זונה לכהונה ע"כ דפסולה לתרומה.</w:t>
      </w:r>
    </w:p>
    <w:p w14:paraId="3C8F2D7B" w14:textId="77777777" w:rsidR="00F64AED" w:rsidRPr="00E14121" w:rsidRDefault="00F64AED" w:rsidP="00F64AED">
      <w:pPr>
        <w:bidi/>
        <w:rPr>
          <w:rFonts w:ascii="Narkisim" w:hAnsi="Narkisim" w:cs="Narkisim"/>
        </w:rPr>
      </w:pPr>
      <w:r w:rsidRPr="00E14121">
        <w:rPr>
          <w:rFonts w:ascii="Narkisim" w:hAnsi="Narkisim" w:cs="Narkisim"/>
          <w:u w:val="single"/>
          <w:rtl/>
        </w:rPr>
        <w:t>בא"ד שבא עליה אחיה וכו'</w:t>
      </w:r>
      <w:r w:rsidRPr="00E14121">
        <w:rPr>
          <w:rFonts w:ascii="Narkisim" w:hAnsi="Narkisim" w:cs="Narkisim"/>
          <w:rtl/>
        </w:rPr>
        <w:t xml:space="preserve">. מבואר בדברי </w:t>
      </w:r>
      <w:r w:rsidRPr="00E14121">
        <w:rPr>
          <w:rFonts w:ascii="Narkisim" w:hAnsi="Narkisim" w:cs="Narkisim"/>
          <w:b/>
          <w:bCs/>
          <w:rtl/>
        </w:rPr>
        <w:t>רש"י</w:t>
      </w:r>
      <w:r w:rsidRPr="00E14121">
        <w:rPr>
          <w:rFonts w:ascii="Narkisim" w:hAnsi="Narkisim" w:cs="Narkisim"/>
          <w:rtl/>
        </w:rPr>
        <w:t xml:space="preserve"> ד'אח' פוסל משום דהוה חייבי כריתות, הא לאו הכי אינו פוסל, דאינו זר אצלה. אבל מדברי ה</w:t>
      </w:r>
      <w:r w:rsidRPr="00E14121">
        <w:rPr>
          <w:rFonts w:ascii="Narkisim" w:hAnsi="Narkisim" w:cs="Narkisim"/>
          <w:b/>
          <w:bCs/>
          <w:rtl/>
        </w:rPr>
        <w:t>תוס'</w:t>
      </w:r>
      <w:r w:rsidRPr="00E14121">
        <w:rPr>
          <w:rFonts w:ascii="Narkisim" w:hAnsi="Narkisim" w:cs="Narkisim"/>
          <w:rtl/>
        </w:rPr>
        <w:t xml:space="preserve"> (הנ"ל) משמע דדוקא עריות דע"י קידושין לא הוה בכלל איש זר. אבל כל ערוה שהיתה משעת לידה נחשב זר מעיקרא. א"כ אחותו תאסר משום 'איש זר' [וכ”כ ה</w:t>
      </w:r>
      <w:r w:rsidRPr="00E14121">
        <w:rPr>
          <w:rFonts w:ascii="Narkisim" w:hAnsi="Narkisim" w:cs="Narkisim"/>
          <w:b/>
          <w:bCs/>
          <w:rtl/>
        </w:rPr>
        <w:t>חזו”א</w:t>
      </w:r>
      <w:r w:rsidRPr="00E14121">
        <w:rPr>
          <w:rFonts w:ascii="Narkisim" w:hAnsi="Narkisim" w:cs="Narkisim"/>
          <w:rtl/>
        </w:rPr>
        <w:t xml:space="preserve"> טו ו].</w:t>
      </w:r>
    </w:p>
    <w:p w14:paraId="5BD08B31"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(מד י) ביאר דלדעת רש"י סברת זר מעיקרא הוא דהבועל הוא 'פסול' [וכמ”ש רש”י לעיל נג:]. ואילו איסור קרובים אף הבועל הוא כשר, ומש"ה אינו בכלל 'איש זר' לפסול בביאתו. ובעינן קרא דזונה או שיש אלמנות וגירושין.</w:t>
      </w:r>
    </w:p>
    <w:p w14:paraId="6A78C9E3" w14:textId="77777777" w:rsidR="00F64AED" w:rsidRPr="00E14121" w:rsidRDefault="00F64AED" w:rsidP="00F64AED">
      <w:pPr>
        <w:bidi/>
        <w:rPr>
          <w:rFonts w:ascii="Narkisim" w:hAnsi="Narkisim" w:cs="Narkisim"/>
        </w:rPr>
      </w:pPr>
      <w:r w:rsidRPr="00E14121">
        <w:rPr>
          <w:rFonts w:ascii="Narkisim" w:hAnsi="Narkisim" w:cs="Narkisim"/>
          <w:u w:val="single"/>
          <w:rtl/>
        </w:rPr>
        <w:t>בא"ד ואי וכו' משכחת וכו' הר"ז ממזר ומאכילה וכו'.</w:t>
      </w:r>
      <w:r w:rsidRPr="00E14121">
        <w:rPr>
          <w:rFonts w:ascii="Narkisim" w:hAnsi="Narkisim" w:cs="Narkisim"/>
          <w:rtl/>
        </w:rPr>
        <w:t xml:space="preserve"> [ולא משכחת ממזר שמאכיל את אמו. דבין חייבי כריתות ובין ממזר פסלה בביאתו].</w:t>
      </w:r>
    </w:p>
    <w:p w14:paraId="36E609AB"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נקט דאם בא עליה דרך יבום </w:t>
      </w:r>
      <w:r w:rsidRPr="00E14121">
        <w:rPr>
          <w:rFonts w:ascii="Narkisim" w:hAnsi="Narkisim"/>
          <w:sz w:val="20"/>
          <w:szCs w:val="20"/>
          <w:rtl/>
        </w:rPr>
        <w:t>[דמדאוריי' עשה דוחה ל"ת]</w:t>
      </w:r>
      <w:r w:rsidRPr="00E14121">
        <w:rPr>
          <w:rFonts w:ascii="Narkisim" w:hAnsi="Narkisim"/>
          <w:rtl/>
        </w:rPr>
        <w:t xml:space="preserve"> לא פסלה, ולכן הקשה א"כ משכח"ל כה"ג שמאכיל את אמו</w:t>
      </w:r>
      <w:r w:rsidRPr="00E14121">
        <w:rPr>
          <w:rStyle w:val="ac"/>
          <w:rFonts w:ascii="Narkisim" w:hAnsi="Narkisim"/>
          <w:rtl/>
        </w:rPr>
        <w:footnoteReference w:id="4202"/>
      </w:r>
      <w:r w:rsidRPr="00E14121">
        <w:rPr>
          <w:rFonts w:ascii="Narkisim" w:hAnsi="Narkisim"/>
          <w:rtl/>
        </w:rPr>
        <w:t>. וה</w:t>
      </w:r>
      <w:r w:rsidRPr="00E14121">
        <w:rPr>
          <w:rFonts w:ascii="Narkisim" w:hAnsi="Narkisim"/>
          <w:b/>
          <w:bCs/>
          <w:rtl/>
        </w:rPr>
        <w:t>אבנ"מ</w:t>
      </w:r>
      <w:r w:rsidRPr="00E14121">
        <w:rPr>
          <w:rFonts w:ascii="Narkisim" w:hAnsi="Narkisim"/>
          <w:rtl/>
        </w:rPr>
        <w:t xml:space="preserve"> תי' דלא משכח"ל כהן ממזר, ולכן לא יתכן שיאכיל בתרומה בכה"ג [וע' מש”כ בזה לעיל מד: ונג:]. וה</w:t>
      </w:r>
      <w:r w:rsidRPr="00E14121">
        <w:rPr>
          <w:rFonts w:ascii="Narkisim" w:hAnsi="Narkisim"/>
          <w:b/>
          <w:bCs/>
          <w:rtl/>
        </w:rPr>
        <w:t>מגיה</w:t>
      </w:r>
      <w:r w:rsidRPr="00E14121">
        <w:rPr>
          <w:rFonts w:ascii="Narkisim" w:hAnsi="Narkisim"/>
          <w:rtl/>
        </w:rPr>
        <w:t xml:space="preserve"> (שם ג) חלק דאף דהותר הביאה מדין עדל"ת מ"מ נפסלה בביאה זו, וכמ"ש ה</w:t>
      </w:r>
      <w:r w:rsidRPr="00E14121">
        <w:rPr>
          <w:rFonts w:ascii="Narkisim" w:hAnsi="Narkisim"/>
          <w:b/>
          <w:bCs/>
          <w:rtl/>
        </w:rPr>
        <w:t>רמב"ם</w:t>
      </w:r>
      <w:r w:rsidRPr="00E14121">
        <w:rPr>
          <w:rFonts w:ascii="Narkisim" w:hAnsi="Narkisim"/>
          <w:rtl/>
        </w:rPr>
        <w:t xml:space="preserve"> (יח ה) דפסול זונה תלי בפגם, ולא תליא באיסור ביאה. (וע"ע לקמן סט:).</w:t>
      </w:r>
    </w:p>
    <w:p w14:paraId="320DB6CB" w14:textId="77777777" w:rsidR="00F64AED" w:rsidRPr="00E14121" w:rsidRDefault="00F64AED" w:rsidP="00F64AED">
      <w:pPr>
        <w:bidi/>
        <w:rPr>
          <w:rFonts w:ascii="Narkisim" w:hAnsi="Narkisim" w:cs="Narkisim"/>
        </w:rPr>
      </w:pPr>
      <w:r w:rsidRPr="00E14121">
        <w:rPr>
          <w:rFonts w:ascii="Narkisim" w:hAnsi="Narkisim" w:cs="Narkisim"/>
          <w:u w:val="single"/>
          <w:rtl/>
        </w:rPr>
        <w:t>מנין לעכו"ם ועבד וכו' שפסלוה, שנאמר וכו' אלמנה וגרושה וגו' מי שיש לו אלמנות וגירושין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(מד:) מבואר דהנבעלת לעכו"ם אינה לוקה מקרא דאלמנה וגרושה</w:t>
      </w:r>
      <w:r w:rsidRPr="00E14121">
        <w:rPr>
          <w:rStyle w:val="ac"/>
          <w:rFonts w:ascii="Narkisim" w:hAnsi="Narkisim" w:cs="Narkisim"/>
          <w:rtl/>
        </w:rPr>
        <w:footnoteReference w:id="4203"/>
      </w:r>
      <w:r w:rsidRPr="00E14121">
        <w:rPr>
          <w:rFonts w:ascii="Narkisim" w:hAnsi="Narkisim" w:cs="Narkisim"/>
          <w:rtl/>
        </w:rPr>
        <w:t>. דילפי' לאו הבא מכלל עשה שאינה אוכלת בתרומה, ובהך קרא ליכא לאו</w:t>
      </w:r>
      <w:r w:rsidRPr="00E14121">
        <w:rPr>
          <w:rStyle w:val="ac"/>
          <w:rFonts w:ascii="Narkisim" w:hAnsi="Narkisim" w:cs="Narkisim"/>
          <w:rtl/>
        </w:rPr>
        <w:footnoteReference w:id="4204"/>
      </w:r>
      <w:r w:rsidRPr="00E14121">
        <w:rPr>
          <w:rFonts w:ascii="Narkisim" w:hAnsi="Narkisim" w:cs="Narkisim"/>
          <w:rtl/>
        </w:rPr>
        <w:t xml:space="preserve">. </w:t>
      </w:r>
      <w:r w:rsidRPr="00E14121">
        <w:rPr>
          <w:rFonts w:ascii="Narkisim" w:hAnsi="Narkisim" w:cs="Narkisim"/>
          <w:szCs w:val="20"/>
          <w:rtl/>
        </w:rPr>
        <w:t>[ולכהונה לוקה משום זונה</w:t>
      </w:r>
      <w:r w:rsidRPr="00E14121">
        <w:rPr>
          <w:rStyle w:val="ac"/>
          <w:rFonts w:ascii="Narkisim" w:hAnsi="Narkisim" w:cs="Narkisim"/>
          <w:szCs w:val="20"/>
          <w:rtl/>
        </w:rPr>
        <w:footnoteReference w:id="4205"/>
      </w:r>
      <w:r w:rsidRPr="00E14121">
        <w:rPr>
          <w:rFonts w:ascii="Narkisim" w:hAnsi="Narkisim" w:cs="Narkisim"/>
          <w:szCs w:val="20"/>
          <w:rtl/>
        </w:rPr>
        <w:t>]</w:t>
      </w:r>
      <w:r w:rsidRPr="00E14121">
        <w:rPr>
          <w:rFonts w:ascii="Narkisim" w:hAnsi="Narkisim" w:cs="Narkisim"/>
          <w:rtl/>
        </w:rPr>
        <w:t>.</w:t>
      </w:r>
    </w:p>
    <w:p w14:paraId="532A6322"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העולה מסוגיין דלדעת </w:t>
      </w:r>
      <w:r w:rsidRPr="00E14121">
        <w:rPr>
          <w:rFonts w:ascii="Narkisim" w:hAnsi="Narkisim" w:cs="Narkisim"/>
          <w:b/>
          <w:bCs/>
          <w:rtl/>
        </w:rPr>
        <w:t>רש"י</w:t>
      </w:r>
      <w:r w:rsidRPr="00E14121">
        <w:rPr>
          <w:rFonts w:ascii="Narkisim" w:hAnsi="Narkisim" w:cs="Narkisim"/>
          <w:rtl/>
        </w:rPr>
        <w:t xml:space="preserve"> חייבי כריתות פוסל בביאתו מקרא דאלמנה וגרושה, דלא תפסי בה קידושין. ולדעת </w:t>
      </w:r>
      <w:r w:rsidRPr="00E14121">
        <w:rPr>
          <w:rFonts w:ascii="Narkisim" w:hAnsi="Narkisim" w:cs="Narkisim"/>
          <w:b/>
          <w:bCs/>
          <w:rtl/>
        </w:rPr>
        <w:t>תוס</w:t>
      </w:r>
      <w:r w:rsidRPr="00E14121">
        <w:rPr>
          <w:rFonts w:ascii="Narkisim" w:hAnsi="Narkisim" w:cs="Narkisim"/>
          <w:rtl/>
        </w:rPr>
        <w:t>' הוה מקרא דכי תהיה לאיש זר, דחייבי כריתות הוה זר. ו</w:t>
      </w:r>
      <w:r w:rsidRPr="00E14121">
        <w:rPr>
          <w:rFonts w:ascii="Narkisim" w:hAnsi="Narkisim" w:cs="Narkisim"/>
          <w:b/>
          <w:bCs/>
          <w:rtl/>
        </w:rPr>
        <w:t>תוס</w:t>
      </w:r>
      <w:r w:rsidRPr="00E14121">
        <w:rPr>
          <w:rFonts w:ascii="Narkisim" w:hAnsi="Narkisim" w:cs="Narkisim"/>
          <w:rtl/>
        </w:rPr>
        <w:t>' (לעיל לה.) כת' דפסול רק משום זונה [וכ”ד הי”מ ברש”י].</w:t>
      </w:r>
    </w:p>
    <w:p w14:paraId="1C2A03F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(ו ג) כת' דנפק"מ האם לוקה עליו, דאלמנה וגרושה לא הוה לאו</w:t>
      </w:r>
      <w:r w:rsidRPr="00E14121">
        <w:rPr>
          <w:rStyle w:val="ac"/>
          <w:rFonts w:ascii="Narkisim" w:hAnsi="Narkisim"/>
          <w:rtl/>
        </w:rPr>
        <w:footnoteReference w:id="4206"/>
      </w:r>
      <w:r w:rsidRPr="00E14121">
        <w:rPr>
          <w:rFonts w:ascii="Narkisim" w:hAnsi="Narkisim"/>
          <w:rtl/>
        </w:rPr>
        <w:t>. ואילו משום איש זר מבואר בתוס' (לה. ומד:) שלוקה.</w:t>
      </w:r>
    </w:p>
    <w:p w14:paraId="12E6004E" w14:textId="77777777" w:rsidR="00F64AED" w:rsidRPr="00E14121" w:rsidRDefault="00F64AED" w:rsidP="00F64AED">
      <w:pPr>
        <w:bidi/>
        <w:rPr>
          <w:rFonts w:ascii="Narkisim" w:hAnsi="Narkisim" w:cs="Narkisim"/>
        </w:rPr>
      </w:pPr>
      <w:r w:rsidRPr="00E14121">
        <w:rPr>
          <w:rFonts w:ascii="Narkisim" w:hAnsi="Narkisim" w:cs="Narkisim"/>
          <w:rtl/>
        </w:rPr>
        <w:t>ה</w:t>
      </w:r>
      <w:r w:rsidRPr="00E14121">
        <w:rPr>
          <w:rFonts w:ascii="Narkisim" w:hAnsi="Narkisim" w:cs="Narkisim"/>
          <w:b/>
          <w:bCs/>
          <w:rtl/>
        </w:rPr>
        <w:t>טור</w:t>
      </w:r>
      <w:r w:rsidRPr="00E14121">
        <w:rPr>
          <w:rFonts w:ascii="Narkisim" w:hAnsi="Narkisim" w:cs="Narkisim"/>
          <w:rtl/>
        </w:rPr>
        <w:t xml:space="preserve"> (ו) כת' דהבא על יבמה לשוק פוסל בביאתו, אף לדעת ה</w:t>
      </w:r>
      <w:r w:rsidRPr="00E14121">
        <w:rPr>
          <w:rFonts w:ascii="Narkisim" w:hAnsi="Narkisim" w:cs="Narkisim"/>
          <w:b/>
          <w:bCs/>
          <w:rtl/>
        </w:rPr>
        <w:t>רא”ש</w:t>
      </w:r>
      <w:r w:rsidRPr="00E14121">
        <w:rPr>
          <w:rFonts w:ascii="Narkisim" w:hAnsi="Narkisim" w:cs="Narkisim"/>
          <w:rtl/>
        </w:rPr>
        <w:t xml:space="preserve"> [דבחייבי לאוין לא הוה זונה]. וה</w:t>
      </w:r>
      <w:r w:rsidRPr="00E14121">
        <w:rPr>
          <w:rFonts w:ascii="Narkisim" w:hAnsi="Narkisim" w:cs="Narkisim"/>
          <w:b/>
          <w:bCs/>
          <w:rtl/>
        </w:rPr>
        <w:t>פוסקים</w:t>
      </w:r>
      <w:r w:rsidRPr="00E14121">
        <w:rPr>
          <w:rFonts w:ascii="Narkisim" w:hAnsi="Narkisim" w:cs="Narkisim"/>
          <w:rtl/>
        </w:rPr>
        <w:t xml:space="preserve"> ביארו דביבמה לשוק לא תפסי קידושין</w:t>
      </w:r>
      <w:r w:rsidRPr="00E14121">
        <w:rPr>
          <w:rStyle w:val="ac"/>
          <w:rFonts w:ascii="Narkisim" w:hAnsi="Narkisim" w:cs="Narkisim"/>
          <w:rtl/>
        </w:rPr>
        <w:footnoteReference w:id="4207"/>
      </w:r>
      <w:r w:rsidRPr="00E14121">
        <w:rPr>
          <w:rFonts w:ascii="Narkisim" w:hAnsi="Narkisim" w:cs="Narkisim"/>
          <w:rtl/>
        </w:rPr>
        <w:t>, ומש"ה עשאה זונה [וכדאי' בגמ' קידושין עה:, הו' בתוס' לעיל מד: דשייכי זה לזה].</w:t>
      </w:r>
    </w:p>
    <w:p w14:paraId="1CA67C51" w14:textId="77777777" w:rsidR="00F64AED" w:rsidRPr="00E14121" w:rsidRDefault="00F64AED" w:rsidP="00F64AED">
      <w:pPr>
        <w:pStyle w:val="aa"/>
        <w:bidi/>
        <w:rPr>
          <w:rFonts w:ascii="Narkisim" w:hAnsi="Narkisim"/>
        </w:rPr>
      </w:pPr>
      <w:r w:rsidRPr="00E14121">
        <w:rPr>
          <w:rFonts w:ascii="Narkisim" w:hAnsi="Narkisim"/>
          <w:rtl/>
        </w:rPr>
        <w:lastRenderedPageBreak/>
        <w:t>וה</w:t>
      </w:r>
      <w:r w:rsidRPr="00E14121">
        <w:rPr>
          <w:rFonts w:ascii="Narkisim" w:hAnsi="Narkisim"/>
          <w:b/>
          <w:bCs/>
          <w:rtl/>
        </w:rPr>
        <w:t>ראשונים</w:t>
      </w:r>
      <w:r w:rsidRPr="00E14121">
        <w:rPr>
          <w:rFonts w:ascii="Narkisim" w:hAnsi="Narkisim"/>
          <w:rtl/>
        </w:rPr>
        <w:t xml:space="preserve"> כת' דהבא על הנדה לא עשאה זונה, אף דהוה חייבי כריתות. ו</w:t>
      </w:r>
      <w:r w:rsidRPr="00E14121">
        <w:rPr>
          <w:rFonts w:ascii="Narkisim" w:hAnsi="Narkisim"/>
          <w:b/>
          <w:bCs/>
          <w:rtl/>
        </w:rPr>
        <w:t>ה"ה</w:t>
      </w:r>
      <w:r w:rsidRPr="00E14121">
        <w:rPr>
          <w:rFonts w:ascii="Narkisim" w:hAnsi="Narkisim"/>
          <w:rtl/>
        </w:rPr>
        <w:t xml:space="preserve"> </w:t>
      </w:r>
      <w:r w:rsidRPr="00E14121">
        <w:rPr>
          <w:rFonts w:ascii="Narkisim" w:hAnsi="Narkisim"/>
          <w:rtl/>
          <w:lang w:val="he-IL"/>
        </w:rPr>
        <w:t>(יח א) הביא דנתמעט (לעיל ס.) מאלה אתה עושה חלל ולא מנדה, ואם איתא דהבא על הנדה עשאה זונה, א"כ הולד מביאה שניה הוה חלל.</w:t>
      </w:r>
    </w:p>
    <w:p w14:paraId="39FBE9F2"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בגמ' </w:t>
      </w:r>
      <w:r w:rsidRPr="00E14121">
        <w:rPr>
          <w:rFonts w:ascii="Narkisim" w:hAnsi="Narkisim" w:cs="Narkisim"/>
          <w:szCs w:val="20"/>
          <w:rtl/>
        </w:rPr>
        <w:t>(קידושין עז:)</w:t>
      </w:r>
      <w:r w:rsidRPr="00E14121">
        <w:rPr>
          <w:rFonts w:ascii="Narkisim" w:hAnsi="Narkisim" w:cs="Narkisim"/>
          <w:rtl/>
        </w:rPr>
        <w:t xml:space="preserve"> איתא דכהן הבא על אחותו זונה משויא ליה, חללה לא משויא ליה. חזר ובא עליה עשאה זונה</w:t>
      </w:r>
      <w:r w:rsidRPr="00E14121">
        <w:rPr>
          <w:rStyle w:val="ac"/>
          <w:rFonts w:ascii="Narkisim" w:hAnsi="Narkisim" w:cs="Narkisim"/>
          <w:rtl/>
        </w:rPr>
        <w:footnoteReference w:id="4208"/>
      </w:r>
      <w:r w:rsidRPr="00E14121">
        <w:rPr>
          <w:rFonts w:ascii="Narkisim" w:hAnsi="Narkisim" w:cs="Narkisim"/>
          <w:rtl/>
        </w:rPr>
        <w:t>. ומבואר דבביאת חייבי כריתות אינה נעשית חללה, אלא כשחזר ובא עליה. וה</w:t>
      </w:r>
      <w:r w:rsidRPr="00E14121">
        <w:rPr>
          <w:rFonts w:ascii="Narkisim" w:hAnsi="Narkisim" w:cs="Narkisim"/>
          <w:b/>
          <w:bCs/>
          <w:rtl/>
        </w:rPr>
        <w:t>מהד"ב</w:t>
      </w:r>
      <w:r w:rsidRPr="00E14121">
        <w:rPr>
          <w:rFonts w:ascii="Narkisim" w:hAnsi="Narkisim" w:cs="Narkisim"/>
          <w:rtl/>
        </w:rPr>
        <w:t xml:space="preserve"> למהרש"א (לעיל טו:) הק' דאחותו הוה זר מעיקרא [משעת לידה], א"כ הוה בכלל איש זר. [אך למש"כ הקובה"ע בדעת רש"י כיון דלא הוה פסול אצלה, אלא קורבא בעלמא לא חשיב איש זר].</w:t>
      </w:r>
    </w:p>
    <w:p w14:paraId="104ABD70" w14:textId="77777777" w:rsidR="00F64AED" w:rsidRPr="00E14121" w:rsidRDefault="00F64AED" w:rsidP="00F64AED">
      <w:pPr>
        <w:pStyle w:val="a7"/>
        <w:bidi/>
        <w:rPr>
          <w:rFonts w:ascii="Narkisim" w:hAnsi="Narkisim"/>
        </w:rPr>
      </w:pPr>
      <w:r w:rsidRPr="00E14121">
        <w:rPr>
          <w:rFonts w:ascii="Narkisim" w:hAnsi="Narkisim"/>
          <w:rtl/>
        </w:rPr>
        <w:t>ועה"ק ה</w:t>
      </w:r>
      <w:r w:rsidRPr="00E14121">
        <w:rPr>
          <w:rFonts w:ascii="Narkisim" w:hAnsi="Narkisim"/>
          <w:b/>
          <w:bCs/>
          <w:rtl/>
        </w:rPr>
        <w:t>אחרונים</w:t>
      </w:r>
      <w:r w:rsidRPr="00E14121">
        <w:rPr>
          <w:rFonts w:ascii="Narkisim" w:hAnsi="Narkisim"/>
          <w:rtl/>
        </w:rPr>
        <w:t xml:space="preserve"> </w:t>
      </w:r>
      <w:r w:rsidRPr="00E14121">
        <w:rPr>
          <w:rFonts w:ascii="Narkisim" w:hAnsi="Narkisim"/>
          <w:szCs w:val="20"/>
          <w:rtl/>
        </w:rPr>
        <w:t>(קובה"ע מד י, חזו"א טו ז)</w:t>
      </w:r>
      <w:r w:rsidRPr="00E14121">
        <w:rPr>
          <w:rFonts w:ascii="Narkisim" w:hAnsi="Narkisim"/>
          <w:rtl/>
        </w:rPr>
        <w:t xml:space="preserve"> דלדעת </w:t>
      </w:r>
      <w:r w:rsidRPr="00E14121">
        <w:rPr>
          <w:rFonts w:ascii="Narkisim" w:hAnsi="Narkisim"/>
          <w:b/>
          <w:bCs/>
          <w:rtl/>
        </w:rPr>
        <w:t>תוס</w:t>
      </w:r>
      <w:r w:rsidRPr="00E14121">
        <w:rPr>
          <w:rFonts w:ascii="Narkisim" w:hAnsi="Narkisim"/>
          <w:rtl/>
        </w:rPr>
        <w:t>' (ד"ה עובד כוכבים) אף חייבי כריתות ילפי' משום 'איש זר'</w:t>
      </w:r>
      <w:r w:rsidRPr="00E14121">
        <w:rPr>
          <w:rStyle w:val="ac"/>
          <w:rFonts w:ascii="Narkisim" w:hAnsi="Narkisim"/>
          <w:rtl/>
        </w:rPr>
        <w:footnoteReference w:id="4209"/>
      </w:r>
      <w:r w:rsidRPr="00E14121">
        <w:rPr>
          <w:rFonts w:ascii="Narkisim" w:hAnsi="Narkisim"/>
          <w:rtl/>
        </w:rPr>
        <w:t>. ודייקו מדברי ה</w:t>
      </w:r>
      <w:r w:rsidRPr="00E14121">
        <w:rPr>
          <w:rFonts w:ascii="Narkisim" w:hAnsi="Narkisim"/>
          <w:b/>
          <w:bCs/>
          <w:rtl/>
        </w:rPr>
        <w:t>תוס</w:t>
      </w:r>
      <w:r w:rsidRPr="00E14121">
        <w:rPr>
          <w:rFonts w:ascii="Narkisim" w:hAnsi="Narkisim"/>
          <w:rtl/>
        </w:rPr>
        <w:t>' (לעיל טו:) דגדר הך קרא דעושה חללות, וחיללה בביאתו. והק' דא”כ הוה פסולי כהונה, וצ"ע מהגמ' בקידושין. והמהד"ב הוכיח כדעת הרמב"ם דמחייבי כריתות הוה זונה</w:t>
      </w:r>
      <w:r w:rsidRPr="00E14121">
        <w:rPr>
          <w:rStyle w:val="ac"/>
          <w:rFonts w:ascii="Narkisim" w:hAnsi="Narkisim"/>
          <w:rtl/>
        </w:rPr>
        <w:footnoteReference w:id="4210"/>
      </w:r>
      <w:r w:rsidRPr="00E14121">
        <w:rPr>
          <w:rFonts w:ascii="Narkisim" w:hAnsi="Narkisim"/>
          <w:rtl/>
        </w:rPr>
        <w:t>.</w:t>
      </w:r>
    </w:p>
    <w:p w14:paraId="1E5220F8" w14:textId="77777777" w:rsidR="00F64AED" w:rsidRPr="00E14121" w:rsidRDefault="00F64AED" w:rsidP="00F64AED">
      <w:pPr>
        <w:pStyle w:val="a7"/>
        <w:bidi/>
        <w:rPr>
          <w:rFonts w:ascii="Narkisim" w:hAnsi="Narkisim"/>
        </w:rPr>
      </w:pPr>
      <w:r w:rsidRPr="00E14121">
        <w:rPr>
          <w:rFonts w:ascii="Narkisim" w:hAnsi="Narkisim"/>
          <w:rtl/>
        </w:rPr>
        <w:t>אך בפשוטו מבואר ב</w:t>
      </w:r>
      <w:r w:rsidRPr="00E14121">
        <w:rPr>
          <w:rFonts w:ascii="Narkisim" w:hAnsi="Narkisim"/>
          <w:b/>
          <w:bCs/>
          <w:rtl/>
        </w:rPr>
        <w:t>תוס'</w:t>
      </w:r>
      <w:r w:rsidRPr="00E14121">
        <w:rPr>
          <w:rFonts w:ascii="Narkisim" w:hAnsi="Narkisim"/>
          <w:rtl/>
        </w:rPr>
        <w:t xml:space="preserve"> (לעיל לה. ומד:) דאיש זר הוה שם איסור בפנ"ע, ולא שם 'חללה'. [ובביאה שניה לוקה תרתי משום איש זר ומשום זונה. אבל אינו לוקה משום חללה].</w:t>
      </w:r>
    </w:p>
    <w:p w14:paraId="4FC7952C" w14:textId="77777777" w:rsidR="00F64AED" w:rsidRPr="00E14121" w:rsidRDefault="00F64AED" w:rsidP="00F64AED">
      <w:pPr>
        <w:pStyle w:val="3"/>
        <w:bidi/>
        <w:rPr>
          <w:rFonts w:ascii="Narkisim" w:hAnsi="Narkisim"/>
        </w:rPr>
      </w:pPr>
      <w:r w:rsidRPr="00E14121">
        <w:rPr>
          <w:rFonts w:ascii="Narkisim" w:hAnsi="Narkisim"/>
          <w:rtl/>
        </w:rPr>
        <w:t>דף סט.</w:t>
      </w:r>
    </w:p>
    <w:p w14:paraId="36B292F9" w14:textId="77777777" w:rsidR="00F64AED" w:rsidRPr="00E14121" w:rsidRDefault="00F64AED" w:rsidP="00F64AED">
      <w:pPr>
        <w:bidi/>
        <w:rPr>
          <w:rFonts w:ascii="Narkisim" w:hAnsi="Narkisim" w:cs="Narkisim"/>
        </w:rPr>
      </w:pPr>
      <w:r w:rsidRPr="00E14121">
        <w:rPr>
          <w:rFonts w:ascii="Narkisim" w:hAnsi="Narkisim" w:cs="Narkisim"/>
          <w:u w:val="single"/>
          <w:rtl/>
        </w:rPr>
        <w:t>אשכחן כהנת, לויה וישראלית מנ"ל וכו'.</w:t>
      </w:r>
      <w:r w:rsidRPr="00E14121">
        <w:rPr>
          <w:rFonts w:ascii="Narkisim" w:hAnsi="Narkisim" w:cs="Narkisim"/>
          <w:rtl/>
        </w:rPr>
        <w:t xml:space="preserve"> לכאורה קאי באוכלת משום בנה, דפוסל בתרומה אף דלא קדיש גופה. וכמסקנת הגמ' (לעיל סח:). וכ"מ ב</w:t>
      </w:r>
      <w:r w:rsidRPr="00E14121">
        <w:rPr>
          <w:rFonts w:ascii="Narkisim" w:hAnsi="Narkisim" w:cs="Narkisim"/>
          <w:b/>
          <w:bCs/>
          <w:rtl/>
        </w:rPr>
        <w:t>תוס</w:t>
      </w:r>
      <w:r w:rsidRPr="00E14121">
        <w:rPr>
          <w:rFonts w:ascii="Narkisim" w:hAnsi="Narkisim" w:cs="Narkisim"/>
          <w:rtl/>
        </w:rPr>
        <w:t>' (ד"ה אם כן).</w:t>
      </w:r>
    </w:p>
    <w:p w14:paraId="7BBD3A10" w14:textId="77777777" w:rsidR="00F64AED" w:rsidRPr="00E14121" w:rsidRDefault="00F64AED" w:rsidP="00F64AED">
      <w:pPr>
        <w:pStyle w:val="a7"/>
        <w:bidi/>
        <w:rPr>
          <w:rFonts w:ascii="Narkisim" w:hAnsi="Narkisim"/>
        </w:rPr>
      </w:pPr>
      <w:r w:rsidRPr="00E14121">
        <w:rPr>
          <w:rFonts w:ascii="Narkisim" w:hAnsi="Narkisim"/>
          <w:rtl/>
        </w:rPr>
        <w:t>והגמ' כאן לא דנה לכהונה מנלן וכו'. וי"ל דנבעלה לעכו"ם ועבד פסולה לכהונה משום זונה לכו”ע</w:t>
      </w:r>
      <w:r w:rsidRPr="00E14121">
        <w:rPr>
          <w:rStyle w:val="ac"/>
          <w:rFonts w:ascii="Narkisim" w:hAnsi="Narkisim"/>
          <w:rtl/>
        </w:rPr>
        <w:footnoteReference w:id="4211"/>
      </w:r>
      <w:r w:rsidRPr="00E14121">
        <w:rPr>
          <w:rFonts w:ascii="Narkisim" w:hAnsi="Narkisim"/>
          <w:rtl/>
        </w:rPr>
        <w:t>. אבל לתי' ה</w:t>
      </w:r>
      <w:r w:rsidRPr="00E14121">
        <w:rPr>
          <w:rFonts w:ascii="Narkisim" w:hAnsi="Narkisim"/>
          <w:b/>
          <w:bCs/>
          <w:rtl/>
        </w:rPr>
        <w:t>רשב"א</w:t>
      </w:r>
      <w:r w:rsidRPr="00E14121">
        <w:rPr>
          <w:rFonts w:ascii="Narkisim" w:hAnsi="Narkisim"/>
          <w:rtl/>
        </w:rPr>
        <w:t xml:space="preserve"> דנידון הגמ' בנאנסה, לכאו' הוה כלל בכל זונה דלא הוה זונה באונס, אף מעכו"ם ועבד. ואפשר דסמך על הגמ' לעיל, דילפי' ק”ו מתרומה והוה גילוי מילתא.</w:t>
      </w:r>
    </w:p>
    <w:p w14:paraId="25696F53" w14:textId="77777777" w:rsidR="00F64AED" w:rsidRPr="00E14121" w:rsidRDefault="00F64AED" w:rsidP="00F64AED">
      <w:pPr>
        <w:bidi/>
        <w:rPr>
          <w:rFonts w:ascii="Narkisim" w:hAnsi="Narkisim" w:cs="Narkisim"/>
        </w:rPr>
      </w:pPr>
      <w:r w:rsidRPr="00E14121">
        <w:rPr>
          <w:rFonts w:ascii="Narkisim" w:hAnsi="Narkisim" w:cs="Narkisim"/>
          <w:u w:val="single"/>
          <w:rtl/>
        </w:rPr>
        <w:t>ואימא וכו' מי שאין לו אלמנות וגירושין בה אע"ג דאית ליה זרע תיכול.</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וכבהמה בעלמא חשיב</w:t>
      </w:r>
      <w:r w:rsidRPr="00E14121">
        <w:rPr>
          <w:rStyle w:val="ac"/>
          <w:rFonts w:ascii="Narkisim" w:hAnsi="Narkisim" w:cs="Narkisim"/>
          <w:rtl/>
        </w:rPr>
        <w:footnoteReference w:id="4212"/>
      </w:r>
      <w:r w:rsidRPr="00E14121">
        <w:rPr>
          <w:rFonts w:ascii="Narkisim" w:hAnsi="Narkisim" w:cs="Narkisim"/>
          <w:rtl/>
        </w:rPr>
        <w:t>. וצ"ב דמ"מ יש לה זרע מזר. וה</w:t>
      </w:r>
      <w:r w:rsidRPr="00E14121">
        <w:rPr>
          <w:rFonts w:ascii="Narkisim" w:hAnsi="Narkisim" w:cs="Narkisim"/>
          <w:b/>
          <w:bCs/>
          <w:rtl/>
        </w:rPr>
        <w:t>אחרונים</w:t>
      </w:r>
      <w:r w:rsidRPr="00E14121">
        <w:rPr>
          <w:rFonts w:ascii="Narkisim" w:hAnsi="Narkisim" w:cs="Narkisim"/>
          <w:rtl/>
        </w:rPr>
        <w:t xml:space="preserve"> הביאו מכאן דגדר הא דבן מזר פוסל הוה מחמת הבועל, דע”י הזרע יש קשר לבועל</w:t>
      </w:r>
      <w:r w:rsidRPr="00E14121">
        <w:rPr>
          <w:rStyle w:val="ac"/>
          <w:rFonts w:ascii="Narkisim" w:hAnsi="Narkisim" w:cs="Narkisim"/>
          <w:rtl/>
        </w:rPr>
        <w:footnoteReference w:id="4213"/>
      </w:r>
      <w:r w:rsidRPr="00E14121">
        <w:rPr>
          <w:rFonts w:ascii="Narkisim" w:hAnsi="Narkisim" w:cs="Narkisim"/>
          <w:rtl/>
        </w:rPr>
        <w:t>. (</w:t>
      </w:r>
      <w:r w:rsidRPr="00E14121">
        <w:rPr>
          <w:rFonts w:ascii="Narkisim" w:hAnsi="Narkisim" w:cs="Narkisim"/>
          <w:sz w:val="20"/>
          <w:szCs w:val="20"/>
          <w:rtl/>
        </w:rPr>
        <w:t>וכמש"כ ה</w:t>
      </w:r>
      <w:r w:rsidRPr="00E14121">
        <w:rPr>
          <w:rFonts w:ascii="Narkisim" w:hAnsi="Narkisim" w:cs="Narkisim"/>
          <w:b/>
          <w:bCs/>
          <w:sz w:val="20"/>
          <w:szCs w:val="20"/>
          <w:rtl/>
        </w:rPr>
        <w:t xml:space="preserve">יש"ש </w:t>
      </w:r>
      <w:r w:rsidRPr="00E14121">
        <w:rPr>
          <w:rFonts w:ascii="Narkisim" w:hAnsi="Narkisim" w:cs="Narkisim"/>
          <w:sz w:val="20"/>
          <w:szCs w:val="20"/>
          <w:rtl/>
        </w:rPr>
        <w:t>הו' לעיל סז:).</w:t>
      </w:r>
    </w:p>
    <w:p w14:paraId="58E09233" w14:textId="77777777" w:rsidR="00F64AED" w:rsidRPr="00E14121" w:rsidRDefault="00F64AED" w:rsidP="00F64AED">
      <w:pPr>
        <w:pStyle w:val="a8"/>
        <w:bidi/>
        <w:rPr>
          <w:rFonts w:ascii="Narkisim" w:hAnsi="Narkisim"/>
        </w:rPr>
      </w:pPr>
      <w:r w:rsidRPr="00E14121">
        <w:rPr>
          <w:rFonts w:ascii="Narkisim" w:hAnsi="Narkisim"/>
          <w:rtl/>
        </w:rPr>
        <w:t>אך צ"ב דלדברי רש"י (סח:) קאי אף בשאר חייבי כריתות, דכיון דלא תפסי קידושין נחשב דאין לו אלמנות. ואף דיש להם יחס, ולא הוה כבהמה. וצ"ל דמ"מ עיקר דרשא קאי אעכו"ם.</w:t>
      </w:r>
    </w:p>
    <w:p w14:paraId="3A55A092"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xml:space="preserve"> ה</w:t>
      </w:r>
      <w:r w:rsidRPr="00E14121">
        <w:rPr>
          <w:rFonts w:ascii="Narkisim" w:hAnsi="Narkisim"/>
          <w:b/>
          <w:bCs/>
          <w:rtl/>
        </w:rPr>
        <w:t>חזו"א</w:t>
      </w:r>
      <w:r w:rsidRPr="00E14121">
        <w:rPr>
          <w:rFonts w:ascii="Narkisim" w:hAnsi="Narkisim"/>
          <w:rtl/>
        </w:rPr>
        <w:t xml:space="preserve"> (טו ד) דן למסקנא (דילפי' דפוסל בביאה), האם אמרי' דאף זרע מעכו"ם פוסל [וכגון דעיברה באמבטי, דלא נפסלה האם]. או דהוה כבהמה</w:t>
      </w:r>
      <w:r w:rsidRPr="00E14121">
        <w:rPr>
          <w:rStyle w:val="ac"/>
          <w:rFonts w:ascii="Narkisim" w:hAnsi="Narkisim"/>
          <w:rtl/>
        </w:rPr>
        <w:footnoteReference w:id="4214"/>
      </w:r>
      <w:r w:rsidRPr="00E14121">
        <w:rPr>
          <w:rFonts w:ascii="Narkisim" w:hAnsi="Narkisim"/>
          <w:rtl/>
        </w:rPr>
        <w:t>.</w:t>
      </w:r>
    </w:p>
    <w:p w14:paraId="01FDC60D" w14:textId="77777777" w:rsidR="00F64AED" w:rsidRPr="00E14121" w:rsidRDefault="00F64AED" w:rsidP="00F64AED">
      <w:pPr>
        <w:pStyle w:val="aa"/>
        <w:bidi/>
        <w:rPr>
          <w:rFonts w:ascii="Narkisim" w:hAnsi="Narkisim"/>
        </w:rPr>
      </w:pPr>
      <w:r w:rsidRPr="00E14121">
        <w:rPr>
          <w:rFonts w:ascii="Narkisim" w:hAnsi="Narkisim"/>
          <w:u w:val="single"/>
          <w:rtl/>
        </w:rPr>
        <w:t>תוד"ה ואימא.</w:t>
      </w:r>
      <w:r w:rsidRPr="00E14121">
        <w:rPr>
          <w:rFonts w:ascii="Narkisim" w:hAnsi="Narkisim"/>
          <w:rtl/>
        </w:rPr>
        <w:t xml:space="preserve"> תימה דבכל דוכתא לחומרא מקשינן. וה</w:t>
      </w:r>
      <w:r w:rsidRPr="00E14121">
        <w:rPr>
          <w:rFonts w:ascii="Narkisim" w:hAnsi="Narkisim"/>
          <w:b/>
          <w:bCs/>
          <w:rtl/>
        </w:rPr>
        <w:t>תוס' הרא"ש</w:t>
      </w:r>
      <w:r w:rsidRPr="00E14121">
        <w:rPr>
          <w:rFonts w:ascii="Narkisim" w:hAnsi="Narkisim"/>
          <w:rtl/>
        </w:rPr>
        <w:t xml:space="preserve"> פי' דקו' הגמ' דמסתבר טעמיה, וכמ"ש רש"י כבהמה בעלמא חשיב. וה</w:t>
      </w:r>
      <w:r w:rsidRPr="00E14121">
        <w:rPr>
          <w:rFonts w:ascii="Narkisim" w:hAnsi="Narkisim"/>
          <w:b/>
          <w:bCs/>
          <w:rtl/>
        </w:rPr>
        <w:t>חזו"א</w:t>
      </w:r>
      <w:r w:rsidRPr="00E14121">
        <w:rPr>
          <w:rFonts w:ascii="Narkisim" w:hAnsi="Narkisim"/>
          <w:rtl/>
        </w:rPr>
        <w:t xml:space="preserve"> (טו ד) תי' דהא דלחומרא מקשינן הוה מידה בתורה כשיש ב' דרשות היאך ללמוד. אבל הכא פריך ללמוד דאין עכו"ם פוסלים משום זרע, וממילא ליכא ילפותא.</w:t>
      </w:r>
    </w:p>
    <w:p w14:paraId="7FA39F5C" w14:textId="77777777" w:rsidR="00F64AED" w:rsidRPr="00E14121" w:rsidRDefault="00F64AED" w:rsidP="00F64AED">
      <w:pPr>
        <w:pStyle w:val="aa"/>
        <w:bidi/>
        <w:rPr>
          <w:rFonts w:ascii="Narkisim" w:hAnsi="Narkisim"/>
        </w:rPr>
      </w:pPr>
      <w:r w:rsidRPr="00E14121">
        <w:rPr>
          <w:rFonts w:ascii="Narkisim" w:hAnsi="Narkisim"/>
          <w:u w:val="single"/>
          <w:rtl/>
        </w:rPr>
        <w:t>תוד"ה אם כן</w:t>
      </w:r>
      <w:r w:rsidRPr="00E14121">
        <w:rPr>
          <w:rFonts w:ascii="Narkisim" w:hAnsi="Narkisim"/>
          <w:rtl/>
        </w:rPr>
        <w:t>. לאשמועינן דחוזרת בשביל בנה וכו'</w:t>
      </w:r>
      <w:r w:rsidRPr="00E14121">
        <w:rPr>
          <w:rStyle w:val="ac"/>
          <w:rFonts w:ascii="Narkisim" w:hAnsi="Narkisim"/>
          <w:rtl/>
        </w:rPr>
        <w:footnoteReference w:id="4215"/>
      </w:r>
      <w:r w:rsidRPr="00E14121">
        <w:rPr>
          <w:rFonts w:ascii="Narkisim" w:hAnsi="Narkisim"/>
          <w:rtl/>
        </w:rPr>
        <w:t>. [ואף דלא קדיש גופה ואינה אוכלת מחמת עצמה, ואפ"ה שייך גדר 'חוזרת']. ויש שדנו לחלק דל"צ קרא דחוזרת לאכול בשביל בנה, שהרי אף עכשיו הבן קיים ויש סיבה להאכיל</w:t>
      </w:r>
      <w:r w:rsidRPr="00E14121">
        <w:rPr>
          <w:rStyle w:val="ac"/>
          <w:rFonts w:ascii="Narkisim" w:hAnsi="Narkisim"/>
          <w:rtl/>
        </w:rPr>
        <w:footnoteReference w:id="4216"/>
      </w:r>
      <w:r w:rsidRPr="00E14121">
        <w:rPr>
          <w:rFonts w:ascii="Narkisim" w:hAnsi="Narkisim"/>
          <w:rtl/>
        </w:rPr>
        <w:t>. ול"ד להא דחוזרת לאכול מחמת אביה, שכבר יצאת מרשותו. וצריך גילוי שחוזרת.</w:t>
      </w:r>
    </w:p>
    <w:p w14:paraId="432586EF" w14:textId="77777777" w:rsidR="00F64AED" w:rsidRPr="00E14121" w:rsidRDefault="00F64AED" w:rsidP="00F64AED">
      <w:pPr>
        <w:bidi/>
        <w:rPr>
          <w:rFonts w:ascii="Narkisim" w:hAnsi="Narkisim" w:cs="Narkisim"/>
        </w:rPr>
      </w:pPr>
      <w:r w:rsidRPr="00E14121">
        <w:rPr>
          <w:rFonts w:ascii="Narkisim" w:hAnsi="Narkisim" w:cs="Narkisim"/>
          <w:u w:val="single"/>
          <w:rtl/>
        </w:rPr>
        <w:t>ולר"ע דאמר אין קידושין תופסין בחייבי לאוין וכו'</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דלר"ע ילפי' כי תהיה לאיש זר אף בהנך דלא תפסי קידושין, ואף עכו"ם ועבד. ולא איצטריך קרא דכי תהיה אלמנה וגרושה.</w:t>
      </w:r>
    </w:p>
    <w:p w14:paraId="11B648A2" w14:textId="77777777" w:rsidR="00F64AED" w:rsidRPr="00E14121" w:rsidRDefault="00F64AED" w:rsidP="00F64AED">
      <w:pPr>
        <w:pStyle w:val="aa"/>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(לעיל מד:) כת' דלר”ע כל חייבי לאוין עשאה זונה (וכדאי' בגמ' קידושין עה: השתא ממזר הוה מיפסל </w:t>
      </w:r>
      <w:r w:rsidRPr="00E14121">
        <w:rPr>
          <w:rFonts w:ascii="Narkisim" w:hAnsi="Narkisim"/>
          <w:rtl/>
        </w:rPr>
        <w:lastRenderedPageBreak/>
        <w:t>מיבעי). ותוס' דנו האם יש פסוק שאינה אוכלת בתרומה. [אך עיקר קו' הגמ' כאן מקרא דכי תהיה].</w:t>
      </w:r>
    </w:p>
    <w:p w14:paraId="190D1F1C" w14:textId="77777777" w:rsidR="00F64AED" w:rsidRPr="00E14121" w:rsidRDefault="00F64AED" w:rsidP="00F64AED">
      <w:pPr>
        <w:bidi/>
        <w:rPr>
          <w:rFonts w:ascii="Narkisim" w:hAnsi="Narkisim" w:cs="Narkisim"/>
        </w:rPr>
      </w:pPr>
      <w:r w:rsidRPr="00E14121">
        <w:rPr>
          <w:rFonts w:ascii="Narkisim" w:hAnsi="Narkisim" w:cs="Narkisim"/>
          <w:u w:val="single"/>
          <w:rtl/>
        </w:rPr>
        <w:t>תוד"ה כי תהיה.</w:t>
      </w:r>
      <w:r w:rsidRPr="00E14121">
        <w:rPr>
          <w:rFonts w:ascii="Narkisim" w:hAnsi="Narkisim" w:cs="Narkisim"/>
          <w:rtl/>
        </w:rPr>
        <w:t xml:space="preserve"> שבא עליה בדרך, דליכא אלא עשה. </w:t>
      </w:r>
      <w:r w:rsidRPr="00E14121">
        <w:rPr>
          <w:rFonts w:ascii="Narkisim" w:hAnsi="Narkisim" w:cs="Narkisim"/>
          <w:b/>
          <w:bCs/>
          <w:rtl/>
        </w:rPr>
        <w:t>רע"א</w:t>
      </w:r>
      <w:r w:rsidRPr="00E14121">
        <w:rPr>
          <w:rFonts w:ascii="Narkisim" w:hAnsi="Narkisim" w:cs="Narkisim"/>
          <w:rtl/>
        </w:rPr>
        <w:t xml:space="preserve"> (בגהש"ס) ציין לדברי ה</w:t>
      </w:r>
      <w:r w:rsidRPr="00E14121">
        <w:rPr>
          <w:rFonts w:ascii="Narkisim" w:hAnsi="Narkisim" w:cs="Narkisim"/>
          <w:b/>
          <w:bCs/>
          <w:rtl/>
        </w:rPr>
        <w:t>תוס'</w:t>
      </w:r>
      <w:r w:rsidRPr="00E14121">
        <w:rPr>
          <w:rFonts w:ascii="Narkisim" w:hAnsi="Narkisim" w:cs="Narkisim"/>
          <w:rtl/>
        </w:rPr>
        <w:t xml:space="preserve"> (לעיל יא:) דפשיטא ליה דבעלה לוקה עליה בספק סוטה [וע' מש”כ בזה שם]. וה</w:t>
      </w:r>
      <w:r w:rsidRPr="00E14121">
        <w:rPr>
          <w:rFonts w:ascii="Narkisim" w:hAnsi="Narkisim" w:cs="Narkisim"/>
          <w:b/>
          <w:bCs/>
          <w:rtl/>
        </w:rPr>
        <w:t>אחרונים</w:t>
      </w:r>
      <w:r w:rsidRPr="00E14121">
        <w:rPr>
          <w:rFonts w:ascii="Narkisim" w:hAnsi="Narkisim" w:cs="Narkisim"/>
          <w:rtl/>
        </w:rPr>
        <w:t xml:space="preserve"> נקטו דתוס' כאן ס"ל כתי' ב</w:t>
      </w:r>
      <w:r w:rsidRPr="00E14121">
        <w:rPr>
          <w:rFonts w:ascii="Narkisim" w:hAnsi="Narkisim" w:cs="Narkisim"/>
          <w:b/>
          <w:bCs/>
          <w:rtl/>
        </w:rPr>
        <w:t>תוס'</w:t>
      </w:r>
      <w:r w:rsidRPr="00E14121">
        <w:rPr>
          <w:rFonts w:ascii="Narkisim" w:hAnsi="Narkisim" w:cs="Narkisim"/>
          <w:rtl/>
        </w:rPr>
        <w:t xml:space="preserve"> (ג: ויא. ד"ה צרת) דהתורה עשאתו ספק הוה עשה.</w:t>
      </w:r>
      <w:r w:rsidRPr="00E14121">
        <w:rPr>
          <w:rFonts w:ascii="Narkisim" w:hAnsi="Narkisim" w:cs="Narkisim"/>
          <w:sz w:val="20"/>
          <w:szCs w:val="20"/>
          <w:rtl/>
        </w:rPr>
        <w:t xml:space="preserve"> [וה</w:t>
      </w:r>
      <w:r w:rsidRPr="00E14121">
        <w:rPr>
          <w:rFonts w:ascii="Narkisim" w:hAnsi="Narkisim" w:cs="Narkisim"/>
          <w:b/>
          <w:bCs/>
          <w:sz w:val="20"/>
          <w:szCs w:val="20"/>
          <w:rtl/>
        </w:rPr>
        <w:t>אחרונים</w:t>
      </w:r>
      <w:r w:rsidRPr="00E14121">
        <w:rPr>
          <w:rFonts w:ascii="Narkisim" w:hAnsi="Narkisim" w:cs="Narkisim"/>
          <w:sz w:val="20"/>
          <w:szCs w:val="20"/>
          <w:rtl/>
        </w:rPr>
        <w:t xml:space="preserve"> העמידו דתליא בחקירה בגדר ספק סוטה כודאי, האם הוה הכרעה, והוכרע דהוה חייבי לאוין. או דין טומאה חדשה, וא”כ הוה רק עשה. וע”ע מש”כ בזה לעיל סא:]</w:t>
      </w:r>
      <w:r w:rsidRPr="00E14121">
        <w:rPr>
          <w:rFonts w:ascii="Narkisim" w:hAnsi="Narkisim" w:cs="Narkisim"/>
          <w:rtl/>
        </w:rPr>
        <w:t>.</w:t>
      </w:r>
    </w:p>
    <w:p w14:paraId="276F27C0"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חזו"א</w:t>
      </w:r>
      <w:r w:rsidRPr="00E14121">
        <w:rPr>
          <w:rFonts w:ascii="Narkisim" w:hAnsi="Narkisim"/>
          <w:rtl/>
        </w:rPr>
        <w:t xml:space="preserve"> (טו ה) כתב דכוונת תוס' דידן דכלפי אכילת תרומה [וכהונה] הוה רק עשה.</w:t>
      </w:r>
    </w:p>
    <w:p w14:paraId="6E54BB87" w14:textId="77777777" w:rsidR="00F64AED" w:rsidRPr="00E14121" w:rsidRDefault="00F64AED" w:rsidP="00F64AED">
      <w:pPr>
        <w:pStyle w:val="aa"/>
        <w:bidi/>
        <w:rPr>
          <w:rFonts w:ascii="Narkisim" w:hAnsi="Narkisim"/>
        </w:rPr>
      </w:pPr>
      <w:r w:rsidRPr="00E14121">
        <w:rPr>
          <w:rFonts w:ascii="Narkisim" w:hAnsi="Narkisim"/>
          <w:u w:val="single"/>
          <w:rtl/>
        </w:rPr>
        <w:t>שם. דליכא אלא עשה</w:t>
      </w:r>
      <w:r w:rsidRPr="00E14121">
        <w:rPr>
          <w:rFonts w:ascii="Narkisim" w:hAnsi="Narkisim"/>
          <w:rtl/>
        </w:rPr>
        <w:t>. ה</w:t>
      </w:r>
      <w:r w:rsidRPr="00E14121">
        <w:rPr>
          <w:rFonts w:ascii="Narkisim" w:hAnsi="Narkisim"/>
          <w:b/>
          <w:bCs/>
          <w:rtl/>
        </w:rPr>
        <w:t>רש”ש</w:t>
      </w:r>
      <w:r w:rsidRPr="00E14121">
        <w:rPr>
          <w:rFonts w:ascii="Narkisim" w:hAnsi="Narkisim"/>
          <w:rtl/>
        </w:rPr>
        <w:t xml:space="preserve"> ו</w:t>
      </w:r>
      <w:r w:rsidRPr="00E14121">
        <w:rPr>
          <w:rFonts w:ascii="Narkisim" w:hAnsi="Narkisim"/>
          <w:b/>
          <w:bCs/>
          <w:rtl/>
        </w:rPr>
        <w:t>ר”ש מדסוי</w:t>
      </w:r>
      <w:r w:rsidRPr="00E14121">
        <w:rPr>
          <w:rFonts w:ascii="Narkisim" w:hAnsi="Narkisim"/>
          <w:rtl/>
        </w:rPr>
        <w:t xml:space="preserve"> הק' דנימא דאיירי במצרי ואדומי דהוה עשה. וכתבו דכוונת התוס' לר' ישבב לא תפסי קידושין, ומש"ה הק' דוקא מסוטה דלכו"ע תפסי (כדלעיל מט:). וכ"כ ה</w:t>
      </w:r>
      <w:r w:rsidRPr="00E14121">
        <w:rPr>
          <w:rFonts w:ascii="Narkisim" w:hAnsi="Narkisim"/>
          <w:b/>
          <w:bCs/>
          <w:rtl/>
        </w:rPr>
        <w:t>רמב”ן</w:t>
      </w:r>
      <w:r w:rsidRPr="00E14121">
        <w:rPr>
          <w:rStyle w:val="ac"/>
          <w:rFonts w:ascii="Narkisim" w:hAnsi="Narkisim"/>
          <w:rtl/>
        </w:rPr>
        <w:footnoteReference w:id="4217"/>
      </w:r>
      <w:r w:rsidRPr="00E14121">
        <w:rPr>
          <w:rFonts w:ascii="Narkisim" w:hAnsi="Narkisim"/>
          <w:rtl/>
        </w:rPr>
        <w:t xml:space="preserve"> דקו' הגמ' לר' ישבב. אבל לר' סימאי יש להעמיד בחייבי עשה</w:t>
      </w:r>
      <w:r w:rsidRPr="00E14121">
        <w:rPr>
          <w:rStyle w:val="ac"/>
          <w:rFonts w:ascii="Narkisim" w:hAnsi="Narkisim"/>
          <w:rtl/>
        </w:rPr>
        <w:footnoteReference w:id="4218"/>
      </w:r>
      <w:r w:rsidRPr="00E14121">
        <w:rPr>
          <w:rFonts w:ascii="Narkisim" w:hAnsi="Narkisim"/>
          <w:rtl/>
        </w:rPr>
        <w:t>. וכן למ"ד דר"ע קאי בחייבי לאוין דשאר.</w:t>
      </w:r>
    </w:p>
    <w:p w14:paraId="43AB0E86" w14:textId="77777777" w:rsidR="00F64AED" w:rsidRPr="00E14121" w:rsidRDefault="00F64AED" w:rsidP="00F64AED">
      <w:pPr>
        <w:pStyle w:val="2"/>
        <w:bidi/>
        <w:rPr>
          <w:rFonts w:ascii="Narkisim" w:hAnsi="Narkisim"/>
        </w:rPr>
      </w:pPr>
      <w:r w:rsidRPr="00E14121">
        <w:rPr>
          <w:rFonts w:ascii="Narkisim" w:hAnsi="Narkisim"/>
          <w:rtl/>
        </w:rPr>
        <w:t>זר אצלה מעיקרא</w:t>
      </w:r>
    </w:p>
    <w:p w14:paraId="1458F47D" w14:textId="77777777" w:rsidR="00F64AED" w:rsidRPr="00E14121" w:rsidRDefault="00F64AED" w:rsidP="00F64AED">
      <w:pPr>
        <w:bidi/>
        <w:rPr>
          <w:rFonts w:ascii="Narkisim" w:hAnsi="Narkisim" w:cs="Narkisim"/>
        </w:rPr>
      </w:pPr>
      <w:r w:rsidRPr="00E14121">
        <w:rPr>
          <w:rFonts w:ascii="Narkisim" w:hAnsi="Narkisim" w:cs="Narkisim"/>
          <w:u w:val="single"/>
          <w:rtl/>
        </w:rPr>
        <w:t>ואימא נבעלה לפסול לה אף מחזיר גרושתו</w:t>
      </w:r>
      <w:r w:rsidRPr="00E14121">
        <w:rPr>
          <w:rStyle w:val="ac"/>
          <w:rFonts w:ascii="Narkisim" w:hAnsi="Narkisim" w:cs="Narkisim"/>
          <w:u w:val="single"/>
          <w:rtl/>
        </w:rPr>
        <w:footnoteReference w:id="4219"/>
      </w:r>
      <w:r w:rsidRPr="00E14121">
        <w:rPr>
          <w:rFonts w:ascii="Narkisim" w:hAnsi="Narkisim" w:cs="Narkisim"/>
          <w:u w:val="single"/>
          <w:rtl/>
        </w:rPr>
        <w:t xml:space="preserve"> וכו' לאיש זר וכו'.</w:t>
      </w:r>
      <w:r w:rsidRPr="00E14121">
        <w:rPr>
          <w:rFonts w:ascii="Narkisim" w:hAnsi="Narkisim" w:cs="Narkisim"/>
          <w:rtl/>
        </w:rPr>
        <w:t xml:space="preserve"> מבואר דפשיטא לגמ' דמחזיר גרושתו אינו פוסל בביאתו. אבל ה</w:t>
      </w:r>
      <w:r w:rsidRPr="00E14121">
        <w:rPr>
          <w:rFonts w:ascii="Narkisim" w:hAnsi="Narkisim" w:cs="Narkisim"/>
          <w:b/>
          <w:bCs/>
          <w:rtl/>
        </w:rPr>
        <w:t>תוס' הרא"ש</w:t>
      </w:r>
      <w:r w:rsidRPr="00E14121">
        <w:rPr>
          <w:rFonts w:ascii="Narkisim" w:hAnsi="Narkisim" w:cs="Narkisim"/>
          <w:rtl/>
        </w:rPr>
        <w:t xml:space="preserve"> ו</w:t>
      </w:r>
      <w:r w:rsidRPr="00E14121">
        <w:rPr>
          <w:rFonts w:ascii="Narkisim" w:hAnsi="Narkisim" w:cs="Narkisim"/>
          <w:b/>
          <w:bCs/>
          <w:rtl/>
        </w:rPr>
        <w:t>תו”י</w:t>
      </w:r>
      <w:r w:rsidRPr="00E14121">
        <w:rPr>
          <w:rFonts w:ascii="Narkisim" w:hAnsi="Narkisim" w:cs="Narkisim"/>
          <w:rtl/>
        </w:rPr>
        <w:t xml:space="preserve"> (לעיל מד:) הביאו דדעת</w:t>
      </w:r>
      <w:r w:rsidRPr="00E14121">
        <w:rPr>
          <w:rFonts w:ascii="Narkisim" w:hAnsi="Narkisim" w:cs="Narkisim"/>
          <w:b/>
          <w:bCs/>
          <w:rtl/>
        </w:rPr>
        <w:t xml:space="preserve"> ר"ח</w:t>
      </w:r>
      <w:r w:rsidRPr="00E14121">
        <w:rPr>
          <w:rFonts w:ascii="Narkisim" w:hAnsi="Narkisim" w:cs="Narkisim"/>
          <w:rtl/>
        </w:rPr>
        <w:t xml:space="preserve"> דמחזיר גרושתו אסורה בתרומה</w:t>
      </w:r>
      <w:r w:rsidRPr="00E14121">
        <w:rPr>
          <w:rStyle w:val="ac"/>
          <w:rFonts w:ascii="Narkisim" w:hAnsi="Narkisim" w:cs="Narkisim"/>
          <w:rtl/>
        </w:rPr>
        <w:footnoteReference w:id="4220"/>
      </w:r>
      <w:r w:rsidRPr="00E14121">
        <w:rPr>
          <w:rFonts w:ascii="Narkisim" w:hAnsi="Narkisim" w:cs="Narkisim"/>
          <w:rtl/>
        </w:rPr>
        <w:t xml:space="preserve">. והתוס' רא"ש הביא בשם </w:t>
      </w:r>
      <w:r w:rsidRPr="00E14121">
        <w:rPr>
          <w:rFonts w:ascii="Narkisim" w:hAnsi="Narkisim" w:cs="Narkisim"/>
          <w:b/>
          <w:bCs/>
          <w:rtl/>
        </w:rPr>
        <w:t>ר' מאיר</w:t>
      </w:r>
      <w:r w:rsidRPr="00E14121">
        <w:rPr>
          <w:rFonts w:ascii="Narkisim" w:hAnsi="Narkisim" w:cs="Narkisim"/>
          <w:rtl/>
        </w:rPr>
        <w:t xml:space="preserve"> דר"ח קאי דוקא במחזיר גרושתו דכתיב טומאה</w:t>
      </w:r>
      <w:r w:rsidRPr="00E14121">
        <w:rPr>
          <w:rStyle w:val="ac"/>
          <w:rFonts w:ascii="Narkisim" w:hAnsi="Narkisim" w:cs="Narkisim"/>
          <w:rtl/>
        </w:rPr>
        <w:footnoteReference w:id="4221"/>
      </w:r>
      <w:r w:rsidRPr="00E14121">
        <w:rPr>
          <w:rFonts w:ascii="Narkisim" w:hAnsi="Narkisim" w:cs="Narkisim"/>
          <w:rtl/>
        </w:rPr>
        <w:t>, ואין מקרא יוצא מידי פשוטו (ע”ע לעיל יא:). ואהני קצת טומאה זו לפסול בתרומה, אלא דאינה לוקה. וביאר דקו' הגמ' נימא דקרא דאיש זר גלי שלוקה. [ולעולם יש איסור]. וע"ע בסמוך דעת הרמב"ם.</w:t>
      </w:r>
    </w:p>
    <w:p w14:paraId="33A80FAA" w14:textId="77777777" w:rsidR="00F64AED" w:rsidRPr="00E14121" w:rsidRDefault="00F64AED" w:rsidP="00F64AED">
      <w:pPr>
        <w:bidi/>
        <w:rPr>
          <w:rFonts w:ascii="Narkisim" w:hAnsi="Narkisim" w:cs="Narkisim"/>
        </w:rPr>
      </w:pPr>
      <w:r w:rsidRPr="00E14121">
        <w:rPr>
          <w:rFonts w:ascii="Narkisim" w:hAnsi="Narkisim" w:cs="Narkisim"/>
          <w:u w:val="single"/>
          <w:rtl/>
        </w:rPr>
        <w:t>לאיש זר וכו' לאפוקי האי דלא זר אצלה מעיקרא</w:t>
      </w:r>
      <w:r w:rsidRPr="00E14121">
        <w:rPr>
          <w:rStyle w:val="ac"/>
          <w:rFonts w:ascii="Narkisim" w:hAnsi="Narkisim" w:cs="Narkisim"/>
          <w:u w:val="single"/>
          <w:rtl/>
        </w:rPr>
        <w:footnoteReference w:id="4222"/>
      </w:r>
      <w:r w:rsidRPr="00E14121">
        <w:rPr>
          <w:rFonts w:ascii="Narkisim" w:hAnsi="Narkisim" w:cs="Narkisim"/>
          <w:rtl/>
        </w:rPr>
        <w:t xml:space="preserve">. </w:t>
      </w:r>
      <w:r w:rsidRPr="00E14121">
        <w:rPr>
          <w:rFonts w:ascii="Narkisim" w:hAnsi="Narkisim" w:cs="Narkisim"/>
          <w:szCs w:val="20"/>
          <w:rtl/>
        </w:rPr>
        <w:t>ה</w:t>
      </w:r>
      <w:r w:rsidRPr="00E14121">
        <w:rPr>
          <w:rFonts w:ascii="Narkisim" w:hAnsi="Narkisim" w:cs="Narkisim"/>
          <w:b/>
          <w:bCs/>
          <w:szCs w:val="20"/>
          <w:rtl/>
        </w:rPr>
        <w:t>אחרונים</w:t>
      </w:r>
      <w:r w:rsidRPr="00E14121">
        <w:rPr>
          <w:rFonts w:ascii="Narkisim" w:hAnsi="Narkisim" w:cs="Narkisim"/>
          <w:szCs w:val="20"/>
          <w:rtl/>
        </w:rPr>
        <w:t xml:space="preserve"> (הו' לעיל סח:) העמידו דנח' בזה, דדעת </w:t>
      </w:r>
      <w:r w:rsidRPr="00E14121">
        <w:rPr>
          <w:rFonts w:ascii="Narkisim" w:hAnsi="Narkisim" w:cs="Narkisim"/>
          <w:b/>
          <w:bCs/>
          <w:szCs w:val="20"/>
          <w:rtl/>
        </w:rPr>
        <w:t>תוס</w:t>
      </w:r>
      <w:r w:rsidRPr="00E14121">
        <w:rPr>
          <w:rFonts w:ascii="Narkisim" w:hAnsi="Narkisim" w:cs="Narkisim"/>
          <w:szCs w:val="20"/>
          <w:rtl/>
        </w:rPr>
        <w:t xml:space="preserve">' (לה. וכ”מ) כל איסור שלא היה משעת לידתה נחשב זר מעיקרא. ואילו דעת </w:t>
      </w:r>
      <w:r w:rsidRPr="00E14121">
        <w:rPr>
          <w:rFonts w:ascii="Narkisim" w:hAnsi="Narkisim" w:cs="Narkisim"/>
          <w:b/>
          <w:bCs/>
          <w:szCs w:val="20"/>
          <w:rtl/>
        </w:rPr>
        <w:t>רש”י</w:t>
      </w:r>
      <w:r w:rsidRPr="00E14121">
        <w:rPr>
          <w:rFonts w:ascii="Narkisim" w:hAnsi="Narkisim" w:cs="Narkisim"/>
          <w:szCs w:val="20"/>
          <w:rtl/>
        </w:rPr>
        <w:t xml:space="preserve"> (סח:) דדוקא פסולי קהל, שהוא פסול לה</w:t>
      </w:r>
      <w:r w:rsidRPr="00E14121">
        <w:rPr>
          <w:rFonts w:ascii="Narkisim" w:hAnsi="Narkisim" w:cs="Narkisim"/>
          <w:rtl/>
        </w:rPr>
        <w:t>.</w:t>
      </w:r>
    </w:p>
    <w:p w14:paraId="516DC5B2" w14:textId="77777777" w:rsidR="00F64AED" w:rsidRPr="00E14121" w:rsidRDefault="00F64AED" w:rsidP="00F64AED">
      <w:pPr>
        <w:bidi/>
        <w:rPr>
          <w:rFonts w:ascii="Narkisim" w:hAnsi="Narkisim" w:cs="Narkisim"/>
        </w:rPr>
      </w:pPr>
      <w:r w:rsidRPr="00E14121">
        <w:rPr>
          <w:rFonts w:ascii="Narkisim" w:hAnsi="Narkisim" w:cs="Narkisim"/>
          <w:rtl/>
        </w:rPr>
        <w:t>אבל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(יח א,ב,ג)</w:t>
      </w:r>
      <w:r w:rsidRPr="00E14121">
        <w:rPr>
          <w:rFonts w:ascii="Narkisim" w:hAnsi="Narkisim" w:cs="Narkisim"/>
          <w:rtl/>
        </w:rPr>
        <w:t xml:space="preserve"> סתם דכל שנבעלה למי שאסורה להנשא</w:t>
      </w:r>
      <w:r w:rsidRPr="00E14121">
        <w:rPr>
          <w:rStyle w:val="ac"/>
          <w:rFonts w:ascii="Narkisim" w:hAnsi="Narkisim" w:cs="Narkisim"/>
          <w:rtl/>
        </w:rPr>
        <w:footnoteReference w:id="4223"/>
      </w:r>
      <w:r w:rsidRPr="00E14121">
        <w:rPr>
          <w:rFonts w:ascii="Narkisim" w:hAnsi="Narkisim" w:cs="Narkisim"/>
          <w:rtl/>
        </w:rPr>
        <w:t xml:space="preserve"> לו באיסור השווה בכל עשאה זונה. ובפשוטו משמע דלא בעי זר אצלה מעיקרא. וכמה </w:t>
      </w:r>
      <w:r w:rsidRPr="00E14121">
        <w:rPr>
          <w:rFonts w:ascii="Narkisim" w:hAnsi="Narkisim" w:cs="Narkisim"/>
          <w:b/>
          <w:bCs/>
          <w:rtl/>
        </w:rPr>
        <w:t>אחרונים</w:t>
      </w:r>
      <w:r w:rsidRPr="00E14121">
        <w:rPr>
          <w:rFonts w:ascii="Narkisim" w:hAnsi="Narkisim" w:cs="Narkisim"/>
          <w:rtl/>
        </w:rPr>
        <w:t xml:space="preserve"> (שעה"מ שם) נקטו דדעת הרמב"ם דאף מחזיר גרושתו עשאה זונה. [וכדברי ר"ח הנ"ל]</w:t>
      </w:r>
      <w:r w:rsidRPr="00E14121">
        <w:rPr>
          <w:rFonts w:ascii="Narkisim" w:hAnsi="Narkisim" w:cs="Narkisim"/>
          <w:sz w:val="20"/>
          <w:szCs w:val="20"/>
          <w:rtl/>
        </w:rPr>
        <w:t>.</w:t>
      </w:r>
      <w:r w:rsidRPr="00E14121">
        <w:rPr>
          <w:rFonts w:ascii="Narkisim" w:hAnsi="Narkisim" w:cs="Narkisim"/>
          <w:rtl/>
        </w:rPr>
        <w:t xml:space="preserve"> אבל </w:t>
      </w:r>
      <w:r w:rsidRPr="00E14121">
        <w:rPr>
          <w:rFonts w:ascii="Narkisim" w:hAnsi="Narkisim" w:cs="Narkisim"/>
          <w:b/>
          <w:bCs/>
          <w:rtl/>
        </w:rPr>
        <w:t>ה"ה</w:t>
      </w:r>
      <w:r w:rsidRPr="00E14121">
        <w:rPr>
          <w:rFonts w:ascii="Narkisim" w:hAnsi="Narkisim" w:cs="Narkisim"/>
          <w:rtl/>
        </w:rPr>
        <w:t xml:space="preserve"> כתב דמחזיר גרושתו אינו פוסל לתרומה, דבעי זר מעיקרא. והא דהרמב"ם לא הוציאו מכללו, דבלא"ה פסולה לכהונה משום גרושה. ומ"מ הקשה דהו"ל לרמב"ם לפרש דלא הוה בכלל שם זונה.</w:t>
      </w:r>
    </w:p>
    <w:p w14:paraId="7B462ECD"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פסק (יח ג, יט ה) דאף יבמה לשוק הוה זונה. וה</w:t>
      </w:r>
      <w:r w:rsidRPr="00E14121">
        <w:rPr>
          <w:rFonts w:ascii="Narkisim" w:hAnsi="Narkisim" w:cs="Narkisim"/>
          <w:b/>
          <w:bCs/>
          <w:rtl/>
        </w:rPr>
        <w:t>אחרונים</w:t>
      </w:r>
      <w:r w:rsidRPr="00E14121">
        <w:rPr>
          <w:rFonts w:ascii="Narkisim" w:hAnsi="Narkisim" w:cs="Narkisim"/>
          <w:rtl/>
        </w:rPr>
        <w:t xml:space="preserve"> הקשו דלא הוה זר אצלה מעיקרא</w:t>
      </w:r>
      <w:r w:rsidRPr="00E14121">
        <w:rPr>
          <w:rStyle w:val="ac"/>
          <w:rFonts w:ascii="Narkisim" w:hAnsi="Narkisim" w:cs="Narkisim"/>
          <w:rtl/>
        </w:rPr>
        <w:footnoteReference w:id="4224"/>
      </w:r>
      <w:r w:rsidRPr="00E14121">
        <w:rPr>
          <w:rFonts w:ascii="Narkisim" w:hAnsi="Narkisim" w:cs="Narkisim"/>
          <w:rtl/>
        </w:rPr>
        <w:t>.</w:t>
      </w:r>
    </w:p>
    <w:p w14:paraId="4E7E7950"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ה”ה</w:t>
      </w:r>
      <w:r w:rsidRPr="00E14121">
        <w:rPr>
          <w:rFonts w:ascii="Narkisim" w:hAnsi="Narkisim"/>
          <w:rtl/>
        </w:rPr>
        <w:t xml:space="preserve"> (שם ג) כת' דיבמה לשוק לא תפסי קידושין, ומש"ה ילפי' מק”ו משאר חייבי לאוין. וכ”פ ה</w:t>
      </w:r>
      <w:r w:rsidRPr="00E14121">
        <w:rPr>
          <w:rFonts w:ascii="Narkisim" w:hAnsi="Narkisim"/>
          <w:b/>
          <w:bCs/>
          <w:rtl/>
        </w:rPr>
        <w:t>טור</w:t>
      </w:r>
      <w:r w:rsidRPr="00E14121">
        <w:rPr>
          <w:rFonts w:ascii="Narkisim" w:hAnsi="Narkisim"/>
          <w:rtl/>
        </w:rPr>
        <w:t xml:space="preserve"> (ו ח) דיבמה לשוק עשאה זונה</w:t>
      </w:r>
      <w:r w:rsidRPr="00E14121">
        <w:rPr>
          <w:rStyle w:val="ac"/>
          <w:rFonts w:ascii="Narkisim" w:hAnsi="Narkisim"/>
          <w:rtl/>
        </w:rPr>
        <w:footnoteReference w:id="4225"/>
      </w:r>
      <w:r w:rsidRPr="00E14121">
        <w:rPr>
          <w:rFonts w:ascii="Narkisim" w:hAnsi="Narkisim"/>
          <w:rtl/>
        </w:rPr>
        <w:t>, דהא לא תפסי קידושין</w:t>
      </w:r>
      <w:r w:rsidRPr="00E14121">
        <w:rPr>
          <w:rStyle w:val="ac"/>
          <w:rFonts w:ascii="Narkisim" w:hAnsi="Narkisim"/>
          <w:rtl/>
        </w:rPr>
        <w:footnoteReference w:id="4226"/>
      </w:r>
      <w:r w:rsidRPr="00E14121">
        <w:rPr>
          <w:rFonts w:ascii="Narkisim" w:hAnsi="Narkisim"/>
          <w:rtl/>
        </w:rPr>
        <w:t>. וה</w:t>
      </w:r>
      <w:r w:rsidRPr="00E14121">
        <w:rPr>
          <w:rFonts w:ascii="Narkisim" w:hAnsi="Narkisim"/>
          <w:b/>
          <w:bCs/>
          <w:rtl/>
        </w:rPr>
        <w:t>פוסקים</w:t>
      </w:r>
      <w:r w:rsidRPr="00E14121">
        <w:rPr>
          <w:rFonts w:ascii="Narkisim" w:hAnsi="Narkisim"/>
          <w:rtl/>
        </w:rPr>
        <w:t xml:space="preserve"> תמהו דקי”ל כשמואל דבעי גט. וה</w:t>
      </w:r>
      <w:r w:rsidRPr="00E14121">
        <w:rPr>
          <w:rFonts w:ascii="Narkisim" w:hAnsi="Narkisim"/>
          <w:b/>
          <w:bCs/>
          <w:rtl/>
        </w:rPr>
        <w:t xml:space="preserve">ב”ח </w:t>
      </w:r>
      <w:r w:rsidRPr="00E14121">
        <w:rPr>
          <w:rFonts w:ascii="Narkisim" w:hAnsi="Narkisim"/>
          <w:rtl/>
        </w:rPr>
        <w:t>כתב דהא דבעי גט לחומרא. אך הפוסקים הביאו דב</w:t>
      </w:r>
      <w:r w:rsidRPr="00E14121">
        <w:rPr>
          <w:rFonts w:ascii="Narkisim" w:hAnsi="Narkisim"/>
          <w:b/>
          <w:bCs/>
          <w:rtl/>
        </w:rPr>
        <w:t>רמב"ם</w:t>
      </w:r>
      <w:r w:rsidRPr="00E14121">
        <w:rPr>
          <w:rFonts w:ascii="Narkisim" w:hAnsi="Narkisim"/>
          <w:rtl/>
        </w:rPr>
        <w:t xml:space="preserve"> (אישות ד יד) מבואר דהוה ספק דאורייתא.</w:t>
      </w:r>
    </w:p>
    <w:p w14:paraId="6500E23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שעה"מ</w:t>
      </w:r>
      <w:r w:rsidRPr="00E14121">
        <w:rPr>
          <w:rFonts w:ascii="Narkisim" w:hAnsi="Narkisim"/>
          <w:rtl/>
        </w:rPr>
        <w:t xml:space="preserve"> ו</w:t>
      </w:r>
      <w:r w:rsidRPr="00E14121">
        <w:rPr>
          <w:rFonts w:ascii="Narkisim" w:hAnsi="Narkisim"/>
          <w:b/>
          <w:bCs/>
          <w:rtl/>
        </w:rPr>
        <w:t>אבנ"מ</w:t>
      </w:r>
      <w:r w:rsidRPr="00E14121">
        <w:rPr>
          <w:rFonts w:ascii="Narkisim" w:hAnsi="Narkisim"/>
          <w:rtl/>
        </w:rPr>
        <w:t xml:space="preserve"> (ו ד) כת' דהרמב"ם פסק דלא בעי זר אצלה מעיקרא, ע"פ דברי הרשב"א (סח.) דסוגיין קאי למ"ד דלא הוה זונה [אלא מאשת איש], אבל למ"ד דהוה זונה פשיטא דאסורה, אף בלא זר מעיקרא. </w:t>
      </w:r>
      <w:r w:rsidRPr="00E14121">
        <w:rPr>
          <w:rFonts w:ascii="Narkisim" w:hAnsi="Narkisim"/>
          <w:sz w:val="20"/>
          <w:szCs w:val="20"/>
          <w:rtl/>
        </w:rPr>
        <w:t>[והאבנ"מ תי' עוד ע”פ דברי היראים, ע' בסמוך].</w:t>
      </w:r>
    </w:p>
    <w:p w14:paraId="6DF3C80C" w14:textId="77777777" w:rsidR="00F64AED" w:rsidRPr="00E14121" w:rsidRDefault="00F64AED" w:rsidP="00F64AED">
      <w:pPr>
        <w:pStyle w:val="a7"/>
        <w:bidi/>
        <w:rPr>
          <w:rFonts w:ascii="Narkisim" w:hAnsi="Narkisim"/>
        </w:rPr>
      </w:pPr>
      <w:r w:rsidRPr="00E14121">
        <w:rPr>
          <w:rFonts w:ascii="Narkisim" w:hAnsi="Narkisim"/>
          <w:rtl/>
        </w:rPr>
        <w:lastRenderedPageBreak/>
        <w:t>וה</w:t>
      </w:r>
      <w:r w:rsidRPr="00E14121">
        <w:rPr>
          <w:rFonts w:ascii="Narkisim" w:hAnsi="Narkisim"/>
          <w:b/>
          <w:bCs/>
          <w:rtl/>
        </w:rPr>
        <w:t>גר"א</w:t>
      </w:r>
      <w:r w:rsidRPr="00E14121">
        <w:rPr>
          <w:rFonts w:ascii="Narkisim" w:hAnsi="Narkisim"/>
          <w:rtl/>
        </w:rPr>
        <w:t xml:space="preserve"> (ו כג) כתב דהרמב"ם סמך א</w:t>
      </w:r>
      <w:r w:rsidRPr="00E14121">
        <w:rPr>
          <w:rFonts w:ascii="Narkisim" w:hAnsi="Narkisim"/>
          <w:b/>
          <w:bCs/>
          <w:rtl/>
        </w:rPr>
        <w:t>ירושלמי</w:t>
      </w:r>
      <w:r w:rsidRPr="00E14121">
        <w:rPr>
          <w:rFonts w:ascii="Narkisim" w:hAnsi="Narkisim"/>
          <w:rtl/>
        </w:rPr>
        <w:t xml:space="preserve"> (ד יג) דאף מחזיר גרושתו הוה זונה.</w:t>
      </w:r>
      <w:r w:rsidRPr="00E14121">
        <w:rPr>
          <w:rFonts w:ascii="Narkisim" w:hAnsi="Narkisim"/>
          <w:sz w:val="20"/>
          <w:szCs w:val="20"/>
          <w:rtl/>
        </w:rPr>
        <w:t xml:space="preserve"> ושוב דחה דאינו מוכח, והכלל דכל הפוסקים נקטו דבעי זר מעיקרא</w:t>
      </w:r>
      <w:r w:rsidRPr="00E14121">
        <w:rPr>
          <w:rStyle w:val="ac"/>
          <w:rFonts w:ascii="Narkisim" w:hAnsi="Narkisim"/>
          <w:sz w:val="20"/>
          <w:szCs w:val="20"/>
          <w:rtl/>
        </w:rPr>
        <w:footnoteReference w:id="4227"/>
      </w:r>
      <w:r w:rsidRPr="00E14121">
        <w:rPr>
          <w:rFonts w:ascii="Narkisim" w:hAnsi="Narkisim"/>
          <w:sz w:val="20"/>
          <w:szCs w:val="20"/>
          <w:rtl/>
        </w:rPr>
        <w:t>.</w:t>
      </w:r>
    </w:p>
    <w:p w14:paraId="3C4E73AA" w14:textId="77777777" w:rsidR="00F64AED" w:rsidRPr="00E14121" w:rsidRDefault="00F64AED" w:rsidP="00F64AED">
      <w:pPr>
        <w:bidi/>
        <w:rPr>
          <w:rFonts w:ascii="Narkisim" w:hAnsi="Narkisim" w:cs="Narkisim"/>
        </w:rPr>
      </w:pPr>
      <w:r w:rsidRPr="00E14121">
        <w:rPr>
          <w:rFonts w:ascii="Narkisim" w:hAnsi="Narkisim" w:cs="Narkisim"/>
          <w:i/>
          <w:iCs/>
          <w:sz w:val="21"/>
          <w:szCs w:val="21"/>
          <w:u w:val="single"/>
          <w:rtl/>
        </w:rPr>
        <w:t xml:space="preserve"> </w:t>
      </w:r>
      <w:r w:rsidRPr="00E14121">
        <w:rPr>
          <w:rFonts w:ascii="Narkisim" w:hAnsi="Narkisim" w:cs="Narkisim"/>
          <w:i/>
          <w:iCs/>
          <w:sz w:val="21"/>
          <w:szCs w:val="21"/>
          <w:rtl/>
        </w:rPr>
        <w:t>פצוע דכא</w:t>
      </w:r>
      <w:r w:rsidRPr="00E14121">
        <w:rPr>
          <w:rFonts w:ascii="Narkisim" w:hAnsi="Narkisim" w:cs="Narkisim"/>
          <w:rtl/>
        </w:rPr>
        <w:t xml:space="preserve"> - מבואר במשנה (לקמן ע.) דפצוע דכא פוסל בביאתו. ובפשוטו הוה מקרא ד'איש זר'. אך ה</w:t>
      </w:r>
      <w:r w:rsidRPr="00E14121">
        <w:rPr>
          <w:rFonts w:ascii="Narkisim" w:hAnsi="Narkisim" w:cs="Narkisim"/>
          <w:b/>
          <w:bCs/>
          <w:rtl/>
        </w:rPr>
        <w:t>ראשונים</w:t>
      </w:r>
      <w:r w:rsidRPr="00E14121">
        <w:rPr>
          <w:rFonts w:ascii="Narkisim" w:hAnsi="Narkisim" w:cs="Narkisim"/>
          <w:rtl/>
        </w:rPr>
        <w:t xml:space="preserve"> הק' דאיירי שהיה כשר ואח"כ נפצע, ולא היה זר מעיקרא. וה</w:t>
      </w:r>
      <w:r w:rsidRPr="00E14121">
        <w:rPr>
          <w:rFonts w:ascii="Narkisim" w:hAnsi="Narkisim" w:cs="Narkisim"/>
          <w:b/>
          <w:bCs/>
          <w:rtl/>
        </w:rPr>
        <w:t>תו"י</w:t>
      </w:r>
      <w:r w:rsidRPr="00E14121">
        <w:rPr>
          <w:rFonts w:ascii="Narkisim" w:hAnsi="Narkisim" w:cs="Narkisim"/>
          <w:rtl/>
        </w:rPr>
        <w:t xml:space="preserve"> (ע.) כתב דכיון דנשתנה גופו חשיב כמו זר מעיקרא</w:t>
      </w:r>
      <w:r w:rsidRPr="00E14121">
        <w:rPr>
          <w:rStyle w:val="ac"/>
          <w:rFonts w:ascii="Narkisim" w:hAnsi="Narkisim" w:cs="Narkisim"/>
          <w:rtl/>
        </w:rPr>
        <w:footnoteReference w:id="4228"/>
      </w:r>
      <w:r w:rsidRPr="00E14121">
        <w:rPr>
          <w:rFonts w:ascii="Narkisim" w:hAnsi="Narkisim" w:cs="Narkisim"/>
          <w:rtl/>
        </w:rPr>
        <w:t>.</w:t>
      </w:r>
    </w:p>
    <w:p w14:paraId="28B80B9D" w14:textId="77777777" w:rsidR="00F64AED" w:rsidRPr="00E14121" w:rsidRDefault="00F64AED" w:rsidP="00F64AED">
      <w:pPr>
        <w:bidi/>
        <w:rPr>
          <w:rFonts w:ascii="Narkisim" w:hAnsi="Narkisim" w:cs="Narkisim"/>
        </w:rPr>
      </w:pPr>
      <w:r w:rsidRPr="00E14121">
        <w:rPr>
          <w:rFonts w:ascii="Narkisim" w:hAnsi="Narkisim" w:cs="Narkisim"/>
          <w:rtl/>
        </w:rPr>
        <w:t>ו</w:t>
      </w:r>
      <w:r w:rsidRPr="00E14121">
        <w:rPr>
          <w:rFonts w:ascii="Narkisim" w:hAnsi="Narkisim" w:cs="Narkisim"/>
          <w:b/>
          <w:bCs/>
          <w:rtl/>
        </w:rPr>
        <w:t>רש"י</w:t>
      </w:r>
      <w:r w:rsidRPr="00E14121">
        <w:rPr>
          <w:rFonts w:ascii="Narkisim" w:hAnsi="Narkisim" w:cs="Narkisim"/>
          <w:rtl/>
        </w:rPr>
        <w:t xml:space="preserve"> (ע.) פי' דנעשית חללה. וה</w:t>
      </w:r>
      <w:r w:rsidRPr="00E14121">
        <w:rPr>
          <w:rFonts w:ascii="Narkisim" w:hAnsi="Narkisim" w:cs="Narkisim"/>
          <w:b/>
          <w:bCs/>
          <w:rtl/>
        </w:rPr>
        <w:t>רשב"א</w:t>
      </w:r>
      <w:r w:rsidRPr="00E14121">
        <w:rPr>
          <w:rFonts w:ascii="Narkisim" w:hAnsi="Narkisim" w:cs="Narkisim"/>
          <w:rtl/>
        </w:rPr>
        <w:t xml:space="preserve"> תמה דאין חללה אלא מאיסורי כהונה [וכדאי' קידושין עז:].</w:t>
      </w:r>
    </w:p>
    <w:p w14:paraId="37A24B1F" w14:textId="77777777" w:rsidR="00F64AED" w:rsidRPr="00E14121" w:rsidRDefault="00F64AED" w:rsidP="00F64AED">
      <w:pPr>
        <w:pStyle w:val="a8"/>
        <w:bidi/>
        <w:rPr>
          <w:rFonts w:ascii="Narkisim" w:hAnsi="Narkisim"/>
        </w:rPr>
      </w:pPr>
      <w:r w:rsidRPr="00E14121">
        <w:rPr>
          <w:rFonts w:ascii="Narkisim" w:hAnsi="Narkisim"/>
          <w:rtl/>
        </w:rPr>
        <w:t xml:space="preserve">ויש </w:t>
      </w:r>
      <w:r w:rsidRPr="00E14121">
        <w:rPr>
          <w:rFonts w:ascii="Narkisim" w:hAnsi="Narkisim"/>
          <w:b/>
          <w:bCs/>
          <w:rtl/>
        </w:rPr>
        <w:t>אחרונים</w:t>
      </w:r>
      <w:r w:rsidRPr="00E14121">
        <w:rPr>
          <w:rFonts w:ascii="Narkisim" w:hAnsi="Narkisim"/>
          <w:rtl/>
        </w:rPr>
        <w:t xml:space="preserve"> שנקטו דדעת רש"י דשאני פסולי קהל דגלי קרא ד'איש זר', והוה גילוי מילתא דנתחללה מכהונה [כיון דאינה ראויה לתרומה] ועי"ז הוה בכלל 'חללה'. ועוד יש </w:t>
      </w:r>
      <w:r w:rsidRPr="00E14121">
        <w:rPr>
          <w:rFonts w:ascii="Narkisim" w:hAnsi="Narkisim"/>
          <w:b/>
          <w:bCs/>
          <w:rtl/>
        </w:rPr>
        <w:t>אחרונים</w:t>
      </w:r>
      <w:r w:rsidRPr="00E14121">
        <w:rPr>
          <w:rFonts w:ascii="Narkisim" w:hAnsi="Narkisim"/>
          <w:rtl/>
        </w:rPr>
        <w:t xml:space="preserve"> שפי' דכוונת רש"י שנתחללה מקרא דאיש זר [ולא הוה בכלל שם 'חללה'].</w:t>
      </w:r>
    </w:p>
    <w:p w14:paraId="6828A9DE"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רשב"א</w:t>
      </w:r>
      <w:r w:rsidRPr="00E14121">
        <w:rPr>
          <w:rFonts w:ascii="Narkisim" w:hAnsi="Narkisim" w:cs="Narkisim"/>
          <w:rtl/>
        </w:rPr>
        <w:t xml:space="preserve"> </w:t>
      </w:r>
      <w:r w:rsidRPr="00E14121">
        <w:rPr>
          <w:rFonts w:ascii="Narkisim" w:hAnsi="Narkisim" w:cs="Narkisim"/>
          <w:sz w:val="20"/>
          <w:szCs w:val="20"/>
          <w:rtl/>
        </w:rPr>
        <w:t>(ע. והריטב”א שם)</w:t>
      </w:r>
      <w:r w:rsidRPr="00E14121">
        <w:rPr>
          <w:rFonts w:ascii="Narkisim" w:hAnsi="Narkisim" w:cs="Narkisim"/>
          <w:rtl/>
        </w:rPr>
        <w:t xml:space="preserve"> הביא לפרש דנעשית זונה</w:t>
      </w:r>
      <w:r w:rsidRPr="00E14121">
        <w:rPr>
          <w:rStyle w:val="ac"/>
          <w:rFonts w:ascii="Narkisim" w:hAnsi="Narkisim" w:cs="Narkisim"/>
          <w:rtl/>
        </w:rPr>
        <w:footnoteReference w:id="4229"/>
      </w:r>
      <w:r w:rsidRPr="00E14121">
        <w:rPr>
          <w:rFonts w:ascii="Narkisim" w:hAnsi="Narkisim" w:cs="Narkisim"/>
          <w:rtl/>
        </w:rPr>
        <w:t>, דכל שנבעלה ביאה פסולה דאורייתא הוה זונה. וזונה פסולה לתרומה. אך שוב הק' ה</w:t>
      </w:r>
      <w:r w:rsidRPr="00E14121">
        <w:rPr>
          <w:rFonts w:ascii="Narkisim" w:hAnsi="Narkisim" w:cs="Narkisim"/>
          <w:b/>
          <w:bCs/>
          <w:rtl/>
        </w:rPr>
        <w:t>רשב"א</w:t>
      </w:r>
      <w:r w:rsidRPr="00E14121">
        <w:rPr>
          <w:rFonts w:ascii="Narkisim" w:hAnsi="Narkisim" w:cs="Narkisim"/>
          <w:rtl/>
        </w:rPr>
        <w:t xml:space="preserve"> דבסוגיין מבואר דחייבי לאוין לא פסלי אא”כ הוה זר אצלו מעיקרא, ופצוע דכא לא הוה זר מעיקרא.</w:t>
      </w:r>
    </w:p>
    <w:p w14:paraId="7B09A008" w14:textId="77777777" w:rsidR="00F64AED" w:rsidRPr="00E14121" w:rsidRDefault="00F64AED" w:rsidP="00F64AED">
      <w:pPr>
        <w:pStyle w:val="a7"/>
        <w:bidi/>
        <w:rPr>
          <w:rFonts w:ascii="Narkisim" w:hAnsi="Narkisim"/>
        </w:rPr>
      </w:pPr>
      <w:r w:rsidRPr="00E14121">
        <w:rPr>
          <w:rFonts w:ascii="Narkisim" w:hAnsi="Narkisim"/>
          <w:rtl/>
        </w:rPr>
        <w:t>אך ע"פ דברי ה</w:t>
      </w:r>
      <w:r w:rsidRPr="00E14121">
        <w:rPr>
          <w:rFonts w:ascii="Narkisim" w:hAnsi="Narkisim"/>
          <w:b/>
          <w:bCs/>
          <w:rtl/>
        </w:rPr>
        <w:t>רשב"א</w:t>
      </w:r>
      <w:r w:rsidRPr="00E14121">
        <w:rPr>
          <w:rFonts w:ascii="Narkisim" w:hAnsi="Narkisim"/>
          <w:rtl/>
        </w:rPr>
        <w:t xml:space="preserve"> (סח.) יש ליישב דסוגיין קאי אקרא דאיש זר. אבל 'שם זונה' [לדעת רבנן] לא בעי זר מעיקרא</w:t>
      </w:r>
      <w:r w:rsidRPr="00E14121">
        <w:rPr>
          <w:rStyle w:val="ac"/>
          <w:rFonts w:ascii="Narkisim" w:hAnsi="Narkisim"/>
          <w:rtl/>
        </w:rPr>
        <w:footnoteReference w:id="4230"/>
      </w:r>
      <w:r w:rsidRPr="00E14121">
        <w:rPr>
          <w:rFonts w:ascii="Narkisim" w:hAnsi="Narkisim"/>
          <w:rtl/>
        </w:rPr>
        <w:t>. ובפשוטו דברי הרשב"א סתרי אהדדי. אך יש שפי' דהרשב"א נקט דבסוגיין מבואר דמחזיר גרושתו אינו פוסל כלל, וע"כ דהיכא דלא הוה זר מעיקרא אינו עושה 'זונה'</w:t>
      </w:r>
      <w:r w:rsidRPr="00E14121">
        <w:rPr>
          <w:rStyle w:val="ac"/>
          <w:rFonts w:ascii="Narkisim" w:hAnsi="Narkisim"/>
          <w:rtl/>
        </w:rPr>
        <w:footnoteReference w:id="4231"/>
      </w:r>
      <w:r w:rsidRPr="00E14121">
        <w:rPr>
          <w:rFonts w:ascii="Narkisim" w:hAnsi="Narkisim"/>
          <w:sz w:val="20"/>
          <w:szCs w:val="20"/>
          <w:rtl/>
        </w:rPr>
        <w:t>.</w:t>
      </w:r>
    </w:p>
    <w:p w14:paraId="3B4D52CF"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כת' דכיון דהוה פסול קהל לא בעינן זר אצלה מעיקרא. וזר אצלה מעיקרא בא לאפוקי דוקא מחזיק גרושתו</w:t>
      </w:r>
      <w:r w:rsidRPr="00E14121">
        <w:rPr>
          <w:rStyle w:val="ac"/>
          <w:rFonts w:ascii="Narkisim" w:hAnsi="Narkisim"/>
          <w:rtl/>
        </w:rPr>
        <w:footnoteReference w:id="4232"/>
      </w:r>
      <w:r w:rsidRPr="00E14121">
        <w:rPr>
          <w:rFonts w:ascii="Narkisim" w:hAnsi="Narkisim"/>
          <w:rtl/>
        </w:rPr>
        <w:t>.</w:t>
      </w:r>
    </w:p>
    <w:p w14:paraId="206EAB70" w14:textId="77777777" w:rsidR="00F64AED" w:rsidRPr="00E14121" w:rsidRDefault="00F64AED" w:rsidP="00F64AED">
      <w:pPr>
        <w:pStyle w:val="a7"/>
        <w:bidi/>
        <w:rPr>
          <w:rFonts w:ascii="Narkisim" w:hAnsi="Narkisim"/>
        </w:rPr>
      </w:pPr>
      <w:r w:rsidRPr="00E14121">
        <w:rPr>
          <w:rFonts w:ascii="Narkisim" w:hAnsi="Narkisim"/>
          <w:rtl/>
        </w:rPr>
        <w:t>והרשב"א סיים דלפ"ז י"ל דהוה משום 'איש זר', ולאו משום חללה ולא משום זונה.</w:t>
      </w:r>
    </w:p>
    <w:p w14:paraId="50B3B22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(מד י) פי' דסברת זר מעיקרא דהוא 'פסול', והוה סימן דתליא בפסולו של בועל. ולכן אף במקום דאינו זר מעיקרא פוסל.</w:t>
      </w:r>
    </w:p>
    <w:p w14:paraId="18C6E43B"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כתב עוד דאפשר דהמשנה ס"ל כר' אלעזר דפנוי הבא על הפנויה עשאה זונה, וכ"ש זו [אפי' שהיא אשתו</w:t>
      </w:r>
      <w:r w:rsidRPr="00E14121">
        <w:rPr>
          <w:rStyle w:val="ac"/>
          <w:rFonts w:ascii="Narkisim" w:hAnsi="Narkisim"/>
          <w:rtl/>
        </w:rPr>
        <w:footnoteReference w:id="4233"/>
      </w:r>
      <w:r w:rsidRPr="00E14121">
        <w:rPr>
          <w:rFonts w:ascii="Narkisim" w:hAnsi="Narkisim"/>
          <w:rtl/>
        </w:rPr>
        <w:t>]. ועוד תי' די"ל בהמשנה קאי כר' מתיא בן חרש, דאפי' בעלה בא עליה בדרך עשאה זונה, ולא בעי זר מעיקרא</w:t>
      </w:r>
      <w:r w:rsidRPr="00E14121">
        <w:rPr>
          <w:rStyle w:val="ac"/>
          <w:rFonts w:ascii="Narkisim" w:hAnsi="Narkisim"/>
          <w:rtl/>
        </w:rPr>
        <w:footnoteReference w:id="4234"/>
      </w:r>
      <w:r w:rsidRPr="00E14121">
        <w:rPr>
          <w:rFonts w:ascii="Narkisim" w:hAnsi="Narkisim"/>
          <w:rtl/>
        </w:rPr>
        <w:t>. ולפ"ז להלכה פצוע דכא אינו אוסר בביאתו, אך הרשב”א הביא דהראשונים פסקו כדברי המשנה.</w:t>
      </w:r>
    </w:p>
    <w:p w14:paraId="212E5F49" w14:textId="77777777" w:rsidR="00F64AED" w:rsidRPr="00E14121" w:rsidRDefault="00F64AED" w:rsidP="00F64AED">
      <w:pPr>
        <w:bidi/>
        <w:rPr>
          <w:rFonts w:ascii="Narkisim" w:hAnsi="Narkisim" w:cs="Narkisim"/>
        </w:rPr>
      </w:pPr>
      <w:r w:rsidRPr="00E14121">
        <w:rPr>
          <w:rFonts w:ascii="Narkisim" w:hAnsi="Narkisim" w:cs="Narkisim"/>
          <w:i/>
          <w:iCs/>
          <w:szCs w:val="20"/>
          <w:u w:val="single"/>
          <w:rtl/>
        </w:rPr>
        <w:t xml:space="preserve"> </w:t>
      </w:r>
      <w:r w:rsidRPr="00E14121">
        <w:rPr>
          <w:rFonts w:ascii="Narkisim" w:hAnsi="Narkisim" w:cs="Narkisim"/>
          <w:i/>
          <w:iCs/>
          <w:szCs w:val="20"/>
          <w:rtl/>
        </w:rPr>
        <w:t>דברי היראים</w:t>
      </w:r>
      <w:r w:rsidRPr="00E14121">
        <w:rPr>
          <w:rFonts w:ascii="Narkisim" w:hAnsi="Narkisim" w:cs="Narkisim"/>
          <w:rtl/>
        </w:rPr>
        <w:t xml:space="preserve"> - ה</w:t>
      </w:r>
      <w:r w:rsidRPr="00E14121">
        <w:rPr>
          <w:rFonts w:ascii="Narkisim" w:hAnsi="Narkisim" w:cs="Narkisim"/>
          <w:b/>
          <w:bCs/>
          <w:rtl/>
        </w:rPr>
        <w:t>יראים</w:t>
      </w:r>
      <w:r w:rsidRPr="00E14121">
        <w:rPr>
          <w:rFonts w:ascii="Narkisim" w:hAnsi="Narkisim" w:cs="Narkisim"/>
          <w:rtl/>
        </w:rPr>
        <w:t xml:space="preserve"> </w:t>
      </w:r>
      <w:r w:rsidRPr="00E14121">
        <w:rPr>
          <w:rFonts w:ascii="Narkisim" w:hAnsi="Narkisim" w:cs="Narkisim"/>
          <w:sz w:val="20"/>
          <w:szCs w:val="20"/>
          <w:rtl/>
        </w:rPr>
        <w:t>(מה, הו' באבנ”מ ו ד בסופו)</w:t>
      </w:r>
      <w:r w:rsidRPr="00E14121">
        <w:rPr>
          <w:rFonts w:ascii="Narkisim" w:hAnsi="Narkisim" w:cs="Narkisim"/>
          <w:rtl/>
        </w:rPr>
        <w:t xml:space="preserve"> כת' דכיון דמשכחת לה פצוע דכא דהוה זר מעיקרא [משעת לידה]</w:t>
      </w:r>
      <w:r w:rsidRPr="00E14121">
        <w:rPr>
          <w:rStyle w:val="ac"/>
          <w:rFonts w:ascii="Narkisim" w:hAnsi="Narkisim" w:cs="Narkisim"/>
          <w:rtl/>
        </w:rPr>
        <w:footnoteReference w:id="4235"/>
      </w:r>
      <w:r w:rsidRPr="00E14121">
        <w:rPr>
          <w:rFonts w:ascii="Narkisim" w:hAnsi="Narkisim" w:cs="Narkisim"/>
          <w:rtl/>
        </w:rPr>
        <w:t xml:space="preserve">, אף שנעשה אח"כ פוסל [דלא מסתבר דחמיר טפי]. ונתמעט רק מחזיר גרושתו דע”כ היתה מותרת לו מעיקרא. </w:t>
      </w:r>
      <w:r w:rsidRPr="00E14121">
        <w:rPr>
          <w:rFonts w:ascii="Narkisim" w:hAnsi="Narkisim" w:cs="Narkisim"/>
          <w:sz w:val="20"/>
          <w:szCs w:val="20"/>
          <w:rtl/>
        </w:rPr>
        <w:t>[ע' בסמוך].</w:t>
      </w:r>
    </w:p>
    <w:p w14:paraId="0B0A41AC" w14:textId="77777777" w:rsidR="00F64AED" w:rsidRPr="00E14121" w:rsidRDefault="00F64AED" w:rsidP="00F64AED">
      <w:pPr>
        <w:bidi/>
        <w:rPr>
          <w:rFonts w:ascii="Narkisim" w:hAnsi="Narkisim" w:cs="Narkisim"/>
        </w:rPr>
      </w:pPr>
      <w:r w:rsidRPr="00E14121">
        <w:rPr>
          <w:rFonts w:ascii="Narkisim" w:hAnsi="Narkisim" w:cs="Narkisim"/>
          <w:rtl/>
        </w:rPr>
        <w:lastRenderedPageBreak/>
        <w:t>וה</w:t>
      </w:r>
      <w:r w:rsidRPr="00E14121">
        <w:rPr>
          <w:rFonts w:ascii="Narkisim" w:hAnsi="Narkisim" w:cs="Narkisim"/>
          <w:b/>
          <w:bCs/>
          <w:rtl/>
        </w:rPr>
        <w:t>יראים</w:t>
      </w:r>
      <w:r w:rsidRPr="00E14121">
        <w:rPr>
          <w:rFonts w:ascii="Narkisim" w:hAnsi="Narkisim" w:cs="Narkisim"/>
          <w:rtl/>
        </w:rPr>
        <w:t xml:space="preserve"> ביאר עפ"ז דהבא על אשת איש פוסל</w:t>
      </w:r>
      <w:r w:rsidRPr="00E14121">
        <w:rPr>
          <w:rStyle w:val="ac"/>
          <w:rFonts w:ascii="Narkisim" w:hAnsi="Narkisim" w:cs="Narkisim"/>
          <w:rtl/>
        </w:rPr>
        <w:footnoteReference w:id="4236"/>
      </w:r>
      <w:r w:rsidRPr="00E14121">
        <w:rPr>
          <w:rFonts w:ascii="Narkisim" w:hAnsi="Narkisim" w:cs="Narkisim"/>
          <w:rtl/>
        </w:rPr>
        <w:t>, דכיון דהאב יכול לקדש פחות מבת ג' נחשב דאיסור אשת איש הוה זר מעיקרא.</w:t>
      </w:r>
      <w:r w:rsidRPr="00E14121">
        <w:rPr>
          <w:rFonts w:ascii="Narkisim" w:hAnsi="Narkisim" w:cs="Narkisim"/>
          <w:sz w:val="20"/>
          <w:szCs w:val="20"/>
          <w:rtl/>
        </w:rPr>
        <w:t xml:space="preserve"> [ובזה מתורץ קושיית רש”י ותוס' סח:, דחייבי כריתות משכח"ל בזר מעיקרא</w:t>
      </w:r>
      <w:r w:rsidRPr="00E14121">
        <w:rPr>
          <w:rStyle w:val="ac"/>
          <w:rFonts w:ascii="Narkisim" w:hAnsi="Narkisim" w:cs="Narkisim"/>
          <w:sz w:val="20"/>
          <w:szCs w:val="20"/>
          <w:rtl/>
        </w:rPr>
        <w:footnoteReference w:id="4237"/>
      </w:r>
      <w:r w:rsidRPr="00E14121">
        <w:rPr>
          <w:rFonts w:ascii="Narkisim" w:hAnsi="Narkisim" w:cs="Narkisim"/>
          <w:sz w:val="20"/>
          <w:szCs w:val="20"/>
          <w:rtl/>
        </w:rPr>
        <w:t>].</w:t>
      </w:r>
      <w:r w:rsidRPr="00E14121">
        <w:rPr>
          <w:rFonts w:ascii="Narkisim" w:hAnsi="Narkisim" w:cs="Narkisim"/>
          <w:rtl/>
        </w:rPr>
        <w:t xml:space="preserve"> ועפ"ז כתבו ה</w:t>
      </w:r>
      <w:r w:rsidRPr="00E14121">
        <w:rPr>
          <w:rFonts w:ascii="Narkisim" w:hAnsi="Narkisim" w:cs="Narkisim"/>
          <w:b/>
          <w:bCs/>
          <w:rtl/>
        </w:rPr>
        <w:t>אבנ"מ</w:t>
      </w:r>
      <w:r w:rsidRPr="00E14121">
        <w:rPr>
          <w:rFonts w:ascii="Narkisim" w:hAnsi="Narkisim" w:cs="Narkisim"/>
          <w:rtl/>
        </w:rPr>
        <w:t xml:space="preserve"> (ו ד) ו</w:t>
      </w:r>
      <w:r w:rsidRPr="00E14121">
        <w:rPr>
          <w:rFonts w:ascii="Narkisim" w:hAnsi="Narkisim" w:cs="Narkisim"/>
          <w:b/>
          <w:bCs/>
          <w:rtl/>
        </w:rPr>
        <w:t>מנח"ח</w:t>
      </w:r>
      <w:r w:rsidRPr="00E14121">
        <w:rPr>
          <w:rFonts w:ascii="Narkisim" w:hAnsi="Narkisim" w:cs="Narkisim"/>
          <w:rtl/>
        </w:rPr>
        <w:t xml:space="preserve"> (רסו כא) דה"ה יבמה לשוק נחשב איסור דזר אצלה מעיקרא, דמשכחת לה דקידשה אביה פחות מבת ג'</w:t>
      </w:r>
      <w:r w:rsidRPr="00E14121">
        <w:rPr>
          <w:rStyle w:val="ac"/>
          <w:rFonts w:ascii="Narkisim" w:hAnsi="Narkisim" w:cs="Narkisim"/>
          <w:rtl/>
        </w:rPr>
        <w:footnoteReference w:id="4238"/>
      </w:r>
      <w:r w:rsidRPr="00E14121">
        <w:rPr>
          <w:rFonts w:ascii="Narkisim" w:hAnsi="Narkisim" w:cs="Narkisim"/>
          <w:rtl/>
        </w:rPr>
        <w:t>. וכתבו דאפשר ליישב בזה דברי הרמב”ם.</w:t>
      </w:r>
    </w:p>
    <w:p w14:paraId="23862845" w14:textId="77777777" w:rsidR="00F64AED" w:rsidRPr="00E14121" w:rsidRDefault="00F64AED" w:rsidP="00F64AED">
      <w:pPr>
        <w:pStyle w:val="a7"/>
        <w:bidi/>
        <w:rPr>
          <w:rFonts w:ascii="Narkisim" w:hAnsi="Narkisim"/>
        </w:rPr>
      </w:pPr>
      <w:r w:rsidRPr="00E14121">
        <w:rPr>
          <w:rFonts w:ascii="Narkisim" w:hAnsi="Narkisim"/>
          <w:rtl/>
        </w:rPr>
        <w:t>ולפ"ז אף הרמב"ם יודה דמחזיר גרושתו אינו פוסל [וכדעת ה”ה], דכיון דהיתה נשואה לו בהיתר לא נחשב זר מעיקרא.</w:t>
      </w:r>
      <w:r w:rsidRPr="00E14121">
        <w:rPr>
          <w:rFonts w:ascii="Narkisim" w:hAnsi="Narkisim"/>
          <w:sz w:val="20"/>
          <w:szCs w:val="20"/>
          <w:rtl/>
        </w:rPr>
        <w:t xml:space="preserve"> וה</w:t>
      </w:r>
      <w:r w:rsidRPr="00E14121">
        <w:rPr>
          <w:rFonts w:ascii="Narkisim" w:hAnsi="Narkisim"/>
          <w:b/>
          <w:bCs/>
          <w:sz w:val="20"/>
          <w:szCs w:val="20"/>
          <w:rtl/>
        </w:rPr>
        <w:t>אחרונים</w:t>
      </w:r>
      <w:r w:rsidRPr="00E14121">
        <w:rPr>
          <w:rFonts w:ascii="Narkisim" w:hAnsi="Narkisim"/>
          <w:sz w:val="20"/>
          <w:szCs w:val="20"/>
          <w:rtl/>
        </w:rPr>
        <w:t xml:space="preserve"> הקשו דה”נ משכחת לה פחות מבת ג'. ומשמע מדברי האבנ”מ דכיון דהיתה נשואה לו בפועל, אף פחות מבת ג' לא נחשבת אצלו זר מעיקרא. [וצ"ב].</w:t>
      </w:r>
    </w:p>
    <w:p w14:paraId="6CC3AF2A" w14:textId="77777777" w:rsidR="00F64AED" w:rsidRPr="00E14121" w:rsidRDefault="00F64AED" w:rsidP="00F64AED">
      <w:pPr>
        <w:bidi/>
        <w:rPr>
          <w:rFonts w:ascii="Narkisim" w:hAnsi="Narkisim" w:cs="Narkisim"/>
        </w:rPr>
      </w:pPr>
      <w:r w:rsidRPr="00E14121">
        <w:rPr>
          <w:rFonts w:ascii="Narkisim" w:hAnsi="Narkisim" w:cs="Narkisim"/>
          <w:u w:val="single"/>
          <w:rtl/>
        </w:rPr>
        <w:t>אי הכי חלל דלאו זר הוא מעיקרא וכו'</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דחלל מותר בכהנת. משמע דקו' הגמ' דכיון דליכא איסור לא נחשב 'זר', ואף דמחולל מעיקרא.</w:t>
      </w:r>
    </w:p>
    <w:p w14:paraId="2A23BEC4" w14:textId="77777777" w:rsidR="00F64AED" w:rsidRPr="00E14121" w:rsidRDefault="00F64AED" w:rsidP="00F64AED">
      <w:pPr>
        <w:bidi/>
        <w:rPr>
          <w:rFonts w:ascii="Narkisim" w:hAnsi="Narkisim" w:cs="Narkisim"/>
        </w:rPr>
      </w:pPr>
      <w:r w:rsidRPr="00E14121">
        <w:rPr>
          <w:rFonts w:ascii="Narkisim" w:hAnsi="Narkisim" w:cs="Narkisim"/>
          <w:u w:val="single"/>
          <w:rtl/>
        </w:rPr>
        <w:t>אמר קרא לא יחלל וכו' מקיש זרעו לו</w:t>
      </w:r>
      <w:r w:rsidRPr="00E14121">
        <w:rPr>
          <w:rStyle w:val="ac"/>
          <w:rFonts w:ascii="Narkisim" w:hAnsi="Narkisim" w:cs="Narkisim"/>
          <w:u w:val="single"/>
          <w:rtl/>
        </w:rPr>
        <w:footnoteReference w:id="4239"/>
      </w:r>
      <w:r w:rsidRPr="00E14121">
        <w:rPr>
          <w:rFonts w:ascii="Narkisim" w:hAnsi="Narkisim" w:cs="Narkisim"/>
          <w:u w:val="single"/>
          <w:rtl/>
        </w:rPr>
        <w:t xml:space="preserve"> וכו'.</w:t>
      </w:r>
      <w:r w:rsidRPr="00E14121">
        <w:rPr>
          <w:rFonts w:ascii="Narkisim" w:hAnsi="Narkisim" w:cs="Narkisim"/>
          <w:rtl/>
        </w:rPr>
        <w:t xml:space="preserve"> בפשוטו ילפי' שחלל עושה חללים, דהוקש לפסולי כהונה שמחלל. וה</w:t>
      </w:r>
      <w:r w:rsidRPr="00E14121">
        <w:rPr>
          <w:rFonts w:ascii="Narkisim" w:hAnsi="Narkisim" w:cs="Narkisim"/>
          <w:b/>
          <w:bCs/>
          <w:rtl/>
        </w:rPr>
        <w:t>ראשונים</w:t>
      </w:r>
      <w:r w:rsidRPr="00E14121">
        <w:rPr>
          <w:rFonts w:ascii="Narkisim" w:hAnsi="Narkisim" w:cs="Narkisim"/>
          <w:rtl/>
        </w:rPr>
        <w:t xml:space="preserve"> כת' דלוקה משום חללה. </w:t>
      </w:r>
      <w:r w:rsidRPr="00E14121">
        <w:rPr>
          <w:rFonts w:ascii="Narkisim" w:hAnsi="Narkisim" w:cs="Narkisim"/>
          <w:szCs w:val="20"/>
          <w:rtl/>
        </w:rPr>
        <w:t>ולפ"ז לא דמי לשאר הברייתא (סח.) דהוה משום 'איש זר'</w:t>
      </w:r>
      <w:r w:rsidRPr="00E14121">
        <w:rPr>
          <w:rStyle w:val="ac"/>
          <w:rFonts w:ascii="Narkisim" w:hAnsi="Narkisim" w:cs="Narkisim"/>
          <w:szCs w:val="20"/>
          <w:rtl/>
        </w:rPr>
        <w:footnoteReference w:id="4240"/>
      </w:r>
      <w:r w:rsidRPr="00E14121">
        <w:rPr>
          <w:rFonts w:ascii="Narkisim" w:hAnsi="Narkisim" w:cs="Narkisim"/>
          <w:szCs w:val="20"/>
          <w:rtl/>
        </w:rPr>
        <w:t>. או לדעת הראשונים דהוה זונה</w:t>
      </w:r>
      <w:r w:rsidRPr="00E14121">
        <w:rPr>
          <w:rFonts w:ascii="Narkisim" w:hAnsi="Narkisim" w:cs="Narkisim"/>
          <w:rtl/>
        </w:rPr>
        <w:t>.</w:t>
      </w:r>
    </w:p>
    <w:p w14:paraId="385A3D3F"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(יח א) כתב דאף חלל הבא על האשה עשאה זונה. וה</w:t>
      </w:r>
      <w:r w:rsidRPr="00E14121">
        <w:rPr>
          <w:rFonts w:ascii="Narkisim" w:hAnsi="Narkisim"/>
          <w:b/>
          <w:bCs/>
          <w:rtl/>
        </w:rPr>
        <w:t>ראב"ד</w:t>
      </w:r>
      <w:r w:rsidRPr="00E14121">
        <w:rPr>
          <w:rFonts w:ascii="Narkisim" w:hAnsi="Narkisim"/>
          <w:rtl/>
        </w:rPr>
        <w:t xml:space="preserve"> השיג דדרשי' ולא יחלל זרעו, מה הוא מחלל וכו', אבל ללקות משום זונה לא. דילפי' בסוגיין לשם חללות, ולא שם זונה [וכ”כ ה”ה בסו”ד]. וה</w:t>
      </w:r>
      <w:r w:rsidRPr="00E14121">
        <w:rPr>
          <w:rFonts w:ascii="Narkisim" w:hAnsi="Narkisim"/>
          <w:b/>
          <w:bCs/>
          <w:rtl/>
        </w:rPr>
        <w:t>ר"ן</w:t>
      </w:r>
      <w:r w:rsidRPr="00E14121">
        <w:rPr>
          <w:rFonts w:ascii="Narkisim" w:hAnsi="Narkisim"/>
          <w:rtl/>
        </w:rPr>
        <w:t xml:space="preserve"> </w:t>
      </w:r>
      <w:r w:rsidRPr="00E14121">
        <w:rPr>
          <w:rFonts w:ascii="Narkisim" w:hAnsi="Narkisim"/>
          <w:szCs w:val="20"/>
          <w:rtl/>
        </w:rPr>
        <w:t>(קידושין עד:, לא. בדה"ר)</w:t>
      </w:r>
      <w:r w:rsidRPr="00E14121">
        <w:rPr>
          <w:rFonts w:ascii="Narkisim" w:hAnsi="Narkisim"/>
          <w:rtl/>
        </w:rPr>
        <w:t xml:space="preserve"> תמה על הרמב"ם דאין ביאתו בעבירה.</w:t>
      </w:r>
    </w:p>
    <w:p w14:paraId="78EC5DC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(יח ה) עמד בזה, והוכיח מחלל דזונה תלי בפגם, ולא תלי בביאת איסור</w:t>
      </w:r>
      <w:r w:rsidRPr="00E14121">
        <w:rPr>
          <w:rStyle w:val="ac"/>
          <w:rFonts w:ascii="Narkisim" w:hAnsi="Narkisim"/>
          <w:rtl/>
        </w:rPr>
        <w:footnoteReference w:id="4241"/>
      </w:r>
      <w:r w:rsidRPr="00E14121">
        <w:rPr>
          <w:rFonts w:ascii="Narkisim" w:hAnsi="Narkisim"/>
          <w:rtl/>
        </w:rPr>
        <w:t>. ומפי השמועה למדו דפגם זונה תלי באשה האסורה לינשא לו או חלל. וה</w:t>
      </w:r>
      <w:r w:rsidRPr="00E14121">
        <w:rPr>
          <w:rFonts w:ascii="Narkisim" w:hAnsi="Narkisim"/>
          <w:b/>
          <w:bCs/>
          <w:rtl/>
        </w:rPr>
        <w:t>רמב"ם בפיה"מ</w:t>
      </w:r>
      <w:r w:rsidRPr="00E14121">
        <w:rPr>
          <w:rFonts w:ascii="Narkisim" w:hAnsi="Narkisim"/>
          <w:rtl/>
        </w:rPr>
        <w:t xml:space="preserve"> (קידושין עז.) פי' דכיון דמי שנזרע מהך ביאה הוה פסול, ולכן נחשב זונה. והרמב"ם ביאר דלא הוה 'חללה', דאין חללה אלא מאיסור כהונה. ו</w:t>
      </w:r>
      <w:r w:rsidRPr="00E14121">
        <w:rPr>
          <w:rFonts w:ascii="Narkisim" w:hAnsi="Narkisim"/>
          <w:b/>
          <w:bCs/>
          <w:rtl/>
        </w:rPr>
        <w:t>ה"ה</w:t>
      </w:r>
      <w:r w:rsidRPr="00E14121">
        <w:rPr>
          <w:rFonts w:ascii="Narkisim" w:hAnsi="Narkisim"/>
          <w:rtl/>
        </w:rPr>
        <w:t xml:space="preserve"> כת' ליישב [לדעת הראב"ד ושא"ר] דחלל נחשב 'פסול כהונה', ועושה חללות, אף דהביאה היתר. </w:t>
      </w:r>
      <w:r w:rsidRPr="00E14121">
        <w:rPr>
          <w:rFonts w:ascii="Narkisim" w:hAnsi="Narkisim"/>
          <w:szCs w:val="20"/>
          <w:rtl/>
        </w:rPr>
        <w:t>(וע' רש”ש נדה סט:, ומנח”ח רפג ג)</w:t>
      </w:r>
      <w:r w:rsidRPr="00E14121">
        <w:rPr>
          <w:rFonts w:ascii="Narkisim" w:hAnsi="Narkisim"/>
          <w:rtl/>
        </w:rPr>
        <w:t>.</w:t>
      </w:r>
    </w:p>
    <w:p w14:paraId="1ED63E23"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ה"ה</w:t>
      </w:r>
      <w:r w:rsidRPr="00E14121">
        <w:rPr>
          <w:rFonts w:ascii="Narkisim" w:hAnsi="Narkisim"/>
          <w:rtl/>
        </w:rPr>
        <w:t xml:space="preserve"> בתחילת דבריו נקט דכוונת ה</w:t>
      </w:r>
      <w:r w:rsidRPr="00E14121">
        <w:rPr>
          <w:rFonts w:ascii="Narkisim" w:hAnsi="Narkisim"/>
          <w:b/>
          <w:bCs/>
          <w:rtl/>
        </w:rPr>
        <w:t xml:space="preserve">ראב"ד </w:t>
      </w:r>
      <w:r w:rsidRPr="00E14121">
        <w:rPr>
          <w:rFonts w:ascii="Narkisim" w:hAnsi="Narkisim"/>
          <w:rtl/>
        </w:rPr>
        <w:t>דאינו פוסל האשה בביאתו מכהונה אלא מתרומה. ותמה ע"ז דאין היקש למחצה. ו</w:t>
      </w:r>
      <w:r w:rsidRPr="00E14121">
        <w:rPr>
          <w:rFonts w:ascii="Narkisim" w:hAnsi="Narkisim"/>
          <w:b/>
          <w:bCs/>
          <w:rtl/>
        </w:rPr>
        <w:t>רע"א</w:t>
      </w:r>
      <w:r w:rsidRPr="00E14121">
        <w:rPr>
          <w:rFonts w:ascii="Narkisim" w:hAnsi="Narkisim"/>
          <w:rtl/>
        </w:rPr>
        <w:t xml:space="preserve"> (והשעה"מ) הביאו דמפורש (לקמן פד.) דנפסלה לכהונה.</w:t>
      </w:r>
    </w:p>
    <w:p w14:paraId="1C1A8A07"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xml:space="preserve">. </w:t>
      </w:r>
      <w:r w:rsidRPr="00E14121">
        <w:rPr>
          <w:rFonts w:ascii="Narkisim" w:hAnsi="Narkisim"/>
          <w:b/>
          <w:bCs/>
          <w:rtl/>
        </w:rPr>
        <w:t>רש"י</w:t>
      </w:r>
      <w:r w:rsidRPr="00E14121">
        <w:rPr>
          <w:rFonts w:ascii="Narkisim" w:hAnsi="Narkisim"/>
          <w:rtl/>
        </w:rPr>
        <w:t xml:space="preserve"> (לקמן פד.) כת' דחלל פוסל את האשה בביאתו, דילפי' כי תהיה לאיש זר. וה</w:t>
      </w:r>
      <w:r w:rsidRPr="00E14121">
        <w:rPr>
          <w:rFonts w:ascii="Narkisim" w:hAnsi="Narkisim"/>
          <w:b/>
          <w:bCs/>
          <w:rtl/>
        </w:rPr>
        <w:t>אחרונים</w:t>
      </w:r>
      <w:r w:rsidRPr="00E14121">
        <w:rPr>
          <w:rFonts w:ascii="Narkisim" w:hAnsi="Narkisim"/>
          <w:rtl/>
        </w:rPr>
        <w:t xml:space="preserve"> (ר"ש מדסוי, רע"א) תמהו דמפורש בסוגיין דילפי' לא יחלל דכתיב בגופיה. ומבואר דל"ש ללמוד מ'איש זר' כיון דליכא עבירה. וצ"ע</w:t>
      </w:r>
      <w:r w:rsidRPr="00E14121">
        <w:rPr>
          <w:rStyle w:val="ac"/>
          <w:rFonts w:ascii="Narkisim" w:hAnsi="Narkisim"/>
          <w:rtl/>
        </w:rPr>
        <w:footnoteReference w:id="4242"/>
      </w:r>
      <w:r w:rsidRPr="00E14121">
        <w:rPr>
          <w:rFonts w:ascii="Narkisim" w:hAnsi="Narkisim"/>
          <w:rtl/>
        </w:rPr>
        <w:t>.</w:t>
      </w:r>
    </w:p>
    <w:p w14:paraId="412DE2B1" w14:textId="77777777" w:rsidR="00F64AED" w:rsidRPr="00E14121" w:rsidRDefault="00F64AED" w:rsidP="00F64AED">
      <w:pPr>
        <w:bidi/>
        <w:rPr>
          <w:rFonts w:ascii="Narkisim" w:hAnsi="Narkisim" w:cs="Narkisim"/>
        </w:rPr>
      </w:pPr>
      <w:r w:rsidRPr="00E14121">
        <w:rPr>
          <w:rFonts w:ascii="Narkisim" w:hAnsi="Narkisim" w:cs="Narkisim"/>
          <w:u w:val="single"/>
          <w:rtl/>
        </w:rPr>
        <w:t>אימא עד דאיכא הויה וביאה וכו' דומיא דאלמנה וכו'.</w:t>
      </w:r>
      <w:r w:rsidRPr="00E14121">
        <w:rPr>
          <w:rFonts w:ascii="Narkisim" w:hAnsi="Narkisim" w:cs="Narkisim"/>
          <w:rtl/>
        </w:rPr>
        <w:t xml:space="preserve"> דעת ה</w:t>
      </w:r>
      <w:r w:rsidRPr="00E14121">
        <w:rPr>
          <w:rFonts w:ascii="Narkisim" w:hAnsi="Narkisim" w:cs="Narkisim"/>
          <w:b/>
          <w:bCs/>
          <w:rtl/>
        </w:rPr>
        <w:t>רמב"ם</w:t>
      </w:r>
      <w:r w:rsidRPr="00E14121">
        <w:rPr>
          <w:rFonts w:ascii="Narkisim" w:hAnsi="Narkisim" w:cs="Narkisim"/>
          <w:rtl/>
        </w:rPr>
        <w:t xml:space="preserve"> (איסו"ב טו ב) דבכל חייבי לאוין אינו לוקה אא"כ בעל אחר קידושין. (ע"פ הסוגיה קידושין עח.). </w:t>
      </w:r>
      <w:r w:rsidRPr="00E14121">
        <w:rPr>
          <w:rFonts w:ascii="Narkisim" w:hAnsi="Narkisim" w:cs="Narkisim"/>
          <w:sz w:val="20"/>
          <w:szCs w:val="20"/>
          <w:rtl/>
        </w:rPr>
        <w:t>[ושא"ר פליגי דבכל חייבי לאוין לא כתיב יקח כלל].</w:t>
      </w:r>
    </w:p>
    <w:p w14:paraId="185E8A54"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 ב"א</w:t>
      </w:r>
      <w:r w:rsidRPr="00E14121">
        <w:rPr>
          <w:rFonts w:ascii="Narkisim" w:hAnsi="Narkisim"/>
          <w:rtl/>
        </w:rPr>
        <w:t xml:space="preserve"> (בעל התוס' הו' בקובה”ע מה ה) הקשה על הרמב"ם האיך ילפי' בסוגיין שאר פסולים מאלמנה לכה"ג דאסורה בביאה לחוד</w:t>
      </w:r>
      <w:r w:rsidRPr="00E14121">
        <w:rPr>
          <w:rStyle w:val="ac"/>
          <w:rFonts w:ascii="Narkisim" w:hAnsi="Narkisim"/>
          <w:rtl/>
        </w:rPr>
        <w:footnoteReference w:id="4243"/>
      </w:r>
      <w:r w:rsidRPr="00E14121">
        <w:rPr>
          <w:rFonts w:ascii="Narkisim" w:hAnsi="Narkisim"/>
          <w:rtl/>
        </w:rPr>
        <w:t>. וה</w:t>
      </w:r>
      <w:r w:rsidRPr="00E14121">
        <w:rPr>
          <w:rFonts w:ascii="Narkisim" w:hAnsi="Narkisim"/>
          <w:b/>
          <w:bCs/>
          <w:rtl/>
        </w:rPr>
        <w:t>קובה"ע</w:t>
      </w:r>
      <w:r w:rsidRPr="00E14121">
        <w:rPr>
          <w:rFonts w:ascii="Narkisim" w:hAnsi="Narkisim"/>
          <w:rtl/>
        </w:rPr>
        <w:t xml:space="preserve"> כתב דלדברי הרמב"ם נעשית זונה, ונפגמה בביאה, ואף דאין בזה איסור ביאה. וכ”כ ה</w:t>
      </w:r>
      <w:r w:rsidRPr="00E14121">
        <w:rPr>
          <w:rFonts w:ascii="Narkisim" w:hAnsi="Narkisim"/>
          <w:b/>
          <w:bCs/>
          <w:rtl/>
        </w:rPr>
        <w:t>רמב”ם</w:t>
      </w:r>
      <w:r w:rsidRPr="00E14121">
        <w:rPr>
          <w:rFonts w:ascii="Narkisim" w:hAnsi="Narkisim"/>
          <w:rtl/>
        </w:rPr>
        <w:t xml:space="preserve"> (יח ה) דהשם זונה לא תליא בביאת האיסור אלא בפגם. וכיון דתליא רק בשם פגם ילפי' מאלמנה לכה"ג, וליכא למיפרך דהתם יש איסור על עצם הביאה.</w:t>
      </w:r>
    </w:p>
    <w:p w14:paraId="7DED6CD0" w14:textId="77777777" w:rsidR="00F64AED" w:rsidRPr="00E14121" w:rsidRDefault="00F64AED" w:rsidP="00F64AED">
      <w:pPr>
        <w:pStyle w:val="aa"/>
        <w:bidi/>
        <w:rPr>
          <w:rFonts w:ascii="Narkisim" w:hAnsi="Narkisim"/>
        </w:rPr>
      </w:pPr>
      <w:r w:rsidRPr="00E14121">
        <w:rPr>
          <w:rFonts w:ascii="Narkisim" w:hAnsi="Narkisim"/>
          <w:u w:val="single"/>
          <w:rtl/>
        </w:rPr>
        <w:t>א"ר יוחנן מצרי שני ואדומי שני איכא בינייהו וכו' שאין זרעו פסול דכתיב וכו'</w:t>
      </w:r>
      <w:r w:rsidRPr="00E14121">
        <w:rPr>
          <w:rFonts w:ascii="Narkisim" w:hAnsi="Narkisim"/>
          <w:rtl/>
        </w:rPr>
        <w:t>. בפשוטו כוונת הגמ' דכיון דזרעו ראוי לבא בקהל אינו בכלל פגם זה. וצ”ע דאף כמה פסולים אין זרעם פסול לקהל. וה</w:t>
      </w:r>
      <w:r w:rsidRPr="00E14121">
        <w:rPr>
          <w:rFonts w:ascii="Narkisim" w:hAnsi="Narkisim"/>
          <w:b/>
          <w:bCs/>
          <w:rtl/>
        </w:rPr>
        <w:t>רמב”ן</w:t>
      </w:r>
      <w:r w:rsidRPr="00E14121">
        <w:rPr>
          <w:rFonts w:ascii="Narkisim" w:hAnsi="Narkisim"/>
          <w:rtl/>
        </w:rPr>
        <w:t xml:space="preserve"> פי' דכוונת הגמ' שאין זרעו פסול אפי' לכהונה. וכדברי ר' יוחנן (לקמן עז.). ור' יוחנן בסוגיין קאי לשיטתו. ושוב כת' דאף לר"ל (לקמן שם) כוונת הברייתא דכיון דאין פסול את מקצת זרעם בפסול לקהל, לא פסלי לכהונה.</w:t>
      </w:r>
    </w:p>
    <w:p w14:paraId="18745F87" w14:textId="77777777" w:rsidR="00F64AED" w:rsidRPr="00E14121" w:rsidRDefault="00F64AED" w:rsidP="00F64AED">
      <w:pPr>
        <w:pStyle w:val="aa"/>
        <w:bidi/>
        <w:rPr>
          <w:rFonts w:ascii="Narkisim" w:hAnsi="Narkisim"/>
        </w:rPr>
      </w:pPr>
      <w:r w:rsidRPr="00E14121">
        <w:rPr>
          <w:rFonts w:ascii="Narkisim" w:hAnsi="Narkisim"/>
          <w:rtl/>
        </w:rPr>
        <w:lastRenderedPageBreak/>
        <w:t>ודעת ר' יהודה (קידושין עח. ולקמן עז.) דבת גר אסורה לכהונה, והגמ' פי' דלדעת ר' יהודה הגר פוסל בביאתו.</w:t>
      </w:r>
    </w:p>
    <w:p w14:paraId="43816A2D" w14:textId="77777777" w:rsidR="00F64AED" w:rsidRPr="00E14121" w:rsidRDefault="00F64AED" w:rsidP="00F64AED">
      <w:pPr>
        <w:pStyle w:val="aa"/>
        <w:bidi/>
        <w:rPr>
          <w:rFonts w:ascii="Narkisim" w:hAnsi="Narkisim"/>
        </w:rPr>
      </w:pPr>
      <w:r w:rsidRPr="00E14121">
        <w:rPr>
          <w:rFonts w:ascii="Narkisim" w:hAnsi="Narkisim"/>
          <w:u w:val="single"/>
          <w:rtl/>
        </w:rPr>
        <w:t>תוד"ה ושניהם.</w:t>
      </w:r>
      <w:r w:rsidRPr="00E14121">
        <w:rPr>
          <w:rFonts w:ascii="Narkisim" w:hAnsi="Narkisim"/>
          <w:rtl/>
        </w:rPr>
        <w:t xml:space="preserve"> אלא דילפי' במה דמסתבר לאוקמא קרא. למש"כ </w:t>
      </w:r>
      <w:r w:rsidRPr="00E14121">
        <w:rPr>
          <w:rFonts w:ascii="Narkisim" w:hAnsi="Narkisim"/>
          <w:b/>
          <w:bCs/>
          <w:rtl/>
        </w:rPr>
        <w:t>תוס</w:t>
      </w:r>
      <w:r w:rsidRPr="00E14121">
        <w:rPr>
          <w:rFonts w:ascii="Narkisim" w:hAnsi="Narkisim"/>
          <w:rtl/>
        </w:rPr>
        <w:t>' (לעיל טו:) דילפי' מקרא דאיש זר דעושה חללות ניחא טפי, אבל לצד דהוה שם איסור חדש, וכ"ש לרשב"א דהוה שם 'זונה', צ"ב היאך ילפי' מאלמנה לכה"ג דהוה שם איסור אחר.</w:t>
      </w:r>
    </w:p>
    <w:p w14:paraId="56D319A9" w14:textId="77777777" w:rsidR="00F64AED" w:rsidRPr="00E14121" w:rsidRDefault="00F64AED" w:rsidP="00F64AED">
      <w:pPr>
        <w:pStyle w:val="aa"/>
        <w:bidi/>
        <w:rPr>
          <w:rFonts w:ascii="Narkisim" w:hAnsi="Narkisim"/>
        </w:rPr>
      </w:pPr>
      <w:r w:rsidRPr="00E14121">
        <w:rPr>
          <w:rFonts w:ascii="Narkisim" w:hAnsi="Narkisim"/>
          <w:u w:val="single"/>
          <w:rtl/>
        </w:rPr>
        <w:t>ואם אינן ראויין לבא בישראל הרי אלו פוסלין</w:t>
      </w:r>
      <w:r w:rsidRPr="00E14121">
        <w:rPr>
          <w:rFonts w:ascii="Narkisim" w:hAnsi="Narkisim"/>
          <w:rtl/>
        </w:rPr>
        <w:t>. קאי אף אאונס, ומבואר דפסולי קהל פסלי אף באונס. וכן הוכיחו ה</w:t>
      </w:r>
      <w:r w:rsidRPr="00E14121">
        <w:rPr>
          <w:rFonts w:ascii="Narkisim" w:hAnsi="Narkisim"/>
          <w:b/>
          <w:bCs/>
          <w:rtl/>
        </w:rPr>
        <w:t>ראשונים</w:t>
      </w:r>
      <w:r w:rsidRPr="00E14121">
        <w:rPr>
          <w:rFonts w:ascii="Narkisim" w:hAnsi="Narkisim"/>
          <w:rtl/>
        </w:rPr>
        <w:t xml:space="preserve"> (תוס' חד מקמאי ומלחמות לעיל נו:) מכמה משניות (כתובות יד:) דאף באונס נפסלת [מקרא דאיש זר</w:t>
      </w:r>
      <w:r w:rsidRPr="00E14121">
        <w:rPr>
          <w:rStyle w:val="ac"/>
          <w:rFonts w:ascii="Narkisim" w:hAnsi="Narkisim"/>
          <w:rtl/>
        </w:rPr>
        <w:footnoteReference w:id="4244"/>
      </w:r>
      <w:r w:rsidRPr="00E14121">
        <w:rPr>
          <w:rFonts w:ascii="Narkisim" w:hAnsi="Narkisim"/>
          <w:rtl/>
        </w:rPr>
        <w:t>]. ואף ללישנא דרבה דבאונס לא הוה 'זונה' פסולה משום איש זר</w:t>
      </w:r>
      <w:r w:rsidRPr="00E14121">
        <w:rPr>
          <w:rStyle w:val="ac"/>
          <w:rFonts w:ascii="Narkisim" w:hAnsi="Narkisim"/>
          <w:rtl/>
        </w:rPr>
        <w:footnoteReference w:id="4245"/>
      </w:r>
      <w:r w:rsidRPr="00E14121">
        <w:rPr>
          <w:rFonts w:ascii="Narkisim" w:hAnsi="Narkisim"/>
          <w:rtl/>
        </w:rPr>
        <w:t>.</w:t>
      </w:r>
    </w:p>
    <w:p w14:paraId="7B8C5603" w14:textId="77777777" w:rsidR="00F64AED" w:rsidRPr="00E14121" w:rsidRDefault="00F64AED" w:rsidP="00F64AED">
      <w:pPr>
        <w:bidi/>
        <w:rPr>
          <w:rFonts w:ascii="Narkisim" w:hAnsi="Narkisim" w:cs="Narkisim"/>
        </w:rPr>
      </w:pPr>
      <w:r w:rsidRPr="00E14121">
        <w:rPr>
          <w:rFonts w:ascii="Narkisim" w:hAnsi="Narkisim" w:cs="Narkisim"/>
          <w:u w:val="single"/>
          <w:rtl/>
        </w:rPr>
        <w:t>תוד"ה לא פוסלין.</w:t>
      </w:r>
      <w:r w:rsidRPr="00E14121">
        <w:rPr>
          <w:rFonts w:ascii="Narkisim" w:hAnsi="Narkisim" w:cs="Narkisim"/>
          <w:rtl/>
        </w:rPr>
        <w:t xml:space="preserve"> ואפי' לר"א דאמר פנוי הבא על הפנויה</w:t>
      </w:r>
      <w:r w:rsidRPr="00E14121">
        <w:rPr>
          <w:rStyle w:val="ac"/>
          <w:rFonts w:ascii="Narkisim" w:hAnsi="Narkisim" w:cs="Narkisim"/>
          <w:rtl/>
        </w:rPr>
        <w:footnoteReference w:id="4246"/>
      </w:r>
      <w:r w:rsidRPr="00E14121">
        <w:rPr>
          <w:rFonts w:ascii="Narkisim" w:hAnsi="Narkisim" w:cs="Narkisim"/>
          <w:rtl/>
        </w:rPr>
        <w:t xml:space="preserve"> שלא לשם אישות</w:t>
      </w:r>
      <w:r w:rsidRPr="00E14121">
        <w:rPr>
          <w:rStyle w:val="ac"/>
          <w:rFonts w:ascii="Narkisim" w:hAnsi="Narkisim" w:cs="Narkisim"/>
          <w:rtl/>
        </w:rPr>
        <w:footnoteReference w:id="4247"/>
      </w:r>
      <w:r w:rsidRPr="00E14121">
        <w:rPr>
          <w:rFonts w:ascii="Narkisim" w:hAnsi="Narkisim" w:cs="Narkisim"/>
          <w:rtl/>
        </w:rPr>
        <w:t xml:space="preserve"> עשאה זונה, נראה דלא מיפסלה מתרומה</w:t>
      </w:r>
      <w:r w:rsidRPr="00E14121">
        <w:rPr>
          <w:rStyle w:val="ac"/>
          <w:rFonts w:ascii="Narkisim" w:hAnsi="Narkisim" w:cs="Narkisim"/>
          <w:rtl/>
        </w:rPr>
        <w:footnoteReference w:id="4248"/>
      </w:r>
      <w:r w:rsidRPr="00E14121">
        <w:rPr>
          <w:rFonts w:ascii="Narkisim" w:hAnsi="Narkisim" w:cs="Narkisim"/>
          <w:rtl/>
        </w:rPr>
        <w:t>, דאי"ז איש זר</w:t>
      </w:r>
      <w:r w:rsidRPr="00E14121">
        <w:rPr>
          <w:rStyle w:val="ac"/>
          <w:rFonts w:ascii="Narkisim" w:hAnsi="Narkisim" w:cs="Narkisim"/>
          <w:rtl/>
        </w:rPr>
        <w:footnoteReference w:id="4249"/>
      </w:r>
      <w:r w:rsidRPr="00E14121">
        <w:rPr>
          <w:rFonts w:ascii="Narkisim" w:hAnsi="Narkisim" w:cs="Narkisim"/>
          <w:rtl/>
        </w:rPr>
        <w:t>. ו</w:t>
      </w:r>
      <w:r w:rsidRPr="00E14121">
        <w:rPr>
          <w:rFonts w:ascii="Narkisim" w:hAnsi="Narkisim" w:cs="Narkisim"/>
          <w:b/>
          <w:bCs/>
          <w:rtl/>
        </w:rPr>
        <w:t>רע"א</w:t>
      </w:r>
      <w:r w:rsidRPr="00E14121">
        <w:rPr>
          <w:rFonts w:ascii="Narkisim" w:hAnsi="Narkisim" w:cs="Narkisim"/>
          <w:rtl/>
        </w:rPr>
        <w:t xml:space="preserve"> ציין דב</w:t>
      </w:r>
      <w:r w:rsidRPr="00E14121">
        <w:rPr>
          <w:rFonts w:ascii="Narkisim" w:hAnsi="Narkisim" w:cs="Narkisim"/>
          <w:b/>
          <w:bCs/>
          <w:rtl/>
        </w:rPr>
        <w:t xml:space="preserve">תוס' </w:t>
      </w:r>
      <w:r w:rsidRPr="00E14121">
        <w:rPr>
          <w:rFonts w:ascii="Narkisim" w:hAnsi="Narkisim" w:cs="Narkisim"/>
          <w:rtl/>
        </w:rPr>
        <w:t>(גיטין עג: ד”ה נתן) בפשוטו מבואר דפסל מתרומה</w:t>
      </w:r>
      <w:r w:rsidRPr="00E14121">
        <w:rPr>
          <w:rStyle w:val="ac"/>
          <w:rFonts w:ascii="Narkisim" w:hAnsi="Narkisim" w:cs="Narkisim"/>
          <w:rtl/>
        </w:rPr>
        <w:footnoteReference w:id="4250"/>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w:t>
      </w:r>
      <w:r w:rsidRPr="00E14121">
        <w:rPr>
          <w:rFonts w:ascii="Narkisim" w:hAnsi="Narkisim" w:cs="Narkisim"/>
          <w:sz w:val="20"/>
          <w:szCs w:val="20"/>
          <w:rtl/>
        </w:rPr>
        <w:t>(ר"ש מדסויא, אפיקי ים א טו ד, קוב"ב גיטין, חזו"א טו יט)</w:t>
      </w:r>
      <w:r w:rsidRPr="00E14121">
        <w:rPr>
          <w:rFonts w:ascii="Narkisim" w:hAnsi="Narkisim" w:cs="Narkisim"/>
          <w:rtl/>
        </w:rPr>
        <w:t xml:space="preserve"> ביארו דתליא בצדדים בתוס' האם זונה אסורה בתרומה מחמת השם זונה, דכלליה בהדיא חללה [וכמ"ש </w:t>
      </w:r>
      <w:r w:rsidRPr="00E14121">
        <w:rPr>
          <w:rFonts w:ascii="Narkisim" w:hAnsi="Narkisim" w:cs="Narkisim"/>
          <w:b/>
          <w:bCs/>
          <w:rtl/>
        </w:rPr>
        <w:t>תוס</w:t>
      </w:r>
      <w:r w:rsidRPr="00E14121">
        <w:rPr>
          <w:rFonts w:ascii="Narkisim" w:hAnsi="Narkisim" w:cs="Narkisim"/>
          <w:rtl/>
        </w:rPr>
        <w:t>' לעיל מד: בסו"ד]. או דהוה איסור בפנ"ע דאיש זר. וזה לא שייך בפנוי הבא על הפנויה.</w:t>
      </w:r>
    </w:p>
    <w:p w14:paraId="51CCA753" w14:textId="77777777" w:rsidR="00F64AED" w:rsidRPr="00E14121" w:rsidRDefault="00F64AED" w:rsidP="00F64AED">
      <w:pPr>
        <w:pStyle w:val="aa"/>
        <w:bidi/>
        <w:rPr>
          <w:rFonts w:ascii="Narkisim" w:hAnsi="Narkisim"/>
        </w:rPr>
      </w:pPr>
      <w:r w:rsidRPr="00E14121">
        <w:rPr>
          <w:rFonts w:ascii="Narkisim" w:hAnsi="Narkisim"/>
          <w:u w:val="single"/>
          <w:rtl/>
        </w:rPr>
        <w:t>שם. ואפי' לר"א</w:t>
      </w:r>
      <w:r w:rsidRPr="00E14121">
        <w:rPr>
          <w:rFonts w:ascii="Narkisim" w:hAnsi="Narkisim"/>
          <w:rtl/>
        </w:rPr>
        <w:t>. ה</w:t>
      </w:r>
      <w:r w:rsidRPr="00E14121">
        <w:rPr>
          <w:rFonts w:ascii="Narkisim" w:hAnsi="Narkisim"/>
          <w:b/>
          <w:bCs/>
          <w:rtl/>
        </w:rPr>
        <w:t>מצפ"א</w:t>
      </w:r>
      <w:r w:rsidRPr="00E14121">
        <w:rPr>
          <w:rFonts w:ascii="Narkisim" w:hAnsi="Narkisim"/>
          <w:rtl/>
        </w:rPr>
        <w:t xml:space="preserve"> הביא דב</w:t>
      </w:r>
      <w:r w:rsidRPr="00E14121">
        <w:rPr>
          <w:rFonts w:ascii="Narkisim" w:hAnsi="Narkisim"/>
          <w:b/>
          <w:bCs/>
          <w:rtl/>
        </w:rPr>
        <w:t>ירושלמי</w:t>
      </w:r>
      <w:r w:rsidRPr="00E14121">
        <w:rPr>
          <w:rFonts w:ascii="Narkisim" w:hAnsi="Narkisim"/>
          <w:rtl/>
        </w:rPr>
        <w:t xml:space="preserve"> איתא דמתני' דלא כר"א, דלר"א עשאה זונה. ומבואר דפסולה לתרומה. ובפשוטו דעת הירושלמי כתוס' גיטין (הנ"ל) דכל זונה אסורה בתרומה (וכ"כ מפרשי הירושלמי). והמצפ"א כת' די"ל דדעת הירושלמי דל"צ זר מעיקרא.</w:t>
      </w:r>
    </w:p>
    <w:p w14:paraId="333C0D45" w14:textId="77777777" w:rsidR="00F64AED" w:rsidRPr="00E14121" w:rsidRDefault="00F64AED" w:rsidP="00F64AED">
      <w:pPr>
        <w:pStyle w:val="3"/>
        <w:bidi/>
        <w:rPr>
          <w:rFonts w:ascii="Narkisim" w:hAnsi="Narkisim"/>
        </w:rPr>
      </w:pPr>
      <w:r w:rsidRPr="00E14121">
        <w:rPr>
          <w:rFonts w:ascii="Narkisim" w:hAnsi="Narkisim"/>
          <w:rtl/>
        </w:rPr>
        <w:t>דף סט:</w:t>
      </w:r>
    </w:p>
    <w:p w14:paraId="21D5DC0C" w14:textId="77777777" w:rsidR="00F64AED" w:rsidRPr="00E14121" w:rsidRDefault="00F64AED" w:rsidP="00F64AED">
      <w:pPr>
        <w:pStyle w:val="aa"/>
        <w:bidi/>
        <w:rPr>
          <w:rFonts w:ascii="Narkisim" w:hAnsi="Narkisim"/>
        </w:rPr>
      </w:pPr>
      <w:r w:rsidRPr="00E14121">
        <w:rPr>
          <w:rFonts w:ascii="Narkisim" w:hAnsi="Narkisim"/>
          <w:u w:val="single"/>
          <w:rtl/>
        </w:rPr>
        <w:t>ילדה תאכל.</w:t>
      </w:r>
      <w:r w:rsidRPr="00E14121">
        <w:rPr>
          <w:rFonts w:ascii="Narkisim" w:hAnsi="Narkisim"/>
          <w:rtl/>
        </w:rPr>
        <w:t xml:space="preserve"> מבואר דבן מכהן מאכיל אף דרך זנות. [ואף דלכאורה בזנות לא שייך גדר המשכת האישות. וע' מש”כ בזה לעיל סז:].</w:t>
      </w:r>
    </w:p>
    <w:p w14:paraId="246772E1" w14:textId="77777777" w:rsidR="00F64AED" w:rsidRPr="00E14121" w:rsidRDefault="00F64AED" w:rsidP="00F64AED">
      <w:pPr>
        <w:pStyle w:val="aa"/>
        <w:bidi/>
        <w:rPr>
          <w:rFonts w:ascii="Narkisim" w:hAnsi="Narkisim"/>
        </w:rPr>
      </w:pPr>
      <w:r w:rsidRPr="00E14121">
        <w:rPr>
          <w:rFonts w:ascii="Narkisim" w:hAnsi="Narkisim"/>
          <w:u w:val="single"/>
          <w:rtl/>
        </w:rPr>
        <w:t>נחתך העובר במעיה תאכל</w:t>
      </w:r>
      <w:r w:rsidRPr="00E14121">
        <w:rPr>
          <w:rFonts w:ascii="Narkisim" w:hAnsi="Narkisim"/>
          <w:rtl/>
        </w:rPr>
        <w:t>. לכאורה משמע דוקא נחתך, אבל בעודו שלם פוסל. אף על הצד שיתברר לבסוף שיהיה נפל</w:t>
      </w:r>
      <w:r w:rsidRPr="00E14121">
        <w:rPr>
          <w:rStyle w:val="ac"/>
          <w:rFonts w:ascii="Narkisim" w:hAnsi="Narkisim"/>
          <w:rtl/>
        </w:rPr>
        <w:footnoteReference w:id="4251"/>
      </w:r>
      <w:r w:rsidRPr="00E14121">
        <w:rPr>
          <w:rFonts w:ascii="Narkisim" w:hAnsi="Narkisim"/>
          <w:rtl/>
        </w:rPr>
        <w:t>.</w:t>
      </w:r>
    </w:p>
    <w:p w14:paraId="2FAEF642" w14:textId="77777777" w:rsidR="00F64AED" w:rsidRPr="00E14121" w:rsidRDefault="00F64AED" w:rsidP="00F64AED">
      <w:pPr>
        <w:pStyle w:val="aa"/>
        <w:bidi/>
        <w:rPr>
          <w:rFonts w:ascii="Narkisim" w:hAnsi="Narkisim"/>
        </w:rPr>
      </w:pPr>
      <w:r w:rsidRPr="00E14121">
        <w:rPr>
          <w:rFonts w:ascii="Narkisim" w:hAnsi="Narkisim"/>
          <w:u w:val="single"/>
          <w:rtl/>
        </w:rPr>
        <w:t>ונכבש על השפחה</w:t>
      </w:r>
      <w:r w:rsidRPr="00E14121">
        <w:rPr>
          <w:rFonts w:ascii="Narkisim" w:hAnsi="Narkisim"/>
          <w:rtl/>
        </w:rPr>
        <w:t>. פ</w:t>
      </w:r>
      <w:r w:rsidRPr="00E14121">
        <w:rPr>
          <w:rFonts w:ascii="Narkisim" w:hAnsi="Narkisim"/>
          <w:b/>
          <w:bCs/>
          <w:rtl/>
        </w:rPr>
        <w:t xml:space="preserve">רש"י </w:t>
      </w:r>
      <w:r w:rsidRPr="00E14121">
        <w:rPr>
          <w:rFonts w:ascii="Narkisim" w:hAnsi="Narkisim"/>
          <w:rtl/>
        </w:rPr>
        <w:t>דנקטו לשון גנאי</w:t>
      </w:r>
      <w:r w:rsidRPr="00E14121">
        <w:rPr>
          <w:rStyle w:val="ac"/>
          <w:rFonts w:ascii="Narkisim" w:hAnsi="Narkisim"/>
          <w:rtl/>
        </w:rPr>
        <w:footnoteReference w:id="4252"/>
      </w:r>
      <w:r w:rsidRPr="00E14121">
        <w:rPr>
          <w:rFonts w:ascii="Narkisim" w:hAnsi="Narkisim"/>
          <w:rtl/>
        </w:rPr>
        <w:t>, שנדחק</w:t>
      </w:r>
      <w:r w:rsidRPr="00E14121">
        <w:rPr>
          <w:rStyle w:val="ac"/>
          <w:rFonts w:ascii="Narkisim" w:hAnsi="Narkisim"/>
          <w:rtl/>
        </w:rPr>
        <w:footnoteReference w:id="4253"/>
      </w:r>
      <w:r w:rsidRPr="00E14121">
        <w:rPr>
          <w:rFonts w:ascii="Narkisim" w:hAnsi="Narkisim"/>
          <w:rtl/>
        </w:rPr>
        <w:t>. ו</w:t>
      </w:r>
      <w:r w:rsidRPr="00E14121">
        <w:rPr>
          <w:rFonts w:ascii="Narkisim" w:hAnsi="Narkisim"/>
          <w:b/>
          <w:bCs/>
          <w:rtl/>
        </w:rPr>
        <w:t>תוס</w:t>
      </w:r>
      <w:r w:rsidRPr="00E14121">
        <w:rPr>
          <w:rFonts w:ascii="Narkisim" w:hAnsi="Narkisim"/>
          <w:rtl/>
        </w:rPr>
        <w:t>' הק' מ"ש דבעבד על בת ישראל נקטו לשון נישואין. וה</w:t>
      </w:r>
      <w:r w:rsidRPr="00E14121">
        <w:rPr>
          <w:rFonts w:ascii="Narkisim" w:hAnsi="Narkisim"/>
          <w:b/>
          <w:bCs/>
          <w:rtl/>
        </w:rPr>
        <w:t>אחרונים</w:t>
      </w:r>
      <w:r w:rsidRPr="00E14121">
        <w:rPr>
          <w:rFonts w:ascii="Narkisim" w:hAnsi="Narkisim"/>
          <w:rtl/>
        </w:rPr>
        <w:t xml:space="preserve"> תי' דאשה נמשכת טפי אחר העכו"ם, וכדדרשי' כי יסיר. ומש”ה קראו בשם נישואין אף דהוה זר.</w:t>
      </w:r>
    </w:p>
    <w:p w14:paraId="662A179E" w14:textId="77777777" w:rsidR="00F64AED" w:rsidRPr="00E14121" w:rsidRDefault="00F64AED" w:rsidP="00F64AED">
      <w:pPr>
        <w:pStyle w:val="2"/>
        <w:bidi/>
        <w:rPr>
          <w:rFonts w:ascii="Narkisim" w:hAnsi="Narkisim"/>
        </w:rPr>
      </w:pPr>
      <w:r w:rsidRPr="00E14121">
        <w:rPr>
          <w:rFonts w:ascii="Narkisim" w:hAnsi="Narkisim"/>
          <w:rtl/>
        </w:rPr>
        <w:t>ממזר מאכיל</w:t>
      </w:r>
    </w:p>
    <w:p w14:paraId="77D8F9D6" w14:textId="77777777" w:rsidR="00F64AED" w:rsidRPr="00E14121" w:rsidRDefault="00F64AED" w:rsidP="00F64AED">
      <w:pPr>
        <w:bidi/>
        <w:rPr>
          <w:rFonts w:ascii="Narkisim" w:hAnsi="Narkisim" w:cs="Narkisim"/>
        </w:rPr>
      </w:pPr>
      <w:r w:rsidRPr="00E14121">
        <w:rPr>
          <w:rFonts w:ascii="Narkisim" w:hAnsi="Narkisim" w:cs="Narkisim"/>
          <w:u w:val="single"/>
          <w:rtl/>
        </w:rPr>
        <w:t>ממזר פוסל ומאכיל</w:t>
      </w:r>
      <w:r w:rsidRPr="00E14121">
        <w:rPr>
          <w:rFonts w:ascii="Narkisim" w:hAnsi="Narkisim" w:cs="Narkisim"/>
          <w:rtl/>
        </w:rPr>
        <w:t>. הגמ' (לעיל סו.) מביאה מכאן דאע"פ שאינו אוכל מאכיל [דלא כמ”ד התם דבעינן שמי שגורם להאכיל בתרומה יאכל]. ותוס' (לעיל סז. ד"ה למאי) כת' דאפי' זר מאכיל את אמו</w:t>
      </w:r>
      <w:r w:rsidRPr="00E14121">
        <w:rPr>
          <w:rStyle w:val="ac"/>
          <w:rFonts w:ascii="Narkisim" w:hAnsi="Narkisim" w:cs="Narkisim"/>
          <w:rtl/>
        </w:rPr>
        <w:footnoteReference w:id="4254"/>
      </w:r>
      <w:r w:rsidRPr="00E14121">
        <w:rPr>
          <w:rFonts w:ascii="Narkisim" w:hAnsi="Narkisim" w:cs="Narkisim"/>
          <w:rtl/>
        </w:rPr>
        <w:t>, ואפי' ממזר [כדאמרי' הכא]. [וע' מש"כ לעיל סז: דבפשוטו מבואר דאוכלת מחמת האב, דהאיך בן זר יאכיל בתרומה].</w:t>
      </w:r>
    </w:p>
    <w:p w14:paraId="59F58718"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מאירי</w:t>
      </w:r>
      <w:r w:rsidRPr="00E14121">
        <w:rPr>
          <w:rFonts w:ascii="Narkisim" w:hAnsi="Narkisim"/>
          <w:rtl/>
        </w:rPr>
        <w:t xml:space="preserve"> הביא </w:t>
      </w:r>
      <w:r w:rsidRPr="00E14121">
        <w:rPr>
          <w:rFonts w:ascii="Narkisim" w:hAnsi="Narkisim"/>
          <w:b/>
          <w:bCs/>
          <w:rtl/>
        </w:rPr>
        <w:t>מקצת</w:t>
      </w:r>
      <w:r w:rsidRPr="00E14121">
        <w:rPr>
          <w:rFonts w:ascii="Narkisim" w:hAnsi="Narkisim"/>
          <w:rtl/>
        </w:rPr>
        <w:t xml:space="preserve"> </w:t>
      </w:r>
      <w:r w:rsidRPr="00E14121">
        <w:rPr>
          <w:rFonts w:ascii="Narkisim" w:hAnsi="Narkisim"/>
          <w:b/>
          <w:bCs/>
          <w:rtl/>
        </w:rPr>
        <w:t>חידושין</w:t>
      </w:r>
      <w:r w:rsidRPr="00E14121">
        <w:rPr>
          <w:rFonts w:ascii="Narkisim" w:hAnsi="Narkisim"/>
          <w:rtl/>
        </w:rPr>
        <w:t xml:space="preserve"> שלמדו מכאן דהממזר אוכל בתרומה</w:t>
      </w:r>
      <w:r w:rsidRPr="00E14121">
        <w:rPr>
          <w:rStyle w:val="ac"/>
          <w:rFonts w:ascii="Narkisim" w:hAnsi="Narkisim"/>
          <w:rtl/>
        </w:rPr>
        <w:footnoteReference w:id="4255"/>
      </w:r>
      <w:r w:rsidRPr="00E14121">
        <w:rPr>
          <w:rFonts w:ascii="Narkisim" w:hAnsi="Narkisim"/>
          <w:rtl/>
        </w:rPr>
        <w:t xml:space="preserve">. דאל"כ היאך </w:t>
      </w:r>
      <w:r w:rsidRPr="00E14121">
        <w:rPr>
          <w:rFonts w:ascii="Narkisim" w:hAnsi="Narkisim"/>
          <w:rtl/>
        </w:rPr>
        <w:lastRenderedPageBreak/>
        <w:t>יאכיל בתרומה. וה</w:t>
      </w:r>
      <w:r w:rsidRPr="00E14121">
        <w:rPr>
          <w:rFonts w:ascii="Narkisim" w:hAnsi="Narkisim"/>
          <w:b/>
          <w:bCs/>
          <w:rtl/>
        </w:rPr>
        <w:t>מאירי</w:t>
      </w:r>
      <w:r w:rsidRPr="00E14121">
        <w:rPr>
          <w:rFonts w:ascii="Narkisim" w:hAnsi="Narkisim"/>
          <w:rtl/>
        </w:rPr>
        <w:t xml:space="preserve"> חלק דא"א לומר כן דאמרי' בריש פירקין דאינו אוכל ומאכיל. ואין זה תימה היאך מאכיל דאפי' נשאת הבת לישראל, הישראל מאכיל את אם אמו. </w:t>
      </w:r>
      <w:r w:rsidRPr="00E14121">
        <w:rPr>
          <w:rFonts w:ascii="Narkisim" w:hAnsi="Narkisim"/>
          <w:sz w:val="20"/>
          <w:szCs w:val="20"/>
          <w:rtl/>
        </w:rPr>
        <w:t>[ויש שדנו דדעת המקצת חידושין דולד מזר אינו מאכיל. וזרע זרעה הוה רק מכהן. וצ"ע</w:t>
      </w:r>
      <w:r w:rsidRPr="00E14121">
        <w:rPr>
          <w:rStyle w:val="ac"/>
          <w:rFonts w:ascii="Narkisim" w:hAnsi="Narkisim"/>
          <w:sz w:val="20"/>
          <w:szCs w:val="20"/>
          <w:rtl/>
        </w:rPr>
        <w:footnoteReference w:id="4256"/>
      </w:r>
      <w:r w:rsidRPr="00E14121">
        <w:rPr>
          <w:rFonts w:ascii="Narkisim" w:hAnsi="Narkisim"/>
          <w:sz w:val="20"/>
          <w:szCs w:val="20"/>
          <w:rtl/>
        </w:rPr>
        <w:t>].</w:t>
      </w:r>
    </w:p>
    <w:p w14:paraId="3B4C8367" w14:textId="77777777" w:rsidR="00F64AED" w:rsidRPr="00E14121" w:rsidRDefault="00F64AED" w:rsidP="00F64AED">
      <w:pPr>
        <w:bidi/>
        <w:rPr>
          <w:rFonts w:ascii="Narkisim" w:hAnsi="Narkisim" w:cs="Narkisim"/>
        </w:rPr>
      </w:pPr>
      <w:r w:rsidRPr="00E14121">
        <w:rPr>
          <w:rFonts w:ascii="Narkisim" w:hAnsi="Narkisim" w:cs="Narkisim"/>
          <w:u w:val="single"/>
          <w:rtl/>
        </w:rPr>
        <w:t>כיצד וכו' ילדה בת והלכה הבת וכו'.</w:t>
      </w:r>
      <w:r w:rsidRPr="00E14121">
        <w:rPr>
          <w:rFonts w:ascii="Narkisim" w:hAnsi="Narkisim" w:cs="Narkisim"/>
          <w:rtl/>
        </w:rPr>
        <w:t xml:space="preserve"> </w:t>
      </w:r>
      <w:r w:rsidRPr="00E14121">
        <w:rPr>
          <w:rFonts w:ascii="Narkisim" w:hAnsi="Narkisim" w:cs="Narkisim"/>
          <w:b/>
          <w:bCs/>
          <w:rtl/>
        </w:rPr>
        <w:t>רש"י</w:t>
      </w:r>
      <w:r w:rsidRPr="00E14121">
        <w:rPr>
          <w:rFonts w:ascii="Narkisim" w:hAnsi="Narkisim" w:cs="Narkisim"/>
          <w:rtl/>
        </w:rPr>
        <w:t xml:space="preserve"> (סח:) וה</w:t>
      </w:r>
      <w:r w:rsidRPr="00E14121">
        <w:rPr>
          <w:rFonts w:ascii="Narkisim" w:hAnsi="Narkisim" w:cs="Narkisim"/>
          <w:b/>
          <w:bCs/>
          <w:rtl/>
        </w:rPr>
        <w:t>ריטב"א</w:t>
      </w:r>
      <w:r w:rsidRPr="00E14121">
        <w:rPr>
          <w:rFonts w:ascii="Narkisim" w:hAnsi="Narkisim" w:cs="Narkisim"/>
          <w:rtl/>
        </w:rPr>
        <w:t xml:space="preserve"> הוכיחו מכאן דחייבי כריתות פסלי בביאתם, דאל"כ משכח"ל דממזר פוסל ומאכיל את אמו. וכן אם ממזר בא עליה פסלה בביאתה. וה</w:t>
      </w:r>
      <w:r w:rsidRPr="00E14121">
        <w:rPr>
          <w:rFonts w:ascii="Narkisim" w:hAnsi="Narkisim" w:cs="Narkisim"/>
          <w:b/>
          <w:bCs/>
          <w:rtl/>
        </w:rPr>
        <w:t>מגיה לאבנ"מ</w:t>
      </w:r>
      <w:r w:rsidRPr="00E14121">
        <w:rPr>
          <w:rFonts w:ascii="Narkisim" w:hAnsi="Narkisim" w:cs="Narkisim"/>
          <w:rtl/>
        </w:rPr>
        <w:t xml:space="preserve"> (קעד ג) כתב דמדברי רש"י משמע דממזר כהן אוכל בתרומה</w:t>
      </w:r>
      <w:r w:rsidRPr="00E14121">
        <w:rPr>
          <w:rFonts w:ascii="Narkisim" w:hAnsi="Narkisim" w:cs="Narkisim"/>
          <w:sz w:val="20"/>
          <w:szCs w:val="20"/>
          <w:rtl/>
        </w:rPr>
        <w:t xml:space="preserve"> [דאל"כ היאך יאכיל את אמו. וע”ד המקצת חידושין, ויל”פ כוונתו דבשלמא בן הבת ממזר, נחשב עי"ז שהבת קיימת]</w:t>
      </w:r>
      <w:r w:rsidRPr="00E14121">
        <w:rPr>
          <w:rFonts w:ascii="Narkisim" w:hAnsi="Narkisim" w:cs="Narkisim"/>
          <w:rtl/>
        </w:rPr>
        <w:t>.</w:t>
      </w:r>
    </w:p>
    <w:p w14:paraId="0159DE8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w:t>
      </w:r>
      <w:r w:rsidRPr="00E14121">
        <w:rPr>
          <w:rFonts w:ascii="Narkisim" w:hAnsi="Narkisim"/>
          <w:szCs w:val="20"/>
          <w:rtl/>
        </w:rPr>
        <w:t>(קוב"ש ב"ב שכ, חזו"א טו ז</w:t>
      </w:r>
      <w:r w:rsidRPr="00E14121">
        <w:rPr>
          <w:rFonts w:ascii="Narkisim" w:hAnsi="Narkisim"/>
          <w:rtl/>
        </w:rPr>
        <w:t>) הקשו דמשכח"ל בעיברה באמבטי, למש"כ ה</w:t>
      </w:r>
      <w:r w:rsidRPr="00E14121">
        <w:rPr>
          <w:rFonts w:ascii="Narkisim" w:hAnsi="Narkisim"/>
          <w:b/>
          <w:bCs/>
          <w:rtl/>
        </w:rPr>
        <w:t>פוסקים</w:t>
      </w:r>
      <w:r w:rsidRPr="00E14121">
        <w:rPr>
          <w:rFonts w:ascii="Narkisim" w:hAnsi="Narkisim"/>
          <w:rtl/>
        </w:rPr>
        <w:t xml:space="preserve"> (ע' חלק"מ א ח, בי"ש א יב) דמתייחס אחר אביו, ולכאו' לא שייך בזה פסול ביאה. ופוסל ומאכיל את אמו. [וא"כ משכח"ל כהן ממזר]. וה</w:t>
      </w:r>
      <w:r w:rsidRPr="00E14121">
        <w:rPr>
          <w:rFonts w:ascii="Narkisim" w:hAnsi="Narkisim"/>
          <w:b/>
          <w:bCs/>
          <w:rtl/>
        </w:rPr>
        <w:t>חזו”א</w:t>
      </w:r>
      <w:r w:rsidRPr="00E14121">
        <w:rPr>
          <w:rFonts w:ascii="Narkisim" w:hAnsi="Narkisim"/>
          <w:rtl/>
        </w:rPr>
        <w:t xml:space="preserve"> תי' דלא מיירי בהכי</w:t>
      </w:r>
      <w:r w:rsidRPr="00E14121">
        <w:rPr>
          <w:rStyle w:val="ac"/>
          <w:rFonts w:ascii="Narkisim" w:hAnsi="Narkisim"/>
          <w:rtl/>
        </w:rPr>
        <w:footnoteReference w:id="4257"/>
      </w:r>
      <w:r w:rsidRPr="00E14121">
        <w:rPr>
          <w:rFonts w:ascii="Narkisim" w:hAnsi="Narkisim"/>
          <w:rtl/>
        </w:rPr>
        <w:t>. ועוד הביא דה</w:t>
      </w:r>
      <w:r w:rsidRPr="00E14121">
        <w:rPr>
          <w:rFonts w:ascii="Narkisim" w:hAnsi="Narkisim"/>
          <w:b/>
          <w:bCs/>
          <w:rtl/>
        </w:rPr>
        <w:t>משנ”ל</w:t>
      </w:r>
      <w:r w:rsidRPr="00E14121">
        <w:rPr>
          <w:rFonts w:ascii="Narkisim" w:hAnsi="Narkisim"/>
          <w:rtl/>
        </w:rPr>
        <w:t xml:space="preserve"> (אישות טו ד) כתב דאינו ממזר, דלא בא מביאת איסור.</w:t>
      </w:r>
    </w:p>
    <w:p w14:paraId="6FBAF89F" w14:textId="77777777" w:rsidR="00F64AED" w:rsidRPr="00E14121" w:rsidRDefault="00F64AED" w:rsidP="00F64AED">
      <w:pPr>
        <w:pStyle w:val="a8"/>
        <w:bidi/>
        <w:rPr>
          <w:rFonts w:ascii="Narkisim" w:hAnsi="Narkisim"/>
        </w:rPr>
      </w:pPr>
      <w:r w:rsidRPr="00E14121">
        <w:rPr>
          <w:rFonts w:ascii="Narkisim" w:hAnsi="Narkisim"/>
          <w:rtl/>
        </w:rPr>
        <w:t>ועוד יש שדנו דכה"ג לא יאכיל בתרומה, דבזרע זו ל"ש קשר אישות בינה לכהן.</w:t>
      </w:r>
    </w:p>
    <w:p w14:paraId="72E0D735" w14:textId="77777777" w:rsidR="00F64AED" w:rsidRPr="00E14121" w:rsidRDefault="00F64AED" w:rsidP="00F64AED">
      <w:pPr>
        <w:bidi/>
        <w:rPr>
          <w:rFonts w:ascii="Narkisim" w:hAnsi="Narkisim" w:cs="Narkisim"/>
        </w:rPr>
      </w:pPr>
      <w:r w:rsidRPr="00E14121">
        <w:rPr>
          <w:rFonts w:ascii="Narkisim" w:hAnsi="Narkisim" w:cs="Narkisim"/>
          <w:u w:val="single"/>
          <w:rtl/>
        </w:rPr>
        <w:t>הרי זה ממזר.</w:t>
      </w:r>
      <w:r w:rsidRPr="00E14121">
        <w:rPr>
          <w:rFonts w:ascii="Narkisim" w:hAnsi="Narkisim" w:cs="Narkisim"/>
          <w:rtl/>
        </w:rPr>
        <w:t xml:space="preserve"> כמ"ד דעכו"ם ועבד הבא על ב"י הולד ממזר. ואילו לגבי ישראל הבא על שפחה מבואר דהולד אינו מתייחס אחריו. ו</w:t>
      </w:r>
      <w:r w:rsidRPr="00E14121">
        <w:rPr>
          <w:rFonts w:ascii="Narkisim" w:hAnsi="Narkisim" w:cs="Narkisim"/>
          <w:b/>
          <w:bCs/>
          <w:rtl/>
        </w:rPr>
        <w:t>רע"א</w:t>
      </w:r>
      <w:r w:rsidRPr="00E14121">
        <w:rPr>
          <w:rFonts w:ascii="Narkisim" w:hAnsi="Narkisim" w:cs="Narkisim"/>
          <w:rtl/>
        </w:rPr>
        <w:t xml:space="preserve"> תמה מכאן על </w:t>
      </w:r>
      <w:r w:rsidRPr="00E14121">
        <w:rPr>
          <w:rFonts w:ascii="Narkisim" w:hAnsi="Narkisim" w:cs="Narkisim"/>
          <w:b/>
          <w:bCs/>
          <w:rtl/>
        </w:rPr>
        <w:t>תוס</w:t>
      </w:r>
      <w:r w:rsidRPr="00E14121">
        <w:rPr>
          <w:rFonts w:ascii="Narkisim" w:hAnsi="Narkisim" w:cs="Narkisim"/>
          <w:rtl/>
        </w:rPr>
        <w:t>' (לעיל טז: ד"ה עכו”ם), דלמ"ד עכו"ם הבא על בת ישראל הולד ממזר, ה"ה ישראל הבא על שפחה הולד ממזר.</w:t>
      </w:r>
    </w:p>
    <w:p w14:paraId="36AD03C4"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ריטב"א </w:t>
      </w:r>
      <w:r w:rsidRPr="00E14121">
        <w:rPr>
          <w:rFonts w:ascii="Narkisim" w:hAnsi="Narkisim" w:cs="Narkisim"/>
          <w:rtl/>
        </w:rPr>
        <w:t>כתב ה"ה דהוה מצי למימר נשאת לממזר או א' מחייבי כריתות , אלא אגב רישא.</w:t>
      </w:r>
    </w:p>
    <w:p w14:paraId="26764541" w14:textId="77777777" w:rsidR="00F64AED" w:rsidRPr="00E14121" w:rsidRDefault="00F64AED" w:rsidP="00F64AED">
      <w:pPr>
        <w:pStyle w:val="aa"/>
        <w:bidi/>
        <w:rPr>
          <w:rFonts w:ascii="Narkisim" w:hAnsi="Narkisim"/>
        </w:rPr>
      </w:pPr>
      <w:r w:rsidRPr="00E14121">
        <w:rPr>
          <w:rFonts w:ascii="Narkisim" w:hAnsi="Narkisim"/>
          <w:u w:val="single"/>
          <w:rtl/>
        </w:rPr>
        <w:t>וקטן שנשאו וכו' פטורות מהחליצה.</w:t>
      </w:r>
      <w:r w:rsidRPr="00E14121">
        <w:rPr>
          <w:rFonts w:ascii="Narkisim" w:hAnsi="Narkisim"/>
          <w:rtl/>
        </w:rPr>
        <w:t xml:space="preserve"> דעת </w:t>
      </w:r>
      <w:r w:rsidRPr="00E14121">
        <w:rPr>
          <w:rFonts w:ascii="Narkisim" w:hAnsi="Narkisim"/>
          <w:b/>
          <w:bCs/>
          <w:rtl/>
        </w:rPr>
        <w:t>רוב</w:t>
      </w:r>
      <w:r w:rsidRPr="00E14121">
        <w:rPr>
          <w:rFonts w:ascii="Narkisim" w:hAnsi="Narkisim"/>
          <w:rtl/>
        </w:rPr>
        <w:t xml:space="preserve"> </w:t>
      </w:r>
      <w:r w:rsidRPr="00E14121">
        <w:rPr>
          <w:rFonts w:ascii="Narkisim" w:hAnsi="Narkisim"/>
          <w:b/>
          <w:bCs/>
          <w:rtl/>
        </w:rPr>
        <w:t>ראשונים</w:t>
      </w:r>
      <w:r w:rsidRPr="00E14121">
        <w:rPr>
          <w:rFonts w:ascii="Narkisim" w:hAnsi="Narkisim"/>
          <w:rtl/>
        </w:rPr>
        <w:t xml:space="preserve"> דלא תקנו לקטן אישות כלל [לענין גט]. אבל ה</w:t>
      </w:r>
      <w:r w:rsidRPr="00E14121">
        <w:rPr>
          <w:rFonts w:ascii="Narkisim" w:hAnsi="Narkisim"/>
          <w:b/>
          <w:bCs/>
          <w:rtl/>
        </w:rPr>
        <w:t>ב"ח</w:t>
      </w:r>
      <w:r w:rsidRPr="00E14121">
        <w:rPr>
          <w:rFonts w:ascii="Narkisim" w:hAnsi="Narkisim"/>
          <w:rtl/>
        </w:rPr>
        <w:t xml:space="preserve"> (א ג) כתב דהכא איירי שקידש בעצמו, אבל כשאביו קידש לו אשה בשנה הסמוך לפרקו, צריכה גט. וע' תוס' (לעיל סב:).</w:t>
      </w:r>
    </w:p>
    <w:p w14:paraId="224B9A4B" w14:textId="77777777" w:rsidR="00F64AED" w:rsidRPr="00E14121" w:rsidRDefault="00F64AED" w:rsidP="00F64AED">
      <w:pPr>
        <w:bidi/>
        <w:rPr>
          <w:rFonts w:ascii="Narkisim" w:hAnsi="Narkisim" w:cs="Narkisim"/>
        </w:rPr>
      </w:pPr>
      <w:r w:rsidRPr="00E14121">
        <w:rPr>
          <w:rFonts w:ascii="Narkisim" w:hAnsi="Narkisim" w:cs="Narkisim"/>
          <w:u w:val="single"/>
          <w:rtl/>
        </w:rPr>
        <w:t>וליחוש שמא עיברה וכו'</w:t>
      </w:r>
      <w:r w:rsidRPr="00E14121">
        <w:rPr>
          <w:rFonts w:ascii="Narkisim" w:hAnsi="Narkisim" w:cs="Narkisim"/>
          <w:rtl/>
        </w:rPr>
        <w:t>. ואף בביאה א' חיישינן</w:t>
      </w:r>
      <w:r w:rsidRPr="00E14121">
        <w:rPr>
          <w:rStyle w:val="ac"/>
          <w:rFonts w:ascii="Narkisim" w:hAnsi="Narkisim" w:cs="Narkisim"/>
          <w:rtl/>
        </w:rPr>
        <w:footnoteReference w:id="4258"/>
      </w:r>
      <w:r w:rsidRPr="00E14121">
        <w:rPr>
          <w:rFonts w:ascii="Narkisim" w:hAnsi="Narkisim" w:cs="Narkisim"/>
          <w:rtl/>
        </w:rPr>
        <w:t xml:space="preserve">, כ"פ </w:t>
      </w:r>
      <w:r w:rsidRPr="00E14121">
        <w:rPr>
          <w:rFonts w:ascii="Narkisim" w:hAnsi="Narkisim" w:cs="Narkisim"/>
          <w:b/>
          <w:bCs/>
          <w:rtl/>
        </w:rPr>
        <w:t>רש"י</w:t>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כת' דקושיית הגמ' כשהיתה בעולה מעיקרא</w:t>
      </w:r>
      <w:r w:rsidRPr="00E14121">
        <w:rPr>
          <w:rStyle w:val="ac"/>
          <w:rFonts w:ascii="Narkisim" w:hAnsi="Narkisim" w:cs="Narkisim"/>
          <w:rtl/>
        </w:rPr>
        <w:footnoteReference w:id="4259"/>
      </w:r>
      <w:r w:rsidRPr="00E14121">
        <w:rPr>
          <w:rFonts w:ascii="Narkisim" w:hAnsi="Narkisim" w:cs="Narkisim"/>
          <w:rtl/>
        </w:rPr>
        <w:t>, דהמשנה איירי סתם בכל אופן</w:t>
      </w:r>
      <w:r w:rsidRPr="00E14121">
        <w:rPr>
          <w:rStyle w:val="ac"/>
          <w:rFonts w:ascii="Narkisim" w:hAnsi="Narkisim" w:cs="Narkisim"/>
          <w:rtl/>
        </w:rPr>
        <w:footnoteReference w:id="4260"/>
      </w:r>
      <w:r w:rsidRPr="00E14121">
        <w:rPr>
          <w:rFonts w:ascii="Narkisim" w:hAnsi="Narkisim" w:cs="Narkisim"/>
          <w:rtl/>
        </w:rPr>
        <w:t>.</w:t>
      </w:r>
    </w:p>
    <w:p w14:paraId="496AF441" w14:textId="77777777" w:rsidR="00F64AED" w:rsidRPr="00E14121" w:rsidRDefault="00F64AED" w:rsidP="00F64AED">
      <w:pPr>
        <w:bidi/>
        <w:rPr>
          <w:rFonts w:ascii="Narkisim" w:hAnsi="Narkisim" w:cs="Narkisim"/>
        </w:rPr>
      </w:pPr>
      <w:r w:rsidRPr="00E14121">
        <w:rPr>
          <w:rFonts w:ascii="Narkisim" w:hAnsi="Narkisim" w:cs="Narkisim"/>
          <w:u w:val="single"/>
          <w:rtl/>
        </w:rPr>
        <w:t>מי לא תנן (לעיל לג:) מפרישין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אלמא לחדא ביאה חיישינן. וה</w:t>
      </w:r>
      <w:r w:rsidRPr="00E14121">
        <w:rPr>
          <w:rFonts w:ascii="Narkisim" w:hAnsi="Narkisim" w:cs="Narkisim"/>
          <w:b/>
          <w:bCs/>
          <w:rtl/>
        </w:rPr>
        <w:t xml:space="preserve">ריטב”א </w:t>
      </w:r>
      <w:r w:rsidRPr="00E14121">
        <w:rPr>
          <w:rFonts w:ascii="Narkisim" w:hAnsi="Narkisim" w:cs="Narkisim"/>
          <w:rtl/>
        </w:rPr>
        <w:t>הק' דאוקימנא (לעיל לד.) כשבעלו ושנו. ותי' דהתם בבתולות בעילה ראשונה אינה מהמנין, דאינה מתעברת מביאה ראשונה.</w:t>
      </w:r>
    </w:p>
    <w:p w14:paraId="2729469E" w14:textId="77777777" w:rsidR="00F64AED" w:rsidRPr="00E14121" w:rsidRDefault="00F64AED" w:rsidP="00F64AED">
      <w:pPr>
        <w:bidi/>
        <w:rPr>
          <w:rFonts w:ascii="Narkisim" w:hAnsi="Narkisim" w:cs="Narkisim"/>
        </w:rPr>
      </w:pPr>
      <w:r w:rsidRPr="00E14121">
        <w:rPr>
          <w:rFonts w:ascii="Narkisim" w:hAnsi="Narkisim" w:cs="Narkisim"/>
          <w:u w:val="single"/>
          <w:rtl/>
        </w:rPr>
        <w:t>שם. וליחוש שמא עיברה</w:t>
      </w:r>
      <w:r w:rsidRPr="00E14121">
        <w:rPr>
          <w:rFonts w:ascii="Narkisim" w:hAnsi="Narkisim" w:cs="Narkisim"/>
          <w:rtl/>
        </w:rPr>
        <w:t>. וה</w:t>
      </w:r>
      <w:r w:rsidRPr="00E14121">
        <w:rPr>
          <w:rFonts w:ascii="Narkisim" w:hAnsi="Narkisim" w:cs="Narkisim"/>
          <w:b/>
          <w:bCs/>
          <w:rtl/>
        </w:rPr>
        <w:t>מהרש"א</w:t>
      </w:r>
      <w:r w:rsidRPr="00E14121">
        <w:rPr>
          <w:rFonts w:ascii="Narkisim" w:hAnsi="Narkisim" w:cs="Narkisim"/>
          <w:rtl/>
        </w:rPr>
        <w:t xml:space="preserve"> הקשה נעמיד על החזקה. ותי' כיון דאיכא למיקם עלה דמילתא לא מעמידים על חזקה. וה</w:t>
      </w:r>
      <w:r w:rsidRPr="00E14121">
        <w:rPr>
          <w:rFonts w:ascii="Narkisim" w:hAnsi="Narkisim" w:cs="Narkisim"/>
          <w:b/>
          <w:bCs/>
          <w:rtl/>
        </w:rPr>
        <w:t>ערול"נ</w:t>
      </w:r>
      <w:r w:rsidRPr="00E14121">
        <w:rPr>
          <w:rFonts w:ascii="Narkisim" w:hAnsi="Narkisim" w:cs="Narkisim"/>
          <w:rtl/>
        </w:rPr>
        <w:t xml:space="preserve"> כתב דיש רוב נשים מתעברות ויולדת (ע' לקמן קיט.)</w:t>
      </w:r>
      <w:r w:rsidRPr="00E14121">
        <w:rPr>
          <w:rStyle w:val="ac"/>
          <w:rFonts w:ascii="Narkisim" w:hAnsi="Narkisim" w:cs="Narkisim"/>
          <w:rtl/>
        </w:rPr>
        <w:footnoteReference w:id="4261"/>
      </w:r>
      <w:r w:rsidRPr="00E14121">
        <w:rPr>
          <w:rFonts w:ascii="Narkisim" w:hAnsi="Narkisim" w:cs="Narkisim"/>
          <w:rtl/>
        </w:rPr>
        <w:t>.</w:t>
      </w:r>
    </w:p>
    <w:p w14:paraId="7586EF8A" w14:textId="77777777" w:rsidR="00F64AED" w:rsidRPr="00E14121" w:rsidRDefault="00F64AED" w:rsidP="00F64AED">
      <w:pPr>
        <w:bidi/>
        <w:rPr>
          <w:rFonts w:ascii="Narkisim" w:hAnsi="Narkisim" w:cs="Narkisim"/>
        </w:rPr>
      </w:pPr>
      <w:r w:rsidRPr="00E14121">
        <w:rPr>
          <w:rFonts w:ascii="Narkisim" w:hAnsi="Narkisim" w:cs="Narkisim"/>
          <w:u w:val="single"/>
          <w:rtl/>
        </w:rPr>
        <w:t>ליוחסין חששו.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מעלה עשו ליוחסין. וה</w:t>
      </w:r>
      <w:r w:rsidRPr="00E14121">
        <w:rPr>
          <w:rFonts w:ascii="Narkisim" w:hAnsi="Narkisim" w:cs="Narkisim"/>
          <w:b/>
          <w:bCs/>
          <w:rtl/>
        </w:rPr>
        <w:t>ריטב"א</w:t>
      </w:r>
      <w:r w:rsidRPr="00E14121">
        <w:rPr>
          <w:rFonts w:ascii="Narkisim" w:hAnsi="Narkisim" w:cs="Narkisim"/>
          <w:rtl/>
        </w:rPr>
        <w:t xml:space="preserve"> כתב דגבי תרומה לא מפקינן לה מחזקתה מפני הספק. וה</w:t>
      </w:r>
      <w:r w:rsidRPr="00E14121">
        <w:rPr>
          <w:rFonts w:ascii="Narkisim" w:hAnsi="Narkisim" w:cs="Narkisim"/>
          <w:b/>
          <w:bCs/>
          <w:rtl/>
        </w:rPr>
        <w:t>קובה"ע</w:t>
      </w:r>
      <w:r w:rsidRPr="00E14121">
        <w:rPr>
          <w:rFonts w:ascii="Narkisim" w:hAnsi="Narkisim" w:cs="Narkisim"/>
          <w:rtl/>
        </w:rPr>
        <w:t xml:space="preserve"> (הוספות ג) כתב דע"כ דהוה סברא דרבנן, דמדאורייתא אין חילוק ליוחסין.</w:t>
      </w:r>
    </w:p>
    <w:p w14:paraId="54A080A9" w14:textId="77777777" w:rsidR="00F64AED" w:rsidRPr="00E14121" w:rsidRDefault="00F64AED" w:rsidP="00F64AED">
      <w:pPr>
        <w:bidi/>
        <w:rPr>
          <w:rFonts w:ascii="Narkisim" w:hAnsi="Narkisim" w:cs="Narkisim"/>
        </w:rPr>
      </w:pPr>
      <w:r w:rsidRPr="00E14121">
        <w:rPr>
          <w:rFonts w:ascii="Narkisim" w:hAnsi="Narkisim" w:cs="Narkisim"/>
          <w:u w:val="single"/>
          <w:rtl/>
        </w:rPr>
        <w:t>ולתרומה לא חששו, והתניא ה"ז גיטך שעה א' קודם מיתתה</w:t>
      </w:r>
      <w:r w:rsidRPr="00E14121">
        <w:rPr>
          <w:rStyle w:val="ac"/>
          <w:rFonts w:ascii="Narkisim" w:hAnsi="Narkisim" w:cs="Narkisim"/>
          <w:u w:val="single"/>
          <w:rtl/>
        </w:rPr>
        <w:footnoteReference w:id="4262"/>
      </w:r>
      <w:r w:rsidRPr="00E14121">
        <w:rPr>
          <w:rFonts w:ascii="Narkisim" w:hAnsi="Narkisim" w:cs="Narkisim"/>
          <w:u w:val="single"/>
          <w:rtl/>
        </w:rPr>
        <w:t xml:space="preserve"> וכו'.</w:t>
      </w:r>
      <w:r w:rsidRPr="00E14121">
        <w:rPr>
          <w:rFonts w:ascii="Narkisim" w:hAnsi="Narkisim" w:cs="Narkisim"/>
          <w:rtl/>
        </w:rPr>
        <w:t xml:space="preserve"> ה</w:t>
      </w:r>
      <w:r w:rsidRPr="00E14121">
        <w:rPr>
          <w:rFonts w:ascii="Narkisim" w:hAnsi="Narkisim" w:cs="Narkisim"/>
          <w:b/>
          <w:bCs/>
          <w:rtl/>
        </w:rPr>
        <w:t>מהרש"א</w:t>
      </w:r>
      <w:r w:rsidRPr="00E14121">
        <w:rPr>
          <w:rFonts w:ascii="Narkisim" w:hAnsi="Narkisim" w:cs="Narkisim"/>
          <w:rtl/>
        </w:rPr>
        <w:t xml:space="preserve"> כת' דמדמה </w:t>
      </w:r>
      <w:r w:rsidRPr="00E14121">
        <w:rPr>
          <w:rFonts w:ascii="Narkisim" w:hAnsi="Narkisim" w:cs="Narkisim"/>
          <w:rtl/>
        </w:rPr>
        <w:lastRenderedPageBreak/>
        <w:t>ליה להתם דהוה ספק גרוע שימות בשעה שתאכל. וה</w:t>
      </w:r>
      <w:r w:rsidRPr="00E14121">
        <w:rPr>
          <w:rFonts w:ascii="Narkisim" w:hAnsi="Narkisim" w:cs="Narkisim"/>
          <w:b/>
          <w:bCs/>
          <w:rtl/>
        </w:rPr>
        <w:t>אחרונים</w:t>
      </w:r>
      <w:r w:rsidRPr="00E14121">
        <w:rPr>
          <w:rFonts w:ascii="Narkisim" w:hAnsi="Narkisim" w:cs="Narkisim"/>
          <w:sz w:val="20"/>
          <w:szCs w:val="20"/>
          <w:rtl/>
        </w:rPr>
        <w:t xml:space="preserve"> (ערול"נ, קובה"ע הוספות ג)</w:t>
      </w:r>
      <w:r w:rsidRPr="00E14121">
        <w:rPr>
          <w:rFonts w:ascii="Narkisim" w:hAnsi="Narkisim" w:cs="Narkisim"/>
          <w:rtl/>
        </w:rPr>
        <w:t xml:space="preserve"> הק' דבגמ' </w:t>
      </w:r>
      <w:r w:rsidRPr="00E14121">
        <w:rPr>
          <w:rFonts w:ascii="Narkisim" w:hAnsi="Narkisim" w:cs="Narkisim"/>
          <w:szCs w:val="20"/>
          <w:rtl/>
        </w:rPr>
        <w:t>(גיטין שם)</w:t>
      </w:r>
      <w:r w:rsidRPr="00E14121">
        <w:rPr>
          <w:rFonts w:ascii="Narkisim" w:hAnsi="Narkisim" w:cs="Narkisim"/>
          <w:rtl/>
        </w:rPr>
        <w:t xml:space="preserve"> מבואר הטעם דחששו לשמא ימות, ובסוגיין הנידון שמא נתעברה כבר, ושייך חזקה. ודעת אביי שם דאין חילוק בין שמא ימות, ותליא במח' ר' מאיר ור' יהודה, א”כ מה פריך נימא דברייתא כר' יהודה. וצ”ע.</w:t>
      </w:r>
    </w:p>
    <w:p w14:paraId="2C74B33B" w14:textId="77777777" w:rsidR="00F64AED" w:rsidRPr="00E14121" w:rsidRDefault="00F64AED" w:rsidP="00F64AED">
      <w:pPr>
        <w:pStyle w:val="aa"/>
        <w:bidi/>
        <w:rPr>
          <w:rFonts w:ascii="Narkisim" w:hAnsi="Narkisim"/>
        </w:rPr>
      </w:pPr>
      <w:r w:rsidRPr="00E14121">
        <w:rPr>
          <w:rFonts w:ascii="Narkisim" w:hAnsi="Narkisim"/>
          <w:u w:val="single"/>
          <w:rtl/>
        </w:rPr>
        <w:t>בנישואין חששו, בזנות לא חששו.</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דבזנות קי"ל (לעיל לה.) שמתהפכת. וה</w:t>
      </w:r>
      <w:r w:rsidRPr="00E14121">
        <w:rPr>
          <w:rFonts w:ascii="Narkisim" w:hAnsi="Narkisim"/>
          <w:b/>
          <w:bCs/>
          <w:rtl/>
        </w:rPr>
        <w:t xml:space="preserve">ריטב"א </w:t>
      </w:r>
      <w:r w:rsidRPr="00E14121">
        <w:rPr>
          <w:rFonts w:ascii="Narkisim" w:hAnsi="Narkisim"/>
          <w:rtl/>
        </w:rPr>
        <w:t>כתב (בתי' הב') דתליא במח' ר' יהודה ור' יוסי (לה.). ועוד כתב די"ל דהכא כו"ע מודו, דדוקא גבי יוחסין גזר ר' יהודה [שמא לא נתהפכה יפה], ולא לענין תרומה.</w:t>
      </w:r>
    </w:p>
    <w:p w14:paraId="140C9E20" w14:textId="77777777" w:rsidR="00F64AED" w:rsidRPr="00E14121" w:rsidRDefault="00F64AED" w:rsidP="00F64AED">
      <w:pPr>
        <w:pStyle w:val="aa"/>
        <w:bidi/>
        <w:rPr>
          <w:rFonts w:ascii="Narkisim" w:hAnsi="Narkisim"/>
        </w:rPr>
      </w:pPr>
      <w:r w:rsidRPr="00E14121">
        <w:rPr>
          <w:rFonts w:ascii="Narkisim" w:hAnsi="Narkisim"/>
          <w:u w:val="single"/>
          <w:rtl/>
        </w:rPr>
        <w:t>טובלת ואוכלת תרומה לערב.</w:t>
      </w:r>
      <w:r w:rsidRPr="00E14121">
        <w:rPr>
          <w:rFonts w:ascii="Narkisim" w:hAnsi="Narkisim"/>
          <w:rtl/>
        </w:rPr>
        <w:t xml:space="preserve"> וה</w:t>
      </w:r>
      <w:r w:rsidRPr="00E14121">
        <w:rPr>
          <w:rFonts w:ascii="Narkisim" w:hAnsi="Narkisim"/>
          <w:b/>
          <w:bCs/>
          <w:rtl/>
        </w:rPr>
        <w:t>ראשונים</w:t>
      </w:r>
      <w:r w:rsidRPr="00E14121">
        <w:rPr>
          <w:rFonts w:ascii="Narkisim" w:hAnsi="Narkisim"/>
          <w:rtl/>
        </w:rPr>
        <w:t xml:space="preserve"> דנו אי חוששין לפולטת, ע”פ הסוגיה (נדה מא: ולעיל לד:).</w:t>
      </w:r>
    </w:p>
    <w:p w14:paraId="431AF43D" w14:textId="77777777" w:rsidR="00F64AED" w:rsidRPr="00E14121" w:rsidRDefault="00F64AED" w:rsidP="00F64AED">
      <w:pPr>
        <w:bidi/>
        <w:rPr>
          <w:rFonts w:ascii="Narkisim" w:hAnsi="Narkisim" w:cs="Narkisim"/>
        </w:rPr>
      </w:pPr>
      <w:r w:rsidRPr="00E14121">
        <w:rPr>
          <w:rFonts w:ascii="Narkisim" w:hAnsi="Narkisim" w:cs="Narkisim"/>
          <w:u w:val="single"/>
          <w:rtl/>
        </w:rPr>
        <w:t>רש"י ד"ה תהא מקולקלת למפרע.</w:t>
      </w:r>
      <w:r w:rsidRPr="00E14121">
        <w:rPr>
          <w:rFonts w:ascii="Narkisim" w:hAnsi="Narkisim" w:cs="Narkisim"/>
          <w:rtl/>
        </w:rPr>
        <w:t xml:space="preserve"> לשלם תרומה שאכלה קרן וחומש, דאשתכח זרה (וכ”כ ה</w:t>
      </w:r>
      <w:r w:rsidRPr="00E14121">
        <w:rPr>
          <w:rFonts w:ascii="Narkisim" w:hAnsi="Narkisim" w:cs="Narkisim"/>
          <w:b/>
          <w:bCs/>
          <w:rtl/>
        </w:rPr>
        <w:t>ריטב”א</w:t>
      </w:r>
      <w:r w:rsidRPr="00E14121">
        <w:rPr>
          <w:rFonts w:ascii="Narkisim" w:hAnsi="Narkisim" w:cs="Narkisim"/>
          <w:rtl/>
        </w:rPr>
        <w:t>). וה</w:t>
      </w:r>
      <w:r w:rsidRPr="00E14121">
        <w:rPr>
          <w:rFonts w:ascii="Narkisim" w:hAnsi="Narkisim" w:cs="Narkisim"/>
          <w:b/>
          <w:bCs/>
          <w:rtl/>
        </w:rPr>
        <w:t>משנ"ל</w:t>
      </w:r>
      <w:r w:rsidRPr="00E14121">
        <w:rPr>
          <w:rFonts w:ascii="Narkisim" w:hAnsi="Narkisim" w:cs="Narkisim"/>
          <w:rtl/>
        </w:rPr>
        <w:t xml:space="preserve"> (פרשת דרכים) ושאר </w:t>
      </w:r>
      <w:r w:rsidRPr="00E14121">
        <w:rPr>
          <w:rFonts w:ascii="Narkisim" w:hAnsi="Narkisim" w:cs="Narkisim"/>
          <w:b/>
          <w:bCs/>
          <w:rtl/>
        </w:rPr>
        <w:t>אחרונים</w:t>
      </w:r>
      <w:r w:rsidRPr="00E14121">
        <w:rPr>
          <w:rFonts w:ascii="Narkisim" w:hAnsi="Narkisim" w:cs="Narkisim"/>
          <w:rtl/>
        </w:rPr>
        <w:t xml:space="preserve"> תמהו דתנן (תרומות ז ב) בת כהן שנשאת לזר אינה משלמת קרן וחומש, דכהנת היא כיון שראויה לחזור לבית אביה. וכ"כ ב</w:t>
      </w:r>
      <w:r w:rsidRPr="00E14121">
        <w:rPr>
          <w:rFonts w:ascii="Narkisim" w:hAnsi="Narkisim" w:cs="Narkisim"/>
          <w:b/>
          <w:bCs/>
          <w:rtl/>
        </w:rPr>
        <w:t>חי' ר”א</w:t>
      </w:r>
      <w:r w:rsidRPr="00E14121">
        <w:rPr>
          <w:rFonts w:ascii="Narkisim" w:hAnsi="Narkisim" w:cs="Narkisim"/>
          <w:rtl/>
        </w:rPr>
        <w:t xml:space="preserve"> </w:t>
      </w:r>
      <w:r w:rsidRPr="00E14121">
        <w:rPr>
          <w:rFonts w:ascii="Narkisim" w:hAnsi="Narkisim" w:cs="Narkisim"/>
          <w:b/>
          <w:bCs/>
          <w:rtl/>
        </w:rPr>
        <w:t>מן ההר</w:t>
      </w:r>
      <w:r w:rsidRPr="00E14121">
        <w:rPr>
          <w:rFonts w:ascii="Narkisim" w:hAnsi="Narkisim" w:cs="Narkisim"/>
          <w:rtl/>
        </w:rPr>
        <w:t xml:space="preserve"> [על דברי רש"י] דלאו מילתא היא, דדרשי' וכל זר לא יאכל קודש, יצאו אלו שאינם זרים כיון דראויה לחזור לבית אביה.</w:t>
      </w:r>
    </w:p>
    <w:p w14:paraId="7C188DFD"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רש"ש</w:t>
      </w:r>
      <w:r w:rsidRPr="00E14121">
        <w:rPr>
          <w:rFonts w:ascii="Narkisim" w:hAnsi="Narkisim"/>
          <w:rtl/>
        </w:rPr>
        <w:t xml:space="preserve"> וה</w:t>
      </w:r>
      <w:r w:rsidRPr="00E14121">
        <w:rPr>
          <w:rFonts w:ascii="Narkisim" w:hAnsi="Narkisim"/>
          <w:b/>
          <w:bCs/>
          <w:rtl/>
        </w:rPr>
        <w:t>ערול"נ</w:t>
      </w:r>
      <w:r w:rsidRPr="00E14121">
        <w:rPr>
          <w:rFonts w:ascii="Narkisim" w:hAnsi="Narkisim"/>
          <w:rtl/>
        </w:rPr>
        <w:t xml:space="preserve"> כתבו דבגמ' (לעיל סח:) דרשי' מהך דרשא באופן אחר, ואולי לכן דחאה רש”י. וב</w:t>
      </w:r>
      <w:r w:rsidRPr="00E14121">
        <w:rPr>
          <w:rFonts w:ascii="Narkisim" w:hAnsi="Narkisim"/>
          <w:b/>
          <w:bCs/>
          <w:rtl/>
        </w:rPr>
        <w:t>הג' חת"ס</w:t>
      </w:r>
      <w:r w:rsidRPr="00E14121">
        <w:rPr>
          <w:rFonts w:ascii="Narkisim" w:hAnsi="Narkisim"/>
          <w:rtl/>
        </w:rPr>
        <w:t xml:space="preserve"> (וכ"כ האבנ"נ יו"ד תלט) תי' דכיון דאיכא עובר במעיה לא דמי לגופא סריקא, וכה"ג משלמת קרן וחומש. </w:t>
      </w:r>
      <w:r w:rsidRPr="00E14121">
        <w:rPr>
          <w:rFonts w:ascii="Narkisim" w:hAnsi="Narkisim"/>
          <w:sz w:val="20"/>
          <w:szCs w:val="20"/>
          <w:rtl/>
        </w:rPr>
        <w:t>[דגוף זה לא יחזור לבית אביה</w:t>
      </w:r>
      <w:r w:rsidRPr="00E14121">
        <w:rPr>
          <w:rStyle w:val="ac"/>
          <w:rFonts w:ascii="Narkisim" w:hAnsi="Narkisim"/>
          <w:sz w:val="20"/>
          <w:szCs w:val="20"/>
          <w:rtl/>
        </w:rPr>
        <w:footnoteReference w:id="4263"/>
      </w:r>
      <w:r w:rsidRPr="00E14121">
        <w:rPr>
          <w:rFonts w:ascii="Narkisim" w:hAnsi="Narkisim"/>
          <w:sz w:val="20"/>
          <w:szCs w:val="20"/>
          <w:rtl/>
        </w:rPr>
        <w:t>].</w:t>
      </w:r>
    </w:p>
    <w:p w14:paraId="550C2E33" w14:textId="77777777" w:rsidR="00F64AED" w:rsidRPr="00E14121" w:rsidRDefault="00F64AED" w:rsidP="00F64AED">
      <w:pPr>
        <w:bidi/>
        <w:rPr>
          <w:rFonts w:ascii="Narkisim" w:hAnsi="Narkisim" w:cs="Narkisim"/>
        </w:rPr>
      </w:pPr>
      <w:r w:rsidRPr="00E14121">
        <w:rPr>
          <w:rFonts w:ascii="Narkisim" w:hAnsi="Narkisim" w:cs="Narkisim"/>
          <w:u w:val="single"/>
          <w:rtl/>
        </w:rPr>
        <w:t>רב אמר הולד ממזר, שמואל אמר הולד שתוקי</w:t>
      </w:r>
      <w:r w:rsidRPr="00E14121">
        <w:rPr>
          <w:rFonts w:ascii="Narkisim" w:hAnsi="Narkisim" w:cs="Narkisim"/>
          <w:rtl/>
        </w:rPr>
        <w:t>. והגמ' (קידושין עה.) מק' דלפ"ז רב ס"ל דמותר בממזרת, ושמואל ס"ל דאסור בממזרת. והגמ' מק' דאיפכא שמעי' להו, דרב פסק כר"א (במשנה שם עד., והו' לעיל לז.) דשתוקי אסור בממזר. ושמואל פסק כת"ק דודאן וספיקן מותרין זה בזה. [דדרשי' ממזר ודאי, ודרשי' קהל ודאי. ובפסולים לא גזרו מדרבנן]. ומשמע בגמ' דאף המח' רב ושמואל בסוגיין הוה האם מספק מותר בממזרת, אבל מדינא לכו”ע הוה ספק</w:t>
      </w:r>
      <w:r w:rsidRPr="00E14121">
        <w:rPr>
          <w:rStyle w:val="ac"/>
          <w:rFonts w:ascii="Narkisim" w:hAnsi="Narkisim" w:cs="Narkisim"/>
          <w:rtl/>
        </w:rPr>
        <w:footnoteReference w:id="4264"/>
      </w:r>
      <w:r w:rsidRPr="00E14121">
        <w:rPr>
          <w:rFonts w:ascii="Narkisim" w:hAnsi="Narkisim" w:cs="Narkisim"/>
          <w:rtl/>
        </w:rPr>
        <w:t>.</w:t>
      </w:r>
    </w:p>
    <w:p w14:paraId="4F554E24" w14:textId="77777777" w:rsidR="00F64AED" w:rsidRPr="00E14121" w:rsidRDefault="00F64AED" w:rsidP="00F64AED">
      <w:pPr>
        <w:pStyle w:val="a7"/>
        <w:bidi/>
        <w:rPr>
          <w:rFonts w:ascii="Narkisim" w:hAnsi="Narkisim"/>
        </w:rPr>
      </w:pPr>
      <w:r w:rsidRPr="00E14121">
        <w:rPr>
          <w:rFonts w:ascii="Narkisim" w:hAnsi="Narkisim"/>
          <w:rtl/>
        </w:rPr>
        <w:t>והגמ' תי' דאיפוך הא דסוגיין, ורב אמר הולד שתוקי לשיטתו דאסור בממזרת. ושמואל אמר ממזר, לשיטתו דמותר בממזרת</w:t>
      </w:r>
      <w:r w:rsidRPr="00E14121">
        <w:rPr>
          <w:rStyle w:val="ac"/>
          <w:rFonts w:ascii="Narkisim" w:hAnsi="Narkisim"/>
          <w:rtl/>
        </w:rPr>
        <w:footnoteReference w:id="4265"/>
      </w:r>
      <w:r w:rsidRPr="00E14121">
        <w:rPr>
          <w:rFonts w:ascii="Narkisim" w:hAnsi="Narkisim"/>
          <w:rtl/>
        </w:rPr>
        <w:t>.</w:t>
      </w:r>
    </w:p>
    <w:p w14:paraId="16A39F56" w14:textId="77777777" w:rsidR="00F64AED" w:rsidRPr="00E14121" w:rsidRDefault="00F64AED" w:rsidP="00F64AED">
      <w:pPr>
        <w:pStyle w:val="a7"/>
        <w:bidi/>
        <w:rPr>
          <w:rFonts w:ascii="Narkisim" w:hAnsi="Narkisim"/>
        </w:rPr>
      </w:pPr>
      <w:r w:rsidRPr="00E14121">
        <w:rPr>
          <w:rFonts w:ascii="Narkisim" w:hAnsi="Narkisim"/>
          <w:rtl/>
        </w:rPr>
        <w:t>ועוד תי' הגמ' דכוונת רב דהולד ממזר ואסור בבת ישראל [ולעולם אסור בממזרת], ואף לשמואל אסור בבת ישראל, אלא קמ"ל דהוה שתוקי ומשתקין מדין כהונה, או מנכסי אביו [אפי' תפס מפקינן מיניה</w:t>
      </w:r>
      <w:r w:rsidRPr="00E14121">
        <w:rPr>
          <w:rStyle w:val="ac"/>
          <w:rFonts w:ascii="Narkisim" w:hAnsi="Narkisim"/>
          <w:rtl/>
        </w:rPr>
        <w:footnoteReference w:id="4266"/>
      </w:r>
      <w:r w:rsidRPr="00E14121">
        <w:rPr>
          <w:rFonts w:ascii="Narkisim" w:hAnsi="Narkisim"/>
          <w:rtl/>
        </w:rPr>
        <w:t>].</w:t>
      </w:r>
    </w:p>
    <w:p w14:paraId="1E245B12" w14:textId="77777777" w:rsidR="00F64AED" w:rsidRPr="00E14121" w:rsidRDefault="00F64AED" w:rsidP="00F64AED">
      <w:pPr>
        <w:pStyle w:val="a7"/>
        <w:bidi/>
        <w:rPr>
          <w:rFonts w:ascii="Narkisim" w:hAnsi="Narkisim"/>
        </w:rPr>
      </w:pPr>
      <w:r w:rsidRPr="00E14121">
        <w:rPr>
          <w:rFonts w:ascii="Narkisim" w:hAnsi="Narkisim"/>
          <w:rtl/>
        </w:rPr>
        <w:t>ועוד תי' הגמ' מאי שתוקי, שבודקין את אמו. ואי אומרת שנבעלה לכשר נאמנת. ותלי במח' ר"ג ור' יהושע (כתובות יג.)</w:t>
      </w:r>
      <w:r w:rsidRPr="00E14121">
        <w:rPr>
          <w:rStyle w:val="ac"/>
          <w:rFonts w:ascii="Narkisim" w:hAnsi="Narkisim"/>
          <w:rtl/>
        </w:rPr>
        <w:footnoteReference w:id="4267"/>
      </w:r>
      <w:r w:rsidRPr="00E14121">
        <w:rPr>
          <w:rFonts w:ascii="Narkisim" w:hAnsi="Narkisim"/>
          <w:rtl/>
        </w:rPr>
        <w:t>.</w:t>
      </w:r>
    </w:p>
    <w:p w14:paraId="73C6772F" w14:textId="77777777" w:rsidR="00F64AED" w:rsidRPr="00E14121" w:rsidRDefault="00F64AED" w:rsidP="00F64AED">
      <w:pPr>
        <w:pStyle w:val="aa"/>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(קידושין שם) פי' דברי רב דהולד ממזר, דאזלי' בתר רובא דעלמא. וכולם פסולים אצלה. וכת' אלמא רב ספק כודאי משוי ליה. [ומשמע מדבריו דקו' הגמ' מגדרי ספק כודאי. ושוב כת' דהטעם משום דין ספק ממזר]. ע' פנ"י (שם).</w:t>
      </w:r>
    </w:p>
    <w:p w14:paraId="1FD74860"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ה</w:t>
      </w:r>
      <w:r w:rsidRPr="00E14121">
        <w:rPr>
          <w:rFonts w:ascii="Narkisim" w:hAnsi="Narkisim"/>
          <w:b/>
          <w:bCs/>
          <w:rtl/>
        </w:rPr>
        <w:t>תו"י</w:t>
      </w:r>
      <w:r w:rsidRPr="00E14121">
        <w:rPr>
          <w:rFonts w:ascii="Narkisim" w:hAnsi="Narkisim"/>
          <w:rtl/>
        </w:rPr>
        <w:t xml:space="preserve"> (כתובות יג:) הק' דלהך לישנא משמע דדוקא היכא דידעינן שבא עליה מהני בדיקת אמו. ואילו בגמ' (כתובות) משמע דלר"ג היא נאמנת [אף דלא ידעינן שבא עליה]. ותי' דנקט בא על ארוסתו משום רב [דאפ”ה חיישי'], אבל לשמואל אף בלא בא</w:t>
      </w:r>
      <w:r w:rsidRPr="00E14121">
        <w:rPr>
          <w:rStyle w:val="ac"/>
          <w:rFonts w:ascii="Narkisim" w:hAnsi="Narkisim"/>
          <w:rtl/>
        </w:rPr>
        <w:footnoteReference w:id="4268"/>
      </w:r>
      <w:r w:rsidRPr="00E14121">
        <w:rPr>
          <w:rFonts w:ascii="Narkisim" w:hAnsi="Narkisim"/>
          <w:rtl/>
        </w:rPr>
        <w:t>. ועוד תי' תוס' דבסמוך מבואר דאיירי בדדיימא מעלמא, ומש"ה דוקא היכא דידעינן שבא עליה</w:t>
      </w:r>
      <w:r w:rsidRPr="00E14121">
        <w:rPr>
          <w:rStyle w:val="ac"/>
          <w:rFonts w:ascii="Narkisim" w:hAnsi="Narkisim"/>
          <w:rtl/>
        </w:rPr>
        <w:footnoteReference w:id="4269"/>
      </w:r>
      <w:r w:rsidRPr="00E14121">
        <w:rPr>
          <w:rFonts w:ascii="Narkisim" w:hAnsi="Narkisim"/>
          <w:rtl/>
        </w:rPr>
        <w:t>.</w:t>
      </w:r>
    </w:p>
    <w:p w14:paraId="21005FEC"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מבואר (בקידושין) דבארוסה הוה ספק ממזר, ואף דרוב פסולים אצלה. וה</w:t>
      </w:r>
      <w:r w:rsidRPr="00E14121">
        <w:rPr>
          <w:rFonts w:ascii="Narkisim" w:hAnsi="Narkisim" w:cs="Narkisim"/>
          <w:b/>
          <w:bCs/>
          <w:rtl/>
        </w:rPr>
        <w:t>פנ"י</w:t>
      </w:r>
      <w:r w:rsidRPr="00E14121">
        <w:rPr>
          <w:rFonts w:ascii="Narkisim" w:hAnsi="Narkisim" w:cs="Narkisim"/>
          <w:rtl/>
        </w:rPr>
        <w:t xml:space="preserve"> (שם) </w:t>
      </w:r>
      <w:r w:rsidRPr="00E14121">
        <w:rPr>
          <w:rFonts w:ascii="Narkisim" w:hAnsi="Narkisim" w:cs="Narkisim"/>
          <w:rtl/>
        </w:rPr>
        <w:lastRenderedPageBreak/>
        <w:t>הביא דמבואר דאף במקום שיש הכרעת רוב, עדיין לא יצא מגדר 'ספק'. דקי"ל דספק ממזר מותר מספק [דרוב לא הוה גדר 'ודאי']. אבל ה</w:t>
      </w:r>
      <w:r w:rsidRPr="00E14121">
        <w:rPr>
          <w:rFonts w:ascii="Narkisim" w:hAnsi="Narkisim" w:cs="Narkisim"/>
          <w:b/>
          <w:bCs/>
          <w:rtl/>
        </w:rPr>
        <w:t>רשב"א</w:t>
      </w:r>
      <w:r w:rsidRPr="00E14121">
        <w:rPr>
          <w:rFonts w:ascii="Narkisim" w:hAnsi="Narkisim" w:cs="Narkisim"/>
          <w:rtl/>
        </w:rPr>
        <w:t xml:space="preserve"> (קידושין עג:) כת' דכל היכא שיש רוב פסולים נחשב ממזר ודאי, דרובא דאורייתא</w:t>
      </w:r>
      <w:r w:rsidRPr="00E14121">
        <w:rPr>
          <w:rStyle w:val="ac"/>
          <w:rFonts w:ascii="Narkisim" w:hAnsi="Narkisim" w:cs="Narkisim"/>
          <w:rtl/>
        </w:rPr>
        <w:footnoteReference w:id="4270"/>
      </w:r>
      <w:r w:rsidRPr="00E14121">
        <w:rPr>
          <w:rFonts w:ascii="Narkisim" w:hAnsi="Narkisim" w:cs="Narkisim"/>
          <w:rtl/>
        </w:rPr>
        <w:t xml:space="preserve">. </w:t>
      </w:r>
      <w:r w:rsidRPr="00E14121">
        <w:rPr>
          <w:rFonts w:ascii="Narkisim" w:eastAsia="Narkisim" w:hAnsi="Narkisim" w:cs="Narkisim"/>
          <w:rtl/>
        </w:rPr>
        <w:t>והרשב"א כת' דמ"מ ארוסה שעיברה (בסוגיין) הוה ספק ממזר [שתוקי], דיש סברת לתלות טפי בארוס, ומש"ה אף דרוב פסולין אצלה הוה כמחצה על מחצה.</w:t>
      </w:r>
    </w:p>
    <w:p w14:paraId="266C9A6E" w14:textId="77777777" w:rsidR="00F64AED" w:rsidRPr="00E14121" w:rsidRDefault="00F64AED" w:rsidP="00F64AED">
      <w:pPr>
        <w:bidi/>
        <w:rPr>
          <w:rFonts w:ascii="Narkisim" w:hAnsi="Narkisim" w:cs="Narkisim"/>
        </w:rPr>
      </w:pPr>
      <w:r w:rsidRPr="00E14121">
        <w:rPr>
          <w:rFonts w:ascii="Narkisim" w:hAnsi="Narkisim" w:cs="Narkisim"/>
          <w:u w:val="single"/>
          <w:rtl/>
        </w:rPr>
        <w:t>רש"י ד"ה מסתברא מילתא דרב.</w:t>
      </w:r>
      <w:r w:rsidRPr="00E14121">
        <w:rPr>
          <w:rFonts w:ascii="Narkisim" w:hAnsi="Narkisim" w:cs="Narkisim"/>
          <w:rtl/>
        </w:rPr>
        <w:t xml:space="preserve"> דמשוי ליה ממזר ודאי. ו</w:t>
      </w:r>
      <w:r w:rsidRPr="00E14121">
        <w:rPr>
          <w:rFonts w:ascii="Narkisim" w:hAnsi="Narkisim" w:cs="Narkisim"/>
          <w:b/>
          <w:bCs/>
          <w:rtl/>
        </w:rPr>
        <w:t>רש"י</w:t>
      </w:r>
      <w:r w:rsidRPr="00E14121">
        <w:rPr>
          <w:rFonts w:ascii="Narkisim" w:hAnsi="Narkisim" w:cs="Narkisim"/>
          <w:rtl/>
        </w:rPr>
        <w:t xml:space="preserve"> (ד"ה שתוקי) כת' דלשמואל הוה ספק ממזר. משמע דדעת רב דכיון דיש צד מעלמא, אזלי' בתר רובא דעלמא</w:t>
      </w:r>
      <w:r w:rsidRPr="00E14121">
        <w:rPr>
          <w:rStyle w:val="ac"/>
          <w:rFonts w:ascii="Narkisim" w:hAnsi="Narkisim" w:cs="Narkisim"/>
          <w:rtl/>
        </w:rPr>
        <w:footnoteReference w:id="4271"/>
      </w:r>
      <w:r w:rsidRPr="00E14121">
        <w:rPr>
          <w:rFonts w:ascii="Narkisim" w:hAnsi="Narkisim" w:cs="Narkisim"/>
          <w:rtl/>
        </w:rPr>
        <w:t>. וע"י הכרעת הרוב נחשב ממזר ודאי.</w:t>
      </w:r>
    </w:p>
    <w:p w14:paraId="2F6D428E"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הק' דמסקנת הגמ' </w:t>
      </w:r>
      <w:r w:rsidRPr="00E14121">
        <w:rPr>
          <w:rFonts w:ascii="Narkisim" w:hAnsi="Narkisim"/>
          <w:szCs w:val="20"/>
          <w:rtl/>
        </w:rPr>
        <w:t>(קידושין עה. הנ"ל)</w:t>
      </w:r>
      <w:r w:rsidRPr="00E14121">
        <w:rPr>
          <w:rFonts w:ascii="Narkisim" w:hAnsi="Narkisim"/>
          <w:rtl/>
        </w:rPr>
        <w:t xml:space="preserve"> דלרב הוה ספק ממזר, ולשמואל כשר אלא דנפסל לכהונה, ולל"ב דבודקים את אמו.</w:t>
      </w:r>
    </w:p>
    <w:p w14:paraId="0D9F1E33" w14:textId="77777777" w:rsidR="00F64AED" w:rsidRPr="00E14121" w:rsidRDefault="00F64AED" w:rsidP="00F64AED">
      <w:pPr>
        <w:pStyle w:val="a7"/>
        <w:bidi/>
        <w:rPr>
          <w:rFonts w:ascii="Narkisim" w:hAnsi="Narkisim"/>
        </w:rPr>
      </w:pPr>
      <w:r w:rsidRPr="00E14121">
        <w:rPr>
          <w:rFonts w:ascii="Narkisim" w:hAnsi="Narkisim"/>
          <w:rtl/>
        </w:rPr>
        <w:t>ומשמע מדבריהם ד</w:t>
      </w:r>
      <w:r w:rsidRPr="00E14121">
        <w:rPr>
          <w:rFonts w:ascii="Narkisim" w:hAnsi="Narkisim"/>
          <w:b/>
          <w:bCs/>
          <w:rtl/>
        </w:rPr>
        <w:t>רש”י</w:t>
      </w:r>
      <w:r w:rsidRPr="00E14121">
        <w:rPr>
          <w:rFonts w:ascii="Narkisim" w:hAnsi="Narkisim"/>
          <w:rtl/>
        </w:rPr>
        <w:t xml:space="preserve"> (כאן) קאי כהו”א דהתם דלרב מותר בממזרת</w:t>
      </w:r>
      <w:r w:rsidRPr="00E14121">
        <w:rPr>
          <w:rStyle w:val="ac"/>
          <w:rFonts w:ascii="Narkisim" w:hAnsi="Narkisim"/>
          <w:rtl/>
        </w:rPr>
        <w:footnoteReference w:id="4272"/>
      </w:r>
      <w:r w:rsidRPr="00E14121">
        <w:rPr>
          <w:rFonts w:ascii="Narkisim" w:hAnsi="Narkisim"/>
          <w:rtl/>
        </w:rPr>
        <w:t>, ולשמואל אסור בממזרת.</w:t>
      </w:r>
    </w:p>
    <w:p w14:paraId="2C56517C" w14:textId="77777777" w:rsidR="00F64AED" w:rsidRPr="00E14121" w:rsidRDefault="00F64AED" w:rsidP="00F64AED">
      <w:pPr>
        <w:pStyle w:val="a8"/>
        <w:bidi/>
        <w:rPr>
          <w:rFonts w:ascii="Narkisim" w:hAnsi="Narkisim"/>
        </w:rPr>
      </w:pPr>
      <w:r w:rsidRPr="00E14121">
        <w:rPr>
          <w:rFonts w:ascii="Narkisim" w:hAnsi="Narkisim"/>
          <w:rtl/>
        </w:rPr>
        <w:t>ובסוגיין (בסמוך) משמע דהמח' רב ושמואל אי תלינן בדידיה ואי אמרי' מדאפקרה נפשה [בהכרעת הספיקות], ולא משמע דעיקר המח' בדיני ספק ממזר. [וי"ל דמש"ה רש"י פי' כן].</w:t>
      </w:r>
    </w:p>
    <w:p w14:paraId="0680DC6A" w14:textId="77777777" w:rsidR="00F64AED" w:rsidRPr="00E14121" w:rsidRDefault="00F64AED" w:rsidP="00F64AED">
      <w:pPr>
        <w:bidi/>
        <w:rPr>
          <w:rFonts w:ascii="Narkisim" w:hAnsi="Narkisim" w:cs="Narkisim"/>
        </w:rPr>
      </w:pPr>
      <w:r w:rsidRPr="00E14121">
        <w:rPr>
          <w:rFonts w:ascii="Narkisim" w:hAnsi="Narkisim" w:cs="Narkisim"/>
          <w:u w:val="single"/>
          <w:rtl/>
        </w:rPr>
        <w:t>אמר רבא וכו' אבל לא דיימא מעלמא, בתרא דידיה שדינן וכו'</w:t>
      </w:r>
      <w:r w:rsidRPr="00E14121">
        <w:rPr>
          <w:rFonts w:ascii="Narkisim" w:hAnsi="Narkisim" w:cs="Narkisim"/>
          <w:rtl/>
        </w:rPr>
        <w:t>. ה</w:t>
      </w:r>
      <w:r w:rsidRPr="00E14121">
        <w:rPr>
          <w:rFonts w:ascii="Narkisim" w:hAnsi="Narkisim" w:cs="Narkisim"/>
          <w:b/>
          <w:bCs/>
          <w:rtl/>
        </w:rPr>
        <w:t xml:space="preserve">חזו"א </w:t>
      </w:r>
      <w:r w:rsidRPr="00E14121">
        <w:rPr>
          <w:rFonts w:ascii="Narkisim" w:hAnsi="Narkisim" w:cs="Narkisim"/>
          <w:rtl/>
        </w:rPr>
        <w:t xml:space="preserve">(א א) כתב דעיקר טעם דינים אלו משום דתולים את העובר בביאה הידועה </w:t>
      </w:r>
      <w:r w:rsidRPr="00E14121">
        <w:rPr>
          <w:rFonts w:ascii="Narkisim" w:hAnsi="Narkisim" w:cs="Narkisim"/>
          <w:sz w:val="20"/>
          <w:szCs w:val="20"/>
          <w:rtl/>
        </w:rPr>
        <w:t>[כדאמרי' (לקמן קטו:) דתולים שהשומשמי שהיה הוא הנמצא]</w:t>
      </w:r>
      <w:r w:rsidRPr="00E14121">
        <w:rPr>
          <w:rFonts w:ascii="Narkisim" w:hAnsi="Narkisim" w:cs="Narkisim"/>
          <w:rtl/>
        </w:rPr>
        <w:t>, אלא שכל שמצוי קצת אחריני לא תלינן בידועה.</w:t>
      </w:r>
    </w:p>
    <w:p w14:paraId="1894843C"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 xml:space="preserve">חזו"א </w:t>
      </w:r>
      <w:r w:rsidRPr="00E14121">
        <w:rPr>
          <w:rFonts w:ascii="Narkisim" w:hAnsi="Narkisim"/>
          <w:rtl/>
        </w:rPr>
        <w:t>הקשה דילפי' (חולין יא:) דרוב הוה דאורייתא, דאל"כ לא משכחת מכה אביו, ואף דידוע דבא עליה שמא זינתה מאחר, ואמאי לא אמרי' דתולים בידוע. והחזו"א כת' דסוגיין הוה בתר דאזלי' בתר רוב, אבל אי רוב ומיעוט שוים לא אזלי' בתר מצוי.</w:t>
      </w:r>
    </w:p>
    <w:p w14:paraId="14A1AE58" w14:textId="77777777" w:rsidR="00F64AED" w:rsidRPr="00E14121" w:rsidRDefault="00F64AED" w:rsidP="00F64AED">
      <w:pPr>
        <w:pStyle w:val="aa"/>
        <w:bidi/>
        <w:rPr>
          <w:rFonts w:ascii="Narkisim" w:hAnsi="Narkisim"/>
        </w:rPr>
      </w:pPr>
      <w:r w:rsidRPr="00E14121">
        <w:rPr>
          <w:rFonts w:ascii="Narkisim" w:hAnsi="Narkisim"/>
          <w:rtl/>
        </w:rPr>
        <w:t>ובגמ' (סוטה כז.) נח' בדין בני דומה, והתם איירי שנשואה ואמרי' רוב בעילות אחר הבעל. אלא דהוחזקה שזינתה. ו</w:t>
      </w:r>
      <w:r w:rsidRPr="00E14121">
        <w:rPr>
          <w:rFonts w:ascii="Narkisim" w:hAnsi="Narkisim"/>
          <w:b/>
          <w:bCs/>
          <w:rtl/>
        </w:rPr>
        <w:t>תוס'</w:t>
      </w:r>
      <w:r w:rsidRPr="00E14121">
        <w:rPr>
          <w:rFonts w:ascii="Narkisim" w:hAnsi="Narkisim"/>
          <w:rtl/>
        </w:rPr>
        <w:t xml:space="preserve"> (סוטה) הק' למאן דאסר התם מ”ש מהכא.</w:t>
      </w:r>
    </w:p>
    <w:p w14:paraId="19AA1075" w14:textId="77777777" w:rsidR="00F64AED" w:rsidRPr="00E14121" w:rsidRDefault="00F64AED" w:rsidP="00F64AED">
      <w:pPr>
        <w:pStyle w:val="aa"/>
        <w:bidi/>
        <w:rPr>
          <w:rFonts w:ascii="Narkisim" w:hAnsi="Narkisim"/>
        </w:rPr>
      </w:pPr>
      <w:r w:rsidRPr="00E14121">
        <w:rPr>
          <w:rFonts w:ascii="Narkisim" w:hAnsi="Narkisim"/>
          <w:u w:val="single"/>
          <w:rtl/>
        </w:rPr>
        <w:t>מה התם דלהאי איסורא וכו'</w:t>
      </w:r>
      <w:r w:rsidRPr="00E14121">
        <w:rPr>
          <w:rStyle w:val="ac"/>
          <w:rFonts w:ascii="Narkisim" w:hAnsi="Narkisim"/>
          <w:u w:val="single"/>
          <w:rtl/>
        </w:rPr>
        <w:footnoteReference w:id="4273"/>
      </w:r>
      <w:r w:rsidRPr="00E14121">
        <w:rPr>
          <w:rFonts w:ascii="Narkisim" w:hAnsi="Narkisim"/>
          <w:u w:val="single"/>
          <w:rtl/>
        </w:rPr>
        <w:t>.</w:t>
      </w:r>
      <w:r w:rsidRPr="00E14121">
        <w:rPr>
          <w:rFonts w:ascii="Narkisim" w:hAnsi="Narkisim"/>
          <w:rtl/>
        </w:rPr>
        <w:t xml:space="preserve"> וב</w:t>
      </w:r>
      <w:r w:rsidRPr="00E14121">
        <w:rPr>
          <w:rFonts w:ascii="Narkisim" w:hAnsi="Narkisim"/>
          <w:b/>
          <w:bCs/>
          <w:rtl/>
        </w:rPr>
        <w:t>חי' ר"א מן ההר</w:t>
      </w:r>
      <w:r w:rsidRPr="00E14121">
        <w:rPr>
          <w:rFonts w:ascii="Narkisim" w:hAnsi="Narkisim"/>
          <w:rtl/>
        </w:rPr>
        <w:t xml:space="preserve"> גרס דלהאי היתירא ולהאי היתירא [דהוה פנויה בעלמא</w:t>
      </w:r>
      <w:r w:rsidRPr="00E14121">
        <w:rPr>
          <w:rStyle w:val="ac"/>
          <w:rFonts w:ascii="Narkisim" w:hAnsi="Narkisim"/>
          <w:rtl/>
        </w:rPr>
        <w:footnoteReference w:id="4274"/>
      </w:r>
      <w:r w:rsidRPr="00E14121">
        <w:rPr>
          <w:rFonts w:ascii="Narkisim" w:hAnsi="Narkisim"/>
          <w:rtl/>
        </w:rPr>
        <w:t>].</w:t>
      </w:r>
    </w:p>
    <w:p w14:paraId="2C460B9B" w14:textId="77777777" w:rsidR="00F64AED" w:rsidRPr="00E14121" w:rsidRDefault="00F64AED" w:rsidP="00F64AED">
      <w:pPr>
        <w:pStyle w:val="aa"/>
        <w:bidi/>
        <w:rPr>
          <w:rFonts w:ascii="Narkisim" w:hAnsi="Narkisim"/>
        </w:rPr>
      </w:pPr>
      <w:r w:rsidRPr="00E14121">
        <w:rPr>
          <w:rFonts w:ascii="Narkisim" w:hAnsi="Narkisim"/>
          <w:u w:val="single"/>
          <w:rtl/>
        </w:rPr>
        <w:t>הכא דלהאי איסורא ולהאי התירא</w:t>
      </w:r>
      <w:r w:rsidRPr="00E14121">
        <w:rPr>
          <w:rFonts w:ascii="Narkisim" w:hAnsi="Narkisim"/>
          <w:rtl/>
        </w:rPr>
        <w:t>. ה</w:t>
      </w:r>
      <w:r w:rsidRPr="00E14121">
        <w:rPr>
          <w:rFonts w:ascii="Narkisim" w:hAnsi="Narkisim"/>
          <w:b/>
          <w:bCs/>
          <w:rtl/>
        </w:rPr>
        <w:t>ריטב"א</w:t>
      </w:r>
      <w:r w:rsidRPr="00E14121">
        <w:rPr>
          <w:rFonts w:ascii="Narkisim" w:hAnsi="Narkisim"/>
          <w:rtl/>
        </w:rPr>
        <w:t xml:space="preserve"> כת' דלאו דוקא התירא, דארוסתו קודם חופה אסורה מדרבנן, ולוקה עליה כדין כלה בלא ברכה. אלא דכלפי עלמא דהוה איסור דאורייתא דאשת איש נחשב התירא.</w:t>
      </w:r>
    </w:p>
    <w:p w14:paraId="16380E81" w14:textId="77777777" w:rsidR="00F64AED" w:rsidRPr="00E14121" w:rsidRDefault="00F64AED" w:rsidP="00F64AED">
      <w:pPr>
        <w:pStyle w:val="aa"/>
        <w:bidi/>
        <w:rPr>
          <w:rFonts w:ascii="Narkisim" w:hAnsi="Narkisim"/>
        </w:rPr>
      </w:pPr>
      <w:r w:rsidRPr="00E14121">
        <w:rPr>
          <w:rFonts w:ascii="Narkisim" w:hAnsi="Narkisim"/>
          <w:u w:val="single"/>
          <w:rtl/>
        </w:rPr>
        <w:t>א"ל אביי וכו' מדאפקרא נפשה וכו'</w:t>
      </w:r>
      <w:r w:rsidRPr="00E14121">
        <w:rPr>
          <w:rFonts w:ascii="Narkisim" w:hAnsi="Narkisim"/>
          <w:rtl/>
        </w:rPr>
        <w:t>. וצ”ב מהיכי תיתי לחדש צד פסול</w:t>
      </w:r>
      <w:r w:rsidRPr="00E14121">
        <w:rPr>
          <w:rStyle w:val="ac"/>
          <w:rFonts w:ascii="Narkisim" w:hAnsi="Narkisim"/>
          <w:rtl/>
        </w:rPr>
        <w:footnoteReference w:id="4275"/>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(חי' ר' שלמה כתובות) ביארו דהוה סברא בהא דתלינן את הולד בביאה הידועה. דה”מ היכא דהוחזק שהיה רק חד ביאה, אבל היכא דיש רגליים לדבר שהדרך שמפקרת עצמה, מש”ה אין סברא לתלות בביאה זו.</w:t>
      </w:r>
    </w:p>
    <w:p w14:paraId="7F91327E" w14:textId="77777777" w:rsidR="00F64AED" w:rsidRPr="00E14121" w:rsidRDefault="00F64AED" w:rsidP="00F64AED">
      <w:pPr>
        <w:bidi/>
        <w:rPr>
          <w:rFonts w:ascii="Narkisim" w:hAnsi="Narkisim" w:cs="Narkisim"/>
        </w:rPr>
      </w:pPr>
      <w:r w:rsidRPr="00E14121">
        <w:rPr>
          <w:rFonts w:ascii="Narkisim" w:hAnsi="Narkisim" w:cs="Narkisim"/>
          <w:u w:val="single"/>
          <w:rtl/>
        </w:rPr>
        <w:t>תוד"ה אמר</w:t>
      </w:r>
      <w:r w:rsidRPr="00E14121">
        <w:rPr>
          <w:rFonts w:ascii="Narkisim" w:hAnsi="Narkisim" w:cs="Narkisim"/>
          <w:rtl/>
        </w:rPr>
        <w:t xml:space="preserve">. חדא דהא קא מודה וכו' לאביי וכו' לא סגי התם בטעמא קמא בלא 'ועוד'. וכה"ק </w:t>
      </w:r>
      <w:r w:rsidRPr="00E14121">
        <w:rPr>
          <w:rFonts w:ascii="Narkisim" w:hAnsi="Narkisim" w:cs="Narkisim"/>
          <w:b/>
          <w:bCs/>
          <w:rtl/>
        </w:rPr>
        <w:t>תו”י</w:t>
      </w:r>
      <w:r w:rsidRPr="00E14121">
        <w:rPr>
          <w:rFonts w:ascii="Narkisim" w:hAnsi="Narkisim" w:cs="Narkisim"/>
          <w:rtl/>
        </w:rPr>
        <w:t xml:space="preserve"> (כתובות יד.) לל"ק האיך מהני שמודה שבא עליה, דהא פשיטא שלא היה מזנב אחריה. א"כ יש לחוש מדאפקרא נפשא. ותוס' כת' דשמא בסוגיין איירי שבא עליה פעם א'. ואילו התם איירי שהיה רגיל אצלה תמיד, וכיון דבא עליה ביאת הרבה הוה כדאמרי' רוב בעילות אחר הבעל</w:t>
      </w:r>
      <w:r w:rsidRPr="00E14121">
        <w:rPr>
          <w:rStyle w:val="ac"/>
          <w:rFonts w:ascii="Narkisim" w:hAnsi="Narkisim" w:cs="Narkisim"/>
          <w:rtl/>
        </w:rPr>
        <w:footnoteReference w:id="4276"/>
      </w:r>
      <w:r w:rsidRPr="00E14121">
        <w:rPr>
          <w:rFonts w:ascii="Narkisim" w:hAnsi="Narkisim" w:cs="Narkisim"/>
          <w:rtl/>
        </w:rPr>
        <w:t>.</w:t>
      </w:r>
    </w:p>
    <w:p w14:paraId="004AFE7E" w14:textId="77777777" w:rsidR="00F64AED" w:rsidRPr="00E14121" w:rsidRDefault="00F64AED" w:rsidP="00F64AED">
      <w:pPr>
        <w:pStyle w:val="a7"/>
        <w:bidi/>
        <w:rPr>
          <w:rFonts w:ascii="Narkisim" w:hAnsi="Narkisim"/>
        </w:rPr>
      </w:pPr>
      <w:r w:rsidRPr="00E14121">
        <w:rPr>
          <w:rFonts w:ascii="Narkisim" w:hAnsi="Narkisim"/>
          <w:rtl/>
        </w:rPr>
        <w:t>אבל מדברי ה</w:t>
      </w:r>
      <w:r w:rsidRPr="00E14121">
        <w:rPr>
          <w:rFonts w:ascii="Narkisim" w:hAnsi="Narkisim"/>
          <w:b/>
          <w:bCs/>
          <w:rtl/>
        </w:rPr>
        <w:t>רמב"ן</w:t>
      </w:r>
      <w:r w:rsidRPr="00E14121">
        <w:rPr>
          <w:rFonts w:ascii="Narkisim" w:hAnsi="Narkisim"/>
          <w:rtl/>
        </w:rPr>
        <w:t xml:space="preserve"> (שם) משמע דהיכא דהוא סבור שהוא ממנו, והוא אינו סבור שהפקירה עצמה מהני. [ואף דבגדרי הדין חיישי' מדאפקרה נפשא, הארוס נאמן מדין יכיר שהוא סבור </w:t>
      </w:r>
      <w:r w:rsidRPr="00E14121">
        <w:rPr>
          <w:rFonts w:ascii="Narkisim" w:hAnsi="Narkisim"/>
          <w:rtl/>
        </w:rPr>
        <w:lastRenderedPageBreak/>
        <w:t>שהוא בנו</w:t>
      </w:r>
      <w:r w:rsidRPr="00E14121">
        <w:rPr>
          <w:rStyle w:val="ac"/>
          <w:rFonts w:ascii="Narkisim" w:hAnsi="Narkisim"/>
          <w:rtl/>
        </w:rPr>
        <w:footnoteReference w:id="4277"/>
      </w:r>
      <w:r w:rsidRPr="00E14121">
        <w:rPr>
          <w:rFonts w:ascii="Narkisim" w:hAnsi="Narkisim"/>
          <w:rtl/>
        </w:rPr>
        <w:t>].</w:t>
      </w:r>
    </w:p>
    <w:p w14:paraId="5811DED8" w14:textId="77777777" w:rsidR="00F64AED" w:rsidRPr="00E14121" w:rsidRDefault="00F64AED" w:rsidP="00F64AED">
      <w:pPr>
        <w:bidi/>
        <w:rPr>
          <w:rFonts w:ascii="Narkisim" w:hAnsi="Narkisim" w:cs="Narkisim"/>
        </w:rPr>
      </w:pPr>
      <w:r w:rsidRPr="00E14121">
        <w:rPr>
          <w:rFonts w:ascii="Narkisim" w:hAnsi="Narkisim" w:cs="Narkisim"/>
          <w:u w:val="single"/>
          <w:rtl/>
        </w:rPr>
        <w:t>חבושים בבית האסורין.</w:t>
      </w:r>
      <w:r w:rsidRPr="00E14121">
        <w:rPr>
          <w:rFonts w:ascii="Narkisim" w:hAnsi="Narkisim" w:cs="Narkisim"/>
          <w:rtl/>
        </w:rPr>
        <w:t xml:space="preserve"> ב</w:t>
      </w:r>
      <w:r w:rsidRPr="00E14121">
        <w:rPr>
          <w:rFonts w:ascii="Narkisim" w:hAnsi="Narkisim" w:cs="Narkisim"/>
          <w:b/>
          <w:bCs/>
          <w:rtl/>
        </w:rPr>
        <w:t>גמ</w:t>
      </w:r>
      <w:r w:rsidRPr="00E14121">
        <w:rPr>
          <w:rFonts w:ascii="Narkisim" w:hAnsi="Narkisim" w:cs="Narkisim"/>
          <w:rtl/>
        </w:rPr>
        <w:t>' (חולין יא:) אמרי' [דאי לאו דילפי' דאזלי' בתר רוב] אף בחבושים בבית האסורין לא ידעינן דהוה אביו, דאין אפוטרופוס לעריות. וה</w:t>
      </w:r>
      <w:r w:rsidRPr="00E14121">
        <w:rPr>
          <w:rFonts w:ascii="Narkisim" w:hAnsi="Narkisim" w:cs="Narkisim"/>
          <w:b/>
          <w:bCs/>
          <w:rtl/>
        </w:rPr>
        <w:t>חזו"א</w:t>
      </w:r>
      <w:r w:rsidRPr="00E14121">
        <w:rPr>
          <w:rFonts w:ascii="Narkisim" w:hAnsi="Narkisim" w:cs="Narkisim"/>
          <w:rtl/>
        </w:rPr>
        <w:t xml:space="preserve"> כתב דמבואר דאף לאביי תלינן טפי בהידוע, ואין חוששין לאחריני. ואפשר אפי' לא ידעינן שבא עליה, כיון דשניהם בבית האסורין תלינן ביה ואין חוששין לאחריני.</w:t>
      </w:r>
    </w:p>
    <w:p w14:paraId="409EF1B7" w14:textId="77777777" w:rsidR="00F64AED" w:rsidRPr="00E14121" w:rsidRDefault="00F64AED" w:rsidP="00F64AED">
      <w:pPr>
        <w:pStyle w:val="3"/>
        <w:bidi/>
        <w:rPr>
          <w:rFonts w:ascii="Narkisim" w:hAnsi="Narkisim"/>
        </w:rPr>
      </w:pPr>
      <w:r w:rsidRPr="00E14121">
        <w:rPr>
          <w:rFonts w:ascii="Narkisim" w:hAnsi="Narkisim"/>
          <w:rtl/>
        </w:rPr>
        <w:t>דף ע.</w:t>
      </w:r>
    </w:p>
    <w:p w14:paraId="2CABDB43" w14:textId="77777777" w:rsidR="00F64AED" w:rsidRPr="00E14121" w:rsidRDefault="00F64AED" w:rsidP="00F64AED">
      <w:pPr>
        <w:bidi/>
        <w:rPr>
          <w:rFonts w:ascii="Narkisim" w:hAnsi="Narkisim" w:cs="Narkisim"/>
        </w:rPr>
      </w:pPr>
      <w:r w:rsidRPr="00E14121">
        <w:rPr>
          <w:rFonts w:ascii="Narkisim" w:hAnsi="Narkisim" w:cs="Narkisim"/>
          <w:u w:val="single"/>
          <w:rtl/>
        </w:rPr>
        <w:t>תוד"ה אבל.</w:t>
      </w:r>
      <w:r w:rsidRPr="00E14121">
        <w:rPr>
          <w:rFonts w:ascii="Narkisim" w:hAnsi="Narkisim" w:cs="Narkisim"/>
          <w:rtl/>
        </w:rPr>
        <w:t xml:space="preserve"> דיימא מיניה שבא עליה בודאי וכו'. אבל ב</w:t>
      </w:r>
      <w:r w:rsidRPr="00E14121">
        <w:rPr>
          <w:rFonts w:ascii="Narkisim" w:hAnsi="Narkisim" w:cs="Narkisim"/>
          <w:b/>
          <w:bCs/>
          <w:rtl/>
        </w:rPr>
        <w:t>חי' ר"א מן ההר</w:t>
      </w:r>
      <w:r w:rsidRPr="00E14121">
        <w:rPr>
          <w:rFonts w:ascii="Narkisim" w:hAnsi="Narkisim" w:cs="Narkisim"/>
          <w:rtl/>
        </w:rPr>
        <w:t xml:space="preserve"> כתב דהוה קול בעלמא, ואפי' הכי תלינן בתר ארוס כיון דהוה היתירא. וה"נ באנס איירי דיש קול דבא עליה כמה ביאות, דאל"כ לא שדינן אבתרי', אע"פ שבא עליה ודאי. וה</w:t>
      </w:r>
      <w:r w:rsidRPr="00E14121">
        <w:rPr>
          <w:rFonts w:ascii="Narkisim" w:hAnsi="Narkisim" w:cs="Narkisim"/>
          <w:b/>
          <w:bCs/>
          <w:rtl/>
        </w:rPr>
        <w:t>מאירי</w:t>
      </w:r>
      <w:r w:rsidRPr="00E14121">
        <w:rPr>
          <w:rFonts w:ascii="Narkisim" w:hAnsi="Narkisim" w:cs="Narkisim"/>
          <w:rtl/>
        </w:rPr>
        <w:t xml:space="preserve"> הביא לפרש דאיירי אף בבא עליה לפני זמן רב, ועי”ז מחזקינן דדיימא מיניה ובא עליה שוב.</w:t>
      </w:r>
    </w:p>
    <w:p w14:paraId="580774C0" w14:textId="77777777" w:rsidR="00F64AED" w:rsidRPr="00E14121" w:rsidRDefault="00F64AED" w:rsidP="00F64AED">
      <w:pPr>
        <w:bidi/>
        <w:rPr>
          <w:rFonts w:ascii="Narkisim" w:hAnsi="Narkisim" w:cs="Narkisim"/>
        </w:rPr>
      </w:pPr>
      <w:r w:rsidRPr="00E14121">
        <w:rPr>
          <w:rFonts w:ascii="Narkisim" w:hAnsi="Narkisim" w:cs="Narkisim"/>
          <w:u w:val="single"/>
          <w:rtl/>
        </w:rPr>
        <w:t>אמר אביי לעולם אימא לך כל היכא דדיימא מעלמא וכו'</w:t>
      </w:r>
      <w:r w:rsidRPr="00E14121">
        <w:rPr>
          <w:rFonts w:ascii="Narkisim" w:hAnsi="Narkisim" w:cs="Narkisim"/>
          <w:rtl/>
        </w:rPr>
        <w:t>. ה</w:t>
      </w:r>
      <w:r w:rsidRPr="00E14121">
        <w:rPr>
          <w:rFonts w:ascii="Narkisim" w:hAnsi="Narkisim" w:cs="Narkisim"/>
          <w:b/>
          <w:bCs/>
          <w:rtl/>
        </w:rPr>
        <w:t>רשב"א</w:t>
      </w:r>
      <w:r w:rsidRPr="00E14121">
        <w:rPr>
          <w:rFonts w:ascii="Narkisim" w:hAnsi="Narkisim" w:cs="Narkisim"/>
          <w:rtl/>
        </w:rPr>
        <w:t xml:space="preserve"> כתב דקי"ל כשמואל, דאמרי' (קידושין שם) דהוא דעת אבא שאול דמהני ברי. וקי"ל כל"ב, דאפי' דיימא מעלמא. אבל </w:t>
      </w:r>
      <w:r w:rsidRPr="00E14121">
        <w:rPr>
          <w:rFonts w:ascii="Narkisim" w:hAnsi="Narkisim" w:cs="Narkisim"/>
          <w:b/>
          <w:bCs/>
          <w:rtl/>
        </w:rPr>
        <w:t>ה"ה</w:t>
      </w:r>
      <w:r w:rsidRPr="00E14121">
        <w:rPr>
          <w:rFonts w:ascii="Narkisim" w:hAnsi="Narkisim" w:cs="Narkisim"/>
          <w:rtl/>
        </w:rPr>
        <w:t xml:space="preserve"> כתב דה</w:t>
      </w:r>
      <w:r w:rsidRPr="00E14121">
        <w:rPr>
          <w:rFonts w:ascii="Narkisim" w:hAnsi="Narkisim" w:cs="Narkisim"/>
          <w:b/>
          <w:bCs/>
          <w:rtl/>
        </w:rPr>
        <w:t>רמב"ם</w:t>
      </w:r>
      <w:r w:rsidRPr="00E14121">
        <w:rPr>
          <w:rFonts w:ascii="Narkisim" w:hAnsi="Narkisim" w:cs="Narkisim"/>
          <w:rtl/>
        </w:rPr>
        <w:t xml:space="preserve"> (תרומות ח יד) פסק כלישנא קמא דהיכא דדיימא מעלמא אסורה.</w:t>
      </w:r>
    </w:p>
    <w:p w14:paraId="3116DAAB"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(יבום ג ד) פסק דמי שזינה עם אשה ונתעברה הוה ספק לענין יבום, ואף ששניהם אומרים דממנו. אע"פ שלענין ירושה הוא בנו, לענין יבום הוה ספק, דאמרי' מדאפקרה נפשה</w:t>
      </w:r>
      <w:r w:rsidRPr="00E14121">
        <w:rPr>
          <w:rStyle w:val="ac"/>
          <w:rFonts w:ascii="Narkisim" w:hAnsi="Narkisim"/>
          <w:rtl/>
        </w:rPr>
        <w:footnoteReference w:id="4278"/>
      </w:r>
      <w:r w:rsidRPr="00E14121">
        <w:rPr>
          <w:rFonts w:ascii="Narkisim" w:hAnsi="Narkisim"/>
          <w:rtl/>
        </w:rPr>
        <w:t xml:space="preserve">. </w:t>
      </w:r>
      <w:r w:rsidRPr="00E14121">
        <w:rPr>
          <w:rFonts w:ascii="Narkisim" w:hAnsi="Narkisim"/>
          <w:sz w:val="20"/>
          <w:szCs w:val="20"/>
          <w:rtl/>
        </w:rPr>
        <w:t>ו</w:t>
      </w:r>
      <w:r w:rsidRPr="00E14121">
        <w:rPr>
          <w:rFonts w:ascii="Narkisim" w:hAnsi="Narkisim"/>
          <w:b/>
          <w:bCs/>
          <w:sz w:val="20"/>
          <w:szCs w:val="20"/>
          <w:rtl/>
        </w:rPr>
        <w:t>ה"ה</w:t>
      </w:r>
      <w:r w:rsidRPr="00E14121">
        <w:rPr>
          <w:rFonts w:ascii="Narkisim" w:hAnsi="Narkisim"/>
          <w:sz w:val="20"/>
          <w:szCs w:val="20"/>
          <w:rtl/>
        </w:rPr>
        <w:t xml:space="preserve"> הקשה דלא חילק בין דיימא מעלמא ללא דיימא לעלמא.</w:t>
      </w:r>
      <w:r w:rsidRPr="00E14121">
        <w:rPr>
          <w:rFonts w:ascii="Narkisim" w:hAnsi="Narkisim"/>
          <w:rtl/>
        </w:rPr>
        <w:t xml:space="preserve"> וה</w:t>
      </w:r>
      <w:r w:rsidRPr="00E14121">
        <w:rPr>
          <w:rFonts w:ascii="Narkisim" w:hAnsi="Narkisim"/>
          <w:b/>
          <w:bCs/>
          <w:rtl/>
        </w:rPr>
        <w:t xml:space="preserve">גר"א </w:t>
      </w:r>
      <w:r w:rsidRPr="00E14121">
        <w:rPr>
          <w:rFonts w:ascii="Narkisim" w:hAnsi="Narkisim"/>
          <w:rtl/>
        </w:rPr>
        <w:t>(קנו כט) כתב דהרמב"ם פסק כל"ב וכאביי [דגרס דרבה פליג].</w:t>
      </w:r>
    </w:p>
    <w:p w14:paraId="54CFA1B2"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ה"ה</w:t>
      </w:r>
      <w:r w:rsidRPr="00E14121">
        <w:rPr>
          <w:rFonts w:ascii="Narkisim" w:hAnsi="Narkisim"/>
          <w:rtl/>
        </w:rPr>
        <w:t xml:space="preserve"> כתב דבנו מאנוסתו וממפותתו וכו' אף הוא אינו יודע בבירור, הילכך מחמירים. ו</w:t>
      </w:r>
      <w:r w:rsidRPr="00E14121">
        <w:rPr>
          <w:rFonts w:ascii="Narkisim" w:hAnsi="Narkisim"/>
          <w:b/>
          <w:bCs/>
          <w:rtl/>
        </w:rPr>
        <w:t>רע"א</w:t>
      </w:r>
      <w:r w:rsidRPr="00E14121">
        <w:rPr>
          <w:rFonts w:ascii="Narkisim" w:hAnsi="Narkisim"/>
          <w:rtl/>
        </w:rPr>
        <w:t xml:space="preserve"> תמה דבאנוסה ל"ש סברת מדאפקרא נפשא.</w:t>
      </w:r>
    </w:p>
    <w:p w14:paraId="3C7AFFC2" w14:textId="77777777" w:rsidR="00F64AED" w:rsidRPr="00E14121" w:rsidRDefault="00F64AED" w:rsidP="00F64AED">
      <w:pPr>
        <w:pStyle w:val="aa"/>
        <w:bidi/>
        <w:rPr>
          <w:rFonts w:ascii="Narkisim" w:hAnsi="Narkisim"/>
        </w:rPr>
      </w:pPr>
      <w:r w:rsidRPr="00E14121">
        <w:rPr>
          <w:rFonts w:ascii="Narkisim" w:hAnsi="Narkisim"/>
          <w:u w:val="single"/>
          <w:rtl/>
        </w:rPr>
        <w:t>שם. בתריה דידיה שדינן</w:t>
      </w:r>
      <w:r w:rsidRPr="00E14121">
        <w:rPr>
          <w:rFonts w:ascii="Narkisim" w:hAnsi="Narkisim"/>
          <w:rtl/>
        </w:rPr>
        <w:t>. ה</w:t>
      </w:r>
      <w:r w:rsidRPr="00E14121">
        <w:rPr>
          <w:rFonts w:ascii="Narkisim" w:hAnsi="Narkisim"/>
          <w:b/>
          <w:bCs/>
          <w:rtl/>
        </w:rPr>
        <w:t>ריטב"א</w:t>
      </w:r>
      <w:r w:rsidRPr="00E14121">
        <w:rPr>
          <w:rFonts w:ascii="Narkisim" w:hAnsi="Narkisim"/>
          <w:rtl/>
        </w:rPr>
        <w:t xml:space="preserve"> כתב דאם הארוס מכחישה, ואומר שלא בא עליה כלל, אינו נאמן נגד חזקה לפוסלה. אבל נאמן על הבן דהוה ברי וברי, ועוד דילפי' דנאמן לפסול את בנו דכתיב 'יכיר'</w:t>
      </w:r>
      <w:r w:rsidRPr="00E14121">
        <w:rPr>
          <w:rStyle w:val="ac"/>
          <w:rFonts w:ascii="Narkisim" w:hAnsi="Narkisim"/>
          <w:rtl/>
        </w:rPr>
        <w:footnoteReference w:id="4279"/>
      </w:r>
      <w:r w:rsidRPr="00E14121">
        <w:rPr>
          <w:rFonts w:ascii="Narkisim" w:hAnsi="Narkisim"/>
          <w:rtl/>
        </w:rPr>
        <w:t xml:space="preserve">, והוה ממזר גמור. וע"ע </w:t>
      </w:r>
      <w:r w:rsidRPr="00E14121">
        <w:rPr>
          <w:rFonts w:ascii="Narkisim" w:hAnsi="Narkisim"/>
          <w:b/>
          <w:bCs/>
          <w:rtl/>
        </w:rPr>
        <w:t>תוס</w:t>
      </w:r>
      <w:r w:rsidRPr="00E14121">
        <w:rPr>
          <w:rFonts w:ascii="Narkisim" w:hAnsi="Narkisim"/>
          <w:rtl/>
        </w:rPr>
        <w:t>' (כתובות יד.) וה</w:t>
      </w:r>
      <w:r w:rsidRPr="00E14121">
        <w:rPr>
          <w:rFonts w:ascii="Narkisim" w:hAnsi="Narkisim"/>
          <w:b/>
          <w:bCs/>
          <w:rtl/>
        </w:rPr>
        <w:t>פוסקים</w:t>
      </w:r>
      <w:r w:rsidRPr="00E14121">
        <w:rPr>
          <w:rFonts w:ascii="Narkisim" w:hAnsi="Narkisim"/>
          <w:rtl/>
        </w:rPr>
        <w:t xml:space="preserve"> האריכו בכל זה.</w:t>
      </w:r>
    </w:p>
    <w:p w14:paraId="55B28400"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כת' דהיכא דהיא אומרת דהולד פסול, והארוס שותק הוה ספק ממזר. דלא האמינה תורה לה לפסול את הולד. והביא מח' (והו' ב</w:t>
      </w:r>
      <w:r w:rsidRPr="00E14121">
        <w:rPr>
          <w:rFonts w:ascii="Narkisim" w:hAnsi="Narkisim"/>
          <w:b/>
          <w:bCs/>
          <w:rtl/>
        </w:rPr>
        <w:t>רמ"א</w:t>
      </w:r>
      <w:r w:rsidRPr="00E14121">
        <w:rPr>
          <w:rFonts w:ascii="Narkisim" w:hAnsi="Narkisim"/>
          <w:rtl/>
        </w:rPr>
        <w:t xml:space="preserve"> ד כט) היכא דהוא אומר מיניה, והיא מכחישתו, דכיון דהתורה האמינתו לפוסלו, כ”ש דמהני להכשיר. דהא יש לה חזקת כשרות</w:t>
      </w:r>
      <w:r w:rsidRPr="00E14121">
        <w:rPr>
          <w:rStyle w:val="ac"/>
          <w:rFonts w:ascii="Narkisim" w:hAnsi="Narkisim"/>
          <w:rtl/>
        </w:rPr>
        <w:footnoteReference w:id="4280"/>
      </w:r>
      <w:r w:rsidRPr="00E14121">
        <w:rPr>
          <w:rFonts w:ascii="Narkisim" w:hAnsi="Narkisim"/>
          <w:rtl/>
        </w:rPr>
        <w:t>.</w:t>
      </w:r>
    </w:p>
    <w:p w14:paraId="3C7EDBA0" w14:textId="77777777" w:rsidR="00F64AED" w:rsidRPr="00E14121" w:rsidRDefault="00F64AED" w:rsidP="00F64AED">
      <w:pPr>
        <w:bidi/>
        <w:rPr>
          <w:rFonts w:ascii="Narkisim" w:hAnsi="Narkisim" w:cs="Narkisim"/>
        </w:rPr>
      </w:pPr>
      <w:r w:rsidRPr="00E14121">
        <w:rPr>
          <w:rFonts w:ascii="Narkisim" w:hAnsi="Narkisim" w:cs="Narkisim"/>
          <w:u w:val="single"/>
          <w:rtl/>
        </w:rPr>
        <w:t>זרע פסול מנין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(לעיל כב: וב"ב קטז., וה</w:t>
      </w:r>
      <w:r w:rsidRPr="00E14121">
        <w:rPr>
          <w:rFonts w:ascii="Narkisim" w:hAnsi="Narkisim" w:cs="Narkisim"/>
          <w:b/>
          <w:bCs/>
          <w:rtl/>
        </w:rPr>
        <w:t>תוס' רא"ש</w:t>
      </w:r>
      <w:r w:rsidRPr="00E14121">
        <w:rPr>
          <w:rFonts w:ascii="Narkisim" w:hAnsi="Narkisim" w:cs="Narkisim"/>
          <w:rtl/>
        </w:rPr>
        <w:t xml:space="preserve"> כאן) הביאו דסתם 'זרע' היינו זרע כשר, ואיצטריך (כאן וקידושין ד.) לרבות זרע פסול. ואף דסתם אח ובן הוה אפי' ממזר, דפריך (לעיל שם) פשיטא אחיו הוא</w:t>
      </w:r>
      <w:r w:rsidRPr="00E14121">
        <w:rPr>
          <w:rStyle w:val="ac"/>
          <w:rFonts w:ascii="Narkisim" w:hAnsi="Narkisim" w:cs="Narkisim"/>
          <w:rtl/>
        </w:rPr>
        <w:footnoteReference w:id="4281"/>
      </w:r>
      <w:r w:rsidRPr="00E14121">
        <w:rPr>
          <w:rFonts w:ascii="Narkisim" w:hAnsi="Narkisim" w:cs="Narkisim"/>
          <w:rtl/>
        </w:rPr>
        <w:t>. ולענין בני בנים הוה איפכא, דלשון זרע משמע בני בנים (כדלקמן), והיכא דכתוב 'בן' צריך ריבוי לבני בנים (כדאיתא ב"ב קטו.).</w:t>
      </w:r>
    </w:p>
    <w:p w14:paraId="69BC6AFB" w14:textId="77777777" w:rsidR="00F64AED" w:rsidRPr="00E14121" w:rsidRDefault="00F64AED" w:rsidP="00F64AED">
      <w:pPr>
        <w:bidi/>
        <w:rPr>
          <w:rFonts w:ascii="Narkisim" w:hAnsi="Narkisim" w:cs="Narkisim"/>
        </w:rPr>
      </w:pPr>
      <w:r w:rsidRPr="00E14121">
        <w:rPr>
          <w:rFonts w:ascii="Narkisim" w:hAnsi="Narkisim" w:cs="Narkisim"/>
          <w:u w:val="single"/>
          <w:rtl/>
        </w:rPr>
        <w:t>והא אפיקתיה לזרע זרעה וכו'.</w:t>
      </w:r>
      <w:r w:rsidRPr="00E14121">
        <w:rPr>
          <w:rFonts w:ascii="Narkisim" w:hAnsi="Narkisim" w:cs="Narkisim"/>
          <w:rtl/>
        </w:rPr>
        <w:t xml:space="preserve"> ה</w:t>
      </w:r>
      <w:r w:rsidRPr="00E14121">
        <w:rPr>
          <w:rFonts w:ascii="Narkisim" w:hAnsi="Narkisim" w:cs="Narkisim"/>
          <w:b/>
          <w:bCs/>
          <w:rtl/>
        </w:rPr>
        <w:t>תוס הרא"ש</w:t>
      </w:r>
      <w:r w:rsidRPr="00E14121">
        <w:rPr>
          <w:rFonts w:ascii="Narkisim" w:hAnsi="Narkisim" w:cs="Narkisim"/>
          <w:rtl/>
        </w:rPr>
        <w:t xml:space="preserve"> (ו</w:t>
      </w:r>
      <w:r w:rsidRPr="00E14121">
        <w:rPr>
          <w:rFonts w:ascii="Narkisim" w:hAnsi="Narkisim" w:cs="Narkisim"/>
          <w:b/>
          <w:bCs/>
          <w:rtl/>
        </w:rPr>
        <w:t>תוס</w:t>
      </w:r>
      <w:r w:rsidRPr="00E14121">
        <w:rPr>
          <w:rFonts w:ascii="Narkisim" w:hAnsi="Narkisim" w:cs="Narkisim"/>
          <w:rtl/>
        </w:rPr>
        <w:t>' ב"ב קט. ד"ה כיון) הק' דלענין נחלה אמרי' דבת וממזר</w:t>
      </w:r>
      <w:r w:rsidRPr="00E14121">
        <w:rPr>
          <w:rStyle w:val="ac"/>
          <w:rFonts w:ascii="Narkisim" w:hAnsi="Narkisim" w:cs="Narkisim"/>
          <w:rtl/>
        </w:rPr>
        <w:footnoteReference w:id="4282"/>
      </w:r>
      <w:r w:rsidRPr="00E14121">
        <w:rPr>
          <w:rFonts w:ascii="Narkisim" w:hAnsi="Narkisim" w:cs="Narkisim"/>
          <w:rtl/>
        </w:rPr>
        <w:t xml:space="preserve"> שקולין הם, וילפי' מחד קרא. ותי' דבסוגיין א"א לדרוש מיניה תרתי. דצריכים לרבות זרע זרעה קודם, דהכא ליכא למימר זרע פסול, דא"כ נבעלה לפסול ואינה אוכלת בתרומה. וכל הנידון לזרע זרעה פסול, וע"כ קודם מרבינן זרע זרעה כשר. ותו ליכא קרא מיותר לרבות זרע זרעה פסול.</w:t>
      </w:r>
    </w:p>
    <w:p w14:paraId="7C610190" w14:textId="77777777" w:rsidR="00F64AED" w:rsidRPr="00E14121" w:rsidRDefault="00F64AED" w:rsidP="00F64AED">
      <w:pPr>
        <w:pStyle w:val="a7"/>
        <w:bidi/>
        <w:rPr>
          <w:rFonts w:ascii="Narkisim" w:hAnsi="Narkisim"/>
        </w:rPr>
      </w:pPr>
      <w:r w:rsidRPr="00E14121">
        <w:rPr>
          <w:rFonts w:ascii="Narkisim" w:hAnsi="Narkisim"/>
          <w:rtl/>
        </w:rPr>
        <w:t xml:space="preserve">ועוד תי' </w:t>
      </w:r>
      <w:r w:rsidRPr="00E14121">
        <w:rPr>
          <w:rFonts w:ascii="Narkisim" w:hAnsi="Narkisim"/>
          <w:b/>
          <w:bCs/>
          <w:rtl/>
        </w:rPr>
        <w:t>תוס</w:t>
      </w:r>
      <w:r w:rsidRPr="00E14121">
        <w:rPr>
          <w:rFonts w:ascii="Narkisim" w:hAnsi="Narkisim"/>
          <w:rtl/>
        </w:rPr>
        <w:t xml:space="preserve">' (ב"ב קט.) דלענין יבום איצטריך לרבות ממזר, דבזרע פסול אכתי הוי שמו מחוי. </w:t>
      </w:r>
      <w:r w:rsidRPr="00E14121">
        <w:rPr>
          <w:rFonts w:ascii="Narkisim" w:hAnsi="Narkisim"/>
          <w:rtl/>
          <w:lang w:val="he-IL"/>
        </w:rPr>
        <w:t>וב</w:t>
      </w:r>
      <w:r w:rsidRPr="00E14121">
        <w:rPr>
          <w:rFonts w:ascii="Narkisim" w:hAnsi="Narkisim"/>
          <w:b/>
          <w:bCs/>
          <w:rtl/>
          <w:lang w:val="he-IL"/>
        </w:rPr>
        <w:t>שו"ת הרדב"ז</w:t>
      </w:r>
      <w:r w:rsidRPr="00E14121">
        <w:rPr>
          <w:rFonts w:ascii="Narkisim" w:hAnsi="Narkisim"/>
          <w:rtl/>
          <w:lang w:val="he-IL"/>
        </w:rPr>
        <w:t xml:space="preserve"> (ז ב) הביא מדברי התוס' דלא קיים פריה ורביה בבן ממזר. [אבל ה</w:t>
      </w:r>
      <w:r w:rsidRPr="00E14121">
        <w:rPr>
          <w:rFonts w:ascii="Narkisim" w:hAnsi="Narkisim"/>
          <w:b/>
          <w:bCs/>
          <w:rtl/>
          <w:lang w:val="he-IL"/>
        </w:rPr>
        <w:t>רמ"א</w:t>
      </w:r>
      <w:r w:rsidRPr="00E14121">
        <w:rPr>
          <w:rFonts w:ascii="Narkisim" w:hAnsi="Narkisim"/>
          <w:rtl/>
          <w:lang w:val="he-IL"/>
        </w:rPr>
        <w:t xml:space="preserve"> </w:t>
      </w:r>
      <w:r w:rsidRPr="00E14121">
        <w:rPr>
          <w:rFonts w:ascii="Narkisim" w:hAnsi="Narkisim"/>
          <w:rtl/>
          <w:lang w:val="he-IL"/>
        </w:rPr>
        <w:lastRenderedPageBreak/>
        <w:t>(א ו) פסק שקיים פר"ו</w:t>
      </w:r>
      <w:r w:rsidRPr="00E14121">
        <w:rPr>
          <w:rStyle w:val="ac"/>
          <w:rFonts w:ascii="Narkisim" w:hAnsi="Narkisim"/>
          <w:rtl/>
          <w:lang w:val="he-IL"/>
        </w:rPr>
        <w:footnoteReference w:id="4283"/>
      </w:r>
      <w:r w:rsidRPr="00E14121">
        <w:rPr>
          <w:rFonts w:ascii="Narkisim" w:hAnsi="Narkisim"/>
          <w:rtl/>
          <w:lang w:val="he-IL"/>
        </w:rPr>
        <w:t>].</w:t>
      </w:r>
    </w:p>
    <w:p w14:paraId="3085DE1C" w14:textId="77777777" w:rsidR="00F64AED" w:rsidRPr="00E14121" w:rsidRDefault="00F64AED" w:rsidP="00F64AED">
      <w:pPr>
        <w:pStyle w:val="aa"/>
        <w:bidi/>
        <w:rPr>
          <w:rFonts w:ascii="Narkisim" w:hAnsi="Narkisim"/>
        </w:rPr>
      </w:pPr>
      <w:r w:rsidRPr="00E14121">
        <w:rPr>
          <w:rFonts w:ascii="Narkisim" w:hAnsi="Narkisim"/>
          <w:u w:val="single"/>
          <w:rtl/>
        </w:rPr>
        <w:t>זרע זרעה ל"צ קרא, בני בנים הרי הם כבנים וכו'</w:t>
      </w:r>
      <w:r w:rsidRPr="00E14121">
        <w:rPr>
          <w:rFonts w:ascii="Narkisim" w:hAnsi="Narkisim"/>
          <w:rtl/>
        </w:rPr>
        <w:t>. בפשוטו הטעם דאף בני בנים חשיב דיש לו זרע. אך עוד יל”פ דע”י שיש בני בנים נחשב כאילו הבנים קיימים</w:t>
      </w:r>
      <w:r w:rsidRPr="00E14121">
        <w:rPr>
          <w:rStyle w:val="ac"/>
          <w:rFonts w:ascii="Narkisim" w:hAnsi="Narkisim"/>
          <w:rtl/>
        </w:rPr>
        <w:footnoteReference w:id="4284"/>
      </w:r>
      <w:r w:rsidRPr="00E14121">
        <w:rPr>
          <w:rFonts w:ascii="Narkisim" w:hAnsi="Narkisim"/>
          <w:rtl/>
        </w:rPr>
        <w:t>. [ולעולם נחשב דהבנים מאכילים בתרומה</w:t>
      </w:r>
      <w:r w:rsidRPr="00E14121">
        <w:rPr>
          <w:rStyle w:val="ac"/>
          <w:rFonts w:ascii="Narkisim" w:hAnsi="Narkisim"/>
          <w:rtl/>
        </w:rPr>
        <w:footnoteReference w:id="4285"/>
      </w:r>
      <w:r w:rsidRPr="00E14121">
        <w:rPr>
          <w:rFonts w:ascii="Narkisim" w:hAnsi="Narkisim"/>
          <w:rtl/>
        </w:rPr>
        <w:t>].</w:t>
      </w:r>
    </w:p>
    <w:p w14:paraId="1AA6A81F" w14:textId="77777777" w:rsidR="00F64AED" w:rsidRPr="00E14121" w:rsidRDefault="00F64AED" w:rsidP="00F64AED">
      <w:pPr>
        <w:bidi/>
        <w:rPr>
          <w:rFonts w:ascii="Narkisim" w:hAnsi="Narkisim" w:cs="Narkisim"/>
        </w:rPr>
      </w:pPr>
      <w:r w:rsidRPr="00E14121">
        <w:rPr>
          <w:rFonts w:ascii="Narkisim" w:hAnsi="Narkisim" w:cs="Narkisim"/>
          <w:u w:val="single"/>
          <w:rtl/>
        </w:rPr>
        <w:t>א"ל ר"ל לר' יוחנן כמאן כר"ע</w:t>
      </w:r>
      <w:r w:rsidRPr="00E14121">
        <w:rPr>
          <w:rStyle w:val="ac"/>
          <w:rFonts w:ascii="Narkisim" w:hAnsi="Narkisim" w:cs="Narkisim"/>
          <w:u w:val="single"/>
          <w:rtl/>
        </w:rPr>
        <w:footnoteReference w:id="4286"/>
      </w:r>
      <w:r w:rsidRPr="00E14121">
        <w:rPr>
          <w:rFonts w:ascii="Narkisim" w:hAnsi="Narkisim" w:cs="Narkisim"/>
          <w:u w:val="single"/>
          <w:rtl/>
        </w:rPr>
        <w:t xml:space="preserve"> וכו', אפי' תימא רבנן וכו'.</w:t>
      </w:r>
      <w:r w:rsidRPr="00E14121">
        <w:rPr>
          <w:rFonts w:ascii="Narkisim" w:hAnsi="Narkisim" w:cs="Narkisim"/>
          <w:rtl/>
        </w:rPr>
        <w:t xml:space="preserve"> ולהך מ"ד אף רבנן מודו דהוה ממזר. וכדאיתא (לעיל מה:) דכיון דלא תפסי קידושין הולד ממזר. [ואף לרבנן הוה ממזר. וע' מש”כ בזה שם].</w:t>
      </w:r>
    </w:p>
    <w:p w14:paraId="068C7FD6"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w:t>
      </w:r>
      <w:r w:rsidRPr="00E14121">
        <w:rPr>
          <w:rFonts w:ascii="Narkisim" w:hAnsi="Narkisim"/>
          <w:szCs w:val="16"/>
          <w:rtl/>
        </w:rPr>
        <w:t>(הו' במשנה)</w:t>
      </w:r>
      <w:r w:rsidRPr="00E14121">
        <w:rPr>
          <w:rFonts w:ascii="Narkisim" w:hAnsi="Narkisim"/>
          <w:rtl/>
        </w:rPr>
        <w:t xml:space="preserve"> הק' מכאן על </w:t>
      </w:r>
      <w:r w:rsidRPr="00E14121">
        <w:rPr>
          <w:rFonts w:ascii="Narkisim" w:hAnsi="Narkisim"/>
          <w:b/>
          <w:bCs/>
          <w:rtl/>
        </w:rPr>
        <w:t>תוס</w:t>
      </w:r>
      <w:r w:rsidRPr="00E14121">
        <w:rPr>
          <w:rFonts w:ascii="Narkisim" w:hAnsi="Narkisim"/>
          <w:rtl/>
        </w:rPr>
        <w:t>' (לעיל טז: ד"ה אמוראי) דכת' דדוקא לר' עקיבא דאין קידושין תפסי בחייבי לאוין הוא דאית ליה דהולד ממזר מעכו”ם ועבד. וצ"ע.</w:t>
      </w:r>
    </w:p>
    <w:p w14:paraId="5710EEA9" w14:textId="77777777" w:rsidR="00F64AED" w:rsidRPr="00E14121" w:rsidRDefault="00F64AED" w:rsidP="00F64AED">
      <w:pPr>
        <w:pStyle w:val="aa"/>
        <w:bidi/>
        <w:rPr>
          <w:rFonts w:ascii="Narkisim" w:hAnsi="Narkisim"/>
          <w:b/>
          <w:bCs/>
          <w:i/>
          <w:iCs/>
        </w:rPr>
      </w:pPr>
      <w:r w:rsidRPr="00E14121">
        <w:rPr>
          <w:rFonts w:ascii="Narkisim" w:hAnsi="Narkisim"/>
          <w:b/>
          <w:bCs/>
          <w:i/>
          <w:iCs/>
          <w:rtl/>
        </w:rPr>
        <w:tab/>
        <w:t>הדרן עלך פרק אלמנה לכה"ג</w:t>
      </w:r>
    </w:p>
    <w:p w14:paraId="3FA0B2E5" w14:textId="77777777" w:rsidR="00F64AED" w:rsidRPr="00E14121" w:rsidRDefault="00F64AED" w:rsidP="00F64AED">
      <w:pPr>
        <w:pStyle w:val="2"/>
        <w:pageBreakBefore/>
        <w:bidi/>
        <w:rPr>
          <w:rFonts w:ascii="Narkisim" w:hAnsi="Narkisim"/>
        </w:rPr>
      </w:pPr>
      <w:r w:rsidRPr="00E14121">
        <w:rPr>
          <w:rFonts w:ascii="Narkisim" w:hAnsi="Narkisim"/>
          <w:rtl/>
        </w:rPr>
        <w:lastRenderedPageBreak/>
        <w:t>בס"ד</w:t>
      </w:r>
    </w:p>
    <w:p w14:paraId="12FBCB71" w14:textId="77777777" w:rsidR="00F64AED" w:rsidRPr="00E14121" w:rsidRDefault="00F64AED" w:rsidP="00F64AED">
      <w:pPr>
        <w:pStyle w:val="1"/>
        <w:bidi/>
        <w:rPr>
          <w:rFonts w:ascii="Narkisim" w:hAnsi="Narkisim"/>
        </w:rPr>
      </w:pPr>
      <w:r w:rsidRPr="00E14121">
        <w:rPr>
          <w:rFonts w:ascii="Narkisim" w:hAnsi="Narkisim"/>
          <w:rtl/>
        </w:rPr>
        <w:t>פרק הערל</w:t>
      </w:r>
    </w:p>
    <w:p w14:paraId="60B87621" w14:textId="77777777" w:rsidR="00F64AED" w:rsidRPr="00E14121" w:rsidRDefault="00F64AED" w:rsidP="00F64AED">
      <w:pPr>
        <w:bidi/>
        <w:rPr>
          <w:rFonts w:ascii="Narkisim" w:hAnsi="Narkisim" w:cs="Narkisim"/>
        </w:rPr>
      </w:pPr>
      <w:r w:rsidRPr="00E14121">
        <w:rPr>
          <w:rFonts w:ascii="Narkisim" w:hAnsi="Narkisim" w:cs="Narkisim"/>
          <w:u w:val="single"/>
          <w:rtl/>
        </w:rPr>
        <w:t>הערל</w:t>
      </w:r>
      <w:r w:rsidRPr="00E14121">
        <w:rPr>
          <w:rFonts w:ascii="Narkisim" w:hAnsi="Narkisim" w:cs="Narkisim"/>
          <w:rtl/>
        </w:rPr>
        <w:t>. פ</w:t>
      </w:r>
      <w:r w:rsidRPr="00E14121">
        <w:rPr>
          <w:rFonts w:ascii="Narkisim" w:hAnsi="Narkisim" w:cs="Narkisim"/>
          <w:b/>
          <w:bCs/>
          <w:rtl/>
        </w:rPr>
        <w:t xml:space="preserve">רש"י </w:t>
      </w:r>
      <w:r w:rsidRPr="00E14121">
        <w:rPr>
          <w:rFonts w:ascii="Narkisim" w:hAnsi="Narkisim" w:cs="Narkisim"/>
          <w:rtl/>
        </w:rPr>
        <w:t>שמתו אחיו מחמת מילה. ו</w:t>
      </w:r>
      <w:r w:rsidRPr="00E14121">
        <w:rPr>
          <w:rFonts w:ascii="Narkisim" w:hAnsi="Narkisim" w:cs="Narkisim"/>
          <w:b/>
          <w:bCs/>
          <w:rtl/>
        </w:rPr>
        <w:t>תוס'</w:t>
      </w:r>
      <w:r w:rsidRPr="00E14121">
        <w:rPr>
          <w:rFonts w:ascii="Narkisim" w:hAnsi="Narkisim" w:cs="Narkisim"/>
          <w:rtl/>
        </w:rPr>
        <w:t xml:space="preserve"> וה</w:t>
      </w:r>
      <w:r w:rsidRPr="00E14121">
        <w:rPr>
          <w:rFonts w:ascii="Narkisim" w:hAnsi="Narkisim" w:cs="Narkisim"/>
          <w:b/>
          <w:bCs/>
          <w:rtl/>
        </w:rPr>
        <w:t>ראשונים</w:t>
      </w:r>
      <w:r w:rsidRPr="00E14121">
        <w:rPr>
          <w:rFonts w:ascii="Narkisim" w:hAnsi="Narkisim" w:cs="Narkisim"/>
          <w:rtl/>
        </w:rPr>
        <w:t xml:space="preserve"> פי' דאף דאנוס ואי אפשר לו למול, אפ"ה נחשב ערל. [ולא דמי לקודם יום השמיני דהוה ספק בגמ' (לקמן עא.) דלא הוי בר מילה. וע' בסמוך].</w:t>
      </w:r>
    </w:p>
    <w:p w14:paraId="1F98C627" w14:textId="77777777" w:rsidR="00F64AED" w:rsidRPr="00E14121" w:rsidRDefault="00F64AED" w:rsidP="00F64AED">
      <w:pPr>
        <w:pStyle w:val="a7"/>
        <w:bidi/>
        <w:rPr>
          <w:rFonts w:ascii="Narkisim" w:hAnsi="Narkisim"/>
        </w:rPr>
      </w:pPr>
      <w:r w:rsidRPr="00E14121">
        <w:rPr>
          <w:rFonts w:ascii="Narkisim" w:hAnsi="Narkisim"/>
          <w:rtl/>
        </w:rPr>
        <w:t xml:space="preserve">ודעת </w:t>
      </w:r>
      <w:r w:rsidRPr="00E14121">
        <w:rPr>
          <w:rFonts w:ascii="Narkisim" w:hAnsi="Narkisim"/>
          <w:b/>
          <w:bCs/>
          <w:rtl/>
        </w:rPr>
        <w:t>ר"ת</w:t>
      </w:r>
      <w:r w:rsidRPr="00E14121">
        <w:rPr>
          <w:rFonts w:ascii="Narkisim" w:hAnsi="Narkisim"/>
          <w:rtl/>
        </w:rPr>
        <w:t xml:space="preserve"> (בראשונים, והתו"י) דאיירי במשומד לערלות. אבל היכא דמתו אחיו, אנוס ואינו מצווה למול. והוה בכלל הספק דערלות תוך זמנו. וה</w:t>
      </w:r>
      <w:r w:rsidRPr="00E14121">
        <w:rPr>
          <w:rFonts w:ascii="Narkisim" w:hAnsi="Narkisim"/>
          <w:b/>
          <w:bCs/>
          <w:rtl/>
        </w:rPr>
        <w:t>רמב"ן</w:t>
      </w:r>
      <w:r w:rsidRPr="00E14121">
        <w:rPr>
          <w:rFonts w:ascii="Narkisim" w:hAnsi="Narkisim"/>
          <w:rtl/>
        </w:rPr>
        <w:t xml:space="preserve"> (ושא"ר כאן) בשם </w:t>
      </w:r>
      <w:r w:rsidRPr="00E14121">
        <w:rPr>
          <w:rFonts w:ascii="Narkisim" w:hAnsi="Narkisim"/>
          <w:b/>
          <w:bCs/>
          <w:rtl/>
        </w:rPr>
        <w:t>ר"ת</w:t>
      </w:r>
      <w:r w:rsidRPr="00E14121">
        <w:rPr>
          <w:rFonts w:ascii="Narkisim" w:hAnsi="Narkisim"/>
          <w:rtl/>
        </w:rPr>
        <w:t xml:space="preserve"> כת' דאף כשאינו מומר לערלות, אלא כגון שירא למול, שראה אחרים שמתו מחמת מילה. ו</w:t>
      </w:r>
      <w:r w:rsidRPr="00E14121">
        <w:rPr>
          <w:rFonts w:ascii="Narkisim" w:hAnsi="Narkisim"/>
          <w:b/>
          <w:bCs/>
          <w:rtl/>
        </w:rPr>
        <w:t xml:space="preserve">תוס' </w:t>
      </w:r>
      <w:r w:rsidRPr="00E14121">
        <w:rPr>
          <w:rFonts w:ascii="Narkisim" w:hAnsi="Narkisim"/>
          <w:sz w:val="20"/>
          <w:szCs w:val="20"/>
          <w:rtl/>
        </w:rPr>
        <w:t>(זבחים כב: וחגיגה ד: והתוס' רא"ש כאן)</w:t>
      </w:r>
      <w:r w:rsidRPr="00E14121">
        <w:rPr>
          <w:rFonts w:ascii="Narkisim" w:hAnsi="Narkisim"/>
          <w:rtl/>
        </w:rPr>
        <w:t xml:space="preserve"> כת' שאינו מל משום שירא מצער מילה</w:t>
      </w:r>
      <w:r w:rsidRPr="00E14121">
        <w:rPr>
          <w:rStyle w:val="ac"/>
          <w:rFonts w:ascii="Narkisim" w:hAnsi="Narkisim"/>
          <w:rtl/>
        </w:rPr>
        <w:footnoteReference w:id="4287"/>
      </w:r>
      <w:r w:rsidRPr="00E14121">
        <w:rPr>
          <w:rFonts w:ascii="Narkisim" w:hAnsi="Narkisim"/>
          <w:rtl/>
        </w:rPr>
        <w:t>.</w:t>
      </w:r>
    </w:p>
    <w:p w14:paraId="42F68ACD" w14:textId="77777777" w:rsidR="00F64AED" w:rsidRPr="00E14121" w:rsidRDefault="00F64AED" w:rsidP="00F64AED">
      <w:pPr>
        <w:bidi/>
        <w:rPr>
          <w:rFonts w:ascii="Narkisim" w:hAnsi="Narkisim" w:cs="Narkisim"/>
        </w:rPr>
      </w:pPr>
      <w:r w:rsidRPr="00E14121">
        <w:rPr>
          <w:rFonts w:ascii="Narkisim" w:hAnsi="Narkisim" w:cs="Narkisim"/>
          <w:rtl/>
        </w:rPr>
        <w:t>ויל"ד האם אף רש"י מודה דמומר לערלות מאכיל בתרומה [ונקט מתו אחיו לרבותא דאפ”ה לא יאכל בתרומה</w:t>
      </w:r>
      <w:r w:rsidRPr="00E14121">
        <w:rPr>
          <w:rStyle w:val="ac"/>
          <w:rFonts w:ascii="Narkisim" w:hAnsi="Narkisim" w:cs="Narkisim"/>
          <w:rtl/>
        </w:rPr>
        <w:footnoteReference w:id="4288"/>
      </w:r>
      <w:r w:rsidRPr="00E14121">
        <w:rPr>
          <w:rFonts w:ascii="Narkisim" w:hAnsi="Narkisim" w:cs="Narkisim"/>
          <w:rtl/>
        </w:rPr>
        <w:t xml:space="preserve">]. </w:t>
      </w:r>
      <w:r w:rsidRPr="00E14121">
        <w:rPr>
          <w:rFonts w:ascii="Narkisim" w:hAnsi="Narkisim" w:cs="Narkisim"/>
          <w:sz w:val="20"/>
          <w:szCs w:val="20"/>
          <w:rtl/>
        </w:rPr>
        <w:t xml:space="preserve"> </w:t>
      </w:r>
      <w:r w:rsidRPr="00E14121">
        <w:rPr>
          <w:rFonts w:ascii="Narkisim" w:hAnsi="Narkisim" w:cs="Narkisim"/>
          <w:rtl/>
        </w:rPr>
        <w:t>וה</w:t>
      </w:r>
      <w:r w:rsidRPr="00E14121">
        <w:rPr>
          <w:rFonts w:ascii="Narkisim" w:hAnsi="Narkisim" w:cs="Narkisim"/>
          <w:b/>
          <w:bCs/>
          <w:rtl/>
        </w:rPr>
        <w:t>מאירי</w:t>
      </w:r>
      <w:r w:rsidRPr="00E14121">
        <w:rPr>
          <w:rFonts w:ascii="Narkisim" w:hAnsi="Narkisim" w:cs="Narkisim"/>
          <w:rtl/>
        </w:rPr>
        <w:t xml:space="preserve"> כת' דבמומר לערלות הוה כבן נכר ואף אשתו ועבדיו אינם אוכלים. ו</w:t>
      </w:r>
      <w:r w:rsidRPr="00E14121">
        <w:rPr>
          <w:rFonts w:ascii="Narkisim" w:hAnsi="Narkisim" w:cs="Narkisim"/>
          <w:b/>
          <w:bCs/>
          <w:rtl/>
        </w:rPr>
        <w:t>רש"י</w:t>
      </w:r>
      <w:r w:rsidRPr="00E14121">
        <w:rPr>
          <w:rFonts w:ascii="Narkisim" w:hAnsi="Narkisim" w:cs="Narkisim"/>
          <w:rtl/>
        </w:rPr>
        <w:t xml:space="preserve"> (עה"ת שמות יב מח) דרש 'כל ערל' להביא מתו אחיו מחמת מילה, דאינו נלמד מבן נכר לא יאכל בו </w:t>
      </w:r>
      <w:r w:rsidRPr="00E14121">
        <w:rPr>
          <w:rFonts w:ascii="Narkisim" w:hAnsi="Narkisim" w:cs="Narkisim"/>
          <w:sz w:val="20"/>
          <w:szCs w:val="20"/>
          <w:rtl/>
        </w:rPr>
        <w:t>[בפסח</w:t>
      </w:r>
      <w:r w:rsidRPr="00E14121">
        <w:rPr>
          <w:rStyle w:val="ac"/>
          <w:rFonts w:ascii="Narkisim" w:hAnsi="Narkisim" w:cs="Narkisim"/>
          <w:sz w:val="20"/>
          <w:szCs w:val="20"/>
          <w:rtl/>
        </w:rPr>
        <w:footnoteReference w:id="4289"/>
      </w:r>
      <w:r w:rsidRPr="00E14121">
        <w:rPr>
          <w:rFonts w:ascii="Narkisim" w:hAnsi="Narkisim" w:cs="Narkisim"/>
          <w:sz w:val="20"/>
          <w:szCs w:val="20"/>
          <w:rtl/>
        </w:rPr>
        <w:t>].</w:t>
      </w:r>
    </w:p>
    <w:p w14:paraId="0737C300" w14:textId="77777777" w:rsidR="00F64AED" w:rsidRPr="00E14121" w:rsidRDefault="00F64AED" w:rsidP="00F64AED">
      <w:pPr>
        <w:bidi/>
        <w:rPr>
          <w:rFonts w:ascii="Narkisim" w:hAnsi="Narkisim" w:cs="Narkisim"/>
        </w:rPr>
      </w:pPr>
      <w:r w:rsidRPr="00E14121">
        <w:rPr>
          <w:rFonts w:ascii="Narkisim" w:hAnsi="Narkisim" w:cs="Narkisim"/>
          <w:u w:val="single"/>
          <w:rtl/>
        </w:rPr>
        <w:t>הערל וכל הטמאין לא יאכלו בתרומה וכו'.</w:t>
      </w:r>
      <w:r w:rsidRPr="00E14121">
        <w:rPr>
          <w:rFonts w:ascii="Narkisim" w:hAnsi="Narkisim" w:cs="Narkisim"/>
          <w:rtl/>
        </w:rPr>
        <w:t xml:space="preserve"> ה</w:t>
      </w:r>
      <w:r w:rsidRPr="00E14121">
        <w:rPr>
          <w:rFonts w:ascii="Narkisim" w:hAnsi="Narkisim" w:cs="Narkisim"/>
          <w:b/>
          <w:bCs/>
          <w:rtl/>
        </w:rPr>
        <w:t>מנח"ח</w:t>
      </w:r>
      <w:r w:rsidRPr="00E14121">
        <w:rPr>
          <w:rFonts w:ascii="Narkisim" w:hAnsi="Narkisim" w:cs="Narkisim"/>
          <w:rtl/>
        </w:rPr>
        <w:t xml:space="preserve"> (רפב י) כתב דערל וטמא מותרין בהנאת כילוי בתרומה</w:t>
      </w:r>
      <w:r w:rsidRPr="00E14121">
        <w:rPr>
          <w:rStyle w:val="ac"/>
          <w:rFonts w:ascii="Narkisim" w:hAnsi="Narkisim" w:cs="Narkisim"/>
          <w:rtl/>
        </w:rPr>
        <w:footnoteReference w:id="4290"/>
      </w:r>
      <w:r w:rsidRPr="00E14121">
        <w:rPr>
          <w:rFonts w:ascii="Narkisim" w:hAnsi="Narkisim" w:cs="Narkisim"/>
          <w:rtl/>
        </w:rPr>
        <w:t xml:space="preserve">, ונתמעטו רק מאכילת תרומה, וכן לענין סיכה כשתייה. אך יש </w:t>
      </w:r>
      <w:r w:rsidRPr="00E14121">
        <w:rPr>
          <w:rFonts w:ascii="Narkisim" w:hAnsi="Narkisim" w:cs="Narkisim"/>
          <w:b/>
          <w:bCs/>
          <w:rtl/>
        </w:rPr>
        <w:t>אחרונים</w:t>
      </w:r>
      <w:r w:rsidRPr="00E14121">
        <w:rPr>
          <w:rFonts w:ascii="Narkisim" w:hAnsi="Narkisim" w:cs="Narkisim"/>
          <w:rtl/>
        </w:rPr>
        <w:t xml:space="preserve"> (הו' באחיעזר ג פא יט, ע' לקמן עא.) שנקטו דערל אסור בהנאת כילוי</w:t>
      </w:r>
      <w:r w:rsidRPr="00E14121">
        <w:rPr>
          <w:rStyle w:val="ac"/>
          <w:rFonts w:ascii="Narkisim" w:hAnsi="Narkisim" w:cs="Narkisim"/>
          <w:rtl/>
        </w:rPr>
        <w:footnoteReference w:id="4291"/>
      </w:r>
      <w:r w:rsidRPr="00E14121">
        <w:rPr>
          <w:rFonts w:ascii="Narkisim" w:hAnsi="Narkisim" w:cs="Narkisim"/>
          <w:rtl/>
        </w:rPr>
        <w:t>.</w:t>
      </w:r>
    </w:p>
    <w:p w14:paraId="01409964" w14:textId="77777777" w:rsidR="00F64AED" w:rsidRPr="00E14121" w:rsidRDefault="00F64AED" w:rsidP="00F64AED">
      <w:pPr>
        <w:bidi/>
        <w:rPr>
          <w:rFonts w:ascii="Narkisim" w:hAnsi="Narkisim" w:cs="Narkisim"/>
        </w:rPr>
      </w:pPr>
      <w:r w:rsidRPr="00E14121">
        <w:rPr>
          <w:rFonts w:ascii="Narkisim" w:hAnsi="Narkisim" w:cs="Narkisim"/>
          <w:u w:val="single"/>
          <w:rtl/>
        </w:rPr>
        <w:t>רש"י ד"ה נשיהם.</w:t>
      </w:r>
      <w:r w:rsidRPr="00E14121">
        <w:rPr>
          <w:rFonts w:ascii="Narkisim" w:hAnsi="Narkisim" w:cs="Narkisim"/>
          <w:rtl/>
        </w:rPr>
        <w:t xml:space="preserve"> דהא משום ערלות וטומאה לא נפקי מכלל כהנים, אלא דאינהו גופייהו מחסרי תקנתא. לכאורה כוונתו ע"פ הגמ' (לעיל סו.) דלחד לישנא מי שאינו אוכל אינו מאכיל, וערל וטמא מאכילים דפומייהו הוא דכאיב להו. ויש </w:t>
      </w:r>
      <w:r w:rsidRPr="00E14121">
        <w:rPr>
          <w:rFonts w:ascii="Narkisim" w:hAnsi="Narkisim" w:cs="Narkisim"/>
          <w:b/>
          <w:bCs/>
          <w:rtl/>
        </w:rPr>
        <w:t>אחרונים</w:t>
      </w:r>
      <w:r w:rsidRPr="00E14121">
        <w:rPr>
          <w:rFonts w:ascii="Narkisim" w:hAnsi="Narkisim" w:cs="Narkisim"/>
          <w:rtl/>
        </w:rPr>
        <w:t xml:space="preserve"> שנקטו דכוונת הגמ' דהוה חסרון בהיכי תמצא. אבל </w:t>
      </w:r>
      <w:r w:rsidRPr="00E14121">
        <w:rPr>
          <w:rFonts w:ascii="Narkisim" w:hAnsi="Narkisim" w:cs="Narkisim"/>
          <w:b/>
          <w:bCs/>
          <w:rtl/>
        </w:rPr>
        <w:t>רש"י</w:t>
      </w:r>
      <w:r w:rsidRPr="00E14121">
        <w:rPr>
          <w:rFonts w:ascii="Narkisim" w:hAnsi="Narkisim" w:cs="Narkisim"/>
          <w:rtl/>
        </w:rPr>
        <w:t xml:space="preserve"> (שם) כתב כלומר דמחוסרי תקנתא, ועומדים ליתקן.</w:t>
      </w:r>
    </w:p>
    <w:p w14:paraId="26494242"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ראשונים</w:t>
      </w:r>
      <w:r w:rsidRPr="00E14121">
        <w:rPr>
          <w:rFonts w:ascii="Narkisim" w:hAnsi="Narkisim"/>
          <w:rtl/>
        </w:rPr>
        <w:t xml:space="preserve"> הקשו דלשיטת רש”י כאן קאי במתו אחיו מחמת מילה, וא"כ אינו עומד ליתקן. וה</w:t>
      </w:r>
      <w:r w:rsidRPr="00E14121">
        <w:rPr>
          <w:rFonts w:ascii="Narkisim" w:hAnsi="Narkisim"/>
          <w:b/>
          <w:bCs/>
          <w:rtl/>
        </w:rPr>
        <w:t>ריטב"א</w:t>
      </w:r>
      <w:r w:rsidRPr="00E14121">
        <w:rPr>
          <w:rFonts w:ascii="Narkisim" w:hAnsi="Narkisim"/>
          <w:rtl/>
        </w:rPr>
        <w:t xml:space="preserve"> תי' דאפשר שיבלע דמו או יתחזק או יתחלפו סימנים.</w:t>
      </w:r>
    </w:p>
    <w:p w14:paraId="637FA8E7" w14:textId="77777777" w:rsidR="00F64AED" w:rsidRPr="00E14121" w:rsidRDefault="00F64AED" w:rsidP="00F64AED">
      <w:pPr>
        <w:pStyle w:val="aa"/>
        <w:bidi/>
        <w:rPr>
          <w:rFonts w:ascii="Narkisim" w:hAnsi="Narkisim"/>
        </w:rPr>
      </w:pPr>
      <w:r w:rsidRPr="00E14121">
        <w:rPr>
          <w:rFonts w:ascii="Narkisim" w:hAnsi="Narkisim"/>
          <w:u w:val="single"/>
          <w:rtl/>
        </w:rPr>
        <w:t>בא"ד דשויא חללה בביאתן, שהרי נבעלה לפסול לה.</w:t>
      </w:r>
      <w:r w:rsidRPr="00E14121">
        <w:rPr>
          <w:rFonts w:ascii="Narkisim" w:hAnsi="Narkisim"/>
          <w:rtl/>
        </w:rPr>
        <w:t xml:space="preserve"> וכן מבואר במשנה דפצוע דכא פוסל את האשה מכהונה. ו</w:t>
      </w:r>
      <w:r w:rsidRPr="00E14121">
        <w:rPr>
          <w:rFonts w:ascii="Narkisim" w:hAnsi="Narkisim"/>
          <w:b/>
          <w:bCs/>
          <w:rtl/>
        </w:rPr>
        <w:t>רש"י</w:t>
      </w:r>
      <w:r w:rsidRPr="00E14121">
        <w:rPr>
          <w:rFonts w:ascii="Narkisim" w:hAnsi="Narkisim"/>
          <w:rtl/>
        </w:rPr>
        <w:t xml:space="preserve"> פי' דהגדר שנעשית חללה. וה</w:t>
      </w:r>
      <w:r w:rsidRPr="00E14121">
        <w:rPr>
          <w:rFonts w:ascii="Narkisim" w:hAnsi="Narkisim"/>
          <w:b/>
          <w:bCs/>
          <w:rtl/>
        </w:rPr>
        <w:t xml:space="preserve">רשב"א </w:t>
      </w:r>
      <w:r w:rsidRPr="00E14121">
        <w:rPr>
          <w:rFonts w:ascii="Narkisim" w:hAnsi="Narkisim"/>
          <w:rtl/>
        </w:rPr>
        <w:t>הק' דאין חללה אלא מפסולי כהונה. [וע' מה שהו' לעיל סח:].</w:t>
      </w:r>
    </w:p>
    <w:p w14:paraId="337FA3D6" w14:textId="77777777" w:rsidR="00F64AED" w:rsidRPr="00E14121" w:rsidRDefault="00F64AED" w:rsidP="00F64AED">
      <w:pPr>
        <w:bidi/>
        <w:rPr>
          <w:rFonts w:ascii="Narkisim" w:hAnsi="Narkisim" w:cs="Narkisim"/>
        </w:rPr>
      </w:pPr>
      <w:r w:rsidRPr="00E14121">
        <w:rPr>
          <w:rFonts w:ascii="Narkisim" w:hAnsi="Narkisim" w:cs="Narkisim"/>
          <w:u w:val="single"/>
          <w:rtl/>
        </w:rPr>
        <w:t>תוד"ה הערל.</w:t>
      </w:r>
      <w:r w:rsidRPr="00E14121">
        <w:rPr>
          <w:rFonts w:ascii="Narkisim" w:hAnsi="Narkisim" w:cs="Narkisim"/>
          <w:rtl/>
        </w:rPr>
        <w:t xml:space="preserve"> דלא דמי למילה שלא בזמנו דלא הוי בר מילה בשום מקום</w:t>
      </w:r>
      <w:r w:rsidRPr="00E14121">
        <w:rPr>
          <w:rStyle w:val="ac"/>
          <w:rFonts w:ascii="Narkisim" w:hAnsi="Narkisim" w:cs="Narkisim"/>
          <w:rtl/>
        </w:rPr>
        <w:footnoteReference w:id="4292"/>
      </w:r>
      <w:r w:rsidRPr="00E14121">
        <w:rPr>
          <w:rFonts w:ascii="Narkisim" w:hAnsi="Narkisim" w:cs="Narkisim"/>
          <w:rtl/>
        </w:rPr>
        <w:t xml:space="preserve">. </w:t>
      </w:r>
      <w:r w:rsidRPr="00E14121">
        <w:rPr>
          <w:rFonts w:ascii="Narkisim" w:hAnsi="Narkisim" w:cs="Narkisim"/>
          <w:sz w:val="20"/>
          <w:szCs w:val="20"/>
          <w:rtl/>
        </w:rPr>
        <w:t>(וכ"ד ה</w:t>
      </w:r>
      <w:r w:rsidRPr="00E14121">
        <w:rPr>
          <w:rFonts w:ascii="Narkisim" w:hAnsi="Narkisim" w:cs="Narkisim"/>
          <w:b/>
          <w:bCs/>
          <w:sz w:val="20"/>
          <w:szCs w:val="20"/>
          <w:rtl/>
        </w:rPr>
        <w:t>רמב"ם</w:t>
      </w:r>
      <w:r w:rsidRPr="00E14121">
        <w:rPr>
          <w:rFonts w:ascii="Narkisim" w:hAnsi="Narkisim" w:cs="Narkisim"/>
          <w:sz w:val="20"/>
          <w:szCs w:val="20"/>
          <w:rtl/>
        </w:rPr>
        <w:t xml:space="preserve"> ק"פ ט ח).</w:t>
      </w:r>
      <w:r w:rsidRPr="00E14121">
        <w:rPr>
          <w:rFonts w:ascii="Narkisim" w:hAnsi="Narkisim" w:cs="Narkisim"/>
          <w:rtl/>
        </w:rPr>
        <w:t xml:space="preserve"> וה</w:t>
      </w:r>
      <w:r w:rsidRPr="00E14121">
        <w:rPr>
          <w:rFonts w:ascii="Narkisim" w:hAnsi="Narkisim" w:cs="Narkisim"/>
          <w:b/>
          <w:bCs/>
          <w:rtl/>
        </w:rPr>
        <w:t xml:space="preserve">ריטב"א </w:t>
      </w:r>
      <w:r w:rsidRPr="00E14121">
        <w:rPr>
          <w:rFonts w:ascii="Narkisim" w:hAnsi="Narkisim" w:cs="Narkisim"/>
          <w:rtl/>
        </w:rPr>
        <w:t>ביאר דהתם לא נכנס לזיקת מילה כלל. וה</w:t>
      </w:r>
      <w:r w:rsidRPr="00E14121">
        <w:rPr>
          <w:rFonts w:ascii="Narkisim" w:hAnsi="Narkisim" w:cs="Narkisim"/>
          <w:b/>
          <w:bCs/>
          <w:rtl/>
        </w:rPr>
        <w:t>אחרונים</w:t>
      </w:r>
      <w:r w:rsidRPr="00E14121">
        <w:rPr>
          <w:rFonts w:ascii="Narkisim" w:hAnsi="Narkisim" w:cs="Narkisim"/>
          <w:rtl/>
        </w:rPr>
        <w:t xml:space="preserve"> כתבו דיל"פ לפ"ז [ספק הגמ'] דערלה שלא בזמנו אין בזה 'חפצא של ערלה'</w:t>
      </w:r>
      <w:r w:rsidRPr="00E14121">
        <w:rPr>
          <w:rStyle w:val="ac"/>
          <w:rFonts w:ascii="Narkisim" w:hAnsi="Narkisim" w:cs="Narkisim"/>
          <w:rtl/>
        </w:rPr>
        <w:footnoteReference w:id="4293"/>
      </w:r>
      <w:r w:rsidRPr="00E14121">
        <w:rPr>
          <w:rFonts w:ascii="Narkisim" w:hAnsi="Narkisim" w:cs="Narkisim"/>
          <w:rtl/>
        </w:rPr>
        <w:t>, ואינו מאוס.</w:t>
      </w:r>
    </w:p>
    <w:p w14:paraId="42BD18EA" w14:textId="77777777" w:rsidR="00F64AED" w:rsidRPr="00E14121" w:rsidRDefault="00F64AED" w:rsidP="00F64AED">
      <w:pPr>
        <w:pStyle w:val="a7"/>
        <w:bidi/>
        <w:rPr>
          <w:rFonts w:ascii="Narkisim" w:hAnsi="Narkisim"/>
        </w:rPr>
      </w:pPr>
      <w:r w:rsidRPr="00E14121">
        <w:rPr>
          <w:rFonts w:ascii="Narkisim" w:hAnsi="Narkisim"/>
          <w:rtl/>
        </w:rPr>
        <w:t>אבל לדעת ר"ת הספק של הגמ' דכל ערל באונס מותר בתרומה. וה</w:t>
      </w:r>
      <w:r w:rsidRPr="00E14121">
        <w:rPr>
          <w:rFonts w:ascii="Narkisim" w:hAnsi="Narkisim"/>
          <w:b/>
          <w:bCs/>
          <w:rtl/>
        </w:rPr>
        <w:t>טור”א</w:t>
      </w:r>
      <w:r w:rsidRPr="00E14121">
        <w:rPr>
          <w:rFonts w:ascii="Narkisim" w:hAnsi="Narkisim"/>
          <w:rtl/>
        </w:rPr>
        <w:t xml:space="preserve"> (חגיגה ד:) הק' דאי ערלות 'מאיס' א"כ  מה חילוק בין אנוס לאינו אנוס. וע"כ לדעת ר"ת ערל לאו משום מאיסותא. אך ציינו דתוס' (לקמן עב: ד"ה התם) מבואר דסברת מאיס תלי אי הוה אונס.</w:t>
      </w:r>
    </w:p>
    <w:p w14:paraId="6B71B07B"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(יז א) נקט דה"ה כל אונס לא נחשב 'ערל'. אך כתב דהיינו כשלא היה לו שעת הכושר, אבל אם היה לו שעת הכושר הוה ערל</w:t>
      </w:r>
      <w:r w:rsidRPr="00E14121">
        <w:rPr>
          <w:rStyle w:val="ac"/>
          <w:rFonts w:ascii="Narkisim" w:hAnsi="Narkisim"/>
          <w:rtl/>
        </w:rPr>
        <w:footnoteReference w:id="4294"/>
      </w:r>
      <w:r w:rsidRPr="00E14121">
        <w:rPr>
          <w:rFonts w:ascii="Narkisim" w:hAnsi="Narkisim"/>
          <w:rtl/>
        </w:rPr>
        <w:t>. וה</w:t>
      </w:r>
      <w:r w:rsidRPr="00E14121">
        <w:rPr>
          <w:rFonts w:ascii="Narkisim" w:hAnsi="Narkisim"/>
          <w:b/>
          <w:bCs/>
          <w:rtl/>
        </w:rPr>
        <w:t>אתוון דאורייתא</w:t>
      </w:r>
      <w:r w:rsidRPr="00E14121">
        <w:rPr>
          <w:rFonts w:ascii="Narkisim" w:hAnsi="Narkisim"/>
          <w:rtl/>
        </w:rPr>
        <w:t xml:space="preserve"> (יג) הביא מדברי ר"ת דאונס הוה פטור גמור [ועי”ש שהאריך האם אונס במצוות הוה פטור].</w:t>
      </w:r>
    </w:p>
    <w:p w14:paraId="038C58F8" w14:textId="77777777" w:rsidR="00F64AED" w:rsidRPr="00E14121" w:rsidRDefault="00F64AED" w:rsidP="00F64AED">
      <w:pPr>
        <w:pStyle w:val="a7"/>
        <w:bidi/>
        <w:rPr>
          <w:rFonts w:ascii="Narkisim" w:hAnsi="Narkisim"/>
        </w:rPr>
      </w:pPr>
      <w:r w:rsidRPr="00E14121">
        <w:rPr>
          <w:rFonts w:ascii="Narkisim" w:hAnsi="Narkisim"/>
          <w:rtl/>
        </w:rPr>
        <w:lastRenderedPageBreak/>
        <w:t>אבל ה</w:t>
      </w:r>
      <w:r w:rsidRPr="00E14121">
        <w:rPr>
          <w:rFonts w:ascii="Narkisim" w:hAnsi="Narkisim"/>
          <w:b/>
          <w:bCs/>
          <w:rtl/>
        </w:rPr>
        <w:t>קובה"ע</w:t>
      </w:r>
      <w:r w:rsidRPr="00E14121">
        <w:rPr>
          <w:rFonts w:ascii="Narkisim" w:hAnsi="Narkisim"/>
          <w:rtl/>
        </w:rPr>
        <w:t xml:space="preserve"> (מח יט) כתב דר"ת קאי דוקא במקום פיקו"נ, דדרשי' 'וחי בהם' ולדעת ר"ת ליכא מצוות מילה כלל. אבל אונס אחר כגון דליכא סכין לא. </w:t>
      </w:r>
      <w:r w:rsidRPr="00E14121">
        <w:rPr>
          <w:rFonts w:ascii="Narkisim" w:hAnsi="Narkisim"/>
          <w:sz w:val="20"/>
          <w:szCs w:val="20"/>
          <w:rtl/>
        </w:rPr>
        <w:t>[והביא בזה דברי רש"י (לעיל סד:) דאם מל במקום סכנה נחשב חילול שבת, דאינו מצווה במילה בזמנה, והרי בפשוטו מצווה אלא דאסור לקיים משום פיקו”נ</w:t>
      </w:r>
      <w:r w:rsidRPr="00E14121">
        <w:rPr>
          <w:rStyle w:val="ac"/>
          <w:rFonts w:ascii="Narkisim" w:hAnsi="Narkisim"/>
          <w:sz w:val="20"/>
          <w:szCs w:val="20"/>
          <w:rtl/>
        </w:rPr>
        <w:footnoteReference w:id="4295"/>
      </w:r>
      <w:r w:rsidRPr="00E14121">
        <w:rPr>
          <w:rFonts w:ascii="Narkisim" w:hAnsi="Narkisim"/>
          <w:sz w:val="20"/>
          <w:szCs w:val="20"/>
          <w:rtl/>
        </w:rPr>
        <w:t>. ע' מש”כ בזה שם]</w:t>
      </w:r>
      <w:r w:rsidRPr="00E14121">
        <w:rPr>
          <w:rFonts w:ascii="Narkisim" w:hAnsi="Narkisim"/>
          <w:rtl/>
        </w:rPr>
        <w:t>.</w:t>
      </w:r>
    </w:p>
    <w:p w14:paraId="3A3DE65B"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(יז יד) הק' דכל קטן אינו מצווה למול עצמו, א"כ נימא דהוה כמו מתו אחיו מחמת מילה [לדעת ר"ת] דאינו מצווה. ותי' דקטן נחשב בן מצוות וכמו גדול בכל דיני התורה. אלא שהוא בעצמו ל"ש אצלו אזהרת התורה.</w:t>
      </w:r>
    </w:p>
    <w:p w14:paraId="73BAF6BD" w14:textId="77777777" w:rsidR="00F64AED" w:rsidRPr="00E14121" w:rsidRDefault="00F64AED" w:rsidP="00F64AED">
      <w:pPr>
        <w:bidi/>
        <w:rPr>
          <w:rFonts w:ascii="Narkisim" w:hAnsi="Narkisim" w:cs="Narkisim"/>
        </w:rPr>
      </w:pPr>
      <w:r w:rsidRPr="00E14121">
        <w:rPr>
          <w:rFonts w:ascii="Narkisim" w:hAnsi="Narkisim" w:cs="Narkisim"/>
          <w:u w:val="single"/>
          <w:rtl/>
        </w:rPr>
        <w:t>בא"ד תדע דלא פשיט מטומטום שאין אוכל בתרומה וכו' ואע"ג דאינו חייב לקרוע וכו'</w:t>
      </w:r>
      <w:r w:rsidRPr="00E14121">
        <w:rPr>
          <w:rFonts w:ascii="Narkisim" w:hAnsi="Narkisim" w:cs="Narkisim"/>
          <w:rtl/>
        </w:rPr>
        <w:t>. ודלא כסברת ר"ת (הנ”ל) דכל היכא דאנוס מלמול דינו כערלות שלא בזמנו.</w:t>
      </w:r>
    </w:p>
    <w:p w14:paraId="6698AE0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כתב דלדעת ר"ת אמרי' דטומטום אפשר לו ליקרע וימול</w:t>
      </w:r>
      <w:r w:rsidRPr="00E14121">
        <w:rPr>
          <w:rStyle w:val="ac"/>
          <w:rFonts w:ascii="Narkisim" w:hAnsi="Narkisim"/>
          <w:rtl/>
        </w:rPr>
        <w:footnoteReference w:id="4296"/>
      </w:r>
      <w:r w:rsidRPr="00E14121">
        <w:rPr>
          <w:rFonts w:ascii="Narkisim" w:hAnsi="Narkisim"/>
          <w:rtl/>
        </w:rPr>
        <w:t>. אבל ערלות דמתו אחיו מחמת מילה לאו בר מילה הוא. וכ"כ ה</w:t>
      </w:r>
      <w:r w:rsidRPr="00E14121">
        <w:rPr>
          <w:rFonts w:ascii="Narkisim" w:hAnsi="Narkisim"/>
          <w:b/>
          <w:bCs/>
          <w:rtl/>
        </w:rPr>
        <w:t>ריטב"א</w:t>
      </w:r>
      <w:r w:rsidRPr="00E14121">
        <w:rPr>
          <w:rFonts w:ascii="Narkisim" w:hAnsi="Narkisim"/>
          <w:rtl/>
        </w:rPr>
        <w:t xml:space="preserve"> דאפשר לו קצת למול. וכת' דאף דמבואר (לקמן שם) דמילת בנו ועבדו טומטום אינו מעכבתו, כיון דאינו עומד לכך אינו מעכב לאדון.</w:t>
      </w:r>
      <w:r w:rsidRPr="00E14121">
        <w:rPr>
          <w:rFonts w:ascii="Narkisim" w:hAnsi="Narkisim"/>
          <w:sz w:val="20"/>
          <w:szCs w:val="20"/>
          <w:rtl/>
        </w:rPr>
        <w:t xml:space="preserve"> [וע"ע לקמן עא. בגדר מילת זכריו מעכבתו].</w:t>
      </w:r>
    </w:p>
    <w:p w14:paraId="0A58A4F3" w14:textId="77777777" w:rsidR="00F64AED" w:rsidRPr="00E14121" w:rsidRDefault="00F64AED" w:rsidP="00F64AED">
      <w:pPr>
        <w:pStyle w:val="aa"/>
        <w:bidi/>
        <w:rPr>
          <w:rFonts w:ascii="Narkisim" w:hAnsi="Narkisim"/>
        </w:rPr>
      </w:pPr>
      <w:r w:rsidRPr="00E14121">
        <w:rPr>
          <w:rFonts w:ascii="Narkisim" w:hAnsi="Narkisim"/>
          <w:u w:val="single"/>
          <w:rtl/>
        </w:rPr>
        <w:t>שם. אע"ג דאינו חייב לקרוע.</w:t>
      </w:r>
      <w:r w:rsidRPr="00E14121">
        <w:rPr>
          <w:rFonts w:ascii="Narkisim" w:hAnsi="Narkisim"/>
          <w:rtl/>
        </w:rPr>
        <w:t xml:space="preserve"> ו</w:t>
      </w:r>
      <w:r w:rsidRPr="00E14121">
        <w:rPr>
          <w:rFonts w:ascii="Narkisim" w:hAnsi="Narkisim"/>
          <w:b/>
          <w:bCs/>
          <w:rtl/>
        </w:rPr>
        <w:t xml:space="preserve">תוס' </w:t>
      </w:r>
      <w:r w:rsidRPr="00E14121">
        <w:rPr>
          <w:rFonts w:ascii="Narkisim" w:hAnsi="Narkisim"/>
          <w:rtl/>
        </w:rPr>
        <w:t>(פסחים כח: ד"ה ערל) הוסיפו דמסברא אינו חייב לקרוע</w:t>
      </w:r>
      <w:r w:rsidRPr="00E14121">
        <w:rPr>
          <w:rStyle w:val="ac"/>
          <w:rFonts w:ascii="Narkisim" w:hAnsi="Narkisim"/>
          <w:rtl/>
        </w:rPr>
        <w:footnoteReference w:id="4297"/>
      </w:r>
      <w:r w:rsidRPr="00E14121">
        <w:rPr>
          <w:rFonts w:ascii="Narkisim" w:hAnsi="Narkisim"/>
          <w:rtl/>
        </w:rPr>
        <w:t>. וצ"ב אמאי אינו חייב. ויש שפירשו דאינו חייב לחבול בעצמו למצוות עשה</w:t>
      </w:r>
      <w:r w:rsidRPr="00E14121">
        <w:rPr>
          <w:rStyle w:val="ac"/>
          <w:rFonts w:ascii="Narkisim" w:hAnsi="Narkisim"/>
          <w:rtl/>
        </w:rPr>
        <w:footnoteReference w:id="4298"/>
      </w:r>
      <w:r w:rsidRPr="00E14121">
        <w:rPr>
          <w:rFonts w:ascii="Narkisim" w:hAnsi="Narkisim"/>
          <w:rtl/>
        </w:rPr>
        <w:t>, והוה כיותר מחומש מנכסיו.</w:t>
      </w:r>
    </w:p>
    <w:p w14:paraId="05BCBB6C" w14:textId="77777777" w:rsidR="00F64AED" w:rsidRPr="00E14121" w:rsidRDefault="00F64AED" w:rsidP="00F64AED">
      <w:pPr>
        <w:pStyle w:val="aa"/>
        <w:bidi/>
        <w:rPr>
          <w:rFonts w:ascii="Narkisim" w:hAnsi="Narkisim"/>
        </w:rPr>
      </w:pPr>
      <w:r w:rsidRPr="00E14121">
        <w:rPr>
          <w:rFonts w:ascii="Narkisim" w:hAnsi="Narkisim"/>
          <w:u w:val="single"/>
          <w:rtl/>
        </w:rPr>
        <w:t>בא"ד ובירושלמי מייתי ראיה ממתני' אאחזתו חמה וכו' דאסור בתרומה וכו'.</w:t>
      </w:r>
      <w:r w:rsidRPr="00E14121">
        <w:rPr>
          <w:rFonts w:ascii="Narkisim" w:hAnsi="Narkisim"/>
          <w:rtl/>
        </w:rPr>
        <w:t xml:space="preserve"> וכ"כ ה</w:t>
      </w:r>
      <w:r w:rsidRPr="00E14121">
        <w:rPr>
          <w:rFonts w:ascii="Narkisim" w:hAnsi="Narkisim"/>
          <w:b/>
          <w:bCs/>
          <w:rtl/>
        </w:rPr>
        <w:t xml:space="preserve">רמב"ן </w:t>
      </w:r>
      <w:r w:rsidRPr="00E14121">
        <w:rPr>
          <w:rFonts w:ascii="Narkisim" w:hAnsi="Narkisim"/>
          <w:rtl/>
        </w:rPr>
        <w:t>דמדברי ה</w:t>
      </w:r>
      <w:r w:rsidRPr="00E14121">
        <w:rPr>
          <w:rFonts w:ascii="Narkisim" w:hAnsi="Narkisim"/>
          <w:b/>
          <w:bCs/>
          <w:rtl/>
        </w:rPr>
        <w:t xml:space="preserve">ירושלמי </w:t>
      </w:r>
      <w:r w:rsidRPr="00E14121">
        <w:rPr>
          <w:rFonts w:ascii="Narkisim" w:hAnsi="Narkisim"/>
          <w:rtl/>
        </w:rPr>
        <w:t>מוכח כרש"י, דהמשנה איירי במתו אחיו דהוה אנוס, ולא בר מהילא. וכתב דלדעת ר"ת קטן דחלצתו חמה בר ממהליה הוא, ולאו ערלות שלא בזמנו הוא.</w:t>
      </w:r>
    </w:p>
    <w:p w14:paraId="346EDA1A" w14:textId="77777777" w:rsidR="00F64AED" w:rsidRPr="00E14121" w:rsidRDefault="00F64AED" w:rsidP="00F64AED">
      <w:pPr>
        <w:bidi/>
        <w:rPr>
          <w:rFonts w:ascii="Narkisim" w:hAnsi="Narkisim" w:cs="Narkisim"/>
        </w:rPr>
      </w:pPr>
      <w:r w:rsidRPr="00E14121">
        <w:rPr>
          <w:rFonts w:ascii="Narkisim" w:hAnsi="Narkisim" w:cs="Narkisim"/>
          <w:u w:val="single"/>
          <w:rtl/>
        </w:rPr>
        <w:t>א"ר אלעזר מנין לערל שאסור בתרומה וכו'.</w:t>
      </w:r>
      <w:r w:rsidRPr="00E14121">
        <w:rPr>
          <w:rFonts w:ascii="Narkisim" w:hAnsi="Narkisim" w:cs="Narkisim"/>
          <w:rtl/>
        </w:rPr>
        <w:t xml:space="preserve"> וה</w:t>
      </w:r>
      <w:r w:rsidRPr="00E14121">
        <w:rPr>
          <w:rFonts w:ascii="Narkisim" w:hAnsi="Narkisim" w:cs="Narkisim"/>
          <w:b/>
          <w:bCs/>
          <w:rtl/>
        </w:rPr>
        <w:t xml:space="preserve">רמב"ם </w:t>
      </w:r>
      <w:r w:rsidRPr="00E14121">
        <w:rPr>
          <w:rFonts w:ascii="Narkisim" w:hAnsi="Narkisim" w:cs="Narkisim"/>
          <w:rtl/>
        </w:rPr>
        <w:t>(בסה"מ) מנה ב' מצוות, דערל אסור בפסח</w:t>
      </w:r>
      <w:r w:rsidRPr="00E14121">
        <w:rPr>
          <w:rFonts w:ascii="Narkisim" w:hAnsi="Narkisim" w:cs="Narkisim"/>
          <w:sz w:val="20"/>
          <w:szCs w:val="20"/>
          <w:rtl/>
        </w:rPr>
        <w:t xml:space="preserve"> (ל"ת קכז) </w:t>
      </w:r>
      <w:r w:rsidRPr="00E14121">
        <w:rPr>
          <w:rFonts w:ascii="Narkisim" w:hAnsi="Narkisim" w:cs="Narkisim"/>
          <w:rtl/>
        </w:rPr>
        <w:t xml:space="preserve">ואסור בתרומה </w:t>
      </w:r>
      <w:r w:rsidRPr="00E14121">
        <w:rPr>
          <w:rFonts w:ascii="Narkisim" w:hAnsi="Narkisim" w:cs="Narkisim"/>
          <w:sz w:val="20"/>
          <w:szCs w:val="20"/>
          <w:rtl/>
        </w:rPr>
        <w:t>(ל"ת קלה).</w:t>
      </w:r>
      <w:r w:rsidRPr="00E14121">
        <w:rPr>
          <w:rFonts w:ascii="Narkisim" w:hAnsi="Narkisim" w:cs="Narkisim"/>
          <w:rtl/>
        </w:rPr>
        <w:t xml:space="preserve"> </w:t>
      </w:r>
      <w:r w:rsidRPr="00E14121">
        <w:rPr>
          <w:rFonts w:ascii="Narkisim" w:hAnsi="Narkisim" w:cs="Narkisim"/>
          <w:sz w:val="20"/>
          <w:szCs w:val="20"/>
          <w:rtl/>
        </w:rPr>
        <w:t>ובס' ה</w:t>
      </w:r>
      <w:r w:rsidRPr="00E14121">
        <w:rPr>
          <w:rFonts w:ascii="Narkisim" w:hAnsi="Narkisim" w:cs="Narkisim"/>
          <w:b/>
          <w:bCs/>
          <w:sz w:val="20"/>
          <w:szCs w:val="20"/>
          <w:rtl/>
        </w:rPr>
        <w:t>חינוך</w:t>
      </w:r>
      <w:r w:rsidRPr="00E14121">
        <w:rPr>
          <w:rFonts w:ascii="Narkisim" w:hAnsi="Narkisim" w:cs="Narkisim"/>
          <w:sz w:val="20"/>
          <w:szCs w:val="20"/>
          <w:rtl/>
        </w:rPr>
        <w:t xml:space="preserve"> (רפב) ביאר דאע”ג דבעלמא הרמב”ם לא מנה במנין המצוות מה שנלמד בי”ג מידות, הכא הגמ' מגלה דהוה דאורייתא.</w:t>
      </w:r>
    </w:p>
    <w:p w14:paraId="1BB1F64F"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(מאכ"א ב) דייק מדברי הרמב"ם דהוה ב' שמות איסורין נפרדים. ודייק מהרמב"ם דאיסור ערל בשאר קדשים הוה בכלל האיסור בתרומה, ואילו בפסח הוה שם איסור בפנ"ע. [וע"ע לקמן עב].</w:t>
      </w:r>
    </w:p>
    <w:p w14:paraId="1542E688"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לח"מ</w:t>
      </w:r>
      <w:r w:rsidRPr="00E14121">
        <w:rPr>
          <w:rFonts w:ascii="Narkisim" w:hAnsi="Narkisim"/>
          <w:rtl/>
        </w:rPr>
        <w:t xml:space="preserve"> (ק"פ ט ז) הקשה אמאי פסק הרמב"ם כר"א, הא הלכה כר' עקיבא בכל מקום. ותי' דבגמ' (לקמן עב:) מבואר דר"ע הוה יחידאה דס"ל דערל כטמא. משמע דדעת חכמים דלא כר"ע.</w:t>
      </w:r>
    </w:p>
    <w:p w14:paraId="42929ADD" w14:textId="77777777" w:rsidR="00F64AED" w:rsidRPr="00E14121" w:rsidRDefault="00F64AED" w:rsidP="00F64AED">
      <w:pPr>
        <w:pStyle w:val="aa"/>
        <w:bidi/>
        <w:rPr>
          <w:rFonts w:ascii="Narkisim" w:hAnsi="Narkisim"/>
        </w:rPr>
      </w:pPr>
      <w:r w:rsidRPr="00E14121">
        <w:rPr>
          <w:rFonts w:ascii="Narkisim" w:hAnsi="Narkisim"/>
          <w:u w:val="single"/>
          <w:rtl/>
        </w:rPr>
        <w:t>דתניא וכו' שכיר זה קנוי קנין שנים.</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סתם עבד עברי</w:t>
      </w:r>
      <w:r w:rsidRPr="00E14121">
        <w:rPr>
          <w:rStyle w:val="ac"/>
          <w:rFonts w:ascii="Narkisim" w:hAnsi="Narkisim"/>
          <w:rtl/>
        </w:rPr>
        <w:footnoteReference w:id="4299"/>
      </w:r>
      <w:r w:rsidRPr="00E14121">
        <w:rPr>
          <w:rFonts w:ascii="Narkisim" w:hAnsi="Narkisim"/>
          <w:rtl/>
        </w:rPr>
        <w:t xml:space="preserve"> שיוצא בו' שנים. ואילו נרצע כתיב 'ועבדו לעולם', עד היובל (כדדרשי' קידושין טו.). ומש"ה נקרא קנוי קנין עולם</w:t>
      </w:r>
      <w:r w:rsidRPr="00E14121">
        <w:rPr>
          <w:rStyle w:val="ac"/>
          <w:rFonts w:ascii="Narkisim" w:hAnsi="Narkisim"/>
          <w:rtl/>
        </w:rPr>
        <w:footnoteReference w:id="4300"/>
      </w:r>
      <w:r w:rsidRPr="00E14121">
        <w:rPr>
          <w:rFonts w:ascii="Narkisim" w:hAnsi="Narkisim"/>
          <w:rtl/>
        </w:rPr>
        <w:t>.</w:t>
      </w:r>
    </w:p>
    <w:p w14:paraId="0D4BF79D"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(ע' מנח"ח רפ ה אות כו) כת' דגלי קרא דאין בהם דין קנין כספו והוה בכלל זר, ולוקה משום זר וחייב מיתה בידי שמים. ולא אמרי' דצריך להתרות בו משום לאו דתושב כהן ושכיר לא יאכל קדש</w:t>
      </w:r>
      <w:r w:rsidRPr="00E14121">
        <w:rPr>
          <w:rStyle w:val="ac"/>
          <w:rFonts w:ascii="Narkisim" w:hAnsi="Narkisim"/>
          <w:rtl/>
        </w:rPr>
        <w:footnoteReference w:id="4301"/>
      </w:r>
      <w:r w:rsidRPr="00E14121">
        <w:rPr>
          <w:rFonts w:ascii="Narkisim" w:hAnsi="Narkisim"/>
          <w:rtl/>
        </w:rPr>
        <w:t xml:space="preserve">. והמנח"ח </w:t>
      </w:r>
      <w:r w:rsidRPr="00E14121">
        <w:rPr>
          <w:rFonts w:ascii="Narkisim" w:hAnsi="Narkisim"/>
          <w:rtl/>
        </w:rPr>
        <w:lastRenderedPageBreak/>
        <w:t>הביא דכן מבואר בסוגיין דהוכיחו דלא קנה ליה רביה.</w:t>
      </w:r>
    </w:p>
    <w:p w14:paraId="36670805" w14:textId="77777777" w:rsidR="00F64AED" w:rsidRPr="00E14121" w:rsidRDefault="00F64AED" w:rsidP="00F64AED">
      <w:pPr>
        <w:pStyle w:val="a8"/>
        <w:bidi/>
        <w:rPr>
          <w:rFonts w:ascii="Narkisim" w:hAnsi="Narkisim"/>
        </w:rPr>
      </w:pPr>
      <w:r w:rsidRPr="00E14121">
        <w:rPr>
          <w:rFonts w:ascii="Narkisim" w:hAnsi="Narkisim"/>
          <w:rtl/>
        </w:rPr>
        <w:t>והמנח"ח (רפא א) נסתפק עבד עברי כהן הנמכר לישראל האם אוכל בתרומה, האם אמרי' דקנין הישראל אוסרו [וכמו בת כהן שנתארסה לישראל]</w:t>
      </w:r>
      <w:r w:rsidRPr="00E14121">
        <w:rPr>
          <w:rStyle w:val="ac"/>
          <w:rFonts w:ascii="Narkisim" w:hAnsi="Narkisim"/>
          <w:rtl/>
        </w:rPr>
        <w:footnoteReference w:id="4302"/>
      </w:r>
      <w:r w:rsidRPr="00E14121">
        <w:rPr>
          <w:rFonts w:ascii="Narkisim" w:hAnsi="Narkisim"/>
          <w:rtl/>
        </w:rPr>
        <w:t>, או דאמרי' דגלי קרא דלא נחשב קנינו, והכהן אוכל בתרומה.</w:t>
      </w:r>
    </w:p>
    <w:p w14:paraId="29AB7452" w14:textId="77777777" w:rsidR="00F64AED" w:rsidRPr="00E14121" w:rsidRDefault="00F64AED" w:rsidP="00F64AED">
      <w:pPr>
        <w:bidi/>
        <w:rPr>
          <w:rFonts w:ascii="Narkisim" w:hAnsi="Narkisim" w:cs="Narkisim"/>
        </w:rPr>
      </w:pPr>
      <w:r w:rsidRPr="00E14121">
        <w:rPr>
          <w:rFonts w:ascii="Narkisim" w:hAnsi="Narkisim" w:cs="Narkisim"/>
          <w:u w:val="single"/>
          <w:rtl/>
        </w:rPr>
        <w:t>תוד"ה איש.</w:t>
      </w:r>
      <w:r w:rsidRPr="00E14121">
        <w:rPr>
          <w:rFonts w:ascii="Narkisim" w:hAnsi="Narkisim" w:cs="Narkisim"/>
          <w:rtl/>
        </w:rPr>
        <w:t xml:space="preserve"> מהכא אמרי' בכל דוכתי (חגיגה ד:, לקמן עב:) דר"ע מרבה ערל כטמא, ומ”מ איצטריך לכתוב ערל בפסח וכו'. ו</w:t>
      </w:r>
      <w:r w:rsidRPr="00E14121">
        <w:rPr>
          <w:rFonts w:ascii="Narkisim" w:hAnsi="Narkisim" w:cs="Narkisim"/>
          <w:b/>
          <w:bCs/>
          <w:rtl/>
        </w:rPr>
        <w:t>תוס</w:t>
      </w:r>
      <w:r w:rsidRPr="00E14121">
        <w:rPr>
          <w:rFonts w:ascii="Narkisim" w:hAnsi="Narkisim" w:cs="Narkisim"/>
          <w:rtl/>
        </w:rPr>
        <w:t>' (חגיגה ד: ד"ה דמרבה) כת' דבא לרבות מתו אחיו מחמת מילה, לדעת רש"י דנחשב ערל. ו</w:t>
      </w:r>
      <w:r w:rsidRPr="00E14121">
        <w:rPr>
          <w:rFonts w:ascii="Narkisim" w:hAnsi="Narkisim" w:cs="Narkisim"/>
          <w:b/>
          <w:bCs/>
          <w:rtl/>
        </w:rPr>
        <w:t xml:space="preserve">רע"א </w:t>
      </w:r>
      <w:r w:rsidRPr="00E14121">
        <w:rPr>
          <w:rFonts w:ascii="Narkisim" w:hAnsi="Narkisim" w:cs="Narkisim"/>
          <w:rtl/>
        </w:rPr>
        <w:t xml:space="preserve">(שם) תמה דכיון דאסור בתרומה [אף לת"ק וכדאי' במשנה], א"כ לר"ע הוה כטמא, ואמאי איצטריך מיעוט גבי פסח. </w:t>
      </w:r>
      <w:r w:rsidRPr="00E14121">
        <w:rPr>
          <w:rFonts w:ascii="Narkisim" w:hAnsi="Narkisim" w:cs="Narkisim"/>
          <w:sz w:val="20"/>
          <w:szCs w:val="20"/>
          <w:rtl/>
        </w:rPr>
        <w:t>וה</w:t>
      </w:r>
      <w:r w:rsidRPr="00E14121">
        <w:rPr>
          <w:rFonts w:ascii="Narkisim" w:hAnsi="Narkisim" w:cs="Narkisim"/>
          <w:b/>
          <w:bCs/>
          <w:sz w:val="20"/>
          <w:szCs w:val="20"/>
          <w:rtl/>
        </w:rPr>
        <w:t>חזו"א</w:t>
      </w:r>
      <w:r w:rsidRPr="00E14121">
        <w:rPr>
          <w:rFonts w:ascii="Narkisim" w:hAnsi="Narkisim" w:cs="Narkisim"/>
          <w:sz w:val="20"/>
          <w:szCs w:val="20"/>
          <w:rtl/>
        </w:rPr>
        <w:t xml:space="preserve"> (קכט שם) כתב דכוונת התוס' לתרץ דלולי הריבוי הו"א דדוקא ערל במזיד הוה כטמא</w:t>
      </w:r>
      <w:r w:rsidRPr="00E14121">
        <w:rPr>
          <w:rStyle w:val="ac"/>
          <w:rFonts w:ascii="Narkisim" w:hAnsi="Narkisim" w:cs="Narkisim"/>
          <w:sz w:val="20"/>
          <w:szCs w:val="20"/>
          <w:rtl/>
        </w:rPr>
        <w:footnoteReference w:id="4303"/>
      </w:r>
      <w:r w:rsidRPr="00E14121">
        <w:rPr>
          <w:rFonts w:ascii="Narkisim" w:hAnsi="Narkisim" w:cs="Narkisim"/>
          <w:sz w:val="20"/>
          <w:szCs w:val="20"/>
          <w:rtl/>
        </w:rPr>
        <w:t>. קמ"ל קרא דהתם דאף מתו אחיו אינו אוכל, וידעינן דאף מתו אחיו מחמת מילה דינו כטמא לכל דבר.</w:t>
      </w:r>
    </w:p>
    <w:p w14:paraId="319A32B9"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תי' דס"ד דאם רובם ערלים יקרב הפסח, דומיא דטומאה. אבל </w:t>
      </w:r>
      <w:r w:rsidRPr="00E14121">
        <w:rPr>
          <w:rFonts w:ascii="Narkisim" w:hAnsi="Narkisim"/>
          <w:b/>
          <w:bCs/>
          <w:rtl/>
        </w:rPr>
        <w:t>תוס</w:t>
      </w:r>
      <w:r w:rsidRPr="00E14121">
        <w:rPr>
          <w:rFonts w:ascii="Narkisim" w:hAnsi="Narkisim"/>
          <w:rtl/>
        </w:rPr>
        <w:t>' (חגיגה) דחו דדוקא טומאת מת נדחית מפני הטומאה, ולא שאר טומאות.</w:t>
      </w:r>
    </w:p>
    <w:p w14:paraId="0398C13F" w14:textId="77777777" w:rsidR="00F64AED" w:rsidRPr="00E14121" w:rsidRDefault="00F64AED" w:rsidP="00F64AED">
      <w:pPr>
        <w:pStyle w:val="a8"/>
        <w:bidi/>
        <w:rPr>
          <w:rFonts w:ascii="Narkisim" w:hAnsi="Narkisim"/>
        </w:rPr>
      </w:pPr>
      <w:r w:rsidRPr="00E14121">
        <w:rPr>
          <w:rFonts w:ascii="Narkisim" w:hAnsi="Narkisim"/>
          <w:rtl/>
        </w:rPr>
        <w:t>ועוד תי' ה</w:t>
      </w:r>
      <w:r w:rsidRPr="00E14121">
        <w:rPr>
          <w:rFonts w:ascii="Narkisim" w:hAnsi="Narkisim"/>
          <w:b/>
          <w:bCs/>
          <w:rtl/>
        </w:rPr>
        <w:t>מנח"ח</w:t>
      </w:r>
      <w:r w:rsidRPr="00E14121">
        <w:rPr>
          <w:rFonts w:ascii="Narkisim" w:hAnsi="Narkisim"/>
          <w:rtl/>
        </w:rPr>
        <w:t xml:space="preserve"> (יז ד) דלר' שמעון קדשי עכו"ם אין חייבין עליהם משום טומאה. ובזה יש נפק"מ בהיקש דהכא דאסור לערל באכילה לר' עקיבא.</w:t>
      </w:r>
    </w:p>
    <w:p w14:paraId="163A3FCB" w14:textId="77777777" w:rsidR="00F64AED" w:rsidRPr="00E14121" w:rsidRDefault="00F64AED" w:rsidP="00F64AED">
      <w:pPr>
        <w:pStyle w:val="3"/>
        <w:bidi/>
        <w:rPr>
          <w:rFonts w:ascii="Narkisim" w:hAnsi="Narkisim"/>
        </w:rPr>
      </w:pPr>
      <w:r w:rsidRPr="00E14121">
        <w:rPr>
          <w:rFonts w:ascii="Narkisim" w:hAnsi="Narkisim"/>
          <w:rtl/>
        </w:rPr>
        <w:t>דף ע:</w:t>
      </w:r>
    </w:p>
    <w:p w14:paraId="53AE012C" w14:textId="77777777" w:rsidR="00F64AED" w:rsidRPr="00E14121" w:rsidRDefault="00F64AED" w:rsidP="00F64AED">
      <w:pPr>
        <w:bidi/>
        <w:rPr>
          <w:rFonts w:ascii="Narkisim" w:hAnsi="Narkisim" w:cs="Narkisim"/>
        </w:rPr>
      </w:pPr>
      <w:r w:rsidRPr="00E14121">
        <w:rPr>
          <w:rFonts w:ascii="Narkisim" w:hAnsi="Narkisim" w:cs="Narkisim"/>
          <w:u w:val="single"/>
          <w:rtl/>
        </w:rPr>
        <w:t>אלמא ל"ק ליה רביה</w:t>
      </w:r>
      <w:r w:rsidRPr="00E14121">
        <w:rPr>
          <w:rStyle w:val="ac"/>
          <w:rFonts w:ascii="Narkisim" w:hAnsi="Narkisim" w:cs="Narkisim"/>
          <w:u w:val="single"/>
          <w:rtl/>
        </w:rPr>
        <w:footnoteReference w:id="4304"/>
      </w:r>
      <w:r w:rsidRPr="00E14121">
        <w:rPr>
          <w:rFonts w:ascii="Narkisim" w:hAnsi="Narkisim" w:cs="Narkisim"/>
          <w:u w:val="single"/>
          <w:rtl/>
        </w:rPr>
        <w:t xml:space="preserve"> וכו'</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דישראל מעליא הוא וחייב בפסח. </w:t>
      </w:r>
      <w:r w:rsidRPr="00E14121">
        <w:rPr>
          <w:rFonts w:ascii="Narkisim" w:hAnsi="Narkisim" w:cs="Narkisim"/>
          <w:b/>
          <w:bCs/>
          <w:rtl/>
        </w:rPr>
        <w:t>תוס</w:t>
      </w:r>
      <w:r w:rsidRPr="00E14121">
        <w:rPr>
          <w:rFonts w:ascii="Narkisim" w:hAnsi="Narkisim" w:cs="Narkisim"/>
          <w:rtl/>
        </w:rPr>
        <w:t>' כת' דאף דגדר העבדות דיש בו קנין הגוף [לענין שצריך גט שחרור, ולא סגי במחילת השעבוד]. לענין מצוות לא נחשב קנין הגוף.</w:t>
      </w:r>
    </w:p>
    <w:p w14:paraId="556FD830"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וה</w:t>
      </w:r>
      <w:r w:rsidRPr="00E14121">
        <w:rPr>
          <w:rFonts w:ascii="Narkisim" w:hAnsi="Narkisim"/>
          <w:b/>
          <w:bCs/>
          <w:rtl/>
        </w:rPr>
        <w:t>ריטב"א</w:t>
      </w:r>
      <w:r w:rsidRPr="00E14121">
        <w:rPr>
          <w:rFonts w:ascii="Narkisim" w:hAnsi="Narkisim"/>
          <w:rtl/>
        </w:rPr>
        <w:t xml:space="preserve"> כת' דקני במקצת. אבל קנין גמור לא קני ליה, דהא יוצא בשש וגרעון בע"כ דאדון </w:t>
      </w:r>
      <w:r w:rsidRPr="00E14121">
        <w:rPr>
          <w:rFonts w:ascii="Narkisim" w:hAnsi="Narkisim"/>
          <w:sz w:val="20"/>
          <w:szCs w:val="20"/>
          <w:rtl/>
        </w:rPr>
        <w:t>[והוה קנין הגוף במקצת]</w:t>
      </w:r>
      <w:r w:rsidRPr="00E14121">
        <w:rPr>
          <w:rFonts w:ascii="Narkisim" w:hAnsi="Narkisim"/>
          <w:rtl/>
        </w:rPr>
        <w:t>.</w:t>
      </w:r>
    </w:p>
    <w:p w14:paraId="3EC59629"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רמ"ה</w:t>
      </w:r>
      <w:r w:rsidRPr="00E14121">
        <w:rPr>
          <w:rFonts w:ascii="Narkisim" w:hAnsi="Narkisim"/>
          <w:rtl/>
        </w:rPr>
        <w:t xml:space="preserve"> (בשיטמ"ק ב"ק קיג:) כתב דרבא [דגופו קנוי] איתותיב. וצ"ב כוונתו. וה</w:t>
      </w:r>
      <w:r w:rsidRPr="00E14121">
        <w:rPr>
          <w:rFonts w:ascii="Narkisim" w:hAnsi="Narkisim"/>
          <w:b/>
          <w:bCs/>
          <w:rtl/>
        </w:rPr>
        <w:t>קובה"ע</w:t>
      </w:r>
      <w:r w:rsidRPr="00E14121">
        <w:rPr>
          <w:rFonts w:ascii="Narkisim" w:hAnsi="Narkisim"/>
          <w:rtl/>
        </w:rPr>
        <w:t xml:space="preserve"> (נז) ביאר דכוונתו ע"פ סוגיין דאמרי' דאין גופו קנוי</w:t>
      </w:r>
      <w:r w:rsidRPr="00E14121">
        <w:rPr>
          <w:rStyle w:val="ac"/>
          <w:rFonts w:ascii="Narkisim" w:hAnsi="Narkisim"/>
          <w:rtl/>
        </w:rPr>
        <w:footnoteReference w:id="4305"/>
      </w:r>
      <w:r w:rsidRPr="00E14121">
        <w:rPr>
          <w:rFonts w:ascii="Narkisim" w:hAnsi="Narkisim"/>
          <w:rtl/>
        </w:rPr>
        <w:t>.</w:t>
      </w:r>
    </w:p>
    <w:p w14:paraId="3D1E6BE0" w14:textId="77777777" w:rsidR="00F64AED" w:rsidRPr="00E14121" w:rsidRDefault="00F64AED" w:rsidP="00F64AED">
      <w:pPr>
        <w:pStyle w:val="aa"/>
        <w:bidi/>
        <w:rPr>
          <w:rFonts w:ascii="Narkisim" w:hAnsi="Narkisim"/>
        </w:rPr>
      </w:pPr>
      <w:r w:rsidRPr="00E14121">
        <w:rPr>
          <w:rFonts w:ascii="Narkisim" w:hAnsi="Narkisim"/>
          <w:u w:val="single"/>
          <w:rtl/>
        </w:rPr>
        <w:t>רש"י ד"ה הכא נמי.</w:t>
      </w:r>
      <w:r w:rsidRPr="00E14121">
        <w:rPr>
          <w:rFonts w:ascii="Narkisim" w:hAnsi="Narkisim"/>
          <w:rtl/>
        </w:rPr>
        <w:t xml:space="preserve"> וישראל מעליא הוא. משמע דאילו חל בו קה"ג דעבדות, נפקע עי"ז קדושת ישראל [במקצת]. [דבישראל לא שייך קנין בגופו]. ויש שהביאו מכאן סמך דהטעם דאשה ועבד פטורים ממצוות עשה שהזמן גרמא משום שמשועבדים ומחוייבין לעבודת רבו. וה"נ בעבד עברי אילו קנין האדון הוה בגדר 'קנין'.</w:t>
      </w:r>
    </w:p>
    <w:p w14:paraId="531D4711" w14:textId="77777777" w:rsidR="00F64AED" w:rsidRPr="00E14121" w:rsidRDefault="00F64AED" w:rsidP="00F64AED">
      <w:pPr>
        <w:bidi/>
        <w:rPr>
          <w:rFonts w:ascii="Narkisim" w:hAnsi="Narkisim" w:cs="Narkisim"/>
        </w:rPr>
      </w:pPr>
      <w:r w:rsidRPr="00E14121">
        <w:rPr>
          <w:rFonts w:ascii="Narkisim" w:hAnsi="Narkisim" w:cs="Narkisim"/>
          <w:u w:val="single"/>
          <w:rtl/>
        </w:rPr>
        <w:t>תוד"ה אלמא.</w:t>
      </w:r>
      <w:r w:rsidRPr="00E14121">
        <w:rPr>
          <w:rFonts w:ascii="Narkisim" w:hAnsi="Narkisim" w:cs="Narkisim"/>
          <w:rtl/>
        </w:rPr>
        <w:t xml:space="preserve"> והא דאמר [רבא] דעבד עברי גופו קנוי וכו', אבל לענין מצוות לא. והוה קנין ממון, ולא גדר קנין איסור.</w:t>
      </w:r>
    </w:p>
    <w:p w14:paraId="253C3716" w14:textId="77777777" w:rsidR="00F64AED" w:rsidRPr="00E14121" w:rsidRDefault="00F64AED" w:rsidP="00F64AED">
      <w:pPr>
        <w:bidi/>
        <w:rPr>
          <w:rFonts w:ascii="Narkisim" w:hAnsi="Narkisim" w:cs="Narkisim"/>
        </w:rPr>
      </w:pPr>
      <w:r w:rsidRPr="00E14121">
        <w:rPr>
          <w:rFonts w:ascii="Narkisim" w:hAnsi="Narkisim" w:cs="Narkisim"/>
          <w:u w:val="single"/>
          <w:rtl/>
        </w:rPr>
        <w:t>בא"ד והא דשרי בשפחה כנענית היינו משום שצריך לעבוד את רבו וכו</w:t>
      </w:r>
      <w:r w:rsidRPr="00E14121">
        <w:rPr>
          <w:rFonts w:ascii="Narkisim" w:hAnsi="Narkisim" w:cs="Narkisim"/>
          <w:rtl/>
        </w:rPr>
        <w:t xml:space="preserve">'. דגדר היתר עבד עברי בשפחה כנענית משום דהוה עבודת רבו. ובשו"ת </w:t>
      </w:r>
      <w:r w:rsidRPr="00E14121">
        <w:rPr>
          <w:rFonts w:ascii="Narkisim" w:hAnsi="Narkisim" w:cs="Narkisim"/>
          <w:b/>
          <w:bCs/>
          <w:rtl/>
        </w:rPr>
        <w:t>אבנ"מ</w:t>
      </w:r>
      <w:r w:rsidRPr="00E14121">
        <w:rPr>
          <w:rFonts w:ascii="Narkisim" w:hAnsi="Narkisim" w:cs="Narkisim"/>
          <w:rtl/>
        </w:rPr>
        <w:t xml:space="preserve"> (יז) תמה וכי משום עבודת רבו הותר איסורין. וע”כ דהותר משום גדר קנין איסור. </w:t>
      </w:r>
      <w:r w:rsidRPr="00E14121">
        <w:rPr>
          <w:rFonts w:ascii="Narkisim" w:hAnsi="Narkisim" w:cs="Narkisim"/>
          <w:sz w:val="20"/>
          <w:szCs w:val="20"/>
          <w:rtl/>
        </w:rPr>
        <w:t>וה</w:t>
      </w:r>
      <w:r w:rsidRPr="00E14121">
        <w:rPr>
          <w:rFonts w:ascii="Narkisim" w:hAnsi="Narkisim" w:cs="Narkisim"/>
          <w:b/>
          <w:bCs/>
          <w:sz w:val="20"/>
          <w:szCs w:val="20"/>
          <w:rtl/>
        </w:rPr>
        <w:t>קובה"ע</w:t>
      </w:r>
      <w:r w:rsidRPr="00E14121">
        <w:rPr>
          <w:rFonts w:ascii="Narkisim" w:hAnsi="Narkisim" w:cs="Narkisim"/>
          <w:sz w:val="20"/>
          <w:szCs w:val="20"/>
          <w:rtl/>
        </w:rPr>
        <w:t xml:space="preserve"> (נז ב) ביאר דכוונת התוס' דהיתר לשפחה הוה גזיה"כ. אלא דליכא למילף מהיתר שפחה שיהא קנוי לענין מצוות. דגדר ההיתר משום עבודת רבו.</w:t>
      </w:r>
    </w:p>
    <w:p w14:paraId="121A0DA7" w14:textId="77777777" w:rsidR="00F64AED" w:rsidRPr="00E14121" w:rsidRDefault="00F64AED" w:rsidP="00F64AED">
      <w:pPr>
        <w:bidi/>
        <w:rPr>
          <w:rFonts w:ascii="Narkisim" w:hAnsi="Narkisim" w:cs="Narkisim"/>
        </w:rPr>
      </w:pPr>
      <w:r w:rsidRPr="00E14121">
        <w:rPr>
          <w:rFonts w:ascii="Narkisim" w:hAnsi="Narkisim" w:cs="Narkisim"/>
          <w:u w:val="single"/>
          <w:rtl/>
        </w:rPr>
        <w:t>שם. שצריך לעבוד את רבו</w:t>
      </w:r>
      <w:r w:rsidRPr="00E14121">
        <w:rPr>
          <w:rFonts w:ascii="Narkisim" w:hAnsi="Narkisim" w:cs="Narkisim"/>
          <w:rtl/>
        </w:rPr>
        <w:t>. ולפ"ז אינו מותר אלא באופן שיש בזה עבודת רבו, שהולדות יהיו לרבו</w:t>
      </w:r>
      <w:r w:rsidRPr="00E14121">
        <w:rPr>
          <w:rStyle w:val="ac"/>
          <w:rFonts w:ascii="Narkisim" w:hAnsi="Narkisim" w:cs="Narkisim"/>
          <w:rtl/>
        </w:rPr>
        <w:footnoteReference w:id="4306"/>
      </w:r>
      <w:r w:rsidRPr="00E14121">
        <w:rPr>
          <w:rFonts w:ascii="Narkisim" w:hAnsi="Narkisim" w:cs="Narkisim"/>
          <w:sz w:val="20"/>
          <w:szCs w:val="20"/>
          <w:rtl/>
        </w:rPr>
        <w:t>.</w:t>
      </w:r>
    </w:p>
    <w:p w14:paraId="0C8A7E29" w14:textId="77777777" w:rsidR="00F64AED" w:rsidRPr="00E14121" w:rsidRDefault="00F64AED" w:rsidP="00F64AED">
      <w:pPr>
        <w:pStyle w:val="a7"/>
        <w:bidi/>
        <w:rPr>
          <w:rFonts w:ascii="Narkisim" w:hAnsi="Narkisim"/>
        </w:rPr>
      </w:pPr>
      <w:r w:rsidRPr="00E14121">
        <w:rPr>
          <w:rFonts w:ascii="Narkisim" w:hAnsi="Narkisim"/>
          <w:rtl/>
        </w:rPr>
        <w:t>אבל דעת ה</w:t>
      </w:r>
      <w:r w:rsidRPr="00E14121">
        <w:rPr>
          <w:rFonts w:ascii="Narkisim" w:hAnsi="Narkisim"/>
          <w:b/>
          <w:bCs/>
          <w:rtl/>
        </w:rPr>
        <w:t>רמב"ן</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(קידושין טז.) דהמפקיר עבד עברי עדיין מותר בשפחה, ולזה מהני הא דגופו קנוי</w:t>
      </w:r>
      <w:r w:rsidRPr="00E14121">
        <w:rPr>
          <w:rStyle w:val="ac"/>
          <w:rFonts w:ascii="Narkisim" w:hAnsi="Narkisim"/>
          <w:rtl/>
        </w:rPr>
        <w:footnoteReference w:id="4307"/>
      </w:r>
      <w:r w:rsidRPr="00E14121">
        <w:rPr>
          <w:rFonts w:ascii="Narkisim" w:hAnsi="Narkisim"/>
          <w:rtl/>
        </w:rPr>
        <w:t>. ומבואר דמותר משום הקנין איסור. וה</w:t>
      </w:r>
      <w:r w:rsidRPr="00E14121">
        <w:rPr>
          <w:rFonts w:ascii="Narkisim" w:hAnsi="Narkisim"/>
          <w:b/>
          <w:bCs/>
          <w:rtl/>
        </w:rPr>
        <w:t>אבנ"מ</w:t>
      </w:r>
      <w:r w:rsidRPr="00E14121">
        <w:rPr>
          <w:rFonts w:ascii="Narkisim" w:hAnsi="Narkisim"/>
          <w:rtl/>
        </w:rPr>
        <w:t xml:space="preserve"> (שו"ת יז) ביאר עפ"ז דל"ש קנין הגוף לזמן</w:t>
      </w:r>
      <w:r w:rsidRPr="00E14121">
        <w:rPr>
          <w:rStyle w:val="ac"/>
          <w:rFonts w:ascii="Narkisim" w:hAnsi="Narkisim"/>
          <w:rtl/>
        </w:rPr>
        <w:footnoteReference w:id="4308"/>
      </w:r>
      <w:r w:rsidRPr="00E14121">
        <w:rPr>
          <w:rFonts w:ascii="Narkisim" w:hAnsi="Narkisim"/>
          <w:rtl/>
        </w:rPr>
        <w:t>, א"כ כיון דיוצא בשש ויובל ע"כ לא מקרי קה”ג.</w:t>
      </w:r>
    </w:p>
    <w:p w14:paraId="3816B11A" w14:textId="77777777" w:rsidR="00F64AED" w:rsidRPr="00E14121" w:rsidRDefault="00F64AED" w:rsidP="00F64AED">
      <w:pPr>
        <w:bidi/>
        <w:rPr>
          <w:rFonts w:ascii="Narkisim" w:hAnsi="Narkisim" w:cs="Narkisim"/>
        </w:rPr>
      </w:pPr>
      <w:r w:rsidRPr="00E14121">
        <w:rPr>
          <w:rFonts w:ascii="Narkisim" w:hAnsi="Narkisim" w:cs="Narkisim"/>
          <w:u w:val="single"/>
          <w:rtl/>
        </w:rPr>
        <w:t>בא"ד והלא עבד כנעני גופו חייב בפסח למ"ד נשים בראשון חובה וכו'.</w:t>
      </w:r>
      <w:r w:rsidRPr="00E14121">
        <w:rPr>
          <w:rFonts w:ascii="Narkisim" w:hAnsi="Narkisim" w:cs="Narkisim"/>
          <w:rtl/>
        </w:rPr>
        <w:t xml:space="preserve"> וה</w:t>
      </w:r>
      <w:r w:rsidRPr="00E14121">
        <w:rPr>
          <w:rFonts w:ascii="Narkisim" w:hAnsi="Narkisim" w:cs="Narkisim"/>
          <w:b/>
          <w:bCs/>
          <w:rtl/>
        </w:rPr>
        <w:t>רמב"ן</w:t>
      </w:r>
      <w:r w:rsidRPr="00E14121">
        <w:rPr>
          <w:rFonts w:ascii="Narkisim" w:hAnsi="Narkisim" w:cs="Narkisim"/>
          <w:rtl/>
        </w:rPr>
        <w:t xml:space="preserve"> כתב בשם ה</w:t>
      </w:r>
      <w:r w:rsidRPr="00E14121">
        <w:rPr>
          <w:rFonts w:ascii="Narkisim" w:hAnsi="Narkisim" w:cs="Narkisim"/>
          <w:b/>
          <w:bCs/>
          <w:rtl/>
        </w:rPr>
        <w:t>ראב"ד</w:t>
      </w:r>
      <w:r w:rsidRPr="00E14121">
        <w:rPr>
          <w:rFonts w:ascii="Narkisim" w:hAnsi="Narkisim" w:cs="Narkisim"/>
          <w:rtl/>
        </w:rPr>
        <w:t xml:space="preserve"> דס"ד דדינו כאשה, וכמ"ד (פסחים צא:) דהוה רשות, וה"ה עבדים נתמעטו שאינם </w:t>
      </w:r>
      <w:r w:rsidRPr="00E14121">
        <w:rPr>
          <w:rFonts w:ascii="Narkisim" w:hAnsi="Narkisim" w:cs="Narkisim"/>
          <w:rtl/>
        </w:rPr>
        <w:lastRenderedPageBreak/>
        <w:t>חייבים [והוה רשות].</w:t>
      </w:r>
      <w:r w:rsidRPr="00E14121">
        <w:rPr>
          <w:rStyle w:val="ac"/>
          <w:rFonts w:ascii="Narkisim" w:hAnsi="Narkisim" w:cs="Narkisim"/>
          <w:rtl/>
        </w:rPr>
        <w:footnoteReference w:id="4309"/>
      </w:r>
      <w:r w:rsidRPr="00E14121">
        <w:rPr>
          <w:rFonts w:ascii="Narkisim" w:hAnsi="Narkisim" w:cs="Narkisim"/>
          <w:rtl/>
        </w:rPr>
        <w:t>.</w:t>
      </w:r>
      <w:r w:rsidRPr="00E14121">
        <w:rPr>
          <w:rFonts w:ascii="Narkisim" w:hAnsi="Narkisim" w:cs="Narkisim"/>
          <w:sz w:val="20"/>
          <w:szCs w:val="20"/>
          <w:rtl/>
        </w:rPr>
        <w:t xml:space="preserve"> והקשה דלישנא דלא יאכל לא משמע כן. והרמב"ן כת' דאה"נ, אלא אלומי קושייה דידיה דל”ק גופו.</w:t>
      </w:r>
    </w:p>
    <w:p w14:paraId="599513DA" w14:textId="77777777" w:rsidR="00F64AED" w:rsidRPr="00E14121" w:rsidRDefault="00F64AED" w:rsidP="00F64AED">
      <w:pPr>
        <w:pStyle w:val="aa"/>
        <w:bidi/>
        <w:rPr>
          <w:rFonts w:ascii="Narkisim" w:hAnsi="Narkisim"/>
        </w:rPr>
      </w:pPr>
      <w:r w:rsidRPr="00E14121">
        <w:rPr>
          <w:rFonts w:ascii="Narkisim" w:hAnsi="Narkisim"/>
          <w:u w:val="single"/>
          <w:rtl/>
        </w:rPr>
        <w:t>תוד"ה אלא.</w:t>
      </w:r>
      <w:r w:rsidRPr="00E14121">
        <w:rPr>
          <w:rFonts w:ascii="Narkisim" w:hAnsi="Narkisim"/>
          <w:rtl/>
        </w:rPr>
        <w:t xml:space="preserve"> וי"ל דאיכא לאוקמי בעכו”ם. [וכן האריך </w:t>
      </w:r>
      <w:r w:rsidRPr="00E14121">
        <w:rPr>
          <w:rFonts w:ascii="Narkisim" w:hAnsi="Narkisim"/>
          <w:b/>
          <w:bCs/>
          <w:rtl/>
        </w:rPr>
        <w:t>תוס</w:t>
      </w:r>
      <w:r w:rsidRPr="00E14121">
        <w:rPr>
          <w:rFonts w:ascii="Narkisim" w:hAnsi="Narkisim"/>
          <w:rtl/>
        </w:rPr>
        <w:t>' (כתובות לח:) דהפסוק לא כתב שקר]. וכ"ד ה</w:t>
      </w:r>
      <w:r w:rsidRPr="00E14121">
        <w:rPr>
          <w:rFonts w:ascii="Narkisim" w:hAnsi="Narkisim"/>
          <w:b/>
          <w:bCs/>
          <w:rtl/>
        </w:rPr>
        <w:t>רמב"ם</w:t>
      </w:r>
      <w:r w:rsidRPr="00E14121">
        <w:rPr>
          <w:rFonts w:ascii="Narkisim" w:hAnsi="Narkisim"/>
          <w:rtl/>
        </w:rPr>
        <w:t xml:space="preserve"> (ק”פ ט ז, וע' בסמוך עא.). וה</w:t>
      </w:r>
      <w:r w:rsidRPr="00E14121">
        <w:rPr>
          <w:rFonts w:ascii="Narkisim" w:hAnsi="Narkisim"/>
          <w:b/>
          <w:bCs/>
          <w:rtl/>
        </w:rPr>
        <w:t>ראב”ד</w:t>
      </w:r>
      <w:r w:rsidRPr="00E14121">
        <w:rPr>
          <w:rFonts w:ascii="Narkisim" w:hAnsi="Narkisim"/>
          <w:rtl/>
        </w:rPr>
        <w:t xml:space="preserve"> העמיד בישראל ושלא למנויו.</w:t>
      </w:r>
    </w:p>
    <w:p w14:paraId="47277121" w14:textId="77777777" w:rsidR="00F64AED" w:rsidRPr="00E14121" w:rsidRDefault="00F64AED" w:rsidP="00F64AED">
      <w:pPr>
        <w:bidi/>
        <w:rPr>
          <w:rFonts w:ascii="Narkisim" w:hAnsi="Narkisim" w:cs="Narkisim"/>
        </w:rPr>
      </w:pPr>
      <w:r w:rsidRPr="00E14121">
        <w:rPr>
          <w:rFonts w:ascii="Narkisim" w:hAnsi="Narkisim" w:cs="Narkisim"/>
          <w:u w:val="single"/>
          <w:rtl/>
        </w:rPr>
        <w:t>מי איכא מידי דערלות דגופיה לא מעכבא ביה, דאחריני מעכבא.</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הק' מעיקרא מה ס"ד. וי”ל דס"ד דגזיה"כ הוא להחמיר בערלות בני ביתו כדי שלא יפשע למול אותם. וה</w:t>
      </w:r>
      <w:r w:rsidRPr="00E14121">
        <w:rPr>
          <w:rFonts w:ascii="Narkisim" w:hAnsi="Narkisim" w:cs="Narkisim"/>
          <w:b/>
          <w:bCs/>
          <w:rtl/>
        </w:rPr>
        <w:t>מאירי</w:t>
      </w:r>
      <w:r w:rsidRPr="00E14121">
        <w:rPr>
          <w:rFonts w:ascii="Narkisim" w:hAnsi="Narkisim" w:cs="Narkisim"/>
          <w:rtl/>
        </w:rPr>
        <w:t xml:space="preserve"> (וכעי"ז בתוס' הרא"ש) תי' דיש אופנים דהוה ערל באונס, א"כ ראוי שמילת זכריו בלא שום אונס יעכבו. [ולפ"ז ה"ה מילת עצמו יעכב היכא דאינו אונס, מק"ו, וכ”כ בחי' ר' שלמה טו].</w:t>
      </w:r>
    </w:p>
    <w:p w14:paraId="4F2BDE26" w14:textId="77777777" w:rsidR="00F64AED" w:rsidRPr="00E14121" w:rsidRDefault="00F64AED" w:rsidP="00F64AED">
      <w:pPr>
        <w:pStyle w:val="3"/>
        <w:bidi/>
        <w:rPr>
          <w:rFonts w:ascii="Narkisim" w:hAnsi="Narkisim"/>
        </w:rPr>
      </w:pPr>
      <w:r w:rsidRPr="00E14121">
        <w:rPr>
          <w:rFonts w:ascii="Narkisim" w:hAnsi="Narkisim"/>
          <w:rtl/>
        </w:rPr>
        <w:t>דף עא.</w:t>
      </w:r>
    </w:p>
    <w:p w14:paraId="60F62581" w14:textId="77777777" w:rsidR="00F64AED" w:rsidRPr="00E14121" w:rsidRDefault="00F64AED" w:rsidP="00F64AED">
      <w:pPr>
        <w:bidi/>
        <w:rPr>
          <w:rFonts w:ascii="Narkisim" w:hAnsi="Narkisim" w:cs="Narkisim"/>
        </w:rPr>
      </w:pPr>
      <w:r w:rsidRPr="00E14121">
        <w:rPr>
          <w:rFonts w:ascii="Narkisim" w:hAnsi="Narkisim" w:cs="Narkisim"/>
          <w:u w:val="single"/>
          <w:rtl/>
        </w:rPr>
        <w:t>בו המרת דת פוסלת.</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ונתנכרו מעשיו לאביו שבשמים. וה</w:t>
      </w:r>
      <w:r w:rsidRPr="00E14121">
        <w:rPr>
          <w:rFonts w:ascii="Narkisim" w:hAnsi="Narkisim" w:cs="Narkisim"/>
          <w:b/>
          <w:bCs/>
          <w:rtl/>
        </w:rPr>
        <w:t>רמב"ם</w:t>
      </w:r>
      <w:r w:rsidRPr="00E14121">
        <w:rPr>
          <w:rFonts w:ascii="Narkisim" w:hAnsi="Narkisim" w:cs="Narkisim"/>
          <w:rtl/>
        </w:rPr>
        <w:t xml:space="preserve"> (ט ח) כת' דהיינו עובד ע"ז. וה</w:t>
      </w:r>
      <w:r w:rsidRPr="00E14121">
        <w:rPr>
          <w:rFonts w:ascii="Narkisim" w:hAnsi="Narkisim" w:cs="Narkisim"/>
          <w:b/>
          <w:bCs/>
          <w:rtl/>
        </w:rPr>
        <w:t>אחרונים</w:t>
      </w:r>
      <w:r w:rsidRPr="00E14121">
        <w:rPr>
          <w:rFonts w:ascii="Narkisim" w:hAnsi="Narkisim" w:cs="Narkisim"/>
          <w:rtl/>
        </w:rPr>
        <w:t xml:space="preserve"> (מנח"ח יג) דנו דמשמע דאף מומר לחלל שבתות אינו בכלל [וע”ע טור”א חגיגה ד:]. אבל ב</w:t>
      </w:r>
      <w:r w:rsidRPr="00E14121">
        <w:rPr>
          <w:rFonts w:ascii="Narkisim" w:hAnsi="Narkisim" w:cs="Narkisim"/>
          <w:b/>
          <w:bCs/>
          <w:rtl/>
        </w:rPr>
        <w:t>רש"י</w:t>
      </w:r>
      <w:r w:rsidRPr="00E14121">
        <w:rPr>
          <w:rFonts w:ascii="Narkisim" w:hAnsi="Narkisim" w:cs="Narkisim"/>
          <w:rtl/>
        </w:rPr>
        <w:t xml:space="preserve"> (עה"ת שמות יב מח) מבואר דמומר לערלות נחשב בן נכר. </w:t>
      </w:r>
      <w:r w:rsidRPr="00E14121">
        <w:rPr>
          <w:rFonts w:ascii="Narkisim" w:hAnsi="Narkisim" w:cs="Narkisim"/>
          <w:sz w:val="20"/>
          <w:szCs w:val="20"/>
          <w:rtl/>
        </w:rPr>
        <w:t>[וה</w:t>
      </w:r>
      <w:r w:rsidRPr="00E14121">
        <w:rPr>
          <w:rFonts w:ascii="Narkisim" w:hAnsi="Narkisim" w:cs="Narkisim"/>
          <w:b/>
          <w:bCs/>
          <w:sz w:val="20"/>
          <w:szCs w:val="20"/>
          <w:rtl/>
        </w:rPr>
        <w:t>אחרונים</w:t>
      </w:r>
      <w:r w:rsidRPr="00E14121">
        <w:rPr>
          <w:rFonts w:ascii="Narkisim" w:hAnsi="Narkisim" w:cs="Narkisim"/>
          <w:sz w:val="20"/>
          <w:szCs w:val="20"/>
          <w:rtl/>
        </w:rPr>
        <w:t xml:space="preserve"> דנו האם תליא במח' התנאים (חולין ד) דמומר לדבר א'].</w:t>
      </w:r>
    </w:p>
    <w:p w14:paraId="5E09AD90" w14:textId="77777777" w:rsidR="00F64AED" w:rsidRPr="00E14121" w:rsidRDefault="00F64AED" w:rsidP="00F64AED">
      <w:pPr>
        <w:bidi/>
        <w:rPr>
          <w:rFonts w:ascii="Narkisim" w:hAnsi="Narkisim" w:cs="Narkisim"/>
        </w:rPr>
      </w:pPr>
      <w:r w:rsidRPr="00E14121">
        <w:rPr>
          <w:rFonts w:ascii="Narkisim" w:hAnsi="Narkisim" w:cs="Narkisim"/>
          <w:u w:val="single"/>
          <w:rtl/>
        </w:rPr>
        <w:t>תוד"ה בו.</w:t>
      </w:r>
      <w:r w:rsidRPr="00E14121">
        <w:rPr>
          <w:rFonts w:ascii="Narkisim" w:hAnsi="Narkisim" w:cs="Narkisim"/>
          <w:rtl/>
        </w:rPr>
        <w:t xml:space="preserve"> לחייב במצה ומרור וכו'. ותוס' כת' דאין לומר דאיצטריך שמותר במצה ומרור, דאטו יש בהם.  </w:t>
      </w:r>
    </w:p>
    <w:p w14:paraId="3454562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(ק"פ ט ח) כת' גבי ערל אבל אוכל הוא במצה ומרור, וכן מותר להאכיל מצה ומרור לגר תושב ושכיר. </w:t>
      </w:r>
      <w:r w:rsidRPr="00E14121">
        <w:rPr>
          <w:rFonts w:ascii="Narkisim" w:hAnsi="Narkisim"/>
          <w:sz w:val="20"/>
          <w:szCs w:val="20"/>
          <w:rtl/>
        </w:rPr>
        <w:t>וה</w:t>
      </w:r>
      <w:r w:rsidRPr="00E14121">
        <w:rPr>
          <w:rFonts w:ascii="Narkisim" w:hAnsi="Narkisim"/>
          <w:b/>
          <w:bCs/>
          <w:sz w:val="20"/>
          <w:szCs w:val="20"/>
          <w:rtl/>
        </w:rPr>
        <w:t>מנח"ח</w:t>
      </w:r>
      <w:r w:rsidRPr="00E14121">
        <w:rPr>
          <w:rFonts w:ascii="Narkisim" w:hAnsi="Narkisim"/>
          <w:sz w:val="20"/>
          <w:szCs w:val="20"/>
          <w:rtl/>
        </w:rPr>
        <w:t xml:space="preserve"> (יז כז) ביאר שהרמב"ם דקדק לשונו דערל חייב לאכול, ואילו תושב ושכיר עכו"ם מותרים</w:t>
      </w:r>
      <w:r w:rsidRPr="00E14121">
        <w:rPr>
          <w:rStyle w:val="ac"/>
          <w:rFonts w:ascii="Narkisim" w:hAnsi="Narkisim"/>
          <w:sz w:val="20"/>
          <w:szCs w:val="20"/>
          <w:rtl/>
        </w:rPr>
        <w:footnoteReference w:id="4310"/>
      </w:r>
      <w:r w:rsidRPr="00E14121">
        <w:rPr>
          <w:rFonts w:ascii="Narkisim" w:hAnsi="Narkisim"/>
          <w:rtl/>
        </w:rPr>
        <w:t>.</w:t>
      </w:r>
    </w:p>
    <w:p w14:paraId="22795AF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מאירי</w:t>
      </w:r>
      <w:r w:rsidRPr="00E14121">
        <w:rPr>
          <w:rFonts w:ascii="Narkisim" w:hAnsi="Narkisim"/>
          <w:rtl/>
        </w:rPr>
        <w:t xml:space="preserve"> </w:t>
      </w:r>
      <w:r w:rsidRPr="00E14121">
        <w:rPr>
          <w:rFonts w:ascii="Narkisim" w:hAnsi="Narkisim"/>
          <w:sz w:val="20"/>
          <w:szCs w:val="20"/>
          <w:rtl/>
        </w:rPr>
        <w:t>(פסחים צו)</w:t>
      </w:r>
      <w:r w:rsidRPr="00E14121">
        <w:rPr>
          <w:rFonts w:ascii="Narkisim" w:hAnsi="Narkisim"/>
          <w:rtl/>
        </w:rPr>
        <w:t xml:space="preserve"> כתב דמאכילים תושב ושכיר וערל במצה ומרור, אבל המשומד אסור במצה ומרור [דבבן נכר לא איתרבי שאוכל במצה ומרור</w:t>
      </w:r>
      <w:r w:rsidRPr="00E14121">
        <w:rPr>
          <w:rStyle w:val="ac"/>
          <w:rFonts w:ascii="Narkisim" w:hAnsi="Narkisim"/>
          <w:rtl/>
        </w:rPr>
        <w:footnoteReference w:id="4311"/>
      </w:r>
      <w:r w:rsidRPr="00E14121">
        <w:rPr>
          <w:rFonts w:ascii="Narkisim" w:hAnsi="Narkisim"/>
          <w:rtl/>
        </w:rPr>
        <w:t>].</w:t>
      </w:r>
    </w:p>
    <w:p w14:paraId="24A3EFA1"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(יז כז) הקשה דדעת ה</w:t>
      </w:r>
      <w:r w:rsidRPr="00E14121">
        <w:rPr>
          <w:rFonts w:ascii="Narkisim" w:hAnsi="Narkisim"/>
          <w:b/>
          <w:bCs/>
          <w:rtl/>
        </w:rPr>
        <w:t>רמב"ם</w:t>
      </w:r>
      <w:r w:rsidRPr="00E14121">
        <w:rPr>
          <w:rFonts w:ascii="Narkisim" w:hAnsi="Narkisim"/>
          <w:rtl/>
        </w:rPr>
        <w:t xml:space="preserve"> (שם ז יב וסה"מ נו) דאין מצוות אכילת מרור בפנ”ע [מדאורייתא], אלא לאוכלה עם הפסח</w:t>
      </w:r>
      <w:r w:rsidRPr="00E14121">
        <w:rPr>
          <w:rStyle w:val="ac"/>
          <w:rFonts w:ascii="Narkisim" w:hAnsi="Narkisim"/>
          <w:rtl/>
        </w:rPr>
        <w:footnoteReference w:id="4312"/>
      </w:r>
      <w:r w:rsidRPr="00E14121">
        <w:rPr>
          <w:rFonts w:ascii="Narkisim" w:hAnsi="Narkisim"/>
          <w:rtl/>
        </w:rPr>
        <w:t>. ודוחק לומר דנקט שיגרת לישנא</w:t>
      </w:r>
      <w:r w:rsidRPr="00E14121">
        <w:rPr>
          <w:rStyle w:val="ac"/>
          <w:rFonts w:ascii="Narkisim" w:hAnsi="Narkisim"/>
          <w:rtl/>
        </w:rPr>
        <w:footnoteReference w:id="4313"/>
      </w:r>
      <w:r w:rsidRPr="00E14121">
        <w:rPr>
          <w:rFonts w:ascii="Narkisim" w:hAnsi="Narkisim"/>
          <w:rtl/>
        </w:rPr>
        <w:t>.</w:t>
      </w:r>
    </w:p>
    <w:p w14:paraId="402CBFEA" w14:textId="77777777" w:rsidR="00F64AED" w:rsidRPr="00E14121" w:rsidRDefault="00F64AED" w:rsidP="00F64AED">
      <w:pPr>
        <w:pStyle w:val="aa"/>
        <w:bidi/>
        <w:rPr>
          <w:rFonts w:ascii="Narkisim" w:hAnsi="Narkisim"/>
        </w:rPr>
      </w:pPr>
      <w:r w:rsidRPr="00E14121">
        <w:rPr>
          <w:rFonts w:ascii="Narkisim" w:hAnsi="Narkisim"/>
          <w:u w:val="single"/>
          <w:rtl/>
        </w:rPr>
        <w:t>אבל ערל דליבו לשמים וכו'.</w:t>
      </w:r>
      <w:r w:rsidRPr="00E14121">
        <w:rPr>
          <w:rFonts w:ascii="Narkisim" w:hAnsi="Narkisim"/>
          <w:rtl/>
        </w:rPr>
        <w:t xml:space="preserve"> </w:t>
      </w:r>
      <w:r w:rsidRPr="00E14121">
        <w:rPr>
          <w:rFonts w:ascii="Narkisim" w:hAnsi="Narkisim"/>
          <w:b/>
          <w:bCs/>
          <w:rtl/>
        </w:rPr>
        <w:t>רש"י</w:t>
      </w:r>
      <w:r w:rsidRPr="00E14121">
        <w:rPr>
          <w:rFonts w:ascii="Narkisim" w:hAnsi="Narkisim"/>
          <w:rtl/>
        </w:rPr>
        <w:t xml:space="preserve"> פי' משום דמתו אחיו מחמת מילה. ולדעת </w:t>
      </w:r>
      <w:r w:rsidRPr="00E14121">
        <w:rPr>
          <w:rFonts w:ascii="Narkisim" w:hAnsi="Narkisim"/>
          <w:b/>
          <w:bCs/>
          <w:rtl/>
        </w:rPr>
        <w:t xml:space="preserve">ר"ת </w:t>
      </w:r>
      <w:r w:rsidRPr="00E14121">
        <w:rPr>
          <w:rFonts w:ascii="Narkisim" w:hAnsi="Narkisim"/>
          <w:rtl/>
        </w:rPr>
        <w:t>ביארו ה</w:t>
      </w:r>
      <w:r w:rsidRPr="00E14121">
        <w:rPr>
          <w:rFonts w:ascii="Narkisim" w:hAnsi="Narkisim"/>
          <w:b/>
          <w:bCs/>
          <w:rtl/>
        </w:rPr>
        <w:t>ראשונים</w:t>
      </w:r>
      <w:r w:rsidRPr="00E14121">
        <w:rPr>
          <w:rFonts w:ascii="Narkisim" w:hAnsi="Narkisim"/>
          <w:rtl/>
        </w:rPr>
        <w:t xml:space="preserve"> דכיון דאינו מל מחמת פחד לא נחשב מומר [לערלות]. אבל לדעת </w:t>
      </w:r>
      <w:r w:rsidRPr="00E14121">
        <w:rPr>
          <w:rFonts w:ascii="Narkisim" w:hAnsi="Narkisim"/>
          <w:b/>
          <w:bCs/>
          <w:rtl/>
        </w:rPr>
        <w:t>ר"ת</w:t>
      </w:r>
      <w:r w:rsidRPr="00E14121">
        <w:rPr>
          <w:rFonts w:ascii="Narkisim" w:hAnsi="Narkisim"/>
          <w:rtl/>
        </w:rPr>
        <w:t xml:space="preserve"> (ע.) איירי במומר לערלות, ואפי' הכי לא נחשב מומר. וכן ל</w:t>
      </w:r>
      <w:r w:rsidRPr="00E14121">
        <w:rPr>
          <w:rFonts w:ascii="Narkisim" w:hAnsi="Narkisim"/>
          <w:b/>
          <w:bCs/>
          <w:rtl/>
        </w:rPr>
        <w:t xml:space="preserve">רמב"ם </w:t>
      </w:r>
      <w:r w:rsidRPr="00E14121">
        <w:rPr>
          <w:rFonts w:ascii="Narkisim" w:hAnsi="Narkisim"/>
          <w:rtl/>
        </w:rPr>
        <w:t>(הו' לעיל) נחשב ליבו לשמים כיון דאינו עובד ע"ז.</w:t>
      </w:r>
    </w:p>
    <w:p w14:paraId="0FCB5857" w14:textId="77777777" w:rsidR="00F64AED" w:rsidRPr="00E14121" w:rsidRDefault="00F64AED" w:rsidP="00F64AED">
      <w:pPr>
        <w:bidi/>
        <w:rPr>
          <w:rFonts w:ascii="Narkisim" w:hAnsi="Narkisim" w:cs="Narkisim"/>
        </w:rPr>
      </w:pPr>
      <w:r w:rsidRPr="00E14121">
        <w:rPr>
          <w:rFonts w:ascii="Narkisim" w:hAnsi="Narkisim" w:cs="Narkisim"/>
          <w:u w:val="single"/>
          <w:rtl/>
        </w:rPr>
        <w:t>תוד"ה ואין.</w:t>
      </w:r>
      <w:r w:rsidRPr="00E14121">
        <w:rPr>
          <w:rFonts w:ascii="Narkisim" w:hAnsi="Narkisim" w:cs="Narkisim"/>
          <w:rtl/>
        </w:rPr>
        <w:t xml:space="preserve"> ושפיר ממעטינן תרוייהו. אבל ה</w:t>
      </w:r>
      <w:r w:rsidRPr="00E14121">
        <w:rPr>
          <w:rFonts w:ascii="Narkisim" w:hAnsi="Narkisim" w:cs="Narkisim"/>
          <w:b/>
          <w:bCs/>
          <w:rtl/>
        </w:rPr>
        <w:t xml:space="preserve">רשב"א </w:t>
      </w:r>
      <w:r w:rsidRPr="00E14121">
        <w:rPr>
          <w:rFonts w:ascii="Narkisim" w:hAnsi="Narkisim" w:cs="Narkisim"/>
          <w:rtl/>
        </w:rPr>
        <w:t>כתב דמקשי' תרומה לפסח, וממעטינן רק ממעשר.</w:t>
      </w:r>
    </w:p>
    <w:p w14:paraId="0708BD67" w14:textId="77777777" w:rsidR="00F64AED" w:rsidRPr="00E14121" w:rsidRDefault="00F64AED" w:rsidP="00F64AED">
      <w:pPr>
        <w:bidi/>
        <w:rPr>
          <w:rFonts w:ascii="Narkisim" w:hAnsi="Narkisim" w:cs="Narkisim"/>
        </w:rPr>
      </w:pPr>
      <w:r w:rsidRPr="00E14121">
        <w:rPr>
          <w:rFonts w:ascii="Narkisim" w:hAnsi="Narkisim" w:cs="Narkisim"/>
          <w:u w:val="single"/>
          <w:rtl/>
        </w:rPr>
        <w:t>ור' עקיבא האי תושב ושכיר וכו' לאתויי ערבי מהול וכו' והני מולים וכו'.</w:t>
      </w:r>
      <w:r w:rsidRPr="00E14121">
        <w:rPr>
          <w:rFonts w:ascii="Narkisim" w:hAnsi="Narkisim" w:cs="Narkisim"/>
          <w:rtl/>
        </w:rPr>
        <w:t xml:space="preserve"> מבואר דלעכו"ם ערל לא איצטריך קרא. וה</w:t>
      </w:r>
      <w:r w:rsidRPr="00E14121">
        <w:rPr>
          <w:rFonts w:ascii="Narkisim" w:hAnsi="Narkisim" w:cs="Narkisim"/>
          <w:b/>
          <w:bCs/>
          <w:rtl/>
        </w:rPr>
        <w:t>תוס' הרא"ש</w:t>
      </w:r>
      <w:r w:rsidRPr="00E14121">
        <w:rPr>
          <w:rFonts w:ascii="Narkisim" w:hAnsi="Narkisim" w:cs="Narkisim"/>
          <w:rtl/>
        </w:rPr>
        <w:t xml:space="preserve"> הוכיח דהאיסור על העכו"ם עצמו, דאי על הישראל המאכיל, בעי קרא לאסור, אפי' בעכו”ם ערל. והקשה מיהו דבר תימה הוא דלא מצינו אזהרה לעכו"ם.</w:t>
      </w:r>
    </w:p>
    <w:p w14:paraId="7556C9F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 xml:space="preserve">מנח"ח </w:t>
      </w:r>
      <w:r w:rsidRPr="00E14121">
        <w:rPr>
          <w:rFonts w:ascii="Narkisim" w:hAnsi="Narkisim"/>
          <w:rtl/>
        </w:rPr>
        <w:t>(יד ב) הביא דכן משמע בסמ"ג שהלאו הוא על העכו"ם האוכל. והביא דבסוגיות (סנהדרין נז.) מצאנו כמה מצוות שנצטוו בני נח, מלבד ז' מצוות. אך חילק דה"מ במצוות שנאמרו מקודם לבני נח, אבל במה שנצטוו ע"י משה רבינו לא מצאנו שנאמרו לבני נח.</w:t>
      </w:r>
    </w:p>
    <w:p w14:paraId="1D8E253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(סד ד) כתב דבשלמא איסור תושב ושכיר נאמר בהדיא לעכו"ם וקאי אעכו"ם, אבל איסור ערל נאמר לישראל, ומנלן דעכו"ם בכלל, וקשה קושיית הגמ' דתיפו"ל משום ערל [וע"ד קושיית התוס' הרא"ש]. וצע"ג.</w:t>
      </w:r>
    </w:p>
    <w:p w14:paraId="7136F384"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כתב דלצד דהאיסור להאכיל [וכן דעת הרמב"ם] יש ליישב דכיון דנכרי לא נצטווה, א"כ הצווי על כל ישראל, שלא יאכל ערל בפסח. [ולא בעי קרא מיוחד לאיסור 'להאכיל']. אבל הקשה דעצם האיסור מעשה </w:t>
      </w:r>
      <w:r w:rsidRPr="00E14121">
        <w:rPr>
          <w:rFonts w:ascii="Narkisim" w:hAnsi="Narkisim"/>
          <w:rtl/>
        </w:rPr>
        <w:lastRenderedPageBreak/>
        <w:t>האכילה, המאכיל עושה רק מושיט שיוכל לאכול. ואינו עושה חלק מגוף האיסור.</w:t>
      </w:r>
    </w:p>
    <w:p w14:paraId="6428F9CD"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(ק"פ ט ז) פסק </w:t>
      </w:r>
      <w:r w:rsidRPr="00E14121">
        <w:rPr>
          <w:rFonts w:ascii="Narkisim" w:hAnsi="Narkisim" w:cs="Narkisim"/>
          <w:i/>
          <w:iCs/>
          <w:rtl/>
        </w:rPr>
        <w:t>דהמאכיל</w:t>
      </w:r>
      <w:r w:rsidRPr="00E14121">
        <w:rPr>
          <w:rFonts w:ascii="Narkisim" w:hAnsi="Narkisim" w:cs="Narkisim"/>
          <w:rtl/>
        </w:rPr>
        <w:t xml:space="preserve"> את הפסח למשומד או גר תושב ושכיר עובר בלא תעשה ואינו לוקה. </w:t>
      </w:r>
      <w:r w:rsidRPr="00E14121">
        <w:rPr>
          <w:rFonts w:ascii="Narkisim" w:hAnsi="Narkisim" w:cs="Narkisim"/>
          <w:sz w:val="20"/>
          <w:szCs w:val="20"/>
          <w:rtl/>
        </w:rPr>
        <w:t>[וה</w:t>
      </w:r>
      <w:r w:rsidRPr="00E14121">
        <w:rPr>
          <w:rFonts w:ascii="Narkisim" w:hAnsi="Narkisim" w:cs="Narkisim"/>
          <w:b/>
          <w:bCs/>
          <w:sz w:val="20"/>
          <w:szCs w:val="20"/>
          <w:rtl/>
        </w:rPr>
        <w:t>ראב"ד</w:t>
      </w:r>
      <w:r w:rsidRPr="00E14121">
        <w:rPr>
          <w:rFonts w:ascii="Narkisim" w:hAnsi="Narkisim" w:cs="Narkisim"/>
          <w:sz w:val="20"/>
          <w:szCs w:val="20"/>
          <w:rtl/>
        </w:rPr>
        <w:t xml:space="preserve"> השיג אפי' לישראל דאינו ממונה].</w:t>
      </w:r>
      <w:r w:rsidRPr="00E14121">
        <w:rPr>
          <w:rFonts w:ascii="Narkisim" w:hAnsi="Narkisim" w:cs="Narkisim"/>
          <w:rtl/>
        </w:rPr>
        <w:t xml:space="preserve"> וה</w:t>
      </w:r>
      <w:r w:rsidRPr="00E14121">
        <w:rPr>
          <w:rFonts w:ascii="Narkisim" w:hAnsi="Narkisim" w:cs="Narkisim"/>
          <w:b/>
          <w:bCs/>
          <w:rtl/>
        </w:rPr>
        <w:t>כס"מ</w:t>
      </w:r>
      <w:r w:rsidRPr="00E14121">
        <w:rPr>
          <w:rFonts w:ascii="Narkisim" w:hAnsi="Narkisim" w:cs="Narkisim"/>
          <w:rtl/>
        </w:rPr>
        <w:t xml:space="preserve"> כתב דע"כ הציווי למאכיל, דעכו"ם לא ציית. וה</w:t>
      </w:r>
      <w:r w:rsidRPr="00E14121">
        <w:rPr>
          <w:rFonts w:ascii="Narkisim" w:hAnsi="Narkisim" w:cs="Narkisim"/>
          <w:b/>
          <w:bCs/>
          <w:rtl/>
        </w:rPr>
        <w:t>מנח"ח</w:t>
      </w:r>
      <w:r w:rsidRPr="00E14121">
        <w:rPr>
          <w:rFonts w:ascii="Narkisim" w:hAnsi="Narkisim" w:cs="Narkisim"/>
          <w:rtl/>
        </w:rPr>
        <w:t xml:space="preserve"> (יג) הקשה דהרמב"ם כתב דאף במשומד האיסור על המאכיל (</w:t>
      </w:r>
      <w:r w:rsidRPr="00E14121">
        <w:rPr>
          <w:rFonts w:ascii="Narkisim" w:hAnsi="Narkisim" w:cs="Narkisim"/>
          <w:sz w:val="20"/>
          <w:szCs w:val="20"/>
          <w:rtl/>
        </w:rPr>
        <w:t>וכ"כ החינוך יג)</w:t>
      </w:r>
      <w:r w:rsidRPr="00E14121">
        <w:rPr>
          <w:rFonts w:ascii="Narkisim" w:hAnsi="Narkisim" w:cs="Narkisim"/>
          <w:rtl/>
        </w:rPr>
        <w:t>, ואמאי לא נימא דהמומר עצמו מצווה בו</w:t>
      </w:r>
      <w:r w:rsidRPr="00E14121">
        <w:rPr>
          <w:rStyle w:val="ac"/>
          <w:rFonts w:ascii="Narkisim" w:hAnsi="Narkisim" w:cs="Narkisim"/>
          <w:rtl/>
        </w:rPr>
        <w:footnoteReference w:id="4314"/>
      </w:r>
      <w:r w:rsidRPr="00E14121">
        <w:rPr>
          <w:rFonts w:ascii="Narkisim" w:hAnsi="Narkisim" w:cs="Narkisim"/>
          <w:rtl/>
        </w:rPr>
        <w:t>.</w:t>
      </w:r>
    </w:p>
    <w:p w14:paraId="13040837"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כתב דהמאכיל אינו לוקה, והכס"מ ביאר משום דלא נאמר הלאו בהדיא. אבל ה</w:t>
      </w:r>
      <w:r w:rsidRPr="00E14121">
        <w:rPr>
          <w:rFonts w:ascii="Narkisim" w:hAnsi="Narkisim"/>
          <w:b/>
          <w:bCs/>
          <w:rtl/>
        </w:rPr>
        <w:t>חינוך</w:t>
      </w:r>
      <w:r w:rsidRPr="00E14121">
        <w:rPr>
          <w:rFonts w:ascii="Narkisim" w:hAnsi="Narkisim"/>
          <w:rtl/>
        </w:rPr>
        <w:t xml:space="preserve"> (יג ויד) כתב דהוה לאו שאין בו מעשה. וה</w:t>
      </w:r>
      <w:r w:rsidRPr="00E14121">
        <w:rPr>
          <w:rFonts w:ascii="Narkisim" w:hAnsi="Narkisim"/>
          <w:b/>
          <w:bCs/>
          <w:rtl/>
        </w:rPr>
        <w:t xml:space="preserve">מנח"ח </w:t>
      </w:r>
      <w:r w:rsidRPr="00E14121">
        <w:rPr>
          <w:rFonts w:ascii="Narkisim" w:hAnsi="Narkisim"/>
          <w:rtl/>
        </w:rPr>
        <w:t>הקשה דמאכיל ע"י מעשה</w:t>
      </w:r>
      <w:r w:rsidRPr="00E14121">
        <w:rPr>
          <w:rStyle w:val="ac"/>
          <w:rFonts w:ascii="Narkisim" w:hAnsi="Narkisim"/>
          <w:rtl/>
        </w:rPr>
        <w:footnoteReference w:id="4315"/>
      </w:r>
      <w:r w:rsidRPr="00E14121">
        <w:rPr>
          <w:rFonts w:ascii="Narkisim" w:hAnsi="Narkisim"/>
          <w:rtl/>
        </w:rPr>
        <w:t>.</w:t>
      </w:r>
    </w:p>
    <w:p w14:paraId="1CBBD82F" w14:textId="77777777" w:rsidR="00F64AED" w:rsidRPr="00E14121" w:rsidRDefault="00F64AED" w:rsidP="00F64AED">
      <w:pPr>
        <w:bidi/>
        <w:rPr>
          <w:rFonts w:ascii="Narkisim" w:hAnsi="Narkisim" w:cs="Narkisim"/>
        </w:rPr>
      </w:pPr>
      <w:r w:rsidRPr="00E14121">
        <w:rPr>
          <w:rFonts w:ascii="Narkisim" w:hAnsi="Narkisim" w:cs="Narkisim"/>
          <w:u w:val="single"/>
          <w:rtl/>
        </w:rPr>
        <w:t>לאתויי ערבי מהול וגבעוני מהול.</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ו</w:t>
      </w:r>
      <w:r w:rsidRPr="00E14121">
        <w:rPr>
          <w:rFonts w:ascii="Narkisim" w:hAnsi="Narkisim" w:cs="Narkisim"/>
          <w:b/>
          <w:bCs/>
          <w:rtl/>
        </w:rPr>
        <w:t>ריטב"א</w:t>
      </w:r>
      <w:r w:rsidRPr="00E14121">
        <w:rPr>
          <w:rFonts w:ascii="Narkisim" w:hAnsi="Narkisim" w:cs="Narkisim"/>
          <w:rtl/>
        </w:rPr>
        <w:t xml:space="preserve"> הקשו דמי גרע ממשומד. ותי' דס"ד דגרע שנתנכרו מעשיו מאבינו שבשמים. [ולרמב"ם לק"מ דאינו עובד ע"ז]. וה</w:t>
      </w:r>
      <w:r w:rsidRPr="00E14121">
        <w:rPr>
          <w:rFonts w:ascii="Narkisim" w:hAnsi="Narkisim" w:cs="Narkisim"/>
          <w:b/>
          <w:bCs/>
          <w:rtl/>
        </w:rPr>
        <w:t>קר"א</w:t>
      </w:r>
      <w:r w:rsidRPr="00E14121">
        <w:rPr>
          <w:rFonts w:ascii="Narkisim" w:hAnsi="Narkisim" w:cs="Narkisim"/>
          <w:rtl/>
        </w:rPr>
        <w:t xml:space="preserve"> כתב ליישב בגר תושב.</w:t>
      </w:r>
    </w:p>
    <w:p w14:paraId="6D61515F" w14:textId="77777777" w:rsidR="00F64AED" w:rsidRPr="00E14121" w:rsidRDefault="00F64AED" w:rsidP="00F64AED">
      <w:pPr>
        <w:pStyle w:val="aa"/>
        <w:bidi/>
        <w:rPr>
          <w:rFonts w:ascii="Narkisim" w:hAnsi="Narkisim"/>
        </w:rPr>
      </w:pPr>
      <w:r w:rsidRPr="00E14121">
        <w:rPr>
          <w:rFonts w:ascii="Narkisim" w:hAnsi="Narkisim"/>
          <w:u w:val="single"/>
          <w:rtl/>
        </w:rPr>
        <w:t>גבעוני</w:t>
      </w:r>
      <w:r w:rsidRPr="00E14121">
        <w:rPr>
          <w:rFonts w:ascii="Narkisim" w:hAnsi="Narkisim"/>
          <w:rtl/>
        </w:rPr>
        <w:t>. פ</w:t>
      </w:r>
      <w:r w:rsidRPr="00E14121">
        <w:rPr>
          <w:rFonts w:ascii="Narkisim" w:hAnsi="Narkisim"/>
          <w:b/>
          <w:bCs/>
          <w:rtl/>
        </w:rPr>
        <w:t>רש"י</w:t>
      </w:r>
      <w:r w:rsidRPr="00E14121">
        <w:rPr>
          <w:rFonts w:ascii="Narkisim" w:hAnsi="Narkisim"/>
          <w:rtl/>
        </w:rPr>
        <w:t xml:space="preserve"> שם אומה שמוהלין עצמן. ובגמ' (ע"ז כז.) הגירסא 'גבנוני'. ו</w:t>
      </w:r>
      <w:r w:rsidRPr="00E14121">
        <w:rPr>
          <w:rFonts w:ascii="Narkisim" w:hAnsi="Narkisim"/>
          <w:b/>
          <w:bCs/>
          <w:rtl/>
        </w:rPr>
        <w:t>ר"ח</w:t>
      </w:r>
      <w:r w:rsidRPr="00E14121">
        <w:rPr>
          <w:rFonts w:ascii="Narkisim" w:hAnsi="Narkisim"/>
          <w:rtl/>
        </w:rPr>
        <w:t xml:space="preserve"> (שם, וה</w:t>
      </w:r>
      <w:r w:rsidRPr="00E14121">
        <w:rPr>
          <w:rFonts w:ascii="Narkisim" w:hAnsi="Narkisim"/>
          <w:b/>
          <w:bCs/>
          <w:rtl/>
        </w:rPr>
        <w:t>מאירי</w:t>
      </w:r>
      <w:r w:rsidRPr="00E14121">
        <w:rPr>
          <w:rFonts w:ascii="Narkisim" w:hAnsi="Narkisim"/>
          <w:rtl/>
        </w:rPr>
        <w:t xml:space="preserve"> כאן) פי' מבני קטורה השוכנים בהר גבנונים, מאומות שמקיימין מצוות מילה</w:t>
      </w:r>
      <w:r w:rsidRPr="00E14121">
        <w:rPr>
          <w:rStyle w:val="ac"/>
          <w:rFonts w:ascii="Narkisim" w:hAnsi="Narkisim"/>
          <w:rtl/>
        </w:rPr>
        <w:footnoteReference w:id="4316"/>
      </w:r>
      <w:r w:rsidRPr="00E14121">
        <w:rPr>
          <w:rFonts w:ascii="Narkisim" w:hAnsi="Narkisim"/>
          <w:rtl/>
        </w:rPr>
        <w:t>.</w:t>
      </w:r>
    </w:p>
    <w:p w14:paraId="497BA298" w14:textId="77777777" w:rsidR="00F64AED" w:rsidRPr="00E14121" w:rsidRDefault="00F64AED" w:rsidP="00F64AED">
      <w:pPr>
        <w:bidi/>
        <w:rPr>
          <w:rFonts w:ascii="Narkisim" w:hAnsi="Narkisim" w:cs="Narkisim"/>
        </w:rPr>
      </w:pPr>
      <w:r w:rsidRPr="00E14121">
        <w:rPr>
          <w:rFonts w:ascii="Narkisim" w:hAnsi="Narkisim" w:cs="Narkisim"/>
          <w:u w:val="single"/>
          <w:rtl/>
        </w:rPr>
        <w:t>מותר בערלי ישראל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פי' דטעם המשנה דבלשון התורה ערלה תלי בערלות הלב. אבל </w:t>
      </w:r>
      <w:r w:rsidRPr="00E14121">
        <w:rPr>
          <w:rFonts w:ascii="Narkisim" w:hAnsi="Narkisim" w:cs="Narkisim"/>
          <w:b/>
          <w:bCs/>
          <w:rtl/>
        </w:rPr>
        <w:t>רש"י</w:t>
      </w:r>
      <w:r w:rsidRPr="00E14121">
        <w:rPr>
          <w:rFonts w:ascii="Narkisim" w:hAnsi="Narkisim" w:cs="Narkisim"/>
          <w:rtl/>
        </w:rPr>
        <w:t xml:space="preserve"> פי' דבלשון בני אדם לא נקראו ערלים [דהא בדיני התורה הוה ערל</w:t>
      </w:r>
      <w:r w:rsidRPr="00E14121">
        <w:rPr>
          <w:rStyle w:val="ac"/>
          <w:rFonts w:ascii="Narkisim" w:hAnsi="Narkisim" w:cs="Narkisim"/>
          <w:rtl/>
        </w:rPr>
        <w:footnoteReference w:id="4317"/>
      </w:r>
      <w:r w:rsidRPr="00E14121">
        <w:rPr>
          <w:rFonts w:ascii="Narkisim" w:hAnsi="Narkisim" w:cs="Narkisim"/>
          <w:rtl/>
        </w:rPr>
        <w:t>]. ומשמע דאף קו' הגמ' דעכו"ם מהול נקרא ערל בלשון בני אדם. וה</w:t>
      </w:r>
      <w:r w:rsidRPr="00E14121">
        <w:rPr>
          <w:rFonts w:ascii="Narkisim" w:hAnsi="Narkisim" w:cs="Narkisim"/>
          <w:b/>
          <w:bCs/>
          <w:rtl/>
        </w:rPr>
        <w:t>רמב"ן</w:t>
      </w:r>
      <w:r w:rsidRPr="00E14121">
        <w:rPr>
          <w:rFonts w:ascii="Narkisim" w:hAnsi="Narkisim" w:cs="Narkisim"/>
          <w:rtl/>
        </w:rPr>
        <w:t xml:space="preserve"> תמה דנימא דלענין דיני התורה עכו"ם נחשב מהול, והיאך הק' מלשון בני אדם. ותי' דקו' הגמ' דבקרא (ירמיה ט כה, הו' בסיפא דהמשנה) כתיב 'כי כל הגוים ערלים'</w:t>
      </w:r>
      <w:r w:rsidRPr="00E14121">
        <w:rPr>
          <w:rStyle w:val="ac"/>
          <w:rFonts w:ascii="Narkisim" w:hAnsi="Narkisim" w:cs="Narkisim"/>
          <w:rtl/>
        </w:rPr>
        <w:footnoteReference w:id="4318"/>
      </w:r>
      <w:r w:rsidRPr="00E14121">
        <w:rPr>
          <w:rFonts w:ascii="Narkisim" w:hAnsi="Narkisim" w:cs="Narkisim"/>
          <w:rtl/>
        </w:rPr>
        <w:t>.</w:t>
      </w:r>
    </w:p>
    <w:p w14:paraId="27198F71"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גר"ח</w:t>
      </w:r>
      <w:r w:rsidRPr="00E14121">
        <w:rPr>
          <w:rFonts w:ascii="Narkisim" w:hAnsi="Narkisim" w:cs="Narkisim"/>
          <w:rtl/>
        </w:rPr>
        <w:t xml:space="preserve"> (סטנסל פה פו לפסחים צו.) כתב דנתחדש דעצם ה'גויות' הוה מציאות של ערלות. ועפ"ז ביאר דברי ה</w:t>
      </w:r>
      <w:r w:rsidRPr="00E14121">
        <w:rPr>
          <w:rFonts w:ascii="Narkisim" w:hAnsi="Narkisim" w:cs="Narkisim"/>
          <w:b/>
          <w:bCs/>
          <w:rtl/>
        </w:rPr>
        <w:t>רמב"ם</w:t>
      </w:r>
      <w:r w:rsidRPr="00E14121">
        <w:rPr>
          <w:rFonts w:ascii="Narkisim" w:hAnsi="Narkisim" w:cs="Narkisim"/>
          <w:rtl/>
        </w:rPr>
        <w:t xml:space="preserve"> (ק"פ ה ה) דשפחה שלא טבלה נחשב 'ערל' לעכב בפסח לבעליה.</w:t>
      </w:r>
    </w:p>
    <w:p w14:paraId="1AA09CF2" w14:textId="77777777" w:rsidR="00F64AED" w:rsidRPr="00E14121" w:rsidRDefault="00F64AED" w:rsidP="00F64AED">
      <w:pPr>
        <w:pStyle w:val="aa"/>
        <w:bidi/>
        <w:rPr>
          <w:rFonts w:ascii="Narkisim" w:hAnsi="Narkisim"/>
        </w:rPr>
      </w:pPr>
      <w:r w:rsidRPr="00E14121">
        <w:rPr>
          <w:rFonts w:ascii="Narkisim" w:hAnsi="Narkisim"/>
          <w:u w:val="single"/>
          <w:rtl/>
        </w:rPr>
        <w:t>שם. מותר בערלי ישראל</w:t>
      </w:r>
      <w:r w:rsidRPr="00E14121">
        <w:rPr>
          <w:rFonts w:ascii="Narkisim" w:hAnsi="Narkisim"/>
          <w:rtl/>
        </w:rPr>
        <w:t>. בפשוטו משמע בכל ערלים. וכ"כ ה</w:t>
      </w:r>
      <w:r w:rsidRPr="00E14121">
        <w:rPr>
          <w:rFonts w:ascii="Narkisim" w:hAnsi="Narkisim"/>
          <w:b/>
          <w:bCs/>
          <w:rtl/>
        </w:rPr>
        <w:t>מאירי</w:t>
      </w:r>
      <w:r w:rsidRPr="00E14121">
        <w:rPr>
          <w:rFonts w:ascii="Narkisim" w:hAnsi="Narkisim"/>
          <w:rtl/>
        </w:rPr>
        <w:t xml:space="preserve"> (נדרים לא:). אבל ה</w:t>
      </w:r>
      <w:r w:rsidRPr="00E14121">
        <w:rPr>
          <w:rFonts w:ascii="Narkisim" w:hAnsi="Narkisim"/>
          <w:b/>
          <w:bCs/>
          <w:rtl/>
        </w:rPr>
        <w:t xml:space="preserve">שיטמ"ק </w:t>
      </w:r>
      <w:r w:rsidRPr="00E14121">
        <w:rPr>
          <w:rFonts w:ascii="Narkisim" w:hAnsi="Narkisim"/>
          <w:rtl/>
        </w:rPr>
        <w:t xml:space="preserve">(נדרים לא: בשם הרא"ם, וע' ב"י יו"ד ריז מא ורע"א שם) כת' דדוקא מתו אחיו מחמת מילה, דהוה מולי לב. אבל מי שמניח מלמול מחמת רשעות הוה בכלל ערל.  </w:t>
      </w:r>
    </w:p>
    <w:p w14:paraId="1EB1C0EA" w14:textId="77777777" w:rsidR="00F64AED" w:rsidRPr="00E14121" w:rsidRDefault="00F64AED" w:rsidP="00F64AED">
      <w:pPr>
        <w:bidi/>
        <w:rPr>
          <w:rFonts w:ascii="Narkisim" w:hAnsi="Narkisim" w:cs="Narkisim"/>
        </w:rPr>
      </w:pPr>
      <w:r w:rsidRPr="00E14121">
        <w:rPr>
          <w:rFonts w:ascii="Narkisim" w:hAnsi="Narkisim" w:cs="Narkisim"/>
          <w:u w:val="single"/>
          <w:rtl/>
        </w:rPr>
        <w:t>תוד"ה והני.</w:t>
      </w:r>
      <w:r w:rsidRPr="00E14121">
        <w:rPr>
          <w:rFonts w:ascii="Narkisim" w:hAnsi="Narkisim" w:cs="Narkisim"/>
          <w:rtl/>
        </w:rPr>
        <w:t xml:space="preserve"> ויש מקומות שהתנא לומד לישנא דנדרים מלישנא דקרא וכו', היכא שאין הלשון ידוע מייתי שפיר ראיה. וצ"ב כיון דנדרים הלכו אחר לשון בנ"א, היאך ילפי' מלישנא דקרא כלל.</w:t>
      </w:r>
      <w:r w:rsidRPr="00E14121">
        <w:rPr>
          <w:rFonts w:ascii="Narkisim" w:hAnsi="Narkisim" w:cs="Narkisim"/>
          <w:sz w:val="20"/>
          <w:szCs w:val="20"/>
          <w:rtl/>
        </w:rPr>
        <w:t xml:space="preserve"> [דלשון בני אדם הוה הסכמת האומות, ובמה שלא הסכימו אינו לשון כלל. וצ"ל דאף בני אדם דעתם ע"פ לשון הקרא, כשאין לשון להיפך. א"נ בגדרי 'לשון' עיקר הלשון כלשון הקודש, כל זמן שאין מנהג ידוע להיפך].</w:t>
      </w:r>
    </w:p>
    <w:p w14:paraId="2442920C" w14:textId="77777777" w:rsidR="00F64AED" w:rsidRPr="00E14121" w:rsidRDefault="00F64AED" w:rsidP="00F64AED">
      <w:pPr>
        <w:bidi/>
        <w:rPr>
          <w:rFonts w:ascii="Narkisim" w:hAnsi="Narkisim" w:cs="Narkisim"/>
        </w:rPr>
      </w:pPr>
      <w:r w:rsidRPr="00E14121">
        <w:rPr>
          <w:rFonts w:ascii="Narkisim" w:hAnsi="Narkisim" w:cs="Narkisim"/>
          <w:u w:val="single"/>
          <w:rtl/>
        </w:rPr>
        <w:t>אלא לאתויי גר שמל ולא טבל.</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(לעיל מו: ד"ה כי פליגי) כת' דילפי' מהכא דלא הוה גר עד שימול ויטבול. אבל ה</w:t>
      </w:r>
      <w:r w:rsidRPr="00E14121">
        <w:rPr>
          <w:rFonts w:ascii="Narkisim" w:hAnsi="Narkisim" w:cs="Narkisim"/>
          <w:b/>
          <w:bCs/>
          <w:rtl/>
        </w:rPr>
        <w:t>ריטב"א</w:t>
      </w:r>
      <w:r w:rsidRPr="00E14121">
        <w:rPr>
          <w:rFonts w:ascii="Narkisim" w:hAnsi="Narkisim" w:cs="Narkisim"/>
          <w:rtl/>
        </w:rPr>
        <w:t xml:space="preserve"> כת' דמילתו מילה כיון שהיתה לשם יהדות, ואפי' הכי פסלו דעדיין הוא גוי</w:t>
      </w:r>
      <w:r w:rsidRPr="00E14121">
        <w:rPr>
          <w:rStyle w:val="ac"/>
          <w:rFonts w:ascii="Narkisim" w:hAnsi="Narkisim" w:cs="Narkisim"/>
          <w:rtl/>
        </w:rPr>
        <w:footnoteReference w:id="4319"/>
      </w:r>
      <w:r w:rsidRPr="00E14121">
        <w:rPr>
          <w:rFonts w:ascii="Narkisim" w:hAnsi="Narkisim" w:cs="Narkisim"/>
          <w:rtl/>
        </w:rPr>
        <w:t>. וה</w:t>
      </w:r>
      <w:r w:rsidRPr="00E14121">
        <w:rPr>
          <w:rFonts w:ascii="Narkisim" w:hAnsi="Narkisim" w:cs="Narkisim"/>
          <w:b/>
          <w:bCs/>
          <w:rtl/>
        </w:rPr>
        <w:t>רשב"א</w:t>
      </w:r>
      <w:r w:rsidRPr="00E14121">
        <w:rPr>
          <w:rFonts w:ascii="Narkisim" w:hAnsi="Narkisim" w:cs="Narkisim"/>
          <w:rtl/>
        </w:rPr>
        <w:t xml:space="preserve"> הוסיף דכיון דמילתו לשם יהדות, אע"פ שלא נגמר גירותו נכנס קצת בדת יהודית. וה</w:t>
      </w:r>
      <w:r w:rsidRPr="00E14121">
        <w:rPr>
          <w:rFonts w:ascii="Narkisim" w:hAnsi="Narkisim" w:cs="Narkisim"/>
          <w:b/>
          <w:bCs/>
          <w:rtl/>
        </w:rPr>
        <w:t>אחרונים</w:t>
      </w:r>
      <w:r w:rsidRPr="00E14121">
        <w:rPr>
          <w:rFonts w:ascii="Narkisim" w:hAnsi="Narkisim" w:cs="Narkisim"/>
          <w:rtl/>
        </w:rPr>
        <w:t xml:space="preserve"> למדו מזה דנחשב שהתחיל בו הדין גירות. [אלא דיש עליו עדיין טומאת עכו"ם]. [וע' מש"כ בזה לעיל מו:].</w:t>
      </w:r>
    </w:p>
    <w:p w14:paraId="28E9A350" w14:textId="77777777" w:rsidR="00F64AED" w:rsidRPr="00E14121" w:rsidRDefault="00F64AED" w:rsidP="00F64AED">
      <w:pPr>
        <w:bidi/>
        <w:rPr>
          <w:rFonts w:ascii="Narkisim" w:hAnsi="Narkisim" w:cs="Narkisim"/>
        </w:rPr>
      </w:pPr>
      <w:r w:rsidRPr="00E14121">
        <w:rPr>
          <w:rFonts w:ascii="Narkisim" w:hAnsi="Narkisim" w:cs="Narkisim"/>
          <w:u w:val="single"/>
          <w:rtl/>
        </w:rPr>
        <w:t>וקטן שנולד כשהוא מהול, וקסבר צריך להטיף ממנו דם ברית</w:t>
      </w:r>
      <w:r w:rsidRPr="00E14121">
        <w:rPr>
          <w:rFonts w:ascii="Narkisim" w:hAnsi="Narkisim" w:cs="Narkisim"/>
          <w:rtl/>
        </w:rPr>
        <w:t>. ה</w:t>
      </w:r>
      <w:r w:rsidRPr="00E14121">
        <w:rPr>
          <w:rFonts w:ascii="Narkisim" w:hAnsi="Narkisim" w:cs="Narkisim"/>
          <w:b/>
          <w:bCs/>
          <w:rtl/>
        </w:rPr>
        <w:t>מלחמות</w:t>
      </w:r>
      <w:r w:rsidRPr="00E14121">
        <w:rPr>
          <w:rFonts w:ascii="Narkisim" w:hAnsi="Narkisim" w:cs="Narkisim"/>
          <w:rtl/>
        </w:rPr>
        <w:t xml:space="preserve"> </w:t>
      </w:r>
      <w:r w:rsidRPr="00E14121">
        <w:rPr>
          <w:rFonts w:ascii="Narkisim" w:hAnsi="Narkisim" w:cs="Narkisim"/>
          <w:sz w:val="20"/>
          <w:szCs w:val="20"/>
          <w:rtl/>
        </w:rPr>
        <w:t>(שבת קלה נג: בדה”ר)</w:t>
      </w:r>
      <w:r w:rsidRPr="00E14121">
        <w:rPr>
          <w:rFonts w:ascii="Narkisim" w:hAnsi="Narkisim" w:cs="Narkisim"/>
          <w:rtl/>
        </w:rPr>
        <w:t xml:space="preserve"> הביא מכאן דספק ערלה כבושה הוה דאורייתא, דמרבינן הכא מקרא</w:t>
      </w:r>
      <w:r w:rsidRPr="00E14121">
        <w:rPr>
          <w:rStyle w:val="ac"/>
          <w:rFonts w:ascii="Narkisim" w:hAnsi="Narkisim" w:cs="Narkisim"/>
          <w:rtl/>
        </w:rPr>
        <w:footnoteReference w:id="4320"/>
      </w:r>
      <w:r w:rsidRPr="00E14121">
        <w:rPr>
          <w:rFonts w:ascii="Narkisim" w:hAnsi="Narkisim" w:cs="Narkisim"/>
          <w:rtl/>
        </w:rPr>
        <w:t>. ודחה דלישנא דגמ' דתפיס תרי משום חד, ועיקר הריבוי משום גר שמל ולא טבל.</w:t>
      </w:r>
    </w:p>
    <w:p w14:paraId="262AFC72"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לח"מ</w:t>
      </w:r>
      <w:r w:rsidRPr="00E14121">
        <w:rPr>
          <w:rFonts w:ascii="Narkisim" w:hAnsi="Narkisim" w:cs="Narkisim"/>
          <w:rtl/>
        </w:rPr>
        <w:t xml:space="preserve"> (ק"פ ט ז) הקשה דהרמב"ם פסק דגר שמל ולא טבל אינו גר. ופסק דצריך להטיף </w:t>
      </w:r>
      <w:r w:rsidRPr="00E14121">
        <w:rPr>
          <w:rFonts w:ascii="Narkisim" w:hAnsi="Narkisim" w:cs="Narkisim"/>
          <w:rtl/>
        </w:rPr>
        <w:lastRenderedPageBreak/>
        <w:t>דם ברית. א”כ לא אייתר תושב ושכיר. אך ה</w:t>
      </w:r>
      <w:r w:rsidRPr="00E14121">
        <w:rPr>
          <w:rFonts w:ascii="Narkisim" w:hAnsi="Narkisim" w:cs="Narkisim"/>
          <w:b/>
          <w:bCs/>
          <w:rtl/>
        </w:rPr>
        <w:t>מלחמות</w:t>
      </w:r>
      <w:r w:rsidRPr="00E14121">
        <w:rPr>
          <w:rFonts w:ascii="Narkisim" w:hAnsi="Narkisim" w:cs="Narkisim"/>
          <w:rtl/>
        </w:rPr>
        <w:t xml:space="preserve"> (שם, והו' ברע”א שם) כת' דלדידן לא קי"ל כר"ע, ומ"מ קי"ל דגר שמל ולא טבל אינו גר, דגמרינן מאבות (כדלעיל מו:).</w:t>
      </w:r>
    </w:p>
    <w:p w14:paraId="5A2366B9" w14:textId="77777777" w:rsidR="00F64AED" w:rsidRPr="00E14121" w:rsidRDefault="00F64AED" w:rsidP="00F64AED">
      <w:pPr>
        <w:pStyle w:val="2"/>
        <w:bidi/>
        <w:rPr>
          <w:rFonts w:ascii="Narkisim" w:hAnsi="Narkisim"/>
        </w:rPr>
      </w:pPr>
      <w:r w:rsidRPr="00E14121">
        <w:rPr>
          <w:rFonts w:ascii="Narkisim" w:hAnsi="Narkisim"/>
          <w:rtl/>
        </w:rPr>
        <w:t>ערלות שלא בזמנה</w:t>
      </w:r>
    </w:p>
    <w:p w14:paraId="1B28A1B9" w14:textId="77777777" w:rsidR="00F64AED" w:rsidRPr="00E14121" w:rsidRDefault="00F64AED" w:rsidP="00F64AED">
      <w:pPr>
        <w:bidi/>
        <w:rPr>
          <w:rFonts w:ascii="Narkisim" w:hAnsi="Narkisim" w:cs="Narkisim"/>
        </w:rPr>
      </w:pPr>
      <w:r w:rsidRPr="00E14121">
        <w:rPr>
          <w:rFonts w:ascii="Narkisim" w:hAnsi="Narkisim" w:cs="Narkisim"/>
          <w:u w:val="single"/>
          <w:rtl/>
        </w:rPr>
        <w:t>קטן ערל מהו לסוכו וכו' ערלות שלא בזמנו מעכבת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תוך ח'. ולדעת </w:t>
      </w:r>
      <w:r w:rsidRPr="00E14121">
        <w:rPr>
          <w:rFonts w:ascii="Narkisim" w:hAnsi="Narkisim" w:cs="Narkisim"/>
          <w:b/>
          <w:bCs/>
          <w:rtl/>
        </w:rPr>
        <w:t>רש"י</w:t>
      </w:r>
      <w:r w:rsidRPr="00E14121">
        <w:rPr>
          <w:rFonts w:ascii="Narkisim" w:hAnsi="Narkisim" w:cs="Narkisim"/>
          <w:rtl/>
        </w:rPr>
        <w:t xml:space="preserve"> ו</w:t>
      </w:r>
      <w:r w:rsidRPr="00E14121">
        <w:rPr>
          <w:rFonts w:ascii="Narkisim" w:hAnsi="Narkisim" w:cs="Narkisim"/>
          <w:b/>
          <w:bCs/>
          <w:rtl/>
        </w:rPr>
        <w:t>תוס'</w:t>
      </w:r>
      <w:r w:rsidRPr="00E14121">
        <w:rPr>
          <w:rFonts w:ascii="Narkisim" w:hAnsi="Narkisim" w:cs="Narkisim"/>
          <w:rtl/>
        </w:rPr>
        <w:t xml:space="preserve"> (ע. ושא"ר) איירי דוקא תוך זמנו, אבל שאר אופנים של אונס [כגון מתו אחיו מחמת מילה] אינו אוכל בתרומה. אבל דעת </w:t>
      </w:r>
      <w:r w:rsidRPr="00E14121">
        <w:rPr>
          <w:rFonts w:ascii="Narkisim" w:hAnsi="Narkisim" w:cs="Narkisim"/>
          <w:b/>
          <w:bCs/>
          <w:rtl/>
        </w:rPr>
        <w:t>ר"ת</w:t>
      </w:r>
      <w:r w:rsidRPr="00E14121">
        <w:rPr>
          <w:rFonts w:ascii="Narkisim" w:hAnsi="Narkisim" w:cs="Narkisim"/>
          <w:rtl/>
        </w:rPr>
        <w:t xml:space="preserve"> (בראשונים ע.) ספק הגמ' כל היכא דלא רמי עליו למול, ואף מחמת אונס וכגון מתו אחיו מחמת מילה.</w:t>
      </w:r>
    </w:p>
    <w:p w14:paraId="00D0F9DF" w14:textId="77777777" w:rsidR="00F64AED" w:rsidRPr="00E14121" w:rsidRDefault="00F64AED" w:rsidP="00F64AED">
      <w:pPr>
        <w:bidi/>
        <w:rPr>
          <w:rFonts w:ascii="Narkisim" w:hAnsi="Narkisim" w:cs="Narkisim"/>
        </w:rPr>
      </w:pPr>
      <w:r w:rsidRPr="00E14121">
        <w:rPr>
          <w:rFonts w:ascii="Narkisim" w:hAnsi="Narkisim" w:cs="Narkisim"/>
          <w:rtl/>
        </w:rPr>
        <w:t>ולדעת ר"ת מבואר דהטעם דערל אסור בתרומה מחמת הצווי למול. ואילו לדעת שאר ראשונים י"ל דהנידון האם תוך ח' חל שם 'ערל'</w:t>
      </w:r>
      <w:r w:rsidRPr="00E14121">
        <w:rPr>
          <w:rStyle w:val="ac"/>
          <w:rFonts w:ascii="Narkisim" w:hAnsi="Narkisim" w:cs="Narkisim"/>
          <w:rtl/>
        </w:rPr>
        <w:footnoteReference w:id="4321"/>
      </w:r>
      <w:r w:rsidRPr="00E14121">
        <w:rPr>
          <w:rFonts w:ascii="Narkisim" w:hAnsi="Narkisim" w:cs="Narkisim"/>
          <w:rtl/>
        </w:rPr>
        <w:t>. וה</w:t>
      </w:r>
      <w:r w:rsidRPr="00E14121">
        <w:rPr>
          <w:rFonts w:ascii="Narkisim" w:hAnsi="Narkisim" w:cs="Narkisim"/>
          <w:b/>
          <w:bCs/>
          <w:rtl/>
        </w:rPr>
        <w:t xml:space="preserve">רמב"ם </w:t>
      </w:r>
      <w:r w:rsidRPr="00E14121">
        <w:rPr>
          <w:rFonts w:ascii="Narkisim" w:hAnsi="Narkisim" w:cs="Narkisim"/>
          <w:rtl/>
        </w:rPr>
        <w:t>(תרומות יא ז) כת' שהנולד כל ז' אינו חשוב ערל. משמע דנידון הספק משום 'שם ערל'</w:t>
      </w:r>
      <w:r w:rsidRPr="00E14121">
        <w:rPr>
          <w:rStyle w:val="ac"/>
          <w:rFonts w:ascii="Narkisim" w:hAnsi="Narkisim" w:cs="Narkisim"/>
          <w:rtl/>
        </w:rPr>
        <w:footnoteReference w:id="4322"/>
      </w:r>
      <w:r w:rsidRPr="00E14121">
        <w:rPr>
          <w:rFonts w:ascii="Narkisim" w:hAnsi="Narkisim" w:cs="Narkisim"/>
          <w:rtl/>
        </w:rPr>
        <w:t>, דכיון שעדיין לא הגיע הזמן שראוי למילה לא נחשב 'ערל'</w:t>
      </w:r>
      <w:r w:rsidRPr="00E14121">
        <w:rPr>
          <w:rStyle w:val="ac"/>
          <w:rFonts w:ascii="Narkisim" w:hAnsi="Narkisim" w:cs="Narkisim"/>
          <w:rtl/>
        </w:rPr>
        <w:footnoteReference w:id="4323"/>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(ע.) ביאר דעדיין לא הגיע ל'זיקת' מילה. [ובפשוטו האיסור ערל בתרומה הוה מחמת השם ערל].</w:t>
      </w:r>
    </w:p>
    <w:p w14:paraId="6C0E944F"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xml:space="preserve"> לדעת רש"י איירי תוך ח'. ובפשוטו מבואר ב</w:t>
      </w:r>
      <w:r w:rsidRPr="00E14121">
        <w:rPr>
          <w:rFonts w:ascii="Narkisim" w:hAnsi="Narkisim"/>
          <w:b/>
          <w:bCs/>
          <w:rtl/>
        </w:rPr>
        <w:t>רמ"א</w:t>
      </w:r>
      <w:r w:rsidRPr="00E14121">
        <w:rPr>
          <w:rFonts w:ascii="Narkisim" w:hAnsi="Narkisim"/>
          <w:rtl/>
        </w:rPr>
        <w:t xml:space="preserve"> (יו"ד רסב א, ע"פ הרא"ש) דהמל תוך ח' יצא בדיעבד, ואי"צ להטיף דם ברית. [וה</w:t>
      </w:r>
      <w:r w:rsidRPr="00E14121">
        <w:rPr>
          <w:rFonts w:ascii="Narkisim" w:hAnsi="Narkisim"/>
          <w:b/>
          <w:bCs/>
          <w:rtl/>
        </w:rPr>
        <w:t>ש"ך</w:t>
      </w:r>
      <w:r w:rsidRPr="00E14121">
        <w:rPr>
          <w:rFonts w:ascii="Narkisim" w:hAnsi="Narkisim"/>
          <w:rtl/>
        </w:rPr>
        <w:t xml:space="preserve"> (שם ב) והפוסקים תמהו בזה]. ויש שדנו דע"כ מבואר דיש שם ערלה אף תוך ח'</w:t>
      </w:r>
      <w:r w:rsidRPr="00E14121">
        <w:rPr>
          <w:rStyle w:val="ac"/>
          <w:rFonts w:ascii="Narkisim" w:hAnsi="Narkisim"/>
          <w:rtl/>
        </w:rPr>
        <w:footnoteReference w:id="4324"/>
      </w:r>
      <w:r w:rsidRPr="00E14121">
        <w:rPr>
          <w:rFonts w:ascii="Narkisim" w:hAnsi="Narkisim"/>
          <w:rtl/>
        </w:rPr>
        <w:t>. אבל ה</w:t>
      </w:r>
      <w:r w:rsidRPr="00E14121">
        <w:rPr>
          <w:rFonts w:ascii="Narkisim" w:hAnsi="Narkisim"/>
          <w:b/>
          <w:bCs/>
          <w:rtl/>
        </w:rPr>
        <w:t>שאג"א</w:t>
      </w:r>
      <w:r w:rsidRPr="00E14121">
        <w:rPr>
          <w:rFonts w:ascii="Narkisim" w:hAnsi="Narkisim"/>
          <w:rtl/>
        </w:rPr>
        <w:t xml:space="preserve"> (נב) כת' דאין צד שיצא במילה תוך זמנו, ומש"כ ה</w:t>
      </w:r>
      <w:r w:rsidRPr="00E14121">
        <w:rPr>
          <w:rFonts w:ascii="Narkisim" w:hAnsi="Narkisim"/>
          <w:b/>
          <w:bCs/>
          <w:rtl/>
        </w:rPr>
        <w:t>רא"ש</w:t>
      </w:r>
      <w:r w:rsidRPr="00E14121">
        <w:rPr>
          <w:rFonts w:ascii="Narkisim" w:hAnsi="Narkisim"/>
          <w:rtl/>
        </w:rPr>
        <w:t xml:space="preserve"> (הרמ"א) דיצא היינו שא"א לתקן, ולא מהני להטיף דם ברית.</w:t>
      </w:r>
    </w:p>
    <w:p w14:paraId="065C92AA"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w:t>
      </w:r>
      <w:r w:rsidRPr="00E14121">
        <w:rPr>
          <w:rFonts w:ascii="Narkisim" w:hAnsi="Narkisim" w:cs="Narkisim"/>
          <w:b/>
          <w:bCs/>
          <w:rtl/>
        </w:rPr>
        <w:t>ראשונים</w:t>
      </w:r>
      <w:r w:rsidRPr="00E14121">
        <w:rPr>
          <w:rFonts w:ascii="Narkisim" w:hAnsi="Narkisim" w:cs="Narkisim"/>
          <w:rtl/>
        </w:rPr>
        <w:t xml:space="preserve"> (תוס' ע. ושא"ר שם) נקטו דבעיין לא איפשיטא. אבל הביאו דדעת הירושלמי דערלות שלא בזמנו לא הויא ערלות</w:t>
      </w:r>
      <w:r w:rsidRPr="00E14121">
        <w:rPr>
          <w:rStyle w:val="ac"/>
          <w:rFonts w:ascii="Narkisim" w:hAnsi="Narkisim" w:cs="Narkisim"/>
          <w:rtl/>
        </w:rPr>
        <w:footnoteReference w:id="4325"/>
      </w:r>
      <w:r w:rsidRPr="00E14121">
        <w:rPr>
          <w:rFonts w:ascii="Narkisim" w:hAnsi="Narkisim" w:cs="Narkisim"/>
          <w:rtl/>
        </w:rPr>
        <w:t>. וה</w:t>
      </w:r>
      <w:r w:rsidRPr="00E14121">
        <w:rPr>
          <w:rFonts w:ascii="Narkisim" w:hAnsi="Narkisim" w:cs="Narkisim"/>
          <w:b/>
          <w:bCs/>
          <w:rtl/>
        </w:rPr>
        <w:t>רמב"ם</w:t>
      </w:r>
      <w:r w:rsidRPr="00E14121">
        <w:rPr>
          <w:rFonts w:ascii="Narkisim" w:hAnsi="Narkisim" w:cs="Narkisim"/>
          <w:rtl/>
        </w:rPr>
        <w:t xml:space="preserve"> (הנ"ל) פסק דאינו מעכב. וה</w:t>
      </w:r>
      <w:r w:rsidRPr="00E14121">
        <w:rPr>
          <w:rFonts w:ascii="Narkisim" w:hAnsi="Narkisim" w:cs="Narkisim"/>
          <w:b/>
          <w:bCs/>
          <w:rtl/>
        </w:rPr>
        <w:t>מהר”י קורקוס</w:t>
      </w:r>
      <w:r w:rsidRPr="00E14121">
        <w:rPr>
          <w:rFonts w:ascii="Narkisim" w:hAnsi="Narkisim" w:cs="Narkisim"/>
          <w:rtl/>
        </w:rPr>
        <w:t xml:space="preserve"> וה</w:t>
      </w:r>
      <w:r w:rsidRPr="00E14121">
        <w:rPr>
          <w:rFonts w:ascii="Narkisim" w:hAnsi="Narkisim" w:cs="Narkisim"/>
          <w:b/>
          <w:bCs/>
          <w:rtl/>
        </w:rPr>
        <w:t>כס”מ</w:t>
      </w:r>
      <w:r w:rsidRPr="00E14121">
        <w:rPr>
          <w:rFonts w:ascii="Narkisim" w:hAnsi="Narkisim" w:cs="Narkisim"/>
          <w:rtl/>
        </w:rPr>
        <w:t xml:space="preserve"> נקטו דבעיין איפשיטא בסוגיין. אבל </w:t>
      </w:r>
      <w:r w:rsidRPr="00E14121">
        <w:rPr>
          <w:rFonts w:ascii="Narkisim" w:hAnsi="Narkisim" w:cs="Narkisim"/>
          <w:b/>
          <w:bCs/>
          <w:rtl/>
        </w:rPr>
        <w:t>רע”א</w:t>
      </w:r>
      <w:r w:rsidRPr="00E14121">
        <w:rPr>
          <w:rFonts w:ascii="Narkisim" w:hAnsi="Narkisim" w:cs="Narkisim"/>
          <w:rtl/>
        </w:rPr>
        <w:t xml:space="preserve"> כת' דהרמב"ם ס"ל כיון דאיפשיטא בירושלמי, לא שבקינן פשיטות הירושלמי משום ספק הבבלי.</w:t>
      </w:r>
    </w:p>
    <w:p w14:paraId="28733B6E" w14:textId="77777777" w:rsidR="00F64AED" w:rsidRPr="00E14121" w:rsidRDefault="00F64AED" w:rsidP="00F64AED">
      <w:pPr>
        <w:bidi/>
        <w:rPr>
          <w:rFonts w:ascii="Narkisim" w:hAnsi="Narkisim" w:cs="Narkisim"/>
        </w:rPr>
      </w:pPr>
      <w:r w:rsidRPr="00E14121">
        <w:rPr>
          <w:rFonts w:ascii="Narkisim" w:hAnsi="Narkisim" w:cs="Narkisim"/>
          <w:u w:val="single"/>
          <w:rtl/>
        </w:rPr>
        <w:t>מהו לסוכו</w:t>
      </w:r>
      <w:r w:rsidRPr="00E14121">
        <w:rPr>
          <w:rStyle w:val="ac"/>
          <w:rFonts w:ascii="Narkisim" w:hAnsi="Narkisim" w:cs="Narkisim"/>
          <w:rtl/>
        </w:rPr>
        <w:footnoteReference w:id="4326"/>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דקי"ל דסיכה כשתיה דנפק"ל מ'ותבא כמים בקרבו וכשמן בעצמותיו'.</w:t>
      </w:r>
      <w:r w:rsidRPr="00E14121">
        <w:rPr>
          <w:rFonts w:ascii="Narkisim" w:hAnsi="Narkisim" w:cs="Narkisim"/>
          <w:sz w:val="20"/>
          <w:szCs w:val="20"/>
          <w:rtl/>
        </w:rPr>
        <w:t xml:space="preserve"> [ומשמע דס"ל דסיכה כשתייה דאורייתא, וכ"מ ב</w:t>
      </w:r>
      <w:r w:rsidRPr="00E14121">
        <w:rPr>
          <w:rFonts w:ascii="Narkisim" w:hAnsi="Narkisim" w:cs="Narkisim"/>
          <w:b/>
          <w:bCs/>
          <w:sz w:val="20"/>
          <w:szCs w:val="20"/>
          <w:rtl/>
        </w:rPr>
        <w:t>רש"</w:t>
      </w:r>
      <w:r w:rsidRPr="00E14121">
        <w:rPr>
          <w:rFonts w:ascii="Narkisim" w:hAnsi="Narkisim" w:cs="Narkisim"/>
          <w:sz w:val="20"/>
          <w:szCs w:val="20"/>
          <w:rtl/>
        </w:rPr>
        <w:t>י לקמן עד.</w:t>
      </w:r>
      <w:r w:rsidRPr="00E14121">
        <w:rPr>
          <w:rStyle w:val="ac"/>
          <w:rFonts w:ascii="Narkisim" w:hAnsi="Narkisim" w:cs="Narkisim"/>
          <w:sz w:val="20"/>
          <w:szCs w:val="20"/>
          <w:rtl/>
        </w:rPr>
        <w:footnoteReference w:id="4327"/>
      </w:r>
      <w:r w:rsidRPr="00E14121">
        <w:rPr>
          <w:rFonts w:ascii="Narkisim" w:hAnsi="Narkisim" w:cs="Narkisim"/>
          <w:sz w:val="20"/>
          <w:szCs w:val="20"/>
          <w:rtl/>
        </w:rPr>
        <w:t>]</w:t>
      </w:r>
      <w:r w:rsidRPr="00E14121">
        <w:rPr>
          <w:rFonts w:ascii="Narkisim" w:hAnsi="Narkisim" w:cs="Narkisim"/>
          <w:rtl/>
        </w:rPr>
        <w:t>. וה</w:t>
      </w:r>
      <w:r w:rsidRPr="00E14121">
        <w:rPr>
          <w:rFonts w:ascii="Narkisim" w:hAnsi="Narkisim" w:cs="Narkisim"/>
          <w:b/>
          <w:bCs/>
          <w:rtl/>
        </w:rPr>
        <w:t>ראשונים</w:t>
      </w:r>
      <w:r w:rsidRPr="00E14121">
        <w:rPr>
          <w:rFonts w:ascii="Narkisim" w:hAnsi="Narkisim" w:cs="Narkisim"/>
          <w:rtl/>
        </w:rPr>
        <w:t xml:space="preserve"> הקשו דבגמ' (שבת) מבואר דהוה אסמכתא בעלמא. וה</w:t>
      </w:r>
      <w:r w:rsidRPr="00E14121">
        <w:rPr>
          <w:rFonts w:ascii="Narkisim" w:hAnsi="Narkisim" w:cs="Narkisim"/>
          <w:b/>
          <w:bCs/>
          <w:rtl/>
        </w:rPr>
        <w:t>ריטב"א</w:t>
      </w:r>
      <w:r w:rsidRPr="00E14121">
        <w:rPr>
          <w:rFonts w:ascii="Narkisim" w:hAnsi="Narkisim" w:cs="Narkisim"/>
          <w:rtl/>
        </w:rPr>
        <w:t xml:space="preserve"> (כאן, וכן יומא שם) הביא דהוה דאורייתא דדרשי' (נדה לב.) 'וגם' לרבות את סך. אבל דעת </w:t>
      </w:r>
      <w:r w:rsidRPr="00E14121">
        <w:rPr>
          <w:rFonts w:ascii="Narkisim" w:hAnsi="Narkisim" w:cs="Narkisim"/>
          <w:b/>
          <w:bCs/>
          <w:rtl/>
        </w:rPr>
        <w:t>ר"ת</w:t>
      </w:r>
      <w:r w:rsidRPr="00E14121">
        <w:rPr>
          <w:rStyle w:val="ac"/>
          <w:rFonts w:ascii="Narkisim" w:hAnsi="Narkisim" w:cs="Narkisim"/>
          <w:rtl/>
        </w:rPr>
        <w:footnoteReference w:id="4328"/>
      </w:r>
      <w:r w:rsidRPr="00E14121">
        <w:rPr>
          <w:rFonts w:ascii="Narkisim" w:hAnsi="Narkisim" w:cs="Narkisim"/>
          <w:rtl/>
        </w:rPr>
        <w:t xml:space="preserve"> </w:t>
      </w:r>
      <w:r w:rsidRPr="00E14121">
        <w:rPr>
          <w:rFonts w:ascii="Narkisim" w:hAnsi="Narkisim" w:cs="Narkisim"/>
          <w:sz w:val="20"/>
          <w:szCs w:val="20"/>
          <w:rtl/>
        </w:rPr>
        <w:t>(בתוס' יומא עז. ונדה לב., וכ"ד הרמב”ן ורשב“א בנדה שם)</w:t>
      </w:r>
      <w:r w:rsidRPr="00E14121">
        <w:rPr>
          <w:rFonts w:ascii="Narkisim" w:hAnsi="Narkisim" w:cs="Narkisim"/>
          <w:rtl/>
        </w:rPr>
        <w:t xml:space="preserve"> דסיכה כשתייה אסור מדרבנן</w:t>
      </w:r>
      <w:r w:rsidRPr="00E14121">
        <w:rPr>
          <w:rStyle w:val="ac"/>
          <w:rFonts w:ascii="Narkisim" w:hAnsi="Narkisim" w:cs="Narkisim"/>
          <w:rtl/>
        </w:rPr>
        <w:footnoteReference w:id="4329"/>
      </w:r>
      <w:r w:rsidRPr="00E14121">
        <w:rPr>
          <w:rFonts w:ascii="Narkisim" w:hAnsi="Narkisim" w:cs="Narkisim"/>
          <w:rtl/>
        </w:rPr>
        <w:t>. (וכ”כ ה</w:t>
      </w:r>
      <w:r w:rsidRPr="00E14121">
        <w:rPr>
          <w:rFonts w:ascii="Narkisim" w:hAnsi="Narkisim" w:cs="Narkisim"/>
          <w:b/>
          <w:bCs/>
          <w:rtl/>
        </w:rPr>
        <w:t>משנ”ל</w:t>
      </w:r>
      <w:r w:rsidRPr="00E14121">
        <w:rPr>
          <w:rFonts w:ascii="Narkisim" w:hAnsi="Narkisim" w:cs="Narkisim"/>
          <w:rtl/>
        </w:rPr>
        <w:t xml:space="preserve"> סוף מאכ”א דכ”ד רוב ראשונים).</w:t>
      </w:r>
    </w:p>
    <w:p w14:paraId="67BBC339" w14:textId="77777777" w:rsidR="00F64AED" w:rsidRPr="00E14121" w:rsidRDefault="00F64AED" w:rsidP="00F64AED">
      <w:pPr>
        <w:pStyle w:val="a8"/>
        <w:bidi/>
        <w:rPr>
          <w:rFonts w:ascii="Narkisim" w:hAnsi="Narkisim"/>
        </w:rPr>
      </w:pPr>
      <w:r w:rsidRPr="00E14121">
        <w:rPr>
          <w:rFonts w:ascii="Narkisim" w:hAnsi="Narkisim"/>
          <w:rtl/>
        </w:rPr>
        <w:t>ופשטות לשון ה</w:t>
      </w:r>
      <w:r w:rsidRPr="00E14121">
        <w:rPr>
          <w:rFonts w:ascii="Narkisim" w:hAnsi="Narkisim"/>
          <w:b/>
          <w:bCs/>
          <w:rtl/>
        </w:rPr>
        <w:t>רמב"ם</w:t>
      </w:r>
      <w:r w:rsidRPr="00E14121">
        <w:rPr>
          <w:rFonts w:ascii="Narkisim" w:hAnsi="Narkisim"/>
          <w:rtl/>
        </w:rPr>
        <w:t xml:space="preserve"> (תרומות י ב) משמע דהוה דאורייתא. [וה</w:t>
      </w:r>
      <w:r w:rsidRPr="00E14121">
        <w:rPr>
          <w:rFonts w:ascii="Narkisim" w:hAnsi="Narkisim"/>
          <w:b/>
          <w:bCs/>
          <w:rtl/>
        </w:rPr>
        <w:t>אחרונים</w:t>
      </w:r>
      <w:r w:rsidRPr="00E14121">
        <w:rPr>
          <w:rFonts w:ascii="Narkisim" w:hAnsi="Narkisim"/>
          <w:rtl/>
        </w:rPr>
        <w:t xml:space="preserve"> האריכו בסתירת דברי הרמב”ם בזה, וע”ע דברי יחזקאל טו].</w:t>
      </w:r>
    </w:p>
    <w:p w14:paraId="293D60DD"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(בסה"ס מכתב עמ' עח:) ביאר דאף למ”ד סיכה כשתייה היינו דנחשב השתמשות בחפצא ע"י שתייה, ובתרומה אסור דניתן לאכילה וכו', בתורת תרומה. אבל לא נחשב מעשה אכילה של הגברא [מדאורייתא].</w:t>
      </w:r>
    </w:p>
    <w:p w14:paraId="32B9BB21" w14:textId="77777777" w:rsidR="00F64AED" w:rsidRPr="00E14121" w:rsidRDefault="00F64AED" w:rsidP="00F64AED">
      <w:pPr>
        <w:bidi/>
        <w:rPr>
          <w:rFonts w:ascii="Narkisim" w:hAnsi="Narkisim" w:cs="Narkisim"/>
        </w:rPr>
      </w:pPr>
      <w:r w:rsidRPr="00E14121">
        <w:rPr>
          <w:rFonts w:ascii="Narkisim" w:hAnsi="Narkisim" w:cs="Narkisim"/>
          <w:u w:val="single"/>
          <w:rtl/>
        </w:rPr>
        <w:t>שם. קטן ערל מהו לסוכו</w:t>
      </w:r>
      <w:r w:rsidRPr="00E14121">
        <w:rPr>
          <w:rFonts w:ascii="Narkisim" w:hAnsi="Narkisim" w:cs="Narkisim"/>
          <w:rtl/>
        </w:rPr>
        <w:t>. וה</w:t>
      </w:r>
      <w:r w:rsidRPr="00E14121">
        <w:rPr>
          <w:rFonts w:ascii="Narkisim" w:hAnsi="Narkisim" w:cs="Narkisim"/>
          <w:b/>
          <w:bCs/>
          <w:rtl/>
        </w:rPr>
        <w:t>משנ"ל</w:t>
      </w:r>
      <w:r w:rsidRPr="00E14121">
        <w:rPr>
          <w:rFonts w:ascii="Narkisim" w:hAnsi="Narkisim" w:cs="Narkisim"/>
          <w:rtl/>
        </w:rPr>
        <w:t xml:space="preserve"> (סוף מאכ"א) הק' דדעת ה</w:t>
      </w:r>
      <w:r w:rsidRPr="00E14121">
        <w:rPr>
          <w:rFonts w:ascii="Narkisim" w:hAnsi="Narkisim" w:cs="Narkisim"/>
          <w:b/>
          <w:bCs/>
          <w:rtl/>
        </w:rPr>
        <w:t>רשב"א</w:t>
      </w:r>
      <w:r w:rsidRPr="00E14121">
        <w:rPr>
          <w:rFonts w:ascii="Narkisim" w:hAnsi="Narkisim" w:cs="Narkisim"/>
          <w:rtl/>
        </w:rPr>
        <w:t xml:space="preserve"> (לקמן קיד.) שמותר להאכיל לקטן איסור דרבנן. והק' דלדעת רוב ה</w:t>
      </w:r>
      <w:r w:rsidRPr="00E14121">
        <w:rPr>
          <w:rFonts w:ascii="Narkisim" w:hAnsi="Narkisim" w:cs="Narkisim"/>
          <w:b/>
          <w:bCs/>
          <w:rtl/>
        </w:rPr>
        <w:t>ראשונים</w:t>
      </w:r>
      <w:r w:rsidRPr="00E14121">
        <w:rPr>
          <w:rFonts w:ascii="Narkisim" w:hAnsi="Narkisim" w:cs="Narkisim"/>
          <w:rtl/>
        </w:rPr>
        <w:t xml:space="preserve"> סיכה כשתיה דרבנן</w:t>
      </w:r>
      <w:r w:rsidRPr="00E14121">
        <w:rPr>
          <w:rStyle w:val="ac"/>
          <w:rFonts w:ascii="Narkisim" w:hAnsi="Narkisim" w:cs="Narkisim"/>
          <w:rtl/>
        </w:rPr>
        <w:footnoteReference w:id="4330"/>
      </w:r>
      <w:r w:rsidRPr="00E14121">
        <w:rPr>
          <w:rFonts w:ascii="Narkisim" w:hAnsi="Narkisim" w:cs="Narkisim"/>
          <w:rtl/>
        </w:rPr>
        <w:t xml:space="preserve">, א"כ יהא </w:t>
      </w:r>
      <w:r w:rsidRPr="00E14121">
        <w:rPr>
          <w:rFonts w:ascii="Narkisim" w:hAnsi="Narkisim" w:cs="Narkisim"/>
          <w:rtl/>
        </w:rPr>
        <w:lastRenderedPageBreak/>
        <w:t>מותר לסוך קטן ערל</w:t>
      </w:r>
      <w:r w:rsidRPr="00E14121">
        <w:rPr>
          <w:rStyle w:val="ac"/>
          <w:rFonts w:ascii="Narkisim" w:hAnsi="Narkisim" w:cs="Narkisim"/>
          <w:rtl/>
        </w:rPr>
        <w:footnoteReference w:id="4331"/>
      </w:r>
      <w:r w:rsidRPr="00E14121">
        <w:rPr>
          <w:rFonts w:ascii="Narkisim" w:hAnsi="Narkisim" w:cs="Narkisim"/>
          <w:rtl/>
        </w:rPr>
        <w:t>. וה</w:t>
      </w:r>
      <w:r w:rsidRPr="00E14121">
        <w:rPr>
          <w:rFonts w:ascii="Narkisim" w:hAnsi="Narkisim" w:cs="Narkisim"/>
          <w:b/>
          <w:bCs/>
          <w:rtl/>
        </w:rPr>
        <w:t>אמר"מ</w:t>
      </w:r>
      <w:r w:rsidRPr="00E14121">
        <w:rPr>
          <w:rFonts w:ascii="Narkisim" w:hAnsi="Narkisim" w:cs="Narkisim"/>
          <w:rtl/>
        </w:rPr>
        <w:t xml:space="preserve"> (יג א) ו</w:t>
      </w:r>
      <w:r w:rsidRPr="00E14121">
        <w:rPr>
          <w:rFonts w:ascii="Narkisim" w:hAnsi="Narkisim" w:cs="Narkisim"/>
          <w:b/>
          <w:bCs/>
          <w:rtl/>
        </w:rPr>
        <w:t xml:space="preserve">דבר"י </w:t>
      </w:r>
      <w:r w:rsidRPr="00E14121">
        <w:rPr>
          <w:rFonts w:ascii="Narkisim" w:hAnsi="Narkisim" w:cs="Narkisim"/>
          <w:rtl/>
        </w:rPr>
        <w:t>(טו) תי' דבתרומה אסור לסוך [מדאורייתא] משום דין 'משמרת', וה"ה דאסור להאכיל [והוה איסור על המאכיל]</w:t>
      </w:r>
      <w:r w:rsidRPr="00E14121">
        <w:rPr>
          <w:rStyle w:val="ac"/>
          <w:rFonts w:ascii="Narkisim" w:hAnsi="Narkisim" w:cs="Narkisim"/>
          <w:rtl/>
        </w:rPr>
        <w:footnoteReference w:id="4332"/>
      </w:r>
      <w:r w:rsidRPr="00E14121">
        <w:rPr>
          <w:rFonts w:ascii="Narkisim" w:hAnsi="Narkisim" w:cs="Narkisim"/>
          <w:rtl/>
        </w:rPr>
        <w:t>.</w:t>
      </w:r>
    </w:p>
    <w:p w14:paraId="1A4CA759" w14:textId="77777777" w:rsidR="00F64AED" w:rsidRPr="00E14121" w:rsidRDefault="00F64AED" w:rsidP="00F64AED">
      <w:pPr>
        <w:pStyle w:val="aa"/>
        <w:bidi/>
        <w:rPr>
          <w:rFonts w:ascii="Narkisim" w:hAnsi="Narkisim"/>
        </w:rPr>
      </w:pPr>
      <w:r w:rsidRPr="00E14121">
        <w:rPr>
          <w:rFonts w:ascii="Narkisim" w:hAnsi="Narkisim"/>
          <w:u w:val="single"/>
          <w:rtl/>
        </w:rPr>
        <w:t>א"ר זירא ת"ש אין לי וכו'.</w:t>
      </w:r>
      <w:r w:rsidRPr="00E14121">
        <w:rPr>
          <w:rFonts w:ascii="Narkisim" w:hAnsi="Narkisim"/>
          <w:rtl/>
        </w:rPr>
        <w:t xml:space="preserve"> מילת זכריו ועבדיו מעכבו לאכול בפסח. ה</w:t>
      </w:r>
      <w:r w:rsidRPr="00E14121">
        <w:rPr>
          <w:rFonts w:ascii="Narkisim" w:hAnsi="Narkisim"/>
          <w:b/>
          <w:bCs/>
          <w:rtl/>
        </w:rPr>
        <w:t>אחרונים</w:t>
      </w:r>
      <w:r w:rsidRPr="00E14121">
        <w:rPr>
          <w:rFonts w:ascii="Narkisim" w:hAnsi="Narkisim"/>
          <w:rtl/>
        </w:rPr>
        <w:t xml:space="preserve"> דנו האם הדין 'ערלות' [של הבן] מעכב</w:t>
      </w:r>
      <w:r w:rsidRPr="00E14121">
        <w:rPr>
          <w:rStyle w:val="ac"/>
          <w:rFonts w:ascii="Narkisim" w:hAnsi="Narkisim"/>
          <w:rtl/>
        </w:rPr>
        <w:footnoteReference w:id="4333"/>
      </w:r>
      <w:r w:rsidRPr="00E14121">
        <w:rPr>
          <w:rFonts w:ascii="Narkisim" w:hAnsi="Narkisim"/>
          <w:rtl/>
        </w:rPr>
        <w:t>, או מה שמוטל עליו למולם. ובפשוטו בזה תליא דברי ר' זירא ודחיית רבא, ע' בסמוך.</w:t>
      </w:r>
    </w:p>
    <w:p w14:paraId="09BCCA51" w14:textId="77777777" w:rsidR="00F64AED" w:rsidRPr="00E14121" w:rsidRDefault="00F64AED" w:rsidP="00F64AED">
      <w:pPr>
        <w:pStyle w:val="2"/>
        <w:bidi/>
        <w:rPr>
          <w:rFonts w:ascii="Narkisim" w:hAnsi="Narkisim"/>
        </w:rPr>
      </w:pPr>
      <w:r w:rsidRPr="00E14121">
        <w:rPr>
          <w:rFonts w:ascii="Narkisim" w:hAnsi="Narkisim"/>
          <w:rtl/>
        </w:rPr>
        <w:t>מילת בניו וזכריו</w:t>
      </w:r>
    </w:p>
    <w:p w14:paraId="2AAA35C2" w14:textId="77777777" w:rsidR="00F64AED" w:rsidRPr="00E14121" w:rsidRDefault="00F64AED" w:rsidP="00F64AED">
      <w:pPr>
        <w:bidi/>
        <w:rPr>
          <w:rFonts w:ascii="Narkisim" w:hAnsi="Narkisim" w:cs="Narkisim"/>
        </w:rPr>
      </w:pPr>
      <w:r w:rsidRPr="00E14121">
        <w:rPr>
          <w:rFonts w:ascii="Narkisim" w:hAnsi="Narkisim" w:cs="Narkisim"/>
          <w:u w:val="single"/>
          <w:rtl/>
        </w:rPr>
        <w:t>אלא זכריו דאיתנהו בשעת אכילה וכו' היכי משכח"ל וכו'.</w:t>
      </w:r>
      <w:r w:rsidRPr="00E14121">
        <w:rPr>
          <w:rFonts w:ascii="Narkisim" w:hAnsi="Narkisim" w:cs="Narkisim"/>
          <w:rtl/>
        </w:rPr>
        <w:t xml:space="preserve"> ויל"ד אמאי לא העמידו דחל שמיני בט"ו, דבשעת שחיטה הוה ערל תוך ז'. ובליל ח' אין מחוסר זמן בלילה, ומש"ה יעכב באכילת פסחו. וה</w:t>
      </w:r>
      <w:r w:rsidRPr="00E14121">
        <w:rPr>
          <w:rFonts w:ascii="Narkisim" w:hAnsi="Narkisim" w:cs="Narkisim"/>
          <w:b/>
          <w:bCs/>
          <w:rtl/>
        </w:rPr>
        <w:t>אחרונים</w:t>
      </w:r>
      <w:r w:rsidRPr="00E14121">
        <w:rPr>
          <w:rFonts w:ascii="Narkisim" w:hAnsi="Narkisim" w:cs="Narkisim"/>
          <w:rtl/>
        </w:rPr>
        <w:t xml:space="preserve"> הביאו דמבואר דליל שמיני נחשב דעדיין לא הגיע זמנו, ואינו מעכב באכילת פסח</w:t>
      </w:r>
      <w:r w:rsidRPr="00E14121">
        <w:rPr>
          <w:rStyle w:val="ac"/>
          <w:rFonts w:ascii="Narkisim" w:hAnsi="Narkisim" w:cs="Narkisim"/>
          <w:rtl/>
        </w:rPr>
        <w:footnoteReference w:id="4334"/>
      </w:r>
      <w:r w:rsidRPr="00E14121">
        <w:rPr>
          <w:rFonts w:ascii="Narkisim" w:hAnsi="Narkisim" w:cs="Narkisim"/>
          <w:rtl/>
        </w:rPr>
        <w:t>. [וה</w:t>
      </w:r>
      <w:r w:rsidRPr="00E14121">
        <w:rPr>
          <w:rFonts w:ascii="Narkisim" w:hAnsi="Narkisim" w:cs="Narkisim"/>
          <w:b/>
          <w:bCs/>
          <w:rtl/>
        </w:rPr>
        <w:t>שאג”א</w:t>
      </w:r>
      <w:r w:rsidRPr="00E14121">
        <w:rPr>
          <w:rFonts w:ascii="Narkisim" w:hAnsi="Narkisim" w:cs="Narkisim"/>
          <w:rtl/>
        </w:rPr>
        <w:t xml:space="preserve"> נג האריך בזה</w:t>
      </w:r>
      <w:r w:rsidRPr="00E14121">
        <w:rPr>
          <w:rStyle w:val="ac"/>
          <w:rFonts w:ascii="Narkisim" w:hAnsi="Narkisim" w:cs="Narkisim"/>
          <w:rtl/>
        </w:rPr>
        <w:footnoteReference w:id="4335"/>
      </w:r>
      <w:r w:rsidRPr="00E14121">
        <w:rPr>
          <w:rFonts w:ascii="Narkisim" w:hAnsi="Narkisim" w:cs="Narkisim"/>
          <w:rtl/>
        </w:rPr>
        <w:t>]. אבל ב</w:t>
      </w:r>
      <w:r w:rsidRPr="00E14121">
        <w:rPr>
          <w:rFonts w:ascii="Narkisim" w:hAnsi="Narkisim" w:cs="Narkisim"/>
          <w:b/>
          <w:bCs/>
          <w:rtl/>
        </w:rPr>
        <w:t>ירושלמי</w:t>
      </w:r>
      <w:r w:rsidRPr="00E14121">
        <w:rPr>
          <w:rFonts w:ascii="Narkisim" w:hAnsi="Narkisim" w:cs="Narkisim"/>
          <w:rtl/>
        </w:rPr>
        <w:t xml:space="preserve"> מבואר דליל שמיני אסור, ולא נחשב תוך זמנו</w:t>
      </w:r>
      <w:r w:rsidRPr="00E14121">
        <w:rPr>
          <w:rStyle w:val="ac"/>
          <w:rFonts w:ascii="Narkisim" w:hAnsi="Narkisim" w:cs="Narkisim"/>
          <w:rtl/>
        </w:rPr>
        <w:footnoteReference w:id="4336"/>
      </w:r>
      <w:r w:rsidRPr="00E14121">
        <w:rPr>
          <w:rFonts w:ascii="Narkisim" w:hAnsi="Narkisim" w:cs="Narkisim"/>
          <w:rtl/>
        </w:rPr>
        <w:t>.</w:t>
      </w:r>
    </w:p>
    <w:p w14:paraId="5EDD0D05" w14:textId="77777777" w:rsidR="00F64AED" w:rsidRPr="00E14121" w:rsidRDefault="00F64AED" w:rsidP="00F64AED">
      <w:pPr>
        <w:bidi/>
        <w:rPr>
          <w:rFonts w:ascii="Narkisim" w:hAnsi="Narkisim" w:cs="Narkisim"/>
        </w:rPr>
      </w:pPr>
      <w:r w:rsidRPr="00E14121">
        <w:rPr>
          <w:rFonts w:ascii="Narkisim" w:hAnsi="Narkisim" w:cs="Narkisim"/>
          <w:u w:val="single"/>
          <w:rtl/>
        </w:rPr>
        <w:t>שם. בשעת אכילה</w:t>
      </w:r>
      <w:r w:rsidRPr="00E14121">
        <w:rPr>
          <w:rFonts w:ascii="Narkisim" w:hAnsi="Narkisim" w:cs="Narkisim"/>
          <w:rtl/>
        </w:rPr>
        <w:t>. ה</w:t>
      </w:r>
      <w:r w:rsidRPr="00E14121">
        <w:rPr>
          <w:rFonts w:ascii="Narkisim" w:hAnsi="Narkisim" w:cs="Narkisim"/>
          <w:b/>
          <w:bCs/>
          <w:rtl/>
        </w:rPr>
        <w:t>אחרונים</w:t>
      </w:r>
      <w:r w:rsidRPr="00E14121">
        <w:rPr>
          <w:rFonts w:ascii="Narkisim" w:hAnsi="Narkisim" w:cs="Narkisim"/>
          <w:rtl/>
        </w:rPr>
        <w:t xml:space="preserve"> הקשו דבשעת אכילה הוה לילה, ואינו ראוי למול כלל [ומבואר בסמוך דכשאינו יכול למול אינו מעכב]. וה</w:t>
      </w:r>
      <w:r w:rsidRPr="00E14121">
        <w:rPr>
          <w:rFonts w:ascii="Narkisim" w:hAnsi="Narkisim" w:cs="Narkisim"/>
          <w:b/>
          <w:bCs/>
          <w:rtl/>
        </w:rPr>
        <w:t>שעה"מ</w:t>
      </w:r>
      <w:r w:rsidRPr="00E14121">
        <w:rPr>
          <w:rFonts w:ascii="Narkisim" w:hAnsi="Narkisim" w:cs="Narkisim"/>
          <w:rtl/>
        </w:rPr>
        <w:t xml:space="preserve"> (ק”פ ט ט) למד מזה דמילת זכריו מעכבו לפסח אף שהוא עכשיו אונס, כיון דהיתה לו שעת הכושר (וכ”כ ה</w:t>
      </w:r>
      <w:r w:rsidRPr="00E14121">
        <w:rPr>
          <w:rFonts w:ascii="Narkisim" w:hAnsi="Narkisim" w:cs="Narkisim"/>
          <w:b/>
          <w:bCs/>
          <w:rtl/>
        </w:rPr>
        <w:t>מנח”ח</w:t>
      </w:r>
      <w:r w:rsidRPr="00E14121">
        <w:rPr>
          <w:rFonts w:ascii="Narkisim" w:hAnsi="Narkisim" w:cs="Narkisim"/>
          <w:rtl/>
        </w:rPr>
        <w:t xml:space="preserve"> יז ט). אבל ה</w:t>
      </w:r>
      <w:r w:rsidRPr="00E14121">
        <w:rPr>
          <w:rFonts w:ascii="Narkisim" w:hAnsi="Narkisim" w:cs="Narkisim"/>
          <w:b/>
          <w:bCs/>
          <w:rtl/>
        </w:rPr>
        <w:t>קר"א</w:t>
      </w:r>
      <w:r w:rsidRPr="00E14121">
        <w:rPr>
          <w:rFonts w:ascii="Narkisim" w:hAnsi="Narkisim" w:cs="Narkisim"/>
          <w:rtl/>
        </w:rPr>
        <w:t xml:space="preserve"> כתב דתליא בשעה דבסוף היום, ונחשב עכשיו דראוי למול.</w:t>
      </w:r>
    </w:p>
    <w:p w14:paraId="614965D6" w14:textId="77777777" w:rsidR="00F64AED" w:rsidRPr="00E14121" w:rsidRDefault="00F64AED" w:rsidP="00F64AED">
      <w:pPr>
        <w:pStyle w:val="a8"/>
        <w:bidi/>
        <w:rPr>
          <w:rFonts w:ascii="Narkisim" w:hAnsi="Narkisim"/>
        </w:rPr>
      </w:pPr>
      <w:r w:rsidRPr="00E14121">
        <w:rPr>
          <w:rFonts w:ascii="Narkisim" w:hAnsi="Narkisim"/>
          <w:rtl/>
        </w:rPr>
        <w:t>ועוד כתב ה</w:t>
      </w:r>
      <w:r w:rsidRPr="00E14121">
        <w:rPr>
          <w:rFonts w:ascii="Narkisim" w:hAnsi="Narkisim"/>
          <w:b/>
          <w:bCs/>
          <w:rtl/>
        </w:rPr>
        <w:t>שעה"מ</w:t>
      </w:r>
      <w:r w:rsidRPr="00E14121">
        <w:rPr>
          <w:rFonts w:ascii="Narkisim" w:hAnsi="Narkisim"/>
          <w:rtl/>
        </w:rPr>
        <w:t xml:space="preserve"> (שם) דמילת זכריו מעכב באכילת הפסח, אף שהוא אנוס. ורק בעשייה מבואר בסוגיין דבאונס אינו מעכב</w:t>
      </w:r>
      <w:r w:rsidRPr="00E14121">
        <w:rPr>
          <w:rStyle w:val="ac"/>
          <w:rFonts w:ascii="Narkisim" w:hAnsi="Narkisim"/>
          <w:rtl/>
        </w:rPr>
        <w:footnoteReference w:id="4337"/>
      </w:r>
      <w:r w:rsidRPr="00E14121">
        <w:rPr>
          <w:rFonts w:ascii="Narkisim" w:hAnsi="Narkisim"/>
          <w:rtl/>
        </w:rPr>
        <w:t>.</w:t>
      </w:r>
    </w:p>
    <w:p w14:paraId="57D4A798" w14:textId="77777777" w:rsidR="00F64AED" w:rsidRPr="00E14121" w:rsidRDefault="00F64AED" w:rsidP="00F64AED">
      <w:pPr>
        <w:pStyle w:val="aa"/>
        <w:bidi/>
        <w:rPr>
          <w:rFonts w:ascii="Narkisim" w:hAnsi="Narkisim"/>
        </w:rPr>
      </w:pPr>
      <w:r w:rsidRPr="00E14121">
        <w:rPr>
          <w:rFonts w:ascii="Narkisim" w:hAnsi="Narkisim"/>
          <w:u w:val="single"/>
          <w:rtl/>
        </w:rPr>
        <w:t>שם. דאיתנהו בשעת אכילה, וליתנהו בשעת עשייה היכי משכח"ל</w:t>
      </w:r>
      <w:r w:rsidRPr="00E14121">
        <w:rPr>
          <w:rFonts w:ascii="Narkisim" w:hAnsi="Narkisim"/>
          <w:rtl/>
        </w:rPr>
        <w:t>. ה</w:t>
      </w:r>
      <w:r w:rsidRPr="00E14121">
        <w:rPr>
          <w:rFonts w:ascii="Narkisim" w:hAnsi="Narkisim"/>
          <w:b/>
          <w:bCs/>
          <w:rtl/>
        </w:rPr>
        <w:t>רמב"ם</w:t>
      </w:r>
      <w:r w:rsidRPr="00E14121">
        <w:rPr>
          <w:rFonts w:ascii="Narkisim" w:hAnsi="Narkisim"/>
          <w:rtl/>
        </w:rPr>
        <w:t xml:space="preserve"> (ק"פ ה ה) פסק דאם שחט קודם שמל את בניו הקרבן פסול</w:t>
      </w:r>
      <w:r w:rsidRPr="00E14121">
        <w:rPr>
          <w:rStyle w:val="ac"/>
          <w:rFonts w:ascii="Narkisim" w:hAnsi="Narkisim"/>
          <w:rtl/>
        </w:rPr>
        <w:footnoteReference w:id="4338"/>
      </w:r>
      <w:r w:rsidRPr="00E14121">
        <w:rPr>
          <w:rFonts w:ascii="Narkisim" w:hAnsi="Narkisim"/>
          <w:rtl/>
        </w:rPr>
        <w:t>. וה</w:t>
      </w:r>
      <w:r w:rsidRPr="00E14121">
        <w:rPr>
          <w:rFonts w:ascii="Narkisim" w:hAnsi="Narkisim"/>
          <w:b/>
          <w:bCs/>
          <w:rtl/>
        </w:rPr>
        <w:t>או"ש</w:t>
      </w:r>
      <w:r w:rsidRPr="00E14121">
        <w:rPr>
          <w:rFonts w:ascii="Narkisim" w:hAnsi="Narkisim"/>
          <w:rtl/>
        </w:rPr>
        <w:t xml:space="preserve"> (שם) כתב דמקורו מסוגיין, דאל"כ צריך לחדש דאם עבר ושחט דיש איסור אף על האכילה.</w:t>
      </w:r>
    </w:p>
    <w:p w14:paraId="142E5ECB" w14:textId="77777777" w:rsidR="00F64AED" w:rsidRPr="00E14121" w:rsidRDefault="00F64AED" w:rsidP="00F64AED">
      <w:pPr>
        <w:pStyle w:val="aa"/>
        <w:bidi/>
        <w:rPr>
          <w:rFonts w:ascii="Narkisim" w:hAnsi="Narkisim"/>
        </w:rPr>
      </w:pPr>
      <w:r w:rsidRPr="00E14121">
        <w:rPr>
          <w:rFonts w:ascii="Narkisim" w:hAnsi="Narkisim"/>
          <w:u w:val="single"/>
          <w:rtl/>
        </w:rPr>
        <w:t>שם. היכי משכח"ל</w:t>
      </w:r>
      <w:r w:rsidRPr="00E14121">
        <w:rPr>
          <w:rFonts w:ascii="Narkisim" w:hAnsi="Narkisim"/>
          <w:rtl/>
        </w:rPr>
        <w:t>. ה</w:t>
      </w:r>
      <w:r w:rsidRPr="00E14121">
        <w:rPr>
          <w:rFonts w:ascii="Narkisim" w:hAnsi="Narkisim"/>
          <w:b/>
          <w:bCs/>
          <w:rtl/>
        </w:rPr>
        <w:t>אחרונים</w:t>
      </w:r>
      <w:r w:rsidRPr="00E14121">
        <w:rPr>
          <w:rFonts w:ascii="Narkisim" w:hAnsi="Narkisim"/>
          <w:rtl/>
        </w:rPr>
        <w:t xml:space="preserve"> (שיירי קרבן מה: בדה"ס, קר"א, חש"ל ועוד) הק' למ"ד דיוצא דופן [וכן טומטום שנקרע] אינו נימול לח'</w:t>
      </w:r>
      <w:r w:rsidRPr="00E14121">
        <w:rPr>
          <w:rStyle w:val="ac"/>
          <w:rFonts w:ascii="Narkisim" w:hAnsi="Narkisim"/>
          <w:rtl/>
        </w:rPr>
        <w:footnoteReference w:id="4339"/>
      </w:r>
      <w:r w:rsidRPr="00E14121">
        <w:rPr>
          <w:rFonts w:ascii="Narkisim" w:hAnsi="Narkisim"/>
          <w:rtl/>
        </w:rPr>
        <w:t>, א"כ משכח"ל שנולד בין עשיית הפסח לאכילתו [דלהך מ"ד נתחייב למולו מיד]</w:t>
      </w:r>
      <w:r w:rsidRPr="00E14121">
        <w:rPr>
          <w:rStyle w:val="ac"/>
          <w:rFonts w:ascii="Narkisim" w:hAnsi="Narkisim"/>
          <w:rtl/>
        </w:rPr>
        <w:footnoteReference w:id="4340"/>
      </w:r>
      <w:r w:rsidRPr="00E14121">
        <w:rPr>
          <w:rFonts w:ascii="Narkisim" w:hAnsi="Narkisim"/>
          <w:rtl/>
        </w:rPr>
        <w:t xml:space="preserve">.  </w:t>
      </w:r>
    </w:p>
    <w:p w14:paraId="51F74CCA" w14:textId="77777777" w:rsidR="00F64AED" w:rsidRPr="00E14121" w:rsidRDefault="00F64AED" w:rsidP="00F64AED">
      <w:pPr>
        <w:bidi/>
        <w:rPr>
          <w:rFonts w:ascii="Narkisim" w:hAnsi="Narkisim" w:cs="Narkisim"/>
        </w:rPr>
      </w:pPr>
      <w:r w:rsidRPr="00E14121">
        <w:rPr>
          <w:rFonts w:ascii="Narkisim" w:hAnsi="Narkisim" w:cs="Narkisim"/>
          <w:u w:val="single"/>
          <w:rtl/>
        </w:rPr>
        <w:t>ש"מ ערלות שלא בזמנה הויא ערלות, אמר רבא ותסברא וכו' והאי לאו בר מהילא הוא.</w:t>
      </w:r>
      <w:r w:rsidRPr="00E14121">
        <w:rPr>
          <w:rFonts w:ascii="Narkisim" w:hAnsi="Narkisim" w:cs="Narkisim"/>
          <w:rtl/>
        </w:rPr>
        <w:t xml:space="preserve"> ה</w:t>
      </w:r>
      <w:r w:rsidRPr="00E14121">
        <w:rPr>
          <w:rFonts w:ascii="Narkisim" w:hAnsi="Narkisim" w:cs="Narkisim"/>
          <w:b/>
          <w:bCs/>
          <w:rtl/>
        </w:rPr>
        <w:t>רמב"ן</w:t>
      </w:r>
      <w:r w:rsidRPr="00E14121">
        <w:rPr>
          <w:rFonts w:ascii="Narkisim" w:hAnsi="Narkisim" w:cs="Narkisim"/>
          <w:rtl/>
        </w:rPr>
        <w:t xml:space="preserve"> ו</w:t>
      </w:r>
      <w:r w:rsidRPr="00E14121">
        <w:rPr>
          <w:rFonts w:ascii="Narkisim" w:hAnsi="Narkisim" w:cs="Narkisim"/>
          <w:b/>
          <w:bCs/>
          <w:rtl/>
        </w:rPr>
        <w:t>ריטב"א</w:t>
      </w:r>
      <w:r w:rsidRPr="00E14121">
        <w:rPr>
          <w:rFonts w:ascii="Narkisim" w:hAnsi="Narkisim" w:cs="Narkisim"/>
          <w:rtl/>
        </w:rPr>
        <w:t xml:space="preserve"> ביארו דהספק היתה לענין ערלות דגופיה, הגמ' פשטה דמבואר דערלות דבנו מעכבתו [תוך ז'], וכ"ש ערלות דגופיה.</w:t>
      </w:r>
    </w:p>
    <w:p w14:paraId="1749C052" w14:textId="77777777" w:rsidR="00F64AED" w:rsidRPr="00E14121" w:rsidRDefault="00F64AED" w:rsidP="00F64AED">
      <w:pPr>
        <w:pStyle w:val="a7"/>
        <w:bidi/>
        <w:rPr>
          <w:rFonts w:ascii="Narkisim" w:hAnsi="Narkisim"/>
        </w:rPr>
      </w:pPr>
      <w:r w:rsidRPr="00E14121">
        <w:rPr>
          <w:rFonts w:ascii="Narkisim" w:hAnsi="Narkisim"/>
          <w:rtl/>
        </w:rPr>
        <w:t>ורבא דחה דערלות זכריו ועבדיו אינו מעכב כיון דהוא אונס, אבל ערלות דגופיה לא איפשיטא. וכ”כ ה</w:t>
      </w:r>
      <w:r w:rsidRPr="00E14121">
        <w:rPr>
          <w:rFonts w:ascii="Narkisim" w:hAnsi="Narkisim"/>
          <w:b/>
          <w:bCs/>
          <w:rtl/>
        </w:rPr>
        <w:t>בעה”מ</w:t>
      </w:r>
      <w:r w:rsidRPr="00E14121">
        <w:rPr>
          <w:rFonts w:ascii="Narkisim" w:hAnsi="Narkisim"/>
          <w:rtl/>
        </w:rPr>
        <w:t xml:space="preserve"> (ושא”ר ע.) דדוקא במילת זכריו ועבדיו יש סברא של אונס, אבל מילת עצמו סתמא כתיב 'וכל ערל לא יאכל בו'.</w:t>
      </w:r>
    </w:p>
    <w:p w14:paraId="0363C297"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ביארו דיל"פ דמילת זכריו ועבדיו מעכבתו, משום שמוטל עליו המצווה למולם (וע"ע בע"ב), ובמקום </w:t>
      </w:r>
      <w:r w:rsidRPr="00E14121">
        <w:rPr>
          <w:rFonts w:ascii="Narkisim" w:hAnsi="Narkisim"/>
          <w:rtl/>
        </w:rPr>
        <w:lastRenderedPageBreak/>
        <w:t>אונס לא רמי עליה</w:t>
      </w:r>
      <w:r w:rsidRPr="00E14121">
        <w:rPr>
          <w:rStyle w:val="ac"/>
          <w:rFonts w:ascii="Narkisim" w:hAnsi="Narkisim"/>
          <w:rtl/>
        </w:rPr>
        <w:footnoteReference w:id="4341"/>
      </w:r>
      <w:r w:rsidRPr="00E14121">
        <w:rPr>
          <w:rFonts w:ascii="Narkisim" w:hAnsi="Narkisim"/>
          <w:rtl/>
        </w:rPr>
        <w:t>. אבל ערל אסור בתרומה משום עצם הדין ערל שבו</w:t>
      </w:r>
      <w:r w:rsidRPr="00E14121">
        <w:rPr>
          <w:rStyle w:val="ac"/>
          <w:rFonts w:ascii="Narkisim" w:hAnsi="Narkisim"/>
          <w:rtl/>
        </w:rPr>
        <w:footnoteReference w:id="4342"/>
      </w:r>
      <w:r w:rsidRPr="00E14121">
        <w:rPr>
          <w:rFonts w:ascii="Narkisim" w:hAnsi="Narkisim"/>
          <w:rtl/>
        </w:rPr>
        <w:t>. ולדעת ר"ת דאף איסור ערל בתרומה הוא משום המצווה למול, זהו ספק הגמ', אמנם גבי טומטום מבואר דהוה גדר שונה (וע' בע"ב).</w:t>
      </w:r>
    </w:p>
    <w:p w14:paraId="252CC232"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מהר"י קורקוס</w:t>
      </w:r>
      <w:r w:rsidRPr="00E14121">
        <w:rPr>
          <w:rFonts w:ascii="Narkisim" w:hAnsi="Narkisim"/>
          <w:rtl/>
        </w:rPr>
        <w:t xml:space="preserve"> ו</w:t>
      </w:r>
      <w:r w:rsidRPr="00E14121">
        <w:rPr>
          <w:rFonts w:ascii="Narkisim" w:hAnsi="Narkisim"/>
          <w:b/>
          <w:bCs/>
          <w:rtl/>
        </w:rPr>
        <w:t>כס"מ</w:t>
      </w:r>
      <w:r w:rsidRPr="00E14121">
        <w:rPr>
          <w:rFonts w:ascii="Narkisim" w:hAnsi="Narkisim"/>
          <w:rtl/>
        </w:rPr>
        <w:t xml:space="preserve"> (תרומות יא ז הנ"ל) כתבו דנפשט [דקטן ערל] לא נחשב ערל תוך זמנו. ולכאורה נקט דסברת הגמ' האי לאו בר מהילא מהני שלא יחשב ערל. וה</w:t>
      </w:r>
      <w:r w:rsidRPr="00E14121">
        <w:rPr>
          <w:rFonts w:ascii="Narkisim" w:hAnsi="Narkisim"/>
          <w:b/>
          <w:bCs/>
          <w:rtl/>
        </w:rPr>
        <w:t>אחרונים</w:t>
      </w:r>
      <w:r w:rsidRPr="00E14121">
        <w:rPr>
          <w:rFonts w:ascii="Narkisim" w:hAnsi="Narkisim"/>
          <w:rtl/>
        </w:rPr>
        <w:t xml:space="preserve"> הקשו דהרמב"ם משמע דמתו אחיו מחמת מילה אינו אוכל בתרומה. וכן מבואר (בע"ב) דטומטום אינו מעכב את אביו, ואף דמבואר בכל הסוגיות דנחשב ערל </w:t>
      </w:r>
      <w:r w:rsidRPr="00E14121">
        <w:rPr>
          <w:rFonts w:ascii="Narkisim" w:hAnsi="Narkisim"/>
          <w:sz w:val="20"/>
          <w:szCs w:val="20"/>
          <w:rtl/>
        </w:rPr>
        <w:t>[וכמ"ש הראשונים ע. אף לר"ת].</w:t>
      </w:r>
    </w:p>
    <w:p w14:paraId="4122B980" w14:textId="77777777" w:rsidR="00F64AED" w:rsidRPr="00E14121" w:rsidRDefault="00F64AED" w:rsidP="00F64AED">
      <w:pPr>
        <w:bidi/>
        <w:rPr>
          <w:rFonts w:ascii="Narkisim" w:hAnsi="Narkisim" w:cs="Narkisim"/>
        </w:rPr>
      </w:pPr>
      <w:r w:rsidRPr="00E14121">
        <w:rPr>
          <w:rFonts w:ascii="Narkisim" w:hAnsi="Narkisim" w:cs="Narkisim"/>
          <w:u w:val="single"/>
          <w:rtl/>
        </w:rPr>
        <w:t>וניתוב ליה כל ז' (דאמר שמואל חלצתו חמה נותנין לו כל ז'</w:t>
      </w:r>
      <w:r w:rsidRPr="00E14121">
        <w:rPr>
          <w:rStyle w:val="ac"/>
          <w:rFonts w:ascii="Narkisim" w:hAnsi="Narkisim" w:cs="Narkisim"/>
          <w:u w:val="single"/>
          <w:rtl/>
        </w:rPr>
        <w:footnoteReference w:id="4343"/>
      </w:r>
      <w:r w:rsidRPr="00E14121">
        <w:rPr>
          <w:rFonts w:ascii="Narkisim" w:hAnsi="Narkisim" w:cs="Narkisim"/>
          <w:u w:val="single"/>
          <w:rtl/>
        </w:rPr>
        <w:t>) וכו'</w:t>
      </w:r>
      <w:r w:rsidRPr="00E14121">
        <w:rPr>
          <w:rFonts w:ascii="Narkisim" w:hAnsi="Narkisim" w:cs="Narkisim"/>
          <w:rtl/>
        </w:rPr>
        <w:t>. צ"ב מ"ט לא ימול מיד שיצא מהחולי. ולשון הגמ' (שבת) להברותו. ומשמע דהוה שיעור שעי"ז יצא מכלל סכנה. אך קבעו חז"ל זמן קצוב, ולא סמכו אאומדנא דרופא</w:t>
      </w:r>
      <w:r w:rsidRPr="00E14121">
        <w:rPr>
          <w:rStyle w:val="ac"/>
          <w:rFonts w:ascii="Narkisim" w:hAnsi="Narkisim" w:cs="Narkisim"/>
          <w:rtl/>
        </w:rPr>
        <w:footnoteReference w:id="4344"/>
      </w:r>
      <w:r w:rsidRPr="00E14121">
        <w:rPr>
          <w:rFonts w:ascii="Narkisim" w:hAnsi="Narkisim" w:cs="Narkisim"/>
          <w:rtl/>
        </w:rPr>
        <w:t>.</w:t>
      </w:r>
    </w:p>
    <w:p w14:paraId="6C334C53" w14:textId="77777777" w:rsidR="00F64AED" w:rsidRPr="00E14121" w:rsidRDefault="00F64AED" w:rsidP="00F64AED">
      <w:pPr>
        <w:pStyle w:val="a8"/>
        <w:bidi/>
        <w:rPr>
          <w:rFonts w:ascii="Narkisim" w:hAnsi="Narkisim"/>
        </w:rPr>
      </w:pPr>
      <w:r w:rsidRPr="00E14121">
        <w:rPr>
          <w:rFonts w:ascii="Narkisim" w:hAnsi="Narkisim"/>
          <w:rtl/>
        </w:rPr>
        <w:t>ובפשוטו היה נראה דהוה דין מדרבנן</w:t>
      </w:r>
      <w:r w:rsidRPr="00E14121">
        <w:rPr>
          <w:rStyle w:val="ac"/>
          <w:rFonts w:ascii="Narkisim" w:hAnsi="Narkisim"/>
          <w:rtl/>
        </w:rPr>
        <w:footnoteReference w:id="4345"/>
      </w:r>
      <w:r w:rsidRPr="00E14121">
        <w:rPr>
          <w:rFonts w:ascii="Narkisim" w:hAnsi="Narkisim"/>
          <w:rtl/>
        </w:rPr>
        <w:t>. אבל ב</w:t>
      </w:r>
      <w:r w:rsidRPr="00E14121">
        <w:rPr>
          <w:rFonts w:ascii="Narkisim" w:hAnsi="Narkisim"/>
          <w:b/>
          <w:bCs/>
          <w:rtl/>
        </w:rPr>
        <w:t>שו"ת בנין ציון</w:t>
      </w:r>
      <w:r w:rsidRPr="00E14121">
        <w:rPr>
          <w:rFonts w:ascii="Narkisim" w:hAnsi="Narkisim"/>
          <w:rtl/>
        </w:rPr>
        <w:t xml:space="preserve"> (פז, ובערול”נ) הביא דמבואר בסוגיין דהוה שיעור דאורייתא, שהגמ' מק' להעמיד את הפסוק</w:t>
      </w:r>
      <w:r w:rsidRPr="00E14121">
        <w:rPr>
          <w:rStyle w:val="ac"/>
          <w:rFonts w:ascii="Narkisim" w:hAnsi="Narkisim"/>
          <w:rtl/>
        </w:rPr>
        <w:footnoteReference w:id="4346"/>
      </w:r>
      <w:r w:rsidRPr="00E14121">
        <w:rPr>
          <w:rFonts w:ascii="Narkisim" w:hAnsi="Narkisim"/>
          <w:rtl/>
        </w:rPr>
        <w:t>. וע"כ דהוה הלכה למשה מסיני.</w:t>
      </w:r>
    </w:p>
    <w:p w14:paraId="0703EA6A"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בנין ציון</w:t>
      </w:r>
      <w:r w:rsidRPr="00E14121">
        <w:rPr>
          <w:rFonts w:ascii="Narkisim" w:hAnsi="Narkisim"/>
          <w:rtl/>
        </w:rPr>
        <w:t xml:space="preserve"> (שם) נסתפק היכא דמלו תוך ז', האם נחשב שמל תוך זמנו וצריך הטפת דם ברית</w:t>
      </w:r>
      <w:r w:rsidRPr="00E14121">
        <w:rPr>
          <w:rStyle w:val="ac"/>
          <w:rFonts w:ascii="Narkisim" w:hAnsi="Narkisim"/>
          <w:rtl/>
        </w:rPr>
        <w:footnoteReference w:id="4347"/>
      </w:r>
      <w:r w:rsidRPr="00E14121">
        <w:rPr>
          <w:rFonts w:ascii="Narkisim" w:hAnsi="Narkisim"/>
          <w:rtl/>
        </w:rPr>
        <w:t>. [או דהוה סברא של סכנה בעלמא].</w:t>
      </w:r>
    </w:p>
    <w:p w14:paraId="3C44AB77"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xml:space="preserve"> יל"ד קודם שעברו ז' הימים האם נחשב ערל תוך זמנו [לסוכו בשמן תרומה]. או דדוקא לענין מילת זכריו דתלי בהא דמצווה בפועל [וכקו' רבא], ומ"מ יש לו דין ערל. דלדעת רוב ראשונים מתו אחיו מחמת מילה [דסכנה לו למול] הוה ערל. [ותלי בהנ"ל אי הוה סברא של סכנה או דין בפנ"ע].</w:t>
      </w:r>
    </w:p>
    <w:p w14:paraId="3172CE98" w14:textId="77777777" w:rsidR="00F64AED" w:rsidRPr="00E14121" w:rsidRDefault="00F64AED" w:rsidP="00F64AED">
      <w:pPr>
        <w:pStyle w:val="aa"/>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ציין לדברי ה</w:t>
      </w:r>
      <w:r w:rsidRPr="00E14121">
        <w:rPr>
          <w:rFonts w:ascii="Narkisim" w:hAnsi="Narkisim"/>
          <w:b/>
          <w:bCs/>
          <w:rtl/>
        </w:rPr>
        <w:t>תשב"ץ</w:t>
      </w:r>
      <w:r w:rsidRPr="00E14121">
        <w:rPr>
          <w:rFonts w:ascii="Narkisim" w:hAnsi="Narkisim"/>
          <w:rtl/>
        </w:rPr>
        <w:t xml:space="preserve"> (הו' בש"ך יו"ד רסו יח) שאין מלין מילה שלא בזמנו תוך ג' ימים קודם שבת [ויו"ט], א"כ אף כשעברו ז' ימים אינו רשאי למולו בערב פסח. [ומש"ה לא יעכב בפסח</w:t>
      </w:r>
      <w:r w:rsidRPr="00E14121">
        <w:rPr>
          <w:rStyle w:val="ac"/>
          <w:rFonts w:ascii="Narkisim" w:hAnsi="Narkisim"/>
          <w:rtl/>
        </w:rPr>
        <w:footnoteReference w:id="4348"/>
      </w:r>
      <w:r w:rsidRPr="00E14121">
        <w:rPr>
          <w:rFonts w:ascii="Narkisim" w:hAnsi="Narkisim"/>
          <w:rtl/>
        </w:rPr>
        <w:t>]. והש"ך חלק דלדבר מצוה רשאי. ורע"א דחה די"ל דהכא איירי במילה בזמנו ביום השמיני, שחלצתו חמה ביום לידתו.</w:t>
      </w:r>
    </w:p>
    <w:p w14:paraId="1C6C794F" w14:textId="77777777" w:rsidR="00F64AED" w:rsidRPr="00E14121" w:rsidRDefault="00F64AED" w:rsidP="00F64AED">
      <w:pPr>
        <w:pStyle w:val="3"/>
        <w:bidi/>
        <w:rPr>
          <w:rFonts w:ascii="Narkisim" w:hAnsi="Narkisim"/>
        </w:rPr>
      </w:pPr>
      <w:r w:rsidRPr="00E14121">
        <w:rPr>
          <w:rFonts w:ascii="Narkisim" w:hAnsi="Narkisim"/>
          <w:rtl/>
        </w:rPr>
        <w:t>דף עא:</w:t>
      </w:r>
    </w:p>
    <w:p w14:paraId="0876883F" w14:textId="77777777" w:rsidR="00F64AED" w:rsidRPr="00E14121" w:rsidRDefault="00F64AED" w:rsidP="00F64AED">
      <w:pPr>
        <w:bidi/>
        <w:rPr>
          <w:rFonts w:ascii="Narkisim" w:hAnsi="Narkisim" w:cs="Narkisim"/>
        </w:rPr>
      </w:pPr>
      <w:r w:rsidRPr="00E14121">
        <w:rPr>
          <w:rFonts w:ascii="Narkisim" w:hAnsi="Narkisim" w:cs="Narkisim"/>
          <w:u w:val="single"/>
          <w:rtl/>
        </w:rPr>
        <w:t>בעינן מעת לעת, והתני וכו'.</w:t>
      </w:r>
      <w:r w:rsidRPr="00E14121">
        <w:rPr>
          <w:rFonts w:ascii="Narkisim" w:hAnsi="Narkisim" w:cs="Narkisim"/>
          <w:rtl/>
        </w:rPr>
        <w:t xml:space="preserve"> ובגמ' (שבת קלז.) יש ספק אי בעינן מעת לעת, ולא איפשיטא. וה</w:t>
      </w:r>
      <w:r w:rsidRPr="00E14121">
        <w:rPr>
          <w:rFonts w:ascii="Narkisim" w:hAnsi="Narkisim" w:cs="Narkisim"/>
          <w:b/>
          <w:bCs/>
          <w:rtl/>
        </w:rPr>
        <w:t>רא"ש</w:t>
      </w:r>
      <w:r w:rsidRPr="00E14121">
        <w:rPr>
          <w:rFonts w:ascii="Narkisim" w:hAnsi="Narkisim" w:cs="Narkisim"/>
          <w:rtl/>
        </w:rPr>
        <w:t xml:space="preserve"> (שבת יט ט) כתב דכיון דספק נפשות הוא יהבינן ליה מעת לעת</w:t>
      </w:r>
      <w:r w:rsidRPr="00E14121">
        <w:rPr>
          <w:rStyle w:val="ac"/>
          <w:rFonts w:ascii="Narkisim" w:hAnsi="Narkisim" w:cs="Narkisim"/>
          <w:rtl/>
        </w:rPr>
        <w:footnoteReference w:id="4349"/>
      </w:r>
      <w:r w:rsidRPr="00E14121">
        <w:rPr>
          <w:rFonts w:ascii="Narkisim" w:hAnsi="Narkisim" w:cs="Narkisim"/>
          <w:rtl/>
        </w:rPr>
        <w:t>. אבל ה</w:t>
      </w:r>
      <w:r w:rsidRPr="00E14121">
        <w:rPr>
          <w:rFonts w:ascii="Narkisim" w:hAnsi="Narkisim" w:cs="Narkisim"/>
          <w:b/>
          <w:bCs/>
          <w:rtl/>
        </w:rPr>
        <w:t>רי"ף</w:t>
      </w:r>
      <w:r w:rsidRPr="00E14121">
        <w:rPr>
          <w:rFonts w:ascii="Narkisim" w:hAnsi="Narkisim" w:cs="Narkisim"/>
          <w:rtl/>
        </w:rPr>
        <w:t xml:space="preserve"> (שם נה: בדה"ר) כתב דאפשיטא דבעינן מעת לעת, וה</w:t>
      </w:r>
      <w:r w:rsidRPr="00E14121">
        <w:rPr>
          <w:rFonts w:ascii="Narkisim" w:hAnsi="Narkisim" w:cs="Narkisim"/>
          <w:b/>
          <w:bCs/>
          <w:rtl/>
        </w:rPr>
        <w:t>ר”ן</w:t>
      </w:r>
      <w:r w:rsidRPr="00E14121">
        <w:rPr>
          <w:rFonts w:ascii="Narkisim" w:hAnsi="Narkisim" w:cs="Narkisim"/>
          <w:rtl/>
        </w:rPr>
        <w:t xml:space="preserve"> (שם) ציין דכוונתו דבסוגיין מבואר דבעינן מעת לעת.</w:t>
      </w:r>
    </w:p>
    <w:p w14:paraId="4655835F" w14:textId="77777777" w:rsidR="00F64AED" w:rsidRPr="00E14121" w:rsidRDefault="00F64AED" w:rsidP="00F64AED">
      <w:pPr>
        <w:bidi/>
        <w:rPr>
          <w:rFonts w:ascii="Narkisim" w:hAnsi="Narkisim" w:cs="Narkisim"/>
        </w:rPr>
      </w:pPr>
      <w:r w:rsidRPr="00E14121">
        <w:rPr>
          <w:rFonts w:ascii="Narkisim" w:hAnsi="Narkisim" w:cs="Narkisim"/>
          <w:u w:val="single"/>
          <w:rtl/>
        </w:rPr>
        <w:t>דכאיב ליה עיניה.</w:t>
      </w:r>
      <w:r w:rsidRPr="00E14121">
        <w:rPr>
          <w:rFonts w:ascii="Narkisim" w:hAnsi="Narkisim" w:cs="Narkisim"/>
          <w:rtl/>
        </w:rPr>
        <w:t xml:space="preserve"> ה</w:t>
      </w:r>
      <w:r w:rsidRPr="00E14121">
        <w:rPr>
          <w:rFonts w:ascii="Narkisim" w:hAnsi="Narkisim" w:cs="Narkisim"/>
          <w:b/>
          <w:bCs/>
          <w:rtl/>
        </w:rPr>
        <w:t xml:space="preserve">רמב"ן </w:t>
      </w:r>
      <w:r w:rsidRPr="00E14121">
        <w:rPr>
          <w:rFonts w:ascii="Narkisim" w:hAnsi="Narkisim" w:cs="Narkisim"/>
          <w:rtl/>
        </w:rPr>
        <w:t>וה</w:t>
      </w:r>
      <w:r w:rsidRPr="00E14121">
        <w:rPr>
          <w:rFonts w:ascii="Narkisim" w:hAnsi="Narkisim" w:cs="Narkisim"/>
          <w:b/>
          <w:bCs/>
          <w:rtl/>
        </w:rPr>
        <w:t>רשב"א</w:t>
      </w:r>
      <w:r w:rsidRPr="00E14121">
        <w:rPr>
          <w:rFonts w:ascii="Narkisim" w:hAnsi="Narkisim" w:cs="Narkisim"/>
          <w:rtl/>
        </w:rPr>
        <w:t xml:space="preserve"> כת' דשמעינן מינה דאפי' משום כיבא בעלמא לתינוק דוחים את המילה</w:t>
      </w:r>
      <w:r w:rsidRPr="00E14121">
        <w:rPr>
          <w:rStyle w:val="ac"/>
          <w:rFonts w:ascii="Narkisim" w:hAnsi="Narkisim" w:cs="Narkisim"/>
          <w:rtl/>
        </w:rPr>
        <w:footnoteReference w:id="4350"/>
      </w:r>
      <w:r w:rsidRPr="00E14121">
        <w:rPr>
          <w:rFonts w:ascii="Narkisim" w:hAnsi="Narkisim" w:cs="Narkisim"/>
          <w:rtl/>
        </w:rPr>
        <w:t>. דחיישינן שמתוך הכאב יסתכן ע”י המילה</w:t>
      </w:r>
      <w:r w:rsidRPr="00E14121">
        <w:rPr>
          <w:rStyle w:val="ac"/>
          <w:rFonts w:ascii="Narkisim" w:hAnsi="Narkisim" w:cs="Narkisim"/>
          <w:rtl/>
        </w:rPr>
        <w:footnoteReference w:id="4351"/>
      </w:r>
      <w:r w:rsidRPr="00E14121">
        <w:rPr>
          <w:rFonts w:ascii="Narkisim" w:hAnsi="Narkisim" w:cs="Narkisim"/>
          <w:rtl/>
        </w:rPr>
        <w:t>. ולא תימא שאני עינא דשוריקי דליבא בעינא תלו (כדאי' בע"ז כח.)</w:t>
      </w:r>
      <w:r w:rsidRPr="00E14121">
        <w:rPr>
          <w:rStyle w:val="ac"/>
          <w:rFonts w:ascii="Narkisim" w:hAnsi="Narkisim" w:cs="Narkisim"/>
          <w:rtl/>
        </w:rPr>
        <w:footnoteReference w:id="4352"/>
      </w:r>
      <w:r w:rsidRPr="00E14121">
        <w:rPr>
          <w:rFonts w:ascii="Narkisim" w:hAnsi="Narkisim" w:cs="Narkisim"/>
          <w:rtl/>
        </w:rPr>
        <w:t xml:space="preserve">. דמשמע כאיב כל דהו, ולאו דאיכא סכנה. </w:t>
      </w:r>
      <w:r w:rsidRPr="00E14121">
        <w:rPr>
          <w:rFonts w:ascii="Narkisim" w:hAnsi="Narkisim" w:cs="Narkisim"/>
          <w:rtl/>
        </w:rPr>
        <w:lastRenderedPageBreak/>
        <w:t>ואילו היה מחמת חולי נותנים ז' ימים. וכ"כ ה</w:t>
      </w:r>
      <w:r w:rsidRPr="00E14121">
        <w:rPr>
          <w:rFonts w:ascii="Narkisim" w:hAnsi="Narkisim" w:cs="Narkisim"/>
          <w:b/>
          <w:bCs/>
          <w:rtl/>
        </w:rPr>
        <w:t>ריטב"א</w:t>
      </w:r>
      <w:r w:rsidRPr="00E14121">
        <w:rPr>
          <w:rFonts w:ascii="Narkisim" w:hAnsi="Narkisim" w:cs="Narkisim"/>
          <w:rtl/>
        </w:rPr>
        <w:t xml:space="preserve"> ו</w:t>
      </w:r>
      <w:r w:rsidRPr="00E14121">
        <w:rPr>
          <w:rFonts w:ascii="Narkisim" w:hAnsi="Narkisim" w:cs="Narkisim"/>
          <w:b/>
          <w:bCs/>
          <w:rtl/>
        </w:rPr>
        <w:t>נמוק"י</w:t>
      </w:r>
      <w:r w:rsidRPr="00E14121">
        <w:rPr>
          <w:rFonts w:ascii="Narkisim" w:hAnsi="Narkisim" w:cs="Narkisim"/>
          <w:rtl/>
        </w:rPr>
        <w:t>.</w:t>
      </w:r>
    </w:p>
    <w:p w14:paraId="599DACFA" w14:textId="77777777" w:rsidR="00F64AED" w:rsidRPr="00E14121" w:rsidRDefault="00F64AED" w:rsidP="00F64AED">
      <w:pPr>
        <w:pStyle w:val="a8"/>
        <w:bidi/>
        <w:rPr>
          <w:rFonts w:ascii="Narkisim" w:hAnsi="Narkisim"/>
        </w:rPr>
      </w:pPr>
      <w:r w:rsidRPr="00E14121">
        <w:rPr>
          <w:rFonts w:ascii="Narkisim" w:hAnsi="Narkisim"/>
          <w:rtl/>
        </w:rPr>
        <w:t>ועוד כת'</w:t>
      </w:r>
      <w:r w:rsidRPr="00E14121">
        <w:rPr>
          <w:rFonts w:ascii="Narkisim" w:hAnsi="Narkisim"/>
          <w:b/>
          <w:bCs/>
          <w:rtl/>
        </w:rPr>
        <w:t xml:space="preserve"> </w:t>
      </w:r>
      <w:r w:rsidRPr="00E14121">
        <w:rPr>
          <w:rFonts w:ascii="Narkisim" w:hAnsi="Narkisim"/>
          <w:rtl/>
        </w:rPr>
        <w:t>דכאב גדול בעין ממתינים ז' ימים, דבליבא תליא [וכ"פ ה</w:t>
      </w:r>
      <w:r w:rsidRPr="00E14121">
        <w:rPr>
          <w:rFonts w:ascii="Narkisim" w:hAnsi="Narkisim"/>
          <w:b/>
          <w:bCs/>
          <w:rtl/>
        </w:rPr>
        <w:t>רמ"א</w:t>
      </w:r>
      <w:r w:rsidRPr="00E14121">
        <w:rPr>
          <w:rFonts w:ascii="Narkisim" w:hAnsi="Narkisim"/>
          <w:rtl/>
        </w:rPr>
        <w:t xml:space="preserve"> רסב ב]</w:t>
      </w:r>
      <w:r w:rsidRPr="00E14121">
        <w:rPr>
          <w:rStyle w:val="ac"/>
          <w:rFonts w:ascii="Narkisim" w:hAnsi="Narkisim"/>
          <w:rtl/>
        </w:rPr>
        <w:footnoteReference w:id="4353"/>
      </w:r>
      <w:r w:rsidRPr="00E14121">
        <w:rPr>
          <w:rFonts w:ascii="Narkisim" w:hAnsi="Narkisim"/>
          <w:rtl/>
        </w:rPr>
        <w:t>.</w:t>
      </w:r>
    </w:p>
    <w:p w14:paraId="1101C804" w14:textId="77777777" w:rsidR="00F64AED" w:rsidRPr="00E14121" w:rsidRDefault="00F64AED" w:rsidP="00F64AED">
      <w:pPr>
        <w:pStyle w:val="aa"/>
        <w:bidi/>
        <w:rPr>
          <w:rFonts w:ascii="Narkisim" w:hAnsi="Narkisim"/>
        </w:rPr>
      </w:pPr>
      <w:r w:rsidRPr="00E14121">
        <w:rPr>
          <w:rFonts w:ascii="Narkisim" w:hAnsi="Narkisim"/>
          <w:u w:val="single"/>
          <w:rtl/>
        </w:rPr>
        <w:t>ואיתפח ביני וביני.</w:t>
      </w:r>
      <w:r w:rsidRPr="00E14121">
        <w:rPr>
          <w:rFonts w:ascii="Narkisim" w:hAnsi="Narkisim"/>
          <w:rtl/>
        </w:rPr>
        <w:t xml:space="preserve"> ה</w:t>
      </w:r>
      <w:r w:rsidRPr="00E14121">
        <w:rPr>
          <w:rFonts w:ascii="Narkisim" w:hAnsi="Narkisim"/>
          <w:b/>
          <w:bCs/>
          <w:rtl/>
        </w:rPr>
        <w:t>רש"ש</w:t>
      </w:r>
      <w:r w:rsidRPr="00E14121">
        <w:rPr>
          <w:rFonts w:ascii="Narkisim" w:hAnsi="Narkisim"/>
          <w:rtl/>
        </w:rPr>
        <w:t xml:space="preserve"> כתב דהיינו ביום, שהוא ראוי למול. אבל בלילה אינו ראוי למול</w:t>
      </w:r>
      <w:r w:rsidRPr="00E14121">
        <w:rPr>
          <w:rStyle w:val="ac"/>
          <w:rFonts w:ascii="Narkisim" w:hAnsi="Narkisim"/>
          <w:rtl/>
        </w:rPr>
        <w:footnoteReference w:id="4354"/>
      </w:r>
      <w:r w:rsidRPr="00E14121">
        <w:rPr>
          <w:rFonts w:ascii="Narkisim" w:hAnsi="Narkisim"/>
          <w:rtl/>
        </w:rPr>
        <w:t>.</w:t>
      </w:r>
    </w:p>
    <w:p w14:paraId="0C630917" w14:textId="77777777" w:rsidR="00F64AED" w:rsidRPr="00E14121" w:rsidRDefault="00F64AED" w:rsidP="00F64AED">
      <w:pPr>
        <w:bidi/>
        <w:rPr>
          <w:rFonts w:ascii="Narkisim" w:hAnsi="Narkisim" w:cs="Narkisim"/>
        </w:rPr>
      </w:pPr>
      <w:r w:rsidRPr="00E14121">
        <w:rPr>
          <w:rFonts w:ascii="Narkisim" w:hAnsi="Narkisim" w:cs="Narkisim"/>
          <w:u w:val="single"/>
          <w:rtl/>
        </w:rPr>
        <w:t>שהיו אביו ואמו חבושין.</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דמצות מילה מוטלת עליהם וכו'. בפשוטו משמע דמצוות מילה מוטלת אף על האם, וה</w:t>
      </w:r>
      <w:r w:rsidRPr="00E14121">
        <w:rPr>
          <w:rFonts w:ascii="Narkisim" w:hAnsi="Narkisim" w:cs="Narkisim"/>
          <w:b/>
          <w:bCs/>
          <w:rtl/>
        </w:rPr>
        <w:t>מהרש"א</w:t>
      </w:r>
      <w:r w:rsidRPr="00E14121">
        <w:rPr>
          <w:rFonts w:ascii="Narkisim" w:hAnsi="Narkisim" w:cs="Narkisim"/>
          <w:rtl/>
        </w:rPr>
        <w:t xml:space="preserve"> תמה דקי"ל (קידושין כט.) דהיא אינה חייבת למול את בנה.</w:t>
      </w:r>
    </w:p>
    <w:p w14:paraId="4E605D58"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מהרש"א</w:t>
      </w:r>
      <w:r w:rsidRPr="00E14121">
        <w:rPr>
          <w:rFonts w:ascii="Narkisim" w:hAnsi="Narkisim"/>
          <w:rtl/>
        </w:rPr>
        <w:t xml:space="preserve"> כת' דמ"מ מעכב אותה מלאכול בפסח, כדאי' (לעיל מח.) ולא עבד אשה</w:t>
      </w:r>
      <w:r w:rsidRPr="00E14121">
        <w:rPr>
          <w:rStyle w:val="ac"/>
          <w:rFonts w:ascii="Narkisim" w:hAnsi="Narkisim"/>
          <w:rtl/>
        </w:rPr>
        <w:footnoteReference w:id="4355"/>
      </w:r>
      <w:r w:rsidRPr="00E14121">
        <w:rPr>
          <w:rFonts w:ascii="Narkisim" w:hAnsi="Narkisim"/>
          <w:rtl/>
        </w:rPr>
        <w:t>. ומש"ה חייבת למולו [בערב פסח]. ולפ"ז מבואר דאף דמשום מצוות מילה אינו מצווה, מ"מ מעכב אותה מלאכול בפסח. וחייבת למול מחמת מצוות פסח</w:t>
      </w:r>
      <w:r w:rsidRPr="00E14121">
        <w:rPr>
          <w:rStyle w:val="ac"/>
          <w:rFonts w:ascii="Narkisim" w:hAnsi="Narkisim"/>
          <w:rtl/>
        </w:rPr>
        <w:footnoteReference w:id="4356"/>
      </w:r>
      <w:r w:rsidRPr="00E14121">
        <w:rPr>
          <w:rFonts w:ascii="Narkisim" w:hAnsi="Narkisim"/>
          <w:rtl/>
        </w:rPr>
        <w:t>. וע' בסמוך.</w:t>
      </w:r>
    </w:p>
    <w:p w14:paraId="61E9D654" w14:textId="77777777" w:rsidR="00F64AED" w:rsidRPr="00E14121" w:rsidRDefault="00F64AED" w:rsidP="00F64AED">
      <w:pPr>
        <w:bidi/>
        <w:rPr>
          <w:rFonts w:ascii="Narkisim" w:hAnsi="Narkisim" w:cs="Narkisim"/>
        </w:rPr>
      </w:pPr>
      <w:r w:rsidRPr="00E14121">
        <w:rPr>
          <w:rFonts w:ascii="Narkisim" w:hAnsi="Narkisim" w:cs="Narkisim"/>
          <w:rtl/>
        </w:rPr>
        <w:t>וב</w:t>
      </w:r>
      <w:r w:rsidRPr="00E14121">
        <w:rPr>
          <w:rFonts w:ascii="Narkisim" w:hAnsi="Narkisim" w:cs="Narkisim"/>
          <w:b/>
          <w:bCs/>
          <w:rtl/>
        </w:rPr>
        <w:t>חי' ר"א מן ההר</w:t>
      </w:r>
      <w:r w:rsidRPr="00E14121">
        <w:rPr>
          <w:rFonts w:ascii="Narkisim" w:hAnsi="Narkisim" w:cs="Narkisim"/>
          <w:rtl/>
        </w:rPr>
        <w:t xml:space="preserve"> כתב דאף דאמו אינה חייבת </w:t>
      </w:r>
      <w:r w:rsidRPr="00E14121">
        <w:rPr>
          <w:rFonts w:ascii="Narkisim" w:hAnsi="Narkisim" w:cs="Narkisim"/>
          <w:sz w:val="20"/>
          <w:szCs w:val="20"/>
          <w:rtl/>
        </w:rPr>
        <w:t>[ודלא כרש”י],</w:t>
      </w:r>
      <w:r w:rsidRPr="00E14121">
        <w:rPr>
          <w:rFonts w:ascii="Narkisim" w:hAnsi="Narkisim" w:cs="Narkisim"/>
          <w:rtl/>
        </w:rPr>
        <w:t xml:space="preserve"> מ"מ היא משתדלת למולו</w:t>
      </w:r>
      <w:r w:rsidRPr="00E14121">
        <w:rPr>
          <w:rStyle w:val="ac"/>
          <w:rFonts w:ascii="Narkisim" w:hAnsi="Narkisim" w:cs="Narkisim"/>
          <w:rtl/>
        </w:rPr>
        <w:footnoteReference w:id="4357"/>
      </w:r>
      <w:r w:rsidRPr="00E14121">
        <w:rPr>
          <w:rFonts w:ascii="Narkisim" w:hAnsi="Narkisim" w:cs="Narkisim"/>
          <w:rtl/>
        </w:rPr>
        <w:t xml:space="preserve">. ולא היה צריך קרא למעט, דמילתא דלא אפשר הוא. </w:t>
      </w:r>
      <w:r w:rsidRPr="00E14121">
        <w:rPr>
          <w:rFonts w:ascii="Narkisim" w:hAnsi="Narkisim" w:cs="Narkisim"/>
          <w:sz w:val="20"/>
          <w:szCs w:val="20"/>
          <w:rtl/>
        </w:rPr>
        <w:t>[דלא שכיח שלא תמול את בנה, אבל אם נתעצלה אינו מעכב בפסח של האב].</w:t>
      </w:r>
      <w:r w:rsidRPr="00E14121">
        <w:rPr>
          <w:rFonts w:ascii="Narkisim" w:hAnsi="Narkisim" w:cs="Narkisim"/>
          <w:rtl/>
        </w:rPr>
        <w:t xml:space="preserve"> וכ"כ ה</w:t>
      </w:r>
      <w:r w:rsidRPr="00E14121">
        <w:rPr>
          <w:rFonts w:ascii="Narkisim" w:hAnsi="Narkisim" w:cs="Narkisim"/>
          <w:b/>
          <w:bCs/>
          <w:rtl/>
        </w:rPr>
        <w:t>או"ז</w:t>
      </w:r>
      <w:r w:rsidRPr="00E14121">
        <w:rPr>
          <w:rFonts w:ascii="Narkisim" w:hAnsi="Narkisim" w:cs="Narkisim"/>
          <w:rtl/>
        </w:rPr>
        <w:t xml:space="preserve"> (ב צו), וכתב עוד א”נ שיטפיה נקט. </w:t>
      </w:r>
      <w:r w:rsidRPr="00E14121">
        <w:rPr>
          <w:rFonts w:ascii="Narkisim" w:hAnsi="Narkisim" w:cs="Narkisim"/>
          <w:sz w:val="20"/>
          <w:szCs w:val="20"/>
          <w:rtl/>
        </w:rPr>
        <w:t xml:space="preserve">וכתב דהוא דלא כמ”ש </w:t>
      </w:r>
      <w:r w:rsidRPr="00E14121">
        <w:rPr>
          <w:rFonts w:ascii="Narkisim" w:hAnsi="Narkisim" w:cs="Narkisim"/>
          <w:b/>
          <w:bCs/>
          <w:sz w:val="20"/>
          <w:szCs w:val="20"/>
          <w:rtl/>
        </w:rPr>
        <w:t>רש”י</w:t>
      </w:r>
      <w:r w:rsidRPr="00E14121">
        <w:rPr>
          <w:rFonts w:ascii="Narkisim" w:hAnsi="Narkisim" w:cs="Narkisim"/>
          <w:sz w:val="20"/>
          <w:szCs w:val="20"/>
          <w:rtl/>
        </w:rPr>
        <w:t xml:space="preserve"> דמוטל עליהם, משמע שהיא מיפקדה.</w:t>
      </w:r>
    </w:p>
    <w:p w14:paraId="62D03ACA" w14:textId="77777777" w:rsidR="00F64AED" w:rsidRPr="00E14121" w:rsidRDefault="00F64AED" w:rsidP="00F64AED">
      <w:pPr>
        <w:bidi/>
        <w:rPr>
          <w:rFonts w:ascii="Narkisim" w:hAnsi="Narkisim" w:cs="Narkisim"/>
        </w:rPr>
      </w:pPr>
      <w:r w:rsidRPr="00E14121">
        <w:rPr>
          <w:rFonts w:ascii="Narkisim" w:hAnsi="Narkisim" w:cs="Narkisim"/>
          <w:rtl/>
        </w:rPr>
        <w:t>אבל ב</w:t>
      </w:r>
      <w:r w:rsidRPr="00E14121">
        <w:rPr>
          <w:rFonts w:ascii="Narkisim" w:hAnsi="Narkisim" w:cs="Narkisim"/>
          <w:b/>
          <w:bCs/>
          <w:rtl/>
        </w:rPr>
        <w:t>שו"ת מהר"ח או"ז</w:t>
      </w:r>
      <w:r w:rsidRPr="00E14121">
        <w:rPr>
          <w:rFonts w:ascii="Narkisim" w:hAnsi="Narkisim" w:cs="Narkisim"/>
          <w:rtl/>
        </w:rPr>
        <w:t xml:space="preserve"> (יא) כתב דהאם חייבת לעסוק במילתו</w:t>
      </w:r>
      <w:r w:rsidRPr="00E14121">
        <w:rPr>
          <w:rStyle w:val="ac"/>
          <w:rFonts w:ascii="Narkisim" w:hAnsi="Narkisim" w:cs="Narkisim"/>
          <w:rtl/>
        </w:rPr>
        <w:footnoteReference w:id="4358"/>
      </w:r>
      <w:r w:rsidRPr="00E14121">
        <w:rPr>
          <w:rFonts w:ascii="Narkisim" w:hAnsi="Narkisim" w:cs="Narkisim"/>
          <w:rtl/>
        </w:rPr>
        <w:t>, דלא ממעט לה קרא אלא היכא דאיתיה לאביו</w:t>
      </w:r>
      <w:r w:rsidRPr="00E14121">
        <w:rPr>
          <w:rStyle w:val="ac"/>
          <w:rFonts w:ascii="Narkisim" w:hAnsi="Narkisim" w:cs="Narkisim"/>
          <w:rtl/>
        </w:rPr>
        <w:footnoteReference w:id="4359"/>
      </w:r>
      <w:r w:rsidRPr="00E14121">
        <w:rPr>
          <w:rFonts w:ascii="Narkisim" w:hAnsi="Narkisim" w:cs="Narkisim"/>
          <w:rtl/>
        </w:rPr>
        <w:t>. וכתב דמ"מ בי"ד אין להם להתעסק במילה, דאינו מוטל על אחרים כי היו בטוחים שאביו יצא ויעסוק במילתו</w:t>
      </w:r>
      <w:r w:rsidRPr="00E14121">
        <w:rPr>
          <w:rStyle w:val="ac"/>
          <w:rFonts w:ascii="Narkisim" w:hAnsi="Narkisim" w:cs="Narkisim"/>
          <w:rtl/>
        </w:rPr>
        <w:footnoteReference w:id="4360"/>
      </w:r>
      <w:r w:rsidRPr="00E14121">
        <w:rPr>
          <w:rFonts w:ascii="Narkisim" w:hAnsi="Narkisim" w:cs="Narkisim"/>
          <w:rtl/>
        </w:rPr>
        <w:t xml:space="preserve">. </w:t>
      </w:r>
      <w:r w:rsidRPr="00E14121">
        <w:rPr>
          <w:rFonts w:ascii="Narkisim" w:hAnsi="Narkisim" w:cs="Narkisim"/>
          <w:sz w:val="20"/>
          <w:szCs w:val="20"/>
          <w:rtl/>
        </w:rPr>
        <w:t>[והחיוב על בי"ד הוא רק אם האב אינו יכול למול</w:t>
      </w:r>
      <w:r w:rsidRPr="00E14121">
        <w:rPr>
          <w:rStyle w:val="ac"/>
          <w:rFonts w:ascii="Narkisim" w:hAnsi="Narkisim" w:cs="Narkisim"/>
          <w:sz w:val="20"/>
          <w:szCs w:val="20"/>
          <w:rtl/>
        </w:rPr>
        <w:footnoteReference w:id="4361"/>
      </w:r>
      <w:r w:rsidRPr="00E14121">
        <w:rPr>
          <w:rFonts w:ascii="Narkisim" w:hAnsi="Narkisim" w:cs="Narkisim"/>
          <w:sz w:val="20"/>
          <w:szCs w:val="20"/>
          <w:rtl/>
        </w:rPr>
        <w:t>, אבל חיוב האם הוא כל זמן שהאב אינו לפנינו].</w:t>
      </w:r>
    </w:p>
    <w:p w14:paraId="696C5543" w14:textId="77777777" w:rsidR="00F64AED" w:rsidRPr="00E14121" w:rsidRDefault="00F64AED" w:rsidP="00F64AED">
      <w:pPr>
        <w:pStyle w:val="a8"/>
        <w:bidi/>
        <w:rPr>
          <w:rFonts w:ascii="Narkisim" w:hAnsi="Narkisim"/>
        </w:rPr>
      </w:pPr>
      <w:r w:rsidRPr="00E14121">
        <w:rPr>
          <w:rFonts w:ascii="Narkisim" w:hAnsi="Narkisim"/>
          <w:rtl/>
        </w:rPr>
        <w:t>ומבואר מדברי מהר"ח או"ז דאילו בי"ד היו חייבים למול, א"כ היה מעכב בפסח של האב, ואף שהוא אנוס בדבר, מ"מ הוה חיוב שלו, וראוי להתקיים החיוב</w:t>
      </w:r>
      <w:r w:rsidRPr="00E14121">
        <w:rPr>
          <w:rStyle w:val="ac"/>
          <w:rFonts w:ascii="Narkisim" w:hAnsi="Narkisim"/>
          <w:rtl/>
        </w:rPr>
        <w:footnoteReference w:id="4362"/>
      </w:r>
      <w:r w:rsidRPr="00E14121">
        <w:rPr>
          <w:rFonts w:ascii="Narkisim" w:hAnsi="Narkisim"/>
          <w:rtl/>
        </w:rPr>
        <w:t>. ועד"ז דנו האחרונים לפרש את דברי רש"י, דכיון דהאם רגילה להשתדל במילה</w:t>
      </w:r>
      <w:r w:rsidRPr="00E14121">
        <w:rPr>
          <w:rStyle w:val="ac"/>
          <w:rFonts w:ascii="Narkisim" w:hAnsi="Narkisim"/>
          <w:rtl/>
        </w:rPr>
        <w:footnoteReference w:id="4363"/>
      </w:r>
      <w:r w:rsidRPr="00E14121">
        <w:rPr>
          <w:rFonts w:ascii="Narkisim" w:hAnsi="Narkisim"/>
          <w:rtl/>
        </w:rPr>
        <w:t>, עי"ז מעכב בפסח של האב.</w:t>
      </w:r>
    </w:p>
    <w:p w14:paraId="7C0FCB2B" w14:textId="77777777" w:rsidR="00F64AED" w:rsidRPr="00E14121" w:rsidRDefault="00F64AED" w:rsidP="00F64AED">
      <w:pPr>
        <w:bidi/>
        <w:rPr>
          <w:rFonts w:ascii="Narkisim" w:hAnsi="Narkisim" w:cs="Narkisim"/>
        </w:rPr>
      </w:pPr>
      <w:r w:rsidRPr="00E14121">
        <w:rPr>
          <w:rFonts w:ascii="Narkisim" w:hAnsi="Narkisim" w:cs="Narkisim"/>
          <w:u w:val="single"/>
          <w:rtl/>
        </w:rPr>
        <w:t>רש"י ד”ה חבושין.</w:t>
      </w:r>
      <w:r w:rsidRPr="00E14121">
        <w:rPr>
          <w:rFonts w:ascii="Narkisim" w:hAnsi="Narkisim" w:cs="Narkisim"/>
          <w:rtl/>
        </w:rPr>
        <w:t xml:space="preserve"> ושחט שלוחן עליהם. ה</w:t>
      </w:r>
      <w:r w:rsidRPr="00E14121">
        <w:rPr>
          <w:rFonts w:ascii="Narkisim" w:hAnsi="Narkisim" w:cs="Narkisim"/>
          <w:b/>
          <w:bCs/>
          <w:rtl/>
        </w:rPr>
        <w:t>מאירי</w:t>
      </w:r>
      <w:r w:rsidRPr="00E14121">
        <w:rPr>
          <w:rFonts w:ascii="Narkisim" w:hAnsi="Narkisim" w:cs="Narkisim"/>
          <w:rtl/>
        </w:rPr>
        <w:t xml:space="preserve"> כתב שמעינן מהכא דאין אומרים לו למול ע"י שליח, אלא כל שאינו יכול למולו אינו מעכבתו</w:t>
      </w:r>
      <w:r w:rsidRPr="00E14121">
        <w:rPr>
          <w:rStyle w:val="ac"/>
          <w:rFonts w:ascii="Narkisim" w:hAnsi="Narkisim" w:cs="Narkisim"/>
          <w:rtl/>
        </w:rPr>
        <w:footnoteReference w:id="4364"/>
      </w:r>
      <w:r w:rsidRPr="00E14121">
        <w:rPr>
          <w:rFonts w:ascii="Narkisim" w:hAnsi="Narkisim" w:cs="Narkisim"/>
          <w:rtl/>
        </w:rPr>
        <w:t>.</w:t>
      </w:r>
    </w:p>
    <w:p w14:paraId="04F23D0A" w14:textId="77777777" w:rsidR="00F64AED" w:rsidRPr="00E14121" w:rsidRDefault="00F64AED" w:rsidP="00F64AED">
      <w:pPr>
        <w:bidi/>
        <w:rPr>
          <w:rFonts w:ascii="Narkisim" w:hAnsi="Narkisim" w:cs="Narkisim"/>
        </w:rPr>
      </w:pPr>
      <w:r w:rsidRPr="00E14121">
        <w:rPr>
          <w:rFonts w:ascii="Narkisim" w:hAnsi="Narkisim" w:cs="Narkisim"/>
          <w:u w:val="single"/>
          <w:rtl/>
        </w:rPr>
        <w:t>טומטום שנקרע ביני וביני.</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(ע.) הביאו מכאן דאינו חייב לקרוע משום מצוות מילה </w:t>
      </w:r>
      <w:r w:rsidRPr="00E14121">
        <w:rPr>
          <w:rFonts w:ascii="Narkisim" w:hAnsi="Narkisim" w:cs="Narkisim"/>
          <w:sz w:val="20"/>
          <w:szCs w:val="20"/>
          <w:rtl/>
        </w:rPr>
        <w:lastRenderedPageBreak/>
        <w:t>[והוה כחבושים בבית האסורים]</w:t>
      </w:r>
      <w:r w:rsidRPr="00E14121">
        <w:rPr>
          <w:rFonts w:ascii="Narkisim" w:hAnsi="Narkisim" w:cs="Narkisim"/>
          <w:rtl/>
        </w:rPr>
        <w:t xml:space="preserve">. ותוס' הוכיחו מזה דלא כר"ת, דלר"ת כיון דאינו חייב, הוה כמתו אחיו מחמת מילה </w:t>
      </w:r>
      <w:r w:rsidRPr="00E14121">
        <w:rPr>
          <w:rFonts w:ascii="Narkisim" w:hAnsi="Narkisim" w:cs="Narkisim"/>
          <w:sz w:val="20"/>
          <w:szCs w:val="20"/>
          <w:rtl/>
        </w:rPr>
        <w:t>[ותלי בספק הגמ' דהוא עצמו יאכל בתרומה]</w:t>
      </w:r>
      <w:r w:rsidRPr="00E14121">
        <w:rPr>
          <w:rFonts w:ascii="Narkisim" w:hAnsi="Narkisim" w:cs="Narkisim"/>
          <w:rtl/>
        </w:rPr>
        <w:t>. אבל ה</w:t>
      </w:r>
      <w:r w:rsidRPr="00E14121">
        <w:rPr>
          <w:rFonts w:ascii="Narkisim" w:hAnsi="Narkisim" w:cs="Narkisim"/>
          <w:b/>
          <w:bCs/>
          <w:rtl/>
        </w:rPr>
        <w:t>ריטב"א</w:t>
      </w:r>
      <w:r w:rsidRPr="00E14121">
        <w:rPr>
          <w:rFonts w:ascii="Narkisim" w:hAnsi="Narkisim" w:cs="Narkisim"/>
          <w:rtl/>
        </w:rPr>
        <w:t xml:space="preserve"> (ע.) כתב [לדעת ר"ת] דטומטום אפשר לו ליקרע, ובר מילה הוא קצת</w:t>
      </w:r>
      <w:r w:rsidRPr="00E14121">
        <w:rPr>
          <w:rStyle w:val="ac"/>
          <w:rFonts w:ascii="Narkisim" w:hAnsi="Narkisim" w:cs="Narkisim"/>
          <w:rtl/>
        </w:rPr>
        <w:footnoteReference w:id="4365"/>
      </w:r>
      <w:r w:rsidRPr="00E14121">
        <w:rPr>
          <w:rFonts w:ascii="Narkisim" w:hAnsi="Narkisim" w:cs="Narkisim"/>
          <w:rtl/>
        </w:rPr>
        <w:t xml:space="preserve">, ומיהו מפני שאינו עומד גמור אינו מעכב את האדון. </w:t>
      </w:r>
      <w:r w:rsidRPr="00E14121">
        <w:rPr>
          <w:rFonts w:ascii="Narkisim" w:hAnsi="Narkisim" w:cs="Narkisim"/>
          <w:sz w:val="20"/>
          <w:szCs w:val="20"/>
          <w:rtl/>
        </w:rPr>
        <w:t>[ומבואר מדבריו דאף לר"ת יש חילוק בין ערל עצמו, דתליא במה דאפשר לו לקיים, ואילו מילת בניו תליא בעומד למול].</w:t>
      </w:r>
      <w:r w:rsidRPr="00E14121">
        <w:rPr>
          <w:rFonts w:ascii="Narkisim" w:hAnsi="Narkisim" w:cs="Narkisim"/>
          <w:rtl/>
        </w:rPr>
        <w:t xml:space="preserve"> וכן חלצתו חמה </w:t>
      </w:r>
      <w:r w:rsidRPr="00E14121">
        <w:rPr>
          <w:rFonts w:ascii="Narkisim" w:hAnsi="Narkisim" w:cs="Narkisim"/>
          <w:sz w:val="20"/>
          <w:szCs w:val="20"/>
          <w:rtl/>
        </w:rPr>
        <w:t>[אינו אוכל בתרומה, דנחשב ערל אף לר"ת]</w:t>
      </w:r>
      <w:r w:rsidRPr="00E14121">
        <w:rPr>
          <w:rFonts w:ascii="Narkisim" w:hAnsi="Narkisim" w:cs="Narkisim"/>
          <w:rtl/>
        </w:rPr>
        <w:t>, דכבר מכין עצמו למול אחר הבראתו</w:t>
      </w:r>
      <w:r w:rsidRPr="00E14121">
        <w:rPr>
          <w:rStyle w:val="ac"/>
          <w:rFonts w:ascii="Narkisim" w:hAnsi="Narkisim" w:cs="Narkisim"/>
          <w:rtl/>
        </w:rPr>
        <w:footnoteReference w:id="4366"/>
      </w:r>
      <w:r w:rsidRPr="00E14121">
        <w:rPr>
          <w:rFonts w:ascii="Narkisim" w:hAnsi="Narkisim" w:cs="Narkisim"/>
          <w:rtl/>
        </w:rPr>
        <w:t>, אבל אינו מעכב לאדון, מפני שעתה בשעתו אינו בר מימהל.</w:t>
      </w:r>
    </w:p>
    <w:p w14:paraId="5C1C6B64"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כתב דאף שהאב אינו יודע למול, הרבה בקיאים למול. ואינן בקיאים קריעת טומטום. </w:t>
      </w:r>
      <w:r w:rsidRPr="00E14121">
        <w:rPr>
          <w:rFonts w:ascii="Narkisim" w:hAnsi="Narkisim"/>
          <w:sz w:val="20"/>
          <w:szCs w:val="20"/>
          <w:rtl/>
        </w:rPr>
        <w:t>[משמע דהחילוק האם יש כאן בקיאין, ולפ"ז אף כשאין מי שבקי במילה או דאין סכין, אינו מעכב בפסח של האב].</w:t>
      </w:r>
    </w:p>
    <w:p w14:paraId="4950D576" w14:textId="77777777" w:rsidR="00F64AED" w:rsidRPr="00E14121" w:rsidRDefault="00F64AED" w:rsidP="00F64AED">
      <w:pPr>
        <w:pStyle w:val="a8"/>
        <w:bidi/>
        <w:rPr>
          <w:rFonts w:ascii="Narkisim" w:hAnsi="Narkisim"/>
        </w:rPr>
      </w:pPr>
      <w:r w:rsidRPr="00E14121">
        <w:rPr>
          <w:rFonts w:ascii="Narkisim" w:hAnsi="Narkisim"/>
          <w:rtl/>
        </w:rPr>
        <w:t>ה</w:t>
      </w:r>
      <w:r w:rsidRPr="00E14121">
        <w:rPr>
          <w:rFonts w:ascii="Narkisim" w:hAnsi="Narkisim"/>
          <w:b/>
          <w:bCs/>
          <w:rtl/>
        </w:rPr>
        <w:t>מאירי</w:t>
      </w:r>
      <w:r w:rsidRPr="00E14121">
        <w:rPr>
          <w:rFonts w:ascii="Narkisim" w:hAnsi="Narkisim"/>
          <w:rtl/>
        </w:rPr>
        <w:t xml:space="preserve"> כת' שמעינן מהכא דטומטום שנקרע ביום הח' מלים אותו מיד. וכן אם לא נולד כולו עד יום ח' [מיציאת הראש], כשיצא מלים מיד. וכ"כ ה</w:t>
      </w:r>
      <w:r w:rsidRPr="00E14121">
        <w:rPr>
          <w:rFonts w:ascii="Narkisim" w:hAnsi="Narkisim"/>
          <w:b/>
          <w:bCs/>
          <w:rtl/>
        </w:rPr>
        <w:t>ב"י</w:t>
      </w:r>
      <w:r w:rsidRPr="00E14121">
        <w:rPr>
          <w:rFonts w:ascii="Narkisim" w:hAnsi="Narkisim"/>
          <w:rtl/>
        </w:rPr>
        <w:t xml:space="preserve"> (יו"ד רסב) בשם </w:t>
      </w:r>
      <w:r w:rsidRPr="00E14121">
        <w:rPr>
          <w:rFonts w:ascii="Narkisim" w:hAnsi="Narkisim"/>
          <w:b/>
          <w:bCs/>
          <w:rtl/>
        </w:rPr>
        <w:t>רבינו</w:t>
      </w:r>
      <w:r w:rsidRPr="00E14121">
        <w:rPr>
          <w:rFonts w:ascii="Narkisim" w:hAnsi="Narkisim"/>
          <w:rtl/>
        </w:rPr>
        <w:t xml:space="preserve"> </w:t>
      </w:r>
      <w:r w:rsidRPr="00E14121">
        <w:rPr>
          <w:rFonts w:ascii="Narkisim" w:hAnsi="Narkisim"/>
          <w:b/>
          <w:bCs/>
          <w:rtl/>
        </w:rPr>
        <w:t>ירוחם.</w:t>
      </w:r>
    </w:p>
    <w:p w14:paraId="3D19EC8E" w14:textId="77777777" w:rsidR="00F64AED" w:rsidRPr="00E14121" w:rsidRDefault="00F64AED" w:rsidP="00F64AED">
      <w:pPr>
        <w:bidi/>
        <w:rPr>
          <w:rFonts w:ascii="Narkisim" w:hAnsi="Narkisim" w:cs="Narkisim"/>
        </w:rPr>
      </w:pPr>
      <w:r w:rsidRPr="00E14121">
        <w:rPr>
          <w:rFonts w:ascii="Narkisim" w:hAnsi="Narkisim" w:cs="Narkisim"/>
          <w:i/>
          <w:iCs/>
          <w:sz w:val="21"/>
          <w:szCs w:val="21"/>
          <w:rtl/>
        </w:rPr>
        <w:t>גדר מילת בניו מעכבת</w:t>
      </w:r>
      <w:r w:rsidRPr="00E14121">
        <w:rPr>
          <w:rFonts w:ascii="Narkisim" w:hAnsi="Narkisim" w:cs="Narkisim"/>
          <w:rtl/>
        </w:rPr>
        <w:t xml:space="preserve"> - מבואר בסוגיין דחבושין בבית האסורין כיון דהוה אונס </w:t>
      </w:r>
      <w:r w:rsidRPr="00E14121">
        <w:rPr>
          <w:rFonts w:ascii="Narkisim" w:hAnsi="Narkisim" w:cs="Narkisim"/>
          <w:sz w:val="20"/>
          <w:szCs w:val="20"/>
          <w:rtl/>
        </w:rPr>
        <w:t>[אפי' אונס חיצוני</w:t>
      </w:r>
      <w:r w:rsidRPr="00E14121">
        <w:rPr>
          <w:rStyle w:val="ac"/>
          <w:rFonts w:ascii="Narkisim" w:hAnsi="Narkisim" w:cs="Narkisim"/>
          <w:sz w:val="20"/>
          <w:szCs w:val="20"/>
          <w:rtl/>
        </w:rPr>
        <w:footnoteReference w:id="4367"/>
      </w:r>
      <w:r w:rsidRPr="00E14121">
        <w:rPr>
          <w:rFonts w:ascii="Narkisim" w:hAnsi="Narkisim" w:cs="Narkisim"/>
          <w:sz w:val="20"/>
          <w:szCs w:val="20"/>
          <w:rtl/>
        </w:rPr>
        <w:t>]</w:t>
      </w:r>
      <w:r w:rsidRPr="00E14121">
        <w:rPr>
          <w:rFonts w:ascii="Narkisim" w:hAnsi="Narkisim" w:cs="Narkisim"/>
          <w:rtl/>
        </w:rPr>
        <w:t xml:space="preserve"> אינו מעכב את האב בפסח</w:t>
      </w:r>
      <w:r w:rsidRPr="00E14121">
        <w:rPr>
          <w:rStyle w:val="ac"/>
          <w:rFonts w:ascii="Narkisim" w:hAnsi="Narkisim" w:cs="Narkisim"/>
          <w:rtl/>
        </w:rPr>
        <w:footnoteReference w:id="4368"/>
      </w:r>
      <w:r w:rsidRPr="00E14121">
        <w:rPr>
          <w:rFonts w:ascii="Narkisim" w:hAnsi="Narkisim" w:cs="Narkisim"/>
          <w:rtl/>
        </w:rPr>
        <w:t>. ובפשוטו מבואר דמצוות מילת בנו מעכבתו בפסח, משום המצוה דרמי עליה. דאילו הוה משום גדר 'ערל', מ"ש משום דהוה אונס. ויש לדחות דלענין זה לא נחשב 'ערל' אא”כ חייב למול בפועל</w:t>
      </w:r>
      <w:r w:rsidRPr="00E14121">
        <w:rPr>
          <w:rStyle w:val="ac"/>
          <w:rFonts w:ascii="Narkisim" w:hAnsi="Narkisim" w:cs="Narkisim"/>
          <w:rtl/>
        </w:rPr>
        <w:footnoteReference w:id="4369"/>
      </w:r>
      <w:r w:rsidRPr="00E14121">
        <w:rPr>
          <w:rFonts w:ascii="Narkisim" w:hAnsi="Narkisim" w:cs="Narkisim"/>
          <w:rtl/>
        </w:rPr>
        <w:t xml:space="preserve"> [וכ"מ ב</w:t>
      </w:r>
      <w:r w:rsidRPr="00E14121">
        <w:rPr>
          <w:rFonts w:ascii="Narkisim" w:hAnsi="Narkisim" w:cs="Narkisim"/>
          <w:b/>
          <w:bCs/>
          <w:rtl/>
        </w:rPr>
        <w:t>ריטב"א</w:t>
      </w:r>
      <w:r w:rsidRPr="00E14121">
        <w:rPr>
          <w:rFonts w:ascii="Narkisim" w:hAnsi="Narkisim" w:cs="Narkisim"/>
          <w:rtl/>
        </w:rPr>
        <w:t>].</w:t>
      </w:r>
    </w:p>
    <w:p w14:paraId="2694D18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 xml:space="preserve">מהרש"א </w:t>
      </w:r>
      <w:r w:rsidRPr="00E14121">
        <w:rPr>
          <w:rFonts w:ascii="Narkisim" w:hAnsi="Narkisim"/>
          <w:rtl/>
        </w:rPr>
        <w:t>(הו' לעיל) נקט דמילת זכריו מעכב את האשה, אף שאינה חייבת למול [משום מצוות מילה</w:t>
      </w:r>
      <w:r w:rsidRPr="00E14121">
        <w:rPr>
          <w:rStyle w:val="ac"/>
          <w:rFonts w:ascii="Narkisim" w:hAnsi="Narkisim"/>
          <w:rtl/>
        </w:rPr>
        <w:footnoteReference w:id="4370"/>
      </w:r>
      <w:r w:rsidRPr="00E14121">
        <w:rPr>
          <w:rFonts w:ascii="Narkisim" w:hAnsi="Narkisim"/>
          <w:rtl/>
        </w:rPr>
        <w:t>], וכדאמרי' (לעיל מח.) ולא עבד אשה. אבל ה</w:t>
      </w:r>
      <w:r w:rsidRPr="00E14121">
        <w:rPr>
          <w:rFonts w:ascii="Narkisim" w:hAnsi="Narkisim"/>
          <w:b/>
          <w:bCs/>
          <w:rtl/>
        </w:rPr>
        <w:t>שאג"א</w:t>
      </w:r>
      <w:r w:rsidRPr="00E14121">
        <w:rPr>
          <w:rFonts w:ascii="Narkisim" w:hAnsi="Narkisim"/>
          <w:sz w:val="20"/>
          <w:szCs w:val="20"/>
          <w:rtl/>
        </w:rPr>
        <w:t xml:space="preserve"> (נג בתחילת דבריו)</w:t>
      </w:r>
      <w:r w:rsidRPr="00E14121">
        <w:rPr>
          <w:rFonts w:ascii="Narkisim" w:hAnsi="Narkisim"/>
          <w:rtl/>
        </w:rPr>
        <w:t xml:space="preserve"> הוכיח דהאשה חייבת במילת עבדים</w:t>
      </w:r>
      <w:r w:rsidRPr="00E14121">
        <w:rPr>
          <w:rFonts w:ascii="Narkisim" w:hAnsi="Narkisim"/>
          <w:sz w:val="20"/>
          <w:szCs w:val="20"/>
          <w:rtl/>
        </w:rPr>
        <w:t xml:space="preserve"> [וממועטת רק ממילת בנה].</w:t>
      </w:r>
    </w:p>
    <w:p w14:paraId="363664D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(שאג"א ומנח"ח ב ד, ויז) הביאו עוד ממש"כ ה</w:t>
      </w:r>
      <w:r w:rsidRPr="00E14121">
        <w:rPr>
          <w:rFonts w:ascii="Narkisim" w:hAnsi="Narkisim"/>
          <w:b/>
          <w:bCs/>
          <w:rtl/>
        </w:rPr>
        <w:t>רמב"ם</w:t>
      </w:r>
      <w:r w:rsidRPr="00E14121">
        <w:rPr>
          <w:rFonts w:ascii="Narkisim" w:hAnsi="Narkisim"/>
          <w:rtl/>
        </w:rPr>
        <w:t xml:space="preserve"> (ק"פ ה ו) דקטן שיש לו עבד אינו מעכבתו בפסח, דדרשי' ולא עבד קטן. והק' דתיפו"ל דקטן פטור מכל המצוות, ואינו מצווה למול עבדיו. [וה</w:t>
      </w:r>
      <w:r w:rsidRPr="00E14121">
        <w:rPr>
          <w:rFonts w:ascii="Narkisim" w:hAnsi="Narkisim"/>
          <w:b/>
          <w:bCs/>
          <w:rtl/>
        </w:rPr>
        <w:t>שאג"א</w:t>
      </w:r>
      <w:r w:rsidRPr="00E14121">
        <w:rPr>
          <w:rFonts w:ascii="Narkisim" w:hAnsi="Narkisim"/>
          <w:rtl/>
        </w:rPr>
        <w:t xml:space="preserve"> כתב דהרמב"ם כתב כן לרווחא במילתא].</w:t>
      </w:r>
    </w:p>
    <w:p w14:paraId="5FC71BD7" w14:textId="77777777" w:rsidR="00F64AED" w:rsidRPr="00E14121" w:rsidRDefault="00F64AED" w:rsidP="00F64AED">
      <w:pPr>
        <w:pStyle w:val="a7"/>
        <w:bidi/>
        <w:rPr>
          <w:rFonts w:ascii="Narkisim" w:hAnsi="Narkisim"/>
        </w:rPr>
      </w:pPr>
      <w:r w:rsidRPr="00E14121">
        <w:rPr>
          <w:rFonts w:ascii="Narkisim" w:hAnsi="Narkisim"/>
          <w:rtl/>
        </w:rPr>
        <w:t>ועוד הביא ה</w:t>
      </w:r>
      <w:r w:rsidRPr="00E14121">
        <w:rPr>
          <w:rFonts w:ascii="Narkisim" w:hAnsi="Narkisim"/>
          <w:b/>
          <w:bCs/>
          <w:rtl/>
        </w:rPr>
        <w:t>שאג"א</w:t>
      </w:r>
      <w:r w:rsidRPr="00E14121">
        <w:rPr>
          <w:rFonts w:ascii="Narkisim" w:hAnsi="Narkisim"/>
          <w:rtl/>
        </w:rPr>
        <w:t xml:space="preserve"> דה</w:t>
      </w:r>
      <w:r w:rsidRPr="00E14121">
        <w:rPr>
          <w:rFonts w:ascii="Narkisim" w:hAnsi="Narkisim"/>
          <w:b/>
          <w:bCs/>
          <w:rtl/>
        </w:rPr>
        <w:t>רמב"ם</w:t>
      </w:r>
      <w:r w:rsidRPr="00E14121">
        <w:rPr>
          <w:rFonts w:ascii="Narkisim" w:hAnsi="Narkisim"/>
          <w:rtl/>
        </w:rPr>
        <w:t xml:space="preserve"> (שם ה ה) פסק דטבילת שפחותיו מעכבתו בפסח, ואף דלא מצאנו חיוב לטובלם</w:t>
      </w:r>
      <w:r w:rsidRPr="00E14121">
        <w:rPr>
          <w:rFonts w:ascii="Narkisim" w:hAnsi="Narkisim"/>
          <w:sz w:val="20"/>
          <w:szCs w:val="20"/>
          <w:rtl/>
        </w:rPr>
        <w:t xml:space="preserve"> (ע' לעיל מח:)</w:t>
      </w:r>
      <w:r w:rsidRPr="00E14121">
        <w:rPr>
          <w:rFonts w:ascii="Narkisim" w:hAnsi="Narkisim"/>
          <w:rtl/>
        </w:rPr>
        <w:t>. וה</w:t>
      </w:r>
      <w:r w:rsidRPr="00E14121">
        <w:rPr>
          <w:rFonts w:ascii="Narkisim" w:hAnsi="Narkisim"/>
          <w:b/>
          <w:bCs/>
          <w:rtl/>
        </w:rPr>
        <w:t>מנח"ח</w:t>
      </w:r>
      <w:r w:rsidRPr="00E14121">
        <w:rPr>
          <w:rFonts w:ascii="Narkisim" w:hAnsi="Narkisim"/>
          <w:rtl/>
        </w:rPr>
        <w:t xml:space="preserve"> (יז יב) כתב דהתם הוה גזיה"כ, וטבילת עבד אינו מעכב, אלא טבילת שפחה.</w:t>
      </w:r>
    </w:p>
    <w:p w14:paraId="7483E67C"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w:t>
      </w:r>
      <w:r w:rsidRPr="00E14121">
        <w:rPr>
          <w:rFonts w:ascii="Narkisim" w:hAnsi="Narkisim"/>
          <w:szCs w:val="20"/>
          <w:rtl/>
        </w:rPr>
        <w:t>(סטנסל פסחים פה,פו)</w:t>
      </w:r>
      <w:r w:rsidRPr="00E14121">
        <w:rPr>
          <w:rFonts w:ascii="Narkisim" w:hAnsi="Narkisim"/>
          <w:rtl/>
        </w:rPr>
        <w:t xml:space="preserve"> תי' דאף שפחה קודם שטבלה הוה עכו"ם, ועכו"ם דינו כערל (כדלעיל בע”א). ועצם הגויות מעכבת בפסח</w:t>
      </w:r>
      <w:r w:rsidRPr="00E14121">
        <w:rPr>
          <w:rStyle w:val="ac"/>
          <w:rFonts w:ascii="Narkisim" w:hAnsi="Narkisim"/>
          <w:rtl/>
        </w:rPr>
        <w:footnoteReference w:id="4371"/>
      </w:r>
      <w:r w:rsidRPr="00E14121">
        <w:rPr>
          <w:rFonts w:ascii="Narkisim" w:hAnsi="Narkisim"/>
          <w:rtl/>
        </w:rPr>
        <w:t>.</w:t>
      </w:r>
    </w:p>
    <w:p w14:paraId="032E2C05" w14:textId="77777777" w:rsidR="00F64AED" w:rsidRPr="00E14121" w:rsidRDefault="00F64AED" w:rsidP="00F64AED">
      <w:pPr>
        <w:pStyle w:val="a7"/>
        <w:bidi/>
        <w:rPr>
          <w:rFonts w:ascii="Narkisim" w:hAnsi="Narkisim"/>
        </w:rPr>
      </w:pPr>
      <w:r w:rsidRPr="00E14121">
        <w:rPr>
          <w:rFonts w:ascii="Narkisim" w:hAnsi="Narkisim"/>
          <w:rtl/>
        </w:rPr>
        <w:t>ועוד דייק ה</w:t>
      </w:r>
      <w:r w:rsidRPr="00E14121">
        <w:rPr>
          <w:rFonts w:ascii="Narkisim" w:hAnsi="Narkisim"/>
          <w:b/>
          <w:bCs/>
          <w:rtl/>
        </w:rPr>
        <w:t>מנח"ח</w:t>
      </w:r>
      <w:r w:rsidRPr="00E14121">
        <w:rPr>
          <w:rFonts w:ascii="Narkisim" w:hAnsi="Narkisim"/>
          <w:rtl/>
        </w:rPr>
        <w:t xml:space="preserve"> דמילת בניו הגדולים אינו מעכבתו בפסח, כיון דלא רמי עליה. דאי משום עצם הערלה מ"ש.</w:t>
      </w:r>
    </w:p>
    <w:p w14:paraId="1D5B70CB" w14:textId="77777777" w:rsidR="00F64AED" w:rsidRPr="00E14121" w:rsidRDefault="00F64AED" w:rsidP="00F64AED">
      <w:pPr>
        <w:pStyle w:val="aa"/>
        <w:bidi/>
        <w:rPr>
          <w:rFonts w:ascii="Narkisim" w:hAnsi="Narkisim"/>
        </w:rPr>
      </w:pPr>
      <w:r w:rsidRPr="00E14121">
        <w:rPr>
          <w:rFonts w:ascii="Narkisim" w:hAnsi="Narkisim"/>
          <w:u w:val="single"/>
          <w:rtl/>
        </w:rPr>
        <w:t>רש"י ד"ה אין יכול לחיות.</w:t>
      </w:r>
      <w:r w:rsidRPr="00E14121">
        <w:rPr>
          <w:rFonts w:ascii="Narkisim" w:hAnsi="Narkisim"/>
          <w:rtl/>
        </w:rPr>
        <w:t xml:space="preserve"> משום דלא יניק. ע' מהר”ם.</w:t>
      </w:r>
    </w:p>
    <w:p w14:paraId="5802DF55" w14:textId="77777777" w:rsidR="00F64AED" w:rsidRPr="00E14121" w:rsidRDefault="00F64AED" w:rsidP="00F64AED">
      <w:pPr>
        <w:pStyle w:val="2"/>
        <w:bidi/>
        <w:rPr>
          <w:rFonts w:ascii="Narkisim" w:hAnsi="Narkisim"/>
        </w:rPr>
      </w:pPr>
      <w:r w:rsidRPr="00E14121">
        <w:rPr>
          <w:rFonts w:ascii="Narkisim" w:hAnsi="Narkisim"/>
          <w:rtl/>
        </w:rPr>
        <w:t>ערל מקבל הזאה</w:t>
      </w:r>
    </w:p>
    <w:p w14:paraId="013EAA95" w14:textId="77777777" w:rsidR="00F64AED" w:rsidRPr="00E14121" w:rsidRDefault="00F64AED" w:rsidP="00F64AED">
      <w:pPr>
        <w:bidi/>
        <w:rPr>
          <w:rFonts w:ascii="Narkisim" w:hAnsi="Narkisim" w:cs="Narkisim"/>
        </w:rPr>
      </w:pPr>
      <w:r w:rsidRPr="00E14121">
        <w:rPr>
          <w:rFonts w:ascii="Narkisim" w:hAnsi="Narkisim" w:cs="Narkisim"/>
          <w:u w:val="single"/>
          <w:rtl/>
        </w:rPr>
        <w:t>תוד"ה ערל.</w:t>
      </w:r>
      <w:r w:rsidRPr="00E14121">
        <w:rPr>
          <w:rFonts w:ascii="Narkisim" w:hAnsi="Narkisim" w:cs="Narkisim"/>
          <w:rtl/>
        </w:rPr>
        <w:t xml:space="preserve"> תימה לר”י למה יקבל הזאות וכו' ואפי' לר”ע וכו'</w:t>
      </w:r>
      <w:r w:rsidRPr="00E14121">
        <w:rPr>
          <w:rStyle w:val="ac"/>
          <w:rFonts w:ascii="Narkisim" w:hAnsi="Narkisim" w:cs="Narkisim"/>
          <w:rtl/>
        </w:rPr>
        <w:footnoteReference w:id="4372"/>
      </w:r>
      <w:r w:rsidRPr="00E14121">
        <w:rPr>
          <w:rFonts w:ascii="Narkisim" w:hAnsi="Narkisim" w:cs="Narkisim"/>
          <w:rtl/>
        </w:rPr>
        <w:t xml:space="preserve"> כדאמר מי חטאת שנטמאו</w:t>
      </w:r>
      <w:r w:rsidRPr="00E14121">
        <w:rPr>
          <w:rStyle w:val="ac"/>
          <w:rFonts w:ascii="Narkisim" w:hAnsi="Narkisim" w:cs="Narkisim"/>
          <w:rtl/>
        </w:rPr>
        <w:footnoteReference w:id="4373"/>
      </w:r>
      <w:r w:rsidRPr="00E14121">
        <w:rPr>
          <w:rFonts w:ascii="Narkisim" w:hAnsi="Narkisim" w:cs="Narkisim"/>
          <w:rtl/>
        </w:rPr>
        <w:t xml:space="preserve"> מטהרין, שהרי נדה</w:t>
      </w:r>
      <w:r w:rsidRPr="00E14121">
        <w:rPr>
          <w:rStyle w:val="ac"/>
          <w:rFonts w:ascii="Narkisim" w:hAnsi="Narkisim" w:cs="Narkisim"/>
          <w:rtl/>
        </w:rPr>
        <w:footnoteReference w:id="4374"/>
      </w:r>
      <w:r w:rsidRPr="00E14121">
        <w:rPr>
          <w:rFonts w:ascii="Narkisim" w:hAnsi="Narkisim" w:cs="Narkisim"/>
          <w:rtl/>
        </w:rPr>
        <w:t xml:space="preserve"> מזין עליה וכו'.</w:t>
      </w:r>
    </w:p>
    <w:p w14:paraId="5C22BC6A" w14:textId="77777777" w:rsidR="00F64AED" w:rsidRPr="00E14121" w:rsidRDefault="00F64AED" w:rsidP="00F64AED">
      <w:pPr>
        <w:pStyle w:val="a7"/>
        <w:bidi/>
        <w:rPr>
          <w:rFonts w:ascii="Narkisim" w:hAnsi="Narkisim"/>
        </w:rPr>
      </w:pPr>
      <w:r w:rsidRPr="00E14121">
        <w:rPr>
          <w:rFonts w:ascii="Narkisim" w:hAnsi="Narkisim"/>
          <w:rtl/>
        </w:rPr>
        <w:lastRenderedPageBreak/>
        <w:t>וה</w:t>
      </w:r>
      <w:r w:rsidRPr="00E14121">
        <w:rPr>
          <w:rFonts w:ascii="Narkisim" w:hAnsi="Narkisim"/>
          <w:b/>
          <w:bCs/>
          <w:rtl/>
        </w:rPr>
        <w:t>רמב"ם</w:t>
      </w:r>
      <w:r w:rsidRPr="00E14121">
        <w:rPr>
          <w:rFonts w:ascii="Narkisim" w:hAnsi="Narkisim"/>
          <w:rtl/>
        </w:rPr>
        <w:t xml:space="preserve"> (פרה יא ג) כת' דכל המטמאין מקבלין הזאה</w:t>
      </w:r>
      <w:r w:rsidRPr="00E14121">
        <w:rPr>
          <w:rStyle w:val="ac"/>
          <w:rFonts w:ascii="Narkisim" w:hAnsi="Narkisim"/>
          <w:rtl/>
        </w:rPr>
        <w:footnoteReference w:id="4375"/>
      </w:r>
      <w:r w:rsidRPr="00E14121">
        <w:rPr>
          <w:rFonts w:ascii="Narkisim" w:hAnsi="Narkisim"/>
          <w:rtl/>
        </w:rPr>
        <w:t xml:space="preserve"> וכו' וכן הערל מקבל הזאה. וקצת משמע דהוה דין א', וילפי' בסוגיין מהא דשאר טומאות מקבל הזאה.</w:t>
      </w:r>
    </w:p>
    <w:p w14:paraId="3BA327BE"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תוס'</w:t>
      </w:r>
      <w:r w:rsidRPr="00E14121">
        <w:rPr>
          <w:rFonts w:ascii="Narkisim" w:hAnsi="Narkisim"/>
          <w:rtl/>
        </w:rPr>
        <w:t xml:space="preserve"> ה</w:t>
      </w:r>
      <w:r w:rsidRPr="00E14121">
        <w:rPr>
          <w:rFonts w:ascii="Narkisim" w:hAnsi="Narkisim"/>
          <w:b/>
          <w:bCs/>
          <w:rtl/>
        </w:rPr>
        <w:t xml:space="preserve">רא"ש </w:t>
      </w:r>
      <w:r w:rsidRPr="00E14121">
        <w:rPr>
          <w:rFonts w:ascii="Narkisim" w:hAnsi="Narkisim"/>
          <w:rtl/>
        </w:rPr>
        <w:t>תי' דלר' עקיבא הוקש למצורע [איש איש כי יהיה צרוע], ומצורע איתקיש למת. וס”ד שלא יקבל הזאות</w:t>
      </w:r>
      <w:r w:rsidRPr="00E14121">
        <w:rPr>
          <w:rStyle w:val="ac"/>
          <w:rFonts w:ascii="Narkisim" w:hAnsi="Narkisim"/>
          <w:rtl/>
        </w:rPr>
        <w:footnoteReference w:id="4376"/>
      </w:r>
      <w:r w:rsidRPr="00E14121">
        <w:rPr>
          <w:rFonts w:ascii="Narkisim" w:hAnsi="Narkisim"/>
          <w:rtl/>
        </w:rPr>
        <w:t>.</w:t>
      </w:r>
    </w:p>
    <w:p w14:paraId="7D38854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תוס' מהר"ם ור"פ</w:t>
      </w:r>
      <w:r w:rsidRPr="00E14121">
        <w:rPr>
          <w:rFonts w:ascii="Narkisim" w:hAnsi="Narkisim"/>
          <w:rtl/>
        </w:rPr>
        <w:t xml:space="preserve"> תי' דכיון דאבותינו נכנסו לברית במילה וטבילה והרצאת דמים, וההזאה נעשית בתר מילה. וסד"א דכל הזאה לא סליק אלא בתר מילה</w:t>
      </w:r>
      <w:r w:rsidRPr="00E14121">
        <w:rPr>
          <w:rStyle w:val="ac"/>
          <w:rFonts w:ascii="Narkisim" w:hAnsi="Narkisim"/>
          <w:rtl/>
        </w:rPr>
        <w:footnoteReference w:id="4377"/>
      </w:r>
      <w:r w:rsidRPr="00E14121">
        <w:rPr>
          <w:rFonts w:ascii="Narkisim" w:hAnsi="Narkisim"/>
          <w:rtl/>
        </w:rPr>
        <w:t>.</w:t>
      </w:r>
    </w:p>
    <w:p w14:paraId="7C5DEC26" w14:textId="77777777" w:rsidR="00F64AED" w:rsidRPr="00E14121" w:rsidRDefault="00F64AED" w:rsidP="00F64AED">
      <w:pPr>
        <w:pStyle w:val="a8"/>
        <w:bidi/>
        <w:rPr>
          <w:rFonts w:ascii="Narkisim" w:hAnsi="Narkisim"/>
        </w:rPr>
      </w:pPr>
      <w:r w:rsidRPr="00E14121">
        <w:rPr>
          <w:rFonts w:ascii="Narkisim" w:hAnsi="Narkisim"/>
          <w:rtl/>
        </w:rPr>
        <w:t>ויל"ד האם החסרון במעשה ההזאה, או דאינו יכול ליטהר, כיון דיש עליו טומאה נוספת</w:t>
      </w:r>
      <w:r w:rsidRPr="00E14121">
        <w:rPr>
          <w:rStyle w:val="ac"/>
          <w:rFonts w:ascii="Narkisim" w:hAnsi="Narkisim"/>
          <w:rtl/>
        </w:rPr>
        <w:footnoteReference w:id="4378"/>
      </w:r>
      <w:r w:rsidRPr="00E14121">
        <w:rPr>
          <w:rFonts w:ascii="Narkisim" w:hAnsi="Narkisim"/>
          <w:rtl/>
        </w:rPr>
        <w:t>.</w:t>
      </w:r>
    </w:p>
    <w:p w14:paraId="3A397BA5" w14:textId="77777777" w:rsidR="00F64AED" w:rsidRPr="00E14121" w:rsidRDefault="00F64AED" w:rsidP="00F64AED">
      <w:pPr>
        <w:pStyle w:val="a8"/>
        <w:bidi/>
        <w:rPr>
          <w:rFonts w:ascii="Narkisim" w:hAnsi="Narkisim"/>
        </w:rPr>
      </w:pPr>
      <w:r w:rsidRPr="00E14121">
        <w:rPr>
          <w:rFonts w:ascii="Narkisim" w:hAnsi="Narkisim"/>
          <w:rtl/>
        </w:rPr>
        <w:t xml:space="preserve">וקצת משמע מדברי </w:t>
      </w:r>
      <w:r w:rsidRPr="00E14121">
        <w:rPr>
          <w:rFonts w:ascii="Narkisim" w:hAnsi="Narkisim"/>
          <w:b/>
          <w:bCs/>
          <w:rtl/>
        </w:rPr>
        <w:t>רש"י</w:t>
      </w:r>
      <w:r w:rsidRPr="00E14121">
        <w:rPr>
          <w:rFonts w:ascii="Narkisim" w:hAnsi="Narkisim"/>
          <w:rtl/>
        </w:rPr>
        <w:t xml:space="preserve"> (ד"ה ערל) דאף לס"ד מהני הזאת ערלות, אלא בעי הזאה נוספת לאכילת קדשים.</w:t>
      </w:r>
    </w:p>
    <w:p w14:paraId="4A493CF0"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הביאו דה</w:t>
      </w:r>
      <w:r w:rsidRPr="00E14121">
        <w:rPr>
          <w:rFonts w:ascii="Narkisim" w:hAnsi="Narkisim"/>
          <w:b/>
          <w:bCs/>
          <w:rtl/>
        </w:rPr>
        <w:t>רמב"ם</w:t>
      </w:r>
      <w:r w:rsidRPr="00E14121">
        <w:rPr>
          <w:rFonts w:ascii="Narkisim" w:hAnsi="Narkisim"/>
          <w:rtl/>
        </w:rPr>
        <w:t xml:space="preserve"> (נזירות י י) משמע דמצורע אינו מקבל הזאה. </w:t>
      </w:r>
      <w:r w:rsidRPr="00E14121">
        <w:rPr>
          <w:rFonts w:ascii="Narkisim" w:hAnsi="Narkisim"/>
          <w:sz w:val="20"/>
          <w:szCs w:val="20"/>
          <w:rtl/>
        </w:rPr>
        <w:t>אבל ה</w:t>
      </w:r>
      <w:r w:rsidRPr="00E14121">
        <w:rPr>
          <w:rFonts w:ascii="Narkisim" w:hAnsi="Narkisim"/>
          <w:b/>
          <w:bCs/>
          <w:sz w:val="20"/>
          <w:szCs w:val="20"/>
          <w:rtl/>
        </w:rPr>
        <w:t>לח”מ</w:t>
      </w:r>
      <w:r w:rsidRPr="00E14121">
        <w:rPr>
          <w:rFonts w:ascii="Narkisim" w:hAnsi="Narkisim"/>
          <w:sz w:val="20"/>
          <w:szCs w:val="20"/>
          <w:rtl/>
        </w:rPr>
        <w:t xml:space="preserve"> (שם יב, וכ”מ ב</w:t>
      </w:r>
      <w:r w:rsidRPr="00E14121">
        <w:rPr>
          <w:rFonts w:ascii="Narkisim" w:hAnsi="Narkisim"/>
          <w:b/>
          <w:bCs/>
          <w:sz w:val="20"/>
          <w:szCs w:val="20"/>
          <w:rtl/>
        </w:rPr>
        <w:t>רדב”ז</w:t>
      </w:r>
      <w:r w:rsidRPr="00E14121">
        <w:rPr>
          <w:rFonts w:ascii="Narkisim" w:hAnsi="Narkisim"/>
          <w:sz w:val="20"/>
          <w:szCs w:val="20"/>
          <w:rtl/>
        </w:rPr>
        <w:t xml:space="preserve"> שם) הקשה דמבואר בסוגיין דמהני הזאה, ונדחק דכוונת הרמב”ם באופ”א.</w:t>
      </w:r>
    </w:p>
    <w:p w14:paraId="76B38E6A"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רמב"ן</w:t>
      </w:r>
      <w:r w:rsidRPr="00E14121">
        <w:rPr>
          <w:rFonts w:ascii="Narkisim" w:hAnsi="Narkisim" w:cs="Narkisim"/>
          <w:rtl/>
        </w:rPr>
        <w:t xml:space="preserve"> הביא דה</w:t>
      </w:r>
      <w:r w:rsidRPr="00E14121">
        <w:rPr>
          <w:rFonts w:ascii="Narkisim" w:hAnsi="Narkisim" w:cs="Narkisim"/>
          <w:b/>
          <w:bCs/>
          <w:rtl/>
        </w:rPr>
        <w:t>ר"א אב"ד</w:t>
      </w:r>
      <w:r w:rsidRPr="00E14121">
        <w:rPr>
          <w:rFonts w:ascii="Narkisim" w:hAnsi="Narkisim" w:cs="Narkisim"/>
          <w:rtl/>
        </w:rPr>
        <w:t xml:space="preserve"> הקשה אמאי לא מייתי קרא להדיא דכתיב כל הורג נפש וכל נוגע בחלל תתחטאו, וערלים היו דהיה בשנת מ' במדבר, וכבר כלו מתי מדבר. והביא </w:t>
      </w:r>
      <w:r w:rsidRPr="00E14121">
        <w:rPr>
          <w:rFonts w:ascii="Narkisim" w:hAnsi="Narkisim" w:cs="Narkisim"/>
          <w:b/>
          <w:bCs/>
          <w:rtl/>
        </w:rPr>
        <w:t>י"מ</w:t>
      </w:r>
      <w:r w:rsidRPr="00E14121">
        <w:rPr>
          <w:rFonts w:ascii="Narkisim" w:hAnsi="Narkisim" w:cs="Narkisim"/>
          <w:rtl/>
        </w:rPr>
        <w:t xml:space="preserve"> שהיזו על אלו שהיו פחות מבן כ' או יותר מבן ס' כשיצאו ממצרים. ו</w:t>
      </w:r>
      <w:r w:rsidRPr="00E14121">
        <w:rPr>
          <w:rFonts w:ascii="Narkisim" w:hAnsi="Narkisim" w:cs="Narkisim"/>
          <w:b/>
          <w:bCs/>
          <w:rtl/>
        </w:rPr>
        <w:t>י"מ</w:t>
      </w:r>
      <w:r w:rsidRPr="00E14121">
        <w:rPr>
          <w:rFonts w:ascii="Narkisim" w:hAnsi="Narkisim" w:cs="Narkisim"/>
          <w:rtl/>
        </w:rPr>
        <w:t xml:space="preserve"> דתתחטאו, דראויין לקבל הזאה כשימולו קאמר.</w:t>
      </w:r>
    </w:p>
    <w:p w14:paraId="616B606F" w14:textId="77777777" w:rsidR="00F64AED" w:rsidRPr="00E14121" w:rsidRDefault="00F64AED" w:rsidP="00F64AED">
      <w:pPr>
        <w:pStyle w:val="aa"/>
        <w:bidi/>
        <w:rPr>
          <w:rFonts w:ascii="Narkisim" w:hAnsi="Narkisim"/>
        </w:rPr>
      </w:pPr>
      <w:r w:rsidRPr="00E14121">
        <w:rPr>
          <w:rFonts w:ascii="Narkisim" w:hAnsi="Narkisim"/>
          <w:u w:val="single"/>
          <w:rtl/>
        </w:rPr>
        <w:t>רש"י ד"ה הזאה.</w:t>
      </w:r>
      <w:r w:rsidRPr="00E14121">
        <w:rPr>
          <w:rFonts w:ascii="Narkisim" w:hAnsi="Narkisim"/>
          <w:rtl/>
        </w:rPr>
        <w:t xml:space="preserve"> שנטמאו באבותיהן וכו' שמתו במדבר. וה</w:t>
      </w:r>
      <w:r w:rsidRPr="00E14121">
        <w:rPr>
          <w:rFonts w:ascii="Narkisim" w:hAnsi="Narkisim"/>
          <w:b/>
          <w:bCs/>
          <w:rtl/>
        </w:rPr>
        <w:t>רמב"ן</w:t>
      </w:r>
      <w:r w:rsidRPr="00E14121">
        <w:rPr>
          <w:rFonts w:ascii="Narkisim" w:hAnsi="Narkisim"/>
          <w:rtl/>
        </w:rPr>
        <w:t xml:space="preserve"> הביא בשם </w:t>
      </w:r>
      <w:r w:rsidRPr="00E14121">
        <w:rPr>
          <w:rFonts w:ascii="Narkisim" w:hAnsi="Narkisim"/>
          <w:b/>
          <w:bCs/>
          <w:rtl/>
        </w:rPr>
        <w:t>רש"י</w:t>
      </w:r>
      <w:r w:rsidRPr="00E14121">
        <w:rPr>
          <w:rFonts w:ascii="Narkisim" w:hAnsi="Narkisim"/>
          <w:rtl/>
        </w:rPr>
        <w:t xml:space="preserve"> ד'קברו' אבותיהן. והקשה דאי' ב</w:t>
      </w:r>
      <w:r w:rsidRPr="00E14121">
        <w:rPr>
          <w:rFonts w:ascii="Narkisim" w:hAnsi="Narkisim"/>
          <w:b/>
          <w:bCs/>
          <w:rtl/>
        </w:rPr>
        <w:t>מדרש איכה</w:t>
      </w:r>
      <w:r w:rsidRPr="00E14121">
        <w:rPr>
          <w:rFonts w:ascii="Narkisim" w:hAnsi="Narkisim"/>
          <w:rtl/>
        </w:rPr>
        <w:t xml:space="preserve"> שהן עצמן חפרו, וקברו את עצמן. וכתב דמ"מ א"א שלא האהילו על המתים. א"נ נטמאו מעכו"ם במלחמת סיחון ומדין, שמטמאין במגע ומשא</w:t>
      </w:r>
      <w:r w:rsidRPr="00E14121">
        <w:rPr>
          <w:rStyle w:val="ac"/>
          <w:rFonts w:ascii="Narkisim" w:hAnsi="Narkisim"/>
          <w:rtl/>
        </w:rPr>
        <w:footnoteReference w:id="4379"/>
      </w:r>
      <w:r w:rsidRPr="00E14121">
        <w:rPr>
          <w:rFonts w:ascii="Narkisim" w:hAnsi="Narkisim"/>
          <w:rtl/>
        </w:rPr>
        <w:t>.</w:t>
      </w:r>
    </w:p>
    <w:p w14:paraId="6F5F59C3" w14:textId="77777777" w:rsidR="00F64AED" w:rsidRPr="00E14121" w:rsidRDefault="00F64AED" w:rsidP="00F64AED">
      <w:pPr>
        <w:pStyle w:val="aa"/>
        <w:bidi/>
        <w:rPr>
          <w:rFonts w:ascii="Narkisim" w:hAnsi="Narkisim"/>
        </w:rPr>
      </w:pPr>
      <w:r w:rsidRPr="00E14121">
        <w:rPr>
          <w:rFonts w:ascii="Narkisim" w:hAnsi="Narkisim"/>
          <w:u w:val="single"/>
          <w:rtl/>
        </w:rPr>
        <w:t>בא"ד ואית דמפרש כל הפורש מן הערלה כפורש מהקבר וכו'.</w:t>
      </w:r>
      <w:r w:rsidRPr="00E14121">
        <w:rPr>
          <w:rFonts w:ascii="Narkisim" w:hAnsi="Narkisim"/>
          <w:rtl/>
        </w:rPr>
        <w:t xml:space="preserve"> ה</w:t>
      </w:r>
      <w:r w:rsidRPr="00E14121">
        <w:rPr>
          <w:rFonts w:ascii="Narkisim" w:hAnsi="Narkisim"/>
          <w:b/>
          <w:bCs/>
          <w:rtl/>
        </w:rPr>
        <w:t xml:space="preserve">מהרש"ל </w:t>
      </w:r>
      <w:r w:rsidRPr="00E14121">
        <w:rPr>
          <w:rFonts w:ascii="Narkisim" w:hAnsi="Narkisim"/>
          <w:rtl/>
        </w:rPr>
        <w:t>תמה על פי' זה דא"כ היו צריכים הזאה ג' וז', ולא נגמרה טהרתם עד י"ח ניסן [והאיך הקריבו פסח בימי יהושע]. וכתב דצריך לדחוק דלא גזרו כ"כ להחשב כפורש עכשיו מהקבר, דצריך להמתין לשלישי להזות, אלא סגי בהזאה מיד באותו יום, וביום י"ד הזו בשביעי.</w:t>
      </w:r>
    </w:p>
    <w:p w14:paraId="38038D12" w14:textId="77777777" w:rsidR="00F64AED" w:rsidRPr="00E14121" w:rsidRDefault="00F64AED" w:rsidP="00F64AED">
      <w:pPr>
        <w:bidi/>
        <w:rPr>
          <w:rFonts w:ascii="Narkisim" w:hAnsi="Narkisim" w:cs="Narkisim"/>
        </w:rPr>
      </w:pPr>
      <w:r w:rsidRPr="00E14121">
        <w:rPr>
          <w:rFonts w:ascii="Narkisim" w:hAnsi="Narkisim" w:cs="Narkisim"/>
          <w:u w:val="single"/>
          <w:rtl/>
        </w:rPr>
        <w:t>לא ניתנה פריעת מילה לאברהם אבינו.</w:t>
      </w:r>
      <w:r w:rsidRPr="00E14121">
        <w:rPr>
          <w:rFonts w:ascii="Narkisim" w:hAnsi="Narkisim" w:cs="Narkisim"/>
          <w:rtl/>
        </w:rPr>
        <w:t xml:space="preserve"> ה</w:t>
      </w:r>
      <w:r w:rsidRPr="00E14121">
        <w:rPr>
          <w:rFonts w:ascii="Narkisim" w:hAnsi="Narkisim" w:cs="Narkisim"/>
          <w:b/>
          <w:bCs/>
          <w:rtl/>
        </w:rPr>
        <w:t xml:space="preserve">מאירי </w:t>
      </w:r>
      <w:r w:rsidRPr="00E14121">
        <w:rPr>
          <w:rFonts w:ascii="Narkisim" w:hAnsi="Narkisim" w:cs="Narkisim"/>
          <w:rtl/>
        </w:rPr>
        <w:t>כת' דבני קטורה מיהא לא נצטוו בפריעה. וכ"כ ה</w:t>
      </w:r>
      <w:r w:rsidRPr="00E14121">
        <w:rPr>
          <w:rFonts w:ascii="Narkisim" w:hAnsi="Narkisim" w:cs="Narkisim"/>
          <w:b/>
          <w:bCs/>
          <w:rtl/>
        </w:rPr>
        <w:t>שאג"א</w:t>
      </w:r>
      <w:r w:rsidRPr="00E14121">
        <w:rPr>
          <w:rFonts w:ascii="Narkisim" w:hAnsi="Narkisim" w:cs="Narkisim"/>
          <w:rtl/>
        </w:rPr>
        <w:t xml:space="preserve"> (מט)</w:t>
      </w:r>
      <w:r w:rsidRPr="00E14121">
        <w:rPr>
          <w:rStyle w:val="ac"/>
          <w:rFonts w:ascii="Narkisim" w:hAnsi="Narkisim" w:cs="Narkisim"/>
          <w:rtl/>
        </w:rPr>
        <w:footnoteReference w:id="4380"/>
      </w:r>
      <w:r w:rsidRPr="00E14121">
        <w:rPr>
          <w:rFonts w:ascii="Narkisim" w:hAnsi="Narkisim" w:cs="Narkisim"/>
          <w:rtl/>
        </w:rPr>
        <w:t>.</w:t>
      </w:r>
    </w:p>
    <w:p w14:paraId="7B47AF7F" w14:textId="77777777" w:rsidR="00F64AED" w:rsidRPr="00E14121" w:rsidRDefault="00F64AED" w:rsidP="00F64AED">
      <w:pPr>
        <w:bidi/>
        <w:rPr>
          <w:rFonts w:ascii="Narkisim" w:hAnsi="Narkisim" w:cs="Narkisim"/>
        </w:rPr>
      </w:pPr>
      <w:r w:rsidRPr="00E14121">
        <w:rPr>
          <w:rFonts w:ascii="Narkisim" w:hAnsi="Narkisim" w:cs="Narkisim"/>
          <w:u w:val="single"/>
          <w:rtl/>
        </w:rPr>
        <w:t>תוד"ה לא.</w:t>
      </w:r>
      <w:r w:rsidRPr="00E14121">
        <w:rPr>
          <w:rFonts w:ascii="Narkisim" w:hAnsi="Narkisim" w:cs="Narkisim"/>
          <w:rtl/>
        </w:rPr>
        <w:t xml:space="preserve"> ומ"מ אברהם פרע וכו' דאפי' עירוב קיים. וה</w:t>
      </w:r>
      <w:r w:rsidRPr="00E14121">
        <w:rPr>
          <w:rFonts w:ascii="Narkisim" w:hAnsi="Narkisim" w:cs="Narkisim"/>
          <w:b/>
          <w:bCs/>
          <w:rtl/>
        </w:rPr>
        <w:t>רמב"ן</w:t>
      </w:r>
      <w:r w:rsidRPr="00E14121">
        <w:rPr>
          <w:rFonts w:ascii="Narkisim" w:hAnsi="Narkisim" w:cs="Narkisim"/>
          <w:rtl/>
        </w:rPr>
        <w:t xml:space="preserve"> הביא כן מה</w:t>
      </w:r>
      <w:r w:rsidRPr="00E14121">
        <w:rPr>
          <w:rFonts w:ascii="Narkisim" w:hAnsi="Narkisim" w:cs="Narkisim"/>
          <w:b/>
          <w:bCs/>
          <w:rtl/>
        </w:rPr>
        <w:t>מדרש</w:t>
      </w:r>
      <w:r w:rsidRPr="00E14121">
        <w:rPr>
          <w:rFonts w:ascii="Narkisim" w:hAnsi="Narkisim" w:cs="Narkisim"/>
          <w:rtl/>
        </w:rPr>
        <w:t xml:space="preserve"> </w:t>
      </w:r>
      <w:r w:rsidRPr="00E14121">
        <w:rPr>
          <w:rFonts w:ascii="Narkisim" w:hAnsi="Narkisim" w:cs="Narkisim"/>
          <w:sz w:val="20"/>
          <w:szCs w:val="20"/>
          <w:rtl/>
        </w:rPr>
        <w:t>(הו' ב</w:t>
      </w:r>
      <w:r w:rsidRPr="00E14121">
        <w:rPr>
          <w:rFonts w:ascii="Narkisim" w:hAnsi="Narkisim" w:cs="Narkisim"/>
          <w:b/>
          <w:bCs/>
          <w:sz w:val="20"/>
          <w:szCs w:val="20"/>
          <w:rtl/>
        </w:rPr>
        <w:t>רש"י</w:t>
      </w:r>
      <w:r w:rsidRPr="00E14121">
        <w:rPr>
          <w:rFonts w:ascii="Narkisim" w:hAnsi="Narkisim" w:cs="Narkisim"/>
          <w:sz w:val="20"/>
          <w:szCs w:val="20"/>
          <w:rtl/>
        </w:rPr>
        <w:t xml:space="preserve"> בראשית יז כה)</w:t>
      </w:r>
      <w:r w:rsidRPr="00E14121">
        <w:rPr>
          <w:rFonts w:ascii="Narkisim" w:hAnsi="Narkisim" w:cs="Narkisim"/>
          <w:rtl/>
        </w:rPr>
        <w:t xml:space="preserve"> דכתיב בישמעאל 'את' בשר ערלתו דהוצרך לפרוע מילתו, אבל באברהם כתיב 'בשר ערלתו' כיון דנתמעך כבר ע"י אשה.</w:t>
      </w:r>
    </w:p>
    <w:p w14:paraId="082491AD"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ראשונים</w:t>
      </w:r>
      <w:r w:rsidRPr="00E14121">
        <w:rPr>
          <w:rFonts w:ascii="Narkisim" w:hAnsi="Narkisim"/>
          <w:rtl/>
        </w:rPr>
        <w:t xml:space="preserve"> הק' דאברהם לא מל עצמו קודם שנצטוה, והא אמרי' דקיים את כל המצוות</w:t>
      </w:r>
      <w:r w:rsidRPr="00E14121">
        <w:rPr>
          <w:rStyle w:val="ac"/>
          <w:rFonts w:ascii="Narkisim" w:hAnsi="Narkisim"/>
          <w:rtl/>
        </w:rPr>
        <w:footnoteReference w:id="4381"/>
      </w:r>
      <w:r w:rsidRPr="00E14121">
        <w:rPr>
          <w:rFonts w:ascii="Narkisim" w:hAnsi="Narkisim"/>
          <w:rtl/>
        </w:rPr>
        <w:t xml:space="preserve">. ובפי' </w:t>
      </w:r>
      <w:r w:rsidRPr="00E14121">
        <w:rPr>
          <w:rFonts w:ascii="Narkisim" w:hAnsi="Narkisim"/>
          <w:b/>
          <w:bCs/>
          <w:rtl/>
        </w:rPr>
        <w:t>ריב"א</w:t>
      </w:r>
      <w:r w:rsidRPr="00E14121">
        <w:rPr>
          <w:rFonts w:ascii="Narkisim" w:hAnsi="Narkisim"/>
          <w:rtl/>
        </w:rPr>
        <w:t xml:space="preserve"> עה"ת (בראשית יז כד) הביא בשם הר"פ דכיון דידע שהקב"ה יצווה אותו, גדול המצווה ועושה. ואילו מל קודם לא היה יכול לתקן עצמו</w:t>
      </w:r>
      <w:r w:rsidRPr="00E14121">
        <w:rPr>
          <w:rStyle w:val="ac"/>
          <w:rFonts w:ascii="Narkisim" w:hAnsi="Narkisim"/>
          <w:rtl/>
        </w:rPr>
        <w:footnoteReference w:id="4382"/>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(מהרצ"ח ועוד) כת' דלאחר שמל אף פרע המילה, שהרי לא נצטוה שוב על הפריעה</w:t>
      </w:r>
      <w:r w:rsidRPr="00E14121">
        <w:rPr>
          <w:rStyle w:val="ac"/>
          <w:rFonts w:ascii="Narkisim" w:hAnsi="Narkisim"/>
          <w:rtl/>
        </w:rPr>
        <w:footnoteReference w:id="4383"/>
      </w:r>
      <w:r w:rsidRPr="00E14121">
        <w:rPr>
          <w:rFonts w:ascii="Narkisim" w:hAnsi="Narkisim"/>
          <w:rtl/>
        </w:rPr>
        <w:t>.</w:t>
      </w:r>
    </w:p>
    <w:p w14:paraId="7DF55B1B" w14:textId="77777777" w:rsidR="00F64AED" w:rsidRPr="00E14121" w:rsidRDefault="00F64AED" w:rsidP="00F64AED">
      <w:pPr>
        <w:bidi/>
        <w:rPr>
          <w:rFonts w:ascii="Narkisim" w:hAnsi="Narkisim" w:cs="Narkisim"/>
        </w:rPr>
      </w:pPr>
      <w:r w:rsidRPr="00E14121">
        <w:rPr>
          <w:rFonts w:ascii="Narkisim" w:hAnsi="Narkisim" w:cs="Narkisim"/>
          <w:u w:val="single"/>
          <w:rtl/>
        </w:rPr>
        <w:t>בא"ד וא"ת שאין נביא רשאי לחדש.</w:t>
      </w:r>
      <w:r w:rsidRPr="00E14121">
        <w:rPr>
          <w:rFonts w:ascii="Narkisim" w:hAnsi="Narkisim" w:cs="Narkisim"/>
          <w:rtl/>
        </w:rPr>
        <w:t xml:space="preserve"> וה</w:t>
      </w:r>
      <w:r w:rsidRPr="00E14121">
        <w:rPr>
          <w:rFonts w:ascii="Narkisim" w:hAnsi="Narkisim" w:cs="Narkisim"/>
          <w:b/>
          <w:bCs/>
          <w:rtl/>
        </w:rPr>
        <w:t>ריטב"א</w:t>
      </w:r>
      <w:r w:rsidRPr="00E14121">
        <w:rPr>
          <w:rFonts w:ascii="Narkisim" w:hAnsi="Narkisim" w:cs="Narkisim"/>
          <w:rtl/>
        </w:rPr>
        <w:t xml:space="preserve"> הביא לתרץ דהוה הכשר מצוה ולא חשיב לחדש</w:t>
      </w:r>
      <w:r w:rsidRPr="00E14121">
        <w:rPr>
          <w:rStyle w:val="ac"/>
          <w:rFonts w:ascii="Narkisim" w:hAnsi="Narkisim" w:cs="Narkisim"/>
          <w:rtl/>
        </w:rPr>
        <w:footnoteReference w:id="4384"/>
      </w:r>
      <w:r w:rsidRPr="00E14121">
        <w:rPr>
          <w:rFonts w:ascii="Narkisim" w:hAnsi="Narkisim" w:cs="Narkisim"/>
          <w:rtl/>
        </w:rPr>
        <w:t>.</w:t>
      </w:r>
    </w:p>
    <w:p w14:paraId="48B52307"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תי' דהוה הללמ"ס, ויהושע אסמכיה אקרא.</w:t>
      </w:r>
      <w:r w:rsidRPr="00E14121">
        <w:rPr>
          <w:rFonts w:ascii="Narkisim" w:hAnsi="Narkisim"/>
          <w:sz w:val="20"/>
          <w:szCs w:val="20"/>
          <w:rtl/>
        </w:rPr>
        <w:t xml:space="preserve"> ויל”ד בכוונת התוס', האם בסיני נאמרה ההלכה דכשיכנסו לארץ יש דין פריעה</w:t>
      </w:r>
      <w:r w:rsidRPr="00E14121">
        <w:rPr>
          <w:rStyle w:val="ac"/>
          <w:rFonts w:ascii="Narkisim" w:hAnsi="Narkisim"/>
          <w:sz w:val="20"/>
          <w:szCs w:val="20"/>
          <w:rtl/>
        </w:rPr>
        <w:footnoteReference w:id="4385"/>
      </w:r>
      <w:r w:rsidRPr="00E14121">
        <w:rPr>
          <w:rFonts w:ascii="Narkisim" w:hAnsi="Narkisim"/>
          <w:sz w:val="20"/>
          <w:szCs w:val="20"/>
          <w:rtl/>
        </w:rPr>
        <w:t xml:space="preserve">. או במתן תורה נצטוו על הפריעה מיד, ומ”מ לא פרעו משום סכנת הדרך </w:t>
      </w:r>
      <w:r w:rsidRPr="00E14121">
        <w:rPr>
          <w:rFonts w:ascii="Narkisim" w:hAnsi="Narkisim"/>
          <w:sz w:val="20"/>
          <w:szCs w:val="20"/>
          <w:rtl/>
        </w:rPr>
        <w:lastRenderedPageBreak/>
        <w:t>[וכ”מ ב</w:t>
      </w:r>
      <w:r w:rsidRPr="00E14121">
        <w:rPr>
          <w:rFonts w:ascii="Narkisim" w:hAnsi="Narkisim"/>
          <w:b/>
          <w:bCs/>
          <w:sz w:val="20"/>
          <w:szCs w:val="20"/>
          <w:rtl/>
        </w:rPr>
        <w:t>מאירי</w:t>
      </w:r>
      <w:r w:rsidRPr="00E14121">
        <w:rPr>
          <w:rFonts w:ascii="Narkisim" w:hAnsi="Narkisim"/>
          <w:sz w:val="20"/>
          <w:szCs w:val="20"/>
          <w:rtl/>
        </w:rPr>
        <w:t xml:space="preserve"> דכתב נצטווה משה, אלא שלא נתגלה עד יהושע, כיון דלא מלו במדבר</w:t>
      </w:r>
      <w:r w:rsidRPr="00E14121">
        <w:rPr>
          <w:rStyle w:val="ac"/>
          <w:rFonts w:ascii="Narkisim" w:hAnsi="Narkisim"/>
          <w:sz w:val="20"/>
          <w:szCs w:val="20"/>
          <w:rtl/>
        </w:rPr>
        <w:footnoteReference w:id="4386"/>
      </w:r>
      <w:r w:rsidRPr="00E14121">
        <w:rPr>
          <w:rFonts w:ascii="Narkisim" w:hAnsi="Narkisim"/>
          <w:sz w:val="20"/>
          <w:szCs w:val="20"/>
          <w:rtl/>
        </w:rPr>
        <w:t>].</w:t>
      </w:r>
      <w:r w:rsidRPr="00E14121">
        <w:rPr>
          <w:rFonts w:ascii="Narkisim" w:hAnsi="Narkisim"/>
          <w:rtl/>
        </w:rPr>
        <w:t xml:space="preserve"> ועוד תי' ה</w:t>
      </w:r>
      <w:r w:rsidRPr="00E14121">
        <w:rPr>
          <w:rFonts w:ascii="Narkisim" w:hAnsi="Narkisim"/>
          <w:b/>
          <w:bCs/>
          <w:rtl/>
        </w:rPr>
        <w:t xml:space="preserve">רמב"ן </w:t>
      </w:r>
      <w:r w:rsidRPr="00E14121">
        <w:rPr>
          <w:rFonts w:ascii="Narkisim" w:hAnsi="Narkisim"/>
          <w:rtl/>
        </w:rPr>
        <w:t>דמשה נצטווה בערבות מואב.</w:t>
      </w:r>
    </w:p>
    <w:p w14:paraId="680DA612" w14:textId="77777777" w:rsidR="00F64AED" w:rsidRPr="00E14121" w:rsidRDefault="00F64AED" w:rsidP="00F64AED">
      <w:pPr>
        <w:pStyle w:val="aa"/>
        <w:bidi/>
        <w:rPr>
          <w:rFonts w:ascii="Narkisim" w:hAnsi="Narkisim"/>
        </w:rPr>
      </w:pPr>
      <w:r w:rsidRPr="00E14121">
        <w:rPr>
          <w:rFonts w:ascii="Narkisim" w:hAnsi="Narkisim"/>
          <w:u w:val="single"/>
          <w:rtl/>
        </w:rPr>
        <w:t>תוד"ה מ"ט [הא'].</w:t>
      </w:r>
      <w:r w:rsidRPr="00E14121">
        <w:rPr>
          <w:rFonts w:ascii="Narkisim" w:hAnsi="Narkisim"/>
          <w:rtl/>
        </w:rPr>
        <w:t xml:space="preserve"> שראו כל המדבר מלא ערלותיהן של ישראל. וה</w:t>
      </w:r>
      <w:r w:rsidRPr="00E14121">
        <w:rPr>
          <w:rFonts w:ascii="Narkisim" w:hAnsi="Narkisim"/>
          <w:b/>
          <w:bCs/>
          <w:rtl/>
        </w:rPr>
        <w:t>רמב"ן</w:t>
      </w:r>
      <w:r w:rsidRPr="00E14121">
        <w:rPr>
          <w:rFonts w:ascii="Narkisim" w:hAnsi="Narkisim"/>
          <w:rtl/>
        </w:rPr>
        <w:t xml:space="preserve"> הביא שהוציאו את ערלותיהם ממצרים. ועוד תי' ה</w:t>
      </w:r>
      <w:r w:rsidRPr="00E14121">
        <w:rPr>
          <w:rFonts w:ascii="Narkisim" w:hAnsi="Narkisim"/>
          <w:b/>
          <w:bCs/>
          <w:rtl/>
        </w:rPr>
        <w:t>ריטב"א</w:t>
      </w:r>
      <w:r w:rsidRPr="00E14121">
        <w:rPr>
          <w:rFonts w:ascii="Narkisim" w:hAnsi="Narkisim"/>
          <w:rtl/>
        </w:rPr>
        <w:t xml:space="preserve"> דעד שנה הב' מלו במדבר [וע' בסמוך].</w:t>
      </w:r>
    </w:p>
    <w:p w14:paraId="6EA8FB45"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מביא בשם ה</w:t>
      </w:r>
      <w:r w:rsidRPr="00E14121">
        <w:rPr>
          <w:rFonts w:ascii="Narkisim" w:hAnsi="Narkisim"/>
          <w:b/>
          <w:bCs/>
          <w:rtl/>
        </w:rPr>
        <w:t>מדרש</w:t>
      </w:r>
      <w:r w:rsidRPr="00E14121">
        <w:rPr>
          <w:rFonts w:ascii="Narkisim" w:hAnsi="Narkisim"/>
          <w:rtl/>
        </w:rPr>
        <w:t xml:space="preserve"> (פרקי דר"א שם) שר' ישמעאל הקשה וכי ערלים שמעו קולו של הקב"ה בסיני. וכתב דתליא בגמ' בסמוך האם בשנה הראשונה מלו במדבר.</w:t>
      </w:r>
    </w:p>
    <w:p w14:paraId="63BC7422" w14:textId="77777777" w:rsidR="00F64AED" w:rsidRPr="00E14121" w:rsidRDefault="00F64AED" w:rsidP="00F64AED">
      <w:pPr>
        <w:bidi/>
        <w:rPr>
          <w:rFonts w:ascii="Narkisim" w:hAnsi="Narkisim" w:cs="Narkisim"/>
        </w:rPr>
      </w:pPr>
      <w:r w:rsidRPr="00E14121">
        <w:rPr>
          <w:rFonts w:ascii="Narkisim" w:hAnsi="Narkisim" w:cs="Narkisim"/>
          <w:u w:val="single"/>
          <w:rtl/>
        </w:rPr>
        <w:t>בא"ד ובמגילת סתרים דר"נ [גאון] משמע שמלו ולא פרעו, מפני עינוי הדרך.</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הקשו אמאי מלו כלל, הא קי"ל (שבת קלז:) דמל ולא פרע כאילו לא מל.</w:t>
      </w:r>
    </w:p>
    <w:p w14:paraId="4FC0361C" w14:textId="77777777" w:rsidR="00F64AED" w:rsidRPr="00E14121" w:rsidRDefault="00F64AED" w:rsidP="00F64AED">
      <w:pPr>
        <w:bidi/>
        <w:rPr>
          <w:rFonts w:ascii="Narkisim" w:hAnsi="Narkisim" w:cs="Narkisim"/>
        </w:rPr>
      </w:pPr>
      <w:r w:rsidRPr="00E14121">
        <w:rPr>
          <w:rFonts w:ascii="Narkisim" w:hAnsi="Narkisim" w:cs="Narkisim"/>
          <w:rtl/>
        </w:rPr>
        <w:t>וב</w:t>
      </w:r>
      <w:r w:rsidRPr="00E14121">
        <w:rPr>
          <w:rFonts w:ascii="Narkisim" w:hAnsi="Narkisim" w:cs="Narkisim"/>
          <w:b/>
          <w:bCs/>
          <w:rtl/>
        </w:rPr>
        <w:t>גמ</w:t>
      </w:r>
      <w:r w:rsidRPr="00E14121">
        <w:rPr>
          <w:rFonts w:ascii="Narkisim" w:hAnsi="Narkisim" w:cs="Narkisim"/>
          <w:rtl/>
        </w:rPr>
        <w:t>' (שבת קלג:) אי' דאומן שמל ולא הילקט</w:t>
      </w:r>
      <w:r w:rsidRPr="00E14121">
        <w:rPr>
          <w:rStyle w:val="ac"/>
          <w:rFonts w:ascii="Narkisim" w:hAnsi="Narkisim" w:cs="Narkisim"/>
          <w:rtl/>
        </w:rPr>
        <w:footnoteReference w:id="4387"/>
      </w:r>
      <w:r w:rsidRPr="00E14121">
        <w:rPr>
          <w:rFonts w:ascii="Narkisim" w:hAnsi="Narkisim" w:cs="Narkisim"/>
          <w:rtl/>
        </w:rPr>
        <w:t xml:space="preserve"> עד שיצא שבת חייב חטאת</w:t>
      </w:r>
      <w:r w:rsidRPr="00E14121">
        <w:rPr>
          <w:rStyle w:val="ac"/>
          <w:rFonts w:ascii="Narkisim" w:hAnsi="Narkisim" w:cs="Narkisim"/>
          <w:rtl/>
        </w:rPr>
        <w:footnoteReference w:id="4388"/>
      </w:r>
      <w:r w:rsidRPr="00E14121">
        <w:rPr>
          <w:rFonts w:ascii="Narkisim" w:hAnsi="Narkisim" w:cs="Narkisim"/>
          <w:rtl/>
        </w:rPr>
        <w:t>. וה</w:t>
      </w:r>
      <w:r w:rsidRPr="00E14121">
        <w:rPr>
          <w:rFonts w:ascii="Narkisim" w:hAnsi="Narkisim" w:cs="Narkisim"/>
          <w:b/>
          <w:bCs/>
          <w:rtl/>
        </w:rPr>
        <w:t>שיטה לר"ן</w:t>
      </w:r>
      <w:r w:rsidRPr="00E14121">
        <w:rPr>
          <w:rFonts w:ascii="Narkisim" w:hAnsi="Narkisim" w:cs="Narkisim"/>
          <w:rtl/>
        </w:rPr>
        <w:t xml:space="preserve"> ו</w:t>
      </w:r>
      <w:r w:rsidRPr="00E14121">
        <w:rPr>
          <w:rFonts w:ascii="Narkisim" w:hAnsi="Narkisim" w:cs="Narkisim"/>
          <w:b/>
          <w:bCs/>
          <w:rtl/>
        </w:rPr>
        <w:t>מאירי</w:t>
      </w:r>
      <w:r w:rsidRPr="00E14121">
        <w:rPr>
          <w:rFonts w:ascii="Narkisim" w:hAnsi="Narkisim" w:cs="Narkisim"/>
          <w:rtl/>
        </w:rPr>
        <w:t xml:space="preserve"> (שם) מבואר דאיירי דמל ולא פרע, ומבואר דנחשב דלא גמר המצווה.</w:t>
      </w:r>
    </w:p>
    <w:p w14:paraId="1BE8B062"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שו"ע</w:t>
      </w:r>
      <w:r w:rsidRPr="00E14121">
        <w:rPr>
          <w:rFonts w:ascii="Narkisim" w:hAnsi="Narkisim"/>
          <w:rtl/>
        </w:rPr>
        <w:t xml:space="preserve"> (יו"ד רסו יד, וב”י שם) כת' דיש ליזהר לכתחילה בשבת שלא יעשו ב' מוהלים, שא' ימול וא' יפרע. אלא המל עצמו הוא יפרע. [וע' דרכ"מ ורמ"א ופוסקים]</w:t>
      </w:r>
      <w:r w:rsidRPr="00E14121">
        <w:rPr>
          <w:rStyle w:val="ac"/>
          <w:rFonts w:ascii="Narkisim" w:hAnsi="Narkisim"/>
          <w:rtl/>
        </w:rPr>
        <w:footnoteReference w:id="4389"/>
      </w:r>
      <w:r w:rsidRPr="00E14121">
        <w:rPr>
          <w:rFonts w:ascii="Narkisim" w:hAnsi="Narkisim"/>
          <w:rtl/>
        </w:rPr>
        <w:t>.</w:t>
      </w:r>
    </w:p>
    <w:p w14:paraId="48C35BC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יש"ש</w:t>
      </w:r>
      <w:r w:rsidRPr="00E14121">
        <w:rPr>
          <w:rFonts w:ascii="Narkisim" w:hAnsi="Narkisim"/>
          <w:rtl/>
        </w:rPr>
        <w:t xml:space="preserve"> (כאן) כתב דהראשון חייב חטאת, דכאילו לא מל.</w:t>
      </w:r>
    </w:p>
    <w:p w14:paraId="09A468F0"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נוב"י</w:t>
      </w:r>
      <w:r w:rsidRPr="00E14121">
        <w:rPr>
          <w:rFonts w:ascii="Narkisim" w:hAnsi="Narkisim"/>
          <w:rtl/>
        </w:rPr>
        <w:t xml:space="preserve"> (או"ח ת' כב) כתב דאם לבסוף נגמר המצווה, ופרעו את המילה, נחשב שמל כדין. ורק היכא דלא פרעו כלל אמרי' דמל ולא פרע חייב כרת</w:t>
      </w:r>
      <w:r w:rsidRPr="00E14121">
        <w:rPr>
          <w:rStyle w:val="ac"/>
          <w:rFonts w:ascii="Narkisim" w:hAnsi="Narkisim"/>
          <w:rtl/>
        </w:rPr>
        <w:footnoteReference w:id="4390"/>
      </w:r>
      <w:r w:rsidRPr="00E14121">
        <w:rPr>
          <w:rFonts w:ascii="Narkisim" w:hAnsi="Narkisim"/>
          <w:rtl/>
        </w:rPr>
        <w:t>. [והביא ראיה מסוגיין דפרעו לבסוף אחרי מ' שנה].</w:t>
      </w:r>
    </w:p>
    <w:p w14:paraId="035A86E6" w14:textId="77777777" w:rsidR="00F64AED" w:rsidRPr="00E14121" w:rsidRDefault="00F64AED" w:rsidP="00F64AED">
      <w:pPr>
        <w:pStyle w:val="aa"/>
        <w:bidi/>
        <w:rPr>
          <w:rFonts w:ascii="Narkisim" w:hAnsi="Narkisim"/>
        </w:rPr>
      </w:pPr>
      <w:r w:rsidRPr="00E14121">
        <w:rPr>
          <w:rFonts w:ascii="Narkisim" w:hAnsi="Narkisim"/>
          <w:rtl/>
        </w:rPr>
        <w:t>וב</w:t>
      </w:r>
      <w:r w:rsidRPr="00E14121">
        <w:rPr>
          <w:rFonts w:ascii="Narkisim" w:hAnsi="Narkisim"/>
          <w:b/>
          <w:bCs/>
          <w:rtl/>
        </w:rPr>
        <w:t>הג"ה</w:t>
      </w:r>
      <w:r w:rsidRPr="00E14121">
        <w:rPr>
          <w:rFonts w:ascii="Narkisim" w:hAnsi="Narkisim"/>
          <w:rtl/>
        </w:rPr>
        <w:t xml:space="preserve"> (מבן המחבר) ציין דנח' ה</w:t>
      </w:r>
      <w:r w:rsidRPr="00E14121">
        <w:rPr>
          <w:rFonts w:ascii="Narkisim" w:hAnsi="Narkisim"/>
          <w:b/>
          <w:bCs/>
          <w:rtl/>
        </w:rPr>
        <w:t>ראשונים</w:t>
      </w:r>
      <w:r w:rsidRPr="00E14121">
        <w:rPr>
          <w:rFonts w:ascii="Narkisim" w:hAnsi="Narkisim"/>
          <w:rtl/>
        </w:rPr>
        <w:t xml:space="preserve"> (ב"מ ל., הו' ב</w:t>
      </w:r>
      <w:r w:rsidRPr="00E14121">
        <w:rPr>
          <w:rFonts w:ascii="Narkisim" w:hAnsi="Narkisim"/>
          <w:b/>
          <w:bCs/>
          <w:rtl/>
        </w:rPr>
        <w:t>נמוק"י</w:t>
      </w:r>
      <w:r w:rsidRPr="00E14121">
        <w:rPr>
          <w:rFonts w:ascii="Narkisim" w:hAnsi="Narkisim"/>
          <w:rtl/>
        </w:rPr>
        <w:t xml:space="preserve"> שם טז. בדה"ר) דה</w:t>
      </w:r>
      <w:r w:rsidRPr="00E14121">
        <w:rPr>
          <w:rFonts w:ascii="Narkisim" w:hAnsi="Narkisim"/>
          <w:b/>
          <w:bCs/>
          <w:rtl/>
        </w:rPr>
        <w:t>ר"ן</w:t>
      </w:r>
      <w:r w:rsidRPr="00E14121">
        <w:rPr>
          <w:rFonts w:ascii="Narkisim" w:hAnsi="Narkisim"/>
          <w:rtl/>
        </w:rPr>
        <w:t xml:space="preserve"> כתב דאמרי' עשה דוחה ל"ת מתחילת הגבהת האבידה, דמתעסק במצוות השבה אע"ג דלא גמרה עד שיחזור לבעלים. מ"מ נחשב בעידנא וכמו מילה בצרעת, דחתך הצרעת, ואף דלא נגמר המצווה עד שיפרע [ומל ולא פרע כאילו לא מל]. ודעת ה</w:t>
      </w:r>
      <w:r w:rsidRPr="00E14121">
        <w:rPr>
          <w:rFonts w:ascii="Narkisim" w:hAnsi="Narkisim"/>
          <w:b/>
          <w:bCs/>
          <w:rtl/>
        </w:rPr>
        <w:t>ר"ר יוסף</w:t>
      </w:r>
      <w:r w:rsidRPr="00E14121">
        <w:rPr>
          <w:rStyle w:val="ac"/>
          <w:rFonts w:ascii="Narkisim" w:hAnsi="Narkisim"/>
          <w:rtl/>
        </w:rPr>
        <w:footnoteReference w:id="4391"/>
      </w:r>
      <w:r w:rsidRPr="00E14121">
        <w:rPr>
          <w:rFonts w:ascii="Narkisim" w:hAnsi="Narkisim"/>
          <w:rtl/>
        </w:rPr>
        <w:t xml:space="preserve"> דבמילה עושה בגוף המצווה עצמה, אלא שאם לא גמרה לא עשה אלא חצי מצווה, וכמו שהטיל ב' כנפות בבגד. משא"כ השבת אבידה דהוה מכשירין בעלמא, עד שיחזיר</w:t>
      </w:r>
      <w:r w:rsidRPr="00E14121">
        <w:rPr>
          <w:rStyle w:val="ac"/>
          <w:rFonts w:ascii="Narkisim" w:hAnsi="Narkisim"/>
          <w:rtl/>
        </w:rPr>
        <w:footnoteReference w:id="4392"/>
      </w:r>
      <w:r w:rsidRPr="00E14121">
        <w:rPr>
          <w:rFonts w:ascii="Narkisim" w:hAnsi="Narkisim"/>
          <w:rtl/>
        </w:rPr>
        <w:t>.</w:t>
      </w:r>
    </w:p>
    <w:p w14:paraId="42F5D28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(סד ה) כתב דמל ולא פרע קיים מצוות מילה, אלא דעדיין הוה ערל.</w:t>
      </w:r>
    </w:p>
    <w:p w14:paraId="6B99C4D4" w14:textId="77777777" w:rsidR="00F64AED" w:rsidRPr="00E14121" w:rsidRDefault="00F64AED" w:rsidP="00F64AED">
      <w:pPr>
        <w:pStyle w:val="aa"/>
        <w:bidi/>
        <w:rPr>
          <w:rFonts w:ascii="Narkisim" w:hAnsi="Narkisim"/>
        </w:rPr>
      </w:pPr>
      <w:r w:rsidRPr="00E14121">
        <w:rPr>
          <w:rFonts w:ascii="Narkisim" w:hAnsi="Narkisim"/>
          <w:u w:val="single"/>
          <w:rtl/>
        </w:rPr>
        <w:t xml:space="preserve">תוד"ה מ"ט [הב']. </w:t>
      </w:r>
      <w:r w:rsidRPr="00E14121">
        <w:rPr>
          <w:rFonts w:ascii="Narkisim" w:hAnsi="Narkisim"/>
          <w:rtl/>
        </w:rPr>
        <w:t>מידי דהוה אצבי ואיל, דהיכא דלא אפשר בהקרבה שרי. וה</w:t>
      </w:r>
      <w:r w:rsidRPr="00E14121">
        <w:rPr>
          <w:rFonts w:ascii="Narkisim" w:hAnsi="Narkisim"/>
          <w:b/>
          <w:bCs/>
          <w:rtl/>
        </w:rPr>
        <w:t xml:space="preserve">ריטב"א </w:t>
      </w:r>
      <w:r w:rsidRPr="00E14121">
        <w:rPr>
          <w:rFonts w:ascii="Narkisim" w:hAnsi="Narkisim"/>
          <w:rtl/>
        </w:rPr>
        <w:t>כתב דאפשר דלא אכלו בשר. ועוד תי' ה</w:t>
      </w:r>
      <w:r w:rsidRPr="00E14121">
        <w:rPr>
          <w:rFonts w:ascii="Narkisim" w:hAnsi="Narkisim"/>
          <w:b/>
          <w:bCs/>
          <w:rtl/>
        </w:rPr>
        <w:t xml:space="preserve">רמב"ן </w:t>
      </w:r>
      <w:r w:rsidRPr="00E14121">
        <w:rPr>
          <w:rFonts w:ascii="Narkisim" w:hAnsi="Narkisim"/>
          <w:rtl/>
        </w:rPr>
        <w:t>דבשר נחירה אשתרי להם. א"נ אכלו צבי ואיל ועופות.</w:t>
      </w:r>
    </w:p>
    <w:p w14:paraId="0520DFAC" w14:textId="77777777" w:rsidR="00F64AED" w:rsidRPr="00E14121" w:rsidRDefault="00F64AED" w:rsidP="00F64AED">
      <w:pPr>
        <w:pStyle w:val="3"/>
        <w:bidi/>
        <w:rPr>
          <w:rFonts w:ascii="Narkisim" w:hAnsi="Narkisim"/>
        </w:rPr>
      </w:pPr>
      <w:r w:rsidRPr="00E14121">
        <w:rPr>
          <w:rFonts w:ascii="Narkisim" w:hAnsi="Narkisim"/>
          <w:rtl/>
        </w:rPr>
        <w:t>דף עב.</w:t>
      </w:r>
    </w:p>
    <w:p w14:paraId="59317744" w14:textId="77777777" w:rsidR="00F64AED" w:rsidRPr="00E14121" w:rsidRDefault="00F64AED" w:rsidP="00F64AED">
      <w:pPr>
        <w:bidi/>
        <w:rPr>
          <w:rFonts w:ascii="Narkisim" w:hAnsi="Narkisim" w:cs="Narkisim"/>
        </w:rPr>
      </w:pPr>
      <w:r w:rsidRPr="00E14121">
        <w:rPr>
          <w:rFonts w:ascii="Narkisim" w:hAnsi="Narkisim" w:cs="Narkisim"/>
          <w:u w:val="single"/>
          <w:rtl/>
        </w:rPr>
        <w:t>תוד"ה משום</w:t>
      </w:r>
      <w:r w:rsidRPr="00E14121">
        <w:rPr>
          <w:rFonts w:ascii="Narkisim" w:hAnsi="Narkisim" w:cs="Narkisim"/>
          <w:rtl/>
        </w:rPr>
        <w:t>. שלא עשו אלא פסח א' וכו' ותימה וכי במזיד היו נמנעים וכו'. ו</w:t>
      </w:r>
      <w:r w:rsidRPr="00E14121">
        <w:rPr>
          <w:rFonts w:ascii="Narkisim" w:hAnsi="Narkisim" w:cs="Narkisim"/>
          <w:b/>
          <w:bCs/>
          <w:rtl/>
        </w:rPr>
        <w:t>תוס</w:t>
      </w:r>
      <w:r w:rsidRPr="00E14121">
        <w:rPr>
          <w:rFonts w:ascii="Narkisim" w:hAnsi="Narkisim" w:cs="Narkisim"/>
          <w:rtl/>
        </w:rPr>
        <w:t>' (קידושין לז:) פי' דס"ל דלא נתחייבו בפסח אלא אחר ירושה וישיבה [וכתנא דהתם</w:t>
      </w:r>
      <w:r w:rsidRPr="00E14121">
        <w:rPr>
          <w:rStyle w:val="ac"/>
          <w:rFonts w:ascii="Narkisim" w:hAnsi="Narkisim" w:cs="Narkisim"/>
          <w:rtl/>
        </w:rPr>
        <w:footnoteReference w:id="4393"/>
      </w:r>
      <w:r w:rsidRPr="00E14121">
        <w:rPr>
          <w:rFonts w:ascii="Narkisim" w:hAnsi="Narkisim" w:cs="Narkisim"/>
          <w:rtl/>
        </w:rPr>
        <w:t>]. ודוקא פסח דשנה שניה היה ע"פ הדיבור. ואפ"ה נחשב גנותן שנתעכבו במדבר [משום מעשה המרגלים].</w:t>
      </w:r>
    </w:p>
    <w:p w14:paraId="59B944DE" w14:textId="77777777" w:rsidR="00F64AED" w:rsidRPr="00E14121" w:rsidRDefault="00F64AED" w:rsidP="00F64AED">
      <w:pPr>
        <w:bidi/>
        <w:rPr>
          <w:rFonts w:ascii="Narkisim" w:hAnsi="Narkisim" w:cs="Narkisim"/>
        </w:rPr>
      </w:pPr>
      <w:r w:rsidRPr="00E14121">
        <w:rPr>
          <w:rFonts w:ascii="Narkisim" w:hAnsi="Narkisim" w:cs="Narkisim"/>
          <w:u w:val="single"/>
          <w:rtl/>
        </w:rPr>
        <w:t>בא"ד ואי משום מילת זכרים שהיתה מעכבת וכו' והא כיון דלא אפשר לא היתה מעכבת</w:t>
      </w:r>
      <w:r w:rsidRPr="00E14121">
        <w:rPr>
          <w:rFonts w:ascii="Narkisim" w:hAnsi="Narkisim" w:cs="Narkisim"/>
          <w:rtl/>
        </w:rPr>
        <w:t>. אבל ה</w:t>
      </w:r>
      <w:r w:rsidRPr="00E14121">
        <w:rPr>
          <w:rFonts w:ascii="Narkisim" w:hAnsi="Narkisim" w:cs="Narkisim"/>
          <w:b/>
          <w:bCs/>
          <w:rtl/>
        </w:rPr>
        <w:t>רמב"ן</w:t>
      </w:r>
      <w:r w:rsidRPr="00E14121">
        <w:rPr>
          <w:rFonts w:ascii="Narkisim" w:hAnsi="Narkisim" w:cs="Narkisim"/>
          <w:rtl/>
        </w:rPr>
        <w:t xml:space="preserve"> (בחי', ועה"ת בהעלותך ט א, וכ"כ ה</w:t>
      </w:r>
      <w:r w:rsidRPr="00E14121">
        <w:rPr>
          <w:rFonts w:ascii="Narkisim" w:hAnsi="Narkisim" w:cs="Narkisim"/>
          <w:b/>
          <w:bCs/>
          <w:rtl/>
        </w:rPr>
        <w:t>מהרש"א</w:t>
      </w:r>
      <w:r w:rsidRPr="00E14121">
        <w:rPr>
          <w:rFonts w:ascii="Narkisim" w:hAnsi="Narkisim" w:cs="Narkisim"/>
          <w:rtl/>
        </w:rPr>
        <w:t xml:space="preserve"> בשם ה</w:t>
      </w:r>
      <w:r w:rsidRPr="00E14121">
        <w:rPr>
          <w:rFonts w:ascii="Narkisim" w:hAnsi="Narkisim" w:cs="Narkisim"/>
          <w:b/>
          <w:bCs/>
          <w:rtl/>
        </w:rPr>
        <w:t>רא"ם</w:t>
      </w:r>
      <w:r w:rsidRPr="00E14121">
        <w:rPr>
          <w:rFonts w:ascii="Narkisim" w:hAnsi="Narkisim" w:cs="Narkisim"/>
          <w:rtl/>
        </w:rPr>
        <w:t>) כת' דבניהם שנולדו להם משיצאו ממצרים מעכבם מלאכול בפסח.</w:t>
      </w:r>
    </w:p>
    <w:p w14:paraId="3393D855" w14:textId="77777777" w:rsidR="00F64AED" w:rsidRPr="00E14121" w:rsidRDefault="00F64AED" w:rsidP="00F64AED">
      <w:pPr>
        <w:pStyle w:val="a7"/>
        <w:bidi/>
        <w:rPr>
          <w:rFonts w:ascii="Narkisim" w:hAnsi="Narkisim"/>
        </w:rPr>
      </w:pPr>
      <w:r w:rsidRPr="00E14121">
        <w:rPr>
          <w:rFonts w:ascii="Narkisim" w:hAnsi="Narkisim"/>
          <w:rtl/>
        </w:rPr>
        <w:lastRenderedPageBreak/>
        <w:t xml:space="preserve">וכן </w:t>
      </w:r>
      <w:r w:rsidRPr="00E14121">
        <w:rPr>
          <w:rFonts w:ascii="Narkisim" w:hAnsi="Narkisim"/>
          <w:b/>
          <w:bCs/>
          <w:rtl/>
        </w:rPr>
        <w:t>תוס</w:t>
      </w:r>
      <w:r w:rsidRPr="00E14121">
        <w:rPr>
          <w:rFonts w:ascii="Narkisim" w:hAnsi="Narkisim"/>
          <w:rtl/>
        </w:rPr>
        <w:t>' (קידושין לז: בתי' הב') כת' דלא הקריבו פסח, דרובם</w:t>
      </w:r>
      <w:r w:rsidRPr="00E14121">
        <w:rPr>
          <w:rStyle w:val="ac"/>
          <w:rFonts w:ascii="Narkisim" w:hAnsi="Narkisim"/>
          <w:rtl/>
        </w:rPr>
        <w:footnoteReference w:id="4394"/>
      </w:r>
      <w:r w:rsidRPr="00E14121">
        <w:rPr>
          <w:rFonts w:ascii="Narkisim" w:hAnsi="Narkisim"/>
          <w:rtl/>
        </w:rPr>
        <w:t xml:space="preserve"> היו ערלים. וה</w:t>
      </w:r>
      <w:r w:rsidRPr="00E14121">
        <w:rPr>
          <w:rFonts w:ascii="Narkisim" w:hAnsi="Narkisim"/>
          <w:b/>
          <w:bCs/>
          <w:rtl/>
        </w:rPr>
        <w:t>אחרונים</w:t>
      </w:r>
      <w:r w:rsidRPr="00E14121">
        <w:rPr>
          <w:rFonts w:ascii="Narkisim" w:hAnsi="Narkisim"/>
          <w:rtl/>
        </w:rPr>
        <w:t xml:space="preserve"> (מהרי"ט, שעה"מ ק"פ ט ט) פי' כוונתם דמילת זכריו מעכבת [דכל מי שיצא ממצרים היה נימול</w:t>
      </w:r>
      <w:r w:rsidRPr="00E14121">
        <w:rPr>
          <w:rStyle w:val="ac"/>
          <w:rFonts w:ascii="Narkisim" w:hAnsi="Narkisim"/>
          <w:rtl/>
        </w:rPr>
        <w:footnoteReference w:id="4395"/>
      </w:r>
      <w:r w:rsidRPr="00E14121">
        <w:rPr>
          <w:rFonts w:ascii="Narkisim" w:hAnsi="Narkisim"/>
          <w:rtl/>
        </w:rPr>
        <w:t>].</w:t>
      </w:r>
    </w:p>
    <w:p w14:paraId="49DF0CFF"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מהרש"א</w:t>
      </w:r>
      <w:r w:rsidRPr="00E14121">
        <w:rPr>
          <w:rFonts w:ascii="Narkisim" w:hAnsi="Narkisim"/>
          <w:rtl/>
        </w:rPr>
        <w:t xml:space="preserve"> (שם) תמה דבמילת זכריו אינו מעכב כשאינו יכול למול [וכדברי התוס']. ומ"ש חלצתו חמה או דלא נשיב רוח צפונית [דהוה ג"כ סכנה], וכיון דאינו יכול למול לא יעכב בפסח [וכקו' התוס'].</w:t>
      </w:r>
    </w:p>
    <w:p w14:paraId="0D025D7E"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שעה"מ</w:t>
      </w:r>
      <w:r w:rsidRPr="00E14121">
        <w:rPr>
          <w:rFonts w:ascii="Narkisim" w:hAnsi="Narkisim"/>
          <w:rtl/>
        </w:rPr>
        <w:t xml:space="preserve"> (הנ"ל) תי' דה"מ היכא דהיה אונס בשעת שחיטה, דבשעת אכילה היה ראוי. אבל היכא דבתרוייהו לא היה ראוי, מש"ה מעכב.</w:t>
      </w:r>
    </w:p>
    <w:p w14:paraId="2EC96FDC"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ישרש יעקב</w:t>
      </w:r>
      <w:r w:rsidRPr="00E14121">
        <w:rPr>
          <w:rFonts w:ascii="Narkisim" w:hAnsi="Narkisim"/>
          <w:rtl/>
        </w:rPr>
        <w:t xml:space="preserve"> תי' דהם גרמו במעשיהם, ולכן לא נחשב אונס</w:t>
      </w:r>
      <w:r w:rsidRPr="00E14121">
        <w:rPr>
          <w:rStyle w:val="ac"/>
          <w:rFonts w:ascii="Narkisim" w:hAnsi="Narkisim"/>
          <w:rtl/>
        </w:rPr>
        <w:footnoteReference w:id="4396"/>
      </w:r>
      <w:r w:rsidRPr="00E14121">
        <w:rPr>
          <w:rFonts w:ascii="Narkisim" w:hAnsi="Narkisim"/>
          <w:rtl/>
        </w:rPr>
        <w:t>. וכ"כ בשו"ת זית רענן (ב ז ז).</w:t>
      </w:r>
    </w:p>
    <w:p w14:paraId="00D51089" w14:textId="77777777" w:rsidR="00F64AED" w:rsidRPr="00E14121" w:rsidRDefault="00F64AED" w:rsidP="00F64AED">
      <w:pPr>
        <w:bidi/>
        <w:rPr>
          <w:rFonts w:ascii="Narkisim" w:hAnsi="Narkisim" w:cs="Narkisim"/>
        </w:rPr>
      </w:pPr>
      <w:r w:rsidRPr="00E14121">
        <w:rPr>
          <w:rFonts w:ascii="Narkisim" w:hAnsi="Narkisim" w:cs="Narkisim"/>
          <w:u w:val="single"/>
          <w:rtl/>
        </w:rPr>
        <w:t>תוד"ה ניזופין.</w:t>
      </w:r>
      <w:r w:rsidRPr="00E14121">
        <w:rPr>
          <w:rFonts w:ascii="Narkisim" w:hAnsi="Narkisim" w:cs="Narkisim"/>
          <w:rtl/>
        </w:rPr>
        <w:t xml:space="preserve"> אמר ר"י ממעשה המרגלים. וכ"כ ה</w:t>
      </w:r>
      <w:r w:rsidRPr="00E14121">
        <w:rPr>
          <w:rFonts w:ascii="Narkisim" w:hAnsi="Narkisim" w:cs="Narkisim"/>
          <w:b/>
          <w:bCs/>
          <w:rtl/>
        </w:rPr>
        <w:t>רמב"ן</w:t>
      </w:r>
      <w:r w:rsidRPr="00E14121">
        <w:rPr>
          <w:rFonts w:ascii="Narkisim" w:hAnsi="Narkisim" w:cs="Narkisim"/>
          <w:rtl/>
        </w:rPr>
        <w:t xml:space="preserve"> ושא"ר, וה</w:t>
      </w:r>
      <w:r w:rsidRPr="00E14121">
        <w:rPr>
          <w:rFonts w:ascii="Narkisim" w:hAnsi="Narkisim" w:cs="Narkisim"/>
          <w:b/>
          <w:bCs/>
          <w:rtl/>
        </w:rPr>
        <w:t>ראשונים</w:t>
      </w:r>
      <w:r w:rsidRPr="00E14121">
        <w:rPr>
          <w:rFonts w:ascii="Narkisim" w:hAnsi="Narkisim" w:cs="Narkisim"/>
          <w:rtl/>
        </w:rPr>
        <w:t xml:space="preserve"> כת' דלפ"ז בשנה הראשונה במדבר מלו</w:t>
      </w:r>
      <w:r w:rsidRPr="00E14121">
        <w:rPr>
          <w:rStyle w:val="ac"/>
          <w:rFonts w:ascii="Narkisim" w:hAnsi="Narkisim" w:cs="Narkisim"/>
          <w:rtl/>
        </w:rPr>
        <w:footnoteReference w:id="4397"/>
      </w:r>
      <w:r w:rsidRPr="00E14121">
        <w:rPr>
          <w:rFonts w:ascii="Narkisim" w:hAnsi="Narkisim" w:cs="Narkisim"/>
          <w:rtl/>
        </w:rPr>
        <w:t>. [ותליא בב' הטעמים בגמ'].</w:t>
      </w:r>
    </w:p>
    <w:p w14:paraId="08E8016F" w14:textId="77777777" w:rsidR="00F64AED" w:rsidRPr="00E14121" w:rsidRDefault="00F64AED" w:rsidP="00F64AED">
      <w:pPr>
        <w:pStyle w:val="aa"/>
        <w:bidi/>
        <w:rPr>
          <w:rFonts w:ascii="Narkisim" w:hAnsi="Narkisim"/>
        </w:rPr>
      </w:pPr>
      <w:r w:rsidRPr="00E14121">
        <w:rPr>
          <w:rFonts w:ascii="Narkisim" w:hAnsi="Narkisim"/>
          <w:u w:val="single"/>
          <w:rtl/>
        </w:rPr>
        <w:t>בא"ד ולא כפי' הקו' ממעשה העגל, שהרי מחל ואמר להם סלחתי וכו' שאח”כ נעשה משכן והשרה שכינתו בתוכם</w:t>
      </w:r>
      <w:r w:rsidRPr="00E14121">
        <w:rPr>
          <w:rFonts w:ascii="Narkisim" w:hAnsi="Narkisim"/>
          <w:rtl/>
        </w:rPr>
        <w:t>. ה</w:t>
      </w:r>
      <w:r w:rsidRPr="00E14121">
        <w:rPr>
          <w:rFonts w:ascii="Narkisim" w:hAnsi="Narkisim"/>
          <w:b/>
          <w:bCs/>
          <w:rtl/>
        </w:rPr>
        <w:t>רש"ש</w:t>
      </w:r>
      <w:r w:rsidRPr="00E14121">
        <w:rPr>
          <w:rFonts w:ascii="Narkisim" w:hAnsi="Narkisim"/>
          <w:rtl/>
        </w:rPr>
        <w:t xml:space="preserve"> (חגיגה ו:) הקשה דהך קרא קאי במרגלים, אבל על העגל לא מצאנו שמחל.</w:t>
      </w:r>
    </w:p>
    <w:p w14:paraId="478BB280" w14:textId="77777777" w:rsidR="00F64AED" w:rsidRPr="00E14121" w:rsidRDefault="00F64AED" w:rsidP="00F64AED">
      <w:pPr>
        <w:pStyle w:val="a8"/>
        <w:bidi/>
        <w:rPr>
          <w:rFonts w:ascii="Narkisim" w:hAnsi="Narkisim"/>
        </w:rPr>
      </w:pPr>
      <w:r w:rsidRPr="00E14121">
        <w:rPr>
          <w:rFonts w:ascii="Narkisim" w:hAnsi="Narkisim"/>
          <w:rtl/>
        </w:rPr>
        <w:t>אך ב</w:t>
      </w:r>
      <w:r w:rsidRPr="00E14121">
        <w:rPr>
          <w:rFonts w:ascii="Narkisim" w:hAnsi="Narkisim"/>
          <w:b/>
          <w:bCs/>
          <w:rtl/>
        </w:rPr>
        <w:t>סדר עולם</w:t>
      </w:r>
      <w:r w:rsidRPr="00E14121">
        <w:rPr>
          <w:rFonts w:ascii="Narkisim" w:hAnsi="Narkisim"/>
          <w:rtl/>
        </w:rPr>
        <w:t xml:space="preserve"> ו</w:t>
      </w:r>
      <w:r w:rsidRPr="00E14121">
        <w:rPr>
          <w:rFonts w:ascii="Narkisim" w:hAnsi="Narkisim"/>
          <w:b/>
          <w:bCs/>
          <w:rtl/>
        </w:rPr>
        <w:t>פרקי דר"א</w:t>
      </w:r>
      <w:r w:rsidRPr="00E14121">
        <w:rPr>
          <w:rFonts w:ascii="Narkisim" w:hAnsi="Narkisim"/>
          <w:rtl/>
        </w:rPr>
        <w:t xml:space="preserve"> (ס"פ מו) אי' דביוה"כ נאמן סלחתי כדבריך אמעשה העגל. וכן אי' במדרש (בכ"מ). ו</w:t>
      </w:r>
      <w:r w:rsidRPr="00E14121">
        <w:rPr>
          <w:rFonts w:ascii="Narkisim" w:hAnsi="Narkisim"/>
          <w:b/>
          <w:bCs/>
          <w:rtl/>
        </w:rPr>
        <w:t>בעלי התוס</w:t>
      </w:r>
      <w:r w:rsidRPr="00E14121">
        <w:rPr>
          <w:rFonts w:ascii="Narkisim" w:hAnsi="Narkisim"/>
          <w:rtl/>
        </w:rPr>
        <w:t>' (דעת זקנים במדבר יד כ) פי' דהך פסוק הוה מדברי משה, ומשה אמר סלח נא, כאשר אמרת 'סלחתי' במעשה העגל</w:t>
      </w:r>
      <w:r w:rsidRPr="00E14121">
        <w:rPr>
          <w:rStyle w:val="ac"/>
          <w:rFonts w:ascii="Narkisim" w:hAnsi="Narkisim"/>
          <w:rtl/>
        </w:rPr>
        <w:footnoteReference w:id="4398"/>
      </w:r>
      <w:r w:rsidRPr="00E14121">
        <w:rPr>
          <w:rFonts w:ascii="Narkisim" w:hAnsi="Narkisim"/>
          <w:rtl/>
        </w:rPr>
        <w:t>.</w:t>
      </w:r>
    </w:p>
    <w:p w14:paraId="554BC02A" w14:textId="77777777" w:rsidR="00F64AED" w:rsidRPr="00E14121" w:rsidRDefault="00F64AED" w:rsidP="00F64AED">
      <w:pPr>
        <w:pStyle w:val="aa"/>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(עה"ת דברים לג ט) כת' דשבט לוי מלו במדבר. וה</w:t>
      </w:r>
      <w:r w:rsidRPr="00E14121">
        <w:rPr>
          <w:rFonts w:ascii="Narkisim" w:hAnsi="Narkisim"/>
          <w:b/>
          <w:bCs/>
          <w:rtl/>
        </w:rPr>
        <w:t>רש"ש</w:t>
      </w:r>
      <w:r w:rsidRPr="00E14121">
        <w:rPr>
          <w:rFonts w:ascii="Narkisim" w:hAnsi="Narkisim"/>
          <w:rtl/>
        </w:rPr>
        <w:t xml:space="preserve"> (שם) כתב דלשיטת רש"י ניחא דשבט לוי לא היו ניזופין ממעשה העגל</w:t>
      </w:r>
      <w:r w:rsidRPr="00E14121">
        <w:rPr>
          <w:rStyle w:val="ac"/>
          <w:rFonts w:ascii="Narkisim" w:hAnsi="Narkisim"/>
          <w:rtl/>
        </w:rPr>
        <w:footnoteReference w:id="4399"/>
      </w:r>
      <w:r w:rsidRPr="00E14121">
        <w:rPr>
          <w:rFonts w:ascii="Narkisim" w:hAnsi="Narkisim"/>
          <w:rtl/>
        </w:rPr>
        <w:t>.</w:t>
      </w:r>
    </w:p>
    <w:p w14:paraId="5617DD61" w14:textId="77777777" w:rsidR="00F64AED" w:rsidRPr="00E14121" w:rsidRDefault="00F64AED" w:rsidP="00F64AED">
      <w:pPr>
        <w:pStyle w:val="aa"/>
        <w:bidi/>
        <w:rPr>
          <w:rFonts w:ascii="Narkisim" w:hAnsi="Narkisim"/>
        </w:rPr>
      </w:pPr>
      <w:r w:rsidRPr="00E14121">
        <w:rPr>
          <w:rFonts w:ascii="Narkisim" w:hAnsi="Narkisim"/>
          <w:u w:val="single"/>
          <w:rtl/>
        </w:rPr>
        <w:t>דלא נבדרו ענני הכבוד</w:t>
      </w:r>
      <w:r w:rsidRPr="00E14121">
        <w:rPr>
          <w:rStyle w:val="ac"/>
          <w:rFonts w:ascii="Narkisim" w:hAnsi="Narkisim"/>
          <w:u w:val="single"/>
          <w:rtl/>
        </w:rPr>
        <w:footnoteReference w:id="4400"/>
      </w:r>
      <w:r w:rsidRPr="00E14121">
        <w:rPr>
          <w:rFonts w:ascii="Narkisim" w:hAnsi="Narkisim"/>
          <w:u w:val="single"/>
          <w:rtl/>
        </w:rPr>
        <w:t>.</w:t>
      </w:r>
      <w:r w:rsidRPr="00E14121">
        <w:rPr>
          <w:rFonts w:ascii="Narkisim" w:hAnsi="Narkisim"/>
          <w:rtl/>
        </w:rPr>
        <w:t xml:space="preserve"> ה</w:t>
      </w:r>
      <w:r w:rsidRPr="00E14121">
        <w:rPr>
          <w:rFonts w:ascii="Narkisim" w:hAnsi="Narkisim"/>
          <w:b/>
          <w:bCs/>
          <w:rtl/>
        </w:rPr>
        <w:t>ריטב"א</w:t>
      </w:r>
      <w:r w:rsidRPr="00E14121">
        <w:rPr>
          <w:rFonts w:ascii="Narkisim" w:hAnsi="Narkisim"/>
          <w:rtl/>
        </w:rPr>
        <w:t xml:space="preserve"> הביא יש שואלים וכי לא היה הקב"ה יכול להשיב רוח צפונית ולא ליבדרי ענני הכבוד. וי"ל שלא היה רוצה הקב"ה לעשות נס שלא לצורך, כיון דדינא דאורייתא דמילה דספק סכנה אפשר להשהותה</w:t>
      </w:r>
      <w:r w:rsidRPr="00E14121">
        <w:rPr>
          <w:rStyle w:val="ac"/>
          <w:rFonts w:ascii="Narkisim" w:hAnsi="Narkisim"/>
          <w:rtl/>
        </w:rPr>
        <w:footnoteReference w:id="4401"/>
      </w:r>
      <w:r w:rsidRPr="00E14121">
        <w:rPr>
          <w:rFonts w:ascii="Narkisim" w:hAnsi="Narkisim"/>
          <w:rtl/>
        </w:rPr>
        <w:t>. כ”ש דלאחר שהיו ניזופין לא היה ראויין לעשות נס זה.</w:t>
      </w:r>
    </w:p>
    <w:p w14:paraId="6C94AF12" w14:textId="77777777" w:rsidR="00F64AED" w:rsidRPr="00E14121" w:rsidRDefault="00F64AED" w:rsidP="00F64AED">
      <w:pPr>
        <w:bidi/>
        <w:rPr>
          <w:rFonts w:ascii="Narkisim" w:hAnsi="Narkisim" w:cs="Narkisim"/>
        </w:rPr>
      </w:pPr>
      <w:r w:rsidRPr="00E14121">
        <w:rPr>
          <w:rFonts w:ascii="Narkisim" w:hAnsi="Narkisim" w:cs="Narkisim"/>
          <w:u w:val="single"/>
          <w:rtl/>
        </w:rPr>
        <w:t>שומר פתאים ד'.</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w:t>
      </w:r>
      <w:r w:rsidRPr="00E14121">
        <w:rPr>
          <w:rFonts w:ascii="Narkisim" w:hAnsi="Narkisim" w:cs="Narkisim"/>
          <w:sz w:val="20"/>
          <w:szCs w:val="20"/>
          <w:rtl/>
        </w:rPr>
        <w:t>(ו</w:t>
      </w:r>
      <w:r w:rsidRPr="00E14121">
        <w:rPr>
          <w:rFonts w:ascii="Narkisim" w:hAnsi="Narkisim" w:cs="Narkisim"/>
          <w:b/>
          <w:bCs/>
          <w:sz w:val="20"/>
          <w:szCs w:val="20"/>
          <w:rtl/>
        </w:rPr>
        <w:t>נמוק"י</w:t>
      </w:r>
      <w:r w:rsidRPr="00E14121">
        <w:rPr>
          <w:rFonts w:ascii="Narkisim" w:hAnsi="Narkisim" w:cs="Narkisim"/>
          <w:sz w:val="20"/>
          <w:szCs w:val="20"/>
          <w:rtl/>
        </w:rPr>
        <w:t>, והו' ב</w:t>
      </w:r>
      <w:r w:rsidRPr="00E14121">
        <w:rPr>
          <w:rFonts w:ascii="Narkisim" w:hAnsi="Narkisim" w:cs="Narkisim"/>
          <w:b/>
          <w:bCs/>
          <w:sz w:val="20"/>
          <w:szCs w:val="20"/>
          <w:rtl/>
        </w:rPr>
        <w:t>ב"י</w:t>
      </w:r>
      <w:r w:rsidRPr="00E14121">
        <w:rPr>
          <w:rFonts w:ascii="Narkisim" w:hAnsi="Narkisim" w:cs="Narkisim"/>
          <w:sz w:val="20"/>
          <w:szCs w:val="20"/>
          <w:rtl/>
        </w:rPr>
        <w:t xml:space="preserve"> רסב ב)</w:t>
      </w:r>
      <w:r w:rsidRPr="00E14121">
        <w:rPr>
          <w:rFonts w:ascii="Narkisim" w:hAnsi="Narkisim" w:cs="Narkisim"/>
          <w:rtl/>
        </w:rPr>
        <w:t xml:space="preserve"> כתב דלפ"ז מי שאינו רוצה למול ביום עיבא הרשות בידו</w:t>
      </w:r>
      <w:r w:rsidRPr="00E14121">
        <w:rPr>
          <w:rStyle w:val="ac"/>
          <w:rFonts w:ascii="Narkisim" w:hAnsi="Narkisim" w:cs="Narkisim"/>
          <w:rtl/>
        </w:rPr>
        <w:footnoteReference w:id="4402"/>
      </w:r>
      <w:r w:rsidRPr="00E14121">
        <w:rPr>
          <w:rFonts w:ascii="Narkisim" w:hAnsi="Narkisim" w:cs="Narkisim"/>
          <w:rtl/>
        </w:rPr>
        <w:t>, ושפיר עבד שלא לסמוך על שומר פתאים ד'</w:t>
      </w:r>
      <w:r w:rsidRPr="00E14121">
        <w:rPr>
          <w:rStyle w:val="ac"/>
          <w:rFonts w:ascii="Narkisim" w:hAnsi="Narkisim" w:cs="Narkisim"/>
          <w:rtl/>
        </w:rPr>
        <w:footnoteReference w:id="4403"/>
      </w:r>
      <w:r w:rsidRPr="00E14121">
        <w:rPr>
          <w:rFonts w:ascii="Narkisim" w:hAnsi="Narkisim" w:cs="Narkisim"/>
          <w:rtl/>
        </w:rPr>
        <w:t>. וכן היה ראוי שלא למול בשבת כשהוא יום המעונן</w:t>
      </w:r>
      <w:r w:rsidRPr="00E14121">
        <w:rPr>
          <w:rStyle w:val="ac"/>
          <w:rFonts w:ascii="Narkisim" w:hAnsi="Narkisim" w:cs="Narkisim"/>
          <w:rtl/>
        </w:rPr>
        <w:footnoteReference w:id="4404"/>
      </w:r>
      <w:r w:rsidRPr="00E14121">
        <w:rPr>
          <w:rFonts w:ascii="Narkisim" w:hAnsi="Narkisim" w:cs="Narkisim"/>
          <w:rtl/>
        </w:rPr>
        <w:t>.</w:t>
      </w:r>
    </w:p>
    <w:p w14:paraId="1F0D47C4"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 xml:space="preserve">ב"י </w:t>
      </w:r>
      <w:r w:rsidRPr="00E14121">
        <w:rPr>
          <w:rFonts w:ascii="Narkisim" w:hAnsi="Narkisim"/>
          <w:rtl/>
        </w:rPr>
        <w:t xml:space="preserve">הביא בשם </w:t>
      </w:r>
      <w:r w:rsidRPr="00E14121">
        <w:rPr>
          <w:rFonts w:ascii="Narkisim" w:hAnsi="Narkisim"/>
          <w:b/>
          <w:bCs/>
          <w:rtl/>
        </w:rPr>
        <w:t>רבינו</w:t>
      </w:r>
      <w:r w:rsidRPr="00E14121">
        <w:rPr>
          <w:rFonts w:ascii="Narkisim" w:hAnsi="Narkisim"/>
          <w:rtl/>
        </w:rPr>
        <w:t xml:space="preserve"> </w:t>
      </w:r>
      <w:r w:rsidRPr="00E14121">
        <w:rPr>
          <w:rFonts w:ascii="Narkisim" w:hAnsi="Narkisim"/>
          <w:b/>
          <w:bCs/>
          <w:rtl/>
        </w:rPr>
        <w:t>ירוחם</w:t>
      </w:r>
      <w:r w:rsidRPr="00E14121">
        <w:rPr>
          <w:rFonts w:ascii="Narkisim" w:hAnsi="Narkisim"/>
          <w:rtl/>
        </w:rPr>
        <w:t xml:space="preserve"> דאף דלגבי יומא דעיבא אמרי' שומר פתאים, אבל אם הוא חולה מטורח הדרך אין מלין עד שיתרפא.</w:t>
      </w:r>
    </w:p>
    <w:p w14:paraId="5B86F85A" w14:textId="77777777" w:rsidR="00F64AED" w:rsidRPr="00E14121" w:rsidRDefault="00F64AED" w:rsidP="00F64AED">
      <w:pPr>
        <w:pStyle w:val="2"/>
        <w:bidi/>
        <w:rPr>
          <w:rFonts w:ascii="Narkisim" w:hAnsi="Narkisim"/>
        </w:rPr>
      </w:pPr>
      <w:r w:rsidRPr="00E14121">
        <w:rPr>
          <w:rFonts w:ascii="Narkisim" w:hAnsi="Narkisim"/>
          <w:rtl/>
        </w:rPr>
        <w:lastRenderedPageBreak/>
        <w:t>משוך</w:t>
      </w:r>
    </w:p>
    <w:p w14:paraId="63F27FD7" w14:textId="77777777" w:rsidR="00F64AED" w:rsidRPr="00E14121" w:rsidRDefault="00F64AED" w:rsidP="00F64AED">
      <w:pPr>
        <w:bidi/>
        <w:rPr>
          <w:rFonts w:ascii="Narkisim" w:hAnsi="Narkisim" w:cs="Narkisim"/>
        </w:rPr>
      </w:pPr>
      <w:r w:rsidRPr="00E14121">
        <w:rPr>
          <w:rFonts w:ascii="Narkisim" w:hAnsi="Narkisim" w:cs="Narkisim"/>
          <w:u w:val="single"/>
          <w:rtl/>
        </w:rPr>
        <w:t>א"ר הונא דבר תורה משוך וכו'.</w:t>
      </w:r>
      <w:r w:rsidRPr="00E14121">
        <w:rPr>
          <w:rFonts w:ascii="Narkisim" w:hAnsi="Narkisim" w:cs="Narkisim"/>
          <w:sz w:val="20"/>
          <w:szCs w:val="20"/>
          <w:rtl/>
        </w:rPr>
        <w:t xml:space="preserve"> בפשוטו אפי' חזר בשר הערלה לגמרי, אבל ה</w:t>
      </w:r>
      <w:r w:rsidRPr="00E14121">
        <w:rPr>
          <w:rFonts w:ascii="Narkisim" w:hAnsi="Narkisim" w:cs="Narkisim"/>
          <w:b/>
          <w:bCs/>
          <w:sz w:val="20"/>
          <w:szCs w:val="20"/>
          <w:rtl/>
        </w:rPr>
        <w:t>מאירי</w:t>
      </w:r>
      <w:r w:rsidRPr="00E14121">
        <w:rPr>
          <w:rFonts w:ascii="Narkisim" w:hAnsi="Narkisim" w:cs="Narkisim"/>
          <w:sz w:val="20"/>
          <w:szCs w:val="20"/>
          <w:rtl/>
        </w:rPr>
        <w:t xml:space="preserve"> כ' דנתכסה העטרה אלא שאינה נדבקת בה. והנמוק"י כתב דאפי' נמשך ע"י חולי וכדו', ולא שמשכו בידים.</w:t>
      </w:r>
    </w:p>
    <w:p w14:paraId="691F5191" w14:textId="77777777" w:rsidR="00F64AED" w:rsidRPr="00E14121" w:rsidRDefault="00F64AED" w:rsidP="00F64AED">
      <w:pPr>
        <w:pStyle w:val="a7"/>
        <w:bidi/>
        <w:rPr>
          <w:rFonts w:ascii="Narkisim" w:hAnsi="Narkisim"/>
        </w:rPr>
      </w:pPr>
      <w:r w:rsidRPr="00E14121">
        <w:rPr>
          <w:rFonts w:ascii="Narkisim" w:hAnsi="Narkisim"/>
          <w:rtl/>
        </w:rPr>
        <w:t>ולשון ה</w:t>
      </w:r>
      <w:r w:rsidRPr="00E14121">
        <w:rPr>
          <w:rFonts w:ascii="Narkisim" w:hAnsi="Narkisim"/>
          <w:b/>
          <w:bCs/>
          <w:rtl/>
        </w:rPr>
        <w:t>רמב”ם</w:t>
      </w:r>
      <w:r w:rsidRPr="00E14121">
        <w:rPr>
          <w:rFonts w:ascii="Narkisim" w:hAnsi="Narkisim"/>
          <w:rtl/>
        </w:rPr>
        <w:t xml:space="preserve"> (מילה ב ה) כיון דמל אי”צ למול שנית. וה</w:t>
      </w:r>
      <w:r w:rsidRPr="00E14121">
        <w:rPr>
          <w:rFonts w:ascii="Narkisim" w:hAnsi="Narkisim"/>
          <w:b/>
          <w:bCs/>
          <w:rtl/>
        </w:rPr>
        <w:t>ט"ז</w:t>
      </w:r>
      <w:r w:rsidRPr="00E14121">
        <w:rPr>
          <w:rFonts w:ascii="Narkisim" w:hAnsi="Narkisim"/>
          <w:rtl/>
        </w:rPr>
        <w:t xml:space="preserve"> (יו"ד רסד ט) דן דלפ"ז דוקא כשמלו אותו, אבל נולד מהול [והטיפו דם ברית</w:t>
      </w:r>
      <w:r w:rsidRPr="00E14121">
        <w:rPr>
          <w:rStyle w:val="ac"/>
          <w:rFonts w:ascii="Narkisim" w:hAnsi="Narkisim"/>
          <w:rtl/>
        </w:rPr>
        <w:footnoteReference w:id="4405"/>
      </w:r>
      <w:r w:rsidRPr="00E14121">
        <w:rPr>
          <w:rFonts w:ascii="Narkisim" w:hAnsi="Narkisim"/>
          <w:rtl/>
        </w:rPr>
        <w:t>] ושוב נתכסה, דלא מלו בשום פעם צריך למול מדאורייתא</w:t>
      </w:r>
      <w:r w:rsidRPr="00E14121">
        <w:rPr>
          <w:rStyle w:val="ac"/>
          <w:rFonts w:ascii="Narkisim" w:hAnsi="Narkisim"/>
          <w:rtl/>
        </w:rPr>
        <w:footnoteReference w:id="4406"/>
      </w:r>
      <w:r w:rsidRPr="00E14121">
        <w:rPr>
          <w:rFonts w:ascii="Narkisim" w:hAnsi="Narkisim"/>
          <w:rtl/>
        </w:rPr>
        <w:t>. וה</w:t>
      </w:r>
      <w:r w:rsidRPr="00E14121">
        <w:rPr>
          <w:rFonts w:ascii="Narkisim" w:hAnsi="Narkisim"/>
          <w:b/>
          <w:bCs/>
          <w:rtl/>
        </w:rPr>
        <w:t>שאג"א</w:t>
      </w:r>
      <w:r w:rsidRPr="00E14121">
        <w:rPr>
          <w:rFonts w:ascii="Narkisim" w:hAnsi="Narkisim"/>
          <w:rtl/>
        </w:rPr>
        <w:t xml:space="preserve"> (נה) חלק דאף מי שלא מל מעולם לא חל עליו מצוות מילה. דמילת משוך הוה דרבנן</w:t>
      </w:r>
      <w:r w:rsidRPr="00E14121">
        <w:rPr>
          <w:rStyle w:val="ac"/>
          <w:rFonts w:ascii="Narkisim" w:hAnsi="Narkisim"/>
          <w:rtl/>
        </w:rPr>
        <w:footnoteReference w:id="4407"/>
      </w:r>
      <w:r w:rsidRPr="00E14121">
        <w:rPr>
          <w:rFonts w:ascii="Narkisim" w:hAnsi="Narkisim"/>
          <w:rtl/>
        </w:rPr>
        <w:t>.</w:t>
      </w:r>
    </w:p>
    <w:p w14:paraId="7189082E"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(פרי יצחק א לב) דנו לפרש דסברת הט"ז דכיון דקיים המצווה אינו חייב יותר. </w:t>
      </w:r>
      <w:r w:rsidRPr="00E14121">
        <w:rPr>
          <w:rFonts w:ascii="Narkisim" w:hAnsi="Narkisim"/>
          <w:i/>
          <w:iCs/>
          <w:rtl/>
        </w:rPr>
        <w:t>א"נ</w:t>
      </w:r>
      <w:r w:rsidRPr="00E14121">
        <w:rPr>
          <w:rFonts w:ascii="Narkisim" w:hAnsi="Narkisim"/>
          <w:rtl/>
        </w:rPr>
        <w:t xml:space="preserve"> כיון דיש עליו שם מהול, תו לא הוה ערל. וסברת השאג"א דמה שנמשך אח"כ אין עליו שם 'ערלה'</w:t>
      </w:r>
      <w:r w:rsidRPr="00E14121">
        <w:rPr>
          <w:rStyle w:val="ac"/>
          <w:rFonts w:ascii="Narkisim" w:hAnsi="Narkisim"/>
          <w:rtl/>
        </w:rPr>
        <w:footnoteReference w:id="4408"/>
      </w:r>
      <w:r w:rsidRPr="00E14121">
        <w:rPr>
          <w:rFonts w:ascii="Narkisim" w:hAnsi="Narkisim"/>
          <w:rtl/>
        </w:rPr>
        <w:t>.</w:t>
      </w:r>
    </w:p>
    <w:p w14:paraId="310BCB1E" w14:textId="77777777" w:rsidR="00F64AED" w:rsidRPr="00E14121" w:rsidRDefault="00F64AED" w:rsidP="00F64AED">
      <w:pPr>
        <w:bidi/>
        <w:rPr>
          <w:rFonts w:ascii="Narkisim" w:hAnsi="Narkisim" w:cs="Narkisim"/>
        </w:rPr>
      </w:pPr>
      <w:r w:rsidRPr="00E14121">
        <w:rPr>
          <w:rFonts w:ascii="Narkisim" w:hAnsi="Narkisim" w:cs="Narkisim"/>
          <w:u w:val="single"/>
          <w:rtl/>
        </w:rPr>
        <w:t>ומדבריהם גזרו מפני שנראה כערל</w:t>
      </w:r>
      <w:r w:rsidRPr="00E14121">
        <w:rPr>
          <w:rStyle w:val="ac"/>
          <w:rFonts w:ascii="Narkisim" w:hAnsi="Narkisim" w:cs="Narkisim"/>
          <w:rtl/>
        </w:rPr>
        <w:footnoteReference w:id="4409"/>
      </w:r>
      <w:r w:rsidRPr="00E14121">
        <w:rPr>
          <w:rFonts w:ascii="Narkisim" w:hAnsi="Narkisim" w:cs="Narkisim"/>
          <w:rtl/>
        </w:rPr>
        <w:t>. וכ"מ ב</w:t>
      </w:r>
      <w:r w:rsidRPr="00E14121">
        <w:rPr>
          <w:rFonts w:ascii="Narkisim" w:hAnsi="Narkisim" w:cs="Narkisim"/>
          <w:b/>
          <w:bCs/>
          <w:rtl/>
        </w:rPr>
        <w:t>משנה</w:t>
      </w:r>
      <w:r w:rsidRPr="00E14121">
        <w:rPr>
          <w:rFonts w:ascii="Narkisim" w:hAnsi="Narkisim" w:cs="Narkisim"/>
          <w:rtl/>
        </w:rPr>
        <w:t xml:space="preserve"> (שבת קלז.) דאם היה בעל בשר מתקנו מפני מראית העין. </w:t>
      </w:r>
      <w:r w:rsidRPr="00E14121">
        <w:rPr>
          <w:rFonts w:ascii="Narkisim" w:hAnsi="Narkisim" w:cs="Narkisim"/>
          <w:sz w:val="20"/>
          <w:szCs w:val="20"/>
          <w:rtl/>
        </w:rPr>
        <w:t>וב</w:t>
      </w:r>
      <w:r w:rsidRPr="00E14121">
        <w:rPr>
          <w:rFonts w:ascii="Narkisim" w:hAnsi="Narkisim" w:cs="Narkisim"/>
          <w:b/>
          <w:bCs/>
          <w:sz w:val="20"/>
          <w:szCs w:val="20"/>
          <w:rtl/>
        </w:rPr>
        <w:t>גמ</w:t>
      </w:r>
      <w:r w:rsidRPr="00E14121">
        <w:rPr>
          <w:rFonts w:ascii="Narkisim" w:hAnsi="Narkisim" w:cs="Narkisim"/>
          <w:sz w:val="20"/>
          <w:szCs w:val="20"/>
          <w:rtl/>
        </w:rPr>
        <w:t>' (שם קלז: ובפוסקים ס"ס רסד) מבואר השיעור דבעינן נראה. ומשמע דלא בעינן שיהא כל העטרה מגולה, וכמו תחילת המילה.</w:t>
      </w:r>
    </w:p>
    <w:p w14:paraId="2C7C01DC" w14:textId="77777777" w:rsidR="00F64AED" w:rsidRPr="00E14121" w:rsidRDefault="00F64AED" w:rsidP="00F64AED">
      <w:pPr>
        <w:pStyle w:val="a8"/>
        <w:bidi/>
        <w:rPr>
          <w:rFonts w:ascii="Narkisim" w:hAnsi="Narkisim"/>
        </w:rPr>
      </w:pPr>
      <w:r w:rsidRPr="00E14121">
        <w:rPr>
          <w:rFonts w:ascii="Narkisim" w:hAnsi="Narkisim"/>
          <w:rtl/>
        </w:rPr>
        <w:t>ומבואר (בע”ב) דכשחוזר ומל, לא ימול בלילה [ופ</w:t>
      </w:r>
      <w:r w:rsidRPr="00E14121">
        <w:rPr>
          <w:rFonts w:ascii="Narkisim" w:hAnsi="Narkisim"/>
          <w:b/>
          <w:bCs/>
          <w:rtl/>
        </w:rPr>
        <w:t>רש"י</w:t>
      </w:r>
      <w:r w:rsidRPr="00E14121">
        <w:rPr>
          <w:rFonts w:ascii="Narkisim" w:hAnsi="Narkisim"/>
          <w:rtl/>
        </w:rPr>
        <w:t xml:space="preserve"> דתקנו כעין דאורייתא], ומבואר דתקנו מעשה מילה, ולא רק סילוק מראית העין.</w:t>
      </w:r>
    </w:p>
    <w:p w14:paraId="2C602519" w14:textId="77777777" w:rsidR="00F64AED" w:rsidRPr="00E14121" w:rsidRDefault="00F64AED" w:rsidP="00F64AED">
      <w:pPr>
        <w:pStyle w:val="aa"/>
        <w:bidi/>
        <w:rPr>
          <w:rFonts w:ascii="Narkisim" w:hAnsi="Narkisim"/>
        </w:rPr>
      </w:pPr>
      <w:r w:rsidRPr="00E14121">
        <w:rPr>
          <w:rFonts w:ascii="Narkisim" w:hAnsi="Narkisim"/>
          <w:u w:val="single"/>
          <w:rtl/>
        </w:rPr>
        <w:t>תוד"ה ומדבריהם.</w:t>
      </w:r>
      <w:r w:rsidRPr="00E14121">
        <w:rPr>
          <w:rFonts w:ascii="Narkisim" w:hAnsi="Narkisim"/>
          <w:rtl/>
        </w:rPr>
        <w:t xml:space="preserve"> והא דאמר (שבועות יג.) דמשוך חייב כרת, היינו שלא מל כלל. וה</w:t>
      </w:r>
      <w:r w:rsidRPr="00E14121">
        <w:rPr>
          <w:rFonts w:ascii="Narkisim" w:hAnsi="Narkisim"/>
          <w:b/>
          <w:bCs/>
          <w:rtl/>
        </w:rPr>
        <w:t>רמב"ם</w:t>
      </w:r>
      <w:r w:rsidRPr="00E14121">
        <w:rPr>
          <w:rFonts w:ascii="Narkisim" w:hAnsi="Narkisim"/>
          <w:rtl/>
        </w:rPr>
        <w:t xml:space="preserve"> (תשובה ג ו) כתב דמשוך ערלתו אין לו חלק לעוה"ב. וה</w:t>
      </w:r>
      <w:r w:rsidRPr="00E14121">
        <w:rPr>
          <w:rFonts w:ascii="Narkisim" w:hAnsi="Narkisim"/>
          <w:b/>
          <w:bCs/>
          <w:rtl/>
        </w:rPr>
        <w:t>אחרונים</w:t>
      </w:r>
      <w:r w:rsidRPr="00E14121">
        <w:rPr>
          <w:rFonts w:ascii="Narkisim" w:hAnsi="Narkisim"/>
          <w:rtl/>
        </w:rPr>
        <w:t xml:space="preserve"> הקשו דמשוך הוה רק דרבנן, וכמ"ש הרמב"ם בהל' תרומות. [ודנו דמשמע דאף דלא נאסר בתורה, מ"מ הוה חפצא של פגם</w:t>
      </w:r>
      <w:r w:rsidRPr="00E14121">
        <w:rPr>
          <w:rStyle w:val="ac"/>
          <w:rFonts w:ascii="Narkisim" w:hAnsi="Narkisim"/>
          <w:rtl/>
        </w:rPr>
        <w:footnoteReference w:id="4410"/>
      </w:r>
      <w:r w:rsidRPr="00E14121">
        <w:rPr>
          <w:rFonts w:ascii="Narkisim" w:hAnsi="Narkisim"/>
          <w:rtl/>
        </w:rPr>
        <w:t>].</w:t>
      </w:r>
    </w:p>
    <w:p w14:paraId="7F7BF131" w14:textId="77777777" w:rsidR="00F64AED" w:rsidRPr="00E14121" w:rsidRDefault="00F64AED" w:rsidP="00F64AED">
      <w:pPr>
        <w:pStyle w:val="a8"/>
        <w:bidi/>
        <w:rPr>
          <w:rFonts w:ascii="Narkisim" w:hAnsi="Narkisim"/>
        </w:rPr>
      </w:pPr>
      <w:r w:rsidRPr="00E14121">
        <w:rPr>
          <w:rFonts w:ascii="Narkisim" w:hAnsi="Narkisim"/>
          <w:rtl/>
        </w:rPr>
        <w:t>ויש שפי' דמדאורייתא אסור למשוך ערלתו. אבל היכא דמשכו לא נחשב 'ערל', ואי"צ לתקן מדאורייתא</w:t>
      </w:r>
      <w:r w:rsidRPr="00E14121">
        <w:rPr>
          <w:rStyle w:val="ac"/>
          <w:rFonts w:ascii="Narkisim" w:hAnsi="Narkisim"/>
          <w:rtl/>
        </w:rPr>
        <w:footnoteReference w:id="4411"/>
      </w:r>
      <w:r w:rsidRPr="00E14121">
        <w:rPr>
          <w:rFonts w:ascii="Narkisim" w:hAnsi="Narkisim"/>
          <w:rtl/>
        </w:rPr>
        <w:t>.</w:t>
      </w:r>
    </w:p>
    <w:p w14:paraId="50E0DF15" w14:textId="77777777" w:rsidR="00F64AED" w:rsidRPr="00E14121" w:rsidRDefault="00F64AED" w:rsidP="00F64AED">
      <w:pPr>
        <w:bidi/>
        <w:rPr>
          <w:rFonts w:ascii="Narkisim" w:hAnsi="Narkisim" w:cs="Narkisim"/>
        </w:rPr>
      </w:pPr>
      <w:r w:rsidRPr="00E14121">
        <w:rPr>
          <w:rFonts w:ascii="Narkisim" w:hAnsi="Narkisim" w:cs="Narkisim"/>
          <w:u w:val="single"/>
          <w:rtl/>
        </w:rPr>
        <w:t>שסכנה היא לו.</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שמא יעשה כרות שפכה. וכן משמע שהוכיחו ממה שהולידו בנים ובנות</w:t>
      </w:r>
      <w:r w:rsidRPr="00E14121">
        <w:rPr>
          <w:rStyle w:val="ac"/>
          <w:rFonts w:ascii="Narkisim" w:hAnsi="Narkisim" w:cs="Narkisim"/>
          <w:rtl/>
        </w:rPr>
        <w:footnoteReference w:id="4412"/>
      </w:r>
      <w:r w:rsidRPr="00E14121">
        <w:rPr>
          <w:rFonts w:ascii="Narkisim" w:hAnsi="Narkisim" w:cs="Narkisim"/>
          <w:rtl/>
        </w:rPr>
        <w:t>.</w:t>
      </w:r>
      <w:r w:rsidRPr="00E14121">
        <w:rPr>
          <w:rFonts w:ascii="Narkisim" w:hAnsi="Narkisim" w:cs="Narkisim"/>
          <w:sz w:val="20"/>
          <w:szCs w:val="20"/>
          <w:rtl/>
        </w:rPr>
        <w:t xml:space="preserve"> [וה</w:t>
      </w:r>
      <w:r w:rsidRPr="00E14121">
        <w:rPr>
          <w:rFonts w:ascii="Narkisim" w:hAnsi="Narkisim" w:cs="Narkisim"/>
          <w:b/>
          <w:bCs/>
          <w:sz w:val="20"/>
          <w:szCs w:val="20"/>
          <w:rtl/>
        </w:rPr>
        <w:t>ערול"נ</w:t>
      </w:r>
      <w:r w:rsidRPr="00E14121">
        <w:rPr>
          <w:rFonts w:ascii="Narkisim" w:hAnsi="Narkisim" w:cs="Narkisim"/>
          <w:sz w:val="20"/>
          <w:szCs w:val="20"/>
          <w:rtl/>
        </w:rPr>
        <w:t xml:space="preserve"> הקשה דאינו פיקוח נפש, ואמאי פטור מלקיים מצוות מילה. וה</w:t>
      </w:r>
      <w:r w:rsidRPr="00E14121">
        <w:rPr>
          <w:rFonts w:ascii="Narkisim" w:hAnsi="Narkisim" w:cs="Narkisim"/>
          <w:b/>
          <w:bCs/>
          <w:sz w:val="20"/>
          <w:szCs w:val="20"/>
          <w:rtl/>
        </w:rPr>
        <w:t>אחרונים</w:t>
      </w:r>
      <w:r w:rsidRPr="00E14121">
        <w:rPr>
          <w:rFonts w:ascii="Narkisim" w:hAnsi="Narkisim" w:cs="Narkisim"/>
          <w:sz w:val="20"/>
          <w:szCs w:val="20"/>
          <w:rtl/>
        </w:rPr>
        <w:t xml:space="preserve"> האריכו לדון האם סכנת אבר פטור ממצוות עשה, וכמו יותר מחומש נכסיו].</w:t>
      </w:r>
    </w:p>
    <w:p w14:paraId="5DDB1340" w14:textId="77777777" w:rsidR="00F64AED" w:rsidRPr="00E14121" w:rsidRDefault="00F64AED" w:rsidP="00F64AED">
      <w:pPr>
        <w:bidi/>
        <w:rPr>
          <w:rFonts w:ascii="Narkisim" w:hAnsi="Narkisim" w:cs="Narkisim"/>
        </w:rPr>
      </w:pPr>
      <w:r w:rsidRPr="00E14121">
        <w:rPr>
          <w:rFonts w:ascii="Narkisim" w:hAnsi="Narkisim" w:cs="Narkisim"/>
          <w:u w:val="single"/>
          <w:rtl/>
        </w:rPr>
        <w:t>תוד"ה מיתיבי.</w:t>
      </w:r>
      <w:r w:rsidRPr="00E14121">
        <w:rPr>
          <w:rFonts w:ascii="Narkisim" w:hAnsi="Narkisim" w:cs="Narkisim"/>
          <w:rtl/>
        </w:rPr>
        <w:t xml:space="preserve"> אע"ג דצריך למול מדרבנן, לא אסרוהו בתרומה. [ודלא כרב הונא]. וכ"פ ה</w:t>
      </w:r>
      <w:r w:rsidRPr="00E14121">
        <w:rPr>
          <w:rFonts w:ascii="Narkisim" w:hAnsi="Narkisim" w:cs="Narkisim"/>
          <w:b/>
          <w:bCs/>
          <w:rtl/>
        </w:rPr>
        <w:t>רמב"ם</w:t>
      </w:r>
      <w:r w:rsidRPr="00E14121">
        <w:rPr>
          <w:rFonts w:ascii="Narkisim" w:hAnsi="Narkisim" w:cs="Narkisim"/>
          <w:sz w:val="20"/>
          <w:szCs w:val="20"/>
          <w:rtl/>
        </w:rPr>
        <w:t xml:space="preserve"> (תרומות ז י)</w:t>
      </w:r>
      <w:r w:rsidRPr="00E14121">
        <w:rPr>
          <w:rFonts w:ascii="Narkisim" w:hAnsi="Narkisim" w:cs="Narkisim"/>
          <w:rtl/>
        </w:rPr>
        <w:t xml:space="preserve"> דמשוך מותר לאכול בתרומה אע"פ שנראה כערל, ומדברי סופרים שימול עד שיראה מהול. וה</w:t>
      </w:r>
      <w:r w:rsidRPr="00E14121">
        <w:rPr>
          <w:rFonts w:ascii="Narkisim" w:hAnsi="Narkisim" w:cs="Narkisim"/>
          <w:b/>
          <w:bCs/>
          <w:rtl/>
        </w:rPr>
        <w:t>כס"מ</w:t>
      </w:r>
      <w:r w:rsidRPr="00E14121">
        <w:rPr>
          <w:rFonts w:ascii="Narkisim" w:hAnsi="Narkisim" w:cs="Narkisim"/>
          <w:rtl/>
        </w:rPr>
        <w:t xml:space="preserve"> (ומהר"י קורקוס) פי' דגרס דרב הונא איתותיב </w:t>
      </w:r>
      <w:r w:rsidRPr="00E14121">
        <w:rPr>
          <w:rFonts w:ascii="Narkisim" w:hAnsi="Narkisim" w:cs="Narkisim"/>
          <w:sz w:val="20"/>
          <w:szCs w:val="20"/>
          <w:rtl/>
        </w:rPr>
        <w:t>[במה שאסר מדרבנן בתרומה]</w:t>
      </w:r>
      <w:r w:rsidRPr="00E14121">
        <w:rPr>
          <w:rFonts w:ascii="Narkisim" w:hAnsi="Narkisim" w:cs="Narkisim"/>
          <w:rtl/>
        </w:rPr>
        <w:t>.</w:t>
      </w:r>
    </w:p>
    <w:p w14:paraId="387E6A4C"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(סה"מ קלה) כתב דאסור מדרבנן עד שימול </w:t>
      </w:r>
      <w:r w:rsidRPr="00E14121">
        <w:rPr>
          <w:rFonts w:ascii="Narkisim" w:hAnsi="Narkisim"/>
          <w:sz w:val="20"/>
          <w:szCs w:val="20"/>
          <w:rtl/>
        </w:rPr>
        <w:t>[וה</w:t>
      </w:r>
      <w:r w:rsidRPr="00E14121">
        <w:rPr>
          <w:rFonts w:ascii="Narkisim" w:hAnsi="Narkisim"/>
          <w:b/>
          <w:bCs/>
          <w:sz w:val="20"/>
          <w:szCs w:val="20"/>
          <w:rtl/>
        </w:rPr>
        <w:t>אחרונים</w:t>
      </w:r>
      <w:r w:rsidRPr="00E14121">
        <w:rPr>
          <w:rFonts w:ascii="Narkisim" w:hAnsi="Narkisim"/>
          <w:sz w:val="20"/>
          <w:szCs w:val="20"/>
          <w:rtl/>
        </w:rPr>
        <w:t xml:space="preserve"> דנו לידחק כן בלשונו בהלכות].</w:t>
      </w:r>
    </w:p>
    <w:p w14:paraId="64C0BC99" w14:textId="77777777" w:rsidR="00F64AED" w:rsidRPr="00E14121" w:rsidRDefault="00F64AED" w:rsidP="00F64AED">
      <w:pPr>
        <w:pStyle w:val="aa"/>
        <w:bidi/>
        <w:rPr>
          <w:rFonts w:ascii="Narkisim" w:hAnsi="Narkisim"/>
        </w:rPr>
      </w:pPr>
      <w:r w:rsidRPr="00E14121">
        <w:rPr>
          <w:rFonts w:ascii="Narkisim" w:hAnsi="Narkisim"/>
          <w:u w:val="single"/>
          <w:rtl/>
        </w:rPr>
        <w:t>בא"ד ולפי הספרים דגרסי [וכן מסקנת רש”י], אבל מדרבנן אסור וכו'.</w:t>
      </w:r>
      <w:r w:rsidRPr="00E14121">
        <w:rPr>
          <w:rFonts w:ascii="Narkisim" w:hAnsi="Narkisim"/>
          <w:rtl/>
        </w:rPr>
        <w:t xml:space="preserve"> וה</w:t>
      </w:r>
      <w:r w:rsidRPr="00E14121">
        <w:rPr>
          <w:rFonts w:ascii="Narkisim" w:hAnsi="Narkisim"/>
          <w:b/>
          <w:bCs/>
          <w:rtl/>
        </w:rPr>
        <w:t>מהר"י קורקוס</w:t>
      </w:r>
      <w:r w:rsidRPr="00E14121">
        <w:rPr>
          <w:rFonts w:ascii="Narkisim" w:hAnsi="Narkisim"/>
          <w:rtl/>
        </w:rPr>
        <w:t xml:space="preserve"> הקשה דבברייתא מחתינהו בהדי' נולד מהול.</w:t>
      </w:r>
    </w:p>
    <w:p w14:paraId="5110355D" w14:textId="77777777" w:rsidR="00F64AED" w:rsidRPr="00E14121" w:rsidRDefault="00F64AED" w:rsidP="00F64AED">
      <w:pPr>
        <w:bidi/>
        <w:rPr>
          <w:rFonts w:ascii="Narkisim" w:hAnsi="Narkisim" w:cs="Narkisim"/>
        </w:rPr>
      </w:pPr>
      <w:r w:rsidRPr="00E14121">
        <w:rPr>
          <w:rFonts w:ascii="Narkisim" w:hAnsi="Narkisim" w:cs="Narkisim"/>
          <w:u w:val="single"/>
          <w:rtl/>
        </w:rPr>
        <w:t>נולד כשהוא מהול הרי אלו אוכלים.</w:t>
      </w:r>
      <w:r w:rsidRPr="00E14121">
        <w:rPr>
          <w:rFonts w:ascii="Narkisim" w:hAnsi="Narkisim" w:cs="Narkisim"/>
          <w:rtl/>
        </w:rPr>
        <w:t xml:space="preserve"> ה</w:t>
      </w:r>
      <w:r w:rsidRPr="00E14121">
        <w:rPr>
          <w:rFonts w:ascii="Narkisim" w:hAnsi="Narkisim" w:cs="Narkisim"/>
          <w:b/>
          <w:bCs/>
          <w:rtl/>
        </w:rPr>
        <w:t>מאירי</w:t>
      </w:r>
      <w:r w:rsidRPr="00E14121">
        <w:rPr>
          <w:rFonts w:ascii="Narkisim" w:hAnsi="Narkisim" w:cs="Narkisim"/>
          <w:rtl/>
        </w:rPr>
        <w:t xml:space="preserve"> כתב דהוה כמ"ד (שבת קלה.) דנולד מהול אי"צ הטפת דם ברית. אבל הלכה אינו אוכל בתרומה (</w:t>
      </w:r>
      <w:r w:rsidRPr="00E14121">
        <w:rPr>
          <w:rFonts w:ascii="Narkisim" w:hAnsi="Narkisim" w:cs="Narkisim"/>
          <w:sz w:val="20"/>
          <w:szCs w:val="20"/>
          <w:rtl/>
        </w:rPr>
        <w:t>וכ”כ ה</w:t>
      </w:r>
      <w:r w:rsidRPr="00E14121">
        <w:rPr>
          <w:rFonts w:ascii="Narkisim" w:hAnsi="Narkisim" w:cs="Narkisim"/>
          <w:b/>
          <w:bCs/>
          <w:sz w:val="20"/>
          <w:szCs w:val="20"/>
          <w:rtl/>
        </w:rPr>
        <w:t>מנח”ח</w:t>
      </w:r>
      <w:r w:rsidRPr="00E14121">
        <w:rPr>
          <w:rFonts w:ascii="Narkisim" w:hAnsi="Narkisim" w:cs="Narkisim"/>
          <w:sz w:val="20"/>
          <w:szCs w:val="20"/>
          <w:rtl/>
        </w:rPr>
        <w:t xml:space="preserve"> רפב ד)</w:t>
      </w:r>
      <w:r w:rsidRPr="00E14121">
        <w:rPr>
          <w:rFonts w:ascii="Narkisim" w:hAnsi="Narkisim" w:cs="Narkisim"/>
          <w:rtl/>
        </w:rPr>
        <w:t>. וה</w:t>
      </w:r>
      <w:r w:rsidRPr="00E14121">
        <w:rPr>
          <w:rFonts w:ascii="Narkisim" w:hAnsi="Narkisim" w:cs="Narkisim"/>
          <w:b/>
          <w:bCs/>
          <w:rtl/>
        </w:rPr>
        <w:t>יש"ש</w:t>
      </w:r>
      <w:r w:rsidRPr="00E14121">
        <w:rPr>
          <w:rFonts w:ascii="Narkisim" w:hAnsi="Narkisim" w:cs="Narkisim"/>
          <w:rtl/>
        </w:rPr>
        <w:t xml:space="preserve"> הוכיח מזה דאי"צ להטיף דם ברית.</w:t>
      </w:r>
    </w:p>
    <w:p w14:paraId="75DC0D52" w14:textId="77777777" w:rsidR="00F64AED" w:rsidRPr="00E14121" w:rsidRDefault="00F64AED" w:rsidP="00F64AED">
      <w:pPr>
        <w:pStyle w:val="a7"/>
        <w:bidi/>
        <w:rPr>
          <w:rFonts w:ascii="Narkisim" w:hAnsi="Narkisim"/>
        </w:rPr>
      </w:pPr>
      <w:r w:rsidRPr="00E14121">
        <w:rPr>
          <w:rFonts w:ascii="Narkisim" w:hAnsi="Narkisim"/>
          <w:rtl/>
        </w:rPr>
        <w:lastRenderedPageBreak/>
        <w:t>אבל ה</w:t>
      </w:r>
      <w:r w:rsidRPr="00E14121">
        <w:rPr>
          <w:rFonts w:ascii="Narkisim" w:hAnsi="Narkisim"/>
          <w:b/>
          <w:bCs/>
          <w:rtl/>
        </w:rPr>
        <w:t>רמב"ם</w:t>
      </w:r>
      <w:r w:rsidRPr="00E14121">
        <w:rPr>
          <w:rFonts w:ascii="Narkisim" w:hAnsi="Narkisim"/>
          <w:rtl/>
        </w:rPr>
        <w:t xml:space="preserve"> (תרומות ז יא) פסק דהנולד מהול אוכל בתרומה. [וה</w:t>
      </w:r>
      <w:r w:rsidRPr="00E14121">
        <w:rPr>
          <w:rFonts w:ascii="Narkisim" w:hAnsi="Narkisim"/>
          <w:b/>
          <w:bCs/>
          <w:rtl/>
        </w:rPr>
        <w:t>מאירי</w:t>
      </w:r>
      <w:r w:rsidRPr="00E14121">
        <w:rPr>
          <w:rFonts w:ascii="Narkisim" w:hAnsi="Narkisim"/>
          <w:rtl/>
        </w:rPr>
        <w:t xml:space="preserve"> (הנ"ל) תמה עליו]. וה</w:t>
      </w:r>
      <w:r w:rsidRPr="00E14121">
        <w:rPr>
          <w:rFonts w:ascii="Narkisim" w:hAnsi="Narkisim"/>
          <w:b/>
          <w:bCs/>
          <w:rtl/>
        </w:rPr>
        <w:t xml:space="preserve">רדב"ז </w:t>
      </w:r>
      <w:r w:rsidRPr="00E14121">
        <w:rPr>
          <w:rFonts w:ascii="Narkisim" w:hAnsi="Narkisim"/>
          <w:rtl/>
        </w:rPr>
        <w:t>כת' דאע"ג דצריך להטיף דם ברית לאו ערל הוא. אבל ה</w:t>
      </w:r>
      <w:r w:rsidRPr="00E14121">
        <w:rPr>
          <w:rFonts w:ascii="Narkisim" w:hAnsi="Narkisim"/>
          <w:b/>
          <w:bCs/>
          <w:rtl/>
        </w:rPr>
        <w:t>רמב"ם</w:t>
      </w:r>
      <w:r w:rsidRPr="00E14121">
        <w:rPr>
          <w:rFonts w:ascii="Narkisim" w:hAnsi="Narkisim"/>
          <w:rtl/>
        </w:rPr>
        <w:t xml:space="preserve"> (מילה א ז) פסק דבעי הטפה. </w:t>
      </w:r>
      <w:r w:rsidRPr="00E14121">
        <w:rPr>
          <w:rFonts w:ascii="Narkisim" w:hAnsi="Narkisim"/>
          <w:sz w:val="20"/>
          <w:szCs w:val="20"/>
          <w:rtl/>
        </w:rPr>
        <w:t>וה</w:t>
      </w:r>
      <w:r w:rsidRPr="00E14121">
        <w:rPr>
          <w:rFonts w:ascii="Narkisim" w:hAnsi="Narkisim"/>
          <w:b/>
          <w:bCs/>
          <w:sz w:val="20"/>
          <w:szCs w:val="20"/>
          <w:rtl/>
        </w:rPr>
        <w:t>קר"א</w:t>
      </w:r>
      <w:r w:rsidRPr="00E14121">
        <w:rPr>
          <w:rFonts w:ascii="Narkisim" w:hAnsi="Narkisim"/>
          <w:sz w:val="20"/>
          <w:szCs w:val="20"/>
          <w:rtl/>
        </w:rPr>
        <w:t xml:space="preserve"> כת' דדעת הרמב"ם דצריך הטפת דם ברית מדרבנן.</w:t>
      </w:r>
      <w:r w:rsidRPr="00E14121">
        <w:rPr>
          <w:rFonts w:ascii="Narkisim" w:hAnsi="Narkisim"/>
          <w:rtl/>
        </w:rPr>
        <w:t xml:space="preserve"> וב</w:t>
      </w:r>
      <w:r w:rsidRPr="00E14121">
        <w:rPr>
          <w:rFonts w:ascii="Narkisim" w:hAnsi="Narkisim"/>
          <w:b/>
          <w:bCs/>
          <w:rtl/>
        </w:rPr>
        <w:t>שו"ת משכנו”י</w:t>
      </w:r>
      <w:r w:rsidRPr="00E14121">
        <w:rPr>
          <w:rFonts w:ascii="Narkisim" w:hAnsi="Narkisim"/>
          <w:rtl/>
        </w:rPr>
        <w:t xml:space="preserve"> (יו"ד סג) כתב דהרמב"ם ס"ל דצריך הטפת דם ברית משום מצוות מילה, ולא פסק כגמ' בשבת דהוה משום ערלה כבושה. ועפ"ז ניחא הא דבא להתגייר מהול מהני מילה (ע' לעיל מו:), ואף דאינו ערל. </w:t>
      </w:r>
      <w:r w:rsidRPr="00E14121">
        <w:rPr>
          <w:rFonts w:ascii="Narkisim" w:hAnsi="Narkisim"/>
          <w:sz w:val="20"/>
          <w:szCs w:val="20"/>
          <w:rtl/>
        </w:rPr>
        <w:t>[וה</w:t>
      </w:r>
      <w:r w:rsidRPr="00E14121">
        <w:rPr>
          <w:rFonts w:ascii="Narkisim" w:hAnsi="Narkisim"/>
          <w:b/>
          <w:bCs/>
          <w:sz w:val="20"/>
          <w:szCs w:val="20"/>
          <w:rtl/>
        </w:rPr>
        <w:t>אחרונים</w:t>
      </w:r>
      <w:r w:rsidRPr="00E14121">
        <w:rPr>
          <w:rFonts w:ascii="Narkisim" w:hAnsi="Narkisim"/>
          <w:sz w:val="20"/>
          <w:szCs w:val="20"/>
          <w:rtl/>
        </w:rPr>
        <w:t xml:space="preserve"> הקשו היאך דחה הרמב"ם גמ' מפורשת ע"פ קושיה זו].</w:t>
      </w:r>
      <w:r w:rsidRPr="00E14121">
        <w:rPr>
          <w:rFonts w:ascii="Narkisim" w:hAnsi="Narkisim"/>
          <w:rtl/>
        </w:rPr>
        <w:t xml:space="preserve"> וה</w:t>
      </w:r>
      <w:r w:rsidRPr="00E14121">
        <w:rPr>
          <w:rFonts w:ascii="Narkisim" w:hAnsi="Narkisim"/>
          <w:b/>
          <w:bCs/>
          <w:rtl/>
        </w:rPr>
        <w:t>אמר"מ</w:t>
      </w:r>
      <w:r w:rsidRPr="00E14121">
        <w:rPr>
          <w:rFonts w:ascii="Narkisim" w:hAnsi="Narkisim"/>
          <w:rtl/>
        </w:rPr>
        <w:t xml:space="preserve"> (כב כד וכן קה"י שבת נא) תי' דערלה כבושה לא מקרי 'ערל', אלא משום חיוב מצוות מילה בעי הטפה, וכיון דיש ערלה כבושה מקרי דם ברית. אבל לענין תרומה לא תליא ב'מצות מילה', אלא בשם ערל.</w:t>
      </w:r>
    </w:p>
    <w:p w14:paraId="15F7E925" w14:textId="77777777" w:rsidR="00F64AED" w:rsidRPr="00E14121" w:rsidRDefault="00F64AED" w:rsidP="00F64AED">
      <w:pPr>
        <w:pStyle w:val="aa"/>
        <w:bidi/>
        <w:rPr>
          <w:rFonts w:ascii="Narkisim" w:hAnsi="Narkisim"/>
        </w:rPr>
      </w:pPr>
      <w:r w:rsidRPr="00E14121">
        <w:rPr>
          <w:rFonts w:ascii="Narkisim" w:hAnsi="Narkisim"/>
          <w:u w:val="single"/>
          <w:rtl/>
        </w:rPr>
        <w:t>נשיו לטומטום מנ"ל אילימא דקדיש וכו' ספק אשה הוא</w:t>
      </w:r>
      <w:r w:rsidRPr="00E14121">
        <w:rPr>
          <w:rStyle w:val="ac"/>
          <w:rFonts w:ascii="Narkisim" w:hAnsi="Narkisim"/>
          <w:u w:val="single"/>
          <w:rtl/>
        </w:rPr>
        <w:footnoteReference w:id="4413"/>
      </w:r>
      <w:r w:rsidRPr="00E14121">
        <w:rPr>
          <w:rFonts w:ascii="Narkisim" w:hAnsi="Narkisim"/>
          <w:u w:val="single"/>
          <w:rtl/>
        </w:rPr>
        <w:t xml:space="preserve"> וכו'.</w:t>
      </w:r>
      <w:r w:rsidRPr="00E14121">
        <w:rPr>
          <w:rFonts w:ascii="Narkisim" w:hAnsi="Narkisim"/>
          <w:rtl/>
        </w:rPr>
        <w:t xml:space="preserve"> ה</w:t>
      </w:r>
      <w:r w:rsidRPr="00E14121">
        <w:rPr>
          <w:rFonts w:ascii="Narkisim" w:hAnsi="Narkisim"/>
          <w:b/>
          <w:bCs/>
          <w:rtl/>
        </w:rPr>
        <w:t>מלא הרועים</w:t>
      </w:r>
      <w:r w:rsidRPr="00E14121">
        <w:rPr>
          <w:rFonts w:ascii="Narkisim" w:hAnsi="Narkisim"/>
          <w:rtl/>
        </w:rPr>
        <w:t xml:space="preserve"> הק' אמאי לא יאכיל בתרומה דרבנן, דספיקא דרבנן לקולא. וכתב דצ"ל גזרינן אטו דאורייתא. א"נ לכתחילה אין להקל בספק דרבנן. ולגבי אשתו אשתו יש חזקת זרות. וה</w:t>
      </w:r>
      <w:r w:rsidRPr="00E14121">
        <w:rPr>
          <w:rFonts w:ascii="Narkisim" w:hAnsi="Narkisim"/>
          <w:b/>
          <w:bCs/>
          <w:rtl/>
        </w:rPr>
        <w:t>מנח"ח</w:t>
      </w:r>
      <w:r w:rsidRPr="00E14121">
        <w:rPr>
          <w:rFonts w:ascii="Narkisim" w:hAnsi="Narkisim"/>
          <w:rtl/>
        </w:rPr>
        <w:t xml:space="preserve"> (רפב יד) הקשה נימא מחצה נקיבות ומיעוט נולד כשהוא מהול, וסמוך מיעוטא וכו'. וכתב דצ"ל דהוה מיעוטא דמיעוטא [וכדברי המלחמות בשבת].</w:t>
      </w:r>
    </w:p>
    <w:p w14:paraId="62B7E8B6" w14:textId="77777777" w:rsidR="00F64AED" w:rsidRPr="00E14121" w:rsidRDefault="00F64AED" w:rsidP="00F64AED">
      <w:pPr>
        <w:pStyle w:val="aa"/>
        <w:bidi/>
        <w:rPr>
          <w:rFonts w:ascii="Narkisim" w:hAnsi="Narkisim"/>
        </w:rPr>
      </w:pPr>
      <w:r w:rsidRPr="00E14121">
        <w:rPr>
          <w:rFonts w:ascii="Narkisim" w:hAnsi="Narkisim"/>
          <w:u w:val="single"/>
          <w:rtl/>
        </w:rPr>
        <w:t>תוד"ה מבחוץ.</w:t>
      </w:r>
      <w:r w:rsidRPr="00E14121">
        <w:rPr>
          <w:rFonts w:ascii="Narkisim" w:hAnsi="Narkisim"/>
          <w:rtl/>
        </w:rPr>
        <w:t xml:space="preserve"> לא הוי חופתו חופה. מבואר בלשון ה</w:t>
      </w:r>
      <w:r w:rsidRPr="00E14121">
        <w:rPr>
          <w:rFonts w:ascii="Narkisim" w:hAnsi="Narkisim"/>
          <w:b/>
          <w:bCs/>
          <w:rtl/>
        </w:rPr>
        <w:t xml:space="preserve">תוס' </w:t>
      </w:r>
      <w:r w:rsidRPr="00E14121">
        <w:rPr>
          <w:rFonts w:ascii="Narkisim" w:hAnsi="Narkisim"/>
          <w:rtl/>
        </w:rPr>
        <w:t>דפחות מבת ג' לא הוה חופה כלל. ולא רק שאינו מאכיל בתרומה (וע' מש"כ בזה לעיל נז:).</w:t>
      </w:r>
    </w:p>
    <w:p w14:paraId="446777C4" w14:textId="77777777" w:rsidR="00F64AED" w:rsidRPr="00E14121" w:rsidRDefault="00F64AED" w:rsidP="00F64AED">
      <w:pPr>
        <w:pStyle w:val="aa"/>
        <w:bidi/>
        <w:rPr>
          <w:rFonts w:ascii="Narkisim" w:hAnsi="Narkisim"/>
        </w:rPr>
      </w:pPr>
      <w:r w:rsidRPr="00E14121">
        <w:rPr>
          <w:rFonts w:ascii="Narkisim" w:hAnsi="Narkisim"/>
          <w:u w:val="single"/>
          <w:rtl/>
        </w:rPr>
        <w:t>בא"ד וי"ל דכיון דראוי לקרוע וכו'</w:t>
      </w:r>
      <w:r w:rsidRPr="00E14121">
        <w:rPr>
          <w:rFonts w:ascii="Narkisim" w:hAnsi="Narkisim"/>
          <w:rtl/>
        </w:rPr>
        <w:t>. [אף דחופה זו אינו ראוי לביאה, דמסתמא אינו יכול לקרוע עצמו בחופה. אלא דסגי דהנישואין הם ראויין לביאה, וצ”ל דפחות מבת ג' גרע דאינו בידו].</w:t>
      </w:r>
    </w:p>
    <w:p w14:paraId="506A7863" w14:textId="77777777" w:rsidR="00F64AED" w:rsidRPr="00E14121" w:rsidRDefault="00F64AED" w:rsidP="00F64AED">
      <w:pPr>
        <w:pStyle w:val="aa"/>
        <w:bidi/>
        <w:rPr>
          <w:rFonts w:ascii="Narkisim" w:hAnsi="Narkisim"/>
        </w:rPr>
      </w:pPr>
      <w:r w:rsidRPr="00E14121">
        <w:rPr>
          <w:rFonts w:ascii="Narkisim" w:hAnsi="Narkisim"/>
          <w:u w:val="single"/>
          <w:rtl/>
        </w:rPr>
        <w:t>רבא אמר מוליד מאכיל.</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דדייקינן לה ויליד ביתו, בראוי להוליד. דס”ד דדרשי' דרק זרע דראוי להוליד נחשב 'זרע'</w:t>
      </w:r>
      <w:r w:rsidRPr="00E14121">
        <w:rPr>
          <w:rStyle w:val="ac"/>
          <w:rFonts w:ascii="Narkisim" w:hAnsi="Narkisim"/>
          <w:rtl/>
        </w:rPr>
        <w:footnoteReference w:id="4414"/>
      </w:r>
      <w:r w:rsidRPr="00E14121">
        <w:rPr>
          <w:rFonts w:ascii="Narkisim" w:hAnsi="Narkisim"/>
          <w:rtl/>
        </w:rPr>
        <w:t>.</w:t>
      </w:r>
    </w:p>
    <w:p w14:paraId="1F99542B"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רמב"ם</w:t>
      </w:r>
      <w:r w:rsidRPr="00E14121">
        <w:rPr>
          <w:rFonts w:ascii="Narkisim" w:hAnsi="Narkisim" w:cs="Narkisim"/>
          <w:rtl/>
        </w:rPr>
        <w:t xml:space="preserve"> (תרומות ז יד) סתם דטומטום אינו מאכיל את אשתו. והקשו דהשמיט דכשביציו ניכרין מבחוץ מאכיל. וה</w:t>
      </w:r>
      <w:r w:rsidRPr="00E14121">
        <w:rPr>
          <w:rFonts w:ascii="Narkisim" w:hAnsi="Narkisim" w:cs="Narkisim"/>
          <w:b/>
          <w:bCs/>
          <w:rtl/>
        </w:rPr>
        <w:t>כס"מ</w:t>
      </w:r>
      <w:r w:rsidRPr="00E14121">
        <w:rPr>
          <w:rFonts w:ascii="Narkisim" w:hAnsi="Narkisim" w:cs="Narkisim"/>
          <w:rtl/>
        </w:rPr>
        <w:t xml:space="preserve"> כתב דהלכה כרבא דקאי אאמו. וה</w:t>
      </w:r>
      <w:r w:rsidRPr="00E14121">
        <w:rPr>
          <w:rFonts w:ascii="Narkisim" w:hAnsi="Narkisim" w:cs="Narkisim"/>
          <w:b/>
          <w:bCs/>
          <w:rtl/>
        </w:rPr>
        <w:t>מהר”י קורקוס</w:t>
      </w:r>
      <w:r w:rsidRPr="00E14121">
        <w:rPr>
          <w:rFonts w:ascii="Narkisim" w:hAnsi="Narkisim" w:cs="Narkisim"/>
          <w:rtl/>
        </w:rPr>
        <w:t xml:space="preserve"> הוסיף דאינו בר ביאה אינו מאכיל. וה</w:t>
      </w:r>
      <w:r w:rsidRPr="00E14121">
        <w:rPr>
          <w:rFonts w:ascii="Narkisim" w:hAnsi="Narkisim" w:cs="Narkisim"/>
          <w:b/>
          <w:bCs/>
          <w:rtl/>
        </w:rPr>
        <w:t>משנ"ל</w:t>
      </w:r>
      <w:r w:rsidRPr="00E14121">
        <w:rPr>
          <w:rFonts w:ascii="Narkisim" w:hAnsi="Narkisim" w:cs="Narkisim"/>
          <w:rtl/>
        </w:rPr>
        <w:t xml:space="preserve"> כתב דפשטות הגמ' י"ל דרבא לא פליג אאביי לדינא, אלא דדוחק לו להעמיד בזה. וכתב די"ל דרבא ס"ל דלא מהני חופה לטומטום, וכקושיית </w:t>
      </w:r>
      <w:r w:rsidRPr="00E14121">
        <w:rPr>
          <w:rFonts w:ascii="Narkisim" w:hAnsi="Narkisim" w:cs="Narkisim"/>
          <w:b/>
          <w:bCs/>
          <w:rtl/>
        </w:rPr>
        <w:t>תוס</w:t>
      </w:r>
      <w:r w:rsidRPr="00E14121">
        <w:rPr>
          <w:rFonts w:ascii="Narkisim" w:hAnsi="Narkisim" w:cs="Narkisim"/>
          <w:rtl/>
        </w:rPr>
        <w:t>' (ד”ה מבחוץ) דקי"ל (לעיל נז:) דבעינן חופה הראויה לביאה</w:t>
      </w:r>
      <w:r w:rsidRPr="00E14121">
        <w:rPr>
          <w:rStyle w:val="ac"/>
          <w:rFonts w:ascii="Narkisim" w:hAnsi="Narkisim" w:cs="Narkisim"/>
          <w:rtl/>
        </w:rPr>
        <w:footnoteReference w:id="4415"/>
      </w:r>
      <w:r w:rsidRPr="00E14121">
        <w:rPr>
          <w:rFonts w:ascii="Narkisim" w:hAnsi="Narkisim" w:cs="Narkisim"/>
          <w:rtl/>
        </w:rPr>
        <w:t xml:space="preserve">. ורבא לא ס"ל כתי' התוס'. </w:t>
      </w:r>
      <w:r w:rsidRPr="00E14121">
        <w:rPr>
          <w:rFonts w:ascii="Narkisim" w:hAnsi="Narkisim" w:cs="Narkisim"/>
          <w:sz w:val="20"/>
          <w:szCs w:val="20"/>
          <w:rtl/>
        </w:rPr>
        <w:t>אבל ה</w:t>
      </w:r>
      <w:r w:rsidRPr="00E14121">
        <w:rPr>
          <w:rFonts w:ascii="Narkisim" w:hAnsi="Narkisim" w:cs="Narkisim"/>
          <w:b/>
          <w:bCs/>
          <w:sz w:val="20"/>
          <w:szCs w:val="20"/>
          <w:rtl/>
        </w:rPr>
        <w:t xml:space="preserve">מנח"ח </w:t>
      </w:r>
      <w:r w:rsidRPr="00E14121">
        <w:rPr>
          <w:rFonts w:ascii="Narkisim" w:hAnsi="Narkisim" w:cs="Narkisim"/>
          <w:sz w:val="20"/>
          <w:szCs w:val="20"/>
          <w:rtl/>
        </w:rPr>
        <w:t>(רפ טו) כתב דרבא ס"ל דאף ביציו מבחוץ אינו ודאי זכר, דכיון דאישתני</w:t>
      </w:r>
      <w:r w:rsidRPr="00E14121">
        <w:rPr>
          <w:rStyle w:val="ac"/>
          <w:rFonts w:ascii="Narkisim" w:hAnsi="Narkisim" w:cs="Narkisim"/>
          <w:sz w:val="20"/>
          <w:szCs w:val="20"/>
          <w:rtl/>
        </w:rPr>
        <w:footnoteReference w:id="4416"/>
      </w:r>
      <w:r w:rsidRPr="00E14121">
        <w:rPr>
          <w:rFonts w:ascii="Narkisim" w:hAnsi="Narkisim" w:cs="Narkisim"/>
          <w:sz w:val="20"/>
          <w:szCs w:val="20"/>
          <w:rtl/>
        </w:rPr>
        <w:t xml:space="preserve"> חיישינן שהוא אנדרוגינוס.</w:t>
      </w:r>
    </w:p>
    <w:p w14:paraId="583EC62B" w14:textId="77777777" w:rsidR="00F64AED" w:rsidRPr="00E14121" w:rsidRDefault="00F64AED" w:rsidP="00F64AED">
      <w:pPr>
        <w:bidi/>
        <w:rPr>
          <w:rFonts w:ascii="Narkisim" w:hAnsi="Narkisim" w:cs="Narkisim"/>
        </w:rPr>
      </w:pPr>
      <w:r w:rsidRPr="00E14121">
        <w:rPr>
          <w:rFonts w:ascii="Narkisim" w:hAnsi="Narkisim" w:cs="Narkisim"/>
          <w:u w:val="single"/>
          <w:rtl/>
        </w:rPr>
        <w:t>משוך (ונולד כשהוא מהול) וכו'.</w:t>
      </w:r>
      <w:r w:rsidRPr="00E14121">
        <w:rPr>
          <w:rFonts w:ascii="Narkisim" w:hAnsi="Narkisim" w:cs="Narkisim"/>
          <w:rtl/>
        </w:rPr>
        <w:t xml:space="preserve"> ה</w:t>
      </w:r>
      <w:r w:rsidRPr="00E14121">
        <w:rPr>
          <w:rFonts w:ascii="Narkisim" w:hAnsi="Narkisim" w:cs="Narkisim"/>
          <w:b/>
          <w:bCs/>
          <w:rtl/>
        </w:rPr>
        <w:t>מהרש"ל</w:t>
      </w:r>
      <w:r w:rsidRPr="00E14121">
        <w:rPr>
          <w:rFonts w:ascii="Narkisim" w:hAnsi="Narkisim" w:cs="Narkisim"/>
          <w:rtl/>
        </w:rPr>
        <w:t xml:space="preserve"> מחק בסוגיין את התיבות נולד כשהוא מהול, דכיון דצריך הטפת דם ברית משום ספק ערלה כבושה, א"כ פשיטא דבעי ביום השמיני. וכ”פ ה</w:t>
      </w:r>
      <w:r w:rsidRPr="00E14121">
        <w:rPr>
          <w:rFonts w:ascii="Narkisim" w:hAnsi="Narkisim" w:cs="Narkisim"/>
          <w:b/>
          <w:bCs/>
          <w:rtl/>
        </w:rPr>
        <w:t>רמב"ם</w:t>
      </w:r>
      <w:r w:rsidRPr="00E14121">
        <w:rPr>
          <w:rFonts w:ascii="Narkisim" w:hAnsi="Narkisim" w:cs="Narkisim"/>
          <w:rtl/>
        </w:rPr>
        <w:t xml:space="preserve"> (מילה א ז) דבעי הטפת דם ברית בשמיני.</w:t>
      </w:r>
    </w:p>
    <w:p w14:paraId="7B454392"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(סטנסל פח) כתב דדעת הרא"ש דהטפת דם ברית לא בעי שמיני. ולדעת הרמב"ם כתב דלא ס"ל דהוה גדר ערלה כבושה [וכמ"ש המשכנו"י]. </w:t>
      </w:r>
      <w:r w:rsidRPr="00E14121">
        <w:rPr>
          <w:rFonts w:ascii="Narkisim" w:hAnsi="Narkisim"/>
          <w:sz w:val="20"/>
          <w:szCs w:val="20"/>
          <w:rtl/>
        </w:rPr>
        <w:t>ולדברי ה</w:t>
      </w:r>
      <w:r w:rsidRPr="00E14121">
        <w:rPr>
          <w:rFonts w:ascii="Narkisim" w:hAnsi="Narkisim"/>
          <w:b/>
          <w:bCs/>
          <w:sz w:val="20"/>
          <w:szCs w:val="20"/>
          <w:rtl/>
        </w:rPr>
        <w:t>אחרונים</w:t>
      </w:r>
      <w:r w:rsidRPr="00E14121">
        <w:rPr>
          <w:rFonts w:ascii="Narkisim" w:hAnsi="Narkisim"/>
          <w:sz w:val="20"/>
          <w:szCs w:val="20"/>
          <w:rtl/>
        </w:rPr>
        <w:t xml:space="preserve"> (הו' לעיל) י”ל דדעת הרמב"ם דהטפת דם ברית לא דמי לשאר מצוות מילה.</w:t>
      </w:r>
      <w:r w:rsidRPr="00E14121">
        <w:rPr>
          <w:rFonts w:ascii="Narkisim" w:hAnsi="Narkisim"/>
          <w:rtl/>
        </w:rPr>
        <w:t xml:space="preserve"> וה</w:t>
      </w:r>
      <w:r w:rsidRPr="00E14121">
        <w:rPr>
          <w:rFonts w:ascii="Narkisim" w:hAnsi="Narkisim"/>
          <w:b/>
          <w:bCs/>
          <w:rtl/>
        </w:rPr>
        <w:t>אחרונים</w:t>
      </w:r>
      <w:r w:rsidRPr="00E14121">
        <w:rPr>
          <w:rFonts w:ascii="Narkisim" w:hAnsi="Narkisim"/>
          <w:rtl/>
        </w:rPr>
        <w:t xml:space="preserve"> דנו די"ל דדין שמיני דרבנן.</w:t>
      </w:r>
    </w:p>
    <w:p w14:paraId="2B3E4415" w14:textId="77777777" w:rsidR="00F64AED" w:rsidRPr="00E14121" w:rsidRDefault="00F64AED" w:rsidP="00F64AED">
      <w:pPr>
        <w:bidi/>
        <w:rPr>
          <w:rFonts w:ascii="Narkisim" w:hAnsi="Narkisim" w:cs="Narkisim"/>
        </w:rPr>
      </w:pPr>
      <w:r w:rsidRPr="00E14121">
        <w:rPr>
          <w:rFonts w:ascii="Narkisim" w:hAnsi="Narkisim" w:cs="Narkisim"/>
          <w:u w:val="single"/>
          <w:rtl/>
        </w:rPr>
        <w:t>גר שנתגייר כשהוא מהול.</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ערבי מהול, וצריך הטפת דם ברית. </w:t>
      </w:r>
      <w:r w:rsidRPr="00E14121">
        <w:rPr>
          <w:rFonts w:ascii="Narkisim" w:hAnsi="Narkisim" w:cs="Narkisim"/>
          <w:sz w:val="20"/>
          <w:szCs w:val="20"/>
          <w:rtl/>
        </w:rPr>
        <w:t>[ו</w:t>
      </w:r>
      <w:r w:rsidRPr="00E14121">
        <w:rPr>
          <w:rFonts w:ascii="Narkisim" w:hAnsi="Narkisim" w:cs="Narkisim"/>
          <w:b/>
          <w:bCs/>
          <w:sz w:val="20"/>
          <w:szCs w:val="20"/>
          <w:rtl/>
        </w:rPr>
        <w:t>תוס'</w:t>
      </w:r>
      <w:r w:rsidRPr="00E14121">
        <w:rPr>
          <w:rFonts w:ascii="Narkisim" w:hAnsi="Narkisim" w:cs="Narkisim"/>
          <w:sz w:val="20"/>
          <w:szCs w:val="20"/>
          <w:rtl/>
        </w:rPr>
        <w:t xml:space="preserve"> (לעיל מו: ד”ה דרבי יוסי) הביאו דר"א ורבנן מודו דנתגייר שהוא מהול צריך הטפת דם ברית, אלא דנח' האם מהני ביום. ותוס' הביאו דנח' בזה בה"ג ור"ח]</w:t>
      </w:r>
      <w:r w:rsidRPr="00E14121">
        <w:rPr>
          <w:rFonts w:ascii="Narkisim" w:hAnsi="Narkisim" w:cs="Narkisim"/>
          <w:rtl/>
        </w:rPr>
        <w:t>.</w:t>
      </w:r>
    </w:p>
    <w:p w14:paraId="0EC69FD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רש"ש</w:t>
      </w:r>
      <w:r w:rsidRPr="00E14121">
        <w:rPr>
          <w:rFonts w:ascii="Narkisim" w:hAnsi="Narkisim"/>
          <w:rtl/>
        </w:rPr>
        <w:t xml:space="preserve"> דייק דשאר מילת גרים פשיטא דבעי ביום [אף דלא הוה מילה בזמנו]. וביאר דמשפט כתיב ביה, כיון דמילתו מכניסתו לברית</w:t>
      </w:r>
      <w:r w:rsidRPr="00E14121">
        <w:rPr>
          <w:rFonts w:ascii="Narkisim" w:hAnsi="Narkisim"/>
          <w:sz w:val="20"/>
          <w:szCs w:val="20"/>
          <w:rtl/>
        </w:rPr>
        <w:t xml:space="preserve"> (כדאמרי' לעיל מו:)</w:t>
      </w:r>
      <w:r w:rsidRPr="00E14121">
        <w:rPr>
          <w:rStyle w:val="ac"/>
          <w:rFonts w:ascii="Narkisim" w:hAnsi="Narkisim"/>
          <w:sz w:val="20"/>
          <w:szCs w:val="20"/>
          <w:rtl/>
        </w:rPr>
        <w:footnoteReference w:id="4417"/>
      </w:r>
      <w:r w:rsidRPr="00E14121">
        <w:rPr>
          <w:rFonts w:ascii="Narkisim" w:hAnsi="Narkisim"/>
          <w:sz w:val="20"/>
          <w:szCs w:val="20"/>
          <w:rtl/>
        </w:rPr>
        <w:t>. והביא דכ”מ מסדר דברי השו”ע (יו”ד רסח ג,ד) דבעינן ג' דיינים במילה</w:t>
      </w:r>
      <w:r w:rsidRPr="00E14121">
        <w:rPr>
          <w:rStyle w:val="ac"/>
          <w:rFonts w:ascii="Narkisim" w:hAnsi="Narkisim"/>
          <w:sz w:val="20"/>
          <w:szCs w:val="20"/>
          <w:rtl/>
        </w:rPr>
        <w:footnoteReference w:id="4418"/>
      </w:r>
      <w:r w:rsidRPr="00E14121">
        <w:rPr>
          <w:rFonts w:ascii="Narkisim" w:hAnsi="Narkisim"/>
          <w:rtl/>
        </w:rPr>
        <w:t>.</w:t>
      </w:r>
    </w:p>
    <w:p w14:paraId="74EEB62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רש”ש</w:t>
      </w:r>
      <w:r w:rsidRPr="00E14121">
        <w:rPr>
          <w:rFonts w:ascii="Narkisim" w:hAnsi="Narkisim"/>
          <w:rtl/>
        </w:rPr>
        <w:t xml:space="preserve"> ביאר דלדעת ר' אלעזר בר"ש גר שנתגייר כשהוא מהול מהני בלילה, דהוה כמו אשה </w:t>
      </w:r>
      <w:r w:rsidRPr="00E14121">
        <w:rPr>
          <w:rFonts w:ascii="Narkisim" w:hAnsi="Narkisim"/>
          <w:rtl/>
        </w:rPr>
        <w:lastRenderedPageBreak/>
        <w:t xml:space="preserve">דעצם הגירות הוה בטבילה </w:t>
      </w:r>
      <w:r w:rsidRPr="00E14121">
        <w:rPr>
          <w:rFonts w:ascii="Narkisim" w:hAnsi="Narkisim"/>
          <w:sz w:val="20"/>
          <w:szCs w:val="20"/>
          <w:rtl/>
        </w:rPr>
        <w:t>[דלא נחשב ערל</w:t>
      </w:r>
      <w:r w:rsidRPr="00E14121">
        <w:rPr>
          <w:rStyle w:val="ac"/>
          <w:rFonts w:ascii="Narkisim" w:hAnsi="Narkisim"/>
          <w:sz w:val="20"/>
          <w:szCs w:val="20"/>
          <w:rtl/>
        </w:rPr>
        <w:footnoteReference w:id="4419"/>
      </w:r>
      <w:r w:rsidRPr="00E14121">
        <w:rPr>
          <w:rFonts w:ascii="Narkisim" w:hAnsi="Narkisim"/>
          <w:sz w:val="20"/>
          <w:szCs w:val="20"/>
          <w:rtl/>
        </w:rPr>
        <w:t>]</w:t>
      </w:r>
      <w:r w:rsidRPr="00E14121">
        <w:rPr>
          <w:rFonts w:ascii="Narkisim" w:hAnsi="Narkisim"/>
          <w:rtl/>
        </w:rPr>
        <w:t>. ובעי הטפת דם ברית למצות מילה בעלמא</w:t>
      </w:r>
      <w:r w:rsidRPr="00E14121">
        <w:rPr>
          <w:rStyle w:val="ac"/>
          <w:rFonts w:ascii="Narkisim" w:hAnsi="Narkisim"/>
          <w:rtl/>
        </w:rPr>
        <w:footnoteReference w:id="4420"/>
      </w:r>
      <w:r w:rsidRPr="00E14121">
        <w:rPr>
          <w:rFonts w:ascii="Narkisim" w:hAnsi="Narkisim"/>
          <w:rtl/>
        </w:rPr>
        <w:t>.</w:t>
      </w:r>
    </w:p>
    <w:p w14:paraId="04CEAEBE" w14:textId="77777777" w:rsidR="00F64AED" w:rsidRPr="00E14121" w:rsidRDefault="00F64AED" w:rsidP="00F64AED">
      <w:pPr>
        <w:pStyle w:val="aa"/>
        <w:bidi/>
        <w:rPr>
          <w:rFonts w:ascii="Narkisim" w:hAnsi="Narkisim"/>
        </w:rPr>
      </w:pPr>
      <w:r w:rsidRPr="00E14121">
        <w:rPr>
          <w:rFonts w:ascii="Narkisim" w:hAnsi="Narkisim"/>
          <w:u w:val="single"/>
          <w:rtl/>
        </w:rPr>
        <w:t>מי שיש לו ב' ערלות.</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ב' עורות זו ע"ג זו</w:t>
      </w:r>
      <w:r w:rsidRPr="00E14121">
        <w:rPr>
          <w:rStyle w:val="ac"/>
          <w:rFonts w:ascii="Narkisim" w:hAnsi="Narkisim"/>
          <w:rtl/>
        </w:rPr>
        <w:footnoteReference w:id="4421"/>
      </w:r>
      <w:r w:rsidRPr="00E14121">
        <w:rPr>
          <w:rFonts w:ascii="Narkisim" w:hAnsi="Narkisim"/>
          <w:rtl/>
        </w:rPr>
        <w:t>. וה</w:t>
      </w:r>
      <w:r w:rsidRPr="00E14121">
        <w:rPr>
          <w:rFonts w:ascii="Narkisim" w:hAnsi="Narkisim"/>
          <w:b/>
          <w:bCs/>
          <w:rtl/>
        </w:rPr>
        <w:t>מאירי</w:t>
      </w:r>
      <w:r w:rsidRPr="00E14121">
        <w:rPr>
          <w:rFonts w:ascii="Narkisim" w:hAnsi="Narkisim"/>
          <w:rtl/>
        </w:rPr>
        <w:t xml:space="preserve"> ביאר דלא נודע איזה עור עיקר. אך הקשה אמאי לא דחי שבת, הא הוה כציצין המעכבין את המילה. [דאף דעור א' הוה עיקר הערלה, צריך לסלק את השני משום פריעה כדין ציצין]</w:t>
      </w:r>
      <w:r w:rsidRPr="00E14121">
        <w:rPr>
          <w:rStyle w:val="ac"/>
          <w:rFonts w:ascii="Narkisim" w:hAnsi="Narkisim"/>
          <w:rtl/>
        </w:rPr>
        <w:footnoteReference w:id="4422"/>
      </w:r>
      <w:r w:rsidRPr="00E14121">
        <w:rPr>
          <w:rFonts w:ascii="Narkisim" w:hAnsi="Narkisim"/>
          <w:rtl/>
        </w:rPr>
        <w:t xml:space="preserve">.  </w:t>
      </w:r>
    </w:p>
    <w:p w14:paraId="081267E6"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(שבת קלה:) הביא פי' נוסף שיש לו ב' גידין</w:t>
      </w:r>
      <w:r w:rsidRPr="00E14121">
        <w:rPr>
          <w:rStyle w:val="ac"/>
          <w:rFonts w:ascii="Narkisim" w:hAnsi="Narkisim"/>
          <w:rtl/>
        </w:rPr>
        <w:footnoteReference w:id="4423"/>
      </w:r>
      <w:r w:rsidRPr="00E14121">
        <w:rPr>
          <w:rFonts w:ascii="Narkisim" w:hAnsi="Narkisim"/>
          <w:rtl/>
        </w:rPr>
        <w:t>. וה</w:t>
      </w:r>
      <w:r w:rsidRPr="00E14121">
        <w:rPr>
          <w:rFonts w:ascii="Narkisim" w:hAnsi="Narkisim"/>
          <w:b/>
          <w:bCs/>
          <w:rtl/>
        </w:rPr>
        <w:t>מאירי</w:t>
      </w:r>
      <w:r w:rsidRPr="00E14121">
        <w:rPr>
          <w:rFonts w:ascii="Narkisim" w:hAnsi="Narkisim"/>
          <w:rtl/>
        </w:rPr>
        <w:t xml:space="preserve"> הוסיף דכבר מל א' מהם</w:t>
      </w:r>
      <w:r w:rsidRPr="00E14121">
        <w:rPr>
          <w:rStyle w:val="ac"/>
          <w:rFonts w:ascii="Narkisim" w:hAnsi="Narkisim"/>
          <w:rtl/>
        </w:rPr>
        <w:footnoteReference w:id="4424"/>
      </w:r>
      <w:r w:rsidRPr="00E14121">
        <w:rPr>
          <w:rFonts w:ascii="Narkisim" w:hAnsi="Narkisim"/>
          <w:rtl/>
        </w:rPr>
        <w:t>, ונח' האם רשאי למול את השני בלילה. [ומשמע דודאי צריך למול אף את השני, אלא שלא נחשב מילה בזמנו].</w:t>
      </w:r>
    </w:p>
    <w:p w14:paraId="452890DC" w14:textId="77777777" w:rsidR="00F64AED" w:rsidRPr="00E14121" w:rsidRDefault="00F64AED" w:rsidP="00F64AED">
      <w:pPr>
        <w:pStyle w:val="aa"/>
        <w:bidi/>
        <w:rPr>
          <w:rFonts w:ascii="Narkisim" w:hAnsi="Narkisim"/>
        </w:rPr>
      </w:pPr>
      <w:r w:rsidRPr="00E14121">
        <w:rPr>
          <w:rFonts w:ascii="Narkisim" w:hAnsi="Narkisim"/>
          <w:rtl/>
        </w:rPr>
        <w:t>וב</w:t>
      </w:r>
      <w:r w:rsidRPr="00E14121">
        <w:rPr>
          <w:rFonts w:ascii="Narkisim" w:hAnsi="Narkisim"/>
          <w:b/>
          <w:bCs/>
          <w:rtl/>
        </w:rPr>
        <w:t>גמ'</w:t>
      </w:r>
      <w:r w:rsidRPr="00E14121">
        <w:rPr>
          <w:rFonts w:ascii="Narkisim" w:hAnsi="Narkisim"/>
          <w:rtl/>
        </w:rPr>
        <w:t xml:space="preserve"> (שבת שם) נח' האמוראים מי שיש לו ב' ערלות [כנ"ל] האם נימול לח', וכיוצא דופן</w:t>
      </w:r>
      <w:r w:rsidRPr="00E14121">
        <w:rPr>
          <w:rStyle w:val="ac"/>
          <w:rFonts w:ascii="Narkisim" w:hAnsi="Narkisim"/>
          <w:rtl/>
        </w:rPr>
        <w:footnoteReference w:id="4425"/>
      </w:r>
      <w:r w:rsidRPr="00E14121">
        <w:rPr>
          <w:rFonts w:ascii="Narkisim" w:hAnsi="Narkisim"/>
          <w:rtl/>
        </w:rPr>
        <w:t>. וה</w:t>
      </w:r>
      <w:r w:rsidRPr="00E14121">
        <w:rPr>
          <w:rFonts w:ascii="Narkisim" w:hAnsi="Narkisim"/>
          <w:b/>
          <w:bCs/>
          <w:rtl/>
        </w:rPr>
        <w:t>רש”ש</w:t>
      </w:r>
      <w:r w:rsidRPr="00E14121">
        <w:rPr>
          <w:rFonts w:ascii="Narkisim" w:hAnsi="Narkisim"/>
          <w:rtl/>
        </w:rPr>
        <w:t xml:space="preserve"> הק' דבברייתא דידן מבואר דהוה מילה שלא בזמנו</w:t>
      </w:r>
      <w:r w:rsidRPr="00E14121">
        <w:rPr>
          <w:rStyle w:val="ac"/>
          <w:rFonts w:ascii="Narkisim" w:hAnsi="Narkisim"/>
          <w:rtl/>
        </w:rPr>
        <w:footnoteReference w:id="4426"/>
      </w:r>
      <w:r w:rsidRPr="00E14121">
        <w:rPr>
          <w:rFonts w:ascii="Narkisim" w:hAnsi="Narkisim"/>
          <w:rtl/>
        </w:rPr>
        <w:t>, ותקשי לאידך מ"ד דהתם.</w:t>
      </w:r>
    </w:p>
    <w:p w14:paraId="404A2B80" w14:textId="77777777" w:rsidR="00F64AED" w:rsidRPr="00E14121" w:rsidRDefault="00F64AED" w:rsidP="00F64AED">
      <w:pPr>
        <w:pStyle w:val="aa"/>
        <w:bidi/>
        <w:rPr>
          <w:rFonts w:ascii="Narkisim" w:hAnsi="Narkisim"/>
        </w:rPr>
      </w:pPr>
      <w:r w:rsidRPr="00E14121">
        <w:rPr>
          <w:rFonts w:ascii="Narkisim" w:hAnsi="Narkisim"/>
          <w:rtl/>
        </w:rPr>
        <w:t xml:space="preserve">[ופשטות הסוגיא (שם, וכ"מ מדברי </w:t>
      </w:r>
      <w:r w:rsidRPr="00E14121">
        <w:rPr>
          <w:rFonts w:ascii="Narkisim" w:hAnsi="Narkisim"/>
          <w:b/>
          <w:bCs/>
          <w:rtl/>
        </w:rPr>
        <w:t>רש"י</w:t>
      </w:r>
      <w:r w:rsidRPr="00E14121">
        <w:rPr>
          <w:rFonts w:ascii="Narkisim" w:hAnsi="Narkisim"/>
          <w:rtl/>
        </w:rPr>
        <w:t xml:space="preserve">) מבואר שהנידון למולו מיד ביום לידתו. אך מדברי </w:t>
      </w:r>
      <w:r w:rsidRPr="00E14121">
        <w:rPr>
          <w:rFonts w:ascii="Narkisim" w:hAnsi="Narkisim"/>
          <w:b/>
          <w:bCs/>
          <w:rtl/>
        </w:rPr>
        <w:t>רשב"ם</w:t>
      </w:r>
      <w:r w:rsidRPr="00E14121">
        <w:rPr>
          <w:rFonts w:ascii="Narkisim" w:hAnsi="Narkisim"/>
          <w:rtl/>
        </w:rPr>
        <w:t xml:space="preserve"> (ב"ב קכז.) משמע דהנידון דוקא לחלל עליו שבת</w:t>
      </w:r>
      <w:r w:rsidRPr="00E14121">
        <w:rPr>
          <w:rStyle w:val="ac"/>
          <w:rFonts w:ascii="Narkisim" w:hAnsi="Narkisim"/>
          <w:rtl/>
        </w:rPr>
        <w:footnoteReference w:id="4427"/>
      </w:r>
      <w:r w:rsidRPr="00E14121">
        <w:rPr>
          <w:rFonts w:ascii="Narkisim" w:hAnsi="Narkisim"/>
          <w:rtl/>
        </w:rPr>
        <w:t>. וה</w:t>
      </w:r>
      <w:r w:rsidRPr="00E14121">
        <w:rPr>
          <w:rFonts w:ascii="Narkisim" w:hAnsi="Narkisim"/>
          <w:b/>
          <w:bCs/>
          <w:rtl/>
        </w:rPr>
        <w:t>גר”ח</w:t>
      </w:r>
      <w:r w:rsidRPr="00E14121">
        <w:rPr>
          <w:rFonts w:ascii="Narkisim" w:hAnsi="Narkisim"/>
          <w:rtl/>
        </w:rPr>
        <w:t xml:space="preserve"> (מילה) ביאר דאף במילת בני אברהם אי' דנימולים בשמיני, גבי בני קטורה. והגר"ח ביאר דאף בישראל מלבד הדין 'ביום השמיני' שדוחה שבת, יש דין נוסף בן שמונת ימים דלא גרע מבני קטורה</w:t>
      </w:r>
      <w:r w:rsidRPr="00E14121">
        <w:rPr>
          <w:rStyle w:val="ac"/>
          <w:rFonts w:ascii="Narkisim" w:hAnsi="Narkisim"/>
          <w:rtl/>
        </w:rPr>
        <w:footnoteReference w:id="4428"/>
      </w:r>
      <w:r w:rsidRPr="00E14121">
        <w:rPr>
          <w:rFonts w:ascii="Narkisim" w:hAnsi="Narkisim"/>
          <w:rtl/>
        </w:rPr>
        <w:t>. ודין ביום השמיני שדוחה שבת הוקש היכא דאמו טמאה לידה, ומ”מ אינו מל עד יום ח' משום דלא גרע מבני קטורה].</w:t>
      </w:r>
    </w:p>
    <w:p w14:paraId="7873B6B2" w14:textId="77777777" w:rsidR="00F64AED" w:rsidRPr="00E14121" w:rsidRDefault="00F64AED" w:rsidP="00F64AED">
      <w:pPr>
        <w:pStyle w:val="3"/>
        <w:bidi/>
        <w:rPr>
          <w:rFonts w:ascii="Narkisim" w:hAnsi="Narkisim"/>
        </w:rPr>
      </w:pPr>
      <w:r w:rsidRPr="00E14121">
        <w:rPr>
          <w:rFonts w:ascii="Narkisim" w:hAnsi="Narkisim"/>
          <w:rtl/>
        </w:rPr>
        <w:t>דף עב:</w:t>
      </w:r>
    </w:p>
    <w:p w14:paraId="0A34CBC5" w14:textId="77777777" w:rsidR="00F64AED" w:rsidRPr="00E14121" w:rsidRDefault="00F64AED" w:rsidP="00F64AED">
      <w:pPr>
        <w:pStyle w:val="aa"/>
        <w:bidi/>
        <w:rPr>
          <w:rFonts w:ascii="Narkisim" w:hAnsi="Narkisim"/>
        </w:rPr>
      </w:pPr>
      <w:r w:rsidRPr="00E14121">
        <w:rPr>
          <w:rFonts w:ascii="Narkisim" w:hAnsi="Narkisim"/>
          <w:u w:val="single"/>
          <w:rtl/>
        </w:rPr>
        <w:t>אלא דכו"ע משוך דרבנן וכו'.</w:t>
      </w:r>
      <w:r w:rsidRPr="00E14121">
        <w:rPr>
          <w:rFonts w:ascii="Narkisim" w:hAnsi="Narkisim"/>
          <w:rtl/>
        </w:rPr>
        <w:t xml:space="preserve"> ה</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כתבו דהמ"ל דלכו"ע משוך דאורייתא, אלא דניחא ליה ליישב לרב הונא.</w:t>
      </w:r>
    </w:p>
    <w:p w14:paraId="2679F6D8" w14:textId="77777777" w:rsidR="00F64AED" w:rsidRPr="00E14121" w:rsidRDefault="00F64AED" w:rsidP="00F64AED">
      <w:pPr>
        <w:bidi/>
        <w:rPr>
          <w:rFonts w:ascii="Narkisim" w:hAnsi="Narkisim" w:cs="Narkisim"/>
        </w:rPr>
      </w:pPr>
      <w:r w:rsidRPr="00E14121">
        <w:rPr>
          <w:rFonts w:ascii="Narkisim" w:hAnsi="Narkisim" w:cs="Narkisim"/>
          <w:u w:val="single"/>
          <w:rtl/>
        </w:rPr>
        <w:t>מה סבר דרשינן וביום</w:t>
      </w:r>
      <w:r w:rsidRPr="00E14121">
        <w:rPr>
          <w:rStyle w:val="ac"/>
          <w:rFonts w:ascii="Narkisim" w:hAnsi="Narkisim" w:cs="Narkisim"/>
          <w:rtl/>
        </w:rPr>
        <w:footnoteReference w:id="4429"/>
      </w:r>
      <w:r w:rsidRPr="00E14121">
        <w:rPr>
          <w:rFonts w:ascii="Narkisim" w:hAnsi="Narkisim" w:cs="Narkisim"/>
          <w:rtl/>
        </w:rPr>
        <w:t>. לאתויי מילה שלא בזמנה. ה</w:t>
      </w:r>
      <w:r w:rsidRPr="00E14121">
        <w:rPr>
          <w:rFonts w:ascii="Narkisim" w:hAnsi="Narkisim" w:cs="Narkisim"/>
          <w:b/>
          <w:bCs/>
          <w:rtl/>
        </w:rPr>
        <w:t>שאג”א</w:t>
      </w:r>
      <w:r w:rsidRPr="00E14121">
        <w:rPr>
          <w:rFonts w:ascii="Narkisim" w:hAnsi="Narkisim" w:cs="Narkisim"/>
          <w:rtl/>
        </w:rPr>
        <w:t xml:space="preserve"> (נג) האריך לדון האם בליל שמיני נחשב שעדיין לא הגיע זמנו המצווה, או דהוה רק פסול לילה. [ונפק”מ למ”ד דבדיעבד מהני מילה בלילה, ואילו תוך זמנו צריך הטפת דם ברית]. </w:t>
      </w:r>
      <w:r w:rsidRPr="00E14121">
        <w:rPr>
          <w:rFonts w:ascii="Narkisim" w:hAnsi="Narkisim" w:cs="Narkisim"/>
          <w:sz w:val="20"/>
          <w:szCs w:val="20"/>
          <w:rtl/>
        </w:rPr>
        <w:t>ובפשוטו מבואר ב</w:t>
      </w:r>
      <w:r w:rsidRPr="00E14121">
        <w:rPr>
          <w:rFonts w:ascii="Narkisim" w:hAnsi="Narkisim" w:cs="Narkisim"/>
          <w:b/>
          <w:bCs/>
          <w:sz w:val="20"/>
          <w:szCs w:val="20"/>
          <w:rtl/>
        </w:rPr>
        <w:t>ירושלמי</w:t>
      </w:r>
      <w:r w:rsidRPr="00E14121">
        <w:rPr>
          <w:rFonts w:ascii="Narkisim" w:hAnsi="Narkisim" w:cs="Narkisim"/>
          <w:sz w:val="20"/>
          <w:szCs w:val="20"/>
          <w:rtl/>
        </w:rPr>
        <w:t xml:space="preserve"> (הו' לעיל עא.) דליל שמיני לא נחשב ערל תוך זמנו. וב</w:t>
      </w:r>
      <w:r w:rsidRPr="00E14121">
        <w:rPr>
          <w:rFonts w:ascii="Narkisim" w:hAnsi="Narkisim" w:cs="Narkisim"/>
          <w:b/>
          <w:bCs/>
          <w:sz w:val="20"/>
          <w:szCs w:val="20"/>
          <w:rtl/>
        </w:rPr>
        <w:t>חי' ר' שמואל</w:t>
      </w:r>
      <w:r w:rsidRPr="00E14121">
        <w:rPr>
          <w:rFonts w:ascii="Narkisim" w:hAnsi="Narkisim" w:cs="Narkisim"/>
          <w:sz w:val="20"/>
          <w:szCs w:val="20"/>
          <w:rtl/>
        </w:rPr>
        <w:t xml:space="preserve"> (פסחים ג:) דייק דמשמע בירושלמי מחוסר זמן לבו ביום. משמע דנחשב דעדיין לא הגיע זמנו.</w:t>
      </w:r>
    </w:p>
    <w:p w14:paraId="2FFF91BD" w14:textId="77777777" w:rsidR="00F64AED" w:rsidRPr="00E14121" w:rsidRDefault="00F64AED" w:rsidP="00F64AED">
      <w:pPr>
        <w:bidi/>
        <w:rPr>
          <w:rFonts w:ascii="Narkisim" w:hAnsi="Narkisim" w:cs="Narkisim"/>
        </w:rPr>
      </w:pPr>
      <w:r w:rsidRPr="00E14121">
        <w:rPr>
          <w:rFonts w:ascii="Narkisim" w:hAnsi="Narkisim" w:cs="Narkisim"/>
          <w:u w:val="single"/>
          <w:rtl/>
        </w:rPr>
        <w:t>תוד"ה אין נימול.</w:t>
      </w:r>
      <w:r w:rsidRPr="00E14121">
        <w:rPr>
          <w:rFonts w:ascii="Narkisim" w:hAnsi="Narkisim" w:cs="Narkisim"/>
          <w:rtl/>
        </w:rPr>
        <w:t xml:space="preserve"> תיפו"ל דהוי מצוות עשה שהזמן גרמא</w:t>
      </w:r>
      <w:r w:rsidRPr="00E14121">
        <w:rPr>
          <w:rStyle w:val="ac"/>
          <w:rFonts w:ascii="Narkisim" w:hAnsi="Narkisim" w:cs="Narkisim"/>
          <w:rtl/>
        </w:rPr>
        <w:footnoteReference w:id="4430"/>
      </w:r>
      <w:r w:rsidRPr="00E14121">
        <w:rPr>
          <w:rFonts w:ascii="Narkisim" w:hAnsi="Narkisim" w:cs="Narkisim"/>
          <w:rtl/>
        </w:rPr>
        <w:t>, ביום ולא בלילה וכו'</w:t>
      </w:r>
      <w:r w:rsidRPr="00E14121">
        <w:rPr>
          <w:rStyle w:val="ac"/>
          <w:rFonts w:ascii="Narkisim" w:hAnsi="Narkisim" w:cs="Narkisim"/>
          <w:rtl/>
        </w:rPr>
        <w:footnoteReference w:id="4431"/>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xml:space="preserve"> (מגילה כ: ד”ה דכתיב) כת' דכיון דיש בו כרת ונכרתו עליה י”ג בריתות, ס”ד דיתחייבו נשים.</w:t>
      </w:r>
    </w:p>
    <w:p w14:paraId="7A86CE42"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(קידושין כט. ושא”ר שם) תי' דהפטור מצוות עשה דהזמן גרמא ה"מ מצוות בגופייהו, כגון תפילין. אבל מצוות מילה הוה מצווה לאחריני. וס"ד תתחייב מידי דהוה אבי"ד </w:t>
      </w:r>
      <w:r w:rsidRPr="00E14121">
        <w:rPr>
          <w:rFonts w:ascii="Narkisim" w:hAnsi="Narkisim"/>
          <w:rtl/>
        </w:rPr>
        <w:lastRenderedPageBreak/>
        <w:t xml:space="preserve">שחייבין למול. קמ”ל. </w:t>
      </w:r>
      <w:r w:rsidRPr="00E14121">
        <w:rPr>
          <w:rFonts w:ascii="Narkisim" w:hAnsi="Narkisim"/>
          <w:sz w:val="20"/>
          <w:szCs w:val="20"/>
          <w:rtl/>
        </w:rPr>
        <w:t>וה</w:t>
      </w:r>
      <w:r w:rsidRPr="00E14121">
        <w:rPr>
          <w:rFonts w:ascii="Narkisim" w:hAnsi="Narkisim"/>
          <w:b/>
          <w:bCs/>
          <w:sz w:val="20"/>
          <w:szCs w:val="20"/>
          <w:rtl/>
        </w:rPr>
        <w:t>תוס' רי”ד</w:t>
      </w:r>
      <w:r w:rsidRPr="00E14121">
        <w:rPr>
          <w:rFonts w:ascii="Narkisim" w:hAnsi="Narkisim"/>
          <w:sz w:val="20"/>
          <w:szCs w:val="20"/>
          <w:rtl/>
        </w:rPr>
        <w:t xml:space="preserve"> (שם) הוסיף דהחיוב להתעסק במילת הבן. ונהי דקבוע הזמן לבן הנימול, אבל חיוב האב בעסק, ועסק זו אין לו זמן, ובין ביום ובין בלילה יטרח</w:t>
      </w:r>
      <w:r w:rsidRPr="00E14121">
        <w:rPr>
          <w:rStyle w:val="ac"/>
          <w:rFonts w:ascii="Narkisim" w:hAnsi="Narkisim"/>
          <w:sz w:val="20"/>
          <w:szCs w:val="20"/>
          <w:rtl/>
        </w:rPr>
        <w:footnoteReference w:id="4432"/>
      </w:r>
      <w:r w:rsidRPr="00E14121">
        <w:rPr>
          <w:rFonts w:ascii="Narkisim" w:hAnsi="Narkisim"/>
          <w:sz w:val="20"/>
          <w:szCs w:val="20"/>
          <w:rtl/>
        </w:rPr>
        <w:t>. [ובפשוטו משמע דאין זמן למצוות האב, וכ”כ המקנה. ועוד פי' הדבר”י (מה וקה”י קידושין לב ב) דהמצווה אינו תלוי בזמן, דמצוות האב תלוי בגוף הבן</w:t>
      </w:r>
      <w:r w:rsidRPr="00E14121">
        <w:rPr>
          <w:rStyle w:val="ac"/>
          <w:rFonts w:ascii="Narkisim" w:hAnsi="Narkisim"/>
          <w:sz w:val="20"/>
          <w:szCs w:val="20"/>
          <w:rtl/>
        </w:rPr>
        <w:footnoteReference w:id="4433"/>
      </w:r>
      <w:r w:rsidRPr="00E14121">
        <w:rPr>
          <w:rFonts w:ascii="Narkisim" w:hAnsi="Narkisim"/>
          <w:sz w:val="20"/>
          <w:szCs w:val="20"/>
          <w:rtl/>
        </w:rPr>
        <w:t>].</w:t>
      </w:r>
    </w:p>
    <w:p w14:paraId="20A3A893"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מהרי"ט</w:t>
      </w:r>
      <w:r w:rsidRPr="00E14121">
        <w:rPr>
          <w:rFonts w:ascii="Narkisim" w:hAnsi="Narkisim"/>
          <w:rtl/>
        </w:rPr>
        <w:t xml:space="preserve"> (שם) תי' [קו' התוס'] דמצוות מילה נמשכת כל ימיו כשהוא מהול, ונהי דהמעשה ביום, עצם המצווה כל ימיו.</w:t>
      </w:r>
    </w:p>
    <w:p w14:paraId="4186C6C6"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טור"א</w:t>
      </w:r>
      <w:r w:rsidRPr="00E14121">
        <w:rPr>
          <w:rFonts w:ascii="Narkisim" w:hAnsi="Narkisim"/>
          <w:rtl/>
        </w:rPr>
        <w:t xml:space="preserve"> (חגיגה טז:) תי' עוד דגדר זמן גרמא שיש למצווה זמן קבוע, וכיון דעבר הזמן עבר המצוה. אבל הכא יש חיוב למול פעם א'</w:t>
      </w:r>
      <w:r w:rsidRPr="00E14121">
        <w:rPr>
          <w:rStyle w:val="ac"/>
          <w:rFonts w:ascii="Narkisim" w:hAnsi="Narkisim"/>
          <w:rtl/>
        </w:rPr>
        <w:footnoteReference w:id="4434"/>
      </w:r>
      <w:r w:rsidRPr="00E14121">
        <w:rPr>
          <w:rFonts w:ascii="Narkisim" w:hAnsi="Narkisim"/>
          <w:rtl/>
        </w:rPr>
        <w:t>, והלילה אינו מפסיק את המצווה, אלא דהלילה דוחה שא"א לקיים עד למחר</w:t>
      </w:r>
      <w:r w:rsidRPr="00E14121">
        <w:rPr>
          <w:rStyle w:val="ac"/>
          <w:rFonts w:ascii="Narkisim" w:hAnsi="Narkisim"/>
          <w:rtl/>
        </w:rPr>
        <w:footnoteReference w:id="4435"/>
      </w:r>
      <w:r w:rsidRPr="00E14121">
        <w:rPr>
          <w:rFonts w:ascii="Narkisim" w:hAnsi="Narkisim"/>
          <w:rtl/>
        </w:rPr>
        <w:t>.</w:t>
      </w:r>
    </w:p>
    <w:p w14:paraId="6A847CAF" w14:textId="77777777" w:rsidR="00F64AED" w:rsidRPr="00E14121" w:rsidRDefault="00F64AED" w:rsidP="00F64AED">
      <w:pPr>
        <w:pStyle w:val="aa"/>
        <w:bidi/>
        <w:rPr>
          <w:rFonts w:ascii="Narkisim" w:hAnsi="Narkisim"/>
        </w:rPr>
      </w:pPr>
      <w:r w:rsidRPr="00E14121">
        <w:rPr>
          <w:rFonts w:ascii="Narkisim" w:hAnsi="Narkisim"/>
          <w:u w:val="single"/>
          <w:rtl/>
        </w:rPr>
        <w:t>בא"ד והא דנימול לח' לא חשיב זמן גרמא, כיון דמח' ואילך כל שעתא זמנו הוא וכו'</w:t>
      </w:r>
      <w:r w:rsidRPr="00E14121">
        <w:rPr>
          <w:rFonts w:ascii="Narkisim" w:hAnsi="Narkisim"/>
          <w:rtl/>
        </w:rPr>
        <w:t>. [וכ"כ תוס' קידושין כט.</w:t>
      </w:r>
      <w:r w:rsidRPr="00E14121">
        <w:rPr>
          <w:rStyle w:val="ac"/>
          <w:rFonts w:ascii="Narkisim" w:hAnsi="Narkisim"/>
          <w:rtl/>
        </w:rPr>
        <w:footnoteReference w:id="4436"/>
      </w:r>
      <w:r w:rsidRPr="00E14121">
        <w:rPr>
          <w:rFonts w:ascii="Narkisim" w:hAnsi="Narkisim"/>
          <w:rtl/>
        </w:rPr>
        <w:t>]. וה</w:t>
      </w:r>
      <w:r w:rsidRPr="00E14121">
        <w:rPr>
          <w:rFonts w:ascii="Narkisim" w:hAnsi="Narkisim"/>
          <w:b/>
          <w:bCs/>
          <w:rtl/>
        </w:rPr>
        <w:t>תוס' רי"ד</w:t>
      </w:r>
      <w:r w:rsidRPr="00E14121">
        <w:rPr>
          <w:rFonts w:ascii="Narkisim" w:hAnsi="Narkisim"/>
          <w:rtl/>
        </w:rPr>
        <w:t xml:space="preserve"> (קידושין) כת' דלא הוה זמן קבוע וידוע בשנה. ומש"ה לא נחשב זמן גרמא. וה</w:t>
      </w:r>
      <w:r w:rsidRPr="00E14121">
        <w:rPr>
          <w:rFonts w:ascii="Narkisim" w:hAnsi="Narkisim"/>
          <w:b/>
          <w:bCs/>
          <w:rtl/>
        </w:rPr>
        <w:t>מרומי שדה</w:t>
      </w:r>
      <w:r w:rsidRPr="00E14121">
        <w:rPr>
          <w:rFonts w:ascii="Narkisim" w:hAnsi="Narkisim"/>
          <w:rtl/>
        </w:rPr>
        <w:t xml:space="preserve"> (שם) כת' דכ"ז לצד דערילות שלא בזמנו הוה ערל. אבל לצד דלא הוה ערלה, א"כ לא חשיב משום הכי זמן גרמא, דהאינו ערל כלל</w:t>
      </w:r>
      <w:r w:rsidRPr="00E14121">
        <w:rPr>
          <w:rStyle w:val="ac"/>
          <w:rFonts w:ascii="Narkisim" w:hAnsi="Narkisim"/>
          <w:rtl/>
        </w:rPr>
        <w:footnoteReference w:id="4437"/>
      </w:r>
      <w:r w:rsidRPr="00E14121">
        <w:rPr>
          <w:rFonts w:ascii="Narkisim" w:hAnsi="Narkisim"/>
          <w:rtl/>
        </w:rPr>
        <w:t>. [וע"ע גר"ח (סטנסל שם) ודברי יחזקאל מה ג].</w:t>
      </w:r>
    </w:p>
    <w:p w14:paraId="77B02ED8"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(עצמות יוסף קידושין) הקשו עוד דלא דחי שבת, ומש"ה יחשב זמן גרמא [כדאמרי' גבי תפילין, ע' עירובין צו:]. וה</w:t>
      </w:r>
      <w:r w:rsidRPr="00E14121">
        <w:rPr>
          <w:rFonts w:ascii="Narkisim" w:hAnsi="Narkisim"/>
          <w:b/>
          <w:bCs/>
          <w:rtl/>
        </w:rPr>
        <w:t>מהרי"ט</w:t>
      </w:r>
      <w:r w:rsidRPr="00E14121">
        <w:rPr>
          <w:rFonts w:ascii="Narkisim" w:hAnsi="Narkisim"/>
          <w:rtl/>
        </w:rPr>
        <w:t xml:space="preserve"> דחה דיש מצוות מילה בשבת, אלא דארי דאיסורא רביע עלה</w:t>
      </w:r>
      <w:r w:rsidRPr="00E14121">
        <w:rPr>
          <w:rStyle w:val="ac"/>
          <w:rFonts w:ascii="Narkisim" w:hAnsi="Narkisim"/>
          <w:rtl/>
        </w:rPr>
        <w:footnoteReference w:id="4438"/>
      </w:r>
      <w:r w:rsidRPr="00E14121">
        <w:rPr>
          <w:rFonts w:ascii="Narkisim" w:hAnsi="Narkisim"/>
          <w:rtl/>
        </w:rPr>
        <w:t>. [ואם עבר ומל בשבת יצא יד"ח, ואי"צ הטפת דם ברית</w:t>
      </w:r>
      <w:r w:rsidRPr="00E14121">
        <w:rPr>
          <w:rStyle w:val="ac"/>
          <w:rFonts w:ascii="Narkisim" w:hAnsi="Narkisim"/>
          <w:rtl/>
        </w:rPr>
        <w:footnoteReference w:id="4439"/>
      </w:r>
      <w:r w:rsidRPr="00E14121">
        <w:rPr>
          <w:rFonts w:ascii="Narkisim" w:hAnsi="Narkisim"/>
          <w:rtl/>
        </w:rPr>
        <w:t>].</w:t>
      </w:r>
    </w:p>
    <w:p w14:paraId="3D021C8A" w14:textId="77777777" w:rsidR="00F64AED" w:rsidRPr="00E14121" w:rsidRDefault="00F64AED" w:rsidP="00F64AED">
      <w:pPr>
        <w:bidi/>
        <w:rPr>
          <w:rFonts w:ascii="Narkisim" w:hAnsi="Narkisim" w:cs="Narkisim"/>
        </w:rPr>
      </w:pPr>
      <w:r w:rsidRPr="00E14121">
        <w:rPr>
          <w:rFonts w:ascii="Narkisim" w:hAnsi="Narkisim" w:cs="Narkisim"/>
          <w:u w:val="single"/>
          <w:rtl/>
        </w:rPr>
        <w:t>נותר בזמנו אינו נשרף אלא ביום, שלא בזמנו וכו'.</w:t>
      </w:r>
      <w:r w:rsidRPr="00E14121">
        <w:rPr>
          <w:rFonts w:ascii="Narkisim" w:hAnsi="Narkisim" w:cs="Narkisim"/>
          <w:rtl/>
        </w:rPr>
        <w:t xml:space="preserve"> בפשוטו בליל שני עדיין לא נצטווה בשריפות. ואילו משעה שהגיע זמנו לשרוף ביום [ואינתיק לשריפה], מצוות שריפה הוה בין ביום ובין בלילה.</w:t>
      </w:r>
    </w:p>
    <w:p w14:paraId="150DAE94"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אחרונים</w:t>
      </w:r>
      <w:r w:rsidRPr="00E14121">
        <w:rPr>
          <w:rFonts w:ascii="Narkisim" w:hAnsi="Narkisim" w:cs="Narkisim"/>
          <w:rtl/>
        </w:rPr>
        <w:t xml:space="preserve"> הביאו דעד”ז מצאנו דקודם יום הג' עדיין לא הגיע זמנו לשריפה. דב</w:t>
      </w:r>
      <w:r w:rsidRPr="00E14121">
        <w:rPr>
          <w:rFonts w:ascii="Narkisim" w:hAnsi="Narkisim" w:cs="Narkisim"/>
          <w:b/>
          <w:bCs/>
          <w:rtl/>
        </w:rPr>
        <w:t>גמ'</w:t>
      </w:r>
      <w:r w:rsidRPr="00E14121">
        <w:rPr>
          <w:rFonts w:ascii="Narkisim" w:hAnsi="Narkisim" w:cs="Narkisim"/>
          <w:rtl/>
        </w:rPr>
        <w:t xml:space="preserve"> (זבחים נו:) דנח' חזקיה ור' יוחנן באוכל נותר בליל שלישי, דלר' יוחנן חייב כרת דאידחי מאכילה, ולחזקיה פטור מכרת דלא אינתיק לשריפה. ומבואר דבליל שלישי נחשב שעדיין לא הגיע זמנו.</w:t>
      </w:r>
    </w:p>
    <w:p w14:paraId="48EF3271" w14:textId="77777777" w:rsidR="00F64AED" w:rsidRPr="00E14121" w:rsidRDefault="00F64AED" w:rsidP="00F64AED">
      <w:pPr>
        <w:pStyle w:val="aa"/>
        <w:bidi/>
        <w:rPr>
          <w:rFonts w:ascii="Narkisim" w:hAnsi="Narkisim"/>
        </w:rPr>
      </w:pPr>
      <w:r w:rsidRPr="00E14121">
        <w:rPr>
          <w:rFonts w:ascii="Narkisim" w:hAnsi="Narkisim"/>
          <w:rtl/>
        </w:rPr>
        <w:t xml:space="preserve">אך </w:t>
      </w:r>
      <w:r w:rsidRPr="00E14121">
        <w:rPr>
          <w:rFonts w:ascii="Narkisim" w:hAnsi="Narkisim"/>
          <w:b/>
          <w:bCs/>
          <w:rtl/>
        </w:rPr>
        <w:t>תוס</w:t>
      </w:r>
      <w:r w:rsidRPr="00E14121">
        <w:rPr>
          <w:rFonts w:ascii="Narkisim" w:hAnsi="Narkisim"/>
          <w:rtl/>
        </w:rPr>
        <w:t>' (פסחים ג.) הביאו ס"ד דנותר נשרף ביום, ודרשי' 'וביום' דאינו נשרף בלילה של אחריו. [דס"ד דנאכל אף לילה של שני, ותוס' הק' א"כ אמאי איצטריך 'וביום' שלא לשרוף בלילה, הא נאכל באותו לילה. ותוס' תי' דאיצטריך שלא לשרוף בלילה של אחר יום שלישי]. ולהך ס"ד דוקא לאחר יום רביעי נשרף בלילה</w:t>
      </w:r>
      <w:r w:rsidRPr="00E14121">
        <w:rPr>
          <w:rStyle w:val="ac"/>
          <w:rFonts w:ascii="Narkisim" w:hAnsi="Narkisim"/>
          <w:rtl/>
        </w:rPr>
        <w:footnoteReference w:id="4440"/>
      </w:r>
      <w:r w:rsidRPr="00E14121">
        <w:rPr>
          <w:rFonts w:ascii="Narkisim" w:hAnsi="Narkisim"/>
          <w:rtl/>
        </w:rPr>
        <w:t>, אבל ליל רביעי הוה בגדר נותר בזמנו, ונשרף דוקא ביום.</w:t>
      </w:r>
    </w:p>
    <w:p w14:paraId="1B6EE84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תוס' ר"פ</w:t>
      </w:r>
      <w:r w:rsidRPr="00E14121">
        <w:rPr>
          <w:rFonts w:ascii="Narkisim" w:hAnsi="Narkisim"/>
          <w:rtl/>
        </w:rPr>
        <w:t xml:space="preserve"> (פסחים שם) פי' דלילה זו הוה זמנו. דזמן שריפה הוה יום ולילה, וכיון דהתחיל ביום תופס לילה שאחריו. וב</w:t>
      </w:r>
      <w:r w:rsidRPr="00E14121">
        <w:rPr>
          <w:rFonts w:ascii="Narkisim" w:hAnsi="Narkisim"/>
          <w:b/>
          <w:bCs/>
          <w:rtl/>
        </w:rPr>
        <w:t>חי' ר' שמואל</w:t>
      </w:r>
      <w:r w:rsidRPr="00E14121">
        <w:rPr>
          <w:rFonts w:ascii="Narkisim" w:hAnsi="Narkisim"/>
          <w:rtl/>
        </w:rPr>
        <w:t xml:space="preserve"> (שם) כתב דמבואר דאין שורפין בלילה כיון דנחשב 'שריפה בזמנו'. ושריפה בזמנו הוה רק ביום</w:t>
      </w:r>
      <w:r w:rsidRPr="00E14121">
        <w:rPr>
          <w:rStyle w:val="ac"/>
          <w:rFonts w:ascii="Narkisim" w:hAnsi="Narkisim"/>
          <w:rtl/>
        </w:rPr>
        <w:footnoteReference w:id="4441"/>
      </w:r>
      <w:r w:rsidRPr="00E14121">
        <w:rPr>
          <w:rFonts w:ascii="Narkisim" w:hAnsi="Narkisim"/>
          <w:rtl/>
        </w:rPr>
        <w:t>.</w:t>
      </w:r>
    </w:p>
    <w:p w14:paraId="08D0B8DE" w14:textId="77777777" w:rsidR="00F64AED" w:rsidRPr="00E14121" w:rsidRDefault="00F64AED" w:rsidP="00F64AED">
      <w:pPr>
        <w:pStyle w:val="aa"/>
        <w:bidi/>
        <w:rPr>
          <w:rFonts w:ascii="Narkisim" w:hAnsi="Narkisim"/>
        </w:rPr>
      </w:pPr>
      <w:r w:rsidRPr="00E14121">
        <w:rPr>
          <w:rFonts w:ascii="Narkisim" w:hAnsi="Narkisim"/>
          <w:u w:val="single"/>
          <w:rtl/>
        </w:rPr>
        <w:t>נותר וכו'.</w:t>
      </w:r>
      <w:r w:rsidRPr="00E14121">
        <w:rPr>
          <w:rFonts w:ascii="Narkisim" w:hAnsi="Narkisim"/>
          <w:rtl/>
        </w:rPr>
        <w:t xml:space="preserve"> ה</w:t>
      </w:r>
      <w:r w:rsidRPr="00E14121">
        <w:rPr>
          <w:rFonts w:ascii="Narkisim" w:hAnsi="Narkisim"/>
          <w:b/>
          <w:bCs/>
          <w:rtl/>
        </w:rPr>
        <w:t>רמב"ם</w:t>
      </w:r>
      <w:r w:rsidRPr="00E14121">
        <w:rPr>
          <w:rFonts w:ascii="Narkisim" w:hAnsi="Narkisim"/>
          <w:rtl/>
        </w:rPr>
        <w:t xml:space="preserve"> (פסהמ"ק יט ד) פסק דנותר ופיגול אינו נשרף אלא ביום, ואפי' שלא בזמנו [כר' אלעזר]. וה</w:t>
      </w:r>
      <w:r w:rsidRPr="00E14121">
        <w:rPr>
          <w:rFonts w:ascii="Narkisim" w:hAnsi="Narkisim"/>
          <w:b/>
          <w:bCs/>
          <w:rtl/>
        </w:rPr>
        <w:t>אחרונים</w:t>
      </w:r>
      <w:r w:rsidRPr="00E14121">
        <w:rPr>
          <w:rFonts w:ascii="Narkisim" w:hAnsi="Narkisim"/>
          <w:rtl/>
        </w:rPr>
        <w:t xml:space="preserve"> (שעה"מ שם, מנח”ח קמג ב) דייקו דיוצא ושאר פסוהמ"ק נשרפין אף בלילה.</w:t>
      </w:r>
    </w:p>
    <w:p w14:paraId="4A50D96A" w14:textId="77777777" w:rsidR="00F64AED" w:rsidRPr="00E14121" w:rsidRDefault="00F64AED" w:rsidP="00F64AED">
      <w:pPr>
        <w:bidi/>
        <w:rPr>
          <w:rFonts w:ascii="Narkisim" w:hAnsi="Narkisim" w:cs="Narkisim"/>
        </w:rPr>
      </w:pPr>
      <w:r w:rsidRPr="00E14121">
        <w:rPr>
          <w:rFonts w:ascii="Narkisim" w:hAnsi="Narkisim" w:cs="Narkisim"/>
          <w:u w:val="single"/>
          <w:rtl/>
        </w:rPr>
        <w:t>תוד"ה שלא.</w:t>
      </w:r>
      <w:r w:rsidRPr="00E14121">
        <w:rPr>
          <w:rFonts w:ascii="Narkisim" w:hAnsi="Narkisim" w:cs="Narkisim"/>
          <w:rtl/>
        </w:rPr>
        <w:t xml:space="preserve"> וי"ל</w:t>
      </w:r>
      <w:r w:rsidRPr="00E14121">
        <w:rPr>
          <w:rStyle w:val="ac"/>
          <w:rFonts w:ascii="Narkisim" w:hAnsi="Narkisim" w:cs="Narkisim"/>
          <w:rtl/>
        </w:rPr>
        <w:footnoteReference w:id="4442"/>
      </w:r>
      <w:r w:rsidRPr="00E14121">
        <w:rPr>
          <w:rFonts w:ascii="Narkisim" w:hAnsi="Narkisim" w:cs="Narkisim"/>
          <w:rtl/>
        </w:rPr>
        <w:t xml:space="preserve"> כיון דלא אפשר לשורפו ביו"ט קבע זמנו בבוקר השני</w:t>
      </w:r>
      <w:r w:rsidRPr="00E14121">
        <w:rPr>
          <w:rStyle w:val="ac"/>
          <w:rFonts w:ascii="Narkisim" w:hAnsi="Narkisim" w:cs="Narkisim"/>
          <w:rtl/>
        </w:rPr>
        <w:footnoteReference w:id="4443"/>
      </w:r>
      <w:r w:rsidRPr="00E14121">
        <w:rPr>
          <w:rFonts w:ascii="Narkisim" w:hAnsi="Narkisim" w:cs="Narkisim"/>
          <w:rtl/>
        </w:rPr>
        <w:t>. ה</w:t>
      </w:r>
      <w:r w:rsidRPr="00E14121">
        <w:rPr>
          <w:rFonts w:ascii="Narkisim" w:hAnsi="Narkisim" w:cs="Narkisim"/>
          <w:b/>
          <w:bCs/>
          <w:rtl/>
        </w:rPr>
        <w:t xml:space="preserve">אחרונים </w:t>
      </w:r>
      <w:r w:rsidRPr="00E14121">
        <w:rPr>
          <w:rFonts w:ascii="Narkisim" w:hAnsi="Narkisim" w:cs="Narkisim"/>
          <w:rtl/>
        </w:rPr>
        <w:t xml:space="preserve">(גרי"ז תמורה ד:, ובגר”ח סטנסל כאן) הקשו דהא דאינו שורף ביו"ט אינו אלא מחמת איסור </w:t>
      </w:r>
      <w:r w:rsidRPr="00E14121">
        <w:rPr>
          <w:rFonts w:ascii="Narkisim" w:hAnsi="Narkisim" w:cs="Narkisim"/>
          <w:rtl/>
        </w:rPr>
        <w:lastRenderedPageBreak/>
        <w:t>יו"ט [והגמ' (שבת כד:) מקשה דנימא עדל”ת וישרף ביו”ט</w:t>
      </w:r>
      <w:r w:rsidRPr="00E14121">
        <w:rPr>
          <w:rStyle w:val="ac"/>
          <w:rFonts w:ascii="Narkisim" w:hAnsi="Narkisim" w:cs="Narkisim"/>
          <w:rtl/>
        </w:rPr>
        <w:footnoteReference w:id="4444"/>
      </w:r>
      <w:r w:rsidRPr="00E14121">
        <w:rPr>
          <w:rFonts w:ascii="Narkisim" w:hAnsi="Narkisim" w:cs="Narkisim"/>
          <w:rtl/>
        </w:rPr>
        <w:t xml:space="preserve">].  </w:t>
      </w:r>
    </w:p>
    <w:p w14:paraId="1AB19D43" w14:textId="77777777" w:rsidR="00F64AED" w:rsidRPr="00E14121" w:rsidRDefault="00F64AED" w:rsidP="00F64AED">
      <w:pPr>
        <w:pStyle w:val="a7"/>
        <w:bidi/>
        <w:rPr>
          <w:rFonts w:ascii="Narkisim" w:hAnsi="Narkisim"/>
        </w:rPr>
      </w:pPr>
      <w:r w:rsidRPr="00E14121">
        <w:rPr>
          <w:rFonts w:ascii="Narkisim" w:hAnsi="Narkisim"/>
          <w:rtl/>
        </w:rPr>
        <w:t>ובתוס' מבואר דלא אינתיק לשריפה עד יום השלישי</w:t>
      </w:r>
      <w:r w:rsidRPr="00E14121">
        <w:rPr>
          <w:rStyle w:val="ac"/>
          <w:rFonts w:ascii="Narkisim" w:hAnsi="Narkisim"/>
          <w:rtl/>
        </w:rPr>
        <w:footnoteReference w:id="4445"/>
      </w:r>
      <w:r w:rsidRPr="00E14121">
        <w:rPr>
          <w:rFonts w:ascii="Narkisim" w:hAnsi="Narkisim"/>
          <w:rtl/>
        </w:rPr>
        <w:t>. ולפ"ז בנותר שהגיע זמן שריפתו בשבת או יו"ט, לא יהא כרת עד בקר שאח"כ [למ"ד בגמ' זבחים נו:], דעדיין לא אינתיק לישרף.</w:t>
      </w:r>
    </w:p>
    <w:p w14:paraId="2AEAE071"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טור”א</w:t>
      </w:r>
      <w:r w:rsidRPr="00E14121">
        <w:rPr>
          <w:rFonts w:ascii="Narkisim" w:hAnsi="Narkisim"/>
          <w:rtl/>
        </w:rPr>
        <w:t xml:space="preserve"> (מגילה כא. אבני שוהם) פשיט"ל דנחשב אינתיק לשריפה, אלא דארי' דאיסורא רביע עליה</w:t>
      </w:r>
      <w:r w:rsidRPr="00E14121">
        <w:rPr>
          <w:rStyle w:val="ac"/>
          <w:rFonts w:ascii="Narkisim" w:hAnsi="Narkisim"/>
          <w:rtl/>
        </w:rPr>
        <w:footnoteReference w:id="4446"/>
      </w:r>
      <w:r w:rsidRPr="00E14121">
        <w:rPr>
          <w:rFonts w:ascii="Narkisim" w:hAnsi="Narkisim"/>
          <w:rtl/>
        </w:rPr>
        <w:t>. וב</w:t>
      </w:r>
      <w:r w:rsidRPr="00E14121">
        <w:rPr>
          <w:rFonts w:ascii="Narkisim" w:hAnsi="Narkisim"/>
          <w:b/>
          <w:bCs/>
          <w:rtl/>
        </w:rPr>
        <w:t>הג'</w:t>
      </w:r>
      <w:r w:rsidRPr="00E14121">
        <w:rPr>
          <w:rFonts w:ascii="Narkisim" w:hAnsi="Narkisim"/>
          <w:rtl/>
        </w:rPr>
        <w:t xml:space="preserve"> </w:t>
      </w:r>
      <w:r w:rsidRPr="00E14121">
        <w:rPr>
          <w:rFonts w:ascii="Narkisim" w:hAnsi="Narkisim"/>
          <w:b/>
          <w:bCs/>
          <w:rtl/>
        </w:rPr>
        <w:t>ברוך</w:t>
      </w:r>
      <w:r w:rsidRPr="00E14121">
        <w:rPr>
          <w:rFonts w:ascii="Narkisim" w:hAnsi="Narkisim"/>
          <w:rtl/>
        </w:rPr>
        <w:t xml:space="preserve"> </w:t>
      </w:r>
      <w:r w:rsidRPr="00E14121">
        <w:rPr>
          <w:rFonts w:ascii="Narkisim" w:hAnsi="Narkisim"/>
          <w:b/>
          <w:bCs/>
          <w:rtl/>
        </w:rPr>
        <w:t>טעם</w:t>
      </w:r>
      <w:r w:rsidRPr="00E14121">
        <w:rPr>
          <w:rFonts w:ascii="Narkisim" w:hAnsi="Narkisim"/>
          <w:rtl/>
        </w:rPr>
        <w:t xml:space="preserve"> ציין לתוס' דידן</w:t>
      </w:r>
      <w:r w:rsidRPr="00E14121">
        <w:rPr>
          <w:rStyle w:val="ac"/>
          <w:rFonts w:ascii="Narkisim" w:hAnsi="Narkisim"/>
          <w:rtl/>
        </w:rPr>
        <w:footnoteReference w:id="4447"/>
      </w:r>
      <w:r w:rsidRPr="00E14121">
        <w:rPr>
          <w:rFonts w:ascii="Narkisim" w:hAnsi="Narkisim"/>
          <w:rtl/>
        </w:rPr>
        <w:t xml:space="preserve">. </w:t>
      </w:r>
      <w:r w:rsidRPr="00E14121">
        <w:rPr>
          <w:rFonts w:ascii="Narkisim" w:hAnsi="Narkisim"/>
          <w:sz w:val="20"/>
          <w:szCs w:val="20"/>
          <w:rtl/>
        </w:rPr>
        <w:t>וב</w:t>
      </w:r>
      <w:r w:rsidRPr="00E14121">
        <w:rPr>
          <w:rFonts w:ascii="Narkisim" w:hAnsi="Narkisim"/>
          <w:b/>
          <w:bCs/>
          <w:sz w:val="20"/>
          <w:szCs w:val="20"/>
          <w:rtl/>
        </w:rPr>
        <w:t>חי' ר' שמואל</w:t>
      </w:r>
      <w:r w:rsidRPr="00E14121">
        <w:rPr>
          <w:rFonts w:ascii="Narkisim" w:hAnsi="Narkisim"/>
          <w:sz w:val="20"/>
          <w:szCs w:val="20"/>
          <w:rtl/>
        </w:rPr>
        <w:t xml:space="preserve"> (פסחים ג:) כתב די"ל דכיון דקי"ל דאף נותר שלא בזמנו אינו נשרף אלא ביום, א”כ אי”צ לידחק כמ”ש התוס'.</w:t>
      </w:r>
    </w:p>
    <w:p w14:paraId="0FB1255F" w14:textId="77777777" w:rsidR="00F64AED" w:rsidRPr="00E14121" w:rsidRDefault="00F64AED" w:rsidP="00F64AED">
      <w:pPr>
        <w:pStyle w:val="aa"/>
        <w:bidi/>
        <w:rPr>
          <w:rFonts w:ascii="Narkisim" w:hAnsi="Narkisim"/>
        </w:rPr>
      </w:pPr>
      <w:r w:rsidRPr="00E14121">
        <w:rPr>
          <w:rFonts w:ascii="Narkisim" w:hAnsi="Narkisim"/>
          <w:u w:val="single"/>
          <w:rtl/>
        </w:rPr>
        <w:t>מתניתא היא</w:t>
      </w:r>
      <w:r w:rsidRPr="00E14121">
        <w:rPr>
          <w:rStyle w:val="ac"/>
          <w:rFonts w:ascii="Narkisim" w:hAnsi="Narkisim"/>
          <w:u w:val="single"/>
          <w:rtl/>
        </w:rPr>
        <w:footnoteReference w:id="4448"/>
      </w:r>
      <w:r w:rsidRPr="00E14121">
        <w:rPr>
          <w:rFonts w:ascii="Narkisim" w:hAnsi="Narkisim"/>
          <w:u w:val="single"/>
          <w:rtl/>
        </w:rPr>
        <w:t>, היכא תנא ליה, בתו"כ וכו'.</w:t>
      </w:r>
      <w:r w:rsidRPr="00E14121">
        <w:rPr>
          <w:rFonts w:ascii="Narkisim" w:hAnsi="Narkisim"/>
          <w:rtl/>
        </w:rPr>
        <w:t xml:space="preserve"> ה</w:t>
      </w:r>
      <w:r w:rsidRPr="00E14121">
        <w:rPr>
          <w:rFonts w:ascii="Narkisim" w:hAnsi="Narkisim"/>
          <w:b/>
          <w:bCs/>
          <w:rtl/>
        </w:rPr>
        <w:t>חיד”א</w:t>
      </w:r>
      <w:r w:rsidRPr="00E14121">
        <w:rPr>
          <w:rFonts w:ascii="Narkisim" w:hAnsi="Narkisim"/>
          <w:rtl/>
        </w:rPr>
        <w:t xml:space="preserve"> (פתח עינים ברכות יח:, שם הגדולים ערך ספרי) כתב דע"פ מש"כ ה</w:t>
      </w:r>
      <w:r w:rsidRPr="00E14121">
        <w:rPr>
          <w:rFonts w:ascii="Narkisim" w:hAnsi="Narkisim"/>
          <w:b/>
          <w:bCs/>
          <w:rtl/>
        </w:rPr>
        <w:t xml:space="preserve">רמב"ם </w:t>
      </w:r>
      <w:r w:rsidRPr="00E14121">
        <w:rPr>
          <w:rFonts w:ascii="Narkisim" w:hAnsi="Narkisim"/>
          <w:rtl/>
        </w:rPr>
        <w:t>(בהקדמה) דרב סידר ספרא [תו"כ] וספרי, ומש"ה עדיין לא התפרסם בימי ר' יוחנן</w:t>
      </w:r>
      <w:r w:rsidRPr="00E14121">
        <w:rPr>
          <w:rStyle w:val="ac"/>
          <w:rFonts w:ascii="Narkisim" w:hAnsi="Narkisim"/>
          <w:rtl/>
        </w:rPr>
        <w:footnoteReference w:id="4449"/>
      </w:r>
      <w:r w:rsidRPr="00E14121">
        <w:rPr>
          <w:rFonts w:ascii="Narkisim" w:hAnsi="Narkisim"/>
          <w:rtl/>
        </w:rPr>
        <w:t>.</w:t>
      </w:r>
    </w:p>
    <w:p w14:paraId="19F36A95" w14:textId="77777777" w:rsidR="00F64AED" w:rsidRPr="00E14121" w:rsidRDefault="00F64AED" w:rsidP="00F64AED">
      <w:pPr>
        <w:pStyle w:val="2"/>
        <w:bidi/>
        <w:rPr>
          <w:rFonts w:ascii="Narkisim" w:hAnsi="Narkisim"/>
        </w:rPr>
      </w:pPr>
      <w:r w:rsidRPr="00E14121">
        <w:rPr>
          <w:rFonts w:ascii="Narkisim" w:hAnsi="Narkisim"/>
          <w:rtl/>
        </w:rPr>
        <w:t>ערל שהיזה</w:t>
      </w:r>
    </w:p>
    <w:p w14:paraId="2A4C8B08" w14:textId="77777777" w:rsidR="00F64AED" w:rsidRPr="00E14121" w:rsidRDefault="00F64AED" w:rsidP="00F64AED">
      <w:pPr>
        <w:bidi/>
        <w:rPr>
          <w:rFonts w:ascii="Narkisim" w:hAnsi="Narkisim" w:cs="Narkisim"/>
        </w:rPr>
      </w:pPr>
      <w:r w:rsidRPr="00E14121">
        <w:rPr>
          <w:rFonts w:ascii="Narkisim" w:hAnsi="Narkisim" w:cs="Narkisim"/>
          <w:u w:val="single"/>
          <w:rtl/>
        </w:rPr>
        <w:t>א"ר אלעזר ערל שהיזה, מידי דהוה אטבול יום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פי' דאיצטריך דס"ד דדינו כטמא, דהא אסור בתרומה וקדשים. [קמ"ל דלא ילפי' מהנך].</w:t>
      </w:r>
    </w:p>
    <w:p w14:paraId="557E6E86" w14:textId="77777777" w:rsidR="00F64AED" w:rsidRPr="00E14121" w:rsidRDefault="00F64AED" w:rsidP="00F64AED">
      <w:pPr>
        <w:pStyle w:val="aa"/>
        <w:bidi/>
        <w:rPr>
          <w:rFonts w:ascii="Narkisim" w:hAnsi="Narkisim"/>
        </w:rPr>
      </w:pPr>
      <w:r w:rsidRPr="00E14121">
        <w:rPr>
          <w:rFonts w:ascii="Narkisim" w:hAnsi="Narkisim"/>
          <w:rtl/>
        </w:rPr>
        <w:t>ובעבודת הקרבנות ערל פסול, והגמ' (זבחים כב:) הביאה כן מהפסוק ביחזקאל (מד ט) 'כל בן נכר ערל לב וערל בשר לא יבא אל מקדשי'</w:t>
      </w:r>
      <w:r w:rsidRPr="00E14121">
        <w:rPr>
          <w:rStyle w:val="ac"/>
          <w:rFonts w:ascii="Narkisim" w:hAnsi="Narkisim"/>
          <w:rtl/>
        </w:rPr>
        <w:footnoteReference w:id="4450"/>
      </w:r>
      <w:r w:rsidRPr="00E14121">
        <w:rPr>
          <w:rFonts w:ascii="Narkisim" w:hAnsi="Narkisim"/>
          <w:rtl/>
        </w:rPr>
        <w:t>.</w:t>
      </w:r>
    </w:p>
    <w:p w14:paraId="6E62E27E"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גרי"ז</w:t>
      </w:r>
      <w:r w:rsidRPr="00E14121">
        <w:rPr>
          <w:rFonts w:ascii="Narkisim" w:hAnsi="Narkisim" w:cs="Narkisim"/>
          <w:rtl/>
        </w:rPr>
        <w:t xml:space="preserve"> (הל' פרה ד”ה ואשר, ולפי”ז) ביאר דפרת חטאת הוה קדשי בדק הבית (וכדאי' יומא מב., שבועות יא:, זבחים יד: וסח:), ואין בו כל פסולי עבודה. וכתב דאף טומאה אינו פוסל בפרה מדיני 'פסול עבודה', דהא טבול יום כשר בו, אלא דהוה דין מיוחד גבי פרה דכל מעשיה בטהרה [וכמ"ש </w:t>
      </w:r>
      <w:r w:rsidRPr="00E14121">
        <w:rPr>
          <w:rFonts w:ascii="Narkisim" w:hAnsi="Narkisim" w:cs="Narkisim"/>
          <w:b/>
          <w:bCs/>
          <w:rtl/>
        </w:rPr>
        <w:t>תוס</w:t>
      </w:r>
      <w:r w:rsidRPr="00E14121">
        <w:rPr>
          <w:rFonts w:ascii="Narkisim" w:hAnsi="Narkisim" w:cs="Narkisim"/>
          <w:rtl/>
        </w:rPr>
        <w:t xml:space="preserve">' עג. ד”ה לימד]. </w:t>
      </w:r>
      <w:r w:rsidRPr="00E14121">
        <w:rPr>
          <w:rFonts w:ascii="Narkisim" w:hAnsi="Narkisim" w:cs="Narkisim"/>
          <w:sz w:val="20"/>
          <w:szCs w:val="20"/>
          <w:rtl/>
        </w:rPr>
        <w:t>ודין טומאה אינו משום דחטאת קרי' רחמנא, ופוסל אף באסיפת אפרה דכבר פקע ממנו תורת חטאת.</w:t>
      </w:r>
      <w:r w:rsidRPr="00E14121">
        <w:rPr>
          <w:rFonts w:ascii="Narkisim" w:hAnsi="Narkisim" w:cs="Narkisim"/>
          <w:rtl/>
        </w:rPr>
        <w:t xml:space="preserve">  </w:t>
      </w:r>
    </w:p>
    <w:p w14:paraId="6297F77A"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הביא בשם ה</w:t>
      </w:r>
      <w:r w:rsidRPr="00E14121">
        <w:rPr>
          <w:rFonts w:ascii="Narkisim" w:hAnsi="Narkisim"/>
          <w:b/>
          <w:bCs/>
          <w:rtl/>
        </w:rPr>
        <w:t>גר"ח</w:t>
      </w:r>
      <w:r w:rsidRPr="00E14121">
        <w:rPr>
          <w:rFonts w:ascii="Narkisim" w:hAnsi="Narkisim"/>
          <w:rtl/>
        </w:rPr>
        <w:t xml:space="preserve"> (הו' בגר"ח על הש"ס החדש כאן) דיש ב' גדרים בפסול טומאה, דאיסור אכילת קדשים תליא ב'פסול הגוף דטומאה'</w:t>
      </w:r>
      <w:r w:rsidRPr="00E14121">
        <w:rPr>
          <w:rStyle w:val="ac"/>
          <w:rFonts w:ascii="Narkisim" w:hAnsi="Narkisim"/>
          <w:rtl/>
        </w:rPr>
        <w:footnoteReference w:id="4451"/>
      </w:r>
      <w:r w:rsidRPr="00E14121">
        <w:rPr>
          <w:rFonts w:ascii="Narkisim" w:hAnsi="Narkisim"/>
          <w:rtl/>
        </w:rPr>
        <w:t>, ואילו איסור ביאת מקדש תליא ב'טומאה ממש', משום שמטמא את המקדש. ובפרה כיון דהוה בדק הבית, לא בעי שיהא ראוי לעבוד, ולא איכפת לן ב'פסול טומאה'. ורק בעינן שלא יהא 'מטמא', דבעינן במקום קדוש.</w:t>
      </w:r>
    </w:p>
    <w:p w14:paraId="7AFDFF53" w14:textId="77777777" w:rsidR="00F64AED" w:rsidRPr="00E14121" w:rsidRDefault="00F64AED" w:rsidP="00F64AED">
      <w:pPr>
        <w:bidi/>
        <w:rPr>
          <w:rFonts w:ascii="Narkisim" w:hAnsi="Narkisim" w:cs="Narkisim"/>
        </w:rPr>
      </w:pPr>
      <w:r w:rsidRPr="00E14121">
        <w:rPr>
          <w:rFonts w:ascii="Narkisim" w:hAnsi="Narkisim" w:cs="Narkisim"/>
          <w:u w:val="single"/>
          <w:rtl/>
        </w:rPr>
        <w:t>שם. ערל</w:t>
      </w:r>
      <w:r w:rsidRPr="00E14121">
        <w:rPr>
          <w:rFonts w:ascii="Narkisim" w:hAnsi="Narkisim" w:cs="Narkisim"/>
          <w:rtl/>
        </w:rPr>
        <w:t xml:space="preserve">. </w:t>
      </w:r>
      <w:r w:rsidRPr="00E14121">
        <w:rPr>
          <w:rFonts w:ascii="Narkisim" w:hAnsi="Narkisim" w:cs="Narkisim"/>
          <w:b/>
          <w:bCs/>
          <w:rtl/>
        </w:rPr>
        <w:t>רש"י</w:t>
      </w:r>
      <w:r w:rsidRPr="00E14121">
        <w:rPr>
          <w:rFonts w:ascii="Narkisim" w:hAnsi="Narkisim" w:cs="Narkisim"/>
          <w:rtl/>
        </w:rPr>
        <w:t xml:space="preserve"> </w:t>
      </w:r>
      <w:r w:rsidRPr="00E14121">
        <w:rPr>
          <w:rFonts w:ascii="Narkisim" w:hAnsi="Narkisim" w:cs="Narkisim"/>
          <w:sz w:val="20"/>
          <w:szCs w:val="20"/>
          <w:rtl/>
        </w:rPr>
        <w:t xml:space="preserve">(ערכין ג) </w:t>
      </w:r>
      <w:r w:rsidRPr="00E14121">
        <w:rPr>
          <w:rFonts w:ascii="Narkisim" w:hAnsi="Narkisim" w:cs="Narkisim"/>
          <w:rtl/>
        </w:rPr>
        <w:t>כת' דמתו אחיו מחמת מילה. ו</w:t>
      </w:r>
      <w:r w:rsidRPr="00E14121">
        <w:rPr>
          <w:rFonts w:ascii="Narkisim" w:hAnsi="Narkisim" w:cs="Narkisim"/>
          <w:b/>
          <w:bCs/>
          <w:rtl/>
        </w:rPr>
        <w:t>רע"א</w:t>
      </w:r>
      <w:r w:rsidRPr="00E14121">
        <w:rPr>
          <w:rFonts w:ascii="Narkisim" w:hAnsi="Narkisim" w:cs="Narkisim"/>
          <w:rtl/>
        </w:rPr>
        <w:t xml:space="preserve"> (שם) תמה דודאי אף אם לא מל במזיד יהא כשר להזאה</w:t>
      </w:r>
      <w:r w:rsidRPr="00E14121">
        <w:rPr>
          <w:rStyle w:val="ac"/>
          <w:rFonts w:ascii="Narkisim" w:hAnsi="Narkisim" w:cs="Narkisim"/>
          <w:rtl/>
        </w:rPr>
        <w:footnoteReference w:id="4452"/>
      </w:r>
      <w:r w:rsidRPr="00E14121">
        <w:rPr>
          <w:rFonts w:ascii="Narkisim" w:hAnsi="Narkisim" w:cs="Narkisim"/>
          <w:rtl/>
        </w:rPr>
        <w:t>.</w:t>
      </w:r>
    </w:p>
    <w:p w14:paraId="7D390497" w14:textId="77777777" w:rsidR="00F64AED" w:rsidRPr="00E14121" w:rsidRDefault="00F64AED" w:rsidP="00F64AED">
      <w:pPr>
        <w:pStyle w:val="aa"/>
        <w:bidi/>
        <w:rPr>
          <w:rFonts w:ascii="Narkisim" w:hAnsi="Narkisim"/>
        </w:rPr>
      </w:pPr>
      <w:r w:rsidRPr="00E14121">
        <w:rPr>
          <w:rFonts w:ascii="Narkisim" w:hAnsi="Narkisim"/>
          <w:u w:val="single"/>
          <w:rtl/>
        </w:rPr>
        <w:t>שם. ערל</w:t>
      </w:r>
      <w:r w:rsidRPr="00E14121">
        <w:rPr>
          <w:rFonts w:ascii="Narkisim" w:hAnsi="Narkisim"/>
          <w:rtl/>
        </w:rPr>
        <w:t>. ה</w:t>
      </w:r>
      <w:r w:rsidRPr="00E14121">
        <w:rPr>
          <w:rFonts w:ascii="Narkisim" w:hAnsi="Narkisim"/>
          <w:b/>
          <w:bCs/>
          <w:rtl/>
        </w:rPr>
        <w:t>ב"ח</w:t>
      </w:r>
      <w:r w:rsidRPr="00E14121">
        <w:rPr>
          <w:rFonts w:ascii="Narkisim" w:hAnsi="Narkisim"/>
          <w:rtl/>
        </w:rPr>
        <w:t xml:space="preserve"> (או"ח קכח) דן האם ערל</w:t>
      </w:r>
      <w:r w:rsidRPr="00E14121">
        <w:rPr>
          <w:rStyle w:val="ac"/>
          <w:rFonts w:ascii="Narkisim" w:hAnsi="Narkisim"/>
          <w:rtl/>
        </w:rPr>
        <w:footnoteReference w:id="4453"/>
      </w:r>
      <w:r w:rsidRPr="00E14121">
        <w:rPr>
          <w:rFonts w:ascii="Narkisim" w:hAnsi="Narkisim"/>
          <w:rtl/>
        </w:rPr>
        <w:t xml:space="preserve"> יפסל לנשיאת כפים, דהא פסול לעבודה</w:t>
      </w:r>
      <w:r w:rsidRPr="00E14121">
        <w:rPr>
          <w:rStyle w:val="ac"/>
          <w:rFonts w:ascii="Narkisim" w:hAnsi="Narkisim"/>
          <w:rtl/>
        </w:rPr>
        <w:footnoteReference w:id="4454"/>
      </w:r>
      <w:r w:rsidRPr="00E14121">
        <w:rPr>
          <w:rFonts w:ascii="Narkisim" w:hAnsi="Narkisim"/>
          <w:rtl/>
        </w:rPr>
        <w:t>. וה</w:t>
      </w:r>
      <w:r w:rsidRPr="00E14121">
        <w:rPr>
          <w:rFonts w:ascii="Narkisim" w:hAnsi="Narkisim"/>
          <w:b/>
          <w:bCs/>
          <w:rtl/>
        </w:rPr>
        <w:t>מג"א</w:t>
      </w:r>
      <w:r w:rsidRPr="00E14121">
        <w:rPr>
          <w:rFonts w:ascii="Narkisim" w:hAnsi="Narkisim"/>
          <w:rtl/>
        </w:rPr>
        <w:t xml:space="preserve"> (קכח נד) הק' דבעל מום כשר לנשיאת כפיים. והגמ' (תענית כו:) הוכיחו מסוגיין דלא הוקש לחומרא.</w:t>
      </w:r>
    </w:p>
    <w:p w14:paraId="0F72155C" w14:textId="77777777" w:rsidR="00F64AED" w:rsidRPr="00E14121" w:rsidRDefault="00F64AED" w:rsidP="00F64AED">
      <w:pPr>
        <w:pStyle w:val="aa"/>
        <w:bidi/>
        <w:rPr>
          <w:rFonts w:ascii="Narkisim" w:hAnsi="Narkisim"/>
        </w:rPr>
      </w:pPr>
      <w:r w:rsidRPr="00E14121">
        <w:rPr>
          <w:rFonts w:ascii="Narkisim" w:hAnsi="Narkisim"/>
          <w:u w:val="single"/>
          <w:rtl/>
        </w:rPr>
        <w:lastRenderedPageBreak/>
        <w:t>תוד"ה שמותר.</w:t>
      </w:r>
      <w:r w:rsidRPr="00E14121">
        <w:rPr>
          <w:rFonts w:ascii="Narkisim" w:hAnsi="Narkisim"/>
          <w:rtl/>
        </w:rPr>
        <w:t xml:space="preserve"> וא"ת מחו"כ יוכיח שמותר בתרומה ואסור בפרה וכו'. [כדלקמן עד.</w:t>
      </w:r>
      <w:r w:rsidRPr="00E14121">
        <w:rPr>
          <w:rStyle w:val="ac"/>
          <w:rFonts w:ascii="Narkisim" w:hAnsi="Narkisim"/>
          <w:rtl/>
        </w:rPr>
        <w:footnoteReference w:id="4455"/>
      </w:r>
      <w:r w:rsidRPr="00E14121">
        <w:rPr>
          <w:rFonts w:ascii="Narkisim" w:hAnsi="Narkisim"/>
          <w:rtl/>
        </w:rPr>
        <w:t>]. וה</w:t>
      </w:r>
      <w:r w:rsidRPr="00E14121">
        <w:rPr>
          <w:rFonts w:ascii="Narkisim" w:hAnsi="Narkisim"/>
          <w:b/>
          <w:bCs/>
          <w:rtl/>
        </w:rPr>
        <w:t>רמב"ן</w:t>
      </w:r>
      <w:r w:rsidRPr="00E14121">
        <w:rPr>
          <w:rFonts w:ascii="Narkisim" w:hAnsi="Narkisim"/>
          <w:rtl/>
        </w:rPr>
        <w:t xml:space="preserve"> כתב דלאו דוקא נקטו ק"ו, אלא דכיון דלא אשכחן איסור לערל אלא לקדשים.</w:t>
      </w:r>
    </w:p>
    <w:p w14:paraId="26AA31AE" w14:textId="77777777" w:rsidR="00F64AED" w:rsidRPr="00E14121" w:rsidRDefault="00F64AED" w:rsidP="00F64AED">
      <w:pPr>
        <w:pStyle w:val="aa"/>
        <w:bidi/>
        <w:rPr>
          <w:rFonts w:ascii="Narkisim" w:hAnsi="Narkisim"/>
        </w:rPr>
      </w:pPr>
      <w:r w:rsidRPr="00E14121">
        <w:rPr>
          <w:rFonts w:ascii="Narkisim" w:hAnsi="Narkisim"/>
          <w:u w:val="single"/>
          <w:rtl/>
        </w:rPr>
        <w:t>אנן לנגיעה קאמרי'.</w:t>
      </w:r>
      <w:r w:rsidRPr="00E14121">
        <w:rPr>
          <w:rFonts w:ascii="Narkisim" w:hAnsi="Narkisim"/>
          <w:rtl/>
        </w:rPr>
        <w:t xml:space="preserve"> ה</w:t>
      </w:r>
      <w:r w:rsidRPr="00E14121">
        <w:rPr>
          <w:rFonts w:ascii="Narkisim" w:hAnsi="Narkisim"/>
          <w:b/>
          <w:bCs/>
          <w:rtl/>
        </w:rPr>
        <w:t>מהרש"א</w:t>
      </w:r>
      <w:r w:rsidRPr="00E14121">
        <w:rPr>
          <w:rFonts w:ascii="Narkisim" w:hAnsi="Narkisim"/>
          <w:rtl/>
        </w:rPr>
        <w:t xml:space="preserve"> הקשה דאכתי איכא למיפרך מה לטבול יום דמותר במעשר, וע"כ דיליף מנגיעה.</w:t>
      </w:r>
    </w:p>
    <w:p w14:paraId="6A40B015" w14:textId="77777777" w:rsidR="00F64AED" w:rsidRPr="00E14121" w:rsidRDefault="00F64AED" w:rsidP="00F64AED">
      <w:pPr>
        <w:bidi/>
        <w:rPr>
          <w:rFonts w:ascii="Narkisim" w:hAnsi="Narkisim" w:cs="Narkisim"/>
        </w:rPr>
      </w:pPr>
      <w:r w:rsidRPr="00E14121">
        <w:rPr>
          <w:rFonts w:ascii="Narkisim" w:hAnsi="Narkisim" w:cs="Narkisim"/>
          <w:u w:val="single"/>
          <w:rtl/>
        </w:rPr>
        <w:t>אמר רב יוסף האי תנא, תנא דר"ע דמרבי לערל כטמא וכו'</w:t>
      </w:r>
      <w:r w:rsidRPr="00E14121">
        <w:rPr>
          <w:rStyle w:val="ac"/>
          <w:rFonts w:ascii="Narkisim" w:hAnsi="Narkisim" w:cs="Narkisim"/>
          <w:u w:val="single"/>
          <w:rtl/>
        </w:rPr>
        <w:footnoteReference w:id="4456"/>
      </w:r>
      <w:r w:rsidRPr="00E14121">
        <w:rPr>
          <w:rFonts w:ascii="Narkisim" w:hAnsi="Narkisim" w:cs="Narkisim"/>
          <w:u w:val="single"/>
          <w:rtl/>
        </w:rPr>
        <w:t>.</w:t>
      </w:r>
      <w:r w:rsidRPr="00E14121">
        <w:rPr>
          <w:rFonts w:ascii="Narkisim" w:hAnsi="Narkisim" w:cs="Narkisim"/>
          <w:rtl/>
        </w:rPr>
        <w:t xml:space="preserve"> וה</w:t>
      </w:r>
      <w:r w:rsidRPr="00E14121">
        <w:rPr>
          <w:rFonts w:ascii="Narkisim" w:hAnsi="Narkisim" w:cs="Narkisim"/>
          <w:b/>
          <w:bCs/>
          <w:rtl/>
        </w:rPr>
        <w:t>גרי"ז</w:t>
      </w:r>
      <w:r w:rsidRPr="00E14121">
        <w:rPr>
          <w:rFonts w:ascii="Narkisim" w:hAnsi="Narkisim" w:cs="Narkisim"/>
          <w:rtl/>
        </w:rPr>
        <w:t xml:space="preserve"> (שם, וכן זבחים יז) ביאר דדין פסול טומאה דפרה תליא במה שמטמא בנגיעה [וכלשון הגמ' (לעיל) אנן לנגיעה קאמרינן]. וביאר </w:t>
      </w:r>
      <w:r w:rsidRPr="00E14121">
        <w:rPr>
          <w:rFonts w:ascii="Narkisim" w:hAnsi="Narkisim" w:cs="Narkisim"/>
          <w:szCs w:val="20"/>
          <w:rtl/>
        </w:rPr>
        <w:t>[ע"פ מש"כ בשם הגר"ח, הו' לעיל</w:t>
      </w:r>
      <w:r w:rsidRPr="00E14121">
        <w:rPr>
          <w:rFonts w:ascii="Narkisim" w:hAnsi="Narkisim" w:cs="Narkisim"/>
          <w:rtl/>
        </w:rPr>
        <w:t>] דלענין פרה תליא במה שמטמא את הפרה [דנחשב מקום טמא], ולא משום פסול הגוף. ולכן תליא בטומאת מגע.</w:t>
      </w:r>
    </w:p>
    <w:p w14:paraId="4EB00798" w14:textId="77777777" w:rsidR="00F64AED" w:rsidRPr="00E14121" w:rsidRDefault="00F64AED" w:rsidP="00F64AED">
      <w:pPr>
        <w:bidi/>
        <w:rPr>
          <w:rFonts w:ascii="Narkisim" w:hAnsi="Narkisim" w:cs="Narkisim"/>
        </w:rPr>
      </w:pPr>
      <w:r w:rsidRPr="00E14121">
        <w:rPr>
          <w:rFonts w:ascii="Narkisim" w:hAnsi="Narkisim" w:cs="Narkisim"/>
          <w:u w:val="single"/>
          <w:rtl/>
        </w:rPr>
        <w:t>רש"י ד"ה לא לישתמיט.</w:t>
      </w:r>
      <w:r w:rsidRPr="00E14121">
        <w:rPr>
          <w:rFonts w:ascii="Narkisim" w:hAnsi="Narkisim" w:cs="Narkisim"/>
          <w:rtl/>
        </w:rPr>
        <w:t xml:space="preserve"> אם איתא דר"ע לכל מילי וכו', מדלא אשכחן הכי משום חומרא דפרה הוא אבל לענין מגע תרומה ערל מותר. מבואר ברש"י דלמ"ד ערל כטמא מטמא במגע.</w:t>
      </w:r>
    </w:p>
    <w:p w14:paraId="5220369F" w14:textId="77777777" w:rsidR="00F64AED" w:rsidRPr="00E14121" w:rsidRDefault="00F64AED" w:rsidP="00F64AED">
      <w:pPr>
        <w:pStyle w:val="a8"/>
        <w:bidi/>
        <w:rPr>
          <w:rFonts w:ascii="Narkisim" w:hAnsi="Narkisim"/>
        </w:rPr>
      </w:pPr>
      <w:r w:rsidRPr="00E14121">
        <w:rPr>
          <w:rFonts w:ascii="Narkisim" w:hAnsi="Narkisim"/>
          <w:rtl/>
        </w:rPr>
        <w:t>אבל ה</w:t>
      </w:r>
      <w:r w:rsidRPr="00E14121">
        <w:rPr>
          <w:rFonts w:ascii="Narkisim" w:hAnsi="Narkisim"/>
          <w:b/>
          <w:bCs/>
          <w:rtl/>
        </w:rPr>
        <w:t>קר"א</w:t>
      </w:r>
      <w:r w:rsidRPr="00E14121">
        <w:rPr>
          <w:rFonts w:ascii="Narkisim" w:hAnsi="Narkisim"/>
          <w:rtl/>
        </w:rPr>
        <w:t xml:space="preserve"> תמה [על רש"י] דמסתבר דלר' עקיבא לא אמרי' ערל כטמא אלא לענין איסורא, לענין שערל אסור בכל דבר שהטמא אסור בו [וה”ה בפרה]. אבל אינו מטמא בנגיעה</w:t>
      </w:r>
      <w:r w:rsidRPr="00E14121">
        <w:rPr>
          <w:rStyle w:val="ac"/>
          <w:rFonts w:ascii="Narkisim" w:hAnsi="Narkisim"/>
          <w:rtl/>
        </w:rPr>
        <w:footnoteReference w:id="4457"/>
      </w:r>
      <w:r w:rsidRPr="00E14121">
        <w:rPr>
          <w:rFonts w:ascii="Narkisim" w:hAnsi="Narkisim"/>
          <w:rtl/>
        </w:rPr>
        <w:t>. וקושיית הגמ' דלא לשתמט תנא להזכיר ערל וטמא גבי הדדי.</w:t>
      </w:r>
    </w:p>
    <w:p w14:paraId="38DC5AE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(על הש"ס הנ"ל) ביאר דודאי דר"ע סבר דערל יש לו דין בחפצא שהוא כטמא [ומשום הכי פטור מראייה, וכדבסמוך]. אלא דרבא הק' דלענין פרה לא תלי בהכי [דאף טבול יום שהוא כטמא כשר לפרה]. ורב יוסף חידש דיש לו דין טמא אף לענין פרה, ורבא נקט דאף מטמא במגע. [וכדברי רש"י הנ"ל].</w:t>
      </w:r>
    </w:p>
    <w:p w14:paraId="78978A3B" w14:textId="77777777" w:rsidR="00F64AED" w:rsidRPr="00E14121" w:rsidRDefault="00F64AED" w:rsidP="00F64AED">
      <w:pPr>
        <w:pStyle w:val="aa"/>
        <w:bidi/>
        <w:rPr>
          <w:rFonts w:ascii="Narkisim" w:hAnsi="Narkisim"/>
        </w:rPr>
      </w:pPr>
      <w:r w:rsidRPr="00E14121">
        <w:rPr>
          <w:rFonts w:ascii="Narkisim" w:hAnsi="Narkisim"/>
          <w:u w:val="single"/>
          <w:rtl/>
        </w:rPr>
        <w:t>תוד"ה התם.</w:t>
      </w:r>
      <w:r w:rsidRPr="00E14121">
        <w:rPr>
          <w:rFonts w:ascii="Narkisim" w:hAnsi="Narkisim"/>
          <w:rtl/>
        </w:rPr>
        <w:t xml:space="preserve"> ואפי' רבנן מודו דפטור. [וה</w:t>
      </w:r>
      <w:r w:rsidRPr="00E14121">
        <w:rPr>
          <w:rFonts w:ascii="Narkisim" w:hAnsi="Narkisim"/>
          <w:b/>
          <w:bCs/>
          <w:rtl/>
        </w:rPr>
        <w:t>רמב”ן</w:t>
      </w:r>
      <w:r w:rsidRPr="00E14121">
        <w:rPr>
          <w:rFonts w:ascii="Narkisim" w:hAnsi="Narkisim"/>
          <w:rtl/>
        </w:rPr>
        <w:t xml:space="preserve"> כת' דב</w:t>
      </w:r>
      <w:r w:rsidRPr="00E14121">
        <w:rPr>
          <w:rFonts w:ascii="Narkisim" w:hAnsi="Narkisim"/>
          <w:b/>
          <w:bCs/>
          <w:rtl/>
        </w:rPr>
        <w:t>גמ'</w:t>
      </w:r>
      <w:r w:rsidRPr="00E14121">
        <w:rPr>
          <w:rFonts w:ascii="Narkisim" w:hAnsi="Narkisim"/>
          <w:rtl/>
        </w:rPr>
        <w:t xml:space="preserve"> (חגיגה ד:) מבואר דקאי כר' עקיבא, ופליגא אסוגיא דידן].</w:t>
      </w:r>
    </w:p>
    <w:p w14:paraId="689EFC7B" w14:textId="77777777" w:rsidR="00F64AED" w:rsidRPr="00E14121" w:rsidRDefault="00F64AED" w:rsidP="00F64AED">
      <w:pPr>
        <w:pStyle w:val="aa"/>
        <w:bidi/>
        <w:rPr>
          <w:rFonts w:ascii="Narkisim" w:hAnsi="Narkisim"/>
        </w:rPr>
      </w:pPr>
      <w:r w:rsidRPr="00E14121">
        <w:rPr>
          <w:rFonts w:ascii="Narkisim" w:hAnsi="Narkisim"/>
          <w:u w:val="single"/>
          <w:rtl/>
        </w:rPr>
        <w:t>בא"ד דטומטום כיון דלא אפשר למול לא מאיס.</w:t>
      </w:r>
      <w:r w:rsidRPr="00E14121">
        <w:rPr>
          <w:rFonts w:ascii="Narkisim" w:hAnsi="Narkisim"/>
          <w:rtl/>
        </w:rPr>
        <w:t xml:space="preserve"> </w:t>
      </w:r>
      <w:r w:rsidRPr="00E14121">
        <w:rPr>
          <w:rFonts w:ascii="Narkisim" w:hAnsi="Narkisim"/>
          <w:b/>
          <w:bCs/>
          <w:rtl/>
        </w:rPr>
        <w:t>תוס</w:t>
      </w:r>
      <w:r w:rsidRPr="00E14121">
        <w:rPr>
          <w:rFonts w:ascii="Narkisim" w:hAnsi="Narkisim"/>
          <w:rtl/>
        </w:rPr>
        <w:t>' (לעיל ע.) נקטו דטומטום נחשב ערל ואינו אוכל בתרומה, אף דאינו חייב לקרוע. ותוס' כאן כת' דאפ"ה לא נחשב 'מאיס', דמאיס תליא במה שמבטל מצוות מילה.</w:t>
      </w:r>
    </w:p>
    <w:p w14:paraId="3648EF0C" w14:textId="77777777" w:rsidR="00F64AED" w:rsidRPr="00E14121" w:rsidRDefault="00F64AED" w:rsidP="00F64AED">
      <w:pPr>
        <w:pStyle w:val="3"/>
        <w:bidi/>
        <w:rPr>
          <w:rFonts w:ascii="Narkisim" w:hAnsi="Narkisim"/>
        </w:rPr>
      </w:pPr>
      <w:r w:rsidRPr="00E14121">
        <w:rPr>
          <w:rFonts w:ascii="Narkisim" w:hAnsi="Narkisim"/>
          <w:rtl/>
        </w:rPr>
        <w:t>דף עג.</w:t>
      </w:r>
    </w:p>
    <w:p w14:paraId="27077C92" w14:textId="77777777" w:rsidR="00F64AED" w:rsidRPr="00E14121" w:rsidRDefault="00F64AED" w:rsidP="00F64AED">
      <w:pPr>
        <w:bidi/>
        <w:rPr>
          <w:rFonts w:ascii="Narkisim" w:hAnsi="Narkisim" w:cs="Narkisim"/>
        </w:rPr>
      </w:pPr>
      <w:r w:rsidRPr="00E14121">
        <w:rPr>
          <w:rFonts w:ascii="Narkisim" w:hAnsi="Narkisim" w:cs="Narkisim"/>
          <w:u w:val="single"/>
          <w:rtl/>
        </w:rPr>
        <w:t>בעו מיניה מרב ששת ערל מהו במעשר וכו' או דילמא חמור מקל יליף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פי' דהספק אי ילפי' בגזי"ש. [והגמ' לקמן עד. הביאה מברייתות].</w:t>
      </w:r>
    </w:p>
    <w:p w14:paraId="6542C561" w14:textId="77777777" w:rsidR="00F64AED" w:rsidRPr="00E14121" w:rsidRDefault="00F64AED" w:rsidP="00F64AED">
      <w:pPr>
        <w:pStyle w:val="aa"/>
        <w:bidi/>
        <w:rPr>
          <w:rFonts w:ascii="Narkisim" w:hAnsi="Narkisim"/>
        </w:rPr>
      </w:pPr>
      <w:r w:rsidRPr="00E14121">
        <w:rPr>
          <w:rFonts w:ascii="Narkisim" w:hAnsi="Narkisim"/>
          <w:u w:val="single"/>
          <w:rtl/>
        </w:rPr>
        <w:t>רש"י ד"ה מיתה.</w:t>
      </w:r>
      <w:r w:rsidRPr="00E14121">
        <w:rPr>
          <w:rFonts w:ascii="Narkisim" w:hAnsi="Narkisim"/>
          <w:rtl/>
        </w:rPr>
        <w:t xml:space="preserve"> טמא האוכלה. אבל </w:t>
      </w:r>
      <w:r w:rsidRPr="00E14121">
        <w:rPr>
          <w:rFonts w:ascii="Narkisim" w:hAnsi="Narkisim"/>
          <w:b/>
          <w:bCs/>
          <w:rtl/>
        </w:rPr>
        <w:t>רש"י</w:t>
      </w:r>
      <w:r w:rsidRPr="00E14121">
        <w:rPr>
          <w:rFonts w:ascii="Narkisim" w:hAnsi="Narkisim"/>
          <w:rtl/>
        </w:rPr>
        <w:t xml:space="preserve"> (חגיגה יח:) כתב זר האוכלן. ו</w:t>
      </w:r>
      <w:r w:rsidRPr="00E14121">
        <w:rPr>
          <w:rFonts w:ascii="Narkisim" w:hAnsi="Narkisim"/>
          <w:b/>
          <w:bCs/>
          <w:rtl/>
        </w:rPr>
        <w:t>רש”י</w:t>
      </w:r>
      <w:r w:rsidRPr="00E14121">
        <w:rPr>
          <w:rFonts w:ascii="Narkisim" w:hAnsi="Narkisim"/>
          <w:rtl/>
        </w:rPr>
        <w:t xml:space="preserve"> (ב"מ נב:) כת' זר או טמא האוכלו מזיד. וה</w:t>
      </w:r>
      <w:r w:rsidRPr="00E14121">
        <w:rPr>
          <w:rFonts w:ascii="Narkisim" w:hAnsi="Narkisim"/>
          <w:b/>
          <w:bCs/>
          <w:rtl/>
        </w:rPr>
        <w:t>תוי"ט</w:t>
      </w:r>
      <w:r w:rsidRPr="00E14121">
        <w:rPr>
          <w:rFonts w:ascii="Narkisim" w:hAnsi="Narkisim"/>
          <w:rtl/>
        </w:rPr>
        <w:t xml:space="preserve"> (והרמב"ן ב"מ נג) ציין דכן מבואר בברייתא (סנהדרין פג:) דזר שאכל תרומה במיתה. אבל דעת רב (שם) דלוקה ואין חיוב מיתה. ולרב מתני' בטמא</w:t>
      </w:r>
      <w:r w:rsidRPr="00E14121">
        <w:rPr>
          <w:rStyle w:val="ac"/>
          <w:rFonts w:ascii="Narkisim" w:hAnsi="Narkisim"/>
          <w:rtl/>
        </w:rPr>
        <w:footnoteReference w:id="4458"/>
      </w:r>
      <w:r w:rsidRPr="00E14121">
        <w:rPr>
          <w:rFonts w:ascii="Narkisim" w:hAnsi="Narkisim"/>
          <w:rtl/>
        </w:rPr>
        <w:t>.</w:t>
      </w:r>
    </w:p>
    <w:p w14:paraId="4D9AF9FF" w14:textId="77777777" w:rsidR="00F64AED" w:rsidRPr="00E14121" w:rsidRDefault="00F64AED" w:rsidP="00F64AED">
      <w:pPr>
        <w:pStyle w:val="aa"/>
        <w:bidi/>
        <w:rPr>
          <w:rFonts w:ascii="Narkisim" w:hAnsi="Narkisim"/>
        </w:rPr>
      </w:pPr>
      <w:r w:rsidRPr="00E14121">
        <w:rPr>
          <w:rFonts w:ascii="Narkisim" w:hAnsi="Narkisim"/>
          <w:u w:val="single"/>
          <w:rtl/>
        </w:rPr>
        <w:t>תוד"ה ואסורים לזרים.</w:t>
      </w:r>
      <w:r w:rsidRPr="00E14121">
        <w:rPr>
          <w:rFonts w:ascii="Narkisim" w:hAnsi="Narkisim"/>
          <w:rtl/>
        </w:rPr>
        <w:t xml:space="preserve"> וא"ת וכו' אמאי איצטריך תו למיתני ואסורים לזרים וכו'. ועוד הקשה ה</w:t>
      </w:r>
      <w:r w:rsidRPr="00E14121">
        <w:rPr>
          <w:rFonts w:ascii="Narkisim" w:hAnsi="Narkisim"/>
          <w:b/>
          <w:bCs/>
          <w:rtl/>
        </w:rPr>
        <w:t>מאירי</w:t>
      </w:r>
      <w:r w:rsidRPr="00E14121">
        <w:rPr>
          <w:rFonts w:ascii="Narkisim" w:hAnsi="Narkisim"/>
          <w:rtl/>
        </w:rPr>
        <w:t xml:space="preserve"> דאין דרך התנא לכתוב 'אסור' בדבר שחייבין עליו. וה</w:t>
      </w:r>
      <w:r w:rsidRPr="00E14121">
        <w:rPr>
          <w:rFonts w:ascii="Narkisim" w:hAnsi="Narkisim"/>
          <w:b/>
          <w:bCs/>
          <w:rtl/>
        </w:rPr>
        <w:t>מאירי</w:t>
      </w:r>
      <w:r w:rsidRPr="00E14121">
        <w:rPr>
          <w:rFonts w:ascii="Narkisim" w:hAnsi="Narkisim"/>
          <w:rtl/>
        </w:rPr>
        <w:t xml:space="preserve"> תי' דקמ"ל דאפי' הנאת כילוי אסור לזרים.</w:t>
      </w:r>
    </w:p>
    <w:p w14:paraId="4D758AB8"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מהרצ"ח</w:t>
      </w:r>
      <w:r w:rsidRPr="00E14121">
        <w:rPr>
          <w:rFonts w:ascii="Narkisim" w:hAnsi="Narkisim"/>
          <w:rtl/>
        </w:rPr>
        <w:t xml:space="preserve"> תי' דקמ"ל דאפי' בת כהן הנשואה לישראל, דאין לה מיתה וחומש. וה</w:t>
      </w:r>
      <w:r w:rsidRPr="00E14121">
        <w:rPr>
          <w:rFonts w:ascii="Narkisim" w:hAnsi="Narkisim"/>
          <w:b/>
          <w:bCs/>
          <w:rtl/>
        </w:rPr>
        <w:t>זכרון שמואל</w:t>
      </w:r>
      <w:r w:rsidRPr="00E14121">
        <w:rPr>
          <w:rFonts w:ascii="Narkisim" w:hAnsi="Narkisim"/>
          <w:rtl/>
        </w:rPr>
        <w:t xml:space="preserve"> (א יב) תי' ע"פ מש"כ </w:t>
      </w:r>
      <w:r w:rsidRPr="00E14121">
        <w:rPr>
          <w:rFonts w:ascii="Narkisim" w:hAnsi="Narkisim"/>
          <w:b/>
          <w:bCs/>
          <w:rtl/>
        </w:rPr>
        <w:t>תוס</w:t>
      </w:r>
      <w:r w:rsidRPr="00E14121">
        <w:rPr>
          <w:rFonts w:ascii="Narkisim" w:hAnsi="Narkisim"/>
          <w:rtl/>
        </w:rPr>
        <w:t>' (יומא עז.) דכהן שסך תרומה, הותר בו בתו להתעגל בו [דנתחלל כבר, ונעשה בו שימוש תרומה, ולכן אין איסור בשימוש זר], ותוס' כתבו דמ"מ לא הותר האיסור אכילה דתרומה, וי”ל דזה חידוש המשנה.</w:t>
      </w:r>
    </w:p>
    <w:p w14:paraId="3157A1F1" w14:textId="77777777" w:rsidR="00F64AED" w:rsidRPr="00E14121" w:rsidRDefault="00F64AED" w:rsidP="00F64AED">
      <w:pPr>
        <w:pStyle w:val="aa"/>
        <w:bidi/>
        <w:rPr>
          <w:rFonts w:ascii="Narkisim" w:hAnsi="Narkisim"/>
        </w:rPr>
      </w:pPr>
      <w:r w:rsidRPr="00E14121">
        <w:rPr>
          <w:rFonts w:ascii="Narkisim" w:hAnsi="Narkisim"/>
          <w:u w:val="single"/>
          <w:rtl/>
        </w:rPr>
        <w:t>בא"ד ואין לומר וכו' משא"כ במעשר דשרי לזרים וכו'</w:t>
      </w:r>
      <w:r w:rsidRPr="00E14121">
        <w:rPr>
          <w:rFonts w:ascii="Narkisim" w:hAnsi="Narkisim"/>
          <w:rtl/>
        </w:rPr>
        <w:t xml:space="preserve">. וכ"כ </w:t>
      </w:r>
      <w:r w:rsidRPr="00E14121">
        <w:rPr>
          <w:rFonts w:ascii="Narkisim" w:hAnsi="Narkisim"/>
          <w:b/>
          <w:bCs/>
          <w:rtl/>
        </w:rPr>
        <w:t>רש"י</w:t>
      </w:r>
      <w:r w:rsidRPr="00E14121">
        <w:rPr>
          <w:rFonts w:ascii="Narkisim" w:hAnsi="Narkisim"/>
          <w:rtl/>
        </w:rPr>
        <w:t xml:space="preserve"> (ב"מ נג.) דאצטריך למתנייה משום סיפא דמה שאין כן במעשר, דאפי' איסור ליכא. וה</w:t>
      </w:r>
      <w:r w:rsidRPr="00E14121">
        <w:rPr>
          <w:rFonts w:ascii="Narkisim" w:hAnsi="Narkisim"/>
          <w:b/>
          <w:bCs/>
          <w:rtl/>
        </w:rPr>
        <w:t>רא"ש</w:t>
      </w:r>
      <w:r w:rsidRPr="00E14121">
        <w:rPr>
          <w:rFonts w:ascii="Narkisim" w:hAnsi="Narkisim"/>
          <w:rtl/>
        </w:rPr>
        <w:t xml:space="preserve"> (חלה א ט) כת' דאף המשנה בחלה נקט לה אגב המשנה בביכורים, ושיגרת לישנ' נקט. וכה"ג מצאנו בכ"מ.</w:t>
      </w:r>
    </w:p>
    <w:p w14:paraId="09EC6003" w14:textId="77777777" w:rsidR="00F64AED" w:rsidRPr="00E14121" w:rsidRDefault="00F64AED" w:rsidP="00F64AED">
      <w:pPr>
        <w:bidi/>
        <w:rPr>
          <w:rFonts w:ascii="Narkisim" w:hAnsi="Narkisim" w:cs="Narkisim"/>
        </w:rPr>
      </w:pPr>
      <w:r w:rsidRPr="00E14121">
        <w:rPr>
          <w:rFonts w:ascii="Narkisim" w:hAnsi="Narkisim" w:cs="Narkisim"/>
          <w:u w:val="single"/>
          <w:rtl/>
        </w:rPr>
        <w:t>בא"ד ותי' בערוך וכו' לחצי שיעור דאסור, למ"ד מדרבנן</w:t>
      </w:r>
      <w:r w:rsidRPr="00E14121">
        <w:rPr>
          <w:rStyle w:val="ac"/>
          <w:rFonts w:ascii="Narkisim" w:hAnsi="Narkisim" w:cs="Narkisim"/>
          <w:u w:val="single"/>
          <w:rtl/>
        </w:rPr>
        <w:footnoteReference w:id="4459"/>
      </w:r>
      <w:r w:rsidRPr="00E14121">
        <w:rPr>
          <w:rFonts w:ascii="Narkisim" w:hAnsi="Narkisim" w:cs="Narkisim"/>
          <w:u w:val="single"/>
          <w:rtl/>
        </w:rPr>
        <w:t>, ולמ"ד מדאורייתא וכו'.</w:t>
      </w:r>
      <w:r w:rsidRPr="00E14121">
        <w:rPr>
          <w:rFonts w:ascii="Narkisim" w:hAnsi="Narkisim" w:cs="Narkisim"/>
          <w:rtl/>
        </w:rPr>
        <w:t xml:space="preserve"> [וקאי לכו"ע]. ו</w:t>
      </w:r>
      <w:r w:rsidRPr="00E14121">
        <w:rPr>
          <w:rFonts w:ascii="Narkisim" w:hAnsi="Narkisim" w:cs="Narkisim"/>
          <w:b/>
          <w:bCs/>
          <w:rtl/>
        </w:rPr>
        <w:t>תוס'</w:t>
      </w:r>
      <w:r w:rsidRPr="00E14121">
        <w:rPr>
          <w:rFonts w:ascii="Narkisim" w:hAnsi="Narkisim" w:cs="Narkisim"/>
          <w:rtl/>
        </w:rPr>
        <w:t xml:space="preserve"> (ב"מ נג.) הביאו כן מה</w:t>
      </w:r>
      <w:r w:rsidRPr="00E14121">
        <w:rPr>
          <w:rFonts w:ascii="Narkisim" w:hAnsi="Narkisim" w:cs="Narkisim"/>
          <w:b/>
          <w:bCs/>
          <w:rtl/>
        </w:rPr>
        <w:t>ירושלמי</w:t>
      </w:r>
      <w:r w:rsidRPr="00E14121">
        <w:rPr>
          <w:rFonts w:ascii="Narkisim" w:hAnsi="Narkisim" w:cs="Narkisim"/>
          <w:rtl/>
        </w:rPr>
        <w:t xml:space="preserve"> (ביכורים ב א עי”ש). וה</w:t>
      </w:r>
      <w:r w:rsidRPr="00E14121">
        <w:rPr>
          <w:rFonts w:ascii="Narkisim" w:hAnsi="Narkisim" w:cs="Narkisim"/>
          <w:b/>
          <w:bCs/>
          <w:rtl/>
        </w:rPr>
        <w:t>תו"י</w:t>
      </w:r>
      <w:r w:rsidRPr="00E14121">
        <w:rPr>
          <w:rFonts w:ascii="Narkisim" w:hAnsi="Narkisim" w:cs="Narkisim"/>
          <w:rtl/>
        </w:rPr>
        <w:t xml:space="preserve"> הקשה דאפי' בשאר איסורי התורה אסור. ותי' דס"ד דתרומה לזר הוה איסור שאינו שווה בכל</w:t>
      </w:r>
      <w:r w:rsidRPr="00E14121">
        <w:rPr>
          <w:rStyle w:val="ac"/>
          <w:rFonts w:ascii="Narkisim" w:hAnsi="Narkisim" w:cs="Narkisim"/>
          <w:rtl/>
        </w:rPr>
        <w:footnoteReference w:id="4460"/>
      </w:r>
      <w:r w:rsidRPr="00E14121">
        <w:rPr>
          <w:rFonts w:ascii="Narkisim" w:hAnsi="Narkisim" w:cs="Narkisim"/>
          <w:sz w:val="20"/>
          <w:szCs w:val="20"/>
          <w:rtl/>
        </w:rPr>
        <w:t>.</w:t>
      </w:r>
    </w:p>
    <w:p w14:paraId="4C2C152D" w14:textId="77777777" w:rsidR="00F64AED" w:rsidRPr="00E14121" w:rsidRDefault="00F64AED" w:rsidP="00F64AED">
      <w:pPr>
        <w:pStyle w:val="a7"/>
        <w:bidi/>
        <w:rPr>
          <w:rFonts w:ascii="Narkisim" w:hAnsi="Narkisim"/>
        </w:rPr>
      </w:pPr>
      <w:r w:rsidRPr="00E14121">
        <w:rPr>
          <w:rFonts w:ascii="Narkisim" w:hAnsi="Narkisim"/>
          <w:rtl/>
        </w:rPr>
        <w:lastRenderedPageBreak/>
        <w:t>וה</w:t>
      </w:r>
      <w:r w:rsidRPr="00E14121">
        <w:rPr>
          <w:rFonts w:ascii="Narkisim" w:hAnsi="Narkisim"/>
          <w:b/>
          <w:bCs/>
          <w:rtl/>
        </w:rPr>
        <w:t>זכרון שמואל</w:t>
      </w:r>
      <w:r w:rsidRPr="00E14121">
        <w:rPr>
          <w:rFonts w:ascii="Narkisim" w:hAnsi="Narkisim"/>
          <w:rtl/>
        </w:rPr>
        <w:t xml:space="preserve"> (א יג) כת' די"ל דהשיעור פרוטה וכזית באכילת תרומה, הוה שיעור מצד עצם התרומה, ולא דמי לשאר איסורין דהשיעור מצד האכילה</w:t>
      </w:r>
      <w:r w:rsidRPr="00E14121">
        <w:rPr>
          <w:rStyle w:val="ac"/>
          <w:rFonts w:ascii="Narkisim" w:hAnsi="Narkisim"/>
          <w:rtl/>
        </w:rPr>
        <w:footnoteReference w:id="4461"/>
      </w:r>
      <w:r w:rsidRPr="00E14121">
        <w:rPr>
          <w:rFonts w:ascii="Narkisim" w:hAnsi="Narkisim"/>
          <w:rtl/>
        </w:rPr>
        <w:t>. וא"כ ס"ד דחצי שיעור חסר בחפצא. קמ”ל דאף בזה שייך איסור חצי שיעור</w:t>
      </w:r>
      <w:r w:rsidRPr="00E14121">
        <w:rPr>
          <w:rStyle w:val="ac"/>
          <w:rFonts w:ascii="Narkisim" w:hAnsi="Narkisim"/>
          <w:rtl/>
        </w:rPr>
        <w:footnoteReference w:id="4462"/>
      </w:r>
      <w:r w:rsidRPr="00E14121">
        <w:rPr>
          <w:rFonts w:ascii="Narkisim" w:hAnsi="Narkisim"/>
          <w:rtl/>
        </w:rPr>
        <w:t>.</w:t>
      </w:r>
    </w:p>
    <w:p w14:paraId="52354121" w14:textId="77777777" w:rsidR="00F64AED" w:rsidRPr="00E14121" w:rsidRDefault="00F64AED" w:rsidP="00F64AED">
      <w:pPr>
        <w:bidi/>
        <w:rPr>
          <w:rFonts w:ascii="Narkisim" w:hAnsi="Narkisim" w:cs="Narkisim"/>
        </w:rPr>
      </w:pPr>
      <w:r w:rsidRPr="00E14121">
        <w:rPr>
          <w:rFonts w:ascii="Narkisim" w:hAnsi="Narkisim" w:cs="Narkisim"/>
          <w:u w:val="single"/>
          <w:rtl/>
        </w:rPr>
        <w:t>והן נכסי כהן</w:t>
      </w:r>
      <w:r w:rsidRPr="00E14121">
        <w:rPr>
          <w:rStyle w:val="ac"/>
          <w:rFonts w:ascii="Narkisim" w:hAnsi="Narkisim" w:cs="Narkisim"/>
          <w:rtl/>
        </w:rPr>
        <w:footnoteReference w:id="4463"/>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דסתם משנה כר' מאיר דמעש"ש ממון גבוה. אבל </w:t>
      </w:r>
      <w:r w:rsidRPr="00E14121">
        <w:rPr>
          <w:rFonts w:ascii="Narkisim" w:hAnsi="Narkisim" w:cs="Narkisim"/>
          <w:b/>
          <w:bCs/>
          <w:rtl/>
        </w:rPr>
        <w:t>תוס</w:t>
      </w:r>
      <w:r w:rsidRPr="00E14121">
        <w:rPr>
          <w:rFonts w:ascii="Narkisim" w:hAnsi="Narkisim" w:cs="Narkisim"/>
          <w:rtl/>
        </w:rPr>
        <w:t>' משמע דקאי לכו"ע, דאף לר' יהודה אינו רשאי ליקח בהם בהמה טמאה עבדים וקרקעות.</w:t>
      </w:r>
    </w:p>
    <w:p w14:paraId="60106A66"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(ד"ה מה) הקשו אמאי לא ילפי' ביכורים ממעשר, ונילף דביכורים לא יהא ממון כהן [ויחשב ממון גבוה]. וה</w:t>
      </w:r>
      <w:r w:rsidRPr="00E14121">
        <w:rPr>
          <w:rFonts w:ascii="Narkisim" w:hAnsi="Narkisim" w:cs="Narkisim"/>
          <w:b/>
          <w:bCs/>
          <w:rtl/>
        </w:rPr>
        <w:t>רמב"ן</w:t>
      </w:r>
      <w:r w:rsidRPr="00E14121">
        <w:rPr>
          <w:rFonts w:ascii="Narkisim" w:hAnsi="Narkisim" w:cs="Narkisim"/>
          <w:rtl/>
        </w:rPr>
        <w:t xml:space="preserve"> תי' דהני מתנות כהונה נינהו. והאי ישראל זוכה משולחן גבוה. וה</w:t>
      </w:r>
      <w:r w:rsidRPr="00E14121">
        <w:rPr>
          <w:rFonts w:ascii="Narkisim" w:hAnsi="Narkisim" w:cs="Narkisim"/>
          <w:b/>
          <w:bCs/>
          <w:rtl/>
        </w:rPr>
        <w:t>ר"ש</w:t>
      </w:r>
      <w:r w:rsidRPr="00E14121">
        <w:rPr>
          <w:rFonts w:ascii="Narkisim" w:hAnsi="Narkisim" w:cs="Narkisim"/>
          <w:rtl/>
        </w:rPr>
        <w:t xml:space="preserve"> (ביכורים ב א) תי' דיש לדרוש 'לך יהיה', אפי' לקדש בו את האשה.</w:t>
      </w:r>
    </w:p>
    <w:p w14:paraId="70CEBBF8" w14:textId="77777777" w:rsidR="00F64AED" w:rsidRPr="00E14121" w:rsidRDefault="00F64AED" w:rsidP="00F64AED">
      <w:pPr>
        <w:bidi/>
        <w:rPr>
          <w:rFonts w:ascii="Narkisim" w:hAnsi="Narkisim" w:cs="Narkisim"/>
        </w:rPr>
      </w:pPr>
      <w:r w:rsidRPr="00E14121">
        <w:rPr>
          <w:rFonts w:ascii="Narkisim" w:hAnsi="Narkisim" w:cs="Narkisim"/>
          <w:u w:val="single"/>
          <w:rtl/>
        </w:rPr>
        <w:t>תוד"ה נכסי כהן.</w:t>
      </w:r>
      <w:r w:rsidRPr="00E14121">
        <w:rPr>
          <w:rFonts w:ascii="Narkisim" w:hAnsi="Narkisim" w:cs="Narkisim"/>
          <w:rtl/>
        </w:rPr>
        <w:t xml:space="preserve"> ולכאורה משמע דדוקא הני הוא דאסירי, אבל ליקח מלבושין שרי וכו'. ה</w:t>
      </w:r>
      <w:r w:rsidRPr="00E14121">
        <w:rPr>
          <w:rFonts w:ascii="Narkisim" w:hAnsi="Narkisim" w:cs="Narkisim"/>
          <w:b/>
          <w:bCs/>
          <w:rtl/>
        </w:rPr>
        <w:t>או"ש</w:t>
      </w:r>
      <w:r w:rsidRPr="00E14121">
        <w:rPr>
          <w:rFonts w:ascii="Narkisim" w:hAnsi="Narkisim" w:cs="Narkisim"/>
          <w:rtl/>
        </w:rPr>
        <w:t xml:space="preserve"> (מעש"ש ז, וכן הרש"ש ב"מ נג.) דן האם כוונת התוס' לחלל את קדושת המעשר על המלבושין. או דאיירי שהמעות ישארו בקדושתן ביד מוכר, ואפ"ה דנו תוס' דמותר ליקח בגדים כיון שקונה כדי שהגוף יהנה מהם</w:t>
      </w:r>
      <w:r w:rsidRPr="00E14121">
        <w:rPr>
          <w:rStyle w:val="ac"/>
          <w:rFonts w:ascii="Narkisim" w:hAnsi="Narkisim" w:cs="Narkisim"/>
          <w:rtl/>
        </w:rPr>
        <w:footnoteReference w:id="4464"/>
      </w:r>
      <w:r w:rsidRPr="00E14121">
        <w:rPr>
          <w:rFonts w:ascii="Narkisim" w:hAnsi="Narkisim" w:cs="Narkisim"/>
          <w:rtl/>
        </w:rPr>
        <w:t xml:space="preserve">. </w:t>
      </w:r>
      <w:r w:rsidRPr="00E14121">
        <w:rPr>
          <w:rFonts w:ascii="Narkisim" w:hAnsi="Narkisim" w:cs="Narkisim"/>
          <w:szCs w:val="20"/>
          <w:rtl/>
        </w:rPr>
        <w:t>דאילו לענין חילול המעשר ודאי בעינן פרי מפרי וגידולי קרקע</w:t>
      </w:r>
      <w:r w:rsidRPr="00E14121">
        <w:rPr>
          <w:rStyle w:val="ac"/>
          <w:rFonts w:ascii="Narkisim" w:hAnsi="Narkisim" w:cs="Narkisim"/>
          <w:szCs w:val="20"/>
          <w:rtl/>
        </w:rPr>
        <w:footnoteReference w:id="4465"/>
      </w:r>
      <w:r w:rsidRPr="00E14121">
        <w:rPr>
          <w:rFonts w:ascii="Narkisim" w:hAnsi="Narkisim" w:cs="Narkisim"/>
          <w:rtl/>
        </w:rPr>
        <w:t>.</w:t>
      </w:r>
    </w:p>
    <w:p w14:paraId="460E0F08"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(ע"ז סב: בתחילת דבריהם) נקטו דכל היכא דמוכר את המעשר ואינו מתחלל נחשב סחורה. ושוב הק' התוס' דמשמע דמלבושים שרי [וכדיוק התוס' דידן]. וע"כ היינו שהמעות בקדושתן, דדרשי' (עירו' לא) דאינו מתחלל אלא פרי מפרי וגידו"ק לאכילה.</w:t>
      </w:r>
    </w:p>
    <w:p w14:paraId="24637C2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או"ש</w:t>
      </w:r>
      <w:r w:rsidRPr="00E14121">
        <w:rPr>
          <w:rFonts w:ascii="Narkisim" w:hAnsi="Narkisim"/>
          <w:rtl/>
        </w:rPr>
        <w:t xml:space="preserve"> הק' דמ"מ למ"ד דמעש"ש ממון גבוה</w:t>
      </w:r>
      <w:r w:rsidRPr="00E14121">
        <w:rPr>
          <w:rStyle w:val="ac"/>
          <w:rFonts w:ascii="Narkisim" w:hAnsi="Narkisim"/>
          <w:rtl/>
        </w:rPr>
        <w:footnoteReference w:id="4466"/>
      </w:r>
      <w:r w:rsidRPr="00E14121">
        <w:rPr>
          <w:rFonts w:ascii="Narkisim" w:hAnsi="Narkisim"/>
          <w:rtl/>
        </w:rPr>
        <w:t xml:space="preserve"> אינו ניתן אפי' במתנה, וכ"ש דלא שייך סחורה אם לא יפדה עליו</w:t>
      </w:r>
      <w:r w:rsidRPr="00E14121">
        <w:rPr>
          <w:rStyle w:val="ac"/>
          <w:rFonts w:ascii="Narkisim" w:hAnsi="Narkisim"/>
          <w:rtl/>
        </w:rPr>
        <w:footnoteReference w:id="4467"/>
      </w:r>
      <w:r w:rsidRPr="00E14121">
        <w:rPr>
          <w:rFonts w:ascii="Narkisim" w:hAnsi="Narkisim"/>
          <w:rtl/>
        </w:rPr>
        <w:t>.</w:t>
      </w:r>
    </w:p>
    <w:p w14:paraId="179E9A45" w14:textId="77777777" w:rsidR="00F64AED" w:rsidRPr="00E14121" w:rsidRDefault="00F64AED" w:rsidP="00F64AED">
      <w:pPr>
        <w:bidi/>
        <w:rPr>
          <w:rFonts w:ascii="Narkisim" w:hAnsi="Narkisim" w:cs="Narkisim"/>
        </w:rPr>
      </w:pPr>
      <w:r w:rsidRPr="00E14121">
        <w:rPr>
          <w:rFonts w:ascii="Narkisim" w:hAnsi="Narkisim" w:cs="Narkisim"/>
          <w:u w:val="single"/>
          <w:rtl/>
        </w:rPr>
        <w:t>בא"ד אבל ליקח בהן מלבושין שרי וכו'</w:t>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(ב"מ נג. בחד תי') פי' דדוקא מלבושין שהגוף נהנה מהם מותר</w:t>
      </w:r>
      <w:r w:rsidRPr="00E14121">
        <w:rPr>
          <w:rStyle w:val="ac"/>
          <w:rFonts w:ascii="Narkisim" w:hAnsi="Narkisim" w:cs="Narkisim"/>
          <w:rtl/>
        </w:rPr>
        <w:footnoteReference w:id="4468"/>
      </w:r>
      <w:r w:rsidRPr="00E14121">
        <w:rPr>
          <w:rFonts w:ascii="Narkisim" w:hAnsi="Narkisim" w:cs="Narkisim"/>
          <w:rtl/>
        </w:rPr>
        <w:t>.</w:t>
      </w:r>
    </w:p>
    <w:p w14:paraId="3A910216" w14:textId="77777777" w:rsidR="00F64AED" w:rsidRPr="00E14121" w:rsidRDefault="00F64AED" w:rsidP="00F64AED">
      <w:pPr>
        <w:bidi/>
        <w:rPr>
          <w:rFonts w:ascii="Narkisim" w:hAnsi="Narkisim" w:cs="Narkisim"/>
        </w:rPr>
      </w:pPr>
      <w:r w:rsidRPr="00E14121">
        <w:rPr>
          <w:rFonts w:ascii="Narkisim" w:hAnsi="Narkisim" w:cs="Narkisim"/>
          <w:u w:val="single"/>
          <w:rtl/>
        </w:rPr>
        <w:t>הא לחי דומיא דמת נתתי, דהיינו מלבושים וכו'</w:t>
      </w:r>
      <w:r w:rsidRPr="00E14121">
        <w:rPr>
          <w:rFonts w:ascii="Narkisim" w:hAnsi="Narkisim" w:cs="Narkisim"/>
          <w:rtl/>
        </w:rPr>
        <w:t>. וה</w:t>
      </w:r>
      <w:r w:rsidRPr="00E14121">
        <w:rPr>
          <w:rFonts w:ascii="Narkisim" w:hAnsi="Narkisim" w:cs="Narkisim"/>
          <w:b/>
          <w:bCs/>
          <w:rtl/>
        </w:rPr>
        <w:t>תו"י</w:t>
      </w:r>
      <w:r w:rsidRPr="00E14121">
        <w:rPr>
          <w:rFonts w:ascii="Narkisim" w:hAnsi="Narkisim" w:cs="Narkisim"/>
          <w:rtl/>
        </w:rPr>
        <w:t xml:space="preserve"> (בשם ראש"י) תי' דהתם במעש"ש טמא, דכיון דלא ניתן לאכילה ושתייה, ניתן לקנות עמו בגדים לחי, וכ"כ </w:t>
      </w:r>
      <w:r w:rsidRPr="00E14121">
        <w:rPr>
          <w:rFonts w:ascii="Narkisim" w:hAnsi="Narkisim" w:cs="Narkisim"/>
          <w:b/>
          <w:bCs/>
          <w:rtl/>
        </w:rPr>
        <w:t>רש"י</w:t>
      </w:r>
      <w:r w:rsidRPr="00E14121">
        <w:rPr>
          <w:rFonts w:ascii="Narkisim" w:hAnsi="Narkisim" w:cs="Narkisim"/>
          <w:rtl/>
        </w:rPr>
        <w:t xml:space="preserve"> (לקמן עד. עי"ש).</w:t>
      </w:r>
    </w:p>
    <w:p w14:paraId="6809E898" w14:textId="77777777" w:rsidR="00F64AED" w:rsidRPr="00E14121" w:rsidRDefault="00F64AED" w:rsidP="00F64AED">
      <w:pPr>
        <w:pStyle w:val="a8"/>
        <w:bidi/>
        <w:rPr>
          <w:rFonts w:ascii="Narkisim" w:hAnsi="Narkisim"/>
        </w:rPr>
      </w:pPr>
      <w:r w:rsidRPr="00E14121">
        <w:rPr>
          <w:rFonts w:ascii="Narkisim" w:hAnsi="Narkisim"/>
          <w:rtl/>
        </w:rPr>
        <w:t>וי"ל דרש"י קאי לשיטתו (ע' לקמן) דמעש"ש טמא קיל, ואילו דעת תוס' דמעש"ש טמא חמיר לענין ביעור בטומאה.</w:t>
      </w:r>
    </w:p>
    <w:p w14:paraId="5F2D10EB" w14:textId="77777777" w:rsidR="00F64AED" w:rsidRPr="00E14121" w:rsidRDefault="00F64AED" w:rsidP="00F64AED">
      <w:pPr>
        <w:bidi/>
        <w:rPr>
          <w:rFonts w:ascii="Narkisim" w:hAnsi="Narkisim" w:cs="Narkisim"/>
        </w:rPr>
      </w:pPr>
      <w:r w:rsidRPr="00E14121">
        <w:rPr>
          <w:rFonts w:ascii="Narkisim" w:hAnsi="Narkisim" w:cs="Narkisim"/>
          <w:u w:val="single"/>
          <w:rtl/>
        </w:rPr>
        <w:t>בא"ד ועוד נראה לר"י וכו' אבל מלבושים שרו, ומדרבנן אסרו אפי' מלבושים וכו'.</w:t>
      </w:r>
      <w:r w:rsidRPr="00E14121">
        <w:rPr>
          <w:rFonts w:ascii="Narkisim" w:hAnsi="Narkisim" w:cs="Narkisim"/>
          <w:rtl/>
        </w:rPr>
        <w:t xml:space="preserve"> [ומשמע בתוס' דקאי בין לר"מ ובין לר' יהודה, ואף לר' מאיר אסור רק מדרבנן</w:t>
      </w:r>
      <w:r w:rsidRPr="00E14121">
        <w:rPr>
          <w:rStyle w:val="ac"/>
          <w:rFonts w:ascii="Narkisim" w:hAnsi="Narkisim" w:cs="Narkisim"/>
          <w:rtl/>
        </w:rPr>
        <w:footnoteReference w:id="4469"/>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xml:space="preserve"> (ב"מ הנ"ל) העלו צד דאף מדרבנן לוקחים מלבושים [וכן תוס' (בסמוך ד"ה מה) העלו צד בזה].</w:t>
      </w:r>
    </w:p>
    <w:p w14:paraId="5EEEF151" w14:textId="77777777" w:rsidR="00F64AED" w:rsidRPr="00E14121" w:rsidRDefault="00F64AED" w:rsidP="00F64AED">
      <w:pPr>
        <w:pStyle w:val="aa"/>
        <w:bidi/>
        <w:rPr>
          <w:rFonts w:ascii="Narkisim" w:hAnsi="Narkisim"/>
        </w:rPr>
      </w:pPr>
      <w:r w:rsidRPr="00E14121">
        <w:rPr>
          <w:rFonts w:ascii="Narkisim" w:hAnsi="Narkisim"/>
          <w:u w:val="single"/>
          <w:rtl/>
        </w:rPr>
        <w:t>בא"ד ואכילת בהמה דשריא במעש”ש וכו'</w:t>
      </w:r>
      <w:r w:rsidRPr="00E14121">
        <w:rPr>
          <w:rFonts w:ascii="Narkisim" w:hAnsi="Narkisim"/>
          <w:rtl/>
        </w:rPr>
        <w:t>. [ואף דהוה הנאת כילוי, וכמ”ש תוס' לעיל סו:]. ותוס' תלו דמח' אי הוה מדאורייתא, ע"פ הנ"ל.</w:t>
      </w:r>
    </w:p>
    <w:p w14:paraId="0FACAA7D" w14:textId="77777777" w:rsidR="00F64AED" w:rsidRPr="00E14121" w:rsidRDefault="00F64AED" w:rsidP="00F64AED">
      <w:pPr>
        <w:pStyle w:val="aa"/>
        <w:bidi/>
        <w:rPr>
          <w:rFonts w:ascii="Narkisim" w:hAnsi="Narkisim"/>
        </w:rPr>
      </w:pPr>
      <w:r w:rsidRPr="00E14121">
        <w:rPr>
          <w:rFonts w:ascii="Narkisim" w:hAnsi="Narkisim"/>
          <w:u w:val="single"/>
          <w:rtl/>
        </w:rPr>
        <w:lastRenderedPageBreak/>
        <w:t>ועולין בא' ומאה וכו'</w:t>
      </w:r>
      <w:r w:rsidRPr="00E14121">
        <w:rPr>
          <w:rFonts w:ascii="Narkisim" w:hAnsi="Narkisim"/>
          <w:rtl/>
        </w:rPr>
        <w:t>. פ</w:t>
      </w:r>
      <w:r w:rsidRPr="00E14121">
        <w:rPr>
          <w:rFonts w:ascii="Narkisim" w:hAnsi="Narkisim"/>
          <w:b/>
          <w:bCs/>
          <w:rtl/>
        </w:rPr>
        <w:t>רש"י</w:t>
      </w:r>
      <w:r w:rsidRPr="00E14121">
        <w:rPr>
          <w:rFonts w:ascii="Narkisim" w:hAnsi="Narkisim"/>
          <w:rtl/>
        </w:rPr>
        <w:t xml:space="preserve"> משא"כ במעשר דבטל ברוב</w:t>
      </w:r>
      <w:r w:rsidRPr="00E14121">
        <w:rPr>
          <w:rStyle w:val="ac"/>
          <w:rFonts w:ascii="Narkisim" w:hAnsi="Narkisim"/>
          <w:rtl/>
        </w:rPr>
        <w:footnoteReference w:id="4470"/>
      </w:r>
      <w:r w:rsidRPr="00E14121">
        <w:rPr>
          <w:rFonts w:ascii="Narkisim" w:hAnsi="Narkisim"/>
          <w:rtl/>
        </w:rPr>
        <w:t>. וה</w:t>
      </w:r>
      <w:r w:rsidRPr="00E14121">
        <w:rPr>
          <w:rFonts w:ascii="Narkisim" w:hAnsi="Narkisim"/>
          <w:b/>
          <w:bCs/>
          <w:rtl/>
        </w:rPr>
        <w:t>גמ'</w:t>
      </w:r>
      <w:r w:rsidRPr="00E14121">
        <w:rPr>
          <w:rFonts w:ascii="Narkisim" w:hAnsi="Narkisim"/>
          <w:rtl/>
        </w:rPr>
        <w:t xml:space="preserve"> (ב"מ נג.) הק' דמעש"ש הוה דבר שיש לו מתירין ואינו בטל כלל. ותי' דאיירי בפחות משווה פרוטה, וכגון שאין לו מעות הראשונות לפדות עליהם. א"נ במעש”ש שנכנס לירושלים ונפל מחיצות. וע' תוס' (ד"ה מה).</w:t>
      </w:r>
    </w:p>
    <w:p w14:paraId="6E152CC3" w14:textId="77777777" w:rsidR="00F64AED" w:rsidRPr="00E14121" w:rsidRDefault="00F64AED" w:rsidP="00F64AED">
      <w:pPr>
        <w:bidi/>
        <w:rPr>
          <w:rFonts w:ascii="Narkisim" w:hAnsi="Narkisim" w:cs="Narkisim"/>
        </w:rPr>
      </w:pPr>
      <w:r w:rsidRPr="00E14121">
        <w:rPr>
          <w:rFonts w:ascii="Narkisim" w:hAnsi="Narkisim" w:cs="Narkisim"/>
          <w:u w:val="single"/>
          <w:rtl/>
        </w:rPr>
        <w:t>רש"י ד"ה וטעונין רחיצת.</w:t>
      </w:r>
      <w:r w:rsidRPr="00E14121">
        <w:rPr>
          <w:rFonts w:ascii="Narkisim" w:hAnsi="Narkisim" w:cs="Narkisim"/>
          <w:rtl/>
        </w:rPr>
        <w:t xml:space="preserve"> משמע דאף אכילת מעשר לא בעי נטילת ידים. ו</w:t>
      </w:r>
      <w:r w:rsidRPr="00E14121">
        <w:rPr>
          <w:rFonts w:ascii="Narkisim" w:hAnsi="Narkisim" w:cs="Narkisim"/>
          <w:b/>
          <w:bCs/>
          <w:rtl/>
        </w:rPr>
        <w:t>תוס</w:t>
      </w:r>
      <w:r w:rsidRPr="00E14121">
        <w:rPr>
          <w:rFonts w:ascii="Narkisim" w:hAnsi="Narkisim" w:cs="Narkisim"/>
          <w:rtl/>
        </w:rPr>
        <w:t xml:space="preserve">' (סוד"ה מה) פליגי דקאי לנגיעת מעשר, וכ"כ </w:t>
      </w:r>
      <w:r w:rsidRPr="00E14121">
        <w:rPr>
          <w:rFonts w:ascii="Narkisim" w:hAnsi="Narkisim" w:cs="Narkisim"/>
          <w:b/>
          <w:bCs/>
          <w:rtl/>
        </w:rPr>
        <w:t>תוס</w:t>
      </w:r>
      <w:r w:rsidRPr="00E14121">
        <w:rPr>
          <w:rFonts w:ascii="Narkisim" w:hAnsi="Narkisim" w:cs="Narkisim"/>
          <w:rtl/>
        </w:rPr>
        <w:t xml:space="preserve">' (ב"מ נג.) ע"פ הגמ' (חגיגה יח:). </w:t>
      </w:r>
      <w:r w:rsidRPr="00E14121">
        <w:rPr>
          <w:rFonts w:ascii="Narkisim" w:hAnsi="Narkisim" w:cs="Narkisim"/>
          <w:sz w:val="20"/>
          <w:szCs w:val="20"/>
          <w:rtl/>
        </w:rPr>
        <w:t xml:space="preserve">אך דעת </w:t>
      </w:r>
      <w:r w:rsidRPr="00E14121">
        <w:rPr>
          <w:rFonts w:ascii="Narkisim" w:hAnsi="Narkisim" w:cs="Narkisim"/>
          <w:b/>
          <w:bCs/>
          <w:sz w:val="20"/>
          <w:szCs w:val="20"/>
          <w:rtl/>
        </w:rPr>
        <w:t>רש"י</w:t>
      </w:r>
      <w:r w:rsidRPr="00E14121">
        <w:rPr>
          <w:rFonts w:ascii="Narkisim" w:hAnsi="Narkisim" w:cs="Narkisim"/>
          <w:sz w:val="20"/>
          <w:szCs w:val="20"/>
          <w:rtl/>
        </w:rPr>
        <w:t xml:space="preserve"> דמסקנת הגמ' שם דאכילת מעשר אי"צ נט"י</w:t>
      </w:r>
      <w:r w:rsidRPr="00E14121">
        <w:rPr>
          <w:rStyle w:val="ac"/>
          <w:rFonts w:ascii="Narkisim" w:hAnsi="Narkisim" w:cs="Narkisim"/>
          <w:sz w:val="20"/>
          <w:szCs w:val="20"/>
          <w:rtl/>
        </w:rPr>
        <w:footnoteReference w:id="4471"/>
      </w:r>
      <w:r w:rsidRPr="00E14121">
        <w:rPr>
          <w:rFonts w:ascii="Narkisim" w:hAnsi="Narkisim" w:cs="Narkisim"/>
          <w:sz w:val="20"/>
          <w:szCs w:val="20"/>
          <w:rtl/>
        </w:rPr>
        <w:t xml:space="preserve"> [וכ”מ בפיה"מ לרמב"ם ביכורים ב א].</w:t>
      </w:r>
    </w:p>
    <w:p w14:paraId="3D632D40" w14:textId="77777777" w:rsidR="00F64AED" w:rsidRPr="00E14121" w:rsidRDefault="00F64AED" w:rsidP="00F64AED">
      <w:pPr>
        <w:pStyle w:val="aa"/>
        <w:bidi/>
        <w:rPr>
          <w:rFonts w:ascii="Narkisim" w:hAnsi="Narkisim"/>
        </w:rPr>
      </w:pPr>
      <w:r w:rsidRPr="00E14121">
        <w:rPr>
          <w:rFonts w:ascii="Narkisim" w:hAnsi="Narkisim"/>
          <w:u w:val="single"/>
          <w:rtl/>
        </w:rPr>
        <w:t>תוד"ה מה.</w:t>
      </w:r>
      <w:r w:rsidRPr="00E14121">
        <w:rPr>
          <w:rFonts w:ascii="Narkisim" w:hAnsi="Narkisim"/>
          <w:rtl/>
        </w:rPr>
        <w:t xml:space="preserve"> מדאורייתא בטלין ברוב וכו' (גיטין נד:) והא הכא דמדאורייתא בטלי ברובא. וה</w:t>
      </w:r>
      <w:r w:rsidRPr="00E14121">
        <w:rPr>
          <w:rFonts w:ascii="Narkisim" w:hAnsi="Narkisim"/>
          <w:b/>
          <w:bCs/>
          <w:rtl/>
        </w:rPr>
        <w:t>רמב"ן</w:t>
      </w:r>
      <w:r w:rsidRPr="00E14121">
        <w:rPr>
          <w:rFonts w:ascii="Narkisim" w:hAnsi="Narkisim"/>
          <w:rtl/>
        </w:rPr>
        <w:t xml:space="preserve"> הביא לדחות דאיירי בנתחמצו [ולא בביטול בעלמא]. ודחה ולאו מילתא היא את"ל נדמעה דאורייתא, כ"ש נתחמצה.</w:t>
      </w:r>
    </w:p>
    <w:p w14:paraId="20CBC632" w14:textId="77777777" w:rsidR="00F64AED" w:rsidRPr="00E14121" w:rsidRDefault="00F64AED" w:rsidP="00F64AED">
      <w:pPr>
        <w:pStyle w:val="aa"/>
        <w:bidi/>
        <w:rPr>
          <w:rFonts w:ascii="Narkisim" w:hAnsi="Narkisim"/>
        </w:rPr>
      </w:pPr>
      <w:r w:rsidRPr="00E14121">
        <w:rPr>
          <w:rFonts w:ascii="Narkisim" w:hAnsi="Narkisim"/>
          <w:u w:val="single"/>
          <w:rtl/>
        </w:rPr>
        <w:t>בא"ד (בסו"ד) וא"ת ליתני חלה, ומעשר חייב.</w:t>
      </w:r>
      <w:r w:rsidRPr="00E14121">
        <w:rPr>
          <w:rFonts w:ascii="Narkisim" w:hAnsi="Narkisim"/>
          <w:rtl/>
        </w:rPr>
        <w:t xml:space="preserve"> ה</w:t>
      </w:r>
      <w:r w:rsidRPr="00E14121">
        <w:rPr>
          <w:rFonts w:ascii="Narkisim" w:hAnsi="Narkisim"/>
          <w:b/>
          <w:bCs/>
          <w:rtl/>
        </w:rPr>
        <w:t xml:space="preserve">ערול"נ </w:t>
      </w:r>
      <w:r w:rsidRPr="00E14121">
        <w:rPr>
          <w:rFonts w:ascii="Narkisim" w:hAnsi="Narkisim"/>
          <w:rtl/>
        </w:rPr>
        <w:t>הקשה דלמ"ד ממון גבוה פטור מחלה.</w:t>
      </w:r>
    </w:p>
    <w:p w14:paraId="447F2CC1" w14:textId="77777777" w:rsidR="00F64AED" w:rsidRPr="00E14121" w:rsidRDefault="00F64AED" w:rsidP="00F64AED">
      <w:pPr>
        <w:bidi/>
        <w:rPr>
          <w:rFonts w:ascii="Narkisim" w:hAnsi="Narkisim" w:cs="Narkisim"/>
        </w:rPr>
      </w:pPr>
      <w:r w:rsidRPr="00E14121">
        <w:rPr>
          <w:rFonts w:ascii="Narkisim" w:hAnsi="Narkisim" w:cs="Narkisim"/>
          <w:u w:val="single"/>
          <w:rtl/>
        </w:rPr>
        <w:t>רש"י ד"ה ואילו.</w:t>
      </w:r>
      <w:r w:rsidRPr="00E14121">
        <w:rPr>
          <w:rFonts w:ascii="Narkisim" w:hAnsi="Narkisim" w:cs="Narkisim"/>
          <w:rtl/>
        </w:rPr>
        <w:t xml:space="preserve"> דאין טומאתן מתירתן להבערה, ולא אמרי' אע"ג דלא ניתן מעשר אלא לאכילה וכו'. משמע מרש"י דאין איסור מיוחד לבער מעש"ש בטומאה. אלא דלא ניתנה מעשר [טהור] לביעור, וקמ"ל דה"ה בטמא. אבל דעת </w:t>
      </w:r>
      <w:r w:rsidRPr="00E14121">
        <w:rPr>
          <w:rFonts w:ascii="Narkisim" w:hAnsi="Narkisim" w:cs="Narkisim"/>
          <w:b/>
          <w:bCs/>
          <w:rtl/>
        </w:rPr>
        <w:t>תוס</w:t>
      </w:r>
      <w:r w:rsidRPr="00E14121">
        <w:rPr>
          <w:rFonts w:ascii="Narkisim" w:hAnsi="Narkisim" w:cs="Narkisim"/>
          <w:rtl/>
        </w:rPr>
        <w:t>' (בע”ב) דנתחדש בזה איסור לבער בטומאה.</w:t>
      </w:r>
    </w:p>
    <w:p w14:paraId="5DE4B19E" w14:textId="77777777" w:rsidR="00F64AED" w:rsidRPr="00E14121" w:rsidRDefault="00F64AED" w:rsidP="00F64AED">
      <w:pPr>
        <w:bidi/>
        <w:rPr>
          <w:rFonts w:ascii="Narkisim" w:hAnsi="Narkisim" w:cs="Narkisim"/>
        </w:rPr>
      </w:pPr>
      <w:r w:rsidRPr="00E14121">
        <w:rPr>
          <w:rFonts w:ascii="Narkisim" w:hAnsi="Narkisim" w:cs="Narkisim"/>
          <w:rtl/>
        </w:rPr>
        <w:t>ודעת ה</w:t>
      </w:r>
      <w:r w:rsidRPr="00E14121">
        <w:rPr>
          <w:rFonts w:ascii="Narkisim" w:hAnsi="Narkisim" w:cs="Narkisim"/>
          <w:b/>
          <w:bCs/>
          <w:rtl/>
        </w:rPr>
        <w:t>ר"ש</w:t>
      </w:r>
      <w:r w:rsidRPr="00E14121">
        <w:rPr>
          <w:rFonts w:ascii="Narkisim" w:hAnsi="Narkisim" w:cs="Narkisim"/>
          <w:rtl/>
        </w:rPr>
        <w:t xml:space="preserve"> </w:t>
      </w:r>
      <w:r w:rsidRPr="00E14121">
        <w:rPr>
          <w:rFonts w:ascii="Narkisim" w:hAnsi="Narkisim" w:cs="Narkisim"/>
          <w:sz w:val="20"/>
          <w:szCs w:val="20"/>
          <w:rtl/>
        </w:rPr>
        <w:t>(ורא"ש ורע"ב שביעית ח ב)</w:t>
      </w:r>
      <w:r w:rsidRPr="00E14121">
        <w:rPr>
          <w:rFonts w:ascii="Narkisim" w:hAnsi="Narkisim" w:cs="Narkisim"/>
          <w:rtl/>
        </w:rPr>
        <w:t xml:space="preserve"> דמעש"ש טהור מותר להדלקת הנר, דכתיב לא בערתי ממנו בטמא, מכלל דבטהור מותר. ו</w:t>
      </w:r>
      <w:r w:rsidRPr="00E14121">
        <w:rPr>
          <w:rFonts w:ascii="Narkisim" w:hAnsi="Narkisim" w:cs="Narkisim"/>
          <w:b/>
          <w:bCs/>
          <w:rtl/>
        </w:rPr>
        <w:t>רע"א</w:t>
      </w:r>
      <w:r w:rsidRPr="00E14121">
        <w:rPr>
          <w:rFonts w:ascii="Narkisim" w:hAnsi="Narkisim" w:cs="Narkisim"/>
          <w:rtl/>
        </w:rPr>
        <w:t xml:space="preserve"> (שם) הביא</w:t>
      </w:r>
      <w:r w:rsidRPr="00E14121">
        <w:rPr>
          <w:rStyle w:val="ac"/>
          <w:rFonts w:ascii="Narkisim" w:hAnsi="Narkisim" w:cs="Narkisim"/>
          <w:rtl/>
        </w:rPr>
        <w:footnoteReference w:id="4472"/>
      </w:r>
      <w:r w:rsidRPr="00E14121">
        <w:rPr>
          <w:rFonts w:ascii="Narkisim" w:hAnsi="Narkisim" w:cs="Narkisim"/>
          <w:rtl/>
        </w:rPr>
        <w:t xml:space="preserve"> דברי </w:t>
      </w:r>
      <w:r w:rsidRPr="00E14121">
        <w:rPr>
          <w:rFonts w:ascii="Narkisim" w:hAnsi="Narkisim" w:cs="Narkisim"/>
          <w:b/>
          <w:bCs/>
          <w:rtl/>
        </w:rPr>
        <w:t>רש"י</w:t>
      </w:r>
      <w:r w:rsidRPr="00E14121">
        <w:rPr>
          <w:rFonts w:ascii="Narkisim" w:hAnsi="Narkisim" w:cs="Narkisim"/>
          <w:rtl/>
        </w:rPr>
        <w:t xml:space="preserve"> (כאן) דאף טהור אסור, וכתיב ואכלת במעש”ש, ומרבינן שתייה וסיכה</w:t>
      </w:r>
      <w:r w:rsidRPr="00E14121">
        <w:rPr>
          <w:rStyle w:val="ac"/>
          <w:rFonts w:ascii="Narkisim" w:hAnsi="Narkisim" w:cs="Narkisim"/>
          <w:rtl/>
        </w:rPr>
        <w:footnoteReference w:id="4473"/>
      </w:r>
      <w:r w:rsidRPr="00E14121">
        <w:rPr>
          <w:rFonts w:ascii="Narkisim" w:hAnsi="Narkisim" w:cs="Narkisim"/>
          <w:rtl/>
        </w:rPr>
        <w:t>.</w:t>
      </w:r>
    </w:p>
    <w:p w14:paraId="297EDB82" w14:textId="77777777" w:rsidR="00F64AED" w:rsidRPr="00E14121" w:rsidRDefault="00F64AED" w:rsidP="00F64AED">
      <w:pPr>
        <w:bidi/>
        <w:rPr>
          <w:rFonts w:ascii="Narkisim" w:hAnsi="Narkisim" w:cs="Narkisim"/>
        </w:rPr>
      </w:pPr>
      <w:r w:rsidRPr="00E14121">
        <w:rPr>
          <w:rFonts w:ascii="Narkisim" w:hAnsi="Narkisim" w:cs="Narkisim"/>
          <w:u w:val="single"/>
          <w:rtl/>
        </w:rPr>
        <w:t>תוד"ה וחייבין.</w:t>
      </w:r>
      <w:r w:rsidRPr="00E14121">
        <w:rPr>
          <w:rFonts w:ascii="Narkisim" w:hAnsi="Narkisim" w:cs="Narkisim"/>
          <w:rtl/>
        </w:rPr>
        <w:t xml:space="preserve"> וי"ל דתרומה אי"צ רק ליתנה לכהן וכו' אבל מעש"ש ובכורים צריך לבערם מהעולם בכל מקום שהם. וכ"פ ה</w:t>
      </w:r>
      <w:r w:rsidRPr="00E14121">
        <w:rPr>
          <w:rFonts w:ascii="Narkisim" w:hAnsi="Narkisim" w:cs="Narkisim"/>
          <w:b/>
          <w:bCs/>
          <w:rtl/>
        </w:rPr>
        <w:t>רמב"ם</w:t>
      </w:r>
      <w:r w:rsidRPr="00E14121">
        <w:rPr>
          <w:rFonts w:ascii="Narkisim" w:hAnsi="Narkisim" w:cs="Narkisim"/>
          <w:rtl/>
        </w:rPr>
        <w:t xml:space="preserve"> (מעש"ש יא ח). ו</w:t>
      </w:r>
      <w:r w:rsidRPr="00E14121">
        <w:rPr>
          <w:rFonts w:ascii="Narkisim" w:hAnsi="Narkisim" w:cs="Narkisim"/>
          <w:b/>
          <w:bCs/>
          <w:rtl/>
        </w:rPr>
        <w:t>תוס</w:t>
      </w:r>
      <w:r w:rsidRPr="00E14121">
        <w:rPr>
          <w:rFonts w:ascii="Narkisim" w:hAnsi="Narkisim" w:cs="Narkisim"/>
          <w:rtl/>
        </w:rPr>
        <w:t xml:space="preserve">' (קידושין כז.) הביאו </w:t>
      </w:r>
      <w:r w:rsidRPr="00E14121">
        <w:rPr>
          <w:rFonts w:ascii="Narkisim" w:hAnsi="Narkisim" w:cs="Narkisim"/>
          <w:b/>
          <w:bCs/>
          <w:rtl/>
        </w:rPr>
        <w:t>י"מ</w:t>
      </w:r>
      <w:r w:rsidRPr="00E14121">
        <w:rPr>
          <w:rFonts w:ascii="Narkisim" w:hAnsi="Narkisim" w:cs="Narkisim"/>
          <w:rtl/>
        </w:rPr>
        <w:t xml:space="preserve"> דלמדו ממשנה זו דתרומה גדולה אי"צ ביעור. ותוס' דחו דבמשנה במעש"ש מבואר דאף התרומה חייב בביעור. ותוס' הביאו צד דביעור דתרומה הוה מדרבנן. אך הביאו דבירושלמי ילפי' לה מקרא 'וגם נתתיו ללוי' לרבות תרומה ותרומת מעשר.</w:t>
      </w:r>
    </w:p>
    <w:p w14:paraId="02B7CD4B"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(שם) פי' דביעור דתרומה מקיים במה שנותן לכהן, שהרי נאכל בכל מקום. משא"כ מעש"ש וביכורים דאינו רשאי לאכול חוץ לירושלים, ולכן מבערו מן העולם אם אינו מביא לירושלים</w:t>
      </w:r>
      <w:r w:rsidRPr="00E14121">
        <w:rPr>
          <w:rStyle w:val="ac"/>
          <w:rFonts w:ascii="Narkisim" w:hAnsi="Narkisim"/>
          <w:rtl/>
        </w:rPr>
        <w:footnoteReference w:id="4474"/>
      </w:r>
      <w:r w:rsidRPr="00E14121">
        <w:rPr>
          <w:rFonts w:ascii="Narkisim" w:hAnsi="Narkisim"/>
          <w:rtl/>
        </w:rPr>
        <w:t>. [וכמ"ש כאן]. וה</w:t>
      </w:r>
      <w:r w:rsidRPr="00E14121">
        <w:rPr>
          <w:rFonts w:ascii="Narkisim" w:hAnsi="Narkisim"/>
          <w:b/>
          <w:bCs/>
          <w:rtl/>
        </w:rPr>
        <w:t>רמב"ן</w:t>
      </w:r>
      <w:r w:rsidRPr="00E14121">
        <w:rPr>
          <w:rFonts w:ascii="Narkisim" w:hAnsi="Narkisim"/>
          <w:rtl/>
        </w:rPr>
        <w:t xml:space="preserve"> כתב דלא ילפי' תרומה מביכורים [לבער מהעולם], דרבינהו חכמים לביעור אחר.</w:t>
      </w:r>
    </w:p>
    <w:p w14:paraId="604B5929" w14:textId="77777777" w:rsidR="00F64AED" w:rsidRPr="00E14121" w:rsidRDefault="00F64AED" w:rsidP="00F64AED">
      <w:pPr>
        <w:bidi/>
        <w:rPr>
          <w:rFonts w:ascii="Narkisim" w:hAnsi="Narkisim" w:cs="Narkisim"/>
        </w:rPr>
      </w:pPr>
      <w:r w:rsidRPr="00E14121">
        <w:rPr>
          <w:rFonts w:ascii="Narkisim" w:hAnsi="Narkisim" w:cs="Narkisim"/>
          <w:u w:val="single"/>
          <w:rtl/>
        </w:rPr>
        <w:t>שם. מעש"ש ובכורים צריך לבערם</w:t>
      </w:r>
      <w:r w:rsidRPr="00E14121">
        <w:rPr>
          <w:rFonts w:ascii="Narkisim" w:hAnsi="Narkisim" w:cs="Narkisim"/>
          <w:rtl/>
        </w:rPr>
        <w:t>. וכ"ד ה</w:t>
      </w:r>
      <w:r w:rsidRPr="00E14121">
        <w:rPr>
          <w:rFonts w:ascii="Narkisim" w:hAnsi="Narkisim" w:cs="Narkisim"/>
          <w:b/>
          <w:bCs/>
          <w:rtl/>
        </w:rPr>
        <w:t>רמב"ם</w:t>
      </w:r>
      <w:r w:rsidRPr="00E14121">
        <w:rPr>
          <w:rFonts w:ascii="Narkisim" w:hAnsi="Narkisim" w:cs="Narkisim"/>
          <w:rtl/>
        </w:rPr>
        <w:t xml:space="preserve"> (שם). אבל ה</w:t>
      </w:r>
      <w:r w:rsidRPr="00E14121">
        <w:rPr>
          <w:rFonts w:ascii="Narkisim" w:hAnsi="Narkisim" w:cs="Narkisim"/>
          <w:b/>
          <w:bCs/>
          <w:rtl/>
        </w:rPr>
        <w:t>מאירי</w:t>
      </w:r>
      <w:r w:rsidRPr="00E14121">
        <w:rPr>
          <w:rFonts w:ascii="Narkisim" w:hAnsi="Narkisim" w:cs="Narkisim"/>
          <w:rtl/>
        </w:rPr>
        <w:t xml:space="preserve"> (בשם גדולי הדורות) דאינו רשאי לבער מעש"ש בידים, אלא יחללו על המעות.</w:t>
      </w:r>
    </w:p>
    <w:p w14:paraId="45A86C76" w14:textId="77777777" w:rsidR="00F64AED" w:rsidRPr="00E14121" w:rsidRDefault="00F64AED" w:rsidP="00F64AED">
      <w:pPr>
        <w:pStyle w:val="a8"/>
        <w:bidi/>
        <w:rPr>
          <w:rFonts w:ascii="Narkisim" w:hAnsi="Narkisim"/>
        </w:rPr>
      </w:pPr>
      <w:r w:rsidRPr="00E14121">
        <w:rPr>
          <w:rFonts w:ascii="Narkisim" w:hAnsi="Narkisim"/>
          <w:rtl/>
        </w:rPr>
        <w:t>ועד"ז כת' ה</w:t>
      </w:r>
      <w:r w:rsidRPr="00E14121">
        <w:rPr>
          <w:rFonts w:ascii="Narkisim" w:hAnsi="Narkisim"/>
          <w:b/>
          <w:bCs/>
          <w:rtl/>
        </w:rPr>
        <w:t>ר"ש</w:t>
      </w:r>
      <w:r w:rsidRPr="00E14121">
        <w:rPr>
          <w:rFonts w:ascii="Narkisim" w:hAnsi="Narkisim"/>
          <w:rtl/>
        </w:rPr>
        <w:t xml:space="preserve"> (מעש"ש ה ז, ושאר מפרשים שם) דמעש"ש בזה"ז טעון גניזה עד שירקבו. אך ה</w:t>
      </w:r>
      <w:r w:rsidRPr="00E14121">
        <w:rPr>
          <w:rFonts w:ascii="Narkisim" w:hAnsi="Narkisim"/>
          <w:b/>
          <w:bCs/>
          <w:rtl/>
        </w:rPr>
        <w:t>משנ"ר</w:t>
      </w:r>
      <w:r w:rsidRPr="00E14121">
        <w:rPr>
          <w:rFonts w:ascii="Narkisim" w:hAnsi="Narkisim"/>
          <w:rtl/>
        </w:rPr>
        <w:t xml:space="preserve"> (שם) ביאר הטעם דבזה"ז אין חובת ביעור.</w:t>
      </w:r>
    </w:p>
    <w:p w14:paraId="6955D14B" w14:textId="77777777" w:rsidR="00F64AED" w:rsidRPr="00E14121" w:rsidRDefault="00F64AED" w:rsidP="00F64AED">
      <w:pPr>
        <w:pStyle w:val="3"/>
        <w:bidi/>
        <w:rPr>
          <w:rFonts w:ascii="Narkisim" w:hAnsi="Narkisim"/>
        </w:rPr>
      </w:pPr>
      <w:r w:rsidRPr="00E14121">
        <w:rPr>
          <w:rFonts w:ascii="Narkisim" w:hAnsi="Narkisim"/>
          <w:rtl/>
        </w:rPr>
        <w:t>דף עג:</w:t>
      </w:r>
    </w:p>
    <w:p w14:paraId="1C4B0FB4" w14:textId="77777777" w:rsidR="00F64AED" w:rsidRPr="00E14121" w:rsidRDefault="00F64AED" w:rsidP="00F64AED">
      <w:pPr>
        <w:bidi/>
        <w:rPr>
          <w:rFonts w:ascii="Narkisim" w:hAnsi="Narkisim" w:cs="Narkisim"/>
        </w:rPr>
      </w:pPr>
      <w:r w:rsidRPr="00E14121">
        <w:rPr>
          <w:rFonts w:ascii="Narkisim" w:hAnsi="Narkisim" w:cs="Narkisim"/>
          <w:u w:val="single"/>
          <w:rtl/>
        </w:rPr>
        <w:t>ואסורין לאונן, מנ"ל דכתיב לא תוכל וכו' ואיתקיש ביכורים למעשר וכו'.</w:t>
      </w:r>
      <w:r w:rsidRPr="00E14121">
        <w:rPr>
          <w:rFonts w:ascii="Narkisim" w:hAnsi="Narkisim" w:cs="Narkisim"/>
          <w:rtl/>
        </w:rPr>
        <w:t xml:space="preserve"> ודעת ר' שמעון דלא הוקש למעשר.</w:t>
      </w:r>
    </w:p>
    <w:p w14:paraId="06A61D9F" w14:textId="77777777" w:rsidR="00F64AED" w:rsidRPr="00E14121" w:rsidRDefault="00F64AED" w:rsidP="00F64AED">
      <w:pPr>
        <w:pStyle w:val="a7"/>
        <w:bidi/>
        <w:rPr>
          <w:rFonts w:ascii="Narkisim" w:hAnsi="Narkisim"/>
        </w:rPr>
      </w:pPr>
      <w:r w:rsidRPr="00E14121">
        <w:rPr>
          <w:rFonts w:ascii="Narkisim" w:hAnsi="Narkisim"/>
          <w:rtl/>
        </w:rPr>
        <w:t>וכן איתא בגמ' (פסחים לו:) דנח' האם הוקש למעשר. והגמ' מק' לר' שמעון נהי דל"ל היקש, הא כתיב בביכורים שמחה, דכתיב ושמחת בכל הטוב. והגמ' דוחה ההוא לזמן שמחה, מעצרת עד החג.</w:t>
      </w:r>
    </w:p>
    <w:p w14:paraId="2DCB1D34"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(ביכורים ג ו, ופיה"מ והרע"ב ביכורים ב ב) כת' דביכורים אסורים לאונן מדכתיב ושמחת בכל הטוב, דחייב לאוכלן בשמחה ולא באנינות, ואין לוקין [דהוה לאו הבא מכלל עשה]. ו</w:t>
      </w:r>
      <w:r w:rsidRPr="00E14121">
        <w:rPr>
          <w:rFonts w:ascii="Narkisim" w:hAnsi="Narkisim" w:cs="Narkisim"/>
          <w:b/>
          <w:bCs/>
          <w:rtl/>
        </w:rPr>
        <w:t>רע"א</w:t>
      </w:r>
      <w:r w:rsidRPr="00E14121">
        <w:rPr>
          <w:rFonts w:ascii="Narkisim" w:hAnsi="Narkisim" w:cs="Narkisim"/>
          <w:rtl/>
        </w:rPr>
        <w:t xml:space="preserve"> תמה אמאי שבק הטעם שהוזכר בסוגיין, דהוקש למעשר. ונפק"מ שלוקה משום </w:t>
      </w:r>
      <w:r w:rsidRPr="00E14121">
        <w:rPr>
          <w:rFonts w:ascii="Narkisim" w:hAnsi="Narkisim" w:cs="Narkisim"/>
          <w:rtl/>
        </w:rPr>
        <w:lastRenderedPageBreak/>
        <w:t>ההיקש</w:t>
      </w:r>
      <w:r w:rsidRPr="00E14121">
        <w:rPr>
          <w:rStyle w:val="ac"/>
          <w:rFonts w:ascii="Narkisim" w:hAnsi="Narkisim" w:cs="Narkisim"/>
          <w:rtl/>
        </w:rPr>
        <w:footnoteReference w:id="4475"/>
      </w:r>
      <w:r w:rsidRPr="00E14121">
        <w:rPr>
          <w:rFonts w:ascii="Narkisim" w:hAnsi="Narkisim" w:cs="Narkisim"/>
          <w:rtl/>
        </w:rPr>
        <w:t>.</w:t>
      </w:r>
    </w:p>
    <w:p w14:paraId="642C0F75" w14:textId="77777777" w:rsidR="00F64AED" w:rsidRPr="00E14121" w:rsidRDefault="00F64AED" w:rsidP="00F64AED">
      <w:pPr>
        <w:bidi/>
        <w:rPr>
          <w:rFonts w:ascii="Narkisim" w:hAnsi="Narkisim" w:cs="Narkisim"/>
        </w:rPr>
      </w:pPr>
      <w:r w:rsidRPr="00E14121">
        <w:rPr>
          <w:rFonts w:ascii="Narkisim" w:hAnsi="Narkisim" w:cs="Narkisim"/>
          <w:u w:val="single"/>
          <w:rtl/>
        </w:rPr>
        <w:t>ואסור לבער מהם בטומאה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(בע"א) דביכורים הוקש למעש"ש, דלא ילפי' מתרומה דטומאתו מתירתו בהבערה</w:t>
      </w:r>
      <w:r w:rsidRPr="00E14121">
        <w:rPr>
          <w:rStyle w:val="ac"/>
          <w:rFonts w:ascii="Narkisim" w:hAnsi="Narkisim" w:cs="Narkisim"/>
          <w:rtl/>
        </w:rPr>
        <w:footnoteReference w:id="4476"/>
      </w:r>
      <w:r w:rsidRPr="00E14121">
        <w:rPr>
          <w:rFonts w:ascii="Narkisim" w:hAnsi="Narkisim" w:cs="Narkisim"/>
          <w:rtl/>
        </w:rPr>
        <w:t>. ואילו מדברי התוס' מבואר דיש איסור חדש בביעור בטומאה.</w:t>
      </w:r>
    </w:p>
    <w:p w14:paraId="0959E4DB"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Cs w:val="20"/>
          <w:rtl/>
        </w:rPr>
        <w:t>(ביכורים ב יט בסופו)</w:t>
      </w:r>
      <w:r w:rsidRPr="00E14121">
        <w:rPr>
          <w:rFonts w:ascii="Narkisim" w:hAnsi="Narkisim" w:cs="Narkisim"/>
          <w:rtl/>
        </w:rPr>
        <w:t xml:space="preserve"> כת' יראה דביכורים שנטמא אינו מסיק בהם את התנור [כתרומה טמאה], מפני שהן  כקדשי המקדש. ו</w:t>
      </w:r>
      <w:r w:rsidRPr="00E14121">
        <w:rPr>
          <w:rFonts w:ascii="Narkisim" w:hAnsi="Narkisim" w:cs="Narkisim"/>
          <w:b/>
          <w:bCs/>
          <w:rtl/>
        </w:rPr>
        <w:t>מהר"י קורקוס</w:t>
      </w:r>
      <w:r w:rsidRPr="00E14121">
        <w:rPr>
          <w:rFonts w:ascii="Narkisim" w:hAnsi="Narkisim" w:cs="Narkisim"/>
          <w:rtl/>
        </w:rPr>
        <w:t xml:space="preserve"> תמה אמאי תלה ב'יראה לי'</w:t>
      </w:r>
      <w:r w:rsidRPr="00E14121">
        <w:rPr>
          <w:rStyle w:val="ac"/>
          <w:rFonts w:ascii="Narkisim" w:hAnsi="Narkisim" w:cs="Narkisim"/>
          <w:rtl/>
        </w:rPr>
        <w:footnoteReference w:id="4477"/>
      </w:r>
      <w:r w:rsidRPr="00E14121">
        <w:rPr>
          <w:rFonts w:ascii="Narkisim" w:hAnsi="Narkisim" w:cs="Narkisim"/>
          <w:rtl/>
        </w:rPr>
        <w:t>, דזהו דינא דסוגיין דאסור לבער בטומאה. דילפי' גבי מעש"ש לא בערתי ממנו בטמא, והוקש ביכורים למעש"ש</w:t>
      </w:r>
      <w:r w:rsidRPr="00E14121">
        <w:rPr>
          <w:rStyle w:val="ac"/>
          <w:rFonts w:ascii="Narkisim" w:hAnsi="Narkisim" w:cs="Narkisim"/>
          <w:rtl/>
        </w:rPr>
        <w:footnoteReference w:id="4478"/>
      </w:r>
      <w:r w:rsidRPr="00E14121">
        <w:rPr>
          <w:rFonts w:ascii="Narkisim" w:hAnsi="Narkisim" w:cs="Narkisim"/>
          <w:rtl/>
        </w:rPr>
        <w:t xml:space="preserve"> [לרבנן], וכמ"ש רש"י</w:t>
      </w:r>
      <w:r w:rsidRPr="00E14121">
        <w:rPr>
          <w:rStyle w:val="ac"/>
          <w:rFonts w:ascii="Narkisim" w:hAnsi="Narkisim" w:cs="Narkisim"/>
          <w:rtl/>
        </w:rPr>
        <w:footnoteReference w:id="4479"/>
      </w:r>
      <w:r w:rsidRPr="00E14121">
        <w:rPr>
          <w:rFonts w:ascii="Narkisim" w:hAnsi="Narkisim" w:cs="Narkisim"/>
          <w:rtl/>
        </w:rPr>
        <w:t>. וה</w:t>
      </w:r>
      <w:r w:rsidRPr="00E14121">
        <w:rPr>
          <w:rFonts w:ascii="Narkisim" w:hAnsi="Narkisim" w:cs="Narkisim"/>
          <w:b/>
          <w:bCs/>
          <w:rtl/>
        </w:rPr>
        <w:t>כס"מ</w:t>
      </w:r>
      <w:r w:rsidRPr="00E14121">
        <w:rPr>
          <w:rFonts w:ascii="Narkisim" w:hAnsi="Narkisim" w:cs="Narkisim"/>
          <w:rtl/>
        </w:rPr>
        <w:t xml:space="preserve"> כת' ד'יראה' קאי לענין הטעם, ולא לענין הדין. וביאר דאף הגמ' דידן סמכו אהך סברא [וקיצר בדבר מובן], והביאו ילפותא רק לענין מעשר.</w:t>
      </w:r>
    </w:p>
    <w:p w14:paraId="58AD67DE" w14:textId="77777777" w:rsidR="00F64AED" w:rsidRPr="00E14121" w:rsidRDefault="00F64AED" w:rsidP="00F64AED">
      <w:pPr>
        <w:pStyle w:val="a8"/>
        <w:bidi/>
        <w:rPr>
          <w:rFonts w:ascii="Narkisim" w:hAnsi="Narkisim"/>
        </w:rPr>
      </w:pPr>
      <w:r w:rsidRPr="00E14121">
        <w:rPr>
          <w:rFonts w:ascii="Narkisim" w:hAnsi="Narkisim"/>
          <w:rtl/>
        </w:rPr>
        <w:t>וב</w:t>
      </w:r>
      <w:r w:rsidRPr="00E14121">
        <w:rPr>
          <w:rFonts w:ascii="Narkisim" w:hAnsi="Narkisim"/>
          <w:b/>
          <w:bCs/>
          <w:rtl/>
        </w:rPr>
        <w:t>הג' חש"ל</w:t>
      </w:r>
      <w:r w:rsidRPr="00E14121">
        <w:rPr>
          <w:rFonts w:ascii="Narkisim" w:hAnsi="Narkisim"/>
          <w:rtl/>
        </w:rPr>
        <w:t xml:space="preserve"> (לרמב"ם) יישב דבסוגיין קאי בביכורים לאחר קריאה והנחה, והותר לכהן לאכילה. ואילו הרמב"ם איירי קודם שהביאם, דעדיין דינם כקדשים. ומש"ה פוסל בהם טומאה.</w:t>
      </w:r>
    </w:p>
    <w:p w14:paraId="0F76A657" w14:textId="77777777" w:rsidR="00F64AED" w:rsidRPr="00E14121" w:rsidRDefault="00F64AED" w:rsidP="00F64AED">
      <w:pPr>
        <w:pStyle w:val="a7"/>
        <w:bidi/>
        <w:rPr>
          <w:rFonts w:ascii="Narkisim" w:hAnsi="Narkisim"/>
        </w:rPr>
      </w:pPr>
      <w:r w:rsidRPr="00E14121">
        <w:rPr>
          <w:rFonts w:ascii="Narkisim" w:hAnsi="Narkisim"/>
          <w:rtl/>
        </w:rPr>
        <w:t>וב</w:t>
      </w:r>
      <w:r w:rsidRPr="00E14121">
        <w:rPr>
          <w:rFonts w:ascii="Narkisim" w:hAnsi="Narkisim"/>
          <w:b/>
          <w:bCs/>
          <w:rtl/>
        </w:rPr>
        <w:t>זכרון שמואל</w:t>
      </w:r>
      <w:r w:rsidRPr="00E14121">
        <w:rPr>
          <w:rFonts w:ascii="Narkisim" w:hAnsi="Narkisim"/>
          <w:rtl/>
        </w:rPr>
        <w:t xml:space="preserve"> (א) כתב דאע"פ שנלמד ממעשר, מ"מ הוה גדר וטעם אחר, דביכורים דינם כתרומה, וניתנו להדלקה. והא דאסור לבער בטומאה משום דנטמא נאמר בהם איסור הנאה וקבורה כקדשים.</w:t>
      </w:r>
    </w:p>
    <w:p w14:paraId="55D8004A" w14:textId="77777777" w:rsidR="00F64AED" w:rsidRPr="00E14121" w:rsidRDefault="00F64AED" w:rsidP="00F64AED">
      <w:pPr>
        <w:bidi/>
        <w:rPr>
          <w:rFonts w:ascii="Narkisim" w:hAnsi="Narkisim" w:cs="Narkisim"/>
        </w:rPr>
      </w:pPr>
      <w:r w:rsidRPr="00E14121">
        <w:rPr>
          <w:rFonts w:ascii="Narkisim" w:hAnsi="Narkisim" w:cs="Narkisim"/>
          <w:u w:val="single"/>
          <w:rtl/>
        </w:rPr>
        <w:t>רש"י ד"ה והיכן מוזהר.</w:t>
      </w:r>
      <w:r w:rsidRPr="00E14121">
        <w:rPr>
          <w:rFonts w:ascii="Narkisim" w:hAnsi="Narkisim" w:cs="Narkisim"/>
          <w:rtl/>
        </w:rPr>
        <w:t xml:space="preserve"> וכל שכן בטהור [וכמ"ש בע"א], ש"מ ה"ק אפי' בשעת הטומאה, שלא יכולתי לאוכלה. </w:t>
      </w:r>
      <w:r w:rsidRPr="00E14121">
        <w:rPr>
          <w:rFonts w:ascii="Narkisim" w:hAnsi="Narkisim" w:cs="Narkisim"/>
          <w:sz w:val="20"/>
          <w:szCs w:val="20"/>
          <w:rtl/>
        </w:rPr>
        <w:t>[מבואר להדיא ברש”י דלא נתחדש איסור כשנטמא [ודלא כתוס'], אלא דקמ”ל דלא הותר האיסור].</w:t>
      </w:r>
    </w:p>
    <w:p w14:paraId="5A9008EC" w14:textId="77777777" w:rsidR="00F64AED" w:rsidRPr="00E14121" w:rsidRDefault="00F64AED" w:rsidP="00F64AED">
      <w:pPr>
        <w:bidi/>
        <w:rPr>
          <w:rFonts w:ascii="Narkisim" w:hAnsi="Narkisim" w:cs="Narkisim"/>
        </w:rPr>
      </w:pPr>
      <w:r w:rsidRPr="00E14121">
        <w:rPr>
          <w:rFonts w:ascii="Narkisim" w:hAnsi="Narkisim" w:cs="Narkisim"/>
          <w:u w:val="single"/>
          <w:rtl/>
        </w:rPr>
        <w:t>תוד"ה והיכן.</w:t>
      </w:r>
      <w:r w:rsidRPr="00E14121">
        <w:rPr>
          <w:rFonts w:ascii="Narkisim" w:hAnsi="Narkisim" w:cs="Narkisim"/>
          <w:rtl/>
        </w:rPr>
        <w:t xml:space="preserve"> ובפ' כל שעה וכו' דנפק"ל ממעשר הקל, דכתיב לא בערתי ממנו בטמא וכו'. </w:t>
      </w:r>
      <w:r w:rsidRPr="00E14121">
        <w:rPr>
          <w:rFonts w:ascii="Narkisim" w:hAnsi="Narkisim" w:cs="Narkisim"/>
          <w:b/>
          <w:bCs/>
          <w:rtl/>
        </w:rPr>
        <w:t>תוס</w:t>
      </w:r>
      <w:r w:rsidRPr="00E14121">
        <w:rPr>
          <w:rFonts w:ascii="Narkisim" w:hAnsi="Narkisim" w:cs="Narkisim"/>
          <w:rtl/>
        </w:rPr>
        <w:t>' הביאו משם דילפי' לאו מ'לא בערתי'. וכ"כ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 xml:space="preserve">(מעש"ש ג א). </w:t>
      </w: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 xml:space="preserve">(סה"מ שורש ח) </w:t>
      </w:r>
      <w:r w:rsidRPr="00E14121">
        <w:rPr>
          <w:rFonts w:ascii="Narkisim" w:hAnsi="Narkisim" w:cs="Narkisim"/>
          <w:rtl/>
        </w:rPr>
        <w:t>הביא דלאו דלא בערתי נחשב לא תעשה, ואף לאו הנאמר בדרך שלילה [ולא בדרך אזהרה] הוה לאו, וידענו בהכרח שהוא מוזהר עליו.</w:t>
      </w:r>
    </w:p>
    <w:p w14:paraId="62B3311B" w14:textId="77777777" w:rsidR="00F64AED" w:rsidRPr="00E14121" w:rsidRDefault="00F64AED" w:rsidP="00F64AED">
      <w:pPr>
        <w:pStyle w:val="a7"/>
        <w:bidi/>
        <w:rPr>
          <w:rFonts w:ascii="Narkisim" w:hAnsi="Narkisim"/>
        </w:rPr>
      </w:pPr>
      <w:r w:rsidRPr="00E14121">
        <w:rPr>
          <w:rFonts w:ascii="Narkisim" w:hAnsi="Narkisim"/>
          <w:rtl/>
        </w:rPr>
        <w:t xml:space="preserve">אבל </w:t>
      </w:r>
      <w:r w:rsidRPr="00E14121">
        <w:rPr>
          <w:rFonts w:ascii="Narkisim" w:hAnsi="Narkisim"/>
          <w:b/>
          <w:bCs/>
          <w:rtl/>
        </w:rPr>
        <w:t>רש"י</w:t>
      </w:r>
      <w:r w:rsidRPr="00E14121">
        <w:rPr>
          <w:rFonts w:ascii="Narkisim" w:hAnsi="Narkisim"/>
          <w:rtl/>
        </w:rPr>
        <w:t xml:space="preserve"> (פסחים שם) כתב דהוזהר מלא תוכל לאכול בשעריך [כדאמרי' הכא], ולא בערתי הוה וידוי בעלמא</w:t>
      </w:r>
      <w:r w:rsidRPr="00E14121">
        <w:rPr>
          <w:rStyle w:val="ac"/>
          <w:rFonts w:ascii="Narkisim" w:hAnsi="Narkisim"/>
          <w:rtl/>
        </w:rPr>
        <w:footnoteReference w:id="4480"/>
      </w:r>
      <w:r w:rsidRPr="00E14121">
        <w:rPr>
          <w:rFonts w:ascii="Narkisim" w:hAnsi="Narkisim"/>
          <w:rtl/>
        </w:rPr>
        <w:t>. וכן ה</w:t>
      </w:r>
      <w:r w:rsidRPr="00E14121">
        <w:rPr>
          <w:rFonts w:ascii="Narkisim" w:hAnsi="Narkisim"/>
          <w:b/>
          <w:bCs/>
          <w:rtl/>
        </w:rPr>
        <w:t xml:space="preserve">רמב"ן </w:t>
      </w:r>
      <w:r w:rsidRPr="00E14121">
        <w:rPr>
          <w:rFonts w:ascii="Narkisim" w:hAnsi="Narkisim"/>
          <w:rtl/>
        </w:rPr>
        <w:t>(בסה"מ שם) השיג [על הרמב"ם] דבסוגיין ילפי' אזהרה ממקום אחר.</w:t>
      </w:r>
    </w:p>
    <w:p w14:paraId="0F6FBDD1" w14:textId="77777777" w:rsidR="00F64AED" w:rsidRPr="00E14121" w:rsidRDefault="00F64AED" w:rsidP="00F64AED">
      <w:pPr>
        <w:pStyle w:val="a8"/>
        <w:bidi/>
        <w:rPr>
          <w:rFonts w:ascii="Narkisim" w:hAnsi="Narkisim"/>
        </w:rPr>
      </w:pPr>
      <w:r w:rsidRPr="00E14121">
        <w:rPr>
          <w:rFonts w:ascii="Narkisim" w:hAnsi="Narkisim"/>
          <w:rtl/>
        </w:rPr>
        <w:t>ועוד הקשה הרמב"ן דלדברי הרמב"ם יהא המדליק מעש"ש שנטמא לוקה, וזה לא מצאנו, והרמב"ם עצמו (מעש"ש ג ב) אינו אומר כן. [אבל ה</w:t>
      </w:r>
      <w:r w:rsidRPr="00E14121">
        <w:rPr>
          <w:rFonts w:ascii="Narkisim" w:hAnsi="Narkisim"/>
          <w:b/>
          <w:bCs/>
          <w:rtl/>
        </w:rPr>
        <w:t>מהרש"א</w:t>
      </w:r>
      <w:r w:rsidRPr="00E14121">
        <w:rPr>
          <w:rFonts w:ascii="Narkisim" w:hAnsi="Narkisim"/>
          <w:rtl/>
        </w:rPr>
        <w:t xml:space="preserve"> כתב דלוקה על הדלקה].</w:t>
      </w:r>
    </w:p>
    <w:p w14:paraId="4CD1A8B5"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מגילת אסתר</w:t>
      </w:r>
      <w:r w:rsidRPr="00E14121">
        <w:rPr>
          <w:rFonts w:ascii="Narkisim" w:hAnsi="Narkisim" w:cs="Narkisim"/>
          <w:rtl/>
        </w:rPr>
        <w:t xml:space="preserve"> (סה"מ סוף שורש ח, והו' באחרונים) ושאר אחרונים הביאו דה</w:t>
      </w:r>
      <w:r w:rsidRPr="00E14121">
        <w:rPr>
          <w:rFonts w:ascii="Narkisim" w:hAnsi="Narkisim" w:cs="Narkisim"/>
          <w:b/>
          <w:bCs/>
          <w:rtl/>
        </w:rPr>
        <w:t>רמב"ם</w:t>
      </w:r>
      <w:r w:rsidRPr="00E14121">
        <w:rPr>
          <w:rFonts w:ascii="Narkisim" w:hAnsi="Narkisim" w:cs="Narkisim"/>
          <w:rtl/>
        </w:rPr>
        <w:t xml:space="preserve"> ב</w:t>
      </w:r>
      <w:r w:rsidRPr="00E14121">
        <w:rPr>
          <w:rFonts w:ascii="Narkisim" w:hAnsi="Narkisim" w:cs="Narkisim"/>
          <w:b/>
          <w:bCs/>
          <w:rtl/>
        </w:rPr>
        <w:t>פיה"מ</w:t>
      </w:r>
      <w:r w:rsidRPr="00E14121">
        <w:rPr>
          <w:rFonts w:ascii="Narkisim" w:hAnsi="Narkisim" w:cs="Narkisim"/>
          <w:rtl/>
        </w:rPr>
        <w:t xml:space="preserve"> (מכות יט) מבואר דפי' את דברי הספרי באופ”א [ובזה מתורץ קושיית התוס'], דהקושיה 'והיכן מוזהר על אכילתו' היינו באיזה מקום הוזהר, ובזה הגמ' דורשת דאינו מוזהר אלא בירושלים. </w:t>
      </w:r>
      <w:r w:rsidRPr="00E14121">
        <w:rPr>
          <w:rFonts w:ascii="Narkisim" w:hAnsi="Narkisim" w:cs="Narkisim"/>
          <w:sz w:val="20"/>
          <w:szCs w:val="20"/>
          <w:rtl/>
        </w:rPr>
        <w:t>[ולא הקשו מהיכן ילפי' לאו, דכתיב בגופיה 'לא בערתי'].</w:t>
      </w:r>
    </w:p>
    <w:p w14:paraId="224200EC" w14:textId="77777777" w:rsidR="00F64AED" w:rsidRPr="00E14121" w:rsidRDefault="00F64AED" w:rsidP="00F64AED">
      <w:pPr>
        <w:bidi/>
        <w:rPr>
          <w:rFonts w:ascii="Narkisim" w:hAnsi="Narkisim" w:cs="Narkisim"/>
        </w:rPr>
      </w:pPr>
      <w:r w:rsidRPr="00E14121">
        <w:rPr>
          <w:rFonts w:ascii="Narkisim" w:hAnsi="Narkisim" w:cs="Narkisim"/>
          <w:rtl/>
        </w:rPr>
        <w:t>ועוד כתב ה</w:t>
      </w:r>
      <w:r w:rsidRPr="00E14121">
        <w:rPr>
          <w:rFonts w:ascii="Narkisim" w:hAnsi="Narkisim" w:cs="Narkisim"/>
          <w:b/>
          <w:bCs/>
          <w:rtl/>
        </w:rPr>
        <w:t>מהרש"א</w:t>
      </w:r>
      <w:r w:rsidRPr="00E14121">
        <w:rPr>
          <w:rFonts w:ascii="Narkisim" w:hAnsi="Narkisim" w:cs="Narkisim"/>
          <w:rtl/>
        </w:rPr>
        <w:t xml:space="preserve"> [לדעת הרמב"ם] דלא בערתי הוה לאו לענין ביעור בטומאה, אבל לענין אכילה לא שמעינן אלא מקרא דסוגיין. דהא קדשים גופיה כתיב בהאי קרא, וע"כ צריך היקש משום איסור הנאה.</w:t>
      </w:r>
    </w:p>
    <w:p w14:paraId="592A170E" w14:textId="77777777" w:rsidR="00F64AED" w:rsidRPr="00E14121" w:rsidRDefault="00F64AED" w:rsidP="00F64AED">
      <w:pPr>
        <w:pStyle w:val="aa"/>
        <w:bidi/>
        <w:rPr>
          <w:rFonts w:ascii="Narkisim" w:hAnsi="Narkisim"/>
        </w:rPr>
      </w:pPr>
      <w:r w:rsidRPr="00E14121">
        <w:rPr>
          <w:rFonts w:ascii="Narkisim" w:hAnsi="Narkisim"/>
          <w:u w:val="single"/>
          <w:rtl/>
        </w:rPr>
        <w:t>בא"ד אין מזהירין מהדין.</w:t>
      </w:r>
      <w:r w:rsidRPr="00E14121">
        <w:rPr>
          <w:rFonts w:ascii="Narkisim" w:hAnsi="Narkisim"/>
          <w:rtl/>
        </w:rPr>
        <w:t xml:space="preserve"> ה</w:t>
      </w:r>
      <w:r w:rsidRPr="00E14121">
        <w:rPr>
          <w:rFonts w:ascii="Narkisim" w:hAnsi="Narkisim"/>
          <w:b/>
          <w:bCs/>
          <w:rtl/>
        </w:rPr>
        <w:t>מהרש"א</w:t>
      </w:r>
      <w:r w:rsidRPr="00E14121">
        <w:rPr>
          <w:rFonts w:ascii="Narkisim" w:hAnsi="Narkisim"/>
          <w:rtl/>
        </w:rPr>
        <w:t xml:space="preserve"> הקשה דמשמע דלהך טעם ניחא, והא מ"מ במעשר נאסר מלאו דלא בערתי, ורק לענין קדשים לא ילפי' מיניה.</w:t>
      </w:r>
    </w:p>
    <w:p w14:paraId="3EC34C34" w14:textId="77777777" w:rsidR="00F64AED" w:rsidRPr="00E14121" w:rsidRDefault="00F64AED" w:rsidP="00F64AED">
      <w:pPr>
        <w:bidi/>
        <w:rPr>
          <w:rFonts w:ascii="Narkisim" w:hAnsi="Narkisim" w:cs="Narkisim"/>
        </w:rPr>
      </w:pPr>
      <w:r w:rsidRPr="00E14121">
        <w:rPr>
          <w:rFonts w:ascii="Narkisim" w:hAnsi="Narkisim" w:cs="Narkisim"/>
          <w:u w:val="single"/>
          <w:rtl/>
        </w:rPr>
        <w:t>תוד"ה אסור</w:t>
      </w:r>
      <w:r w:rsidRPr="00E14121">
        <w:rPr>
          <w:rFonts w:ascii="Narkisim" w:hAnsi="Narkisim" w:cs="Narkisim"/>
          <w:rtl/>
        </w:rPr>
        <w:t>. ומיהו בכולה שמעתין לא ילפי' תרומה מביכורים. צ”ב כוונת התוס' איזה דין באו ללמוד. ו</w:t>
      </w:r>
      <w:r w:rsidRPr="00E14121">
        <w:rPr>
          <w:rFonts w:ascii="Narkisim" w:hAnsi="Narkisim" w:cs="Narkisim"/>
          <w:b/>
          <w:bCs/>
          <w:rtl/>
        </w:rPr>
        <w:t>תוס'</w:t>
      </w:r>
      <w:r w:rsidRPr="00E14121">
        <w:rPr>
          <w:rFonts w:ascii="Narkisim" w:hAnsi="Narkisim" w:cs="Narkisim"/>
          <w:rtl/>
        </w:rPr>
        <w:t xml:space="preserve"> (בע”א טעונין הבאת מקום) נקטו דהוקשו זל”ז [בגמ' חולין קכ:], אלא </w:t>
      </w:r>
      <w:r w:rsidRPr="00E14121">
        <w:rPr>
          <w:rFonts w:ascii="Narkisim" w:hAnsi="Narkisim" w:cs="Narkisim"/>
          <w:rtl/>
        </w:rPr>
        <w:lastRenderedPageBreak/>
        <w:t>דלענין הבאת מקום ל”ש היקש</w:t>
      </w:r>
      <w:r w:rsidRPr="00E14121">
        <w:rPr>
          <w:rStyle w:val="ac"/>
          <w:rFonts w:ascii="Narkisim" w:hAnsi="Narkisim" w:cs="Narkisim"/>
          <w:rtl/>
        </w:rPr>
        <w:footnoteReference w:id="4481"/>
      </w:r>
      <w:r w:rsidRPr="00E14121">
        <w:rPr>
          <w:rFonts w:ascii="Narkisim" w:hAnsi="Narkisim" w:cs="Narkisim"/>
          <w:rtl/>
        </w:rPr>
        <w:t>. אך ה</w:t>
      </w:r>
      <w:r w:rsidRPr="00E14121">
        <w:rPr>
          <w:rFonts w:ascii="Narkisim" w:hAnsi="Narkisim" w:cs="Narkisim"/>
          <w:b/>
          <w:bCs/>
          <w:rtl/>
        </w:rPr>
        <w:t>ריטב"א</w:t>
      </w:r>
      <w:r w:rsidRPr="00E14121">
        <w:rPr>
          <w:rFonts w:ascii="Narkisim" w:hAnsi="Narkisim" w:cs="Narkisim"/>
          <w:rtl/>
        </w:rPr>
        <w:t xml:space="preserve"> הק' נילף לענין ביעור. והריטב"א דחה דלענין ביעור להדיא גלי קרא וגם נתתיו לכהן [דסגי בנתינה לכהן].</w:t>
      </w:r>
    </w:p>
    <w:p w14:paraId="654F31BE" w14:textId="77777777" w:rsidR="00F64AED" w:rsidRPr="00E14121" w:rsidRDefault="00F64AED" w:rsidP="00F64AED">
      <w:pPr>
        <w:pStyle w:val="a7"/>
        <w:bidi/>
        <w:rPr>
          <w:rFonts w:ascii="Narkisim" w:hAnsi="Narkisim"/>
        </w:rPr>
      </w:pPr>
      <w:r w:rsidRPr="00E14121">
        <w:rPr>
          <w:rFonts w:ascii="Narkisim" w:hAnsi="Narkisim"/>
          <w:rtl/>
        </w:rPr>
        <w:t>וצ"ב דכיון דביכורים הוקש לתרומה מ"ש דלא ילפי' מיניה. ו</w:t>
      </w:r>
      <w:r w:rsidRPr="00E14121">
        <w:rPr>
          <w:rFonts w:ascii="Narkisim" w:hAnsi="Narkisim"/>
          <w:b/>
          <w:bCs/>
          <w:rtl/>
        </w:rPr>
        <w:t>תוס</w:t>
      </w:r>
      <w:r w:rsidRPr="00E14121">
        <w:rPr>
          <w:rFonts w:ascii="Narkisim" w:hAnsi="Narkisim"/>
          <w:rtl/>
        </w:rPr>
        <w:t xml:space="preserve">' </w:t>
      </w:r>
      <w:r w:rsidRPr="00E14121">
        <w:rPr>
          <w:rFonts w:ascii="Narkisim" w:hAnsi="Narkisim"/>
          <w:szCs w:val="20"/>
          <w:rtl/>
        </w:rPr>
        <w:t>(מנחות טו. ד"ה לחם)</w:t>
      </w:r>
      <w:r w:rsidRPr="00E14121">
        <w:rPr>
          <w:rFonts w:ascii="Narkisim" w:hAnsi="Narkisim"/>
          <w:rtl/>
        </w:rPr>
        <w:t xml:space="preserve"> כת' דאע"ג דאיתקיש [דכתיב תרומת ידך אלו ביכורים], ביכורים איקרו תרומה, אבל תרומה לא איקרו ביכורים</w:t>
      </w:r>
      <w:r w:rsidRPr="00E14121">
        <w:rPr>
          <w:rStyle w:val="ac"/>
          <w:rFonts w:ascii="Narkisim" w:hAnsi="Narkisim"/>
          <w:rtl/>
        </w:rPr>
        <w:footnoteReference w:id="4482"/>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ביארו די"ל דאינה היקש, אלא דנתחדש דיש לביכורים דין תרומה ממש</w:t>
      </w:r>
      <w:r w:rsidRPr="00E14121">
        <w:rPr>
          <w:rStyle w:val="ac"/>
          <w:rFonts w:ascii="Narkisim" w:hAnsi="Narkisim"/>
          <w:rtl/>
        </w:rPr>
        <w:footnoteReference w:id="4483"/>
      </w:r>
      <w:r w:rsidRPr="00E14121">
        <w:rPr>
          <w:rFonts w:ascii="Narkisim" w:hAnsi="Narkisim"/>
          <w:rtl/>
        </w:rPr>
        <w:t>, אבל תרומה לא שייך לביכורים.</w:t>
      </w:r>
    </w:p>
    <w:p w14:paraId="2A343179"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(שם) כת' דהא דהוקשו תרומה לביכורים </w:t>
      </w:r>
      <w:r w:rsidRPr="00E14121">
        <w:rPr>
          <w:rFonts w:ascii="Narkisim" w:hAnsi="Narkisim"/>
          <w:szCs w:val="20"/>
          <w:rtl/>
        </w:rPr>
        <w:t>(חולין קכ: לענין משקה היוצא מהם)</w:t>
      </w:r>
      <w:r w:rsidRPr="00E14121">
        <w:rPr>
          <w:rFonts w:ascii="Narkisim" w:hAnsi="Narkisim"/>
          <w:rtl/>
        </w:rPr>
        <w:t>, הוה אסמכתא בעלמא. [אבל תוס' (בע"א) וה</w:t>
      </w:r>
      <w:r w:rsidRPr="00E14121">
        <w:rPr>
          <w:rFonts w:ascii="Narkisim" w:hAnsi="Narkisim"/>
          <w:b/>
          <w:bCs/>
          <w:rtl/>
        </w:rPr>
        <w:t>ריטב"א</w:t>
      </w:r>
      <w:r w:rsidRPr="00E14121">
        <w:rPr>
          <w:rFonts w:ascii="Narkisim" w:hAnsi="Narkisim"/>
          <w:rtl/>
        </w:rPr>
        <w:t xml:space="preserve"> נקטו דהוה היקש גמור].</w:t>
      </w:r>
    </w:p>
    <w:p w14:paraId="2F5AB491" w14:textId="77777777" w:rsidR="00F64AED" w:rsidRPr="00E14121" w:rsidRDefault="00F64AED" w:rsidP="00F64AED">
      <w:pPr>
        <w:pStyle w:val="aa"/>
        <w:bidi/>
        <w:rPr>
          <w:rFonts w:ascii="Narkisim" w:hAnsi="Narkisim"/>
        </w:rPr>
      </w:pPr>
      <w:r w:rsidRPr="00E14121">
        <w:rPr>
          <w:rFonts w:ascii="Narkisim" w:hAnsi="Narkisim"/>
          <w:u w:val="single"/>
          <w:rtl/>
        </w:rPr>
        <w:t>בא"ד דהיא גופיה נילף בק”ו.</w:t>
      </w:r>
      <w:r w:rsidRPr="00E14121">
        <w:rPr>
          <w:rFonts w:ascii="Narkisim" w:hAnsi="Narkisim"/>
          <w:rtl/>
        </w:rPr>
        <w:t xml:space="preserve"> וה</w:t>
      </w:r>
      <w:r w:rsidRPr="00E14121">
        <w:rPr>
          <w:rFonts w:ascii="Narkisim" w:hAnsi="Narkisim"/>
          <w:b/>
          <w:bCs/>
          <w:rtl/>
        </w:rPr>
        <w:t>תוס' הרא"ש</w:t>
      </w:r>
      <w:r w:rsidRPr="00E14121">
        <w:rPr>
          <w:rFonts w:ascii="Narkisim" w:hAnsi="Narkisim"/>
          <w:rtl/>
        </w:rPr>
        <w:t xml:space="preserve"> כתב דאף אי ילפי' ק"ו לא היה לוקה, דאין מזהירין מהדין.</w:t>
      </w:r>
    </w:p>
    <w:p w14:paraId="45CDEEB3" w14:textId="77777777" w:rsidR="00F64AED" w:rsidRPr="00E14121" w:rsidRDefault="00F64AED" w:rsidP="00F64AED">
      <w:pPr>
        <w:bidi/>
        <w:rPr>
          <w:rFonts w:ascii="Narkisim" w:hAnsi="Narkisim" w:cs="Narkisim"/>
        </w:rPr>
      </w:pPr>
      <w:r w:rsidRPr="00E14121">
        <w:rPr>
          <w:rFonts w:ascii="Narkisim" w:hAnsi="Narkisim" w:cs="Narkisim"/>
          <w:u w:val="single"/>
          <w:rtl/>
        </w:rPr>
        <w:t>משא"כ בתרומה, הא איסורא איכא וכו' לאו הבא מכלל עשה.</w:t>
      </w:r>
      <w:r w:rsidRPr="00E14121">
        <w:rPr>
          <w:rFonts w:ascii="Narkisim" w:hAnsi="Narkisim" w:cs="Narkisim"/>
          <w:rtl/>
        </w:rPr>
        <w:t xml:space="preserve"> והוה איסור עשה. וקשה מכאן על </w:t>
      </w:r>
      <w:r w:rsidRPr="00E14121">
        <w:rPr>
          <w:rFonts w:ascii="Narkisim" w:hAnsi="Narkisim" w:cs="Narkisim"/>
          <w:b/>
          <w:bCs/>
          <w:rtl/>
        </w:rPr>
        <w:t>רגמ"ה</w:t>
      </w:r>
      <w:r w:rsidRPr="00E14121">
        <w:rPr>
          <w:rFonts w:ascii="Narkisim" w:hAnsi="Narkisim" w:cs="Narkisim"/>
          <w:rtl/>
        </w:rPr>
        <w:t xml:space="preserve"> (חולין קיג:) שכתב דכהן שאכל תרומה טמאה, עובר בלאו דוהבשר אשר יגע בכל טמא לא יאכל. [והמגיה הקשה מסוגיין].</w:t>
      </w:r>
    </w:p>
    <w:p w14:paraId="084B2292"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(בכורות יב:, וכ"כ תוס' ע"ז סו: סוד"ה אביי) כת' דהאוכל חלה טמאה חייב מיתה. ו</w:t>
      </w:r>
      <w:r w:rsidRPr="00E14121">
        <w:rPr>
          <w:rFonts w:ascii="Narkisim" w:hAnsi="Narkisim"/>
          <w:b/>
          <w:bCs/>
          <w:rtl/>
        </w:rPr>
        <w:t>רע"א</w:t>
      </w:r>
      <w:r w:rsidRPr="00E14121">
        <w:rPr>
          <w:rFonts w:ascii="Narkisim" w:hAnsi="Narkisim"/>
          <w:rtl/>
        </w:rPr>
        <w:t xml:space="preserve"> (שם) תמה דחלה טמאה הוה רק עשה.</w:t>
      </w:r>
    </w:p>
    <w:p w14:paraId="4579F0D6"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(לקמן צ., וגיטין נד.) כת' דכהן טהור האוכל תרומה טמאה בעשה, וכהן טמא חייב מיתה בין תרומה טמאה ובין תרומה טהורה</w:t>
      </w:r>
      <w:r w:rsidRPr="00E14121">
        <w:rPr>
          <w:rStyle w:val="ac"/>
          <w:rFonts w:ascii="Narkisim" w:hAnsi="Narkisim"/>
          <w:rtl/>
        </w:rPr>
        <w:footnoteReference w:id="4484"/>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הק' דבגמ' (חולין קיג:) נתמעט להדיא כהן טמא בתרומה טמאה, דמחוללת ועומדת</w:t>
      </w:r>
      <w:r w:rsidRPr="00E14121">
        <w:rPr>
          <w:rStyle w:val="ac"/>
          <w:rFonts w:ascii="Narkisim" w:hAnsi="Narkisim"/>
          <w:rtl/>
        </w:rPr>
        <w:footnoteReference w:id="4485"/>
      </w:r>
      <w:r w:rsidRPr="00E14121">
        <w:rPr>
          <w:rFonts w:ascii="Narkisim" w:hAnsi="Narkisim"/>
          <w:rtl/>
        </w:rPr>
        <w:t>. [ופ</w:t>
      </w:r>
      <w:r w:rsidRPr="00E14121">
        <w:rPr>
          <w:rFonts w:ascii="Narkisim" w:hAnsi="Narkisim"/>
          <w:b/>
          <w:bCs/>
          <w:rtl/>
        </w:rPr>
        <w:t>רש"י</w:t>
      </w:r>
      <w:r w:rsidRPr="00E14121">
        <w:rPr>
          <w:rFonts w:ascii="Narkisim" w:hAnsi="Narkisim"/>
          <w:rtl/>
        </w:rPr>
        <w:t xml:space="preserve"> דקאי באיסור עשה, וכדאי' בסוגיין]. אך ה</w:t>
      </w:r>
      <w:r w:rsidRPr="00E14121">
        <w:rPr>
          <w:rFonts w:ascii="Narkisim" w:hAnsi="Narkisim"/>
          <w:b/>
          <w:bCs/>
          <w:rtl/>
        </w:rPr>
        <w:t>ר"ש</w:t>
      </w:r>
      <w:r w:rsidRPr="00E14121">
        <w:rPr>
          <w:rFonts w:ascii="Narkisim" w:hAnsi="Narkisim"/>
          <w:rtl/>
        </w:rPr>
        <w:t xml:space="preserve"> (פרה יא ג) כת' דהמשנה (פרה שם) פליג אהך ברייתא.</w:t>
      </w:r>
    </w:p>
    <w:p w14:paraId="72192B9D"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רמב"ם </w:t>
      </w:r>
      <w:r w:rsidRPr="00E14121">
        <w:rPr>
          <w:rFonts w:ascii="Narkisim" w:hAnsi="Narkisim" w:cs="Narkisim"/>
          <w:szCs w:val="20"/>
          <w:rtl/>
        </w:rPr>
        <w:t>(תרומות ז ג)</w:t>
      </w:r>
      <w:r w:rsidRPr="00E14121">
        <w:rPr>
          <w:rFonts w:ascii="Narkisim" w:hAnsi="Narkisim" w:cs="Narkisim"/>
          <w:rtl/>
        </w:rPr>
        <w:t xml:space="preserve"> דרש דכהן טהור שאכל תרומה טמאה בעשה, דכתיב ואחר יאכל מן הקדשים. וצ"ב אמאי נקט קרא אחר מסוגיין. </w:t>
      </w:r>
      <w:r w:rsidRPr="00E14121">
        <w:rPr>
          <w:rFonts w:ascii="Narkisim" w:hAnsi="Narkisim" w:cs="Narkisim"/>
          <w:szCs w:val="20"/>
          <w:rtl/>
        </w:rPr>
        <w:t>וה</w:t>
      </w:r>
      <w:r w:rsidRPr="00E14121">
        <w:rPr>
          <w:rFonts w:ascii="Narkisim" w:hAnsi="Narkisim" w:cs="Narkisim"/>
          <w:b/>
          <w:bCs/>
          <w:szCs w:val="20"/>
          <w:rtl/>
        </w:rPr>
        <w:t>מהר"י קורקוס</w:t>
      </w:r>
      <w:r w:rsidRPr="00E14121">
        <w:rPr>
          <w:rFonts w:ascii="Narkisim" w:hAnsi="Narkisim" w:cs="Narkisim"/>
          <w:szCs w:val="20"/>
          <w:rtl/>
        </w:rPr>
        <w:t xml:space="preserve"> כתב כיון דלענין דינא אין נפק"מ, מש"ה הרמב"ם הלימוד המתיישב יותר.</w:t>
      </w:r>
      <w:r w:rsidRPr="00E14121">
        <w:rPr>
          <w:rFonts w:ascii="Narkisim" w:hAnsi="Narkisim" w:cs="Narkisim"/>
          <w:rtl/>
        </w:rPr>
        <w:t xml:space="preserve"> </w:t>
      </w:r>
      <w:r w:rsidRPr="00E14121">
        <w:rPr>
          <w:rFonts w:ascii="Narkisim" w:hAnsi="Narkisim" w:cs="Narkisim"/>
          <w:sz w:val="20"/>
          <w:szCs w:val="20"/>
          <w:rtl/>
        </w:rPr>
        <w:t>ועי"ש מש"כ עוד.</w:t>
      </w:r>
    </w:p>
    <w:p w14:paraId="4AAB1920" w14:textId="77777777" w:rsidR="00F64AED" w:rsidRPr="00E14121" w:rsidRDefault="00F64AED" w:rsidP="00F64AED">
      <w:pPr>
        <w:pStyle w:val="3"/>
        <w:bidi/>
        <w:rPr>
          <w:rFonts w:ascii="Narkisim" w:hAnsi="Narkisim"/>
        </w:rPr>
      </w:pPr>
      <w:r w:rsidRPr="00E14121">
        <w:rPr>
          <w:rFonts w:ascii="Narkisim" w:hAnsi="Narkisim"/>
          <w:rtl/>
        </w:rPr>
        <w:t>דף עד.</w:t>
      </w:r>
    </w:p>
    <w:p w14:paraId="20EFBA77" w14:textId="77777777" w:rsidR="00F64AED" w:rsidRPr="00E14121" w:rsidRDefault="00F64AED" w:rsidP="00F64AED">
      <w:pPr>
        <w:bidi/>
        <w:rPr>
          <w:rFonts w:ascii="Narkisim" w:hAnsi="Narkisim" w:cs="Narkisim"/>
        </w:rPr>
      </w:pPr>
      <w:r w:rsidRPr="00E14121">
        <w:rPr>
          <w:rFonts w:ascii="Narkisim" w:hAnsi="Narkisim" w:cs="Narkisim"/>
          <w:u w:val="single"/>
          <w:rtl/>
        </w:rPr>
        <w:t>הרי זה אינו אוכל לא בתרומה ולא בפסח ולא בקדשים וכו'.</w:t>
      </w:r>
      <w:r w:rsidRPr="00E14121">
        <w:rPr>
          <w:rFonts w:ascii="Narkisim" w:hAnsi="Narkisim" w:cs="Narkisim"/>
          <w:rtl/>
        </w:rPr>
        <w:t xml:space="preserve"> דערל אסור אף באכילת כל הקדשים. ובפשוטו משמע דשאר קדשים דינם כמו פסח. </w:t>
      </w:r>
      <w:r w:rsidRPr="00E14121">
        <w:rPr>
          <w:rFonts w:ascii="Narkisim" w:hAnsi="Narkisim" w:cs="Narkisim"/>
          <w:sz w:val="20"/>
          <w:szCs w:val="20"/>
          <w:rtl/>
        </w:rPr>
        <w:t>וכ”כ ה</w:t>
      </w:r>
      <w:r w:rsidRPr="00E14121">
        <w:rPr>
          <w:rFonts w:ascii="Narkisim" w:hAnsi="Narkisim" w:cs="Narkisim"/>
          <w:b/>
          <w:bCs/>
          <w:sz w:val="20"/>
          <w:szCs w:val="20"/>
          <w:rtl/>
        </w:rPr>
        <w:t>מנח"ח</w:t>
      </w:r>
      <w:r w:rsidRPr="00E14121">
        <w:rPr>
          <w:rFonts w:ascii="Narkisim" w:hAnsi="Narkisim" w:cs="Narkisim"/>
          <w:sz w:val="20"/>
          <w:szCs w:val="20"/>
          <w:rtl/>
        </w:rPr>
        <w:t xml:space="preserve"> (יז ז) דשאר קדשים נלמדו מפסח.</w:t>
      </w:r>
      <w:r w:rsidRPr="00E14121">
        <w:rPr>
          <w:rFonts w:ascii="Narkisim" w:hAnsi="Narkisim" w:cs="Narkisim"/>
          <w:rtl/>
        </w:rPr>
        <w:t xml:space="preserve"> אבל ה</w:t>
      </w:r>
      <w:r w:rsidRPr="00E14121">
        <w:rPr>
          <w:rFonts w:ascii="Narkisim" w:hAnsi="Narkisim" w:cs="Narkisim"/>
          <w:b/>
          <w:bCs/>
          <w:rtl/>
        </w:rPr>
        <w:t>גרי"ז</w:t>
      </w:r>
      <w:r w:rsidRPr="00E14121">
        <w:rPr>
          <w:rFonts w:ascii="Narkisim" w:hAnsi="Narkisim" w:cs="Narkisim"/>
          <w:rtl/>
        </w:rPr>
        <w:t xml:space="preserve"> </w:t>
      </w:r>
      <w:r w:rsidRPr="00E14121">
        <w:rPr>
          <w:rFonts w:ascii="Narkisim" w:hAnsi="Narkisim" w:cs="Narkisim"/>
          <w:sz w:val="20"/>
          <w:szCs w:val="20"/>
          <w:rtl/>
        </w:rPr>
        <w:t xml:space="preserve">(הל' מאכ"א ב) </w:t>
      </w:r>
      <w:r w:rsidRPr="00E14121">
        <w:rPr>
          <w:rFonts w:ascii="Narkisim" w:hAnsi="Narkisim" w:cs="Narkisim"/>
          <w:rtl/>
        </w:rPr>
        <w:t>הביא דה</w:t>
      </w:r>
      <w:r w:rsidRPr="00E14121">
        <w:rPr>
          <w:rFonts w:ascii="Narkisim" w:hAnsi="Narkisim" w:cs="Narkisim"/>
          <w:b/>
          <w:bCs/>
          <w:rtl/>
        </w:rPr>
        <w:t>רמב"ם</w:t>
      </w:r>
      <w:r w:rsidRPr="00E14121">
        <w:rPr>
          <w:rFonts w:ascii="Narkisim" w:hAnsi="Narkisim" w:cs="Narkisim"/>
          <w:rtl/>
        </w:rPr>
        <w:t xml:space="preserve"> בסה"מ</w:t>
      </w:r>
      <w:r w:rsidRPr="00E14121">
        <w:rPr>
          <w:rFonts w:ascii="Narkisim" w:hAnsi="Narkisim" w:cs="Narkisim"/>
          <w:sz w:val="20"/>
          <w:szCs w:val="20"/>
          <w:rtl/>
        </w:rPr>
        <w:t xml:space="preserve"> (ל"ת קלה)</w:t>
      </w:r>
      <w:r w:rsidRPr="00E14121">
        <w:rPr>
          <w:rFonts w:ascii="Narkisim" w:hAnsi="Narkisim" w:cs="Narkisim"/>
          <w:rtl/>
        </w:rPr>
        <w:t xml:space="preserve"> משמע דערל אסור בקדשים נלמד מהא דאסור בתרומה</w:t>
      </w:r>
      <w:r w:rsidRPr="00E14121">
        <w:rPr>
          <w:rStyle w:val="ac"/>
          <w:rFonts w:ascii="Narkisim" w:hAnsi="Narkisim" w:cs="Narkisim"/>
          <w:rtl/>
        </w:rPr>
        <w:footnoteReference w:id="4486"/>
      </w:r>
      <w:r w:rsidRPr="00E14121">
        <w:rPr>
          <w:rFonts w:ascii="Narkisim" w:hAnsi="Narkisim" w:cs="Narkisim"/>
          <w:rtl/>
        </w:rPr>
        <w:t xml:space="preserve"> [דילפי' (לעיל ע.) מ'תושב ושכיר' דערל אסור בתרומה], ולא ילפי' מפסח</w:t>
      </w:r>
      <w:r w:rsidRPr="00E14121">
        <w:rPr>
          <w:rStyle w:val="ac"/>
          <w:rFonts w:ascii="Narkisim" w:hAnsi="Narkisim" w:cs="Narkisim"/>
          <w:rtl/>
        </w:rPr>
        <w:footnoteReference w:id="4487"/>
      </w:r>
      <w:r w:rsidRPr="00E14121">
        <w:rPr>
          <w:rFonts w:ascii="Narkisim" w:hAnsi="Narkisim" w:cs="Narkisim"/>
          <w:rtl/>
        </w:rPr>
        <w:t>.</w:t>
      </w:r>
    </w:p>
    <w:p w14:paraId="27D138E7" w14:textId="77777777" w:rsidR="00F64AED" w:rsidRPr="00E14121" w:rsidRDefault="00F64AED" w:rsidP="00F64AED">
      <w:pPr>
        <w:pStyle w:val="a7"/>
        <w:bidi/>
        <w:rPr>
          <w:rFonts w:ascii="Narkisim" w:hAnsi="Narkisim"/>
        </w:rPr>
      </w:pPr>
      <w:r w:rsidRPr="00E14121">
        <w:rPr>
          <w:rFonts w:ascii="Narkisim" w:hAnsi="Narkisim"/>
          <w:rtl/>
        </w:rPr>
        <w:t>והגרי"ז דייק דתרומה וקדשים הוה שם איסור שונה מהאיסור אכילה בקרבן פסח.</w:t>
      </w:r>
    </w:p>
    <w:p w14:paraId="2080CF4F" w14:textId="77777777" w:rsidR="00F64AED" w:rsidRPr="00E14121" w:rsidRDefault="00F64AED" w:rsidP="00F64AED">
      <w:pPr>
        <w:bidi/>
        <w:rPr>
          <w:rFonts w:ascii="Narkisim" w:hAnsi="Narkisim" w:cs="Narkisim"/>
        </w:rPr>
      </w:pPr>
      <w:r w:rsidRPr="00E14121">
        <w:rPr>
          <w:rFonts w:ascii="Narkisim" w:hAnsi="Narkisim" w:cs="Narkisim"/>
          <w:u w:val="single"/>
          <w:rtl/>
        </w:rPr>
        <w:t>תוד"ה אונן.</w:t>
      </w:r>
      <w:r w:rsidRPr="00E14121">
        <w:rPr>
          <w:rFonts w:ascii="Narkisim" w:hAnsi="Narkisim" w:cs="Narkisim"/>
          <w:rtl/>
        </w:rPr>
        <w:t xml:space="preserve"> דלא גרע מטבו"י. וכ"כ </w:t>
      </w:r>
      <w:r w:rsidRPr="00E14121">
        <w:rPr>
          <w:rFonts w:ascii="Narkisim" w:hAnsi="Narkisim" w:cs="Narkisim"/>
          <w:b/>
          <w:bCs/>
          <w:rtl/>
        </w:rPr>
        <w:t>תוס</w:t>
      </w:r>
      <w:r w:rsidRPr="00E14121">
        <w:rPr>
          <w:rFonts w:ascii="Narkisim" w:hAnsi="Narkisim" w:cs="Narkisim"/>
          <w:rtl/>
        </w:rPr>
        <w:t xml:space="preserve">' (זבחים יז: ד"ה שריפת) דילפי' להכשיר אונן ומחו"כ ק"ו מטבו”י. משמע דהוה ילפותא להכשיר. </w:t>
      </w:r>
      <w:r w:rsidRPr="00E14121">
        <w:rPr>
          <w:rFonts w:ascii="Narkisim" w:hAnsi="Narkisim" w:cs="Narkisim"/>
          <w:sz w:val="20"/>
          <w:szCs w:val="20"/>
          <w:rtl/>
        </w:rPr>
        <w:t>וה</w:t>
      </w:r>
      <w:r w:rsidRPr="00E14121">
        <w:rPr>
          <w:rFonts w:ascii="Narkisim" w:hAnsi="Narkisim" w:cs="Narkisim"/>
          <w:b/>
          <w:bCs/>
          <w:sz w:val="20"/>
          <w:szCs w:val="20"/>
          <w:rtl/>
        </w:rPr>
        <w:t>חזו"א</w:t>
      </w:r>
      <w:r w:rsidRPr="00E14121">
        <w:rPr>
          <w:rFonts w:ascii="Narkisim" w:hAnsi="Narkisim" w:cs="Narkisim"/>
          <w:sz w:val="20"/>
          <w:szCs w:val="20"/>
          <w:rtl/>
        </w:rPr>
        <w:t xml:space="preserve"> (פרה ח ח) הקשה על הק"ו, דהא ערלה מפסדת כהונתו יותר מטבו"י, והרי מחוסר בגדים פסול לשריפת פרה, ואף דאינו מטמא. וה</w:t>
      </w:r>
      <w:r w:rsidRPr="00E14121">
        <w:rPr>
          <w:rFonts w:ascii="Narkisim" w:hAnsi="Narkisim" w:cs="Narkisim"/>
          <w:b/>
          <w:bCs/>
          <w:sz w:val="20"/>
          <w:szCs w:val="20"/>
          <w:rtl/>
        </w:rPr>
        <w:t>חזו"א</w:t>
      </w:r>
      <w:r w:rsidRPr="00E14121">
        <w:rPr>
          <w:rFonts w:ascii="Narkisim" w:hAnsi="Narkisim" w:cs="Narkisim"/>
          <w:sz w:val="20"/>
          <w:szCs w:val="20"/>
          <w:rtl/>
        </w:rPr>
        <w:t xml:space="preserve"> כתב דלכאורה י"ל דלא הוכשר ערל אלא להזאה וקידוש דפרה, דלא בעי כהונה. אבל לשריפה דבעי כהונה ובגדי כהונה ורחיצת ידים ורגלים, ה"ה דל"מ ערל. אבל בתוס' מבואר דלא כן.</w:t>
      </w:r>
    </w:p>
    <w:p w14:paraId="089DD7EE" w14:textId="77777777" w:rsidR="00F64AED" w:rsidRPr="00E14121" w:rsidRDefault="00F64AED" w:rsidP="00F64AED">
      <w:pPr>
        <w:pStyle w:val="a7"/>
        <w:bidi/>
        <w:rPr>
          <w:rFonts w:ascii="Narkisim" w:hAnsi="Narkisim"/>
        </w:rPr>
      </w:pPr>
      <w:r w:rsidRPr="00E14121">
        <w:rPr>
          <w:rFonts w:ascii="Narkisim" w:hAnsi="Narkisim"/>
          <w:rtl/>
        </w:rPr>
        <w:t xml:space="preserve">אבל דעת </w:t>
      </w:r>
      <w:r w:rsidRPr="00E14121">
        <w:rPr>
          <w:rFonts w:ascii="Narkisim" w:hAnsi="Narkisim"/>
          <w:b/>
          <w:bCs/>
          <w:rtl/>
        </w:rPr>
        <w:t>רש"י</w:t>
      </w:r>
      <w:r w:rsidRPr="00E14121">
        <w:rPr>
          <w:rFonts w:ascii="Narkisim" w:hAnsi="Narkisim"/>
          <w:rtl/>
        </w:rPr>
        <w:t xml:space="preserve"> (כאן ושם) דפרה בדק הבית ולא נתחדש בו שאר פסולים [משמע דל"צ ילפותא להכשיר]. ו</w:t>
      </w:r>
      <w:r w:rsidRPr="00E14121">
        <w:rPr>
          <w:rFonts w:ascii="Narkisim" w:hAnsi="Narkisim"/>
          <w:b/>
          <w:bCs/>
          <w:rtl/>
        </w:rPr>
        <w:t>תוס</w:t>
      </w:r>
      <w:r w:rsidRPr="00E14121">
        <w:rPr>
          <w:rFonts w:ascii="Narkisim" w:hAnsi="Narkisim"/>
          <w:rtl/>
        </w:rPr>
        <w:t>' (שם) הקשו דמ"מ אית בה כל פסולי קרבן, כגון שלא לשמה. וה</w:t>
      </w:r>
      <w:r w:rsidRPr="00E14121">
        <w:rPr>
          <w:rFonts w:ascii="Narkisim" w:hAnsi="Narkisim"/>
          <w:b/>
          <w:bCs/>
          <w:rtl/>
        </w:rPr>
        <w:t>מנח"ח</w:t>
      </w:r>
      <w:r w:rsidRPr="00E14121">
        <w:rPr>
          <w:rFonts w:ascii="Narkisim" w:hAnsi="Narkisim"/>
          <w:rtl/>
        </w:rPr>
        <w:t xml:space="preserve"> (שצז טו) הביא מזה דשאר פסולי עבודה פסולים בפרה, דילפי' דחטאת קרייה רחמנא [וכמ"ש תוס', </w:t>
      </w:r>
      <w:r w:rsidRPr="00E14121">
        <w:rPr>
          <w:rFonts w:ascii="Narkisim" w:hAnsi="Narkisim"/>
          <w:rtl/>
        </w:rPr>
        <w:lastRenderedPageBreak/>
        <w:t xml:space="preserve">ועי"ש בחזו"א]. </w:t>
      </w:r>
      <w:r w:rsidRPr="00E14121">
        <w:rPr>
          <w:rFonts w:ascii="Narkisim" w:hAnsi="Narkisim"/>
          <w:sz w:val="20"/>
          <w:szCs w:val="20"/>
          <w:rtl/>
        </w:rPr>
        <w:t>אבל ה</w:t>
      </w:r>
      <w:r w:rsidRPr="00E14121">
        <w:rPr>
          <w:rFonts w:ascii="Narkisim" w:hAnsi="Narkisim"/>
          <w:b/>
          <w:bCs/>
          <w:sz w:val="20"/>
          <w:szCs w:val="20"/>
          <w:rtl/>
        </w:rPr>
        <w:t>מנח"ח</w:t>
      </w:r>
      <w:r w:rsidRPr="00E14121">
        <w:rPr>
          <w:rFonts w:ascii="Narkisim" w:hAnsi="Narkisim"/>
          <w:sz w:val="20"/>
          <w:szCs w:val="20"/>
          <w:rtl/>
        </w:rPr>
        <w:t xml:space="preserve"> (רעה יא) דן דכהן בעל מום יהא כשר בשריפת פרה.</w:t>
      </w:r>
    </w:p>
    <w:p w14:paraId="2A716ADA" w14:textId="77777777" w:rsidR="00F64AED" w:rsidRPr="00E14121" w:rsidRDefault="00F64AED" w:rsidP="00F64AED">
      <w:pPr>
        <w:pStyle w:val="aa"/>
        <w:bidi/>
        <w:rPr>
          <w:rFonts w:ascii="Narkisim" w:hAnsi="Narkisim"/>
        </w:rPr>
      </w:pPr>
      <w:r w:rsidRPr="00E14121">
        <w:rPr>
          <w:rFonts w:ascii="Narkisim" w:hAnsi="Narkisim"/>
          <w:u w:val="single"/>
          <w:rtl/>
        </w:rPr>
        <w:t>בא"ד אבל לנגיעה תרוייהו שרי.</w:t>
      </w:r>
      <w:r w:rsidRPr="00E14121">
        <w:rPr>
          <w:rFonts w:ascii="Narkisim" w:hAnsi="Narkisim"/>
          <w:rtl/>
        </w:rPr>
        <w:t xml:space="preserve"> וה</w:t>
      </w:r>
      <w:r w:rsidRPr="00E14121">
        <w:rPr>
          <w:rFonts w:ascii="Narkisim" w:hAnsi="Narkisim"/>
          <w:b/>
          <w:bCs/>
          <w:rtl/>
        </w:rPr>
        <w:t>מהרש"א</w:t>
      </w:r>
      <w:r w:rsidRPr="00E14121">
        <w:rPr>
          <w:rFonts w:ascii="Narkisim" w:hAnsi="Narkisim"/>
          <w:rtl/>
        </w:rPr>
        <w:t xml:space="preserve"> כתב דלפ”ז [למאי דמסקינן] דאף ערל אסור במעשר [לר' עקיבא] ע"כ מטמא תרומה וקדשים [וכמ"ש רש"י עב:]. [וע' בסמוך דעת הרמב"ם בזה].</w:t>
      </w:r>
    </w:p>
    <w:p w14:paraId="5C1CF92C" w14:textId="77777777" w:rsidR="00F64AED" w:rsidRPr="00E14121" w:rsidRDefault="00F64AED" w:rsidP="00F64AED">
      <w:pPr>
        <w:bidi/>
        <w:rPr>
          <w:rFonts w:ascii="Narkisim" w:hAnsi="Narkisim" w:cs="Narkisim"/>
        </w:rPr>
      </w:pPr>
      <w:r w:rsidRPr="00E14121">
        <w:rPr>
          <w:rFonts w:ascii="Narkisim" w:hAnsi="Narkisim" w:cs="Narkisim"/>
          <w:u w:val="single"/>
          <w:rtl/>
        </w:rPr>
        <w:t>ת"ש אונן אסור במעשר וכו' ואם איתא נתני ערל וכו'.</w:t>
      </w:r>
      <w:r w:rsidRPr="00E14121">
        <w:rPr>
          <w:rFonts w:ascii="Narkisim" w:hAnsi="Narkisim" w:cs="Narkisim"/>
          <w:rtl/>
        </w:rPr>
        <w:t xml:space="preserve"> ב</w:t>
      </w:r>
      <w:r w:rsidRPr="00E14121">
        <w:rPr>
          <w:rFonts w:ascii="Narkisim" w:hAnsi="Narkisim" w:cs="Narkisim"/>
          <w:b/>
          <w:bCs/>
          <w:rtl/>
        </w:rPr>
        <w:t xml:space="preserve">תוס' ר"פ </w:t>
      </w:r>
      <w:r w:rsidRPr="00E14121">
        <w:rPr>
          <w:rFonts w:ascii="Narkisim" w:hAnsi="Narkisim" w:cs="Narkisim"/>
          <w:rtl/>
        </w:rPr>
        <w:t>כתב דאין לומר דאיירי במעשר ראשון, וכר' מאיר. דמעשר ראשון מותר לאונן [אף לר' מאיר].</w:t>
      </w:r>
    </w:p>
    <w:p w14:paraId="5E8FEDDD" w14:textId="77777777" w:rsidR="00F64AED" w:rsidRPr="00E14121" w:rsidRDefault="00F64AED" w:rsidP="00F64AED">
      <w:pPr>
        <w:bidi/>
        <w:rPr>
          <w:rFonts w:ascii="Narkisim" w:hAnsi="Narkisim" w:cs="Narkisim"/>
        </w:rPr>
      </w:pPr>
      <w:r w:rsidRPr="00E14121">
        <w:rPr>
          <w:rFonts w:ascii="Narkisim" w:hAnsi="Narkisim" w:cs="Narkisim"/>
          <w:u w:val="single"/>
          <w:rtl/>
        </w:rPr>
        <w:t>מחוסר כיפורים כשירה, רבי יוסף הבבלי אומר וכו' פסולה.</w:t>
      </w:r>
      <w:r w:rsidRPr="00E14121">
        <w:rPr>
          <w:rFonts w:ascii="Narkisim" w:hAnsi="Narkisim" w:cs="Narkisim"/>
          <w:rtl/>
        </w:rPr>
        <w:t xml:space="preserve"> בג</w:t>
      </w:r>
      <w:r w:rsidRPr="00E14121">
        <w:rPr>
          <w:rFonts w:ascii="Narkisim" w:hAnsi="Narkisim" w:cs="Narkisim"/>
          <w:b/>
          <w:bCs/>
          <w:rtl/>
        </w:rPr>
        <w:t>מ'</w:t>
      </w:r>
      <w:r w:rsidRPr="00E14121">
        <w:rPr>
          <w:rFonts w:ascii="Narkisim" w:hAnsi="Narkisim" w:cs="Narkisim"/>
          <w:rtl/>
        </w:rPr>
        <w:t xml:space="preserve"> (זבחים יז:) מבואר דנח' האם מחוסר כיפורים דזב כזב דמי </w:t>
      </w:r>
      <w:r w:rsidRPr="00E14121">
        <w:rPr>
          <w:rFonts w:ascii="Narkisim" w:hAnsi="Narkisim" w:cs="Narkisim"/>
          <w:sz w:val="20"/>
          <w:szCs w:val="20"/>
          <w:rtl/>
        </w:rPr>
        <w:t>[פ</w:t>
      </w:r>
      <w:r w:rsidRPr="00E14121">
        <w:rPr>
          <w:rFonts w:ascii="Narkisim" w:hAnsi="Narkisim" w:cs="Narkisim"/>
          <w:b/>
          <w:bCs/>
          <w:sz w:val="20"/>
          <w:szCs w:val="20"/>
          <w:rtl/>
        </w:rPr>
        <w:t>רש”י</w:t>
      </w:r>
      <w:r w:rsidRPr="00E14121">
        <w:rPr>
          <w:rFonts w:ascii="Narkisim" w:hAnsi="Narkisim" w:cs="Narkisim"/>
          <w:sz w:val="20"/>
          <w:szCs w:val="20"/>
          <w:rtl/>
        </w:rPr>
        <w:t xml:space="preserve"> וכאילו לא טבל, וחייב כרת והוה אב הטומאה ומונין בו ראשון ושני (וע”ע בע”ב). ו</w:t>
      </w:r>
      <w:r w:rsidRPr="00E14121">
        <w:rPr>
          <w:rFonts w:ascii="Narkisim" w:hAnsi="Narkisim" w:cs="Narkisim"/>
          <w:b/>
          <w:bCs/>
          <w:sz w:val="20"/>
          <w:szCs w:val="20"/>
          <w:rtl/>
        </w:rPr>
        <w:t>תוס</w:t>
      </w:r>
      <w:r w:rsidRPr="00E14121">
        <w:rPr>
          <w:rFonts w:ascii="Narkisim" w:hAnsi="Narkisim" w:cs="Narkisim"/>
          <w:sz w:val="20"/>
          <w:szCs w:val="20"/>
          <w:rtl/>
        </w:rPr>
        <w:t xml:space="preserve">' חלקו דרק להחשב טומאה יוצאת מגופו, ונפק”מ לפסח הבא בטומאה, וכ”כ </w:t>
      </w:r>
      <w:r w:rsidRPr="00E14121">
        <w:rPr>
          <w:rFonts w:ascii="Narkisim" w:hAnsi="Narkisim" w:cs="Narkisim"/>
          <w:b/>
          <w:bCs/>
          <w:sz w:val="20"/>
          <w:szCs w:val="20"/>
          <w:rtl/>
        </w:rPr>
        <w:t>תוס</w:t>
      </w:r>
      <w:r w:rsidRPr="00E14121">
        <w:rPr>
          <w:rFonts w:ascii="Narkisim" w:hAnsi="Narkisim" w:cs="Narkisim"/>
          <w:sz w:val="20"/>
          <w:szCs w:val="20"/>
          <w:rtl/>
        </w:rPr>
        <w:t>' (לעיל ז:)</w:t>
      </w:r>
      <w:r w:rsidRPr="00E14121">
        <w:rPr>
          <w:rFonts w:ascii="Narkisim" w:hAnsi="Narkisim" w:cs="Narkisim"/>
          <w:rtl/>
        </w:rPr>
        <w:t>]. והגמ' דוחה דאף אם טבו"י דזב כזב, נח' האם ילפי' מק"ו מטבו"י, או דחמיר דטומאה יוצאת מגופו.</w:t>
      </w:r>
    </w:p>
    <w:p w14:paraId="52A5322B"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(פרה ד יד) פסק דשריפת אונן או מחוסר כיפורים</w:t>
      </w:r>
      <w:r w:rsidRPr="00E14121">
        <w:rPr>
          <w:rStyle w:val="ac"/>
          <w:rFonts w:ascii="Narkisim" w:hAnsi="Narkisim"/>
          <w:rtl/>
        </w:rPr>
        <w:footnoteReference w:id="4488"/>
      </w:r>
      <w:r w:rsidRPr="00E14121">
        <w:rPr>
          <w:rFonts w:ascii="Narkisim" w:hAnsi="Narkisim"/>
          <w:rtl/>
        </w:rPr>
        <w:t xml:space="preserve"> כשר</w:t>
      </w:r>
      <w:r w:rsidRPr="00E14121">
        <w:rPr>
          <w:rStyle w:val="ac"/>
          <w:rFonts w:ascii="Narkisim" w:hAnsi="Narkisim"/>
          <w:rtl/>
        </w:rPr>
        <w:footnoteReference w:id="4489"/>
      </w:r>
      <w:r w:rsidRPr="00E14121">
        <w:rPr>
          <w:rFonts w:ascii="Narkisim" w:hAnsi="Narkisim"/>
          <w:rtl/>
        </w:rPr>
        <w:t>.</w:t>
      </w:r>
    </w:p>
    <w:p w14:paraId="26827144" w14:textId="77777777" w:rsidR="00F64AED" w:rsidRPr="00E14121" w:rsidRDefault="00F64AED" w:rsidP="00F64AED">
      <w:pPr>
        <w:bidi/>
        <w:rPr>
          <w:rFonts w:ascii="Narkisim" w:hAnsi="Narkisim" w:cs="Narkisim"/>
        </w:rPr>
      </w:pPr>
      <w:r w:rsidRPr="00E14121">
        <w:rPr>
          <w:rFonts w:ascii="Narkisim" w:hAnsi="Narkisim" w:cs="Narkisim"/>
          <w:u w:val="single"/>
          <w:rtl/>
        </w:rPr>
        <w:t>תוד"ה הכי גריס בקו'.</w:t>
      </w:r>
      <w:r w:rsidRPr="00E14121">
        <w:rPr>
          <w:rFonts w:ascii="Narkisim" w:hAnsi="Narkisim" w:cs="Narkisim"/>
          <w:rtl/>
        </w:rPr>
        <w:t xml:space="preserve"> מדפליג במחוסר כיפורים ה"ה בערל, וקשה לר"י מה ענין זה אצל זה. וה</w:t>
      </w:r>
      <w:r w:rsidRPr="00E14121">
        <w:rPr>
          <w:rFonts w:ascii="Narkisim" w:hAnsi="Narkisim" w:cs="Narkisim"/>
          <w:b/>
          <w:bCs/>
          <w:rtl/>
        </w:rPr>
        <w:t>ריטב"א</w:t>
      </w:r>
      <w:r w:rsidRPr="00E14121">
        <w:rPr>
          <w:rFonts w:ascii="Narkisim" w:hAnsi="Narkisim" w:cs="Narkisim"/>
          <w:rtl/>
        </w:rPr>
        <w:t xml:space="preserve"> הוסיף דהא מחוסר כיפורים מותר בתרומה, וערל אסור בו. </w:t>
      </w:r>
      <w:r w:rsidRPr="00E14121">
        <w:rPr>
          <w:rFonts w:ascii="Narkisim" w:hAnsi="Narkisim" w:cs="Narkisim"/>
          <w:sz w:val="20"/>
          <w:szCs w:val="20"/>
          <w:rtl/>
        </w:rPr>
        <w:t>ועוד הקשה ה</w:t>
      </w:r>
      <w:r w:rsidRPr="00E14121">
        <w:rPr>
          <w:rFonts w:ascii="Narkisim" w:hAnsi="Narkisim" w:cs="Narkisim"/>
          <w:b/>
          <w:bCs/>
          <w:sz w:val="20"/>
          <w:szCs w:val="20"/>
          <w:rtl/>
        </w:rPr>
        <w:t>רשב”א</w:t>
      </w:r>
      <w:r w:rsidRPr="00E14121">
        <w:rPr>
          <w:rFonts w:ascii="Narkisim" w:hAnsi="Narkisim" w:cs="Narkisim"/>
          <w:sz w:val="20"/>
          <w:szCs w:val="20"/>
          <w:rtl/>
        </w:rPr>
        <w:t xml:space="preserve"> אמאי לא הביאו ברייתא זו לעיל עב: גבי ערל בהזאה.</w:t>
      </w:r>
    </w:p>
    <w:p w14:paraId="754008C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גרסו [בשם </w:t>
      </w:r>
      <w:r w:rsidRPr="00E14121">
        <w:rPr>
          <w:rFonts w:ascii="Narkisim" w:hAnsi="Narkisim"/>
          <w:b/>
          <w:bCs/>
          <w:rtl/>
        </w:rPr>
        <w:t>ר"ח</w:t>
      </w:r>
      <w:r w:rsidRPr="00E14121">
        <w:rPr>
          <w:rFonts w:ascii="Narkisim" w:hAnsi="Narkisim"/>
          <w:rtl/>
        </w:rPr>
        <w:t>] מאן תנא דפליג אר' עקיבא, דאמר מחוסר כיפורים אסור בפרה, ת”ק דיוסף הבבלי. וה</w:t>
      </w:r>
      <w:r w:rsidRPr="00E14121">
        <w:rPr>
          <w:rFonts w:ascii="Narkisim" w:hAnsi="Narkisim"/>
          <w:b/>
          <w:bCs/>
          <w:rtl/>
        </w:rPr>
        <w:t>גר"א</w:t>
      </w:r>
      <w:r w:rsidRPr="00E14121">
        <w:rPr>
          <w:rFonts w:ascii="Narkisim" w:hAnsi="Narkisim"/>
          <w:rtl/>
        </w:rPr>
        <w:t xml:space="preserve"> גריס מאן תנא, ותו לא. וניחא טפי עד"ז.</w:t>
      </w:r>
    </w:p>
    <w:p w14:paraId="349DBAA5" w14:textId="77777777" w:rsidR="00F64AED" w:rsidRPr="00E14121" w:rsidRDefault="00F64AED" w:rsidP="00F64AED">
      <w:pPr>
        <w:bidi/>
        <w:rPr>
          <w:rFonts w:ascii="Narkisim" w:hAnsi="Narkisim" w:cs="Narkisim"/>
        </w:rPr>
      </w:pPr>
      <w:r w:rsidRPr="00E14121">
        <w:rPr>
          <w:rFonts w:ascii="Narkisim" w:hAnsi="Narkisim" w:cs="Narkisim"/>
          <w:u w:val="single"/>
          <w:rtl/>
        </w:rPr>
        <w:t>ואף ר' יצחק סבר ערל אסור במעשר וכו' נאמר ממנו במעשר.</w:t>
      </w:r>
      <w:r w:rsidRPr="00E14121">
        <w:rPr>
          <w:rFonts w:ascii="Narkisim" w:hAnsi="Narkisim" w:cs="Narkisim"/>
          <w:rtl/>
        </w:rPr>
        <w:t xml:space="preserve"> ה</w:t>
      </w:r>
      <w:r w:rsidRPr="00E14121">
        <w:rPr>
          <w:rFonts w:ascii="Narkisim" w:hAnsi="Narkisim" w:cs="Narkisim"/>
          <w:b/>
          <w:bCs/>
          <w:rtl/>
        </w:rPr>
        <w:t>רמב"ם</w:t>
      </w:r>
      <w:r w:rsidRPr="00E14121">
        <w:rPr>
          <w:rFonts w:ascii="Narkisim" w:hAnsi="Narkisim" w:cs="Narkisim"/>
          <w:rtl/>
        </w:rPr>
        <w:t xml:space="preserve"> (מעש"ש ג ד) פסק דערל אסור במעשר, דהערל כטמא. ואם אכל מעש"ש לוקה מה"ת כדרך דלוקה על אכילת תרומה. וה</w:t>
      </w:r>
      <w:r w:rsidRPr="00E14121">
        <w:rPr>
          <w:rFonts w:ascii="Narkisim" w:hAnsi="Narkisim" w:cs="Narkisim"/>
          <w:b/>
          <w:bCs/>
          <w:rtl/>
        </w:rPr>
        <w:t>מהרש"א</w:t>
      </w:r>
      <w:r w:rsidRPr="00E14121">
        <w:rPr>
          <w:rFonts w:ascii="Narkisim" w:hAnsi="Narkisim" w:cs="Narkisim"/>
          <w:rtl/>
        </w:rPr>
        <w:t xml:space="preserve"> (על תוד"ה אונן) בתחילת דבריו כתב דפסק כן ע"פ ברייתא דר' יצחק, דדרשי' 'ממנו'. </w:t>
      </w:r>
      <w:r w:rsidRPr="00E14121">
        <w:rPr>
          <w:rFonts w:ascii="Narkisim" w:hAnsi="Narkisim" w:cs="Narkisim"/>
          <w:sz w:val="20"/>
          <w:szCs w:val="20"/>
          <w:rtl/>
        </w:rPr>
        <w:t>[וה</w:t>
      </w:r>
      <w:r w:rsidRPr="00E14121">
        <w:rPr>
          <w:rFonts w:ascii="Narkisim" w:hAnsi="Narkisim" w:cs="Narkisim"/>
          <w:b/>
          <w:bCs/>
          <w:sz w:val="20"/>
          <w:szCs w:val="20"/>
          <w:rtl/>
        </w:rPr>
        <w:t>מהר"י קורקוס</w:t>
      </w:r>
      <w:r w:rsidRPr="00E14121">
        <w:rPr>
          <w:rFonts w:ascii="Narkisim" w:hAnsi="Narkisim" w:cs="Narkisim"/>
          <w:sz w:val="20"/>
          <w:szCs w:val="20"/>
          <w:rtl/>
        </w:rPr>
        <w:t xml:space="preserve"> כתב דאע"ג דאסיקנא דדרשי' 'ממנו', דרך רבינו לתפוס הדרשא הפשוטה].</w:t>
      </w:r>
    </w:p>
    <w:p w14:paraId="220E2BA1"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מהרש"א</w:t>
      </w:r>
      <w:r w:rsidRPr="00E14121">
        <w:rPr>
          <w:rFonts w:ascii="Narkisim" w:hAnsi="Narkisim"/>
          <w:rtl/>
        </w:rPr>
        <w:t xml:space="preserve"> כת' דפשטות לשון הרמב"ם כר' עקיבא דהערל כטמא</w:t>
      </w:r>
      <w:r w:rsidRPr="00E14121">
        <w:rPr>
          <w:rStyle w:val="ac"/>
          <w:rFonts w:ascii="Narkisim" w:hAnsi="Narkisim"/>
          <w:rtl/>
        </w:rPr>
        <w:footnoteReference w:id="4490"/>
      </w:r>
      <w:r w:rsidRPr="00E14121">
        <w:rPr>
          <w:rFonts w:ascii="Narkisim" w:hAnsi="Narkisim"/>
          <w:rtl/>
        </w:rPr>
        <w:t>. וה</w:t>
      </w:r>
      <w:r w:rsidRPr="00E14121">
        <w:rPr>
          <w:rFonts w:ascii="Narkisim" w:hAnsi="Narkisim"/>
          <w:b/>
          <w:bCs/>
          <w:rtl/>
        </w:rPr>
        <w:t>מהרש"א</w:t>
      </w:r>
      <w:r w:rsidRPr="00E14121">
        <w:rPr>
          <w:rFonts w:ascii="Narkisim" w:hAnsi="Narkisim"/>
          <w:rtl/>
        </w:rPr>
        <w:t xml:space="preserve"> הקשה דגבי הזאה פסק ה</w:t>
      </w:r>
      <w:r w:rsidRPr="00E14121">
        <w:rPr>
          <w:rFonts w:ascii="Narkisim" w:hAnsi="Narkisim"/>
          <w:b/>
          <w:bCs/>
          <w:rtl/>
        </w:rPr>
        <w:t>רמב"ם</w:t>
      </w:r>
      <w:r w:rsidRPr="00E14121">
        <w:rPr>
          <w:rFonts w:ascii="Narkisim" w:hAnsi="Narkisim"/>
          <w:rtl/>
        </w:rPr>
        <w:t xml:space="preserve"> (פרה י ו) דהערל כשר להזות 'שאין הערל טמא'</w:t>
      </w:r>
      <w:r w:rsidRPr="00E14121">
        <w:rPr>
          <w:rStyle w:val="ac"/>
          <w:rFonts w:ascii="Narkisim" w:hAnsi="Narkisim"/>
          <w:rtl/>
        </w:rPr>
        <w:footnoteReference w:id="4491"/>
      </w:r>
      <w:r w:rsidRPr="00E14121">
        <w:rPr>
          <w:rFonts w:ascii="Narkisim" w:hAnsi="Narkisim"/>
          <w:rtl/>
        </w:rPr>
        <w:t xml:space="preserve">. ותי' דאע"ג דערל כטמא כשר בהזאה, מק"ו דטבול יום </w:t>
      </w:r>
      <w:r w:rsidRPr="00E14121">
        <w:rPr>
          <w:rFonts w:ascii="Narkisim" w:hAnsi="Narkisim"/>
          <w:sz w:val="20"/>
          <w:szCs w:val="20"/>
          <w:rtl/>
        </w:rPr>
        <w:t>[ע"ד מש”כ תוד"ה אונן]</w:t>
      </w:r>
      <w:r w:rsidRPr="00E14121">
        <w:rPr>
          <w:rFonts w:ascii="Narkisim" w:hAnsi="Narkisim"/>
          <w:rtl/>
        </w:rPr>
        <w:t>. וה</w:t>
      </w:r>
      <w:r w:rsidRPr="00E14121">
        <w:rPr>
          <w:rFonts w:ascii="Narkisim" w:hAnsi="Narkisim"/>
          <w:b/>
          <w:bCs/>
          <w:rtl/>
        </w:rPr>
        <w:t>קרנ"ר</w:t>
      </w:r>
      <w:r w:rsidRPr="00E14121">
        <w:rPr>
          <w:rFonts w:ascii="Narkisim" w:hAnsi="Narkisim"/>
          <w:rtl/>
        </w:rPr>
        <w:t xml:space="preserve"> הקשה דבגמ' (לעיל עב:) אי' להדיא דלמ”ד ערל כטמא אסור בפרה.</w:t>
      </w:r>
    </w:p>
    <w:p w14:paraId="14AC713E"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 xml:space="preserve">גרי”ז </w:t>
      </w:r>
      <w:r w:rsidRPr="00E14121">
        <w:rPr>
          <w:rFonts w:ascii="Narkisim" w:hAnsi="Narkisim"/>
          <w:rtl/>
        </w:rPr>
        <w:t>(הל' פרה) יישב דנח' בזה רבא ורב יוסף (שם), האם 'ערל כטמא' נחשב טומאה לנגיעה לטמא אחרים, או דהוה רק פסול טומאה.</w:t>
      </w:r>
    </w:p>
    <w:p w14:paraId="36812261"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ביאר דהרמב"ם פסק דערל כטמא, היינו דיש לו פסול טומאה, אבל אינו טמא ממש לענין נגיעה. ודייק בזה בזה לשון הרמב"ם לענין פרה, דאע"ג דהערל 'כ'טמא לכמה דינים, הוא עצמו אינו טמא. ובפרה לא תליא בפסול טומאה, אלא דין טומאה ממש [וע' מש”כ בזה לעיל עב:].</w:t>
      </w:r>
    </w:p>
    <w:p w14:paraId="1310A853" w14:textId="77777777" w:rsidR="00F64AED" w:rsidRPr="00E14121" w:rsidRDefault="00F64AED" w:rsidP="00F64AED">
      <w:pPr>
        <w:pStyle w:val="aa"/>
        <w:bidi/>
        <w:rPr>
          <w:rFonts w:ascii="Narkisim" w:hAnsi="Narkisim"/>
        </w:rPr>
      </w:pPr>
      <w:r w:rsidRPr="00E14121">
        <w:rPr>
          <w:rFonts w:ascii="Narkisim" w:hAnsi="Narkisim"/>
          <w:u w:val="single"/>
          <w:rtl/>
        </w:rPr>
        <w:t>דלריש לקיש מעש"ש שנטמא דמותר לסוכו.</w:t>
      </w:r>
      <w:r w:rsidRPr="00E14121">
        <w:rPr>
          <w:rFonts w:ascii="Narkisim" w:hAnsi="Narkisim"/>
          <w:rtl/>
        </w:rPr>
        <w:t xml:space="preserve"> ה</w:t>
      </w:r>
      <w:r w:rsidRPr="00E14121">
        <w:rPr>
          <w:rFonts w:ascii="Narkisim" w:hAnsi="Narkisim"/>
          <w:b/>
          <w:bCs/>
          <w:rtl/>
        </w:rPr>
        <w:t>מאירי</w:t>
      </w:r>
      <w:r w:rsidRPr="00E14121">
        <w:rPr>
          <w:rFonts w:ascii="Narkisim" w:hAnsi="Narkisim"/>
          <w:rtl/>
        </w:rPr>
        <w:t xml:space="preserve"> כתב דמעש"ש שנטמא חייבים לפדות, ומה שאמרו דמותר לסוכו, אם הוא שמן בנטמא בירושלים, ולמ"ד דא"א לפדות.</w:t>
      </w:r>
    </w:p>
    <w:p w14:paraId="01163DC4" w14:textId="77777777" w:rsidR="00F64AED" w:rsidRPr="00E14121" w:rsidRDefault="00F64AED" w:rsidP="00F64AED">
      <w:pPr>
        <w:bidi/>
        <w:rPr>
          <w:rFonts w:ascii="Narkisim" w:hAnsi="Narkisim" w:cs="Narkisim"/>
        </w:rPr>
      </w:pPr>
      <w:r w:rsidRPr="00E14121">
        <w:rPr>
          <w:rFonts w:ascii="Narkisim" w:hAnsi="Narkisim" w:cs="Narkisim"/>
          <w:u w:val="single"/>
          <w:rtl/>
        </w:rPr>
        <w:t>רש"י ד"ה שמותר לסוכו.</w:t>
      </w:r>
      <w:r w:rsidRPr="00E14121">
        <w:rPr>
          <w:rFonts w:ascii="Narkisim" w:hAnsi="Narkisim" w:cs="Narkisim"/>
          <w:rtl/>
        </w:rPr>
        <w:t xml:space="preserve"> ואע"ג דקי"ל דסיכה כשתייה והוה כמאן דשתי ליה בטומאה. מבואר דמדאוריי' סיכה כשתייה, ולכן ס”ד דיאסר במעש”ש</w:t>
      </w:r>
      <w:r w:rsidRPr="00E14121">
        <w:rPr>
          <w:rFonts w:ascii="Narkisim" w:hAnsi="Narkisim" w:cs="Narkisim"/>
          <w:sz w:val="20"/>
          <w:szCs w:val="20"/>
          <w:rtl/>
        </w:rPr>
        <w:t xml:space="preserve"> [וכן הביא ה</w:t>
      </w:r>
      <w:r w:rsidRPr="00E14121">
        <w:rPr>
          <w:rFonts w:ascii="Narkisim" w:hAnsi="Narkisim" w:cs="Narkisim"/>
          <w:b/>
          <w:bCs/>
          <w:sz w:val="20"/>
          <w:szCs w:val="20"/>
          <w:rtl/>
        </w:rPr>
        <w:t>פר”ח</w:t>
      </w:r>
      <w:r w:rsidRPr="00E14121">
        <w:rPr>
          <w:rFonts w:ascii="Narkisim" w:hAnsi="Narkisim" w:cs="Narkisim"/>
          <w:sz w:val="20"/>
          <w:szCs w:val="20"/>
          <w:rtl/>
        </w:rPr>
        <w:t xml:space="preserve"> (או"ח תריא) מדברי רש”י כאן, וע' מש”כ בזה לעיל עא.].</w:t>
      </w:r>
      <w:r w:rsidRPr="00E14121">
        <w:rPr>
          <w:rFonts w:ascii="Narkisim" w:hAnsi="Narkisim" w:cs="Narkisim"/>
          <w:rtl/>
        </w:rPr>
        <w:t xml:space="preserve"> אבל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 w:val="20"/>
          <w:szCs w:val="20"/>
          <w:rtl/>
        </w:rPr>
        <w:t>(ד"ה מנין)</w:t>
      </w:r>
      <w:r w:rsidRPr="00E14121">
        <w:rPr>
          <w:rFonts w:ascii="Narkisim" w:hAnsi="Narkisim" w:cs="Narkisim"/>
          <w:rtl/>
        </w:rPr>
        <w:t xml:space="preserve"> פי' דהנידון משום איסור לבער בטומאה. כיון דס”ל דסיכה כשתייה דרבנן.</w:t>
      </w:r>
    </w:p>
    <w:p w14:paraId="4D4C31DD"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לשיטתו (עג.) דאין איסור יותר לבער בטומאה מאשר טהור, אלא דלא ניתן לשריפה].</w:t>
      </w:r>
    </w:p>
    <w:p w14:paraId="7F21C4D2"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(תרט ד) העיר דהרמב"ם השמיט דין זה, דמעש"ש טמא מותר לסוכו. וע”פ דברי ה</w:t>
      </w:r>
      <w:r w:rsidRPr="00E14121">
        <w:rPr>
          <w:rFonts w:ascii="Narkisim" w:hAnsi="Narkisim"/>
          <w:b/>
          <w:bCs/>
          <w:rtl/>
        </w:rPr>
        <w:t xml:space="preserve">מאירי </w:t>
      </w:r>
      <w:r w:rsidRPr="00E14121">
        <w:rPr>
          <w:rFonts w:ascii="Narkisim" w:hAnsi="Narkisim"/>
          <w:rtl/>
        </w:rPr>
        <w:t>ניחא דקי”ל דצריך לפדותו. [וב</w:t>
      </w:r>
      <w:r w:rsidRPr="00E14121">
        <w:rPr>
          <w:rFonts w:ascii="Narkisim" w:hAnsi="Narkisim"/>
          <w:b/>
          <w:bCs/>
          <w:rtl/>
        </w:rPr>
        <w:t>זכרון</w:t>
      </w:r>
      <w:r w:rsidRPr="00E14121">
        <w:rPr>
          <w:rFonts w:ascii="Narkisim" w:hAnsi="Narkisim"/>
          <w:rtl/>
        </w:rPr>
        <w:t xml:space="preserve"> </w:t>
      </w:r>
      <w:r w:rsidRPr="00E14121">
        <w:rPr>
          <w:rFonts w:ascii="Narkisim" w:hAnsi="Narkisim"/>
          <w:b/>
          <w:bCs/>
          <w:rtl/>
        </w:rPr>
        <w:t>שמואל</w:t>
      </w:r>
      <w:r w:rsidRPr="00E14121">
        <w:rPr>
          <w:rFonts w:ascii="Narkisim" w:hAnsi="Narkisim"/>
          <w:rtl/>
        </w:rPr>
        <w:t xml:space="preserve"> (א) האריך לדון האם הרמב"ם ס"ל כפרש"י או כתוס'].</w:t>
      </w:r>
    </w:p>
    <w:p w14:paraId="4D88BA47" w14:textId="77777777" w:rsidR="00F64AED" w:rsidRPr="00E14121" w:rsidRDefault="00F64AED" w:rsidP="00F64AED">
      <w:pPr>
        <w:pStyle w:val="aa"/>
        <w:bidi/>
        <w:rPr>
          <w:rFonts w:ascii="Narkisim" w:hAnsi="Narkisim"/>
        </w:rPr>
      </w:pPr>
      <w:r w:rsidRPr="00E14121">
        <w:rPr>
          <w:rFonts w:ascii="Narkisim" w:hAnsi="Narkisim"/>
          <w:u w:val="single"/>
          <w:rtl/>
        </w:rPr>
        <w:t>לא נתתי ממנו למת וכו'.</w:t>
      </w:r>
      <w:r w:rsidRPr="00E14121">
        <w:rPr>
          <w:rFonts w:ascii="Narkisim" w:hAnsi="Narkisim"/>
          <w:rtl/>
        </w:rPr>
        <w:t xml:space="preserve"> ה</w:t>
      </w:r>
      <w:r w:rsidRPr="00E14121">
        <w:rPr>
          <w:rFonts w:ascii="Narkisim" w:hAnsi="Narkisim"/>
          <w:b/>
          <w:bCs/>
          <w:rtl/>
        </w:rPr>
        <w:t xml:space="preserve">רמב"ן </w:t>
      </w:r>
      <w:r w:rsidRPr="00E14121">
        <w:rPr>
          <w:rFonts w:ascii="Narkisim" w:hAnsi="Narkisim"/>
          <w:rtl/>
        </w:rPr>
        <w:t xml:space="preserve">(עה"ת דברים כו יד) הקשה דכבר נתוודה לא בערתי ממנו בטמא, ומה </w:t>
      </w:r>
      <w:r w:rsidRPr="00E14121">
        <w:rPr>
          <w:rFonts w:ascii="Narkisim" w:hAnsi="Narkisim"/>
          <w:rtl/>
        </w:rPr>
        <w:lastRenderedPageBreak/>
        <w:t>הוסיף לא נתתי ממנו למת, הרי ביערו בטומאה. וכתב דמחובר עם הוידוי דלא נתתי למת, וכדדרשי' בסוגיין דלא סך מעש"ש טמא למת.</w:t>
      </w:r>
    </w:p>
    <w:p w14:paraId="115F17BA" w14:textId="77777777" w:rsidR="00F64AED" w:rsidRPr="00E14121" w:rsidRDefault="00F64AED" w:rsidP="00F64AED">
      <w:pPr>
        <w:bidi/>
        <w:rPr>
          <w:rFonts w:ascii="Narkisim" w:hAnsi="Narkisim" w:cs="Narkisim"/>
        </w:rPr>
      </w:pPr>
      <w:r w:rsidRPr="00E14121">
        <w:rPr>
          <w:rFonts w:ascii="Narkisim" w:hAnsi="Narkisim" w:cs="Narkisim"/>
          <w:u w:val="single"/>
          <w:rtl/>
        </w:rPr>
        <w:t>רש"י ד"ה ואימא.</w:t>
      </w:r>
      <w:r w:rsidRPr="00E14121">
        <w:rPr>
          <w:rFonts w:ascii="Narkisim" w:hAnsi="Narkisim" w:cs="Narkisim"/>
          <w:rtl/>
        </w:rPr>
        <w:t xml:space="preserve"> דאע"ג דמעשר טהור וכו', אם נטמא מותר לחללו לקנות חלוק</w:t>
      </w:r>
      <w:r w:rsidRPr="00E14121">
        <w:rPr>
          <w:rFonts w:ascii="Narkisim" w:hAnsi="Narkisim" w:cs="Narkisim"/>
          <w:sz w:val="20"/>
          <w:szCs w:val="20"/>
          <w:rtl/>
        </w:rPr>
        <w:t xml:space="preserve"> (וכ"כ ה</w:t>
      </w:r>
      <w:r w:rsidRPr="00E14121">
        <w:rPr>
          <w:rFonts w:ascii="Narkisim" w:hAnsi="Narkisim" w:cs="Narkisim"/>
          <w:b/>
          <w:bCs/>
          <w:sz w:val="20"/>
          <w:szCs w:val="20"/>
          <w:rtl/>
        </w:rPr>
        <w:t>ריטב"א</w:t>
      </w:r>
      <w:r w:rsidRPr="00E14121">
        <w:rPr>
          <w:rFonts w:ascii="Narkisim" w:hAnsi="Narkisim" w:cs="Narkisim"/>
          <w:sz w:val="20"/>
          <w:szCs w:val="20"/>
          <w:rtl/>
        </w:rPr>
        <w:t>).</w:t>
      </w:r>
      <w:r w:rsidRPr="00E14121">
        <w:rPr>
          <w:rFonts w:ascii="Narkisim" w:hAnsi="Narkisim" w:cs="Narkisim"/>
          <w:rtl/>
        </w:rPr>
        <w:t xml:space="preserve"> מבואר ב</w:t>
      </w:r>
      <w:r w:rsidRPr="00E14121">
        <w:rPr>
          <w:rFonts w:ascii="Narkisim" w:hAnsi="Narkisim" w:cs="Narkisim"/>
          <w:b/>
          <w:bCs/>
          <w:rtl/>
        </w:rPr>
        <w:t xml:space="preserve">רש"י </w:t>
      </w:r>
      <w:r w:rsidRPr="00E14121">
        <w:rPr>
          <w:rFonts w:ascii="Narkisim" w:hAnsi="Narkisim" w:cs="Narkisim"/>
          <w:rtl/>
        </w:rPr>
        <w:t xml:space="preserve">דמעש"ש טמא מותר לשאר מילי, ורק למת אסור, ובזה ל"ק קושי'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w:t>
      </w:r>
      <w:r w:rsidRPr="00E14121">
        <w:rPr>
          <w:rFonts w:ascii="Narkisim" w:hAnsi="Narkisim" w:cs="Narkisim"/>
          <w:sz w:val="20"/>
          <w:szCs w:val="20"/>
          <w:rtl/>
        </w:rPr>
        <w:t>עג. ד"ה נכסי)</w:t>
      </w:r>
      <w:r w:rsidRPr="00E14121">
        <w:rPr>
          <w:rFonts w:ascii="Narkisim" w:hAnsi="Narkisim" w:cs="Narkisim"/>
          <w:rtl/>
        </w:rPr>
        <w:t>, וכמ"ש ה</w:t>
      </w:r>
      <w:r w:rsidRPr="00E14121">
        <w:rPr>
          <w:rFonts w:ascii="Narkisim" w:hAnsi="Narkisim" w:cs="Narkisim"/>
          <w:b/>
          <w:bCs/>
          <w:rtl/>
        </w:rPr>
        <w:t>תו"י</w:t>
      </w:r>
      <w:r w:rsidRPr="00E14121">
        <w:rPr>
          <w:rFonts w:ascii="Narkisim" w:hAnsi="Narkisim" w:cs="Narkisim"/>
          <w:rtl/>
        </w:rPr>
        <w:t xml:space="preserve"> ו</w:t>
      </w:r>
      <w:r w:rsidRPr="00E14121">
        <w:rPr>
          <w:rFonts w:ascii="Narkisim" w:hAnsi="Narkisim" w:cs="Narkisim"/>
          <w:b/>
          <w:bCs/>
          <w:rtl/>
        </w:rPr>
        <w:t>רע"א</w:t>
      </w:r>
      <w:r w:rsidRPr="00E14121">
        <w:rPr>
          <w:rFonts w:ascii="Narkisim" w:hAnsi="Narkisim" w:cs="Narkisim"/>
          <w:rtl/>
        </w:rPr>
        <w:t xml:space="preserve"> </w:t>
      </w:r>
      <w:r w:rsidRPr="00E14121">
        <w:rPr>
          <w:rFonts w:ascii="Narkisim" w:hAnsi="Narkisim" w:cs="Narkisim"/>
          <w:sz w:val="20"/>
          <w:szCs w:val="20"/>
          <w:rtl/>
        </w:rPr>
        <w:t>(שם).</w:t>
      </w:r>
    </w:p>
    <w:p w14:paraId="081DFD8F" w14:textId="77777777" w:rsidR="00F64AED" w:rsidRPr="00E14121" w:rsidRDefault="00F64AED" w:rsidP="00F64AED">
      <w:pPr>
        <w:bidi/>
        <w:rPr>
          <w:rFonts w:ascii="Narkisim" w:hAnsi="Narkisim" w:cs="Narkisim"/>
        </w:rPr>
      </w:pPr>
      <w:r w:rsidRPr="00E14121">
        <w:rPr>
          <w:rFonts w:ascii="Narkisim" w:hAnsi="Narkisim" w:cs="Narkisim"/>
          <w:u w:val="single"/>
          <w:rtl/>
        </w:rPr>
        <w:t>תוד"ה ליקח.</w:t>
      </w:r>
      <w:r w:rsidRPr="00E14121">
        <w:rPr>
          <w:rFonts w:ascii="Narkisim" w:hAnsi="Narkisim" w:cs="Narkisim"/>
          <w:rtl/>
        </w:rPr>
        <w:t xml:space="preserve"> אע"ג דבהדיא דרשי' וכו', דילמא דוקא להכי. אבל ה</w:t>
      </w:r>
      <w:r w:rsidRPr="00E14121">
        <w:rPr>
          <w:rFonts w:ascii="Narkisim" w:hAnsi="Narkisim" w:cs="Narkisim"/>
          <w:b/>
          <w:bCs/>
          <w:rtl/>
        </w:rPr>
        <w:t>רמב"ן</w:t>
      </w:r>
      <w:r w:rsidRPr="00E14121">
        <w:rPr>
          <w:rFonts w:ascii="Narkisim" w:hAnsi="Narkisim" w:cs="Narkisim"/>
          <w:rtl/>
        </w:rPr>
        <w:t xml:space="preserve"> הביא דבספרי משמע בפליגי בזה תנאי, ודעת ר' אליעזר דקאי לארון ותכריכין, ולחי מותר </w:t>
      </w:r>
      <w:r w:rsidRPr="00E14121">
        <w:rPr>
          <w:rFonts w:ascii="Narkisim" w:hAnsi="Narkisim" w:cs="Narkisim"/>
          <w:sz w:val="20"/>
          <w:szCs w:val="20"/>
          <w:rtl/>
        </w:rPr>
        <w:t xml:space="preserve">[כיון דנטמא וכרש"י, וע' </w:t>
      </w:r>
      <w:r w:rsidRPr="00E14121">
        <w:rPr>
          <w:rFonts w:ascii="Narkisim" w:hAnsi="Narkisim" w:cs="Narkisim"/>
          <w:b/>
          <w:bCs/>
          <w:sz w:val="20"/>
          <w:szCs w:val="20"/>
          <w:rtl/>
        </w:rPr>
        <w:t>תוס</w:t>
      </w:r>
      <w:r w:rsidRPr="00E14121">
        <w:rPr>
          <w:rFonts w:ascii="Narkisim" w:hAnsi="Narkisim" w:cs="Narkisim"/>
          <w:sz w:val="20"/>
          <w:szCs w:val="20"/>
          <w:rtl/>
        </w:rPr>
        <w:t>' עג. ד”ה נכסי</w:t>
      </w:r>
      <w:r w:rsidRPr="00E14121">
        <w:rPr>
          <w:rFonts w:ascii="Narkisim" w:hAnsi="Narkisim" w:cs="Narkisim"/>
          <w:rtl/>
        </w:rPr>
        <w:t>]. ודחה ע"ד מש"כ בתוס'.</w:t>
      </w:r>
    </w:p>
    <w:p w14:paraId="01951944" w14:textId="77777777" w:rsidR="00F64AED" w:rsidRPr="00E14121" w:rsidRDefault="00F64AED" w:rsidP="00F64AED">
      <w:pPr>
        <w:pStyle w:val="3"/>
        <w:bidi/>
        <w:rPr>
          <w:rFonts w:ascii="Narkisim" w:hAnsi="Narkisim"/>
        </w:rPr>
      </w:pPr>
      <w:r w:rsidRPr="00E14121">
        <w:rPr>
          <w:rFonts w:ascii="Narkisim" w:hAnsi="Narkisim"/>
          <w:rtl/>
        </w:rPr>
        <w:t>דף עד:</w:t>
      </w:r>
    </w:p>
    <w:p w14:paraId="4FF6EFAA" w14:textId="77777777" w:rsidR="00F64AED" w:rsidRPr="00E14121" w:rsidRDefault="00F64AED" w:rsidP="00F64AED">
      <w:pPr>
        <w:bidi/>
        <w:rPr>
          <w:rFonts w:ascii="Narkisim" w:hAnsi="Narkisim" w:cs="Narkisim"/>
        </w:rPr>
      </w:pPr>
      <w:r w:rsidRPr="00E14121">
        <w:rPr>
          <w:rFonts w:ascii="Narkisim" w:hAnsi="Narkisim" w:cs="Narkisim"/>
          <w:u w:val="single"/>
          <w:rtl/>
        </w:rPr>
        <w:t>אינה בחללה, חללה לאו זרעה דאהרן.</w:t>
      </w:r>
      <w:r w:rsidRPr="00E14121">
        <w:rPr>
          <w:rFonts w:ascii="Narkisim" w:hAnsi="Narkisim" w:cs="Narkisim"/>
          <w:rtl/>
        </w:rPr>
        <w:t xml:space="preserve"> ה</w:t>
      </w:r>
      <w:r w:rsidRPr="00E14121">
        <w:rPr>
          <w:rFonts w:ascii="Narkisim" w:hAnsi="Narkisim" w:cs="Narkisim"/>
          <w:b/>
          <w:bCs/>
          <w:rtl/>
        </w:rPr>
        <w:t xml:space="preserve">משנ"ל </w:t>
      </w:r>
      <w:r w:rsidRPr="00E14121">
        <w:rPr>
          <w:rFonts w:ascii="Narkisim" w:hAnsi="Narkisim" w:cs="Narkisim"/>
          <w:sz w:val="20"/>
          <w:szCs w:val="20"/>
          <w:rtl/>
        </w:rPr>
        <w:t>(פרשת דרכים ס</w:t>
      </w:r>
      <w:r w:rsidRPr="00E14121">
        <w:rPr>
          <w:rFonts w:ascii="Narkisim" w:hAnsi="Narkisim" w:cs="Narkisim"/>
          <w:sz w:val="18"/>
          <w:szCs w:val="18"/>
          <w:rtl/>
        </w:rPr>
        <w:t xml:space="preserve">וף חלק ג) </w:t>
      </w:r>
      <w:r w:rsidRPr="00E14121">
        <w:rPr>
          <w:rFonts w:ascii="Narkisim" w:hAnsi="Narkisim" w:cs="Narkisim"/>
          <w:rtl/>
        </w:rPr>
        <w:t xml:space="preserve">כתב דאיירי דנתחללה בביאת איסור, דאי בנולדה מפסול כהונה הול"ל 'חלל'. </w:t>
      </w:r>
      <w:r w:rsidRPr="00E14121">
        <w:rPr>
          <w:rFonts w:ascii="Narkisim" w:hAnsi="Narkisim" w:cs="Narkisim"/>
          <w:sz w:val="20"/>
          <w:szCs w:val="20"/>
          <w:rtl/>
        </w:rPr>
        <w:t>[ופשיטא דהנולד בפסולי כהונה אין לו דין כהן כלל, כדאי' ב</w:t>
      </w:r>
      <w:r w:rsidRPr="00E14121">
        <w:rPr>
          <w:rFonts w:ascii="Narkisim" w:hAnsi="Narkisim" w:cs="Narkisim"/>
          <w:b/>
          <w:bCs/>
          <w:sz w:val="20"/>
          <w:szCs w:val="20"/>
          <w:rtl/>
        </w:rPr>
        <w:t>תו"כ</w:t>
      </w:r>
      <w:r w:rsidRPr="00E14121">
        <w:rPr>
          <w:rFonts w:ascii="Narkisim" w:hAnsi="Narkisim" w:cs="Narkisim"/>
          <w:sz w:val="20"/>
          <w:szCs w:val="20"/>
          <w:rtl/>
        </w:rPr>
        <w:t xml:space="preserve"> (ר"פ אמור) הכהנים ולא חללים]. </w:t>
      </w: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(סנהדרין יט ד)</w:t>
      </w:r>
      <w:r w:rsidRPr="00E14121">
        <w:rPr>
          <w:rFonts w:ascii="Narkisim" w:hAnsi="Narkisim" w:cs="Narkisim"/>
          <w:rtl/>
        </w:rPr>
        <w:t xml:space="preserve"> כתב דחללה שאכלה תרומה לוקה, אבל אינה במיתה כזר</w:t>
      </w:r>
      <w:r w:rsidRPr="00E14121">
        <w:rPr>
          <w:rStyle w:val="ac"/>
          <w:rFonts w:ascii="Narkisim" w:hAnsi="Narkisim" w:cs="Narkisim"/>
          <w:rtl/>
        </w:rPr>
        <w:footnoteReference w:id="4492"/>
      </w:r>
      <w:r w:rsidRPr="00E14121">
        <w:rPr>
          <w:rFonts w:ascii="Narkisim" w:hAnsi="Narkisim" w:cs="Narkisim"/>
          <w:rtl/>
        </w:rPr>
        <w:t>].</w:t>
      </w:r>
    </w:p>
    <w:p w14:paraId="4F551BCF" w14:textId="77777777" w:rsidR="00F64AED" w:rsidRPr="00E14121" w:rsidRDefault="00F64AED" w:rsidP="00F64AED">
      <w:pPr>
        <w:bidi/>
        <w:rPr>
          <w:rFonts w:ascii="Narkisim" w:hAnsi="Narkisim" w:cs="Narkisim"/>
        </w:rPr>
      </w:pPr>
      <w:r w:rsidRPr="00E14121">
        <w:rPr>
          <w:rFonts w:ascii="Narkisim" w:hAnsi="Narkisim" w:cs="Narkisim"/>
          <w:u w:val="single"/>
          <w:rtl/>
        </w:rPr>
        <w:t>שם. בחללה</w:t>
      </w:r>
      <w:r w:rsidRPr="00E14121">
        <w:rPr>
          <w:rFonts w:ascii="Narkisim" w:hAnsi="Narkisim" w:cs="Narkisim"/>
          <w:rtl/>
        </w:rPr>
        <w:t>. וה</w:t>
      </w:r>
      <w:r w:rsidRPr="00E14121">
        <w:rPr>
          <w:rFonts w:ascii="Narkisim" w:hAnsi="Narkisim" w:cs="Narkisim"/>
          <w:b/>
          <w:bCs/>
          <w:rtl/>
        </w:rPr>
        <w:t>רשב"א</w:t>
      </w:r>
      <w:r w:rsidRPr="00E14121">
        <w:rPr>
          <w:rFonts w:ascii="Narkisim" w:hAnsi="Narkisim" w:cs="Narkisim"/>
          <w:rtl/>
        </w:rPr>
        <w:t xml:space="preserve"> הקשה הא איכא נבעלה לפסול לה, דפסולה לתרומה כדאמרי' (לעיל סח:) [מקרא דאיש זר או דהוה זונה], אף דאינה חללה [דאין חללה אלא מאיסורי כהונה]</w:t>
      </w:r>
      <w:r w:rsidRPr="00E14121">
        <w:rPr>
          <w:rStyle w:val="ac"/>
          <w:rFonts w:ascii="Narkisim" w:hAnsi="Narkisim" w:cs="Narkisim"/>
          <w:rtl/>
        </w:rPr>
        <w:footnoteReference w:id="4493"/>
      </w:r>
      <w:r w:rsidRPr="00E14121">
        <w:rPr>
          <w:rFonts w:ascii="Narkisim" w:hAnsi="Narkisim" w:cs="Narkisim"/>
          <w:rtl/>
        </w:rPr>
        <w:t>. וי"ל דאף היא נתחללה ונפסלה מדין כהונה קאמר</w:t>
      </w:r>
      <w:r w:rsidRPr="00E14121">
        <w:rPr>
          <w:rStyle w:val="ac"/>
          <w:rFonts w:ascii="Narkisim" w:hAnsi="Narkisim" w:cs="Narkisim"/>
          <w:rtl/>
        </w:rPr>
        <w:footnoteReference w:id="4494"/>
      </w:r>
      <w:r w:rsidRPr="00E14121">
        <w:rPr>
          <w:rFonts w:ascii="Narkisim" w:hAnsi="Narkisim" w:cs="Narkisim"/>
          <w:rtl/>
        </w:rPr>
        <w:t>, ולאו זרעה דאהרן היא</w:t>
      </w:r>
      <w:r w:rsidRPr="00E14121">
        <w:rPr>
          <w:rStyle w:val="ac"/>
          <w:rFonts w:ascii="Narkisim" w:hAnsi="Narkisim" w:cs="Narkisim"/>
          <w:rtl/>
        </w:rPr>
        <w:footnoteReference w:id="4495"/>
      </w:r>
      <w:r w:rsidRPr="00E14121">
        <w:rPr>
          <w:rFonts w:ascii="Narkisim" w:hAnsi="Narkisim" w:cs="Narkisim"/>
          <w:rtl/>
        </w:rPr>
        <w:t>.</w:t>
      </w:r>
    </w:p>
    <w:p w14:paraId="0F18AB58" w14:textId="77777777" w:rsidR="00F64AED" w:rsidRPr="00E14121" w:rsidRDefault="00F64AED" w:rsidP="00F64AED">
      <w:pPr>
        <w:pStyle w:val="a7"/>
        <w:bidi/>
        <w:rPr>
          <w:rFonts w:ascii="Narkisim" w:hAnsi="Narkisim"/>
        </w:rPr>
      </w:pPr>
      <w:r w:rsidRPr="00E14121">
        <w:rPr>
          <w:rFonts w:ascii="Narkisim" w:hAnsi="Narkisim"/>
          <w:rtl/>
        </w:rPr>
        <w:t>וכן מבואר ב</w:t>
      </w:r>
      <w:r w:rsidRPr="00E14121">
        <w:rPr>
          <w:rFonts w:ascii="Narkisim" w:hAnsi="Narkisim"/>
          <w:b/>
          <w:bCs/>
          <w:rtl/>
        </w:rPr>
        <w:t>גמ</w:t>
      </w:r>
      <w:r w:rsidRPr="00E14121">
        <w:rPr>
          <w:rFonts w:ascii="Narkisim" w:hAnsi="Narkisim"/>
          <w:rtl/>
        </w:rPr>
        <w:t>' (בכורות מז.) דבת כהן דנבעלה לעכו"ם הו"ל זרה</w:t>
      </w:r>
      <w:r w:rsidRPr="00E14121">
        <w:rPr>
          <w:rStyle w:val="ac"/>
          <w:rFonts w:ascii="Narkisim" w:hAnsi="Narkisim"/>
          <w:rtl/>
        </w:rPr>
        <w:footnoteReference w:id="4496"/>
      </w:r>
      <w:r w:rsidRPr="00E14121">
        <w:rPr>
          <w:rFonts w:ascii="Narkisim" w:hAnsi="Narkisim"/>
          <w:rtl/>
        </w:rPr>
        <w:t>, ופ</w:t>
      </w:r>
      <w:r w:rsidRPr="00E14121">
        <w:rPr>
          <w:rFonts w:ascii="Narkisim" w:hAnsi="Narkisim"/>
          <w:b/>
          <w:bCs/>
          <w:rtl/>
        </w:rPr>
        <w:t>רש"י</w:t>
      </w:r>
      <w:r w:rsidRPr="00E14121">
        <w:rPr>
          <w:rFonts w:ascii="Narkisim" w:hAnsi="Narkisim"/>
          <w:rtl/>
        </w:rPr>
        <w:t xml:space="preserve"> כיון דזרה היא בנה חייב בפדיון הבן.</w:t>
      </w:r>
    </w:p>
    <w:p w14:paraId="40720BF6" w14:textId="77777777" w:rsidR="00F64AED" w:rsidRPr="00E14121" w:rsidRDefault="00F64AED" w:rsidP="00F64AED">
      <w:pPr>
        <w:bidi/>
        <w:rPr>
          <w:rFonts w:ascii="Narkisim" w:hAnsi="Narkisim" w:cs="Narkisim"/>
        </w:rPr>
      </w:pPr>
      <w:r w:rsidRPr="00E14121">
        <w:rPr>
          <w:rFonts w:ascii="Narkisim" w:hAnsi="Narkisim" w:cs="Narkisim"/>
          <w:u w:val="single"/>
          <w:rtl/>
        </w:rPr>
        <w:t>שם. חללה לאו זרעה דאהרן</w:t>
      </w:r>
      <w:r w:rsidRPr="00E14121">
        <w:rPr>
          <w:rFonts w:ascii="Narkisim" w:hAnsi="Narkisim" w:cs="Narkisim"/>
          <w:rtl/>
        </w:rPr>
        <w:t>. ה</w:t>
      </w:r>
      <w:r w:rsidRPr="00E14121">
        <w:rPr>
          <w:rFonts w:ascii="Narkisim" w:hAnsi="Narkisim" w:cs="Narkisim"/>
          <w:b/>
          <w:bCs/>
          <w:rtl/>
        </w:rPr>
        <w:t>אחרונים</w:t>
      </w:r>
      <w:r w:rsidRPr="00E14121">
        <w:rPr>
          <w:rFonts w:ascii="Narkisim" w:hAnsi="Narkisim" w:cs="Narkisim"/>
          <w:rtl/>
        </w:rPr>
        <w:t xml:space="preserve"> הקשו דבגמ' (קידושין סו:) איתא דבן גרושה ובן חלוצה דעבד</w:t>
      </w:r>
      <w:r w:rsidRPr="00E14121">
        <w:rPr>
          <w:rStyle w:val="ac"/>
          <w:rFonts w:ascii="Narkisim" w:hAnsi="Narkisim" w:cs="Narkisim"/>
          <w:rtl/>
        </w:rPr>
        <w:footnoteReference w:id="4497"/>
      </w:r>
      <w:r w:rsidRPr="00E14121">
        <w:rPr>
          <w:rFonts w:ascii="Narkisim" w:hAnsi="Narkisim" w:cs="Narkisim"/>
          <w:rtl/>
        </w:rPr>
        <w:t xml:space="preserve"> עבודתו כשירה</w:t>
      </w:r>
      <w:r w:rsidRPr="00E14121">
        <w:rPr>
          <w:rStyle w:val="ac"/>
          <w:rFonts w:ascii="Narkisim" w:hAnsi="Narkisim" w:cs="Narkisim"/>
          <w:rtl/>
        </w:rPr>
        <w:footnoteReference w:id="4498"/>
      </w:r>
      <w:r w:rsidRPr="00E14121">
        <w:rPr>
          <w:rFonts w:ascii="Narkisim" w:hAnsi="Narkisim" w:cs="Narkisim"/>
          <w:rtl/>
        </w:rPr>
        <w:t>, דכתיב ולזרעו אחריך בין זרע כשר ובין זרע פסול</w:t>
      </w:r>
      <w:r w:rsidRPr="00E14121">
        <w:rPr>
          <w:rFonts w:ascii="Narkisim" w:hAnsi="Narkisim" w:cs="Narkisim"/>
          <w:sz w:val="20"/>
          <w:szCs w:val="20"/>
          <w:rtl/>
        </w:rPr>
        <w:t xml:space="preserve"> [ועי”ש דרשות נוספות]</w:t>
      </w:r>
      <w:r w:rsidRPr="00E14121">
        <w:rPr>
          <w:rFonts w:ascii="Narkisim" w:hAnsi="Narkisim" w:cs="Narkisim"/>
          <w:rtl/>
        </w:rPr>
        <w:t>. וה</w:t>
      </w:r>
      <w:r w:rsidRPr="00E14121">
        <w:rPr>
          <w:rFonts w:ascii="Narkisim" w:hAnsi="Narkisim" w:cs="Narkisim"/>
          <w:b/>
          <w:bCs/>
          <w:rtl/>
        </w:rPr>
        <w:t>גהש"ס</w:t>
      </w:r>
      <w:r w:rsidRPr="00E14121">
        <w:rPr>
          <w:rFonts w:ascii="Narkisim" w:hAnsi="Narkisim" w:cs="Narkisim"/>
          <w:rtl/>
        </w:rPr>
        <w:t xml:space="preserve"> (כאן) ציין ל</w:t>
      </w:r>
      <w:r w:rsidRPr="00E14121">
        <w:rPr>
          <w:rFonts w:ascii="Narkisim" w:hAnsi="Narkisim" w:cs="Narkisim"/>
          <w:b/>
          <w:bCs/>
          <w:rtl/>
        </w:rPr>
        <w:t>תוס</w:t>
      </w:r>
      <w:r w:rsidRPr="00E14121">
        <w:rPr>
          <w:rFonts w:ascii="Narkisim" w:hAnsi="Narkisim" w:cs="Narkisim"/>
          <w:rtl/>
        </w:rPr>
        <w:t xml:space="preserve">' (שם) שכתבו דכוונת הגמ' שם מריבוי דקרא, אבל סתם זרע הוה זרע כשר ולא זרע פסול. </w:t>
      </w:r>
      <w:r w:rsidRPr="00E14121">
        <w:rPr>
          <w:rFonts w:ascii="Narkisim" w:hAnsi="Narkisim" w:cs="Narkisim"/>
          <w:sz w:val="20"/>
          <w:szCs w:val="20"/>
          <w:rtl/>
        </w:rPr>
        <w:t>ולפ"ז יל"פ דכוות הגמ' כאן דדרשי' 'זרע', דוקא כשר</w:t>
      </w:r>
      <w:r w:rsidRPr="00E14121">
        <w:rPr>
          <w:rStyle w:val="ac"/>
          <w:rFonts w:ascii="Narkisim" w:hAnsi="Narkisim" w:cs="Narkisim"/>
          <w:sz w:val="20"/>
          <w:szCs w:val="20"/>
          <w:rtl/>
        </w:rPr>
        <w:footnoteReference w:id="4499"/>
      </w:r>
      <w:r w:rsidRPr="00E14121">
        <w:rPr>
          <w:rFonts w:ascii="Narkisim" w:hAnsi="Narkisim" w:cs="Narkisim"/>
          <w:sz w:val="20"/>
          <w:szCs w:val="20"/>
          <w:rtl/>
        </w:rPr>
        <w:t>.</w:t>
      </w:r>
    </w:p>
    <w:p w14:paraId="7241B0A9" w14:textId="77777777" w:rsidR="00F64AED" w:rsidRPr="00E14121" w:rsidRDefault="00F64AED" w:rsidP="00F64AED">
      <w:pPr>
        <w:pStyle w:val="a7"/>
        <w:bidi/>
        <w:rPr>
          <w:rFonts w:ascii="Narkisim" w:hAnsi="Narkisim"/>
        </w:rPr>
      </w:pPr>
      <w:r w:rsidRPr="00E14121">
        <w:rPr>
          <w:rFonts w:ascii="Narkisim" w:hAnsi="Narkisim"/>
          <w:rtl/>
        </w:rPr>
        <w:t>וב</w:t>
      </w:r>
      <w:r w:rsidRPr="00E14121">
        <w:rPr>
          <w:rFonts w:ascii="Narkisim" w:hAnsi="Narkisim"/>
          <w:b/>
          <w:bCs/>
          <w:rtl/>
        </w:rPr>
        <w:t>גמ</w:t>
      </w:r>
      <w:r w:rsidRPr="00E14121">
        <w:rPr>
          <w:rFonts w:ascii="Narkisim" w:hAnsi="Narkisim"/>
          <w:rtl/>
        </w:rPr>
        <w:t>' (גיטין נט:) איתא דחלל אינו עולה לתורה אף כלוי</w:t>
      </w:r>
      <w:r w:rsidRPr="00E14121">
        <w:rPr>
          <w:rStyle w:val="ac"/>
          <w:rFonts w:ascii="Narkisim" w:hAnsi="Narkisim"/>
          <w:rtl/>
        </w:rPr>
        <w:footnoteReference w:id="4500"/>
      </w:r>
      <w:r w:rsidRPr="00E14121">
        <w:rPr>
          <w:rFonts w:ascii="Narkisim" w:hAnsi="Narkisim"/>
          <w:rtl/>
        </w:rPr>
        <w:t>. וכן ב</w:t>
      </w:r>
      <w:r w:rsidRPr="00E14121">
        <w:rPr>
          <w:rFonts w:ascii="Narkisim" w:hAnsi="Narkisim"/>
          <w:b/>
          <w:bCs/>
          <w:rtl/>
        </w:rPr>
        <w:t>גמ</w:t>
      </w:r>
      <w:r w:rsidRPr="00E14121">
        <w:rPr>
          <w:rFonts w:ascii="Narkisim" w:hAnsi="Narkisim"/>
          <w:rtl/>
        </w:rPr>
        <w:t>' (כתובות כו.) מבואר דבן גרושה אינו מקבל אפי' מעשר ראשון, ומבואר דאינו אפי' מבני לוי.</w:t>
      </w:r>
      <w:r w:rsidRPr="00E14121">
        <w:rPr>
          <w:rFonts w:ascii="Narkisim" w:hAnsi="Narkisim"/>
          <w:sz w:val="20"/>
          <w:szCs w:val="20"/>
          <w:rtl/>
        </w:rPr>
        <w:t xml:space="preserve"> [וכן הביא ה</w:t>
      </w:r>
      <w:r w:rsidRPr="00E14121">
        <w:rPr>
          <w:rFonts w:ascii="Narkisim" w:hAnsi="Narkisim"/>
          <w:b/>
          <w:bCs/>
          <w:sz w:val="20"/>
          <w:szCs w:val="20"/>
          <w:rtl/>
        </w:rPr>
        <w:t>מנח”ח</w:t>
      </w:r>
      <w:r w:rsidRPr="00E14121">
        <w:rPr>
          <w:rFonts w:ascii="Narkisim" w:hAnsi="Narkisim"/>
          <w:sz w:val="20"/>
          <w:szCs w:val="20"/>
          <w:rtl/>
        </w:rPr>
        <w:t xml:space="preserve"> סוף מצוה שצה]</w:t>
      </w:r>
      <w:r w:rsidRPr="00E14121">
        <w:rPr>
          <w:rFonts w:ascii="Narkisim" w:hAnsi="Narkisim"/>
          <w:rtl/>
        </w:rPr>
        <w:t>. וה</w:t>
      </w:r>
      <w:r w:rsidRPr="00E14121">
        <w:rPr>
          <w:rFonts w:ascii="Narkisim" w:hAnsi="Narkisim"/>
          <w:b/>
          <w:bCs/>
          <w:rtl/>
        </w:rPr>
        <w:t>משנ"ל</w:t>
      </w:r>
      <w:r w:rsidRPr="00E14121">
        <w:rPr>
          <w:rFonts w:ascii="Narkisim" w:hAnsi="Narkisim"/>
          <w:rtl/>
        </w:rPr>
        <w:t xml:space="preserve"> (ביכורים ט ד) הביא מהגמ' (בכורות שם) דשקלינן מיניה מתנות כהונה, ואפי' קדושת לויה אין בו</w:t>
      </w:r>
      <w:r w:rsidRPr="00E14121">
        <w:rPr>
          <w:rStyle w:val="ac"/>
          <w:rFonts w:ascii="Narkisim" w:hAnsi="Narkisim"/>
          <w:rtl/>
        </w:rPr>
        <w:footnoteReference w:id="4501"/>
      </w:r>
      <w:r w:rsidRPr="00E14121">
        <w:rPr>
          <w:rFonts w:ascii="Narkisim" w:hAnsi="Narkisim"/>
          <w:rtl/>
        </w:rPr>
        <w:t>.</w:t>
      </w:r>
    </w:p>
    <w:p w14:paraId="5D232A7F"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(בכורות מז. ד"ה אלא) ביארו דאפי' קדושת לויה פקעה מינה, וגרע מלויה</w:t>
      </w:r>
      <w:r w:rsidRPr="00E14121">
        <w:rPr>
          <w:rFonts w:ascii="Narkisim" w:hAnsi="Narkisim"/>
          <w:sz w:val="20"/>
          <w:szCs w:val="20"/>
          <w:rtl/>
        </w:rPr>
        <w:t xml:space="preserve"> [ואף כשנשואה לכהן ונתחללה בנה פטור מפדיון, דעדיין היא לויה]</w:t>
      </w:r>
      <w:r w:rsidRPr="00E14121">
        <w:rPr>
          <w:rFonts w:ascii="Narkisim" w:hAnsi="Narkisim"/>
          <w:rtl/>
        </w:rPr>
        <w:t>. דכהנת קדושתה מגופה אתיא, וכשמתחללת פקעה קדושתה לגמרי</w:t>
      </w:r>
      <w:r w:rsidRPr="00E14121">
        <w:rPr>
          <w:rStyle w:val="ac"/>
          <w:rFonts w:ascii="Narkisim" w:hAnsi="Narkisim"/>
          <w:rtl/>
        </w:rPr>
        <w:footnoteReference w:id="4502"/>
      </w:r>
      <w:r w:rsidRPr="00E14121">
        <w:rPr>
          <w:rFonts w:ascii="Narkisim" w:hAnsi="Narkisim"/>
          <w:rtl/>
        </w:rPr>
        <w:t>.</w:t>
      </w:r>
    </w:p>
    <w:p w14:paraId="29222194" w14:textId="77777777" w:rsidR="00F64AED" w:rsidRPr="00E14121" w:rsidRDefault="00F64AED" w:rsidP="00F64AED">
      <w:pPr>
        <w:pStyle w:val="aa"/>
        <w:bidi/>
        <w:rPr>
          <w:rFonts w:ascii="Narkisim" w:hAnsi="Narkisim"/>
        </w:rPr>
      </w:pPr>
      <w:r w:rsidRPr="00E14121">
        <w:rPr>
          <w:rFonts w:ascii="Narkisim" w:hAnsi="Narkisim"/>
          <w:u w:val="single"/>
          <w:rtl/>
        </w:rPr>
        <w:lastRenderedPageBreak/>
        <w:t>מנ"ל וכו' תלתא קראי כתיבי וכו' הא רחץ טהור וכו', הא במעשר.</w:t>
      </w:r>
      <w:r w:rsidRPr="00E14121">
        <w:rPr>
          <w:rFonts w:ascii="Narkisim" w:hAnsi="Narkisim"/>
          <w:rtl/>
        </w:rPr>
        <w:t xml:space="preserve"> משמע דילפי' מהכא דע"י טבילה הותר במעשר. [דאף אי יש ס"ד דטבו"י יפסל למעשר</w:t>
      </w:r>
      <w:r w:rsidRPr="00E14121">
        <w:rPr>
          <w:rStyle w:val="ac"/>
          <w:rFonts w:ascii="Narkisim" w:hAnsi="Narkisim"/>
          <w:rtl/>
        </w:rPr>
        <w:footnoteReference w:id="4503"/>
      </w:r>
      <w:r w:rsidRPr="00E14121">
        <w:rPr>
          <w:rFonts w:ascii="Narkisim" w:hAnsi="Narkisim"/>
          <w:rtl/>
        </w:rPr>
        <w:t>, גלי קרא דאוכל]. וצ"ב אמאי לא נימא דרחץ טהור דאינו מטמא חולין.</w:t>
      </w:r>
    </w:p>
    <w:p w14:paraId="1D6F03A2" w14:textId="77777777" w:rsidR="00F64AED" w:rsidRPr="00E14121" w:rsidRDefault="00F64AED" w:rsidP="00F64AED">
      <w:pPr>
        <w:pStyle w:val="aa"/>
        <w:bidi/>
        <w:rPr>
          <w:rFonts w:ascii="Narkisim" w:hAnsi="Narkisim"/>
        </w:rPr>
      </w:pPr>
      <w:r w:rsidRPr="00E14121">
        <w:rPr>
          <w:rFonts w:ascii="Narkisim" w:hAnsi="Narkisim"/>
          <w:u w:val="single"/>
          <w:rtl/>
        </w:rPr>
        <w:t>הא כיצד כאן למעשר, כאן לתרומה, כאן לקדשים, ואיפוך אנא וכו</w:t>
      </w:r>
      <w:r w:rsidRPr="00E14121">
        <w:rPr>
          <w:rFonts w:ascii="Narkisim" w:hAnsi="Narkisim"/>
          <w:rtl/>
        </w:rPr>
        <w:t>'. מבואר בגמ' דקו' איפוך אנא הוה תרומה ומעשר. ואילו הגמ' (בסמוך, בדרשת אביי מיולדת) מק' איפוך אנא תרומה וקדשים [והביאו דקדשים חמירי]. וה</w:t>
      </w:r>
      <w:r w:rsidRPr="00E14121">
        <w:rPr>
          <w:rFonts w:ascii="Narkisim" w:hAnsi="Narkisim"/>
          <w:b/>
          <w:bCs/>
          <w:rtl/>
        </w:rPr>
        <w:t>משנ"ל</w:t>
      </w:r>
      <w:r w:rsidRPr="00E14121">
        <w:rPr>
          <w:rFonts w:ascii="Narkisim" w:hAnsi="Narkisim"/>
          <w:rtl/>
        </w:rPr>
        <w:t xml:space="preserve"> (טו”צ יא ב) ביאר דקרא ד'ובא השמש וטהר' משמע דקאי אתרומה ולא קדשים, דכתיב כי לחמו הוא. ותרומה איקרי לחמו סתם. ועוד דכיון דהך קרא כתיב בתר קרא ד'כי אם רחץ' דקאי במעשר, מסתבר דאיירי בתרומה דדמי למעשר.</w:t>
      </w:r>
    </w:p>
    <w:p w14:paraId="46EB21A9" w14:textId="77777777" w:rsidR="00F64AED" w:rsidRPr="00E14121" w:rsidRDefault="00F64AED" w:rsidP="00F64AED">
      <w:pPr>
        <w:pStyle w:val="aa"/>
        <w:bidi/>
        <w:rPr>
          <w:rFonts w:ascii="Narkisim" w:hAnsi="Narkisim"/>
        </w:rPr>
      </w:pPr>
      <w:r w:rsidRPr="00E14121">
        <w:rPr>
          <w:rFonts w:ascii="Narkisim" w:hAnsi="Narkisim"/>
          <w:u w:val="single"/>
          <w:rtl/>
        </w:rPr>
        <w:t>מסתברא תרומה עדיפא שכן מחפ"ז</w:t>
      </w:r>
      <w:r w:rsidRPr="00E14121">
        <w:rPr>
          <w:rFonts w:ascii="Narkisim" w:hAnsi="Narkisim"/>
          <w:rtl/>
        </w:rPr>
        <w:t>. ה</w:t>
      </w:r>
      <w:r w:rsidRPr="00E14121">
        <w:rPr>
          <w:rFonts w:ascii="Narkisim" w:hAnsi="Narkisim"/>
          <w:b/>
          <w:bCs/>
          <w:rtl/>
        </w:rPr>
        <w:t>רמב"ן</w:t>
      </w:r>
      <w:r w:rsidRPr="00E14121">
        <w:rPr>
          <w:rFonts w:ascii="Narkisim" w:hAnsi="Narkisim"/>
          <w:rtl/>
        </w:rPr>
        <w:t xml:space="preserve"> הק' דלצד דאף מדאורייתא תרומה צריך ק' לבטל, א”כ הו"ל להביא אף טעם זה. ודחה דמ"מ עדיין שקולים [מחפ"ז והד"ס ט"ב], וצריך לטעם דמיתה עדיפא. ועוד כת' דכיון דיש אופנים של מעש"ש דהוה דבר שיש לו מתירין ואינו בטל (וכדאי' ב”מ נג.). מש"ה לא נחשב חומר לא בתרומה ולא במעשר</w:t>
      </w:r>
      <w:r w:rsidRPr="00E14121">
        <w:rPr>
          <w:rStyle w:val="ac"/>
          <w:rFonts w:ascii="Narkisim" w:hAnsi="Narkisim"/>
          <w:rtl/>
        </w:rPr>
        <w:footnoteReference w:id="4504"/>
      </w:r>
      <w:r w:rsidRPr="00E14121">
        <w:rPr>
          <w:rFonts w:ascii="Narkisim" w:hAnsi="Narkisim"/>
          <w:rtl/>
        </w:rPr>
        <w:t>.</w:t>
      </w:r>
    </w:p>
    <w:p w14:paraId="457738FF" w14:textId="77777777" w:rsidR="00F64AED" w:rsidRPr="00E14121" w:rsidRDefault="00F64AED" w:rsidP="00F64AED">
      <w:pPr>
        <w:pStyle w:val="aa"/>
        <w:bidi/>
        <w:rPr>
          <w:rFonts w:ascii="Narkisim" w:hAnsi="Narkisim"/>
        </w:rPr>
      </w:pPr>
      <w:r w:rsidRPr="00E14121">
        <w:rPr>
          <w:rFonts w:ascii="Narkisim" w:hAnsi="Narkisim"/>
          <w:u w:val="single"/>
          <w:rtl/>
        </w:rPr>
        <w:t>הד"ס ט"ב</w:t>
      </w:r>
      <w:r w:rsidRPr="00E14121">
        <w:rPr>
          <w:rFonts w:ascii="Narkisim" w:hAnsi="Narkisim"/>
          <w:rtl/>
        </w:rPr>
        <w:t>. פ</w:t>
      </w:r>
      <w:r w:rsidRPr="00E14121">
        <w:rPr>
          <w:rFonts w:ascii="Narkisim" w:hAnsi="Narkisim"/>
          <w:b/>
          <w:bCs/>
          <w:rtl/>
        </w:rPr>
        <w:t>רש"י</w:t>
      </w:r>
      <w:r w:rsidRPr="00E14121">
        <w:rPr>
          <w:rFonts w:ascii="Narkisim" w:hAnsi="Narkisim"/>
          <w:rtl/>
        </w:rPr>
        <w:t xml:space="preserve"> 'ט' אסור לבער בטומאה ואוכלו בטומאת עצמו לוקה. [ושניהם נכללו להחשב חד חומרא]. אבל ה</w:t>
      </w:r>
      <w:r w:rsidRPr="00E14121">
        <w:rPr>
          <w:rFonts w:ascii="Narkisim" w:hAnsi="Narkisim"/>
          <w:b/>
          <w:bCs/>
          <w:rtl/>
        </w:rPr>
        <w:t>רמב"ן</w:t>
      </w:r>
      <w:r w:rsidRPr="00E14121">
        <w:rPr>
          <w:rFonts w:ascii="Narkisim" w:hAnsi="Narkisim"/>
          <w:rtl/>
        </w:rPr>
        <w:t xml:space="preserve"> נקט דנקטו אוכלו בטומאת עצמו. וכת' דהו"ל לנקוט אף אסור לבער בטומאה, דהוה חומרא במעשר. אלא כיון דיש כבר נפישא לא דקדק בזה.</w:t>
      </w:r>
    </w:p>
    <w:p w14:paraId="09D257FF" w14:textId="77777777" w:rsidR="00F64AED" w:rsidRPr="00E14121" w:rsidRDefault="00F64AED" w:rsidP="00F64AED">
      <w:pPr>
        <w:pStyle w:val="aa"/>
        <w:bidi/>
        <w:rPr>
          <w:rFonts w:ascii="Narkisim" w:hAnsi="Narkisim"/>
        </w:rPr>
      </w:pPr>
      <w:r w:rsidRPr="00E14121">
        <w:rPr>
          <w:rFonts w:ascii="Narkisim" w:hAnsi="Narkisim"/>
          <w:u w:val="single"/>
          <w:rtl/>
        </w:rPr>
        <w:t>תוד"ה מכלל.</w:t>
      </w:r>
      <w:r w:rsidRPr="00E14121">
        <w:rPr>
          <w:rFonts w:ascii="Narkisim" w:hAnsi="Narkisim"/>
          <w:rtl/>
        </w:rPr>
        <w:t xml:space="preserve"> תימה וכו' ואמאי לא יליף בטבו"י וכו' וטהר מכלל שהוא טמא. ב</w:t>
      </w:r>
      <w:r w:rsidRPr="00E14121">
        <w:rPr>
          <w:rFonts w:ascii="Narkisim" w:hAnsi="Narkisim"/>
          <w:b/>
          <w:bCs/>
          <w:rtl/>
        </w:rPr>
        <w:t>הג' ראמ"ה</w:t>
      </w:r>
      <w:r w:rsidRPr="00E14121">
        <w:rPr>
          <w:rFonts w:ascii="Narkisim" w:hAnsi="Narkisim"/>
          <w:rtl/>
        </w:rPr>
        <w:t xml:space="preserve"> כתב דקרא דטבול יום לא כתיב לגבי קודש, ולכן א"א לדרוש מכלל שהוא טמא, דלענין מעשר אינו טמא. משא"כ הפסוק של מחוסר כיפורים נאמר לגבי קדשים, ולכן שפיר דרשי'.</w:t>
      </w:r>
    </w:p>
    <w:p w14:paraId="65867E71" w14:textId="77777777" w:rsidR="00F64AED" w:rsidRPr="00E14121" w:rsidRDefault="00F64AED" w:rsidP="00F64AED">
      <w:pPr>
        <w:bidi/>
        <w:rPr>
          <w:rFonts w:ascii="Narkisim" w:hAnsi="Narkisim" w:cs="Narkisim"/>
        </w:rPr>
      </w:pPr>
      <w:r w:rsidRPr="00E14121">
        <w:rPr>
          <w:rFonts w:ascii="Narkisim" w:hAnsi="Narkisim" w:cs="Narkisim"/>
          <w:u w:val="single"/>
          <w:rtl/>
        </w:rPr>
        <w:t>בא"ד וא"ת וכו' לענין ביאת מקדש, ל"ל קרא כיון דאיקרי טמא.</w:t>
      </w:r>
      <w:r w:rsidRPr="00E14121">
        <w:rPr>
          <w:rFonts w:ascii="Narkisim" w:hAnsi="Narkisim" w:cs="Narkisim"/>
          <w:rtl/>
        </w:rPr>
        <w:t xml:space="preserve"> </w:t>
      </w:r>
      <w:r w:rsidRPr="00E14121">
        <w:rPr>
          <w:rFonts w:ascii="Narkisim" w:hAnsi="Narkisim" w:cs="Narkisim"/>
          <w:sz w:val="20"/>
          <w:szCs w:val="20"/>
          <w:rtl/>
        </w:rPr>
        <w:t>משמע דכל שיש בו 'שם טומאה' חייב על ביאת מקדש.</w:t>
      </w:r>
    </w:p>
    <w:p w14:paraId="73ADA6B7"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(ביאת המקדש ג ט) פסק דמחו"כ שנכנס למקדש מכין מכות מרדות. וה</w:t>
      </w:r>
      <w:r w:rsidRPr="00E14121">
        <w:rPr>
          <w:rFonts w:ascii="Narkisim" w:hAnsi="Narkisim"/>
          <w:b/>
          <w:bCs/>
          <w:rtl/>
        </w:rPr>
        <w:t>ראב”ד</w:t>
      </w:r>
      <w:r w:rsidRPr="00E14121">
        <w:rPr>
          <w:rFonts w:ascii="Narkisim" w:hAnsi="Narkisim"/>
          <w:rtl/>
        </w:rPr>
        <w:t xml:space="preserve"> השיג דמחו"כ שנכנס למקדש בכרת [וכדאי' בתוספתא ריש כלים, וכן מנחות כז:]. וה</w:t>
      </w:r>
      <w:r w:rsidRPr="00E14121">
        <w:rPr>
          <w:rFonts w:ascii="Narkisim" w:hAnsi="Narkisim"/>
          <w:b/>
          <w:bCs/>
          <w:rtl/>
        </w:rPr>
        <w:t xml:space="preserve">מהר"י קורקוס </w:t>
      </w:r>
      <w:r w:rsidRPr="00E14121">
        <w:rPr>
          <w:rFonts w:ascii="Narkisim" w:hAnsi="Narkisim"/>
          <w:rtl/>
        </w:rPr>
        <w:t>ו</w:t>
      </w:r>
      <w:r w:rsidRPr="00E14121">
        <w:rPr>
          <w:rFonts w:ascii="Narkisim" w:hAnsi="Narkisim"/>
          <w:b/>
          <w:bCs/>
          <w:rtl/>
        </w:rPr>
        <w:t>כס”מ</w:t>
      </w:r>
      <w:r w:rsidRPr="00E14121">
        <w:rPr>
          <w:rFonts w:ascii="Narkisim" w:hAnsi="Narkisim"/>
          <w:rtl/>
        </w:rPr>
        <w:t xml:space="preserve"> תי' דדעת הרמב”ם דקי”ל דמחו”כ דזב לאו כזב, וכל הסוגיות דמבואר דחייב כרת קאי כמ”ד מחוסר כיפורים דזב כזב.</w:t>
      </w:r>
    </w:p>
    <w:p w14:paraId="67E1A95F" w14:textId="77777777" w:rsidR="00F64AED" w:rsidRPr="00E14121" w:rsidRDefault="00F64AED" w:rsidP="00F64AED">
      <w:pPr>
        <w:pStyle w:val="a7"/>
        <w:bidi/>
        <w:rPr>
          <w:rFonts w:ascii="Narkisim" w:hAnsi="Narkisim"/>
        </w:rPr>
      </w:pPr>
      <w:r w:rsidRPr="00E14121">
        <w:rPr>
          <w:rFonts w:ascii="Narkisim" w:hAnsi="Narkisim"/>
          <w:rtl/>
        </w:rPr>
        <w:t>וכן ה</w:t>
      </w:r>
      <w:r w:rsidRPr="00E14121">
        <w:rPr>
          <w:rFonts w:ascii="Narkisim" w:hAnsi="Narkisim"/>
          <w:b/>
          <w:bCs/>
          <w:rtl/>
        </w:rPr>
        <w:t xml:space="preserve">רמב”ם </w:t>
      </w:r>
      <w:r w:rsidRPr="00E14121">
        <w:rPr>
          <w:rFonts w:ascii="Narkisim" w:hAnsi="Narkisim"/>
          <w:sz w:val="20"/>
          <w:szCs w:val="20"/>
          <w:rtl/>
        </w:rPr>
        <w:t xml:space="preserve">(פסוהמ”ק יח יד) </w:t>
      </w:r>
      <w:r w:rsidRPr="00E14121">
        <w:rPr>
          <w:rFonts w:ascii="Narkisim" w:hAnsi="Narkisim"/>
          <w:rtl/>
        </w:rPr>
        <w:t>פסק דטבול יום דאכל קדשים לוקה, ואינו חייב כרת. וה</w:t>
      </w:r>
      <w:r w:rsidRPr="00E14121">
        <w:rPr>
          <w:rFonts w:ascii="Narkisim" w:hAnsi="Narkisim"/>
          <w:b/>
          <w:bCs/>
          <w:rtl/>
        </w:rPr>
        <w:t>ראב”ד</w:t>
      </w:r>
      <w:r w:rsidRPr="00E14121">
        <w:rPr>
          <w:rFonts w:ascii="Narkisim" w:hAnsi="Narkisim"/>
          <w:rtl/>
        </w:rPr>
        <w:t xml:space="preserve"> השיג שהוא בכרת. </w:t>
      </w:r>
      <w:r w:rsidRPr="00E14121">
        <w:rPr>
          <w:rFonts w:ascii="Narkisim" w:hAnsi="Narkisim"/>
          <w:sz w:val="20"/>
          <w:szCs w:val="20"/>
          <w:rtl/>
        </w:rPr>
        <w:t>וה</w:t>
      </w:r>
      <w:r w:rsidRPr="00E14121">
        <w:rPr>
          <w:rFonts w:ascii="Narkisim" w:hAnsi="Narkisim"/>
          <w:b/>
          <w:bCs/>
          <w:sz w:val="20"/>
          <w:szCs w:val="20"/>
          <w:rtl/>
        </w:rPr>
        <w:t>מהר"י קורקוס</w:t>
      </w:r>
      <w:r w:rsidRPr="00E14121">
        <w:rPr>
          <w:rFonts w:ascii="Narkisim" w:hAnsi="Narkisim"/>
          <w:sz w:val="20"/>
          <w:szCs w:val="20"/>
          <w:rtl/>
        </w:rPr>
        <w:t xml:space="preserve"> כת' דהרמב”ם ס”ל דטבו”י דזב לאו כזב, ולכן אינו חייב מיתה. אבל מ”מ לוקה כדמבואר בסוגיין דהוה בכלל 'כל טמא'.</w:t>
      </w:r>
    </w:p>
    <w:p w14:paraId="572B9B1F"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(הו' בגרי"ז הל' פרה) ביאר דהא דאינו לוקה כשנכנס למקדש, דביאת מקדש תליא בטומאה לטמא אחרים (והו' לעיל עב:).  וילפי' בסוגיין דיש פסול טומאה על הגברא, אבל לענין ביאת מקדש לא נתרבה שמטמא אחרים.</w:t>
      </w:r>
    </w:p>
    <w:p w14:paraId="3EEAC689" w14:textId="77777777" w:rsidR="00F64AED" w:rsidRPr="00E14121" w:rsidRDefault="00F64AED" w:rsidP="00F64AED">
      <w:pPr>
        <w:bidi/>
        <w:rPr>
          <w:rFonts w:ascii="Narkisim" w:hAnsi="Narkisim" w:cs="Narkisim"/>
        </w:rPr>
      </w:pPr>
      <w:r w:rsidRPr="00E14121">
        <w:rPr>
          <w:rFonts w:ascii="Narkisim" w:hAnsi="Narkisim" w:cs="Narkisim"/>
          <w:u w:val="single"/>
          <w:rtl/>
        </w:rPr>
        <w:t>תוד"ה ושפחה מנין.</w:t>
      </w:r>
      <w:r w:rsidRPr="00E14121">
        <w:rPr>
          <w:rFonts w:ascii="Narkisim" w:hAnsi="Narkisim" w:cs="Narkisim"/>
          <w:rtl/>
        </w:rPr>
        <w:t xml:space="preserve"> משוחררת וכו'. מבואר דאף שפחה משוחררת בעי קרא לרבות. ו</w:t>
      </w:r>
      <w:r w:rsidRPr="00E14121">
        <w:rPr>
          <w:rFonts w:ascii="Narkisim" w:hAnsi="Narkisim" w:cs="Narkisim"/>
          <w:b/>
          <w:bCs/>
          <w:rtl/>
        </w:rPr>
        <w:t>תוס</w:t>
      </w:r>
      <w:r w:rsidRPr="00E14121">
        <w:rPr>
          <w:rFonts w:ascii="Narkisim" w:hAnsi="Narkisim" w:cs="Narkisim"/>
          <w:rtl/>
        </w:rPr>
        <w:t xml:space="preserve">' (סוכה כח:, סנהדרין פו., מנחות סא:) כת' דבמקום דכתיב 'בני ישראל' צרריך ריבוי לגר ומשוחרר. </w:t>
      </w:r>
      <w:r w:rsidRPr="00E14121">
        <w:rPr>
          <w:rFonts w:ascii="Narkisim" w:hAnsi="Narkisim" w:cs="Narkisim"/>
          <w:sz w:val="20"/>
          <w:szCs w:val="20"/>
          <w:rtl/>
        </w:rPr>
        <w:t>וכ"כ ה</w:t>
      </w:r>
      <w:r w:rsidRPr="00E14121">
        <w:rPr>
          <w:rFonts w:ascii="Narkisim" w:hAnsi="Narkisim" w:cs="Narkisim"/>
          <w:b/>
          <w:bCs/>
          <w:sz w:val="20"/>
          <w:szCs w:val="20"/>
          <w:rtl/>
        </w:rPr>
        <w:t>ש"ך</w:t>
      </w:r>
      <w:r w:rsidRPr="00E14121">
        <w:rPr>
          <w:rFonts w:ascii="Narkisim" w:hAnsi="Narkisim" w:cs="Narkisim"/>
          <w:sz w:val="20"/>
          <w:szCs w:val="20"/>
          <w:rtl/>
        </w:rPr>
        <w:t xml:space="preserve"> (בנה"כ יו"ד א ב), אבל ה</w:t>
      </w:r>
      <w:r w:rsidRPr="00E14121">
        <w:rPr>
          <w:rFonts w:ascii="Narkisim" w:hAnsi="Narkisim" w:cs="Narkisim"/>
          <w:b/>
          <w:bCs/>
          <w:sz w:val="20"/>
          <w:szCs w:val="20"/>
          <w:rtl/>
        </w:rPr>
        <w:t>ט"ז</w:t>
      </w:r>
      <w:r w:rsidRPr="00E14121">
        <w:rPr>
          <w:rFonts w:ascii="Narkisim" w:hAnsi="Narkisim" w:cs="Narkisim"/>
          <w:sz w:val="20"/>
          <w:szCs w:val="20"/>
          <w:rtl/>
        </w:rPr>
        <w:t xml:space="preserve"> (שם) כתב דלכל דבר עבד משוחרר צריך ריבוי, דאינו כישראל גמור.</w:t>
      </w:r>
    </w:p>
    <w:p w14:paraId="4FCF3A2E" w14:textId="77777777" w:rsidR="00F64AED" w:rsidRPr="00E14121" w:rsidRDefault="00F64AED" w:rsidP="00F64AED">
      <w:pPr>
        <w:pStyle w:val="aa"/>
        <w:bidi/>
        <w:rPr>
          <w:rFonts w:ascii="Narkisim" w:hAnsi="Narkisim"/>
        </w:rPr>
      </w:pPr>
      <w:r w:rsidRPr="00E14121">
        <w:rPr>
          <w:rFonts w:ascii="Narkisim" w:hAnsi="Narkisim"/>
          <w:u w:val="single"/>
          <w:rtl/>
        </w:rPr>
        <w:t>בא"ד ואי כשאין משוחררת בת מיכל בתרומה היא, אם היא של כהן וכו'</w:t>
      </w:r>
      <w:r w:rsidRPr="00E14121">
        <w:rPr>
          <w:rFonts w:ascii="Narkisim" w:hAnsi="Narkisim"/>
          <w:rtl/>
        </w:rPr>
        <w:t>. וכשהיא טמאה אינה אוכלת, דאף עבד של כהן כשהוא טמא אינו אוכל בתרומה.</w:t>
      </w:r>
    </w:p>
    <w:p w14:paraId="5BF7CA54" w14:textId="77777777" w:rsidR="00F64AED" w:rsidRPr="00E14121" w:rsidRDefault="00F64AED" w:rsidP="00F64AED">
      <w:pPr>
        <w:bidi/>
        <w:rPr>
          <w:rFonts w:ascii="Narkisim" w:hAnsi="Narkisim" w:cs="Narkisim"/>
        </w:rPr>
      </w:pPr>
      <w:r w:rsidRPr="00E14121">
        <w:rPr>
          <w:rFonts w:ascii="Narkisim" w:hAnsi="Narkisim" w:cs="Narkisim"/>
          <w:u w:val="single"/>
          <w:rtl/>
        </w:rPr>
        <w:t>בא"ד ומיהו שאינה משוחררת נמי טמאה לידה וכו' ובתו"כ בהדיא גרסי' וכו' בין משוחררת בין אינה משוחררת</w:t>
      </w:r>
      <w:r w:rsidRPr="00E14121">
        <w:rPr>
          <w:rFonts w:ascii="Narkisim" w:hAnsi="Narkisim" w:cs="Narkisim"/>
          <w:rtl/>
        </w:rPr>
        <w:t>. וה</w:t>
      </w:r>
      <w:r w:rsidRPr="00E14121">
        <w:rPr>
          <w:rFonts w:ascii="Narkisim" w:hAnsi="Narkisim" w:cs="Narkisim"/>
          <w:b/>
          <w:bCs/>
          <w:rtl/>
        </w:rPr>
        <w:t>שיטמ"ק</w:t>
      </w:r>
      <w:r w:rsidRPr="00E14121">
        <w:rPr>
          <w:rFonts w:ascii="Narkisim" w:hAnsi="Narkisim" w:cs="Narkisim"/>
          <w:rtl/>
        </w:rPr>
        <w:t xml:space="preserve"> (כריתות ז: טז) משמע דילפי' מהא דבנה נימול לח', ע"כ דיש לה טומאת לידה.</w:t>
      </w:r>
    </w:p>
    <w:p w14:paraId="4C19EDA1" w14:textId="77777777" w:rsidR="00F64AED" w:rsidRPr="00E14121" w:rsidRDefault="00F64AED" w:rsidP="00F64AED">
      <w:pPr>
        <w:bidi/>
        <w:rPr>
          <w:rFonts w:ascii="Narkisim" w:hAnsi="Narkisim" w:cs="Narkisim"/>
        </w:rPr>
      </w:pPr>
      <w:r w:rsidRPr="00E14121">
        <w:rPr>
          <w:rFonts w:ascii="Narkisim" w:hAnsi="Narkisim" w:cs="Narkisim"/>
          <w:u w:val="single"/>
          <w:rtl/>
        </w:rPr>
        <w:t>בא"ד ומיהו תימה היכי מתרביא שפחה וכו' כיון דאיצטריך לגיורת וכו'</w:t>
      </w:r>
      <w:r w:rsidRPr="00E14121">
        <w:rPr>
          <w:rFonts w:ascii="Narkisim" w:hAnsi="Narkisim" w:cs="Narkisim"/>
          <w:rtl/>
        </w:rPr>
        <w:t>. ותוס' הביאו דב</w:t>
      </w:r>
      <w:r w:rsidRPr="00E14121">
        <w:rPr>
          <w:rFonts w:ascii="Narkisim" w:hAnsi="Narkisim" w:cs="Narkisim"/>
          <w:b/>
          <w:bCs/>
          <w:rtl/>
        </w:rPr>
        <w:t>תורת כהנים</w:t>
      </w:r>
      <w:r w:rsidRPr="00E14121">
        <w:rPr>
          <w:rFonts w:ascii="Narkisim" w:hAnsi="Narkisim" w:cs="Narkisim"/>
          <w:rtl/>
        </w:rPr>
        <w:t xml:space="preserve"> (תזריע א) ילפי' כולהו מ'אשה' [וכ”כ </w:t>
      </w:r>
      <w:r w:rsidRPr="00E14121">
        <w:rPr>
          <w:rFonts w:ascii="Narkisim" w:hAnsi="Narkisim" w:cs="Narkisim"/>
          <w:b/>
          <w:bCs/>
          <w:rtl/>
        </w:rPr>
        <w:t>תוס</w:t>
      </w:r>
      <w:r w:rsidRPr="00E14121">
        <w:rPr>
          <w:rFonts w:ascii="Narkisim" w:hAnsi="Narkisim" w:cs="Narkisim"/>
          <w:rtl/>
        </w:rPr>
        <w:t xml:space="preserve">' פסחים ט.]. אך </w:t>
      </w:r>
      <w:r w:rsidRPr="00E14121">
        <w:rPr>
          <w:rFonts w:ascii="Narkisim" w:hAnsi="Narkisim" w:cs="Narkisim"/>
          <w:b/>
          <w:bCs/>
          <w:rtl/>
        </w:rPr>
        <w:t>תוס</w:t>
      </w:r>
      <w:r w:rsidRPr="00E14121">
        <w:rPr>
          <w:rFonts w:ascii="Narkisim" w:hAnsi="Narkisim" w:cs="Narkisim"/>
          <w:rtl/>
        </w:rPr>
        <w:t>' (דידן) נקטו דע"כ ילפי' ממקו"א, דהאיך אפשר ללמוד כולהו מחד קרא.</w:t>
      </w:r>
    </w:p>
    <w:p w14:paraId="19BE0FA9"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קוב"ש</w:t>
      </w:r>
      <w:r w:rsidRPr="00E14121">
        <w:rPr>
          <w:rFonts w:ascii="Narkisim" w:hAnsi="Narkisim"/>
          <w:rtl/>
        </w:rPr>
        <w:t xml:space="preserve"> (פסחים לט) העמיד דדעת תוס' דידן דצריך ריבוי בפנ"ע דשפחה מטמא. דכיון דשפחה אין לה חייס, ואין הבן שלה, ס"ד דאינה טמאה לידה. ואילו דעת תוס' (שם) דתרוייהו מחד קרא, דאף שפחה לידה מיהא איתא.</w:t>
      </w:r>
    </w:p>
    <w:p w14:paraId="2B6B7587" w14:textId="77777777" w:rsidR="00F64AED" w:rsidRPr="00E14121" w:rsidRDefault="00F64AED" w:rsidP="00F64AED">
      <w:pPr>
        <w:pStyle w:val="aa"/>
        <w:bidi/>
        <w:rPr>
          <w:rFonts w:ascii="Narkisim" w:hAnsi="Narkisim"/>
        </w:rPr>
      </w:pPr>
      <w:r w:rsidRPr="00E14121">
        <w:rPr>
          <w:rFonts w:ascii="Narkisim" w:hAnsi="Narkisim"/>
          <w:u w:val="single"/>
          <w:rtl/>
        </w:rPr>
        <w:t>בא"ד ונראה דשאינה משוחררת אתיא לה לה וכו'.</w:t>
      </w:r>
      <w:r w:rsidRPr="00E14121">
        <w:rPr>
          <w:rFonts w:ascii="Narkisim" w:hAnsi="Narkisim"/>
          <w:rtl/>
        </w:rPr>
        <w:t xml:space="preserve"> וצ"ב א"כ אמאי איצטריך קרא למשוחררת. וה</w:t>
      </w:r>
      <w:r w:rsidRPr="00E14121">
        <w:rPr>
          <w:rFonts w:ascii="Narkisim" w:hAnsi="Narkisim"/>
          <w:b/>
          <w:bCs/>
          <w:rtl/>
        </w:rPr>
        <w:t>שיטמ”ק</w:t>
      </w:r>
      <w:r w:rsidRPr="00E14121">
        <w:rPr>
          <w:rFonts w:ascii="Narkisim" w:hAnsi="Narkisim"/>
          <w:rtl/>
        </w:rPr>
        <w:t xml:space="preserve"> </w:t>
      </w:r>
      <w:r w:rsidRPr="00E14121">
        <w:rPr>
          <w:rFonts w:ascii="Narkisim" w:hAnsi="Narkisim"/>
          <w:rtl/>
        </w:rPr>
        <w:lastRenderedPageBreak/>
        <w:t>(כריתות ז: יח בהשמ') ביאר דאי לאו דדרשינן 'אשה' ס”ד דבני ישראל דוקא</w:t>
      </w:r>
      <w:r w:rsidRPr="00E14121">
        <w:rPr>
          <w:rStyle w:val="ac"/>
          <w:rFonts w:ascii="Narkisim" w:hAnsi="Narkisim"/>
          <w:rtl/>
        </w:rPr>
        <w:footnoteReference w:id="4505"/>
      </w:r>
      <w:r w:rsidRPr="00E14121">
        <w:rPr>
          <w:rFonts w:ascii="Narkisim" w:hAnsi="Narkisim"/>
          <w:rtl/>
        </w:rPr>
        <w:t>. ואי לאו דדדרשי' 'לה לה' ס"ד דשפחה כחמרתא ומש”ה אינה מטמאה.</w:t>
      </w:r>
    </w:p>
    <w:p w14:paraId="5488792F" w14:textId="77777777" w:rsidR="00F64AED" w:rsidRPr="00E14121" w:rsidRDefault="00F64AED" w:rsidP="00F64AED">
      <w:pPr>
        <w:bidi/>
        <w:rPr>
          <w:rFonts w:ascii="Narkisim" w:hAnsi="Narkisim" w:cs="Narkisim"/>
        </w:rPr>
      </w:pPr>
      <w:r w:rsidRPr="00E14121">
        <w:rPr>
          <w:rFonts w:ascii="Narkisim" w:hAnsi="Narkisim" w:cs="Narkisim"/>
          <w:u w:val="single"/>
          <w:rtl/>
        </w:rPr>
        <w:t>בנות מיכל בתרומה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כתבו דקאי כמ"ד דגיורת אסורה בכהונה</w:t>
      </w:r>
      <w:r w:rsidRPr="00E14121">
        <w:rPr>
          <w:rFonts w:ascii="Narkisim" w:hAnsi="Narkisim" w:cs="Narkisim"/>
          <w:sz w:val="20"/>
          <w:szCs w:val="20"/>
          <w:rtl/>
        </w:rPr>
        <w:t xml:space="preserve"> [וע' </w:t>
      </w:r>
      <w:r w:rsidRPr="00E14121">
        <w:rPr>
          <w:rFonts w:ascii="Narkisim" w:hAnsi="Narkisim" w:cs="Narkisim"/>
          <w:b/>
          <w:bCs/>
          <w:sz w:val="20"/>
          <w:szCs w:val="20"/>
          <w:rtl/>
        </w:rPr>
        <w:t>תו”י</w:t>
      </w:r>
      <w:r w:rsidRPr="00E14121">
        <w:rPr>
          <w:rStyle w:val="ac"/>
          <w:rFonts w:ascii="Narkisim" w:hAnsi="Narkisim" w:cs="Narkisim"/>
          <w:sz w:val="20"/>
          <w:szCs w:val="20"/>
          <w:rtl/>
        </w:rPr>
        <w:footnoteReference w:id="4506"/>
      </w:r>
      <w:r w:rsidRPr="00E14121">
        <w:rPr>
          <w:rFonts w:ascii="Narkisim" w:hAnsi="Narkisim" w:cs="Narkisim"/>
          <w:sz w:val="20"/>
          <w:szCs w:val="20"/>
          <w:rtl/>
        </w:rPr>
        <w:t>].</w:t>
      </w:r>
      <w:r w:rsidRPr="00E14121">
        <w:rPr>
          <w:rFonts w:ascii="Narkisim" w:hAnsi="Narkisim" w:cs="Narkisim"/>
          <w:rtl/>
        </w:rPr>
        <w:t xml:space="preserve"> וה</w:t>
      </w:r>
      <w:r w:rsidRPr="00E14121">
        <w:rPr>
          <w:rFonts w:ascii="Narkisim" w:hAnsi="Narkisim" w:cs="Narkisim"/>
          <w:b/>
          <w:bCs/>
          <w:rtl/>
        </w:rPr>
        <w:t>אחרונים</w:t>
      </w:r>
      <w:r w:rsidRPr="00E14121">
        <w:rPr>
          <w:rFonts w:ascii="Narkisim" w:hAnsi="Narkisim" w:cs="Narkisim"/>
          <w:rtl/>
        </w:rPr>
        <w:t xml:space="preserve"> הקשו דאם כהן קידש גיורת תאכל מדאורי', דמשתמרת לביאה פסולה הוה רק דרבנן. </w:t>
      </w:r>
      <w:r w:rsidRPr="00E14121">
        <w:rPr>
          <w:rFonts w:ascii="Narkisim" w:hAnsi="Narkisim" w:cs="Narkisim"/>
          <w:sz w:val="20"/>
          <w:szCs w:val="20"/>
          <w:rtl/>
        </w:rPr>
        <w:t>וה</w:t>
      </w:r>
      <w:r w:rsidRPr="00E14121">
        <w:rPr>
          <w:rFonts w:ascii="Narkisim" w:hAnsi="Narkisim" w:cs="Narkisim"/>
          <w:b/>
          <w:bCs/>
          <w:sz w:val="20"/>
          <w:szCs w:val="20"/>
          <w:rtl/>
        </w:rPr>
        <w:t>ערול"נ</w:t>
      </w:r>
      <w:r w:rsidRPr="00E14121">
        <w:rPr>
          <w:rFonts w:ascii="Narkisim" w:hAnsi="Narkisim" w:cs="Narkisim"/>
          <w:sz w:val="20"/>
          <w:szCs w:val="20"/>
          <w:rtl/>
        </w:rPr>
        <w:t xml:space="preserve"> הק' עוד דאם נפלה ליבום מותרת [דמדאורייתא עדל"ת]</w:t>
      </w:r>
      <w:r w:rsidRPr="00E14121">
        <w:rPr>
          <w:rStyle w:val="ac"/>
          <w:rFonts w:ascii="Narkisim" w:hAnsi="Narkisim" w:cs="Narkisim"/>
          <w:sz w:val="20"/>
          <w:szCs w:val="20"/>
          <w:rtl/>
        </w:rPr>
        <w:footnoteReference w:id="4507"/>
      </w:r>
      <w:r w:rsidRPr="00E14121">
        <w:rPr>
          <w:rFonts w:ascii="Narkisim" w:hAnsi="Narkisim" w:cs="Narkisim"/>
          <w:sz w:val="20"/>
          <w:szCs w:val="20"/>
          <w:rtl/>
        </w:rPr>
        <w:t>.</w:t>
      </w:r>
    </w:p>
    <w:p w14:paraId="129DE24F" w14:textId="77777777" w:rsidR="00F64AED" w:rsidRPr="00E14121" w:rsidRDefault="00F64AED" w:rsidP="00F64AED">
      <w:pPr>
        <w:pStyle w:val="3"/>
        <w:bidi/>
        <w:rPr>
          <w:rFonts w:ascii="Narkisim" w:hAnsi="Narkisim"/>
        </w:rPr>
      </w:pPr>
      <w:r w:rsidRPr="00E14121">
        <w:rPr>
          <w:rFonts w:ascii="Narkisim" w:hAnsi="Narkisim"/>
          <w:rtl/>
        </w:rPr>
        <w:t>דף  עה.</w:t>
      </w:r>
    </w:p>
    <w:p w14:paraId="4DFFA932" w14:textId="77777777" w:rsidR="00F64AED" w:rsidRPr="00E14121" w:rsidRDefault="00F64AED" w:rsidP="00F64AED">
      <w:pPr>
        <w:bidi/>
        <w:rPr>
          <w:rFonts w:ascii="Narkisim" w:hAnsi="Narkisim" w:cs="Narkisim"/>
        </w:rPr>
      </w:pPr>
      <w:r w:rsidRPr="00E14121">
        <w:rPr>
          <w:rFonts w:ascii="Narkisim" w:hAnsi="Narkisim" w:cs="Narkisim"/>
          <w:u w:val="single"/>
          <w:rtl/>
        </w:rPr>
        <w:t>בזב דלא הותרה מכללה, אבל יולדת אימא לא.</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שרואה דם וטהורה לבעלה. [והותר ביולדת איסור נדה</w:t>
      </w:r>
      <w:r w:rsidRPr="00E14121">
        <w:rPr>
          <w:rStyle w:val="ac"/>
          <w:rFonts w:ascii="Narkisim" w:hAnsi="Narkisim" w:cs="Narkisim"/>
          <w:rtl/>
        </w:rPr>
        <w:footnoteReference w:id="4508"/>
      </w:r>
      <w:r w:rsidRPr="00E14121">
        <w:rPr>
          <w:rFonts w:ascii="Narkisim" w:hAnsi="Narkisim" w:cs="Narkisim"/>
          <w:rtl/>
        </w:rPr>
        <w:t xml:space="preserve">]. </w:t>
      </w:r>
      <w:r w:rsidRPr="00E14121">
        <w:rPr>
          <w:rFonts w:ascii="Narkisim" w:hAnsi="Narkisim" w:cs="Narkisim"/>
          <w:sz w:val="20"/>
          <w:szCs w:val="20"/>
          <w:rtl/>
        </w:rPr>
        <w:t>ה</w:t>
      </w:r>
      <w:r w:rsidRPr="00E14121">
        <w:rPr>
          <w:rFonts w:ascii="Narkisim" w:hAnsi="Narkisim" w:cs="Narkisim"/>
          <w:b/>
          <w:bCs/>
          <w:sz w:val="20"/>
          <w:szCs w:val="20"/>
          <w:rtl/>
        </w:rPr>
        <w:t>אתוון דאורייתא</w:t>
      </w:r>
      <w:r w:rsidRPr="00E14121">
        <w:rPr>
          <w:rFonts w:ascii="Narkisim" w:hAnsi="Narkisim" w:cs="Narkisim"/>
          <w:sz w:val="20"/>
          <w:szCs w:val="20"/>
          <w:rtl/>
        </w:rPr>
        <w:t xml:space="preserve"> (כא) הביא דמבואר דאיסור נדה לבעלה שייך ל'טומאה', וכיון דהותר האיסור, אף בדיני הטומאה נחשב דהותר מכללו</w:t>
      </w:r>
      <w:r w:rsidRPr="00E14121">
        <w:rPr>
          <w:rStyle w:val="ac"/>
          <w:rFonts w:ascii="Narkisim" w:hAnsi="Narkisim" w:cs="Narkisim"/>
          <w:sz w:val="20"/>
          <w:szCs w:val="20"/>
          <w:rtl/>
        </w:rPr>
        <w:footnoteReference w:id="4509"/>
      </w:r>
      <w:r w:rsidRPr="00E14121">
        <w:rPr>
          <w:rFonts w:ascii="Narkisim" w:hAnsi="Narkisim" w:cs="Narkisim"/>
          <w:sz w:val="20"/>
          <w:szCs w:val="20"/>
          <w:rtl/>
        </w:rPr>
        <w:t>.</w:t>
      </w:r>
    </w:p>
    <w:p w14:paraId="640ABB5A"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רשב"א</w:t>
      </w:r>
      <w:r w:rsidRPr="00E14121">
        <w:rPr>
          <w:rFonts w:ascii="Narkisim" w:hAnsi="Narkisim" w:cs="Narkisim"/>
          <w:rtl/>
        </w:rPr>
        <w:t xml:space="preserve"> כת' דהיינו כרב</w:t>
      </w:r>
      <w:r w:rsidRPr="00E14121">
        <w:rPr>
          <w:rFonts w:ascii="Narkisim" w:hAnsi="Narkisim" w:cs="Narkisim"/>
          <w:sz w:val="20"/>
          <w:szCs w:val="20"/>
          <w:rtl/>
        </w:rPr>
        <w:t xml:space="preserve"> (נדה לה:) </w:t>
      </w:r>
      <w:r w:rsidRPr="00E14121">
        <w:rPr>
          <w:rFonts w:ascii="Narkisim" w:hAnsi="Narkisim" w:cs="Narkisim"/>
          <w:rtl/>
        </w:rPr>
        <w:t xml:space="preserve">דמעיין א' </w:t>
      </w:r>
      <w:r w:rsidRPr="00E14121">
        <w:rPr>
          <w:rFonts w:ascii="Narkisim" w:hAnsi="Narkisim" w:cs="Narkisim"/>
          <w:sz w:val="20"/>
          <w:szCs w:val="20"/>
          <w:rtl/>
        </w:rPr>
        <w:t xml:space="preserve">[של נדה וימי טוהר דלידה] </w:t>
      </w:r>
      <w:r w:rsidRPr="00E14121">
        <w:rPr>
          <w:rFonts w:ascii="Narkisim" w:hAnsi="Narkisim" w:cs="Narkisim"/>
          <w:rtl/>
        </w:rPr>
        <w:t>הוא, התורה טמאתו והתורה טהרתו. אבל לוי (שם) ס"ל דב' מעיינות הן, והתורה לא אסרה אלא דם ממעיין הטמא, אבל מעיין ימי לידה לא נאסר, דהוה כדם</w:t>
      </w:r>
      <w:r w:rsidRPr="00E14121">
        <w:rPr>
          <w:rFonts w:ascii="Narkisim" w:hAnsi="Narkisim" w:cs="Narkisim"/>
          <w:i/>
          <w:iCs/>
          <w:rtl/>
        </w:rPr>
        <w:t xml:space="preserve"> </w:t>
      </w:r>
      <w:r w:rsidRPr="00E14121">
        <w:rPr>
          <w:rFonts w:ascii="Narkisim" w:hAnsi="Narkisim" w:cs="Narkisim"/>
          <w:rtl/>
        </w:rPr>
        <w:t>נחירים</w:t>
      </w:r>
      <w:r w:rsidRPr="00E14121">
        <w:rPr>
          <w:rStyle w:val="ac"/>
          <w:rFonts w:ascii="Narkisim" w:hAnsi="Narkisim" w:cs="Narkisim"/>
          <w:rtl/>
        </w:rPr>
        <w:footnoteReference w:id="4510"/>
      </w:r>
      <w:r w:rsidRPr="00E14121">
        <w:rPr>
          <w:rFonts w:ascii="Narkisim" w:hAnsi="Narkisim" w:cs="Narkisim"/>
          <w:rtl/>
        </w:rPr>
        <w:t>.</w:t>
      </w:r>
    </w:p>
    <w:p w14:paraId="0AC263E2" w14:textId="77777777" w:rsidR="00F64AED" w:rsidRPr="00E14121" w:rsidRDefault="00F64AED" w:rsidP="00F64AED">
      <w:pPr>
        <w:bidi/>
        <w:rPr>
          <w:rFonts w:ascii="Narkisim" w:hAnsi="Narkisim" w:cs="Narkisim"/>
        </w:rPr>
      </w:pPr>
      <w:r w:rsidRPr="00E14121">
        <w:rPr>
          <w:rFonts w:ascii="Narkisim" w:hAnsi="Narkisim" w:cs="Narkisim"/>
          <w:u w:val="single"/>
          <w:rtl/>
        </w:rPr>
        <w:t>איפוך אנא וכו'.</w:t>
      </w:r>
      <w:r w:rsidRPr="00E14121">
        <w:rPr>
          <w:rFonts w:ascii="Narkisim" w:hAnsi="Narkisim" w:cs="Narkisim"/>
          <w:rtl/>
        </w:rPr>
        <w:t xml:space="preserve"> ה</w:t>
      </w:r>
      <w:r w:rsidRPr="00E14121">
        <w:rPr>
          <w:rFonts w:ascii="Narkisim" w:hAnsi="Narkisim" w:cs="Narkisim"/>
          <w:b/>
          <w:bCs/>
          <w:rtl/>
        </w:rPr>
        <w:t xml:space="preserve">תו"י </w:t>
      </w:r>
      <w:r w:rsidRPr="00E14121">
        <w:rPr>
          <w:rFonts w:ascii="Narkisim" w:hAnsi="Narkisim" w:cs="Narkisim"/>
          <w:rtl/>
        </w:rPr>
        <w:t>הקשה דאמרי' לעיל דתרומה חמורה, דכן מחפ"ז. והביא דרבינו</w:t>
      </w:r>
      <w:r w:rsidRPr="00E14121">
        <w:rPr>
          <w:rFonts w:ascii="Narkisim" w:hAnsi="Narkisim" w:cs="Narkisim"/>
          <w:b/>
          <w:bCs/>
          <w:rtl/>
        </w:rPr>
        <w:t xml:space="preserve"> </w:t>
      </w:r>
      <w:r w:rsidRPr="00E14121">
        <w:rPr>
          <w:rFonts w:ascii="Narkisim" w:hAnsi="Narkisim" w:cs="Narkisim"/>
          <w:rtl/>
        </w:rPr>
        <w:t>נתנאל תי' דלענין נגיעה מעשר חמור, שמטמא את גוף המעשר, שהאוכל מעשר בטומאת עצמו לוקה. ואילו תרומה ליכא אלא עשה.</w:t>
      </w:r>
    </w:p>
    <w:p w14:paraId="5E7E9610"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תו"י</w:t>
      </w:r>
      <w:r w:rsidRPr="00E14121">
        <w:rPr>
          <w:rFonts w:ascii="Narkisim" w:hAnsi="Narkisim" w:cs="Narkisim"/>
          <w:rtl/>
        </w:rPr>
        <w:t xml:space="preserve"> וכן ה</w:t>
      </w:r>
      <w:r w:rsidRPr="00E14121">
        <w:rPr>
          <w:rFonts w:ascii="Narkisim" w:hAnsi="Narkisim" w:cs="Narkisim"/>
          <w:b/>
          <w:bCs/>
          <w:rtl/>
        </w:rPr>
        <w:t>ראב"ד</w:t>
      </w:r>
      <w:r w:rsidRPr="00E14121">
        <w:rPr>
          <w:rFonts w:ascii="Narkisim" w:hAnsi="Narkisim" w:cs="Narkisim"/>
          <w:rtl/>
        </w:rPr>
        <w:t xml:space="preserve"> (הו' ברמב"ן) הקשו דלס"ד דטבו"י אסור בנגיעת מעשר, היכי מצי למימר דמותר לאכול. ותי' דנפק"מ כשאחר תחבו לבית הבליעה. וה</w:t>
      </w:r>
      <w:r w:rsidRPr="00E14121">
        <w:rPr>
          <w:rFonts w:ascii="Narkisim" w:hAnsi="Narkisim" w:cs="Narkisim"/>
          <w:b/>
          <w:bCs/>
          <w:rtl/>
        </w:rPr>
        <w:t>רמב"ן</w:t>
      </w:r>
      <w:r w:rsidRPr="00E14121">
        <w:rPr>
          <w:rFonts w:ascii="Narkisim" w:hAnsi="Narkisim" w:cs="Narkisim"/>
          <w:rtl/>
        </w:rPr>
        <w:t xml:space="preserve"> תמה דמ"מ היכן מצינו מגע חמור מאכילה</w:t>
      </w:r>
      <w:r w:rsidRPr="00E14121">
        <w:rPr>
          <w:rStyle w:val="ac"/>
          <w:rFonts w:ascii="Narkisim" w:hAnsi="Narkisim" w:cs="Narkisim"/>
          <w:rtl/>
        </w:rPr>
        <w:footnoteReference w:id="4511"/>
      </w:r>
      <w:r w:rsidRPr="00E14121">
        <w:rPr>
          <w:rFonts w:ascii="Narkisim" w:hAnsi="Narkisim" w:cs="Narkisim"/>
          <w:rtl/>
        </w:rPr>
        <w:t>.</w:t>
      </w:r>
    </w:p>
    <w:p w14:paraId="394FD029" w14:textId="77777777" w:rsidR="00F64AED" w:rsidRPr="00E14121" w:rsidRDefault="00F64AED" w:rsidP="00F64AED">
      <w:pPr>
        <w:bidi/>
        <w:rPr>
          <w:rFonts w:ascii="Narkisim" w:hAnsi="Narkisim" w:cs="Narkisim"/>
        </w:rPr>
      </w:pPr>
      <w:r w:rsidRPr="00E14121">
        <w:rPr>
          <w:rFonts w:ascii="Narkisim" w:hAnsi="Narkisim" w:cs="Narkisim"/>
          <w:u w:val="single"/>
          <w:rtl/>
        </w:rPr>
        <w:t>מאן תנא משתמרת לביאה פסולה וכו'.</w:t>
      </w:r>
      <w:r w:rsidRPr="00E14121">
        <w:rPr>
          <w:rFonts w:ascii="Narkisim" w:hAnsi="Narkisim" w:cs="Narkisim"/>
          <w:rtl/>
        </w:rPr>
        <w:t xml:space="preserve"> דאשתו אוכלת בתרומה אף שנעשה פצוע דכא. ופ</w:t>
      </w:r>
      <w:r w:rsidRPr="00E14121">
        <w:rPr>
          <w:rFonts w:ascii="Narkisim" w:hAnsi="Narkisim" w:cs="Narkisim"/>
          <w:b/>
          <w:bCs/>
          <w:rtl/>
        </w:rPr>
        <w:t>רש"י</w:t>
      </w:r>
      <w:r w:rsidRPr="00E14121">
        <w:rPr>
          <w:rFonts w:ascii="Narkisim" w:hAnsi="Narkisim" w:cs="Narkisim"/>
          <w:rtl/>
        </w:rPr>
        <w:t xml:space="preserve"> דאף דמצפה ומשתמרת לביאתו</w:t>
      </w:r>
      <w:r w:rsidRPr="00E14121">
        <w:rPr>
          <w:rStyle w:val="ac"/>
          <w:rFonts w:ascii="Narkisim" w:hAnsi="Narkisim" w:cs="Narkisim"/>
          <w:rtl/>
        </w:rPr>
        <w:footnoteReference w:id="4512"/>
      </w:r>
      <w:r w:rsidRPr="00E14121">
        <w:rPr>
          <w:rFonts w:ascii="Narkisim" w:hAnsi="Narkisim" w:cs="Narkisim"/>
          <w:rtl/>
        </w:rPr>
        <w:t>. [ולר' מאיר לעיל נו: פסולה מדרבנן</w:t>
      </w:r>
      <w:r w:rsidRPr="00E14121">
        <w:rPr>
          <w:rStyle w:val="ac"/>
          <w:rFonts w:ascii="Narkisim" w:hAnsi="Narkisim" w:cs="Narkisim"/>
          <w:rtl/>
        </w:rPr>
        <w:footnoteReference w:id="4513"/>
      </w:r>
      <w:r w:rsidRPr="00E14121">
        <w:rPr>
          <w:rFonts w:ascii="Narkisim" w:hAnsi="Narkisim" w:cs="Narkisim"/>
          <w:rtl/>
        </w:rPr>
        <w:t>].</w:t>
      </w:r>
    </w:p>
    <w:p w14:paraId="45F1816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 xml:space="preserve">חזו"א </w:t>
      </w:r>
      <w:r w:rsidRPr="00E14121">
        <w:rPr>
          <w:rFonts w:ascii="Narkisim" w:hAnsi="Narkisim"/>
          <w:rtl/>
        </w:rPr>
        <w:t>(קלד לדף נו:) הקשה דלדברי ה</w:t>
      </w:r>
      <w:r w:rsidRPr="00E14121">
        <w:rPr>
          <w:rFonts w:ascii="Narkisim" w:hAnsi="Narkisim"/>
          <w:b/>
          <w:bCs/>
          <w:rtl/>
        </w:rPr>
        <w:t>תוס</w:t>
      </w:r>
      <w:r w:rsidRPr="00E14121">
        <w:rPr>
          <w:rFonts w:ascii="Narkisim" w:hAnsi="Narkisim"/>
          <w:rtl/>
        </w:rPr>
        <w:t>' (לעיל נו:) איירי התם בבת כהן לכהן, וא"כ אף ר"א ור"ש דמשתמרת לביאה פסולה אוכלת, היינו שאינה נפסלת בתרומת בית אביה</w:t>
      </w:r>
      <w:r w:rsidRPr="00E14121">
        <w:rPr>
          <w:rStyle w:val="ac"/>
          <w:rFonts w:ascii="Narkisim" w:hAnsi="Narkisim"/>
          <w:rtl/>
        </w:rPr>
        <w:footnoteReference w:id="4514"/>
      </w:r>
      <w:r w:rsidRPr="00E14121">
        <w:rPr>
          <w:rFonts w:ascii="Narkisim" w:hAnsi="Narkisim"/>
          <w:rtl/>
        </w:rPr>
        <w:t>. אך לא מצאנו שאוכלת מחמת הבעל, ואפי' בהגעת זמן</w:t>
      </w:r>
      <w:r w:rsidRPr="00E14121">
        <w:rPr>
          <w:rStyle w:val="ac"/>
          <w:rFonts w:ascii="Narkisim" w:hAnsi="Narkisim"/>
          <w:sz w:val="20"/>
          <w:szCs w:val="20"/>
          <w:rtl/>
        </w:rPr>
        <w:footnoteReference w:id="4515"/>
      </w:r>
      <w:r w:rsidRPr="00E14121">
        <w:rPr>
          <w:rFonts w:ascii="Narkisim" w:hAnsi="Narkisim"/>
          <w:rtl/>
        </w:rPr>
        <w:t>. א"כ האיך תאכל בסוגיין מחמת אישות הפסול</w:t>
      </w:r>
      <w:r w:rsidRPr="00E14121">
        <w:rPr>
          <w:rStyle w:val="ac"/>
          <w:rFonts w:ascii="Narkisim" w:hAnsi="Narkisim"/>
          <w:rtl/>
        </w:rPr>
        <w:footnoteReference w:id="4516"/>
      </w:r>
      <w:r w:rsidRPr="00E14121">
        <w:rPr>
          <w:rFonts w:ascii="Narkisim" w:hAnsi="Narkisim"/>
          <w:rtl/>
        </w:rPr>
        <w:t>. וה</w:t>
      </w:r>
      <w:r w:rsidRPr="00E14121">
        <w:rPr>
          <w:rFonts w:ascii="Narkisim" w:hAnsi="Narkisim"/>
          <w:b/>
          <w:bCs/>
          <w:rtl/>
        </w:rPr>
        <w:t>חזו"א</w:t>
      </w:r>
      <w:r w:rsidRPr="00E14121">
        <w:rPr>
          <w:rFonts w:ascii="Narkisim" w:hAnsi="Narkisim"/>
          <w:rtl/>
        </w:rPr>
        <w:t xml:space="preserve"> תי' דכיון דכבר אכלה דינו כבת כהן לכהן.</w:t>
      </w:r>
    </w:p>
    <w:p w14:paraId="5CFDEAFD" w14:textId="77777777" w:rsidR="00F64AED" w:rsidRPr="00E14121" w:rsidRDefault="00F64AED" w:rsidP="00F64AED">
      <w:pPr>
        <w:bidi/>
        <w:rPr>
          <w:rFonts w:ascii="Narkisim" w:hAnsi="Narkisim" w:cs="Narkisim"/>
        </w:rPr>
      </w:pPr>
      <w:r w:rsidRPr="00E14121">
        <w:rPr>
          <w:rFonts w:ascii="Narkisim" w:hAnsi="Narkisim" w:cs="Narkisim"/>
          <w:u w:val="single"/>
          <w:rtl/>
        </w:rPr>
        <w:t>ר' יוחנן אמר וכו' שאני הכא דכבר אכלה וכו', לא פקע קנייניה</w:t>
      </w:r>
      <w:r w:rsidRPr="00E14121">
        <w:rPr>
          <w:rStyle w:val="ac"/>
          <w:rFonts w:ascii="Narkisim" w:hAnsi="Narkisim" w:cs="Narkisim"/>
          <w:u w:val="single"/>
          <w:rtl/>
        </w:rPr>
        <w:footnoteReference w:id="4517"/>
      </w:r>
      <w:r w:rsidRPr="00E14121">
        <w:rPr>
          <w:rFonts w:ascii="Narkisim" w:hAnsi="Narkisim" w:cs="Narkisim"/>
          <w:u w:val="single"/>
          <w:rtl/>
        </w:rPr>
        <w:t>.</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(נז. ד"ה אביי) פי' סברת ר' יוחנן דלא חשיבא משתמרת לביאה פסולה, כיון דתחילת אכילתה הוה קידושי היתר, והם קיימין עדיין שתאכל מכחן.</w:t>
      </w:r>
      <w:r w:rsidRPr="00E14121">
        <w:rPr>
          <w:rFonts w:ascii="Narkisim" w:hAnsi="Narkisim" w:cs="Narkisim"/>
          <w:sz w:val="20"/>
          <w:szCs w:val="20"/>
          <w:rtl/>
        </w:rPr>
        <w:t xml:space="preserve"> [ומשמע דהוה סברא דאורייתא דאוכלת מחמת קידושין </w:t>
      </w:r>
      <w:r w:rsidRPr="00E14121">
        <w:rPr>
          <w:rFonts w:ascii="Narkisim" w:hAnsi="Narkisim" w:cs="Narkisim"/>
          <w:sz w:val="20"/>
          <w:szCs w:val="20"/>
          <w:rtl/>
        </w:rPr>
        <w:lastRenderedPageBreak/>
        <w:t>הראשונים</w:t>
      </w:r>
      <w:r w:rsidRPr="00E14121">
        <w:rPr>
          <w:rStyle w:val="ac"/>
          <w:rFonts w:ascii="Narkisim" w:hAnsi="Narkisim" w:cs="Narkisim"/>
          <w:sz w:val="20"/>
          <w:szCs w:val="20"/>
          <w:rtl/>
        </w:rPr>
        <w:footnoteReference w:id="4518"/>
      </w:r>
      <w:r w:rsidRPr="00E14121">
        <w:rPr>
          <w:rFonts w:ascii="Narkisim" w:hAnsi="Narkisim" w:cs="Narkisim"/>
          <w:sz w:val="20"/>
          <w:szCs w:val="20"/>
          <w:rtl/>
        </w:rPr>
        <w:t>. אבל היה אפ"ל דסברת כבר אכלה הוה סברא בדרבנן, דתקנו טפי שאוכלת בקל, ולא תיקנו להפסידה בתרומה].</w:t>
      </w:r>
    </w:p>
    <w:p w14:paraId="142CC9F3" w14:textId="77777777" w:rsidR="00F64AED" w:rsidRPr="00E14121" w:rsidRDefault="00F64AED" w:rsidP="00F64AED">
      <w:pPr>
        <w:pStyle w:val="aa"/>
        <w:bidi/>
        <w:rPr>
          <w:rFonts w:ascii="Narkisim" w:hAnsi="Narkisim"/>
        </w:rPr>
      </w:pPr>
      <w:r w:rsidRPr="00E14121">
        <w:rPr>
          <w:rFonts w:ascii="Narkisim" w:hAnsi="Narkisim"/>
          <w:u w:val="single"/>
          <w:rtl/>
        </w:rPr>
        <w:t>ור"א שכבר אכלה לא אמרי', דאי לא תימא הכי בת ישראל שנשאת לכהן ומת וכו'.</w:t>
      </w:r>
      <w:r w:rsidRPr="00E14121">
        <w:rPr>
          <w:rFonts w:ascii="Narkisim" w:hAnsi="Narkisim"/>
          <w:rtl/>
        </w:rPr>
        <w:t xml:space="preserve"> לכאורה ר"א הוכיח דאינה אוכלת מחמת קנין הראשון כיון שהסיבה בטילה</w:t>
      </w:r>
      <w:r w:rsidRPr="00E14121">
        <w:rPr>
          <w:rStyle w:val="ac"/>
          <w:rFonts w:ascii="Narkisim" w:hAnsi="Narkisim"/>
          <w:rtl/>
        </w:rPr>
        <w:footnoteReference w:id="4519"/>
      </w:r>
      <w:r w:rsidRPr="00E14121">
        <w:rPr>
          <w:rFonts w:ascii="Narkisim" w:hAnsi="Narkisim"/>
          <w:rtl/>
        </w:rPr>
        <w:t>. ובעינן שתהא עכשיו אשתו של כהן כשר</w:t>
      </w:r>
      <w:r w:rsidRPr="00E14121">
        <w:rPr>
          <w:rStyle w:val="ac"/>
          <w:rFonts w:ascii="Narkisim" w:hAnsi="Narkisim"/>
          <w:rtl/>
        </w:rPr>
        <w:footnoteReference w:id="4520"/>
      </w:r>
      <w:r w:rsidRPr="00E14121">
        <w:rPr>
          <w:rFonts w:ascii="Narkisim" w:hAnsi="Narkisim"/>
          <w:rtl/>
        </w:rPr>
        <w:t>.</w:t>
      </w:r>
    </w:p>
    <w:p w14:paraId="154C212F"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(הו' לעיל סז:) חקרו האם צריך שסיבת האכילה קיימת לעולם, או דהנישואין מאכיל, עד שנתחדש 'חזרה' מחודשת דושבה אל בית אביה. ולכאו' משמע דנח' בזה ר"א ור' יוחנן.</w:t>
      </w:r>
    </w:p>
    <w:p w14:paraId="24A1BA81" w14:textId="77777777" w:rsidR="00F64AED" w:rsidRPr="00E14121" w:rsidRDefault="00F64AED" w:rsidP="00F64AED">
      <w:pPr>
        <w:bidi/>
        <w:rPr>
          <w:rFonts w:ascii="Narkisim" w:hAnsi="Narkisim" w:cs="Narkisim"/>
        </w:rPr>
      </w:pPr>
      <w:r w:rsidRPr="00E14121">
        <w:rPr>
          <w:rFonts w:ascii="Narkisim" w:hAnsi="Narkisim" w:cs="Narkisim"/>
          <w:rtl/>
        </w:rPr>
        <w:t>וב</w:t>
      </w:r>
      <w:r w:rsidRPr="00E14121">
        <w:rPr>
          <w:rFonts w:ascii="Narkisim" w:hAnsi="Narkisim" w:cs="Narkisim"/>
          <w:b/>
          <w:bCs/>
          <w:rtl/>
        </w:rPr>
        <w:t>גמ</w:t>
      </w:r>
      <w:r w:rsidRPr="00E14121">
        <w:rPr>
          <w:rFonts w:ascii="Narkisim" w:hAnsi="Narkisim" w:cs="Narkisim"/>
          <w:rtl/>
        </w:rPr>
        <w:t>' (לעיל נז.) אי' דאף לר"א ור"ש דמשתמרת לביאה פסולה אוכלת, היינו דוקא היכא דיש לבעל כח להאכיל במק"א. ואביי תי' דפצוע דכא מאכילה בנשאה לפני שנפצע [בלא ידעה בסוגיין]. ורבא פליג, דלא נחשב יש לו להאכיל במקום אחר, דהוה ע"י שכבר אכלה.</w:t>
      </w:r>
    </w:p>
    <w:p w14:paraId="6B7CA3B4"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(שם) דייקו דהסוגיה שם קאי אליבא דר”א, ותוס' הק' דר"א [בסוגיין] ל"ל שכבר אכלה [אף דלא פקע קנינו]. ותוס' תי' דמ"מ מהני 'כבר אכלה' לאכיל, אף שאינו מאכיל במקום אחר</w:t>
      </w:r>
      <w:r w:rsidRPr="00E14121">
        <w:rPr>
          <w:rStyle w:val="ac"/>
          <w:rFonts w:ascii="Narkisim" w:hAnsi="Narkisim"/>
          <w:rtl/>
        </w:rPr>
        <w:footnoteReference w:id="4521"/>
      </w:r>
      <w:r w:rsidRPr="00E14121">
        <w:rPr>
          <w:rFonts w:ascii="Narkisim" w:hAnsi="Narkisim"/>
          <w:rtl/>
        </w:rPr>
        <w:t>.</w:t>
      </w:r>
    </w:p>
    <w:p w14:paraId="27A11D1D" w14:textId="77777777" w:rsidR="00F64AED" w:rsidRPr="00E14121" w:rsidRDefault="00F64AED" w:rsidP="00F64AED">
      <w:pPr>
        <w:pStyle w:val="a7"/>
        <w:bidi/>
        <w:rPr>
          <w:rFonts w:ascii="Narkisim" w:hAnsi="Narkisim"/>
        </w:rPr>
      </w:pPr>
      <w:r w:rsidRPr="00E14121">
        <w:rPr>
          <w:rFonts w:ascii="Narkisim" w:hAnsi="Narkisim"/>
          <w:rtl/>
        </w:rPr>
        <w:t>ורבא ס"ל דלא חשיב מאכיל במקום אחר, דע”י מעשה של עכשיו אינו מאכיל. אלא כיון דכבר אכלה</w:t>
      </w:r>
      <w:r w:rsidRPr="00E14121">
        <w:rPr>
          <w:rStyle w:val="ac"/>
          <w:rFonts w:ascii="Narkisim" w:hAnsi="Narkisim"/>
          <w:rtl/>
        </w:rPr>
        <w:footnoteReference w:id="4522"/>
      </w:r>
      <w:r w:rsidRPr="00E14121">
        <w:rPr>
          <w:rFonts w:ascii="Narkisim" w:hAnsi="Narkisim"/>
          <w:rtl/>
        </w:rPr>
        <w:t>.</w:t>
      </w:r>
    </w:p>
    <w:p w14:paraId="6AE6AA97" w14:textId="77777777" w:rsidR="00F64AED" w:rsidRPr="00E14121" w:rsidRDefault="00F64AED" w:rsidP="00F64AED">
      <w:pPr>
        <w:pStyle w:val="2"/>
        <w:bidi/>
        <w:rPr>
          <w:rFonts w:ascii="Narkisim" w:hAnsi="Narkisim"/>
        </w:rPr>
      </w:pPr>
      <w:r w:rsidRPr="00E14121">
        <w:rPr>
          <w:rFonts w:ascii="Narkisim" w:hAnsi="Narkisim"/>
          <w:rtl/>
        </w:rPr>
        <w:t>פצוע דכא</w:t>
      </w:r>
    </w:p>
    <w:p w14:paraId="2E2B4084" w14:textId="77777777" w:rsidR="00F64AED" w:rsidRPr="00E14121" w:rsidRDefault="00F64AED" w:rsidP="00F64AED">
      <w:pPr>
        <w:bidi/>
        <w:rPr>
          <w:rFonts w:ascii="Narkisim" w:hAnsi="Narkisim" w:cs="Narkisim"/>
        </w:rPr>
      </w:pPr>
      <w:r w:rsidRPr="00E14121">
        <w:rPr>
          <w:rFonts w:ascii="Narkisim" w:hAnsi="Narkisim" w:cs="Narkisim"/>
          <w:u w:val="single"/>
          <w:rtl/>
        </w:rPr>
        <w:t>[במשנה ע.] ואיזהו פצו"ד וכו'</w:t>
      </w:r>
      <w:r w:rsidRPr="00E14121">
        <w:rPr>
          <w:rFonts w:ascii="Narkisim" w:hAnsi="Narkisim" w:cs="Narkisim"/>
          <w:rtl/>
        </w:rPr>
        <w:t>. ה</w:t>
      </w:r>
      <w:r w:rsidRPr="00E14121">
        <w:rPr>
          <w:rFonts w:ascii="Narkisim" w:hAnsi="Narkisim" w:cs="Narkisim"/>
          <w:b/>
          <w:bCs/>
          <w:rtl/>
        </w:rPr>
        <w:t>חינוך</w:t>
      </w:r>
      <w:r w:rsidRPr="00E14121">
        <w:rPr>
          <w:rFonts w:ascii="Narkisim" w:hAnsi="Narkisim" w:cs="Narkisim"/>
          <w:rtl/>
        </w:rPr>
        <w:t xml:space="preserve"> (תקנט) כתב משרשי המצוה להרחיק שלא יפסיד כלי הזרע, כמו דהמלכים מסרסים הזכרים כדי למנותם וכו', ואנחנו עם הקודש וכו' נאסור שלא יתחבר לבת ישראל דרך אישות, ונרחיק הענין ונמאס אותו. וביאר עד"ז הא דדוקא פצוע בידי אדם אסור.</w:t>
      </w:r>
    </w:p>
    <w:p w14:paraId="4C56E3E4"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ראב"ד</w:t>
      </w:r>
      <w:r w:rsidRPr="00E14121">
        <w:rPr>
          <w:rFonts w:ascii="Narkisim" w:hAnsi="Narkisim"/>
          <w:rtl/>
        </w:rPr>
        <w:t xml:space="preserve"> (איסו”ב טו ב) כתב טעם שלא תזנה אשתו תחתיו.</w:t>
      </w:r>
    </w:p>
    <w:p w14:paraId="3C7176CC" w14:textId="77777777" w:rsidR="00F64AED" w:rsidRPr="00E14121" w:rsidRDefault="00F64AED" w:rsidP="00F64AED">
      <w:pPr>
        <w:bidi/>
        <w:rPr>
          <w:rFonts w:ascii="Narkisim" w:hAnsi="Narkisim" w:cs="Narkisim"/>
        </w:rPr>
      </w:pPr>
      <w:r w:rsidRPr="00E14121">
        <w:rPr>
          <w:rFonts w:ascii="Narkisim" w:hAnsi="Narkisim" w:cs="Narkisim"/>
          <w:u w:val="single"/>
          <w:rtl/>
        </w:rPr>
        <w:t>[שם] וכרות שפכה, כל שנכרת וכו'.</w:t>
      </w:r>
      <w:r w:rsidRPr="00E14121">
        <w:rPr>
          <w:rFonts w:ascii="Narkisim" w:hAnsi="Narkisim" w:cs="Narkisim"/>
          <w:rtl/>
        </w:rPr>
        <w:t xml:space="preserve"> ה</w:t>
      </w:r>
      <w:r w:rsidRPr="00E14121">
        <w:rPr>
          <w:rFonts w:ascii="Narkisim" w:hAnsi="Narkisim" w:cs="Narkisim"/>
          <w:b/>
          <w:bCs/>
          <w:rtl/>
        </w:rPr>
        <w:t>רמב"ם</w:t>
      </w:r>
      <w:r w:rsidRPr="00E14121">
        <w:rPr>
          <w:rFonts w:ascii="Narkisim" w:hAnsi="Narkisim" w:cs="Narkisim"/>
          <w:rtl/>
        </w:rPr>
        <w:t xml:space="preserve"> בסה"מ </w:t>
      </w:r>
      <w:r w:rsidRPr="00E14121">
        <w:rPr>
          <w:rFonts w:ascii="Narkisim" w:hAnsi="Narkisim" w:cs="Narkisim"/>
          <w:sz w:val="20"/>
          <w:szCs w:val="20"/>
          <w:rtl/>
        </w:rPr>
        <w:t>(ל"ת שס, וכן ה</w:t>
      </w:r>
      <w:r w:rsidRPr="00E14121">
        <w:rPr>
          <w:rFonts w:ascii="Narkisim" w:hAnsi="Narkisim" w:cs="Narkisim"/>
          <w:b/>
          <w:bCs/>
          <w:sz w:val="20"/>
          <w:szCs w:val="20"/>
          <w:rtl/>
        </w:rPr>
        <w:t>חינוך</w:t>
      </w:r>
      <w:r w:rsidRPr="00E14121">
        <w:rPr>
          <w:rFonts w:ascii="Narkisim" w:hAnsi="Narkisim" w:cs="Narkisim"/>
          <w:sz w:val="20"/>
          <w:szCs w:val="20"/>
          <w:rtl/>
        </w:rPr>
        <w:t xml:space="preserve"> תקנט)</w:t>
      </w:r>
      <w:r w:rsidRPr="00E14121">
        <w:rPr>
          <w:rFonts w:ascii="Narkisim" w:hAnsi="Narkisim" w:cs="Narkisim"/>
          <w:rtl/>
        </w:rPr>
        <w:t xml:space="preserve"> מנה פצו"ד וכרות שפחה לאו א'. אבל ה</w:t>
      </w:r>
      <w:r w:rsidRPr="00E14121">
        <w:rPr>
          <w:rFonts w:ascii="Narkisim" w:hAnsi="Narkisim" w:cs="Narkisim"/>
          <w:b/>
          <w:bCs/>
          <w:rtl/>
        </w:rPr>
        <w:t>סמ"ג</w:t>
      </w:r>
      <w:r w:rsidRPr="00E14121">
        <w:rPr>
          <w:rFonts w:ascii="Narkisim" w:hAnsi="Narkisim" w:cs="Narkisim"/>
          <w:rtl/>
        </w:rPr>
        <w:t xml:space="preserve"> ו</w:t>
      </w:r>
      <w:r w:rsidRPr="00E14121">
        <w:rPr>
          <w:rFonts w:ascii="Narkisim" w:hAnsi="Narkisim" w:cs="Narkisim"/>
          <w:b/>
          <w:bCs/>
          <w:rtl/>
        </w:rPr>
        <w:t>סמ"ק</w:t>
      </w:r>
      <w:r w:rsidRPr="00E14121">
        <w:rPr>
          <w:rFonts w:ascii="Narkisim" w:hAnsi="Narkisim" w:cs="Narkisim"/>
          <w:rtl/>
        </w:rPr>
        <w:t xml:space="preserve"> ו</w:t>
      </w:r>
      <w:r w:rsidRPr="00E14121">
        <w:rPr>
          <w:rFonts w:ascii="Narkisim" w:hAnsi="Narkisim" w:cs="Narkisim"/>
          <w:b/>
          <w:bCs/>
          <w:rtl/>
        </w:rPr>
        <w:t>יראים</w:t>
      </w:r>
      <w:r w:rsidRPr="00E14121">
        <w:rPr>
          <w:rFonts w:ascii="Narkisim" w:hAnsi="Narkisim" w:cs="Narkisim"/>
          <w:rtl/>
        </w:rPr>
        <w:t xml:space="preserve"> מנו פצוע דכא וכרות שפכה לב' מצוות. וה</w:t>
      </w:r>
      <w:r w:rsidRPr="00E14121">
        <w:rPr>
          <w:rFonts w:ascii="Narkisim" w:hAnsi="Narkisim" w:cs="Narkisim"/>
          <w:b/>
          <w:bCs/>
          <w:rtl/>
        </w:rPr>
        <w:t>מנח"ח</w:t>
      </w:r>
      <w:r w:rsidRPr="00E14121">
        <w:rPr>
          <w:rFonts w:ascii="Narkisim" w:hAnsi="Narkisim" w:cs="Narkisim"/>
          <w:rtl/>
        </w:rPr>
        <w:t xml:space="preserve"> (תקנט) הקשה הא איכא ג' פצוע, דך, כרות</w:t>
      </w:r>
      <w:r w:rsidRPr="00E14121">
        <w:rPr>
          <w:rStyle w:val="ac"/>
          <w:rFonts w:ascii="Narkisim" w:hAnsi="Narkisim" w:cs="Narkisim"/>
          <w:rtl/>
        </w:rPr>
        <w:footnoteReference w:id="4523"/>
      </w:r>
      <w:r w:rsidRPr="00E14121">
        <w:rPr>
          <w:rFonts w:ascii="Narkisim" w:hAnsi="Narkisim" w:cs="Narkisim"/>
          <w:rtl/>
        </w:rPr>
        <w:t xml:space="preserve">. </w:t>
      </w:r>
      <w:r w:rsidRPr="00E14121">
        <w:rPr>
          <w:rFonts w:ascii="Narkisim" w:hAnsi="Narkisim" w:cs="Narkisim"/>
          <w:sz w:val="20"/>
          <w:szCs w:val="20"/>
          <w:rtl/>
        </w:rPr>
        <w:t>וה</w:t>
      </w:r>
      <w:r w:rsidRPr="00E14121">
        <w:rPr>
          <w:rFonts w:ascii="Narkisim" w:hAnsi="Narkisim" w:cs="Narkisim"/>
          <w:b/>
          <w:bCs/>
          <w:sz w:val="20"/>
          <w:szCs w:val="20"/>
          <w:rtl/>
        </w:rPr>
        <w:t>אחרונים</w:t>
      </w:r>
      <w:r w:rsidRPr="00E14121">
        <w:rPr>
          <w:rFonts w:ascii="Narkisim" w:hAnsi="Narkisim" w:cs="Narkisim"/>
          <w:sz w:val="20"/>
          <w:szCs w:val="20"/>
          <w:rtl/>
        </w:rPr>
        <w:t xml:space="preserve"> תי' דפשטא דקרא הוה ב', אלא דילפי' מדרשא. ומה שילפי' מדרשא אינו בכלל מנין המצוות.</w:t>
      </w:r>
    </w:p>
    <w:p w14:paraId="67E74932"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דן אילו נפצע ונכרת בבת אחת, שילקה ב' לדעת הסמ"ג. אבל לרמב"ם אינו לוקה ב' כמו לאו שבכללות.</w:t>
      </w:r>
    </w:p>
    <w:p w14:paraId="2EF0023E" w14:textId="77777777" w:rsidR="00F64AED" w:rsidRPr="00E14121" w:rsidRDefault="00F64AED" w:rsidP="00F64AED">
      <w:pPr>
        <w:bidi/>
        <w:rPr>
          <w:rFonts w:ascii="Narkisim" w:hAnsi="Narkisim" w:cs="Narkisim"/>
        </w:rPr>
      </w:pPr>
      <w:r w:rsidRPr="00E14121">
        <w:rPr>
          <w:rFonts w:ascii="Narkisim" w:hAnsi="Narkisim" w:cs="Narkisim"/>
          <w:u w:val="single"/>
          <w:rtl/>
        </w:rPr>
        <w:t>כל שנפצעו וכו'.</w:t>
      </w:r>
      <w:r w:rsidRPr="00E14121">
        <w:rPr>
          <w:rFonts w:ascii="Narkisim" w:hAnsi="Narkisim" w:cs="Narkisim"/>
          <w:rtl/>
        </w:rPr>
        <w:t xml:space="preserve"> וב</w:t>
      </w:r>
      <w:r w:rsidRPr="00E14121">
        <w:rPr>
          <w:rFonts w:ascii="Narkisim" w:hAnsi="Narkisim" w:cs="Narkisim"/>
          <w:b/>
          <w:bCs/>
          <w:rtl/>
        </w:rPr>
        <w:t>ספרי</w:t>
      </w:r>
      <w:r w:rsidRPr="00E14121">
        <w:rPr>
          <w:rFonts w:ascii="Narkisim" w:hAnsi="Narkisim" w:cs="Narkisim"/>
          <w:rtl/>
        </w:rPr>
        <w:t xml:space="preserve"> דרשי' נפצע, אפי' מקצתו. </w:t>
      </w:r>
      <w:r w:rsidRPr="00E14121">
        <w:rPr>
          <w:rFonts w:ascii="Narkisim" w:hAnsi="Narkisim" w:cs="Narkisim"/>
          <w:sz w:val="20"/>
          <w:szCs w:val="20"/>
          <w:rtl/>
        </w:rPr>
        <w:t>[שנמעך, אלא שאינו חסר].</w:t>
      </w:r>
      <w:r w:rsidRPr="00E14121">
        <w:rPr>
          <w:rFonts w:ascii="Narkisim" w:hAnsi="Narkisim" w:cs="Narkisim"/>
          <w:rtl/>
        </w:rPr>
        <w:t xml:space="preserve"> וה</w:t>
      </w:r>
      <w:r w:rsidRPr="00E14121">
        <w:rPr>
          <w:rFonts w:ascii="Narkisim" w:hAnsi="Narkisim" w:cs="Narkisim"/>
          <w:b/>
          <w:bCs/>
          <w:rtl/>
        </w:rPr>
        <w:t>חזו"א</w:t>
      </w:r>
      <w:r w:rsidRPr="00E14121">
        <w:rPr>
          <w:rFonts w:ascii="Narkisim" w:hAnsi="Narkisim" w:cs="Narkisim"/>
          <w:rtl/>
        </w:rPr>
        <w:t xml:space="preserve"> </w:t>
      </w:r>
      <w:r w:rsidRPr="00E14121">
        <w:rPr>
          <w:rFonts w:ascii="Narkisim" w:hAnsi="Narkisim" w:cs="Narkisim"/>
          <w:sz w:val="20"/>
          <w:szCs w:val="20"/>
          <w:rtl/>
        </w:rPr>
        <w:t xml:space="preserve">(ט ט) </w:t>
      </w:r>
      <w:r w:rsidRPr="00E14121">
        <w:rPr>
          <w:rFonts w:ascii="Narkisim" w:hAnsi="Narkisim" w:cs="Narkisim"/>
          <w:rtl/>
        </w:rPr>
        <w:t>כתב דמסתבר דהאי מקצתו יש לזה שיעור, ולא נמסר לנו כמה. וכתב דאפשר דבעי רוב קוטרו. ומסתבר דנקבע ע"פ הרופאים כמה הוא שיעור דאינו ראוי להוליד.</w:t>
      </w:r>
    </w:p>
    <w:p w14:paraId="4892E0C3" w14:textId="77777777" w:rsidR="00F64AED" w:rsidRPr="00E14121" w:rsidRDefault="00F64AED" w:rsidP="00F64AED">
      <w:pPr>
        <w:pStyle w:val="a7"/>
        <w:bidi/>
        <w:rPr>
          <w:rFonts w:ascii="Narkisim" w:hAnsi="Narkisim"/>
        </w:rPr>
      </w:pPr>
      <w:r w:rsidRPr="00E14121">
        <w:rPr>
          <w:rFonts w:ascii="Narkisim" w:hAnsi="Narkisim"/>
          <w:rtl/>
        </w:rPr>
        <w:t>וביאר דזהו כוונת הגמ' וניקב לא מוליד, דלא נמסר במקרא או בקבלה מהו השיעורים בכ"ז, אלא הכריעו בחכמת הרפואה</w:t>
      </w:r>
      <w:r w:rsidRPr="00E14121">
        <w:rPr>
          <w:rStyle w:val="ac"/>
          <w:rFonts w:ascii="Narkisim" w:hAnsi="Narkisim"/>
          <w:rtl/>
        </w:rPr>
        <w:footnoteReference w:id="4524"/>
      </w:r>
      <w:r w:rsidRPr="00E14121">
        <w:rPr>
          <w:rFonts w:ascii="Narkisim" w:hAnsi="Narkisim"/>
          <w:rtl/>
        </w:rPr>
        <w:t xml:space="preserve">. </w:t>
      </w:r>
      <w:r w:rsidRPr="00E14121">
        <w:rPr>
          <w:rFonts w:ascii="Narkisim" w:hAnsi="Narkisim"/>
          <w:sz w:val="20"/>
          <w:szCs w:val="20"/>
          <w:rtl/>
        </w:rPr>
        <w:t>ומ"מ בעי ריבוי על מקצתו, ואף דאינו מוליד, דס"ד דאילו אינו מצד כלי הזרע אינו נפסל בכך לקהל.</w:t>
      </w:r>
      <w:r w:rsidRPr="00E14121">
        <w:rPr>
          <w:rFonts w:ascii="Narkisim" w:hAnsi="Narkisim"/>
          <w:rtl/>
        </w:rPr>
        <w:t xml:space="preserve"> אבל ה</w:t>
      </w:r>
      <w:r w:rsidRPr="00E14121">
        <w:rPr>
          <w:rFonts w:ascii="Narkisim" w:hAnsi="Narkisim"/>
          <w:b/>
          <w:bCs/>
          <w:rtl/>
        </w:rPr>
        <w:t>אגר"מ</w:t>
      </w:r>
      <w:r w:rsidRPr="00E14121">
        <w:rPr>
          <w:rFonts w:ascii="Narkisim" w:hAnsi="Narkisim"/>
          <w:rtl/>
        </w:rPr>
        <w:t xml:space="preserve"> (הו' בסמוך) כתב דכל דאינו מוליד הוה בכלל פצוע דכא.</w:t>
      </w:r>
    </w:p>
    <w:p w14:paraId="45C56352" w14:textId="77777777" w:rsidR="00F64AED" w:rsidRPr="00E14121" w:rsidRDefault="00F64AED" w:rsidP="00F64AED">
      <w:pPr>
        <w:bidi/>
        <w:rPr>
          <w:rFonts w:ascii="Narkisim" w:hAnsi="Narkisim" w:cs="Narkisim"/>
        </w:rPr>
      </w:pPr>
      <w:r w:rsidRPr="00E14121">
        <w:rPr>
          <w:rFonts w:ascii="Narkisim" w:hAnsi="Narkisim" w:cs="Narkisim"/>
          <w:u w:val="single"/>
          <w:rtl/>
        </w:rPr>
        <w:t>אפי' ניקבו.</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ו</w:t>
      </w:r>
      <w:r w:rsidRPr="00E14121">
        <w:rPr>
          <w:rFonts w:ascii="Narkisim" w:hAnsi="Narkisim" w:cs="Narkisim"/>
          <w:b/>
          <w:bCs/>
          <w:rtl/>
        </w:rPr>
        <w:t>נמוק"י</w:t>
      </w:r>
      <w:r w:rsidRPr="00E14121">
        <w:rPr>
          <w:rFonts w:ascii="Narkisim" w:hAnsi="Narkisim" w:cs="Narkisim"/>
          <w:rtl/>
        </w:rPr>
        <w:t xml:space="preserve"> כת' דנקב היינו בלא חסרון, והיינו דלבתר הכי כתוב חסרו. </w:t>
      </w:r>
      <w:r w:rsidRPr="00E14121">
        <w:rPr>
          <w:rFonts w:ascii="Narkisim" w:hAnsi="Narkisim" w:cs="Narkisim"/>
          <w:rtl/>
        </w:rPr>
        <w:lastRenderedPageBreak/>
        <w:t>[ופ</w:t>
      </w:r>
      <w:r w:rsidRPr="00E14121">
        <w:rPr>
          <w:rFonts w:ascii="Narkisim" w:hAnsi="Narkisim" w:cs="Narkisim"/>
          <w:b/>
          <w:bCs/>
          <w:rtl/>
        </w:rPr>
        <w:t xml:space="preserve">רש"י </w:t>
      </w:r>
      <w:r w:rsidRPr="00E14121">
        <w:rPr>
          <w:rFonts w:ascii="Narkisim" w:hAnsi="Narkisim" w:cs="Narkisim"/>
          <w:rtl/>
        </w:rPr>
        <w:t>כל שהוא]. ושוב הביא ד</w:t>
      </w:r>
      <w:r w:rsidRPr="00E14121">
        <w:rPr>
          <w:rFonts w:ascii="Narkisim" w:hAnsi="Narkisim" w:cs="Narkisim"/>
          <w:b/>
          <w:bCs/>
          <w:rtl/>
        </w:rPr>
        <w:t>תוס</w:t>
      </w:r>
      <w:r w:rsidRPr="00E14121">
        <w:rPr>
          <w:rFonts w:ascii="Narkisim" w:hAnsi="Narkisim" w:cs="Narkisim"/>
          <w:rtl/>
        </w:rPr>
        <w:t xml:space="preserve">' (בע"ב) כתבו דוקא נקב מפולש. </w:t>
      </w:r>
      <w:r w:rsidRPr="00E14121">
        <w:rPr>
          <w:rFonts w:ascii="Narkisim" w:hAnsi="Narkisim" w:cs="Narkisim"/>
          <w:sz w:val="20"/>
          <w:szCs w:val="20"/>
          <w:rtl/>
        </w:rPr>
        <w:t>אבל ה</w:t>
      </w:r>
      <w:r w:rsidRPr="00E14121">
        <w:rPr>
          <w:rFonts w:ascii="Narkisim" w:hAnsi="Narkisim" w:cs="Narkisim"/>
          <w:b/>
          <w:bCs/>
          <w:sz w:val="20"/>
          <w:szCs w:val="20"/>
          <w:rtl/>
        </w:rPr>
        <w:t>חזו"א</w:t>
      </w:r>
      <w:r w:rsidRPr="00E14121">
        <w:rPr>
          <w:rFonts w:ascii="Narkisim" w:hAnsi="Narkisim" w:cs="Narkisim"/>
          <w:sz w:val="20"/>
          <w:szCs w:val="20"/>
          <w:rtl/>
        </w:rPr>
        <w:t xml:space="preserve"> (ט ט) כתב דמ"מ מסתבר דיש לזה איזה שיעור.</w:t>
      </w:r>
    </w:p>
    <w:p w14:paraId="40800965" w14:textId="77777777" w:rsidR="00F64AED" w:rsidRPr="00E14121" w:rsidRDefault="00F64AED" w:rsidP="00F64AED">
      <w:pPr>
        <w:pStyle w:val="aa"/>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(סוטה כו.) כתב דסריס אדם אסור לקיימה מלאו דפצוע דכא. ו</w:t>
      </w:r>
      <w:r w:rsidRPr="00E14121">
        <w:rPr>
          <w:rFonts w:ascii="Narkisim" w:hAnsi="Narkisim"/>
          <w:b/>
          <w:bCs/>
          <w:rtl/>
        </w:rPr>
        <w:t>תוס'</w:t>
      </w:r>
      <w:r w:rsidRPr="00E14121">
        <w:rPr>
          <w:rFonts w:ascii="Narkisim" w:hAnsi="Narkisim"/>
          <w:rtl/>
        </w:rPr>
        <w:t xml:space="preserve"> (שם) חלקו דסריס אדם [וכגון שתה כוס של עיקרין] לא שמענו שפסול. ודוקא כשנפצע אסור, ולא בסריס</w:t>
      </w:r>
      <w:r w:rsidRPr="00E14121">
        <w:rPr>
          <w:rStyle w:val="ac"/>
          <w:rFonts w:ascii="Narkisim" w:hAnsi="Narkisim"/>
          <w:rtl/>
        </w:rPr>
        <w:footnoteReference w:id="4525"/>
      </w:r>
      <w:r w:rsidRPr="00E14121">
        <w:rPr>
          <w:rFonts w:ascii="Narkisim" w:hAnsi="Narkisim"/>
          <w:rtl/>
        </w:rPr>
        <w:t>.</w:t>
      </w:r>
    </w:p>
    <w:p w14:paraId="0AF541E9" w14:textId="77777777" w:rsidR="00F64AED" w:rsidRPr="00E14121" w:rsidRDefault="00F64AED" w:rsidP="00F64AED">
      <w:pPr>
        <w:bidi/>
        <w:rPr>
          <w:rFonts w:ascii="Narkisim" w:hAnsi="Narkisim" w:cs="Narkisim"/>
        </w:rPr>
      </w:pPr>
      <w:r w:rsidRPr="00E14121">
        <w:rPr>
          <w:rFonts w:ascii="Narkisim" w:hAnsi="Narkisim" w:cs="Narkisim"/>
          <w:u w:val="single"/>
          <w:rtl/>
        </w:rPr>
        <w:t>תוד"ה שאין.</w:t>
      </w:r>
      <w:r w:rsidRPr="00E14121">
        <w:rPr>
          <w:rFonts w:ascii="Narkisim" w:hAnsi="Narkisim" w:cs="Narkisim"/>
          <w:rtl/>
        </w:rPr>
        <w:t xml:space="preserve"> וליכא למימר דהכא בידי שמים וכו'. אבל דעת ה</w:t>
      </w:r>
      <w:r w:rsidRPr="00E14121">
        <w:rPr>
          <w:rFonts w:ascii="Narkisim" w:hAnsi="Narkisim" w:cs="Narkisim"/>
          <w:b/>
          <w:bCs/>
          <w:rtl/>
        </w:rPr>
        <w:t>רמב"ן</w:t>
      </w:r>
      <w:r w:rsidRPr="00E14121">
        <w:rPr>
          <w:rFonts w:ascii="Narkisim" w:hAnsi="Narkisim" w:cs="Narkisim"/>
          <w:rtl/>
        </w:rPr>
        <w:t xml:space="preserve"> </w:t>
      </w:r>
      <w:r w:rsidRPr="00E14121">
        <w:rPr>
          <w:rFonts w:ascii="Narkisim" w:hAnsi="Narkisim" w:cs="Narkisim"/>
          <w:sz w:val="20"/>
          <w:szCs w:val="20"/>
          <w:rtl/>
        </w:rPr>
        <w:t>(בחי' ובספר  הזכות, ורוב ראשונים, וכ"ד ה</w:t>
      </w:r>
      <w:r w:rsidRPr="00E14121">
        <w:rPr>
          <w:rFonts w:ascii="Narkisim" w:hAnsi="Narkisim" w:cs="Narkisim"/>
          <w:b/>
          <w:bCs/>
          <w:sz w:val="20"/>
          <w:szCs w:val="20"/>
          <w:rtl/>
        </w:rPr>
        <w:t>רמב”ם</w:t>
      </w:r>
      <w:r w:rsidRPr="00E14121">
        <w:rPr>
          <w:rFonts w:ascii="Narkisim" w:hAnsi="Narkisim" w:cs="Narkisim"/>
          <w:sz w:val="20"/>
          <w:szCs w:val="20"/>
          <w:rtl/>
        </w:rPr>
        <w:t xml:space="preserve"> איסו"ב טז ט והשו"ע ה) </w:t>
      </w:r>
      <w:r w:rsidRPr="00E14121">
        <w:rPr>
          <w:rFonts w:ascii="Narkisim" w:hAnsi="Narkisim" w:cs="Narkisim"/>
          <w:rtl/>
        </w:rPr>
        <w:t>דהתם איירי שחסר מתחילת יצירתו, דהוה בידי שמים הוא תדע דמדמי ליה לסריס חמה. אבל ניטל בידי אדם לא גרע מנפצעה. וכל בידי אדם פסול.</w:t>
      </w:r>
    </w:p>
    <w:p w14:paraId="7DEE2F6E" w14:textId="77777777" w:rsidR="00F64AED" w:rsidRPr="00E14121" w:rsidRDefault="00F64AED" w:rsidP="00F64AED">
      <w:pPr>
        <w:pStyle w:val="a8"/>
        <w:bidi/>
        <w:rPr>
          <w:rFonts w:ascii="Narkisim" w:hAnsi="Narkisim"/>
        </w:rPr>
      </w:pPr>
      <w:r w:rsidRPr="00E14121">
        <w:rPr>
          <w:rFonts w:ascii="Narkisim" w:hAnsi="Narkisim"/>
          <w:rtl/>
        </w:rPr>
        <w:t>ומשמע דאף בידי שמים אינו מוליד, אלא דלא נאסר. וכ”כ ה</w:t>
      </w:r>
      <w:r w:rsidRPr="00E14121">
        <w:rPr>
          <w:rFonts w:ascii="Narkisim" w:hAnsi="Narkisim"/>
          <w:b/>
          <w:bCs/>
          <w:rtl/>
        </w:rPr>
        <w:t>בי”מ</w:t>
      </w:r>
      <w:r w:rsidRPr="00E14121">
        <w:rPr>
          <w:rFonts w:ascii="Narkisim" w:hAnsi="Narkisim"/>
          <w:rtl/>
        </w:rPr>
        <w:t xml:space="preserve"> (ה) ו</w:t>
      </w:r>
      <w:r w:rsidRPr="00E14121">
        <w:rPr>
          <w:rFonts w:ascii="Narkisim" w:hAnsi="Narkisim"/>
          <w:b/>
          <w:bCs/>
          <w:rtl/>
        </w:rPr>
        <w:t>חזו"א</w:t>
      </w:r>
      <w:r w:rsidRPr="00E14121">
        <w:rPr>
          <w:rFonts w:ascii="Narkisim" w:hAnsi="Narkisim"/>
          <w:rtl/>
        </w:rPr>
        <w:t xml:space="preserve"> (ט). אבל יש </w:t>
      </w:r>
      <w:r w:rsidRPr="00E14121">
        <w:rPr>
          <w:rFonts w:ascii="Narkisim" w:hAnsi="Narkisim"/>
          <w:b/>
          <w:bCs/>
          <w:rtl/>
        </w:rPr>
        <w:t>אחרונים</w:t>
      </w:r>
      <w:r w:rsidRPr="00E14121">
        <w:rPr>
          <w:rFonts w:ascii="Narkisim" w:hAnsi="Narkisim"/>
          <w:rtl/>
        </w:rPr>
        <w:t xml:space="preserve"> דנקטו דבידי שמים יכול להוליד.</w:t>
      </w:r>
    </w:p>
    <w:p w14:paraId="359E7A1C" w14:textId="77777777" w:rsidR="00F64AED" w:rsidRPr="00E14121" w:rsidRDefault="00F64AED" w:rsidP="00F64AED">
      <w:pPr>
        <w:pStyle w:val="a7"/>
        <w:bidi/>
        <w:rPr>
          <w:rFonts w:ascii="Narkisim" w:hAnsi="Narkisim"/>
        </w:rPr>
      </w:pPr>
      <w:r w:rsidRPr="00E14121">
        <w:rPr>
          <w:rFonts w:ascii="Narkisim" w:hAnsi="Narkisim"/>
          <w:rtl/>
        </w:rPr>
        <w:t xml:space="preserve">ודעת </w:t>
      </w:r>
      <w:r w:rsidRPr="00E14121">
        <w:rPr>
          <w:rFonts w:ascii="Narkisim" w:hAnsi="Narkisim"/>
          <w:b/>
          <w:bCs/>
          <w:rtl/>
        </w:rPr>
        <w:t>ר,ת</w:t>
      </w:r>
      <w:r w:rsidRPr="00E14121">
        <w:rPr>
          <w:rFonts w:ascii="Narkisim" w:hAnsi="Narkisim"/>
          <w:rtl/>
        </w:rPr>
        <w:t xml:space="preserve"> דאם ניטל ביצה שלימה אף בידי אדם כשר. וכ”ד ה</w:t>
      </w:r>
      <w:r w:rsidRPr="00E14121">
        <w:rPr>
          <w:rFonts w:ascii="Narkisim" w:hAnsi="Narkisim"/>
          <w:b/>
          <w:bCs/>
          <w:rtl/>
        </w:rPr>
        <w:t>ראב”ד</w:t>
      </w:r>
      <w:r w:rsidRPr="00E14121">
        <w:rPr>
          <w:rFonts w:ascii="Narkisim" w:hAnsi="Narkisim"/>
          <w:rtl/>
        </w:rPr>
        <w:t xml:space="preserve"> (בהשגות לרי”ף) וב</w:t>
      </w:r>
      <w:r w:rsidRPr="00E14121">
        <w:rPr>
          <w:rFonts w:ascii="Narkisim" w:hAnsi="Narkisim"/>
          <w:b/>
          <w:bCs/>
          <w:rtl/>
        </w:rPr>
        <w:t>תוס' חד מקמאי</w:t>
      </w:r>
      <w:r w:rsidRPr="00E14121">
        <w:rPr>
          <w:rFonts w:ascii="Narkisim" w:hAnsi="Narkisim"/>
          <w:rtl/>
        </w:rPr>
        <w:t>.</w:t>
      </w:r>
    </w:p>
    <w:p w14:paraId="1BBF546C" w14:textId="77777777" w:rsidR="00F64AED" w:rsidRPr="00E14121" w:rsidRDefault="00F64AED" w:rsidP="00F64AED">
      <w:pPr>
        <w:bidi/>
        <w:rPr>
          <w:rFonts w:ascii="Narkisim" w:hAnsi="Narkisim" w:cs="Narkisim"/>
        </w:rPr>
      </w:pPr>
      <w:r w:rsidRPr="00E14121">
        <w:rPr>
          <w:rFonts w:ascii="Narkisim" w:hAnsi="Narkisim" w:cs="Narkisim"/>
          <w:u w:val="single"/>
          <w:rtl/>
        </w:rPr>
        <w:t>בא"ד (בע"ב) ואמר ר"ת וכו' דכשניטלה לגמרי מוליד.</w:t>
      </w:r>
      <w:r w:rsidRPr="00E14121">
        <w:rPr>
          <w:rFonts w:ascii="Narkisim" w:hAnsi="Narkisim" w:cs="Narkisim"/>
          <w:rtl/>
        </w:rPr>
        <w:t xml:space="preserve"> וה</w:t>
      </w:r>
      <w:r w:rsidRPr="00E14121">
        <w:rPr>
          <w:rFonts w:ascii="Narkisim" w:hAnsi="Narkisim" w:cs="Narkisim"/>
          <w:b/>
          <w:bCs/>
          <w:rtl/>
        </w:rPr>
        <w:t>ראב"ד</w:t>
      </w:r>
      <w:r w:rsidRPr="00E14121">
        <w:rPr>
          <w:rFonts w:ascii="Narkisim" w:hAnsi="Narkisim" w:cs="Narkisim"/>
          <w:rtl/>
        </w:rPr>
        <w:t xml:space="preserve"> כתב דהרבה בני אדם שלוקים בביצה א' והרופא חותכה והם מולידים. משמע מדבריו דאף דכבר נתקלקל יכולים לחזור ולתקנו</w:t>
      </w:r>
      <w:r w:rsidRPr="00E14121">
        <w:rPr>
          <w:rStyle w:val="ac"/>
          <w:rFonts w:ascii="Narkisim" w:hAnsi="Narkisim" w:cs="Narkisim"/>
          <w:rtl/>
        </w:rPr>
        <w:footnoteReference w:id="4526"/>
      </w:r>
      <w:r w:rsidRPr="00E14121">
        <w:rPr>
          <w:rFonts w:ascii="Narkisim" w:hAnsi="Narkisim" w:cs="Narkisim"/>
          <w:rtl/>
        </w:rPr>
        <w:t>. אבל ה</w:t>
      </w:r>
      <w:r w:rsidRPr="00E14121">
        <w:rPr>
          <w:rFonts w:ascii="Narkisim" w:hAnsi="Narkisim" w:cs="Narkisim"/>
          <w:b/>
          <w:bCs/>
          <w:rtl/>
        </w:rPr>
        <w:t>רא"ש</w:t>
      </w:r>
      <w:r w:rsidRPr="00E14121">
        <w:rPr>
          <w:rFonts w:ascii="Narkisim" w:hAnsi="Narkisim" w:cs="Narkisim"/>
          <w:rtl/>
        </w:rPr>
        <w:t xml:space="preserve"> כתב דאם נפצעה אחת ואח"כ נוטלה אינו חוזר להכשירו [כמו נקב ונסתם], וכ”כ ב</w:t>
      </w:r>
      <w:r w:rsidRPr="00E14121">
        <w:rPr>
          <w:rFonts w:ascii="Narkisim" w:hAnsi="Narkisim" w:cs="Narkisim"/>
          <w:b/>
          <w:bCs/>
          <w:rtl/>
        </w:rPr>
        <w:t>שלט”ג</w:t>
      </w:r>
      <w:r w:rsidRPr="00E14121">
        <w:rPr>
          <w:rFonts w:ascii="Narkisim" w:hAnsi="Narkisim" w:cs="Narkisim"/>
          <w:rtl/>
        </w:rPr>
        <w:t>.</w:t>
      </w:r>
      <w:r w:rsidRPr="00E14121">
        <w:rPr>
          <w:rFonts w:ascii="Narkisim" w:hAnsi="Narkisim" w:cs="Narkisim"/>
          <w:sz w:val="20"/>
          <w:szCs w:val="20"/>
          <w:rtl/>
        </w:rPr>
        <w:t xml:space="preserve"> [ויל"ד האם כוונתם דכבר נעשה נזק וא"א לתקן. או דנאמר הלכה דפצוע דכא לא יתכן שיחזור להיתר</w:t>
      </w:r>
      <w:r w:rsidRPr="00E14121">
        <w:rPr>
          <w:rStyle w:val="ac"/>
          <w:rFonts w:ascii="Narkisim" w:hAnsi="Narkisim" w:cs="Narkisim"/>
          <w:sz w:val="20"/>
          <w:szCs w:val="20"/>
          <w:rtl/>
        </w:rPr>
        <w:footnoteReference w:id="4527"/>
      </w:r>
      <w:r w:rsidRPr="00E14121">
        <w:rPr>
          <w:rFonts w:ascii="Narkisim" w:hAnsi="Narkisim" w:cs="Narkisim"/>
          <w:sz w:val="20"/>
          <w:szCs w:val="20"/>
          <w:rtl/>
        </w:rPr>
        <w:t>, וע”ע לקמן עו.].</w:t>
      </w:r>
    </w:p>
    <w:p w14:paraId="16167B51" w14:textId="77777777" w:rsidR="00F64AED" w:rsidRPr="00E14121" w:rsidRDefault="00F64AED" w:rsidP="00F64AED">
      <w:pPr>
        <w:pStyle w:val="aa"/>
        <w:bidi/>
        <w:rPr>
          <w:rFonts w:ascii="Narkisim" w:hAnsi="Narkisim"/>
        </w:rPr>
      </w:pPr>
      <w:r w:rsidRPr="00E14121">
        <w:rPr>
          <w:rFonts w:ascii="Narkisim" w:hAnsi="Narkisim"/>
          <w:u w:val="single"/>
          <w:rtl/>
        </w:rPr>
        <w:t>בא"ד ואף את"ל דר' ישמעאל לפלוגי את"ק אתי, הילכתא כוותיה וכו'.</w:t>
      </w:r>
      <w:r w:rsidRPr="00E14121">
        <w:rPr>
          <w:rFonts w:ascii="Narkisim" w:hAnsi="Narkisim"/>
          <w:rtl/>
        </w:rPr>
        <w:t xml:space="preserve"> אבל ה</w:t>
      </w:r>
      <w:r w:rsidRPr="00E14121">
        <w:rPr>
          <w:rFonts w:ascii="Narkisim" w:hAnsi="Narkisim"/>
          <w:b/>
          <w:bCs/>
          <w:rtl/>
        </w:rPr>
        <w:t>רמב"ן</w:t>
      </w:r>
      <w:r w:rsidRPr="00E14121">
        <w:rPr>
          <w:rFonts w:ascii="Narkisim" w:hAnsi="Narkisim"/>
          <w:rtl/>
        </w:rPr>
        <w:t xml:space="preserve"> כתב דאי פליגי הלכה כרבים, דת”ק לא סמך אעדותו.</w:t>
      </w:r>
    </w:p>
    <w:p w14:paraId="7785A239" w14:textId="77777777" w:rsidR="00F64AED" w:rsidRPr="00E14121" w:rsidRDefault="00F64AED" w:rsidP="00F64AED">
      <w:pPr>
        <w:bidi/>
        <w:rPr>
          <w:rFonts w:ascii="Narkisim" w:hAnsi="Narkisim" w:cs="Narkisim"/>
        </w:rPr>
      </w:pPr>
      <w:r w:rsidRPr="00E14121">
        <w:rPr>
          <w:rFonts w:ascii="Narkisim" w:hAnsi="Narkisim" w:cs="Narkisim"/>
          <w:u w:val="single"/>
          <w:rtl/>
        </w:rPr>
        <w:t>בא"ד ובירושלמי נמי משמע דהלכה דכשר, אבל משמע דאינו מוליד.</w:t>
      </w:r>
      <w:r w:rsidRPr="00E14121">
        <w:rPr>
          <w:rFonts w:ascii="Narkisim" w:hAnsi="Narkisim" w:cs="Narkisim"/>
          <w:rtl/>
        </w:rPr>
        <w:t xml:space="preserve"> </w:t>
      </w:r>
      <w:r w:rsidRPr="00E14121">
        <w:rPr>
          <w:rFonts w:ascii="Narkisim" w:hAnsi="Narkisim" w:cs="Narkisim"/>
          <w:sz w:val="20"/>
          <w:szCs w:val="20"/>
          <w:rtl/>
        </w:rPr>
        <w:t>[ומ”מ זה דלא כעדות ר”ת].</w:t>
      </w:r>
      <w:r w:rsidRPr="00E14121">
        <w:rPr>
          <w:rFonts w:ascii="Narkisim" w:hAnsi="Narkisim" w:cs="Narkisim"/>
          <w:rtl/>
        </w:rPr>
        <w:t xml:space="preserve"> וה</w:t>
      </w:r>
      <w:r w:rsidRPr="00E14121">
        <w:rPr>
          <w:rFonts w:ascii="Narkisim" w:hAnsi="Narkisim" w:cs="Narkisim"/>
          <w:b/>
          <w:bCs/>
          <w:rtl/>
        </w:rPr>
        <w:t>רא”ש</w:t>
      </w:r>
      <w:r w:rsidRPr="00E14121">
        <w:rPr>
          <w:rFonts w:ascii="Narkisim" w:hAnsi="Narkisim" w:cs="Narkisim"/>
          <w:rtl/>
        </w:rPr>
        <w:t xml:space="preserve"> הק' לפי' זה ב</w:t>
      </w:r>
      <w:r w:rsidRPr="00E14121">
        <w:rPr>
          <w:rFonts w:ascii="Narkisim" w:hAnsi="Narkisim" w:cs="Narkisim"/>
          <w:b/>
          <w:bCs/>
          <w:rtl/>
        </w:rPr>
        <w:t>ירושלמי</w:t>
      </w:r>
      <w:r w:rsidRPr="00E14121">
        <w:rPr>
          <w:rStyle w:val="ac"/>
          <w:rFonts w:ascii="Narkisim" w:hAnsi="Narkisim" w:cs="Narkisim"/>
          <w:rtl/>
        </w:rPr>
        <w:footnoteReference w:id="4528"/>
      </w:r>
      <w:r w:rsidRPr="00E14121">
        <w:rPr>
          <w:rFonts w:ascii="Narkisim" w:hAnsi="Narkisim" w:cs="Narkisim"/>
          <w:rtl/>
        </w:rPr>
        <w:t xml:space="preserve"> דכיון דאינו יכול להוליד אמאי לא יחשב פצו”ד</w:t>
      </w:r>
      <w:r w:rsidRPr="00E14121">
        <w:rPr>
          <w:rFonts w:ascii="Narkisim" w:hAnsi="Narkisim" w:cs="Narkisim"/>
          <w:sz w:val="20"/>
          <w:szCs w:val="20"/>
          <w:rtl/>
        </w:rPr>
        <w:t xml:space="preserve"> [כיון דיש פגם בביצים</w:t>
      </w:r>
      <w:r w:rsidRPr="00E14121">
        <w:rPr>
          <w:rStyle w:val="ac"/>
          <w:rFonts w:ascii="Narkisim" w:hAnsi="Narkisim" w:cs="Narkisim"/>
          <w:sz w:val="20"/>
          <w:szCs w:val="20"/>
          <w:rtl/>
        </w:rPr>
        <w:footnoteReference w:id="4529"/>
      </w:r>
      <w:r w:rsidRPr="00E14121">
        <w:rPr>
          <w:rFonts w:ascii="Narkisim" w:hAnsi="Narkisim" w:cs="Narkisim"/>
          <w:sz w:val="20"/>
          <w:szCs w:val="20"/>
          <w:rtl/>
        </w:rPr>
        <w:t xml:space="preserve"> בצורה שאינו יכול להוליד</w:t>
      </w:r>
      <w:r w:rsidRPr="00E14121">
        <w:rPr>
          <w:rStyle w:val="ac"/>
          <w:rFonts w:ascii="Narkisim" w:hAnsi="Narkisim" w:cs="Narkisim"/>
          <w:sz w:val="20"/>
          <w:szCs w:val="20"/>
          <w:rtl/>
        </w:rPr>
        <w:footnoteReference w:id="4530"/>
      </w:r>
      <w:r w:rsidRPr="00E14121">
        <w:rPr>
          <w:rFonts w:ascii="Narkisim" w:hAnsi="Narkisim" w:cs="Narkisim"/>
          <w:sz w:val="20"/>
          <w:szCs w:val="20"/>
          <w:rtl/>
        </w:rPr>
        <w:t>].</w:t>
      </w:r>
    </w:p>
    <w:p w14:paraId="5CAD4FB4" w14:textId="77777777" w:rsidR="00F64AED" w:rsidRPr="00E14121" w:rsidRDefault="00F64AED" w:rsidP="00F64AED">
      <w:pPr>
        <w:pStyle w:val="aa"/>
        <w:bidi/>
        <w:rPr>
          <w:rFonts w:ascii="Narkisim" w:hAnsi="Narkisim"/>
        </w:rPr>
      </w:pPr>
      <w:r w:rsidRPr="00E14121">
        <w:rPr>
          <w:rFonts w:ascii="Narkisim" w:hAnsi="Narkisim"/>
          <w:u w:val="single"/>
          <w:rtl/>
        </w:rPr>
        <w:t>בא"ד אבל יותר נר' לר"י וכו' ובלבד בשל ימין, וחומרא גדולה וטוב להזהיר לרופאים וכו'</w:t>
      </w:r>
      <w:r w:rsidRPr="00E14121">
        <w:rPr>
          <w:rStyle w:val="ac"/>
          <w:rFonts w:ascii="Narkisim" w:hAnsi="Narkisim"/>
          <w:u w:val="single"/>
          <w:rtl/>
        </w:rPr>
        <w:footnoteReference w:id="4531"/>
      </w:r>
      <w:r w:rsidRPr="00E14121">
        <w:rPr>
          <w:rFonts w:ascii="Narkisim" w:hAnsi="Narkisim"/>
          <w:u w:val="single"/>
          <w:rtl/>
        </w:rPr>
        <w:t>.</w:t>
      </w:r>
      <w:r w:rsidRPr="00E14121">
        <w:rPr>
          <w:rFonts w:ascii="Narkisim" w:hAnsi="Narkisim"/>
          <w:rtl/>
        </w:rPr>
        <w:t xml:space="preserve"> משמע מתוס' דניטל ימין אסור בקהל. אבל ה</w:t>
      </w:r>
      <w:r w:rsidRPr="00E14121">
        <w:rPr>
          <w:rFonts w:ascii="Narkisim" w:hAnsi="Narkisim"/>
          <w:b/>
          <w:bCs/>
          <w:rtl/>
        </w:rPr>
        <w:t>ראב"ד</w:t>
      </w:r>
      <w:r w:rsidRPr="00E14121">
        <w:rPr>
          <w:rFonts w:ascii="Narkisim" w:hAnsi="Narkisim"/>
          <w:rtl/>
        </w:rPr>
        <w:t xml:space="preserve"> כתב דשל ימין אינו מוליד, אבל מותר בקהל. [וע"ד מש"כ ר"ת].</w:t>
      </w:r>
    </w:p>
    <w:p w14:paraId="7FD794E9" w14:textId="77777777" w:rsidR="00F64AED" w:rsidRPr="00E14121" w:rsidRDefault="00F64AED" w:rsidP="00F64AED">
      <w:pPr>
        <w:pStyle w:val="3"/>
        <w:bidi/>
        <w:rPr>
          <w:rFonts w:ascii="Narkisim" w:hAnsi="Narkisim"/>
        </w:rPr>
      </w:pPr>
      <w:r w:rsidRPr="00E14121">
        <w:rPr>
          <w:rFonts w:ascii="Narkisim" w:hAnsi="Narkisim"/>
          <w:rtl/>
        </w:rPr>
        <w:t>דף עה:</w:t>
      </w:r>
    </w:p>
    <w:p w14:paraId="0C78BDC3" w14:textId="77777777" w:rsidR="00F64AED" w:rsidRPr="00E14121" w:rsidRDefault="00F64AED" w:rsidP="00F64AED">
      <w:pPr>
        <w:bidi/>
        <w:rPr>
          <w:rFonts w:ascii="Narkisim" w:hAnsi="Narkisim" w:cs="Narkisim"/>
        </w:rPr>
      </w:pPr>
      <w:r w:rsidRPr="00E14121">
        <w:rPr>
          <w:rFonts w:ascii="Narkisim" w:hAnsi="Narkisim" w:cs="Narkisim"/>
          <w:u w:val="single"/>
          <w:rtl/>
        </w:rPr>
        <w:t>מאין הם.</w:t>
      </w:r>
      <w:r w:rsidRPr="00E14121">
        <w:rPr>
          <w:rFonts w:ascii="Narkisim" w:hAnsi="Narkisim" w:cs="Narkisim"/>
          <w:rtl/>
        </w:rPr>
        <w:t xml:space="preserve"> ה</w:t>
      </w:r>
      <w:r w:rsidRPr="00E14121">
        <w:rPr>
          <w:rFonts w:ascii="Narkisim" w:hAnsi="Narkisim" w:cs="Narkisim"/>
          <w:b/>
          <w:bCs/>
          <w:rtl/>
        </w:rPr>
        <w:t>בי"ש</w:t>
      </w:r>
      <w:r w:rsidRPr="00E14121">
        <w:rPr>
          <w:rFonts w:ascii="Narkisim" w:hAnsi="Narkisim" w:cs="Narkisim"/>
          <w:rtl/>
        </w:rPr>
        <w:t xml:space="preserve"> (ה ג) כתב בשם ה</w:t>
      </w:r>
      <w:r w:rsidRPr="00E14121">
        <w:rPr>
          <w:rFonts w:ascii="Narkisim" w:hAnsi="Narkisim" w:cs="Narkisim"/>
          <w:b/>
          <w:bCs/>
          <w:rtl/>
        </w:rPr>
        <w:t>ריא"ז</w:t>
      </w:r>
      <w:r w:rsidRPr="00E14121">
        <w:rPr>
          <w:rFonts w:ascii="Narkisim" w:hAnsi="Narkisim" w:cs="Narkisim"/>
          <w:rtl/>
        </w:rPr>
        <w:t xml:space="preserve"> דכל פצוע דכא הוא בחזקת שאינו מוליד, ואם נשא אשה וילדה בנים בחזקת שאינם בניו, ובחזקת ממזרים. וכ"כ כמה </w:t>
      </w:r>
      <w:r w:rsidRPr="00E14121">
        <w:rPr>
          <w:rFonts w:ascii="Narkisim" w:hAnsi="Narkisim" w:cs="Narkisim"/>
          <w:b/>
          <w:bCs/>
          <w:rtl/>
        </w:rPr>
        <w:t>אחרונים</w:t>
      </w:r>
      <w:r w:rsidRPr="00E14121">
        <w:rPr>
          <w:rFonts w:ascii="Narkisim" w:hAnsi="Narkisim" w:cs="Narkisim"/>
          <w:rtl/>
        </w:rPr>
        <w:t xml:space="preserve"> דקי"ל דפצוע דכא אינו מוליד, ולא יועיל עדות רופאים שיוכל להעיד</w:t>
      </w:r>
      <w:r w:rsidRPr="00E14121">
        <w:rPr>
          <w:rStyle w:val="ac"/>
          <w:rFonts w:ascii="Narkisim" w:hAnsi="Narkisim" w:cs="Narkisim"/>
          <w:rtl/>
        </w:rPr>
        <w:footnoteReference w:id="4532"/>
      </w:r>
      <w:r w:rsidRPr="00E14121">
        <w:rPr>
          <w:rFonts w:ascii="Narkisim" w:hAnsi="Narkisim" w:cs="Narkisim"/>
          <w:rtl/>
        </w:rPr>
        <w:t>.</w:t>
      </w:r>
    </w:p>
    <w:p w14:paraId="0F1492EC"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w:t>
      </w:r>
      <w:r w:rsidRPr="00E14121">
        <w:rPr>
          <w:rFonts w:ascii="Narkisim" w:hAnsi="Narkisim"/>
          <w:sz w:val="20"/>
          <w:szCs w:val="20"/>
          <w:rtl/>
        </w:rPr>
        <w:t xml:space="preserve">(בע"א) </w:t>
      </w:r>
      <w:r w:rsidRPr="00E14121">
        <w:rPr>
          <w:rFonts w:ascii="Narkisim" w:hAnsi="Narkisim"/>
          <w:rtl/>
        </w:rPr>
        <w:t xml:space="preserve">בשם </w:t>
      </w:r>
      <w:r w:rsidRPr="00E14121">
        <w:rPr>
          <w:rFonts w:ascii="Narkisim" w:hAnsi="Narkisim"/>
          <w:b/>
          <w:bCs/>
          <w:rtl/>
        </w:rPr>
        <w:t>ר"ת</w:t>
      </w:r>
      <w:r w:rsidRPr="00E14121">
        <w:rPr>
          <w:rFonts w:ascii="Narkisim" w:hAnsi="Narkisim"/>
          <w:rtl/>
        </w:rPr>
        <w:t xml:space="preserve"> הוכיח דבעל ביצה א' כשר, דחזינן כמה בנ"א שמולידים</w:t>
      </w:r>
      <w:r w:rsidRPr="00E14121">
        <w:rPr>
          <w:rStyle w:val="ac"/>
          <w:rFonts w:ascii="Narkisim" w:hAnsi="Narkisim"/>
          <w:rtl/>
        </w:rPr>
        <w:footnoteReference w:id="4533"/>
      </w:r>
      <w:r w:rsidRPr="00E14121">
        <w:rPr>
          <w:rFonts w:ascii="Narkisim" w:hAnsi="Narkisim"/>
          <w:rtl/>
        </w:rPr>
        <w:t xml:space="preserve">, ולא </w:t>
      </w:r>
      <w:r w:rsidRPr="00E14121">
        <w:rPr>
          <w:rFonts w:ascii="Narkisim" w:hAnsi="Narkisim"/>
          <w:rtl/>
        </w:rPr>
        <w:lastRenderedPageBreak/>
        <w:t>מסתבר לומר צא וחזר על בניהם מאין הם</w:t>
      </w:r>
      <w:r w:rsidRPr="00E14121">
        <w:rPr>
          <w:rStyle w:val="ac"/>
          <w:rFonts w:ascii="Narkisim" w:hAnsi="Narkisim"/>
          <w:rtl/>
        </w:rPr>
        <w:footnoteReference w:id="4534"/>
      </w:r>
      <w:r w:rsidRPr="00E14121">
        <w:rPr>
          <w:rFonts w:ascii="Narkisim" w:hAnsi="Narkisim"/>
          <w:rtl/>
        </w:rPr>
        <w:t>. וה</w:t>
      </w:r>
      <w:r w:rsidRPr="00E14121">
        <w:rPr>
          <w:rFonts w:ascii="Narkisim" w:hAnsi="Narkisim"/>
          <w:b/>
          <w:bCs/>
          <w:rtl/>
        </w:rPr>
        <w:t xml:space="preserve">רמב"ן </w:t>
      </w:r>
      <w:r w:rsidRPr="00E14121">
        <w:rPr>
          <w:rFonts w:ascii="Narkisim" w:hAnsi="Narkisim"/>
          <w:rtl/>
        </w:rPr>
        <w:t>כתב דאנו אומרים צא וחזר על בניהם מאין הם.</w:t>
      </w:r>
    </w:p>
    <w:p w14:paraId="23551A3D"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לבוש</w:t>
      </w:r>
      <w:r w:rsidRPr="00E14121">
        <w:rPr>
          <w:rFonts w:ascii="Narkisim" w:hAnsi="Narkisim"/>
          <w:rtl/>
        </w:rPr>
        <w:t xml:space="preserve"> (אה"ע ה ב) הביא </w:t>
      </w:r>
      <w:r w:rsidRPr="00E14121">
        <w:rPr>
          <w:rFonts w:ascii="Narkisim" w:hAnsi="Narkisim"/>
          <w:b/>
          <w:bCs/>
          <w:rtl/>
        </w:rPr>
        <w:t>י"א</w:t>
      </w:r>
      <w:r w:rsidRPr="00E14121">
        <w:rPr>
          <w:rFonts w:ascii="Narkisim" w:hAnsi="Narkisim"/>
          <w:rtl/>
        </w:rPr>
        <w:t xml:space="preserve"> דאף אם יהא בעל ביצה א' שיוליד, אין להכשירו עי”ז לקהל. דאף אי מוליד לא יצא מכלל פצוע ונתוק וכרות</w:t>
      </w:r>
      <w:r w:rsidRPr="00E14121">
        <w:rPr>
          <w:rStyle w:val="ac"/>
          <w:rFonts w:ascii="Narkisim" w:hAnsi="Narkisim"/>
          <w:rtl/>
        </w:rPr>
        <w:footnoteReference w:id="4535"/>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(חת"ס אה"ע ק' יז, שב יעקב ד, אגר”מ) האריכו לתמוה על דבריו</w:t>
      </w:r>
      <w:r w:rsidRPr="00E14121">
        <w:rPr>
          <w:rStyle w:val="ac"/>
          <w:rFonts w:ascii="Narkisim" w:hAnsi="Narkisim"/>
          <w:rtl/>
        </w:rPr>
        <w:footnoteReference w:id="4536"/>
      </w:r>
      <w:r w:rsidRPr="00E14121">
        <w:rPr>
          <w:rFonts w:ascii="Narkisim" w:hAnsi="Narkisim"/>
          <w:rtl/>
        </w:rPr>
        <w:t xml:space="preserve"> דבסוגיין משמע דודאי אינו מוליד, והבנים ממזרים</w:t>
      </w:r>
      <w:r w:rsidRPr="00E14121">
        <w:rPr>
          <w:rStyle w:val="ac"/>
          <w:rFonts w:ascii="Narkisim" w:hAnsi="Narkisim"/>
          <w:sz w:val="20"/>
          <w:szCs w:val="20"/>
          <w:rtl/>
        </w:rPr>
        <w:footnoteReference w:id="4537"/>
      </w:r>
      <w:r w:rsidRPr="00E14121">
        <w:rPr>
          <w:rFonts w:ascii="Narkisim" w:hAnsi="Narkisim"/>
          <w:rtl/>
        </w:rPr>
        <w:t>. (וע"ע בסמוך).</w:t>
      </w:r>
    </w:p>
    <w:p w14:paraId="12DC59F9"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דנו אילו נמצא היום שיכול להוליד אף באופנים שמבואר בסוגיין דהוה פצוע דכא [ונשתנו הטבעים]</w:t>
      </w:r>
      <w:r w:rsidRPr="00E14121">
        <w:rPr>
          <w:rStyle w:val="ac"/>
          <w:rFonts w:ascii="Narkisim" w:hAnsi="Narkisim"/>
          <w:rtl/>
        </w:rPr>
        <w:footnoteReference w:id="4538"/>
      </w:r>
      <w:r w:rsidRPr="00E14121">
        <w:rPr>
          <w:rFonts w:ascii="Narkisim" w:hAnsi="Narkisim"/>
          <w:rtl/>
        </w:rPr>
        <w:t>, האם נאמר דזהו פצוע דכא שאסרה תורה</w:t>
      </w:r>
      <w:r w:rsidRPr="00E14121">
        <w:rPr>
          <w:rStyle w:val="ac"/>
          <w:rFonts w:ascii="Narkisim" w:hAnsi="Narkisim"/>
          <w:rtl/>
        </w:rPr>
        <w:footnoteReference w:id="4539"/>
      </w:r>
      <w:r w:rsidRPr="00E14121">
        <w:rPr>
          <w:rFonts w:ascii="Narkisim" w:hAnsi="Narkisim"/>
          <w:rtl/>
        </w:rPr>
        <w:t>, ע"פ המציאות שהיתה בזמניהם דאינו מוליד</w:t>
      </w:r>
      <w:r w:rsidRPr="00E14121">
        <w:rPr>
          <w:rStyle w:val="ac"/>
          <w:rFonts w:ascii="Narkisim" w:hAnsi="Narkisim"/>
          <w:rtl/>
        </w:rPr>
        <w:footnoteReference w:id="4540"/>
      </w:r>
      <w:r w:rsidRPr="00E14121">
        <w:rPr>
          <w:rFonts w:ascii="Narkisim" w:hAnsi="Narkisim"/>
          <w:rtl/>
        </w:rPr>
        <w:t>.</w:t>
      </w:r>
      <w:r w:rsidRPr="00E14121">
        <w:rPr>
          <w:rStyle w:val="ac"/>
          <w:rFonts w:ascii="Narkisim" w:hAnsi="Narkisim"/>
          <w:rtl/>
        </w:rPr>
        <w:footnoteReference w:id="4541"/>
      </w:r>
      <w:r w:rsidRPr="00E14121">
        <w:rPr>
          <w:rFonts w:ascii="Narkisim" w:hAnsi="Narkisim"/>
          <w:rtl/>
        </w:rPr>
        <w:t xml:space="preserve"> וה</w:t>
      </w:r>
      <w:r w:rsidRPr="00E14121">
        <w:rPr>
          <w:rFonts w:ascii="Narkisim" w:hAnsi="Narkisim"/>
          <w:b/>
          <w:bCs/>
          <w:rtl/>
        </w:rPr>
        <w:t>אגר"מ</w:t>
      </w:r>
      <w:r w:rsidRPr="00E14121">
        <w:rPr>
          <w:rFonts w:ascii="Narkisim" w:hAnsi="Narkisim"/>
          <w:rtl/>
        </w:rPr>
        <w:t xml:space="preserve"> (אה"ע ב ג) כתב די"ל דהסימנים שנמסרו בסוגיין אינם עיקר הגדרת פצו"ד, אלא במה שאינו מוליד, ואם נשתנה המציאות שמוליד לא נאסר</w:t>
      </w:r>
      <w:r w:rsidRPr="00E14121">
        <w:rPr>
          <w:rStyle w:val="ac"/>
          <w:rFonts w:ascii="Narkisim" w:hAnsi="Narkisim"/>
          <w:rtl/>
        </w:rPr>
        <w:footnoteReference w:id="4542"/>
      </w:r>
      <w:r w:rsidRPr="00E14121">
        <w:rPr>
          <w:rFonts w:ascii="Narkisim" w:hAnsi="Narkisim"/>
          <w:rtl/>
        </w:rPr>
        <w:t>}.</w:t>
      </w:r>
    </w:p>
    <w:p w14:paraId="2A7467B2" w14:textId="77777777" w:rsidR="00F64AED" w:rsidRPr="00E14121" w:rsidRDefault="00F64AED" w:rsidP="00F64AED">
      <w:pPr>
        <w:bidi/>
        <w:rPr>
          <w:rFonts w:ascii="Narkisim" w:hAnsi="Narkisim" w:cs="Narkisim"/>
        </w:rPr>
      </w:pPr>
      <w:r w:rsidRPr="00E14121">
        <w:rPr>
          <w:rFonts w:ascii="Narkisim" w:hAnsi="Narkisim" w:cs="Narkisim"/>
          <w:u w:val="single"/>
          <w:rtl/>
        </w:rPr>
        <w:t>בידי שמים</w:t>
      </w:r>
      <w:r w:rsidRPr="00E14121">
        <w:rPr>
          <w:rStyle w:val="ac"/>
          <w:rFonts w:ascii="Narkisim" w:hAnsi="Narkisim" w:cs="Narkisim"/>
          <w:u w:val="single"/>
          <w:rtl/>
        </w:rPr>
        <w:footnoteReference w:id="4543"/>
      </w:r>
      <w:r w:rsidRPr="00E14121">
        <w:rPr>
          <w:rFonts w:ascii="Narkisim" w:hAnsi="Narkisim" w:cs="Narkisim"/>
          <w:u w:val="single"/>
          <w:rtl/>
        </w:rPr>
        <w:t>.</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ע”י רעמים וברד או ממעי אמו. וה</w:t>
      </w:r>
      <w:r w:rsidRPr="00E14121">
        <w:rPr>
          <w:rFonts w:ascii="Narkisim" w:hAnsi="Narkisim" w:cs="Narkisim"/>
          <w:b/>
          <w:bCs/>
          <w:rtl/>
        </w:rPr>
        <w:t>רא”ש</w:t>
      </w:r>
      <w:r w:rsidRPr="00E14121">
        <w:rPr>
          <w:rFonts w:ascii="Narkisim" w:hAnsi="Narkisim" w:cs="Narkisim"/>
          <w:rtl/>
        </w:rPr>
        <w:t xml:space="preserve"> (ב) דייק מדבריו דע”י חולי פסול </w:t>
      </w:r>
      <w:r w:rsidRPr="00E14121">
        <w:rPr>
          <w:rFonts w:ascii="Narkisim" w:hAnsi="Narkisim" w:cs="Narkisim"/>
          <w:sz w:val="20"/>
          <w:szCs w:val="20"/>
          <w:rtl/>
        </w:rPr>
        <w:t>[דנחשב ע”י אדם, ע' בסמוך].</w:t>
      </w:r>
      <w:r w:rsidRPr="00E14121">
        <w:rPr>
          <w:rFonts w:ascii="Narkisim" w:hAnsi="Narkisim" w:cs="Narkisim"/>
          <w:rtl/>
        </w:rPr>
        <w:t xml:space="preserve"> אבל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(איסו"ב טז ט)</w:t>
      </w:r>
      <w:r w:rsidRPr="00E14121">
        <w:rPr>
          <w:rFonts w:ascii="Narkisim" w:hAnsi="Narkisim" w:cs="Narkisim"/>
          <w:rtl/>
        </w:rPr>
        <w:t xml:space="preserve"> כתב דפצוע דכא הוה כשלא היה בידי שמים, כגון שכרתו אדם או כלב או הכהו קוץ וכיו”ב. אבל נולד כך או חלה מחמת גופו מותר</w:t>
      </w:r>
      <w:r w:rsidRPr="00E14121">
        <w:rPr>
          <w:rStyle w:val="ac"/>
          <w:rFonts w:ascii="Narkisim" w:hAnsi="Narkisim" w:cs="Narkisim"/>
          <w:rtl/>
        </w:rPr>
        <w:footnoteReference w:id="4544"/>
      </w:r>
      <w:r w:rsidRPr="00E14121">
        <w:rPr>
          <w:rFonts w:ascii="Narkisim" w:hAnsi="Narkisim" w:cs="Narkisim"/>
          <w:rtl/>
        </w:rPr>
        <w:t xml:space="preserve">. וכ"כ </w:t>
      </w:r>
      <w:r w:rsidRPr="00E14121">
        <w:rPr>
          <w:rFonts w:ascii="Narkisim" w:hAnsi="Narkisim" w:cs="Narkisim"/>
          <w:b/>
          <w:bCs/>
          <w:rtl/>
        </w:rPr>
        <w:t>רש"י</w:t>
      </w:r>
      <w:r w:rsidRPr="00E14121">
        <w:rPr>
          <w:rFonts w:ascii="Narkisim" w:hAnsi="Narkisim" w:cs="Narkisim"/>
          <w:rtl/>
        </w:rPr>
        <w:t xml:space="preserve"> </w:t>
      </w:r>
      <w:r w:rsidRPr="00E14121">
        <w:rPr>
          <w:rFonts w:ascii="Narkisim" w:hAnsi="Narkisim" w:cs="Narkisim"/>
          <w:sz w:val="20"/>
          <w:szCs w:val="20"/>
          <w:rtl/>
        </w:rPr>
        <w:t>(בע"א ד"ה סריס חמה ס"ד)</w:t>
      </w:r>
      <w:r w:rsidRPr="00E14121">
        <w:rPr>
          <w:rFonts w:ascii="Narkisim" w:hAnsi="Narkisim" w:cs="Narkisim"/>
          <w:rtl/>
        </w:rPr>
        <w:t xml:space="preserve"> בידי שמים מחמת חולי. וכ"כ </w:t>
      </w:r>
      <w:r w:rsidRPr="00E14121">
        <w:rPr>
          <w:rFonts w:ascii="Narkisim" w:hAnsi="Narkisim" w:cs="Narkisim"/>
          <w:b/>
          <w:bCs/>
          <w:rtl/>
        </w:rPr>
        <w:t>רש"י</w:t>
      </w:r>
      <w:r w:rsidRPr="00E14121">
        <w:rPr>
          <w:rFonts w:ascii="Narkisim" w:hAnsi="Narkisim" w:cs="Narkisim"/>
          <w:rtl/>
        </w:rPr>
        <w:t xml:space="preserve"> (כ: ד"ה סריס אדם) דסירסו אדם ולא מחמת חולי [משמע דמחמת חולי הוה בידי שמים].</w:t>
      </w:r>
    </w:p>
    <w:p w14:paraId="4EBAE105"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פסקי הרי"ד</w:t>
      </w:r>
      <w:r w:rsidRPr="00E14121">
        <w:rPr>
          <w:rFonts w:ascii="Narkisim" w:hAnsi="Narkisim" w:cs="Narkisim"/>
          <w:rtl/>
        </w:rPr>
        <w:t xml:space="preserve"> חלק דכל דלא היה לו שעת הכושר אסור בקהל</w:t>
      </w:r>
      <w:r w:rsidRPr="00E14121">
        <w:rPr>
          <w:rStyle w:val="ac"/>
          <w:rFonts w:ascii="Narkisim" w:hAnsi="Narkisim" w:cs="Narkisim"/>
          <w:rtl/>
        </w:rPr>
        <w:footnoteReference w:id="4545"/>
      </w:r>
      <w:r w:rsidRPr="00E14121">
        <w:rPr>
          <w:rFonts w:ascii="Narkisim" w:hAnsi="Narkisim" w:cs="Narkisim"/>
          <w:rtl/>
        </w:rPr>
        <w:t xml:space="preserve">. והא דאיתא הכא בידי שמים כשר דוקא ממעי אמו. </w:t>
      </w:r>
      <w:r w:rsidRPr="00E14121">
        <w:rPr>
          <w:rFonts w:ascii="Narkisim" w:hAnsi="Narkisim" w:cs="Narkisim"/>
          <w:sz w:val="20"/>
          <w:szCs w:val="20"/>
          <w:rtl/>
        </w:rPr>
        <w:t>ו</w:t>
      </w:r>
      <w:r w:rsidRPr="00E14121">
        <w:rPr>
          <w:rFonts w:ascii="Narkisim" w:hAnsi="Narkisim" w:cs="Narkisim"/>
          <w:b/>
          <w:bCs/>
          <w:sz w:val="20"/>
          <w:szCs w:val="20"/>
          <w:rtl/>
        </w:rPr>
        <w:t xml:space="preserve">רש"י </w:t>
      </w:r>
      <w:r w:rsidRPr="00E14121">
        <w:rPr>
          <w:rFonts w:ascii="Narkisim" w:hAnsi="Narkisim" w:cs="Narkisim"/>
          <w:sz w:val="20"/>
          <w:szCs w:val="20"/>
          <w:rtl/>
        </w:rPr>
        <w:t>(ד"ה אי) כתב דאי הוה כתיב 'ה'פצוע. משמע מעיקרו, ממעי אמו. [וכדברי הרי"ד, דמנלן להכשיר בידי שמים אח”כ]. אבל ב</w:t>
      </w:r>
      <w:r w:rsidRPr="00E14121">
        <w:rPr>
          <w:rFonts w:ascii="Narkisim" w:hAnsi="Narkisim" w:cs="Narkisim"/>
          <w:b/>
          <w:bCs/>
          <w:sz w:val="20"/>
          <w:szCs w:val="20"/>
          <w:rtl/>
        </w:rPr>
        <w:t>חי'</w:t>
      </w:r>
      <w:r w:rsidRPr="00E14121">
        <w:rPr>
          <w:rFonts w:ascii="Narkisim" w:hAnsi="Narkisim" w:cs="Narkisim"/>
          <w:sz w:val="20"/>
          <w:szCs w:val="20"/>
          <w:rtl/>
        </w:rPr>
        <w:t xml:space="preserve"> </w:t>
      </w:r>
      <w:r w:rsidRPr="00E14121">
        <w:rPr>
          <w:rFonts w:ascii="Narkisim" w:hAnsi="Narkisim" w:cs="Narkisim"/>
          <w:b/>
          <w:bCs/>
          <w:sz w:val="20"/>
          <w:szCs w:val="20"/>
          <w:rtl/>
        </w:rPr>
        <w:t>ר"א מן ההר</w:t>
      </w:r>
      <w:r w:rsidRPr="00E14121">
        <w:rPr>
          <w:rFonts w:ascii="Narkisim" w:hAnsi="Narkisim" w:cs="Narkisim"/>
          <w:sz w:val="20"/>
          <w:szCs w:val="20"/>
          <w:rtl/>
        </w:rPr>
        <w:t xml:space="preserve"> הוסיף וכשם שלא אסרה מעיקרו, ה"ה כל בידי שמים</w:t>
      </w:r>
      <w:r w:rsidRPr="00E14121">
        <w:rPr>
          <w:rFonts w:ascii="Narkisim" w:hAnsi="Narkisim" w:cs="Narkisim"/>
          <w:rtl/>
        </w:rPr>
        <w:t>.</w:t>
      </w:r>
    </w:p>
    <w:p w14:paraId="72574FFC"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פר"ח</w:t>
      </w:r>
      <w:r w:rsidRPr="00E14121">
        <w:rPr>
          <w:rFonts w:ascii="Narkisim" w:hAnsi="Narkisim"/>
          <w:rtl/>
        </w:rPr>
        <w:t xml:space="preserve"> (יו"ד לו לה) דן לענין טריפות האם ע"י חולי נחשב בידי שמים, אהא דאי' (חולין נה:, יו"ד לו יד) צמקה הריאה בידי שמים כשר, ובידי אדם פסול. וכתב דע”י חולי תליא במח' הנ”ל. וה</w:t>
      </w:r>
      <w:r w:rsidRPr="00E14121">
        <w:rPr>
          <w:rFonts w:ascii="Narkisim" w:hAnsi="Narkisim"/>
          <w:b/>
          <w:bCs/>
          <w:rtl/>
        </w:rPr>
        <w:t>תבואות שור</w:t>
      </w:r>
      <w:r w:rsidRPr="00E14121">
        <w:rPr>
          <w:rFonts w:ascii="Narkisim" w:hAnsi="Narkisim"/>
          <w:rtl/>
        </w:rPr>
        <w:t xml:space="preserve"> (לו עב) </w:t>
      </w:r>
      <w:r w:rsidRPr="00E14121">
        <w:rPr>
          <w:rFonts w:ascii="Narkisim" w:hAnsi="Narkisim"/>
          <w:rtl/>
        </w:rPr>
        <w:lastRenderedPageBreak/>
        <w:t>כתב דהנידון כאן דוקא לענין פצוע דכא, דלרא"ש כיון בא לו ע”י גוף האדם, נחשב בידי אדם. א"נ דרוב חלאים ע"י מעשה האדם, ע"י מאכל ומשקה וכדו'</w:t>
      </w:r>
      <w:r w:rsidRPr="00E14121">
        <w:rPr>
          <w:rStyle w:val="ac"/>
          <w:rFonts w:ascii="Narkisim" w:hAnsi="Narkisim"/>
          <w:rtl/>
        </w:rPr>
        <w:footnoteReference w:id="4546"/>
      </w:r>
      <w:r w:rsidRPr="00E14121">
        <w:rPr>
          <w:rFonts w:ascii="Narkisim" w:hAnsi="Narkisim"/>
          <w:rtl/>
        </w:rPr>
        <w:t xml:space="preserve"> [וכדאי' כתובות ל]. אבל גבי טריפות הוה סברא דהדר בריא. (וכ”כ הבי”מ ה).</w:t>
      </w:r>
    </w:p>
    <w:p w14:paraId="1AA46837" w14:textId="77777777" w:rsidR="00F64AED" w:rsidRPr="00E14121" w:rsidRDefault="00F64AED" w:rsidP="00F64AED">
      <w:pPr>
        <w:bidi/>
        <w:rPr>
          <w:rFonts w:ascii="Narkisim" w:hAnsi="Narkisim" w:cs="Narkisim"/>
        </w:rPr>
      </w:pPr>
      <w:r w:rsidRPr="00E14121">
        <w:rPr>
          <w:rFonts w:ascii="Narkisim" w:hAnsi="Narkisim" w:cs="Narkisim"/>
          <w:rtl/>
        </w:rPr>
        <w:t>ומבואר בסוגיין דחרזיה סילוא נחשב בידי אדם, ואף דהוה ממילא ושלא במתכוון. וכ”פ ה</w:t>
      </w:r>
      <w:r w:rsidRPr="00E14121">
        <w:rPr>
          <w:rFonts w:ascii="Narkisim" w:hAnsi="Narkisim" w:cs="Narkisim"/>
          <w:b/>
          <w:bCs/>
          <w:rtl/>
        </w:rPr>
        <w:t>רמב”ם</w:t>
      </w:r>
      <w:r w:rsidRPr="00E14121">
        <w:rPr>
          <w:rFonts w:ascii="Narkisim" w:hAnsi="Narkisim" w:cs="Narkisim"/>
          <w:rtl/>
        </w:rPr>
        <w:t xml:space="preserve"> (טז ט) דע”י כלב או קוץ פסול. וה</w:t>
      </w:r>
      <w:r w:rsidRPr="00E14121">
        <w:rPr>
          <w:rFonts w:ascii="Narkisim" w:hAnsi="Narkisim" w:cs="Narkisim"/>
          <w:b/>
          <w:bCs/>
          <w:rtl/>
        </w:rPr>
        <w:t>בית מאיר</w:t>
      </w:r>
      <w:r w:rsidRPr="00E14121">
        <w:rPr>
          <w:rFonts w:ascii="Narkisim" w:hAnsi="Narkisim" w:cs="Narkisim"/>
          <w:rtl/>
        </w:rPr>
        <w:t xml:space="preserve"> הוכיח דלענין פצוע דכא כל דהוה גוש נפרד ממנו נחשב בידי אדם.</w:t>
      </w:r>
      <w:r w:rsidRPr="00E14121">
        <w:rPr>
          <w:rFonts w:ascii="Narkisim" w:hAnsi="Narkisim" w:cs="Narkisim"/>
          <w:sz w:val="20"/>
          <w:szCs w:val="20"/>
          <w:rtl/>
        </w:rPr>
        <w:t xml:space="preserve"> וה</w:t>
      </w:r>
      <w:r w:rsidRPr="00E14121">
        <w:rPr>
          <w:rFonts w:ascii="Narkisim" w:hAnsi="Narkisim" w:cs="Narkisim"/>
          <w:b/>
          <w:bCs/>
          <w:sz w:val="20"/>
          <w:szCs w:val="20"/>
          <w:rtl/>
        </w:rPr>
        <w:t>ערול"נ</w:t>
      </w:r>
      <w:r w:rsidRPr="00E14121">
        <w:rPr>
          <w:rFonts w:ascii="Narkisim" w:hAnsi="Narkisim" w:cs="Narkisim"/>
          <w:sz w:val="20"/>
          <w:szCs w:val="20"/>
          <w:rtl/>
        </w:rPr>
        <w:t xml:space="preserve"> דן דלענין טריפות (חולין נה:) נח' התנאים האם כלב נחשב בידי שמים. אבל ה</w:t>
      </w:r>
      <w:r w:rsidRPr="00E14121">
        <w:rPr>
          <w:rFonts w:ascii="Narkisim" w:hAnsi="Narkisim" w:cs="Narkisim"/>
          <w:b/>
          <w:bCs/>
          <w:sz w:val="20"/>
          <w:szCs w:val="20"/>
          <w:rtl/>
        </w:rPr>
        <w:t>בי"מ</w:t>
      </w:r>
      <w:r w:rsidRPr="00E14121">
        <w:rPr>
          <w:rFonts w:ascii="Narkisim" w:hAnsi="Narkisim" w:cs="Narkisim"/>
          <w:sz w:val="20"/>
          <w:szCs w:val="20"/>
          <w:rtl/>
        </w:rPr>
        <w:t xml:space="preserve"> כתב דלא דמי, דהתם הנידון מסברא האם הדר ברי.</w:t>
      </w:r>
    </w:p>
    <w:p w14:paraId="303ECE96" w14:textId="77777777" w:rsidR="00F64AED" w:rsidRPr="00E14121" w:rsidRDefault="00F64AED" w:rsidP="00F64AED">
      <w:pPr>
        <w:bidi/>
        <w:rPr>
          <w:rFonts w:ascii="Narkisim" w:hAnsi="Narkisim" w:cs="Narkisim"/>
        </w:rPr>
      </w:pPr>
      <w:r w:rsidRPr="00E14121">
        <w:rPr>
          <w:rFonts w:ascii="Narkisim" w:hAnsi="Narkisim" w:cs="Narkisim"/>
          <w:u w:val="single"/>
          <w:rtl/>
        </w:rPr>
        <w:t>מדלא לא מנה דורות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מדלא כתיבא עד ג' או י', ש”מ לאו בר אולודי. והגמ' דוחה דילמא בריה ובר בריה שרי. וכ"פ ה</w:t>
      </w:r>
      <w:r w:rsidRPr="00E14121">
        <w:rPr>
          <w:rFonts w:ascii="Narkisim" w:hAnsi="Narkisim" w:cs="Narkisim"/>
          <w:b/>
          <w:bCs/>
          <w:rtl/>
        </w:rPr>
        <w:t>מאירי</w:t>
      </w:r>
      <w:r w:rsidRPr="00E14121">
        <w:rPr>
          <w:rFonts w:ascii="Narkisim" w:hAnsi="Narkisim" w:cs="Narkisim"/>
          <w:rtl/>
        </w:rPr>
        <w:t xml:space="preserve"> (עו.) וה</w:t>
      </w:r>
      <w:r w:rsidRPr="00E14121">
        <w:rPr>
          <w:rFonts w:ascii="Narkisim" w:hAnsi="Narkisim" w:cs="Narkisim"/>
          <w:b/>
          <w:bCs/>
          <w:rtl/>
        </w:rPr>
        <w:t>לבוש</w:t>
      </w:r>
      <w:r w:rsidRPr="00E14121">
        <w:rPr>
          <w:rFonts w:ascii="Narkisim" w:hAnsi="Narkisim" w:cs="Narkisim"/>
          <w:rtl/>
        </w:rPr>
        <w:t xml:space="preserve"> (ה ב) דבניו כשירים לקהל.</w:t>
      </w:r>
    </w:p>
    <w:p w14:paraId="74882AB4" w14:textId="77777777" w:rsidR="00F64AED" w:rsidRPr="00E14121" w:rsidRDefault="00F64AED" w:rsidP="00F64AED">
      <w:pPr>
        <w:pStyle w:val="a7"/>
        <w:bidi/>
        <w:rPr>
          <w:rFonts w:ascii="Narkisim" w:hAnsi="Narkisim"/>
        </w:rPr>
      </w:pPr>
      <w:r w:rsidRPr="00E14121">
        <w:rPr>
          <w:rFonts w:ascii="Narkisim" w:hAnsi="Narkisim"/>
          <w:rtl/>
        </w:rPr>
        <w:t>וצ"ב ההו"א, מהיכי תיתי דבנו פסול, מאחר דהתורה לא אסרו</w:t>
      </w:r>
      <w:r w:rsidRPr="00E14121">
        <w:rPr>
          <w:rStyle w:val="ac"/>
          <w:rFonts w:ascii="Narkisim" w:hAnsi="Narkisim"/>
          <w:rtl/>
        </w:rPr>
        <w:footnoteReference w:id="4547"/>
      </w:r>
      <w:r w:rsidRPr="00E14121">
        <w:rPr>
          <w:rFonts w:ascii="Narkisim" w:hAnsi="Narkisim"/>
          <w:rtl/>
        </w:rPr>
        <w:t>.</w:t>
      </w:r>
      <w:r w:rsidRPr="00E14121">
        <w:rPr>
          <w:rFonts w:ascii="Narkisim" w:hAnsi="Narkisim"/>
          <w:sz w:val="20"/>
          <w:szCs w:val="20"/>
          <w:rtl/>
        </w:rPr>
        <w:t xml:space="preserve"> ואם נימא דהוה סברא ד'פסול קהל' דורותיו פסולים</w:t>
      </w:r>
      <w:r w:rsidRPr="00E14121">
        <w:rPr>
          <w:rStyle w:val="ac"/>
          <w:rFonts w:ascii="Narkisim" w:hAnsi="Narkisim"/>
          <w:sz w:val="20"/>
          <w:szCs w:val="20"/>
          <w:rtl/>
        </w:rPr>
        <w:footnoteReference w:id="4548"/>
      </w:r>
      <w:r w:rsidRPr="00E14121">
        <w:rPr>
          <w:rFonts w:ascii="Narkisim" w:hAnsi="Narkisim"/>
          <w:sz w:val="20"/>
          <w:szCs w:val="20"/>
          <w:rtl/>
        </w:rPr>
        <w:t>, א"כ מהו קושיית הגמ', הא ידעינן דהוה פסול קהל, ומסברא פסולים</w:t>
      </w:r>
      <w:r w:rsidRPr="00E14121">
        <w:rPr>
          <w:rStyle w:val="ac"/>
          <w:rFonts w:ascii="Narkisim" w:hAnsi="Narkisim"/>
          <w:sz w:val="20"/>
          <w:szCs w:val="20"/>
          <w:rtl/>
        </w:rPr>
        <w:footnoteReference w:id="4549"/>
      </w:r>
      <w:r w:rsidRPr="00E14121">
        <w:rPr>
          <w:rFonts w:ascii="Narkisim" w:hAnsi="Narkisim"/>
          <w:sz w:val="20"/>
          <w:szCs w:val="20"/>
          <w:rtl/>
        </w:rPr>
        <w:t>.</w:t>
      </w:r>
    </w:p>
    <w:p w14:paraId="26DB2FE8" w14:textId="77777777" w:rsidR="00F64AED" w:rsidRPr="00E14121" w:rsidRDefault="00F64AED" w:rsidP="00F64AED">
      <w:pPr>
        <w:pStyle w:val="a8"/>
        <w:bidi/>
        <w:rPr>
          <w:rFonts w:ascii="Narkisim" w:hAnsi="Narkisim"/>
        </w:rPr>
      </w:pPr>
      <w:r w:rsidRPr="00E14121">
        <w:rPr>
          <w:rFonts w:ascii="Narkisim" w:hAnsi="Narkisim"/>
          <w:rtl/>
        </w:rPr>
        <w:t>ועוד הק' ה</w:t>
      </w:r>
      <w:r w:rsidRPr="00E14121">
        <w:rPr>
          <w:rFonts w:ascii="Narkisim" w:hAnsi="Narkisim"/>
          <w:b/>
          <w:bCs/>
          <w:rtl/>
        </w:rPr>
        <w:t>קובה"ע</w:t>
      </w:r>
      <w:r w:rsidRPr="00E14121">
        <w:rPr>
          <w:rFonts w:ascii="Narkisim" w:hAnsi="Narkisim"/>
          <w:rtl/>
        </w:rPr>
        <w:t xml:space="preserve"> (מד ד) דמבואר בגמ' (עו.) דפצוע דכא דנתרפא חוזר להכשירו. והרי אף בנו גופו שלם, וכי גרע מהאב שנתרפא.</w:t>
      </w:r>
    </w:p>
    <w:p w14:paraId="41C99C24" w14:textId="77777777" w:rsidR="00F64AED" w:rsidRPr="00E14121" w:rsidRDefault="00F64AED" w:rsidP="00F64AED">
      <w:pPr>
        <w:bidi/>
        <w:rPr>
          <w:rFonts w:ascii="Narkisim" w:hAnsi="Narkisim" w:cs="Narkisim"/>
        </w:rPr>
      </w:pPr>
      <w:r w:rsidRPr="00E14121">
        <w:rPr>
          <w:rFonts w:ascii="Narkisim" w:hAnsi="Narkisim" w:cs="Narkisim"/>
          <w:rtl/>
          <w:lang w:val="he-IL"/>
        </w:rPr>
        <w:t>וה</w:t>
      </w:r>
      <w:r w:rsidRPr="00E14121">
        <w:rPr>
          <w:rFonts w:ascii="Narkisim" w:hAnsi="Narkisim" w:cs="Narkisim"/>
          <w:b/>
          <w:bCs/>
          <w:rtl/>
          <w:lang w:val="he-IL"/>
        </w:rPr>
        <w:t>אחרונים</w:t>
      </w:r>
      <w:r w:rsidRPr="00E14121">
        <w:rPr>
          <w:rFonts w:ascii="Narkisim" w:hAnsi="Narkisim" w:cs="Narkisim"/>
          <w:rtl/>
          <w:lang w:val="he-IL"/>
        </w:rPr>
        <w:t xml:space="preserve"> הקשו דאת"ל דיש מיעוט שמולידים [וכדברי הלבוש] הדר קושיית הגמ' אמאי לא מני דורות. </w:t>
      </w:r>
      <w:r w:rsidRPr="00E14121">
        <w:rPr>
          <w:rFonts w:ascii="Narkisim" w:hAnsi="Narkisim" w:cs="Narkisim"/>
          <w:szCs w:val="20"/>
          <w:rtl/>
          <w:lang w:val="he-IL"/>
        </w:rPr>
        <w:t>וה</w:t>
      </w:r>
      <w:r w:rsidRPr="00E14121">
        <w:rPr>
          <w:rFonts w:ascii="Narkisim" w:hAnsi="Narkisim" w:cs="Narkisim"/>
          <w:b/>
          <w:bCs/>
          <w:szCs w:val="20"/>
          <w:rtl/>
          <w:lang w:val="he-IL"/>
        </w:rPr>
        <w:t>קובה"ע</w:t>
      </w:r>
      <w:r w:rsidRPr="00E14121">
        <w:rPr>
          <w:rFonts w:ascii="Narkisim" w:hAnsi="Narkisim" w:cs="Narkisim"/>
          <w:szCs w:val="20"/>
          <w:rtl/>
          <w:lang w:val="he-IL"/>
        </w:rPr>
        <w:t xml:space="preserve"> (מד בהשמטה מבן המחבר) כתב דאילו היה בשפה א"כ אין האיסור תליא ביכולת לידה, והוה פסול הגוף ופוסל אף את הבנים, ומותר בממזרת. אבל השתא דתליא ביכולת לידה אינו פסול הגוף, והבן [לו יצוייר שיהא בן] מותר</w:t>
      </w:r>
      <w:r w:rsidRPr="00E14121">
        <w:rPr>
          <w:rStyle w:val="ac"/>
          <w:rFonts w:ascii="Narkisim" w:hAnsi="Narkisim" w:cs="Narkisim"/>
          <w:szCs w:val="20"/>
          <w:rtl/>
          <w:lang w:val="he-IL"/>
        </w:rPr>
        <w:footnoteReference w:id="4550"/>
      </w:r>
      <w:r w:rsidRPr="00E14121">
        <w:rPr>
          <w:rFonts w:ascii="Narkisim" w:hAnsi="Narkisim" w:cs="Narkisim"/>
          <w:rtl/>
          <w:lang w:val="he-IL"/>
        </w:rPr>
        <w:t>.</w:t>
      </w:r>
    </w:p>
    <w:p w14:paraId="6E77E824" w14:textId="77777777" w:rsidR="00F64AED" w:rsidRPr="00E14121" w:rsidRDefault="00F64AED" w:rsidP="00F64AED">
      <w:pPr>
        <w:bidi/>
        <w:rPr>
          <w:rFonts w:ascii="Narkisim" w:hAnsi="Narkisim" w:cs="Narkisim"/>
        </w:rPr>
      </w:pPr>
      <w:r w:rsidRPr="00E14121">
        <w:rPr>
          <w:rFonts w:ascii="Narkisim" w:hAnsi="Narkisim" w:cs="Narkisim"/>
          <w:u w:val="single"/>
          <w:rtl/>
        </w:rPr>
        <w:t>כמרזב פסולה.</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 w:val="20"/>
          <w:szCs w:val="20"/>
          <w:rtl/>
        </w:rPr>
        <w:t xml:space="preserve">(סוד"ה ניקב) </w:t>
      </w:r>
      <w:r w:rsidRPr="00E14121">
        <w:rPr>
          <w:rFonts w:ascii="Narkisim" w:hAnsi="Narkisim" w:cs="Narkisim"/>
          <w:rtl/>
        </w:rPr>
        <w:t>הוכיחו מכאן דנקב עד החלל מותר. שאינו מפולש מצד לצד.</w:t>
      </w:r>
      <w:r w:rsidRPr="00E14121">
        <w:rPr>
          <w:rFonts w:ascii="Narkisim" w:hAnsi="Narkisim" w:cs="Narkisim"/>
          <w:sz w:val="20"/>
          <w:szCs w:val="20"/>
          <w:rtl/>
        </w:rPr>
        <w:t xml:space="preserve"> [וכדעת </w:t>
      </w:r>
      <w:r w:rsidRPr="00E14121">
        <w:rPr>
          <w:rFonts w:ascii="Narkisim" w:hAnsi="Narkisim" w:cs="Narkisim"/>
          <w:b/>
          <w:bCs/>
          <w:sz w:val="20"/>
          <w:szCs w:val="20"/>
          <w:rtl/>
        </w:rPr>
        <w:t>רש"י</w:t>
      </w:r>
      <w:r w:rsidRPr="00E14121">
        <w:rPr>
          <w:rStyle w:val="ac"/>
          <w:rFonts w:ascii="Narkisim" w:hAnsi="Narkisim" w:cs="Narkisim"/>
          <w:sz w:val="20"/>
          <w:szCs w:val="20"/>
          <w:rtl/>
        </w:rPr>
        <w:footnoteReference w:id="4551"/>
      </w:r>
      <w:r w:rsidRPr="00E14121">
        <w:rPr>
          <w:rFonts w:ascii="Narkisim" w:hAnsi="Narkisim" w:cs="Narkisim"/>
          <w:sz w:val="20"/>
          <w:szCs w:val="20"/>
          <w:rtl/>
        </w:rPr>
        <w:t>]</w:t>
      </w:r>
      <w:r w:rsidRPr="00E14121">
        <w:rPr>
          <w:rFonts w:ascii="Narkisim" w:hAnsi="Narkisim" w:cs="Narkisim"/>
          <w:rtl/>
        </w:rPr>
        <w:t>. אבל ב</w:t>
      </w:r>
      <w:r w:rsidRPr="00E14121">
        <w:rPr>
          <w:rFonts w:ascii="Narkisim" w:hAnsi="Narkisim" w:cs="Narkisim"/>
          <w:b/>
          <w:bCs/>
          <w:rtl/>
        </w:rPr>
        <w:t>חי' ר"א מן ההר</w:t>
      </w:r>
      <w:r w:rsidRPr="00E14121">
        <w:rPr>
          <w:rFonts w:ascii="Narkisim" w:hAnsi="Narkisim" w:cs="Narkisim"/>
          <w:rtl/>
        </w:rPr>
        <w:t xml:space="preserve"> כתב דלא נגע בשביל דש"ז. וכ"כ ה</w:t>
      </w:r>
      <w:r w:rsidRPr="00E14121">
        <w:rPr>
          <w:rFonts w:ascii="Narkisim" w:hAnsi="Narkisim" w:cs="Narkisim"/>
          <w:b/>
          <w:bCs/>
          <w:rtl/>
        </w:rPr>
        <w:t>מרדכי</w:t>
      </w:r>
      <w:r w:rsidRPr="00E14121">
        <w:rPr>
          <w:rFonts w:ascii="Narkisim" w:hAnsi="Narkisim" w:cs="Narkisim"/>
          <w:rtl/>
        </w:rPr>
        <w:t xml:space="preserve"> (ע) דפשיטא דלא בעי מעבר לעבר, אלא עד חלל גובתא דש"ז.</w:t>
      </w:r>
    </w:p>
    <w:p w14:paraId="0911AFD5" w14:textId="77777777" w:rsidR="00F64AED" w:rsidRPr="00E14121" w:rsidRDefault="00F64AED" w:rsidP="00F64AED">
      <w:pPr>
        <w:bidi/>
        <w:rPr>
          <w:rFonts w:ascii="Narkisim" w:hAnsi="Narkisim" w:cs="Narkisim"/>
        </w:rPr>
      </w:pPr>
      <w:r w:rsidRPr="00E14121">
        <w:rPr>
          <w:rFonts w:ascii="Narkisim" w:hAnsi="Narkisim" w:cs="Narkisim"/>
          <w:u w:val="single"/>
          <w:rtl/>
        </w:rPr>
        <w:t>ההוא עובדא וכו' שפייה מר בר ר' אשי כקולמוס</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דהיה כמרזב]. ה</w:t>
      </w:r>
      <w:r w:rsidRPr="00E14121">
        <w:rPr>
          <w:rFonts w:ascii="Narkisim" w:hAnsi="Narkisim" w:cs="Narkisim"/>
          <w:b/>
          <w:bCs/>
          <w:rtl/>
        </w:rPr>
        <w:t>רשב"א</w:t>
      </w:r>
      <w:r w:rsidRPr="00E14121">
        <w:rPr>
          <w:rFonts w:ascii="Narkisim" w:hAnsi="Narkisim" w:cs="Narkisim"/>
          <w:rtl/>
        </w:rPr>
        <w:t xml:space="preserve"> כתב דמבואר דאי לאו דשפייה פסול, ותמה על ה</w:t>
      </w:r>
      <w:r w:rsidRPr="00E14121">
        <w:rPr>
          <w:rFonts w:ascii="Narkisim" w:hAnsi="Narkisim" w:cs="Narkisim"/>
          <w:b/>
          <w:bCs/>
          <w:rtl/>
        </w:rPr>
        <w:t>רמב"ם</w:t>
      </w:r>
      <w:r w:rsidRPr="00E14121">
        <w:rPr>
          <w:rFonts w:ascii="Narkisim" w:hAnsi="Narkisim" w:cs="Narkisim"/>
          <w:rtl/>
        </w:rPr>
        <w:t xml:space="preserve"> (טז ד) דפסק דאף מרזב כשר [וכמר זוטרא בשם רב פפא]</w:t>
      </w:r>
      <w:r w:rsidRPr="00E14121">
        <w:rPr>
          <w:rStyle w:val="ac"/>
          <w:rFonts w:ascii="Narkisim" w:hAnsi="Narkisim" w:cs="Narkisim"/>
          <w:rtl/>
        </w:rPr>
        <w:footnoteReference w:id="4552"/>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כתב דלרווחא דמילתא עשה כן, דקולמוס עדיף טפי. וה</w:t>
      </w:r>
      <w:r w:rsidRPr="00E14121">
        <w:rPr>
          <w:rFonts w:ascii="Narkisim" w:hAnsi="Narkisim" w:cs="Narkisim"/>
          <w:b/>
          <w:bCs/>
          <w:rtl/>
        </w:rPr>
        <w:t>ב"י</w:t>
      </w:r>
      <w:r w:rsidRPr="00E14121">
        <w:rPr>
          <w:rFonts w:ascii="Narkisim" w:hAnsi="Narkisim" w:cs="Narkisim"/>
          <w:rtl/>
        </w:rPr>
        <w:t xml:space="preserve"> </w:t>
      </w:r>
      <w:r w:rsidRPr="00E14121">
        <w:rPr>
          <w:rFonts w:ascii="Narkisim" w:hAnsi="Narkisim" w:cs="Narkisim"/>
          <w:sz w:val="20"/>
          <w:szCs w:val="20"/>
          <w:rtl/>
        </w:rPr>
        <w:t xml:space="preserve">(ה וכס"מ טז ד) </w:t>
      </w:r>
      <w:r w:rsidRPr="00E14121">
        <w:rPr>
          <w:rFonts w:ascii="Narkisim" w:hAnsi="Narkisim" w:cs="Narkisim"/>
          <w:rtl/>
        </w:rPr>
        <w:t>כתב דהרמב"ם פי' דעובדא דמר בר"א לא היה כמרזב, אלא חתכו משום נגע, ועשאו כמין קולמוס [וה"ה דמהני כמין מרזב].</w:t>
      </w:r>
    </w:p>
    <w:p w14:paraId="06933083"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או"ש</w:t>
      </w:r>
      <w:r w:rsidRPr="00E14121">
        <w:rPr>
          <w:rFonts w:ascii="Narkisim" w:hAnsi="Narkisim"/>
          <w:rtl/>
        </w:rPr>
        <w:t xml:space="preserve"> (שם) חידש דה</w:t>
      </w:r>
      <w:r w:rsidRPr="00E14121">
        <w:rPr>
          <w:rFonts w:ascii="Narkisim" w:hAnsi="Narkisim"/>
          <w:b/>
          <w:bCs/>
          <w:rtl/>
        </w:rPr>
        <w:t>רמב"ם</w:t>
      </w:r>
      <w:r w:rsidRPr="00E14121">
        <w:rPr>
          <w:rFonts w:ascii="Narkisim" w:hAnsi="Narkisim"/>
          <w:rtl/>
        </w:rPr>
        <w:t xml:space="preserve"> ס"ל דמרזב כשר, אף דאינו ראוי להוליד, מ"מ כיון דבידי אדם לתקנו ולשייפו אינו פסול. אבל נסתם כשר רק אחרי הסתימה, דכיון דצריך חמימות הגוף לתקנו, אבל הכא ע"י חיתוך לבד מתוקן.</w:t>
      </w:r>
    </w:p>
    <w:p w14:paraId="57B8B28F" w14:textId="77777777" w:rsidR="00F64AED" w:rsidRPr="00E14121" w:rsidRDefault="00F64AED" w:rsidP="00F64AED">
      <w:pPr>
        <w:pStyle w:val="aa"/>
        <w:bidi/>
        <w:rPr>
          <w:rFonts w:ascii="Narkisim" w:hAnsi="Narkisim"/>
        </w:rPr>
      </w:pPr>
      <w:r w:rsidRPr="00E14121">
        <w:rPr>
          <w:rFonts w:ascii="Narkisim" w:hAnsi="Narkisim"/>
          <w:u w:val="single"/>
          <w:rtl/>
        </w:rPr>
        <w:t>איסתתים</w:t>
      </w:r>
      <w:r w:rsidRPr="00E14121">
        <w:rPr>
          <w:rFonts w:ascii="Narkisim" w:hAnsi="Narkisim"/>
          <w:rtl/>
        </w:rPr>
        <w:t>. ה</w:t>
      </w:r>
      <w:r w:rsidRPr="00E14121">
        <w:rPr>
          <w:rFonts w:ascii="Narkisim" w:hAnsi="Narkisim"/>
          <w:b/>
          <w:bCs/>
          <w:rtl/>
        </w:rPr>
        <w:t>רא"ש</w:t>
      </w:r>
      <w:r w:rsidRPr="00E14121">
        <w:rPr>
          <w:rFonts w:ascii="Narkisim" w:hAnsi="Narkisim"/>
          <w:rtl/>
        </w:rPr>
        <w:t xml:space="preserve"> הוכיח מכאן דאף ע"י חולי נחשב בידי אדם, ופסול. ולדעת שאר ראשונים צריך לומר דנסתם ע"י מעשה אדם.</w:t>
      </w:r>
    </w:p>
    <w:p w14:paraId="63A6EECA" w14:textId="77777777" w:rsidR="00F64AED" w:rsidRPr="00E14121" w:rsidRDefault="00F64AED" w:rsidP="00F64AED">
      <w:pPr>
        <w:pStyle w:val="aa"/>
        <w:bidi/>
        <w:rPr>
          <w:rFonts w:ascii="Narkisim" w:hAnsi="Narkisim"/>
        </w:rPr>
      </w:pPr>
      <w:r w:rsidRPr="00E14121">
        <w:rPr>
          <w:rFonts w:ascii="Narkisim" w:hAnsi="Narkisim"/>
          <w:u w:val="single"/>
          <w:rtl/>
        </w:rPr>
        <w:t>ואפיק במקום קטנים.</w:t>
      </w:r>
      <w:r w:rsidRPr="00E14121">
        <w:rPr>
          <w:rFonts w:ascii="Narkisim" w:hAnsi="Narkisim"/>
          <w:rtl/>
        </w:rPr>
        <w:t xml:space="preserve"> ב</w:t>
      </w:r>
      <w:r w:rsidRPr="00E14121">
        <w:rPr>
          <w:rFonts w:ascii="Narkisim" w:hAnsi="Narkisim"/>
          <w:b/>
          <w:bCs/>
          <w:rtl/>
        </w:rPr>
        <w:t>חי' ר"א מן ההר</w:t>
      </w:r>
      <w:r w:rsidRPr="00E14121">
        <w:rPr>
          <w:rFonts w:ascii="Narkisim" w:hAnsi="Narkisim"/>
          <w:rtl/>
        </w:rPr>
        <w:t xml:space="preserve"> הביא דכן מבואר בגמ' (בכורות מד:) דב' נקבים יש בו, ואין בין זה לזה אלא כקליפת השום. ואם נקבו זה לתוך זה אינו מוליד</w:t>
      </w:r>
      <w:r w:rsidRPr="00E14121">
        <w:rPr>
          <w:rStyle w:val="ac"/>
          <w:rFonts w:ascii="Narkisim" w:hAnsi="Narkisim"/>
          <w:rtl/>
        </w:rPr>
        <w:footnoteReference w:id="4553"/>
      </w:r>
      <w:r w:rsidRPr="00E14121">
        <w:rPr>
          <w:rFonts w:ascii="Narkisim" w:hAnsi="Narkisim"/>
          <w:rtl/>
        </w:rPr>
        <w:t>.</w:t>
      </w:r>
    </w:p>
    <w:p w14:paraId="1623A93B" w14:textId="77777777" w:rsidR="00F64AED" w:rsidRPr="00E14121" w:rsidRDefault="00F64AED" w:rsidP="00F64AED">
      <w:pPr>
        <w:bidi/>
        <w:rPr>
          <w:rFonts w:ascii="Narkisim" w:hAnsi="Narkisim" w:cs="Narkisim"/>
        </w:rPr>
      </w:pPr>
      <w:r w:rsidRPr="00E14121">
        <w:rPr>
          <w:rFonts w:ascii="Narkisim" w:hAnsi="Narkisim" w:cs="Narkisim"/>
          <w:u w:val="single"/>
          <w:rtl/>
        </w:rPr>
        <w:t>רש"י ד"ה לאכשורי.</w:t>
      </w:r>
      <w:r w:rsidRPr="00E14121">
        <w:rPr>
          <w:rFonts w:ascii="Narkisim" w:hAnsi="Narkisim" w:cs="Narkisim"/>
          <w:rtl/>
        </w:rPr>
        <w:t xml:space="preserve"> שהרי אין כאן לא פצוע ולא דך ולא כרות [אלא נסתם]. ורב פפי (עו.) </w:t>
      </w:r>
      <w:r w:rsidRPr="00E14121">
        <w:rPr>
          <w:rFonts w:ascii="Narkisim" w:hAnsi="Narkisim" w:cs="Narkisim"/>
          <w:rtl/>
        </w:rPr>
        <w:lastRenderedPageBreak/>
        <w:t>חלק דשלא במקומה אינה מבשלת. וה</w:t>
      </w:r>
      <w:r w:rsidRPr="00E14121">
        <w:rPr>
          <w:rFonts w:ascii="Narkisim" w:hAnsi="Narkisim" w:cs="Narkisim"/>
          <w:b/>
          <w:bCs/>
          <w:rtl/>
        </w:rPr>
        <w:t>רא"ש</w:t>
      </w:r>
      <w:r w:rsidRPr="00E14121">
        <w:rPr>
          <w:rFonts w:ascii="Narkisim" w:hAnsi="Narkisim" w:cs="Narkisim"/>
          <w:rtl/>
        </w:rPr>
        <w:t xml:space="preserve"> הביא מזה דכיון דאינו מוליד לא יתכן שיהא כשר לקהל [כיון דהוה בידי אדם].</w:t>
      </w:r>
      <w:r w:rsidRPr="00E14121">
        <w:rPr>
          <w:rFonts w:ascii="Narkisim" w:hAnsi="Narkisim" w:cs="Narkisim"/>
          <w:sz w:val="20"/>
          <w:szCs w:val="20"/>
          <w:rtl/>
        </w:rPr>
        <w:t xml:space="preserve"> וה</w:t>
      </w:r>
      <w:r w:rsidRPr="00E14121">
        <w:rPr>
          <w:rFonts w:ascii="Narkisim" w:hAnsi="Narkisim" w:cs="Narkisim"/>
          <w:b/>
          <w:bCs/>
          <w:sz w:val="20"/>
          <w:szCs w:val="20"/>
          <w:rtl/>
        </w:rPr>
        <w:t>אגר"מ</w:t>
      </w:r>
      <w:r w:rsidRPr="00E14121">
        <w:rPr>
          <w:rFonts w:ascii="Narkisim" w:hAnsi="Narkisim" w:cs="Narkisim"/>
          <w:sz w:val="20"/>
          <w:szCs w:val="20"/>
          <w:rtl/>
        </w:rPr>
        <w:t xml:space="preserve"> (שם) הביא דכל דאינו מוליד [מחמת דבר שנעשה בידי אדם] פסול</w:t>
      </w:r>
      <w:r w:rsidRPr="00E14121">
        <w:rPr>
          <w:rStyle w:val="ac"/>
          <w:rFonts w:ascii="Narkisim" w:hAnsi="Narkisim" w:cs="Narkisim"/>
          <w:sz w:val="20"/>
          <w:szCs w:val="20"/>
          <w:rtl/>
        </w:rPr>
        <w:footnoteReference w:id="4554"/>
      </w:r>
      <w:r w:rsidRPr="00E14121">
        <w:rPr>
          <w:rFonts w:ascii="Narkisim" w:hAnsi="Narkisim" w:cs="Narkisim"/>
          <w:sz w:val="20"/>
          <w:szCs w:val="20"/>
          <w:rtl/>
        </w:rPr>
        <w:t>. אבל ה</w:t>
      </w:r>
      <w:r w:rsidRPr="00E14121">
        <w:rPr>
          <w:rFonts w:ascii="Narkisim" w:hAnsi="Narkisim" w:cs="Narkisim"/>
          <w:b/>
          <w:bCs/>
          <w:sz w:val="20"/>
          <w:szCs w:val="20"/>
          <w:rtl/>
        </w:rPr>
        <w:t>חזו"א</w:t>
      </w:r>
      <w:r w:rsidRPr="00E14121">
        <w:rPr>
          <w:rFonts w:ascii="Narkisim" w:hAnsi="Narkisim" w:cs="Narkisim"/>
          <w:sz w:val="20"/>
          <w:szCs w:val="20"/>
          <w:rtl/>
        </w:rPr>
        <w:t xml:space="preserve"> (ט ט) כתב דאיירי הכא דניקב, אלא שלא היה להם הכרע מהו שיעור הנקב, והכריעו ע"פ הלכות רפואה.  </w:t>
      </w:r>
    </w:p>
    <w:p w14:paraId="711FFAD9" w14:textId="77777777" w:rsidR="00F64AED" w:rsidRPr="00E14121" w:rsidRDefault="00F64AED" w:rsidP="00F64AED">
      <w:pPr>
        <w:pStyle w:val="3"/>
        <w:bidi/>
        <w:rPr>
          <w:rFonts w:ascii="Narkisim" w:hAnsi="Narkisim"/>
        </w:rPr>
      </w:pPr>
      <w:r w:rsidRPr="00E14121">
        <w:rPr>
          <w:rFonts w:ascii="Narkisim" w:hAnsi="Narkisim"/>
          <w:rtl/>
        </w:rPr>
        <w:t>דף עו.</w:t>
      </w:r>
    </w:p>
    <w:p w14:paraId="72E73C6F" w14:textId="77777777" w:rsidR="00F64AED" w:rsidRPr="00E14121" w:rsidRDefault="00F64AED" w:rsidP="00F64AED">
      <w:pPr>
        <w:pStyle w:val="aa"/>
        <w:bidi/>
        <w:rPr>
          <w:rFonts w:ascii="Narkisim" w:hAnsi="Narkisim"/>
        </w:rPr>
      </w:pPr>
      <w:r w:rsidRPr="00E14121">
        <w:rPr>
          <w:rFonts w:ascii="Narkisim" w:hAnsi="Narkisim"/>
          <w:u w:val="single"/>
          <w:rtl/>
        </w:rPr>
        <w:t>ניקב ונסתם וכו' אלא בעטרה עצמה.</w:t>
      </w:r>
      <w:r w:rsidRPr="00E14121">
        <w:rPr>
          <w:rFonts w:ascii="Narkisim" w:hAnsi="Narkisim"/>
          <w:rtl/>
        </w:rPr>
        <w:t xml:space="preserve"> </w:t>
      </w:r>
      <w:r w:rsidRPr="00E14121">
        <w:rPr>
          <w:rFonts w:ascii="Narkisim" w:hAnsi="Narkisim"/>
          <w:b/>
          <w:bCs/>
          <w:rtl/>
        </w:rPr>
        <w:t>רבינו</w:t>
      </w:r>
      <w:r w:rsidRPr="00E14121">
        <w:rPr>
          <w:rFonts w:ascii="Narkisim" w:hAnsi="Narkisim"/>
          <w:rtl/>
        </w:rPr>
        <w:t xml:space="preserve"> </w:t>
      </w:r>
      <w:r w:rsidRPr="00E14121">
        <w:rPr>
          <w:rFonts w:ascii="Narkisim" w:hAnsi="Narkisim"/>
          <w:b/>
          <w:bCs/>
          <w:rtl/>
        </w:rPr>
        <w:t>ירוחם</w:t>
      </w:r>
      <w:r w:rsidRPr="00E14121">
        <w:rPr>
          <w:rFonts w:ascii="Narkisim" w:hAnsi="Narkisim"/>
          <w:rtl/>
        </w:rPr>
        <w:t xml:space="preserve"> הביא בשם ה</w:t>
      </w:r>
      <w:r w:rsidRPr="00E14121">
        <w:rPr>
          <w:rFonts w:ascii="Narkisim" w:hAnsi="Narkisim"/>
          <w:b/>
          <w:bCs/>
          <w:rtl/>
        </w:rPr>
        <w:t>רמ"ה</w:t>
      </w:r>
      <w:r w:rsidRPr="00E14121">
        <w:rPr>
          <w:rFonts w:ascii="Narkisim" w:hAnsi="Narkisim"/>
          <w:rtl/>
        </w:rPr>
        <w:t xml:space="preserve"> דוקא עטרה מהני סתימה, אבל למעלה מעטרה אפי' נסתם פסול. והביא דב</w:t>
      </w:r>
      <w:r w:rsidRPr="00E14121">
        <w:rPr>
          <w:rFonts w:ascii="Narkisim" w:hAnsi="Narkisim"/>
          <w:b/>
          <w:bCs/>
          <w:rtl/>
        </w:rPr>
        <w:t>רש"י</w:t>
      </w:r>
      <w:r w:rsidRPr="00E14121">
        <w:rPr>
          <w:rFonts w:ascii="Narkisim" w:hAnsi="Narkisim"/>
          <w:rtl/>
        </w:rPr>
        <w:t xml:space="preserve"> מבואר דאף למעלה מהני סתימה, אלא דלא חיישינן בזה דיקרע ע"י הזרע. [ומשמע דאי"צ לבודקו, והפוסקים נח' בזה].</w:t>
      </w:r>
    </w:p>
    <w:p w14:paraId="2C0653DB" w14:textId="77777777" w:rsidR="00F64AED" w:rsidRPr="00E14121" w:rsidRDefault="00F64AED" w:rsidP="00F64AED">
      <w:pPr>
        <w:pStyle w:val="aa"/>
        <w:bidi/>
        <w:rPr>
          <w:rFonts w:ascii="Narkisim" w:hAnsi="Narkisim"/>
        </w:rPr>
      </w:pPr>
      <w:r w:rsidRPr="00E14121">
        <w:rPr>
          <w:rFonts w:ascii="Narkisim" w:hAnsi="Narkisim"/>
          <w:u w:val="single"/>
          <w:rtl/>
        </w:rPr>
        <w:t>שלח ליה רבא וכו' היכי עבדינן, א"ל מייתינן נהמא וכו'</w:t>
      </w:r>
      <w:r w:rsidRPr="00E14121">
        <w:rPr>
          <w:rFonts w:ascii="Narkisim" w:hAnsi="Narkisim"/>
          <w:rtl/>
        </w:rPr>
        <w:t>. ולאביי ע"י בגדים צבעונים</w:t>
      </w:r>
      <w:r w:rsidRPr="00E14121">
        <w:rPr>
          <w:rStyle w:val="ac"/>
          <w:rFonts w:ascii="Narkisim" w:hAnsi="Narkisim"/>
          <w:rtl/>
        </w:rPr>
        <w:footnoteReference w:id="4555"/>
      </w:r>
      <w:r w:rsidRPr="00E14121">
        <w:rPr>
          <w:rFonts w:ascii="Narkisim" w:hAnsi="Narkisim"/>
          <w:rtl/>
        </w:rPr>
        <w:t>. וה</w:t>
      </w:r>
      <w:r w:rsidRPr="00E14121">
        <w:rPr>
          <w:rFonts w:ascii="Narkisim" w:hAnsi="Narkisim"/>
          <w:b/>
          <w:bCs/>
          <w:rtl/>
        </w:rPr>
        <w:t>פוסקים</w:t>
      </w:r>
      <w:r w:rsidRPr="00E14121">
        <w:rPr>
          <w:rFonts w:ascii="Narkisim" w:hAnsi="Narkisim"/>
          <w:rtl/>
        </w:rPr>
        <w:t xml:space="preserve"> הביאו דהותר הכא לגרום קרי</w:t>
      </w:r>
      <w:r w:rsidRPr="00E14121">
        <w:rPr>
          <w:rStyle w:val="ac"/>
          <w:rFonts w:ascii="Narkisim" w:hAnsi="Narkisim"/>
          <w:rtl/>
        </w:rPr>
        <w:footnoteReference w:id="4556"/>
      </w:r>
      <w:r w:rsidRPr="00E14121">
        <w:rPr>
          <w:rFonts w:ascii="Narkisim" w:hAnsi="Narkisim"/>
          <w:rtl/>
        </w:rPr>
        <w:t>, אף דהוה עוון חמור [וכמ"ש ה</w:t>
      </w:r>
      <w:r w:rsidRPr="00E14121">
        <w:rPr>
          <w:rFonts w:ascii="Narkisim" w:hAnsi="Narkisim"/>
          <w:b/>
          <w:bCs/>
          <w:rtl/>
        </w:rPr>
        <w:t>ב"י</w:t>
      </w:r>
      <w:r w:rsidRPr="00E14121">
        <w:rPr>
          <w:rFonts w:ascii="Narkisim" w:hAnsi="Narkisim"/>
          <w:rtl/>
        </w:rPr>
        <w:t xml:space="preserve"> כג]. והתירו כאן כדי לבודקו ולהתירו בקהל</w:t>
      </w:r>
      <w:r w:rsidRPr="00E14121">
        <w:rPr>
          <w:rStyle w:val="ac"/>
          <w:rFonts w:ascii="Narkisim" w:hAnsi="Narkisim"/>
          <w:rtl/>
        </w:rPr>
        <w:footnoteReference w:id="4557"/>
      </w:r>
      <w:r w:rsidRPr="00E14121">
        <w:rPr>
          <w:rFonts w:ascii="Narkisim" w:hAnsi="Narkisim"/>
          <w:rtl/>
        </w:rPr>
        <w:t>. [ועי"ז יקיים מצוות פריה ורביה]</w:t>
      </w:r>
      <w:r w:rsidRPr="00E14121">
        <w:rPr>
          <w:rStyle w:val="ac"/>
          <w:rFonts w:ascii="Narkisim" w:hAnsi="Narkisim"/>
          <w:rtl/>
        </w:rPr>
        <w:footnoteReference w:id="4558"/>
      </w:r>
      <w:r w:rsidRPr="00E14121">
        <w:rPr>
          <w:rFonts w:ascii="Narkisim" w:hAnsi="Narkisim"/>
          <w:rtl/>
        </w:rPr>
        <w:t>.</w:t>
      </w:r>
    </w:p>
    <w:p w14:paraId="09CBB0D5" w14:textId="77777777" w:rsidR="00F64AED" w:rsidRPr="00E14121" w:rsidRDefault="00F64AED" w:rsidP="00F64AED">
      <w:pPr>
        <w:pStyle w:val="aa"/>
        <w:bidi/>
        <w:rPr>
          <w:rFonts w:ascii="Narkisim" w:hAnsi="Narkisim"/>
        </w:rPr>
      </w:pPr>
      <w:r w:rsidRPr="00E14121">
        <w:rPr>
          <w:rFonts w:ascii="Narkisim" w:hAnsi="Narkisim"/>
          <w:u w:val="single"/>
          <w:rtl/>
        </w:rPr>
        <w:t>יעקב אבינו וכו', דכתיב כחי וראשית אוני.</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מטיפה ראשונה. וכ"כ </w:t>
      </w:r>
      <w:r w:rsidRPr="00E14121">
        <w:rPr>
          <w:rFonts w:ascii="Narkisim" w:hAnsi="Narkisim"/>
          <w:b/>
          <w:bCs/>
          <w:rtl/>
        </w:rPr>
        <w:t>תוס</w:t>
      </w:r>
      <w:r w:rsidRPr="00E14121">
        <w:rPr>
          <w:rFonts w:ascii="Narkisim" w:hAnsi="Narkisim"/>
          <w:rtl/>
        </w:rPr>
        <w:t>' דלאה נתעברה מביאה ראשונה</w:t>
      </w:r>
      <w:r w:rsidRPr="00E14121">
        <w:rPr>
          <w:rStyle w:val="ac"/>
          <w:rFonts w:ascii="Narkisim" w:hAnsi="Narkisim"/>
          <w:rtl/>
        </w:rPr>
        <w:footnoteReference w:id="4559"/>
      </w:r>
      <w:r w:rsidRPr="00E14121">
        <w:rPr>
          <w:rFonts w:ascii="Narkisim" w:hAnsi="Narkisim"/>
          <w:rtl/>
        </w:rPr>
        <w:t>. ו</w:t>
      </w:r>
      <w:r w:rsidRPr="00E14121">
        <w:rPr>
          <w:rFonts w:ascii="Narkisim" w:hAnsi="Narkisim"/>
          <w:b/>
          <w:bCs/>
          <w:rtl/>
        </w:rPr>
        <w:t>ר"א מן ההר</w:t>
      </w:r>
      <w:r w:rsidRPr="00E14121">
        <w:rPr>
          <w:rFonts w:ascii="Narkisim" w:hAnsi="Narkisim"/>
          <w:rtl/>
        </w:rPr>
        <w:t xml:space="preserve"> חלק דלא נתעברה מביאה ראשונה, דסדר הפסוקים דאחרי תרעומת יעקב [שהחליפו], ונשא אף את רחל. ואח"כ וירא ד' כי שנואה לאה, ויפתח את רחמה. וביאר דאף שבא על לאה כמה ביאות</w:t>
      </w:r>
      <w:r w:rsidRPr="00E14121">
        <w:rPr>
          <w:rStyle w:val="ac"/>
          <w:rFonts w:ascii="Narkisim" w:hAnsi="Narkisim"/>
          <w:rtl/>
        </w:rPr>
        <w:footnoteReference w:id="4560"/>
      </w:r>
      <w:r w:rsidRPr="00E14121">
        <w:rPr>
          <w:rFonts w:ascii="Narkisim" w:hAnsi="Narkisim"/>
          <w:rtl/>
        </w:rPr>
        <w:t>, מ"מ כוונתו בכל הביאות שבא על לאה היה לבן הראשון שיוולד [שהוא ראובן].</w:t>
      </w:r>
    </w:p>
    <w:p w14:paraId="664B9EAA" w14:textId="77777777" w:rsidR="00F64AED" w:rsidRPr="00E14121" w:rsidRDefault="00F64AED" w:rsidP="00F64AED">
      <w:pPr>
        <w:bidi/>
        <w:rPr>
          <w:rFonts w:ascii="Narkisim" w:hAnsi="Narkisim" w:cs="Narkisim"/>
        </w:rPr>
      </w:pPr>
      <w:r w:rsidRPr="00E14121">
        <w:rPr>
          <w:rFonts w:ascii="Narkisim" w:hAnsi="Narkisim" w:cs="Narkisim"/>
          <w:u w:val="single"/>
          <w:rtl/>
        </w:rPr>
        <w:t>נסתם כשר, זהו פסול החוזר לבריאתו.</w:t>
      </w:r>
      <w:r w:rsidRPr="00E14121">
        <w:rPr>
          <w:rFonts w:ascii="Narkisim" w:hAnsi="Narkisim" w:cs="Narkisim"/>
          <w:rtl/>
        </w:rPr>
        <w:t xml:space="preserve"> בפשוטו נקטו ה</w:t>
      </w:r>
      <w:r w:rsidRPr="00E14121">
        <w:rPr>
          <w:rFonts w:ascii="Narkisim" w:hAnsi="Narkisim" w:cs="Narkisim"/>
          <w:b/>
          <w:bCs/>
          <w:rtl/>
        </w:rPr>
        <w:t>פוסקים</w:t>
      </w:r>
      <w:r w:rsidRPr="00E14121">
        <w:rPr>
          <w:rFonts w:ascii="Narkisim" w:hAnsi="Narkisim" w:cs="Narkisim"/>
          <w:rtl/>
        </w:rPr>
        <w:t xml:space="preserve"> דניקב הוה פצוע דכא, ואף דראוי ליסתם</w:t>
      </w:r>
      <w:r w:rsidRPr="00E14121">
        <w:rPr>
          <w:rStyle w:val="ac"/>
          <w:rFonts w:ascii="Narkisim" w:hAnsi="Narkisim" w:cs="Narkisim"/>
          <w:rtl/>
        </w:rPr>
        <w:footnoteReference w:id="4561"/>
      </w:r>
      <w:r w:rsidRPr="00E14121">
        <w:rPr>
          <w:rFonts w:ascii="Narkisim" w:hAnsi="Narkisim" w:cs="Narkisim"/>
          <w:rtl/>
        </w:rPr>
        <w:t>. אבל ה</w:t>
      </w:r>
      <w:r w:rsidRPr="00E14121">
        <w:rPr>
          <w:rFonts w:ascii="Narkisim" w:hAnsi="Narkisim" w:cs="Narkisim"/>
          <w:b/>
          <w:bCs/>
          <w:rtl/>
        </w:rPr>
        <w:t>יראים</w:t>
      </w:r>
      <w:r w:rsidRPr="00E14121">
        <w:rPr>
          <w:rFonts w:ascii="Narkisim" w:hAnsi="Narkisim" w:cs="Narkisim"/>
          <w:sz w:val="20"/>
          <w:szCs w:val="20"/>
          <w:rtl/>
        </w:rPr>
        <w:t xml:space="preserve"> (הו' במרדכי סט ובריטב"א)</w:t>
      </w:r>
      <w:r w:rsidRPr="00E14121">
        <w:rPr>
          <w:rFonts w:ascii="Narkisim" w:hAnsi="Narkisim" w:cs="Narkisim"/>
          <w:rtl/>
        </w:rPr>
        <w:t xml:space="preserve"> כתב דכשר לבא בקהל, שאינו אלא עקור ואינו כרות שפכה, דתניא [בספרי] דכרות שפכה</w:t>
      </w:r>
      <w:r w:rsidRPr="00E14121">
        <w:rPr>
          <w:rStyle w:val="ac"/>
          <w:rFonts w:ascii="Narkisim" w:hAnsi="Narkisim" w:cs="Narkisim"/>
          <w:rtl/>
        </w:rPr>
        <w:footnoteReference w:id="4562"/>
      </w:r>
      <w:r w:rsidRPr="00E14121">
        <w:rPr>
          <w:rFonts w:ascii="Narkisim" w:hAnsi="Narkisim" w:cs="Narkisim"/>
          <w:rtl/>
        </w:rPr>
        <w:t xml:space="preserve"> אינו חוזר לבריאתו, זו היא מהלכות הרופאים</w:t>
      </w:r>
      <w:r w:rsidRPr="00E14121">
        <w:rPr>
          <w:rStyle w:val="ac"/>
          <w:rFonts w:ascii="Narkisim" w:hAnsi="Narkisim" w:cs="Narkisim"/>
          <w:rtl/>
        </w:rPr>
        <w:footnoteReference w:id="4563"/>
      </w:r>
      <w:r w:rsidRPr="00E14121">
        <w:rPr>
          <w:rFonts w:ascii="Narkisim" w:hAnsi="Narkisim" w:cs="Narkisim"/>
          <w:rtl/>
        </w:rPr>
        <w:t>. ולכן פי' דבסוגיין קאי על הולד שאשתו ילדה, שהוא פסול כיון דדבר ברור שאינו מוליד, וע"כ ממזר הוא</w:t>
      </w:r>
      <w:r w:rsidRPr="00E14121">
        <w:rPr>
          <w:rStyle w:val="ac"/>
          <w:rFonts w:ascii="Narkisim" w:hAnsi="Narkisim" w:cs="Narkisim"/>
          <w:rtl/>
        </w:rPr>
        <w:footnoteReference w:id="4564"/>
      </w:r>
      <w:r w:rsidRPr="00E14121">
        <w:rPr>
          <w:rFonts w:ascii="Narkisim" w:hAnsi="Narkisim" w:cs="Narkisim"/>
          <w:rtl/>
        </w:rPr>
        <w:t xml:space="preserve">. וע"י שנסתם הולד כשר [שנתברר שלא היה פצוע דכא]. </w:t>
      </w:r>
      <w:r w:rsidRPr="00E14121">
        <w:rPr>
          <w:rFonts w:ascii="Narkisim" w:hAnsi="Narkisim" w:cs="Narkisim"/>
          <w:sz w:val="20"/>
          <w:szCs w:val="20"/>
          <w:rtl/>
        </w:rPr>
        <w:t>וה</w:t>
      </w:r>
      <w:r w:rsidRPr="00E14121">
        <w:rPr>
          <w:rFonts w:ascii="Narkisim" w:hAnsi="Narkisim" w:cs="Narkisim"/>
          <w:b/>
          <w:bCs/>
          <w:sz w:val="20"/>
          <w:szCs w:val="20"/>
          <w:rtl/>
        </w:rPr>
        <w:t>ב"י</w:t>
      </w:r>
      <w:r w:rsidRPr="00E14121">
        <w:rPr>
          <w:rFonts w:ascii="Narkisim" w:hAnsi="Narkisim" w:cs="Narkisim"/>
          <w:sz w:val="20"/>
          <w:szCs w:val="20"/>
          <w:rtl/>
        </w:rPr>
        <w:t xml:space="preserve"> (ה) כתב דסוגיין ס"ל דאף כרות שפכה חוזר להכשירו</w:t>
      </w:r>
      <w:r w:rsidRPr="00E14121">
        <w:rPr>
          <w:rStyle w:val="ac"/>
          <w:rFonts w:ascii="Narkisim" w:hAnsi="Narkisim" w:cs="Narkisim"/>
          <w:sz w:val="20"/>
          <w:szCs w:val="20"/>
          <w:rtl/>
        </w:rPr>
        <w:footnoteReference w:id="4565"/>
      </w:r>
      <w:r w:rsidRPr="00E14121">
        <w:rPr>
          <w:rFonts w:ascii="Narkisim" w:hAnsi="Narkisim" w:cs="Narkisim"/>
          <w:sz w:val="20"/>
          <w:szCs w:val="20"/>
          <w:rtl/>
        </w:rPr>
        <w:t>.</w:t>
      </w:r>
    </w:p>
    <w:p w14:paraId="7E12BDF0" w14:textId="77777777" w:rsidR="00F64AED" w:rsidRPr="00E14121" w:rsidRDefault="00F64AED" w:rsidP="00F64AED">
      <w:pPr>
        <w:bidi/>
        <w:rPr>
          <w:rFonts w:ascii="Narkisim" w:hAnsi="Narkisim" w:cs="Narkisim"/>
        </w:rPr>
      </w:pPr>
      <w:r w:rsidRPr="00E14121">
        <w:rPr>
          <w:rFonts w:ascii="Narkisim" w:hAnsi="Narkisim" w:cs="Narkisim"/>
          <w:u w:val="single"/>
          <w:rtl/>
        </w:rPr>
        <w:t>זהו, החוזר לבריאתו, למעוטי [גבי טריפות] קרום שעלה מחמת המכה.</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דהדר מיפחת, והיינו הנך סירכא דריאה וכו'</w:t>
      </w:r>
      <w:r w:rsidRPr="00E14121">
        <w:rPr>
          <w:rStyle w:val="ac"/>
          <w:rFonts w:ascii="Narkisim" w:hAnsi="Narkisim" w:cs="Narkisim"/>
          <w:rtl/>
        </w:rPr>
        <w:footnoteReference w:id="4566"/>
      </w:r>
      <w:r w:rsidRPr="00E14121">
        <w:rPr>
          <w:rFonts w:ascii="Narkisim" w:hAnsi="Narkisim" w:cs="Narkisim"/>
          <w:rtl/>
        </w:rPr>
        <w:t>. וה</w:t>
      </w:r>
      <w:r w:rsidRPr="00E14121">
        <w:rPr>
          <w:rFonts w:ascii="Narkisim" w:hAnsi="Narkisim" w:cs="Narkisim"/>
          <w:b/>
          <w:bCs/>
          <w:rtl/>
        </w:rPr>
        <w:t xml:space="preserve">ריטב"א </w:t>
      </w:r>
      <w:r w:rsidRPr="00E14121">
        <w:rPr>
          <w:rFonts w:ascii="Narkisim" w:hAnsi="Narkisim" w:cs="Narkisim"/>
          <w:rtl/>
        </w:rPr>
        <w:t xml:space="preserve">כתב דהביאו הכא דוקא שנסתם מגופו, דומיא דגיד </w:t>
      </w:r>
      <w:r w:rsidRPr="00E14121">
        <w:rPr>
          <w:rFonts w:ascii="Narkisim" w:hAnsi="Narkisim" w:cs="Narkisim"/>
          <w:sz w:val="20"/>
          <w:szCs w:val="20"/>
          <w:rtl/>
        </w:rPr>
        <w:t>[אבל דופן סותמתו במקום רביתא מהני].</w:t>
      </w:r>
    </w:p>
    <w:p w14:paraId="300DACC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נוב"י</w:t>
      </w:r>
      <w:r w:rsidRPr="00E14121">
        <w:rPr>
          <w:rFonts w:ascii="Narkisim" w:hAnsi="Narkisim"/>
          <w:rtl/>
        </w:rPr>
        <w:t xml:space="preserve"> (ק' ס"ס ו) הקשה אמאי לא הזכירו לאפוקי נפצע ביצה א', ושוב נטלו דאינו חוזר להכשירו [לדעת הרא"ש הו' לעיל] [וכיון דקאי באדם ראוי למעט אדם, ולא בהמה]. וה</w:t>
      </w:r>
      <w:r w:rsidRPr="00E14121">
        <w:rPr>
          <w:rFonts w:ascii="Narkisim" w:hAnsi="Narkisim"/>
          <w:b/>
          <w:bCs/>
          <w:rtl/>
        </w:rPr>
        <w:t>בי"מ</w:t>
      </w:r>
      <w:r w:rsidRPr="00E14121">
        <w:rPr>
          <w:rFonts w:ascii="Narkisim" w:hAnsi="Narkisim"/>
          <w:rtl/>
        </w:rPr>
        <w:t xml:space="preserve"> (ה) כתב דכוונת הגמ' למעוטי דקרום ע"פ המכה כיוצא בו.</w:t>
      </w:r>
    </w:p>
    <w:p w14:paraId="17A938AA" w14:textId="77777777" w:rsidR="00F64AED" w:rsidRPr="00E14121" w:rsidRDefault="00F64AED" w:rsidP="00F64AED">
      <w:pPr>
        <w:pStyle w:val="aa"/>
        <w:bidi/>
        <w:rPr>
          <w:rFonts w:ascii="Narkisim" w:hAnsi="Narkisim"/>
        </w:rPr>
      </w:pPr>
      <w:r w:rsidRPr="00E14121">
        <w:rPr>
          <w:rFonts w:ascii="Narkisim" w:hAnsi="Narkisim"/>
          <w:u w:val="single"/>
          <w:rtl/>
        </w:rPr>
        <w:t>המטיל מים מב' מקומות.</w:t>
      </w:r>
      <w:r w:rsidRPr="00E14121">
        <w:rPr>
          <w:rFonts w:ascii="Narkisim" w:hAnsi="Narkisim"/>
          <w:rtl/>
        </w:rPr>
        <w:t xml:space="preserve"> ה</w:t>
      </w:r>
      <w:r w:rsidRPr="00E14121">
        <w:rPr>
          <w:rFonts w:ascii="Narkisim" w:hAnsi="Narkisim"/>
          <w:b/>
          <w:bCs/>
          <w:rtl/>
        </w:rPr>
        <w:t>מאירי</w:t>
      </w:r>
      <w:r w:rsidRPr="00E14121">
        <w:rPr>
          <w:rFonts w:ascii="Narkisim" w:hAnsi="Narkisim"/>
          <w:rtl/>
        </w:rPr>
        <w:t xml:space="preserve"> פי' דכיון דמ"מ הזרע הוה בשביל שלו, ואע"פ שהשתן נכנס לשביל, אינו </w:t>
      </w:r>
      <w:r w:rsidRPr="00E14121">
        <w:rPr>
          <w:rFonts w:ascii="Narkisim" w:hAnsi="Narkisim"/>
          <w:rtl/>
        </w:rPr>
        <w:lastRenderedPageBreak/>
        <w:t>מונע בישול הזרע, דהוה במקומו. וה</w:t>
      </w:r>
      <w:r w:rsidRPr="00E14121">
        <w:rPr>
          <w:rFonts w:ascii="Narkisim" w:hAnsi="Narkisim"/>
          <w:b/>
          <w:bCs/>
          <w:rtl/>
        </w:rPr>
        <w:t>חזו"א</w:t>
      </w:r>
      <w:r w:rsidRPr="00E14121">
        <w:rPr>
          <w:rFonts w:ascii="Narkisim" w:hAnsi="Narkisim"/>
          <w:rtl/>
        </w:rPr>
        <w:t xml:space="preserve"> (יב ו) הקשה דב</w:t>
      </w:r>
      <w:r w:rsidRPr="00E14121">
        <w:rPr>
          <w:rFonts w:ascii="Narkisim" w:hAnsi="Narkisim"/>
          <w:b/>
          <w:bCs/>
          <w:rtl/>
        </w:rPr>
        <w:t>רמב"ם</w:t>
      </w:r>
      <w:r w:rsidRPr="00E14121">
        <w:rPr>
          <w:rFonts w:ascii="Narkisim" w:hAnsi="Narkisim"/>
          <w:rtl/>
        </w:rPr>
        <w:t xml:space="preserve"> (טז ג) מבואר דהשבילים הם בכלל חוטי הביצים, ואמאי לא יפסל משום שניקב החוט. עי"ש.</w:t>
      </w:r>
    </w:p>
    <w:p w14:paraId="51EF8F59" w14:textId="77777777" w:rsidR="00F64AED" w:rsidRPr="00E14121" w:rsidRDefault="00F64AED" w:rsidP="00F64AED">
      <w:pPr>
        <w:pStyle w:val="aa"/>
        <w:bidi/>
        <w:rPr>
          <w:rFonts w:ascii="Narkisim" w:hAnsi="Narkisim"/>
        </w:rPr>
      </w:pPr>
      <w:r w:rsidRPr="00E14121">
        <w:rPr>
          <w:rFonts w:ascii="Narkisim" w:hAnsi="Narkisim"/>
          <w:u w:val="single"/>
          <w:rtl/>
        </w:rPr>
        <w:t>דא"ר הונא נשים המסוללות וכו'.</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(סנהדרין סט:) לשון פריצות. וה</w:t>
      </w:r>
      <w:r w:rsidRPr="00E14121">
        <w:rPr>
          <w:rFonts w:ascii="Narkisim" w:hAnsi="Narkisim"/>
          <w:b/>
          <w:bCs/>
          <w:rtl/>
        </w:rPr>
        <w:t>רמב"ם</w:t>
      </w:r>
      <w:r w:rsidRPr="00E14121">
        <w:rPr>
          <w:rFonts w:ascii="Narkisim" w:hAnsi="Narkisim"/>
          <w:rtl/>
        </w:rPr>
        <w:t xml:space="preserve"> (פיה"מ סנהדרין ז ד) כתב שהוא מלשון מסלול, דרך כבוש</w:t>
      </w:r>
      <w:r w:rsidRPr="00E14121">
        <w:rPr>
          <w:rStyle w:val="ac"/>
          <w:rFonts w:ascii="Narkisim" w:hAnsi="Narkisim"/>
          <w:rtl/>
        </w:rPr>
        <w:footnoteReference w:id="4567"/>
      </w:r>
      <w:r w:rsidRPr="00E14121">
        <w:rPr>
          <w:rFonts w:ascii="Narkisim" w:hAnsi="Narkisim"/>
          <w:rtl/>
        </w:rPr>
        <w:t>. וב</w:t>
      </w:r>
      <w:r w:rsidRPr="00E14121">
        <w:rPr>
          <w:rFonts w:ascii="Narkisim" w:hAnsi="Narkisim"/>
          <w:b/>
          <w:bCs/>
          <w:rtl/>
        </w:rPr>
        <w:t>שיטמ"ק</w:t>
      </w:r>
      <w:r w:rsidRPr="00E14121">
        <w:rPr>
          <w:rFonts w:ascii="Narkisim" w:hAnsi="Narkisim"/>
          <w:rtl/>
        </w:rPr>
        <w:t xml:space="preserve"> (נדמ"ח) הביא בשם </w:t>
      </w:r>
      <w:r w:rsidRPr="00E14121">
        <w:rPr>
          <w:rFonts w:ascii="Narkisim" w:hAnsi="Narkisim"/>
          <w:b/>
          <w:bCs/>
          <w:rtl/>
        </w:rPr>
        <w:t>רבינו</w:t>
      </w:r>
      <w:r w:rsidRPr="00E14121">
        <w:rPr>
          <w:rFonts w:ascii="Narkisim" w:hAnsi="Narkisim"/>
          <w:rtl/>
        </w:rPr>
        <w:t xml:space="preserve"> </w:t>
      </w:r>
      <w:r w:rsidRPr="00E14121">
        <w:rPr>
          <w:rFonts w:ascii="Narkisim" w:hAnsi="Narkisim"/>
          <w:b/>
          <w:bCs/>
          <w:rtl/>
        </w:rPr>
        <w:t>יהונתן</w:t>
      </w:r>
      <w:r w:rsidRPr="00E14121">
        <w:rPr>
          <w:rFonts w:ascii="Narkisim" w:hAnsi="Narkisim"/>
          <w:rtl/>
        </w:rPr>
        <w:t xml:space="preserve"> הכהן שיש גורסים מסולדות, כלומר מתחממות זה בזה. מלשון היד סולדת בהם.</w:t>
      </w:r>
    </w:p>
    <w:p w14:paraId="6E5B2F02" w14:textId="77777777" w:rsidR="00F64AED" w:rsidRPr="00E14121" w:rsidRDefault="00F64AED" w:rsidP="00F64AED">
      <w:pPr>
        <w:bidi/>
        <w:rPr>
          <w:rFonts w:ascii="Narkisim" w:hAnsi="Narkisim" w:cs="Narkisim"/>
        </w:rPr>
      </w:pPr>
      <w:r w:rsidRPr="00E14121">
        <w:rPr>
          <w:rFonts w:ascii="Narkisim" w:hAnsi="Narkisim" w:cs="Narkisim"/>
          <w:u w:val="single"/>
          <w:rtl/>
        </w:rPr>
        <w:t>פריצותא בעלמא.</w:t>
      </w:r>
      <w:r w:rsidRPr="00E14121">
        <w:rPr>
          <w:rFonts w:ascii="Narkisim" w:hAnsi="Narkisim" w:cs="Narkisim"/>
          <w:rtl/>
        </w:rPr>
        <w:t xml:space="preserve"> משמע דהוה איסור בעלמא [ואינו איסור גמור]. וקצת משמע מדברי ה</w:t>
      </w:r>
      <w:r w:rsidRPr="00E14121">
        <w:rPr>
          <w:rFonts w:ascii="Narkisim" w:hAnsi="Narkisim" w:cs="Narkisim"/>
          <w:b/>
          <w:bCs/>
          <w:rtl/>
        </w:rPr>
        <w:t>תוס</w:t>
      </w:r>
      <w:r w:rsidRPr="00E14121">
        <w:rPr>
          <w:rFonts w:ascii="Narkisim" w:hAnsi="Narkisim" w:cs="Narkisim"/>
          <w:rtl/>
        </w:rPr>
        <w:t>' (פב: ד"ה תנן) דהוה אסור דרבנן</w:t>
      </w:r>
      <w:r w:rsidRPr="00E14121">
        <w:rPr>
          <w:rStyle w:val="ac"/>
          <w:rFonts w:ascii="Narkisim" w:hAnsi="Narkisim" w:cs="Narkisim"/>
          <w:rtl/>
        </w:rPr>
        <w:footnoteReference w:id="4568"/>
      </w:r>
      <w:r w:rsidRPr="00E14121">
        <w:rPr>
          <w:rFonts w:ascii="Narkisim" w:hAnsi="Narkisim" w:cs="Narkisim"/>
          <w:rtl/>
        </w:rPr>
        <w:t>. אבל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איסו"ב כא ח, וכן בסה"מ ל"ת שנג)</w:t>
      </w:r>
      <w:r w:rsidRPr="00E14121">
        <w:rPr>
          <w:rFonts w:ascii="Narkisim" w:hAnsi="Narkisim" w:cs="Narkisim"/>
          <w:rtl/>
        </w:rPr>
        <w:t xml:space="preserve"> כתב דהוה ממעשה מצרים שהוזהרנו עליו</w:t>
      </w:r>
      <w:r w:rsidRPr="00E14121">
        <w:rPr>
          <w:rStyle w:val="ac"/>
          <w:rFonts w:ascii="Narkisim" w:hAnsi="Narkisim" w:cs="Narkisim"/>
          <w:rtl/>
        </w:rPr>
        <w:footnoteReference w:id="4569"/>
      </w:r>
      <w:r w:rsidRPr="00E14121">
        <w:rPr>
          <w:rFonts w:ascii="Narkisim" w:hAnsi="Narkisim" w:cs="Narkisim"/>
          <w:rtl/>
        </w:rPr>
        <w:t>, ואמרו חכמים דאשה נושאה אשה. ואע"פ שמעשה זו אסור אין מלקים עליו, שאין לו לאו מיוחד</w:t>
      </w:r>
      <w:r w:rsidRPr="00E14121">
        <w:rPr>
          <w:rStyle w:val="ac"/>
          <w:rFonts w:ascii="Narkisim" w:hAnsi="Narkisim" w:cs="Narkisim"/>
          <w:rtl/>
        </w:rPr>
        <w:footnoteReference w:id="4570"/>
      </w:r>
      <w:r w:rsidRPr="00E14121">
        <w:rPr>
          <w:rFonts w:ascii="Narkisim" w:hAnsi="Narkisim" w:cs="Narkisim"/>
          <w:rtl/>
        </w:rPr>
        <w:t>, והרי אין שם ביאה כלל. לפיכך לא נאסרו לכהונה.</w:t>
      </w:r>
    </w:p>
    <w:p w14:paraId="3B274C39" w14:textId="77777777" w:rsidR="00F64AED" w:rsidRPr="00E14121" w:rsidRDefault="00F64AED" w:rsidP="00F64AED">
      <w:pPr>
        <w:pStyle w:val="aa"/>
        <w:bidi/>
        <w:rPr>
          <w:rFonts w:ascii="Narkisim" w:hAnsi="Narkisim"/>
        </w:rPr>
      </w:pPr>
      <w:r w:rsidRPr="00E14121">
        <w:rPr>
          <w:rFonts w:ascii="Narkisim" w:hAnsi="Narkisim"/>
          <w:u w:val="single"/>
          <w:rtl/>
        </w:rPr>
        <w:t>תוד"ה המסוללות.</w:t>
      </w:r>
      <w:r w:rsidRPr="00E14121">
        <w:rPr>
          <w:rFonts w:ascii="Narkisim" w:hAnsi="Narkisim"/>
          <w:rtl/>
        </w:rPr>
        <w:t xml:space="preserve"> דהכא משמע דפסולות אף לכהן הדיוט משום זונה. וה</w:t>
      </w:r>
      <w:r w:rsidRPr="00E14121">
        <w:rPr>
          <w:rFonts w:ascii="Narkisim" w:hAnsi="Narkisim"/>
          <w:b/>
          <w:bCs/>
          <w:rtl/>
        </w:rPr>
        <w:t>רמב"ן</w:t>
      </w:r>
      <w:r w:rsidRPr="00E14121">
        <w:rPr>
          <w:rFonts w:ascii="Narkisim" w:hAnsi="Narkisim"/>
          <w:rtl/>
        </w:rPr>
        <w:t xml:space="preserve"> (שבת סה.) כת' דיל"פ דאפי' לרבנן נשים עושות זו עם זו זונות, שאין בהן אישות. [שאשה אינה מקדשת אשה, והוה כמו מי שאין לו קידושין בו, וכדלעיל סח.]. לרב הונא דס"ל דנחשב מעשה ביאה</w:t>
      </w:r>
      <w:r w:rsidRPr="00E14121">
        <w:rPr>
          <w:rStyle w:val="ac"/>
          <w:rFonts w:ascii="Narkisim" w:hAnsi="Narkisim"/>
          <w:rtl/>
        </w:rPr>
        <w:footnoteReference w:id="4571"/>
      </w:r>
      <w:r w:rsidRPr="00E14121">
        <w:rPr>
          <w:rFonts w:ascii="Narkisim" w:hAnsi="Narkisim"/>
          <w:rtl/>
        </w:rPr>
        <w:t>. אבל ה</w:t>
      </w:r>
      <w:r w:rsidRPr="00E14121">
        <w:rPr>
          <w:rFonts w:ascii="Narkisim" w:hAnsi="Narkisim"/>
          <w:b/>
          <w:bCs/>
          <w:rtl/>
        </w:rPr>
        <w:t>ריטב"א</w:t>
      </w:r>
      <w:r w:rsidRPr="00E14121">
        <w:rPr>
          <w:rFonts w:ascii="Narkisim" w:hAnsi="Narkisim"/>
          <w:rtl/>
        </w:rPr>
        <w:t xml:space="preserve"> חלק דלא קי"ל דפנוי הבא על הפנויה עשאה זונה, וכ"ש בזו [ואף לרב הונא מ"ט יפסול]</w:t>
      </w:r>
      <w:r w:rsidRPr="00E14121">
        <w:rPr>
          <w:rStyle w:val="ac"/>
          <w:rFonts w:ascii="Narkisim" w:hAnsi="Narkisim"/>
          <w:rtl/>
        </w:rPr>
        <w:footnoteReference w:id="4572"/>
      </w:r>
      <w:r w:rsidRPr="00E14121">
        <w:rPr>
          <w:rFonts w:ascii="Narkisim" w:hAnsi="Narkisim"/>
          <w:rtl/>
        </w:rPr>
        <w:t>. ולכן פי' כ</w:t>
      </w:r>
      <w:r w:rsidRPr="00E14121">
        <w:rPr>
          <w:rFonts w:ascii="Narkisim" w:hAnsi="Narkisim"/>
          <w:b/>
          <w:bCs/>
          <w:rtl/>
        </w:rPr>
        <w:t>רש"י</w:t>
      </w:r>
      <w:r w:rsidRPr="00E14121">
        <w:rPr>
          <w:rFonts w:ascii="Narkisim" w:hAnsi="Narkisim"/>
          <w:rtl/>
        </w:rPr>
        <w:t xml:space="preserve"> (שבת) משום השרת בתולים</w:t>
      </w:r>
      <w:r w:rsidRPr="00E14121">
        <w:rPr>
          <w:rStyle w:val="ac"/>
          <w:rFonts w:ascii="Narkisim" w:hAnsi="Narkisim"/>
          <w:rtl/>
        </w:rPr>
        <w:footnoteReference w:id="4573"/>
      </w:r>
      <w:r w:rsidRPr="00E14121">
        <w:rPr>
          <w:rFonts w:ascii="Narkisim" w:hAnsi="Narkisim"/>
          <w:rtl/>
        </w:rPr>
        <w:t>, דהויא כבוגרת דכלו מקצת בתוליה. ולרבותא נקט דר' אלעזר [למסקנא דמתיר], דמחמיר בפסולי כהונה.</w:t>
      </w:r>
    </w:p>
    <w:p w14:paraId="6DA40125" w14:textId="77777777" w:rsidR="00F64AED" w:rsidRPr="00E14121" w:rsidRDefault="00F64AED" w:rsidP="00F64AED">
      <w:pPr>
        <w:pStyle w:val="aa"/>
        <w:bidi/>
        <w:rPr>
          <w:rFonts w:ascii="Narkisim" w:hAnsi="Narkisim"/>
        </w:rPr>
      </w:pPr>
      <w:r w:rsidRPr="00E14121">
        <w:rPr>
          <w:rFonts w:ascii="Narkisim" w:hAnsi="Narkisim"/>
          <w:u w:val="single"/>
          <w:rtl/>
        </w:rPr>
        <w:t>פצוע דכא וכרות שפחה מותרין בגיורת ומשוחררת וכו'</w:t>
      </w:r>
      <w:r w:rsidRPr="00E14121">
        <w:rPr>
          <w:rFonts w:ascii="Narkisim" w:hAnsi="Narkisim"/>
          <w:rtl/>
        </w:rPr>
        <w:t>. סתם משנה כר' יוסי דקהל גרים לא איקרי קהל. דלר' יהודה (קידושין עג. ולקמן עז:) אף גרים הוה בכלל קהל.</w:t>
      </w:r>
    </w:p>
    <w:p w14:paraId="47CCCB7F" w14:textId="77777777" w:rsidR="00F64AED" w:rsidRPr="00E14121" w:rsidRDefault="00F64AED" w:rsidP="00F64AED">
      <w:pPr>
        <w:pStyle w:val="2"/>
        <w:bidi/>
        <w:rPr>
          <w:rFonts w:ascii="Narkisim" w:hAnsi="Narkisim"/>
        </w:rPr>
      </w:pPr>
      <w:r w:rsidRPr="00E14121">
        <w:rPr>
          <w:rFonts w:ascii="Narkisim" w:hAnsi="Narkisim"/>
          <w:rtl/>
        </w:rPr>
        <w:t>פצוע דכא בקדושתיה קאי</w:t>
      </w:r>
    </w:p>
    <w:p w14:paraId="16A7A613" w14:textId="77777777" w:rsidR="00F64AED" w:rsidRPr="00E14121" w:rsidRDefault="00F64AED" w:rsidP="00F64AED">
      <w:pPr>
        <w:bidi/>
        <w:rPr>
          <w:rFonts w:ascii="Narkisim" w:hAnsi="Narkisim" w:cs="Narkisim"/>
        </w:rPr>
      </w:pPr>
      <w:r w:rsidRPr="00E14121">
        <w:rPr>
          <w:rFonts w:ascii="Narkisim" w:hAnsi="Narkisim" w:cs="Narkisim"/>
          <w:u w:val="single"/>
          <w:rtl/>
        </w:rPr>
        <w:t>בעו מיניה מרב ששת פצו"ד כהן וכו' או דילמא לאו בקדושתיה קאי.</w:t>
      </w:r>
      <w:r w:rsidRPr="00E14121">
        <w:rPr>
          <w:rFonts w:ascii="Narkisim" w:hAnsi="Narkisim" w:cs="Narkisim"/>
          <w:rtl/>
        </w:rPr>
        <w:t xml:space="preserve"> לכאורה הוה סברא דכיון דהוא אסור בקהל, אף אין עליו שם 'קהל'</w:t>
      </w:r>
      <w:r w:rsidRPr="00E14121">
        <w:rPr>
          <w:rStyle w:val="ac"/>
          <w:rFonts w:ascii="Narkisim" w:hAnsi="Narkisim" w:cs="Narkisim"/>
          <w:rtl/>
        </w:rPr>
        <w:footnoteReference w:id="4574"/>
      </w:r>
      <w:r w:rsidRPr="00E14121">
        <w:rPr>
          <w:rFonts w:ascii="Narkisim" w:hAnsi="Narkisim" w:cs="Narkisim"/>
          <w:rtl/>
        </w:rPr>
        <w:t xml:space="preserve"> ושם כהונה</w:t>
      </w:r>
      <w:r w:rsidRPr="00E14121">
        <w:rPr>
          <w:rStyle w:val="ac"/>
          <w:rFonts w:ascii="Narkisim" w:hAnsi="Narkisim" w:cs="Narkisim"/>
          <w:rtl/>
        </w:rPr>
        <w:footnoteReference w:id="4575"/>
      </w:r>
      <w:r w:rsidRPr="00E14121">
        <w:rPr>
          <w:rFonts w:ascii="Narkisim" w:hAnsi="Narkisim" w:cs="Narkisim"/>
          <w:rtl/>
        </w:rPr>
        <w:t xml:space="preserve">. </w:t>
      </w:r>
      <w:r w:rsidRPr="00E14121">
        <w:rPr>
          <w:rFonts w:ascii="Narkisim" w:hAnsi="Narkisim" w:cs="Narkisim"/>
          <w:szCs w:val="20"/>
          <w:rtl/>
        </w:rPr>
        <w:t>[ובגמ' בסמוך הוכיחו דמותר בממזרת, ומבואר דס"ל דתליא הא בהא. וע' בסמוך דעת הרמב"ם למסקנא]</w:t>
      </w:r>
      <w:r w:rsidRPr="00E14121">
        <w:rPr>
          <w:rFonts w:ascii="Narkisim" w:hAnsi="Narkisim" w:cs="Narkisim"/>
          <w:rtl/>
        </w:rPr>
        <w:t>.</w:t>
      </w:r>
    </w:p>
    <w:p w14:paraId="389ADFB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חלק"מ</w:t>
      </w:r>
      <w:r w:rsidRPr="00E14121">
        <w:rPr>
          <w:rFonts w:ascii="Narkisim" w:hAnsi="Narkisim"/>
          <w:rtl/>
        </w:rPr>
        <w:t xml:space="preserve"> (ה א) כתב [דלהך צד] ה"ה דכהן פצוע דכא מותר בגרושה וחללה</w:t>
      </w:r>
      <w:r w:rsidRPr="00E14121">
        <w:rPr>
          <w:rStyle w:val="ac"/>
          <w:rFonts w:ascii="Narkisim" w:hAnsi="Narkisim"/>
          <w:rtl/>
        </w:rPr>
        <w:footnoteReference w:id="4576"/>
      </w:r>
      <w:r w:rsidRPr="00E14121">
        <w:rPr>
          <w:rFonts w:ascii="Narkisim" w:hAnsi="Narkisim"/>
          <w:rtl/>
        </w:rPr>
        <w:t>, דכולהו כתיבי בחד קרא. וכן אין עליו קדושת כהונה, ומותר לטמא במתים, ולישא כפיו. אך קשה דלכאו' מבואר במשנה (ע.) דפצוע דכא אוכל בתרומה</w:t>
      </w:r>
      <w:r w:rsidRPr="00E14121">
        <w:rPr>
          <w:rStyle w:val="ac"/>
          <w:rFonts w:ascii="Narkisim" w:hAnsi="Narkisim"/>
          <w:rtl/>
        </w:rPr>
        <w:footnoteReference w:id="4577"/>
      </w:r>
      <w:r w:rsidRPr="00E14121">
        <w:rPr>
          <w:rFonts w:ascii="Narkisim" w:hAnsi="Narkisim"/>
          <w:rtl/>
        </w:rPr>
        <w:t xml:space="preserve">. והחלק"מ תי' דתרומה שאני דאפי' עבדים </w:t>
      </w:r>
      <w:r w:rsidRPr="00E14121">
        <w:rPr>
          <w:rFonts w:ascii="Narkisim" w:hAnsi="Narkisim"/>
          <w:rtl/>
        </w:rPr>
        <w:lastRenderedPageBreak/>
        <w:t>אוכלים בקדשים</w:t>
      </w:r>
      <w:r w:rsidRPr="00E14121">
        <w:rPr>
          <w:rStyle w:val="ac"/>
          <w:rFonts w:ascii="Narkisim" w:hAnsi="Narkisim"/>
          <w:rtl/>
        </w:rPr>
        <w:footnoteReference w:id="4578"/>
      </w:r>
      <w:r w:rsidRPr="00E14121">
        <w:rPr>
          <w:rFonts w:ascii="Narkisim" w:hAnsi="Narkisim"/>
          <w:rtl/>
        </w:rPr>
        <w:t>. ועוד הקשה דמרוח אשך הוה בכלל מומים של כהנים</w:t>
      </w:r>
      <w:r w:rsidRPr="00E14121">
        <w:rPr>
          <w:rStyle w:val="ac"/>
          <w:rFonts w:ascii="Narkisim" w:hAnsi="Narkisim"/>
          <w:rtl/>
        </w:rPr>
        <w:footnoteReference w:id="4579"/>
      </w:r>
      <w:r w:rsidRPr="00E14121">
        <w:rPr>
          <w:rFonts w:ascii="Narkisim" w:hAnsi="Narkisim"/>
          <w:rtl/>
        </w:rPr>
        <w:t>, ומבואר שנחשב כהן, ומותר לאכול קדשי קדשים.</w:t>
      </w:r>
    </w:p>
    <w:p w14:paraId="2884A3BB"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בית מאיר</w:t>
      </w:r>
      <w:r w:rsidRPr="00E14121">
        <w:rPr>
          <w:rFonts w:ascii="Narkisim" w:hAnsi="Narkisim"/>
          <w:rtl/>
        </w:rPr>
        <w:t xml:space="preserve"> (והו' בפתח"ת שם) נקט דודאי כהן גמור הוא, ורק בקדושת הזווג אינו בקדושתו.</w:t>
      </w:r>
    </w:p>
    <w:p w14:paraId="0389FE46"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(קובה"ע מד ועוד) דנו בכהן ממזר [מביאה ראשונה</w:t>
      </w:r>
      <w:r w:rsidRPr="00E14121">
        <w:rPr>
          <w:rStyle w:val="ac"/>
          <w:rFonts w:ascii="Narkisim" w:hAnsi="Narkisim"/>
          <w:rtl/>
        </w:rPr>
        <w:footnoteReference w:id="4580"/>
      </w:r>
      <w:r w:rsidRPr="00E14121">
        <w:rPr>
          <w:rFonts w:ascii="Narkisim" w:hAnsi="Narkisim"/>
          <w:rtl/>
        </w:rPr>
        <w:t>, ע' מש"כ לעיל מד: ונג: וסח:], והעמידו דנח' הראשונים האם 'שם ממזר' מפקיע ממנו קדושת כהונה</w:t>
      </w:r>
      <w:r w:rsidRPr="00E14121">
        <w:rPr>
          <w:rStyle w:val="ac"/>
          <w:rFonts w:ascii="Narkisim" w:hAnsi="Narkisim"/>
          <w:rtl/>
        </w:rPr>
        <w:footnoteReference w:id="4581"/>
      </w:r>
      <w:r w:rsidRPr="00E14121">
        <w:rPr>
          <w:rFonts w:ascii="Narkisim" w:hAnsi="Narkisim"/>
          <w:rtl/>
        </w:rPr>
        <w:t>. [וע' ריטב"א לעיל נג:]. וה</w:t>
      </w:r>
      <w:r w:rsidRPr="00E14121">
        <w:rPr>
          <w:rFonts w:ascii="Narkisim" w:hAnsi="Narkisim"/>
          <w:b/>
          <w:bCs/>
          <w:rtl/>
        </w:rPr>
        <w:t>ט"ז</w:t>
      </w:r>
      <w:r w:rsidRPr="00E14121">
        <w:rPr>
          <w:rFonts w:ascii="Narkisim" w:hAnsi="Narkisim"/>
          <w:rtl/>
        </w:rPr>
        <w:t xml:space="preserve"> (ז יד) כת' דכהן ממזר אוכל בתרומה, ונסתפק האם מטמא למתים</w:t>
      </w:r>
      <w:r w:rsidRPr="00E14121">
        <w:rPr>
          <w:rStyle w:val="ac"/>
          <w:rFonts w:ascii="Narkisim" w:hAnsi="Narkisim"/>
          <w:rtl/>
        </w:rPr>
        <w:footnoteReference w:id="4582"/>
      </w:r>
      <w:r w:rsidRPr="00E14121">
        <w:rPr>
          <w:rFonts w:ascii="Narkisim" w:hAnsi="Narkisim"/>
          <w:rtl/>
        </w:rPr>
        <w:t>.</w:t>
      </w:r>
    </w:p>
    <w:p w14:paraId="5FEC85E4"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דנו לצד דיש לו דין כהן האם מותר בגיורת ובפסולי כהונה, האם אמרי' דכיון דלא הוה 'קהל' לענין קדושת זיווג לאו בקדושתיה קאי</w:t>
      </w:r>
      <w:r w:rsidRPr="00E14121">
        <w:rPr>
          <w:rStyle w:val="ac"/>
          <w:rFonts w:ascii="Narkisim" w:hAnsi="Narkisim"/>
          <w:rtl/>
        </w:rPr>
        <w:footnoteReference w:id="4583"/>
      </w:r>
      <w:r w:rsidRPr="00E14121">
        <w:rPr>
          <w:rFonts w:ascii="Narkisim" w:hAnsi="Narkisim"/>
          <w:rtl/>
        </w:rPr>
        <w:t>.</w:t>
      </w:r>
    </w:p>
    <w:p w14:paraId="0FD95A17" w14:textId="77777777" w:rsidR="00F64AED" w:rsidRPr="00E14121" w:rsidRDefault="00F64AED" w:rsidP="00F64AED">
      <w:pPr>
        <w:pStyle w:val="aa"/>
        <w:bidi/>
        <w:rPr>
          <w:rFonts w:ascii="Narkisim" w:hAnsi="Narkisim"/>
        </w:rPr>
      </w:pPr>
      <w:r w:rsidRPr="00E14121">
        <w:rPr>
          <w:rFonts w:ascii="Narkisim" w:hAnsi="Narkisim"/>
          <w:u w:val="single"/>
          <w:rtl/>
        </w:rPr>
        <w:t>רש"י ד"ה כהן.</w:t>
      </w:r>
      <w:r w:rsidRPr="00E14121">
        <w:rPr>
          <w:rFonts w:ascii="Narkisim" w:hAnsi="Narkisim"/>
          <w:rtl/>
        </w:rPr>
        <w:t xml:space="preserve"> שנבעלה קודם. משמע דהוא משום דחיישינן שנבעלה קודם, וכן דייק ה</w:t>
      </w:r>
      <w:r w:rsidRPr="00E14121">
        <w:rPr>
          <w:rFonts w:ascii="Narkisim" w:hAnsi="Narkisim"/>
          <w:b/>
          <w:bCs/>
          <w:rtl/>
        </w:rPr>
        <w:t>רשב"א</w:t>
      </w:r>
      <w:r w:rsidRPr="00E14121">
        <w:rPr>
          <w:rFonts w:ascii="Narkisim" w:hAnsi="Narkisim"/>
          <w:rtl/>
        </w:rPr>
        <w:t xml:space="preserve"> (לעיל ס:) מדברי רש"י (שם), והרשב"א האריך להקשות ע"ז [וכן בגהש"ס ציין לתוס' סא.]. וע' מש"כ שם.</w:t>
      </w:r>
    </w:p>
    <w:p w14:paraId="2061EB2A" w14:textId="77777777" w:rsidR="00F64AED" w:rsidRPr="00E14121" w:rsidRDefault="00F64AED" w:rsidP="00F64AED">
      <w:pPr>
        <w:bidi/>
        <w:rPr>
          <w:rFonts w:ascii="Narkisim" w:hAnsi="Narkisim" w:cs="Narkisim"/>
        </w:rPr>
      </w:pPr>
      <w:r w:rsidRPr="00E14121">
        <w:rPr>
          <w:rFonts w:ascii="Narkisim" w:hAnsi="Narkisim" w:cs="Narkisim"/>
          <w:u w:val="single"/>
          <w:rtl/>
        </w:rPr>
        <w:t>א"ל רב ששת תניתוה פצוע דכא ישראל מותר בנתינה וכו'.</w:t>
      </w:r>
      <w:r w:rsidRPr="00E14121">
        <w:rPr>
          <w:rFonts w:ascii="Narkisim" w:hAnsi="Narkisim" w:cs="Narkisim"/>
          <w:rtl/>
        </w:rPr>
        <w:t xml:space="preserve"> ומבואר דאי לאו בקדושתיה מותר בפסולי קהל, והגמ' מדמה דה"ה לענין פסול כהונה</w:t>
      </w:r>
      <w:r w:rsidRPr="00E14121">
        <w:rPr>
          <w:rStyle w:val="ac"/>
          <w:rFonts w:ascii="Narkisim" w:hAnsi="Narkisim" w:cs="Narkisim"/>
          <w:rtl/>
        </w:rPr>
        <w:footnoteReference w:id="4584"/>
      </w:r>
      <w:r w:rsidRPr="00E14121">
        <w:rPr>
          <w:rFonts w:ascii="Narkisim" w:hAnsi="Narkisim" w:cs="Narkisim"/>
          <w:rtl/>
        </w:rPr>
        <w:t>.</w:t>
      </w:r>
    </w:p>
    <w:p w14:paraId="678776AF" w14:textId="77777777" w:rsidR="00F64AED" w:rsidRPr="00E14121" w:rsidRDefault="00F64AED" w:rsidP="00F64AED">
      <w:pPr>
        <w:bidi/>
        <w:rPr>
          <w:rFonts w:ascii="Narkisim" w:hAnsi="Narkisim" w:cs="Narkisim"/>
        </w:rPr>
      </w:pPr>
      <w:r w:rsidRPr="00E14121">
        <w:rPr>
          <w:rFonts w:ascii="Narkisim" w:hAnsi="Narkisim" w:cs="Narkisim"/>
          <w:u w:val="single"/>
          <w:rtl/>
        </w:rPr>
        <w:t>שם. מותר בנתינה.</w:t>
      </w:r>
      <w:r w:rsidRPr="00E14121">
        <w:rPr>
          <w:rFonts w:ascii="Narkisim" w:hAnsi="Narkisim" w:cs="Narkisim"/>
          <w:rtl/>
        </w:rPr>
        <w:t xml:space="preserve"> לרב ששת הטעם משום דלאו בקדושתיה קאי. וה</w:t>
      </w:r>
      <w:r w:rsidRPr="00E14121">
        <w:rPr>
          <w:rFonts w:ascii="Narkisim" w:hAnsi="Narkisim" w:cs="Narkisim"/>
          <w:b/>
          <w:bCs/>
          <w:rtl/>
        </w:rPr>
        <w:t>ריטב"א</w:t>
      </w:r>
      <w:r w:rsidRPr="00E14121">
        <w:rPr>
          <w:rFonts w:ascii="Narkisim" w:hAnsi="Narkisim" w:cs="Narkisim"/>
          <w:rtl/>
        </w:rPr>
        <w:t xml:space="preserve"> כת' דה"ה מותר בממזרת, דכיון דיצאו מקדושתם מה לי נתינה מה לי ממזרת.</w:t>
      </w:r>
    </w:p>
    <w:p w14:paraId="52E0FBE7"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הביא דב</w:t>
      </w:r>
      <w:r w:rsidRPr="00E14121">
        <w:rPr>
          <w:rFonts w:ascii="Narkisim" w:hAnsi="Narkisim"/>
          <w:b/>
          <w:bCs/>
          <w:rtl/>
        </w:rPr>
        <w:t>ירושלמי</w:t>
      </w:r>
      <w:r w:rsidRPr="00E14121">
        <w:rPr>
          <w:rFonts w:ascii="Narkisim" w:hAnsi="Narkisim"/>
          <w:rtl/>
        </w:rPr>
        <w:t xml:space="preserve"> נח' דלר' ירמיה מותר בממזרת. ור' יוסא פליג דהא פסול משפחה, והא פסול הגוף. ור' יוסא הביא ראיה מדברי ר' יהושע בן לוי דפצוע דכא כהן אסור בגיורת. [אבל הבבלי ס"ל דמותר אף בפסול כהונה].</w:t>
      </w:r>
    </w:p>
    <w:p w14:paraId="1C2CAF14" w14:textId="77777777" w:rsidR="00F64AED" w:rsidRPr="00E14121" w:rsidRDefault="00F64AED" w:rsidP="00F64AED">
      <w:pPr>
        <w:bidi/>
        <w:rPr>
          <w:rFonts w:ascii="Narkisim" w:hAnsi="Narkisim" w:cs="Narkisim"/>
        </w:rPr>
      </w:pPr>
      <w:r w:rsidRPr="00E14121">
        <w:rPr>
          <w:rFonts w:ascii="Narkisim" w:hAnsi="Narkisim" w:cs="Narkisim"/>
          <w:rtl/>
        </w:rPr>
        <w:t>ורבא פליג דחה דאיסור נתינים מדרבנן, ולא גזרו בפצוע דכא. אך הדר אמר רבא דיש איסור לא תתחתן מדאורייתא בנתינים. וה</w:t>
      </w:r>
      <w:r w:rsidRPr="00E14121">
        <w:rPr>
          <w:rFonts w:ascii="Narkisim" w:hAnsi="Narkisim" w:cs="Narkisim"/>
          <w:b/>
          <w:bCs/>
          <w:rtl/>
        </w:rPr>
        <w:t>מלחמות</w:t>
      </w:r>
      <w:r w:rsidRPr="00E14121">
        <w:rPr>
          <w:rFonts w:ascii="Narkisim" w:hAnsi="Narkisim" w:cs="Narkisim"/>
          <w:rtl/>
        </w:rPr>
        <w:t xml:space="preserve"> (כד: בדה"ר) וכמה ראשונים הביאו דלמסקנא נפשט דלאו בקדושתיה קאי, דהא מותר בנתינה.</w:t>
      </w:r>
    </w:p>
    <w:p w14:paraId="794543CA"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בעה"מ</w:t>
      </w:r>
      <w:r w:rsidRPr="00E14121">
        <w:rPr>
          <w:rFonts w:ascii="Narkisim" w:hAnsi="Narkisim"/>
          <w:rtl/>
        </w:rPr>
        <w:t xml:space="preserve"> (כד: בדה"ר) הביא דמבואר (לקמן עט.) דנתינים דרבנן</w:t>
      </w:r>
      <w:r w:rsidRPr="00E14121">
        <w:rPr>
          <w:rStyle w:val="ac"/>
          <w:rFonts w:ascii="Narkisim" w:hAnsi="Narkisim"/>
          <w:rtl/>
        </w:rPr>
        <w:footnoteReference w:id="4585"/>
      </w:r>
      <w:r w:rsidRPr="00E14121">
        <w:rPr>
          <w:rFonts w:ascii="Narkisim" w:hAnsi="Narkisim"/>
          <w:rtl/>
        </w:rPr>
        <w:t>. וכת' דסוגיא דהתם מסייע לל"ק דרבא, הילכך נקטינן דבעיא דפצוע דכא כהן לא איפשיטא, ואסור לכתחילה בגיורת</w:t>
      </w:r>
      <w:r w:rsidRPr="00E14121">
        <w:rPr>
          <w:rStyle w:val="ac"/>
          <w:rFonts w:ascii="Narkisim" w:hAnsi="Narkisim"/>
          <w:rtl/>
        </w:rPr>
        <w:footnoteReference w:id="4586"/>
      </w:r>
      <w:r w:rsidRPr="00E14121">
        <w:rPr>
          <w:rFonts w:ascii="Narkisim" w:hAnsi="Narkisim"/>
          <w:rtl/>
        </w:rPr>
        <w:t>.</w:t>
      </w:r>
    </w:p>
    <w:p w14:paraId="71469F0E" w14:textId="77777777" w:rsidR="00F64AED" w:rsidRPr="00E14121" w:rsidRDefault="00F64AED" w:rsidP="00F64AED">
      <w:pPr>
        <w:bidi/>
        <w:rPr>
          <w:rFonts w:ascii="Narkisim" w:hAnsi="Narkisim" w:cs="Narkisim"/>
        </w:rPr>
      </w:pPr>
      <w:r w:rsidRPr="00E14121">
        <w:rPr>
          <w:rFonts w:ascii="Narkisim" w:hAnsi="Narkisim" w:cs="Narkisim"/>
          <w:i/>
          <w:iCs/>
          <w:szCs w:val="20"/>
          <w:rtl/>
        </w:rPr>
        <w:t>דעת הרמב"ם</w:t>
      </w:r>
      <w:r w:rsidRPr="00E14121">
        <w:rPr>
          <w:rFonts w:ascii="Narkisim" w:hAnsi="Narkisim" w:cs="Narkisim"/>
          <w:rtl/>
        </w:rPr>
        <w:t xml:space="preserve"> -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 xml:space="preserve">(איסו"ב טז א,ב) </w:t>
      </w:r>
      <w:r w:rsidRPr="00E14121">
        <w:rPr>
          <w:rFonts w:ascii="Narkisim" w:hAnsi="Narkisim" w:cs="Narkisim"/>
          <w:rtl/>
        </w:rPr>
        <w:t>פסק דכהן פצוע דכא מותר בגיורת ומשוחררת לפי שאינו בקדושתו. ואפי' נתינה או א' מהספיקות מותרת לו. וה</w:t>
      </w:r>
      <w:r w:rsidRPr="00E14121">
        <w:rPr>
          <w:rFonts w:ascii="Narkisim" w:hAnsi="Narkisim" w:cs="Narkisim"/>
          <w:b/>
          <w:bCs/>
          <w:rtl/>
        </w:rPr>
        <w:t>ראב"ד</w:t>
      </w:r>
      <w:r w:rsidRPr="00E14121">
        <w:rPr>
          <w:rFonts w:ascii="Narkisim" w:hAnsi="Narkisim" w:cs="Narkisim"/>
          <w:rtl/>
        </w:rPr>
        <w:t xml:space="preserve"> דייק [מדברי הרמב"ם] דס"ל דאסור בממזרת. </w:t>
      </w:r>
      <w:r w:rsidRPr="00E14121">
        <w:rPr>
          <w:rFonts w:ascii="Narkisim" w:hAnsi="Narkisim" w:cs="Narkisim"/>
          <w:sz w:val="20"/>
          <w:szCs w:val="20"/>
          <w:rtl/>
        </w:rPr>
        <w:t xml:space="preserve">[ומותר דוקא בנתינה, דהרמב"ם פסק כל"ק דרבא דנתינים דרבנן, וע' בסמוך]. </w:t>
      </w:r>
      <w:r w:rsidRPr="00E14121">
        <w:rPr>
          <w:rFonts w:ascii="Narkisim" w:hAnsi="Narkisim" w:cs="Narkisim"/>
          <w:rtl/>
        </w:rPr>
        <w:t>והראב"ד כתב דלפ"ז ניחא דהברייתא נקט דמותר דוקא בנתינה [ולא הוזכר ממזרת]</w:t>
      </w:r>
      <w:r w:rsidRPr="00E14121">
        <w:rPr>
          <w:rStyle w:val="ac"/>
          <w:rFonts w:ascii="Narkisim" w:hAnsi="Narkisim" w:cs="Narkisim"/>
          <w:rtl/>
        </w:rPr>
        <w:footnoteReference w:id="4587"/>
      </w:r>
      <w:r w:rsidRPr="00E14121">
        <w:rPr>
          <w:rFonts w:ascii="Narkisim" w:hAnsi="Narkisim" w:cs="Narkisim"/>
          <w:rtl/>
        </w:rPr>
        <w:t>.</w:t>
      </w:r>
    </w:p>
    <w:p w14:paraId="3D50D3E6" w14:textId="77777777" w:rsidR="00F64AED" w:rsidRPr="00E14121" w:rsidRDefault="00F64AED" w:rsidP="00F64AED">
      <w:pPr>
        <w:pStyle w:val="a7"/>
        <w:bidi/>
        <w:rPr>
          <w:rFonts w:ascii="Narkisim" w:hAnsi="Narkisim"/>
        </w:rPr>
      </w:pPr>
      <w:r w:rsidRPr="00E14121">
        <w:rPr>
          <w:rFonts w:ascii="Narkisim" w:hAnsi="Narkisim"/>
          <w:rtl/>
        </w:rPr>
        <w:lastRenderedPageBreak/>
        <w:t>וה</w:t>
      </w:r>
      <w:r w:rsidRPr="00E14121">
        <w:rPr>
          <w:rFonts w:ascii="Narkisim" w:hAnsi="Narkisim"/>
          <w:b/>
          <w:bCs/>
          <w:rtl/>
        </w:rPr>
        <w:t>ראב"ד</w:t>
      </w:r>
      <w:r w:rsidRPr="00E14121">
        <w:rPr>
          <w:rFonts w:ascii="Narkisim" w:hAnsi="Narkisim"/>
          <w:rtl/>
        </w:rPr>
        <w:t xml:space="preserve"> חלק דכיון דהרמב"ם פסק דפצו"ד כהן מותר בגיורת, הא אף דגיורת לכהן הוה איסור דאורייתא, ושריא ליה דלאו בקדושתיה קאי</w:t>
      </w:r>
      <w:r w:rsidRPr="00E14121">
        <w:rPr>
          <w:rStyle w:val="ac"/>
          <w:rFonts w:ascii="Narkisim" w:hAnsi="Narkisim"/>
          <w:rtl/>
        </w:rPr>
        <w:footnoteReference w:id="4588"/>
      </w:r>
      <w:r w:rsidRPr="00E14121">
        <w:rPr>
          <w:rFonts w:ascii="Narkisim" w:hAnsi="Narkisim"/>
          <w:rtl/>
        </w:rPr>
        <w:t>. א"כ ה"ה ישראל דמותר בממזרת, וכה"ק ה</w:t>
      </w:r>
      <w:r w:rsidRPr="00E14121">
        <w:rPr>
          <w:rFonts w:ascii="Narkisim" w:hAnsi="Narkisim"/>
          <w:b/>
          <w:bCs/>
          <w:rtl/>
        </w:rPr>
        <w:t>רשב"א</w:t>
      </w:r>
      <w:r w:rsidRPr="00E14121">
        <w:rPr>
          <w:rFonts w:ascii="Narkisim" w:hAnsi="Narkisim"/>
          <w:rtl/>
        </w:rPr>
        <w:t xml:space="preserve">. </w:t>
      </w:r>
      <w:r w:rsidRPr="00E14121">
        <w:rPr>
          <w:rFonts w:ascii="Narkisim" w:hAnsi="Narkisim"/>
          <w:sz w:val="20"/>
          <w:szCs w:val="20"/>
          <w:rtl/>
        </w:rPr>
        <w:t>[וכיון דהרמב"ם פסק כל"ק דרבא, א"כ אמאי מותר בגיורת].</w:t>
      </w:r>
    </w:p>
    <w:p w14:paraId="60DDE31D"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ה"ה</w:t>
      </w:r>
      <w:r w:rsidRPr="00E14121">
        <w:rPr>
          <w:rFonts w:ascii="Narkisim" w:hAnsi="Narkisim"/>
          <w:rtl/>
        </w:rPr>
        <w:t xml:space="preserve"> כת' דהרמב"ם ס"ל דרב ששת ורבא [לל"ב] הכריעו דפצוע דכא כהן מותר בגיורת, ומש"ה קי"ל כהיתירא</w:t>
      </w:r>
      <w:r w:rsidRPr="00E14121">
        <w:rPr>
          <w:rFonts w:ascii="Narkisim" w:hAnsi="Narkisim"/>
          <w:sz w:val="20"/>
          <w:szCs w:val="20"/>
          <w:rtl/>
        </w:rPr>
        <w:t xml:space="preserve"> [ואף שנדחית הראיה מהברייתא]</w:t>
      </w:r>
      <w:r w:rsidRPr="00E14121">
        <w:rPr>
          <w:rFonts w:ascii="Narkisim" w:hAnsi="Narkisim"/>
          <w:rtl/>
        </w:rPr>
        <w:t>. אך לא ילפי' להתיר בממזרת דהוה לאו השוה בכל, דגיורת לכהן הלאו אינה מפורש בקרא ואין איסורו שווה בכל. ואין להתיר אלא מה שמנו חכמים. וה</w:t>
      </w:r>
      <w:r w:rsidRPr="00E14121">
        <w:rPr>
          <w:rFonts w:ascii="Narkisim" w:hAnsi="Narkisim"/>
          <w:b/>
          <w:bCs/>
          <w:rtl/>
        </w:rPr>
        <w:t>בי"ש</w:t>
      </w:r>
      <w:r w:rsidRPr="00E14121">
        <w:rPr>
          <w:rFonts w:ascii="Narkisim" w:hAnsi="Narkisim"/>
          <w:rtl/>
        </w:rPr>
        <w:t xml:space="preserve"> (ה א) ביאר דלאו דגיורת אינו מפורש בתורה, אלא דילפי' מקרא דיחזקאל דגיורת בכלל זונה</w:t>
      </w:r>
      <w:r w:rsidRPr="00E14121">
        <w:rPr>
          <w:rStyle w:val="ac"/>
          <w:rFonts w:ascii="Narkisim" w:hAnsi="Narkisim"/>
          <w:rtl/>
        </w:rPr>
        <w:footnoteReference w:id="4589"/>
      </w:r>
      <w:r w:rsidRPr="00E14121">
        <w:rPr>
          <w:rFonts w:ascii="Narkisim" w:hAnsi="Narkisim"/>
          <w:rtl/>
        </w:rPr>
        <w:t xml:space="preserve"> [וכדלעיל סא.]. ועפ"ז כת' דפצו"ד כהן לא הותר בגרושה, דהוה איסור המפורש בקרא.</w:t>
      </w:r>
    </w:p>
    <w:p w14:paraId="3B5EB118"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חזו"א</w:t>
      </w:r>
      <w:r w:rsidRPr="00E14121">
        <w:rPr>
          <w:rFonts w:ascii="Narkisim" w:hAnsi="Narkisim"/>
          <w:rtl/>
        </w:rPr>
        <w:t xml:space="preserve"> (ד ה) כת' דאין סברא לחלק בין גיורת לזונה וגרושה</w:t>
      </w:r>
      <w:r w:rsidRPr="00E14121">
        <w:rPr>
          <w:rStyle w:val="ac"/>
          <w:rFonts w:ascii="Narkisim" w:hAnsi="Narkisim"/>
          <w:rtl/>
        </w:rPr>
        <w:footnoteReference w:id="4590"/>
      </w:r>
      <w:r w:rsidRPr="00E14121">
        <w:rPr>
          <w:rFonts w:ascii="Narkisim" w:hAnsi="Narkisim"/>
          <w:rtl/>
        </w:rPr>
        <w:t>, אלא דלענין קדושת כהונה יש סברא להתירו, דכיון דאסור בקהל ל"ש לקדשו בקדושה המיוחדת למעלת הכהונה. אבל במה שהוא נפגם, דהיינו איסורו בקהל, אינו נחשב פגום</w:t>
      </w:r>
      <w:r w:rsidRPr="00E14121">
        <w:rPr>
          <w:rStyle w:val="ac"/>
          <w:rFonts w:ascii="Narkisim" w:hAnsi="Narkisim"/>
          <w:rtl/>
        </w:rPr>
        <w:footnoteReference w:id="4591"/>
      </w:r>
      <w:r w:rsidRPr="00E14121">
        <w:rPr>
          <w:rFonts w:ascii="Narkisim" w:hAnsi="Narkisim"/>
          <w:rtl/>
        </w:rPr>
        <w:t>.</w:t>
      </w:r>
    </w:p>
    <w:p w14:paraId="3ABCAC3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גר"ח</w:t>
      </w:r>
      <w:r w:rsidRPr="00E14121">
        <w:rPr>
          <w:rFonts w:ascii="Narkisim" w:hAnsi="Narkisim"/>
          <w:rtl/>
        </w:rPr>
        <w:t xml:space="preserve"> (סטנסל שה) הביא דהרמב"ם חילק בין פסולי קהל לפסולי כהונה. דפצוע דכא מותר בפסולי כהונה, דההיתר מסתעף מהפסול. אבל האיסור פסולי קהל משום דהוה קהל, ופצו"ד אף דיש עליו איסור הוה בכלל קהל.</w:t>
      </w:r>
      <w:r w:rsidRPr="00E14121">
        <w:rPr>
          <w:rFonts w:ascii="Narkisim" w:hAnsi="Narkisim"/>
          <w:sz w:val="20"/>
          <w:szCs w:val="20"/>
          <w:rtl/>
        </w:rPr>
        <w:t xml:space="preserve"> [וכתב דנפק"מ בזה לענין כאשר זמן, דאילו יעשו בני גרושה מותרין בגרושה, דכיון דחל עליהם פסול, ממילא מותרים. אבל בפסולי קהל, אף אילו חל עליהם פסול מצרי, מ"מ לא פקע מהם קדושת קהל].</w:t>
      </w:r>
    </w:p>
    <w:p w14:paraId="732803FC" w14:textId="77777777" w:rsidR="00F64AED" w:rsidRPr="00E14121" w:rsidRDefault="00F64AED" w:rsidP="00F64AED">
      <w:pPr>
        <w:bidi/>
        <w:rPr>
          <w:rFonts w:ascii="Narkisim" w:hAnsi="Narkisim" w:cs="Narkisim"/>
        </w:rPr>
      </w:pPr>
      <w:r w:rsidRPr="00E14121">
        <w:rPr>
          <w:rFonts w:ascii="Narkisim" w:hAnsi="Narkisim" w:cs="Narkisim"/>
          <w:rtl/>
        </w:rPr>
        <w:t>וב</w:t>
      </w:r>
      <w:r w:rsidRPr="00E14121">
        <w:rPr>
          <w:rFonts w:ascii="Narkisim" w:hAnsi="Narkisim" w:cs="Narkisim"/>
          <w:b/>
          <w:bCs/>
          <w:rtl/>
        </w:rPr>
        <w:t>חי' ר"א מן ההר</w:t>
      </w:r>
      <w:r w:rsidRPr="00E14121">
        <w:rPr>
          <w:rFonts w:ascii="Narkisim" w:hAnsi="Narkisim" w:cs="Narkisim"/>
          <w:rtl/>
        </w:rPr>
        <w:t xml:space="preserve"> כתב דכוונת הרמב"ם דגיורת לכהן אסורה רק מדרבנן</w:t>
      </w:r>
      <w:r w:rsidRPr="00E14121">
        <w:rPr>
          <w:rStyle w:val="ac"/>
          <w:rFonts w:ascii="Narkisim" w:hAnsi="Narkisim" w:cs="Narkisim"/>
          <w:rtl/>
        </w:rPr>
        <w:footnoteReference w:id="4592"/>
      </w:r>
      <w:r w:rsidRPr="00E14121">
        <w:rPr>
          <w:rFonts w:ascii="Narkisim" w:hAnsi="Narkisim" w:cs="Narkisim"/>
          <w:rtl/>
        </w:rPr>
        <w:t xml:space="preserve"> </w:t>
      </w:r>
      <w:r w:rsidRPr="00E14121">
        <w:rPr>
          <w:rFonts w:ascii="Narkisim" w:hAnsi="Narkisim" w:cs="Narkisim"/>
          <w:sz w:val="20"/>
          <w:szCs w:val="20"/>
          <w:rtl/>
        </w:rPr>
        <w:t xml:space="preserve">[וע' רשב"א (לעיל ס:) דהאריך לדחות צד זה]. </w:t>
      </w:r>
      <w:r w:rsidRPr="00E14121">
        <w:rPr>
          <w:rFonts w:ascii="Narkisim" w:hAnsi="Narkisim" w:cs="Narkisim"/>
          <w:rtl/>
        </w:rPr>
        <w:t>וכיון דבעיין לא איפשיטא [לל"ק דרבא], לכן ספק דרבנן לקולא, אבל בממזרת החמיר. וספק ממזר הוה דרבנן ומש"ה הקיל.</w:t>
      </w:r>
    </w:p>
    <w:p w14:paraId="612DCF5C" w14:textId="77777777" w:rsidR="00F64AED" w:rsidRPr="00E14121" w:rsidRDefault="00F64AED" w:rsidP="00F64AED">
      <w:pPr>
        <w:bidi/>
        <w:rPr>
          <w:rFonts w:ascii="Narkisim" w:hAnsi="Narkisim" w:cs="Narkisim"/>
        </w:rPr>
      </w:pPr>
      <w:r w:rsidRPr="00E14121">
        <w:rPr>
          <w:rFonts w:ascii="Narkisim" w:hAnsi="Narkisim" w:cs="Narkisim"/>
          <w:i/>
          <w:iCs/>
          <w:sz w:val="21"/>
          <w:szCs w:val="21"/>
          <w:rtl/>
        </w:rPr>
        <w:t>פצוע דכא בספיקות</w:t>
      </w:r>
      <w:r w:rsidRPr="00E14121">
        <w:rPr>
          <w:rFonts w:ascii="Narkisim" w:hAnsi="Narkisim" w:cs="Narkisim"/>
          <w:rtl/>
        </w:rPr>
        <w:t xml:space="preserve"> – ה</w:t>
      </w:r>
      <w:r w:rsidRPr="00E14121">
        <w:rPr>
          <w:rFonts w:ascii="Narkisim" w:hAnsi="Narkisim" w:cs="Narkisim"/>
          <w:b/>
          <w:bCs/>
          <w:rtl/>
        </w:rPr>
        <w:t>רמב"ם</w:t>
      </w:r>
      <w:r w:rsidRPr="00E14121">
        <w:rPr>
          <w:rFonts w:ascii="Narkisim" w:hAnsi="Narkisim" w:cs="Narkisim"/>
          <w:rtl/>
        </w:rPr>
        <w:t xml:space="preserve"> (הנ"ל) פסק דפצוע דכא מותר בא' מהספיקות. וה</w:t>
      </w:r>
      <w:r w:rsidRPr="00E14121">
        <w:rPr>
          <w:rFonts w:ascii="Narkisim" w:hAnsi="Narkisim" w:cs="Narkisim"/>
          <w:b/>
          <w:bCs/>
          <w:rtl/>
        </w:rPr>
        <w:t>בי"ש</w:t>
      </w:r>
      <w:r w:rsidRPr="00E14121">
        <w:rPr>
          <w:rFonts w:ascii="Narkisim" w:hAnsi="Narkisim" w:cs="Narkisim"/>
          <w:rtl/>
        </w:rPr>
        <w:t xml:space="preserve"> (ה ב) הקשה אמאי הותר בספק ממזר, דכיון דפסק דאסור בממזרת, וקי"ל דספיקות בודאן אסור. וה</w:t>
      </w:r>
      <w:r w:rsidRPr="00E14121">
        <w:rPr>
          <w:rFonts w:ascii="Narkisim" w:hAnsi="Narkisim" w:cs="Narkisim"/>
          <w:b/>
          <w:bCs/>
          <w:rtl/>
        </w:rPr>
        <w:t>בית מאיר</w:t>
      </w:r>
      <w:r w:rsidRPr="00E14121">
        <w:rPr>
          <w:rFonts w:ascii="Narkisim" w:hAnsi="Narkisim" w:cs="Narkisim"/>
          <w:rtl/>
        </w:rPr>
        <w:t xml:space="preserve"> תי' דהכא לא עשו מעלה ביוחסין כיון דלאו בר אולודי</w:t>
      </w:r>
      <w:r w:rsidRPr="00E14121">
        <w:rPr>
          <w:rStyle w:val="ac"/>
          <w:rFonts w:ascii="Narkisim" w:hAnsi="Narkisim" w:cs="Narkisim"/>
          <w:rtl/>
        </w:rPr>
        <w:footnoteReference w:id="4593"/>
      </w:r>
      <w:r w:rsidRPr="00E14121">
        <w:rPr>
          <w:rFonts w:ascii="Narkisim" w:hAnsi="Narkisim" w:cs="Narkisim"/>
          <w:rtl/>
        </w:rPr>
        <w:t>.</w:t>
      </w:r>
    </w:p>
    <w:p w14:paraId="3578DD28" w14:textId="77777777" w:rsidR="00F64AED" w:rsidRPr="00E14121" w:rsidRDefault="00F64AED" w:rsidP="00F64AED">
      <w:pPr>
        <w:pStyle w:val="a7"/>
        <w:bidi/>
        <w:rPr>
          <w:rFonts w:ascii="Narkisim" w:hAnsi="Narkisim"/>
        </w:rPr>
      </w:pPr>
      <w:r w:rsidRPr="00E14121">
        <w:rPr>
          <w:rFonts w:ascii="Narkisim" w:hAnsi="Narkisim"/>
          <w:rtl/>
        </w:rPr>
        <w:t>אך ה</w:t>
      </w:r>
      <w:r w:rsidRPr="00E14121">
        <w:rPr>
          <w:rFonts w:ascii="Narkisim" w:hAnsi="Narkisim"/>
          <w:b/>
          <w:bCs/>
          <w:rtl/>
        </w:rPr>
        <w:t>נוב"י</w:t>
      </w:r>
      <w:r w:rsidRPr="00E14121">
        <w:rPr>
          <w:rFonts w:ascii="Narkisim" w:hAnsi="Narkisim"/>
          <w:rtl/>
        </w:rPr>
        <w:t xml:space="preserve"> (ק' ו) הקשה עוד דהכא ממ"נ אסור, דבין אם היא כשרה אסורה בפצוע דכא, ובין אם היא ממזרת הפצוע דכא אסור בה. ואף לדברי ה</w:t>
      </w:r>
      <w:r w:rsidRPr="00E14121">
        <w:rPr>
          <w:rFonts w:ascii="Narkisim" w:hAnsi="Narkisim"/>
          <w:b/>
          <w:bCs/>
          <w:rtl/>
        </w:rPr>
        <w:t>מהרי"ט</w:t>
      </w:r>
      <w:r w:rsidRPr="00E14121">
        <w:rPr>
          <w:rFonts w:ascii="Narkisim" w:hAnsi="Narkisim"/>
          <w:rtl/>
        </w:rPr>
        <w:t xml:space="preserve"> (יו"ד ב א) דספק ממזר הותר, אבל האיך אפשר להתיר ביאה דממ"נ אסור</w:t>
      </w:r>
      <w:r w:rsidRPr="00E14121">
        <w:rPr>
          <w:rStyle w:val="ac"/>
          <w:rFonts w:ascii="Narkisim" w:hAnsi="Narkisim"/>
          <w:rtl/>
        </w:rPr>
        <w:footnoteReference w:id="4594"/>
      </w:r>
      <w:r w:rsidRPr="00E14121">
        <w:rPr>
          <w:rFonts w:ascii="Narkisim" w:hAnsi="Narkisim"/>
          <w:rtl/>
        </w:rPr>
        <w:t>.</w:t>
      </w:r>
      <w:r w:rsidRPr="00E14121">
        <w:rPr>
          <w:rFonts w:ascii="Narkisim" w:hAnsi="Narkisim"/>
          <w:sz w:val="20"/>
          <w:szCs w:val="20"/>
          <w:rtl/>
        </w:rPr>
        <w:t xml:space="preserve"> וה</w:t>
      </w:r>
      <w:r w:rsidRPr="00E14121">
        <w:rPr>
          <w:rFonts w:ascii="Narkisim" w:hAnsi="Narkisim"/>
          <w:b/>
          <w:bCs/>
          <w:sz w:val="20"/>
          <w:szCs w:val="20"/>
          <w:rtl/>
        </w:rPr>
        <w:t>נוב"י</w:t>
      </w:r>
      <w:r w:rsidRPr="00E14121">
        <w:rPr>
          <w:rFonts w:ascii="Narkisim" w:hAnsi="Narkisim"/>
          <w:sz w:val="20"/>
          <w:szCs w:val="20"/>
          <w:rtl/>
        </w:rPr>
        <w:t xml:space="preserve"> נדחק דכוונת הרמב"ם דהיא אינה אסורה לו, דכיון דאינו יותר מתוקן ממנה לא אסרו משום שתוקי. אבל מ"מ אסור משום איסור פצוע דכא, ונפק"מ כשהיא ג"כ גיורת.</w:t>
      </w:r>
    </w:p>
    <w:p w14:paraId="78C90E1C"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שמעתתא</w:t>
      </w:r>
      <w:r w:rsidRPr="00E14121">
        <w:rPr>
          <w:rFonts w:ascii="Narkisim" w:hAnsi="Narkisim"/>
          <w:rtl/>
        </w:rPr>
        <w:t xml:space="preserve"> (א ו) תי' דכיון דהתורה ספק ממזר בתורת ודאי, א"כ מותר דאם היא ממזרת, הרי ספק ממזר ומותר. ואם היא ישראלית, א"כ התורה התירה ספק איסור פצוע דכא בקהל. והכל בתורת ודאי, ולכן אפי' בתרתי דסתרי ואפי' בבת אחת, דכל איסור הותר בפנ"ע</w:t>
      </w:r>
      <w:r w:rsidRPr="00E14121">
        <w:rPr>
          <w:rStyle w:val="ac"/>
          <w:rFonts w:ascii="Narkisim" w:hAnsi="Narkisim"/>
          <w:rtl/>
        </w:rPr>
        <w:footnoteReference w:id="4595"/>
      </w:r>
      <w:r w:rsidRPr="00E14121">
        <w:rPr>
          <w:rFonts w:ascii="Narkisim" w:hAnsi="Narkisim"/>
          <w:rtl/>
        </w:rPr>
        <w:t xml:space="preserve">. ואף בדרבנן לא אסרו ספק בפצוע דכא, דאסרו ספיקות משום מעלה ביוחסין, ופצוע דכא </w:t>
      </w:r>
      <w:r w:rsidRPr="00E14121">
        <w:rPr>
          <w:rFonts w:ascii="Narkisim" w:hAnsi="Narkisim"/>
          <w:rtl/>
        </w:rPr>
        <w:lastRenderedPageBreak/>
        <w:t xml:space="preserve">הוה פסול הגוף ולא פסול יוחסין. </w:t>
      </w:r>
      <w:r w:rsidRPr="00E14121">
        <w:rPr>
          <w:rFonts w:ascii="Narkisim" w:hAnsi="Narkisim"/>
          <w:sz w:val="20"/>
          <w:szCs w:val="20"/>
          <w:rtl/>
        </w:rPr>
        <w:t>[ומשום ספק איסור ממזרת, הוה איסור מחמתו, ובזה הקילו</w:t>
      </w:r>
      <w:r w:rsidRPr="00E14121">
        <w:rPr>
          <w:rStyle w:val="ac"/>
          <w:rFonts w:ascii="Narkisim" w:hAnsi="Narkisim"/>
          <w:sz w:val="20"/>
          <w:szCs w:val="20"/>
          <w:rtl/>
        </w:rPr>
        <w:footnoteReference w:id="4596"/>
      </w:r>
      <w:r w:rsidRPr="00E14121">
        <w:rPr>
          <w:rFonts w:ascii="Narkisim" w:hAnsi="Narkisim"/>
          <w:sz w:val="20"/>
          <w:szCs w:val="20"/>
          <w:rtl/>
        </w:rPr>
        <w:t>].</w:t>
      </w:r>
    </w:p>
    <w:p w14:paraId="542F4C6B" w14:textId="77777777" w:rsidR="00F64AED" w:rsidRPr="00E14121" w:rsidRDefault="00F64AED" w:rsidP="00F64AED">
      <w:pPr>
        <w:pStyle w:val="2"/>
        <w:bidi/>
        <w:rPr>
          <w:rFonts w:ascii="Narkisim" w:hAnsi="Narkisim"/>
        </w:rPr>
      </w:pPr>
      <w:r w:rsidRPr="00E14121">
        <w:rPr>
          <w:rFonts w:ascii="Narkisim" w:hAnsi="Narkisim"/>
          <w:rtl/>
        </w:rPr>
        <w:t>לא תתחתן – בהיותן עכו"ם או בגירותן</w:t>
      </w:r>
    </w:p>
    <w:p w14:paraId="359395A4" w14:textId="77777777" w:rsidR="00F64AED" w:rsidRPr="00E14121" w:rsidRDefault="00F64AED" w:rsidP="00F64AED">
      <w:pPr>
        <w:bidi/>
        <w:rPr>
          <w:rFonts w:ascii="Narkisim" w:hAnsi="Narkisim" w:cs="Narkisim"/>
        </w:rPr>
      </w:pPr>
      <w:r w:rsidRPr="00E14121">
        <w:rPr>
          <w:rFonts w:ascii="Narkisim" w:hAnsi="Narkisim" w:cs="Narkisim"/>
          <w:u w:val="single"/>
          <w:rtl/>
        </w:rPr>
        <w:t>אמר רבא אטו התם וכו' דילמא מוליד בן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נתינה גזירה וכו', דטעמא משום אולודי. ו</w:t>
      </w:r>
      <w:r w:rsidRPr="00E14121">
        <w:rPr>
          <w:rFonts w:ascii="Narkisim" w:hAnsi="Narkisim" w:cs="Narkisim"/>
          <w:b/>
          <w:bCs/>
          <w:rtl/>
        </w:rPr>
        <w:t>תוס</w:t>
      </w:r>
      <w:r w:rsidRPr="00E14121">
        <w:rPr>
          <w:rFonts w:ascii="Narkisim" w:hAnsi="Narkisim" w:cs="Narkisim"/>
          <w:rtl/>
        </w:rPr>
        <w:t>' (לקמן עט., וכן כתובות כט., ושאר ראשונים) הקשו דמבואר במשנה (מכות יג.) דהבא על הנתינה לוקה, אלמא דהוה דאורייתא. וכתבו דלפ"ז צ"ל דנקט לה אגב ממזרת</w:t>
      </w:r>
      <w:r w:rsidRPr="00E14121">
        <w:rPr>
          <w:rStyle w:val="ac"/>
          <w:rFonts w:ascii="Narkisim" w:hAnsi="Narkisim" w:cs="Narkisim"/>
          <w:rtl/>
        </w:rPr>
        <w:footnoteReference w:id="4597"/>
      </w:r>
      <w:r w:rsidRPr="00E14121">
        <w:rPr>
          <w:rFonts w:ascii="Narkisim" w:hAnsi="Narkisim" w:cs="Narkisim"/>
          <w:rtl/>
        </w:rPr>
        <w:t xml:space="preserve"> [ועי"ש].</w:t>
      </w:r>
    </w:p>
    <w:p w14:paraId="79E07636" w14:textId="77777777" w:rsidR="00F64AED" w:rsidRPr="00E14121" w:rsidRDefault="00F64AED" w:rsidP="00F64AED">
      <w:pPr>
        <w:bidi/>
        <w:rPr>
          <w:rFonts w:ascii="Narkisim" w:hAnsi="Narkisim" w:cs="Narkisim"/>
        </w:rPr>
      </w:pPr>
      <w:r w:rsidRPr="00E14121">
        <w:rPr>
          <w:rFonts w:ascii="Narkisim" w:hAnsi="Narkisim" w:cs="Narkisim"/>
          <w:u w:val="single"/>
          <w:rtl/>
        </w:rPr>
        <w:t>ורבנן הוא דגזרו בהו וכו'</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דדוד</w:t>
      </w:r>
      <w:r w:rsidRPr="00E14121">
        <w:rPr>
          <w:rStyle w:val="ac"/>
          <w:rFonts w:ascii="Narkisim" w:hAnsi="Narkisim" w:cs="Narkisim"/>
          <w:rtl/>
        </w:rPr>
        <w:footnoteReference w:id="4598"/>
      </w:r>
      <w:r w:rsidRPr="00E14121">
        <w:rPr>
          <w:rFonts w:ascii="Narkisim" w:hAnsi="Narkisim" w:cs="Narkisim"/>
          <w:rtl/>
        </w:rPr>
        <w:t xml:space="preserve"> גזר על הנתינים (כדלקמן עט.). פ</w:t>
      </w:r>
      <w:r w:rsidRPr="00E14121">
        <w:rPr>
          <w:rFonts w:ascii="Narkisim" w:hAnsi="Narkisim" w:cs="Narkisim"/>
          <w:b/>
          <w:bCs/>
          <w:rtl/>
        </w:rPr>
        <w:t>רש"י</w:t>
      </w:r>
      <w:r w:rsidRPr="00E14121">
        <w:rPr>
          <w:rFonts w:ascii="Narkisim" w:hAnsi="Narkisim" w:cs="Narkisim"/>
          <w:rtl/>
        </w:rPr>
        <w:t xml:space="preserve"> דגזר דומיא דאיסור דאורייתא</w:t>
      </w:r>
      <w:r w:rsidRPr="00E14121">
        <w:rPr>
          <w:rStyle w:val="ac"/>
          <w:rFonts w:ascii="Narkisim" w:hAnsi="Narkisim" w:cs="Narkisim"/>
          <w:rtl/>
        </w:rPr>
        <w:footnoteReference w:id="4599"/>
      </w:r>
      <w:r w:rsidRPr="00E14121">
        <w:rPr>
          <w:rFonts w:ascii="Narkisim" w:hAnsi="Narkisim" w:cs="Narkisim"/>
          <w:rtl/>
        </w:rPr>
        <w:t xml:space="preserve"> דהטעם משום אולודי.</w:t>
      </w:r>
    </w:p>
    <w:p w14:paraId="3323FA51" w14:textId="77777777" w:rsidR="00F64AED" w:rsidRPr="00E14121" w:rsidRDefault="00F64AED" w:rsidP="00F64AED">
      <w:pPr>
        <w:pStyle w:val="a8"/>
        <w:bidi/>
        <w:rPr>
          <w:rFonts w:ascii="Narkisim" w:hAnsi="Narkisim"/>
        </w:rPr>
      </w:pPr>
      <w:r w:rsidRPr="00E14121">
        <w:rPr>
          <w:rFonts w:ascii="Narkisim" w:hAnsi="Narkisim"/>
          <w:rtl/>
        </w:rPr>
        <w:t xml:space="preserve">ודעת </w:t>
      </w:r>
      <w:r w:rsidRPr="00E14121">
        <w:rPr>
          <w:rFonts w:ascii="Narkisim" w:hAnsi="Narkisim"/>
          <w:b/>
          <w:bCs/>
          <w:rtl/>
        </w:rPr>
        <w:t>תוס</w:t>
      </w:r>
      <w:r w:rsidRPr="00E14121">
        <w:rPr>
          <w:rFonts w:ascii="Narkisim" w:hAnsi="Narkisim"/>
          <w:rtl/>
        </w:rPr>
        <w:t>' (עט.) והרבה ראשונים דרבא חזר בו במסקנא, וקי"ל דנתינים הוה איסור מדאורייתא. אבל דעת ה</w:t>
      </w:r>
      <w:r w:rsidRPr="00E14121">
        <w:rPr>
          <w:rFonts w:ascii="Narkisim" w:hAnsi="Narkisim"/>
          <w:b/>
          <w:bCs/>
          <w:rtl/>
        </w:rPr>
        <w:t>רמב"ם</w:t>
      </w:r>
      <w:r w:rsidRPr="00E14121">
        <w:rPr>
          <w:rFonts w:ascii="Narkisim" w:hAnsi="Narkisim"/>
          <w:rtl/>
        </w:rPr>
        <w:t xml:space="preserve"> וה</w:t>
      </w:r>
      <w:r w:rsidRPr="00E14121">
        <w:rPr>
          <w:rFonts w:ascii="Narkisim" w:hAnsi="Narkisim"/>
          <w:b/>
          <w:bCs/>
          <w:rtl/>
        </w:rPr>
        <w:t>בעה"מ</w:t>
      </w:r>
      <w:r w:rsidRPr="00E14121">
        <w:rPr>
          <w:rFonts w:ascii="Narkisim" w:hAnsi="Narkisim"/>
          <w:rtl/>
        </w:rPr>
        <w:t xml:space="preserve"> דקי"ל כל"ק דרבא דהוה מדרבנן.</w:t>
      </w:r>
    </w:p>
    <w:p w14:paraId="0646C348"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טור"א</w:t>
      </w:r>
      <w:r w:rsidRPr="00E14121">
        <w:rPr>
          <w:rFonts w:ascii="Narkisim" w:hAnsi="Narkisim"/>
          <w:rtl/>
        </w:rPr>
        <w:t xml:space="preserve"> (מגילה יד:) דן האם גזרו מדרבנן בכל ז' אומות אף נתגיירו, או דדוד גזר דוקא על הנתינים דאין ראוי לידבק בהם</w:t>
      </w:r>
      <w:r w:rsidRPr="00E14121">
        <w:rPr>
          <w:rStyle w:val="ac"/>
          <w:rFonts w:ascii="Narkisim" w:hAnsi="Narkisim"/>
          <w:rtl/>
        </w:rPr>
        <w:footnoteReference w:id="4600"/>
      </w:r>
      <w:r w:rsidRPr="00E14121">
        <w:rPr>
          <w:rFonts w:ascii="Narkisim" w:hAnsi="Narkisim"/>
          <w:rtl/>
        </w:rPr>
        <w:t xml:space="preserve"> (כדלקמן עט.).</w:t>
      </w:r>
    </w:p>
    <w:p w14:paraId="63BE4A11" w14:textId="77777777" w:rsidR="00F64AED" w:rsidRPr="00E14121" w:rsidRDefault="00F64AED" w:rsidP="00F64AED">
      <w:pPr>
        <w:pStyle w:val="aa"/>
        <w:bidi/>
        <w:rPr>
          <w:rFonts w:ascii="Narkisim" w:hAnsi="Narkisim"/>
        </w:rPr>
      </w:pPr>
      <w:r w:rsidRPr="00E14121">
        <w:rPr>
          <w:rFonts w:ascii="Narkisim" w:hAnsi="Narkisim"/>
          <w:u w:val="single"/>
          <w:rtl/>
        </w:rPr>
        <w:t>אלא מעתה ממזר וכו' ה"נ דאסיר וכו'.</w:t>
      </w:r>
      <w:r w:rsidRPr="00E14121">
        <w:rPr>
          <w:rFonts w:ascii="Narkisim" w:hAnsi="Narkisim"/>
          <w:rtl/>
        </w:rPr>
        <w:t xml:space="preserve"> צ"ב הדימוי בגמ', דמדרבנן נתינה נחשב פסול קהל, וממזר מותר בכל פסולי קהל. וכה"ק ה</w:t>
      </w:r>
      <w:r w:rsidRPr="00E14121">
        <w:rPr>
          <w:rFonts w:ascii="Narkisim" w:hAnsi="Narkisim"/>
          <w:b/>
          <w:bCs/>
          <w:rtl/>
        </w:rPr>
        <w:t>חזו"א</w:t>
      </w:r>
      <w:r w:rsidRPr="00E14121">
        <w:rPr>
          <w:rFonts w:ascii="Narkisim" w:hAnsi="Narkisim"/>
          <w:rtl/>
        </w:rPr>
        <w:t xml:space="preserve"> (ד ב). וכתב דכוונת הגמ' דכיון דנתינה אסור מטעם הסרה, א"כ מסתבר לאסור אף בממזר, דאסור בעכו"ם.</w:t>
      </w:r>
    </w:p>
    <w:p w14:paraId="162C4EC3" w14:textId="77777777" w:rsidR="00F64AED" w:rsidRPr="00E14121" w:rsidRDefault="00F64AED" w:rsidP="00F64AED">
      <w:pPr>
        <w:pStyle w:val="aa"/>
        <w:bidi/>
        <w:rPr>
          <w:rFonts w:ascii="Narkisim" w:hAnsi="Narkisim"/>
        </w:rPr>
      </w:pPr>
      <w:r w:rsidRPr="00E14121">
        <w:rPr>
          <w:rFonts w:ascii="Narkisim" w:hAnsi="Narkisim"/>
          <w:u w:val="single"/>
          <w:rtl/>
        </w:rPr>
        <w:t>ממזרים ונתינים מותרים לבא זב"ז.</w:t>
      </w:r>
      <w:r w:rsidRPr="00E14121">
        <w:rPr>
          <w:rFonts w:ascii="Narkisim" w:hAnsi="Narkisim"/>
          <w:rtl/>
        </w:rPr>
        <w:t xml:space="preserve"> ואף לס"ד דרבא דנתינים אסורין מדרבנן, מדאורייתא מותרין משום דהוה קהל גרים</w:t>
      </w:r>
      <w:r w:rsidRPr="00E14121">
        <w:rPr>
          <w:rStyle w:val="ac"/>
          <w:rFonts w:ascii="Narkisim" w:hAnsi="Narkisim"/>
          <w:rtl/>
        </w:rPr>
        <w:footnoteReference w:id="4601"/>
      </w:r>
      <w:r w:rsidRPr="00E14121">
        <w:rPr>
          <w:rFonts w:ascii="Narkisim" w:hAnsi="Narkisim"/>
          <w:rtl/>
        </w:rPr>
        <w:t>. [והך משנה לא קאי כר' יהודה].</w:t>
      </w:r>
    </w:p>
    <w:p w14:paraId="3CD6477C" w14:textId="77777777" w:rsidR="00F64AED" w:rsidRPr="00E14121" w:rsidRDefault="00F64AED" w:rsidP="00F64AED">
      <w:pPr>
        <w:bidi/>
        <w:rPr>
          <w:rFonts w:ascii="Narkisim" w:hAnsi="Narkisim" w:cs="Narkisim"/>
        </w:rPr>
      </w:pPr>
      <w:r w:rsidRPr="00E14121">
        <w:rPr>
          <w:rFonts w:ascii="Narkisim" w:hAnsi="Narkisim" w:cs="Narkisim"/>
          <w:u w:val="single"/>
          <w:rtl/>
        </w:rPr>
        <w:t>הדר אמר רבא וכו' בהיותן עכו"ם ל"ל חתנות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וקרא בגרים כתיב. בפשוטו משמע דלא תתחתן תליא בתפיסת קידושין. וה</w:t>
      </w:r>
      <w:r w:rsidRPr="00E14121">
        <w:rPr>
          <w:rFonts w:ascii="Narkisim" w:hAnsi="Narkisim" w:cs="Narkisim"/>
          <w:b/>
          <w:bCs/>
          <w:rtl/>
        </w:rPr>
        <w:t>אחרונים</w:t>
      </w:r>
      <w:r w:rsidRPr="00E14121">
        <w:rPr>
          <w:rFonts w:ascii="Narkisim" w:hAnsi="Narkisim" w:cs="Narkisim"/>
          <w:rtl/>
        </w:rPr>
        <w:t xml:space="preserve"> הקשו דלר' עקיבא אין קידושין תופסין בחייבי לאוין, ואפ"ה נקרא חתנות.</w:t>
      </w:r>
    </w:p>
    <w:p w14:paraId="0381462E" w14:textId="77777777" w:rsidR="00F64AED" w:rsidRPr="00E14121" w:rsidRDefault="00F64AED" w:rsidP="00F64AED">
      <w:pPr>
        <w:bidi/>
        <w:rPr>
          <w:rFonts w:ascii="Narkisim" w:hAnsi="Narkisim" w:cs="Narkisim"/>
        </w:rPr>
      </w:pPr>
      <w:r w:rsidRPr="00E14121">
        <w:rPr>
          <w:rFonts w:ascii="Narkisim" w:hAnsi="Narkisim" w:cs="Narkisim"/>
          <w:u w:val="single"/>
          <w:rtl/>
        </w:rPr>
        <w:t>שם. נתגיירו אית להו חתנות.</w:t>
      </w:r>
      <w:r w:rsidRPr="00E14121">
        <w:rPr>
          <w:rFonts w:ascii="Narkisim" w:hAnsi="Narkisim" w:cs="Narkisim"/>
          <w:rtl/>
        </w:rPr>
        <w:t xml:space="preserve"> ה</w:t>
      </w:r>
      <w:r w:rsidRPr="00E14121">
        <w:rPr>
          <w:rFonts w:ascii="Narkisim" w:hAnsi="Narkisim" w:cs="Narkisim"/>
          <w:b/>
          <w:bCs/>
          <w:rtl/>
        </w:rPr>
        <w:t xml:space="preserve">ב"ח </w:t>
      </w:r>
      <w:r w:rsidRPr="00E14121">
        <w:rPr>
          <w:rFonts w:ascii="Narkisim" w:hAnsi="Narkisim" w:cs="Narkisim"/>
          <w:rtl/>
        </w:rPr>
        <w:t>ו</w:t>
      </w:r>
      <w:r w:rsidRPr="00E14121">
        <w:rPr>
          <w:rFonts w:ascii="Narkisim" w:hAnsi="Narkisim" w:cs="Narkisim"/>
          <w:b/>
          <w:bCs/>
          <w:rtl/>
        </w:rPr>
        <w:t>דרישה</w:t>
      </w:r>
      <w:r w:rsidRPr="00E14121">
        <w:rPr>
          <w:rFonts w:ascii="Narkisim" w:hAnsi="Narkisim" w:cs="Narkisim"/>
          <w:rtl/>
        </w:rPr>
        <w:t xml:space="preserve"> ו</w:t>
      </w:r>
      <w:r w:rsidRPr="00E14121">
        <w:rPr>
          <w:rFonts w:ascii="Narkisim" w:hAnsi="Narkisim" w:cs="Narkisim"/>
          <w:b/>
          <w:bCs/>
          <w:rtl/>
        </w:rPr>
        <w:t>בי"ש</w:t>
      </w:r>
      <w:r w:rsidRPr="00E14121">
        <w:rPr>
          <w:rFonts w:ascii="Narkisim" w:hAnsi="Narkisim" w:cs="Narkisim"/>
          <w:rtl/>
        </w:rPr>
        <w:t xml:space="preserve"> (טז א) כת' דהאיסור בז' אומות בגירותן הוא משום 'לא תתחתן', ומש"ה קידש ולא בעל ג"כ לוקה</w:t>
      </w:r>
      <w:r w:rsidRPr="00E14121">
        <w:rPr>
          <w:rStyle w:val="ac"/>
          <w:rFonts w:ascii="Narkisim" w:hAnsi="Narkisim" w:cs="Narkisim"/>
          <w:rtl/>
        </w:rPr>
        <w:footnoteReference w:id="4602"/>
      </w:r>
      <w:r w:rsidRPr="00E14121">
        <w:rPr>
          <w:rFonts w:ascii="Narkisim" w:hAnsi="Narkisim" w:cs="Narkisim"/>
          <w:rtl/>
        </w:rPr>
        <w:t>. וה</w:t>
      </w:r>
      <w:r w:rsidRPr="00E14121">
        <w:rPr>
          <w:rFonts w:ascii="Narkisim" w:hAnsi="Narkisim" w:cs="Narkisim"/>
          <w:b/>
          <w:bCs/>
          <w:rtl/>
        </w:rPr>
        <w:t>אבנ"מ</w:t>
      </w:r>
      <w:r w:rsidRPr="00E14121">
        <w:rPr>
          <w:rFonts w:ascii="Narkisim" w:hAnsi="Narkisim" w:cs="Narkisim"/>
          <w:rtl/>
        </w:rPr>
        <w:t xml:space="preserve"> (טז ב) הביא דכ"כ ה</w:t>
      </w:r>
      <w:r w:rsidRPr="00E14121">
        <w:rPr>
          <w:rFonts w:ascii="Narkisim" w:hAnsi="Narkisim" w:cs="Narkisim"/>
          <w:b/>
          <w:bCs/>
          <w:rtl/>
        </w:rPr>
        <w:t>יראים</w:t>
      </w:r>
      <w:r w:rsidRPr="00E14121">
        <w:rPr>
          <w:rFonts w:ascii="Narkisim" w:hAnsi="Narkisim" w:cs="Narkisim"/>
          <w:rtl/>
        </w:rPr>
        <w:t>. אבל הביא דה</w:t>
      </w:r>
      <w:r w:rsidRPr="00E14121">
        <w:rPr>
          <w:rFonts w:ascii="Narkisim" w:hAnsi="Narkisim" w:cs="Narkisim"/>
          <w:b/>
          <w:bCs/>
          <w:rtl/>
        </w:rPr>
        <w:t>ריטב"א</w:t>
      </w:r>
      <w:r w:rsidRPr="00E14121">
        <w:rPr>
          <w:rFonts w:ascii="Narkisim" w:hAnsi="Narkisim" w:cs="Narkisim"/>
          <w:rtl/>
        </w:rPr>
        <w:t xml:space="preserve"> (קידושין עח.) כתב דאינו לוקה על קידושין לחוד</w:t>
      </w:r>
      <w:r w:rsidRPr="00E14121">
        <w:rPr>
          <w:rStyle w:val="ac"/>
          <w:rFonts w:ascii="Narkisim" w:hAnsi="Narkisim" w:cs="Narkisim"/>
          <w:rtl/>
        </w:rPr>
        <w:footnoteReference w:id="4603"/>
      </w:r>
      <w:r w:rsidRPr="00E14121">
        <w:rPr>
          <w:rFonts w:ascii="Narkisim" w:hAnsi="Narkisim" w:cs="Narkisim"/>
          <w:rtl/>
        </w:rPr>
        <w:t>, אלא לוקה על הביאה, כיון דיש לה חתנות ותפסי קידושין.</w:t>
      </w:r>
    </w:p>
    <w:p w14:paraId="116DF5EE" w14:textId="77777777" w:rsidR="00F64AED" w:rsidRPr="00E14121" w:rsidRDefault="00F64AED" w:rsidP="00F64AED">
      <w:pPr>
        <w:pStyle w:val="a7"/>
        <w:bidi/>
        <w:rPr>
          <w:rFonts w:ascii="Narkisim" w:hAnsi="Narkisim"/>
        </w:rPr>
      </w:pPr>
      <w:r w:rsidRPr="00E14121">
        <w:rPr>
          <w:rFonts w:ascii="Narkisim" w:hAnsi="Narkisim"/>
          <w:rtl/>
        </w:rPr>
        <w:t>והאבנ"מ הביא דה</w:t>
      </w:r>
      <w:r w:rsidRPr="00E14121">
        <w:rPr>
          <w:rFonts w:ascii="Narkisim" w:hAnsi="Narkisim"/>
          <w:b/>
          <w:bCs/>
          <w:rtl/>
        </w:rPr>
        <w:t>פנ"י</w:t>
      </w:r>
      <w:r w:rsidRPr="00E14121">
        <w:rPr>
          <w:rFonts w:ascii="Narkisim" w:hAnsi="Narkisim"/>
          <w:rtl/>
        </w:rPr>
        <w:t xml:space="preserve"> (כתובות כט.) כתב דאינו לוקה על ביאה לחוד</w:t>
      </w:r>
      <w:r w:rsidRPr="00E14121">
        <w:rPr>
          <w:rStyle w:val="ac"/>
          <w:rFonts w:ascii="Narkisim" w:hAnsi="Narkisim"/>
          <w:rtl/>
        </w:rPr>
        <w:footnoteReference w:id="4604"/>
      </w:r>
      <w:r w:rsidRPr="00E14121">
        <w:rPr>
          <w:rFonts w:ascii="Narkisim" w:hAnsi="Narkisim"/>
          <w:rtl/>
        </w:rPr>
        <w:t xml:space="preserve"> בלא קידושין</w:t>
      </w:r>
      <w:r w:rsidRPr="00E14121">
        <w:rPr>
          <w:rStyle w:val="ac"/>
          <w:rFonts w:ascii="Narkisim" w:hAnsi="Narkisim"/>
          <w:rtl/>
        </w:rPr>
        <w:footnoteReference w:id="4605"/>
      </w:r>
      <w:r w:rsidRPr="00E14121">
        <w:rPr>
          <w:rFonts w:ascii="Narkisim" w:hAnsi="Narkisim"/>
          <w:rtl/>
        </w:rPr>
        <w:t>. והביא דבריטב"א (הנ"ל) מפורש דלוקה. [כיון דראוי לקידושין].</w:t>
      </w:r>
    </w:p>
    <w:p w14:paraId="42806D2C"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(לעיל עט.</w:t>
      </w:r>
      <w:r w:rsidRPr="00E14121">
        <w:rPr>
          <w:rFonts w:ascii="Narkisim" w:hAnsi="Narkisim" w:cs="Narkisim"/>
          <w:rtl/>
        </w:rPr>
        <w:t xml:space="preserve"> </w:t>
      </w:r>
      <w:r w:rsidRPr="00E14121">
        <w:rPr>
          <w:rFonts w:ascii="Narkisim" w:hAnsi="Narkisim" w:cs="Narkisim"/>
          <w:sz w:val="20"/>
          <w:szCs w:val="20"/>
          <w:rtl/>
        </w:rPr>
        <w:t>והרמב"ן ושא"ר שם)</w:t>
      </w:r>
      <w:r w:rsidRPr="00E14121">
        <w:rPr>
          <w:rFonts w:ascii="Narkisim" w:hAnsi="Narkisim" w:cs="Narkisim"/>
          <w:rtl/>
        </w:rPr>
        <w:t xml:space="preserve"> כת' דלמסקנא דרבא נתינים אסורים מדאורייתא, דכל ז' אומות שנתגיירו אסורים. </w:t>
      </w:r>
      <w:r w:rsidRPr="00E14121">
        <w:rPr>
          <w:rFonts w:ascii="Narkisim" w:hAnsi="Narkisim" w:cs="Narkisim"/>
          <w:sz w:val="20"/>
          <w:szCs w:val="20"/>
          <w:rtl/>
        </w:rPr>
        <w:t>וה</w:t>
      </w:r>
      <w:r w:rsidRPr="00E14121">
        <w:rPr>
          <w:rFonts w:ascii="Narkisim" w:hAnsi="Narkisim" w:cs="Narkisim"/>
          <w:b/>
          <w:bCs/>
          <w:sz w:val="20"/>
          <w:szCs w:val="20"/>
          <w:rtl/>
        </w:rPr>
        <w:t>רמב"ן</w:t>
      </w:r>
      <w:r w:rsidRPr="00E14121">
        <w:rPr>
          <w:rFonts w:ascii="Narkisim" w:hAnsi="Narkisim" w:cs="Narkisim"/>
          <w:sz w:val="20"/>
          <w:szCs w:val="20"/>
          <w:rtl/>
        </w:rPr>
        <w:t xml:space="preserve"> (עח: ובמלחמות) חילק דדור ראשון שנתגיירו הוה דאורייתא, והא דנתינים אסורים לדורות הוה דרבנן. ועוד הביא בשם ה</w:t>
      </w:r>
      <w:r w:rsidRPr="00E14121">
        <w:rPr>
          <w:rFonts w:ascii="Narkisim" w:hAnsi="Narkisim" w:cs="Narkisim"/>
          <w:b/>
          <w:bCs/>
          <w:sz w:val="20"/>
          <w:szCs w:val="20"/>
          <w:rtl/>
        </w:rPr>
        <w:t>ראב"ד</w:t>
      </w:r>
      <w:r w:rsidRPr="00E14121">
        <w:rPr>
          <w:rFonts w:ascii="Narkisim" w:hAnsi="Narkisim" w:cs="Narkisim"/>
          <w:sz w:val="20"/>
          <w:szCs w:val="20"/>
          <w:rtl/>
        </w:rPr>
        <w:t xml:space="preserve"> דנתינים אסורים מדאורייתא כל שלא יתגיירו </w:t>
      </w:r>
      <w:r w:rsidRPr="00E14121">
        <w:rPr>
          <w:rFonts w:ascii="Narkisim" w:hAnsi="Narkisim" w:cs="Narkisim"/>
          <w:sz w:val="20"/>
          <w:szCs w:val="20"/>
          <w:rtl/>
        </w:rPr>
        <w:lastRenderedPageBreak/>
        <w:t>שוב, אבל אחרי ששוב יתגיירו אסורין מדרבנן. [ע"ע לקמן עט.].</w:t>
      </w:r>
    </w:p>
    <w:p w14:paraId="53E91649"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בעה"מ</w:t>
      </w:r>
      <w:r w:rsidRPr="00E14121">
        <w:rPr>
          <w:rFonts w:ascii="Narkisim" w:hAnsi="Narkisim"/>
          <w:rtl/>
        </w:rPr>
        <w:t xml:space="preserve"> (כד: בדה"ר) הביא דבגמ' (לקמן עט.) איתא דנתינים משה יהושע ודוד גזרו עליהם, משמע דאין בזה איסור דאורייתא</w:t>
      </w:r>
      <w:r w:rsidRPr="00E14121">
        <w:rPr>
          <w:rStyle w:val="ac"/>
          <w:rFonts w:ascii="Narkisim" w:hAnsi="Narkisim"/>
          <w:rtl/>
        </w:rPr>
        <w:footnoteReference w:id="4606"/>
      </w:r>
      <w:r w:rsidRPr="00E14121">
        <w:rPr>
          <w:rFonts w:ascii="Narkisim" w:hAnsi="Narkisim"/>
          <w:rtl/>
        </w:rPr>
        <w:t>. ומסתייע לל"ק דרבה.</w:t>
      </w:r>
      <w:r w:rsidRPr="00E14121">
        <w:rPr>
          <w:rFonts w:ascii="Narkisim" w:hAnsi="Narkisim"/>
          <w:sz w:val="20"/>
          <w:szCs w:val="20"/>
          <w:rtl/>
        </w:rPr>
        <w:t xml:space="preserve"> ולמסקנא בעיא דפצוע דכא כהן לא איפשיטא, ואסור לכתחילה בגיורת.</w:t>
      </w:r>
    </w:p>
    <w:p w14:paraId="3008DE8A"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(יב כב) פסק דז' אומות שנתגיירו אינן אסורין מה"ת אלא מדרבנן [כל"ק דרבא], ויהושע גזר על הגבעונים וכו'. וכ"פ (שם יב א) דישראל שבעל גויה [מכל האומות] לוקה מה"ת, דאמרי' בגמ' (ע"ז לו., הו' בתוס') דהוה בכלל לא תתחתן.</w:t>
      </w:r>
      <w:r w:rsidRPr="00E14121">
        <w:rPr>
          <w:rFonts w:ascii="Narkisim" w:hAnsi="Narkisim" w:cs="Narkisim"/>
          <w:sz w:val="20"/>
          <w:szCs w:val="20"/>
          <w:rtl/>
        </w:rPr>
        <w:t xml:space="preserve"> וה</w:t>
      </w:r>
      <w:r w:rsidRPr="00E14121">
        <w:rPr>
          <w:rFonts w:ascii="Narkisim" w:hAnsi="Narkisim" w:cs="Narkisim"/>
          <w:b/>
          <w:bCs/>
          <w:sz w:val="20"/>
          <w:szCs w:val="20"/>
          <w:rtl/>
        </w:rPr>
        <w:t>טור</w:t>
      </w:r>
      <w:r w:rsidRPr="00E14121">
        <w:rPr>
          <w:rFonts w:ascii="Narkisim" w:hAnsi="Narkisim" w:cs="Narkisim"/>
          <w:sz w:val="20"/>
          <w:szCs w:val="20"/>
          <w:rtl/>
        </w:rPr>
        <w:t xml:space="preserve"> (טז) חלק דהך קרא קאי בז' אומות [וכדלעיל כג.</w:t>
      </w:r>
      <w:r w:rsidRPr="00E14121">
        <w:rPr>
          <w:rStyle w:val="ac"/>
          <w:rFonts w:ascii="Narkisim" w:hAnsi="Narkisim" w:cs="Narkisim"/>
          <w:sz w:val="20"/>
          <w:szCs w:val="20"/>
          <w:rtl/>
        </w:rPr>
        <w:footnoteReference w:id="4607"/>
      </w:r>
      <w:r w:rsidRPr="00E14121">
        <w:rPr>
          <w:rFonts w:ascii="Narkisim" w:hAnsi="Narkisim" w:cs="Narkisim"/>
          <w:sz w:val="20"/>
          <w:szCs w:val="20"/>
          <w:rtl/>
        </w:rPr>
        <w:t>], ולמסקנת הגמ' קאי בנתגיירו, אבל בגיותן ל"ש דרך חתנות.</w:t>
      </w:r>
    </w:p>
    <w:p w14:paraId="5F4E1CD0"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כס"מ</w:t>
      </w:r>
      <w:r w:rsidRPr="00E14121">
        <w:rPr>
          <w:rFonts w:ascii="Narkisim" w:hAnsi="Narkisim"/>
          <w:rtl/>
        </w:rPr>
        <w:t xml:space="preserve"> תי' דהרמב"ם פסק כר' שמעון דקאי בכל האומות, וסוגיין כרבנן. אבל ה</w:t>
      </w:r>
      <w:r w:rsidRPr="00E14121">
        <w:rPr>
          <w:rFonts w:ascii="Narkisim" w:hAnsi="Narkisim"/>
          <w:b/>
          <w:bCs/>
          <w:rtl/>
        </w:rPr>
        <w:t>גר"א</w:t>
      </w:r>
      <w:r w:rsidRPr="00E14121">
        <w:rPr>
          <w:rFonts w:ascii="Narkisim" w:hAnsi="Narkisim"/>
          <w:rtl/>
        </w:rPr>
        <w:t xml:space="preserve"> (טז ב) כתב דהרמב"ם פסק כסוגיא (קידושין סח:) דאף לרבנן גלי דלא איירי בז' אומות</w:t>
      </w:r>
      <w:r w:rsidRPr="00E14121">
        <w:rPr>
          <w:rStyle w:val="ac"/>
          <w:rFonts w:ascii="Narkisim" w:hAnsi="Narkisim"/>
          <w:rtl/>
        </w:rPr>
        <w:footnoteReference w:id="4608"/>
      </w:r>
      <w:r w:rsidRPr="00E14121">
        <w:rPr>
          <w:rFonts w:ascii="Narkisim" w:hAnsi="Narkisim"/>
          <w:rtl/>
        </w:rPr>
        <w:t>.</w:t>
      </w:r>
    </w:p>
    <w:p w14:paraId="52B438BE"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xml:space="preserve"> נתגיירו אית להו חתנות. ולפ"ז בכל ז' אומות אף שנתגיירו אסורין מדאורייתא. ו</w:t>
      </w:r>
      <w:r w:rsidRPr="00E14121">
        <w:rPr>
          <w:rFonts w:ascii="Narkisim" w:hAnsi="Narkisim"/>
          <w:b/>
          <w:bCs/>
          <w:rtl/>
        </w:rPr>
        <w:t>תוס</w:t>
      </w:r>
      <w:r w:rsidRPr="00E14121">
        <w:rPr>
          <w:rFonts w:ascii="Narkisim" w:hAnsi="Narkisim"/>
          <w:rtl/>
        </w:rPr>
        <w:t>' (מגילה יד: ד"ה דאיגיירה) הקשו היאך יהושע נשא לרחב</w:t>
      </w:r>
      <w:r w:rsidRPr="00E14121">
        <w:rPr>
          <w:rStyle w:val="ac"/>
          <w:rFonts w:ascii="Narkisim" w:hAnsi="Narkisim"/>
          <w:rtl/>
        </w:rPr>
        <w:footnoteReference w:id="4609"/>
      </w:r>
      <w:r w:rsidRPr="00E14121">
        <w:rPr>
          <w:rFonts w:ascii="Narkisim" w:hAnsi="Narkisim"/>
          <w:rtl/>
        </w:rPr>
        <w:t xml:space="preserve">. ותי' דלא היתה מז' אומות, אלא שאר אומות ובאת לגור שם, וכ"כ </w:t>
      </w:r>
      <w:r w:rsidRPr="00E14121">
        <w:rPr>
          <w:rFonts w:ascii="Narkisim" w:hAnsi="Narkisim"/>
          <w:b/>
          <w:bCs/>
          <w:rtl/>
        </w:rPr>
        <w:t>בה"ג</w:t>
      </w:r>
      <w:r w:rsidRPr="00E14121">
        <w:rPr>
          <w:rFonts w:ascii="Narkisim" w:hAnsi="Narkisim"/>
          <w:rtl/>
        </w:rPr>
        <w:t xml:space="preserve">. אבל </w:t>
      </w:r>
      <w:r w:rsidRPr="00E14121">
        <w:rPr>
          <w:rFonts w:ascii="Narkisim" w:hAnsi="Narkisim"/>
          <w:b/>
          <w:bCs/>
          <w:rtl/>
        </w:rPr>
        <w:t>תוס</w:t>
      </w:r>
      <w:r w:rsidRPr="00E14121">
        <w:rPr>
          <w:rFonts w:ascii="Narkisim" w:hAnsi="Narkisim"/>
          <w:rtl/>
        </w:rPr>
        <w:t>' (סוטה לה: ד"ה לרבות) הביאו דבספרי מבואר דהיתה מהכנענים. ותי' דשמא נשאה ע"פ הדיבור.</w:t>
      </w:r>
    </w:p>
    <w:p w14:paraId="66F1C16A"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(מגילה) הביאו </w:t>
      </w:r>
      <w:r w:rsidRPr="00E14121">
        <w:rPr>
          <w:rFonts w:ascii="Narkisim" w:hAnsi="Narkisim"/>
          <w:b/>
          <w:bCs/>
          <w:rtl/>
        </w:rPr>
        <w:t>י"מ</w:t>
      </w:r>
      <w:r w:rsidRPr="00E14121">
        <w:rPr>
          <w:rFonts w:ascii="Narkisim" w:hAnsi="Narkisim"/>
          <w:rtl/>
        </w:rPr>
        <w:t xml:space="preserve"> דלא הוזהרו על לאו דלא תתחתן עד שנכנסו לארץ</w:t>
      </w:r>
      <w:r w:rsidRPr="00E14121">
        <w:rPr>
          <w:rStyle w:val="ac"/>
          <w:rFonts w:ascii="Narkisim" w:hAnsi="Narkisim"/>
          <w:rtl/>
        </w:rPr>
        <w:footnoteReference w:id="4610"/>
      </w:r>
      <w:r w:rsidRPr="00E14121">
        <w:rPr>
          <w:rFonts w:ascii="Narkisim" w:hAnsi="Narkisim"/>
          <w:rtl/>
        </w:rPr>
        <w:t>. ותוס' דחו וזה אינו, דנתינים דימי משה לא הותרו לבא בקהל [וכדלקמן עט.], אף דעדיין לא עברו את הירדן</w:t>
      </w:r>
      <w:r w:rsidRPr="00E14121">
        <w:rPr>
          <w:rStyle w:val="ac"/>
          <w:rFonts w:ascii="Narkisim" w:hAnsi="Narkisim"/>
          <w:rtl/>
        </w:rPr>
        <w:footnoteReference w:id="4611"/>
      </w:r>
      <w:r w:rsidRPr="00E14121">
        <w:rPr>
          <w:rFonts w:ascii="Narkisim" w:hAnsi="Narkisim"/>
          <w:rtl/>
        </w:rPr>
        <w:t>.</w:t>
      </w:r>
    </w:p>
    <w:p w14:paraId="6395EB07" w14:textId="77777777" w:rsidR="00F64AED" w:rsidRPr="00E14121" w:rsidRDefault="00F64AED" w:rsidP="00F64AED">
      <w:pPr>
        <w:bidi/>
        <w:rPr>
          <w:rFonts w:ascii="Narkisim" w:hAnsi="Narkisim" w:cs="Narkisim"/>
        </w:rPr>
      </w:pPr>
      <w:r w:rsidRPr="00E14121">
        <w:rPr>
          <w:rFonts w:ascii="Narkisim" w:hAnsi="Narkisim" w:cs="Narkisim"/>
          <w:u w:val="single"/>
          <w:rtl/>
        </w:rPr>
        <w:t>תוד"ה בהיותן.</w:t>
      </w:r>
      <w:r w:rsidRPr="00E14121">
        <w:rPr>
          <w:rFonts w:ascii="Narkisim" w:hAnsi="Narkisim" w:cs="Narkisim"/>
          <w:rtl/>
        </w:rPr>
        <w:t xml:space="preserve"> והא דפריך וכו' אסיפא דקרא סמיך, דכתיב בתו לא תקח לבנך. ואף לל"ב יש איסור דאורייתא ישראל בעובדת כוכבים, מקרא ד'לא תקח לבנך'. [והוה איסור אחר].</w:t>
      </w:r>
    </w:p>
    <w:p w14:paraId="09665E7D"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גמ'</w:t>
      </w:r>
      <w:r w:rsidRPr="00E14121">
        <w:rPr>
          <w:rFonts w:ascii="Narkisim" w:hAnsi="Narkisim"/>
          <w:rtl/>
        </w:rPr>
        <w:t xml:space="preserve"> (ע"ז לו:) מקשה אמאי הוצרכו לגזור איסור על בנותיהם</w:t>
      </w:r>
      <w:r w:rsidRPr="00E14121">
        <w:rPr>
          <w:rStyle w:val="ac"/>
          <w:rFonts w:ascii="Narkisim" w:hAnsi="Narkisim"/>
          <w:rtl/>
        </w:rPr>
        <w:footnoteReference w:id="4612"/>
      </w:r>
      <w:r w:rsidRPr="00E14121">
        <w:rPr>
          <w:rFonts w:ascii="Narkisim" w:hAnsi="Narkisim"/>
          <w:rtl/>
        </w:rPr>
        <w:t>, הא הוה דאורייתא [מהך קרא]. ותי' דהך קרא בז' אומות, ואיצטריך לשאר אומות. והגמ' מק' דלר' שמעון דרשי' לכל המסירין, אף כל האומות. אלא דאורייתא אישות דרך חתנות</w:t>
      </w:r>
      <w:r w:rsidRPr="00E14121">
        <w:rPr>
          <w:rStyle w:val="ac"/>
          <w:rFonts w:ascii="Narkisim" w:hAnsi="Narkisim"/>
          <w:rtl/>
        </w:rPr>
        <w:footnoteReference w:id="4613"/>
      </w:r>
      <w:r w:rsidRPr="00E14121">
        <w:rPr>
          <w:rFonts w:ascii="Narkisim" w:hAnsi="Narkisim"/>
          <w:rtl/>
        </w:rPr>
        <w:t>, ואיצטריכו לגזור דרך זנות.</w:t>
      </w:r>
    </w:p>
    <w:p w14:paraId="374386F3" w14:textId="77777777" w:rsidR="00F64AED" w:rsidRPr="00E14121" w:rsidRDefault="00F64AED" w:rsidP="00F64AED">
      <w:pPr>
        <w:pStyle w:val="a8"/>
        <w:bidi/>
        <w:rPr>
          <w:rFonts w:ascii="Narkisim" w:hAnsi="Narkisim"/>
        </w:rPr>
      </w:pPr>
      <w:r w:rsidRPr="00E14121">
        <w:rPr>
          <w:rFonts w:ascii="Narkisim" w:hAnsi="Narkisim"/>
          <w:rtl/>
        </w:rPr>
        <w:t>והגמ' מק' דבי"ד של שם גזרו זנות [דכתיב הוציאוה ותשרף]</w:t>
      </w:r>
      <w:r w:rsidRPr="00E14121">
        <w:rPr>
          <w:rStyle w:val="ac"/>
          <w:rFonts w:ascii="Narkisim" w:hAnsi="Narkisim"/>
          <w:rtl/>
        </w:rPr>
        <w:footnoteReference w:id="4614"/>
      </w:r>
      <w:r w:rsidRPr="00E14121">
        <w:rPr>
          <w:rFonts w:ascii="Narkisim" w:hAnsi="Narkisim"/>
          <w:rtl/>
        </w:rPr>
        <w:t>. והגמ' דוחה דהיינו עכו"ם על בת ישראל</w:t>
      </w:r>
      <w:r w:rsidRPr="00E14121">
        <w:rPr>
          <w:rStyle w:val="ac"/>
          <w:rFonts w:ascii="Narkisim" w:hAnsi="Narkisim"/>
          <w:rtl/>
        </w:rPr>
        <w:footnoteReference w:id="4615"/>
      </w:r>
      <w:r w:rsidRPr="00E14121">
        <w:rPr>
          <w:rFonts w:ascii="Narkisim" w:hAnsi="Narkisim"/>
          <w:rtl/>
        </w:rPr>
        <w:t>. ושוב גזרו ישראל על עובדת כוכבים.</w:t>
      </w:r>
    </w:p>
    <w:p w14:paraId="349CF231" w14:textId="77777777" w:rsidR="00F64AED" w:rsidRPr="00E14121" w:rsidRDefault="00F64AED" w:rsidP="00F64AED">
      <w:pPr>
        <w:pStyle w:val="a8"/>
        <w:bidi/>
        <w:rPr>
          <w:rFonts w:ascii="Narkisim" w:hAnsi="Narkisim"/>
        </w:rPr>
      </w:pPr>
      <w:r w:rsidRPr="00E14121">
        <w:rPr>
          <w:rFonts w:ascii="Narkisim" w:hAnsi="Narkisim"/>
          <w:rtl/>
        </w:rPr>
        <w:t>והמשך הגמ' (שם) דבפרהסיא קנאים פוגעים בו</w:t>
      </w:r>
      <w:r w:rsidRPr="00E14121">
        <w:rPr>
          <w:rStyle w:val="ac"/>
          <w:rFonts w:ascii="Narkisim" w:hAnsi="Narkisim"/>
          <w:rtl/>
        </w:rPr>
        <w:footnoteReference w:id="4616"/>
      </w:r>
      <w:r w:rsidRPr="00E14121">
        <w:rPr>
          <w:rFonts w:ascii="Narkisim" w:hAnsi="Narkisim"/>
          <w:rtl/>
        </w:rPr>
        <w:t>, ואיצטריך לגזור בצינעא.</w:t>
      </w:r>
    </w:p>
    <w:p w14:paraId="04041A72" w14:textId="77777777" w:rsidR="00F64AED" w:rsidRPr="00E14121" w:rsidRDefault="00F64AED" w:rsidP="00F64AED">
      <w:pPr>
        <w:pStyle w:val="a8"/>
        <w:bidi/>
        <w:rPr>
          <w:rFonts w:ascii="Narkisim" w:hAnsi="Narkisim"/>
        </w:rPr>
      </w:pPr>
      <w:r w:rsidRPr="00E14121">
        <w:rPr>
          <w:rFonts w:ascii="Narkisim" w:hAnsi="Narkisim"/>
          <w:rtl/>
        </w:rPr>
        <w:lastRenderedPageBreak/>
        <w:t>ו</w:t>
      </w:r>
      <w:r w:rsidRPr="00E14121">
        <w:rPr>
          <w:rFonts w:ascii="Narkisim" w:hAnsi="Narkisim"/>
          <w:b/>
          <w:bCs/>
          <w:rtl/>
        </w:rPr>
        <w:t>תוס</w:t>
      </w:r>
      <w:r w:rsidRPr="00E14121">
        <w:rPr>
          <w:rFonts w:ascii="Narkisim" w:hAnsi="Narkisim"/>
          <w:rtl/>
        </w:rPr>
        <w:t>' (כאן) פי' דקאי אקרא ד'לא תקח'. דלמסקנא ל"ש לא תתחתן, דקאי בגירות. וכן ה</w:t>
      </w:r>
      <w:r w:rsidRPr="00E14121">
        <w:rPr>
          <w:rFonts w:ascii="Narkisim" w:hAnsi="Narkisim"/>
          <w:b/>
          <w:bCs/>
          <w:rtl/>
        </w:rPr>
        <w:t>טור</w:t>
      </w:r>
      <w:r w:rsidRPr="00E14121">
        <w:rPr>
          <w:rFonts w:ascii="Narkisim" w:hAnsi="Narkisim"/>
          <w:rtl/>
        </w:rPr>
        <w:t xml:space="preserve"> (ורמ"א טז א) הביא מסוגיין דהבא על הגויה אינו לוקה משום לא תתחתן</w:t>
      </w:r>
      <w:r w:rsidRPr="00E14121">
        <w:rPr>
          <w:rStyle w:val="ac"/>
          <w:rFonts w:ascii="Narkisim" w:hAnsi="Narkisim"/>
          <w:rtl/>
        </w:rPr>
        <w:footnoteReference w:id="4617"/>
      </w:r>
      <w:r w:rsidRPr="00E14121">
        <w:rPr>
          <w:rFonts w:ascii="Narkisim" w:hAnsi="Narkisim"/>
          <w:rtl/>
        </w:rPr>
        <w:t>.</w:t>
      </w:r>
    </w:p>
    <w:p w14:paraId="2C773652" w14:textId="77777777" w:rsidR="00F64AED" w:rsidRPr="00E14121" w:rsidRDefault="00F64AED" w:rsidP="00F64AED">
      <w:pPr>
        <w:pStyle w:val="a7"/>
        <w:bidi/>
        <w:rPr>
          <w:rFonts w:ascii="Narkisim" w:hAnsi="Narkisim"/>
        </w:rPr>
      </w:pPr>
      <w:r w:rsidRPr="00E14121">
        <w:rPr>
          <w:rFonts w:ascii="Narkisim" w:hAnsi="Narkisim"/>
          <w:rtl/>
        </w:rPr>
        <w:t>ומבואר דאף קרא דלא תתן לבנו, וכי יסיר הוה דוקא דרך חתנות</w:t>
      </w:r>
      <w:r w:rsidRPr="00E14121">
        <w:rPr>
          <w:rStyle w:val="ac"/>
          <w:rFonts w:ascii="Narkisim" w:hAnsi="Narkisim"/>
          <w:rtl/>
        </w:rPr>
        <w:footnoteReference w:id="4618"/>
      </w:r>
      <w:r w:rsidRPr="00E14121">
        <w:rPr>
          <w:rFonts w:ascii="Narkisim" w:hAnsi="Narkisim"/>
          <w:rtl/>
        </w:rPr>
        <w:t>. ואף בהיותן עכו"ם שייך דרך חתנות. [וצ"ע מהא דרבא חזר בו דל"ש חתנות בעכו"ם</w:t>
      </w:r>
      <w:r w:rsidRPr="00E14121">
        <w:rPr>
          <w:rStyle w:val="ac"/>
          <w:rFonts w:ascii="Narkisim" w:hAnsi="Narkisim"/>
          <w:rtl/>
        </w:rPr>
        <w:footnoteReference w:id="4619"/>
      </w:r>
      <w:r w:rsidRPr="00E14121">
        <w:rPr>
          <w:rFonts w:ascii="Narkisim" w:hAnsi="Narkisim"/>
          <w:rtl/>
        </w:rPr>
        <w:t>].</w:t>
      </w:r>
    </w:p>
    <w:p w14:paraId="746BB663"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ריטב"א</w:t>
      </w:r>
      <w:r w:rsidRPr="00E14121">
        <w:rPr>
          <w:rFonts w:ascii="Narkisim" w:hAnsi="Narkisim" w:cs="Narkisim"/>
          <w:rtl/>
        </w:rPr>
        <w:t xml:space="preserve"> (בע"ב) תי' דאף הגמ' בע"ז ס"ל דעיקר קרא דלא תתחתן קאי בגירות [דיש בהם חתנות], אלא דכל שכן שבכלל איסור זה יש לאו בגיותן. [וקרא דלא תתחתן קאי בין בנכרי ובין בגירות</w:t>
      </w:r>
      <w:r w:rsidRPr="00E14121">
        <w:rPr>
          <w:rStyle w:val="ac"/>
          <w:rFonts w:ascii="Narkisim" w:hAnsi="Narkisim" w:cs="Narkisim"/>
          <w:rtl/>
        </w:rPr>
        <w:footnoteReference w:id="4620"/>
      </w:r>
      <w:r w:rsidRPr="00E14121">
        <w:rPr>
          <w:rFonts w:ascii="Narkisim" w:hAnsi="Narkisim" w:cs="Narkisim"/>
          <w:rtl/>
        </w:rPr>
        <w:t>].</w:t>
      </w:r>
    </w:p>
    <w:p w14:paraId="6340E28F" w14:textId="77777777" w:rsidR="00F64AED" w:rsidRPr="00E14121" w:rsidRDefault="00F64AED" w:rsidP="00F64AED">
      <w:pPr>
        <w:pStyle w:val="3"/>
        <w:bidi/>
        <w:rPr>
          <w:rFonts w:ascii="Narkisim" w:hAnsi="Narkisim"/>
        </w:rPr>
      </w:pPr>
      <w:r w:rsidRPr="00E14121">
        <w:rPr>
          <w:rFonts w:ascii="Narkisim" w:hAnsi="Narkisim"/>
          <w:rtl/>
        </w:rPr>
        <w:t>דף עו:</w:t>
      </w:r>
    </w:p>
    <w:p w14:paraId="4B4065AF" w14:textId="77777777" w:rsidR="00F64AED" w:rsidRPr="00E14121" w:rsidRDefault="00F64AED" w:rsidP="00F64AED">
      <w:pPr>
        <w:bidi/>
        <w:rPr>
          <w:rFonts w:ascii="Narkisim" w:hAnsi="Narkisim" w:cs="Narkisim"/>
        </w:rPr>
      </w:pPr>
      <w:r w:rsidRPr="00E14121">
        <w:rPr>
          <w:rFonts w:ascii="Narkisim" w:hAnsi="Narkisim" w:cs="Narkisim"/>
          <w:u w:val="single"/>
          <w:rtl/>
        </w:rPr>
        <w:t>ותיפוק ליה דהא מצרית ראשונה היא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ואפ"ה קרי ליה 'חתנות' [אף דהוה איסור דאורייתא</w:t>
      </w:r>
      <w:r w:rsidRPr="00E14121">
        <w:rPr>
          <w:rStyle w:val="ac"/>
          <w:rFonts w:ascii="Narkisim" w:hAnsi="Narkisim" w:cs="Narkisim"/>
          <w:rtl/>
        </w:rPr>
        <w:footnoteReference w:id="4621"/>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xml:space="preserve"> פי' קו' הגמ' האיך נשאה.</w:t>
      </w:r>
    </w:p>
    <w:p w14:paraId="0089CD5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כת' דקושיית הגמ' דכיון דבכל אופן אסירא</w:t>
      </w:r>
      <w:r w:rsidRPr="00E14121">
        <w:rPr>
          <w:rStyle w:val="ac"/>
          <w:rFonts w:ascii="Narkisim" w:hAnsi="Narkisim"/>
          <w:rtl/>
        </w:rPr>
        <w:footnoteReference w:id="4622"/>
      </w:r>
      <w:r w:rsidRPr="00E14121">
        <w:rPr>
          <w:rFonts w:ascii="Narkisim" w:hAnsi="Narkisim"/>
          <w:rtl/>
        </w:rPr>
        <w:t xml:space="preserve"> מנא ליה שגיירה ומה הועיל תקנתו, אלא כשהיא גויה נשאה. וה</w:t>
      </w:r>
      <w:r w:rsidRPr="00E14121">
        <w:rPr>
          <w:rFonts w:ascii="Narkisim" w:hAnsi="Narkisim"/>
          <w:b/>
          <w:bCs/>
          <w:rtl/>
        </w:rPr>
        <w:t>רשב"א</w:t>
      </w:r>
      <w:r w:rsidRPr="00E14121">
        <w:rPr>
          <w:rFonts w:ascii="Narkisim" w:hAnsi="Narkisim"/>
          <w:rtl/>
        </w:rPr>
        <w:t xml:space="preserve"> הקשה דטובא אהני שאינו מוליד בן לעבודת כוכבים</w:t>
      </w:r>
      <w:r w:rsidRPr="00E14121">
        <w:rPr>
          <w:rStyle w:val="ac"/>
          <w:rFonts w:ascii="Narkisim" w:hAnsi="Narkisim"/>
          <w:rtl/>
        </w:rPr>
        <w:footnoteReference w:id="4623"/>
      </w:r>
      <w:r w:rsidRPr="00E14121">
        <w:rPr>
          <w:rFonts w:ascii="Narkisim" w:hAnsi="Narkisim"/>
          <w:rtl/>
        </w:rPr>
        <w:t>. אלא קושיית הגמ' דלא אהני להתירה לגמרי, ובזה תי' הגמ' דנשאה שלא כתורה.</w:t>
      </w:r>
    </w:p>
    <w:p w14:paraId="4196F8CA"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תו"י</w:t>
      </w:r>
      <w:r w:rsidRPr="00E14121">
        <w:rPr>
          <w:rFonts w:ascii="Narkisim" w:hAnsi="Narkisim" w:cs="Narkisim"/>
          <w:rtl/>
        </w:rPr>
        <w:t xml:space="preserve"> ביאר דכוונת הגמ' בשלמא אי לא גיירה, ונשאה שלמה בנכריות</w:t>
      </w:r>
      <w:r w:rsidRPr="00E14121">
        <w:rPr>
          <w:rStyle w:val="ac"/>
          <w:rFonts w:ascii="Narkisim" w:hAnsi="Narkisim" w:cs="Narkisim"/>
          <w:rtl/>
        </w:rPr>
        <w:footnoteReference w:id="4624"/>
      </w:r>
      <w:r w:rsidRPr="00E14121">
        <w:rPr>
          <w:rFonts w:ascii="Narkisim" w:hAnsi="Narkisim" w:cs="Narkisim"/>
          <w:rtl/>
        </w:rPr>
        <w:t>. ואיסור מצרית הוה דוקא לאחר שנתגיירה</w:t>
      </w:r>
      <w:r w:rsidRPr="00E14121">
        <w:rPr>
          <w:rStyle w:val="ac"/>
          <w:rFonts w:ascii="Narkisim" w:hAnsi="Narkisim" w:cs="Narkisim"/>
          <w:rtl/>
        </w:rPr>
        <w:footnoteReference w:id="4625"/>
      </w:r>
      <w:r w:rsidRPr="00E14121">
        <w:rPr>
          <w:rFonts w:ascii="Narkisim" w:hAnsi="Narkisim" w:cs="Narkisim"/>
          <w:rtl/>
        </w:rPr>
        <w:t xml:space="preserve">. </w:t>
      </w:r>
      <w:r w:rsidRPr="00E14121">
        <w:rPr>
          <w:rFonts w:ascii="Narkisim" w:hAnsi="Narkisim" w:cs="Narkisim"/>
          <w:szCs w:val="20"/>
          <w:rtl/>
        </w:rPr>
        <w:t>ובפשוטו הטעם דהתורה אסרה רק בנתגיירה דשייך אישות, אבל עכו"ם בלא"ה אסורה עליו דרך אישות</w:t>
      </w:r>
      <w:r w:rsidRPr="00E14121">
        <w:rPr>
          <w:rStyle w:val="ac"/>
          <w:rFonts w:ascii="Narkisim" w:hAnsi="Narkisim" w:cs="Narkisim"/>
          <w:szCs w:val="20"/>
          <w:rtl/>
        </w:rPr>
        <w:footnoteReference w:id="4626"/>
      </w:r>
      <w:r w:rsidRPr="00E14121">
        <w:rPr>
          <w:rFonts w:ascii="Narkisim" w:hAnsi="Narkisim" w:cs="Narkisim"/>
          <w:szCs w:val="20"/>
          <w:rtl/>
        </w:rPr>
        <w:t>. א"נ דלא חל 'שם גר מצרי' אלא ע"י דור ראשון בגירות</w:t>
      </w:r>
      <w:r w:rsidRPr="00E14121">
        <w:rPr>
          <w:rStyle w:val="ac"/>
          <w:rFonts w:ascii="Narkisim" w:hAnsi="Narkisim" w:cs="Narkisim"/>
          <w:szCs w:val="20"/>
          <w:rtl/>
        </w:rPr>
        <w:footnoteReference w:id="4627"/>
      </w:r>
      <w:r w:rsidRPr="00E14121">
        <w:rPr>
          <w:rFonts w:ascii="Narkisim" w:hAnsi="Narkisim" w:cs="Narkisim"/>
          <w:rtl/>
        </w:rPr>
        <w:t>.</w:t>
      </w:r>
    </w:p>
    <w:p w14:paraId="57D33F1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תו"י</w:t>
      </w:r>
      <w:r w:rsidRPr="00E14121">
        <w:rPr>
          <w:rFonts w:ascii="Narkisim" w:hAnsi="Narkisim"/>
          <w:rtl/>
        </w:rPr>
        <w:t xml:space="preserve"> ביאר דאין איסור דאורייתא בבא על נכרית בצינעא</w:t>
      </w:r>
      <w:r w:rsidRPr="00E14121">
        <w:rPr>
          <w:rStyle w:val="ac"/>
          <w:rFonts w:ascii="Narkisim" w:hAnsi="Narkisim"/>
          <w:rtl/>
        </w:rPr>
        <w:footnoteReference w:id="4628"/>
      </w:r>
      <w:r w:rsidRPr="00E14121">
        <w:rPr>
          <w:rFonts w:ascii="Narkisim" w:hAnsi="Narkisim"/>
          <w:rtl/>
        </w:rPr>
        <w:t>, ושלא דרך חתנות</w:t>
      </w:r>
      <w:r w:rsidRPr="00E14121">
        <w:rPr>
          <w:rStyle w:val="ac"/>
          <w:rFonts w:ascii="Narkisim" w:hAnsi="Narkisim"/>
          <w:rtl/>
        </w:rPr>
        <w:footnoteReference w:id="4629"/>
      </w:r>
      <w:r w:rsidRPr="00E14121">
        <w:rPr>
          <w:rFonts w:ascii="Narkisim" w:hAnsi="Narkisim"/>
          <w:rtl/>
        </w:rPr>
        <w:t>.</w:t>
      </w:r>
    </w:p>
    <w:p w14:paraId="5E283543"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(סד ו) תמה האיך יחשב מעשה דבת פרעה צינעא, הא היה ידוע לכל</w:t>
      </w:r>
      <w:r w:rsidRPr="00E14121">
        <w:rPr>
          <w:rStyle w:val="ac"/>
          <w:rFonts w:ascii="Narkisim" w:hAnsi="Narkisim"/>
          <w:rtl/>
        </w:rPr>
        <w:footnoteReference w:id="4630"/>
      </w:r>
      <w:r w:rsidRPr="00E14121">
        <w:rPr>
          <w:rFonts w:ascii="Narkisim" w:hAnsi="Narkisim"/>
          <w:rtl/>
        </w:rPr>
        <w:t>, ואמרי' (סנהדרין עד:) דאסתר נחשב פרהסיא</w:t>
      </w:r>
      <w:r w:rsidRPr="00E14121">
        <w:rPr>
          <w:rStyle w:val="ac"/>
          <w:rFonts w:ascii="Narkisim" w:hAnsi="Narkisim"/>
          <w:rtl/>
        </w:rPr>
        <w:footnoteReference w:id="4631"/>
      </w:r>
      <w:r w:rsidRPr="00E14121">
        <w:rPr>
          <w:rFonts w:ascii="Narkisim" w:hAnsi="Narkisim"/>
          <w:rtl/>
        </w:rPr>
        <w:t>.</w:t>
      </w:r>
    </w:p>
    <w:p w14:paraId="4790385C" w14:textId="77777777" w:rsidR="00F64AED" w:rsidRPr="00E14121" w:rsidRDefault="00F64AED" w:rsidP="00F64AED">
      <w:pPr>
        <w:bidi/>
        <w:rPr>
          <w:rFonts w:ascii="Narkisim" w:hAnsi="Narkisim" w:cs="Narkisim"/>
        </w:rPr>
      </w:pPr>
      <w:r w:rsidRPr="00E14121">
        <w:rPr>
          <w:rFonts w:ascii="Narkisim" w:hAnsi="Narkisim" w:cs="Narkisim"/>
          <w:u w:val="single"/>
          <w:rtl/>
        </w:rPr>
        <w:t>אמר רב פפא וכו' בהם דבק שלמה לאהבה וכו' מעלה עליו הכתוב כאילו נתחתן בהם.</w:t>
      </w:r>
      <w:r w:rsidRPr="00E14121">
        <w:rPr>
          <w:rFonts w:ascii="Narkisim" w:hAnsi="Narkisim" w:cs="Narkisim"/>
          <w:rtl/>
        </w:rPr>
        <w:t xml:space="preserve"> משמע דבא ליישב קו' הגמ' (בע"א) דקרי ליה חיתון. ולפ"ז לכאורה למסקנא לא גיירם. אבל </w:t>
      </w:r>
      <w:r w:rsidRPr="00E14121">
        <w:rPr>
          <w:rFonts w:ascii="Narkisim" w:hAnsi="Narkisim" w:cs="Narkisim"/>
          <w:b/>
          <w:bCs/>
          <w:rtl/>
        </w:rPr>
        <w:lastRenderedPageBreak/>
        <w:t>ה"ה</w:t>
      </w:r>
      <w:r w:rsidRPr="00E14121">
        <w:rPr>
          <w:rFonts w:ascii="Narkisim" w:hAnsi="Narkisim" w:cs="Narkisim"/>
          <w:rtl/>
        </w:rPr>
        <w:t xml:space="preserve"> (איסו"ב יג יד) משמע דאף למסקנא גיירה</w:t>
      </w:r>
      <w:r w:rsidRPr="00E14121">
        <w:rPr>
          <w:rStyle w:val="ac"/>
          <w:rFonts w:ascii="Narkisim" w:hAnsi="Narkisim" w:cs="Narkisim"/>
          <w:rtl/>
        </w:rPr>
        <w:footnoteReference w:id="4632"/>
      </w:r>
      <w:r w:rsidRPr="00E14121">
        <w:rPr>
          <w:rFonts w:ascii="Narkisim" w:hAnsi="Narkisim" w:cs="Narkisim"/>
          <w:rtl/>
        </w:rPr>
        <w:t>.</w:t>
      </w:r>
    </w:p>
    <w:p w14:paraId="02CF0648" w14:textId="77777777" w:rsidR="00F64AED" w:rsidRPr="00E14121" w:rsidRDefault="00F64AED" w:rsidP="00F64AED">
      <w:pPr>
        <w:bidi/>
        <w:rPr>
          <w:rFonts w:ascii="Narkisim" w:hAnsi="Narkisim" w:cs="Narkisim"/>
        </w:rPr>
      </w:pPr>
      <w:r w:rsidRPr="00E14121">
        <w:rPr>
          <w:rFonts w:ascii="Narkisim" w:hAnsi="Narkisim" w:cs="Narkisim"/>
          <w:u w:val="single"/>
          <w:rtl/>
        </w:rPr>
        <w:t>שלמה לא נתיב מידי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שהיה מתכוין לזנות. ו</w:t>
      </w:r>
      <w:r w:rsidRPr="00E14121">
        <w:rPr>
          <w:rFonts w:ascii="Narkisim" w:hAnsi="Narkisim" w:cs="Narkisim"/>
          <w:b/>
          <w:bCs/>
          <w:rtl/>
        </w:rPr>
        <w:t>תוס'</w:t>
      </w:r>
      <w:r w:rsidRPr="00E14121">
        <w:rPr>
          <w:rFonts w:ascii="Narkisim" w:hAnsi="Narkisim" w:cs="Narkisim"/>
          <w:rtl/>
        </w:rPr>
        <w:t xml:space="preserve"> פי' דלא היה דרך חתנות</w:t>
      </w:r>
      <w:r w:rsidRPr="00E14121">
        <w:rPr>
          <w:rStyle w:val="ac"/>
          <w:rFonts w:ascii="Narkisim" w:hAnsi="Narkisim" w:cs="Narkisim"/>
          <w:rtl/>
        </w:rPr>
        <w:footnoteReference w:id="4633"/>
      </w:r>
      <w:r w:rsidRPr="00E14121">
        <w:rPr>
          <w:rFonts w:ascii="Narkisim" w:hAnsi="Narkisim" w:cs="Narkisim"/>
          <w:rtl/>
        </w:rPr>
        <w:t>. ולכאורה כוונתם</w:t>
      </w:r>
      <w:r w:rsidRPr="00E14121">
        <w:rPr>
          <w:rStyle w:val="ac"/>
          <w:rFonts w:ascii="Narkisim" w:hAnsi="Narkisim" w:cs="Narkisim"/>
          <w:rtl/>
        </w:rPr>
        <w:footnoteReference w:id="4634"/>
      </w:r>
      <w:r w:rsidRPr="00E14121">
        <w:rPr>
          <w:rFonts w:ascii="Narkisim" w:hAnsi="Narkisim" w:cs="Narkisim"/>
          <w:rtl/>
        </w:rPr>
        <w:t xml:space="preserve"> כדברי ה</w:t>
      </w:r>
      <w:r w:rsidRPr="00E14121">
        <w:rPr>
          <w:rFonts w:ascii="Narkisim" w:hAnsi="Narkisim" w:cs="Narkisim"/>
          <w:b/>
          <w:bCs/>
          <w:rtl/>
        </w:rPr>
        <w:t>תו"י</w:t>
      </w:r>
      <w:r w:rsidRPr="00E14121">
        <w:rPr>
          <w:rFonts w:ascii="Narkisim" w:hAnsi="Narkisim" w:cs="Narkisim"/>
          <w:rtl/>
        </w:rPr>
        <w:t xml:space="preserve"> דכיון דלא גיירה הוה ביאת היתר בצינעא.</w:t>
      </w:r>
    </w:p>
    <w:p w14:paraId="5B309800"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 מדסוי</w:t>
      </w:r>
      <w:r w:rsidRPr="00E14121">
        <w:rPr>
          <w:rFonts w:ascii="Narkisim" w:hAnsi="Narkisim"/>
          <w:rtl/>
        </w:rPr>
        <w:t xml:space="preserve"> כתב דלא בא עליה כלל.</w:t>
      </w:r>
    </w:p>
    <w:p w14:paraId="72441968"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w:t>
      </w:r>
      <w:r w:rsidRPr="00E14121">
        <w:rPr>
          <w:rFonts w:ascii="Narkisim" w:hAnsi="Narkisim"/>
          <w:szCs w:val="20"/>
          <w:rtl/>
        </w:rPr>
        <w:t>(או"ש איסו"ב טו ב, קובה"ע שם)</w:t>
      </w:r>
      <w:r w:rsidRPr="00E14121">
        <w:rPr>
          <w:rFonts w:ascii="Narkisim" w:hAnsi="Narkisim"/>
          <w:rtl/>
        </w:rPr>
        <w:t xml:space="preserve"> כת' דלדעת הרמב"ם אין איסור מצרי דרך זנות, דדעת ה</w:t>
      </w:r>
      <w:r w:rsidRPr="00E14121">
        <w:rPr>
          <w:rFonts w:ascii="Narkisim" w:hAnsi="Narkisim"/>
          <w:b/>
          <w:bCs/>
          <w:rtl/>
        </w:rPr>
        <w:t>רמב"ם</w:t>
      </w:r>
      <w:r w:rsidRPr="00E14121">
        <w:rPr>
          <w:rFonts w:ascii="Narkisim" w:hAnsi="Narkisim"/>
          <w:rtl/>
        </w:rPr>
        <w:t xml:space="preserve"> </w:t>
      </w:r>
      <w:r w:rsidRPr="00E14121">
        <w:rPr>
          <w:rFonts w:ascii="Narkisim" w:hAnsi="Narkisim"/>
          <w:szCs w:val="20"/>
          <w:rtl/>
        </w:rPr>
        <w:t>(איסו"ב טו ב)</w:t>
      </w:r>
      <w:r w:rsidRPr="00E14121">
        <w:rPr>
          <w:rFonts w:ascii="Narkisim" w:hAnsi="Narkisim"/>
          <w:rtl/>
        </w:rPr>
        <w:t xml:space="preserve"> דבכל חייבי לאוין אינו לוקה בביאה בלא קידושין. א"כ ה"נ איירי בלא קידושין [ואיירי שגיירה], והיתה מיוחדת לו כפילגש ולכן מותרת לו</w:t>
      </w:r>
      <w:r w:rsidRPr="00E14121">
        <w:rPr>
          <w:rStyle w:val="ac"/>
          <w:rFonts w:ascii="Narkisim" w:hAnsi="Narkisim"/>
          <w:rtl/>
        </w:rPr>
        <w:footnoteReference w:id="4635"/>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הוסיפו דפילגש מותרת למלך]. </w:t>
      </w:r>
      <w:r w:rsidRPr="00E14121">
        <w:rPr>
          <w:rFonts w:ascii="Narkisim" w:hAnsi="Narkisim"/>
          <w:sz w:val="20"/>
          <w:szCs w:val="20"/>
          <w:rtl/>
        </w:rPr>
        <w:t>וכת' דמכאן מקור לדברי הרמב"ם דאין איסור בלא קידושין, אבל ה</w:t>
      </w:r>
      <w:r w:rsidRPr="00E14121">
        <w:rPr>
          <w:rFonts w:ascii="Narkisim" w:hAnsi="Narkisim"/>
          <w:b/>
          <w:bCs/>
          <w:sz w:val="20"/>
          <w:szCs w:val="20"/>
          <w:rtl/>
        </w:rPr>
        <w:t>מקנה</w:t>
      </w:r>
      <w:r w:rsidRPr="00E14121">
        <w:rPr>
          <w:rFonts w:ascii="Narkisim" w:hAnsi="Narkisim"/>
          <w:sz w:val="20"/>
          <w:szCs w:val="20"/>
          <w:rtl/>
        </w:rPr>
        <w:t xml:space="preserve"> (קידושין נא) כתב דמ"מ יש בזה איסור דאורייתא, אלא דאינו לוקה</w:t>
      </w:r>
      <w:r w:rsidRPr="00E14121">
        <w:rPr>
          <w:rStyle w:val="ac"/>
          <w:rFonts w:ascii="Narkisim" w:hAnsi="Narkisim"/>
          <w:sz w:val="20"/>
          <w:szCs w:val="20"/>
          <w:rtl/>
        </w:rPr>
        <w:footnoteReference w:id="4636"/>
      </w:r>
      <w:r w:rsidRPr="00E14121">
        <w:rPr>
          <w:rFonts w:ascii="Narkisim" w:hAnsi="Narkisim"/>
          <w:sz w:val="20"/>
          <w:szCs w:val="20"/>
          <w:rtl/>
        </w:rPr>
        <w:t>.</w:t>
      </w:r>
    </w:p>
    <w:p w14:paraId="398FA0B8"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רמב"ם</w:t>
      </w:r>
      <w:r w:rsidRPr="00E14121">
        <w:rPr>
          <w:rFonts w:ascii="Narkisim" w:hAnsi="Narkisim" w:cs="Narkisim"/>
          <w:rtl/>
        </w:rPr>
        <w:t xml:space="preserve"> (איסו"ב יג יד) כתב דשלמה גייר את נשותיו שלא ע"פ בי"ד</w:t>
      </w:r>
      <w:r w:rsidRPr="00E14121">
        <w:rPr>
          <w:rStyle w:val="ac"/>
          <w:rFonts w:ascii="Narkisim" w:hAnsi="Narkisim" w:cs="Narkisim"/>
          <w:rtl/>
        </w:rPr>
        <w:footnoteReference w:id="4637"/>
      </w:r>
      <w:r w:rsidRPr="00E14121">
        <w:rPr>
          <w:rFonts w:ascii="Narkisim" w:hAnsi="Narkisim" w:cs="Narkisim"/>
          <w:sz w:val="20"/>
          <w:szCs w:val="20"/>
          <w:rtl/>
        </w:rPr>
        <w:t>,</w:t>
      </w:r>
      <w:r w:rsidRPr="00E14121">
        <w:rPr>
          <w:rFonts w:ascii="Narkisim" w:hAnsi="Narkisim" w:cs="Narkisim"/>
          <w:rtl/>
        </w:rPr>
        <w:t xml:space="preserve"> והכתוב חשבם כאילו הם גויות ובאיסורן עומדים, ועוד שהוכיח סופן על תחילתן</w:t>
      </w:r>
      <w:r w:rsidRPr="00E14121">
        <w:rPr>
          <w:rStyle w:val="ac"/>
          <w:rFonts w:ascii="Narkisim" w:hAnsi="Narkisim" w:cs="Narkisim"/>
          <w:rtl/>
        </w:rPr>
        <w:footnoteReference w:id="4638"/>
      </w:r>
      <w:r w:rsidRPr="00E14121">
        <w:rPr>
          <w:rFonts w:ascii="Narkisim" w:hAnsi="Narkisim" w:cs="Narkisim"/>
          <w:rtl/>
        </w:rPr>
        <w:t xml:space="preserve"> וכו'. ו</w:t>
      </w:r>
      <w:r w:rsidRPr="00E14121">
        <w:rPr>
          <w:rFonts w:ascii="Narkisim" w:hAnsi="Narkisim" w:cs="Narkisim"/>
          <w:b/>
          <w:bCs/>
          <w:rtl/>
        </w:rPr>
        <w:t>ה"ה</w:t>
      </w:r>
      <w:r w:rsidRPr="00E14121">
        <w:rPr>
          <w:rFonts w:ascii="Narkisim" w:hAnsi="Narkisim" w:cs="Narkisim"/>
          <w:rtl/>
        </w:rPr>
        <w:t xml:space="preserve"> הביא מקורו דאמרי' בסוגיין (בע"א) דשלמה גיירה לבת פרעה. </w:t>
      </w:r>
      <w:r w:rsidRPr="00E14121">
        <w:rPr>
          <w:rFonts w:ascii="Narkisim" w:hAnsi="Narkisim" w:cs="Narkisim"/>
          <w:sz w:val="20"/>
          <w:szCs w:val="20"/>
          <w:rtl/>
        </w:rPr>
        <w:t>וה</w:t>
      </w:r>
      <w:r w:rsidRPr="00E14121">
        <w:rPr>
          <w:rFonts w:ascii="Narkisim" w:hAnsi="Narkisim" w:cs="Narkisim"/>
          <w:b/>
          <w:bCs/>
          <w:sz w:val="20"/>
          <w:szCs w:val="20"/>
          <w:rtl/>
        </w:rPr>
        <w:t>לח"מ</w:t>
      </w:r>
      <w:r w:rsidRPr="00E14121">
        <w:rPr>
          <w:rFonts w:ascii="Narkisim" w:hAnsi="Narkisim" w:cs="Narkisim"/>
          <w:sz w:val="20"/>
          <w:szCs w:val="20"/>
          <w:rtl/>
        </w:rPr>
        <w:t xml:space="preserve"> הקשה דמשמע דזהו טעות של שלמה, א"כ מה הגמ' מקשה. ועוה"ק דהרמב"ם נקט הלשון דשלמה נשאם, ודלא כמסקנת סוגיין דלא היה נישואין [וכה"ק ה</w:t>
      </w:r>
      <w:r w:rsidRPr="00E14121">
        <w:rPr>
          <w:rFonts w:ascii="Narkisim" w:hAnsi="Narkisim" w:cs="Narkisim"/>
          <w:b/>
          <w:bCs/>
          <w:sz w:val="20"/>
          <w:szCs w:val="20"/>
          <w:rtl/>
        </w:rPr>
        <w:t>רמ"ך</w:t>
      </w:r>
      <w:r w:rsidRPr="00E14121">
        <w:rPr>
          <w:rFonts w:ascii="Narkisim" w:hAnsi="Narkisim" w:cs="Narkisim"/>
          <w:sz w:val="20"/>
          <w:szCs w:val="20"/>
          <w:rtl/>
        </w:rPr>
        <w:t>].</w:t>
      </w:r>
    </w:p>
    <w:p w14:paraId="56158916" w14:textId="77777777" w:rsidR="00F64AED" w:rsidRPr="00E14121" w:rsidRDefault="00F64AED" w:rsidP="00F64AED">
      <w:pPr>
        <w:pStyle w:val="a7"/>
        <w:bidi/>
        <w:rPr>
          <w:rFonts w:ascii="Narkisim" w:hAnsi="Narkisim"/>
        </w:rPr>
      </w:pPr>
      <w:r w:rsidRPr="00E14121">
        <w:rPr>
          <w:rFonts w:ascii="Narkisim" w:hAnsi="Narkisim"/>
          <w:rtl/>
        </w:rPr>
        <w:t>והלח"מ כתב דבפסוק משמע דבבת פרעה לא היתה טעות, אלא בשאר נשים. דבת פרעה היתה בהיתר כדאמרי' בסוגיין [דלא היה דרך נישואין למסקנא</w:t>
      </w:r>
      <w:r w:rsidRPr="00E14121">
        <w:rPr>
          <w:rStyle w:val="ac"/>
          <w:rFonts w:ascii="Narkisim" w:hAnsi="Narkisim"/>
          <w:rtl/>
        </w:rPr>
        <w:footnoteReference w:id="4639"/>
      </w:r>
      <w:r w:rsidRPr="00E14121">
        <w:rPr>
          <w:rFonts w:ascii="Narkisim" w:hAnsi="Narkisim"/>
          <w:rtl/>
        </w:rPr>
        <w:t>]. [ועי"ש בלח"מ דהאריך].</w:t>
      </w:r>
    </w:p>
    <w:p w14:paraId="1338ED7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או"ש</w:t>
      </w:r>
      <w:r w:rsidRPr="00E14121">
        <w:rPr>
          <w:rFonts w:ascii="Narkisim" w:hAnsi="Narkisim"/>
          <w:rtl/>
        </w:rPr>
        <w:t xml:space="preserve"> (איסו"ב יב י) תי' [לדעת הרמב"ם] די"ל דבת פרעה קבלה ז' מצוות, והיתה גר תושב, וה</w:t>
      </w:r>
      <w:r w:rsidRPr="00E14121">
        <w:rPr>
          <w:rFonts w:ascii="Narkisim" w:hAnsi="Narkisim"/>
          <w:b/>
          <w:bCs/>
          <w:rtl/>
        </w:rPr>
        <w:t>רמב"ם</w:t>
      </w:r>
      <w:r w:rsidRPr="00E14121">
        <w:rPr>
          <w:rFonts w:ascii="Narkisim" w:hAnsi="Narkisim"/>
          <w:rtl/>
        </w:rPr>
        <w:t xml:space="preserve"> (יב ה) פסק דהבא על גר תושב אין קנאים פוגעים, אלא מכין מכות מרדות.</w:t>
      </w:r>
    </w:p>
    <w:p w14:paraId="09FA5A87" w14:textId="77777777" w:rsidR="00F64AED" w:rsidRPr="00E14121" w:rsidRDefault="00F64AED" w:rsidP="00F64AED">
      <w:pPr>
        <w:bidi/>
        <w:rPr>
          <w:rFonts w:ascii="Narkisim" w:hAnsi="Narkisim" w:cs="Narkisim"/>
        </w:rPr>
      </w:pPr>
      <w:r w:rsidRPr="00E14121">
        <w:rPr>
          <w:rFonts w:ascii="Narkisim" w:hAnsi="Narkisim" w:cs="Narkisim"/>
          <w:u w:val="single"/>
          <w:rtl/>
        </w:rPr>
        <w:t>רש"י ד"ה הנך.</w:t>
      </w:r>
      <w:r w:rsidRPr="00E14121">
        <w:rPr>
          <w:rFonts w:ascii="Narkisim" w:hAnsi="Narkisim" w:cs="Narkisim"/>
          <w:rtl/>
        </w:rPr>
        <w:t xml:space="preserve"> מתו וטבעו בימי פרעה, וכי אזהר רחמנא אערב רב</w:t>
      </w:r>
      <w:r w:rsidRPr="00E14121">
        <w:rPr>
          <w:rStyle w:val="ac"/>
          <w:rFonts w:ascii="Narkisim" w:hAnsi="Narkisim" w:cs="Narkisim"/>
          <w:rtl/>
        </w:rPr>
        <w:footnoteReference w:id="4640"/>
      </w:r>
      <w:r w:rsidRPr="00E14121">
        <w:rPr>
          <w:rFonts w:ascii="Narkisim" w:hAnsi="Narkisim" w:cs="Narkisim"/>
          <w:rtl/>
        </w:rPr>
        <w:t>. ו</w:t>
      </w:r>
      <w:r w:rsidRPr="00E14121">
        <w:rPr>
          <w:rFonts w:ascii="Narkisim" w:hAnsi="Narkisim" w:cs="Narkisim"/>
          <w:b/>
          <w:bCs/>
          <w:rtl/>
        </w:rPr>
        <w:t xml:space="preserve">ר"א מן ההר </w:t>
      </w:r>
      <w:r w:rsidRPr="00E14121">
        <w:rPr>
          <w:rFonts w:ascii="Narkisim" w:hAnsi="Narkisim" w:cs="Narkisim"/>
          <w:rtl/>
        </w:rPr>
        <w:t>הק' וכי נטבעו הנשים וטף שנשארו במצרים. וכה"ק ה</w:t>
      </w:r>
      <w:r w:rsidRPr="00E14121">
        <w:rPr>
          <w:rFonts w:ascii="Narkisim" w:hAnsi="Narkisim" w:cs="Narkisim"/>
          <w:b/>
          <w:bCs/>
          <w:rtl/>
        </w:rPr>
        <w:t>ריטב"א</w:t>
      </w:r>
      <w:r w:rsidRPr="00E14121">
        <w:rPr>
          <w:rFonts w:ascii="Narkisim" w:hAnsi="Narkisim" w:cs="Narkisim"/>
          <w:rtl/>
        </w:rPr>
        <w:t xml:space="preserve"> דלא טבעו אלא אותם שיצאו למלחמה אחר ישראל. </w:t>
      </w:r>
      <w:r w:rsidRPr="00E14121">
        <w:rPr>
          <w:rFonts w:ascii="Narkisim" w:hAnsi="Narkisim" w:cs="Narkisim"/>
          <w:sz w:val="20"/>
          <w:szCs w:val="20"/>
          <w:rtl/>
        </w:rPr>
        <w:t>וה</w:t>
      </w:r>
      <w:r w:rsidRPr="00E14121">
        <w:rPr>
          <w:rFonts w:ascii="Narkisim" w:hAnsi="Narkisim" w:cs="Narkisim"/>
          <w:b/>
          <w:bCs/>
          <w:sz w:val="20"/>
          <w:szCs w:val="20"/>
          <w:rtl/>
        </w:rPr>
        <w:t>גר"א</w:t>
      </w:r>
      <w:r w:rsidRPr="00E14121">
        <w:rPr>
          <w:rFonts w:ascii="Narkisim" w:hAnsi="Narkisim" w:cs="Narkisim"/>
          <w:sz w:val="20"/>
          <w:szCs w:val="20"/>
          <w:rtl/>
        </w:rPr>
        <w:t xml:space="preserve"> (ד יח) כתב ליישב דברי רש"י ע"פ ה</w:t>
      </w:r>
      <w:r w:rsidRPr="00E14121">
        <w:rPr>
          <w:rFonts w:ascii="Narkisim" w:hAnsi="Narkisim" w:cs="Narkisim"/>
          <w:b/>
          <w:bCs/>
          <w:sz w:val="20"/>
          <w:szCs w:val="20"/>
          <w:rtl/>
        </w:rPr>
        <w:t>מדרש</w:t>
      </w:r>
      <w:r w:rsidRPr="00E14121">
        <w:rPr>
          <w:rFonts w:ascii="Narkisim" w:hAnsi="Narkisim" w:cs="Narkisim"/>
          <w:sz w:val="20"/>
          <w:szCs w:val="20"/>
          <w:rtl/>
        </w:rPr>
        <w:t xml:space="preserve"> (הו' ב</w:t>
      </w:r>
      <w:r w:rsidRPr="00E14121">
        <w:rPr>
          <w:rFonts w:ascii="Narkisim" w:hAnsi="Narkisim" w:cs="Narkisim"/>
          <w:b/>
          <w:bCs/>
          <w:sz w:val="20"/>
          <w:szCs w:val="20"/>
          <w:rtl/>
        </w:rPr>
        <w:t>רש"י</w:t>
      </w:r>
      <w:r w:rsidRPr="00E14121">
        <w:rPr>
          <w:rFonts w:ascii="Narkisim" w:hAnsi="Narkisim" w:cs="Narkisim"/>
          <w:sz w:val="20"/>
          <w:szCs w:val="20"/>
          <w:rtl/>
        </w:rPr>
        <w:t xml:space="preserve"> עה"ת שמות יד כה) דכמו שאלו לקו בים, כך הנותרים לקו במצרים</w:t>
      </w:r>
      <w:r w:rsidRPr="00E14121">
        <w:rPr>
          <w:rStyle w:val="ac"/>
          <w:rFonts w:ascii="Narkisim" w:hAnsi="Narkisim" w:cs="Narkisim"/>
          <w:sz w:val="20"/>
          <w:szCs w:val="20"/>
          <w:rtl/>
        </w:rPr>
        <w:footnoteReference w:id="4641"/>
      </w:r>
      <w:r w:rsidRPr="00E14121">
        <w:rPr>
          <w:rFonts w:ascii="Narkisim" w:hAnsi="Narkisim" w:cs="Narkisim"/>
          <w:sz w:val="20"/>
          <w:szCs w:val="20"/>
          <w:rtl/>
        </w:rPr>
        <w:t>.</w:t>
      </w:r>
      <w:r w:rsidRPr="00E14121">
        <w:rPr>
          <w:rFonts w:ascii="Narkisim" w:hAnsi="Narkisim" w:cs="Narkisim"/>
          <w:rtl/>
        </w:rPr>
        <w:t xml:space="preserve"> וה</w:t>
      </w:r>
      <w:r w:rsidRPr="00E14121">
        <w:rPr>
          <w:rFonts w:ascii="Narkisim" w:hAnsi="Narkisim" w:cs="Narkisim"/>
          <w:b/>
          <w:bCs/>
          <w:rtl/>
        </w:rPr>
        <w:t>ריטב"א</w:t>
      </w:r>
      <w:r w:rsidRPr="00E14121">
        <w:rPr>
          <w:rFonts w:ascii="Narkisim" w:hAnsi="Narkisim" w:cs="Narkisim"/>
          <w:rtl/>
        </w:rPr>
        <w:t xml:space="preserve"> כת' והנכון דלרבותא נקטי, אפי' תימא דמתו או הלכו להם כל המצריים שנשארו, והנהו אחריני נינהו</w:t>
      </w:r>
      <w:r w:rsidRPr="00E14121">
        <w:rPr>
          <w:rStyle w:val="ac"/>
          <w:rFonts w:ascii="Narkisim" w:hAnsi="Narkisim" w:cs="Narkisim"/>
          <w:rtl/>
        </w:rPr>
        <w:footnoteReference w:id="4642"/>
      </w:r>
      <w:r w:rsidRPr="00E14121">
        <w:rPr>
          <w:rFonts w:ascii="Narkisim" w:hAnsi="Narkisim" w:cs="Narkisim"/>
          <w:rtl/>
        </w:rPr>
        <w:t>.</w:t>
      </w:r>
    </w:p>
    <w:p w14:paraId="646FA949"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הביא </w:t>
      </w:r>
      <w:r w:rsidRPr="00E14121">
        <w:rPr>
          <w:rFonts w:ascii="Narkisim" w:hAnsi="Narkisim"/>
          <w:b/>
          <w:bCs/>
          <w:rtl/>
        </w:rPr>
        <w:t>י"מ</w:t>
      </w:r>
      <w:r w:rsidRPr="00E14121">
        <w:rPr>
          <w:rFonts w:ascii="Narkisim" w:hAnsi="Narkisim"/>
          <w:rtl/>
        </w:rPr>
        <w:t xml:space="preserve"> דרובם טבעו, ובאו מאומות אחרים להתיישב שם. וה</w:t>
      </w:r>
      <w:r w:rsidRPr="00E14121">
        <w:rPr>
          <w:rFonts w:ascii="Narkisim" w:hAnsi="Narkisim"/>
          <w:b/>
          <w:bCs/>
          <w:rtl/>
        </w:rPr>
        <w:t>ריטב"א</w:t>
      </w:r>
      <w:r w:rsidRPr="00E14121">
        <w:rPr>
          <w:rFonts w:ascii="Narkisim" w:hAnsi="Narkisim"/>
          <w:rtl/>
        </w:rPr>
        <w:t xml:space="preserve"> חלק דכל קבוע כמחצה על מחצה [וע' בסמוך].</w:t>
      </w:r>
    </w:p>
    <w:p w14:paraId="2ABE30DC" w14:textId="77777777" w:rsidR="00F64AED" w:rsidRPr="00E14121" w:rsidRDefault="00F64AED" w:rsidP="00F64AED">
      <w:pPr>
        <w:bidi/>
        <w:rPr>
          <w:rFonts w:ascii="Narkisim" w:hAnsi="Narkisim" w:cs="Narkisim"/>
        </w:rPr>
      </w:pPr>
      <w:r w:rsidRPr="00E14121">
        <w:rPr>
          <w:rFonts w:ascii="Narkisim" w:hAnsi="Narkisim" w:cs="Narkisim"/>
          <w:u w:val="single"/>
          <w:rtl/>
        </w:rPr>
        <w:t>תוד"ה מנימין.</w:t>
      </w:r>
      <w:r w:rsidRPr="00E14121">
        <w:rPr>
          <w:rFonts w:ascii="Narkisim" w:hAnsi="Narkisim" w:cs="Narkisim"/>
          <w:rtl/>
        </w:rPr>
        <w:t xml:space="preserve"> ובסוטה (ט.) פ' בקו' וכו' מנימין טעית וכו'. וכ"פ ה</w:t>
      </w:r>
      <w:r w:rsidRPr="00E14121">
        <w:rPr>
          <w:rFonts w:ascii="Narkisim" w:hAnsi="Narkisim" w:cs="Narkisim"/>
          <w:b/>
          <w:bCs/>
          <w:rtl/>
        </w:rPr>
        <w:t>רמב"ם</w:t>
      </w:r>
      <w:r w:rsidRPr="00E14121">
        <w:rPr>
          <w:rFonts w:ascii="Narkisim" w:hAnsi="Narkisim" w:cs="Narkisim"/>
          <w:rtl/>
        </w:rPr>
        <w:t xml:space="preserve"> (איסו"ב יב כה) דאחרי שבלבל סנחריב, כל הפורש להתגייר חזקתו שפורש מהרוב</w:t>
      </w:r>
      <w:r w:rsidRPr="00E14121">
        <w:rPr>
          <w:rStyle w:val="ac"/>
          <w:rFonts w:ascii="Narkisim" w:hAnsi="Narkisim" w:cs="Narkisim"/>
          <w:rtl/>
        </w:rPr>
        <w:footnoteReference w:id="4643"/>
      </w:r>
      <w:r w:rsidRPr="00E14121">
        <w:rPr>
          <w:rFonts w:ascii="Narkisim" w:hAnsi="Narkisim" w:cs="Narkisim"/>
          <w:rtl/>
        </w:rPr>
        <w:t>. וב</w:t>
      </w:r>
      <w:r w:rsidRPr="00E14121">
        <w:rPr>
          <w:rFonts w:ascii="Narkisim" w:hAnsi="Narkisim" w:cs="Narkisim"/>
          <w:b/>
          <w:bCs/>
          <w:rtl/>
        </w:rPr>
        <w:t>שו"ע</w:t>
      </w:r>
      <w:r w:rsidRPr="00E14121">
        <w:rPr>
          <w:rFonts w:ascii="Narkisim" w:hAnsi="Narkisim" w:cs="Narkisim"/>
          <w:rtl/>
        </w:rPr>
        <w:t xml:space="preserve"> (ד ב) הו' ב' </w:t>
      </w:r>
      <w:r w:rsidRPr="00E14121">
        <w:rPr>
          <w:rFonts w:ascii="Narkisim" w:hAnsi="Narkisim" w:cs="Narkisim"/>
          <w:rtl/>
        </w:rPr>
        <w:lastRenderedPageBreak/>
        <w:t>דיעות גבי מצריים, דלדעת בה"ג חזרו למקומן.</w:t>
      </w:r>
    </w:p>
    <w:p w14:paraId="5D652B8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(תקסא בקומץ למנחה) הקשה אמאי לא אמרי' דכל קבוע, אי אזלא לגביו (כדאמרי' בכתובות טו. ונזיר יב.), ודייק מה</w:t>
      </w:r>
      <w:r w:rsidRPr="00E14121">
        <w:rPr>
          <w:rFonts w:ascii="Narkisim" w:hAnsi="Narkisim"/>
          <w:b/>
          <w:bCs/>
          <w:rtl/>
        </w:rPr>
        <w:t>רמב"ם</w:t>
      </w:r>
      <w:r w:rsidRPr="00E14121">
        <w:rPr>
          <w:rFonts w:ascii="Narkisim" w:hAnsi="Narkisim"/>
          <w:rtl/>
        </w:rPr>
        <w:t xml:space="preserve"> דתיכף שעלה מהטבילה הוה פריש. והמנח"ח הקשה הרי פריש לפנינו [ויש לו דין קבוע</w:t>
      </w:r>
      <w:r w:rsidRPr="00E14121">
        <w:rPr>
          <w:rStyle w:val="ac"/>
          <w:rFonts w:ascii="Narkisim" w:hAnsi="Narkisim"/>
          <w:rtl/>
        </w:rPr>
        <w:footnoteReference w:id="4644"/>
      </w:r>
      <w:r w:rsidRPr="00E14121">
        <w:rPr>
          <w:rFonts w:ascii="Narkisim" w:hAnsi="Narkisim"/>
          <w:rtl/>
        </w:rPr>
        <w:t>]. ויש שפי' דבשעה שבא לפנינו להתגייר נחשב שכבר נתעורר הספק [ואף לפני שנתגייר, דנתעורר נידון משום דאסור לקבל גר עמוני], ובזה לא נחשב אזיל איהו לגבה.</w:t>
      </w:r>
    </w:p>
    <w:p w14:paraId="0D42EDED"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(בסו"ד) כתב דבשעה שסנחריב בלבל, פרשו קצת לכל ארץ, ואינם בקביעותם</w:t>
      </w:r>
      <w:r w:rsidRPr="00E14121">
        <w:rPr>
          <w:rStyle w:val="ac"/>
          <w:rFonts w:ascii="Narkisim" w:hAnsi="Narkisim"/>
          <w:rtl/>
        </w:rPr>
        <w:footnoteReference w:id="4645"/>
      </w:r>
      <w:r w:rsidRPr="00E14121">
        <w:rPr>
          <w:rFonts w:ascii="Narkisim" w:hAnsi="Narkisim"/>
          <w:rtl/>
        </w:rPr>
        <w:t>.</w:t>
      </w:r>
    </w:p>
    <w:p w14:paraId="5BAE4C73"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שעה"מ</w:t>
      </w:r>
      <w:r w:rsidRPr="00E14121">
        <w:rPr>
          <w:rFonts w:ascii="Narkisim" w:hAnsi="Narkisim" w:cs="Narkisim"/>
          <w:sz w:val="20"/>
          <w:szCs w:val="20"/>
          <w:rtl/>
        </w:rPr>
        <w:t xml:space="preserve"> (איסו"ב טו כא) </w:t>
      </w:r>
      <w:r w:rsidRPr="00E14121">
        <w:rPr>
          <w:rFonts w:ascii="Narkisim" w:hAnsi="Narkisim" w:cs="Narkisim"/>
          <w:rtl/>
        </w:rPr>
        <w:t xml:space="preserve">דייק מדברי הרמב"ם דבעי להיתר כל דפריש, ומשמע דאי לאו הכי היה אסור מספק </w:t>
      </w:r>
      <w:r w:rsidRPr="00E14121">
        <w:rPr>
          <w:rFonts w:ascii="Narkisim" w:hAnsi="Narkisim" w:cs="Narkisim"/>
          <w:sz w:val="20"/>
          <w:szCs w:val="20"/>
          <w:rtl/>
        </w:rPr>
        <w:t>[ולא אמרי' בשאר פסולי קהל, דקהל ודאי ולא ספק</w:t>
      </w:r>
      <w:r w:rsidRPr="00E14121">
        <w:rPr>
          <w:rStyle w:val="ac"/>
          <w:rFonts w:ascii="Narkisim" w:hAnsi="Narkisim" w:cs="Narkisim"/>
          <w:sz w:val="20"/>
          <w:szCs w:val="20"/>
          <w:rtl/>
        </w:rPr>
        <w:footnoteReference w:id="4646"/>
      </w:r>
      <w:r w:rsidRPr="00E14121">
        <w:rPr>
          <w:rFonts w:ascii="Narkisim" w:hAnsi="Narkisim" w:cs="Narkisim"/>
          <w:sz w:val="20"/>
          <w:szCs w:val="20"/>
          <w:rtl/>
        </w:rPr>
        <w:t>].</w:t>
      </w:r>
      <w:r w:rsidRPr="00E14121">
        <w:rPr>
          <w:rFonts w:ascii="Narkisim" w:hAnsi="Narkisim" w:cs="Narkisim"/>
          <w:rtl/>
        </w:rPr>
        <w:t xml:space="preserve"> ודחה דאפשר דמדרבנן צריך היתר רוב </w:t>
      </w:r>
      <w:r w:rsidRPr="00E14121">
        <w:rPr>
          <w:rFonts w:ascii="Narkisim" w:hAnsi="Narkisim" w:cs="Narkisim"/>
          <w:sz w:val="20"/>
          <w:szCs w:val="20"/>
          <w:rtl/>
        </w:rPr>
        <w:t xml:space="preserve">[והביא מדברי </w:t>
      </w:r>
      <w:r w:rsidRPr="00E14121">
        <w:rPr>
          <w:rFonts w:ascii="Narkisim" w:hAnsi="Narkisim" w:cs="Narkisim"/>
          <w:b/>
          <w:bCs/>
          <w:sz w:val="20"/>
          <w:szCs w:val="20"/>
          <w:rtl/>
        </w:rPr>
        <w:t>תוס</w:t>
      </w:r>
      <w:r w:rsidRPr="00E14121">
        <w:rPr>
          <w:rFonts w:ascii="Narkisim" w:hAnsi="Narkisim" w:cs="Narkisim"/>
          <w:sz w:val="20"/>
          <w:szCs w:val="20"/>
          <w:rtl/>
        </w:rPr>
        <w:t>' (עח.) דספק מותר עי"ש]</w:t>
      </w:r>
      <w:r w:rsidRPr="00E14121">
        <w:rPr>
          <w:rFonts w:ascii="Narkisim" w:hAnsi="Narkisim" w:cs="Narkisim"/>
          <w:rtl/>
        </w:rPr>
        <w:t>. [וע"ע ב</w:t>
      </w:r>
      <w:r w:rsidRPr="00E14121">
        <w:rPr>
          <w:rFonts w:ascii="Narkisim" w:hAnsi="Narkisim" w:cs="Narkisim"/>
          <w:b/>
          <w:bCs/>
          <w:rtl/>
        </w:rPr>
        <w:t>אבנ"מ</w:t>
      </w:r>
      <w:r w:rsidRPr="00E14121">
        <w:rPr>
          <w:rFonts w:ascii="Narkisim" w:hAnsi="Narkisim" w:cs="Narkisim"/>
          <w:rtl/>
        </w:rPr>
        <w:t xml:space="preserve"> (ד כו) שדן האם בשאר פסולי קהל אמרי' ודאי ולא ספק</w:t>
      </w:r>
      <w:r w:rsidRPr="00E14121">
        <w:rPr>
          <w:rStyle w:val="ac"/>
          <w:rFonts w:ascii="Narkisim" w:hAnsi="Narkisim" w:cs="Narkisim"/>
          <w:rtl/>
        </w:rPr>
        <w:footnoteReference w:id="4647"/>
      </w:r>
      <w:r w:rsidRPr="00E14121">
        <w:rPr>
          <w:rFonts w:ascii="Narkisim" w:hAnsi="Narkisim" w:cs="Narkisim"/>
          <w:rtl/>
        </w:rPr>
        <w:t>].</w:t>
      </w:r>
    </w:p>
    <w:p w14:paraId="48B7D030" w14:textId="77777777" w:rsidR="00F64AED" w:rsidRPr="00E14121" w:rsidRDefault="00F64AED" w:rsidP="00F64AED">
      <w:pPr>
        <w:pStyle w:val="2"/>
        <w:bidi/>
        <w:rPr>
          <w:rFonts w:ascii="Narkisim" w:hAnsi="Narkisim"/>
        </w:rPr>
      </w:pPr>
      <w:r w:rsidRPr="00E14121">
        <w:rPr>
          <w:rFonts w:ascii="Narkisim" w:hAnsi="Narkisim"/>
          <w:rtl/>
        </w:rPr>
        <w:t>עמוני</w:t>
      </w:r>
    </w:p>
    <w:p w14:paraId="4EBA974E" w14:textId="77777777" w:rsidR="00F64AED" w:rsidRPr="00E14121" w:rsidRDefault="00F64AED" w:rsidP="00F64AED">
      <w:pPr>
        <w:bidi/>
        <w:rPr>
          <w:rFonts w:ascii="Narkisim" w:hAnsi="Narkisim" w:cs="Narkisim"/>
        </w:rPr>
      </w:pPr>
      <w:r w:rsidRPr="00E14121">
        <w:rPr>
          <w:rFonts w:ascii="Narkisim" w:hAnsi="Narkisim" w:cs="Narkisim"/>
          <w:u w:val="single"/>
          <w:rtl/>
        </w:rPr>
        <w:t>עמוני ומואבי, אבל נקבותיהם מותרות מיד.</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חקרו בגדר ההיתר, האם התורה אסרה רק נישואין של איש עמוני, ולא אשה. או דהתורה התירה דאין שם 'עם עמוני' על האשה. [וע"ע לקמן עח.].</w:t>
      </w:r>
    </w:p>
    <w:p w14:paraId="674B6B51"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 xml:space="preserve">קובה"ע </w:t>
      </w:r>
      <w:r w:rsidRPr="00E14121">
        <w:rPr>
          <w:rFonts w:ascii="Narkisim" w:hAnsi="Narkisim"/>
          <w:rtl/>
        </w:rPr>
        <w:t>(מד ד) חקר בעכו"ם הבא על עמונית [גיורת], האם הבן נחשב עמוני ופסול, דכיון דאין לו אב שייך למשפחת העמוני</w:t>
      </w:r>
      <w:r w:rsidRPr="00E14121">
        <w:rPr>
          <w:rStyle w:val="ac"/>
          <w:rFonts w:ascii="Narkisim" w:hAnsi="Narkisim"/>
          <w:rtl/>
        </w:rPr>
        <w:footnoteReference w:id="4648"/>
      </w:r>
      <w:r w:rsidRPr="00E14121">
        <w:rPr>
          <w:rFonts w:ascii="Narkisim" w:hAnsi="Narkisim"/>
          <w:rtl/>
        </w:rPr>
        <w:t>. ואף דאמו כשירה בקהל, מ"מ הבן פסול. אבל ב</w:t>
      </w:r>
      <w:r w:rsidRPr="00E14121">
        <w:rPr>
          <w:rFonts w:ascii="Narkisim" w:hAnsi="Narkisim"/>
          <w:b/>
          <w:bCs/>
          <w:rtl/>
        </w:rPr>
        <w:t>חי' ר' שמואל</w:t>
      </w:r>
      <w:r w:rsidRPr="00E14121">
        <w:rPr>
          <w:rFonts w:ascii="Narkisim" w:hAnsi="Narkisim"/>
          <w:rtl/>
        </w:rPr>
        <w:t xml:space="preserve"> </w:t>
      </w:r>
      <w:r w:rsidRPr="00E14121">
        <w:rPr>
          <w:rFonts w:ascii="Narkisim" w:hAnsi="Narkisim"/>
          <w:sz w:val="20"/>
          <w:szCs w:val="20"/>
          <w:rtl/>
        </w:rPr>
        <w:t>(קו' פסולי קהל א)</w:t>
      </w:r>
      <w:r w:rsidRPr="00E14121">
        <w:rPr>
          <w:rFonts w:ascii="Narkisim" w:hAnsi="Narkisim"/>
          <w:rtl/>
        </w:rPr>
        <w:t xml:space="preserve"> חלק דעמונית שנתגיירה פקע ממנה 'שם עמוני'.</w:t>
      </w:r>
    </w:p>
    <w:p w14:paraId="5360F66A" w14:textId="77777777" w:rsidR="00F64AED" w:rsidRPr="00E14121" w:rsidRDefault="00F64AED" w:rsidP="00F64AED">
      <w:pPr>
        <w:pStyle w:val="aa"/>
        <w:bidi/>
        <w:rPr>
          <w:rFonts w:ascii="Narkisim" w:hAnsi="Narkisim"/>
        </w:rPr>
      </w:pPr>
      <w:r w:rsidRPr="00E14121">
        <w:rPr>
          <w:rFonts w:ascii="Narkisim" w:hAnsi="Narkisim"/>
          <w:u w:val="single"/>
          <w:rtl/>
        </w:rPr>
        <w:t>מצרי ואדומי אינן אסורין אלא עד</w:t>
      </w:r>
      <w:r w:rsidRPr="00E14121">
        <w:rPr>
          <w:rStyle w:val="ac"/>
          <w:rFonts w:ascii="Narkisim" w:hAnsi="Narkisim"/>
          <w:u w:val="single"/>
          <w:rtl/>
        </w:rPr>
        <w:footnoteReference w:id="4649"/>
      </w:r>
      <w:r w:rsidRPr="00E14121">
        <w:rPr>
          <w:rFonts w:ascii="Narkisim" w:hAnsi="Narkisim"/>
          <w:u w:val="single"/>
          <w:rtl/>
        </w:rPr>
        <w:t xml:space="preserve"> ג' דורות.</w:t>
      </w:r>
      <w:r w:rsidRPr="00E14121">
        <w:rPr>
          <w:rFonts w:ascii="Narkisim" w:hAnsi="Narkisim"/>
          <w:rtl/>
        </w:rPr>
        <w:t xml:space="preserve"> כדכתיב בקרא דור שלישי יבא. בפשוטו הוה גילוי בעלמא שמותרין. אבל ה</w:t>
      </w:r>
      <w:r w:rsidRPr="00E14121">
        <w:rPr>
          <w:rFonts w:ascii="Narkisim" w:hAnsi="Narkisim"/>
          <w:b/>
          <w:bCs/>
          <w:rtl/>
        </w:rPr>
        <w:t>חינוך</w:t>
      </w:r>
      <w:r w:rsidRPr="00E14121">
        <w:rPr>
          <w:rFonts w:ascii="Narkisim" w:hAnsi="Narkisim"/>
          <w:rtl/>
        </w:rPr>
        <w:t xml:space="preserve"> (תקסג ותקסד) כת' שיש מצווה שלא להרחיק דור שלישי, והמסכים בדעתו שלא להתחתן עמהם מצד שהצר לישראל ומחמת שנאה עובר באיסור זה</w:t>
      </w:r>
      <w:r w:rsidRPr="00E14121">
        <w:rPr>
          <w:rStyle w:val="ac"/>
          <w:rFonts w:ascii="Narkisim" w:hAnsi="Narkisim"/>
          <w:rtl/>
        </w:rPr>
        <w:footnoteReference w:id="4650"/>
      </w:r>
      <w:r w:rsidRPr="00E14121">
        <w:rPr>
          <w:rFonts w:ascii="Narkisim" w:hAnsi="Narkisim"/>
          <w:rtl/>
        </w:rPr>
        <w:t>, וכתב ואל תשמע דמצווין להתחתן במצרי שלישי, שהרי משפחות מיוחסות לא ירדו ממעלתן להתחתן במצרי, אלא שנאסר להרחיקם בטענת איסור.</w:t>
      </w:r>
    </w:p>
    <w:p w14:paraId="49DA213D" w14:textId="77777777" w:rsidR="00F64AED" w:rsidRPr="00E14121" w:rsidRDefault="00F64AED" w:rsidP="00F64AED">
      <w:pPr>
        <w:pStyle w:val="aa"/>
        <w:bidi/>
        <w:rPr>
          <w:rFonts w:ascii="Narkisim" w:hAnsi="Narkisim"/>
        </w:rPr>
      </w:pPr>
      <w:r w:rsidRPr="00E14121">
        <w:rPr>
          <w:rFonts w:ascii="Narkisim" w:hAnsi="Narkisim"/>
          <w:u w:val="single"/>
          <w:rtl/>
        </w:rPr>
        <w:t>ממזר, מום זר</w:t>
      </w:r>
      <w:r w:rsidRPr="00E14121">
        <w:rPr>
          <w:rStyle w:val="ac"/>
          <w:rFonts w:ascii="Narkisim" w:hAnsi="Narkisim"/>
          <w:u w:val="single"/>
          <w:rtl/>
        </w:rPr>
        <w:footnoteReference w:id="4651"/>
      </w:r>
      <w:r w:rsidRPr="00E14121">
        <w:rPr>
          <w:rFonts w:ascii="Narkisim" w:hAnsi="Narkisim"/>
          <w:u w:val="single"/>
          <w:rtl/>
        </w:rPr>
        <w:t>.</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כל שיש בו מום זרות. [וה</w:t>
      </w:r>
      <w:r w:rsidRPr="00E14121">
        <w:rPr>
          <w:rFonts w:ascii="Narkisim" w:hAnsi="Narkisim"/>
          <w:b/>
          <w:bCs/>
          <w:rtl/>
        </w:rPr>
        <w:t>ריטב"א</w:t>
      </w:r>
      <w:r w:rsidRPr="00E14121">
        <w:rPr>
          <w:rFonts w:ascii="Narkisim" w:hAnsi="Narkisim"/>
          <w:rtl/>
        </w:rPr>
        <w:t xml:space="preserve"> פי' דנבעלה אמו למי שהוא זר אצלה]. וב</w:t>
      </w:r>
      <w:r w:rsidRPr="00E14121">
        <w:rPr>
          <w:rFonts w:ascii="Narkisim" w:hAnsi="Narkisim"/>
          <w:b/>
          <w:bCs/>
          <w:rtl/>
        </w:rPr>
        <w:t>חי' ר"א מן ההר</w:t>
      </w:r>
      <w:r w:rsidRPr="00E14121">
        <w:rPr>
          <w:rFonts w:ascii="Narkisim" w:hAnsi="Narkisim"/>
          <w:rtl/>
        </w:rPr>
        <w:t xml:space="preserve"> כתב כל שיש בו מום, זר הוא. [משמע דהוה ריבוי לאסור אף נקיבות</w:t>
      </w:r>
      <w:r w:rsidRPr="00E14121">
        <w:rPr>
          <w:rStyle w:val="ac"/>
          <w:rFonts w:ascii="Narkisim" w:hAnsi="Narkisim"/>
          <w:rtl/>
        </w:rPr>
        <w:footnoteReference w:id="4652"/>
      </w:r>
      <w:r w:rsidRPr="00E14121">
        <w:rPr>
          <w:rFonts w:ascii="Narkisim" w:hAnsi="Narkisim"/>
          <w:rtl/>
        </w:rPr>
        <w:t>].</w:t>
      </w:r>
    </w:p>
    <w:p w14:paraId="503A0E1B" w14:textId="77777777" w:rsidR="00F64AED" w:rsidRPr="00E14121" w:rsidRDefault="00F64AED" w:rsidP="00F64AED">
      <w:pPr>
        <w:bidi/>
        <w:rPr>
          <w:rFonts w:ascii="Narkisim" w:hAnsi="Narkisim" w:cs="Narkisim"/>
        </w:rPr>
      </w:pPr>
      <w:r w:rsidRPr="00E14121">
        <w:rPr>
          <w:rFonts w:ascii="Narkisim" w:hAnsi="Narkisim" w:cs="Narkisim"/>
          <w:u w:val="single"/>
          <w:rtl/>
        </w:rPr>
        <w:t>איש דרכו לקדם.</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(והריטב"א) הק' דדוד ממואב קאתי, ובמואב כתוב חטא שלהם (דברים כג ה) אשר שכר עליך את בלעם, ולא משום שלא קדמו. </w:t>
      </w:r>
      <w:r w:rsidRPr="00E14121">
        <w:rPr>
          <w:rFonts w:ascii="Narkisim" w:hAnsi="Narkisim" w:cs="Narkisim"/>
          <w:sz w:val="20"/>
          <w:szCs w:val="20"/>
          <w:rtl/>
        </w:rPr>
        <w:t>[והמקרא לצדדים קתני, שהרי המואבים קדמו בלחם ומים</w:t>
      </w:r>
      <w:r w:rsidRPr="00E14121">
        <w:rPr>
          <w:rStyle w:val="ac"/>
          <w:rFonts w:ascii="Narkisim" w:hAnsi="Narkisim" w:cs="Narkisim"/>
          <w:sz w:val="20"/>
          <w:szCs w:val="20"/>
          <w:rtl/>
        </w:rPr>
        <w:footnoteReference w:id="4653"/>
      </w:r>
      <w:r w:rsidRPr="00E14121">
        <w:rPr>
          <w:rFonts w:ascii="Narkisim" w:hAnsi="Narkisim" w:cs="Narkisim"/>
          <w:sz w:val="20"/>
          <w:szCs w:val="20"/>
          <w:rtl/>
        </w:rPr>
        <w:t>, וכ"כ ה</w:t>
      </w:r>
      <w:r w:rsidRPr="00E14121">
        <w:rPr>
          <w:rFonts w:ascii="Narkisim" w:hAnsi="Narkisim" w:cs="Narkisim"/>
          <w:b/>
          <w:bCs/>
          <w:sz w:val="20"/>
          <w:szCs w:val="20"/>
          <w:rtl/>
        </w:rPr>
        <w:t xml:space="preserve">רמב"ן </w:t>
      </w:r>
      <w:r w:rsidRPr="00E14121">
        <w:rPr>
          <w:rFonts w:ascii="Narkisim" w:hAnsi="Narkisim" w:cs="Narkisim"/>
          <w:sz w:val="20"/>
          <w:szCs w:val="20"/>
          <w:rtl/>
        </w:rPr>
        <w:t>עה"ת שם</w:t>
      </w:r>
      <w:r w:rsidRPr="00E14121">
        <w:rPr>
          <w:rStyle w:val="ac"/>
          <w:rFonts w:ascii="Narkisim" w:hAnsi="Narkisim" w:cs="Narkisim"/>
          <w:sz w:val="20"/>
          <w:szCs w:val="20"/>
          <w:rtl/>
        </w:rPr>
        <w:footnoteReference w:id="4654"/>
      </w:r>
      <w:r w:rsidRPr="00E14121">
        <w:rPr>
          <w:rFonts w:ascii="Narkisim" w:hAnsi="Narkisim" w:cs="Narkisim"/>
          <w:sz w:val="20"/>
          <w:szCs w:val="20"/>
          <w:rtl/>
        </w:rPr>
        <w:t>].</w:t>
      </w:r>
      <w:r w:rsidRPr="00E14121">
        <w:rPr>
          <w:rFonts w:ascii="Narkisim" w:hAnsi="Narkisim" w:cs="Narkisim"/>
          <w:rtl/>
        </w:rPr>
        <w:t xml:space="preserve"> וי"ל דה"ק איש דרכו לשכור (וכדאיתא במדרש רות), וחדא מינייהו נקט</w:t>
      </w:r>
      <w:r w:rsidRPr="00E14121">
        <w:rPr>
          <w:rStyle w:val="ac"/>
          <w:rFonts w:ascii="Narkisim" w:hAnsi="Narkisim" w:cs="Narkisim"/>
          <w:rtl/>
        </w:rPr>
        <w:footnoteReference w:id="4655"/>
      </w:r>
      <w:r w:rsidRPr="00E14121">
        <w:rPr>
          <w:rFonts w:ascii="Narkisim" w:hAnsi="Narkisim" w:cs="Narkisim"/>
          <w:rtl/>
        </w:rPr>
        <w:t>.</w:t>
      </w:r>
    </w:p>
    <w:p w14:paraId="5E3BFFB1" w14:textId="77777777" w:rsidR="00F64AED" w:rsidRPr="00E14121" w:rsidRDefault="00F64AED" w:rsidP="00F64AED">
      <w:pPr>
        <w:pStyle w:val="a7"/>
        <w:bidi/>
        <w:rPr>
          <w:rFonts w:ascii="Narkisim" w:hAnsi="Narkisim"/>
        </w:rPr>
      </w:pPr>
      <w:r w:rsidRPr="00E14121">
        <w:rPr>
          <w:rFonts w:ascii="Narkisim" w:hAnsi="Narkisim"/>
          <w:rtl/>
        </w:rPr>
        <w:t>אך הק' דא"כ מה קאמר היה להם לקדם נשים לקראת נשים, וזה לא שייך בשכירות. וי"ל דכיון דעמון ומואב כי הדדי נינהו ואיכתוב בחדא, אם איתא דבעמונים נקבותיהן אסורות אף במואבים כן.</w:t>
      </w:r>
    </w:p>
    <w:p w14:paraId="3ECD19FE" w14:textId="77777777" w:rsidR="00F64AED" w:rsidRPr="00E14121" w:rsidRDefault="00F64AED" w:rsidP="00F64AED">
      <w:pPr>
        <w:pStyle w:val="aa"/>
        <w:bidi/>
        <w:rPr>
          <w:rFonts w:ascii="Narkisim" w:hAnsi="Narkisim"/>
        </w:rPr>
      </w:pPr>
      <w:r w:rsidRPr="00E14121">
        <w:rPr>
          <w:rFonts w:ascii="Narkisim" w:hAnsi="Narkisim"/>
          <w:rtl/>
        </w:rPr>
        <w:lastRenderedPageBreak/>
        <w:t>ה</w:t>
      </w:r>
      <w:r w:rsidRPr="00E14121">
        <w:rPr>
          <w:rFonts w:ascii="Narkisim" w:hAnsi="Narkisim"/>
          <w:b/>
          <w:bCs/>
          <w:rtl/>
        </w:rPr>
        <w:t>חינוך</w:t>
      </w:r>
      <w:r w:rsidRPr="00E14121">
        <w:rPr>
          <w:rFonts w:ascii="Narkisim" w:hAnsi="Narkisim"/>
          <w:rtl/>
        </w:rPr>
        <w:t xml:space="preserve"> (תקסב) הביא מצווה שלא לקרוא בשלום עמונים ומואבים. וה</w:t>
      </w:r>
      <w:r w:rsidRPr="00E14121">
        <w:rPr>
          <w:rFonts w:ascii="Narkisim" w:hAnsi="Narkisim"/>
          <w:b/>
          <w:bCs/>
          <w:rtl/>
        </w:rPr>
        <w:t xml:space="preserve">מנח"ח </w:t>
      </w:r>
      <w:r w:rsidRPr="00E14121">
        <w:rPr>
          <w:rFonts w:ascii="Narkisim" w:hAnsi="Narkisim"/>
          <w:rtl/>
        </w:rPr>
        <w:t>(ב) כתב דמשמע דמצווה זו קאי אפי' כשנתגיירו. וכתב דמשמע דבאיסור זה אף נקיבות הוה בכלל, ולא אזלי' בתר טעמא דקרא דאין אשה דרכה לקדם</w:t>
      </w:r>
      <w:r w:rsidRPr="00E14121">
        <w:rPr>
          <w:rStyle w:val="ac"/>
          <w:rFonts w:ascii="Narkisim" w:hAnsi="Narkisim"/>
          <w:rtl/>
        </w:rPr>
        <w:footnoteReference w:id="4656"/>
      </w:r>
      <w:r w:rsidRPr="00E14121">
        <w:rPr>
          <w:rFonts w:ascii="Narkisim" w:hAnsi="Narkisim"/>
          <w:rtl/>
        </w:rPr>
        <w:t>.</w:t>
      </w:r>
    </w:p>
    <w:p w14:paraId="5D6B064E"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דנו האם עמונית נתמעטה מאיסור זו</w:t>
      </w:r>
      <w:r w:rsidRPr="00E14121">
        <w:rPr>
          <w:rStyle w:val="ac"/>
          <w:rFonts w:ascii="Narkisim" w:hAnsi="Narkisim"/>
          <w:rtl/>
        </w:rPr>
        <w:footnoteReference w:id="4657"/>
      </w:r>
      <w:r w:rsidRPr="00E14121">
        <w:rPr>
          <w:rFonts w:ascii="Narkisim" w:hAnsi="Narkisim"/>
          <w:rtl/>
        </w:rPr>
        <w:t>.</w:t>
      </w:r>
    </w:p>
    <w:p w14:paraId="6DDDC0CA" w14:textId="77777777" w:rsidR="00F64AED" w:rsidRPr="00E14121" w:rsidRDefault="00F64AED" w:rsidP="00F64AED">
      <w:pPr>
        <w:pStyle w:val="3"/>
        <w:bidi/>
        <w:rPr>
          <w:rFonts w:ascii="Narkisim" w:hAnsi="Narkisim"/>
        </w:rPr>
      </w:pPr>
      <w:r w:rsidRPr="00E14121">
        <w:rPr>
          <w:rFonts w:ascii="Narkisim" w:hAnsi="Narkisim"/>
          <w:rtl/>
        </w:rPr>
        <w:t>דף עז.</w:t>
      </w:r>
    </w:p>
    <w:p w14:paraId="6F39F925" w14:textId="77777777" w:rsidR="00F64AED" w:rsidRPr="00E14121" w:rsidRDefault="00F64AED" w:rsidP="00F64AED">
      <w:pPr>
        <w:bidi/>
        <w:rPr>
          <w:rFonts w:ascii="Narkisim" w:hAnsi="Narkisim" w:cs="Narkisim"/>
        </w:rPr>
      </w:pPr>
      <w:r w:rsidRPr="00E14121">
        <w:rPr>
          <w:rFonts w:ascii="Narkisim" w:hAnsi="Narkisim" w:cs="Narkisim"/>
          <w:u w:val="single"/>
          <w:rtl/>
        </w:rPr>
        <w:t>אקשי להו דואג וכו' בעי לאכרוזי עליה וכו'.</w:t>
      </w:r>
      <w:r w:rsidRPr="00E14121">
        <w:rPr>
          <w:rFonts w:ascii="Narkisim" w:hAnsi="Narkisim" w:cs="Narkisim"/>
          <w:rtl/>
        </w:rPr>
        <w:t xml:space="preserve"> ה</w:t>
      </w:r>
      <w:r w:rsidRPr="00E14121">
        <w:rPr>
          <w:rFonts w:ascii="Narkisim" w:hAnsi="Narkisim" w:cs="Narkisim"/>
          <w:b/>
          <w:bCs/>
          <w:rtl/>
        </w:rPr>
        <w:t>מהרש"א</w:t>
      </w:r>
      <w:r w:rsidRPr="00E14121">
        <w:rPr>
          <w:rFonts w:ascii="Narkisim" w:hAnsi="Narkisim" w:cs="Narkisim"/>
          <w:rtl/>
        </w:rPr>
        <w:t xml:space="preserve"> ח"א הקשה אמאי לא הביאו מהא דאבצן הוא בועז [שהיה שופט את ישראל] נשא את רות ברבים</w:t>
      </w:r>
      <w:r w:rsidRPr="00E14121">
        <w:rPr>
          <w:rStyle w:val="ac"/>
          <w:rFonts w:ascii="Narkisim" w:hAnsi="Narkisim" w:cs="Narkisim"/>
          <w:rtl/>
        </w:rPr>
        <w:footnoteReference w:id="4658"/>
      </w:r>
      <w:r w:rsidRPr="00E14121">
        <w:rPr>
          <w:rFonts w:ascii="Narkisim" w:hAnsi="Narkisim" w:cs="Narkisim"/>
          <w:rtl/>
        </w:rPr>
        <w:t xml:space="preserve">, ולא חשש לאיסור עמונית. </w:t>
      </w:r>
      <w:r w:rsidRPr="00E14121">
        <w:rPr>
          <w:rFonts w:ascii="Narkisim" w:hAnsi="Narkisim" w:cs="Narkisim"/>
          <w:sz w:val="20"/>
          <w:szCs w:val="20"/>
          <w:rtl/>
        </w:rPr>
        <w:t>[ואף שהגואל חשש בזה, דאמר (רות ד ו) פן אשחית את נחלתי</w:t>
      </w:r>
      <w:r w:rsidRPr="00E14121">
        <w:rPr>
          <w:rStyle w:val="ac"/>
          <w:rFonts w:ascii="Narkisim" w:hAnsi="Narkisim" w:cs="Narkisim"/>
          <w:sz w:val="20"/>
          <w:szCs w:val="20"/>
          <w:rtl/>
        </w:rPr>
        <w:footnoteReference w:id="4659"/>
      </w:r>
      <w:r w:rsidRPr="00E14121">
        <w:rPr>
          <w:rFonts w:ascii="Narkisim" w:hAnsi="Narkisim" w:cs="Narkisim"/>
          <w:sz w:val="20"/>
          <w:szCs w:val="20"/>
          <w:rtl/>
        </w:rPr>
        <w:t>].</w:t>
      </w:r>
      <w:r w:rsidRPr="00E14121">
        <w:rPr>
          <w:rFonts w:ascii="Narkisim" w:hAnsi="Narkisim" w:cs="Narkisim"/>
          <w:rtl/>
        </w:rPr>
        <w:t xml:space="preserve"> ותי' דכיון דהיה בזה ענין יבום י"ל דהותר ביאה ראשונה דעשה דוחה ל"ת, ועדיין לא גזרו ביאה ראשונה אטו ביאה שניה</w:t>
      </w:r>
      <w:r w:rsidRPr="00E14121">
        <w:rPr>
          <w:rStyle w:val="ac"/>
          <w:rFonts w:ascii="Narkisim" w:hAnsi="Narkisim" w:cs="Narkisim"/>
          <w:rtl/>
        </w:rPr>
        <w:footnoteReference w:id="4660"/>
      </w:r>
      <w:r w:rsidRPr="00E14121">
        <w:rPr>
          <w:rFonts w:ascii="Narkisim" w:hAnsi="Narkisim" w:cs="Narkisim"/>
          <w:rtl/>
        </w:rPr>
        <w:t xml:space="preserve">. </w:t>
      </w:r>
      <w:r w:rsidRPr="00E14121">
        <w:rPr>
          <w:rFonts w:ascii="Narkisim" w:hAnsi="Narkisim" w:cs="Narkisim"/>
          <w:sz w:val="20"/>
          <w:szCs w:val="20"/>
          <w:rtl/>
        </w:rPr>
        <w:t>[וה</w:t>
      </w:r>
      <w:r w:rsidRPr="00E14121">
        <w:rPr>
          <w:rFonts w:ascii="Narkisim" w:hAnsi="Narkisim" w:cs="Narkisim"/>
          <w:b/>
          <w:bCs/>
          <w:sz w:val="20"/>
          <w:szCs w:val="20"/>
          <w:rtl/>
        </w:rPr>
        <w:t>אחרונים</w:t>
      </w:r>
      <w:r w:rsidRPr="00E14121">
        <w:rPr>
          <w:rFonts w:ascii="Narkisim" w:hAnsi="Narkisim" w:cs="Narkisim"/>
          <w:sz w:val="20"/>
          <w:szCs w:val="20"/>
          <w:rtl/>
        </w:rPr>
        <w:t xml:space="preserve"> תמהו דליכא מצוות יבום דלא היה אחיו. ואף דמתקיים ענין יבום בשאר קרובים, מ"מ אין בזה מצוות עשה שידחה לא תעשה</w:t>
      </w:r>
      <w:r w:rsidRPr="00E14121">
        <w:rPr>
          <w:rStyle w:val="ac"/>
          <w:rFonts w:ascii="Narkisim" w:hAnsi="Narkisim" w:cs="Narkisim"/>
          <w:sz w:val="20"/>
          <w:szCs w:val="20"/>
          <w:rtl/>
        </w:rPr>
        <w:footnoteReference w:id="4661"/>
      </w:r>
      <w:r w:rsidRPr="00E14121">
        <w:rPr>
          <w:rFonts w:ascii="Narkisim" w:hAnsi="Narkisim" w:cs="Narkisim"/>
          <w:sz w:val="20"/>
          <w:szCs w:val="20"/>
          <w:rtl/>
        </w:rPr>
        <w:t>].</w:t>
      </w:r>
    </w:p>
    <w:p w14:paraId="1E17F2B6"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גרי"ז</w:t>
      </w:r>
      <w:r w:rsidRPr="00E14121">
        <w:rPr>
          <w:rFonts w:ascii="Narkisim" w:hAnsi="Narkisim"/>
          <w:rtl/>
        </w:rPr>
        <w:t xml:space="preserve"> (עה"ת רות קצג) תי' דאף שהסנהדרין כבר דנו והתירו ע"פ דרשא דקרא בימי בועז, אפ"ה בי"ד אחר יכול לבוא להקשות עליו ולחלוק עליו. וכדאי' בסוגיין דאמרו בביהמ"ד עמוני ולא עמונית, ודואג הק' עליו, ובעו לאכרוזי לפסול. וביאר דהגואל קיבל את פסק ההלכה שמותרת לו, אלא שחשש שיבוא דור אחר ויפסול</w:t>
      </w:r>
      <w:r w:rsidRPr="00E14121">
        <w:rPr>
          <w:rStyle w:val="ac"/>
          <w:rFonts w:ascii="Narkisim" w:hAnsi="Narkisim"/>
          <w:rtl/>
        </w:rPr>
        <w:footnoteReference w:id="4662"/>
      </w:r>
      <w:r w:rsidRPr="00E14121">
        <w:rPr>
          <w:rFonts w:ascii="Narkisim" w:hAnsi="Narkisim"/>
          <w:rtl/>
        </w:rPr>
        <w:t>. ובזה השיבו כך מקובלני מבי"ד של שמואל הרמתי וכו', ובדבר שהוא ע"פ קבלה [הלכה למשה מסיני</w:t>
      </w:r>
      <w:r w:rsidRPr="00E14121">
        <w:rPr>
          <w:rStyle w:val="ac"/>
          <w:rFonts w:ascii="Narkisim" w:hAnsi="Narkisim"/>
          <w:rtl/>
        </w:rPr>
        <w:footnoteReference w:id="4663"/>
      </w:r>
      <w:r w:rsidRPr="00E14121">
        <w:rPr>
          <w:rFonts w:ascii="Narkisim" w:hAnsi="Narkisim"/>
          <w:rtl/>
        </w:rPr>
        <w:t>] אין רשות לבי"ד אחר לחלוק.</w:t>
      </w:r>
    </w:p>
    <w:p w14:paraId="17C6E3BF" w14:textId="77777777" w:rsidR="00F64AED" w:rsidRPr="00E14121" w:rsidRDefault="00F64AED" w:rsidP="00F64AED">
      <w:pPr>
        <w:bidi/>
        <w:rPr>
          <w:rFonts w:ascii="Narkisim" w:hAnsi="Narkisim" w:cs="Narkisim"/>
        </w:rPr>
      </w:pPr>
      <w:r w:rsidRPr="00E14121">
        <w:rPr>
          <w:rFonts w:ascii="Narkisim" w:hAnsi="Narkisim" w:cs="Narkisim"/>
          <w:u w:val="single"/>
          <w:rtl/>
        </w:rPr>
        <w:t>שאני הכא דשמואל ובי"ד קיים</w:t>
      </w:r>
      <w:r w:rsidRPr="00E14121">
        <w:rPr>
          <w:rStyle w:val="ac"/>
          <w:rFonts w:ascii="Narkisim" w:hAnsi="Narkisim" w:cs="Narkisim"/>
          <w:u w:val="single"/>
          <w:rtl/>
        </w:rPr>
        <w:footnoteReference w:id="4664"/>
      </w:r>
      <w:r w:rsidRPr="00E14121">
        <w:rPr>
          <w:rFonts w:ascii="Narkisim" w:hAnsi="Narkisim" w:cs="Narkisim"/>
          <w:u w:val="single"/>
          <w:rtl/>
        </w:rPr>
        <w:t>.</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ומילתא דעבידי לאגלויי לא משקר. וה</w:t>
      </w:r>
      <w:r w:rsidRPr="00E14121">
        <w:rPr>
          <w:rFonts w:ascii="Narkisim" w:hAnsi="Narkisim" w:cs="Narkisim"/>
          <w:b/>
          <w:bCs/>
          <w:rtl/>
        </w:rPr>
        <w:t>ריטב"א</w:t>
      </w:r>
      <w:r w:rsidRPr="00E14121">
        <w:rPr>
          <w:rFonts w:ascii="Narkisim" w:hAnsi="Narkisim" w:cs="Narkisim"/>
          <w:rtl/>
        </w:rPr>
        <w:t xml:space="preserve"> הקשה דלא חיישינן שישקר חס ושלום, אלא חיישינן שמתוך שנושא ונותן לקיים דבריו אמר בדדמי, וקא סבור שקיבל מרבו. וכי איתיה לרבו קיים ודאי דייק שפיר, ולא אמר אפי' בדדמי.</w:t>
      </w:r>
    </w:p>
    <w:p w14:paraId="441BCFA2" w14:textId="77777777" w:rsidR="00F64AED" w:rsidRPr="00E14121" w:rsidRDefault="00F64AED" w:rsidP="00F64AED">
      <w:pPr>
        <w:bidi/>
        <w:rPr>
          <w:rFonts w:ascii="Narkisim" w:hAnsi="Narkisim" w:cs="Narkisim"/>
        </w:rPr>
      </w:pPr>
      <w:r w:rsidRPr="00E14121">
        <w:rPr>
          <w:rFonts w:ascii="Narkisim" w:hAnsi="Narkisim" w:cs="Narkisim"/>
          <w:u w:val="single"/>
          <w:rtl/>
        </w:rPr>
        <w:t>תוד"ה אם.</w:t>
      </w:r>
      <w:r w:rsidRPr="00E14121">
        <w:rPr>
          <w:rFonts w:ascii="Narkisim" w:hAnsi="Narkisim" w:cs="Narkisim"/>
          <w:rtl/>
        </w:rPr>
        <w:t xml:space="preserve"> אר"ת דהיינו דוקא היכא דהוא עצמו נוגע בדבר וכו'</w:t>
      </w:r>
      <w:r w:rsidRPr="00E14121">
        <w:rPr>
          <w:rStyle w:val="ac"/>
          <w:rFonts w:ascii="Narkisim" w:hAnsi="Narkisim" w:cs="Narkisim"/>
          <w:rtl/>
        </w:rPr>
        <w:footnoteReference w:id="4665"/>
      </w:r>
      <w:r w:rsidRPr="00E14121">
        <w:rPr>
          <w:rFonts w:ascii="Narkisim" w:hAnsi="Narkisim" w:cs="Narkisim"/>
          <w:rtl/>
        </w:rPr>
        <w:t xml:space="preserve">. אבל בחי' </w:t>
      </w:r>
      <w:r w:rsidRPr="00E14121">
        <w:rPr>
          <w:rFonts w:ascii="Narkisim" w:hAnsi="Narkisim" w:cs="Narkisim"/>
          <w:b/>
          <w:bCs/>
          <w:rtl/>
        </w:rPr>
        <w:t>ר"א מן ההר</w:t>
      </w:r>
      <w:r w:rsidRPr="00E14121">
        <w:rPr>
          <w:rFonts w:ascii="Narkisim" w:hAnsi="Narkisim" w:cs="Narkisim"/>
          <w:rtl/>
        </w:rPr>
        <w:t xml:space="preserve"> כתב דבכל ענין בסוגיין אסור</w:t>
      </w:r>
      <w:r w:rsidRPr="00E14121">
        <w:rPr>
          <w:rStyle w:val="ac"/>
          <w:rFonts w:ascii="Narkisim" w:hAnsi="Narkisim" w:cs="Narkisim"/>
          <w:rtl/>
        </w:rPr>
        <w:footnoteReference w:id="4666"/>
      </w:r>
      <w:r w:rsidRPr="00E14121">
        <w:rPr>
          <w:rFonts w:ascii="Narkisim" w:hAnsi="Narkisim" w:cs="Narkisim"/>
          <w:rtl/>
        </w:rPr>
        <w:t>.</w:t>
      </w:r>
    </w:p>
    <w:p w14:paraId="79F94AFF"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ו</w:t>
      </w:r>
      <w:r w:rsidRPr="00E14121">
        <w:rPr>
          <w:rFonts w:ascii="Narkisim" w:hAnsi="Narkisim"/>
          <w:b/>
          <w:bCs/>
          <w:rtl/>
        </w:rPr>
        <w:t xml:space="preserve">נמוק"י </w:t>
      </w:r>
      <w:r w:rsidRPr="00E14121">
        <w:rPr>
          <w:rFonts w:ascii="Narkisim" w:hAnsi="Narkisim"/>
          <w:rtl/>
        </w:rPr>
        <w:t>כת' דחס ושלום לא חיישינן לת"ח שישקר, אלא חיישינן שמתוך שנושא ונותן בהלכה כדי לקיים דבריו אומר בדדמי. דכסבור שקבל כן מרבו, ומש"ה כשרבו קיים ודאי דייק שפיר, ולא אמר אפי' בדדמי.</w:t>
      </w:r>
    </w:p>
    <w:p w14:paraId="6BBF0DF9"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כת' דה"מ כשאמר גמרא, אבל כשאמר מסברא ומביא ראיה לדבריו שומעין לו.</w:t>
      </w:r>
    </w:p>
    <w:p w14:paraId="1B87F4AF" w14:textId="77777777" w:rsidR="00F64AED" w:rsidRPr="00E14121" w:rsidRDefault="00F64AED" w:rsidP="00F64AED">
      <w:pPr>
        <w:pStyle w:val="aa"/>
        <w:bidi/>
        <w:rPr>
          <w:rFonts w:ascii="Narkisim" w:hAnsi="Narkisim"/>
        </w:rPr>
      </w:pPr>
      <w:r w:rsidRPr="00E14121">
        <w:rPr>
          <w:rFonts w:ascii="Narkisim" w:hAnsi="Narkisim"/>
          <w:rtl/>
        </w:rPr>
        <w:t>ו</w:t>
      </w:r>
      <w:r w:rsidRPr="00E14121">
        <w:rPr>
          <w:rFonts w:ascii="Narkisim" w:hAnsi="Narkisim"/>
          <w:b/>
          <w:bCs/>
          <w:rtl/>
        </w:rPr>
        <w:t>רבינו ירוחם</w:t>
      </w:r>
      <w:r w:rsidRPr="00E14121">
        <w:rPr>
          <w:rFonts w:ascii="Narkisim" w:hAnsi="Narkisim"/>
          <w:rtl/>
        </w:rPr>
        <w:t xml:space="preserve"> (הו' בב"י בה"ב יו"ד רמב לו) הביא בשם ה</w:t>
      </w:r>
      <w:r w:rsidRPr="00E14121">
        <w:rPr>
          <w:rFonts w:ascii="Narkisim" w:hAnsi="Narkisim"/>
          <w:b/>
          <w:bCs/>
          <w:rtl/>
        </w:rPr>
        <w:t>רמ"ה</w:t>
      </w:r>
      <w:r w:rsidRPr="00E14121">
        <w:rPr>
          <w:rFonts w:ascii="Narkisim" w:hAnsi="Narkisim"/>
          <w:rtl/>
        </w:rPr>
        <w:t xml:space="preserve"> דבזה"ז שומעין לו, כיון דבזה"ז א"א להורות בלא ראיה מהגמ'. והביא שדעת ה</w:t>
      </w:r>
      <w:r w:rsidRPr="00E14121">
        <w:rPr>
          <w:rFonts w:ascii="Narkisim" w:hAnsi="Narkisim"/>
          <w:b/>
          <w:bCs/>
          <w:rtl/>
        </w:rPr>
        <w:t>רא"ש</w:t>
      </w:r>
      <w:r w:rsidRPr="00E14121">
        <w:rPr>
          <w:rFonts w:ascii="Narkisim" w:hAnsi="Narkisim"/>
          <w:rtl/>
        </w:rPr>
        <w:t xml:space="preserve"> דה"נ חיישינן כשמדמה מילתא למילתא. וכתב דאם הדבר פשוט במשנה או גמ' או פוסק א' או א' מגדולי האחרונים אין חוששין, ונאמן.</w:t>
      </w:r>
    </w:p>
    <w:p w14:paraId="49C28E5A" w14:textId="77777777" w:rsidR="00F64AED" w:rsidRPr="00E14121" w:rsidRDefault="00F64AED" w:rsidP="00F64AED">
      <w:pPr>
        <w:pStyle w:val="aa"/>
        <w:bidi/>
        <w:rPr>
          <w:rFonts w:ascii="Narkisim" w:hAnsi="Narkisim"/>
        </w:rPr>
      </w:pPr>
      <w:r w:rsidRPr="00E14121">
        <w:rPr>
          <w:rFonts w:ascii="Narkisim" w:hAnsi="Narkisim"/>
          <w:rtl/>
        </w:rPr>
        <w:lastRenderedPageBreak/>
        <w:t>וה</w:t>
      </w:r>
      <w:r w:rsidRPr="00E14121">
        <w:rPr>
          <w:rFonts w:ascii="Narkisim" w:hAnsi="Narkisim"/>
          <w:b/>
          <w:bCs/>
          <w:rtl/>
        </w:rPr>
        <w:t>נוב"י</w:t>
      </w:r>
      <w:r w:rsidRPr="00E14121">
        <w:rPr>
          <w:rFonts w:ascii="Narkisim" w:hAnsi="Narkisim"/>
          <w:rtl/>
        </w:rPr>
        <w:t xml:space="preserve"> (ק' אה"ע כז) הביא דאפ"ה במילתא דעבידי לאיגלויי [שמואל ובי"ד קיים] נאמן, דהנוגע בדבר נאמן במילתא דעבידי לאגלויי</w:t>
      </w:r>
      <w:r w:rsidRPr="00E14121">
        <w:rPr>
          <w:rStyle w:val="ac"/>
          <w:rFonts w:ascii="Narkisim" w:hAnsi="Narkisim"/>
          <w:rtl/>
        </w:rPr>
        <w:footnoteReference w:id="4667"/>
      </w:r>
      <w:r w:rsidRPr="00E14121">
        <w:rPr>
          <w:rFonts w:ascii="Narkisim" w:hAnsi="Narkisim"/>
          <w:rtl/>
        </w:rPr>
        <w:t>. [אך מדברי הריטב"א הנ"ל לכאורה מבואר טעם אחר].</w:t>
      </w:r>
    </w:p>
    <w:p w14:paraId="47DBF60D" w14:textId="77777777" w:rsidR="00F64AED" w:rsidRPr="00E14121" w:rsidRDefault="00F64AED" w:rsidP="00F64AED">
      <w:pPr>
        <w:pStyle w:val="aa"/>
        <w:bidi/>
        <w:rPr>
          <w:rFonts w:ascii="Narkisim" w:hAnsi="Narkisim"/>
        </w:rPr>
      </w:pPr>
      <w:r w:rsidRPr="00E14121">
        <w:rPr>
          <w:rFonts w:ascii="Narkisim" w:hAnsi="Narkisim"/>
          <w:u w:val="single"/>
          <w:rtl/>
        </w:rPr>
        <w:t>דרש רבא וכו' במגילת ספר כתוב עלי</w:t>
      </w:r>
      <w:r w:rsidRPr="00E14121">
        <w:rPr>
          <w:rStyle w:val="ac"/>
          <w:rFonts w:ascii="Narkisim" w:hAnsi="Narkisim"/>
          <w:u w:val="single"/>
          <w:rtl/>
        </w:rPr>
        <w:footnoteReference w:id="4668"/>
      </w:r>
      <w:r w:rsidRPr="00E14121">
        <w:rPr>
          <w:rFonts w:ascii="Narkisim" w:hAnsi="Narkisim"/>
          <w:u w:val="single"/>
          <w:rtl/>
        </w:rPr>
        <w:t xml:space="preserve"> וכו' התם כתיב הנמצאות וכו'</w:t>
      </w:r>
      <w:r w:rsidRPr="00E14121">
        <w:rPr>
          <w:rFonts w:ascii="Narkisim" w:hAnsi="Narkisim"/>
          <w:rtl/>
        </w:rPr>
        <w:t>. [בבנות לוט, שיצאו מהם עמון ומואב</w:t>
      </w:r>
      <w:r w:rsidRPr="00E14121">
        <w:rPr>
          <w:rStyle w:val="ac"/>
          <w:rFonts w:ascii="Narkisim" w:hAnsi="Narkisim"/>
          <w:rtl/>
        </w:rPr>
        <w:footnoteReference w:id="4669"/>
      </w:r>
      <w:r w:rsidRPr="00E14121">
        <w:rPr>
          <w:rFonts w:ascii="Narkisim" w:hAnsi="Narkisim"/>
          <w:rtl/>
        </w:rPr>
        <w:t>]. אבל ב</w:t>
      </w:r>
      <w:r w:rsidRPr="00E14121">
        <w:rPr>
          <w:rFonts w:ascii="Narkisim" w:hAnsi="Narkisim"/>
          <w:b/>
          <w:bCs/>
          <w:rtl/>
        </w:rPr>
        <w:t>מדרש</w:t>
      </w:r>
      <w:r w:rsidRPr="00E14121">
        <w:rPr>
          <w:rFonts w:ascii="Narkisim" w:hAnsi="Narkisim"/>
          <w:rtl/>
        </w:rPr>
        <w:t xml:space="preserve"> אי' דמגילת ספר הוא מגילת רות.</w:t>
      </w:r>
    </w:p>
    <w:p w14:paraId="5C7B2504" w14:textId="77777777" w:rsidR="00F64AED" w:rsidRPr="00E14121" w:rsidRDefault="00F64AED" w:rsidP="00F64AED">
      <w:pPr>
        <w:pStyle w:val="aa"/>
        <w:bidi/>
        <w:rPr>
          <w:rFonts w:ascii="Narkisim" w:hAnsi="Narkisim"/>
        </w:rPr>
      </w:pPr>
      <w:r w:rsidRPr="00E14121">
        <w:rPr>
          <w:rFonts w:ascii="Narkisim" w:hAnsi="Narkisim"/>
          <w:u w:val="single"/>
          <w:rtl/>
        </w:rPr>
        <w:t>חלל יוכיח וכו'.</w:t>
      </w:r>
      <w:r w:rsidRPr="00E14121">
        <w:rPr>
          <w:rFonts w:ascii="Narkisim" w:hAnsi="Narkisim"/>
          <w:rtl/>
        </w:rPr>
        <w:t xml:space="preserve"> דבת החלל פסולה לכהונה. והביאו דהגדר דחלל פוסל את בתו, ולא הוה רק המשך החללות. [וע' </w:t>
      </w:r>
      <w:r w:rsidRPr="00E14121">
        <w:rPr>
          <w:rFonts w:ascii="Narkisim" w:hAnsi="Narkisim"/>
          <w:b/>
          <w:bCs/>
          <w:rtl/>
        </w:rPr>
        <w:t>גר"ח</w:t>
      </w:r>
      <w:r w:rsidRPr="00E14121">
        <w:rPr>
          <w:rFonts w:ascii="Narkisim" w:hAnsi="Narkisim"/>
          <w:rtl/>
        </w:rPr>
        <w:t xml:space="preserve"> איסו"ב יז, וע' מש"כ לעיל סט.].</w:t>
      </w:r>
    </w:p>
    <w:p w14:paraId="7B47F18D" w14:textId="77777777" w:rsidR="00F64AED" w:rsidRPr="00E14121" w:rsidRDefault="00F64AED" w:rsidP="00F64AED">
      <w:pPr>
        <w:pStyle w:val="aa"/>
        <w:bidi/>
        <w:rPr>
          <w:rFonts w:ascii="Narkisim" w:hAnsi="Narkisim"/>
        </w:rPr>
      </w:pPr>
      <w:r w:rsidRPr="00E14121">
        <w:rPr>
          <w:rFonts w:ascii="Narkisim" w:hAnsi="Narkisim"/>
          <w:u w:val="single"/>
          <w:rtl/>
        </w:rPr>
        <w:t>תוד"ה מכהן גדול</w:t>
      </w:r>
      <w:r w:rsidRPr="00E14121">
        <w:rPr>
          <w:rFonts w:ascii="Narkisim" w:hAnsi="Narkisim"/>
          <w:rtl/>
        </w:rPr>
        <w:t>. וי"ל דקסבר ר' יוסי וכו' אין לעשות צד השווה מפסול כהונה ופסול קהל וכו'. [וכ"כ תוס' קידושין עח.]. ובזה פליג ר' יהודה דנחשב צד שווה וילפינן.</w:t>
      </w:r>
    </w:p>
    <w:p w14:paraId="120AAC08" w14:textId="77777777" w:rsidR="00F64AED" w:rsidRPr="00E14121" w:rsidRDefault="00F64AED" w:rsidP="00F64AED">
      <w:pPr>
        <w:pStyle w:val="aa"/>
        <w:bidi/>
        <w:rPr>
          <w:rFonts w:ascii="Narkisim" w:hAnsi="Narkisim"/>
        </w:rPr>
      </w:pPr>
      <w:r w:rsidRPr="00E14121">
        <w:rPr>
          <w:rFonts w:ascii="Narkisim" w:hAnsi="Narkisim"/>
          <w:u w:val="single"/>
          <w:rtl/>
        </w:rPr>
        <w:t>דכי אתא רבין א"ר יוחנן בת גר עמוני ובת מצרי שני וכו' ור"ל אמר פסולה.</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שנשאו בת ישראל וביאתן בעבירה. [וכגמ' לעיל, וכן בסמוך].</w:t>
      </w:r>
    </w:p>
    <w:p w14:paraId="3E76617C" w14:textId="77777777" w:rsidR="00F64AED" w:rsidRPr="00E14121" w:rsidRDefault="00F64AED" w:rsidP="00F64AED">
      <w:pPr>
        <w:pStyle w:val="a8"/>
        <w:bidi/>
        <w:rPr>
          <w:rFonts w:ascii="Narkisim" w:hAnsi="Narkisim"/>
        </w:rPr>
      </w:pPr>
      <w:r w:rsidRPr="00E14121">
        <w:rPr>
          <w:rFonts w:ascii="Narkisim" w:hAnsi="Narkisim"/>
          <w:rtl/>
        </w:rPr>
        <w:t>וריש לקיש ס"ל דילפי' לפסול את הבת לכהונה, כיון דביאתה בעבירה. ויל"ד האם אף באופן ההפוך, ישראל שנשא מצרית שניה, כיון דביאתו בעבירה האם אמרי' שהבת פסולה לכהונה לר"ל</w:t>
      </w:r>
      <w:r w:rsidRPr="00E14121">
        <w:rPr>
          <w:rStyle w:val="ac"/>
          <w:rFonts w:ascii="Narkisim" w:hAnsi="Narkisim"/>
          <w:rtl/>
        </w:rPr>
        <w:footnoteReference w:id="4670"/>
      </w:r>
      <w:r w:rsidRPr="00E14121">
        <w:rPr>
          <w:rFonts w:ascii="Narkisim" w:hAnsi="Narkisim"/>
          <w:rtl/>
        </w:rPr>
        <w:t>.</w:t>
      </w:r>
    </w:p>
    <w:p w14:paraId="5E869CD3" w14:textId="77777777" w:rsidR="00F64AED" w:rsidRPr="00E14121" w:rsidRDefault="00F64AED" w:rsidP="00F64AED">
      <w:pPr>
        <w:pStyle w:val="aa"/>
        <w:bidi/>
        <w:rPr>
          <w:rFonts w:ascii="Narkisim" w:hAnsi="Narkisim"/>
        </w:rPr>
      </w:pPr>
      <w:r w:rsidRPr="00E14121">
        <w:rPr>
          <w:rFonts w:ascii="Narkisim" w:hAnsi="Narkisim"/>
          <w:u w:val="single"/>
          <w:rtl/>
        </w:rPr>
        <w:t>תוד"ה רבי יוחנן.</w:t>
      </w:r>
      <w:r w:rsidRPr="00E14121">
        <w:rPr>
          <w:rFonts w:ascii="Narkisim" w:hAnsi="Narkisim"/>
          <w:rtl/>
        </w:rPr>
        <w:t xml:space="preserve"> תימה לר"י וכו' בת גר עמוני שנשא בת ישראל יוכיח וכו'. וה</w:t>
      </w:r>
      <w:r w:rsidRPr="00E14121">
        <w:rPr>
          <w:rFonts w:ascii="Narkisim" w:hAnsi="Narkisim"/>
          <w:b/>
          <w:bCs/>
          <w:rtl/>
        </w:rPr>
        <w:t>בי"ש</w:t>
      </w:r>
      <w:r w:rsidRPr="00E14121">
        <w:rPr>
          <w:rFonts w:ascii="Narkisim" w:hAnsi="Narkisim"/>
          <w:rtl/>
        </w:rPr>
        <w:t xml:space="preserve"> (ד ד) כתב דמקושיה זו למד ה</w:t>
      </w:r>
      <w:r w:rsidRPr="00E14121">
        <w:rPr>
          <w:rFonts w:ascii="Narkisim" w:hAnsi="Narkisim"/>
          <w:b/>
          <w:bCs/>
          <w:rtl/>
        </w:rPr>
        <w:t>רמב"ם</w:t>
      </w:r>
      <w:r w:rsidRPr="00E14121">
        <w:rPr>
          <w:rFonts w:ascii="Narkisim" w:hAnsi="Narkisim"/>
          <w:rtl/>
        </w:rPr>
        <w:t xml:space="preserve"> (והרי"ף, הו' לעיל מד: ומה.) דלהלכה עכו"ם הבא על ב"י הולד אינו פגום</w:t>
      </w:r>
      <w:r w:rsidRPr="00E14121">
        <w:rPr>
          <w:rStyle w:val="ac"/>
          <w:rFonts w:ascii="Narkisim" w:hAnsi="Narkisim"/>
          <w:rtl/>
        </w:rPr>
        <w:footnoteReference w:id="4671"/>
      </w:r>
      <w:r w:rsidRPr="00E14121">
        <w:rPr>
          <w:rFonts w:ascii="Narkisim" w:hAnsi="Narkisim"/>
          <w:rtl/>
        </w:rPr>
        <w:t>. והביא דה</w:t>
      </w:r>
      <w:r w:rsidRPr="00E14121">
        <w:rPr>
          <w:rFonts w:ascii="Narkisim" w:hAnsi="Narkisim"/>
          <w:b/>
          <w:bCs/>
          <w:rtl/>
        </w:rPr>
        <w:t>ב"ח</w:t>
      </w:r>
      <w:r w:rsidRPr="00E14121">
        <w:rPr>
          <w:rFonts w:ascii="Narkisim" w:hAnsi="Narkisim"/>
          <w:rtl/>
        </w:rPr>
        <w:t xml:space="preserve"> כתב דלא דמי דהתם אין קידושין תופסים ולכן הולד פגום, משא"כ הכא</w:t>
      </w:r>
      <w:r w:rsidRPr="00E14121">
        <w:rPr>
          <w:rStyle w:val="ac"/>
          <w:rFonts w:ascii="Narkisim" w:hAnsi="Narkisim"/>
          <w:rtl/>
        </w:rPr>
        <w:footnoteReference w:id="4672"/>
      </w:r>
      <w:r w:rsidRPr="00E14121">
        <w:rPr>
          <w:rFonts w:ascii="Narkisim" w:hAnsi="Narkisim"/>
          <w:rtl/>
        </w:rPr>
        <w:t>.</w:t>
      </w:r>
    </w:p>
    <w:p w14:paraId="6D3B2F21" w14:textId="77777777" w:rsidR="00F64AED" w:rsidRPr="00E14121" w:rsidRDefault="00F64AED" w:rsidP="00F64AED">
      <w:pPr>
        <w:pStyle w:val="3"/>
        <w:bidi/>
        <w:rPr>
          <w:rFonts w:ascii="Narkisim" w:hAnsi="Narkisim"/>
        </w:rPr>
      </w:pPr>
      <w:r w:rsidRPr="00E14121">
        <w:rPr>
          <w:rFonts w:ascii="Narkisim" w:hAnsi="Narkisim"/>
          <w:rtl/>
        </w:rPr>
        <w:t>דף עז:</w:t>
      </w:r>
    </w:p>
    <w:p w14:paraId="128BF516" w14:textId="77777777" w:rsidR="00F64AED" w:rsidRPr="00E14121" w:rsidRDefault="00F64AED" w:rsidP="00F64AED">
      <w:pPr>
        <w:pStyle w:val="aa"/>
        <w:bidi/>
        <w:rPr>
          <w:rFonts w:ascii="Narkisim" w:hAnsi="Narkisim"/>
        </w:rPr>
      </w:pPr>
      <w:r w:rsidRPr="00E14121">
        <w:rPr>
          <w:rFonts w:ascii="Narkisim" w:hAnsi="Narkisim"/>
          <w:u w:val="single"/>
          <w:rtl/>
        </w:rPr>
        <w:t>דתני ר' זכאי וכו' כי אם בתולה מעמיו וכו'.</w:t>
      </w:r>
      <w:r w:rsidRPr="00E14121">
        <w:rPr>
          <w:rFonts w:ascii="Narkisim" w:hAnsi="Narkisim"/>
          <w:rtl/>
        </w:rPr>
        <w:t xml:space="preserve"> דדרשי' דבת הגר [מעם א'] כשירה לכה"ג. [ור' יוחנן הק' דאף הבאה מב' עממין]. ומשמע דאין מקום לחלק בפסול זה בין כה"ג לכהן הדיוט. וכ"כ ה</w:t>
      </w:r>
      <w:r w:rsidRPr="00E14121">
        <w:rPr>
          <w:rFonts w:ascii="Narkisim" w:hAnsi="Narkisim"/>
          <w:b/>
          <w:bCs/>
          <w:rtl/>
        </w:rPr>
        <w:t>ריטב"א</w:t>
      </w:r>
      <w:r w:rsidRPr="00E14121">
        <w:rPr>
          <w:rFonts w:ascii="Narkisim" w:hAnsi="Narkisim"/>
          <w:rtl/>
        </w:rPr>
        <w:t xml:space="preserve"> (בע"א).</w:t>
      </w:r>
    </w:p>
    <w:p w14:paraId="1E45F648" w14:textId="77777777" w:rsidR="00F64AED" w:rsidRPr="00E14121" w:rsidRDefault="00F64AED" w:rsidP="00F64AED">
      <w:pPr>
        <w:pStyle w:val="aa"/>
        <w:bidi/>
        <w:rPr>
          <w:rFonts w:ascii="Narkisim" w:hAnsi="Narkisim"/>
        </w:rPr>
      </w:pPr>
      <w:r w:rsidRPr="00E14121">
        <w:rPr>
          <w:rFonts w:ascii="Narkisim" w:hAnsi="Narkisim"/>
          <w:u w:val="single"/>
          <w:rtl/>
        </w:rPr>
        <w:t>מאי תשובה וכו'.</w:t>
      </w:r>
      <w:r w:rsidRPr="00E14121">
        <w:rPr>
          <w:rFonts w:ascii="Narkisim" w:hAnsi="Narkisim"/>
          <w:rtl/>
        </w:rPr>
        <w:t xml:space="preserve"> ומסקנת הגמ' דאמרי' הצד השווה</w:t>
      </w:r>
      <w:r w:rsidRPr="00E14121">
        <w:rPr>
          <w:rStyle w:val="ac"/>
          <w:rFonts w:ascii="Narkisim" w:hAnsi="Narkisim"/>
          <w:rtl/>
        </w:rPr>
        <w:footnoteReference w:id="4673"/>
      </w:r>
      <w:r w:rsidRPr="00E14121">
        <w:rPr>
          <w:rFonts w:ascii="Narkisim" w:hAnsi="Narkisim"/>
          <w:rtl/>
        </w:rPr>
        <w:t>, ור' שמעון ל"ל חלל דחייבי עשה. אבל ה</w:t>
      </w:r>
      <w:r w:rsidRPr="00E14121">
        <w:rPr>
          <w:rFonts w:ascii="Narkisim" w:hAnsi="Narkisim"/>
          <w:b/>
          <w:bCs/>
          <w:rtl/>
        </w:rPr>
        <w:t>רמב"ם</w:t>
      </w:r>
      <w:r w:rsidRPr="00E14121">
        <w:rPr>
          <w:rFonts w:ascii="Narkisim" w:hAnsi="Narkisim"/>
          <w:rtl/>
        </w:rPr>
        <w:t xml:space="preserve"> (בפיה"מ, וכן הרע"ב) כתב דהתשובה מה לעמון ומואב שכן נתפרש טעמן, על דבר אשר לא קדמו והאשה אין דרכה לקדם (וכדאי' לעיל עו:), תאמר במצרי ואדומי שלא נתפרש טעמן. ו</w:t>
      </w:r>
      <w:r w:rsidRPr="00E14121">
        <w:rPr>
          <w:rFonts w:ascii="Narkisim" w:hAnsi="Narkisim"/>
          <w:b/>
          <w:bCs/>
          <w:rtl/>
        </w:rPr>
        <w:t>רע"א</w:t>
      </w:r>
      <w:r w:rsidRPr="00E14121">
        <w:rPr>
          <w:rFonts w:ascii="Narkisim" w:hAnsi="Narkisim"/>
          <w:rtl/>
        </w:rPr>
        <w:t xml:space="preserve"> תמה דבגמ' מבואר דהתשובה מהצד השווה.</w:t>
      </w:r>
    </w:p>
    <w:p w14:paraId="7D05DEDA" w14:textId="77777777" w:rsidR="00F64AED" w:rsidRPr="00E14121" w:rsidRDefault="00F64AED" w:rsidP="00F64AED">
      <w:pPr>
        <w:pStyle w:val="aa"/>
        <w:bidi/>
        <w:rPr>
          <w:rFonts w:ascii="Narkisim" w:hAnsi="Narkisim"/>
        </w:rPr>
      </w:pPr>
      <w:r w:rsidRPr="00E14121">
        <w:rPr>
          <w:rFonts w:ascii="Narkisim" w:hAnsi="Narkisim"/>
          <w:u w:val="single"/>
          <w:rtl/>
        </w:rPr>
        <w:t>עריות יוכיחו, שלא אסר בהם אלא עד ג' דורות.</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בת בתו אסורה לו, והוא בכלל, דהוי דור שלישי</w:t>
      </w:r>
      <w:r w:rsidRPr="00E14121">
        <w:rPr>
          <w:rStyle w:val="ac"/>
          <w:rFonts w:ascii="Narkisim" w:hAnsi="Narkisim"/>
          <w:rtl/>
        </w:rPr>
        <w:footnoteReference w:id="4674"/>
      </w:r>
      <w:r w:rsidRPr="00E14121">
        <w:rPr>
          <w:rFonts w:ascii="Narkisim" w:hAnsi="Narkisim"/>
          <w:rtl/>
        </w:rPr>
        <w:t xml:space="preserve"> [משמע דלא אסר אלא דור שלישי, ורביעי מותר]. וה</w:t>
      </w:r>
      <w:r w:rsidRPr="00E14121">
        <w:rPr>
          <w:rFonts w:ascii="Narkisim" w:hAnsi="Narkisim"/>
          <w:b/>
          <w:bCs/>
          <w:rtl/>
        </w:rPr>
        <w:t>תוס' הרא"ש</w:t>
      </w:r>
      <w:r w:rsidRPr="00E14121">
        <w:rPr>
          <w:rFonts w:ascii="Narkisim" w:hAnsi="Narkisim"/>
          <w:rtl/>
        </w:rPr>
        <w:t xml:space="preserve"> הק' דבמצרי דור שלישי מותר. אלא פי' בתו דור ראשון, ובת בתו דור שני</w:t>
      </w:r>
      <w:r w:rsidRPr="00E14121">
        <w:rPr>
          <w:rStyle w:val="ac"/>
          <w:rFonts w:ascii="Narkisim" w:hAnsi="Narkisim"/>
          <w:rtl/>
        </w:rPr>
        <w:footnoteReference w:id="4675"/>
      </w:r>
      <w:r w:rsidRPr="00E14121">
        <w:rPr>
          <w:rFonts w:ascii="Narkisim" w:hAnsi="Narkisim"/>
          <w:rtl/>
        </w:rPr>
        <w:t>.</w:t>
      </w:r>
    </w:p>
    <w:p w14:paraId="654341F6" w14:textId="77777777" w:rsidR="00F64AED" w:rsidRPr="00E14121" w:rsidRDefault="00F64AED" w:rsidP="00F64AED">
      <w:pPr>
        <w:pStyle w:val="aa"/>
        <w:bidi/>
        <w:rPr>
          <w:rFonts w:ascii="Narkisim" w:hAnsi="Narkisim"/>
        </w:rPr>
      </w:pPr>
      <w:r w:rsidRPr="00E14121">
        <w:rPr>
          <w:rFonts w:ascii="Narkisim" w:hAnsi="Narkisim"/>
          <w:u w:val="single"/>
          <w:rtl/>
        </w:rPr>
        <w:t>רש"י ד"ה ורבנן.</w:t>
      </w:r>
      <w:r w:rsidRPr="00E14121">
        <w:rPr>
          <w:rFonts w:ascii="Narkisim" w:hAnsi="Narkisim"/>
          <w:rtl/>
        </w:rPr>
        <w:t xml:space="preserve"> ואין כאן זונה, פנוי הבא על הפנויה לר"א, ולית הילכתא כוותיה. מבואר דלר"א כ"ש בכל איסור הוה זונה [אף דרך נישואין], ולא משום דהוה הפקר</w:t>
      </w:r>
      <w:r w:rsidRPr="00E14121">
        <w:rPr>
          <w:rStyle w:val="ac"/>
          <w:rFonts w:ascii="Narkisim" w:hAnsi="Narkisim"/>
          <w:rtl/>
        </w:rPr>
        <w:footnoteReference w:id="4676"/>
      </w:r>
      <w:r w:rsidRPr="00E14121">
        <w:rPr>
          <w:rFonts w:ascii="Narkisim" w:hAnsi="Narkisim"/>
          <w:rtl/>
        </w:rPr>
        <w:t>. ומשמע מרש"י דלר' מתיא אינה זונה, וגרע מבעלה בא עליה בדרך. דהכא הוה עשה דאינו שווה בכל.</w:t>
      </w:r>
    </w:p>
    <w:p w14:paraId="60466271" w14:textId="77777777" w:rsidR="00F64AED" w:rsidRPr="00E14121" w:rsidRDefault="00F64AED" w:rsidP="00F64AED">
      <w:pPr>
        <w:bidi/>
        <w:rPr>
          <w:rFonts w:ascii="Narkisim" w:hAnsi="Narkisim" w:cs="Narkisim"/>
        </w:rPr>
      </w:pPr>
      <w:r w:rsidRPr="00E14121">
        <w:rPr>
          <w:rFonts w:ascii="Narkisim" w:hAnsi="Narkisim" w:cs="Narkisim"/>
          <w:u w:val="single"/>
          <w:rtl/>
        </w:rPr>
        <w:t>תוד"ה מחלל.</w:t>
      </w:r>
      <w:r w:rsidRPr="00E14121">
        <w:rPr>
          <w:rFonts w:ascii="Narkisim" w:hAnsi="Narkisim" w:cs="Narkisim"/>
          <w:rtl/>
        </w:rPr>
        <w:t xml:space="preserve"> ותי' דשמא חללה הבאה מחייבי עשה ליכא לאו אלא עשה וכו'. ודלא כ</w:t>
      </w:r>
      <w:r w:rsidRPr="00E14121">
        <w:rPr>
          <w:rFonts w:ascii="Narkisim" w:hAnsi="Narkisim" w:cs="Narkisim"/>
          <w:b/>
          <w:bCs/>
          <w:rtl/>
        </w:rPr>
        <w:t>תוס</w:t>
      </w:r>
      <w:r w:rsidRPr="00E14121">
        <w:rPr>
          <w:rFonts w:ascii="Narkisim" w:hAnsi="Narkisim" w:cs="Narkisim"/>
          <w:rtl/>
        </w:rPr>
        <w:t>' (לעיל ס. ד"ה חלל) דנקטו דלמ"ד יש חלל לחייבי עשה, עובר בלאו דלא יחלל.</w:t>
      </w:r>
    </w:p>
    <w:p w14:paraId="073B6E5C"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תוס' הרא"ש</w:t>
      </w:r>
      <w:r w:rsidRPr="00E14121">
        <w:rPr>
          <w:rFonts w:ascii="Narkisim" w:hAnsi="Narkisim"/>
          <w:rtl/>
        </w:rPr>
        <w:t xml:space="preserve"> פי' [דברי ריב"ם] דלא חמירה מאמה</w:t>
      </w:r>
      <w:r w:rsidRPr="00E14121">
        <w:rPr>
          <w:rStyle w:val="ac"/>
          <w:rFonts w:ascii="Narkisim" w:hAnsi="Narkisim"/>
          <w:rtl/>
        </w:rPr>
        <w:footnoteReference w:id="4677"/>
      </w:r>
      <w:r w:rsidRPr="00E14121">
        <w:rPr>
          <w:rFonts w:ascii="Narkisim" w:hAnsi="Narkisim"/>
          <w:rtl/>
        </w:rPr>
        <w:t>. ה</w:t>
      </w:r>
      <w:r w:rsidRPr="00E14121">
        <w:rPr>
          <w:rFonts w:ascii="Narkisim" w:hAnsi="Narkisim"/>
          <w:b/>
          <w:bCs/>
          <w:rtl/>
        </w:rPr>
        <w:t>משנ"ל</w:t>
      </w:r>
      <w:r w:rsidRPr="00E14121">
        <w:rPr>
          <w:rFonts w:ascii="Narkisim" w:hAnsi="Narkisim"/>
          <w:rtl/>
        </w:rPr>
        <w:t xml:space="preserve"> (יט ג) כתב דסברת ריב"ם תמוה בעיניו</w:t>
      </w:r>
      <w:r w:rsidRPr="00E14121">
        <w:rPr>
          <w:rStyle w:val="ac"/>
          <w:rFonts w:ascii="Narkisim" w:hAnsi="Narkisim"/>
          <w:rtl/>
        </w:rPr>
        <w:footnoteReference w:id="4678"/>
      </w:r>
      <w:r w:rsidRPr="00E14121">
        <w:rPr>
          <w:rFonts w:ascii="Narkisim" w:hAnsi="Narkisim"/>
          <w:rtl/>
        </w:rPr>
        <w:t xml:space="preserve">. </w:t>
      </w:r>
      <w:r w:rsidRPr="00E14121">
        <w:rPr>
          <w:rFonts w:ascii="Narkisim" w:hAnsi="Narkisim"/>
          <w:sz w:val="20"/>
          <w:szCs w:val="20"/>
          <w:rtl/>
        </w:rPr>
        <w:t>וכתב דסתימת ה</w:t>
      </w:r>
      <w:r w:rsidRPr="00E14121">
        <w:rPr>
          <w:rFonts w:ascii="Narkisim" w:hAnsi="Narkisim"/>
          <w:b/>
          <w:bCs/>
          <w:sz w:val="20"/>
          <w:szCs w:val="20"/>
          <w:rtl/>
        </w:rPr>
        <w:t>רמב"ם</w:t>
      </w:r>
      <w:r w:rsidRPr="00E14121">
        <w:rPr>
          <w:rFonts w:ascii="Narkisim" w:hAnsi="Narkisim"/>
          <w:sz w:val="20"/>
          <w:szCs w:val="20"/>
          <w:rtl/>
        </w:rPr>
        <w:t xml:space="preserve"> משמע דיש לאו.</w:t>
      </w:r>
    </w:p>
    <w:p w14:paraId="0E0562B7" w14:textId="77777777" w:rsidR="00F64AED" w:rsidRPr="00E14121" w:rsidRDefault="00F64AED" w:rsidP="00F64AED">
      <w:pPr>
        <w:pStyle w:val="aa"/>
        <w:bidi/>
        <w:rPr>
          <w:rFonts w:ascii="Narkisim" w:hAnsi="Narkisim"/>
        </w:rPr>
      </w:pPr>
      <w:r w:rsidRPr="00E14121">
        <w:rPr>
          <w:rFonts w:ascii="Narkisim" w:hAnsi="Narkisim"/>
          <w:u w:val="single"/>
          <w:rtl/>
        </w:rPr>
        <w:lastRenderedPageBreak/>
        <w:t>שם. ושמא חללה הבאה מחייבי עשה וכו'</w:t>
      </w:r>
      <w:r w:rsidRPr="00E14121">
        <w:rPr>
          <w:rFonts w:ascii="Narkisim" w:hAnsi="Narkisim"/>
          <w:rtl/>
        </w:rPr>
        <w:t>. יל"ד אי תוס' קאי באשה שנתחללה [דהולד ודאי נתחלל מכהונתו], או אף הבת שנולדה מאיסור עשה ליכא לאו בביאתה</w:t>
      </w:r>
      <w:r w:rsidRPr="00E14121">
        <w:rPr>
          <w:rStyle w:val="ac"/>
          <w:rFonts w:ascii="Narkisim" w:hAnsi="Narkisim"/>
          <w:rtl/>
        </w:rPr>
        <w:footnoteReference w:id="4679"/>
      </w:r>
      <w:r w:rsidRPr="00E14121">
        <w:rPr>
          <w:rFonts w:ascii="Narkisim" w:hAnsi="Narkisim"/>
          <w:rtl/>
        </w:rPr>
        <w:t>.</w:t>
      </w:r>
    </w:p>
    <w:p w14:paraId="7FA8CF28" w14:textId="77777777" w:rsidR="00F64AED" w:rsidRPr="00E14121" w:rsidRDefault="00F64AED" w:rsidP="00F64AED">
      <w:pPr>
        <w:pStyle w:val="a8"/>
        <w:bidi/>
        <w:rPr>
          <w:rFonts w:ascii="Narkisim" w:hAnsi="Narkisim"/>
        </w:rPr>
      </w:pPr>
      <w:r w:rsidRPr="00E14121">
        <w:rPr>
          <w:rFonts w:ascii="Narkisim" w:hAnsi="Narkisim"/>
          <w:rtl/>
        </w:rPr>
        <w:t>והמשנ"ל (הנ"ל) נסתפק לסברת הריב"ם האם אף זונה מחמת איסור עשה</w:t>
      </w:r>
      <w:r w:rsidRPr="00E14121">
        <w:rPr>
          <w:rStyle w:val="ac"/>
          <w:rFonts w:ascii="Narkisim" w:hAnsi="Narkisim"/>
          <w:rtl/>
        </w:rPr>
        <w:footnoteReference w:id="4680"/>
      </w:r>
      <w:r w:rsidRPr="00E14121">
        <w:rPr>
          <w:rFonts w:ascii="Narkisim" w:hAnsi="Narkisim"/>
          <w:rtl/>
        </w:rPr>
        <w:t>, עובר רק בעשה.</w:t>
      </w:r>
    </w:p>
    <w:p w14:paraId="0A203915" w14:textId="77777777" w:rsidR="00F64AED" w:rsidRPr="00E14121" w:rsidRDefault="00F64AED" w:rsidP="00F64AED">
      <w:pPr>
        <w:bidi/>
        <w:rPr>
          <w:rFonts w:ascii="Narkisim" w:hAnsi="Narkisim" w:cs="Narkisim"/>
        </w:rPr>
      </w:pPr>
      <w:r w:rsidRPr="00E14121">
        <w:rPr>
          <w:rFonts w:ascii="Narkisim" w:hAnsi="Narkisim" w:cs="Narkisim"/>
          <w:u w:val="single"/>
          <w:rtl/>
        </w:rPr>
        <w:t>תוד"ה הלכה.</w:t>
      </w:r>
      <w:r w:rsidRPr="00E14121">
        <w:rPr>
          <w:rFonts w:ascii="Narkisim" w:hAnsi="Narkisim" w:cs="Narkisim"/>
          <w:rtl/>
        </w:rPr>
        <w:t xml:space="preserve"> לאו הלממ"ס קאמר, דא"כ לא הוה פליג ר"י. משמע דכוונת התוס' למש"כ ה</w:t>
      </w:r>
      <w:r w:rsidRPr="00E14121">
        <w:rPr>
          <w:rFonts w:ascii="Narkisim" w:hAnsi="Narkisim" w:cs="Narkisim"/>
          <w:b/>
          <w:bCs/>
          <w:rtl/>
        </w:rPr>
        <w:t>רמב"ם</w:t>
      </w:r>
      <w:r w:rsidRPr="00E14121">
        <w:rPr>
          <w:rFonts w:ascii="Narkisim" w:hAnsi="Narkisim" w:cs="Narkisim"/>
          <w:rtl/>
        </w:rPr>
        <w:t xml:space="preserve"> (ממרים א ג ובהקדמה לפיה"מ) דלא ימצא לעולם מחלוקת בדבר שהוא קבלה למשה מסיני</w:t>
      </w:r>
      <w:r w:rsidRPr="00E14121">
        <w:rPr>
          <w:rStyle w:val="ac"/>
          <w:rFonts w:ascii="Narkisim" w:hAnsi="Narkisim" w:cs="Narkisim"/>
          <w:rtl/>
        </w:rPr>
        <w:footnoteReference w:id="4681"/>
      </w:r>
      <w:r w:rsidRPr="00E14121">
        <w:rPr>
          <w:rFonts w:ascii="Narkisim" w:hAnsi="Narkisim" w:cs="Narkisim"/>
          <w:rtl/>
        </w:rPr>
        <w:t>.</w:t>
      </w:r>
    </w:p>
    <w:p w14:paraId="113A7E5F"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ערול"נ</w:t>
      </w:r>
      <w:r w:rsidRPr="00E14121">
        <w:rPr>
          <w:rFonts w:ascii="Narkisim" w:hAnsi="Narkisim"/>
          <w:rtl/>
        </w:rPr>
        <w:t xml:space="preserve"> ביאר דתוס' הק' דוקא הכא</w:t>
      </w:r>
      <w:r w:rsidRPr="00E14121">
        <w:rPr>
          <w:rStyle w:val="ac"/>
          <w:rFonts w:ascii="Narkisim" w:hAnsi="Narkisim"/>
          <w:rtl/>
        </w:rPr>
        <w:footnoteReference w:id="4682"/>
      </w:r>
      <w:r w:rsidRPr="00E14121">
        <w:rPr>
          <w:rFonts w:ascii="Narkisim" w:hAnsi="Narkisim"/>
          <w:rtl/>
        </w:rPr>
        <w:t xml:space="preserve"> דר' יהודה אמר אם הלכה נקבל, משמע שלא היה לו קבלה מתנגדת לשיטת ר"ש. וא"כ למה לא קבל מיניה קבלתו</w:t>
      </w:r>
      <w:r w:rsidRPr="00E14121">
        <w:rPr>
          <w:rStyle w:val="ac"/>
          <w:rFonts w:ascii="Narkisim" w:hAnsi="Narkisim"/>
          <w:rtl/>
        </w:rPr>
        <w:footnoteReference w:id="4683"/>
      </w:r>
      <w:r w:rsidRPr="00E14121">
        <w:rPr>
          <w:rFonts w:ascii="Narkisim" w:hAnsi="Narkisim"/>
          <w:rtl/>
        </w:rPr>
        <w:t>. ע"כ שר' שמעון לא הביא הלכה למשה אלא בשם רבותיו שדנו כן מעצמם מק"ו, וכיון דר' יהודה לא ס"ל הק"ו, מש"ה לא קבל מר"ש קבלתו מרבותיו.</w:t>
      </w:r>
    </w:p>
    <w:p w14:paraId="0C0ECEA4" w14:textId="77777777" w:rsidR="00F64AED" w:rsidRPr="00E14121" w:rsidRDefault="00F64AED" w:rsidP="00F64AED">
      <w:pPr>
        <w:bidi/>
        <w:rPr>
          <w:rFonts w:ascii="Narkisim" w:hAnsi="Narkisim" w:cs="Narkisim"/>
        </w:rPr>
      </w:pPr>
      <w:r w:rsidRPr="00E14121">
        <w:rPr>
          <w:rFonts w:ascii="Narkisim" w:hAnsi="Narkisim" w:cs="Narkisim"/>
          <w:u w:val="single"/>
          <w:rtl/>
        </w:rPr>
        <w:t>שם. לאו הלממ"ס קאמר</w:t>
      </w:r>
      <w:r w:rsidRPr="00E14121">
        <w:rPr>
          <w:rFonts w:ascii="Narkisim" w:hAnsi="Narkisim" w:cs="Narkisim"/>
          <w:rtl/>
        </w:rPr>
        <w:t>. אבל ה</w:t>
      </w:r>
      <w:r w:rsidRPr="00E14121">
        <w:rPr>
          <w:rFonts w:ascii="Narkisim" w:hAnsi="Narkisim" w:cs="Narkisim"/>
          <w:b/>
          <w:bCs/>
          <w:rtl/>
        </w:rPr>
        <w:t>רמב"ם</w:t>
      </w:r>
      <w:r w:rsidRPr="00E14121">
        <w:rPr>
          <w:rFonts w:ascii="Narkisim" w:hAnsi="Narkisim" w:cs="Narkisim"/>
          <w:rtl/>
        </w:rPr>
        <w:t xml:space="preserve"> (איסו"ב יב יח) כתב דעמוני ולא עמונית הוה הלכה למשה מסיני</w:t>
      </w:r>
      <w:r w:rsidRPr="00E14121">
        <w:rPr>
          <w:rStyle w:val="ac"/>
          <w:rFonts w:ascii="Narkisim" w:hAnsi="Narkisim" w:cs="Narkisim"/>
          <w:rtl/>
        </w:rPr>
        <w:footnoteReference w:id="4684"/>
      </w:r>
      <w:r w:rsidRPr="00E14121">
        <w:rPr>
          <w:rFonts w:ascii="Narkisim" w:hAnsi="Narkisim" w:cs="Narkisim"/>
          <w:rtl/>
        </w:rPr>
        <w:t xml:space="preserve"> [משמע דכוונת ר' שמעון דהללמ"ס קאי אף אמצרי].</w:t>
      </w:r>
    </w:p>
    <w:p w14:paraId="2F1A3209"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xml:space="preserve"> </w:t>
      </w:r>
      <w:r w:rsidRPr="00E14121">
        <w:rPr>
          <w:rFonts w:ascii="Narkisim" w:hAnsi="Narkisim"/>
          <w:b/>
          <w:bCs/>
          <w:rtl/>
        </w:rPr>
        <w:t>רע"א</w:t>
      </w:r>
      <w:r w:rsidRPr="00E14121">
        <w:rPr>
          <w:rFonts w:ascii="Narkisim" w:hAnsi="Narkisim"/>
          <w:rtl/>
        </w:rPr>
        <w:t xml:space="preserve"> הק' דטפי הו"ל לתוס' להוכיח מדברי ר' שמעון גופיה, כיון דאיכא ק"ו למה לי ההלכה. וצ"ע.</w:t>
      </w:r>
    </w:p>
    <w:p w14:paraId="1AFE4F8D" w14:textId="77777777" w:rsidR="00F64AED" w:rsidRPr="00E14121" w:rsidRDefault="00F64AED" w:rsidP="00F64AED">
      <w:pPr>
        <w:pStyle w:val="2"/>
        <w:bidi/>
        <w:rPr>
          <w:rFonts w:ascii="Narkisim" w:hAnsi="Narkisim"/>
        </w:rPr>
      </w:pPr>
      <w:r w:rsidRPr="00E14121">
        <w:rPr>
          <w:rFonts w:ascii="Narkisim" w:hAnsi="Narkisim"/>
          <w:rtl/>
        </w:rPr>
        <w:t>מצרי</w:t>
      </w:r>
    </w:p>
    <w:p w14:paraId="293E8441" w14:textId="77777777" w:rsidR="00F64AED" w:rsidRPr="00E14121" w:rsidRDefault="00F64AED" w:rsidP="00F64AED">
      <w:pPr>
        <w:bidi/>
        <w:rPr>
          <w:rFonts w:ascii="Narkisim" w:hAnsi="Narkisim" w:cs="Narkisim"/>
        </w:rPr>
      </w:pPr>
      <w:r w:rsidRPr="00E14121">
        <w:rPr>
          <w:rFonts w:ascii="Narkisim" w:hAnsi="Narkisim" w:cs="Narkisim"/>
          <w:u w:val="single"/>
          <w:rtl/>
        </w:rPr>
        <w:t>רש"י ד"ה אשר יולדו.</w:t>
      </w:r>
      <w:r w:rsidRPr="00E14121">
        <w:rPr>
          <w:rFonts w:ascii="Narkisim" w:hAnsi="Narkisim" w:cs="Narkisim"/>
          <w:rtl/>
        </w:rPr>
        <w:t xml:space="preserve"> אפי' נקיבה במשמע, ל"א תלה הבנים באם וכו' דאם היא ראשונה הבן שני. [לכאורה כ"ז לר' דימי לקמן עח.]. ואי לאו דנקבות אסורות למאי הילכתא תלאן בלידה. וכ"כ ה</w:t>
      </w:r>
      <w:r w:rsidRPr="00E14121">
        <w:rPr>
          <w:rFonts w:ascii="Narkisim" w:hAnsi="Narkisim" w:cs="Narkisim"/>
          <w:b/>
          <w:bCs/>
          <w:rtl/>
        </w:rPr>
        <w:t>תו"י</w:t>
      </w:r>
      <w:r w:rsidRPr="00E14121">
        <w:rPr>
          <w:rFonts w:ascii="Narkisim" w:hAnsi="Narkisim" w:cs="Narkisim"/>
          <w:rtl/>
        </w:rPr>
        <w:t xml:space="preserve"> (עז.) דבהך  קרא גלי דנקיבות אסורות</w:t>
      </w:r>
      <w:r w:rsidRPr="00E14121">
        <w:rPr>
          <w:rStyle w:val="ac"/>
          <w:rFonts w:ascii="Narkisim" w:hAnsi="Narkisim" w:cs="Narkisim"/>
          <w:rtl/>
        </w:rPr>
        <w:footnoteReference w:id="4685"/>
      </w:r>
      <w:r w:rsidRPr="00E14121">
        <w:rPr>
          <w:rFonts w:ascii="Narkisim" w:hAnsi="Narkisim" w:cs="Narkisim"/>
          <w:rtl/>
        </w:rPr>
        <w:t xml:space="preserve">. </w:t>
      </w:r>
      <w:r w:rsidRPr="00E14121">
        <w:rPr>
          <w:rFonts w:ascii="Narkisim" w:hAnsi="Narkisim" w:cs="Narkisim"/>
          <w:sz w:val="20"/>
          <w:szCs w:val="20"/>
          <w:rtl/>
        </w:rPr>
        <w:t>וכן משמע בדברי ר' יהודה, דנקט הלשון תלאן בלידה לומר דהבנות אסורות.</w:t>
      </w:r>
      <w:r w:rsidRPr="00E14121">
        <w:rPr>
          <w:rFonts w:ascii="Narkisim" w:hAnsi="Narkisim" w:cs="Narkisim"/>
          <w:rtl/>
        </w:rPr>
        <w:t xml:space="preserve"> [ומבואר דאילו האם מותרת לא יתכן שהבן אסור מחמתה. ואין סברא לומר דהוה תנאי בנים ולא בנות. ודלא כדברי הקובה"ע, ע"ע בסמוך].</w:t>
      </w:r>
    </w:p>
    <w:p w14:paraId="5E6475A6" w14:textId="77777777" w:rsidR="00F64AED" w:rsidRPr="00E14121" w:rsidRDefault="00F64AED" w:rsidP="00F64AED">
      <w:pPr>
        <w:bidi/>
        <w:rPr>
          <w:rFonts w:ascii="Narkisim" w:hAnsi="Narkisim" w:cs="Narkisim"/>
        </w:rPr>
      </w:pPr>
      <w:r w:rsidRPr="00E14121">
        <w:rPr>
          <w:rFonts w:ascii="Narkisim" w:hAnsi="Narkisim" w:cs="Narkisim"/>
          <w:u w:val="single"/>
          <w:rtl/>
        </w:rPr>
        <w:t>כיון דאמר מר קהל גרים לא איקרי קהל, מצרי שני במה יטהר</w:t>
      </w:r>
      <w:r w:rsidRPr="00E14121">
        <w:rPr>
          <w:rFonts w:ascii="Narkisim" w:hAnsi="Narkisim" w:cs="Narkisim"/>
          <w:rtl/>
        </w:rPr>
        <w:t>. ה</w:t>
      </w:r>
      <w:r w:rsidRPr="00E14121">
        <w:rPr>
          <w:rFonts w:ascii="Narkisim" w:hAnsi="Narkisim" w:cs="Narkisim"/>
          <w:b/>
          <w:bCs/>
          <w:rtl/>
        </w:rPr>
        <w:t>רשב"א</w:t>
      </w:r>
      <w:r w:rsidRPr="00E14121">
        <w:rPr>
          <w:rFonts w:ascii="Narkisim" w:hAnsi="Narkisim" w:cs="Narkisim"/>
          <w:rtl/>
        </w:rPr>
        <w:t xml:space="preserve"> דייק דלר' יהודה עמוני אסור בעמונית [אף דהוה אותו אומה], דהא הויא קהל ד' אצלו. דאל"כ מצרי ישא מצרית, ועי"ז יש לו דורות</w:t>
      </w:r>
      <w:r w:rsidRPr="00E14121">
        <w:rPr>
          <w:rStyle w:val="ac"/>
          <w:rFonts w:ascii="Narkisim" w:hAnsi="Narkisim" w:cs="Narkisim"/>
          <w:rtl/>
        </w:rPr>
        <w:footnoteReference w:id="4686"/>
      </w:r>
      <w:r w:rsidRPr="00E14121">
        <w:rPr>
          <w:rFonts w:ascii="Narkisim" w:hAnsi="Narkisim" w:cs="Narkisim"/>
          <w:rtl/>
        </w:rPr>
        <w:t>. אלא עמוני נושא מצרית</w:t>
      </w:r>
      <w:r w:rsidRPr="00E14121">
        <w:rPr>
          <w:rStyle w:val="ac"/>
          <w:rFonts w:ascii="Narkisim" w:hAnsi="Narkisim" w:cs="Narkisim"/>
          <w:rtl/>
        </w:rPr>
        <w:footnoteReference w:id="4687"/>
      </w:r>
      <w:r w:rsidRPr="00E14121">
        <w:rPr>
          <w:rFonts w:ascii="Narkisim" w:hAnsi="Narkisim" w:cs="Narkisim"/>
          <w:rtl/>
        </w:rPr>
        <w:t xml:space="preserve"> וממזרת</w:t>
      </w:r>
      <w:r w:rsidRPr="00E14121">
        <w:rPr>
          <w:rStyle w:val="ac"/>
          <w:rFonts w:ascii="Narkisim" w:hAnsi="Narkisim" w:cs="Narkisim"/>
          <w:rtl/>
        </w:rPr>
        <w:footnoteReference w:id="4688"/>
      </w:r>
      <w:r w:rsidRPr="00E14121">
        <w:rPr>
          <w:rFonts w:ascii="Narkisim" w:hAnsi="Narkisim" w:cs="Narkisim"/>
          <w:rtl/>
        </w:rPr>
        <w:t>, דר' יהודה מודה דמותר בגרים פסולים.</w:t>
      </w:r>
    </w:p>
    <w:p w14:paraId="4F023872" w14:textId="77777777" w:rsidR="00F64AED" w:rsidRPr="00E14121" w:rsidRDefault="00F64AED" w:rsidP="00F64AED">
      <w:pPr>
        <w:pStyle w:val="a8"/>
        <w:bidi/>
        <w:rPr>
          <w:rFonts w:ascii="Narkisim" w:hAnsi="Narkisim"/>
        </w:rPr>
      </w:pPr>
      <w:r w:rsidRPr="00E14121">
        <w:rPr>
          <w:rFonts w:ascii="Narkisim" w:hAnsi="Narkisim"/>
          <w:rtl/>
        </w:rPr>
        <w:t>והביא דב</w:t>
      </w:r>
      <w:r w:rsidRPr="00E14121">
        <w:rPr>
          <w:rFonts w:ascii="Narkisim" w:hAnsi="Narkisim"/>
          <w:b/>
          <w:bCs/>
          <w:rtl/>
        </w:rPr>
        <w:t>ירושלמי</w:t>
      </w:r>
      <w:r w:rsidRPr="00E14121">
        <w:rPr>
          <w:rFonts w:ascii="Narkisim" w:hAnsi="Narkisim"/>
          <w:rtl/>
        </w:rPr>
        <w:t xml:space="preserve"> (כאן ב מז: בדה"ס) דנו לר' יהודה דאף גרים פסולין הוה קהל ד', ואסור לעמוני במצרית. ותי' דמשחררין לו שפחה. [וה</w:t>
      </w:r>
      <w:r w:rsidRPr="00E14121">
        <w:rPr>
          <w:rFonts w:ascii="Narkisim" w:hAnsi="Narkisim"/>
          <w:b/>
          <w:bCs/>
          <w:rtl/>
        </w:rPr>
        <w:t>פני משה</w:t>
      </w:r>
      <w:r w:rsidRPr="00E14121">
        <w:rPr>
          <w:rFonts w:ascii="Narkisim" w:hAnsi="Narkisim"/>
          <w:rtl/>
        </w:rPr>
        <w:t xml:space="preserve"> פי' דישא שפחה, ואח"כ ישחרר את הולד להכשירו</w:t>
      </w:r>
      <w:r w:rsidRPr="00E14121">
        <w:rPr>
          <w:rStyle w:val="ac"/>
          <w:rFonts w:ascii="Narkisim" w:hAnsi="Narkisim"/>
          <w:rtl/>
        </w:rPr>
        <w:footnoteReference w:id="4689"/>
      </w:r>
      <w:r w:rsidRPr="00E14121">
        <w:rPr>
          <w:rFonts w:ascii="Narkisim" w:hAnsi="Narkisim"/>
          <w:rtl/>
        </w:rPr>
        <w:t>].</w:t>
      </w:r>
    </w:p>
    <w:p w14:paraId="233C50C5"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רשב"א</w:t>
      </w:r>
      <w:r w:rsidRPr="00E14121">
        <w:rPr>
          <w:rFonts w:ascii="Narkisim" w:hAnsi="Narkisim" w:cs="Narkisim"/>
          <w:rtl/>
        </w:rPr>
        <w:t xml:space="preserve"> הקשה ישא שפחה, וכר' טרפון (קידושין סט.) דיכולים ממזרים להטהר ע"י שנושא שפחה, וישחרר את הבנים. תי' דא"כ לאו מצרי שלישי הוא, אלא עבד משוחרר.</w:t>
      </w:r>
    </w:p>
    <w:p w14:paraId="5BF369DC" w14:textId="77777777" w:rsidR="00F64AED" w:rsidRPr="00E14121" w:rsidRDefault="00F64AED" w:rsidP="00F64AED">
      <w:pPr>
        <w:pStyle w:val="a8"/>
        <w:bidi/>
        <w:rPr>
          <w:rFonts w:ascii="Narkisim" w:hAnsi="Narkisim"/>
        </w:rPr>
      </w:pPr>
      <w:r w:rsidRPr="00E14121">
        <w:rPr>
          <w:rFonts w:ascii="Narkisim" w:hAnsi="Narkisim"/>
          <w:rtl/>
        </w:rPr>
        <w:lastRenderedPageBreak/>
        <w:t xml:space="preserve">אבל </w:t>
      </w:r>
      <w:r w:rsidRPr="00E14121">
        <w:rPr>
          <w:rFonts w:ascii="Narkisim" w:hAnsi="Narkisim"/>
          <w:b/>
          <w:bCs/>
          <w:rtl/>
        </w:rPr>
        <w:t>תוס</w:t>
      </w:r>
      <w:r w:rsidRPr="00E14121">
        <w:rPr>
          <w:rFonts w:ascii="Narkisim" w:hAnsi="Narkisim"/>
          <w:rtl/>
        </w:rPr>
        <w:t>' (לקמן עט. וכ"מ) נקטו דמצרי אסור בשפחה. ודוקא ממזר הותר בשפחה.</w:t>
      </w:r>
    </w:p>
    <w:p w14:paraId="24310406"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(הנ"ל) נקט דאם ישא שפחה, הולד לא הוה מצרי. אבל ה</w:t>
      </w:r>
      <w:r w:rsidRPr="00E14121">
        <w:rPr>
          <w:rFonts w:ascii="Narkisim" w:hAnsi="Narkisim" w:cs="Narkisim"/>
          <w:b/>
          <w:bCs/>
          <w:rtl/>
        </w:rPr>
        <w:t>ירושלמי</w:t>
      </w:r>
      <w:r w:rsidRPr="00E14121">
        <w:rPr>
          <w:rFonts w:ascii="Narkisim" w:hAnsi="Narkisim" w:cs="Narkisim"/>
          <w:rtl/>
        </w:rPr>
        <w:t xml:space="preserve"> (הל' ג מט. בדה"ס) מסתפקת האם בעבדים עולה דורות</w:t>
      </w:r>
      <w:r w:rsidRPr="00E14121">
        <w:rPr>
          <w:rStyle w:val="ac"/>
          <w:rFonts w:ascii="Narkisim" w:hAnsi="Narkisim" w:cs="Narkisim"/>
          <w:rtl/>
        </w:rPr>
        <w:footnoteReference w:id="4690"/>
      </w:r>
      <w:r w:rsidRPr="00E14121">
        <w:rPr>
          <w:rFonts w:ascii="Narkisim" w:hAnsi="Narkisim" w:cs="Narkisim"/>
          <w:rtl/>
        </w:rPr>
        <w:t>, והירושלמי מביאה דעבד גר עמוני שנשא שפחה מצרית, דהבנים אסורים לעולם, והבנות אחר ג' דורות מותרות (וע' לקמן עח:). וה</w:t>
      </w:r>
      <w:r w:rsidRPr="00E14121">
        <w:rPr>
          <w:rFonts w:ascii="Narkisim" w:hAnsi="Narkisim" w:cs="Narkisim"/>
          <w:b/>
          <w:bCs/>
          <w:rtl/>
        </w:rPr>
        <w:t>אחרונים</w:t>
      </w:r>
      <w:r w:rsidRPr="00E14121">
        <w:rPr>
          <w:rFonts w:ascii="Narkisim" w:hAnsi="Narkisim" w:cs="Narkisim"/>
          <w:rtl/>
        </w:rPr>
        <w:t xml:space="preserve"> הביאו דאין לעבדים יחס (כדלעיל סב.), היינו לענין שאין בנו מתייחס אחריו, אפ"ה אזלי' אחר הזכר להחשב 'עמוני'.</w:t>
      </w:r>
    </w:p>
    <w:p w14:paraId="077431A0"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ב"ח</w:t>
      </w:r>
      <w:r w:rsidRPr="00E14121">
        <w:rPr>
          <w:rFonts w:ascii="Narkisim" w:hAnsi="Narkisim" w:cs="Narkisim"/>
          <w:rtl/>
        </w:rPr>
        <w:t xml:space="preserve"> (אה"ע ד קו"א) נקט דגר מצרי הבא על עובדת כוכבים, הבן הוה מצרי</w:t>
      </w:r>
      <w:r w:rsidRPr="00E14121">
        <w:rPr>
          <w:rStyle w:val="ac"/>
          <w:rFonts w:ascii="Narkisim" w:hAnsi="Narkisim" w:cs="Narkisim"/>
          <w:rtl/>
        </w:rPr>
        <w:footnoteReference w:id="4691"/>
      </w:r>
      <w:r w:rsidRPr="00E14121">
        <w:rPr>
          <w:rFonts w:ascii="Narkisim" w:hAnsi="Narkisim" w:cs="Narkisim"/>
          <w:rtl/>
        </w:rPr>
        <w:t>, וכך גרס בדברי ה</w:t>
      </w:r>
      <w:r w:rsidRPr="00E14121">
        <w:rPr>
          <w:rFonts w:ascii="Narkisim" w:hAnsi="Narkisim" w:cs="Narkisim"/>
          <w:b/>
          <w:bCs/>
          <w:rtl/>
        </w:rPr>
        <w:t>רמ"א</w:t>
      </w:r>
      <w:r w:rsidRPr="00E14121">
        <w:rPr>
          <w:rFonts w:ascii="Narkisim" w:hAnsi="Narkisim" w:cs="Narkisim"/>
          <w:rtl/>
        </w:rPr>
        <w:t xml:space="preserve"> (ד ז) דגר מצרי שנשא כותי עמונית הבן הוא עמוני והגירסא ישנה דהבת מצרית. אבל ה</w:t>
      </w:r>
      <w:r w:rsidRPr="00E14121">
        <w:rPr>
          <w:rFonts w:ascii="Narkisim" w:hAnsi="Narkisim" w:cs="Narkisim"/>
          <w:b/>
          <w:bCs/>
          <w:rtl/>
        </w:rPr>
        <w:t>חלק"מ</w:t>
      </w:r>
      <w:r w:rsidRPr="00E14121">
        <w:rPr>
          <w:rFonts w:ascii="Narkisim" w:hAnsi="Narkisim" w:cs="Narkisim"/>
          <w:rtl/>
        </w:rPr>
        <w:t xml:space="preserve"> (ד ד, וגר"א שם טו) כת' לגרוס הבת מותרת. דישראל הבא על עובדת כוכבים ולדה כמותה, ואין בו את הפסול של האב.</w:t>
      </w:r>
    </w:p>
    <w:p w14:paraId="0FA079A1" w14:textId="77777777" w:rsidR="00F64AED" w:rsidRPr="00E14121" w:rsidRDefault="00F64AED" w:rsidP="00F64AED">
      <w:pPr>
        <w:pStyle w:val="a7"/>
        <w:bidi/>
        <w:rPr>
          <w:rFonts w:ascii="Narkisim" w:hAnsi="Narkisim"/>
        </w:rPr>
      </w:pPr>
      <w:r w:rsidRPr="00E14121">
        <w:rPr>
          <w:rFonts w:ascii="Narkisim" w:hAnsi="Narkisim"/>
          <w:rtl/>
        </w:rPr>
        <w:t>ולדברי הב"ח מבואר דהאומה לא תליא ביחס לאב</w:t>
      </w:r>
      <w:r w:rsidRPr="00E14121">
        <w:rPr>
          <w:rStyle w:val="ac"/>
          <w:rFonts w:ascii="Narkisim" w:hAnsi="Narkisim"/>
          <w:rtl/>
        </w:rPr>
        <w:footnoteReference w:id="4692"/>
      </w:r>
      <w:r w:rsidRPr="00E14121">
        <w:rPr>
          <w:rFonts w:ascii="Narkisim" w:hAnsi="Narkisim"/>
          <w:rtl/>
        </w:rPr>
        <w:t xml:space="preserve">. ולפ"ז הא דממזר הבא על עכו"ם, הולד אינו ממזר הוא משום דלא תפסי פסול ממזרות בעכו"ם. </w:t>
      </w:r>
      <w:r w:rsidRPr="00E14121">
        <w:rPr>
          <w:rFonts w:ascii="Narkisim" w:hAnsi="Narkisim"/>
          <w:sz w:val="20"/>
          <w:szCs w:val="20"/>
          <w:rtl/>
        </w:rPr>
        <w:t>[אבל עכו"ם מצרי שבא על בת ישראל אף לב"ח הולד אינו מצרי].</w:t>
      </w:r>
    </w:p>
    <w:p w14:paraId="1A66D94D" w14:textId="77777777" w:rsidR="00F64AED" w:rsidRPr="00E14121" w:rsidRDefault="00F64AED" w:rsidP="00F64AED">
      <w:pPr>
        <w:pStyle w:val="3"/>
        <w:bidi/>
        <w:rPr>
          <w:rFonts w:ascii="Narkisim" w:hAnsi="Narkisim"/>
        </w:rPr>
      </w:pPr>
      <w:r w:rsidRPr="00E14121">
        <w:rPr>
          <w:rFonts w:ascii="Narkisim" w:hAnsi="Narkisim"/>
          <w:rtl/>
        </w:rPr>
        <w:t>דף עח.</w:t>
      </w:r>
    </w:p>
    <w:p w14:paraId="76AB2135" w14:textId="77777777" w:rsidR="00F64AED" w:rsidRPr="00E14121" w:rsidRDefault="00F64AED" w:rsidP="00F64AED">
      <w:pPr>
        <w:pStyle w:val="aa"/>
        <w:bidi/>
        <w:rPr>
          <w:rFonts w:ascii="Narkisim" w:hAnsi="Narkisim"/>
        </w:rPr>
      </w:pPr>
      <w:r w:rsidRPr="00E14121">
        <w:rPr>
          <w:rFonts w:ascii="Narkisim" w:hAnsi="Narkisim"/>
          <w:u w:val="single"/>
          <w:rtl/>
        </w:rPr>
        <w:t>תוד"ה מצרי.</w:t>
      </w:r>
      <w:r w:rsidRPr="00E14121">
        <w:rPr>
          <w:rFonts w:ascii="Narkisim" w:hAnsi="Narkisim"/>
          <w:rtl/>
        </w:rPr>
        <w:t xml:space="preserve"> וא"ת ישא שתוקית וכו' הא בקהל ספק יבא. ה</w:t>
      </w:r>
      <w:r w:rsidRPr="00E14121">
        <w:rPr>
          <w:rFonts w:ascii="Narkisim" w:hAnsi="Narkisim"/>
          <w:b/>
          <w:bCs/>
          <w:rtl/>
        </w:rPr>
        <w:t xml:space="preserve">שעה"מ </w:t>
      </w:r>
      <w:r w:rsidRPr="00E14121">
        <w:rPr>
          <w:rFonts w:ascii="Narkisim" w:hAnsi="Narkisim"/>
          <w:rtl/>
        </w:rPr>
        <w:t>(איסו"ב טו כא) הביא דמבואר בתוס' דשתוקית מותרת במצרי, והק' אמאי לא נאסר מספק. והוכיח דאף בשאר איסורי קהל הותר מספק.</w:t>
      </w:r>
    </w:p>
    <w:p w14:paraId="1E25DDF9" w14:textId="77777777" w:rsidR="00F64AED" w:rsidRPr="00E14121" w:rsidRDefault="00F64AED" w:rsidP="00F64AED">
      <w:pPr>
        <w:bidi/>
        <w:rPr>
          <w:rFonts w:ascii="Narkisim" w:hAnsi="Narkisim" w:cs="Narkisim"/>
        </w:rPr>
      </w:pPr>
      <w:r w:rsidRPr="00E14121">
        <w:rPr>
          <w:rFonts w:ascii="Narkisim" w:hAnsi="Narkisim" w:cs="Narkisim"/>
          <w:u w:val="single"/>
          <w:rtl/>
        </w:rPr>
        <w:t>בא"ד וא"ת ישא נתינה</w:t>
      </w:r>
      <w:r w:rsidRPr="00E14121">
        <w:rPr>
          <w:rStyle w:val="ac"/>
          <w:rFonts w:ascii="Narkisim" w:hAnsi="Narkisim" w:cs="Narkisim"/>
          <w:u w:val="single"/>
          <w:rtl/>
        </w:rPr>
        <w:footnoteReference w:id="4693"/>
      </w:r>
      <w:r w:rsidRPr="00E14121">
        <w:rPr>
          <w:rFonts w:ascii="Narkisim" w:hAnsi="Narkisim" w:cs="Narkisim"/>
          <w:u w:val="single"/>
          <w:rtl/>
        </w:rPr>
        <w:t xml:space="preserve"> והולד כשר לר' יוחנן</w:t>
      </w:r>
      <w:r w:rsidRPr="00E14121">
        <w:rPr>
          <w:rStyle w:val="ac"/>
          <w:rFonts w:ascii="Narkisim" w:hAnsi="Narkisim" w:cs="Narkisim"/>
          <w:u w:val="single"/>
          <w:rtl/>
        </w:rPr>
        <w:footnoteReference w:id="4694"/>
      </w:r>
      <w:r w:rsidRPr="00E14121">
        <w:rPr>
          <w:rFonts w:ascii="Narkisim" w:hAnsi="Narkisim" w:cs="Narkisim"/>
          <w:u w:val="single"/>
          <w:rtl/>
        </w:rPr>
        <w:t xml:space="preserve"> וכו' דבתר דידיה שדינן וכו'.</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(טור"א מגילה יד:, פנ"י קידושין סז ועוד) תמהו דהיינו דוקא במצרית ומצרית [וכמ"ש תוס' קידושין סז., הו' בסמוך], אבל מצרי שנשא נתינה דהוה ב' עממין, הולך אחר הפגום (וע' בסמוך). וכן תי' ה</w:t>
      </w:r>
      <w:r w:rsidRPr="00E14121">
        <w:rPr>
          <w:rFonts w:ascii="Narkisim" w:hAnsi="Narkisim" w:cs="Narkisim"/>
          <w:b/>
          <w:bCs/>
          <w:rtl/>
        </w:rPr>
        <w:t>תוס' הרא"ש</w:t>
      </w:r>
      <w:r w:rsidRPr="00E14121">
        <w:rPr>
          <w:rFonts w:ascii="Narkisim" w:hAnsi="Narkisim" w:cs="Narkisim"/>
          <w:rtl/>
        </w:rPr>
        <w:t xml:space="preserve"> (על קו' התוס') דר' יוחנן לא קאמר אלא בנשא מצרית, אבל אם נתערבו באומה אחרת אחר הפגום.</w:t>
      </w:r>
    </w:p>
    <w:p w14:paraId="2DC16CB4" w14:textId="77777777" w:rsidR="00F64AED" w:rsidRPr="00E14121" w:rsidRDefault="00F64AED" w:rsidP="00F64AED">
      <w:pPr>
        <w:pStyle w:val="a7"/>
        <w:bidi/>
        <w:rPr>
          <w:rFonts w:ascii="Narkisim" w:hAnsi="Narkisim"/>
        </w:rPr>
      </w:pPr>
      <w:r w:rsidRPr="00E14121">
        <w:rPr>
          <w:rFonts w:ascii="Narkisim" w:hAnsi="Narkisim"/>
          <w:rtl/>
        </w:rPr>
        <w:t>ומדברי ה</w:t>
      </w:r>
      <w:r w:rsidRPr="00E14121">
        <w:rPr>
          <w:rFonts w:ascii="Narkisim" w:hAnsi="Narkisim"/>
          <w:b/>
          <w:bCs/>
          <w:rtl/>
        </w:rPr>
        <w:t>תוס</w:t>
      </w:r>
      <w:r w:rsidRPr="00E14121">
        <w:rPr>
          <w:rFonts w:ascii="Narkisim" w:hAnsi="Narkisim"/>
          <w:rtl/>
        </w:rPr>
        <w:t>' משמע דכיון דליכא עבירה לא אמרי' הלך אחר הפגום</w:t>
      </w:r>
      <w:r w:rsidRPr="00E14121">
        <w:rPr>
          <w:rStyle w:val="ac"/>
          <w:rFonts w:ascii="Narkisim" w:hAnsi="Narkisim"/>
          <w:rtl/>
        </w:rPr>
        <w:footnoteReference w:id="4695"/>
      </w:r>
      <w:r w:rsidRPr="00E14121">
        <w:rPr>
          <w:rFonts w:ascii="Narkisim" w:hAnsi="Narkisim"/>
          <w:rtl/>
        </w:rPr>
        <w:t xml:space="preserve">. </w:t>
      </w:r>
      <w:r w:rsidRPr="00E14121">
        <w:rPr>
          <w:rFonts w:ascii="Narkisim" w:hAnsi="Narkisim"/>
          <w:sz w:val="20"/>
          <w:szCs w:val="20"/>
          <w:rtl/>
        </w:rPr>
        <w:t>[וכמ"ש הרמב"ן ע' בסמוך]</w:t>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הקשו דבגמ' (בע"ב, וקידושין סז:) מבואר דעמוני שנשא מצרית אמרי' אחר הפגום, ולא בתר דידה </w:t>
      </w:r>
      <w:r w:rsidRPr="00E14121">
        <w:rPr>
          <w:rFonts w:ascii="Narkisim" w:hAnsi="Narkisim"/>
          <w:szCs w:val="20"/>
          <w:rtl/>
        </w:rPr>
        <w:t>[לדעת רבינא. ובגמ' בקידושין משמע דר' דימי לא פליג</w:t>
      </w:r>
      <w:r w:rsidRPr="00E14121">
        <w:rPr>
          <w:rStyle w:val="ac"/>
          <w:rFonts w:ascii="Narkisim" w:hAnsi="Narkisim"/>
          <w:szCs w:val="20"/>
          <w:rtl/>
        </w:rPr>
        <w:footnoteReference w:id="4696"/>
      </w:r>
      <w:r w:rsidRPr="00E14121">
        <w:rPr>
          <w:rFonts w:ascii="Narkisim" w:hAnsi="Narkisim"/>
          <w:szCs w:val="20"/>
          <w:rtl/>
        </w:rPr>
        <w:t>]</w:t>
      </w:r>
      <w:r w:rsidRPr="00E14121">
        <w:rPr>
          <w:rFonts w:ascii="Narkisim" w:hAnsi="Narkisim"/>
          <w:rtl/>
        </w:rPr>
        <w:t>.</w:t>
      </w:r>
    </w:p>
    <w:p w14:paraId="707407A9" w14:textId="77777777" w:rsidR="00F64AED" w:rsidRPr="00E14121" w:rsidRDefault="00F64AED" w:rsidP="00F64AED">
      <w:pPr>
        <w:pStyle w:val="aa"/>
        <w:bidi/>
        <w:rPr>
          <w:rFonts w:ascii="Narkisim" w:hAnsi="Narkisim"/>
        </w:rPr>
      </w:pPr>
      <w:r w:rsidRPr="00E14121">
        <w:rPr>
          <w:rFonts w:ascii="Narkisim" w:hAnsi="Narkisim"/>
          <w:u w:val="single"/>
          <w:rtl/>
        </w:rPr>
        <w:t>בא"ד וי"ל דר"י דהכא סבר כאידך כר' יוחנן, דא"ר דימי וכו'</w:t>
      </w:r>
      <w:r w:rsidRPr="00E14121">
        <w:rPr>
          <w:rFonts w:ascii="Narkisim" w:hAnsi="Narkisim"/>
          <w:rtl/>
        </w:rPr>
        <w:t>. דדעת ר' דימי דשדינן בתר דידה. ומסקנת הגמ' (בסמוך) דהטעם משום דהכתוב תלאן בלידה. וה</w:t>
      </w:r>
      <w:r w:rsidRPr="00E14121">
        <w:rPr>
          <w:rFonts w:ascii="Narkisim" w:hAnsi="Narkisim"/>
          <w:b/>
          <w:bCs/>
          <w:rtl/>
        </w:rPr>
        <w:t>מהרש"א</w:t>
      </w:r>
      <w:r w:rsidRPr="00E14121">
        <w:rPr>
          <w:rFonts w:ascii="Narkisim" w:hAnsi="Narkisim"/>
          <w:rtl/>
        </w:rPr>
        <w:t xml:space="preserve"> הק' דהכא קאי אי לאו דדרשי' הכתוב תלה בלידה. וביאר דב' דרשות האלו לא תלי בהדדי, והגמ' קאי כאן לצד דמצרית מותרת [ולא דרשינן תלאו בלידה לאסור הנקבות], ואפ"ה דרשי' דבתר אימיה שדינן ליה.</w:t>
      </w:r>
    </w:p>
    <w:p w14:paraId="2E56C92B" w14:textId="77777777" w:rsidR="00F64AED" w:rsidRPr="00E14121" w:rsidRDefault="00F64AED" w:rsidP="00F64AED">
      <w:pPr>
        <w:pStyle w:val="a8"/>
        <w:bidi/>
        <w:rPr>
          <w:rFonts w:ascii="Narkisim" w:hAnsi="Narkisim"/>
        </w:rPr>
      </w:pPr>
      <w:r w:rsidRPr="00E14121">
        <w:rPr>
          <w:rFonts w:ascii="Narkisim" w:hAnsi="Narkisim"/>
          <w:rtl/>
        </w:rPr>
        <w:t>אך צ"ב דכיון דמצרית מותרת, האיך שייך לתלות בתר דידה [דהיא היתר גמור]. וה</w:t>
      </w:r>
      <w:r w:rsidRPr="00E14121">
        <w:rPr>
          <w:rFonts w:ascii="Narkisim" w:hAnsi="Narkisim"/>
          <w:b/>
          <w:bCs/>
          <w:rtl/>
        </w:rPr>
        <w:t>מהרש"א</w:t>
      </w:r>
      <w:r w:rsidRPr="00E14121">
        <w:rPr>
          <w:rFonts w:ascii="Narkisim" w:hAnsi="Narkisim"/>
          <w:rtl/>
        </w:rPr>
        <w:t xml:space="preserve"> תי' דיש לדרוש קרא כגון שנשא נתנה.</w:t>
      </w:r>
    </w:p>
    <w:p w14:paraId="52704A51" w14:textId="77777777" w:rsidR="00F64AED" w:rsidRPr="00E14121" w:rsidRDefault="00F64AED" w:rsidP="00F64AED">
      <w:pPr>
        <w:pStyle w:val="a8"/>
        <w:bidi/>
        <w:rPr>
          <w:rFonts w:ascii="Narkisim" w:hAnsi="Narkisim"/>
        </w:rPr>
      </w:pPr>
      <w:r w:rsidRPr="00E14121">
        <w:rPr>
          <w:rFonts w:ascii="Narkisim" w:hAnsi="Narkisim"/>
          <w:rtl/>
        </w:rPr>
        <w:t xml:space="preserve">ויש </w:t>
      </w:r>
      <w:r w:rsidRPr="00E14121">
        <w:rPr>
          <w:rFonts w:ascii="Narkisim" w:hAnsi="Narkisim"/>
          <w:b/>
          <w:bCs/>
          <w:rtl/>
        </w:rPr>
        <w:t>אחרונים</w:t>
      </w:r>
      <w:r w:rsidRPr="00E14121">
        <w:rPr>
          <w:rFonts w:ascii="Narkisim" w:hAnsi="Narkisim"/>
          <w:rtl/>
        </w:rPr>
        <w:t xml:space="preserve"> שנדחקו דכוונת התוס' דלר' שמעון ע"כ סברת ר' דימי דלא אזלי' בתר הפגום, אלא בתר דידה [אף בב' אומות]. ועיל"פ דכוונת התוס' דר' דימי ע"כ לית ליה דרבה בב"ח, ולר' שמעון אזלי' בתר הפגום [ומש"ה הוה נתין].</w:t>
      </w:r>
    </w:p>
    <w:p w14:paraId="38DFDB25"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וה</w:t>
      </w:r>
      <w:r w:rsidRPr="00E14121">
        <w:rPr>
          <w:rFonts w:ascii="Narkisim" w:hAnsi="Narkisim" w:cs="Narkisim"/>
          <w:b/>
          <w:bCs/>
          <w:rtl/>
        </w:rPr>
        <w:t>טור"א</w:t>
      </w:r>
      <w:r w:rsidRPr="00E14121">
        <w:rPr>
          <w:rFonts w:ascii="Narkisim" w:hAnsi="Narkisim" w:cs="Narkisim"/>
          <w:rtl/>
        </w:rPr>
        <w:t xml:space="preserve"> (שם) הקשה לדברי ה</w:t>
      </w:r>
      <w:r w:rsidRPr="00E14121">
        <w:rPr>
          <w:rFonts w:ascii="Narkisim" w:hAnsi="Narkisim" w:cs="Narkisim"/>
          <w:b/>
          <w:bCs/>
          <w:rtl/>
        </w:rPr>
        <w:t>רמב"ן</w:t>
      </w:r>
      <w:r w:rsidRPr="00E14121">
        <w:rPr>
          <w:rFonts w:ascii="Narkisim" w:hAnsi="Narkisim" w:cs="Narkisim"/>
          <w:rtl/>
        </w:rPr>
        <w:t xml:space="preserve"> (עח:) דנתינים וז' אומות מותרין מדאורייתא בדור שני, א"כ יכול ליטהר ע"י נתינה. </w:t>
      </w:r>
      <w:r w:rsidRPr="00E14121">
        <w:rPr>
          <w:rFonts w:ascii="Narkisim" w:hAnsi="Narkisim" w:cs="Narkisim"/>
          <w:sz w:val="20"/>
          <w:szCs w:val="20"/>
          <w:rtl/>
        </w:rPr>
        <w:t>[ולתי' התוס' אזלי' בתר דידה לקולא, והולד נתין ואינו מצרי שני, אבל הקשה ע"ז].</w:t>
      </w:r>
      <w:r w:rsidRPr="00E14121">
        <w:rPr>
          <w:rFonts w:ascii="Narkisim" w:hAnsi="Narkisim" w:cs="Narkisim"/>
          <w:rtl/>
        </w:rPr>
        <w:t xml:space="preserve"> וצ"ע.</w:t>
      </w:r>
    </w:p>
    <w:p w14:paraId="7EE6EC7C" w14:textId="77777777" w:rsidR="00F64AED" w:rsidRPr="00E14121" w:rsidRDefault="00F64AED" w:rsidP="00F64AED">
      <w:pPr>
        <w:bidi/>
        <w:rPr>
          <w:rFonts w:ascii="Narkisim" w:hAnsi="Narkisim" w:cs="Narkisim"/>
        </w:rPr>
      </w:pPr>
      <w:r w:rsidRPr="00E14121">
        <w:rPr>
          <w:rFonts w:ascii="Narkisim" w:hAnsi="Narkisim" w:cs="Narkisim"/>
          <w:u w:val="single"/>
          <w:rtl/>
        </w:rPr>
        <w:t>דילמא דאי עבר ונסיב.</w:t>
      </w:r>
      <w:r w:rsidRPr="00E14121">
        <w:rPr>
          <w:rFonts w:ascii="Narkisim" w:hAnsi="Narkisim" w:cs="Narkisim"/>
          <w:rtl/>
        </w:rPr>
        <w:t xml:space="preserve"> ה</w:t>
      </w:r>
      <w:r w:rsidRPr="00E14121">
        <w:rPr>
          <w:rFonts w:ascii="Narkisim" w:hAnsi="Narkisim" w:cs="Narkisim"/>
          <w:b/>
          <w:bCs/>
          <w:rtl/>
        </w:rPr>
        <w:t>אחרונים</w:t>
      </w:r>
      <w:r w:rsidRPr="00E14121">
        <w:rPr>
          <w:rFonts w:ascii="Narkisim" w:hAnsi="Narkisim" w:cs="Narkisim"/>
          <w:rtl/>
        </w:rPr>
        <w:t xml:space="preserve"> הקשו דלדעת ה</w:t>
      </w:r>
      <w:r w:rsidRPr="00E14121">
        <w:rPr>
          <w:rFonts w:ascii="Narkisim" w:hAnsi="Narkisim" w:cs="Narkisim"/>
          <w:b/>
          <w:bCs/>
          <w:rtl/>
        </w:rPr>
        <w:t>רמב"ם</w:t>
      </w:r>
      <w:r w:rsidRPr="00E14121">
        <w:rPr>
          <w:rFonts w:ascii="Narkisim" w:hAnsi="Narkisim" w:cs="Narkisim"/>
          <w:rtl/>
        </w:rPr>
        <w:t xml:space="preserve"> (איסו"ב טו ב) כל חייבי לאוין אינו חייב אא"כ קידש, א"כ אמאי חשיב 'דאי', הא יכול לבא עליה בלא קידושין</w:t>
      </w:r>
      <w:r w:rsidRPr="00E14121">
        <w:rPr>
          <w:rStyle w:val="ac"/>
          <w:rFonts w:ascii="Narkisim" w:hAnsi="Narkisim" w:cs="Narkisim"/>
          <w:rtl/>
        </w:rPr>
        <w:footnoteReference w:id="4697"/>
      </w:r>
      <w:r w:rsidRPr="00E14121">
        <w:rPr>
          <w:rFonts w:ascii="Narkisim" w:hAnsi="Narkisim" w:cs="Narkisim"/>
          <w:rtl/>
        </w:rPr>
        <w:t xml:space="preserve">. </w:t>
      </w:r>
      <w:r w:rsidRPr="00E14121">
        <w:rPr>
          <w:rFonts w:ascii="Narkisim" w:hAnsi="Narkisim" w:cs="Narkisim"/>
          <w:szCs w:val="20"/>
          <w:rtl/>
        </w:rPr>
        <w:t xml:space="preserve">ויש שדנו </w:t>
      </w:r>
      <w:r w:rsidRPr="00E14121">
        <w:rPr>
          <w:rFonts w:ascii="Narkisim" w:hAnsi="Narkisim" w:cs="Narkisim"/>
          <w:szCs w:val="20"/>
          <w:rtl/>
        </w:rPr>
        <w:lastRenderedPageBreak/>
        <w:t>דכל דרך זנות נחשב 'דאי', דאינו דרך אישות</w:t>
      </w:r>
      <w:r w:rsidRPr="00E14121">
        <w:rPr>
          <w:rStyle w:val="ac"/>
          <w:rFonts w:ascii="Narkisim" w:hAnsi="Narkisim" w:cs="Narkisim"/>
          <w:szCs w:val="20"/>
          <w:rtl/>
        </w:rPr>
        <w:footnoteReference w:id="4698"/>
      </w:r>
      <w:r w:rsidRPr="00E14121">
        <w:rPr>
          <w:rFonts w:ascii="Narkisim" w:hAnsi="Narkisim" w:cs="Narkisim"/>
          <w:rtl/>
        </w:rPr>
        <w:t>.</w:t>
      </w:r>
    </w:p>
    <w:p w14:paraId="7C0B4D46"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או"ש</w:t>
      </w:r>
      <w:r w:rsidRPr="00E14121">
        <w:rPr>
          <w:rFonts w:ascii="Narkisim" w:hAnsi="Narkisim"/>
          <w:rtl/>
        </w:rPr>
        <w:t xml:space="preserve"> </w:t>
      </w:r>
      <w:r w:rsidRPr="00E14121">
        <w:rPr>
          <w:rFonts w:ascii="Narkisim" w:hAnsi="Narkisim"/>
          <w:szCs w:val="20"/>
          <w:rtl/>
        </w:rPr>
        <w:t xml:space="preserve">(אישות א ד) </w:t>
      </w:r>
      <w:r w:rsidRPr="00E14121">
        <w:rPr>
          <w:rFonts w:ascii="Narkisim" w:hAnsi="Narkisim"/>
          <w:rtl/>
        </w:rPr>
        <w:t>הוכיח מסוגיין דיש איסור עשה דאורייתא בפילגש [לדעת הרמב"ם], ולא הותר פילגש להדיוט</w:t>
      </w:r>
      <w:r w:rsidRPr="00E14121">
        <w:rPr>
          <w:rStyle w:val="ac"/>
          <w:rFonts w:ascii="Narkisim" w:hAnsi="Narkisim"/>
          <w:rtl/>
        </w:rPr>
        <w:footnoteReference w:id="4699"/>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תי' דסוגיין קאי לר' יהודה, ור' יהודה (בברייתא סנהדרין נג., ע' תוס' לעיל י.) ס"ל כר' עקיבא דאין קידושין תופסין בחייבי לאוין, ולר' עקיבא ודאי לוקה בלא קידש</w:t>
      </w:r>
      <w:r w:rsidRPr="00E14121">
        <w:rPr>
          <w:rStyle w:val="ac"/>
          <w:rFonts w:ascii="Narkisim" w:hAnsi="Narkisim"/>
          <w:rtl/>
        </w:rPr>
        <w:footnoteReference w:id="4700"/>
      </w:r>
      <w:r w:rsidRPr="00E14121">
        <w:rPr>
          <w:rFonts w:ascii="Narkisim" w:hAnsi="Narkisim"/>
          <w:rtl/>
        </w:rPr>
        <w:t>.</w:t>
      </w:r>
    </w:p>
    <w:p w14:paraId="58A07CED" w14:textId="77777777" w:rsidR="00F64AED" w:rsidRPr="00E14121" w:rsidRDefault="00F64AED" w:rsidP="00F64AED">
      <w:pPr>
        <w:pStyle w:val="aa"/>
        <w:bidi/>
        <w:rPr>
          <w:rFonts w:ascii="Narkisim" w:hAnsi="Narkisim"/>
        </w:rPr>
      </w:pPr>
      <w:r w:rsidRPr="00E14121">
        <w:rPr>
          <w:rFonts w:ascii="Narkisim" w:hAnsi="Narkisim"/>
          <w:u w:val="single"/>
          <w:rtl/>
        </w:rPr>
        <w:t>הרי ממזר 'דאי', וכתביה קרא וכו'.</w:t>
      </w:r>
      <w:r w:rsidRPr="00E14121">
        <w:rPr>
          <w:rFonts w:ascii="Narkisim" w:hAnsi="Narkisim"/>
          <w:rtl/>
        </w:rPr>
        <w:t xml:space="preserve"> </w:t>
      </w:r>
      <w:r w:rsidRPr="00E14121">
        <w:rPr>
          <w:rFonts w:ascii="Narkisim" w:hAnsi="Narkisim"/>
          <w:b/>
          <w:bCs/>
          <w:rtl/>
        </w:rPr>
        <w:t>רע"א</w:t>
      </w:r>
      <w:r w:rsidRPr="00E14121">
        <w:rPr>
          <w:rFonts w:ascii="Narkisim" w:hAnsi="Narkisim"/>
          <w:rtl/>
        </w:rPr>
        <w:t xml:space="preserve"> הקשה דר' יוחנן ס"ל דעכו"ם הבא על ב"י הולד ממזר [ו</w:t>
      </w:r>
      <w:r w:rsidRPr="00E14121">
        <w:rPr>
          <w:rFonts w:ascii="Narkisim" w:hAnsi="Narkisim"/>
          <w:b/>
          <w:bCs/>
          <w:rtl/>
        </w:rPr>
        <w:t>תוס</w:t>
      </w:r>
      <w:r w:rsidRPr="00E14121">
        <w:rPr>
          <w:rFonts w:ascii="Narkisim" w:hAnsi="Narkisim"/>
          <w:rtl/>
        </w:rPr>
        <w:t>' (לעיל טז:) כת' דמדאורייתא ביאת היתר הוא], והולד ממזר בלא איסור דאורייתא</w:t>
      </w:r>
      <w:r w:rsidRPr="00E14121">
        <w:rPr>
          <w:rStyle w:val="ac"/>
          <w:rFonts w:ascii="Narkisim" w:hAnsi="Narkisim"/>
          <w:rtl/>
        </w:rPr>
        <w:footnoteReference w:id="4701"/>
      </w:r>
      <w:r w:rsidRPr="00E14121">
        <w:rPr>
          <w:rFonts w:ascii="Narkisim" w:hAnsi="Narkisim"/>
          <w:rtl/>
        </w:rPr>
        <w:t>. ומשכחת ממזר בהיתר</w:t>
      </w:r>
      <w:r w:rsidRPr="00E14121">
        <w:rPr>
          <w:rStyle w:val="ac"/>
          <w:rFonts w:ascii="Narkisim" w:hAnsi="Narkisim"/>
          <w:rtl/>
        </w:rPr>
        <w:footnoteReference w:id="4702"/>
      </w:r>
      <w:r w:rsidRPr="00E14121">
        <w:rPr>
          <w:rFonts w:ascii="Narkisim" w:hAnsi="Narkisim"/>
          <w:rtl/>
        </w:rPr>
        <w:t>.</w:t>
      </w:r>
    </w:p>
    <w:p w14:paraId="1FE56BBD" w14:textId="77777777" w:rsidR="00F64AED" w:rsidRPr="00E14121" w:rsidRDefault="00F64AED" w:rsidP="00F64AED">
      <w:pPr>
        <w:pStyle w:val="aa"/>
        <w:bidi/>
        <w:rPr>
          <w:rFonts w:ascii="Narkisim" w:hAnsi="Narkisim"/>
        </w:rPr>
      </w:pPr>
      <w:r w:rsidRPr="00E14121">
        <w:rPr>
          <w:rFonts w:ascii="Narkisim" w:hAnsi="Narkisim"/>
          <w:u w:val="single"/>
          <w:rtl/>
        </w:rPr>
        <w:t>לאותן העומדים על הר סיני.</w:t>
      </w:r>
      <w:r w:rsidRPr="00E14121">
        <w:rPr>
          <w:rFonts w:ascii="Narkisim" w:hAnsi="Narkisim"/>
          <w:rtl/>
        </w:rPr>
        <w:t xml:space="preserve"> ב</w:t>
      </w:r>
      <w:r w:rsidRPr="00E14121">
        <w:rPr>
          <w:rFonts w:ascii="Narkisim" w:hAnsi="Narkisim"/>
          <w:b/>
          <w:bCs/>
          <w:rtl/>
        </w:rPr>
        <w:t>תוס' מהר"ם ור"פ</w:t>
      </w:r>
      <w:r w:rsidRPr="00E14121">
        <w:rPr>
          <w:rFonts w:ascii="Narkisim" w:hAnsi="Narkisim"/>
          <w:rtl/>
        </w:rPr>
        <w:t xml:space="preserve"> ביאר דאף דכל התורה אמרי' שנצטוו לדורות, הכא נתרחקו מהמצריים ששעבדום במצרים.</w:t>
      </w:r>
    </w:p>
    <w:p w14:paraId="3F62EAC2" w14:textId="77777777" w:rsidR="00F64AED" w:rsidRPr="00E14121" w:rsidRDefault="00F64AED" w:rsidP="00F64AED">
      <w:pPr>
        <w:pStyle w:val="2"/>
        <w:bidi/>
        <w:rPr>
          <w:rFonts w:ascii="Narkisim" w:hAnsi="Narkisim"/>
        </w:rPr>
      </w:pPr>
      <w:r w:rsidRPr="00E14121">
        <w:rPr>
          <w:rFonts w:ascii="Narkisim" w:hAnsi="Narkisim"/>
          <w:rtl/>
        </w:rPr>
        <w:t>מנין דורות במצרי</w:t>
      </w:r>
    </w:p>
    <w:p w14:paraId="50D4D7B0" w14:textId="77777777" w:rsidR="00F64AED" w:rsidRPr="00E14121" w:rsidRDefault="00F64AED" w:rsidP="00F64AED">
      <w:pPr>
        <w:bidi/>
        <w:rPr>
          <w:rFonts w:ascii="Narkisim" w:hAnsi="Narkisim" w:cs="Narkisim"/>
        </w:rPr>
      </w:pPr>
      <w:r w:rsidRPr="00E14121">
        <w:rPr>
          <w:rFonts w:ascii="Narkisim" w:hAnsi="Narkisim" w:cs="Narkisim"/>
          <w:u w:val="single"/>
          <w:rtl/>
        </w:rPr>
        <w:t>מצרית שנתגיירה וכו'.</w:t>
      </w:r>
      <w:r w:rsidRPr="00E14121">
        <w:rPr>
          <w:rFonts w:ascii="Narkisim" w:hAnsi="Narkisim" w:cs="Narkisim"/>
          <w:rtl/>
        </w:rPr>
        <w:t xml:space="preserve"> ה</w:t>
      </w:r>
      <w:r w:rsidRPr="00E14121">
        <w:rPr>
          <w:rFonts w:ascii="Narkisim" w:hAnsi="Narkisim" w:cs="Narkisim"/>
          <w:b/>
          <w:bCs/>
          <w:rtl/>
        </w:rPr>
        <w:t>מנח"ח</w:t>
      </w:r>
      <w:r w:rsidRPr="00E14121">
        <w:rPr>
          <w:rFonts w:ascii="Narkisim" w:hAnsi="Narkisim" w:cs="Narkisim"/>
          <w:rtl/>
        </w:rPr>
        <w:t xml:space="preserve"> (תקסג ה) דייק דלכאורה משמע מהגמ' והפוסקים דתלי באשה, שהיא מצרית. [שסתמו אף כשנתעברה מבן אומה אחרת]. ואף דקי"ל באומות הלך אחר הזכר</w:t>
      </w:r>
      <w:r w:rsidRPr="00E14121">
        <w:rPr>
          <w:rStyle w:val="ac"/>
          <w:rFonts w:ascii="Narkisim" w:hAnsi="Narkisim" w:cs="Narkisim"/>
          <w:rtl/>
        </w:rPr>
        <w:footnoteReference w:id="4703"/>
      </w:r>
      <w:r w:rsidRPr="00E14121">
        <w:rPr>
          <w:rFonts w:ascii="Narkisim" w:hAnsi="Narkisim" w:cs="Narkisim"/>
          <w:rtl/>
        </w:rPr>
        <w:t>, ה"מ כשנולד עכו"ם. אבל הכא שנתגיירה מעוברת מתייחס אחריה</w:t>
      </w:r>
      <w:r w:rsidRPr="00E14121">
        <w:rPr>
          <w:rStyle w:val="ac"/>
          <w:rFonts w:ascii="Narkisim" w:hAnsi="Narkisim" w:cs="Narkisim"/>
          <w:rtl/>
        </w:rPr>
        <w:footnoteReference w:id="4704"/>
      </w:r>
      <w:r w:rsidRPr="00E14121">
        <w:rPr>
          <w:rFonts w:ascii="Narkisim" w:hAnsi="Narkisim" w:cs="Narkisim"/>
          <w:rtl/>
        </w:rPr>
        <w:t>.</w:t>
      </w:r>
    </w:p>
    <w:p w14:paraId="10635228"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מנח"ח</w:t>
      </w:r>
      <w:r w:rsidRPr="00E14121">
        <w:rPr>
          <w:rFonts w:ascii="Narkisim" w:hAnsi="Narkisim"/>
          <w:rtl/>
        </w:rPr>
        <w:t xml:space="preserve"> ביאר דבעודה במעי אמו אינו מתייחס אחר אביו</w:t>
      </w:r>
      <w:r w:rsidRPr="00E14121">
        <w:rPr>
          <w:rStyle w:val="ac"/>
          <w:rFonts w:ascii="Narkisim" w:hAnsi="Narkisim"/>
          <w:rtl/>
        </w:rPr>
        <w:footnoteReference w:id="4705"/>
      </w:r>
      <w:r w:rsidRPr="00E14121">
        <w:rPr>
          <w:rFonts w:ascii="Narkisim" w:hAnsi="Narkisim"/>
          <w:rtl/>
        </w:rPr>
        <w:t>, ולכן מצרית</w:t>
      </w:r>
      <w:r w:rsidRPr="00E14121">
        <w:rPr>
          <w:rStyle w:val="ac"/>
          <w:rFonts w:ascii="Narkisim" w:hAnsi="Narkisim"/>
          <w:rtl/>
        </w:rPr>
        <w:footnoteReference w:id="4706"/>
      </w:r>
      <w:r w:rsidRPr="00E14121">
        <w:rPr>
          <w:rFonts w:ascii="Narkisim" w:hAnsi="Narkisim"/>
          <w:rtl/>
        </w:rPr>
        <w:t xml:space="preserve"> מעוברת [מעם אחר] שנתגיירה בנה מצרי, ואף דאילו נולד לפני שנתגייר אמרי' באומות הלך אחר הזכר ואינו מצרי. וכן לקולא עמוני או מצרי שנשא משאר אומות, ונתגיירה מעוברת הבן מותר מיד.</w:t>
      </w:r>
    </w:p>
    <w:p w14:paraId="4D538C7E" w14:textId="77777777" w:rsidR="00F64AED" w:rsidRPr="00E14121" w:rsidRDefault="00F64AED" w:rsidP="00F64AED">
      <w:pPr>
        <w:pStyle w:val="a7"/>
        <w:bidi/>
        <w:rPr>
          <w:rFonts w:ascii="Narkisim" w:hAnsi="Narkisim"/>
        </w:rPr>
      </w:pPr>
      <w:r w:rsidRPr="00E14121">
        <w:rPr>
          <w:rFonts w:ascii="Narkisim" w:hAnsi="Narkisim"/>
          <w:rtl/>
        </w:rPr>
        <w:t>ולכאורה כוונת ה</w:t>
      </w:r>
      <w:r w:rsidRPr="00E14121">
        <w:rPr>
          <w:rFonts w:ascii="Narkisim" w:hAnsi="Narkisim"/>
          <w:b/>
          <w:bCs/>
          <w:rtl/>
        </w:rPr>
        <w:t>מנח"ח</w:t>
      </w:r>
      <w:r w:rsidRPr="00E14121">
        <w:rPr>
          <w:rFonts w:ascii="Narkisim" w:hAnsi="Narkisim"/>
          <w:rtl/>
        </w:rPr>
        <w:t xml:space="preserve"> דהא דבאומות הלך אחר הזכר הוה דוקא כשיש יחס לזכר. אבל במקום דאין יחס זכר, נחשב דשייך לאומה של אמו. וכן מפורש ב</w:t>
      </w:r>
      <w:r w:rsidRPr="00E14121">
        <w:rPr>
          <w:rFonts w:ascii="Narkisim" w:hAnsi="Narkisim"/>
          <w:b/>
          <w:bCs/>
          <w:rtl/>
        </w:rPr>
        <w:t>שו"ע</w:t>
      </w:r>
      <w:r w:rsidRPr="00E14121">
        <w:rPr>
          <w:rFonts w:ascii="Narkisim" w:hAnsi="Narkisim"/>
          <w:rtl/>
        </w:rPr>
        <w:t xml:space="preserve"> (ד ה) דישראל הבא על א' מהאומות [שלא נתגיירה], בנה כמוה, והוה עמוני. דכיון דאינו מתייחס אחרי אביו נחשב עמוני מחמת אמו.</w:t>
      </w:r>
      <w:r w:rsidRPr="00E14121">
        <w:rPr>
          <w:rFonts w:ascii="Narkisim" w:hAnsi="Narkisim"/>
          <w:sz w:val="20"/>
          <w:szCs w:val="20"/>
          <w:rtl/>
        </w:rPr>
        <w:t xml:space="preserve"> וה</w:t>
      </w:r>
      <w:r w:rsidRPr="00E14121">
        <w:rPr>
          <w:rFonts w:ascii="Narkisim" w:hAnsi="Narkisim"/>
          <w:b/>
          <w:bCs/>
          <w:sz w:val="20"/>
          <w:szCs w:val="20"/>
          <w:rtl/>
        </w:rPr>
        <w:t>קובה"ע</w:t>
      </w:r>
      <w:r w:rsidRPr="00E14121">
        <w:rPr>
          <w:rFonts w:ascii="Narkisim" w:hAnsi="Narkisim"/>
          <w:sz w:val="20"/>
          <w:szCs w:val="20"/>
          <w:rtl/>
        </w:rPr>
        <w:t xml:space="preserve"> (מד ד) חקר בעמונית [גיורת] שנתעברה מעכו"ם, האם אמרי' דהבן עמוני, ע"פ דברי הגמ' (בכורות מז.) דלויה שנתעברה מעכו"ם הבן לוי ופטור מפדיון הבן</w:t>
      </w:r>
      <w:r w:rsidRPr="00E14121">
        <w:rPr>
          <w:rStyle w:val="ac"/>
          <w:rFonts w:ascii="Narkisim" w:hAnsi="Narkisim"/>
          <w:sz w:val="20"/>
          <w:szCs w:val="20"/>
          <w:rtl/>
        </w:rPr>
        <w:footnoteReference w:id="4707"/>
      </w:r>
      <w:r w:rsidRPr="00E14121">
        <w:rPr>
          <w:rFonts w:ascii="Narkisim" w:hAnsi="Narkisim"/>
          <w:sz w:val="20"/>
          <w:szCs w:val="20"/>
          <w:rtl/>
        </w:rPr>
        <w:t>, דכיון דאין לו אב הוה לוי מחמת אמו.</w:t>
      </w:r>
    </w:p>
    <w:p w14:paraId="19418DF3" w14:textId="77777777" w:rsidR="00F64AED" w:rsidRPr="00E14121" w:rsidRDefault="00F64AED" w:rsidP="00F64AED">
      <w:pPr>
        <w:bidi/>
        <w:rPr>
          <w:rFonts w:ascii="Narkisim" w:hAnsi="Narkisim" w:cs="Narkisim"/>
        </w:rPr>
      </w:pPr>
      <w:r w:rsidRPr="00E14121">
        <w:rPr>
          <w:rFonts w:ascii="Narkisim" w:hAnsi="Narkisim" w:cs="Narkisim"/>
          <w:u w:val="single"/>
          <w:rtl/>
        </w:rPr>
        <w:t>היא ובנה חד.</w:t>
      </w:r>
      <w:r w:rsidRPr="00E14121">
        <w:rPr>
          <w:rFonts w:ascii="Narkisim" w:hAnsi="Narkisim" w:cs="Narkisim"/>
          <w:rtl/>
        </w:rPr>
        <w:t xml:space="preserve"> וה</w:t>
      </w:r>
      <w:r w:rsidRPr="00E14121">
        <w:rPr>
          <w:rFonts w:ascii="Narkisim" w:hAnsi="Narkisim" w:cs="Narkisim"/>
          <w:b/>
          <w:bCs/>
          <w:rtl/>
        </w:rPr>
        <w:t>אבנ"מ</w:t>
      </w:r>
      <w:r w:rsidRPr="00E14121">
        <w:rPr>
          <w:rFonts w:ascii="Narkisim" w:hAnsi="Narkisim" w:cs="Narkisim"/>
          <w:rtl/>
        </w:rPr>
        <w:t xml:space="preserve"> (ד ב) הקשה הא מבואר לקמן [דלמ"ד עובר לאו ירך אמו] נחשב שהוא בעצמו נתגייר, א"כ אמאי אינו מצרי ראשון. ותי' דגזיה"כ אשר יולדו דאזלי' בתר לידה, וכל שנולד הו"ל מצרי שני</w:t>
      </w:r>
      <w:r w:rsidRPr="00E14121">
        <w:rPr>
          <w:rStyle w:val="ac"/>
          <w:rFonts w:ascii="Narkisim" w:hAnsi="Narkisim" w:cs="Narkisim"/>
          <w:rtl/>
        </w:rPr>
        <w:footnoteReference w:id="4708"/>
      </w:r>
      <w:r w:rsidRPr="00E14121">
        <w:rPr>
          <w:rFonts w:ascii="Narkisim" w:hAnsi="Narkisim" w:cs="Narkisim"/>
          <w:rtl/>
        </w:rPr>
        <w:t>.</w:t>
      </w:r>
    </w:p>
    <w:p w14:paraId="02EF6465" w14:textId="77777777" w:rsidR="00F64AED" w:rsidRPr="00E14121" w:rsidRDefault="00F64AED" w:rsidP="00F64AED">
      <w:pPr>
        <w:bidi/>
        <w:rPr>
          <w:rFonts w:ascii="Narkisim" w:hAnsi="Narkisim" w:cs="Narkisim"/>
        </w:rPr>
      </w:pPr>
      <w:r w:rsidRPr="00E14121">
        <w:rPr>
          <w:rFonts w:ascii="Narkisim" w:hAnsi="Narkisim" w:cs="Narkisim"/>
          <w:u w:val="single"/>
          <w:rtl/>
        </w:rPr>
        <w:t>תוד"ה הו"א.</w:t>
      </w:r>
      <w:r w:rsidRPr="00E14121">
        <w:rPr>
          <w:rFonts w:ascii="Narkisim" w:hAnsi="Narkisim" w:cs="Narkisim"/>
          <w:rtl/>
        </w:rPr>
        <w:t xml:space="preserve"> ואי כר' שמעון היכי ס"ד דהיא ובנה חד, כיון דקסבר מצרי ולא מצרית. ע"פ </w:t>
      </w:r>
      <w:r w:rsidRPr="00E14121">
        <w:rPr>
          <w:rFonts w:ascii="Narkisim" w:hAnsi="Narkisim" w:cs="Narkisim"/>
          <w:rtl/>
        </w:rPr>
        <w:lastRenderedPageBreak/>
        <w:t>דברי המנח"ח (הנ"ל) הכא נמי איירי אף שאביו אינו מצרי, ואפ"ה הוה מצרי מחמת אמו</w:t>
      </w:r>
      <w:r w:rsidRPr="00E14121">
        <w:rPr>
          <w:rStyle w:val="ac"/>
          <w:rFonts w:ascii="Narkisim" w:hAnsi="Narkisim" w:cs="Narkisim"/>
          <w:rtl/>
        </w:rPr>
        <w:footnoteReference w:id="4709"/>
      </w:r>
      <w:r w:rsidRPr="00E14121">
        <w:rPr>
          <w:rFonts w:ascii="Narkisim" w:hAnsi="Narkisim" w:cs="Narkisim"/>
          <w:rtl/>
        </w:rPr>
        <w:t>. ובזה דנו התוס' דכיון שאמו מותרת אין לנו לומר שהיא ובנה חד.</w:t>
      </w:r>
    </w:p>
    <w:p w14:paraId="34EB2440" w14:textId="77777777" w:rsidR="00F64AED" w:rsidRPr="00E14121" w:rsidRDefault="00F64AED" w:rsidP="00F64AED">
      <w:pPr>
        <w:pStyle w:val="a7"/>
        <w:bidi/>
        <w:rPr>
          <w:rFonts w:ascii="Narkisim" w:hAnsi="Narkisim"/>
        </w:rPr>
      </w:pPr>
      <w:r w:rsidRPr="00E14121">
        <w:rPr>
          <w:rFonts w:ascii="Narkisim" w:hAnsi="Narkisim"/>
          <w:rtl/>
        </w:rPr>
        <w:t>ומשמע בתוס' דאליבא דאמת הולד הוא מצרי שני. ומבואר בתוס' דכיון שהולד הוא זכר אסור משום מצרי, ואף שאמו מותרת [לר' שמעון].</w:t>
      </w:r>
    </w:p>
    <w:p w14:paraId="3BDA6F83" w14:textId="77777777" w:rsidR="00F64AED" w:rsidRPr="00E14121" w:rsidRDefault="00F64AED" w:rsidP="00F64AED">
      <w:pPr>
        <w:pStyle w:val="aa"/>
        <w:bidi/>
        <w:rPr>
          <w:rFonts w:ascii="Narkisim" w:hAnsi="Narkisim"/>
        </w:rPr>
      </w:pPr>
      <w:r w:rsidRPr="00E14121">
        <w:rPr>
          <w:rFonts w:ascii="Narkisim" w:hAnsi="Narkisim"/>
          <w:rtl/>
        </w:rPr>
        <w:t xml:space="preserve">ויש שהעירו מ"ש ממש"כ </w:t>
      </w:r>
      <w:r w:rsidRPr="00E14121">
        <w:rPr>
          <w:rFonts w:ascii="Narkisim" w:hAnsi="Narkisim"/>
          <w:b/>
          <w:bCs/>
          <w:rtl/>
        </w:rPr>
        <w:t>רש"י</w:t>
      </w:r>
      <w:r w:rsidRPr="00E14121">
        <w:rPr>
          <w:rFonts w:ascii="Narkisim" w:hAnsi="Narkisim"/>
          <w:rtl/>
        </w:rPr>
        <w:t xml:space="preserve"> (עז: בלישנא אחרינא) דלמ"ד הכתוב תלאן בלידת האם, ע"כ דהאם ג"כ אסורה. ולכאורה תוס' חולק וס"ל דנחשב מצרי שני מחמת האם, ואף דהיא מותרת.</w:t>
      </w:r>
    </w:p>
    <w:p w14:paraId="45F4D147" w14:textId="77777777" w:rsidR="00F64AED" w:rsidRPr="00E14121" w:rsidRDefault="00F64AED" w:rsidP="00F64AED">
      <w:pPr>
        <w:pStyle w:val="aa"/>
        <w:bidi/>
        <w:rPr>
          <w:rFonts w:ascii="Narkisim" w:hAnsi="Narkisim"/>
        </w:rPr>
      </w:pPr>
      <w:r w:rsidRPr="00E14121">
        <w:rPr>
          <w:rFonts w:ascii="Narkisim" w:hAnsi="Narkisim"/>
          <w:u w:val="single"/>
          <w:rtl/>
        </w:rPr>
        <w:t>להם, הלך אחר פסולן</w:t>
      </w:r>
      <w:r w:rsidRPr="00E14121">
        <w:rPr>
          <w:rFonts w:ascii="Narkisim" w:hAnsi="Narkisim"/>
          <w:rtl/>
        </w:rPr>
        <w:t>. פ</w:t>
      </w:r>
      <w:r w:rsidRPr="00E14121">
        <w:rPr>
          <w:rFonts w:ascii="Narkisim" w:hAnsi="Narkisim"/>
          <w:b/>
          <w:bCs/>
          <w:rtl/>
        </w:rPr>
        <w:t>רש"י</w:t>
      </w:r>
      <w:r w:rsidRPr="00E14121">
        <w:rPr>
          <w:rFonts w:ascii="Narkisim" w:hAnsi="Narkisim"/>
          <w:rtl/>
        </w:rPr>
        <w:t xml:space="preserve"> מצרי שנשא ישראלית, וישראל שנשא מצרית. דילפי' מהכא הלך אחר הפגום, ואיצטריך וכו' [גבי ממזר]. [ומפסוקים אלו המקור למשנה (קידושין סו:) דכל מקום שיש קידושין ויש עבירה אחר הפגום]. ה</w:t>
      </w:r>
      <w:r w:rsidRPr="00E14121">
        <w:rPr>
          <w:rFonts w:ascii="Narkisim" w:hAnsi="Narkisim"/>
          <w:b/>
          <w:bCs/>
          <w:rtl/>
        </w:rPr>
        <w:t>אבנ"מ</w:t>
      </w:r>
      <w:r w:rsidRPr="00E14121">
        <w:rPr>
          <w:rFonts w:ascii="Narkisim" w:hAnsi="Narkisim"/>
          <w:rtl/>
        </w:rPr>
        <w:t xml:space="preserve"> (ד ח) הביא צד דאיסור עשה לא מקרי 'עבירה'. וכת' די"ל דמ"מ ילפינן מהדדי דאף היכא דליכא עבירה אזלי' בתר הפגום. וממצרי ילפינן דממזר שנשא גיורת [בהיתר], דהבן ממזר.</w:t>
      </w:r>
    </w:p>
    <w:p w14:paraId="5C0D5EB8" w14:textId="77777777" w:rsidR="00F64AED" w:rsidRPr="00E14121" w:rsidRDefault="00F64AED" w:rsidP="00F64AED">
      <w:pPr>
        <w:bidi/>
        <w:rPr>
          <w:rFonts w:ascii="Narkisim" w:hAnsi="Narkisim" w:cs="Narkisim"/>
        </w:rPr>
      </w:pPr>
      <w:r w:rsidRPr="00E14121">
        <w:rPr>
          <w:rFonts w:ascii="Narkisim" w:hAnsi="Narkisim" w:cs="Narkisim"/>
          <w:u w:val="single"/>
          <w:rtl/>
        </w:rPr>
        <w:t>אמר רבה בר בר חנה אר"י וכו' בנה שלישי הואי, אלמא קסבר בתר דידיה שדינן וכו'.</w:t>
      </w:r>
      <w:r w:rsidRPr="00E14121">
        <w:rPr>
          <w:rFonts w:ascii="Narkisim" w:hAnsi="Narkisim" w:cs="Narkisim"/>
          <w:rtl/>
        </w:rPr>
        <w:t xml:space="preserve"> ה</w:t>
      </w:r>
      <w:r w:rsidRPr="00E14121">
        <w:rPr>
          <w:rFonts w:ascii="Narkisim" w:hAnsi="Narkisim" w:cs="Narkisim"/>
          <w:b/>
          <w:bCs/>
          <w:rtl/>
        </w:rPr>
        <w:t>ראשונים</w:t>
      </w:r>
      <w:r w:rsidRPr="00E14121">
        <w:rPr>
          <w:rFonts w:ascii="Narkisim" w:hAnsi="Narkisim" w:cs="Narkisim"/>
          <w:rtl/>
        </w:rPr>
        <w:t xml:space="preserve"> הק' דנימא הלך אחר הפגום [כדתנן קידושין סו:]. וה</w:t>
      </w:r>
      <w:r w:rsidRPr="00E14121">
        <w:rPr>
          <w:rFonts w:ascii="Narkisim" w:hAnsi="Narkisim" w:cs="Narkisim"/>
          <w:b/>
          <w:bCs/>
          <w:rtl/>
        </w:rPr>
        <w:t>רמב"ן</w:t>
      </w:r>
      <w:r w:rsidRPr="00E14121">
        <w:rPr>
          <w:rFonts w:ascii="Narkisim" w:hAnsi="Narkisim" w:cs="Narkisim"/>
          <w:rtl/>
        </w:rPr>
        <w:t xml:space="preserve"> ו</w:t>
      </w:r>
      <w:r w:rsidRPr="00E14121">
        <w:rPr>
          <w:rFonts w:ascii="Narkisim" w:hAnsi="Narkisim" w:cs="Narkisim"/>
          <w:b/>
          <w:bCs/>
          <w:rtl/>
        </w:rPr>
        <w:t>רשב"א</w:t>
      </w:r>
      <w:r w:rsidRPr="00E14121">
        <w:rPr>
          <w:rFonts w:ascii="Narkisim" w:hAnsi="Narkisim" w:cs="Narkisim"/>
          <w:rtl/>
        </w:rPr>
        <w:t xml:space="preserve"> תי' דכיון דאין עבירה בביאתן הולכין אחר הזכר, וכדתנן (שם) כל מקום שיש קידושין ואין עבירה הולד הולך אחר הזכר. וה</w:t>
      </w:r>
      <w:r w:rsidRPr="00E14121">
        <w:rPr>
          <w:rFonts w:ascii="Narkisim" w:hAnsi="Narkisim" w:cs="Narkisim"/>
          <w:b/>
          <w:bCs/>
          <w:rtl/>
        </w:rPr>
        <w:t>אחרונים</w:t>
      </w:r>
      <w:r w:rsidRPr="00E14121">
        <w:rPr>
          <w:rFonts w:ascii="Narkisim" w:hAnsi="Narkisim" w:cs="Narkisim"/>
          <w:rtl/>
        </w:rPr>
        <w:t xml:space="preserve"> הקשו דגר שנשא ממזרת אין עבירה, ואפ"ה אמרי' אחר הפגום</w:t>
      </w:r>
      <w:r w:rsidRPr="00E14121">
        <w:rPr>
          <w:rStyle w:val="ac"/>
          <w:rFonts w:ascii="Narkisim" w:hAnsi="Narkisim" w:cs="Narkisim"/>
          <w:rtl/>
        </w:rPr>
        <w:footnoteReference w:id="4710"/>
      </w:r>
      <w:r w:rsidRPr="00E14121">
        <w:rPr>
          <w:rFonts w:ascii="Narkisim" w:hAnsi="Narkisim" w:cs="Narkisim"/>
          <w:rtl/>
        </w:rPr>
        <w:t xml:space="preserve"> והולד ממזר</w:t>
      </w:r>
      <w:r w:rsidRPr="00E14121">
        <w:rPr>
          <w:rStyle w:val="ac"/>
          <w:rFonts w:ascii="Narkisim" w:hAnsi="Narkisim" w:cs="Narkisim"/>
          <w:rtl/>
        </w:rPr>
        <w:footnoteReference w:id="4711"/>
      </w:r>
      <w:r w:rsidRPr="00E14121">
        <w:rPr>
          <w:rFonts w:ascii="Narkisim" w:hAnsi="Narkisim" w:cs="Narkisim"/>
          <w:rtl/>
        </w:rPr>
        <w:t xml:space="preserve">. </w:t>
      </w:r>
      <w:r w:rsidRPr="00E14121">
        <w:rPr>
          <w:rFonts w:ascii="Narkisim" w:hAnsi="Narkisim" w:cs="Narkisim"/>
          <w:szCs w:val="20"/>
          <w:rtl/>
        </w:rPr>
        <w:t>וצ"ל דאף דגר מותר בממזרת מ"מ נחשב שיש פגם. ולא תליא באיסור בפועל אלא בפגם. [אך צ"ע א"כ אף מצרי ואדומי נימא הכי]</w:t>
      </w:r>
      <w:r w:rsidRPr="00E14121">
        <w:rPr>
          <w:rStyle w:val="ac"/>
          <w:rFonts w:ascii="Narkisim" w:hAnsi="Narkisim" w:cs="Narkisim"/>
          <w:szCs w:val="20"/>
          <w:rtl/>
        </w:rPr>
        <w:footnoteReference w:id="4712"/>
      </w:r>
      <w:r w:rsidRPr="00E14121">
        <w:rPr>
          <w:rFonts w:ascii="Narkisim" w:hAnsi="Narkisim" w:cs="Narkisim"/>
          <w:szCs w:val="20"/>
          <w:rtl/>
        </w:rPr>
        <w:t>.</w:t>
      </w:r>
    </w:p>
    <w:p w14:paraId="07F78F17" w14:textId="77777777" w:rsidR="00F64AED" w:rsidRPr="00E14121" w:rsidRDefault="00F64AED" w:rsidP="00F64AED">
      <w:pPr>
        <w:pStyle w:val="a7"/>
        <w:bidi/>
        <w:rPr>
          <w:rFonts w:ascii="Narkisim" w:hAnsi="Narkisim"/>
        </w:rPr>
      </w:pPr>
      <w:r w:rsidRPr="00E14121">
        <w:rPr>
          <w:rFonts w:ascii="Narkisim" w:hAnsi="Narkisim"/>
          <w:rtl/>
        </w:rPr>
        <w:t xml:space="preserve">וכה"ק </w:t>
      </w:r>
      <w:r w:rsidRPr="00E14121">
        <w:rPr>
          <w:rFonts w:ascii="Narkisim" w:hAnsi="Narkisim"/>
          <w:b/>
          <w:bCs/>
          <w:rtl/>
        </w:rPr>
        <w:t>רש"י</w:t>
      </w:r>
      <w:r w:rsidRPr="00E14121">
        <w:rPr>
          <w:rFonts w:ascii="Narkisim" w:hAnsi="Narkisim"/>
          <w:rtl/>
        </w:rPr>
        <w:t xml:space="preserve"> (קידושין סז. ד"ה בנה), ורש"י תי' דדוקא מצרי שנשא ישראלית או ישראל מצרית, דהולד הולך אחר המצרי, דוילדו להם כתיב</w:t>
      </w:r>
      <w:r w:rsidRPr="00E14121">
        <w:rPr>
          <w:rStyle w:val="ac"/>
          <w:rFonts w:ascii="Narkisim" w:hAnsi="Narkisim"/>
          <w:rtl/>
        </w:rPr>
        <w:footnoteReference w:id="4713"/>
      </w:r>
      <w:r w:rsidRPr="00E14121">
        <w:rPr>
          <w:rFonts w:ascii="Narkisim" w:hAnsi="Narkisim"/>
          <w:rtl/>
        </w:rPr>
        <w:t>. אבל לענין מצרי ומצרית תרוייהו 'להם' קרינן ביה, הוא מצרי והיא מצרית. [ומשמע דכוונתו ע"ד הנ"ל דל"ש 'אחר הפגום' באומה א'</w:t>
      </w:r>
      <w:r w:rsidRPr="00E14121">
        <w:rPr>
          <w:rStyle w:val="ac"/>
          <w:rFonts w:ascii="Narkisim" w:hAnsi="Narkisim"/>
          <w:rtl/>
        </w:rPr>
        <w:footnoteReference w:id="4714"/>
      </w:r>
      <w:r w:rsidRPr="00E14121">
        <w:rPr>
          <w:rFonts w:ascii="Narkisim" w:hAnsi="Narkisim"/>
          <w:rtl/>
        </w:rPr>
        <w:t>].</w:t>
      </w:r>
    </w:p>
    <w:p w14:paraId="3F391B74"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w:t>
      </w:r>
      <w:r w:rsidRPr="00E14121">
        <w:rPr>
          <w:rFonts w:ascii="Narkisim" w:hAnsi="Narkisim"/>
          <w:szCs w:val="20"/>
          <w:rtl/>
        </w:rPr>
        <w:t>(</w:t>
      </w:r>
      <w:r w:rsidRPr="00E14121">
        <w:rPr>
          <w:rFonts w:ascii="Narkisim" w:hAnsi="Narkisim"/>
          <w:sz w:val="20"/>
          <w:szCs w:val="20"/>
          <w:rtl/>
        </w:rPr>
        <w:t>שם, והתו"י ותוס' מהר"ם ור"פ בסוגיין)</w:t>
      </w:r>
      <w:r w:rsidRPr="00E14121">
        <w:rPr>
          <w:rFonts w:ascii="Narkisim" w:hAnsi="Narkisim"/>
          <w:rtl/>
        </w:rPr>
        <w:t xml:space="preserve"> תי' דקרא איירי בב' עממים אחר הפסול שבכל עם ועם, אבל כששניהם עם א' לא שייך לומר כן</w:t>
      </w:r>
      <w:r w:rsidRPr="00E14121">
        <w:rPr>
          <w:rStyle w:val="ac"/>
          <w:rFonts w:ascii="Narkisim" w:hAnsi="Narkisim"/>
          <w:rtl/>
        </w:rPr>
        <w:footnoteReference w:id="4715"/>
      </w:r>
      <w:r w:rsidRPr="00E14121">
        <w:rPr>
          <w:rFonts w:ascii="Narkisim" w:hAnsi="Narkisim"/>
          <w:rtl/>
        </w:rPr>
        <w:t xml:space="preserve">. ויש </w:t>
      </w:r>
      <w:r w:rsidRPr="00E14121">
        <w:rPr>
          <w:rFonts w:ascii="Narkisim" w:hAnsi="Narkisim"/>
          <w:b/>
          <w:bCs/>
          <w:rtl/>
        </w:rPr>
        <w:t>אחרונים</w:t>
      </w:r>
      <w:r w:rsidRPr="00E14121">
        <w:rPr>
          <w:rFonts w:ascii="Narkisim" w:hAnsi="Narkisim"/>
          <w:rtl/>
        </w:rPr>
        <w:t xml:space="preserve"> (ע' משנת ר"א כד, חי' ר' שמואל יט) שביארו דכיון דשניהם מצרים, יש שם מצרי על הבן. והיתר מנין הדורות וריחוק מהעכו"ם הוה נידון בפנ"ע</w:t>
      </w:r>
      <w:r w:rsidRPr="00E14121">
        <w:rPr>
          <w:rStyle w:val="ac"/>
          <w:rFonts w:ascii="Narkisim" w:hAnsi="Narkisim"/>
          <w:rtl/>
        </w:rPr>
        <w:footnoteReference w:id="4716"/>
      </w:r>
      <w:r w:rsidRPr="00E14121">
        <w:rPr>
          <w:rFonts w:ascii="Narkisim" w:hAnsi="Narkisim"/>
          <w:rtl/>
        </w:rPr>
        <w:t>.</w:t>
      </w:r>
    </w:p>
    <w:p w14:paraId="0CDF108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הביאו דמבואר דאף מצרי שני יש עליו 'שם מצרי' </w:t>
      </w:r>
      <w:r w:rsidRPr="00E14121">
        <w:rPr>
          <w:rFonts w:ascii="Narkisim" w:hAnsi="Narkisim"/>
          <w:sz w:val="20"/>
          <w:szCs w:val="20"/>
          <w:rtl/>
        </w:rPr>
        <w:t>[ומדינא אף בנו הוה מצרי, אלא דיש היתר של דורות</w:t>
      </w:r>
      <w:r w:rsidRPr="00E14121">
        <w:rPr>
          <w:rStyle w:val="ac"/>
          <w:rFonts w:ascii="Narkisim" w:hAnsi="Narkisim"/>
          <w:sz w:val="20"/>
          <w:szCs w:val="20"/>
          <w:rtl/>
        </w:rPr>
        <w:footnoteReference w:id="4717"/>
      </w:r>
      <w:r w:rsidRPr="00E14121">
        <w:rPr>
          <w:rFonts w:ascii="Narkisim" w:hAnsi="Narkisim"/>
          <w:sz w:val="20"/>
          <w:szCs w:val="20"/>
          <w:rtl/>
        </w:rPr>
        <w:t>].</w:t>
      </w:r>
      <w:r w:rsidRPr="00E14121">
        <w:rPr>
          <w:rFonts w:ascii="Narkisim" w:hAnsi="Narkisim"/>
          <w:rtl/>
        </w:rPr>
        <w:t xml:space="preserve"> ולכן נחשב דהבן נחשב נולד מעם א', וכאן אין היתר של דורות מחמת אמו. </w:t>
      </w:r>
      <w:r w:rsidRPr="00E14121">
        <w:rPr>
          <w:rFonts w:ascii="Narkisim" w:hAnsi="Narkisim"/>
          <w:sz w:val="20"/>
          <w:szCs w:val="20"/>
          <w:rtl/>
        </w:rPr>
        <w:t>אבל בפשוטו בגמ' סט. משמע דאין לו כח לפסול את הבן [ולכן בתו כשירה לכהונה].</w:t>
      </w:r>
    </w:p>
    <w:p w14:paraId="6489C749"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אבנ"מ</w:t>
      </w:r>
      <w:r w:rsidRPr="00E14121">
        <w:rPr>
          <w:rFonts w:ascii="Narkisim" w:hAnsi="Narkisim"/>
          <w:rtl/>
        </w:rPr>
        <w:t xml:space="preserve"> </w:t>
      </w:r>
      <w:r w:rsidRPr="00E14121">
        <w:rPr>
          <w:rFonts w:ascii="Narkisim" w:hAnsi="Narkisim"/>
          <w:sz w:val="20"/>
          <w:szCs w:val="20"/>
          <w:rtl/>
        </w:rPr>
        <w:t>(ד ה)</w:t>
      </w:r>
      <w:r w:rsidRPr="00E14121">
        <w:rPr>
          <w:rFonts w:ascii="Narkisim" w:hAnsi="Narkisim"/>
          <w:rtl/>
        </w:rPr>
        <w:t xml:space="preserve"> כתב דלב' הפי', סוגיין במצרי שנשא מצרית, אבל ישראל שנשא מצרית, אף לרבה בר בר חנה הולד מצרי שני. אבל הביא דה</w:t>
      </w:r>
      <w:r w:rsidRPr="00E14121">
        <w:rPr>
          <w:rFonts w:ascii="Narkisim" w:hAnsi="Narkisim"/>
          <w:b/>
          <w:bCs/>
          <w:rtl/>
        </w:rPr>
        <w:t>ריטב"א</w:t>
      </w:r>
      <w:r w:rsidRPr="00E14121">
        <w:rPr>
          <w:rFonts w:ascii="Narkisim" w:hAnsi="Narkisim"/>
          <w:sz w:val="20"/>
          <w:szCs w:val="20"/>
          <w:rtl/>
        </w:rPr>
        <w:t xml:space="preserve"> (קידושין סז) </w:t>
      </w:r>
      <w:r w:rsidRPr="00E14121">
        <w:rPr>
          <w:rFonts w:ascii="Narkisim" w:hAnsi="Narkisim"/>
          <w:rtl/>
        </w:rPr>
        <w:t xml:space="preserve">כתב ישראל שנשא ממזרת הולד כשר לרבה בב"ח. </w:t>
      </w:r>
      <w:r w:rsidRPr="00E14121">
        <w:rPr>
          <w:rFonts w:ascii="Narkisim" w:hAnsi="Narkisim"/>
          <w:sz w:val="20"/>
          <w:szCs w:val="20"/>
          <w:rtl/>
        </w:rPr>
        <w:t>[ול"ל הלך אחר הפגום].</w:t>
      </w:r>
    </w:p>
    <w:p w14:paraId="14AF16DC" w14:textId="77777777" w:rsidR="00F64AED" w:rsidRPr="00E14121" w:rsidRDefault="00F64AED" w:rsidP="00F64AED">
      <w:pPr>
        <w:pStyle w:val="aa"/>
        <w:bidi/>
        <w:rPr>
          <w:rFonts w:ascii="Narkisim" w:hAnsi="Narkisim"/>
        </w:rPr>
      </w:pPr>
      <w:r w:rsidRPr="00E14121">
        <w:rPr>
          <w:rFonts w:ascii="Narkisim" w:hAnsi="Narkisim"/>
          <w:u w:val="single"/>
          <w:rtl/>
        </w:rPr>
        <w:t>מתיב רב יוסף ר' טרפון אומר יכולים ממזרים ליטהר וכו' אלמא בתר דידה שדינן</w:t>
      </w:r>
      <w:r w:rsidRPr="00E14121">
        <w:rPr>
          <w:rStyle w:val="ac"/>
          <w:rFonts w:ascii="Narkisim" w:hAnsi="Narkisim"/>
          <w:u w:val="single"/>
          <w:rtl/>
        </w:rPr>
        <w:footnoteReference w:id="4718"/>
      </w:r>
      <w:r w:rsidRPr="00E14121">
        <w:rPr>
          <w:rFonts w:ascii="Narkisim" w:hAnsi="Narkisim"/>
          <w:u w:val="single"/>
          <w:rtl/>
        </w:rPr>
        <w:t>.</w:t>
      </w:r>
      <w:r w:rsidRPr="00E14121">
        <w:rPr>
          <w:rFonts w:ascii="Narkisim" w:hAnsi="Narkisim"/>
          <w:rtl/>
        </w:rPr>
        <w:t xml:space="preserve"> [והגמ' דוחה דגבי שפחה </w:t>
      </w:r>
      <w:r w:rsidRPr="00E14121">
        <w:rPr>
          <w:rFonts w:ascii="Narkisim" w:hAnsi="Narkisim"/>
          <w:rtl/>
        </w:rPr>
        <w:lastRenderedPageBreak/>
        <w:t>יש גזיה"כ</w:t>
      </w:r>
      <w:r w:rsidRPr="00E14121">
        <w:rPr>
          <w:rStyle w:val="ac"/>
          <w:rFonts w:ascii="Narkisim" w:hAnsi="Narkisim"/>
          <w:rtl/>
        </w:rPr>
        <w:footnoteReference w:id="4719"/>
      </w:r>
      <w:r w:rsidRPr="00E14121">
        <w:rPr>
          <w:rFonts w:ascii="Narkisim" w:hAnsi="Narkisim"/>
          <w:rtl/>
        </w:rPr>
        <w:t>]. צ"ב סברת רב יוסף, אמאי שדינן בתר דידה אף לקולא, ולכל היותר נימא דהלך אחר הפגום. א"כ יהא א ממזר.</w:t>
      </w:r>
    </w:p>
    <w:p w14:paraId="1C0CB982" w14:textId="77777777" w:rsidR="00F64AED" w:rsidRPr="00E14121" w:rsidRDefault="00F64AED" w:rsidP="00F64AED">
      <w:pPr>
        <w:pStyle w:val="a8"/>
        <w:bidi/>
        <w:rPr>
          <w:rFonts w:ascii="Narkisim" w:hAnsi="Narkisim"/>
        </w:rPr>
      </w:pPr>
      <w:r w:rsidRPr="00E14121">
        <w:rPr>
          <w:rFonts w:ascii="Narkisim" w:hAnsi="Narkisim"/>
          <w:rtl/>
        </w:rPr>
        <w:t>ומשמע דס"ד דבכל הפסולים אזלי' בתר האם. וכדאי' בגמ' (בסמוך) משום דעובר ירך אמו, ובכל התורה יתייחס אחריה</w:t>
      </w:r>
      <w:r w:rsidRPr="00E14121">
        <w:rPr>
          <w:rStyle w:val="ac"/>
          <w:rFonts w:ascii="Narkisim" w:hAnsi="Narkisim"/>
          <w:rtl/>
        </w:rPr>
        <w:footnoteReference w:id="4720"/>
      </w:r>
      <w:r w:rsidRPr="00E14121">
        <w:rPr>
          <w:rFonts w:ascii="Narkisim" w:hAnsi="Narkisim"/>
          <w:rtl/>
        </w:rPr>
        <w:t>. [ואפשר דדוקא בתרוייהו פסולים</w:t>
      </w:r>
      <w:r w:rsidRPr="00E14121">
        <w:rPr>
          <w:rStyle w:val="ac"/>
          <w:rFonts w:ascii="Narkisim" w:hAnsi="Narkisim"/>
          <w:rtl/>
        </w:rPr>
        <w:footnoteReference w:id="4721"/>
      </w:r>
      <w:r w:rsidRPr="00E14121">
        <w:rPr>
          <w:rFonts w:ascii="Narkisim" w:hAnsi="Narkisim"/>
          <w:rtl/>
        </w:rPr>
        <w:t>].</w:t>
      </w:r>
    </w:p>
    <w:p w14:paraId="2F3583EC" w14:textId="77777777" w:rsidR="00F64AED" w:rsidRPr="00E14121" w:rsidRDefault="00F64AED" w:rsidP="00F64AED">
      <w:pPr>
        <w:pStyle w:val="a8"/>
        <w:bidi/>
        <w:rPr>
          <w:rFonts w:ascii="Narkisim" w:hAnsi="Narkisim"/>
        </w:rPr>
      </w:pPr>
      <w:r w:rsidRPr="00E14121">
        <w:rPr>
          <w:rFonts w:ascii="Narkisim" w:hAnsi="Narkisim"/>
          <w:rtl/>
        </w:rPr>
        <w:t>ויש שפי' דס"ד דהגמ' דהוה עבד משום שדינן בתר הפגום, דשפחה פגומה טפי מממזר</w:t>
      </w:r>
      <w:r w:rsidRPr="00E14121">
        <w:rPr>
          <w:rStyle w:val="ac"/>
          <w:rFonts w:ascii="Narkisim" w:hAnsi="Narkisim"/>
          <w:rtl/>
        </w:rPr>
        <w:footnoteReference w:id="4722"/>
      </w:r>
      <w:r w:rsidRPr="00E14121">
        <w:rPr>
          <w:rFonts w:ascii="Narkisim" w:hAnsi="Narkisim"/>
          <w:rtl/>
        </w:rPr>
        <w:t>. וכיון דמתייחס אחר השפחה, מש"ה ליכא דין אחר הפגום שיהא לו דין ממזר.</w:t>
      </w:r>
    </w:p>
    <w:p w14:paraId="3312CA74" w14:textId="77777777" w:rsidR="00F64AED" w:rsidRPr="00E14121" w:rsidRDefault="00F64AED" w:rsidP="00F64AED">
      <w:pPr>
        <w:pStyle w:val="a8"/>
        <w:bidi/>
        <w:rPr>
          <w:rFonts w:ascii="Narkisim" w:hAnsi="Narkisim"/>
        </w:rPr>
      </w:pPr>
      <w:r w:rsidRPr="00E14121">
        <w:rPr>
          <w:rFonts w:ascii="Narkisim" w:hAnsi="Narkisim"/>
          <w:rtl/>
        </w:rPr>
        <w:t>אך מ"מ בסוגיין צ"ע דבמצרי ראשון ושני ל"ש אחר הפגום [וכדברי הראשונים הנ"ל].</w:t>
      </w:r>
    </w:p>
    <w:p w14:paraId="72ED962F" w14:textId="77777777" w:rsidR="00F64AED" w:rsidRPr="00E14121" w:rsidRDefault="00F64AED" w:rsidP="00F64AED">
      <w:pPr>
        <w:pStyle w:val="aa"/>
        <w:bidi/>
        <w:rPr>
          <w:rFonts w:ascii="Narkisim" w:hAnsi="Narkisim"/>
        </w:rPr>
      </w:pPr>
      <w:r w:rsidRPr="00E14121">
        <w:rPr>
          <w:rFonts w:ascii="Narkisim" w:hAnsi="Narkisim"/>
          <w:u w:val="single"/>
          <w:rtl/>
        </w:rPr>
        <w:t>מנימין גר מצרי וכו' אשיא לבני מצרית שניה וכו' הא א"ר יוחנן לתנא תני ראשונה.</w:t>
      </w:r>
      <w:r w:rsidRPr="00E14121">
        <w:rPr>
          <w:rFonts w:ascii="Narkisim" w:hAnsi="Narkisim"/>
          <w:rtl/>
        </w:rPr>
        <w:t xml:space="preserve"> ה</w:t>
      </w:r>
      <w:r w:rsidRPr="00E14121">
        <w:rPr>
          <w:rFonts w:ascii="Narkisim" w:hAnsi="Narkisim"/>
          <w:b/>
          <w:bCs/>
          <w:rtl/>
        </w:rPr>
        <w:t>יפ"ע</w:t>
      </w:r>
      <w:r w:rsidRPr="00E14121">
        <w:rPr>
          <w:rFonts w:ascii="Narkisim" w:hAnsi="Narkisim"/>
          <w:rtl/>
        </w:rPr>
        <w:t xml:space="preserve"> הבא דב</w:t>
      </w:r>
      <w:r w:rsidRPr="00E14121">
        <w:rPr>
          <w:rFonts w:ascii="Narkisim" w:hAnsi="Narkisim"/>
          <w:b/>
          <w:bCs/>
          <w:rtl/>
        </w:rPr>
        <w:t>ירושלמי</w:t>
      </w:r>
      <w:r w:rsidRPr="00E14121">
        <w:rPr>
          <w:rFonts w:ascii="Narkisim" w:hAnsi="Narkisim"/>
          <w:rtl/>
        </w:rPr>
        <w:t xml:space="preserve"> (כאן ב, וקידושין ד ג) מנימין אמר שישיא בנו למצרית. ור"ע השיבו דישיא למצרי שניה [דוקא, ודלא כמ"ד דהכא], כדי שיהא מותר.</w:t>
      </w:r>
    </w:p>
    <w:p w14:paraId="1FA7854F" w14:textId="77777777" w:rsidR="00F64AED" w:rsidRPr="00E14121" w:rsidRDefault="00F64AED" w:rsidP="00F64AED">
      <w:pPr>
        <w:bidi/>
        <w:rPr>
          <w:rFonts w:ascii="Narkisim" w:hAnsi="Narkisim" w:cs="Narkisim"/>
        </w:rPr>
      </w:pPr>
      <w:r w:rsidRPr="00E14121">
        <w:rPr>
          <w:rFonts w:ascii="Narkisim" w:hAnsi="Narkisim" w:cs="Narkisim"/>
          <w:u w:val="single"/>
          <w:rtl/>
        </w:rPr>
        <w:t>כי אתא ר' דימי אר"י וכו' בנה שני הואי, אלמא בתר אימיה שדינן ליה וכו'.</w:t>
      </w:r>
      <w:r w:rsidRPr="00E14121">
        <w:rPr>
          <w:rFonts w:ascii="Narkisim" w:hAnsi="Narkisim" w:cs="Narkisim"/>
          <w:rtl/>
        </w:rPr>
        <w:t xml:space="preserve"> ה</w:t>
      </w:r>
      <w:r w:rsidRPr="00E14121">
        <w:rPr>
          <w:rFonts w:ascii="Narkisim" w:hAnsi="Narkisim" w:cs="Narkisim"/>
          <w:b/>
          <w:bCs/>
          <w:rtl/>
        </w:rPr>
        <w:t>רמב"ן</w:t>
      </w:r>
      <w:r w:rsidRPr="00E14121">
        <w:rPr>
          <w:rFonts w:ascii="Narkisim" w:hAnsi="Narkisim" w:cs="Narkisim"/>
          <w:rtl/>
        </w:rPr>
        <w:t xml:space="preserve"> דייק מהמשך הגמ' דדעת ר' דימי דאזלינן רק בתר אימיה</w:t>
      </w:r>
      <w:r w:rsidRPr="00E14121">
        <w:rPr>
          <w:rStyle w:val="ac"/>
          <w:rFonts w:ascii="Narkisim" w:hAnsi="Narkisim" w:cs="Narkisim"/>
          <w:rtl/>
        </w:rPr>
        <w:footnoteReference w:id="4723"/>
      </w:r>
      <w:r w:rsidRPr="00E14121">
        <w:rPr>
          <w:rFonts w:ascii="Narkisim" w:hAnsi="Narkisim" w:cs="Narkisim"/>
          <w:rtl/>
        </w:rPr>
        <w:t xml:space="preserve">, בין לקולא ובין לחומרא. ומצרי ראשון שנשא מצרית שניה, בנה שלישי. [וכן משמע מדברי </w:t>
      </w:r>
      <w:r w:rsidRPr="00E14121">
        <w:rPr>
          <w:rFonts w:ascii="Narkisim" w:hAnsi="Narkisim" w:cs="Narkisim"/>
          <w:b/>
          <w:bCs/>
          <w:rtl/>
        </w:rPr>
        <w:t>רש"י</w:t>
      </w:r>
      <w:r w:rsidRPr="00E14121">
        <w:rPr>
          <w:rFonts w:ascii="Narkisim" w:hAnsi="Narkisim" w:cs="Narkisim"/>
          <w:rtl/>
        </w:rPr>
        <w:t xml:space="preserve"> (ד"ה בלידה) הלך אחר האם].</w:t>
      </w:r>
    </w:p>
    <w:p w14:paraId="78B1E177" w14:textId="77777777" w:rsidR="00F64AED" w:rsidRPr="00E14121" w:rsidRDefault="00F64AED" w:rsidP="00F64AED">
      <w:pPr>
        <w:pStyle w:val="a7"/>
        <w:bidi/>
        <w:rPr>
          <w:rFonts w:ascii="Narkisim" w:hAnsi="Narkisim"/>
        </w:rPr>
      </w:pPr>
      <w:r w:rsidRPr="00E14121">
        <w:rPr>
          <w:rFonts w:ascii="Narkisim" w:hAnsi="Narkisim"/>
          <w:rtl/>
        </w:rPr>
        <w:t xml:space="preserve">אבל </w:t>
      </w:r>
      <w:r w:rsidRPr="00E14121">
        <w:rPr>
          <w:rFonts w:ascii="Narkisim" w:hAnsi="Narkisim"/>
          <w:b/>
          <w:bCs/>
          <w:rtl/>
        </w:rPr>
        <w:t>רש"י</w:t>
      </w:r>
      <w:r w:rsidRPr="00E14121">
        <w:rPr>
          <w:rFonts w:ascii="Narkisim" w:hAnsi="Narkisim"/>
          <w:rtl/>
        </w:rPr>
        <w:t xml:space="preserve"> (לעיל עו: וכן סוטה ט.) כת' דמצרי שנשא מצרית, הלך אחר פסולן. [וציין לגמ' כאן]. וכן ה</w:t>
      </w:r>
      <w:r w:rsidRPr="00E14121">
        <w:rPr>
          <w:rFonts w:ascii="Narkisim" w:hAnsi="Narkisim"/>
          <w:b/>
          <w:bCs/>
          <w:rtl/>
        </w:rPr>
        <w:t>רמב"ם</w:t>
      </w:r>
      <w:r w:rsidRPr="00E14121">
        <w:rPr>
          <w:rFonts w:ascii="Narkisim" w:hAnsi="Narkisim"/>
          <w:rtl/>
        </w:rPr>
        <w:t xml:space="preserve"> (איסו"ב יב כ) כתב דאזלי' לחומרא, ומצרי שני שנשא ראשונה או ראשון שנשא שניה, הולד שני שנאמר בנים אשר יולדו להם, הכתוב תלאן בלידה. ו</w:t>
      </w:r>
      <w:r w:rsidRPr="00E14121">
        <w:rPr>
          <w:rFonts w:ascii="Narkisim" w:hAnsi="Narkisim"/>
          <w:b/>
          <w:bCs/>
          <w:rtl/>
        </w:rPr>
        <w:t>ה"ה</w:t>
      </w:r>
      <w:r w:rsidRPr="00E14121">
        <w:rPr>
          <w:rFonts w:ascii="Narkisim" w:hAnsi="Narkisim"/>
          <w:rtl/>
        </w:rPr>
        <w:t xml:space="preserve"> ביאר דס"ל דסברת ר' דימי הוה רק לחומרא. והביא דרש"י (בסוגיין) והרמב"ן פליגי.</w:t>
      </w:r>
    </w:p>
    <w:p w14:paraId="5B239428"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שעה"מ</w:t>
      </w:r>
      <w:r w:rsidRPr="00E14121">
        <w:rPr>
          <w:rFonts w:ascii="Narkisim" w:hAnsi="Narkisim"/>
          <w:rtl/>
        </w:rPr>
        <w:t xml:space="preserve"> (שם) כת' דלס"ד דהגמ' סברת ר' דימי משום דמתייחס אחריה. ותלי בגדרי פסולים. אבל למסקנא הוה גזיה"כ דתלאן בלידה, ועי"ז הוה כדין אחר הפגום.</w:t>
      </w:r>
    </w:p>
    <w:p w14:paraId="7EF79B2B" w14:textId="77777777" w:rsidR="00F64AED" w:rsidRPr="00E14121" w:rsidRDefault="00F64AED" w:rsidP="00F64AED">
      <w:pPr>
        <w:pStyle w:val="a8"/>
        <w:bidi/>
        <w:rPr>
          <w:rFonts w:ascii="Narkisim" w:hAnsi="Narkisim"/>
        </w:rPr>
      </w:pPr>
      <w:r w:rsidRPr="00E14121">
        <w:rPr>
          <w:rFonts w:ascii="Narkisim" w:hAnsi="Narkisim"/>
          <w:rtl/>
        </w:rPr>
        <w:t>והשעה"מ יישב בזה סתירת דברי רש"י, דרש"י בסוגיין קאי לס"ד דהוה בדידה דוקא. ורש"י בשאר מקומות קאי למסקנא דהוה אחר הפגום.</w:t>
      </w:r>
    </w:p>
    <w:p w14:paraId="7C08BC40" w14:textId="77777777" w:rsidR="00F64AED" w:rsidRPr="00E14121" w:rsidRDefault="00F64AED" w:rsidP="00F64AED">
      <w:pPr>
        <w:pStyle w:val="a7"/>
        <w:bidi/>
        <w:rPr>
          <w:rFonts w:ascii="Narkisim" w:hAnsi="Narkisim"/>
        </w:rPr>
      </w:pPr>
      <w:r w:rsidRPr="00E14121">
        <w:rPr>
          <w:rFonts w:ascii="Narkisim" w:hAnsi="Narkisim"/>
          <w:rtl/>
        </w:rPr>
        <w:t>וב</w:t>
      </w:r>
      <w:r w:rsidRPr="00E14121">
        <w:rPr>
          <w:rFonts w:ascii="Narkisim" w:hAnsi="Narkisim"/>
          <w:b/>
          <w:bCs/>
          <w:rtl/>
        </w:rPr>
        <w:t>חי' ר"א מן ההר</w:t>
      </w:r>
      <w:r w:rsidRPr="00E14121">
        <w:rPr>
          <w:rFonts w:ascii="Narkisim" w:hAnsi="Narkisim"/>
          <w:rtl/>
        </w:rPr>
        <w:t xml:space="preserve"> כתב דהרמב"ם נקט דרבינא (בע"ב) פליג, וס"ל דאף במצרי ומצרית הולד אחר הפגום</w:t>
      </w:r>
      <w:r w:rsidRPr="00E14121">
        <w:rPr>
          <w:rStyle w:val="ac"/>
          <w:rFonts w:ascii="Narkisim" w:hAnsi="Narkisim"/>
          <w:rtl/>
        </w:rPr>
        <w:footnoteReference w:id="4724"/>
      </w:r>
      <w:r w:rsidRPr="00E14121">
        <w:rPr>
          <w:rFonts w:ascii="Narkisim" w:hAnsi="Narkisim"/>
          <w:rtl/>
        </w:rPr>
        <w:t>. ופליג על ר' דימי ורבה בר ב"ח. וג' מחלוקות בדבר. וכ"כ ה</w:t>
      </w:r>
      <w:r w:rsidRPr="00E14121">
        <w:rPr>
          <w:rFonts w:ascii="Narkisim" w:hAnsi="Narkisim"/>
          <w:b/>
          <w:bCs/>
          <w:rtl/>
        </w:rPr>
        <w:t>גר"א</w:t>
      </w:r>
      <w:r w:rsidRPr="00E14121">
        <w:rPr>
          <w:rFonts w:ascii="Narkisim" w:hAnsi="Narkisim"/>
          <w:rtl/>
        </w:rPr>
        <w:t xml:space="preserve"> (ד יג בחד לישנא</w:t>
      </w:r>
      <w:r w:rsidRPr="00E14121">
        <w:rPr>
          <w:rStyle w:val="ac"/>
          <w:rFonts w:ascii="Narkisim" w:hAnsi="Narkisim"/>
          <w:rtl/>
        </w:rPr>
        <w:footnoteReference w:id="4725"/>
      </w:r>
      <w:r w:rsidRPr="00E14121">
        <w:rPr>
          <w:rFonts w:ascii="Narkisim" w:hAnsi="Narkisim"/>
          <w:rtl/>
        </w:rPr>
        <w:t>).</w:t>
      </w:r>
    </w:p>
    <w:p w14:paraId="762AD85C"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גר"א</w:t>
      </w:r>
      <w:r w:rsidRPr="00E14121">
        <w:rPr>
          <w:rFonts w:ascii="Narkisim" w:hAnsi="Narkisim"/>
          <w:rtl/>
        </w:rPr>
        <w:t xml:space="preserve"> הביא סייעתא לזה, דאמאי לא נשא מנימין עצמו מצרית שניה, ועי"ז בניו מותרין. ודחה דעובדא כך היה, שבא לאחר שכבר נשא. וקושיית הגמ' רק במה שאמר שישיא את בנו בעתיד.</w:t>
      </w:r>
    </w:p>
    <w:p w14:paraId="64BB3E07" w14:textId="77777777" w:rsidR="00F64AED" w:rsidRPr="00E14121" w:rsidRDefault="00F64AED" w:rsidP="00F64AED">
      <w:pPr>
        <w:bidi/>
        <w:rPr>
          <w:rFonts w:ascii="Narkisim" w:hAnsi="Narkisim" w:cs="Narkisim"/>
        </w:rPr>
      </w:pPr>
      <w:r w:rsidRPr="00E14121">
        <w:rPr>
          <w:rFonts w:ascii="Narkisim" w:hAnsi="Narkisim" w:cs="Narkisim"/>
          <w:u w:val="single"/>
          <w:rtl/>
        </w:rPr>
        <w:t>א"ל אביי אלא הא דאמר ר' יוחנן וכו'.</w:t>
      </w:r>
      <w:r w:rsidRPr="00E14121">
        <w:rPr>
          <w:rFonts w:ascii="Narkisim" w:hAnsi="Narkisim" w:cs="Narkisim"/>
          <w:rtl/>
        </w:rPr>
        <w:t xml:space="preserve"> דעובר לאו ירך אמו. ואילו מדברי רב דימי מבואר דס"ל דעובר ירך אמו. וצ"ב דבשאר גדרי יוחסין לא מצאנו חילוק בין מ"ד עובר ירך אמו.</w:t>
      </w:r>
    </w:p>
    <w:p w14:paraId="7E476F1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קר"א</w:t>
      </w:r>
      <w:r w:rsidRPr="00E14121">
        <w:rPr>
          <w:rFonts w:ascii="Narkisim" w:hAnsi="Narkisim"/>
          <w:rtl/>
        </w:rPr>
        <w:t xml:space="preserve"> ביאר דבכל פסולין לא אזלי' בתר ירך אמו. ושאני הכא דלענין מנין דורות מונין כן. וכ"כ ה</w:t>
      </w:r>
      <w:r w:rsidRPr="00E14121">
        <w:rPr>
          <w:rFonts w:ascii="Narkisim" w:hAnsi="Narkisim"/>
          <w:b/>
          <w:bCs/>
          <w:rtl/>
        </w:rPr>
        <w:t>חזו"א</w:t>
      </w:r>
      <w:r w:rsidRPr="00E14121">
        <w:rPr>
          <w:rStyle w:val="ac"/>
          <w:rFonts w:ascii="Narkisim" w:hAnsi="Narkisim"/>
          <w:rtl/>
        </w:rPr>
        <w:footnoteReference w:id="4726"/>
      </w:r>
      <w:r w:rsidRPr="00E14121">
        <w:rPr>
          <w:rFonts w:ascii="Narkisim" w:hAnsi="Narkisim"/>
          <w:rtl/>
        </w:rPr>
        <w:t xml:space="preserve">. </w:t>
      </w:r>
      <w:r w:rsidRPr="00E14121">
        <w:rPr>
          <w:rFonts w:ascii="Narkisim" w:hAnsi="Narkisim"/>
          <w:sz w:val="20"/>
          <w:szCs w:val="20"/>
          <w:rtl/>
        </w:rPr>
        <w:t>[וה</w:t>
      </w:r>
      <w:r w:rsidRPr="00E14121">
        <w:rPr>
          <w:rFonts w:ascii="Narkisim" w:hAnsi="Narkisim"/>
          <w:b/>
          <w:bCs/>
          <w:sz w:val="20"/>
          <w:szCs w:val="20"/>
          <w:rtl/>
        </w:rPr>
        <w:t>חזו"א</w:t>
      </w:r>
      <w:r w:rsidRPr="00E14121">
        <w:rPr>
          <w:rFonts w:ascii="Narkisim" w:hAnsi="Narkisim"/>
          <w:sz w:val="20"/>
          <w:szCs w:val="20"/>
          <w:rtl/>
        </w:rPr>
        <w:t xml:space="preserve"> ביאר דבעודה מעוברת הוה כאמו מצרי שניה, וע"י הלידה איתפלג דור</w:t>
      </w:r>
      <w:r w:rsidRPr="00E14121">
        <w:rPr>
          <w:rStyle w:val="ac"/>
          <w:rFonts w:ascii="Narkisim" w:hAnsi="Narkisim"/>
          <w:sz w:val="20"/>
          <w:szCs w:val="20"/>
          <w:rtl/>
        </w:rPr>
        <w:footnoteReference w:id="4727"/>
      </w:r>
      <w:r w:rsidRPr="00E14121">
        <w:rPr>
          <w:rFonts w:ascii="Narkisim" w:hAnsi="Narkisim"/>
          <w:sz w:val="20"/>
          <w:szCs w:val="20"/>
          <w:rtl/>
        </w:rPr>
        <w:t>].</w:t>
      </w:r>
    </w:p>
    <w:p w14:paraId="157D389F" w14:textId="77777777" w:rsidR="00F64AED" w:rsidRPr="00E14121" w:rsidRDefault="00F64AED" w:rsidP="00F64AED">
      <w:pPr>
        <w:pStyle w:val="aa"/>
        <w:bidi/>
        <w:rPr>
          <w:rFonts w:ascii="Narkisim" w:hAnsi="Narkisim"/>
        </w:rPr>
      </w:pPr>
      <w:r w:rsidRPr="00E14121">
        <w:rPr>
          <w:rFonts w:ascii="Narkisim" w:hAnsi="Narkisim"/>
          <w:u w:val="single"/>
          <w:rtl/>
        </w:rPr>
        <w:t>טעמא דכתיב אשר יולדו הא בעלמא בתר אבוה שדינן ליה, אלא הא דאמר רבא וכו'</w:t>
      </w:r>
      <w:r w:rsidRPr="00E14121">
        <w:rPr>
          <w:rFonts w:ascii="Narkisim" w:hAnsi="Narkisim"/>
          <w:rtl/>
        </w:rPr>
        <w:t xml:space="preserve">. מבואר דקו' הגמ' דאי </w:t>
      </w:r>
      <w:r w:rsidRPr="00E14121">
        <w:rPr>
          <w:rFonts w:ascii="Narkisim" w:hAnsi="Narkisim"/>
          <w:rtl/>
        </w:rPr>
        <w:lastRenderedPageBreak/>
        <w:t>עובר ירך אמו א"כ ל"צ 'אשר יולדו'</w:t>
      </w:r>
      <w:r w:rsidRPr="00E14121">
        <w:rPr>
          <w:rStyle w:val="ac"/>
          <w:rFonts w:ascii="Narkisim" w:hAnsi="Narkisim"/>
          <w:rtl/>
        </w:rPr>
        <w:footnoteReference w:id="4728"/>
      </w:r>
      <w:r w:rsidRPr="00E14121">
        <w:rPr>
          <w:rFonts w:ascii="Narkisim" w:hAnsi="Narkisim"/>
          <w:rtl/>
        </w:rPr>
        <w:t>.</w:t>
      </w:r>
    </w:p>
    <w:p w14:paraId="7FF1E407" w14:textId="77777777" w:rsidR="00F64AED" w:rsidRPr="00E14121" w:rsidRDefault="00F64AED" w:rsidP="00F64AED">
      <w:pPr>
        <w:bidi/>
        <w:rPr>
          <w:rFonts w:ascii="Narkisim" w:hAnsi="Narkisim" w:cs="Narkisim"/>
        </w:rPr>
      </w:pPr>
      <w:r w:rsidRPr="00E14121">
        <w:rPr>
          <w:rFonts w:ascii="Narkisim" w:hAnsi="Narkisim" w:cs="Narkisim"/>
          <w:u w:val="single"/>
          <w:rtl/>
        </w:rPr>
        <w:t>תוד"ה אלא.</w:t>
      </w:r>
      <w:r w:rsidRPr="00E14121">
        <w:rPr>
          <w:rFonts w:ascii="Narkisim" w:hAnsi="Narkisim" w:cs="Narkisim"/>
          <w:rtl/>
        </w:rPr>
        <w:t xml:space="preserve"> וי"ל שרוצה ליישב דברי רבא דהכא אפי' לר' יוחנן. וה</w:t>
      </w:r>
      <w:r w:rsidRPr="00E14121">
        <w:rPr>
          <w:rFonts w:ascii="Narkisim" w:hAnsi="Narkisim" w:cs="Narkisim"/>
          <w:b/>
          <w:bCs/>
          <w:rtl/>
        </w:rPr>
        <w:t>ריטב"א</w:t>
      </w:r>
      <w:r w:rsidRPr="00E14121">
        <w:rPr>
          <w:rFonts w:ascii="Narkisim" w:hAnsi="Narkisim" w:cs="Narkisim"/>
          <w:rtl/>
        </w:rPr>
        <w:t xml:space="preserve"> כתב דקו' הגמ' דקים לה דבהא הלכה כר' יוחנן. </w:t>
      </w:r>
      <w:r w:rsidRPr="00E14121">
        <w:rPr>
          <w:rFonts w:ascii="Narkisim" w:hAnsi="Narkisim" w:cs="Narkisim"/>
          <w:sz w:val="20"/>
          <w:szCs w:val="20"/>
          <w:rtl/>
        </w:rPr>
        <w:t>וכתב דהגמ' לא מקשה מדברי ר' יוחנן דהפריש חטאת וכו', דלא קי"ל ההלכה בזה.</w:t>
      </w:r>
      <w:r w:rsidRPr="00E14121">
        <w:rPr>
          <w:rFonts w:ascii="Narkisim" w:hAnsi="Narkisim" w:cs="Narkisim"/>
          <w:rtl/>
        </w:rPr>
        <w:t xml:space="preserve"> </w:t>
      </w:r>
      <w:r w:rsidRPr="00E14121">
        <w:rPr>
          <w:rFonts w:ascii="Narkisim" w:hAnsi="Narkisim" w:cs="Narkisim"/>
          <w:sz w:val="20"/>
          <w:szCs w:val="20"/>
          <w:rtl/>
        </w:rPr>
        <w:t>ועי"ל דהו"א דההיא כרבה בב"ח, ורבא דאמר דרב דימי דבתר אימיה שדינן.</w:t>
      </w:r>
    </w:p>
    <w:p w14:paraId="7DC5F08D"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(סנהדרין פ: וב"ק מז.) האריכו דדעת ר"י דקי"ל דעובר ירך אמו</w:t>
      </w:r>
      <w:r w:rsidRPr="00E14121">
        <w:rPr>
          <w:rStyle w:val="ac"/>
          <w:rFonts w:ascii="Narkisim" w:hAnsi="Narkisim"/>
          <w:rtl/>
        </w:rPr>
        <w:footnoteReference w:id="4729"/>
      </w:r>
      <w:r w:rsidRPr="00E14121">
        <w:rPr>
          <w:rFonts w:ascii="Narkisim" w:hAnsi="Narkisim"/>
          <w:rtl/>
        </w:rPr>
        <w:t xml:space="preserve">. ודעת </w:t>
      </w:r>
      <w:r w:rsidRPr="00E14121">
        <w:rPr>
          <w:rFonts w:ascii="Narkisim" w:hAnsi="Narkisim"/>
          <w:b/>
          <w:bCs/>
          <w:rtl/>
        </w:rPr>
        <w:t>ר"ת</w:t>
      </w:r>
      <w:r w:rsidRPr="00E14121">
        <w:rPr>
          <w:rFonts w:ascii="Narkisim" w:hAnsi="Narkisim"/>
          <w:rtl/>
        </w:rPr>
        <w:t xml:space="preserve"> דקי"ל דעובר לאו ירך אמו</w:t>
      </w:r>
      <w:r w:rsidRPr="00E14121">
        <w:rPr>
          <w:rStyle w:val="ac"/>
          <w:rFonts w:ascii="Narkisim" w:hAnsi="Narkisim"/>
          <w:rtl/>
        </w:rPr>
        <w:footnoteReference w:id="4730"/>
      </w:r>
      <w:r w:rsidRPr="00E14121">
        <w:rPr>
          <w:rFonts w:ascii="Narkisim" w:hAnsi="Narkisim"/>
          <w:rtl/>
        </w:rPr>
        <w:t xml:space="preserve"> [וכ"כ הריטב"א בסוגיין].</w:t>
      </w:r>
    </w:p>
    <w:p w14:paraId="2DAA55EC" w14:textId="77777777" w:rsidR="00F64AED" w:rsidRPr="00E14121" w:rsidRDefault="00F64AED" w:rsidP="00F64AED">
      <w:pPr>
        <w:pStyle w:val="2"/>
        <w:bidi/>
        <w:rPr>
          <w:rFonts w:ascii="Narkisim" w:hAnsi="Narkisim"/>
        </w:rPr>
      </w:pPr>
      <w:r w:rsidRPr="00E14121">
        <w:rPr>
          <w:rFonts w:ascii="Narkisim" w:hAnsi="Narkisim"/>
          <w:rtl/>
        </w:rPr>
        <w:t>מעוברת שנתגיירה</w:t>
      </w:r>
    </w:p>
    <w:p w14:paraId="7AAF0C95" w14:textId="77777777" w:rsidR="00F64AED" w:rsidRPr="00E14121" w:rsidRDefault="00F64AED" w:rsidP="00F64AED">
      <w:pPr>
        <w:bidi/>
        <w:rPr>
          <w:rFonts w:ascii="Narkisim" w:hAnsi="Narkisim" w:cs="Narkisim"/>
        </w:rPr>
      </w:pPr>
      <w:r w:rsidRPr="00E14121">
        <w:rPr>
          <w:rFonts w:ascii="Narkisim" w:hAnsi="Narkisim" w:cs="Narkisim"/>
          <w:u w:val="single"/>
          <w:rtl/>
        </w:rPr>
        <w:t>נכרית מעוברת שנתגיירה בנה אי"צ טבילה וכו'</w:t>
      </w:r>
      <w:r w:rsidRPr="00E14121">
        <w:rPr>
          <w:rFonts w:ascii="Narkisim" w:hAnsi="Narkisim" w:cs="Narkisim"/>
          <w:rtl/>
        </w:rPr>
        <w:t>. ומבואר דלמ"ד עובר ירך אמו ניחא, דהוה בכלל טבילת אמו. והגמ' דוחה דאף למ"ד לאו ירך אמו נחשב טבילה לולד. [למסקנא משום דהיינו רביתיה].</w:t>
      </w:r>
    </w:p>
    <w:p w14:paraId="2882A5C5" w14:textId="77777777" w:rsidR="00F64AED" w:rsidRPr="00E14121" w:rsidRDefault="00F64AED" w:rsidP="00F64AED">
      <w:pPr>
        <w:pStyle w:val="a7"/>
        <w:bidi/>
        <w:rPr>
          <w:rFonts w:ascii="Narkisim" w:hAnsi="Narkisim"/>
        </w:rPr>
      </w:pPr>
      <w:r w:rsidRPr="00E14121">
        <w:rPr>
          <w:rFonts w:ascii="Narkisim" w:hAnsi="Narkisim"/>
          <w:rtl/>
        </w:rPr>
        <w:t>ומשמע מסוגיין דלמ"ד עובר לאו ירך אמו בעי מעשה טבילה וגירות נפרדת לעובר</w:t>
      </w:r>
      <w:r w:rsidRPr="00E14121">
        <w:rPr>
          <w:rStyle w:val="ac"/>
          <w:rFonts w:ascii="Narkisim" w:hAnsi="Narkisim"/>
          <w:rtl/>
        </w:rPr>
        <w:footnoteReference w:id="4731"/>
      </w:r>
      <w:r w:rsidRPr="00E14121">
        <w:rPr>
          <w:rFonts w:ascii="Narkisim" w:hAnsi="Narkisim"/>
          <w:rtl/>
        </w:rPr>
        <w:t>. וה</w:t>
      </w:r>
      <w:r w:rsidRPr="00E14121">
        <w:rPr>
          <w:rFonts w:ascii="Narkisim" w:hAnsi="Narkisim"/>
          <w:b/>
          <w:bCs/>
          <w:rtl/>
        </w:rPr>
        <w:t>אבנ"מ</w:t>
      </w:r>
      <w:r w:rsidRPr="00E14121">
        <w:rPr>
          <w:rFonts w:ascii="Narkisim" w:hAnsi="Narkisim"/>
          <w:rtl/>
        </w:rPr>
        <w:t xml:space="preserve"> (ד ב) כתב עפ"ז דכשהגדיל יכול למחות, וכדין גר קטן</w:t>
      </w:r>
      <w:r w:rsidRPr="00E14121">
        <w:rPr>
          <w:rStyle w:val="ac"/>
          <w:rFonts w:ascii="Narkisim" w:hAnsi="Narkisim"/>
          <w:rtl/>
        </w:rPr>
        <w:footnoteReference w:id="4732"/>
      </w:r>
      <w:r w:rsidRPr="00E14121">
        <w:rPr>
          <w:rFonts w:ascii="Narkisim" w:hAnsi="Narkisim"/>
          <w:rtl/>
        </w:rPr>
        <w:t>.</w:t>
      </w:r>
    </w:p>
    <w:p w14:paraId="371E30F0"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כתב דנראה מסוגיין דלמ"ד לאו ירך אמו יכולה להתנות דלא הוה גיור לעובר. אבל למ"ד עובר ירך אמו ל"ש להתנות בכך דאין גירות לחצי הגוף.</w:t>
      </w:r>
    </w:p>
    <w:p w14:paraId="1C482DC6"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דגול מרבבה</w:t>
      </w:r>
      <w:r w:rsidRPr="00E14121">
        <w:rPr>
          <w:rFonts w:ascii="Narkisim" w:hAnsi="Narkisim"/>
          <w:rtl/>
        </w:rPr>
        <w:t xml:space="preserve"> (יו"ד רסח, הו' בפתח"ת שם ז) נסתפק כשהבי"ד לא ידעו</w:t>
      </w:r>
      <w:r w:rsidRPr="00E14121">
        <w:rPr>
          <w:rStyle w:val="ac"/>
          <w:rFonts w:ascii="Narkisim" w:hAnsi="Narkisim"/>
          <w:rtl/>
        </w:rPr>
        <w:footnoteReference w:id="4733"/>
      </w:r>
      <w:r w:rsidRPr="00E14121">
        <w:rPr>
          <w:rFonts w:ascii="Narkisim" w:hAnsi="Narkisim"/>
          <w:rtl/>
        </w:rPr>
        <w:t xml:space="preserve"> שהיא מעוברת, האם מהני גירות דידה לעובר.</w:t>
      </w:r>
    </w:p>
    <w:p w14:paraId="1810BC74" w14:textId="77777777" w:rsidR="00F64AED" w:rsidRPr="00E14121" w:rsidRDefault="00F64AED" w:rsidP="00F64AED">
      <w:pPr>
        <w:bidi/>
        <w:rPr>
          <w:rFonts w:ascii="Narkisim" w:hAnsi="Narkisim" w:cs="Narkisim"/>
        </w:rPr>
      </w:pPr>
      <w:r w:rsidRPr="00E14121">
        <w:rPr>
          <w:rFonts w:ascii="Narkisim" w:hAnsi="Narkisim" w:cs="Narkisim"/>
          <w:rtl/>
        </w:rPr>
        <w:t>ו</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 w:val="20"/>
          <w:szCs w:val="20"/>
          <w:rtl/>
        </w:rPr>
        <w:t>(כתובות יא., וסנהדרין סח:)</w:t>
      </w:r>
      <w:r w:rsidRPr="00E14121">
        <w:rPr>
          <w:rFonts w:ascii="Narkisim" w:hAnsi="Narkisim" w:cs="Narkisim"/>
          <w:rtl/>
        </w:rPr>
        <w:t xml:space="preserve"> כת' דגר קטן מהני רק מדרבנן משום זכין, אבל משכחת גר קטן דאורייתא במעוברת שנתגיירה</w:t>
      </w:r>
      <w:r w:rsidRPr="00E14121">
        <w:rPr>
          <w:rStyle w:val="ac"/>
          <w:rFonts w:ascii="Narkisim" w:hAnsi="Narkisim" w:cs="Narkisim"/>
          <w:rtl/>
        </w:rPr>
        <w:footnoteReference w:id="4734"/>
      </w:r>
      <w:r w:rsidRPr="00E14121">
        <w:rPr>
          <w:rFonts w:ascii="Narkisim" w:hAnsi="Narkisim" w:cs="Narkisim"/>
          <w:rtl/>
        </w:rPr>
        <w:t>, דבנה אי"צ טבילה והוה גר מהתורה. ו</w:t>
      </w:r>
      <w:r w:rsidRPr="00E14121">
        <w:rPr>
          <w:rFonts w:ascii="Narkisim" w:hAnsi="Narkisim" w:cs="Narkisim"/>
          <w:b/>
          <w:bCs/>
          <w:rtl/>
        </w:rPr>
        <w:t>רע"א</w:t>
      </w:r>
      <w:r w:rsidRPr="00E14121">
        <w:rPr>
          <w:rFonts w:ascii="Narkisim" w:hAnsi="Narkisim" w:cs="Narkisim"/>
          <w:rtl/>
        </w:rPr>
        <w:t xml:space="preserve"> (כתובות יא.) תמה דה"מ למ"ד ירך אמו. אבל למ"ד עובר לאו ירך אמו, א"כ בעי גירות בפנ"ע על העובר (וכדאי' בסוגיין), והוה מדין זכין, ומאן משוייה לגר</w:t>
      </w:r>
      <w:r w:rsidRPr="00E14121">
        <w:rPr>
          <w:rStyle w:val="ac"/>
          <w:rFonts w:ascii="Narkisim" w:hAnsi="Narkisim" w:cs="Narkisim"/>
          <w:rtl/>
        </w:rPr>
        <w:footnoteReference w:id="4735"/>
      </w:r>
      <w:r w:rsidRPr="00E14121">
        <w:rPr>
          <w:rFonts w:ascii="Narkisim" w:hAnsi="Narkisim" w:cs="Narkisim"/>
          <w:rtl/>
        </w:rPr>
        <w:t>.</w:t>
      </w:r>
    </w:p>
    <w:p w14:paraId="551A7878"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חזו"א</w:t>
      </w:r>
      <w:r w:rsidRPr="00E14121">
        <w:rPr>
          <w:rFonts w:ascii="Narkisim" w:hAnsi="Narkisim"/>
          <w:rtl/>
        </w:rPr>
        <w:t xml:space="preserve"> (ד ט) כתב דאף למ"ד לאו ירך אמו, ויש לו זכויות כגוף נפרד, אבל חיי האם הוה חייו, ומהני ריצוי אמו לריצוי דידיה</w:t>
      </w:r>
      <w:r w:rsidRPr="00E14121">
        <w:rPr>
          <w:rStyle w:val="ac"/>
          <w:rFonts w:ascii="Narkisim" w:hAnsi="Narkisim"/>
          <w:rtl/>
        </w:rPr>
        <w:footnoteReference w:id="4736"/>
      </w:r>
      <w:r w:rsidRPr="00E14121">
        <w:rPr>
          <w:rFonts w:ascii="Narkisim" w:hAnsi="Narkisim"/>
          <w:rtl/>
        </w:rPr>
        <w:t>. ודוקא לענין הטבילה מבואר בסוגיין דצריך טבילה בפנ"ע</w:t>
      </w:r>
      <w:r w:rsidRPr="00E14121">
        <w:rPr>
          <w:rStyle w:val="ac"/>
          <w:rFonts w:ascii="Narkisim" w:hAnsi="Narkisim"/>
          <w:rtl/>
        </w:rPr>
        <w:footnoteReference w:id="4737"/>
      </w:r>
      <w:r w:rsidRPr="00E14121">
        <w:rPr>
          <w:rFonts w:ascii="Narkisim" w:hAnsi="Narkisim"/>
          <w:rtl/>
        </w:rPr>
        <w:t xml:space="preserve">. </w:t>
      </w:r>
      <w:r w:rsidRPr="00E14121">
        <w:rPr>
          <w:rFonts w:ascii="Narkisim" w:hAnsi="Narkisim"/>
          <w:sz w:val="20"/>
          <w:szCs w:val="20"/>
          <w:rtl/>
        </w:rPr>
        <w:t>וה</w:t>
      </w:r>
      <w:r w:rsidRPr="00E14121">
        <w:rPr>
          <w:rFonts w:ascii="Narkisim" w:hAnsi="Narkisim"/>
          <w:b/>
          <w:bCs/>
          <w:sz w:val="20"/>
          <w:szCs w:val="20"/>
          <w:rtl/>
        </w:rPr>
        <w:t>קה"י</w:t>
      </w:r>
      <w:r w:rsidRPr="00E14121">
        <w:rPr>
          <w:rFonts w:ascii="Narkisim" w:hAnsi="Narkisim"/>
          <w:sz w:val="20"/>
          <w:szCs w:val="20"/>
          <w:rtl/>
        </w:rPr>
        <w:t xml:space="preserve"> (כתובות יג) הביא דמבואר (גיטין כג:, עי"ש בראשונים) דמהני שחרור ע"י יד אמו, ונחשב יד אמו כידו. וה"נ מהני דעת אמו עבור גירות דידיה [והוה כעין אפוטרופוס למעשה גירות דידיה].</w:t>
      </w:r>
    </w:p>
    <w:p w14:paraId="738C74A0" w14:textId="77777777" w:rsidR="00F64AED" w:rsidRPr="00E14121" w:rsidRDefault="00F64AED" w:rsidP="00F64AED">
      <w:pPr>
        <w:bidi/>
        <w:rPr>
          <w:rFonts w:ascii="Narkisim" w:hAnsi="Narkisim" w:cs="Narkisim"/>
        </w:rPr>
      </w:pPr>
      <w:r w:rsidRPr="00E14121">
        <w:rPr>
          <w:rFonts w:ascii="Narkisim" w:hAnsi="Narkisim" w:cs="Narkisim"/>
          <w:u w:val="single"/>
          <w:rtl/>
        </w:rPr>
        <w:t>שם. בנה אי"צ טבילה.</w:t>
      </w:r>
      <w:r w:rsidRPr="00E14121">
        <w:rPr>
          <w:rFonts w:ascii="Narkisim" w:hAnsi="Narkisim" w:cs="Narkisim"/>
          <w:rtl/>
        </w:rPr>
        <w:t xml:space="preserve"> ומסקנת הגמ' דיש טבילה אף על הולד</w:t>
      </w:r>
      <w:r w:rsidRPr="00E14121">
        <w:rPr>
          <w:rStyle w:val="ac"/>
          <w:rFonts w:ascii="Narkisim" w:hAnsi="Narkisim" w:cs="Narkisim"/>
          <w:rtl/>
        </w:rPr>
        <w:footnoteReference w:id="4738"/>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(לעיל מז:) הק' האיך מהני טבילה זו, דאינו גר עד שימול ויטבול. ועדיין לא מל עד שיוולד. וה</w:t>
      </w:r>
      <w:r w:rsidRPr="00E14121">
        <w:rPr>
          <w:rFonts w:ascii="Narkisim" w:hAnsi="Narkisim" w:cs="Narkisim"/>
          <w:b/>
          <w:bCs/>
          <w:rtl/>
        </w:rPr>
        <w:t>רמב"ן</w:t>
      </w:r>
      <w:r w:rsidRPr="00E14121">
        <w:rPr>
          <w:rFonts w:ascii="Narkisim" w:hAnsi="Narkisim" w:cs="Narkisim"/>
          <w:rtl/>
        </w:rPr>
        <w:t xml:space="preserve"> (שם) הוכיח מהכא דמהני טבילה ואח"כ מילה בגירות, דטבלה בעודה מעוברת. וה</w:t>
      </w:r>
      <w:r w:rsidRPr="00E14121">
        <w:rPr>
          <w:rFonts w:ascii="Narkisim" w:hAnsi="Narkisim" w:cs="Narkisim"/>
          <w:b/>
          <w:bCs/>
          <w:rtl/>
        </w:rPr>
        <w:t>אחרונים</w:t>
      </w:r>
      <w:r w:rsidRPr="00E14121">
        <w:rPr>
          <w:rFonts w:ascii="Narkisim" w:hAnsi="Narkisim" w:cs="Narkisim"/>
          <w:rtl/>
        </w:rPr>
        <w:t xml:space="preserve"> הביאו דלפ"ז לא נגמר הגירות עד המילה</w:t>
      </w:r>
      <w:r w:rsidRPr="00E14121">
        <w:rPr>
          <w:rStyle w:val="ac"/>
          <w:rFonts w:ascii="Narkisim" w:hAnsi="Narkisim" w:cs="Narkisim"/>
          <w:rtl/>
        </w:rPr>
        <w:footnoteReference w:id="4739"/>
      </w:r>
      <w:r w:rsidRPr="00E14121">
        <w:rPr>
          <w:rFonts w:ascii="Narkisim" w:hAnsi="Narkisim" w:cs="Narkisim"/>
          <w:rtl/>
        </w:rPr>
        <w:t>.</w:t>
      </w:r>
    </w:p>
    <w:p w14:paraId="6E630094" w14:textId="77777777" w:rsidR="00F64AED" w:rsidRPr="00E14121" w:rsidRDefault="00F64AED" w:rsidP="00F64AED">
      <w:pPr>
        <w:pStyle w:val="a7"/>
        <w:bidi/>
        <w:rPr>
          <w:rFonts w:ascii="Narkisim" w:hAnsi="Narkisim"/>
        </w:rPr>
      </w:pPr>
      <w:r w:rsidRPr="00E14121">
        <w:rPr>
          <w:rFonts w:ascii="Narkisim" w:hAnsi="Narkisim"/>
          <w:rtl/>
        </w:rPr>
        <w:lastRenderedPageBreak/>
        <w:t xml:space="preserve">אבל </w:t>
      </w:r>
      <w:r w:rsidRPr="00E14121">
        <w:rPr>
          <w:rFonts w:ascii="Narkisim" w:hAnsi="Narkisim"/>
          <w:b/>
          <w:bCs/>
          <w:rtl/>
        </w:rPr>
        <w:t>תוס</w:t>
      </w:r>
      <w:r w:rsidRPr="00E14121">
        <w:rPr>
          <w:rFonts w:ascii="Narkisim" w:hAnsi="Narkisim"/>
          <w:rtl/>
        </w:rPr>
        <w:t>' (הנ"ל) תי' דאכתי לא חזי למילה. וה</w:t>
      </w:r>
      <w:r w:rsidRPr="00E14121">
        <w:rPr>
          <w:rFonts w:ascii="Narkisim" w:hAnsi="Narkisim"/>
          <w:b/>
          <w:bCs/>
          <w:rtl/>
        </w:rPr>
        <w:t>ריטב"א</w:t>
      </w:r>
      <w:r w:rsidRPr="00E14121">
        <w:rPr>
          <w:rFonts w:ascii="Narkisim" w:hAnsi="Narkisim"/>
          <w:rtl/>
        </w:rPr>
        <w:t xml:space="preserve"> (שם) ביאר דבמעי אמו הוה כנקיבה דלא מעכב מילתו, וכשנולד מלים אותו כישראל. [והוה גירות בלא מילה</w:t>
      </w:r>
      <w:r w:rsidRPr="00E14121">
        <w:rPr>
          <w:rStyle w:val="ac"/>
          <w:rFonts w:ascii="Narkisim" w:hAnsi="Narkisim"/>
          <w:rtl/>
        </w:rPr>
        <w:footnoteReference w:id="4740"/>
      </w:r>
      <w:r w:rsidRPr="00E14121">
        <w:rPr>
          <w:rFonts w:ascii="Narkisim" w:hAnsi="Narkisim"/>
          <w:rtl/>
        </w:rPr>
        <w:t>]. ו</w:t>
      </w:r>
      <w:r w:rsidRPr="00E14121">
        <w:rPr>
          <w:rFonts w:ascii="Narkisim" w:hAnsi="Narkisim"/>
          <w:b/>
          <w:bCs/>
          <w:rtl/>
        </w:rPr>
        <w:t>רע"א</w:t>
      </w:r>
      <w:r w:rsidRPr="00E14121">
        <w:rPr>
          <w:rFonts w:ascii="Narkisim" w:hAnsi="Narkisim"/>
          <w:rtl/>
        </w:rPr>
        <w:t xml:space="preserve"> </w:t>
      </w:r>
      <w:r w:rsidRPr="00E14121">
        <w:rPr>
          <w:rFonts w:ascii="Narkisim" w:hAnsi="Narkisim"/>
          <w:szCs w:val="20"/>
          <w:rtl/>
        </w:rPr>
        <w:t>(בשו"ע</w:t>
      </w:r>
      <w:r w:rsidRPr="00E14121">
        <w:rPr>
          <w:rFonts w:ascii="Narkisim" w:hAnsi="Narkisim"/>
          <w:rtl/>
        </w:rPr>
        <w:t xml:space="preserve"> </w:t>
      </w:r>
      <w:r w:rsidRPr="00E14121">
        <w:rPr>
          <w:rFonts w:ascii="Narkisim" w:hAnsi="Narkisim"/>
          <w:sz w:val="20"/>
          <w:szCs w:val="20"/>
          <w:rtl/>
        </w:rPr>
        <w:t>יו"ד קכד שך י)</w:t>
      </w:r>
      <w:r w:rsidRPr="00E14121">
        <w:rPr>
          <w:rFonts w:ascii="Narkisim" w:hAnsi="Narkisim"/>
          <w:rtl/>
        </w:rPr>
        <w:t xml:space="preserve"> כתב דכן סתימת הפוסקים דאי"צ למולו לשם גירות.</w:t>
      </w:r>
    </w:p>
    <w:p w14:paraId="671A21AD" w14:textId="77777777" w:rsidR="00F64AED" w:rsidRPr="00E14121" w:rsidRDefault="00F64AED" w:rsidP="00F64AED">
      <w:pPr>
        <w:pStyle w:val="aa"/>
        <w:bidi/>
        <w:rPr>
          <w:rFonts w:ascii="Narkisim" w:hAnsi="Narkisim"/>
        </w:rPr>
      </w:pPr>
      <w:r w:rsidRPr="00E14121">
        <w:rPr>
          <w:rFonts w:ascii="Narkisim" w:hAnsi="Narkisim"/>
          <w:rtl/>
        </w:rPr>
        <w:t>ולדברי הרמב"ן לא נגמר הגירות עד המילה, וה</w:t>
      </w:r>
      <w:r w:rsidRPr="00E14121">
        <w:rPr>
          <w:rFonts w:ascii="Narkisim" w:hAnsi="Narkisim"/>
          <w:b/>
          <w:bCs/>
          <w:rtl/>
        </w:rPr>
        <w:t>אחרונים</w:t>
      </w:r>
      <w:r w:rsidRPr="00E14121">
        <w:rPr>
          <w:rFonts w:ascii="Narkisim" w:hAnsi="Narkisim"/>
          <w:rtl/>
        </w:rPr>
        <w:t xml:space="preserve"> הקשו דמבואר (לקמן צז:) דמעוברת שנתגיירה, הולד מתיחס אחר אמו [ואסור בקרובי אמו מדאורייתא], ואמאי לא אמרי' כקטן שנולד כיון דמחוסר מילה</w:t>
      </w:r>
      <w:r w:rsidRPr="00E14121">
        <w:rPr>
          <w:rStyle w:val="ac"/>
          <w:rFonts w:ascii="Narkisim" w:hAnsi="Narkisim"/>
          <w:rtl/>
        </w:rPr>
        <w:footnoteReference w:id="4741"/>
      </w:r>
      <w:r w:rsidRPr="00E14121">
        <w:rPr>
          <w:rFonts w:ascii="Narkisim" w:hAnsi="Narkisim"/>
          <w:rtl/>
        </w:rPr>
        <w:t>. וה</w:t>
      </w:r>
      <w:r w:rsidRPr="00E14121">
        <w:rPr>
          <w:rFonts w:ascii="Narkisim" w:hAnsi="Narkisim"/>
          <w:b/>
          <w:bCs/>
          <w:rtl/>
        </w:rPr>
        <w:t>אמר"מ</w:t>
      </w:r>
      <w:r w:rsidRPr="00E14121">
        <w:rPr>
          <w:rFonts w:ascii="Narkisim" w:hAnsi="Narkisim"/>
          <w:rtl/>
        </w:rPr>
        <w:t xml:space="preserve"> (כז ו) כתב נהי דצריך גירות, יש צד ישראלות בלא גירות. וה</w:t>
      </w:r>
      <w:r w:rsidRPr="00E14121">
        <w:rPr>
          <w:rFonts w:ascii="Narkisim" w:hAnsi="Narkisim"/>
          <w:b/>
          <w:bCs/>
          <w:rtl/>
        </w:rPr>
        <w:t>גרנ"ט</w:t>
      </w:r>
      <w:r w:rsidRPr="00E14121">
        <w:rPr>
          <w:rFonts w:ascii="Narkisim" w:hAnsi="Narkisim"/>
          <w:rtl/>
        </w:rPr>
        <w:t xml:space="preserve"> (כתובות) כתב דכיון דנולד מישראלית יש לו יחס ומשפחה של ישראל, ואף שחסר לו גירות לקדושת ישראל.</w:t>
      </w:r>
    </w:p>
    <w:p w14:paraId="708AEA0C" w14:textId="77777777" w:rsidR="00F64AED" w:rsidRPr="00E14121" w:rsidRDefault="00F64AED" w:rsidP="00F64AED">
      <w:pPr>
        <w:bidi/>
        <w:rPr>
          <w:rFonts w:ascii="Narkisim" w:hAnsi="Narkisim" w:cs="Narkisim"/>
        </w:rPr>
      </w:pPr>
      <w:r w:rsidRPr="00E14121">
        <w:rPr>
          <w:rFonts w:ascii="Narkisim" w:hAnsi="Narkisim" w:cs="Narkisim"/>
          <w:u w:val="single"/>
          <w:rtl/>
        </w:rPr>
        <w:t>משום דר' יצחק וכו' דבר תורה וכו' רובו ואין מקפיד עליו אינו חוצץ.</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הכא אוקימנא אדאורייתא. </w:t>
      </w:r>
      <w:r w:rsidRPr="00E14121">
        <w:rPr>
          <w:rFonts w:ascii="Narkisim" w:hAnsi="Narkisim" w:cs="Narkisim"/>
          <w:sz w:val="20"/>
          <w:szCs w:val="20"/>
          <w:rtl/>
        </w:rPr>
        <w:t>[דאי"צ שוב טבילת גירות].</w:t>
      </w:r>
      <w:r w:rsidRPr="00E14121">
        <w:rPr>
          <w:rFonts w:ascii="Narkisim" w:hAnsi="Narkisim" w:cs="Narkisim"/>
          <w:rtl/>
        </w:rPr>
        <w:t xml:space="preserve"> וה</w:t>
      </w:r>
      <w:r w:rsidRPr="00E14121">
        <w:rPr>
          <w:rFonts w:ascii="Narkisim" w:hAnsi="Narkisim" w:cs="Narkisim"/>
          <w:b/>
          <w:bCs/>
          <w:rtl/>
        </w:rPr>
        <w:t>תו"י</w:t>
      </w:r>
      <w:r w:rsidRPr="00E14121">
        <w:rPr>
          <w:rFonts w:ascii="Narkisim" w:hAnsi="Narkisim" w:cs="Narkisim"/>
          <w:rtl/>
        </w:rPr>
        <w:t xml:space="preserve"> כת' דמשום מעלת גירות אוקמוה רבנן אדאורייתא</w:t>
      </w:r>
      <w:r w:rsidRPr="00E14121">
        <w:rPr>
          <w:rFonts w:ascii="Narkisim" w:hAnsi="Narkisim" w:cs="Narkisim"/>
          <w:sz w:val="20"/>
          <w:szCs w:val="20"/>
          <w:rtl/>
        </w:rPr>
        <w:t xml:space="preserve"> [וצ"ב במה תליא ב'מעלה'</w:t>
      </w:r>
      <w:r w:rsidRPr="00E14121">
        <w:rPr>
          <w:rStyle w:val="ac"/>
          <w:rFonts w:ascii="Narkisim" w:hAnsi="Narkisim" w:cs="Narkisim"/>
          <w:sz w:val="20"/>
          <w:szCs w:val="20"/>
          <w:rtl/>
        </w:rPr>
        <w:footnoteReference w:id="4742"/>
      </w:r>
      <w:r w:rsidRPr="00E14121">
        <w:rPr>
          <w:rFonts w:ascii="Narkisim" w:hAnsi="Narkisim" w:cs="Narkisim"/>
          <w:sz w:val="20"/>
          <w:szCs w:val="20"/>
          <w:rtl/>
        </w:rPr>
        <w:t>]</w:t>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כת' דהכא מילתא דלא שכיחא אוקמא אדאורייתא.</w:t>
      </w:r>
    </w:p>
    <w:p w14:paraId="1C41C666" w14:textId="77777777" w:rsidR="00F64AED" w:rsidRPr="00E14121" w:rsidRDefault="00F64AED" w:rsidP="00F64AED">
      <w:pPr>
        <w:pStyle w:val="3"/>
        <w:bidi/>
        <w:rPr>
          <w:rFonts w:ascii="Narkisim" w:hAnsi="Narkisim"/>
        </w:rPr>
      </w:pPr>
      <w:r w:rsidRPr="00E14121">
        <w:rPr>
          <w:rFonts w:ascii="Narkisim" w:hAnsi="Narkisim"/>
          <w:rtl/>
        </w:rPr>
        <w:t>דף עח:</w:t>
      </w:r>
    </w:p>
    <w:p w14:paraId="2264EA3C" w14:textId="77777777" w:rsidR="00F64AED" w:rsidRPr="00E14121" w:rsidRDefault="00F64AED" w:rsidP="00F64AED">
      <w:pPr>
        <w:bidi/>
        <w:rPr>
          <w:rFonts w:ascii="Narkisim" w:hAnsi="Narkisim" w:cs="Narkisim"/>
        </w:rPr>
      </w:pPr>
      <w:r w:rsidRPr="00E14121">
        <w:rPr>
          <w:rFonts w:ascii="Narkisim" w:hAnsi="Narkisim" w:cs="Narkisim"/>
          <w:u w:val="single"/>
          <w:rtl/>
        </w:rPr>
        <w:t>אבל כולו חוצץ</w:t>
      </w:r>
      <w:r w:rsidRPr="00E14121">
        <w:rPr>
          <w:rStyle w:val="ac"/>
          <w:rFonts w:ascii="Narkisim" w:hAnsi="Narkisim" w:cs="Narkisim"/>
          <w:u w:val="single"/>
          <w:rtl/>
        </w:rPr>
        <w:footnoteReference w:id="4743"/>
      </w:r>
      <w:r w:rsidRPr="00E14121">
        <w:rPr>
          <w:rFonts w:ascii="Narkisim" w:hAnsi="Narkisim" w:cs="Narkisim"/>
          <w:u w:val="single"/>
          <w:rtl/>
        </w:rPr>
        <w:t xml:space="preserve"> וכו'.</w:t>
      </w:r>
      <w:r w:rsidRPr="00E14121">
        <w:rPr>
          <w:rFonts w:ascii="Narkisim" w:hAnsi="Narkisim" w:cs="Narkisim"/>
          <w:rtl/>
        </w:rPr>
        <w:t xml:space="preserve"> בפשוטו משמע דהוה מגדרי חציצה. </w:t>
      </w:r>
      <w:r w:rsidRPr="00E14121">
        <w:rPr>
          <w:rFonts w:ascii="Narkisim" w:hAnsi="Narkisim" w:cs="Narkisim"/>
          <w:sz w:val="20"/>
          <w:szCs w:val="20"/>
          <w:rtl/>
        </w:rPr>
        <w:t>וה</w:t>
      </w:r>
      <w:r w:rsidRPr="00E14121">
        <w:rPr>
          <w:rFonts w:ascii="Narkisim" w:hAnsi="Narkisim" w:cs="Narkisim"/>
          <w:b/>
          <w:bCs/>
          <w:sz w:val="20"/>
          <w:szCs w:val="20"/>
          <w:rtl/>
        </w:rPr>
        <w:t>אחיעזר</w:t>
      </w:r>
      <w:r w:rsidRPr="00E14121">
        <w:rPr>
          <w:rFonts w:ascii="Narkisim" w:hAnsi="Narkisim" w:cs="Narkisim"/>
          <w:sz w:val="20"/>
          <w:szCs w:val="20"/>
          <w:rtl/>
        </w:rPr>
        <w:t xml:space="preserve"> (ג לג) נקט דהוה בכלל הלכה למשה מסיני דכולו חוצץ</w:t>
      </w:r>
      <w:r w:rsidRPr="00E14121">
        <w:rPr>
          <w:rStyle w:val="ac"/>
          <w:rFonts w:ascii="Narkisim" w:hAnsi="Narkisim" w:cs="Narkisim"/>
          <w:sz w:val="20"/>
          <w:szCs w:val="20"/>
          <w:rtl/>
        </w:rPr>
        <w:footnoteReference w:id="4744"/>
      </w:r>
      <w:r w:rsidRPr="00E14121">
        <w:rPr>
          <w:rFonts w:ascii="Narkisim" w:hAnsi="Narkisim" w:cs="Narkisim"/>
          <w:sz w:val="20"/>
          <w:szCs w:val="20"/>
          <w:rtl/>
        </w:rPr>
        <w:t>.</w:t>
      </w:r>
      <w:r w:rsidRPr="00E14121">
        <w:rPr>
          <w:rFonts w:ascii="Narkisim" w:hAnsi="Narkisim" w:cs="Narkisim"/>
          <w:rtl/>
        </w:rPr>
        <w:t xml:space="preserve"> אבל ה</w:t>
      </w:r>
      <w:r w:rsidRPr="00E14121">
        <w:rPr>
          <w:rFonts w:ascii="Narkisim" w:hAnsi="Narkisim" w:cs="Narkisim"/>
          <w:b/>
          <w:bCs/>
          <w:rtl/>
        </w:rPr>
        <w:t>גרי"ז</w:t>
      </w:r>
      <w:r w:rsidRPr="00E14121">
        <w:rPr>
          <w:rFonts w:ascii="Narkisim" w:hAnsi="Narkisim" w:cs="Narkisim"/>
          <w:rtl/>
        </w:rPr>
        <w:t xml:space="preserve"> (הל' מקואות ב טו) כתב דכולו אינו מדין חציצה, אלא דנחשב דאין כאן ביאת מים כלל. משא"כ ברובו דחשבינן דהביאת מים שעל מקצתו חשובה כביאת מים על כולו</w:t>
      </w:r>
      <w:r w:rsidRPr="00E14121">
        <w:rPr>
          <w:rStyle w:val="ac"/>
          <w:rFonts w:ascii="Narkisim" w:hAnsi="Narkisim" w:cs="Narkisim"/>
          <w:rtl/>
        </w:rPr>
        <w:footnoteReference w:id="4745"/>
      </w:r>
      <w:r w:rsidRPr="00E14121">
        <w:rPr>
          <w:rFonts w:ascii="Narkisim" w:hAnsi="Narkisim" w:cs="Narkisim"/>
          <w:rtl/>
        </w:rPr>
        <w:t>, אלא דיש הלממ"ס דחציצה. אבל בכולו אין ביאת מים כלל</w:t>
      </w:r>
      <w:r w:rsidRPr="00E14121">
        <w:rPr>
          <w:rStyle w:val="ac"/>
          <w:rFonts w:ascii="Narkisim" w:hAnsi="Narkisim" w:cs="Narkisim"/>
          <w:rtl/>
        </w:rPr>
        <w:footnoteReference w:id="4746"/>
      </w:r>
      <w:r w:rsidRPr="00E14121">
        <w:rPr>
          <w:rFonts w:ascii="Narkisim" w:hAnsi="Narkisim" w:cs="Narkisim"/>
          <w:rtl/>
        </w:rPr>
        <w:t>.</w:t>
      </w:r>
    </w:p>
    <w:p w14:paraId="147AB599"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אחרונים </w:t>
      </w:r>
      <w:r w:rsidRPr="00E14121">
        <w:rPr>
          <w:rFonts w:ascii="Narkisim" w:hAnsi="Narkisim" w:cs="Narkisim"/>
          <w:rtl/>
        </w:rPr>
        <w:t>(</w:t>
      </w:r>
      <w:r w:rsidRPr="00E14121">
        <w:rPr>
          <w:rFonts w:ascii="Narkisim" w:hAnsi="Narkisim" w:cs="Narkisim"/>
          <w:b/>
          <w:bCs/>
          <w:rtl/>
        </w:rPr>
        <w:t>רע"א</w:t>
      </w:r>
      <w:r w:rsidRPr="00E14121">
        <w:rPr>
          <w:rFonts w:ascii="Narkisim" w:hAnsi="Narkisim" w:cs="Narkisim"/>
          <w:rtl/>
        </w:rPr>
        <w:t xml:space="preserve"> לרמב"ם מקואות א יב, </w:t>
      </w:r>
      <w:r w:rsidRPr="00E14121">
        <w:rPr>
          <w:rFonts w:ascii="Narkisim" w:hAnsi="Narkisim" w:cs="Narkisim"/>
          <w:b/>
          <w:bCs/>
          <w:rtl/>
        </w:rPr>
        <w:t>מנח"ח</w:t>
      </w:r>
      <w:r w:rsidRPr="00E14121">
        <w:rPr>
          <w:rFonts w:ascii="Narkisim" w:hAnsi="Narkisim" w:cs="Narkisim"/>
          <w:rtl/>
        </w:rPr>
        <w:t xml:space="preserve"> קעה</w:t>
      </w:r>
      <w:r w:rsidRPr="00E14121">
        <w:rPr>
          <w:rStyle w:val="ac"/>
          <w:rFonts w:ascii="Narkisim" w:hAnsi="Narkisim" w:cs="Narkisim"/>
          <w:rtl/>
        </w:rPr>
        <w:footnoteReference w:id="4747"/>
      </w:r>
      <w:r w:rsidRPr="00E14121">
        <w:rPr>
          <w:rFonts w:ascii="Narkisim" w:hAnsi="Narkisim" w:cs="Narkisim"/>
          <w:rtl/>
        </w:rPr>
        <w:t>) תמהו דה</w:t>
      </w:r>
      <w:r w:rsidRPr="00E14121">
        <w:rPr>
          <w:rFonts w:ascii="Narkisim" w:hAnsi="Narkisim" w:cs="Narkisim"/>
          <w:b/>
          <w:bCs/>
          <w:rtl/>
        </w:rPr>
        <w:t>רמב"ם</w:t>
      </w:r>
      <w:r w:rsidRPr="00E14121">
        <w:rPr>
          <w:rFonts w:ascii="Narkisim" w:hAnsi="Narkisim" w:cs="Narkisim"/>
          <w:rtl/>
        </w:rPr>
        <w:t xml:space="preserve"> ו</w:t>
      </w:r>
      <w:r w:rsidRPr="00E14121">
        <w:rPr>
          <w:rFonts w:ascii="Narkisim" w:hAnsi="Narkisim" w:cs="Narkisim"/>
          <w:b/>
          <w:bCs/>
          <w:rtl/>
        </w:rPr>
        <w:t>שו"ע</w:t>
      </w:r>
      <w:r w:rsidRPr="00E14121">
        <w:rPr>
          <w:rFonts w:ascii="Narkisim" w:hAnsi="Narkisim" w:cs="Narkisim"/>
          <w:rtl/>
        </w:rPr>
        <w:t xml:space="preserve"> השמיטו הך דין, דחציצה בכולו מעכב אף כשאינו מקפיד. וה</w:t>
      </w:r>
      <w:r w:rsidRPr="00E14121">
        <w:rPr>
          <w:rFonts w:ascii="Narkisim" w:hAnsi="Narkisim" w:cs="Narkisim"/>
          <w:b/>
          <w:bCs/>
          <w:rtl/>
        </w:rPr>
        <w:t>גרי"ז</w:t>
      </w:r>
      <w:r w:rsidRPr="00E14121">
        <w:rPr>
          <w:rFonts w:ascii="Narkisim" w:hAnsi="Narkisim" w:cs="Narkisim"/>
          <w:rtl/>
        </w:rPr>
        <w:t xml:space="preserve"> תי' (ע"פ הנ"ל) דכולו לא הוה מגדרי חציצה, אלא דין אחר דבעינן ביאת מים.</w:t>
      </w:r>
    </w:p>
    <w:p w14:paraId="42957218" w14:textId="77777777" w:rsidR="00F64AED" w:rsidRPr="00E14121" w:rsidRDefault="00F64AED" w:rsidP="00F64AED">
      <w:pPr>
        <w:bidi/>
        <w:rPr>
          <w:rFonts w:ascii="Narkisim" w:hAnsi="Narkisim" w:cs="Narkisim"/>
        </w:rPr>
      </w:pPr>
      <w:r w:rsidRPr="00E14121">
        <w:rPr>
          <w:rFonts w:ascii="Narkisim" w:hAnsi="Narkisim" w:cs="Narkisim"/>
          <w:u w:val="single"/>
          <w:rtl/>
        </w:rPr>
        <w:t>שם. חוצץ</w:t>
      </w:r>
      <w:r w:rsidRPr="00E14121">
        <w:rPr>
          <w:rFonts w:ascii="Narkisim" w:hAnsi="Narkisim" w:cs="Narkisim"/>
          <w:rtl/>
        </w:rPr>
        <w:t>. ה</w:t>
      </w:r>
      <w:r w:rsidRPr="00E14121">
        <w:rPr>
          <w:rFonts w:ascii="Narkisim" w:hAnsi="Narkisim" w:cs="Narkisim"/>
          <w:b/>
          <w:bCs/>
          <w:rtl/>
        </w:rPr>
        <w:t>קובה"ע</w:t>
      </w:r>
      <w:r w:rsidRPr="00E14121">
        <w:rPr>
          <w:rFonts w:ascii="Narkisim" w:hAnsi="Narkisim" w:cs="Narkisim"/>
          <w:rtl/>
        </w:rPr>
        <w:t xml:space="preserve"> (הוספות ד) הקשה דמין במינו אינו חוצץ. ותי' דמ"מ הוה כהפסק אויר, ולא עלתה לו טבילה. משא"כ כל חציצה הוא משום דבטל לגביה הגוף. והאם אינה מתבטלת לגבי עובר</w:t>
      </w:r>
      <w:r w:rsidRPr="00E14121">
        <w:rPr>
          <w:rStyle w:val="ac"/>
          <w:rFonts w:ascii="Narkisim" w:hAnsi="Narkisim" w:cs="Narkisim"/>
          <w:rtl/>
        </w:rPr>
        <w:footnoteReference w:id="4748"/>
      </w:r>
      <w:r w:rsidRPr="00E14121">
        <w:rPr>
          <w:rFonts w:ascii="Narkisim" w:hAnsi="Narkisim" w:cs="Narkisim"/>
          <w:rtl/>
        </w:rPr>
        <w:t>.</w:t>
      </w:r>
    </w:p>
    <w:p w14:paraId="7A46CF71" w14:textId="77777777" w:rsidR="00F64AED" w:rsidRPr="00E14121" w:rsidRDefault="00F64AED" w:rsidP="00F64AED">
      <w:pPr>
        <w:pStyle w:val="aa"/>
        <w:bidi/>
        <w:rPr>
          <w:rFonts w:ascii="Narkisim" w:hAnsi="Narkisim"/>
        </w:rPr>
      </w:pPr>
      <w:r w:rsidRPr="00E14121">
        <w:rPr>
          <w:rFonts w:ascii="Narkisim" w:hAnsi="Narkisim"/>
          <w:u w:val="single"/>
          <w:rtl/>
        </w:rPr>
        <w:t>שאני עובר דהיינו רביתיה.</w:t>
      </w:r>
      <w:r w:rsidRPr="00E14121">
        <w:rPr>
          <w:rFonts w:ascii="Narkisim" w:hAnsi="Narkisim"/>
          <w:rtl/>
        </w:rPr>
        <w:t xml:space="preserve"> </w:t>
      </w:r>
      <w:r w:rsidRPr="00E14121">
        <w:rPr>
          <w:rFonts w:ascii="Narkisim" w:hAnsi="Narkisim"/>
          <w:b/>
          <w:bCs/>
          <w:rtl/>
        </w:rPr>
        <w:t>ר"א מן ההר</w:t>
      </w:r>
      <w:r w:rsidRPr="00E14121">
        <w:rPr>
          <w:rFonts w:ascii="Narkisim" w:hAnsi="Narkisim"/>
          <w:rtl/>
        </w:rPr>
        <w:t xml:space="preserve"> פי' דהוה גידולו ולא הוה חציצה</w:t>
      </w:r>
      <w:r w:rsidRPr="00E14121">
        <w:rPr>
          <w:rStyle w:val="ac"/>
          <w:rFonts w:ascii="Narkisim" w:hAnsi="Narkisim"/>
          <w:rtl/>
        </w:rPr>
        <w:footnoteReference w:id="4749"/>
      </w:r>
      <w:r w:rsidRPr="00E14121">
        <w:rPr>
          <w:rFonts w:ascii="Narkisim" w:hAnsi="Narkisim"/>
          <w:rtl/>
        </w:rPr>
        <w:t>.</w:t>
      </w:r>
    </w:p>
    <w:p w14:paraId="09912242" w14:textId="77777777" w:rsidR="00F64AED" w:rsidRPr="00E14121" w:rsidRDefault="00F64AED" w:rsidP="00F64AED">
      <w:pPr>
        <w:bidi/>
        <w:rPr>
          <w:rFonts w:ascii="Narkisim" w:hAnsi="Narkisim" w:cs="Narkisim"/>
        </w:rPr>
      </w:pPr>
      <w:r w:rsidRPr="00E14121">
        <w:rPr>
          <w:rFonts w:ascii="Narkisim" w:hAnsi="Narkisim" w:cs="Narkisim"/>
          <w:u w:val="single"/>
          <w:rtl/>
        </w:rPr>
        <w:t>באומות הלך אחר הזכר</w:t>
      </w:r>
      <w:r w:rsidRPr="00E14121">
        <w:rPr>
          <w:rStyle w:val="ac"/>
          <w:rFonts w:ascii="Narkisim" w:hAnsi="Narkisim" w:cs="Narkisim"/>
          <w:u w:val="single"/>
          <w:rtl/>
        </w:rPr>
        <w:footnoteReference w:id="4750"/>
      </w:r>
      <w:r w:rsidRPr="00E14121">
        <w:rPr>
          <w:rFonts w:ascii="Narkisim" w:hAnsi="Narkisim" w:cs="Narkisim"/>
          <w:u w:val="single"/>
          <w:rtl/>
        </w:rPr>
        <w:t>.</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לענין לא תחיה כל נשמה. ו</w:t>
      </w:r>
      <w:r w:rsidRPr="00E14121">
        <w:rPr>
          <w:rFonts w:ascii="Narkisim" w:hAnsi="Narkisim" w:cs="Narkisim"/>
          <w:b/>
          <w:bCs/>
          <w:rtl/>
        </w:rPr>
        <w:t>תוס'</w:t>
      </w:r>
      <w:r w:rsidRPr="00E14121">
        <w:rPr>
          <w:rFonts w:ascii="Narkisim" w:hAnsi="Narkisim" w:cs="Narkisim"/>
          <w:rtl/>
        </w:rPr>
        <w:t xml:space="preserve"> (סוטה ג: ד"ה למשרי) כת' דמהכא נפק"ל דבאומות הלך אחר הזכר [לענין יוחסין]. דאף דעיקר קרא כתיב לענין לא תחיה, ילפי' מיניה דהוה בגדר אומות</w:t>
      </w:r>
      <w:r w:rsidRPr="00E14121">
        <w:rPr>
          <w:rStyle w:val="ac"/>
          <w:rFonts w:ascii="Narkisim" w:hAnsi="Narkisim" w:cs="Narkisim"/>
          <w:rtl/>
        </w:rPr>
        <w:footnoteReference w:id="4751"/>
      </w:r>
      <w:r w:rsidRPr="00E14121">
        <w:rPr>
          <w:rFonts w:ascii="Narkisim" w:hAnsi="Narkisim" w:cs="Narkisim"/>
          <w:rtl/>
        </w:rPr>
        <w:t>. וכ"פ ה</w:t>
      </w:r>
      <w:r w:rsidRPr="00E14121">
        <w:rPr>
          <w:rFonts w:ascii="Narkisim" w:hAnsi="Narkisim" w:cs="Narkisim"/>
          <w:b/>
          <w:bCs/>
          <w:rtl/>
        </w:rPr>
        <w:t>רמב"ם</w:t>
      </w:r>
      <w:r w:rsidRPr="00E14121">
        <w:rPr>
          <w:rFonts w:ascii="Narkisim" w:hAnsi="Narkisim" w:cs="Narkisim"/>
          <w:rtl/>
        </w:rPr>
        <w:t xml:space="preserve"> (יב כא) ו</w:t>
      </w:r>
      <w:r w:rsidRPr="00E14121">
        <w:rPr>
          <w:rFonts w:ascii="Narkisim" w:hAnsi="Narkisim" w:cs="Narkisim"/>
          <w:b/>
          <w:bCs/>
          <w:rtl/>
        </w:rPr>
        <w:t>שו"ע</w:t>
      </w:r>
      <w:r w:rsidRPr="00E14121">
        <w:rPr>
          <w:rFonts w:ascii="Narkisim" w:hAnsi="Narkisim" w:cs="Narkisim"/>
          <w:rtl/>
        </w:rPr>
        <w:t xml:space="preserve"> (ד ז) דאף לענין מצרי </w:t>
      </w:r>
      <w:r w:rsidRPr="00E14121">
        <w:rPr>
          <w:rFonts w:ascii="Narkisim" w:hAnsi="Narkisim" w:cs="Narkisim"/>
          <w:rtl/>
        </w:rPr>
        <w:lastRenderedPageBreak/>
        <w:t>ועמוני בגיותן הולכים אחר הזכר, וכן מבואר ב</w:t>
      </w:r>
      <w:r w:rsidRPr="00E14121">
        <w:rPr>
          <w:rFonts w:ascii="Narkisim" w:hAnsi="Narkisim" w:cs="Narkisim"/>
          <w:b/>
          <w:bCs/>
          <w:rtl/>
        </w:rPr>
        <w:t>ירושלמי</w:t>
      </w:r>
      <w:r w:rsidRPr="00E14121">
        <w:rPr>
          <w:rFonts w:ascii="Narkisim" w:hAnsi="Narkisim" w:cs="Narkisim"/>
          <w:rtl/>
        </w:rPr>
        <w:t xml:space="preserve">.  </w:t>
      </w:r>
    </w:p>
    <w:p w14:paraId="1FDBE95D"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(עבדים ט ג) הביא מהך דרשא דעכו"ם שבא על שפחה כנענית הבן עבד, דכתיב אשר הולידו בארצכם. אבל עבד כנעני שבא על עכו"ם, אין הבן עבד דכתיב אשר הולידו בארצכם, ועבד אין לו יחס. וה</w:t>
      </w:r>
      <w:r w:rsidRPr="00E14121">
        <w:rPr>
          <w:rFonts w:ascii="Narkisim" w:hAnsi="Narkisim"/>
          <w:b/>
          <w:bCs/>
          <w:rtl/>
        </w:rPr>
        <w:t>ראב"ד</w:t>
      </w:r>
      <w:r w:rsidRPr="00E14121">
        <w:rPr>
          <w:rFonts w:ascii="Narkisim" w:hAnsi="Narkisim"/>
          <w:rtl/>
        </w:rPr>
        <w:t xml:space="preserve"> השיג דאדרבה מבואר בסוגיין דאזלי' בתר הזכר, ואיירי לענין לא תחיה כל נשמה. אבל ברמב"ם משמע דילפי' דהוא כבר עבד [ולא שראוי לקנותו]. וע' כס"מ ולח"מ.</w:t>
      </w:r>
    </w:p>
    <w:p w14:paraId="52944EC7" w14:textId="77777777" w:rsidR="00F64AED" w:rsidRPr="00E14121" w:rsidRDefault="00F64AED" w:rsidP="00F64AED">
      <w:pPr>
        <w:pStyle w:val="aa"/>
        <w:bidi/>
        <w:rPr>
          <w:rFonts w:ascii="Narkisim" w:hAnsi="Narkisim"/>
        </w:rPr>
      </w:pPr>
      <w:r w:rsidRPr="00E14121">
        <w:rPr>
          <w:rFonts w:ascii="Narkisim" w:hAnsi="Narkisim"/>
          <w:u w:val="single"/>
          <w:rtl/>
        </w:rPr>
        <w:t>אילימא במצרי שנשא עמונית, מאי פגום אית בה.</w:t>
      </w:r>
      <w:r w:rsidRPr="00E14121">
        <w:rPr>
          <w:rFonts w:ascii="Narkisim" w:hAnsi="Narkisim"/>
          <w:rtl/>
        </w:rPr>
        <w:t xml:space="preserve"> יל"פ כוונת הגמ' דלא יתכן שהבן יהא עמוני, דבא מכח אמו שמותרת</w:t>
      </w:r>
      <w:r w:rsidRPr="00E14121">
        <w:rPr>
          <w:rStyle w:val="ac"/>
          <w:rFonts w:ascii="Narkisim" w:hAnsi="Narkisim"/>
          <w:rtl/>
        </w:rPr>
        <w:footnoteReference w:id="4752"/>
      </w:r>
      <w:r w:rsidRPr="00E14121">
        <w:rPr>
          <w:rFonts w:ascii="Narkisim" w:hAnsi="Narkisim"/>
          <w:rtl/>
        </w:rPr>
        <w:t>. ועיל"פ דכוונת הגמ' דלא שייך הדין 'הלך אחר הפגום', כיון דהאם מותרת. ובמקום דליכא 'פגם' אזלינן בתר למשפחת אביו. אבל אילו יתייחס אחריה, יחשב עמוני ואסור, ועכו"ם הבא על עמונית הולד עמוני. [ועי' מש"כ בזה לעיל].</w:t>
      </w:r>
    </w:p>
    <w:p w14:paraId="1E9F18C3" w14:textId="77777777" w:rsidR="00F64AED" w:rsidRPr="00E14121" w:rsidRDefault="00F64AED" w:rsidP="00F64AED">
      <w:pPr>
        <w:bidi/>
        <w:rPr>
          <w:rFonts w:ascii="Narkisim" w:hAnsi="Narkisim" w:cs="Narkisim"/>
        </w:rPr>
      </w:pPr>
      <w:r w:rsidRPr="00E14121">
        <w:rPr>
          <w:rFonts w:ascii="Narkisim" w:hAnsi="Narkisim" w:cs="Narkisim"/>
          <w:u w:val="single"/>
          <w:rtl/>
        </w:rPr>
        <w:t>אלא בעמוני שנשא מצרית, אי זכר שדייה בתר עמוני.</w:t>
      </w:r>
      <w:r w:rsidRPr="00E14121">
        <w:rPr>
          <w:rFonts w:ascii="Narkisim" w:hAnsi="Narkisim" w:cs="Narkisim"/>
          <w:rtl/>
        </w:rPr>
        <w:t xml:space="preserve"> בפשוטו משמע דנאמר דין דדוקא אחר הפגום, דהוה עמוני, ולא מצרי. וה</w:t>
      </w:r>
      <w:r w:rsidRPr="00E14121">
        <w:rPr>
          <w:rFonts w:ascii="Narkisim" w:hAnsi="Narkisim" w:cs="Narkisim"/>
          <w:b/>
          <w:bCs/>
          <w:rtl/>
        </w:rPr>
        <w:t>אחרונים</w:t>
      </w:r>
      <w:r w:rsidRPr="00E14121">
        <w:rPr>
          <w:rFonts w:ascii="Narkisim" w:hAnsi="Narkisim" w:cs="Narkisim"/>
          <w:rtl/>
        </w:rPr>
        <w:t xml:space="preserve"> (ע' חי' ר' שמואל יט ו) חקרו בזה בגדר הדין אחר הפגום, האם הוה דין בגדרי יחוס, וע"י שמקבל דין פגם מאמו, כבר אינו מתייחס אחרי אביו. או דנוסף בו דין הפגם, ולעולם מתייחס גם אחרי אביו.</w:t>
      </w:r>
    </w:p>
    <w:p w14:paraId="5885BCF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 xml:space="preserve">אחרונים </w:t>
      </w:r>
      <w:r w:rsidRPr="00E14121">
        <w:rPr>
          <w:rFonts w:ascii="Narkisim" w:hAnsi="Narkisim"/>
          <w:rtl/>
        </w:rPr>
        <w:t>דנו דעפ"ז י"ל דלוי הבא על ממזרת, כיון דהבן פגום אחריה, לא יחשב לוי. וה</w:t>
      </w:r>
      <w:r w:rsidRPr="00E14121">
        <w:rPr>
          <w:rFonts w:ascii="Narkisim" w:hAnsi="Narkisim"/>
          <w:b/>
          <w:bCs/>
          <w:rtl/>
        </w:rPr>
        <w:t>קובה"ע</w:t>
      </w:r>
      <w:r w:rsidRPr="00E14121">
        <w:rPr>
          <w:rFonts w:ascii="Narkisim" w:hAnsi="Narkisim"/>
          <w:sz w:val="20"/>
          <w:szCs w:val="20"/>
          <w:rtl/>
        </w:rPr>
        <w:t xml:space="preserve"> (מד ד)</w:t>
      </w:r>
      <w:r w:rsidRPr="00E14121">
        <w:rPr>
          <w:rFonts w:ascii="Narkisim" w:hAnsi="Narkisim"/>
          <w:rtl/>
        </w:rPr>
        <w:t xml:space="preserve"> הביא </w:t>
      </w:r>
      <w:r w:rsidRPr="00E14121">
        <w:rPr>
          <w:rFonts w:ascii="Narkisim" w:hAnsi="Narkisim"/>
          <w:b/>
          <w:bCs/>
          <w:rtl/>
        </w:rPr>
        <w:t>תוספתא</w:t>
      </w:r>
      <w:r w:rsidRPr="00E14121">
        <w:rPr>
          <w:rFonts w:ascii="Narkisim" w:hAnsi="Narkisim"/>
          <w:sz w:val="20"/>
          <w:szCs w:val="20"/>
          <w:rtl/>
        </w:rPr>
        <w:t xml:space="preserve"> (ח א) </w:t>
      </w:r>
      <w:r w:rsidRPr="00E14121">
        <w:rPr>
          <w:rFonts w:ascii="Narkisim" w:hAnsi="Narkisim"/>
          <w:rtl/>
        </w:rPr>
        <w:t>דלוי שנשא נתינה או ממזרת, הבן אינו מקבל מעשר</w:t>
      </w:r>
      <w:r w:rsidRPr="00E14121">
        <w:rPr>
          <w:rStyle w:val="ac"/>
          <w:rFonts w:ascii="Narkisim" w:hAnsi="Narkisim"/>
          <w:rtl/>
        </w:rPr>
        <w:footnoteReference w:id="4753"/>
      </w:r>
      <w:r w:rsidRPr="00E14121">
        <w:rPr>
          <w:rFonts w:ascii="Narkisim" w:hAnsi="Narkisim"/>
          <w:rtl/>
        </w:rPr>
        <w:t xml:space="preserve">. </w:t>
      </w:r>
      <w:r w:rsidRPr="00E14121">
        <w:rPr>
          <w:rFonts w:ascii="Narkisim" w:hAnsi="Narkisim"/>
          <w:sz w:val="20"/>
          <w:szCs w:val="20"/>
          <w:rtl/>
        </w:rPr>
        <w:t>והקובה"ע דן האם הוא משום דהממזרות מפקיע את השם 'קהל' ואת משפחת לויה</w:t>
      </w:r>
      <w:r w:rsidRPr="00E14121">
        <w:rPr>
          <w:rStyle w:val="ac"/>
          <w:rFonts w:ascii="Narkisim" w:hAnsi="Narkisim"/>
          <w:sz w:val="20"/>
          <w:szCs w:val="20"/>
          <w:rtl/>
        </w:rPr>
        <w:footnoteReference w:id="4754"/>
      </w:r>
      <w:r w:rsidRPr="00E14121">
        <w:rPr>
          <w:rFonts w:ascii="Narkisim" w:hAnsi="Narkisim"/>
          <w:sz w:val="20"/>
          <w:szCs w:val="20"/>
          <w:rtl/>
        </w:rPr>
        <w:t>. או משום הלך אחר הפגום, דאינו מתייחס אחרי אביו</w:t>
      </w:r>
      <w:r w:rsidRPr="00E14121">
        <w:rPr>
          <w:rStyle w:val="ac"/>
          <w:rFonts w:ascii="Narkisim" w:hAnsi="Narkisim"/>
          <w:sz w:val="20"/>
          <w:szCs w:val="20"/>
          <w:rtl/>
        </w:rPr>
        <w:footnoteReference w:id="4755"/>
      </w:r>
      <w:r w:rsidRPr="00E14121">
        <w:rPr>
          <w:rFonts w:ascii="Narkisim" w:hAnsi="Narkisim"/>
          <w:sz w:val="20"/>
          <w:szCs w:val="20"/>
          <w:rtl/>
        </w:rPr>
        <w:t>.</w:t>
      </w:r>
    </w:p>
    <w:p w14:paraId="1DAF3E8D"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חלק"מ</w:t>
      </w:r>
      <w:r w:rsidRPr="00E14121">
        <w:rPr>
          <w:rFonts w:ascii="Narkisim" w:hAnsi="Narkisim"/>
          <w:rtl/>
        </w:rPr>
        <w:t xml:space="preserve"> (ד כב) ו</w:t>
      </w:r>
      <w:r w:rsidRPr="00E14121">
        <w:rPr>
          <w:rFonts w:ascii="Narkisim" w:hAnsi="Narkisim"/>
          <w:b/>
          <w:bCs/>
          <w:rtl/>
        </w:rPr>
        <w:t>בי"ש</w:t>
      </w:r>
      <w:r w:rsidRPr="00E14121">
        <w:rPr>
          <w:rFonts w:ascii="Narkisim" w:hAnsi="Narkisim"/>
          <w:rtl/>
        </w:rPr>
        <w:t xml:space="preserve"> (שם לה) כת' דגר עמוני שבא על ממזרת, הבן עמוני ממזר. וה</w:t>
      </w:r>
      <w:r w:rsidRPr="00E14121">
        <w:rPr>
          <w:rFonts w:ascii="Narkisim" w:hAnsi="Narkisim"/>
          <w:b/>
          <w:bCs/>
          <w:rtl/>
        </w:rPr>
        <w:t>מנח"ח</w:t>
      </w:r>
      <w:r w:rsidRPr="00E14121">
        <w:rPr>
          <w:rFonts w:ascii="Narkisim" w:hAnsi="Narkisim"/>
          <w:rtl/>
        </w:rPr>
        <w:t xml:space="preserve"> (תקסא) כת' דנפק"מ דלוקה ב'. ומבואר דאף דמקבל הפגם מאמו, ג"כ מקבל הפגם מאביו, א"כ לכאורה הבן הוה מצרי ועמוני.</w:t>
      </w:r>
    </w:p>
    <w:p w14:paraId="66FF737F" w14:textId="77777777" w:rsidR="00F64AED" w:rsidRPr="00E14121" w:rsidRDefault="00F64AED" w:rsidP="00F64AED">
      <w:pPr>
        <w:pStyle w:val="a8"/>
        <w:bidi/>
        <w:rPr>
          <w:rFonts w:ascii="Narkisim" w:hAnsi="Narkisim"/>
        </w:rPr>
      </w:pPr>
      <w:r w:rsidRPr="00E14121">
        <w:rPr>
          <w:rFonts w:ascii="Narkisim" w:hAnsi="Narkisim"/>
          <w:rtl/>
        </w:rPr>
        <w:t>אך יש שחילקו דה"מ עמוני וממזר, דכל א' פגום כלפי חבירו. אבל בב' אומות לא אמרי' הכי</w:t>
      </w:r>
      <w:r w:rsidRPr="00E14121">
        <w:rPr>
          <w:rStyle w:val="ac"/>
          <w:rFonts w:ascii="Narkisim" w:hAnsi="Narkisim"/>
          <w:rtl/>
        </w:rPr>
        <w:footnoteReference w:id="4756"/>
      </w:r>
      <w:r w:rsidRPr="00E14121">
        <w:rPr>
          <w:rFonts w:ascii="Narkisim" w:hAnsi="Narkisim"/>
          <w:rtl/>
        </w:rPr>
        <w:t>.</w:t>
      </w:r>
    </w:p>
    <w:p w14:paraId="70FECBE4" w14:textId="77777777" w:rsidR="00F64AED" w:rsidRPr="00E14121" w:rsidRDefault="00F64AED" w:rsidP="00F64AED">
      <w:pPr>
        <w:pStyle w:val="2"/>
        <w:bidi/>
        <w:rPr>
          <w:rFonts w:ascii="Narkisim" w:hAnsi="Narkisim"/>
        </w:rPr>
      </w:pPr>
      <w:r w:rsidRPr="00E14121">
        <w:rPr>
          <w:rFonts w:ascii="Narkisim" w:hAnsi="Narkisim"/>
          <w:rtl/>
        </w:rPr>
        <w:t>ממזר</w:t>
      </w:r>
    </w:p>
    <w:p w14:paraId="79E0D439" w14:textId="77777777" w:rsidR="00F64AED" w:rsidRPr="00E14121" w:rsidRDefault="00F64AED" w:rsidP="00F64AED">
      <w:pPr>
        <w:pStyle w:val="aa"/>
        <w:bidi/>
        <w:rPr>
          <w:rFonts w:ascii="Narkisim" w:hAnsi="Narkisim"/>
        </w:rPr>
      </w:pPr>
      <w:r w:rsidRPr="00E14121">
        <w:rPr>
          <w:rFonts w:ascii="Narkisim" w:hAnsi="Narkisim"/>
          <w:u w:val="single"/>
          <w:rtl/>
        </w:rPr>
        <w:t>אר"ל ממזרת לאחר י' דורות</w:t>
      </w:r>
      <w:r w:rsidRPr="00E14121">
        <w:rPr>
          <w:rStyle w:val="ac"/>
          <w:rFonts w:ascii="Narkisim" w:hAnsi="Narkisim"/>
          <w:u w:val="single"/>
          <w:rtl/>
        </w:rPr>
        <w:footnoteReference w:id="4757"/>
      </w:r>
      <w:r w:rsidRPr="00E14121">
        <w:rPr>
          <w:rFonts w:ascii="Narkisim" w:hAnsi="Narkisim"/>
          <w:u w:val="single"/>
          <w:rtl/>
        </w:rPr>
        <w:t xml:space="preserve"> וכו'.</w:t>
      </w:r>
      <w:r w:rsidRPr="00E14121">
        <w:rPr>
          <w:rFonts w:ascii="Narkisim" w:hAnsi="Narkisim"/>
          <w:rtl/>
        </w:rPr>
        <w:t xml:space="preserve"> למ"ד דון מינה ומינה. פ</w:t>
      </w:r>
      <w:r w:rsidRPr="00E14121">
        <w:rPr>
          <w:rFonts w:ascii="Narkisim" w:hAnsi="Narkisim"/>
          <w:b/>
          <w:bCs/>
          <w:rtl/>
        </w:rPr>
        <w:t>רש"י</w:t>
      </w:r>
      <w:r w:rsidRPr="00E14121">
        <w:rPr>
          <w:rFonts w:ascii="Narkisim" w:hAnsi="Narkisim"/>
          <w:rtl/>
        </w:rPr>
        <w:t xml:space="preserve"> דמעשירי ואילך יליף בגזי"ש דעמוני ומואבי, הילכך ילפי' נמי התירא</w:t>
      </w:r>
      <w:r w:rsidRPr="00E14121">
        <w:rPr>
          <w:rStyle w:val="ac"/>
          <w:rFonts w:ascii="Narkisim" w:hAnsi="Narkisim"/>
          <w:rtl/>
        </w:rPr>
        <w:footnoteReference w:id="4758"/>
      </w:r>
      <w:r w:rsidRPr="00E14121">
        <w:rPr>
          <w:rFonts w:ascii="Narkisim" w:hAnsi="Narkisim"/>
          <w:rtl/>
        </w:rPr>
        <w:t>.</w:t>
      </w:r>
    </w:p>
    <w:p w14:paraId="413A8C36"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תוס' הרא"ש</w:t>
      </w:r>
      <w:r w:rsidRPr="00E14121">
        <w:rPr>
          <w:rFonts w:ascii="Narkisim" w:hAnsi="Narkisim"/>
          <w:rtl/>
        </w:rPr>
        <w:t xml:space="preserve"> (בע"א) כתב דמצרי שנשא ממזרת עשירי, הבן ממזר, דהולד הולך אחר הפגום. [ואף דממזרת עשירית ראוי שולדה יהא כשר, מ"מ נחשבת פגום כלפי הבן</w:t>
      </w:r>
      <w:r w:rsidRPr="00E14121">
        <w:rPr>
          <w:rStyle w:val="ac"/>
          <w:rFonts w:ascii="Narkisim" w:hAnsi="Narkisim"/>
          <w:rtl/>
        </w:rPr>
        <w:footnoteReference w:id="4759"/>
      </w:r>
      <w:r w:rsidRPr="00E14121">
        <w:rPr>
          <w:rFonts w:ascii="Narkisim" w:hAnsi="Narkisim"/>
          <w:rtl/>
        </w:rPr>
        <w:t>, והוה ממזר זכר דאסור לעולם</w:t>
      </w:r>
      <w:r w:rsidRPr="00E14121">
        <w:rPr>
          <w:rStyle w:val="ac"/>
          <w:rFonts w:ascii="Narkisim" w:hAnsi="Narkisim"/>
          <w:rtl/>
        </w:rPr>
        <w:footnoteReference w:id="4760"/>
      </w:r>
      <w:r w:rsidRPr="00E14121">
        <w:rPr>
          <w:rFonts w:ascii="Narkisim" w:hAnsi="Narkisim"/>
          <w:rtl/>
        </w:rPr>
        <w:t>].</w:t>
      </w:r>
    </w:p>
    <w:p w14:paraId="7E21D70B" w14:textId="77777777" w:rsidR="00F64AED" w:rsidRPr="00E14121" w:rsidRDefault="00F64AED" w:rsidP="00F64AED">
      <w:pPr>
        <w:pStyle w:val="aa"/>
        <w:bidi/>
        <w:rPr>
          <w:rFonts w:ascii="Narkisim" w:hAnsi="Narkisim"/>
        </w:rPr>
      </w:pPr>
      <w:r w:rsidRPr="00E14121">
        <w:rPr>
          <w:rFonts w:ascii="Narkisim" w:hAnsi="Narkisim"/>
          <w:u w:val="single"/>
          <w:rtl/>
        </w:rPr>
        <w:t>והא אנן תנן ממזרים ונתינין אסורין ואיסורן איסור עולם וכו' ל"ק הא כמ"ד דון מינה ואוקי באתריה וכו'</w:t>
      </w:r>
      <w:r w:rsidRPr="00E14121">
        <w:rPr>
          <w:rFonts w:ascii="Narkisim" w:hAnsi="Narkisim"/>
          <w:rtl/>
        </w:rPr>
        <w:t>. פ</w:t>
      </w:r>
      <w:r w:rsidRPr="00E14121">
        <w:rPr>
          <w:rFonts w:ascii="Narkisim" w:hAnsi="Narkisim"/>
          <w:b/>
          <w:bCs/>
          <w:rtl/>
        </w:rPr>
        <w:t>רש"י</w:t>
      </w:r>
      <w:r w:rsidRPr="00E14121">
        <w:rPr>
          <w:rFonts w:ascii="Narkisim" w:hAnsi="Narkisim"/>
          <w:rtl/>
        </w:rPr>
        <w:t xml:space="preserve"> דילפי' דעשירי האמור כאן עד עולם. משמע דגדר הילפותא דדור עשירי לאו דוקא</w:t>
      </w:r>
      <w:r w:rsidRPr="00E14121">
        <w:rPr>
          <w:rStyle w:val="ac"/>
          <w:rFonts w:ascii="Narkisim" w:hAnsi="Narkisim"/>
          <w:rtl/>
        </w:rPr>
        <w:footnoteReference w:id="4761"/>
      </w:r>
      <w:r w:rsidRPr="00E14121">
        <w:rPr>
          <w:rFonts w:ascii="Narkisim" w:hAnsi="Narkisim"/>
          <w:rtl/>
        </w:rPr>
        <w:t xml:space="preserve">, ונעשה כאומר עד </w:t>
      </w:r>
      <w:r w:rsidRPr="00E14121">
        <w:rPr>
          <w:rFonts w:ascii="Narkisim" w:hAnsi="Narkisim"/>
          <w:rtl/>
        </w:rPr>
        <w:lastRenderedPageBreak/>
        <w:t>עולם</w:t>
      </w:r>
      <w:r w:rsidRPr="00E14121">
        <w:rPr>
          <w:rStyle w:val="ac"/>
          <w:rFonts w:ascii="Narkisim" w:hAnsi="Narkisim"/>
          <w:rtl/>
        </w:rPr>
        <w:footnoteReference w:id="4762"/>
      </w:r>
      <w:r w:rsidRPr="00E14121">
        <w:rPr>
          <w:rFonts w:ascii="Narkisim" w:hAnsi="Narkisim"/>
          <w:rtl/>
        </w:rPr>
        <w:t>.</w:t>
      </w:r>
    </w:p>
    <w:p w14:paraId="7343C29F"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רש"ש</w:t>
      </w:r>
      <w:r w:rsidRPr="00E14121">
        <w:rPr>
          <w:rFonts w:ascii="Narkisim" w:hAnsi="Narkisim"/>
          <w:rtl/>
        </w:rPr>
        <w:t xml:space="preserve"> הק' אמאי כתוב דור י' בקרא בממזר, הו"ל לכתוב עד עולם. ותי' דאי הוה כתוב עד עולם א"כ לא היה היתר אף במשך הזמן, ואילו אנן קי"ל (קידושין עב:) דממזרים טהורין לעתיד לבא</w:t>
      </w:r>
      <w:r w:rsidRPr="00E14121">
        <w:rPr>
          <w:rStyle w:val="ac"/>
          <w:rFonts w:ascii="Narkisim" w:hAnsi="Narkisim"/>
          <w:rtl/>
        </w:rPr>
        <w:footnoteReference w:id="4763"/>
      </w:r>
      <w:r w:rsidRPr="00E14121">
        <w:rPr>
          <w:rFonts w:ascii="Narkisim" w:hAnsi="Narkisim"/>
          <w:rtl/>
        </w:rPr>
        <w:t>.</w:t>
      </w:r>
    </w:p>
    <w:p w14:paraId="098E30E5" w14:textId="77777777" w:rsidR="00F64AED" w:rsidRPr="00E14121" w:rsidRDefault="00F64AED" w:rsidP="00F64AED">
      <w:pPr>
        <w:bidi/>
        <w:rPr>
          <w:rFonts w:ascii="Narkisim" w:hAnsi="Narkisim" w:cs="Narkisim"/>
        </w:rPr>
      </w:pPr>
      <w:r w:rsidRPr="00E14121">
        <w:rPr>
          <w:rFonts w:ascii="Narkisim" w:hAnsi="Narkisim" w:cs="Narkisim"/>
          <w:u w:val="single"/>
          <w:rtl/>
        </w:rPr>
        <w:t>ממזרא לא חיי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שלא יטמעו כשרים בדורותיו. ובפשוטו משמע משום איסור ממזרות. וה</w:t>
      </w:r>
      <w:r w:rsidRPr="00E14121">
        <w:rPr>
          <w:rFonts w:ascii="Narkisim" w:hAnsi="Narkisim" w:cs="Narkisim"/>
          <w:b/>
          <w:bCs/>
          <w:rtl/>
        </w:rPr>
        <w:t>אחרונים</w:t>
      </w:r>
      <w:r w:rsidRPr="00E14121">
        <w:rPr>
          <w:rFonts w:ascii="Narkisim" w:hAnsi="Narkisim" w:cs="Narkisim"/>
          <w:rtl/>
        </w:rPr>
        <w:t xml:space="preserve"> הקשו דקי"ל (קידושין עג) דספק ממזר מותר. וה</w:t>
      </w:r>
      <w:r w:rsidRPr="00E14121">
        <w:rPr>
          <w:rFonts w:ascii="Narkisim" w:hAnsi="Narkisim" w:cs="Narkisim"/>
          <w:b/>
          <w:bCs/>
          <w:rtl/>
        </w:rPr>
        <w:t>חזו"א</w:t>
      </w:r>
      <w:r w:rsidRPr="00E14121">
        <w:rPr>
          <w:rFonts w:ascii="Narkisim" w:hAnsi="Narkisim" w:cs="Narkisim"/>
          <w:rtl/>
        </w:rPr>
        <w:t xml:space="preserve"> (א לד) כת' דמ"מ חשיב תקלה.</w:t>
      </w:r>
    </w:p>
    <w:p w14:paraId="2EF680A8" w14:textId="77777777" w:rsidR="00F64AED" w:rsidRPr="00E14121" w:rsidRDefault="00F64AED" w:rsidP="00F64AED">
      <w:pPr>
        <w:pStyle w:val="a7"/>
        <w:bidi/>
        <w:rPr>
          <w:rFonts w:ascii="Narkisim" w:hAnsi="Narkisim"/>
        </w:rPr>
      </w:pPr>
      <w:r w:rsidRPr="00E14121">
        <w:rPr>
          <w:rFonts w:ascii="Narkisim" w:hAnsi="Narkisim"/>
          <w:rtl/>
        </w:rPr>
        <w:t>אך ה</w:t>
      </w:r>
      <w:r w:rsidRPr="00E14121">
        <w:rPr>
          <w:rFonts w:ascii="Narkisim" w:hAnsi="Narkisim"/>
          <w:b/>
          <w:bCs/>
          <w:rtl/>
        </w:rPr>
        <w:t>מהרי"ט</w:t>
      </w:r>
      <w:r w:rsidRPr="00E14121">
        <w:rPr>
          <w:rFonts w:ascii="Narkisim" w:hAnsi="Narkisim"/>
          <w:rtl/>
        </w:rPr>
        <w:t xml:space="preserve"> (ב יו"ד א, הו' בש"ש א א) כתב דמותר בתורת ודאי</w:t>
      </w:r>
      <w:r w:rsidRPr="00E14121">
        <w:rPr>
          <w:rStyle w:val="ac"/>
          <w:rFonts w:ascii="Narkisim" w:hAnsi="Narkisim"/>
          <w:rtl/>
        </w:rPr>
        <w:footnoteReference w:id="4764"/>
      </w:r>
      <w:r w:rsidRPr="00E14121">
        <w:rPr>
          <w:rFonts w:ascii="Narkisim" w:hAnsi="Narkisim"/>
          <w:rtl/>
        </w:rPr>
        <w:t xml:space="preserve">, ודינו כספק ערלה בחו"ל דספיקן מותר. </w:t>
      </w:r>
      <w:r w:rsidRPr="00E14121">
        <w:rPr>
          <w:rFonts w:ascii="Narkisim" w:hAnsi="Narkisim"/>
          <w:sz w:val="20"/>
          <w:szCs w:val="20"/>
          <w:rtl/>
        </w:rPr>
        <w:t>דכתב ה</w:t>
      </w:r>
      <w:r w:rsidRPr="00E14121">
        <w:rPr>
          <w:rFonts w:ascii="Narkisim" w:hAnsi="Narkisim"/>
          <w:b/>
          <w:bCs/>
          <w:sz w:val="20"/>
          <w:szCs w:val="20"/>
          <w:rtl/>
        </w:rPr>
        <w:t>ר"ן</w:t>
      </w:r>
      <w:r w:rsidRPr="00E14121">
        <w:rPr>
          <w:rFonts w:ascii="Narkisim" w:hAnsi="Narkisim"/>
          <w:sz w:val="20"/>
          <w:szCs w:val="20"/>
          <w:rtl/>
        </w:rPr>
        <w:t xml:space="preserve"> (קידושין לט, טו: בדה"ר) דהותר כל הספיקות, ומותר אפי' להאכיל למי שלא יודע</w:t>
      </w:r>
      <w:r w:rsidRPr="00E14121">
        <w:rPr>
          <w:rStyle w:val="ac"/>
          <w:rFonts w:ascii="Narkisim" w:hAnsi="Narkisim"/>
          <w:sz w:val="20"/>
          <w:szCs w:val="20"/>
          <w:rtl/>
        </w:rPr>
        <w:footnoteReference w:id="4765"/>
      </w:r>
      <w:r w:rsidRPr="00E14121">
        <w:rPr>
          <w:rFonts w:ascii="Narkisim" w:hAnsi="Narkisim"/>
          <w:sz w:val="20"/>
          <w:szCs w:val="20"/>
          <w:rtl/>
        </w:rPr>
        <w:t>. ואילו בשאר איסורין עובר בלפני עוור</w:t>
      </w:r>
      <w:r w:rsidRPr="00E14121">
        <w:rPr>
          <w:rFonts w:ascii="Narkisim" w:hAnsi="Narkisim"/>
          <w:rtl/>
        </w:rPr>
        <w:t>. ובספק ממזר אף היודעו אינו חייב לגלותו (ע' קידושין ע.), דאין כאן מכשול כלל</w:t>
      </w:r>
      <w:r w:rsidRPr="00E14121">
        <w:rPr>
          <w:rStyle w:val="ac"/>
          <w:rFonts w:ascii="Narkisim" w:hAnsi="Narkisim"/>
          <w:rtl/>
        </w:rPr>
        <w:footnoteReference w:id="4766"/>
      </w:r>
      <w:r w:rsidRPr="00E14121">
        <w:rPr>
          <w:rFonts w:ascii="Narkisim" w:hAnsi="Narkisim"/>
          <w:rtl/>
        </w:rPr>
        <w:t>, וקשה אמאי לא חיי. וה</w:t>
      </w:r>
      <w:r w:rsidRPr="00E14121">
        <w:rPr>
          <w:rFonts w:ascii="Narkisim" w:hAnsi="Narkisim"/>
          <w:b/>
          <w:bCs/>
          <w:rtl/>
        </w:rPr>
        <w:t>חזו"א</w:t>
      </w:r>
      <w:r w:rsidRPr="00E14121">
        <w:rPr>
          <w:rFonts w:ascii="Narkisim" w:hAnsi="Narkisim"/>
          <w:rtl/>
        </w:rPr>
        <w:t xml:space="preserve"> הוכיח מסוגיין דלא כמהרי"ט. וכתב דאף למהרי"ט שהותר מספק, מ"מ חייבין בי"ד להשתדל לחדש האיסור, ולהודיע שהם ממזרים.</w:t>
      </w:r>
    </w:p>
    <w:p w14:paraId="41B2811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(נח ב) הביא בשם </w:t>
      </w:r>
      <w:r w:rsidRPr="00E14121">
        <w:rPr>
          <w:rFonts w:ascii="Narkisim" w:hAnsi="Narkisim"/>
          <w:b/>
          <w:bCs/>
          <w:rtl/>
        </w:rPr>
        <w:t>ר' שמעון</w:t>
      </w:r>
      <w:r w:rsidRPr="00E14121">
        <w:rPr>
          <w:rStyle w:val="ac"/>
          <w:rFonts w:ascii="Narkisim" w:hAnsi="Narkisim"/>
          <w:rtl/>
        </w:rPr>
        <w:footnoteReference w:id="4767"/>
      </w:r>
      <w:r w:rsidRPr="00E14121">
        <w:rPr>
          <w:rFonts w:ascii="Narkisim" w:hAnsi="Narkisim"/>
          <w:rtl/>
        </w:rPr>
        <w:t xml:space="preserve"> לחדש דהיתר ספיקות שייך רק לאחר שנולד הספק. ואף דבמקום ספק אמרי' דמותר, אבל למי שאינו מסתפק לא חל תורת היתר, ונחשב מכשול</w:t>
      </w:r>
      <w:r w:rsidRPr="00E14121">
        <w:rPr>
          <w:rStyle w:val="ac"/>
          <w:rFonts w:ascii="Narkisim" w:hAnsi="Narkisim"/>
          <w:rtl/>
        </w:rPr>
        <w:footnoteReference w:id="4768"/>
      </w:r>
      <w:r w:rsidRPr="00E14121">
        <w:rPr>
          <w:rFonts w:ascii="Narkisim" w:hAnsi="Narkisim"/>
          <w:rtl/>
        </w:rPr>
        <w:t>.</w:t>
      </w:r>
    </w:p>
    <w:p w14:paraId="780F94A3" w14:textId="77777777" w:rsidR="00F64AED" w:rsidRPr="00E14121" w:rsidRDefault="00F64AED" w:rsidP="00F64AED">
      <w:pPr>
        <w:pStyle w:val="a7"/>
        <w:bidi/>
        <w:rPr>
          <w:rFonts w:ascii="Narkisim" w:hAnsi="Narkisim"/>
        </w:rPr>
      </w:pPr>
      <w:r w:rsidRPr="00E14121">
        <w:rPr>
          <w:rFonts w:ascii="Narkisim" w:hAnsi="Narkisim"/>
          <w:rtl/>
        </w:rPr>
        <w:t>אך ה</w:t>
      </w:r>
      <w:r w:rsidRPr="00E14121">
        <w:rPr>
          <w:rFonts w:ascii="Narkisim" w:hAnsi="Narkisim"/>
          <w:b/>
          <w:bCs/>
          <w:rtl/>
        </w:rPr>
        <w:t>קובה"ע</w:t>
      </w:r>
      <w:r w:rsidRPr="00E14121">
        <w:rPr>
          <w:rFonts w:ascii="Narkisim" w:hAnsi="Narkisim"/>
          <w:rtl/>
        </w:rPr>
        <w:t xml:space="preserve"> הקשה דה</w:t>
      </w:r>
      <w:r w:rsidRPr="00E14121">
        <w:rPr>
          <w:rFonts w:ascii="Narkisim" w:hAnsi="Narkisim"/>
          <w:b/>
          <w:bCs/>
          <w:rtl/>
        </w:rPr>
        <w:t>ר"ן</w:t>
      </w:r>
      <w:r w:rsidRPr="00E14121">
        <w:rPr>
          <w:rFonts w:ascii="Narkisim" w:hAnsi="Narkisim"/>
          <w:rtl/>
        </w:rPr>
        <w:t xml:space="preserve"> </w:t>
      </w:r>
      <w:r w:rsidRPr="00E14121">
        <w:rPr>
          <w:rFonts w:ascii="Narkisim" w:hAnsi="Narkisim"/>
          <w:sz w:val="20"/>
          <w:szCs w:val="20"/>
          <w:rtl/>
        </w:rPr>
        <w:t>(קידושין ל: בדה"ר)</w:t>
      </w:r>
      <w:r w:rsidRPr="00E14121">
        <w:rPr>
          <w:rFonts w:ascii="Narkisim" w:hAnsi="Narkisim"/>
          <w:rtl/>
        </w:rPr>
        <w:t xml:space="preserve"> דאינו רשאי לגלות משפחה שנטמעה [כר' יוסי], ומשמע דהוה היתר ספק ממזר</w:t>
      </w:r>
      <w:r w:rsidRPr="00E14121">
        <w:rPr>
          <w:rStyle w:val="ac"/>
          <w:rFonts w:ascii="Narkisim" w:hAnsi="Narkisim"/>
          <w:rtl/>
        </w:rPr>
        <w:footnoteReference w:id="4769"/>
      </w:r>
      <w:r w:rsidRPr="00E14121">
        <w:rPr>
          <w:rFonts w:ascii="Narkisim" w:hAnsi="Narkisim"/>
          <w:rtl/>
        </w:rPr>
        <w:t>. ומבואר דמהני אף דלא נודע ספיקו. וע"כ דאף דהותר ספק ממזר מ"מ אינו מיוחס</w:t>
      </w:r>
      <w:r w:rsidRPr="00E14121">
        <w:rPr>
          <w:rStyle w:val="ac"/>
          <w:rFonts w:ascii="Narkisim" w:hAnsi="Narkisim"/>
          <w:rtl/>
        </w:rPr>
        <w:footnoteReference w:id="4770"/>
      </w:r>
      <w:r w:rsidRPr="00E14121">
        <w:rPr>
          <w:rFonts w:ascii="Narkisim" w:hAnsi="Narkisim"/>
          <w:rtl/>
        </w:rPr>
        <w:t>, ולכן לא יחיה.</w:t>
      </w:r>
    </w:p>
    <w:p w14:paraId="08C63B63" w14:textId="77777777" w:rsidR="00F64AED" w:rsidRPr="00E14121" w:rsidRDefault="00F64AED" w:rsidP="00F64AED">
      <w:pPr>
        <w:pStyle w:val="aa"/>
        <w:bidi/>
        <w:rPr>
          <w:rFonts w:ascii="Narkisim" w:hAnsi="Narkisim"/>
        </w:rPr>
      </w:pPr>
      <w:r w:rsidRPr="00E14121">
        <w:rPr>
          <w:rFonts w:ascii="Narkisim" w:hAnsi="Narkisim"/>
          <w:rtl/>
        </w:rPr>
        <w:t>ועוד צ"ע מהא דאי' (קידושין עא.) משפחה שנטמעה נטמעה, ואסור לגלותה</w:t>
      </w:r>
      <w:r w:rsidRPr="00E14121">
        <w:rPr>
          <w:rStyle w:val="ac"/>
          <w:rFonts w:ascii="Narkisim" w:hAnsi="Narkisim"/>
          <w:rtl/>
        </w:rPr>
        <w:footnoteReference w:id="4771"/>
      </w:r>
      <w:r w:rsidRPr="00E14121">
        <w:rPr>
          <w:rFonts w:ascii="Narkisim" w:hAnsi="Narkisim"/>
          <w:rtl/>
        </w:rPr>
        <w:t>. וקי"ל (שם עב:) דאליהו יטהר ממזרים שנטמעו לעתיד לבא.</w:t>
      </w:r>
    </w:p>
    <w:p w14:paraId="37E0F658" w14:textId="77777777" w:rsidR="00F64AED" w:rsidRPr="00E14121" w:rsidRDefault="00F64AED" w:rsidP="00F64AED">
      <w:pPr>
        <w:bidi/>
        <w:rPr>
          <w:rFonts w:ascii="Narkisim" w:hAnsi="Narkisim" w:cs="Narkisim"/>
        </w:rPr>
      </w:pPr>
      <w:r w:rsidRPr="00E14121">
        <w:rPr>
          <w:rFonts w:ascii="Narkisim" w:hAnsi="Narkisim" w:cs="Narkisim"/>
          <w:u w:val="single"/>
          <w:rtl/>
        </w:rPr>
        <w:t>שם. לא חיי</w:t>
      </w:r>
      <w:r w:rsidRPr="00E14121">
        <w:rPr>
          <w:rStyle w:val="ac"/>
          <w:rFonts w:ascii="Narkisim" w:hAnsi="Narkisim" w:cs="Narkisim"/>
          <w:u w:val="single"/>
          <w:rtl/>
        </w:rPr>
        <w:footnoteReference w:id="4772"/>
      </w:r>
      <w:r w:rsidRPr="00E14121">
        <w:rPr>
          <w:rFonts w:ascii="Narkisim" w:hAnsi="Narkisim" w:cs="Narkisim"/>
          <w:u w:val="single"/>
          <w:rtl/>
        </w:rPr>
        <w:t>.</w:t>
      </w:r>
      <w:r w:rsidRPr="00E14121">
        <w:rPr>
          <w:rFonts w:ascii="Narkisim" w:hAnsi="Narkisim" w:cs="Narkisim"/>
          <w:rtl/>
        </w:rPr>
        <w:t xml:space="preserve"> ה</w:t>
      </w:r>
      <w:r w:rsidRPr="00E14121">
        <w:rPr>
          <w:rFonts w:ascii="Narkisim" w:hAnsi="Narkisim" w:cs="Narkisim"/>
          <w:b/>
          <w:bCs/>
          <w:rtl/>
        </w:rPr>
        <w:t>בית שמואל</w:t>
      </w:r>
      <w:r w:rsidRPr="00E14121">
        <w:rPr>
          <w:rFonts w:ascii="Narkisim" w:hAnsi="Narkisim" w:cs="Narkisim"/>
          <w:rtl/>
        </w:rPr>
        <w:t xml:space="preserve"> (ב יח) הביא בשם </w:t>
      </w:r>
      <w:r w:rsidRPr="00E14121">
        <w:rPr>
          <w:rFonts w:ascii="Narkisim" w:hAnsi="Narkisim" w:cs="Narkisim"/>
          <w:b/>
          <w:bCs/>
          <w:rtl/>
        </w:rPr>
        <w:t>ספר חסידים</w:t>
      </w:r>
      <w:r w:rsidRPr="00E14121">
        <w:rPr>
          <w:rFonts w:ascii="Narkisim" w:hAnsi="Narkisim" w:cs="Narkisim"/>
          <w:rtl/>
        </w:rPr>
        <w:t xml:space="preserve"> דאינו חי י"ב חודש</w:t>
      </w:r>
      <w:r w:rsidRPr="00E14121">
        <w:rPr>
          <w:rStyle w:val="ac"/>
          <w:rFonts w:ascii="Narkisim" w:hAnsi="Narkisim" w:cs="Narkisim"/>
          <w:rtl/>
        </w:rPr>
        <w:footnoteReference w:id="4773"/>
      </w:r>
      <w:r w:rsidRPr="00E14121">
        <w:rPr>
          <w:rFonts w:ascii="Narkisim" w:hAnsi="Narkisim" w:cs="Narkisim"/>
          <w:rtl/>
        </w:rPr>
        <w:t>, דומיא דטריפה דאינה חיה</w:t>
      </w:r>
      <w:r w:rsidRPr="00E14121">
        <w:rPr>
          <w:rStyle w:val="ac"/>
          <w:rFonts w:ascii="Narkisim" w:hAnsi="Narkisim" w:cs="Narkisim"/>
          <w:rtl/>
        </w:rPr>
        <w:footnoteReference w:id="4774"/>
      </w:r>
      <w:r w:rsidRPr="00E14121">
        <w:rPr>
          <w:rFonts w:ascii="Narkisim" w:hAnsi="Narkisim" w:cs="Narkisim"/>
          <w:rtl/>
        </w:rPr>
        <w:t>. וכת' דמשפחה דנטמעה אפשר שהיה ידוע במקומו, אלא שהלך למקום אחר. וה</w:t>
      </w:r>
      <w:r w:rsidRPr="00E14121">
        <w:rPr>
          <w:rFonts w:ascii="Narkisim" w:hAnsi="Narkisim" w:cs="Narkisim"/>
          <w:b/>
          <w:bCs/>
          <w:rtl/>
        </w:rPr>
        <w:t>חזו"א</w:t>
      </w:r>
      <w:r w:rsidRPr="00E14121">
        <w:rPr>
          <w:rFonts w:ascii="Narkisim" w:hAnsi="Narkisim" w:cs="Narkisim"/>
          <w:rtl/>
        </w:rPr>
        <w:t xml:space="preserve"> (א לד) הקשה דמ"מ כשמגיע למקום שאינו ידוע, האיך חי עד שנטמעה. ועוד הק' החזו"א היכי דמי ידוע ואינו ידוע לג' דורות, והרי אילו הדור השני אינו ידוע, אמאי יחיה. </w:t>
      </w:r>
      <w:r w:rsidRPr="00E14121">
        <w:rPr>
          <w:rFonts w:ascii="Narkisim" w:hAnsi="Narkisim" w:cs="Narkisim"/>
          <w:rtl/>
        </w:rPr>
        <w:lastRenderedPageBreak/>
        <w:t>ואם ידוע אמאי לא יחיה. וכתב ואפשר דפוסקים לממזר הראשון דורות, ולא תליא בהצלת הטמיעה</w:t>
      </w:r>
      <w:r w:rsidRPr="00E14121">
        <w:rPr>
          <w:rStyle w:val="ac"/>
          <w:rFonts w:ascii="Narkisim" w:hAnsi="Narkisim" w:cs="Narkisim"/>
          <w:rtl/>
        </w:rPr>
        <w:footnoteReference w:id="4775"/>
      </w:r>
      <w:r w:rsidRPr="00E14121">
        <w:rPr>
          <w:rFonts w:ascii="Narkisim" w:hAnsi="Narkisim" w:cs="Narkisim"/>
          <w:rtl/>
        </w:rPr>
        <w:t>, ואם נתערבו תוך ג' דורות נתערבו, ולאחר ג' דורות לא חיי.</w:t>
      </w:r>
    </w:p>
    <w:p w14:paraId="4C575C58"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שעה"מ</w:t>
      </w:r>
      <w:r w:rsidRPr="00E14121">
        <w:rPr>
          <w:rFonts w:ascii="Narkisim" w:hAnsi="Narkisim"/>
          <w:rtl/>
        </w:rPr>
        <w:t xml:space="preserve"> (טומ"מ ט יב) הקשה דאיתא (חולין יא:) [דלולי גזיה"כ דדין רוב] מנא ידעינן מי אביו, והא אילו אינו אביו הוה ממזר, ולא חיי</w:t>
      </w:r>
      <w:r w:rsidRPr="00E14121">
        <w:rPr>
          <w:rStyle w:val="ac"/>
          <w:rFonts w:ascii="Narkisim" w:hAnsi="Narkisim"/>
          <w:rtl/>
        </w:rPr>
        <w:footnoteReference w:id="4776"/>
      </w:r>
      <w:r w:rsidRPr="00E14121">
        <w:rPr>
          <w:rFonts w:ascii="Narkisim" w:hAnsi="Narkisim"/>
          <w:rtl/>
        </w:rPr>
        <w:t>. [וה</w:t>
      </w:r>
      <w:r w:rsidRPr="00E14121">
        <w:rPr>
          <w:rFonts w:ascii="Narkisim" w:hAnsi="Narkisim"/>
          <w:b/>
          <w:bCs/>
          <w:rtl/>
        </w:rPr>
        <w:t>אחרונים</w:t>
      </w:r>
      <w:r w:rsidRPr="00E14121">
        <w:rPr>
          <w:rFonts w:ascii="Narkisim" w:hAnsi="Narkisim"/>
          <w:rtl/>
        </w:rPr>
        <w:t xml:space="preserve"> דנו די"ל דאמו נבעלה לעכו"ם, וכמ"ד לעיל מה דאינו ממזר]. והאחרונים כתבו דמ"מ יתכן דיש עדים בשום מקום, ולכן חי.</w:t>
      </w:r>
    </w:p>
    <w:p w14:paraId="4E7E75A8" w14:textId="77777777" w:rsidR="00F64AED" w:rsidRPr="00E14121" w:rsidRDefault="00F64AED" w:rsidP="00F64AED">
      <w:pPr>
        <w:pStyle w:val="aa"/>
        <w:bidi/>
        <w:rPr>
          <w:rFonts w:ascii="Narkisim" w:hAnsi="Narkisim"/>
        </w:rPr>
      </w:pPr>
      <w:r w:rsidRPr="00E14121">
        <w:rPr>
          <w:rFonts w:ascii="Narkisim" w:hAnsi="Narkisim"/>
          <w:u w:val="single"/>
          <w:rtl/>
        </w:rPr>
        <w:t>והא אנן תנן ממזרין אסורין ואיסורין איסור עולם וכו'</w:t>
      </w:r>
      <w:r w:rsidRPr="00E14121">
        <w:rPr>
          <w:rFonts w:ascii="Narkisim" w:hAnsi="Narkisim"/>
          <w:rtl/>
        </w:rPr>
        <w:t>. ה</w:t>
      </w:r>
      <w:r w:rsidRPr="00E14121">
        <w:rPr>
          <w:rFonts w:ascii="Narkisim" w:hAnsi="Narkisim"/>
          <w:b/>
          <w:bCs/>
          <w:rtl/>
        </w:rPr>
        <w:t>אגודה</w:t>
      </w:r>
      <w:r w:rsidRPr="00E14121">
        <w:rPr>
          <w:rFonts w:ascii="Narkisim" w:hAnsi="Narkisim"/>
          <w:rtl/>
        </w:rPr>
        <w:t xml:space="preserve"> (כאן) הק' אמאי לא פריך מקרא דכתיב גם דור עשירי. ותי' דהוא סבור דדוקא בדורות אחרונים לא חיי, כדי שלא יטמעו בהן</w:t>
      </w:r>
      <w:r w:rsidRPr="00E14121">
        <w:rPr>
          <w:rStyle w:val="ac"/>
          <w:rFonts w:ascii="Narkisim" w:hAnsi="Narkisim"/>
          <w:rtl/>
        </w:rPr>
        <w:footnoteReference w:id="4777"/>
      </w:r>
      <w:r w:rsidRPr="00E14121">
        <w:rPr>
          <w:rFonts w:ascii="Narkisim" w:hAnsi="Narkisim"/>
          <w:rtl/>
        </w:rPr>
        <w:t xml:space="preserve">. להכי פריך דוקא ממתניתין.  </w:t>
      </w:r>
    </w:p>
    <w:p w14:paraId="64749821" w14:textId="77777777" w:rsidR="00F64AED" w:rsidRPr="00E14121" w:rsidRDefault="00F64AED" w:rsidP="00F64AED">
      <w:pPr>
        <w:pStyle w:val="aa"/>
        <w:bidi/>
        <w:rPr>
          <w:rFonts w:ascii="Narkisim" w:hAnsi="Narkisim"/>
        </w:rPr>
      </w:pPr>
      <w:r w:rsidRPr="00E14121">
        <w:rPr>
          <w:rFonts w:ascii="Narkisim" w:hAnsi="Narkisim"/>
          <w:u w:val="single"/>
          <w:rtl/>
        </w:rPr>
        <w:t>אלא מתוך שהרג נוב עיר הכהנים שהיו מספיקין להם מים ומזון מעלה עליו הכתוב כאילו הורגן</w:t>
      </w:r>
      <w:r w:rsidRPr="00E14121">
        <w:rPr>
          <w:rFonts w:ascii="Narkisim" w:hAnsi="Narkisim"/>
          <w:rtl/>
        </w:rPr>
        <w:t>. הגמ' (ב"ק קיט.) הביאה דהגוזל את חבירו שווה פרוטה כאילו נוטל נשמתו. ואפי' גרמא, כדאי' בפסוק זה. אך צ"ב דלכאורה הוה רק שינה שלא יהא לו שכנים, ועי"ז יש מניעת רווח, שלא ישתכר. ובמה נחשב גזל [ואין כאן אפי' גרמא]</w:t>
      </w:r>
      <w:r w:rsidRPr="00E14121">
        <w:rPr>
          <w:rStyle w:val="ac"/>
          <w:rFonts w:ascii="Narkisim" w:hAnsi="Narkisim"/>
          <w:rtl/>
        </w:rPr>
        <w:footnoteReference w:id="4778"/>
      </w:r>
      <w:r w:rsidRPr="00E14121">
        <w:rPr>
          <w:rFonts w:ascii="Narkisim" w:hAnsi="Narkisim"/>
          <w:rtl/>
        </w:rPr>
        <w:t>. ויש שדנו דכיון דעיקר פרנסתם בזה, הפסקת הפרנסה נחשב כעין גזל.</w:t>
      </w:r>
    </w:p>
    <w:p w14:paraId="67FD0B9E" w14:textId="77777777" w:rsidR="00F64AED" w:rsidRPr="00E14121" w:rsidRDefault="00F64AED" w:rsidP="00F64AED">
      <w:pPr>
        <w:bidi/>
        <w:rPr>
          <w:rFonts w:ascii="Narkisim" w:hAnsi="Narkisim" w:cs="Narkisim"/>
        </w:rPr>
      </w:pPr>
      <w:r w:rsidRPr="00E14121">
        <w:rPr>
          <w:rFonts w:ascii="Narkisim" w:hAnsi="Narkisim" w:cs="Narkisim"/>
          <w:u w:val="single"/>
          <w:rtl/>
        </w:rPr>
        <w:t>על שאול שלא נספד כהלכה וכו'.</w:t>
      </w:r>
      <w:r w:rsidRPr="00E14121">
        <w:rPr>
          <w:rFonts w:ascii="Narkisim" w:hAnsi="Narkisim" w:cs="Narkisim"/>
          <w:rtl/>
        </w:rPr>
        <w:t xml:space="preserve"> ה</w:t>
      </w:r>
      <w:r w:rsidRPr="00E14121">
        <w:rPr>
          <w:rFonts w:ascii="Narkisim" w:hAnsi="Narkisim" w:cs="Narkisim"/>
          <w:b/>
          <w:bCs/>
          <w:rtl/>
        </w:rPr>
        <w:t xml:space="preserve">מהרצ"ח </w:t>
      </w:r>
      <w:r w:rsidRPr="00E14121">
        <w:rPr>
          <w:rFonts w:ascii="Narkisim" w:hAnsi="Narkisim" w:cs="Narkisim"/>
          <w:rtl/>
        </w:rPr>
        <w:t>הקשה דבכל המקרא לא מצאנו הספד מלבד הספד דוד על שאול</w:t>
      </w:r>
      <w:r w:rsidRPr="00E14121">
        <w:rPr>
          <w:rStyle w:val="ac"/>
          <w:rFonts w:ascii="Narkisim" w:hAnsi="Narkisim" w:cs="Narkisim"/>
          <w:rtl/>
        </w:rPr>
        <w:footnoteReference w:id="4779"/>
      </w:r>
      <w:r w:rsidRPr="00E14121">
        <w:rPr>
          <w:rFonts w:ascii="Narkisim" w:hAnsi="Narkisim" w:cs="Narkisim"/>
          <w:rtl/>
        </w:rPr>
        <w:t>.</w:t>
      </w:r>
    </w:p>
    <w:p w14:paraId="71B3A03C"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גמ'</w:t>
      </w:r>
      <w:r w:rsidRPr="00E14121">
        <w:rPr>
          <w:rFonts w:ascii="Narkisim" w:hAnsi="Narkisim"/>
          <w:rtl/>
        </w:rPr>
        <w:t xml:space="preserve"> (סנהדרין מו:) מסתפקת האם הספד הוא משום כבוד המת או כבוד החי, ונפק"מ אם היורשים לא רוצים. ו</w:t>
      </w:r>
      <w:r w:rsidRPr="00E14121">
        <w:rPr>
          <w:rFonts w:ascii="Narkisim" w:hAnsi="Narkisim"/>
          <w:b/>
          <w:bCs/>
          <w:rtl/>
        </w:rPr>
        <w:t>תוס</w:t>
      </w:r>
      <w:r w:rsidRPr="00E14121">
        <w:rPr>
          <w:rFonts w:ascii="Narkisim" w:hAnsi="Narkisim"/>
          <w:rtl/>
        </w:rPr>
        <w:t>' (ד"ה הספידא) הביאו מסוגיין דהיה תביעה על שלא הספידו את שאול, ואף דכלל ישראל מחלו על כבודם במה שלא הספידו. ותי' דלא מחלו, אלא דיראים היו מפני דוד להראות שמצטערים על שאול. ועוד שאני מלך דהוה בזיון טפי גביה. [ובמקום בזיון המת יש דין הספד אף מחמת המת].</w:t>
      </w:r>
    </w:p>
    <w:p w14:paraId="131716F6" w14:textId="77777777" w:rsidR="00F64AED" w:rsidRPr="00E14121" w:rsidRDefault="00F64AED" w:rsidP="00F64AED">
      <w:pPr>
        <w:pStyle w:val="3"/>
        <w:bidi/>
        <w:rPr>
          <w:rFonts w:ascii="Narkisim" w:hAnsi="Narkisim"/>
        </w:rPr>
      </w:pPr>
      <w:r w:rsidRPr="00E14121">
        <w:rPr>
          <w:rFonts w:ascii="Narkisim" w:hAnsi="Narkisim"/>
          <w:rtl/>
        </w:rPr>
        <w:t>דף עט.</w:t>
      </w:r>
    </w:p>
    <w:p w14:paraId="77D883E6" w14:textId="77777777" w:rsidR="00F64AED" w:rsidRPr="00E14121" w:rsidRDefault="00F64AED" w:rsidP="00F64AED">
      <w:pPr>
        <w:bidi/>
        <w:rPr>
          <w:rFonts w:ascii="Narkisim" w:hAnsi="Narkisim" w:cs="Narkisim"/>
        </w:rPr>
      </w:pPr>
      <w:r w:rsidRPr="00E14121">
        <w:rPr>
          <w:rFonts w:ascii="Narkisim" w:hAnsi="Narkisim" w:cs="Narkisim"/>
          <w:u w:val="single"/>
          <w:rtl/>
        </w:rPr>
        <w:t>אמר ג' סימנים יש באומה זו וכו' כל שיש לו ג' סימנים אלו ראוי לידבק.</w:t>
      </w:r>
      <w:r w:rsidRPr="00E14121">
        <w:rPr>
          <w:rFonts w:ascii="Narkisim" w:hAnsi="Narkisim" w:cs="Narkisim"/>
          <w:rtl/>
        </w:rPr>
        <w:t xml:space="preserve"> ה</w:t>
      </w:r>
      <w:r w:rsidRPr="00E14121">
        <w:rPr>
          <w:rFonts w:ascii="Narkisim" w:hAnsi="Narkisim" w:cs="Narkisim"/>
          <w:b/>
          <w:bCs/>
          <w:rtl/>
        </w:rPr>
        <w:t>רמב"ם</w:t>
      </w:r>
      <w:r w:rsidRPr="00E14121">
        <w:rPr>
          <w:rFonts w:ascii="Narkisim" w:hAnsi="Narkisim" w:cs="Narkisim"/>
          <w:rtl/>
        </w:rPr>
        <w:t xml:space="preserve"> (איסו"ב יט יז וכן בשו"ע ב ב) פסק דכל מי שיש בו עזות פנים ואכזריות ושונא את הבריות ואינו גומל חסד חוששין ביותר שמא גבעוני הוא. </w:t>
      </w:r>
      <w:r w:rsidRPr="00E14121">
        <w:rPr>
          <w:rFonts w:ascii="Narkisim" w:hAnsi="Narkisim" w:cs="Narkisim"/>
          <w:sz w:val="20"/>
          <w:szCs w:val="20"/>
          <w:rtl/>
        </w:rPr>
        <w:t>וה</w:t>
      </w:r>
      <w:r w:rsidRPr="00E14121">
        <w:rPr>
          <w:rFonts w:ascii="Narkisim" w:hAnsi="Narkisim" w:cs="Narkisim"/>
          <w:b/>
          <w:bCs/>
          <w:sz w:val="20"/>
          <w:szCs w:val="20"/>
          <w:rtl/>
        </w:rPr>
        <w:t>בי"ש</w:t>
      </w:r>
      <w:r w:rsidRPr="00E14121">
        <w:rPr>
          <w:rFonts w:ascii="Narkisim" w:hAnsi="Narkisim" w:cs="Narkisim"/>
          <w:sz w:val="20"/>
          <w:szCs w:val="20"/>
          <w:rtl/>
        </w:rPr>
        <w:t xml:space="preserve"> (ב ה) כת' דה"מ כשיש לו ג' הסימנים. אבל מי שיש לו אפי' סימן א' סגי, וראוי לידבק בו. אבל ה</w:t>
      </w:r>
      <w:r w:rsidRPr="00E14121">
        <w:rPr>
          <w:rFonts w:ascii="Narkisim" w:hAnsi="Narkisim" w:cs="Narkisim"/>
          <w:b/>
          <w:bCs/>
          <w:sz w:val="20"/>
          <w:szCs w:val="20"/>
          <w:rtl/>
        </w:rPr>
        <w:t>מגיה</w:t>
      </w:r>
      <w:r w:rsidRPr="00E14121">
        <w:rPr>
          <w:rFonts w:ascii="Narkisim" w:hAnsi="Narkisim" w:cs="Narkisim"/>
          <w:sz w:val="20"/>
          <w:szCs w:val="20"/>
          <w:rtl/>
        </w:rPr>
        <w:t xml:space="preserve"> לביאור הגר"א כתב דאפי' בא' מהם חוששין, ודייק כן מהא דהרמב"ם מנה ד', וע"כ דאכזריות או שונא הבריות [דשניהם שלילת הרחמנות], ואו או קתני.</w:t>
      </w:r>
    </w:p>
    <w:p w14:paraId="48491906" w14:textId="77777777" w:rsidR="00F64AED" w:rsidRPr="00E14121" w:rsidRDefault="00F64AED" w:rsidP="00F64AED">
      <w:pPr>
        <w:bidi/>
        <w:rPr>
          <w:rFonts w:ascii="Narkisim" w:hAnsi="Narkisim" w:cs="Narkisim"/>
        </w:rPr>
      </w:pPr>
      <w:r w:rsidRPr="00E14121">
        <w:rPr>
          <w:rFonts w:ascii="Narkisim" w:hAnsi="Narkisim" w:cs="Narkisim"/>
          <w:u w:val="single"/>
          <w:rtl/>
        </w:rPr>
        <w:t>והא כתיב לא יומתו אבות על בנים וגו'.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(ע"ז לו: ד"ה דכתיב) כת' דאסיפא דקרא סמיך, דכתיב איש בחטאו יומתו. אבל רישא דקרא מוקמי לה בגמ' (סנהדרין כז:) בעדות אב על הבן. אבל ב</w:t>
      </w:r>
      <w:r w:rsidRPr="00E14121">
        <w:rPr>
          <w:rFonts w:ascii="Narkisim" w:hAnsi="Narkisim" w:cs="Narkisim"/>
          <w:b/>
          <w:bCs/>
          <w:rtl/>
        </w:rPr>
        <w:t>ריטב"א</w:t>
      </w:r>
      <w:r w:rsidRPr="00E14121">
        <w:rPr>
          <w:rFonts w:ascii="Narkisim" w:hAnsi="Narkisim" w:cs="Narkisim"/>
          <w:rtl/>
        </w:rPr>
        <w:t xml:space="preserve"> (ע' בסמוך) מבואר דדרשינן דלא יומתו אבות על בנים.</w:t>
      </w:r>
    </w:p>
    <w:p w14:paraId="3751C86E" w14:textId="77777777" w:rsidR="00F64AED" w:rsidRPr="00E14121" w:rsidRDefault="00F64AED" w:rsidP="00F64AED">
      <w:pPr>
        <w:pStyle w:val="aa"/>
        <w:bidi/>
        <w:rPr>
          <w:rFonts w:ascii="Narkisim" w:hAnsi="Narkisim"/>
        </w:rPr>
      </w:pPr>
      <w:r w:rsidRPr="00E14121">
        <w:rPr>
          <w:rFonts w:ascii="Narkisim" w:hAnsi="Narkisim"/>
          <w:u w:val="single"/>
          <w:rtl/>
        </w:rPr>
        <w:t>מוטב שתעקר וכו'.</w:t>
      </w:r>
      <w:r w:rsidRPr="00E14121">
        <w:rPr>
          <w:rFonts w:ascii="Narkisim" w:hAnsi="Narkisim"/>
          <w:rtl/>
        </w:rPr>
        <w:t xml:space="preserve"> ה</w:t>
      </w:r>
      <w:r w:rsidRPr="00E14121">
        <w:rPr>
          <w:rFonts w:ascii="Narkisim" w:hAnsi="Narkisim"/>
          <w:b/>
          <w:bCs/>
          <w:rtl/>
        </w:rPr>
        <w:t xml:space="preserve">ריטב"א </w:t>
      </w:r>
      <w:r w:rsidRPr="00E14121">
        <w:rPr>
          <w:rFonts w:ascii="Narkisim" w:hAnsi="Narkisim"/>
          <w:rtl/>
        </w:rPr>
        <w:t>פי' דהוה הוראת שעה, ולמגדר מילתא שרי. ובי"ד מכין ועונשין שלא מהתורה (כדלקמן צ:)</w:t>
      </w:r>
      <w:r w:rsidRPr="00E14121">
        <w:rPr>
          <w:rStyle w:val="ac"/>
          <w:rFonts w:ascii="Narkisim" w:hAnsi="Narkisim"/>
          <w:rtl/>
        </w:rPr>
        <w:footnoteReference w:id="4780"/>
      </w:r>
      <w:r w:rsidRPr="00E14121">
        <w:rPr>
          <w:rFonts w:ascii="Narkisim" w:hAnsi="Narkisim"/>
          <w:rtl/>
        </w:rPr>
        <w:t>. ואין זו עקירה ממש, אלא שתעקר לפי ראות בני אדם.</w:t>
      </w:r>
    </w:p>
    <w:p w14:paraId="57830837" w14:textId="77777777" w:rsidR="00F64AED" w:rsidRPr="00E14121" w:rsidRDefault="00F64AED" w:rsidP="00F64AED">
      <w:pPr>
        <w:pStyle w:val="aa"/>
        <w:bidi/>
        <w:rPr>
          <w:rFonts w:ascii="Narkisim" w:hAnsi="Narkisim"/>
        </w:rPr>
      </w:pPr>
      <w:r w:rsidRPr="00E14121">
        <w:rPr>
          <w:rFonts w:ascii="Narkisim" w:hAnsi="Narkisim"/>
          <w:u w:val="single"/>
          <w:rtl/>
        </w:rPr>
        <w:t>אות אחת.</w:t>
      </w:r>
      <w:r w:rsidRPr="00E14121">
        <w:rPr>
          <w:rFonts w:ascii="Narkisim" w:hAnsi="Narkisim"/>
          <w:rtl/>
        </w:rPr>
        <w:t xml:space="preserve"> ה</w:t>
      </w:r>
      <w:r w:rsidRPr="00E14121">
        <w:rPr>
          <w:rFonts w:ascii="Narkisim" w:hAnsi="Narkisim"/>
          <w:b/>
          <w:bCs/>
          <w:rtl/>
        </w:rPr>
        <w:t>ריטב"א</w:t>
      </w:r>
      <w:r w:rsidRPr="00E14121">
        <w:rPr>
          <w:rFonts w:ascii="Narkisim" w:hAnsi="Narkisim"/>
          <w:rtl/>
        </w:rPr>
        <w:t xml:space="preserve"> כתב לאו דוקא אות א', דמקרא מלא הוא [דלא יומתו וגו'</w:t>
      </w:r>
      <w:r w:rsidRPr="00E14121">
        <w:rPr>
          <w:rStyle w:val="ac"/>
          <w:rFonts w:ascii="Narkisim" w:hAnsi="Narkisim"/>
          <w:rtl/>
        </w:rPr>
        <w:footnoteReference w:id="4781"/>
      </w:r>
      <w:r w:rsidRPr="00E14121">
        <w:rPr>
          <w:rFonts w:ascii="Narkisim" w:hAnsi="Narkisim"/>
          <w:rtl/>
        </w:rPr>
        <w:t>]. א"נ לא עקרינן אלא 'ל' ו'א' דבנים לא יומתו על אבות. ו'א' אינה נהגית. והוסיף דז' אלו דקלטום ארון אין ספק דנתחייבו מיתה מצד אחר, ונתגלגלה להם חובה זו עכשיו וכו'</w:t>
      </w:r>
      <w:r w:rsidRPr="00E14121">
        <w:rPr>
          <w:rStyle w:val="ac"/>
          <w:rFonts w:ascii="Narkisim" w:hAnsi="Narkisim"/>
          <w:rtl/>
        </w:rPr>
        <w:footnoteReference w:id="4782"/>
      </w:r>
      <w:r w:rsidRPr="00E14121">
        <w:rPr>
          <w:rFonts w:ascii="Narkisim" w:hAnsi="Narkisim"/>
          <w:rtl/>
        </w:rPr>
        <w:t>.</w:t>
      </w:r>
    </w:p>
    <w:p w14:paraId="58DF012B" w14:textId="77777777" w:rsidR="00F64AED" w:rsidRPr="00E14121" w:rsidRDefault="00F64AED" w:rsidP="00F64AED">
      <w:pPr>
        <w:pStyle w:val="aa"/>
        <w:bidi/>
        <w:rPr>
          <w:rFonts w:ascii="Narkisim" w:hAnsi="Narkisim"/>
        </w:rPr>
      </w:pPr>
      <w:r w:rsidRPr="00E14121">
        <w:rPr>
          <w:rFonts w:ascii="Narkisim" w:hAnsi="Narkisim"/>
          <w:u w:val="single"/>
          <w:rtl/>
        </w:rPr>
        <w:t>אלא שהעבירו וקלטו ובקש עליו רחמים ופלטו, ואכתי משוא פנים יש בדבר, אלא שביקש רחמים שלא יקלטנו הארון וכו'</w:t>
      </w:r>
      <w:r w:rsidRPr="00E14121">
        <w:rPr>
          <w:rFonts w:ascii="Narkisim" w:hAnsi="Narkisim"/>
          <w:rtl/>
        </w:rPr>
        <w:t>. ב</w:t>
      </w:r>
      <w:r w:rsidRPr="00E14121">
        <w:rPr>
          <w:rFonts w:ascii="Narkisim" w:hAnsi="Narkisim"/>
          <w:b/>
          <w:bCs/>
          <w:rtl/>
        </w:rPr>
        <w:t>שו"ת מהר"י בן לב</w:t>
      </w:r>
      <w:r w:rsidRPr="00E14121">
        <w:rPr>
          <w:rFonts w:ascii="Narkisim" w:hAnsi="Narkisim"/>
          <w:rtl/>
        </w:rPr>
        <w:t xml:space="preserve"> (ב מ, הו' בש"ך חו"מ קסג יח) הביא מכאן דהיכא דהמלך הטיל עבודתו על אנשים ידועים, אסור לאחרים</w:t>
      </w:r>
      <w:r w:rsidRPr="00E14121">
        <w:rPr>
          <w:rStyle w:val="ac"/>
          <w:rFonts w:ascii="Narkisim" w:hAnsi="Narkisim"/>
          <w:rtl/>
        </w:rPr>
        <w:footnoteReference w:id="4783"/>
      </w:r>
      <w:r w:rsidRPr="00E14121">
        <w:rPr>
          <w:rFonts w:ascii="Narkisim" w:hAnsi="Narkisim"/>
          <w:rtl/>
        </w:rPr>
        <w:t xml:space="preserve"> להשתדל לפוטרן באופן שידוע שיקחו אחרים במקומן. דעי"ז גורם להזיק </w:t>
      </w:r>
      <w:r w:rsidRPr="00E14121">
        <w:rPr>
          <w:rFonts w:ascii="Narkisim" w:hAnsi="Narkisim"/>
          <w:rtl/>
        </w:rPr>
        <w:lastRenderedPageBreak/>
        <w:t>לאחרים</w:t>
      </w:r>
      <w:r w:rsidRPr="00E14121">
        <w:rPr>
          <w:rStyle w:val="ac"/>
          <w:rFonts w:ascii="Narkisim" w:hAnsi="Narkisim"/>
          <w:rtl/>
        </w:rPr>
        <w:footnoteReference w:id="4784"/>
      </w:r>
      <w:r w:rsidRPr="00E14121">
        <w:rPr>
          <w:rFonts w:ascii="Narkisim" w:hAnsi="Narkisim"/>
          <w:rtl/>
        </w:rPr>
        <w:t>, ומאי חזית</w:t>
      </w:r>
      <w:r w:rsidRPr="00E14121">
        <w:rPr>
          <w:rStyle w:val="ac"/>
          <w:rFonts w:ascii="Narkisim" w:hAnsi="Narkisim"/>
          <w:rtl/>
        </w:rPr>
        <w:footnoteReference w:id="4785"/>
      </w:r>
      <w:r w:rsidRPr="00E14121">
        <w:rPr>
          <w:rFonts w:ascii="Narkisim" w:hAnsi="Narkisim"/>
          <w:rtl/>
        </w:rPr>
        <w:t>. וכדאי' בסוגיין וכי משוא פנים יש בדבר.</w:t>
      </w:r>
    </w:p>
    <w:p w14:paraId="7E3CAAA1" w14:textId="77777777" w:rsidR="00F64AED" w:rsidRPr="00E14121" w:rsidRDefault="00F64AED" w:rsidP="00F64AED">
      <w:pPr>
        <w:pStyle w:val="a8"/>
        <w:bidi/>
        <w:rPr>
          <w:rFonts w:ascii="Narkisim" w:hAnsi="Narkisim"/>
        </w:rPr>
      </w:pPr>
      <w:r w:rsidRPr="00E14121">
        <w:rPr>
          <w:rFonts w:ascii="Narkisim" w:hAnsi="Narkisim"/>
          <w:rtl/>
        </w:rPr>
        <w:t>אבל קודם שהטילו את הגזירה על אדם מסויים, אלא שיצא גזירה להטיל על קצת אנשים בסתם לאומנות המלך וכיו"ב, מותר להשתדל להציל את מי שירצה</w:t>
      </w:r>
      <w:r w:rsidRPr="00E14121">
        <w:rPr>
          <w:rStyle w:val="ac"/>
          <w:rFonts w:ascii="Narkisim" w:hAnsi="Narkisim"/>
          <w:rtl/>
        </w:rPr>
        <w:footnoteReference w:id="4786"/>
      </w:r>
      <w:r w:rsidRPr="00E14121">
        <w:rPr>
          <w:rFonts w:ascii="Narkisim" w:hAnsi="Narkisim"/>
          <w:rtl/>
        </w:rPr>
        <w:t>. [וכדאי' בסוגיין דקודם שהעבירם מותר להתפלל על א'].</w:t>
      </w:r>
    </w:p>
    <w:p w14:paraId="786AE4C9" w14:textId="77777777" w:rsidR="00F64AED" w:rsidRPr="00E14121" w:rsidRDefault="00F64AED" w:rsidP="00F64AED">
      <w:pPr>
        <w:pStyle w:val="aa"/>
        <w:bidi/>
        <w:rPr>
          <w:rFonts w:ascii="Narkisim" w:hAnsi="Narkisim"/>
        </w:rPr>
      </w:pPr>
      <w:r w:rsidRPr="00E14121">
        <w:rPr>
          <w:rFonts w:ascii="Narkisim" w:hAnsi="Narkisim"/>
          <w:u w:val="single"/>
          <w:rtl/>
        </w:rPr>
        <w:t>עד ניתך מים עליהם מן השמים</w:t>
      </w:r>
      <w:r w:rsidRPr="00E14121">
        <w:rPr>
          <w:rStyle w:val="ac"/>
          <w:rFonts w:ascii="Narkisim" w:hAnsi="Narkisim"/>
          <w:u w:val="single"/>
          <w:rtl/>
        </w:rPr>
        <w:footnoteReference w:id="4787"/>
      </w:r>
      <w:r w:rsidRPr="00E14121">
        <w:rPr>
          <w:rFonts w:ascii="Narkisim" w:hAnsi="Narkisim"/>
          <w:u w:val="single"/>
          <w:rtl/>
        </w:rPr>
        <w:t xml:space="preserve"> וכו'</w:t>
      </w:r>
      <w:r w:rsidRPr="00E14121">
        <w:rPr>
          <w:rFonts w:ascii="Narkisim" w:hAnsi="Narkisim"/>
          <w:rtl/>
        </w:rPr>
        <w:t>. ה</w:t>
      </w:r>
      <w:r w:rsidRPr="00E14121">
        <w:rPr>
          <w:rFonts w:ascii="Narkisim" w:hAnsi="Narkisim"/>
          <w:b/>
          <w:bCs/>
          <w:rtl/>
        </w:rPr>
        <w:t>רמב"ן</w:t>
      </w:r>
      <w:r w:rsidRPr="00E14121">
        <w:rPr>
          <w:rFonts w:ascii="Narkisim" w:hAnsi="Narkisim"/>
          <w:rtl/>
        </w:rPr>
        <w:t xml:space="preserve"> (דברים כא כב) ביאר שהיה רעב בארץ מחמת עוון זה, וכאשר נתך עליהם מים מן השמים אז ידע דוד שנמחל עונם. ונעתר אלהים לארץ כי פקד ה' את הארץ במטר ויכלה הרעב, ואז צוה וקברו אותם עם אבותם לכבוד המלכות.</w:t>
      </w:r>
    </w:p>
    <w:p w14:paraId="37D7EE6D" w14:textId="77777777" w:rsidR="00F64AED" w:rsidRPr="00E14121" w:rsidRDefault="00F64AED" w:rsidP="00F64AED">
      <w:pPr>
        <w:bidi/>
        <w:rPr>
          <w:rFonts w:ascii="Narkisim" w:hAnsi="Narkisim" w:cs="Narkisim"/>
        </w:rPr>
      </w:pPr>
      <w:r w:rsidRPr="00E14121">
        <w:rPr>
          <w:rFonts w:ascii="Narkisim" w:hAnsi="Narkisim" w:cs="Narkisim"/>
          <w:u w:val="single"/>
          <w:rtl/>
        </w:rPr>
        <w:t>והא כתיב לא תלין נבלתו וכו' מוטב שתעקר אות א' מה"ת ויתקדש שם שמים בפרהסיא</w:t>
      </w:r>
      <w:r w:rsidRPr="00E14121">
        <w:rPr>
          <w:rStyle w:val="ac"/>
          <w:rFonts w:ascii="Narkisim" w:hAnsi="Narkisim" w:cs="Narkisim"/>
          <w:u w:val="single"/>
          <w:rtl/>
        </w:rPr>
        <w:footnoteReference w:id="4788"/>
      </w:r>
      <w:r w:rsidRPr="00E14121">
        <w:rPr>
          <w:rFonts w:ascii="Narkisim" w:hAnsi="Narkisim" w:cs="Narkisim"/>
          <w:u w:val="single"/>
          <w:rtl/>
        </w:rPr>
        <w:t>.</w:t>
      </w:r>
      <w:r w:rsidRPr="00E14121">
        <w:rPr>
          <w:rFonts w:ascii="Narkisim" w:hAnsi="Narkisim" w:cs="Narkisim"/>
          <w:rtl/>
        </w:rPr>
        <w:t xml:space="preserve"> ה</w:t>
      </w:r>
      <w:r w:rsidRPr="00E14121">
        <w:rPr>
          <w:rFonts w:ascii="Narkisim" w:hAnsi="Narkisim" w:cs="Narkisim"/>
          <w:b/>
          <w:bCs/>
          <w:rtl/>
        </w:rPr>
        <w:t>מהרצ"ח</w:t>
      </w:r>
      <w:r w:rsidRPr="00E14121">
        <w:rPr>
          <w:rFonts w:ascii="Narkisim" w:hAnsi="Narkisim" w:cs="Narkisim"/>
          <w:rtl/>
        </w:rPr>
        <w:t xml:space="preserve"> ציין דה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Cs w:val="20"/>
          <w:rtl/>
        </w:rPr>
        <w:t>(מלכים ג י)</w:t>
      </w:r>
      <w:r w:rsidRPr="00E14121">
        <w:rPr>
          <w:rFonts w:ascii="Narkisim" w:hAnsi="Narkisim" w:cs="Narkisim"/>
          <w:rtl/>
        </w:rPr>
        <w:t xml:space="preserve"> פסק דמותר למלך להרוג, ותולה ומניחן תלויים ימים רבים להטיל אימה ולשבר יד רשעי העולם</w:t>
      </w:r>
      <w:r w:rsidRPr="00E14121">
        <w:rPr>
          <w:rStyle w:val="ac"/>
          <w:rFonts w:ascii="Narkisim" w:hAnsi="Narkisim" w:cs="Narkisim"/>
          <w:rtl/>
        </w:rPr>
        <w:footnoteReference w:id="4789"/>
      </w:r>
      <w:r w:rsidRPr="00E14121">
        <w:rPr>
          <w:rFonts w:ascii="Narkisim" w:hAnsi="Narkisim" w:cs="Narkisim"/>
          <w:rtl/>
        </w:rPr>
        <w:t xml:space="preserve">. </w:t>
      </w:r>
      <w:r w:rsidRPr="00E14121">
        <w:rPr>
          <w:rFonts w:ascii="Narkisim" w:hAnsi="Narkisim" w:cs="Narkisim"/>
          <w:sz w:val="20"/>
          <w:szCs w:val="20"/>
          <w:rtl/>
        </w:rPr>
        <w:t>ומשמע דהך איסור הוה דוקא בהרוגי בי"ד. ואילו הרוגי מלכות אין איסור כלל</w:t>
      </w:r>
      <w:r w:rsidRPr="00E14121">
        <w:rPr>
          <w:rStyle w:val="ac"/>
          <w:rFonts w:ascii="Narkisim" w:hAnsi="Narkisim" w:cs="Narkisim"/>
          <w:sz w:val="20"/>
          <w:szCs w:val="20"/>
          <w:rtl/>
        </w:rPr>
        <w:footnoteReference w:id="4790"/>
      </w:r>
      <w:r w:rsidRPr="00E14121">
        <w:rPr>
          <w:rFonts w:ascii="Narkisim" w:hAnsi="Narkisim" w:cs="Narkisim"/>
          <w:sz w:val="20"/>
          <w:szCs w:val="20"/>
          <w:rtl/>
        </w:rPr>
        <w:t>. ודלא כגמ' דידן דהוה עקירת דבר מן התורה</w:t>
      </w:r>
      <w:r w:rsidRPr="00E14121">
        <w:rPr>
          <w:rStyle w:val="ac"/>
          <w:rFonts w:ascii="Narkisim" w:hAnsi="Narkisim" w:cs="Narkisim"/>
          <w:sz w:val="20"/>
          <w:szCs w:val="20"/>
          <w:rtl/>
        </w:rPr>
        <w:footnoteReference w:id="4791"/>
      </w:r>
      <w:r w:rsidRPr="00E14121">
        <w:rPr>
          <w:rFonts w:ascii="Narkisim" w:hAnsi="Narkisim" w:cs="Narkisim"/>
          <w:sz w:val="20"/>
          <w:szCs w:val="20"/>
          <w:rtl/>
        </w:rPr>
        <w:t>.</w:t>
      </w:r>
    </w:p>
    <w:p w14:paraId="71E2ABBA" w14:textId="77777777" w:rsidR="00F64AED" w:rsidRPr="00E14121" w:rsidRDefault="00F64AED" w:rsidP="00F64AED">
      <w:pPr>
        <w:bidi/>
        <w:rPr>
          <w:rFonts w:ascii="Narkisim" w:hAnsi="Narkisim" w:cs="Narkisim"/>
        </w:rPr>
      </w:pPr>
      <w:r w:rsidRPr="00E14121">
        <w:rPr>
          <w:rFonts w:ascii="Narkisim" w:hAnsi="Narkisim" w:cs="Narkisim"/>
          <w:u w:val="single"/>
          <w:rtl/>
        </w:rPr>
        <w:t>מיד נתאספו לישראל ק"נ אלף</w:t>
      </w:r>
      <w:r w:rsidRPr="00E14121">
        <w:rPr>
          <w:rStyle w:val="ac"/>
          <w:rFonts w:ascii="Narkisim" w:hAnsi="Narkisim" w:cs="Narkisim"/>
          <w:u w:val="single"/>
          <w:rtl/>
        </w:rPr>
        <w:footnoteReference w:id="4792"/>
      </w:r>
      <w:r w:rsidRPr="00E14121">
        <w:rPr>
          <w:rFonts w:ascii="Narkisim" w:hAnsi="Narkisim" w:cs="Narkisim"/>
          <w:u w:val="single"/>
          <w:rtl/>
        </w:rPr>
        <w:t xml:space="preserve"> וכו'.</w:t>
      </w:r>
      <w:r w:rsidRPr="00E14121">
        <w:rPr>
          <w:rFonts w:ascii="Narkisim" w:hAnsi="Narkisim" w:cs="Narkisim"/>
          <w:rtl/>
        </w:rPr>
        <w:t xml:space="preserve">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(לעיל כד: ד"ה לא)</w:t>
      </w:r>
      <w:r w:rsidRPr="00E14121">
        <w:rPr>
          <w:rFonts w:ascii="Narkisim" w:hAnsi="Narkisim" w:cs="Narkisim"/>
          <w:rtl/>
        </w:rPr>
        <w:t xml:space="preserve"> הקשו דלא קבלו גרים לא בימי דוד וכו', וכת' דמעצמן נתגיירו, כדאשכחן גבי מרדכי רבים מעמי הארץ מתייהדים. [משמע בלא בי"ד].</w:t>
      </w:r>
    </w:p>
    <w:p w14:paraId="1FE30080"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רשב"א</w:t>
      </w:r>
      <w:r w:rsidRPr="00E14121">
        <w:rPr>
          <w:rFonts w:ascii="Narkisim" w:hAnsi="Narkisim"/>
          <w:rtl/>
        </w:rPr>
        <w:t xml:space="preserve"> כתב בבי"ד של הדיוטות</w:t>
      </w:r>
      <w:r w:rsidRPr="00E14121">
        <w:rPr>
          <w:rStyle w:val="ac"/>
          <w:rFonts w:ascii="Narkisim" w:hAnsi="Narkisim"/>
          <w:rtl/>
        </w:rPr>
        <w:footnoteReference w:id="4793"/>
      </w:r>
      <w:r w:rsidRPr="00E14121">
        <w:rPr>
          <w:rFonts w:ascii="Narkisim" w:hAnsi="Narkisim"/>
          <w:rtl/>
        </w:rPr>
        <w:t>, וקי"ל דבדיעבד כולם גרים. וכן ה</w:t>
      </w:r>
      <w:r w:rsidRPr="00E14121">
        <w:rPr>
          <w:rFonts w:ascii="Narkisim" w:hAnsi="Narkisim"/>
          <w:b/>
          <w:bCs/>
          <w:rtl/>
        </w:rPr>
        <w:t>רמב"ם</w:t>
      </w:r>
      <w:r w:rsidRPr="00E14121">
        <w:rPr>
          <w:rFonts w:ascii="Narkisim" w:hAnsi="Narkisim"/>
          <w:rtl/>
        </w:rPr>
        <w:t xml:space="preserve"> </w:t>
      </w:r>
      <w:r w:rsidRPr="00E14121">
        <w:rPr>
          <w:rFonts w:ascii="Narkisim" w:hAnsi="Narkisim"/>
          <w:szCs w:val="20"/>
          <w:rtl/>
        </w:rPr>
        <w:t>(איסו"ב יג טו)</w:t>
      </w:r>
      <w:r w:rsidRPr="00E14121">
        <w:rPr>
          <w:rFonts w:ascii="Narkisim" w:hAnsi="Narkisim"/>
          <w:rtl/>
        </w:rPr>
        <w:t xml:space="preserve"> כתב דהיו מתגיירים בפני הדיוטות</w:t>
      </w:r>
      <w:r w:rsidRPr="00E14121">
        <w:rPr>
          <w:rStyle w:val="ac"/>
          <w:rFonts w:ascii="Narkisim" w:hAnsi="Narkisim"/>
          <w:rtl/>
        </w:rPr>
        <w:footnoteReference w:id="4794"/>
      </w:r>
      <w:r w:rsidRPr="00E14121">
        <w:rPr>
          <w:rFonts w:ascii="Narkisim" w:hAnsi="Narkisim"/>
          <w:rtl/>
        </w:rPr>
        <w:t>, ובי"ד הגדול היו חוששין לא דוחין אותם שהרי טבלו, ולא מקרבין עד שתראה אחריתם.</w:t>
      </w:r>
      <w:r w:rsidRPr="00E14121">
        <w:rPr>
          <w:rFonts w:ascii="Narkisim" w:hAnsi="Narkisim"/>
          <w:sz w:val="20"/>
          <w:szCs w:val="20"/>
          <w:rtl/>
        </w:rPr>
        <w:t xml:space="preserve"> [ובפשוטו משמע דכל גירות לשלחן מלכים מיתלא תליא מה יהא בסופו, אבל בהלכה יז כתב דמאחר שטבל, אפי' חזר ועבד ע"ז הרי הוא כישראל מומר שקידושיו קידושין ומצוה להחזיר אבידתו. וע' מש"כ בזה לעיל].</w:t>
      </w:r>
    </w:p>
    <w:p w14:paraId="6296E0C6" w14:textId="77777777" w:rsidR="00F64AED" w:rsidRPr="00E14121" w:rsidRDefault="00F64AED" w:rsidP="00F64AED">
      <w:pPr>
        <w:pStyle w:val="a7"/>
        <w:bidi/>
        <w:rPr>
          <w:rFonts w:ascii="Narkisim" w:hAnsi="Narkisim"/>
        </w:rPr>
      </w:pPr>
      <w:r w:rsidRPr="00E14121">
        <w:rPr>
          <w:rFonts w:ascii="Narkisim" w:hAnsi="Narkisim"/>
          <w:rtl/>
        </w:rPr>
        <w:t>ועוד תי' ה</w:t>
      </w:r>
      <w:r w:rsidRPr="00E14121">
        <w:rPr>
          <w:rFonts w:ascii="Narkisim" w:hAnsi="Narkisim"/>
          <w:b/>
          <w:bCs/>
          <w:rtl/>
        </w:rPr>
        <w:t>ריטב"א</w:t>
      </w:r>
      <w:r w:rsidRPr="00E14121">
        <w:rPr>
          <w:rFonts w:ascii="Narkisim" w:hAnsi="Narkisim"/>
          <w:rtl/>
        </w:rPr>
        <w:t xml:space="preserve"> דהא דאמרי' לא קבלו היינו בסתם, דמסתמא אינם עושים אלא מפני פחד מלחמת דוד ושלחן מלכים ועושר שלמה. אבל קבלו את אלו, שהוכיחו שנתגיירו מפני שראו קדושת התורה ויושר חוקיה ומשפטיה.</w:t>
      </w:r>
    </w:p>
    <w:p w14:paraId="513A0790" w14:textId="77777777" w:rsidR="00F64AED" w:rsidRPr="00E14121" w:rsidRDefault="00F64AED" w:rsidP="00F64AED">
      <w:pPr>
        <w:pStyle w:val="2"/>
        <w:bidi/>
        <w:rPr>
          <w:rFonts w:ascii="Narkisim" w:hAnsi="Narkisim"/>
        </w:rPr>
      </w:pPr>
      <w:r w:rsidRPr="00E14121">
        <w:rPr>
          <w:rFonts w:ascii="Narkisim" w:hAnsi="Narkisim"/>
          <w:rtl/>
        </w:rPr>
        <w:lastRenderedPageBreak/>
        <w:t>נתינים</w:t>
      </w:r>
    </w:p>
    <w:p w14:paraId="3A40EDEA" w14:textId="77777777" w:rsidR="00F64AED" w:rsidRPr="00E14121" w:rsidRDefault="00F64AED" w:rsidP="00F64AED">
      <w:pPr>
        <w:bidi/>
        <w:rPr>
          <w:rFonts w:ascii="Narkisim" w:hAnsi="Narkisim" w:cs="Narkisim"/>
        </w:rPr>
      </w:pPr>
      <w:r w:rsidRPr="00E14121">
        <w:rPr>
          <w:rFonts w:ascii="Narkisim" w:hAnsi="Narkisim" w:cs="Narkisim"/>
          <w:u w:val="single"/>
          <w:rtl/>
        </w:rPr>
        <w:t>ונתינים דוד גזר עליהם, משה גזר וכו'</w:t>
      </w:r>
      <w:r w:rsidRPr="00E14121">
        <w:rPr>
          <w:rFonts w:ascii="Narkisim" w:hAnsi="Narkisim" w:cs="Narkisim"/>
          <w:rtl/>
        </w:rPr>
        <w:t>. פ</w:t>
      </w:r>
      <w:r w:rsidRPr="00E14121">
        <w:rPr>
          <w:rFonts w:ascii="Narkisim" w:hAnsi="Narkisim" w:cs="Narkisim"/>
          <w:b/>
          <w:bCs/>
          <w:rtl/>
        </w:rPr>
        <w:t>רש"י</w:t>
      </w:r>
      <w:r w:rsidRPr="00E14121">
        <w:rPr>
          <w:rFonts w:ascii="Narkisim" w:hAnsi="Narkisim" w:cs="Narkisim"/>
          <w:rtl/>
        </w:rPr>
        <w:t xml:space="preserve"> מדקרינהו לחוטבי עצים באנפייהו ש"מ לאו בכלל ישראל נינהו, אלא עבדים, ועבדים פסולים נינהו. מתחילת דברי רש"י משמע דהדיוק דמשמע בפסוק דלא הוה בכלל ישראל. ואילו מסו"ד רש"י משמע דכוונת הגמ' דהוה משום 'שם עבד'.</w:t>
      </w:r>
    </w:p>
    <w:p w14:paraId="67F3F23D"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(כאן וכתובות כט.) דנו [בכוונת רש"י] האם הוה עבד מדאורייתא, ובכלל לא יהא קדש. או דרבנן גזרו איסור דרבנן כעין עבדות דאורייתא</w:t>
      </w:r>
      <w:r w:rsidRPr="00E14121">
        <w:rPr>
          <w:rStyle w:val="ac"/>
          <w:rFonts w:ascii="Narkisim" w:hAnsi="Narkisim"/>
          <w:rtl/>
        </w:rPr>
        <w:footnoteReference w:id="4795"/>
      </w:r>
      <w:r w:rsidRPr="00E14121">
        <w:rPr>
          <w:rFonts w:ascii="Narkisim" w:hAnsi="Narkisim"/>
          <w:rtl/>
        </w:rPr>
        <w:t>. ע"ע בסמוך.</w:t>
      </w:r>
    </w:p>
    <w:p w14:paraId="14A0EBE6" w14:textId="77777777" w:rsidR="00F64AED" w:rsidRPr="00E14121" w:rsidRDefault="00F64AED" w:rsidP="00F64AED">
      <w:pPr>
        <w:pStyle w:val="a7"/>
        <w:bidi/>
        <w:rPr>
          <w:rFonts w:ascii="Narkisim" w:hAnsi="Narkisim"/>
        </w:rPr>
      </w:pPr>
      <w:r w:rsidRPr="00E14121">
        <w:rPr>
          <w:rFonts w:ascii="Narkisim" w:hAnsi="Narkisim"/>
          <w:rtl/>
        </w:rPr>
        <w:t>ועוד כת' ה</w:t>
      </w:r>
      <w:r w:rsidRPr="00E14121">
        <w:rPr>
          <w:rFonts w:ascii="Narkisim" w:hAnsi="Narkisim"/>
          <w:b/>
          <w:bCs/>
          <w:rtl/>
        </w:rPr>
        <w:t>פנ"י</w:t>
      </w:r>
      <w:r w:rsidRPr="00E14121">
        <w:rPr>
          <w:rFonts w:ascii="Narkisim" w:hAnsi="Narkisim"/>
          <w:rtl/>
        </w:rPr>
        <w:t xml:space="preserve"> דכוונת רש"י דדוד גזר עליהם עבדות, דאל"כ לא שייך שיחול עליהם פסול חיתון לכל דורותיהם. אלא כיון דהוה עבדים, אינם בכלל גרים וחל עליהם פסול חיתון. ולפ"ז כת' דאינן עבדים גמורים [ולכן תפסי קידושין], דאינו קנין הגוף אלא שעבוד בעלמא</w:t>
      </w:r>
      <w:r w:rsidRPr="00E14121">
        <w:rPr>
          <w:rStyle w:val="ac"/>
          <w:rFonts w:ascii="Narkisim" w:hAnsi="Narkisim"/>
          <w:rtl/>
        </w:rPr>
        <w:footnoteReference w:id="4796"/>
      </w:r>
      <w:r w:rsidRPr="00E14121">
        <w:rPr>
          <w:rFonts w:ascii="Narkisim" w:hAnsi="Narkisim"/>
          <w:rtl/>
        </w:rPr>
        <w:t>. [וצ"ב].</w:t>
      </w:r>
    </w:p>
    <w:p w14:paraId="7C8692F2" w14:textId="77777777" w:rsidR="00F64AED" w:rsidRPr="00E14121" w:rsidRDefault="00F64AED" w:rsidP="00F64AED">
      <w:pPr>
        <w:bidi/>
        <w:rPr>
          <w:rFonts w:ascii="Narkisim" w:hAnsi="Narkisim" w:cs="Narkisim"/>
        </w:rPr>
      </w:pPr>
      <w:r w:rsidRPr="00E14121">
        <w:rPr>
          <w:rFonts w:ascii="Narkisim" w:hAnsi="Narkisim" w:cs="Narkisim"/>
          <w:rtl/>
        </w:rPr>
        <w:t xml:space="preserve">ודעת </w:t>
      </w:r>
      <w:r w:rsidRPr="00E14121">
        <w:rPr>
          <w:rFonts w:ascii="Narkisim" w:hAnsi="Narkisim" w:cs="Narkisim"/>
          <w:b/>
          <w:bCs/>
          <w:rtl/>
        </w:rPr>
        <w:t>ר"ת</w:t>
      </w:r>
      <w:r w:rsidRPr="00E14121">
        <w:rPr>
          <w:rFonts w:ascii="Narkisim" w:hAnsi="Narkisim" w:cs="Narkisim"/>
          <w:rtl/>
        </w:rPr>
        <w:t xml:space="preserve"> (בתוס') דכל הנידון בסוגיין כלפי השעבוד. [ויש איסור חיתון דאורייתא בכל ז' אומות].</w:t>
      </w:r>
    </w:p>
    <w:p w14:paraId="51C03730" w14:textId="77777777" w:rsidR="00F64AED" w:rsidRPr="00E14121" w:rsidRDefault="00F64AED" w:rsidP="00F64AED">
      <w:pPr>
        <w:pStyle w:val="aa"/>
        <w:bidi/>
        <w:rPr>
          <w:rFonts w:ascii="Narkisim" w:hAnsi="Narkisim"/>
        </w:rPr>
      </w:pPr>
      <w:r w:rsidRPr="00E14121">
        <w:rPr>
          <w:rFonts w:ascii="Narkisim" w:hAnsi="Narkisim"/>
          <w:u w:val="single"/>
          <w:rtl/>
        </w:rPr>
        <w:t>משה גזר לההוא דרא, דוד גזר לכולי דרא וכו' יהושע גזר בזמן ביהמ"ק וכו'</w:t>
      </w:r>
      <w:r w:rsidRPr="00E14121">
        <w:rPr>
          <w:rFonts w:ascii="Narkisim" w:hAnsi="Narkisim"/>
          <w:rtl/>
        </w:rPr>
        <w:t>. פ</w:t>
      </w:r>
      <w:r w:rsidRPr="00E14121">
        <w:rPr>
          <w:rFonts w:ascii="Narkisim" w:hAnsi="Narkisim"/>
          <w:b/>
          <w:bCs/>
          <w:rtl/>
        </w:rPr>
        <w:t>רש"י</w:t>
      </w:r>
      <w:r w:rsidRPr="00E14121">
        <w:rPr>
          <w:rFonts w:ascii="Narkisim" w:hAnsi="Narkisim"/>
          <w:rtl/>
        </w:rPr>
        <w:t xml:space="preserve"> דגזירת יהושע היתה לדורות הבאים [דכתיב לא יכרת וגו']. ובפשוטו משמע דמשה כבר גזר על הגבעונים. וקשה דבפסוקים (יהושע ט) מבואר דבאו רק לפני יהושע.</w:t>
      </w:r>
    </w:p>
    <w:p w14:paraId="56120E38" w14:textId="77777777" w:rsidR="00F64AED" w:rsidRPr="00E14121" w:rsidRDefault="00F64AED" w:rsidP="00F64AED">
      <w:pPr>
        <w:pStyle w:val="a8"/>
        <w:bidi/>
        <w:rPr>
          <w:rFonts w:ascii="Narkisim" w:hAnsi="Narkisim"/>
        </w:rPr>
      </w:pPr>
      <w:r w:rsidRPr="00E14121">
        <w:rPr>
          <w:rFonts w:ascii="Narkisim" w:hAnsi="Narkisim"/>
          <w:rtl/>
        </w:rPr>
        <w:t xml:space="preserve">אבל </w:t>
      </w:r>
      <w:r w:rsidRPr="00E14121">
        <w:rPr>
          <w:rFonts w:ascii="Narkisim" w:hAnsi="Narkisim"/>
          <w:b/>
          <w:bCs/>
          <w:rtl/>
        </w:rPr>
        <w:t>רש"י</w:t>
      </w:r>
      <w:r w:rsidRPr="00E14121">
        <w:rPr>
          <w:rFonts w:ascii="Narkisim" w:hAnsi="Narkisim"/>
          <w:rtl/>
        </w:rPr>
        <w:t xml:space="preserve"> (עה"ת דברים כט י) פי' דאומה אחרת של כנענים באה לפני משה. וכדרך שבאו הגבעונים בימי יהושע</w:t>
      </w:r>
      <w:r w:rsidRPr="00E14121">
        <w:rPr>
          <w:rStyle w:val="ac"/>
          <w:rFonts w:ascii="Narkisim" w:hAnsi="Narkisim"/>
          <w:rtl/>
        </w:rPr>
        <w:footnoteReference w:id="4797"/>
      </w:r>
      <w:r w:rsidRPr="00E14121">
        <w:rPr>
          <w:rFonts w:ascii="Narkisim" w:hAnsi="Narkisim"/>
          <w:rtl/>
        </w:rPr>
        <w:t xml:space="preserve">. ומשה קבלם להיות חוטבי עצים ושואבי מים. וכ"כ </w:t>
      </w:r>
      <w:r w:rsidRPr="00E14121">
        <w:rPr>
          <w:rFonts w:ascii="Narkisim" w:hAnsi="Narkisim"/>
          <w:b/>
          <w:bCs/>
          <w:rtl/>
        </w:rPr>
        <w:t>רש"י</w:t>
      </w:r>
      <w:r w:rsidRPr="00E14121">
        <w:rPr>
          <w:rFonts w:ascii="Narkisim" w:hAnsi="Narkisim"/>
          <w:rtl/>
        </w:rPr>
        <w:t xml:space="preserve"> בסוגיין [לפרש תי' הגמ'] דמשה גזר על שואבי מים שהיו בימיו. וה</w:t>
      </w:r>
      <w:r w:rsidRPr="00E14121">
        <w:rPr>
          <w:rFonts w:ascii="Narkisim" w:hAnsi="Narkisim"/>
          <w:b/>
          <w:bCs/>
          <w:rtl/>
        </w:rPr>
        <w:t>מהרש"א</w:t>
      </w:r>
      <w:r w:rsidRPr="00E14121">
        <w:rPr>
          <w:rFonts w:ascii="Narkisim" w:hAnsi="Narkisim"/>
          <w:rtl/>
        </w:rPr>
        <w:t xml:space="preserve"> ביאר עד"ז דאף המקשן ידע דהיה אומה אחרת, אלא דקו' הגמ' כיון דמשה גזר אחוטבי עצים שהיו בימיו שלא יהיו בכלל ישראל, א"כ ממילא אף הגבעונים שהוקצו בימי יהושע לחוטבי עצים היו בכלל גזירת משה. והגמ' תי' דמשה גזר עבדות דוקא אחוטבי עצים שהיו בימיו.</w:t>
      </w:r>
    </w:p>
    <w:p w14:paraId="0DB855C2" w14:textId="77777777" w:rsidR="00F64AED" w:rsidRPr="00E14121" w:rsidRDefault="00F64AED" w:rsidP="00F64AED">
      <w:pPr>
        <w:pStyle w:val="aa"/>
        <w:bidi/>
        <w:rPr>
          <w:rFonts w:ascii="Narkisim" w:hAnsi="Narkisim"/>
        </w:rPr>
      </w:pPr>
      <w:r w:rsidRPr="00E14121">
        <w:rPr>
          <w:rFonts w:ascii="Narkisim" w:hAnsi="Narkisim"/>
          <w:u w:val="single"/>
          <w:rtl/>
        </w:rPr>
        <w:t>יהושע גזר בזמן שביהמ"ק קיים</w:t>
      </w:r>
      <w:r w:rsidRPr="00E14121">
        <w:rPr>
          <w:rStyle w:val="ac"/>
          <w:rFonts w:ascii="Narkisim" w:hAnsi="Narkisim"/>
          <w:rtl/>
        </w:rPr>
        <w:footnoteReference w:id="4798"/>
      </w:r>
      <w:r w:rsidRPr="00E14121">
        <w:rPr>
          <w:rFonts w:ascii="Narkisim" w:hAnsi="Narkisim"/>
          <w:rtl/>
        </w:rPr>
        <w:t>. פ</w:t>
      </w:r>
      <w:r w:rsidRPr="00E14121">
        <w:rPr>
          <w:rFonts w:ascii="Narkisim" w:hAnsi="Narkisim"/>
          <w:b/>
          <w:bCs/>
          <w:rtl/>
        </w:rPr>
        <w:t>רש"י</w:t>
      </w:r>
      <w:r w:rsidRPr="00E14121">
        <w:rPr>
          <w:rFonts w:ascii="Narkisim" w:hAnsi="Narkisim"/>
          <w:rtl/>
        </w:rPr>
        <w:t xml:space="preserve"> דכתיב למזבח ה'. וה</w:t>
      </w:r>
      <w:r w:rsidRPr="00E14121">
        <w:rPr>
          <w:rFonts w:ascii="Narkisim" w:hAnsi="Narkisim"/>
          <w:b/>
          <w:bCs/>
          <w:rtl/>
        </w:rPr>
        <w:t>רמב"ן</w:t>
      </w:r>
      <w:r w:rsidRPr="00E14121">
        <w:rPr>
          <w:rFonts w:ascii="Narkisim" w:hAnsi="Narkisim"/>
          <w:rtl/>
        </w:rPr>
        <w:t xml:space="preserve"> ביאר דאף חלק העדה תלי בחלק המזבח.</w:t>
      </w:r>
    </w:p>
    <w:p w14:paraId="73BEBE07"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תוס' רא"ש </w:t>
      </w:r>
      <w:r w:rsidRPr="00E14121">
        <w:rPr>
          <w:rFonts w:ascii="Narkisim" w:hAnsi="Narkisim" w:cs="Narkisim"/>
          <w:rtl/>
        </w:rPr>
        <w:t>כת' דכיון שבגזירת יהושע יש הפסק לעבדותם, א"כ אף בזמן עבדותם לא נאסרו משום לא יהיה קדש. ומש"ה גזר דוד עליהם איסור חתנות.</w:t>
      </w:r>
    </w:p>
    <w:p w14:paraId="778D087A" w14:textId="77777777" w:rsidR="00F64AED" w:rsidRPr="00E14121" w:rsidRDefault="00F64AED" w:rsidP="00F64AED">
      <w:pPr>
        <w:bidi/>
        <w:rPr>
          <w:rFonts w:ascii="Narkisim" w:hAnsi="Narkisim" w:cs="Narkisim"/>
        </w:rPr>
      </w:pPr>
      <w:r w:rsidRPr="00E14121">
        <w:rPr>
          <w:rFonts w:ascii="Narkisim" w:hAnsi="Narkisim" w:cs="Narkisim"/>
          <w:u w:val="single"/>
          <w:rtl/>
        </w:rPr>
        <w:t>תוד"ה ונתינים.</w:t>
      </w:r>
      <w:r w:rsidRPr="00E14121">
        <w:rPr>
          <w:rFonts w:ascii="Narkisim" w:hAnsi="Narkisim" w:cs="Narkisim"/>
          <w:rtl/>
        </w:rPr>
        <w:t xml:space="preserve"> והשתא פריך דמשה גזר עליהן עבדות, ואסור משום לא יהיה קדש</w:t>
      </w:r>
      <w:r w:rsidRPr="00E14121">
        <w:rPr>
          <w:rStyle w:val="ac"/>
          <w:rFonts w:ascii="Narkisim" w:hAnsi="Narkisim" w:cs="Narkisim"/>
          <w:rtl/>
        </w:rPr>
        <w:footnoteReference w:id="4799"/>
      </w:r>
      <w:r w:rsidRPr="00E14121">
        <w:rPr>
          <w:rFonts w:ascii="Narkisim" w:hAnsi="Narkisim" w:cs="Narkisim"/>
          <w:rtl/>
        </w:rPr>
        <w:t>. וה</w:t>
      </w:r>
      <w:r w:rsidRPr="00E14121">
        <w:rPr>
          <w:rFonts w:ascii="Narkisim" w:hAnsi="Narkisim" w:cs="Narkisim"/>
          <w:b/>
          <w:bCs/>
          <w:rtl/>
        </w:rPr>
        <w:t>פנ"י</w:t>
      </w:r>
      <w:r w:rsidRPr="00E14121">
        <w:rPr>
          <w:rFonts w:ascii="Narkisim" w:hAnsi="Narkisim" w:cs="Narkisim"/>
          <w:rtl/>
        </w:rPr>
        <w:t xml:space="preserve"> (כתובות כט.) ביאר דע"י שגזר עבדות נאסרו מדאורייתא, דחל עליהם שם עבד. וה</w:t>
      </w:r>
      <w:r w:rsidRPr="00E14121">
        <w:rPr>
          <w:rFonts w:ascii="Narkisim" w:hAnsi="Narkisim" w:cs="Narkisim"/>
          <w:b/>
          <w:bCs/>
          <w:rtl/>
        </w:rPr>
        <w:t>קוב"ש</w:t>
      </w:r>
      <w:r w:rsidRPr="00E14121">
        <w:rPr>
          <w:rFonts w:ascii="Narkisim" w:hAnsi="Narkisim" w:cs="Narkisim"/>
          <w:rtl/>
        </w:rPr>
        <w:t xml:space="preserve"> (כתובות פ) הקשה כיון דכבר נתגיירו, איך יפקע יהדותם ע"י הפקר בי"ד. וכתב דצ"ל דגזרו קודם שנתגיירו.</w:t>
      </w:r>
    </w:p>
    <w:p w14:paraId="788B2CEC"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אחרונים</w:t>
      </w:r>
      <w:r w:rsidRPr="00E14121">
        <w:rPr>
          <w:rFonts w:ascii="Narkisim" w:hAnsi="Narkisim"/>
          <w:rtl/>
        </w:rPr>
        <w:t xml:space="preserve"> כת' דיל"פ דאף תחילת דברי התוס' ס"ל דהוה גזירה דרבנן לדון כעין עבדות. והוה איסור לא יהא קדש כעין דאוריי'. </w:t>
      </w:r>
      <w:r w:rsidRPr="00E14121">
        <w:rPr>
          <w:rFonts w:ascii="Narkisim" w:hAnsi="Narkisim"/>
          <w:sz w:val="20"/>
          <w:szCs w:val="20"/>
          <w:rtl/>
        </w:rPr>
        <w:t>[ותוס' נסתפקו האם הוה גזרו דהוה עבדים לכל מילי, או דהוה תקנה בעלמא].</w:t>
      </w:r>
    </w:p>
    <w:p w14:paraId="0E475CA3"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וה</w:t>
      </w:r>
      <w:r w:rsidRPr="00E14121">
        <w:rPr>
          <w:rFonts w:ascii="Narkisim" w:hAnsi="Narkisim"/>
          <w:b/>
          <w:bCs/>
          <w:rtl/>
        </w:rPr>
        <w:t>תוס' רא"ש</w:t>
      </w:r>
      <w:r w:rsidRPr="00E14121">
        <w:rPr>
          <w:rFonts w:ascii="Narkisim" w:hAnsi="Narkisim"/>
          <w:rtl/>
        </w:rPr>
        <w:t xml:space="preserve"> כת' דאף דגזר עבדות, מ"מ אין להם דין עבדים המיוחדים לאדוניהם שיהא בהם לאו דלא יהיה קדש</w:t>
      </w:r>
      <w:r w:rsidRPr="00E14121">
        <w:rPr>
          <w:rStyle w:val="ac"/>
          <w:rFonts w:ascii="Narkisim" w:hAnsi="Narkisim"/>
          <w:rtl/>
        </w:rPr>
        <w:footnoteReference w:id="4800"/>
      </w:r>
      <w:r w:rsidRPr="00E14121">
        <w:rPr>
          <w:rFonts w:ascii="Narkisim" w:hAnsi="Narkisim"/>
          <w:rtl/>
        </w:rPr>
        <w:t>. [אלא גזרו איסור חיתון, דאין נכון שיתחתנו וכמ"ש תוס'].</w:t>
      </w:r>
    </w:p>
    <w:p w14:paraId="62B99947" w14:textId="77777777" w:rsidR="00F64AED" w:rsidRPr="00E14121" w:rsidRDefault="00F64AED" w:rsidP="00F64AED">
      <w:pPr>
        <w:pStyle w:val="aa"/>
        <w:bidi/>
        <w:rPr>
          <w:rFonts w:ascii="Narkisim" w:hAnsi="Narkisim"/>
        </w:rPr>
      </w:pPr>
      <w:r w:rsidRPr="00E14121">
        <w:rPr>
          <w:rFonts w:ascii="Narkisim" w:hAnsi="Narkisim"/>
          <w:u w:val="single"/>
          <w:rtl/>
        </w:rPr>
        <w:t>בא"ד ואתי שפיר הא דאין בנתינים תורת עבדות וכו' דהבא על הנתינה יש לה קנס וכו'</w:t>
      </w:r>
      <w:r w:rsidRPr="00E14121">
        <w:rPr>
          <w:rFonts w:ascii="Narkisim" w:hAnsi="Narkisim"/>
          <w:rtl/>
        </w:rPr>
        <w:t>. ואף דמדרבנן הוה גדר עבדים, מ"מ לענין קנס לא תקנו. ועוד כת' התוס' [ועוד יש לפרש] דאף מדרבנן לא הוה גדר עבדות ממש.</w:t>
      </w:r>
    </w:p>
    <w:p w14:paraId="053A1E40"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כתב דגזרו עבדות, ומיהו אינו כשפחה גמורה דאין לה קנס, דזו אין גופה קנוי לאדון ויש לה קנס.</w:t>
      </w:r>
    </w:p>
    <w:p w14:paraId="21A72E7B" w14:textId="77777777" w:rsidR="00F64AED" w:rsidRPr="00E14121" w:rsidRDefault="00F64AED" w:rsidP="00F64AED">
      <w:pPr>
        <w:bidi/>
        <w:rPr>
          <w:rFonts w:ascii="Narkisim" w:hAnsi="Narkisim" w:cs="Narkisim"/>
        </w:rPr>
      </w:pPr>
      <w:r w:rsidRPr="00E14121">
        <w:rPr>
          <w:rFonts w:ascii="Narkisim" w:hAnsi="Narkisim" w:cs="Narkisim"/>
          <w:rtl/>
        </w:rPr>
        <w:lastRenderedPageBreak/>
        <w:t>ו</w:t>
      </w:r>
      <w:r w:rsidRPr="00E14121">
        <w:rPr>
          <w:rFonts w:ascii="Narkisim" w:hAnsi="Narkisim" w:cs="Narkisim"/>
          <w:b/>
          <w:bCs/>
          <w:rtl/>
        </w:rPr>
        <w:t>רע"א</w:t>
      </w:r>
      <w:r w:rsidRPr="00E14121">
        <w:rPr>
          <w:rFonts w:ascii="Narkisim" w:hAnsi="Narkisim" w:cs="Narkisim"/>
          <w:rtl/>
        </w:rPr>
        <w:t xml:space="preserve"> </w:t>
      </w:r>
      <w:r w:rsidRPr="00E14121">
        <w:rPr>
          <w:rFonts w:ascii="Narkisim" w:hAnsi="Narkisim" w:cs="Narkisim"/>
          <w:szCs w:val="20"/>
          <w:rtl/>
        </w:rPr>
        <w:t>(כתובות כט.)</w:t>
      </w:r>
      <w:r w:rsidRPr="00E14121">
        <w:rPr>
          <w:rFonts w:ascii="Narkisim" w:hAnsi="Narkisim" w:cs="Narkisim"/>
          <w:rtl/>
        </w:rPr>
        <w:t xml:space="preserve"> יישב דאף דגזרו עליהם עבדות, מ"מ לא הקילו שלא יתפס קידושין. וכת' דעבדים נתמעטו מקנס משום דלא תפסי קידושין</w:t>
      </w:r>
      <w:r w:rsidRPr="00E14121">
        <w:rPr>
          <w:rStyle w:val="ac"/>
          <w:rFonts w:ascii="Narkisim" w:hAnsi="Narkisim" w:cs="Narkisim"/>
          <w:rtl/>
        </w:rPr>
        <w:footnoteReference w:id="4801"/>
      </w:r>
      <w:r w:rsidRPr="00E14121">
        <w:rPr>
          <w:rFonts w:ascii="Narkisim" w:hAnsi="Narkisim" w:cs="Narkisim"/>
          <w:rtl/>
        </w:rPr>
        <w:t>.</w:t>
      </w:r>
    </w:p>
    <w:p w14:paraId="25AEE520" w14:textId="77777777" w:rsidR="00F64AED" w:rsidRPr="00E14121" w:rsidRDefault="00F64AED" w:rsidP="00F64AED">
      <w:pPr>
        <w:pStyle w:val="aa"/>
        <w:bidi/>
        <w:rPr>
          <w:rFonts w:ascii="Narkisim" w:hAnsi="Narkisim"/>
        </w:rPr>
      </w:pPr>
      <w:r w:rsidRPr="00E14121">
        <w:rPr>
          <w:rFonts w:ascii="Narkisim" w:hAnsi="Narkisim"/>
          <w:u w:val="single"/>
          <w:rtl/>
        </w:rPr>
        <w:t>בא"ד ועוד יש לפרש וכו' ומסתמא גזר נמי שלא יתחתנו בהם וכו' דנראין כעבדים וכו'</w:t>
      </w:r>
      <w:r w:rsidRPr="00E14121">
        <w:rPr>
          <w:rFonts w:ascii="Narkisim" w:hAnsi="Narkisim"/>
          <w:rtl/>
        </w:rPr>
        <w:t>. ותוס' בהמשך דבריו הוסיף דהיכא דאישתייר בהן שעבוד של חלק מזבח אין הגון לידבק בהן. ומשמע דלהך תי' הוה גדר 'שעבוד' מדרבנן, ולא גדר קנין הגוף. ומש"ה לא הוה עבד אף מדרבנן.</w:t>
      </w:r>
    </w:p>
    <w:p w14:paraId="4198B831"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מלחמות</w:t>
      </w:r>
      <w:r w:rsidRPr="00E14121">
        <w:rPr>
          <w:rFonts w:ascii="Narkisim" w:hAnsi="Narkisim"/>
          <w:rtl/>
        </w:rPr>
        <w:t xml:space="preserve"> (כד: בדה"ר) כת' דגזרו עליהם להשתמש בהם דעבדים כדי להרחיקן מלבא בקהל</w:t>
      </w:r>
      <w:r w:rsidRPr="00E14121">
        <w:rPr>
          <w:rStyle w:val="ac"/>
          <w:rFonts w:ascii="Narkisim" w:hAnsi="Narkisim"/>
          <w:rtl/>
        </w:rPr>
        <w:footnoteReference w:id="4802"/>
      </w:r>
      <w:r w:rsidRPr="00E14121">
        <w:rPr>
          <w:rFonts w:ascii="Narkisim" w:hAnsi="Narkisim"/>
          <w:rtl/>
        </w:rPr>
        <w:t>.</w:t>
      </w:r>
    </w:p>
    <w:p w14:paraId="1ADF1927" w14:textId="77777777" w:rsidR="00F64AED" w:rsidRPr="00E14121" w:rsidRDefault="00F64AED" w:rsidP="00F64AED">
      <w:pPr>
        <w:bidi/>
        <w:rPr>
          <w:rFonts w:ascii="Narkisim" w:hAnsi="Narkisim" w:cs="Narkisim"/>
        </w:rPr>
      </w:pPr>
      <w:r w:rsidRPr="00E14121">
        <w:rPr>
          <w:rFonts w:ascii="Narkisim" w:hAnsi="Narkisim" w:cs="Narkisim"/>
          <w:u w:val="single"/>
          <w:rtl/>
        </w:rPr>
        <w:t>בא"ד ואין נראה לר"ת דמדאורייתא אסירי בלאו דלא תתחתן</w:t>
      </w:r>
      <w:r w:rsidRPr="00E14121">
        <w:rPr>
          <w:rStyle w:val="ac"/>
          <w:rFonts w:ascii="Narkisim" w:hAnsi="Narkisim" w:cs="Narkisim"/>
          <w:u w:val="single"/>
          <w:rtl/>
        </w:rPr>
        <w:footnoteReference w:id="4803"/>
      </w:r>
      <w:r w:rsidRPr="00E14121">
        <w:rPr>
          <w:rFonts w:ascii="Narkisim" w:hAnsi="Narkisim" w:cs="Narkisim"/>
          <w:u w:val="single"/>
          <w:rtl/>
        </w:rPr>
        <w:t>, כדמסיק רבא וכו'.</w:t>
      </w:r>
      <w:r w:rsidRPr="00E14121">
        <w:rPr>
          <w:rFonts w:ascii="Narkisim" w:hAnsi="Narkisim" w:cs="Narkisim"/>
          <w:rtl/>
        </w:rPr>
        <w:t xml:space="preserve"> וכן </w:t>
      </w:r>
      <w:r w:rsidRPr="00E14121">
        <w:rPr>
          <w:rFonts w:ascii="Narkisim" w:hAnsi="Narkisim" w:cs="Narkisim"/>
          <w:b/>
          <w:bCs/>
          <w:rtl/>
        </w:rPr>
        <w:t>רש"י</w:t>
      </w:r>
      <w:r w:rsidRPr="00E14121">
        <w:rPr>
          <w:rFonts w:ascii="Narkisim" w:hAnsi="Narkisim" w:cs="Narkisim"/>
          <w:rtl/>
        </w:rPr>
        <w:t xml:space="preserve"> </w:t>
      </w:r>
      <w:r w:rsidRPr="00E14121">
        <w:rPr>
          <w:rFonts w:ascii="Narkisim" w:hAnsi="Narkisim" w:cs="Narkisim"/>
          <w:szCs w:val="20"/>
          <w:rtl/>
        </w:rPr>
        <w:t>(סנהדרין נא. ומכות יג.)</w:t>
      </w:r>
      <w:r w:rsidRPr="00E14121">
        <w:rPr>
          <w:rFonts w:ascii="Narkisim" w:hAnsi="Narkisim" w:cs="Narkisim"/>
          <w:rtl/>
        </w:rPr>
        <w:t xml:space="preserve"> כת' דהבא על הנתינה עובר בלא תתחתן.</w:t>
      </w:r>
    </w:p>
    <w:p w14:paraId="7BD4AF7A" w14:textId="77777777" w:rsidR="00F64AED" w:rsidRPr="00E14121" w:rsidRDefault="00F64AED" w:rsidP="00F64AED">
      <w:pPr>
        <w:bidi/>
        <w:rPr>
          <w:rFonts w:ascii="Narkisim" w:hAnsi="Narkisim" w:cs="Narkisim"/>
        </w:rPr>
      </w:pPr>
      <w:r w:rsidRPr="00E14121">
        <w:rPr>
          <w:rFonts w:ascii="Narkisim" w:hAnsi="Narkisim" w:cs="Narkisim"/>
          <w:rtl/>
        </w:rPr>
        <w:t>אבל ה</w:t>
      </w:r>
      <w:r w:rsidRPr="00E14121">
        <w:rPr>
          <w:rFonts w:ascii="Narkisim" w:hAnsi="Narkisim" w:cs="Narkisim"/>
          <w:b/>
          <w:bCs/>
          <w:rtl/>
        </w:rPr>
        <w:t>בעה"מ</w:t>
      </w:r>
      <w:r w:rsidRPr="00E14121">
        <w:rPr>
          <w:rFonts w:ascii="Narkisim" w:hAnsi="Narkisim" w:cs="Narkisim"/>
          <w:rtl/>
        </w:rPr>
        <w:t xml:space="preserve"> הביא מסוגיין דנתינים אסורים מדרבנן [דדוד גזר], וסייעתא לל"ק דרבא (לעיל עו.) דנתגיירו אסור רק מדרבנן. וכן דעת הרמב"ם (הו' לעיל עו.).</w:t>
      </w:r>
    </w:p>
    <w:p w14:paraId="295CD202"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רמב"ן</w:t>
      </w:r>
      <w:r w:rsidRPr="00E14121">
        <w:rPr>
          <w:rFonts w:ascii="Narkisim" w:hAnsi="Narkisim" w:cs="Narkisim"/>
          <w:rtl/>
        </w:rPr>
        <w:t xml:space="preserve"> (בחי' עח: ובמלחמות) כתב דאיסור לא תתחתן דאורייתא הוה בא' מז' אומות שנתגייר</w:t>
      </w:r>
      <w:r w:rsidRPr="00E14121">
        <w:rPr>
          <w:rStyle w:val="ac"/>
          <w:rFonts w:ascii="Narkisim" w:hAnsi="Narkisim" w:cs="Narkisim"/>
          <w:rtl/>
        </w:rPr>
        <w:footnoteReference w:id="4804"/>
      </w:r>
      <w:r w:rsidRPr="00E14121">
        <w:rPr>
          <w:rFonts w:ascii="Narkisim" w:hAnsi="Narkisim" w:cs="Narkisim"/>
          <w:rtl/>
        </w:rPr>
        <w:t>. ואף דור ראשון של נתינים</w:t>
      </w:r>
      <w:r w:rsidRPr="00E14121">
        <w:rPr>
          <w:rStyle w:val="ac"/>
          <w:rFonts w:ascii="Narkisim" w:hAnsi="Narkisim" w:cs="Narkisim"/>
          <w:rtl/>
        </w:rPr>
        <w:footnoteReference w:id="4805"/>
      </w:r>
      <w:r w:rsidRPr="00E14121">
        <w:rPr>
          <w:rFonts w:ascii="Narkisim" w:hAnsi="Narkisim" w:cs="Narkisim"/>
          <w:rtl/>
        </w:rPr>
        <w:t xml:space="preserve"> אסור מה"ת. אבל דורותיהם ליכא איסור דאורייתא, אלא דוד גזר בנתינים לכל הדורות.</w:t>
      </w:r>
    </w:p>
    <w:p w14:paraId="68F165C6" w14:textId="77777777" w:rsidR="00F64AED" w:rsidRPr="00E14121" w:rsidRDefault="00F64AED" w:rsidP="00F64AED">
      <w:pPr>
        <w:pStyle w:val="a7"/>
        <w:bidi/>
        <w:rPr>
          <w:rFonts w:ascii="Narkisim" w:hAnsi="Narkisim"/>
        </w:rPr>
      </w:pPr>
      <w:r w:rsidRPr="00E14121">
        <w:rPr>
          <w:rFonts w:ascii="Narkisim" w:hAnsi="Narkisim"/>
          <w:rtl/>
        </w:rPr>
        <w:t xml:space="preserve">וביאר דאיסור לא תתחתן לא מנה בו הכתוב דורות [ושאר דורות מותרים ממילא]. </w:t>
      </w:r>
      <w:r w:rsidRPr="00E14121">
        <w:rPr>
          <w:rFonts w:ascii="Narkisim" w:hAnsi="Narkisim"/>
          <w:sz w:val="20"/>
          <w:szCs w:val="20"/>
          <w:rtl/>
        </w:rPr>
        <w:t>ומבואר דנח' ר"ת והרמב"ן האם אמרי' דכיון דאסרה תורה פסולי קהל, דלר"ת הוה לדורות, כיון דהתורה לא התירה. ולרמב"ן אין מקור לאסור. ובגמ' (לעיל עה:) הוכיחו מהא דלא מנה דורות גבי פצוע דכא [עי"ש]. אמנם (לעיל עח:) מבואר דממזר בעי ילפותא דלעולם].</w:t>
      </w:r>
    </w:p>
    <w:p w14:paraId="0FDA4EF9" w14:textId="77777777" w:rsidR="00F64AED" w:rsidRPr="00E14121" w:rsidRDefault="00F64AED" w:rsidP="00F64AED">
      <w:pPr>
        <w:pStyle w:val="a7"/>
        <w:bidi/>
        <w:rPr>
          <w:rFonts w:ascii="Narkisim" w:hAnsi="Narkisim"/>
        </w:rPr>
      </w:pPr>
      <w:r w:rsidRPr="00E14121">
        <w:rPr>
          <w:rFonts w:ascii="Narkisim" w:hAnsi="Narkisim"/>
          <w:rtl/>
        </w:rPr>
        <w:t>וכתב דבסוגיין גזרו שעבוד עליהם, וממילא אסורים כדין עבדים. אבל כשיפקע שעבודם פקע איסורם.</w:t>
      </w:r>
    </w:p>
    <w:p w14:paraId="45146B77"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רמב"ן </w:t>
      </w:r>
      <w:r w:rsidRPr="00E14121">
        <w:rPr>
          <w:rFonts w:ascii="Narkisim" w:hAnsi="Narkisim" w:cs="Narkisim"/>
          <w:rtl/>
        </w:rPr>
        <w:t>הביא בשם ה</w:t>
      </w:r>
      <w:r w:rsidRPr="00E14121">
        <w:rPr>
          <w:rFonts w:ascii="Narkisim" w:hAnsi="Narkisim" w:cs="Narkisim"/>
          <w:b/>
          <w:bCs/>
          <w:rtl/>
        </w:rPr>
        <w:t>ראב"ד</w:t>
      </w:r>
      <w:r w:rsidRPr="00E14121">
        <w:rPr>
          <w:rFonts w:ascii="Narkisim" w:hAnsi="Narkisim" w:cs="Narkisim"/>
          <w:rtl/>
        </w:rPr>
        <w:t xml:space="preserve"> דהגבעונים בתחילה נתגיירו לשם גירי אריות, ולכן אסורין סתמן כתחילתן [אף בגירותן]. ויהושע ודוד גזרו שלא לקבל מהם גרים לעולם. אבל אם חזרו ונתגיירו, וקיבלום בי"ד אסורים מדרבנן. </w:t>
      </w:r>
      <w:r w:rsidRPr="00E14121">
        <w:rPr>
          <w:rFonts w:ascii="Narkisim" w:hAnsi="Narkisim" w:cs="Narkisim"/>
          <w:sz w:val="20"/>
          <w:szCs w:val="20"/>
          <w:rtl/>
        </w:rPr>
        <w:t>וכ"כ ה</w:t>
      </w:r>
      <w:r w:rsidRPr="00E14121">
        <w:rPr>
          <w:rFonts w:ascii="Narkisim" w:hAnsi="Narkisim" w:cs="Narkisim"/>
          <w:b/>
          <w:bCs/>
          <w:sz w:val="20"/>
          <w:szCs w:val="20"/>
          <w:rtl/>
        </w:rPr>
        <w:t xml:space="preserve">מאירי </w:t>
      </w:r>
      <w:r w:rsidRPr="00E14121">
        <w:rPr>
          <w:rFonts w:ascii="Narkisim" w:hAnsi="Narkisim" w:cs="Narkisim"/>
          <w:sz w:val="20"/>
          <w:szCs w:val="20"/>
          <w:rtl/>
        </w:rPr>
        <w:t>(כתובות כט.).</w:t>
      </w:r>
    </w:p>
    <w:p w14:paraId="3B6B993C" w14:textId="77777777" w:rsidR="00F64AED" w:rsidRPr="00E14121" w:rsidRDefault="00F64AED" w:rsidP="00F64AED">
      <w:pPr>
        <w:pStyle w:val="a7"/>
        <w:bidi/>
        <w:rPr>
          <w:rFonts w:ascii="Narkisim" w:hAnsi="Narkisim"/>
        </w:rPr>
      </w:pPr>
      <w:r w:rsidRPr="00E14121">
        <w:rPr>
          <w:rFonts w:ascii="Narkisim" w:hAnsi="Narkisim"/>
          <w:rtl/>
        </w:rPr>
        <w:t>[ומבואר מדבריו דחל הגירות של הגבעונים במקצת, ושייך בהם חיתון מדינא</w:t>
      </w:r>
      <w:r w:rsidRPr="00E14121">
        <w:rPr>
          <w:rStyle w:val="ac"/>
          <w:rFonts w:ascii="Narkisim" w:hAnsi="Narkisim"/>
          <w:rtl/>
        </w:rPr>
        <w:footnoteReference w:id="4806"/>
      </w:r>
      <w:r w:rsidRPr="00E14121">
        <w:rPr>
          <w:rFonts w:ascii="Narkisim" w:hAnsi="Narkisim"/>
          <w:rtl/>
        </w:rPr>
        <w:t>. אלא כיון דלא נתגיירו בלב שלם לא נכנסו לכלל ישראל, ומדאורייתא אסורים</w:t>
      </w:r>
      <w:r w:rsidRPr="00E14121">
        <w:rPr>
          <w:rStyle w:val="ac"/>
          <w:rFonts w:ascii="Narkisim" w:hAnsi="Narkisim"/>
          <w:rtl/>
        </w:rPr>
        <w:footnoteReference w:id="4807"/>
      </w:r>
      <w:r w:rsidRPr="00E14121">
        <w:rPr>
          <w:rFonts w:ascii="Narkisim" w:hAnsi="Narkisim"/>
          <w:rtl/>
        </w:rPr>
        <w:t>. ומהני שוב לחזור ולהתגייר להיות ישראל גמור].</w:t>
      </w:r>
    </w:p>
    <w:p w14:paraId="29E266F1" w14:textId="77777777" w:rsidR="00F64AED" w:rsidRPr="00E14121" w:rsidRDefault="00F64AED" w:rsidP="00F64AED">
      <w:pPr>
        <w:pStyle w:val="a8"/>
        <w:bidi/>
        <w:rPr>
          <w:rFonts w:ascii="Narkisim" w:hAnsi="Narkisim"/>
        </w:rPr>
      </w:pPr>
      <w:r w:rsidRPr="00E14121">
        <w:rPr>
          <w:rFonts w:ascii="Narkisim" w:hAnsi="Narkisim"/>
          <w:rtl/>
        </w:rPr>
        <w:t>וכעי"ז כתב ה</w:t>
      </w:r>
      <w:r w:rsidRPr="00E14121">
        <w:rPr>
          <w:rFonts w:ascii="Narkisim" w:hAnsi="Narkisim"/>
          <w:b/>
          <w:bCs/>
          <w:rtl/>
        </w:rPr>
        <w:t>פנ"י</w:t>
      </w:r>
      <w:r w:rsidRPr="00E14121">
        <w:rPr>
          <w:rFonts w:ascii="Narkisim" w:hAnsi="Narkisim"/>
          <w:rtl/>
        </w:rPr>
        <w:t xml:space="preserve"> (כתובות שם) לדייק מדברי </w:t>
      </w:r>
      <w:r w:rsidRPr="00E14121">
        <w:rPr>
          <w:rFonts w:ascii="Narkisim" w:hAnsi="Narkisim"/>
          <w:b/>
          <w:bCs/>
          <w:rtl/>
        </w:rPr>
        <w:t>רש"י</w:t>
      </w:r>
      <w:r w:rsidRPr="00E14121">
        <w:rPr>
          <w:rFonts w:ascii="Narkisim" w:hAnsi="Narkisim"/>
          <w:rtl/>
        </w:rPr>
        <w:t xml:space="preserve"> (ד"ה מחוטב) דנתינים לאו בכלל ישראל נינהו ולאו בכלל גרים, וביאר דלא הועיל להם הגירות אלא להוציאם מכלל עכו"ם, אבל לא באו לכלל ישראל. ולולי הגזירה היו רשאין להתגייר, ובניהם יהיו מותרין לקהל. ובזה גזר דוד שלא לקבלם.</w:t>
      </w:r>
    </w:p>
    <w:p w14:paraId="6D9404B7" w14:textId="77777777" w:rsidR="00F64AED" w:rsidRPr="00E14121" w:rsidRDefault="00F64AED" w:rsidP="00F64AED">
      <w:pPr>
        <w:pStyle w:val="aa"/>
        <w:bidi/>
        <w:rPr>
          <w:rFonts w:ascii="Narkisim" w:hAnsi="Narkisim"/>
        </w:rPr>
      </w:pPr>
      <w:r w:rsidRPr="00E14121">
        <w:rPr>
          <w:rFonts w:ascii="Narkisim" w:hAnsi="Narkisim"/>
          <w:u w:val="single"/>
          <w:rtl/>
        </w:rPr>
        <w:t>בא"ד ותנן (מכות יג.) ואלו הן הלוקין וכו' ועל הנתינה, ומיהו איכא למימר דנתינה אגב שיטפא דממזרת נקטה וכו'</w:t>
      </w:r>
      <w:r w:rsidRPr="00E14121">
        <w:rPr>
          <w:rFonts w:ascii="Narkisim" w:hAnsi="Narkisim"/>
          <w:rtl/>
        </w:rPr>
        <w:t xml:space="preserve">. ויש </w:t>
      </w:r>
      <w:r w:rsidRPr="00E14121">
        <w:rPr>
          <w:rFonts w:ascii="Narkisim" w:hAnsi="Narkisim"/>
          <w:b/>
          <w:bCs/>
          <w:rtl/>
        </w:rPr>
        <w:t>ראשונים</w:t>
      </w:r>
      <w:r w:rsidRPr="00E14121">
        <w:rPr>
          <w:rFonts w:ascii="Narkisim" w:hAnsi="Narkisim"/>
          <w:rtl/>
        </w:rPr>
        <w:t xml:space="preserve"> שמדרבנן לוקה מ', כעין דאורייתא.</w:t>
      </w:r>
    </w:p>
    <w:p w14:paraId="6285C02A"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(כתובות כט.) הביאו דכעי"ז אי' גרושה וחלוצה לכהן הדיוט, אף דאי' (לעיל כד., וקידו' עח.) דחלוצה דרבנן</w:t>
      </w:r>
      <w:r w:rsidRPr="00E14121">
        <w:rPr>
          <w:rStyle w:val="ac"/>
          <w:rFonts w:ascii="Narkisim" w:hAnsi="Narkisim"/>
          <w:rtl/>
        </w:rPr>
        <w:footnoteReference w:id="4808"/>
      </w:r>
      <w:r w:rsidRPr="00E14121">
        <w:rPr>
          <w:rFonts w:ascii="Narkisim" w:hAnsi="Narkisim"/>
          <w:rtl/>
        </w:rPr>
        <w:t>. אך בחי' ה</w:t>
      </w:r>
      <w:r w:rsidRPr="00E14121">
        <w:rPr>
          <w:rFonts w:ascii="Narkisim" w:hAnsi="Narkisim"/>
          <w:b/>
          <w:bCs/>
          <w:rtl/>
        </w:rPr>
        <w:t>רמב"ן</w:t>
      </w:r>
      <w:r w:rsidRPr="00E14121">
        <w:rPr>
          <w:rFonts w:ascii="Narkisim" w:hAnsi="Narkisim"/>
          <w:rtl/>
        </w:rPr>
        <w:t xml:space="preserve"> (כאן ומכות יג.) דחה דהתם קמ"ל שחלוצה דומה לגרושה, דאסמכוה אקרא </w:t>
      </w:r>
      <w:r w:rsidRPr="00E14121">
        <w:rPr>
          <w:rFonts w:ascii="Narkisim" w:hAnsi="Narkisim"/>
          <w:rtl/>
        </w:rPr>
        <w:lastRenderedPageBreak/>
        <w:t>דגרושה</w:t>
      </w:r>
      <w:r w:rsidRPr="00E14121">
        <w:rPr>
          <w:rStyle w:val="ac"/>
          <w:rFonts w:ascii="Narkisim" w:hAnsi="Narkisim"/>
          <w:rtl/>
        </w:rPr>
        <w:footnoteReference w:id="4809"/>
      </w:r>
      <w:r w:rsidRPr="00E14121">
        <w:rPr>
          <w:rFonts w:ascii="Narkisim" w:hAnsi="Narkisim"/>
          <w:rtl/>
        </w:rPr>
        <w:t>. ועוד כת' (בחי' ובמלחמות) דבמשנה במכות חזר לשנות דגרושה וחלוצה אינו חייב אלא א', לגלות דלא הוה דאורייתא.</w:t>
      </w:r>
    </w:p>
    <w:p w14:paraId="4029E373" w14:textId="77777777" w:rsidR="00F64AED" w:rsidRPr="00E14121" w:rsidRDefault="00F64AED" w:rsidP="00F64AED">
      <w:pPr>
        <w:pStyle w:val="aa"/>
        <w:bidi/>
        <w:rPr>
          <w:rFonts w:ascii="Narkisim" w:hAnsi="Narkisim"/>
        </w:rPr>
      </w:pPr>
      <w:r w:rsidRPr="00E14121">
        <w:rPr>
          <w:rFonts w:ascii="Narkisim" w:hAnsi="Narkisim"/>
          <w:rtl/>
        </w:rPr>
        <w:t>ועוה"ק ה</w:t>
      </w:r>
      <w:r w:rsidRPr="00E14121">
        <w:rPr>
          <w:rFonts w:ascii="Narkisim" w:hAnsi="Narkisim"/>
          <w:b/>
          <w:bCs/>
          <w:rtl/>
        </w:rPr>
        <w:t>רמב"ן</w:t>
      </w:r>
      <w:r w:rsidRPr="00E14121">
        <w:rPr>
          <w:rFonts w:ascii="Narkisim" w:hAnsi="Narkisim"/>
          <w:rtl/>
        </w:rPr>
        <w:t xml:space="preserve"> דבגמ' (לקמן פה:) אי' דממזרת ונתינה דאורייתא, ומש"ה לא קנסו בכתובה</w:t>
      </w:r>
      <w:r w:rsidRPr="00E14121">
        <w:rPr>
          <w:rStyle w:val="ac"/>
          <w:rFonts w:ascii="Narkisim" w:hAnsi="Narkisim"/>
          <w:rtl/>
        </w:rPr>
        <w:footnoteReference w:id="4810"/>
      </w:r>
      <w:r w:rsidRPr="00E14121">
        <w:rPr>
          <w:rFonts w:ascii="Narkisim" w:hAnsi="Narkisim"/>
          <w:rtl/>
        </w:rPr>
        <w:t>.</w:t>
      </w:r>
    </w:p>
    <w:p w14:paraId="2207849A" w14:textId="77777777" w:rsidR="00F64AED" w:rsidRPr="00E14121" w:rsidRDefault="00F64AED" w:rsidP="00F64AED">
      <w:pPr>
        <w:pStyle w:val="aa"/>
        <w:bidi/>
        <w:rPr>
          <w:rFonts w:ascii="Narkisim" w:hAnsi="Narkisim"/>
        </w:rPr>
      </w:pPr>
      <w:r w:rsidRPr="00E14121">
        <w:rPr>
          <w:rFonts w:ascii="Narkisim" w:hAnsi="Narkisim"/>
          <w:u w:val="single"/>
          <w:rtl/>
        </w:rPr>
        <w:t>בא"ד ונר' לר"ת דדוד גזר עליהם שעבוד וכו'</w:t>
      </w:r>
      <w:r w:rsidRPr="00E14121">
        <w:rPr>
          <w:rFonts w:ascii="Narkisim" w:hAnsi="Narkisim"/>
          <w:rtl/>
        </w:rPr>
        <w:t>. ו</w:t>
      </w:r>
      <w:r w:rsidRPr="00E14121">
        <w:rPr>
          <w:rFonts w:ascii="Narkisim" w:hAnsi="Narkisim"/>
          <w:b/>
          <w:bCs/>
          <w:rtl/>
        </w:rPr>
        <w:t>תוס</w:t>
      </w:r>
      <w:r w:rsidRPr="00E14121">
        <w:rPr>
          <w:rFonts w:ascii="Narkisim" w:hAnsi="Narkisim"/>
          <w:rtl/>
        </w:rPr>
        <w:t>' (כתובות כט.) פי' דהגזירה שלא יטמעו בני ישראל בהם. וביאר דבשאר פסולי קהל לא גזרו, דנתינים הוה אומה שלימה.</w:t>
      </w:r>
    </w:p>
    <w:p w14:paraId="1576C8E9" w14:textId="77777777" w:rsidR="00F64AED" w:rsidRPr="00E14121" w:rsidRDefault="00F64AED" w:rsidP="00F64AED">
      <w:pPr>
        <w:pStyle w:val="aa"/>
        <w:bidi/>
        <w:rPr>
          <w:rFonts w:ascii="Narkisim" w:hAnsi="Narkisim"/>
        </w:rPr>
      </w:pPr>
      <w:r w:rsidRPr="00E14121">
        <w:rPr>
          <w:rFonts w:ascii="Narkisim" w:hAnsi="Narkisim"/>
          <w:u w:val="single"/>
          <w:rtl/>
        </w:rPr>
        <w:t>בא"ד (בע"ב) וא"ת כיון דנתיני מדאורייתא מלא תתחתן וכו'.</w:t>
      </w:r>
      <w:r w:rsidRPr="00E14121">
        <w:rPr>
          <w:rFonts w:ascii="Narkisim" w:hAnsi="Narkisim"/>
          <w:rtl/>
        </w:rPr>
        <w:t xml:space="preserve"> תוס' הק' דאיסור לא תתחתן לא כתיב 'קהל', א"כ מנ"ל דמותר במשוחרר [למ"ד דקהל גרים לא איקרי קהל]. ותוס' תי' דילפי' משאר פסולי קהל.</w:t>
      </w:r>
    </w:p>
    <w:p w14:paraId="090658A2" w14:textId="77777777" w:rsidR="00F64AED" w:rsidRPr="00E14121" w:rsidRDefault="00F64AED" w:rsidP="00F64AED">
      <w:pPr>
        <w:bidi/>
        <w:rPr>
          <w:rFonts w:ascii="Narkisim" w:hAnsi="Narkisim" w:cs="Narkisim"/>
        </w:rPr>
      </w:pPr>
      <w:r w:rsidRPr="00E14121">
        <w:rPr>
          <w:rFonts w:ascii="Narkisim" w:hAnsi="Narkisim" w:cs="Narkisim"/>
          <w:u w:val="single"/>
          <w:rtl/>
        </w:rPr>
        <w:t>בא"ד ובשפחה אסור משום לא יהיה קדש</w:t>
      </w:r>
      <w:r w:rsidRPr="00E14121">
        <w:rPr>
          <w:rStyle w:val="ac"/>
          <w:rFonts w:ascii="Narkisim" w:hAnsi="Narkisim" w:cs="Narkisim"/>
          <w:u w:val="single"/>
          <w:rtl/>
        </w:rPr>
        <w:footnoteReference w:id="4811"/>
      </w:r>
      <w:r w:rsidRPr="00E14121">
        <w:rPr>
          <w:rFonts w:ascii="Narkisim" w:hAnsi="Narkisim" w:cs="Narkisim"/>
          <w:u w:val="single"/>
          <w:rtl/>
        </w:rPr>
        <w:t xml:space="preserve"> וכו'.</w:t>
      </w:r>
      <w:r w:rsidRPr="00E14121">
        <w:rPr>
          <w:rFonts w:ascii="Narkisim" w:hAnsi="Narkisim" w:cs="Narkisim"/>
          <w:rtl/>
        </w:rPr>
        <w:t xml:space="preserve"> </w:t>
      </w:r>
      <w:r w:rsidRPr="00E14121">
        <w:rPr>
          <w:rFonts w:ascii="Narkisim" w:hAnsi="Narkisim" w:cs="Narkisim"/>
          <w:szCs w:val="20"/>
          <w:rtl/>
        </w:rPr>
        <w:t>ו</w:t>
      </w:r>
      <w:r w:rsidRPr="00E14121">
        <w:rPr>
          <w:rFonts w:ascii="Narkisim" w:hAnsi="Narkisim" w:cs="Narkisim"/>
          <w:b/>
          <w:bCs/>
          <w:szCs w:val="20"/>
          <w:rtl/>
        </w:rPr>
        <w:t>תוס'</w:t>
      </w:r>
      <w:r w:rsidRPr="00E14121">
        <w:rPr>
          <w:rFonts w:ascii="Narkisim" w:hAnsi="Narkisim" w:cs="Narkisim"/>
          <w:szCs w:val="20"/>
          <w:rtl/>
        </w:rPr>
        <w:t xml:space="preserve"> פי' דכיון דלא תפסי קידושין לא ילפי' עבדים [דלא יהא קדש] מפסולי קהל. [ועד"ז כת' תוס' גיטין מא. וב"ב יג.]. </w:t>
      </w:r>
      <w:r w:rsidRPr="00E14121">
        <w:rPr>
          <w:rFonts w:ascii="Narkisim" w:hAnsi="Narkisim" w:cs="Narkisim"/>
          <w:rtl/>
        </w:rPr>
        <w:t>אבל ה</w:t>
      </w:r>
      <w:r w:rsidRPr="00E14121">
        <w:rPr>
          <w:rFonts w:ascii="Narkisim" w:hAnsi="Narkisim" w:cs="Narkisim"/>
          <w:b/>
          <w:bCs/>
          <w:rtl/>
        </w:rPr>
        <w:t>בי"ש</w:t>
      </w:r>
      <w:r w:rsidRPr="00E14121">
        <w:rPr>
          <w:rFonts w:ascii="Narkisim" w:hAnsi="Narkisim" w:cs="Narkisim"/>
          <w:rtl/>
        </w:rPr>
        <w:t xml:space="preserve"> (ד לה) כתב דלדעת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(איסו"ב יב יא,יג)</w:t>
      </w:r>
      <w:r w:rsidRPr="00E14121">
        <w:rPr>
          <w:rFonts w:ascii="Narkisim" w:hAnsi="Narkisim" w:cs="Narkisim"/>
          <w:rtl/>
        </w:rPr>
        <w:t xml:space="preserve"> דאיסור ישראל בשפחה הוה דרבנן, א"כ גר עמוני מותר בשפחה. [וב</w:t>
      </w:r>
      <w:r w:rsidRPr="00E14121">
        <w:rPr>
          <w:rFonts w:ascii="Narkisim" w:hAnsi="Narkisim" w:cs="Narkisim"/>
          <w:b/>
          <w:bCs/>
          <w:rtl/>
        </w:rPr>
        <w:t>חלק"מ</w:t>
      </w:r>
      <w:r w:rsidRPr="00E14121">
        <w:rPr>
          <w:rFonts w:ascii="Narkisim" w:hAnsi="Narkisim" w:cs="Narkisim"/>
          <w:rtl/>
        </w:rPr>
        <w:t xml:space="preserve"> (ד כב) נסתפק בזה]. וה</w:t>
      </w:r>
      <w:r w:rsidRPr="00E14121">
        <w:rPr>
          <w:rFonts w:ascii="Narkisim" w:hAnsi="Narkisim" w:cs="Narkisim"/>
          <w:b/>
          <w:bCs/>
          <w:rtl/>
        </w:rPr>
        <w:t>שעה"מ</w:t>
      </w:r>
      <w:r w:rsidRPr="00E14121">
        <w:rPr>
          <w:rFonts w:ascii="Narkisim" w:hAnsi="Narkisim" w:cs="Narkisim"/>
          <w:rtl/>
        </w:rPr>
        <w:t xml:space="preserve"> </w:t>
      </w:r>
      <w:r w:rsidRPr="00E14121">
        <w:rPr>
          <w:rFonts w:ascii="Narkisim" w:hAnsi="Narkisim" w:cs="Narkisim"/>
          <w:szCs w:val="20"/>
          <w:rtl/>
        </w:rPr>
        <w:t>(איסו"ב טו ד, הו' בפתח"ת שם כה)</w:t>
      </w:r>
      <w:r w:rsidRPr="00E14121">
        <w:rPr>
          <w:rFonts w:ascii="Narkisim" w:hAnsi="Narkisim" w:cs="Narkisim"/>
          <w:rtl/>
        </w:rPr>
        <w:t xml:space="preserve"> הביא דה</w:t>
      </w:r>
      <w:r w:rsidRPr="00E14121">
        <w:rPr>
          <w:rFonts w:ascii="Narkisim" w:hAnsi="Narkisim" w:cs="Narkisim"/>
          <w:b/>
          <w:bCs/>
          <w:rtl/>
        </w:rPr>
        <w:t>רשב"א</w:t>
      </w:r>
      <w:r w:rsidRPr="00E14121">
        <w:rPr>
          <w:rFonts w:ascii="Narkisim" w:hAnsi="Narkisim" w:cs="Narkisim"/>
          <w:rtl/>
        </w:rPr>
        <w:t xml:space="preserve"> (לעיל עז:) מבואר דמצרי מותר בשפחה</w:t>
      </w:r>
      <w:r w:rsidRPr="00E14121">
        <w:rPr>
          <w:rStyle w:val="ac"/>
          <w:rFonts w:ascii="Narkisim" w:hAnsi="Narkisim" w:cs="Narkisim"/>
          <w:rtl/>
        </w:rPr>
        <w:footnoteReference w:id="4812"/>
      </w:r>
      <w:r w:rsidRPr="00E14121">
        <w:rPr>
          <w:rFonts w:ascii="Narkisim" w:hAnsi="Narkisim" w:cs="Narkisim"/>
          <w:rtl/>
        </w:rPr>
        <w:t>, ואף דס"ל דאיסור שפחה דאורי'. מ"מ פסולי קהל לא נאסרו בזה, וכקושיית התוס'.</w:t>
      </w:r>
    </w:p>
    <w:p w14:paraId="5382E4FD" w14:textId="77777777" w:rsidR="00F64AED" w:rsidRPr="00E14121" w:rsidRDefault="00F64AED" w:rsidP="00F64AED">
      <w:pPr>
        <w:pStyle w:val="3"/>
        <w:bidi/>
        <w:rPr>
          <w:rFonts w:ascii="Narkisim" w:hAnsi="Narkisim"/>
        </w:rPr>
      </w:pPr>
      <w:r w:rsidRPr="00E14121">
        <w:rPr>
          <w:rFonts w:ascii="Narkisim" w:hAnsi="Narkisim"/>
          <w:rtl/>
        </w:rPr>
        <w:t>דף עט:</w:t>
      </w:r>
    </w:p>
    <w:p w14:paraId="5F97A935" w14:textId="77777777" w:rsidR="00F64AED" w:rsidRPr="00E14121" w:rsidRDefault="00F64AED" w:rsidP="00F64AED">
      <w:pPr>
        <w:pStyle w:val="aa"/>
        <w:bidi/>
        <w:rPr>
          <w:rFonts w:ascii="Narkisim" w:hAnsi="Narkisim"/>
        </w:rPr>
      </w:pPr>
      <w:r w:rsidRPr="00E14121">
        <w:rPr>
          <w:rFonts w:ascii="Narkisim" w:hAnsi="Narkisim"/>
          <w:u w:val="single"/>
          <w:rtl/>
        </w:rPr>
        <w:t>בימי רבי בקשו להתיר נתינים וכו'</w:t>
      </w:r>
      <w:r w:rsidRPr="00E14121">
        <w:rPr>
          <w:rFonts w:ascii="Narkisim" w:hAnsi="Narkisim"/>
          <w:rtl/>
        </w:rPr>
        <w:t>. לדברי ר"ת הנידון להתיר את השעבוד. ובזה שפיר כת' תוס' דמהני הפקר בי"ד. אבל לפ</w:t>
      </w:r>
      <w:r w:rsidRPr="00E14121">
        <w:rPr>
          <w:rFonts w:ascii="Narkisim" w:hAnsi="Narkisim"/>
          <w:b/>
          <w:bCs/>
          <w:rtl/>
        </w:rPr>
        <w:t>רש"י</w:t>
      </w:r>
      <w:r w:rsidRPr="00E14121">
        <w:rPr>
          <w:rFonts w:ascii="Narkisim" w:hAnsi="Narkisim"/>
          <w:rtl/>
        </w:rPr>
        <w:t xml:space="preserve"> הנידון להתיר את האיסור חיתון. וצ"ב האיך באו להתיר, וכה"ק ה</w:t>
      </w:r>
      <w:r w:rsidRPr="00E14121">
        <w:rPr>
          <w:rFonts w:ascii="Narkisim" w:hAnsi="Narkisim"/>
          <w:b/>
          <w:bCs/>
          <w:rtl/>
        </w:rPr>
        <w:t>רמב"ן</w:t>
      </w:r>
      <w:r w:rsidRPr="00E14121">
        <w:rPr>
          <w:rFonts w:ascii="Narkisim" w:hAnsi="Narkisim"/>
          <w:rtl/>
        </w:rPr>
        <w:t>.</w:t>
      </w:r>
    </w:p>
    <w:p w14:paraId="5843344A"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(בע"א) עמדו בזה, וכת' דלמש"כ [בדעת רש"י] דלא הוה עבדות ממש, אלא דאין נכון שיתחתנו בהם כיון דנראין כעבדים. ותוס' כת' דניחא השתא קו' הגמ', דע"י שיפקיעו השעבוד ע"י כן יהא מותר להתחתן</w:t>
      </w:r>
      <w:r w:rsidRPr="00E14121">
        <w:rPr>
          <w:rStyle w:val="ac"/>
          <w:rFonts w:ascii="Narkisim" w:hAnsi="Narkisim"/>
          <w:rtl/>
        </w:rPr>
        <w:footnoteReference w:id="4813"/>
      </w:r>
      <w:r w:rsidRPr="00E14121">
        <w:rPr>
          <w:rFonts w:ascii="Narkisim" w:hAnsi="Narkisim"/>
          <w:rtl/>
        </w:rPr>
        <w:t>.</w:t>
      </w:r>
    </w:p>
    <w:p w14:paraId="2539D326"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כת' דכך גזרו עליהן שיהו חוטבי עצים ושואבי מים, וישראל משתמשין בהם כעבדים. אלא דכוונו בכך אלא כדי שלא יהו חוזרים ומתגיירין ומיטמעין בישראל. ובימי רבי רצו להתיר חלק שעבודם ולקבל מהם גירות. ועוד פי' הרמב"ן כיון דהך איסור הוה מחמת קנס שקנסום דוד, אם ראו בי"ד שראוי לרחם עליהן יכולין היו לקרבן, ואין זה כמבטל דברי בי"ד חבירו.</w:t>
      </w:r>
    </w:p>
    <w:p w14:paraId="36663198" w14:textId="77777777" w:rsidR="00F64AED" w:rsidRPr="00E14121" w:rsidRDefault="00F64AED" w:rsidP="00F64AED">
      <w:pPr>
        <w:pStyle w:val="aa"/>
        <w:bidi/>
        <w:rPr>
          <w:rFonts w:ascii="Narkisim" w:hAnsi="Narkisim"/>
        </w:rPr>
      </w:pPr>
      <w:r w:rsidRPr="00E14121">
        <w:rPr>
          <w:rFonts w:ascii="Narkisim" w:hAnsi="Narkisim"/>
          <w:u w:val="single"/>
          <w:rtl/>
        </w:rPr>
        <w:t>חלק מזבח מי יתיר</w:t>
      </w:r>
      <w:r w:rsidRPr="00E14121">
        <w:rPr>
          <w:rFonts w:ascii="Narkisim" w:hAnsi="Narkisim"/>
          <w:rtl/>
        </w:rPr>
        <w:t xml:space="preserve">. </w:t>
      </w:r>
      <w:r w:rsidRPr="00E14121">
        <w:rPr>
          <w:rFonts w:ascii="Narkisim" w:hAnsi="Narkisim"/>
          <w:b/>
          <w:bCs/>
          <w:rtl/>
        </w:rPr>
        <w:t>תוס'</w:t>
      </w:r>
      <w:r w:rsidRPr="00E14121">
        <w:rPr>
          <w:rFonts w:ascii="Narkisim" w:hAnsi="Narkisim"/>
          <w:rtl/>
        </w:rPr>
        <w:t xml:space="preserve"> (בע"א) מבואר [לב' הפי'] דהיינו שעבוד לעבוד למזבח</w:t>
      </w:r>
      <w:r w:rsidRPr="00E14121">
        <w:rPr>
          <w:rStyle w:val="ac"/>
          <w:rFonts w:ascii="Narkisim" w:hAnsi="Narkisim"/>
          <w:rtl/>
        </w:rPr>
        <w:footnoteReference w:id="4814"/>
      </w:r>
      <w:r w:rsidRPr="00E14121">
        <w:rPr>
          <w:rFonts w:ascii="Narkisim" w:hAnsi="Narkisim"/>
          <w:rtl/>
        </w:rPr>
        <w:t>. אבל ה</w:t>
      </w:r>
      <w:r w:rsidRPr="00E14121">
        <w:rPr>
          <w:rFonts w:ascii="Narkisim" w:hAnsi="Narkisim"/>
          <w:b/>
          <w:bCs/>
          <w:rtl/>
        </w:rPr>
        <w:t>מהרש"א</w:t>
      </w:r>
      <w:r w:rsidRPr="00E14121">
        <w:rPr>
          <w:rFonts w:ascii="Narkisim" w:hAnsi="Narkisim"/>
          <w:rtl/>
        </w:rPr>
        <w:t xml:space="preserve"> (כתובות כט.) כת' דלדעת רש"י כוונת הגמ' דל"ש הפקר בי"ד על איסור שפחה. [וחלק מזבח היינו קנין האיסור]. וה</w:t>
      </w:r>
      <w:r w:rsidRPr="00E14121">
        <w:rPr>
          <w:rFonts w:ascii="Narkisim" w:hAnsi="Narkisim"/>
          <w:b/>
          <w:bCs/>
          <w:rtl/>
        </w:rPr>
        <w:t>אחרונים</w:t>
      </w:r>
      <w:r w:rsidRPr="00E14121">
        <w:rPr>
          <w:rFonts w:ascii="Narkisim" w:hAnsi="Narkisim"/>
          <w:rtl/>
        </w:rPr>
        <w:t xml:space="preserve"> (שם) הק' דמשמע בסוגיין דקאי אשעבוד מזבח</w:t>
      </w:r>
      <w:r w:rsidRPr="00E14121">
        <w:rPr>
          <w:rStyle w:val="ac"/>
          <w:rFonts w:ascii="Narkisim" w:hAnsi="Narkisim"/>
          <w:rtl/>
        </w:rPr>
        <w:footnoteReference w:id="4815"/>
      </w:r>
      <w:r w:rsidRPr="00E14121">
        <w:rPr>
          <w:rFonts w:ascii="Narkisim" w:hAnsi="Narkisim"/>
          <w:rtl/>
        </w:rPr>
        <w:t>.</w:t>
      </w:r>
    </w:p>
    <w:p w14:paraId="0989776D" w14:textId="77777777" w:rsidR="00F64AED" w:rsidRPr="00E14121" w:rsidRDefault="00F64AED" w:rsidP="00F64AED">
      <w:pPr>
        <w:pStyle w:val="aa"/>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(כתובות כט.) כת' דאע"ג דקי"ל הפקר בי"ד היה הפקר [אף בחלק המזבח], היינו לצורך. אבל זה אינו צורך כל כך. [ופשיט"ל לתוס' דמהני הפקר בי"ד אף בממון הקדש</w:t>
      </w:r>
      <w:r w:rsidRPr="00E14121">
        <w:rPr>
          <w:rStyle w:val="ac"/>
          <w:rFonts w:ascii="Narkisim" w:hAnsi="Narkisim"/>
          <w:rtl/>
        </w:rPr>
        <w:footnoteReference w:id="4816"/>
      </w:r>
      <w:r w:rsidRPr="00E14121">
        <w:rPr>
          <w:rFonts w:ascii="Narkisim" w:hAnsi="Narkisim"/>
          <w:rtl/>
        </w:rPr>
        <w:t>].</w:t>
      </w:r>
    </w:p>
    <w:p w14:paraId="79B756F4" w14:textId="77777777" w:rsidR="00F64AED" w:rsidRPr="00E14121" w:rsidRDefault="00F64AED" w:rsidP="00F64AED">
      <w:pPr>
        <w:pStyle w:val="aa"/>
        <w:bidi/>
        <w:rPr>
          <w:rFonts w:ascii="Narkisim" w:hAnsi="Narkisim"/>
        </w:rPr>
      </w:pPr>
      <w:r w:rsidRPr="00E14121">
        <w:rPr>
          <w:rFonts w:ascii="Narkisim" w:hAnsi="Narkisim"/>
          <w:u w:val="single"/>
          <w:rtl/>
        </w:rPr>
        <w:t>תוד"ה בימי.</w:t>
      </w:r>
      <w:r w:rsidRPr="00E14121">
        <w:rPr>
          <w:rFonts w:ascii="Narkisim" w:hAnsi="Narkisim"/>
          <w:rtl/>
        </w:rPr>
        <w:t xml:space="preserve"> אין זה מבטל דברי בי"ד חבירו דהפקר בי"ד הפקר. וכ"כ </w:t>
      </w:r>
      <w:r w:rsidRPr="00E14121">
        <w:rPr>
          <w:rFonts w:ascii="Narkisim" w:hAnsi="Narkisim"/>
          <w:b/>
          <w:bCs/>
          <w:rtl/>
        </w:rPr>
        <w:t>רש"י.</w:t>
      </w:r>
      <w:r w:rsidRPr="00E14121">
        <w:rPr>
          <w:rFonts w:ascii="Narkisim" w:hAnsi="Narkisim"/>
          <w:rtl/>
        </w:rPr>
        <w:t xml:space="preserve"> וה</w:t>
      </w:r>
      <w:r w:rsidRPr="00E14121">
        <w:rPr>
          <w:rFonts w:ascii="Narkisim" w:hAnsi="Narkisim"/>
          <w:b/>
          <w:bCs/>
          <w:rtl/>
        </w:rPr>
        <w:t>ריטב"א</w:t>
      </w:r>
      <w:r w:rsidRPr="00E14121">
        <w:rPr>
          <w:rFonts w:ascii="Narkisim" w:hAnsi="Narkisim"/>
          <w:rtl/>
        </w:rPr>
        <w:t xml:space="preserve"> ביאר דמפקירים ישראל זכות שיש להם עליהם, וכמפקיר עבדו, וממילא אשתרי איסור חתנות שבהם. ואפי' למ"ד מפקיר עבדו צריך גט שחרור (ע' גיטין לט:), הכא אינם עבדים קנויים אלא כעין עבדים. וה</w:t>
      </w:r>
      <w:r w:rsidRPr="00E14121">
        <w:rPr>
          <w:rFonts w:ascii="Narkisim" w:hAnsi="Narkisim"/>
          <w:b/>
          <w:bCs/>
          <w:rtl/>
        </w:rPr>
        <w:t>רמב"ן</w:t>
      </w:r>
      <w:r w:rsidRPr="00E14121">
        <w:rPr>
          <w:rFonts w:ascii="Narkisim" w:hAnsi="Narkisim"/>
          <w:rtl/>
        </w:rPr>
        <w:t xml:space="preserve"> ו</w:t>
      </w:r>
      <w:r w:rsidRPr="00E14121">
        <w:rPr>
          <w:rFonts w:ascii="Narkisim" w:hAnsi="Narkisim"/>
          <w:b/>
          <w:bCs/>
          <w:rtl/>
        </w:rPr>
        <w:t>רשב"א</w:t>
      </w:r>
      <w:r w:rsidRPr="00E14121">
        <w:rPr>
          <w:rFonts w:ascii="Narkisim" w:hAnsi="Narkisim"/>
          <w:rtl/>
        </w:rPr>
        <w:t xml:space="preserve"> כת' דאף לצד דהוה איסור </w:t>
      </w:r>
      <w:r w:rsidRPr="00E14121">
        <w:rPr>
          <w:rFonts w:ascii="Narkisim" w:hAnsi="Narkisim"/>
          <w:rtl/>
        </w:rPr>
        <w:lastRenderedPageBreak/>
        <w:t>חתנות דרבנן מהני הפקר, דלא גזר איסור בהדיא לבא בקהל, אלא גזרו עבדות, וממילא איפסיל לקהל.</w:t>
      </w:r>
    </w:p>
    <w:p w14:paraId="098FBDFD" w14:textId="77777777" w:rsidR="00F64AED" w:rsidRPr="00E14121" w:rsidRDefault="00F64AED" w:rsidP="00F64AED">
      <w:pPr>
        <w:bidi/>
        <w:rPr>
          <w:rFonts w:ascii="Narkisim" w:hAnsi="Narkisim" w:cs="Narkisim"/>
        </w:rPr>
      </w:pPr>
      <w:r w:rsidRPr="00E14121">
        <w:rPr>
          <w:rFonts w:ascii="Narkisim" w:hAnsi="Narkisim" w:cs="Narkisim"/>
          <w:u w:val="single"/>
          <w:rtl/>
        </w:rPr>
        <w:t>שם. דהפקר בי"ד הפקר</w:t>
      </w:r>
      <w:r w:rsidRPr="00E14121">
        <w:rPr>
          <w:rFonts w:ascii="Narkisim" w:hAnsi="Narkisim" w:cs="Narkisim"/>
          <w:rtl/>
        </w:rPr>
        <w:t>. ה</w:t>
      </w:r>
      <w:r w:rsidRPr="00E14121">
        <w:rPr>
          <w:rFonts w:ascii="Narkisim" w:hAnsi="Narkisim" w:cs="Narkisim"/>
          <w:b/>
          <w:bCs/>
          <w:rtl/>
        </w:rPr>
        <w:t>מג"א</w:t>
      </w:r>
      <w:r w:rsidRPr="00E14121">
        <w:rPr>
          <w:rFonts w:ascii="Narkisim" w:hAnsi="Narkisim" w:cs="Narkisim"/>
          <w:rtl/>
        </w:rPr>
        <w:t xml:space="preserve"> (תרצ כב) הק' דלכאורה משמע (גיטין לו:) גבי פרוזבול דאף ע"י הפקר בי"ד נחשב שהבי"ד השני מבטלים דברי בי"ד הראשון</w:t>
      </w:r>
      <w:r w:rsidRPr="00E14121">
        <w:rPr>
          <w:rStyle w:val="ac"/>
          <w:rFonts w:ascii="Narkisim" w:hAnsi="Narkisim" w:cs="Narkisim"/>
          <w:rtl/>
        </w:rPr>
        <w:footnoteReference w:id="4817"/>
      </w:r>
      <w:r w:rsidRPr="00E14121">
        <w:rPr>
          <w:rFonts w:ascii="Narkisim" w:hAnsi="Narkisim" w:cs="Narkisim"/>
          <w:rtl/>
        </w:rPr>
        <w:t>. וכת' ומיהו י"ל דהתם הוי מילתא דאיסורא, שעי"כ נמנעין מלהלוות.</w:t>
      </w:r>
    </w:p>
    <w:p w14:paraId="6A784363" w14:textId="77777777" w:rsidR="00F64AED" w:rsidRPr="00E14121" w:rsidRDefault="00F64AED" w:rsidP="00F64AED">
      <w:pPr>
        <w:pStyle w:val="aa"/>
        <w:bidi/>
        <w:rPr>
          <w:rFonts w:ascii="Narkisim" w:hAnsi="Narkisim"/>
        </w:rPr>
      </w:pPr>
      <w:r w:rsidRPr="00E14121">
        <w:rPr>
          <w:rFonts w:ascii="Narkisim" w:hAnsi="Narkisim"/>
          <w:u w:val="single"/>
          <w:rtl/>
        </w:rPr>
        <w:t>ופליגא דר"ח בר אבא וכו' חלק מזבח וכו' אין ביהמ"ק קיים שרי</w:t>
      </w:r>
      <w:r w:rsidRPr="00E14121">
        <w:rPr>
          <w:rFonts w:ascii="Narkisim" w:hAnsi="Narkisim"/>
          <w:rtl/>
        </w:rPr>
        <w:t xml:space="preserve">. </w:t>
      </w:r>
      <w:r w:rsidRPr="00E14121">
        <w:rPr>
          <w:rFonts w:ascii="Narkisim" w:hAnsi="Narkisim"/>
          <w:b/>
          <w:bCs/>
          <w:rtl/>
        </w:rPr>
        <w:t>תוס</w:t>
      </w:r>
      <w:r w:rsidRPr="00E14121">
        <w:rPr>
          <w:rFonts w:ascii="Narkisim" w:hAnsi="Narkisim"/>
          <w:rtl/>
        </w:rPr>
        <w:t>' (בע"א) נקטו דמ"מ כשיבנה ביהמ"ק יחזרו לשעבודם. ותוס' ביארו מ"מ יכולים להפקיע עכשיו חלק העדה, ועי"ז שוב לא יחול השעבוד.</w:t>
      </w:r>
    </w:p>
    <w:p w14:paraId="22BE1AD0" w14:textId="77777777" w:rsidR="00F64AED" w:rsidRPr="00E14121" w:rsidRDefault="00F64AED" w:rsidP="00F64AED">
      <w:pPr>
        <w:pStyle w:val="aa"/>
        <w:bidi/>
        <w:rPr>
          <w:rFonts w:ascii="Narkisim" w:hAnsi="Narkisim"/>
        </w:rPr>
      </w:pPr>
      <w:r w:rsidRPr="00E14121">
        <w:rPr>
          <w:rFonts w:ascii="Narkisim" w:hAnsi="Narkisim"/>
          <w:u w:val="single"/>
          <w:rtl/>
        </w:rPr>
        <w:t>חלק העדה לעולם אסור</w:t>
      </w:r>
      <w:r w:rsidRPr="00E14121">
        <w:rPr>
          <w:rFonts w:ascii="Narkisim" w:hAnsi="Narkisim"/>
          <w:rtl/>
        </w:rPr>
        <w:t>. פ</w:t>
      </w:r>
      <w:r w:rsidRPr="00E14121">
        <w:rPr>
          <w:rFonts w:ascii="Narkisim" w:hAnsi="Narkisim"/>
          <w:b/>
          <w:bCs/>
          <w:rtl/>
        </w:rPr>
        <w:t>רש"י</w:t>
      </w:r>
      <w:r w:rsidRPr="00E14121">
        <w:rPr>
          <w:rFonts w:ascii="Narkisim" w:hAnsi="Narkisim"/>
          <w:rtl/>
        </w:rPr>
        <w:t xml:space="preserve"> עד שיתירוהו. [ור' חייא בר אבא לא פליג בחלק העדה]. אבל ה</w:t>
      </w:r>
      <w:r w:rsidRPr="00E14121">
        <w:rPr>
          <w:rFonts w:ascii="Narkisim" w:hAnsi="Narkisim"/>
          <w:b/>
          <w:bCs/>
          <w:rtl/>
        </w:rPr>
        <w:t>ריטב"א</w:t>
      </w:r>
      <w:r w:rsidRPr="00E14121">
        <w:rPr>
          <w:rFonts w:ascii="Narkisim" w:hAnsi="Narkisim"/>
          <w:rtl/>
        </w:rPr>
        <w:t xml:space="preserve"> דייק דפליג אף בזה, דלעולם אסור. דבי"ד של דוד גזרו שלא יתירו.</w:t>
      </w:r>
    </w:p>
    <w:p w14:paraId="72175BFA" w14:textId="77777777" w:rsidR="00F64AED" w:rsidRPr="00E14121" w:rsidRDefault="00F64AED" w:rsidP="00F64AED">
      <w:pPr>
        <w:pStyle w:val="2"/>
        <w:bidi/>
        <w:rPr>
          <w:rFonts w:ascii="Narkisim" w:hAnsi="Narkisim"/>
        </w:rPr>
      </w:pPr>
      <w:r w:rsidRPr="00E14121">
        <w:rPr>
          <w:rFonts w:ascii="Narkisim" w:hAnsi="Narkisim"/>
          <w:rtl/>
        </w:rPr>
        <w:t>סריס</w:t>
      </w:r>
    </w:p>
    <w:p w14:paraId="05306B6D" w14:textId="77777777" w:rsidR="00F64AED" w:rsidRPr="00E14121" w:rsidRDefault="00F64AED" w:rsidP="00F64AED">
      <w:pPr>
        <w:pStyle w:val="aa"/>
        <w:bidi/>
        <w:rPr>
          <w:rFonts w:ascii="Narkisim" w:hAnsi="Narkisim"/>
        </w:rPr>
      </w:pPr>
      <w:r w:rsidRPr="00E14121">
        <w:rPr>
          <w:rFonts w:ascii="Narkisim" w:hAnsi="Narkisim"/>
          <w:u w:val="single"/>
          <w:rtl/>
        </w:rPr>
        <w:t>סריס חמה.</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ממעי אמו. וסריס אדם שנסתרס לאחר שנולד. וכן ה</w:t>
      </w:r>
      <w:r w:rsidRPr="00E14121">
        <w:rPr>
          <w:rFonts w:ascii="Narkisim" w:hAnsi="Narkisim"/>
          <w:b/>
          <w:bCs/>
          <w:rtl/>
        </w:rPr>
        <w:t>רמב"ם</w:t>
      </w:r>
      <w:r w:rsidRPr="00E14121">
        <w:rPr>
          <w:rFonts w:ascii="Narkisim" w:hAnsi="Narkisim"/>
          <w:rtl/>
        </w:rPr>
        <w:t xml:space="preserve"> בפיה"מ פי' סריס חמה דהוה סריס משעה שיצא לאויר העולם. אבל ה</w:t>
      </w:r>
      <w:r w:rsidRPr="00E14121">
        <w:rPr>
          <w:rFonts w:ascii="Narkisim" w:hAnsi="Narkisim"/>
          <w:b/>
          <w:bCs/>
          <w:rtl/>
        </w:rPr>
        <w:t>ערוך</w:t>
      </w:r>
      <w:r w:rsidRPr="00E14121">
        <w:rPr>
          <w:rFonts w:ascii="Narkisim" w:hAnsi="Narkisim"/>
          <w:rtl/>
        </w:rPr>
        <w:t xml:space="preserve"> פי' כגון דנעשית ע"י קדחת של אמו [וכדאיתא בגמ' פ.].</w:t>
      </w:r>
    </w:p>
    <w:p w14:paraId="2D95F3C3"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קר"א</w:t>
      </w:r>
      <w:r w:rsidRPr="00E14121">
        <w:rPr>
          <w:rFonts w:ascii="Narkisim" w:hAnsi="Narkisim"/>
          <w:rtl/>
        </w:rPr>
        <w:t xml:space="preserve"> הביא מה</w:t>
      </w:r>
      <w:r w:rsidRPr="00E14121">
        <w:rPr>
          <w:rFonts w:ascii="Narkisim" w:hAnsi="Narkisim"/>
          <w:b/>
          <w:bCs/>
          <w:rtl/>
        </w:rPr>
        <w:t>ירושלמי</w:t>
      </w:r>
      <w:r w:rsidRPr="00E14121">
        <w:rPr>
          <w:rFonts w:ascii="Narkisim" w:hAnsi="Narkisim"/>
          <w:rtl/>
        </w:rPr>
        <w:t xml:space="preserve"> דאם הושיט ידו למעי אמו וסרסו לא היה לו שעת הכושר</w:t>
      </w:r>
      <w:r w:rsidRPr="00E14121">
        <w:rPr>
          <w:rStyle w:val="ac"/>
          <w:rFonts w:ascii="Narkisim" w:hAnsi="Narkisim"/>
          <w:rtl/>
        </w:rPr>
        <w:footnoteReference w:id="4818"/>
      </w:r>
      <w:r w:rsidRPr="00E14121">
        <w:rPr>
          <w:rFonts w:ascii="Narkisim" w:hAnsi="Narkisim"/>
          <w:rtl/>
        </w:rPr>
        <w:t>. וה</w:t>
      </w:r>
      <w:r w:rsidRPr="00E14121">
        <w:rPr>
          <w:rFonts w:ascii="Narkisim" w:hAnsi="Narkisim"/>
          <w:b/>
          <w:bCs/>
          <w:rtl/>
        </w:rPr>
        <w:t>קר"א</w:t>
      </w:r>
      <w:r w:rsidRPr="00E14121">
        <w:rPr>
          <w:rFonts w:ascii="Narkisim" w:hAnsi="Narkisim"/>
          <w:rtl/>
        </w:rPr>
        <w:t xml:space="preserve"> הקשה דאף קטן אינו מוליד, ואם נסתרס בקטנות אמאי נחשב בר הקמת שם, וע"כ דכל שלא היתה מתחילת בריתו נחשב שעת הכושר.</w:t>
      </w:r>
    </w:p>
    <w:p w14:paraId="6CB55E66" w14:textId="77777777" w:rsidR="00F64AED" w:rsidRPr="00E14121" w:rsidRDefault="00F64AED" w:rsidP="00F64AED">
      <w:pPr>
        <w:bidi/>
        <w:rPr>
          <w:rFonts w:ascii="Narkisim" w:hAnsi="Narkisim" w:cs="Narkisim"/>
        </w:rPr>
      </w:pPr>
      <w:r w:rsidRPr="00E14121">
        <w:rPr>
          <w:rFonts w:ascii="Narkisim" w:hAnsi="Narkisim" w:cs="Narkisim"/>
          <w:u w:val="single"/>
          <w:rtl/>
        </w:rPr>
        <w:t>ר"א יש לו רפואה.</w:t>
      </w:r>
      <w:r w:rsidRPr="00E14121">
        <w:rPr>
          <w:rFonts w:ascii="Narkisim" w:hAnsi="Narkisim" w:cs="Narkisim"/>
          <w:rtl/>
        </w:rPr>
        <w:t xml:space="preserve"> ה</w:t>
      </w:r>
      <w:r w:rsidRPr="00E14121">
        <w:rPr>
          <w:rFonts w:ascii="Narkisim" w:hAnsi="Narkisim" w:cs="Narkisim"/>
          <w:b/>
          <w:bCs/>
          <w:rtl/>
        </w:rPr>
        <w:t>קובה"ע</w:t>
      </w:r>
      <w:r w:rsidRPr="00E14121">
        <w:rPr>
          <w:rFonts w:ascii="Narkisim" w:hAnsi="Narkisim" w:cs="Narkisim"/>
          <w:rtl/>
        </w:rPr>
        <w:t xml:space="preserve"> (ס א) ביאר דמש"ה נחשב 'בר הקמת שם', אלא דפומיה הוא דכאיב ליה</w:t>
      </w:r>
      <w:r w:rsidRPr="00E14121">
        <w:rPr>
          <w:rStyle w:val="ac"/>
          <w:rFonts w:ascii="Narkisim" w:hAnsi="Narkisim" w:cs="Narkisim"/>
          <w:rtl/>
        </w:rPr>
        <w:footnoteReference w:id="4819"/>
      </w:r>
      <w:r w:rsidRPr="00E14121">
        <w:rPr>
          <w:rFonts w:ascii="Narkisim" w:hAnsi="Narkisim" w:cs="Narkisim"/>
          <w:rtl/>
        </w:rPr>
        <w:t>. [וכמ"ש תוס' (כ. ד"ה יבם) דסגי שהיבם ויבמה ראויין להקמת שם]. אבל כשאין לו רפואה נחשב לאו בר הכי.</w:t>
      </w:r>
    </w:p>
    <w:p w14:paraId="04F351BD"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(ח יח) הביא מדברי ה</w:t>
      </w:r>
      <w:r w:rsidRPr="00E14121">
        <w:rPr>
          <w:rFonts w:ascii="Narkisim" w:hAnsi="Narkisim"/>
          <w:b/>
          <w:bCs/>
          <w:rtl/>
        </w:rPr>
        <w:t>רמב"ם</w:t>
      </w:r>
      <w:r w:rsidRPr="00E14121">
        <w:rPr>
          <w:rFonts w:ascii="Narkisim" w:hAnsi="Narkisim"/>
          <w:rtl/>
        </w:rPr>
        <w:t xml:space="preserve"> (איסו"ב א יא) דסריס חמה הוה משמש מת, והקשה ד</w:t>
      </w:r>
      <w:r w:rsidRPr="00E14121">
        <w:rPr>
          <w:rFonts w:ascii="Narkisim" w:hAnsi="Narkisim"/>
          <w:b/>
          <w:bCs/>
          <w:rtl/>
        </w:rPr>
        <w:t>תוס'</w:t>
      </w:r>
      <w:r w:rsidRPr="00E14121">
        <w:rPr>
          <w:rFonts w:ascii="Narkisim" w:hAnsi="Narkisim"/>
          <w:rtl/>
        </w:rPr>
        <w:t xml:space="preserve"> (נג: ד"ה שאנסוהו) כת' דהמשמש מת לא קנה ביבמתו. ודן דמסתבר דאף פצוע דכא הוא כן</w:t>
      </w:r>
      <w:r w:rsidRPr="00E14121">
        <w:rPr>
          <w:rStyle w:val="ac"/>
          <w:rFonts w:ascii="Narkisim" w:hAnsi="Narkisim"/>
          <w:rtl/>
        </w:rPr>
        <w:footnoteReference w:id="4820"/>
      </w:r>
      <w:r w:rsidRPr="00E14121">
        <w:rPr>
          <w:rFonts w:ascii="Narkisim" w:hAnsi="Narkisim"/>
          <w:rtl/>
        </w:rPr>
        <w:t>, וכתב דשמא הרמב"ם לא קאמר אלא במי שנולד כך, ולא שנסתרס אח"כ</w:t>
      </w:r>
      <w:r w:rsidRPr="00E14121">
        <w:rPr>
          <w:rStyle w:val="ac"/>
          <w:rFonts w:ascii="Narkisim" w:hAnsi="Narkisim"/>
          <w:rtl/>
        </w:rPr>
        <w:footnoteReference w:id="4821"/>
      </w:r>
      <w:r w:rsidRPr="00E14121">
        <w:rPr>
          <w:rFonts w:ascii="Narkisim" w:hAnsi="Narkisim"/>
          <w:rtl/>
        </w:rPr>
        <w:t>.</w:t>
      </w:r>
    </w:p>
    <w:p w14:paraId="05937BAE" w14:textId="77777777" w:rsidR="00F64AED" w:rsidRPr="00E14121" w:rsidRDefault="00F64AED" w:rsidP="00F64AED">
      <w:pPr>
        <w:bidi/>
        <w:rPr>
          <w:rFonts w:ascii="Narkisim" w:hAnsi="Narkisim" w:cs="Narkisim"/>
        </w:rPr>
      </w:pPr>
      <w:r w:rsidRPr="00E14121">
        <w:rPr>
          <w:rFonts w:ascii="Narkisim" w:hAnsi="Narkisim" w:cs="Narkisim"/>
          <w:u w:val="single"/>
          <w:rtl/>
        </w:rPr>
        <w:t>מכדי שמעינן לר"ע וכו' וחייבי כריתות לאו בני חליצה ויבום וכו'.</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דסריס אדם מחייבי לאוין, דהוה פצוע דכא</w:t>
      </w:r>
      <w:r w:rsidRPr="00E14121">
        <w:rPr>
          <w:rStyle w:val="ac"/>
          <w:rFonts w:ascii="Narkisim" w:hAnsi="Narkisim" w:cs="Narkisim"/>
          <w:rtl/>
        </w:rPr>
        <w:footnoteReference w:id="4822"/>
      </w:r>
      <w:r w:rsidRPr="00E14121">
        <w:rPr>
          <w:rFonts w:ascii="Narkisim" w:hAnsi="Narkisim" w:cs="Narkisim"/>
          <w:rtl/>
        </w:rPr>
        <w:t xml:space="preserve"> וכו'. ופ</w:t>
      </w:r>
      <w:r w:rsidRPr="00E14121">
        <w:rPr>
          <w:rFonts w:ascii="Narkisim" w:hAnsi="Narkisim" w:cs="Narkisim"/>
          <w:b/>
          <w:bCs/>
          <w:rtl/>
        </w:rPr>
        <w:t>רש"י</w:t>
      </w:r>
      <w:r w:rsidRPr="00E14121">
        <w:rPr>
          <w:rFonts w:ascii="Narkisim" w:hAnsi="Narkisim" w:cs="Narkisim"/>
          <w:rtl/>
        </w:rPr>
        <w:t xml:space="preserve"> [דכיון דאסורה על היבם] לא רמי קמיה ואבראי קאי, וקאי באיסור אשת אח</w:t>
      </w:r>
      <w:r w:rsidRPr="00E14121">
        <w:rPr>
          <w:rStyle w:val="ac"/>
          <w:rFonts w:ascii="Narkisim" w:hAnsi="Narkisim" w:cs="Narkisim"/>
          <w:rtl/>
        </w:rPr>
        <w:footnoteReference w:id="4823"/>
      </w:r>
      <w:r w:rsidRPr="00E14121">
        <w:rPr>
          <w:rFonts w:ascii="Narkisim" w:hAnsi="Narkisim" w:cs="Narkisim"/>
          <w:rtl/>
        </w:rPr>
        <w:t>.</w:t>
      </w:r>
    </w:p>
    <w:p w14:paraId="05FC88A6" w14:textId="77777777" w:rsidR="00F64AED" w:rsidRPr="00E14121" w:rsidRDefault="00F64AED" w:rsidP="00F64AED">
      <w:pPr>
        <w:pStyle w:val="a7"/>
        <w:bidi/>
        <w:rPr>
          <w:rFonts w:ascii="Narkisim" w:hAnsi="Narkisim"/>
        </w:rPr>
      </w:pPr>
      <w:r w:rsidRPr="00E14121">
        <w:rPr>
          <w:rFonts w:ascii="Narkisim" w:hAnsi="Narkisim"/>
          <w:rtl/>
        </w:rPr>
        <w:t>אבל ב</w:t>
      </w:r>
      <w:r w:rsidRPr="00E14121">
        <w:rPr>
          <w:rFonts w:ascii="Narkisim" w:hAnsi="Narkisim"/>
          <w:b/>
          <w:bCs/>
          <w:rtl/>
        </w:rPr>
        <w:t>תוס' הרא"ש</w:t>
      </w:r>
      <w:r w:rsidRPr="00E14121">
        <w:rPr>
          <w:rFonts w:ascii="Narkisim" w:hAnsi="Narkisim"/>
          <w:rtl/>
        </w:rPr>
        <w:t xml:space="preserve"> כת' דקושיית הגמ' דלא תפסי קידושין [דראשון], ולא היתה אשת אחיו מעולם. דמשמע דאיירי דהיה פצוע מעיקרא. והתוס' רא"ש כת' דמשמע ליה ל</w:t>
      </w:r>
      <w:r w:rsidRPr="00E14121">
        <w:rPr>
          <w:rFonts w:ascii="Narkisim" w:hAnsi="Narkisim"/>
          <w:b/>
          <w:bCs/>
          <w:rtl/>
        </w:rPr>
        <w:t>רש"י</w:t>
      </w:r>
      <w:r w:rsidRPr="00E14121">
        <w:rPr>
          <w:rFonts w:ascii="Narkisim" w:hAnsi="Narkisim"/>
          <w:rtl/>
        </w:rPr>
        <w:t xml:space="preserve"> דיל"פ דנעשה סריס לאחר שנשאה</w:t>
      </w:r>
      <w:r w:rsidRPr="00E14121">
        <w:rPr>
          <w:rStyle w:val="ac"/>
          <w:rFonts w:ascii="Narkisim" w:hAnsi="Narkisim"/>
          <w:rtl/>
        </w:rPr>
        <w:footnoteReference w:id="4824"/>
      </w:r>
      <w:r w:rsidRPr="00E14121">
        <w:rPr>
          <w:rFonts w:ascii="Narkisim" w:hAnsi="Narkisim"/>
          <w:rtl/>
        </w:rPr>
        <w:t>. דתפסי קידושין בהיתר ואח"כ נאסר. וכשנפצע לא פקע קידושין</w:t>
      </w:r>
      <w:r w:rsidRPr="00E14121">
        <w:rPr>
          <w:rStyle w:val="ac"/>
          <w:rFonts w:ascii="Narkisim" w:hAnsi="Narkisim"/>
          <w:rtl/>
        </w:rPr>
        <w:footnoteReference w:id="4825"/>
      </w:r>
      <w:r w:rsidRPr="00E14121">
        <w:rPr>
          <w:rFonts w:ascii="Narkisim" w:hAnsi="Narkisim"/>
          <w:rtl/>
        </w:rPr>
        <w:t>.</w:t>
      </w:r>
    </w:p>
    <w:p w14:paraId="4412F1E4" w14:textId="77777777" w:rsidR="00F64AED" w:rsidRPr="00E14121" w:rsidRDefault="00F64AED" w:rsidP="00F64AED">
      <w:pPr>
        <w:bidi/>
        <w:rPr>
          <w:rFonts w:ascii="Narkisim" w:hAnsi="Narkisim" w:cs="Narkisim"/>
        </w:rPr>
      </w:pPr>
      <w:r w:rsidRPr="00E14121">
        <w:rPr>
          <w:rFonts w:ascii="Narkisim" w:hAnsi="Narkisim" w:cs="Narkisim"/>
          <w:rtl/>
        </w:rPr>
        <w:t>ו</w:t>
      </w:r>
      <w:r w:rsidRPr="00E14121">
        <w:rPr>
          <w:rFonts w:ascii="Narkisim" w:hAnsi="Narkisim" w:cs="Narkisim"/>
          <w:b/>
          <w:bCs/>
          <w:rtl/>
        </w:rPr>
        <w:t>רע"א</w:t>
      </w:r>
      <w:r w:rsidRPr="00E14121">
        <w:rPr>
          <w:rFonts w:ascii="Narkisim" w:hAnsi="Narkisim" w:cs="Narkisim"/>
          <w:rtl/>
        </w:rPr>
        <w:t xml:space="preserve"> (לעיל מט:) הקשה כיון דהוה חייבי לאוין, נימא דיפקע הקידושין לדעת ר"ע בשעה שיש איסור פצו"ד. ע"פ הא דמשמע מדברי </w:t>
      </w:r>
      <w:r w:rsidRPr="00E14121">
        <w:rPr>
          <w:rFonts w:ascii="Narkisim" w:hAnsi="Narkisim" w:cs="Narkisim"/>
          <w:b/>
          <w:bCs/>
          <w:rtl/>
        </w:rPr>
        <w:t>רש"י</w:t>
      </w:r>
      <w:r w:rsidRPr="00E14121">
        <w:rPr>
          <w:rFonts w:ascii="Narkisim" w:hAnsi="Narkisim" w:cs="Narkisim"/>
          <w:rtl/>
        </w:rPr>
        <w:t xml:space="preserve"> (לעיל מט:) דאילו נעשית ערוה פקע קידושיה</w:t>
      </w:r>
      <w:r w:rsidRPr="00E14121">
        <w:rPr>
          <w:rStyle w:val="ac"/>
          <w:rFonts w:ascii="Narkisim" w:hAnsi="Narkisim" w:cs="Narkisim"/>
          <w:rtl/>
        </w:rPr>
        <w:footnoteReference w:id="4826"/>
      </w:r>
      <w:r w:rsidRPr="00E14121">
        <w:rPr>
          <w:rFonts w:ascii="Narkisim" w:hAnsi="Narkisim" w:cs="Narkisim"/>
          <w:rtl/>
        </w:rPr>
        <w:t xml:space="preserve">, וא"כ אף חייבי לאוין לר"ע. וצע"ג. </w:t>
      </w:r>
      <w:r w:rsidRPr="00E14121">
        <w:rPr>
          <w:rFonts w:ascii="Narkisim" w:hAnsi="Narkisim" w:cs="Narkisim"/>
          <w:sz w:val="20"/>
          <w:szCs w:val="20"/>
          <w:rtl/>
        </w:rPr>
        <w:t>ו</w:t>
      </w:r>
      <w:r w:rsidRPr="00E14121">
        <w:rPr>
          <w:rFonts w:ascii="Narkisim" w:hAnsi="Narkisim" w:cs="Narkisim"/>
          <w:b/>
          <w:bCs/>
          <w:sz w:val="20"/>
          <w:szCs w:val="20"/>
          <w:rtl/>
        </w:rPr>
        <w:t>רע"א</w:t>
      </w:r>
      <w:r w:rsidRPr="00E14121">
        <w:rPr>
          <w:rFonts w:ascii="Narkisim" w:hAnsi="Narkisim" w:cs="Narkisim"/>
          <w:sz w:val="20"/>
          <w:szCs w:val="20"/>
          <w:rtl/>
        </w:rPr>
        <w:t xml:space="preserve"> הוכיח מקו' זו דכוונת רש"י (שם) באופ"א, וע' </w:t>
      </w:r>
      <w:r w:rsidRPr="00E14121">
        <w:rPr>
          <w:rFonts w:ascii="Narkisim" w:hAnsi="Narkisim" w:cs="Narkisim"/>
          <w:b/>
          <w:bCs/>
          <w:sz w:val="20"/>
          <w:szCs w:val="20"/>
          <w:rtl/>
        </w:rPr>
        <w:lastRenderedPageBreak/>
        <w:t>תוס</w:t>
      </w:r>
      <w:r w:rsidRPr="00E14121">
        <w:rPr>
          <w:rFonts w:ascii="Narkisim" w:hAnsi="Narkisim" w:cs="Narkisim"/>
          <w:sz w:val="20"/>
          <w:szCs w:val="20"/>
          <w:rtl/>
        </w:rPr>
        <w:t>' (קידושין סח.). אך ה</w:t>
      </w:r>
      <w:r w:rsidRPr="00E14121">
        <w:rPr>
          <w:rFonts w:ascii="Narkisim" w:hAnsi="Narkisim" w:cs="Narkisim"/>
          <w:b/>
          <w:bCs/>
          <w:sz w:val="20"/>
          <w:szCs w:val="20"/>
          <w:rtl/>
        </w:rPr>
        <w:t>רמב"ן</w:t>
      </w:r>
      <w:r w:rsidRPr="00E14121">
        <w:rPr>
          <w:rFonts w:ascii="Narkisim" w:hAnsi="Narkisim" w:cs="Narkisim"/>
          <w:sz w:val="20"/>
          <w:szCs w:val="20"/>
          <w:rtl/>
        </w:rPr>
        <w:t xml:space="preserve"> ו</w:t>
      </w:r>
      <w:r w:rsidRPr="00E14121">
        <w:rPr>
          <w:rFonts w:ascii="Narkisim" w:hAnsi="Narkisim" w:cs="Narkisim"/>
          <w:b/>
          <w:bCs/>
          <w:sz w:val="20"/>
          <w:szCs w:val="20"/>
          <w:rtl/>
        </w:rPr>
        <w:t>תוס</w:t>
      </w:r>
      <w:r w:rsidRPr="00E14121">
        <w:rPr>
          <w:rFonts w:ascii="Narkisim" w:hAnsi="Narkisim" w:cs="Narkisim"/>
          <w:sz w:val="20"/>
          <w:szCs w:val="20"/>
          <w:rtl/>
        </w:rPr>
        <w:t>' (לעיל מט:) נקטו בדעת רש"י דפקע הקידושין כשנעשית ערוה</w:t>
      </w:r>
      <w:r w:rsidRPr="00E14121">
        <w:rPr>
          <w:rFonts w:ascii="Narkisim" w:hAnsi="Narkisim" w:cs="Narkisim"/>
          <w:rtl/>
        </w:rPr>
        <w:t>.</w:t>
      </w:r>
    </w:p>
    <w:p w14:paraId="25D68A67" w14:textId="77777777" w:rsidR="00F64AED" w:rsidRPr="00E14121" w:rsidRDefault="00F64AED" w:rsidP="00F64AED">
      <w:pPr>
        <w:pStyle w:val="a7"/>
        <w:bidi/>
        <w:rPr>
          <w:rFonts w:ascii="Narkisim" w:hAnsi="Narkisim"/>
        </w:rPr>
      </w:pPr>
      <w:r w:rsidRPr="00E14121">
        <w:rPr>
          <w:rFonts w:ascii="Narkisim" w:hAnsi="Narkisim"/>
          <w:rtl/>
        </w:rPr>
        <w:t xml:space="preserve">ויש </w:t>
      </w:r>
      <w:r w:rsidRPr="00E14121">
        <w:rPr>
          <w:rFonts w:ascii="Narkisim" w:hAnsi="Narkisim"/>
          <w:b/>
          <w:bCs/>
          <w:rtl/>
        </w:rPr>
        <w:t>אחרונים</w:t>
      </w:r>
      <w:r w:rsidRPr="00E14121">
        <w:rPr>
          <w:rFonts w:ascii="Narkisim" w:hAnsi="Narkisim"/>
          <w:rtl/>
        </w:rPr>
        <w:t xml:space="preserve"> שתלו נידון זה במח' אמוראים. וסוגיין כמ"ד דלא פקע אישות בכדי</w:t>
      </w:r>
      <w:r w:rsidRPr="00E14121">
        <w:rPr>
          <w:rStyle w:val="ac"/>
          <w:rFonts w:ascii="Narkisim" w:hAnsi="Narkisim"/>
          <w:rtl/>
        </w:rPr>
        <w:footnoteReference w:id="4827"/>
      </w:r>
      <w:r w:rsidRPr="00E14121">
        <w:rPr>
          <w:rFonts w:ascii="Narkisim" w:hAnsi="Narkisim"/>
          <w:rtl/>
        </w:rPr>
        <w:t>.</w:t>
      </w:r>
    </w:p>
    <w:p w14:paraId="32884B5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עונג יו"ט</w:t>
      </w:r>
      <w:r w:rsidRPr="00E14121">
        <w:rPr>
          <w:rFonts w:ascii="Narkisim" w:hAnsi="Narkisim"/>
          <w:rtl/>
        </w:rPr>
        <w:t xml:space="preserve"> (קמב בהג') תי' דשאני פצוע דכא דהפסול בבעל ומש"ה לא פקע קידושין, דהקידושין חל באשה, ולכן כשאינה ראויה נפקע</w:t>
      </w:r>
      <w:r w:rsidRPr="00E14121">
        <w:rPr>
          <w:rStyle w:val="ac"/>
          <w:rFonts w:ascii="Narkisim" w:hAnsi="Narkisim"/>
          <w:sz w:val="20"/>
          <w:szCs w:val="20"/>
          <w:rtl/>
        </w:rPr>
        <w:footnoteReference w:id="4828"/>
      </w:r>
      <w:r w:rsidRPr="00E14121">
        <w:rPr>
          <w:rFonts w:ascii="Narkisim" w:hAnsi="Narkisim"/>
          <w:rtl/>
        </w:rPr>
        <w:t>.</w:t>
      </w:r>
      <w:r w:rsidRPr="00E14121">
        <w:rPr>
          <w:rFonts w:ascii="Narkisim" w:hAnsi="Narkisim"/>
          <w:sz w:val="20"/>
          <w:szCs w:val="20"/>
          <w:rtl/>
        </w:rPr>
        <w:t xml:space="preserve"> וה</w:t>
      </w:r>
      <w:r w:rsidRPr="00E14121">
        <w:rPr>
          <w:rFonts w:ascii="Narkisim" w:hAnsi="Narkisim"/>
          <w:b/>
          <w:bCs/>
          <w:sz w:val="20"/>
          <w:szCs w:val="20"/>
          <w:rtl/>
        </w:rPr>
        <w:t>אחרונים</w:t>
      </w:r>
      <w:r w:rsidRPr="00E14121">
        <w:rPr>
          <w:rFonts w:ascii="Narkisim" w:hAnsi="Narkisim"/>
          <w:sz w:val="20"/>
          <w:szCs w:val="20"/>
          <w:rtl/>
        </w:rPr>
        <w:t xml:space="preserve"> כת' דפצוע דכא לא נחשב פגם באישות, ומש"ה לא פקע הקידושין</w:t>
      </w:r>
      <w:r w:rsidRPr="00E14121">
        <w:rPr>
          <w:rStyle w:val="ac"/>
          <w:rFonts w:ascii="Narkisim" w:hAnsi="Narkisim"/>
          <w:sz w:val="20"/>
          <w:szCs w:val="20"/>
          <w:rtl/>
        </w:rPr>
        <w:footnoteReference w:id="4829"/>
      </w:r>
      <w:r w:rsidRPr="00E14121">
        <w:rPr>
          <w:rFonts w:ascii="Narkisim" w:hAnsi="Narkisim"/>
          <w:sz w:val="20"/>
          <w:szCs w:val="20"/>
          <w:rtl/>
        </w:rPr>
        <w:t xml:space="preserve">. וע"ד מש"כ </w:t>
      </w:r>
      <w:r w:rsidRPr="00E14121">
        <w:rPr>
          <w:rFonts w:ascii="Narkisim" w:hAnsi="Narkisim"/>
          <w:b/>
          <w:bCs/>
          <w:sz w:val="20"/>
          <w:szCs w:val="20"/>
          <w:rtl/>
        </w:rPr>
        <w:t>תוס</w:t>
      </w:r>
      <w:r w:rsidRPr="00E14121">
        <w:rPr>
          <w:rFonts w:ascii="Narkisim" w:hAnsi="Narkisim"/>
          <w:sz w:val="20"/>
          <w:szCs w:val="20"/>
          <w:rtl/>
        </w:rPr>
        <w:t>' (לקמן פד: ד"ה שייר) דלא שייך ק"ו בהותר לה נאסרה, לאסור ליבם [וכמו סוטה ומחזיר גרושתו לעיל יא:], דלא שייך אלא כשנעשית באשה שום מעשה שנאסרת.</w:t>
      </w:r>
    </w:p>
    <w:p w14:paraId="31BF0BBE" w14:textId="77777777" w:rsidR="00F64AED" w:rsidRPr="00E14121" w:rsidRDefault="00F64AED" w:rsidP="00F64AED">
      <w:pPr>
        <w:bidi/>
        <w:rPr>
          <w:rFonts w:ascii="Narkisim" w:hAnsi="Narkisim" w:cs="Narkisim"/>
        </w:rPr>
      </w:pPr>
      <w:r w:rsidRPr="00E14121">
        <w:rPr>
          <w:rFonts w:ascii="Narkisim" w:hAnsi="Narkisim" w:cs="Narkisim"/>
          <w:u w:val="single"/>
          <w:rtl/>
        </w:rPr>
        <w:t>שם. חייבי לאוין כחייבי כריתות דמו וכו'</w:t>
      </w:r>
      <w:r w:rsidRPr="00E14121">
        <w:rPr>
          <w:rFonts w:ascii="Narkisim" w:hAnsi="Narkisim" w:cs="Narkisim"/>
          <w:rtl/>
        </w:rPr>
        <w:t>. וכן מבואר (לעיל ט. וכ"מ) דלר' עקיבא חייבי לאוין כעריות, ופטורות מחליצה ויבום</w:t>
      </w:r>
      <w:r w:rsidRPr="00E14121">
        <w:rPr>
          <w:rStyle w:val="ac"/>
          <w:rFonts w:ascii="Narkisim" w:hAnsi="Narkisim" w:cs="Narkisim"/>
          <w:rtl/>
        </w:rPr>
        <w:footnoteReference w:id="4830"/>
      </w:r>
      <w:r w:rsidRPr="00E14121">
        <w:rPr>
          <w:rFonts w:ascii="Narkisim" w:hAnsi="Narkisim" w:cs="Narkisim"/>
          <w:rtl/>
        </w:rPr>
        <w:t>. ופוטרות צרותיהם. ו</w:t>
      </w:r>
      <w:r w:rsidRPr="00E14121">
        <w:rPr>
          <w:rFonts w:ascii="Narkisim" w:hAnsi="Narkisim" w:cs="Narkisim"/>
          <w:b/>
          <w:bCs/>
          <w:rtl/>
        </w:rPr>
        <w:t>תוס</w:t>
      </w:r>
      <w:r w:rsidRPr="00E14121">
        <w:rPr>
          <w:rFonts w:ascii="Narkisim" w:hAnsi="Narkisim" w:cs="Narkisim"/>
          <w:rtl/>
        </w:rPr>
        <w:t>' (לעיל ט.) תמהו דאף לר"ע נימא דעשה דוחה ל"ת, וכקושיית הגמ' (לעיל ג:) דנימא דעשה דוחה ל"ת שיש בו כרת</w:t>
      </w:r>
      <w:r w:rsidRPr="00E14121">
        <w:rPr>
          <w:rStyle w:val="ac"/>
          <w:rFonts w:ascii="Narkisim" w:hAnsi="Narkisim" w:cs="Narkisim"/>
          <w:rtl/>
        </w:rPr>
        <w:footnoteReference w:id="4831"/>
      </w:r>
      <w:r w:rsidRPr="00E14121">
        <w:rPr>
          <w:rFonts w:ascii="Narkisim" w:hAnsi="Narkisim" w:cs="Narkisim"/>
          <w:rtl/>
        </w:rPr>
        <w:t>. וה</w:t>
      </w:r>
      <w:r w:rsidRPr="00E14121">
        <w:rPr>
          <w:rFonts w:ascii="Narkisim" w:hAnsi="Narkisim" w:cs="Narkisim"/>
          <w:b/>
          <w:bCs/>
          <w:rtl/>
        </w:rPr>
        <w:t>ראשונים</w:t>
      </w:r>
      <w:r w:rsidRPr="00E14121">
        <w:rPr>
          <w:rFonts w:ascii="Narkisim" w:hAnsi="Narkisim" w:cs="Narkisim"/>
          <w:rtl/>
        </w:rPr>
        <w:t xml:space="preserve"> (הרמב"ן שם) תי' דגלי קרא דלא תפסי קידושין כעריות, ומש"ה מפקעי זיקה</w:t>
      </w:r>
      <w:r w:rsidRPr="00E14121">
        <w:rPr>
          <w:rStyle w:val="ac"/>
          <w:rFonts w:ascii="Narkisim" w:hAnsi="Narkisim" w:cs="Narkisim"/>
          <w:rtl/>
        </w:rPr>
        <w:footnoteReference w:id="4832"/>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ביארו דיסוד תי' הראשונים דילפי' פטור 'עליה' בחייבי לאוין לר"ע וכעריות. וכיון דיש 'פטור' מיבום ל"ש עדל"ת</w:t>
      </w:r>
      <w:r w:rsidRPr="00E14121">
        <w:rPr>
          <w:rStyle w:val="ac"/>
          <w:rFonts w:ascii="Narkisim" w:hAnsi="Narkisim" w:cs="Narkisim"/>
          <w:rtl/>
        </w:rPr>
        <w:footnoteReference w:id="4833"/>
      </w:r>
      <w:r w:rsidRPr="00E14121">
        <w:rPr>
          <w:rFonts w:ascii="Narkisim" w:hAnsi="Narkisim" w:cs="Narkisim"/>
          <w:rtl/>
        </w:rPr>
        <w:t>.</w:t>
      </w:r>
    </w:p>
    <w:p w14:paraId="09324846" w14:textId="77777777" w:rsidR="00F64AED" w:rsidRPr="00E14121" w:rsidRDefault="00F64AED" w:rsidP="00F64AED">
      <w:pPr>
        <w:bidi/>
        <w:rPr>
          <w:rFonts w:ascii="Narkisim" w:hAnsi="Narkisim" w:cs="Narkisim"/>
        </w:rPr>
      </w:pPr>
      <w:r w:rsidRPr="00E14121">
        <w:rPr>
          <w:rFonts w:ascii="Narkisim" w:hAnsi="Narkisim" w:cs="Narkisim"/>
          <w:u w:val="single"/>
          <w:rtl/>
        </w:rPr>
        <w:t>רש"י ד"ה זקן.</w:t>
      </w:r>
      <w:r w:rsidRPr="00E14121">
        <w:rPr>
          <w:rFonts w:ascii="Narkisim" w:hAnsi="Narkisim" w:cs="Narkisim"/>
          <w:rtl/>
        </w:rPr>
        <w:t xml:space="preserve"> נקט להו בהדי הנך משום דדמי ליה וכו'. ו</w:t>
      </w:r>
      <w:r w:rsidRPr="00E14121">
        <w:rPr>
          <w:rFonts w:ascii="Narkisim" w:hAnsi="Narkisim" w:cs="Narkisim"/>
          <w:b/>
          <w:bCs/>
          <w:rtl/>
        </w:rPr>
        <w:t>תוס</w:t>
      </w:r>
      <w:r w:rsidRPr="00E14121">
        <w:rPr>
          <w:rFonts w:ascii="Narkisim" w:hAnsi="Narkisim" w:cs="Narkisim"/>
          <w:rtl/>
        </w:rPr>
        <w:t>' (לעיל כ: ד"ה אם) כת' [דזקן] ה"ה לכתחילה.</w:t>
      </w:r>
      <w:r w:rsidRPr="00E14121">
        <w:rPr>
          <w:rFonts w:ascii="Narkisim" w:hAnsi="Narkisim" w:cs="Narkisim"/>
          <w:sz w:val="20"/>
          <w:szCs w:val="20"/>
          <w:rtl/>
        </w:rPr>
        <w:t xml:space="preserve"> [וכ"כ </w:t>
      </w:r>
      <w:r w:rsidRPr="00E14121">
        <w:rPr>
          <w:rFonts w:ascii="Narkisim" w:hAnsi="Narkisim" w:cs="Narkisim"/>
          <w:b/>
          <w:bCs/>
          <w:sz w:val="20"/>
          <w:szCs w:val="20"/>
          <w:rtl/>
        </w:rPr>
        <w:t>תוס</w:t>
      </w:r>
      <w:r w:rsidRPr="00E14121">
        <w:rPr>
          <w:rFonts w:ascii="Narkisim" w:hAnsi="Narkisim" w:cs="Narkisim"/>
          <w:sz w:val="20"/>
          <w:szCs w:val="20"/>
          <w:rtl/>
        </w:rPr>
        <w:t>' (סוטה כו. ד"ה אשת), דזקן ודאי מותר לקיימא, וכן שתה כוס עיקרין אינו אסור בקהל, ונקטום אגב פצוע דכא].</w:t>
      </w:r>
    </w:p>
    <w:p w14:paraId="690B6D82" w14:textId="77777777" w:rsidR="00F64AED" w:rsidRPr="00E14121" w:rsidRDefault="00F64AED" w:rsidP="00F64AED">
      <w:pPr>
        <w:pStyle w:val="a7"/>
        <w:bidi/>
        <w:rPr>
          <w:rFonts w:ascii="Narkisim" w:hAnsi="Narkisim"/>
        </w:rPr>
      </w:pPr>
      <w:r w:rsidRPr="00E14121">
        <w:rPr>
          <w:rFonts w:ascii="Narkisim" w:hAnsi="Narkisim"/>
          <w:rtl/>
        </w:rPr>
        <w:t>אבל ב</w:t>
      </w:r>
      <w:r w:rsidRPr="00E14121">
        <w:rPr>
          <w:rFonts w:ascii="Narkisim" w:hAnsi="Narkisim"/>
          <w:b/>
          <w:bCs/>
          <w:rtl/>
        </w:rPr>
        <w:t>חי' ר"א מן ההר</w:t>
      </w:r>
      <w:r w:rsidRPr="00E14121">
        <w:rPr>
          <w:rFonts w:ascii="Narkisim" w:hAnsi="Narkisim"/>
          <w:rtl/>
        </w:rPr>
        <w:t xml:space="preserve"> כתב דלכתחילה אין לו לייבם כיון דלאו בר אולודי, אלא לחלוץ. ומיהו מכי יבם ליכא איסורא [לקיימה]</w:t>
      </w:r>
      <w:r w:rsidRPr="00E14121">
        <w:rPr>
          <w:rStyle w:val="ac"/>
          <w:rFonts w:ascii="Narkisim" w:hAnsi="Narkisim"/>
          <w:rtl/>
        </w:rPr>
        <w:footnoteReference w:id="4834"/>
      </w:r>
      <w:r w:rsidRPr="00E14121">
        <w:rPr>
          <w:rFonts w:ascii="Narkisim" w:hAnsi="Narkisim"/>
          <w:rtl/>
        </w:rPr>
        <w:t>. וכ"פ ה</w:t>
      </w:r>
      <w:r w:rsidRPr="00E14121">
        <w:rPr>
          <w:rFonts w:ascii="Narkisim" w:hAnsi="Narkisim"/>
          <w:b/>
          <w:bCs/>
          <w:rtl/>
        </w:rPr>
        <w:t>רמב"ם</w:t>
      </w:r>
      <w:r w:rsidRPr="00E14121">
        <w:rPr>
          <w:rFonts w:ascii="Narkisim" w:hAnsi="Narkisim"/>
          <w:rtl/>
        </w:rPr>
        <w:t xml:space="preserve"> (יבום ו ד) ו</w:t>
      </w:r>
      <w:r w:rsidRPr="00E14121">
        <w:rPr>
          <w:rFonts w:ascii="Narkisim" w:hAnsi="Narkisim"/>
          <w:b/>
          <w:bCs/>
          <w:rtl/>
        </w:rPr>
        <w:t>שו"ע</w:t>
      </w:r>
      <w:r w:rsidRPr="00E14121">
        <w:rPr>
          <w:rFonts w:ascii="Narkisim" w:hAnsi="Narkisim"/>
          <w:rtl/>
        </w:rPr>
        <w:t xml:space="preserve"> (קעב י). וה</w:t>
      </w:r>
      <w:r w:rsidRPr="00E14121">
        <w:rPr>
          <w:rFonts w:ascii="Narkisim" w:hAnsi="Narkisim"/>
          <w:b/>
          <w:bCs/>
          <w:rtl/>
        </w:rPr>
        <w:t>גר"א</w:t>
      </w:r>
      <w:r w:rsidRPr="00E14121">
        <w:rPr>
          <w:rFonts w:ascii="Narkisim" w:hAnsi="Narkisim"/>
          <w:rtl/>
        </w:rPr>
        <w:t xml:space="preserve"> (עה"ג לעיל כ:) הביא דגרסו בברייתא חולצין ולא מייבמין. וה</w:t>
      </w:r>
      <w:r w:rsidRPr="00E14121">
        <w:rPr>
          <w:rFonts w:ascii="Narkisim" w:hAnsi="Narkisim"/>
          <w:b/>
          <w:bCs/>
          <w:rtl/>
        </w:rPr>
        <w:t>בי"ש</w:t>
      </w:r>
      <w:r w:rsidRPr="00E14121">
        <w:rPr>
          <w:rFonts w:ascii="Narkisim" w:hAnsi="Narkisim"/>
          <w:rtl/>
        </w:rPr>
        <w:t xml:space="preserve"> (קעב יב) כת' דזקן אסרו לכתחילה מדרבנן</w:t>
      </w:r>
      <w:r w:rsidRPr="00E14121">
        <w:rPr>
          <w:rStyle w:val="ac"/>
          <w:rFonts w:ascii="Narkisim" w:hAnsi="Narkisim"/>
          <w:rtl/>
        </w:rPr>
        <w:footnoteReference w:id="4835"/>
      </w:r>
      <w:r w:rsidRPr="00E14121">
        <w:rPr>
          <w:rFonts w:ascii="Narkisim" w:hAnsi="Narkisim"/>
          <w:rtl/>
        </w:rPr>
        <w:t>, אבל זקינה מתייבמת לכתחילה</w:t>
      </w:r>
      <w:r w:rsidRPr="00E14121">
        <w:rPr>
          <w:rStyle w:val="ac"/>
          <w:rFonts w:ascii="Narkisim" w:hAnsi="Narkisim"/>
          <w:rtl/>
        </w:rPr>
        <w:footnoteReference w:id="4836"/>
      </w:r>
      <w:r w:rsidRPr="00E14121">
        <w:rPr>
          <w:rFonts w:ascii="Narkisim" w:hAnsi="Narkisim"/>
          <w:rtl/>
        </w:rPr>
        <w:t xml:space="preserve">. </w:t>
      </w:r>
      <w:r w:rsidRPr="00E14121">
        <w:rPr>
          <w:rFonts w:ascii="Narkisim" w:hAnsi="Narkisim"/>
          <w:szCs w:val="20"/>
          <w:rtl/>
        </w:rPr>
        <w:t>וה</w:t>
      </w:r>
      <w:r w:rsidRPr="00E14121">
        <w:rPr>
          <w:rFonts w:ascii="Narkisim" w:hAnsi="Narkisim"/>
          <w:b/>
          <w:bCs/>
          <w:szCs w:val="20"/>
          <w:rtl/>
        </w:rPr>
        <w:t>קר"א</w:t>
      </w:r>
      <w:r w:rsidRPr="00E14121">
        <w:rPr>
          <w:rFonts w:ascii="Narkisim" w:hAnsi="Narkisim"/>
          <w:szCs w:val="20"/>
          <w:rtl/>
        </w:rPr>
        <w:t xml:space="preserve"> הק' מאיזה טעם יאסר, ואף מדרבנן</w:t>
      </w:r>
      <w:r w:rsidRPr="00E14121">
        <w:rPr>
          <w:rStyle w:val="ac"/>
          <w:rFonts w:ascii="Narkisim" w:hAnsi="Narkisim"/>
          <w:szCs w:val="20"/>
          <w:rtl/>
        </w:rPr>
        <w:footnoteReference w:id="4837"/>
      </w:r>
      <w:r w:rsidRPr="00E14121">
        <w:rPr>
          <w:rFonts w:ascii="Narkisim" w:hAnsi="Narkisim"/>
          <w:szCs w:val="20"/>
          <w:rtl/>
        </w:rPr>
        <w:t>.</w:t>
      </w:r>
    </w:p>
    <w:p w14:paraId="76750A63" w14:textId="77777777" w:rsidR="00F64AED" w:rsidRPr="00E14121" w:rsidRDefault="00F64AED" w:rsidP="00F64AED">
      <w:pPr>
        <w:pStyle w:val="2"/>
        <w:bidi/>
        <w:rPr>
          <w:rFonts w:ascii="Narkisim" w:hAnsi="Narkisim"/>
        </w:rPr>
      </w:pPr>
      <w:r w:rsidRPr="00E14121">
        <w:rPr>
          <w:rFonts w:ascii="Narkisim" w:hAnsi="Narkisim"/>
          <w:rtl/>
        </w:rPr>
        <w:t>נפלה ולבסוף נפצע</w:t>
      </w:r>
    </w:p>
    <w:p w14:paraId="031C62F7" w14:textId="77777777" w:rsidR="00F64AED" w:rsidRPr="00E14121" w:rsidRDefault="00F64AED" w:rsidP="00F64AED">
      <w:pPr>
        <w:bidi/>
        <w:rPr>
          <w:rFonts w:ascii="Narkisim" w:hAnsi="Narkisim" w:cs="Narkisim"/>
        </w:rPr>
      </w:pPr>
      <w:r w:rsidRPr="00E14121">
        <w:rPr>
          <w:rFonts w:ascii="Narkisim" w:hAnsi="Narkisim" w:cs="Narkisim"/>
          <w:u w:val="single"/>
          <w:rtl/>
        </w:rPr>
        <w:t>אלא אמר רבה כגון שנפלה לו ולבסוף נפצע.</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דהוזקקה ליבום, וצריך חליצה לאפקועי זיקה. וה</w:t>
      </w:r>
      <w:r w:rsidRPr="00E14121">
        <w:rPr>
          <w:rFonts w:ascii="Narkisim" w:hAnsi="Narkisim" w:cs="Narkisim"/>
          <w:b/>
          <w:bCs/>
          <w:rtl/>
        </w:rPr>
        <w:t xml:space="preserve">ריטב"א </w:t>
      </w:r>
      <w:r w:rsidRPr="00E14121">
        <w:rPr>
          <w:rFonts w:ascii="Narkisim" w:hAnsi="Narkisim" w:cs="Narkisim"/>
          <w:rtl/>
        </w:rPr>
        <w:t>ביאר דכיון דבשעת נפילה הוה חזיא ליה, תו לא משתלף מינה זיקת יבום. [משמע דהזיקה לא פקע בכדי, ואף דמעכשיו ליכא סיבת זיקה. וע' בסמוך].</w:t>
      </w:r>
    </w:p>
    <w:p w14:paraId="730D5FE4" w14:textId="77777777" w:rsidR="00F64AED" w:rsidRPr="00E14121" w:rsidRDefault="00F64AED" w:rsidP="00F64AED">
      <w:pPr>
        <w:bidi/>
        <w:rPr>
          <w:rFonts w:ascii="Narkisim" w:hAnsi="Narkisim" w:cs="Narkisim"/>
        </w:rPr>
      </w:pPr>
      <w:r w:rsidRPr="00E14121">
        <w:rPr>
          <w:rFonts w:ascii="Narkisim" w:hAnsi="Narkisim" w:cs="Narkisim"/>
          <w:u w:val="single"/>
          <w:rtl/>
        </w:rPr>
        <w:t>א"ל אביי וליתי איסור פצוע ונידחי עשה דיבום, מי לא תנן וכו'.</w:t>
      </w:r>
      <w:r w:rsidRPr="00E14121">
        <w:rPr>
          <w:rFonts w:ascii="Narkisim" w:hAnsi="Narkisim" w:cs="Narkisim"/>
          <w:rtl/>
        </w:rPr>
        <w:t xml:space="preserve"> דדעת ר"ג דכשנעשית ערוה לאחר שנפלה ליבום הותרה לשוק. אבל דעת רבנן דקידושין לא מפקעי זיקה (ע' בסוגיא לעיל יז: ויח:).</w:t>
      </w:r>
    </w:p>
    <w:p w14:paraId="63249694"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(לעיל יח:) כת' דהיכא דכבר נשא אחותה אף רבנן מודו דהוה אשתו גמורה ופקע זיקה לגמרי. דנישואין מפקעי זיקה (ע' מה שהו' לעיל שם ומא.). א"כ י"ל דכשנעשית פצוע דכא דמי לנישואין דכו"ע מודו בזה. וע' בסמוך.</w:t>
      </w:r>
    </w:p>
    <w:p w14:paraId="0DB19A23" w14:textId="77777777" w:rsidR="00F64AED" w:rsidRPr="00E14121" w:rsidRDefault="00F64AED" w:rsidP="00F64AED">
      <w:pPr>
        <w:bidi/>
        <w:rPr>
          <w:rFonts w:ascii="Narkisim" w:hAnsi="Narkisim" w:cs="Narkisim"/>
        </w:rPr>
      </w:pPr>
      <w:r w:rsidRPr="00E14121">
        <w:rPr>
          <w:rFonts w:ascii="Narkisim" w:hAnsi="Narkisim" w:cs="Narkisim"/>
          <w:u w:val="single"/>
          <w:rtl/>
        </w:rPr>
        <w:t>שם. וליתי איסור פצוע ונידחי עשה דיבום</w:t>
      </w:r>
      <w:r w:rsidRPr="00E14121">
        <w:rPr>
          <w:rStyle w:val="ac"/>
          <w:rFonts w:ascii="Narkisim" w:hAnsi="Narkisim" w:cs="Narkisim"/>
          <w:u w:val="single"/>
          <w:rtl/>
        </w:rPr>
        <w:footnoteReference w:id="4838"/>
      </w:r>
      <w:r w:rsidRPr="00E14121">
        <w:rPr>
          <w:rFonts w:ascii="Narkisim" w:hAnsi="Narkisim" w:cs="Narkisim"/>
          <w:u w:val="single"/>
          <w:rtl/>
        </w:rPr>
        <w:t xml:space="preserve"> וכו'.</w:t>
      </w:r>
      <w:r w:rsidRPr="00E14121">
        <w:rPr>
          <w:rFonts w:ascii="Narkisim" w:hAnsi="Narkisim" w:cs="Narkisim"/>
          <w:rtl/>
        </w:rPr>
        <w:t xml:space="preserve"> לשון הגמ' דהאיסור חייבי לאוין 'דוחה' </w:t>
      </w:r>
      <w:r w:rsidRPr="00E14121">
        <w:rPr>
          <w:rFonts w:ascii="Narkisim" w:hAnsi="Narkisim" w:cs="Narkisim"/>
          <w:rtl/>
        </w:rPr>
        <w:lastRenderedPageBreak/>
        <w:t>את מצוות יבום. [ומש"ה אף לאחר שנפלה ליבום, גדר 'ערוה' דוחה את המצווה]. וה</w:t>
      </w:r>
      <w:r w:rsidRPr="00E14121">
        <w:rPr>
          <w:rFonts w:ascii="Narkisim" w:hAnsi="Narkisim" w:cs="Narkisim"/>
          <w:b/>
          <w:bCs/>
          <w:rtl/>
        </w:rPr>
        <w:t>אחרונים</w:t>
      </w:r>
      <w:r w:rsidRPr="00E14121">
        <w:rPr>
          <w:rFonts w:ascii="Narkisim" w:hAnsi="Narkisim" w:cs="Narkisim"/>
          <w:rtl/>
        </w:rPr>
        <w:t xml:space="preserve"> חקרו כשנעשית ערוה לאחר נפילה, האם הוה בגדר פטור 'עליה'</w:t>
      </w:r>
      <w:r w:rsidRPr="00E14121">
        <w:rPr>
          <w:rStyle w:val="ac"/>
          <w:rFonts w:ascii="Narkisim" w:hAnsi="Narkisim" w:cs="Narkisim"/>
          <w:rtl/>
        </w:rPr>
        <w:footnoteReference w:id="4839"/>
      </w:r>
      <w:r w:rsidRPr="00E14121">
        <w:rPr>
          <w:rFonts w:ascii="Narkisim" w:hAnsi="Narkisim" w:cs="Narkisim"/>
          <w:rtl/>
        </w:rPr>
        <w:t>, או דהוה איסור בעלמא לייבם [ואינה 'פטור' ערוה], וכיון דאינה עולה ליבום פטורה אף מחליצה</w:t>
      </w:r>
      <w:r w:rsidRPr="00E14121">
        <w:rPr>
          <w:rStyle w:val="ac"/>
          <w:rFonts w:ascii="Narkisim" w:hAnsi="Narkisim" w:cs="Narkisim"/>
          <w:rtl/>
        </w:rPr>
        <w:footnoteReference w:id="4840"/>
      </w:r>
      <w:r w:rsidRPr="00E14121">
        <w:rPr>
          <w:rFonts w:ascii="Narkisim" w:hAnsi="Narkisim" w:cs="Narkisim"/>
          <w:rtl/>
        </w:rPr>
        <w:t>. [וה</w:t>
      </w:r>
      <w:r w:rsidRPr="00E14121">
        <w:rPr>
          <w:rFonts w:ascii="Narkisim" w:hAnsi="Narkisim" w:cs="Narkisim"/>
          <w:b/>
          <w:bCs/>
          <w:rtl/>
        </w:rPr>
        <w:t>אחרונים</w:t>
      </w:r>
      <w:r w:rsidRPr="00E14121">
        <w:rPr>
          <w:rFonts w:ascii="Narkisim" w:hAnsi="Narkisim" w:cs="Narkisim"/>
          <w:rtl/>
        </w:rPr>
        <w:t xml:space="preserve"> הביאו דמשמע בכמה סוגיות דערוה לאחר נפילה הוה גדר פטור שונה]. אבל ה</w:t>
      </w:r>
      <w:r w:rsidRPr="00E14121">
        <w:rPr>
          <w:rFonts w:ascii="Narkisim" w:hAnsi="Narkisim" w:cs="Narkisim"/>
          <w:b/>
          <w:bCs/>
          <w:rtl/>
        </w:rPr>
        <w:t>ברכ"ש</w:t>
      </w:r>
      <w:r w:rsidRPr="00E14121">
        <w:rPr>
          <w:rFonts w:ascii="Narkisim" w:hAnsi="Narkisim" w:cs="Narkisim"/>
          <w:rtl/>
        </w:rPr>
        <w:t xml:space="preserve"> (יד ב) הוכיח מסוגיין דלאחר נפילה חל דין עליה ולצרור, ואף בחייבי לאוין לאחר נפילה יש פטור [ומש"ה לא אמרי' דעשה דוחה ל"ת, וכמ"ש הראשונים הנ"ל].</w:t>
      </w:r>
    </w:p>
    <w:p w14:paraId="7172F98B" w14:textId="77777777" w:rsidR="00F64AED" w:rsidRPr="00E14121" w:rsidRDefault="00F64AED" w:rsidP="00F64AED">
      <w:pPr>
        <w:pStyle w:val="a7"/>
        <w:bidi/>
        <w:rPr>
          <w:rFonts w:ascii="Narkisim" w:hAnsi="Narkisim"/>
        </w:rPr>
      </w:pPr>
      <w:r w:rsidRPr="00E14121">
        <w:rPr>
          <w:rFonts w:ascii="Narkisim" w:hAnsi="Narkisim"/>
          <w:rtl/>
        </w:rPr>
        <w:t>וב</w:t>
      </w:r>
      <w:r w:rsidRPr="00E14121">
        <w:rPr>
          <w:rFonts w:ascii="Narkisim" w:hAnsi="Narkisim"/>
          <w:b/>
          <w:bCs/>
          <w:rtl/>
        </w:rPr>
        <w:t>חי' ר' שמואל</w:t>
      </w:r>
      <w:r w:rsidRPr="00E14121">
        <w:rPr>
          <w:rFonts w:ascii="Narkisim" w:hAnsi="Narkisim"/>
          <w:rtl/>
        </w:rPr>
        <w:t xml:space="preserve"> (א ג) ביאר דנח' בזה רבה ואביי, דרבה ס"ל דפטור ערוה הוה דוקא בשעת נפילה. ודוקא אחות אשתו דהוה חייבי כריתות פטורה אף לאחר נפילה. אבל בסוגיין בחייבי לאוין אמרי' עשה דוחה ל"ת, כיון דלא נפטרה בשעת נפילה.</w:t>
      </w:r>
    </w:p>
    <w:p w14:paraId="62DC389D" w14:textId="77777777" w:rsidR="00F64AED" w:rsidRPr="00E14121" w:rsidRDefault="00F64AED" w:rsidP="00F64AED">
      <w:pPr>
        <w:bidi/>
        <w:rPr>
          <w:rFonts w:ascii="Narkisim" w:hAnsi="Narkisim" w:cs="Narkisim"/>
        </w:rPr>
      </w:pPr>
      <w:r w:rsidRPr="00E14121">
        <w:rPr>
          <w:rFonts w:ascii="Narkisim" w:hAnsi="Narkisim" w:cs="Narkisim"/>
          <w:u w:val="single"/>
          <w:rtl/>
        </w:rPr>
        <w:t>מי לא תנן ר"ג אומר וכו'.</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הקשה האיך הביאו מדברי ר"ג, הא ר"ג סבר דאין זיקה (וכדאי' לעיל יח), הילכך קילא ליה ומדחייא. אבל לדידן דיש זיקה י"ל דלא אתי איסור אחות אשה דבתר זיקה ומפקיע. וכמ"ש ה</w:t>
      </w:r>
      <w:r w:rsidRPr="00E14121">
        <w:rPr>
          <w:rFonts w:ascii="Narkisim" w:hAnsi="Narkisim" w:cs="Narkisim"/>
          <w:b/>
          <w:bCs/>
          <w:rtl/>
        </w:rPr>
        <w:t>ראשונים</w:t>
      </w:r>
      <w:r w:rsidRPr="00E14121">
        <w:rPr>
          <w:rFonts w:ascii="Narkisim" w:hAnsi="Narkisim" w:cs="Narkisim"/>
          <w:rtl/>
        </w:rPr>
        <w:t xml:space="preserve"> (יח:) דלמ"ד יש זיקה כשקידש את אחותה צריך חליצה.</w:t>
      </w:r>
    </w:p>
    <w:p w14:paraId="3574C743" w14:textId="77777777" w:rsidR="00F64AED" w:rsidRPr="00E14121" w:rsidRDefault="00F64AED" w:rsidP="00F64AED">
      <w:pPr>
        <w:pStyle w:val="a8"/>
        <w:bidi/>
        <w:rPr>
          <w:rFonts w:ascii="Narkisim" w:hAnsi="Narkisim"/>
        </w:rPr>
      </w:pPr>
      <w:r w:rsidRPr="00E14121">
        <w:rPr>
          <w:rFonts w:ascii="Narkisim" w:hAnsi="Narkisim"/>
          <w:rtl/>
        </w:rPr>
        <w:t>והרשב"א העלה צד דקו' הגמ' בסוגיין אליבא דר' עקיבא, דס"ל (נדרים עד.) דלא יפר נדריה, משום דאין זיקה</w:t>
      </w:r>
      <w:r w:rsidRPr="00E14121">
        <w:rPr>
          <w:rStyle w:val="ac"/>
          <w:rFonts w:ascii="Narkisim" w:hAnsi="Narkisim"/>
          <w:rtl/>
        </w:rPr>
        <w:footnoteReference w:id="4841"/>
      </w:r>
      <w:r w:rsidRPr="00E14121">
        <w:rPr>
          <w:rFonts w:ascii="Narkisim" w:hAnsi="Narkisim"/>
          <w:rtl/>
        </w:rPr>
        <w:t>. אך הק' דרבא</w:t>
      </w:r>
      <w:r w:rsidRPr="00E14121">
        <w:rPr>
          <w:rStyle w:val="ac"/>
          <w:rFonts w:ascii="Narkisim" w:hAnsi="Narkisim"/>
          <w:rtl/>
        </w:rPr>
        <w:footnoteReference w:id="4842"/>
      </w:r>
      <w:r w:rsidRPr="00E14121">
        <w:rPr>
          <w:rFonts w:ascii="Narkisim" w:hAnsi="Narkisim"/>
          <w:rtl/>
        </w:rPr>
        <w:t xml:space="preserve"> ורב אשי (בנדרים שם) פירשו הטעם משום דאין חייבין עליה סקילה.</w:t>
      </w:r>
    </w:p>
    <w:p w14:paraId="5C0D223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הוכיח מסוגיין דנישואין דלאחר זיקה פוטרין בלא כלום [וכדברי התוס' יח: הנ"ל]. דזיקה לאו דאורייתא, וליכא בין ר"ג לדידן אלא דלר"ג מותר לינשא, ולמ"ד יש זיקה לכתחילה לא דחינן לה. אבל בשעבר ונשא לכו"ע מידחי ומותרת לשוק</w:t>
      </w:r>
      <w:r w:rsidRPr="00E14121">
        <w:rPr>
          <w:rStyle w:val="ac"/>
          <w:rFonts w:ascii="Narkisim" w:hAnsi="Narkisim"/>
          <w:rtl/>
        </w:rPr>
        <w:footnoteReference w:id="4843"/>
      </w:r>
      <w:r w:rsidRPr="00E14121">
        <w:rPr>
          <w:rFonts w:ascii="Narkisim" w:hAnsi="Narkisim"/>
          <w:rtl/>
        </w:rPr>
        <w:t>.[</w:t>
      </w:r>
      <w:r w:rsidRPr="00E14121">
        <w:rPr>
          <w:rFonts w:ascii="Narkisim" w:hAnsi="Narkisim"/>
          <w:sz w:val="20"/>
          <w:szCs w:val="20"/>
          <w:rtl/>
        </w:rPr>
        <w:t>ואף דכשקידש בעי חליצה</w:t>
      </w:r>
      <w:r w:rsidRPr="00E14121">
        <w:rPr>
          <w:rStyle w:val="ac"/>
          <w:rFonts w:ascii="Narkisim" w:hAnsi="Narkisim"/>
          <w:sz w:val="20"/>
          <w:szCs w:val="20"/>
          <w:rtl/>
        </w:rPr>
        <w:footnoteReference w:id="4844"/>
      </w:r>
      <w:r w:rsidRPr="00E14121">
        <w:rPr>
          <w:rFonts w:ascii="Narkisim" w:hAnsi="Narkisim"/>
          <w:sz w:val="20"/>
          <w:szCs w:val="20"/>
          <w:rtl/>
        </w:rPr>
        <w:t xml:space="preserve"> ולא פקע זיקה</w:t>
      </w:r>
      <w:r w:rsidRPr="00E14121">
        <w:rPr>
          <w:rStyle w:val="ac"/>
          <w:rFonts w:ascii="Narkisim" w:hAnsi="Narkisim"/>
          <w:sz w:val="20"/>
          <w:szCs w:val="20"/>
          <w:rtl/>
        </w:rPr>
        <w:footnoteReference w:id="4845"/>
      </w:r>
      <w:r w:rsidRPr="00E14121">
        <w:rPr>
          <w:rFonts w:ascii="Narkisim" w:hAnsi="Narkisim"/>
          <w:sz w:val="20"/>
          <w:szCs w:val="20"/>
          <w:rtl/>
        </w:rPr>
        <w:t>, כשנעשה פצוע דכא דמי לנשא, ופקע זיקה].</w:t>
      </w:r>
    </w:p>
    <w:p w14:paraId="7EE67FC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כתב דסברא זו רחוקה מאוד בעיני </w:t>
      </w:r>
      <w:r w:rsidRPr="00E14121">
        <w:rPr>
          <w:rFonts w:ascii="Narkisim" w:hAnsi="Narkisim"/>
          <w:b/>
          <w:bCs/>
          <w:rtl/>
        </w:rPr>
        <w:t>מורי הרב</w:t>
      </w:r>
      <w:r w:rsidRPr="00E14121">
        <w:rPr>
          <w:rFonts w:ascii="Narkisim" w:hAnsi="Narkisim"/>
          <w:rtl/>
        </w:rPr>
        <w:t>, דאי זיקה כקידושין [למ"ד יש זיקה], היכן אשכחן דאתו נישואי לאה ועקרו קידושי רחל. ואי לא חשיבא קידושין, אפי' קידושי לאה ידחו. [וע' מש"כ לעיל יח:].</w:t>
      </w:r>
    </w:p>
    <w:p w14:paraId="6BBFFEE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ריטב"א</w:t>
      </w:r>
      <w:r w:rsidRPr="00E14121">
        <w:rPr>
          <w:rFonts w:ascii="Narkisim" w:hAnsi="Narkisim"/>
          <w:rtl/>
        </w:rPr>
        <w:t xml:space="preserve"> תי' דאפי' למ"ד יש זיקה, לא חזיא ליבומי לכתחילה. ונהי דצריכה חליצה, אך בדיעבד בעלו לא קנו, דהוה ביאה פסולה וצריך גט וחליצה. [וה</w:t>
      </w:r>
      <w:r w:rsidRPr="00E14121">
        <w:rPr>
          <w:rFonts w:ascii="Narkisim" w:hAnsi="Narkisim"/>
          <w:b/>
          <w:bCs/>
          <w:rtl/>
        </w:rPr>
        <w:t>אחרונים</w:t>
      </w:r>
      <w:r w:rsidRPr="00E14121">
        <w:rPr>
          <w:rFonts w:ascii="Narkisim" w:hAnsi="Narkisim"/>
          <w:rtl/>
        </w:rPr>
        <w:t xml:space="preserve"> הביאו דמבואר מדברי הריטב"א דאף מדאורייתא לא פקע זיקת אחותה למ"ד יש זיקה, והיה ס"ד דחזיא לכתחילה ליבום</w:t>
      </w:r>
      <w:r w:rsidRPr="00E14121">
        <w:rPr>
          <w:rStyle w:val="ac"/>
          <w:rFonts w:ascii="Narkisim" w:hAnsi="Narkisim"/>
          <w:rtl/>
        </w:rPr>
        <w:footnoteReference w:id="4846"/>
      </w:r>
      <w:r w:rsidRPr="00E14121">
        <w:rPr>
          <w:rFonts w:ascii="Narkisim" w:hAnsi="Narkisim"/>
          <w:rtl/>
        </w:rPr>
        <w:t>. קמ"ל דאתי איסור ערוה ודחי ממצוות יבום].</w:t>
      </w:r>
    </w:p>
    <w:p w14:paraId="3FA2E46C" w14:textId="77777777" w:rsidR="00F64AED" w:rsidRPr="00E14121" w:rsidRDefault="00F64AED" w:rsidP="00F64AED">
      <w:pPr>
        <w:pStyle w:val="aa"/>
        <w:bidi/>
        <w:rPr>
          <w:rFonts w:ascii="Narkisim" w:hAnsi="Narkisim"/>
        </w:rPr>
      </w:pPr>
      <w:r w:rsidRPr="00E14121">
        <w:rPr>
          <w:rFonts w:ascii="Narkisim" w:hAnsi="Narkisim"/>
          <w:u w:val="single"/>
          <w:rtl/>
        </w:rPr>
        <w:t>אלא אמר רב יוסף האי תנא וכו' סבר מחייבי לאוין דשאר וכו'.</w:t>
      </w:r>
      <w:r w:rsidRPr="00E14121">
        <w:rPr>
          <w:rFonts w:ascii="Narkisim" w:hAnsi="Narkisim"/>
          <w:rtl/>
        </w:rPr>
        <w:t xml:space="preserve"> ה</w:t>
      </w:r>
      <w:r w:rsidRPr="00E14121">
        <w:rPr>
          <w:rFonts w:ascii="Narkisim" w:hAnsi="Narkisim"/>
          <w:b/>
          <w:bCs/>
          <w:rtl/>
        </w:rPr>
        <w:t xml:space="preserve">ריטב"א </w:t>
      </w:r>
      <w:r w:rsidRPr="00E14121">
        <w:rPr>
          <w:rFonts w:ascii="Narkisim" w:hAnsi="Narkisim"/>
          <w:rtl/>
        </w:rPr>
        <w:t>דייק דמשמע לכתחילה מתייבמת [דכיון דלא הוה ערוה, אתי עשה ודחי ל"ת]. וכתב דהך מ"ד ל"ל גזירה ראשונה אטו שניה. ועוד כת' דאפשר דדוקא פצוע דכא העמידו אדין תורה, לגלויי דסריס אדם חולץ ומייבם, להוציא מדעת ר"א. ושוב דחה הריטב"א דלעולם חולץ קאמר.</w:t>
      </w:r>
    </w:p>
    <w:p w14:paraId="6721CA7D" w14:textId="77777777" w:rsidR="00F64AED" w:rsidRPr="00E14121" w:rsidRDefault="00F64AED" w:rsidP="00F64AED">
      <w:pPr>
        <w:bidi/>
        <w:rPr>
          <w:rFonts w:ascii="Narkisim" w:hAnsi="Narkisim" w:cs="Narkisim"/>
        </w:rPr>
      </w:pPr>
      <w:r w:rsidRPr="00E14121">
        <w:rPr>
          <w:rFonts w:ascii="Narkisim" w:hAnsi="Narkisim" w:cs="Narkisim"/>
          <w:u w:val="single"/>
          <w:rtl/>
        </w:rPr>
        <w:t>איקרי כאן וכו' אמר רבא א"כ וכו' סריס חמה שעה א' קודם מיתתו.</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אלא אמרי' הואיל ומעיקרא בר הקמת שם, וה"נ לא שנא. ה</w:t>
      </w:r>
      <w:r w:rsidRPr="00E14121">
        <w:rPr>
          <w:rFonts w:ascii="Narkisim" w:hAnsi="Narkisim" w:cs="Narkisim"/>
          <w:b/>
          <w:bCs/>
          <w:rtl/>
        </w:rPr>
        <w:t xml:space="preserve">ריטב"א </w:t>
      </w:r>
      <w:r w:rsidRPr="00E14121">
        <w:rPr>
          <w:rFonts w:ascii="Narkisim" w:hAnsi="Narkisim" w:cs="Narkisim"/>
          <w:rtl/>
        </w:rPr>
        <w:t>הק' היכי למידים מהא דמהני [למת] שעת הכושר, ושוב נסתרס, דכיון דהיה לו שעת הכושר ומעולם היה בר הקמת שם</w:t>
      </w:r>
      <w:r w:rsidRPr="00E14121">
        <w:rPr>
          <w:rStyle w:val="ac"/>
          <w:rFonts w:ascii="Narkisim" w:hAnsi="Narkisim" w:cs="Narkisim"/>
          <w:rtl/>
        </w:rPr>
        <w:footnoteReference w:id="4847"/>
      </w:r>
      <w:r w:rsidRPr="00E14121">
        <w:rPr>
          <w:rFonts w:ascii="Narkisim" w:hAnsi="Narkisim" w:cs="Narkisim"/>
          <w:rtl/>
        </w:rPr>
        <w:t xml:space="preserve">, ולכן יקימוהו אחיו אחר שנסתרס. אבל כשהיבם עצמו היום אינו בר הקמת שם, ולעולם לא יהא </w:t>
      </w:r>
      <w:r w:rsidRPr="00E14121">
        <w:rPr>
          <w:rFonts w:ascii="Narkisim" w:hAnsi="Narkisim" w:cs="Narkisim"/>
          <w:rtl/>
        </w:rPr>
        <w:lastRenderedPageBreak/>
        <w:t>ראוי להקמת שם. וצ"ע.</w:t>
      </w:r>
    </w:p>
    <w:p w14:paraId="166213A6"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 א) ביאר סברת רבא דאמרי' דגלי קרא דשעת הכושר מילתא היא, ולכן נחשב אף עכשיו 'בר הקמת שם'. אבל לר"א כיון דנעשה סריס נחשב דכבר אינו 'בר הקמת שם'.</w:t>
      </w:r>
    </w:p>
    <w:p w14:paraId="4B9892E8" w14:textId="77777777" w:rsidR="00F64AED" w:rsidRPr="00E14121" w:rsidRDefault="00F64AED" w:rsidP="00F64AED">
      <w:pPr>
        <w:pStyle w:val="a7"/>
        <w:bidi/>
        <w:rPr>
          <w:rFonts w:ascii="Narkisim" w:hAnsi="Narkisim"/>
        </w:rPr>
      </w:pPr>
      <w:r w:rsidRPr="00E14121">
        <w:rPr>
          <w:rFonts w:ascii="Narkisim" w:hAnsi="Narkisim"/>
          <w:rtl/>
        </w:rPr>
        <w:t>וכתב דבפשוטו ה"ה כשנעשה היבם סריס היבמה נפטרת בכך</w:t>
      </w:r>
      <w:r w:rsidRPr="00E14121">
        <w:rPr>
          <w:rStyle w:val="ac"/>
          <w:rFonts w:ascii="Narkisim" w:hAnsi="Narkisim"/>
          <w:rtl/>
        </w:rPr>
        <w:footnoteReference w:id="4848"/>
      </w:r>
      <w:r w:rsidRPr="00E14121">
        <w:rPr>
          <w:rFonts w:ascii="Narkisim" w:hAnsi="Narkisim"/>
          <w:rtl/>
        </w:rPr>
        <w:t>. אבל כתב דאפשר דר"א מודה דכיון דבשעת נפילה היה ראוי להקמת שם וחל עליו דין יבום, מהני הא דהיה שעת כושר משחל הדין יבום</w:t>
      </w:r>
      <w:r w:rsidRPr="00E14121">
        <w:rPr>
          <w:rStyle w:val="ac"/>
          <w:rFonts w:ascii="Narkisim" w:hAnsi="Narkisim"/>
          <w:rtl/>
        </w:rPr>
        <w:footnoteReference w:id="4849"/>
      </w:r>
      <w:r w:rsidRPr="00E14121">
        <w:rPr>
          <w:rFonts w:ascii="Narkisim" w:hAnsi="Narkisim"/>
          <w:rtl/>
        </w:rPr>
        <w:t>, ותו לא פקע, וסריס אינו כערוה דהוה איסור.</w:t>
      </w:r>
    </w:p>
    <w:p w14:paraId="3748B2B0" w14:textId="77777777" w:rsidR="00F64AED" w:rsidRPr="00E14121" w:rsidRDefault="00F64AED" w:rsidP="00F64AED">
      <w:pPr>
        <w:pStyle w:val="3"/>
        <w:bidi/>
        <w:rPr>
          <w:rFonts w:ascii="Narkisim" w:hAnsi="Narkisim"/>
        </w:rPr>
      </w:pPr>
      <w:r w:rsidRPr="00E14121">
        <w:rPr>
          <w:rFonts w:ascii="Narkisim" w:hAnsi="Narkisim"/>
          <w:rtl/>
        </w:rPr>
        <w:t>דף פ.</w:t>
      </w:r>
    </w:p>
    <w:p w14:paraId="7AFBCCB2" w14:textId="77777777" w:rsidR="00F64AED" w:rsidRPr="00E14121" w:rsidRDefault="00F64AED" w:rsidP="00F64AED">
      <w:pPr>
        <w:bidi/>
        <w:rPr>
          <w:rFonts w:ascii="Narkisim" w:hAnsi="Narkisim" w:cs="Narkisim"/>
        </w:rPr>
      </w:pPr>
      <w:r w:rsidRPr="00E14121">
        <w:rPr>
          <w:rFonts w:ascii="Narkisim" w:hAnsi="Narkisim" w:cs="Narkisim"/>
          <w:u w:val="single"/>
          <w:rtl/>
        </w:rPr>
        <w:t>וליחוש שמא הבריא.</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ביאר דקו' הגמ' דיהא צריך חליצה מספק. ותי' מוקמינן לה אחזקתו, דמילתא דלא שכיחא שהבריא בינתיים.</w:t>
      </w:r>
    </w:p>
    <w:p w14:paraId="28E8C2CD"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דנו מה ס"ד דחיישינן שהבריא, דכיון דעכשיו סריס לפנינו אמאי לא אמרי' דהיה כן מעולם, ודנו דתליא האם אמרי' חזקה דהשתא.</w:t>
      </w:r>
    </w:p>
    <w:p w14:paraId="0485E8F3" w14:textId="77777777" w:rsidR="00F64AED" w:rsidRPr="00E14121" w:rsidRDefault="00F64AED" w:rsidP="00F64AED">
      <w:pPr>
        <w:bidi/>
        <w:rPr>
          <w:rFonts w:ascii="Narkisim" w:hAnsi="Narkisim" w:cs="Narkisim"/>
        </w:rPr>
      </w:pPr>
      <w:r w:rsidRPr="00E14121">
        <w:rPr>
          <w:rFonts w:ascii="Narkisim" w:hAnsi="Narkisim" w:cs="Narkisim"/>
          <w:rtl/>
        </w:rPr>
        <w:t>ו</w:t>
      </w:r>
      <w:r w:rsidRPr="00E14121">
        <w:rPr>
          <w:rFonts w:ascii="Narkisim" w:hAnsi="Narkisim" w:cs="Narkisim"/>
          <w:b/>
          <w:bCs/>
          <w:rtl/>
        </w:rPr>
        <w:t>רע"א</w:t>
      </w:r>
      <w:r w:rsidRPr="00E14121">
        <w:rPr>
          <w:rFonts w:ascii="Narkisim" w:hAnsi="Narkisim" w:cs="Narkisim"/>
          <w:rtl/>
        </w:rPr>
        <w:t xml:space="preserve"> (על תוס' בע"ב) הביא דברי הראשונים (רשב"א חולין יא. ועוד) דאמרי' חזקה מכח רוב</w:t>
      </w:r>
      <w:r w:rsidRPr="00E14121">
        <w:rPr>
          <w:rStyle w:val="ac"/>
          <w:rFonts w:ascii="Narkisim" w:hAnsi="Narkisim" w:cs="Narkisim"/>
          <w:rtl/>
        </w:rPr>
        <w:footnoteReference w:id="4850"/>
      </w:r>
      <w:r w:rsidRPr="00E14121">
        <w:rPr>
          <w:rFonts w:ascii="Narkisim" w:hAnsi="Narkisim" w:cs="Narkisim"/>
          <w:rtl/>
        </w:rPr>
        <w:t>, ודן דה"נ כיון דהוחזק ע"פ רוב דאינו סריס, אמרי' עפ"ז חזקה דנפסל יותר מאוחר, ואינו סריס מעיקרא. וכ"כ ה</w:t>
      </w:r>
      <w:r w:rsidRPr="00E14121">
        <w:rPr>
          <w:rFonts w:ascii="Narkisim" w:hAnsi="Narkisim" w:cs="Narkisim"/>
          <w:b/>
          <w:bCs/>
          <w:rtl/>
        </w:rPr>
        <w:t>חזו"א</w:t>
      </w:r>
      <w:r w:rsidRPr="00E14121">
        <w:rPr>
          <w:rFonts w:ascii="Narkisim" w:hAnsi="Narkisim" w:cs="Narkisim"/>
          <w:rtl/>
        </w:rPr>
        <w:t xml:space="preserve"> (פא ז).</w:t>
      </w:r>
    </w:p>
    <w:p w14:paraId="204667C7"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כת' דמ"מ מסתבר דעדיף טפי לומר דכך היה מעולם, וע"פ חזקה לומר דלא נשתנה הגוף. וה</w:t>
      </w:r>
      <w:r w:rsidRPr="00E14121">
        <w:rPr>
          <w:rFonts w:ascii="Narkisim" w:hAnsi="Narkisim"/>
          <w:b/>
          <w:bCs/>
          <w:rtl/>
        </w:rPr>
        <w:t>חזו"א</w:t>
      </w:r>
      <w:r w:rsidRPr="00E14121">
        <w:rPr>
          <w:rFonts w:ascii="Narkisim" w:hAnsi="Narkisim"/>
          <w:rtl/>
        </w:rPr>
        <w:t xml:space="preserve"> כתב דאילו נתרפא מתברר דאינו פגם סריס, אלא חולי בעלמא, ולכן חיישינן שנתרפא.</w:t>
      </w:r>
    </w:p>
    <w:p w14:paraId="48080B4B" w14:textId="77777777" w:rsidR="00F64AED" w:rsidRPr="00E14121" w:rsidRDefault="00F64AED" w:rsidP="00F64AED">
      <w:pPr>
        <w:bidi/>
        <w:rPr>
          <w:rFonts w:ascii="Narkisim" w:hAnsi="Narkisim" w:cs="Narkisim"/>
        </w:rPr>
      </w:pPr>
      <w:r w:rsidRPr="00E14121">
        <w:rPr>
          <w:rFonts w:ascii="Narkisim" w:hAnsi="Narkisim" w:cs="Narkisim"/>
          <w:u w:val="single"/>
          <w:rtl/>
        </w:rPr>
        <w:t>ורמינהו בן כ' וכו' והוא הסריס וכו'.</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כלומר ונולדו לו סימני סריס [כדאיתא בגמ' נדה מז:]. ומבואר דאף שיש לו סימני סריס אינו גדול עד שיביא שערות או יהא בן כ'. וכ"פ ה</w:t>
      </w:r>
      <w:r w:rsidRPr="00E14121">
        <w:rPr>
          <w:rFonts w:ascii="Narkisim" w:hAnsi="Narkisim" w:cs="Narkisim"/>
          <w:b/>
          <w:bCs/>
          <w:rtl/>
        </w:rPr>
        <w:t>רמב"ם</w:t>
      </w:r>
      <w:r w:rsidRPr="00E14121">
        <w:rPr>
          <w:rFonts w:ascii="Narkisim" w:hAnsi="Narkisim" w:cs="Narkisim"/>
          <w:rtl/>
        </w:rPr>
        <w:t xml:space="preserve"> </w:t>
      </w:r>
      <w:r w:rsidRPr="00E14121">
        <w:rPr>
          <w:rFonts w:ascii="Narkisim" w:hAnsi="Narkisim" w:cs="Narkisim"/>
          <w:sz w:val="20"/>
          <w:szCs w:val="20"/>
          <w:rtl/>
        </w:rPr>
        <w:t>(אישות ב ג גבי בת, ושם יא גבי בן)</w:t>
      </w:r>
      <w:r w:rsidRPr="00E14121">
        <w:rPr>
          <w:rFonts w:ascii="Narkisim" w:hAnsi="Narkisim" w:cs="Narkisim"/>
          <w:rtl/>
        </w:rPr>
        <w:t>.</w:t>
      </w:r>
    </w:p>
    <w:p w14:paraId="77A61974"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 xml:space="preserve">רמב"ם </w:t>
      </w:r>
      <w:r w:rsidRPr="00E14121">
        <w:rPr>
          <w:rFonts w:ascii="Narkisim" w:hAnsi="Narkisim"/>
          <w:rtl/>
        </w:rPr>
        <w:t>(ב יד) כתב דכ"ז בסריס חמה, אבל סריס אדם [שחתכו או נתקו או מיעכו אבריו] הוא גדול מבן י"ג ויום א', דאינו מביא סימן לעולם</w:t>
      </w:r>
      <w:r w:rsidRPr="00E14121">
        <w:rPr>
          <w:rStyle w:val="ac"/>
          <w:rFonts w:ascii="Narkisim" w:hAnsi="Narkisim"/>
          <w:rtl/>
        </w:rPr>
        <w:footnoteReference w:id="4851"/>
      </w:r>
      <w:r w:rsidRPr="00E14121">
        <w:rPr>
          <w:rFonts w:ascii="Narkisim" w:hAnsi="Narkisim"/>
          <w:rtl/>
        </w:rPr>
        <w:t>.</w:t>
      </w:r>
      <w:r w:rsidRPr="00E14121">
        <w:rPr>
          <w:rFonts w:ascii="Narkisim" w:hAnsi="Narkisim"/>
          <w:sz w:val="20"/>
          <w:szCs w:val="20"/>
          <w:rtl/>
        </w:rPr>
        <w:t xml:space="preserve"> וה</w:t>
      </w:r>
      <w:r w:rsidRPr="00E14121">
        <w:rPr>
          <w:rFonts w:ascii="Narkisim" w:hAnsi="Narkisim"/>
          <w:b/>
          <w:bCs/>
          <w:sz w:val="20"/>
          <w:szCs w:val="20"/>
          <w:rtl/>
        </w:rPr>
        <w:t>אחרונים</w:t>
      </w:r>
      <w:r w:rsidRPr="00E14121">
        <w:rPr>
          <w:rFonts w:ascii="Narkisim" w:hAnsi="Narkisim"/>
          <w:sz w:val="20"/>
          <w:szCs w:val="20"/>
          <w:rtl/>
        </w:rPr>
        <w:t xml:space="preserve"> דנו א"כ נימא דספק פצוע דכא שהביא אח"כ שערות, דהוכח שהוא כשר</w:t>
      </w:r>
      <w:r w:rsidRPr="00E14121">
        <w:rPr>
          <w:rStyle w:val="ac"/>
          <w:rFonts w:ascii="Narkisim" w:hAnsi="Narkisim"/>
          <w:sz w:val="20"/>
          <w:szCs w:val="20"/>
          <w:rtl/>
        </w:rPr>
        <w:footnoteReference w:id="4852"/>
      </w:r>
      <w:r w:rsidRPr="00E14121">
        <w:rPr>
          <w:rFonts w:ascii="Narkisim" w:hAnsi="Narkisim"/>
          <w:sz w:val="20"/>
          <w:szCs w:val="20"/>
          <w:rtl/>
        </w:rPr>
        <w:t>.</w:t>
      </w:r>
    </w:p>
    <w:p w14:paraId="3A2B75D8"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מהרי"ט</w:t>
      </w:r>
      <w:r w:rsidRPr="00E14121">
        <w:rPr>
          <w:rFonts w:ascii="Narkisim" w:hAnsi="Narkisim" w:cs="Narkisim"/>
          <w:rtl/>
        </w:rPr>
        <w:t xml:space="preserve"> (א נא) כת' דשנים וסימנים אינה עיקר הגדלות [שהן גורמין הדין</w:t>
      </w:r>
      <w:r w:rsidRPr="00E14121">
        <w:rPr>
          <w:rStyle w:val="ac"/>
          <w:rFonts w:ascii="Narkisim" w:hAnsi="Narkisim" w:cs="Narkisim"/>
          <w:rtl/>
        </w:rPr>
        <w:footnoteReference w:id="4853"/>
      </w:r>
      <w:r w:rsidRPr="00E14121">
        <w:rPr>
          <w:rFonts w:ascii="Narkisim" w:hAnsi="Narkisim" w:cs="Narkisim"/>
          <w:rtl/>
        </w:rPr>
        <w:t>], אלא הוה בגדר סימן והוכחה לגדלות</w:t>
      </w:r>
      <w:r w:rsidRPr="00E14121">
        <w:rPr>
          <w:rStyle w:val="ac"/>
          <w:rFonts w:ascii="Narkisim" w:hAnsi="Narkisim" w:cs="Narkisim"/>
          <w:rtl/>
        </w:rPr>
        <w:footnoteReference w:id="4854"/>
      </w:r>
      <w:r w:rsidRPr="00E14121">
        <w:rPr>
          <w:rFonts w:ascii="Narkisim" w:hAnsi="Narkisim" w:cs="Narkisim"/>
          <w:rtl/>
        </w:rPr>
        <w:t>. תדע שהרי סריס ואילונית נעשין גדול בלא שערות</w:t>
      </w:r>
      <w:r w:rsidRPr="00E14121">
        <w:rPr>
          <w:rStyle w:val="ac"/>
          <w:rFonts w:ascii="Narkisim" w:hAnsi="Narkisim" w:cs="Narkisim"/>
          <w:rtl/>
        </w:rPr>
        <w:footnoteReference w:id="4855"/>
      </w:r>
      <w:r w:rsidRPr="00E14121">
        <w:rPr>
          <w:rFonts w:ascii="Narkisim" w:hAnsi="Narkisim" w:cs="Narkisim"/>
          <w:rtl/>
        </w:rPr>
        <w:t>. וה</w:t>
      </w:r>
      <w:r w:rsidRPr="00E14121">
        <w:rPr>
          <w:rFonts w:ascii="Narkisim" w:hAnsi="Narkisim" w:cs="Narkisim"/>
          <w:b/>
          <w:bCs/>
          <w:rtl/>
        </w:rPr>
        <w:t>פרמ"ג</w:t>
      </w:r>
      <w:r w:rsidRPr="00E14121">
        <w:rPr>
          <w:rFonts w:ascii="Narkisim" w:hAnsi="Narkisim" w:cs="Narkisim"/>
          <w:rtl/>
        </w:rPr>
        <w:t xml:space="preserve"> (פתיחה ח"ב יא), ו</w:t>
      </w:r>
      <w:r w:rsidRPr="00E14121">
        <w:rPr>
          <w:rFonts w:ascii="Narkisim" w:hAnsi="Narkisim" w:cs="Narkisim"/>
          <w:b/>
          <w:bCs/>
          <w:rtl/>
        </w:rPr>
        <w:t>בי"מ</w:t>
      </w:r>
      <w:r w:rsidRPr="00E14121">
        <w:rPr>
          <w:rFonts w:ascii="Narkisim" w:hAnsi="Narkisim" w:cs="Narkisim"/>
          <w:rtl/>
        </w:rPr>
        <w:t xml:space="preserve"> (קנה יב, וקעב ז) כת' דסריס נחשב גדול מבן י"ג דאמרי' מסתמא היה מביא סימנים מבן י"ג. ומשום חזקה דרבא (נדה מו. ומח: דמשהגיע לכלל שנים </w:t>
      </w:r>
      <w:r w:rsidRPr="00E14121">
        <w:rPr>
          <w:rFonts w:ascii="Narkisim" w:hAnsi="Narkisim" w:cs="Narkisim"/>
          <w:rtl/>
        </w:rPr>
        <w:lastRenderedPageBreak/>
        <w:t xml:space="preserve">תלינן שהביא סימנים). </w:t>
      </w:r>
      <w:r w:rsidRPr="00E14121">
        <w:rPr>
          <w:rFonts w:ascii="Narkisim" w:hAnsi="Narkisim" w:cs="Narkisim"/>
          <w:sz w:val="20"/>
          <w:szCs w:val="20"/>
          <w:rtl/>
        </w:rPr>
        <w:t>[והפרמ"ג ובית מאיר הביאו מכאן דמהני חזקה דרבא מדאוריי'</w:t>
      </w:r>
      <w:r w:rsidRPr="00E14121">
        <w:rPr>
          <w:rStyle w:val="ac"/>
          <w:rFonts w:ascii="Narkisim" w:hAnsi="Narkisim" w:cs="Narkisim"/>
          <w:sz w:val="20"/>
          <w:szCs w:val="20"/>
          <w:rtl/>
        </w:rPr>
        <w:footnoteReference w:id="4856"/>
      </w:r>
      <w:r w:rsidRPr="00E14121">
        <w:rPr>
          <w:rFonts w:ascii="Narkisim" w:hAnsi="Narkisim" w:cs="Narkisim"/>
          <w:sz w:val="20"/>
          <w:szCs w:val="20"/>
          <w:rtl/>
        </w:rPr>
        <w:t>, היכא דלא שייך בירור].</w:t>
      </w:r>
    </w:p>
    <w:p w14:paraId="3054BF4E"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גר"ח</w:t>
      </w:r>
      <w:r w:rsidRPr="00E14121">
        <w:rPr>
          <w:rFonts w:ascii="Narkisim" w:hAnsi="Narkisim"/>
          <w:rtl/>
        </w:rPr>
        <w:t xml:space="preserve"> (אישות ב ט ד"ה ונראה) כת' דגדלותו של סריס הוה בשנים לבד. דבסריס ההלכה למשה מסיני דשיעור גדלותו הוה בשנים</w:t>
      </w:r>
      <w:r w:rsidRPr="00E14121">
        <w:rPr>
          <w:rStyle w:val="ac"/>
          <w:rFonts w:ascii="Narkisim" w:hAnsi="Narkisim"/>
          <w:rtl/>
        </w:rPr>
        <w:footnoteReference w:id="4857"/>
      </w:r>
      <w:r w:rsidRPr="00E14121">
        <w:rPr>
          <w:rFonts w:ascii="Narkisim" w:hAnsi="Narkisim"/>
          <w:rtl/>
        </w:rPr>
        <w:t>. וכ"כ ה</w:t>
      </w:r>
      <w:r w:rsidRPr="00E14121">
        <w:rPr>
          <w:rFonts w:ascii="Narkisim" w:hAnsi="Narkisim"/>
          <w:b/>
          <w:bCs/>
          <w:rtl/>
        </w:rPr>
        <w:t>יד רמ"ה</w:t>
      </w:r>
      <w:r w:rsidRPr="00E14121">
        <w:rPr>
          <w:rFonts w:ascii="Narkisim" w:hAnsi="Narkisim"/>
          <w:rtl/>
        </w:rPr>
        <w:t xml:space="preserve"> (ב"ב קנה:</w:t>
      </w:r>
      <w:r w:rsidRPr="00E14121">
        <w:rPr>
          <w:rStyle w:val="ac"/>
          <w:rFonts w:ascii="Narkisim" w:hAnsi="Narkisim"/>
          <w:rtl/>
        </w:rPr>
        <w:footnoteReference w:id="4858"/>
      </w:r>
      <w:r w:rsidRPr="00E14121">
        <w:rPr>
          <w:rFonts w:ascii="Narkisim" w:hAnsi="Narkisim"/>
          <w:rtl/>
        </w:rPr>
        <w:t>).</w:t>
      </w:r>
    </w:p>
    <w:p w14:paraId="3E3BD307" w14:textId="77777777" w:rsidR="00F64AED" w:rsidRPr="00E14121" w:rsidRDefault="00F64AED" w:rsidP="00F64AED">
      <w:pPr>
        <w:pStyle w:val="aa"/>
        <w:bidi/>
        <w:rPr>
          <w:rFonts w:ascii="Narkisim" w:hAnsi="Narkisim"/>
        </w:rPr>
      </w:pPr>
      <w:r w:rsidRPr="00E14121">
        <w:rPr>
          <w:rFonts w:ascii="Narkisim" w:hAnsi="Narkisim"/>
          <w:u w:val="single"/>
          <w:rtl/>
        </w:rPr>
        <w:t>כי תנן ההיא לעונשין וכו'</w:t>
      </w:r>
      <w:r w:rsidRPr="00E14121">
        <w:rPr>
          <w:rFonts w:ascii="Narkisim" w:hAnsi="Narkisim"/>
          <w:rtl/>
        </w:rPr>
        <w:t xml:space="preserve">. </w:t>
      </w:r>
      <w:r w:rsidRPr="00E14121">
        <w:rPr>
          <w:rFonts w:ascii="Narkisim" w:hAnsi="Narkisim"/>
          <w:b/>
          <w:bCs/>
          <w:rtl/>
        </w:rPr>
        <w:t>רע"א</w:t>
      </w:r>
      <w:r w:rsidRPr="00E14121">
        <w:rPr>
          <w:rFonts w:ascii="Narkisim" w:hAnsi="Narkisim"/>
          <w:rtl/>
        </w:rPr>
        <w:t xml:space="preserve"> הק' דהו"ל למימר לענין חליצה [דעסיק ביה], דהוה גדול שיוכל לחלוץ.</w:t>
      </w:r>
    </w:p>
    <w:p w14:paraId="181B7628" w14:textId="77777777" w:rsidR="00F64AED" w:rsidRPr="00E14121" w:rsidRDefault="00F64AED" w:rsidP="00F64AED">
      <w:pPr>
        <w:bidi/>
        <w:rPr>
          <w:rFonts w:ascii="Narkisim" w:hAnsi="Narkisim" w:cs="Narkisim"/>
        </w:rPr>
      </w:pPr>
      <w:r w:rsidRPr="00E14121">
        <w:rPr>
          <w:rFonts w:ascii="Narkisim" w:hAnsi="Narkisim" w:cs="Narkisim"/>
          <w:u w:val="single"/>
          <w:rtl/>
        </w:rPr>
        <w:t>איתמר אכל חלב מבן י"ב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אתינוקת קאי. וכ"ד תוס' דקאי אנקיבה. וה</w:t>
      </w:r>
      <w:r w:rsidRPr="00E14121">
        <w:rPr>
          <w:rFonts w:ascii="Narkisim" w:hAnsi="Narkisim" w:cs="Narkisim"/>
          <w:b/>
          <w:bCs/>
          <w:rtl/>
        </w:rPr>
        <w:t>רמב"ן</w:t>
      </w:r>
      <w:r w:rsidRPr="00E14121">
        <w:rPr>
          <w:rFonts w:ascii="Narkisim" w:hAnsi="Narkisim" w:cs="Narkisim"/>
          <w:rtl/>
        </w:rPr>
        <w:t xml:space="preserve"> הקשה דהגמ' נקט סימני סריס ולא איילונית, משמע דקאי אזכר</w:t>
      </w:r>
      <w:r w:rsidRPr="00E14121">
        <w:rPr>
          <w:rStyle w:val="ac"/>
          <w:rFonts w:ascii="Narkisim" w:hAnsi="Narkisim" w:cs="Narkisim"/>
          <w:rtl/>
        </w:rPr>
        <w:footnoteReference w:id="4859"/>
      </w:r>
      <w:r w:rsidRPr="00E14121">
        <w:rPr>
          <w:rFonts w:ascii="Narkisim" w:hAnsi="Narkisim" w:cs="Narkisim"/>
          <w:rtl/>
        </w:rPr>
        <w:t>. וה</w:t>
      </w:r>
      <w:r w:rsidRPr="00E14121">
        <w:rPr>
          <w:rFonts w:ascii="Narkisim" w:hAnsi="Narkisim" w:cs="Narkisim"/>
          <w:b/>
          <w:bCs/>
          <w:rtl/>
        </w:rPr>
        <w:t>רמב"ן</w:t>
      </w:r>
      <w:r w:rsidRPr="00E14121">
        <w:rPr>
          <w:rFonts w:ascii="Narkisim" w:hAnsi="Narkisim" w:cs="Narkisim"/>
          <w:rtl/>
        </w:rPr>
        <w:t xml:space="preserve"> פי' דרב ס"ל מבן י"ב ויום א' מהני הבאת סימנים, וכמ"ד (נדה מו) תוך הזמן כלאחר הזמן. וה</w:t>
      </w:r>
      <w:r w:rsidRPr="00E14121">
        <w:rPr>
          <w:rFonts w:ascii="Narkisim" w:hAnsi="Narkisim" w:cs="Narkisim"/>
          <w:b/>
          <w:bCs/>
          <w:rtl/>
        </w:rPr>
        <w:t>רשב"א</w:t>
      </w:r>
      <w:r w:rsidRPr="00E14121">
        <w:rPr>
          <w:rFonts w:ascii="Narkisim" w:hAnsi="Narkisim" w:cs="Narkisim"/>
          <w:rtl/>
        </w:rPr>
        <w:t xml:space="preserve"> הקשה דרב (בסוגיא שם) סבר תוך הזמן כלאחר הזמן. ועוד הקשה ה</w:t>
      </w:r>
      <w:r w:rsidRPr="00E14121">
        <w:rPr>
          <w:rFonts w:ascii="Narkisim" w:hAnsi="Narkisim" w:cs="Narkisim"/>
          <w:b/>
          <w:bCs/>
          <w:rtl/>
        </w:rPr>
        <w:t>ריטב"א</w:t>
      </w:r>
      <w:r w:rsidRPr="00E14121">
        <w:rPr>
          <w:rFonts w:ascii="Narkisim" w:hAnsi="Narkisim" w:cs="Narkisim"/>
          <w:rtl/>
        </w:rPr>
        <w:t xml:space="preserve"> דאפי' למ"ד תוך הזמן כלאחר זמן, ה"מ כשמיהר להביא שערות ממש, אבל בסריס די שנדון אותו כגדול מזמן רוב התינוקות, משנת י"ג ואילך.</w:t>
      </w:r>
    </w:p>
    <w:p w14:paraId="7090A25D" w14:textId="77777777" w:rsidR="00F64AED" w:rsidRPr="00E14121" w:rsidRDefault="00F64AED" w:rsidP="00F64AED">
      <w:pPr>
        <w:pStyle w:val="a8"/>
        <w:bidi/>
        <w:rPr>
          <w:rFonts w:ascii="Narkisim" w:hAnsi="Narkisim"/>
        </w:rPr>
      </w:pPr>
      <w:r w:rsidRPr="00E14121">
        <w:rPr>
          <w:rFonts w:ascii="Narkisim" w:hAnsi="Narkisim"/>
          <w:rtl/>
        </w:rPr>
        <w:t>ולצד (הנ"ל) דגדלות סריס בי"ג שנים הוה מדין חזקה דרבא, א"כ צ"ע סברת הרמב"ן, דתוך הזמן לא שייך חזקה דרבא. וב</w:t>
      </w:r>
      <w:r w:rsidRPr="00E14121">
        <w:rPr>
          <w:rFonts w:ascii="Narkisim" w:hAnsi="Narkisim"/>
          <w:b/>
          <w:bCs/>
          <w:rtl/>
        </w:rPr>
        <w:t>חי' ר' שמואל</w:t>
      </w:r>
      <w:r w:rsidRPr="00E14121">
        <w:rPr>
          <w:rFonts w:ascii="Narkisim" w:hAnsi="Narkisim"/>
          <w:rtl/>
        </w:rPr>
        <w:t xml:space="preserve"> (ט ה) פי' דברי הרמב"ן ע"פ דברי ה</w:t>
      </w:r>
      <w:r w:rsidRPr="00E14121">
        <w:rPr>
          <w:rFonts w:ascii="Narkisim" w:hAnsi="Narkisim"/>
          <w:b/>
          <w:bCs/>
          <w:rtl/>
        </w:rPr>
        <w:t>גר"ח</w:t>
      </w:r>
      <w:r w:rsidRPr="00E14121">
        <w:rPr>
          <w:rFonts w:ascii="Narkisim" w:hAnsi="Narkisim"/>
          <w:rtl/>
        </w:rPr>
        <w:t xml:space="preserve"> [וה</w:t>
      </w:r>
      <w:r w:rsidRPr="00E14121">
        <w:rPr>
          <w:rFonts w:ascii="Narkisim" w:hAnsi="Narkisim"/>
          <w:b/>
          <w:bCs/>
          <w:rtl/>
        </w:rPr>
        <w:t xml:space="preserve">רמ"ה </w:t>
      </w:r>
      <w:r w:rsidRPr="00E14121">
        <w:rPr>
          <w:rFonts w:ascii="Narkisim" w:hAnsi="Narkisim"/>
          <w:rtl/>
        </w:rPr>
        <w:t>הנ"ל] דגדלות סריס נקבע בשנים, וכיון דמהני גדלות מבן י"ב ויום א' [למ"ד תוך הזמן], א"כ אף בסריס סגי בי"ב. וביאר דדעת הריטב"א דבכל קטן שנים לא מהני לגדלות</w:t>
      </w:r>
      <w:r w:rsidRPr="00E14121">
        <w:rPr>
          <w:rStyle w:val="ac"/>
          <w:rFonts w:ascii="Narkisim" w:hAnsi="Narkisim"/>
          <w:rtl/>
        </w:rPr>
        <w:footnoteReference w:id="4860"/>
      </w:r>
      <w:r w:rsidRPr="00E14121">
        <w:rPr>
          <w:rFonts w:ascii="Narkisim" w:hAnsi="Narkisim"/>
          <w:rtl/>
        </w:rPr>
        <w:t>, ורק בסריס נתחדש דכיון דאין לו סימנים נהיה גדול בשנים לחוד. וא"כ מסתבר דדין שנים זה נקבע לפי רוב תינוקות.</w:t>
      </w:r>
    </w:p>
    <w:p w14:paraId="77B1AEB6"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 xml:space="preserve">רמב"ן </w:t>
      </w:r>
      <w:r w:rsidRPr="00E14121">
        <w:rPr>
          <w:rFonts w:ascii="Narkisim" w:hAnsi="Narkisim" w:cs="Narkisim"/>
          <w:rtl/>
        </w:rPr>
        <w:t>סיים אבל נקיבה אינה אילונית עד י"ב שנה וששה חדשים</w:t>
      </w:r>
      <w:r w:rsidRPr="00E14121">
        <w:rPr>
          <w:rStyle w:val="ac"/>
          <w:rFonts w:ascii="Narkisim" w:hAnsi="Narkisim" w:cs="Narkisim"/>
          <w:rtl/>
        </w:rPr>
        <w:footnoteReference w:id="4861"/>
      </w:r>
      <w:r w:rsidRPr="00E14121">
        <w:rPr>
          <w:rFonts w:ascii="Narkisim" w:hAnsi="Narkisim" w:cs="Narkisim"/>
          <w:rtl/>
        </w:rPr>
        <w:t xml:space="preserve">, שמקטנותה יצאתה לבגר </w:t>
      </w:r>
      <w:r w:rsidRPr="00E14121">
        <w:rPr>
          <w:rFonts w:ascii="Narkisim" w:hAnsi="Narkisim" w:cs="Narkisim"/>
          <w:sz w:val="20"/>
          <w:szCs w:val="20"/>
          <w:rtl/>
        </w:rPr>
        <w:t>[כדאמרי' בגמ' בסמוך]</w:t>
      </w:r>
      <w:r w:rsidRPr="00E14121">
        <w:rPr>
          <w:rFonts w:ascii="Narkisim" w:hAnsi="Narkisim" w:cs="Narkisim"/>
          <w:rtl/>
        </w:rPr>
        <w:t xml:space="preserve">. </w:t>
      </w:r>
      <w:r w:rsidRPr="00E14121">
        <w:rPr>
          <w:rFonts w:ascii="Narkisim" w:hAnsi="Narkisim" w:cs="Narkisim"/>
          <w:sz w:val="20"/>
          <w:szCs w:val="20"/>
          <w:rtl/>
        </w:rPr>
        <w:t>ואינה נעשה גדולה אלא ע"י הבגרות. וה</w:t>
      </w:r>
      <w:r w:rsidRPr="00E14121">
        <w:rPr>
          <w:rFonts w:ascii="Narkisim" w:hAnsi="Narkisim" w:cs="Narkisim"/>
          <w:b/>
          <w:bCs/>
          <w:sz w:val="20"/>
          <w:szCs w:val="20"/>
          <w:rtl/>
        </w:rPr>
        <w:t>נוב"י</w:t>
      </w:r>
      <w:r w:rsidRPr="00E14121">
        <w:rPr>
          <w:rFonts w:ascii="Narkisim" w:hAnsi="Narkisim" w:cs="Narkisim"/>
          <w:sz w:val="20"/>
          <w:szCs w:val="20"/>
          <w:rtl/>
        </w:rPr>
        <w:t xml:space="preserve"> (אה"ע ת מג) הביא את דברי הרמב"ן דכיון דא"א להחשב בוגרת עד י"ב ומחצה, ע"כ תשאר קטנה, כיון דבאילונית לא נתחדש 'נערות'.</w:t>
      </w:r>
      <w:r w:rsidRPr="00E14121">
        <w:rPr>
          <w:rFonts w:ascii="Narkisim" w:hAnsi="Narkisim" w:cs="Narkisim"/>
          <w:rtl/>
        </w:rPr>
        <w:t xml:space="preserve"> [וע' בסמוך].</w:t>
      </w:r>
    </w:p>
    <w:p w14:paraId="76886FBB" w14:textId="77777777" w:rsidR="00F64AED" w:rsidRPr="00E14121" w:rsidRDefault="00F64AED" w:rsidP="00F64AED">
      <w:pPr>
        <w:bidi/>
        <w:rPr>
          <w:rFonts w:ascii="Narkisim" w:hAnsi="Narkisim" w:cs="Narkisim"/>
        </w:rPr>
      </w:pPr>
      <w:r w:rsidRPr="00E14121">
        <w:rPr>
          <w:rFonts w:ascii="Narkisim" w:hAnsi="Narkisim" w:cs="Narkisim"/>
          <w:u w:val="single"/>
          <w:rtl/>
        </w:rPr>
        <w:t>רב אמר נעשה סריס למפרע.</w:t>
      </w:r>
      <w:r w:rsidRPr="00E14121">
        <w:rPr>
          <w:rFonts w:ascii="Narkisim" w:hAnsi="Narkisim" w:cs="Narkisim"/>
          <w:rtl/>
        </w:rPr>
        <w:t xml:space="preserve"> בפשוטו סברת רב דע"י סימני סריס מתברר דהוה סריס, וגדלות סריס הוה מבן י"ג (וכנ"ל) [ומשום חזקה דרבא או משום הלכה]. וסימני סריס אינם שייכים כלל לגדלות</w:t>
      </w:r>
      <w:r w:rsidRPr="00E14121">
        <w:rPr>
          <w:rStyle w:val="ac"/>
          <w:rFonts w:ascii="Narkisim" w:hAnsi="Narkisim" w:cs="Narkisim"/>
          <w:rtl/>
        </w:rPr>
        <w:footnoteReference w:id="4862"/>
      </w:r>
      <w:r w:rsidRPr="00E14121">
        <w:rPr>
          <w:rFonts w:ascii="Narkisim" w:hAnsi="Narkisim" w:cs="Narkisim"/>
          <w:rtl/>
        </w:rPr>
        <w:t xml:space="preserve"> </w:t>
      </w:r>
      <w:r w:rsidRPr="00E14121">
        <w:rPr>
          <w:rFonts w:ascii="Narkisim" w:hAnsi="Narkisim" w:cs="Narkisim"/>
          <w:sz w:val="20"/>
          <w:szCs w:val="20"/>
          <w:rtl/>
        </w:rPr>
        <w:t>[וכ"כ ה</w:t>
      </w:r>
      <w:r w:rsidRPr="00E14121">
        <w:rPr>
          <w:rFonts w:ascii="Narkisim" w:hAnsi="Narkisim" w:cs="Narkisim"/>
          <w:b/>
          <w:bCs/>
          <w:sz w:val="20"/>
          <w:szCs w:val="20"/>
          <w:rtl/>
        </w:rPr>
        <w:t>גר"ח</w:t>
      </w:r>
      <w:r w:rsidRPr="00E14121">
        <w:rPr>
          <w:rFonts w:ascii="Narkisim" w:hAnsi="Narkisim" w:cs="Narkisim"/>
          <w:sz w:val="20"/>
          <w:szCs w:val="20"/>
          <w:rtl/>
        </w:rPr>
        <w:t xml:space="preserve"> בצד הראשון, ושוב הסיק כן בד"ה ועוד</w:t>
      </w:r>
      <w:r w:rsidRPr="00E14121">
        <w:rPr>
          <w:rFonts w:ascii="Narkisim" w:hAnsi="Narkisim" w:cs="Narkisim"/>
          <w:rtl/>
        </w:rPr>
        <w:t>]. וה</w:t>
      </w:r>
      <w:r w:rsidRPr="00E14121">
        <w:rPr>
          <w:rFonts w:ascii="Narkisim" w:hAnsi="Narkisim" w:cs="Narkisim"/>
          <w:b/>
          <w:bCs/>
          <w:rtl/>
        </w:rPr>
        <w:t>גר"ח</w:t>
      </w:r>
      <w:r w:rsidRPr="00E14121">
        <w:rPr>
          <w:rFonts w:ascii="Narkisim" w:hAnsi="Narkisim" w:cs="Narkisim"/>
          <w:rtl/>
        </w:rPr>
        <w:t xml:space="preserve"> (שם) כתב די"ל עוד דאף לרב בעינן דוקא סימני סריס</w:t>
      </w:r>
      <w:r w:rsidRPr="00E14121">
        <w:rPr>
          <w:rStyle w:val="ac"/>
          <w:rFonts w:ascii="Narkisim" w:hAnsi="Narkisim" w:cs="Narkisim"/>
          <w:rtl/>
        </w:rPr>
        <w:footnoteReference w:id="4863"/>
      </w:r>
      <w:r w:rsidRPr="00E14121">
        <w:rPr>
          <w:rFonts w:ascii="Narkisim" w:hAnsi="Narkisim" w:cs="Narkisim"/>
          <w:rtl/>
        </w:rPr>
        <w:t xml:space="preserve">, אלא דס"ל דע"י סימני הסריס, הגדלות הוה למפרע. </w:t>
      </w:r>
      <w:r w:rsidRPr="00E14121">
        <w:rPr>
          <w:rFonts w:ascii="Narkisim" w:hAnsi="Narkisim" w:cs="Narkisim"/>
          <w:sz w:val="20"/>
          <w:szCs w:val="20"/>
          <w:rtl/>
        </w:rPr>
        <w:t>[ולפ"ז עכשיו 'נעשה' גדול, וחל עי"ז למפרע</w:t>
      </w:r>
      <w:r w:rsidRPr="00E14121">
        <w:rPr>
          <w:rStyle w:val="ac"/>
          <w:rFonts w:ascii="Narkisim" w:hAnsi="Narkisim" w:cs="Narkisim"/>
          <w:sz w:val="20"/>
          <w:szCs w:val="20"/>
          <w:rtl/>
        </w:rPr>
        <w:footnoteReference w:id="4864"/>
      </w:r>
      <w:r w:rsidRPr="00E14121">
        <w:rPr>
          <w:rFonts w:ascii="Narkisim" w:hAnsi="Narkisim" w:cs="Narkisim"/>
          <w:sz w:val="20"/>
          <w:szCs w:val="20"/>
          <w:rtl/>
        </w:rPr>
        <w:t>].</w:t>
      </w:r>
    </w:p>
    <w:p w14:paraId="6B333D43" w14:textId="77777777" w:rsidR="00F64AED" w:rsidRPr="00E14121" w:rsidRDefault="00F64AED" w:rsidP="00F64AED">
      <w:pPr>
        <w:bidi/>
        <w:rPr>
          <w:rFonts w:ascii="Narkisim" w:hAnsi="Narkisim" w:cs="Narkisim"/>
        </w:rPr>
      </w:pPr>
      <w:r w:rsidRPr="00E14121">
        <w:rPr>
          <w:rFonts w:ascii="Narkisim" w:hAnsi="Narkisim" w:cs="Narkisim"/>
          <w:rtl/>
        </w:rPr>
        <w:t>אבל ה</w:t>
      </w:r>
      <w:r w:rsidRPr="00E14121">
        <w:rPr>
          <w:rFonts w:ascii="Narkisim" w:hAnsi="Narkisim" w:cs="Narkisim"/>
          <w:b/>
          <w:bCs/>
          <w:rtl/>
        </w:rPr>
        <w:t xml:space="preserve">ראשונים </w:t>
      </w:r>
      <w:r w:rsidRPr="00E14121">
        <w:rPr>
          <w:rFonts w:ascii="Narkisim" w:hAnsi="Narkisim" w:cs="Narkisim"/>
          <w:rtl/>
        </w:rPr>
        <w:t>(קידושין ד.) הביאו בשם ה</w:t>
      </w:r>
      <w:r w:rsidRPr="00E14121">
        <w:rPr>
          <w:rFonts w:ascii="Narkisim" w:hAnsi="Narkisim" w:cs="Narkisim"/>
          <w:b/>
          <w:bCs/>
          <w:rtl/>
        </w:rPr>
        <w:t>ראב"ד</w:t>
      </w:r>
      <w:r w:rsidRPr="00E14121">
        <w:rPr>
          <w:rFonts w:ascii="Narkisim" w:hAnsi="Narkisim" w:cs="Narkisim"/>
          <w:rtl/>
        </w:rPr>
        <w:t xml:space="preserve"> דאיגלאי למפרע דהוה גדולה רק משעה שהביאה סימני אילונית</w:t>
      </w:r>
      <w:r w:rsidRPr="00E14121">
        <w:rPr>
          <w:rStyle w:val="ac"/>
          <w:rFonts w:ascii="Narkisim" w:hAnsi="Narkisim" w:cs="Narkisim"/>
          <w:rtl/>
        </w:rPr>
        <w:footnoteReference w:id="4865"/>
      </w:r>
      <w:r w:rsidRPr="00E14121">
        <w:rPr>
          <w:rFonts w:ascii="Narkisim" w:hAnsi="Narkisim" w:cs="Narkisim"/>
          <w:rtl/>
        </w:rPr>
        <w:t xml:space="preserve">. ואמרי' דאגלאי דע"י סימני סריס הוה גדולה. </w:t>
      </w:r>
      <w:r w:rsidRPr="00E14121">
        <w:rPr>
          <w:rFonts w:ascii="Narkisim" w:hAnsi="Narkisim" w:cs="Narkisim"/>
          <w:sz w:val="20"/>
          <w:szCs w:val="20"/>
          <w:rtl/>
        </w:rPr>
        <w:t>אבל דעת שאר ראשונים דלרב סימני סריס אינם פועלים הגדלות.</w:t>
      </w:r>
    </w:p>
    <w:p w14:paraId="27C21593" w14:textId="77777777" w:rsidR="00F64AED" w:rsidRPr="00E14121" w:rsidRDefault="00F64AED" w:rsidP="00F64AED">
      <w:pPr>
        <w:bidi/>
        <w:rPr>
          <w:rFonts w:ascii="Narkisim" w:hAnsi="Narkisim" w:cs="Narkisim"/>
        </w:rPr>
      </w:pPr>
      <w:r w:rsidRPr="00E14121">
        <w:rPr>
          <w:rFonts w:ascii="Narkisim" w:hAnsi="Narkisim" w:cs="Narkisim"/>
          <w:u w:val="single"/>
          <w:rtl/>
        </w:rPr>
        <w:t>ושמואל אמר קטן היה באותו שעה.</w:t>
      </w:r>
      <w:r w:rsidRPr="00E14121">
        <w:rPr>
          <w:rFonts w:ascii="Narkisim" w:hAnsi="Narkisim" w:cs="Narkisim"/>
          <w:rtl/>
        </w:rPr>
        <w:t xml:space="preserve"> ה</w:t>
      </w:r>
      <w:r w:rsidRPr="00E14121">
        <w:rPr>
          <w:rFonts w:ascii="Narkisim" w:hAnsi="Narkisim" w:cs="Narkisim"/>
          <w:b/>
          <w:bCs/>
          <w:rtl/>
        </w:rPr>
        <w:t>ריטב"א</w:t>
      </w:r>
      <w:r w:rsidRPr="00E14121">
        <w:rPr>
          <w:rFonts w:ascii="Narkisim" w:hAnsi="Narkisim" w:cs="Narkisim"/>
          <w:rtl/>
        </w:rPr>
        <w:t xml:space="preserve"> ביאר דמחזקינן ליה כגדול משנת י"ח, דמוחזק </w:t>
      </w:r>
      <w:r w:rsidRPr="00E14121">
        <w:rPr>
          <w:rFonts w:ascii="Narkisim" w:hAnsi="Narkisim" w:cs="Narkisim"/>
          <w:rtl/>
        </w:rPr>
        <w:lastRenderedPageBreak/>
        <w:t>כסריס.</w:t>
      </w:r>
    </w:p>
    <w:p w14:paraId="5BC260F9" w14:textId="77777777" w:rsidR="00F64AED" w:rsidRPr="00E14121" w:rsidRDefault="00F64AED" w:rsidP="00F64AED">
      <w:pPr>
        <w:pStyle w:val="a7"/>
        <w:bidi/>
        <w:rPr>
          <w:rFonts w:ascii="Narkisim" w:hAnsi="Narkisim"/>
        </w:rPr>
      </w:pPr>
      <w:r w:rsidRPr="00E14121">
        <w:rPr>
          <w:rFonts w:ascii="Narkisim" w:hAnsi="Narkisim"/>
          <w:rtl/>
        </w:rPr>
        <w:t>ובפשוטו סברת שמואל דסימני הסריס הם פועלים הגדלות, ומש"ה ל"ש למפרע כלל. ולא סגי בשנים לגדלות, כל זמן דמחוסר סימנים</w:t>
      </w:r>
      <w:r w:rsidRPr="00E14121">
        <w:rPr>
          <w:rStyle w:val="ac"/>
          <w:rFonts w:ascii="Narkisim" w:hAnsi="Narkisim"/>
          <w:rtl/>
        </w:rPr>
        <w:footnoteReference w:id="4866"/>
      </w:r>
      <w:r w:rsidRPr="00E14121">
        <w:rPr>
          <w:rFonts w:ascii="Narkisim" w:hAnsi="Narkisim"/>
          <w:rtl/>
        </w:rPr>
        <w:t>. וב</w:t>
      </w:r>
      <w:r w:rsidRPr="00E14121">
        <w:rPr>
          <w:rFonts w:ascii="Narkisim" w:hAnsi="Narkisim"/>
          <w:b/>
          <w:bCs/>
          <w:rtl/>
        </w:rPr>
        <w:t>חי' ר' מאיר שמחה</w:t>
      </w:r>
      <w:r w:rsidRPr="00E14121">
        <w:rPr>
          <w:rFonts w:ascii="Narkisim" w:hAnsi="Narkisim"/>
          <w:rtl/>
        </w:rPr>
        <w:t xml:space="preserve"> כת' דדעת שמואל דלא מהני חזקה דרבא שהיה ראוי להביא סימנים מבן י"ג, דאמרי' הואיל ואישתני אישתני (וכדאי' בכורות מב:)</w:t>
      </w:r>
      <w:r w:rsidRPr="00E14121">
        <w:rPr>
          <w:rStyle w:val="ac"/>
          <w:rFonts w:ascii="Narkisim" w:hAnsi="Narkisim"/>
          <w:rtl/>
        </w:rPr>
        <w:footnoteReference w:id="4867"/>
      </w:r>
      <w:r w:rsidRPr="00E14121">
        <w:rPr>
          <w:rFonts w:ascii="Narkisim" w:hAnsi="Narkisim"/>
          <w:rtl/>
        </w:rPr>
        <w:t>.</w:t>
      </w:r>
    </w:p>
    <w:p w14:paraId="4B0F0F9E"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גר"ח</w:t>
      </w:r>
      <w:r w:rsidRPr="00E14121">
        <w:rPr>
          <w:rFonts w:ascii="Narkisim" w:hAnsi="Narkisim"/>
          <w:rtl/>
        </w:rPr>
        <w:t xml:space="preserve"> חידש</w:t>
      </w:r>
      <w:r w:rsidRPr="00E14121">
        <w:rPr>
          <w:rStyle w:val="ac"/>
          <w:rFonts w:ascii="Narkisim" w:hAnsi="Narkisim"/>
          <w:rtl/>
        </w:rPr>
        <w:footnoteReference w:id="4868"/>
      </w:r>
      <w:r w:rsidRPr="00E14121">
        <w:rPr>
          <w:rFonts w:ascii="Narkisim" w:hAnsi="Narkisim"/>
          <w:rtl/>
        </w:rPr>
        <w:t xml:space="preserve"> דאף לשמואל ע"י סימני הסריס היה ראוי להיות גדול מבן י"ב, אלא דס"ל דלא אמרי' איגלאי מילתא למפרע. ולכן מהני גדלותו רק לענין מכאן ולהבא</w:t>
      </w:r>
      <w:r w:rsidRPr="00E14121">
        <w:rPr>
          <w:rStyle w:val="ac"/>
          <w:rFonts w:ascii="Narkisim" w:hAnsi="Narkisim"/>
          <w:rtl/>
        </w:rPr>
        <w:footnoteReference w:id="4869"/>
      </w:r>
      <w:r w:rsidRPr="00E14121">
        <w:rPr>
          <w:rFonts w:ascii="Narkisim" w:hAnsi="Narkisim"/>
          <w:rtl/>
        </w:rPr>
        <w:t>.</w:t>
      </w:r>
    </w:p>
    <w:p w14:paraId="1BD6EE1A"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שו"ע</w:t>
      </w:r>
      <w:r w:rsidRPr="00E14121">
        <w:rPr>
          <w:rFonts w:ascii="Narkisim" w:hAnsi="Narkisim"/>
          <w:rtl/>
        </w:rPr>
        <w:t xml:space="preserve"> (חו"מ רלה יב בשם הרמ"ה) פסק כרב, דנעשית גדול למפרע [אם מכר נכסיו</w:t>
      </w:r>
      <w:r w:rsidRPr="00E14121">
        <w:rPr>
          <w:rStyle w:val="ac"/>
          <w:rFonts w:ascii="Narkisim" w:hAnsi="Narkisim"/>
          <w:rtl/>
        </w:rPr>
        <w:footnoteReference w:id="4870"/>
      </w:r>
      <w:r w:rsidRPr="00E14121">
        <w:rPr>
          <w:rFonts w:ascii="Narkisim" w:hAnsi="Narkisim"/>
          <w:rtl/>
        </w:rPr>
        <w:t>]. וכ"כ ה</w:t>
      </w:r>
      <w:r w:rsidRPr="00E14121">
        <w:rPr>
          <w:rFonts w:ascii="Narkisim" w:hAnsi="Narkisim"/>
          <w:b/>
          <w:bCs/>
          <w:rtl/>
        </w:rPr>
        <w:t>רמ"א</w:t>
      </w:r>
      <w:r w:rsidRPr="00E14121">
        <w:rPr>
          <w:rFonts w:ascii="Narkisim" w:hAnsi="Narkisim"/>
          <w:rtl/>
        </w:rPr>
        <w:t xml:space="preserve"> (קנה יב). אבל ה</w:t>
      </w:r>
      <w:r w:rsidRPr="00E14121">
        <w:rPr>
          <w:rFonts w:ascii="Narkisim" w:hAnsi="Narkisim"/>
          <w:b/>
          <w:bCs/>
          <w:rtl/>
        </w:rPr>
        <w:t>ראב"ד</w:t>
      </w:r>
      <w:r w:rsidRPr="00E14121">
        <w:rPr>
          <w:rFonts w:ascii="Narkisim" w:hAnsi="Narkisim"/>
          <w:rtl/>
        </w:rPr>
        <w:t xml:space="preserve"> (נערה א ט, ע' בסמוך) פסק כשמואל.</w:t>
      </w:r>
    </w:p>
    <w:p w14:paraId="1F791CC9"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(אישות ב ד ויא) סתם דהוה קטן עד שיביא סימנים וכו'. וה</w:t>
      </w:r>
      <w:r w:rsidRPr="00E14121">
        <w:rPr>
          <w:rFonts w:ascii="Narkisim" w:hAnsi="Narkisim"/>
          <w:b/>
          <w:bCs/>
          <w:rtl/>
        </w:rPr>
        <w:t>יש"ש</w:t>
      </w:r>
      <w:r w:rsidRPr="00E14121">
        <w:rPr>
          <w:rFonts w:ascii="Narkisim" w:hAnsi="Narkisim"/>
          <w:rtl/>
        </w:rPr>
        <w:t xml:space="preserve"> (לא) דייק דמהני מכאן ולהבא, ולא למפרע. והיש"ש תמה דהלכה כרב באיסורי</w:t>
      </w:r>
      <w:r w:rsidRPr="00E14121">
        <w:rPr>
          <w:rStyle w:val="ac"/>
          <w:rFonts w:ascii="Narkisim" w:hAnsi="Narkisim"/>
          <w:rtl/>
        </w:rPr>
        <w:footnoteReference w:id="4871"/>
      </w:r>
      <w:r w:rsidRPr="00E14121">
        <w:rPr>
          <w:rFonts w:ascii="Narkisim" w:hAnsi="Narkisim"/>
          <w:rtl/>
        </w:rPr>
        <w:t xml:space="preserve">. אך כמה </w:t>
      </w:r>
      <w:r w:rsidRPr="00E14121">
        <w:rPr>
          <w:rFonts w:ascii="Narkisim" w:hAnsi="Narkisim"/>
          <w:b/>
          <w:bCs/>
          <w:rtl/>
        </w:rPr>
        <w:t>אחרונים</w:t>
      </w:r>
      <w:r w:rsidRPr="00E14121">
        <w:rPr>
          <w:rFonts w:ascii="Narkisim" w:hAnsi="Narkisim"/>
          <w:rtl/>
        </w:rPr>
        <w:t xml:space="preserve"> (שעה"מ שם ב ג) נקטו דדעת הרמב"ם דמהני למפרע</w:t>
      </w:r>
      <w:r w:rsidRPr="00E14121">
        <w:rPr>
          <w:rStyle w:val="ac"/>
          <w:rFonts w:ascii="Narkisim" w:hAnsi="Narkisim"/>
          <w:rtl/>
        </w:rPr>
        <w:footnoteReference w:id="4872"/>
      </w:r>
      <w:r w:rsidRPr="00E14121">
        <w:rPr>
          <w:rFonts w:ascii="Narkisim" w:hAnsi="Narkisim"/>
          <w:rtl/>
        </w:rPr>
        <w:t>.</w:t>
      </w:r>
    </w:p>
    <w:p w14:paraId="04520D7C"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xml:space="preserve"> ה</w:t>
      </w:r>
      <w:r w:rsidRPr="00E14121">
        <w:rPr>
          <w:rFonts w:ascii="Narkisim" w:hAnsi="Narkisim"/>
          <w:b/>
          <w:bCs/>
          <w:rtl/>
        </w:rPr>
        <w:t>בי"ש</w:t>
      </w:r>
      <w:r w:rsidRPr="00E14121">
        <w:rPr>
          <w:rFonts w:ascii="Narkisim" w:hAnsi="Narkisim"/>
          <w:rtl/>
        </w:rPr>
        <w:t xml:space="preserve"> (קנה יט) הק' בהא דקי"ל (שם, והרמב"ם גירושין יא ד) דממאנת עד שתביא שערות או בת כ' והביאה סימני אילונית. אבל קודם לכן ממאנת ומותרת לאחר, ניחוש שמא ימצא בה סימני אילונית, והרי היא גדולה למפרע</w:t>
      </w:r>
      <w:r w:rsidRPr="00E14121">
        <w:rPr>
          <w:rStyle w:val="ac"/>
          <w:rFonts w:ascii="Narkisim" w:hAnsi="Narkisim"/>
          <w:rtl/>
        </w:rPr>
        <w:footnoteReference w:id="4873"/>
      </w:r>
      <w:r w:rsidRPr="00E14121">
        <w:rPr>
          <w:rFonts w:ascii="Narkisim" w:hAnsi="Narkisim"/>
          <w:rtl/>
        </w:rPr>
        <w:t>. ועי"ז הוה קידושין למפרע. וכת' דלא חיישינן למיעוטא, אך שוב הק' דהכא איכא ריעותא דלא הביאה שערות, וכ"ש כשנולדו בה סימני</w:t>
      </w:r>
      <w:r w:rsidRPr="00E14121">
        <w:rPr>
          <w:rStyle w:val="ac"/>
          <w:rFonts w:ascii="Narkisim" w:hAnsi="Narkisim"/>
          <w:rtl/>
        </w:rPr>
        <w:footnoteReference w:id="4874"/>
      </w:r>
      <w:r w:rsidRPr="00E14121">
        <w:rPr>
          <w:rFonts w:ascii="Narkisim" w:hAnsi="Narkisim"/>
          <w:rtl/>
        </w:rPr>
        <w:t xml:space="preserve"> איילונית</w:t>
      </w:r>
      <w:r w:rsidRPr="00E14121">
        <w:rPr>
          <w:rStyle w:val="ac"/>
          <w:rFonts w:ascii="Narkisim" w:hAnsi="Narkisim"/>
          <w:rtl/>
        </w:rPr>
        <w:footnoteReference w:id="4875"/>
      </w:r>
      <w:r w:rsidRPr="00E14121">
        <w:rPr>
          <w:rFonts w:ascii="Narkisim" w:hAnsi="Narkisim"/>
          <w:rtl/>
        </w:rPr>
        <w:t>.</w:t>
      </w:r>
    </w:p>
    <w:p w14:paraId="5ADC05F1" w14:textId="77777777" w:rsidR="00F64AED" w:rsidRPr="00E14121" w:rsidRDefault="00F64AED" w:rsidP="00F64AED">
      <w:pPr>
        <w:pStyle w:val="a8"/>
        <w:bidi/>
        <w:rPr>
          <w:rFonts w:ascii="Narkisim" w:hAnsi="Narkisim"/>
        </w:rPr>
      </w:pPr>
      <w:r w:rsidRPr="00E14121">
        <w:rPr>
          <w:rFonts w:ascii="Narkisim" w:hAnsi="Narkisim"/>
          <w:rtl/>
          <w:lang w:val="he-IL"/>
        </w:rPr>
        <w:t>וב</w:t>
      </w:r>
      <w:r w:rsidRPr="00E14121">
        <w:rPr>
          <w:rFonts w:ascii="Narkisim" w:hAnsi="Narkisim"/>
          <w:b/>
          <w:bCs/>
          <w:rtl/>
          <w:lang w:val="he-IL"/>
        </w:rPr>
        <w:t>משנה</w:t>
      </w:r>
      <w:r w:rsidRPr="00E14121">
        <w:rPr>
          <w:rFonts w:ascii="Narkisim" w:hAnsi="Narkisim"/>
          <w:rtl/>
          <w:lang w:val="he-IL"/>
        </w:rPr>
        <w:t xml:space="preserve"> (לקמן צו:) משמע דבן כ' שלא הביא סימנים שקידש לא בעי חליצה וגט. וה</w:t>
      </w:r>
      <w:r w:rsidRPr="00E14121">
        <w:rPr>
          <w:rFonts w:ascii="Narkisim" w:hAnsi="Narkisim"/>
          <w:b/>
          <w:bCs/>
          <w:rtl/>
          <w:lang w:val="he-IL"/>
        </w:rPr>
        <w:t>אחרונים</w:t>
      </w:r>
      <w:r w:rsidRPr="00E14121">
        <w:rPr>
          <w:rFonts w:ascii="Narkisim" w:hAnsi="Narkisim"/>
          <w:rtl/>
          <w:lang w:val="he-IL"/>
        </w:rPr>
        <w:t xml:space="preserve"> הק' דניחוש שמא יתברר שהוא סריס למפרע</w:t>
      </w:r>
      <w:r w:rsidRPr="00E14121">
        <w:rPr>
          <w:rStyle w:val="ac"/>
          <w:rFonts w:ascii="Narkisim" w:hAnsi="Narkisim"/>
          <w:rtl/>
          <w:lang w:val="he-IL"/>
        </w:rPr>
        <w:footnoteReference w:id="4876"/>
      </w:r>
      <w:r w:rsidRPr="00E14121">
        <w:rPr>
          <w:rFonts w:ascii="Narkisim" w:hAnsi="Narkisim"/>
          <w:rtl/>
          <w:lang w:val="he-IL"/>
        </w:rPr>
        <w:t>. [וכקו' הבי"ש הנ"ל].</w:t>
      </w:r>
    </w:p>
    <w:p w14:paraId="45DCDBB9" w14:textId="77777777" w:rsidR="00F64AED" w:rsidRPr="00E14121" w:rsidRDefault="00F64AED" w:rsidP="00F64AED">
      <w:pPr>
        <w:pStyle w:val="2"/>
        <w:bidi/>
        <w:rPr>
          <w:rFonts w:ascii="Narkisim" w:hAnsi="Narkisim"/>
        </w:rPr>
      </w:pPr>
      <w:r w:rsidRPr="00E14121">
        <w:rPr>
          <w:rFonts w:ascii="Narkisim" w:hAnsi="Narkisim"/>
          <w:rtl/>
        </w:rPr>
        <w:t>התראת ספק</w:t>
      </w:r>
    </w:p>
    <w:p w14:paraId="44E614A2" w14:textId="77777777" w:rsidR="00F64AED" w:rsidRPr="00E14121" w:rsidRDefault="00F64AED" w:rsidP="00F64AED">
      <w:pPr>
        <w:bidi/>
        <w:rPr>
          <w:rFonts w:ascii="Narkisim" w:hAnsi="Narkisim" w:cs="Narkisim"/>
        </w:rPr>
      </w:pPr>
      <w:r w:rsidRPr="00E14121">
        <w:rPr>
          <w:rFonts w:ascii="Narkisim" w:hAnsi="Narkisim" w:cs="Narkisim"/>
          <w:u w:val="single"/>
          <w:rtl/>
        </w:rPr>
        <w:t>תוד"ה נעשה.</w:t>
      </w:r>
      <w:r w:rsidRPr="00E14121">
        <w:rPr>
          <w:rFonts w:ascii="Narkisim" w:hAnsi="Narkisim" w:cs="Narkisim"/>
          <w:rtl/>
        </w:rPr>
        <w:t xml:space="preserve"> אע"ג דבשעת התראה הוה ספק וכו' דהשתא מיהא איגלאי למפרע וכו'</w:t>
      </w:r>
      <w:r w:rsidRPr="00E14121">
        <w:rPr>
          <w:rStyle w:val="ac"/>
          <w:rFonts w:ascii="Narkisim" w:hAnsi="Narkisim" w:cs="Narkisim"/>
          <w:rtl/>
        </w:rPr>
        <w:footnoteReference w:id="4877"/>
      </w:r>
      <w:r w:rsidRPr="00E14121">
        <w:rPr>
          <w:rFonts w:ascii="Narkisim" w:hAnsi="Narkisim" w:cs="Narkisim"/>
          <w:rtl/>
        </w:rPr>
        <w:t>. [ובפשוטו כוונת התוס' דכל היכא דמתברר לבסוף דהוה התראה מהני</w:t>
      </w:r>
      <w:r w:rsidRPr="00E14121">
        <w:rPr>
          <w:rStyle w:val="ac"/>
          <w:rFonts w:ascii="Narkisim" w:hAnsi="Narkisim" w:cs="Narkisim"/>
          <w:rtl/>
        </w:rPr>
        <w:footnoteReference w:id="4878"/>
      </w:r>
      <w:r w:rsidRPr="00E14121">
        <w:rPr>
          <w:rFonts w:ascii="Narkisim" w:hAnsi="Narkisim" w:cs="Narkisim"/>
          <w:rtl/>
        </w:rPr>
        <w:t>]. ה</w:t>
      </w:r>
      <w:r w:rsidRPr="00E14121">
        <w:rPr>
          <w:rFonts w:ascii="Narkisim" w:hAnsi="Narkisim" w:cs="Narkisim"/>
          <w:b/>
          <w:bCs/>
          <w:rtl/>
        </w:rPr>
        <w:t>שאג"א</w:t>
      </w:r>
      <w:r w:rsidRPr="00E14121">
        <w:rPr>
          <w:rFonts w:ascii="Narkisim" w:hAnsi="Narkisim" w:cs="Narkisim"/>
          <w:rtl/>
        </w:rPr>
        <w:t xml:space="preserve"> (הוספות א) תמה דמ"מ המותרה אינו יודע, ואמאי חשיב מזיד.</w:t>
      </w:r>
    </w:p>
    <w:p w14:paraId="49B26F2E" w14:textId="77777777" w:rsidR="00F64AED" w:rsidRPr="00E14121" w:rsidRDefault="00F64AED" w:rsidP="00F64AED">
      <w:pPr>
        <w:bidi/>
        <w:rPr>
          <w:rFonts w:ascii="Narkisim" w:hAnsi="Narkisim" w:cs="Narkisim"/>
        </w:rPr>
      </w:pPr>
      <w:r w:rsidRPr="00E14121">
        <w:rPr>
          <w:rFonts w:ascii="Narkisim" w:hAnsi="Narkisim" w:cs="Narkisim"/>
          <w:sz w:val="20"/>
          <w:szCs w:val="20"/>
          <w:rtl/>
        </w:rPr>
        <w:t>ו</w:t>
      </w:r>
      <w:r w:rsidRPr="00E14121">
        <w:rPr>
          <w:rFonts w:ascii="Narkisim" w:hAnsi="Narkisim" w:cs="Narkisim"/>
          <w:b/>
          <w:bCs/>
          <w:sz w:val="20"/>
          <w:szCs w:val="20"/>
          <w:rtl/>
        </w:rPr>
        <w:t>תוס'</w:t>
      </w:r>
      <w:r w:rsidRPr="00E14121">
        <w:rPr>
          <w:rFonts w:ascii="Narkisim" w:hAnsi="Narkisim" w:cs="Narkisim"/>
          <w:sz w:val="20"/>
          <w:szCs w:val="20"/>
          <w:rtl/>
        </w:rPr>
        <w:t xml:space="preserve"> (כתובות טו. ד"ה וספק) כת' דאף למ"ד התראת ספק שמיה התראה היינו כשיודע שיעבור איסור ודאי אם יכה את שניהם</w:t>
      </w:r>
      <w:r w:rsidRPr="00E14121">
        <w:rPr>
          <w:rStyle w:val="ac"/>
          <w:rFonts w:ascii="Narkisim" w:hAnsi="Narkisim" w:cs="Narkisim"/>
          <w:sz w:val="20"/>
          <w:szCs w:val="20"/>
          <w:rtl/>
        </w:rPr>
        <w:footnoteReference w:id="4879"/>
      </w:r>
      <w:r w:rsidRPr="00E14121">
        <w:rPr>
          <w:rFonts w:ascii="Narkisim" w:hAnsi="Narkisim" w:cs="Narkisim"/>
          <w:sz w:val="20"/>
          <w:szCs w:val="20"/>
          <w:rtl/>
        </w:rPr>
        <w:t>, אבל הזורק אבן ואינו יודע את מי יכה לא נחשב התראה. ולכאורה כוונתם דבכה"ג נחשב שאינו מזיד, דסבור שלא יעבור איסור. וה</w:t>
      </w:r>
      <w:r w:rsidRPr="00E14121">
        <w:rPr>
          <w:rFonts w:ascii="Narkisim" w:hAnsi="Narkisim" w:cs="Narkisim"/>
          <w:b/>
          <w:bCs/>
          <w:sz w:val="20"/>
          <w:szCs w:val="20"/>
          <w:rtl/>
        </w:rPr>
        <w:t>אחרונים</w:t>
      </w:r>
      <w:r w:rsidRPr="00E14121">
        <w:rPr>
          <w:rFonts w:ascii="Narkisim" w:hAnsi="Narkisim" w:cs="Narkisim"/>
          <w:sz w:val="20"/>
          <w:szCs w:val="20"/>
          <w:rtl/>
        </w:rPr>
        <w:t xml:space="preserve"> ציינו דהוה היפך סברת תוס' דידן</w:t>
      </w:r>
      <w:r w:rsidRPr="00E14121">
        <w:rPr>
          <w:rStyle w:val="ac"/>
          <w:rFonts w:ascii="Narkisim" w:hAnsi="Narkisim" w:cs="Narkisim"/>
          <w:sz w:val="20"/>
          <w:szCs w:val="20"/>
          <w:rtl/>
        </w:rPr>
        <w:footnoteReference w:id="4880"/>
      </w:r>
      <w:r w:rsidRPr="00E14121">
        <w:rPr>
          <w:rFonts w:ascii="Narkisim" w:hAnsi="Narkisim" w:cs="Narkisim"/>
          <w:sz w:val="20"/>
          <w:szCs w:val="20"/>
          <w:rtl/>
        </w:rPr>
        <w:t>.</w:t>
      </w:r>
    </w:p>
    <w:p w14:paraId="5D6019DE" w14:textId="77777777" w:rsidR="00F64AED" w:rsidRPr="00E14121" w:rsidRDefault="00F64AED" w:rsidP="00F64AED">
      <w:pPr>
        <w:pStyle w:val="a8"/>
        <w:bidi/>
        <w:rPr>
          <w:rFonts w:ascii="Narkisim" w:hAnsi="Narkisim"/>
        </w:rPr>
      </w:pPr>
      <w:r w:rsidRPr="00E14121">
        <w:rPr>
          <w:rFonts w:ascii="Narkisim" w:hAnsi="Narkisim"/>
          <w:rtl/>
        </w:rPr>
        <w:lastRenderedPageBreak/>
        <w:t>[וילה"ק אף למ"ד התראת ספק שמיה התראה, דאף דאין חסרון 'בהתראה', הא מ"מ סבר דאינו איסור גמור</w:t>
      </w:r>
      <w:r w:rsidRPr="00E14121">
        <w:rPr>
          <w:rStyle w:val="ac"/>
          <w:rFonts w:ascii="Narkisim" w:hAnsi="Narkisim"/>
          <w:rtl/>
        </w:rPr>
        <w:footnoteReference w:id="4881"/>
      </w:r>
      <w:r w:rsidRPr="00E14121">
        <w:rPr>
          <w:rFonts w:ascii="Narkisim" w:hAnsi="Narkisim"/>
          <w:rtl/>
        </w:rPr>
        <w:t>. וצ"ל דסגי במה שעובר במזיד ויודע דעובר איסור ספק דאורייתא</w:t>
      </w:r>
      <w:r w:rsidRPr="00E14121">
        <w:rPr>
          <w:rStyle w:val="ac"/>
          <w:rFonts w:ascii="Narkisim" w:hAnsi="Narkisim"/>
          <w:rtl/>
        </w:rPr>
        <w:footnoteReference w:id="4882"/>
      </w:r>
      <w:r w:rsidRPr="00E14121">
        <w:rPr>
          <w:rFonts w:ascii="Narkisim" w:hAnsi="Narkisim"/>
          <w:rtl/>
        </w:rPr>
        <w:t>, ועי"ז נחשב מזיד לענין עונשין</w:t>
      </w:r>
      <w:r w:rsidRPr="00E14121">
        <w:rPr>
          <w:rStyle w:val="ac"/>
          <w:rFonts w:ascii="Narkisim" w:hAnsi="Narkisim"/>
          <w:rtl/>
        </w:rPr>
        <w:footnoteReference w:id="4883"/>
      </w:r>
      <w:r w:rsidRPr="00E14121">
        <w:rPr>
          <w:rFonts w:ascii="Narkisim" w:hAnsi="Narkisim"/>
          <w:rtl/>
        </w:rPr>
        <w:t>. ובפשוטו היה אפ"ל דמ"ד התראת ספק ל"ש התראה פליג בזה, אבל מדברי התוס' מבואר דפליג רק בגדרי התראה. וסגי במה שהוא מזיד לעבור על ספק איסור].</w:t>
      </w:r>
    </w:p>
    <w:p w14:paraId="4ACD318A" w14:textId="77777777" w:rsidR="00F64AED" w:rsidRPr="00E14121" w:rsidRDefault="00F64AED" w:rsidP="00F64AED">
      <w:pPr>
        <w:pStyle w:val="a7"/>
        <w:bidi/>
        <w:rPr>
          <w:rFonts w:ascii="Narkisim" w:hAnsi="Narkisim"/>
        </w:rPr>
      </w:pPr>
      <w:r w:rsidRPr="00E14121">
        <w:rPr>
          <w:rFonts w:ascii="Narkisim" w:hAnsi="Narkisim"/>
          <w:rtl/>
        </w:rPr>
        <w:t>ועל דרך זה הק' ה</w:t>
      </w:r>
      <w:r w:rsidRPr="00E14121">
        <w:rPr>
          <w:rFonts w:ascii="Narkisim" w:hAnsi="Narkisim"/>
          <w:b/>
          <w:bCs/>
          <w:rtl/>
        </w:rPr>
        <w:t>שמעתתא</w:t>
      </w:r>
      <w:r w:rsidRPr="00E14121">
        <w:rPr>
          <w:rFonts w:ascii="Narkisim" w:hAnsi="Narkisim"/>
          <w:rtl/>
        </w:rPr>
        <w:t xml:space="preserve"> (א ג) לשיטת ה</w:t>
      </w:r>
      <w:r w:rsidRPr="00E14121">
        <w:rPr>
          <w:rFonts w:ascii="Narkisim" w:hAnsi="Narkisim"/>
          <w:b/>
          <w:bCs/>
          <w:rtl/>
        </w:rPr>
        <w:t>רמב"ם</w:t>
      </w:r>
      <w:r w:rsidRPr="00E14121">
        <w:rPr>
          <w:rFonts w:ascii="Narkisim" w:hAnsi="Narkisim"/>
          <w:rtl/>
        </w:rPr>
        <w:t xml:space="preserve"> דהספיקות מותרין מהתורה, א"כ למה ילקה כיון דבדין אכל</w:t>
      </w:r>
      <w:r w:rsidRPr="00E14121">
        <w:rPr>
          <w:rStyle w:val="ac"/>
          <w:rFonts w:ascii="Narkisim" w:hAnsi="Narkisim"/>
          <w:rtl/>
        </w:rPr>
        <w:footnoteReference w:id="4884"/>
      </w:r>
      <w:r w:rsidRPr="00E14121">
        <w:rPr>
          <w:rFonts w:ascii="Narkisim" w:hAnsi="Narkisim"/>
          <w:rtl/>
        </w:rPr>
        <w:t>. ועוד הקשה דרוב קטנים לאו סריסים, ואף לשאר ראשונים מהני רוב מדאורייתא. ולכן כתב דאיירי בסוגיין לענין חיוב קרבן על החלב שאכל</w:t>
      </w:r>
      <w:r w:rsidRPr="00E14121">
        <w:rPr>
          <w:rStyle w:val="ac"/>
          <w:rFonts w:ascii="Narkisim" w:hAnsi="Narkisim"/>
          <w:rtl/>
        </w:rPr>
        <w:footnoteReference w:id="4885"/>
      </w:r>
      <w:r w:rsidRPr="00E14121">
        <w:rPr>
          <w:rFonts w:ascii="Narkisim" w:hAnsi="Narkisim"/>
          <w:rtl/>
        </w:rPr>
        <w:t xml:space="preserve"> [וכ"כ הנוב"י ק' אה"ע ו].</w:t>
      </w:r>
      <w:r w:rsidRPr="00E14121">
        <w:rPr>
          <w:rFonts w:ascii="Narkisim" w:hAnsi="Narkisim"/>
          <w:sz w:val="20"/>
          <w:szCs w:val="20"/>
          <w:rtl/>
        </w:rPr>
        <w:t xml:space="preserve"> וה</w:t>
      </w:r>
      <w:r w:rsidRPr="00E14121">
        <w:rPr>
          <w:rFonts w:ascii="Narkisim" w:hAnsi="Narkisim"/>
          <w:b/>
          <w:bCs/>
          <w:sz w:val="20"/>
          <w:szCs w:val="20"/>
          <w:rtl/>
        </w:rPr>
        <w:t>ש"ש</w:t>
      </w:r>
      <w:r w:rsidRPr="00E14121">
        <w:rPr>
          <w:rFonts w:ascii="Narkisim" w:hAnsi="Narkisim"/>
          <w:sz w:val="20"/>
          <w:szCs w:val="20"/>
          <w:rtl/>
        </w:rPr>
        <w:t xml:space="preserve"> הקשה דאף לענין קרבן, נימא דהוה אונס דסמך על דין הרוב. וכת' דכיון דאסור עכ"פ מדרבנן לא נחשב אונס</w:t>
      </w:r>
      <w:r w:rsidRPr="00E14121">
        <w:rPr>
          <w:rStyle w:val="ac"/>
          <w:rFonts w:ascii="Narkisim" w:hAnsi="Narkisim"/>
          <w:sz w:val="20"/>
          <w:szCs w:val="20"/>
          <w:rtl/>
        </w:rPr>
        <w:footnoteReference w:id="4886"/>
      </w:r>
      <w:r w:rsidRPr="00E14121">
        <w:rPr>
          <w:rFonts w:ascii="Narkisim" w:hAnsi="Narkisim"/>
          <w:rtl/>
        </w:rPr>
        <w:t>.</w:t>
      </w:r>
    </w:p>
    <w:p w14:paraId="3CF25772" w14:textId="77777777" w:rsidR="00F64AED" w:rsidRPr="00E14121" w:rsidRDefault="00F64AED" w:rsidP="00F64AED">
      <w:pPr>
        <w:bidi/>
        <w:rPr>
          <w:rFonts w:ascii="Narkisim" w:hAnsi="Narkisim" w:cs="Narkisim"/>
        </w:rPr>
      </w:pPr>
      <w:r w:rsidRPr="00E14121">
        <w:rPr>
          <w:rFonts w:ascii="Narkisim" w:hAnsi="Narkisim" w:cs="Narkisim"/>
          <w:u w:val="single"/>
          <w:rtl/>
        </w:rPr>
        <w:t>בא"ד דהשתא מיהא איגלאי מילתא דהיה גדול בשעת התראה.</w:t>
      </w:r>
      <w:r w:rsidRPr="00E14121">
        <w:rPr>
          <w:rFonts w:ascii="Narkisim" w:hAnsi="Narkisim" w:cs="Narkisim"/>
          <w:rtl/>
        </w:rPr>
        <w:t xml:space="preserve"> </w:t>
      </w:r>
      <w:r w:rsidRPr="00E14121">
        <w:rPr>
          <w:rFonts w:ascii="Narkisim" w:hAnsi="Narkisim" w:cs="Narkisim"/>
          <w:sz w:val="20"/>
          <w:szCs w:val="20"/>
          <w:rtl/>
        </w:rPr>
        <w:t>לכאורה סברת התוס' דנחשב התראה ודאית במה שמתרה בו 'על הצד' שהוא גדול</w:t>
      </w:r>
      <w:r w:rsidRPr="00E14121">
        <w:rPr>
          <w:rStyle w:val="ac"/>
          <w:rFonts w:ascii="Narkisim" w:hAnsi="Narkisim" w:cs="Narkisim"/>
          <w:sz w:val="20"/>
          <w:szCs w:val="20"/>
          <w:rtl/>
        </w:rPr>
        <w:footnoteReference w:id="4887"/>
      </w:r>
      <w:r w:rsidRPr="00E14121">
        <w:rPr>
          <w:rFonts w:ascii="Narkisim" w:hAnsi="Narkisim" w:cs="Narkisim"/>
          <w:sz w:val="20"/>
          <w:szCs w:val="20"/>
          <w:rtl/>
        </w:rPr>
        <w:t>, והתראת ספק הוה שמתרה על 'מעשה' שאינו איסור גמור.</w:t>
      </w:r>
    </w:p>
    <w:p w14:paraId="381181DD"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הקשו דלגבי שבועה שלא אוכל זו אם אוכל זו, מבואר בגמ' (שבועות כח:) דנחשב התראת ספק, ואף דע"י התנאי יתברר דהיה איסור בשעת אכילה. וה</w:t>
      </w:r>
      <w:r w:rsidRPr="00E14121">
        <w:rPr>
          <w:rFonts w:ascii="Narkisim" w:hAnsi="Narkisim"/>
          <w:b/>
          <w:bCs/>
          <w:rtl/>
        </w:rPr>
        <w:t>אחרונים</w:t>
      </w:r>
      <w:r w:rsidRPr="00E14121">
        <w:rPr>
          <w:rFonts w:ascii="Narkisim" w:hAnsi="Narkisim"/>
          <w:rtl/>
        </w:rPr>
        <w:t xml:space="preserve"> </w:t>
      </w:r>
      <w:r w:rsidRPr="00E14121">
        <w:rPr>
          <w:rFonts w:ascii="Narkisim" w:hAnsi="Narkisim"/>
          <w:sz w:val="20"/>
          <w:szCs w:val="20"/>
          <w:rtl/>
        </w:rPr>
        <w:t>(שער"י א ד וקובה"ע פ ב, וכ"כ רע"א)</w:t>
      </w:r>
      <w:r w:rsidRPr="00E14121">
        <w:rPr>
          <w:rFonts w:ascii="Narkisim" w:hAnsi="Narkisim"/>
          <w:rtl/>
        </w:rPr>
        <w:t xml:space="preserve"> דשאני התם דתליא בדבר שיכול להשתנות בעתיד, וכל דברי התוס' היכא דהמציאות כבר קיימת, אלא דאנחנו לא יודעים</w:t>
      </w:r>
      <w:r w:rsidRPr="00E14121">
        <w:rPr>
          <w:rStyle w:val="ac"/>
          <w:rFonts w:ascii="Narkisim" w:hAnsi="Narkisim"/>
          <w:rtl/>
        </w:rPr>
        <w:footnoteReference w:id="4888"/>
      </w:r>
      <w:r w:rsidRPr="00E14121">
        <w:rPr>
          <w:rFonts w:ascii="Narkisim" w:hAnsi="Narkisim"/>
          <w:rtl/>
        </w:rPr>
        <w:t>.</w:t>
      </w:r>
    </w:p>
    <w:p w14:paraId="12AFBFC6"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משנ"ל</w:t>
      </w:r>
      <w:r w:rsidRPr="00E14121">
        <w:rPr>
          <w:rFonts w:ascii="Narkisim" w:hAnsi="Narkisim"/>
          <w:rtl/>
        </w:rPr>
        <w:t xml:space="preserve"> (סנהדרין טז ד) ציין דב</w:t>
      </w:r>
      <w:r w:rsidRPr="00E14121">
        <w:rPr>
          <w:rFonts w:ascii="Narkisim" w:hAnsi="Narkisim"/>
          <w:b/>
          <w:bCs/>
          <w:rtl/>
        </w:rPr>
        <w:t xml:space="preserve">תוס' </w:t>
      </w:r>
      <w:r w:rsidRPr="00E14121">
        <w:rPr>
          <w:rFonts w:ascii="Narkisim" w:hAnsi="Narkisim"/>
          <w:rtl/>
        </w:rPr>
        <w:t>(נדה מו: ד"ה ר' יוחנן) מבואר דאף בכה"ג</w:t>
      </w:r>
      <w:r w:rsidRPr="00E14121">
        <w:rPr>
          <w:rStyle w:val="ac"/>
          <w:rFonts w:ascii="Narkisim" w:hAnsi="Narkisim"/>
          <w:rtl/>
        </w:rPr>
        <w:footnoteReference w:id="4889"/>
      </w:r>
      <w:r w:rsidRPr="00E14121">
        <w:rPr>
          <w:rFonts w:ascii="Narkisim" w:hAnsi="Narkisim"/>
          <w:rtl/>
        </w:rPr>
        <w:t xml:space="preserve"> הוה התראת ספק [כיון דבשעת התראה לא ידענו]</w:t>
      </w:r>
      <w:r w:rsidRPr="00E14121">
        <w:rPr>
          <w:rStyle w:val="ac"/>
          <w:rFonts w:ascii="Narkisim" w:hAnsi="Narkisim"/>
          <w:rtl/>
        </w:rPr>
        <w:footnoteReference w:id="4890"/>
      </w:r>
      <w:r w:rsidRPr="00E14121">
        <w:rPr>
          <w:rFonts w:ascii="Narkisim" w:hAnsi="Narkisim"/>
          <w:rtl/>
        </w:rPr>
        <w:t xml:space="preserve">.  </w:t>
      </w:r>
    </w:p>
    <w:p w14:paraId="7B5CC32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פנ"י</w:t>
      </w:r>
      <w:r w:rsidRPr="00E14121">
        <w:rPr>
          <w:rFonts w:ascii="Narkisim" w:hAnsi="Narkisim"/>
          <w:rtl/>
        </w:rPr>
        <w:t xml:space="preserve"> (</w:t>
      </w:r>
      <w:r w:rsidRPr="00E14121">
        <w:rPr>
          <w:rFonts w:ascii="Narkisim" w:hAnsi="Narkisim"/>
          <w:sz w:val="20"/>
          <w:szCs w:val="20"/>
          <w:rtl/>
        </w:rPr>
        <w:t xml:space="preserve">קו"א קידושין סג אות צג, וכ"כ </w:t>
      </w:r>
      <w:r w:rsidRPr="00E14121">
        <w:rPr>
          <w:rFonts w:ascii="Narkisim" w:hAnsi="Narkisim"/>
          <w:b/>
          <w:bCs/>
          <w:sz w:val="20"/>
          <w:szCs w:val="20"/>
          <w:rtl/>
        </w:rPr>
        <w:t>רע"א</w:t>
      </w:r>
      <w:r w:rsidRPr="00E14121">
        <w:rPr>
          <w:rFonts w:ascii="Narkisim" w:hAnsi="Narkisim"/>
          <w:sz w:val="20"/>
          <w:szCs w:val="20"/>
          <w:rtl/>
        </w:rPr>
        <w:t xml:space="preserve"> חולין יא:)</w:t>
      </w:r>
      <w:r w:rsidRPr="00E14121">
        <w:rPr>
          <w:rFonts w:ascii="Narkisim" w:hAnsi="Narkisim"/>
          <w:rtl/>
        </w:rPr>
        <w:t xml:space="preserve"> חילק דבסוגיין אין ספק בגוף האיסור, אלא דהוה ספק האם אפשר להענישו</w:t>
      </w:r>
      <w:r w:rsidRPr="00E14121">
        <w:rPr>
          <w:rStyle w:val="ac"/>
          <w:rFonts w:ascii="Narkisim" w:hAnsi="Narkisim"/>
          <w:rtl/>
        </w:rPr>
        <w:footnoteReference w:id="4891"/>
      </w:r>
      <w:r w:rsidRPr="00E14121">
        <w:rPr>
          <w:rFonts w:ascii="Narkisim" w:hAnsi="Narkisim"/>
          <w:rtl/>
        </w:rPr>
        <w:t xml:space="preserve">. </w:t>
      </w:r>
      <w:r w:rsidRPr="00E14121">
        <w:rPr>
          <w:rFonts w:ascii="Narkisim" w:hAnsi="Narkisim"/>
          <w:sz w:val="20"/>
          <w:szCs w:val="20"/>
          <w:rtl/>
        </w:rPr>
        <w:t>וה</w:t>
      </w:r>
      <w:r w:rsidRPr="00E14121">
        <w:rPr>
          <w:rFonts w:ascii="Narkisim" w:hAnsi="Narkisim"/>
          <w:b/>
          <w:bCs/>
          <w:sz w:val="20"/>
          <w:szCs w:val="20"/>
          <w:rtl/>
        </w:rPr>
        <w:t>שער"י</w:t>
      </w:r>
      <w:r w:rsidRPr="00E14121">
        <w:rPr>
          <w:rFonts w:ascii="Narkisim" w:hAnsi="Narkisim"/>
          <w:sz w:val="20"/>
          <w:szCs w:val="20"/>
          <w:rtl/>
        </w:rPr>
        <w:t xml:space="preserve"> (א ג) כת' עד"ז דבסוגיין קאי בקטן, ולעצם האיסור גדול וקטן שווים</w:t>
      </w:r>
      <w:r w:rsidRPr="00E14121">
        <w:rPr>
          <w:rStyle w:val="ac"/>
          <w:rFonts w:ascii="Narkisim" w:hAnsi="Narkisim"/>
          <w:sz w:val="20"/>
          <w:szCs w:val="20"/>
          <w:rtl/>
        </w:rPr>
        <w:footnoteReference w:id="4892"/>
      </w:r>
      <w:r w:rsidRPr="00E14121">
        <w:rPr>
          <w:rFonts w:ascii="Narkisim" w:hAnsi="Narkisim"/>
          <w:sz w:val="20"/>
          <w:szCs w:val="20"/>
          <w:rtl/>
        </w:rPr>
        <w:t>, אלא דלא הזהירה תורה את הקטן דלאו בן דעת הוא, ולא ישמע ולא יבין אזהרת התורה. וה"נ איגלאי מילתא דהיה לו דעת ושמע והבין דלא ניחא לתורה באכילתו, ואגילאי מילתא דהוה בר אזהרה</w:t>
      </w:r>
      <w:r w:rsidRPr="00E14121">
        <w:rPr>
          <w:rStyle w:val="ac"/>
          <w:rFonts w:ascii="Narkisim" w:hAnsi="Narkisim"/>
          <w:sz w:val="20"/>
          <w:szCs w:val="20"/>
          <w:rtl/>
        </w:rPr>
        <w:footnoteReference w:id="4893"/>
      </w:r>
      <w:r w:rsidRPr="00E14121">
        <w:rPr>
          <w:rFonts w:ascii="Narkisim" w:hAnsi="Narkisim"/>
          <w:sz w:val="20"/>
          <w:szCs w:val="20"/>
          <w:rtl/>
        </w:rPr>
        <w:t>.</w:t>
      </w:r>
    </w:p>
    <w:p w14:paraId="30B7A029" w14:textId="77777777" w:rsidR="00F64AED" w:rsidRPr="00E14121" w:rsidRDefault="00F64AED" w:rsidP="00F64AED">
      <w:pPr>
        <w:pStyle w:val="a8"/>
        <w:bidi/>
        <w:rPr>
          <w:rFonts w:ascii="Narkisim" w:hAnsi="Narkisim"/>
        </w:rPr>
      </w:pPr>
      <w:r w:rsidRPr="00E14121">
        <w:rPr>
          <w:rFonts w:ascii="Narkisim" w:hAnsi="Narkisim"/>
          <w:rtl/>
        </w:rPr>
        <w:lastRenderedPageBreak/>
        <w:t>אך ה</w:t>
      </w:r>
      <w:r w:rsidRPr="00E14121">
        <w:rPr>
          <w:rFonts w:ascii="Narkisim" w:hAnsi="Narkisim"/>
          <w:b/>
          <w:bCs/>
          <w:rtl/>
        </w:rPr>
        <w:t>פנ"י</w:t>
      </w:r>
      <w:r w:rsidRPr="00E14121">
        <w:rPr>
          <w:rFonts w:ascii="Narkisim" w:hAnsi="Narkisim"/>
          <w:rtl/>
        </w:rPr>
        <w:t xml:space="preserve"> הק' דבסוף דברי התוס' כתבו דהכה את זה, דאף לאחר שהכה את שניהם לא ידיע איזה מהם הוא אביו, ואף דהתם הוה ספק בעצם העבירה.</w:t>
      </w:r>
    </w:p>
    <w:p w14:paraId="0F881B71" w14:textId="77777777" w:rsidR="00F64AED" w:rsidRPr="00E14121" w:rsidRDefault="00F64AED" w:rsidP="00F64AED">
      <w:pPr>
        <w:pStyle w:val="2"/>
        <w:bidi/>
        <w:rPr>
          <w:rFonts w:ascii="Narkisim" w:hAnsi="Narkisim"/>
        </w:rPr>
      </w:pPr>
      <w:r w:rsidRPr="00E14121">
        <w:rPr>
          <w:rFonts w:ascii="Narkisim" w:hAnsi="Narkisim"/>
          <w:rtl/>
        </w:rPr>
        <w:t>מקטנותה יצתה לבגר</w:t>
      </w:r>
    </w:p>
    <w:p w14:paraId="739169A8" w14:textId="77777777" w:rsidR="00F64AED" w:rsidRPr="00E14121" w:rsidRDefault="00F64AED" w:rsidP="00F64AED">
      <w:pPr>
        <w:bidi/>
        <w:rPr>
          <w:rFonts w:ascii="Narkisim" w:hAnsi="Narkisim" w:cs="Narkisim"/>
        </w:rPr>
      </w:pPr>
      <w:r w:rsidRPr="00E14121">
        <w:rPr>
          <w:rFonts w:ascii="Narkisim" w:hAnsi="Narkisim" w:cs="Narkisim"/>
          <w:u w:val="single"/>
          <w:rtl/>
        </w:rPr>
        <w:t>מקטנותה יצתה לבגר.</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דנערות בסימנין תליא. ואילונית אין לה סימנים, ומש"ה מימי נערות הוה בוגרת. </w:t>
      </w:r>
      <w:r w:rsidRPr="00E14121">
        <w:rPr>
          <w:rFonts w:ascii="Narkisim" w:hAnsi="Narkisim" w:cs="Narkisim"/>
          <w:sz w:val="20"/>
          <w:szCs w:val="20"/>
          <w:rtl/>
        </w:rPr>
        <w:t xml:space="preserve">[דכיון דלא נתחדש 'נערות' שתשאר ברשות אביה, א"כ מיד כשגדלה ממילא הוה בוגרת לכל דבר ויצאה מרשות אביה. וע"ע </w:t>
      </w:r>
      <w:r w:rsidRPr="00E14121">
        <w:rPr>
          <w:rFonts w:ascii="Narkisim" w:hAnsi="Narkisim" w:cs="Narkisim"/>
          <w:b/>
          <w:bCs/>
          <w:sz w:val="20"/>
          <w:szCs w:val="20"/>
          <w:rtl/>
        </w:rPr>
        <w:t>יונת</w:t>
      </w:r>
      <w:r w:rsidRPr="00E14121">
        <w:rPr>
          <w:rFonts w:ascii="Narkisim" w:hAnsi="Narkisim" w:cs="Narkisim"/>
          <w:sz w:val="20"/>
          <w:szCs w:val="20"/>
          <w:rtl/>
        </w:rPr>
        <w:t xml:space="preserve"> </w:t>
      </w:r>
      <w:r w:rsidRPr="00E14121">
        <w:rPr>
          <w:rFonts w:ascii="Narkisim" w:hAnsi="Narkisim" w:cs="Narkisim"/>
          <w:b/>
          <w:bCs/>
          <w:sz w:val="20"/>
          <w:szCs w:val="20"/>
          <w:rtl/>
        </w:rPr>
        <w:t>אלם</w:t>
      </w:r>
      <w:r w:rsidRPr="00E14121">
        <w:rPr>
          <w:rFonts w:ascii="Narkisim" w:hAnsi="Narkisim" w:cs="Narkisim"/>
          <w:sz w:val="20"/>
          <w:szCs w:val="20"/>
          <w:rtl/>
        </w:rPr>
        <w:t xml:space="preserve"> לא].</w:t>
      </w:r>
      <w:r w:rsidRPr="00E14121">
        <w:rPr>
          <w:rFonts w:ascii="Narkisim" w:hAnsi="Narkisim" w:cs="Narkisim"/>
          <w:rtl/>
        </w:rPr>
        <w:t xml:space="preserve"> אבל דעת ה</w:t>
      </w:r>
      <w:r w:rsidRPr="00E14121">
        <w:rPr>
          <w:rFonts w:ascii="Narkisim" w:hAnsi="Narkisim" w:cs="Narkisim"/>
          <w:b/>
          <w:bCs/>
          <w:rtl/>
        </w:rPr>
        <w:t xml:space="preserve">רמב"ן </w:t>
      </w:r>
      <w:r w:rsidRPr="00E14121">
        <w:rPr>
          <w:rFonts w:ascii="Narkisim" w:hAnsi="Narkisim" w:cs="Narkisim"/>
          <w:rtl/>
        </w:rPr>
        <w:t>(הו' לעיל) דמקטנות יצאת לבגרות הוא מבת י"ב ומחצה, והוה קטנה עד שחל בגרות</w:t>
      </w:r>
      <w:r w:rsidRPr="00E14121">
        <w:rPr>
          <w:rStyle w:val="ac"/>
          <w:rFonts w:ascii="Narkisim" w:hAnsi="Narkisim" w:cs="Narkisim"/>
          <w:rtl/>
        </w:rPr>
        <w:footnoteReference w:id="4894"/>
      </w:r>
      <w:r w:rsidRPr="00E14121">
        <w:rPr>
          <w:rFonts w:ascii="Narkisim" w:hAnsi="Narkisim" w:cs="Narkisim"/>
          <w:rtl/>
        </w:rPr>
        <w:t xml:space="preserve">. </w:t>
      </w:r>
      <w:r w:rsidRPr="00E14121">
        <w:rPr>
          <w:rFonts w:ascii="Narkisim" w:hAnsi="Narkisim" w:cs="Narkisim"/>
          <w:sz w:val="20"/>
          <w:szCs w:val="20"/>
          <w:rtl/>
        </w:rPr>
        <w:t>[ומבואר דגדלות הבת הוה מחמת הנערות</w:t>
      </w:r>
      <w:r w:rsidRPr="00E14121">
        <w:rPr>
          <w:rStyle w:val="ac"/>
          <w:rFonts w:ascii="Narkisim" w:hAnsi="Narkisim" w:cs="Narkisim"/>
          <w:sz w:val="20"/>
          <w:szCs w:val="20"/>
          <w:rtl/>
        </w:rPr>
        <w:footnoteReference w:id="4895"/>
      </w:r>
      <w:r w:rsidRPr="00E14121">
        <w:rPr>
          <w:rFonts w:ascii="Narkisim" w:hAnsi="Narkisim" w:cs="Narkisim"/>
          <w:sz w:val="20"/>
          <w:szCs w:val="20"/>
          <w:rtl/>
        </w:rPr>
        <w:t>, וכיון דאילונית לא נחשבת 'נערה', אף אילו הביאה סימנים אינה גדולה עד שתהא בוגרת]</w:t>
      </w:r>
      <w:r w:rsidRPr="00E14121">
        <w:rPr>
          <w:rFonts w:ascii="Narkisim" w:hAnsi="Narkisim" w:cs="Narkisim"/>
          <w:rtl/>
        </w:rPr>
        <w:t>.</w:t>
      </w:r>
    </w:p>
    <w:p w14:paraId="2C8F474C" w14:textId="77777777" w:rsidR="00F64AED" w:rsidRPr="00E14121" w:rsidRDefault="00F64AED" w:rsidP="00F64AED">
      <w:pPr>
        <w:pStyle w:val="a7"/>
        <w:bidi/>
        <w:rPr>
          <w:rFonts w:ascii="Narkisim" w:hAnsi="Narkisim"/>
        </w:rPr>
      </w:pPr>
      <w:r w:rsidRPr="00E14121">
        <w:rPr>
          <w:rFonts w:ascii="Narkisim" w:hAnsi="Narkisim"/>
          <w:rtl/>
        </w:rPr>
        <w:t>וכ"כ ה</w:t>
      </w:r>
      <w:r w:rsidRPr="00E14121">
        <w:rPr>
          <w:rFonts w:ascii="Narkisim" w:hAnsi="Narkisim"/>
          <w:b/>
          <w:bCs/>
          <w:rtl/>
        </w:rPr>
        <w:t>רמב"ן</w:t>
      </w:r>
      <w:r w:rsidRPr="00E14121">
        <w:rPr>
          <w:rFonts w:ascii="Narkisim" w:hAnsi="Narkisim"/>
          <w:rtl/>
        </w:rPr>
        <w:t xml:space="preserve"> ו</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w:t>
      </w:r>
      <w:r w:rsidRPr="00E14121">
        <w:rPr>
          <w:rFonts w:ascii="Narkisim" w:hAnsi="Narkisim"/>
          <w:sz w:val="20"/>
          <w:szCs w:val="20"/>
          <w:rtl/>
        </w:rPr>
        <w:t>(קידושין ד.)</w:t>
      </w:r>
      <w:r w:rsidRPr="00E14121">
        <w:rPr>
          <w:rFonts w:ascii="Narkisim" w:hAnsi="Narkisim"/>
          <w:rtl/>
        </w:rPr>
        <w:t xml:space="preserve"> דנעשית בוגרת למפרע [לרב] משהגיעה להיות בת י"ב שנה ומחצה, וצריך להחזיר מעש"י. ובפשוטו כוונתם כמ"ש הרמב"ן בסוגיין דלא הוה גדולה עד שתהא בת י"ב ומחצה. </w:t>
      </w:r>
      <w:r w:rsidRPr="00E14121">
        <w:rPr>
          <w:rFonts w:ascii="Narkisim" w:hAnsi="Narkisim"/>
          <w:szCs w:val="20"/>
          <w:rtl/>
        </w:rPr>
        <w:t>אבל הרשב"א וריטב"א (בסוגיין) חלקו על דברי הרמב"ן, וצ"ב מ"ש התם דהביאו דבריו</w:t>
      </w:r>
      <w:r w:rsidRPr="00E14121">
        <w:rPr>
          <w:rStyle w:val="ac"/>
          <w:rFonts w:ascii="Narkisim" w:hAnsi="Narkisim"/>
          <w:szCs w:val="20"/>
          <w:rtl/>
        </w:rPr>
        <w:footnoteReference w:id="4896"/>
      </w:r>
      <w:r w:rsidRPr="00E14121">
        <w:rPr>
          <w:rFonts w:ascii="Narkisim" w:hAnsi="Narkisim"/>
          <w:szCs w:val="20"/>
          <w:rtl/>
        </w:rPr>
        <w:t>.</w:t>
      </w:r>
    </w:p>
    <w:p w14:paraId="0FAEEC6E" w14:textId="77777777" w:rsidR="00F64AED" w:rsidRPr="00E14121" w:rsidRDefault="00F64AED" w:rsidP="00F64AED">
      <w:pPr>
        <w:pStyle w:val="a8"/>
        <w:bidi/>
        <w:rPr>
          <w:rFonts w:ascii="Narkisim" w:hAnsi="Narkisim"/>
        </w:rPr>
      </w:pPr>
      <w:r w:rsidRPr="00E14121">
        <w:rPr>
          <w:rFonts w:ascii="Narkisim" w:hAnsi="Narkisim"/>
          <w:rtl/>
        </w:rPr>
        <w:t>וב</w:t>
      </w:r>
      <w:r w:rsidRPr="00E14121">
        <w:rPr>
          <w:rFonts w:ascii="Narkisim" w:hAnsi="Narkisim"/>
          <w:b/>
          <w:bCs/>
          <w:rtl/>
        </w:rPr>
        <w:t>זכרון שמואל</w:t>
      </w:r>
      <w:r w:rsidRPr="00E14121">
        <w:rPr>
          <w:rFonts w:ascii="Narkisim" w:hAnsi="Narkisim"/>
          <w:rtl/>
        </w:rPr>
        <w:t xml:space="preserve"> (מה א) כתב [בדעת הרשב"א וריטב"א] דאילונית אינה נעשית בוגרת עד י"ב ומחצה [כשאר נשים], ואפ"ה נעשית גדולה מבת י"ב, אלא דאינה בגדר 'נערה' ובינתיים אינה נערה ולא בוגרת</w:t>
      </w:r>
      <w:r w:rsidRPr="00E14121">
        <w:rPr>
          <w:rStyle w:val="ac"/>
          <w:rFonts w:ascii="Narkisim" w:hAnsi="Narkisim"/>
          <w:rtl/>
        </w:rPr>
        <w:footnoteReference w:id="4897"/>
      </w:r>
      <w:r w:rsidRPr="00E14121">
        <w:rPr>
          <w:rFonts w:ascii="Narkisim" w:hAnsi="Narkisim"/>
          <w:rtl/>
        </w:rPr>
        <w:t>. ולא נתחדש קנס [לר' מאיר] במי שאינה נערה [ואף שהיא גדולה].</w:t>
      </w:r>
    </w:p>
    <w:p w14:paraId="44B0E5D1" w14:textId="77777777" w:rsidR="00F64AED" w:rsidRPr="00E14121" w:rsidRDefault="00F64AED" w:rsidP="00F64AED">
      <w:pPr>
        <w:pStyle w:val="aa"/>
        <w:bidi/>
        <w:rPr>
          <w:rFonts w:ascii="Narkisim" w:hAnsi="Narkisim"/>
        </w:rPr>
      </w:pPr>
      <w:r w:rsidRPr="00E14121">
        <w:rPr>
          <w:rFonts w:ascii="Narkisim" w:hAnsi="Narkisim"/>
          <w:u w:val="single"/>
          <w:rtl/>
        </w:rPr>
        <w:t>שם. אילונית לר"מ יהא לה קנס וכו'</w:t>
      </w:r>
      <w:r w:rsidRPr="00E14121">
        <w:rPr>
          <w:rFonts w:ascii="Narkisim" w:hAnsi="Narkisim"/>
          <w:rtl/>
        </w:rPr>
        <w:t>. ה</w:t>
      </w:r>
      <w:r w:rsidRPr="00E14121">
        <w:rPr>
          <w:rFonts w:ascii="Narkisim" w:hAnsi="Narkisim"/>
          <w:b/>
          <w:bCs/>
          <w:rtl/>
        </w:rPr>
        <w:t>רמב"ם</w:t>
      </w:r>
      <w:r w:rsidRPr="00E14121">
        <w:rPr>
          <w:rFonts w:ascii="Narkisim" w:hAnsi="Narkisim"/>
          <w:rtl/>
        </w:rPr>
        <w:t xml:space="preserve"> (נערה א ט) פסק דאילונית אין לה קנס. וה</w:t>
      </w:r>
      <w:r w:rsidRPr="00E14121">
        <w:rPr>
          <w:rFonts w:ascii="Narkisim" w:hAnsi="Narkisim"/>
          <w:b/>
          <w:bCs/>
          <w:rtl/>
        </w:rPr>
        <w:t>ראב"ד</w:t>
      </w:r>
      <w:r w:rsidRPr="00E14121">
        <w:rPr>
          <w:rFonts w:ascii="Narkisim" w:hAnsi="Narkisim"/>
          <w:rtl/>
        </w:rPr>
        <w:t xml:space="preserve"> השיג דאילונית הוה כקטנה, ולרבנן יש לה קנס עד שתהא בת כ'</w:t>
      </w:r>
      <w:r w:rsidRPr="00E14121">
        <w:rPr>
          <w:rStyle w:val="ac"/>
          <w:rFonts w:ascii="Narkisim" w:hAnsi="Narkisim"/>
          <w:rtl/>
        </w:rPr>
        <w:footnoteReference w:id="4898"/>
      </w:r>
      <w:r w:rsidRPr="00E14121">
        <w:rPr>
          <w:rFonts w:ascii="Narkisim" w:hAnsi="Narkisim"/>
          <w:rtl/>
        </w:rPr>
        <w:t>, שמקטנותה יצאת לבגר. ומבואר דדעת הרמב"ם דאילונית גרעה, דכיון דלא נתחדש אצלה קנס, כיון דאינה עומדת לנערות.</w:t>
      </w:r>
    </w:p>
    <w:p w14:paraId="516D630F"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(אישות ב ה) כתב דהגיע לל"ה שנה ויום א', נקראת אילונית אף בלא סימני אילונית. וכתב נמצאת למד דהאילונית אין לה ימי נערות דמקטנותה תצא לבגרות. וה</w:t>
      </w:r>
      <w:r w:rsidRPr="00E14121">
        <w:rPr>
          <w:rFonts w:ascii="Narkisim" w:hAnsi="Narkisim"/>
          <w:b/>
          <w:bCs/>
          <w:rtl/>
        </w:rPr>
        <w:t>לח"מ</w:t>
      </w:r>
      <w:r w:rsidRPr="00E14121">
        <w:rPr>
          <w:rFonts w:ascii="Narkisim" w:hAnsi="Narkisim"/>
          <w:rtl/>
        </w:rPr>
        <w:t xml:space="preserve"> הק' היאך ילפי' מהכא, והרי זה הקשה רב יוסף. וה</w:t>
      </w:r>
      <w:r w:rsidRPr="00E14121">
        <w:rPr>
          <w:rFonts w:ascii="Narkisim" w:hAnsi="Narkisim"/>
          <w:b/>
          <w:bCs/>
          <w:rtl/>
        </w:rPr>
        <w:t>נוב"י</w:t>
      </w:r>
      <w:r w:rsidRPr="00E14121">
        <w:rPr>
          <w:rFonts w:ascii="Narkisim" w:hAnsi="Narkisim"/>
          <w:rtl/>
        </w:rPr>
        <w:t xml:space="preserve"> (ת' מג) תי' דהרמב"ם פסק כשמואל</w:t>
      </w:r>
      <w:r w:rsidRPr="00E14121">
        <w:rPr>
          <w:rStyle w:val="ac"/>
          <w:rFonts w:ascii="Narkisim" w:hAnsi="Narkisim"/>
          <w:rtl/>
        </w:rPr>
        <w:footnoteReference w:id="4899"/>
      </w:r>
      <w:r w:rsidRPr="00E14121">
        <w:rPr>
          <w:rFonts w:ascii="Narkisim" w:hAnsi="Narkisim"/>
          <w:rtl/>
        </w:rPr>
        <w:t>, ולשמואל פשיטא דתליא בסימני אילונית ולכן נמצאינו למידים דל"ש אצלה נערות.</w:t>
      </w:r>
    </w:p>
    <w:p w14:paraId="6C7E1202" w14:textId="77777777" w:rsidR="00F64AED" w:rsidRPr="00E14121" w:rsidRDefault="00F64AED" w:rsidP="00F64AED">
      <w:pPr>
        <w:bidi/>
        <w:rPr>
          <w:rFonts w:ascii="Narkisim" w:hAnsi="Narkisim" w:cs="Narkisim"/>
        </w:rPr>
      </w:pPr>
      <w:r w:rsidRPr="00E14121">
        <w:rPr>
          <w:rFonts w:ascii="Narkisim" w:hAnsi="Narkisim" w:cs="Narkisim"/>
          <w:u w:val="single"/>
          <w:rtl/>
        </w:rPr>
        <w:t>תוד"ה אילונית.</w:t>
      </w:r>
      <w:r w:rsidRPr="00E14121">
        <w:rPr>
          <w:rFonts w:ascii="Narkisim" w:hAnsi="Narkisim" w:cs="Narkisim"/>
          <w:rtl/>
        </w:rPr>
        <w:t xml:space="preserve"> דימי נערות הם ו' חדשים הסמוכים לי"ב. משמע דבת שהביאה שערות אחרי י"ב, הנערות הוה רק להשלים לו' חדשים עד י"ב וששה חדשים. </w:t>
      </w:r>
      <w:r w:rsidRPr="00E14121">
        <w:rPr>
          <w:rFonts w:ascii="Narkisim" w:hAnsi="Narkisim" w:cs="Narkisim"/>
          <w:sz w:val="20"/>
          <w:szCs w:val="20"/>
          <w:rtl/>
        </w:rPr>
        <w:t>וה</w:t>
      </w:r>
      <w:r w:rsidRPr="00E14121">
        <w:rPr>
          <w:rFonts w:ascii="Narkisim" w:hAnsi="Narkisim" w:cs="Narkisim"/>
          <w:b/>
          <w:bCs/>
          <w:sz w:val="20"/>
          <w:szCs w:val="20"/>
          <w:rtl/>
        </w:rPr>
        <w:t>אחרונים</w:t>
      </w:r>
      <w:r w:rsidRPr="00E14121">
        <w:rPr>
          <w:rFonts w:ascii="Narkisim" w:hAnsi="Narkisim" w:cs="Narkisim"/>
          <w:sz w:val="20"/>
          <w:szCs w:val="20"/>
          <w:rtl/>
        </w:rPr>
        <w:t xml:space="preserve"> (</w:t>
      </w:r>
      <w:r w:rsidRPr="00E14121">
        <w:rPr>
          <w:rFonts w:ascii="Narkisim" w:hAnsi="Narkisim" w:cs="Narkisim"/>
          <w:b/>
          <w:bCs/>
          <w:sz w:val="20"/>
          <w:szCs w:val="20"/>
          <w:rtl/>
        </w:rPr>
        <w:t>ערול"נ</w:t>
      </w:r>
      <w:r w:rsidRPr="00E14121">
        <w:rPr>
          <w:rFonts w:ascii="Narkisim" w:hAnsi="Narkisim" w:cs="Narkisim"/>
          <w:sz w:val="20"/>
          <w:szCs w:val="20"/>
          <w:rtl/>
        </w:rPr>
        <w:t xml:space="preserve">, </w:t>
      </w:r>
      <w:r w:rsidRPr="00E14121">
        <w:rPr>
          <w:rFonts w:ascii="Narkisim" w:hAnsi="Narkisim" w:cs="Narkisim"/>
          <w:b/>
          <w:bCs/>
          <w:sz w:val="20"/>
          <w:szCs w:val="20"/>
          <w:rtl/>
        </w:rPr>
        <w:t>נוב"י</w:t>
      </w:r>
      <w:r w:rsidRPr="00E14121">
        <w:rPr>
          <w:rFonts w:ascii="Narkisim" w:hAnsi="Narkisim" w:cs="Narkisim"/>
          <w:sz w:val="20"/>
          <w:szCs w:val="20"/>
          <w:rtl/>
        </w:rPr>
        <w:t xml:space="preserve"> שם) תמהו דא"כ לאו דוקא אילונית אין לה קנס, דכל בת שסימניה נתעכבו עד בת י"ג אין לה נערות.</w:t>
      </w:r>
    </w:p>
    <w:p w14:paraId="3B85D595"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(אישות ב ג) כתב כשתביא ב' שערות אפי' בשנת כ' תהיה נערה ו' חדשים, ואח"כ בוגרת. </w:t>
      </w:r>
      <w:r w:rsidRPr="00E14121">
        <w:rPr>
          <w:rFonts w:ascii="Narkisim" w:hAnsi="Narkisim"/>
          <w:sz w:val="20"/>
          <w:szCs w:val="20"/>
          <w:rtl/>
        </w:rPr>
        <w:t>וה</w:t>
      </w:r>
      <w:r w:rsidRPr="00E14121">
        <w:rPr>
          <w:rFonts w:ascii="Narkisim" w:hAnsi="Narkisim"/>
          <w:b/>
          <w:bCs/>
          <w:sz w:val="20"/>
          <w:szCs w:val="20"/>
          <w:rtl/>
        </w:rPr>
        <w:t>ערול"נ</w:t>
      </w:r>
      <w:r w:rsidRPr="00E14121">
        <w:rPr>
          <w:rFonts w:ascii="Narkisim" w:hAnsi="Narkisim"/>
          <w:sz w:val="20"/>
          <w:szCs w:val="20"/>
          <w:rtl/>
        </w:rPr>
        <w:t xml:space="preserve"> ציין דכן מבואר בדברי ה</w:t>
      </w:r>
      <w:r w:rsidRPr="00E14121">
        <w:rPr>
          <w:rFonts w:ascii="Narkisim" w:hAnsi="Narkisim"/>
          <w:b/>
          <w:bCs/>
          <w:sz w:val="20"/>
          <w:szCs w:val="20"/>
          <w:rtl/>
        </w:rPr>
        <w:t>רמב"ן</w:t>
      </w:r>
      <w:r w:rsidRPr="00E14121">
        <w:rPr>
          <w:rFonts w:ascii="Narkisim" w:hAnsi="Narkisim"/>
          <w:sz w:val="20"/>
          <w:szCs w:val="20"/>
          <w:rtl/>
        </w:rPr>
        <w:t xml:space="preserve"> (ושא"ר לעיל סא:) דכתב דלדעת הספרי רבקה היתה בת י"ד, ונקראת נערה דשהתה מלהביא ב' שערות עד י"ד.</w:t>
      </w:r>
    </w:p>
    <w:p w14:paraId="185F7C8A"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ריטב"א</w:t>
      </w:r>
      <w:r w:rsidRPr="00E14121">
        <w:rPr>
          <w:rFonts w:ascii="Narkisim" w:hAnsi="Narkisim" w:cs="Narkisim"/>
          <w:rtl/>
        </w:rPr>
        <w:t xml:space="preserve"> כת' [הא דלשמואל אין ימי נערות מכאן ולהבא] דאין לתת נערות אחר י"ח או כ'. </w:t>
      </w:r>
      <w:r w:rsidRPr="00E14121">
        <w:rPr>
          <w:rFonts w:ascii="Narkisim" w:hAnsi="Narkisim" w:cs="Narkisim"/>
          <w:sz w:val="20"/>
          <w:szCs w:val="20"/>
          <w:rtl/>
        </w:rPr>
        <w:t>אבל לרב היה לנו לדונה כנערה בתחילת י"ג, ויהא קנס למפרע באותו זמן.</w:t>
      </w:r>
      <w:r w:rsidRPr="00E14121">
        <w:rPr>
          <w:rFonts w:ascii="Narkisim" w:hAnsi="Narkisim" w:cs="Narkisim"/>
          <w:rtl/>
        </w:rPr>
        <w:t xml:space="preserve"> ובפשוטו משמע דכיון דנתעכב כ"כ לא שייך נערות.</w:t>
      </w:r>
    </w:p>
    <w:p w14:paraId="2239719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ערול"נ</w:t>
      </w:r>
      <w:r w:rsidRPr="00E14121">
        <w:rPr>
          <w:rFonts w:ascii="Narkisim" w:hAnsi="Narkisim"/>
          <w:rtl/>
        </w:rPr>
        <w:t xml:space="preserve"> ו</w:t>
      </w:r>
      <w:r w:rsidRPr="00E14121">
        <w:rPr>
          <w:rFonts w:ascii="Narkisim" w:hAnsi="Narkisim"/>
          <w:b/>
          <w:bCs/>
          <w:rtl/>
        </w:rPr>
        <w:t>חזו"א</w:t>
      </w:r>
      <w:r w:rsidRPr="00E14121">
        <w:rPr>
          <w:rFonts w:ascii="Narkisim" w:hAnsi="Narkisim"/>
          <w:rtl/>
        </w:rPr>
        <w:t xml:space="preserve"> (בגליונות לגר"ח) ביארו דנערות תליא בסימני גדלות, אבל לא נתחדש נערות ע"י סימני אילונית, ויוצאת מקטנות לבגרות [וכ"כ ה</w:t>
      </w:r>
      <w:r w:rsidRPr="00E14121">
        <w:rPr>
          <w:rFonts w:ascii="Narkisim" w:hAnsi="Narkisim"/>
          <w:b/>
          <w:bCs/>
          <w:rtl/>
        </w:rPr>
        <w:t>נוב"י</w:t>
      </w:r>
      <w:r w:rsidRPr="00E14121">
        <w:rPr>
          <w:rFonts w:ascii="Narkisim" w:hAnsi="Narkisim"/>
          <w:rtl/>
        </w:rPr>
        <w:t xml:space="preserve"> (הנ"ל) בדעת הרמב"ם]. וכתבו דיל"פ כן אף בכוונת התוס' דקאי רק בהביאה סימני אילונית, אבל משהביאה סימנים לעולם נחשב מהשתא ו' חדשים.</w:t>
      </w:r>
    </w:p>
    <w:p w14:paraId="10C7247E"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גר"ח</w:t>
      </w:r>
      <w:r w:rsidRPr="00E14121">
        <w:rPr>
          <w:rFonts w:ascii="Narkisim" w:hAnsi="Narkisim"/>
          <w:rtl/>
        </w:rPr>
        <w:t xml:space="preserve"> (שם) כתב</w:t>
      </w:r>
      <w:r w:rsidRPr="00E14121">
        <w:rPr>
          <w:rStyle w:val="ac"/>
          <w:rFonts w:ascii="Narkisim" w:hAnsi="Narkisim"/>
          <w:rtl/>
        </w:rPr>
        <w:footnoteReference w:id="4900"/>
      </w:r>
      <w:r w:rsidRPr="00E14121">
        <w:rPr>
          <w:rFonts w:ascii="Narkisim" w:hAnsi="Narkisim"/>
          <w:rtl/>
        </w:rPr>
        <w:t xml:space="preserve"> דאף שמואל ס"ל דע"י סימני אילונית היה ראוי שיהא גדול מבן </w:t>
      </w:r>
      <w:r w:rsidRPr="00E14121">
        <w:rPr>
          <w:rFonts w:ascii="Narkisim" w:hAnsi="Narkisim"/>
          <w:rtl/>
        </w:rPr>
        <w:lastRenderedPageBreak/>
        <w:t>י"ב, אלא דס"ל דלא אמרי' איגלאי מילתא למפרע. אבל כלפי להבא אמרי' דהיא ראויה להיות גדולה מי"ב שנה, וכבר עבר ו' חדשים ולא שייך נערות</w:t>
      </w:r>
      <w:r w:rsidRPr="00E14121">
        <w:rPr>
          <w:rStyle w:val="ac"/>
          <w:rFonts w:ascii="Narkisim" w:hAnsi="Narkisim"/>
          <w:rtl/>
        </w:rPr>
        <w:footnoteReference w:id="4901"/>
      </w:r>
      <w:r w:rsidRPr="00E14121">
        <w:rPr>
          <w:rFonts w:ascii="Narkisim" w:hAnsi="Narkisim"/>
          <w:rtl/>
        </w:rPr>
        <w:t>.</w:t>
      </w:r>
    </w:p>
    <w:p w14:paraId="42CFB490" w14:textId="77777777" w:rsidR="00F64AED" w:rsidRPr="00E14121" w:rsidRDefault="00F64AED" w:rsidP="00F64AED">
      <w:pPr>
        <w:pStyle w:val="aa"/>
        <w:bidi/>
        <w:rPr>
          <w:rFonts w:ascii="Narkisim" w:hAnsi="Narkisim"/>
        </w:rPr>
      </w:pPr>
      <w:r w:rsidRPr="00E14121">
        <w:rPr>
          <w:rFonts w:ascii="Narkisim" w:hAnsi="Narkisim"/>
          <w:u w:val="single"/>
          <w:rtl/>
        </w:rPr>
        <w:t>דתניא וכו' ואין אילונית נידונת כנערה המאורסה שמקטנותה יצאת לבגר.</w:t>
      </w:r>
      <w:r w:rsidRPr="00E14121">
        <w:rPr>
          <w:rFonts w:ascii="Narkisim" w:hAnsi="Narkisim"/>
          <w:rtl/>
        </w:rPr>
        <w:t xml:space="preserve"> </w:t>
      </w:r>
      <w:r w:rsidRPr="00E14121">
        <w:rPr>
          <w:rFonts w:ascii="Narkisim" w:hAnsi="Narkisim"/>
          <w:b/>
          <w:bCs/>
          <w:rtl/>
        </w:rPr>
        <w:t>רע"א</w:t>
      </w:r>
      <w:r w:rsidRPr="00E14121">
        <w:rPr>
          <w:rFonts w:ascii="Narkisim" w:hAnsi="Narkisim"/>
          <w:rtl/>
        </w:rPr>
        <w:t xml:space="preserve"> הקשה דמשמע דהוה סייעתא לרב, הא אף לשמואל ניחא, דמהאי טעמא אין לה נערות מבת כ', וכמ"ש </w:t>
      </w:r>
      <w:r w:rsidRPr="00E14121">
        <w:rPr>
          <w:rFonts w:ascii="Narkisim" w:hAnsi="Narkisim"/>
          <w:b/>
          <w:bCs/>
          <w:rtl/>
        </w:rPr>
        <w:t>תוס</w:t>
      </w:r>
      <w:r w:rsidRPr="00E14121">
        <w:rPr>
          <w:rFonts w:ascii="Narkisim" w:hAnsi="Narkisim"/>
          <w:rtl/>
        </w:rPr>
        <w:t>' (ד"ה אילונית).</w:t>
      </w:r>
    </w:p>
    <w:p w14:paraId="354EDA65"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הקשה דהוה התראת ספק [לרב], והכא הוה ספק בעצם החיוב</w:t>
      </w:r>
      <w:r w:rsidRPr="00E14121">
        <w:rPr>
          <w:rStyle w:val="ac"/>
          <w:rFonts w:ascii="Narkisim" w:hAnsi="Narkisim"/>
          <w:rtl/>
        </w:rPr>
        <w:footnoteReference w:id="4902"/>
      </w:r>
      <w:r w:rsidRPr="00E14121">
        <w:rPr>
          <w:rFonts w:ascii="Narkisim" w:hAnsi="Narkisim"/>
          <w:rtl/>
        </w:rPr>
        <w:t xml:space="preserve"> אי הוה נערה המאורסה. </w:t>
      </w:r>
      <w:r w:rsidRPr="00E14121">
        <w:rPr>
          <w:rFonts w:ascii="Narkisim" w:hAnsi="Narkisim"/>
          <w:sz w:val="20"/>
          <w:szCs w:val="20"/>
          <w:rtl/>
        </w:rPr>
        <w:t>[ואף למש"כ הפנ"י בכוונת התוס' דרק היכא דספק בעונש מהני איגלאי מילתא</w:t>
      </w:r>
      <w:r w:rsidRPr="00E14121">
        <w:rPr>
          <w:rFonts w:ascii="Narkisim" w:hAnsi="Narkisim"/>
          <w:rtl/>
        </w:rPr>
        <w:t>]. וי"ל דהברייתא ס"ל דהתראת ספק שמיה התראה.</w:t>
      </w:r>
    </w:p>
    <w:p w14:paraId="2D1D259E" w14:textId="77777777" w:rsidR="00F64AED" w:rsidRPr="00E14121" w:rsidRDefault="00F64AED" w:rsidP="00F64AED">
      <w:pPr>
        <w:bidi/>
        <w:rPr>
          <w:rFonts w:ascii="Narkisim" w:hAnsi="Narkisim" w:cs="Narkisim"/>
        </w:rPr>
      </w:pPr>
      <w:r w:rsidRPr="00E14121">
        <w:rPr>
          <w:rFonts w:ascii="Narkisim" w:hAnsi="Narkisim" w:cs="Narkisim"/>
          <w:u w:val="single"/>
          <w:rtl/>
        </w:rPr>
        <w:t>אין עושין בהם מעשה עד שיהא בן כ'.</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להחזיקו כבן קיימא וכו' עד שיהא בן כ'. וה</w:t>
      </w:r>
      <w:r w:rsidRPr="00E14121">
        <w:rPr>
          <w:rFonts w:ascii="Narkisim" w:hAnsi="Narkisim" w:cs="Narkisim"/>
          <w:b/>
          <w:bCs/>
          <w:rtl/>
        </w:rPr>
        <w:t>רמב"ן</w:t>
      </w:r>
      <w:r w:rsidRPr="00E14121">
        <w:rPr>
          <w:rFonts w:ascii="Narkisim" w:hAnsi="Narkisim" w:cs="Narkisim"/>
          <w:rtl/>
        </w:rPr>
        <w:t xml:space="preserve"> תמה דהאיך נאמר דבן י"ט</w:t>
      </w:r>
      <w:r w:rsidRPr="00E14121">
        <w:rPr>
          <w:rStyle w:val="ac"/>
          <w:rFonts w:ascii="Narkisim" w:hAnsi="Narkisim" w:cs="Narkisim"/>
          <w:rtl/>
        </w:rPr>
        <w:footnoteReference w:id="4903"/>
      </w:r>
      <w:r w:rsidRPr="00E14121">
        <w:rPr>
          <w:rFonts w:ascii="Narkisim" w:hAnsi="Narkisim" w:cs="Narkisim"/>
          <w:rtl/>
        </w:rPr>
        <w:t xml:space="preserve"> נידון כספק נפל</w:t>
      </w:r>
      <w:r w:rsidRPr="00E14121">
        <w:rPr>
          <w:rStyle w:val="ac"/>
          <w:rFonts w:ascii="Narkisim" w:hAnsi="Narkisim" w:cs="Narkisim"/>
          <w:rtl/>
        </w:rPr>
        <w:footnoteReference w:id="4904"/>
      </w:r>
      <w:r w:rsidRPr="00E14121">
        <w:rPr>
          <w:rFonts w:ascii="Narkisim" w:hAnsi="Narkisim" w:cs="Narkisim"/>
          <w:rtl/>
        </w:rPr>
        <w:t>.</w:t>
      </w:r>
    </w:p>
    <w:p w14:paraId="5238D878" w14:textId="77777777" w:rsidR="00F64AED" w:rsidRPr="00E14121" w:rsidRDefault="00F64AED" w:rsidP="00F64AED">
      <w:pPr>
        <w:pStyle w:val="a7"/>
        <w:bidi/>
        <w:rPr>
          <w:rFonts w:ascii="Narkisim" w:hAnsi="Narkisim"/>
        </w:rPr>
      </w:pPr>
      <w:r w:rsidRPr="00E14121">
        <w:rPr>
          <w:rFonts w:ascii="Narkisim" w:hAnsi="Narkisim"/>
          <w:rtl/>
        </w:rPr>
        <w:t>והביא בשם ה</w:t>
      </w:r>
      <w:r w:rsidRPr="00E14121">
        <w:rPr>
          <w:rFonts w:ascii="Narkisim" w:hAnsi="Narkisim"/>
          <w:b/>
          <w:bCs/>
          <w:rtl/>
        </w:rPr>
        <w:t xml:space="preserve">ר"ח </w:t>
      </w:r>
      <w:r w:rsidRPr="00E14121">
        <w:rPr>
          <w:rFonts w:ascii="Narkisim" w:hAnsi="Narkisim"/>
          <w:rtl/>
        </w:rPr>
        <w:t>וה</w:t>
      </w:r>
      <w:r w:rsidRPr="00E14121">
        <w:rPr>
          <w:rFonts w:ascii="Narkisim" w:hAnsi="Narkisim"/>
          <w:b/>
          <w:bCs/>
          <w:rtl/>
        </w:rPr>
        <w:t xml:space="preserve">ראב"ד </w:t>
      </w:r>
      <w:r w:rsidRPr="00E14121">
        <w:rPr>
          <w:rFonts w:ascii="Narkisim" w:hAnsi="Narkisim"/>
          <w:rtl/>
        </w:rPr>
        <w:t xml:space="preserve">דקאי אסימני גדלות לבן ח' שגדל, דעד כ' אמרי' דשומא בעלמא הם, כיון דהוא חלוש שנת כ' דידיה כי"ג דעלמא. </w:t>
      </w:r>
      <w:r w:rsidRPr="00E14121">
        <w:rPr>
          <w:rFonts w:ascii="Narkisim" w:hAnsi="Narkisim"/>
          <w:sz w:val="20"/>
          <w:szCs w:val="20"/>
          <w:rtl/>
        </w:rPr>
        <w:t>וה</w:t>
      </w:r>
      <w:r w:rsidRPr="00E14121">
        <w:rPr>
          <w:rFonts w:ascii="Narkisim" w:hAnsi="Narkisim"/>
          <w:b/>
          <w:bCs/>
          <w:sz w:val="20"/>
          <w:szCs w:val="20"/>
          <w:rtl/>
        </w:rPr>
        <w:t>רשב"א</w:t>
      </w:r>
      <w:r w:rsidRPr="00E14121">
        <w:rPr>
          <w:rFonts w:ascii="Narkisim" w:hAnsi="Narkisim"/>
          <w:sz w:val="20"/>
          <w:szCs w:val="20"/>
          <w:rtl/>
        </w:rPr>
        <w:t xml:space="preserve"> כתב דמסתברא דוקא כשנודע שהוא בן ח', אבל כל מי שקידש ופשטה ידה וקיבלה קידושין מאחר לא חיישינן שמא הוא שומא.</w:t>
      </w:r>
    </w:p>
    <w:p w14:paraId="69D544AA" w14:textId="77777777" w:rsidR="00F64AED" w:rsidRPr="00E14121" w:rsidRDefault="00F64AED" w:rsidP="00F64AED">
      <w:pPr>
        <w:pStyle w:val="3"/>
        <w:bidi/>
        <w:rPr>
          <w:rFonts w:ascii="Narkisim" w:hAnsi="Narkisim"/>
        </w:rPr>
      </w:pPr>
      <w:r w:rsidRPr="00E14121">
        <w:rPr>
          <w:rFonts w:ascii="Narkisim" w:hAnsi="Narkisim"/>
          <w:rtl/>
        </w:rPr>
        <w:t>דף פ:</w:t>
      </w:r>
    </w:p>
    <w:p w14:paraId="35B81C21" w14:textId="77777777" w:rsidR="00F64AED" w:rsidRPr="00E14121" w:rsidRDefault="00F64AED" w:rsidP="00F64AED">
      <w:pPr>
        <w:pStyle w:val="aa"/>
        <w:bidi/>
        <w:rPr>
          <w:rFonts w:ascii="Narkisim" w:hAnsi="Narkisim"/>
        </w:rPr>
      </w:pPr>
      <w:r w:rsidRPr="00E14121">
        <w:rPr>
          <w:rFonts w:ascii="Narkisim" w:hAnsi="Narkisim"/>
          <w:u w:val="single"/>
          <w:rtl/>
        </w:rPr>
        <w:t>מפני הסכנה.</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סכנת שניהם. ו</w:t>
      </w:r>
      <w:r w:rsidRPr="00E14121">
        <w:rPr>
          <w:rFonts w:ascii="Narkisim" w:hAnsi="Narkisim"/>
          <w:b/>
          <w:bCs/>
          <w:rtl/>
        </w:rPr>
        <w:t>רש"י</w:t>
      </w:r>
      <w:r w:rsidRPr="00E14121">
        <w:rPr>
          <w:rFonts w:ascii="Narkisim" w:hAnsi="Narkisim"/>
          <w:rtl/>
        </w:rPr>
        <w:t xml:space="preserve"> (שבת קלה.) כתב מפני שהחלב הרבה בדדיה. וכ"כ ה</w:t>
      </w:r>
      <w:r w:rsidRPr="00E14121">
        <w:rPr>
          <w:rFonts w:ascii="Narkisim" w:hAnsi="Narkisim"/>
          <w:b/>
          <w:bCs/>
          <w:rtl/>
        </w:rPr>
        <w:t>ריטב"א</w:t>
      </w:r>
      <w:r w:rsidRPr="00E14121">
        <w:rPr>
          <w:rFonts w:ascii="Narkisim" w:hAnsi="Narkisim"/>
          <w:rtl/>
        </w:rPr>
        <w:t xml:space="preserve"> ודוקא משום סכנת אמו, אבל סכנת העובר לא דהוה כאבן</w:t>
      </w:r>
      <w:r w:rsidRPr="00E14121">
        <w:rPr>
          <w:rStyle w:val="ac"/>
          <w:rFonts w:ascii="Narkisim" w:hAnsi="Narkisim"/>
          <w:rtl/>
        </w:rPr>
        <w:footnoteReference w:id="4905"/>
      </w:r>
      <w:r w:rsidRPr="00E14121">
        <w:rPr>
          <w:rFonts w:ascii="Narkisim" w:hAnsi="Narkisim"/>
          <w:rtl/>
        </w:rPr>
        <w:t>. אבל ה</w:t>
      </w:r>
      <w:r w:rsidRPr="00E14121">
        <w:rPr>
          <w:rFonts w:ascii="Narkisim" w:hAnsi="Narkisim"/>
          <w:b/>
          <w:bCs/>
          <w:rtl/>
        </w:rPr>
        <w:t>יד רמ"ה</w:t>
      </w:r>
      <w:r w:rsidRPr="00E14121">
        <w:rPr>
          <w:rFonts w:ascii="Narkisim" w:hAnsi="Narkisim"/>
          <w:rtl/>
        </w:rPr>
        <w:t xml:space="preserve"> (ב"ב כ.) הביא י"א משום סכנת העובר, משום חיי שעה</w:t>
      </w:r>
      <w:r w:rsidRPr="00E14121">
        <w:rPr>
          <w:rStyle w:val="ac"/>
          <w:rFonts w:ascii="Narkisim" w:hAnsi="Narkisim"/>
          <w:rtl/>
        </w:rPr>
        <w:footnoteReference w:id="4906"/>
      </w:r>
      <w:r w:rsidRPr="00E14121">
        <w:rPr>
          <w:rFonts w:ascii="Narkisim" w:hAnsi="Narkisim"/>
          <w:rtl/>
        </w:rPr>
        <w:t>. ו</w:t>
      </w:r>
      <w:r w:rsidRPr="00E14121">
        <w:rPr>
          <w:rFonts w:ascii="Narkisim" w:hAnsi="Narkisim"/>
          <w:b/>
          <w:bCs/>
          <w:rtl/>
        </w:rPr>
        <w:t>תוס</w:t>
      </w:r>
      <w:r w:rsidRPr="00E14121">
        <w:rPr>
          <w:rFonts w:ascii="Narkisim" w:hAnsi="Narkisim"/>
          <w:rtl/>
        </w:rPr>
        <w:t>' (שבת שם ד"ה מפני) כתבו דאפי' ליכא סכנה הותר משום צערא</w:t>
      </w:r>
      <w:r w:rsidRPr="00E14121">
        <w:rPr>
          <w:rStyle w:val="ac"/>
          <w:rFonts w:ascii="Narkisim" w:hAnsi="Narkisim"/>
          <w:rtl/>
        </w:rPr>
        <w:footnoteReference w:id="4907"/>
      </w:r>
      <w:r w:rsidRPr="00E14121">
        <w:rPr>
          <w:rFonts w:ascii="Narkisim" w:hAnsi="Narkisim"/>
          <w:rtl/>
        </w:rPr>
        <w:t>.</w:t>
      </w:r>
    </w:p>
    <w:p w14:paraId="731BE6D1" w14:textId="77777777" w:rsidR="00F64AED" w:rsidRPr="00E14121" w:rsidRDefault="00F64AED" w:rsidP="00F64AED">
      <w:pPr>
        <w:bidi/>
        <w:rPr>
          <w:rFonts w:ascii="Narkisim" w:hAnsi="Narkisim" w:cs="Narkisim"/>
        </w:rPr>
      </w:pPr>
      <w:r w:rsidRPr="00E14121">
        <w:rPr>
          <w:rFonts w:ascii="Narkisim" w:hAnsi="Narkisim" w:cs="Narkisim"/>
          <w:u w:val="single"/>
          <w:rtl/>
        </w:rPr>
        <w:t>אלא דהא דעביד רבא תוספאה וכו' ואישתהי עד י"ב חודש.</w:t>
      </w:r>
      <w:r w:rsidRPr="00E14121">
        <w:rPr>
          <w:rFonts w:ascii="Narkisim" w:hAnsi="Narkisim" w:cs="Narkisim"/>
          <w:rtl/>
        </w:rPr>
        <w:t xml:space="preserve"> </w:t>
      </w:r>
      <w:r w:rsidRPr="00E14121">
        <w:rPr>
          <w:rFonts w:ascii="Narkisim" w:hAnsi="Narkisim" w:cs="Narkisim"/>
          <w:b/>
          <w:bCs/>
          <w:rtl/>
        </w:rPr>
        <w:t xml:space="preserve">ה"ה </w:t>
      </w:r>
      <w:r w:rsidRPr="00E14121">
        <w:rPr>
          <w:rFonts w:ascii="Narkisim" w:hAnsi="Narkisim" w:cs="Narkisim"/>
          <w:rtl/>
        </w:rPr>
        <w:t>(איסו"ב טו יט) כתב דרק עד י"ב חודש, דאין להכשיר יותר ממה שאמרו חכמים</w:t>
      </w:r>
      <w:r w:rsidRPr="00E14121">
        <w:rPr>
          <w:rStyle w:val="ac"/>
          <w:rFonts w:ascii="Narkisim" w:hAnsi="Narkisim" w:cs="Narkisim"/>
          <w:rtl/>
        </w:rPr>
        <w:footnoteReference w:id="4908"/>
      </w:r>
      <w:r w:rsidRPr="00E14121">
        <w:rPr>
          <w:rFonts w:ascii="Narkisim" w:hAnsi="Narkisim" w:cs="Narkisim"/>
          <w:rtl/>
        </w:rPr>
        <w:t>. אבל ה</w:t>
      </w:r>
      <w:r w:rsidRPr="00E14121">
        <w:rPr>
          <w:rFonts w:ascii="Narkisim" w:hAnsi="Narkisim" w:cs="Narkisim"/>
          <w:b/>
          <w:bCs/>
          <w:rtl/>
        </w:rPr>
        <w:t>מאירי</w:t>
      </w:r>
      <w:r w:rsidRPr="00E14121">
        <w:rPr>
          <w:rFonts w:ascii="Narkisim" w:hAnsi="Narkisim" w:cs="Narkisim"/>
          <w:rtl/>
        </w:rPr>
        <w:t xml:space="preserve"> הביא בזה מח'. וה</w:t>
      </w:r>
      <w:r w:rsidRPr="00E14121">
        <w:rPr>
          <w:rFonts w:ascii="Narkisim" w:hAnsi="Narkisim" w:cs="Narkisim"/>
          <w:b/>
          <w:bCs/>
          <w:rtl/>
        </w:rPr>
        <w:t xml:space="preserve">רמ"א </w:t>
      </w:r>
      <w:r w:rsidRPr="00E14121">
        <w:rPr>
          <w:rFonts w:ascii="Narkisim" w:hAnsi="Narkisim" w:cs="Narkisim"/>
          <w:rtl/>
        </w:rPr>
        <w:t>(ד יד) כתב דדוקא היכא דהוחזקה בכשרות תלינן דאישתהי</w:t>
      </w:r>
      <w:r w:rsidRPr="00E14121">
        <w:rPr>
          <w:rStyle w:val="ac"/>
          <w:rFonts w:ascii="Narkisim" w:hAnsi="Narkisim" w:cs="Narkisim"/>
          <w:rtl/>
        </w:rPr>
        <w:footnoteReference w:id="4909"/>
      </w:r>
      <w:r w:rsidRPr="00E14121">
        <w:rPr>
          <w:rFonts w:ascii="Narkisim" w:hAnsi="Narkisim" w:cs="Narkisim"/>
          <w:rtl/>
        </w:rPr>
        <w:t>.</w:t>
      </w:r>
    </w:p>
    <w:p w14:paraId="1072CF0C"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(נדה כז. ד"ה אלא) כתבו דרוב אמוראים ל"ל הא דרבא תוספאה. וכ"כ </w:t>
      </w:r>
      <w:r w:rsidRPr="00E14121">
        <w:rPr>
          <w:rFonts w:ascii="Narkisim" w:hAnsi="Narkisim"/>
          <w:b/>
          <w:bCs/>
          <w:rtl/>
        </w:rPr>
        <w:t>תוס</w:t>
      </w:r>
      <w:r w:rsidRPr="00E14121">
        <w:rPr>
          <w:rFonts w:ascii="Narkisim" w:hAnsi="Narkisim"/>
          <w:rtl/>
        </w:rPr>
        <w:t>' (נדה לח. ד"ה שיפורא) דלא קי"ל כרבא תוספאה. [אבל הפוסקים פסקו דקי"ל דאישתהי</w:t>
      </w:r>
      <w:r w:rsidRPr="00E14121">
        <w:rPr>
          <w:rStyle w:val="ac"/>
          <w:rFonts w:ascii="Narkisim" w:hAnsi="Narkisim"/>
          <w:rtl/>
        </w:rPr>
        <w:footnoteReference w:id="4910"/>
      </w:r>
      <w:r w:rsidRPr="00E14121">
        <w:rPr>
          <w:rFonts w:ascii="Narkisim" w:hAnsi="Narkisim"/>
          <w:rtl/>
        </w:rPr>
        <w:t>].</w:t>
      </w:r>
    </w:p>
    <w:p w14:paraId="1F7DC139"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(לעיל מב.) כתב דהסוגיה (שם) ס"ל דלא אמרי' אישתהי כלל, וה</w:t>
      </w:r>
      <w:r w:rsidRPr="00E14121">
        <w:rPr>
          <w:rFonts w:ascii="Narkisim" w:hAnsi="Narkisim"/>
          <w:b/>
          <w:bCs/>
          <w:rtl/>
        </w:rPr>
        <w:t>יעב"ץ</w:t>
      </w:r>
      <w:r w:rsidRPr="00E14121">
        <w:rPr>
          <w:rFonts w:ascii="Narkisim" w:hAnsi="Narkisim"/>
          <w:rtl/>
        </w:rPr>
        <w:t xml:space="preserve"> (שם) תי' דהוה מיעוט דלא שכיחא.</w:t>
      </w:r>
    </w:p>
    <w:p w14:paraId="366A7496" w14:textId="77777777" w:rsidR="00F64AED" w:rsidRPr="00E14121" w:rsidRDefault="00F64AED" w:rsidP="00F64AED">
      <w:pPr>
        <w:bidi/>
        <w:rPr>
          <w:rFonts w:ascii="Narkisim" w:hAnsi="Narkisim" w:cs="Narkisim"/>
        </w:rPr>
      </w:pPr>
      <w:r w:rsidRPr="00E14121">
        <w:rPr>
          <w:rFonts w:ascii="Narkisim" w:hAnsi="Narkisim" w:cs="Narkisim"/>
          <w:u w:val="single"/>
          <w:rtl/>
        </w:rPr>
        <w:t>דתניא רשב"ג אומר כל ששהא ל' יום</w:t>
      </w:r>
      <w:r w:rsidRPr="00E14121">
        <w:rPr>
          <w:rStyle w:val="ac"/>
          <w:rFonts w:ascii="Narkisim" w:hAnsi="Narkisim" w:cs="Narkisim"/>
          <w:u w:val="single"/>
          <w:rtl/>
        </w:rPr>
        <w:footnoteReference w:id="4911"/>
      </w:r>
      <w:r w:rsidRPr="00E14121">
        <w:rPr>
          <w:rFonts w:ascii="Narkisim" w:hAnsi="Narkisim" w:cs="Narkisim"/>
          <w:u w:val="single"/>
          <w:rtl/>
        </w:rPr>
        <w:t xml:space="preserve"> וכו'.</w:t>
      </w:r>
      <w:r w:rsidRPr="00E14121">
        <w:rPr>
          <w:rFonts w:ascii="Narkisim" w:hAnsi="Narkisim" w:cs="Narkisim"/>
          <w:rtl/>
        </w:rPr>
        <w:t xml:space="preserve"> דאמרי' דהוה בר ז', ואשתהי. ה</w:t>
      </w:r>
      <w:r w:rsidRPr="00E14121">
        <w:rPr>
          <w:rFonts w:ascii="Narkisim" w:hAnsi="Narkisim" w:cs="Narkisim"/>
          <w:b/>
          <w:bCs/>
          <w:rtl/>
        </w:rPr>
        <w:t>ריטב"א</w:t>
      </w:r>
      <w:r w:rsidRPr="00E14121">
        <w:rPr>
          <w:rFonts w:ascii="Narkisim" w:hAnsi="Narkisim" w:cs="Narkisim"/>
          <w:rtl/>
        </w:rPr>
        <w:t xml:space="preserve"> (וכן רשב"א ושא"ר) נסתפק האם לרשב"ג מהני ל' יום בלא נגמרו סימניו</w:t>
      </w:r>
      <w:r w:rsidRPr="00E14121">
        <w:rPr>
          <w:rStyle w:val="ac"/>
          <w:rFonts w:ascii="Narkisim" w:hAnsi="Narkisim" w:cs="Narkisim"/>
          <w:rtl/>
        </w:rPr>
        <w:footnoteReference w:id="4912"/>
      </w:r>
      <w:r w:rsidRPr="00E14121">
        <w:rPr>
          <w:rFonts w:ascii="Narkisim" w:hAnsi="Narkisim" w:cs="Narkisim"/>
          <w:rtl/>
        </w:rPr>
        <w:t>, וה</w:t>
      </w:r>
      <w:r w:rsidRPr="00E14121">
        <w:rPr>
          <w:rFonts w:ascii="Narkisim" w:hAnsi="Narkisim" w:cs="Narkisim"/>
          <w:b/>
          <w:bCs/>
          <w:rtl/>
        </w:rPr>
        <w:t>ריטב"א</w:t>
      </w:r>
      <w:r w:rsidRPr="00E14121">
        <w:rPr>
          <w:rFonts w:ascii="Narkisim" w:hAnsi="Narkisim" w:cs="Narkisim"/>
          <w:rtl/>
        </w:rPr>
        <w:t xml:space="preserve"> הסיק דנגמרו סימניו עדיף משהה ל' יום</w:t>
      </w:r>
      <w:r w:rsidRPr="00E14121">
        <w:rPr>
          <w:rStyle w:val="ac"/>
          <w:rFonts w:ascii="Narkisim" w:hAnsi="Narkisim" w:cs="Narkisim"/>
          <w:rtl/>
        </w:rPr>
        <w:footnoteReference w:id="4913"/>
      </w:r>
      <w:r w:rsidRPr="00E14121">
        <w:rPr>
          <w:rFonts w:ascii="Narkisim" w:hAnsi="Narkisim" w:cs="Narkisim"/>
          <w:rtl/>
        </w:rPr>
        <w:t>, ובזה רשב"ג מודה לרבי, וכ"פ ה</w:t>
      </w:r>
      <w:r w:rsidRPr="00E14121">
        <w:rPr>
          <w:rFonts w:ascii="Narkisim" w:hAnsi="Narkisim" w:cs="Narkisim"/>
          <w:b/>
          <w:bCs/>
          <w:rtl/>
        </w:rPr>
        <w:t>רמב"ם</w:t>
      </w:r>
      <w:r w:rsidRPr="00E14121">
        <w:rPr>
          <w:rFonts w:ascii="Narkisim" w:hAnsi="Narkisim" w:cs="Narkisim"/>
          <w:rtl/>
        </w:rPr>
        <w:t xml:space="preserve"> (מילה א יג). וכ"כ ב</w:t>
      </w:r>
      <w:r w:rsidRPr="00E14121">
        <w:rPr>
          <w:rFonts w:ascii="Narkisim" w:hAnsi="Narkisim" w:cs="Narkisim"/>
          <w:b/>
          <w:bCs/>
          <w:rtl/>
        </w:rPr>
        <w:t>תוס' חד מקמאי</w:t>
      </w:r>
      <w:r w:rsidRPr="00E14121">
        <w:rPr>
          <w:rFonts w:ascii="Narkisim" w:hAnsi="Narkisim" w:cs="Narkisim"/>
          <w:rtl/>
        </w:rPr>
        <w:t xml:space="preserve"> בשם הר' שמואל ב"ר דוד.</w:t>
      </w:r>
    </w:p>
    <w:p w14:paraId="2D075FE8" w14:textId="77777777" w:rsidR="00F64AED" w:rsidRPr="00E14121" w:rsidRDefault="00F64AED" w:rsidP="00F64AED">
      <w:pPr>
        <w:pStyle w:val="aa"/>
        <w:bidi/>
        <w:rPr>
          <w:rFonts w:ascii="Narkisim" w:hAnsi="Narkisim"/>
        </w:rPr>
      </w:pPr>
      <w:r w:rsidRPr="00E14121">
        <w:rPr>
          <w:rFonts w:ascii="Narkisim" w:hAnsi="Narkisim"/>
          <w:u w:val="single"/>
          <w:rtl/>
        </w:rPr>
        <w:lastRenderedPageBreak/>
        <w:t>עד שיהא בכולן.</w:t>
      </w:r>
      <w:r w:rsidRPr="00E14121">
        <w:rPr>
          <w:rFonts w:ascii="Narkisim" w:hAnsi="Narkisim"/>
          <w:rtl/>
        </w:rPr>
        <w:t xml:space="preserve"> </w:t>
      </w:r>
      <w:r w:rsidRPr="00E14121">
        <w:rPr>
          <w:rFonts w:ascii="Narkisim" w:hAnsi="Narkisim"/>
          <w:b/>
          <w:bCs/>
          <w:rtl/>
        </w:rPr>
        <w:t>תוס</w:t>
      </w:r>
      <w:r w:rsidRPr="00E14121">
        <w:rPr>
          <w:rFonts w:ascii="Narkisim" w:hAnsi="Narkisim"/>
          <w:rtl/>
        </w:rPr>
        <w:t>' (קידושין ד.) כת' דמסתמא ה"ה לאילונית בעי כולם. אבל ה</w:t>
      </w:r>
      <w:r w:rsidRPr="00E14121">
        <w:rPr>
          <w:rFonts w:ascii="Narkisim" w:hAnsi="Narkisim"/>
          <w:b/>
          <w:bCs/>
          <w:rtl/>
        </w:rPr>
        <w:t>מאירי</w:t>
      </w:r>
      <w:r w:rsidRPr="00E14121">
        <w:rPr>
          <w:rFonts w:ascii="Narkisim" w:hAnsi="Narkisim"/>
          <w:rtl/>
        </w:rPr>
        <w:t xml:space="preserve"> כתב דבאשה אין דנים אלא עד שתהא בכולם, דלא שייך אצלה אות של ב' שערות בזקן.</w:t>
      </w:r>
    </w:p>
    <w:p w14:paraId="0EF710B7" w14:textId="77777777" w:rsidR="00F64AED" w:rsidRPr="00E14121" w:rsidRDefault="00F64AED" w:rsidP="00F64AED">
      <w:pPr>
        <w:bidi/>
        <w:rPr>
          <w:rFonts w:ascii="Narkisim" w:hAnsi="Narkisim" w:cs="Narkisim"/>
        </w:rPr>
      </w:pPr>
      <w:r w:rsidRPr="00E14121">
        <w:rPr>
          <w:rFonts w:ascii="Narkisim" w:hAnsi="Narkisim" w:cs="Narkisim"/>
          <w:u w:val="single"/>
          <w:rtl/>
        </w:rPr>
        <w:t>תוד"ה עד.</w:t>
      </w:r>
      <w:r w:rsidRPr="00E14121">
        <w:rPr>
          <w:rFonts w:ascii="Narkisim" w:hAnsi="Narkisim" w:cs="Narkisim"/>
          <w:rtl/>
        </w:rPr>
        <w:t xml:space="preserve"> כיון שניכר מיד שאין עושה כיפה וכו' הוכיח הראשון על האחרים. </w:t>
      </w:r>
      <w:r w:rsidRPr="00E14121">
        <w:rPr>
          <w:rFonts w:ascii="Narkisim" w:hAnsi="Narkisim" w:cs="Narkisim"/>
          <w:b/>
          <w:bCs/>
          <w:rtl/>
        </w:rPr>
        <w:t>רע"א</w:t>
      </w:r>
      <w:r w:rsidRPr="00E14121">
        <w:rPr>
          <w:rFonts w:ascii="Narkisim" w:hAnsi="Narkisim" w:cs="Narkisim"/>
          <w:rtl/>
        </w:rPr>
        <w:t xml:space="preserve"> כת' להמתיק דברי התוס', ע"פ מש"כ תוס' (בסמוך) דע"י סימן א' יצא מכלל הרוב, והוה ספק סריס. ובעלמא נחשב שיש חזקה דאינו סריס, דבשעה שנולד הוה בכלל רוב שאינם סריסים, ועי"ז יש חזקה מכח רוב, וכדברי הפוסקים דאמרי' חזקה מכח רוב להתיר הגבינות, אף כשהבהמה נמצאת טריפה. </w:t>
      </w:r>
      <w:r w:rsidRPr="00E14121">
        <w:rPr>
          <w:rFonts w:ascii="Narkisim" w:hAnsi="Narkisim" w:cs="Narkisim"/>
          <w:sz w:val="20"/>
          <w:szCs w:val="20"/>
          <w:rtl/>
        </w:rPr>
        <w:t>[ע' רשב"א ורא"ש חולין י</w:t>
      </w:r>
      <w:r w:rsidRPr="00E14121">
        <w:rPr>
          <w:rStyle w:val="ac"/>
          <w:rFonts w:ascii="Narkisim" w:hAnsi="Narkisim" w:cs="Narkisim"/>
          <w:sz w:val="20"/>
          <w:szCs w:val="20"/>
          <w:rtl/>
        </w:rPr>
        <w:footnoteReference w:id="4914"/>
      </w:r>
      <w:r w:rsidRPr="00E14121">
        <w:rPr>
          <w:rFonts w:ascii="Narkisim" w:hAnsi="Narkisim" w:cs="Narkisim"/>
          <w:sz w:val="20"/>
          <w:szCs w:val="20"/>
          <w:rtl/>
        </w:rPr>
        <w:t>].</w:t>
      </w:r>
      <w:r w:rsidRPr="00E14121">
        <w:rPr>
          <w:rFonts w:ascii="Narkisim" w:hAnsi="Narkisim" w:cs="Narkisim"/>
          <w:rtl/>
        </w:rPr>
        <w:t xml:space="preserve"> וע"י החזקה אמרי' דנסתרס יותר מאוחר.</w:t>
      </w:r>
    </w:p>
    <w:p w14:paraId="3748F042" w14:textId="77777777" w:rsidR="00F64AED" w:rsidRPr="00E14121" w:rsidRDefault="00F64AED" w:rsidP="00F64AED">
      <w:pPr>
        <w:pStyle w:val="a7"/>
        <w:bidi/>
        <w:rPr>
          <w:rFonts w:ascii="Narkisim" w:hAnsi="Narkisim"/>
        </w:rPr>
      </w:pPr>
      <w:r w:rsidRPr="00E14121">
        <w:rPr>
          <w:rFonts w:ascii="Narkisim" w:hAnsi="Narkisim"/>
          <w:rtl/>
        </w:rPr>
        <w:t xml:space="preserve">אבל הכא כיון דמעיקרא הוה ספק סריס ויצא מכלל הרוב, א"כ ליכא חזקה דאינו סריס. ומש"ה כשיש ספק מתי נעשה סריס יש לדון ע"פ חזקה דכמו שהוא עכשיו סריס היה סריס מעיקרא </w:t>
      </w:r>
      <w:r w:rsidRPr="00E14121">
        <w:rPr>
          <w:rFonts w:ascii="Narkisim" w:hAnsi="Narkisim"/>
          <w:sz w:val="20"/>
          <w:szCs w:val="20"/>
          <w:rtl/>
        </w:rPr>
        <w:t>[ואמרי' חזקה דהשתא</w:t>
      </w:r>
      <w:r w:rsidRPr="00E14121">
        <w:rPr>
          <w:rStyle w:val="ac"/>
          <w:rFonts w:ascii="Narkisim" w:hAnsi="Narkisim"/>
          <w:sz w:val="20"/>
          <w:szCs w:val="20"/>
          <w:rtl/>
        </w:rPr>
        <w:footnoteReference w:id="4915"/>
      </w:r>
      <w:r w:rsidRPr="00E14121">
        <w:rPr>
          <w:rFonts w:ascii="Narkisim" w:hAnsi="Narkisim"/>
          <w:sz w:val="20"/>
          <w:szCs w:val="20"/>
          <w:rtl/>
        </w:rPr>
        <w:t>, כיון די"ל דהיה כן מעולם דתמיד ראוי להחזיק הגוף בענין א', מש"ה אמרי' דהוה סריס מעיקרא].</w:t>
      </w:r>
    </w:p>
    <w:p w14:paraId="0435DB2A"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מהרש"א</w:t>
      </w:r>
      <w:r w:rsidRPr="00E14121">
        <w:rPr>
          <w:rFonts w:ascii="Narkisim" w:hAnsi="Narkisim" w:cs="Narkisim"/>
          <w:rtl/>
        </w:rPr>
        <w:t xml:space="preserve"> הק' דאף לר' יוחנן דסגי בסימן א', היאך ידעינן דהוה ממעי אמו. ותי' אה"נ דבעי סימן דעושה כיפה לפטור מחליצה שלא היה לו שעת הכושר. [ועפ"ז כת' דקושיית התוס' היא אף לר' יוחנן, באיזה קטן איירי</w:t>
      </w:r>
      <w:r w:rsidRPr="00E14121">
        <w:rPr>
          <w:rStyle w:val="ac"/>
          <w:rFonts w:ascii="Narkisim" w:hAnsi="Narkisim" w:cs="Narkisim"/>
          <w:rtl/>
        </w:rPr>
        <w:footnoteReference w:id="4916"/>
      </w:r>
      <w:r w:rsidRPr="00E14121">
        <w:rPr>
          <w:rFonts w:ascii="Narkisim" w:hAnsi="Narkisim" w:cs="Narkisim"/>
          <w:rtl/>
        </w:rPr>
        <w:t xml:space="preserve">. אבל לשאר דיני סריס לא בעי ממעי אמו. וע' מש"כ בזה </w:t>
      </w:r>
      <w:r w:rsidRPr="00E14121">
        <w:rPr>
          <w:rFonts w:ascii="Narkisim" w:hAnsi="Narkisim" w:cs="Narkisim"/>
          <w:b/>
          <w:bCs/>
          <w:rtl/>
        </w:rPr>
        <w:t>רע"א</w:t>
      </w:r>
      <w:r w:rsidRPr="00E14121">
        <w:rPr>
          <w:rFonts w:ascii="Narkisim" w:hAnsi="Narkisim" w:cs="Narkisim"/>
          <w:rtl/>
        </w:rPr>
        <w:t>].</w:t>
      </w:r>
    </w:p>
    <w:p w14:paraId="21257CCD" w14:textId="77777777" w:rsidR="00F64AED" w:rsidRPr="00E14121" w:rsidRDefault="00F64AED" w:rsidP="00F64AED">
      <w:pPr>
        <w:pStyle w:val="aa"/>
        <w:bidi/>
        <w:rPr>
          <w:rFonts w:ascii="Narkisim" w:hAnsi="Narkisim"/>
        </w:rPr>
      </w:pPr>
      <w:r w:rsidRPr="00E14121">
        <w:rPr>
          <w:rFonts w:ascii="Narkisim" w:hAnsi="Narkisim"/>
          <w:u w:val="single"/>
          <w:rtl/>
        </w:rPr>
        <w:t>בא"ד כיון שלא היה לקוי ממעי אמו</w:t>
      </w:r>
      <w:r w:rsidRPr="00E14121">
        <w:rPr>
          <w:rFonts w:ascii="Narkisim" w:hAnsi="Narkisim"/>
          <w:rtl/>
        </w:rPr>
        <w:t xml:space="preserve">. </w:t>
      </w:r>
      <w:r w:rsidRPr="00E14121">
        <w:rPr>
          <w:rFonts w:ascii="Narkisim" w:hAnsi="Narkisim"/>
          <w:b/>
          <w:bCs/>
          <w:rtl/>
        </w:rPr>
        <w:t>רע"א</w:t>
      </w:r>
      <w:r w:rsidRPr="00E14121">
        <w:rPr>
          <w:rFonts w:ascii="Narkisim" w:hAnsi="Narkisim"/>
          <w:rtl/>
        </w:rPr>
        <w:t xml:space="preserve"> (בחי' כאן) דן אילו לא בעינן סריס ממעי אמו, ובעודו קטן אינו סריס, האם אמרי' דזקוקה לו ומותר לבא עליה, ותגדלנו [וכמ"ש תוס' לעיל לה:]. או דאמרי' דגדר זיקה בקטן הוה כלפי מצב שיגדל. והיכא דכשיגדל יהא גדול לא תהא זקוקה [שיהיה סריס] אף בעודו קטן אסור</w:t>
      </w:r>
      <w:r w:rsidRPr="00E14121">
        <w:rPr>
          <w:rStyle w:val="ac"/>
          <w:rFonts w:ascii="Narkisim" w:hAnsi="Narkisim"/>
          <w:rtl/>
        </w:rPr>
        <w:footnoteReference w:id="4917"/>
      </w:r>
      <w:r w:rsidRPr="00E14121">
        <w:rPr>
          <w:rFonts w:ascii="Narkisim" w:hAnsi="Narkisim"/>
          <w:rtl/>
        </w:rPr>
        <w:t>. דעיקר הזיקה בקטן הוא שיתייבם כשיגדל</w:t>
      </w:r>
      <w:r w:rsidRPr="00E14121">
        <w:rPr>
          <w:rStyle w:val="ac"/>
          <w:rFonts w:ascii="Narkisim" w:hAnsi="Narkisim"/>
          <w:rtl/>
        </w:rPr>
        <w:footnoteReference w:id="4918"/>
      </w:r>
      <w:r w:rsidRPr="00E14121">
        <w:rPr>
          <w:rFonts w:ascii="Narkisim" w:hAnsi="Narkisim"/>
          <w:rtl/>
        </w:rPr>
        <w:t>. וכת' דזה כוונת התוס' דכל היכא דאינו לקוי ממעי אמו, אף כשיגדל מותרת דלא מקרי סריס.</w:t>
      </w:r>
    </w:p>
    <w:p w14:paraId="36319433" w14:textId="77777777" w:rsidR="00F64AED" w:rsidRPr="00E14121" w:rsidRDefault="00F64AED" w:rsidP="00F64AED">
      <w:pPr>
        <w:bidi/>
        <w:rPr>
          <w:rFonts w:ascii="Narkisim" w:hAnsi="Narkisim" w:cs="Narkisim"/>
        </w:rPr>
      </w:pPr>
      <w:r w:rsidRPr="00E14121">
        <w:rPr>
          <w:rFonts w:ascii="Narkisim" w:hAnsi="Narkisim" w:cs="Narkisim"/>
          <w:u w:val="single"/>
          <w:rtl/>
        </w:rPr>
        <w:t>בא"ד ואין לומר דבאותו קטן וכו' וזה היה תימה דאותן שיש בהם סימני סריס בקטנותם רובם מתקנין.</w:t>
      </w:r>
      <w:r w:rsidRPr="00E14121">
        <w:rPr>
          <w:rFonts w:ascii="Narkisim" w:hAnsi="Narkisim" w:cs="Narkisim"/>
          <w:rtl/>
        </w:rPr>
        <w:t xml:space="preserve"> מבואר דע"י סימן א' יצא מכלל הרוב [ואף דאין עושים מעשה ע"פ עד שיהא בן כ']. וה</w:t>
      </w:r>
      <w:r w:rsidRPr="00E14121">
        <w:rPr>
          <w:rFonts w:ascii="Narkisim" w:hAnsi="Narkisim" w:cs="Narkisim"/>
          <w:b/>
          <w:bCs/>
          <w:rtl/>
        </w:rPr>
        <w:t>בית אפרים</w:t>
      </w:r>
      <w:r w:rsidRPr="00E14121">
        <w:rPr>
          <w:rFonts w:ascii="Narkisim" w:hAnsi="Narkisim" w:cs="Narkisim"/>
          <w:rtl/>
        </w:rPr>
        <w:t xml:space="preserve"> (כללי חזקה יט) הביא מכאן אף לענין טריפות, במקום שיש שינוי [דיש מים במח] אמרי' דיצא מכלל הרוב</w:t>
      </w:r>
      <w:r w:rsidRPr="00E14121">
        <w:rPr>
          <w:rStyle w:val="ac"/>
          <w:rFonts w:ascii="Narkisim" w:hAnsi="Narkisim" w:cs="Narkisim"/>
          <w:rtl/>
        </w:rPr>
        <w:footnoteReference w:id="4919"/>
      </w:r>
      <w:r w:rsidRPr="00E14121">
        <w:rPr>
          <w:rFonts w:ascii="Narkisim" w:hAnsi="Narkisim" w:cs="Narkisim"/>
          <w:rtl/>
        </w:rPr>
        <w:t>, והביא מקור לסברא זו מהגמ' (בכורות מב:) דאמרי' הואיל ואישתני אישתני. (וע"ע לקמן פג:).</w:t>
      </w:r>
    </w:p>
    <w:p w14:paraId="270F2632" w14:textId="77777777" w:rsidR="00F64AED" w:rsidRPr="00E14121" w:rsidRDefault="00F64AED" w:rsidP="00F64AED">
      <w:pPr>
        <w:bidi/>
        <w:rPr>
          <w:rFonts w:ascii="Narkisim" w:hAnsi="Narkisim" w:cs="Narkisim"/>
        </w:rPr>
      </w:pPr>
      <w:r w:rsidRPr="00E14121">
        <w:rPr>
          <w:rFonts w:ascii="Narkisim" w:hAnsi="Narkisim" w:cs="Narkisim"/>
          <w:u w:val="single"/>
          <w:rtl/>
        </w:rPr>
        <w:t>תוד"ה דהביא.</w:t>
      </w:r>
      <w:r w:rsidRPr="00E14121">
        <w:rPr>
          <w:rFonts w:ascii="Narkisim" w:hAnsi="Narkisim" w:cs="Narkisim"/>
          <w:rtl/>
        </w:rPr>
        <w:t xml:space="preserve"> ואור"י דשערות דזקן אינן מועילים להבאת ב' שערות, אע"ג דבכל שאר מקומות בגוף מועילים. </w:t>
      </w:r>
      <w:r w:rsidRPr="00E14121">
        <w:rPr>
          <w:rFonts w:ascii="Narkisim" w:hAnsi="Narkisim" w:cs="Narkisim"/>
          <w:sz w:val="20"/>
          <w:szCs w:val="20"/>
          <w:rtl/>
        </w:rPr>
        <w:t>והו' ב</w:t>
      </w:r>
      <w:r w:rsidRPr="00E14121">
        <w:rPr>
          <w:rFonts w:ascii="Narkisim" w:hAnsi="Narkisim" w:cs="Narkisim"/>
          <w:b/>
          <w:bCs/>
          <w:sz w:val="20"/>
          <w:szCs w:val="20"/>
          <w:rtl/>
        </w:rPr>
        <w:t>רמ"א</w:t>
      </w:r>
      <w:r w:rsidRPr="00E14121">
        <w:rPr>
          <w:rFonts w:ascii="Narkisim" w:hAnsi="Narkisim" w:cs="Narkisim"/>
          <w:sz w:val="20"/>
          <w:szCs w:val="20"/>
          <w:rtl/>
        </w:rPr>
        <w:t xml:space="preserve"> (קעב ה)</w:t>
      </w:r>
      <w:r w:rsidRPr="00E14121">
        <w:rPr>
          <w:rStyle w:val="ac"/>
          <w:rFonts w:ascii="Narkisim" w:hAnsi="Narkisim" w:cs="Narkisim"/>
          <w:sz w:val="20"/>
          <w:szCs w:val="20"/>
          <w:rtl/>
        </w:rPr>
        <w:footnoteReference w:id="4920"/>
      </w:r>
      <w:r w:rsidRPr="00E14121">
        <w:rPr>
          <w:rFonts w:ascii="Narkisim" w:hAnsi="Narkisim" w:cs="Narkisim"/>
          <w:sz w:val="20"/>
          <w:szCs w:val="20"/>
          <w:rtl/>
        </w:rPr>
        <w:t>.</w:t>
      </w:r>
      <w:r w:rsidRPr="00E14121">
        <w:rPr>
          <w:rFonts w:ascii="Narkisim" w:hAnsi="Narkisim" w:cs="Narkisim"/>
          <w:rtl/>
        </w:rPr>
        <w:t xml:space="preserve"> אבל ה</w:t>
      </w:r>
      <w:r w:rsidRPr="00E14121">
        <w:rPr>
          <w:rFonts w:ascii="Narkisim" w:hAnsi="Narkisim" w:cs="Narkisim"/>
          <w:b/>
          <w:bCs/>
          <w:rtl/>
        </w:rPr>
        <w:t>רמב"ם</w:t>
      </w:r>
      <w:r w:rsidRPr="00E14121">
        <w:rPr>
          <w:rFonts w:ascii="Narkisim" w:hAnsi="Narkisim" w:cs="Narkisim"/>
          <w:rtl/>
        </w:rPr>
        <w:t xml:space="preserve"> (אישות ב יז) כתב דמהני שערות רק במקום ערוה. </w:t>
      </w:r>
      <w:r w:rsidRPr="00E14121">
        <w:rPr>
          <w:rFonts w:ascii="Narkisim" w:hAnsi="Narkisim" w:cs="Narkisim"/>
          <w:sz w:val="20"/>
          <w:szCs w:val="20"/>
          <w:rtl/>
        </w:rPr>
        <w:t>[וה</w:t>
      </w:r>
      <w:r w:rsidRPr="00E14121">
        <w:rPr>
          <w:rFonts w:ascii="Narkisim" w:hAnsi="Narkisim" w:cs="Narkisim"/>
          <w:b/>
          <w:bCs/>
          <w:sz w:val="20"/>
          <w:szCs w:val="20"/>
          <w:rtl/>
        </w:rPr>
        <w:t>ראשונים</w:t>
      </w:r>
      <w:r w:rsidRPr="00E14121">
        <w:rPr>
          <w:rFonts w:ascii="Narkisim" w:hAnsi="Narkisim" w:cs="Narkisim"/>
          <w:sz w:val="20"/>
          <w:szCs w:val="20"/>
          <w:rtl/>
        </w:rPr>
        <w:t xml:space="preserve"> הביאו מקורו מהסוגיה (נדה נב:) דדנו אי בעי במקום א', והראשונים חלקו בהתם היינו דבעי שנים במקום א', ולא מצאנו דבעי דוקא במקום ערוה].</w:t>
      </w:r>
    </w:p>
    <w:p w14:paraId="0B391273" w14:textId="77777777" w:rsidR="00F64AED" w:rsidRPr="00E14121" w:rsidRDefault="00F64AED" w:rsidP="00F64AED">
      <w:pPr>
        <w:pStyle w:val="a7"/>
        <w:bidi/>
        <w:rPr>
          <w:rFonts w:ascii="Narkisim" w:hAnsi="Narkisim"/>
        </w:rPr>
      </w:pPr>
      <w:r w:rsidRPr="00E14121">
        <w:rPr>
          <w:rFonts w:ascii="Narkisim" w:hAnsi="Narkisim"/>
          <w:rtl/>
        </w:rPr>
        <w:t>והרמב"ם ב</w:t>
      </w:r>
      <w:r w:rsidRPr="00E14121">
        <w:rPr>
          <w:rFonts w:ascii="Narkisim" w:hAnsi="Narkisim"/>
          <w:b/>
          <w:bCs/>
          <w:rtl/>
        </w:rPr>
        <w:t>פיה"מ</w:t>
      </w:r>
      <w:r w:rsidRPr="00E14121">
        <w:rPr>
          <w:rFonts w:ascii="Narkisim" w:hAnsi="Narkisim"/>
          <w:rtl/>
        </w:rPr>
        <w:t xml:space="preserve"> (לקמן ס"פ י) כתב דמכאן תלמד כי שתי שערות האמורות בכל מקום באיש ובאשה אין הדבר שיצמחו באיזה מקום שיהיה מן הגוף, אלא מתנאיהן שיצמחו בשפולי הגוף במקומות הידועים להצמחת השער. ומשמע דלאו דוקא מקום ערוה, אלא מקום שיפולי הגוף</w:t>
      </w:r>
      <w:r w:rsidRPr="00E14121">
        <w:rPr>
          <w:rStyle w:val="ac"/>
          <w:rFonts w:ascii="Narkisim" w:hAnsi="Narkisim"/>
          <w:rtl/>
        </w:rPr>
        <w:footnoteReference w:id="4921"/>
      </w:r>
      <w:r w:rsidRPr="00E14121">
        <w:rPr>
          <w:rFonts w:ascii="Narkisim" w:hAnsi="Narkisim"/>
          <w:rtl/>
        </w:rPr>
        <w:t>.</w:t>
      </w:r>
    </w:p>
    <w:p w14:paraId="278587CA" w14:textId="77777777" w:rsidR="00F64AED" w:rsidRPr="00E14121" w:rsidRDefault="00F64AED" w:rsidP="00F64AED">
      <w:pPr>
        <w:pStyle w:val="aa"/>
        <w:bidi/>
        <w:rPr>
          <w:rFonts w:ascii="Narkisim" w:hAnsi="Narkisim"/>
        </w:rPr>
      </w:pPr>
      <w:r w:rsidRPr="00E14121">
        <w:rPr>
          <w:rFonts w:ascii="Narkisim" w:hAnsi="Narkisim"/>
          <w:u w:val="single"/>
          <w:rtl/>
        </w:rPr>
        <w:t>סריס דומיא דאילונית דבידי שמים.</w:t>
      </w:r>
      <w:r w:rsidRPr="00E14121">
        <w:rPr>
          <w:rFonts w:ascii="Narkisim" w:hAnsi="Narkisim"/>
          <w:rtl/>
        </w:rPr>
        <w:t xml:space="preserve"> ה</w:t>
      </w:r>
      <w:r w:rsidRPr="00E14121">
        <w:rPr>
          <w:rFonts w:ascii="Narkisim" w:hAnsi="Narkisim"/>
          <w:b/>
          <w:bCs/>
          <w:rtl/>
        </w:rPr>
        <w:t>אחרונים</w:t>
      </w:r>
      <w:r w:rsidRPr="00E14121">
        <w:rPr>
          <w:rFonts w:ascii="Narkisim" w:hAnsi="Narkisim"/>
          <w:rtl/>
        </w:rPr>
        <w:t xml:space="preserve"> הקשו דהשתא נמי אינו דומיא דאילונית, דאין לה רפואה </w:t>
      </w:r>
      <w:r w:rsidRPr="00E14121">
        <w:rPr>
          <w:rFonts w:ascii="Narkisim" w:hAnsi="Narkisim"/>
          <w:rtl/>
        </w:rPr>
        <w:lastRenderedPageBreak/>
        <w:t xml:space="preserve">(וכמ"ש </w:t>
      </w:r>
      <w:r w:rsidRPr="00E14121">
        <w:rPr>
          <w:rFonts w:ascii="Narkisim" w:hAnsi="Narkisim"/>
          <w:b/>
          <w:bCs/>
          <w:rtl/>
        </w:rPr>
        <w:t>תוס</w:t>
      </w:r>
      <w:r w:rsidRPr="00E14121">
        <w:rPr>
          <w:rFonts w:ascii="Narkisim" w:hAnsi="Narkisim"/>
          <w:rtl/>
        </w:rPr>
        <w:t>' לעיל ב:). וה</w:t>
      </w:r>
      <w:r w:rsidRPr="00E14121">
        <w:rPr>
          <w:rFonts w:ascii="Narkisim" w:hAnsi="Narkisim"/>
          <w:b/>
          <w:bCs/>
          <w:rtl/>
        </w:rPr>
        <w:t>ק"נ</w:t>
      </w:r>
      <w:r w:rsidRPr="00E14121">
        <w:rPr>
          <w:rFonts w:ascii="Narkisim" w:hAnsi="Narkisim"/>
          <w:rtl/>
        </w:rPr>
        <w:t xml:space="preserve"> (ת) כתב בר"ע פליג אר"א דסריס חמה אין לו רפואה [וכדמשמע בגמ' בע"א דמהאי הדר ביה].</w:t>
      </w:r>
    </w:p>
    <w:p w14:paraId="48B72B32" w14:textId="77777777" w:rsidR="00F64AED" w:rsidRPr="00E14121" w:rsidRDefault="00F64AED" w:rsidP="00F64AED">
      <w:pPr>
        <w:pStyle w:val="aa"/>
        <w:bidi/>
        <w:rPr>
          <w:rFonts w:ascii="Narkisim" w:hAnsi="Narkisim"/>
        </w:rPr>
      </w:pPr>
      <w:r w:rsidRPr="00E14121">
        <w:rPr>
          <w:rFonts w:ascii="Narkisim" w:hAnsi="Narkisim"/>
          <w:u w:val="single"/>
          <w:rtl/>
        </w:rPr>
        <w:t>טעמא דבעלוה הוא.</w:t>
      </w:r>
      <w:r w:rsidRPr="00E14121">
        <w:rPr>
          <w:rFonts w:ascii="Narkisim" w:hAnsi="Narkisim"/>
          <w:rtl/>
        </w:rPr>
        <w:t xml:space="preserve"> ה</w:t>
      </w:r>
      <w:r w:rsidRPr="00E14121">
        <w:rPr>
          <w:rFonts w:ascii="Narkisim" w:hAnsi="Narkisim"/>
          <w:b/>
          <w:bCs/>
          <w:rtl/>
        </w:rPr>
        <w:t>מצפ"א</w:t>
      </w:r>
      <w:r w:rsidRPr="00E14121">
        <w:rPr>
          <w:rFonts w:ascii="Narkisim" w:hAnsi="Narkisim"/>
          <w:rtl/>
        </w:rPr>
        <w:t xml:space="preserve"> כתב דלמש"כ ה</w:t>
      </w:r>
      <w:r w:rsidRPr="00E14121">
        <w:rPr>
          <w:rFonts w:ascii="Narkisim" w:hAnsi="Narkisim"/>
          <w:b/>
          <w:bCs/>
          <w:rtl/>
        </w:rPr>
        <w:t>רמב"ם</w:t>
      </w:r>
      <w:r w:rsidRPr="00E14121">
        <w:rPr>
          <w:rFonts w:ascii="Narkisim" w:hAnsi="Narkisim"/>
          <w:rtl/>
        </w:rPr>
        <w:t xml:space="preserve"> (איסו"ב א יא) דסריס חמה הוה משמש מת, נתחדש כאן דבעילת סריס פוסל לכהונה [וכמ"ש הרמב"ם שם]. [וע' מש"כ בזה לעיל נה:].</w:t>
      </w:r>
    </w:p>
    <w:p w14:paraId="3600FCB3" w14:textId="77777777" w:rsidR="00F64AED" w:rsidRPr="00E14121" w:rsidRDefault="00F64AED" w:rsidP="00F64AED">
      <w:pPr>
        <w:pStyle w:val="3"/>
        <w:bidi/>
        <w:rPr>
          <w:rFonts w:ascii="Narkisim" w:hAnsi="Narkisim"/>
        </w:rPr>
      </w:pPr>
      <w:r w:rsidRPr="00E14121">
        <w:rPr>
          <w:rFonts w:ascii="Narkisim" w:hAnsi="Narkisim"/>
          <w:rtl/>
        </w:rPr>
        <w:t>דף פא.</w:t>
      </w:r>
    </w:p>
    <w:p w14:paraId="5EEB2934" w14:textId="77777777" w:rsidR="00F64AED" w:rsidRPr="00E14121" w:rsidRDefault="00F64AED" w:rsidP="00F64AED">
      <w:pPr>
        <w:bidi/>
        <w:rPr>
          <w:rFonts w:ascii="Narkisim" w:hAnsi="Narkisim" w:cs="Narkisim"/>
        </w:rPr>
      </w:pPr>
      <w:r w:rsidRPr="00E14121">
        <w:rPr>
          <w:rFonts w:ascii="Narkisim" w:hAnsi="Narkisim" w:cs="Narkisim"/>
          <w:u w:val="single"/>
          <w:rtl/>
        </w:rPr>
        <w:t>דרב המנונא דאמר שומר"י שזינתה פסולה ליבמה.</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כאשת איש שזינתה, וכיון דזונה היא אסורה לכהן. ומבואר דלדעת רב המנונא יש דיני סוטה ביבמה. ובפשוטו מבואר דלדעת רב המנונא זיקת היבום נחשב גדר אישות ליבם</w:t>
      </w:r>
      <w:r w:rsidRPr="00E14121">
        <w:rPr>
          <w:rStyle w:val="ac"/>
          <w:rFonts w:ascii="Narkisim" w:hAnsi="Narkisim" w:cs="Narkisim"/>
          <w:rtl/>
        </w:rPr>
        <w:footnoteReference w:id="4922"/>
      </w:r>
      <w:r w:rsidRPr="00E14121">
        <w:rPr>
          <w:rFonts w:ascii="Narkisim" w:hAnsi="Narkisim" w:cs="Narkisim"/>
          <w:rtl/>
        </w:rPr>
        <w:t>, וכשזינתה פוגע באישות זו</w:t>
      </w:r>
      <w:r w:rsidRPr="00E14121">
        <w:rPr>
          <w:rStyle w:val="ac"/>
          <w:rFonts w:ascii="Narkisim" w:hAnsi="Narkisim" w:cs="Narkisim"/>
          <w:rtl/>
        </w:rPr>
        <w:footnoteReference w:id="4923"/>
      </w:r>
      <w:r w:rsidRPr="00E14121">
        <w:rPr>
          <w:rFonts w:ascii="Narkisim" w:hAnsi="Narkisim" w:cs="Narkisim"/>
          <w:rtl/>
        </w:rPr>
        <w:t>. [ויתבאר עוד לקמן צב:].</w:t>
      </w:r>
    </w:p>
    <w:p w14:paraId="7E98A959"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חזו"א</w:t>
      </w:r>
      <w:r w:rsidRPr="00E14121">
        <w:rPr>
          <w:rFonts w:ascii="Narkisim" w:hAnsi="Narkisim"/>
          <w:rtl/>
        </w:rPr>
        <w:t xml:space="preserve"> (טו ב) העלה צד דהוה תנאי במצוות יבום, דלא אמרה תורה לייבם היכא שזינתה. [וכמו שנתמעט סוטה בחיי בעלה מיבום]. אך הביא דבסוגיין מבואר דלרב המנונא הוה זונה לכהונה, וע"כ דהאיסור ליבם הוה מגדרי סוטה. וכן נאסרת לבועל</w:t>
      </w:r>
      <w:r w:rsidRPr="00E14121">
        <w:rPr>
          <w:rStyle w:val="ac"/>
          <w:rFonts w:ascii="Narkisim" w:hAnsi="Narkisim"/>
          <w:rtl/>
        </w:rPr>
        <w:footnoteReference w:id="4924"/>
      </w:r>
      <w:r w:rsidRPr="00E14121">
        <w:rPr>
          <w:rFonts w:ascii="Narkisim" w:hAnsi="Narkisim"/>
          <w:rtl/>
        </w:rPr>
        <w:t>.</w:t>
      </w:r>
    </w:p>
    <w:p w14:paraId="41A5A608" w14:textId="77777777" w:rsidR="00F64AED" w:rsidRPr="00E14121" w:rsidRDefault="00F64AED" w:rsidP="00F64AED">
      <w:pPr>
        <w:bidi/>
        <w:rPr>
          <w:rFonts w:ascii="Narkisim" w:hAnsi="Narkisim" w:cs="Narkisim"/>
        </w:rPr>
      </w:pPr>
      <w:r w:rsidRPr="00E14121">
        <w:rPr>
          <w:rFonts w:ascii="Narkisim" w:hAnsi="Narkisim" w:cs="Narkisim"/>
          <w:u w:val="single"/>
          <w:rtl/>
        </w:rPr>
        <w:t>רש"י ד"ה פסולה.</w:t>
      </w:r>
      <w:r w:rsidRPr="00E14121">
        <w:rPr>
          <w:rFonts w:ascii="Narkisim" w:hAnsi="Narkisim" w:cs="Narkisim"/>
          <w:rtl/>
        </w:rPr>
        <w:t xml:space="preserve"> וכיון דזונה היא</w:t>
      </w:r>
      <w:r w:rsidRPr="00E14121">
        <w:rPr>
          <w:rStyle w:val="ac"/>
          <w:rFonts w:ascii="Narkisim" w:hAnsi="Narkisim" w:cs="Narkisim"/>
          <w:rtl/>
        </w:rPr>
        <w:footnoteReference w:id="4925"/>
      </w:r>
      <w:r w:rsidRPr="00E14121">
        <w:rPr>
          <w:rFonts w:ascii="Narkisim" w:hAnsi="Narkisim" w:cs="Narkisim"/>
          <w:rtl/>
        </w:rPr>
        <w:t xml:space="preserve"> אסורה לכהונה. ה</w:t>
      </w:r>
      <w:r w:rsidRPr="00E14121">
        <w:rPr>
          <w:rFonts w:ascii="Narkisim" w:hAnsi="Narkisim" w:cs="Narkisim"/>
          <w:b/>
          <w:bCs/>
          <w:rtl/>
        </w:rPr>
        <w:t>ריטב"א</w:t>
      </w:r>
      <w:r w:rsidRPr="00E14121">
        <w:rPr>
          <w:rFonts w:ascii="Narkisim" w:hAnsi="Narkisim" w:cs="Narkisim"/>
          <w:rtl/>
        </w:rPr>
        <w:t xml:space="preserve"> כתב דלרב המנונא זונה היא, כא"א שזינתה</w:t>
      </w:r>
      <w:r w:rsidRPr="00E14121">
        <w:rPr>
          <w:rStyle w:val="ac"/>
          <w:rFonts w:ascii="Narkisim" w:hAnsi="Narkisim" w:cs="Narkisim"/>
          <w:rtl/>
        </w:rPr>
        <w:footnoteReference w:id="4926"/>
      </w:r>
      <w:r w:rsidRPr="00E14121">
        <w:rPr>
          <w:rFonts w:ascii="Narkisim" w:hAnsi="Narkisim" w:cs="Narkisim"/>
          <w:rtl/>
        </w:rPr>
        <w:t>. אבל לדידן לא הוה זר אצלה מעיקרא. אבל חייבי כריתות לא בעי זר מעיקרא (וע' לעיל סח:).</w:t>
      </w:r>
    </w:p>
    <w:p w14:paraId="0ADF4D90" w14:textId="77777777" w:rsidR="00F64AED" w:rsidRPr="00E14121" w:rsidRDefault="00F64AED" w:rsidP="00F64AED">
      <w:pPr>
        <w:pStyle w:val="a8"/>
        <w:bidi/>
        <w:rPr>
          <w:rFonts w:ascii="Narkisim" w:hAnsi="Narkisim"/>
        </w:rPr>
      </w:pPr>
      <w:r w:rsidRPr="00E14121">
        <w:rPr>
          <w:rFonts w:ascii="Narkisim" w:hAnsi="Narkisim"/>
          <w:rtl/>
        </w:rPr>
        <w:t>וב</w:t>
      </w:r>
      <w:r w:rsidRPr="00E14121">
        <w:rPr>
          <w:rFonts w:ascii="Narkisim" w:hAnsi="Narkisim"/>
          <w:b/>
          <w:bCs/>
          <w:rtl/>
        </w:rPr>
        <w:t>גמ'</w:t>
      </w:r>
      <w:r w:rsidRPr="00E14121">
        <w:rPr>
          <w:rFonts w:ascii="Narkisim" w:hAnsi="Narkisim"/>
          <w:rtl/>
        </w:rPr>
        <w:t xml:space="preserve"> (סוטה יח:) מבואר דלר' עקיבא דאין קידושין תופסים בחייבי לאוין</w:t>
      </w:r>
      <w:r w:rsidRPr="00E14121">
        <w:rPr>
          <w:rStyle w:val="ac"/>
          <w:rFonts w:ascii="Narkisim" w:hAnsi="Narkisim"/>
          <w:rtl/>
        </w:rPr>
        <w:footnoteReference w:id="4927"/>
      </w:r>
      <w:r w:rsidRPr="00E14121">
        <w:rPr>
          <w:rFonts w:ascii="Narkisim" w:hAnsi="Narkisim"/>
          <w:rtl/>
        </w:rPr>
        <w:t xml:space="preserve"> לכו"ע נאסרת ליבם</w:t>
      </w:r>
      <w:r w:rsidRPr="00E14121">
        <w:rPr>
          <w:rStyle w:val="ac"/>
          <w:rFonts w:ascii="Narkisim" w:hAnsi="Narkisim"/>
          <w:rtl/>
        </w:rPr>
        <w:footnoteReference w:id="4928"/>
      </w:r>
      <w:r w:rsidRPr="00E14121">
        <w:rPr>
          <w:rFonts w:ascii="Narkisim" w:hAnsi="Narkisim"/>
          <w:rtl/>
        </w:rPr>
        <w:t>. [וע' מש"כ בזה לעיל נא:]. וה</w:t>
      </w:r>
      <w:r w:rsidRPr="00E14121">
        <w:rPr>
          <w:rFonts w:ascii="Narkisim" w:hAnsi="Narkisim"/>
          <w:b/>
          <w:bCs/>
          <w:rtl/>
        </w:rPr>
        <w:t>חזו"א</w:t>
      </w:r>
      <w:r w:rsidRPr="00E14121">
        <w:rPr>
          <w:rFonts w:ascii="Narkisim" w:hAnsi="Narkisim"/>
          <w:rtl/>
        </w:rPr>
        <w:t xml:space="preserve"> (שם) הביא דמשמע (לקמן צב:) דאף למ"ד אין קידושין תופסים ביבמה [מגזיה"כ דלא תהיה אשת המת] לא נאסרה ליבם.</w:t>
      </w:r>
    </w:p>
    <w:p w14:paraId="33AF39D2" w14:textId="77777777" w:rsidR="00F64AED" w:rsidRPr="00E14121" w:rsidRDefault="00F64AED" w:rsidP="00F64AED">
      <w:pPr>
        <w:bidi/>
        <w:rPr>
          <w:rFonts w:ascii="Narkisim" w:hAnsi="Narkisim" w:cs="Narkisim"/>
        </w:rPr>
      </w:pPr>
      <w:r w:rsidRPr="00E14121">
        <w:rPr>
          <w:rFonts w:ascii="Narkisim" w:hAnsi="Narkisim" w:cs="Narkisim"/>
          <w:rtl/>
        </w:rPr>
        <w:t>אבל דעת ה</w:t>
      </w:r>
      <w:r w:rsidRPr="00E14121">
        <w:rPr>
          <w:rFonts w:ascii="Narkisim" w:hAnsi="Narkisim" w:cs="Narkisim"/>
          <w:b/>
          <w:bCs/>
          <w:rtl/>
        </w:rPr>
        <w:t>רמב"ם</w:t>
      </w:r>
      <w:r w:rsidRPr="00E14121">
        <w:rPr>
          <w:rFonts w:ascii="Narkisim" w:hAnsi="Narkisim" w:cs="Narkisim"/>
          <w:rtl/>
        </w:rPr>
        <w:t xml:space="preserve"> (איסו"ב יט ה) דיבמה לשוק נעשית זונה בביאתו [ואף דלא הוה זר אצלה מעיקרא]. והרמב"ם (יח א) נקט כלל דכל איסור השווה בכל פוסל. וה</w:t>
      </w:r>
      <w:r w:rsidRPr="00E14121">
        <w:rPr>
          <w:rFonts w:ascii="Narkisim" w:hAnsi="Narkisim" w:cs="Narkisim"/>
          <w:b/>
          <w:bCs/>
          <w:rtl/>
        </w:rPr>
        <w:t>אחרונים</w:t>
      </w:r>
      <w:r w:rsidRPr="00E14121">
        <w:rPr>
          <w:rFonts w:ascii="Narkisim" w:hAnsi="Narkisim" w:cs="Narkisim"/>
          <w:rtl/>
        </w:rPr>
        <w:t xml:space="preserve"> הקשו דנסתר מסוגיין [וכן מהגמ' לעיל טו:]. וכן ה</w:t>
      </w:r>
      <w:r w:rsidRPr="00E14121">
        <w:rPr>
          <w:rFonts w:ascii="Narkisim" w:hAnsi="Narkisim" w:cs="Narkisim"/>
          <w:b/>
          <w:bCs/>
          <w:rtl/>
        </w:rPr>
        <w:t>גר"א</w:t>
      </w:r>
      <w:r w:rsidRPr="00E14121">
        <w:rPr>
          <w:rFonts w:ascii="Narkisim" w:hAnsi="Narkisim" w:cs="Narkisim"/>
          <w:rtl/>
        </w:rPr>
        <w:t xml:space="preserve"> (ו כג) כתב דכל הסוגיות אינן מוכיחות כדברי הרמב"ם. וכתב דהרמב"ם סמך על ה</w:t>
      </w:r>
      <w:r w:rsidRPr="00E14121">
        <w:rPr>
          <w:rFonts w:ascii="Narkisim" w:hAnsi="Narkisim" w:cs="Narkisim"/>
          <w:b/>
          <w:bCs/>
          <w:rtl/>
        </w:rPr>
        <w:t>ירושלמי</w:t>
      </w:r>
      <w:r w:rsidRPr="00E14121">
        <w:rPr>
          <w:rFonts w:ascii="Narkisim" w:hAnsi="Narkisim" w:cs="Narkisim"/>
          <w:rtl/>
        </w:rPr>
        <w:t xml:space="preserve"> דאף מחזיר גרושתו נפסלת בביאתו מתרומה, ודלא כגמ' (לעיל סט.) דלא הוה זר אצלה מעיקרא.</w:t>
      </w:r>
    </w:p>
    <w:p w14:paraId="644A0314"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(הו' לעיל שם) דנו בטעמו של הרמב"ם שפסק דלא בעי זר אצלה מעיקרא</w:t>
      </w:r>
      <w:r w:rsidRPr="00E14121">
        <w:rPr>
          <w:rStyle w:val="ac"/>
          <w:rFonts w:ascii="Narkisim" w:hAnsi="Narkisim"/>
          <w:rtl/>
        </w:rPr>
        <w:footnoteReference w:id="4929"/>
      </w:r>
      <w:r w:rsidRPr="00E14121">
        <w:rPr>
          <w:rFonts w:ascii="Narkisim" w:hAnsi="Narkisim"/>
          <w:rtl/>
        </w:rPr>
        <w:t xml:space="preserve">. וע"ע </w:t>
      </w:r>
      <w:r w:rsidRPr="00E14121">
        <w:rPr>
          <w:rFonts w:ascii="Narkisim" w:hAnsi="Narkisim"/>
          <w:b/>
          <w:bCs/>
          <w:rtl/>
        </w:rPr>
        <w:t>גר"א</w:t>
      </w:r>
      <w:r w:rsidRPr="00E14121">
        <w:rPr>
          <w:rFonts w:ascii="Narkisim" w:hAnsi="Narkisim"/>
          <w:rtl/>
        </w:rPr>
        <w:t xml:space="preserve"> (שם וז נד ונז) מש"כ ליישב את הגמ' (לעיל יד: וטו:) [וה</w:t>
      </w:r>
      <w:r w:rsidRPr="00E14121">
        <w:rPr>
          <w:rFonts w:ascii="Narkisim" w:hAnsi="Narkisim"/>
          <w:b/>
          <w:bCs/>
          <w:rtl/>
        </w:rPr>
        <w:t>חזו"א</w:t>
      </w:r>
      <w:r w:rsidRPr="00E14121">
        <w:rPr>
          <w:rFonts w:ascii="Narkisim" w:hAnsi="Narkisim"/>
          <w:rtl/>
        </w:rPr>
        <w:t xml:space="preserve"> (טו יג והלאה) האריך הזה].</w:t>
      </w:r>
    </w:p>
    <w:p w14:paraId="066515A6"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טור</w:t>
      </w:r>
      <w:r w:rsidRPr="00E14121">
        <w:rPr>
          <w:rFonts w:ascii="Narkisim" w:hAnsi="Narkisim"/>
          <w:rtl/>
        </w:rPr>
        <w:t xml:space="preserve"> (ו) פסק דכיון דאין קידושין תופסים נפסלת בביאתו [וע' מש"כ בזה לעיל סט.], ולפ"ז סוגיין קאי כמ"ד דקידושין תפסי ביבמה. [ודיוק הגמ' לא קאי למסקנא].</w:t>
      </w:r>
    </w:p>
    <w:p w14:paraId="6EFC2CB0" w14:textId="77777777" w:rsidR="00F64AED" w:rsidRPr="00E14121" w:rsidRDefault="00F64AED" w:rsidP="00F64AED">
      <w:pPr>
        <w:bidi/>
        <w:rPr>
          <w:rFonts w:ascii="Narkisim" w:hAnsi="Narkisim" w:cs="Narkisim"/>
        </w:rPr>
      </w:pPr>
      <w:r w:rsidRPr="00E14121">
        <w:rPr>
          <w:rFonts w:ascii="Narkisim" w:hAnsi="Narkisim" w:cs="Narkisim"/>
          <w:u w:val="single"/>
          <w:rtl/>
          <w:lang w:val="he-IL"/>
        </w:rPr>
        <w:t>כמאן דלא כר' יהודה וכו' האמר איילונית זונה היא.</w:t>
      </w:r>
      <w:r w:rsidRPr="00E14121">
        <w:rPr>
          <w:rFonts w:ascii="Narkisim" w:hAnsi="Narkisim" w:cs="Narkisim"/>
          <w:rtl/>
          <w:lang w:val="he-IL"/>
        </w:rPr>
        <w:t xml:space="preserve"> </w:t>
      </w:r>
      <w:r w:rsidRPr="00E14121">
        <w:rPr>
          <w:rFonts w:ascii="Narkisim" w:hAnsi="Narkisim" w:cs="Narkisim"/>
          <w:b/>
          <w:bCs/>
          <w:rtl/>
          <w:lang w:val="he-IL"/>
        </w:rPr>
        <w:t>רע"א</w:t>
      </w:r>
      <w:r w:rsidRPr="00E14121">
        <w:rPr>
          <w:rFonts w:ascii="Narkisim" w:hAnsi="Narkisim" w:cs="Narkisim"/>
          <w:rtl/>
          <w:lang w:val="he-IL"/>
        </w:rPr>
        <w:t xml:space="preserve"> הקשה דאילונית בת כהן פשיטא דאוכלת בתרומה, ונחשבת זונה רק לענין 'לא יקחו'</w:t>
      </w:r>
      <w:r w:rsidRPr="00E14121">
        <w:rPr>
          <w:rStyle w:val="ac"/>
          <w:rFonts w:ascii="Narkisim" w:hAnsi="Narkisim" w:cs="Narkisim"/>
          <w:rtl/>
          <w:lang w:val="he-IL"/>
        </w:rPr>
        <w:footnoteReference w:id="4930"/>
      </w:r>
      <w:r w:rsidRPr="00E14121">
        <w:rPr>
          <w:rFonts w:ascii="Narkisim" w:hAnsi="Narkisim" w:cs="Narkisim"/>
          <w:rtl/>
          <w:lang w:val="he-IL"/>
        </w:rPr>
        <w:t>.</w:t>
      </w:r>
      <w:r w:rsidRPr="00E14121">
        <w:rPr>
          <w:rFonts w:ascii="Narkisim" w:hAnsi="Narkisim" w:cs="Narkisim"/>
          <w:sz w:val="20"/>
          <w:szCs w:val="20"/>
          <w:rtl/>
          <w:lang w:val="he-IL"/>
        </w:rPr>
        <w:t xml:space="preserve"> [ולצד שהעלו </w:t>
      </w:r>
      <w:r w:rsidRPr="00E14121">
        <w:rPr>
          <w:rFonts w:ascii="Narkisim" w:hAnsi="Narkisim" w:cs="Narkisim"/>
          <w:b/>
          <w:bCs/>
          <w:sz w:val="20"/>
          <w:szCs w:val="20"/>
          <w:rtl/>
          <w:lang w:val="he-IL"/>
        </w:rPr>
        <w:t>תוס</w:t>
      </w:r>
      <w:r w:rsidRPr="00E14121">
        <w:rPr>
          <w:rFonts w:ascii="Narkisim" w:hAnsi="Narkisim" w:cs="Narkisim"/>
          <w:sz w:val="20"/>
          <w:szCs w:val="20"/>
          <w:rtl/>
          <w:lang w:val="he-IL"/>
        </w:rPr>
        <w:t>' (לעיל מד: ולה.) דזונה נפסלת לתרומה מק"ו, א"כ באילונית ל"ש ק"ו. אבל לצד דשם זונה זונה מצד עצמו פוסל לתרומה, דנו ה</w:t>
      </w:r>
      <w:r w:rsidRPr="00E14121">
        <w:rPr>
          <w:rFonts w:ascii="Narkisim" w:hAnsi="Narkisim" w:cs="Narkisim"/>
          <w:b/>
          <w:bCs/>
          <w:sz w:val="20"/>
          <w:szCs w:val="20"/>
          <w:rtl/>
          <w:lang w:val="he-IL"/>
        </w:rPr>
        <w:t>אחרונים</w:t>
      </w:r>
      <w:r w:rsidRPr="00E14121">
        <w:rPr>
          <w:rFonts w:ascii="Narkisim" w:hAnsi="Narkisim" w:cs="Narkisim"/>
          <w:sz w:val="20"/>
          <w:szCs w:val="20"/>
          <w:rtl/>
          <w:lang w:val="he-IL"/>
        </w:rPr>
        <w:t xml:space="preserve"> דמסתבר דאף אילונית הוה זונה רק לענין נישואין]</w:t>
      </w:r>
      <w:r w:rsidRPr="00E14121">
        <w:rPr>
          <w:rFonts w:ascii="Narkisim" w:hAnsi="Narkisim" w:cs="Narkisim"/>
          <w:rtl/>
          <w:lang w:val="he-IL"/>
        </w:rPr>
        <w:t>. ו</w:t>
      </w:r>
      <w:r w:rsidRPr="00E14121">
        <w:rPr>
          <w:rFonts w:ascii="Narkisim" w:hAnsi="Narkisim" w:cs="Narkisim"/>
          <w:b/>
          <w:bCs/>
          <w:rtl/>
          <w:lang w:val="he-IL"/>
        </w:rPr>
        <w:t>רע"א</w:t>
      </w:r>
      <w:r w:rsidRPr="00E14121">
        <w:rPr>
          <w:rFonts w:ascii="Narkisim" w:hAnsi="Narkisim" w:cs="Narkisim"/>
          <w:rtl/>
          <w:lang w:val="he-IL"/>
        </w:rPr>
        <w:t xml:space="preserve"> כת' דאפשר לדחוק דמשמע דקאי לענין פסול כהונה.</w:t>
      </w:r>
    </w:p>
    <w:p w14:paraId="5B4B3C4B" w14:textId="77777777" w:rsidR="00F64AED" w:rsidRPr="00E14121" w:rsidRDefault="00F64AED" w:rsidP="00F64AED">
      <w:pPr>
        <w:pStyle w:val="2"/>
        <w:bidi/>
        <w:rPr>
          <w:rFonts w:ascii="Narkisim" w:hAnsi="Narkisim"/>
        </w:rPr>
      </w:pPr>
      <w:r w:rsidRPr="00E14121">
        <w:rPr>
          <w:rFonts w:ascii="Narkisim" w:hAnsi="Narkisim"/>
          <w:rtl/>
        </w:rPr>
        <w:lastRenderedPageBreak/>
        <w:t>אנדרוגינוס שנשא</w:t>
      </w:r>
    </w:p>
    <w:p w14:paraId="7054F9DC" w14:textId="77777777" w:rsidR="00F64AED" w:rsidRPr="00E14121" w:rsidRDefault="00F64AED" w:rsidP="00F64AED">
      <w:pPr>
        <w:pStyle w:val="aa"/>
        <w:bidi/>
        <w:rPr>
          <w:rFonts w:ascii="Narkisim" w:hAnsi="Narkisim"/>
        </w:rPr>
      </w:pPr>
      <w:r w:rsidRPr="00E14121">
        <w:rPr>
          <w:rFonts w:ascii="Narkisim" w:hAnsi="Narkisim"/>
          <w:u w:val="single"/>
          <w:rtl/>
        </w:rPr>
        <w:t>מהו דתימא מוליד מאכיל</w:t>
      </w:r>
      <w:r w:rsidRPr="00E14121">
        <w:rPr>
          <w:rStyle w:val="ac"/>
          <w:rFonts w:ascii="Narkisim" w:hAnsi="Narkisim"/>
          <w:u w:val="single"/>
          <w:rtl/>
        </w:rPr>
        <w:footnoteReference w:id="4931"/>
      </w:r>
      <w:r w:rsidRPr="00E14121">
        <w:rPr>
          <w:rFonts w:ascii="Narkisim" w:hAnsi="Narkisim"/>
          <w:u w:val="single"/>
          <w:rtl/>
        </w:rPr>
        <w:t xml:space="preserve"> וכו'</w:t>
      </w:r>
      <w:r w:rsidRPr="00E14121">
        <w:rPr>
          <w:rFonts w:ascii="Narkisim" w:hAnsi="Narkisim"/>
          <w:rtl/>
        </w:rPr>
        <w:t>. קמ"ל דאף כשאינו ראוי להוליד מאכיל את אשתו</w:t>
      </w:r>
      <w:r w:rsidRPr="00E14121">
        <w:rPr>
          <w:rStyle w:val="ac"/>
          <w:rFonts w:ascii="Narkisim" w:hAnsi="Narkisim"/>
          <w:rtl/>
        </w:rPr>
        <w:footnoteReference w:id="4932"/>
      </w:r>
      <w:r w:rsidRPr="00E14121">
        <w:rPr>
          <w:rFonts w:ascii="Narkisim" w:hAnsi="Narkisim"/>
          <w:rtl/>
        </w:rPr>
        <w:t>. ובגמ' (לעיל עב.) ס"ד דסריס [דאינו מוליד] אינו מאכיל את אמו. קמ"ל.</w:t>
      </w:r>
    </w:p>
    <w:p w14:paraId="07026D5A" w14:textId="77777777" w:rsidR="00F64AED" w:rsidRPr="00E14121" w:rsidRDefault="00F64AED" w:rsidP="00F64AED">
      <w:pPr>
        <w:bidi/>
        <w:rPr>
          <w:rFonts w:ascii="Narkisim" w:hAnsi="Narkisim" w:cs="Narkisim"/>
        </w:rPr>
      </w:pPr>
      <w:r w:rsidRPr="00E14121">
        <w:rPr>
          <w:rFonts w:ascii="Narkisim" w:hAnsi="Narkisim" w:cs="Narkisim"/>
          <w:u w:val="single"/>
          <w:rtl/>
        </w:rPr>
        <w:t>ולר"ל וכו' בתרומה בזה"ז דרבנן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דס"ל דהוה ספק איש ספק אשה</w:t>
      </w:r>
      <w:r w:rsidRPr="00E14121">
        <w:rPr>
          <w:rStyle w:val="ac"/>
          <w:rFonts w:ascii="Narkisim" w:hAnsi="Narkisim" w:cs="Narkisim"/>
          <w:rtl/>
        </w:rPr>
        <w:footnoteReference w:id="4933"/>
      </w:r>
      <w:r w:rsidRPr="00E14121">
        <w:rPr>
          <w:rFonts w:ascii="Narkisim" w:hAnsi="Narkisim" w:cs="Narkisim"/>
          <w:rtl/>
        </w:rPr>
        <w:t>, והקילו בספק דרבנן. וה</w:t>
      </w:r>
      <w:r w:rsidRPr="00E14121">
        <w:rPr>
          <w:rFonts w:ascii="Narkisim" w:hAnsi="Narkisim" w:cs="Narkisim"/>
          <w:b/>
          <w:bCs/>
          <w:rtl/>
        </w:rPr>
        <w:t>אחרונים</w:t>
      </w:r>
      <w:r w:rsidRPr="00E14121">
        <w:rPr>
          <w:rFonts w:ascii="Narkisim" w:hAnsi="Narkisim" w:cs="Narkisim"/>
          <w:rtl/>
        </w:rPr>
        <w:t xml:space="preserve"> דנו דלפ"ז כל ספק לקולא לענין תרומה דרבנן</w:t>
      </w:r>
      <w:r w:rsidRPr="00E14121">
        <w:rPr>
          <w:rStyle w:val="ac"/>
          <w:rFonts w:ascii="Narkisim" w:hAnsi="Narkisim" w:cs="Narkisim"/>
          <w:rtl/>
        </w:rPr>
        <w:footnoteReference w:id="4934"/>
      </w:r>
      <w:r w:rsidRPr="00E14121">
        <w:rPr>
          <w:rFonts w:ascii="Narkisim" w:hAnsi="Narkisim" w:cs="Narkisim"/>
          <w:rtl/>
        </w:rPr>
        <w:t xml:space="preserve"> [לדעת ר"ל].</w:t>
      </w:r>
    </w:p>
    <w:p w14:paraId="0329D610"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משנ"ל</w:t>
      </w:r>
      <w:r w:rsidRPr="00E14121">
        <w:rPr>
          <w:rFonts w:ascii="Narkisim" w:hAnsi="Narkisim"/>
          <w:rtl/>
        </w:rPr>
        <w:t xml:space="preserve"> (תרומות ז יז, וקר"א) העיר דהיתה בחזקת שאינה אוכלת בתרומה, וגם יש חזקת פנויה. ומבואר דאפ"ה אוכלת מחמת הספק דשמא זכר הוא.</w:t>
      </w:r>
    </w:p>
    <w:p w14:paraId="7705D869"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(הוספות ה) הקשה דדעת ר' יוסי (ידים ב ד) דספק דרבנן אסור כשיש חזקת איסור. ותי' דהכא שורש הספק על האנדרוגינוס, ועליו ל"מ חזקתו, ולכן ל"מ חזקת האשה דודאי נשאת לו</w:t>
      </w:r>
      <w:r w:rsidRPr="00E14121">
        <w:rPr>
          <w:rStyle w:val="ac"/>
          <w:rFonts w:ascii="Narkisim" w:hAnsi="Narkisim"/>
          <w:rtl/>
        </w:rPr>
        <w:footnoteReference w:id="4935"/>
      </w:r>
      <w:r w:rsidRPr="00E14121">
        <w:rPr>
          <w:rFonts w:ascii="Narkisim" w:hAnsi="Narkisim"/>
          <w:rtl/>
        </w:rPr>
        <w:t>.</w:t>
      </w:r>
    </w:p>
    <w:p w14:paraId="364C219E" w14:textId="77777777" w:rsidR="00F64AED" w:rsidRPr="00E14121" w:rsidRDefault="00F64AED" w:rsidP="00F64AED">
      <w:pPr>
        <w:bidi/>
        <w:rPr>
          <w:rFonts w:ascii="Narkisim" w:hAnsi="Narkisim" w:cs="Narkisim"/>
        </w:rPr>
      </w:pPr>
      <w:r w:rsidRPr="00E14121">
        <w:rPr>
          <w:rFonts w:ascii="Narkisim" w:hAnsi="Narkisim" w:cs="Narkisim"/>
          <w:rtl/>
        </w:rPr>
        <w:t>ור' יוחנן חלק דר' יוסי ס"ל דתרומה בזה"ז דאורייתא. ובפשוטו לא מצאנו דפליג למ"ד תרומה בזה"ז דרבנן. אבל דעת ה</w:t>
      </w:r>
      <w:r w:rsidRPr="00E14121">
        <w:rPr>
          <w:rFonts w:ascii="Narkisim" w:hAnsi="Narkisim" w:cs="Narkisim"/>
          <w:b/>
          <w:bCs/>
          <w:rtl/>
        </w:rPr>
        <w:t>רמב"ם</w:t>
      </w:r>
      <w:r w:rsidRPr="00E14121">
        <w:rPr>
          <w:rFonts w:ascii="Narkisim" w:hAnsi="Narkisim" w:cs="Narkisim"/>
          <w:rtl/>
        </w:rPr>
        <w:t xml:space="preserve"> (תרומות א כו) דתרומה בזה"ז דרבנן, ואפ"ה ה</w:t>
      </w:r>
      <w:r w:rsidRPr="00E14121">
        <w:rPr>
          <w:rFonts w:ascii="Narkisim" w:hAnsi="Narkisim" w:cs="Narkisim"/>
          <w:b/>
          <w:bCs/>
          <w:rtl/>
        </w:rPr>
        <w:t>רמב"ם</w:t>
      </w:r>
      <w:r w:rsidRPr="00E14121">
        <w:rPr>
          <w:rFonts w:ascii="Narkisim" w:hAnsi="Narkisim" w:cs="Narkisim"/>
          <w:rtl/>
        </w:rPr>
        <w:t xml:space="preserve"> (תרומות ז יז) כת' דכל המאכיל בתרומה מאכיל בחזה ושוק. [ומי שאינו מאכיל בחזה ושוק אינו מאכיל בתרומה]. וכן בכ"מ הרמב"ם פסק בדיני הספיקות לחומרא, אף בזה"ז דליכא תרומה דאורייתא.</w:t>
      </w:r>
    </w:p>
    <w:p w14:paraId="21B28357"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כס"מ</w:t>
      </w:r>
      <w:r w:rsidRPr="00E14121">
        <w:rPr>
          <w:rFonts w:ascii="Narkisim" w:hAnsi="Narkisim"/>
          <w:rtl/>
        </w:rPr>
        <w:t xml:space="preserve"> כתב דהרמב"ם פסק כר' יוחנן (דסוגיין)</w:t>
      </w:r>
      <w:r w:rsidRPr="00E14121">
        <w:rPr>
          <w:rStyle w:val="ac"/>
          <w:rFonts w:ascii="Narkisim" w:hAnsi="Narkisim"/>
          <w:rtl/>
        </w:rPr>
        <w:footnoteReference w:id="4936"/>
      </w:r>
      <w:r w:rsidRPr="00E14121">
        <w:rPr>
          <w:rFonts w:ascii="Narkisim" w:hAnsi="Narkisim"/>
          <w:rtl/>
        </w:rPr>
        <w:t xml:space="preserve"> [ופליג על ר"ל דספיקות לקולא]. וה</w:t>
      </w:r>
      <w:r w:rsidRPr="00E14121">
        <w:rPr>
          <w:rFonts w:ascii="Narkisim" w:hAnsi="Narkisim"/>
          <w:b/>
          <w:bCs/>
          <w:rtl/>
        </w:rPr>
        <w:t>משנ"ל</w:t>
      </w:r>
      <w:r w:rsidRPr="00E14121">
        <w:rPr>
          <w:rFonts w:ascii="Narkisim" w:hAnsi="Narkisim"/>
          <w:rtl/>
        </w:rPr>
        <w:t xml:space="preserve"> ביאר דלר' יוחנן אין לחלק בין תרומה בזה"ז לשאר תרומה דרבנן, דאין לנו שום הכרח לזה. וקי"ל דספק לחומרא אף בתרומה בזה"ז דרבנן</w:t>
      </w:r>
      <w:r w:rsidRPr="00E14121">
        <w:rPr>
          <w:rStyle w:val="ac"/>
          <w:rFonts w:ascii="Narkisim" w:hAnsi="Narkisim"/>
          <w:rtl/>
        </w:rPr>
        <w:footnoteReference w:id="4937"/>
      </w:r>
      <w:r w:rsidRPr="00E14121">
        <w:rPr>
          <w:rFonts w:ascii="Narkisim" w:hAnsi="Narkisim"/>
          <w:rtl/>
        </w:rPr>
        <w:t xml:space="preserve">, ודינו כשל תורה לכל הספיקות, מלבד תערובת. </w:t>
      </w:r>
      <w:r w:rsidRPr="00E14121">
        <w:rPr>
          <w:rFonts w:ascii="Narkisim" w:hAnsi="Narkisim"/>
          <w:szCs w:val="20"/>
          <w:rtl/>
        </w:rPr>
        <w:t>והמשנ"ל הוכיח מכ"מ דלא הקילו בספיקות בתרומה בזה"ז. וכת' דע"כ ר"ל מודה דלא הקילו, אלא דהכא קאי בדעת ר' יוסי</w:t>
      </w:r>
      <w:r w:rsidRPr="00E14121">
        <w:rPr>
          <w:rFonts w:ascii="Narkisim" w:hAnsi="Narkisim"/>
          <w:rtl/>
        </w:rPr>
        <w:t>.</w:t>
      </w:r>
    </w:p>
    <w:p w14:paraId="58656B62"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בית הלוי</w:t>
      </w:r>
      <w:r w:rsidRPr="00E14121">
        <w:rPr>
          <w:rFonts w:ascii="Narkisim" w:hAnsi="Narkisim"/>
          <w:rtl/>
        </w:rPr>
        <w:t xml:space="preserve"> </w:t>
      </w:r>
      <w:r w:rsidRPr="00E14121">
        <w:rPr>
          <w:rFonts w:ascii="Narkisim" w:hAnsi="Narkisim"/>
          <w:szCs w:val="20"/>
          <w:rtl/>
        </w:rPr>
        <w:t>(ג א ענף ו ה, הו' לקמן פב:)</w:t>
      </w:r>
      <w:r w:rsidRPr="00E14121">
        <w:rPr>
          <w:rFonts w:ascii="Narkisim" w:hAnsi="Narkisim"/>
          <w:rtl/>
        </w:rPr>
        <w:t xml:space="preserve"> ביאר דלר' יוחנן בימי עזרא קיבלו עליהם דין תרומה בשבועה, ולכן חמיר. ומשום השבועה ספיקו לחומרא כדאורייתא.</w:t>
      </w:r>
    </w:p>
    <w:p w14:paraId="45D5731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משנ"ל</w:t>
      </w:r>
      <w:r w:rsidRPr="00E14121">
        <w:rPr>
          <w:rFonts w:ascii="Narkisim" w:hAnsi="Narkisim"/>
          <w:rtl/>
        </w:rPr>
        <w:t xml:space="preserve"> כתב דכלל העולה דנח' ר"י ור"ל בג' מח', דר"ל ס"ל </w:t>
      </w:r>
      <w:r w:rsidRPr="00E14121">
        <w:rPr>
          <w:rFonts w:ascii="Narkisim" w:hAnsi="Narkisim"/>
          <w:i/>
          <w:iCs/>
          <w:vertAlign w:val="subscript"/>
          <w:rtl/>
        </w:rPr>
        <w:t>א'</w:t>
      </w:r>
      <w:r w:rsidRPr="00E14121">
        <w:rPr>
          <w:rFonts w:ascii="Narkisim" w:hAnsi="Narkisim"/>
          <w:rtl/>
        </w:rPr>
        <w:t xml:space="preserve"> לר' יוסי תרומה בזה"ז דרבנן, </w:t>
      </w:r>
      <w:r w:rsidRPr="00E14121">
        <w:rPr>
          <w:rFonts w:ascii="Narkisim" w:hAnsi="Narkisim"/>
          <w:i/>
          <w:iCs/>
          <w:vertAlign w:val="subscript"/>
          <w:rtl/>
        </w:rPr>
        <w:t>ב'</w:t>
      </w:r>
      <w:r w:rsidRPr="00E14121">
        <w:rPr>
          <w:rFonts w:ascii="Narkisim" w:hAnsi="Narkisim"/>
          <w:vertAlign w:val="subscript"/>
          <w:rtl/>
        </w:rPr>
        <w:t xml:space="preserve"> </w:t>
      </w:r>
      <w:r w:rsidRPr="00E14121">
        <w:rPr>
          <w:rFonts w:ascii="Narkisim" w:hAnsi="Narkisim"/>
          <w:rtl/>
        </w:rPr>
        <w:t xml:space="preserve">וספיקו לקולא, וס"ל </w:t>
      </w:r>
      <w:r w:rsidRPr="00E14121">
        <w:rPr>
          <w:rFonts w:ascii="Narkisim" w:hAnsi="Narkisim"/>
          <w:i/>
          <w:iCs/>
          <w:vertAlign w:val="subscript"/>
          <w:rtl/>
        </w:rPr>
        <w:t>ג'</w:t>
      </w:r>
      <w:r w:rsidRPr="00E14121">
        <w:rPr>
          <w:rFonts w:ascii="Narkisim" w:hAnsi="Narkisim"/>
          <w:vertAlign w:val="subscript"/>
          <w:rtl/>
        </w:rPr>
        <w:t xml:space="preserve"> </w:t>
      </w:r>
      <w:r w:rsidRPr="00E14121">
        <w:rPr>
          <w:rFonts w:ascii="Narkisim" w:hAnsi="Narkisim"/>
          <w:rtl/>
        </w:rPr>
        <w:t xml:space="preserve">דאנדרוגינוס הוא ספק. ור' יוחנן פליג דלר' יוסי תרומה בזה"ז דאורייתא. ואף למ"ד דרבנן ספיקו לחומרא. ואנדרוגינוס לר' יוסי ודאי זכר. [ועוד נח' </w:t>
      </w:r>
      <w:r w:rsidRPr="00E14121">
        <w:rPr>
          <w:rFonts w:ascii="Narkisim" w:hAnsi="Narkisim"/>
          <w:i/>
          <w:iCs/>
          <w:vertAlign w:val="subscript"/>
          <w:rtl/>
        </w:rPr>
        <w:t>ד'</w:t>
      </w:r>
      <w:r w:rsidRPr="00E14121">
        <w:rPr>
          <w:rFonts w:ascii="Narkisim" w:hAnsi="Narkisim"/>
          <w:rtl/>
        </w:rPr>
        <w:t xml:space="preserve"> (בסמוך) בדין את שדרכו לימנות, להביא ראיה מהברייתא].</w:t>
      </w:r>
    </w:p>
    <w:p w14:paraId="28ACB65C" w14:textId="77777777" w:rsidR="00F64AED" w:rsidRPr="00E14121" w:rsidRDefault="00F64AED" w:rsidP="00F64AED">
      <w:pPr>
        <w:pStyle w:val="aa"/>
        <w:bidi/>
        <w:rPr>
          <w:rFonts w:ascii="Narkisim" w:hAnsi="Narkisim"/>
        </w:rPr>
      </w:pPr>
      <w:r w:rsidRPr="00E14121">
        <w:rPr>
          <w:rFonts w:ascii="Narkisim" w:hAnsi="Narkisim"/>
          <w:u w:val="single"/>
          <w:rtl/>
        </w:rPr>
        <w:t>ואין מאכילה בזמן חזה ושוק ואפי' בתרומה דרבנן.</w:t>
      </w:r>
      <w:r w:rsidRPr="00E14121">
        <w:rPr>
          <w:rFonts w:ascii="Narkisim" w:hAnsi="Narkisim"/>
          <w:rtl/>
        </w:rPr>
        <w:t xml:space="preserve"> פ</w:t>
      </w:r>
      <w:r w:rsidRPr="00E14121">
        <w:rPr>
          <w:rFonts w:ascii="Narkisim" w:hAnsi="Narkisim"/>
          <w:b/>
          <w:bCs/>
          <w:rtl/>
        </w:rPr>
        <w:t>רש"י</w:t>
      </w:r>
      <w:r w:rsidRPr="00E14121">
        <w:rPr>
          <w:rFonts w:ascii="Narkisim" w:hAnsi="Narkisim"/>
          <w:rtl/>
        </w:rPr>
        <w:t xml:space="preserve"> כגון תרומת פירות. ו</w:t>
      </w:r>
      <w:r w:rsidRPr="00E14121">
        <w:rPr>
          <w:rFonts w:ascii="Narkisim" w:hAnsi="Narkisim"/>
          <w:b/>
          <w:bCs/>
          <w:rtl/>
        </w:rPr>
        <w:t>רש"י</w:t>
      </w:r>
      <w:r w:rsidRPr="00E14121">
        <w:rPr>
          <w:rFonts w:ascii="Narkisim" w:hAnsi="Narkisim"/>
          <w:rtl/>
        </w:rPr>
        <w:t xml:space="preserve"> (ד"ה שאני) כת' דתרומת עיגול דתאנים (בסמוך) הוה פירות דרבנן</w:t>
      </w:r>
      <w:r w:rsidRPr="00E14121">
        <w:rPr>
          <w:rStyle w:val="ac"/>
          <w:rFonts w:ascii="Narkisim" w:hAnsi="Narkisim"/>
          <w:rtl/>
        </w:rPr>
        <w:footnoteReference w:id="4938"/>
      </w:r>
      <w:r w:rsidRPr="00E14121">
        <w:rPr>
          <w:rFonts w:ascii="Narkisim" w:hAnsi="Narkisim"/>
          <w:rtl/>
        </w:rPr>
        <w:t xml:space="preserve">. וכ"ד </w:t>
      </w:r>
      <w:r w:rsidRPr="00E14121">
        <w:rPr>
          <w:rFonts w:ascii="Narkisim" w:hAnsi="Narkisim"/>
          <w:b/>
          <w:bCs/>
          <w:rtl/>
        </w:rPr>
        <w:t>תוס</w:t>
      </w:r>
      <w:r w:rsidRPr="00E14121">
        <w:rPr>
          <w:rFonts w:ascii="Narkisim" w:hAnsi="Narkisim"/>
          <w:rtl/>
        </w:rPr>
        <w:t>' (בכמה מקומות ע' ר"ה יב.) דכל פירות מלבד דגן תירוש ויצהר דרבנן. אבל דעת ה</w:t>
      </w:r>
      <w:r w:rsidRPr="00E14121">
        <w:rPr>
          <w:rFonts w:ascii="Narkisim" w:hAnsi="Narkisim"/>
          <w:b/>
          <w:bCs/>
          <w:rtl/>
        </w:rPr>
        <w:t>רמב"ם</w:t>
      </w:r>
      <w:r w:rsidRPr="00E14121">
        <w:rPr>
          <w:rFonts w:ascii="Narkisim" w:hAnsi="Narkisim"/>
          <w:rtl/>
        </w:rPr>
        <w:t xml:space="preserve"> (תרומות ב א) דתרומת פירות דאורייתא, ורק ירקות דרבנן</w:t>
      </w:r>
      <w:r w:rsidRPr="00E14121">
        <w:rPr>
          <w:rStyle w:val="ac"/>
          <w:rFonts w:ascii="Narkisim" w:hAnsi="Narkisim"/>
          <w:rtl/>
        </w:rPr>
        <w:footnoteReference w:id="4939"/>
      </w:r>
      <w:r w:rsidRPr="00E14121">
        <w:rPr>
          <w:rFonts w:ascii="Narkisim" w:hAnsi="Narkisim"/>
          <w:rtl/>
        </w:rPr>
        <w:t>. וה</w:t>
      </w:r>
      <w:r w:rsidRPr="00E14121">
        <w:rPr>
          <w:rFonts w:ascii="Narkisim" w:hAnsi="Narkisim"/>
          <w:b/>
          <w:bCs/>
          <w:rtl/>
        </w:rPr>
        <w:t>ראב"ד</w:t>
      </w:r>
      <w:r w:rsidRPr="00E14121">
        <w:rPr>
          <w:rFonts w:ascii="Narkisim" w:hAnsi="Narkisim"/>
          <w:rtl/>
        </w:rPr>
        <w:t xml:space="preserve"> </w:t>
      </w:r>
      <w:r w:rsidRPr="00E14121">
        <w:rPr>
          <w:rFonts w:ascii="Narkisim" w:hAnsi="Narkisim"/>
          <w:rtl/>
        </w:rPr>
        <w:lastRenderedPageBreak/>
        <w:t>(מעשרות א ט) השיג דדוקא תירוש ויצהר</w:t>
      </w:r>
      <w:r w:rsidRPr="00E14121">
        <w:rPr>
          <w:rStyle w:val="ac"/>
          <w:rFonts w:ascii="Narkisim" w:hAnsi="Narkisim"/>
          <w:rtl/>
        </w:rPr>
        <w:footnoteReference w:id="4940"/>
      </w:r>
      <w:r w:rsidRPr="00E14121">
        <w:rPr>
          <w:rFonts w:ascii="Narkisim" w:hAnsi="Narkisim"/>
          <w:rtl/>
        </w:rPr>
        <w:t>.</w:t>
      </w:r>
    </w:p>
    <w:p w14:paraId="04DCB713" w14:textId="77777777" w:rsidR="00F64AED" w:rsidRPr="00E14121" w:rsidRDefault="00F64AED" w:rsidP="00F64AED">
      <w:pPr>
        <w:pStyle w:val="aa"/>
        <w:bidi/>
        <w:rPr>
          <w:rFonts w:ascii="Narkisim" w:hAnsi="Narkisim"/>
        </w:rPr>
      </w:pPr>
      <w:r w:rsidRPr="00E14121">
        <w:rPr>
          <w:rFonts w:ascii="Narkisim" w:hAnsi="Narkisim"/>
          <w:u w:val="single"/>
          <w:rtl/>
        </w:rPr>
        <w:t>תוד"ה ואין</w:t>
      </w:r>
      <w:r w:rsidRPr="00E14121">
        <w:rPr>
          <w:rFonts w:ascii="Narkisim" w:hAnsi="Narkisim"/>
          <w:rtl/>
        </w:rPr>
        <w:t>. ואיבע"א בתרומה דרבנן אכלי דאורייתא לא אכלי, ההיא שינויא לא הויא כסוגיא דהכא. תוס' דימו סוגיין [דחששו בספיקות אטו תרומה דאורייתא], להא דבתרומה דרבנן הקילו לסמוך על חזקה דאיתרע. ואף דל"מ הך חזקה לתרומה דאורייתא. ותוס' דנו דלר"ל דסוגיין בזמן שיש תרומה דאורייתא צריך לגזור תרומה דרבנן דילמא אתי להאכיל בדאורייתא</w:t>
      </w:r>
      <w:r w:rsidRPr="00E14121">
        <w:rPr>
          <w:rStyle w:val="ac"/>
          <w:rFonts w:ascii="Narkisim" w:hAnsi="Narkisim"/>
          <w:rtl/>
        </w:rPr>
        <w:footnoteReference w:id="4941"/>
      </w:r>
      <w:r w:rsidRPr="00E14121">
        <w:rPr>
          <w:rFonts w:ascii="Narkisim" w:hAnsi="Narkisim"/>
          <w:rtl/>
        </w:rPr>
        <w:t>. [ולפ"ז סברת התוס' אקראי בעלמא הוה סברא בגזירת דילמא אתי להאכיל בדאורייתא. ולא סברא בגדרי הספיקות].</w:t>
      </w:r>
    </w:p>
    <w:p w14:paraId="22680A9A" w14:textId="77777777" w:rsidR="00F64AED" w:rsidRPr="00E14121" w:rsidRDefault="00F64AED" w:rsidP="00F64AED">
      <w:pPr>
        <w:pStyle w:val="aa"/>
        <w:bidi/>
        <w:rPr>
          <w:rFonts w:ascii="Narkisim" w:hAnsi="Narkisim"/>
        </w:rPr>
      </w:pPr>
      <w:r w:rsidRPr="00E14121">
        <w:rPr>
          <w:rFonts w:ascii="Narkisim" w:hAnsi="Narkisim"/>
          <w:u w:val="single"/>
          <w:rtl/>
        </w:rPr>
        <w:t>בא"ד אבל עיגול בעיגולים דהכא אע"ג דאקראי בעלמא, איתחזק איסורא וכו'</w:t>
      </w:r>
      <w:r w:rsidRPr="00E14121">
        <w:rPr>
          <w:rFonts w:ascii="Narkisim" w:hAnsi="Narkisim"/>
          <w:rtl/>
        </w:rPr>
        <w:t>. ומש"ה פשיט"ל לר"ל דראוי לגזור תרומת פירות דרבנן אטו דאורייתא [אי תרומה בזה"ז דאורייתא]. דכיון דאיתחזק איסורא אין סברא להקל אף דהוה אקראי.</w:t>
      </w:r>
    </w:p>
    <w:p w14:paraId="0C6B805A" w14:textId="77777777" w:rsidR="00F64AED" w:rsidRPr="00E14121" w:rsidRDefault="00F64AED" w:rsidP="00F64AED">
      <w:pPr>
        <w:bidi/>
        <w:rPr>
          <w:rFonts w:ascii="Narkisim" w:hAnsi="Narkisim" w:cs="Narkisim"/>
        </w:rPr>
      </w:pPr>
      <w:r w:rsidRPr="00E14121">
        <w:rPr>
          <w:rFonts w:ascii="Narkisim" w:hAnsi="Narkisim" w:cs="Narkisim"/>
          <w:u w:val="single"/>
          <w:rtl/>
        </w:rPr>
        <w:t>ואין מאכילה בזמן חזה ושוק וכו'</w:t>
      </w:r>
      <w:r w:rsidRPr="00E14121">
        <w:rPr>
          <w:rFonts w:ascii="Narkisim" w:hAnsi="Narkisim" w:cs="Narkisim"/>
          <w:rtl/>
        </w:rPr>
        <w:t>. מבואר דתרומה בזה"ז היינו שלא בזמן הבית, וה</w:t>
      </w:r>
      <w:r w:rsidRPr="00E14121">
        <w:rPr>
          <w:rFonts w:ascii="Narkisim" w:hAnsi="Narkisim" w:cs="Narkisim"/>
          <w:b/>
          <w:bCs/>
          <w:rtl/>
        </w:rPr>
        <w:t>אחרונים</w:t>
      </w:r>
      <w:r w:rsidRPr="00E14121">
        <w:rPr>
          <w:rFonts w:ascii="Narkisim" w:hAnsi="Narkisim" w:cs="Narkisim"/>
          <w:rtl/>
        </w:rPr>
        <w:t xml:space="preserve"> (שו"ת אבנ"מ טז, וע' קר"א פב:) הקשו לדעת ה</w:t>
      </w:r>
      <w:r w:rsidRPr="00E14121">
        <w:rPr>
          <w:rFonts w:ascii="Narkisim" w:hAnsi="Narkisim" w:cs="Narkisim"/>
          <w:b/>
          <w:bCs/>
          <w:rtl/>
        </w:rPr>
        <w:t>רמב"ם</w:t>
      </w:r>
      <w:r w:rsidRPr="00E14121">
        <w:rPr>
          <w:rFonts w:ascii="Narkisim" w:hAnsi="Narkisim" w:cs="Narkisim"/>
          <w:rtl/>
        </w:rPr>
        <w:t xml:space="preserve"> (תרומות א כו, וכס"ד דתוס' לקמן פב:) דאף בזמן עזרא תרומה דרבנן, א"כ אף בזמן חזה ושוק מותר בספיקות. וה</w:t>
      </w:r>
      <w:r w:rsidRPr="00E14121">
        <w:rPr>
          <w:rFonts w:ascii="Narkisim" w:hAnsi="Narkisim" w:cs="Narkisim"/>
          <w:b/>
          <w:bCs/>
          <w:rtl/>
        </w:rPr>
        <w:t>בית הלוי</w:t>
      </w:r>
      <w:r w:rsidRPr="00E14121">
        <w:rPr>
          <w:rFonts w:ascii="Narkisim" w:hAnsi="Narkisim" w:cs="Narkisim"/>
          <w:rtl/>
        </w:rPr>
        <w:t xml:space="preserve"> (שם) כת' דקבלו עליהם בזמן עזרא חיוב תרומה כחומר דאורייתא, וספיקו אסור, אף דתרומה בזה"ז דרבנן.</w:t>
      </w:r>
    </w:p>
    <w:p w14:paraId="1327BE56" w14:textId="77777777" w:rsidR="00F64AED" w:rsidRPr="00E14121" w:rsidRDefault="00F64AED" w:rsidP="00F64AED">
      <w:pPr>
        <w:pStyle w:val="aa"/>
        <w:bidi/>
        <w:rPr>
          <w:rFonts w:ascii="Narkisim" w:hAnsi="Narkisim"/>
        </w:rPr>
      </w:pPr>
      <w:r w:rsidRPr="00E14121">
        <w:rPr>
          <w:rFonts w:ascii="Narkisim" w:hAnsi="Narkisim"/>
          <w:u w:val="single"/>
          <w:rtl/>
        </w:rPr>
        <w:t>א"ל ר' יוחנן לר"ל וכו' א"ל שאני שונה עיגול בעיגולים וכו'</w:t>
      </w:r>
      <w:r w:rsidRPr="00E14121">
        <w:rPr>
          <w:rFonts w:ascii="Narkisim" w:hAnsi="Narkisim"/>
          <w:rtl/>
        </w:rPr>
        <w:t>. ר"ל הוכיח דתרומה בזה"ז מדרבנן [לר' יוסי] מהא דתניא דיש ביטול בעיגול של תרומה</w:t>
      </w:r>
      <w:r w:rsidRPr="00E14121">
        <w:rPr>
          <w:rStyle w:val="ac"/>
          <w:rFonts w:ascii="Narkisim" w:hAnsi="Narkisim"/>
          <w:rtl/>
        </w:rPr>
        <w:footnoteReference w:id="4942"/>
      </w:r>
      <w:r w:rsidRPr="00E14121">
        <w:rPr>
          <w:rFonts w:ascii="Narkisim" w:hAnsi="Narkisim"/>
          <w:rtl/>
        </w:rPr>
        <w:t>. ור' יוחנן השיב דיש ביטול בדבר חשוב קצת [אף שדרכם לימנות] אף בדאורייתא, וכדתניא (בע"ב) גבי חתיכה של חטאת</w:t>
      </w:r>
      <w:r w:rsidRPr="00E14121">
        <w:rPr>
          <w:rStyle w:val="ac"/>
          <w:rFonts w:ascii="Narkisim" w:hAnsi="Narkisim"/>
          <w:rtl/>
        </w:rPr>
        <w:footnoteReference w:id="4943"/>
      </w:r>
      <w:r w:rsidRPr="00E14121">
        <w:rPr>
          <w:rFonts w:ascii="Narkisim" w:hAnsi="Narkisim"/>
          <w:rtl/>
        </w:rPr>
        <w:t>.</w:t>
      </w:r>
    </w:p>
    <w:p w14:paraId="76BDA136"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בעה"מ</w:t>
      </w:r>
      <w:r w:rsidRPr="00E14121">
        <w:rPr>
          <w:rFonts w:ascii="Narkisim" w:hAnsi="Narkisim"/>
          <w:rtl/>
        </w:rPr>
        <w:t xml:space="preserve"> ביאר דר' יוחנן העמיד את הברייתא של חתיכות בטומאת משקין דרבנן [וכדברי רב שישא לקמן פב.]. וביאר דר' יוחנן הוכיח דלא גזרו דאיסור דרבנן לא יתבטל אטו דאורייתא</w:t>
      </w:r>
      <w:r w:rsidRPr="00E14121">
        <w:rPr>
          <w:rStyle w:val="ac"/>
          <w:rFonts w:ascii="Narkisim" w:hAnsi="Narkisim"/>
          <w:rtl/>
        </w:rPr>
        <w:footnoteReference w:id="4944"/>
      </w:r>
      <w:r w:rsidRPr="00E14121">
        <w:rPr>
          <w:rFonts w:ascii="Narkisim" w:hAnsi="Narkisim"/>
          <w:rtl/>
        </w:rPr>
        <w:t>. ומש"ה עיגול דבילה דהוה תרומה דרבנן בטל. [אף שיש בו חומרא דתרומה]. אך הבעה"מ (בהמשך דבריו) כת' [בדעת רב אשי] דכוונת ר' יוחנן דחתיכה חשובה מעיגול</w:t>
      </w:r>
      <w:r w:rsidRPr="00E14121">
        <w:rPr>
          <w:rStyle w:val="ac"/>
          <w:rFonts w:ascii="Narkisim" w:hAnsi="Narkisim"/>
          <w:rtl/>
        </w:rPr>
        <w:footnoteReference w:id="4945"/>
      </w:r>
      <w:r w:rsidRPr="00E14121">
        <w:rPr>
          <w:rFonts w:ascii="Narkisim" w:hAnsi="Narkisim"/>
          <w:rtl/>
        </w:rPr>
        <w:t>.</w:t>
      </w:r>
    </w:p>
    <w:p w14:paraId="63DE88C1" w14:textId="77777777" w:rsidR="00F64AED" w:rsidRPr="00E14121" w:rsidRDefault="00F64AED" w:rsidP="00F64AED">
      <w:pPr>
        <w:pStyle w:val="aa"/>
        <w:bidi/>
        <w:rPr>
          <w:rFonts w:ascii="Narkisim" w:hAnsi="Narkisim"/>
        </w:rPr>
      </w:pPr>
      <w:r w:rsidRPr="00E14121">
        <w:rPr>
          <w:rFonts w:ascii="Narkisim" w:hAnsi="Narkisim"/>
          <w:u w:val="single"/>
          <w:rtl/>
        </w:rPr>
        <w:t>תוד"ה והלא</w:t>
      </w:r>
      <w:r w:rsidRPr="00E14121">
        <w:rPr>
          <w:rFonts w:ascii="Narkisim" w:hAnsi="Narkisim"/>
          <w:rtl/>
        </w:rPr>
        <w:t>. תימה מנ"ל דאתיא כר' יוסי, דלמא רבנן וכו'. [מבואר דפשיט"ל לתוס' דר' יוסי ס"ל כר' מאיר דתלי בדרכו לימנות. אלא דהק' מנ"ל דברייתא דחתיכה הוה ר' יוסי</w:t>
      </w:r>
      <w:r w:rsidRPr="00E14121">
        <w:rPr>
          <w:rStyle w:val="ac"/>
          <w:rFonts w:ascii="Narkisim" w:hAnsi="Narkisim"/>
          <w:rtl/>
        </w:rPr>
        <w:footnoteReference w:id="4946"/>
      </w:r>
      <w:r w:rsidRPr="00E14121">
        <w:rPr>
          <w:rFonts w:ascii="Narkisim" w:hAnsi="Narkisim"/>
          <w:rtl/>
        </w:rPr>
        <w:t>]. ובתי' הב' של תוס' כת' דדייק מגוף הברייתא, אמאי נקט חתיכה.</w:t>
      </w:r>
    </w:p>
    <w:p w14:paraId="6B3142EE" w14:textId="77777777" w:rsidR="00F64AED" w:rsidRPr="00E14121" w:rsidRDefault="00F64AED" w:rsidP="00F64AED">
      <w:pPr>
        <w:bidi/>
        <w:rPr>
          <w:rFonts w:ascii="Narkisim" w:hAnsi="Narkisim" w:cs="Narkisim"/>
        </w:rPr>
      </w:pPr>
      <w:r w:rsidRPr="00E14121">
        <w:rPr>
          <w:rFonts w:ascii="Narkisim" w:hAnsi="Narkisim" w:cs="Narkisim"/>
          <w:u w:val="single"/>
          <w:rtl/>
        </w:rPr>
        <w:t>תוד"ה מאי.</w:t>
      </w:r>
      <w:r w:rsidRPr="00E14121">
        <w:rPr>
          <w:rFonts w:ascii="Narkisim" w:hAnsi="Narkisim" w:cs="Narkisim"/>
          <w:rtl/>
        </w:rPr>
        <w:t xml:space="preserve"> א"כ כלאי הכרם נמי דרבנן. </w:t>
      </w:r>
      <w:r w:rsidRPr="00E14121">
        <w:rPr>
          <w:rFonts w:ascii="Narkisim" w:hAnsi="Narkisim" w:cs="Narkisim"/>
          <w:sz w:val="20"/>
          <w:szCs w:val="20"/>
          <w:rtl/>
        </w:rPr>
        <w:t>(והו' ב</w:t>
      </w:r>
      <w:r w:rsidRPr="00E14121">
        <w:rPr>
          <w:rFonts w:ascii="Narkisim" w:hAnsi="Narkisim" w:cs="Narkisim"/>
          <w:b/>
          <w:bCs/>
          <w:sz w:val="20"/>
          <w:szCs w:val="20"/>
          <w:rtl/>
        </w:rPr>
        <w:t>משנ"ל</w:t>
      </w:r>
      <w:r w:rsidRPr="00E14121">
        <w:rPr>
          <w:rFonts w:ascii="Narkisim" w:hAnsi="Narkisim" w:cs="Narkisim"/>
          <w:sz w:val="20"/>
          <w:szCs w:val="20"/>
          <w:rtl/>
        </w:rPr>
        <w:t xml:space="preserve"> מאכ"א י יא</w:t>
      </w:r>
      <w:r w:rsidRPr="00E14121">
        <w:rPr>
          <w:rStyle w:val="ac"/>
          <w:rFonts w:ascii="Narkisim" w:hAnsi="Narkisim" w:cs="Narkisim"/>
          <w:sz w:val="20"/>
          <w:szCs w:val="20"/>
          <w:rtl/>
        </w:rPr>
        <w:footnoteReference w:id="4947"/>
      </w:r>
      <w:r w:rsidRPr="00E14121">
        <w:rPr>
          <w:rFonts w:ascii="Narkisim" w:hAnsi="Narkisim" w:cs="Narkisim"/>
          <w:sz w:val="20"/>
          <w:szCs w:val="20"/>
          <w:rtl/>
        </w:rPr>
        <w:t>).</w:t>
      </w:r>
      <w:r w:rsidRPr="00E14121">
        <w:rPr>
          <w:rFonts w:ascii="Narkisim" w:hAnsi="Narkisim" w:cs="Narkisim"/>
          <w:rtl/>
        </w:rPr>
        <w:t xml:space="preserve"> וה</w:t>
      </w:r>
      <w:r w:rsidRPr="00E14121">
        <w:rPr>
          <w:rFonts w:ascii="Narkisim" w:hAnsi="Narkisim" w:cs="Narkisim"/>
          <w:b/>
          <w:bCs/>
          <w:rtl/>
        </w:rPr>
        <w:t>יעב"ץ</w:t>
      </w:r>
      <w:r w:rsidRPr="00E14121">
        <w:rPr>
          <w:rFonts w:ascii="Narkisim" w:hAnsi="Narkisim" w:cs="Narkisim"/>
          <w:rtl/>
        </w:rPr>
        <w:t xml:space="preserve"> תמה מנלן לתוס' דכלאי הכרם הוה דרבנן. וה</w:t>
      </w:r>
      <w:r w:rsidRPr="00E14121">
        <w:rPr>
          <w:rFonts w:ascii="Narkisim" w:hAnsi="Narkisim" w:cs="Narkisim"/>
          <w:b/>
          <w:bCs/>
          <w:rtl/>
        </w:rPr>
        <w:t xml:space="preserve">אבה"א </w:t>
      </w:r>
      <w:r w:rsidRPr="00E14121">
        <w:rPr>
          <w:rFonts w:ascii="Narkisim" w:hAnsi="Narkisim" w:cs="Narkisim"/>
          <w:sz w:val="20"/>
          <w:szCs w:val="20"/>
          <w:rtl/>
        </w:rPr>
        <w:t>(בית הבחירה ו טז ב)</w:t>
      </w:r>
      <w:r w:rsidRPr="00E14121">
        <w:rPr>
          <w:rFonts w:ascii="Narkisim" w:hAnsi="Narkisim" w:cs="Narkisim"/>
          <w:rtl/>
        </w:rPr>
        <w:t xml:space="preserve"> דייק מהרמב"ם דס"ל דבזה"ז דאורייתא.</w:t>
      </w:r>
      <w:r w:rsidRPr="00E14121">
        <w:rPr>
          <w:rFonts w:ascii="Narkisim" w:hAnsi="Narkisim" w:cs="Narkisim"/>
          <w:sz w:val="20"/>
          <w:szCs w:val="20"/>
          <w:rtl/>
        </w:rPr>
        <w:t xml:space="preserve"> [ורק לענין תרומה ושביעית תלוי בביאת כולם].</w:t>
      </w:r>
    </w:p>
    <w:p w14:paraId="5BE1971A" w14:textId="77777777" w:rsidR="00F64AED" w:rsidRPr="00E14121" w:rsidRDefault="00F64AED" w:rsidP="00F64AED">
      <w:pPr>
        <w:bidi/>
        <w:rPr>
          <w:rFonts w:ascii="Narkisim" w:hAnsi="Narkisim" w:cs="Narkisim"/>
        </w:rPr>
      </w:pPr>
      <w:r w:rsidRPr="00E14121">
        <w:rPr>
          <w:rFonts w:ascii="Narkisim" w:hAnsi="Narkisim" w:cs="Narkisim"/>
          <w:u w:val="single"/>
          <w:rtl/>
        </w:rPr>
        <w:t>בא"ד וי"ל דכלאי הכרם חדא דרבנן דבזמן ביהמ"ק הוה דאורייתא.</w:t>
      </w:r>
      <w:r w:rsidRPr="00E14121">
        <w:rPr>
          <w:rFonts w:ascii="Narkisim" w:hAnsi="Narkisim" w:cs="Narkisim"/>
          <w:rtl/>
        </w:rPr>
        <w:t xml:space="preserve"> אבל ב</w:t>
      </w:r>
      <w:r w:rsidRPr="00E14121">
        <w:rPr>
          <w:rFonts w:ascii="Narkisim" w:hAnsi="Narkisim" w:cs="Narkisim"/>
          <w:b/>
          <w:bCs/>
          <w:rtl/>
        </w:rPr>
        <w:t>תוס' מהר"ם ור"פ</w:t>
      </w:r>
      <w:r w:rsidRPr="00E14121">
        <w:rPr>
          <w:rFonts w:ascii="Narkisim" w:hAnsi="Narkisim" w:cs="Narkisim"/>
          <w:rtl/>
        </w:rPr>
        <w:t xml:space="preserve"> נקט דתלתן הוה כלאים דרבנן, דקנבוס ולוף אסרה תורה, ושאר מינים מדרבנן. </w:t>
      </w:r>
      <w:r w:rsidRPr="00E14121">
        <w:rPr>
          <w:rFonts w:ascii="Narkisim" w:hAnsi="Narkisim" w:cs="Narkisim"/>
          <w:sz w:val="20"/>
          <w:szCs w:val="20"/>
          <w:rtl/>
        </w:rPr>
        <w:t>[ותי' דהוה חדא דרבנן. ומבואר דנקט דכלאים בזה"ז דאורייתא].</w:t>
      </w:r>
    </w:p>
    <w:p w14:paraId="786E96FC"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xml:space="preserve"> וה</w:t>
      </w:r>
      <w:r w:rsidRPr="00E14121">
        <w:rPr>
          <w:rFonts w:ascii="Narkisim" w:hAnsi="Narkisim"/>
          <w:b/>
          <w:bCs/>
          <w:rtl/>
        </w:rPr>
        <w:t>תו"י</w:t>
      </w:r>
      <w:r w:rsidRPr="00E14121">
        <w:rPr>
          <w:rFonts w:ascii="Narkisim" w:hAnsi="Narkisim"/>
          <w:rtl/>
        </w:rPr>
        <w:t xml:space="preserve"> (בע"ב) חלק דטעם תרומת פירות דרבנן אינו מעלה, דאילו תרומה בזה"ז דאורייתא גזרו אף בתרומת פירות. אלא כתב דכלאים חמירי דאסורים בהנאה. [וכן תי' בתוס' זבחים עג. ד"ה ר"מ].</w:t>
      </w:r>
    </w:p>
    <w:p w14:paraId="45A339E2" w14:textId="77777777" w:rsidR="00F64AED" w:rsidRPr="00E14121" w:rsidRDefault="00F64AED" w:rsidP="00F64AED">
      <w:pPr>
        <w:pStyle w:val="aa"/>
        <w:bidi/>
        <w:rPr>
          <w:rFonts w:ascii="Narkisim" w:hAnsi="Narkisim"/>
        </w:rPr>
      </w:pPr>
      <w:r w:rsidRPr="00E14121">
        <w:rPr>
          <w:rFonts w:ascii="Narkisim" w:hAnsi="Narkisim"/>
          <w:u w:val="single"/>
          <w:rtl/>
        </w:rPr>
        <w:t>תוד"ה נתערבו.</w:t>
      </w:r>
      <w:r w:rsidRPr="00E14121">
        <w:rPr>
          <w:rFonts w:ascii="Narkisim" w:hAnsi="Narkisim"/>
          <w:rtl/>
        </w:rPr>
        <w:t xml:space="preserve"> אור"ת דל"ג ואחרות באחרות מדפריך לשמואל וכו'. [ובברייתא (זבחים עד.) נח' אי ספק ספיקא מהני להתיר דבר שבמנין</w:t>
      </w:r>
      <w:r w:rsidRPr="00E14121">
        <w:rPr>
          <w:rStyle w:val="ac"/>
          <w:rFonts w:ascii="Narkisim" w:hAnsi="Narkisim"/>
          <w:rtl/>
        </w:rPr>
        <w:footnoteReference w:id="4948"/>
      </w:r>
      <w:r w:rsidRPr="00E14121">
        <w:rPr>
          <w:rFonts w:ascii="Narkisim" w:hAnsi="Narkisim"/>
          <w:rtl/>
        </w:rPr>
        <w:t>. ותוס' הביאו דמשמע דאך ברייתא לא הוה משום ספק ספיקא].</w:t>
      </w:r>
    </w:p>
    <w:p w14:paraId="21F06227" w14:textId="77777777" w:rsidR="00F64AED" w:rsidRPr="00E14121" w:rsidRDefault="00F64AED" w:rsidP="00F64AED">
      <w:pPr>
        <w:pStyle w:val="a8"/>
        <w:bidi/>
        <w:rPr>
          <w:rFonts w:ascii="Narkisim" w:hAnsi="Narkisim"/>
        </w:rPr>
      </w:pPr>
      <w:r w:rsidRPr="00E14121">
        <w:rPr>
          <w:rFonts w:ascii="Narkisim" w:hAnsi="Narkisim"/>
          <w:rtl/>
        </w:rPr>
        <w:t>ודעת ה</w:t>
      </w:r>
      <w:r w:rsidRPr="00E14121">
        <w:rPr>
          <w:rFonts w:ascii="Narkisim" w:hAnsi="Narkisim"/>
          <w:b/>
          <w:bCs/>
          <w:rtl/>
        </w:rPr>
        <w:t>רמב"ם</w:t>
      </w:r>
      <w:r w:rsidRPr="00E14121">
        <w:rPr>
          <w:rFonts w:ascii="Narkisim" w:hAnsi="Narkisim"/>
          <w:rtl/>
        </w:rPr>
        <w:t xml:space="preserve"> (מאכ"א טז י ובשו"ע יו"ד קי ח) דדבר חשוב שנתערב, ונפל א' מהתערובת למקום אחר אסור. </w:t>
      </w:r>
      <w:r w:rsidRPr="00E14121">
        <w:rPr>
          <w:rFonts w:ascii="Narkisim" w:hAnsi="Narkisim"/>
          <w:rtl/>
        </w:rPr>
        <w:lastRenderedPageBreak/>
        <w:t>[וספק ספיקא אסור]. אלא דאם שוב נפל א' מהם למקום אחר מותר</w:t>
      </w:r>
      <w:r w:rsidRPr="00E14121">
        <w:rPr>
          <w:rStyle w:val="ac"/>
          <w:rFonts w:ascii="Narkisim" w:hAnsi="Narkisim"/>
          <w:rtl/>
        </w:rPr>
        <w:footnoteReference w:id="4949"/>
      </w:r>
      <w:r w:rsidRPr="00E14121">
        <w:rPr>
          <w:rFonts w:ascii="Narkisim" w:hAnsi="Narkisim"/>
          <w:rtl/>
        </w:rPr>
        <w:t>. שהרימון של תערובת הראשון נתבטל ברוב. [דדוקא תערובת שני אסור, אבל תערובת שלישי מותר]. והפוסקים האריכו בזה.</w:t>
      </w:r>
    </w:p>
    <w:p w14:paraId="1DF23DD9" w14:textId="77777777" w:rsidR="00F64AED" w:rsidRPr="00E14121" w:rsidRDefault="00F64AED" w:rsidP="00F64AED">
      <w:pPr>
        <w:pStyle w:val="aa"/>
        <w:bidi/>
        <w:rPr>
          <w:rFonts w:ascii="Narkisim" w:hAnsi="Narkisim"/>
        </w:rPr>
      </w:pPr>
      <w:r w:rsidRPr="00E14121">
        <w:rPr>
          <w:rFonts w:ascii="Narkisim" w:hAnsi="Narkisim"/>
          <w:u w:val="single"/>
          <w:rtl/>
        </w:rPr>
        <w:t>וי"מ וכו' דדילמא ה"ק וכל האחרות נתערבו</w:t>
      </w:r>
      <w:r w:rsidRPr="00E14121">
        <w:rPr>
          <w:rStyle w:val="ac"/>
          <w:rFonts w:ascii="Narkisim" w:hAnsi="Narkisim"/>
          <w:u w:val="single"/>
          <w:rtl/>
        </w:rPr>
        <w:footnoteReference w:id="4950"/>
      </w:r>
      <w:r w:rsidRPr="00E14121">
        <w:rPr>
          <w:rFonts w:ascii="Narkisim" w:hAnsi="Narkisim"/>
          <w:u w:val="single"/>
          <w:rtl/>
        </w:rPr>
        <w:t>, דליכא אלא חד ספיקא וכו'</w:t>
      </w:r>
      <w:r w:rsidRPr="00E14121">
        <w:rPr>
          <w:rFonts w:ascii="Narkisim" w:hAnsi="Narkisim"/>
          <w:rtl/>
        </w:rPr>
        <w:t>. [ואין כאן ספק ספיקא, אלא פעמיים ביטול ברוב].</w:t>
      </w:r>
    </w:p>
    <w:p w14:paraId="713B72D7" w14:textId="77777777" w:rsidR="00F64AED" w:rsidRPr="00E14121" w:rsidRDefault="00F64AED" w:rsidP="00F64AED">
      <w:pPr>
        <w:pStyle w:val="aa"/>
        <w:bidi/>
        <w:rPr>
          <w:rFonts w:ascii="Narkisim" w:hAnsi="Narkisim"/>
        </w:rPr>
      </w:pPr>
      <w:r w:rsidRPr="00E14121">
        <w:rPr>
          <w:rFonts w:ascii="Narkisim" w:hAnsi="Narkisim"/>
          <w:u w:val="single"/>
          <w:rtl/>
        </w:rPr>
        <w:t>בא"ד דגבי שאר מילי אוסרין חד רובא, שרינן תרי רובי וכו'</w:t>
      </w:r>
      <w:r w:rsidRPr="00E14121">
        <w:rPr>
          <w:rFonts w:ascii="Narkisim" w:hAnsi="Narkisim"/>
          <w:rtl/>
        </w:rPr>
        <w:t>. מבואר בתוס' דמהני גבי יוחסין תרי רובי, ב' הגדרות של הכרעת הרוב</w:t>
      </w:r>
      <w:r w:rsidRPr="00E14121">
        <w:rPr>
          <w:rStyle w:val="ac"/>
          <w:rFonts w:ascii="Narkisim" w:hAnsi="Narkisim"/>
          <w:rtl/>
        </w:rPr>
        <w:footnoteReference w:id="4951"/>
      </w:r>
      <w:r w:rsidRPr="00E14121">
        <w:rPr>
          <w:rFonts w:ascii="Narkisim" w:hAnsi="Narkisim"/>
          <w:rtl/>
        </w:rPr>
        <w:t>. [אבל פשטות הסוגיא (בכתובות שם) היה אפ"ל דהוה רק טעם דליכא חשש קבוע].</w:t>
      </w:r>
    </w:p>
    <w:p w14:paraId="10B1871D" w14:textId="77777777" w:rsidR="00F64AED" w:rsidRPr="00E14121" w:rsidRDefault="00F64AED" w:rsidP="00F64AED">
      <w:pPr>
        <w:pStyle w:val="3"/>
        <w:bidi/>
        <w:jc w:val="right"/>
        <w:rPr>
          <w:rFonts w:ascii="Narkisim" w:hAnsi="Narkisim"/>
        </w:rPr>
      </w:pPr>
      <w:r w:rsidRPr="00E14121">
        <w:rPr>
          <w:rFonts w:ascii="Narkisim" w:hAnsi="Narkisim"/>
          <w:rtl/>
        </w:rPr>
        <w:t>דף פא:</w:t>
      </w:r>
    </w:p>
    <w:p w14:paraId="05991152" w14:textId="77777777" w:rsidR="00F64AED" w:rsidRPr="00E14121" w:rsidRDefault="00F64AED" w:rsidP="00F64AED">
      <w:pPr>
        <w:bidi/>
        <w:rPr>
          <w:rFonts w:ascii="Narkisim" w:hAnsi="Narkisim" w:cs="Narkisim"/>
        </w:rPr>
      </w:pPr>
      <w:r w:rsidRPr="00E14121">
        <w:rPr>
          <w:rFonts w:ascii="Narkisim" w:hAnsi="Narkisim" w:cs="Narkisim"/>
          <w:u w:val="single"/>
          <w:rtl/>
        </w:rPr>
        <w:t>תוד"ה כולן.</w:t>
      </w:r>
      <w:r w:rsidRPr="00E14121">
        <w:rPr>
          <w:rFonts w:ascii="Narkisim" w:hAnsi="Narkisim" w:cs="Narkisim"/>
          <w:rtl/>
        </w:rPr>
        <w:t xml:space="preserve"> ר' אליעזר וכו' יוליך הנאה לים המלך וכו' ונראה דדוקא ע"ז</w:t>
      </w:r>
      <w:r w:rsidRPr="00E14121">
        <w:rPr>
          <w:rStyle w:val="ac"/>
          <w:rFonts w:ascii="Narkisim" w:hAnsi="Narkisim" w:cs="Narkisim"/>
          <w:rtl/>
        </w:rPr>
        <w:footnoteReference w:id="4952"/>
      </w:r>
      <w:r w:rsidRPr="00E14121">
        <w:rPr>
          <w:rFonts w:ascii="Narkisim" w:hAnsi="Narkisim" w:cs="Narkisim"/>
          <w:rtl/>
        </w:rPr>
        <w:t xml:space="preserve"> שתופסת את דמיה, נראה כאילו הוליך האיסור. משמע דגדר הקולא דיוליך הנאה הוה כעין פדיון</w:t>
      </w:r>
      <w:r w:rsidRPr="00E14121">
        <w:rPr>
          <w:rStyle w:val="ac"/>
          <w:rFonts w:ascii="Narkisim" w:hAnsi="Narkisim" w:cs="Narkisim"/>
          <w:rtl/>
        </w:rPr>
        <w:footnoteReference w:id="4953"/>
      </w:r>
      <w:r w:rsidRPr="00E14121">
        <w:rPr>
          <w:rFonts w:ascii="Narkisim" w:hAnsi="Narkisim" w:cs="Narkisim"/>
          <w:rtl/>
        </w:rPr>
        <w:t>.</w:t>
      </w:r>
    </w:p>
    <w:p w14:paraId="5C3A2997" w14:textId="77777777" w:rsidR="00F64AED" w:rsidRPr="00E14121" w:rsidRDefault="00F64AED" w:rsidP="00F64AED">
      <w:pPr>
        <w:pStyle w:val="a7"/>
        <w:bidi/>
        <w:rPr>
          <w:rFonts w:ascii="Narkisim" w:hAnsi="Narkisim"/>
        </w:rPr>
      </w:pPr>
      <w:r w:rsidRPr="00E14121">
        <w:rPr>
          <w:rFonts w:ascii="Narkisim" w:hAnsi="Narkisim"/>
          <w:rtl/>
        </w:rPr>
        <w:t>ולתי' הב' משמע דטעם ההיתר משום דנחשב שאינו נהנה מהאיסור</w:t>
      </w:r>
      <w:r w:rsidRPr="00E14121">
        <w:rPr>
          <w:rStyle w:val="ac"/>
          <w:rFonts w:ascii="Narkisim" w:hAnsi="Narkisim"/>
          <w:rtl/>
        </w:rPr>
        <w:footnoteReference w:id="4954"/>
      </w:r>
      <w:r w:rsidRPr="00E14121">
        <w:rPr>
          <w:rFonts w:ascii="Narkisim" w:hAnsi="Narkisim"/>
          <w:rtl/>
        </w:rPr>
        <w:t>. וה</w:t>
      </w:r>
      <w:r w:rsidRPr="00E14121">
        <w:rPr>
          <w:rFonts w:ascii="Narkisim" w:hAnsi="Narkisim"/>
          <w:b/>
          <w:bCs/>
          <w:rtl/>
        </w:rPr>
        <w:t>ריטב"א</w:t>
      </w:r>
      <w:r w:rsidRPr="00E14121">
        <w:rPr>
          <w:rFonts w:ascii="Narkisim" w:hAnsi="Narkisim"/>
          <w:rtl/>
        </w:rPr>
        <w:t xml:space="preserve"> כתב דהתם ליכא אלא שבחו של איסור, אבל כשיש גופו של איסור לא אמרי'. [וה</w:t>
      </w:r>
      <w:r w:rsidRPr="00E14121">
        <w:rPr>
          <w:rFonts w:ascii="Narkisim" w:hAnsi="Narkisim"/>
          <w:b/>
          <w:bCs/>
          <w:rtl/>
        </w:rPr>
        <w:t xml:space="preserve">ראשונים </w:t>
      </w:r>
      <w:r w:rsidRPr="00E14121">
        <w:rPr>
          <w:rFonts w:ascii="Narkisim" w:hAnsi="Narkisim"/>
          <w:rtl/>
        </w:rPr>
        <w:t>ע"ז מט: האריכו בזה]</w:t>
      </w:r>
      <w:r w:rsidRPr="00E14121">
        <w:rPr>
          <w:rStyle w:val="ac"/>
          <w:rFonts w:ascii="Narkisim" w:hAnsi="Narkisim"/>
          <w:rtl/>
        </w:rPr>
        <w:footnoteReference w:id="4955"/>
      </w:r>
      <w:r w:rsidRPr="00E14121">
        <w:rPr>
          <w:rFonts w:ascii="Narkisim" w:hAnsi="Narkisim"/>
          <w:rtl/>
        </w:rPr>
        <w:t>.</w:t>
      </w:r>
    </w:p>
    <w:p w14:paraId="3E5A658A" w14:textId="77777777" w:rsidR="00F64AED" w:rsidRPr="00E14121" w:rsidRDefault="00F64AED" w:rsidP="00F64AED">
      <w:pPr>
        <w:pStyle w:val="2"/>
        <w:bidi/>
        <w:rPr>
          <w:rFonts w:ascii="Narkisim" w:hAnsi="Narkisim"/>
        </w:rPr>
      </w:pPr>
      <w:r w:rsidRPr="00E14121">
        <w:rPr>
          <w:rFonts w:ascii="Narkisim" w:hAnsi="Narkisim"/>
          <w:rtl/>
        </w:rPr>
        <w:t>דרכו לימנות</w:t>
      </w:r>
    </w:p>
    <w:p w14:paraId="2CF63740" w14:textId="77777777" w:rsidR="00F64AED" w:rsidRPr="00E14121" w:rsidRDefault="00F64AED" w:rsidP="00F64AED">
      <w:pPr>
        <w:bidi/>
        <w:rPr>
          <w:rFonts w:ascii="Narkisim" w:hAnsi="Narkisim" w:cs="Narkisim"/>
        </w:rPr>
      </w:pPr>
      <w:r w:rsidRPr="00E14121">
        <w:rPr>
          <w:rFonts w:ascii="Narkisim" w:hAnsi="Narkisim" w:cs="Narkisim"/>
          <w:u w:val="single"/>
          <w:rtl/>
        </w:rPr>
        <w:t>ר' יוחנן סבר את שדרכו לימנות שנינו וכו'.</w:t>
      </w:r>
      <w:r w:rsidRPr="00E14121">
        <w:rPr>
          <w:rFonts w:ascii="Narkisim" w:hAnsi="Narkisim" w:cs="Narkisim"/>
          <w:rtl/>
        </w:rPr>
        <w:t xml:space="preserve"> </w:t>
      </w:r>
      <w:r w:rsidRPr="00E14121">
        <w:rPr>
          <w:rFonts w:ascii="Narkisim" w:hAnsi="Narkisim" w:cs="Narkisim"/>
          <w:b/>
          <w:bCs/>
          <w:rtl/>
        </w:rPr>
        <w:t>רש"י</w:t>
      </w:r>
      <w:r w:rsidRPr="00E14121">
        <w:rPr>
          <w:rFonts w:ascii="Narkisim" w:hAnsi="Narkisim" w:cs="Narkisim"/>
          <w:rtl/>
        </w:rPr>
        <w:t xml:space="preserve"> (ביצה ג:) כתב דנח' ר' יוחנן ור"ל בפי' דברי ר' מאיר. וכ"ד </w:t>
      </w:r>
      <w:r w:rsidRPr="00E14121">
        <w:rPr>
          <w:rFonts w:ascii="Narkisim" w:hAnsi="Narkisim" w:cs="Narkisim"/>
          <w:b/>
          <w:bCs/>
          <w:rtl/>
        </w:rPr>
        <w:t>תוס</w:t>
      </w:r>
      <w:r w:rsidRPr="00E14121">
        <w:rPr>
          <w:rFonts w:ascii="Narkisim" w:hAnsi="Narkisim" w:cs="Narkisim"/>
          <w:rtl/>
        </w:rPr>
        <w:t>' (בע"א ד"ה שאני). ועפ"ז פסק ה</w:t>
      </w:r>
      <w:r w:rsidRPr="00E14121">
        <w:rPr>
          <w:rFonts w:ascii="Narkisim" w:hAnsi="Narkisim" w:cs="Narkisim"/>
          <w:b/>
          <w:bCs/>
          <w:rtl/>
        </w:rPr>
        <w:t>סמ"ג</w:t>
      </w:r>
      <w:r w:rsidRPr="00E14121">
        <w:rPr>
          <w:rFonts w:ascii="Narkisim" w:hAnsi="Narkisim" w:cs="Narkisim"/>
          <w:rtl/>
        </w:rPr>
        <w:t xml:space="preserve"> כר' מאיר.</w:t>
      </w:r>
    </w:p>
    <w:p w14:paraId="7CB25D1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(מאכ"א טז ה) פסק כרבנן דאינו מקדש אלא ו', והשמיט דברי ר"י ור"ל. וה</w:t>
      </w:r>
      <w:r w:rsidRPr="00E14121">
        <w:rPr>
          <w:rFonts w:ascii="Narkisim" w:hAnsi="Narkisim"/>
          <w:b/>
          <w:bCs/>
          <w:rtl/>
        </w:rPr>
        <w:t>כס"מ</w:t>
      </w:r>
      <w:r w:rsidRPr="00E14121">
        <w:rPr>
          <w:rFonts w:ascii="Narkisim" w:hAnsi="Narkisim"/>
          <w:rtl/>
        </w:rPr>
        <w:t xml:space="preserve"> ביאר דנח' אליבא דר' מאיר.</w:t>
      </w:r>
    </w:p>
    <w:p w14:paraId="61AA99E4"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רשב"א</w:t>
      </w:r>
      <w:r w:rsidRPr="00E14121">
        <w:rPr>
          <w:rFonts w:ascii="Narkisim" w:hAnsi="Narkisim"/>
          <w:rtl/>
        </w:rPr>
        <w:t xml:space="preserve"> כתב</w:t>
      </w:r>
      <w:r w:rsidRPr="00E14121">
        <w:rPr>
          <w:rStyle w:val="ac"/>
          <w:rFonts w:ascii="Narkisim" w:hAnsi="Narkisim"/>
          <w:rtl/>
        </w:rPr>
        <w:footnoteReference w:id="4956"/>
      </w:r>
      <w:r w:rsidRPr="00E14121">
        <w:rPr>
          <w:rFonts w:ascii="Narkisim" w:hAnsi="Narkisim"/>
          <w:rtl/>
        </w:rPr>
        <w:t xml:space="preserve"> דאיכא למימר דנחלקו אליבא דרבנן, ורבנן מודו בהני דחשיבי טפי. [ונח' דוקא בחבילי תלתן].</w:t>
      </w:r>
    </w:p>
    <w:p w14:paraId="68DEABF3"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w:t>
      </w:r>
      <w:r w:rsidRPr="00E14121">
        <w:rPr>
          <w:rFonts w:ascii="Narkisim" w:hAnsi="Narkisim" w:cs="Narkisim"/>
          <w:b/>
          <w:bCs/>
          <w:rtl/>
        </w:rPr>
        <w:t>רמב"ם</w:t>
      </w:r>
      <w:r w:rsidRPr="00E14121">
        <w:rPr>
          <w:rFonts w:ascii="Narkisim" w:hAnsi="Narkisim" w:cs="Narkisim"/>
          <w:rtl/>
        </w:rPr>
        <w:t xml:space="preserve"> (מאכ"א טז ט) כתב דהנך ו' אוסרים בכל מקום, וכת' יראה שכל שהוא חשוב אצל בני המקום</w:t>
      </w:r>
      <w:r w:rsidRPr="00E14121">
        <w:rPr>
          <w:rStyle w:val="ac"/>
          <w:rFonts w:ascii="Narkisim" w:hAnsi="Narkisim" w:cs="Narkisim"/>
          <w:rtl/>
        </w:rPr>
        <w:footnoteReference w:id="4957"/>
      </w:r>
      <w:r w:rsidRPr="00E14121">
        <w:rPr>
          <w:rFonts w:ascii="Narkisim" w:hAnsi="Narkisim" w:cs="Narkisim"/>
          <w:rtl/>
        </w:rPr>
        <w:t>, אוסר בכל שהוא לפי אותו מקום ובאותו זמן</w:t>
      </w:r>
      <w:r w:rsidRPr="00E14121">
        <w:rPr>
          <w:rStyle w:val="ac"/>
          <w:rFonts w:ascii="Narkisim" w:hAnsi="Narkisim" w:cs="Narkisim"/>
          <w:rtl/>
        </w:rPr>
        <w:footnoteReference w:id="4958"/>
      </w:r>
      <w:r w:rsidRPr="00E14121">
        <w:rPr>
          <w:rFonts w:ascii="Narkisim" w:hAnsi="Narkisim" w:cs="Narkisim"/>
          <w:rtl/>
        </w:rPr>
        <w:t>.</w:t>
      </w:r>
    </w:p>
    <w:p w14:paraId="4177673D" w14:textId="77777777" w:rsidR="00F64AED" w:rsidRPr="00E14121" w:rsidRDefault="00F64AED" w:rsidP="00F64AED">
      <w:pPr>
        <w:pStyle w:val="a8"/>
        <w:bidi/>
        <w:rPr>
          <w:rFonts w:ascii="Narkisim" w:hAnsi="Narkisim"/>
        </w:rPr>
      </w:pPr>
      <w:r w:rsidRPr="00E14121">
        <w:rPr>
          <w:rFonts w:ascii="Narkisim" w:hAnsi="Narkisim"/>
          <w:rtl/>
        </w:rPr>
        <w:t>והוזכרו אלו שהן אוסרין כל שהן בכל מקום. והוא הדין לכל כיו"ב בשאר מקומות. והוסיף דדבר ברור הוא שכל איסורין האלו מדבריהם.</w:t>
      </w:r>
    </w:p>
    <w:p w14:paraId="1CC06076" w14:textId="77777777" w:rsidR="00F64AED" w:rsidRPr="00E14121" w:rsidRDefault="00F64AED" w:rsidP="00F64AED">
      <w:pPr>
        <w:pStyle w:val="aa"/>
        <w:bidi/>
        <w:rPr>
          <w:rFonts w:ascii="Narkisim" w:hAnsi="Narkisim"/>
        </w:rPr>
      </w:pPr>
      <w:r w:rsidRPr="00E14121">
        <w:rPr>
          <w:rFonts w:ascii="Narkisim" w:hAnsi="Narkisim"/>
          <w:u w:val="single"/>
          <w:rtl/>
        </w:rPr>
        <w:t>תוד"ה ככרות.</w:t>
      </w:r>
      <w:r w:rsidRPr="00E14121">
        <w:rPr>
          <w:rFonts w:ascii="Narkisim" w:hAnsi="Narkisim"/>
          <w:rtl/>
        </w:rPr>
        <w:t xml:space="preserve"> והא דמשמע דלחם וכו' שאני לחם הפנים דחמיר טפי. וה</w:t>
      </w:r>
      <w:r w:rsidRPr="00E14121">
        <w:rPr>
          <w:rFonts w:ascii="Narkisim" w:hAnsi="Narkisim"/>
          <w:b/>
          <w:bCs/>
          <w:rtl/>
        </w:rPr>
        <w:t>תוס' רא"ש</w:t>
      </w:r>
      <w:r w:rsidRPr="00E14121">
        <w:rPr>
          <w:rFonts w:ascii="Narkisim" w:hAnsi="Narkisim"/>
          <w:rtl/>
        </w:rPr>
        <w:t xml:space="preserve"> כת' דחמידה וחשיבה טפי, וחתיכה א' ראוי להתכבד. ו</w:t>
      </w:r>
      <w:r w:rsidRPr="00E14121">
        <w:rPr>
          <w:rFonts w:ascii="Narkisim" w:hAnsi="Narkisim"/>
          <w:b/>
          <w:bCs/>
          <w:rtl/>
        </w:rPr>
        <w:t>תוס'</w:t>
      </w:r>
      <w:r w:rsidRPr="00E14121">
        <w:rPr>
          <w:rFonts w:ascii="Narkisim" w:hAnsi="Narkisim"/>
          <w:rtl/>
        </w:rPr>
        <w:t xml:space="preserve"> (זבחים עב:) כת' דלחם הפנים סמידא טפי, וראוי להתכבד בחתיכה</w:t>
      </w:r>
      <w:r w:rsidRPr="00E14121">
        <w:rPr>
          <w:rStyle w:val="ac"/>
          <w:rFonts w:ascii="Narkisim" w:hAnsi="Narkisim"/>
          <w:rtl/>
        </w:rPr>
        <w:footnoteReference w:id="4959"/>
      </w:r>
      <w:r w:rsidRPr="00E14121">
        <w:rPr>
          <w:rFonts w:ascii="Narkisim" w:hAnsi="Narkisim"/>
          <w:rtl/>
        </w:rPr>
        <w:t>.</w:t>
      </w:r>
    </w:p>
    <w:p w14:paraId="1B41456B" w14:textId="77777777" w:rsidR="00F64AED" w:rsidRPr="00E14121" w:rsidRDefault="00F64AED" w:rsidP="00F64AED">
      <w:pPr>
        <w:pStyle w:val="aa"/>
        <w:bidi/>
        <w:rPr>
          <w:rFonts w:ascii="Narkisim" w:hAnsi="Narkisim"/>
        </w:rPr>
      </w:pPr>
      <w:r w:rsidRPr="00E14121">
        <w:rPr>
          <w:rFonts w:ascii="Narkisim" w:hAnsi="Narkisim"/>
          <w:u w:val="single"/>
          <w:rtl/>
        </w:rPr>
        <w:t>תוד"ה רבי יוחנן.</w:t>
      </w:r>
      <w:r w:rsidRPr="00E14121">
        <w:rPr>
          <w:rFonts w:ascii="Narkisim" w:hAnsi="Narkisim"/>
          <w:rtl/>
        </w:rPr>
        <w:t xml:space="preserve"> ואמר ר"י וכו' כבשות קטנות דלא חשיב מנין. ו</w:t>
      </w:r>
      <w:r w:rsidRPr="00E14121">
        <w:rPr>
          <w:rFonts w:ascii="Narkisim" w:hAnsi="Narkisim"/>
          <w:b/>
          <w:bCs/>
          <w:rtl/>
        </w:rPr>
        <w:t>תוס</w:t>
      </w:r>
      <w:r w:rsidRPr="00E14121">
        <w:rPr>
          <w:rFonts w:ascii="Narkisim" w:hAnsi="Narkisim"/>
          <w:rtl/>
        </w:rPr>
        <w:t>' (זבחים עב.) העמידו בעופות.</w:t>
      </w:r>
    </w:p>
    <w:p w14:paraId="3210D657" w14:textId="77777777" w:rsidR="00F64AED" w:rsidRPr="00E14121" w:rsidRDefault="00F64AED" w:rsidP="00F64AED">
      <w:pPr>
        <w:pStyle w:val="aa"/>
        <w:bidi/>
        <w:rPr>
          <w:rFonts w:ascii="Narkisim" w:hAnsi="Narkisim"/>
        </w:rPr>
      </w:pPr>
      <w:r w:rsidRPr="00E14121">
        <w:rPr>
          <w:rFonts w:ascii="Narkisim" w:hAnsi="Narkisim"/>
          <w:u w:val="single"/>
          <w:rtl/>
        </w:rPr>
        <w:t>בא"ד ואפי' יחשב כשהוא שחוט, כשהוא חי גרע טפי.</w:t>
      </w:r>
      <w:r w:rsidRPr="00E14121">
        <w:rPr>
          <w:rFonts w:ascii="Narkisim" w:hAnsi="Narkisim"/>
          <w:rtl/>
        </w:rPr>
        <w:t xml:space="preserve"> וה</w:t>
      </w:r>
      <w:r w:rsidRPr="00E14121">
        <w:rPr>
          <w:rFonts w:ascii="Narkisim" w:hAnsi="Narkisim"/>
          <w:b/>
          <w:bCs/>
          <w:rtl/>
        </w:rPr>
        <w:t xml:space="preserve">רשב"א </w:t>
      </w:r>
      <w:r w:rsidRPr="00E14121">
        <w:rPr>
          <w:rFonts w:ascii="Narkisim" w:hAnsi="Narkisim"/>
          <w:rtl/>
        </w:rPr>
        <w:t>כתב דאפי' שחוט לא נחשב ראוי להתכבד אא"כ מבושלת. והו' מח' ב</w:t>
      </w:r>
      <w:r w:rsidRPr="00E14121">
        <w:rPr>
          <w:rFonts w:ascii="Narkisim" w:hAnsi="Narkisim"/>
          <w:b/>
          <w:bCs/>
          <w:rtl/>
        </w:rPr>
        <w:t>שו"ע</w:t>
      </w:r>
      <w:r w:rsidRPr="00E14121">
        <w:rPr>
          <w:rFonts w:ascii="Narkisim" w:hAnsi="Narkisim"/>
          <w:rtl/>
        </w:rPr>
        <w:t xml:space="preserve"> (יו"ד קא ג), וה</w:t>
      </w:r>
      <w:r w:rsidRPr="00E14121">
        <w:rPr>
          <w:rFonts w:ascii="Narkisim" w:hAnsi="Narkisim"/>
          <w:b/>
          <w:bCs/>
          <w:rtl/>
        </w:rPr>
        <w:t>פוסקים</w:t>
      </w:r>
      <w:r w:rsidRPr="00E14121">
        <w:rPr>
          <w:rFonts w:ascii="Narkisim" w:hAnsi="Narkisim"/>
          <w:rtl/>
        </w:rPr>
        <w:t xml:space="preserve"> ביארו דנח' אי תלי האם עכשיו ראוי להתכבד, או דחתיכה זו חשוב, וראוי לבא להתכבד.</w:t>
      </w:r>
    </w:p>
    <w:p w14:paraId="4AFB917C" w14:textId="77777777" w:rsidR="00F64AED" w:rsidRPr="00E14121" w:rsidRDefault="00F64AED" w:rsidP="00F64AED">
      <w:pPr>
        <w:bidi/>
        <w:rPr>
          <w:rFonts w:ascii="Narkisim" w:hAnsi="Narkisim" w:cs="Narkisim"/>
        </w:rPr>
      </w:pPr>
      <w:r w:rsidRPr="00E14121">
        <w:rPr>
          <w:rFonts w:ascii="Narkisim" w:hAnsi="Narkisim" w:cs="Narkisim"/>
          <w:u w:val="single"/>
          <w:rtl/>
        </w:rPr>
        <w:t>רש"י ד"ה דברי הכל.</w:t>
      </w:r>
      <w:r w:rsidRPr="00E14121">
        <w:rPr>
          <w:rFonts w:ascii="Narkisim" w:hAnsi="Narkisim" w:cs="Narkisim"/>
          <w:rtl/>
        </w:rPr>
        <w:t xml:space="preserve"> משום הפסד מועט לא מבטלינן איסורא דאורייתא וכו'. וה</w:t>
      </w:r>
      <w:r w:rsidRPr="00E14121">
        <w:rPr>
          <w:rFonts w:ascii="Narkisim" w:hAnsi="Narkisim" w:cs="Narkisim"/>
          <w:b/>
          <w:bCs/>
          <w:rtl/>
        </w:rPr>
        <w:t>תוס' הרא"ש</w:t>
      </w:r>
      <w:r w:rsidRPr="00E14121">
        <w:rPr>
          <w:rFonts w:ascii="Narkisim" w:hAnsi="Narkisim" w:cs="Narkisim"/>
          <w:rtl/>
        </w:rPr>
        <w:t xml:space="preserve"> </w:t>
      </w:r>
      <w:r w:rsidRPr="00E14121">
        <w:rPr>
          <w:rFonts w:ascii="Narkisim" w:hAnsi="Narkisim" w:cs="Narkisim"/>
          <w:rtl/>
        </w:rPr>
        <w:lastRenderedPageBreak/>
        <w:t xml:space="preserve">חלק דלא מצאנו חילוק בדיני ביטול בין הפסד מרובה להפסד מועט. וכה"ק </w:t>
      </w:r>
      <w:r w:rsidRPr="00E14121">
        <w:rPr>
          <w:rFonts w:ascii="Narkisim" w:hAnsi="Narkisim" w:cs="Narkisim"/>
          <w:b/>
          <w:bCs/>
          <w:rtl/>
        </w:rPr>
        <w:t xml:space="preserve">תוס' </w:t>
      </w:r>
      <w:r w:rsidRPr="00E14121">
        <w:rPr>
          <w:rFonts w:ascii="Narkisim" w:hAnsi="Narkisim" w:cs="Narkisim"/>
          <w:rtl/>
        </w:rPr>
        <w:t>(זבחים עב.) דכמה איסורי הנאה לא בטלי, ולא חיישינן להפסד</w:t>
      </w:r>
      <w:r w:rsidRPr="00E14121">
        <w:rPr>
          <w:rStyle w:val="ac"/>
          <w:rFonts w:ascii="Narkisim" w:hAnsi="Narkisim" w:cs="Narkisim"/>
          <w:rtl/>
        </w:rPr>
        <w:footnoteReference w:id="4960"/>
      </w:r>
      <w:r w:rsidRPr="00E14121">
        <w:rPr>
          <w:rFonts w:ascii="Narkisim" w:hAnsi="Narkisim" w:cs="Narkisim"/>
          <w:rtl/>
        </w:rPr>
        <w:t>.</w:t>
      </w:r>
    </w:p>
    <w:p w14:paraId="30091FA2" w14:textId="77777777" w:rsidR="00F64AED" w:rsidRPr="00E14121" w:rsidRDefault="00F64AED" w:rsidP="00F64AED">
      <w:pPr>
        <w:bidi/>
        <w:rPr>
          <w:rFonts w:ascii="Narkisim" w:hAnsi="Narkisim" w:cs="Narkisim"/>
        </w:rPr>
      </w:pPr>
      <w:r w:rsidRPr="00E14121">
        <w:rPr>
          <w:rFonts w:ascii="Narkisim" w:hAnsi="Narkisim" w:cs="Narkisim"/>
          <w:u w:val="single"/>
          <w:rtl/>
        </w:rPr>
        <w:t>מאי חתיכה, דתניא חתיכה של חטאת טמאה וכו' וכן פרוסה וכו' תעלה וכו'</w:t>
      </w:r>
      <w:r w:rsidRPr="00E14121">
        <w:rPr>
          <w:rFonts w:ascii="Narkisim" w:hAnsi="Narkisim" w:cs="Narkisim"/>
          <w:rtl/>
        </w:rPr>
        <w:t xml:space="preserve">. דחתיכה הוה כל שדרכו לימנות, ור' יוחנן הוכיח דיש ביטול. </w:t>
      </w:r>
      <w:r w:rsidRPr="00E14121">
        <w:rPr>
          <w:rFonts w:ascii="Narkisim" w:hAnsi="Narkisim" w:cs="Narkisim"/>
          <w:szCs w:val="20"/>
          <w:rtl/>
        </w:rPr>
        <w:t>פ</w:t>
      </w:r>
      <w:r w:rsidRPr="00E14121">
        <w:rPr>
          <w:rFonts w:ascii="Narkisim" w:hAnsi="Narkisim" w:cs="Narkisim"/>
          <w:b/>
          <w:bCs/>
          <w:szCs w:val="20"/>
          <w:rtl/>
        </w:rPr>
        <w:t>רש"י</w:t>
      </w:r>
      <w:r w:rsidRPr="00E14121">
        <w:rPr>
          <w:rFonts w:ascii="Narkisim" w:hAnsi="Narkisim" w:cs="Narkisim"/>
          <w:szCs w:val="20"/>
          <w:rtl/>
        </w:rPr>
        <w:t xml:space="preserve"> (בע"א) דחתיכה ועיגול פעמים נמכרים באומד, ואף דרגילים נמי למנות [והוה כל שדרכו לימנות], הואיל ואינן מיוחדים בכך בטלים</w:t>
      </w:r>
      <w:r w:rsidRPr="00E14121">
        <w:rPr>
          <w:rFonts w:ascii="Narkisim" w:hAnsi="Narkisim" w:cs="Narkisim"/>
          <w:rtl/>
        </w:rPr>
        <w:t>.</w:t>
      </w:r>
    </w:p>
    <w:p w14:paraId="690F5EAB" w14:textId="77777777" w:rsidR="00F64AED" w:rsidRPr="00E14121" w:rsidRDefault="00F64AED" w:rsidP="00F64AED">
      <w:pPr>
        <w:pStyle w:val="aa"/>
        <w:bidi/>
        <w:rPr>
          <w:rFonts w:ascii="Narkisim" w:hAnsi="Narkisim"/>
        </w:rPr>
      </w:pPr>
      <w:r w:rsidRPr="00E14121">
        <w:rPr>
          <w:rFonts w:ascii="Narkisim" w:hAnsi="Narkisim"/>
          <w:rtl/>
        </w:rPr>
        <w:t>וב</w:t>
      </w:r>
      <w:r w:rsidRPr="00E14121">
        <w:rPr>
          <w:rFonts w:ascii="Narkisim" w:hAnsi="Narkisim"/>
          <w:b/>
          <w:bCs/>
          <w:rtl/>
        </w:rPr>
        <w:t>גמ</w:t>
      </w:r>
      <w:r w:rsidRPr="00E14121">
        <w:rPr>
          <w:rFonts w:ascii="Narkisim" w:hAnsi="Narkisim"/>
          <w:rtl/>
        </w:rPr>
        <w:t>' (חולין ק.) אי' דחתיכה של נבילה אינה בטילה ברוב, ואף למ"ד את שדרכו לימנות שנינו, שאני חתיכה הואיל וראויה להתכבד לפני אורחין</w:t>
      </w:r>
      <w:r w:rsidRPr="00E14121">
        <w:rPr>
          <w:rStyle w:val="ac"/>
          <w:rFonts w:ascii="Narkisim" w:hAnsi="Narkisim"/>
          <w:rtl/>
        </w:rPr>
        <w:footnoteReference w:id="4961"/>
      </w:r>
      <w:r w:rsidRPr="00E14121">
        <w:rPr>
          <w:rFonts w:ascii="Narkisim" w:hAnsi="Narkisim"/>
          <w:rtl/>
        </w:rPr>
        <w:t>. ו</w:t>
      </w:r>
      <w:r w:rsidRPr="00E14121">
        <w:rPr>
          <w:rFonts w:ascii="Narkisim" w:hAnsi="Narkisim"/>
          <w:b/>
          <w:bCs/>
          <w:rtl/>
        </w:rPr>
        <w:t>תוס</w:t>
      </w:r>
      <w:r w:rsidRPr="00E14121">
        <w:rPr>
          <w:rFonts w:ascii="Narkisim" w:hAnsi="Narkisim"/>
          <w:rtl/>
        </w:rPr>
        <w:t>' (שם, וכן כאן בקיצור) ביארו דבסוגיין איירי בנתערב בחתיכות של חטאת, דאף אילו נתבטל אינו ראוי אלא לכהנים, ואינו ראוי להתכבד לפני אורחים</w:t>
      </w:r>
      <w:r w:rsidRPr="00E14121">
        <w:rPr>
          <w:rStyle w:val="ac"/>
          <w:rFonts w:ascii="Narkisim" w:hAnsi="Narkisim"/>
          <w:rtl/>
        </w:rPr>
        <w:footnoteReference w:id="4962"/>
      </w:r>
      <w:r w:rsidRPr="00E14121">
        <w:rPr>
          <w:rFonts w:ascii="Narkisim" w:hAnsi="Narkisim"/>
          <w:rtl/>
        </w:rPr>
        <w:t>.</w:t>
      </w:r>
    </w:p>
    <w:p w14:paraId="0DAFB7A4" w14:textId="77777777" w:rsidR="00F64AED" w:rsidRPr="00E14121" w:rsidRDefault="00F64AED" w:rsidP="00F64AED">
      <w:pPr>
        <w:bidi/>
        <w:rPr>
          <w:rFonts w:ascii="Narkisim" w:hAnsi="Narkisim" w:cs="Narkisim"/>
        </w:rPr>
      </w:pPr>
      <w:r w:rsidRPr="00E14121">
        <w:rPr>
          <w:rFonts w:ascii="Narkisim" w:hAnsi="Narkisim" w:cs="Narkisim"/>
          <w:u w:val="single"/>
          <w:rtl/>
        </w:rPr>
        <w:t>תוד"ה דברי.</w:t>
      </w:r>
      <w:r w:rsidRPr="00E14121">
        <w:rPr>
          <w:rFonts w:ascii="Narkisim" w:hAnsi="Narkisim" w:cs="Narkisim"/>
          <w:rtl/>
        </w:rPr>
        <w:t xml:space="preserve"> דלאחר דנתבטלה ראויה להתכבד. וכ"כ ה</w:t>
      </w:r>
      <w:r w:rsidRPr="00E14121">
        <w:rPr>
          <w:rFonts w:ascii="Narkisim" w:hAnsi="Narkisim" w:cs="Narkisim"/>
          <w:b/>
          <w:bCs/>
          <w:rtl/>
        </w:rPr>
        <w:t>ראשונים</w:t>
      </w:r>
      <w:r w:rsidRPr="00E14121">
        <w:rPr>
          <w:rFonts w:ascii="Narkisim" w:hAnsi="Narkisim" w:cs="Narkisim"/>
          <w:rtl/>
        </w:rPr>
        <w:t xml:space="preserve"> בשם </w:t>
      </w:r>
      <w:r w:rsidRPr="00E14121">
        <w:rPr>
          <w:rFonts w:ascii="Narkisim" w:hAnsi="Narkisim" w:cs="Narkisim"/>
          <w:b/>
          <w:bCs/>
          <w:rtl/>
        </w:rPr>
        <w:t>ספר</w:t>
      </w:r>
      <w:r w:rsidRPr="00E14121">
        <w:rPr>
          <w:rFonts w:ascii="Narkisim" w:hAnsi="Narkisim" w:cs="Narkisim"/>
          <w:rtl/>
        </w:rPr>
        <w:t xml:space="preserve"> </w:t>
      </w:r>
      <w:r w:rsidRPr="00E14121">
        <w:rPr>
          <w:rFonts w:ascii="Narkisim" w:hAnsi="Narkisim" w:cs="Narkisim"/>
          <w:b/>
          <w:bCs/>
          <w:rtl/>
        </w:rPr>
        <w:t>התרומה</w:t>
      </w:r>
      <w:r w:rsidRPr="00E14121">
        <w:rPr>
          <w:rFonts w:ascii="Narkisim" w:hAnsi="Narkisim" w:cs="Narkisim"/>
          <w:rtl/>
        </w:rPr>
        <w:t xml:space="preserve"> (וכ"פ ה</w:t>
      </w:r>
      <w:r w:rsidRPr="00E14121">
        <w:rPr>
          <w:rFonts w:ascii="Narkisim" w:hAnsi="Narkisim" w:cs="Narkisim"/>
          <w:b/>
          <w:bCs/>
          <w:rtl/>
        </w:rPr>
        <w:t>שו"ע</w:t>
      </w:r>
      <w:r w:rsidRPr="00E14121">
        <w:rPr>
          <w:rFonts w:ascii="Narkisim" w:hAnsi="Narkisim" w:cs="Narkisim"/>
          <w:rtl/>
        </w:rPr>
        <w:t xml:space="preserve"> קא א) דגדר ראוי להתכבד הוה לאחר שנתבטל. וה</w:t>
      </w:r>
      <w:r w:rsidRPr="00E14121">
        <w:rPr>
          <w:rFonts w:ascii="Narkisim" w:hAnsi="Narkisim" w:cs="Narkisim"/>
          <w:b/>
          <w:bCs/>
          <w:rtl/>
        </w:rPr>
        <w:t>ראשונים</w:t>
      </w:r>
      <w:r w:rsidRPr="00E14121">
        <w:rPr>
          <w:rFonts w:ascii="Narkisim" w:hAnsi="Narkisim" w:cs="Narkisim"/>
          <w:rtl/>
        </w:rPr>
        <w:t xml:space="preserve"> (רשב"א ריטב"א ומאירי) הביאו חולקים דבעי ראוי להתכבד השתא, ונבילה ראוי להתכבד בפני אורחין עכו"ם. אבל התם איירי באיסור הנאה, ואינה ראויה להתכבד, דאסור להגישו אפי' לפני גוי.</w:t>
      </w:r>
    </w:p>
    <w:p w14:paraId="2924C92C"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פרמ"ג</w:t>
      </w:r>
      <w:r w:rsidRPr="00E14121">
        <w:rPr>
          <w:rFonts w:ascii="Narkisim" w:hAnsi="Narkisim"/>
          <w:rtl/>
        </w:rPr>
        <w:t xml:space="preserve"> (קא ש"ד א) כתב דה"ה להיפך היכא דקודם שנתבטל היתה ראוי להתכבד, וע"י ביטול אינו חשוב, דלכו"ע אזלי' בתר השתא לחומרא. והביא כן מדברי ה</w:t>
      </w:r>
      <w:r w:rsidRPr="00E14121">
        <w:rPr>
          <w:rFonts w:ascii="Narkisim" w:hAnsi="Narkisim"/>
          <w:b/>
          <w:bCs/>
          <w:rtl/>
        </w:rPr>
        <w:t>פוסקים</w:t>
      </w:r>
      <w:r w:rsidRPr="00E14121">
        <w:rPr>
          <w:rFonts w:ascii="Narkisim" w:hAnsi="Narkisim"/>
          <w:rtl/>
        </w:rPr>
        <w:t xml:space="preserve"> (תרעג, ותה"ד קג) דנר חנוכה שנתערב בנרות אחרים, דאינו מתבטל מחמת חשיבותו. אף דע"י הביטול אין לו חשיבות.</w:t>
      </w:r>
    </w:p>
    <w:p w14:paraId="0346787A" w14:textId="77777777" w:rsidR="00F64AED" w:rsidRPr="00E14121" w:rsidRDefault="00F64AED" w:rsidP="00F64AED">
      <w:pPr>
        <w:pStyle w:val="aa"/>
        <w:bidi/>
        <w:rPr>
          <w:rFonts w:ascii="Narkisim" w:hAnsi="Narkisim"/>
        </w:rPr>
      </w:pPr>
      <w:r w:rsidRPr="00E14121">
        <w:rPr>
          <w:rFonts w:ascii="Narkisim" w:hAnsi="Narkisim"/>
          <w:u w:val="single"/>
          <w:rtl/>
        </w:rPr>
        <w:t>בא"ד דלא שייך כיבוד בפני כהנים במקדש.</w:t>
      </w:r>
      <w:r w:rsidRPr="00E14121">
        <w:rPr>
          <w:rFonts w:ascii="Narkisim" w:hAnsi="Narkisim"/>
          <w:rtl/>
        </w:rPr>
        <w:t xml:space="preserve"> ו</w:t>
      </w:r>
      <w:r w:rsidRPr="00E14121">
        <w:rPr>
          <w:rFonts w:ascii="Narkisim" w:hAnsi="Narkisim"/>
          <w:b/>
          <w:bCs/>
          <w:rtl/>
        </w:rPr>
        <w:t>תוס'</w:t>
      </w:r>
      <w:r w:rsidRPr="00E14121">
        <w:rPr>
          <w:rFonts w:ascii="Narkisim" w:hAnsi="Narkisim"/>
          <w:rtl/>
        </w:rPr>
        <w:t xml:space="preserve"> (זבחים עב. ד"ה אלא) כ' דלא חשיב ראוי להתכבד בפני אורחין כהנים, דאין מחזיקין טובה זל"ז שכולן שווים בו.</w:t>
      </w:r>
    </w:p>
    <w:p w14:paraId="41888B7B"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תי' כיון דרישא אינה אסורה מחמת עצמה, אלא מחמת טומאה, אינה נעשית חתיכה הראויה להתכבד</w:t>
      </w:r>
      <w:r w:rsidRPr="00E14121">
        <w:rPr>
          <w:rStyle w:val="ac"/>
          <w:rFonts w:ascii="Narkisim" w:hAnsi="Narkisim"/>
          <w:rtl/>
        </w:rPr>
        <w:footnoteReference w:id="4963"/>
      </w:r>
      <w:r w:rsidRPr="00E14121">
        <w:rPr>
          <w:rFonts w:ascii="Narkisim" w:hAnsi="Narkisim"/>
          <w:rtl/>
        </w:rPr>
        <w:t>.</w:t>
      </w:r>
    </w:p>
    <w:p w14:paraId="2E5BB924" w14:textId="77777777" w:rsidR="00F64AED" w:rsidRPr="00E14121" w:rsidRDefault="00F64AED" w:rsidP="00F64AED">
      <w:pPr>
        <w:pStyle w:val="aa"/>
        <w:bidi/>
        <w:rPr>
          <w:rFonts w:ascii="Narkisim" w:hAnsi="Narkisim"/>
        </w:rPr>
      </w:pPr>
      <w:r w:rsidRPr="00E14121">
        <w:rPr>
          <w:rFonts w:ascii="Narkisim" w:hAnsi="Narkisim"/>
          <w:u w:val="single"/>
          <w:rtl/>
        </w:rPr>
        <w:t>קתני מיהת רישא תעלה וכו'</w:t>
      </w:r>
      <w:r w:rsidRPr="00E14121">
        <w:rPr>
          <w:rFonts w:ascii="Narkisim" w:hAnsi="Narkisim"/>
          <w:rtl/>
        </w:rPr>
        <w:t>. פ</w:t>
      </w:r>
      <w:r w:rsidRPr="00E14121">
        <w:rPr>
          <w:rFonts w:ascii="Narkisim" w:hAnsi="Narkisim"/>
          <w:b/>
          <w:bCs/>
          <w:rtl/>
        </w:rPr>
        <w:t>רש"י</w:t>
      </w:r>
      <w:r w:rsidRPr="00E14121">
        <w:rPr>
          <w:rFonts w:ascii="Narkisim" w:hAnsi="Narkisim"/>
          <w:rtl/>
        </w:rPr>
        <w:t xml:space="preserve"> דהגמ' מק' לר"ל [האיך מיישב ברייתא זו שהביא ר' יוחנן].</w:t>
      </w:r>
    </w:p>
    <w:p w14:paraId="0FDA6130" w14:textId="77777777" w:rsidR="00F64AED" w:rsidRPr="00E14121" w:rsidRDefault="00F64AED" w:rsidP="00F64AED">
      <w:pPr>
        <w:pStyle w:val="3"/>
        <w:bidi/>
        <w:rPr>
          <w:rFonts w:ascii="Narkisim" w:hAnsi="Narkisim"/>
        </w:rPr>
      </w:pPr>
      <w:r w:rsidRPr="00E14121">
        <w:rPr>
          <w:rFonts w:ascii="Narkisim" w:hAnsi="Narkisim"/>
          <w:rtl/>
        </w:rPr>
        <w:t>דף פב.</w:t>
      </w:r>
    </w:p>
    <w:p w14:paraId="47CF3060" w14:textId="77777777" w:rsidR="00F64AED" w:rsidRPr="00E14121" w:rsidRDefault="00F64AED" w:rsidP="00F64AED">
      <w:pPr>
        <w:pStyle w:val="2"/>
        <w:bidi/>
        <w:rPr>
          <w:rFonts w:ascii="Narkisim" w:hAnsi="Narkisim"/>
          <w:sz w:val="21"/>
        </w:rPr>
      </w:pPr>
      <w:r w:rsidRPr="00E14121">
        <w:rPr>
          <w:rFonts w:ascii="Narkisim" w:hAnsi="Narkisim"/>
          <w:sz w:val="21"/>
          <w:rtl/>
        </w:rPr>
        <w:t>מין במינו לא בטיל לר' יהודה</w:t>
      </w:r>
    </w:p>
    <w:p w14:paraId="727FA6B8" w14:textId="77777777" w:rsidR="00F64AED" w:rsidRPr="00E14121" w:rsidRDefault="00F64AED" w:rsidP="00F64AED">
      <w:pPr>
        <w:bidi/>
        <w:rPr>
          <w:rFonts w:ascii="Narkisim" w:hAnsi="Narkisim" w:cs="Narkisim"/>
        </w:rPr>
      </w:pPr>
      <w:r w:rsidRPr="00E14121">
        <w:rPr>
          <w:rFonts w:ascii="Narkisim" w:hAnsi="Narkisim" w:cs="Narkisim"/>
          <w:u w:val="single"/>
          <w:rtl/>
        </w:rPr>
        <w:t>ר' יהודה לטעמיה דאמר מין במינו לא בטיל וכו'</w:t>
      </w:r>
      <w:r w:rsidRPr="00E14121">
        <w:rPr>
          <w:rFonts w:ascii="Narkisim" w:hAnsi="Narkisim" w:cs="Narkisim"/>
          <w:rtl/>
        </w:rPr>
        <w:t>. ור' יהודה למד כן (מנחות כב. הו' בתוס') מהא דמערב דם הפר בדם השעיר [של יוה"כ], ולא אמרי' דדם הפר נתבטל.</w:t>
      </w:r>
    </w:p>
    <w:p w14:paraId="262BC480"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ר"ן</w:t>
      </w:r>
      <w:r w:rsidRPr="00E14121">
        <w:rPr>
          <w:rFonts w:ascii="Narkisim" w:hAnsi="Narkisim"/>
          <w:rtl/>
        </w:rPr>
        <w:t xml:space="preserve"> (נדרים נב.) ביאר סברת ר' יהודה דכל דבר שהוא דומה לחבירו אינו מבטלו, אלא מעמידו ומחזקו. ורבנן ס"ל דמ"מ אין דומין זל"ז, דזה איסור וזה היתר</w:t>
      </w:r>
      <w:r w:rsidRPr="00E14121">
        <w:rPr>
          <w:rStyle w:val="ac"/>
          <w:rFonts w:ascii="Narkisim" w:hAnsi="Narkisim"/>
          <w:rtl/>
        </w:rPr>
        <w:footnoteReference w:id="4964"/>
      </w:r>
      <w:r w:rsidRPr="00E14121">
        <w:rPr>
          <w:rFonts w:ascii="Narkisim" w:hAnsi="Narkisim"/>
          <w:rtl/>
        </w:rPr>
        <w:t>.</w:t>
      </w:r>
    </w:p>
    <w:p w14:paraId="781E2C73" w14:textId="77777777" w:rsidR="00F64AED" w:rsidRPr="00E14121" w:rsidRDefault="00F64AED" w:rsidP="00F64AED">
      <w:pPr>
        <w:bidi/>
        <w:rPr>
          <w:rFonts w:ascii="Narkisim" w:hAnsi="Narkisim" w:cs="Narkisim"/>
        </w:rPr>
      </w:pPr>
      <w:r w:rsidRPr="00E14121">
        <w:rPr>
          <w:rFonts w:ascii="Narkisim" w:hAnsi="Narkisim" w:cs="Narkisim"/>
          <w:u w:val="single"/>
          <w:rtl/>
        </w:rPr>
        <w:t>תוד"ה ר' יהודה</w:t>
      </w:r>
      <w:r w:rsidRPr="00E14121">
        <w:rPr>
          <w:rFonts w:ascii="Narkisim" w:hAnsi="Narkisim" w:cs="Narkisim"/>
          <w:rtl/>
        </w:rPr>
        <w:t xml:space="preserve">. דוקא בדבר לח ומתערב אית ליה לר' יהודה דלא בטיל וכו'. וכ"כ </w:t>
      </w:r>
      <w:r w:rsidRPr="00E14121">
        <w:rPr>
          <w:rFonts w:ascii="Narkisim" w:hAnsi="Narkisim" w:cs="Narkisim"/>
          <w:b/>
          <w:bCs/>
          <w:rtl/>
        </w:rPr>
        <w:t>תוס'</w:t>
      </w:r>
      <w:r w:rsidRPr="00E14121">
        <w:rPr>
          <w:rFonts w:ascii="Narkisim" w:hAnsi="Narkisim" w:cs="Narkisim"/>
          <w:rtl/>
        </w:rPr>
        <w:t xml:space="preserve"> (פא: ד"ה ר' יהודה). ודלא כדברי </w:t>
      </w:r>
      <w:r w:rsidRPr="00E14121">
        <w:rPr>
          <w:rFonts w:ascii="Narkisim" w:hAnsi="Narkisim" w:cs="Narkisim"/>
          <w:b/>
          <w:bCs/>
          <w:rtl/>
        </w:rPr>
        <w:t>רש"י</w:t>
      </w:r>
      <w:r w:rsidRPr="00E14121">
        <w:rPr>
          <w:rFonts w:ascii="Narkisim" w:hAnsi="Narkisim" w:cs="Narkisim"/>
          <w:rtl/>
        </w:rPr>
        <w:t xml:space="preserve"> </w:t>
      </w:r>
      <w:r w:rsidRPr="00E14121">
        <w:rPr>
          <w:rFonts w:ascii="Narkisim" w:hAnsi="Narkisim" w:cs="Narkisim"/>
          <w:szCs w:val="20"/>
          <w:rtl/>
        </w:rPr>
        <w:t>(פא: אליבא דר' יוחנן)</w:t>
      </w:r>
      <w:r w:rsidRPr="00E14121">
        <w:rPr>
          <w:rFonts w:ascii="Narkisim" w:hAnsi="Narkisim" w:cs="Narkisim"/>
          <w:rtl/>
        </w:rPr>
        <w:t>. ו</w:t>
      </w:r>
      <w:r w:rsidRPr="00E14121">
        <w:rPr>
          <w:rFonts w:ascii="Narkisim" w:hAnsi="Narkisim" w:cs="Narkisim"/>
          <w:b/>
          <w:bCs/>
          <w:rtl/>
        </w:rPr>
        <w:t>תוס</w:t>
      </w:r>
      <w:r w:rsidRPr="00E14121">
        <w:rPr>
          <w:rFonts w:ascii="Narkisim" w:hAnsi="Narkisim" w:cs="Narkisim"/>
          <w:rtl/>
        </w:rPr>
        <w:t>' (מנחות כב:) כת' דשוב ר"ת חזר בו, ואף יבש אינו מתבטל מין במינו.</w:t>
      </w:r>
    </w:p>
    <w:p w14:paraId="389C42B2" w14:textId="77777777" w:rsidR="00F64AED" w:rsidRPr="00E14121" w:rsidRDefault="00F64AED" w:rsidP="00F64AED">
      <w:pPr>
        <w:bidi/>
        <w:rPr>
          <w:rFonts w:ascii="Narkisim" w:hAnsi="Narkisim" w:cs="Narkisim"/>
        </w:rPr>
      </w:pPr>
      <w:r w:rsidRPr="00E14121">
        <w:rPr>
          <w:rFonts w:ascii="Narkisim" w:hAnsi="Narkisim" w:cs="Narkisim"/>
          <w:u w:val="single"/>
          <w:rtl/>
        </w:rPr>
        <w:t>בא"ד וסברא הוא דדבר המתערב מתפשט טעם האיסור</w:t>
      </w:r>
      <w:r w:rsidRPr="00E14121">
        <w:rPr>
          <w:rStyle w:val="ac"/>
          <w:rFonts w:ascii="Narkisim" w:hAnsi="Narkisim" w:cs="Narkisim"/>
          <w:u w:val="single"/>
          <w:rtl/>
        </w:rPr>
        <w:footnoteReference w:id="4965"/>
      </w:r>
      <w:r w:rsidRPr="00E14121">
        <w:rPr>
          <w:rFonts w:ascii="Narkisim" w:hAnsi="Narkisim" w:cs="Narkisim"/>
          <w:u w:val="single"/>
          <w:rtl/>
        </w:rPr>
        <w:t xml:space="preserve"> וכו' אבל דבר יבש האיסור מונח במקומו וכו'</w:t>
      </w:r>
      <w:r w:rsidRPr="00E14121">
        <w:rPr>
          <w:rFonts w:ascii="Narkisim" w:hAnsi="Narkisim" w:cs="Narkisim"/>
          <w:rtl/>
        </w:rPr>
        <w:t>. [ובדבר יבש אין חילוק בין מינו לשאינו מינו. דאף מין במינו ההיתר אינו מחזקו].</w:t>
      </w:r>
    </w:p>
    <w:p w14:paraId="5DB77783" w14:textId="77777777" w:rsidR="00F64AED" w:rsidRPr="00E14121" w:rsidRDefault="00F64AED" w:rsidP="00F64AED">
      <w:pPr>
        <w:pStyle w:val="a8"/>
        <w:bidi/>
        <w:rPr>
          <w:rFonts w:ascii="Narkisim" w:hAnsi="Narkisim"/>
        </w:rPr>
      </w:pPr>
      <w:r w:rsidRPr="00E14121">
        <w:rPr>
          <w:rFonts w:ascii="Narkisim" w:hAnsi="Narkisim"/>
          <w:rtl/>
        </w:rPr>
        <w:t>ובתערובת לח בלח אין כאן ספק היכן האיסור, דהרי יודע דבכל משהו יש ודאי חלק מהאיסור. ואפי' הכי נתחדש גדר בטל</w:t>
      </w:r>
      <w:r w:rsidRPr="00E14121">
        <w:rPr>
          <w:rStyle w:val="ac"/>
          <w:rFonts w:ascii="Narkisim" w:hAnsi="Narkisim"/>
          <w:rtl/>
        </w:rPr>
        <w:footnoteReference w:id="4966"/>
      </w:r>
      <w:r w:rsidRPr="00E14121">
        <w:rPr>
          <w:rFonts w:ascii="Narkisim" w:hAnsi="Narkisim"/>
          <w:rtl/>
        </w:rPr>
        <w:t xml:space="preserve">. אבל ביבש ביבש יש צד חשיבות דכל חתיכה עומד לעצמו, ולא נתבטל חשיבותו כלל. אלא דאינו </w:t>
      </w:r>
      <w:r w:rsidRPr="00E14121">
        <w:rPr>
          <w:rFonts w:ascii="Narkisim" w:hAnsi="Narkisim"/>
          <w:rtl/>
        </w:rPr>
        <w:lastRenderedPageBreak/>
        <w:t>יודע מקום איסורו.</w:t>
      </w:r>
    </w:p>
    <w:p w14:paraId="6270B60D"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העלו צד דיסוד ביטול יבש הוא משום דדנים על כל א' בפנ"ע דהוא היתר, וע"ד כל דפריש מרובא פריש. ודעת ה</w:t>
      </w:r>
      <w:r w:rsidRPr="00E14121">
        <w:rPr>
          <w:rFonts w:ascii="Narkisim" w:hAnsi="Narkisim"/>
          <w:b/>
          <w:bCs/>
          <w:rtl/>
        </w:rPr>
        <w:t>רשב"א</w:t>
      </w:r>
      <w:r w:rsidRPr="00E14121">
        <w:rPr>
          <w:rFonts w:ascii="Narkisim" w:hAnsi="Narkisim"/>
          <w:rtl/>
        </w:rPr>
        <w:t xml:space="preserve"> דאסור לאדם א' לאכול את הכל</w:t>
      </w:r>
      <w:r w:rsidRPr="00E14121">
        <w:rPr>
          <w:rStyle w:val="ac"/>
          <w:rFonts w:ascii="Narkisim" w:hAnsi="Narkisim"/>
          <w:rtl/>
        </w:rPr>
        <w:footnoteReference w:id="4967"/>
      </w:r>
      <w:r w:rsidRPr="00E14121">
        <w:rPr>
          <w:rFonts w:ascii="Narkisim" w:hAnsi="Narkisim"/>
          <w:rtl/>
        </w:rPr>
        <w:t xml:space="preserve"> [וה</w:t>
      </w:r>
      <w:r w:rsidRPr="00E14121">
        <w:rPr>
          <w:rFonts w:ascii="Narkisim" w:hAnsi="Narkisim"/>
          <w:b/>
          <w:bCs/>
          <w:rtl/>
        </w:rPr>
        <w:t>פרמ"ג</w:t>
      </w:r>
      <w:r w:rsidRPr="00E14121">
        <w:rPr>
          <w:rFonts w:ascii="Narkisim" w:hAnsi="Narkisim"/>
          <w:rtl/>
        </w:rPr>
        <w:t xml:space="preserve"> (קט) כתב דהוה דרבנן, אבל יש </w:t>
      </w:r>
      <w:r w:rsidRPr="00E14121">
        <w:rPr>
          <w:rFonts w:ascii="Narkisim" w:hAnsi="Narkisim"/>
          <w:b/>
          <w:bCs/>
          <w:rtl/>
        </w:rPr>
        <w:t>אחרונים</w:t>
      </w:r>
      <w:r w:rsidRPr="00E14121">
        <w:rPr>
          <w:rFonts w:ascii="Narkisim" w:hAnsi="Narkisim"/>
          <w:rtl/>
        </w:rPr>
        <w:t xml:space="preserve"> שדייקו מה</w:t>
      </w:r>
      <w:r w:rsidRPr="00E14121">
        <w:rPr>
          <w:rFonts w:ascii="Narkisim" w:hAnsi="Narkisim"/>
          <w:b/>
          <w:bCs/>
          <w:rtl/>
        </w:rPr>
        <w:t>גר"א</w:t>
      </w:r>
      <w:r w:rsidRPr="00E14121">
        <w:rPr>
          <w:rStyle w:val="ac"/>
          <w:rFonts w:ascii="Narkisim" w:hAnsi="Narkisim"/>
          <w:b/>
          <w:bCs/>
          <w:rtl/>
        </w:rPr>
        <w:footnoteReference w:id="4968"/>
      </w:r>
      <w:r w:rsidRPr="00E14121">
        <w:rPr>
          <w:rFonts w:ascii="Narkisim" w:hAnsi="Narkisim"/>
          <w:rtl/>
        </w:rPr>
        <w:t xml:space="preserve"> דהוה דאורייתא]. אבל ה</w:t>
      </w:r>
      <w:r w:rsidRPr="00E14121">
        <w:rPr>
          <w:rFonts w:ascii="Narkisim" w:hAnsi="Narkisim"/>
          <w:b/>
          <w:bCs/>
          <w:rtl/>
        </w:rPr>
        <w:t>רא"ש</w:t>
      </w:r>
      <w:r w:rsidRPr="00E14121">
        <w:rPr>
          <w:rFonts w:ascii="Narkisim" w:hAnsi="Narkisim"/>
          <w:rtl/>
        </w:rPr>
        <w:t xml:space="preserve"> (חולין ז ס"ס לז) כתב דמותר לאדם א' לאכול את הכל בבת א'. ודוקא לענין טומאת משא</w:t>
      </w:r>
      <w:r w:rsidRPr="00E14121">
        <w:rPr>
          <w:rStyle w:val="ac"/>
          <w:rFonts w:ascii="Narkisim" w:hAnsi="Narkisim"/>
          <w:rtl/>
        </w:rPr>
        <w:footnoteReference w:id="4969"/>
      </w:r>
      <w:r w:rsidRPr="00E14121">
        <w:rPr>
          <w:rFonts w:ascii="Narkisim" w:hAnsi="Narkisim"/>
          <w:rtl/>
        </w:rPr>
        <w:t xml:space="preserve"> נחשב נידון א' על הכל. אבל בכל ביטול לח הרי אוכל מכולו. וה</w:t>
      </w:r>
      <w:r w:rsidRPr="00E14121">
        <w:rPr>
          <w:rFonts w:ascii="Narkisim" w:hAnsi="Narkisim"/>
          <w:b/>
          <w:bCs/>
          <w:rtl/>
        </w:rPr>
        <w:t>כס"מ</w:t>
      </w:r>
      <w:r w:rsidRPr="00E14121">
        <w:rPr>
          <w:rFonts w:ascii="Narkisim" w:hAnsi="Narkisim"/>
          <w:rtl/>
        </w:rPr>
        <w:t xml:space="preserve"> (אה"ט א לח) הביא בשם </w:t>
      </w:r>
      <w:r w:rsidRPr="00E14121">
        <w:rPr>
          <w:rFonts w:ascii="Narkisim" w:hAnsi="Narkisim"/>
          <w:b/>
          <w:bCs/>
          <w:rtl/>
        </w:rPr>
        <w:t>מהר"י</w:t>
      </w:r>
      <w:r w:rsidRPr="00E14121">
        <w:rPr>
          <w:rFonts w:ascii="Narkisim" w:hAnsi="Narkisim"/>
          <w:rtl/>
        </w:rPr>
        <w:t xml:space="preserve"> </w:t>
      </w:r>
      <w:r w:rsidRPr="00E14121">
        <w:rPr>
          <w:rFonts w:ascii="Narkisim" w:hAnsi="Narkisim"/>
          <w:b/>
          <w:bCs/>
          <w:rtl/>
        </w:rPr>
        <w:t>קורקוס</w:t>
      </w:r>
      <w:r w:rsidRPr="00E14121">
        <w:rPr>
          <w:rFonts w:ascii="Narkisim" w:hAnsi="Narkisim"/>
          <w:rtl/>
        </w:rPr>
        <w:t xml:space="preserve"> דביטול לח מהני דאינו מטמא במשא</w:t>
      </w:r>
      <w:r w:rsidRPr="00E14121">
        <w:rPr>
          <w:rStyle w:val="ac"/>
          <w:rFonts w:ascii="Narkisim" w:hAnsi="Narkisim"/>
          <w:rtl/>
        </w:rPr>
        <w:footnoteReference w:id="4970"/>
      </w:r>
      <w:r w:rsidRPr="00E14121">
        <w:rPr>
          <w:rFonts w:ascii="Narkisim" w:hAnsi="Narkisim"/>
          <w:rtl/>
        </w:rPr>
        <w:t xml:space="preserve">. [וע"ע </w:t>
      </w:r>
      <w:r w:rsidRPr="00E14121">
        <w:rPr>
          <w:rFonts w:ascii="Narkisim" w:hAnsi="Narkisim"/>
          <w:b/>
          <w:bCs/>
          <w:rtl/>
        </w:rPr>
        <w:t>שער"י</w:t>
      </w:r>
      <w:r w:rsidRPr="00E14121">
        <w:rPr>
          <w:rFonts w:ascii="Narkisim" w:hAnsi="Narkisim"/>
          <w:rtl/>
        </w:rPr>
        <w:t xml:space="preserve"> ג ז דהאריך בכ"ז].</w:t>
      </w:r>
    </w:p>
    <w:p w14:paraId="19050C48" w14:textId="77777777" w:rsidR="00F64AED" w:rsidRPr="00E14121" w:rsidRDefault="00F64AED" w:rsidP="00F64AED">
      <w:pPr>
        <w:bidi/>
        <w:rPr>
          <w:rFonts w:ascii="Narkisim" w:hAnsi="Narkisim" w:cs="Narkisim"/>
        </w:rPr>
      </w:pPr>
      <w:r w:rsidRPr="00E14121">
        <w:rPr>
          <w:rFonts w:ascii="Narkisim" w:hAnsi="Narkisim" w:cs="Narkisim"/>
          <w:u w:val="single"/>
          <w:rtl/>
        </w:rPr>
        <w:t>בא"ד ולא חטין בחטין, בקמח איירי וכו' ועוד נראה דאפי' קמח וכו' ברותח איירי</w:t>
      </w:r>
      <w:r w:rsidRPr="00E14121">
        <w:rPr>
          <w:rStyle w:val="ac"/>
          <w:rFonts w:ascii="Narkisim" w:hAnsi="Narkisim" w:cs="Narkisim"/>
          <w:u w:val="single"/>
          <w:rtl/>
        </w:rPr>
        <w:footnoteReference w:id="4971"/>
      </w:r>
      <w:r w:rsidRPr="00E14121">
        <w:rPr>
          <w:rFonts w:ascii="Narkisim" w:hAnsi="Narkisim" w:cs="Narkisim"/>
          <w:u w:val="single"/>
          <w:rtl/>
        </w:rPr>
        <w:t>.</w:t>
      </w:r>
      <w:r w:rsidRPr="00E14121">
        <w:rPr>
          <w:rFonts w:ascii="Narkisim" w:hAnsi="Narkisim" w:cs="Narkisim"/>
          <w:rtl/>
        </w:rPr>
        <w:t xml:space="preserve"> מבואר דלתי' הא' בתוס' תערובת קמח בקמח נחשב לח בלח [כיון דכל א' אינו עומד בחשיבותו בפנ"ע, ומש"ה מין במינו אינו בטל]. ובתי' הב' אף קמח צונן נחשב נחשב יבש, דכיון דהטעם אינו מתפשט בכולו.</w:t>
      </w:r>
    </w:p>
    <w:p w14:paraId="71B4EDC9"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פוסקים</w:t>
      </w:r>
      <w:r w:rsidRPr="00E14121">
        <w:rPr>
          <w:rFonts w:ascii="Narkisim" w:hAnsi="Narkisim"/>
          <w:rtl/>
        </w:rPr>
        <w:t xml:space="preserve"> (ב"ח יו"ד קט) הביאו מדברי </w:t>
      </w:r>
      <w:r w:rsidRPr="00E14121">
        <w:rPr>
          <w:rFonts w:ascii="Narkisim" w:hAnsi="Narkisim"/>
          <w:b/>
          <w:bCs/>
          <w:rtl/>
        </w:rPr>
        <w:t>תוס</w:t>
      </w:r>
      <w:r w:rsidRPr="00E14121">
        <w:rPr>
          <w:rFonts w:ascii="Narkisim" w:hAnsi="Narkisim"/>
          <w:rtl/>
        </w:rPr>
        <w:t>'</w:t>
      </w:r>
      <w:r w:rsidRPr="00E14121">
        <w:rPr>
          <w:rFonts w:ascii="Narkisim" w:hAnsi="Narkisim"/>
          <w:sz w:val="20"/>
          <w:szCs w:val="20"/>
          <w:rtl/>
        </w:rPr>
        <w:t xml:space="preserve"> (פסחים מד, זבחים עג., מנחות כב:)</w:t>
      </w:r>
      <w:r w:rsidRPr="00E14121">
        <w:rPr>
          <w:rFonts w:ascii="Narkisim" w:hAnsi="Narkisim"/>
          <w:rtl/>
        </w:rPr>
        <w:t xml:space="preserve"> דקמח בקמח כיון דנבלל מתבטל בששים [כדין לח</w:t>
      </w:r>
      <w:r w:rsidRPr="00E14121">
        <w:rPr>
          <w:rStyle w:val="ac"/>
          <w:rFonts w:ascii="Narkisim" w:hAnsi="Narkisim"/>
          <w:rtl/>
        </w:rPr>
        <w:footnoteReference w:id="4972"/>
      </w:r>
      <w:r w:rsidRPr="00E14121">
        <w:rPr>
          <w:rFonts w:ascii="Narkisim" w:hAnsi="Narkisim"/>
          <w:rtl/>
        </w:rPr>
        <w:t>], ולא ברוב [כדין יבש] [דבקמח כל משהו אינו עומד בפנ"ע]. אבל ה</w:t>
      </w:r>
      <w:r w:rsidRPr="00E14121">
        <w:rPr>
          <w:rFonts w:ascii="Narkisim" w:hAnsi="Narkisim"/>
          <w:b/>
          <w:bCs/>
          <w:rtl/>
        </w:rPr>
        <w:t>ש"ך</w:t>
      </w:r>
      <w:r w:rsidRPr="00E14121">
        <w:rPr>
          <w:rFonts w:ascii="Narkisim" w:hAnsi="Narkisim"/>
          <w:rtl/>
        </w:rPr>
        <w:t xml:space="preserve"> (קט ג) הביא דמסקנת התוס' כאן דקמח נחשב יבש, אא"כ רותח. אבל ה</w:t>
      </w:r>
      <w:r w:rsidRPr="00E14121">
        <w:rPr>
          <w:rFonts w:ascii="Narkisim" w:hAnsi="Narkisim"/>
          <w:b/>
          <w:bCs/>
          <w:rtl/>
        </w:rPr>
        <w:t>חוו"ד</w:t>
      </w:r>
      <w:r w:rsidRPr="00E14121">
        <w:rPr>
          <w:rFonts w:ascii="Narkisim" w:hAnsi="Narkisim"/>
          <w:rtl/>
        </w:rPr>
        <w:t xml:space="preserve"> (קט א,ה) כת' דתוס' הכא מודו דבעי ששים לבטל, דכיון דנבלל ואוכל את הכל יחד בעי ששים</w:t>
      </w:r>
      <w:r w:rsidRPr="00E14121">
        <w:rPr>
          <w:rStyle w:val="ac"/>
          <w:rFonts w:ascii="Narkisim" w:hAnsi="Narkisim"/>
          <w:rtl/>
        </w:rPr>
        <w:footnoteReference w:id="4973"/>
      </w:r>
      <w:r w:rsidRPr="00E14121">
        <w:rPr>
          <w:rFonts w:ascii="Narkisim" w:hAnsi="Narkisim"/>
          <w:rtl/>
        </w:rPr>
        <w:t>. ורק לענין ביטול לר' יהודה ס"ל דמתבטל, כיון דכל משהו עומד לעצמו והטעם אינו מתפשט מזה לזה. וע"ע חזו"א.</w:t>
      </w:r>
    </w:p>
    <w:p w14:paraId="45132ABC" w14:textId="77777777" w:rsidR="00F64AED" w:rsidRPr="00E14121" w:rsidRDefault="00F64AED" w:rsidP="00F64AED">
      <w:pPr>
        <w:bidi/>
        <w:rPr>
          <w:rFonts w:ascii="Narkisim" w:hAnsi="Narkisim" w:cs="Narkisim"/>
        </w:rPr>
      </w:pPr>
      <w:r w:rsidRPr="00E14121">
        <w:rPr>
          <w:rFonts w:ascii="Narkisim" w:hAnsi="Narkisim" w:cs="Narkisim"/>
          <w:u w:val="single"/>
          <w:rtl/>
        </w:rPr>
        <w:t>ולר"ל מ"ש רישא ומ"ש סיפא וכו'.</w:t>
      </w:r>
      <w:r w:rsidRPr="00E14121">
        <w:rPr>
          <w:rFonts w:ascii="Narkisim" w:hAnsi="Narkisim" w:cs="Narkisim"/>
          <w:rtl/>
        </w:rPr>
        <w:t xml:space="preserve"> כ"ג </w:t>
      </w:r>
      <w:r w:rsidRPr="00E14121">
        <w:rPr>
          <w:rFonts w:ascii="Narkisim" w:hAnsi="Narkisim" w:cs="Narkisim"/>
          <w:b/>
          <w:bCs/>
          <w:rtl/>
        </w:rPr>
        <w:t>רש"י</w:t>
      </w:r>
      <w:r w:rsidRPr="00E14121">
        <w:rPr>
          <w:rFonts w:ascii="Narkisim" w:hAnsi="Narkisim" w:cs="Narkisim"/>
          <w:rtl/>
        </w:rPr>
        <w:t xml:space="preserve"> דרבנן מודו דחטאת שנתערב בחולין אינו בטל. ורב שישא פי' משום דהוה איסור דאורייתא. </w:t>
      </w:r>
      <w:r w:rsidRPr="00E14121">
        <w:rPr>
          <w:rFonts w:ascii="Narkisim" w:hAnsi="Narkisim" w:cs="Narkisim"/>
          <w:szCs w:val="20"/>
          <w:rtl/>
        </w:rPr>
        <w:t>[ו</w:t>
      </w:r>
      <w:r w:rsidRPr="00E14121">
        <w:rPr>
          <w:rFonts w:ascii="Narkisim" w:hAnsi="Narkisim" w:cs="Narkisim"/>
          <w:b/>
          <w:bCs/>
          <w:szCs w:val="20"/>
          <w:rtl/>
        </w:rPr>
        <w:t>תוס'</w:t>
      </w:r>
      <w:r w:rsidRPr="00E14121">
        <w:rPr>
          <w:rFonts w:ascii="Narkisim" w:hAnsi="Narkisim" w:cs="Narkisim"/>
          <w:szCs w:val="20"/>
          <w:rtl/>
        </w:rPr>
        <w:t xml:space="preserve"> פי' דרבנן דהך ברייתא</w:t>
      </w:r>
      <w:r w:rsidRPr="00E14121">
        <w:rPr>
          <w:rStyle w:val="ac"/>
          <w:rFonts w:ascii="Narkisim" w:hAnsi="Narkisim" w:cs="Narkisim"/>
          <w:szCs w:val="20"/>
          <w:rtl/>
        </w:rPr>
        <w:footnoteReference w:id="4974"/>
      </w:r>
      <w:r w:rsidRPr="00E14121">
        <w:rPr>
          <w:rFonts w:ascii="Narkisim" w:hAnsi="Narkisim" w:cs="Narkisim"/>
          <w:szCs w:val="20"/>
          <w:rtl/>
        </w:rPr>
        <w:t xml:space="preserve"> ס"ל דמין במינו אינו בטל בדאורייתא</w:t>
      </w:r>
      <w:r w:rsidRPr="00E14121">
        <w:rPr>
          <w:rStyle w:val="ac"/>
          <w:rFonts w:ascii="Narkisim" w:hAnsi="Narkisim" w:cs="Narkisim"/>
          <w:szCs w:val="20"/>
          <w:rtl/>
        </w:rPr>
        <w:footnoteReference w:id="4975"/>
      </w:r>
      <w:r w:rsidRPr="00E14121">
        <w:rPr>
          <w:rFonts w:ascii="Narkisim" w:hAnsi="Narkisim" w:cs="Narkisim"/>
          <w:szCs w:val="20"/>
          <w:rtl/>
        </w:rPr>
        <w:t>]</w:t>
      </w:r>
      <w:r w:rsidRPr="00E14121">
        <w:rPr>
          <w:rFonts w:ascii="Narkisim" w:hAnsi="Narkisim" w:cs="Narkisim"/>
          <w:rtl/>
        </w:rPr>
        <w:t>.</w:t>
      </w:r>
    </w:p>
    <w:p w14:paraId="0B5B4BBC"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רשב"א</w:t>
      </w:r>
      <w:r w:rsidRPr="00E14121">
        <w:rPr>
          <w:rFonts w:ascii="Narkisim" w:hAnsi="Narkisim"/>
          <w:rtl/>
        </w:rPr>
        <w:t xml:space="preserve"> ו</w:t>
      </w:r>
      <w:r w:rsidRPr="00E14121">
        <w:rPr>
          <w:rFonts w:ascii="Narkisim" w:hAnsi="Narkisim"/>
          <w:b/>
          <w:bCs/>
          <w:rtl/>
        </w:rPr>
        <w:t>ריטב"א</w:t>
      </w:r>
      <w:r w:rsidRPr="00E14121">
        <w:rPr>
          <w:rFonts w:ascii="Narkisim" w:hAnsi="Narkisim"/>
          <w:rtl/>
        </w:rPr>
        <w:t xml:space="preserve"> הביאו גירסת ה</w:t>
      </w:r>
      <w:r w:rsidRPr="00E14121">
        <w:rPr>
          <w:rFonts w:ascii="Narkisim" w:hAnsi="Narkisim"/>
          <w:b/>
          <w:bCs/>
          <w:rtl/>
        </w:rPr>
        <w:t>גאונים</w:t>
      </w:r>
      <w:r w:rsidRPr="00E14121">
        <w:rPr>
          <w:rFonts w:ascii="Narkisim" w:hAnsi="Narkisim"/>
          <w:rtl/>
        </w:rPr>
        <w:t xml:space="preserve"> ולר' יוחנן מ"ש רישא ומ"ש סיפא, דלר' יוחנן מ"ש בסיפא דחתיכת חטאת אינה בטילה. [ולא ס"ל כמ"ש רש"י דהתם ליכא הפסד</w:t>
      </w:r>
      <w:r w:rsidRPr="00E14121">
        <w:rPr>
          <w:rStyle w:val="ac"/>
          <w:rFonts w:ascii="Narkisim" w:hAnsi="Narkisim"/>
          <w:rtl/>
        </w:rPr>
        <w:footnoteReference w:id="4976"/>
      </w:r>
      <w:r w:rsidRPr="00E14121">
        <w:rPr>
          <w:rFonts w:ascii="Narkisim" w:hAnsi="Narkisim"/>
          <w:rtl/>
        </w:rPr>
        <w:t>. או כתוס' דבחולין הוה ראוי להתכבד]. וכ"פ ה</w:t>
      </w:r>
      <w:r w:rsidRPr="00E14121">
        <w:rPr>
          <w:rFonts w:ascii="Narkisim" w:hAnsi="Narkisim"/>
          <w:b/>
          <w:bCs/>
          <w:rtl/>
        </w:rPr>
        <w:t>מלחמות</w:t>
      </w:r>
      <w:r w:rsidRPr="00E14121">
        <w:rPr>
          <w:rFonts w:ascii="Narkisim" w:hAnsi="Narkisim"/>
          <w:rtl/>
        </w:rPr>
        <w:t>. וה</w:t>
      </w:r>
      <w:r w:rsidRPr="00E14121">
        <w:rPr>
          <w:rFonts w:ascii="Narkisim" w:hAnsi="Narkisim"/>
          <w:b/>
          <w:bCs/>
          <w:rtl/>
        </w:rPr>
        <w:t>ראשונים</w:t>
      </w:r>
      <w:r w:rsidRPr="00E14121">
        <w:rPr>
          <w:rFonts w:ascii="Narkisim" w:hAnsi="Narkisim"/>
          <w:rtl/>
        </w:rPr>
        <w:t xml:space="preserve"> (בעה"מ, ריטב"א) ביארו דבשלמא לר"ל י"ל דרישא איירי בנימוחה, וסיפא</w:t>
      </w:r>
      <w:r w:rsidRPr="00E14121">
        <w:rPr>
          <w:rStyle w:val="ac"/>
          <w:rFonts w:ascii="Narkisim" w:hAnsi="Narkisim"/>
          <w:rtl/>
        </w:rPr>
        <w:footnoteReference w:id="4977"/>
      </w:r>
      <w:r w:rsidRPr="00E14121">
        <w:rPr>
          <w:rFonts w:ascii="Narkisim" w:hAnsi="Narkisim"/>
          <w:rtl/>
        </w:rPr>
        <w:t xml:space="preserve"> בלא נימוחה</w:t>
      </w:r>
      <w:r w:rsidRPr="00E14121">
        <w:rPr>
          <w:rStyle w:val="ac"/>
          <w:rFonts w:ascii="Narkisim" w:hAnsi="Narkisim"/>
          <w:rtl/>
        </w:rPr>
        <w:footnoteReference w:id="4978"/>
      </w:r>
      <w:r w:rsidRPr="00E14121">
        <w:rPr>
          <w:rFonts w:ascii="Narkisim" w:hAnsi="Narkisim"/>
          <w:rtl/>
        </w:rPr>
        <w:t>. אבל ר' יוחנן נקט דרישא איירי בחתיכה שלימה, א"כ מ"ש סיפא.</w:t>
      </w:r>
    </w:p>
    <w:p w14:paraId="4875322E"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רא"ה</w:t>
      </w:r>
      <w:r w:rsidRPr="00E14121">
        <w:rPr>
          <w:rFonts w:ascii="Narkisim" w:hAnsi="Narkisim"/>
          <w:rtl/>
        </w:rPr>
        <w:t xml:space="preserve"> (בדק הבית ד ב מה: בדה"ס) כתב דאיירי השתא בחתיכה דאינה חשובה, ובסיפא משום חומרא דקדשים </w:t>
      </w:r>
      <w:r w:rsidRPr="00E14121">
        <w:rPr>
          <w:rFonts w:ascii="Narkisim" w:hAnsi="Narkisim"/>
          <w:rtl/>
        </w:rPr>
        <w:lastRenderedPageBreak/>
        <w:t>אינה בטילה. וקו' הגמ' דא"כ אף רישא, ובין לר"י ובין לר"ל.</w:t>
      </w:r>
    </w:p>
    <w:p w14:paraId="5312E21B" w14:textId="77777777" w:rsidR="00F64AED" w:rsidRPr="00E14121" w:rsidRDefault="00F64AED" w:rsidP="00F64AED">
      <w:pPr>
        <w:bidi/>
        <w:rPr>
          <w:rFonts w:ascii="Narkisim" w:hAnsi="Narkisim" w:cs="Narkisim"/>
        </w:rPr>
      </w:pPr>
      <w:r w:rsidRPr="00E14121">
        <w:rPr>
          <w:rFonts w:ascii="Narkisim" w:hAnsi="Narkisim" w:cs="Narkisim"/>
          <w:u w:val="single"/>
          <w:rtl/>
        </w:rPr>
        <w:t>א"ר שישא בד"ר אידי רישא בטומאת משקין דרבנן וכו'</w:t>
      </w:r>
      <w:r w:rsidRPr="00E14121">
        <w:rPr>
          <w:rFonts w:ascii="Narkisim" w:hAnsi="Narkisim" w:cs="Narkisim"/>
          <w:rtl/>
        </w:rPr>
        <w:t>. ורבנן ס"ל דבאיסור דרבנן הקילו דמין במינו בטל. ו</w:t>
      </w:r>
      <w:r w:rsidRPr="00E14121">
        <w:rPr>
          <w:rFonts w:ascii="Narkisim" w:hAnsi="Narkisim" w:cs="Narkisim"/>
          <w:b/>
          <w:bCs/>
          <w:rtl/>
        </w:rPr>
        <w:t>רש"י</w:t>
      </w:r>
      <w:r w:rsidRPr="00E14121">
        <w:rPr>
          <w:rFonts w:ascii="Narkisim" w:hAnsi="Narkisim" w:cs="Narkisim"/>
          <w:rtl/>
        </w:rPr>
        <w:t xml:space="preserve"> פי' בנימוחה [דאין כאן חשיבות החתיכה]</w:t>
      </w:r>
      <w:r w:rsidRPr="00E14121">
        <w:rPr>
          <w:rStyle w:val="ac"/>
          <w:rFonts w:ascii="Narkisim" w:hAnsi="Narkisim" w:cs="Narkisim"/>
          <w:rtl/>
        </w:rPr>
        <w:footnoteReference w:id="4979"/>
      </w:r>
      <w:r w:rsidRPr="00E14121">
        <w:rPr>
          <w:rFonts w:ascii="Narkisim" w:hAnsi="Narkisim" w:cs="Narkisim"/>
          <w:rtl/>
        </w:rPr>
        <w:t>.</w:t>
      </w:r>
    </w:p>
    <w:p w14:paraId="16790605"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(בסמוך) הביא לישנא אחרינא (ועד"ז פי' הראב"ד בכתוב שם) דאיירי בשלא נימוחה</w:t>
      </w:r>
      <w:r w:rsidRPr="00E14121">
        <w:rPr>
          <w:rStyle w:val="ac"/>
          <w:rFonts w:ascii="Narkisim" w:hAnsi="Narkisim"/>
          <w:rtl/>
        </w:rPr>
        <w:footnoteReference w:id="4980"/>
      </w:r>
      <w:r w:rsidRPr="00E14121">
        <w:rPr>
          <w:rFonts w:ascii="Narkisim" w:hAnsi="Narkisim"/>
          <w:rtl/>
        </w:rPr>
        <w:t>, ואת שדרכו לימנות אינו בטל דוקא בדאורייתא, ובמקום חיוב כרת [ומיתה בידי שמים]. [כדאי' בדברי רבא].</w:t>
      </w:r>
    </w:p>
    <w:p w14:paraId="3BE8A9FC" w14:textId="77777777" w:rsidR="00F64AED" w:rsidRPr="00E14121" w:rsidRDefault="00F64AED" w:rsidP="00F64AED">
      <w:pPr>
        <w:pStyle w:val="a8"/>
        <w:bidi/>
        <w:rPr>
          <w:rFonts w:ascii="Narkisim" w:hAnsi="Narkisim"/>
        </w:rPr>
      </w:pPr>
      <w:r w:rsidRPr="00E14121">
        <w:rPr>
          <w:rFonts w:ascii="Narkisim" w:hAnsi="Narkisim"/>
          <w:rtl/>
        </w:rPr>
        <w:t>אבל בטומאת משקין דרבנן בטל. ולא גזרו אטו דאורייתא. [ודלא כמ"ש תוס' ד"ה טומאת]</w:t>
      </w:r>
      <w:r w:rsidRPr="00E14121">
        <w:rPr>
          <w:rStyle w:val="ac"/>
          <w:rFonts w:ascii="Narkisim" w:hAnsi="Narkisim"/>
          <w:rtl/>
        </w:rPr>
        <w:footnoteReference w:id="4981"/>
      </w:r>
      <w:r w:rsidRPr="00E14121">
        <w:rPr>
          <w:rFonts w:ascii="Narkisim" w:hAnsi="Narkisim"/>
          <w:rtl/>
        </w:rPr>
        <w:t>.</w:t>
      </w:r>
    </w:p>
    <w:p w14:paraId="67CDFCEA" w14:textId="77777777" w:rsidR="00F64AED" w:rsidRPr="00E14121" w:rsidRDefault="00F64AED" w:rsidP="00F64AED">
      <w:pPr>
        <w:bidi/>
        <w:rPr>
          <w:rFonts w:ascii="Narkisim" w:hAnsi="Narkisim" w:cs="Narkisim"/>
        </w:rPr>
      </w:pPr>
      <w:r w:rsidRPr="00E14121">
        <w:rPr>
          <w:rFonts w:ascii="Narkisim" w:hAnsi="Narkisim" w:cs="Narkisim"/>
          <w:rtl/>
        </w:rPr>
        <w:t>ולדברי ה</w:t>
      </w:r>
      <w:r w:rsidRPr="00E14121">
        <w:rPr>
          <w:rFonts w:ascii="Narkisim" w:hAnsi="Narkisim" w:cs="Narkisim"/>
          <w:b/>
          <w:bCs/>
          <w:rtl/>
        </w:rPr>
        <w:t>ראשונים</w:t>
      </w:r>
      <w:r w:rsidRPr="00E14121">
        <w:rPr>
          <w:rFonts w:ascii="Narkisim" w:hAnsi="Narkisim" w:cs="Narkisim"/>
          <w:rtl/>
        </w:rPr>
        <w:t xml:space="preserve"> (הנ"ל) קאי אליבא דר' יוחנן ובחתיכה שלימה. וה</w:t>
      </w:r>
      <w:r w:rsidRPr="00E14121">
        <w:rPr>
          <w:rFonts w:ascii="Narkisim" w:hAnsi="Narkisim" w:cs="Narkisim"/>
          <w:b/>
          <w:bCs/>
          <w:rtl/>
        </w:rPr>
        <w:t>ראשונים</w:t>
      </w:r>
      <w:r w:rsidRPr="00E14121">
        <w:rPr>
          <w:rFonts w:ascii="Narkisim" w:hAnsi="Narkisim" w:cs="Narkisim"/>
          <w:rtl/>
        </w:rPr>
        <w:t xml:space="preserve"> (בעה"מ, ריטב"א) ביארו דכיון דהוה איסור דאורייתא, משום חומר האיסור והקדושה נחשב דרכה לימנות ואינה בטילה.</w:t>
      </w:r>
    </w:p>
    <w:p w14:paraId="646C8B13"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בעה"מ</w:t>
      </w:r>
      <w:r w:rsidRPr="00E14121">
        <w:rPr>
          <w:rFonts w:ascii="Narkisim" w:hAnsi="Narkisim"/>
          <w:rtl/>
        </w:rPr>
        <w:t xml:space="preserve"> כת' דר' שישא ס"ל כר' יוחנן</w:t>
      </w:r>
      <w:r w:rsidRPr="00E14121">
        <w:rPr>
          <w:rStyle w:val="ac"/>
          <w:rFonts w:ascii="Narkisim" w:hAnsi="Narkisim"/>
          <w:rtl/>
        </w:rPr>
        <w:footnoteReference w:id="4982"/>
      </w:r>
      <w:r w:rsidRPr="00E14121">
        <w:rPr>
          <w:rFonts w:ascii="Narkisim" w:hAnsi="Narkisim"/>
          <w:rtl/>
        </w:rPr>
        <w:t>, ואיירי בלא נימוח. וקמ"ל רישא דטומאת משקין דרבנן בטל [אף שיש חשיבות דקודש], ולא גזרו דרבנן אטו דאורייתא. [ודלא כר"ל דגזרו דרבנן אטו דאורייתא].</w:t>
      </w:r>
    </w:p>
    <w:p w14:paraId="33205196" w14:textId="77777777" w:rsidR="00F64AED" w:rsidRPr="00E14121" w:rsidRDefault="00F64AED" w:rsidP="00F64AED">
      <w:pPr>
        <w:pStyle w:val="aa"/>
        <w:bidi/>
        <w:rPr>
          <w:rFonts w:ascii="Narkisim" w:hAnsi="Narkisim"/>
        </w:rPr>
      </w:pPr>
      <w:r w:rsidRPr="00E14121">
        <w:rPr>
          <w:rFonts w:ascii="Narkisim" w:hAnsi="Narkisim"/>
          <w:u w:val="single"/>
          <w:rtl/>
        </w:rPr>
        <w:t>רבה אמר וכו' סיפא איסור כרת</w:t>
      </w:r>
      <w:r w:rsidRPr="00E14121">
        <w:rPr>
          <w:rStyle w:val="ac"/>
          <w:rFonts w:ascii="Narkisim" w:hAnsi="Narkisim"/>
          <w:u w:val="single"/>
          <w:rtl/>
        </w:rPr>
        <w:footnoteReference w:id="4983"/>
      </w:r>
      <w:r w:rsidRPr="00E14121">
        <w:rPr>
          <w:rFonts w:ascii="Narkisim" w:hAnsi="Narkisim"/>
          <w:rtl/>
        </w:rPr>
        <w:t>. פ</w:t>
      </w:r>
      <w:r w:rsidRPr="00E14121">
        <w:rPr>
          <w:rFonts w:ascii="Narkisim" w:hAnsi="Narkisim"/>
          <w:b/>
          <w:bCs/>
          <w:rtl/>
        </w:rPr>
        <w:t>רש"י</w:t>
      </w:r>
      <w:r w:rsidRPr="00E14121">
        <w:rPr>
          <w:rFonts w:ascii="Narkisim" w:hAnsi="Narkisim"/>
          <w:rtl/>
        </w:rPr>
        <w:t xml:space="preserve"> (פי' א) ו</w:t>
      </w:r>
      <w:r w:rsidRPr="00E14121">
        <w:rPr>
          <w:rFonts w:ascii="Narkisim" w:hAnsi="Narkisim"/>
          <w:b/>
          <w:bCs/>
          <w:rtl/>
        </w:rPr>
        <w:t>תוס</w:t>
      </w:r>
      <w:r w:rsidRPr="00E14121">
        <w:rPr>
          <w:rFonts w:ascii="Narkisim" w:hAnsi="Narkisim"/>
          <w:rtl/>
        </w:rPr>
        <w:t>' לעולם בשנימוחה. והחמירו באיסור כרת שלא יתבטל, כיון דהוה מין במינו.</w:t>
      </w:r>
    </w:p>
    <w:p w14:paraId="79E6C0BB" w14:textId="77777777" w:rsidR="00F64AED" w:rsidRPr="00E14121" w:rsidRDefault="00F64AED" w:rsidP="00F64AED">
      <w:pPr>
        <w:pStyle w:val="a8"/>
        <w:bidi/>
        <w:rPr>
          <w:rFonts w:ascii="Narkisim" w:hAnsi="Narkisim"/>
        </w:rPr>
      </w:pPr>
      <w:r w:rsidRPr="00E14121">
        <w:rPr>
          <w:rFonts w:ascii="Narkisim" w:hAnsi="Narkisim"/>
          <w:rtl/>
        </w:rPr>
        <w:t>ועוד פ</w:t>
      </w:r>
      <w:r w:rsidRPr="00E14121">
        <w:rPr>
          <w:rFonts w:ascii="Narkisim" w:hAnsi="Narkisim"/>
          <w:b/>
          <w:bCs/>
          <w:rtl/>
        </w:rPr>
        <w:t>רש"י</w:t>
      </w:r>
      <w:r w:rsidRPr="00E14121">
        <w:rPr>
          <w:rFonts w:ascii="Narkisim" w:hAnsi="Narkisim"/>
          <w:rtl/>
        </w:rPr>
        <w:t xml:space="preserve"> לישנא אחרינא בשלא נימוחה, ובאיסור לאו הקילו בדרכו לימנות. ותוס' הק' מכלאי הכרם דהוה איסור לאו</w:t>
      </w:r>
      <w:r w:rsidRPr="00E14121">
        <w:rPr>
          <w:rStyle w:val="ac"/>
          <w:rFonts w:ascii="Narkisim" w:hAnsi="Narkisim"/>
          <w:rtl/>
        </w:rPr>
        <w:footnoteReference w:id="4984"/>
      </w:r>
      <w:r w:rsidRPr="00E14121">
        <w:rPr>
          <w:rFonts w:ascii="Narkisim" w:hAnsi="Narkisim"/>
          <w:rtl/>
        </w:rPr>
        <w:t>. וה</w:t>
      </w:r>
      <w:r w:rsidRPr="00E14121">
        <w:rPr>
          <w:rFonts w:ascii="Narkisim" w:hAnsi="Narkisim"/>
          <w:b/>
          <w:bCs/>
          <w:rtl/>
        </w:rPr>
        <w:t>בעה"מ</w:t>
      </w:r>
      <w:r w:rsidRPr="00E14121">
        <w:rPr>
          <w:rFonts w:ascii="Narkisim" w:hAnsi="Narkisim"/>
          <w:rtl/>
        </w:rPr>
        <w:t xml:space="preserve"> תי' דהכא איירי דוקא בקדשים דבדילי מינייהו. אבל ערלה וכלאי הכרם דהוה איסור הנאה ולא בדילי אינשי מינייהו גזרו. אע"ג דאיסור לאו. וה</w:t>
      </w:r>
      <w:r w:rsidRPr="00E14121">
        <w:rPr>
          <w:rFonts w:ascii="Narkisim" w:hAnsi="Narkisim"/>
          <w:b/>
          <w:bCs/>
          <w:rtl/>
        </w:rPr>
        <w:t>ראב"ד</w:t>
      </w:r>
      <w:r w:rsidRPr="00E14121">
        <w:rPr>
          <w:rFonts w:ascii="Narkisim" w:hAnsi="Narkisim"/>
          <w:rtl/>
        </w:rPr>
        <w:t xml:space="preserve"> (כתוב שם) תי' דערלה וכלאי הכרם חמירי דאסורין בהנאה.</w:t>
      </w:r>
    </w:p>
    <w:p w14:paraId="247CAC96" w14:textId="77777777" w:rsidR="00F64AED" w:rsidRPr="00E14121" w:rsidRDefault="00F64AED" w:rsidP="00F64AED">
      <w:pPr>
        <w:bidi/>
        <w:rPr>
          <w:rFonts w:ascii="Narkisim" w:hAnsi="Narkisim" w:cs="Narkisim"/>
        </w:rPr>
      </w:pPr>
      <w:r w:rsidRPr="00E14121">
        <w:rPr>
          <w:rFonts w:ascii="Narkisim" w:hAnsi="Narkisim" w:cs="Narkisim"/>
          <w:u w:val="single"/>
          <w:rtl/>
        </w:rPr>
        <w:t>והא רבה הוא דאמר בדאורייתא ל"ש איסור לאו ול"ש איסור כרת.</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אם חשו רבנן ועשו תקנה לאיסור לאו, חשו לאיסור כרת</w:t>
      </w:r>
      <w:r w:rsidRPr="00E14121">
        <w:rPr>
          <w:rStyle w:val="ac"/>
          <w:rFonts w:ascii="Narkisim" w:hAnsi="Narkisim" w:cs="Narkisim"/>
          <w:rtl/>
        </w:rPr>
        <w:footnoteReference w:id="4985"/>
      </w:r>
      <w:r w:rsidRPr="00E14121">
        <w:rPr>
          <w:rFonts w:ascii="Narkisim" w:hAnsi="Narkisim" w:cs="Narkisim"/>
          <w:rtl/>
        </w:rPr>
        <w:t>. [ומשמע דבכל גזירה דרבנן לא חילקו בין היכא דהוה גזירה אטו איסור כרת]. ה</w:t>
      </w:r>
      <w:r w:rsidRPr="00E14121">
        <w:rPr>
          <w:rFonts w:ascii="Narkisim" w:hAnsi="Narkisim" w:cs="Narkisim"/>
          <w:b/>
          <w:bCs/>
          <w:rtl/>
        </w:rPr>
        <w:t>משנ"ל</w:t>
      </w:r>
      <w:r w:rsidRPr="00E14121">
        <w:rPr>
          <w:rFonts w:ascii="Narkisim" w:hAnsi="Narkisim" w:cs="Narkisim"/>
          <w:rtl/>
        </w:rPr>
        <w:t xml:space="preserve"> (יו"ט א יז) הקשה דאשכחן בכ"מ</w:t>
      </w:r>
      <w:r w:rsidRPr="00E14121">
        <w:rPr>
          <w:rStyle w:val="ac"/>
          <w:rFonts w:ascii="Narkisim" w:hAnsi="Narkisim" w:cs="Narkisim"/>
          <w:rtl/>
        </w:rPr>
        <w:footnoteReference w:id="4986"/>
      </w:r>
      <w:r w:rsidRPr="00E14121">
        <w:rPr>
          <w:rFonts w:ascii="Narkisim" w:hAnsi="Narkisim" w:cs="Narkisim"/>
          <w:rtl/>
        </w:rPr>
        <w:t xml:space="preserve"> דהחמירו במלאכת שבת דאיסור סקילה טפי מיו"ט דאיסור לאו וכדו', ומ"ש הכא דלא אמרי' כן</w:t>
      </w:r>
      <w:r w:rsidRPr="00E14121">
        <w:rPr>
          <w:rStyle w:val="ac"/>
          <w:rFonts w:ascii="Narkisim" w:hAnsi="Narkisim" w:cs="Narkisim"/>
          <w:rtl/>
        </w:rPr>
        <w:footnoteReference w:id="4987"/>
      </w:r>
      <w:r w:rsidRPr="00E14121">
        <w:rPr>
          <w:rFonts w:ascii="Narkisim" w:hAnsi="Narkisim" w:cs="Narkisim"/>
          <w:rtl/>
        </w:rPr>
        <w:t>.</w:t>
      </w:r>
    </w:p>
    <w:p w14:paraId="5DF5CAA3"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רש"י</w:t>
      </w:r>
      <w:r w:rsidRPr="00E14121">
        <w:rPr>
          <w:rFonts w:ascii="Narkisim" w:hAnsi="Narkisim"/>
          <w:rtl/>
        </w:rPr>
        <w:t xml:space="preserve"> (לקמן קיט.) פי' דברי הגמ' (שם) דבספיקות אמרי' ל"ש איסור לאו, דספיקא לאו הרחקה דרבנן היא בדבר המותר, דנימא לכרת עבוד הרחקה, דשמא איסורא דאורייתא ממש קעביד. [משמע דדוקא בספיקות אמרו כן, אבל במקום דהוה גזירה דרבנן שייך לחלק]. וה</w:t>
      </w:r>
      <w:r w:rsidRPr="00E14121">
        <w:rPr>
          <w:rFonts w:ascii="Narkisim" w:hAnsi="Narkisim"/>
          <w:b/>
          <w:bCs/>
          <w:rtl/>
        </w:rPr>
        <w:t>תה"ד</w:t>
      </w:r>
      <w:r w:rsidRPr="00E14121">
        <w:rPr>
          <w:rFonts w:ascii="Narkisim" w:hAnsi="Narkisim"/>
          <w:rtl/>
        </w:rPr>
        <w:t xml:space="preserve"> (רנ) וה</w:t>
      </w:r>
      <w:r w:rsidRPr="00E14121">
        <w:rPr>
          <w:rFonts w:ascii="Narkisim" w:hAnsi="Narkisim"/>
          <w:b/>
          <w:bCs/>
          <w:rtl/>
        </w:rPr>
        <w:t>אחרונים</w:t>
      </w:r>
      <w:r w:rsidRPr="00E14121">
        <w:rPr>
          <w:rFonts w:ascii="Narkisim" w:hAnsi="Narkisim"/>
          <w:rtl/>
        </w:rPr>
        <w:t xml:space="preserve"> תמהו דבסוגיין מבואר להדיא דאמרי' הך סברא סברא אף בדבר שהוא גזירה </w:t>
      </w:r>
      <w:r w:rsidRPr="00E14121">
        <w:rPr>
          <w:rFonts w:ascii="Narkisim" w:hAnsi="Narkisim"/>
          <w:rtl/>
        </w:rPr>
        <w:lastRenderedPageBreak/>
        <w:t>דרבנן.</w:t>
      </w:r>
    </w:p>
    <w:p w14:paraId="396BA861" w14:textId="77777777" w:rsidR="00F64AED" w:rsidRPr="00E14121" w:rsidRDefault="00F64AED" w:rsidP="00F64AED">
      <w:pPr>
        <w:bidi/>
        <w:rPr>
          <w:rFonts w:ascii="Narkisim" w:hAnsi="Narkisim" w:cs="Narkisim"/>
        </w:rPr>
      </w:pPr>
      <w:r w:rsidRPr="00E14121">
        <w:rPr>
          <w:rFonts w:ascii="Narkisim" w:hAnsi="Narkisim" w:cs="Narkisim"/>
          <w:u w:val="single"/>
          <w:rtl/>
        </w:rPr>
        <w:t>רב אשי אמר וכו' דבר שיש לו מתירין</w:t>
      </w:r>
      <w:r w:rsidRPr="00E14121">
        <w:rPr>
          <w:rStyle w:val="ac"/>
          <w:rFonts w:ascii="Narkisim" w:hAnsi="Narkisim" w:cs="Narkisim"/>
          <w:u w:val="single"/>
          <w:rtl/>
        </w:rPr>
        <w:footnoteReference w:id="4988"/>
      </w:r>
      <w:r w:rsidRPr="00E14121">
        <w:rPr>
          <w:rFonts w:ascii="Narkisim" w:hAnsi="Narkisim" w:cs="Narkisim"/>
          <w:u w:val="single"/>
          <w:rtl/>
        </w:rPr>
        <w:t>.</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דמותרין לכהן. ו</w:t>
      </w:r>
      <w:r w:rsidRPr="00E14121">
        <w:rPr>
          <w:rFonts w:ascii="Narkisim" w:hAnsi="Narkisim" w:cs="Narkisim"/>
          <w:b/>
          <w:bCs/>
          <w:rtl/>
        </w:rPr>
        <w:t>רש"י</w:t>
      </w:r>
      <w:r w:rsidRPr="00E14121">
        <w:rPr>
          <w:rFonts w:ascii="Narkisim" w:hAnsi="Narkisim" w:cs="Narkisim"/>
          <w:rtl/>
        </w:rPr>
        <w:t xml:space="preserve"> (ביצה ג:) כת' הטעם דל"ש ביטול בדבר שיש לו מתירין דאחמור רבנן שלא יאכלנו באיסור ע"י ביטול, כיון דיש היתר לאחר זמן</w:t>
      </w:r>
      <w:r w:rsidRPr="00E14121">
        <w:rPr>
          <w:rStyle w:val="ac"/>
          <w:rFonts w:ascii="Narkisim" w:hAnsi="Narkisim" w:cs="Narkisim"/>
          <w:rtl/>
        </w:rPr>
        <w:footnoteReference w:id="4989"/>
      </w:r>
      <w:r w:rsidRPr="00E14121">
        <w:rPr>
          <w:rFonts w:ascii="Narkisim" w:hAnsi="Narkisim" w:cs="Narkisim"/>
          <w:rtl/>
        </w:rPr>
        <w:t>. אבל ה</w:t>
      </w:r>
      <w:r w:rsidRPr="00E14121">
        <w:rPr>
          <w:rFonts w:ascii="Narkisim" w:hAnsi="Narkisim" w:cs="Narkisim"/>
          <w:b/>
          <w:bCs/>
          <w:rtl/>
        </w:rPr>
        <w:t>ר"ן</w:t>
      </w:r>
      <w:r w:rsidRPr="00E14121">
        <w:rPr>
          <w:rFonts w:ascii="Narkisim" w:hAnsi="Narkisim" w:cs="Narkisim"/>
          <w:rtl/>
        </w:rPr>
        <w:t xml:space="preserve"> (נדרים נב.) כת' הטעם דדבר שיש לו מתירין לא שייך ביטול, דכיון דדמי ליה מחזקו ואין מבטלו. דכיון דהאיסור סופו להיות מותר אינו חלוק מההיתר. ולא שייך ביטול אא"כ מנגדו ומבטלו.</w:t>
      </w:r>
    </w:p>
    <w:p w14:paraId="722770EB" w14:textId="77777777" w:rsidR="00F64AED" w:rsidRPr="00E14121" w:rsidRDefault="00F64AED" w:rsidP="00F64AED">
      <w:pPr>
        <w:pStyle w:val="aa"/>
        <w:bidi/>
        <w:rPr>
          <w:rFonts w:ascii="Narkisim" w:hAnsi="Narkisim"/>
        </w:rPr>
      </w:pPr>
      <w:r w:rsidRPr="00E14121">
        <w:rPr>
          <w:rFonts w:ascii="Narkisim" w:hAnsi="Narkisim"/>
          <w:u w:val="single"/>
          <w:rtl/>
        </w:rPr>
        <w:t>והא דרב אשי בדותא</w:t>
      </w:r>
      <w:r w:rsidRPr="00E14121">
        <w:rPr>
          <w:rStyle w:val="ac"/>
          <w:rFonts w:ascii="Narkisim" w:hAnsi="Narkisim"/>
          <w:u w:val="single"/>
          <w:rtl/>
        </w:rPr>
        <w:footnoteReference w:id="4990"/>
      </w:r>
      <w:r w:rsidRPr="00E14121">
        <w:rPr>
          <w:rFonts w:ascii="Narkisim" w:hAnsi="Narkisim"/>
          <w:u w:val="single"/>
          <w:rtl/>
        </w:rPr>
        <w:t xml:space="preserve"> היא</w:t>
      </w:r>
      <w:r w:rsidRPr="00E14121">
        <w:rPr>
          <w:rStyle w:val="ac"/>
          <w:rFonts w:ascii="Narkisim" w:hAnsi="Narkisim"/>
          <w:u w:val="single"/>
          <w:rtl/>
        </w:rPr>
        <w:footnoteReference w:id="4991"/>
      </w:r>
      <w:r w:rsidRPr="00E14121">
        <w:rPr>
          <w:rFonts w:ascii="Narkisim" w:hAnsi="Narkisim"/>
          <w:u w:val="single"/>
          <w:rtl/>
        </w:rPr>
        <w:t>, למאן אי לכהן מישרא שרי וכו'.</w:t>
      </w:r>
      <w:r w:rsidRPr="00E14121">
        <w:rPr>
          <w:rFonts w:ascii="Narkisim" w:hAnsi="Narkisim"/>
          <w:rtl/>
        </w:rPr>
        <w:t xml:space="preserve"> ה</w:t>
      </w:r>
      <w:r w:rsidRPr="00E14121">
        <w:rPr>
          <w:rFonts w:ascii="Narkisim" w:hAnsi="Narkisim"/>
          <w:b/>
          <w:bCs/>
          <w:rtl/>
        </w:rPr>
        <w:t>רי"ף</w:t>
      </w:r>
      <w:r w:rsidRPr="00E14121">
        <w:rPr>
          <w:rFonts w:ascii="Narkisim" w:hAnsi="Narkisim"/>
          <w:rtl/>
        </w:rPr>
        <w:t xml:space="preserve"> (חולין צג: לב: בדה"ס) כת' דפת שאפאו עם הצלי, אסור לאכול עם כותח</w:t>
      </w:r>
      <w:r w:rsidRPr="00E14121">
        <w:rPr>
          <w:rStyle w:val="ac"/>
          <w:rFonts w:ascii="Narkisim" w:hAnsi="Narkisim"/>
          <w:rtl/>
        </w:rPr>
        <w:footnoteReference w:id="4992"/>
      </w:r>
      <w:r w:rsidRPr="00E14121">
        <w:rPr>
          <w:rFonts w:ascii="Narkisim" w:hAnsi="Narkisim"/>
          <w:rtl/>
        </w:rPr>
        <w:t>, כיון דיכול לאוכלו בלא חלב, ודבר שיש בו מתירין אפי' באלף לא בטיל</w:t>
      </w:r>
      <w:r w:rsidRPr="00E14121">
        <w:rPr>
          <w:rStyle w:val="ac"/>
          <w:rFonts w:ascii="Narkisim" w:hAnsi="Narkisim"/>
          <w:rtl/>
        </w:rPr>
        <w:footnoteReference w:id="4993"/>
      </w:r>
      <w:r w:rsidRPr="00E14121">
        <w:rPr>
          <w:rFonts w:ascii="Narkisim" w:hAnsi="Narkisim"/>
          <w:rtl/>
        </w:rPr>
        <w:t>. וה</w:t>
      </w:r>
      <w:r w:rsidRPr="00E14121">
        <w:rPr>
          <w:rFonts w:ascii="Narkisim" w:hAnsi="Narkisim"/>
          <w:b/>
          <w:bCs/>
          <w:rtl/>
        </w:rPr>
        <w:t xml:space="preserve">רשב"א </w:t>
      </w:r>
      <w:r w:rsidRPr="00E14121">
        <w:rPr>
          <w:rFonts w:ascii="Narkisim" w:hAnsi="Narkisim"/>
          <w:rtl/>
        </w:rPr>
        <w:t>הק' עליו דבסוגיין מבואר דמה שיש לו צד היתר לכהן לא נחשב יש לו מתירין, אא"כ יש היתר לאיסור לאחר זמן. וה</w:t>
      </w:r>
      <w:r w:rsidRPr="00E14121">
        <w:rPr>
          <w:rFonts w:ascii="Narkisim" w:hAnsi="Narkisim"/>
          <w:b/>
          <w:bCs/>
          <w:rtl/>
        </w:rPr>
        <w:t xml:space="preserve">ר"ן </w:t>
      </w:r>
      <w:r w:rsidRPr="00E14121">
        <w:rPr>
          <w:rFonts w:ascii="Narkisim" w:hAnsi="Narkisim"/>
          <w:rtl/>
        </w:rPr>
        <w:t>(נדרים נב. בסו"ד) חילק דהתם דהוה היתר לכל העולם לאכול בלא חלב [ויש צד היתר לכל העולם]. אבל הכא לישראל לעולם אסור, וצד ההיתר של הכהן אינו בדין שיגרום איסור לישראל.</w:t>
      </w:r>
    </w:p>
    <w:p w14:paraId="6E23E5D9" w14:textId="77777777" w:rsidR="00F64AED" w:rsidRPr="00E14121" w:rsidRDefault="00F64AED" w:rsidP="00F64AED">
      <w:pPr>
        <w:bidi/>
        <w:rPr>
          <w:rFonts w:ascii="Narkisim" w:hAnsi="Narkisim" w:cs="Narkisim"/>
        </w:rPr>
      </w:pPr>
      <w:r w:rsidRPr="00E14121">
        <w:rPr>
          <w:rFonts w:ascii="Narkisim" w:hAnsi="Narkisim" w:cs="Narkisim"/>
          <w:u w:val="single"/>
          <w:rtl/>
        </w:rPr>
        <w:t>שאני אומר תרומה לתוך תרומה נפלה וכו'.</w:t>
      </w:r>
      <w:r w:rsidRPr="00E14121">
        <w:rPr>
          <w:rFonts w:ascii="Narkisim" w:hAnsi="Narkisim" w:cs="Narkisim"/>
          <w:rtl/>
        </w:rPr>
        <w:t xml:space="preserve"> ומבואר דכיון דהוה איסור דרבנן תלינן שאני אומר וכו'. </w:t>
      </w:r>
      <w:r w:rsidRPr="00E14121">
        <w:rPr>
          <w:rFonts w:ascii="Narkisim" w:hAnsi="Narkisim" w:cs="Narkisim"/>
          <w:sz w:val="20"/>
          <w:szCs w:val="20"/>
          <w:rtl/>
        </w:rPr>
        <w:t>[ולר' יוחנן איירי בתרומה בזה"ז דרבנן, ולר"ל איירי שמדאורייתא בטל דרוב, וע' ב</w:t>
      </w:r>
      <w:r w:rsidRPr="00E14121">
        <w:rPr>
          <w:rFonts w:ascii="Narkisim" w:hAnsi="Narkisim" w:cs="Narkisim"/>
          <w:b/>
          <w:bCs/>
          <w:sz w:val="20"/>
          <w:szCs w:val="20"/>
          <w:rtl/>
        </w:rPr>
        <w:t>רשב"א</w:t>
      </w:r>
      <w:r w:rsidRPr="00E14121">
        <w:rPr>
          <w:rFonts w:ascii="Narkisim" w:hAnsi="Narkisim" w:cs="Narkisim"/>
          <w:sz w:val="20"/>
          <w:szCs w:val="20"/>
          <w:rtl/>
        </w:rPr>
        <w:t xml:space="preserve"> (בע"ב) דהאריך בזה].</w:t>
      </w:r>
      <w:r w:rsidRPr="00E14121">
        <w:rPr>
          <w:rFonts w:ascii="Narkisim" w:hAnsi="Narkisim" w:cs="Narkisim"/>
          <w:rtl/>
        </w:rPr>
        <w:t xml:space="preserve"> וה</w:t>
      </w:r>
      <w:r w:rsidRPr="00E14121">
        <w:rPr>
          <w:rFonts w:ascii="Narkisim" w:hAnsi="Narkisim" w:cs="Narkisim"/>
          <w:b/>
          <w:bCs/>
          <w:rtl/>
        </w:rPr>
        <w:t>ריטב"א</w:t>
      </w:r>
      <w:r w:rsidRPr="00E14121">
        <w:rPr>
          <w:rFonts w:ascii="Narkisim" w:hAnsi="Narkisim" w:cs="Narkisim"/>
          <w:rtl/>
        </w:rPr>
        <w:t xml:space="preserve"> ביאר דכיון דספיקא היכי נפלו נקטינן ספיקא דרבנן לקולא. [ומבואר ד'שאני אומר' הוה משום סברת ספק דרבנן לקולא</w:t>
      </w:r>
      <w:r w:rsidRPr="00E14121">
        <w:rPr>
          <w:rStyle w:val="ac"/>
          <w:rFonts w:ascii="Narkisim" w:hAnsi="Narkisim" w:cs="Narkisim"/>
          <w:rtl/>
        </w:rPr>
        <w:footnoteReference w:id="4994"/>
      </w:r>
      <w:r w:rsidRPr="00E14121">
        <w:rPr>
          <w:rFonts w:ascii="Narkisim" w:hAnsi="Narkisim" w:cs="Narkisim"/>
          <w:rtl/>
        </w:rPr>
        <w:t>].</w:t>
      </w:r>
    </w:p>
    <w:p w14:paraId="7235A70C"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 xml:space="preserve">רשב"א </w:t>
      </w:r>
      <w:r w:rsidRPr="00E14121">
        <w:rPr>
          <w:rFonts w:ascii="Narkisim" w:hAnsi="Narkisim"/>
          <w:rtl/>
        </w:rPr>
        <w:t>הק' אמאי בעינן 'שאני אומר', נימא ספק דרבנן לקולא. ותי' דכיון דנפלה ודאי תרומה לא' מהם, וב' קופות במוקף הוה ככלי א'. בכי הא לא אמרי' ספיקא דרבנן לקולא</w:t>
      </w:r>
      <w:r w:rsidRPr="00E14121">
        <w:rPr>
          <w:rStyle w:val="ac"/>
          <w:rFonts w:ascii="Narkisim" w:hAnsi="Narkisim"/>
          <w:rtl/>
        </w:rPr>
        <w:footnoteReference w:id="4995"/>
      </w:r>
      <w:r w:rsidRPr="00E14121">
        <w:rPr>
          <w:rFonts w:ascii="Narkisim" w:hAnsi="Narkisim"/>
          <w:rtl/>
        </w:rPr>
        <w:t xml:space="preserve"> (וע"ע בע"ב).</w:t>
      </w:r>
    </w:p>
    <w:p w14:paraId="0F5662E3"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ה</w:t>
      </w:r>
      <w:r w:rsidRPr="00E14121">
        <w:rPr>
          <w:rFonts w:ascii="Narkisim" w:hAnsi="Narkisim" w:cs="Narkisim"/>
          <w:b/>
          <w:bCs/>
          <w:rtl/>
        </w:rPr>
        <w:t xml:space="preserve">רמב"ן </w:t>
      </w:r>
      <w:r w:rsidRPr="00E14121">
        <w:rPr>
          <w:rFonts w:ascii="Narkisim" w:hAnsi="Narkisim" w:cs="Narkisim"/>
          <w:rtl/>
        </w:rPr>
        <w:t>כת' דאיירי בב' קופות של אדם א', א"נ בבאין לשאול בבת אחת. אבל של ב' בנ"א ונשאלו בזה אחר זה, כולן מותרין [אף בלא שאני אומר]</w:t>
      </w:r>
      <w:r w:rsidRPr="00E14121">
        <w:rPr>
          <w:rStyle w:val="ac"/>
          <w:rFonts w:ascii="Narkisim" w:hAnsi="Narkisim" w:cs="Narkisim"/>
          <w:rtl/>
        </w:rPr>
        <w:footnoteReference w:id="4996"/>
      </w:r>
      <w:r w:rsidRPr="00E14121">
        <w:rPr>
          <w:rFonts w:ascii="Narkisim" w:hAnsi="Narkisim" w:cs="Narkisim"/>
          <w:rtl/>
        </w:rPr>
        <w:t>, דכל א' נידון בפנ"ע. וה</w:t>
      </w:r>
      <w:r w:rsidRPr="00E14121">
        <w:rPr>
          <w:rFonts w:ascii="Narkisim" w:hAnsi="Narkisim" w:cs="Narkisim"/>
          <w:b/>
          <w:bCs/>
          <w:rtl/>
        </w:rPr>
        <w:t xml:space="preserve">רשב"א </w:t>
      </w:r>
      <w:r w:rsidRPr="00E14121">
        <w:rPr>
          <w:rFonts w:ascii="Narkisim" w:hAnsi="Narkisim" w:cs="Narkisim"/>
          <w:rtl/>
        </w:rPr>
        <w:t>חלק</w:t>
      </w:r>
      <w:r w:rsidRPr="00E14121">
        <w:rPr>
          <w:rStyle w:val="ac"/>
          <w:rFonts w:ascii="Narkisim" w:hAnsi="Narkisim" w:cs="Narkisim"/>
          <w:rtl/>
        </w:rPr>
        <w:footnoteReference w:id="4997"/>
      </w:r>
      <w:r w:rsidRPr="00E14121">
        <w:rPr>
          <w:rFonts w:ascii="Narkisim" w:hAnsi="Narkisim" w:cs="Narkisim"/>
          <w:rtl/>
        </w:rPr>
        <w:t xml:space="preserve"> דכיון דנפלה לא', ואין ידוע לאיזה הוה כספק א'. </w:t>
      </w:r>
      <w:r w:rsidRPr="00E14121">
        <w:rPr>
          <w:rFonts w:ascii="Narkisim" w:hAnsi="Narkisim" w:cs="Narkisim"/>
          <w:sz w:val="20"/>
          <w:szCs w:val="20"/>
          <w:rtl/>
        </w:rPr>
        <w:t>(וע"ע שו"ע קיא ט"ז ו וש"ך יג,יט ומשנ"ל אבה"ט יט). וה</w:t>
      </w:r>
      <w:r w:rsidRPr="00E14121">
        <w:rPr>
          <w:rFonts w:ascii="Narkisim" w:hAnsi="Narkisim" w:cs="Narkisim"/>
          <w:b/>
          <w:bCs/>
          <w:sz w:val="20"/>
          <w:szCs w:val="20"/>
          <w:rtl/>
        </w:rPr>
        <w:t>רשב"א</w:t>
      </w:r>
      <w:r w:rsidRPr="00E14121">
        <w:rPr>
          <w:rFonts w:ascii="Narkisim" w:hAnsi="Narkisim" w:cs="Narkisim"/>
          <w:sz w:val="20"/>
          <w:szCs w:val="20"/>
          <w:rtl/>
        </w:rPr>
        <w:t xml:space="preserve"> כתב דאדרבה כשהוא של אדם א' קיל טפי, ומהני כשיש בין שניהם שיעור לבטל (וכדתנן תרומות ד יא), דראויין להתפנות למקום א'. [וע"ע ב</w:t>
      </w:r>
      <w:r w:rsidRPr="00E14121">
        <w:rPr>
          <w:rFonts w:ascii="Narkisim" w:hAnsi="Narkisim" w:cs="Narkisim"/>
          <w:b/>
          <w:bCs/>
          <w:sz w:val="20"/>
          <w:szCs w:val="20"/>
          <w:rtl/>
        </w:rPr>
        <w:t>שו"ע</w:t>
      </w:r>
      <w:r w:rsidRPr="00E14121">
        <w:rPr>
          <w:rFonts w:ascii="Narkisim" w:hAnsi="Narkisim" w:cs="Narkisim"/>
          <w:sz w:val="20"/>
          <w:szCs w:val="20"/>
          <w:rtl/>
        </w:rPr>
        <w:t xml:space="preserve"> קיא].</w:t>
      </w:r>
    </w:p>
    <w:p w14:paraId="001C44C2" w14:textId="77777777" w:rsidR="00F64AED" w:rsidRPr="00E14121" w:rsidRDefault="00F64AED" w:rsidP="00F64AED">
      <w:pPr>
        <w:pStyle w:val="aa"/>
        <w:bidi/>
        <w:rPr>
          <w:rFonts w:ascii="Narkisim" w:hAnsi="Narkisim"/>
        </w:rPr>
      </w:pPr>
      <w:r w:rsidRPr="00E14121">
        <w:rPr>
          <w:rFonts w:ascii="Narkisim" w:hAnsi="Narkisim"/>
          <w:u w:val="single"/>
          <w:rtl/>
        </w:rPr>
        <w:t>שם. שאני אומר</w:t>
      </w:r>
      <w:r w:rsidRPr="00E14121">
        <w:rPr>
          <w:rFonts w:ascii="Narkisim" w:hAnsi="Narkisim"/>
          <w:rtl/>
        </w:rPr>
        <w:t>. ה</w:t>
      </w:r>
      <w:r w:rsidRPr="00E14121">
        <w:rPr>
          <w:rFonts w:ascii="Narkisim" w:hAnsi="Narkisim"/>
          <w:b/>
          <w:bCs/>
          <w:rtl/>
        </w:rPr>
        <w:t>תוס' רא"ש</w:t>
      </w:r>
      <w:r w:rsidRPr="00E14121">
        <w:rPr>
          <w:rFonts w:ascii="Narkisim" w:hAnsi="Narkisim"/>
          <w:rtl/>
        </w:rPr>
        <w:t xml:space="preserve"> (בע"ב) הביא דמבואר בסוגיין דדוקא באיסור דרבנן אמרי' שאני אומר, אף לדעת ר' יוסי. והביא דר' שמואל הק' דאי' (מעש"ש ד יא, הו' לקמן קטו:) דלר' יוסי מצא כלי שכתוב עליו תרומה תלינן להקל דהוה חולין, 'שאני אומר' אישתקד היתה מלאה תרומה ופינה. וי"ל דלא דמי כלל להך דהכא, דהתם אזלי' בתר רוב פירות ורוב תשמישו של הכלי פירות חולין. וכל הספק שהוא תרומה מחמת הכתב, ור' יוסי ס"ל דהוה כאילו אין שם כתב. ואטו כל שאני אומר בחדא מחתא מחתינהו</w:t>
      </w:r>
      <w:r w:rsidRPr="00E14121">
        <w:rPr>
          <w:rStyle w:val="ac"/>
          <w:rFonts w:ascii="Narkisim" w:hAnsi="Narkisim"/>
          <w:rtl/>
        </w:rPr>
        <w:footnoteReference w:id="4998"/>
      </w:r>
      <w:r w:rsidRPr="00E14121">
        <w:rPr>
          <w:rFonts w:ascii="Narkisim" w:hAnsi="Narkisim"/>
          <w:rtl/>
        </w:rPr>
        <w:t>.</w:t>
      </w:r>
    </w:p>
    <w:p w14:paraId="578672FC" w14:textId="77777777" w:rsidR="00F64AED" w:rsidRPr="00E14121" w:rsidRDefault="00F64AED" w:rsidP="00F64AED">
      <w:pPr>
        <w:bidi/>
        <w:rPr>
          <w:rFonts w:ascii="Narkisim" w:hAnsi="Narkisim" w:cs="Narkisim"/>
        </w:rPr>
      </w:pPr>
      <w:r w:rsidRPr="00E14121">
        <w:rPr>
          <w:rFonts w:ascii="Narkisim" w:hAnsi="Narkisim" w:cs="Narkisim"/>
          <w:u w:val="single"/>
          <w:rtl/>
        </w:rPr>
        <w:t>תוד"ה שתי.</w:t>
      </w:r>
      <w:r w:rsidRPr="00E14121">
        <w:rPr>
          <w:rFonts w:ascii="Narkisim" w:hAnsi="Narkisim" w:cs="Narkisim"/>
          <w:rtl/>
        </w:rPr>
        <w:t xml:space="preserve"> בב' קופות וב' סאין דליכא למימר כולי האי אוקי חולין אחזקייהו וכו'. </w:t>
      </w:r>
      <w:r w:rsidRPr="00E14121">
        <w:rPr>
          <w:rFonts w:ascii="Narkisim" w:hAnsi="Narkisim" w:cs="Narkisim"/>
          <w:szCs w:val="20"/>
          <w:rtl/>
        </w:rPr>
        <w:t>[כיון דודאי נפל לתוכו, וספק מה נפל]</w:t>
      </w:r>
      <w:r w:rsidRPr="00E14121">
        <w:rPr>
          <w:rFonts w:ascii="Narkisim" w:hAnsi="Narkisim" w:cs="Narkisim"/>
          <w:rtl/>
        </w:rPr>
        <w:t>.</w:t>
      </w:r>
    </w:p>
    <w:p w14:paraId="5BF60357" w14:textId="77777777" w:rsidR="00F64AED" w:rsidRPr="00E14121" w:rsidRDefault="00F64AED" w:rsidP="00F64AED">
      <w:pPr>
        <w:pStyle w:val="a7"/>
        <w:bidi/>
        <w:rPr>
          <w:rFonts w:ascii="Narkisim" w:hAnsi="Narkisim"/>
        </w:rPr>
      </w:pPr>
      <w:r w:rsidRPr="00E14121">
        <w:rPr>
          <w:rFonts w:ascii="Narkisim" w:hAnsi="Narkisim"/>
          <w:rtl/>
        </w:rPr>
        <w:lastRenderedPageBreak/>
        <w:t>וה</w:t>
      </w:r>
      <w:r w:rsidRPr="00E14121">
        <w:rPr>
          <w:rFonts w:ascii="Narkisim" w:hAnsi="Narkisim"/>
          <w:b/>
          <w:bCs/>
          <w:rtl/>
        </w:rPr>
        <w:t>ר"ש</w:t>
      </w:r>
      <w:r w:rsidRPr="00E14121">
        <w:rPr>
          <w:rFonts w:ascii="Narkisim" w:hAnsi="Narkisim"/>
          <w:rtl/>
        </w:rPr>
        <w:t xml:space="preserve"> (תרומות ז ה) כת' דבברייתא הוה חידוש טפי, דאמרי' תרי 'שאני אומר', דתלינן חולין בחולין ותרומה בתרומה</w:t>
      </w:r>
      <w:r w:rsidRPr="00E14121">
        <w:rPr>
          <w:rStyle w:val="ac"/>
          <w:rFonts w:ascii="Narkisim" w:hAnsi="Narkisim"/>
          <w:rtl/>
        </w:rPr>
        <w:footnoteReference w:id="4999"/>
      </w:r>
      <w:r w:rsidRPr="00E14121">
        <w:rPr>
          <w:rFonts w:ascii="Narkisim" w:hAnsi="Narkisim"/>
          <w:rtl/>
        </w:rPr>
        <w:t>. אבל במשנה הספק על סאה א' האם נפל לחולין. ואינו חידוש כל כך.</w:t>
      </w:r>
    </w:p>
    <w:p w14:paraId="07EB0803" w14:textId="77777777" w:rsidR="00F64AED" w:rsidRPr="00E14121" w:rsidRDefault="00F64AED" w:rsidP="00F64AED">
      <w:pPr>
        <w:pStyle w:val="a8"/>
        <w:bidi/>
        <w:rPr>
          <w:rFonts w:ascii="Narkisim" w:hAnsi="Narkisim"/>
        </w:rPr>
      </w:pPr>
      <w:r w:rsidRPr="00E14121">
        <w:rPr>
          <w:rFonts w:ascii="Narkisim" w:hAnsi="Narkisim"/>
          <w:rtl/>
        </w:rPr>
        <w:t>ומש"ה שמא במשנה כולהו מודו דלא בעינן רבייה. אך ה</w:t>
      </w:r>
      <w:r w:rsidRPr="00E14121">
        <w:rPr>
          <w:rFonts w:ascii="Narkisim" w:hAnsi="Narkisim"/>
          <w:b/>
          <w:bCs/>
          <w:rtl/>
        </w:rPr>
        <w:t>ר"ש</w:t>
      </w:r>
      <w:r w:rsidRPr="00E14121">
        <w:rPr>
          <w:rFonts w:ascii="Narkisim" w:hAnsi="Narkisim"/>
          <w:rtl/>
        </w:rPr>
        <w:t xml:space="preserve"> הביא דב</w:t>
      </w:r>
      <w:r w:rsidRPr="00E14121">
        <w:rPr>
          <w:rFonts w:ascii="Narkisim" w:hAnsi="Narkisim"/>
          <w:b/>
          <w:bCs/>
          <w:rtl/>
        </w:rPr>
        <w:t>ירושלמי</w:t>
      </w:r>
      <w:r w:rsidRPr="00E14121">
        <w:rPr>
          <w:rFonts w:ascii="Narkisim" w:hAnsi="Narkisim"/>
          <w:rtl/>
        </w:rPr>
        <w:t xml:space="preserve"> (שם ג) מבואר דנח' ר' יוחנן ור"ל אף אמשנה.</w:t>
      </w:r>
    </w:p>
    <w:p w14:paraId="5E9F01AD" w14:textId="77777777" w:rsidR="00F64AED" w:rsidRPr="00E14121" w:rsidRDefault="00F64AED" w:rsidP="00F64AED">
      <w:pPr>
        <w:bidi/>
        <w:rPr>
          <w:rFonts w:ascii="Narkisim" w:hAnsi="Narkisim" w:cs="Narkisim"/>
        </w:rPr>
      </w:pPr>
      <w:r w:rsidRPr="00E14121">
        <w:rPr>
          <w:rFonts w:ascii="Narkisim" w:hAnsi="Narkisim" w:cs="Narkisim"/>
          <w:u w:val="single"/>
          <w:rtl/>
        </w:rPr>
        <w:t>בא"ד ואפשר דבסאה א' [כצ"ל] אפי' ר"ל מודה, דסמכינן אחזקת חולין שבקופה וכו'</w:t>
      </w:r>
      <w:r w:rsidRPr="00E14121">
        <w:rPr>
          <w:rFonts w:ascii="Narkisim" w:hAnsi="Narkisim" w:cs="Narkisim"/>
          <w:rtl/>
        </w:rPr>
        <w:t>. דאמרי' חזקה דלא נתערב איסור בקופה, ואף דע"י התערובת לא נשתנה ההיתר. [ומשמע דתוס' נסתפקו בסברא זו</w:t>
      </w:r>
      <w:r w:rsidRPr="00E14121">
        <w:rPr>
          <w:rStyle w:val="ac"/>
          <w:rFonts w:ascii="Narkisim" w:hAnsi="Narkisim" w:cs="Narkisim"/>
          <w:rtl/>
        </w:rPr>
        <w:footnoteReference w:id="5000"/>
      </w:r>
      <w:r w:rsidRPr="00E14121">
        <w:rPr>
          <w:rFonts w:ascii="Narkisim" w:hAnsi="Narkisim" w:cs="Narkisim"/>
          <w:rtl/>
        </w:rPr>
        <w:t>]. אבל ה</w:t>
      </w:r>
      <w:r w:rsidRPr="00E14121">
        <w:rPr>
          <w:rFonts w:ascii="Narkisim" w:hAnsi="Narkisim" w:cs="Narkisim"/>
          <w:b/>
          <w:bCs/>
          <w:rtl/>
        </w:rPr>
        <w:t>ר"ש</w:t>
      </w:r>
      <w:r w:rsidRPr="00E14121">
        <w:rPr>
          <w:rFonts w:ascii="Narkisim" w:hAnsi="Narkisim" w:cs="Narkisim"/>
          <w:rtl/>
        </w:rPr>
        <w:t xml:space="preserve"> (תרומות ז ה) כת' דגבי קופות לא שייך חזקת היתר אם נפלה חולין לתוך תרומה.</w:t>
      </w:r>
    </w:p>
    <w:p w14:paraId="15103898" w14:textId="77777777" w:rsidR="00F64AED" w:rsidRPr="00E14121" w:rsidRDefault="00F64AED" w:rsidP="00F64AED">
      <w:pPr>
        <w:pStyle w:val="a8"/>
        <w:bidi/>
        <w:rPr>
          <w:rFonts w:ascii="Narkisim" w:hAnsi="Narkisim"/>
        </w:rPr>
      </w:pPr>
      <w:r w:rsidRPr="00E14121">
        <w:rPr>
          <w:rFonts w:ascii="Narkisim" w:hAnsi="Narkisim"/>
          <w:rtl/>
        </w:rPr>
        <w:t>וכן נפסק ב</w:t>
      </w:r>
      <w:r w:rsidRPr="00E14121">
        <w:rPr>
          <w:rFonts w:ascii="Narkisim" w:hAnsi="Narkisim"/>
          <w:b/>
          <w:bCs/>
          <w:rtl/>
        </w:rPr>
        <w:t xml:space="preserve">שו"ע </w:t>
      </w:r>
      <w:r w:rsidRPr="00E14121">
        <w:rPr>
          <w:rFonts w:ascii="Narkisim" w:hAnsi="Narkisim"/>
          <w:rtl/>
        </w:rPr>
        <w:t>(יו"ד קיא ג) דבאיסור דאורייתא, ונפל לא' מהקדירות אסור</w:t>
      </w:r>
      <w:r w:rsidRPr="00E14121">
        <w:rPr>
          <w:rStyle w:val="ac"/>
          <w:rFonts w:ascii="Narkisim" w:hAnsi="Narkisim"/>
          <w:rtl/>
        </w:rPr>
        <w:footnoteReference w:id="5001"/>
      </w:r>
      <w:r w:rsidRPr="00E14121">
        <w:rPr>
          <w:rFonts w:ascii="Narkisim" w:hAnsi="Narkisim"/>
          <w:rtl/>
        </w:rPr>
        <w:t>.</w:t>
      </w:r>
    </w:p>
    <w:p w14:paraId="2A57E487" w14:textId="77777777" w:rsidR="00F64AED" w:rsidRPr="00E14121" w:rsidRDefault="00F64AED" w:rsidP="00F64AED">
      <w:pPr>
        <w:bidi/>
        <w:rPr>
          <w:rFonts w:ascii="Narkisim" w:hAnsi="Narkisim" w:cs="Narkisim"/>
        </w:rPr>
      </w:pPr>
      <w:r w:rsidRPr="00E14121">
        <w:rPr>
          <w:rFonts w:ascii="Narkisim" w:hAnsi="Narkisim" w:cs="Narkisim"/>
          <w:u w:val="single"/>
          <w:rtl/>
        </w:rPr>
        <w:t>שם. אחזקת חולין שבקופה</w:t>
      </w:r>
      <w:r w:rsidRPr="00E14121">
        <w:rPr>
          <w:rFonts w:ascii="Narkisim" w:hAnsi="Narkisim" w:cs="Narkisim"/>
          <w:rtl/>
        </w:rPr>
        <w:t>. מבואר בתוס' דאמרי' 'חזקת היתר' דלא נתערב בו תרומה</w:t>
      </w:r>
      <w:r w:rsidRPr="00E14121">
        <w:rPr>
          <w:rStyle w:val="ac"/>
          <w:rFonts w:ascii="Narkisim" w:hAnsi="Narkisim" w:cs="Narkisim"/>
          <w:rtl/>
        </w:rPr>
        <w:footnoteReference w:id="5002"/>
      </w:r>
      <w:r w:rsidRPr="00E14121">
        <w:rPr>
          <w:rFonts w:ascii="Narkisim" w:hAnsi="Narkisim" w:cs="Narkisim"/>
          <w:rtl/>
        </w:rPr>
        <w:t>. אבל ה</w:t>
      </w:r>
      <w:r w:rsidRPr="00E14121">
        <w:rPr>
          <w:rFonts w:ascii="Narkisim" w:hAnsi="Narkisim" w:cs="Narkisim"/>
          <w:b/>
          <w:bCs/>
          <w:rtl/>
        </w:rPr>
        <w:t xml:space="preserve">שמעתתא </w:t>
      </w:r>
      <w:r w:rsidRPr="00E14121">
        <w:rPr>
          <w:rFonts w:ascii="Narkisim" w:hAnsi="Narkisim" w:cs="Narkisim"/>
          <w:rtl/>
        </w:rPr>
        <w:t>(ג ז) כתב דלא מהני חזקה דההיתר לא נשתנה אף אם נתערב בו איסור</w:t>
      </w:r>
      <w:r w:rsidRPr="00E14121">
        <w:rPr>
          <w:rStyle w:val="ac"/>
          <w:rFonts w:ascii="Narkisim" w:hAnsi="Narkisim" w:cs="Narkisim"/>
          <w:rtl/>
        </w:rPr>
        <w:footnoteReference w:id="5003"/>
      </w:r>
      <w:r w:rsidRPr="00E14121">
        <w:rPr>
          <w:rFonts w:ascii="Narkisim" w:hAnsi="Narkisim" w:cs="Narkisim"/>
          <w:rtl/>
        </w:rPr>
        <w:t>.</w:t>
      </w:r>
    </w:p>
    <w:p w14:paraId="08E6E98F"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 ד, ועד"ז ה</w:t>
      </w:r>
      <w:r w:rsidRPr="00E14121">
        <w:rPr>
          <w:rFonts w:ascii="Narkisim" w:hAnsi="Narkisim"/>
          <w:b/>
          <w:bCs/>
          <w:rtl/>
        </w:rPr>
        <w:t>שער"י</w:t>
      </w:r>
      <w:r w:rsidRPr="00E14121">
        <w:rPr>
          <w:rFonts w:ascii="Narkisim" w:hAnsi="Narkisim"/>
          <w:rtl/>
        </w:rPr>
        <w:t xml:space="preserve"> ב יא) פי' דעת התוס' דיש חזקה דלא נאסר, ע"פ מש"כ </w:t>
      </w:r>
      <w:r w:rsidRPr="00E14121">
        <w:rPr>
          <w:rFonts w:ascii="Narkisim" w:hAnsi="Narkisim"/>
          <w:b/>
          <w:bCs/>
          <w:rtl/>
        </w:rPr>
        <w:t>תוס</w:t>
      </w:r>
      <w:r w:rsidRPr="00E14121">
        <w:rPr>
          <w:rFonts w:ascii="Narkisim" w:hAnsi="Narkisim"/>
          <w:rtl/>
        </w:rPr>
        <w:t>' (נדה מז) דמדין 'מדומע'</w:t>
      </w:r>
      <w:r w:rsidRPr="00E14121">
        <w:rPr>
          <w:rStyle w:val="ac"/>
          <w:rFonts w:ascii="Narkisim" w:hAnsi="Narkisim"/>
          <w:rtl/>
        </w:rPr>
        <w:footnoteReference w:id="5004"/>
      </w:r>
      <w:r w:rsidRPr="00E14121">
        <w:rPr>
          <w:rFonts w:ascii="Narkisim" w:hAnsi="Narkisim"/>
          <w:rtl/>
        </w:rPr>
        <w:t xml:space="preserve"> אף החולין נעשית תרומה</w:t>
      </w:r>
      <w:r w:rsidRPr="00E14121">
        <w:rPr>
          <w:rStyle w:val="ac"/>
          <w:rFonts w:ascii="Narkisim" w:hAnsi="Narkisim"/>
          <w:rtl/>
        </w:rPr>
        <w:footnoteReference w:id="5005"/>
      </w:r>
      <w:r w:rsidRPr="00E14121">
        <w:rPr>
          <w:rFonts w:ascii="Narkisim" w:hAnsi="Narkisim"/>
          <w:rtl/>
        </w:rPr>
        <w:t xml:space="preserve">. </w:t>
      </w:r>
      <w:r w:rsidRPr="00E14121">
        <w:rPr>
          <w:rFonts w:ascii="Narkisim" w:hAnsi="Narkisim"/>
          <w:szCs w:val="20"/>
          <w:rtl/>
        </w:rPr>
        <w:t>והביאו דלענין ניקור כתב ה</w:t>
      </w:r>
      <w:r w:rsidRPr="00E14121">
        <w:rPr>
          <w:rFonts w:ascii="Narkisim" w:hAnsi="Narkisim"/>
          <w:b/>
          <w:bCs/>
          <w:szCs w:val="20"/>
          <w:rtl/>
        </w:rPr>
        <w:t>רא"ש</w:t>
      </w:r>
      <w:r w:rsidRPr="00E14121">
        <w:rPr>
          <w:rFonts w:ascii="Narkisim" w:hAnsi="Narkisim"/>
          <w:szCs w:val="20"/>
          <w:rtl/>
        </w:rPr>
        <w:t xml:space="preserve"> (חולין ז יט) דלא נחשב דיש חזקת איסור ע"י תערובת</w:t>
      </w:r>
      <w:r w:rsidRPr="00E14121">
        <w:rPr>
          <w:rStyle w:val="ac"/>
          <w:rFonts w:ascii="Narkisim" w:hAnsi="Narkisim"/>
          <w:szCs w:val="20"/>
          <w:rtl/>
        </w:rPr>
        <w:footnoteReference w:id="5006"/>
      </w:r>
      <w:r w:rsidRPr="00E14121">
        <w:rPr>
          <w:rFonts w:ascii="Narkisim" w:hAnsi="Narkisim"/>
          <w:rtl/>
        </w:rPr>
        <w:t>. אבל ה</w:t>
      </w:r>
      <w:r w:rsidRPr="00E14121">
        <w:rPr>
          <w:rFonts w:ascii="Narkisim" w:hAnsi="Narkisim"/>
          <w:b/>
          <w:bCs/>
          <w:rtl/>
        </w:rPr>
        <w:t>חזו"א</w:t>
      </w:r>
      <w:r w:rsidRPr="00E14121">
        <w:rPr>
          <w:rFonts w:ascii="Narkisim" w:hAnsi="Narkisim"/>
          <w:rtl/>
        </w:rPr>
        <w:t xml:space="preserve"> (טהרות ג יא) הביא מדברי התוס' דמעיקר הדין חשיב חזקה, אלא דלא הוה חזקה גמורה להקל בדאורייתא.</w:t>
      </w:r>
    </w:p>
    <w:p w14:paraId="1D9AD69D" w14:textId="77777777" w:rsidR="00F64AED" w:rsidRPr="00E14121" w:rsidRDefault="00F64AED" w:rsidP="00F64AED">
      <w:pPr>
        <w:pStyle w:val="3"/>
        <w:bidi/>
        <w:rPr>
          <w:rFonts w:ascii="Narkisim" w:hAnsi="Narkisim"/>
        </w:rPr>
      </w:pPr>
      <w:r w:rsidRPr="00E14121">
        <w:rPr>
          <w:rFonts w:ascii="Narkisim" w:hAnsi="Narkisim"/>
          <w:rtl/>
        </w:rPr>
        <w:t>דף פב:</w:t>
      </w:r>
    </w:p>
    <w:p w14:paraId="5827F955" w14:textId="77777777" w:rsidR="00F64AED" w:rsidRPr="00E14121" w:rsidRDefault="00F64AED" w:rsidP="00F64AED">
      <w:pPr>
        <w:pStyle w:val="2"/>
        <w:bidi/>
        <w:rPr>
          <w:rFonts w:ascii="Narkisim" w:hAnsi="Narkisim"/>
          <w:sz w:val="21"/>
        </w:rPr>
      </w:pPr>
      <w:r w:rsidRPr="00E14121">
        <w:rPr>
          <w:rFonts w:ascii="Narkisim" w:hAnsi="Narkisim"/>
          <w:sz w:val="21"/>
          <w:rtl/>
        </w:rPr>
        <w:t>קדושה שניה</w:t>
      </w:r>
    </w:p>
    <w:p w14:paraId="109529D8" w14:textId="77777777" w:rsidR="00F64AED" w:rsidRPr="00E14121" w:rsidRDefault="00F64AED" w:rsidP="00F64AED">
      <w:pPr>
        <w:bidi/>
        <w:rPr>
          <w:rFonts w:ascii="Narkisim" w:hAnsi="Narkisim" w:cs="Narkisim"/>
        </w:rPr>
      </w:pPr>
      <w:r w:rsidRPr="00E14121">
        <w:rPr>
          <w:rFonts w:ascii="Narkisim" w:hAnsi="Narkisim" w:cs="Narkisim"/>
          <w:u w:val="single"/>
          <w:rtl/>
        </w:rPr>
        <w:t>ואנא דאמרי כר' יוסי וכו' שלישית אין להם.</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דקדושה שניה מימי עזרא קיימת, ול"צ לחזור ולירש לעתיד לבא. דהירושה עומדת, ולא בטלה קדושת הארץ [בחורבן בית שני]. וקדושה ראשונה בטלה בחורבן בית ראשון, אבל קדושה שניה דעזרא לא בטלה. ו</w:t>
      </w:r>
      <w:r w:rsidRPr="00E14121">
        <w:rPr>
          <w:rFonts w:ascii="Narkisim" w:hAnsi="Narkisim" w:cs="Narkisim"/>
          <w:b/>
          <w:bCs/>
          <w:rtl/>
        </w:rPr>
        <w:t>ר"ח</w:t>
      </w:r>
      <w:r w:rsidRPr="00E14121">
        <w:rPr>
          <w:rFonts w:ascii="Narkisim" w:hAnsi="Narkisim" w:cs="Narkisim"/>
          <w:rtl/>
        </w:rPr>
        <w:t xml:space="preserve"> (בתוס') פי' דקדושת יהושע לא בטלה.</w:t>
      </w:r>
    </w:p>
    <w:p w14:paraId="4572EF87"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(בית הבחירה ו טז) כת' דקדושה ראשונה [דיהושע] היתה בכיבוש, וכיון דנלקחה הארץ מידיהם בטלה הכיבוש. אבל עזרא לא קידשה בכיבוש אלא בחזקה שהחזיקו בה, לפיכך כל מקום שהחזיקו עולי בבל הרי הוא מקודש היום, ואע"פ שנלקחה הארץ ממנו. וה</w:t>
      </w:r>
      <w:r w:rsidRPr="00E14121">
        <w:rPr>
          <w:rFonts w:ascii="Narkisim" w:hAnsi="Narkisim" w:cs="Narkisim"/>
          <w:b/>
          <w:bCs/>
          <w:rtl/>
        </w:rPr>
        <w:t>כס"מ</w:t>
      </w:r>
      <w:r w:rsidRPr="00E14121">
        <w:rPr>
          <w:rFonts w:ascii="Narkisim" w:hAnsi="Narkisim" w:cs="Narkisim"/>
          <w:rtl/>
        </w:rPr>
        <w:t xml:space="preserve"> הק' מה גדול כח חזקה מכח כיבוש, ואמאי לא יתבטל. ועוד בראשונה היתה ג"כ חזקה עם הכיבוש</w:t>
      </w:r>
      <w:r w:rsidRPr="00E14121">
        <w:rPr>
          <w:rStyle w:val="ac"/>
          <w:rFonts w:ascii="Narkisim" w:hAnsi="Narkisim" w:cs="Narkisim"/>
          <w:rtl/>
        </w:rPr>
        <w:footnoteReference w:id="5007"/>
      </w:r>
      <w:r w:rsidRPr="00E14121">
        <w:rPr>
          <w:rFonts w:ascii="Narkisim" w:hAnsi="Narkisim" w:cs="Narkisim"/>
          <w:rtl/>
        </w:rPr>
        <w:t>. [והאחרונים האריכו בזה].</w:t>
      </w:r>
    </w:p>
    <w:p w14:paraId="655BE063" w14:textId="77777777" w:rsidR="00F64AED" w:rsidRPr="00E14121" w:rsidRDefault="00F64AED" w:rsidP="00F64AED">
      <w:pPr>
        <w:bidi/>
        <w:rPr>
          <w:rFonts w:ascii="Narkisim" w:hAnsi="Narkisim" w:cs="Narkisim"/>
        </w:rPr>
      </w:pPr>
      <w:r w:rsidRPr="00E14121">
        <w:rPr>
          <w:rFonts w:ascii="Narkisim" w:hAnsi="Narkisim" w:cs="Narkisim"/>
          <w:u w:val="single"/>
          <w:rtl/>
        </w:rPr>
        <w:t>שם. ואנא דאמרי וכו'</w:t>
      </w:r>
      <w:r w:rsidRPr="00E14121">
        <w:rPr>
          <w:rFonts w:ascii="Narkisim" w:hAnsi="Narkisim" w:cs="Narkisim"/>
          <w:rtl/>
        </w:rPr>
        <w:t xml:space="preserve">. משמע דר' יוחנן עצמו ס"ל דתרומה בזה"ז דרבנן, ולכן קופות בטל. וכ"כ </w:t>
      </w:r>
      <w:r w:rsidRPr="00E14121">
        <w:rPr>
          <w:rFonts w:ascii="Narkisim" w:hAnsi="Narkisim" w:cs="Narkisim"/>
          <w:b/>
          <w:bCs/>
          <w:rtl/>
        </w:rPr>
        <w:t>תוס</w:t>
      </w:r>
      <w:r w:rsidRPr="00E14121">
        <w:rPr>
          <w:rFonts w:ascii="Narkisim" w:hAnsi="Narkisim" w:cs="Narkisim"/>
          <w:rtl/>
        </w:rPr>
        <w:t>' (פא. ד"ה אמר), ומשמע דס"ל דלא קידשה לעתיד לבא.</w:t>
      </w:r>
    </w:p>
    <w:p w14:paraId="10BC27B6"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רמב"ם</w:t>
      </w:r>
      <w:r w:rsidRPr="00E14121">
        <w:rPr>
          <w:rFonts w:ascii="Narkisim" w:hAnsi="Narkisim"/>
          <w:rtl/>
        </w:rPr>
        <w:t xml:space="preserve"> (תרומות א כו) פסק דתרומה בזה"ז מדרבנן, אך מטעם אחר, דלתרומה בעינן ביאת כולכם [מדאורייתא]. </w:t>
      </w:r>
      <w:r w:rsidRPr="00E14121">
        <w:rPr>
          <w:rFonts w:ascii="Narkisim" w:hAnsi="Narkisim"/>
          <w:sz w:val="20"/>
          <w:szCs w:val="20"/>
          <w:rtl/>
        </w:rPr>
        <w:t>[וכמו גבי חלה, כדדרשי' (כתובות כה. ונדה מז.)</w:t>
      </w:r>
      <w:r w:rsidRPr="00E14121">
        <w:rPr>
          <w:rStyle w:val="ac"/>
          <w:rFonts w:ascii="Narkisim" w:hAnsi="Narkisim"/>
          <w:sz w:val="20"/>
          <w:szCs w:val="20"/>
          <w:rtl/>
        </w:rPr>
        <w:footnoteReference w:id="5008"/>
      </w:r>
      <w:r w:rsidRPr="00E14121">
        <w:rPr>
          <w:rFonts w:ascii="Narkisim" w:hAnsi="Narkisim"/>
          <w:sz w:val="20"/>
          <w:szCs w:val="20"/>
          <w:rtl/>
        </w:rPr>
        <w:t>]</w:t>
      </w:r>
      <w:r w:rsidRPr="00E14121">
        <w:rPr>
          <w:rFonts w:ascii="Narkisim" w:hAnsi="Narkisim"/>
          <w:rtl/>
        </w:rPr>
        <w:t>. וה</w:t>
      </w:r>
      <w:r w:rsidRPr="00E14121">
        <w:rPr>
          <w:rFonts w:ascii="Narkisim" w:hAnsi="Narkisim"/>
          <w:b/>
          <w:bCs/>
          <w:rtl/>
        </w:rPr>
        <w:t>ראב"ד</w:t>
      </w:r>
      <w:r w:rsidRPr="00E14121">
        <w:rPr>
          <w:rFonts w:ascii="Narkisim" w:hAnsi="Narkisim"/>
          <w:rtl/>
        </w:rPr>
        <w:t xml:space="preserve"> (שם ושם, וכן </w:t>
      </w:r>
      <w:r w:rsidRPr="00E14121">
        <w:rPr>
          <w:rFonts w:ascii="Narkisim" w:hAnsi="Narkisim"/>
          <w:rtl/>
        </w:rPr>
        <w:lastRenderedPageBreak/>
        <w:t>הרמ"ך בהל' איסו"ב) השיג דקי"ל לר' יוחנן דתרומה בזה"ז דאורייתא (בסוגיין)</w:t>
      </w:r>
      <w:r w:rsidRPr="00E14121">
        <w:rPr>
          <w:rStyle w:val="ac"/>
          <w:rFonts w:ascii="Narkisim" w:hAnsi="Narkisim"/>
          <w:rtl/>
        </w:rPr>
        <w:footnoteReference w:id="5009"/>
      </w:r>
      <w:r w:rsidRPr="00E14121">
        <w:rPr>
          <w:rFonts w:ascii="Narkisim" w:hAnsi="Narkisim"/>
          <w:rtl/>
        </w:rPr>
        <w:t>.</w:t>
      </w:r>
    </w:p>
    <w:p w14:paraId="1D4C1A41"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כס"מ</w:t>
      </w:r>
      <w:r w:rsidRPr="00E14121">
        <w:rPr>
          <w:rFonts w:ascii="Narkisim" w:hAnsi="Narkisim" w:cs="Narkisim"/>
          <w:rtl/>
        </w:rPr>
        <w:t xml:space="preserve"> הקשה [לדעת הרמב"ם] היאך הביאו בסוגיין מדברי ר' יוסי דתרומות בזה"ז דאורייתא, אימא אע"פ שלא ביטלה קדושת הארץ, הא בעינן ביאת כולם. ותי' דהרמב"ם סבר כדעת </w:t>
      </w:r>
      <w:r w:rsidRPr="00E14121">
        <w:rPr>
          <w:rFonts w:ascii="Narkisim" w:hAnsi="Narkisim" w:cs="Narkisim"/>
          <w:b/>
          <w:bCs/>
          <w:rtl/>
        </w:rPr>
        <w:t>ר"ח</w:t>
      </w:r>
      <w:r w:rsidRPr="00E14121">
        <w:rPr>
          <w:rFonts w:ascii="Narkisim" w:hAnsi="Narkisim" w:cs="Narkisim"/>
          <w:rtl/>
        </w:rPr>
        <w:t xml:space="preserve"> (בתוד"ה ירושה), דירושה שניה הוה יהושע, וכיון דבימי יהושע היו כל יושביה עליה, עדיין חייבים. ובזה רבנן פליגי דכיבוש יהושע לא היה אלא לשעתו, ולכן חזר עזרא וקידש, ולא היו כל יושביה עליה</w:t>
      </w:r>
      <w:r w:rsidRPr="00E14121">
        <w:rPr>
          <w:rStyle w:val="ac"/>
          <w:rFonts w:ascii="Narkisim" w:hAnsi="Narkisim" w:cs="Narkisim"/>
          <w:rtl/>
        </w:rPr>
        <w:footnoteReference w:id="5010"/>
      </w:r>
      <w:r w:rsidRPr="00E14121">
        <w:rPr>
          <w:rFonts w:ascii="Narkisim" w:hAnsi="Narkisim" w:cs="Narkisim"/>
          <w:rtl/>
        </w:rPr>
        <w:t>.</w:t>
      </w:r>
    </w:p>
    <w:p w14:paraId="0B97FEBE"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בית הלוי</w:t>
      </w:r>
      <w:r w:rsidRPr="00E14121">
        <w:rPr>
          <w:rFonts w:ascii="Narkisim" w:hAnsi="Narkisim"/>
          <w:rtl/>
        </w:rPr>
        <w:t xml:space="preserve"> (ג א ענף ו ה) פי' דבימי עזרא קיבלו עליהם תרומות ומעשרות בשבועה, ולכן אף ספק לחומרא. ודעת ר"ל דספק לקולא ע"כ הוא משום דס"ל דבטלה קדושת עזרא. ובזה הביא ר' יוחנן דר' יוסי ס"ל דלא בטלה קדושת עזרא, דשלישית אין להם</w:t>
      </w:r>
      <w:r w:rsidRPr="00E14121">
        <w:rPr>
          <w:rStyle w:val="ac"/>
          <w:rFonts w:ascii="Narkisim" w:hAnsi="Narkisim"/>
          <w:rtl/>
        </w:rPr>
        <w:footnoteReference w:id="5011"/>
      </w:r>
      <w:r w:rsidRPr="00E14121">
        <w:rPr>
          <w:rFonts w:ascii="Narkisim" w:hAnsi="Narkisim"/>
          <w:rtl/>
        </w:rPr>
        <w:t>.</w:t>
      </w:r>
    </w:p>
    <w:p w14:paraId="61146B4E" w14:textId="77777777" w:rsidR="00F64AED" w:rsidRPr="00E14121" w:rsidRDefault="00F64AED" w:rsidP="00F64AED">
      <w:pPr>
        <w:bidi/>
        <w:rPr>
          <w:rFonts w:ascii="Narkisim" w:hAnsi="Narkisim" w:cs="Narkisim"/>
        </w:rPr>
      </w:pPr>
      <w:r w:rsidRPr="00E14121">
        <w:rPr>
          <w:rFonts w:ascii="Narkisim" w:hAnsi="Narkisim" w:cs="Narkisim"/>
          <w:u w:val="single"/>
          <w:rtl/>
        </w:rPr>
        <w:t>תוד"ה ירושה.</w:t>
      </w:r>
      <w:r w:rsidRPr="00E14121">
        <w:rPr>
          <w:rFonts w:ascii="Narkisim" w:hAnsi="Narkisim" w:cs="Narkisim"/>
          <w:rtl/>
        </w:rPr>
        <w:t xml:space="preserve"> דגבי חלה כתיב בבואכם, וכי אסקינהו עזרא לאו כולהו סלוק. מבואר בתוס' דתליא בתחילת הקדושה, אבל אילו בתחילת הקדושה היו רוב ישראל ונתמעטו לא בטלה קדושת הארץ</w:t>
      </w:r>
      <w:r w:rsidRPr="00E14121">
        <w:rPr>
          <w:rStyle w:val="ac"/>
          <w:rFonts w:ascii="Narkisim" w:hAnsi="Narkisim" w:cs="Narkisim"/>
          <w:rtl/>
        </w:rPr>
        <w:footnoteReference w:id="5012"/>
      </w:r>
      <w:r w:rsidRPr="00E14121">
        <w:rPr>
          <w:rFonts w:ascii="Narkisim" w:hAnsi="Narkisim" w:cs="Narkisim"/>
          <w:rtl/>
        </w:rPr>
        <w:t>. וכ"כ ה</w:t>
      </w:r>
      <w:r w:rsidRPr="00E14121">
        <w:rPr>
          <w:rFonts w:ascii="Narkisim" w:hAnsi="Narkisim" w:cs="Narkisim"/>
          <w:b/>
          <w:bCs/>
          <w:rtl/>
        </w:rPr>
        <w:t>גר"ח</w:t>
      </w:r>
      <w:r w:rsidRPr="00E14121">
        <w:rPr>
          <w:rFonts w:ascii="Narkisim" w:hAnsi="Narkisim" w:cs="Narkisim"/>
          <w:rtl/>
        </w:rPr>
        <w:t xml:space="preserve"> (שמיטה יב) דהוה תנאי בירושה וקידוש [ולא דמי לדין כל יושביה עליה דיובל]. וע"ע </w:t>
      </w:r>
      <w:r w:rsidRPr="00E14121">
        <w:rPr>
          <w:rFonts w:ascii="Narkisim" w:hAnsi="Narkisim" w:cs="Narkisim"/>
          <w:b/>
          <w:bCs/>
          <w:rtl/>
        </w:rPr>
        <w:t>חזו"א</w:t>
      </w:r>
      <w:r w:rsidRPr="00E14121">
        <w:rPr>
          <w:rFonts w:ascii="Narkisim" w:hAnsi="Narkisim" w:cs="Narkisim"/>
          <w:rtl/>
        </w:rPr>
        <w:t xml:space="preserve"> (קלד) דדן בזה, ו</w:t>
      </w:r>
      <w:r w:rsidRPr="00E14121">
        <w:rPr>
          <w:rFonts w:ascii="Narkisim" w:hAnsi="Narkisim" w:cs="Narkisim"/>
          <w:b/>
          <w:bCs/>
          <w:rtl/>
        </w:rPr>
        <w:t>קה"י</w:t>
      </w:r>
      <w:r w:rsidRPr="00E14121">
        <w:rPr>
          <w:rFonts w:ascii="Narkisim" w:hAnsi="Narkisim" w:cs="Narkisim"/>
          <w:sz w:val="20"/>
          <w:szCs w:val="20"/>
          <w:rtl/>
        </w:rPr>
        <w:t xml:space="preserve"> (זרעים כו).</w:t>
      </w:r>
    </w:p>
    <w:p w14:paraId="67657696" w14:textId="77777777" w:rsidR="00F64AED" w:rsidRPr="00E14121" w:rsidRDefault="00F64AED" w:rsidP="00F64AED">
      <w:pPr>
        <w:bidi/>
        <w:rPr>
          <w:rFonts w:ascii="Narkisim" w:hAnsi="Narkisim" w:cs="Narkisim"/>
        </w:rPr>
      </w:pPr>
      <w:r w:rsidRPr="00E14121">
        <w:rPr>
          <w:rFonts w:ascii="Narkisim" w:hAnsi="Narkisim" w:cs="Narkisim"/>
          <w:u w:val="single"/>
          <w:rtl/>
        </w:rPr>
        <w:t>בא"ד והשיב ר"י דלמעשרות ודאי לא קידשה לעתיד, אבל קדושת ירושלים וכו' שקדושת מחיצות קיימא</w:t>
      </w:r>
      <w:r w:rsidRPr="00E14121">
        <w:rPr>
          <w:rFonts w:ascii="Narkisim" w:hAnsi="Narkisim" w:cs="Narkisim"/>
          <w:rtl/>
        </w:rPr>
        <w:t xml:space="preserve">. וכ"כ </w:t>
      </w:r>
      <w:r w:rsidRPr="00E14121">
        <w:rPr>
          <w:rFonts w:ascii="Narkisim" w:hAnsi="Narkisim" w:cs="Narkisim"/>
          <w:b/>
          <w:bCs/>
          <w:rtl/>
        </w:rPr>
        <w:t>תוס</w:t>
      </w:r>
      <w:r w:rsidRPr="00E14121">
        <w:rPr>
          <w:rFonts w:ascii="Narkisim" w:hAnsi="Narkisim" w:cs="Narkisim"/>
          <w:rtl/>
        </w:rPr>
        <w:t>' (שבועות טז.). וכעי"ז כתב ה</w:t>
      </w:r>
      <w:r w:rsidRPr="00E14121">
        <w:rPr>
          <w:rFonts w:ascii="Narkisim" w:hAnsi="Narkisim" w:cs="Narkisim"/>
          <w:b/>
          <w:bCs/>
          <w:rtl/>
        </w:rPr>
        <w:t>רמב"ם</w:t>
      </w:r>
      <w:r w:rsidRPr="00E14121">
        <w:rPr>
          <w:rFonts w:ascii="Narkisim" w:hAnsi="Narkisim" w:cs="Narkisim"/>
          <w:rtl/>
        </w:rPr>
        <w:t xml:space="preserve"> (בית הבחירה ו טז) דקדושת ירושלים לא בטלה, דהוה מפני השכינה ושכינה אינה בטלה</w:t>
      </w:r>
      <w:r w:rsidRPr="00E14121">
        <w:rPr>
          <w:rStyle w:val="ac"/>
          <w:rFonts w:ascii="Narkisim" w:hAnsi="Narkisim" w:cs="Narkisim"/>
          <w:rtl/>
        </w:rPr>
        <w:footnoteReference w:id="5013"/>
      </w:r>
      <w:r w:rsidRPr="00E14121">
        <w:rPr>
          <w:rFonts w:ascii="Narkisim" w:hAnsi="Narkisim" w:cs="Narkisim"/>
          <w:rtl/>
        </w:rPr>
        <w:t>.</w:t>
      </w:r>
    </w:p>
    <w:p w14:paraId="3A833DDF" w14:textId="77777777" w:rsidR="00F64AED" w:rsidRPr="00E14121" w:rsidRDefault="00F64AED" w:rsidP="00F64AED">
      <w:pPr>
        <w:pStyle w:val="a7"/>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(זבחים סא. בסו"ד) כתבו דתימה לומר דקדושת הבית קיימת להקריב קרבן, ולא יתחייב בתרומה. וחילקו שם לאידך גיסא [לר' יוסי] דאע"ג דקדושת הארץ קיימת, בטלה קדושת הבית [וכמו נוב וגבעון]. וכ"ד ה</w:t>
      </w:r>
      <w:r w:rsidRPr="00E14121">
        <w:rPr>
          <w:rFonts w:ascii="Narkisim" w:hAnsi="Narkisim"/>
          <w:b/>
          <w:bCs/>
          <w:rtl/>
        </w:rPr>
        <w:t>ראב"ד</w:t>
      </w:r>
      <w:r w:rsidRPr="00E14121">
        <w:rPr>
          <w:rFonts w:ascii="Narkisim" w:hAnsi="Narkisim"/>
          <w:rtl/>
        </w:rPr>
        <w:t xml:space="preserve"> (בית הבחירה ו יד) דבטלה קדושת המקדש, ואפי' לר' יוסי דקידשה לעתיד לבא לא אמר אלא קדושת הארץ, אבל קדושת ירושלים ומקדש לא אמר.</w:t>
      </w:r>
    </w:p>
    <w:p w14:paraId="57E964A2" w14:textId="77777777" w:rsidR="00F64AED" w:rsidRPr="00E14121" w:rsidRDefault="00F64AED" w:rsidP="00F64AED">
      <w:pPr>
        <w:bidi/>
        <w:rPr>
          <w:rFonts w:ascii="Narkisim" w:hAnsi="Narkisim" w:cs="Narkisim"/>
        </w:rPr>
      </w:pPr>
      <w:r w:rsidRPr="00E14121">
        <w:rPr>
          <w:rFonts w:ascii="Narkisim" w:hAnsi="Narkisim" w:cs="Narkisim"/>
          <w:u w:val="single"/>
          <w:rtl/>
        </w:rPr>
        <w:t>בא"ד ועוד אר"י דאין נראה שיאמר שום חכם, דבזמן בית שני הוה דרבנן.</w:t>
      </w:r>
      <w:r w:rsidRPr="00E14121">
        <w:rPr>
          <w:rFonts w:ascii="Narkisim" w:hAnsi="Narkisim" w:cs="Narkisim"/>
          <w:rtl/>
        </w:rPr>
        <w:t xml:space="preserve"> וה</w:t>
      </w:r>
      <w:r w:rsidRPr="00E14121">
        <w:rPr>
          <w:rFonts w:ascii="Narkisim" w:hAnsi="Narkisim" w:cs="Narkisim"/>
          <w:b/>
          <w:bCs/>
          <w:rtl/>
        </w:rPr>
        <w:t>אחרונים</w:t>
      </w:r>
      <w:r w:rsidRPr="00E14121">
        <w:rPr>
          <w:rFonts w:ascii="Narkisim" w:hAnsi="Narkisim" w:cs="Narkisim"/>
          <w:rtl/>
        </w:rPr>
        <w:t xml:space="preserve"> (קר"א) הוסיפו דהיאך הביאו שני הלחם [הא בעי מהארץ], וכן לא נתחייבו בביכורים</w:t>
      </w:r>
      <w:r w:rsidRPr="00E14121">
        <w:rPr>
          <w:rStyle w:val="ac"/>
          <w:rFonts w:ascii="Narkisim" w:hAnsi="Narkisim" w:cs="Narkisim"/>
          <w:rtl/>
        </w:rPr>
        <w:footnoteReference w:id="5014"/>
      </w:r>
      <w:r w:rsidRPr="00E14121">
        <w:rPr>
          <w:rFonts w:ascii="Narkisim" w:hAnsi="Narkisim" w:cs="Narkisim"/>
          <w:rtl/>
        </w:rPr>
        <w:t>.</w:t>
      </w:r>
    </w:p>
    <w:p w14:paraId="2FC685C7" w14:textId="77777777" w:rsidR="00F64AED" w:rsidRPr="00E14121" w:rsidRDefault="00F64AED" w:rsidP="00F64AED">
      <w:pPr>
        <w:pStyle w:val="a7"/>
        <w:bidi/>
        <w:rPr>
          <w:rFonts w:ascii="Narkisim" w:hAnsi="Narkisim"/>
        </w:rPr>
      </w:pPr>
      <w:r w:rsidRPr="00E14121">
        <w:rPr>
          <w:rFonts w:ascii="Narkisim" w:hAnsi="Narkisim"/>
          <w:rtl/>
        </w:rPr>
        <w:t>אבל דעת ה</w:t>
      </w:r>
      <w:r w:rsidRPr="00E14121">
        <w:rPr>
          <w:rFonts w:ascii="Narkisim" w:hAnsi="Narkisim"/>
          <w:b/>
          <w:bCs/>
          <w:rtl/>
        </w:rPr>
        <w:t>רמב"ם</w:t>
      </w:r>
      <w:r w:rsidRPr="00E14121">
        <w:rPr>
          <w:rFonts w:ascii="Narkisim" w:hAnsi="Narkisim"/>
          <w:rtl/>
        </w:rPr>
        <w:t xml:space="preserve"> (הנ"ל) דבבית שני לא נתחייבו בתרומה מדאורייתא, דבעי ביאת כולכם. וה</w:t>
      </w:r>
      <w:r w:rsidRPr="00E14121">
        <w:rPr>
          <w:rFonts w:ascii="Narkisim" w:hAnsi="Narkisim"/>
          <w:b/>
          <w:bCs/>
          <w:rtl/>
        </w:rPr>
        <w:t>אחרונים</w:t>
      </w:r>
      <w:r w:rsidRPr="00E14121">
        <w:rPr>
          <w:rFonts w:ascii="Narkisim" w:hAnsi="Narkisim"/>
          <w:rtl/>
        </w:rPr>
        <w:t xml:space="preserve"> כתבו דמ"מ לענין שאר מצוות התלויות בארץ הוה דאורייתא, דהוה מיעוט דוקא בתרומה. ושאר מצוות לא תליא בביאת כולם. </w:t>
      </w:r>
      <w:r w:rsidRPr="00E14121">
        <w:rPr>
          <w:rFonts w:ascii="Narkisim" w:hAnsi="Narkisim"/>
          <w:szCs w:val="20"/>
          <w:rtl/>
        </w:rPr>
        <w:t>וכ"כ ה</w:t>
      </w:r>
      <w:r w:rsidRPr="00E14121">
        <w:rPr>
          <w:rFonts w:ascii="Narkisim" w:hAnsi="Narkisim"/>
          <w:b/>
          <w:bCs/>
          <w:szCs w:val="20"/>
          <w:rtl/>
        </w:rPr>
        <w:t>מנח"ח</w:t>
      </w:r>
      <w:r w:rsidRPr="00E14121">
        <w:rPr>
          <w:rFonts w:ascii="Narkisim" w:hAnsi="Narkisim"/>
          <w:rtl/>
        </w:rPr>
        <w:t xml:space="preserve"> </w:t>
      </w:r>
      <w:r w:rsidRPr="00E14121">
        <w:rPr>
          <w:rFonts w:ascii="Narkisim" w:hAnsi="Narkisim"/>
          <w:sz w:val="20"/>
          <w:szCs w:val="20"/>
          <w:rtl/>
        </w:rPr>
        <w:t>(צא ט) לענין ביכורים</w:t>
      </w:r>
      <w:r w:rsidRPr="00E14121">
        <w:rPr>
          <w:rStyle w:val="ac"/>
          <w:rFonts w:ascii="Narkisim" w:hAnsi="Narkisim"/>
          <w:sz w:val="20"/>
          <w:szCs w:val="20"/>
          <w:rtl/>
        </w:rPr>
        <w:footnoteReference w:id="5015"/>
      </w:r>
      <w:r w:rsidRPr="00E14121">
        <w:rPr>
          <w:rFonts w:ascii="Narkisim" w:hAnsi="Narkisim"/>
          <w:sz w:val="20"/>
          <w:szCs w:val="20"/>
          <w:rtl/>
        </w:rPr>
        <w:t>.</w:t>
      </w:r>
    </w:p>
    <w:p w14:paraId="6E06DE7C"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גר"א</w:t>
      </w:r>
      <w:r w:rsidRPr="00E14121">
        <w:rPr>
          <w:rFonts w:ascii="Narkisim" w:hAnsi="Narkisim" w:cs="Narkisim"/>
          <w:rtl/>
        </w:rPr>
        <w:t xml:space="preserve"> </w:t>
      </w:r>
      <w:r w:rsidRPr="00E14121">
        <w:rPr>
          <w:rFonts w:ascii="Narkisim" w:hAnsi="Narkisim" w:cs="Narkisim"/>
          <w:sz w:val="20"/>
          <w:szCs w:val="20"/>
          <w:rtl/>
        </w:rPr>
        <w:t>(שנות אליהו שביעית ו א)</w:t>
      </w:r>
      <w:r w:rsidRPr="00E14121">
        <w:rPr>
          <w:rFonts w:ascii="Narkisim" w:hAnsi="Narkisim" w:cs="Narkisim"/>
          <w:rtl/>
        </w:rPr>
        <w:t xml:space="preserve"> כתב דלמ"ד דקידשו בפה בימי עזרא, א"כ הקידוש תליא בהם, וקידשוה לזמן דהמקדש קיים. ובזה פליג ר' יוסי דעזרא לא הוצרך לקדש. דקדושה ראשונה [דיהושע] ע"י כיבוש לא פקע, וממילא הוה לעתיד לבא.</w:t>
      </w:r>
    </w:p>
    <w:p w14:paraId="189227EC" w14:textId="77777777" w:rsidR="00F64AED" w:rsidRPr="00E14121" w:rsidRDefault="00F64AED" w:rsidP="00F64AED">
      <w:pPr>
        <w:pStyle w:val="2"/>
        <w:bidi/>
        <w:rPr>
          <w:rFonts w:ascii="Narkisim" w:hAnsi="Narkisim"/>
        </w:rPr>
      </w:pPr>
      <w:r w:rsidRPr="00E14121">
        <w:rPr>
          <w:rFonts w:ascii="Narkisim" w:hAnsi="Narkisim"/>
          <w:rtl/>
        </w:rPr>
        <w:t>נתן סאה ונטל סאה</w:t>
      </w:r>
    </w:p>
    <w:p w14:paraId="3A12395D" w14:textId="77777777" w:rsidR="00F64AED" w:rsidRPr="00E14121" w:rsidRDefault="00F64AED" w:rsidP="00F64AED">
      <w:pPr>
        <w:bidi/>
        <w:rPr>
          <w:rFonts w:ascii="Narkisim" w:hAnsi="Narkisim" w:cs="Narkisim"/>
        </w:rPr>
      </w:pPr>
      <w:r w:rsidRPr="00E14121">
        <w:rPr>
          <w:rFonts w:ascii="Narkisim" w:hAnsi="Narkisim" w:cs="Narkisim"/>
          <w:u w:val="single"/>
          <w:rtl/>
        </w:rPr>
        <w:t>וסבר ר' יוחנן בדרבנן לא בעינן רבויא וכו'.</w:t>
      </w:r>
      <w:r w:rsidRPr="00E14121">
        <w:rPr>
          <w:rFonts w:ascii="Narkisim" w:hAnsi="Narkisim" w:cs="Narkisim"/>
          <w:rtl/>
        </w:rPr>
        <w:t xml:space="preserve"> פ</w:t>
      </w:r>
      <w:r w:rsidRPr="00E14121">
        <w:rPr>
          <w:rFonts w:ascii="Narkisim" w:hAnsi="Narkisim" w:cs="Narkisim"/>
          <w:b/>
          <w:bCs/>
          <w:rtl/>
        </w:rPr>
        <w:t xml:space="preserve">רש"י </w:t>
      </w:r>
      <w:r w:rsidRPr="00E14121">
        <w:rPr>
          <w:rFonts w:ascii="Narkisim" w:hAnsi="Narkisim" w:cs="Narkisim"/>
          <w:rtl/>
        </w:rPr>
        <w:t xml:space="preserve">קס"ד [וכן נשאר לתי' הא'] דטעמא דר' יוחנן לאו משום 'שאני אומר' אלא מכי איערב בטיל ליה. ותערובת דרבנן מותר בפלגא. </w:t>
      </w:r>
      <w:r w:rsidRPr="00E14121">
        <w:rPr>
          <w:rFonts w:ascii="Narkisim" w:hAnsi="Narkisim" w:cs="Narkisim"/>
          <w:sz w:val="20"/>
          <w:szCs w:val="20"/>
          <w:rtl/>
        </w:rPr>
        <w:t>[ומשמע בלשונו דהוה גדר 'ביטול', וצ"ב אמאי יתבטל האיסור להיתר</w:t>
      </w:r>
      <w:r w:rsidRPr="00E14121">
        <w:rPr>
          <w:rStyle w:val="ac"/>
          <w:rFonts w:ascii="Narkisim" w:hAnsi="Narkisim" w:cs="Narkisim"/>
          <w:sz w:val="20"/>
          <w:szCs w:val="20"/>
          <w:rtl/>
        </w:rPr>
        <w:footnoteReference w:id="5016"/>
      </w:r>
      <w:r w:rsidRPr="00E14121">
        <w:rPr>
          <w:rFonts w:ascii="Narkisim" w:hAnsi="Narkisim" w:cs="Narkisim"/>
          <w:sz w:val="20"/>
          <w:szCs w:val="20"/>
          <w:rtl/>
        </w:rPr>
        <w:t>].</w:t>
      </w:r>
      <w:r w:rsidRPr="00E14121">
        <w:rPr>
          <w:rFonts w:ascii="Narkisim" w:hAnsi="Narkisim" w:cs="Narkisim"/>
          <w:rtl/>
        </w:rPr>
        <w:t xml:space="preserve"> וה</w:t>
      </w:r>
      <w:r w:rsidRPr="00E14121">
        <w:rPr>
          <w:rFonts w:ascii="Narkisim" w:hAnsi="Narkisim" w:cs="Narkisim"/>
          <w:b/>
          <w:bCs/>
          <w:rtl/>
        </w:rPr>
        <w:t>ריטב"א</w:t>
      </w:r>
      <w:r w:rsidRPr="00E14121">
        <w:rPr>
          <w:rFonts w:ascii="Narkisim" w:hAnsi="Narkisim" w:cs="Narkisim"/>
          <w:rtl/>
        </w:rPr>
        <w:t xml:space="preserve"> הק' דבהדיא איתא במשנה דהטעם שאני אומר. ועוד דלא מצאנו בשום מקום דמהני איסור דרבנן בלא רוב. ולכן </w:t>
      </w:r>
      <w:r w:rsidRPr="00E14121">
        <w:rPr>
          <w:rFonts w:ascii="Narkisim" w:hAnsi="Narkisim" w:cs="Narkisim"/>
          <w:rtl/>
        </w:rPr>
        <w:lastRenderedPageBreak/>
        <w:t>פי' ה</w:t>
      </w:r>
      <w:r w:rsidRPr="00E14121">
        <w:rPr>
          <w:rFonts w:ascii="Narkisim" w:hAnsi="Narkisim" w:cs="Narkisim"/>
          <w:b/>
          <w:bCs/>
          <w:rtl/>
        </w:rPr>
        <w:t>ריטב"א</w:t>
      </w:r>
      <w:r w:rsidRPr="00E14121">
        <w:rPr>
          <w:rFonts w:ascii="Narkisim" w:hAnsi="Narkisim" w:cs="Narkisim"/>
          <w:rtl/>
        </w:rPr>
        <w:t xml:space="preserve"> דס"ד דגבי מקוה אמרי' שאני אומר, דמי פירות קאפי [צף] ואינו מתערב, וכשנטלה נטל מהמי פירות. אבל בעלמא בעי רובא. ובזה הגמ' מתרצת דבתרומה שייך שאני אומר שנטלה לגמרי, אבל במשקין המעורבין ליכא למימר כ"כ שאני אומר.</w:t>
      </w:r>
    </w:p>
    <w:p w14:paraId="682F7A34"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רמב"ן</w:t>
      </w:r>
      <w:r w:rsidRPr="00E14121">
        <w:rPr>
          <w:rFonts w:ascii="Narkisim" w:hAnsi="Narkisim" w:cs="Narkisim"/>
          <w:rtl/>
        </w:rPr>
        <w:t xml:space="preserve"> הקשה דבכמה מקומות מצאנו דאף איסור דרבנן שנתערב בעי ביטול בששים או בק', וכתב דהכא איירי באיסור דרבנן דאין לו עיקר מה"ת</w:t>
      </w:r>
      <w:r w:rsidRPr="00E14121">
        <w:rPr>
          <w:rStyle w:val="ac"/>
          <w:rFonts w:ascii="Narkisim" w:hAnsi="Narkisim" w:cs="Narkisim"/>
          <w:rtl/>
        </w:rPr>
        <w:footnoteReference w:id="5017"/>
      </w:r>
      <w:r w:rsidRPr="00E14121">
        <w:rPr>
          <w:rFonts w:ascii="Narkisim" w:hAnsi="Narkisim" w:cs="Narkisim"/>
          <w:rtl/>
        </w:rPr>
        <w:t>. והכא בתרומת חו"ל נחשב אין לו עיקר מה"ת. אבל שמנו של גיד וסתם יינם הוה עיקרו דאורייתא, ובעי ששים.</w:t>
      </w:r>
      <w:r w:rsidRPr="00E14121">
        <w:rPr>
          <w:rFonts w:ascii="Narkisim" w:hAnsi="Narkisim" w:cs="Narkisim"/>
          <w:sz w:val="20"/>
          <w:szCs w:val="20"/>
          <w:rtl/>
        </w:rPr>
        <w:t xml:space="preserve"> וה</w:t>
      </w:r>
      <w:r w:rsidRPr="00E14121">
        <w:rPr>
          <w:rFonts w:ascii="Narkisim" w:hAnsi="Narkisim" w:cs="Narkisim"/>
          <w:b/>
          <w:bCs/>
          <w:sz w:val="20"/>
          <w:szCs w:val="20"/>
          <w:rtl/>
        </w:rPr>
        <w:t>רשב"א</w:t>
      </w:r>
      <w:r w:rsidRPr="00E14121">
        <w:rPr>
          <w:rFonts w:ascii="Narkisim" w:hAnsi="Narkisim" w:cs="Narkisim"/>
          <w:sz w:val="20"/>
          <w:szCs w:val="20"/>
          <w:rtl/>
        </w:rPr>
        <w:t xml:space="preserve"> חלק דהכא בסתמא איירי אף בתרומת ארץ ישראל, ובגמ' (פסחים מד.) אמרי' דאיירי בתרומה בזה"ז דרבנן, ולא שני בחו"ל. ועוד דמקוה דהכא איירי במי פירות דהוה דאורייתא</w:t>
      </w:r>
      <w:r w:rsidRPr="00E14121">
        <w:rPr>
          <w:rStyle w:val="ac"/>
          <w:rFonts w:ascii="Narkisim" w:hAnsi="Narkisim" w:cs="Narkisim"/>
          <w:sz w:val="20"/>
          <w:szCs w:val="20"/>
          <w:rtl/>
        </w:rPr>
        <w:footnoteReference w:id="5018"/>
      </w:r>
      <w:r w:rsidRPr="00E14121">
        <w:rPr>
          <w:rFonts w:ascii="Narkisim" w:hAnsi="Narkisim" w:cs="Narkisim"/>
          <w:rtl/>
        </w:rPr>
        <w:t>.</w:t>
      </w:r>
    </w:p>
    <w:p w14:paraId="006FF96E"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כתב דבאיסור דרבנן בעי לעולם ששים ומאה, אלא דבקופות מהני 'שאני אומר'</w:t>
      </w:r>
      <w:r w:rsidRPr="00E14121">
        <w:rPr>
          <w:rStyle w:val="ac"/>
          <w:rFonts w:ascii="Narkisim" w:hAnsi="Narkisim"/>
          <w:rtl/>
        </w:rPr>
        <w:footnoteReference w:id="5019"/>
      </w:r>
      <w:r w:rsidRPr="00E14121">
        <w:rPr>
          <w:rFonts w:ascii="Narkisim" w:hAnsi="Narkisim"/>
          <w:rtl/>
        </w:rPr>
        <w:t>. ומקוה אינו איסור אכילה, וכל האיסורין דאינן איסורי אכילה בטלים ברוב. [ובאיסור דרבנן בפלגא].</w:t>
      </w:r>
    </w:p>
    <w:p w14:paraId="62C0B0F3" w14:textId="77777777" w:rsidR="00F64AED" w:rsidRPr="00E14121" w:rsidRDefault="00F64AED" w:rsidP="00F64AED">
      <w:pPr>
        <w:bidi/>
        <w:rPr>
          <w:rFonts w:ascii="Narkisim" w:hAnsi="Narkisim" w:cs="Narkisim"/>
        </w:rPr>
      </w:pPr>
      <w:r w:rsidRPr="00E14121">
        <w:rPr>
          <w:rFonts w:ascii="Narkisim" w:hAnsi="Narkisim" w:cs="Narkisim"/>
          <w:u w:val="single"/>
          <w:rtl/>
        </w:rPr>
        <w:t>דלא נשקול רובא.</w:t>
      </w:r>
      <w:r w:rsidRPr="00E14121">
        <w:rPr>
          <w:rFonts w:ascii="Narkisim" w:hAnsi="Narkisim" w:cs="Narkisim"/>
          <w:rtl/>
        </w:rPr>
        <w:t xml:space="preserve"> ה</w:t>
      </w:r>
      <w:r w:rsidRPr="00E14121">
        <w:rPr>
          <w:rFonts w:ascii="Narkisim" w:hAnsi="Narkisim" w:cs="Narkisim"/>
          <w:b/>
          <w:bCs/>
          <w:rtl/>
        </w:rPr>
        <w:t>רשב"א</w:t>
      </w:r>
      <w:r w:rsidRPr="00E14121">
        <w:rPr>
          <w:rFonts w:ascii="Narkisim" w:hAnsi="Narkisim" w:cs="Narkisim"/>
          <w:rtl/>
        </w:rPr>
        <w:t xml:space="preserve"> הביא דדוקא בפלגא הקילו [באיסור דרבנן], אבל רוב איסור לא אמרי' שאני אומר.</w:t>
      </w:r>
    </w:p>
    <w:p w14:paraId="155138C4" w14:textId="77777777" w:rsidR="00F64AED" w:rsidRPr="00E14121" w:rsidRDefault="00F64AED" w:rsidP="00F64AED">
      <w:pPr>
        <w:bidi/>
        <w:rPr>
          <w:rFonts w:ascii="Narkisim" w:hAnsi="Narkisim" w:cs="Narkisim"/>
        </w:rPr>
      </w:pPr>
      <w:r w:rsidRPr="00E14121">
        <w:rPr>
          <w:rFonts w:ascii="Narkisim" w:hAnsi="Narkisim" w:cs="Narkisim"/>
          <w:u w:val="single"/>
          <w:rtl/>
        </w:rPr>
        <w:t>רש"י ד"ה נתן.</w:t>
      </w:r>
      <w:r w:rsidRPr="00E14121">
        <w:rPr>
          <w:rFonts w:ascii="Narkisim" w:hAnsi="Narkisim" w:cs="Narkisim"/>
          <w:rtl/>
        </w:rPr>
        <w:t xml:space="preserve"> גבי שאר משקין</w:t>
      </w:r>
      <w:r w:rsidRPr="00E14121">
        <w:rPr>
          <w:rStyle w:val="ac"/>
          <w:rFonts w:ascii="Narkisim" w:hAnsi="Narkisim" w:cs="Narkisim"/>
          <w:rtl/>
        </w:rPr>
        <w:footnoteReference w:id="5020"/>
      </w:r>
      <w:r w:rsidRPr="00E14121">
        <w:rPr>
          <w:rFonts w:ascii="Narkisim" w:hAnsi="Narkisim" w:cs="Narkisim"/>
          <w:rtl/>
        </w:rPr>
        <w:t xml:space="preserve"> ומי פירות ותמד וכו' דמכי יהבו גביה, כולן ראויין</w:t>
      </w:r>
      <w:r w:rsidRPr="00E14121">
        <w:rPr>
          <w:rStyle w:val="ac"/>
          <w:rFonts w:ascii="Narkisim" w:hAnsi="Narkisim" w:cs="Narkisim"/>
          <w:rtl/>
        </w:rPr>
        <w:footnoteReference w:id="5021"/>
      </w:r>
      <w:r w:rsidRPr="00E14121">
        <w:rPr>
          <w:rFonts w:ascii="Narkisim" w:hAnsi="Narkisim" w:cs="Narkisim"/>
          <w:rtl/>
        </w:rPr>
        <w:t>, אבל איפכא לא וכו' דאין משקין הללו משלימין את המקוה. וכן איתא במשנה (מקואות ז ב) דמי פירות פעמים מעלין, וכשיש מ' סאה מצטרף לשיעור מקוה [ע"י ביטול ברוב, וכבסוגיין]. אבל כשאין מ' סאה לא מהני מיעוט מי פירות להשלים לשיעור רוב</w:t>
      </w:r>
      <w:r w:rsidRPr="00E14121">
        <w:rPr>
          <w:rStyle w:val="ac"/>
          <w:rFonts w:ascii="Narkisim" w:hAnsi="Narkisim" w:cs="Narkisim"/>
          <w:rtl/>
        </w:rPr>
        <w:footnoteReference w:id="5022"/>
      </w:r>
      <w:r w:rsidRPr="00E14121">
        <w:rPr>
          <w:rFonts w:ascii="Narkisim" w:hAnsi="Narkisim" w:cs="Narkisim"/>
          <w:rtl/>
        </w:rPr>
        <w:t>.</w:t>
      </w:r>
    </w:p>
    <w:p w14:paraId="67FB7804"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ברכ"ש</w:t>
      </w:r>
      <w:r w:rsidRPr="00E14121">
        <w:rPr>
          <w:rFonts w:ascii="Narkisim" w:hAnsi="Narkisim"/>
          <w:rtl/>
        </w:rPr>
        <w:t xml:space="preserve"> (כא) כתב דהוה מדין גדר 'רוב ככל', דכיון דיש שם מקוה מהני שרובו הוה ממי גשמים, ועי"ז מצטרף אף המים הפסולים, דאף הפסולים יש להם שם מקוה. אבל כשאין מתחילה מקוה ל"מ</w:t>
      </w:r>
      <w:r w:rsidRPr="00E14121">
        <w:rPr>
          <w:rStyle w:val="ac"/>
          <w:rFonts w:ascii="Narkisim" w:hAnsi="Narkisim"/>
          <w:rtl/>
        </w:rPr>
        <w:footnoteReference w:id="5023"/>
      </w:r>
      <w:r w:rsidRPr="00E14121">
        <w:rPr>
          <w:rFonts w:ascii="Narkisim" w:hAnsi="Narkisim"/>
          <w:rtl/>
        </w:rPr>
        <w:t>.</w:t>
      </w:r>
      <w:r w:rsidRPr="00E14121">
        <w:rPr>
          <w:rFonts w:ascii="Narkisim" w:hAnsi="Narkisim"/>
          <w:sz w:val="20"/>
          <w:szCs w:val="20"/>
          <w:rtl/>
        </w:rPr>
        <w:t xml:space="preserve"> וה</w:t>
      </w:r>
      <w:r w:rsidRPr="00E14121">
        <w:rPr>
          <w:rFonts w:ascii="Narkisim" w:hAnsi="Narkisim"/>
          <w:b/>
          <w:bCs/>
          <w:sz w:val="20"/>
          <w:szCs w:val="20"/>
          <w:rtl/>
        </w:rPr>
        <w:t>שער"י</w:t>
      </w:r>
      <w:r w:rsidRPr="00E14121">
        <w:rPr>
          <w:rFonts w:ascii="Narkisim" w:hAnsi="Narkisim"/>
          <w:sz w:val="20"/>
          <w:szCs w:val="20"/>
          <w:rtl/>
        </w:rPr>
        <w:t xml:space="preserve"> (ג יז) כתב לפרש [ע"פ דברי רע"א ע' בסמוך] דבסוגיין הוה ע"י צירוף 'שאני אומר', ורק כשיש מקוה שלם תלינן דיצא המי פירות.</w:t>
      </w:r>
    </w:p>
    <w:p w14:paraId="35380FDD"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רמב"ן</w:t>
      </w:r>
      <w:r w:rsidRPr="00E14121">
        <w:rPr>
          <w:rFonts w:ascii="Narkisim" w:hAnsi="Narkisim" w:cs="Narkisim"/>
          <w:rtl/>
        </w:rPr>
        <w:t xml:space="preserve"> כת' דמהדין נטל סאה ונתן סאה כשר לעולם, כיון דלא שינו את מראיו.</w:t>
      </w:r>
      <w:r w:rsidRPr="00E14121">
        <w:rPr>
          <w:rFonts w:ascii="Narkisim" w:hAnsi="Narkisim" w:cs="Narkisim"/>
          <w:sz w:val="20"/>
          <w:szCs w:val="20"/>
          <w:rtl/>
        </w:rPr>
        <w:t xml:space="preserve"> [ומשמע דכוונתו דמדאורייתא מצטרף לשיעור מקוה, ולא בעי רוב. אבל ה</w:t>
      </w:r>
      <w:r w:rsidRPr="00E14121">
        <w:rPr>
          <w:rFonts w:ascii="Narkisim" w:hAnsi="Narkisim" w:cs="Narkisim"/>
          <w:b/>
          <w:bCs/>
          <w:sz w:val="20"/>
          <w:szCs w:val="20"/>
          <w:rtl/>
        </w:rPr>
        <w:t>חזו"א</w:t>
      </w:r>
      <w:r w:rsidRPr="00E14121">
        <w:rPr>
          <w:rFonts w:ascii="Narkisim" w:hAnsi="Narkisim" w:cs="Narkisim"/>
          <w:sz w:val="20"/>
          <w:szCs w:val="20"/>
          <w:rtl/>
        </w:rPr>
        <w:t xml:space="preserve"> כתב דכוונת הרמב"ן מדין קמא קמא בטל, וכתי' הב' בתוס'].</w:t>
      </w:r>
    </w:p>
    <w:p w14:paraId="42C56607" w14:textId="77777777" w:rsidR="00F64AED" w:rsidRPr="00E14121" w:rsidRDefault="00F64AED" w:rsidP="00F64AED">
      <w:pPr>
        <w:bidi/>
        <w:rPr>
          <w:rFonts w:ascii="Narkisim" w:hAnsi="Narkisim" w:cs="Narkisim"/>
        </w:rPr>
      </w:pPr>
      <w:r w:rsidRPr="00E14121">
        <w:rPr>
          <w:rFonts w:ascii="Narkisim" w:hAnsi="Narkisim" w:cs="Narkisim"/>
          <w:u w:val="single"/>
          <w:rtl/>
        </w:rPr>
        <w:t>תוד"ה נתן סאה.</w:t>
      </w:r>
      <w:r w:rsidRPr="00E14121">
        <w:rPr>
          <w:rFonts w:ascii="Narkisim" w:hAnsi="Narkisim" w:cs="Narkisim"/>
          <w:rtl/>
        </w:rPr>
        <w:t xml:space="preserve"> מי פירות פסולים מדאורייתא</w:t>
      </w:r>
      <w:r w:rsidRPr="00E14121">
        <w:rPr>
          <w:rStyle w:val="ac"/>
          <w:rFonts w:ascii="Narkisim" w:hAnsi="Narkisim" w:cs="Narkisim"/>
          <w:rtl/>
        </w:rPr>
        <w:footnoteReference w:id="5024"/>
      </w:r>
      <w:r w:rsidRPr="00E14121">
        <w:rPr>
          <w:rFonts w:ascii="Narkisim" w:hAnsi="Narkisim" w:cs="Narkisim"/>
          <w:rtl/>
        </w:rPr>
        <w:t>. אבל ה</w:t>
      </w:r>
      <w:r w:rsidRPr="00E14121">
        <w:rPr>
          <w:rFonts w:ascii="Narkisim" w:hAnsi="Narkisim" w:cs="Narkisim"/>
          <w:b/>
          <w:bCs/>
          <w:rtl/>
        </w:rPr>
        <w:t>מרדכי</w:t>
      </w:r>
      <w:r w:rsidRPr="00E14121">
        <w:rPr>
          <w:rFonts w:ascii="Narkisim" w:hAnsi="Narkisim" w:cs="Narkisim"/>
          <w:rtl/>
        </w:rPr>
        <w:t xml:space="preserve"> </w:t>
      </w:r>
      <w:r w:rsidRPr="00E14121">
        <w:rPr>
          <w:rFonts w:ascii="Narkisim" w:hAnsi="Narkisim" w:cs="Narkisim"/>
          <w:sz w:val="20"/>
          <w:szCs w:val="20"/>
          <w:rtl/>
        </w:rPr>
        <w:t>(שבועות תשמה, הו' ב</w:t>
      </w:r>
      <w:r w:rsidRPr="00E14121">
        <w:rPr>
          <w:rFonts w:ascii="Narkisim" w:hAnsi="Narkisim" w:cs="Narkisim"/>
          <w:b/>
          <w:bCs/>
          <w:sz w:val="20"/>
          <w:szCs w:val="20"/>
          <w:rtl/>
        </w:rPr>
        <w:t>ב"י</w:t>
      </w:r>
      <w:r w:rsidRPr="00E14121">
        <w:rPr>
          <w:rFonts w:ascii="Narkisim" w:hAnsi="Narkisim" w:cs="Narkisim"/>
          <w:sz w:val="20"/>
          <w:szCs w:val="20"/>
          <w:rtl/>
        </w:rPr>
        <w:t xml:space="preserve"> רא ג)</w:t>
      </w:r>
      <w:r w:rsidRPr="00E14121">
        <w:rPr>
          <w:rFonts w:ascii="Narkisim" w:hAnsi="Narkisim" w:cs="Narkisim"/>
          <w:rtl/>
        </w:rPr>
        <w:t xml:space="preserve"> הביא בשם </w:t>
      </w:r>
      <w:r w:rsidRPr="00E14121">
        <w:rPr>
          <w:rFonts w:ascii="Narkisim" w:hAnsi="Narkisim" w:cs="Narkisim"/>
          <w:b/>
          <w:bCs/>
          <w:rtl/>
        </w:rPr>
        <w:t>ריב"א</w:t>
      </w:r>
      <w:r w:rsidRPr="00E14121">
        <w:rPr>
          <w:rFonts w:ascii="Narkisim" w:hAnsi="Narkisim" w:cs="Narkisim"/>
          <w:rtl/>
        </w:rPr>
        <w:t xml:space="preserve"> דמי פירות פוסלים רק מדרבנן, וכמו מים שאובין.</w:t>
      </w:r>
    </w:p>
    <w:p w14:paraId="29E80518"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w:t>
      </w:r>
      <w:r w:rsidRPr="00E14121">
        <w:rPr>
          <w:rFonts w:ascii="Narkisim" w:hAnsi="Narkisim" w:cs="Narkisim"/>
          <w:b/>
          <w:bCs/>
          <w:rtl/>
        </w:rPr>
        <w:t>רשב"ם</w:t>
      </w:r>
      <w:r w:rsidRPr="00E14121">
        <w:rPr>
          <w:rFonts w:ascii="Narkisim" w:hAnsi="Narkisim" w:cs="Narkisim"/>
          <w:rtl/>
        </w:rPr>
        <w:t xml:space="preserve"> (ב"ב סו. ד"ה מכלל) הביא מסוגיין דנטל סאה ונתן סאה איירי במים שאובין</w:t>
      </w:r>
      <w:r w:rsidRPr="00E14121">
        <w:rPr>
          <w:rStyle w:val="ac"/>
          <w:rFonts w:ascii="Narkisim" w:hAnsi="Narkisim" w:cs="Narkisim"/>
          <w:rtl/>
        </w:rPr>
        <w:footnoteReference w:id="5025"/>
      </w:r>
      <w:r w:rsidRPr="00E14121">
        <w:rPr>
          <w:rFonts w:ascii="Narkisim" w:hAnsi="Narkisim" w:cs="Narkisim"/>
          <w:rtl/>
        </w:rPr>
        <w:t>. ור' יוחנן אמר עד  רובו [ורשב"ם ביאר דתחילת מקוה בעינן מקוה מים בלא שאיבה, אבל כשהיה שם מקוה מעיקרא והוסיפו עליו הוה פסולא דרבנן]. וכן ה</w:t>
      </w:r>
      <w:r w:rsidRPr="00E14121">
        <w:rPr>
          <w:rFonts w:ascii="Narkisim" w:hAnsi="Narkisim" w:cs="Narkisim"/>
          <w:b/>
          <w:bCs/>
          <w:rtl/>
        </w:rPr>
        <w:t>ראב"ד</w:t>
      </w:r>
      <w:r w:rsidRPr="00E14121">
        <w:rPr>
          <w:rFonts w:ascii="Narkisim" w:hAnsi="Narkisim" w:cs="Narkisim"/>
          <w:rtl/>
        </w:rPr>
        <w:t xml:space="preserve"> (בעלי הנפש שער המים א ה ד"ה ומקוה</w:t>
      </w:r>
      <w:r w:rsidRPr="00E14121">
        <w:rPr>
          <w:rStyle w:val="ac"/>
          <w:rFonts w:ascii="Narkisim" w:hAnsi="Narkisim" w:cs="Narkisim"/>
          <w:rtl/>
        </w:rPr>
        <w:footnoteReference w:id="5026"/>
      </w:r>
      <w:r w:rsidRPr="00E14121">
        <w:rPr>
          <w:rFonts w:ascii="Narkisim" w:hAnsi="Narkisim" w:cs="Narkisim"/>
          <w:rtl/>
        </w:rPr>
        <w:t>) הביא מכאן דאף במים שאובין מהני כשנוטל רק עד רובו</w:t>
      </w:r>
      <w:r w:rsidRPr="00E14121">
        <w:rPr>
          <w:rStyle w:val="ac"/>
          <w:rFonts w:ascii="Narkisim" w:hAnsi="Narkisim" w:cs="Narkisim"/>
          <w:rtl/>
        </w:rPr>
        <w:footnoteReference w:id="5027"/>
      </w:r>
      <w:r w:rsidRPr="00E14121">
        <w:rPr>
          <w:rFonts w:ascii="Narkisim" w:hAnsi="Narkisim" w:cs="Narkisim"/>
          <w:rtl/>
        </w:rPr>
        <w:t>. וה</w:t>
      </w:r>
      <w:r w:rsidRPr="00E14121">
        <w:rPr>
          <w:rFonts w:ascii="Narkisim" w:hAnsi="Narkisim" w:cs="Narkisim"/>
          <w:b/>
          <w:bCs/>
          <w:rtl/>
        </w:rPr>
        <w:t>ראשונים</w:t>
      </w:r>
      <w:r w:rsidRPr="00E14121">
        <w:rPr>
          <w:rFonts w:ascii="Narkisim" w:hAnsi="Narkisim" w:cs="Narkisim"/>
          <w:rtl/>
        </w:rPr>
        <w:t xml:space="preserve"> (תוס' ושא"ר ב"ב שם, </w:t>
      </w:r>
      <w:r w:rsidRPr="00E14121">
        <w:rPr>
          <w:rFonts w:ascii="Narkisim" w:hAnsi="Narkisim" w:cs="Narkisim"/>
          <w:b/>
          <w:bCs/>
          <w:rtl/>
        </w:rPr>
        <w:t>רא"ש</w:t>
      </w:r>
      <w:r w:rsidRPr="00E14121">
        <w:rPr>
          <w:rFonts w:ascii="Narkisim" w:hAnsi="Narkisim" w:cs="Narkisim"/>
          <w:rtl/>
        </w:rPr>
        <w:t xml:space="preserve"> מקואות א) חלקו דכיון דהיה מקוה שלם והשיקו</w:t>
      </w:r>
      <w:r w:rsidRPr="00E14121">
        <w:rPr>
          <w:rStyle w:val="ac"/>
          <w:rFonts w:ascii="Narkisim" w:hAnsi="Narkisim" w:cs="Narkisim"/>
          <w:rtl/>
        </w:rPr>
        <w:footnoteReference w:id="5028"/>
      </w:r>
      <w:r w:rsidRPr="00E14121">
        <w:rPr>
          <w:rFonts w:ascii="Narkisim" w:hAnsi="Narkisim" w:cs="Narkisim"/>
          <w:rtl/>
        </w:rPr>
        <w:t xml:space="preserve">, </w:t>
      </w:r>
      <w:r w:rsidRPr="00E14121">
        <w:rPr>
          <w:rFonts w:ascii="Narkisim" w:hAnsi="Narkisim" w:cs="Narkisim"/>
          <w:rtl/>
        </w:rPr>
        <w:lastRenderedPageBreak/>
        <w:t>תו לא מיפסיל לעולם, אף כשמוסיף הרבה שאובין. כדמוכח בכמה משניות (מקואות ז ג ועוד).</w:t>
      </w:r>
    </w:p>
    <w:p w14:paraId="4518286F" w14:textId="77777777" w:rsidR="00F64AED" w:rsidRPr="00E14121" w:rsidRDefault="00F64AED" w:rsidP="00F64AED">
      <w:pPr>
        <w:pStyle w:val="a7"/>
        <w:bidi/>
        <w:rPr>
          <w:rFonts w:ascii="Narkisim" w:hAnsi="Narkisim"/>
        </w:rPr>
      </w:pPr>
      <w:r w:rsidRPr="00E14121">
        <w:rPr>
          <w:rFonts w:ascii="Narkisim" w:hAnsi="Narkisim"/>
          <w:rtl/>
        </w:rPr>
        <w:t>וכן ה</w:t>
      </w:r>
      <w:r w:rsidRPr="00E14121">
        <w:rPr>
          <w:rFonts w:ascii="Narkisim" w:hAnsi="Narkisim"/>
          <w:b/>
          <w:bCs/>
          <w:rtl/>
        </w:rPr>
        <w:t>רמב"ם</w:t>
      </w:r>
      <w:r w:rsidRPr="00E14121">
        <w:rPr>
          <w:rFonts w:ascii="Narkisim" w:hAnsi="Narkisim"/>
          <w:rtl/>
        </w:rPr>
        <w:t xml:space="preserve"> (מקואות ד ז) הביא דין זה במים שאובים, דנתן סאה מים שאובין וחזר ולקח וכו', עד י"ט</w:t>
      </w:r>
      <w:r w:rsidRPr="00E14121">
        <w:rPr>
          <w:rStyle w:val="ac"/>
          <w:rFonts w:ascii="Narkisim" w:hAnsi="Narkisim"/>
          <w:rtl/>
        </w:rPr>
        <w:footnoteReference w:id="5029"/>
      </w:r>
      <w:r w:rsidRPr="00E14121">
        <w:rPr>
          <w:rFonts w:ascii="Narkisim" w:hAnsi="Narkisim"/>
          <w:rtl/>
        </w:rPr>
        <w:t>. וה</w:t>
      </w:r>
      <w:r w:rsidRPr="00E14121">
        <w:rPr>
          <w:rFonts w:ascii="Narkisim" w:hAnsi="Narkisim"/>
          <w:b/>
          <w:bCs/>
          <w:rtl/>
        </w:rPr>
        <w:t>כס"מ</w:t>
      </w:r>
      <w:r w:rsidRPr="00E14121">
        <w:rPr>
          <w:rFonts w:ascii="Narkisim" w:hAnsi="Narkisim"/>
          <w:rtl/>
        </w:rPr>
        <w:t xml:space="preserve"> פירש דכיון דנתן וחזר ולקח מיחזי לאינשי שניטלו הכשרים. וה</w:t>
      </w:r>
      <w:r w:rsidRPr="00E14121">
        <w:rPr>
          <w:rFonts w:ascii="Narkisim" w:hAnsi="Narkisim"/>
          <w:b/>
          <w:bCs/>
          <w:rtl/>
        </w:rPr>
        <w:t>ב"י</w:t>
      </w:r>
      <w:r w:rsidRPr="00E14121">
        <w:rPr>
          <w:rFonts w:ascii="Narkisim" w:hAnsi="Narkisim"/>
          <w:rtl/>
        </w:rPr>
        <w:t xml:space="preserve"> (יו"ד רא כד) נקט דאף דעת הראב"ד דל"מ יותר מרוב במים שאובין הוה מדרבנן. אבל ה</w:t>
      </w:r>
      <w:r w:rsidRPr="00E14121">
        <w:rPr>
          <w:rFonts w:ascii="Narkisim" w:hAnsi="Narkisim"/>
          <w:b/>
          <w:bCs/>
          <w:rtl/>
        </w:rPr>
        <w:t>אחרונים</w:t>
      </w:r>
      <w:r w:rsidRPr="00E14121">
        <w:rPr>
          <w:rFonts w:ascii="Narkisim" w:hAnsi="Narkisim"/>
          <w:rtl/>
        </w:rPr>
        <w:t xml:space="preserve"> הביאו דמשמע בראב"ד דכשיש רוב נחשב מדאורייתא שאובין</w:t>
      </w:r>
      <w:r w:rsidRPr="00E14121">
        <w:rPr>
          <w:rStyle w:val="ac"/>
          <w:rFonts w:ascii="Narkisim" w:hAnsi="Narkisim"/>
          <w:rtl/>
        </w:rPr>
        <w:footnoteReference w:id="5030"/>
      </w:r>
      <w:r w:rsidRPr="00E14121">
        <w:rPr>
          <w:rFonts w:ascii="Narkisim" w:hAnsi="Narkisim"/>
          <w:rtl/>
        </w:rPr>
        <w:t>.</w:t>
      </w:r>
      <w:r w:rsidRPr="00E14121">
        <w:rPr>
          <w:rFonts w:ascii="Narkisim" w:hAnsi="Narkisim"/>
          <w:sz w:val="20"/>
          <w:szCs w:val="20"/>
          <w:rtl/>
        </w:rPr>
        <w:t xml:space="preserve"> וה</w:t>
      </w:r>
      <w:r w:rsidRPr="00E14121">
        <w:rPr>
          <w:rFonts w:ascii="Narkisim" w:hAnsi="Narkisim"/>
          <w:b/>
          <w:bCs/>
          <w:sz w:val="20"/>
          <w:szCs w:val="20"/>
          <w:rtl/>
        </w:rPr>
        <w:t xml:space="preserve">שו"ע </w:t>
      </w:r>
      <w:r w:rsidRPr="00E14121">
        <w:rPr>
          <w:rFonts w:ascii="Narkisim" w:hAnsi="Narkisim"/>
          <w:sz w:val="20"/>
          <w:szCs w:val="20"/>
          <w:rtl/>
        </w:rPr>
        <w:t>(יו"ד רא כד) פסק כדעת שאר ראשונים דכשר לעולם. וה</w:t>
      </w:r>
      <w:r w:rsidRPr="00E14121">
        <w:rPr>
          <w:rFonts w:ascii="Narkisim" w:hAnsi="Narkisim"/>
          <w:b/>
          <w:bCs/>
          <w:sz w:val="20"/>
          <w:szCs w:val="20"/>
          <w:rtl/>
        </w:rPr>
        <w:t>ש"ך</w:t>
      </w:r>
      <w:r w:rsidRPr="00E14121">
        <w:rPr>
          <w:rFonts w:ascii="Narkisim" w:hAnsi="Narkisim"/>
          <w:sz w:val="20"/>
          <w:szCs w:val="20"/>
          <w:rtl/>
        </w:rPr>
        <w:t xml:space="preserve"> (שם סג) הביא בשם ה</w:t>
      </w:r>
      <w:r w:rsidRPr="00E14121">
        <w:rPr>
          <w:rFonts w:ascii="Narkisim" w:hAnsi="Narkisim"/>
          <w:b/>
          <w:bCs/>
          <w:sz w:val="20"/>
          <w:szCs w:val="20"/>
          <w:rtl/>
        </w:rPr>
        <w:t>תשב"ץ</w:t>
      </w:r>
      <w:r w:rsidRPr="00E14121">
        <w:rPr>
          <w:rFonts w:ascii="Narkisim" w:hAnsi="Narkisim"/>
          <w:sz w:val="20"/>
          <w:szCs w:val="20"/>
          <w:rtl/>
        </w:rPr>
        <w:t xml:space="preserve"> דאין להכניס ראשינו במח', דאפשר לתקן ולצאת ידי כל הספיקות</w:t>
      </w:r>
      <w:r w:rsidRPr="00E14121">
        <w:rPr>
          <w:rStyle w:val="ac"/>
          <w:rFonts w:ascii="Narkisim" w:hAnsi="Narkisim"/>
          <w:sz w:val="20"/>
          <w:szCs w:val="20"/>
          <w:rtl/>
        </w:rPr>
        <w:footnoteReference w:id="5031"/>
      </w:r>
      <w:r w:rsidRPr="00E14121">
        <w:rPr>
          <w:rFonts w:ascii="Narkisim" w:hAnsi="Narkisim"/>
          <w:sz w:val="20"/>
          <w:szCs w:val="20"/>
          <w:rtl/>
        </w:rPr>
        <w:t>.</w:t>
      </w:r>
    </w:p>
    <w:p w14:paraId="4AD40570" w14:textId="77777777" w:rsidR="00F64AED" w:rsidRPr="00E14121" w:rsidRDefault="00F64AED" w:rsidP="00F64AED">
      <w:pPr>
        <w:bidi/>
        <w:rPr>
          <w:rFonts w:ascii="Narkisim" w:hAnsi="Narkisim" w:cs="Narkisim"/>
        </w:rPr>
      </w:pPr>
      <w:r w:rsidRPr="00E14121">
        <w:rPr>
          <w:rFonts w:ascii="Narkisim" w:hAnsi="Narkisim" w:cs="Narkisim"/>
          <w:u w:val="single"/>
          <w:rtl/>
        </w:rPr>
        <w:t>בא"ד ונהי דכשמי פירות רוב מתבטלים המים וכו'.</w:t>
      </w:r>
      <w:r w:rsidRPr="00E14121">
        <w:rPr>
          <w:rFonts w:ascii="Narkisim" w:hAnsi="Narkisim" w:cs="Narkisim"/>
          <w:rtl/>
        </w:rPr>
        <w:t xml:space="preserve"> ומבואר בתוס' דאף לענין מחטין, דאף כשיש שיעור מקוה שלם, כשיש רוב מי פירות בטל מהם שם מים [וכ"כ ה</w:t>
      </w:r>
      <w:r w:rsidRPr="00E14121">
        <w:rPr>
          <w:rFonts w:ascii="Narkisim" w:hAnsi="Narkisim" w:cs="Narkisim"/>
          <w:b/>
          <w:bCs/>
          <w:rtl/>
        </w:rPr>
        <w:t>חזו"א</w:t>
      </w:r>
      <w:r w:rsidRPr="00E14121">
        <w:rPr>
          <w:rFonts w:ascii="Narkisim" w:hAnsi="Narkisim" w:cs="Narkisim"/>
          <w:rtl/>
        </w:rPr>
        <w:t>].</w:t>
      </w:r>
      <w:r w:rsidRPr="00E14121">
        <w:rPr>
          <w:rFonts w:ascii="Narkisim" w:hAnsi="Narkisim" w:cs="Narkisim"/>
          <w:sz w:val="20"/>
          <w:szCs w:val="20"/>
          <w:rtl/>
        </w:rPr>
        <w:t xml:space="preserve"> [ובמש"כ תוס' דמדרבנן בעי רוב, יל"ד האם היינו משום דבעי שיעור מ' סאה, ובעי שהמי פירות יצטרף. או דאף כשיש מ' סאה מדרבנן אסור לטבול במחצה]</w:t>
      </w:r>
      <w:r w:rsidRPr="00E14121">
        <w:rPr>
          <w:rFonts w:ascii="Narkisim" w:hAnsi="Narkisim" w:cs="Narkisim"/>
          <w:rtl/>
        </w:rPr>
        <w:t>.</w:t>
      </w:r>
    </w:p>
    <w:p w14:paraId="42E16EBB" w14:textId="77777777" w:rsidR="00F64AED" w:rsidRPr="00E14121" w:rsidRDefault="00F64AED" w:rsidP="00F64AED">
      <w:pPr>
        <w:bidi/>
        <w:rPr>
          <w:rFonts w:ascii="Narkisim" w:hAnsi="Narkisim" w:cs="Narkisim"/>
        </w:rPr>
      </w:pPr>
      <w:r w:rsidRPr="00E14121">
        <w:rPr>
          <w:rFonts w:ascii="Narkisim" w:hAnsi="Narkisim" w:cs="Narkisim"/>
          <w:u w:val="single"/>
          <w:rtl/>
        </w:rPr>
        <w:t>בא"ד ועוד י"ל דמדאורייתא קמא קמא בטל.</w:t>
      </w:r>
      <w:r w:rsidRPr="00E14121">
        <w:rPr>
          <w:rFonts w:ascii="Narkisim" w:hAnsi="Narkisim" w:cs="Narkisim"/>
          <w:rtl/>
        </w:rPr>
        <w:t xml:space="preserve"> וה</w:t>
      </w:r>
      <w:r w:rsidRPr="00E14121">
        <w:rPr>
          <w:rFonts w:ascii="Narkisim" w:hAnsi="Narkisim" w:cs="Narkisim"/>
          <w:b/>
          <w:bCs/>
          <w:rtl/>
        </w:rPr>
        <w:t xml:space="preserve">תו"י </w:t>
      </w:r>
      <w:r w:rsidRPr="00E14121">
        <w:rPr>
          <w:rFonts w:ascii="Narkisim" w:hAnsi="Narkisim" w:cs="Narkisim"/>
          <w:rtl/>
        </w:rPr>
        <w:t xml:space="preserve">הק' דאמרי' דחוזר וניעור. </w:t>
      </w:r>
      <w:r w:rsidRPr="00E14121">
        <w:rPr>
          <w:rFonts w:ascii="Narkisim" w:hAnsi="Narkisim" w:cs="Narkisim"/>
          <w:sz w:val="20"/>
          <w:szCs w:val="20"/>
          <w:rtl/>
        </w:rPr>
        <w:t>ומשמע מתוס' דהא דאמרי' חוזר וניעור הוה רק מדרבנן [אבל תוס' (ד"ה אמר) לא משמע כן]. וב</w:t>
      </w:r>
      <w:r w:rsidRPr="00E14121">
        <w:rPr>
          <w:rFonts w:ascii="Narkisim" w:hAnsi="Narkisim" w:cs="Narkisim"/>
          <w:b/>
          <w:bCs/>
          <w:sz w:val="20"/>
          <w:szCs w:val="20"/>
          <w:rtl/>
        </w:rPr>
        <w:t>שיע' ר' דוד</w:t>
      </w:r>
      <w:r w:rsidRPr="00E14121">
        <w:rPr>
          <w:rFonts w:ascii="Narkisim" w:hAnsi="Narkisim" w:cs="Narkisim"/>
          <w:sz w:val="20"/>
          <w:szCs w:val="20"/>
          <w:rtl/>
        </w:rPr>
        <w:t xml:space="preserve"> כתב דמהני לענין להחשב 'שם מים', ואף דלענין איסור והיתר אמרי' דהוכר האיסור</w:t>
      </w:r>
      <w:r w:rsidRPr="00E14121">
        <w:rPr>
          <w:rStyle w:val="ac"/>
          <w:rFonts w:ascii="Narkisim" w:hAnsi="Narkisim" w:cs="Narkisim"/>
          <w:sz w:val="20"/>
          <w:szCs w:val="20"/>
          <w:rtl/>
        </w:rPr>
        <w:footnoteReference w:id="5032"/>
      </w:r>
      <w:r w:rsidRPr="00E14121">
        <w:rPr>
          <w:rFonts w:ascii="Narkisim" w:hAnsi="Narkisim" w:cs="Narkisim"/>
          <w:sz w:val="20"/>
          <w:szCs w:val="20"/>
          <w:rtl/>
        </w:rPr>
        <w:t>.</w:t>
      </w:r>
    </w:p>
    <w:p w14:paraId="5D61DBFD"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אחרונים</w:t>
      </w:r>
      <w:r w:rsidRPr="00E14121">
        <w:rPr>
          <w:rFonts w:ascii="Narkisim" w:hAnsi="Narkisim"/>
          <w:rtl/>
        </w:rPr>
        <w:t xml:space="preserve"> (שער"י ג טז) הביאו מדברי התוס' דהמי פירות מתבטלים, ומקבלים דין מים, ומבואר דביטול מוסיף דינים</w:t>
      </w:r>
      <w:r w:rsidRPr="00E14121">
        <w:rPr>
          <w:rStyle w:val="ac"/>
          <w:rFonts w:ascii="Narkisim" w:hAnsi="Narkisim"/>
          <w:rtl/>
        </w:rPr>
        <w:footnoteReference w:id="5033"/>
      </w:r>
      <w:r w:rsidRPr="00E14121">
        <w:rPr>
          <w:rFonts w:ascii="Narkisim" w:hAnsi="Narkisim"/>
          <w:rtl/>
        </w:rPr>
        <w:t xml:space="preserve"> [והאריכו בזה האחרונים ע' </w:t>
      </w:r>
      <w:r w:rsidRPr="00E14121">
        <w:rPr>
          <w:rFonts w:ascii="Narkisim" w:hAnsi="Narkisim"/>
          <w:b/>
          <w:bCs/>
          <w:rtl/>
        </w:rPr>
        <w:t xml:space="preserve">עונג יו"ט </w:t>
      </w:r>
      <w:r w:rsidRPr="00E14121">
        <w:rPr>
          <w:rFonts w:ascii="Narkisim" w:hAnsi="Narkisim"/>
          <w:rtl/>
        </w:rPr>
        <w:t>או"ח ד</w:t>
      </w:r>
      <w:r w:rsidRPr="00E14121">
        <w:rPr>
          <w:rStyle w:val="ac"/>
          <w:rFonts w:ascii="Narkisim" w:hAnsi="Narkisim"/>
          <w:rtl/>
        </w:rPr>
        <w:footnoteReference w:id="5034"/>
      </w:r>
      <w:r w:rsidRPr="00E14121">
        <w:rPr>
          <w:rFonts w:ascii="Narkisim" w:hAnsi="Narkisim"/>
          <w:rtl/>
        </w:rPr>
        <w:t>].</w:t>
      </w:r>
    </w:p>
    <w:p w14:paraId="0E4173DF" w14:textId="77777777" w:rsidR="00F64AED" w:rsidRPr="00E14121" w:rsidRDefault="00F64AED" w:rsidP="00F64AED">
      <w:pPr>
        <w:pStyle w:val="aa"/>
        <w:bidi/>
        <w:rPr>
          <w:rFonts w:ascii="Narkisim" w:hAnsi="Narkisim"/>
        </w:rPr>
      </w:pPr>
      <w:r w:rsidRPr="00E14121">
        <w:rPr>
          <w:rFonts w:ascii="Narkisim" w:hAnsi="Narkisim"/>
          <w:u w:val="single"/>
          <w:rtl/>
        </w:rPr>
        <w:t>בא"ד א"נ קאי אתמד שיש בו מים.</w:t>
      </w:r>
      <w:r w:rsidRPr="00E14121">
        <w:rPr>
          <w:rFonts w:ascii="Narkisim" w:hAnsi="Narkisim"/>
          <w:rtl/>
        </w:rPr>
        <w:t xml:space="preserve"> ה</w:t>
      </w:r>
      <w:r w:rsidRPr="00E14121">
        <w:rPr>
          <w:rFonts w:ascii="Narkisim" w:hAnsi="Narkisim"/>
          <w:b/>
          <w:bCs/>
          <w:rtl/>
        </w:rPr>
        <w:t>חזו"א</w:t>
      </w:r>
      <w:r w:rsidRPr="00E14121">
        <w:rPr>
          <w:rFonts w:ascii="Narkisim" w:hAnsi="Narkisim"/>
          <w:rtl/>
        </w:rPr>
        <w:t xml:space="preserve"> הביא [דמשמע מתוס'] דתמד נחשב מים מדאורייתא, ותמה דמבואר דדינו כיין אפי' לקולא. וכתב דאפשר דהכא כיון דהתבטל לא אמרי' על המים שבו חוזר וניעור.</w:t>
      </w:r>
    </w:p>
    <w:p w14:paraId="0006E844" w14:textId="77777777" w:rsidR="00F64AED" w:rsidRPr="00E14121" w:rsidRDefault="00F64AED" w:rsidP="00F64AED">
      <w:pPr>
        <w:bidi/>
        <w:rPr>
          <w:rFonts w:ascii="Narkisim" w:hAnsi="Narkisim" w:cs="Narkisim"/>
        </w:rPr>
      </w:pPr>
      <w:r w:rsidRPr="00E14121">
        <w:rPr>
          <w:rFonts w:ascii="Narkisim" w:hAnsi="Narkisim" w:cs="Narkisim"/>
          <w:u w:val="single"/>
          <w:rtl/>
        </w:rPr>
        <w:t>תוד"ה אמר.</w:t>
      </w:r>
      <w:r w:rsidRPr="00E14121">
        <w:rPr>
          <w:rFonts w:ascii="Narkisim" w:hAnsi="Narkisim" w:cs="Narkisim"/>
          <w:rtl/>
        </w:rPr>
        <w:t xml:space="preserve"> ונראה לר"י ראשון ראשון בטל היינו דוקא עד ששים, דטעם כעיקר מה"ת.</w:t>
      </w:r>
      <w:r w:rsidRPr="00E14121">
        <w:rPr>
          <w:rFonts w:ascii="Narkisim" w:hAnsi="Narkisim" w:cs="Narkisim"/>
          <w:sz w:val="20"/>
          <w:szCs w:val="20"/>
          <w:rtl/>
        </w:rPr>
        <w:t xml:space="preserve"> [משמע דהטעם דמעכשיו הוכר האיסור, ופקע סיבת הביטול. אמנם משמע בתוס' דאמרי' חוזר וניעור אף במין במינו, וע"כ דאמרי' דסיבת האיסור קיימת, ומכאן ולהבא אין את סיבת הבטול].</w:t>
      </w:r>
    </w:p>
    <w:p w14:paraId="2409194D" w14:textId="77777777" w:rsidR="00F64AED" w:rsidRPr="00E14121" w:rsidRDefault="00F64AED" w:rsidP="00F64AED">
      <w:pPr>
        <w:pStyle w:val="a7"/>
        <w:bidi/>
        <w:rPr>
          <w:rFonts w:ascii="Narkisim" w:hAnsi="Narkisim"/>
        </w:rPr>
      </w:pPr>
      <w:r w:rsidRPr="00E14121">
        <w:rPr>
          <w:rFonts w:ascii="Narkisim" w:hAnsi="Narkisim"/>
          <w:rtl/>
        </w:rPr>
        <w:t xml:space="preserve">אבל דעת </w:t>
      </w:r>
      <w:r w:rsidRPr="00E14121">
        <w:rPr>
          <w:rFonts w:ascii="Narkisim" w:hAnsi="Narkisim"/>
          <w:b/>
          <w:bCs/>
          <w:rtl/>
        </w:rPr>
        <w:t>ר"ת</w:t>
      </w:r>
      <w:r w:rsidRPr="00E14121">
        <w:rPr>
          <w:rFonts w:ascii="Narkisim" w:hAnsi="Narkisim"/>
          <w:rtl/>
        </w:rPr>
        <w:t xml:space="preserve"> (הו' ב</w:t>
      </w:r>
      <w:r w:rsidRPr="00E14121">
        <w:rPr>
          <w:rFonts w:ascii="Narkisim" w:hAnsi="Narkisim"/>
          <w:b/>
          <w:bCs/>
          <w:rtl/>
        </w:rPr>
        <w:t>תוס</w:t>
      </w:r>
      <w:r w:rsidRPr="00E14121">
        <w:rPr>
          <w:rFonts w:ascii="Narkisim" w:hAnsi="Narkisim"/>
          <w:rtl/>
        </w:rPr>
        <w:t>' ב"ק ק: ועוד) דאמרי' קמא קמא בטל [כשיש הפסק בינתיים</w:t>
      </w:r>
      <w:r w:rsidRPr="00E14121">
        <w:rPr>
          <w:rStyle w:val="ac"/>
          <w:rFonts w:ascii="Narkisim" w:hAnsi="Narkisim"/>
          <w:rtl/>
        </w:rPr>
        <w:footnoteReference w:id="5035"/>
      </w:r>
      <w:r w:rsidRPr="00E14121">
        <w:rPr>
          <w:rFonts w:ascii="Narkisim" w:hAnsi="Narkisim"/>
          <w:rtl/>
        </w:rPr>
        <w:t>]. ובגמ' (בכורות כב.) דאמרי' חוזר וניעור הוה חומרא לענין טומאה. וה"נ בסוגיין לענין מי פירות החמירו טפי.</w:t>
      </w:r>
    </w:p>
    <w:p w14:paraId="0C1C52FA" w14:textId="77777777" w:rsidR="00F64AED" w:rsidRPr="00E14121" w:rsidRDefault="00F64AED" w:rsidP="00F64AED">
      <w:pPr>
        <w:bidi/>
        <w:rPr>
          <w:rFonts w:ascii="Narkisim" w:hAnsi="Narkisim" w:cs="Narkisim"/>
        </w:rPr>
      </w:pPr>
      <w:r w:rsidRPr="00E14121">
        <w:rPr>
          <w:rFonts w:ascii="Narkisim" w:hAnsi="Narkisim" w:cs="Narkisim"/>
          <w:u w:val="single"/>
          <w:rtl/>
        </w:rPr>
        <w:t>רש"י ד"ה מאי לאו.</w:t>
      </w:r>
      <w:r w:rsidRPr="00E14121">
        <w:rPr>
          <w:rFonts w:ascii="Narkisim" w:hAnsi="Narkisim" w:cs="Narkisim"/>
          <w:rtl/>
        </w:rPr>
        <w:t xml:space="preserve"> עד י"ט. וכ"פ ה</w:t>
      </w:r>
      <w:r w:rsidRPr="00E14121">
        <w:rPr>
          <w:rFonts w:ascii="Narkisim" w:hAnsi="Narkisim" w:cs="Narkisim"/>
          <w:b/>
          <w:bCs/>
          <w:rtl/>
        </w:rPr>
        <w:t>שו"ע</w:t>
      </w:r>
      <w:r w:rsidRPr="00E14121">
        <w:rPr>
          <w:rFonts w:ascii="Narkisim" w:hAnsi="Narkisim" w:cs="Narkisim"/>
          <w:rtl/>
        </w:rPr>
        <w:t xml:space="preserve"> (יו"ד רא כד). ו</w:t>
      </w:r>
      <w:r w:rsidRPr="00E14121">
        <w:rPr>
          <w:rFonts w:ascii="Narkisim" w:hAnsi="Narkisim" w:cs="Narkisim"/>
          <w:b/>
          <w:bCs/>
          <w:rtl/>
        </w:rPr>
        <w:t>ר"ש איגר</w:t>
      </w:r>
      <w:r w:rsidRPr="00E14121">
        <w:rPr>
          <w:rFonts w:ascii="Narkisim" w:hAnsi="Narkisim" w:cs="Narkisim"/>
          <w:rtl/>
        </w:rPr>
        <w:t xml:space="preserve"> (שו"ת רע"א ק' רכא ט) תמה דכל פעם שמוציא סאה, יוצא אף מהמי פירות לפי חשבון, ואף שנטל עד ל' פעמים ישאר רוב מים</w:t>
      </w:r>
      <w:r w:rsidRPr="00E14121">
        <w:rPr>
          <w:rStyle w:val="ac"/>
          <w:rFonts w:ascii="Narkisim" w:hAnsi="Narkisim" w:cs="Narkisim"/>
          <w:rtl/>
        </w:rPr>
        <w:footnoteReference w:id="5036"/>
      </w:r>
      <w:r w:rsidRPr="00E14121">
        <w:rPr>
          <w:rFonts w:ascii="Narkisim" w:hAnsi="Narkisim" w:cs="Narkisim"/>
          <w:rtl/>
        </w:rPr>
        <w:t>.</w:t>
      </w:r>
      <w:r w:rsidRPr="00E14121">
        <w:rPr>
          <w:rStyle w:val="ac"/>
          <w:rFonts w:ascii="Narkisim" w:hAnsi="Narkisim" w:cs="Narkisim"/>
          <w:rtl/>
        </w:rPr>
        <w:footnoteReference w:id="5037"/>
      </w:r>
      <w:r w:rsidRPr="00E14121">
        <w:rPr>
          <w:rFonts w:ascii="Narkisim" w:hAnsi="Narkisim" w:cs="Narkisim"/>
          <w:rtl/>
        </w:rPr>
        <w:t xml:space="preserve"> ועד"ז הק' ה</w:t>
      </w:r>
      <w:r w:rsidRPr="00E14121">
        <w:rPr>
          <w:rFonts w:ascii="Narkisim" w:hAnsi="Narkisim" w:cs="Narkisim"/>
          <w:b/>
          <w:bCs/>
          <w:rtl/>
        </w:rPr>
        <w:t>תו"י</w:t>
      </w:r>
      <w:r w:rsidRPr="00E14121">
        <w:rPr>
          <w:rFonts w:ascii="Narkisim" w:hAnsi="Narkisim" w:cs="Narkisim"/>
          <w:rtl/>
        </w:rPr>
        <w:t xml:space="preserve"> (ב). והתו"י תי' דגזרו חכמים מפני שנראה כרובו. וכעי"ז כת' ה</w:t>
      </w:r>
      <w:r w:rsidRPr="00E14121">
        <w:rPr>
          <w:rFonts w:ascii="Narkisim" w:hAnsi="Narkisim" w:cs="Narkisim"/>
          <w:b/>
          <w:bCs/>
          <w:rtl/>
        </w:rPr>
        <w:t>חזו"א</w:t>
      </w:r>
      <w:r w:rsidRPr="00E14121">
        <w:rPr>
          <w:rFonts w:ascii="Narkisim" w:hAnsi="Narkisim" w:cs="Narkisim"/>
          <w:rtl/>
        </w:rPr>
        <w:t xml:space="preserve"> </w:t>
      </w:r>
      <w:r w:rsidRPr="00E14121">
        <w:rPr>
          <w:rFonts w:ascii="Narkisim" w:hAnsi="Narkisim" w:cs="Narkisim"/>
          <w:sz w:val="20"/>
          <w:szCs w:val="20"/>
          <w:rtl/>
        </w:rPr>
        <w:t>(מקואות ת ה יא)</w:t>
      </w:r>
      <w:r w:rsidRPr="00E14121">
        <w:rPr>
          <w:rFonts w:ascii="Narkisim" w:hAnsi="Narkisim" w:cs="Narkisim"/>
          <w:rtl/>
        </w:rPr>
        <w:t xml:space="preserve"> דכיון דא"א לעמוד על החשבון, גדרו חכמים הכא דעד י"ט.</w:t>
      </w:r>
    </w:p>
    <w:p w14:paraId="35A8042F"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רע"א</w:t>
      </w:r>
      <w:r w:rsidRPr="00E14121">
        <w:rPr>
          <w:rFonts w:ascii="Narkisim" w:hAnsi="Narkisim"/>
          <w:rtl/>
        </w:rPr>
        <w:t xml:space="preserve"> (שו"ת ק' רכב כה) חידש דאף לס"ד הא דמהני רוב מים </w:t>
      </w:r>
      <w:r w:rsidRPr="00E14121">
        <w:rPr>
          <w:rFonts w:ascii="Narkisim" w:hAnsi="Narkisim"/>
          <w:sz w:val="20"/>
          <w:szCs w:val="20"/>
          <w:rtl/>
        </w:rPr>
        <w:t xml:space="preserve">[ומי פירות מהני להשלים את המקוה] </w:t>
      </w:r>
      <w:r w:rsidRPr="00E14121">
        <w:rPr>
          <w:rFonts w:ascii="Narkisim" w:hAnsi="Narkisim"/>
          <w:rtl/>
        </w:rPr>
        <w:t xml:space="preserve">הוה רק בצירוף 'שאני אומר', דאמרי' דכל המי פירות הם שיצאו וניטלו מכאן. וע"י שיש ודאי רוב מים הקילו. אבל אילו נתן ונטל יותר מי"ט, יתכן דאין כאן רוב מים ולא הקילו. [ובזה תי' הגמ' דבמים מעורבין המי פירות מתערבין, ול"ש בזה כלל שאני אומר]. </w:t>
      </w:r>
      <w:r w:rsidRPr="00E14121">
        <w:rPr>
          <w:rFonts w:ascii="Narkisim" w:hAnsi="Narkisim"/>
          <w:sz w:val="20"/>
          <w:szCs w:val="20"/>
          <w:rtl/>
        </w:rPr>
        <w:t>[וע' שער"י ג יז מש"כ עד"ז].</w:t>
      </w:r>
      <w:r w:rsidRPr="00E14121">
        <w:rPr>
          <w:rFonts w:ascii="Narkisim" w:hAnsi="Narkisim"/>
          <w:rtl/>
        </w:rPr>
        <w:t xml:space="preserve"> וה</w:t>
      </w:r>
      <w:r w:rsidRPr="00E14121">
        <w:rPr>
          <w:rFonts w:ascii="Narkisim" w:hAnsi="Narkisim"/>
          <w:b/>
          <w:bCs/>
          <w:rtl/>
        </w:rPr>
        <w:t>חזו"א</w:t>
      </w:r>
      <w:r w:rsidRPr="00E14121">
        <w:rPr>
          <w:rFonts w:ascii="Narkisim" w:hAnsi="Narkisim"/>
          <w:rtl/>
        </w:rPr>
        <w:t xml:space="preserve"> חלק דמדברי </w:t>
      </w:r>
      <w:r w:rsidRPr="00E14121">
        <w:rPr>
          <w:rFonts w:ascii="Narkisim" w:hAnsi="Narkisim"/>
          <w:b/>
          <w:bCs/>
          <w:rtl/>
        </w:rPr>
        <w:t>רש"י</w:t>
      </w:r>
      <w:r w:rsidRPr="00E14121">
        <w:rPr>
          <w:rFonts w:ascii="Narkisim" w:hAnsi="Narkisim"/>
          <w:rtl/>
        </w:rPr>
        <w:t xml:space="preserve"> ו</w:t>
      </w:r>
      <w:r w:rsidRPr="00E14121">
        <w:rPr>
          <w:rFonts w:ascii="Narkisim" w:hAnsi="Narkisim"/>
          <w:b/>
          <w:bCs/>
          <w:rtl/>
        </w:rPr>
        <w:t>תוס</w:t>
      </w:r>
      <w:r w:rsidRPr="00E14121">
        <w:rPr>
          <w:rFonts w:ascii="Narkisim" w:hAnsi="Narkisim"/>
          <w:rtl/>
        </w:rPr>
        <w:t>' מבואר דהוה אף בלא שאני אומר, ורק ע"ד דברי ה</w:t>
      </w:r>
      <w:r w:rsidRPr="00E14121">
        <w:rPr>
          <w:rFonts w:ascii="Narkisim" w:hAnsi="Narkisim"/>
          <w:b/>
          <w:bCs/>
          <w:rtl/>
        </w:rPr>
        <w:t>ריטב"א</w:t>
      </w:r>
      <w:r w:rsidRPr="00E14121">
        <w:rPr>
          <w:rFonts w:ascii="Narkisim" w:hAnsi="Narkisim"/>
          <w:rtl/>
        </w:rPr>
        <w:t xml:space="preserve"> ו</w:t>
      </w:r>
      <w:r w:rsidRPr="00E14121">
        <w:rPr>
          <w:rFonts w:ascii="Narkisim" w:hAnsi="Narkisim"/>
          <w:b/>
          <w:bCs/>
          <w:rtl/>
        </w:rPr>
        <w:t>נמוק"י</w:t>
      </w:r>
      <w:r w:rsidRPr="00E14121">
        <w:rPr>
          <w:rFonts w:ascii="Narkisim" w:hAnsi="Narkisim"/>
          <w:rtl/>
        </w:rPr>
        <w:t xml:space="preserve"> י"ל כן.</w:t>
      </w:r>
    </w:p>
    <w:p w14:paraId="09B53DDE" w14:textId="77777777" w:rsidR="00F64AED" w:rsidRPr="00E14121" w:rsidRDefault="00F64AED" w:rsidP="00F64AED">
      <w:pPr>
        <w:pStyle w:val="2"/>
        <w:bidi/>
        <w:rPr>
          <w:rFonts w:ascii="Narkisim" w:hAnsi="Narkisim"/>
        </w:rPr>
      </w:pPr>
      <w:r w:rsidRPr="00E14121">
        <w:rPr>
          <w:rFonts w:ascii="Narkisim" w:hAnsi="Narkisim"/>
          <w:rtl/>
        </w:rPr>
        <w:lastRenderedPageBreak/>
        <w:t>אנדרוגינוס נושא</w:t>
      </w:r>
    </w:p>
    <w:p w14:paraId="0913295F" w14:textId="77777777" w:rsidR="00F64AED" w:rsidRPr="00E14121" w:rsidRDefault="00F64AED" w:rsidP="00F64AED">
      <w:pPr>
        <w:bidi/>
        <w:rPr>
          <w:rFonts w:ascii="Narkisim" w:hAnsi="Narkisim" w:cs="Narkisim"/>
        </w:rPr>
      </w:pPr>
      <w:r w:rsidRPr="00E14121">
        <w:rPr>
          <w:rFonts w:ascii="Narkisim" w:hAnsi="Narkisim" w:cs="Narkisim"/>
          <w:u w:val="single"/>
          <w:rtl/>
        </w:rPr>
        <w:t>תנן אנדוגינוס נושא</w:t>
      </w:r>
      <w:r w:rsidRPr="00E14121">
        <w:rPr>
          <w:rStyle w:val="ac"/>
          <w:rFonts w:ascii="Narkisim" w:hAnsi="Narkisim" w:cs="Narkisim"/>
          <w:u w:val="single"/>
          <w:rtl/>
        </w:rPr>
        <w:footnoteReference w:id="5038"/>
      </w:r>
      <w:r w:rsidRPr="00E14121">
        <w:rPr>
          <w:rFonts w:ascii="Narkisim" w:hAnsi="Narkisim" w:cs="Narkisim"/>
          <w:u w:val="single"/>
          <w:rtl/>
        </w:rPr>
        <w:t>, תני אם נישא וכו'</w:t>
      </w:r>
      <w:r w:rsidRPr="00E14121">
        <w:rPr>
          <w:rFonts w:ascii="Narkisim" w:hAnsi="Narkisim" w:cs="Narkisim"/>
          <w:rtl/>
        </w:rPr>
        <w:t xml:space="preserve">. </w:t>
      </w:r>
      <w:r w:rsidRPr="00E14121">
        <w:rPr>
          <w:rFonts w:ascii="Narkisim" w:hAnsi="Narkisim" w:cs="Narkisim"/>
          <w:b/>
          <w:bCs/>
          <w:rtl/>
        </w:rPr>
        <w:t>רש"י</w:t>
      </w:r>
      <w:r w:rsidRPr="00E14121">
        <w:rPr>
          <w:rFonts w:ascii="Narkisim" w:hAnsi="Narkisim" w:cs="Narkisim"/>
          <w:rtl/>
        </w:rPr>
        <w:t xml:space="preserve"> פי' אלמא זכר מעליא הוא. </w:t>
      </w:r>
      <w:r w:rsidRPr="00E14121">
        <w:rPr>
          <w:rFonts w:ascii="Narkisim" w:hAnsi="Narkisim" w:cs="Narkisim"/>
          <w:b/>
          <w:bCs/>
          <w:rtl/>
        </w:rPr>
        <w:t>תוס'</w:t>
      </w:r>
      <w:r w:rsidRPr="00E14121">
        <w:rPr>
          <w:rFonts w:ascii="Narkisim" w:hAnsi="Narkisim" w:cs="Narkisim"/>
          <w:rtl/>
        </w:rPr>
        <w:t xml:space="preserve"> ב'ואין לפרש' כת' דאי הוה ספק נקיבה אסור הוה לישא אשה [לכתחילה]. משום נשים המסוללות (כדלעיל עו.). ותוס' דחו דאין בזה איסור [אף לר"ל], ולא פי' מ"ט.</w:t>
      </w:r>
    </w:p>
    <w:p w14:paraId="3F26CC12"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פי' דמשמע במשנה דהוה נישואין גמורים</w:t>
      </w:r>
      <w:r w:rsidRPr="00E14121">
        <w:rPr>
          <w:rStyle w:val="ac"/>
          <w:rFonts w:ascii="Narkisim" w:hAnsi="Narkisim"/>
          <w:rtl/>
        </w:rPr>
        <w:footnoteReference w:id="5039"/>
      </w:r>
      <w:r w:rsidRPr="00E14121">
        <w:rPr>
          <w:rFonts w:ascii="Narkisim" w:hAnsi="Narkisim"/>
          <w:rtl/>
        </w:rPr>
        <w:t xml:space="preserve">. אך אף למ"ד דאנדרוגינוס הוה ספק, מ"מ רשאי לישא אשה לכתחילה. וכ"ד </w:t>
      </w:r>
      <w:r w:rsidRPr="00E14121">
        <w:rPr>
          <w:rFonts w:ascii="Narkisim" w:hAnsi="Narkisim"/>
          <w:b/>
          <w:bCs/>
          <w:rtl/>
        </w:rPr>
        <w:t>הרמב"ם</w:t>
      </w:r>
      <w:r w:rsidRPr="00E14121">
        <w:rPr>
          <w:rFonts w:ascii="Narkisim" w:hAnsi="Narkisim"/>
          <w:rtl/>
        </w:rPr>
        <w:t xml:space="preserve"> (איסו"ב א טו) פסק דנושא לכתחילה, אף דס"ל דהוה ספק זכר.</w:t>
      </w:r>
    </w:p>
    <w:p w14:paraId="4E6FAEF9"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ה"ה</w:t>
      </w:r>
      <w:r w:rsidRPr="00E14121">
        <w:rPr>
          <w:rFonts w:ascii="Narkisim" w:hAnsi="Narkisim"/>
          <w:rtl/>
        </w:rPr>
        <w:t xml:space="preserve"> ביאר דנושא לכתחילה דאנדרוגינוס כזכר לענין זה, דילפי' מדרבי רחמנא לענין משכב זכר. ומש"ה לא שייך נשים מסוללות</w:t>
      </w:r>
      <w:r w:rsidRPr="00E14121">
        <w:rPr>
          <w:rStyle w:val="ac"/>
          <w:rFonts w:ascii="Narkisim" w:hAnsi="Narkisim"/>
          <w:rtl/>
        </w:rPr>
        <w:footnoteReference w:id="5040"/>
      </w:r>
      <w:r w:rsidRPr="00E14121">
        <w:rPr>
          <w:rFonts w:ascii="Narkisim" w:hAnsi="Narkisim"/>
          <w:rtl/>
        </w:rPr>
        <w:t>. ועוד כת' ה</w:t>
      </w:r>
      <w:r w:rsidRPr="00E14121">
        <w:rPr>
          <w:rFonts w:ascii="Narkisim" w:hAnsi="Narkisim"/>
          <w:b/>
          <w:bCs/>
          <w:rtl/>
        </w:rPr>
        <w:t>נוב"י</w:t>
      </w:r>
      <w:r w:rsidRPr="00E14121">
        <w:rPr>
          <w:rFonts w:ascii="Narkisim" w:hAnsi="Narkisim"/>
          <w:rtl/>
        </w:rPr>
        <w:t xml:space="preserve"> (ת' א) דדעת הרמב"ם דאינו בכלל נשים מסוללות כיון דמשמש דרך זכרותו, ואינו בכלל מעשה ארץ מצרים, אף לצד דדינו כנקיבה</w:t>
      </w:r>
      <w:r w:rsidRPr="00E14121">
        <w:rPr>
          <w:rStyle w:val="ac"/>
          <w:rFonts w:ascii="Narkisim" w:hAnsi="Narkisim"/>
          <w:rtl/>
        </w:rPr>
        <w:footnoteReference w:id="5041"/>
      </w:r>
      <w:r w:rsidRPr="00E14121">
        <w:rPr>
          <w:rFonts w:ascii="Narkisim" w:hAnsi="Narkisim"/>
          <w:rtl/>
        </w:rPr>
        <w:t>.</w:t>
      </w:r>
    </w:p>
    <w:p w14:paraId="2D985788" w14:textId="77777777" w:rsidR="00F64AED" w:rsidRPr="00E14121" w:rsidRDefault="00F64AED" w:rsidP="00F64AED">
      <w:pPr>
        <w:bidi/>
        <w:rPr>
          <w:rFonts w:ascii="Narkisim" w:hAnsi="Narkisim" w:cs="Narkisim"/>
        </w:rPr>
      </w:pPr>
      <w:r w:rsidRPr="00E14121">
        <w:rPr>
          <w:rFonts w:ascii="Narkisim" w:hAnsi="Narkisim" w:cs="Narkisim"/>
          <w:u w:val="single"/>
          <w:rtl/>
        </w:rPr>
        <w:t>תני אם נשא וכו' אבל לא נישא, דיעבד נמי לא</w:t>
      </w:r>
      <w:r w:rsidRPr="00E14121">
        <w:rPr>
          <w:rStyle w:val="ac"/>
          <w:rFonts w:ascii="Narkisim" w:hAnsi="Narkisim" w:cs="Narkisim"/>
          <w:rtl/>
        </w:rPr>
        <w:footnoteReference w:id="5042"/>
      </w:r>
      <w:r w:rsidRPr="00E14121">
        <w:rPr>
          <w:rFonts w:ascii="Narkisim" w:hAnsi="Narkisim" w:cs="Narkisim"/>
          <w:rtl/>
        </w:rPr>
        <w:t>. משמע דאף למ"ד דאנדרוגינוס הוה ספק, מ"מ הוא אינו נישא אף בדיעבד [ואף לחומרא ל"מ</w:t>
      </w:r>
      <w:r w:rsidRPr="00E14121">
        <w:rPr>
          <w:rStyle w:val="ac"/>
          <w:rFonts w:ascii="Narkisim" w:hAnsi="Narkisim" w:cs="Narkisim"/>
          <w:rtl/>
        </w:rPr>
        <w:footnoteReference w:id="5043"/>
      </w:r>
      <w:r w:rsidRPr="00E14121">
        <w:rPr>
          <w:rFonts w:ascii="Narkisim" w:hAnsi="Narkisim" w:cs="Narkisim"/>
          <w:rtl/>
        </w:rPr>
        <w:t>]. וה</w:t>
      </w:r>
      <w:r w:rsidRPr="00E14121">
        <w:rPr>
          <w:rFonts w:ascii="Narkisim" w:hAnsi="Narkisim" w:cs="Narkisim"/>
          <w:b/>
          <w:bCs/>
          <w:rtl/>
        </w:rPr>
        <w:t>ר"ש</w:t>
      </w:r>
      <w:r w:rsidRPr="00E14121">
        <w:rPr>
          <w:rFonts w:ascii="Narkisim" w:hAnsi="Narkisim" w:cs="Narkisim"/>
          <w:rtl/>
        </w:rPr>
        <w:t xml:space="preserve"> הק' אנדרוגינוס שנתקדש לכהן, אמאי לא יאכל תרומה דרבנן מחמת הספק. ותי' דאם נישא לאיש יש בו צד חיוב סקילה כזכר, ומש"ה החמירו עליו שלא יאכל בתרומה</w:t>
      </w:r>
      <w:r w:rsidRPr="00E14121">
        <w:rPr>
          <w:rStyle w:val="ac"/>
          <w:rFonts w:ascii="Narkisim" w:hAnsi="Narkisim" w:cs="Narkisim"/>
          <w:rtl/>
        </w:rPr>
        <w:footnoteReference w:id="5044"/>
      </w:r>
      <w:r w:rsidRPr="00E14121">
        <w:rPr>
          <w:rFonts w:ascii="Narkisim" w:hAnsi="Narkisim" w:cs="Narkisim"/>
          <w:rtl/>
        </w:rPr>
        <w:t>.</w:t>
      </w:r>
    </w:p>
    <w:p w14:paraId="4862C46A" w14:textId="77777777" w:rsidR="00F64AED" w:rsidRPr="00E14121" w:rsidRDefault="00F64AED" w:rsidP="00F64AED">
      <w:pPr>
        <w:pStyle w:val="aa"/>
        <w:bidi/>
        <w:rPr>
          <w:rFonts w:ascii="Narkisim" w:hAnsi="Narkisim"/>
        </w:rPr>
      </w:pPr>
      <w:r w:rsidRPr="00E14121">
        <w:rPr>
          <w:rFonts w:ascii="Narkisim" w:hAnsi="Narkisim"/>
          <w:rtl/>
        </w:rPr>
        <w:t>וה</w:t>
      </w:r>
      <w:r w:rsidRPr="00E14121">
        <w:rPr>
          <w:rFonts w:ascii="Narkisim" w:hAnsi="Narkisim"/>
          <w:b/>
          <w:bCs/>
          <w:rtl/>
        </w:rPr>
        <w:t>מאירי</w:t>
      </w:r>
      <w:r w:rsidRPr="00E14121">
        <w:rPr>
          <w:rFonts w:ascii="Narkisim" w:hAnsi="Narkisim"/>
          <w:rtl/>
        </w:rPr>
        <w:t xml:space="preserve"> ביאר דאנדרוגינוס נושא [בדיעבד] דהוה כאומר התקדשי לחציי דמקודשת (קידושין ז., גיטין מג.)</w:t>
      </w:r>
      <w:r w:rsidRPr="00E14121">
        <w:rPr>
          <w:rStyle w:val="ac"/>
          <w:rFonts w:ascii="Narkisim" w:hAnsi="Narkisim"/>
          <w:rtl/>
        </w:rPr>
        <w:footnoteReference w:id="5045"/>
      </w:r>
      <w:r w:rsidRPr="00E14121">
        <w:rPr>
          <w:rFonts w:ascii="Narkisim" w:hAnsi="Narkisim"/>
          <w:rtl/>
        </w:rPr>
        <w:t>. אבל לא נישא [בתורת ודאי, ואפי' בדיעבד] דהוה כחציך מקודשת לי. [דאנדרוגינוס הוה חצי זכר וחצי נקיבה, וכדעת הראב"ד (שופר ב ב הו' בסמוך) וע"ע חי' ר' מאיר שמחה במשנה].</w:t>
      </w:r>
    </w:p>
    <w:p w14:paraId="1015DF57" w14:textId="77777777" w:rsidR="00F64AED" w:rsidRPr="00E14121" w:rsidRDefault="00F64AED" w:rsidP="00F64AED">
      <w:pPr>
        <w:bidi/>
        <w:rPr>
          <w:rFonts w:ascii="Narkisim" w:hAnsi="Narkisim" w:cs="Narkisim"/>
        </w:rPr>
      </w:pPr>
      <w:r w:rsidRPr="00E14121">
        <w:rPr>
          <w:rFonts w:ascii="Narkisim" w:hAnsi="Narkisim" w:cs="Narkisim"/>
          <w:u w:val="single"/>
          <w:rtl/>
        </w:rPr>
        <w:t>תוד"ה תנן.</w:t>
      </w:r>
      <w:r w:rsidRPr="00E14121">
        <w:rPr>
          <w:rFonts w:ascii="Narkisim" w:hAnsi="Narkisim" w:cs="Narkisim"/>
          <w:rtl/>
        </w:rPr>
        <w:t xml:space="preserve"> ועוד יל"פ דחייב לישא, דמיפקד אפריה ורביה</w:t>
      </w:r>
      <w:r w:rsidRPr="00E14121">
        <w:rPr>
          <w:rStyle w:val="ac"/>
          <w:rFonts w:ascii="Narkisim" w:hAnsi="Narkisim" w:cs="Narkisim"/>
          <w:rtl/>
        </w:rPr>
        <w:footnoteReference w:id="5046"/>
      </w:r>
      <w:r w:rsidRPr="00E14121">
        <w:rPr>
          <w:rFonts w:ascii="Narkisim" w:hAnsi="Narkisim" w:cs="Narkisim"/>
          <w:rtl/>
        </w:rPr>
        <w:t>. ה</w:t>
      </w:r>
      <w:r w:rsidRPr="00E14121">
        <w:rPr>
          <w:rFonts w:ascii="Narkisim" w:hAnsi="Narkisim" w:cs="Narkisim"/>
          <w:b/>
          <w:bCs/>
          <w:rtl/>
        </w:rPr>
        <w:t>אחרונים</w:t>
      </w:r>
      <w:r w:rsidRPr="00E14121">
        <w:rPr>
          <w:rFonts w:ascii="Narkisim" w:hAnsi="Narkisim" w:cs="Narkisim"/>
          <w:rtl/>
        </w:rPr>
        <w:t xml:space="preserve"> הביאו דמבואר בתוס' דאנדרוגינוס מוליד, ודלא כמ"ש ה</w:t>
      </w:r>
      <w:r w:rsidRPr="00E14121">
        <w:rPr>
          <w:rFonts w:ascii="Narkisim" w:hAnsi="Narkisim" w:cs="Narkisim"/>
          <w:b/>
          <w:bCs/>
          <w:rtl/>
        </w:rPr>
        <w:t>רמב"ם</w:t>
      </w:r>
      <w:r w:rsidRPr="00E14121">
        <w:rPr>
          <w:rFonts w:ascii="Narkisim" w:hAnsi="Narkisim" w:cs="Narkisim"/>
          <w:rtl/>
        </w:rPr>
        <w:t xml:space="preserve"> (יבום ו ב) דהוה סריס חמה [לענין חליצה</w:t>
      </w:r>
      <w:r w:rsidRPr="00E14121">
        <w:rPr>
          <w:rStyle w:val="ac"/>
          <w:rFonts w:ascii="Narkisim" w:hAnsi="Narkisim" w:cs="Narkisim"/>
          <w:rtl/>
        </w:rPr>
        <w:footnoteReference w:id="5047"/>
      </w:r>
      <w:r w:rsidRPr="00E14121">
        <w:rPr>
          <w:rFonts w:ascii="Narkisim" w:hAnsi="Narkisim" w:cs="Narkisim"/>
          <w:rtl/>
        </w:rPr>
        <w:t>] ואינו מוליד</w:t>
      </w:r>
      <w:r w:rsidRPr="00E14121">
        <w:rPr>
          <w:rStyle w:val="ac"/>
          <w:rFonts w:ascii="Narkisim" w:hAnsi="Narkisim" w:cs="Narkisim"/>
          <w:rtl/>
        </w:rPr>
        <w:footnoteReference w:id="5048"/>
      </w:r>
      <w:r w:rsidRPr="00E14121">
        <w:rPr>
          <w:rFonts w:ascii="Narkisim" w:hAnsi="Narkisim" w:cs="Narkisim"/>
          <w:rtl/>
        </w:rPr>
        <w:t>. וה</w:t>
      </w:r>
      <w:r w:rsidRPr="00E14121">
        <w:rPr>
          <w:rFonts w:ascii="Narkisim" w:hAnsi="Narkisim" w:cs="Narkisim"/>
          <w:b/>
          <w:bCs/>
          <w:rtl/>
        </w:rPr>
        <w:t>טור</w:t>
      </w:r>
      <w:r w:rsidRPr="00E14121">
        <w:rPr>
          <w:rFonts w:ascii="Narkisim" w:hAnsi="Narkisim" w:cs="Narkisim"/>
          <w:rtl/>
        </w:rPr>
        <w:t xml:space="preserve"> (קעב ח) הביא ד</w:t>
      </w:r>
      <w:r w:rsidRPr="00E14121">
        <w:rPr>
          <w:rFonts w:ascii="Narkisim" w:hAnsi="Narkisim" w:cs="Narkisim"/>
          <w:b/>
          <w:bCs/>
          <w:rtl/>
        </w:rPr>
        <w:t>ר"י</w:t>
      </w:r>
      <w:r w:rsidRPr="00E14121">
        <w:rPr>
          <w:rFonts w:ascii="Narkisim" w:hAnsi="Narkisim" w:cs="Narkisim"/>
          <w:rtl/>
        </w:rPr>
        <w:t xml:space="preserve"> פליג דהוה זכר גמור [דחולץ וחולצין לאשתו, ומשמע מדבריו שמוליד</w:t>
      </w:r>
      <w:r w:rsidRPr="00E14121">
        <w:rPr>
          <w:rStyle w:val="ac"/>
          <w:rFonts w:ascii="Narkisim" w:hAnsi="Narkisim" w:cs="Narkisim"/>
          <w:rtl/>
        </w:rPr>
        <w:footnoteReference w:id="5049"/>
      </w:r>
      <w:r w:rsidRPr="00E14121">
        <w:rPr>
          <w:rFonts w:ascii="Narkisim" w:hAnsi="Narkisim" w:cs="Narkisim"/>
          <w:rtl/>
        </w:rPr>
        <w:t>]. וה</w:t>
      </w:r>
      <w:r w:rsidRPr="00E14121">
        <w:rPr>
          <w:rFonts w:ascii="Narkisim" w:hAnsi="Narkisim" w:cs="Narkisim"/>
          <w:b/>
          <w:bCs/>
          <w:rtl/>
        </w:rPr>
        <w:t>ב"י</w:t>
      </w:r>
      <w:r w:rsidRPr="00E14121">
        <w:rPr>
          <w:rFonts w:ascii="Narkisim" w:hAnsi="Narkisim" w:cs="Narkisim"/>
          <w:rtl/>
        </w:rPr>
        <w:t xml:space="preserve"> תמה היכן מצא דפליג במש"כ הרמב"ם דהוה סריס. אבל </w:t>
      </w:r>
      <w:r w:rsidRPr="00E14121">
        <w:rPr>
          <w:rFonts w:ascii="Narkisim" w:hAnsi="Narkisim" w:cs="Narkisim"/>
          <w:rtl/>
        </w:rPr>
        <w:lastRenderedPageBreak/>
        <w:t>ה</w:t>
      </w:r>
      <w:r w:rsidRPr="00E14121">
        <w:rPr>
          <w:rFonts w:ascii="Narkisim" w:hAnsi="Narkisim" w:cs="Narkisim"/>
          <w:b/>
          <w:bCs/>
          <w:rtl/>
        </w:rPr>
        <w:t>ב"ח</w:t>
      </w:r>
      <w:r w:rsidRPr="00E14121">
        <w:rPr>
          <w:rFonts w:ascii="Narkisim" w:hAnsi="Narkisim" w:cs="Narkisim"/>
          <w:rtl/>
        </w:rPr>
        <w:t xml:space="preserve"> כתב [דדעת ר"י] דאנדרוגינוס נחשב עקור מחמת חולי, ולכן חולץ וחולצין לאשתו, ולא כסריס חמה.</w:t>
      </w:r>
      <w:r w:rsidRPr="00E14121">
        <w:rPr>
          <w:rFonts w:ascii="Narkisim" w:hAnsi="Narkisim" w:cs="Narkisim"/>
          <w:sz w:val="20"/>
          <w:szCs w:val="20"/>
          <w:rtl/>
        </w:rPr>
        <w:t xml:space="preserve"> [ומבואר מדבריו דאף מי שאינו מוליד ולא היה לו שעת הכושר, זוקק ליבום, כל שאין עליו 'שם סריס'. וצ"ל דנחשב בר הקמת שם, אלא דפומייהו כאיב]</w:t>
      </w:r>
      <w:r w:rsidRPr="00E14121">
        <w:rPr>
          <w:rFonts w:ascii="Narkisim" w:hAnsi="Narkisim" w:cs="Narkisim"/>
          <w:rtl/>
        </w:rPr>
        <w:t>.</w:t>
      </w:r>
    </w:p>
    <w:p w14:paraId="3225D55D" w14:textId="77777777" w:rsidR="00F64AED" w:rsidRPr="00E14121" w:rsidRDefault="00F64AED" w:rsidP="00F64AED">
      <w:pPr>
        <w:pStyle w:val="3"/>
        <w:bidi/>
        <w:rPr>
          <w:rFonts w:ascii="Narkisim" w:hAnsi="Narkisim"/>
        </w:rPr>
      </w:pPr>
      <w:r w:rsidRPr="00E14121">
        <w:rPr>
          <w:rFonts w:ascii="Narkisim" w:hAnsi="Narkisim"/>
          <w:rtl/>
        </w:rPr>
        <w:t>דף פג.</w:t>
      </w:r>
    </w:p>
    <w:p w14:paraId="70771292" w14:textId="77777777" w:rsidR="00F64AED" w:rsidRPr="00E14121" w:rsidRDefault="00F64AED" w:rsidP="00F64AED">
      <w:pPr>
        <w:pStyle w:val="2"/>
        <w:bidi/>
        <w:rPr>
          <w:rFonts w:ascii="Narkisim" w:hAnsi="Narkisim"/>
        </w:rPr>
      </w:pPr>
      <w:r w:rsidRPr="00E14121">
        <w:rPr>
          <w:rFonts w:ascii="Narkisim" w:hAnsi="Narkisim"/>
          <w:rtl/>
        </w:rPr>
        <w:t>אנדרוגינוס בריה</w:t>
      </w:r>
    </w:p>
    <w:p w14:paraId="23105750" w14:textId="77777777" w:rsidR="00F64AED" w:rsidRPr="00E14121" w:rsidRDefault="00F64AED" w:rsidP="00F64AED">
      <w:pPr>
        <w:pStyle w:val="aa"/>
        <w:bidi/>
        <w:rPr>
          <w:rFonts w:ascii="Narkisim" w:hAnsi="Narkisim"/>
        </w:rPr>
      </w:pPr>
      <w:r w:rsidRPr="00E14121">
        <w:rPr>
          <w:rFonts w:ascii="Narkisim" w:hAnsi="Narkisim"/>
          <w:u w:val="single"/>
          <w:rtl/>
        </w:rPr>
        <w:t>דתניא ר' יוסי אומר אנדרוגינוס בריה וכו'</w:t>
      </w:r>
      <w:r w:rsidRPr="00E14121">
        <w:rPr>
          <w:rFonts w:ascii="Narkisim" w:hAnsi="Narkisim"/>
          <w:rtl/>
        </w:rPr>
        <w:t>. [דתניא בתוספתא ביכורים ב, ובפרק אנדרוגינוס (הו' במשניות ביכורים ד)</w:t>
      </w:r>
      <w:r w:rsidRPr="00E14121">
        <w:rPr>
          <w:rStyle w:val="ac"/>
          <w:rFonts w:ascii="Narkisim" w:hAnsi="Narkisim"/>
          <w:rtl/>
        </w:rPr>
        <w:footnoteReference w:id="5050"/>
      </w:r>
      <w:r w:rsidRPr="00E14121">
        <w:rPr>
          <w:rFonts w:ascii="Narkisim" w:hAnsi="Narkisim"/>
          <w:rtl/>
        </w:rPr>
        <w:t>].</w:t>
      </w:r>
    </w:p>
    <w:p w14:paraId="44F25DAC" w14:textId="77777777" w:rsidR="00F64AED" w:rsidRPr="00E14121" w:rsidRDefault="00F64AED" w:rsidP="00F64AED">
      <w:pPr>
        <w:bidi/>
        <w:rPr>
          <w:rFonts w:ascii="Narkisim" w:hAnsi="Narkisim" w:cs="Narkisim"/>
        </w:rPr>
      </w:pPr>
      <w:r w:rsidRPr="00E14121">
        <w:rPr>
          <w:rFonts w:ascii="Narkisim" w:hAnsi="Narkisim" w:cs="Narkisim"/>
          <w:u w:val="single"/>
          <w:rtl/>
        </w:rPr>
        <w:t>תוד"ה בריה.</w:t>
      </w:r>
      <w:r w:rsidRPr="00E14121">
        <w:rPr>
          <w:rFonts w:ascii="Narkisim" w:hAnsi="Narkisim" w:cs="Narkisim"/>
          <w:rtl/>
        </w:rPr>
        <w:t xml:space="preserve"> אר"י וכו' בריה דקאמר הכא היינו שהוא ספק וכו' מחמת שהוא בריה משונה שיש לו זכרות ונקבות וכו'</w:t>
      </w:r>
      <w:r w:rsidRPr="00E14121">
        <w:rPr>
          <w:rStyle w:val="ac"/>
          <w:rFonts w:ascii="Narkisim" w:hAnsi="Narkisim" w:cs="Narkisim"/>
          <w:rtl/>
        </w:rPr>
        <w:footnoteReference w:id="5051"/>
      </w:r>
      <w:r w:rsidRPr="00E14121">
        <w:rPr>
          <w:rFonts w:ascii="Narkisim" w:hAnsi="Narkisim" w:cs="Narkisim"/>
          <w:rtl/>
        </w:rPr>
        <w:t xml:space="preserve">. </w:t>
      </w:r>
      <w:r w:rsidRPr="00E14121">
        <w:rPr>
          <w:rFonts w:ascii="Narkisim" w:hAnsi="Narkisim" w:cs="Narkisim"/>
          <w:sz w:val="20"/>
          <w:szCs w:val="20"/>
          <w:rtl/>
        </w:rPr>
        <w:t>[ובריה משונה זו מוכרח להיות עליו או דיני זכר או נקיבה].</w:t>
      </w:r>
    </w:p>
    <w:p w14:paraId="21005F83"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(בקו"א) חלק דלשון בריה משמע דהוה מין שלישי דאינה זכר או נקיבה</w:t>
      </w:r>
      <w:r w:rsidRPr="00E14121">
        <w:rPr>
          <w:rStyle w:val="ac"/>
          <w:rFonts w:ascii="Narkisim" w:hAnsi="Narkisim"/>
          <w:rtl/>
        </w:rPr>
        <w:footnoteReference w:id="5052"/>
      </w:r>
      <w:r w:rsidRPr="00E14121">
        <w:rPr>
          <w:rFonts w:ascii="Narkisim" w:hAnsi="Narkisim"/>
          <w:rtl/>
        </w:rPr>
        <w:t>, ולאפוקי מספק. וכתב דלרב פשיטא דאין חייבין על ביאת מקדש, ונקט המיעוט לרבותא למ"ד דאנדרוגינוס ספיקא הוא.</w:t>
      </w:r>
    </w:p>
    <w:p w14:paraId="265CD7C5"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רמב"ן</w:t>
      </w:r>
      <w:r w:rsidRPr="00E14121">
        <w:rPr>
          <w:rFonts w:ascii="Narkisim" w:hAnsi="Narkisim"/>
          <w:rtl/>
        </w:rPr>
        <w:t xml:space="preserve"> הוכיח דהוה מין שלישי, דרב פסק (בע"ב, כר"א) דמחייב עליו בב' מקומות</w:t>
      </w:r>
      <w:r w:rsidRPr="00E14121">
        <w:rPr>
          <w:rFonts w:ascii="Narkisim" w:hAnsi="Narkisim"/>
          <w:sz w:val="20"/>
          <w:szCs w:val="20"/>
          <w:rtl/>
        </w:rPr>
        <w:t>,</w:t>
      </w:r>
      <w:r w:rsidRPr="00E14121">
        <w:rPr>
          <w:rFonts w:ascii="Narkisim" w:hAnsi="Narkisim"/>
          <w:rtl/>
        </w:rPr>
        <w:t xml:space="preserve"> ואת"ל נקיבה לא יתכן חיוב משכב זכר.</w:t>
      </w:r>
    </w:p>
    <w:p w14:paraId="52CE565D" w14:textId="77777777" w:rsidR="00F64AED" w:rsidRPr="00E14121" w:rsidRDefault="00F64AED" w:rsidP="00F64AED">
      <w:pPr>
        <w:pStyle w:val="a7"/>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(ד"ה הלכה) הביאו דדעת רב (בע"ב) דחייב עליו בב' מקומות, דהוה ודאי זכר. [וליתא לברייתא דלר' יוסי הוה בריה].</w:t>
      </w:r>
    </w:p>
    <w:p w14:paraId="50D417A8"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תו"י</w:t>
      </w:r>
      <w:r w:rsidRPr="00E14121">
        <w:rPr>
          <w:rFonts w:ascii="Narkisim" w:hAnsi="Narkisim"/>
          <w:rtl/>
        </w:rPr>
        <w:t xml:space="preserve"> (ב) וה</w:t>
      </w:r>
      <w:r w:rsidRPr="00E14121">
        <w:rPr>
          <w:rFonts w:ascii="Narkisim" w:hAnsi="Narkisim"/>
          <w:b/>
          <w:bCs/>
          <w:rtl/>
        </w:rPr>
        <w:t>ר"ש</w:t>
      </w:r>
      <w:r w:rsidRPr="00E14121">
        <w:rPr>
          <w:rFonts w:ascii="Narkisim" w:hAnsi="Narkisim"/>
          <w:rtl/>
        </w:rPr>
        <w:t xml:space="preserve"> (ביכורים) נקטו דאף למ"ד ספיקא הוה לר"א גזיה"כ חייבין עליו סקילה בב' מקומות, שאני התם דרבי קרא</w:t>
      </w:r>
      <w:r w:rsidRPr="00E14121">
        <w:rPr>
          <w:rStyle w:val="ac"/>
          <w:rFonts w:ascii="Narkisim" w:hAnsi="Narkisim"/>
          <w:rtl/>
        </w:rPr>
        <w:footnoteReference w:id="5053"/>
      </w:r>
      <w:r w:rsidRPr="00E14121">
        <w:rPr>
          <w:rFonts w:ascii="Narkisim" w:hAnsi="Narkisim"/>
          <w:rtl/>
        </w:rPr>
        <w:t>. וכ"כ ה</w:t>
      </w:r>
      <w:r w:rsidRPr="00E14121">
        <w:rPr>
          <w:rFonts w:ascii="Narkisim" w:hAnsi="Narkisim"/>
          <w:b/>
          <w:bCs/>
          <w:rtl/>
        </w:rPr>
        <w:t>רשב"א</w:t>
      </w:r>
      <w:r w:rsidRPr="00E14121">
        <w:rPr>
          <w:rFonts w:ascii="Narkisim" w:hAnsi="Narkisim"/>
          <w:rtl/>
        </w:rPr>
        <w:t xml:space="preserve"> בדעת ה</w:t>
      </w:r>
      <w:r w:rsidRPr="00E14121">
        <w:rPr>
          <w:rFonts w:ascii="Narkisim" w:hAnsi="Narkisim"/>
          <w:b/>
          <w:bCs/>
          <w:rtl/>
        </w:rPr>
        <w:t>רמב"ם</w:t>
      </w:r>
      <w:r w:rsidRPr="00E14121">
        <w:rPr>
          <w:rFonts w:ascii="Narkisim" w:hAnsi="Narkisim"/>
          <w:rtl/>
        </w:rPr>
        <w:t>. וכ"כ ה</w:t>
      </w:r>
      <w:r w:rsidRPr="00E14121">
        <w:rPr>
          <w:rFonts w:ascii="Narkisim" w:hAnsi="Narkisim"/>
          <w:b/>
          <w:bCs/>
          <w:rtl/>
        </w:rPr>
        <w:t>ריטב"א</w:t>
      </w:r>
      <w:r w:rsidRPr="00E14121">
        <w:rPr>
          <w:rFonts w:ascii="Narkisim" w:hAnsi="Narkisim"/>
          <w:rtl/>
        </w:rPr>
        <w:t xml:space="preserve"> (פג:) דגזיה"כ לחייב על ב' מקומות, בין זכר מעליא, או בריה בפנ"ע, או ספיקא בדינא בעלמא</w:t>
      </w:r>
      <w:r w:rsidRPr="00E14121">
        <w:rPr>
          <w:rStyle w:val="ac"/>
          <w:rFonts w:ascii="Narkisim" w:hAnsi="Narkisim"/>
          <w:rtl/>
        </w:rPr>
        <w:footnoteReference w:id="5054"/>
      </w:r>
      <w:r w:rsidRPr="00E14121">
        <w:rPr>
          <w:rFonts w:ascii="Narkisim" w:hAnsi="Narkisim"/>
          <w:rtl/>
        </w:rPr>
        <w:t>.</w:t>
      </w:r>
    </w:p>
    <w:p w14:paraId="739C7B1E"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הק' א"כ אמאי לא מנה ה</w:t>
      </w:r>
      <w:r w:rsidRPr="00E14121">
        <w:rPr>
          <w:rFonts w:ascii="Narkisim" w:hAnsi="Narkisim"/>
          <w:b/>
          <w:bCs/>
          <w:rtl/>
        </w:rPr>
        <w:t>רמב"ם</w:t>
      </w:r>
      <w:r w:rsidRPr="00E14121">
        <w:rPr>
          <w:rFonts w:ascii="Narkisim" w:hAnsi="Narkisim"/>
          <w:rtl/>
        </w:rPr>
        <w:t xml:space="preserve"> (איסו"ב א ד) דהוה חיוב סקילה נוסף, דהא אינו בכלל זכר</w:t>
      </w:r>
      <w:r w:rsidRPr="00E14121">
        <w:rPr>
          <w:rStyle w:val="ac"/>
          <w:rFonts w:ascii="Narkisim" w:hAnsi="Narkisim"/>
          <w:rtl/>
        </w:rPr>
        <w:footnoteReference w:id="5055"/>
      </w:r>
      <w:r w:rsidRPr="00E14121">
        <w:rPr>
          <w:rFonts w:ascii="Narkisim" w:hAnsi="Narkisim"/>
          <w:rtl/>
        </w:rPr>
        <w:t>. וה</w:t>
      </w:r>
      <w:r w:rsidRPr="00E14121">
        <w:rPr>
          <w:rFonts w:ascii="Narkisim" w:hAnsi="Narkisim"/>
          <w:b/>
          <w:bCs/>
          <w:rtl/>
        </w:rPr>
        <w:t>כס"מ</w:t>
      </w:r>
      <w:r w:rsidRPr="00E14121">
        <w:rPr>
          <w:rFonts w:ascii="Narkisim" w:hAnsi="Narkisim"/>
          <w:rtl/>
        </w:rPr>
        <w:t xml:space="preserve"> (תרומות ז טז) תי' דאע"ג דהוה בריה בפני עצמו, מ"מ חייבו הכתוב מטעם זכר. ואין למנותו בפני עצמו.</w:t>
      </w:r>
    </w:p>
    <w:p w14:paraId="552C2E1A" w14:textId="77777777" w:rsidR="00F64AED" w:rsidRPr="00E14121" w:rsidRDefault="00F64AED" w:rsidP="00F64AED">
      <w:pPr>
        <w:bidi/>
        <w:rPr>
          <w:rFonts w:ascii="Narkisim" w:hAnsi="Narkisim" w:cs="Narkisim"/>
        </w:rPr>
      </w:pPr>
      <w:r w:rsidRPr="00E14121">
        <w:rPr>
          <w:rFonts w:ascii="Narkisim" w:hAnsi="Narkisim" w:cs="Narkisim"/>
          <w:u w:val="single"/>
          <w:rtl/>
        </w:rPr>
        <w:t>בא"ד ראו לובן ואודם כא' שורפין עליו את התרומה.</w:t>
      </w:r>
      <w:r w:rsidRPr="00E14121">
        <w:rPr>
          <w:rFonts w:ascii="Narkisim" w:hAnsi="Narkisim" w:cs="Narkisim"/>
          <w:rtl/>
        </w:rPr>
        <w:t xml:space="preserve"> וע"כ דהוה זכר ודאי או נקיבה ודאית. אבל ה</w:t>
      </w:r>
      <w:r w:rsidRPr="00E14121">
        <w:rPr>
          <w:rFonts w:ascii="Narkisim" w:hAnsi="Narkisim" w:cs="Narkisim"/>
          <w:b/>
          <w:bCs/>
          <w:rtl/>
        </w:rPr>
        <w:t>רמב"ן</w:t>
      </w:r>
      <w:r w:rsidRPr="00E14121">
        <w:rPr>
          <w:rFonts w:ascii="Narkisim" w:hAnsi="Narkisim" w:cs="Narkisim"/>
          <w:rtl/>
        </w:rPr>
        <w:t xml:space="preserve"> (הנ"ל) נקט דהתם קאי למ"ד ספק, אבל למ"ד בריה אין שורפין תרומה.</w:t>
      </w:r>
    </w:p>
    <w:p w14:paraId="1AF16D32"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ר"ש</w:t>
      </w:r>
      <w:r w:rsidRPr="00E14121">
        <w:rPr>
          <w:rFonts w:ascii="Narkisim" w:hAnsi="Narkisim"/>
          <w:rtl/>
        </w:rPr>
        <w:t xml:space="preserve"> (ביכורים ד) כתב דלר' יוסי יש בו ג' ספיקות, והוה ספק בריה וספק איש וספק אשה</w:t>
      </w:r>
      <w:r w:rsidRPr="00E14121">
        <w:rPr>
          <w:rStyle w:val="ac"/>
          <w:rFonts w:ascii="Narkisim" w:hAnsi="Narkisim"/>
          <w:rtl/>
        </w:rPr>
        <w:footnoteReference w:id="5056"/>
      </w:r>
      <w:r w:rsidRPr="00E14121">
        <w:rPr>
          <w:rFonts w:ascii="Narkisim" w:hAnsi="Narkisim"/>
          <w:rtl/>
        </w:rPr>
        <w:t>. ורב דאמר שורפין את התרומה לא סבר כר' יוסי דברייתא. דאמוראי פליגי אליבא דרב.</w:t>
      </w:r>
    </w:p>
    <w:p w14:paraId="3AF6D129" w14:textId="77777777" w:rsidR="00F64AED" w:rsidRPr="00E14121" w:rsidRDefault="00F64AED" w:rsidP="00F64AED">
      <w:pPr>
        <w:pStyle w:val="aa"/>
        <w:bidi/>
        <w:rPr>
          <w:rFonts w:ascii="Narkisim" w:hAnsi="Narkisim"/>
        </w:rPr>
      </w:pPr>
      <w:r w:rsidRPr="00E14121">
        <w:rPr>
          <w:rFonts w:ascii="Narkisim" w:hAnsi="Narkisim"/>
          <w:u w:val="single"/>
          <w:rtl/>
        </w:rPr>
        <w:t>בא"ד ות"ק סבר שחשוב שניהם, במקצת כאיש ובמקצת הוא כאשה.</w:t>
      </w:r>
      <w:r w:rsidRPr="00E14121">
        <w:rPr>
          <w:rFonts w:ascii="Narkisim" w:hAnsi="Narkisim"/>
          <w:rtl/>
        </w:rPr>
        <w:t xml:space="preserve"> יל"ד אי קאי דוקא לענין נזירות, שהאומר שזה איש וכו' צדק, שהרי יש לו צד שדומה לאיש. או דכוונת התוס' דלת"ק אליבא דאמת יש לו מקצת דיני זכר</w:t>
      </w:r>
      <w:r w:rsidRPr="00E14121">
        <w:rPr>
          <w:rStyle w:val="ac"/>
          <w:rFonts w:ascii="Narkisim" w:hAnsi="Narkisim"/>
          <w:rtl/>
        </w:rPr>
        <w:footnoteReference w:id="5057"/>
      </w:r>
      <w:r w:rsidRPr="00E14121">
        <w:rPr>
          <w:rFonts w:ascii="Narkisim" w:hAnsi="Narkisim"/>
          <w:rtl/>
        </w:rPr>
        <w:t>.</w:t>
      </w:r>
    </w:p>
    <w:p w14:paraId="29C2DC00" w14:textId="77777777" w:rsidR="00F64AED" w:rsidRPr="00E14121" w:rsidRDefault="00F64AED" w:rsidP="00F64AED">
      <w:pPr>
        <w:pStyle w:val="a7"/>
        <w:bidi/>
        <w:rPr>
          <w:rFonts w:ascii="Narkisim" w:hAnsi="Narkisim"/>
        </w:rPr>
      </w:pPr>
      <w:r w:rsidRPr="00E14121">
        <w:rPr>
          <w:rFonts w:ascii="Narkisim" w:hAnsi="Narkisim"/>
          <w:rtl/>
        </w:rPr>
        <w:t>וכ"ד הראב"ד, דה</w:t>
      </w:r>
      <w:r w:rsidRPr="00E14121">
        <w:rPr>
          <w:rFonts w:ascii="Narkisim" w:hAnsi="Narkisim"/>
          <w:b/>
          <w:bCs/>
          <w:rtl/>
        </w:rPr>
        <w:t>רמב"ם</w:t>
      </w:r>
      <w:r w:rsidRPr="00E14121">
        <w:rPr>
          <w:rFonts w:ascii="Narkisim" w:hAnsi="Narkisim"/>
          <w:rtl/>
        </w:rPr>
        <w:t xml:space="preserve"> (שופר ב ב) פסק דאנדרוגינוס מוציא את מינו בתקיעת שופר. [דהוה </w:t>
      </w:r>
      <w:r w:rsidRPr="00E14121">
        <w:rPr>
          <w:rFonts w:ascii="Narkisim" w:hAnsi="Narkisim"/>
          <w:rtl/>
        </w:rPr>
        <w:lastRenderedPageBreak/>
        <w:t>ספק ומוציאו ממ"נ</w:t>
      </w:r>
      <w:r w:rsidRPr="00E14121">
        <w:rPr>
          <w:rStyle w:val="ac"/>
          <w:rFonts w:ascii="Narkisim" w:hAnsi="Narkisim"/>
          <w:rtl/>
        </w:rPr>
        <w:footnoteReference w:id="5058"/>
      </w:r>
      <w:r w:rsidRPr="00E14121">
        <w:rPr>
          <w:rFonts w:ascii="Narkisim" w:hAnsi="Narkisim"/>
          <w:rtl/>
        </w:rPr>
        <w:t>]. וה</w:t>
      </w:r>
      <w:r w:rsidRPr="00E14121">
        <w:rPr>
          <w:rFonts w:ascii="Narkisim" w:hAnsi="Narkisim"/>
          <w:b/>
          <w:bCs/>
          <w:rtl/>
        </w:rPr>
        <w:t>ראב"ד</w:t>
      </w:r>
      <w:r w:rsidRPr="00E14121">
        <w:rPr>
          <w:rFonts w:ascii="Narkisim" w:hAnsi="Narkisim"/>
          <w:rtl/>
        </w:rPr>
        <w:t xml:space="preserve"> השיג דה"מ למ"ד דבריה הוא, אבל למ"ד חציו זכר</w:t>
      </w:r>
      <w:r w:rsidRPr="00E14121">
        <w:rPr>
          <w:rStyle w:val="ac"/>
          <w:rFonts w:ascii="Narkisim" w:hAnsi="Narkisim"/>
          <w:rtl/>
        </w:rPr>
        <w:footnoteReference w:id="5059"/>
      </w:r>
      <w:r w:rsidRPr="00E14121">
        <w:rPr>
          <w:rFonts w:ascii="Narkisim" w:hAnsi="Narkisim"/>
          <w:rtl/>
        </w:rPr>
        <w:t>, אינו מוציא לא את מינו ולא שאינו מינו, כעין מי שחציו עבד וחציו בן חורין</w:t>
      </w:r>
      <w:r w:rsidRPr="00E14121">
        <w:rPr>
          <w:rStyle w:val="ac"/>
          <w:rFonts w:ascii="Narkisim" w:hAnsi="Narkisim"/>
          <w:rtl/>
        </w:rPr>
        <w:footnoteReference w:id="5060"/>
      </w:r>
      <w:r w:rsidRPr="00E14121">
        <w:rPr>
          <w:rFonts w:ascii="Narkisim" w:hAnsi="Narkisim"/>
          <w:rtl/>
        </w:rPr>
        <w:t>. וכ"כ ה</w:t>
      </w:r>
      <w:r w:rsidRPr="00E14121">
        <w:rPr>
          <w:rFonts w:ascii="Narkisim" w:hAnsi="Narkisim"/>
          <w:b/>
          <w:bCs/>
          <w:rtl/>
        </w:rPr>
        <w:t>ראב"ד</w:t>
      </w:r>
      <w:r w:rsidRPr="00E14121">
        <w:rPr>
          <w:rFonts w:ascii="Narkisim" w:hAnsi="Narkisim"/>
          <w:rtl/>
        </w:rPr>
        <w:t xml:space="preserve"> (תרומות ז טז) דיש לו צד זכרות וצד נקבות.</w:t>
      </w:r>
    </w:p>
    <w:p w14:paraId="337EB821"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מג"א</w:t>
      </w:r>
      <w:r w:rsidRPr="00E14121">
        <w:rPr>
          <w:rFonts w:ascii="Narkisim" w:hAnsi="Narkisim"/>
          <w:rtl/>
        </w:rPr>
        <w:t xml:space="preserve"> (תקפט ב) כתב בשם 'רי"ף' דאנדרוגינוס אינו מוציא את מינו</w:t>
      </w:r>
      <w:r w:rsidRPr="00E14121">
        <w:rPr>
          <w:rStyle w:val="ac"/>
          <w:rFonts w:ascii="Narkisim" w:hAnsi="Narkisim"/>
          <w:rtl/>
        </w:rPr>
        <w:footnoteReference w:id="5061"/>
      </w:r>
      <w:r w:rsidRPr="00E14121">
        <w:rPr>
          <w:rFonts w:ascii="Narkisim" w:hAnsi="Narkisim"/>
          <w:rtl/>
        </w:rPr>
        <w:t>, דשמא באותו פעם הוא נקיבה וחבירו זכר. וה</w:t>
      </w:r>
      <w:r w:rsidRPr="00E14121">
        <w:rPr>
          <w:rFonts w:ascii="Narkisim" w:hAnsi="Narkisim"/>
          <w:b/>
          <w:bCs/>
          <w:rtl/>
        </w:rPr>
        <w:t>מפרשים</w:t>
      </w:r>
      <w:r w:rsidRPr="00E14121">
        <w:rPr>
          <w:rFonts w:ascii="Narkisim" w:hAnsi="Narkisim"/>
          <w:rtl/>
        </w:rPr>
        <w:t xml:space="preserve"> תמהו על דבריו</w:t>
      </w:r>
      <w:r w:rsidRPr="00E14121">
        <w:rPr>
          <w:rStyle w:val="ac"/>
          <w:rFonts w:ascii="Narkisim" w:hAnsi="Narkisim"/>
          <w:rtl/>
        </w:rPr>
        <w:footnoteReference w:id="5062"/>
      </w:r>
      <w:r w:rsidRPr="00E14121">
        <w:rPr>
          <w:rFonts w:ascii="Narkisim" w:hAnsi="Narkisim"/>
          <w:rtl/>
        </w:rPr>
        <w:t>. [וע"ע בסמוך אי אמרי' ממ"נ].</w:t>
      </w:r>
    </w:p>
    <w:p w14:paraId="1F6A9272" w14:textId="77777777" w:rsidR="00F64AED" w:rsidRPr="00E14121" w:rsidRDefault="00F64AED" w:rsidP="00F64AED">
      <w:pPr>
        <w:pStyle w:val="aa"/>
        <w:bidi/>
        <w:rPr>
          <w:rFonts w:ascii="Narkisim" w:hAnsi="Narkisim"/>
        </w:rPr>
      </w:pPr>
      <w:r w:rsidRPr="00E14121">
        <w:rPr>
          <w:rFonts w:ascii="Narkisim" w:hAnsi="Narkisim"/>
          <w:u w:val="single"/>
          <w:rtl/>
        </w:rPr>
        <w:t>תוד"ה רבי יוסי.</w:t>
      </w:r>
      <w:r w:rsidRPr="00E14121">
        <w:rPr>
          <w:rFonts w:ascii="Narkisim" w:hAnsi="Narkisim"/>
          <w:rtl/>
        </w:rPr>
        <w:t xml:space="preserve"> דילמא הדר ביה מברייתא. וה</w:t>
      </w:r>
      <w:r w:rsidRPr="00E14121">
        <w:rPr>
          <w:rFonts w:ascii="Narkisim" w:hAnsi="Narkisim"/>
          <w:b/>
          <w:bCs/>
          <w:rtl/>
        </w:rPr>
        <w:t>רא"ש</w:t>
      </w:r>
      <w:r w:rsidRPr="00E14121">
        <w:rPr>
          <w:rFonts w:ascii="Narkisim" w:hAnsi="Narkisim"/>
          <w:rtl/>
        </w:rPr>
        <w:t xml:space="preserve"> ו</w:t>
      </w:r>
      <w:r w:rsidRPr="00E14121">
        <w:rPr>
          <w:rFonts w:ascii="Narkisim" w:hAnsi="Narkisim"/>
          <w:b/>
          <w:bCs/>
          <w:rtl/>
        </w:rPr>
        <w:t>תו"י</w:t>
      </w:r>
      <w:r w:rsidRPr="00E14121">
        <w:rPr>
          <w:rFonts w:ascii="Narkisim" w:hAnsi="Narkisim"/>
          <w:rtl/>
        </w:rPr>
        <w:t xml:space="preserve"> כת' דמסתמא המשנה נשנית תחילה. ועוד הביא ה</w:t>
      </w:r>
      <w:r w:rsidRPr="00E14121">
        <w:rPr>
          <w:rFonts w:ascii="Narkisim" w:hAnsi="Narkisim"/>
          <w:b/>
          <w:bCs/>
          <w:rtl/>
        </w:rPr>
        <w:t>תו"י</w:t>
      </w:r>
      <w:r w:rsidRPr="00E14121">
        <w:rPr>
          <w:rFonts w:ascii="Narkisim" w:hAnsi="Narkisim"/>
          <w:rtl/>
        </w:rPr>
        <w:t xml:space="preserve"> בשם </w:t>
      </w:r>
      <w:r w:rsidRPr="00E14121">
        <w:rPr>
          <w:rFonts w:ascii="Narkisim" w:hAnsi="Narkisim"/>
          <w:b/>
          <w:bCs/>
          <w:rtl/>
        </w:rPr>
        <w:t>ר"נ</w:t>
      </w:r>
      <w:r w:rsidRPr="00E14121">
        <w:rPr>
          <w:rFonts w:ascii="Narkisim" w:hAnsi="Narkisim"/>
          <w:rtl/>
        </w:rPr>
        <w:t xml:space="preserve"> לתרץ דהלשון 'ולא הכריעו' משמע דלרבנן הכריעו.</w:t>
      </w:r>
    </w:p>
    <w:p w14:paraId="5680EBB1" w14:textId="77777777" w:rsidR="00F64AED" w:rsidRPr="00E14121" w:rsidRDefault="00F64AED" w:rsidP="00F64AED">
      <w:pPr>
        <w:pStyle w:val="aa"/>
        <w:bidi/>
        <w:rPr>
          <w:rFonts w:ascii="Narkisim" w:hAnsi="Narkisim"/>
        </w:rPr>
      </w:pPr>
      <w:r w:rsidRPr="00E14121">
        <w:rPr>
          <w:rFonts w:ascii="Narkisim" w:hAnsi="Narkisim"/>
          <w:u w:val="single"/>
          <w:rtl/>
        </w:rPr>
        <w:t>חייש ליחידאה.</w:t>
      </w:r>
      <w:r w:rsidRPr="00E14121">
        <w:rPr>
          <w:rFonts w:ascii="Narkisim" w:hAnsi="Narkisim"/>
          <w:rtl/>
        </w:rPr>
        <w:t xml:space="preserve"> ה</w:t>
      </w:r>
      <w:r w:rsidRPr="00E14121">
        <w:rPr>
          <w:rFonts w:ascii="Narkisim" w:hAnsi="Narkisim"/>
          <w:b/>
          <w:bCs/>
          <w:rtl/>
        </w:rPr>
        <w:t>ריטב"א</w:t>
      </w:r>
      <w:r w:rsidRPr="00E14121">
        <w:rPr>
          <w:rFonts w:ascii="Narkisim" w:hAnsi="Narkisim"/>
          <w:rtl/>
        </w:rPr>
        <w:t xml:space="preserve"> תמה וכי שמואל פסק בכל המקומות כיחיד נגד רבים דפליגי. ותי' שמואל חייש כל היכא דמסתבר טעם היחיד, וסוגיה דאמוראי כוותיה.</w:t>
      </w:r>
    </w:p>
    <w:p w14:paraId="2ADEBBB2" w14:textId="77777777" w:rsidR="00F64AED" w:rsidRPr="00E14121" w:rsidRDefault="00F64AED" w:rsidP="00F64AED">
      <w:pPr>
        <w:bidi/>
        <w:rPr>
          <w:rFonts w:ascii="Narkisim" w:hAnsi="Narkisim" w:cs="Narkisim"/>
        </w:rPr>
      </w:pPr>
      <w:r w:rsidRPr="00E14121">
        <w:rPr>
          <w:rFonts w:ascii="Narkisim" w:hAnsi="Narkisim" w:cs="Narkisim"/>
          <w:u w:val="single"/>
          <w:rtl/>
        </w:rPr>
        <w:t>אמרי' בי רב משמיה דרב הלכה כר"י באנדרוגינוס</w:t>
      </w:r>
      <w:r w:rsidRPr="00E14121">
        <w:rPr>
          <w:rStyle w:val="ac"/>
          <w:rFonts w:ascii="Narkisim" w:hAnsi="Narkisim" w:cs="Narkisim"/>
          <w:rtl/>
        </w:rPr>
        <w:footnoteReference w:id="5063"/>
      </w:r>
      <w:r w:rsidRPr="00E14121">
        <w:rPr>
          <w:rFonts w:ascii="Narkisim" w:hAnsi="Narkisim" w:cs="Narkisim"/>
          <w:rtl/>
        </w:rPr>
        <w:t>. פ</w:t>
      </w:r>
      <w:r w:rsidRPr="00E14121">
        <w:rPr>
          <w:rFonts w:ascii="Narkisim" w:hAnsi="Narkisim" w:cs="Narkisim"/>
          <w:b/>
          <w:bCs/>
          <w:rtl/>
        </w:rPr>
        <w:t xml:space="preserve">רש"י </w:t>
      </w:r>
      <w:r w:rsidRPr="00E14121">
        <w:rPr>
          <w:rFonts w:ascii="Narkisim" w:hAnsi="Narkisim" w:cs="Narkisim"/>
          <w:rtl/>
        </w:rPr>
        <w:t>דמתני' [דהוה ודאי זכר], ופליג אדאמרן לעיל. וכ"כ ב</w:t>
      </w:r>
      <w:r w:rsidRPr="00E14121">
        <w:rPr>
          <w:rFonts w:ascii="Narkisim" w:hAnsi="Narkisim" w:cs="Narkisim"/>
          <w:b/>
          <w:bCs/>
          <w:rtl/>
        </w:rPr>
        <w:t xml:space="preserve">תוס' </w:t>
      </w:r>
      <w:r w:rsidRPr="00E14121">
        <w:rPr>
          <w:rFonts w:ascii="Narkisim" w:hAnsi="Narkisim" w:cs="Narkisim"/>
          <w:rtl/>
        </w:rPr>
        <w:t>(ד"ה הלכה). וה</w:t>
      </w:r>
      <w:r w:rsidRPr="00E14121">
        <w:rPr>
          <w:rFonts w:ascii="Narkisim" w:hAnsi="Narkisim" w:cs="Narkisim"/>
          <w:b/>
          <w:bCs/>
          <w:rtl/>
        </w:rPr>
        <w:t>רא"ש</w:t>
      </w:r>
      <w:r w:rsidRPr="00E14121">
        <w:rPr>
          <w:rFonts w:ascii="Narkisim" w:hAnsi="Narkisim" w:cs="Narkisim"/>
          <w:rtl/>
        </w:rPr>
        <w:t xml:space="preserve"> כת' מדאיצטריך למימר אמרי' בי רב אליבא דרב, משמע דפליגי אמוראי אליבא דרב. ולפ"ז קי"ל דאנדרוגינוס הוה ודאי זכר.</w:t>
      </w:r>
    </w:p>
    <w:p w14:paraId="3DD35FB3"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רא"ש</w:t>
      </w:r>
      <w:r w:rsidRPr="00E14121">
        <w:rPr>
          <w:rFonts w:ascii="Narkisim" w:hAnsi="Narkisim"/>
          <w:rtl/>
        </w:rPr>
        <w:t xml:space="preserve"> הביא דה</w:t>
      </w:r>
      <w:r w:rsidRPr="00E14121">
        <w:rPr>
          <w:rFonts w:ascii="Narkisim" w:hAnsi="Narkisim"/>
          <w:b/>
          <w:bCs/>
          <w:rtl/>
        </w:rPr>
        <w:t>רי"ף</w:t>
      </w:r>
      <w:r w:rsidRPr="00E14121">
        <w:rPr>
          <w:rFonts w:ascii="Narkisim" w:hAnsi="Narkisim"/>
          <w:rtl/>
        </w:rPr>
        <w:t xml:space="preserve"> משמע דפסיק כר' יוסי דברייתא. וכ"כ ה</w:t>
      </w:r>
      <w:r w:rsidRPr="00E14121">
        <w:rPr>
          <w:rFonts w:ascii="Narkisim" w:hAnsi="Narkisim"/>
          <w:b/>
          <w:bCs/>
          <w:rtl/>
        </w:rPr>
        <w:t>רשב"א</w:t>
      </w:r>
      <w:r w:rsidRPr="00E14121">
        <w:rPr>
          <w:rFonts w:ascii="Narkisim" w:hAnsi="Narkisim"/>
          <w:rtl/>
        </w:rPr>
        <w:t xml:space="preserve"> בשם </w:t>
      </w:r>
      <w:r w:rsidRPr="00E14121">
        <w:rPr>
          <w:rFonts w:ascii="Narkisim" w:hAnsi="Narkisim"/>
          <w:b/>
          <w:bCs/>
          <w:rtl/>
        </w:rPr>
        <w:t>ר"ח</w:t>
      </w:r>
      <w:r w:rsidRPr="00E14121">
        <w:rPr>
          <w:rFonts w:ascii="Narkisim" w:hAnsi="Narkisim"/>
          <w:rtl/>
        </w:rPr>
        <w:t>. וכ"פ ה</w:t>
      </w:r>
      <w:r w:rsidRPr="00E14121">
        <w:rPr>
          <w:rFonts w:ascii="Narkisim" w:hAnsi="Narkisim"/>
          <w:b/>
          <w:bCs/>
          <w:rtl/>
        </w:rPr>
        <w:t>רמב"ם</w:t>
      </w:r>
      <w:r w:rsidRPr="00E14121">
        <w:rPr>
          <w:rFonts w:ascii="Narkisim" w:hAnsi="Narkisim"/>
          <w:rtl/>
        </w:rPr>
        <w:t xml:space="preserve"> (תרומות ז יד) דאנדרוגינוס הוה ספק ואינו מאכיל את אשתו בתרומה. </w:t>
      </w:r>
      <w:r w:rsidRPr="00E14121">
        <w:rPr>
          <w:rFonts w:ascii="Narkisim" w:hAnsi="Narkisim"/>
          <w:szCs w:val="20"/>
          <w:rtl/>
        </w:rPr>
        <w:t>[וכן פסק הרמב"ם בהרבה מקומות דאנדרוגינוס הוה ספק].</w:t>
      </w:r>
    </w:p>
    <w:p w14:paraId="710B2D2B"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רשב"א</w:t>
      </w:r>
      <w:r w:rsidRPr="00E14121">
        <w:rPr>
          <w:rFonts w:ascii="Narkisim" w:hAnsi="Narkisim"/>
          <w:rtl/>
        </w:rPr>
        <w:t xml:space="preserve"> תמה דה</w:t>
      </w:r>
      <w:r w:rsidRPr="00E14121">
        <w:rPr>
          <w:rFonts w:ascii="Narkisim" w:hAnsi="Narkisim"/>
          <w:b/>
          <w:bCs/>
          <w:rtl/>
        </w:rPr>
        <w:t>רמב"ם</w:t>
      </w:r>
      <w:r w:rsidRPr="00E14121">
        <w:rPr>
          <w:rFonts w:ascii="Narkisim" w:hAnsi="Narkisim"/>
          <w:rtl/>
        </w:rPr>
        <w:t xml:space="preserve"> (איסו"ב א טו) פסק לענין משכב זכר, דחייבין עליו סקילה בב' מקומות. וכתב דצ"ל דגזיה"כ הוא [וכמ"ש הר"ש ותו"י הו' לעיל].</w:t>
      </w:r>
    </w:p>
    <w:p w14:paraId="54D0ADFA"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ה</w:t>
      </w:r>
      <w:r w:rsidRPr="00E14121">
        <w:rPr>
          <w:rFonts w:ascii="Narkisim" w:hAnsi="Narkisim" w:cs="Narkisim"/>
          <w:b/>
          <w:bCs/>
          <w:rtl/>
        </w:rPr>
        <w:t>רמב"ם</w:t>
      </w:r>
      <w:r w:rsidRPr="00E14121">
        <w:rPr>
          <w:rFonts w:ascii="Narkisim" w:hAnsi="Narkisim" w:cs="Narkisim"/>
          <w:rtl/>
        </w:rPr>
        <w:t xml:space="preserve"> (אישות ד יא) פסק דטומטום ואנדרוגינוס שקידשו אשה, או שקדשן איש הרי אלו קידושי ספק, וצריכין גט מספק</w:t>
      </w:r>
      <w:r w:rsidRPr="00E14121">
        <w:rPr>
          <w:rStyle w:val="ac"/>
          <w:rFonts w:ascii="Narkisim" w:hAnsi="Narkisim" w:cs="Narkisim"/>
          <w:rtl/>
        </w:rPr>
        <w:footnoteReference w:id="5064"/>
      </w:r>
      <w:r w:rsidRPr="00E14121">
        <w:rPr>
          <w:rFonts w:ascii="Narkisim" w:hAnsi="Narkisim" w:cs="Narkisim"/>
          <w:rtl/>
        </w:rPr>
        <w:t>. וה</w:t>
      </w:r>
      <w:r w:rsidRPr="00E14121">
        <w:rPr>
          <w:rFonts w:ascii="Narkisim" w:hAnsi="Narkisim" w:cs="Narkisim"/>
          <w:b/>
          <w:bCs/>
          <w:rtl/>
        </w:rPr>
        <w:t>ראב"ד</w:t>
      </w:r>
      <w:r w:rsidRPr="00E14121">
        <w:rPr>
          <w:rFonts w:ascii="Narkisim" w:hAnsi="Narkisim" w:cs="Narkisim"/>
          <w:rtl/>
        </w:rPr>
        <w:t xml:space="preserve"> השיג [כשקידשן איש] למה הם צריכין גט מספק, הרי אינה ראויה לינשא כלל</w:t>
      </w:r>
      <w:r w:rsidRPr="00E14121">
        <w:rPr>
          <w:rStyle w:val="ac"/>
          <w:rFonts w:ascii="Narkisim" w:hAnsi="Narkisim" w:cs="Narkisim"/>
          <w:rtl/>
        </w:rPr>
        <w:footnoteReference w:id="5065"/>
      </w:r>
      <w:r w:rsidRPr="00E14121">
        <w:rPr>
          <w:rFonts w:ascii="Narkisim" w:hAnsi="Narkisim" w:cs="Narkisim"/>
          <w:rtl/>
        </w:rPr>
        <w:t xml:space="preserve"> [ומאי נפק"מ]. ו</w:t>
      </w:r>
      <w:r w:rsidRPr="00E14121">
        <w:rPr>
          <w:rFonts w:ascii="Narkisim" w:hAnsi="Narkisim" w:cs="Narkisim"/>
          <w:b/>
          <w:bCs/>
          <w:rtl/>
        </w:rPr>
        <w:t>ה"ה</w:t>
      </w:r>
      <w:r w:rsidRPr="00E14121">
        <w:rPr>
          <w:rFonts w:ascii="Narkisim" w:hAnsi="Narkisim" w:cs="Narkisim"/>
          <w:rtl/>
        </w:rPr>
        <w:t xml:space="preserve"> כתב דנפק"מ למי שבא עליה דרך נקובתו, שלא יהא בא על ספק אשת איש.</w:t>
      </w:r>
    </w:p>
    <w:p w14:paraId="64AF2443" w14:textId="77777777" w:rsidR="00F64AED" w:rsidRPr="00E14121" w:rsidRDefault="00F64AED" w:rsidP="00F64AED">
      <w:pPr>
        <w:bidi/>
        <w:rPr>
          <w:rFonts w:ascii="Narkisim" w:hAnsi="Narkisim" w:cs="Narkisim"/>
        </w:rPr>
      </w:pPr>
      <w:r w:rsidRPr="00E14121">
        <w:rPr>
          <w:rFonts w:ascii="Narkisim" w:hAnsi="Narkisim" w:cs="Narkisim"/>
          <w:u w:val="single"/>
          <w:rtl/>
        </w:rPr>
        <w:t>שם.</w:t>
      </w:r>
      <w:r w:rsidRPr="00E14121">
        <w:rPr>
          <w:rFonts w:ascii="Narkisim" w:hAnsi="Narkisim" w:cs="Narkisim"/>
          <w:rtl/>
        </w:rPr>
        <w:t xml:space="preserve"> וב</w:t>
      </w:r>
      <w:r w:rsidRPr="00E14121">
        <w:rPr>
          <w:rFonts w:ascii="Narkisim" w:hAnsi="Narkisim" w:cs="Narkisim"/>
          <w:b/>
          <w:bCs/>
          <w:rtl/>
        </w:rPr>
        <w:t>ירושלמי</w:t>
      </w:r>
      <w:r w:rsidRPr="00E14121">
        <w:rPr>
          <w:rFonts w:ascii="Narkisim" w:hAnsi="Narkisim" w:cs="Narkisim"/>
          <w:rtl/>
        </w:rPr>
        <w:t xml:space="preserve"> (כאן ח ו, הו' ברשב"א בע"ב) איתא שאנדרוגינוס שנבעל [לפסול</w:t>
      </w:r>
      <w:r w:rsidRPr="00E14121">
        <w:rPr>
          <w:rStyle w:val="ac"/>
          <w:rFonts w:ascii="Narkisim" w:hAnsi="Narkisim" w:cs="Narkisim"/>
          <w:rtl/>
        </w:rPr>
        <w:footnoteReference w:id="5066"/>
      </w:r>
      <w:r w:rsidRPr="00E14121">
        <w:rPr>
          <w:rFonts w:ascii="Narkisim" w:hAnsi="Narkisim" w:cs="Narkisim"/>
          <w:rtl/>
        </w:rPr>
        <w:t>] נפסל לכהונה כנשים. ואפי' מין במינו [ע"י אנדרוגינוס אחר]. ולא אמרי' ממ"נ</w:t>
      </w:r>
      <w:r w:rsidRPr="00E14121">
        <w:rPr>
          <w:rStyle w:val="ac"/>
          <w:rFonts w:ascii="Narkisim" w:hAnsi="Narkisim" w:cs="Narkisim"/>
          <w:rtl/>
        </w:rPr>
        <w:footnoteReference w:id="5067"/>
      </w:r>
      <w:r w:rsidRPr="00E14121">
        <w:rPr>
          <w:rFonts w:ascii="Narkisim" w:hAnsi="Narkisim" w:cs="Narkisim"/>
          <w:rtl/>
        </w:rPr>
        <w:t>, אלא צד זכרותו של זה פוסלת צד נקיבתו של זה</w:t>
      </w:r>
      <w:r w:rsidRPr="00E14121">
        <w:rPr>
          <w:rStyle w:val="ac"/>
          <w:rFonts w:ascii="Narkisim" w:hAnsi="Narkisim" w:cs="Narkisim"/>
          <w:rtl/>
        </w:rPr>
        <w:footnoteReference w:id="5068"/>
      </w:r>
      <w:r w:rsidRPr="00E14121">
        <w:rPr>
          <w:rFonts w:ascii="Narkisim" w:hAnsi="Narkisim" w:cs="Narkisim"/>
          <w:rtl/>
        </w:rPr>
        <w:t>.</w:t>
      </w:r>
    </w:p>
    <w:p w14:paraId="2E0F1361" w14:textId="77777777" w:rsidR="00F64AED" w:rsidRPr="00E14121" w:rsidRDefault="00F64AED" w:rsidP="00F64AED">
      <w:pPr>
        <w:pStyle w:val="a8"/>
        <w:bidi/>
        <w:rPr>
          <w:rFonts w:ascii="Narkisim" w:hAnsi="Narkisim"/>
        </w:rPr>
      </w:pPr>
      <w:r w:rsidRPr="00E14121">
        <w:rPr>
          <w:rFonts w:ascii="Narkisim" w:hAnsi="Narkisim"/>
          <w:rtl/>
        </w:rPr>
        <w:t>וכ"פ ה</w:t>
      </w:r>
      <w:r w:rsidRPr="00E14121">
        <w:rPr>
          <w:rFonts w:ascii="Narkisim" w:hAnsi="Narkisim"/>
          <w:b/>
          <w:bCs/>
          <w:rtl/>
        </w:rPr>
        <w:t>רמב"ם</w:t>
      </w:r>
      <w:r w:rsidRPr="00E14121">
        <w:rPr>
          <w:rFonts w:ascii="Narkisim" w:hAnsi="Narkisim"/>
          <w:rtl/>
        </w:rPr>
        <w:t xml:space="preserve"> (תרומות ז טז) דאנדרוגינוס שנבעל לפסול [בין דרך זכרותו ובין דרך נקבותו] נפסל מלאכול בתרומה כנשים. ואם נבעל לאנדרוגינוס אחר דרך נקבותו נפסל, אבל דרך זכרותו אינו פוסל, שאין זכר פוסל </w:t>
      </w:r>
      <w:r w:rsidRPr="00E14121">
        <w:rPr>
          <w:rFonts w:ascii="Narkisim" w:hAnsi="Narkisim"/>
          <w:rtl/>
        </w:rPr>
        <w:lastRenderedPageBreak/>
        <w:t>זכר. וה</w:t>
      </w:r>
      <w:r w:rsidRPr="00E14121">
        <w:rPr>
          <w:rFonts w:ascii="Narkisim" w:hAnsi="Narkisim"/>
          <w:b/>
          <w:bCs/>
          <w:rtl/>
        </w:rPr>
        <w:t>ראב"ד</w:t>
      </w:r>
      <w:r w:rsidRPr="00E14121">
        <w:rPr>
          <w:rFonts w:ascii="Narkisim" w:hAnsi="Narkisim"/>
          <w:rtl/>
        </w:rPr>
        <w:t xml:space="preserve"> השיג דיש בו צד זכרות ונקבות, ואתי צד זכרות שבו ומשתמש [אפי' בצד זכרות של זה]. דאף ביאה שלא כדרכו</w:t>
      </w:r>
      <w:r w:rsidRPr="00E14121">
        <w:rPr>
          <w:rStyle w:val="ac"/>
          <w:rFonts w:ascii="Narkisim" w:hAnsi="Narkisim"/>
          <w:rtl/>
        </w:rPr>
        <w:footnoteReference w:id="5069"/>
      </w:r>
      <w:r w:rsidRPr="00E14121">
        <w:rPr>
          <w:rFonts w:ascii="Narkisim" w:hAnsi="Narkisim"/>
          <w:rtl/>
        </w:rPr>
        <w:t xml:space="preserve"> פוסל בתרומה משום אשה. [ונח' בביאור דברי הירושלמי הנ"ל</w:t>
      </w:r>
      <w:r w:rsidRPr="00E14121">
        <w:rPr>
          <w:rStyle w:val="ac"/>
          <w:rFonts w:ascii="Narkisim" w:hAnsi="Narkisim"/>
          <w:rtl/>
        </w:rPr>
        <w:footnoteReference w:id="5070"/>
      </w:r>
      <w:r w:rsidRPr="00E14121">
        <w:rPr>
          <w:rFonts w:ascii="Narkisim" w:hAnsi="Narkisim"/>
          <w:rtl/>
        </w:rPr>
        <w:t>, ע' מהר"י קורקוס]. ומהר"י קורקוס ביאר דדעת הרמב"ם דמן התורה אמרי' ממ"נ ואינו פוסל, ומדרבנן פסלוהו. שנראה כביאת זכר על נקיבה.</w:t>
      </w:r>
    </w:p>
    <w:p w14:paraId="13673F71" w14:textId="77777777" w:rsidR="00F64AED" w:rsidRPr="00E14121" w:rsidRDefault="00F64AED" w:rsidP="00F64AED">
      <w:pPr>
        <w:pStyle w:val="aa"/>
        <w:bidi/>
        <w:rPr>
          <w:rFonts w:ascii="Narkisim" w:hAnsi="Narkisim"/>
        </w:rPr>
      </w:pPr>
      <w:r w:rsidRPr="00E14121">
        <w:rPr>
          <w:rFonts w:ascii="Narkisim" w:hAnsi="Narkisim"/>
          <w:u w:val="single"/>
          <w:rtl/>
        </w:rPr>
        <w:t>שם.</w:t>
      </w:r>
      <w:r w:rsidRPr="00E14121">
        <w:rPr>
          <w:rFonts w:ascii="Narkisim" w:hAnsi="Narkisim"/>
          <w:rtl/>
        </w:rPr>
        <w:t xml:space="preserve"> </w:t>
      </w:r>
      <w:r w:rsidRPr="00E14121">
        <w:rPr>
          <w:rFonts w:ascii="Narkisim" w:hAnsi="Narkisim"/>
          <w:b/>
          <w:bCs/>
          <w:rtl/>
        </w:rPr>
        <w:t>ה"ה</w:t>
      </w:r>
      <w:r w:rsidRPr="00E14121">
        <w:rPr>
          <w:rFonts w:ascii="Narkisim" w:hAnsi="Narkisim"/>
          <w:rtl/>
        </w:rPr>
        <w:t xml:space="preserve"> (אישות ב כה) דייק מדברי הרמב"ם דטומטום ואנדרוגינוס מתחייבין במצוות מבן י"ב שנה, משום ספק נקיבה. וה"ה הק' דלכאורה לא יתחייב במצוות עשה שהזמן גרמא [</w:t>
      </w:r>
      <w:r w:rsidRPr="00E14121">
        <w:rPr>
          <w:rFonts w:ascii="Narkisim" w:hAnsi="Narkisim"/>
          <w:rtl/>
          <w:lang w:val="he-IL"/>
        </w:rPr>
        <w:t>שהנשים פטורות מהן], דבבן י"ב פטור מהם ממ"נ.</w:t>
      </w:r>
    </w:p>
    <w:p w14:paraId="7AF9854C" w14:textId="77777777" w:rsidR="00F64AED" w:rsidRPr="00E14121" w:rsidRDefault="00F64AED" w:rsidP="00F64AED">
      <w:pPr>
        <w:bidi/>
        <w:rPr>
          <w:rFonts w:ascii="Narkisim" w:hAnsi="Narkisim" w:cs="Narkisim"/>
        </w:rPr>
      </w:pPr>
      <w:r w:rsidRPr="00E14121">
        <w:rPr>
          <w:rFonts w:ascii="Narkisim" w:hAnsi="Narkisim" w:cs="Narkisim"/>
          <w:u w:val="single"/>
          <w:rtl/>
        </w:rPr>
        <w:t>דתנן אין נוטעין וכו' ערב שביעית וכו'.</w:t>
      </w:r>
      <w:r w:rsidRPr="00E14121">
        <w:rPr>
          <w:rFonts w:ascii="Narkisim" w:hAnsi="Narkisim" w:cs="Narkisim"/>
          <w:rtl/>
        </w:rPr>
        <w:t xml:space="preserve"> פ</w:t>
      </w:r>
      <w:r w:rsidRPr="00E14121">
        <w:rPr>
          <w:rFonts w:ascii="Narkisim" w:hAnsi="Narkisim" w:cs="Narkisim"/>
          <w:b/>
          <w:bCs/>
          <w:rtl/>
        </w:rPr>
        <w:t>רש"י</w:t>
      </w:r>
      <w:r w:rsidRPr="00E14121">
        <w:rPr>
          <w:rFonts w:ascii="Narkisim" w:hAnsi="Narkisim" w:cs="Narkisim"/>
          <w:rtl/>
        </w:rPr>
        <w:t xml:space="preserve"> כדי שתקלוט ל' לפני שביעית. וה</w:t>
      </w:r>
      <w:r w:rsidRPr="00E14121">
        <w:rPr>
          <w:rFonts w:ascii="Narkisim" w:hAnsi="Narkisim" w:cs="Narkisim"/>
          <w:b/>
          <w:bCs/>
          <w:rtl/>
        </w:rPr>
        <w:t>ערול"נ</w:t>
      </w:r>
      <w:r w:rsidRPr="00E14121">
        <w:rPr>
          <w:rFonts w:ascii="Narkisim" w:hAnsi="Narkisim" w:cs="Narkisim"/>
          <w:rtl/>
        </w:rPr>
        <w:t xml:space="preserve"> הקשה דאיזה איסור יש אם תקלוט בשביעית, הרי הוא לא עשה שום מעשה. ומותר ליטע לפני שבת שתקלוט בשבת</w:t>
      </w:r>
      <w:r w:rsidRPr="00E14121">
        <w:rPr>
          <w:rStyle w:val="ac"/>
          <w:rFonts w:ascii="Narkisim" w:hAnsi="Narkisim" w:cs="Narkisim"/>
          <w:rtl/>
        </w:rPr>
        <w:footnoteReference w:id="5071"/>
      </w:r>
      <w:r w:rsidRPr="00E14121">
        <w:rPr>
          <w:rFonts w:ascii="Narkisim" w:hAnsi="Narkisim" w:cs="Narkisim"/>
          <w:rtl/>
        </w:rPr>
        <w:t>. ותי' דבשביעית יש דין שהארץ תשבות, ולכן נאסר אף לגרום שתהא קליטה בארץ בשביעית</w:t>
      </w:r>
      <w:r w:rsidRPr="00E14121">
        <w:rPr>
          <w:rStyle w:val="ac"/>
          <w:rFonts w:ascii="Narkisim" w:hAnsi="Narkisim" w:cs="Narkisim"/>
          <w:rtl/>
        </w:rPr>
        <w:footnoteReference w:id="5072"/>
      </w:r>
      <w:r w:rsidRPr="00E14121">
        <w:rPr>
          <w:rFonts w:ascii="Narkisim" w:hAnsi="Narkisim" w:cs="Narkisim"/>
          <w:rtl/>
        </w:rPr>
        <w:t>.</w:t>
      </w:r>
    </w:p>
    <w:p w14:paraId="517BBE1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 xml:space="preserve">ערול"נ </w:t>
      </w:r>
      <w:r w:rsidRPr="00E14121">
        <w:rPr>
          <w:rFonts w:ascii="Narkisim" w:hAnsi="Narkisim"/>
          <w:rtl/>
        </w:rPr>
        <w:t>דייק מדברי רש"י דאף מצוות תוספת שביעית הוה דין על הקרקע, אבל בפשוטו תוספת שביעית הוה איסור על הגברא. ודייק דבזה פליג התוס' דליכא איסור תוספת שביעית בנקלטת בתוספת שביעית</w:t>
      </w:r>
      <w:r w:rsidRPr="00E14121">
        <w:rPr>
          <w:rStyle w:val="ac"/>
          <w:rFonts w:ascii="Narkisim" w:hAnsi="Narkisim"/>
          <w:rtl/>
        </w:rPr>
        <w:footnoteReference w:id="5073"/>
      </w:r>
      <w:r w:rsidRPr="00E14121">
        <w:rPr>
          <w:rFonts w:ascii="Narkisim" w:hAnsi="Narkisim"/>
          <w:rtl/>
        </w:rPr>
        <w:t>. משמע דיש תוספת שביעית על זריעה [וה</w:t>
      </w:r>
      <w:r w:rsidRPr="00E14121">
        <w:rPr>
          <w:rFonts w:ascii="Narkisim" w:hAnsi="Narkisim"/>
          <w:b/>
          <w:bCs/>
          <w:rtl/>
        </w:rPr>
        <w:t>אחרונים</w:t>
      </w:r>
      <w:r w:rsidRPr="00E14121">
        <w:rPr>
          <w:rFonts w:ascii="Narkisim" w:hAnsi="Narkisim"/>
          <w:rtl/>
        </w:rPr>
        <w:t xml:space="preserve"> דנו בזה</w:t>
      </w:r>
      <w:r w:rsidRPr="00E14121">
        <w:rPr>
          <w:rStyle w:val="ac"/>
          <w:rFonts w:ascii="Narkisim" w:hAnsi="Narkisim"/>
          <w:rtl/>
        </w:rPr>
        <w:footnoteReference w:id="5074"/>
      </w:r>
      <w:r w:rsidRPr="00E14121">
        <w:rPr>
          <w:rFonts w:ascii="Narkisim" w:hAnsi="Narkisim"/>
          <w:rtl/>
        </w:rPr>
        <w:t>], אלא דבמה שנקלטת בשביעית לא יתכן איסור.</w:t>
      </w:r>
    </w:p>
    <w:p w14:paraId="1338D147" w14:textId="77777777" w:rsidR="00F64AED" w:rsidRPr="00E14121" w:rsidRDefault="00F64AED" w:rsidP="00F64AED">
      <w:pPr>
        <w:bidi/>
        <w:rPr>
          <w:rFonts w:ascii="Narkisim" w:hAnsi="Narkisim" w:cs="Narkisim"/>
        </w:rPr>
      </w:pPr>
      <w:r w:rsidRPr="00E14121">
        <w:rPr>
          <w:rFonts w:ascii="Narkisim" w:hAnsi="Narkisim" w:cs="Narkisim"/>
          <w:rtl/>
        </w:rPr>
        <w:t>אבל ה</w:t>
      </w:r>
      <w:r w:rsidRPr="00E14121">
        <w:rPr>
          <w:rFonts w:ascii="Narkisim" w:hAnsi="Narkisim" w:cs="Narkisim"/>
          <w:b/>
          <w:bCs/>
          <w:rtl/>
        </w:rPr>
        <w:t>רמב"ן</w:t>
      </w:r>
      <w:r w:rsidRPr="00E14121">
        <w:rPr>
          <w:rFonts w:ascii="Narkisim" w:hAnsi="Narkisim" w:cs="Narkisim"/>
          <w:rtl/>
        </w:rPr>
        <w:t xml:space="preserve"> (ר"ה ט:) כתב דאף דאין תוספת שביעית אלא בחרישה, מ"מ אסור ליטע שתקלוט בשביעית, דגזרו חכמים כיון שמונין בו שנות הערלה, שמא יאמרו שנטע בשביעית (ע"ד הא דאי' גיטין נג:). וכ"מ ב</w:t>
      </w:r>
      <w:r w:rsidRPr="00E14121">
        <w:rPr>
          <w:rFonts w:ascii="Narkisim" w:hAnsi="Narkisim" w:cs="Narkisim"/>
          <w:b/>
          <w:bCs/>
          <w:rtl/>
        </w:rPr>
        <w:t>רמב"ם</w:t>
      </w:r>
      <w:r w:rsidRPr="00E14121">
        <w:rPr>
          <w:rFonts w:ascii="Narkisim" w:hAnsi="Narkisim" w:cs="Narkisim"/>
          <w:rtl/>
        </w:rPr>
        <w:t xml:space="preserve"> (פיה"מ והל' שמיטה ג יא).</w:t>
      </w:r>
    </w:p>
    <w:p w14:paraId="05C13E81" w14:textId="77777777" w:rsidR="00F64AED" w:rsidRPr="00E14121" w:rsidRDefault="00F64AED" w:rsidP="00F64AED">
      <w:pPr>
        <w:bidi/>
        <w:rPr>
          <w:rFonts w:ascii="Narkisim" w:hAnsi="Narkisim" w:cs="Narkisim"/>
        </w:rPr>
      </w:pPr>
      <w:r w:rsidRPr="00E14121">
        <w:rPr>
          <w:rFonts w:ascii="Narkisim" w:hAnsi="Narkisim" w:cs="Narkisim"/>
          <w:u w:val="single"/>
          <w:rtl/>
        </w:rPr>
        <w:t>תוד"ה קידוש.</w:t>
      </w:r>
      <w:r w:rsidRPr="00E14121">
        <w:rPr>
          <w:rFonts w:ascii="Narkisim" w:hAnsi="Narkisim" w:cs="Narkisim"/>
          <w:rtl/>
        </w:rPr>
        <w:t xml:space="preserve"> דר' מאיר דדאין דינא דגרמי וכו'. הגמ' (ב"ק ק.) הביאה מכאן דר' מאיר דאין דינא דגרמי</w:t>
      </w:r>
      <w:r w:rsidRPr="00E14121">
        <w:rPr>
          <w:rStyle w:val="ac"/>
          <w:rFonts w:ascii="Narkisim" w:hAnsi="Narkisim" w:cs="Narkisim"/>
          <w:rtl/>
        </w:rPr>
        <w:footnoteReference w:id="5075"/>
      </w:r>
      <w:r w:rsidRPr="00E14121">
        <w:rPr>
          <w:rFonts w:ascii="Narkisim" w:hAnsi="Narkisim" w:cs="Narkisim"/>
          <w:rtl/>
        </w:rPr>
        <w:t xml:space="preserve">, והגמ' דוחה שאני הכא דקעביד בידים. והגמ' מביאה ממחיצה הכרם שנפרצה וכו' דמחייב ר' מאיר. </w:t>
      </w:r>
      <w:r w:rsidRPr="00E14121">
        <w:rPr>
          <w:rFonts w:ascii="Narkisim" w:hAnsi="Narkisim" w:cs="Narkisim"/>
          <w:sz w:val="20"/>
          <w:szCs w:val="20"/>
          <w:rtl/>
        </w:rPr>
        <w:t>[וקצת משמע בתוס' דאף למסקנא 'מסכך' נחשב דינא דגרמי, וכוונת הגמ' דא"א ללמוד משם לעלמא].</w:t>
      </w:r>
    </w:p>
    <w:p w14:paraId="618786B2" w14:textId="77777777" w:rsidR="00F64AED" w:rsidRPr="00E14121" w:rsidRDefault="00F64AED" w:rsidP="00F64AED">
      <w:pPr>
        <w:pStyle w:val="aa"/>
        <w:bidi/>
        <w:rPr>
          <w:rFonts w:ascii="Narkisim" w:hAnsi="Narkisim"/>
        </w:rPr>
      </w:pPr>
      <w:r w:rsidRPr="00E14121">
        <w:rPr>
          <w:rFonts w:ascii="Narkisim" w:hAnsi="Narkisim"/>
          <w:u w:val="single"/>
          <w:rtl/>
        </w:rPr>
        <w:t>תוד"ה רבי יוסי.</w:t>
      </w:r>
      <w:r w:rsidRPr="00E14121">
        <w:rPr>
          <w:rFonts w:ascii="Narkisim" w:hAnsi="Narkisim"/>
          <w:rtl/>
        </w:rPr>
        <w:t xml:space="preserve"> א"כ הא דאמר וכו' ואסרו את הזרעים והתירו הגפנים, ומשמע דבשאר זרעים דהוה מדרבנן וכו'. דהגמ' (מנחות טו:) מקשה על הך ברייתא דנימא ק"ו, ומה האוסר אינו נאסר, הבא לאסור ולא אסר אינו דין שלא יאסר</w:t>
      </w:r>
      <w:r w:rsidRPr="00E14121">
        <w:rPr>
          <w:rStyle w:val="ac"/>
          <w:rFonts w:ascii="Narkisim" w:hAnsi="Narkisim"/>
          <w:rtl/>
        </w:rPr>
        <w:footnoteReference w:id="5076"/>
      </w:r>
      <w:r w:rsidRPr="00E14121">
        <w:rPr>
          <w:rFonts w:ascii="Narkisim" w:hAnsi="Narkisim"/>
          <w:rtl/>
        </w:rPr>
        <w:t>. [וכיון דהגפנים מותרים האיך אסרו את הזרעים</w:t>
      </w:r>
      <w:r w:rsidRPr="00E14121">
        <w:rPr>
          <w:rStyle w:val="ac"/>
          <w:rFonts w:ascii="Narkisim" w:hAnsi="Narkisim"/>
          <w:rtl/>
        </w:rPr>
        <w:footnoteReference w:id="5077"/>
      </w:r>
      <w:r w:rsidRPr="00E14121">
        <w:rPr>
          <w:rFonts w:ascii="Narkisim" w:hAnsi="Narkisim"/>
          <w:rtl/>
        </w:rPr>
        <w:t>]. והגמ' דוחה דהתם בשאר זרעים דרבנן, והאי דעביד איסורא קנסוה רבנן, והאי דלא עביד איסורא לא קנסו.</w:t>
      </w:r>
    </w:p>
    <w:p w14:paraId="27473E78" w14:textId="77777777" w:rsidR="00F64AED" w:rsidRPr="00E14121" w:rsidRDefault="00F64AED" w:rsidP="00F64AED">
      <w:pPr>
        <w:pStyle w:val="a8"/>
        <w:bidi/>
        <w:rPr>
          <w:rFonts w:ascii="Narkisim" w:hAnsi="Narkisim"/>
        </w:rPr>
      </w:pPr>
      <w:r w:rsidRPr="00E14121">
        <w:rPr>
          <w:rFonts w:ascii="Narkisim" w:hAnsi="Narkisim"/>
          <w:rtl/>
        </w:rPr>
        <w:t>ומבואר דס"ד דהגמ' דהוה משום אין אדם אוסר דבר שאינו שלו [וכר' יוסי], ואפ"ה התבואה אסורה. [ולא אמרי' ק"ו]. ומסקנת הגמ' דלר' יוסי אמרי' ק"ו, וכיון דהגפנים אינן נאסרין אף התבואה [שלו] אינו נאסר.</w:t>
      </w:r>
    </w:p>
    <w:p w14:paraId="73345955" w14:textId="77777777" w:rsidR="00F64AED" w:rsidRPr="00E14121" w:rsidRDefault="00F64AED" w:rsidP="00F64AED">
      <w:pPr>
        <w:pStyle w:val="a8"/>
        <w:bidi/>
        <w:rPr>
          <w:rFonts w:ascii="Narkisim" w:hAnsi="Narkisim"/>
        </w:rPr>
      </w:pPr>
      <w:r w:rsidRPr="00E14121">
        <w:rPr>
          <w:rFonts w:ascii="Narkisim" w:hAnsi="Narkisim"/>
          <w:rtl/>
        </w:rPr>
        <w:t>ו</w:t>
      </w:r>
      <w:r w:rsidRPr="00E14121">
        <w:rPr>
          <w:rFonts w:ascii="Narkisim" w:hAnsi="Narkisim"/>
          <w:b/>
          <w:bCs/>
          <w:rtl/>
        </w:rPr>
        <w:t>תוס'</w:t>
      </w:r>
      <w:r w:rsidRPr="00E14121">
        <w:rPr>
          <w:rFonts w:ascii="Narkisim" w:hAnsi="Narkisim"/>
          <w:rtl/>
        </w:rPr>
        <w:t xml:space="preserve"> (כאן) כת' דלפ"ז הברייתא דהתם לא הוה כר' יוסי, אלא הך תנא ס"ל דבכלאים דאורייתא אדם אוסר דבר </w:t>
      </w:r>
      <w:r w:rsidRPr="00E14121">
        <w:rPr>
          <w:rFonts w:ascii="Narkisim" w:hAnsi="Narkisim"/>
          <w:rtl/>
        </w:rPr>
        <w:lastRenderedPageBreak/>
        <w:t>שאינו שלו</w:t>
      </w:r>
      <w:r w:rsidRPr="00E14121">
        <w:rPr>
          <w:rStyle w:val="ac"/>
          <w:rFonts w:ascii="Narkisim" w:hAnsi="Narkisim"/>
          <w:rtl/>
        </w:rPr>
        <w:footnoteReference w:id="5078"/>
      </w:r>
      <w:r w:rsidRPr="00E14121">
        <w:rPr>
          <w:rFonts w:ascii="Narkisim" w:hAnsi="Narkisim"/>
          <w:rtl/>
        </w:rPr>
        <w:t>. אלא הוה קולא בכלאים דרבנן דלא קנסו את הגפנים</w:t>
      </w:r>
      <w:r w:rsidRPr="00E14121">
        <w:rPr>
          <w:rStyle w:val="ac"/>
          <w:rFonts w:ascii="Narkisim" w:hAnsi="Narkisim"/>
          <w:rtl/>
        </w:rPr>
        <w:footnoteReference w:id="5079"/>
      </w:r>
      <w:r w:rsidRPr="00E14121">
        <w:rPr>
          <w:rFonts w:ascii="Narkisim" w:hAnsi="Narkisim"/>
          <w:rtl/>
        </w:rPr>
        <w:t>.</w:t>
      </w:r>
    </w:p>
    <w:p w14:paraId="3A54069E" w14:textId="77777777" w:rsidR="00F64AED" w:rsidRPr="00E14121" w:rsidRDefault="00F64AED" w:rsidP="00F64AED">
      <w:pPr>
        <w:pStyle w:val="a8"/>
        <w:bidi/>
        <w:rPr>
          <w:rFonts w:ascii="Narkisim" w:hAnsi="Narkisim"/>
        </w:rPr>
      </w:pPr>
      <w:r w:rsidRPr="00E14121">
        <w:rPr>
          <w:rFonts w:ascii="Narkisim" w:hAnsi="Narkisim"/>
          <w:rtl/>
        </w:rPr>
        <w:t xml:space="preserve">אבל </w:t>
      </w:r>
      <w:r w:rsidRPr="00E14121">
        <w:rPr>
          <w:rFonts w:ascii="Narkisim" w:hAnsi="Narkisim"/>
          <w:b/>
          <w:bCs/>
          <w:rtl/>
        </w:rPr>
        <w:t>תוס'</w:t>
      </w:r>
      <w:r w:rsidRPr="00E14121">
        <w:rPr>
          <w:rFonts w:ascii="Narkisim" w:hAnsi="Narkisim"/>
          <w:rtl/>
        </w:rPr>
        <w:t xml:space="preserve"> (מנחות שם) כת' דלמסקנא אף ר' יוסי ור' שמעון [דסוגיין] איירי דוקא בכלאים דרבנן [ולא איירי בסתם תבואה דה' מינים], ומש"ה לא שייך ק"ו [דהתם]. ובכלאים דאורייתא אדם אוסר דבר שאינו שלו.</w:t>
      </w:r>
    </w:p>
    <w:p w14:paraId="448EB53D" w14:textId="77777777" w:rsidR="00F64AED" w:rsidRPr="00E14121" w:rsidRDefault="00F64AED" w:rsidP="00F64AED">
      <w:pPr>
        <w:bidi/>
        <w:rPr>
          <w:rFonts w:ascii="Narkisim" w:hAnsi="Narkisim" w:cs="Narkisim"/>
        </w:rPr>
      </w:pPr>
      <w:r w:rsidRPr="00E14121">
        <w:rPr>
          <w:rFonts w:ascii="Narkisim" w:hAnsi="Narkisim" w:cs="Narkisim"/>
          <w:u w:val="single"/>
          <w:rtl/>
        </w:rPr>
        <w:t>בא"ד דלר' יוסי אפי' הזרעים מותרים, כיון דמן התורה אין אדם אוסר בכלאים דבר שאינו שלו, אין כאן כלאים והכל מותר.</w:t>
      </w:r>
      <w:r w:rsidRPr="00E14121">
        <w:rPr>
          <w:rFonts w:ascii="Narkisim" w:hAnsi="Narkisim" w:cs="Narkisim"/>
          <w:rtl/>
        </w:rPr>
        <w:t xml:space="preserve"> לכאורה כוונת התוס' ע"פ מסקנת הק"ו דהגמ' (מנחות), דכיון דאינו אוסר שאינו שלו [האוסר אינו נאסר], ק"ו דאין כאן כלאים כלל.</w:t>
      </w:r>
    </w:p>
    <w:p w14:paraId="31CBB6D5" w14:textId="77777777" w:rsidR="00F64AED" w:rsidRPr="00E14121" w:rsidRDefault="00F64AED" w:rsidP="00F64AED">
      <w:pPr>
        <w:pStyle w:val="a8"/>
        <w:bidi/>
        <w:rPr>
          <w:rFonts w:ascii="Narkisim" w:hAnsi="Narkisim"/>
        </w:rPr>
      </w:pPr>
      <w:r w:rsidRPr="00E14121">
        <w:rPr>
          <w:rFonts w:ascii="Narkisim" w:hAnsi="Narkisim"/>
          <w:rtl/>
        </w:rPr>
        <w:t>וה</w:t>
      </w:r>
      <w:r w:rsidRPr="00E14121">
        <w:rPr>
          <w:rFonts w:ascii="Narkisim" w:hAnsi="Narkisim"/>
          <w:b/>
          <w:bCs/>
          <w:rtl/>
        </w:rPr>
        <w:t>קובה"ע</w:t>
      </w:r>
      <w:r w:rsidRPr="00E14121">
        <w:rPr>
          <w:rFonts w:ascii="Narkisim" w:hAnsi="Narkisim"/>
          <w:rtl/>
        </w:rPr>
        <w:t xml:space="preserve"> (סא א) כתב דמ"מ עובר בזריעת כלאים</w:t>
      </w:r>
      <w:r w:rsidRPr="00E14121">
        <w:rPr>
          <w:rStyle w:val="ac"/>
          <w:rFonts w:ascii="Narkisim" w:hAnsi="Narkisim"/>
          <w:rtl/>
        </w:rPr>
        <w:footnoteReference w:id="5080"/>
      </w:r>
      <w:r w:rsidRPr="00E14121">
        <w:rPr>
          <w:rFonts w:ascii="Narkisim" w:hAnsi="Narkisim"/>
          <w:rtl/>
        </w:rPr>
        <w:t>, ורק לענין לאסור אין לזה שם כלאים.</w:t>
      </w:r>
    </w:p>
    <w:p w14:paraId="6F31E2C4"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w:t>
      </w:r>
      <w:r w:rsidRPr="00E14121">
        <w:rPr>
          <w:rFonts w:ascii="Narkisim" w:hAnsi="Narkisim"/>
          <w:sz w:val="20"/>
          <w:szCs w:val="20"/>
          <w:rtl/>
        </w:rPr>
        <w:t>(כלאים ה ח)</w:t>
      </w:r>
      <w:r w:rsidRPr="00E14121">
        <w:rPr>
          <w:rFonts w:ascii="Narkisim" w:hAnsi="Narkisim"/>
          <w:rtl/>
        </w:rPr>
        <w:t xml:space="preserve"> כ' דשלו אסור. וה</w:t>
      </w:r>
      <w:r w:rsidRPr="00E14121">
        <w:rPr>
          <w:rFonts w:ascii="Narkisim" w:hAnsi="Narkisim"/>
          <w:b/>
          <w:bCs/>
          <w:rtl/>
        </w:rPr>
        <w:t>ר"ש</w:t>
      </w:r>
      <w:r w:rsidRPr="00E14121">
        <w:rPr>
          <w:rFonts w:ascii="Narkisim" w:hAnsi="Narkisim"/>
          <w:sz w:val="20"/>
          <w:szCs w:val="20"/>
          <w:rtl/>
        </w:rPr>
        <w:t xml:space="preserve"> (כלאים ז ד)</w:t>
      </w:r>
      <w:r w:rsidRPr="00E14121">
        <w:rPr>
          <w:rFonts w:ascii="Narkisim" w:hAnsi="Narkisim"/>
          <w:rtl/>
        </w:rPr>
        <w:t xml:space="preserve"> הביא כן מה</w:t>
      </w:r>
      <w:r w:rsidRPr="00E14121">
        <w:rPr>
          <w:rFonts w:ascii="Narkisim" w:hAnsi="Narkisim"/>
          <w:b/>
          <w:bCs/>
          <w:rtl/>
        </w:rPr>
        <w:t xml:space="preserve">ירושלמי </w:t>
      </w:r>
      <w:r w:rsidRPr="00E14121">
        <w:rPr>
          <w:rFonts w:ascii="Narkisim" w:hAnsi="Narkisim"/>
          <w:rtl/>
        </w:rPr>
        <w:t>(שם).</w:t>
      </w:r>
    </w:p>
    <w:p w14:paraId="67D56DCA" w14:textId="77777777" w:rsidR="00F64AED" w:rsidRPr="00E14121" w:rsidRDefault="00F64AED" w:rsidP="00F64AED">
      <w:pPr>
        <w:pStyle w:val="a7"/>
        <w:bidi/>
        <w:rPr>
          <w:rFonts w:ascii="Narkisim" w:hAnsi="Narkisim"/>
        </w:rPr>
      </w:pPr>
      <w:r w:rsidRPr="00E14121">
        <w:rPr>
          <w:rFonts w:ascii="Narkisim" w:hAnsi="Narkisim"/>
          <w:rtl/>
        </w:rPr>
        <w:t>וה</w:t>
      </w:r>
      <w:r w:rsidRPr="00E14121">
        <w:rPr>
          <w:rFonts w:ascii="Narkisim" w:hAnsi="Narkisim"/>
          <w:b/>
          <w:bCs/>
          <w:rtl/>
        </w:rPr>
        <w:t xml:space="preserve">קובה"ע </w:t>
      </w:r>
      <w:r w:rsidRPr="00E14121">
        <w:rPr>
          <w:rFonts w:ascii="Narkisim" w:hAnsi="Narkisim"/>
          <w:rtl/>
        </w:rPr>
        <w:t>(סא ד) הקשה מאי שנא ממש"כ ה</w:t>
      </w:r>
      <w:r w:rsidRPr="00E14121">
        <w:rPr>
          <w:rFonts w:ascii="Narkisim" w:hAnsi="Narkisim"/>
          <w:b/>
          <w:bCs/>
          <w:rtl/>
        </w:rPr>
        <w:t>רמב"ם</w:t>
      </w:r>
      <w:r w:rsidRPr="00E14121">
        <w:rPr>
          <w:rFonts w:ascii="Narkisim" w:hAnsi="Narkisim"/>
          <w:rtl/>
        </w:rPr>
        <w:t xml:space="preserve"> </w:t>
      </w:r>
      <w:r w:rsidRPr="00E14121">
        <w:rPr>
          <w:rFonts w:ascii="Narkisim" w:hAnsi="Narkisim"/>
          <w:sz w:val="20"/>
          <w:szCs w:val="20"/>
          <w:rtl/>
        </w:rPr>
        <w:t xml:space="preserve">(פיה"מ כריתות יג:, מאכ"א ט ו) </w:t>
      </w:r>
      <w:r w:rsidRPr="00E14121">
        <w:rPr>
          <w:rFonts w:ascii="Narkisim" w:hAnsi="Narkisim"/>
          <w:rtl/>
        </w:rPr>
        <w:t>דהמבשל בשר נבילה בחלב, כיון דאין איסור חל על איסור, אף החלב לא נאסר [בהנאה]. דכיון דהבשר אינו נאסר אף החלב אין נאסר. וכתב ליישב דבמקום דאין איסור חל על איסור, לא חל אף השֵם איסור בשר בחלב</w:t>
      </w:r>
      <w:r w:rsidRPr="00E14121">
        <w:rPr>
          <w:rStyle w:val="ac"/>
          <w:rFonts w:ascii="Narkisim" w:hAnsi="Narkisim"/>
          <w:rtl/>
        </w:rPr>
        <w:footnoteReference w:id="5081"/>
      </w:r>
      <w:r w:rsidRPr="00E14121">
        <w:rPr>
          <w:rFonts w:ascii="Narkisim" w:hAnsi="Narkisim"/>
          <w:rtl/>
        </w:rPr>
        <w:t>, ומשו"ה שניהם מותרין. משא"כ דבר שאינו שלו [לדעת הרמב"ם] שם כלאים עליהם, ולכן שלו נאסר.</w:t>
      </w:r>
    </w:p>
    <w:p w14:paraId="01E1D081" w14:textId="77777777" w:rsidR="00F64AED" w:rsidRPr="00E14121" w:rsidRDefault="00F64AED" w:rsidP="00F64AED">
      <w:pPr>
        <w:pStyle w:val="3"/>
        <w:bidi/>
        <w:rPr>
          <w:rFonts w:ascii="Narkisim" w:hAnsi="Narkisim"/>
        </w:rPr>
      </w:pPr>
      <w:r w:rsidRPr="00E14121">
        <w:rPr>
          <w:rFonts w:ascii="Narkisim" w:hAnsi="Narkisim"/>
          <w:rtl/>
        </w:rPr>
        <w:t>דף פג:</w:t>
      </w:r>
    </w:p>
    <w:p w14:paraId="4F088A7A" w14:textId="77777777" w:rsidR="00F64AED" w:rsidRPr="00E14121" w:rsidRDefault="00F64AED" w:rsidP="00F64AED">
      <w:pPr>
        <w:bidi/>
        <w:rPr>
          <w:rFonts w:ascii="Narkisim" w:hAnsi="Narkisim" w:cs="Narkisim"/>
        </w:rPr>
      </w:pPr>
      <w:r w:rsidRPr="00E14121">
        <w:rPr>
          <w:rFonts w:ascii="Narkisim" w:hAnsi="Narkisim" w:cs="Narkisim"/>
          <w:u w:val="single"/>
          <w:rtl/>
        </w:rPr>
        <w:t>תוד"ה אין.</w:t>
      </w:r>
      <w:r w:rsidRPr="00E14121">
        <w:rPr>
          <w:rFonts w:ascii="Narkisim" w:hAnsi="Narkisim" w:cs="Narkisim"/>
          <w:rtl/>
        </w:rPr>
        <w:t xml:space="preserve"> וא"ת מ"ש מנותן נבילה בתבשיל חבירו.</w:t>
      </w:r>
      <w:r w:rsidRPr="00E14121">
        <w:rPr>
          <w:rFonts w:ascii="Narkisim" w:hAnsi="Narkisim" w:cs="Narkisim"/>
          <w:sz w:val="20"/>
          <w:szCs w:val="20"/>
          <w:rtl/>
        </w:rPr>
        <w:t xml:space="preserve"> וב</w:t>
      </w:r>
      <w:r w:rsidRPr="00E14121">
        <w:rPr>
          <w:rFonts w:ascii="Narkisim" w:hAnsi="Narkisim" w:cs="Narkisim"/>
          <w:b/>
          <w:bCs/>
          <w:sz w:val="20"/>
          <w:szCs w:val="20"/>
          <w:rtl/>
        </w:rPr>
        <w:t>חי' ר"א מן ההר</w:t>
      </w:r>
      <w:r w:rsidRPr="00E14121">
        <w:rPr>
          <w:rFonts w:ascii="Narkisim" w:hAnsi="Narkisim" w:cs="Narkisim"/>
          <w:sz w:val="20"/>
          <w:szCs w:val="20"/>
          <w:rtl/>
        </w:rPr>
        <w:t xml:space="preserve"> כתב דמנבילה וחלב ל"ק, דהתבשיל לא נאסר. אלא דאסור לאכול את הנבילה המעורב בה</w:t>
      </w:r>
      <w:r w:rsidRPr="00E14121">
        <w:rPr>
          <w:rStyle w:val="ac"/>
          <w:rFonts w:ascii="Narkisim" w:hAnsi="Narkisim" w:cs="Narkisim"/>
          <w:sz w:val="20"/>
          <w:szCs w:val="20"/>
          <w:rtl/>
        </w:rPr>
        <w:footnoteReference w:id="5082"/>
      </w:r>
      <w:r w:rsidRPr="00E14121">
        <w:rPr>
          <w:rFonts w:ascii="Narkisim" w:hAnsi="Narkisim" w:cs="Narkisim"/>
          <w:sz w:val="20"/>
          <w:szCs w:val="20"/>
          <w:rtl/>
        </w:rPr>
        <w:t>. אלא דהקשה מבשר בחלב, דהאי לחודיה שרי</w:t>
      </w:r>
      <w:r w:rsidRPr="00E14121">
        <w:rPr>
          <w:rFonts w:ascii="Narkisim" w:hAnsi="Narkisim" w:cs="Narkisim"/>
          <w:rtl/>
        </w:rPr>
        <w:t>.</w:t>
      </w:r>
    </w:p>
    <w:p w14:paraId="15B54B35" w14:textId="77777777" w:rsidR="00F64AED" w:rsidRPr="00E14121" w:rsidRDefault="00F64AED" w:rsidP="00F64AED">
      <w:pPr>
        <w:pStyle w:val="a7"/>
        <w:bidi/>
        <w:rPr>
          <w:rFonts w:ascii="Narkisim" w:hAnsi="Narkisim"/>
        </w:rPr>
      </w:pPr>
      <w:r w:rsidRPr="00E14121">
        <w:rPr>
          <w:rFonts w:ascii="Narkisim" w:hAnsi="Narkisim"/>
          <w:rtl/>
        </w:rPr>
        <w:t>וב</w:t>
      </w:r>
      <w:r w:rsidRPr="00E14121">
        <w:rPr>
          <w:rFonts w:ascii="Narkisim" w:hAnsi="Narkisim"/>
          <w:b/>
          <w:bCs/>
          <w:rtl/>
        </w:rPr>
        <w:t>חי' ר"א מן ההר</w:t>
      </w:r>
      <w:r w:rsidRPr="00E14121">
        <w:rPr>
          <w:rFonts w:ascii="Narkisim" w:hAnsi="Narkisim"/>
          <w:rtl/>
        </w:rPr>
        <w:t xml:space="preserve"> תי' דשאני בשר בחלב דעשה מעשה בגוף הבשר של חבירו, דאינו יכול לסלקו זה מעל זה, אבל כלאים נאסר אף דיכול להפריד. </w:t>
      </w:r>
      <w:r w:rsidRPr="00E14121">
        <w:rPr>
          <w:rFonts w:ascii="Narkisim" w:hAnsi="Narkisim"/>
          <w:sz w:val="20"/>
          <w:szCs w:val="20"/>
          <w:rtl/>
        </w:rPr>
        <w:t>והביא דכעי"ז הגמ' (חולין מ) מחלקת בין אוסר ע"י מעשה, אלא דהתם האיסור בא ע"י המחשבה שמחשב לע"ז, ונח' בגמ' שם כיון דעשה מעשה. אבל במקום דעירב בשר בחלב דהוה מעשה לחוד כו"ע מודו דאוסר. ובכלאים דלא עשה מעשה בגופו, כו"ע מודו דמותר.</w:t>
      </w:r>
    </w:p>
    <w:p w14:paraId="6712F569" w14:textId="77777777" w:rsidR="00F64AED" w:rsidRPr="00E14121" w:rsidRDefault="00F64AED" w:rsidP="00F64AED">
      <w:pPr>
        <w:bidi/>
        <w:rPr>
          <w:rFonts w:ascii="Narkisim" w:hAnsi="Narkisim" w:cs="Narkisim"/>
        </w:rPr>
      </w:pPr>
      <w:r w:rsidRPr="00E14121">
        <w:rPr>
          <w:rFonts w:ascii="Narkisim" w:hAnsi="Narkisim" w:cs="Narkisim"/>
          <w:u w:val="single"/>
          <w:rtl/>
        </w:rPr>
        <w:t>בא"ד ואר"י דבדבר התלוי במחשבה וכו'.</w:t>
      </w:r>
      <w:r w:rsidRPr="00E14121">
        <w:rPr>
          <w:rFonts w:ascii="Narkisim" w:hAnsi="Narkisim" w:cs="Narkisim"/>
          <w:rtl/>
        </w:rPr>
        <w:t xml:space="preserve"> וה</w:t>
      </w:r>
      <w:r w:rsidRPr="00E14121">
        <w:rPr>
          <w:rFonts w:ascii="Narkisim" w:hAnsi="Narkisim" w:cs="Narkisim"/>
          <w:b/>
          <w:bCs/>
          <w:rtl/>
        </w:rPr>
        <w:t xml:space="preserve">ר"ש </w:t>
      </w:r>
      <w:r w:rsidRPr="00E14121">
        <w:rPr>
          <w:rFonts w:ascii="Narkisim" w:hAnsi="Narkisim" w:cs="Narkisim"/>
          <w:rtl/>
        </w:rPr>
        <w:t>(כלאים ז ד) הקשה דהעושה מלאכה במי חטאת פוסל, אף בשל אחרים, ואף דתליא במחשבה</w:t>
      </w:r>
      <w:r w:rsidRPr="00E14121">
        <w:rPr>
          <w:rStyle w:val="ac"/>
          <w:rFonts w:ascii="Narkisim" w:hAnsi="Narkisim" w:cs="Narkisim"/>
          <w:rtl/>
        </w:rPr>
        <w:footnoteReference w:id="5083"/>
      </w:r>
      <w:r w:rsidRPr="00E14121">
        <w:rPr>
          <w:rFonts w:ascii="Narkisim" w:hAnsi="Narkisim" w:cs="Narkisim"/>
          <w:rtl/>
        </w:rPr>
        <w:t>.</w:t>
      </w:r>
    </w:p>
    <w:p w14:paraId="5D5DB015" w14:textId="77777777" w:rsidR="00F64AED" w:rsidRPr="00E14121" w:rsidRDefault="00F64AED" w:rsidP="00F64AED">
      <w:pPr>
        <w:pStyle w:val="a7"/>
        <w:bidi/>
        <w:rPr>
          <w:rFonts w:ascii="Narkisim" w:hAnsi="Narkisim"/>
        </w:rPr>
      </w:pPr>
      <w:r w:rsidRPr="00E14121">
        <w:rPr>
          <w:rFonts w:ascii="Narkisim" w:hAnsi="Narkisim"/>
          <w:rtl/>
        </w:rPr>
        <w:t>והר"ש כתב דגבי כלאים דרשי' לא תזרע, משמע דניחא ליה [וכמ"ש ה</w:t>
      </w:r>
      <w:r w:rsidRPr="00E14121">
        <w:rPr>
          <w:rFonts w:ascii="Narkisim" w:hAnsi="Narkisim"/>
          <w:b/>
          <w:bCs/>
          <w:rtl/>
        </w:rPr>
        <w:t>תו"י</w:t>
      </w:r>
      <w:r w:rsidRPr="00E14121">
        <w:rPr>
          <w:rFonts w:ascii="Narkisim" w:hAnsi="Narkisim"/>
          <w:rtl/>
        </w:rPr>
        <w:t>]. ועוד כתב הר"ש משום דכתיב 'כרמך'. ו</w:t>
      </w:r>
      <w:r w:rsidRPr="00E14121">
        <w:rPr>
          <w:rFonts w:ascii="Narkisim" w:hAnsi="Narkisim"/>
          <w:b/>
          <w:bCs/>
          <w:rtl/>
        </w:rPr>
        <w:t>רע"א</w:t>
      </w:r>
      <w:r w:rsidRPr="00E14121">
        <w:rPr>
          <w:rFonts w:ascii="Narkisim" w:hAnsi="Narkisim"/>
          <w:rtl/>
        </w:rPr>
        <w:t xml:space="preserve"> </w:t>
      </w:r>
      <w:r w:rsidRPr="00E14121">
        <w:rPr>
          <w:rFonts w:ascii="Narkisim" w:hAnsi="Narkisim"/>
          <w:sz w:val="20"/>
          <w:szCs w:val="20"/>
          <w:rtl/>
        </w:rPr>
        <w:t xml:space="preserve">(או"ח רנג ב בהשמטות) </w:t>
      </w:r>
      <w:r w:rsidRPr="00E14121">
        <w:rPr>
          <w:rFonts w:ascii="Narkisim" w:hAnsi="Narkisim"/>
          <w:rtl/>
        </w:rPr>
        <w:t>ביאר דדעת הר"ש דדוקא במקום דהמעשה מצד עצמו אינו אוסר, אלא ע"י מחשבתו משווי ליה מעשה, ולכן לא מהני מחשבתו לחבירו. אבל מלאכת פרה פוסלת בעצמותה, וכיון דניחא ליה במלאכה [דהוה רק תנאי], עצם המלאכה פוסלת.</w:t>
      </w:r>
    </w:p>
    <w:p w14:paraId="6E3907E4"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רא"ה</w:t>
      </w:r>
      <w:r w:rsidRPr="00E14121">
        <w:rPr>
          <w:rFonts w:ascii="Narkisim" w:hAnsi="Narkisim" w:cs="Narkisim"/>
          <w:rtl/>
        </w:rPr>
        <w:t xml:space="preserve"> (בדק הבית א א י: בדה"ס) כתב דאף לר' מאיר דקידש היינו משום דשייך במילתא, וחשיבי תרוייהו כשותפין. אבל לכו"ע אינו אוסר במחשבה בדבר שאינו שלו (בסוגיא חולין מ:). </w:t>
      </w:r>
      <w:r w:rsidRPr="00E14121">
        <w:rPr>
          <w:rFonts w:ascii="Narkisim" w:hAnsi="Narkisim" w:cs="Narkisim"/>
          <w:sz w:val="20"/>
          <w:szCs w:val="20"/>
          <w:rtl/>
        </w:rPr>
        <w:t>וה</w:t>
      </w:r>
      <w:r w:rsidRPr="00E14121">
        <w:rPr>
          <w:rFonts w:ascii="Narkisim" w:hAnsi="Narkisim" w:cs="Narkisim"/>
          <w:b/>
          <w:bCs/>
          <w:sz w:val="20"/>
          <w:szCs w:val="20"/>
          <w:rtl/>
        </w:rPr>
        <w:t>קובה"ע</w:t>
      </w:r>
      <w:r w:rsidRPr="00E14121">
        <w:rPr>
          <w:rFonts w:ascii="Narkisim" w:hAnsi="Narkisim" w:cs="Narkisim"/>
          <w:sz w:val="20"/>
          <w:szCs w:val="20"/>
          <w:rtl/>
        </w:rPr>
        <w:t xml:space="preserve"> (סא ב) הביא דבירושלמי משמע דלאסור בכלאים תליא בסוגיה דהתם</w:t>
      </w:r>
      <w:r w:rsidRPr="00E14121">
        <w:rPr>
          <w:rStyle w:val="ac"/>
          <w:rFonts w:ascii="Narkisim" w:hAnsi="Narkisim" w:cs="Narkisim"/>
          <w:sz w:val="20"/>
          <w:szCs w:val="20"/>
          <w:rtl/>
        </w:rPr>
        <w:footnoteReference w:id="5084"/>
      </w:r>
      <w:r w:rsidRPr="00E14121">
        <w:rPr>
          <w:rFonts w:ascii="Narkisim" w:hAnsi="Narkisim" w:cs="Narkisim"/>
          <w:sz w:val="20"/>
          <w:szCs w:val="20"/>
          <w:rtl/>
        </w:rPr>
        <w:t>.</w:t>
      </w:r>
    </w:p>
    <w:p w14:paraId="1CF0B61C" w14:textId="77777777" w:rsidR="00F64AED" w:rsidRPr="00E14121" w:rsidRDefault="00F64AED" w:rsidP="00F64AED">
      <w:pPr>
        <w:bidi/>
        <w:rPr>
          <w:rFonts w:ascii="Narkisim" w:hAnsi="Narkisim" w:cs="Narkisim"/>
        </w:rPr>
      </w:pPr>
      <w:r w:rsidRPr="00E14121">
        <w:rPr>
          <w:rFonts w:ascii="Narkisim" w:hAnsi="Narkisim" w:cs="Narkisim"/>
          <w:u w:val="single"/>
          <w:rtl/>
        </w:rPr>
        <w:lastRenderedPageBreak/>
        <w:t>[במשנה פא.] ר' יהודה אומר טומטום וכו' מפני שהוא כסריס.</w:t>
      </w:r>
      <w:r w:rsidRPr="00E14121">
        <w:rPr>
          <w:rFonts w:ascii="Narkisim" w:hAnsi="Narkisim" w:cs="Narkisim"/>
          <w:rtl/>
        </w:rPr>
        <w:t xml:space="preserve"> ובגמ' מבואר דרבנן חלקו דטומטום שנקרע מוליד</w:t>
      </w:r>
      <w:r w:rsidRPr="00E14121">
        <w:rPr>
          <w:rStyle w:val="ac"/>
          <w:rFonts w:ascii="Narkisim" w:hAnsi="Narkisim" w:cs="Narkisim"/>
          <w:rtl/>
        </w:rPr>
        <w:footnoteReference w:id="5085"/>
      </w:r>
      <w:r w:rsidRPr="00E14121">
        <w:rPr>
          <w:rFonts w:ascii="Narkisim" w:hAnsi="Narkisim" w:cs="Narkisim"/>
          <w:rtl/>
        </w:rPr>
        <w:t>.</w:t>
      </w:r>
    </w:p>
    <w:p w14:paraId="59870273" w14:textId="77777777" w:rsidR="00F64AED" w:rsidRPr="00E14121" w:rsidRDefault="00F64AED" w:rsidP="00F64AED">
      <w:pPr>
        <w:pStyle w:val="a7"/>
        <w:bidi/>
        <w:rPr>
          <w:rFonts w:ascii="Narkisim" w:hAnsi="Narkisim"/>
        </w:rPr>
      </w:pPr>
      <w:r w:rsidRPr="00E14121">
        <w:rPr>
          <w:rFonts w:ascii="Narkisim" w:hAnsi="Narkisim"/>
          <w:rtl/>
        </w:rPr>
        <w:t>אבל ה</w:t>
      </w:r>
      <w:r w:rsidRPr="00E14121">
        <w:rPr>
          <w:rFonts w:ascii="Narkisim" w:hAnsi="Narkisim"/>
          <w:b/>
          <w:bCs/>
          <w:rtl/>
        </w:rPr>
        <w:t>רמב"ם</w:t>
      </w:r>
      <w:r w:rsidRPr="00E14121">
        <w:rPr>
          <w:rFonts w:ascii="Narkisim" w:hAnsi="Narkisim"/>
          <w:rtl/>
        </w:rPr>
        <w:t xml:space="preserve"> בפיה"מ (וכן ה</w:t>
      </w:r>
      <w:r w:rsidRPr="00E14121">
        <w:rPr>
          <w:rFonts w:ascii="Narkisim" w:hAnsi="Narkisim"/>
          <w:b/>
          <w:bCs/>
          <w:rtl/>
        </w:rPr>
        <w:t>רע"ב</w:t>
      </w:r>
      <w:r w:rsidRPr="00E14121">
        <w:rPr>
          <w:rFonts w:ascii="Narkisim" w:hAnsi="Narkisim"/>
          <w:rtl/>
        </w:rPr>
        <w:t>) כת' דלרבנן חולץ מפני שהוא סריס אדם</w:t>
      </w:r>
      <w:r w:rsidRPr="00E14121">
        <w:rPr>
          <w:rStyle w:val="ac"/>
          <w:rFonts w:ascii="Narkisim" w:hAnsi="Narkisim"/>
          <w:rtl/>
        </w:rPr>
        <w:footnoteReference w:id="5086"/>
      </w:r>
      <w:r w:rsidRPr="00E14121">
        <w:rPr>
          <w:rFonts w:ascii="Narkisim" w:hAnsi="Narkisim"/>
          <w:rtl/>
        </w:rPr>
        <w:t>. ו</w:t>
      </w:r>
      <w:r w:rsidRPr="00E14121">
        <w:rPr>
          <w:rFonts w:ascii="Narkisim" w:hAnsi="Narkisim"/>
          <w:b/>
          <w:bCs/>
          <w:rtl/>
        </w:rPr>
        <w:t xml:space="preserve">רע"א </w:t>
      </w:r>
      <w:r w:rsidRPr="00E14121">
        <w:rPr>
          <w:rFonts w:ascii="Narkisim" w:hAnsi="Narkisim"/>
          <w:rtl/>
        </w:rPr>
        <w:t>תמה דבגמ' מבואר דלרבנן יכול להוליד. ועוד הביא דה</w:t>
      </w:r>
      <w:r w:rsidRPr="00E14121">
        <w:rPr>
          <w:rFonts w:ascii="Narkisim" w:hAnsi="Narkisim"/>
          <w:b/>
          <w:bCs/>
          <w:rtl/>
        </w:rPr>
        <w:t>רמב"ם</w:t>
      </w:r>
      <w:r w:rsidRPr="00E14121">
        <w:rPr>
          <w:rFonts w:ascii="Narkisim" w:hAnsi="Narkisim"/>
          <w:rtl/>
        </w:rPr>
        <w:t xml:space="preserve"> (הל' יבום ו ב, וכן השו"ע קעב ח) פסק דחולצת או מתייבמת, ואף דסריס אדם אינו מייבם</w:t>
      </w:r>
      <w:r w:rsidRPr="00E14121">
        <w:rPr>
          <w:rStyle w:val="ac"/>
          <w:rFonts w:ascii="Narkisim" w:hAnsi="Narkisim"/>
          <w:rtl/>
        </w:rPr>
        <w:footnoteReference w:id="5087"/>
      </w:r>
      <w:r w:rsidRPr="00E14121">
        <w:rPr>
          <w:rFonts w:ascii="Narkisim" w:hAnsi="Narkisim"/>
          <w:rtl/>
        </w:rPr>
        <w:t xml:space="preserve">. </w:t>
      </w:r>
      <w:r w:rsidRPr="00E14121">
        <w:rPr>
          <w:rFonts w:ascii="Narkisim" w:hAnsi="Narkisim"/>
          <w:sz w:val="20"/>
          <w:szCs w:val="20"/>
          <w:rtl/>
        </w:rPr>
        <w:t>[ומבואר דאינו אפי' ספק סריס, דאפי' זקן אינו מייבם לכתחילה, ע' לעיל עט:].</w:t>
      </w:r>
    </w:p>
    <w:p w14:paraId="2B75CB0C" w14:textId="77777777" w:rsidR="00F64AED" w:rsidRPr="00E14121" w:rsidRDefault="00F64AED" w:rsidP="00F64AED">
      <w:pPr>
        <w:bidi/>
        <w:rPr>
          <w:rFonts w:ascii="Narkisim" w:hAnsi="Narkisim" w:cs="Narkisim"/>
        </w:rPr>
      </w:pPr>
      <w:r w:rsidRPr="00E14121">
        <w:rPr>
          <w:rFonts w:ascii="Narkisim" w:hAnsi="Narkisim" w:cs="Narkisim"/>
          <w:u w:val="single"/>
          <w:rtl/>
        </w:rPr>
        <w:t>תניא ר' יוסי בר"י וכו' שמא ימצא סריס חמה.</w:t>
      </w:r>
      <w:r w:rsidRPr="00E14121">
        <w:rPr>
          <w:rFonts w:ascii="Narkisim" w:hAnsi="Narkisim" w:cs="Narkisim"/>
          <w:rtl/>
        </w:rPr>
        <w:t xml:space="preserve"> (והוה ספק). ה</w:t>
      </w:r>
      <w:r w:rsidRPr="00E14121">
        <w:rPr>
          <w:rFonts w:ascii="Narkisim" w:hAnsi="Narkisim" w:cs="Narkisim"/>
          <w:b/>
          <w:bCs/>
          <w:rtl/>
        </w:rPr>
        <w:t>בית אפרים</w:t>
      </w:r>
      <w:r w:rsidRPr="00E14121">
        <w:rPr>
          <w:rFonts w:ascii="Narkisim" w:hAnsi="Narkisim" w:cs="Narkisim"/>
          <w:rtl/>
        </w:rPr>
        <w:t xml:space="preserve"> (כללי חזקה יט) כת' דנח' רבנן ור' יוסי בר"י ע"פ הגמ' (בכורות מב:) אי אמרי' כיון דאישתני אישתני, דמי שיש לו שינוי א' חיישינן שמא יש לו שינוי נוסף</w:t>
      </w:r>
      <w:r w:rsidRPr="00E14121">
        <w:rPr>
          <w:rStyle w:val="ac"/>
          <w:rFonts w:ascii="Narkisim" w:hAnsi="Narkisim" w:cs="Narkisim"/>
          <w:rtl/>
        </w:rPr>
        <w:footnoteReference w:id="5088"/>
      </w:r>
      <w:r w:rsidRPr="00E14121">
        <w:rPr>
          <w:rFonts w:ascii="Narkisim" w:hAnsi="Narkisim" w:cs="Narkisim"/>
          <w:rtl/>
        </w:rPr>
        <w:t>. וכיון דהוא טומטום חיישינן דהוה ג"כ סריס [אף בלא סימני סריס, וכ"כ ה</w:t>
      </w:r>
      <w:r w:rsidRPr="00E14121">
        <w:rPr>
          <w:rFonts w:ascii="Narkisim" w:hAnsi="Narkisim" w:cs="Narkisim"/>
          <w:b/>
          <w:bCs/>
          <w:rtl/>
        </w:rPr>
        <w:t>בי"ש</w:t>
      </w:r>
      <w:r w:rsidRPr="00E14121">
        <w:rPr>
          <w:rFonts w:ascii="Narkisim" w:hAnsi="Narkisim" w:cs="Narkisim"/>
          <w:rtl/>
        </w:rPr>
        <w:t xml:space="preserve"> קעב י]. אבל ה</w:t>
      </w:r>
      <w:r w:rsidRPr="00E14121">
        <w:rPr>
          <w:rFonts w:ascii="Narkisim" w:hAnsi="Narkisim" w:cs="Narkisim"/>
          <w:b/>
          <w:bCs/>
          <w:rtl/>
        </w:rPr>
        <w:t>רמב"ם</w:t>
      </w:r>
      <w:r w:rsidRPr="00E14121">
        <w:rPr>
          <w:rFonts w:ascii="Narkisim" w:hAnsi="Narkisim" w:cs="Narkisim"/>
          <w:rtl/>
        </w:rPr>
        <w:t xml:space="preserve"> פסק דמתייבמת, ומבואר דפסק כמ"ד דלא אמרי' אישתני.</w:t>
      </w:r>
    </w:p>
    <w:p w14:paraId="60FB59F5" w14:textId="77777777" w:rsidR="00F64AED" w:rsidRPr="00E14121" w:rsidRDefault="00F64AED" w:rsidP="00F64AED">
      <w:pPr>
        <w:pStyle w:val="a8"/>
        <w:bidi/>
        <w:rPr>
          <w:rFonts w:ascii="Narkisim" w:hAnsi="Narkisim"/>
        </w:rPr>
      </w:pPr>
      <w:r w:rsidRPr="00E14121">
        <w:rPr>
          <w:rFonts w:ascii="Narkisim" w:hAnsi="Narkisim"/>
          <w:rtl/>
        </w:rPr>
        <w:t>[ובגמ' (לעיל עב.) אמרי' דביציו ניכרין מחוץ, ס"ד דאינו מאכיל, דדרשי' אינו מוליד אינו מאכיל. ויל"ד האם כוונת הגמ' דלפני קריעה אינו מוליד. או כר' יהודה דהוה סריס. או כר' יוסי בר"י דהוה ספק סריס].</w:t>
      </w:r>
    </w:p>
    <w:p w14:paraId="25B6FA9A" w14:textId="77777777" w:rsidR="00F64AED" w:rsidRPr="00E14121" w:rsidRDefault="00F64AED" w:rsidP="00F64AED">
      <w:pPr>
        <w:pStyle w:val="aa"/>
        <w:bidi/>
        <w:rPr>
          <w:rFonts w:ascii="Narkisim" w:hAnsi="Narkisim"/>
        </w:rPr>
      </w:pPr>
      <w:r w:rsidRPr="00E14121">
        <w:rPr>
          <w:rFonts w:ascii="Narkisim" w:hAnsi="Narkisim"/>
          <w:u w:val="single"/>
          <w:rtl/>
        </w:rPr>
        <w:t>מאי בינייהו, אמר רבא לפסול במקום אחים וכו'</w:t>
      </w:r>
      <w:r w:rsidRPr="00E14121">
        <w:rPr>
          <w:rFonts w:ascii="Narkisim" w:hAnsi="Narkisim"/>
          <w:rtl/>
        </w:rPr>
        <w:t>. ה</w:t>
      </w:r>
      <w:r w:rsidRPr="00E14121">
        <w:rPr>
          <w:rFonts w:ascii="Narkisim" w:hAnsi="Narkisim"/>
          <w:b/>
          <w:bCs/>
          <w:rtl/>
        </w:rPr>
        <w:t>רש"ש</w:t>
      </w:r>
      <w:r w:rsidRPr="00E14121">
        <w:rPr>
          <w:rFonts w:ascii="Narkisim" w:hAnsi="Narkisim"/>
          <w:rtl/>
        </w:rPr>
        <w:t xml:space="preserve"> הק' דקודם שנקרע יש להתיר לאחים משום ספק ספיקא, ספק נקיבה ואת"ל זכר ספק סריס. ותי' דחיישינן דלאחר שאחיו מייבם [או תנשא לשוק בלא חליצה] יקרע וימצא זכר שאינו סריס, ונתברר דעבדי איסורא.</w:t>
      </w:r>
    </w:p>
    <w:p w14:paraId="77B89D50" w14:textId="77777777" w:rsidR="00F64AED" w:rsidRPr="00E14121" w:rsidRDefault="00F64AED" w:rsidP="00F64AED">
      <w:pPr>
        <w:pStyle w:val="aa"/>
        <w:bidi/>
        <w:rPr>
          <w:rFonts w:ascii="Narkisim" w:hAnsi="Narkisim"/>
        </w:rPr>
      </w:pPr>
      <w:r w:rsidRPr="00E14121">
        <w:rPr>
          <w:rFonts w:ascii="Narkisim" w:hAnsi="Narkisim"/>
          <w:u w:val="single"/>
          <w:rtl/>
        </w:rPr>
        <w:t>ורבנן אע"ג דאית ליה ב' משכבות, את זכר כתיב.</w:t>
      </w:r>
      <w:r w:rsidRPr="00E14121">
        <w:rPr>
          <w:rFonts w:ascii="Narkisim" w:hAnsi="Narkisim"/>
          <w:rtl/>
        </w:rPr>
        <w:t xml:space="preserve"> ה</w:t>
      </w:r>
      <w:r w:rsidRPr="00E14121">
        <w:rPr>
          <w:rFonts w:ascii="Narkisim" w:hAnsi="Narkisim"/>
          <w:b/>
          <w:bCs/>
          <w:rtl/>
        </w:rPr>
        <w:t xml:space="preserve">רשב"א </w:t>
      </w:r>
      <w:r w:rsidRPr="00E14121">
        <w:rPr>
          <w:rFonts w:ascii="Narkisim" w:hAnsi="Narkisim"/>
          <w:rtl/>
        </w:rPr>
        <w:t>כתב דילפי' מהתם דאינו זכר גמור גמור. דאת"ל דהוה זכר אמאי איצטריך קרא לרבות. ועי"ש שדן בזה. [וע"ע מה שהו' לעיל בע"א].</w:t>
      </w:r>
    </w:p>
    <w:p w14:paraId="00780F2F" w14:textId="77777777" w:rsidR="00F64AED" w:rsidRPr="00E14121" w:rsidRDefault="00F64AED" w:rsidP="00F64AED">
      <w:pPr>
        <w:bidi/>
        <w:rPr>
          <w:rFonts w:ascii="Narkisim" w:hAnsi="Narkisim" w:cs="Narkisim"/>
        </w:rPr>
      </w:pPr>
      <w:r w:rsidRPr="00E14121">
        <w:rPr>
          <w:rFonts w:ascii="Narkisim" w:hAnsi="Narkisim" w:cs="Narkisim"/>
          <w:rtl/>
        </w:rPr>
        <w:t>וה</w:t>
      </w:r>
      <w:r w:rsidRPr="00E14121">
        <w:rPr>
          <w:rFonts w:ascii="Narkisim" w:hAnsi="Narkisim" w:cs="Narkisim"/>
          <w:b/>
          <w:bCs/>
          <w:rtl/>
        </w:rPr>
        <w:t>רמב"ם</w:t>
      </w:r>
      <w:r w:rsidRPr="00E14121">
        <w:rPr>
          <w:rFonts w:ascii="Narkisim" w:hAnsi="Narkisim" w:cs="Narkisim"/>
          <w:rtl/>
        </w:rPr>
        <w:t xml:space="preserve"> (שם) פסק דזכר הבא על אנדרוגינוס דרך נקבותו לוקה מכות מרדות. </w:t>
      </w:r>
      <w:r w:rsidRPr="00E14121">
        <w:rPr>
          <w:rFonts w:ascii="Narkisim" w:hAnsi="Narkisim" w:cs="Narkisim"/>
          <w:sz w:val="20"/>
          <w:szCs w:val="20"/>
          <w:rtl/>
        </w:rPr>
        <w:t>[דלא קי"ל כמ"ד סקילה בב' מקומות מדין אנדרוגינוס].</w:t>
      </w:r>
      <w:r w:rsidRPr="00E14121">
        <w:rPr>
          <w:rFonts w:ascii="Narkisim" w:hAnsi="Narkisim" w:cs="Narkisim"/>
          <w:rtl/>
        </w:rPr>
        <w:t xml:space="preserve"> ו</w:t>
      </w:r>
      <w:r w:rsidRPr="00E14121">
        <w:rPr>
          <w:rFonts w:ascii="Narkisim" w:hAnsi="Narkisim" w:cs="Narkisim"/>
          <w:b/>
          <w:bCs/>
          <w:rtl/>
        </w:rPr>
        <w:t>רע"א</w:t>
      </w:r>
      <w:r w:rsidRPr="00E14121">
        <w:rPr>
          <w:rFonts w:ascii="Narkisim" w:hAnsi="Narkisim" w:cs="Narkisim"/>
          <w:rtl/>
        </w:rPr>
        <w:t xml:space="preserve"> דייק מדבריו דיש מכות מרדות בספק איסור. [וציין בזה כ"מ].</w:t>
      </w:r>
    </w:p>
    <w:p w14:paraId="18EB4123" w14:textId="77777777" w:rsidR="00F64AED" w:rsidRPr="00E14121" w:rsidRDefault="00F64AED" w:rsidP="00F64AED">
      <w:pPr>
        <w:bidi/>
        <w:rPr>
          <w:rFonts w:ascii="Narkisim" w:hAnsi="Narkisim" w:cs="Narkisim"/>
        </w:rPr>
      </w:pPr>
      <w:r w:rsidRPr="00E14121">
        <w:rPr>
          <w:rFonts w:ascii="Narkisim" w:hAnsi="Narkisim" w:cs="Narkisim"/>
          <w:u w:val="single"/>
          <w:rtl/>
        </w:rPr>
        <w:t>אמר רב חסדא לא לכל א"ר אליעזר אנדרוגינוס זכר מעליא הוא וכו'</w:t>
      </w:r>
      <w:r w:rsidRPr="00E14121">
        <w:rPr>
          <w:rFonts w:ascii="Narkisim" w:hAnsi="Narkisim" w:cs="Narkisim"/>
          <w:rtl/>
        </w:rPr>
        <w:t>. מבואר דס"ד דרב חסדא דחייבין עליו סקילה כזכר, רק משום דס"ל דהוה זכר ודאי. ומדברי ה</w:t>
      </w:r>
      <w:r w:rsidRPr="00E14121">
        <w:rPr>
          <w:rFonts w:ascii="Narkisim" w:hAnsi="Narkisim" w:cs="Narkisim"/>
          <w:b/>
          <w:bCs/>
          <w:rtl/>
        </w:rPr>
        <w:t>תוס</w:t>
      </w:r>
      <w:r w:rsidRPr="00E14121">
        <w:rPr>
          <w:rFonts w:ascii="Narkisim" w:hAnsi="Narkisim" w:cs="Narkisim"/>
          <w:rtl/>
        </w:rPr>
        <w:t xml:space="preserve">' (ד"ה לא) משמע דאף למסקנא הוה זכר ודאי, אלא דיש גזיה"כ דבעי 'מפורסם'. וכ"ד </w:t>
      </w:r>
      <w:r w:rsidRPr="00E14121">
        <w:rPr>
          <w:rFonts w:ascii="Narkisim" w:hAnsi="Narkisim" w:cs="Narkisim"/>
          <w:b/>
          <w:bCs/>
          <w:rtl/>
        </w:rPr>
        <w:t>תוס'</w:t>
      </w:r>
      <w:r w:rsidRPr="00E14121">
        <w:rPr>
          <w:rFonts w:ascii="Narkisim" w:hAnsi="Narkisim" w:cs="Narkisim"/>
          <w:rtl/>
        </w:rPr>
        <w:t xml:space="preserve"> </w:t>
      </w:r>
      <w:r w:rsidRPr="00E14121">
        <w:rPr>
          <w:rFonts w:ascii="Narkisim" w:hAnsi="Narkisim" w:cs="Narkisim"/>
          <w:szCs w:val="20"/>
          <w:rtl/>
        </w:rPr>
        <w:t>(בע"א ד"ה הלכה)</w:t>
      </w:r>
      <w:r w:rsidRPr="00E14121">
        <w:rPr>
          <w:rFonts w:ascii="Narkisim" w:hAnsi="Narkisim" w:cs="Narkisim"/>
          <w:rtl/>
        </w:rPr>
        <w:t xml:space="preserve"> דמ"ד דחייבין עליו סקילה כזכר הוה משום דהוה זכר ודאי.</w:t>
      </w:r>
    </w:p>
    <w:p w14:paraId="142EA500" w14:textId="77777777" w:rsidR="00F64AED" w:rsidRPr="00E14121" w:rsidRDefault="00F64AED" w:rsidP="00F64AED">
      <w:pPr>
        <w:pStyle w:val="a7"/>
        <w:bidi/>
        <w:rPr>
          <w:rFonts w:ascii="Narkisim" w:hAnsi="Narkisim"/>
        </w:rPr>
      </w:pPr>
      <w:r w:rsidRPr="00E14121">
        <w:rPr>
          <w:rFonts w:ascii="Narkisim" w:hAnsi="Narkisim"/>
          <w:rtl/>
        </w:rPr>
        <w:t>אבל דעת ה</w:t>
      </w:r>
      <w:r w:rsidRPr="00E14121">
        <w:rPr>
          <w:rFonts w:ascii="Narkisim" w:hAnsi="Narkisim"/>
          <w:b/>
          <w:bCs/>
          <w:rtl/>
        </w:rPr>
        <w:t>רמב"ם</w:t>
      </w:r>
      <w:r w:rsidRPr="00E14121">
        <w:rPr>
          <w:rFonts w:ascii="Narkisim" w:hAnsi="Narkisim"/>
          <w:rtl/>
        </w:rPr>
        <w:t xml:space="preserve"> וכמה </w:t>
      </w:r>
      <w:r w:rsidRPr="00E14121">
        <w:rPr>
          <w:rFonts w:ascii="Narkisim" w:hAnsi="Narkisim"/>
          <w:b/>
          <w:bCs/>
          <w:rtl/>
        </w:rPr>
        <w:t>ראשונים</w:t>
      </w:r>
      <w:r w:rsidRPr="00E14121">
        <w:rPr>
          <w:rFonts w:ascii="Narkisim" w:hAnsi="Narkisim"/>
          <w:rtl/>
        </w:rPr>
        <w:t xml:space="preserve"> (הו' בע"א) דהוה ספק, ואפ"ה גזיה"כ דחייבין עליו סקילה. ולפ"ז זהו קמ"ל דרב חסדא דדעת ר"א דהוה זכר דוקא לענין זה, מגזיה"כ. אבל לשאר דיני התורה הוה ספק.</w:t>
      </w:r>
    </w:p>
    <w:p w14:paraId="5C7CA257" w14:textId="77777777" w:rsidR="00F64AED" w:rsidRPr="00E14121" w:rsidRDefault="00F64AED" w:rsidP="00F64AED">
      <w:pPr>
        <w:pStyle w:val="a8"/>
        <w:bidi/>
        <w:rPr>
          <w:rFonts w:ascii="Narkisim" w:hAnsi="Narkisim"/>
        </w:rPr>
      </w:pPr>
      <w:r w:rsidRPr="00E14121">
        <w:rPr>
          <w:rFonts w:ascii="Narkisim" w:hAnsi="Narkisim"/>
          <w:rtl/>
        </w:rPr>
        <w:t>ובגמ' (נדה כח:) לכאו' מבואר דדעת ר"א דאנדרוגינוס הוה ספק. ו</w:t>
      </w:r>
      <w:r w:rsidRPr="00E14121">
        <w:rPr>
          <w:rFonts w:ascii="Narkisim" w:hAnsi="Narkisim"/>
          <w:b/>
          <w:bCs/>
          <w:rtl/>
        </w:rPr>
        <w:t>תוס'</w:t>
      </w:r>
      <w:r w:rsidRPr="00E14121">
        <w:rPr>
          <w:rFonts w:ascii="Narkisim" w:hAnsi="Narkisim"/>
          <w:rtl/>
        </w:rPr>
        <w:t xml:space="preserve"> (שם בתי' הא') הביאו דברי רב חסדא דלא לכל אמר ר"א דהוה זכר</w:t>
      </w:r>
      <w:r w:rsidRPr="00E14121">
        <w:rPr>
          <w:rStyle w:val="ac"/>
          <w:rFonts w:ascii="Narkisim" w:hAnsi="Narkisim"/>
          <w:rtl/>
        </w:rPr>
        <w:footnoteReference w:id="5089"/>
      </w:r>
      <w:r w:rsidRPr="00E14121">
        <w:rPr>
          <w:rFonts w:ascii="Narkisim" w:hAnsi="Narkisim"/>
          <w:rtl/>
        </w:rPr>
        <w:t>. ולכאורה כוונת התוס' דדוקא לענין סקילה כזכר, ולשאר דינים הוה ספק [וכרמב"ם]</w:t>
      </w:r>
      <w:r w:rsidRPr="00E14121">
        <w:rPr>
          <w:rStyle w:val="ac"/>
          <w:rFonts w:ascii="Narkisim" w:hAnsi="Narkisim"/>
          <w:rtl/>
        </w:rPr>
        <w:footnoteReference w:id="5090"/>
      </w:r>
      <w:r w:rsidRPr="00E14121">
        <w:rPr>
          <w:rFonts w:ascii="Narkisim" w:hAnsi="Narkisim"/>
          <w:rtl/>
        </w:rPr>
        <w:t>.</w:t>
      </w:r>
    </w:p>
    <w:p w14:paraId="346CC1AE" w14:textId="77777777" w:rsidR="00F64AED" w:rsidRPr="00E14121" w:rsidRDefault="00F64AED" w:rsidP="00F64AED">
      <w:pPr>
        <w:bidi/>
        <w:rPr>
          <w:rFonts w:ascii="Narkisim" w:hAnsi="Narkisim" w:cs="Narkisim"/>
        </w:rPr>
      </w:pPr>
      <w:r w:rsidRPr="00E14121">
        <w:rPr>
          <w:rFonts w:ascii="Narkisim" w:hAnsi="Narkisim" w:cs="Narkisim"/>
          <w:u w:val="single"/>
          <w:rtl/>
        </w:rPr>
        <w:t>אתה מוציא טומטום ואנדרוגינוס מביניהם וכו'</w:t>
      </w:r>
      <w:r w:rsidRPr="00E14121">
        <w:rPr>
          <w:rFonts w:ascii="Narkisim" w:hAnsi="Narkisim" w:cs="Narkisim"/>
          <w:rtl/>
        </w:rPr>
        <w:t>. וה</w:t>
      </w:r>
      <w:r w:rsidRPr="00E14121">
        <w:rPr>
          <w:rFonts w:ascii="Narkisim" w:hAnsi="Narkisim" w:cs="Narkisim"/>
          <w:b/>
          <w:bCs/>
          <w:rtl/>
        </w:rPr>
        <w:t>רמב"ם</w:t>
      </w:r>
      <w:r w:rsidRPr="00E14121">
        <w:rPr>
          <w:rFonts w:ascii="Narkisim" w:hAnsi="Narkisim" w:cs="Narkisim"/>
          <w:rtl/>
        </w:rPr>
        <w:t xml:space="preserve"> (איסורי מזבח ג ג) פסק דאינן קדושים משום דהוה ספק זכר וספק נקיבה, והוה כמין אחר</w:t>
      </w:r>
      <w:r w:rsidRPr="00E14121">
        <w:rPr>
          <w:rStyle w:val="ac"/>
          <w:rFonts w:ascii="Narkisim" w:hAnsi="Narkisim" w:cs="Narkisim"/>
          <w:rtl/>
        </w:rPr>
        <w:footnoteReference w:id="5091"/>
      </w:r>
      <w:r w:rsidRPr="00E14121">
        <w:rPr>
          <w:rFonts w:ascii="Narkisim" w:hAnsi="Narkisim" w:cs="Narkisim"/>
          <w:rtl/>
        </w:rPr>
        <w:t xml:space="preserve">. אבל </w:t>
      </w:r>
      <w:r w:rsidRPr="00E14121">
        <w:rPr>
          <w:rFonts w:ascii="Narkisim" w:hAnsi="Narkisim" w:cs="Narkisim"/>
          <w:b/>
          <w:bCs/>
          <w:rtl/>
        </w:rPr>
        <w:t>תוס'</w:t>
      </w:r>
      <w:r w:rsidRPr="00E14121">
        <w:rPr>
          <w:rFonts w:ascii="Narkisim" w:hAnsi="Narkisim" w:cs="Narkisim"/>
          <w:rtl/>
        </w:rPr>
        <w:t xml:space="preserve"> (ד"ה לא) נקטו דהוה זכר ודאי, אלא דיש גזיה"כ דבעי זכר מבוררת ומפורסם.</w:t>
      </w:r>
    </w:p>
    <w:p w14:paraId="4B4EF8BE" w14:textId="77777777" w:rsidR="00F64AED" w:rsidRPr="00E14121" w:rsidRDefault="00F64AED" w:rsidP="00F64AED">
      <w:pPr>
        <w:pStyle w:val="3"/>
        <w:bidi/>
        <w:rPr>
          <w:rFonts w:ascii="Narkisim" w:hAnsi="Narkisim"/>
        </w:rPr>
      </w:pPr>
      <w:r w:rsidRPr="00E14121">
        <w:rPr>
          <w:rFonts w:ascii="Narkisim" w:hAnsi="Narkisim"/>
          <w:rtl/>
        </w:rPr>
        <w:lastRenderedPageBreak/>
        <w:t>דף פד.</w:t>
      </w:r>
    </w:p>
    <w:p w14:paraId="2FA96445" w14:textId="77777777" w:rsidR="00F64AED" w:rsidRPr="00E14121" w:rsidRDefault="00F64AED" w:rsidP="00F64AED">
      <w:pPr>
        <w:pStyle w:val="aa"/>
        <w:bidi/>
        <w:rPr>
          <w:rFonts w:ascii="Narkisim" w:hAnsi="Narkisim"/>
        </w:rPr>
      </w:pPr>
      <w:r w:rsidRPr="00E14121">
        <w:rPr>
          <w:rFonts w:ascii="Narkisim" w:hAnsi="Narkisim"/>
          <w:u w:val="single"/>
          <w:rtl/>
        </w:rPr>
        <w:t>לא קדושים ולא מקדשים.</w:t>
      </w:r>
      <w:r w:rsidRPr="00E14121">
        <w:rPr>
          <w:rFonts w:ascii="Narkisim" w:hAnsi="Narkisim"/>
          <w:rtl/>
        </w:rPr>
        <w:t xml:space="preserve"> פ</w:t>
      </w:r>
      <w:r w:rsidRPr="00E14121">
        <w:rPr>
          <w:rFonts w:ascii="Narkisim" w:hAnsi="Narkisim"/>
          <w:b/>
          <w:bCs/>
          <w:rtl/>
        </w:rPr>
        <w:t xml:space="preserve">רש"י </w:t>
      </w:r>
      <w:r w:rsidRPr="00E14121">
        <w:rPr>
          <w:rFonts w:ascii="Narkisim" w:hAnsi="Narkisim"/>
          <w:rtl/>
        </w:rPr>
        <w:t xml:space="preserve">הני לא חייל עלייהו קדושה וכדיקלא בעלמא. ומ"מ מבואר [וכמ"ש </w:t>
      </w:r>
      <w:r w:rsidRPr="00E14121">
        <w:rPr>
          <w:rFonts w:ascii="Narkisim" w:hAnsi="Narkisim"/>
          <w:b/>
          <w:bCs/>
          <w:rtl/>
        </w:rPr>
        <w:t xml:space="preserve">רש"י </w:t>
      </w:r>
      <w:r w:rsidRPr="00E14121">
        <w:rPr>
          <w:rFonts w:ascii="Narkisim" w:hAnsi="Narkisim"/>
          <w:rtl/>
        </w:rPr>
        <w:t>ד"ה לא] דאם נתקדשו ממעי אמן שייך בהם קדושה</w:t>
      </w:r>
      <w:r w:rsidRPr="00E14121">
        <w:rPr>
          <w:rStyle w:val="ac"/>
          <w:rFonts w:ascii="Narkisim" w:hAnsi="Narkisim"/>
          <w:rtl/>
        </w:rPr>
        <w:footnoteReference w:id="5092"/>
      </w:r>
      <w:r w:rsidRPr="00E14121">
        <w:rPr>
          <w:rFonts w:ascii="Narkisim" w:hAnsi="Narkisim"/>
          <w:rtl/>
        </w:rPr>
        <w:t>.</w:t>
      </w:r>
    </w:p>
    <w:p w14:paraId="10787D57" w14:textId="77777777" w:rsidR="00F64AED" w:rsidRPr="00E14121" w:rsidRDefault="00F64AED" w:rsidP="00F64AED">
      <w:pPr>
        <w:pStyle w:val="a8"/>
        <w:bidi/>
        <w:rPr>
          <w:rFonts w:ascii="Narkisim" w:hAnsi="Narkisim"/>
          <w:b/>
          <w:bCs/>
          <w:i/>
          <w:iCs/>
        </w:rPr>
      </w:pPr>
      <w:r w:rsidRPr="00E14121">
        <w:rPr>
          <w:rFonts w:ascii="Narkisim" w:hAnsi="Narkisim"/>
          <w:b/>
          <w:bCs/>
          <w:i/>
          <w:iCs/>
          <w:rtl/>
          <w:lang w:val="he-IL"/>
        </w:rPr>
        <w:tab/>
      </w:r>
      <w:r w:rsidRPr="00E14121">
        <w:rPr>
          <w:rFonts w:ascii="Narkisim" w:hAnsi="Narkisim"/>
          <w:b/>
          <w:bCs/>
          <w:i/>
          <w:iCs/>
          <w:rtl/>
          <w:lang w:val="he-IL"/>
        </w:rPr>
        <w:tab/>
        <w:t>הדרן עלך פרק הערל</w:t>
      </w:r>
    </w:p>
    <w:p w14:paraId="1CEC493D" w14:textId="77777777" w:rsidR="006C4368" w:rsidRPr="00A47A11" w:rsidRDefault="006C4368" w:rsidP="006C4368">
      <w:pPr>
        <w:pStyle w:val="a9"/>
        <w:bidi/>
        <w:rPr>
          <w:rFonts w:ascii="Narkisim" w:hAnsi="Narkisim"/>
        </w:rPr>
      </w:pPr>
      <w:r w:rsidRPr="00A47A11">
        <w:rPr>
          <w:rFonts w:ascii="Narkisim" w:hAnsi="Narkisim"/>
          <w:rtl/>
        </w:rPr>
        <w:t>בס"ד</w:t>
      </w:r>
    </w:p>
    <w:p w14:paraId="2FC27870" w14:textId="77777777" w:rsidR="006C4368" w:rsidRPr="00A47A11" w:rsidRDefault="006C4368" w:rsidP="006C4368">
      <w:pPr>
        <w:pStyle w:val="1"/>
        <w:bidi/>
        <w:rPr>
          <w:rFonts w:ascii="Narkisim" w:hAnsi="Narkisim"/>
        </w:rPr>
      </w:pPr>
      <w:r w:rsidRPr="00A47A11">
        <w:rPr>
          <w:rFonts w:ascii="Narkisim" w:hAnsi="Narkisim"/>
          <w:rtl/>
        </w:rPr>
        <w:t>פרק יש מותרות</w:t>
      </w:r>
    </w:p>
    <w:p w14:paraId="52931AE8" w14:textId="77777777" w:rsidR="006C4368" w:rsidRPr="00A47A11" w:rsidRDefault="006C4368" w:rsidP="006C4368">
      <w:pPr>
        <w:pStyle w:val="aa"/>
        <w:bidi/>
        <w:rPr>
          <w:rFonts w:ascii="Narkisim" w:hAnsi="Narkisim"/>
        </w:rPr>
      </w:pPr>
      <w:r w:rsidRPr="00A47A11">
        <w:rPr>
          <w:rFonts w:ascii="Narkisim" w:hAnsi="Narkisim"/>
          <w:u w:val="single"/>
          <w:rtl/>
        </w:rPr>
        <w:t>ואלו מותרות לבעליהן ואסורות ליבמיהן וכו</w:t>
      </w:r>
      <w:r w:rsidRPr="00A47A11">
        <w:rPr>
          <w:rFonts w:ascii="Narkisim" w:hAnsi="Narkisim"/>
          <w:rtl/>
        </w:rPr>
        <w:t>'. ה</w:t>
      </w:r>
      <w:r w:rsidRPr="00A47A11">
        <w:rPr>
          <w:rFonts w:ascii="Narkisim" w:hAnsi="Narkisim"/>
          <w:b/>
          <w:bCs/>
          <w:rtl/>
        </w:rPr>
        <w:t>גמ</w:t>
      </w:r>
      <w:r w:rsidRPr="00A47A11">
        <w:rPr>
          <w:rFonts w:ascii="Narkisim" w:hAnsi="Narkisim"/>
          <w:rtl/>
        </w:rPr>
        <w:t>' (נדרים ב:) הביאה דהתנא מפרש קודם את מה שפתח ברישא</w:t>
      </w:r>
      <w:r w:rsidRPr="00A47A11">
        <w:rPr>
          <w:rStyle w:val="ac"/>
          <w:rFonts w:ascii="Narkisim" w:hAnsi="Narkisim"/>
          <w:rtl/>
        </w:rPr>
        <w:footnoteReference w:id="5093"/>
      </w:r>
      <w:r w:rsidRPr="00A47A11">
        <w:rPr>
          <w:rFonts w:ascii="Narkisim" w:hAnsi="Narkisim"/>
          <w:rtl/>
        </w:rPr>
        <w:t>. ומסקנת הגמ' דזימנין מפרש הא דפתח ברישא, וזימנין ההוא דסליק</w:t>
      </w:r>
      <w:r w:rsidRPr="00A47A11">
        <w:rPr>
          <w:rStyle w:val="ac"/>
          <w:rFonts w:ascii="Narkisim" w:hAnsi="Narkisim"/>
          <w:rtl/>
        </w:rPr>
        <w:footnoteReference w:id="5094"/>
      </w:r>
      <w:r w:rsidRPr="00A47A11">
        <w:rPr>
          <w:rFonts w:ascii="Narkisim" w:hAnsi="Narkisim"/>
          <w:rtl/>
        </w:rPr>
        <w:t>.</w:t>
      </w:r>
    </w:p>
    <w:p w14:paraId="707C154A" w14:textId="77777777" w:rsidR="006C4368" w:rsidRPr="00A47A11" w:rsidRDefault="006C4368" w:rsidP="006C4368">
      <w:pPr>
        <w:bidi/>
        <w:rPr>
          <w:rFonts w:ascii="Narkisim" w:hAnsi="Narkisim" w:cs="Narkisim"/>
        </w:rPr>
      </w:pPr>
      <w:r w:rsidRPr="00A47A11">
        <w:rPr>
          <w:rFonts w:ascii="Narkisim" w:hAnsi="Narkisim" w:cs="Narkisim"/>
          <w:u w:val="single"/>
          <w:rtl/>
        </w:rPr>
        <w:t>חלל שנשא כשירה ויש לו אח כשר</w:t>
      </w:r>
      <w:r w:rsidRPr="00A47A11">
        <w:rPr>
          <w:rFonts w:ascii="Narkisim" w:hAnsi="Narkisim" w:cs="Narkisim"/>
          <w:rtl/>
        </w:rPr>
        <w:t>. [דכשירה מותרת לחלל, ועי"ז נתחללה ונאסרה ליבם]. וגירסת ה</w:t>
      </w:r>
      <w:r w:rsidRPr="00A47A11">
        <w:rPr>
          <w:rFonts w:ascii="Narkisim" w:hAnsi="Narkisim" w:cs="Narkisim"/>
          <w:b/>
          <w:bCs/>
          <w:rtl/>
        </w:rPr>
        <w:t>ירושלמי</w:t>
      </w:r>
      <w:r w:rsidRPr="00A47A11">
        <w:rPr>
          <w:rFonts w:ascii="Narkisim" w:hAnsi="Narkisim" w:cs="Narkisim"/>
          <w:rtl/>
        </w:rPr>
        <w:t xml:space="preserve"> במשנה כשר שנשא כשירה ויש לו אח חלל. והירושלמי הביאה מגירסא זו דהוזהרו כשירות שלא לינשא לפסולים. [ודלא כגמ' דידן בע"ב]. וה</w:t>
      </w:r>
      <w:r w:rsidRPr="00A47A11">
        <w:rPr>
          <w:rFonts w:ascii="Narkisim" w:hAnsi="Narkisim" w:cs="Narkisim"/>
          <w:b/>
          <w:bCs/>
          <w:rtl/>
        </w:rPr>
        <w:t>רשב"א</w:t>
      </w:r>
      <w:r w:rsidRPr="00A47A11">
        <w:rPr>
          <w:rFonts w:ascii="Narkisim" w:hAnsi="Narkisim" w:cs="Narkisim"/>
          <w:rtl/>
        </w:rPr>
        <w:t xml:space="preserve"> כת' דגמ' דידן ע"כ לא גרס כן. והביא דכן גרס הרמב”ם בפיה”מ, והרמב"ם כת' על זה דזה דבר דחוי אצלינו, שהעיקר אצלינו דלא הוזהרו כשירות לינשא לפסולים</w:t>
      </w:r>
      <w:r w:rsidRPr="00A47A11">
        <w:rPr>
          <w:rStyle w:val="ac"/>
          <w:rFonts w:ascii="Narkisim" w:hAnsi="Narkisim" w:cs="Narkisim"/>
          <w:rtl/>
        </w:rPr>
        <w:footnoteReference w:id="5095"/>
      </w:r>
      <w:r w:rsidRPr="00A47A11">
        <w:rPr>
          <w:rFonts w:ascii="Narkisim" w:hAnsi="Narkisim" w:cs="Narkisim"/>
          <w:rtl/>
        </w:rPr>
        <w:t xml:space="preserve">.  </w:t>
      </w:r>
    </w:p>
    <w:p w14:paraId="63499E02" w14:textId="77777777" w:rsidR="006C4368" w:rsidRPr="00A47A11" w:rsidRDefault="006C4368" w:rsidP="006C4368">
      <w:pPr>
        <w:pStyle w:val="aa"/>
        <w:bidi/>
        <w:rPr>
          <w:rFonts w:ascii="Narkisim" w:hAnsi="Narkisim"/>
        </w:rPr>
      </w:pPr>
      <w:r w:rsidRPr="00A47A11">
        <w:rPr>
          <w:rFonts w:ascii="Narkisim" w:hAnsi="Narkisim"/>
          <w:u w:val="single"/>
          <w:rtl/>
        </w:rPr>
        <w:t>רש"י ד"ה אח כשר</w:t>
      </w:r>
      <w:r w:rsidRPr="00A47A11">
        <w:rPr>
          <w:rFonts w:ascii="Narkisim" w:hAnsi="Narkisim"/>
          <w:rtl/>
        </w:rPr>
        <w:t>. שנתחללה בביאת חלל, כדילפי' וכו' כי תהיה לאיש זר וכו'. וה</w:t>
      </w:r>
      <w:r w:rsidRPr="00A47A11">
        <w:rPr>
          <w:rFonts w:ascii="Narkisim" w:hAnsi="Narkisim"/>
          <w:b/>
          <w:bCs/>
          <w:rtl/>
        </w:rPr>
        <w:t>ר"ש מדסוי</w:t>
      </w:r>
      <w:r w:rsidRPr="00A47A11">
        <w:rPr>
          <w:rFonts w:ascii="Narkisim" w:hAnsi="Narkisim"/>
          <w:rtl/>
        </w:rPr>
        <w:t xml:space="preserve"> הק' דבגמ' (לעיל סט.) יליף חלל מקרא ד'ולא יחלל', מקיש זרעו לו. דלא שייך בזה קרא ד'איש זר' דהא מותרת בחלל, ולא מקרי זר אצלה</w:t>
      </w:r>
      <w:r w:rsidRPr="00A47A11">
        <w:rPr>
          <w:rStyle w:val="ac"/>
          <w:rFonts w:ascii="Narkisim" w:hAnsi="Narkisim"/>
          <w:rtl/>
        </w:rPr>
        <w:footnoteReference w:id="5096"/>
      </w:r>
      <w:r w:rsidRPr="00A47A11">
        <w:rPr>
          <w:rFonts w:ascii="Narkisim" w:hAnsi="Narkisim"/>
          <w:rtl/>
        </w:rPr>
        <w:t>.</w:t>
      </w:r>
    </w:p>
    <w:p w14:paraId="1A3FA2BF" w14:textId="77777777" w:rsidR="006C4368" w:rsidRPr="00A47A11" w:rsidRDefault="006C4368" w:rsidP="006C4368">
      <w:pPr>
        <w:pStyle w:val="a8"/>
        <w:bidi/>
        <w:rPr>
          <w:rFonts w:ascii="Narkisim" w:hAnsi="Narkisim"/>
        </w:rPr>
      </w:pPr>
      <w:r w:rsidRPr="00A47A11">
        <w:rPr>
          <w:rFonts w:ascii="Narkisim" w:hAnsi="Narkisim"/>
          <w:rtl/>
        </w:rPr>
        <w:t>ויש שפי' כוונת רש"י דלא יחלל גלי דמתחלל, ועי"ז לוקה משום כי תהיה וכו' לא תאכל</w:t>
      </w:r>
      <w:r w:rsidRPr="00A47A11">
        <w:rPr>
          <w:rStyle w:val="ac"/>
          <w:rFonts w:ascii="Narkisim" w:hAnsi="Narkisim"/>
          <w:rtl/>
        </w:rPr>
        <w:footnoteReference w:id="5097"/>
      </w:r>
      <w:r w:rsidRPr="00A47A11">
        <w:rPr>
          <w:rFonts w:ascii="Narkisim" w:hAnsi="Narkisim"/>
          <w:rtl/>
        </w:rPr>
        <w:t>. [אך לשון רש"י דילפי' מהתם].</w:t>
      </w:r>
    </w:p>
    <w:p w14:paraId="16534212"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ערול"נ</w:t>
      </w:r>
      <w:r w:rsidRPr="00A47A11">
        <w:rPr>
          <w:rFonts w:ascii="Narkisim" w:hAnsi="Narkisim"/>
          <w:rtl/>
        </w:rPr>
        <w:t xml:space="preserve"> העלה צד דמולא יחלל ילפי' לאסור בתרומה. ומ'איש זר' ילפי' לאסור לכהונה</w:t>
      </w:r>
      <w:r w:rsidRPr="00A47A11">
        <w:rPr>
          <w:rStyle w:val="ac"/>
          <w:rFonts w:ascii="Narkisim" w:hAnsi="Narkisim"/>
          <w:rtl/>
        </w:rPr>
        <w:footnoteReference w:id="5098"/>
      </w:r>
      <w:r w:rsidRPr="00A47A11">
        <w:rPr>
          <w:rFonts w:ascii="Narkisim" w:hAnsi="Narkisim"/>
          <w:rtl/>
        </w:rPr>
        <w:t>.</w:t>
      </w:r>
    </w:p>
    <w:p w14:paraId="131A675C" w14:textId="77777777" w:rsidR="006C4368" w:rsidRPr="00A47A11" w:rsidRDefault="006C4368" w:rsidP="006C4368">
      <w:pPr>
        <w:pStyle w:val="aa"/>
        <w:bidi/>
        <w:rPr>
          <w:rFonts w:ascii="Narkisim" w:hAnsi="Narkisim"/>
        </w:rPr>
      </w:pPr>
      <w:r w:rsidRPr="00A47A11">
        <w:rPr>
          <w:rFonts w:ascii="Narkisim" w:hAnsi="Narkisim"/>
          <w:rtl/>
        </w:rPr>
        <w:t>ו</w:t>
      </w:r>
      <w:r w:rsidRPr="00A47A11">
        <w:rPr>
          <w:rFonts w:ascii="Narkisim" w:hAnsi="Narkisim"/>
          <w:b/>
          <w:bCs/>
          <w:rtl/>
        </w:rPr>
        <w:t>ה"ה</w:t>
      </w:r>
      <w:r w:rsidRPr="00A47A11">
        <w:rPr>
          <w:rFonts w:ascii="Narkisim" w:hAnsi="Narkisim"/>
          <w:rtl/>
        </w:rPr>
        <w:t xml:space="preserve"> (איסו"ב יח א בתחילת דבריו) הביא דכוונת ה</w:t>
      </w:r>
      <w:r w:rsidRPr="00A47A11">
        <w:rPr>
          <w:rFonts w:ascii="Narkisim" w:hAnsi="Narkisim"/>
          <w:b/>
          <w:bCs/>
          <w:rtl/>
        </w:rPr>
        <w:t>ראב"ד</w:t>
      </w:r>
      <w:r w:rsidRPr="00A47A11">
        <w:rPr>
          <w:rFonts w:ascii="Narkisim" w:hAnsi="Narkisim"/>
          <w:rtl/>
        </w:rPr>
        <w:t xml:space="preserve"> דחלל פוסל אשה בביאתו מאכילת תרומה, אבל אינה נעשית זונה ליאסר לכהונה. דההיקש (לעיל סט.) קאי דוקא לענין תרומה. [וה"ה האריך לתמוה בזה</w:t>
      </w:r>
      <w:r w:rsidRPr="00A47A11">
        <w:rPr>
          <w:rStyle w:val="ac"/>
          <w:rFonts w:ascii="Narkisim" w:hAnsi="Narkisim"/>
          <w:rtl/>
        </w:rPr>
        <w:footnoteReference w:id="5099"/>
      </w:r>
      <w:r w:rsidRPr="00A47A11">
        <w:rPr>
          <w:rFonts w:ascii="Narkisim" w:hAnsi="Narkisim"/>
          <w:rtl/>
        </w:rPr>
        <w:t>]. וה</w:t>
      </w:r>
      <w:r w:rsidRPr="00A47A11">
        <w:rPr>
          <w:rFonts w:ascii="Narkisim" w:hAnsi="Narkisim"/>
          <w:b/>
          <w:bCs/>
          <w:rtl/>
        </w:rPr>
        <w:t>אחרונים</w:t>
      </w:r>
      <w:r w:rsidRPr="00A47A11">
        <w:rPr>
          <w:rFonts w:ascii="Narkisim" w:hAnsi="Narkisim"/>
          <w:rtl/>
        </w:rPr>
        <w:t xml:space="preserve"> (שעה"מ שם) הביאו דמפורש במשנה דידן דפוסל לכהונה.</w:t>
      </w:r>
    </w:p>
    <w:p w14:paraId="76FBFE73" w14:textId="77777777" w:rsidR="006C4368" w:rsidRPr="00A47A11" w:rsidRDefault="006C4368" w:rsidP="006C4368">
      <w:pPr>
        <w:pStyle w:val="a8"/>
        <w:bidi/>
        <w:rPr>
          <w:rFonts w:ascii="Narkisim" w:hAnsi="Narkisim"/>
        </w:rPr>
      </w:pPr>
      <w:r w:rsidRPr="00A47A11">
        <w:rPr>
          <w:rFonts w:ascii="Narkisim" w:hAnsi="Narkisim"/>
          <w:rtl/>
        </w:rPr>
        <w:t>וע"כ דאף הראב"ד ס"ל דפסולה לכהונה משום חללות, אלא דאינה בכלל איסור 'זונה'. [וכ"כ ה"ה בסו"ד שם].</w:t>
      </w:r>
    </w:p>
    <w:p w14:paraId="3C5D6D4D" w14:textId="77777777" w:rsidR="006C4368" w:rsidRPr="00A47A11" w:rsidRDefault="006C4368" w:rsidP="006C4368">
      <w:pPr>
        <w:pStyle w:val="aa"/>
        <w:bidi/>
        <w:rPr>
          <w:rFonts w:ascii="Narkisim" w:hAnsi="Narkisim"/>
        </w:rPr>
      </w:pPr>
      <w:r w:rsidRPr="00A47A11">
        <w:rPr>
          <w:rFonts w:ascii="Narkisim" w:hAnsi="Narkisim"/>
          <w:u w:val="single"/>
          <w:rtl/>
        </w:rPr>
        <w:t>כהן גדול שקידש את האלמנה וכו'</w:t>
      </w:r>
      <w:r w:rsidRPr="00A47A11">
        <w:rPr>
          <w:rFonts w:ascii="Narkisim" w:hAnsi="Narkisim"/>
          <w:rtl/>
        </w:rPr>
        <w:t>. ה</w:t>
      </w:r>
      <w:r w:rsidRPr="00A47A11">
        <w:rPr>
          <w:rFonts w:ascii="Narkisim" w:hAnsi="Narkisim"/>
          <w:b/>
          <w:bCs/>
          <w:rtl/>
        </w:rPr>
        <w:t>ריטב"א</w:t>
      </w:r>
      <w:r w:rsidRPr="00A47A11">
        <w:rPr>
          <w:rFonts w:ascii="Narkisim" w:hAnsi="Narkisim"/>
          <w:rtl/>
        </w:rPr>
        <w:t xml:space="preserve"> כת' דכאן שנה רבי דין יבום אף בארוסה</w:t>
      </w:r>
      <w:r w:rsidRPr="00A47A11">
        <w:rPr>
          <w:rStyle w:val="ac"/>
          <w:rFonts w:ascii="Narkisim" w:hAnsi="Narkisim"/>
          <w:rtl/>
        </w:rPr>
        <w:footnoteReference w:id="5100"/>
      </w:r>
      <w:r w:rsidRPr="00A47A11">
        <w:rPr>
          <w:rFonts w:ascii="Narkisim" w:hAnsi="Narkisim"/>
          <w:rtl/>
        </w:rPr>
        <w:t>. וה</w:t>
      </w:r>
      <w:r w:rsidRPr="00A47A11">
        <w:rPr>
          <w:rFonts w:ascii="Narkisim" w:hAnsi="Narkisim"/>
          <w:b/>
          <w:bCs/>
          <w:rtl/>
        </w:rPr>
        <w:t>רש”ש</w:t>
      </w:r>
      <w:r w:rsidRPr="00A47A11">
        <w:rPr>
          <w:rFonts w:ascii="Narkisim" w:hAnsi="Narkisim"/>
          <w:rtl/>
        </w:rPr>
        <w:t xml:space="preserve"> ציין דמבואר כן כבר במשנה (לעיל כג:) קידש א' מב' אחיות, חולצין. ועוד הביא מהמשנה (כתובות א ב י:) חלוצה מן האירוסין [דהוה בתולה לענין כתובה].</w:t>
      </w:r>
    </w:p>
    <w:p w14:paraId="6736EF9F" w14:textId="77777777" w:rsidR="006C4368" w:rsidRPr="00A47A11" w:rsidRDefault="006C4368" w:rsidP="006C4368">
      <w:pPr>
        <w:bidi/>
        <w:rPr>
          <w:rFonts w:ascii="Narkisim" w:hAnsi="Narkisim" w:cs="Narkisim"/>
        </w:rPr>
      </w:pPr>
      <w:r w:rsidRPr="00A47A11">
        <w:rPr>
          <w:rFonts w:ascii="Narkisim" w:hAnsi="Narkisim" w:cs="Narkisim"/>
          <w:u w:val="single"/>
          <w:rtl/>
        </w:rPr>
        <w:t>ושאר כל הנשים כו'</w:t>
      </w:r>
      <w:r w:rsidRPr="00A47A11">
        <w:rPr>
          <w:rFonts w:ascii="Narkisim" w:hAnsi="Narkisim" w:cs="Narkisim"/>
          <w:rtl/>
        </w:rPr>
        <w:t>. ה</w:t>
      </w:r>
      <w:r w:rsidRPr="00A47A11">
        <w:rPr>
          <w:rFonts w:ascii="Narkisim" w:hAnsi="Narkisim" w:cs="Narkisim"/>
          <w:b/>
          <w:bCs/>
          <w:rtl/>
        </w:rPr>
        <w:t>רשב”א</w:t>
      </w:r>
      <w:r w:rsidRPr="00A47A11">
        <w:rPr>
          <w:rFonts w:ascii="Narkisim" w:hAnsi="Narkisim" w:cs="Narkisim"/>
          <w:rtl/>
        </w:rPr>
        <w:t xml:space="preserve"> כת' דלאו דוקא, דאיכא מצרי שנשא מצרית ראשונה ושניה, וכן פצוע דכא </w:t>
      </w:r>
      <w:r w:rsidRPr="00A47A11">
        <w:rPr>
          <w:rFonts w:ascii="Narkisim" w:hAnsi="Narkisim" w:cs="Narkisim"/>
          <w:szCs w:val="20"/>
          <w:rtl/>
        </w:rPr>
        <w:t>(וכדאי' בגמ' בע"ב)</w:t>
      </w:r>
      <w:r w:rsidRPr="00A47A11">
        <w:rPr>
          <w:rFonts w:ascii="Narkisim" w:hAnsi="Narkisim" w:cs="Narkisim"/>
          <w:rtl/>
        </w:rPr>
        <w:t>. וכן עריות שמותרות לבעליהן ואסורות ליבמיהן וכו'. והביא דב</w:t>
      </w:r>
      <w:r w:rsidRPr="00A47A11">
        <w:rPr>
          <w:rFonts w:ascii="Narkisim" w:hAnsi="Narkisim" w:cs="Narkisim"/>
          <w:b/>
          <w:bCs/>
          <w:rtl/>
        </w:rPr>
        <w:t>ירושלמי</w:t>
      </w:r>
      <w:r w:rsidRPr="00A47A11">
        <w:rPr>
          <w:rFonts w:ascii="Narkisim" w:hAnsi="Narkisim" w:cs="Narkisim"/>
          <w:rtl/>
        </w:rPr>
        <w:t xml:space="preserve"> אי' על משנה זו הדא מסייע לר' יונה, דר' יונה אמר לית כללי דרבי כללין</w:t>
      </w:r>
      <w:r w:rsidRPr="00A47A11">
        <w:rPr>
          <w:rStyle w:val="ac"/>
          <w:rFonts w:ascii="Narkisim" w:hAnsi="Narkisim" w:cs="Narkisim"/>
          <w:rtl/>
        </w:rPr>
        <w:footnoteReference w:id="5101"/>
      </w:r>
      <w:r w:rsidRPr="00A47A11">
        <w:rPr>
          <w:rFonts w:ascii="Narkisim" w:hAnsi="Narkisim" w:cs="Narkisim"/>
          <w:rtl/>
        </w:rPr>
        <w:t>.</w:t>
      </w:r>
    </w:p>
    <w:p w14:paraId="41939FFF" w14:textId="77777777" w:rsidR="006C4368" w:rsidRPr="00A47A11" w:rsidRDefault="006C4368" w:rsidP="006C4368">
      <w:pPr>
        <w:pStyle w:val="aa"/>
        <w:bidi/>
        <w:rPr>
          <w:rFonts w:ascii="Narkisim" w:hAnsi="Narkisim"/>
        </w:rPr>
      </w:pPr>
      <w:r w:rsidRPr="00A47A11">
        <w:rPr>
          <w:rFonts w:ascii="Narkisim" w:hAnsi="Narkisim"/>
          <w:u w:val="single"/>
          <w:rtl/>
        </w:rPr>
        <w:t>תוד"ה יש מותרות</w:t>
      </w:r>
      <w:r w:rsidRPr="00A47A11">
        <w:rPr>
          <w:rFonts w:ascii="Narkisim" w:hAnsi="Narkisim"/>
          <w:rtl/>
        </w:rPr>
        <w:t xml:space="preserve">. דאע"ג דמכח הבעל וכו' לא אסרי ליה איבם וכו'. משמע דס"ד דכיון דאסורה לבעל, אף היבם בא מכחו. וע"ד הא דאי' (לעיל יא.) ק"ו במותר לה נאסר באסור לה לא כ”ש. והגמ' (סוטה ו.) מק' מהנך דמתני' כה”ג שקידש את האלמנה, לא תתיבם משום במותר לה נאסר. ותי' דאסירא וקיימא כלפי הבעל [והך </w:t>
      </w:r>
      <w:r w:rsidRPr="00A47A11">
        <w:rPr>
          <w:rFonts w:ascii="Narkisim" w:hAnsi="Narkisim"/>
          <w:rtl/>
        </w:rPr>
        <w:lastRenderedPageBreak/>
        <w:t>כלל שייך דוקא כשנאסרה מעכשיו]. ותוס' (בע"ב) הק' מפצוע דכא. [ע”ע שם].</w:t>
      </w:r>
    </w:p>
    <w:p w14:paraId="576DCF6E" w14:textId="77777777" w:rsidR="006C4368" w:rsidRPr="00A47A11" w:rsidRDefault="006C4368" w:rsidP="006C4368">
      <w:pPr>
        <w:bidi/>
        <w:rPr>
          <w:rFonts w:ascii="Narkisim" w:hAnsi="Narkisim" w:cs="Narkisim"/>
        </w:rPr>
      </w:pPr>
      <w:r w:rsidRPr="00A47A11">
        <w:rPr>
          <w:rFonts w:ascii="Narkisim" w:hAnsi="Narkisim" w:cs="Narkisim"/>
          <w:u w:val="single"/>
          <w:rtl/>
        </w:rPr>
        <w:t>אין לה, לא כתובה וכו'</w:t>
      </w:r>
      <w:r w:rsidRPr="00A47A11">
        <w:rPr>
          <w:rFonts w:ascii="Narkisim" w:hAnsi="Narkisim" w:cs="Narkisim"/>
          <w:rtl/>
        </w:rPr>
        <w:t>. מבואר ב</w:t>
      </w:r>
      <w:r w:rsidRPr="00A47A11">
        <w:rPr>
          <w:rFonts w:ascii="Narkisim" w:hAnsi="Narkisim" w:cs="Narkisim"/>
          <w:b/>
          <w:bCs/>
          <w:rtl/>
        </w:rPr>
        <w:t>רש"י</w:t>
      </w:r>
      <w:r w:rsidRPr="00A47A11">
        <w:rPr>
          <w:rFonts w:ascii="Narkisim" w:hAnsi="Narkisim" w:cs="Narkisim"/>
          <w:rtl/>
        </w:rPr>
        <w:t xml:space="preserve"> </w:t>
      </w:r>
      <w:r w:rsidRPr="00A47A11">
        <w:rPr>
          <w:rFonts w:ascii="Narkisim" w:hAnsi="Narkisim" w:cs="Narkisim"/>
          <w:szCs w:val="20"/>
          <w:rtl/>
        </w:rPr>
        <w:t>(ד"ה ולא פירות</w:t>
      </w:r>
      <w:r w:rsidRPr="00A47A11">
        <w:rPr>
          <w:rFonts w:ascii="Narkisim" w:hAnsi="Narkisim" w:cs="Narkisim"/>
          <w:rtl/>
        </w:rPr>
        <w:t>) דקנסו שלא תגבה כתובת נכסי צאן ברזל. וה</w:t>
      </w:r>
      <w:r w:rsidRPr="00A47A11">
        <w:rPr>
          <w:rFonts w:ascii="Narkisim" w:hAnsi="Narkisim" w:cs="Narkisim"/>
          <w:b/>
          <w:bCs/>
          <w:rtl/>
        </w:rPr>
        <w:t>רשב"א</w:t>
      </w:r>
      <w:r w:rsidRPr="00A47A11">
        <w:rPr>
          <w:rFonts w:ascii="Narkisim" w:hAnsi="Narkisim" w:cs="Narkisim"/>
          <w:rtl/>
        </w:rPr>
        <w:t xml:space="preserve"> הביא דדעת ה</w:t>
      </w:r>
      <w:r w:rsidRPr="00A47A11">
        <w:rPr>
          <w:rFonts w:ascii="Narkisim" w:hAnsi="Narkisim" w:cs="Narkisim"/>
          <w:b/>
          <w:bCs/>
          <w:rtl/>
        </w:rPr>
        <w:t>רי"ף</w:t>
      </w:r>
      <w:r w:rsidRPr="00A47A11">
        <w:rPr>
          <w:rFonts w:ascii="Narkisim" w:hAnsi="Narkisim" w:cs="Narkisim"/>
          <w:rtl/>
        </w:rPr>
        <w:t xml:space="preserve"> וה</w:t>
      </w:r>
      <w:r w:rsidRPr="00A47A11">
        <w:rPr>
          <w:rFonts w:ascii="Narkisim" w:hAnsi="Narkisim" w:cs="Narkisim"/>
          <w:b/>
          <w:bCs/>
          <w:rtl/>
        </w:rPr>
        <w:t>רמב"ם</w:t>
      </w:r>
      <w:r w:rsidRPr="00A47A11">
        <w:rPr>
          <w:rFonts w:ascii="Narkisim" w:hAnsi="Narkisim" w:cs="Narkisim"/>
          <w:rtl/>
        </w:rPr>
        <w:t xml:space="preserve"> דקאי דוקא כתובה דמנה ומאתיים. אבל תוספת כתובה שהבעל כתב יש לה, וכדאי' </w:t>
      </w:r>
      <w:r w:rsidRPr="00A47A11">
        <w:rPr>
          <w:rFonts w:ascii="Narkisim" w:hAnsi="Narkisim" w:cs="Narkisim"/>
          <w:szCs w:val="20"/>
          <w:rtl/>
        </w:rPr>
        <w:t>(כתובות קא.)</w:t>
      </w:r>
      <w:r w:rsidRPr="00A47A11">
        <w:rPr>
          <w:rFonts w:ascii="Narkisim" w:hAnsi="Narkisim" w:cs="Narkisim"/>
          <w:rtl/>
        </w:rPr>
        <w:t xml:space="preserve"> דאיהו כתב לה מדעתו. [וכ"ש נכסי צאן ברזל].</w:t>
      </w:r>
    </w:p>
    <w:p w14:paraId="2ABB87FA" w14:textId="77777777" w:rsidR="006C4368" w:rsidRPr="00A47A11" w:rsidRDefault="006C4368" w:rsidP="006C4368">
      <w:pPr>
        <w:bidi/>
        <w:rPr>
          <w:rFonts w:ascii="Narkisim" w:hAnsi="Narkisim" w:cs="Narkisim"/>
        </w:rPr>
      </w:pPr>
      <w:r w:rsidRPr="00A47A11">
        <w:rPr>
          <w:rFonts w:ascii="Narkisim" w:hAnsi="Narkisim" w:cs="Narkisim"/>
          <w:u w:val="single"/>
          <w:rtl/>
        </w:rPr>
        <w:t>ולא בלאות</w:t>
      </w:r>
      <w:r w:rsidRPr="00A47A11">
        <w:rPr>
          <w:rFonts w:ascii="Narkisim" w:hAnsi="Narkisim" w:cs="Narkisim"/>
          <w:rtl/>
        </w:rPr>
        <w:t>. ה</w:t>
      </w:r>
      <w:r w:rsidRPr="00A47A11">
        <w:rPr>
          <w:rFonts w:ascii="Narkisim" w:hAnsi="Narkisim" w:cs="Narkisim"/>
          <w:b/>
          <w:bCs/>
          <w:rtl/>
        </w:rPr>
        <w:t>רשב"א</w:t>
      </w:r>
      <w:r w:rsidRPr="00A47A11">
        <w:rPr>
          <w:rFonts w:ascii="Narkisim" w:hAnsi="Narkisim" w:cs="Narkisim"/>
          <w:rtl/>
        </w:rPr>
        <w:t xml:space="preserve"> הביא בשם </w:t>
      </w:r>
      <w:r w:rsidRPr="00A47A11">
        <w:rPr>
          <w:rFonts w:ascii="Narkisim" w:hAnsi="Narkisim" w:cs="Narkisim"/>
          <w:b/>
          <w:bCs/>
          <w:rtl/>
        </w:rPr>
        <w:t>רש"י</w:t>
      </w:r>
      <w:r w:rsidRPr="00A47A11">
        <w:rPr>
          <w:rFonts w:ascii="Narkisim" w:hAnsi="Narkisim" w:cs="Narkisim"/>
          <w:rtl/>
        </w:rPr>
        <w:t xml:space="preserve"> דקאי אבלאות דנכסי צאן ברזל. וה</w:t>
      </w:r>
      <w:r w:rsidRPr="00A47A11">
        <w:rPr>
          <w:rFonts w:ascii="Narkisim" w:hAnsi="Narkisim" w:cs="Narkisim"/>
          <w:b/>
          <w:bCs/>
          <w:rtl/>
        </w:rPr>
        <w:t>רשב"א</w:t>
      </w:r>
      <w:r w:rsidRPr="00A47A11">
        <w:rPr>
          <w:rFonts w:ascii="Narkisim" w:hAnsi="Narkisim" w:cs="Narkisim"/>
          <w:rtl/>
        </w:rPr>
        <w:t xml:space="preserve"> חלק דקאי אנכסי מלוג. וכן מבואר ב</w:t>
      </w:r>
      <w:r w:rsidRPr="00A47A11">
        <w:rPr>
          <w:rFonts w:ascii="Narkisim" w:hAnsi="Narkisim" w:cs="Narkisim"/>
          <w:b/>
          <w:bCs/>
          <w:rtl/>
        </w:rPr>
        <w:t>תוס</w:t>
      </w:r>
      <w:r w:rsidRPr="00A47A11">
        <w:rPr>
          <w:rFonts w:ascii="Narkisim" w:hAnsi="Narkisim" w:cs="Narkisim"/>
          <w:rtl/>
        </w:rPr>
        <w:t>' (לקמן פה.). [וכ”מ בגמ' כתובות קא., ויתבאר לקמן].</w:t>
      </w:r>
    </w:p>
    <w:p w14:paraId="775C5390" w14:textId="77777777" w:rsidR="006C4368" w:rsidRPr="00A47A11" w:rsidRDefault="006C4368" w:rsidP="006C4368">
      <w:pPr>
        <w:pStyle w:val="aa"/>
        <w:bidi/>
        <w:rPr>
          <w:rFonts w:ascii="Narkisim" w:hAnsi="Narkisim"/>
        </w:rPr>
      </w:pPr>
      <w:r w:rsidRPr="00A47A11">
        <w:rPr>
          <w:rFonts w:ascii="Narkisim" w:hAnsi="Narkisim"/>
          <w:u w:val="single"/>
          <w:rtl/>
        </w:rPr>
        <w:t>רש"י ד"ה ולא מזונות</w:t>
      </w:r>
      <w:r w:rsidRPr="00A47A11">
        <w:rPr>
          <w:rFonts w:ascii="Narkisim" w:hAnsi="Narkisim"/>
          <w:rtl/>
        </w:rPr>
        <w:t xml:space="preserve">. אבל היכא דהלוה לה בתורת הלואה וכו'. [וכ"כ </w:t>
      </w:r>
      <w:r w:rsidRPr="00A47A11">
        <w:rPr>
          <w:rFonts w:ascii="Narkisim" w:hAnsi="Narkisim"/>
          <w:b/>
          <w:bCs/>
          <w:rtl/>
        </w:rPr>
        <w:t>רש"י</w:t>
      </w:r>
      <w:r w:rsidRPr="00A47A11">
        <w:rPr>
          <w:rFonts w:ascii="Narkisim" w:hAnsi="Narkisim"/>
          <w:rtl/>
        </w:rPr>
        <w:t xml:space="preserve"> כתובות קז:, ותוס' לקמן פה. ד”ה ולותה פליגי]. ודעת ה</w:t>
      </w:r>
      <w:r w:rsidRPr="00A47A11">
        <w:rPr>
          <w:rFonts w:ascii="Narkisim" w:hAnsi="Narkisim"/>
          <w:b/>
          <w:bCs/>
          <w:rtl/>
        </w:rPr>
        <w:t>רשב"א</w:t>
      </w:r>
      <w:r w:rsidRPr="00A47A11">
        <w:rPr>
          <w:rFonts w:ascii="Narkisim" w:hAnsi="Narkisim"/>
          <w:rtl/>
        </w:rPr>
        <w:t xml:space="preserve"> (הו' בר"ן נדרים לג: וכתובות סג. בדה”ר) דבסתמא הוה בתורת הלואה, והתם איירי שאומר שפורע מחמת מזונות שבעלה חייב לה</w:t>
      </w:r>
      <w:r w:rsidRPr="00A47A11">
        <w:rPr>
          <w:rStyle w:val="ac"/>
          <w:rFonts w:ascii="Narkisim" w:hAnsi="Narkisim"/>
          <w:rtl/>
        </w:rPr>
        <w:footnoteReference w:id="5102"/>
      </w:r>
      <w:r w:rsidRPr="00A47A11">
        <w:rPr>
          <w:rFonts w:ascii="Narkisim" w:hAnsi="Narkisim"/>
          <w:rtl/>
        </w:rPr>
        <w:t>. וה</w:t>
      </w:r>
      <w:r w:rsidRPr="00A47A11">
        <w:rPr>
          <w:rFonts w:ascii="Narkisim" w:hAnsi="Narkisim"/>
          <w:b/>
          <w:bCs/>
          <w:rtl/>
        </w:rPr>
        <w:t>ר"ן</w:t>
      </w:r>
      <w:r w:rsidRPr="00A47A11">
        <w:rPr>
          <w:rFonts w:ascii="Narkisim" w:hAnsi="Narkisim"/>
          <w:rtl/>
        </w:rPr>
        <w:t xml:space="preserve"> (שם ושם) חלק דבסתמא נותן על דעת הבעל</w:t>
      </w:r>
      <w:r w:rsidRPr="00A47A11">
        <w:rPr>
          <w:rStyle w:val="ac"/>
          <w:rFonts w:ascii="Narkisim" w:hAnsi="Narkisim"/>
          <w:rtl/>
        </w:rPr>
        <w:footnoteReference w:id="5103"/>
      </w:r>
      <w:r w:rsidRPr="00A47A11">
        <w:rPr>
          <w:rFonts w:ascii="Narkisim" w:hAnsi="Narkisim"/>
          <w:rtl/>
        </w:rPr>
        <w:t>, שהרי יודע שאין לאשה נכסים.</w:t>
      </w:r>
    </w:p>
    <w:p w14:paraId="2BFEC209" w14:textId="77777777" w:rsidR="006C4368" w:rsidRPr="00A47A11" w:rsidRDefault="006C4368" w:rsidP="006C4368">
      <w:pPr>
        <w:bidi/>
        <w:rPr>
          <w:rFonts w:ascii="Narkisim" w:hAnsi="Narkisim" w:cs="Narkisim"/>
        </w:rPr>
      </w:pPr>
      <w:r w:rsidRPr="00A47A11">
        <w:rPr>
          <w:rFonts w:ascii="Narkisim" w:hAnsi="Narkisim" w:cs="Narkisim"/>
          <w:u w:val="single"/>
          <w:rtl/>
        </w:rPr>
        <w:t>בא"ד הוא תובעה, והיא תובעת את בעלה וכו' ושמא תתאלמן או תתגרש ותשלם משלה</w:t>
      </w:r>
      <w:r w:rsidRPr="00A47A11">
        <w:rPr>
          <w:rFonts w:ascii="Narkisim" w:hAnsi="Narkisim" w:cs="Narkisim"/>
          <w:rtl/>
        </w:rPr>
        <w:t>. [דבעודה תחת בעלה אינה חייבת, דנכסיה משועבדין לבעל</w:t>
      </w:r>
      <w:r w:rsidRPr="00A47A11">
        <w:rPr>
          <w:rStyle w:val="ac"/>
          <w:rFonts w:ascii="Narkisim" w:hAnsi="Narkisim" w:cs="Narkisim"/>
          <w:rtl/>
        </w:rPr>
        <w:footnoteReference w:id="5104"/>
      </w:r>
      <w:r w:rsidRPr="00A47A11">
        <w:rPr>
          <w:rFonts w:ascii="Narkisim" w:hAnsi="Narkisim" w:cs="Narkisim"/>
          <w:rtl/>
        </w:rPr>
        <w:t>]. וה</w:t>
      </w:r>
      <w:r w:rsidRPr="00A47A11">
        <w:rPr>
          <w:rFonts w:ascii="Narkisim" w:hAnsi="Narkisim" w:cs="Narkisim"/>
          <w:b/>
          <w:bCs/>
          <w:rtl/>
        </w:rPr>
        <w:t>ראשונים</w:t>
      </w:r>
      <w:r w:rsidRPr="00A47A11">
        <w:rPr>
          <w:rFonts w:ascii="Narkisim" w:hAnsi="Narkisim" w:cs="Narkisim"/>
          <w:rtl/>
        </w:rPr>
        <w:t xml:space="preserve"> (מרדכי שם רעא) כת' דהמלוה גובה מהבעל משום שעבודא דר' נתן.</w:t>
      </w:r>
    </w:p>
    <w:p w14:paraId="67669D85" w14:textId="77777777" w:rsidR="006C4368" w:rsidRPr="00A47A11" w:rsidRDefault="006C4368" w:rsidP="006C4368">
      <w:pPr>
        <w:pStyle w:val="a8"/>
        <w:bidi/>
        <w:rPr>
          <w:rFonts w:ascii="Narkisim" w:hAnsi="Narkisim"/>
        </w:rPr>
      </w:pPr>
      <w:r w:rsidRPr="00A47A11">
        <w:rPr>
          <w:rFonts w:ascii="Narkisim" w:hAnsi="Narkisim"/>
          <w:rtl/>
        </w:rPr>
        <w:t>אבל ב</w:t>
      </w:r>
      <w:r w:rsidRPr="00A47A11">
        <w:rPr>
          <w:rFonts w:ascii="Narkisim" w:hAnsi="Narkisim"/>
          <w:b/>
          <w:bCs/>
          <w:rtl/>
        </w:rPr>
        <w:t>שו"ת הרשב"א</w:t>
      </w:r>
      <w:r w:rsidRPr="00A47A11">
        <w:rPr>
          <w:rFonts w:ascii="Narkisim" w:hAnsi="Narkisim"/>
          <w:rtl/>
        </w:rPr>
        <w:t xml:space="preserve"> (מיוחסות יד, הו' בריב”ש תפא הו' בב”י ע ח) כת' דהאשה אינה חייבת לשלם מנכסיה, דלוותה ע"ד ליפרע מנכסי הבעל. אא"כ לוותה ממנו בפירוש</w:t>
      </w:r>
      <w:r w:rsidRPr="00A47A11">
        <w:rPr>
          <w:rStyle w:val="ac"/>
          <w:rFonts w:ascii="Narkisim" w:hAnsi="Narkisim"/>
          <w:rtl/>
        </w:rPr>
        <w:footnoteReference w:id="5105"/>
      </w:r>
      <w:r w:rsidRPr="00A47A11">
        <w:rPr>
          <w:rFonts w:ascii="Narkisim" w:hAnsi="Narkisim"/>
          <w:rtl/>
        </w:rPr>
        <w:t>. וה</w:t>
      </w:r>
      <w:r w:rsidRPr="00A47A11">
        <w:rPr>
          <w:rFonts w:ascii="Narkisim" w:hAnsi="Narkisim"/>
          <w:b/>
          <w:bCs/>
          <w:rtl/>
        </w:rPr>
        <w:t>אבנ"מ</w:t>
      </w:r>
      <w:r w:rsidRPr="00A47A11">
        <w:rPr>
          <w:rFonts w:ascii="Narkisim" w:hAnsi="Narkisim"/>
          <w:rtl/>
        </w:rPr>
        <w:t xml:space="preserve"> (ע ח) ביאר דהאשה לוותה, בתנאי שיגבה רק מנכסי הבעל. והוה כאילו קבעו נכסי הבעל כאפותיקי, דהאשה נשתעבדה שעבוד הגוף, ונכסי הבעל נשתעבדו בשעבודא דר"נ. והתנו שלא יגבה מנכסיה כלל.</w:t>
      </w:r>
    </w:p>
    <w:p w14:paraId="66B5F7BE" w14:textId="77777777" w:rsidR="006C4368" w:rsidRPr="00A47A11" w:rsidRDefault="006C4368" w:rsidP="006C4368">
      <w:pPr>
        <w:pStyle w:val="aa"/>
        <w:bidi/>
        <w:rPr>
          <w:rFonts w:ascii="Narkisim" w:hAnsi="Narkisim"/>
        </w:rPr>
      </w:pPr>
      <w:r w:rsidRPr="00A47A11">
        <w:rPr>
          <w:rFonts w:ascii="Narkisim" w:hAnsi="Narkisim"/>
          <w:rtl/>
        </w:rPr>
        <w:t>וה</w:t>
      </w:r>
      <w:r w:rsidRPr="00A47A11">
        <w:rPr>
          <w:rFonts w:ascii="Narkisim" w:hAnsi="Narkisim"/>
          <w:b/>
          <w:bCs/>
          <w:rtl/>
        </w:rPr>
        <w:t>ר"ן</w:t>
      </w:r>
      <w:r w:rsidRPr="00A47A11">
        <w:rPr>
          <w:rFonts w:ascii="Narkisim" w:hAnsi="Narkisim"/>
          <w:rtl/>
        </w:rPr>
        <w:t xml:space="preserve"> (כתובות סג. בדה"ר) הביא בשם ה</w:t>
      </w:r>
      <w:r w:rsidRPr="00A47A11">
        <w:rPr>
          <w:rFonts w:ascii="Narkisim" w:hAnsi="Narkisim"/>
          <w:b/>
          <w:bCs/>
          <w:rtl/>
        </w:rPr>
        <w:t>רא"ה</w:t>
      </w:r>
      <w:r w:rsidRPr="00A47A11">
        <w:rPr>
          <w:rFonts w:ascii="Narkisim" w:hAnsi="Narkisim"/>
          <w:rtl/>
        </w:rPr>
        <w:t xml:space="preserve"> דתקנו דהאשה יכולה ללוות, ועיקר החיוב על הבעל [וכדאשכחן דאלמנה הוה שליח למכור שדה לכתובתה]. ומיהו אף היא נשתעבדה היכא דליכא לבעל. וה</w:t>
      </w:r>
      <w:r w:rsidRPr="00A47A11">
        <w:rPr>
          <w:rFonts w:ascii="Narkisim" w:hAnsi="Narkisim"/>
          <w:b/>
          <w:bCs/>
          <w:rtl/>
        </w:rPr>
        <w:t>ריטב"א</w:t>
      </w:r>
      <w:r w:rsidRPr="00A47A11">
        <w:rPr>
          <w:rFonts w:ascii="Narkisim" w:hAnsi="Narkisim"/>
          <w:rtl/>
        </w:rPr>
        <w:t xml:space="preserve"> (לקמן פה.) הביא דמדברי רש"י מבואר דלא כדבריו</w:t>
      </w:r>
      <w:r w:rsidRPr="00A47A11">
        <w:rPr>
          <w:rStyle w:val="ac"/>
          <w:rFonts w:ascii="Narkisim" w:hAnsi="Narkisim"/>
          <w:rtl/>
        </w:rPr>
        <w:footnoteReference w:id="5106"/>
      </w:r>
      <w:r w:rsidRPr="00A47A11">
        <w:rPr>
          <w:rFonts w:ascii="Narkisim" w:hAnsi="Narkisim"/>
          <w:rtl/>
        </w:rPr>
        <w:t>.</w:t>
      </w:r>
    </w:p>
    <w:p w14:paraId="6DEE1A99" w14:textId="77777777" w:rsidR="006C4368" w:rsidRPr="00A47A11" w:rsidRDefault="006C4368" w:rsidP="006C4368">
      <w:pPr>
        <w:bidi/>
        <w:rPr>
          <w:rFonts w:ascii="Narkisim" w:hAnsi="Narkisim" w:cs="Narkisim"/>
        </w:rPr>
      </w:pPr>
      <w:r w:rsidRPr="00A47A11">
        <w:rPr>
          <w:rFonts w:ascii="Narkisim" w:hAnsi="Narkisim" w:cs="Narkisim"/>
          <w:u w:val="single"/>
          <w:rtl/>
        </w:rPr>
        <w:t>והולד כשר</w:t>
      </w:r>
      <w:r w:rsidRPr="00A47A11">
        <w:rPr>
          <w:rFonts w:ascii="Narkisim" w:hAnsi="Narkisim" w:cs="Narkisim"/>
          <w:rtl/>
        </w:rPr>
        <w:t>. ה</w:t>
      </w:r>
      <w:r w:rsidRPr="00A47A11">
        <w:rPr>
          <w:rFonts w:ascii="Narkisim" w:hAnsi="Narkisim" w:cs="Narkisim"/>
          <w:b/>
          <w:bCs/>
          <w:rtl/>
        </w:rPr>
        <w:t>ריטב"א</w:t>
      </w:r>
      <w:r w:rsidRPr="00A47A11">
        <w:rPr>
          <w:rFonts w:ascii="Narkisim" w:hAnsi="Narkisim" w:cs="Narkisim"/>
          <w:rtl/>
        </w:rPr>
        <w:t xml:space="preserve"> כת' דלא הוה אפי' מזוהם לכהונה. תדע דאמרי' בגמ' (פה:) דחלוצה פוסלה מדרבנן, ואילו שניה אפי' מדרבנן אינו פוסל לכהונה</w:t>
      </w:r>
      <w:r w:rsidRPr="00A47A11">
        <w:rPr>
          <w:rStyle w:val="ac"/>
          <w:rFonts w:ascii="Narkisim" w:hAnsi="Narkisim" w:cs="Narkisim"/>
          <w:rtl/>
        </w:rPr>
        <w:footnoteReference w:id="5107"/>
      </w:r>
      <w:r w:rsidRPr="00A47A11">
        <w:rPr>
          <w:rFonts w:ascii="Narkisim" w:hAnsi="Narkisim" w:cs="Narkisim"/>
          <w:rtl/>
        </w:rPr>
        <w:t>.</w:t>
      </w:r>
    </w:p>
    <w:p w14:paraId="627F52F8" w14:textId="77777777" w:rsidR="006C4368" w:rsidRPr="00A47A11" w:rsidRDefault="006C4368" w:rsidP="006C4368">
      <w:pPr>
        <w:pStyle w:val="aa"/>
        <w:bidi/>
        <w:rPr>
          <w:rFonts w:ascii="Narkisim" w:hAnsi="Narkisim"/>
        </w:rPr>
      </w:pPr>
      <w:r w:rsidRPr="00A47A11">
        <w:rPr>
          <w:rFonts w:ascii="Narkisim" w:hAnsi="Narkisim"/>
          <w:u w:val="single"/>
          <w:rtl/>
        </w:rPr>
        <w:t>וכופין אותו להוציא</w:t>
      </w:r>
      <w:r w:rsidRPr="00A47A11">
        <w:rPr>
          <w:rFonts w:ascii="Narkisim" w:hAnsi="Narkisim"/>
          <w:rtl/>
        </w:rPr>
        <w:t>. ה</w:t>
      </w:r>
      <w:r w:rsidRPr="00A47A11">
        <w:rPr>
          <w:rFonts w:ascii="Narkisim" w:hAnsi="Narkisim"/>
          <w:b/>
          <w:bCs/>
          <w:rtl/>
        </w:rPr>
        <w:t>ריטב"א</w:t>
      </w:r>
      <w:r w:rsidRPr="00A47A11">
        <w:rPr>
          <w:rFonts w:ascii="Narkisim" w:hAnsi="Narkisim"/>
          <w:rtl/>
        </w:rPr>
        <w:t xml:space="preserve"> כת' דקמ"ל דאף דעי"ז יצא לעז על הבנים, לא חיישינן להכי.</w:t>
      </w:r>
    </w:p>
    <w:p w14:paraId="499EE9CE" w14:textId="77777777" w:rsidR="006C4368" w:rsidRPr="00A47A11" w:rsidRDefault="006C4368" w:rsidP="006C4368">
      <w:pPr>
        <w:bidi/>
        <w:rPr>
          <w:rFonts w:ascii="Narkisim" w:hAnsi="Narkisim" w:cs="Narkisim"/>
        </w:rPr>
      </w:pPr>
      <w:r w:rsidRPr="00A47A11">
        <w:rPr>
          <w:rFonts w:ascii="Narkisim" w:hAnsi="Narkisim" w:cs="Narkisim"/>
          <w:u w:val="single"/>
          <w:rtl/>
        </w:rPr>
        <w:t>אלמנה לכה”ג גרושה וחלוצה לכהן הדיוט וכו' יש להן כתובה</w:t>
      </w:r>
      <w:r w:rsidRPr="00A47A11">
        <w:rPr>
          <w:rFonts w:ascii="Narkisim" w:hAnsi="Narkisim" w:cs="Narkisim"/>
          <w:rtl/>
        </w:rPr>
        <w:t>. והגמ' פי' דכיון דאסורין מדאורייתא אי"צ חיזוק [ולא קנסו]. והפוסקים דנו דחלוצה הוה דרבנן, ודנו האם נקטו אגב גרושה. [ויתבאר לקמן פה.].</w:t>
      </w:r>
    </w:p>
    <w:p w14:paraId="707C6B62" w14:textId="77777777" w:rsidR="006C4368" w:rsidRPr="00A47A11" w:rsidRDefault="006C4368" w:rsidP="006C4368">
      <w:pPr>
        <w:bidi/>
        <w:rPr>
          <w:rFonts w:ascii="Narkisim" w:hAnsi="Narkisim" w:cs="Narkisim"/>
        </w:rPr>
      </w:pPr>
      <w:r w:rsidRPr="00A47A11">
        <w:rPr>
          <w:rFonts w:ascii="Narkisim" w:hAnsi="Narkisim" w:cs="Narkisim"/>
          <w:rtl/>
        </w:rPr>
        <w:t>וה</w:t>
      </w:r>
      <w:r w:rsidRPr="00A47A11">
        <w:rPr>
          <w:rFonts w:ascii="Narkisim" w:hAnsi="Narkisim" w:cs="Narkisim"/>
          <w:b/>
          <w:bCs/>
          <w:rtl/>
        </w:rPr>
        <w:t>רע"ב</w:t>
      </w:r>
      <w:r w:rsidRPr="00A47A11">
        <w:rPr>
          <w:rFonts w:ascii="Narkisim" w:hAnsi="Narkisim" w:cs="Narkisim"/>
          <w:rtl/>
        </w:rPr>
        <w:t xml:space="preserve"> כת' דבגמ' (מכות יג.) מוכח דחלוצה לכהן גדול אסורה מדאורייתא, ואף דחלוצה לכהן הדיוט היא מדברי סופרים, עשאוה כשל תורה לדין זה. ודבריו צ"ב דחלוצה ודאי אסורה לכה"ג משום אלמנה. וצ"ב כוונתו מהמשנה במכות.</w:t>
      </w:r>
    </w:p>
    <w:p w14:paraId="70308FDA" w14:textId="77777777" w:rsidR="006C4368" w:rsidRPr="00A47A11" w:rsidRDefault="006C4368" w:rsidP="006C4368">
      <w:pPr>
        <w:bidi/>
        <w:rPr>
          <w:rFonts w:ascii="Narkisim" w:hAnsi="Narkisim" w:cs="Narkisim"/>
        </w:rPr>
      </w:pPr>
      <w:r w:rsidRPr="00A47A11">
        <w:rPr>
          <w:rFonts w:ascii="Narkisim" w:hAnsi="Narkisim" w:cs="Narkisim"/>
          <w:u w:val="single"/>
          <w:rtl/>
        </w:rPr>
        <w:t>רש"י ד"ה והא כוליה</w:t>
      </w:r>
      <w:r w:rsidRPr="00A47A11">
        <w:rPr>
          <w:rFonts w:ascii="Narkisim" w:hAnsi="Narkisim" w:cs="Narkisim"/>
          <w:rtl/>
        </w:rPr>
        <w:t>. ומ”ט דהא נפק”ל (לעיל כ.) ועלתה יבמתו השערה. דעולה לחליצה ואינה עולה ליבום. וה</w:t>
      </w:r>
      <w:r w:rsidRPr="00A47A11">
        <w:rPr>
          <w:rFonts w:ascii="Narkisim" w:hAnsi="Narkisim" w:cs="Narkisim"/>
          <w:b/>
          <w:bCs/>
          <w:rtl/>
        </w:rPr>
        <w:t>ראשונים</w:t>
      </w:r>
      <w:r w:rsidRPr="00A47A11">
        <w:rPr>
          <w:rFonts w:ascii="Narkisim" w:hAnsi="Narkisim" w:cs="Narkisim"/>
          <w:rtl/>
        </w:rPr>
        <w:t xml:space="preserve"> (רשב"א וריטב"א) כת' דלא דק, דלמסקנא (לעיל כ:) אסורה רק מדרבנן, גזירה ביאה ראשונה אטו ביאה שניה. וכה"ק רע"א ושאר אחרונים. וע' ערול"נ.</w:t>
      </w:r>
    </w:p>
    <w:p w14:paraId="120B84C6"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קר"א</w:t>
      </w:r>
      <w:r w:rsidRPr="00A47A11">
        <w:rPr>
          <w:rFonts w:ascii="Narkisim" w:hAnsi="Narkisim"/>
          <w:rtl/>
        </w:rPr>
        <w:t xml:space="preserve"> יישב דס"ד (בסמוך) דתתייבם למ"ד נישואין מפילין, וע"כ היינו לצד דחייבי לאוין נתמעטו מיבום מגזיה"כ דועלתה. ומש"ה ס"ד דהיכא דזיקת היבום קדם לחייבי לאוין תתייבם [ומשום עשה דוחה ל”ת]. אבל למסקנא דהוה משום גזירה ביאה ראשונה אטו ביאה שניה ל”ש לחלק בזה משום נישואין מפילין.</w:t>
      </w:r>
    </w:p>
    <w:p w14:paraId="5EF16D08" w14:textId="77777777" w:rsidR="006C4368" w:rsidRPr="00A47A11" w:rsidRDefault="006C4368" w:rsidP="006C4368">
      <w:pPr>
        <w:pStyle w:val="a8"/>
        <w:bidi/>
        <w:rPr>
          <w:rFonts w:ascii="Narkisim" w:hAnsi="Narkisim"/>
        </w:rPr>
      </w:pPr>
      <w:r w:rsidRPr="00A47A11">
        <w:rPr>
          <w:rFonts w:ascii="Narkisim" w:hAnsi="Narkisim"/>
          <w:rtl/>
        </w:rPr>
        <w:t xml:space="preserve">וכן </w:t>
      </w:r>
      <w:r w:rsidRPr="00A47A11">
        <w:rPr>
          <w:rFonts w:ascii="Narkisim" w:hAnsi="Narkisim"/>
          <w:b/>
          <w:bCs/>
          <w:rtl/>
        </w:rPr>
        <w:t>רש"י</w:t>
      </w:r>
      <w:r w:rsidRPr="00A47A11">
        <w:rPr>
          <w:rFonts w:ascii="Narkisim" w:hAnsi="Narkisim"/>
          <w:rtl/>
        </w:rPr>
        <w:t xml:space="preserve"> (סנהדרין נג. ד"ה איסור מצוה) כת' דאיסור מצוה ואיסור קדושה מרבינן לחליצה מהך קרא דיבמתו. וה</w:t>
      </w:r>
      <w:r w:rsidRPr="00A47A11">
        <w:rPr>
          <w:rFonts w:ascii="Narkisim" w:hAnsi="Narkisim"/>
          <w:b/>
          <w:bCs/>
          <w:rtl/>
        </w:rPr>
        <w:t>גהש"ס</w:t>
      </w:r>
      <w:r w:rsidRPr="00A47A11">
        <w:rPr>
          <w:rFonts w:ascii="Narkisim" w:hAnsi="Narkisim"/>
          <w:rtl/>
        </w:rPr>
        <w:t xml:space="preserve"> (שם) תמה דהוה דלא כמסקנת סוגיא דלעיל. ו</w:t>
      </w:r>
      <w:r w:rsidRPr="00A47A11">
        <w:rPr>
          <w:rFonts w:ascii="Narkisim" w:hAnsi="Narkisim"/>
          <w:b/>
          <w:bCs/>
          <w:rtl/>
        </w:rPr>
        <w:t>רש"י</w:t>
      </w:r>
      <w:r w:rsidRPr="00A47A11">
        <w:rPr>
          <w:rFonts w:ascii="Narkisim" w:hAnsi="Narkisim"/>
          <w:rtl/>
        </w:rPr>
        <w:t xml:space="preserve"> (שם) המשיך וכ"ת אתי עשה ודחי ל"ת, גזירה </w:t>
      </w:r>
      <w:r w:rsidRPr="00A47A11">
        <w:rPr>
          <w:rFonts w:ascii="Narkisim" w:hAnsi="Narkisim"/>
          <w:rtl/>
        </w:rPr>
        <w:lastRenderedPageBreak/>
        <w:t>ביאה ראשונה אטו ביאה שניה. וה</w:t>
      </w:r>
      <w:r w:rsidRPr="00A47A11">
        <w:rPr>
          <w:rFonts w:ascii="Narkisim" w:hAnsi="Narkisim"/>
          <w:b/>
          <w:bCs/>
          <w:rtl/>
        </w:rPr>
        <w:t>שאג"א</w:t>
      </w:r>
      <w:r w:rsidRPr="00A47A11">
        <w:rPr>
          <w:rFonts w:ascii="Narkisim" w:hAnsi="Narkisim"/>
          <w:rtl/>
        </w:rPr>
        <w:t xml:space="preserve"> (ס"ס לג) הק' אמאי איצטריך תרוייהו. [וע' מה שהו' לעיל כ:].</w:t>
      </w:r>
    </w:p>
    <w:p w14:paraId="6EF0A239" w14:textId="77777777" w:rsidR="006C4368" w:rsidRPr="00A47A11" w:rsidRDefault="006C4368" w:rsidP="006C4368">
      <w:pPr>
        <w:bidi/>
        <w:rPr>
          <w:rFonts w:ascii="Narkisim" w:hAnsi="Narkisim" w:cs="Narkisim"/>
        </w:rPr>
      </w:pPr>
      <w:r w:rsidRPr="00A47A11">
        <w:rPr>
          <w:rFonts w:ascii="Narkisim" w:hAnsi="Narkisim" w:cs="Narkisim"/>
          <w:u w:val="single"/>
          <w:rtl/>
        </w:rPr>
        <w:t>תוד"ה והא</w:t>
      </w:r>
      <w:r w:rsidRPr="00A47A11">
        <w:rPr>
          <w:rFonts w:ascii="Narkisim" w:hAnsi="Narkisim" w:cs="Narkisim"/>
          <w:rtl/>
        </w:rPr>
        <w:t>. ואין נראה דבחללה נמי איכא עשה דקדושים יהיו וכו'. וה</w:t>
      </w:r>
      <w:r w:rsidRPr="00A47A11">
        <w:rPr>
          <w:rFonts w:ascii="Narkisim" w:hAnsi="Narkisim" w:cs="Narkisim"/>
          <w:b/>
          <w:bCs/>
          <w:rtl/>
        </w:rPr>
        <w:t>ב"ח</w:t>
      </w:r>
      <w:r w:rsidRPr="00A47A11">
        <w:rPr>
          <w:rFonts w:ascii="Narkisim" w:hAnsi="Narkisim" w:cs="Narkisim"/>
          <w:rtl/>
        </w:rPr>
        <w:t xml:space="preserve"> (עה"ג) הק' דמסקנת הגמ' (לעיל כ:) דאלמנה מהאירוסין לכה"ג הוה ל"ת לחוד</w:t>
      </w:r>
      <w:r w:rsidRPr="00A47A11">
        <w:rPr>
          <w:rStyle w:val="ac"/>
          <w:rFonts w:ascii="Narkisim" w:hAnsi="Narkisim" w:cs="Narkisim"/>
          <w:rtl/>
        </w:rPr>
        <w:footnoteReference w:id="5108"/>
      </w:r>
      <w:r w:rsidRPr="00A47A11">
        <w:rPr>
          <w:rFonts w:ascii="Narkisim" w:hAnsi="Narkisim" w:cs="Narkisim"/>
          <w:rtl/>
        </w:rPr>
        <w:t>. ולא אמרי' דהוה עשה ול”ת משום קדושים יהיו. [משמע דקדושים יהיו לא הוה עשה בפנ"ע].</w:t>
      </w:r>
    </w:p>
    <w:p w14:paraId="208C4824" w14:textId="77777777" w:rsidR="006C4368" w:rsidRPr="00A47A11" w:rsidRDefault="006C4368" w:rsidP="006C4368">
      <w:pPr>
        <w:pStyle w:val="a7"/>
        <w:bidi/>
        <w:rPr>
          <w:rFonts w:ascii="Narkisim" w:hAnsi="Narkisim"/>
        </w:rPr>
      </w:pPr>
      <w:r w:rsidRPr="00A47A11">
        <w:rPr>
          <w:rFonts w:ascii="Narkisim" w:hAnsi="Narkisim"/>
          <w:rtl/>
        </w:rPr>
        <w:t xml:space="preserve">אך </w:t>
      </w:r>
      <w:r w:rsidRPr="00A47A11">
        <w:rPr>
          <w:rFonts w:ascii="Narkisim" w:hAnsi="Narkisim"/>
          <w:b/>
          <w:bCs/>
          <w:rtl/>
        </w:rPr>
        <w:t>תוס'</w:t>
      </w:r>
      <w:r w:rsidRPr="00A47A11">
        <w:rPr>
          <w:rFonts w:ascii="Narkisim" w:hAnsi="Narkisim"/>
          <w:rtl/>
        </w:rPr>
        <w:t xml:space="preserve"> (ב"מ ל. והתו"י לעיל כ:) כת' דדרשי' עשה דקדושים יהיו בהא דכתיבא בהאי פרשה</w:t>
      </w:r>
      <w:r w:rsidRPr="00A47A11">
        <w:rPr>
          <w:rStyle w:val="ac"/>
          <w:rFonts w:ascii="Narkisim" w:hAnsi="Narkisim"/>
          <w:rtl/>
        </w:rPr>
        <w:footnoteReference w:id="5109"/>
      </w:r>
      <w:r w:rsidRPr="00A47A11">
        <w:rPr>
          <w:rFonts w:ascii="Narkisim" w:hAnsi="Narkisim"/>
          <w:rtl/>
        </w:rPr>
        <w:t>. ועפ"ז הוה עשה בחללה לכהן הדיוט. ודוקא איסור אלמנה לכה"ג ליכא עשה. וה</w:t>
      </w:r>
      <w:r w:rsidRPr="00A47A11">
        <w:rPr>
          <w:rFonts w:ascii="Narkisim" w:hAnsi="Narkisim"/>
          <w:b/>
          <w:bCs/>
          <w:rtl/>
        </w:rPr>
        <w:t>אחרונים</w:t>
      </w:r>
      <w:r w:rsidRPr="00A47A11">
        <w:rPr>
          <w:rFonts w:ascii="Narkisim" w:hAnsi="Narkisim"/>
          <w:rtl/>
        </w:rPr>
        <w:t xml:space="preserve"> (שעה"מ יבום ו יא, רש"ש כ.) כת' לפ"ז אתי שפיר תוס' לשיטתם. ואילו דעת </w:t>
      </w:r>
      <w:r w:rsidRPr="00A47A11">
        <w:rPr>
          <w:rFonts w:ascii="Narkisim" w:hAnsi="Narkisim"/>
          <w:b/>
          <w:bCs/>
          <w:rtl/>
        </w:rPr>
        <w:t>רש"י</w:t>
      </w:r>
      <w:r w:rsidRPr="00A47A11">
        <w:rPr>
          <w:rFonts w:ascii="Narkisim" w:hAnsi="Narkisim"/>
          <w:rtl/>
        </w:rPr>
        <w:t xml:space="preserve"> (כאן) דחללה הוה ל"ת לחוד</w:t>
      </w:r>
      <w:r w:rsidRPr="00A47A11">
        <w:rPr>
          <w:rStyle w:val="ac"/>
          <w:rFonts w:ascii="Narkisim" w:hAnsi="Narkisim"/>
          <w:rtl/>
        </w:rPr>
        <w:footnoteReference w:id="5110"/>
      </w:r>
      <w:r w:rsidRPr="00A47A11">
        <w:rPr>
          <w:rFonts w:ascii="Narkisim" w:hAnsi="Narkisim"/>
          <w:rtl/>
        </w:rPr>
        <w:t>, דלא דרשי' כלל עשה דקדושים יהיו.</w:t>
      </w:r>
    </w:p>
    <w:p w14:paraId="40B8420D" w14:textId="77777777" w:rsidR="006C4368" w:rsidRPr="00A47A11" w:rsidRDefault="006C4368" w:rsidP="006C4368">
      <w:pPr>
        <w:pStyle w:val="3"/>
        <w:bidi/>
        <w:rPr>
          <w:rFonts w:ascii="Narkisim" w:hAnsi="Narkisim"/>
        </w:rPr>
      </w:pPr>
      <w:r w:rsidRPr="00A47A11">
        <w:rPr>
          <w:rFonts w:ascii="Narkisim" w:hAnsi="Narkisim"/>
          <w:rtl/>
        </w:rPr>
        <w:t>דף פד:</w:t>
      </w:r>
    </w:p>
    <w:p w14:paraId="77CAD6AB" w14:textId="77777777" w:rsidR="006C4368" w:rsidRPr="00A47A11" w:rsidRDefault="006C4368" w:rsidP="006C4368">
      <w:pPr>
        <w:bidi/>
        <w:rPr>
          <w:rFonts w:ascii="Narkisim" w:hAnsi="Narkisim" w:cs="Narkisim"/>
        </w:rPr>
      </w:pPr>
      <w:r w:rsidRPr="00A47A11">
        <w:rPr>
          <w:rFonts w:ascii="Narkisim" w:hAnsi="Narkisim" w:cs="Narkisim"/>
          <w:u w:val="single"/>
          <w:rtl/>
        </w:rPr>
        <w:t>קסבר האי תנא נישואין הראשונים וכו'</w:t>
      </w:r>
      <w:r w:rsidRPr="00A47A11">
        <w:rPr>
          <w:rFonts w:ascii="Narkisim" w:hAnsi="Narkisim" w:cs="Narkisim"/>
          <w:rtl/>
        </w:rPr>
        <w:t>. וכמ"ד (לעיל יג. ול.) דתחילת הנישואין מפילין ליבום. [ונפק"מ דאפי' שהיתה צרת ערוה ואח"כ גירש קודם שמת פטורה]. ופ</w:t>
      </w:r>
      <w:r w:rsidRPr="00A47A11">
        <w:rPr>
          <w:rFonts w:ascii="Narkisim" w:hAnsi="Narkisim" w:cs="Narkisim"/>
          <w:b/>
          <w:bCs/>
          <w:rtl/>
        </w:rPr>
        <w:t>רש”י</w:t>
      </w:r>
      <w:r w:rsidRPr="00A47A11">
        <w:rPr>
          <w:rFonts w:ascii="Narkisim" w:hAnsi="Narkisim" w:cs="Narkisim"/>
          <w:rtl/>
        </w:rPr>
        <w:t xml:space="preserve"> דבתר ההיא שעתא אזלינן. ותוס' ושא"ר הק' האיך ס"ד דמהני להתיר איסורי כהונה. [וע' מה שהו' לעיל בשם הקר"א].</w:t>
      </w:r>
    </w:p>
    <w:p w14:paraId="3B9A582E" w14:textId="77777777" w:rsidR="006C4368" w:rsidRPr="00A47A11" w:rsidRDefault="006C4368" w:rsidP="006C4368">
      <w:pPr>
        <w:bidi/>
        <w:rPr>
          <w:rFonts w:ascii="Narkisim" w:hAnsi="Narkisim" w:cs="Narkisim"/>
        </w:rPr>
      </w:pPr>
      <w:r w:rsidRPr="00A47A11">
        <w:rPr>
          <w:rFonts w:ascii="Narkisim" w:hAnsi="Narkisim" w:cs="Narkisim"/>
          <w:u w:val="single"/>
          <w:rtl/>
        </w:rPr>
        <w:t>תוד"ה וכי</w:t>
      </w:r>
      <w:r w:rsidRPr="00A47A11">
        <w:rPr>
          <w:rFonts w:ascii="Narkisim" w:hAnsi="Narkisim" w:cs="Narkisim"/>
          <w:rtl/>
        </w:rPr>
        <w:t>. אבל להקל לא אמרי' וכו'. [וע"כ דהוה ס"ד בעלמא, ובלאו הכי פריך ליה</w:t>
      </w:r>
      <w:r w:rsidRPr="00A47A11">
        <w:rPr>
          <w:rStyle w:val="ac"/>
          <w:rFonts w:ascii="Narkisim" w:hAnsi="Narkisim" w:cs="Narkisim"/>
          <w:rtl/>
        </w:rPr>
        <w:footnoteReference w:id="5111"/>
      </w:r>
      <w:r w:rsidRPr="00A47A11">
        <w:rPr>
          <w:rFonts w:ascii="Narkisim" w:hAnsi="Narkisim" w:cs="Narkisim"/>
          <w:rtl/>
        </w:rPr>
        <w:t>]. וה</w:t>
      </w:r>
      <w:r w:rsidRPr="00A47A11">
        <w:rPr>
          <w:rFonts w:ascii="Narkisim" w:hAnsi="Narkisim" w:cs="Narkisim"/>
          <w:b/>
          <w:bCs/>
          <w:rtl/>
        </w:rPr>
        <w:t>ריטב"א</w:t>
      </w:r>
      <w:r w:rsidRPr="00A47A11">
        <w:rPr>
          <w:rFonts w:ascii="Narkisim" w:hAnsi="Narkisim" w:cs="Narkisim"/>
          <w:rtl/>
        </w:rPr>
        <w:t xml:space="preserve"> הוסיף דאפי' כה"ג קידש בתולה ובגרה תחתיו אסורה לו (וכדלעיל נט.).</w:t>
      </w:r>
    </w:p>
    <w:p w14:paraId="2B35B281"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קר"א</w:t>
      </w:r>
      <w:r w:rsidRPr="00A47A11">
        <w:rPr>
          <w:rFonts w:ascii="Narkisim" w:hAnsi="Narkisim"/>
          <w:rtl/>
        </w:rPr>
        <w:t xml:space="preserve"> (הנ”ל) כת' דאיירי הכא במקום דעשה דוחה ל"ת, אלא דיש גזיה"כ ד'ועלתה'. וכיון דדין נישואין מפילין קדם מש"ה ל"מ סברא זו.</w:t>
      </w:r>
    </w:p>
    <w:p w14:paraId="460DD7E1" w14:textId="77777777" w:rsidR="006C4368" w:rsidRPr="00A47A11" w:rsidRDefault="006C4368" w:rsidP="006C4368">
      <w:pPr>
        <w:pStyle w:val="a7"/>
        <w:bidi/>
        <w:rPr>
          <w:rFonts w:ascii="Narkisim" w:hAnsi="Narkisim"/>
        </w:rPr>
      </w:pPr>
      <w:r w:rsidRPr="00A47A11">
        <w:rPr>
          <w:rFonts w:ascii="Narkisim" w:hAnsi="Narkisim"/>
          <w:rtl/>
        </w:rPr>
        <w:t>וב</w:t>
      </w:r>
      <w:r w:rsidRPr="00A47A11">
        <w:rPr>
          <w:rFonts w:ascii="Narkisim" w:hAnsi="Narkisim"/>
          <w:b/>
          <w:bCs/>
          <w:rtl/>
        </w:rPr>
        <w:t>הג' ראמ"ה</w:t>
      </w:r>
      <w:r w:rsidRPr="00A47A11">
        <w:rPr>
          <w:rFonts w:ascii="Narkisim" w:hAnsi="Narkisim"/>
          <w:rtl/>
        </w:rPr>
        <w:t xml:space="preserve"> תי' דלא דמי איסור אלמנה לכה"ג, דלא חל כשהיא תחתיו. דהיכא דאירס אלמנה ונתמנה להיות כה”ג מותרת לו</w:t>
      </w:r>
      <w:r w:rsidRPr="00A47A11">
        <w:rPr>
          <w:rStyle w:val="ac"/>
          <w:rFonts w:ascii="Narkisim" w:hAnsi="Narkisim"/>
          <w:rtl/>
        </w:rPr>
        <w:footnoteReference w:id="5112"/>
      </w:r>
      <w:r w:rsidRPr="00A47A11">
        <w:rPr>
          <w:rFonts w:ascii="Narkisim" w:hAnsi="Narkisim"/>
          <w:rtl/>
        </w:rPr>
        <w:t xml:space="preserve"> (כדלעיל נט. וסא.). אבל איסור פצוע דכא חל תחתיו (כדתנן לעיל ע.).</w:t>
      </w:r>
    </w:p>
    <w:p w14:paraId="1C1FA47D" w14:textId="77777777" w:rsidR="006C4368" w:rsidRPr="00A47A11" w:rsidRDefault="006C4368" w:rsidP="006C4368">
      <w:pPr>
        <w:pStyle w:val="aa"/>
        <w:bidi/>
        <w:rPr>
          <w:rFonts w:ascii="Narkisim" w:hAnsi="Narkisim"/>
        </w:rPr>
      </w:pPr>
      <w:r w:rsidRPr="00A47A11">
        <w:rPr>
          <w:rFonts w:ascii="Narkisim" w:hAnsi="Narkisim"/>
          <w:rtl/>
        </w:rPr>
        <w:t>וה</w:t>
      </w:r>
      <w:r w:rsidRPr="00A47A11">
        <w:rPr>
          <w:rFonts w:ascii="Narkisim" w:hAnsi="Narkisim"/>
          <w:b/>
          <w:bCs/>
          <w:rtl/>
        </w:rPr>
        <w:t>מאירי</w:t>
      </w:r>
      <w:r w:rsidRPr="00A47A11">
        <w:rPr>
          <w:rFonts w:ascii="Narkisim" w:hAnsi="Narkisim"/>
          <w:rtl/>
        </w:rPr>
        <w:t xml:space="preserve"> כת' למסקנא דאף למ"ד (לעיל יג. ול.) דנשואין ראשונים מפילין, דוקא אחר שנשאה, דבשעת נישואין הוה צרת ערוה, ונאסרת עולמית. אבל בכי הא דנתאלמנה לא גרעא מבגרה תחתיו [לאחר קידושין] שהיא אסורה לו. ועוד דבחלל שנשא כשרה מיהא הרי נבעלה לחלל ואם כן ליתני בתולה.</w:t>
      </w:r>
    </w:p>
    <w:p w14:paraId="04F60969" w14:textId="77777777" w:rsidR="006C4368" w:rsidRPr="00A47A11" w:rsidRDefault="006C4368" w:rsidP="006C4368">
      <w:pPr>
        <w:pStyle w:val="aa"/>
        <w:bidi/>
        <w:rPr>
          <w:rFonts w:ascii="Narkisim" w:hAnsi="Narkisim"/>
        </w:rPr>
      </w:pPr>
      <w:r w:rsidRPr="00A47A11">
        <w:rPr>
          <w:rFonts w:ascii="Narkisim" w:hAnsi="Narkisim"/>
          <w:u w:val="single"/>
          <w:rtl/>
        </w:rPr>
        <w:t>בא"ד ועוד דאפי' לאחר מיתה (לעיל עט:) כשנפלה לו ואח"כ נפצע</w:t>
      </w:r>
      <w:r w:rsidRPr="00A47A11">
        <w:rPr>
          <w:rStyle w:val="ac"/>
          <w:rFonts w:ascii="Narkisim" w:hAnsi="Narkisim"/>
          <w:u w:val="single"/>
          <w:rtl/>
        </w:rPr>
        <w:footnoteReference w:id="5113"/>
      </w:r>
      <w:r w:rsidRPr="00A47A11">
        <w:rPr>
          <w:rFonts w:ascii="Narkisim" w:hAnsi="Narkisim"/>
          <w:u w:val="single"/>
          <w:rtl/>
        </w:rPr>
        <w:t xml:space="preserve"> וכו'</w:t>
      </w:r>
      <w:r w:rsidRPr="00A47A11">
        <w:rPr>
          <w:rFonts w:ascii="Narkisim" w:hAnsi="Narkisim"/>
          <w:rtl/>
        </w:rPr>
        <w:t>. [ומיתה מפלת לדידן לא גרע מדין נישואין מפילין]. וה</w:t>
      </w:r>
      <w:r w:rsidRPr="00A47A11">
        <w:rPr>
          <w:rFonts w:ascii="Narkisim" w:hAnsi="Narkisim"/>
          <w:b/>
          <w:bCs/>
          <w:rtl/>
        </w:rPr>
        <w:t>אחרונים</w:t>
      </w:r>
      <w:r w:rsidRPr="00A47A11">
        <w:rPr>
          <w:rFonts w:ascii="Narkisim" w:hAnsi="Narkisim"/>
          <w:rtl/>
        </w:rPr>
        <w:t xml:space="preserve"> הק' מ"ש דבאיסור פצוע דכא לא אמרי' דנשאה בהיתר [ע”ד מש”כ תוס' לעיל כ:. וע' מש”כ לעיל עט: בזה].</w:t>
      </w:r>
    </w:p>
    <w:p w14:paraId="6DD3A4E2" w14:textId="77777777" w:rsidR="006C4368" w:rsidRPr="00A47A11" w:rsidRDefault="006C4368" w:rsidP="006C4368">
      <w:pPr>
        <w:bidi/>
        <w:rPr>
          <w:rFonts w:ascii="Narkisim" w:hAnsi="Narkisim" w:cs="Narkisim"/>
        </w:rPr>
      </w:pPr>
      <w:r w:rsidRPr="00A47A11">
        <w:rPr>
          <w:rFonts w:ascii="Narkisim" w:hAnsi="Narkisim" w:cs="Narkisim"/>
          <w:u w:val="single"/>
          <w:rtl/>
        </w:rPr>
        <w:t>מתקיף לה רב פפא אם איתא להא דכי אתא ר' דימי וכו' מצרי שני שנשא מצרית ראשונה בנה שני</w:t>
      </w:r>
      <w:r w:rsidRPr="00A47A11">
        <w:rPr>
          <w:rFonts w:ascii="Narkisim" w:hAnsi="Narkisim" w:cs="Narkisim"/>
          <w:rtl/>
        </w:rPr>
        <w:t>. דבתר דידה שדינן [וכדאי' לעיל עח. משום דעובר ירך אמו, ולמסקנא דדרשי' אשר יולדו, הכתוב תלאן בלידה]. ופליג ארבה ב"ב חנה א"ר יוחנן דשדינן בתר דידיה, והבן שלישי.</w:t>
      </w:r>
    </w:p>
    <w:p w14:paraId="6B696497" w14:textId="77777777" w:rsidR="006C4368" w:rsidRPr="00A47A11" w:rsidRDefault="006C4368" w:rsidP="006C4368">
      <w:pPr>
        <w:pStyle w:val="a7"/>
        <w:bidi/>
        <w:rPr>
          <w:rFonts w:ascii="Narkisim" w:hAnsi="Narkisim"/>
        </w:rPr>
      </w:pPr>
      <w:r w:rsidRPr="00A47A11">
        <w:rPr>
          <w:rFonts w:ascii="Narkisim" w:hAnsi="Narkisim"/>
          <w:rtl/>
        </w:rPr>
        <w:t>ונח' ה</w:t>
      </w:r>
      <w:r w:rsidRPr="00A47A11">
        <w:rPr>
          <w:rFonts w:ascii="Narkisim" w:hAnsi="Narkisim"/>
          <w:b/>
          <w:bCs/>
          <w:rtl/>
        </w:rPr>
        <w:t>ראשונים</w:t>
      </w:r>
      <w:r w:rsidRPr="00A47A11">
        <w:rPr>
          <w:rFonts w:ascii="Narkisim" w:hAnsi="Narkisim"/>
          <w:rtl/>
        </w:rPr>
        <w:t xml:space="preserve"> בדעת ר' דימי דה</w:t>
      </w:r>
      <w:r w:rsidRPr="00A47A11">
        <w:rPr>
          <w:rFonts w:ascii="Narkisim" w:hAnsi="Narkisim"/>
          <w:b/>
          <w:bCs/>
          <w:rtl/>
        </w:rPr>
        <w:t>רמב"ן</w:t>
      </w:r>
      <w:r w:rsidRPr="00A47A11">
        <w:rPr>
          <w:rFonts w:ascii="Narkisim" w:hAnsi="Narkisim"/>
          <w:rtl/>
        </w:rPr>
        <w:t xml:space="preserve"> (לעיל עח., וכ"מ מדברי רש"י שם) כת' דתלי רק בתר דידה [דמנין הדורות מונין לפי האשה, ואף מצרי ראשון שנשא שניה, הבן שלישי]. אבל דעת ה</w:t>
      </w:r>
      <w:r w:rsidRPr="00A47A11">
        <w:rPr>
          <w:rFonts w:ascii="Narkisim" w:hAnsi="Narkisim"/>
          <w:b/>
          <w:bCs/>
          <w:rtl/>
        </w:rPr>
        <w:t>רמב"ם</w:t>
      </w:r>
      <w:r w:rsidRPr="00A47A11">
        <w:rPr>
          <w:rFonts w:ascii="Narkisim" w:hAnsi="Narkisim"/>
          <w:rtl/>
        </w:rPr>
        <w:t xml:space="preserve"> (איסו”ב יב כ) דאזלי' להחמיר [בתר הפגום]</w:t>
      </w:r>
      <w:r w:rsidRPr="00A47A11">
        <w:rPr>
          <w:rStyle w:val="ac"/>
          <w:rFonts w:ascii="Narkisim" w:hAnsi="Narkisim"/>
          <w:rtl/>
        </w:rPr>
        <w:footnoteReference w:id="5114"/>
      </w:r>
      <w:r w:rsidRPr="00A47A11">
        <w:rPr>
          <w:rFonts w:ascii="Narkisim" w:hAnsi="Narkisim"/>
          <w:rtl/>
        </w:rPr>
        <w:t>.</w:t>
      </w:r>
    </w:p>
    <w:p w14:paraId="4544E3AD" w14:textId="77777777" w:rsidR="006C4368" w:rsidRPr="00A47A11" w:rsidRDefault="006C4368" w:rsidP="006C4368">
      <w:pPr>
        <w:pStyle w:val="a7"/>
        <w:bidi/>
        <w:rPr>
          <w:rFonts w:ascii="Narkisim" w:hAnsi="Narkisim"/>
        </w:rPr>
      </w:pPr>
      <w:r w:rsidRPr="00A47A11">
        <w:rPr>
          <w:rFonts w:ascii="Narkisim" w:hAnsi="Narkisim"/>
          <w:rtl/>
        </w:rPr>
        <w:lastRenderedPageBreak/>
        <w:t>וה</w:t>
      </w:r>
      <w:r w:rsidRPr="00A47A11">
        <w:rPr>
          <w:rFonts w:ascii="Narkisim" w:hAnsi="Narkisim"/>
          <w:b/>
          <w:bCs/>
          <w:rtl/>
        </w:rPr>
        <w:t>גמ'</w:t>
      </w:r>
      <w:r w:rsidRPr="00A47A11">
        <w:rPr>
          <w:rFonts w:ascii="Narkisim" w:hAnsi="Narkisim"/>
          <w:rtl/>
        </w:rPr>
        <w:t xml:space="preserve"> (כאן) מק' ליתני מצרי שני שנשא ב' מצריות, וה</w:t>
      </w:r>
      <w:r w:rsidRPr="00A47A11">
        <w:rPr>
          <w:rFonts w:ascii="Narkisim" w:hAnsi="Narkisim"/>
          <w:b/>
          <w:bCs/>
          <w:rtl/>
        </w:rPr>
        <w:t>אחרונים</w:t>
      </w:r>
      <w:r w:rsidRPr="00A47A11">
        <w:rPr>
          <w:rFonts w:ascii="Narkisim" w:hAnsi="Narkisim"/>
          <w:rtl/>
        </w:rPr>
        <w:t xml:space="preserve"> (קר"א, ערול"נ) כת' דמשמע כדברי הרמב"ם דדוקא מצרי ראשון שנשא, אבל מצרי שני לא מהני.</w:t>
      </w:r>
    </w:p>
    <w:p w14:paraId="7EDF3032" w14:textId="77777777" w:rsidR="006C4368" w:rsidRPr="00A47A11" w:rsidRDefault="006C4368" w:rsidP="006C4368">
      <w:pPr>
        <w:bidi/>
        <w:rPr>
          <w:rFonts w:ascii="Narkisim" w:hAnsi="Narkisim" w:cs="Narkisim"/>
        </w:rPr>
      </w:pPr>
      <w:r w:rsidRPr="00A47A11">
        <w:rPr>
          <w:rFonts w:ascii="Narkisim" w:hAnsi="Narkisim" w:cs="Narkisim"/>
          <w:u w:val="single"/>
          <w:rtl/>
        </w:rPr>
        <w:t>תוד"ה אי</w:t>
      </w:r>
      <w:r w:rsidRPr="00A47A11">
        <w:rPr>
          <w:rFonts w:ascii="Narkisim" w:hAnsi="Narkisim" w:cs="Narkisim"/>
          <w:rtl/>
        </w:rPr>
        <w:t xml:space="preserve">. ואר"י וכו' דאשת שני שהיא שנייה מותרת ליבמה, דקהל גרים לא איקרי קהל. [כיון דאביו מצרי, וכמ"ש תוס' בסמוך]. אבל </w:t>
      </w:r>
      <w:r w:rsidRPr="00A47A11">
        <w:rPr>
          <w:rFonts w:ascii="Narkisim" w:hAnsi="Narkisim" w:cs="Narkisim"/>
          <w:b/>
          <w:bCs/>
          <w:rtl/>
        </w:rPr>
        <w:t>רש"י</w:t>
      </w:r>
      <w:r w:rsidRPr="00A47A11">
        <w:rPr>
          <w:rFonts w:ascii="Narkisim" w:hAnsi="Narkisim" w:cs="Narkisim"/>
          <w:rtl/>
        </w:rPr>
        <w:t xml:space="preserve"> (ד"ה נסיב) כת' דמצרי שלישי הוה ישראל גמור, ואסור במצרית שניה</w:t>
      </w:r>
      <w:r w:rsidRPr="00A47A11">
        <w:rPr>
          <w:rStyle w:val="ac"/>
          <w:rFonts w:ascii="Narkisim" w:hAnsi="Narkisim" w:cs="Narkisim"/>
          <w:rtl/>
        </w:rPr>
        <w:footnoteReference w:id="5115"/>
      </w:r>
      <w:r w:rsidRPr="00A47A11">
        <w:rPr>
          <w:rFonts w:ascii="Narkisim" w:hAnsi="Narkisim" w:cs="Narkisim"/>
          <w:rtl/>
        </w:rPr>
        <w:t>. וה</w:t>
      </w:r>
      <w:r w:rsidRPr="00A47A11">
        <w:rPr>
          <w:rFonts w:ascii="Narkisim" w:hAnsi="Narkisim" w:cs="Narkisim"/>
          <w:b/>
          <w:bCs/>
          <w:rtl/>
        </w:rPr>
        <w:t>מהרש”ל</w:t>
      </w:r>
      <w:r w:rsidRPr="00A47A11">
        <w:rPr>
          <w:rFonts w:ascii="Narkisim" w:hAnsi="Narkisim" w:cs="Narkisim"/>
          <w:rtl/>
        </w:rPr>
        <w:t xml:space="preserve"> ו</w:t>
      </w:r>
      <w:r w:rsidRPr="00A47A11">
        <w:rPr>
          <w:rFonts w:ascii="Narkisim" w:hAnsi="Narkisim" w:cs="Narkisim"/>
          <w:b/>
          <w:bCs/>
          <w:rtl/>
        </w:rPr>
        <w:t>מהרש"א</w:t>
      </w:r>
      <w:r w:rsidRPr="00A47A11">
        <w:rPr>
          <w:rFonts w:ascii="Narkisim" w:hAnsi="Narkisim" w:cs="Narkisim"/>
          <w:rtl/>
        </w:rPr>
        <w:t xml:space="preserve"> ו</w:t>
      </w:r>
      <w:r w:rsidRPr="00A47A11">
        <w:rPr>
          <w:rFonts w:ascii="Narkisim" w:hAnsi="Narkisim" w:cs="Narkisim"/>
          <w:b/>
          <w:bCs/>
          <w:rtl/>
        </w:rPr>
        <w:t>מהד"ב</w:t>
      </w:r>
      <w:r w:rsidRPr="00A47A11">
        <w:rPr>
          <w:rFonts w:ascii="Narkisim" w:hAnsi="Narkisim" w:cs="Narkisim"/>
          <w:rtl/>
        </w:rPr>
        <w:t xml:space="preserve"> כת' דדעת רש”י דכיון דנולד בקדושה, ואביו ואמו ישראלים מקרי קהל, אף דהוה בן גר וגיורת. וה</w:t>
      </w:r>
      <w:r w:rsidRPr="00A47A11">
        <w:rPr>
          <w:rFonts w:ascii="Narkisim" w:hAnsi="Narkisim" w:cs="Narkisim"/>
          <w:b/>
          <w:bCs/>
          <w:rtl/>
        </w:rPr>
        <w:t>רש"ש</w:t>
      </w:r>
      <w:r w:rsidRPr="00A47A11">
        <w:rPr>
          <w:rFonts w:ascii="Narkisim" w:hAnsi="Narkisim" w:cs="Narkisim"/>
          <w:rtl/>
        </w:rPr>
        <w:t xml:space="preserve"> (ושעה"מ) תמה דאי' להדיא (קידושין עה.) דגר אפי' דור עשירי מותר בממזרת.</w:t>
      </w:r>
    </w:p>
    <w:p w14:paraId="5348F1E3"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חזו"א</w:t>
      </w:r>
      <w:r w:rsidRPr="00A47A11">
        <w:rPr>
          <w:rFonts w:ascii="Narkisim" w:hAnsi="Narkisim"/>
          <w:rtl/>
        </w:rPr>
        <w:t xml:space="preserve"> (ד ח, ועד”ז הישרש יעקב ומשנת ר' אהרן) כת' דרש"י איירי בישראל הבא על מצרית, דהבן אחר הפגום והוה מצרי שני. וכיון שהוא פסול הוא מותר במצרית, אבל היכא דנשא מצרית שניה הבן שלישי [וכשר]. ויש לו יחס ישראל מחמת אבי אביו, ומש"ה אינו משפחת גרים. [ותוס' פליגי].</w:t>
      </w:r>
    </w:p>
    <w:p w14:paraId="307477E5" w14:textId="77777777" w:rsidR="006C4368" w:rsidRPr="00A47A11" w:rsidRDefault="006C4368" w:rsidP="006C4368">
      <w:pPr>
        <w:pStyle w:val="a7"/>
        <w:bidi/>
        <w:rPr>
          <w:rFonts w:ascii="Narkisim" w:hAnsi="Narkisim"/>
        </w:rPr>
      </w:pPr>
      <w:r w:rsidRPr="00A47A11">
        <w:rPr>
          <w:rFonts w:ascii="Narkisim" w:hAnsi="Narkisim"/>
          <w:rtl/>
        </w:rPr>
        <w:t>ואפ"ה מתייחס אחר משפחת אביו [שהוא קהל ישראל, ולא גרים].</w:t>
      </w:r>
    </w:p>
    <w:p w14:paraId="7F284B47" w14:textId="77777777" w:rsidR="006C4368" w:rsidRPr="00A47A11" w:rsidRDefault="006C4368" w:rsidP="006C4368">
      <w:pPr>
        <w:bidi/>
        <w:rPr>
          <w:rFonts w:ascii="Narkisim" w:hAnsi="Narkisim" w:cs="Narkisim"/>
        </w:rPr>
      </w:pPr>
      <w:r w:rsidRPr="00A47A11">
        <w:rPr>
          <w:rFonts w:ascii="Narkisim" w:hAnsi="Narkisim" w:cs="Narkisim"/>
          <w:u w:val="single"/>
          <w:rtl/>
        </w:rPr>
        <w:t>בא”ד דוי"ל דבן הישראלית ממצרי שני וכו' חשיב קהל גרים</w:t>
      </w:r>
      <w:r w:rsidRPr="00A47A11">
        <w:rPr>
          <w:rFonts w:ascii="Narkisim" w:hAnsi="Narkisim" w:cs="Narkisim"/>
          <w:rtl/>
        </w:rPr>
        <w:t>. בפשוטו כוונת התוס' דמשפחת גר תלי באביו, וכדעת ה</w:t>
      </w:r>
      <w:r w:rsidRPr="00A47A11">
        <w:rPr>
          <w:rFonts w:ascii="Narkisim" w:hAnsi="Narkisim" w:cs="Narkisim"/>
          <w:b/>
          <w:bCs/>
          <w:rtl/>
        </w:rPr>
        <w:t>ר"ן</w:t>
      </w:r>
      <w:r w:rsidRPr="00A47A11">
        <w:rPr>
          <w:rFonts w:ascii="Narkisim" w:hAnsi="Narkisim" w:cs="Narkisim"/>
          <w:rtl/>
        </w:rPr>
        <w:t xml:space="preserve"> </w:t>
      </w:r>
      <w:r w:rsidRPr="00A47A11">
        <w:rPr>
          <w:rFonts w:ascii="Narkisim" w:hAnsi="Narkisim" w:cs="Narkisim"/>
          <w:sz w:val="20"/>
          <w:szCs w:val="20"/>
          <w:rtl/>
        </w:rPr>
        <w:t>(קידושין ל: בדה"ר)</w:t>
      </w:r>
      <w:r w:rsidRPr="00A47A11">
        <w:rPr>
          <w:rFonts w:ascii="Narkisim" w:hAnsi="Narkisim" w:cs="Narkisim"/>
          <w:rtl/>
        </w:rPr>
        <w:t xml:space="preserve"> דגר שנשא בת ישראל הבן הוה קהל גרים, דאמרי' למשפחותם לבית אבותם. [וכ"ד תוס' קידושין עד:]. אבל דעת ה</w:t>
      </w:r>
      <w:r w:rsidRPr="00A47A11">
        <w:rPr>
          <w:rFonts w:ascii="Narkisim" w:hAnsi="Narkisim" w:cs="Narkisim"/>
          <w:b/>
          <w:bCs/>
          <w:rtl/>
        </w:rPr>
        <w:t>רמב"ם</w:t>
      </w:r>
      <w:r w:rsidRPr="00A47A11">
        <w:rPr>
          <w:rFonts w:ascii="Narkisim" w:hAnsi="Narkisim" w:cs="Narkisim"/>
          <w:rtl/>
        </w:rPr>
        <w:t xml:space="preserve"> (איסו"ב טו ט, והשו”ע ד כג) דגר שנשא בת ישראל, הולד ישראל לכל דבר ואסור בממזרת.</w:t>
      </w:r>
    </w:p>
    <w:p w14:paraId="47DCE0BF"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שעה"מ</w:t>
      </w:r>
      <w:r w:rsidRPr="00A47A11">
        <w:rPr>
          <w:rFonts w:ascii="Narkisim" w:hAnsi="Narkisim"/>
          <w:rtl/>
        </w:rPr>
        <w:t xml:space="preserve"> (איסו"ב טו ט) הק' דמשמע דתוס' דנו בזה מסברא, ולכאורה תלי בב' הלשונות (לעיל נז.) אי אמרי' דכשרות איתווסף בה או קדושה איתווסף, האם ע"י שאמו מישראל יש לו קדושת ישראל. [וע' מה שהו' שם. ואכמ"ל].</w:t>
      </w:r>
    </w:p>
    <w:p w14:paraId="7FA6E642" w14:textId="77777777" w:rsidR="006C4368" w:rsidRPr="00A47A11" w:rsidRDefault="006C4368" w:rsidP="006C4368">
      <w:pPr>
        <w:bidi/>
        <w:rPr>
          <w:rFonts w:ascii="Narkisim" w:hAnsi="Narkisim" w:cs="Narkisim"/>
        </w:rPr>
      </w:pPr>
      <w:r w:rsidRPr="00A47A11">
        <w:rPr>
          <w:rFonts w:ascii="Narkisim" w:hAnsi="Narkisim" w:cs="Narkisim"/>
          <w:rtl/>
        </w:rPr>
        <w:t>אבל ה</w:t>
      </w:r>
      <w:r w:rsidRPr="00A47A11">
        <w:rPr>
          <w:rFonts w:ascii="Narkisim" w:hAnsi="Narkisim" w:cs="Narkisim"/>
          <w:b/>
          <w:bCs/>
          <w:rtl/>
        </w:rPr>
        <w:t>חזו"א</w:t>
      </w:r>
      <w:r w:rsidRPr="00A47A11">
        <w:rPr>
          <w:rFonts w:ascii="Narkisim" w:hAnsi="Narkisim" w:cs="Narkisim"/>
          <w:rtl/>
        </w:rPr>
        <w:t xml:space="preserve"> (וכן במשנת ר' אהרן) כת' דהנידון של תוס' בישראל שנשא מצרית דשדינן בתר הפגום ודינו כמצרי שני. והוא נשא ישראלית, ובזה ס"ד דתוס' דכיון דאבי אביו ישראל יאסר בפסולי קהל. ותוס' תי' דאפ”ה כיון דבא מכח פסול, לא מהני אביו לקדשו בקדושת ישראל. ונחשב קהל גרים.</w:t>
      </w:r>
    </w:p>
    <w:p w14:paraId="40DC813D" w14:textId="77777777" w:rsidR="006C4368" w:rsidRPr="00A47A11" w:rsidRDefault="006C4368" w:rsidP="006C4368">
      <w:pPr>
        <w:bidi/>
        <w:rPr>
          <w:rFonts w:ascii="Narkisim" w:hAnsi="Narkisim" w:cs="Narkisim"/>
        </w:rPr>
      </w:pPr>
      <w:r w:rsidRPr="00A47A11">
        <w:rPr>
          <w:rFonts w:ascii="Narkisim" w:hAnsi="Narkisim" w:cs="Narkisim"/>
          <w:u w:val="single"/>
          <w:rtl/>
        </w:rPr>
        <w:t>תוד"ה שייר</w:t>
      </w:r>
      <w:r w:rsidRPr="00A47A11">
        <w:rPr>
          <w:rFonts w:ascii="Narkisim" w:hAnsi="Narkisim" w:cs="Narkisim"/>
          <w:rtl/>
        </w:rPr>
        <w:t>. ולא אמרי' במותר לה נאסרה (כדלעיל יא: וסוטה ו.), דלא שייך אלא כשנעשה באשה שום מעשה וכו'</w:t>
      </w:r>
      <w:r w:rsidRPr="00A47A11">
        <w:rPr>
          <w:rStyle w:val="ac"/>
          <w:rFonts w:ascii="Narkisim" w:hAnsi="Narkisim" w:cs="Narkisim"/>
          <w:rtl/>
        </w:rPr>
        <w:footnoteReference w:id="5116"/>
      </w:r>
      <w:r w:rsidRPr="00A47A11">
        <w:rPr>
          <w:rFonts w:ascii="Narkisim" w:hAnsi="Narkisim" w:cs="Narkisim"/>
          <w:rtl/>
        </w:rPr>
        <w:t>. וה</w:t>
      </w:r>
      <w:r w:rsidRPr="00A47A11">
        <w:rPr>
          <w:rFonts w:ascii="Narkisim" w:hAnsi="Narkisim" w:cs="Narkisim"/>
          <w:b/>
          <w:bCs/>
          <w:rtl/>
        </w:rPr>
        <w:t>קובה"ע</w:t>
      </w:r>
      <w:r w:rsidRPr="00A47A11">
        <w:rPr>
          <w:rFonts w:ascii="Narkisim" w:hAnsi="Narkisim" w:cs="Narkisim"/>
          <w:rtl/>
        </w:rPr>
        <w:t xml:space="preserve"> (טו ד) ביאר דגדר הך ק"ו דהיכא דהאישות גרמה שתאסר לבעלה, דילפי' מק"ו דהאישות מקולקלת</w:t>
      </w:r>
      <w:r w:rsidRPr="00A47A11">
        <w:rPr>
          <w:rStyle w:val="ac"/>
          <w:rFonts w:ascii="Narkisim" w:hAnsi="Narkisim" w:cs="Narkisim"/>
          <w:rtl/>
        </w:rPr>
        <w:footnoteReference w:id="5117"/>
      </w:r>
      <w:r w:rsidRPr="00A47A11">
        <w:rPr>
          <w:rFonts w:ascii="Narkisim" w:hAnsi="Narkisim" w:cs="Narkisim"/>
          <w:rtl/>
        </w:rPr>
        <w:t>. אבל כשהבעל נעשה פצוע דכא, האישות אינה גורמת להאיסור. דהא אסורה עליו אפי' אם לא היה בעלה, ומשו"ה לא שייך האי טעמא דק"ו.</w:t>
      </w:r>
    </w:p>
    <w:p w14:paraId="6656E663" w14:textId="77777777" w:rsidR="006C4368" w:rsidRPr="00A47A11" w:rsidRDefault="006C4368" w:rsidP="006C4368">
      <w:pPr>
        <w:pStyle w:val="2"/>
        <w:bidi/>
        <w:rPr>
          <w:rFonts w:ascii="Narkisim" w:hAnsi="Narkisim"/>
        </w:rPr>
      </w:pPr>
      <w:r w:rsidRPr="00A47A11">
        <w:rPr>
          <w:rFonts w:ascii="Narkisim" w:hAnsi="Narkisim"/>
          <w:rtl/>
        </w:rPr>
        <w:t>לא הוזהרו כשרות להנשא לפסולין</w:t>
      </w:r>
    </w:p>
    <w:p w14:paraId="2ED14D04" w14:textId="77777777" w:rsidR="006C4368" w:rsidRPr="00A47A11" w:rsidRDefault="006C4368" w:rsidP="006C4368">
      <w:pPr>
        <w:bidi/>
        <w:rPr>
          <w:rFonts w:ascii="Narkisim" w:hAnsi="Narkisim" w:cs="Narkisim"/>
        </w:rPr>
      </w:pPr>
      <w:r w:rsidRPr="00A47A11">
        <w:rPr>
          <w:rFonts w:ascii="Narkisim" w:hAnsi="Narkisim" w:cs="Narkisim"/>
          <w:u w:val="single"/>
          <w:rtl/>
        </w:rPr>
        <w:t>אמר רב יהודה אמר רב לא הוזהרו כשרות להנשא לפסולין</w:t>
      </w:r>
      <w:r w:rsidRPr="00A47A11">
        <w:rPr>
          <w:rFonts w:ascii="Narkisim" w:hAnsi="Narkisim" w:cs="Narkisim"/>
          <w:rtl/>
        </w:rPr>
        <w:t>. דכהנת מותרת לינשא לחלל. פ</w:t>
      </w:r>
      <w:r w:rsidRPr="00A47A11">
        <w:rPr>
          <w:rFonts w:ascii="Narkisim" w:hAnsi="Narkisim" w:cs="Narkisim"/>
          <w:b/>
          <w:bCs/>
          <w:rtl/>
        </w:rPr>
        <w:t>רש"י</w:t>
      </w:r>
      <w:r w:rsidRPr="00A47A11">
        <w:rPr>
          <w:rFonts w:ascii="Narkisim" w:hAnsi="Narkisim" w:cs="Narkisim"/>
          <w:rtl/>
        </w:rPr>
        <w:t xml:space="preserve"> ואע"פ שכהן מוזהר בחללה, כהנת לא הוזהרו בחללים.</w:t>
      </w:r>
    </w:p>
    <w:p w14:paraId="2E845F42" w14:textId="77777777" w:rsidR="006C4368" w:rsidRPr="00A47A11" w:rsidRDefault="006C4368" w:rsidP="006C4368">
      <w:pPr>
        <w:pStyle w:val="a7"/>
        <w:bidi/>
        <w:rPr>
          <w:rFonts w:ascii="Narkisim" w:hAnsi="Narkisim"/>
        </w:rPr>
      </w:pPr>
      <w:r w:rsidRPr="00A47A11">
        <w:rPr>
          <w:rFonts w:ascii="Narkisim" w:hAnsi="Narkisim"/>
          <w:rtl/>
        </w:rPr>
        <w:t>ובהמשך סוגיין יש מ"ד דהוזהרו כשירות, וכהנת אסורה בחלל וכן בגר (וכדאי' קידושין עג.)</w:t>
      </w:r>
      <w:r w:rsidRPr="00A47A11">
        <w:rPr>
          <w:rStyle w:val="ac"/>
          <w:rFonts w:ascii="Narkisim" w:hAnsi="Narkisim"/>
          <w:rtl/>
        </w:rPr>
        <w:footnoteReference w:id="5118"/>
      </w:r>
      <w:r w:rsidRPr="00A47A11">
        <w:rPr>
          <w:rFonts w:ascii="Narkisim" w:hAnsi="Narkisim"/>
          <w:rtl/>
        </w:rPr>
        <w:t>. ומבואר דמהדין 'חלל' פסול בכהונה, ונחשב 'פסול' אצל בת כהן</w:t>
      </w:r>
      <w:r w:rsidRPr="00A47A11">
        <w:rPr>
          <w:rStyle w:val="ac"/>
          <w:rFonts w:ascii="Narkisim" w:hAnsi="Narkisim"/>
          <w:rtl/>
        </w:rPr>
        <w:footnoteReference w:id="5119"/>
      </w:r>
      <w:r w:rsidRPr="00A47A11">
        <w:rPr>
          <w:rFonts w:ascii="Narkisim" w:hAnsi="Narkisim"/>
          <w:rtl/>
        </w:rPr>
        <w:t>. ואף מ"ד דפליג הוה משום דס"ל דלא הוזהרו כשירות, ואין עליה איסור לפגום כהונתה</w:t>
      </w:r>
      <w:r w:rsidRPr="00A47A11">
        <w:rPr>
          <w:rStyle w:val="ac"/>
          <w:rFonts w:ascii="Narkisim" w:hAnsi="Narkisim"/>
          <w:rtl/>
        </w:rPr>
        <w:footnoteReference w:id="5120"/>
      </w:r>
      <w:r w:rsidRPr="00A47A11">
        <w:rPr>
          <w:rFonts w:ascii="Narkisim" w:hAnsi="Narkisim"/>
          <w:rtl/>
        </w:rPr>
        <w:t>.</w:t>
      </w:r>
    </w:p>
    <w:p w14:paraId="2747216C" w14:textId="77777777" w:rsidR="006C4368" w:rsidRPr="00A47A11" w:rsidRDefault="006C4368" w:rsidP="006C4368">
      <w:pPr>
        <w:bidi/>
        <w:rPr>
          <w:rFonts w:ascii="Narkisim" w:hAnsi="Narkisim" w:cs="Narkisim"/>
        </w:rPr>
      </w:pPr>
      <w:r w:rsidRPr="00A47A11">
        <w:rPr>
          <w:rFonts w:ascii="Narkisim" w:hAnsi="Narkisim" w:cs="Narkisim"/>
          <w:rtl/>
        </w:rPr>
        <w:t>וה</w:t>
      </w:r>
      <w:r w:rsidRPr="00A47A11">
        <w:rPr>
          <w:rFonts w:ascii="Narkisim" w:hAnsi="Narkisim" w:cs="Narkisim"/>
          <w:b/>
          <w:bCs/>
          <w:rtl/>
        </w:rPr>
        <w:t>ריטב"א</w:t>
      </w:r>
      <w:r w:rsidRPr="00A47A11">
        <w:rPr>
          <w:rFonts w:ascii="Narkisim" w:hAnsi="Narkisim" w:cs="Narkisim"/>
          <w:rtl/>
        </w:rPr>
        <w:t xml:space="preserve"> כת' (בשם הר"מ בשם אחיו ובשם הראב"ד) דילפי' מדהול"ל לא יבא חלל בקהל </w:t>
      </w:r>
      <w:r w:rsidRPr="00A47A11">
        <w:rPr>
          <w:rFonts w:ascii="Narkisim" w:hAnsi="Narkisim" w:cs="Narkisim"/>
          <w:rtl/>
        </w:rPr>
        <w:lastRenderedPageBreak/>
        <w:t>כהונה.</w:t>
      </w:r>
    </w:p>
    <w:p w14:paraId="6ED9F9C8" w14:textId="77777777" w:rsidR="006C4368" w:rsidRPr="00A47A11" w:rsidRDefault="006C4368" w:rsidP="006C4368">
      <w:pPr>
        <w:pStyle w:val="aa"/>
        <w:bidi/>
        <w:rPr>
          <w:rFonts w:ascii="Narkisim" w:hAnsi="Narkisim"/>
        </w:rPr>
      </w:pPr>
      <w:r w:rsidRPr="00A47A11">
        <w:rPr>
          <w:rFonts w:ascii="Narkisim" w:hAnsi="Narkisim"/>
          <w:u w:val="single"/>
          <w:rtl/>
        </w:rPr>
        <w:t>ומאי כשירה, כשירה לכהונה</w:t>
      </w:r>
      <w:r w:rsidRPr="00A47A11">
        <w:rPr>
          <w:rFonts w:ascii="Narkisim" w:hAnsi="Narkisim"/>
          <w:rtl/>
        </w:rPr>
        <w:t>. פ</w:t>
      </w:r>
      <w:r w:rsidRPr="00A47A11">
        <w:rPr>
          <w:rFonts w:ascii="Narkisim" w:hAnsi="Narkisim"/>
          <w:b/>
          <w:bCs/>
          <w:rtl/>
        </w:rPr>
        <w:t>רש"י</w:t>
      </w:r>
      <w:r w:rsidRPr="00A47A11">
        <w:rPr>
          <w:rFonts w:ascii="Narkisim" w:hAnsi="Narkisim"/>
          <w:rtl/>
        </w:rPr>
        <w:t xml:space="preserve"> דכל זמן שמוצא לישא בת כהן לא ישא בת ישראל. וה</w:t>
      </w:r>
      <w:r w:rsidRPr="00A47A11">
        <w:rPr>
          <w:rFonts w:ascii="Narkisim" w:hAnsi="Narkisim"/>
          <w:b/>
          <w:bCs/>
          <w:rtl/>
        </w:rPr>
        <w:t>ריטב"א</w:t>
      </w:r>
      <w:r w:rsidRPr="00A47A11">
        <w:rPr>
          <w:rFonts w:ascii="Narkisim" w:hAnsi="Narkisim"/>
          <w:rtl/>
        </w:rPr>
        <w:t xml:space="preserve"> ביאר שהיא כשירה מן המובחר לכהונה.</w:t>
      </w:r>
    </w:p>
    <w:p w14:paraId="3B506DC9" w14:textId="77777777" w:rsidR="006C4368" w:rsidRPr="00A47A11" w:rsidRDefault="006C4368" w:rsidP="006C4368">
      <w:pPr>
        <w:bidi/>
        <w:rPr>
          <w:rFonts w:ascii="Narkisim" w:hAnsi="Narkisim" w:cs="Narkisim"/>
        </w:rPr>
      </w:pPr>
      <w:r w:rsidRPr="00A47A11">
        <w:rPr>
          <w:rFonts w:ascii="Narkisim" w:hAnsi="Narkisim" w:cs="Narkisim"/>
          <w:u w:val="single"/>
          <w:rtl/>
        </w:rPr>
        <w:t>אמר רבא כל היכא דהוא מוזהר היא מוזהרת</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כשם שהכהן מוזהר שלא ליקח זונה וחללה, אף היא מוזהרת שלא תשאנו. בפשוטו משמע דהוה איסור בפנ"ע, וילפינן סימן דאיסורין אלו קאי אף על האשה.</w:t>
      </w:r>
    </w:p>
    <w:p w14:paraId="179082E0" w14:textId="77777777" w:rsidR="006C4368" w:rsidRPr="00A47A11" w:rsidRDefault="006C4368" w:rsidP="006C4368">
      <w:pPr>
        <w:pStyle w:val="a7"/>
        <w:bidi/>
        <w:rPr>
          <w:rFonts w:ascii="Narkisim" w:hAnsi="Narkisim"/>
        </w:rPr>
      </w:pPr>
      <w:r w:rsidRPr="00A47A11">
        <w:rPr>
          <w:rFonts w:ascii="Narkisim" w:hAnsi="Narkisim"/>
          <w:rtl/>
        </w:rPr>
        <w:t>אבל ה</w:t>
      </w:r>
      <w:r w:rsidRPr="00A47A11">
        <w:rPr>
          <w:rFonts w:ascii="Narkisim" w:hAnsi="Narkisim"/>
          <w:b/>
          <w:bCs/>
          <w:rtl/>
        </w:rPr>
        <w:t>מנח"ח</w:t>
      </w:r>
      <w:r w:rsidRPr="00A47A11">
        <w:rPr>
          <w:rFonts w:ascii="Narkisim" w:hAnsi="Narkisim"/>
          <w:rtl/>
        </w:rPr>
        <w:t xml:space="preserve"> (א טו) דן ע"פ סוגיין דמהני עשה דוחה ל"ת לדחות איסור של האשה. ואף למ"ד (ע' מה שהו' לעיל ג: וכ.) דמצוות יבום הוה רק על היבם, ואתי עשה ודחי ל"ת [דאלמנה לכה"ג וממזרת וכדו'], ועי"ז אף האשה מותרת. דעיקר הל"ת שהאשה מוזהרת בפסולים הוה משום דאיתקיש אשה לאיש, וכ"מ שהוא מוזהר האשה ג"כ מוזהרת, וכיון דהאיש אינו מוזהר ביבום [דאתי עשה ודחי ל"ת], אף היא אינה מוזהרת</w:t>
      </w:r>
      <w:r w:rsidRPr="00A47A11">
        <w:rPr>
          <w:rStyle w:val="ac"/>
          <w:rFonts w:ascii="Narkisim" w:hAnsi="Narkisim"/>
          <w:rtl/>
        </w:rPr>
        <w:footnoteReference w:id="5121"/>
      </w:r>
      <w:r w:rsidRPr="00A47A11">
        <w:rPr>
          <w:rFonts w:ascii="Narkisim" w:hAnsi="Narkisim"/>
          <w:rtl/>
        </w:rPr>
        <w:t>.</w:t>
      </w:r>
    </w:p>
    <w:p w14:paraId="1DF99076" w14:textId="77777777" w:rsidR="006C4368" w:rsidRPr="00A47A11" w:rsidRDefault="006C4368" w:rsidP="006C4368">
      <w:pPr>
        <w:bidi/>
        <w:rPr>
          <w:rFonts w:ascii="Narkisim" w:hAnsi="Narkisim" w:cs="Narkisim"/>
        </w:rPr>
      </w:pPr>
      <w:r w:rsidRPr="00A47A11">
        <w:rPr>
          <w:rFonts w:ascii="Narkisim" w:hAnsi="Narkisim" w:cs="Narkisim"/>
          <w:u w:val="single"/>
          <w:rtl/>
        </w:rPr>
        <w:t>שם. כל היכא דהוא מוזהר וכו</w:t>
      </w:r>
      <w:r w:rsidRPr="00A47A11">
        <w:rPr>
          <w:rFonts w:ascii="Narkisim" w:hAnsi="Narkisim" w:cs="Narkisim"/>
          <w:rtl/>
        </w:rPr>
        <w:t>'. ה</w:t>
      </w:r>
      <w:r w:rsidRPr="00A47A11">
        <w:rPr>
          <w:rFonts w:ascii="Narkisim" w:hAnsi="Narkisim" w:cs="Narkisim"/>
          <w:b/>
          <w:bCs/>
          <w:rtl/>
        </w:rPr>
        <w:t>רמב"ן</w:t>
      </w:r>
      <w:r w:rsidRPr="00A47A11">
        <w:rPr>
          <w:rFonts w:ascii="Narkisim" w:hAnsi="Narkisim" w:cs="Narkisim"/>
          <w:rtl/>
        </w:rPr>
        <w:t xml:space="preserve"> הק' תיפו"ל משום לפני עוור</w:t>
      </w:r>
      <w:r w:rsidRPr="00A47A11">
        <w:rPr>
          <w:rStyle w:val="ac"/>
          <w:rFonts w:ascii="Narkisim" w:hAnsi="Narkisim" w:cs="Narkisim"/>
          <w:rtl/>
        </w:rPr>
        <w:footnoteReference w:id="5122"/>
      </w:r>
      <w:r w:rsidRPr="00A47A11">
        <w:rPr>
          <w:rFonts w:ascii="Narkisim" w:hAnsi="Narkisim" w:cs="Narkisim"/>
          <w:rtl/>
        </w:rPr>
        <w:t>. וה</w:t>
      </w:r>
      <w:r w:rsidRPr="00A47A11">
        <w:rPr>
          <w:rFonts w:ascii="Narkisim" w:hAnsi="Narkisim" w:cs="Narkisim"/>
          <w:b/>
          <w:bCs/>
          <w:rtl/>
        </w:rPr>
        <w:t>רמב”ן</w:t>
      </w:r>
      <w:r w:rsidRPr="00A47A11">
        <w:rPr>
          <w:rFonts w:ascii="Narkisim" w:hAnsi="Narkisim" w:cs="Narkisim"/>
          <w:rtl/>
        </w:rPr>
        <w:t xml:space="preserve"> תי' דודאי עובר משום לפני עוור, אלא מהדרינן ללקות עליה משום לאו המיוחד בה</w:t>
      </w:r>
      <w:r w:rsidRPr="00A47A11">
        <w:rPr>
          <w:rStyle w:val="ac"/>
          <w:rFonts w:ascii="Narkisim" w:hAnsi="Narkisim" w:cs="Narkisim"/>
          <w:rtl/>
        </w:rPr>
        <w:footnoteReference w:id="5123"/>
      </w:r>
      <w:r w:rsidRPr="00A47A11">
        <w:rPr>
          <w:rFonts w:ascii="Narkisim" w:hAnsi="Narkisim" w:cs="Narkisim"/>
          <w:rtl/>
        </w:rPr>
        <w:t>. וה</w:t>
      </w:r>
      <w:r w:rsidRPr="00A47A11">
        <w:rPr>
          <w:rFonts w:ascii="Narkisim" w:hAnsi="Narkisim" w:cs="Narkisim"/>
          <w:b/>
          <w:bCs/>
          <w:rtl/>
        </w:rPr>
        <w:t>ריטב"א</w:t>
      </w:r>
      <w:r w:rsidRPr="00A47A11">
        <w:rPr>
          <w:rFonts w:ascii="Narkisim" w:hAnsi="Narkisim" w:cs="Narkisim"/>
          <w:rtl/>
        </w:rPr>
        <w:t xml:space="preserve"> ביאר דאינו לוקה משום לפני עוור</w:t>
      </w:r>
      <w:r w:rsidRPr="00A47A11">
        <w:rPr>
          <w:rStyle w:val="ac"/>
          <w:rFonts w:ascii="Narkisim" w:hAnsi="Narkisim" w:cs="Narkisim"/>
          <w:rtl/>
        </w:rPr>
        <w:footnoteReference w:id="5124"/>
      </w:r>
      <w:r w:rsidRPr="00A47A11">
        <w:rPr>
          <w:rFonts w:ascii="Narkisim" w:hAnsi="Narkisim" w:cs="Narkisim"/>
          <w:rtl/>
        </w:rPr>
        <w:t>, דהוה לאו שבכללות בכל מצוות התורה ואינו מיוחד לאיסור זה.</w:t>
      </w:r>
    </w:p>
    <w:p w14:paraId="0A27C47B" w14:textId="77777777" w:rsidR="006C4368" w:rsidRPr="00A47A11" w:rsidRDefault="006C4368" w:rsidP="006C4368">
      <w:pPr>
        <w:pStyle w:val="a7"/>
        <w:bidi/>
        <w:rPr>
          <w:rFonts w:ascii="Narkisim" w:hAnsi="Narkisim"/>
        </w:rPr>
      </w:pPr>
      <w:r w:rsidRPr="00A47A11">
        <w:rPr>
          <w:rFonts w:ascii="Narkisim" w:hAnsi="Narkisim"/>
          <w:rtl/>
        </w:rPr>
        <w:t>ועוד כת' ה</w:t>
      </w:r>
      <w:r w:rsidRPr="00A47A11">
        <w:rPr>
          <w:rFonts w:ascii="Narkisim" w:hAnsi="Narkisim"/>
          <w:b/>
          <w:bCs/>
          <w:rtl/>
        </w:rPr>
        <w:t>רמב"ן</w:t>
      </w:r>
      <w:r w:rsidRPr="00A47A11">
        <w:rPr>
          <w:rStyle w:val="ac"/>
          <w:rFonts w:ascii="Narkisim" w:hAnsi="Narkisim"/>
          <w:rtl/>
        </w:rPr>
        <w:footnoteReference w:id="5125"/>
      </w:r>
      <w:r w:rsidRPr="00A47A11">
        <w:rPr>
          <w:rFonts w:ascii="Narkisim" w:hAnsi="Narkisim"/>
          <w:rtl/>
        </w:rPr>
        <w:t xml:space="preserve"> דאפי' משום לפני עוור, י"ל דקאי דוקא באיסור השווה בכל</w:t>
      </w:r>
      <w:r w:rsidRPr="00A47A11">
        <w:rPr>
          <w:rStyle w:val="ac"/>
          <w:rFonts w:ascii="Narkisim" w:hAnsi="Narkisim"/>
          <w:rtl/>
        </w:rPr>
        <w:footnoteReference w:id="5126"/>
      </w:r>
      <w:r w:rsidRPr="00A47A11">
        <w:rPr>
          <w:rFonts w:ascii="Narkisim" w:hAnsi="Narkisim"/>
          <w:rtl/>
        </w:rPr>
        <w:t>. וס"ד דאשה אינה מצווה בכל לאו שאינו שווה בכל, לא מחמת עצמן ולא מחמת אנשים. [אבל במסקנא איתרבי להו לכל מילי, חוץ מדבר הבא מחמת קדושת עצמן, וכגון טומאה ולינשא לפסולין].</w:t>
      </w:r>
    </w:p>
    <w:p w14:paraId="32A94C58"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אחיעזר</w:t>
      </w:r>
      <w:r w:rsidRPr="00A47A11">
        <w:rPr>
          <w:rFonts w:ascii="Narkisim" w:hAnsi="Narkisim"/>
          <w:rtl/>
        </w:rPr>
        <w:t xml:space="preserve"> (ג פא ז) הביא דלכאו' הך תי' ברמב”ן הוה כדברי ה</w:t>
      </w:r>
      <w:r w:rsidRPr="00A47A11">
        <w:rPr>
          <w:rFonts w:ascii="Narkisim" w:hAnsi="Narkisim"/>
          <w:b/>
          <w:bCs/>
          <w:rtl/>
        </w:rPr>
        <w:t>אמונת שמואל</w:t>
      </w:r>
      <w:r w:rsidRPr="00A47A11">
        <w:rPr>
          <w:rFonts w:ascii="Narkisim" w:hAnsi="Narkisim"/>
          <w:rtl/>
        </w:rPr>
        <w:t xml:space="preserve"> (יד הו' בפר"ח סב ג) דבמצווה שאינו מצווה עליו, אף אינו מתחייב משום לפני עוור</w:t>
      </w:r>
      <w:r w:rsidRPr="00A47A11">
        <w:rPr>
          <w:rStyle w:val="ac"/>
          <w:rFonts w:ascii="Narkisim" w:hAnsi="Narkisim"/>
          <w:rtl/>
        </w:rPr>
        <w:footnoteReference w:id="5127"/>
      </w:r>
      <w:r w:rsidRPr="00A47A11">
        <w:rPr>
          <w:rFonts w:ascii="Narkisim" w:hAnsi="Narkisim"/>
          <w:rtl/>
        </w:rPr>
        <w:t>. והביא דה</w:t>
      </w:r>
      <w:r w:rsidRPr="00A47A11">
        <w:rPr>
          <w:rFonts w:ascii="Narkisim" w:hAnsi="Narkisim"/>
          <w:b/>
          <w:bCs/>
          <w:rtl/>
        </w:rPr>
        <w:t>רמב”ן</w:t>
      </w:r>
      <w:r w:rsidRPr="00A47A11">
        <w:rPr>
          <w:rFonts w:ascii="Narkisim" w:hAnsi="Narkisim"/>
          <w:rtl/>
        </w:rPr>
        <w:t xml:space="preserve"> (ושא”ר) נקטו בקו' דלא כאמונת שמואל, דהאשה מצווה משום לפני עוור, ואף לס"ד דאינה מצווה בזה. ומשמע דהרמב"ן בתי' הב' חזר בו, דאשה אינה מצווה במצוה זו, אף משום לפני עוור [מחמת האנשים]</w:t>
      </w:r>
      <w:r w:rsidRPr="00A47A11">
        <w:rPr>
          <w:rStyle w:val="ac"/>
          <w:rFonts w:ascii="Narkisim" w:hAnsi="Narkisim"/>
          <w:rtl/>
        </w:rPr>
        <w:footnoteReference w:id="5128"/>
      </w:r>
      <w:r w:rsidRPr="00A47A11">
        <w:rPr>
          <w:rFonts w:ascii="Narkisim" w:hAnsi="Narkisim"/>
          <w:rtl/>
        </w:rPr>
        <w:t>. א”נ סברת הרמב”ן דוקא משום דהוה לאו שאינו שווה בכל.</w:t>
      </w:r>
    </w:p>
    <w:p w14:paraId="23E2A583"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אחיעזר</w:t>
      </w:r>
      <w:r w:rsidRPr="00A47A11">
        <w:rPr>
          <w:rFonts w:ascii="Narkisim" w:hAnsi="Narkisim"/>
          <w:rtl/>
        </w:rPr>
        <w:t xml:space="preserve"> תמה דסוף סוף מי גרע מעצה שאינו הוגנת. והאחיעזר הביא דיש ב' גדרים בלפני עוור</w:t>
      </w:r>
      <w:r w:rsidRPr="00A47A11">
        <w:rPr>
          <w:rStyle w:val="ac"/>
          <w:rFonts w:ascii="Narkisim" w:hAnsi="Narkisim"/>
          <w:rtl/>
        </w:rPr>
        <w:footnoteReference w:id="5129"/>
      </w:r>
      <w:r w:rsidRPr="00A47A11">
        <w:rPr>
          <w:rFonts w:ascii="Narkisim" w:hAnsi="Narkisim"/>
          <w:rtl/>
        </w:rPr>
        <w:t>, דמשום עצה שאינה הוגנת שייך אף במילי דאלמנה. אבל בנותן לו לאכול במזיד ל"ש דין זה. אלא דיש דין מיוחד לפני עוור דאיסורין, אף כשהעובר הוה מזיד. ובזה חידש האמונת שמואל דאיסור זה שייך רק במה שהוא מצווה בו</w:t>
      </w:r>
      <w:r w:rsidRPr="00A47A11">
        <w:rPr>
          <w:rStyle w:val="ac"/>
          <w:rFonts w:ascii="Narkisim" w:hAnsi="Narkisim"/>
          <w:rtl/>
        </w:rPr>
        <w:footnoteReference w:id="5130"/>
      </w:r>
      <w:r w:rsidRPr="00A47A11">
        <w:rPr>
          <w:rFonts w:ascii="Narkisim" w:hAnsi="Narkisim"/>
          <w:rtl/>
        </w:rPr>
        <w:t>.</w:t>
      </w:r>
    </w:p>
    <w:p w14:paraId="48F44863" w14:textId="77777777" w:rsidR="006C4368" w:rsidRPr="00A47A11" w:rsidRDefault="006C4368" w:rsidP="006C4368">
      <w:pPr>
        <w:bidi/>
        <w:rPr>
          <w:rFonts w:ascii="Narkisim" w:hAnsi="Narkisim" w:cs="Narkisim"/>
        </w:rPr>
      </w:pPr>
      <w:r w:rsidRPr="00A47A11">
        <w:rPr>
          <w:rFonts w:ascii="Narkisim" w:hAnsi="Narkisim" w:cs="Narkisim"/>
          <w:u w:val="single"/>
          <w:rtl/>
        </w:rPr>
        <w:t>שם. מלמד שהאשה מוזהרת ע"י האיש וכו</w:t>
      </w:r>
      <w:r w:rsidRPr="00A47A11">
        <w:rPr>
          <w:rFonts w:ascii="Narkisim" w:hAnsi="Narkisim" w:cs="Narkisim"/>
          <w:rtl/>
        </w:rPr>
        <w:t xml:space="preserve">'. דילפי' 'לא יקחו' דבאיסורי כהונה אף האשה מצווה. ויל"ד אי הוה גילוי דוקא באיסורי כהונה. [אבל שאר איסורין מוזהרת משום דהושוו </w:t>
      </w:r>
      <w:r w:rsidRPr="00A47A11">
        <w:rPr>
          <w:rFonts w:ascii="Narkisim" w:hAnsi="Narkisim" w:cs="Narkisim"/>
          <w:rtl/>
        </w:rPr>
        <w:lastRenderedPageBreak/>
        <w:t>אשה לאיש]. או דילפי' אף לכל איסורי עריות, דהאשה מוזהרת ע"י האיש</w:t>
      </w:r>
      <w:r w:rsidRPr="00A47A11">
        <w:rPr>
          <w:rStyle w:val="ac"/>
          <w:rFonts w:ascii="Narkisim" w:hAnsi="Narkisim" w:cs="Narkisim"/>
          <w:rtl/>
        </w:rPr>
        <w:footnoteReference w:id="5131"/>
      </w:r>
      <w:r w:rsidRPr="00A47A11">
        <w:rPr>
          <w:rFonts w:ascii="Narkisim" w:hAnsi="Narkisim" w:cs="Narkisim"/>
          <w:rtl/>
        </w:rPr>
        <w:t>.</w:t>
      </w:r>
    </w:p>
    <w:p w14:paraId="5E89E7D6" w14:textId="77777777" w:rsidR="006C4368" w:rsidRPr="00A47A11" w:rsidRDefault="006C4368" w:rsidP="006C4368">
      <w:pPr>
        <w:bidi/>
        <w:rPr>
          <w:rFonts w:ascii="Narkisim" w:hAnsi="Narkisim" w:cs="Narkisim"/>
        </w:rPr>
      </w:pPr>
      <w:r w:rsidRPr="00A47A11">
        <w:rPr>
          <w:rFonts w:ascii="Narkisim" w:hAnsi="Narkisim" w:cs="Narkisim"/>
          <w:rtl/>
        </w:rPr>
        <w:t>ו</w:t>
      </w:r>
      <w:r w:rsidRPr="00A47A11">
        <w:rPr>
          <w:rFonts w:ascii="Narkisim" w:hAnsi="Narkisim" w:cs="Narkisim"/>
          <w:b/>
          <w:bCs/>
          <w:rtl/>
        </w:rPr>
        <w:t>תוס'</w:t>
      </w:r>
      <w:r w:rsidRPr="00A47A11">
        <w:rPr>
          <w:rFonts w:ascii="Narkisim" w:hAnsi="Narkisim" w:cs="Narkisim"/>
          <w:rtl/>
        </w:rPr>
        <w:t xml:space="preserve"> (נדרים צ:) הביאו בשם </w:t>
      </w:r>
      <w:r w:rsidRPr="00A47A11">
        <w:rPr>
          <w:rFonts w:ascii="Narkisim" w:hAnsi="Narkisim" w:cs="Narkisim"/>
          <w:b/>
          <w:bCs/>
          <w:rtl/>
        </w:rPr>
        <w:t>ר' אליעזר</w:t>
      </w:r>
      <w:r w:rsidRPr="00A47A11">
        <w:rPr>
          <w:rFonts w:ascii="Narkisim" w:hAnsi="Narkisim" w:cs="Narkisim"/>
          <w:rtl/>
        </w:rPr>
        <w:t xml:space="preserve"> (הרא"ם) דאיסור זונה הוה רק על הבעל, דלא מצאנו שהאשה מצווה</w:t>
      </w:r>
      <w:r w:rsidRPr="00A47A11">
        <w:rPr>
          <w:rStyle w:val="ac"/>
          <w:rFonts w:ascii="Narkisim" w:hAnsi="Narkisim" w:cs="Narkisim"/>
          <w:rtl/>
        </w:rPr>
        <w:footnoteReference w:id="5132"/>
      </w:r>
      <w:r w:rsidRPr="00A47A11">
        <w:rPr>
          <w:rFonts w:ascii="Narkisim" w:hAnsi="Narkisim" w:cs="Narkisim"/>
          <w:rtl/>
        </w:rPr>
        <w:t>. ותוס' דחו דמפורש בסוגיין דאף היא מצווה.</w:t>
      </w:r>
    </w:p>
    <w:p w14:paraId="6B8FEFD4" w14:textId="77777777" w:rsidR="006C4368" w:rsidRPr="00A47A11" w:rsidRDefault="006C4368" w:rsidP="006C4368">
      <w:pPr>
        <w:pStyle w:val="a7"/>
        <w:bidi/>
        <w:rPr>
          <w:rFonts w:ascii="Narkisim" w:hAnsi="Narkisim"/>
        </w:rPr>
      </w:pPr>
      <w:r w:rsidRPr="00A47A11">
        <w:rPr>
          <w:rFonts w:ascii="Narkisim" w:hAnsi="Narkisim"/>
          <w:rtl/>
        </w:rPr>
        <w:t>אבל ה</w:t>
      </w:r>
      <w:r w:rsidRPr="00A47A11">
        <w:rPr>
          <w:rFonts w:ascii="Narkisim" w:hAnsi="Narkisim"/>
          <w:b/>
          <w:bCs/>
          <w:rtl/>
        </w:rPr>
        <w:t>רשב"א</w:t>
      </w:r>
      <w:r w:rsidRPr="00A47A11">
        <w:rPr>
          <w:rFonts w:ascii="Narkisim" w:hAnsi="Narkisim"/>
          <w:rtl/>
        </w:rPr>
        <w:t xml:space="preserve"> (נדרים שם) הביא את דברי הר"א דכיון דהבעל אינו מוזהר, מש"ה האשה אינה מוזהרת. והביא מסוגיין דכל היכא דאיהו מוזהר איהי מוזהרת ד'לא יקחו' כתיב, ואין הזונה מוזהרת אלא הכהן הוא שמוזהר. [וכיון דהוא אינו יודע שנטמאה, אף היא אינה נאסרת</w:t>
      </w:r>
      <w:r w:rsidRPr="00A47A11">
        <w:rPr>
          <w:rStyle w:val="ac"/>
          <w:rFonts w:ascii="Narkisim" w:hAnsi="Narkisim"/>
          <w:rtl/>
        </w:rPr>
        <w:footnoteReference w:id="5133"/>
      </w:r>
      <w:r w:rsidRPr="00A47A11">
        <w:rPr>
          <w:rFonts w:ascii="Narkisim" w:hAnsi="Narkisim"/>
          <w:rtl/>
        </w:rPr>
        <w:t>. והאיסור לאשה תלי במה שהאיש מצווה בפועל</w:t>
      </w:r>
      <w:r w:rsidRPr="00A47A11">
        <w:rPr>
          <w:rStyle w:val="ac"/>
          <w:rFonts w:ascii="Narkisim" w:hAnsi="Narkisim"/>
          <w:rtl/>
        </w:rPr>
        <w:footnoteReference w:id="5134"/>
      </w:r>
      <w:r w:rsidRPr="00A47A11">
        <w:rPr>
          <w:rFonts w:ascii="Narkisim" w:hAnsi="Narkisim"/>
          <w:rtl/>
        </w:rPr>
        <w:t>].</w:t>
      </w:r>
    </w:p>
    <w:p w14:paraId="0BF09839" w14:textId="77777777" w:rsidR="006C4368" w:rsidRPr="00A47A11" w:rsidRDefault="006C4368" w:rsidP="006C4368">
      <w:pPr>
        <w:pStyle w:val="a7"/>
        <w:bidi/>
        <w:rPr>
          <w:rFonts w:ascii="Narkisim" w:hAnsi="Narkisim"/>
        </w:rPr>
      </w:pPr>
      <w:r w:rsidRPr="00A47A11">
        <w:rPr>
          <w:rFonts w:ascii="Narkisim" w:eastAsia="Narkisim" w:hAnsi="Narkisim"/>
          <w:rtl/>
        </w:rPr>
        <w:t>וה</w:t>
      </w:r>
      <w:r w:rsidRPr="00A47A11">
        <w:rPr>
          <w:rFonts w:ascii="Narkisim" w:eastAsia="Narkisim" w:hAnsi="Narkisim"/>
          <w:b/>
          <w:bCs/>
          <w:rtl/>
        </w:rPr>
        <w:t>נוב”י</w:t>
      </w:r>
      <w:r w:rsidRPr="00A47A11">
        <w:rPr>
          <w:rFonts w:ascii="Narkisim" w:eastAsia="Narkisim" w:hAnsi="Narkisim"/>
          <w:rtl/>
        </w:rPr>
        <w:t xml:space="preserve"> </w:t>
      </w:r>
      <w:r w:rsidRPr="00A47A11">
        <w:rPr>
          <w:rFonts w:ascii="Narkisim" w:eastAsia="Narkisim" w:hAnsi="Narkisim"/>
          <w:sz w:val="20"/>
          <w:szCs w:val="20"/>
          <w:rtl/>
        </w:rPr>
        <w:t xml:space="preserve">(אה"ע ת' כד, ק' ע) </w:t>
      </w:r>
      <w:r w:rsidRPr="00A47A11">
        <w:rPr>
          <w:rFonts w:ascii="Narkisim" w:eastAsia="Narkisim" w:hAnsi="Narkisim"/>
          <w:rtl/>
        </w:rPr>
        <w:t>פי' דברי הר"א דכל היכא דהוא מוזהר קאי רק במה שכתוב בפרשה שם, אבל איסור טומאה לכהן ילפי' מלאו דטומאה (כדאי' לעיל נו:</w:t>
      </w:r>
      <w:r w:rsidRPr="00A47A11">
        <w:rPr>
          <w:rStyle w:val="ac"/>
          <w:rFonts w:ascii="Narkisim" w:eastAsia="Narkisim" w:hAnsi="Narkisim"/>
          <w:rtl/>
        </w:rPr>
        <w:footnoteReference w:id="5135"/>
      </w:r>
      <w:r w:rsidRPr="00A47A11">
        <w:rPr>
          <w:rFonts w:ascii="Narkisim" w:eastAsia="Narkisim" w:hAnsi="Narkisim"/>
          <w:rtl/>
        </w:rPr>
        <w:t>) ומש"ה היא אינה מוזהרת.</w:t>
      </w:r>
    </w:p>
    <w:p w14:paraId="280C6E18" w14:textId="77777777" w:rsidR="006C4368" w:rsidRPr="00A47A11" w:rsidRDefault="006C4368" w:rsidP="006C4368">
      <w:pPr>
        <w:pStyle w:val="aa"/>
        <w:bidi/>
        <w:rPr>
          <w:rFonts w:ascii="Narkisim" w:hAnsi="Narkisim"/>
        </w:rPr>
      </w:pPr>
      <w:r w:rsidRPr="00A47A11">
        <w:rPr>
          <w:rFonts w:ascii="Narkisim" w:hAnsi="Narkisim"/>
          <w:u w:val="single"/>
          <w:rtl/>
        </w:rPr>
        <w:t>שם</w:t>
      </w:r>
      <w:r w:rsidRPr="00A47A11">
        <w:rPr>
          <w:rFonts w:ascii="Narkisim" w:hAnsi="Narkisim"/>
          <w:rtl/>
        </w:rPr>
        <w:t xml:space="preserve">. </w:t>
      </w:r>
      <w:r w:rsidRPr="00A47A11">
        <w:rPr>
          <w:rFonts w:ascii="Narkisim" w:hAnsi="Narkisim"/>
          <w:b/>
          <w:bCs/>
          <w:rtl/>
        </w:rPr>
        <w:t>תוס</w:t>
      </w:r>
      <w:r w:rsidRPr="00A47A11">
        <w:rPr>
          <w:rFonts w:ascii="Narkisim" w:hAnsi="Narkisim"/>
          <w:rtl/>
        </w:rPr>
        <w:t>' (חגיגה יד: הו' בגהש”ס) דנו דאיסור בעולה לכה"ג שונה [משאר איסורי כהונה], דאף היא בכלל האיסור, כדכתיב והוא אשה בבתוליה יקח ודרשי' יקיח [ואף היא בכלל הצווי</w:t>
      </w:r>
      <w:r w:rsidRPr="00A47A11">
        <w:rPr>
          <w:rStyle w:val="ac"/>
          <w:rFonts w:ascii="Narkisim" w:hAnsi="Narkisim"/>
          <w:rtl/>
        </w:rPr>
        <w:footnoteReference w:id="5136"/>
      </w:r>
      <w:r w:rsidRPr="00A47A11">
        <w:rPr>
          <w:rFonts w:ascii="Narkisim" w:hAnsi="Narkisim"/>
          <w:rtl/>
        </w:rPr>
        <w:t>]. ומש"ה אף לר' יהושע דראוה מדברת אינה נאמנת שהוא כשר, באיסור בעולה לכה"ג נאמנת. וה</w:t>
      </w:r>
      <w:r w:rsidRPr="00A47A11">
        <w:rPr>
          <w:rFonts w:ascii="Narkisim" w:hAnsi="Narkisim"/>
          <w:b/>
          <w:bCs/>
          <w:rtl/>
        </w:rPr>
        <w:t>טור"א</w:t>
      </w:r>
      <w:r w:rsidRPr="00A47A11">
        <w:rPr>
          <w:rFonts w:ascii="Narkisim" w:hAnsi="Narkisim"/>
          <w:rtl/>
        </w:rPr>
        <w:t xml:space="preserve"> ו</w:t>
      </w:r>
      <w:r w:rsidRPr="00A47A11">
        <w:rPr>
          <w:rFonts w:ascii="Narkisim" w:hAnsi="Narkisim"/>
          <w:b/>
          <w:bCs/>
          <w:rtl/>
        </w:rPr>
        <w:t>רע"א</w:t>
      </w:r>
      <w:r w:rsidRPr="00A47A11">
        <w:rPr>
          <w:rFonts w:ascii="Narkisim" w:hAnsi="Narkisim"/>
          <w:rtl/>
        </w:rPr>
        <w:t xml:space="preserve"> (שם) תמהו דאף באיסור חללה לכהן האשה מוזהרת, וכדאי' בסוגיין דהאשה מוזהרת ע"י האיש. ואפ"ה דעת ר' יהושע שאינה נאמנת.</w:t>
      </w:r>
    </w:p>
    <w:p w14:paraId="7FE848B6" w14:textId="77777777" w:rsidR="006C4368" w:rsidRPr="00A47A11" w:rsidRDefault="006C4368" w:rsidP="006C4368">
      <w:pPr>
        <w:pStyle w:val="a8"/>
        <w:bidi/>
        <w:rPr>
          <w:rFonts w:ascii="Narkisim" w:hAnsi="Narkisim"/>
        </w:rPr>
      </w:pPr>
      <w:r w:rsidRPr="00A47A11">
        <w:rPr>
          <w:rFonts w:ascii="Narkisim" w:hAnsi="Narkisim"/>
          <w:rtl/>
        </w:rPr>
        <w:t xml:space="preserve">ובהג' </w:t>
      </w:r>
      <w:r w:rsidRPr="00A47A11">
        <w:rPr>
          <w:rFonts w:ascii="Narkisim" w:hAnsi="Narkisim"/>
          <w:b/>
          <w:bCs/>
          <w:rtl/>
        </w:rPr>
        <w:t>ברוך טעם</w:t>
      </w:r>
      <w:r w:rsidRPr="00A47A11">
        <w:rPr>
          <w:rFonts w:ascii="Narkisim" w:hAnsi="Narkisim"/>
          <w:rtl/>
        </w:rPr>
        <w:t xml:space="preserve"> (לטור"א שם) תי' ע"פ דברי הרשב"א (הנ"ל) דבשאר איסורין האשה מוזהרת ע"י האיש, ותלי האם יש איסור על האיש בפועל</w:t>
      </w:r>
      <w:r w:rsidRPr="00A47A11">
        <w:rPr>
          <w:rStyle w:val="ac"/>
          <w:rFonts w:ascii="Narkisim" w:hAnsi="Narkisim"/>
          <w:rtl/>
        </w:rPr>
        <w:footnoteReference w:id="5137"/>
      </w:r>
      <w:r w:rsidRPr="00A47A11">
        <w:rPr>
          <w:rFonts w:ascii="Narkisim" w:hAnsi="Narkisim"/>
          <w:rtl/>
        </w:rPr>
        <w:t>. והאיסור דידה תלי בידיעת הבעל באיסור</w:t>
      </w:r>
      <w:r w:rsidRPr="00A47A11">
        <w:rPr>
          <w:rStyle w:val="ac"/>
          <w:rFonts w:ascii="Narkisim" w:hAnsi="Narkisim"/>
          <w:rtl/>
        </w:rPr>
        <w:footnoteReference w:id="5138"/>
      </w:r>
      <w:r w:rsidRPr="00A47A11">
        <w:rPr>
          <w:rFonts w:ascii="Narkisim" w:hAnsi="Narkisim"/>
          <w:rtl/>
        </w:rPr>
        <w:t>. משא"כ איסור בעולה לכה"ג דנלמד מדקרינן יקיח, ויש על האשה האיסור אף במקום שהכה"ג אינו יודע.</w:t>
      </w:r>
    </w:p>
    <w:p w14:paraId="0D3A5E97" w14:textId="77777777" w:rsidR="006C4368" w:rsidRPr="00A47A11" w:rsidRDefault="006C4368" w:rsidP="006C4368">
      <w:pPr>
        <w:pStyle w:val="aa"/>
        <w:bidi/>
        <w:rPr>
          <w:rFonts w:ascii="Narkisim" w:hAnsi="Narkisim"/>
        </w:rPr>
      </w:pPr>
      <w:r w:rsidRPr="00A47A11">
        <w:rPr>
          <w:rFonts w:ascii="Narkisim" w:hAnsi="Narkisim"/>
          <w:u w:val="single"/>
          <w:rtl/>
        </w:rPr>
        <w:t>שם.</w:t>
      </w:r>
      <w:r w:rsidRPr="00A47A11">
        <w:rPr>
          <w:rFonts w:ascii="Narkisim" w:hAnsi="Narkisim"/>
          <w:rtl/>
        </w:rPr>
        <w:t xml:space="preserve"> ה</w:t>
      </w:r>
      <w:r w:rsidRPr="00A47A11">
        <w:rPr>
          <w:rFonts w:ascii="Narkisim" w:hAnsi="Narkisim"/>
          <w:b/>
          <w:bCs/>
          <w:rtl/>
        </w:rPr>
        <w:t>צל”ח</w:t>
      </w:r>
      <w:r w:rsidRPr="00A47A11">
        <w:rPr>
          <w:rFonts w:ascii="Narkisim" w:hAnsi="Narkisim"/>
          <w:rtl/>
        </w:rPr>
        <w:t xml:space="preserve"> (ברכות כב.) דן באיסור הבא על השפחה, דשמא היא אינה מוזהרת עליו. ואף לצד דהוא לוקה, השפחה אינה במלקות.</w:t>
      </w:r>
    </w:p>
    <w:p w14:paraId="134B6CB3" w14:textId="77777777" w:rsidR="006C4368" w:rsidRPr="00A47A11" w:rsidRDefault="006C4368" w:rsidP="006C4368">
      <w:pPr>
        <w:pStyle w:val="aa"/>
        <w:bidi/>
        <w:rPr>
          <w:rFonts w:ascii="Narkisim" w:hAnsi="Narkisim"/>
        </w:rPr>
      </w:pPr>
      <w:r w:rsidRPr="00A47A11">
        <w:rPr>
          <w:rFonts w:ascii="Narkisim" w:hAnsi="Narkisim"/>
          <w:u w:val="single"/>
          <w:rtl/>
        </w:rPr>
        <w:t>אי מההיא הו"א לאו השוה בכל, אבל לאו שאינו שוה בכל לא</w:t>
      </w:r>
      <w:r w:rsidRPr="00A47A11">
        <w:rPr>
          <w:rStyle w:val="ac"/>
          <w:rFonts w:ascii="Narkisim" w:hAnsi="Narkisim"/>
          <w:u w:val="single"/>
          <w:rtl/>
        </w:rPr>
        <w:footnoteReference w:id="5139"/>
      </w:r>
      <w:r w:rsidRPr="00A47A11">
        <w:rPr>
          <w:rFonts w:ascii="Narkisim" w:hAnsi="Narkisim"/>
          <w:u w:val="single"/>
          <w:rtl/>
        </w:rPr>
        <w:t xml:space="preserve"> וכו'</w:t>
      </w:r>
      <w:r w:rsidRPr="00A47A11">
        <w:rPr>
          <w:rFonts w:ascii="Narkisim" w:hAnsi="Narkisim"/>
          <w:rtl/>
        </w:rPr>
        <w:t>. פ</w:t>
      </w:r>
      <w:r w:rsidRPr="00A47A11">
        <w:rPr>
          <w:rFonts w:ascii="Narkisim" w:hAnsi="Narkisim"/>
          <w:b/>
          <w:bCs/>
          <w:rtl/>
        </w:rPr>
        <w:t>רש"י</w:t>
      </w:r>
      <w:r w:rsidRPr="00A47A11">
        <w:rPr>
          <w:rFonts w:ascii="Narkisim" w:hAnsi="Narkisim"/>
          <w:rtl/>
        </w:rPr>
        <w:t xml:space="preserve"> דמש"ה ס"ד דאזלינן לקולא, ויפטרו נשים. וה</w:t>
      </w:r>
      <w:r w:rsidRPr="00A47A11">
        <w:rPr>
          <w:rFonts w:ascii="Narkisim" w:hAnsi="Narkisim"/>
          <w:b/>
          <w:bCs/>
          <w:rtl/>
        </w:rPr>
        <w:t>ריטב"א</w:t>
      </w:r>
      <w:r w:rsidRPr="00A47A11">
        <w:rPr>
          <w:rFonts w:ascii="Narkisim" w:hAnsi="Narkisim"/>
          <w:rtl/>
        </w:rPr>
        <w:t xml:space="preserve"> הק' מהיכא תיתי לחלק, דאף לאו שאינו שוה בכל הוה בכלל חטאת ולוקין עליו. ותי' דמ"מ הפרשה ההיא מדברת בלאו השוה בכל, ואשכחן דפטרא רחמנא ממצות עשה שהזמן גרמא, הייתי דן לקולא שלא בא זה הכתוב אלא בלאו השוה בכל.</w:t>
      </w:r>
    </w:p>
    <w:p w14:paraId="4F95B816" w14:textId="77777777" w:rsidR="006C4368" w:rsidRPr="00A47A11" w:rsidRDefault="006C4368" w:rsidP="006C4368">
      <w:pPr>
        <w:pStyle w:val="aa"/>
        <w:bidi/>
        <w:rPr>
          <w:rFonts w:ascii="Narkisim" w:hAnsi="Narkisim"/>
        </w:rPr>
      </w:pPr>
      <w:r w:rsidRPr="00A47A11">
        <w:rPr>
          <w:rFonts w:ascii="Narkisim" w:hAnsi="Narkisim"/>
          <w:u w:val="single"/>
          <w:rtl/>
        </w:rPr>
        <w:t>שם. לאו שאינו שווה בכל</w:t>
      </w:r>
      <w:r w:rsidRPr="00A47A11">
        <w:rPr>
          <w:rFonts w:ascii="Narkisim" w:hAnsi="Narkisim"/>
          <w:rtl/>
        </w:rPr>
        <w:t>. פ</w:t>
      </w:r>
      <w:r w:rsidRPr="00A47A11">
        <w:rPr>
          <w:rFonts w:ascii="Narkisim" w:hAnsi="Narkisim"/>
          <w:b/>
          <w:bCs/>
          <w:rtl/>
        </w:rPr>
        <w:t>רש"י</w:t>
      </w:r>
      <w:r w:rsidRPr="00A47A11">
        <w:rPr>
          <w:rFonts w:ascii="Narkisim" w:hAnsi="Narkisim"/>
          <w:rtl/>
        </w:rPr>
        <w:t xml:space="preserve"> לאו דכהונה, שאינו נוהג בישראל. ומבואר בסוגיין דאיסורי כהונה הוה לאו שאינו שווה בכל. אבל </w:t>
      </w:r>
      <w:r w:rsidRPr="00A47A11">
        <w:rPr>
          <w:rFonts w:ascii="Narkisim" w:hAnsi="Narkisim"/>
          <w:b/>
          <w:bCs/>
          <w:rtl/>
        </w:rPr>
        <w:t>תוס'</w:t>
      </w:r>
      <w:r w:rsidRPr="00A47A11">
        <w:rPr>
          <w:rFonts w:ascii="Narkisim" w:hAnsi="Narkisim"/>
          <w:rtl/>
        </w:rPr>
        <w:t xml:space="preserve"> (לעיל ה. ד"ה ואכתי) כת' דאלמנה לכה"ג נחשב לאו השווה בכל, דהאשה עושה איסור כמו האיש.</w:t>
      </w:r>
    </w:p>
    <w:p w14:paraId="3DC41283" w14:textId="77777777" w:rsidR="006C4368" w:rsidRPr="00A47A11" w:rsidRDefault="006C4368" w:rsidP="006C4368">
      <w:pPr>
        <w:pStyle w:val="a8"/>
        <w:bidi/>
        <w:rPr>
          <w:rFonts w:ascii="Narkisim" w:hAnsi="Narkisim"/>
        </w:rPr>
      </w:pPr>
      <w:r w:rsidRPr="00A47A11">
        <w:rPr>
          <w:rFonts w:ascii="Narkisim" w:hAnsi="Narkisim"/>
          <w:rtl/>
        </w:rPr>
        <w:t xml:space="preserve">ודברי התוס' צ"ב, דמ"מ אינו נוהג בשאר זכרים אלא בכהנים. ועוד קשה מסוגיין, דסברא זו שייך אף בשאר </w:t>
      </w:r>
      <w:r w:rsidRPr="00A47A11">
        <w:rPr>
          <w:rFonts w:ascii="Narkisim" w:hAnsi="Narkisim"/>
          <w:rtl/>
        </w:rPr>
        <w:lastRenderedPageBreak/>
        <w:t>איסורי כהונה</w:t>
      </w:r>
      <w:r w:rsidRPr="00A47A11">
        <w:rPr>
          <w:rStyle w:val="ac"/>
          <w:rFonts w:ascii="Narkisim" w:hAnsi="Narkisim"/>
          <w:rtl/>
        </w:rPr>
        <w:footnoteReference w:id="5140"/>
      </w:r>
      <w:r w:rsidRPr="00A47A11">
        <w:rPr>
          <w:rFonts w:ascii="Narkisim" w:hAnsi="Narkisim"/>
          <w:rtl/>
        </w:rPr>
        <w:t>. ועוה"ק ה</w:t>
      </w:r>
      <w:r w:rsidRPr="00A47A11">
        <w:rPr>
          <w:rFonts w:ascii="Narkisim" w:hAnsi="Narkisim"/>
          <w:b/>
          <w:bCs/>
          <w:rtl/>
        </w:rPr>
        <w:t>אחרונים</w:t>
      </w:r>
      <w:r w:rsidRPr="00A47A11">
        <w:rPr>
          <w:rFonts w:ascii="Narkisim" w:hAnsi="Narkisim"/>
          <w:rtl/>
        </w:rPr>
        <w:t xml:space="preserve"> דבגמ' (כתובות ל.) מפורש דעשה דבתולה לכה"ג אינו שווה בכל</w:t>
      </w:r>
      <w:r w:rsidRPr="00A47A11">
        <w:rPr>
          <w:rStyle w:val="ac"/>
          <w:rFonts w:ascii="Narkisim" w:hAnsi="Narkisim"/>
          <w:rtl/>
        </w:rPr>
        <w:footnoteReference w:id="5141"/>
      </w:r>
      <w:r w:rsidRPr="00A47A11">
        <w:rPr>
          <w:rFonts w:ascii="Narkisim" w:hAnsi="Narkisim"/>
          <w:rtl/>
        </w:rPr>
        <w:t>.</w:t>
      </w:r>
    </w:p>
    <w:p w14:paraId="2607025C"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ערול"נ</w:t>
      </w:r>
      <w:r w:rsidRPr="00A47A11">
        <w:rPr>
          <w:rFonts w:ascii="Narkisim" w:hAnsi="Narkisim"/>
          <w:rtl/>
        </w:rPr>
        <w:t xml:space="preserve"> כת' דנחשב שווה בכל, כיון דהרוב שייכין באיסור זה. דהנשים הוה מחצה, בצירוף הכהנים הוה רוב. וה</w:t>
      </w:r>
      <w:r w:rsidRPr="00A47A11">
        <w:rPr>
          <w:rFonts w:ascii="Narkisim" w:hAnsi="Narkisim"/>
          <w:b/>
          <w:bCs/>
          <w:rtl/>
        </w:rPr>
        <w:t>קובה"ע</w:t>
      </w:r>
      <w:r w:rsidRPr="00A47A11">
        <w:rPr>
          <w:rFonts w:ascii="Narkisim" w:hAnsi="Narkisim"/>
          <w:rtl/>
        </w:rPr>
        <w:t xml:space="preserve"> (מח ט בהשמטה) ביאר דמהא שהאשה מוזהרת מוכח דכל ישראל מוזהרין בלאו זה, רק דבכל ישראל לא משכחת לה מעשה האיסור. והחפצא של האיסור הוה רק בכה”ג. [וצ"ב א"כ אף שאר איסורי כהונה, נימא דכל ישראל מצווין שכהנים לא יטמאו למתים. אלא דלא משכחת איסור זו אצלם</w:t>
      </w:r>
      <w:r w:rsidRPr="00A47A11">
        <w:rPr>
          <w:rStyle w:val="ac"/>
          <w:rFonts w:ascii="Narkisim" w:hAnsi="Narkisim"/>
          <w:rtl/>
        </w:rPr>
        <w:footnoteReference w:id="5142"/>
      </w:r>
      <w:r w:rsidRPr="00A47A11">
        <w:rPr>
          <w:rFonts w:ascii="Narkisim" w:hAnsi="Narkisim"/>
          <w:rtl/>
        </w:rPr>
        <w:t>].</w:t>
      </w:r>
    </w:p>
    <w:p w14:paraId="75F243EF" w14:textId="77777777" w:rsidR="006C4368" w:rsidRPr="00A47A11" w:rsidRDefault="006C4368" w:rsidP="006C4368">
      <w:pPr>
        <w:pStyle w:val="3"/>
        <w:bidi/>
        <w:rPr>
          <w:rFonts w:ascii="Narkisim" w:hAnsi="Narkisim"/>
        </w:rPr>
      </w:pPr>
      <w:r w:rsidRPr="00A47A11">
        <w:rPr>
          <w:rFonts w:ascii="Narkisim" w:hAnsi="Narkisim"/>
          <w:rtl/>
        </w:rPr>
        <w:t>דף פה.</w:t>
      </w:r>
    </w:p>
    <w:p w14:paraId="6A2510B9" w14:textId="77777777" w:rsidR="006C4368" w:rsidRPr="00A47A11" w:rsidRDefault="006C4368" w:rsidP="006C4368">
      <w:pPr>
        <w:pStyle w:val="2"/>
        <w:bidi/>
        <w:rPr>
          <w:rFonts w:ascii="Narkisim" w:hAnsi="Narkisim"/>
        </w:rPr>
      </w:pPr>
      <w:r w:rsidRPr="00A47A11">
        <w:rPr>
          <w:rFonts w:ascii="Narkisim" w:hAnsi="Narkisim"/>
          <w:rtl/>
        </w:rPr>
        <w:t>קנסו לשניות</w:t>
      </w:r>
    </w:p>
    <w:p w14:paraId="2AFF6E70" w14:textId="77777777" w:rsidR="006C4368" w:rsidRPr="00A47A11" w:rsidRDefault="006C4368" w:rsidP="006C4368">
      <w:pPr>
        <w:bidi/>
        <w:rPr>
          <w:rFonts w:ascii="Narkisim" w:hAnsi="Narkisim" w:cs="Narkisim"/>
        </w:rPr>
      </w:pPr>
      <w:r w:rsidRPr="00A47A11">
        <w:rPr>
          <w:rFonts w:ascii="Narkisim" w:hAnsi="Narkisim" w:cs="Narkisim"/>
          <w:u w:val="single"/>
          <w:rtl/>
        </w:rPr>
        <w:t>שניה לבעל ולא שניה ליבם</w:t>
      </w:r>
      <w:r w:rsidRPr="00A47A11">
        <w:rPr>
          <w:rStyle w:val="ac"/>
          <w:rFonts w:ascii="Narkisim" w:hAnsi="Narkisim" w:cs="Narkisim"/>
          <w:u w:val="single"/>
          <w:rtl/>
        </w:rPr>
        <w:footnoteReference w:id="5143"/>
      </w:r>
      <w:r w:rsidRPr="00A47A11">
        <w:rPr>
          <w:rFonts w:ascii="Narkisim" w:hAnsi="Narkisim" w:cs="Narkisim"/>
          <w:u w:val="single"/>
          <w:rtl/>
        </w:rPr>
        <w:t xml:space="preserve"> וכו' או דילמא כיון דאילו ל"ל לראשון וכו'</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והא נמי לית לה מראשון וכו'. וה</w:t>
      </w:r>
      <w:r w:rsidRPr="00A47A11">
        <w:rPr>
          <w:rFonts w:ascii="Narkisim" w:hAnsi="Narkisim" w:cs="Narkisim"/>
          <w:b/>
          <w:bCs/>
          <w:rtl/>
        </w:rPr>
        <w:t>ריטב"א</w:t>
      </w:r>
      <w:r w:rsidRPr="00A47A11">
        <w:rPr>
          <w:rFonts w:ascii="Narkisim" w:hAnsi="Narkisim" w:cs="Narkisim"/>
          <w:rtl/>
        </w:rPr>
        <w:t xml:space="preserve"> פי' דעיקר הספק בגדר הקנס דאין לה כתובה על בעלה, האם משוינן כאילו אין לבעל נכסים [ומש"ה נתנו כתובה מהיבם]. או דלא תקנו לה כתובה מהיבם אלא כשהיא כשירה לבעלה.</w:t>
      </w:r>
    </w:p>
    <w:p w14:paraId="243C8160" w14:textId="77777777" w:rsidR="006C4368" w:rsidRPr="00A47A11" w:rsidRDefault="006C4368" w:rsidP="006C4368">
      <w:pPr>
        <w:bidi/>
        <w:rPr>
          <w:rFonts w:ascii="Narkisim" w:hAnsi="Narkisim" w:cs="Narkisim"/>
        </w:rPr>
      </w:pPr>
      <w:r w:rsidRPr="00A47A11">
        <w:rPr>
          <w:rFonts w:ascii="Narkisim" w:hAnsi="Narkisim" w:cs="Narkisim"/>
          <w:u w:val="single"/>
          <w:rtl/>
        </w:rPr>
        <w:t>שם. יש לה כתובה מיבם וכו'</w:t>
      </w:r>
      <w:r w:rsidRPr="00A47A11">
        <w:rPr>
          <w:rFonts w:ascii="Narkisim" w:hAnsi="Narkisim" w:cs="Narkisim"/>
          <w:rtl/>
        </w:rPr>
        <w:t>. ה</w:t>
      </w:r>
      <w:r w:rsidRPr="00A47A11">
        <w:rPr>
          <w:rFonts w:ascii="Narkisim" w:hAnsi="Narkisim" w:cs="Narkisim"/>
          <w:b/>
          <w:bCs/>
          <w:rtl/>
        </w:rPr>
        <w:t>רמב"ן</w:t>
      </w:r>
      <w:r w:rsidRPr="00A47A11">
        <w:rPr>
          <w:rFonts w:ascii="Narkisim" w:hAnsi="Narkisim" w:cs="Narkisim"/>
          <w:rtl/>
        </w:rPr>
        <w:t xml:space="preserve"> פי' דהספק כשכנסה, וכדאמרינן או דילמא כיון דאי לית לה מראשון תקינו לה רבנן משני, וטעם זה הוה דוקא בשכנסה (וכדתנן לעיל לח.).</w:t>
      </w:r>
    </w:p>
    <w:p w14:paraId="403C0CAD"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הק' דמ"מ אסור להשהותה בלא כתובה. וה</w:t>
      </w:r>
      <w:r w:rsidRPr="00A47A11">
        <w:rPr>
          <w:rFonts w:ascii="Narkisim" w:hAnsi="Narkisim"/>
          <w:b/>
          <w:bCs/>
          <w:rtl/>
        </w:rPr>
        <w:t>רמב"ן</w:t>
      </w:r>
      <w:r w:rsidRPr="00A47A11">
        <w:rPr>
          <w:rFonts w:ascii="Narkisim" w:hAnsi="Narkisim"/>
          <w:rtl/>
        </w:rPr>
        <w:t xml:space="preserve"> כת' דאם בא להשהותה אסור לקיימה בלא כתובה. אלא דכאן כגון שבא עליה וקנאה [ואפי' שהה עמה כמה שנים</w:t>
      </w:r>
      <w:r w:rsidRPr="00A47A11">
        <w:rPr>
          <w:rStyle w:val="ac"/>
          <w:rFonts w:ascii="Narkisim" w:hAnsi="Narkisim"/>
          <w:rtl/>
        </w:rPr>
        <w:footnoteReference w:id="5144"/>
      </w:r>
      <w:r w:rsidRPr="00A47A11">
        <w:rPr>
          <w:rFonts w:ascii="Narkisim" w:hAnsi="Narkisim"/>
          <w:rtl/>
        </w:rPr>
        <w:t>], ובא להוציאה בגט קודם שיכתוב לה</w:t>
      </w:r>
      <w:r w:rsidRPr="00A47A11">
        <w:rPr>
          <w:rStyle w:val="ac"/>
          <w:rFonts w:ascii="Narkisim" w:hAnsi="Narkisim"/>
          <w:rtl/>
        </w:rPr>
        <w:footnoteReference w:id="5145"/>
      </w:r>
      <w:r w:rsidRPr="00A47A11">
        <w:rPr>
          <w:rFonts w:ascii="Narkisim" w:hAnsi="Narkisim"/>
          <w:rtl/>
        </w:rPr>
        <w:t>. [האם אמרי' דמשעה שייבמה חייבוהו כתובה].</w:t>
      </w:r>
    </w:p>
    <w:p w14:paraId="5ABF29A7" w14:textId="77777777" w:rsidR="006C4368" w:rsidRPr="00A47A11" w:rsidRDefault="006C4368" w:rsidP="006C4368">
      <w:pPr>
        <w:pStyle w:val="a8"/>
        <w:bidi/>
        <w:rPr>
          <w:rFonts w:ascii="Narkisim" w:hAnsi="Narkisim"/>
        </w:rPr>
      </w:pPr>
      <w:r w:rsidRPr="00A47A11">
        <w:rPr>
          <w:rFonts w:ascii="Narkisim" w:hAnsi="Narkisim"/>
          <w:rtl/>
        </w:rPr>
        <w:t>ומבואר דלא תקנו לחייבו כתובה, אבל אסור להשהותה בלא כתובה. וה</w:t>
      </w:r>
      <w:r w:rsidRPr="00A47A11">
        <w:rPr>
          <w:rFonts w:ascii="Narkisim" w:hAnsi="Narkisim"/>
          <w:b/>
          <w:bCs/>
          <w:rtl/>
        </w:rPr>
        <w:t>חזו"א</w:t>
      </w:r>
      <w:r w:rsidRPr="00A47A11">
        <w:rPr>
          <w:rFonts w:ascii="Narkisim" w:hAnsi="Narkisim"/>
          <w:rtl/>
        </w:rPr>
        <w:t xml:space="preserve"> (קכה ב) הק' דאי אסור להשהות בלא כתובה, מ"ט לא תקנו ממילא מדין תנאי בי"ד (כתובות נא.)</w:t>
      </w:r>
      <w:r w:rsidRPr="00A47A11">
        <w:rPr>
          <w:rStyle w:val="ac"/>
          <w:rFonts w:ascii="Narkisim" w:hAnsi="Narkisim"/>
          <w:rtl/>
        </w:rPr>
        <w:footnoteReference w:id="5146"/>
      </w:r>
      <w:r w:rsidRPr="00A47A11">
        <w:rPr>
          <w:rFonts w:ascii="Narkisim" w:hAnsi="Narkisim"/>
          <w:rtl/>
        </w:rPr>
        <w:t>. וביאר דזכות הכתובה תלי בנישואין, והכא הוה באיסור. אבל האיסור להשהותה תלי אקרקפתא דגברי.</w:t>
      </w:r>
    </w:p>
    <w:p w14:paraId="72ADDF94" w14:textId="77777777" w:rsidR="006C4368" w:rsidRPr="00A47A11" w:rsidRDefault="006C4368" w:rsidP="006C4368">
      <w:pPr>
        <w:pStyle w:val="a7"/>
        <w:bidi/>
        <w:rPr>
          <w:rFonts w:ascii="Narkisim" w:hAnsi="Narkisim"/>
        </w:rPr>
      </w:pPr>
      <w:r w:rsidRPr="00A47A11">
        <w:rPr>
          <w:rFonts w:ascii="Narkisim" w:hAnsi="Narkisim"/>
          <w:rtl/>
        </w:rPr>
        <w:t xml:space="preserve">אבל </w:t>
      </w:r>
      <w:r w:rsidRPr="00A47A11">
        <w:rPr>
          <w:rFonts w:ascii="Narkisim" w:hAnsi="Narkisim"/>
          <w:b/>
          <w:bCs/>
          <w:rtl/>
        </w:rPr>
        <w:t>ה"ה</w:t>
      </w:r>
      <w:r w:rsidRPr="00A47A11">
        <w:rPr>
          <w:rFonts w:ascii="Narkisim" w:hAnsi="Narkisim"/>
          <w:rtl/>
        </w:rPr>
        <w:t xml:space="preserve"> (יבום ב יז) דייק מדברי הרמב"ם (שם) דאפי' כשבא להשהותה אין לה כתובה. [ואין בזה איסור בעילת זנות]. וה</w:t>
      </w:r>
      <w:r w:rsidRPr="00A47A11">
        <w:rPr>
          <w:rFonts w:ascii="Narkisim" w:hAnsi="Narkisim"/>
          <w:b/>
          <w:bCs/>
          <w:rtl/>
        </w:rPr>
        <w:t>יש"ש</w:t>
      </w:r>
      <w:r w:rsidRPr="00A47A11">
        <w:rPr>
          <w:rFonts w:ascii="Narkisim" w:hAnsi="Narkisim"/>
          <w:rtl/>
        </w:rPr>
        <w:t xml:space="preserve"> ביאר דהיכא דאין לה כתובה מחמת קנס לא חששו שתהא קלה בעיניו להוציאה. וה</w:t>
      </w:r>
      <w:r w:rsidRPr="00A47A11">
        <w:rPr>
          <w:rFonts w:ascii="Narkisim" w:hAnsi="Narkisim"/>
          <w:b/>
          <w:bCs/>
          <w:rtl/>
        </w:rPr>
        <w:t>ב”ח</w:t>
      </w:r>
      <w:r w:rsidRPr="00A47A11">
        <w:rPr>
          <w:rFonts w:ascii="Narkisim" w:hAnsi="Narkisim"/>
          <w:rtl/>
        </w:rPr>
        <w:t xml:space="preserve"> (קסח) כת' דאשה הקנו לו מהשמים, ומש"ה לא חששו לזה</w:t>
      </w:r>
      <w:r w:rsidRPr="00A47A11">
        <w:rPr>
          <w:rStyle w:val="ac"/>
          <w:rFonts w:ascii="Narkisim" w:hAnsi="Narkisim"/>
          <w:rtl/>
        </w:rPr>
        <w:footnoteReference w:id="5147"/>
      </w:r>
      <w:r w:rsidRPr="00A47A11">
        <w:rPr>
          <w:rFonts w:ascii="Narkisim" w:hAnsi="Narkisim"/>
          <w:rtl/>
        </w:rPr>
        <w:t>. א”נ איפכא דבאשה זו קנסוה, ולא חששו אף שקלה בעיניו להוציאה.</w:t>
      </w:r>
    </w:p>
    <w:p w14:paraId="136730E5"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או"ש</w:t>
      </w:r>
      <w:r w:rsidRPr="00A47A11">
        <w:rPr>
          <w:rFonts w:ascii="Narkisim" w:hAnsi="Narkisim"/>
          <w:rtl/>
        </w:rPr>
        <w:t xml:space="preserve"> (שם) תי' דשניות יש להם תוספת, ומש"ה לא חששו שיהא קלה בעיניו להוציאה באופן שיש לה תוספת כתובה.</w:t>
      </w:r>
    </w:p>
    <w:p w14:paraId="78CB8C0B" w14:textId="77777777" w:rsidR="006C4368" w:rsidRPr="00A47A11" w:rsidRDefault="006C4368" w:rsidP="006C4368">
      <w:pPr>
        <w:bidi/>
        <w:rPr>
          <w:rFonts w:ascii="Narkisim" w:hAnsi="Narkisim" w:cs="Narkisim"/>
        </w:rPr>
      </w:pPr>
      <w:r w:rsidRPr="00A47A11">
        <w:rPr>
          <w:rFonts w:ascii="Narkisim" w:hAnsi="Narkisim" w:cs="Narkisim"/>
          <w:i/>
          <w:iCs/>
          <w:szCs w:val="20"/>
          <w:rtl/>
        </w:rPr>
        <w:t>שניה ליבם ולא לבעל</w:t>
      </w:r>
      <w:r w:rsidRPr="00A47A11">
        <w:rPr>
          <w:rFonts w:ascii="Narkisim" w:hAnsi="Narkisim" w:cs="Narkisim"/>
          <w:rtl/>
        </w:rPr>
        <w:t xml:space="preserve"> – ה</w:t>
      </w:r>
      <w:r w:rsidRPr="00A47A11">
        <w:rPr>
          <w:rFonts w:ascii="Narkisim" w:hAnsi="Narkisim" w:cs="Narkisim"/>
          <w:b/>
          <w:bCs/>
          <w:rtl/>
        </w:rPr>
        <w:t>רמב"ן</w:t>
      </w:r>
      <w:r w:rsidRPr="00A47A11">
        <w:rPr>
          <w:rFonts w:ascii="Narkisim" w:hAnsi="Narkisim" w:cs="Narkisim"/>
          <w:rtl/>
        </w:rPr>
        <w:t xml:space="preserve"> (ושא"ר) כת' דהיכא דהיא שניה רק ליבם, פשיטא דיש לה כתובתה מנכסי בעלה הראשון. וכי גרע מהיכא דאין לה יבם. אך הביאו דהוה ספק ב</w:t>
      </w:r>
      <w:r w:rsidRPr="00A47A11">
        <w:rPr>
          <w:rFonts w:ascii="Narkisim" w:hAnsi="Narkisim" w:cs="Narkisim"/>
          <w:b/>
          <w:bCs/>
          <w:rtl/>
        </w:rPr>
        <w:t>ירושלמי</w:t>
      </w:r>
      <w:r w:rsidRPr="00A47A11">
        <w:rPr>
          <w:rFonts w:ascii="Narkisim" w:hAnsi="Narkisim" w:cs="Narkisim"/>
          <w:rtl/>
        </w:rPr>
        <w:t xml:space="preserve"> אם יש לה כתובה. וכת' דסמכינן אגמ' דידן דנסתפק רק בהיפך</w:t>
      </w:r>
      <w:r w:rsidRPr="00A47A11">
        <w:rPr>
          <w:rStyle w:val="ac"/>
          <w:rFonts w:ascii="Narkisim" w:hAnsi="Narkisim" w:cs="Narkisim"/>
          <w:rtl/>
        </w:rPr>
        <w:footnoteReference w:id="5148"/>
      </w:r>
      <w:r w:rsidRPr="00A47A11">
        <w:rPr>
          <w:rFonts w:ascii="Narkisim" w:hAnsi="Narkisim" w:cs="Narkisim"/>
          <w:rtl/>
        </w:rPr>
        <w:t>.</w:t>
      </w:r>
    </w:p>
    <w:p w14:paraId="33C86D72" w14:textId="77777777" w:rsidR="006C4368" w:rsidRPr="00A47A11" w:rsidRDefault="006C4368" w:rsidP="006C4368">
      <w:pPr>
        <w:pStyle w:val="a7"/>
        <w:bidi/>
        <w:rPr>
          <w:rFonts w:ascii="Narkisim" w:hAnsi="Narkisim"/>
        </w:rPr>
      </w:pPr>
      <w:r w:rsidRPr="00A47A11">
        <w:rPr>
          <w:rFonts w:ascii="Narkisim" w:hAnsi="Narkisim"/>
          <w:rtl/>
        </w:rPr>
        <w:t>ובפשוטו מבואר ב</w:t>
      </w:r>
      <w:r w:rsidRPr="00A47A11">
        <w:rPr>
          <w:rFonts w:ascii="Narkisim" w:hAnsi="Narkisim"/>
          <w:b/>
          <w:bCs/>
          <w:rtl/>
        </w:rPr>
        <w:t>ראשונים</w:t>
      </w:r>
      <w:r w:rsidRPr="00A47A11">
        <w:rPr>
          <w:rFonts w:ascii="Narkisim" w:hAnsi="Narkisim"/>
          <w:rtl/>
        </w:rPr>
        <w:t xml:space="preserve"> דהירושלמי איירי באופן שלא ייבם, וא"כ צ"ב הצד דאין לה כתובה מהבעל. וכי משום שהיבם הוא פסול תפסיד מחמת הבעל. וה</w:t>
      </w:r>
      <w:r w:rsidRPr="00A47A11">
        <w:rPr>
          <w:rFonts w:ascii="Narkisim" w:hAnsi="Narkisim"/>
          <w:b/>
          <w:bCs/>
          <w:rtl/>
        </w:rPr>
        <w:t>יש"ש</w:t>
      </w:r>
      <w:r w:rsidRPr="00A47A11">
        <w:rPr>
          <w:rFonts w:ascii="Narkisim" w:hAnsi="Narkisim"/>
          <w:rtl/>
        </w:rPr>
        <w:t xml:space="preserve"> ו</w:t>
      </w:r>
      <w:r w:rsidRPr="00A47A11">
        <w:rPr>
          <w:rFonts w:ascii="Narkisim" w:hAnsi="Narkisim"/>
          <w:b/>
          <w:bCs/>
          <w:rtl/>
        </w:rPr>
        <w:t>מפרשי הירושלמי</w:t>
      </w:r>
      <w:r w:rsidRPr="00A47A11">
        <w:rPr>
          <w:rFonts w:ascii="Narkisim" w:hAnsi="Narkisim"/>
          <w:rtl/>
        </w:rPr>
        <w:t xml:space="preserve"> </w:t>
      </w:r>
      <w:r w:rsidRPr="00A47A11">
        <w:rPr>
          <w:rFonts w:ascii="Narkisim" w:hAnsi="Narkisim"/>
          <w:rtl/>
        </w:rPr>
        <w:lastRenderedPageBreak/>
        <w:t>העמידו כגון שייבמה באיסור</w:t>
      </w:r>
      <w:r w:rsidRPr="00A47A11">
        <w:rPr>
          <w:rStyle w:val="ac"/>
          <w:rFonts w:ascii="Narkisim" w:hAnsi="Narkisim"/>
          <w:rtl/>
        </w:rPr>
        <w:footnoteReference w:id="5149"/>
      </w:r>
      <w:r w:rsidRPr="00A47A11">
        <w:rPr>
          <w:rFonts w:ascii="Narkisim" w:hAnsi="Narkisim"/>
          <w:rtl/>
        </w:rPr>
        <w:t>, וראוי לקונסו מחמת היבם. אלא דדנו שמא לא תפסיד כתובתה שכבר נתחייב לה הבעל</w:t>
      </w:r>
      <w:r w:rsidRPr="00A47A11">
        <w:rPr>
          <w:rStyle w:val="ac"/>
          <w:rFonts w:ascii="Narkisim" w:hAnsi="Narkisim"/>
          <w:rtl/>
        </w:rPr>
        <w:footnoteReference w:id="5150"/>
      </w:r>
      <w:r w:rsidRPr="00A47A11">
        <w:rPr>
          <w:rFonts w:ascii="Narkisim" w:hAnsi="Narkisim"/>
          <w:rtl/>
        </w:rPr>
        <w:t>.</w:t>
      </w:r>
    </w:p>
    <w:p w14:paraId="2B1B742D" w14:textId="77777777" w:rsidR="006C4368" w:rsidRPr="00A47A11" w:rsidRDefault="006C4368" w:rsidP="006C4368">
      <w:pPr>
        <w:bidi/>
        <w:rPr>
          <w:rFonts w:ascii="Narkisim" w:hAnsi="Narkisim" w:cs="Narkisim"/>
        </w:rPr>
      </w:pPr>
      <w:r w:rsidRPr="00A47A11">
        <w:rPr>
          <w:rFonts w:ascii="Narkisim" w:hAnsi="Narkisim" w:cs="Narkisim"/>
          <w:u w:val="single"/>
          <w:rtl/>
        </w:rPr>
        <w:t>ולותה ואכלה מאי וכו' או דילמא וכו' דילמא תעכב גביה לית ליה, א"ל לית לה וכו'</w:t>
      </w:r>
      <w:r w:rsidRPr="00A47A11">
        <w:rPr>
          <w:rFonts w:ascii="Narkisim" w:hAnsi="Narkisim" w:cs="Narkisim"/>
          <w:rtl/>
        </w:rPr>
        <w:t>. ה</w:t>
      </w:r>
      <w:r w:rsidRPr="00A47A11">
        <w:rPr>
          <w:rFonts w:ascii="Narkisim" w:hAnsi="Narkisim" w:cs="Narkisim"/>
          <w:b/>
          <w:bCs/>
          <w:rtl/>
        </w:rPr>
        <w:t>ריטב"א</w:t>
      </w:r>
      <w:r w:rsidRPr="00A47A11">
        <w:rPr>
          <w:rFonts w:ascii="Narkisim" w:hAnsi="Narkisim" w:cs="Narkisim"/>
          <w:rtl/>
        </w:rPr>
        <w:t xml:space="preserve"> ביאר דהספק האם חששו שתתעכב אצלו כיון שגובה עכשיו מהבעל</w:t>
      </w:r>
      <w:r w:rsidRPr="00A47A11">
        <w:rPr>
          <w:rStyle w:val="ac"/>
          <w:rFonts w:ascii="Narkisim" w:hAnsi="Narkisim" w:cs="Narkisim"/>
          <w:rtl/>
        </w:rPr>
        <w:footnoteReference w:id="5151"/>
      </w:r>
      <w:r w:rsidRPr="00A47A11">
        <w:rPr>
          <w:rFonts w:ascii="Narkisim" w:hAnsi="Narkisim" w:cs="Narkisim"/>
          <w:rtl/>
        </w:rPr>
        <w:t>. או כיון דהוה מחמת מזונות לשעבר. ולדברי התוס' (ע' בסמוך) שורש הגזירה האם תקנו מזונות בעודו במדינת הים</w:t>
      </w:r>
      <w:r w:rsidRPr="00A47A11">
        <w:rPr>
          <w:rStyle w:val="ac"/>
          <w:rFonts w:ascii="Narkisim" w:hAnsi="Narkisim" w:cs="Narkisim"/>
          <w:rtl/>
        </w:rPr>
        <w:footnoteReference w:id="5152"/>
      </w:r>
      <w:r w:rsidRPr="00A47A11">
        <w:rPr>
          <w:rFonts w:ascii="Narkisim" w:hAnsi="Narkisim" w:cs="Narkisim"/>
          <w:rtl/>
        </w:rPr>
        <w:t>.</w:t>
      </w:r>
    </w:p>
    <w:p w14:paraId="574499F1" w14:textId="77777777" w:rsidR="006C4368" w:rsidRPr="00A47A11" w:rsidRDefault="006C4368" w:rsidP="006C4368">
      <w:pPr>
        <w:pStyle w:val="aa"/>
        <w:bidi/>
        <w:rPr>
          <w:rFonts w:ascii="Narkisim" w:hAnsi="Narkisim"/>
        </w:rPr>
      </w:pPr>
      <w:r w:rsidRPr="00A47A11">
        <w:rPr>
          <w:rFonts w:ascii="Narkisim" w:hAnsi="Narkisim"/>
          <w:u w:val="single"/>
          <w:rtl/>
        </w:rPr>
        <w:t>והתניא יש לה</w:t>
      </w:r>
      <w:r w:rsidRPr="00A47A11">
        <w:rPr>
          <w:rFonts w:ascii="Narkisim" w:hAnsi="Narkisim"/>
          <w:rtl/>
        </w:rPr>
        <w:t>. ה</w:t>
      </w:r>
      <w:r w:rsidRPr="00A47A11">
        <w:rPr>
          <w:rFonts w:ascii="Narkisim" w:hAnsi="Narkisim"/>
          <w:b/>
          <w:bCs/>
          <w:rtl/>
        </w:rPr>
        <w:t>רשב”א</w:t>
      </w:r>
      <w:r w:rsidRPr="00A47A11">
        <w:rPr>
          <w:rFonts w:ascii="Narkisim" w:hAnsi="Narkisim"/>
          <w:rtl/>
        </w:rPr>
        <w:t xml:space="preserve"> כת' דר"א לא הקשה כן, דאי ידע הך ברייתא מאי קמבעי ליה. אלא תלמודא מקשה. וה</w:t>
      </w:r>
      <w:r w:rsidRPr="00A47A11">
        <w:rPr>
          <w:rFonts w:ascii="Narkisim" w:hAnsi="Narkisim"/>
          <w:b/>
          <w:bCs/>
          <w:rtl/>
        </w:rPr>
        <w:t>ריטב"א</w:t>
      </w:r>
      <w:r w:rsidRPr="00A47A11">
        <w:rPr>
          <w:rFonts w:ascii="Narkisim" w:hAnsi="Narkisim"/>
          <w:rtl/>
        </w:rPr>
        <w:t xml:space="preserve"> כת' דאפשר דר"א דר"א ידע הך ברייתא, אלא שלא היה ברור לו פירושה היכי דמי. דבעודה תחתיו ודאי שאין לה מזונות. ור' יוחנן השיב סתם שאין לה, והיה נראה שאין לה לעולם ולא אמרינן בה מזוני תנאי כתובה נינהו</w:t>
      </w:r>
      <w:r w:rsidRPr="00A47A11">
        <w:rPr>
          <w:rStyle w:val="ac"/>
          <w:rFonts w:ascii="Narkisim" w:hAnsi="Narkisim"/>
          <w:rtl/>
        </w:rPr>
        <w:footnoteReference w:id="5153"/>
      </w:r>
      <w:r w:rsidRPr="00A47A11">
        <w:rPr>
          <w:rFonts w:ascii="Narkisim" w:hAnsi="Narkisim"/>
          <w:rtl/>
        </w:rPr>
        <w:t>. ומש”ה חזר והק' ומאי ניעביד מן הברייתא, ופריק דההיא לאחר מיתה.</w:t>
      </w:r>
    </w:p>
    <w:p w14:paraId="7DD2AA35" w14:textId="77777777" w:rsidR="006C4368" w:rsidRPr="00A47A11" w:rsidRDefault="006C4368" w:rsidP="006C4368">
      <w:pPr>
        <w:bidi/>
        <w:rPr>
          <w:rFonts w:ascii="Narkisim" w:hAnsi="Narkisim" w:cs="Narkisim"/>
        </w:rPr>
      </w:pPr>
      <w:r w:rsidRPr="00A47A11">
        <w:rPr>
          <w:rFonts w:ascii="Narkisim" w:hAnsi="Narkisim" w:cs="Narkisim"/>
          <w:u w:val="single"/>
          <w:rtl/>
        </w:rPr>
        <w:t>אית דאמר וכו' כי תניא ההיא לאחר מיתה</w:t>
      </w:r>
      <w:r w:rsidRPr="00A47A11">
        <w:rPr>
          <w:rFonts w:ascii="Narkisim" w:hAnsi="Narkisim" w:cs="Narkisim"/>
          <w:rtl/>
        </w:rPr>
        <w:t>. בפשוטו משמע דלישנא בתרא לא פליג לענין דינא, אלא בצורת השקלא וטריא. אבל ה</w:t>
      </w:r>
      <w:r w:rsidRPr="00A47A11">
        <w:rPr>
          <w:rFonts w:ascii="Narkisim" w:hAnsi="Narkisim" w:cs="Narkisim"/>
          <w:b/>
          <w:bCs/>
          <w:rtl/>
        </w:rPr>
        <w:t>רמב"ם</w:t>
      </w:r>
      <w:r w:rsidRPr="00A47A11">
        <w:rPr>
          <w:rFonts w:ascii="Narkisim" w:hAnsi="Narkisim" w:cs="Narkisim"/>
          <w:rtl/>
        </w:rPr>
        <w:t xml:space="preserve"> (אישות כד ד) פסק דלוותה ואכלה יש לה מזונות. וה</w:t>
      </w:r>
      <w:r w:rsidRPr="00A47A11">
        <w:rPr>
          <w:rFonts w:ascii="Narkisim" w:hAnsi="Narkisim" w:cs="Narkisim"/>
          <w:b/>
          <w:bCs/>
          <w:rtl/>
        </w:rPr>
        <w:t>ראשונים</w:t>
      </w:r>
      <w:r w:rsidRPr="00A47A11">
        <w:rPr>
          <w:rFonts w:ascii="Narkisim" w:hAnsi="Narkisim" w:cs="Narkisim"/>
          <w:rtl/>
        </w:rPr>
        <w:t xml:space="preserve"> הק' דבסוגיין מבואר דאין לה. ו</w:t>
      </w:r>
      <w:r w:rsidRPr="00A47A11">
        <w:rPr>
          <w:rFonts w:ascii="Narkisim" w:hAnsi="Narkisim" w:cs="Narkisim"/>
          <w:b/>
          <w:bCs/>
          <w:rtl/>
        </w:rPr>
        <w:t>ה"ה</w:t>
      </w:r>
      <w:r w:rsidRPr="00A47A11">
        <w:rPr>
          <w:rFonts w:ascii="Narkisim" w:hAnsi="Narkisim" w:cs="Narkisim"/>
          <w:rtl/>
        </w:rPr>
        <w:t xml:space="preserve"> תי' דהרמב"ם ס"ל דל"ב פליג, ולל"ב ליכא שקלא וטריא כלל בלותה ואכלה, וה</w:t>
      </w:r>
      <w:r w:rsidRPr="00A47A11">
        <w:rPr>
          <w:rFonts w:ascii="Narkisim" w:hAnsi="Narkisim" w:cs="Narkisim"/>
          <w:b/>
          <w:bCs/>
          <w:rtl/>
        </w:rPr>
        <w:t>רמב"ם</w:t>
      </w:r>
      <w:r w:rsidRPr="00A47A11">
        <w:rPr>
          <w:rFonts w:ascii="Narkisim" w:hAnsi="Narkisim" w:cs="Narkisim"/>
          <w:rtl/>
        </w:rPr>
        <w:t xml:space="preserve"> נקט דקאי ביושבת תחתיו, אבל בלוותה בעודו במדינת הים חייב, דומיא דלאחר מיתה. ואף שתי' דהברייתא במזונות לאחר מיתה, הוה מצי למימר כשלוותה בעודו במדינת הים</w:t>
      </w:r>
      <w:r w:rsidRPr="00A47A11">
        <w:rPr>
          <w:rStyle w:val="ac"/>
          <w:rFonts w:ascii="Narkisim" w:hAnsi="Narkisim" w:cs="Narkisim"/>
          <w:rtl/>
        </w:rPr>
        <w:footnoteReference w:id="5154"/>
      </w:r>
      <w:r w:rsidRPr="00A47A11">
        <w:rPr>
          <w:rFonts w:ascii="Narkisim" w:hAnsi="Narkisim" w:cs="Narkisim"/>
          <w:rtl/>
        </w:rPr>
        <w:t>.</w:t>
      </w:r>
    </w:p>
    <w:p w14:paraId="15D8B688" w14:textId="77777777" w:rsidR="006C4368" w:rsidRPr="00A47A11" w:rsidRDefault="006C4368" w:rsidP="006C4368">
      <w:pPr>
        <w:bidi/>
        <w:rPr>
          <w:rFonts w:ascii="Narkisim" w:hAnsi="Narkisim" w:cs="Narkisim"/>
        </w:rPr>
      </w:pPr>
      <w:r w:rsidRPr="00A47A11">
        <w:rPr>
          <w:rFonts w:ascii="Narkisim" w:hAnsi="Narkisim" w:cs="Narkisim"/>
          <w:u w:val="single"/>
          <w:rtl/>
        </w:rPr>
        <w:t>שם. לאחר מיתה</w:t>
      </w:r>
      <w:r w:rsidRPr="00A47A11">
        <w:rPr>
          <w:rFonts w:ascii="Narkisim" w:hAnsi="Narkisim" w:cs="Narkisim"/>
          <w:rtl/>
        </w:rPr>
        <w:t>. ה</w:t>
      </w:r>
      <w:r w:rsidRPr="00A47A11">
        <w:rPr>
          <w:rFonts w:ascii="Narkisim" w:hAnsi="Narkisim" w:cs="Narkisim"/>
          <w:b/>
          <w:bCs/>
          <w:rtl/>
        </w:rPr>
        <w:t>רמב"ן</w:t>
      </w:r>
      <w:r w:rsidRPr="00A47A11">
        <w:rPr>
          <w:rFonts w:ascii="Narkisim" w:hAnsi="Narkisim" w:cs="Narkisim"/>
          <w:rtl/>
        </w:rPr>
        <w:t xml:space="preserve"> הביא דהראב"ד הק' דהכא נתאלמנה ב' פעמים, א"כ הוחזקה כקטלנית [למ"ד לעיל סד: דהוה חזקה בתרי זימני</w:t>
      </w:r>
      <w:r w:rsidRPr="00A47A11">
        <w:rPr>
          <w:rStyle w:val="ac"/>
          <w:rFonts w:ascii="Narkisim" w:hAnsi="Narkisim" w:cs="Narkisim"/>
          <w:rtl/>
        </w:rPr>
        <w:footnoteReference w:id="5155"/>
      </w:r>
      <w:r w:rsidRPr="00A47A11">
        <w:rPr>
          <w:rFonts w:ascii="Narkisim" w:hAnsi="Narkisim" w:cs="Narkisim"/>
          <w:rtl/>
        </w:rPr>
        <w:t>], א"כ אמאי יש לה כתובה [אפי' מהשני</w:t>
      </w:r>
      <w:r w:rsidRPr="00A47A11">
        <w:rPr>
          <w:rStyle w:val="ac"/>
          <w:rFonts w:ascii="Narkisim" w:hAnsi="Narkisim" w:cs="Narkisim"/>
          <w:rtl/>
        </w:rPr>
        <w:footnoteReference w:id="5156"/>
      </w:r>
      <w:r w:rsidRPr="00A47A11">
        <w:rPr>
          <w:rFonts w:ascii="Narkisim" w:hAnsi="Narkisim" w:cs="Narkisim"/>
          <w:rtl/>
        </w:rPr>
        <w:t>]. וה</w:t>
      </w:r>
      <w:r w:rsidRPr="00A47A11">
        <w:rPr>
          <w:rFonts w:ascii="Narkisim" w:hAnsi="Narkisim" w:cs="Narkisim"/>
          <w:b/>
          <w:bCs/>
          <w:rtl/>
        </w:rPr>
        <w:t>רמב"ן</w:t>
      </w:r>
      <w:r w:rsidRPr="00A47A11">
        <w:rPr>
          <w:rFonts w:ascii="Narkisim" w:hAnsi="Narkisim" w:cs="Narkisim"/>
          <w:rtl/>
        </w:rPr>
        <w:t xml:space="preserve"> כת' די"ל דאיירי שכבר קודם לכן נתאלמנה מב' [והוחזקה קטלנית] והכיר בה. דכיון דהכיר בה אינה מפסדת כתובה משלישי.</w:t>
      </w:r>
    </w:p>
    <w:p w14:paraId="35DF3BE0" w14:textId="77777777" w:rsidR="006C4368" w:rsidRPr="00A47A11" w:rsidRDefault="006C4368" w:rsidP="006C4368">
      <w:pPr>
        <w:bidi/>
        <w:rPr>
          <w:rFonts w:ascii="Narkisim" w:hAnsi="Narkisim" w:cs="Narkisim"/>
        </w:rPr>
      </w:pPr>
      <w:r w:rsidRPr="00A47A11">
        <w:rPr>
          <w:rFonts w:ascii="Narkisim" w:hAnsi="Narkisim" w:cs="Narkisim"/>
          <w:u w:val="single"/>
          <w:rtl/>
        </w:rPr>
        <w:t>תוד"ה ולותה ואכלה מאי</w:t>
      </w:r>
      <w:r w:rsidRPr="00A47A11">
        <w:rPr>
          <w:rFonts w:ascii="Narkisim" w:hAnsi="Narkisim" w:cs="Narkisim"/>
          <w:rtl/>
        </w:rPr>
        <w:t xml:space="preserve">. אי לותה ואכלה קודם שפסקו לה בי”ד לא היה הבעל חייב. וכ"כ </w:t>
      </w:r>
      <w:r w:rsidRPr="00A47A11">
        <w:rPr>
          <w:rFonts w:ascii="Narkisim" w:hAnsi="Narkisim" w:cs="Narkisim"/>
          <w:b/>
          <w:bCs/>
          <w:rtl/>
        </w:rPr>
        <w:t>תוס'</w:t>
      </w:r>
      <w:r w:rsidRPr="00A47A11">
        <w:rPr>
          <w:rFonts w:ascii="Narkisim" w:hAnsi="Narkisim" w:cs="Narkisim"/>
          <w:rtl/>
        </w:rPr>
        <w:t xml:space="preserve"> (כתובות קז. ד"ה ואם הב') דהבעל אומר שאם לא היו מלוים לזו היתה דוחקת עצמה</w:t>
      </w:r>
      <w:r w:rsidRPr="00A47A11">
        <w:rPr>
          <w:rStyle w:val="ac"/>
          <w:rFonts w:ascii="Narkisim" w:hAnsi="Narkisim" w:cs="Narkisim"/>
          <w:rtl/>
        </w:rPr>
        <w:footnoteReference w:id="5157"/>
      </w:r>
      <w:r w:rsidRPr="00A47A11">
        <w:rPr>
          <w:rFonts w:ascii="Narkisim" w:hAnsi="Narkisim" w:cs="Narkisim"/>
          <w:rtl/>
        </w:rPr>
        <w:t>.</w:t>
      </w:r>
    </w:p>
    <w:p w14:paraId="5008CA41" w14:textId="77777777" w:rsidR="006C4368" w:rsidRPr="00A47A11" w:rsidRDefault="006C4368" w:rsidP="006C4368">
      <w:pPr>
        <w:pStyle w:val="a7"/>
        <w:bidi/>
        <w:rPr>
          <w:rFonts w:ascii="Narkisim" w:hAnsi="Narkisim"/>
        </w:rPr>
      </w:pPr>
      <w:r w:rsidRPr="00A47A11">
        <w:rPr>
          <w:rFonts w:ascii="Narkisim" w:hAnsi="Narkisim"/>
          <w:rtl/>
        </w:rPr>
        <w:t xml:space="preserve">אבל </w:t>
      </w:r>
      <w:r w:rsidRPr="00A47A11">
        <w:rPr>
          <w:rFonts w:ascii="Narkisim" w:hAnsi="Narkisim"/>
          <w:b/>
          <w:bCs/>
          <w:rtl/>
        </w:rPr>
        <w:t>רש"י</w:t>
      </w:r>
      <w:r w:rsidRPr="00A47A11">
        <w:rPr>
          <w:rFonts w:ascii="Narkisim" w:hAnsi="Narkisim"/>
          <w:rtl/>
        </w:rPr>
        <w:t xml:space="preserve"> (במשנה פד. וכן כתובות קז: במשנה) משמע דאף בלאו הכי, כל שלוותה ואכלה מתחייב</w:t>
      </w:r>
      <w:r w:rsidRPr="00A47A11">
        <w:rPr>
          <w:rStyle w:val="ac"/>
          <w:rFonts w:ascii="Narkisim" w:hAnsi="Narkisim"/>
          <w:rtl/>
        </w:rPr>
        <w:footnoteReference w:id="5158"/>
      </w:r>
      <w:r w:rsidRPr="00A47A11">
        <w:rPr>
          <w:rFonts w:ascii="Narkisim" w:hAnsi="Narkisim"/>
          <w:rtl/>
        </w:rPr>
        <w:t>. וה</w:t>
      </w:r>
      <w:r w:rsidRPr="00A47A11">
        <w:rPr>
          <w:rFonts w:ascii="Narkisim" w:hAnsi="Narkisim"/>
          <w:b/>
          <w:bCs/>
          <w:rtl/>
        </w:rPr>
        <w:t>רא"ש</w:t>
      </w:r>
      <w:r w:rsidRPr="00A47A11">
        <w:rPr>
          <w:rFonts w:ascii="Narkisim" w:hAnsi="Narkisim"/>
          <w:rtl/>
        </w:rPr>
        <w:t xml:space="preserve"> (כתובות יג ה) הביא דפשטות המשנה דלא כתוס'. ועוד דבסוגיין ל"ש לוותה בבי"ד, דבעמוד והוצא קאי ובי"ד לא יפסקו לה מזונות</w:t>
      </w:r>
      <w:r w:rsidRPr="00A47A11">
        <w:rPr>
          <w:rStyle w:val="ac"/>
          <w:rFonts w:ascii="Narkisim" w:hAnsi="Narkisim"/>
          <w:rtl/>
        </w:rPr>
        <w:footnoteReference w:id="5159"/>
      </w:r>
      <w:r w:rsidRPr="00A47A11">
        <w:rPr>
          <w:rFonts w:ascii="Narkisim" w:hAnsi="Narkisim"/>
          <w:rtl/>
        </w:rPr>
        <w:t>.</w:t>
      </w:r>
    </w:p>
    <w:p w14:paraId="7C43FD32" w14:textId="77777777" w:rsidR="006C4368" w:rsidRPr="00A47A11" w:rsidRDefault="006C4368" w:rsidP="006C4368">
      <w:pPr>
        <w:pStyle w:val="aa"/>
        <w:bidi/>
        <w:rPr>
          <w:rFonts w:ascii="Narkisim" w:hAnsi="Narkisim"/>
        </w:rPr>
      </w:pPr>
      <w:r w:rsidRPr="00A47A11">
        <w:rPr>
          <w:rFonts w:ascii="Narkisim" w:hAnsi="Narkisim"/>
          <w:rtl/>
        </w:rPr>
        <w:lastRenderedPageBreak/>
        <w:t>וכל זה היכא דלוותה משל אחרים, אבל היכא דלא לוותה אף אשה דעלמא אין לה עליו כלום. וה</w:t>
      </w:r>
      <w:r w:rsidRPr="00A47A11">
        <w:rPr>
          <w:rFonts w:ascii="Narkisim" w:hAnsi="Narkisim"/>
          <w:b/>
          <w:bCs/>
          <w:rtl/>
        </w:rPr>
        <w:t>ריטב"א</w:t>
      </w:r>
      <w:r w:rsidRPr="00A47A11">
        <w:rPr>
          <w:rFonts w:ascii="Narkisim" w:hAnsi="Narkisim"/>
          <w:rtl/>
        </w:rPr>
        <w:t xml:space="preserve"> ביאר דאם גלגלה ואכלה משלה פשיטא דאין לה</w:t>
      </w:r>
      <w:r w:rsidRPr="00A47A11">
        <w:rPr>
          <w:rStyle w:val="ac"/>
          <w:rFonts w:ascii="Narkisim" w:hAnsi="Narkisim"/>
          <w:rtl/>
        </w:rPr>
        <w:footnoteReference w:id="5160"/>
      </w:r>
      <w:r w:rsidRPr="00A47A11">
        <w:rPr>
          <w:rFonts w:ascii="Narkisim" w:hAnsi="Narkisim"/>
          <w:rtl/>
        </w:rPr>
        <w:t>. ואם אכלה מנכסי הבעל ושתק</w:t>
      </w:r>
      <w:r w:rsidRPr="00A47A11">
        <w:rPr>
          <w:rStyle w:val="ac"/>
          <w:rFonts w:ascii="Narkisim" w:hAnsi="Narkisim"/>
          <w:rtl/>
        </w:rPr>
        <w:footnoteReference w:id="5161"/>
      </w:r>
      <w:r w:rsidRPr="00A47A11">
        <w:rPr>
          <w:rFonts w:ascii="Narkisim" w:hAnsi="Narkisim"/>
          <w:rtl/>
        </w:rPr>
        <w:t xml:space="preserve"> מחל לה.</w:t>
      </w:r>
    </w:p>
    <w:p w14:paraId="57556258" w14:textId="77777777" w:rsidR="006C4368" w:rsidRPr="00A47A11" w:rsidRDefault="006C4368" w:rsidP="006C4368">
      <w:pPr>
        <w:bidi/>
        <w:rPr>
          <w:rFonts w:ascii="Narkisim" w:hAnsi="Narkisim" w:cs="Narkisim"/>
        </w:rPr>
      </w:pPr>
      <w:r w:rsidRPr="00A47A11">
        <w:rPr>
          <w:rFonts w:ascii="Narkisim" w:hAnsi="Narkisim" w:cs="Narkisim"/>
          <w:u w:val="single"/>
          <w:rtl/>
        </w:rPr>
        <w:t>תוד"ה אלמנה</w:t>
      </w:r>
      <w:r w:rsidRPr="00A47A11">
        <w:rPr>
          <w:rFonts w:ascii="Narkisim" w:hAnsi="Narkisim" w:cs="Narkisim"/>
          <w:rtl/>
        </w:rPr>
        <w:t>. ובשניה דקתני אין לה פירות הוי נמי דין פירות וכו' אע”ג דהבעל אוכל פירות וכו'. ואף דבשניות קנסו אותה שאין לה כתובה כלל, מ"מ משמע דעיקר תקנת נכסי מלוג קיימת שהבעל אוכל פירות</w:t>
      </w:r>
      <w:r w:rsidRPr="00A47A11">
        <w:rPr>
          <w:rStyle w:val="ac"/>
          <w:rFonts w:ascii="Narkisim" w:hAnsi="Narkisim" w:cs="Narkisim"/>
          <w:rtl/>
        </w:rPr>
        <w:footnoteReference w:id="5162"/>
      </w:r>
      <w:r w:rsidRPr="00A47A11">
        <w:rPr>
          <w:rFonts w:ascii="Narkisim" w:hAnsi="Narkisim" w:cs="Narkisim"/>
          <w:rtl/>
        </w:rPr>
        <w:t>.</w:t>
      </w:r>
    </w:p>
    <w:p w14:paraId="01AABB7D" w14:textId="77777777" w:rsidR="006C4368" w:rsidRPr="00A47A11" w:rsidRDefault="006C4368" w:rsidP="006C4368">
      <w:pPr>
        <w:pStyle w:val="a7"/>
        <w:bidi/>
        <w:rPr>
          <w:rFonts w:ascii="Narkisim" w:hAnsi="Narkisim"/>
        </w:rPr>
      </w:pPr>
      <w:r w:rsidRPr="00A47A11">
        <w:rPr>
          <w:rFonts w:ascii="Narkisim" w:hAnsi="Narkisim"/>
          <w:rtl/>
        </w:rPr>
        <w:t xml:space="preserve">אבל מדברי </w:t>
      </w:r>
      <w:r w:rsidRPr="00A47A11">
        <w:rPr>
          <w:rFonts w:ascii="Narkisim" w:hAnsi="Narkisim"/>
          <w:b/>
          <w:bCs/>
          <w:rtl/>
        </w:rPr>
        <w:t>רש"י</w:t>
      </w:r>
      <w:r w:rsidRPr="00A47A11">
        <w:rPr>
          <w:rFonts w:ascii="Narkisim" w:hAnsi="Narkisim"/>
          <w:rtl/>
        </w:rPr>
        <w:t xml:space="preserve"> (כאן וכתובות ק:) משמע דאפי' באלמנה לכה"ג אכל פירות שלא כדין [כיון דאינו חייב לפדות, וכרבא וכמ”ש </w:t>
      </w:r>
      <w:r w:rsidRPr="00A47A11">
        <w:rPr>
          <w:rFonts w:ascii="Narkisim" w:hAnsi="Narkisim"/>
          <w:b/>
          <w:bCs/>
          <w:rtl/>
        </w:rPr>
        <w:t>רש”י</w:t>
      </w:r>
      <w:r w:rsidRPr="00A47A11">
        <w:rPr>
          <w:rFonts w:ascii="Narkisim" w:hAnsi="Narkisim"/>
          <w:rtl/>
        </w:rPr>
        <w:t xml:space="preserve"> במשנה פד.]. ובאלמנה לכה"ג חייב להחזיר את כל הפירות שאכל</w:t>
      </w:r>
      <w:r w:rsidRPr="00A47A11">
        <w:rPr>
          <w:rStyle w:val="ac"/>
          <w:rFonts w:ascii="Narkisim" w:hAnsi="Narkisim"/>
          <w:rtl/>
        </w:rPr>
        <w:footnoteReference w:id="5163"/>
      </w:r>
      <w:r w:rsidRPr="00A47A11">
        <w:rPr>
          <w:rFonts w:ascii="Narkisim" w:hAnsi="Narkisim"/>
          <w:rtl/>
        </w:rPr>
        <w:t>. ואילו בשנייה קנסו אותה, דפירות שאכל</w:t>
      </w:r>
      <w:r w:rsidRPr="00A47A11">
        <w:rPr>
          <w:rStyle w:val="ac"/>
          <w:rFonts w:ascii="Narkisim" w:hAnsi="Narkisim"/>
          <w:rtl/>
        </w:rPr>
        <w:footnoteReference w:id="5164"/>
      </w:r>
      <w:r w:rsidRPr="00A47A11">
        <w:rPr>
          <w:rFonts w:ascii="Narkisim" w:hAnsi="Narkisim"/>
          <w:rtl/>
        </w:rPr>
        <w:t xml:space="preserve"> הוה בכלל תנאי כתובה, וקנסו אותה שלא תקבל תנאי כתובה</w:t>
      </w:r>
      <w:r w:rsidRPr="00A47A11">
        <w:rPr>
          <w:rStyle w:val="ac"/>
          <w:rFonts w:ascii="Narkisim" w:hAnsi="Narkisim"/>
          <w:rtl/>
        </w:rPr>
        <w:footnoteReference w:id="5165"/>
      </w:r>
      <w:r w:rsidRPr="00A47A11">
        <w:rPr>
          <w:rFonts w:ascii="Narkisim" w:hAnsi="Narkisim"/>
          <w:rtl/>
        </w:rPr>
        <w:t>.</w:t>
      </w:r>
    </w:p>
    <w:p w14:paraId="0DE76502"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תוס' רא”ש</w:t>
      </w:r>
      <w:r w:rsidRPr="00A47A11">
        <w:rPr>
          <w:rFonts w:ascii="Narkisim" w:hAnsi="Narkisim"/>
          <w:rtl/>
        </w:rPr>
        <w:t xml:space="preserve"> (ותוס' כתובות נב.) חלק דלא מסתבר שיפו בזה יותר משאר נשים.</w:t>
      </w:r>
    </w:p>
    <w:p w14:paraId="011AB2DB" w14:textId="77777777" w:rsidR="006C4368" w:rsidRPr="00A47A11" w:rsidRDefault="006C4368" w:rsidP="006C4368">
      <w:pPr>
        <w:bidi/>
        <w:rPr>
          <w:rFonts w:ascii="Narkisim" w:hAnsi="Narkisim" w:cs="Narkisim"/>
        </w:rPr>
      </w:pPr>
      <w:r w:rsidRPr="00A47A11">
        <w:rPr>
          <w:rFonts w:ascii="Narkisim" w:hAnsi="Narkisim" w:cs="Narkisim"/>
          <w:u w:val="single"/>
          <w:rtl/>
        </w:rPr>
        <w:t>תוד"ה בלאות</w:t>
      </w:r>
      <w:r w:rsidRPr="00A47A11">
        <w:rPr>
          <w:rFonts w:ascii="Narkisim" w:hAnsi="Narkisim" w:cs="Narkisim"/>
          <w:rtl/>
        </w:rPr>
        <w:t xml:space="preserve">. פ"ה במשנתינו (פד.) וכו' שאם יש לה עדיין וכו' מבגדים שהכניסה לו. וכ"כ </w:t>
      </w:r>
      <w:r w:rsidRPr="00A47A11">
        <w:rPr>
          <w:rFonts w:ascii="Narkisim" w:hAnsi="Narkisim" w:cs="Narkisim"/>
          <w:b/>
          <w:bCs/>
          <w:rtl/>
        </w:rPr>
        <w:t>רש"י</w:t>
      </w:r>
      <w:r w:rsidRPr="00A47A11">
        <w:rPr>
          <w:rFonts w:ascii="Narkisim" w:hAnsi="Narkisim" w:cs="Narkisim"/>
          <w:rtl/>
        </w:rPr>
        <w:t xml:space="preserve"> (כתובות ק:). </w:t>
      </w:r>
      <w:r w:rsidRPr="00A47A11">
        <w:rPr>
          <w:rFonts w:ascii="Narkisim" w:hAnsi="Narkisim" w:cs="Narkisim"/>
          <w:szCs w:val="20"/>
          <w:rtl/>
        </w:rPr>
        <w:t>אבל ה</w:t>
      </w:r>
      <w:r w:rsidRPr="00A47A11">
        <w:rPr>
          <w:rFonts w:ascii="Narkisim" w:hAnsi="Narkisim" w:cs="Narkisim"/>
          <w:b/>
          <w:bCs/>
          <w:szCs w:val="20"/>
          <w:rtl/>
        </w:rPr>
        <w:t>אחרונים</w:t>
      </w:r>
      <w:r w:rsidRPr="00A47A11">
        <w:rPr>
          <w:rFonts w:ascii="Narkisim" w:hAnsi="Narkisim" w:cs="Narkisim"/>
          <w:szCs w:val="20"/>
          <w:rtl/>
        </w:rPr>
        <w:t xml:space="preserve"> הביאו דמדברי </w:t>
      </w:r>
      <w:r w:rsidRPr="00A47A11">
        <w:rPr>
          <w:rFonts w:ascii="Narkisim" w:hAnsi="Narkisim" w:cs="Narkisim"/>
          <w:b/>
          <w:bCs/>
          <w:szCs w:val="20"/>
          <w:rtl/>
        </w:rPr>
        <w:t>רש"י</w:t>
      </w:r>
      <w:r w:rsidRPr="00A47A11">
        <w:rPr>
          <w:rFonts w:ascii="Narkisim" w:hAnsi="Narkisim" w:cs="Narkisim"/>
          <w:szCs w:val="20"/>
          <w:rtl/>
        </w:rPr>
        <w:t xml:space="preserve"> (שם קא.) מבואר דאינו בעין</w:t>
      </w:r>
      <w:r w:rsidRPr="00A47A11">
        <w:rPr>
          <w:rStyle w:val="ac"/>
          <w:rFonts w:ascii="Narkisim" w:hAnsi="Narkisim" w:cs="Narkisim"/>
          <w:szCs w:val="20"/>
          <w:rtl/>
          <w:lang w:val="he-IL"/>
        </w:rPr>
        <w:footnoteReference w:id="5166"/>
      </w:r>
      <w:r w:rsidRPr="00A47A11">
        <w:rPr>
          <w:rFonts w:ascii="Narkisim" w:hAnsi="Narkisim" w:cs="Narkisim"/>
          <w:rtl/>
          <w:lang w:val="he-IL"/>
        </w:rPr>
        <w:t xml:space="preserve">. </w:t>
      </w:r>
      <w:r w:rsidRPr="00A47A11">
        <w:rPr>
          <w:rFonts w:ascii="Narkisim" w:hAnsi="Narkisim" w:cs="Narkisim"/>
          <w:szCs w:val="20"/>
          <w:rtl/>
          <w:lang w:val="he-IL"/>
        </w:rPr>
        <w:t>והאחרונים (ערול"נ, בית יעקב שם) דנו דתלי בנח' רב נחמן ורב כהנא (שם, ע' ראשונים שם בשם הראב"ד)</w:t>
      </w:r>
      <w:r w:rsidRPr="00A47A11">
        <w:rPr>
          <w:rFonts w:ascii="Narkisim" w:hAnsi="Narkisim" w:cs="Narkisim"/>
          <w:szCs w:val="20"/>
          <w:rtl/>
        </w:rPr>
        <w:t>.</w:t>
      </w:r>
    </w:p>
    <w:p w14:paraId="784C3DB8"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ריטב"א</w:t>
      </w:r>
      <w:r w:rsidRPr="00A47A11">
        <w:rPr>
          <w:rFonts w:ascii="Narkisim" w:hAnsi="Narkisim"/>
          <w:rtl/>
        </w:rPr>
        <w:t xml:space="preserve"> הק' דאפי' זינתה לא הפסידה בלאותיה קיימין, וכדאי' (כתובות קא.) כליה מי זנאי</w:t>
      </w:r>
      <w:r w:rsidRPr="00A47A11">
        <w:rPr>
          <w:rStyle w:val="ac"/>
          <w:rFonts w:ascii="Narkisim" w:hAnsi="Narkisim"/>
          <w:rtl/>
        </w:rPr>
        <w:footnoteReference w:id="5167"/>
      </w:r>
      <w:r w:rsidRPr="00A47A11">
        <w:rPr>
          <w:rFonts w:ascii="Narkisim" w:hAnsi="Narkisim"/>
          <w:rtl/>
        </w:rPr>
        <w:t>. ותי' דהכא מפני שהיא מרגילתו הוסיפו לקונסו אף בלאותיה קיימין.</w:t>
      </w:r>
    </w:p>
    <w:p w14:paraId="1FE8A499" w14:textId="77777777" w:rsidR="006C4368" w:rsidRPr="00A47A11" w:rsidRDefault="006C4368" w:rsidP="006C4368">
      <w:pPr>
        <w:pStyle w:val="aa"/>
        <w:bidi/>
        <w:rPr>
          <w:rFonts w:ascii="Narkisim" w:hAnsi="Narkisim"/>
        </w:rPr>
      </w:pPr>
      <w:r w:rsidRPr="00A47A11">
        <w:rPr>
          <w:rFonts w:ascii="Narkisim" w:hAnsi="Narkisim"/>
          <w:u w:val="single"/>
          <w:rtl/>
        </w:rPr>
        <w:t>בא"ד וכן (כתובות סג:) גבי מורדת וכו'</w:t>
      </w:r>
      <w:r w:rsidRPr="00A47A11">
        <w:rPr>
          <w:rFonts w:ascii="Narkisim" w:hAnsi="Narkisim"/>
          <w:rtl/>
        </w:rPr>
        <w:t>. דנקטו הלשון דהפסידה בלאותיה קיימין, משמע דסתם בלאות אינם קיימין. [וע"ע ריטב"א (כתובות סד.) דין בלאות דמורדת].</w:t>
      </w:r>
    </w:p>
    <w:p w14:paraId="3AFF3E0D" w14:textId="77777777" w:rsidR="006C4368" w:rsidRPr="00A47A11" w:rsidRDefault="006C4368" w:rsidP="006C4368">
      <w:pPr>
        <w:bidi/>
        <w:rPr>
          <w:rFonts w:ascii="Narkisim" w:hAnsi="Narkisim" w:cs="Narkisim"/>
        </w:rPr>
      </w:pPr>
      <w:r w:rsidRPr="00A47A11">
        <w:rPr>
          <w:rFonts w:ascii="Narkisim" w:hAnsi="Narkisim" w:cs="Narkisim"/>
          <w:u w:val="single"/>
          <w:rtl/>
        </w:rPr>
        <w:t>בא"ד אבל ק"ק וכו' פירות היינו בלאות וכו' כדאמר התם עיילא ליה גלימא פירא הוה וכו'</w:t>
      </w:r>
      <w:r w:rsidRPr="00A47A11">
        <w:rPr>
          <w:rFonts w:ascii="Narkisim" w:hAnsi="Narkisim" w:cs="Narkisim"/>
          <w:rtl/>
        </w:rPr>
        <w:t>. [דכל אשה שהכניסה בגדים בנכסי מלוג, שימוש הלבישה נחשב פירות. ואי"צ להחזיר מה שאינו קיים]. ו</w:t>
      </w:r>
      <w:r w:rsidRPr="00A47A11">
        <w:rPr>
          <w:rFonts w:ascii="Narkisim" w:hAnsi="Narkisim" w:cs="Narkisim"/>
          <w:b/>
          <w:bCs/>
          <w:rtl/>
        </w:rPr>
        <w:t>תוס</w:t>
      </w:r>
      <w:r w:rsidRPr="00A47A11">
        <w:rPr>
          <w:rFonts w:ascii="Narkisim" w:hAnsi="Narkisim" w:cs="Narkisim"/>
          <w:rtl/>
        </w:rPr>
        <w:t>' (כתובות קא.) תי' דאיירי בהנך שבלה שלא כדין. [ומש"ה נחשב דכלה הקרן].</w:t>
      </w:r>
    </w:p>
    <w:p w14:paraId="6CFC4299" w14:textId="77777777" w:rsidR="006C4368" w:rsidRPr="00A47A11" w:rsidRDefault="006C4368" w:rsidP="006C4368">
      <w:pPr>
        <w:bidi/>
        <w:rPr>
          <w:rFonts w:ascii="Narkisim" w:hAnsi="Narkisim" w:cs="Narkisim"/>
        </w:rPr>
      </w:pPr>
      <w:r w:rsidRPr="00A47A11">
        <w:rPr>
          <w:rFonts w:ascii="Narkisim" w:hAnsi="Narkisim" w:cs="Narkisim"/>
          <w:rtl/>
        </w:rPr>
        <w:t>ומבואר בתוס' דנקטו דאיירי בבלאות נכסי מלוג. [ודלא כמ"ש הרשב"א במשנה בדעת רש"י דאיירי בצאן ברזל</w:t>
      </w:r>
      <w:r w:rsidRPr="00A47A11">
        <w:rPr>
          <w:rStyle w:val="ac"/>
          <w:rFonts w:ascii="Narkisim" w:hAnsi="Narkisim" w:cs="Narkisim"/>
          <w:rtl/>
        </w:rPr>
        <w:footnoteReference w:id="5168"/>
      </w:r>
      <w:r w:rsidRPr="00A47A11">
        <w:rPr>
          <w:rFonts w:ascii="Narkisim" w:hAnsi="Narkisim" w:cs="Narkisim"/>
          <w:rtl/>
        </w:rPr>
        <w:t>]. וב</w:t>
      </w:r>
      <w:r w:rsidRPr="00A47A11">
        <w:rPr>
          <w:rFonts w:ascii="Narkisim" w:hAnsi="Narkisim" w:cs="Narkisim"/>
          <w:b/>
          <w:bCs/>
          <w:rtl/>
        </w:rPr>
        <w:t>גמ</w:t>
      </w:r>
      <w:r w:rsidRPr="00A47A11">
        <w:rPr>
          <w:rFonts w:ascii="Narkisim" w:hAnsi="Narkisim" w:cs="Narkisim"/>
          <w:rtl/>
        </w:rPr>
        <w:t xml:space="preserve">' (כתובות קא.) אי' [גבי שניות] דלא שנא אלא בלאות נכסי מלוג, אבל נכסי צאן ברזל שקלי. והגמ' פי' דקנסו לדידיה בנכסי צאן ברזל [שישלם, ואף דלא קיימי ברשותו]. וקנסו לדידה בנכסי מלוג </w:t>
      </w:r>
      <w:r w:rsidRPr="00A47A11">
        <w:rPr>
          <w:rFonts w:ascii="Narkisim" w:hAnsi="Narkisim" w:cs="Narkisim"/>
          <w:szCs w:val="20"/>
          <w:rtl/>
        </w:rPr>
        <w:t>[שמפסדת אף דקאי ברשותה</w:t>
      </w:r>
      <w:r w:rsidRPr="00A47A11">
        <w:rPr>
          <w:rFonts w:ascii="Narkisim" w:hAnsi="Narkisim" w:cs="Narkisim"/>
          <w:rtl/>
        </w:rPr>
        <w:t>].</w:t>
      </w:r>
    </w:p>
    <w:p w14:paraId="2493EB88" w14:textId="77777777" w:rsidR="006C4368" w:rsidRPr="00A47A11" w:rsidRDefault="006C4368" w:rsidP="006C4368">
      <w:pPr>
        <w:bidi/>
        <w:rPr>
          <w:rFonts w:ascii="Narkisim" w:hAnsi="Narkisim" w:cs="Narkisim"/>
        </w:rPr>
      </w:pPr>
      <w:r w:rsidRPr="00A47A11">
        <w:rPr>
          <w:rFonts w:ascii="Narkisim" w:hAnsi="Narkisim" w:cs="Narkisim"/>
          <w:u w:val="single"/>
          <w:rtl/>
        </w:rPr>
        <w:t>ת"ר אלמנה לכה"ג וכו' יש לה כתובה וכו'</w:t>
      </w:r>
      <w:r w:rsidRPr="00A47A11">
        <w:rPr>
          <w:rFonts w:ascii="Narkisim" w:hAnsi="Narkisim" w:cs="Narkisim"/>
          <w:rtl/>
        </w:rPr>
        <w:t>. ובגמ' (כתובות קא:) נח' רב הונא ורב יהודה האם איירי דוקא היכא דהכיר בה, ודעת רב הונא דאיירי אף בלא הכיר בה</w:t>
      </w:r>
      <w:r w:rsidRPr="00A47A11">
        <w:rPr>
          <w:rStyle w:val="ac"/>
          <w:rFonts w:ascii="Narkisim" w:hAnsi="Narkisim" w:cs="Narkisim"/>
          <w:rtl/>
        </w:rPr>
        <w:footnoteReference w:id="5169"/>
      </w:r>
      <w:r w:rsidRPr="00A47A11">
        <w:rPr>
          <w:rFonts w:ascii="Narkisim" w:hAnsi="Narkisim" w:cs="Narkisim"/>
          <w:rtl/>
        </w:rPr>
        <w:t>, ולא הוה מקח טעות משום צד איסור. אבל דעת רב יהודה דלא הכיר בה אין לה כתובה</w:t>
      </w:r>
      <w:r w:rsidRPr="00A47A11">
        <w:rPr>
          <w:rStyle w:val="ac"/>
          <w:rFonts w:ascii="Narkisim" w:hAnsi="Narkisim" w:cs="Narkisim"/>
          <w:rtl/>
        </w:rPr>
        <w:footnoteReference w:id="5170"/>
      </w:r>
      <w:r w:rsidRPr="00A47A11">
        <w:rPr>
          <w:rFonts w:ascii="Narkisim" w:hAnsi="Narkisim" w:cs="Narkisim"/>
          <w:rtl/>
        </w:rPr>
        <w:t xml:space="preserve">, דהוה מקח </w:t>
      </w:r>
      <w:r w:rsidRPr="00A47A11">
        <w:rPr>
          <w:rFonts w:ascii="Narkisim" w:hAnsi="Narkisim" w:cs="Narkisim"/>
          <w:rtl/>
        </w:rPr>
        <w:lastRenderedPageBreak/>
        <w:t>טעות</w:t>
      </w:r>
      <w:r w:rsidRPr="00A47A11">
        <w:rPr>
          <w:rStyle w:val="ac"/>
          <w:rFonts w:ascii="Narkisim" w:hAnsi="Narkisim" w:cs="Narkisim"/>
          <w:rtl/>
        </w:rPr>
        <w:footnoteReference w:id="5171"/>
      </w:r>
      <w:r w:rsidRPr="00A47A11">
        <w:rPr>
          <w:rFonts w:ascii="Narkisim" w:hAnsi="Narkisim" w:cs="Narkisim"/>
          <w:rtl/>
        </w:rPr>
        <w:t>. והגמ' מביאה כן מהברייתא, ותיובתא דרב הונא.</w:t>
      </w:r>
    </w:p>
    <w:p w14:paraId="59BF954C"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רא"ש</w:t>
      </w:r>
      <w:r w:rsidRPr="00A47A11">
        <w:rPr>
          <w:rFonts w:ascii="Narkisim" w:hAnsi="Narkisim"/>
          <w:rtl/>
        </w:rPr>
        <w:t xml:space="preserve"> (כתובות יא כה) דייק דהקנס בשנייה הוה לא שנא הכיר בה ול"ש לא הכיר בה.</w:t>
      </w:r>
    </w:p>
    <w:p w14:paraId="25CF7D19" w14:textId="77777777" w:rsidR="006C4368" w:rsidRPr="00A47A11" w:rsidRDefault="006C4368" w:rsidP="006C4368">
      <w:pPr>
        <w:pStyle w:val="aa"/>
        <w:bidi/>
        <w:rPr>
          <w:rFonts w:ascii="Narkisim" w:hAnsi="Narkisim"/>
        </w:rPr>
      </w:pPr>
      <w:r w:rsidRPr="00A47A11">
        <w:rPr>
          <w:rFonts w:ascii="Narkisim" w:hAnsi="Narkisim"/>
          <w:rtl/>
        </w:rPr>
        <w:t>ה</w:t>
      </w:r>
      <w:r w:rsidRPr="00A47A11">
        <w:rPr>
          <w:rFonts w:ascii="Narkisim" w:hAnsi="Narkisim"/>
          <w:b/>
          <w:bCs/>
          <w:rtl/>
        </w:rPr>
        <w:t>ראב"ד</w:t>
      </w:r>
      <w:r w:rsidRPr="00A47A11">
        <w:rPr>
          <w:rFonts w:ascii="Narkisim" w:hAnsi="Narkisim"/>
          <w:rtl/>
        </w:rPr>
        <w:t xml:space="preserve"> (הו' ברא"ש כתובות יא כה) הק' דאי איירי בלא הכיר בה (וכנ"ל), א"כ אף באלמנה לכה"ג יש לחוש דאיהי מרגלה ליה, דאיהי הוה ידעה בנפשה והוא לא ידע א"כ יש לנו לקונסה כשנייה. ותי' דכיון דפסיל לזרע לא קנסינן לה, דסופה יוצא אותה ולא מרגלה ליה. והא שנשאה מעיקרא משום דיצרה תקפה.</w:t>
      </w:r>
    </w:p>
    <w:p w14:paraId="23FEDE8F" w14:textId="77777777" w:rsidR="006C4368" w:rsidRPr="00A47A11" w:rsidRDefault="006C4368" w:rsidP="006C4368">
      <w:pPr>
        <w:bidi/>
        <w:rPr>
          <w:rFonts w:ascii="Narkisim" w:hAnsi="Narkisim" w:cs="Narkisim"/>
        </w:rPr>
      </w:pPr>
      <w:r w:rsidRPr="00A47A11">
        <w:rPr>
          <w:rFonts w:ascii="Narkisim" w:hAnsi="Narkisim" w:cs="Narkisim"/>
          <w:u w:val="single"/>
          <w:rtl/>
        </w:rPr>
        <w:t>שניות מדברי סופרים אין לה כתובה</w:t>
      </w:r>
      <w:r w:rsidRPr="00A47A11">
        <w:rPr>
          <w:rStyle w:val="ac"/>
          <w:rFonts w:ascii="Narkisim" w:hAnsi="Narkisim" w:cs="Narkisim"/>
          <w:u w:val="single"/>
          <w:rtl/>
        </w:rPr>
        <w:footnoteReference w:id="5172"/>
      </w:r>
      <w:r w:rsidRPr="00A47A11">
        <w:rPr>
          <w:rFonts w:ascii="Narkisim" w:hAnsi="Narkisim" w:cs="Narkisim"/>
          <w:u w:val="single"/>
          <w:rtl/>
        </w:rPr>
        <w:t xml:space="preserve"> ולא פירות וכו</w:t>
      </w:r>
      <w:r w:rsidRPr="00A47A11">
        <w:rPr>
          <w:rFonts w:ascii="Narkisim" w:hAnsi="Narkisim" w:cs="Narkisim"/>
          <w:rtl/>
        </w:rPr>
        <w:t>'</w:t>
      </w:r>
      <w:r w:rsidRPr="00A47A11">
        <w:rPr>
          <w:rStyle w:val="ac"/>
          <w:rFonts w:ascii="Narkisim" w:hAnsi="Narkisim" w:cs="Narkisim"/>
          <w:rtl/>
        </w:rPr>
        <w:footnoteReference w:id="5173"/>
      </w:r>
      <w:r w:rsidRPr="00A47A11">
        <w:rPr>
          <w:rFonts w:ascii="Narkisim" w:hAnsi="Narkisim" w:cs="Narkisim"/>
          <w:rtl/>
        </w:rPr>
        <w:t>. וה</w:t>
      </w:r>
      <w:r w:rsidRPr="00A47A11">
        <w:rPr>
          <w:rFonts w:ascii="Narkisim" w:hAnsi="Narkisim" w:cs="Narkisim"/>
          <w:b/>
          <w:bCs/>
          <w:rtl/>
        </w:rPr>
        <w:t>רמב"ן</w:t>
      </w:r>
      <w:r w:rsidRPr="00A47A11">
        <w:rPr>
          <w:rFonts w:ascii="Narkisim" w:hAnsi="Narkisim" w:cs="Narkisim"/>
          <w:rtl/>
        </w:rPr>
        <w:t xml:space="preserve"> (במשנה) דן מה הדין מציאתה ומעשה ידיה והפרת נדריה [דשניות], דלא תנן. </w:t>
      </w:r>
      <w:r w:rsidRPr="00A47A11">
        <w:rPr>
          <w:rFonts w:ascii="Narkisim" w:hAnsi="Narkisim" w:cs="Narkisim"/>
          <w:szCs w:val="20"/>
          <w:rtl/>
        </w:rPr>
        <w:t>דאפשר דקנסו אותה שהיא מרגילתו, אבל לדידיה לא קנסינן [וזוכה בהם]. או אפשר דילפי' ק"ו כתובה דלמשקל ומיפק קנסינן, כ"ש בהנך דלמיקם קמיה, דקנסינן כדי שתהא כזונה אצלו.</w:t>
      </w:r>
      <w:r w:rsidRPr="00A47A11">
        <w:rPr>
          <w:rFonts w:ascii="Narkisim" w:hAnsi="Narkisim" w:cs="Narkisim"/>
          <w:rtl/>
        </w:rPr>
        <w:t xml:space="preserve"> והביא דב</w:t>
      </w:r>
      <w:r w:rsidRPr="00A47A11">
        <w:rPr>
          <w:rFonts w:ascii="Narkisim" w:hAnsi="Narkisim" w:cs="Narkisim"/>
          <w:b/>
          <w:bCs/>
          <w:rtl/>
        </w:rPr>
        <w:t>תוספתא</w:t>
      </w:r>
      <w:r w:rsidRPr="00A47A11">
        <w:rPr>
          <w:rFonts w:ascii="Narkisim" w:hAnsi="Narkisim" w:cs="Narkisim"/>
          <w:rtl/>
        </w:rPr>
        <w:t xml:space="preserve"> אי' דשניות מדברי סופרים אינן כאשתו לכל דבר, ואינו זכאי במציאתה ומעש"י והפרת נדריה. אבל יורשה ומטמא לה</w:t>
      </w:r>
      <w:r w:rsidRPr="00A47A11">
        <w:rPr>
          <w:rStyle w:val="ac"/>
          <w:rFonts w:ascii="Narkisim" w:hAnsi="Narkisim" w:cs="Narkisim"/>
          <w:rtl/>
        </w:rPr>
        <w:footnoteReference w:id="5174"/>
      </w:r>
      <w:r w:rsidRPr="00A47A11">
        <w:rPr>
          <w:rFonts w:ascii="Narkisim" w:hAnsi="Narkisim" w:cs="Narkisim"/>
          <w:rtl/>
        </w:rPr>
        <w:t>. ועוד הביא כן מהירושלמי.</w:t>
      </w:r>
    </w:p>
    <w:p w14:paraId="03ACC974" w14:textId="77777777" w:rsidR="006C4368" w:rsidRPr="00A47A11" w:rsidRDefault="006C4368" w:rsidP="006C4368">
      <w:pPr>
        <w:pStyle w:val="a8"/>
        <w:bidi/>
        <w:rPr>
          <w:rFonts w:ascii="Narkisim" w:hAnsi="Narkisim"/>
        </w:rPr>
      </w:pPr>
      <w:r w:rsidRPr="00A47A11">
        <w:rPr>
          <w:rFonts w:ascii="Narkisim" w:hAnsi="Narkisim"/>
          <w:rtl/>
        </w:rPr>
        <w:t>ובאלמנה לכה"ג אי' (לקמן צ:) דאינו מטמא לאשתו פסולה</w:t>
      </w:r>
      <w:r w:rsidRPr="00A47A11">
        <w:rPr>
          <w:rStyle w:val="ac"/>
          <w:rFonts w:ascii="Narkisim" w:hAnsi="Narkisim"/>
          <w:rtl/>
        </w:rPr>
        <w:footnoteReference w:id="5175"/>
      </w:r>
      <w:r w:rsidRPr="00A47A11">
        <w:rPr>
          <w:rFonts w:ascii="Narkisim" w:hAnsi="Narkisim"/>
          <w:rtl/>
        </w:rPr>
        <w:t>. ו</w:t>
      </w:r>
      <w:r w:rsidRPr="00A47A11">
        <w:rPr>
          <w:rFonts w:ascii="Narkisim" w:hAnsi="Narkisim"/>
          <w:b/>
          <w:bCs/>
          <w:rtl/>
        </w:rPr>
        <w:t>תוס</w:t>
      </w:r>
      <w:r w:rsidRPr="00A47A11">
        <w:rPr>
          <w:rFonts w:ascii="Narkisim" w:hAnsi="Narkisim"/>
          <w:rtl/>
        </w:rPr>
        <w:t>' (לקמן פט: ד”ה כיון) העלו צד דאף אינו יורשה. ותוס' דחו דאין ראיה לענין ירושה.</w:t>
      </w:r>
    </w:p>
    <w:p w14:paraId="16B90EC8" w14:textId="77777777" w:rsidR="006C4368" w:rsidRPr="00A47A11" w:rsidRDefault="006C4368" w:rsidP="006C4368">
      <w:pPr>
        <w:pStyle w:val="aa"/>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כת' דנראה דהיכא שהבעל מעלה לה מזונות, מעשה ידיה שלו. וכגון שזן ועשתה מעש"י ואח"כ באו לבי"ד. וכן לאחר מיתה היורשין זנין אותה ונוטלין מעשה ידיה</w:t>
      </w:r>
      <w:r w:rsidRPr="00A47A11">
        <w:rPr>
          <w:rStyle w:val="ac"/>
          <w:rFonts w:ascii="Narkisim" w:hAnsi="Narkisim"/>
          <w:rtl/>
        </w:rPr>
        <w:footnoteReference w:id="5176"/>
      </w:r>
      <w:r w:rsidRPr="00A47A11">
        <w:rPr>
          <w:rFonts w:ascii="Narkisim" w:hAnsi="Narkisim"/>
          <w:rtl/>
        </w:rPr>
        <w:t>. אבל בזמן שאינו זן אותה, כיון שאין לה עליו מזונות אף הוא אין לו מעשה ידיה</w:t>
      </w:r>
      <w:r w:rsidRPr="00A47A11">
        <w:rPr>
          <w:rStyle w:val="ac"/>
          <w:rFonts w:ascii="Narkisim" w:hAnsi="Narkisim"/>
          <w:rtl/>
        </w:rPr>
        <w:footnoteReference w:id="5177"/>
      </w:r>
      <w:r w:rsidRPr="00A47A11">
        <w:rPr>
          <w:rFonts w:ascii="Narkisim" w:hAnsi="Narkisim"/>
          <w:rtl/>
        </w:rPr>
        <w:t>.</w:t>
      </w:r>
    </w:p>
    <w:p w14:paraId="5478C581" w14:textId="77777777" w:rsidR="006C4368" w:rsidRPr="00A47A11" w:rsidRDefault="006C4368" w:rsidP="006C4368">
      <w:pPr>
        <w:pStyle w:val="aa"/>
        <w:bidi/>
        <w:rPr>
          <w:rFonts w:ascii="Narkisim" w:hAnsi="Narkisim"/>
        </w:rPr>
      </w:pPr>
      <w:r w:rsidRPr="00A47A11">
        <w:rPr>
          <w:rFonts w:ascii="Narkisim" w:hAnsi="Narkisim"/>
          <w:u w:val="single"/>
          <w:rtl/>
        </w:rPr>
        <w:t>מפני שהוא פסול וכו'</w:t>
      </w:r>
      <w:r w:rsidRPr="00A47A11">
        <w:rPr>
          <w:rFonts w:ascii="Narkisim" w:hAnsi="Narkisim"/>
          <w:rtl/>
        </w:rPr>
        <w:t>. פ</w:t>
      </w:r>
      <w:r w:rsidRPr="00A47A11">
        <w:rPr>
          <w:rFonts w:ascii="Narkisim" w:hAnsi="Narkisim"/>
          <w:b/>
          <w:bCs/>
          <w:rtl/>
        </w:rPr>
        <w:t>רש”י</w:t>
      </w:r>
      <w:r w:rsidRPr="00A47A11">
        <w:rPr>
          <w:rFonts w:ascii="Narkisim" w:hAnsi="Narkisim"/>
          <w:rtl/>
        </w:rPr>
        <w:t xml:space="preserve"> שהבעל פסול לעבודה משום נושא נשים בעבירה. [</w:t>
      </w:r>
      <w:r w:rsidRPr="00A47A11">
        <w:rPr>
          <w:rFonts w:ascii="Narkisim" w:hAnsi="Narkisim"/>
          <w:b/>
          <w:bCs/>
          <w:rtl/>
        </w:rPr>
        <w:t>רש"י</w:t>
      </w:r>
      <w:r w:rsidRPr="00A47A11">
        <w:rPr>
          <w:rFonts w:ascii="Narkisim" w:hAnsi="Narkisim"/>
          <w:rtl/>
        </w:rPr>
        <w:t xml:space="preserve"> (קידושין עז.) פי' דהוה קנס דרבנן</w:t>
      </w:r>
      <w:r w:rsidRPr="00A47A11">
        <w:rPr>
          <w:rStyle w:val="ac"/>
          <w:rFonts w:ascii="Narkisim" w:hAnsi="Narkisim"/>
          <w:rtl/>
        </w:rPr>
        <w:footnoteReference w:id="5178"/>
      </w:r>
      <w:r w:rsidRPr="00A47A11">
        <w:rPr>
          <w:rFonts w:ascii="Narkisim" w:hAnsi="Narkisim"/>
          <w:rtl/>
        </w:rPr>
        <w:t>]. ור"ת בתוס' פי' דהולד פסול.</w:t>
      </w:r>
    </w:p>
    <w:p w14:paraId="383DBE34" w14:textId="77777777" w:rsidR="006C4368" w:rsidRPr="00A47A11" w:rsidRDefault="006C4368" w:rsidP="006C4368">
      <w:pPr>
        <w:pStyle w:val="3"/>
        <w:bidi/>
        <w:rPr>
          <w:rFonts w:ascii="Narkisim" w:hAnsi="Narkisim"/>
        </w:rPr>
      </w:pPr>
      <w:r w:rsidRPr="00A47A11">
        <w:rPr>
          <w:rFonts w:ascii="Narkisim" w:hAnsi="Narkisim"/>
          <w:rtl/>
        </w:rPr>
        <w:t>דף פה:</w:t>
      </w:r>
    </w:p>
    <w:p w14:paraId="33B6B0A6" w14:textId="77777777" w:rsidR="006C4368" w:rsidRPr="00A47A11" w:rsidRDefault="006C4368" w:rsidP="006C4368">
      <w:pPr>
        <w:pStyle w:val="aa"/>
        <w:bidi/>
        <w:rPr>
          <w:rFonts w:ascii="Narkisim" w:hAnsi="Narkisim"/>
        </w:rPr>
      </w:pPr>
      <w:r w:rsidRPr="00A47A11">
        <w:rPr>
          <w:rFonts w:ascii="Narkisim" w:hAnsi="Narkisim"/>
          <w:u w:val="single"/>
          <w:rtl/>
        </w:rPr>
        <w:t>זו היא מרגילתו וכו'</w:t>
      </w:r>
      <w:r w:rsidRPr="00A47A11">
        <w:rPr>
          <w:rFonts w:ascii="Narkisim" w:hAnsi="Narkisim"/>
          <w:rtl/>
        </w:rPr>
        <w:t>. פ</w:t>
      </w:r>
      <w:r w:rsidRPr="00A47A11">
        <w:rPr>
          <w:rFonts w:ascii="Narkisim" w:hAnsi="Narkisim"/>
          <w:b/>
          <w:bCs/>
          <w:rtl/>
        </w:rPr>
        <w:t>רש"י</w:t>
      </w:r>
      <w:r w:rsidRPr="00A47A11">
        <w:rPr>
          <w:rFonts w:ascii="Narkisim" w:hAnsi="Narkisim"/>
          <w:rtl/>
        </w:rPr>
        <w:t xml:space="preserve"> שאינה מפסדת מידי, מש"ה היא מרגילתו שהאשה רוצה לינשא יותר מהאיש. וה</w:t>
      </w:r>
      <w:r w:rsidRPr="00A47A11">
        <w:rPr>
          <w:rFonts w:ascii="Narkisim" w:hAnsi="Narkisim"/>
          <w:b/>
          <w:bCs/>
          <w:rtl/>
        </w:rPr>
        <w:t>תו"י</w:t>
      </w:r>
      <w:r w:rsidRPr="00A47A11">
        <w:rPr>
          <w:rFonts w:ascii="Narkisim" w:hAnsi="Narkisim"/>
          <w:rtl/>
        </w:rPr>
        <w:t xml:space="preserve"> (בתי' הא') כת' [גבי ממזרת] דמרגילתו משום שרוצה שיקרא זרעה על שם ישראל גמור. [ויש לה סיבה להכשילו באיסור זה]. ושוב תי' (בשם מורי ראש"י) דמרגילתו משום שרוצה לינשא, ואף אם אינה מרווחת צד הכשר. והוכיח כן דהא שנייה אינה מוספת שום הכשר, אלא שרוצה לינשא.</w:t>
      </w:r>
    </w:p>
    <w:p w14:paraId="02A3AF65" w14:textId="77777777" w:rsidR="006C4368" w:rsidRPr="00A47A11" w:rsidRDefault="006C4368" w:rsidP="006C4368">
      <w:pPr>
        <w:bidi/>
        <w:rPr>
          <w:rFonts w:ascii="Narkisim" w:hAnsi="Narkisim" w:cs="Narkisim"/>
        </w:rPr>
      </w:pPr>
      <w:r w:rsidRPr="00A47A11">
        <w:rPr>
          <w:rFonts w:ascii="Narkisim" w:hAnsi="Narkisim" w:cs="Narkisim"/>
          <w:u w:val="single"/>
          <w:rtl/>
        </w:rPr>
        <w:t>א"ד רבי קתני לה וכו' והא חלוצה דרבנן ואית לה כתובה, הדר אמר וכו'</w:t>
      </w:r>
      <w:r w:rsidRPr="00A47A11">
        <w:rPr>
          <w:rFonts w:ascii="Narkisim" w:hAnsi="Narkisim" w:cs="Narkisim"/>
          <w:rtl/>
        </w:rPr>
        <w:t>. ובפשוטו משמע דאידך לישנא ס”ל דרבי לא ס"ל סברת מרגילתו. וא”כ הדרא קו' דחלוצה דרבנן. וה</w:t>
      </w:r>
      <w:r w:rsidRPr="00A47A11">
        <w:rPr>
          <w:rFonts w:ascii="Narkisim" w:hAnsi="Narkisim" w:cs="Narkisim"/>
          <w:b/>
          <w:bCs/>
          <w:rtl/>
        </w:rPr>
        <w:t>רשב”א</w:t>
      </w:r>
      <w:r w:rsidRPr="00A47A11">
        <w:rPr>
          <w:rFonts w:ascii="Narkisim" w:hAnsi="Narkisim" w:cs="Narkisim"/>
          <w:rtl/>
        </w:rPr>
        <w:t xml:space="preserve"> דן דללישנא דדאורייתא, הא לאו דאורייתא, ואין לה כתובה וכו'. ועוד כת' ה</w:t>
      </w:r>
      <w:r w:rsidRPr="00A47A11">
        <w:rPr>
          <w:rFonts w:ascii="Narkisim" w:hAnsi="Narkisim" w:cs="Narkisim"/>
          <w:b/>
          <w:bCs/>
          <w:rtl/>
        </w:rPr>
        <w:t>רשב"א</w:t>
      </w:r>
      <w:r w:rsidRPr="00A47A11">
        <w:rPr>
          <w:rFonts w:ascii="Narkisim" w:hAnsi="Narkisim" w:cs="Narkisim"/>
          <w:rtl/>
        </w:rPr>
        <w:t xml:space="preserve"> (בתי' הב') דחלוצה נמי אינה צריכה חיזוק, דמרבינן חלוצה מגרושה, ומשמע להו לאינשי דחלוצה כגרושה ומיבדל בדילי מינה כגרושה. ואף למ"ד דאורייתא לא קנסו בחלוצה</w:t>
      </w:r>
      <w:r w:rsidRPr="00A47A11">
        <w:rPr>
          <w:rStyle w:val="ac"/>
          <w:rFonts w:ascii="Narkisim" w:hAnsi="Narkisim" w:cs="Narkisim"/>
          <w:rtl/>
        </w:rPr>
        <w:footnoteReference w:id="5179"/>
      </w:r>
      <w:r w:rsidRPr="00A47A11">
        <w:rPr>
          <w:rFonts w:ascii="Narkisim" w:hAnsi="Narkisim" w:cs="Narkisim"/>
          <w:rtl/>
        </w:rPr>
        <w:t>.</w:t>
      </w:r>
    </w:p>
    <w:p w14:paraId="5C8C560F" w14:textId="77777777" w:rsidR="006C4368" w:rsidRPr="00A47A11" w:rsidRDefault="006C4368" w:rsidP="006C4368">
      <w:pPr>
        <w:bidi/>
        <w:rPr>
          <w:rFonts w:ascii="Narkisim" w:hAnsi="Narkisim" w:cs="Narkisim"/>
        </w:rPr>
      </w:pPr>
      <w:r w:rsidRPr="00A47A11">
        <w:rPr>
          <w:rFonts w:ascii="Narkisim" w:hAnsi="Narkisim" w:cs="Narkisim"/>
          <w:rtl/>
        </w:rPr>
        <w:t>וה</w:t>
      </w:r>
      <w:r w:rsidRPr="00A47A11">
        <w:rPr>
          <w:rFonts w:ascii="Narkisim" w:hAnsi="Narkisim" w:cs="Narkisim"/>
          <w:b/>
          <w:bCs/>
          <w:rtl/>
        </w:rPr>
        <w:t>ב"י</w:t>
      </w:r>
      <w:r w:rsidRPr="00A47A11">
        <w:rPr>
          <w:rFonts w:ascii="Narkisim" w:hAnsi="Narkisim" w:cs="Narkisim"/>
          <w:rtl/>
        </w:rPr>
        <w:t xml:space="preserve"> (קטז, וכס"מ אישות כד ד) נקט דדעת הרמב"ם דחלוצה דרבנן</w:t>
      </w:r>
      <w:r w:rsidRPr="00A47A11">
        <w:rPr>
          <w:rStyle w:val="ac"/>
          <w:rFonts w:ascii="Narkisim" w:hAnsi="Narkisim" w:cs="Narkisim"/>
          <w:rtl/>
        </w:rPr>
        <w:footnoteReference w:id="5180"/>
      </w:r>
      <w:r w:rsidRPr="00A47A11">
        <w:rPr>
          <w:rFonts w:ascii="Narkisim" w:hAnsi="Narkisim" w:cs="Narkisim"/>
          <w:rtl/>
        </w:rPr>
        <w:t>, ומש"ה אין לה כתובה</w:t>
      </w:r>
      <w:r w:rsidRPr="00A47A11">
        <w:rPr>
          <w:rStyle w:val="ac"/>
          <w:rFonts w:ascii="Narkisim" w:hAnsi="Narkisim" w:cs="Narkisim"/>
          <w:rtl/>
        </w:rPr>
        <w:footnoteReference w:id="5181"/>
      </w:r>
      <w:r w:rsidRPr="00A47A11">
        <w:rPr>
          <w:rFonts w:ascii="Narkisim" w:hAnsi="Narkisim" w:cs="Narkisim"/>
          <w:rtl/>
        </w:rPr>
        <w:t>. והמשנה נקט לה שיגרת דלישנא</w:t>
      </w:r>
      <w:r w:rsidRPr="00A47A11">
        <w:rPr>
          <w:rStyle w:val="ac"/>
          <w:rFonts w:ascii="Narkisim" w:hAnsi="Narkisim" w:cs="Narkisim"/>
          <w:rtl/>
        </w:rPr>
        <w:footnoteReference w:id="5182"/>
      </w:r>
      <w:r w:rsidRPr="00A47A11">
        <w:rPr>
          <w:rFonts w:ascii="Narkisim" w:hAnsi="Narkisim" w:cs="Narkisim"/>
          <w:rtl/>
        </w:rPr>
        <w:t>. [וכתחילת דברי הרשב"א]. והביא דה</w:t>
      </w:r>
      <w:r w:rsidRPr="00A47A11">
        <w:rPr>
          <w:rFonts w:ascii="Narkisim" w:hAnsi="Narkisim" w:cs="Narkisim"/>
          <w:b/>
          <w:bCs/>
          <w:rtl/>
        </w:rPr>
        <w:t>טור</w:t>
      </w:r>
      <w:r w:rsidRPr="00A47A11">
        <w:rPr>
          <w:rFonts w:ascii="Narkisim" w:hAnsi="Narkisim" w:cs="Narkisim"/>
          <w:rtl/>
        </w:rPr>
        <w:t xml:space="preserve"> פסק </w:t>
      </w:r>
      <w:r w:rsidRPr="00A47A11">
        <w:rPr>
          <w:rFonts w:ascii="Narkisim" w:hAnsi="Narkisim" w:cs="Narkisim"/>
          <w:rtl/>
        </w:rPr>
        <w:lastRenderedPageBreak/>
        <w:t>דיש לה כתובה, וכת' דס"ל כלישנא דמרגילתו. וה</w:t>
      </w:r>
      <w:r w:rsidRPr="00A47A11">
        <w:rPr>
          <w:rFonts w:ascii="Narkisim" w:hAnsi="Narkisim" w:cs="Narkisim"/>
          <w:b/>
          <w:bCs/>
          <w:rtl/>
        </w:rPr>
        <w:t>בי"ש</w:t>
      </w:r>
      <w:r w:rsidRPr="00A47A11">
        <w:rPr>
          <w:rFonts w:ascii="Narkisim" w:hAnsi="Narkisim" w:cs="Narkisim"/>
          <w:rtl/>
        </w:rPr>
        <w:t xml:space="preserve"> (קטז א) הק' דלא משמע כן.</w:t>
      </w:r>
    </w:p>
    <w:p w14:paraId="0ECE6947" w14:textId="77777777" w:rsidR="006C4368" w:rsidRPr="00A47A11" w:rsidRDefault="006C4368" w:rsidP="006C4368">
      <w:pPr>
        <w:pStyle w:val="aa"/>
        <w:bidi/>
        <w:rPr>
          <w:rFonts w:ascii="Narkisim" w:hAnsi="Narkisim"/>
        </w:rPr>
      </w:pPr>
      <w:r w:rsidRPr="00A47A11">
        <w:rPr>
          <w:rFonts w:ascii="Narkisim" w:hAnsi="Narkisim"/>
          <w:rtl/>
        </w:rPr>
        <w:t>וה</w:t>
      </w:r>
      <w:r w:rsidRPr="00A47A11">
        <w:rPr>
          <w:rFonts w:ascii="Narkisim" w:hAnsi="Narkisim"/>
          <w:b/>
          <w:bCs/>
          <w:rtl/>
        </w:rPr>
        <w:t>ק"נ</w:t>
      </w:r>
      <w:r w:rsidRPr="00A47A11">
        <w:rPr>
          <w:rFonts w:ascii="Narkisim" w:hAnsi="Narkisim"/>
          <w:rtl/>
        </w:rPr>
        <w:t xml:space="preserve"> נקט דלצד דחלוצה אין לה כתובה, אף נתינה [דלדעת הרמב"ם הוה מדרבנן, ע' רש"י ותוס' לעיל עט.] לא יהא לה כתובה.</w:t>
      </w:r>
    </w:p>
    <w:p w14:paraId="1FA97B86" w14:textId="77777777" w:rsidR="006C4368" w:rsidRPr="00A47A11" w:rsidRDefault="006C4368" w:rsidP="006C4368">
      <w:pPr>
        <w:bidi/>
        <w:rPr>
          <w:rFonts w:ascii="Narkisim" w:hAnsi="Narkisim" w:cs="Narkisim"/>
        </w:rPr>
      </w:pPr>
      <w:r w:rsidRPr="00A47A11">
        <w:rPr>
          <w:rFonts w:ascii="Narkisim" w:hAnsi="Narkisim" w:cs="Narkisim"/>
          <w:u w:val="single"/>
          <w:rtl/>
        </w:rPr>
        <w:t>מאי איכא בין רבי לרשב"א וכו'</w:t>
      </w:r>
      <w:r w:rsidRPr="00A47A11">
        <w:rPr>
          <w:rFonts w:ascii="Narkisim" w:hAnsi="Narkisim" w:cs="Narkisim"/>
          <w:rtl/>
        </w:rPr>
        <w:t>. כ"ה הגירסא לפנינו, במה פליגי התנאים. אבל ה</w:t>
      </w:r>
      <w:r w:rsidRPr="00A47A11">
        <w:rPr>
          <w:rFonts w:ascii="Narkisim" w:hAnsi="Narkisim" w:cs="Narkisim"/>
          <w:b/>
          <w:bCs/>
          <w:rtl/>
        </w:rPr>
        <w:t>רשב"א</w:t>
      </w:r>
      <w:r w:rsidRPr="00A47A11">
        <w:rPr>
          <w:rFonts w:ascii="Narkisim" w:hAnsi="Narkisim" w:cs="Narkisim"/>
          <w:rtl/>
        </w:rPr>
        <w:t xml:space="preserve"> גרס מאי בינייהו, וביאר מאי נפק"מ בין הנך ב' לשונות אי מרגילתו הוה לרבי או לר"ש בן אלעזר. וע"ע ריטב"א</w:t>
      </w:r>
      <w:r w:rsidRPr="00A47A11">
        <w:rPr>
          <w:rStyle w:val="ac"/>
          <w:rFonts w:ascii="Narkisim" w:hAnsi="Narkisim" w:cs="Narkisim"/>
          <w:rtl/>
        </w:rPr>
        <w:footnoteReference w:id="5183"/>
      </w:r>
      <w:r w:rsidRPr="00A47A11">
        <w:rPr>
          <w:rFonts w:ascii="Narkisim" w:hAnsi="Narkisim" w:cs="Narkisim"/>
          <w:rtl/>
        </w:rPr>
        <w:t>.</w:t>
      </w:r>
    </w:p>
    <w:p w14:paraId="43F47608" w14:textId="77777777" w:rsidR="006C4368" w:rsidRPr="00A47A11" w:rsidRDefault="006C4368" w:rsidP="006C4368">
      <w:pPr>
        <w:pStyle w:val="a7"/>
        <w:bidi/>
        <w:rPr>
          <w:rFonts w:ascii="Narkisim" w:hAnsi="Narkisim"/>
        </w:rPr>
      </w:pPr>
      <w:r w:rsidRPr="00A47A11">
        <w:rPr>
          <w:rFonts w:ascii="Narkisim" w:hAnsi="Narkisim"/>
          <w:rtl/>
        </w:rPr>
        <w:t>ועוד כת' ה</w:t>
      </w:r>
      <w:r w:rsidRPr="00A47A11">
        <w:rPr>
          <w:rFonts w:ascii="Narkisim" w:hAnsi="Narkisim"/>
          <w:b/>
          <w:bCs/>
          <w:rtl/>
        </w:rPr>
        <w:t>רשב"א</w:t>
      </w:r>
      <w:r w:rsidRPr="00A47A11">
        <w:rPr>
          <w:rFonts w:ascii="Narkisim" w:hAnsi="Narkisim"/>
          <w:rtl/>
        </w:rPr>
        <w:t xml:space="preserve"> דקו' הגמ' דמ"ד מפני שהוא מרגילה משמע דהטעם שהוא מרגילה, ולא תלי טעמא כלל בדאורייתא ובדרבנן, משמע דאיכא דאורייתא דמפסדא לה לכתובה. והגמ' מק' היכי אשכחן דאורייתא ומפסדא לה משום שמרגילתו.</w:t>
      </w:r>
    </w:p>
    <w:p w14:paraId="1460ED25" w14:textId="77777777" w:rsidR="006C4368" w:rsidRPr="00A47A11" w:rsidRDefault="006C4368" w:rsidP="006C4368">
      <w:pPr>
        <w:pStyle w:val="aa"/>
        <w:bidi/>
        <w:rPr>
          <w:rFonts w:ascii="Narkisim" w:hAnsi="Narkisim"/>
        </w:rPr>
      </w:pPr>
      <w:r w:rsidRPr="00A47A11">
        <w:rPr>
          <w:rFonts w:ascii="Narkisim" w:hAnsi="Narkisim"/>
          <w:u w:val="single"/>
          <w:rtl/>
        </w:rPr>
        <w:t>ממזרת ונתינה לישראל א"ב וכו' הא היא מרגלה ליה</w:t>
      </w:r>
      <w:r w:rsidRPr="00A47A11">
        <w:rPr>
          <w:rFonts w:ascii="Narkisim" w:hAnsi="Narkisim"/>
          <w:rtl/>
        </w:rPr>
        <w:t>. פ</w:t>
      </w:r>
      <w:r w:rsidRPr="00A47A11">
        <w:rPr>
          <w:rFonts w:ascii="Narkisim" w:hAnsi="Narkisim"/>
          <w:b/>
          <w:bCs/>
          <w:rtl/>
        </w:rPr>
        <w:t>רש"י</w:t>
      </w:r>
      <w:r w:rsidRPr="00A47A11">
        <w:rPr>
          <w:rFonts w:ascii="Narkisim" w:hAnsi="Narkisim"/>
          <w:rtl/>
        </w:rPr>
        <w:t xml:space="preserve"> כיון דיש תקנה לממזרים [ע"י שפחה], טרחא ומינסבא לישראל כדי להעלות זרעה. וה</w:t>
      </w:r>
      <w:r w:rsidRPr="00A47A11">
        <w:rPr>
          <w:rFonts w:ascii="Narkisim" w:hAnsi="Narkisim"/>
          <w:b/>
          <w:bCs/>
          <w:rtl/>
        </w:rPr>
        <w:t>ריטב"א</w:t>
      </w:r>
      <w:r w:rsidRPr="00A47A11">
        <w:rPr>
          <w:rFonts w:ascii="Narkisim" w:hAnsi="Narkisim"/>
          <w:rtl/>
        </w:rPr>
        <w:t xml:space="preserve"> הק' דנהי דיש תקנה לבני בניההא בניה מיהת ממזרים. ותי' דאיידי דאית לגופה שבח שנושאת ישראל לא חיישא לבניה, הואיל ויש לבניהם תקנה.</w:t>
      </w:r>
    </w:p>
    <w:p w14:paraId="65766EEB" w14:textId="77777777" w:rsidR="006C4368" w:rsidRPr="00A47A11" w:rsidRDefault="006C4368" w:rsidP="006C4368">
      <w:pPr>
        <w:pStyle w:val="aa"/>
        <w:bidi/>
        <w:rPr>
          <w:rFonts w:ascii="Narkisim" w:hAnsi="Narkisim"/>
        </w:rPr>
      </w:pPr>
      <w:r w:rsidRPr="00A47A11">
        <w:rPr>
          <w:rFonts w:ascii="Narkisim" w:hAnsi="Narkisim"/>
          <w:u w:val="single"/>
          <w:rtl/>
        </w:rPr>
        <w:t>שם. ונתינה</w:t>
      </w:r>
      <w:r w:rsidRPr="00A47A11">
        <w:rPr>
          <w:rFonts w:ascii="Narkisim" w:hAnsi="Narkisim"/>
          <w:rtl/>
        </w:rPr>
        <w:t>. ו</w:t>
      </w:r>
      <w:r w:rsidRPr="00A47A11">
        <w:rPr>
          <w:rFonts w:ascii="Narkisim" w:hAnsi="Narkisim"/>
          <w:b/>
          <w:bCs/>
          <w:rtl/>
        </w:rPr>
        <w:t>תוס</w:t>
      </w:r>
      <w:r w:rsidRPr="00A47A11">
        <w:rPr>
          <w:rFonts w:ascii="Narkisim" w:hAnsi="Narkisim"/>
          <w:rtl/>
        </w:rPr>
        <w:t>' (גיטין מא: וב"ב יג. והתוס' רא"ש כאן) הביאו דלכאורה מבואר דאף נתינים יכולים ליטהר ע"י שישא שפחה</w:t>
      </w:r>
      <w:r w:rsidRPr="00A47A11">
        <w:rPr>
          <w:rStyle w:val="ac"/>
          <w:rFonts w:ascii="Narkisim" w:hAnsi="Narkisim"/>
          <w:rtl/>
        </w:rPr>
        <w:footnoteReference w:id="5184"/>
      </w:r>
      <w:r w:rsidRPr="00A47A11">
        <w:rPr>
          <w:rFonts w:ascii="Narkisim" w:hAnsi="Narkisim"/>
          <w:rtl/>
        </w:rPr>
        <w:t>. ו</w:t>
      </w:r>
      <w:r w:rsidRPr="00A47A11">
        <w:rPr>
          <w:rFonts w:ascii="Narkisim" w:hAnsi="Narkisim"/>
          <w:b/>
          <w:bCs/>
          <w:rtl/>
        </w:rPr>
        <w:t>תוס</w:t>
      </w:r>
      <w:r w:rsidRPr="00A47A11">
        <w:rPr>
          <w:rFonts w:ascii="Narkisim" w:hAnsi="Narkisim"/>
          <w:rtl/>
        </w:rPr>
        <w:t>' כת' דנתין אסור בשפחה (וכ"כ תוס' לעיל עט:), אפ"ה מרגלה ליה כיון שיכול להכשיר אפי' ע"י איסור. דהאי גברא לא איכפ"ל באיסור, דהא נסיב ממזרת או נתינה</w:t>
      </w:r>
      <w:r w:rsidRPr="00A47A11">
        <w:rPr>
          <w:rStyle w:val="ac"/>
          <w:rFonts w:ascii="Narkisim" w:hAnsi="Narkisim"/>
          <w:rtl/>
        </w:rPr>
        <w:footnoteReference w:id="5185"/>
      </w:r>
      <w:r w:rsidRPr="00A47A11">
        <w:rPr>
          <w:rFonts w:ascii="Narkisim" w:hAnsi="Narkisim"/>
          <w:rtl/>
        </w:rPr>
        <w:t>.</w:t>
      </w:r>
    </w:p>
    <w:p w14:paraId="0B8A1C58" w14:textId="77777777" w:rsidR="006C4368" w:rsidRPr="00A47A11" w:rsidRDefault="006C4368" w:rsidP="006C4368">
      <w:pPr>
        <w:pStyle w:val="aa"/>
        <w:bidi/>
        <w:rPr>
          <w:rFonts w:ascii="Narkisim" w:hAnsi="Narkisim"/>
        </w:rPr>
      </w:pPr>
      <w:r w:rsidRPr="00A47A11">
        <w:rPr>
          <w:rFonts w:ascii="Narkisim" w:hAnsi="Narkisim"/>
          <w:u w:val="single"/>
          <w:rtl/>
        </w:rPr>
        <w:t>תוד"ה ממזרת</w:t>
      </w:r>
      <w:r w:rsidRPr="00A47A11">
        <w:rPr>
          <w:rFonts w:ascii="Narkisim" w:hAnsi="Narkisim"/>
          <w:rtl/>
        </w:rPr>
        <w:t>. לר' דוסתאי ב"ר ינאי</w:t>
      </w:r>
      <w:r w:rsidRPr="00A47A11">
        <w:rPr>
          <w:rStyle w:val="ac"/>
          <w:rFonts w:ascii="Narkisim" w:hAnsi="Narkisim"/>
          <w:rtl/>
        </w:rPr>
        <w:footnoteReference w:id="5186"/>
      </w:r>
      <w:r w:rsidRPr="00A47A11">
        <w:rPr>
          <w:rFonts w:ascii="Narkisim" w:hAnsi="Narkisim"/>
          <w:rtl/>
        </w:rPr>
        <w:t>, מ"מ מקפיד הוא על בניו שאינם כהנים וכו'. מבואר דגדר מקוה טהרה מהני לטהר פגם החללות, אבל אינו מחזיר את הבן להיות כהן. אבל ה</w:t>
      </w:r>
      <w:r w:rsidRPr="00A47A11">
        <w:rPr>
          <w:rFonts w:ascii="Narkisim" w:hAnsi="Narkisim"/>
          <w:b/>
          <w:bCs/>
          <w:rtl/>
        </w:rPr>
        <w:t>או”ש</w:t>
      </w:r>
      <w:r w:rsidRPr="00A47A11">
        <w:rPr>
          <w:rFonts w:ascii="Narkisim" w:hAnsi="Narkisim"/>
          <w:rtl/>
        </w:rPr>
        <w:t xml:space="preserve"> (איסו"ב יח א) דן לחדש דלר' דוסתאי הבן כשר לכהונה. דזרעו מתייחס אחריו והוה משפחת כהונה. וכיון דנסתלק הפסול חללות, הבן הוא כהן מעליא</w:t>
      </w:r>
      <w:r w:rsidRPr="00A47A11">
        <w:rPr>
          <w:rStyle w:val="ac"/>
          <w:rFonts w:ascii="Narkisim" w:hAnsi="Narkisim"/>
          <w:rtl/>
        </w:rPr>
        <w:footnoteReference w:id="5187"/>
      </w:r>
      <w:r w:rsidRPr="00A47A11">
        <w:rPr>
          <w:rFonts w:ascii="Narkisim" w:hAnsi="Narkisim"/>
          <w:rtl/>
        </w:rPr>
        <w:t>.</w:t>
      </w:r>
    </w:p>
    <w:p w14:paraId="4C6E0FD2" w14:textId="77777777" w:rsidR="006C4368" w:rsidRPr="00A47A11" w:rsidRDefault="006C4368" w:rsidP="006C4368">
      <w:pPr>
        <w:pStyle w:val="aa"/>
        <w:bidi/>
        <w:rPr>
          <w:rFonts w:ascii="Narkisim" w:hAnsi="Narkisim"/>
        </w:rPr>
      </w:pPr>
      <w:r w:rsidRPr="00A47A11">
        <w:rPr>
          <w:rFonts w:ascii="Narkisim" w:hAnsi="Narkisim"/>
          <w:u w:val="single"/>
          <w:rtl/>
        </w:rPr>
        <w:t>שם.</w:t>
      </w:r>
      <w:r w:rsidRPr="00A47A11">
        <w:rPr>
          <w:rFonts w:ascii="Narkisim" w:hAnsi="Narkisim"/>
          <w:rtl/>
        </w:rPr>
        <w:t xml:space="preserve"> וה</w:t>
      </w:r>
      <w:r w:rsidRPr="00A47A11">
        <w:rPr>
          <w:rFonts w:ascii="Narkisim" w:hAnsi="Narkisim"/>
          <w:b/>
          <w:bCs/>
          <w:rtl/>
        </w:rPr>
        <w:t>ריטב"א</w:t>
      </w:r>
      <w:r w:rsidRPr="00A47A11">
        <w:rPr>
          <w:rFonts w:ascii="Narkisim" w:hAnsi="Narkisim"/>
          <w:rtl/>
        </w:rPr>
        <w:t xml:space="preserve"> תי' דאף דבני בניה יטהרו, סוף סוף היא לא מיטהרא [שהיא חללה]. ודוקא במקום שיש לה מעלה בזה סגי שיש תיקון לבני בניה.</w:t>
      </w:r>
    </w:p>
    <w:p w14:paraId="3561B971" w14:textId="77777777" w:rsidR="006C4368" w:rsidRPr="00A47A11" w:rsidRDefault="006C4368" w:rsidP="006C4368">
      <w:pPr>
        <w:bidi/>
        <w:rPr>
          <w:rFonts w:ascii="Narkisim" w:hAnsi="Narkisim" w:cs="Narkisim"/>
        </w:rPr>
      </w:pPr>
      <w:r w:rsidRPr="00A47A11">
        <w:rPr>
          <w:rFonts w:ascii="Narkisim" w:hAnsi="Narkisim" w:cs="Narkisim"/>
          <w:u w:val="single"/>
          <w:rtl/>
        </w:rPr>
        <w:t>ולר"ע דאמר יש ממזר מחייבי לאוין וכו'</w:t>
      </w:r>
      <w:r w:rsidRPr="00A47A11">
        <w:rPr>
          <w:rFonts w:ascii="Narkisim" w:hAnsi="Narkisim" w:cs="Narkisim"/>
          <w:rtl/>
        </w:rPr>
        <w:t>. ה</w:t>
      </w:r>
      <w:r w:rsidRPr="00A47A11">
        <w:rPr>
          <w:rFonts w:ascii="Narkisim" w:hAnsi="Narkisim" w:cs="Narkisim"/>
          <w:b/>
          <w:bCs/>
          <w:rtl/>
        </w:rPr>
        <w:t>ריטב"א</w:t>
      </w:r>
      <w:r w:rsidRPr="00A47A11">
        <w:rPr>
          <w:rFonts w:ascii="Narkisim" w:hAnsi="Narkisim" w:cs="Narkisim"/>
          <w:rtl/>
        </w:rPr>
        <w:t xml:space="preserve"> כת' דפרכי' מדר"ע, ואפי' שאין הלכה כמותו</w:t>
      </w:r>
      <w:r w:rsidRPr="00A47A11">
        <w:rPr>
          <w:rStyle w:val="ac"/>
          <w:rFonts w:ascii="Narkisim" w:hAnsi="Narkisim" w:cs="Narkisim"/>
          <w:rtl/>
        </w:rPr>
        <w:footnoteReference w:id="5188"/>
      </w:r>
      <w:r w:rsidRPr="00A47A11">
        <w:rPr>
          <w:rFonts w:ascii="Narkisim" w:hAnsi="Narkisim" w:cs="Narkisim"/>
          <w:rtl/>
        </w:rPr>
        <w:t>. דשקלא וטריא בעלמא הוא למימרא דאיכא בינייהו לדברי הכל. והא דרבי ורשב"א אתי ככולהו תנאים</w:t>
      </w:r>
      <w:r w:rsidRPr="00A47A11">
        <w:rPr>
          <w:rStyle w:val="ac"/>
          <w:rFonts w:ascii="Narkisim" w:hAnsi="Narkisim" w:cs="Narkisim"/>
          <w:rtl/>
        </w:rPr>
        <w:footnoteReference w:id="5189"/>
      </w:r>
      <w:r w:rsidRPr="00A47A11">
        <w:rPr>
          <w:rFonts w:ascii="Narkisim" w:hAnsi="Narkisim" w:cs="Narkisim"/>
          <w:rtl/>
        </w:rPr>
        <w:t xml:space="preserve">. </w:t>
      </w:r>
      <w:r w:rsidRPr="00A47A11">
        <w:rPr>
          <w:rFonts w:ascii="Narkisim" w:hAnsi="Narkisim" w:cs="Narkisim"/>
          <w:b/>
          <w:bCs/>
          <w:rtl/>
        </w:rPr>
        <w:t>רע"א</w:t>
      </w:r>
      <w:r w:rsidRPr="00A47A11">
        <w:rPr>
          <w:rFonts w:ascii="Narkisim" w:hAnsi="Narkisim" w:cs="Narkisim"/>
          <w:rtl/>
        </w:rPr>
        <w:t xml:space="preserve"> הק' דהמו"ל ממזר בממזרת, וגירשה והחזירה משנשאת, דבלאו הכי בניו ממזרים.</w:t>
      </w:r>
    </w:p>
    <w:p w14:paraId="0113E8D7" w14:textId="77777777" w:rsidR="006C4368" w:rsidRPr="00A47A11" w:rsidRDefault="006C4368" w:rsidP="006C4368">
      <w:pPr>
        <w:pStyle w:val="aa"/>
        <w:bidi/>
        <w:rPr>
          <w:rFonts w:ascii="Narkisim" w:hAnsi="Narkisim"/>
        </w:rPr>
      </w:pPr>
      <w:r w:rsidRPr="00A47A11">
        <w:rPr>
          <w:rFonts w:ascii="Narkisim" w:hAnsi="Narkisim"/>
          <w:u w:val="single"/>
          <w:rtl/>
        </w:rPr>
        <w:t>תוד"ה ולר' עקיבא</w:t>
      </w:r>
      <w:r w:rsidRPr="00A47A11">
        <w:rPr>
          <w:rFonts w:ascii="Narkisim" w:hAnsi="Narkisim"/>
          <w:rtl/>
        </w:rPr>
        <w:t>. דלר"ע כיון דלא תפסי בה קידושין, א"כ אינה אשתו וכו' אלא משום פירות ובלאות וכו'. ומבואר בתוס' דאף דלא תפסי קידושין שייך קנס דאינה נוטלת פירות ובלאות. [וקנסו אותה כאילו היא אשתו].</w:t>
      </w:r>
    </w:p>
    <w:p w14:paraId="73D829D6" w14:textId="77777777" w:rsidR="006C4368" w:rsidRPr="00A47A11" w:rsidRDefault="006C4368" w:rsidP="006C4368">
      <w:pPr>
        <w:pStyle w:val="aa"/>
        <w:bidi/>
        <w:rPr>
          <w:rFonts w:ascii="Narkisim" w:hAnsi="Narkisim"/>
        </w:rPr>
      </w:pPr>
      <w:r w:rsidRPr="00A47A11">
        <w:rPr>
          <w:rFonts w:ascii="Narkisim" w:hAnsi="Narkisim"/>
          <w:u w:val="single"/>
          <w:rtl/>
        </w:rPr>
        <w:t>אלא אמר רב פפא בעולה לכה"ג וכו' ולראב"י דאמר יש חלל מחייבי עשה וכו'</w:t>
      </w:r>
      <w:r w:rsidRPr="00A47A11">
        <w:rPr>
          <w:rFonts w:ascii="Narkisim" w:hAnsi="Narkisim"/>
          <w:rtl/>
        </w:rPr>
        <w:t>. וה</w:t>
      </w:r>
      <w:r w:rsidRPr="00A47A11">
        <w:rPr>
          <w:rFonts w:ascii="Narkisim" w:hAnsi="Narkisim"/>
          <w:b/>
          <w:bCs/>
          <w:rtl/>
        </w:rPr>
        <w:t>רמב"ן</w:t>
      </w:r>
      <w:r w:rsidRPr="00A47A11">
        <w:rPr>
          <w:rFonts w:ascii="Narkisim" w:hAnsi="Narkisim"/>
          <w:rtl/>
        </w:rPr>
        <w:t xml:space="preserve"> הק' דבעולת עצמו לכה"ג איכא בינייהו, דהא נמי דאורייתא, ובבעולת עצמו אף ראב"י מודה דאין הולד חלל [וכדברי הרמב"ן לעיל ס. דסופה להיות בעולה תחתיו] ויש לחוש דהיא מרגלא ליה. וה</w:t>
      </w:r>
      <w:r w:rsidRPr="00A47A11">
        <w:rPr>
          <w:rFonts w:ascii="Narkisim" w:hAnsi="Narkisim"/>
          <w:b/>
          <w:bCs/>
          <w:rtl/>
        </w:rPr>
        <w:t>רמב"ן</w:t>
      </w:r>
      <w:r w:rsidRPr="00A47A11">
        <w:rPr>
          <w:rFonts w:ascii="Narkisim" w:hAnsi="Narkisim"/>
          <w:rtl/>
        </w:rPr>
        <w:t xml:space="preserve"> כת' דהשתא ס"ד כצד (לעיל נט:) דאם </w:t>
      </w:r>
      <w:r w:rsidRPr="00A47A11">
        <w:rPr>
          <w:rFonts w:ascii="Narkisim" w:hAnsi="Narkisim"/>
          <w:rtl/>
        </w:rPr>
        <w:lastRenderedPageBreak/>
        <w:t>נשא נשוי, ואי"צ לגרש</w:t>
      </w:r>
      <w:r w:rsidRPr="00A47A11">
        <w:rPr>
          <w:rStyle w:val="ac"/>
          <w:rFonts w:ascii="Narkisim" w:hAnsi="Narkisim"/>
          <w:rtl/>
        </w:rPr>
        <w:footnoteReference w:id="5190"/>
      </w:r>
      <w:r w:rsidRPr="00A47A11">
        <w:rPr>
          <w:rFonts w:ascii="Narkisim" w:hAnsi="Narkisim"/>
          <w:rtl/>
        </w:rPr>
        <w:t>. וה</w:t>
      </w:r>
      <w:r w:rsidRPr="00A47A11">
        <w:rPr>
          <w:rFonts w:ascii="Narkisim" w:hAnsi="Narkisim"/>
          <w:b/>
          <w:bCs/>
          <w:rtl/>
        </w:rPr>
        <w:t>ריטב"א</w:t>
      </w:r>
      <w:r w:rsidRPr="00A47A11">
        <w:rPr>
          <w:rFonts w:ascii="Narkisim" w:hAnsi="Narkisim"/>
          <w:rtl/>
        </w:rPr>
        <w:t xml:space="preserve"> כת' דיש צד (לעיל שם) דהוה איסור דרבנן, א"כ לא הוה בינייהו</w:t>
      </w:r>
      <w:r w:rsidRPr="00A47A11">
        <w:rPr>
          <w:rStyle w:val="ac"/>
          <w:rFonts w:ascii="Narkisim" w:hAnsi="Narkisim"/>
          <w:rtl/>
        </w:rPr>
        <w:footnoteReference w:id="5191"/>
      </w:r>
      <w:r w:rsidRPr="00A47A11">
        <w:rPr>
          <w:rFonts w:ascii="Narkisim" w:hAnsi="Narkisim"/>
          <w:rtl/>
        </w:rPr>
        <w:t>.</w:t>
      </w:r>
    </w:p>
    <w:p w14:paraId="46C9FD9D" w14:textId="77777777" w:rsidR="006C4368" w:rsidRPr="00A47A11" w:rsidRDefault="006C4368" w:rsidP="006C4368">
      <w:pPr>
        <w:bidi/>
        <w:rPr>
          <w:rFonts w:ascii="Narkisim" w:hAnsi="Narkisim" w:cs="Narkisim"/>
        </w:rPr>
      </w:pPr>
      <w:r w:rsidRPr="00A47A11">
        <w:rPr>
          <w:rFonts w:ascii="Narkisim" w:hAnsi="Narkisim" w:cs="Narkisim"/>
          <w:u w:val="single"/>
          <w:rtl/>
        </w:rPr>
        <w:t>אלא אמר רב אשי מחזיר ספק סוטתו וכו'</w:t>
      </w:r>
      <w:r w:rsidRPr="00A47A11">
        <w:rPr>
          <w:rFonts w:ascii="Narkisim" w:hAnsi="Narkisim" w:cs="Narkisim"/>
          <w:rtl/>
        </w:rPr>
        <w:t xml:space="preserve">. </w:t>
      </w:r>
      <w:r w:rsidRPr="00A47A11">
        <w:rPr>
          <w:rFonts w:ascii="Narkisim" w:hAnsi="Narkisim" w:cs="Narkisim"/>
          <w:b/>
          <w:bCs/>
          <w:rtl/>
        </w:rPr>
        <w:t>תוס'</w:t>
      </w:r>
      <w:r w:rsidRPr="00A47A11">
        <w:rPr>
          <w:rFonts w:ascii="Narkisim" w:hAnsi="Narkisim" w:cs="Narkisim"/>
          <w:rtl/>
        </w:rPr>
        <w:t xml:space="preserve"> נקטו דאיירי שגירשה. אבל ה</w:t>
      </w:r>
      <w:r w:rsidRPr="00A47A11">
        <w:rPr>
          <w:rFonts w:ascii="Narkisim" w:hAnsi="Narkisim" w:cs="Narkisim"/>
          <w:b/>
          <w:bCs/>
          <w:rtl/>
        </w:rPr>
        <w:t>רמב"ן</w:t>
      </w:r>
      <w:r w:rsidRPr="00A47A11">
        <w:rPr>
          <w:rFonts w:ascii="Narkisim" w:hAnsi="Narkisim" w:cs="Narkisim"/>
          <w:rtl/>
        </w:rPr>
        <w:t xml:space="preserve"> העמיד קודם שגירשה</w:t>
      </w:r>
      <w:r w:rsidRPr="00A47A11">
        <w:rPr>
          <w:rStyle w:val="ac"/>
          <w:rFonts w:ascii="Narkisim" w:hAnsi="Narkisim" w:cs="Narkisim"/>
          <w:rtl/>
        </w:rPr>
        <w:footnoteReference w:id="5192"/>
      </w:r>
      <w:r w:rsidRPr="00A47A11">
        <w:rPr>
          <w:rFonts w:ascii="Narkisim" w:hAnsi="Narkisim" w:cs="Narkisim"/>
          <w:rtl/>
        </w:rPr>
        <w:t>, וקרינן ביה 'מחזיר' כגון שמעיקרא ריחקה מביתו ואח"כ החזירתו.</w:t>
      </w:r>
    </w:p>
    <w:p w14:paraId="4E13539D"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הק' דמ"מ כיון דהוה ספק האם זינתה אין לה כתובה, וכבי"ה (לעיל לח: וסוטה כה). ותי' כגון דחזר וכתב לה כתובה, שאילו לא כתב כיון שאינה שותה אינה נוטלת כתובה. א"נ שרצתה לשתות והוא לא רצה להשקותה. וה</w:t>
      </w:r>
      <w:r w:rsidRPr="00A47A11">
        <w:rPr>
          <w:rFonts w:ascii="Narkisim" w:hAnsi="Narkisim"/>
          <w:b/>
          <w:bCs/>
          <w:rtl/>
        </w:rPr>
        <w:t>אחרונים</w:t>
      </w:r>
      <w:r w:rsidRPr="00A47A11">
        <w:rPr>
          <w:rFonts w:ascii="Narkisim" w:hAnsi="Narkisim"/>
          <w:rtl/>
        </w:rPr>
        <w:t xml:space="preserve"> הק' דבמשנה (סוטה כד.) אי' האומר איני משקה, ושבעלה בא עליה בדרך נוטלת כתובתה. [כיון דהבעל גרם שלא תשתה]</w:t>
      </w:r>
      <w:r w:rsidRPr="00A47A11">
        <w:rPr>
          <w:rStyle w:val="ac"/>
          <w:rFonts w:ascii="Narkisim" w:hAnsi="Narkisim"/>
          <w:rtl/>
        </w:rPr>
        <w:footnoteReference w:id="5193"/>
      </w:r>
      <w:r w:rsidRPr="00A47A11">
        <w:rPr>
          <w:rFonts w:ascii="Narkisim" w:hAnsi="Narkisim"/>
          <w:rtl/>
        </w:rPr>
        <w:t>.</w:t>
      </w:r>
    </w:p>
    <w:p w14:paraId="567B973C" w14:textId="77777777" w:rsidR="006C4368" w:rsidRPr="00A47A11" w:rsidRDefault="006C4368" w:rsidP="006C4368">
      <w:pPr>
        <w:pStyle w:val="aa"/>
        <w:bidi/>
        <w:rPr>
          <w:rFonts w:ascii="Narkisim" w:hAnsi="Narkisim"/>
        </w:rPr>
      </w:pPr>
      <w:r w:rsidRPr="00A47A11">
        <w:rPr>
          <w:rFonts w:ascii="Narkisim" w:hAnsi="Narkisim"/>
          <w:u w:val="single"/>
          <w:rtl/>
        </w:rPr>
        <w:t>שם.</w:t>
      </w:r>
      <w:r w:rsidRPr="00A47A11">
        <w:rPr>
          <w:rFonts w:ascii="Narkisim" w:hAnsi="Narkisim"/>
          <w:rtl/>
        </w:rPr>
        <w:t xml:space="preserve"> ה</w:t>
      </w:r>
      <w:r w:rsidRPr="00A47A11">
        <w:rPr>
          <w:rFonts w:ascii="Narkisim" w:hAnsi="Narkisim"/>
          <w:b/>
          <w:bCs/>
          <w:rtl/>
        </w:rPr>
        <w:t>ראשונים</w:t>
      </w:r>
      <w:r w:rsidRPr="00A47A11">
        <w:rPr>
          <w:rFonts w:ascii="Narkisim" w:hAnsi="Narkisim"/>
          <w:rtl/>
        </w:rPr>
        <w:t xml:space="preserve"> (ריטב"א) הק' לפרש"י דילמא היא יודעת שנטמאה, וניחא לה דלא תשתי. ומרגלא ליה כדי שיבא עליה ושוב לא תשתה. וי"ל דהכא כיון דהחזירה חזקה אינו רוקק בכוס ושותהו. וע"כ מחזירה מפני שנתברר לו שהיא טהורה. וע”כ דקים לה וניחא לה לשתות.</w:t>
      </w:r>
    </w:p>
    <w:p w14:paraId="5E65B389" w14:textId="77777777" w:rsidR="006C4368" w:rsidRPr="00A47A11" w:rsidRDefault="006C4368" w:rsidP="006C4368">
      <w:pPr>
        <w:bidi/>
        <w:rPr>
          <w:rFonts w:ascii="Narkisim" w:hAnsi="Narkisim" w:cs="Narkisim"/>
        </w:rPr>
      </w:pPr>
      <w:r w:rsidRPr="00A47A11">
        <w:rPr>
          <w:rFonts w:ascii="Narkisim" w:hAnsi="Narkisim" w:cs="Narkisim"/>
          <w:u w:val="single"/>
          <w:rtl/>
        </w:rPr>
        <w:t>תוד"ה ולר' מתיא</w:t>
      </w:r>
      <w:r w:rsidRPr="00A47A11">
        <w:rPr>
          <w:rFonts w:ascii="Narkisim" w:hAnsi="Narkisim" w:cs="Narkisim"/>
          <w:rtl/>
        </w:rPr>
        <w:t>. וקשה דכיון דגירשה לאו בת שתייה</w:t>
      </w:r>
      <w:r w:rsidRPr="00A47A11">
        <w:rPr>
          <w:rStyle w:val="ac"/>
          <w:rFonts w:ascii="Narkisim" w:hAnsi="Narkisim" w:cs="Narkisim"/>
          <w:rtl/>
        </w:rPr>
        <w:footnoteReference w:id="5194"/>
      </w:r>
      <w:r w:rsidRPr="00A47A11">
        <w:rPr>
          <w:rFonts w:ascii="Narkisim" w:hAnsi="Narkisim" w:cs="Narkisim"/>
          <w:rtl/>
        </w:rPr>
        <w:t xml:space="preserve"> וכו'. ה</w:t>
      </w:r>
      <w:r w:rsidRPr="00A47A11">
        <w:rPr>
          <w:rFonts w:ascii="Narkisim" w:hAnsi="Narkisim" w:cs="Narkisim"/>
          <w:b/>
          <w:bCs/>
          <w:rtl/>
        </w:rPr>
        <w:t>מהרש"א</w:t>
      </w:r>
      <w:r w:rsidRPr="00A47A11">
        <w:rPr>
          <w:rFonts w:ascii="Narkisim" w:hAnsi="Narkisim" w:cs="Narkisim"/>
          <w:rtl/>
        </w:rPr>
        <w:t xml:space="preserve"> הק' דכיון דפשיט"ל לתוס' דאיירי בגרושה, א"כ מש"ה פסולה לכהונה [וכמ”ש תוס' בסו”ד]. וכת' דצ"ל דקאי ליפסל מתרומת בית אביה [בבת כהן</w:t>
      </w:r>
      <w:r w:rsidRPr="00A47A11">
        <w:rPr>
          <w:rStyle w:val="ac"/>
          <w:rFonts w:ascii="Narkisim" w:hAnsi="Narkisim" w:cs="Narkisim"/>
          <w:rtl/>
        </w:rPr>
        <w:footnoteReference w:id="5195"/>
      </w:r>
      <w:r w:rsidRPr="00A47A11">
        <w:rPr>
          <w:rFonts w:ascii="Narkisim" w:hAnsi="Narkisim" w:cs="Narkisim"/>
          <w:rtl/>
        </w:rPr>
        <w:t>].</w:t>
      </w:r>
    </w:p>
    <w:p w14:paraId="7EA56755" w14:textId="77777777" w:rsidR="006C4368" w:rsidRPr="00A47A11" w:rsidRDefault="006C4368" w:rsidP="006C4368">
      <w:pPr>
        <w:pStyle w:val="aa"/>
        <w:bidi/>
        <w:rPr>
          <w:rFonts w:ascii="Narkisim" w:hAnsi="Narkisim"/>
        </w:rPr>
      </w:pPr>
      <w:r w:rsidRPr="00A47A11">
        <w:rPr>
          <w:rFonts w:ascii="Narkisim" w:hAnsi="Narkisim"/>
          <w:u w:val="single"/>
          <w:rtl/>
        </w:rPr>
        <w:t xml:space="preserve"> בא"ד אבל לר' מתיא בן חרש שנעשית זונה לא מרגלא ליה וכו' פסול של זנות גנאי הוא לה</w:t>
      </w:r>
      <w:r w:rsidRPr="00A47A11">
        <w:rPr>
          <w:rStyle w:val="ac"/>
          <w:rFonts w:ascii="Narkisim" w:hAnsi="Narkisim"/>
          <w:rtl/>
        </w:rPr>
        <w:footnoteReference w:id="5196"/>
      </w:r>
      <w:r w:rsidRPr="00A47A11">
        <w:rPr>
          <w:rFonts w:ascii="Narkisim" w:hAnsi="Narkisim"/>
          <w:rtl/>
        </w:rPr>
        <w:t>. וצ”ב דספק סוטה מחזקינן כודאי, ומוחזקת אצלינו שהיא אשת איש שזינתה, והוה כבר זונה.</w:t>
      </w:r>
    </w:p>
    <w:p w14:paraId="2A7A1C8B" w14:textId="77777777" w:rsidR="006C4368" w:rsidRPr="00A47A11" w:rsidRDefault="006C4368" w:rsidP="006C4368">
      <w:pPr>
        <w:bidi/>
        <w:rPr>
          <w:rFonts w:ascii="Narkisim" w:hAnsi="Narkisim" w:cs="Narkisim"/>
        </w:rPr>
      </w:pPr>
      <w:r w:rsidRPr="00A47A11">
        <w:rPr>
          <w:rFonts w:ascii="Narkisim" w:hAnsi="Narkisim" w:cs="Narkisim"/>
          <w:u w:val="single"/>
          <w:rtl/>
        </w:rPr>
        <w:t>בא"ד ובתרומה נמי אסירא וקיימא שהיא זרה וכו'</w:t>
      </w:r>
      <w:r w:rsidRPr="00A47A11">
        <w:rPr>
          <w:rFonts w:ascii="Narkisim" w:hAnsi="Narkisim" w:cs="Narkisim"/>
          <w:rtl/>
        </w:rPr>
        <w:t>. ה</w:t>
      </w:r>
      <w:r w:rsidRPr="00A47A11">
        <w:rPr>
          <w:rFonts w:ascii="Narkisim" w:hAnsi="Narkisim" w:cs="Narkisim"/>
          <w:b/>
          <w:bCs/>
          <w:rtl/>
        </w:rPr>
        <w:t>רש"ש</w:t>
      </w:r>
      <w:r w:rsidRPr="00A47A11">
        <w:rPr>
          <w:rFonts w:ascii="Narkisim" w:hAnsi="Narkisim" w:cs="Narkisim"/>
          <w:rtl/>
        </w:rPr>
        <w:t xml:space="preserve"> כת' דבלאו הכי אסורה בתרומה משום ספק סוטה. וכת' די"ל דתוס' רצו למצוא שיהא איסור לאו [שלוקין עליו]. וה</w:t>
      </w:r>
      <w:r w:rsidRPr="00A47A11">
        <w:rPr>
          <w:rFonts w:ascii="Narkisim" w:hAnsi="Narkisim" w:cs="Narkisim"/>
          <w:b/>
          <w:bCs/>
          <w:rtl/>
        </w:rPr>
        <w:t>אחרונים</w:t>
      </w:r>
      <w:r w:rsidRPr="00A47A11">
        <w:rPr>
          <w:rFonts w:ascii="Narkisim" w:hAnsi="Narkisim" w:cs="Narkisim"/>
          <w:rtl/>
        </w:rPr>
        <w:t xml:space="preserve"> דנו דהיא יודעת בעצמה שלא נטמאת, ומש"ה תאכל בתרומה</w:t>
      </w:r>
      <w:r w:rsidRPr="00A47A11">
        <w:rPr>
          <w:rStyle w:val="ac"/>
          <w:rFonts w:ascii="Narkisim" w:hAnsi="Narkisim" w:cs="Narkisim"/>
          <w:rtl/>
        </w:rPr>
        <w:footnoteReference w:id="5197"/>
      </w:r>
      <w:r w:rsidRPr="00A47A11">
        <w:rPr>
          <w:rFonts w:ascii="Narkisim" w:hAnsi="Narkisim" w:cs="Narkisim"/>
          <w:rtl/>
        </w:rPr>
        <w:t xml:space="preserve"> [אף דבי"ד מפרישין אותה מגדרי סוטה דהתורה עשאתו ודאי]. ונח' בזה ה</w:t>
      </w:r>
      <w:r w:rsidRPr="00A47A11">
        <w:rPr>
          <w:rFonts w:ascii="Narkisim" w:hAnsi="Narkisim" w:cs="Narkisim"/>
          <w:b/>
          <w:bCs/>
          <w:rtl/>
        </w:rPr>
        <w:t>אחרונים</w:t>
      </w:r>
      <w:r w:rsidRPr="00A47A11">
        <w:rPr>
          <w:rFonts w:ascii="Narkisim" w:hAnsi="Narkisim" w:cs="Narkisim"/>
          <w:rtl/>
        </w:rPr>
        <w:t>.</w:t>
      </w:r>
    </w:p>
    <w:p w14:paraId="29A5D34B" w14:textId="77777777" w:rsidR="006C4368" w:rsidRPr="00A47A11" w:rsidRDefault="006C4368" w:rsidP="006C4368">
      <w:pPr>
        <w:pStyle w:val="aa"/>
        <w:bidi/>
        <w:rPr>
          <w:rFonts w:ascii="Narkisim" w:hAnsi="Narkisim"/>
        </w:rPr>
      </w:pPr>
      <w:r w:rsidRPr="00A47A11">
        <w:rPr>
          <w:rFonts w:ascii="Narkisim" w:hAnsi="Narkisim"/>
          <w:u w:val="single"/>
          <w:rtl/>
        </w:rPr>
        <w:t>בא"ד ועוד דלא מרגלא ליה משום דאיכא השתא תרי לאוי</w:t>
      </w:r>
      <w:r w:rsidRPr="00A47A11">
        <w:rPr>
          <w:rStyle w:val="ac"/>
          <w:rFonts w:ascii="Narkisim" w:hAnsi="Narkisim"/>
          <w:rtl/>
        </w:rPr>
        <w:footnoteReference w:id="5198"/>
      </w:r>
      <w:r w:rsidRPr="00A47A11">
        <w:rPr>
          <w:rFonts w:ascii="Narkisim" w:hAnsi="Narkisim"/>
          <w:rtl/>
        </w:rPr>
        <w:t>. ה</w:t>
      </w:r>
      <w:r w:rsidRPr="00A47A11">
        <w:rPr>
          <w:rFonts w:ascii="Narkisim" w:hAnsi="Narkisim"/>
          <w:b/>
          <w:bCs/>
          <w:rtl/>
        </w:rPr>
        <w:t>משנ"ל</w:t>
      </w:r>
      <w:r w:rsidRPr="00A47A11">
        <w:rPr>
          <w:rFonts w:ascii="Narkisim" w:hAnsi="Narkisim"/>
          <w:rtl/>
        </w:rPr>
        <w:t xml:space="preserve"> (אישות א ח) הביא מדברי התוס' דספק סוטה הוה לאו</w:t>
      </w:r>
      <w:r w:rsidRPr="00A47A11">
        <w:rPr>
          <w:rStyle w:val="ac"/>
          <w:rFonts w:ascii="Narkisim" w:hAnsi="Narkisim"/>
          <w:rtl/>
        </w:rPr>
        <w:footnoteReference w:id="5199"/>
      </w:r>
      <w:r w:rsidRPr="00A47A11">
        <w:rPr>
          <w:rFonts w:ascii="Narkisim" w:hAnsi="Narkisim"/>
          <w:rtl/>
        </w:rPr>
        <w:t>.  וה</w:t>
      </w:r>
      <w:r w:rsidRPr="00A47A11">
        <w:rPr>
          <w:rFonts w:ascii="Narkisim" w:hAnsi="Narkisim"/>
          <w:b/>
          <w:bCs/>
          <w:rtl/>
        </w:rPr>
        <w:t>רש"ש</w:t>
      </w:r>
      <w:r w:rsidRPr="00A47A11">
        <w:rPr>
          <w:rFonts w:ascii="Narkisim" w:hAnsi="Narkisim"/>
          <w:rtl/>
        </w:rPr>
        <w:t xml:space="preserve"> וה</w:t>
      </w:r>
      <w:r w:rsidRPr="00A47A11">
        <w:rPr>
          <w:rFonts w:ascii="Narkisim" w:hAnsi="Narkisim"/>
          <w:b/>
          <w:bCs/>
          <w:rtl/>
        </w:rPr>
        <w:t>ערול"נ</w:t>
      </w:r>
      <w:r w:rsidRPr="00A47A11">
        <w:rPr>
          <w:rFonts w:ascii="Narkisim" w:hAnsi="Narkisim"/>
          <w:rtl/>
        </w:rPr>
        <w:t xml:space="preserve"> דחו דכוונת התוס' דיש לאו דגרושה ודזונה. [דתוס' לא הזכירו כלל לאו דסוטה, וכקו' הרש”ש הנ”ל</w:t>
      </w:r>
      <w:r w:rsidRPr="00A47A11">
        <w:rPr>
          <w:rStyle w:val="ac"/>
          <w:rFonts w:ascii="Narkisim" w:hAnsi="Narkisim"/>
          <w:rtl/>
        </w:rPr>
        <w:footnoteReference w:id="5200"/>
      </w:r>
      <w:r w:rsidRPr="00A47A11">
        <w:rPr>
          <w:rFonts w:ascii="Narkisim" w:hAnsi="Narkisim"/>
          <w:rtl/>
        </w:rPr>
        <w:t>].</w:t>
      </w:r>
    </w:p>
    <w:p w14:paraId="59A7B312" w14:textId="77777777" w:rsidR="006C4368" w:rsidRPr="00A47A11" w:rsidRDefault="006C4368" w:rsidP="006C4368">
      <w:pPr>
        <w:pStyle w:val="aa"/>
        <w:bidi/>
        <w:rPr>
          <w:rFonts w:ascii="Narkisim" w:hAnsi="Narkisim"/>
        </w:rPr>
      </w:pPr>
      <w:r w:rsidRPr="00A47A11">
        <w:rPr>
          <w:rFonts w:ascii="Narkisim" w:hAnsi="Narkisim"/>
          <w:u w:val="single"/>
          <w:rtl/>
        </w:rPr>
        <w:t>אלא אמר רב בר"א סוטה ודאי א"ב</w:t>
      </w:r>
      <w:r w:rsidRPr="00A47A11">
        <w:rPr>
          <w:rFonts w:ascii="Narkisim" w:hAnsi="Narkisim"/>
          <w:rtl/>
        </w:rPr>
        <w:t>. פ</w:t>
      </w:r>
      <w:r w:rsidRPr="00A47A11">
        <w:rPr>
          <w:rFonts w:ascii="Narkisim" w:hAnsi="Narkisim"/>
          <w:b/>
          <w:bCs/>
          <w:rtl/>
        </w:rPr>
        <w:t>רש"י</w:t>
      </w:r>
      <w:r w:rsidRPr="00A47A11">
        <w:rPr>
          <w:rFonts w:ascii="Narkisim" w:hAnsi="Narkisim"/>
          <w:rtl/>
        </w:rPr>
        <w:t xml:space="preserve"> דאסירא ליה מדאורייתא, ולכו"ע הולד כשר</w:t>
      </w:r>
      <w:r w:rsidRPr="00A47A11">
        <w:rPr>
          <w:rStyle w:val="ac"/>
          <w:rFonts w:ascii="Narkisim" w:hAnsi="Narkisim"/>
          <w:rtl/>
        </w:rPr>
        <w:footnoteReference w:id="5201"/>
      </w:r>
      <w:r w:rsidRPr="00A47A11">
        <w:rPr>
          <w:rFonts w:ascii="Narkisim" w:hAnsi="Narkisim"/>
          <w:rtl/>
        </w:rPr>
        <w:t xml:space="preserve"> (כדלעיל מט:)</w:t>
      </w:r>
      <w:r w:rsidRPr="00A47A11">
        <w:rPr>
          <w:rStyle w:val="ac"/>
          <w:rFonts w:ascii="Narkisim" w:hAnsi="Narkisim"/>
          <w:rtl/>
        </w:rPr>
        <w:footnoteReference w:id="5202"/>
      </w:r>
      <w:r w:rsidRPr="00A47A11">
        <w:rPr>
          <w:rFonts w:ascii="Narkisim" w:hAnsi="Narkisim"/>
          <w:rtl/>
        </w:rPr>
        <w:t>. וה</w:t>
      </w:r>
      <w:r w:rsidRPr="00A47A11">
        <w:rPr>
          <w:rFonts w:ascii="Narkisim" w:hAnsi="Narkisim"/>
          <w:b/>
          <w:bCs/>
          <w:rtl/>
        </w:rPr>
        <w:t xml:space="preserve">רמב"ן </w:t>
      </w:r>
      <w:r w:rsidRPr="00A47A11">
        <w:rPr>
          <w:rFonts w:ascii="Narkisim" w:hAnsi="Narkisim"/>
          <w:rtl/>
        </w:rPr>
        <w:t xml:space="preserve">הביא דמבואר דהולד מסוטה לא הוה ממזר אפי' מדרבנן. ודלא כדעת </w:t>
      </w:r>
      <w:r w:rsidRPr="00A47A11">
        <w:rPr>
          <w:rFonts w:ascii="Narkisim" w:hAnsi="Narkisim"/>
          <w:b/>
          <w:bCs/>
          <w:rtl/>
        </w:rPr>
        <w:t>ר"ח</w:t>
      </w:r>
      <w:r w:rsidRPr="00A47A11">
        <w:rPr>
          <w:rFonts w:ascii="Narkisim" w:hAnsi="Narkisim"/>
          <w:rtl/>
        </w:rPr>
        <w:t xml:space="preserve"> (ע' תוס' וראשונים לקמן צב) דהוה ממזר מדרבנן, דומיא דאשה שהלך בעלה למדינת הים (במשנה פז:).</w:t>
      </w:r>
    </w:p>
    <w:p w14:paraId="118D96AE" w14:textId="77777777" w:rsidR="006C4368" w:rsidRPr="00A47A11" w:rsidRDefault="006C4368" w:rsidP="006C4368">
      <w:pPr>
        <w:pStyle w:val="aa"/>
        <w:bidi/>
        <w:rPr>
          <w:rFonts w:ascii="Narkisim" w:hAnsi="Narkisim"/>
        </w:rPr>
      </w:pPr>
      <w:r w:rsidRPr="00A47A11">
        <w:rPr>
          <w:rFonts w:ascii="Narkisim" w:hAnsi="Narkisim"/>
          <w:u w:val="single"/>
          <w:rtl/>
        </w:rPr>
        <w:t>בת ישראל מאורסת לכהן מעוברת מכהן שומר"י לכהן וכו'</w:t>
      </w:r>
      <w:r w:rsidRPr="00A47A11">
        <w:rPr>
          <w:rFonts w:ascii="Narkisim" w:hAnsi="Narkisim"/>
          <w:rtl/>
        </w:rPr>
        <w:t>. כדתנן (לעיל סז:) דעובר יבם ואירוסין אינו מאכיל בתרומה. עובר דדרשי' ילוד מאכיל שאינו ילוד אינו מאכיל. שומרת יבם דדרשי' קנין כספו, והאי קנין דאחיו [עי"ש תוס']. ואירוסין אינו מאכיל כדעולא גזירה שמא תשקה לאחיה, ולמ"ד (קידושין יא וכתובות נז:) משום סמפון.</w:t>
      </w:r>
    </w:p>
    <w:p w14:paraId="7FDA3C37" w14:textId="77777777" w:rsidR="006C4368" w:rsidRPr="00A47A11" w:rsidRDefault="006C4368" w:rsidP="006C4368">
      <w:pPr>
        <w:pStyle w:val="aa"/>
        <w:bidi/>
        <w:rPr>
          <w:rFonts w:ascii="Narkisim" w:hAnsi="Narkisim"/>
        </w:rPr>
      </w:pPr>
      <w:r w:rsidRPr="00A47A11">
        <w:rPr>
          <w:rFonts w:ascii="Narkisim" w:hAnsi="Narkisim"/>
          <w:u w:val="single"/>
          <w:rtl/>
        </w:rPr>
        <w:t>וכן בת כהן לישראל</w:t>
      </w:r>
      <w:r w:rsidRPr="00A47A11">
        <w:rPr>
          <w:rFonts w:ascii="Narkisim" w:hAnsi="Narkisim"/>
          <w:rtl/>
        </w:rPr>
        <w:t>. דתנן (שם) דעובר יבם ואירוסין פסלי. דנתמעט כנעוריה פרט למעוברת, שאינה חוזרת לבית אביה. ושומרת יבם נתמעט ושבה אל בית אביה פרט לשומרת יבם. ואירוסין, דהא קניה בהויה. פ</w:t>
      </w:r>
      <w:r w:rsidRPr="00A47A11">
        <w:rPr>
          <w:rFonts w:ascii="Narkisim" w:hAnsi="Narkisim"/>
          <w:b/>
          <w:bCs/>
          <w:rtl/>
        </w:rPr>
        <w:t>רש"י</w:t>
      </w:r>
      <w:r w:rsidRPr="00A47A11">
        <w:rPr>
          <w:rFonts w:ascii="Narkisim" w:hAnsi="Narkisim"/>
          <w:rtl/>
        </w:rPr>
        <w:t xml:space="preserve"> </w:t>
      </w:r>
      <w:r w:rsidRPr="00A47A11">
        <w:rPr>
          <w:rFonts w:ascii="Narkisim" w:hAnsi="Narkisim"/>
          <w:rtl/>
        </w:rPr>
        <w:lastRenderedPageBreak/>
        <w:t>וכתיב כי תהיה לאיש זר.</w:t>
      </w:r>
    </w:p>
    <w:p w14:paraId="72451438" w14:textId="77777777" w:rsidR="006C4368" w:rsidRPr="00A47A11" w:rsidRDefault="006C4368" w:rsidP="006C4368">
      <w:pPr>
        <w:pStyle w:val="3"/>
        <w:bidi/>
        <w:rPr>
          <w:rFonts w:ascii="Narkisim" w:hAnsi="Narkisim"/>
        </w:rPr>
      </w:pPr>
      <w:r w:rsidRPr="00A47A11">
        <w:rPr>
          <w:rFonts w:ascii="Narkisim" w:hAnsi="Narkisim"/>
          <w:rtl/>
        </w:rPr>
        <w:t>דף פו.</w:t>
      </w:r>
    </w:p>
    <w:p w14:paraId="5F25AD7D" w14:textId="77777777" w:rsidR="006C4368" w:rsidRPr="00A47A11" w:rsidRDefault="006C4368" w:rsidP="006C4368">
      <w:pPr>
        <w:bidi/>
        <w:rPr>
          <w:rFonts w:ascii="Narkisim" w:hAnsi="Narkisim" w:cs="Narkisim"/>
        </w:rPr>
      </w:pPr>
      <w:r w:rsidRPr="00A47A11">
        <w:rPr>
          <w:rFonts w:ascii="Narkisim" w:hAnsi="Narkisim" w:cs="Narkisim"/>
          <w:u w:val="single"/>
          <w:rtl/>
        </w:rPr>
        <w:t>תרומה לכהן ומעש"ר ללוי וכו'</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דדייקינן דומיא דתרומה, דאכילתה כנתינתה לכהן דוקא. אף מעשר אכילתה ללוי דוקא. ו</w:t>
      </w:r>
      <w:r w:rsidRPr="00A47A11">
        <w:rPr>
          <w:rFonts w:ascii="Narkisim" w:hAnsi="Narkisim" w:cs="Narkisim"/>
          <w:b/>
          <w:bCs/>
          <w:rtl/>
        </w:rPr>
        <w:t>ריב"ן</w:t>
      </w:r>
      <w:r w:rsidRPr="00A47A11">
        <w:rPr>
          <w:rFonts w:ascii="Narkisim" w:hAnsi="Narkisim" w:cs="Narkisim"/>
          <w:rtl/>
        </w:rPr>
        <w:t xml:space="preserve"> (בתוס') גרס בהדיא דאסור לזרים. וה</w:t>
      </w:r>
      <w:r w:rsidRPr="00A47A11">
        <w:rPr>
          <w:rFonts w:ascii="Narkisim" w:hAnsi="Narkisim" w:cs="Narkisim"/>
          <w:b/>
          <w:bCs/>
          <w:rtl/>
        </w:rPr>
        <w:t>רמב"ן</w:t>
      </w:r>
      <w:r w:rsidRPr="00A47A11">
        <w:rPr>
          <w:rFonts w:ascii="Narkisim" w:hAnsi="Narkisim" w:cs="Narkisim"/>
          <w:rtl/>
        </w:rPr>
        <w:t xml:space="preserve"> כת' דהיה קבלה בידם [משמיה דגמ', רבו מרבו] דכן דעת ר' מאיר.</w:t>
      </w:r>
    </w:p>
    <w:p w14:paraId="437D8C12" w14:textId="77777777" w:rsidR="006C4368" w:rsidRPr="00A47A11" w:rsidRDefault="006C4368" w:rsidP="006C4368">
      <w:pPr>
        <w:pStyle w:val="aa"/>
        <w:bidi/>
        <w:rPr>
          <w:rFonts w:ascii="Narkisim" w:hAnsi="Narkisim"/>
        </w:rPr>
      </w:pPr>
      <w:r w:rsidRPr="00A47A11">
        <w:rPr>
          <w:rFonts w:ascii="Narkisim" w:hAnsi="Narkisim"/>
          <w:u w:val="single"/>
          <w:rtl/>
        </w:rPr>
        <w:t>מ"ט דר' מאיר וכו' אף מעש"ר אסור לזרים וכו</w:t>
      </w:r>
      <w:r w:rsidRPr="00A47A11">
        <w:rPr>
          <w:rFonts w:ascii="Narkisim" w:hAnsi="Narkisim"/>
          <w:rtl/>
        </w:rPr>
        <w:t>'. והוה איסור לאו. ה</w:t>
      </w:r>
      <w:r w:rsidRPr="00A47A11">
        <w:rPr>
          <w:rFonts w:ascii="Narkisim" w:hAnsi="Narkisim"/>
          <w:b/>
          <w:bCs/>
          <w:rtl/>
        </w:rPr>
        <w:t>תוי"ט</w:t>
      </w:r>
      <w:r w:rsidRPr="00A47A11">
        <w:rPr>
          <w:rFonts w:ascii="Narkisim" w:hAnsi="Narkisim"/>
          <w:rtl/>
        </w:rPr>
        <w:t xml:space="preserve"> (דמאי א א) כת' דאף לר' מאיר לא גזרו בדמאי שיפריש מעשר ראשון ללוי, דכיון דליכא חיוב מיתה לא החמירו בזה. דלא אשתמט תנא דלר' מאיר  מפריש מעשר ראשון בדמאי. ו</w:t>
      </w:r>
      <w:r w:rsidRPr="00A47A11">
        <w:rPr>
          <w:rFonts w:ascii="Narkisim" w:hAnsi="Narkisim"/>
          <w:b/>
          <w:bCs/>
          <w:rtl/>
        </w:rPr>
        <w:t>רע"א</w:t>
      </w:r>
      <w:r w:rsidRPr="00A47A11">
        <w:rPr>
          <w:rFonts w:ascii="Narkisim" w:hAnsi="Narkisim"/>
          <w:rtl/>
        </w:rPr>
        <w:t xml:space="preserve"> (שם) הביא ד</w:t>
      </w:r>
      <w:r w:rsidRPr="00A47A11">
        <w:rPr>
          <w:rFonts w:ascii="Narkisim" w:hAnsi="Narkisim"/>
          <w:b/>
          <w:bCs/>
          <w:rtl/>
        </w:rPr>
        <w:t>תוס'</w:t>
      </w:r>
      <w:r w:rsidRPr="00A47A11">
        <w:rPr>
          <w:rFonts w:ascii="Narkisim" w:hAnsi="Narkisim"/>
          <w:rtl/>
        </w:rPr>
        <w:t xml:space="preserve"> (יומא נו.) כת' דלר' מאיר אם הוא לוי שותהו. מבואר דפשיט"ל דאם אינו לוי, צריך לתת מעשר ללוי.</w:t>
      </w:r>
    </w:p>
    <w:p w14:paraId="42736B73" w14:textId="77777777" w:rsidR="006C4368" w:rsidRPr="00A47A11" w:rsidRDefault="006C4368" w:rsidP="006C4368">
      <w:pPr>
        <w:pStyle w:val="aa"/>
        <w:bidi/>
        <w:rPr>
          <w:rFonts w:ascii="Narkisim" w:hAnsi="Narkisim"/>
        </w:rPr>
      </w:pPr>
      <w:r w:rsidRPr="00A47A11">
        <w:rPr>
          <w:rFonts w:ascii="Narkisim" w:hAnsi="Narkisim"/>
          <w:u w:val="single"/>
          <w:rtl/>
        </w:rPr>
        <w:t>תוד"ה ר' אלעזר</w:t>
      </w:r>
      <w:r w:rsidRPr="00A47A11">
        <w:rPr>
          <w:rFonts w:ascii="Narkisim" w:hAnsi="Narkisim"/>
          <w:rtl/>
        </w:rPr>
        <w:t>. דר"א בן עזריה קדים טובא לר”מ. אבל ה</w:t>
      </w:r>
      <w:r w:rsidRPr="00A47A11">
        <w:rPr>
          <w:rFonts w:ascii="Narkisim" w:hAnsi="Narkisim"/>
          <w:b/>
          <w:bCs/>
          <w:rtl/>
        </w:rPr>
        <w:t>בכור שור</w:t>
      </w:r>
      <w:r w:rsidRPr="00A47A11">
        <w:rPr>
          <w:rFonts w:ascii="Narkisim" w:hAnsi="Narkisim"/>
          <w:rtl/>
        </w:rPr>
        <w:t xml:space="preserve"> (ברכות ב: הו' בגהש"ס) הביא דבכ”מ מבואר דנח' בברייתא תנאים קדמונים ומאוחרים. והבכור שור כת' דקו' התוס' האיך הקדים ר' מאיר קודם ר"א</w:t>
      </w:r>
      <w:r w:rsidRPr="00A47A11">
        <w:rPr>
          <w:rStyle w:val="ac"/>
          <w:rFonts w:ascii="Narkisim" w:hAnsi="Narkisim"/>
          <w:rtl/>
        </w:rPr>
        <w:footnoteReference w:id="5203"/>
      </w:r>
      <w:r w:rsidRPr="00A47A11">
        <w:rPr>
          <w:rFonts w:ascii="Narkisim" w:hAnsi="Narkisim"/>
          <w:rtl/>
        </w:rPr>
        <w:t>. ועוד דמשמע דר"א קאי אדברי ר' מאיר, וכמ"ש רש"י (ד"ה תרומה). ועוד כת' דבכל הנוסחאות כאן גרסינן בן עזריה [ודלא כתוס'].</w:t>
      </w:r>
    </w:p>
    <w:p w14:paraId="60EDFD9B" w14:textId="77777777" w:rsidR="006C4368" w:rsidRPr="00A47A11" w:rsidRDefault="006C4368" w:rsidP="006C4368">
      <w:pPr>
        <w:bidi/>
        <w:rPr>
          <w:rFonts w:ascii="Narkisim" w:hAnsi="Narkisim" w:cs="Narkisim"/>
        </w:rPr>
      </w:pPr>
      <w:r w:rsidRPr="00A47A11">
        <w:rPr>
          <w:rFonts w:ascii="Narkisim" w:hAnsi="Narkisim" w:cs="Narkisim"/>
          <w:u w:val="single"/>
          <w:rtl/>
        </w:rPr>
        <w:t>ואפי' מעשר עני מנ"ל וכו'</w:t>
      </w:r>
      <w:r w:rsidRPr="00A47A11">
        <w:rPr>
          <w:rFonts w:ascii="Narkisim" w:hAnsi="Narkisim" w:cs="Narkisim"/>
          <w:rtl/>
        </w:rPr>
        <w:t>. וכן בגמ' (מכות טז:) אמר רב דהאוכל טבל של מעשר עני לוקה. והגמ' (שם ונדרים פד.) הביאה דנח' בזה ר"א ורבנן (דמאי ד ג) בדמאי דלרבנן קורא שם מעשר עני, ודעת ר"א דאי"צ. דס"ל דאינו טובל. והגמ' דוחה דכו"ע טובל אלא דלא נחשדו בזה ע”ה</w:t>
      </w:r>
      <w:r w:rsidRPr="00A47A11">
        <w:rPr>
          <w:rStyle w:val="ac"/>
          <w:rFonts w:ascii="Narkisim" w:hAnsi="Narkisim" w:cs="Narkisim"/>
          <w:rtl/>
        </w:rPr>
        <w:footnoteReference w:id="5204"/>
      </w:r>
      <w:r w:rsidRPr="00A47A11">
        <w:rPr>
          <w:rFonts w:ascii="Narkisim" w:hAnsi="Narkisim" w:cs="Narkisim"/>
          <w:rtl/>
        </w:rPr>
        <w:t>. דסברת ר"א דעם הארץ מפריש, כיון דממונא הוא. ופ</w:t>
      </w:r>
      <w:r w:rsidRPr="00A47A11">
        <w:rPr>
          <w:rFonts w:ascii="Narkisim" w:hAnsi="Narkisim" w:cs="Narkisim"/>
          <w:b/>
          <w:bCs/>
          <w:rtl/>
        </w:rPr>
        <w:t>רש"י</w:t>
      </w:r>
      <w:r w:rsidRPr="00A47A11">
        <w:rPr>
          <w:rFonts w:ascii="Narkisim" w:hAnsi="Narkisim" w:cs="Narkisim"/>
          <w:rtl/>
        </w:rPr>
        <w:t xml:space="preserve"> דבשאר מעשרות אינו מפריש, דסבור אילו יפריש מעשר ראשון יתחייב להפריש תרומת מעשר, ומעשר שני יתחייב להעלותו לירושלים. אבל מעשר עני הוה ממון בעלמא, ומש”ה מפריש לאפקועי טבל מיניה</w:t>
      </w:r>
      <w:r w:rsidRPr="00A47A11">
        <w:rPr>
          <w:rStyle w:val="ac"/>
          <w:rFonts w:ascii="Narkisim" w:hAnsi="Narkisim" w:cs="Narkisim"/>
          <w:rtl/>
        </w:rPr>
        <w:footnoteReference w:id="5205"/>
      </w:r>
      <w:r w:rsidRPr="00A47A11">
        <w:rPr>
          <w:rFonts w:ascii="Narkisim" w:hAnsi="Narkisim" w:cs="Narkisim"/>
          <w:rtl/>
        </w:rPr>
        <w:t>.</w:t>
      </w:r>
    </w:p>
    <w:p w14:paraId="2527138E" w14:textId="77777777" w:rsidR="006C4368" w:rsidRPr="00A47A11" w:rsidRDefault="006C4368" w:rsidP="006C4368">
      <w:pPr>
        <w:bidi/>
        <w:rPr>
          <w:rFonts w:ascii="Narkisim" w:hAnsi="Narkisim" w:cs="Narkisim"/>
        </w:rPr>
      </w:pPr>
      <w:r w:rsidRPr="00A47A11">
        <w:rPr>
          <w:rFonts w:ascii="Narkisim" w:hAnsi="Narkisim" w:cs="Narkisim"/>
          <w:u w:val="single"/>
          <w:rtl/>
        </w:rPr>
        <w:t>תוד"ה מה</w:t>
      </w:r>
      <w:r w:rsidRPr="00A47A11">
        <w:rPr>
          <w:rFonts w:ascii="Narkisim" w:hAnsi="Narkisim" w:cs="Narkisim"/>
          <w:rtl/>
        </w:rPr>
        <w:t>. פ"ה כשלא הופרשה חייבין מיתה של טבל, דהא תרומה מיתה כתיבא ביה וכו'. ולדעת רש"י חומר האיסור טבל הוה מחמת התרומה המעורב בו</w:t>
      </w:r>
      <w:r w:rsidRPr="00A47A11">
        <w:rPr>
          <w:rStyle w:val="ac"/>
          <w:rFonts w:ascii="Narkisim" w:hAnsi="Narkisim" w:cs="Narkisim"/>
          <w:rtl/>
        </w:rPr>
        <w:footnoteReference w:id="5206"/>
      </w:r>
      <w:r w:rsidRPr="00A47A11">
        <w:rPr>
          <w:rFonts w:ascii="Narkisim" w:hAnsi="Narkisim" w:cs="Narkisim"/>
          <w:rtl/>
        </w:rPr>
        <w:t>. ותוס' חלקו דאיסור טבל הוה איסור בפנ"ע מקרא דולא יחללו. ולא תלי בתרומה הטמון בו.</w:t>
      </w:r>
    </w:p>
    <w:p w14:paraId="6725E5CE" w14:textId="77777777" w:rsidR="006C4368" w:rsidRPr="00A47A11" w:rsidRDefault="006C4368" w:rsidP="006C4368">
      <w:pPr>
        <w:pStyle w:val="aa"/>
        <w:bidi/>
        <w:rPr>
          <w:rFonts w:ascii="Narkisim" w:hAnsi="Narkisim"/>
        </w:rPr>
      </w:pPr>
      <w:r w:rsidRPr="00A47A11">
        <w:rPr>
          <w:rFonts w:ascii="Narkisim" w:hAnsi="Narkisim"/>
          <w:rtl/>
        </w:rPr>
        <w:t>וכן מבואר בכ"מ (ע' תוס' פסחים לח. ד"ה אתיא, סוכה לה.) דטבל לא נחשב 'לכם', כיון דיש בו חלק לכהן וללוי</w:t>
      </w:r>
      <w:r w:rsidRPr="00A47A11">
        <w:rPr>
          <w:rStyle w:val="ac"/>
          <w:rFonts w:ascii="Narkisim" w:hAnsi="Narkisim"/>
          <w:rtl/>
        </w:rPr>
        <w:footnoteReference w:id="5207"/>
      </w:r>
      <w:r w:rsidRPr="00A47A11">
        <w:rPr>
          <w:rFonts w:ascii="Narkisim" w:hAnsi="Narkisim"/>
          <w:rtl/>
        </w:rPr>
        <w:t xml:space="preserve">. ויש שחילקו דה"מ בגדרי הממון, אבל אין בו עדיין קדושה כלל. [ואכמ"ל].  </w:t>
      </w:r>
    </w:p>
    <w:p w14:paraId="33EE0B05"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אתוון דאורייתא</w:t>
      </w:r>
      <w:r w:rsidRPr="00A47A11">
        <w:rPr>
          <w:rFonts w:ascii="Narkisim" w:hAnsi="Narkisim"/>
          <w:rtl/>
        </w:rPr>
        <w:t xml:space="preserve"> (ב) כת' דאף תוס' מודו דטבל יש בו עירוב תרומה, אלא דס"ל דאין זה סבת איסור טבל, דאיסור טבל הוה איסור עצמיי.</w:t>
      </w:r>
    </w:p>
    <w:p w14:paraId="4E2989F8" w14:textId="77777777" w:rsidR="006C4368" w:rsidRPr="00A47A11" w:rsidRDefault="006C4368" w:rsidP="006C4368">
      <w:pPr>
        <w:bidi/>
        <w:rPr>
          <w:rFonts w:ascii="Narkisim" w:hAnsi="Narkisim" w:cs="Narkisim"/>
        </w:rPr>
      </w:pPr>
      <w:r w:rsidRPr="00A47A11">
        <w:rPr>
          <w:rFonts w:ascii="Narkisim" w:hAnsi="Narkisim" w:cs="Narkisim"/>
          <w:rtl/>
        </w:rPr>
        <w:t>ובפשוטו משמע דלדעת רש"י ל"צ פסוק לאיסור טבל</w:t>
      </w:r>
      <w:r w:rsidRPr="00A47A11">
        <w:rPr>
          <w:rStyle w:val="ac"/>
          <w:rFonts w:ascii="Narkisim" w:hAnsi="Narkisim" w:cs="Narkisim"/>
          <w:rtl/>
        </w:rPr>
        <w:footnoteReference w:id="5208"/>
      </w:r>
      <w:r w:rsidRPr="00A47A11">
        <w:rPr>
          <w:rFonts w:ascii="Narkisim" w:hAnsi="Narkisim" w:cs="Narkisim"/>
          <w:rtl/>
        </w:rPr>
        <w:t>, דתיפו"ל משום דמעורב בו תרומה</w:t>
      </w:r>
      <w:r w:rsidRPr="00A47A11">
        <w:rPr>
          <w:rStyle w:val="ac"/>
          <w:rFonts w:ascii="Narkisim" w:hAnsi="Narkisim" w:cs="Narkisim"/>
          <w:rtl/>
        </w:rPr>
        <w:footnoteReference w:id="5209"/>
      </w:r>
      <w:r w:rsidRPr="00A47A11">
        <w:rPr>
          <w:rFonts w:ascii="Narkisim" w:hAnsi="Narkisim" w:cs="Narkisim"/>
          <w:rtl/>
        </w:rPr>
        <w:t>. אבל ה</w:t>
      </w:r>
      <w:r w:rsidRPr="00A47A11">
        <w:rPr>
          <w:rFonts w:ascii="Narkisim" w:hAnsi="Narkisim" w:cs="Narkisim"/>
          <w:b/>
          <w:bCs/>
          <w:rtl/>
        </w:rPr>
        <w:t>אחרונים</w:t>
      </w:r>
      <w:r w:rsidRPr="00A47A11">
        <w:rPr>
          <w:rFonts w:ascii="Narkisim" w:hAnsi="Narkisim" w:cs="Narkisim"/>
          <w:rtl/>
        </w:rPr>
        <w:t xml:space="preserve"> דנו דודאי אף כוונת רש"י דלאחר שילפי' לאו דטבל משום 'ולא יחללו' [כדאי' בסנהד' פג. הו' בסו”ד התוס'], קי"ל דהגדר משום תערובת תרומה, ומש"ה ילפי' דמתחייב במיתה ביד"ש כתרומה.</w:t>
      </w:r>
    </w:p>
    <w:p w14:paraId="2A9ED00D" w14:textId="77777777" w:rsidR="006C4368" w:rsidRPr="00A47A11" w:rsidRDefault="006C4368" w:rsidP="006C4368">
      <w:pPr>
        <w:bidi/>
        <w:rPr>
          <w:rFonts w:ascii="Narkisim" w:hAnsi="Narkisim" w:cs="Narkisim"/>
        </w:rPr>
      </w:pPr>
      <w:r w:rsidRPr="00A47A11">
        <w:rPr>
          <w:rFonts w:ascii="Narkisim" w:hAnsi="Narkisim" w:cs="Narkisim"/>
          <w:rtl/>
        </w:rPr>
        <w:t>וה</w:t>
      </w:r>
      <w:r w:rsidRPr="00A47A11">
        <w:rPr>
          <w:rFonts w:ascii="Narkisim" w:hAnsi="Narkisim" w:cs="Narkisim"/>
          <w:b/>
          <w:bCs/>
          <w:rtl/>
        </w:rPr>
        <w:t>ר"ן</w:t>
      </w:r>
      <w:r w:rsidRPr="00A47A11">
        <w:rPr>
          <w:rFonts w:ascii="Narkisim" w:hAnsi="Narkisim" w:cs="Narkisim"/>
          <w:rtl/>
        </w:rPr>
        <w:t xml:space="preserve"> (נדרים פד:) ביאר סברת מ"ד דמעשר עני אינו טובל, דא"א שיהא הכרי חמור משום מעשר המעורב בו, יותר מדין המעשר עצמו [וע”ד סברת רש”י</w:t>
      </w:r>
      <w:r w:rsidRPr="00A47A11">
        <w:rPr>
          <w:rStyle w:val="ac"/>
          <w:rFonts w:ascii="Narkisim" w:hAnsi="Narkisim" w:cs="Narkisim"/>
          <w:rtl/>
        </w:rPr>
        <w:footnoteReference w:id="5210"/>
      </w:r>
      <w:r w:rsidRPr="00A47A11">
        <w:rPr>
          <w:rFonts w:ascii="Narkisim" w:hAnsi="Narkisim" w:cs="Narkisim"/>
          <w:rtl/>
        </w:rPr>
        <w:t xml:space="preserve">]. וכיון דמעשר מותר לזרים, </w:t>
      </w:r>
      <w:r w:rsidRPr="00A47A11">
        <w:rPr>
          <w:rFonts w:ascii="Narkisim" w:hAnsi="Narkisim" w:cs="Narkisim"/>
          <w:rtl/>
        </w:rPr>
        <w:lastRenderedPageBreak/>
        <w:t>האיך תהא תערובתו חמור ממנו. ומ"ד דס"ל דאף מעשר עני טובל דריש לה כברייתא דסוגיין.</w:t>
      </w:r>
    </w:p>
    <w:p w14:paraId="29A05E36" w14:textId="77777777" w:rsidR="006C4368" w:rsidRPr="00A47A11" w:rsidRDefault="006C4368" w:rsidP="006C4368">
      <w:pPr>
        <w:bidi/>
        <w:rPr>
          <w:rFonts w:ascii="Narkisim" w:hAnsi="Narkisim" w:cs="Narkisim"/>
        </w:rPr>
      </w:pPr>
      <w:r w:rsidRPr="00A47A11">
        <w:rPr>
          <w:rFonts w:ascii="Narkisim" w:hAnsi="Narkisim" w:cs="Narkisim"/>
          <w:u w:val="single"/>
          <w:rtl/>
        </w:rPr>
        <w:t>בא"ד וקשה לר"י מעש"ר נמי כתיבא ביה תרומת מעשר וכו'</w:t>
      </w:r>
      <w:r w:rsidRPr="00A47A11">
        <w:rPr>
          <w:rFonts w:ascii="Narkisim" w:hAnsi="Narkisim" w:cs="Narkisim"/>
          <w:rtl/>
        </w:rPr>
        <w:t>. [ויש גורסים פתיכי ביה]. וה</w:t>
      </w:r>
      <w:r w:rsidRPr="00A47A11">
        <w:rPr>
          <w:rFonts w:ascii="Narkisim" w:hAnsi="Narkisim" w:cs="Narkisim"/>
          <w:b/>
          <w:bCs/>
          <w:rtl/>
        </w:rPr>
        <w:t>מהרי"ט</w:t>
      </w:r>
      <w:r w:rsidRPr="00A47A11">
        <w:rPr>
          <w:rFonts w:ascii="Narkisim" w:hAnsi="Narkisim" w:cs="Narkisim"/>
          <w:rtl/>
        </w:rPr>
        <w:t xml:space="preserve"> (א כה) כת' דדוקא לאחר שהופרש המעשר חל חיוב התרומה, וקרינן ביה אשר ירימו בעתידין ליתרם</w:t>
      </w:r>
      <w:r w:rsidRPr="00A47A11">
        <w:rPr>
          <w:rStyle w:val="ac"/>
          <w:rFonts w:ascii="Narkisim" w:hAnsi="Narkisim" w:cs="Narkisim"/>
          <w:rtl/>
        </w:rPr>
        <w:footnoteReference w:id="5211"/>
      </w:r>
      <w:r w:rsidRPr="00A47A11">
        <w:rPr>
          <w:rFonts w:ascii="Narkisim" w:hAnsi="Narkisim" w:cs="Narkisim"/>
          <w:rtl/>
        </w:rPr>
        <w:t>. אבל בעודו טבל אכתי לא חל חיוב תרומת מעשר</w:t>
      </w:r>
      <w:r w:rsidRPr="00A47A11">
        <w:rPr>
          <w:rStyle w:val="ac"/>
          <w:rFonts w:ascii="Narkisim" w:hAnsi="Narkisim" w:cs="Narkisim"/>
          <w:rtl/>
        </w:rPr>
        <w:footnoteReference w:id="5212"/>
      </w:r>
      <w:r w:rsidRPr="00A47A11">
        <w:rPr>
          <w:rFonts w:ascii="Narkisim" w:hAnsi="Narkisim" w:cs="Narkisim"/>
          <w:rtl/>
        </w:rPr>
        <w:t>.</w:t>
      </w:r>
    </w:p>
    <w:p w14:paraId="084B0F25" w14:textId="77777777" w:rsidR="006C4368" w:rsidRPr="00A47A11" w:rsidRDefault="006C4368" w:rsidP="006C4368">
      <w:pPr>
        <w:bidi/>
        <w:rPr>
          <w:rFonts w:ascii="Narkisim" w:hAnsi="Narkisim" w:cs="Narkisim"/>
        </w:rPr>
      </w:pPr>
      <w:r w:rsidRPr="00A47A11">
        <w:rPr>
          <w:rFonts w:ascii="Narkisim" w:hAnsi="Narkisim" w:cs="Narkisim"/>
          <w:rtl/>
        </w:rPr>
        <w:t>וה</w:t>
      </w:r>
      <w:r w:rsidRPr="00A47A11">
        <w:rPr>
          <w:rFonts w:ascii="Narkisim" w:hAnsi="Narkisim" w:cs="Narkisim"/>
          <w:b/>
          <w:bCs/>
          <w:rtl/>
        </w:rPr>
        <w:t>אחרונים</w:t>
      </w:r>
      <w:r w:rsidRPr="00A47A11">
        <w:rPr>
          <w:rFonts w:ascii="Narkisim" w:hAnsi="Narkisim" w:cs="Narkisim"/>
          <w:rtl/>
        </w:rPr>
        <w:t xml:space="preserve"> (מנח"ח רפד ג) העמידו דנח' ה</w:t>
      </w:r>
      <w:r w:rsidRPr="00A47A11">
        <w:rPr>
          <w:rFonts w:ascii="Narkisim" w:hAnsi="Narkisim" w:cs="Narkisim"/>
          <w:b/>
          <w:bCs/>
          <w:rtl/>
        </w:rPr>
        <w:t>ראשונים</w:t>
      </w:r>
      <w:r w:rsidRPr="00A47A11">
        <w:rPr>
          <w:rFonts w:ascii="Narkisim" w:hAnsi="Narkisim" w:cs="Narkisim"/>
          <w:rtl/>
        </w:rPr>
        <w:t xml:space="preserve"> האם מהני להפריש תרומת מעשר מהטבל, קודם שיפריש מעשר ראשון. ודעת ה</w:t>
      </w:r>
      <w:r w:rsidRPr="00A47A11">
        <w:rPr>
          <w:rFonts w:ascii="Narkisim" w:hAnsi="Narkisim" w:cs="Narkisim"/>
          <w:b/>
          <w:bCs/>
          <w:rtl/>
        </w:rPr>
        <w:t>ס' החינוך</w:t>
      </w:r>
      <w:r w:rsidRPr="00A47A11">
        <w:rPr>
          <w:rFonts w:ascii="Narkisim" w:hAnsi="Narkisim" w:cs="Narkisim"/>
          <w:rtl/>
        </w:rPr>
        <w:t xml:space="preserve"> (רפד) דמהני בדיעבד, אלא שעבר איסור</w:t>
      </w:r>
      <w:r w:rsidRPr="00A47A11">
        <w:rPr>
          <w:rStyle w:val="ac"/>
          <w:rFonts w:ascii="Narkisim" w:hAnsi="Narkisim" w:cs="Narkisim"/>
          <w:rtl/>
        </w:rPr>
        <w:footnoteReference w:id="5213"/>
      </w:r>
      <w:r w:rsidRPr="00A47A11">
        <w:rPr>
          <w:rFonts w:ascii="Narkisim" w:hAnsi="Narkisim" w:cs="Narkisim"/>
          <w:rtl/>
        </w:rPr>
        <w:t>. אבל ה</w:t>
      </w:r>
      <w:r w:rsidRPr="00A47A11">
        <w:rPr>
          <w:rFonts w:ascii="Narkisim" w:hAnsi="Narkisim" w:cs="Narkisim"/>
          <w:b/>
          <w:bCs/>
          <w:rtl/>
        </w:rPr>
        <w:t>אחרונים</w:t>
      </w:r>
      <w:r w:rsidRPr="00A47A11">
        <w:rPr>
          <w:rFonts w:ascii="Narkisim" w:hAnsi="Narkisim" w:cs="Narkisim"/>
          <w:rtl/>
        </w:rPr>
        <w:t xml:space="preserve"> (אפיק"י א יא ו) דייקו מדברי ה</w:t>
      </w:r>
      <w:r w:rsidRPr="00A47A11">
        <w:rPr>
          <w:rFonts w:ascii="Narkisim" w:hAnsi="Narkisim" w:cs="Narkisim"/>
          <w:b/>
          <w:bCs/>
          <w:rtl/>
        </w:rPr>
        <w:t>ר”ש</w:t>
      </w:r>
      <w:r w:rsidRPr="00A47A11">
        <w:rPr>
          <w:rFonts w:ascii="Narkisim" w:hAnsi="Narkisim" w:cs="Narkisim"/>
          <w:rtl/>
        </w:rPr>
        <w:t xml:space="preserve"> (ביכורים ב ג) דלא מהני. וכן נקט ה</w:t>
      </w:r>
      <w:r w:rsidRPr="00A47A11">
        <w:rPr>
          <w:rFonts w:ascii="Narkisim" w:hAnsi="Narkisim" w:cs="Narkisim"/>
          <w:b/>
          <w:bCs/>
          <w:rtl/>
        </w:rPr>
        <w:t>כס"מ</w:t>
      </w:r>
      <w:r w:rsidRPr="00A47A11">
        <w:rPr>
          <w:rFonts w:ascii="Narkisim" w:hAnsi="Narkisim" w:cs="Narkisim"/>
          <w:rtl/>
        </w:rPr>
        <w:t xml:space="preserve"> (מעשר ט ו) דל"מ להקדים תרומת מעשר קודם המעשר, וכן בדין שהרי תרומת מעשר היא מעשר מן המעשר. ואם אין המעשר היאך יפריש מעשרו</w:t>
      </w:r>
      <w:r w:rsidRPr="00A47A11">
        <w:rPr>
          <w:rStyle w:val="ac"/>
          <w:rFonts w:ascii="Narkisim" w:hAnsi="Narkisim" w:cs="Narkisim"/>
          <w:rtl/>
        </w:rPr>
        <w:footnoteReference w:id="5214"/>
      </w:r>
      <w:r w:rsidRPr="00A47A11">
        <w:rPr>
          <w:rFonts w:ascii="Narkisim" w:hAnsi="Narkisim" w:cs="Narkisim"/>
          <w:rtl/>
        </w:rPr>
        <w:t xml:space="preserve">.  </w:t>
      </w:r>
    </w:p>
    <w:p w14:paraId="4290A388" w14:textId="77777777" w:rsidR="006C4368" w:rsidRPr="00A47A11" w:rsidRDefault="006C4368" w:rsidP="006C4368">
      <w:pPr>
        <w:bidi/>
        <w:rPr>
          <w:rFonts w:ascii="Narkisim" w:hAnsi="Narkisim" w:cs="Narkisim"/>
        </w:rPr>
      </w:pPr>
      <w:r w:rsidRPr="00A47A11">
        <w:rPr>
          <w:rFonts w:ascii="Narkisim" w:hAnsi="Narkisim" w:cs="Narkisim"/>
          <w:rtl/>
        </w:rPr>
        <w:t>וה</w:t>
      </w:r>
      <w:r w:rsidRPr="00A47A11">
        <w:rPr>
          <w:rFonts w:ascii="Narkisim" w:hAnsi="Narkisim" w:cs="Narkisim"/>
          <w:b/>
          <w:bCs/>
          <w:rtl/>
        </w:rPr>
        <w:t>אחרונים</w:t>
      </w:r>
      <w:r w:rsidRPr="00A47A11">
        <w:rPr>
          <w:rFonts w:ascii="Narkisim" w:hAnsi="Narkisim" w:cs="Narkisim"/>
          <w:rtl/>
        </w:rPr>
        <w:t xml:space="preserve"> דנו די"ל דנח' בזה רש"י ותוס', דדעת רש"י דכל זמן שלא הפריש מעשר ראשון עדיין לא חל שם טבל לתרומת מעשר. ועדיין אינו מעורב בו תרומת המעשר. ואילו מדברי התוס' מבואר דפירות הטבל פתיכי בהו שם תרומת מעשר, אף קודם שהפריש המעשר.</w:t>
      </w:r>
    </w:p>
    <w:p w14:paraId="41DE6EE0" w14:textId="77777777" w:rsidR="006C4368" w:rsidRPr="00A47A11" w:rsidRDefault="006C4368" w:rsidP="006C4368">
      <w:pPr>
        <w:pStyle w:val="aa"/>
        <w:bidi/>
        <w:rPr>
          <w:rFonts w:ascii="Narkisim" w:hAnsi="Narkisim"/>
        </w:rPr>
      </w:pPr>
      <w:r w:rsidRPr="00A47A11">
        <w:rPr>
          <w:rFonts w:ascii="Narkisim" w:hAnsi="Narkisim"/>
          <w:u w:val="single"/>
          <w:rtl/>
        </w:rPr>
        <w:t>שם.</w:t>
      </w:r>
      <w:r w:rsidRPr="00A47A11">
        <w:rPr>
          <w:rFonts w:ascii="Narkisim" w:hAnsi="Narkisim"/>
          <w:rtl/>
        </w:rPr>
        <w:t xml:space="preserve"> ה</w:t>
      </w:r>
      <w:r w:rsidRPr="00A47A11">
        <w:rPr>
          <w:rFonts w:ascii="Narkisim" w:hAnsi="Narkisim"/>
          <w:b/>
          <w:bCs/>
          <w:rtl/>
        </w:rPr>
        <w:t>ישרש יעקב</w:t>
      </w:r>
      <w:r w:rsidRPr="00A47A11">
        <w:rPr>
          <w:rFonts w:ascii="Narkisim" w:hAnsi="Narkisim"/>
          <w:rtl/>
        </w:rPr>
        <w:t xml:space="preserve"> דן דעכ"פ נפק"מ לדעת החינוך (הנ"ל) היכא דהקדים והפריש תרומת מעשר מהכרי, דהכרי טבול למעשר ראשון, ולא פתיכי ביה צד תרומה. ואיצטריך קרא דאף מעשר ראשון טובל [כשאין בו תרומת מעשר].</w:t>
      </w:r>
    </w:p>
    <w:p w14:paraId="0D505262" w14:textId="77777777" w:rsidR="006C4368" w:rsidRPr="00A47A11" w:rsidRDefault="006C4368" w:rsidP="006C4368">
      <w:pPr>
        <w:pStyle w:val="aa"/>
        <w:bidi/>
        <w:rPr>
          <w:rFonts w:ascii="Narkisim" w:hAnsi="Narkisim"/>
        </w:rPr>
      </w:pPr>
      <w:r w:rsidRPr="00A47A11">
        <w:rPr>
          <w:rFonts w:ascii="Narkisim" w:hAnsi="Narkisim"/>
          <w:u w:val="single"/>
          <w:rtl/>
        </w:rPr>
        <w:t>בא"ד ועוד דאי מטעם זה לא ליתסר טבל לכהן, כיון דתרומה שריא ליה</w:t>
      </w:r>
      <w:r w:rsidRPr="00A47A11">
        <w:rPr>
          <w:rStyle w:val="ac"/>
          <w:rFonts w:ascii="Narkisim" w:hAnsi="Narkisim"/>
          <w:rtl/>
        </w:rPr>
        <w:footnoteReference w:id="5215"/>
      </w:r>
      <w:r w:rsidRPr="00A47A11">
        <w:rPr>
          <w:rFonts w:ascii="Narkisim" w:hAnsi="Narkisim"/>
          <w:rtl/>
        </w:rPr>
        <w:t>. ה</w:t>
      </w:r>
      <w:r w:rsidRPr="00A47A11">
        <w:rPr>
          <w:rFonts w:ascii="Narkisim" w:hAnsi="Narkisim"/>
          <w:b/>
          <w:bCs/>
          <w:rtl/>
        </w:rPr>
        <w:t>קובה"ע</w:t>
      </w:r>
      <w:r w:rsidRPr="00A47A11">
        <w:rPr>
          <w:rFonts w:ascii="Narkisim" w:hAnsi="Narkisim"/>
          <w:rtl/>
        </w:rPr>
        <w:t xml:space="preserve"> (לח י) כת' ליישב ע"פ הא דאי' (פסחים עב:) דאכילת תרומה איקרי עבודה. א"כ י"ל דאף לכהן הותרה לאכילה רק בתורת עבודה, אבל כל זמן שלא הורם אסור באכילה אף לכהן</w:t>
      </w:r>
      <w:r w:rsidRPr="00A47A11">
        <w:rPr>
          <w:rStyle w:val="ac"/>
          <w:rFonts w:ascii="Narkisim" w:hAnsi="Narkisim"/>
          <w:rtl/>
        </w:rPr>
        <w:footnoteReference w:id="5216"/>
      </w:r>
      <w:r w:rsidRPr="00A47A11">
        <w:rPr>
          <w:rFonts w:ascii="Narkisim" w:hAnsi="Narkisim"/>
          <w:rtl/>
        </w:rPr>
        <w:t>.</w:t>
      </w:r>
    </w:p>
    <w:p w14:paraId="5D752642" w14:textId="77777777" w:rsidR="006C4368" w:rsidRPr="00A47A11" w:rsidRDefault="006C4368" w:rsidP="006C4368">
      <w:pPr>
        <w:pStyle w:val="aa"/>
        <w:bidi/>
        <w:rPr>
          <w:rFonts w:ascii="Narkisim" w:hAnsi="Narkisim"/>
        </w:rPr>
      </w:pPr>
      <w:r w:rsidRPr="00A47A11">
        <w:rPr>
          <w:rFonts w:ascii="Narkisim" w:hAnsi="Narkisim"/>
          <w:u w:val="single"/>
          <w:rtl/>
        </w:rPr>
        <w:t>תוד"ה אף</w:t>
      </w:r>
      <w:r w:rsidRPr="00A47A11">
        <w:rPr>
          <w:rFonts w:ascii="Narkisim" w:hAnsi="Narkisim"/>
          <w:rtl/>
        </w:rPr>
        <w:t>. ועוד דמיסתבר לאוקומי היקישא אמאי דאסר קרא בדוכתא אחרינא וכו' ואתא הקישא לאתויי נמי מיתה וכו'. ב</w:t>
      </w:r>
      <w:r w:rsidRPr="00A47A11">
        <w:rPr>
          <w:rFonts w:ascii="Narkisim" w:hAnsi="Narkisim"/>
          <w:b/>
          <w:bCs/>
          <w:rtl/>
        </w:rPr>
        <w:t>הג' רי"א חבר</w:t>
      </w:r>
      <w:r w:rsidRPr="00A47A11">
        <w:rPr>
          <w:rFonts w:ascii="Narkisim" w:hAnsi="Narkisim"/>
          <w:rtl/>
        </w:rPr>
        <w:t xml:space="preserve"> ציין דמבואר ב</w:t>
      </w:r>
      <w:r w:rsidRPr="00A47A11">
        <w:rPr>
          <w:rFonts w:ascii="Narkisim" w:hAnsi="Narkisim"/>
          <w:b/>
          <w:bCs/>
          <w:rtl/>
        </w:rPr>
        <w:t>תוס'</w:t>
      </w:r>
      <w:r w:rsidRPr="00A47A11">
        <w:rPr>
          <w:rFonts w:ascii="Narkisim" w:hAnsi="Narkisim"/>
          <w:rtl/>
        </w:rPr>
        <w:t xml:space="preserve"> (מכות יז:) להיפך, דיותר מסתבר להעמיד קרא באיסור חדש, מאשר בלאו בעלמא בדבר שכבר נלמד מק”ו</w:t>
      </w:r>
      <w:r w:rsidRPr="00A47A11">
        <w:rPr>
          <w:rStyle w:val="ac"/>
          <w:rFonts w:ascii="Narkisim" w:hAnsi="Narkisim"/>
          <w:rtl/>
        </w:rPr>
        <w:footnoteReference w:id="5217"/>
      </w:r>
      <w:r w:rsidRPr="00A47A11">
        <w:rPr>
          <w:rFonts w:ascii="Narkisim" w:hAnsi="Narkisim"/>
          <w:rtl/>
        </w:rPr>
        <w:t>.</w:t>
      </w:r>
    </w:p>
    <w:p w14:paraId="724995B4" w14:textId="77777777" w:rsidR="006C4368" w:rsidRPr="00A47A11" w:rsidRDefault="006C4368" w:rsidP="006C4368">
      <w:pPr>
        <w:bidi/>
        <w:rPr>
          <w:rFonts w:ascii="Narkisim" w:hAnsi="Narkisim" w:cs="Narkisim"/>
        </w:rPr>
      </w:pPr>
      <w:r w:rsidRPr="00A47A11">
        <w:rPr>
          <w:rFonts w:ascii="Narkisim" w:hAnsi="Narkisim" w:cs="Narkisim"/>
          <w:u w:val="single"/>
          <w:rtl/>
        </w:rPr>
        <w:t>תוד"ה אי</w:t>
      </w:r>
      <w:r w:rsidRPr="00A47A11">
        <w:rPr>
          <w:rFonts w:ascii="Narkisim" w:hAnsi="Narkisim" w:cs="Narkisim"/>
          <w:rtl/>
        </w:rPr>
        <w:t>. וא"ת מנ"ל דטבל מעשר עני במיתה וכו' וי"ל דשמא אין בו מיתה</w:t>
      </w:r>
      <w:r w:rsidRPr="00A47A11">
        <w:rPr>
          <w:rStyle w:val="ac"/>
          <w:rFonts w:ascii="Narkisim" w:hAnsi="Narkisim" w:cs="Narkisim"/>
          <w:rtl/>
        </w:rPr>
        <w:footnoteReference w:id="5218"/>
      </w:r>
      <w:r w:rsidRPr="00A47A11">
        <w:rPr>
          <w:rFonts w:ascii="Narkisim" w:hAnsi="Narkisim" w:cs="Narkisim"/>
          <w:rtl/>
        </w:rPr>
        <w:t>, א"נ כיון שאין חלוק וכו'. וה</w:t>
      </w:r>
      <w:r w:rsidRPr="00A47A11">
        <w:rPr>
          <w:rFonts w:ascii="Narkisim" w:hAnsi="Narkisim" w:cs="Narkisim"/>
          <w:b/>
          <w:bCs/>
          <w:rtl/>
        </w:rPr>
        <w:t>ר"ן</w:t>
      </w:r>
      <w:r w:rsidRPr="00A47A11">
        <w:rPr>
          <w:rFonts w:ascii="Narkisim" w:hAnsi="Narkisim" w:cs="Narkisim"/>
          <w:rtl/>
        </w:rPr>
        <w:t xml:space="preserve"> (נדרים פד:) דיש חיוב מיתה אף משום מעשר עני [וכתי' הב']. וב</w:t>
      </w:r>
      <w:r w:rsidRPr="00A47A11">
        <w:rPr>
          <w:rFonts w:ascii="Narkisim" w:hAnsi="Narkisim" w:cs="Narkisim"/>
          <w:b/>
          <w:bCs/>
          <w:rtl/>
        </w:rPr>
        <w:t>הג' מהר"י לנדא</w:t>
      </w:r>
      <w:r w:rsidRPr="00A47A11">
        <w:rPr>
          <w:rFonts w:ascii="Narkisim" w:hAnsi="Narkisim" w:cs="Narkisim"/>
          <w:rtl/>
        </w:rPr>
        <w:t xml:space="preserve"> ציין דכ"מ ב</w:t>
      </w:r>
      <w:r w:rsidRPr="00A47A11">
        <w:rPr>
          <w:rFonts w:ascii="Narkisim" w:hAnsi="Narkisim" w:cs="Narkisim"/>
          <w:b/>
          <w:bCs/>
          <w:rtl/>
        </w:rPr>
        <w:t>מדרש רבה</w:t>
      </w:r>
      <w:r w:rsidRPr="00A47A11">
        <w:rPr>
          <w:rFonts w:ascii="Narkisim" w:hAnsi="Narkisim" w:cs="Narkisim"/>
          <w:rtl/>
        </w:rPr>
        <w:t xml:space="preserve"> (איכה א כח</w:t>
      </w:r>
      <w:r w:rsidRPr="00A47A11">
        <w:rPr>
          <w:rStyle w:val="ac"/>
          <w:rFonts w:ascii="Narkisim" w:hAnsi="Narkisim" w:cs="Narkisim"/>
          <w:rtl/>
        </w:rPr>
        <w:footnoteReference w:id="5219"/>
      </w:r>
      <w:r w:rsidRPr="00A47A11">
        <w:rPr>
          <w:rFonts w:ascii="Narkisim" w:hAnsi="Narkisim" w:cs="Narkisim"/>
          <w:rtl/>
        </w:rPr>
        <w:t xml:space="preserve">). וע"ע </w:t>
      </w:r>
      <w:r w:rsidRPr="00A47A11">
        <w:rPr>
          <w:rFonts w:ascii="Narkisim" w:hAnsi="Narkisim" w:cs="Narkisim"/>
          <w:b/>
          <w:bCs/>
          <w:rtl/>
        </w:rPr>
        <w:t>ירושלמי</w:t>
      </w:r>
      <w:r w:rsidRPr="00A47A11">
        <w:rPr>
          <w:rFonts w:ascii="Narkisim" w:hAnsi="Narkisim" w:cs="Narkisim"/>
          <w:rtl/>
        </w:rPr>
        <w:t xml:space="preserve"> (דמאי ד ג הו' בר"ש ותוי"ט שם, וקידושין ב).</w:t>
      </w:r>
    </w:p>
    <w:p w14:paraId="0C011188" w14:textId="77777777" w:rsidR="006C4368" w:rsidRPr="00A47A11" w:rsidRDefault="006C4368" w:rsidP="006C4368">
      <w:pPr>
        <w:bidi/>
        <w:rPr>
          <w:rFonts w:ascii="Narkisim" w:hAnsi="Narkisim" w:cs="Narkisim"/>
        </w:rPr>
      </w:pPr>
      <w:r w:rsidRPr="00A47A11">
        <w:rPr>
          <w:rFonts w:ascii="Narkisim" w:hAnsi="Narkisim" w:cs="Narkisim"/>
          <w:rtl/>
        </w:rPr>
        <w:t>אבל דעת ה</w:t>
      </w:r>
      <w:r w:rsidRPr="00A47A11">
        <w:rPr>
          <w:rFonts w:ascii="Narkisim" w:hAnsi="Narkisim" w:cs="Narkisim"/>
          <w:b/>
          <w:bCs/>
          <w:rtl/>
        </w:rPr>
        <w:t>רמב"ם</w:t>
      </w:r>
      <w:r w:rsidRPr="00A47A11">
        <w:rPr>
          <w:rFonts w:ascii="Narkisim" w:hAnsi="Narkisim" w:cs="Narkisim"/>
          <w:rtl/>
        </w:rPr>
        <w:t xml:space="preserve"> (מאכ"א י כ, והחינוך רפד) דטבל שניטלה ממנו תרומה גדולה ותרומת </w:t>
      </w:r>
      <w:r w:rsidRPr="00A47A11">
        <w:rPr>
          <w:rFonts w:ascii="Narkisim" w:hAnsi="Narkisim" w:cs="Narkisim"/>
          <w:rtl/>
        </w:rPr>
        <w:lastRenderedPageBreak/>
        <w:t>מעשר</w:t>
      </w:r>
      <w:r w:rsidRPr="00A47A11">
        <w:rPr>
          <w:rStyle w:val="ac"/>
          <w:rFonts w:ascii="Narkisim" w:hAnsi="Narkisim" w:cs="Narkisim"/>
          <w:rtl/>
        </w:rPr>
        <w:footnoteReference w:id="5220"/>
      </w:r>
      <w:r w:rsidRPr="00A47A11">
        <w:rPr>
          <w:rFonts w:ascii="Narkisim" w:hAnsi="Narkisim" w:cs="Narkisim"/>
          <w:rtl/>
        </w:rPr>
        <w:t xml:space="preserve"> ועדיין לא הפריש ממנו מעשרות</w:t>
      </w:r>
      <w:r w:rsidRPr="00A47A11">
        <w:rPr>
          <w:rStyle w:val="ac"/>
          <w:rFonts w:ascii="Narkisim" w:hAnsi="Narkisim" w:cs="Narkisim"/>
          <w:rtl/>
        </w:rPr>
        <w:footnoteReference w:id="5221"/>
      </w:r>
      <w:r w:rsidRPr="00A47A11">
        <w:rPr>
          <w:rFonts w:ascii="Narkisim" w:hAnsi="Narkisim" w:cs="Narkisim"/>
          <w:rtl/>
        </w:rPr>
        <w:t xml:space="preserve"> לוקה. וה</w:t>
      </w:r>
      <w:r w:rsidRPr="00A47A11">
        <w:rPr>
          <w:rFonts w:ascii="Narkisim" w:hAnsi="Narkisim" w:cs="Narkisim"/>
          <w:b/>
          <w:bCs/>
          <w:rtl/>
        </w:rPr>
        <w:t>ראב"ד</w:t>
      </w:r>
      <w:r w:rsidRPr="00A47A11">
        <w:rPr>
          <w:rFonts w:ascii="Narkisim" w:hAnsi="Narkisim" w:cs="Narkisim"/>
          <w:rtl/>
        </w:rPr>
        <w:t xml:space="preserve"> כת' סברא היא זו</w:t>
      </w:r>
      <w:r w:rsidRPr="00A47A11">
        <w:rPr>
          <w:rStyle w:val="ac"/>
          <w:rFonts w:ascii="Narkisim" w:hAnsi="Narkisim" w:cs="Narkisim"/>
          <w:rtl/>
        </w:rPr>
        <w:footnoteReference w:id="5222"/>
      </w:r>
      <w:r w:rsidRPr="00A47A11">
        <w:rPr>
          <w:rFonts w:ascii="Narkisim" w:hAnsi="Narkisim" w:cs="Narkisim"/>
          <w:rtl/>
        </w:rPr>
        <w:t>, והיא יפה בעיני משום דכתיב בקרא 'קודש'.</w:t>
      </w:r>
    </w:p>
    <w:p w14:paraId="200A3AB1"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כס"מ</w:t>
      </w:r>
      <w:r w:rsidRPr="00A47A11">
        <w:rPr>
          <w:rFonts w:ascii="Narkisim" w:hAnsi="Narkisim"/>
          <w:rtl/>
        </w:rPr>
        <w:t xml:space="preserve"> הק' דמעש"ש איקרי קודש [ותוס' חידשו רק מעשר עני]. וע' לח”מ.</w:t>
      </w:r>
    </w:p>
    <w:p w14:paraId="437A5930"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ריטב"א</w:t>
      </w:r>
      <w:r w:rsidRPr="00A47A11">
        <w:rPr>
          <w:rFonts w:ascii="Narkisim" w:hAnsi="Narkisim"/>
          <w:rtl/>
        </w:rPr>
        <w:t xml:space="preserve"> כת' [ע"ד הרמב"ם] דאין זה כסוגיין, לא כרבנן ולא כר"מ.</w:t>
      </w:r>
    </w:p>
    <w:p w14:paraId="47BC6BD1" w14:textId="77777777" w:rsidR="006C4368" w:rsidRPr="00A47A11" w:rsidRDefault="006C4368" w:rsidP="006C4368">
      <w:pPr>
        <w:bidi/>
        <w:rPr>
          <w:rFonts w:ascii="Narkisim" w:hAnsi="Narkisim" w:cs="Narkisim"/>
        </w:rPr>
      </w:pPr>
      <w:r w:rsidRPr="00A47A11">
        <w:rPr>
          <w:rFonts w:ascii="Narkisim" w:hAnsi="Narkisim" w:cs="Narkisim"/>
          <w:u w:val="single"/>
          <w:rtl/>
        </w:rPr>
        <w:t>אימא סיפא בת לוי מאורסת לכהן וכו' הכא מאי זרות איכא וכו</w:t>
      </w:r>
      <w:r w:rsidRPr="00A47A11">
        <w:rPr>
          <w:rFonts w:ascii="Narkisim" w:hAnsi="Narkisim" w:cs="Narkisim"/>
          <w:rtl/>
        </w:rPr>
        <w:t>'. משמע דקו' הגמ' דבשלמא בת לוי מאורסת לישראל וכדו', י"ל דהאירוסין פסלי מאכילת מעשר לר' מאיר [דהוה זר לענין מעשר, דומיא דתרומה]. אלא מאורסת לכהן האיך יפסלנה, דאין כאן זרות.</w:t>
      </w:r>
    </w:p>
    <w:p w14:paraId="2281018D" w14:textId="77777777" w:rsidR="006C4368" w:rsidRPr="00A47A11" w:rsidRDefault="006C4368" w:rsidP="006C4368">
      <w:pPr>
        <w:pStyle w:val="a7"/>
        <w:bidi/>
        <w:rPr>
          <w:rFonts w:ascii="Narkisim" w:hAnsi="Narkisim"/>
        </w:rPr>
      </w:pPr>
      <w:r w:rsidRPr="00A47A11">
        <w:rPr>
          <w:rFonts w:ascii="Narkisim" w:hAnsi="Narkisim"/>
          <w:rtl/>
        </w:rPr>
        <w:t>ומבואר דפשיט"ל לגמ' דאף למ"ד (ע' בסמוך) דנתינת מעשר ראשון הוה דוקא ללוי, מ"מ לענין אכילה [לר' מאיר] ודאי דהכהן רשאי לאכול.</w:t>
      </w:r>
    </w:p>
    <w:p w14:paraId="4A2542C8" w14:textId="77777777" w:rsidR="006C4368" w:rsidRPr="00A47A11" w:rsidRDefault="006C4368" w:rsidP="006C4368">
      <w:pPr>
        <w:pStyle w:val="2"/>
        <w:bidi/>
        <w:rPr>
          <w:rFonts w:ascii="Narkisim" w:hAnsi="Narkisim"/>
        </w:rPr>
      </w:pPr>
      <w:r w:rsidRPr="00A47A11">
        <w:rPr>
          <w:rFonts w:ascii="Narkisim" w:hAnsi="Narkisim"/>
          <w:rtl/>
        </w:rPr>
        <w:t>נותנת רשות לתרום</w:t>
      </w:r>
    </w:p>
    <w:p w14:paraId="127FD437" w14:textId="77777777" w:rsidR="006C4368" w:rsidRPr="00A47A11" w:rsidRDefault="006C4368" w:rsidP="006C4368">
      <w:pPr>
        <w:bidi/>
        <w:rPr>
          <w:rFonts w:ascii="Narkisim" w:hAnsi="Narkisim" w:cs="Narkisim"/>
        </w:rPr>
      </w:pPr>
      <w:r w:rsidRPr="00A47A11">
        <w:rPr>
          <w:rFonts w:ascii="Narkisim" w:hAnsi="Narkisim" w:cs="Narkisim"/>
          <w:u w:val="single"/>
          <w:rtl/>
        </w:rPr>
        <w:t>אמר רב ששת וכו' נותנת רשות לתרום וכו' לימד על נשואה וכו' שנותנת רשות לתרום וכו'</w:t>
      </w:r>
      <w:r w:rsidRPr="00A47A11">
        <w:rPr>
          <w:rFonts w:ascii="Narkisim" w:hAnsi="Narkisim" w:cs="Narkisim"/>
          <w:rtl/>
        </w:rPr>
        <w:t>. לכאורה היה נראה דנתחדש בזה זכות מחודשת לעשות שליח על פירות בעלה. אבל ה</w:t>
      </w:r>
      <w:r w:rsidRPr="00A47A11">
        <w:rPr>
          <w:rFonts w:ascii="Narkisim" w:hAnsi="Narkisim" w:cs="Narkisim"/>
          <w:b/>
          <w:bCs/>
          <w:rtl/>
        </w:rPr>
        <w:t>חזו"א</w:t>
      </w:r>
      <w:r w:rsidRPr="00A47A11">
        <w:rPr>
          <w:rFonts w:ascii="Narkisim" w:hAnsi="Narkisim" w:cs="Narkisim"/>
          <w:rtl/>
        </w:rPr>
        <w:t xml:space="preserve"> (מעשרות ז טו) כת' דהוה אומדנא דמסתמא נותנת רשות, ומהני משום אומדנא</w:t>
      </w:r>
      <w:r w:rsidRPr="00A47A11">
        <w:rPr>
          <w:rStyle w:val="ac"/>
          <w:rFonts w:ascii="Narkisim" w:hAnsi="Narkisim" w:cs="Narkisim"/>
          <w:rtl/>
        </w:rPr>
        <w:footnoteReference w:id="5223"/>
      </w:r>
      <w:r w:rsidRPr="00A47A11">
        <w:rPr>
          <w:rFonts w:ascii="Narkisim" w:hAnsi="Narkisim" w:cs="Narkisim"/>
          <w:rtl/>
        </w:rPr>
        <w:t>. [אבל היכא דהבעל מוחה ודאי ל"מ]. והחזו”א ביאר דקרא אשמועינן הכרעת הדין בסתמא דהוה כאומדנא דמוכח.</w:t>
      </w:r>
    </w:p>
    <w:p w14:paraId="4CFD087D"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מאירי</w:t>
      </w:r>
      <w:r w:rsidRPr="00A47A11">
        <w:rPr>
          <w:rFonts w:ascii="Narkisim" w:hAnsi="Narkisim"/>
          <w:rtl/>
        </w:rPr>
        <w:t xml:space="preserve"> כת' שהאשה נותנת רשות לתרום, אף מהרע על היפה. ולכאו' מבואר מדבריו דלא הוה גדר שליחות ואומדנא</w:t>
      </w:r>
      <w:r w:rsidRPr="00A47A11">
        <w:rPr>
          <w:rStyle w:val="ac"/>
          <w:rFonts w:ascii="Narkisim" w:hAnsi="Narkisim"/>
          <w:rtl/>
        </w:rPr>
        <w:footnoteReference w:id="5224"/>
      </w:r>
      <w:r w:rsidRPr="00A47A11">
        <w:rPr>
          <w:rFonts w:ascii="Narkisim" w:hAnsi="Narkisim"/>
          <w:rtl/>
        </w:rPr>
        <w:t>, אלא ניתן לה זכות.</w:t>
      </w:r>
    </w:p>
    <w:p w14:paraId="223B7A54" w14:textId="77777777" w:rsidR="006C4368" w:rsidRPr="00A47A11" w:rsidRDefault="006C4368" w:rsidP="006C4368">
      <w:pPr>
        <w:bidi/>
        <w:rPr>
          <w:rFonts w:ascii="Narkisim" w:hAnsi="Narkisim" w:cs="Narkisim"/>
        </w:rPr>
      </w:pPr>
      <w:r w:rsidRPr="00A47A11">
        <w:rPr>
          <w:rFonts w:ascii="Narkisim" w:hAnsi="Narkisim" w:cs="Narkisim"/>
          <w:rtl/>
        </w:rPr>
        <w:t xml:space="preserve"> </w:t>
      </w:r>
      <w:r w:rsidRPr="00A47A11">
        <w:rPr>
          <w:rFonts w:ascii="Narkisim" w:hAnsi="Narkisim" w:cs="Narkisim"/>
          <w:u w:val="single"/>
          <w:rtl/>
        </w:rPr>
        <w:t>שם</w:t>
      </w:r>
      <w:r w:rsidRPr="00A47A11">
        <w:rPr>
          <w:rFonts w:ascii="Narkisim" w:hAnsi="Narkisim" w:cs="Narkisim"/>
          <w:rtl/>
        </w:rPr>
        <w:t>. וה</w:t>
      </w:r>
      <w:r w:rsidRPr="00A47A11">
        <w:rPr>
          <w:rFonts w:ascii="Narkisim" w:hAnsi="Narkisim" w:cs="Narkisim"/>
          <w:b/>
          <w:bCs/>
          <w:rtl/>
        </w:rPr>
        <w:t>חזו"א</w:t>
      </w:r>
      <w:r w:rsidRPr="00A47A11">
        <w:rPr>
          <w:rFonts w:ascii="Narkisim" w:hAnsi="Narkisim" w:cs="Narkisim"/>
          <w:rtl/>
        </w:rPr>
        <w:t xml:space="preserve"> (שם) כת' דלכאו' נתחדש דהאשה רשאית לעשר על כל פירות של בעלה</w:t>
      </w:r>
      <w:r w:rsidRPr="00A47A11">
        <w:rPr>
          <w:rStyle w:val="ac"/>
          <w:rFonts w:ascii="Narkisim" w:hAnsi="Narkisim" w:cs="Narkisim"/>
          <w:rtl/>
        </w:rPr>
        <w:footnoteReference w:id="5225"/>
      </w:r>
      <w:r w:rsidRPr="00A47A11">
        <w:rPr>
          <w:rFonts w:ascii="Narkisim" w:hAnsi="Narkisim" w:cs="Narkisim"/>
          <w:rtl/>
        </w:rPr>
        <w:t>. אך הביא דמפורש ב</w:t>
      </w:r>
      <w:r w:rsidRPr="00A47A11">
        <w:rPr>
          <w:rFonts w:ascii="Narkisim" w:hAnsi="Narkisim" w:cs="Narkisim"/>
          <w:b/>
          <w:bCs/>
          <w:rtl/>
        </w:rPr>
        <w:t>תוספתא</w:t>
      </w:r>
      <w:r w:rsidRPr="00A47A11">
        <w:rPr>
          <w:rFonts w:ascii="Narkisim" w:hAnsi="Narkisim" w:cs="Narkisim"/>
          <w:rtl/>
        </w:rPr>
        <w:t xml:space="preserve"> (תרומות א, והרמב"ם ד יב) דיכולה לעשר רק מה שאוכלת</w:t>
      </w:r>
      <w:r w:rsidRPr="00A47A11">
        <w:rPr>
          <w:rStyle w:val="ac"/>
          <w:rFonts w:ascii="Narkisim" w:hAnsi="Narkisim" w:cs="Narkisim"/>
          <w:rtl/>
        </w:rPr>
        <w:footnoteReference w:id="5226"/>
      </w:r>
      <w:r w:rsidRPr="00A47A11">
        <w:rPr>
          <w:rFonts w:ascii="Narkisim" w:hAnsi="Narkisim" w:cs="Narkisim"/>
          <w:rtl/>
        </w:rPr>
        <w:t>. וכת' דצ"ע ליישב סוגיין דלמה לי קרא שתוכל לעשר כה”ג. ועוד ארוסה למה לא תפריש במה שנתן לה לאכול.</w:t>
      </w:r>
    </w:p>
    <w:p w14:paraId="5ED0B6F7" w14:textId="77777777" w:rsidR="006C4368" w:rsidRPr="00A47A11" w:rsidRDefault="006C4368" w:rsidP="006C4368">
      <w:pPr>
        <w:bidi/>
        <w:rPr>
          <w:rFonts w:ascii="Narkisim" w:hAnsi="Narkisim" w:cs="Narkisim"/>
        </w:rPr>
      </w:pPr>
      <w:r w:rsidRPr="00A47A11">
        <w:rPr>
          <w:rFonts w:ascii="Narkisim" w:hAnsi="Narkisim" w:cs="Narkisim"/>
          <w:rtl/>
        </w:rPr>
        <w:t>וה</w:t>
      </w:r>
      <w:r w:rsidRPr="00A47A11">
        <w:rPr>
          <w:rFonts w:ascii="Narkisim" w:hAnsi="Narkisim" w:cs="Narkisim"/>
          <w:b/>
          <w:bCs/>
          <w:rtl/>
        </w:rPr>
        <w:t>אחרונים</w:t>
      </w:r>
      <w:r w:rsidRPr="00A47A11">
        <w:rPr>
          <w:rFonts w:ascii="Narkisim" w:hAnsi="Narkisim" w:cs="Narkisim"/>
          <w:rtl/>
        </w:rPr>
        <w:t xml:space="preserve"> (אחיעזר יו"ד לז בסופו, חזו"א) הק' דאי' ב</w:t>
      </w:r>
      <w:r w:rsidRPr="00A47A11">
        <w:rPr>
          <w:rFonts w:ascii="Narkisim" w:hAnsi="Narkisim" w:cs="Narkisim"/>
          <w:b/>
          <w:bCs/>
          <w:rtl/>
        </w:rPr>
        <w:t>ירושלמי</w:t>
      </w:r>
      <w:r w:rsidRPr="00A47A11">
        <w:rPr>
          <w:rFonts w:ascii="Narkisim" w:hAnsi="Narkisim" w:cs="Narkisim"/>
          <w:rtl/>
        </w:rPr>
        <w:t xml:space="preserve"> (דמאי ז א) דאורח רשאי לתרום ממה שנתנו לו רשות לאכול, א”כ אף האשה תוכל להפריש ממה שאוכלת</w:t>
      </w:r>
      <w:r w:rsidRPr="00A47A11">
        <w:rPr>
          <w:rStyle w:val="ac"/>
          <w:rFonts w:ascii="Narkisim" w:hAnsi="Narkisim" w:cs="Narkisim"/>
          <w:rtl/>
        </w:rPr>
        <w:footnoteReference w:id="5227"/>
      </w:r>
      <w:r w:rsidRPr="00A47A11">
        <w:rPr>
          <w:rFonts w:ascii="Narkisim" w:hAnsi="Narkisim" w:cs="Narkisim"/>
          <w:rtl/>
        </w:rPr>
        <w:t>.</w:t>
      </w:r>
    </w:p>
    <w:p w14:paraId="08080264"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אחיעזר</w:t>
      </w:r>
      <w:r w:rsidRPr="00A47A11">
        <w:rPr>
          <w:rFonts w:ascii="Narkisim" w:hAnsi="Narkisim"/>
          <w:rtl/>
        </w:rPr>
        <w:t xml:space="preserve"> תי' דהוה חסרון בשליחות, דבעינן שליח של בעל הממון [וכדאי' בירושלמי גיטין ו ותוס' ב"מ עא:]. ואף שהאשה רשאית להפריש לעצמה כיון שיש לה זכות אכילה [כדין אורח], אינה יכולה לעשות שליח. דכיון שאינה הבעלים אין לה לעשות שליח ואף שבידה להפריש ולתקן.</w:t>
      </w:r>
    </w:p>
    <w:p w14:paraId="365075F1" w14:textId="77777777" w:rsidR="006C4368" w:rsidRPr="00A47A11" w:rsidRDefault="006C4368" w:rsidP="006C4368">
      <w:pPr>
        <w:bidi/>
        <w:rPr>
          <w:rFonts w:ascii="Narkisim" w:hAnsi="Narkisim" w:cs="Narkisim"/>
        </w:rPr>
      </w:pPr>
      <w:r w:rsidRPr="00A47A11">
        <w:rPr>
          <w:rFonts w:ascii="Narkisim" w:hAnsi="Narkisim" w:cs="Narkisim"/>
          <w:u w:val="single"/>
          <w:rtl/>
        </w:rPr>
        <w:t>שם. מאי אינה אוכלת דקתני אינה נותנת רשות וכו'</w:t>
      </w:r>
      <w:r w:rsidRPr="00A47A11">
        <w:rPr>
          <w:rFonts w:ascii="Narkisim" w:hAnsi="Narkisim" w:cs="Narkisim"/>
          <w:rtl/>
        </w:rPr>
        <w:t>. דבארוסה לא נתחדש שתהא רשאית לעשות שליח להפריש פירות של הארוס. וה</w:t>
      </w:r>
      <w:r w:rsidRPr="00A47A11">
        <w:rPr>
          <w:rFonts w:ascii="Narkisim" w:hAnsi="Narkisim" w:cs="Narkisim"/>
          <w:b/>
          <w:bCs/>
          <w:rtl/>
        </w:rPr>
        <w:t>ריטב”א</w:t>
      </w:r>
      <w:r w:rsidRPr="00A47A11">
        <w:rPr>
          <w:rFonts w:ascii="Narkisim" w:hAnsi="Narkisim" w:cs="Narkisim"/>
          <w:rtl/>
        </w:rPr>
        <w:t xml:space="preserve"> כת' דה”ק דאין לה רשות לאכול כל זמן שתרצה, דאם עדיין לא הופרשה ממנו תרו"מ אסור, ואין בידה לתקן</w:t>
      </w:r>
      <w:r w:rsidRPr="00A47A11">
        <w:rPr>
          <w:rStyle w:val="ac"/>
          <w:rFonts w:ascii="Narkisim" w:hAnsi="Narkisim" w:cs="Narkisim"/>
          <w:rtl/>
        </w:rPr>
        <w:footnoteReference w:id="5228"/>
      </w:r>
      <w:r w:rsidRPr="00A47A11">
        <w:rPr>
          <w:rFonts w:ascii="Narkisim" w:hAnsi="Narkisim" w:cs="Narkisim"/>
          <w:rtl/>
        </w:rPr>
        <w:t xml:space="preserve">. </w:t>
      </w:r>
      <w:r w:rsidRPr="00A47A11">
        <w:rPr>
          <w:rFonts w:ascii="Narkisim" w:hAnsi="Narkisim" w:cs="Narkisim"/>
          <w:szCs w:val="20"/>
          <w:rtl/>
        </w:rPr>
        <w:t>וה</w:t>
      </w:r>
      <w:r w:rsidRPr="00A47A11">
        <w:rPr>
          <w:rFonts w:ascii="Narkisim" w:hAnsi="Narkisim" w:cs="Narkisim"/>
          <w:b/>
          <w:bCs/>
          <w:szCs w:val="20"/>
          <w:rtl/>
        </w:rPr>
        <w:t>אחרונים</w:t>
      </w:r>
      <w:r w:rsidRPr="00A47A11">
        <w:rPr>
          <w:rFonts w:ascii="Narkisim" w:hAnsi="Narkisim" w:cs="Narkisim"/>
          <w:szCs w:val="20"/>
          <w:rtl/>
        </w:rPr>
        <w:t xml:space="preserve"> דייקו דאף היא עצמה אינה רשאית להפריש, ולא רק ע”י שליח</w:t>
      </w:r>
      <w:r w:rsidRPr="00A47A11">
        <w:rPr>
          <w:rStyle w:val="ac"/>
          <w:rFonts w:ascii="Narkisim" w:hAnsi="Narkisim" w:cs="Narkisim"/>
          <w:szCs w:val="20"/>
          <w:rtl/>
        </w:rPr>
        <w:footnoteReference w:id="5229"/>
      </w:r>
      <w:r w:rsidRPr="00A47A11">
        <w:rPr>
          <w:rFonts w:ascii="Narkisim" w:hAnsi="Narkisim" w:cs="Narkisim"/>
          <w:rtl/>
        </w:rPr>
        <w:t>.</w:t>
      </w:r>
    </w:p>
    <w:p w14:paraId="47C9808F" w14:textId="77777777" w:rsidR="006C4368" w:rsidRPr="00A47A11" w:rsidRDefault="006C4368" w:rsidP="006C4368">
      <w:pPr>
        <w:bidi/>
        <w:rPr>
          <w:rFonts w:ascii="Narkisim" w:hAnsi="Narkisim" w:cs="Narkisim"/>
        </w:rPr>
      </w:pPr>
      <w:r w:rsidRPr="00A47A11">
        <w:rPr>
          <w:rFonts w:ascii="Narkisim" w:hAnsi="Narkisim" w:cs="Narkisim"/>
          <w:u w:val="single"/>
          <w:rtl/>
        </w:rPr>
        <w:t>מר בריה דרבינא אמר לומר שאין חולקין לה מעשר בבית הגרנות, הניחא למ"ד וכו'</w:t>
      </w:r>
      <w:r w:rsidRPr="00A47A11">
        <w:rPr>
          <w:rFonts w:ascii="Narkisim" w:hAnsi="Narkisim" w:cs="Narkisim"/>
          <w:rtl/>
        </w:rPr>
        <w:t xml:space="preserve">. דאין חולקין לאשה בגורן תרומות ומעשרות. [ואפי' אשת כהן נשואה, וכדבסמוך]. אבל משגרין </w:t>
      </w:r>
      <w:r w:rsidRPr="00A47A11">
        <w:rPr>
          <w:rFonts w:ascii="Narkisim" w:hAnsi="Narkisim" w:cs="Narkisim"/>
          <w:rtl/>
        </w:rPr>
        <w:lastRenderedPageBreak/>
        <w:t>לבתיהן.</w:t>
      </w:r>
    </w:p>
    <w:p w14:paraId="1855B7E8"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הק' דנימא דהאירוסין פוסלים מחלוקת מעשר ראשון, דתנא דמתני' סבר דמעשר ראשון ללוי ולא לכהן [ע”ע בסמוך], וע"י האירוסין נפסלת מדין בת לוי ואינה חולקת מעשר. [וכשם שפוסלין בת כהן לישראל בתרומה]. וכן בת כהן ללוי האירוסין אינו מאכיל, כלומר שאין נותנין לה מעשר</w:t>
      </w:r>
      <w:r w:rsidRPr="00A47A11">
        <w:rPr>
          <w:rStyle w:val="ac"/>
          <w:rFonts w:ascii="Narkisim" w:hAnsi="Narkisim"/>
          <w:rtl/>
        </w:rPr>
        <w:footnoteReference w:id="5230"/>
      </w:r>
      <w:r w:rsidRPr="00A47A11">
        <w:rPr>
          <w:rFonts w:ascii="Narkisim" w:hAnsi="Narkisim"/>
          <w:rtl/>
        </w:rPr>
        <w:t>.</w:t>
      </w:r>
    </w:p>
    <w:p w14:paraId="2B7CFD79"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ירושלמי</w:t>
      </w:r>
      <w:r w:rsidRPr="00A47A11">
        <w:rPr>
          <w:rFonts w:ascii="Narkisim" w:hAnsi="Narkisim"/>
          <w:rtl/>
        </w:rPr>
        <w:t xml:space="preserve"> (כאן וכ"מ ע' יפ"ע)</w:t>
      </w:r>
      <w:r w:rsidRPr="00A47A11">
        <w:rPr>
          <w:rStyle w:val="ac"/>
          <w:rFonts w:ascii="Narkisim" w:hAnsi="Narkisim"/>
          <w:rtl/>
        </w:rPr>
        <w:footnoteReference w:id="5231"/>
      </w:r>
      <w:r w:rsidRPr="00A47A11">
        <w:rPr>
          <w:rFonts w:ascii="Narkisim" w:hAnsi="Narkisim"/>
          <w:rtl/>
        </w:rPr>
        <w:t xml:space="preserve"> תי' כמ"ד דאין נותנין מעשר לכהונה. ויש שביארו כוונת הירושלמי דנתארסה לכהן אין נותנין לה מעשר</w:t>
      </w:r>
      <w:r w:rsidRPr="00A47A11">
        <w:rPr>
          <w:rStyle w:val="ac"/>
          <w:rFonts w:ascii="Narkisim" w:hAnsi="Narkisim"/>
          <w:rtl/>
        </w:rPr>
        <w:footnoteReference w:id="5232"/>
      </w:r>
      <w:r w:rsidRPr="00A47A11">
        <w:rPr>
          <w:rFonts w:ascii="Narkisim" w:hAnsi="Narkisim"/>
          <w:rtl/>
        </w:rPr>
        <w:t>.</w:t>
      </w:r>
    </w:p>
    <w:p w14:paraId="7514DBA7"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תי' דלענין חלוקה האירוסין [של בת לוי לכהן] אינו פוסל. ואפי' נישואין אין פוסלין אותה מחלוקה</w:t>
      </w:r>
      <w:r w:rsidRPr="00A47A11">
        <w:rPr>
          <w:rStyle w:val="ac"/>
          <w:rFonts w:ascii="Narkisim" w:hAnsi="Narkisim"/>
          <w:rtl/>
        </w:rPr>
        <w:footnoteReference w:id="5233"/>
      </w:r>
      <w:r w:rsidRPr="00A47A11">
        <w:rPr>
          <w:rFonts w:ascii="Narkisim" w:hAnsi="Narkisim"/>
          <w:rtl/>
        </w:rPr>
        <w:t>. דאירוסין פוסלין דוקא בדבר האסור לו באכילה, אבל אינו פוסל לחלק בדברים המותרין לו</w:t>
      </w:r>
      <w:r w:rsidRPr="00A47A11">
        <w:rPr>
          <w:rStyle w:val="ac"/>
          <w:rFonts w:ascii="Narkisim" w:hAnsi="Narkisim"/>
          <w:rtl/>
        </w:rPr>
        <w:footnoteReference w:id="5234"/>
      </w:r>
      <w:r w:rsidRPr="00A47A11">
        <w:rPr>
          <w:rFonts w:ascii="Narkisim" w:hAnsi="Narkisim"/>
          <w:rtl/>
        </w:rPr>
        <w:t>.</w:t>
      </w:r>
    </w:p>
    <w:p w14:paraId="3C3B878F"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הביא דמבואר (חולין קלב.) דאף בעל של כהנת נוטל מתנות</w:t>
      </w:r>
      <w:r w:rsidRPr="00A47A11">
        <w:rPr>
          <w:rStyle w:val="ac"/>
          <w:rFonts w:ascii="Narkisim" w:hAnsi="Narkisim"/>
          <w:rtl/>
        </w:rPr>
        <w:footnoteReference w:id="5235"/>
      </w:r>
      <w:r w:rsidRPr="00A47A11">
        <w:rPr>
          <w:rFonts w:ascii="Narkisim" w:hAnsi="Narkisim"/>
          <w:rtl/>
        </w:rPr>
        <w:t xml:space="preserve"> בשביל אשתו</w:t>
      </w:r>
      <w:r w:rsidRPr="00A47A11">
        <w:rPr>
          <w:rStyle w:val="ac"/>
          <w:rFonts w:ascii="Narkisim" w:hAnsi="Narkisim"/>
          <w:rtl/>
        </w:rPr>
        <w:footnoteReference w:id="5236"/>
      </w:r>
      <w:r w:rsidRPr="00A47A11">
        <w:rPr>
          <w:rFonts w:ascii="Narkisim" w:hAnsi="Narkisim"/>
          <w:rtl/>
        </w:rPr>
        <w:t>.</w:t>
      </w:r>
    </w:p>
    <w:p w14:paraId="52CC5662" w14:textId="77777777" w:rsidR="006C4368" w:rsidRPr="00A47A11" w:rsidRDefault="006C4368" w:rsidP="006C4368">
      <w:pPr>
        <w:pStyle w:val="a8"/>
        <w:bidi/>
        <w:rPr>
          <w:rFonts w:ascii="Narkisim" w:hAnsi="Narkisim"/>
        </w:rPr>
      </w:pPr>
      <w:r w:rsidRPr="00A47A11">
        <w:rPr>
          <w:rFonts w:ascii="Narkisim" w:hAnsi="Narkisim"/>
          <w:rtl/>
        </w:rPr>
        <w:t>ובפשוטו משמע מדברי ה</w:t>
      </w:r>
      <w:r w:rsidRPr="00A47A11">
        <w:rPr>
          <w:rFonts w:ascii="Narkisim" w:hAnsi="Narkisim"/>
          <w:b/>
          <w:bCs/>
          <w:rtl/>
        </w:rPr>
        <w:t>ראשונים</w:t>
      </w:r>
      <w:r w:rsidRPr="00A47A11">
        <w:rPr>
          <w:rFonts w:ascii="Narkisim" w:hAnsi="Narkisim"/>
          <w:rtl/>
        </w:rPr>
        <w:t xml:space="preserve"> דאף בארוסה אמרי' דהארוס מקבל בשביל ארוסתו. אבל ה</w:t>
      </w:r>
      <w:r w:rsidRPr="00A47A11">
        <w:rPr>
          <w:rFonts w:ascii="Narkisim" w:hAnsi="Narkisim"/>
          <w:b/>
          <w:bCs/>
          <w:rtl/>
        </w:rPr>
        <w:t>מנח"ח</w:t>
      </w:r>
      <w:r w:rsidRPr="00A47A11">
        <w:rPr>
          <w:rFonts w:ascii="Narkisim" w:hAnsi="Narkisim"/>
          <w:rtl/>
        </w:rPr>
        <w:t xml:space="preserve"> (תקו ז) נסתפק האם נותנים לארוס עבור ארוסתו.</w:t>
      </w:r>
    </w:p>
    <w:p w14:paraId="041ADADA" w14:textId="77777777" w:rsidR="006C4368" w:rsidRPr="00A47A11" w:rsidRDefault="006C4368" w:rsidP="006C4368">
      <w:pPr>
        <w:pStyle w:val="aa"/>
        <w:bidi/>
        <w:rPr>
          <w:rFonts w:ascii="Narkisim" w:hAnsi="Narkisim"/>
        </w:rPr>
      </w:pPr>
      <w:r w:rsidRPr="00A47A11">
        <w:rPr>
          <w:rFonts w:ascii="Narkisim" w:hAnsi="Narkisim"/>
          <w:u w:val="single"/>
          <w:rtl/>
        </w:rPr>
        <w:t>הניחא למ"ד משום ייחוד, אלא למ"ד משום גרושה</w:t>
      </w:r>
      <w:r w:rsidRPr="00A47A11">
        <w:rPr>
          <w:rFonts w:ascii="Narkisim" w:hAnsi="Narkisim"/>
          <w:rtl/>
        </w:rPr>
        <w:t>. דנח' בזה (לקמן ק.) רב פפא ורב הונא בדר”י, ונפק”מ בי דרי הקרוב לעיר [פ</w:t>
      </w:r>
      <w:r w:rsidRPr="00A47A11">
        <w:rPr>
          <w:rFonts w:ascii="Narkisim" w:hAnsi="Narkisim"/>
          <w:b/>
          <w:bCs/>
          <w:rtl/>
        </w:rPr>
        <w:t>רש"</w:t>
      </w:r>
      <w:r w:rsidRPr="00A47A11">
        <w:rPr>
          <w:rFonts w:ascii="Narkisim" w:hAnsi="Narkisim"/>
          <w:rtl/>
        </w:rPr>
        <w:t>י דקרוב לעיר ידעי האם היא גרושה</w:t>
      </w:r>
      <w:r w:rsidRPr="00A47A11">
        <w:rPr>
          <w:rStyle w:val="ac"/>
          <w:rFonts w:ascii="Narkisim" w:hAnsi="Narkisim"/>
          <w:rtl/>
        </w:rPr>
        <w:footnoteReference w:id="5237"/>
      </w:r>
      <w:r w:rsidRPr="00A47A11">
        <w:rPr>
          <w:rFonts w:ascii="Narkisim" w:hAnsi="Narkisim"/>
          <w:rtl/>
        </w:rPr>
        <w:t>], א”נ רחוק ושכיחי ביה אינשי [דלא שייך יחוד].</w:t>
      </w:r>
    </w:p>
    <w:p w14:paraId="154A8A3B"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רמב"ם</w:t>
      </w:r>
      <w:r w:rsidRPr="00A47A11">
        <w:rPr>
          <w:rFonts w:ascii="Narkisim" w:hAnsi="Narkisim"/>
          <w:rtl/>
        </w:rPr>
        <w:t xml:space="preserve"> (תרומות יב כב) כת' דאין חולקין לאשה שמא תתגרש ומפני היחוד. [פסק כב' המ”ד]. וה</w:t>
      </w:r>
      <w:r w:rsidRPr="00A47A11">
        <w:rPr>
          <w:rFonts w:ascii="Narkisim" w:hAnsi="Narkisim"/>
          <w:b/>
          <w:bCs/>
          <w:rtl/>
        </w:rPr>
        <w:t>משנ"ל</w:t>
      </w:r>
      <w:r w:rsidRPr="00A47A11">
        <w:rPr>
          <w:rFonts w:ascii="Narkisim" w:hAnsi="Narkisim"/>
          <w:rtl/>
        </w:rPr>
        <w:t xml:space="preserve"> כת' דפסק גם כרב פפא וגם כרב הונא בדר"י, וחוששין לתרוייהו. אבל </w:t>
      </w:r>
      <w:r w:rsidRPr="00A47A11">
        <w:rPr>
          <w:rFonts w:ascii="Narkisim" w:hAnsi="Narkisim"/>
          <w:b/>
          <w:bCs/>
          <w:rtl/>
        </w:rPr>
        <w:t xml:space="preserve">מהר"י קורקוס </w:t>
      </w:r>
      <w:r w:rsidRPr="00A47A11">
        <w:rPr>
          <w:rFonts w:ascii="Narkisim" w:hAnsi="Narkisim"/>
          <w:rtl/>
        </w:rPr>
        <w:t>נקט דכוונת הרמב"ם דהוה ספק כמאן הילכתא, ולחוש לשניהם. וכת' דאפשר דבתרומה דרבנן הולכין להקל שלא לאסור עד דאיכא תרוייהו.</w:t>
      </w:r>
    </w:p>
    <w:p w14:paraId="67A5B347" w14:textId="77777777" w:rsidR="006C4368" w:rsidRPr="00A47A11" w:rsidRDefault="006C4368" w:rsidP="006C4368">
      <w:pPr>
        <w:pStyle w:val="aa"/>
        <w:bidi/>
        <w:rPr>
          <w:rFonts w:ascii="Narkisim" w:hAnsi="Narkisim"/>
        </w:rPr>
      </w:pPr>
      <w:r w:rsidRPr="00A47A11">
        <w:rPr>
          <w:rFonts w:ascii="Narkisim" w:hAnsi="Narkisim"/>
          <w:u w:val="single"/>
          <w:rtl/>
        </w:rPr>
        <w:t>שם.</w:t>
      </w:r>
      <w:r w:rsidRPr="00A47A11">
        <w:rPr>
          <w:rFonts w:ascii="Narkisim" w:hAnsi="Narkisim"/>
          <w:rtl/>
        </w:rPr>
        <w:t xml:space="preserve"> ו</w:t>
      </w:r>
      <w:r w:rsidRPr="00A47A11">
        <w:rPr>
          <w:rFonts w:ascii="Narkisim" w:hAnsi="Narkisim"/>
          <w:b/>
          <w:bCs/>
          <w:rtl/>
        </w:rPr>
        <w:t>גירסת הגאונים</w:t>
      </w:r>
      <w:r w:rsidRPr="00A47A11">
        <w:rPr>
          <w:rFonts w:ascii="Narkisim" w:hAnsi="Narkisim"/>
          <w:rtl/>
        </w:rPr>
        <w:t xml:space="preserve"> (הו' ברמב”ן ורשב”א, ו</w:t>
      </w:r>
      <w:r w:rsidRPr="00A47A11">
        <w:rPr>
          <w:rFonts w:ascii="Narkisim" w:hAnsi="Narkisim"/>
          <w:b/>
          <w:bCs/>
          <w:rtl/>
        </w:rPr>
        <w:t>רש”י</w:t>
      </w:r>
      <w:r w:rsidRPr="00A47A11">
        <w:rPr>
          <w:rFonts w:ascii="Narkisim" w:hAnsi="Narkisim"/>
          <w:rtl/>
        </w:rPr>
        <w:t xml:space="preserve"> דחאו) [להיפך] מר בריה דרבינא אמר לומר שאין חולקין לה תרומה ומעשר בבית הגרנות. הניחא וכו' גרושה בת כהן מי לא אכלה בתרומה, ועוד גרושה בת לוי מי לא אכלה במעשר. אלא גזירה משום גרושה בת ישראל.</w:t>
      </w:r>
    </w:p>
    <w:p w14:paraId="5ADB8D53"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ראשונים</w:t>
      </w:r>
      <w:r w:rsidRPr="00A47A11">
        <w:rPr>
          <w:rFonts w:ascii="Narkisim" w:hAnsi="Narkisim"/>
          <w:rtl/>
        </w:rPr>
        <w:t xml:space="preserve"> פי' דכל המשנה לענין חלוקת מעשר, ואפי' נשואה משום גזירה דגירושין. וקו' הגמ' תינח רישא בת ישראל ללוי, בת לוי לישראל שהאירוסין פוסקין ואין מחלקין, אלא סיפא בת כהן ללוי ובת לוי לכהן, בת כהן ללוי למ"ד משום גרושה, גרושה בת כהן [וכן בת לוי] מי לא אכלה אפי' בתרומה, וכל שכן שאינה מתחללת מן המעשר משום שהיא גרושה, וקו' הגמ' דא"כ מחלקין לה.</w:t>
      </w:r>
    </w:p>
    <w:p w14:paraId="33C97D86" w14:textId="77777777" w:rsidR="006C4368" w:rsidRPr="00A47A11" w:rsidRDefault="006C4368" w:rsidP="006C4368">
      <w:pPr>
        <w:pStyle w:val="3"/>
        <w:bidi/>
        <w:rPr>
          <w:rFonts w:ascii="Narkisim" w:hAnsi="Narkisim"/>
        </w:rPr>
      </w:pPr>
      <w:r w:rsidRPr="00A47A11">
        <w:rPr>
          <w:rFonts w:ascii="Narkisim" w:hAnsi="Narkisim"/>
          <w:rtl/>
        </w:rPr>
        <w:t>דף פו:</w:t>
      </w:r>
    </w:p>
    <w:p w14:paraId="53E14563" w14:textId="77777777" w:rsidR="006C4368" w:rsidRPr="00A47A11" w:rsidRDefault="006C4368" w:rsidP="006C4368">
      <w:pPr>
        <w:bidi/>
        <w:rPr>
          <w:rFonts w:ascii="Narkisim" w:hAnsi="Narkisim" w:cs="Narkisim"/>
        </w:rPr>
      </w:pPr>
      <w:r w:rsidRPr="00A47A11">
        <w:rPr>
          <w:rFonts w:ascii="Narkisim" w:hAnsi="Narkisim" w:cs="Narkisim"/>
          <w:u w:val="single"/>
          <w:rtl/>
        </w:rPr>
        <w:t>מ"ט דר"ע דכתיב ואל הלוים וכו'</w:t>
      </w:r>
      <w:r w:rsidRPr="00A47A11">
        <w:rPr>
          <w:rFonts w:ascii="Narkisim" w:hAnsi="Narkisim" w:cs="Narkisim"/>
          <w:rtl/>
        </w:rPr>
        <w:t xml:space="preserve">. </w:t>
      </w:r>
      <w:r w:rsidRPr="00A47A11">
        <w:rPr>
          <w:rFonts w:ascii="Narkisim" w:hAnsi="Narkisim" w:cs="Narkisim"/>
          <w:b/>
          <w:bCs/>
          <w:rtl/>
        </w:rPr>
        <w:t>תוס'</w:t>
      </w:r>
      <w:r w:rsidRPr="00A47A11">
        <w:rPr>
          <w:rFonts w:ascii="Narkisim" w:hAnsi="Narkisim" w:cs="Narkisim"/>
          <w:rtl/>
        </w:rPr>
        <w:t xml:space="preserve"> (ב”ב פא: והראשונים בסוגיין) הביאו דר”ע וראב”ע נח' בדאורייתא, בעיקר דין נתינה דמעשר. אבל </w:t>
      </w:r>
      <w:r w:rsidRPr="00A47A11">
        <w:rPr>
          <w:rFonts w:ascii="Narkisim" w:hAnsi="Narkisim" w:cs="Narkisim"/>
          <w:b/>
          <w:bCs/>
          <w:rtl/>
        </w:rPr>
        <w:t>רשב”ם</w:t>
      </w:r>
      <w:r w:rsidRPr="00A47A11">
        <w:rPr>
          <w:rFonts w:ascii="Narkisim" w:hAnsi="Narkisim" w:cs="Narkisim"/>
          <w:rtl/>
        </w:rPr>
        <w:t xml:space="preserve"> (ב”ב שם</w:t>
      </w:r>
      <w:r w:rsidRPr="00A47A11">
        <w:rPr>
          <w:rStyle w:val="ac"/>
          <w:rFonts w:ascii="Narkisim" w:hAnsi="Narkisim" w:cs="Narkisim"/>
          <w:rtl/>
        </w:rPr>
        <w:footnoteReference w:id="5238"/>
      </w:r>
      <w:r w:rsidRPr="00A47A11">
        <w:rPr>
          <w:rFonts w:ascii="Narkisim" w:hAnsi="Narkisim" w:cs="Narkisim"/>
          <w:rtl/>
        </w:rPr>
        <w:t>) כת' דר"ע וראב"ע נח' בקנס של עזרא [ע"ע בסמוך]. ותוס' הק' מסוגיין.</w:t>
      </w:r>
    </w:p>
    <w:p w14:paraId="042FBA4A" w14:textId="77777777" w:rsidR="006C4368" w:rsidRPr="00A47A11" w:rsidRDefault="006C4368" w:rsidP="006C4368">
      <w:pPr>
        <w:bidi/>
        <w:rPr>
          <w:rFonts w:ascii="Narkisim" w:hAnsi="Narkisim" w:cs="Narkisim"/>
        </w:rPr>
      </w:pPr>
      <w:r w:rsidRPr="00A47A11">
        <w:rPr>
          <w:rFonts w:ascii="Narkisim" w:hAnsi="Narkisim" w:cs="Narkisim"/>
          <w:rtl/>
        </w:rPr>
        <w:t>אך ב</w:t>
      </w:r>
      <w:r w:rsidRPr="00A47A11">
        <w:rPr>
          <w:rFonts w:ascii="Narkisim" w:hAnsi="Narkisim" w:cs="Narkisim"/>
          <w:b/>
          <w:bCs/>
          <w:rtl/>
        </w:rPr>
        <w:t>גמ'</w:t>
      </w:r>
      <w:r w:rsidRPr="00A47A11">
        <w:rPr>
          <w:rFonts w:ascii="Narkisim" w:hAnsi="Narkisim" w:cs="Narkisim"/>
          <w:rtl/>
        </w:rPr>
        <w:t xml:space="preserve"> (כתובות כו.) לכאורה משמע דנח' למעשה, אף לאחר הקנס. והגמ' פי' דלר"א בן עזריה דמעשר ראשון לכהן וללוי, לאחר הקנס הוה לכהן לחוד ולא ללוי.</w:t>
      </w:r>
    </w:p>
    <w:p w14:paraId="360A5BC3" w14:textId="77777777" w:rsidR="006C4368" w:rsidRPr="00A47A11" w:rsidRDefault="006C4368" w:rsidP="006C4368">
      <w:pPr>
        <w:pStyle w:val="a7"/>
        <w:bidi/>
        <w:rPr>
          <w:rFonts w:ascii="Narkisim" w:hAnsi="Narkisim"/>
        </w:rPr>
      </w:pPr>
      <w:r w:rsidRPr="00A47A11">
        <w:rPr>
          <w:rFonts w:ascii="Narkisim" w:hAnsi="Narkisim"/>
          <w:rtl/>
        </w:rPr>
        <w:lastRenderedPageBreak/>
        <w:t>ו</w:t>
      </w:r>
      <w:r w:rsidRPr="00A47A11">
        <w:rPr>
          <w:rFonts w:ascii="Narkisim" w:hAnsi="Narkisim"/>
          <w:b/>
          <w:bCs/>
          <w:rtl/>
        </w:rPr>
        <w:t>תוס</w:t>
      </w:r>
      <w:r w:rsidRPr="00A47A11">
        <w:rPr>
          <w:rFonts w:ascii="Narkisim" w:hAnsi="Narkisim"/>
          <w:rtl/>
        </w:rPr>
        <w:t>' (כתובות שם וכאן ד”ה מר) כת' דלר"ע די שקנסום שיתנו גם לאחרים עם הלויים, ואף לאחר הקנס היו נותנים גם ללויים</w:t>
      </w:r>
      <w:r w:rsidRPr="00A47A11">
        <w:rPr>
          <w:rStyle w:val="ac"/>
          <w:rFonts w:ascii="Narkisim" w:hAnsi="Narkisim"/>
          <w:rtl/>
        </w:rPr>
        <w:footnoteReference w:id="5239"/>
      </w:r>
      <w:r w:rsidRPr="00A47A11">
        <w:rPr>
          <w:rFonts w:ascii="Narkisim" w:hAnsi="Narkisim"/>
          <w:rtl/>
        </w:rPr>
        <w:t>. אבל לר"א ב"ע דקודם קנס היה לכהן וללוי, קנסו שיתן דוקא לכהן</w:t>
      </w:r>
      <w:r w:rsidRPr="00A47A11">
        <w:rPr>
          <w:rStyle w:val="ac"/>
          <w:rFonts w:ascii="Narkisim" w:hAnsi="Narkisim"/>
          <w:rtl/>
        </w:rPr>
        <w:footnoteReference w:id="5240"/>
      </w:r>
      <w:r w:rsidRPr="00A47A11">
        <w:rPr>
          <w:rFonts w:ascii="Narkisim" w:hAnsi="Narkisim"/>
          <w:rtl/>
        </w:rPr>
        <w:t xml:space="preserve"> ולא ללוי</w:t>
      </w:r>
      <w:r w:rsidRPr="00A47A11">
        <w:rPr>
          <w:rStyle w:val="ac"/>
          <w:rFonts w:ascii="Narkisim" w:hAnsi="Narkisim"/>
          <w:rtl/>
        </w:rPr>
        <w:footnoteReference w:id="5241"/>
      </w:r>
      <w:r w:rsidRPr="00A47A11">
        <w:rPr>
          <w:rFonts w:ascii="Narkisim" w:hAnsi="Narkisim"/>
          <w:rtl/>
        </w:rPr>
        <w:t>.</w:t>
      </w:r>
    </w:p>
    <w:p w14:paraId="466F0821" w14:textId="77777777" w:rsidR="006C4368" w:rsidRPr="00A47A11" w:rsidRDefault="006C4368" w:rsidP="006C4368">
      <w:pPr>
        <w:pStyle w:val="aa"/>
        <w:bidi/>
        <w:rPr>
          <w:rFonts w:ascii="Narkisim" w:hAnsi="Narkisim"/>
        </w:rPr>
      </w:pPr>
      <w:r w:rsidRPr="00A47A11">
        <w:rPr>
          <w:rFonts w:ascii="Narkisim" w:hAnsi="Narkisim"/>
          <w:u w:val="single"/>
          <w:rtl/>
        </w:rPr>
        <w:t>אמר עקיבא בתרמילו ואנא חיי וכו'</w:t>
      </w:r>
      <w:r w:rsidRPr="00A47A11">
        <w:rPr>
          <w:rFonts w:ascii="Narkisim" w:hAnsi="Narkisim"/>
          <w:rtl/>
        </w:rPr>
        <w:t>. ה</w:t>
      </w:r>
      <w:r w:rsidRPr="00A47A11">
        <w:rPr>
          <w:rFonts w:ascii="Narkisim" w:hAnsi="Narkisim"/>
          <w:b/>
          <w:bCs/>
          <w:rtl/>
        </w:rPr>
        <w:t>מהרש"א</w:t>
      </w:r>
      <w:r w:rsidRPr="00A47A11">
        <w:rPr>
          <w:rFonts w:ascii="Narkisim" w:hAnsi="Narkisim"/>
          <w:rtl/>
        </w:rPr>
        <w:t xml:space="preserve"> (ח"א) ביאר דכוונת ר"ע דאף בתר קנס דעזרא, הא הוה לעניים וראב”ע היה עשיר</w:t>
      </w:r>
      <w:r w:rsidRPr="00A47A11">
        <w:rPr>
          <w:rStyle w:val="ac"/>
          <w:rFonts w:ascii="Narkisim" w:hAnsi="Narkisim"/>
          <w:rtl/>
        </w:rPr>
        <w:footnoteReference w:id="5242"/>
      </w:r>
      <w:r w:rsidRPr="00A47A11">
        <w:rPr>
          <w:rFonts w:ascii="Narkisim" w:hAnsi="Narkisim"/>
          <w:rtl/>
        </w:rPr>
        <w:t xml:space="preserve"> [ונקט תרמיל של רועה סימן לעניות], והשיב ואנא חיי, שקיבלתי מאבותי דהוה קנס לכהנים ממש. כיון דאף מדאורייתא הוה לכהנים וללוים.</w:t>
      </w:r>
    </w:p>
    <w:p w14:paraId="2C97ADFC" w14:textId="77777777" w:rsidR="006C4368" w:rsidRPr="00A47A11" w:rsidRDefault="006C4368" w:rsidP="006C4368">
      <w:pPr>
        <w:bidi/>
        <w:rPr>
          <w:rFonts w:ascii="Narkisim" w:hAnsi="Narkisim" w:cs="Narkisim"/>
        </w:rPr>
      </w:pPr>
      <w:r w:rsidRPr="00A47A11">
        <w:rPr>
          <w:rFonts w:ascii="Narkisim" w:hAnsi="Narkisim" w:cs="Narkisim"/>
          <w:u w:val="single"/>
          <w:rtl/>
        </w:rPr>
        <w:t>איתמר מפני מה קנסו לוים במעשר וכו'</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דקאי אהא דאי' בעלמא דקנסינהו עזרא. [ונקטו אגב מעשה דההיא גינתא].</w:t>
      </w:r>
    </w:p>
    <w:p w14:paraId="51FA67C6" w14:textId="77777777" w:rsidR="006C4368" w:rsidRPr="00A47A11" w:rsidRDefault="006C4368" w:rsidP="006C4368">
      <w:pPr>
        <w:bidi/>
        <w:rPr>
          <w:rFonts w:ascii="Narkisim" w:hAnsi="Narkisim" w:cs="Narkisim"/>
        </w:rPr>
      </w:pPr>
      <w:r w:rsidRPr="00A47A11">
        <w:rPr>
          <w:rFonts w:ascii="Narkisim" w:hAnsi="Narkisim" w:cs="Narkisim"/>
          <w:rtl/>
        </w:rPr>
        <w:t>וה</w:t>
      </w:r>
      <w:r w:rsidRPr="00A47A11">
        <w:rPr>
          <w:rFonts w:ascii="Narkisim" w:hAnsi="Narkisim" w:cs="Narkisim"/>
          <w:b/>
          <w:bCs/>
          <w:rtl/>
        </w:rPr>
        <w:t>רמב"ם</w:t>
      </w:r>
      <w:r w:rsidRPr="00A47A11">
        <w:rPr>
          <w:rFonts w:ascii="Narkisim" w:hAnsi="Narkisim" w:cs="Narkisim"/>
          <w:rtl/>
        </w:rPr>
        <w:t xml:space="preserve"> </w:t>
      </w:r>
      <w:r w:rsidRPr="00A47A11">
        <w:rPr>
          <w:rFonts w:ascii="Narkisim" w:hAnsi="Narkisim" w:cs="Narkisim"/>
          <w:szCs w:val="20"/>
          <w:rtl/>
        </w:rPr>
        <w:t>(מעשר א ד)</w:t>
      </w:r>
      <w:r w:rsidRPr="00A47A11">
        <w:rPr>
          <w:rFonts w:ascii="Narkisim" w:hAnsi="Narkisim" w:cs="Narkisim"/>
          <w:rtl/>
        </w:rPr>
        <w:t xml:space="preserve"> כת' דעזרא קנס את הלויים ב'זמנו'. [ולא לעולם]. וה</w:t>
      </w:r>
      <w:r w:rsidRPr="00A47A11">
        <w:rPr>
          <w:rFonts w:ascii="Narkisim" w:hAnsi="Narkisim" w:cs="Narkisim"/>
          <w:b/>
          <w:bCs/>
          <w:rtl/>
        </w:rPr>
        <w:t>כס"מ</w:t>
      </w:r>
      <w:r w:rsidRPr="00A47A11">
        <w:rPr>
          <w:rFonts w:ascii="Narkisim" w:hAnsi="Narkisim" w:cs="Narkisim"/>
          <w:rtl/>
        </w:rPr>
        <w:t xml:space="preserve"> ו</w:t>
      </w:r>
      <w:r w:rsidRPr="00A47A11">
        <w:rPr>
          <w:rFonts w:ascii="Narkisim" w:hAnsi="Narkisim" w:cs="Narkisim"/>
          <w:b/>
          <w:bCs/>
          <w:rtl/>
        </w:rPr>
        <w:t>ב"י</w:t>
      </w:r>
      <w:r w:rsidRPr="00A47A11">
        <w:rPr>
          <w:rFonts w:ascii="Narkisim" w:hAnsi="Narkisim" w:cs="Narkisim"/>
          <w:rtl/>
        </w:rPr>
        <w:t xml:space="preserve"> (יו"ד שלא) הק' דבסוגיין מבואר דהוה קנס לדורות. ותי' דהרמב"ם כתב כן דוקא לר' עקיבא. ועוה"ק מהגמ' (סוטה מז.) דיוחנן כה"ג ביטל הודיית המעשר, כיון דלא קיימו מצוות נתינה כדין. ואף דלא היה דורו של עזרא. וכתב דשמא עדיין בני דורו היו נותנים לכהנים [שלא כדין].</w:t>
      </w:r>
    </w:p>
    <w:p w14:paraId="0E6BFEDC"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דרך אמונה</w:t>
      </w:r>
      <w:r w:rsidRPr="00A47A11">
        <w:rPr>
          <w:rFonts w:ascii="Narkisim" w:hAnsi="Narkisim"/>
          <w:rtl/>
        </w:rPr>
        <w:t xml:space="preserve"> (שם) כתב דלזמנו הוה כל זמן בית שני</w:t>
      </w:r>
      <w:r w:rsidRPr="00A47A11">
        <w:rPr>
          <w:rStyle w:val="ac"/>
          <w:rFonts w:ascii="Narkisim" w:hAnsi="Narkisim"/>
          <w:rtl/>
        </w:rPr>
        <w:footnoteReference w:id="5243"/>
      </w:r>
      <w:r w:rsidRPr="00A47A11">
        <w:rPr>
          <w:rFonts w:ascii="Narkisim" w:hAnsi="Narkisim"/>
          <w:rtl/>
        </w:rPr>
        <w:t>. אבל לאחר החורבן בטל הקנס</w:t>
      </w:r>
      <w:r w:rsidRPr="00A47A11">
        <w:rPr>
          <w:rStyle w:val="ac"/>
          <w:rFonts w:ascii="Narkisim" w:hAnsi="Narkisim"/>
          <w:rtl/>
        </w:rPr>
        <w:footnoteReference w:id="5244"/>
      </w:r>
      <w:r w:rsidRPr="00A47A11">
        <w:rPr>
          <w:rFonts w:ascii="Narkisim" w:hAnsi="Narkisim"/>
          <w:rtl/>
        </w:rPr>
        <w:t>.</w:t>
      </w:r>
    </w:p>
    <w:p w14:paraId="601CEEEC" w14:textId="77777777" w:rsidR="006C4368" w:rsidRPr="00A47A11" w:rsidRDefault="006C4368" w:rsidP="006C4368">
      <w:pPr>
        <w:pStyle w:val="aa"/>
        <w:bidi/>
        <w:rPr>
          <w:rFonts w:ascii="Narkisim" w:hAnsi="Narkisim"/>
        </w:rPr>
      </w:pPr>
      <w:r w:rsidRPr="00A47A11">
        <w:rPr>
          <w:rFonts w:ascii="Narkisim" w:hAnsi="Narkisim"/>
          <w:u w:val="single"/>
          <w:rtl/>
        </w:rPr>
        <w:t>שלא עלו בימי עזרא</w:t>
      </w:r>
      <w:r w:rsidRPr="00A47A11">
        <w:rPr>
          <w:rFonts w:ascii="Narkisim" w:hAnsi="Narkisim"/>
          <w:rtl/>
        </w:rPr>
        <w:t>. ה</w:t>
      </w:r>
      <w:r w:rsidRPr="00A47A11">
        <w:rPr>
          <w:rFonts w:ascii="Narkisim" w:hAnsi="Narkisim"/>
          <w:b/>
          <w:bCs/>
          <w:rtl/>
        </w:rPr>
        <w:t>רדב"ז</w:t>
      </w:r>
      <w:r w:rsidRPr="00A47A11">
        <w:rPr>
          <w:rFonts w:ascii="Narkisim" w:hAnsi="Narkisim"/>
          <w:rtl/>
        </w:rPr>
        <w:t xml:space="preserve"> (מעשר א ד) הק' האיך קנס עזרא את הלויים לכל הדורות, וכי יש עונש על הבנים מחמת אביהם, דאבות אכלו בסר, ושני בנים תקהינה (ירמיה לא טו). וכת' דאפשר שעשה ע"פ הדיבור.</w:t>
      </w:r>
    </w:p>
    <w:p w14:paraId="5106CBFE" w14:textId="77777777" w:rsidR="006C4368" w:rsidRPr="00A47A11" w:rsidRDefault="006C4368" w:rsidP="006C4368">
      <w:pPr>
        <w:pStyle w:val="a8"/>
        <w:bidi/>
        <w:rPr>
          <w:rFonts w:ascii="Narkisim" w:hAnsi="Narkisim"/>
        </w:rPr>
      </w:pPr>
      <w:r w:rsidRPr="00A47A11">
        <w:rPr>
          <w:rFonts w:ascii="Narkisim" w:hAnsi="Narkisim"/>
          <w:rtl/>
        </w:rPr>
        <w:t>ועוה"ק דהלויים שעלו אח"כ מה היו נותנים להם חלף עבודתם במקדש</w:t>
      </w:r>
      <w:r w:rsidRPr="00A47A11">
        <w:rPr>
          <w:rStyle w:val="ac"/>
          <w:rFonts w:ascii="Narkisim" w:hAnsi="Narkisim"/>
          <w:rtl/>
        </w:rPr>
        <w:footnoteReference w:id="5245"/>
      </w:r>
      <w:r w:rsidRPr="00A47A11">
        <w:rPr>
          <w:rFonts w:ascii="Narkisim" w:hAnsi="Narkisim"/>
          <w:rtl/>
        </w:rPr>
        <w:t>. וכת' דלא קנסום שלא יתנו להם כלל, וביאר שהקנס היה שאם יבואו כהן ולוי ליטול המעשר, שיתן אותו לכהן ולא ללוי. אבל אם בא הלוי לבדו הרשות ביד הישראל ליתן לו, דבהא לא קנסינהו. והלוים מתפרנסים, ונתקיימו הכתובים [ע' תוס'], והקנס.</w:t>
      </w:r>
    </w:p>
    <w:p w14:paraId="0CCCBD92" w14:textId="77777777" w:rsidR="006C4368" w:rsidRPr="00A47A11" w:rsidRDefault="006C4368" w:rsidP="006C4368">
      <w:pPr>
        <w:bidi/>
        <w:rPr>
          <w:rFonts w:ascii="Narkisim" w:hAnsi="Narkisim" w:cs="Narkisim"/>
        </w:rPr>
      </w:pPr>
      <w:r w:rsidRPr="00A47A11">
        <w:rPr>
          <w:rFonts w:ascii="Narkisim" w:hAnsi="Narkisim" w:cs="Narkisim"/>
          <w:u w:val="single"/>
          <w:rtl/>
        </w:rPr>
        <w:t>מר סבר קנסא לעניים</w:t>
      </w:r>
      <w:r w:rsidRPr="00A47A11">
        <w:rPr>
          <w:rFonts w:ascii="Narkisim" w:hAnsi="Narkisim" w:cs="Narkisim"/>
          <w:rtl/>
        </w:rPr>
        <w:t xml:space="preserve">. </w:t>
      </w:r>
      <w:r w:rsidRPr="00A47A11">
        <w:rPr>
          <w:rFonts w:ascii="Narkisim" w:hAnsi="Narkisim" w:cs="Narkisim"/>
          <w:b/>
          <w:bCs/>
          <w:rtl/>
        </w:rPr>
        <w:t>תוס'</w:t>
      </w:r>
      <w:r w:rsidRPr="00A47A11">
        <w:rPr>
          <w:rFonts w:ascii="Narkisim" w:hAnsi="Narkisim" w:cs="Narkisim"/>
          <w:rtl/>
        </w:rPr>
        <w:t xml:space="preserve"> כת' דכ"ז לר"ע, אבל לר"א בן עזריה דנתינת תרומה לכהנים וללויים, לא קנסו לכהנים. וע”כ דהקנס לכהנים. וכן לר"מ דמעשר אסור לזרים, ע"כ דקנסו לכהנים.</w:t>
      </w:r>
    </w:p>
    <w:p w14:paraId="25914BE7" w14:textId="77777777" w:rsidR="006C4368" w:rsidRPr="00A47A11" w:rsidRDefault="006C4368" w:rsidP="006C4368">
      <w:pPr>
        <w:bidi/>
        <w:rPr>
          <w:rFonts w:ascii="Narkisim" w:hAnsi="Narkisim" w:cs="Narkisim"/>
        </w:rPr>
      </w:pPr>
      <w:r w:rsidRPr="00A47A11">
        <w:rPr>
          <w:rFonts w:ascii="Narkisim" w:hAnsi="Narkisim" w:cs="Narkisim"/>
          <w:u w:val="single"/>
          <w:rtl/>
        </w:rPr>
        <w:t>שם.</w:t>
      </w:r>
      <w:r w:rsidRPr="00A47A11">
        <w:rPr>
          <w:rFonts w:ascii="Narkisim" w:hAnsi="Narkisim" w:cs="Narkisim"/>
          <w:rtl/>
        </w:rPr>
        <w:t xml:space="preserve"> ה</w:t>
      </w:r>
      <w:r w:rsidRPr="00A47A11">
        <w:rPr>
          <w:rFonts w:ascii="Narkisim" w:hAnsi="Narkisim" w:cs="Narkisim"/>
          <w:b/>
          <w:bCs/>
          <w:rtl/>
        </w:rPr>
        <w:t>ריטב"א</w:t>
      </w:r>
      <w:r w:rsidRPr="00A47A11">
        <w:rPr>
          <w:rFonts w:ascii="Narkisim" w:hAnsi="Narkisim" w:cs="Narkisim"/>
          <w:rtl/>
        </w:rPr>
        <w:t xml:space="preserve"> הק' דלר"ע מדאורייתא נותן דוקא ללוי, והאיך אפשר לקנוס שיתנו לכהן, הא לא קיימו יצאו ידי חובת נתינה</w:t>
      </w:r>
      <w:r w:rsidRPr="00A47A11">
        <w:rPr>
          <w:rStyle w:val="ac"/>
          <w:rFonts w:ascii="Narkisim" w:hAnsi="Narkisim" w:cs="Narkisim"/>
          <w:rtl/>
        </w:rPr>
        <w:footnoteReference w:id="5246"/>
      </w:r>
      <w:r w:rsidRPr="00A47A11">
        <w:rPr>
          <w:rFonts w:ascii="Narkisim" w:hAnsi="Narkisim" w:cs="Narkisim"/>
          <w:rtl/>
        </w:rPr>
        <w:t>. ותי' דממונא הוא, והפקר בי”ד הפקר</w:t>
      </w:r>
      <w:r w:rsidRPr="00A47A11">
        <w:rPr>
          <w:rStyle w:val="ac"/>
          <w:rFonts w:ascii="Narkisim" w:hAnsi="Narkisim" w:cs="Narkisim"/>
          <w:rtl/>
        </w:rPr>
        <w:footnoteReference w:id="5247"/>
      </w:r>
      <w:r w:rsidRPr="00A47A11">
        <w:rPr>
          <w:rFonts w:ascii="Narkisim" w:hAnsi="Narkisim" w:cs="Narkisim"/>
          <w:rtl/>
        </w:rPr>
        <w:t>. והריטב"א ביאר דאפקוה רבנן למעשר מן הלוים, ואוקמינהו ברשות כהנים</w:t>
      </w:r>
      <w:r w:rsidRPr="00A47A11">
        <w:rPr>
          <w:rStyle w:val="ac"/>
          <w:rFonts w:ascii="Narkisim" w:hAnsi="Narkisim" w:cs="Narkisim"/>
          <w:rtl/>
        </w:rPr>
        <w:footnoteReference w:id="5248"/>
      </w:r>
      <w:r w:rsidRPr="00A47A11">
        <w:rPr>
          <w:rFonts w:ascii="Narkisim" w:hAnsi="Narkisim" w:cs="Narkisim"/>
          <w:rtl/>
        </w:rPr>
        <w:t>, ועשאום כשלוחים של לויים</w:t>
      </w:r>
      <w:r w:rsidRPr="00A47A11">
        <w:rPr>
          <w:rStyle w:val="ac"/>
          <w:rFonts w:ascii="Narkisim" w:hAnsi="Narkisim" w:cs="Narkisim"/>
          <w:rtl/>
        </w:rPr>
        <w:footnoteReference w:id="5249"/>
      </w:r>
      <w:r w:rsidRPr="00A47A11">
        <w:rPr>
          <w:rFonts w:ascii="Narkisim" w:hAnsi="Narkisim" w:cs="Narkisim"/>
          <w:rtl/>
        </w:rPr>
        <w:t>.</w:t>
      </w:r>
    </w:p>
    <w:p w14:paraId="5219A9CB" w14:textId="77777777" w:rsidR="006C4368" w:rsidRPr="00A47A11" w:rsidRDefault="006C4368" w:rsidP="006C4368">
      <w:pPr>
        <w:pStyle w:val="a7"/>
        <w:bidi/>
        <w:rPr>
          <w:rFonts w:ascii="Narkisim" w:hAnsi="Narkisim"/>
        </w:rPr>
      </w:pPr>
      <w:r w:rsidRPr="00A47A11">
        <w:rPr>
          <w:rFonts w:ascii="Narkisim" w:hAnsi="Narkisim"/>
          <w:rtl/>
        </w:rPr>
        <w:t>אבל ה</w:t>
      </w:r>
      <w:r w:rsidRPr="00A47A11">
        <w:rPr>
          <w:rFonts w:ascii="Narkisim" w:hAnsi="Narkisim"/>
          <w:b/>
          <w:bCs/>
          <w:rtl/>
        </w:rPr>
        <w:t>ריטב"א</w:t>
      </w:r>
      <w:r w:rsidRPr="00A47A11">
        <w:rPr>
          <w:rFonts w:ascii="Narkisim" w:hAnsi="Narkisim"/>
          <w:rtl/>
        </w:rPr>
        <w:t xml:space="preserve"> (כתובות כו.) דחה היכי יתקנו רבנן לבטל המצווה. ואע"ג דהפקר בי"ד הפקר </w:t>
      </w:r>
      <w:r w:rsidRPr="00A47A11">
        <w:rPr>
          <w:rFonts w:ascii="Narkisim" w:hAnsi="Narkisim"/>
          <w:rtl/>
        </w:rPr>
        <w:lastRenderedPageBreak/>
        <w:t>מ”מ אין לעשות דרך קביעות להפך דין תורה</w:t>
      </w:r>
      <w:r w:rsidRPr="00A47A11">
        <w:rPr>
          <w:rStyle w:val="ac"/>
          <w:rFonts w:ascii="Narkisim" w:hAnsi="Narkisim"/>
          <w:rtl/>
        </w:rPr>
        <w:footnoteReference w:id="5250"/>
      </w:r>
      <w:r w:rsidRPr="00A47A11">
        <w:rPr>
          <w:rFonts w:ascii="Narkisim" w:hAnsi="Narkisim"/>
          <w:rtl/>
        </w:rPr>
        <w:t>. וכת' דלר”ע לא קנסום ללויים, דמדאורייתא ללוי דוקא, וכהנים כזרים</w:t>
      </w:r>
      <w:r w:rsidRPr="00A47A11">
        <w:rPr>
          <w:rStyle w:val="ac"/>
          <w:rFonts w:ascii="Narkisim" w:hAnsi="Narkisim"/>
          <w:rtl/>
        </w:rPr>
        <w:footnoteReference w:id="5251"/>
      </w:r>
      <w:r w:rsidRPr="00A47A11">
        <w:rPr>
          <w:rFonts w:ascii="Narkisim" w:hAnsi="Narkisim"/>
          <w:rtl/>
        </w:rPr>
        <w:t>. וקנסום במידי אחריני</w:t>
      </w:r>
      <w:r w:rsidRPr="00A47A11">
        <w:rPr>
          <w:rStyle w:val="ac"/>
          <w:rFonts w:ascii="Narkisim" w:hAnsi="Narkisim"/>
          <w:rtl/>
        </w:rPr>
        <w:footnoteReference w:id="5252"/>
      </w:r>
      <w:r w:rsidRPr="00A47A11">
        <w:rPr>
          <w:rFonts w:ascii="Narkisim" w:hAnsi="Narkisim"/>
          <w:rtl/>
        </w:rPr>
        <w:t>.</w:t>
      </w:r>
    </w:p>
    <w:p w14:paraId="3D93B886" w14:textId="77777777" w:rsidR="006C4368" w:rsidRPr="00A47A11" w:rsidRDefault="006C4368" w:rsidP="006C4368">
      <w:pPr>
        <w:bidi/>
        <w:rPr>
          <w:rFonts w:ascii="Narkisim" w:hAnsi="Narkisim" w:cs="Narkisim"/>
        </w:rPr>
      </w:pPr>
      <w:r w:rsidRPr="00A47A11">
        <w:rPr>
          <w:rFonts w:ascii="Narkisim" w:hAnsi="Narkisim" w:cs="Narkisim"/>
          <w:u w:val="single"/>
          <w:rtl/>
        </w:rPr>
        <w:t>ה"ק ליה אי דקא אתית בתורת קנסא אית לך וכו'</w:t>
      </w:r>
      <w:r w:rsidRPr="00A47A11">
        <w:rPr>
          <w:rFonts w:ascii="Narkisim" w:hAnsi="Narkisim" w:cs="Narkisim"/>
          <w:rtl/>
        </w:rPr>
        <w:t>. צ"ב דסוף סוף הדין עם ר"א</w:t>
      </w:r>
      <w:r w:rsidRPr="00A47A11">
        <w:rPr>
          <w:rStyle w:val="ac"/>
          <w:rFonts w:ascii="Narkisim" w:hAnsi="Narkisim" w:cs="Narkisim"/>
          <w:rtl/>
        </w:rPr>
        <w:footnoteReference w:id="5253"/>
      </w:r>
      <w:r w:rsidRPr="00A47A11">
        <w:rPr>
          <w:rFonts w:ascii="Narkisim" w:hAnsi="Narkisim" w:cs="Narkisim"/>
          <w:rtl/>
        </w:rPr>
        <w:t>, אמאי אהדר ליה פיתחא להפסידו</w:t>
      </w:r>
      <w:r w:rsidRPr="00A47A11">
        <w:rPr>
          <w:rStyle w:val="ac"/>
          <w:rFonts w:ascii="Narkisim" w:hAnsi="Narkisim" w:cs="Narkisim"/>
          <w:rtl/>
        </w:rPr>
        <w:footnoteReference w:id="5254"/>
      </w:r>
      <w:r w:rsidRPr="00A47A11">
        <w:rPr>
          <w:rFonts w:ascii="Narkisim" w:hAnsi="Narkisim" w:cs="Narkisim"/>
          <w:rtl/>
        </w:rPr>
        <w:t>.</w:t>
      </w:r>
    </w:p>
    <w:p w14:paraId="671AB61B"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מהרש"א</w:t>
      </w:r>
      <w:r w:rsidRPr="00A47A11">
        <w:rPr>
          <w:rFonts w:ascii="Narkisim" w:hAnsi="Narkisim"/>
          <w:rtl/>
        </w:rPr>
        <w:t xml:space="preserve"> (ח"א) כת' דר"ע סבר דקנסא לעניים, וה”ק עשיר אתה ומ”ט שקלית בתורת קנסא. וצ"ע דבגמ' ורש"י מבואר דקאי למ"ד קנסא לכהנים.</w:t>
      </w:r>
    </w:p>
    <w:p w14:paraId="06C92A50" w14:textId="77777777" w:rsidR="006C4368" w:rsidRPr="00A47A11" w:rsidRDefault="006C4368" w:rsidP="006C4368">
      <w:pPr>
        <w:pStyle w:val="a7"/>
        <w:bidi/>
        <w:rPr>
          <w:rFonts w:ascii="Narkisim" w:hAnsi="Narkisim"/>
        </w:rPr>
      </w:pPr>
      <w:r w:rsidRPr="00A47A11">
        <w:rPr>
          <w:rFonts w:ascii="Narkisim" w:hAnsi="Narkisim"/>
          <w:rtl/>
        </w:rPr>
        <w:t>ו</w:t>
      </w:r>
      <w:r w:rsidRPr="00A47A11">
        <w:rPr>
          <w:rFonts w:ascii="Narkisim" w:hAnsi="Narkisim"/>
          <w:b/>
          <w:bCs/>
          <w:rtl/>
        </w:rPr>
        <w:t>תלמיד הרא"ה</w:t>
      </w:r>
      <w:r w:rsidRPr="00A47A11">
        <w:rPr>
          <w:rFonts w:ascii="Narkisim" w:hAnsi="Narkisim"/>
          <w:rtl/>
        </w:rPr>
        <w:t xml:space="preserve"> (בשיטמ"ק כתובות כו., ועד"ז בחי' הרא"ה שם) ביאר דר"א ב"ע אתית בתורת חלוקה, שהיה סבור דמדין תורה אף לכהן</w:t>
      </w:r>
      <w:r w:rsidRPr="00A47A11">
        <w:rPr>
          <w:rStyle w:val="ac"/>
          <w:rFonts w:ascii="Narkisim" w:hAnsi="Narkisim"/>
          <w:rtl/>
        </w:rPr>
        <w:footnoteReference w:id="5255"/>
      </w:r>
      <w:r w:rsidRPr="00A47A11">
        <w:rPr>
          <w:rFonts w:ascii="Narkisim" w:hAnsi="Narkisim"/>
          <w:rtl/>
        </w:rPr>
        <w:t>. ור"ע אהדר פתחיה לבי קברי להודיע דמדינא לית ליה כלל, אלא משום קנסא דעזרא.</w:t>
      </w:r>
    </w:p>
    <w:p w14:paraId="6E69063E" w14:textId="77777777" w:rsidR="006C4368" w:rsidRPr="00A47A11" w:rsidRDefault="006C4368" w:rsidP="006C4368">
      <w:pPr>
        <w:pStyle w:val="aa"/>
        <w:bidi/>
        <w:rPr>
          <w:rFonts w:ascii="Narkisim" w:hAnsi="Narkisim"/>
        </w:rPr>
      </w:pPr>
      <w:r w:rsidRPr="00A47A11">
        <w:rPr>
          <w:rFonts w:ascii="Narkisim" w:hAnsi="Narkisim"/>
          <w:u w:val="single"/>
          <w:rtl/>
        </w:rPr>
        <w:t>תוד"ה ומבני</w:t>
      </w:r>
      <w:r w:rsidRPr="00A47A11">
        <w:rPr>
          <w:rFonts w:ascii="Narkisim" w:hAnsi="Narkisim"/>
          <w:rtl/>
        </w:rPr>
        <w:t>. פ</w:t>
      </w:r>
      <w:r w:rsidRPr="00A47A11">
        <w:rPr>
          <w:rFonts w:ascii="Narkisim" w:hAnsi="Narkisim"/>
          <w:b/>
          <w:bCs/>
          <w:rtl/>
        </w:rPr>
        <w:t>רש"י</w:t>
      </w:r>
      <w:r w:rsidRPr="00A47A11">
        <w:rPr>
          <w:rFonts w:ascii="Narkisim" w:hAnsi="Narkisim"/>
          <w:rtl/>
        </w:rPr>
        <w:t xml:space="preserve"> (קידושין סט:) הוי קצוצי בהונות. וה</w:t>
      </w:r>
      <w:r w:rsidRPr="00A47A11">
        <w:rPr>
          <w:rFonts w:ascii="Narkisim" w:hAnsi="Narkisim"/>
          <w:b/>
          <w:bCs/>
          <w:rtl/>
        </w:rPr>
        <w:t>רמב"ן</w:t>
      </w:r>
      <w:r w:rsidRPr="00A47A11">
        <w:rPr>
          <w:rFonts w:ascii="Narkisim" w:hAnsi="Narkisim"/>
          <w:rtl/>
        </w:rPr>
        <w:t xml:space="preserve"> (קידושין שם) תי' דהיו ב' עליות, ובעלייה הראשונה עלו לויים</w:t>
      </w:r>
      <w:r w:rsidRPr="00A47A11">
        <w:rPr>
          <w:rStyle w:val="ac"/>
          <w:rFonts w:ascii="Narkisim" w:hAnsi="Narkisim"/>
          <w:rtl/>
        </w:rPr>
        <w:footnoteReference w:id="5256"/>
      </w:r>
      <w:r w:rsidRPr="00A47A11">
        <w:rPr>
          <w:rFonts w:ascii="Narkisim" w:hAnsi="Narkisim"/>
          <w:rtl/>
        </w:rPr>
        <w:t>. אבל בעלייה שניה [עם עזרא] לא עלו לויים</w:t>
      </w:r>
      <w:r w:rsidRPr="00A47A11">
        <w:rPr>
          <w:rStyle w:val="ac"/>
          <w:rFonts w:ascii="Narkisim" w:hAnsi="Narkisim"/>
          <w:rtl/>
        </w:rPr>
        <w:footnoteReference w:id="5257"/>
      </w:r>
      <w:r w:rsidRPr="00A47A11">
        <w:rPr>
          <w:rFonts w:ascii="Narkisim" w:hAnsi="Narkisim"/>
          <w:rtl/>
        </w:rPr>
        <w:t>. וה</w:t>
      </w:r>
      <w:r w:rsidRPr="00A47A11">
        <w:rPr>
          <w:rFonts w:ascii="Narkisim" w:hAnsi="Narkisim"/>
          <w:b/>
          <w:bCs/>
          <w:rtl/>
        </w:rPr>
        <w:t>מאירי</w:t>
      </w:r>
      <w:r w:rsidRPr="00A47A11">
        <w:rPr>
          <w:rFonts w:ascii="Narkisim" w:hAnsi="Narkisim"/>
          <w:rtl/>
        </w:rPr>
        <w:t xml:space="preserve"> (שם) כת' דאח"כ עלו לויים כשרים לעבודה.</w:t>
      </w:r>
    </w:p>
    <w:p w14:paraId="4E2167CB" w14:textId="77777777" w:rsidR="006C4368" w:rsidRPr="00A47A11" w:rsidRDefault="006C4368" w:rsidP="006C4368">
      <w:pPr>
        <w:pStyle w:val="aa"/>
        <w:bidi/>
        <w:rPr>
          <w:rFonts w:ascii="Narkisim" w:hAnsi="Narkisim"/>
        </w:rPr>
      </w:pPr>
      <w:r w:rsidRPr="00A47A11">
        <w:rPr>
          <w:rFonts w:ascii="Narkisim" w:hAnsi="Narkisim"/>
          <w:u w:val="single"/>
          <w:rtl/>
        </w:rPr>
        <w:t>בא"ד ואפי' למ"ד עיקר שיר בפה וכו' דאיכא נמי מצוה בכלים</w:t>
      </w:r>
      <w:r w:rsidRPr="00A47A11">
        <w:rPr>
          <w:rFonts w:ascii="Narkisim" w:hAnsi="Narkisim"/>
          <w:rtl/>
        </w:rPr>
        <w:t>. ה</w:t>
      </w:r>
      <w:r w:rsidRPr="00A47A11">
        <w:rPr>
          <w:rFonts w:ascii="Narkisim" w:hAnsi="Narkisim"/>
          <w:b/>
          <w:bCs/>
          <w:rtl/>
        </w:rPr>
        <w:t>גבו"א</w:t>
      </w:r>
      <w:r w:rsidRPr="00A47A11">
        <w:rPr>
          <w:rFonts w:ascii="Narkisim" w:hAnsi="Narkisim"/>
          <w:rtl/>
        </w:rPr>
        <w:t xml:space="preserve"> (תענית כז.) הק' דמבואר (סוכה נא.) דלמ"ד עיקר שירה בפה, ישראלים היו כשרים לנגן בכלים</w:t>
      </w:r>
      <w:r w:rsidRPr="00A47A11">
        <w:rPr>
          <w:rStyle w:val="ac"/>
          <w:rFonts w:ascii="Narkisim" w:hAnsi="Narkisim"/>
          <w:rtl/>
        </w:rPr>
        <w:footnoteReference w:id="5258"/>
      </w:r>
      <w:r w:rsidRPr="00A47A11">
        <w:rPr>
          <w:rFonts w:ascii="Narkisim" w:hAnsi="Narkisim"/>
          <w:rtl/>
        </w:rPr>
        <w:t>.</w:t>
      </w:r>
    </w:p>
    <w:p w14:paraId="7297A68B" w14:textId="77777777" w:rsidR="006C4368" w:rsidRPr="00A47A11" w:rsidRDefault="006C4368" w:rsidP="006C4368">
      <w:pPr>
        <w:pStyle w:val="aa"/>
        <w:bidi/>
        <w:rPr>
          <w:rFonts w:ascii="Narkisim" w:hAnsi="Narkisim"/>
        </w:rPr>
      </w:pPr>
      <w:r w:rsidRPr="00A47A11">
        <w:rPr>
          <w:rFonts w:ascii="Narkisim" w:hAnsi="Narkisim"/>
          <w:u w:val="single"/>
          <w:rtl/>
        </w:rPr>
        <w:t>אמר רב חסדא בתחילה לא היו מעמידים שוטרים אלא מן הלויים, שנאמר</w:t>
      </w:r>
      <w:r w:rsidRPr="00A47A11">
        <w:rPr>
          <w:rStyle w:val="ac"/>
          <w:rFonts w:ascii="Narkisim" w:hAnsi="Narkisim"/>
          <w:u w:val="single"/>
          <w:rtl/>
        </w:rPr>
        <w:footnoteReference w:id="5259"/>
      </w:r>
      <w:r w:rsidRPr="00A47A11">
        <w:rPr>
          <w:rFonts w:ascii="Narkisim" w:hAnsi="Narkisim"/>
          <w:u w:val="single"/>
          <w:rtl/>
        </w:rPr>
        <w:t xml:space="preserve"> ושוטרים הלוים לפניכם וכו'</w:t>
      </w:r>
      <w:r w:rsidRPr="00A47A11">
        <w:rPr>
          <w:rFonts w:ascii="Narkisim" w:hAnsi="Narkisim"/>
          <w:rtl/>
        </w:rPr>
        <w:t>. [בימי יהושפט, בזמן בית ראשון הלויים היו שוטרים</w:t>
      </w:r>
      <w:r w:rsidRPr="00A47A11">
        <w:rPr>
          <w:rStyle w:val="ac"/>
          <w:rFonts w:ascii="Narkisim" w:hAnsi="Narkisim"/>
          <w:rtl/>
        </w:rPr>
        <w:footnoteReference w:id="5260"/>
      </w:r>
      <w:r w:rsidRPr="00A47A11">
        <w:rPr>
          <w:rFonts w:ascii="Narkisim" w:hAnsi="Narkisim"/>
          <w:rtl/>
        </w:rPr>
        <w:t>]. ועכשיו [בימי עזרא] תקנו להעמיד מישראל.</w:t>
      </w:r>
    </w:p>
    <w:p w14:paraId="3EDD0D7E" w14:textId="77777777" w:rsidR="006C4368" w:rsidRPr="00A47A11" w:rsidRDefault="006C4368" w:rsidP="006C4368">
      <w:pPr>
        <w:pStyle w:val="aa"/>
        <w:bidi/>
        <w:rPr>
          <w:rFonts w:ascii="Narkisim" w:hAnsi="Narkisim"/>
        </w:rPr>
      </w:pPr>
      <w:r w:rsidRPr="00A47A11">
        <w:rPr>
          <w:rFonts w:ascii="Narkisim" w:hAnsi="Narkisim"/>
          <w:u w:val="single"/>
          <w:rtl/>
        </w:rPr>
        <w:t>עכשיו אין מעמידים שוטרים אלא מישראל, שנאמר ושוטרים הרבים בראשיכם</w:t>
      </w:r>
      <w:r w:rsidRPr="00A47A11">
        <w:rPr>
          <w:rFonts w:ascii="Narkisim" w:hAnsi="Narkisim"/>
          <w:rtl/>
        </w:rPr>
        <w:t>. ה</w:t>
      </w:r>
      <w:r w:rsidRPr="00A47A11">
        <w:rPr>
          <w:rFonts w:ascii="Narkisim" w:hAnsi="Narkisim"/>
          <w:b/>
          <w:bCs/>
          <w:rtl/>
        </w:rPr>
        <w:t>תו"י</w:t>
      </w:r>
      <w:r w:rsidRPr="00A47A11">
        <w:rPr>
          <w:rFonts w:ascii="Narkisim" w:hAnsi="Narkisim"/>
          <w:rtl/>
        </w:rPr>
        <w:t xml:space="preserve"> הק' דאין זה פסוק בכל המקרא. [וכה"ק ה</w:t>
      </w:r>
      <w:r w:rsidRPr="00A47A11">
        <w:rPr>
          <w:rFonts w:ascii="Narkisim" w:hAnsi="Narkisim"/>
          <w:b/>
          <w:bCs/>
          <w:rtl/>
        </w:rPr>
        <w:t>יד מלאכי</w:t>
      </w:r>
      <w:r w:rsidRPr="00A47A11">
        <w:rPr>
          <w:rFonts w:ascii="Narkisim" w:hAnsi="Narkisim"/>
          <w:rtl/>
        </w:rPr>
        <w:t xml:space="preserve"> (כללי התלמוד רפג) וכמה אחרונים]. ויש </w:t>
      </w:r>
      <w:r w:rsidRPr="00A47A11">
        <w:rPr>
          <w:rFonts w:ascii="Narkisim" w:hAnsi="Narkisim"/>
          <w:b/>
          <w:bCs/>
          <w:rtl/>
        </w:rPr>
        <w:t>אחרונים</w:t>
      </w:r>
      <w:r w:rsidRPr="00A47A11">
        <w:rPr>
          <w:rFonts w:ascii="Narkisim" w:hAnsi="Narkisim"/>
          <w:rtl/>
        </w:rPr>
        <w:t xml:space="preserve"> דהביאו דיש מקומות (ב"ק צב:) שהגמ' הביאה מס' בן סירא. וה"נ י"ל דקיבלו פסוק זה, אף שאינו מתנ"ך.</w:t>
      </w:r>
    </w:p>
    <w:p w14:paraId="415B834C"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תו"י</w:t>
      </w:r>
      <w:r w:rsidRPr="00A47A11">
        <w:rPr>
          <w:rFonts w:ascii="Narkisim" w:hAnsi="Narkisim"/>
          <w:rtl/>
        </w:rPr>
        <w:t xml:space="preserve"> כת' דשמא היינו דכתיב</w:t>
      </w:r>
      <w:r w:rsidRPr="00A47A11">
        <w:rPr>
          <w:rStyle w:val="ac"/>
          <w:rFonts w:ascii="Narkisim" w:hAnsi="Narkisim"/>
          <w:rtl/>
        </w:rPr>
        <w:footnoteReference w:id="5261"/>
      </w:r>
      <w:r w:rsidRPr="00A47A11">
        <w:rPr>
          <w:rFonts w:ascii="Narkisim" w:hAnsi="Narkisim"/>
          <w:rtl/>
        </w:rPr>
        <w:t xml:space="preserve"> (דברים א יג) ואשימם בראשיכם. [וב</w:t>
      </w:r>
      <w:r w:rsidRPr="00A47A11">
        <w:rPr>
          <w:rFonts w:ascii="Narkisim" w:hAnsi="Narkisim"/>
          <w:b/>
          <w:bCs/>
          <w:rtl/>
        </w:rPr>
        <w:t>גליון</w:t>
      </w:r>
      <w:r w:rsidRPr="00A47A11">
        <w:rPr>
          <w:rFonts w:ascii="Narkisim" w:hAnsi="Narkisim"/>
          <w:rtl/>
        </w:rPr>
        <w:t xml:space="preserve"> (</w:t>
      </w:r>
      <w:r w:rsidRPr="00A47A11">
        <w:rPr>
          <w:rFonts w:ascii="Narkisim" w:hAnsi="Narkisim"/>
          <w:b/>
          <w:bCs/>
          <w:rtl/>
        </w:rPr>
        <w:t>חש"ל</w:t>
      </w:r>
      <w:r w:rsidRPr="00A47A11">
        <w:rPr>
          <w:rFonts w:ascii="Narkisim" w:hAnsi="Narkisim"/>
          <w:rtl/>
        </w:rPr>
        <w:t>) ביאר דקאי אידועים לשבטיכם, מכל ישראל</w:t>
      </w:r>
      <w:r w:rsidRPr="00A47A11">
        <w:rPr>
          <w:rStyle w:val="ac"/>
          <w:rFonts w:ascii="Narkisim" w:hAnsi="Narkisim"/>
          <w:rtl/>
        </w:rPr>
        <w:footnoteReference w:id="5262"/>
      </w:r>
      <w:r w:rsidRPr="00A47A11">
        <w:rPr>
          <w:rFonts w:ascii="Narkisim" w:hAnsi="Narkisim"/>
          <w:rtl/>
        </w:rPr>
        <w:t>].</w:t>
      </w:r>
    </w:p>
    <w:p w14:paraId="6EC8E35B" w14:textId="77777777" w:rsidR="006C4368" w:rsidRPr="00A47A11" w:rsidRDefault="006C4368" w:rsidP="006C4368">
      <w:pPr>
        <w:pStyle w:val="2"/>
        <w:bidi/>
        <w:rPr>
          <w:rFonts w:ascii="Narkisim" w:hAnsi="Narkisim"/>
        </w:rPr>
      </w:pPr>
      <w:r w:rsidRPr="00A47A11">
        <w:rPr>
          <w:rFonts w:ascii="Narkisim" w:hAnsi="Narkisim"/>
          <w:rtl/>
        </w:rPr>
        <w:t>חוזרת לאכול משום בנה</w:t>
      </w:r>
    </w:p>
    <w:p w14:paraId="2BC717B7" w14:textId="77777777" w:rsidR="006C4368" w:rsidRPr="00A47A11" w:rsidRDefault="006C4368" w:rsidP="006C4368">
      <w:pPr>
        <w:pStyle w:val="aa"/>
        <w:bidi/>
        <w:rPr>
          <w:rFonts w:ascii="Narkisim" w:hAnsi="Narkisim"/>
        </w:rPr>
      </w:pPr>
      <w:r w:rsidRPr="00A47A11">
        <w:rPr>
          <w:rFonts w:ascii="Narkisim" w:hAnsi="Narkisim"/>
          <w:u w:val="single"/>
          <w:rtl/>
        </w:rPr>
        <w:t>מת ולה הימנו בן תאכל בתרומה וכו'</w:t>
      </w:r>
      <w:r w:rsidRPr="00A47A11">
        <w:rPr>
          <w:rFonts w:ascii="Narkisim" w:hAnsi="Narkisim"/>
          <w:rtl/>
        </w:rPr>
        <w:t>. וכדאי' (לעיל סט:) דילדה מכהן תאכל בתרומה. ואף כשבא עליה בזנות</w:t>
      </w:r>
      <w:r w:rsidRPr="00A47A11">
        <w:rPr>
          <w:rStyle w:val="ac"/>
          <w:rFonts w:ascii="Narkisim" w:hAnsi="Narkisim"/>
          <w:rtl/>
        </w:rPr>
        <w:footnoteReference w:id="5263"/>
      </w:r>
      <w:r w:rsidRPr="00A47A11">
        <w:rPr>
          <w:rFonts w:ascii="Narkisim" w:hAnsi="Narkisim"/>
          <w:rtl/>
        </w:rPr>
        <w:t>.</w:t>
      </w:r>
    </w:p>
    <w:p w14:paraId="0FE5927D" w14:textId="77777777" w:rsidR="006C4368" w:rsidRPr="00A47A11" w:rsidRDefault="006C4368" w:rsidP="006C4368">
      <w:pPr>
        <w:pStyle w:val="aa"/>
        <w:bidi/>
        <w:rPr>
          <w:rFonts w:ascii="Narkisim" w:hAnsi="Narkisim"/>
        </w:rPr>
      </w:pPr>
      <w:r w:rsidRPr="00A47A11">
        <w:rPr>
          <w:rFonts w:ascii="Narkisim" w:hAnsi="Narkisim"/>
          <w:rtl/>
        </w:rPr>
        <w:t>וה</w:t>
      </w:r>
      <w:r w:rsidRPr="00A47A11">
        <w:rPr>
          <w:rFonts w:ascii="Narkisim" w:hAnsi="Narkisim"/>
          <w:b/>
          <w:bCs/>
          <w:rtl/>
        </w:rPr>
        <w:t>רש"ש</w:t>
      </w:r>
      <w:r w:rsidRPr="00A47A11">
        <w:rPr>
          <w:rFonts w:ascii="Narkisim" w:hAnsi="Narkisim"/>
          <w:rtl/>
        </w:rPr>
        <w:t xml:space="preserve"> נסתפק האם אף חללה שיש לה בן [חלל] מכהן, האם אוכלת בתרומה מחמת בנה</w:t>
      </w:r>
      <w:r w:rsidRPr="00A47A11">
        <w:rPr>
          <w:rStyle w:val="ac"/>
          <w:rFonts w:ascii="Narkisim" w:hAnsi="Narkisim"/>
          <w:rtl/>
        </w:rPr>
        <w:footnoteReference w:id="5264"/>
      </w:r>
      <w:r w:rsidRPr="00A47A11">
        <w:rPr>
          <w:rFonts w:ascii="Narkisim" w:hAnsi="Narkisim"/>
          <w:rtl/>
        </w:rPr>
        <w:t>. דהא אף ממזר מאכיל (כדלעיל סט:). ושוב הביא דמפורש ב</w:t>
      </w:r>
      <w:r w:rsidRPr="00A47A11">
        <w:rPr>
          <w:rFonts w:ascii="Narkisim" w:hAnsi="Narkisim"/>
          <w:b/>
          <w:bCs/>
          <w:rtl/>
        </w:rPr>
        <w:t>רמב"ם</w:t>
      </w:r>
      <w:r w:rsidRPr="00A47A11">
        <w:rPr>
          <w:rFonts w:ascii="Narkisim" w:hAnsi="Narkisim"/>
          <w:rtl/>
        </w:rPr>
        <w:t xml:space="preserve"> (תרומות ו י) דהיכא דנבעלה לפסול לה ונעשית זונה אסורה </w:t>
      </w:r>
      <w:r w:rsidRPr="00A47A11">
        <w:rPr>
          <w:rFonts w:ascii="Narkisim" w:hAnsi="Narkisim"/>
          <w:rtl/>
        </w:rPr>
        <w:lastRenderedPageBreak/>
        <w:t>לאכול בתרומה לעולם, ואף כשיש לה זרע מכהן. [וכן מפורש בגמ' (לעיל סח:) דדרשי' 'ובת' היכא דקאכלה בשביל בנה, דביאת פסול פוסלתה].</w:t>
      </w:r>
    </w:p>
    <w:p w14:paraId="75317211" w14:textId="77777777" w:rsidR="006C4368" w:rsidRPr="00A47A11" w:rsidRDefault="006C4368" w:rsidP="006C4368">
      <w:pPr>
        <w:pStyle w:val="aa"/>
        <w:bidi/>
        <w:rPr>
          <w:rFonts w:ascii="Narkisim" w:hAnsi="Narkisim"/>
        </w:rPr>
      </w:pPr>
      <w:r w:rsidRPr="00A47A11">
        <w:rPr>
          <w:rFonts w:ascii="Narkisim" w:hAnsi="Narkisim"/>
          <w:u w:val="single"/>
          <w:rtl/>
        </w:rPr>
        <w:t>ניסת ללוי תאכל במעשר, מת ולה הימנו בן וכו</w:t>
      </w:r>
      <w:r w:rsidRPr="00A47A11">
        <w:rPr>
          <w:rFonts w:ascii="Narkisim" w:hAnsi="Narkisim"/>
          <w:rtl/>
        </w:rPr>
        <w:t>'. פ</w:t>
      </w:r>
      <w:r w:rsidRPr="00A47A11">
        <w:rPr>
          <w:rFonts w:ascii="Narkisim" w:hAnsi="Narkisim"/>
          <w:b/>
          <w:bCs/>
          <w:rtl/>
        </w:rPr>
        <w:t>רש"י</w:t>
      </w:r>
      <w:r w:rsidRPr="00A47A11">
        <w:rPr>
          <w:rFonts w:ascii="Narkisim" w:hAnsi="Narkisim"/>
          <w:rtl/>
        </w:rPr>
        <w:t xml:space="preserve"> דכיון דיש לה זרע מלוי נפסלת מתרומה. ופ</w:t>
      </w:r>
      <w:r w:rsidRPr="00A47A11">
        <w:rPr>
          <w:rFonts w:ascii="Narkisim" w:hAnsi="Narkisim"/>
          <w:b/>
          <w:bCs/>
          <w:rtl/>
        </w:rPr>
        <w:t>רש"י</w:t>
      </w:r>
      <w:r w:rsidRPr="00A47A11">
        <w:rPr>
          <w:rFonts w:ascii="Narkisim" w:hAnsi="Narkisim"/>
          <w:rtl/>
        </w:rPr>
        <w:t xml:space="preserve"> דילפי' 'ובת' (ע"ד הא דאי' לעיל סח:) דאף האוכלת בשביל בנה כהן, דכיון דיש לה זרע אינה חוזרת לאכול משום בנה.</w:t>
      </w:r>
    </w:p>
    <w:p w14:paraId="04F1D9E9" w14:textId="77777777" w:rsidR="006C4368" w:rsidRPr="00A47A11" w:rsidRDefault="006C4368" w:rsidP="006C4368">
      <w:pPr>
        <w:pStyle w:val="aa"/>
        <w:bidi/>
        <w:rPr>
          <w:rFonts w:ascii="Narkisim" w:hAnsi="Narkisim"/>
        </w:rPr>
      </w:pPr>
      <w:r w:rsidRPr="00A47A11">
        <w:rPr>
          <w:rFonts w:ascii="Narkisim" w:hAnsi="Narkisim"/>
          <w:u w:val="single"/>
          <w:rtl/>
        </w:rPr>
        <w:t>שם. תאכל במעשר.</w:t>
      </w:r>
      <w:r w:rsidRPr="00A47A11">
        <w:rPr>
          <w:rFonts w:ascii="Narkisim" w:hAnsi="Narkisim"/>
          <w:rtl/>
        </w:rPr>
        <w:t xml:space="preserve"> ה</w:t>
      </w:r>
      <w:r w:rsidRPr="00A47A11">
        <w:rPr>
          <w:rFonts w:ascii="Narkisim" w:hAnsi="Narkisim"/>
          <w:b/>
          <w:bCs/>
          <w:rtl/>
        </w:rPr>
        <w:t>ריטב"א</w:t>
      </w:r>
      <w:r w:rsidRPr="00A47A11">
        <w:rPr>
          <w:rFonts w:ascii="Narkisim" w:hAnsi="Narkisim"/>
          <w:rtl/>
        </w:rPr>
        <w:t xml:space="preserve"> פי' דדין הלוי במעשר לר' מאיר, כדין הכהן בתרומה.</w:t>
      </w:r>
    </w:p>
    <w:p w14:paraId="4D416A21" w14:textId="77777777" w:rsidR="006C4368" w:rsidRPr="00A47A11" w:rsidRDefault="006C4368" w:rsidP="006C4368">
      <w:pPr>
        <w:pStyle w:val="3"/>
        <w:bidi/>
        <w:rPr>
          <w:rFonts w:ascii="Narkisim" w:hAnsi="Narkisim"/>
        </w:rPr>
      </w:pPr>
      <w:r w:rsidRPr="00A47A11">
        <w:rPr>
          <w:rFonts w:ascii="Narkisim" w:hAnsi="Narkisim"/>
          <w:rtl/>
        </w:rPr>
        <w:t>דף פז.</w:t>
      </w:r>
    </w:p>
    <w:p w14:paraId="61914D73" w14:textId="77777777" w:rsidR="006C4368" w:rsidRPr="00A47A11" w:rsidRDefault="006C4368" w:rsidP="006C4368">
      <w:pPr>
        <w:pStyle w:val="aa"/>
        <w:bidi/>
        <w:rPr>
          <w:rFonts w:ascii="Narkisim" w:hAnsi="Narkisim"/>
        </w:rPr>
      </w:pPr>
      <w:r w:rsidRPr="00A47A11">
        <w:rPr>
          <w:rFonts w:ascii="Narkisim" w:hAnsi="Narkisim"/>
          <w:u w:val="single"/>
          <w:rtl/>
        </w:rPr>
        <w:t>בת כהן שניסת לישראל וכו' מת וכו' ניסת ללוי וכו' מת וכו' ניסת לכהן וכו'</w:t>
      </w:r>
      <w:r w:rsidRPr="00A47A11">
        <w:rPr>
          <w:rFonts w:ascii="Narkisim" w:hAnsi="Narkisim"/>
          <w:rtl/>
        </w:rPr>
        <w:t>. ה</w:t>
      </w:r>
      <w:r w:rsidRPr="00A47A11">
        <w:rPr>
          <w:rFonts w:ascii="Narkisim" w:hAnsi="Narkisim"/>
          <w:b/>
          <w:bCs/>
          <w:rtl/>
        </w:rPr>
        <w:t>פור"י</w:t>
      </w:r>
      <w:r w:rsidRPr="00A47A11">
        <w:rPr>
          <w:rFonts w:ascii="Narkisim" w:hAnsi="Narkisim"/>
          <w:rtl/>
        </w:rPr>
        <w:t xml:space="preserve"> הק' האיך מותרת לינשא לשלישי, דהוה קטלנית (ע' לעיל סד:)</w:t>
      </w:r>
      <w:r w:rsidRPr="00A47A11">
        <w:rPr>
          <w:rStyle w:val="ac"/>
          <w:rFonts w:ascii="Narkisim" w:hAnsi="Narkisim"/>
          <w:rtl/>
        </w:rPr>
        <w:footnoteReference w:id="5265"/>
      </w:r>
      <w:r w:rsidRPr="00A47A11">
        <w:rPr>
          <w:rFonts w:ascii="Narkisim" w:hAnsi="Narkisim"/>
          <w:rtl/>
        </w:rPr>
        <w:t>. וע"כ מת דוקא ולא נתגרשה, דהא נשאת אח"כ לכהן.</w:t>
      </w:r>
    </w:p>
    <w:p w14:paraId="1E553056" w14:textId="77777777" w:rsidR="006C4368" w:rsidRPr="00A47A11" w:rsidRDefault="006C4368" w:rsidP="006C4368">
      <w:pPr>
        <w:bidi/>
        <w:rPr>
          <w:rFonts w:ascii="Narkisim" w:hAnsi="Narkisim" w:cs="Narkisim"/>
        </w:rPr>
      </w:pPr>
      <w:r w:rsidRPr="00A47A11">
        <w:rPr>
          <w:rFonts w:ascii="Narkisim" w:hAnsi="Narkisim" w:cs="Narkisim"/>
          <w:u w:val="single"/>
          <w:rtl/>
        </w:rPr>
        <w:t>ניסת לכהן וכו' מת ולה הימנו בן תאכל בתרומה וכו'</w:t>
      </w:r>
      <w:r w:rsidRPr="00A47A11">
        <w:rPr>
          <w:rFonts w:ascii="Narkisim" w:hAnsi="Narkisim" w:cs="Narkisim"/>
          <w:rtl/>
        </w:rPr>
        <w:t>. ה</w:t>
      </w:r>
      <w:r w:rsidRPr="00A47A11">
        <w:rPr>
          <w:rFonts w:ascii="Narkisim" w:hAnsi="Narkisim" w:cs="Narkisim"/>
          <w:b/>
          <w:bCs/>
          <w:rtl/>
        </w:rPr>
        <w:t>ערול"נ</w:t>
      </w:r>
      <w:r w:rsidRPr="00A47A11">
        <w:rPr>
          <w:rFonts w:ascii="Narkisim" w:hAnsi="Narkisim" w:cs="Narkisim"/>
          <w:rtl/>
        </w:rPr>
        <w:t xml:space="preserve"> הק' דהא יש לה בן גם מכהן וגם מישראל, ואמאי אוכלת בתרומה. ומ"ש דברישא דמתני' כשיש לה בן מכהן וישראל אינה אוכלת בתרומה.</w:t>
      </w:r>
    </w:p>
    <w:p w14:paraId="452C1AE0"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רמב"ם</w:t>
      </w:r>
      <w:r w:rsidRPr="00A47A11">
        <w:rPr>
          <w:rFonts w:ascii="Narkisim" w:hAnsi="Narkisim"/>
          <w:rtl/>
        </w:rPr>
        <w:t xml:space="preserve"> (תרומות ו יט) כת' דבת ישראל דכשנשאת לישראל תחילה, ויש לה ממנו בן, וחזרה ונשאת לכהן ויש לה בן, אוכלת מפני בנה האחרון</w:t>
      </w:r>
      <w:r w:rsidRPr="00A47A11">
        <w:rPr>
          <w:rStyle w:val="ac"/>
          <w:rFonts w:ascii="Narkisim" w:hAnsi="Narkisim"/>
          <w:rtl/>
        </w:rPr>
        <w:footnoteReference w:id="5266"/>
      </w:r>
      <w:r w:rsidRPr="00A47A11">
        <w:rPr>
          <w:rFonts w:ascii="Narkisim" w:hAnsi="Narkisim"/>
          <w:rtl/>
        </w:rPr>
        <w:t>. שהרי הוא מאכילה כמו שהאכילה אביו</w:t>
      </w:r>
      <w:r w:rsidRPr="00A47A11">
        <w:rPr>
          <w:rStyle w:val="ac"/>
          <w:rFonts w:ascii="Narkisim" w:hAnsi="Narkisim"/>
          <w:rtl/>
        </w:rPr>
        <w:footnoteReference w:id="5267"/>
      </w:r>
      <w:r w:rsidRPr="00A47A11">
        <w:rPr>
          <w:rFonts w:ascii="Narkisim" w:hAnsi="Narkisim"/>
          <w:rtl/>
        </w:rPr>
        <w:t>.</w:t>
      </w:r>
    </w:p>
    <w:p w14:paraId="480FCFBA" w14:textId="77777777" w:rsidR="006C4368" w:rsidRPr="00A47A11" w:rsidRDefault="006C4368" w:rsidP="006C4368">
      <w:pPr>
        <w:pStyle w:val="a7"/>
        <w:bidi/>
        <w:rPr>
          <w:rFonts w:ascii="Narkisim" w:hAnsi="Narkisim"/>
        </w:rPr>
      </w:pPr>
      <w:r w:rsidRPr="00A47A11">
        <w:rPr>
          <w:rFonts w:ascii="Narkisim" w:hAnsi="Narkisim"/>
          <w:rtl/>
        </w:rPr>
        <w:t>וה</w:t>
      </w:r>
      <w:r w:rsidRPr="00A47A11">
        <w:rPr>
          <w:rFonts w:ascii="Narkisim" w:hAnsi="Narkisim"/>
          <w:b/>
          <w:bCs/>
          <w:rtl/>
        </w:rPr>
        <w:t>יש"ש</w:t>
      </w:r>
      <w:r w:rsidRPr="00A47A11">
        <w:rPr>
          <w:rFonts w:ascii="Narkisim" w:hAnsi="Narkisim"/>
          <w:rtl/>
        </w:rPr>
        <w:t xml:space="preserve"> (ט) ביאר דאוכלת בשביל בנה האחרון, ובנה הראשון אינו פוסל לה [כמו ברישא], משום דחשבינן לה כאלו היא עדיין ברשות הכהן, שהרי הבן עומד במקום האב [וציין דכ"כ הרמב"ם].</w:t>
      </w:r>
    </w:p>
    <w:p w14:paraId="21A0EFEF" w14:textId="77777777" w:rsidR="006C4368" w:rsidRPr="00A47A11" w:rsidRDefault="006C4368" w:rsidP="006C4368">
      <w:pPr>
        <w:pStyle w:val="a7"/>
        <w:bidi/>
        <w:rPr>
          <w:rFonts w:ascii="Narkisim" w:hAnsi="Narkisim"/>
        </w:rPr>
      </w:pPr>
      <w:r w:rsidRPr="00A47A11">
        <w:rPr>
          <w:rFonts w:ascii="Narkisim" w:hAnsi="Narkisim"/>
          <w:rtl/>
        </w:rPr>
        <w:t>אבל ה</w:t>
      </w:r>
      <w:r w:rsidRPr="00A47A11">
        <w:rPr>
          <w:rFonts w:ascii="Narkisim" w:hAnsi="Narkisim"/>
          <w:b/>
          <w:bCs/>
          <w:rtl/>
        </w:rPr>
        <w:t>ערול"נ</w:t>
      </w:r>
      <w:r w:rsidRPr="00A47A11">
        <w:rPr>
          <w:rFonts w:ascii="Narkisim" w:hAnsi="Narkisim"/>
          <w:rtl/>
        </w:rPr>
        <w:t xml:space="preserve"> כת' די"ל עוד [לולי דברי הרמב"ם] דברישא איירי בבת ישראל, ומש"ה כשיש לה ב' בנים אינה אוכלת. אבל בסיפא איירי בבת כהן, שאוכלת מחמת עצמה</w:t>
      </w:r>
      <w:r w:rsidRPr="00A47A11">
        <w:rPr>
          <w:rStyle w:val="ac"/>
          <w:rFonts w:ascii="Narkisim" w:hAnsi="Narkisim"/>
          <w:rtl/>
        </w:rPr>
        <w:footnoteReference w:id="5268"/>
      </w:r>
      <w:r w:rsidRPr="00A47A11">
        <w:rPr>
          <w:rFonts w:ascii="Narkisim" w:hAnsi="Narkisim"/>
          <w:rtl/>
        </w:rPr>
        <w:t>. ומש"ה אף כשיש לה בן מכהן ובן מישראל אוכלת. [וצ"ע הטעם בחילוק זה</w:t>
      </w:r>
      <w:r w:rsidRPr="00A47A11">
        <w:rPr>
          <w:rStyle w:val="ac"/>
          <w:rFonts w:ascii="Narkisim" w:hAnsi="Narkisim"/>
          <w:rtl/>
        </w:rPr>
        <w:footnoteReference w:id="5269"/>
      </w:r>
      <w:r w:rsidRPr="00A47A11">
        <w:rPr>
          <w:rFonts w:ascii="Narkisim" w:hAnsi="Narkisim"/>
          <w:rtl/>
        </w:rPr>
        <w:t>].</w:t>
      </w:r>
    </w:p>
    <w:p w14:paraId="362163BD" w14:textId="77777777" w:rsidR="006C4368" w:rsidRPr="00A47A11" w:rsidRDefault="006C4368" w:rsidP="006C4368">
      <w:pPr>
        <w:pStyle w:val="a8"/>
        <w:bidi/>
        <w:rPr>
          <w:rFonts w:ascii="Narkisim" w:hAnsi="Narkisim"/>
        </w:rPr>
      </w:pPr>
      <w:r w:rsidRPr="00A47A11">
        <w:rPr>
          <w:rFonts w:ascii="Narkisim" w:hAnsi="Narkisim"/>
          <w:rtl/>
        </w:rPr>
        <w:t>וכן משמע מדברי ה</w:t>
      </w:r>
      <w:r w:rsidRPr="00A47A11">
        <w:rPr>
          <w:rFonts w:ascii="Narkisim" w:hAnsi="Narkisim"/>
          <w:b/>
          <w:bCs/>
          <w:rtl/>
        </w:rPr>
        <w:t>מאירי</w:t>
      </w:r>
      <w:r w:rsidRPr="00A47A11">
        <w:rPr>
          <w:rFonts w:ascii="Narkisim" w:hAnsi="Narkisim"/>
          <w:rtl/>
        </w:rPr>
        <w:t xml:space="preserve"> שכת' דהיכא דיש לה בן מכהן תאכל בתרומה, ואין זרעה שמישראל פוסלתה אחר שהיא בת כהן, ושיש לה בן מכהן. אך בהמשך דבריו כת' המאירי אבל בת ישראל שנשאת לישראל תחלה ויש לה ממנו בן וכו' וחזרה ונשאת לכהן ומת ולה ממנו בן אוכלת בתרומה. אע"פ שזרעה שמישראל קיים אוכלת בשביל בנה שמכהן שהוא מאכילה כמו שהיה אביו מאכילה. [וצ"ב סתירת דבריו].</w:t>
      </w:r>
    </w:p>
    <w:p w14:paraId="39FC212D" w14:textId="77777777" w:rsidR="006C4368" w:rsidRPr="00A47A11" w:rsidRDefault="006C4368" w:rsidP="006C4368">
      <w:pPr>
        <w:pStyle w:val="aa"/>
        <w:bidi/>
        <w:rPr>
          <w:rFonts w:ascii="Narkisim" w:hAnsi="Narkisim"/>
        </w:rPr>
      </w:pPr>
      <w:r w:rsidRPr="00A47A11">
        <w:rPr>
          <w:rFonts w:ascii="Narkisim" w:hAnsi="Narkisim"/>
          <w:u w:val="single"/>
          <w:rtl/>
        </w:rPr>
        <w:t>דהדרא אכלה משום בנה מנ"ל וכו'</w:t>
      </w:r>
      <w:r w:rsidRPr="00A47A11">
        <w:rPr>
          <w:rFonts w:ascii="Narkisim" w:hAnsi="Narkisim"/>
          <w:rtl/>
        </w:rPr>
        <w:t>. ה</w:t>
      </w:r>
      <w:r w:rsidRPr="00A47A11">
        <w:rPr>
          <w:rFonts w:ascii="Narkisim" w:hAnsi="Narkisim"/>
          <w:b/>
          <w:bCs/>
          <w:rtl/>
        </w:rPr>
        <w:t>רמב"ן</w:t>
      </w:r>
      <w:r w:rsidRPr="00A47A11">
        <w:rPr>
          <w:rFonts w:ascii="Narkisim" w:hAnsi="Narkisim"/>
          <w:rtl/>
        </w:rPr>
        <w:t xml:space="preserve"> דייק דדרשי' מהכא ד'חוזרת' לאכול משום בנה. משמע דידעינן כבר דאוכלת מעיקרא בשביל בנה. והביא דה</w:t>
      </w:r>
      <w:r w:rsidRPr="00A47A11">
        <w:rPr>
          <w:rFonts w:ascii="Narkisim" w:hAnsi="Narkisim"/>
          <w:b/>
          <w:bCs/>
          <w:rtl/>
        </w:rPr>
        <w:t>ראב"ד</w:t>
      </w:r>
      <w:r w:rsidRPr="00A47A11">
        <w:rPr>
          <w:rFonts w:ascii="Narkisim" w:hAnsi="Narkisim"/>
          <w:rtl/>
        </w:rPr>
        <w:t xml:space="preserve"> הק' מנ"ל. וכ"ת משום דדרשי' 'הם יאכלו בלחמו', וקרינן יאכילו, ודחה דאיצטריך קרא (גיטין מג.) דיליד ביתו אוכל אף שאינו שווה כסף. וה</w:t>
      </w:r>
      <w:r w:rsidRPr="00A47A11">
        <w:rPr>
          <w:rFonts w:ascii="Narkisim" w:hAnsi="Narkisim"/>
          <w:b/>
          <w:bCs/>
          <w:rtl/>
        </w:rPr>
        <w:t>רמב"ן</w:t>
      </w:r>
      <w:r w:rsidRPr="00A47A11">
        <w:rPr>
          <w:rFonts w:ascii="Narkisim" w:hAnsi="Narkisim"/>
          <w:rtl/>
        </w:rPr>
        <w:t xml:space="preserve"> תי' דמ"מ הפסוק הם יאכלו מיותר לדרוש. דא"כ ליכתוב רחמנא קנין כספו הוא יאכל בו ויליד ביתו, א"נ קנין כספו ויליד ביתו הוא יאכל בו. ודרשי' תרתי מ'יליד ביתו' לעבד שאינו שוה כלום שאוכל, ולזרעה שמאכיל.</w:t>
      </w:r>
    </w:p>
    <w:p w14:paraId="18919B2F" w14:textId="77777777" w:rsidR="006C4368" w:rsidRPr="00A47A11" w:rsidRDefault="006C4368" w:rsidP="006C4368">
      <w:pPr>
        <w:bidi/>
        <w:rPr>
          <w:rFonts w:ascii="Narkisim" w:hAnsi="Narkisim" w:cs="Narkisim"/>
        </w:rPr>
      </w:pPr>
      <w:r w:rsidRPr="00A47A11">
        <w:rPr>
          <w:rFonts w:ascii="Narkisim" w:hAnsi="Narkisim" w:cs="Narkisim"/>
          <w:u w:val="single"/>
          <w:rtl/>
        </w:rPr>
        <w:t>ת"ר וכו' ואינה חוזרת לחזה ושוק</w:t>
      </w:r>
      <w:r w:rsidRPr="00A47A11">
        <w:rPr>
          <w:rFonts w:ascii="Narkisim" w:hAnsi="Narkisim" w:cs="Narkisim"/>
          <w:rtl/>
        </w:rPr>
        <w:t>. ורבא דרש מקרא 'בניך ובנותיך אתך', בזמן שאתך. והיכא דיצאת וחזרה</w:t>
      </w:r>
      <w:r w:rsidRPr="00A47A11">
        <w:rPr>
          <w:rStyle w:val="ac"/>
          <w:rFonts w:ascii="Narkisim" w:hAnsi="Narkisim" w:cs="Narkisim"/>
          <w:rtl/>
        </w:rPr>
        <w:footnoteReference w:id="5270"/>
      </w:r>
      <w:r w:rsidRPr="00A47A11">
        <w:rPr>
          <w:rFonts w:ascii="Narkisim" w:hAnsi="Narkisim" w:cs="Narkisim"/>
          <w:rtl/>
        </w:rPr>
        <w:t xml:space="preserve"> אינה בגדר 'אתך', אבל כל זמן שלא יצאת אפי' בוגרת וכדו' נחשב 'אתך'</w:t>
      </w:r>
      <w:r w:rsidRPr="00A47A11">
        <w:rPr>
          <w:rStyle w:val="ac"/>
          <w:rFonts w:ascii="Narkisim" w:hAnsi="Narkisim" w:cs="Narkisim"/>
          <w:rtl/>
        </w:rPr>
        <w:footnoteReference w:id="5271"/>
      </w:r>
      <w:r w:rsidRPr="00A47A11">
        <w:rPr>
          <w:rFonts w:ascii="Narkisim" w:hAnsi="Narkisim" w:cs="Narkisim"/>
          <w:rtl/>
        </w:rPr>
        <w:t>. דהוה ברשות אביה עד שתנשא.</w:t>
      </w:r>
    </w:p>
    <w:p w14:paraId="24FB19C4" w14:textId="77777777" w:rsidR="006C4368" w:rsidRPr="00A47A11" w:rsidRDefault="006C4368" w:rsidP="006C4368">
      <w:pPr>
        <w:pStyle w:val="aa"/>
        <w:bidi/>
        <w:rPr>
          <w:rFonts w:ascii="Narkisim" w:hAnsi="Narkisim"/>
        </w:rPr>
      </w:pPr>
      <w:r w:rsidRPr="00A47A11">
        <w:rPr>
          <w:rFonts w:ascii="Narkisim" w:hAnsi="Narkisim"/>
          <w:u w:val="single"/>
          <w:rtl/>
        </w:rPr>
        <w:t>ואימא פרט להפרת נדריה וכו'</w:t>
      </w:r>
      <w:r w:rsidRPr="00A47A11">
        <w:rPr>
          <w:rFonts w:ascii="Narkisim" w:hAnsi="Narkisim"/>
          <w:rtl/>
        </w:rPr>
        <w:t>. ה</w:t>
      </w:r>
      <w:r w:rsidRPr="00A47A11">
        <w:rPr>
          <w:rFonts w:ascii="Narkisim" w:hAnsi="Narkisim"/>
          <w:b/>
          <w:bCs/>
          <w:rtl/>
        </w:rPr>
        <w:t>ריטב"א</w:t>
      </w:r>
      <w:r w:rsidRPr="00A47A11">
        <w:rPr>
          <w:rFonts w:ascii="Narkisim" w:hAnsi="Narkisim"/>
          <w:rtl/>
        </w:rPr>
        <w:t xml:space="preserve"> פי' כלומר שהאב אינו כופה את בתו לאכול בלחמו אם נדרה </w:t>
      </w:r>
      <w:r w:rsidRPr="00A47A11">
        <w:rPr>
          <w:rFonts w:ascii="Narkisim" w:hAnsi="Narkisim"/>
          <w:rtl/>
        </w:rPr>
        <w:lastRenderedPageBreak/>
        <w:t>ממנו</w:t>
      </w:r>
      <w:r w:rsidRPr="00A47A11">
        <w:rPr>
          <w:rStyle w:val="ac"/>
          <w:rFonts w:ascii="Narkisim" w:hAnsi="Narkisim"/>
          <w:rtl/>
        </w:rPr>
        <w:footnoteReference w:id="5272"/>
      </w:r>
      <w:r w:rsidRPr="00A47A11">
        <w:rPr>
          <w:rFonts w:ascii="Narkisim" w:hAnsi="Narkisim"/>
          <w:rtl/>
        </w:rPr>
        <w:t>. דכיון דיצאת מרשותו אינו יכול להפר נדריה.</w:t>
      </w:r>
    </w:p>
    <w:p w14:paraId="501836D0" w14:textId="77777777" w:rsidR="006C4368" w:rsidRPr="00A47A11" w:rsidRDefault="006C4368" w:rsidP="006C4368">
      <w:pPr>
        <w:bidi/>
        <w:rPr>
          <w:rFonts w:ascii="Narkisim" w:hAnsi="Narkisim" w:cs="Narkisim"/>
        </w:rPr>
      </w:pPr>
      <w:r w:rsidRPr="00A47A11">
        <w:rPr>
          <w:rFonts w:ascii="Narkisim" w:hAnsi="Narkisim" w:cs="Narkisim"/>
          <w:u w:val="single"/>
          <w:rtl/>
        </w:rPr>
        <w:t>רב פפא אמר מלחם אביה תאכל, לחם הקנוי לאביה, פרט לחזה ושוק דמשלחן גבוה קא זכו</w:t>
      </w:r>
      <w:r w:rsidRPr="00A47A11">
        <w:rPr>
          <w:rStyle w:val="ac"/>
          <w:rFonts w:ascii="Narkisim" w:hAnsi="Narkisim" w:cs="Narkisim"/>
          <w:rtl/>
        </w:rPr>
        <w:footnoteReference w:id="5273"/>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דשיירי קדשים הוה כמשאת מאת פני ה', שהם שיירי שולחנו. אבל תרומה קנויה לכהן, דאינו שירי שולחן המלך</w:t>
      </w:r>
      <w:r w:rsidRPr="00A47A11">
        <w:rPr>
          <w:rStyle w:val="ac"/>
          <w:rFonts w:ascii="Narkisim" w:hAnsi="Narkisim" w:cs="Narkisim"/>
          <w:rtl/>
        </w:rPr>
        <w:footnoteReference w:id="5274"/>
      </w:r>
      <w:r w:rsidRPr="00A47A11">
        <w:rPr>
          <w:rFonts w:ascii="Narkisim" w:hAnsi="Narkisim" w:cs="Narkisim"/>
          <w:rtl/>
        </w:rPr>
        <w:t>. וכן אי' (לעיל עג.) דתרומה הוה ממון כהן. ואילו חלק כהן בקדשים הוה ממון גבוה (וכדאי' קידושין נב: וכ”מ).</w:t>
      </w:r>
    </w:p>
    <w:p w14:paraId="4BFBB5C2" w14:textId="77777777" w:rsidR="006C4368" w:rsidRPr="00A47A11" w:rsidRDefault="006C4368" w:rsidP="006C4368">
      <w:pPr>
        <w:pStyle w:val="aa"/>
        <w:bidi/>
        <w:rPr>
          <w:rFonts w:ascii="Narkisim" w:hAnsi="Narkisim"/>
        </w:rPr>
      </w:pPr>
      <w:r w:rsidRPr="00A47A11">
        <w:rPr>
          <w:rFonts w:ascii="Narkisim" w:hAnsi="Narkisim"/>
          <w:u w:val="single"/>
          <w:rtl/>
        </w:rPr>
        <w:t>אמר רב אדא וכו' בשביל בנה חוזרת אף לחזה ושוק וכו' מי עדיפא ליה וכו' לא כתיבי מיעוטא</w:t>
      </w:r>
      <w:r w:rsidRPr="00A47A11">
        <w:rPr>
          <w:rFonts w:ascii="Narkisim" w:hAnsi="Narkisim"/>
          <w:rtl/>
        </w:rPr>
        <w:t>. יש שפי' דאוכלת בשביל בנה הוה מחמת שהבן קיים עכשיו, ויש סיבה מעכשיו להאכילה. ומש"ה לא הוה בגדר 'חוזרת'. ואף דבעינן ילפותא וגילוי דלאחר שהפסיקה לאכול חוזרת, אבל לאחר דגלי קרא דחוזרת הגדר שאוכלת מכאן ולהבא מחמת בנה. משא"כ כשאוכלת מחמת אביה, הוה מחמת הסיבה הראשונית, ולאחר שיצאת אינה 'חוזרת' לחזה ושוק.</w:t>
      </w:r>
    </w:p>
    <w:p w14:paraId="1278B868" w14:textId="77777777" w:rsidR="006C4368" w:rsidRPr="00A47A11" w:rsidRDefault="006C4368" w:rsidP="006C4368">
      <w:pPr>
        <w:pStyle w:val="aa"/>
        <w:bidi/>
        <w:rPr>
          <w:rFonts w:ascii="Narkisim" w:hAnsi="Narkisim"/>
        </w:rPr>
      </w:pPr>
      <w:r w:rsidRPr="00A47A11">
        <w:rPr>
          <w:rFonts w:ascii="Narkisim" w:hAnsi="Narkisim"/>
          <w:u w:val="single"/>
          <w:rtl/>
        </w:rPr>
        <w:t>כנעוריה פרט למעוברת וכו'</w:t>
      </w:r>
      <w:r w:rsidRPr="00A47A11">
        <w:rPr>
          <w:rFonts w:ascii="Narkisim" w:hAnsi="Narkisim"/>
          <w:rtl/>
        </w:rPr>
        <w:t>. בפשוטו הגדר דכשיש לה עובר נחשב דיש קצת זרע מישראל, ופוסל ואינו מאכיל (וכדתנן לעיל סז:). אבל בגמ' (בסמוך בע"ב) אי' דמעוברת אינה חוזרת, דהוה גופא מליא. [והוה שינוי בגוף]. וע"ע בסמוך.</w:t>
      </w:r>
    </w:p>
    <w:p w14:paraId="3C473AF5" w14:textId="77777777" w:rsidR="006C4368" w:rsidRPr="00A47A11" w:rsidRDefault="006C4368" w:rsidP="006C4368">
      <w:pPr>
        <w:bidi/>
        <w:rPr>
          <w:rFonts w:ascii="Narkisim" w:hAnsi="Narkisim" w:cs="Narkisim"/>
        </w:rPr>
      </w:pPr>
      <w:r w:rsidRPr="00A47A11">
        <w:rPr>
          <w:rFonts w:ascii="Narkisim" w:hAnsi="Narkisim" w:cs="Narkisim"/>
          <w:u w:val="single"/>
          <w:rtl/>
        </w:rPr>
        <w:t>שלא עשה ולד מהראשון כולד מהשני לפוטרה מן הייבום וכו'</w:t>
      </w:r>
      <w:r w:rsidRPr="00A47A11">
        <w:rPr>
          <w:rFonts w:ascii="Narkisim" w:hAnsi="Narkisim" w:cs="Narkisim"/>
          <w:rtl/>
        </w:rPr>
        <w:t>. צ"ב מה הצד לעשות עובר כילוד לענין יבום, דבעינן הקמת שם ואין שמו מחוי. [ולא הוה דין באשה או בבעל ראשון, אלא בבעל שני שמת בלא בנים].</w:t>
      </w:r>
    </w:p>
    <w:p w14:paraId="13ADA64B" w14:textId="77777777" w:rsidR="006C4368" w:rsidRPr="00A47A11" w:rsidRDefault="006C4368" w:rsidP="006C4368">
      <w:pPr>
        <w:bidi/>
        <w:rPr>
          <w:rFonts w:ascii="Narkisim" w:hAnsi="Narkisim" w:cs="Narkisim"/>
        </w:rPr>
      </w:pPr>
      <w:r w:rsidRPr="00A47A11">
        <w:rPr>
          <w:rFonts w:ascii="Narkisim" w:hAnsi="Narkisim" w:cs="Narkisim"/>
          <w:u w:val="single"/>
          <w:rtl/>
        </w:rPr>
        <w:t>עשה עובר כילוד וכו'</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שאם היתה מעוברת פטורה וכו' עיין עליו. ה</w:t>
      </w:r>
      <w:r w:rsidRPr="00A47A11">
        <w:rPr>
          <w:rFonts w:ascii="Narkisim" w:hAnsi="Narkisim" w:cs="Narkisim"/>
          <w:b/>
          <w:bCs/>
          <w:rtl/>
        </w:rPr>
        <w:t>אחרונים</w:t>
      </w:r>
      <w:r w:rsidRPr="00A47A11">
        <w:rPr>
          <w:rFonts w:ascii="Narkisim" w:hAnsi="Narkisim" w:cs="Narkisim"/>
          <w:rtl/>
        </w:rPr>
        <w:t xml:space="preserve"> (רע"א, מל"ה ועוד) תמהו דמסקנת הגמ' (לעיל לו.) דולד אינו פוטר עד שיצא לאויר העולם.</w:t>
      </w:r>
    </w:p>
    <w:p w14:paraId="07D14432" w14:textId="77777777" w:rsidR="006C4368" w:rsidRPr="00A47A11" w:rsidRDefault="006C4368" w:rsidP="006C4368">
      <w:pPr>
        <w:bidi/>
        <w:rPr>
          <w:rFonts w:ascii="Narkisim" w:hAnsi="Narkisim" w:cs="Narkisim"/>
        </w:rPr>
      </w:pPr>
      <w:r w:rsidRPr="00A47A11">
        <w:rPr>
          <w:rFonts w:ascii="Narkisim" w:hAnsi="Narkisim" w:cs="Narkisim"/>
          <w:u w:val="single"/>
          <w:rtl/>
        </w:rPr>
        <w:t>ואי כתב רחמנא מעוברת דמעיקרא גופא סריקא והשתא גופא מליא וכו'</w:t>
      </w:r>
      <w:r w:rsidRPr="00A47A11">
        <w:rPr>
          <w:rFonts w:ascii="Narkisim" w:hAnsi="Narkisim" w:cs="Narkisim"/>
          <w:rtl/>
        </w:rPr>
        <w:t>. ואילו כשנולד הבן [והוה תרי גופא] ס"ד דחוזרת לבית אביה. ויל"פ דמעוברת הזרע מחובר לה, ומש"ה מעכב שלא תחזור לבית אביה. אבל לאחר שנולד ס"ד דאינו מעכב. ועוד יש שפי' דהוה סברא משום שינוי הגוף, דמעוברת יש שינוי בגוף ומש"ה אינה חוזרת.</w:t>
      </w:r>
    </w:p>
    <w:p w14:paraId="0231E771" w14:textId="77777777" w:rsidR="006C4368" w:rsidRPr="00A47A11" w:rsidRDefault="006C4368" w:rsidP="006C4368">
      <w:pPr>
        <w:pStyle w:val="a8"/>
        <w:bidi/>
        <w:rPr>
          <w:rFonts w:ascii="Narkisim" w:hAnsi="Narkisim"/>
        </w:rPr>
      </w:pPr>
      <w:r w:rsidRPr="00A47A11">
        <w:rPr>
          <w:rFonts w:ascii="Narkisim" w:hAnsi="Narkisim"/>
          <w:rtl/>
        </w:rPr>
        <w:t>ויש שדנו בעובר שהוא זרע זרעה, דבנה נשא אשה ונתעברה ומת בנה, האם חוזרת [להך ס"ד], דהיא אינה מעוברת [והוה חוצה לה].</w:t>
      </w:r>
    </w:p>
    <w:p w14:paraId="4F889325" w14:textId="77777777" w:rsidR="006C4368" w:rsidRPr="00A47A11" w:rsidRDefault="006C4368" w:rsidP="006C4368">
      <w:pPr>
        <w:pStyle w:val="3"/>
        <w:bidi/>
        <w:rPr>
          <w:rFonts w:ascii="Narkisim" w:hAnsi="Narkisim"/>
        </w:rPr>
      </w:pPr>
      <w:r w:rsidRPr="00A47A11">
        <w:rPr>
          <w:rFonts w:ascii="Narkisim" w:hAnsi="Narkisim"/>
          <w:rtl/>
        </w:rPr>
        <w:t>דף פז:</w:t>
      </w:r>
    </w:p>
    <w:p w14:paraId="4581DC05" w14:textId="77777777" w:rsidR="006C4368" w:rsidRPr="00A47A11" w:rsidRDefault="006C4368" w:rsidP="006C4368">
      <w:pPr>
        <w:bidi/>
        <w:rPr>
          <w:rFonts w:ascii="Narkisim" w:hAnsi="Narkisim" w:cs="Narkisim"/>
        </w:rPr>
      </w:pPr>
      <w:r w:rsidRPr="00A47A11">
        <w:rPr>
          <w:rFonts w:ascii="Narkisim" w:hAnsi="Narkisim" w:cs="Narkisim"/>
          <w:u w:val="single"/>
          <w:rtl/>
        </w:rPr>
        <w:t>אינו דין שלא נעשה מתים כחיים</w:t>
      </w:r>
      <w:r w:rsidRPr="00A47A11">
        <w:rPr>
          <w:rStyle w:val="ac"/>
          <w:rFonts w:ascii="Narkisim" w:hAnsi="Narkisim" w:cs="Narkisim"/>
          <w:u w:val="single"/>
          <w:rtl/>
        </w:rPr>
        <w:footnoteReference w:id="5275"/>
      </w:r>
      <w:r w:rsidRPr="00A47A11">
        <w:rPr>
          <w:rFonts w:ascii="Narkisim" w:hAnsi="Narkisim" w:cs="Narkisim"/>
          <w:u w:val="single"/>
          <w:rtl/>
        </w:rPr>
        <w:t>, ת"ל דרכיה דרכי נועם וכו'</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שנשאת לשוק [בהיתר] ומת בנה, ואינו דרכי נועם שתחלוץ. וילפי' מסברא זו דאף כשמת בנה קודם שנשאת לשוק</w:t>
      </w:r>
      <w:r w:rsidRPr="00A47A11">
        <w:rPr>
          <w:rStyle w:val="ac"/>
          <w:rFonts w:ascii="Narkisim" w:hAnsi="Narkisim" w:cs="Narkisim"/>
          <w:rtl/>
        </w:rPr>
        <w:footnoteReference w:id="5276"/>
      </w:r>
      <w:r w:rsidRPr="00A47A11">
        <w:rPr>
          <w:rFonts w:ascii="Narkisim" w:hAnsi="Narkisim" w:cs="Narkisim"/>
          <w:rtl/>
        </w:rPr>
        <w:t xml:space="preserve"> אינה זקוקה ליבום.</w:t>
      </w:r>
    </w:p>
    <w:p w14:paraId="21E273AD" w14:textId="77777777" w:rsidR="006C4368" w:rsidRPr="00A47A11" w:rsidRDefault="006C4368" w:rsidP="006C4368">
      <w:pPr>
        <w:bidi/>
        <w:rPr>
          <w:rFonts w:ascii="Narkisim" w:hAnsi="Narkisim" w:cs="Narkisim"/>
        </w:rPr>
      </w:pPr>
      <w:r w:rsidRPr="00A47A11">
        <w:rPr>
          <w:rFonts w:ascii="Narkisim" w:hAnsi="Narkisim" w:cs="Narkisim"/>
          <w:rtl/>
        </w:rPr>
        <w:t>ופ</w:t>
      </w:r>
      <w:r w:rsidRPr="00A47A11">
        <w:rPr>
          <w:rFonts w:ascii="Narkisim" w:hAnsi="Narkisim" w:cs="Narkisim"/>
          <w:b/>
          <w:bCs/>
          <w:rtl/>
        </w:rPr>
        <w:t>רש"י</w:t>
      </w:r>
      <w:r w:rsidRPr="00A47A11">
        <w:rPr>
          <w:rFonts w:ascii="Narkisim" w:hAnsi="Narkisim" w:cs="Narkisim"/>
          <w:rtl/>
        </w:rPr>
        <w:t xml:space="preserve"> דילפי' דע"כ דקרא ד'בן אין לו' קאי בשעת מיתה, והרי יש לו. וה</w:t>
      </w:r>
      <w:r w:rsidRPr="00A47A11">
        <w:rPr>
          <w:rFonts w:ascii="Narkisim" w:hAnsi="Narkisim" w:cs="Narkisim"/>
          <w:b/>
          <w:bCs/>
          <w:rtl/>
        </w:rPr>
        <w:t>אחרונים</w:t>
      </w:r>
      <w:r w:rsidRPr="00A47A11">
        <w:rPr>
          <w:rFonts w:ascii="Narkisim" w:hAnsi="Narkisim" w:cs="Narkisim"/>
          <w:rtl/>
        </w:rPr>
        <w:t xml:space="preserve"> דייקו מדבריו דדרכי נועם הוה גילוי אקרא ד'בן אין לו' דתלי בשעת מיתה.</w:t>
      </w:r>
    </w:p>
    <w:p w14:paraId="077C6EBF" w14:textId="77777777" w:rsidR="006C4368" w:rsidRPr="00A47A11" w:rsidRDefault="006C4368" w:rsidP="006C4368">
      <w:pPr>
        <w:pStyle w:val="a7"/>
        <w:bidi/>
        <w:rPr>
          <w:rFonts w:ascii="Narkisim" w:hAnsi="Narkisim"/>
        </w:rPr>
      </w:pPr>
      <w:r w:rsidRPr="00A47A11">
        <w:rPr>
          <w:rFonts w:ascii="Narkisim" w:hAnsi="Narkisim"/>
          <w:rtl/>
        </w:rPr>
        <w:t>אך לשון הגמ' ד'מתים כחיים' ופ</w:t>
      </w:r>
      <w:r w:rsidRPr="00A47A11">
        <w:rPr>
          <w:rFonts w:ascii="Narkisim" w:hAnsi="Narkisim"/>
          <w:b/>
          <w:bCs/>
          <w:rtl/>
        </w:rPr>
        <w:t>רש"י</w:t>
      </w:r>
      <w:r w:rsidRPr="00A47A11">
        <w:rPr>
          <w:rFonts w:ascii="Narkisim" w:hAnsi="Narkisim"/>
          <w:rtl/>
        </w:rPr>
        <w:t xml:space="preserve"> (בע"א) דהרי הוא כחי. [משמע דהגדר דנחשב עכשיו שהוא כחי].</w:t>
      </w:r>
    </w:p>
    <w:p w14:paraId="4BB14005" w14:textId="77777777" w:rsidR="006C4368" w:rsidRPr="00A47A11" w:rsidRDefault="006C4368" w:rsidP="006C4368">
      <w:pPr>
        <w:bidi/>
        <w:rPr>
          <w:rFonts w:ascii="Narkisim" w:hAnsi="Narkisim" w:cs="Narkisim"/>
        </w:rPr>
      </w:pPr>
      <w:r w:rsidRPr="00A47A11">
        <w:rPr>
          <w:rFonts w:ascii="Narkisim" w:hAnsi="Narkisim" w:cs="Narkisim"/>
          <w:rtl/>
        </w:rPr>
        <w:t>וה</w:t>
      </w:r>
      <w:r w:rsidRPr="00A47A11">
        <w:rPr>
          <w:rFonts w:ascii="Narkisim" w:hAnsi="Narkisim" w:cs="Narkisim"/>
          <w:b/>
          <w:bCs/>
          <w:rtl/>
        </w:rPr>
        <w:t>אחרונים</w:t>
      </w:r>
      <w:r w:rsidRPr="00A47A11">
        <w:rPr>
          <w:rFonts w:ascii="Narkisim" w:hAnsi="Narkisim" w:cs="Narkisim"/>
          <w:rtl/>
        </w:rPr>
        <w:t xml:space="preserve"> (קובה"ע ו, חי' ר' ראובן) חקרו אי דרכי נועם הוה סיבת הפטור, או דהוה 'סימן' </w:t>
      </w:r>
      <w:r w:rsidRPr="00A47A11">
        <w:rPr>
          <w:rFonts w:ascii="Narkisim" w:hAnsi="Narkisim" w:cs="Narkisim"/>
          <w:rtl/>
        </w:rPr>
        <w:lastRenderedPageBreak/>
        <w:t>דהנפילה ליבום הוה בשעת מיתת הבעל</w:t>
      </w:r>
      <w:r w:rsidRPr="00A47A11">
        <w:rPr>
          <w:rStyle w:val="ac"/>
          <w:rFonts w:ascii="Narkisim" w:hAnsi="Narkisim" w:cs="Narkisim"/>
          <w:rtl/>
        </w:rPr>
        <w:footnoteReference w:id="5277"/>
      </w:r>
      <w:r w:rsidRPr="00A47A11">
        <w:rPr>
          <w:rFonts w:ascii="Narkisim" w:hAnsi="Narkisim" w:cs="Narkisim"/>
          <w:rtl/>
        </w:rPr>
        <w:t xml:space="preserve">. והביאו דכ”מ מדברי </w:t>
      </w:r>
      <w:r w:rsidRPr="00A47A11">
        <w:rPr>
          <w:rFonts w:ascii="Narkisim" w:hAnsi="Narkisim" w:cs="Narkisim"/>
          <w:b/>
          <w:bCs/>
          <w:rtl/>
        </w:rPr>
        <w:t>רש”י</w:t>
      </w:r>
      <w:r w:rsidRPr="00A47A11">
        <w:rPr>
          <w:rFonts w:ascii="Narkisim" w:hAnsi="Narkisim" w:cs="Narkisim"/>
          <w:rtl/>
        </w:rPr>
        <w:t xml:space="preserve"> דגלי אקרא דבן אין לו. [ודנו בדעת תוס'].</w:t>
      </w:r>
    </w:p>
    <w:p w14:paraId="69F1E737" w14:textId="77777777" w:rsidR="006C4368" w:rsidRPr="00A47A11" w:rsidRDefault="006C4368" w:rsidP="006C4368">
      <w:pPr>
        <w:bidi/>
        <w:rPr>
          <w:rFonts w:ascii="Narkisim" w:hAnsi="Narkisim" w:cs="Narkisim"/>
        </w:rPr>
      </w:pPr>
      <w:r w:rsidRPr="00A47A11">
        <w:rPr>
          <w:rFonts w:ascii="Narkisim" w:hAnsi="Narkisim" w:cs="Narkisim"/>
          <w:b/>
          <w:bCs/>
          <w:rtl/>
        </w:rPr>
        <w:t>תוס'</w:t>
      </w:r>
      <w:r w:rsidRPr="00A47A11">
        <w:rPr>
          <w:rFonts w:ascii="Narkisim" w:hAnsi="Narkisim" w:cs="Narkisim"/>
          <w:rtl/>
        </w:rPr>
        <w:t xml:space="preserve"> וה</w:t>
      </w:r>
      <w:r w:rsidRPr="00A47A11">
        <w:rPr>
          <w:rFonts w:ascii="Narkisim" w:hAnsi="Narkisim" w:cs="Narkisim"/>
          <w:b/>
          <w:bCs/>
          <w:rtl/>
        </w:rPr>
        <w:t>ראשונים</w:t>
      </w:r>
      <w:r w:rsidRPr="00A47A11">
        <w:rPr>
          <w:rFonts w:ascii="Narkisim" w:hAnsi="Narkisim" w:cs="Narkisim"/>
          <w:rtl/>
        </w:rPr>
        <w:t xml:space="preserve"> (לעיל יז:) הק' דאף אשת אחיו שלא היה בעולמו נימא דפטורה משום דרכי נועם, ולמה לי דפטר רחמנא משום דלא היה בעולם</w:t>
      </w:r>
      <w:r w:rsidRPr="00A47A11">
        <w:rPr>
          <w:rStyle w:val="ac"/>
          <w:rFonts w:ascii="Narkisim" w:hAnsi="Narkisim" w:cs="Narkisim"/>
          <w:rtl/>
        </w:rPr>
        <w:footnoteReference w:id="5278"/>
      </w:r>
      <w:r w:rsidRPr="00A47A11">
        <w:rPr>
          <w:rFonts w:ascii="Narkisim" w:hAnsi="Narkisim" w:cs="Narkisim"/>
          <w:rtl/>
        </w:rPr>
        <w:t>. ו</w:t>
      </w:r>
      <w:r w:rsidRPr="00A47A11">
        <w:rPr>
          <w:rFonts w:ascii="Narkisim" w:hAnsi="Narkisim" w:cs="Narkisim"/>
          <w:b/>
          <w:bCs/>
          <w:rtl/>
        </w:rPr>
        <w:t>תוס</w:t>
      </w:r>
      <w:r w:rsidRPr="00A47A11">
        <w:rPr>
          <w:rFonts w:ascii="Narkisim" w:hAnsi="Narkisim" w:cs="Narkisim"/>
          <w:rtl/>
        </w:rPr>
        <w:t>' תי' כגון שהיתה חמותו מעוברת</w:t>
      </w:r>
      <w:r w:rsidRPr="00A47A11">
        <w:rPr>
          <w:rStyle w:val="ac"/>
          <w:rFonts w:ascii="Narkisim" w:hAnsi="Narkisim" w:cs="Narkisim"/>
          <w:rtl/>
        </w:rPr>
        <w:footnoteReference w:id="5279"/>
      </w:r>
      <w:r w:rsidRPr="00A47A11">
        <w:rPr>
          <w:rFonts w:ascii="Narkisim" w:hAnsi="Narkisim" w:cs="Narkisim"/>
          <w:rtl/>
        </w:rPr>
        <w:t>.</w:t>
      </w:r>
    </w:p>
    <w:p w14:paraId="00401C4D" w14:textId="77777777" w:rsidR="006C4368" w:rsidRPr="00A47A11" w:rsidRDefault="006C4368" w:rsidP="006C4368">
      <w:pPr>
        <w:pStyle w:val="a7"/>
        <w:bidi/>
        <w:rPr>
          <w:rFonts w:ascii="Narkisim" w:hAnsi="Narkisim"/>
        </w:rPr>
      </w:pPr>
      <w:r w:rsidRPr="00A47A11">
        <w:rPr>
          <w:rFonts w:ascii="Narkisim" w:hAnsi="Narkisim"/>
          <w:rtl/>
        </w:rPr>
        <w:t>אבל ה</w:t>
      </w:r>
      <w:r w:rsidRPr="00A47A11">
        <w:rPr>
          <w:rFonts w:ascii="Narkisim" w:hAnsi="Narkisim"/>
          <w:b/>
          <w:bCs/>
          <w:rtl/>
        </w:rPr>
        <w:t>ראשונים</w:t>
      </w:r>
      <w:r w:rsidRPr="00A47A11">
        <w:rPr>
          <w:rFonts w:ascii="Narkisim" w:hAnsi="Narkisim"/>
          <w:rtl/>
        </w:rPr>
        <w:t xml:space="preserve"> (שם) תי' דאיצטריך היכא דיש שאר אחים, דאסורה לינשא לשוק מחמתם.</w:t>
      </w:r>
    </w:p>
    <w:p w14:paraId="368A57FE" w14:textId="77777777" w:rsidR="006C4368" w:rsidRPr="00A47A11" w:rsidRDefault="006C4368" w:rsidP="006C4368">
      <w:pPr>
        <w:pStyle w:val="a7"/>
        <w:bidi/>
        <w:rPr>
          <w:rFonts w:ascii="Narkisim" w:hAnsi="Narkisim"/>
        </w:rPr>
      </w:pPr>
      <w:r w:rsidRPr="00A47A11">
        <w:rPr>
          <w:rFonts w:ascii="Narkisim" w:hAnsi="Narkisim"/>
          <w:rtl/>
        </w:rPr>
        <w:t xml:space="preserve">אך </w:t>
      </w:r>
      <w:r w:rsidRPr="00A47A11">
        <w:rPr>
          <w:rFonts w:ascii="Narkisim" w:hAnsi="Narkisim"/>
          <w:b/>
          <w:bCs/>
          <w:rtl/>
        </w:rPr>
        <w:t>תוס</w:t>
      </w:r>
      <w:r w:rsidRPr="00A47A11">
        <w:rPr>
          <w:rFonts w:ascii="Narkisim" w:hAnsi="Narkisim"/>
          <w:rtl/>
        </w:rPr>
        <w:t>' (לעיל ב. ד”ה ואחות בתי' הב') כת' דאף היכא דנפטרה מיבם א' [דהוה ערוה עליו], אין זה דרכי שלום שתזקק לו. ואפי' דלא מדחיא מהאי ביתא לגמרי [וזקוקה לאחיו].</w:t>
      </w:r>
    </w:p>
    <w:p w14:paraId="745E7095" w14:textId="77777777" w:rsidR="006C4368" w:rsidRPr="00A47A11" w:rsidRDefault="006C4368" w:rsidP="006C4368">
      <w:pPr>
        <w:pStyle w:val="aa"/>
        <w:bidi/>
        <w:rPr>
          <w:rFonts w:ascii="Narkisim" w:hAnsi="Narkisim"/>
        </w:rPr>
      </w:pPr>
      <w:r w:rsidRPr="00A47A11">
        <w:rPr>
          <w:rFonts w:ascii="Narkisim" w:hAnsi="Narkisim"/>
          <w:rtl/>
        </w:rPr>
        <w:t>ו</w:t>
      </w:r>
      <w:r w:rsidRPr="00A47A11">
        <w:rPr>
          <w:rFonts w:ascii="Narkisim" w:hAnsi="Narkisim"/>
          <w:b/>
          <w:bCs/>
          <w:rtl/>
        </w:rPr>
        <w:t>תוס</w:t>
      </w:r>
      <w:r w:rsidRPr="00A47A11">
        <w:rPr>
          <w:rFonts w:ascii="Narkisim" w:hAnsi="Narkisim"/>
          <w:rtl/>
        </w:rPr>
        <w:t>' (בתי' זה) נקטו דהא דאי' (לעיל כז:, ל., מא. וכ”מ) דיבמה שנאסרה בשעת נפילה פטורה לעולם</w:t>
      </w:r>
      <w:r w:rsidRPr="00A47A11">
        <w:rPr>
          <w:rStyle w:val="ac"/>
          <w:rFonts w:ascii="Narkisim" w:hAnsi="Narkisim"/>
          <w:rtl/>
        </w:rPr>
        <w:footnoteReference w:id="5280"/>
      </w:r>
      <w:r w:rsidRPr="00A47A11">
        <w:rPr>
          <w:rFonts w:ascii="Narkisim" w:hAnsi="Narkisim"/>
          <w:rtl/>
        </w:rPr>
        <w:t>, הטעם משום דאין זה דרכי נועם שתחזור ותזקק לזה שנאסרה עליו</w:t>
      </w:r>
      <w:r w:rsidRPr="00A47A11">
        <w:rPr>
          <w:rStyle w:val="ac"/>
          <w:rFonts w:ascii="Narkisim" w:hAnsi="Narkisim"/>
          <w:rtl/>
        </w:rPr>
        <w:footnoteReference w:id="5281"/>
      </w:r>
      <w:r w:rsidRPr="00A47A11">
        <w:rPr>
          <w:rFonts w:ascii="Narkisim" w:hAnsi="Narkisim"/>
          <w:rtl/>
        </w:rPr>
        <w:t>. ונאסרה ודרכי נועם הוה חדא מילתא</w:t>
      </w:r>
      <w:r w:rsidRPr="00A47A11">
        <w:rPr>
          <w:rStyle w:val="ac"/>
          <w:rFonts w:ascii="Narkisim" w:hAnsi="Narkisim"/>
          <w:rtl/>
        </w:rPr>
        <w:footnoteReference w:id="5282"/>
      </w:r>
      <w:r w:rsidRPr="00A47A11">
        <w:rPr>
          <w:rFonts w:ascii="Narkisim" w:hAnsi="Narkisim"/>
          <w:rtl/>
        </w:rPr>
        <w:t>.</w:t>
      </w:r>
    </w:p>
    <w:p w14:paraId="6611ED07" w14:textId="77777777" w:rsidR="006C4368" w:rsidRPr="00A47A11" w:rsidRDefault="006C4368" w:rsidP="006C4368">
      <w:pPr>
        <w:pStyle w:val="a8"/>
        <w:bidi/>
        <w:rPr>
          <w:rFonts w:ascii="Narkisim" w:hAnsi="Narkisim"/>
        </w:rPr>
      </w:pPr>
      <w:r w:rsidRPr="00A47A11">
        <w:rPr>
          <w:rFonts w:ascii="Narkisim" w:hAnsi="Narkisim"/>
          <w:rtl/>
        </w:rPr>
        <w:t xml:space="preserve">אבל </w:t>
      </w:r>
      <w:r w:rsidRPr="00A47A11">
        <w:rPr>
          <w:rFonts w:ascii="Narkisim" w:hAnsi="Narkisim"/>
          <w:b/>
          <w:bCs/>
          <w:rtl/>
        </w:rPr>
        <w:t>תוס</w:t>
      </w:r>
      <w:r w:rsidRPr="00A47A11">
        <w:rPr>
          <w:rFonts w:ascii="Narkisim" w:hAnsi="Narkisim"/>
          <w:rtl/>
        </w:rPr>
        <w:t>' בקו' (ובתי' הא', וכן הראשונים בכ”מ) נקטו ד'נאסרה בשעת נפילה' הוה סברת פטור בפנ"ע</w:t>
      </w:r>
      <w:r w:rsidRPr="00A47A11">
        <w:rPr>
          <w:rStyle w:val="ac"/>
          <w:rFonts w:ascii="Narkisim" w:hAnsi="Narkisim"/>
          <w:rtl/>
        </w:rPr>
        <w:footnoteReference w:id="5283"/>
      </w:r>
      <w:r w:rsidRPr="00A47A11">
        <w:rPr>
          <w:rFonts w:ascii="Narkisim" w:hAnsi="Narkisim"/>
          <w:rtl/>
        </w:rPr>
        <w:t>. וצ"ב א"כ אף היכא דמת הבן נימא דנאסרה, ואמאי בעינן סברת דרכי נועם</w:t>
      </w:r>
      <w:r w:rsidRPr="00A47A11">
        <w:rPr>
          <w:rStyle w:val="ac"/>
          <w:rFonts w:ascii="Narkisim" w:hAnsi="Narkisim"/>
          <w:rtl/>
        </w:rPr>
        <w:footnoteReference w:id="5284"/>
      </w:r>
      <w:r w:rsidRPr="00A47A11">
        <w:rPr>
          <w:rFonts w:ascii="Narkisim" w:hAnsi="Narkisim"/>
          <w:rtl/>
        </w:rPr>
        <w:t>.</w:t>
      </w:r>
    </w:p>
    <w:p w14:paraId="58BF0AC5"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קובה"ע</w:t>
      </w:r>
      <w:r w:rsidRPr="00A47A11">
        <w:rPr>
          <w:rFonts w:ascii="Narkisim" w:hAnsi="Narkisim"/>
          <w:rtl/>
        </w:rPr>
        <w:t xml:space="preserve"> (ו ח) תי' דסברת רב דנאסרה בשעת נפילה אין לה היתר, היינו דוקא בשעת נפילה. אבל אם היו בנים בשעת מיתת הבעל אין זו שעת נפילה כלל, דהוי כמו בחיי הבעל. אבל טעמא דדרכי נועם שייך שפיר כיון שהותרה לשוק.</w:t>
      </w:r>
    </w:p>
    <w:p w14:paraId="340D109E" w14:textId="77777777" w:rsidR="006C4368" w:rsidRPr="00A47A11" w:rsidRDefault="006C4368" w:rsidP="006C4368">
      <w:pPr>
        <w:pStyle w:val="aa"/>
        <w:bidi/>
        <w:rPr>
          <w:rFonts w:ascii="Narkisim" w:hAnsi="Narkisim"/>
        </w:rPr>
      </w:pPr>
      <w:r w:rsidRPr="00A47A11">
        <w:rPr>
          <w:rFonts w:ascii="Narkisim" w:hAnsi="Narkisim"/>
          <w:u w:val="single"/>
          <w:rtl/>
        </w:rPr>
        <w:t>שם</w:t>
      </w:r>
      <w:r w:rsidRPr="00A47A11">
        <w:rPr>
          <w:rFonts w:ascii="Narkisim" w:hAnsi="Narkisim"/>
          <w:rtl/>
        </w:rPr>
        <w:t>. וה</w:t>
      </w:r>
      <w:r w:rsidRPr="00A47A11">
        <w:rPr>
          <w:rFonts w:ascii="Narkisim" w:hAnsi="Narkisim"/>
          <w:b/>
          <w:bCs/>
          <w:rtl/>
        </w:rPr>
        <w:t>ריטב"א</w:t>
      </w:r>
      <w:r w:rsidRPr="00A47A11">
        <w:rPr>
          <w:rFonts w:ascii="Narkisim" w:hAnsi="Narkisim"/>
          <w:rtl/>
        </w:rPr>
        <w:t xml:space="preserve"> הק' וכ"ת תחלוץ אף כשיש לה בנים קודם שתנשא</w:t>
      </w:r>
      <w:r w:rsidRPr="00A47A11">
        <w:rPr>
          <w:rStyle w:val="ac"/>
          <w:rFonts w:ascii="Narkisim" w:hAnsi="Narkisim"/>
          <w:rtl/>
        </w:rPr>
        <w:footnoteReference w:id="5285"/>
      </w:r>
      <w:r w:rsidRPr="00A47A11">
        <w:rPr>
          <w:rFonts w:ascii="Narkisim" w:hAnsi="Narkisim"/>
          <w:rtl/>
        </w:rPr>
        <w:t>. ודחה דבעוד שיש לה בנים ל"מ חליצתה כלום, ק"ו מהחולץ למעוברת (לעיל לה:). [וכ”ש הכא דכל זמן שהבן קיים ליכא סיבה כלל ליבום</w:t>
      </w:r>
      <w:r w:rsidRPr="00A47A11">
        <w:rPr>
          <w:rStyle w:val="ac"/>
          <w:rFonts w:ascii="Narkisim" w:hAnsi="Narkisim"/>
          <w:rtl/>
        </w:rPr>
        <w:footnoteReference w:id="5286"/>
      </w:r>
      <w:r w:rsidRPr="00A47A11">
        <w:rPr>
          <w:rFonts w:ascii="Narkisim" w:hAnsi="Narkisim"/>
          <w:rtl/>
        </w:rPr>
        <w:t>].</w:t>
      </w:r>
    </w:p>
    <w:p w14:paraId="74434A32" w14:textId="77777777" w:rsidR="006C4368" w:rsidRPr="00A47A11" w:rsidRDefault="006C4368" w:rsidP="006C4368">
      <w:pPr>
        <w:pStyle w:val="aa"/>
        <w:bidi/>
        <w:rPr>
          <w:rFonts w:ascii="Narkisim" w:hAnsi="Narkisim"/>
        </w:rPr>
      </w:pPr>
      <w:r w:rsidRPr="00A47A11">
        <w:rPr>
          <w:rFonts w:ascii="Narkisim" w:hAnsi="Narkisim"/>
          <w:u w:val="single"/>
          <w:rtl/>
        </w:rPr>
        <w:t>שם. ת"ל דרכיה דרכי נועם</w:t>
      </w:r>
      <w:r w:rsidRPr="00A47A11">
        <w:rPr>
          <w:rFonts w:ascii="Narkisim" w:hAnsi="Narkisim"/>
          <w:rtl/>
        </w:rPr>
        <w:t>. וכן בגמ' (סוכה לב.) ילפי' דכפת תמרים אינו שיקח כופרא, דדרכיה דרכי נועם [פ</w:t>
      </w:r>
      <w:r w:rsidRPr="00A47A11">
        <w:rPr>
          <w:rFonts w:ascii="Narkisim" w:hAnsi="Narkisim"/>
          <w:b/>
          <w:bCs/>
          <w:rtl/>
        </w:rPr>
        <w:t>רש"י</w:t>
      </w:r>
      <w:r w:rsidRPr="00A47A11">
        <w:rPr>
          <w:rFonts w:ascii="Narkisim" w:hAnsi="Narkisim"/>
          <w:rtl/>
        </w:rPr>
        <w:t xml:space="preserve"> ואלו עשויין קוצין ומסרטין את הידים]. וכן (שם לב:) דהדס לא הוה הירדוף דאינו דרכי נועם</w:t>
      </w:r>
      <w:r w:rsidRPr="00A47A11">
        <w:rPr>
          <w:rStyle w:val="ac"/>
          <w:rFonts w:ascii="Narkisim" w:hAnsi="Narkisim"/>
          <w:rtl/>
        </w:rPr>
        <w:footnoteReference w:id="5287"/>
      </w:r>
      <w:r w:rsidRPr="00A47A11">
        <w:rPr>
          <w:rFonts w:ascii="Narkisim" w:hAnsi="Narkisim"/>
          <w:rtl/>
        </w:rPr>
        <w:t>.</w:t>
      </w:r>
    </w:p>
    <w:p w14:paraId="54826755" w14:textId="77777777" w:rsidR="006C4368" w:rsidRPr="00A47A11" w:rsidRDefault="006C4368" w:rsidP="006C4368">
      <w:pPr>
        <w:pStyle w:val="a8"/>
        <w:bidi/>
        <w:rPr>
          <w:rFonts w:ascii="Narkisim" w:hAnsi="Narkisim"/>
        </w:rPr>
      </w:pPr>
      <w:r w:rsidRPr="00A47A11">
        <w:rPr>
          <w:rFonts w:ascii="Narkisim" w:hAnsi="Narkisim"/>
          <w:rtl/>
        </w:rPr>
        <w:t>וה</w:t>
      </w:r>
      <w:r w:rsidRPr="00A47A11">
        <w:rPr>
          <w:rFonts w:ascii="Narkisim" w:hAnsi="Narkisim"/>
          <w:b/>
          <w:bCs/>
          <w:rtl/>
        </w:rPr>
        <w:t>פוסקים</w:t>
      </w:r>
      <w:r w:rsidRPr="00A47A11">
        <w:rPr>
          <w:rFonts w:ascii="Narkisim" w:hAnsi="Narkisim"/>
          <w:rtl/>
        </w:rPr>
        <w:t xml:space="preserve"> (בכ"מ) נקטו לשון דרכי נועם להוכיח שדיני התורה הם ע"פ הסברא</w:t>
      </w:r>
      <w:r w:rsidRPr="00A47A11">
        <w:rPr>
          <w:rStyle w:val="ac"/>
          <w:rFonts w:ascii="Narkisim" w:hAnsi="Narkisim"/>
          <w:rtl/>
        </w:rPr>
        <w:footnoteReference w:id="5288"/>
      </w:r>
      <w:r w:rsidRPr="00A47A11">
        <w:rPr>
          <w:rFonts w:ascii="Narkisim" w:hAnsi="Narkisim"/>
          <w:rtl/>
        </w:rPr>
        <w:t>. [ויל"ד האם כוונתם ללמוד גילוי מהך קרא. או דכוונתם מסברא, ונקטו קרא דרך מליצה].</w:t>
      </w:r>
    </w:p>
    <w:p w14:paraId="29C31BCB" w14:textId="77777777" w:rsidR="006C4368" w:rsidRPr="00A47A11" w:rsidRDefault="006C4368" w:rsidP="006C4368">
      <w:pPr>
        <w:pStyle w:val="a8"/>
        <w:bidi/>
        <w:rPr>
          <w:rFonts w:ascii="Narkisim" w:hAnsi="Narkisim"/>
        </w:rPr>
      </w:pPr>
      <w:r w:rsidRPr="00A47A11">
        <w:rPr>
          <w:rFonts w:ascii="Narkisim" w:hAnsi="Narkisim"/>
          <w:rtl/>
        </w:rPr>
        <w:lastRenderedPageBreak/>
        <w:t>וה</w:t>
      </w:r>
      <w:r w:rsidRPr="00A47A11">
        <w:rPr>
          <w:rFonts w:ascii="Narkisim" w:hAnsi="Narkisim"/>
          <w:b/>
          <w:bCs/>
          <w:rtl/>
        </w:rPr>
        <w:t>מהרש"ל</w:t>
      </w:r>
      <w:r w:rsidRPr="00A47A11">
        <w:rPr>
          <w:rFonts w:ascii="Narkisim" w:hAnsi="Narkisim"/>
          <w:rtl/>
        </w:rPr>
        <w:t xml:space="preserve"> (חכמ"ש) כת' דנראה מדברי ה</w:t>
      </w:r>
      <w:r w:rsidRPr="00A47A11">
        <w:rPr>
          <w:rFonts w:ascii="Narkisim" w:hAnsi="Narkisim"/>
          <w:b/>
          <w:bCs/>
          <w:rtl/>
        </w:rPr>
        <w:t>תוס</w:t>
      </w:r>
      <w:r w:rsidRPr="00A47A11">
        <w:rPr>
          <w:rFonts w:ascii="Narkisim" w:hAnsi="Narkisim"/>
          <w:rtl/>
        </w:rPr>
        <w:t xml:space="preserve">' (לעיל ב. הנ"ל) דדרשי' דדברי התורה יהיה הכל בנועם ומזג השוה, ואם האחת תהא שרויה בשמחה והשניה בצער יהא הענין מעוקם. ודייק אף מדברי </w:t>
      </w:r>
      <w:r w:rsidRPr="00A47A11">
        <w:rPr>
          <w:rFonts w:ascii="Narkisim" w:hAnsi="Narkisim"/>
          <w:b/>
          <w:bCs/>
          <w:rtl/>
        </w:rPr>
        <w:t>רש"י</w:t>
      </w:r>
      <w:r w:rsidRPr="00A47A11">
        <w:rPr>
          <w:rFonts w:ascii="Narkisim" w:hAnsi="Narkisim"/>
          <w:rtl/>
        </w:rPr>
        <w:t xml:space="preserve"> ע"ד זה, דרש"י כת' וזו שהיה לה בן כו', כלומר שאשה זו תשתנה משאר נשים החולצות. [ומש"כ רש"י דתתגנה על בעלה לא סגי לחוד, אלא דעי"ז יש שינוי בין הנשים].</w:t>
      </w:r>
    </w:p>
    <w:p w14:paraId="3D0E1483" w14:textId="77777777" w:rsidR="006C4368" w:rsidRPr="00A47A11" w:rsidRDefault="006C4368" w:rsidP="006C4368">
      <w:pPr>
        <w:bidi/>
        <w:rPr>
          <w:rFonts w:ascii="Narkisim" w:hAnsi="Narkisim" w:cs="Narkisim"/>
        </w:rPr>
      </w:pPr>
      <w:r w:rsidRPr="00A47A11">
        <w:rPr>
          <w:rFonts w:ascii="Narkisim" w:hAnsi="Narkisim" w:cs="Narkisim"/>
          <w:u w:val="single"/>
          <w:rtl/>
        </w:rPr>
        <w:t>רש"י ד"ה דרכיה</w:t>
      </w:r>
      <w:r w:rsidRPr="00A47A11">
        <w:rPr>
          <w:rFonts w:ascii="Narkisim" w:hAnsi="Narkisim" w:cs="Narkisim"/>
          <w:rtl/>
        </w:rPr>
        <w:t>. וניסת לשוק וכו' א"ת תחלוץ מתגנה על בעלה</w:t>
      </w:r>
      <w:r w:rsidRPr="00A47A11">
        <w:rPr>
          <w:rStyle w:val="ac"/>
          <w:rFonts w:ascii="Narkisim" w:hAnsi="Narkisim" w:cs="Narkisim"/>
          <w:rtl/>
        </w:rPr>
        <w:footnoteReference w:id="5289"/>
      </w:r>
      <w:r w:rsidRPr="00A47A11">
        <w:rPr>
          <w:rFonts w:ascii="Narkisim" w:hAnsi="Narkisim" w:cs="Narkisim"/>
          <w:rtl/>
        </w:rPr>
        <w:t xml:space="preserve"> וכו'. וה</w:t>
      </w:r>
      <w:r w:rsidRPr="00A47A11">
        <w:rPr>
          <w:rFonts w:ascii="Narkisim" w:hAnsi="Narkisim" w:cs="Narkisim"/>
          <w:b/>
          <w:bCs/>
          <w:rtl/>
        </w:rPr>
        <w:t>אחרונים</w:t>
      </w:r>
      <w:r w:rsidRPr="00A47A11">
        <w:rPr>
          <w:rFonts w:ascii="Narkisim" w:hAnsi="Narkisim" w:cs="Narkisim"/>
          <w:rtl/>
        </w:rPr>
        <w:t xml:space="preserve"> הביאו דמבואר מדברי </w:t>
      </w:r>
      <w:r w:rsidRPr="00A47A11">
        <w:rPr>
          <w:rFonts w:ascii="Narkisim" w:hAnsi="Narkisim" w:cs="Narkisim"/>
          <w:b/>
          <w:bCs/>
          <w:rtl/>
        </w:rPr>
        <w:t>רש”י</w:t>
      </w:r>
      <w:r w:rsidRPr="00A47A11">
        <w:rPr>
          <w:rFonts w:ascii="Narkisim" w:hAnsi="Narkisim" w:cs="Narkisim"/>
          <w:rtl/>
        </w:rPr>
        <w:t xml:space="preserve"> דמהדין יש לה לחלוץ [בעודה נשואה לבעלה, אף דעכשיו אינה ראויה ליבום דהוה אשת איש. וע' מה שהו' לעיל טז.].</w:t>
      </w:r>
    </w:p>
    <w:p w14:paraId="6035B04B" w14:textId="77777777" w:rsidR="006C4368" w:rsidRPr="00A47A11" w:rsidRDefault="006C4368" w:rsidP="006C4368">
      <w:pPr>
        <w:pStyle w:val="a7"/>
        <w:bidi/>
        <w:rPr>
          <w:rFonts w:ascii="Narkisim" w:hAnsi="Narkisim"/>
        </w:rPr>
      </w:pPr>
      <w:r w:rsidRPr="00A47A11">
        <w:rPr>
          <w:rFonts w:ascii="Narkisim" w:hAnsi="Narkisim"/>
          <w:rtl/>
        </w:rPr>
        <w:t>אבל ה</w:t>
      </w:r>
      <w:r w:rsidRPr="00A47A11">
        <w:rPr>
          <w:rFonts w:ascii="Narkisim" w:hAnsi="Narkisim"/>
          <w:b/>
          <w:bCs/>
          <w:rtl/>
        </w:rPr>
        <w:t>ריטב"א</w:t>
      </w:r>
      <w:r w:rsidRPr="00A47A11">
        <w:rPr>
          <w:rFonts w:ascii="Narkisim" w:hAnsi="Narkisim"/>
          <w:rtl/>
        </w:rPr>
        <w:t xml:space="preserve"> כת' דכשימות הבן תצא, ותהא זקוקה ליבם. (וכ"כ הרמב"ן ורשב"א לעיל יז:). ויש שפי' כוונתם דל"מ חליצה בעודה אשת איש. ועוד יל"פ כוונתם כגון שהיבם רוצה לכונסה ולא לחלוץ.</w:t>
      </w:r>
    </w:p>
    <w:p w14:paraId="06B90AC3" w14:textId="77777777" w:rsidR="006C4368" w:rsidRPr="00A47A11" w:rsidRDefault="006C4368" w:rsidP="006C4368">
      <w:pPr>
        <w:bidi/>
        <w:rPr>
          <w:rFonts w:ascii="Narkisim" w:hAnsi="Narkisim" w:cs="Narkisim"/>
        </w:rPr>
      </w:pPr>
      <w:r w:rsidRPr="00A47A11">
        <w:rPr>
          <w:rFonts w:ascii="Narkisim" w:hAnsi="Narkisim" w:cs="Narkisim"/>
          <w:u w:val="single"/>
          <w:rtl/>
        </w:rPr>
        <w:t>שם. וניסת לשוק</w:t>
      </w:r>
      <w:r w:rsidRPr="00A47A11">
        <w:rPr>
          <w:rFonts w:ascii="Narkisim" w:hAnsi="Narkisim" w:cs="Narkisim"/>
          <w:rtl/>
        </w:rPr>
        <w:t xml:space="preserve">. </w:t>
      </w:r>
      <w:r w:rsidRPr="00A47A11">
        <w:rPr>
          <w:rFonts w:ascii="Narkisim" w:hAnsi="Narkisim" w:cs="Narkisim"/>
          <w:b/>
          <w:bCs/>
          <w:rtl/>
        </w:rPr>
        <w:t>רע"א</w:t>
      </w:r>
      <w:r w:rsidRPr="00A47A11">
        <w:rPr>
          <w:rFonts w:ascii="Narkisim" w:hAnsi="Narkisim" w:cs="Narkisim"/>
          <w:rtl/>
        </w:rPr>
        <w:t xml:space="preserve"> (לעיל טז.) הביא ד</w:t>
      </w:r>
      <w:r w:rsidRPr="00A47A11">
        <w:rPr>
          <w:rFonts w:ascii="Narkisim" w:hAnsi="Narkisim" w:cs="Narkisim"/>
          <w:b/>
          <w:bCs/>
          <w:rtl/>
        </w:rPr>
        <w:t>תוס'</w:t>
      </w:r>
      <w:r w:rsidRPr="00A47A11">
        <w:rPr>
          <w:rFonts w:ascii="Narkisim" w:hAnsi="Narkisim" w:cs="Narkisim"/>
          <w:rtl/>
        </w:rPr>
        <w:t xml:space="preserve"> (שם) הק' דיבמה שנתקדשה לשוק (לשמואל דתפסי קידושין) נימא דכיון דנעשית אשת איש פקע קידושין</w:t>
      </w:r>
      <w:r w:rsidRPr="00A47A11">
        <w:rPr>
          <w:rStyle w:val="ac"/>
          <w:rFonts w:ascii="Narkisim" w:hAnsi="Narkisim" w:cs="Narkisim"/>
          <w:rtl/>
        </w:rPr>
        <w:footnoteReference w:id="5290"/>
      </w:r>
      <w:r w:rsidRPr="00A47A11">
        <w:rPr>
          <w:rFonts w:ascii="Narkisim" w:hAnsi="Narkisim" w:cs="Narkisim"/>
          <w:rtl/>
        </w:rPr>
        <w:t>. ו</w:t>
      </w:r>
      <w:r w:rsidRPr="00A47A11">
        <w:rPr>
          <w:rFonts w:ascii="Narkisim" w:hAnsi="Narkisim" w:cs="Narkisim"/>
          <w:b/>
          <w:bCs/>
          <w:rtl/>
        </w:rPr>
        <w:t>תוס</w:t>
      </w:r>
      <w:r w:rsidRPr="00A47A11">
        <w:rPr>
          <w:rFonts w:ascii="Narkisim" w:hAnsi="Narkisim" w:cs="Narkisim"/>
          <w:rtl/>
        </w:rPr>
        <w:t>' (בתי' הב') תי' דגזיה”כ 'לא תהיה אשת המת', משמע דאף ע"י הקידושין לא פקע הזיקה.</w:t>
      </w:r>
    </w:p>
    <w:p w14:paraId="03DE8255" w14:textId="77777777" w:rsidR="006C4368" w:rsidRPr="00A47A11" w:rsidRDefault="006C4368" w:rsidP="006C4368">
      <w:pPr>
        <w:pStyle w:val="a7"/>
        <w:bidi/>
        <w:rPr>
          <w:rFonts w:ascii="Narkisim" w:hAnsi="Narkisim"/>
        </w:rPr>
      </w:pPr>
      <w:r w:rsidRPr="00A47A11">
        <w:rPr>
          <w:rFonts w:ascii="Narkisim" w:hAnsi="Narkisim"/>
          <w:rtl/>
        </w:rPr>
        <w:t>ו</w:t>
      </w:r>
      <w:r w:rsidRPr="00A47A11">
        <w:rPr>
          <w:rFonts w:ascii="Narkisim" w:hAnsi="Narkisim"/>
          <w:b/>
          <w:bCs/>
          <w:rtl/>
        </w:rPr>
        <w:t>רע"א</w:t>
      </w:r>
      <w:r w:rsidRPr="00A47A11">
        <w:rPr>
          <w:rFonts w:ascii="Narkisim" w:hAnsi="Narkisim"/>
          <w:rtl/>
        </w:rPr>
        <w:t xml:space="preserve"> הק' דבסוגיין הדר קושיית התוס', דנתקדשה בשעה שלא היתה זקוקה ליבום [שהיה לה בן], וכיון דנעשית אשת איש נימא דיפקע הזיקה. </w:t>
      </w:r>
      <w:r w:rsidRPr="00A47A11">
        <w:rPr>
          <w:rFonts w:ascii="Narkisim" w:hAnsi="Narkisim"/>
          <w:szCs w:val="20"/>
          <w:rtl/>
        </w:rPr>
        <w:t>ורב דרש קרא לא תהיה אשת המת דלא תפסי קידושין, א”כ ל”ש לדרוש דאף אי תפסי לא הותרה לשוק</w:t>
      </w:r>
      <w:r w:rsidRPr="00A47A11">
        <w:rPr>
          <w:rStyle w:val="ac"/>
          <w:rFonts w:ascii="Narkisim" w:hAnsi="Narkisim"/>
          <w:szCs w:val="20"/>
          <w:rtl/>
        </w:rPr>
        <w:footnoteReference w:id="5291"/>
      </w:r>
      <w:r w:rsidRPr="00A47A11">
        <w:rPr>
          <w:rFonts w:ascii="Narkisim" w:hAnsi="Narkisim"/>
          <w:rtl/>
        </w:rPr>
        <w:t>.</w:t>
      </w:r>
    </w:p>
    <w:p w14:paraId="0A3A9FCB" w14:textId="77777777" w:rsidR="006C4368" w:rsidRPr="00A47A11" w:rsidRDefault="006C4368" w:rsidP="006C4368">
      <w:pPr>
        <w:pStyle w:val="a8"/>
        <w:bidi/>
        <w:rPr>
          <w:rFonts w:ascii="Narkisim" w:hAnsi="Narkisim"/>
        </w:rPr>
      </w:pPr>
      <w:r w:rsidRPr="00A47A11">
        <w:rPr>
          <w:rFonts w:ascii="Narkisim" w:hAnsi="Narkisim"/>
          <w:rtl/>
        </w:rPr>
        <w:t>ו</w:t>
      </w:r>
      <w:r w:rsidRPr="00A47A11">
        <w:rPr>
          <w:rFonts w:ascii="Narkisim" w:hAnsi="Narkisim"/>
          <w:b/>
          <w:bCs/>
          <w:rtl/>
        </w:rPr>
        <w:t>רע"א</w:t>
      </w:r>
      <w:r w:rsidRPr="00A47A11">
        <w:rPr>
          <w:rFonts w:ascii="Narkisim" w:hAnsi="Narkisim"/>
          <w:rtl/>
        </w:rPr>
        <w:t xml:space="preserve"> כת' דצ"ל דלהך ס"ד [דלא אמרי' מתים כחיים], אף רב דרש 'לא תהיה' אפי' ע"י הויה, וכגון שמת הבן תחת בעלה השני.</w:t>
      </w:r>
    </w:p>
    <w:p w14:paraId="0610E8F8" w14:textId="77777777" w:rsidR="006C4368" w:rsidRPr="00A47A11" w:rsidRDefault="006C4368" w:rsidP="006C4368">
      <w:pPr>
        <w:bidi/>
        <w:rPr>
          <w:rFonts w:ascii="Narkisim" w:hAnsi="Narkisim" w:cs="Narkisim"/>
        </w:rPr>
      </w:pPr>
      <w:r w:rsidRPr="00A47A11">
        <w:rPr>
          <w:rFonts w:ascii="Narkisim" w:hAnsi="Narkisim" w:cs="Narkisim"/>
          <w:rtl/>
        </w:rPr>
        <w:t xml:space="preserve">ועוה"ק </w:t>
      </w:r>
      <w:r w:rsidRPr="00A47A11">
        <w:rPr>
          <w:rFonts w:ascii="Narkisim" w:hAnsi="Narkisim" w:cs="Narkisim"/>
          <w:b/>
          <w:bCs/>
          <w:rtl/>
        </w:rPr>
        <w:t>רע"א</w:t>
      </w:r>
      <w:r w:rsidRPr="00A47A11">
        <w:rPr>
          <w:rFonts w:ascii="Narkisim" w:hAnsi="Narkisim" w:cs="Narkisim"/>
          <w:rtl/>
        </w:rPr>
        <w:t xml:space="preserve"> מנ"ל דמתים כחיים, נימא דדרכי נועם גלי דכשהיא אשת איש לא יתחדש בה זיקה</w:t>
      </w:r>
      <w:r w:rsidRPr="00A47A11">
        <w:rPr>
          <w:rStyle w:val="ac"/>
          <w:rFonts w:ascii="Narkisim" w:hAnsi="Narkisim" w:cs="Narkisim"/>
          <w:rtl/>
        </w:rPr>
        <w:footnoteReference w:id="5292"/>
      </w:r>
      <w:r w:rsidRPr="00A47A11">
        <w:rPr>
          <w:rFonts w:ascii="Narkisim" w:hAnsi="Narkisim" w:cs="Narkisim"/>
          <w:rtl/>
        </w:rPr>
        <w:t>. ורע”א כת' דנראה ד</w:t>
      </w:r>
      <w:r w:rsidRPr="00A47A11">
        <w:rPr>
          <w:rFonts w:ascii="Narkisim" w:hAnsi="Narkisim" w:cs="Narkisim"/>
          <w:b/>
          <w:bCs/>
          <w:rtl/>
        </w:rPr>
        <w:t>ר"י</w:t>
      </w:r>
      <w:r w:rsidRPr="00A47A11">
        <w:rPr>
          <w:rFonts w:ascii="Narkisim" w:hAnsi="Narkisim" w:cs="Narkisim"/>
          <w:rtl/>
        </w:rPr>
        <w:t xml:space="preserve"> (בתוס' שם) פי' דבסוגיין איירי אף כשלא נתקדשה לאחר [ולא כפרש"י בניסת ומשום שתתגנה על בעלה]</w:t>
      </w:r>
      <w:r w:rsidRPr="00A47A11">
        <w:rPr>
          <w:rStyle w:val="ac"/>
          <w:rFonts w:ascii="Narkisim" w:hAnsi="Narkisim" w:cs="Narkisim"/>
          <w:rtl/>
        </w:rPr>
        <w:footnoteReference w:id="5293"/>
      </w:r>
      <w:r w:rsidRPr="00A47A11">
        <w:rPr>
          <w:rFonts w:ascii="Narkisim" w:hAnsi="Narkisim" w:cs="Narkisim"/>
          <w:rtl/>
        </w:rPr>
        <w:t>. אלא כל שבשעת מיתת בעלה לא היתה זקוקה, אין זה דרכי נועם שוב להזקק.</w:t>
      </w:r>
    </w:p>
    <w:p w14:paraId="51C62ABD" w14:textId="77777777" w:rsidR="006C4368" w:rsidRPr="00A47A11" w:rsidRDefault="006C4368" w:rsidP="006C4368">
      <w:pPr>
        <w:bidi/>
        <w:rPr>
          <w:rFonts w:ascii="Narkisim" w:hAnsi="Narkisim" w:cs="Narkisim"/>
        </w:rPr>
      </w:pPr>
      <w:r w:rsidRPr="00A47A11">
        <w:rPr>
          <w:rFonts w:ascii="Narkisim" w:hAnsi="Narkisim" w:cs="Narkisim"/>
          <w:u w:val="single"/>
          <w:rtl/>
        </w:rPr>
        <w:t>ונעשה מתים כחיים לענין תרומה מק"ו וכו' ת”ל וזרע אין לה, והא אין לה</w:t>
      </w:r>
      <w:r w:rsidRPr="00A47A11">
        <w:rPr>
          <w:rFonts w:ascii="Narkisim" w:hAnsi="Narkisim" w:cs="Narkisim"/>
          <w:rtl/>
        </w:rPr>
        <w:t>. ה</w:t>
      </w:r>
      <w:r w:rsidRPr="00A47A11">
        <w:rPr>
          <w:rFonts w:ascii="Narkisim" w:hAnsi="Narkisim" w:cs="Narkisim"/>
          <w:b/>
          <w:bCs/>
          <w:rtl/>
        </w:rPr>
        <w:t>תו"י</w:t>
      </w:r>
      <w:r w:rsidRPr="00A47A11">
        <w:rPr>
          <w:rFonts w:ascii="Narkisim" w:hAnsi="Narkisim" w:cs="Narkisim"/>
          <w:rtl/>
        </w:rPr>
        <w:t xml:space="preserve"> (בשם הר"ם) הק' דנימא דבשעת מיתה קאי וזרע אין לה, ובשעת מיתה היה לה זרע [דומיא להא דדרשי' גבי יבום דמשום דרכי נועם עושים מתים כחיים]. דכיון דבשעת מיתה היתה לה זרע, שוב לא תחזור לבית אביה. ותי' דגבי תרומה ליכא גילוי להוציא מקרא מפשוטו. ועוד כת' (בשם ראש"י) דגבי תרומה תלי בדידה [כי תהיה אלמנה, וזרע אין לה]. ומשמע דתלי בכל עת שנשארה אלמנה וגרושה ואין לה זרע, דחוזרת לבית אביה</w:t>
      </w:r>
      <w:r w:rsidRPr="00A47A11">
        <w:rPr>
          <w:rStyle w:val="ac"/>
          <w:rFonts w:ascii="Narkisim" w:hAnsi="Narkisim" w:cs="Narkisim"/>
          <w:rtl/>
        </w:rPr>
        <w:footnoteReference w:id="5294"/>
      </w:r>
      <w:r w:rsidRPr="00A47A11">
        <w:rPr>
          <w:rFonts w:ascii="Narkisim" w:hAnsi="Narkisim" w:cs="Narkisim"/>
          <w:rtl/>
        </w:rPr>
        <w:t>.</w:t>
      </w:r>
    </w:p>
    <w:p w14:paraId="3A627ACA" w14:textId="77777777" w:rsidR="006C4368" w:rsidRPr="00A47A11" w:rsidRDefault="006C4368" w:rsidP="006C4368">
      <w:pPr>
        <w:pStyle w:val="2"/>
        <w:bidi/>
        <w:rPr>
          <w:rFonts w:ascii="Narkisim" w:hAnsi="Narkisim"/>
        </w:rPr>
      </w:pPr>
      <w:r w:rsidRPr="00A47A11">
        <w:rPr>
          <w:rFonts w:ascii="Narkisim" w:hAnsi="Narkisim"/>
          <w:rtl/>
        </w:rPr>
        <w:t>הדרן עלך פרק יש מותרות</w:t>
      </w:r>
    </w:p>
    <w:p w14:paraId="4EF15F87" w14:textId="77777777" w:rsidR="006C4368" w:rsidRPr="00AF3214" w:rsidRDefault="006C4368" w:rsidP="006C4368">
      <w:pPr>
        <w:pStyle w:val="a9"/>
        <w:bidi/>
        <w:rPr>
          <w:rFonts w:ascii="Narkisim" w:hAnsi="Narkisim"/>
        </w:rPr>
      </w:pPr>
      <w:r w:rsidRPr="00AF3214">
        <w:rPr>
          <w:rFonts w:ascii="Narkisim" w:hAnsi="Narkisim"/>
          <w:rtl/>
        </w:rPr>
        <w:t>בס"ד</w:t>
      </w:r>
    </w:p>
    <w:p w14:paraId="1CEAA3DF" w14:textId="77777777" w:rsidR="006C4368" w:rsidRPr="00AF3214" w:rsidRDefault="006C4368" w:rsidP="006C4368">
      <w:pPr>
        <w:pStyle w:val="3"/>
        <w:bidi/>
        <w:rPr>
          <w:rFonts w:ascii="Narkisim" w:hAnsi="Narkisim"/>
          <w:szCs w:val="2"/>
        </w:rPr>
      </w:pPr>
      <w:r w:rsidRPr="00AF3214">
        <w:rPr>
          <w:rFonts w:ascii="Narkisim" w:hAnsi="Narkisim"/>
          <w:szCs w:val="2"/>
          <w:rtl/>
        </w:rPr>
        <w:t>דף פז</w:t>
      </w:r>
      <w:r w:rsidRPr="00AF3214">
        <w:rPr>
          <w:rFonts w:ascii="Narkisim" w:hAnsi="Narkisim"/>
          <w:szCs w:val="2"/>
        </w:rPr>
        <w:t>:</w:t>
      </w:r>
    </w:p>
    <w:p w14:paraId="709D7614" w14:textId="77777777" w:rsidR="006C4368" w:rsidRPr="00AF3214" w:rsidRDefault="006C4368" w:rsidP="006C4368">
      <w:pPr>
        <w:pStyle w:val="1"/>
        <w:bidi/>
        <w:rPr>
          <w:rFonts w:ascii="Narkisim" w:hAnsi="Narkisim"/>
        </w:rPr>
      </w:pPr>
      <w:r w:rsidRPr="00AF3214">
        <w:rPr>
          <w:rFonts w:ascii="Narkisim" w:hAnsi="Narkisim"/>
          <w:rtl/>
        </w:rPr>
        <w:t>פרק האשה רבה</w:t>
      </w:r>
    </w:p>
    <w:p w14:paraId="63C7D5D3" w14:textId="77777777" w:rsidR="006C4368" w:rsidRPr="00AF3214" w:rsidRDefault="006C4368" w:rsidP="006C4368">
      <w:pPr>
        <w:bidi/>
        <w:rPr>
          <w:rFonts w:ascii="Narkisim" w:hAnsi="Narkisim" w:cs="Narkisim"/>
        </w:rPr>
      </w:pPr>
      <w:r w:rsidRPr="00AF3214">
        <w:rPr>
          <w:rFonts w:ascii="Narkisim" w:hAnsi="Narkisim" w:cs="Narkisim"/>
          <w:u w:val="single"/>
          <w:rtl/>
        </w:rPr>
        <w:t>תצא מזה ומזה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כשאר אשת איש שזינתה דלאו אנוסה היא. ו</w:t>
      </w:r>
      <w:r w:rsidRPr="00AF3214">
        <w:rPr>
          <w:rFonts w:ascii="Narkisim" w:hAnsi="Narkisim" w:cs="Narkisim"/>
          <w:b/>
          <w:bCs/>
          <w:rtl/>
        </w:rPr>
        <w:t>רש"י</w:t>
      </w:r>
      <w:r w:rsidRPr="00AF3214">
        <w:rPr>
          <w:rFonts w:ascii="Narkisim" w:hAnsi="Narkisim" w:cs="Narkisim"/>
          <w:rtl/>
        </w:rPr>
        <w:t xml:space="preserve"> סיים דקנסי לה. וכן אי' בגמ' (לעיל יא.) דהוה סוטה דרבנן. ופ</w:t>
      </w:r>
      <w:r w:rsidRPr="00AF3214">
        <w:rPr>
          <w:rFonts w:ascii="Narkisim" w:hAnsi="Narkisim" w:cs="Narkisim"/>
          <w:b/>
          <w:bCs/>
          <w:rtl/>
        </w:rPr>
        <w:t>רש"י</w:t>
      </w:r>
      <w:r w:rsidRPr="00AF3214">
        <w:rPr>
          <w:rFonts w:ascii="Narkisim" w:hAnsi="Narkisim" w:cs="Narkisim"/>
          <w:rtl/>
        </w:rPr>
        <w:t xml:space="preserve"> (לעיל שם) דמדאורייתא שריא דאנוסה היא, שניסת ע"פ בי"ד. ורבנן גזרו כי היכי דתידוק שפיר. וכ"כ </w:t>
      </w:r>
      <w:r w:rsidRPr="00AF3214">
        <w:rPr>
          <w:rFonts w:ascii="Narkisim" w:hAnsi="Narkisim" w:cs="Narkisim"/>
          <w:b/>
          <w:bCs/>
          <w:rtl/>
        </w:rPr>
        <w:t>תוס'</w:t>
      </w:r>
      <w:r w:rsidRPr="00AF3214">
        <w:rPr>
          <w:rFonts w:ascii="Narkisim" w:hAnsi="Narkisim" w:cs="Narkisim"/>
          <w:rtl/>
        </w:rPr>
        <w:t xml:space="preserve"> (לקמן צ: ד"ה היתה) דמדרבנן קרינן בה ונטמאה</w:t>
      </w:r>
      <w:r w:rsidRPr="00AF3214">
        <w:rPr>
          <w:rFonts w:ascii="Narkisim" w:hAnsi="Narkisim" w:cs="Narkisim"/>
        </w:rPr>
        <w:t>.</w:t>
      </w:r>
    </w:p>
    <w:p w14:paraId="0462E389" w14:textId="77777777" w:rsidR="006C4368" w:rsidRPr="00AF3214" w:rsidRDefault="006C4368" w:rsidP="006C4368">
      <w:pPr>
        <w:bidi/>
        <w:rPr>
          <w:rFonts w:ascii="Narkisim" w:hAnsi="Narkisim" w:cs="Narkisim"/>
        </w:rPr>
      </w:pPr>
      <w:r w:rsidRPr="00AF3214">
        <w:rPr>
          <w:rFonts w:ascii="Narkisim" w:hAnsi="Narkisim" w:cs="Narkisim"/>
          <w:rtl/>
        </w:rPr>
        <w:t xml:space="preserve">אך </w:t>
      </w:r>
      <w:r w:rsidRPr="00AF3214">
        <w:rPr>
          <w:rFonts w:ascii="Narkisim" w:hAnsi="Narkisim" w:cs="Narkisim"/>
          <w:b/>
          <w:bCs/>
          <w:rtl/>
        </w:rPr>
        <w:t>רש"י</w:t>
      </w:r>
      <w:r w:rsidRPr="00AF3214">
        <w:rPr>
          <w:rFonts w:ascii="Narkisim" w:hAnsi="Narkisim" w:cs="Narkisim"/>
          <w:rtl/>
        </w:rPr>
        <w:t xml:space="preserve"> </w:t>
      </w:r>
      <w:r w:rsidRPr="00AF3214">
        <w:rPr>
          <w:rFonts w:ascii="Narkisim" w:hAnsi="Narkisim" w:cs="Narkisim"/>
          <w:szCs w:val="20"/>
          <w:rtl/>
        </w:rPr>
        <w:t>(לקמן צד:, וצה: ד"ה הלכה כר' יוסי, וגיטין פט:)</w:t>
      </w:r>
      <w:r w:rsidRPr="00AF3214">
        <w:rPr>
          <w:rFonts w:ascii="Narkisim" w:hAnsi="Narkisim" w:cs="Narkisim"/>
          <w:rtl/>
        </w:rPr>
        <w:t xml:space="preserve"> פי' הטעם שנאסרת על בעלה, דאמרי' </w:t>
      </w:r>
      <w:r w:rsidRPr="00AF3214">
        <w:rPr>
          <w:rFonts w:ascii="Narkisim" w:hAnsi="Narkisim" w:cs="Narkisim"/>
          <w:rtl/>
        </w:rPr>
        <w:lastRenderedPageBreak/>
        <w:t>גירש זה ונשא זה [ונמצא מחזיר גרושתו משנשאת</w:t>
      </w:r>
      <w:r w:rsidRPr="00AF3214">
        <w:rPr>
          <w:rStyle w:val="ac"/>
          <w:rFonts w:ascii="Narkisim" w:hAnsi="Narkisim" w:cs="Narkisim"/>
          <w:rtl/>
        </w:rPr>
        <w:footnoteReference w:id="5295"/>
      </w:r>
      <w:r w:rsidRPr="00AF3214">
        <w:rPr>
          <w:rFonts w:ascii="Narkisim" w:hAnsi="Narkisim" w:cs="Narkisim"/>
          <w:rtl/>
        </w:rPr>
        <w:t>], וכ"ה ההו"א דהגמ' (לקמן פח:) דהא דצריכה גט משני משום גזירה יאמרו גירש זה ונשא זה, ויוצאת בלא גט</w:t>
      </w:r>
      <w:r w:rsidRPr="00AF3214">
        <w:rPr>
          <w:rStyle w:val="ac"/>
          <w:rFonts w:ascii="Narkisim" w:hAnsi="Narkisim" w:cs="Narkisim"/>
          <w:rtl/>
        </w:rPr>
        <w:footnoteReference w:id="5296"/>
      </w:r>
      <w:r w:rsidRPr="00AF3214">
        <w:rPr>
          <w:rFonts w:ascii="Narkisim" w:hAnsi="Narkisim" w:cs="Narkisim"/>
        </w:rPr>
        <w:t xml:space="preserve">. </w:t>
      </w:r>
      <w:r w:rsidRPr="00AF3214">
        <w:rPr>
          <w:rFonts w:ascii="Narkisim" w:hAnsi="Narkisim" w:cs="Narkisim"/>
          <w:rtl/>
        </w:rPr>
        <w:t>וכ"מ ב</w:t>
      </w:r>
      <w:r w:rsidRPr="00AF3214">
        <w:rPr>
          <w:rFonts w:ascii="Narkisim" w:hAnsi="Narkisim" w:cs="Narkisim"/>
          <w:b/>
          <w:bCs/>
          <w:rtl/>
        </w:rPr>
        <w:t>רמב"ם</w:t>
      </w:r>
      <w:r w:rsidRPr="00AF3214">
        <w:rPr>
          <w:rFonts w:ascii="Narkisim" w:hAnsi="Narkisim" w:cs="Narkisim"/>
          <w:rtl/>
        </w:rPr>
        <w:t xml:space="preserve"> (גירושין י ד)</w:t>
      </w:r>
      <w:r w:rsidRPr="00AF3214">
        <w:rPr>
          <w:rStyle w:val="ac"/>
          <w:rFonts w:ascii="Narkisim" w:hAnsi="Narkisim" w:cs="Narkisim"/>
          <w:rtl/>
        </w:rPr>
        <w:footnoteReference w:id="5297"/>
      </w:r>
      <w:r w:rsidRPr="00AF3214">
        <w:rPr>
          <w:rFonts w:ascii="Narkisim" w:hAnsi="Narkisim" w:cs="Narkisim"/>
        </w:rPr>
        <w:t xml:space="preserve">. </w:t>
      </w:r>
      <w:r w:rsidRPr="00AF3214">
        <w:rPr>
          <w:rFonts w:ascii="Narkisim" w:hAnsi="Narkisim" w:cs="Narkisim"/>
          <w:rtl/>
        </w:rPr>
        <w:t>[ומסקנת הגמ' (פט.) דהוה משום קנס. ונח' ה</w:t>
      </w:r>
      <w:r w:rsidRPr="00AF3214">
        <w:rPr>
          <w:rFonts w:ascii="Narkisim" w:hAnsi="Narkisim" w:cs="Narkisim"/>
          <w:b/>
          <w:bCs/>
          <w:rtl/>
        </w:rPr>
        <w:t>ראשונים</w:t>
      </w:r>
      <w:r w:rsidRPr="00AF3214">
        <w:rPr>
          <w:rFonts w:ascii="Narkisim" w:hAnsi="Narkisim" w:cs="Narkisim"/>
          <w:rtl/>
        </w:rPr>
        <w:t xml:space="preserve"> אי הוה קנס בעלמא, או דגדר הקנס לחוש שיאמרו גירש זה</w:t>
      </w:r>
      <w:r w:rsidRPr="00AF3214">
        <w:rPr>
          <w:rStyle w:val="ac"/>
          <w:rFonts w:ascii="Narkisim" w:hAnsi="Narkisim" w:cs="Narkisim"/>
          <w:rtl/>
        </w:rPr>
        <w:footnoteReference w:id="5298"/>
      </w:r>
      <w:r w:rsidRPr="00AF3214">
        <w:rPr>
          <w:rFonts w:ascii="Narkisim" w:hAnsi="Narkisim" w:cs="Narkisim"/>
          <w:rtl/>
        </w:rPr>
        <w:t>]</w:t>
      </w:r>
      <w:r w:rsidRPr="00AF3214">
        <w:rPr>
          <w:rFonts w:ascii="Narkisim" w:hAnsi="Narkisim" w:cs="Narkisim"/>
        </w:rPr>
        <w:t>.</w:t>
      </w:r>
    </w:p>
    <w:p w14:paraId="60BFB71D"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ב"י</w:t>
      </w:r>
      <w:r w:rsidRPr="00AF3214">
        <w:rPr>
          <w:rFonts w:ascii="Narkisim" w:hAnsi="Narkisim"/>
          <w:rtl/>
        </w:rPr>
        <w:t xml:space="preserve"> (קנט בבדה"ב) עמד בסתירת דברי רש"י, דרש"י בסוגיין משמע דהוה קנס בעלמא</w:t>
      </w:r>
      <w:r w:rsidRPr="00AF3214">
        <w:rPr>
          <w:rStyle w:val="ac"/>
          <w:rFonts w:ascii="Narkisim" w:hAnsi="Narkisim"/>
          <w:rtl/>
        </w:rPr>
        <w:footnoteReference w:id="5299"/>
      </w:r>
      <w:r w:rsidRPr="00AF3214">
        <w:rPr>
          <w:rFonts w:ascii="Narkisim" w:hAnsi="Narkisim"/>
        </w:rPr>
        <w:t xml:space="preserve">. </w:t>
      </w:r>
      <w:r w:rsidRPr="00AF3214">
        <w:rPr>
          <w:rFonts w:ascii="Narkisim" w:hAnsi="Narkisim"/>
          <w:rtl/>
        </w:rPr>
        <w:t>וה</w:t>
      </w:r>
      <w:r w:rsidRPr="00AF3214">
        <w:rPr>
          <w:rFonts w:ascii="Narkisim" w:hAnsi="Narkisim"/>
          <w:b/>
          <w:bCs/>
          <w:rtl/>
        </w:rPr>
        <w:t>משנ"ל</w:t>
      </w:r>
      <w:r w:rsidRPr="00AF3214">
        <w:rPr>
          <w:rFonts w:ascii="Narkisim" w:hAnsi="Narkisim"/>
          <w:rtl/>
        </w:rPr>
        <w:t xml:space="preserve"> (שם) תי' דאסורה לשני [אף שגירש הראשון] דקנסוה להחשב כמו סוטה. אך ה"מ לשני דעבדא איסורא, אבל בעלה הראשון לא פשע, ואינו בדין לקונסו</w:t>
      </w:r>
      <w:r w:rsidRPr="00AF3214">
        <w:rPr>
          <w:rStyle w:val="ac"/>
          <w:rFonts w:ascii="Narkisim" w:hAnsi="Narkisim"/>
          <w:rtl/>
        </w:rPr>
        <w:footnoteReference w:id="5300"/>
      </w:r>
      <w:r w:rsidRPr="00AF3214">
        <w:rPr>
          <w:rFonts w:ascii="Narkisim" w:hAnsi="Narkisim"/>
        </w:rPr>
        <w:t xml:space="preserve">. </w:t>
      </w:r>
      <w:r w:rsidRPr="00AF3214">
        <w:rPr>
          <w:rFonts w:ascii="Narkisim" w:hAnsi="Narkisim"/>
          <w:rtl/>
        </w:rPr>
        <w:t>אלא משום גזירת מחזיר גרושתו</w:t>
      </w:r>
      <w:r w:rsidRPr="00AF3214">
        <w:rPr>
          <w:rFonts w:ascii="Narkisim" w:hAnsi="Narkisim"/>
        </w:rPr>
        <w:t>.</w:t>
      </w:r>
    </w:p>
    <w:p w14:paraId="35E0C427" w14:textId="77777777" w:rsidR="006C4368" w:rsidRPr="00AF3214" w:rsidRDefault="006C4368" w:rsidP="006C4368">
      <w:pPr>
        <w:pStyle w:val="a8"/>
        <w:bidi/>
        <w:rPr>
          <w:rFonts w:ascii="Narkisim" w:hAnsi="Narkisim"/>
        </w:rPr>
      </w:pPr>
      <w:r w:rsidRPr="00AF3214">
        <w:rPr>
          <w:rFonts w:ascii="Narkisim" w:hAnsi="Narkisim"/>
          <w:rtl/>
        </w:rPr>
        <w:t>ועוד יש שתי' דלמ"ד דאף נשאת ע"פ עדים תצא מזה ומזה, ע"כ הוה גזירה שמא יאמרו גירש זה. [דע"פ עדים ל"ש כל כך קנס</w:t>
      </w:r>
      <w:r w:rsidRPr="00AF3214">
        <w:rPr>
          <w:rStyle w:val="ac"/>
          <w:rFonts w:ascii="Narkisim" w:hAnsi="Narkisim"/>
          <w:rtl/>
        </w:rPr>
        <w:footnoteReference w:id="5301"/>
      </w:r>
      <w:r w:rsidRPr="00AF3214">
        <w:rPr>
          <w:rFonts w:ascii="Narkisim" w:hAnsi="Narkisim"/>
          <w:rtl/>
        </w:rPr>
        <w:t>]. והגמ' (פט.) דהוה קנס קאי למ"ד דדוקא נשאת ע"פ בי"ד גזרו</w:t>
      </w:r>
      <w:r w:rsidRPr="00AF3214">
        <w:rPr>
          <w:rFonts w:ascii="Narkisim" w:hAnsi="Narkisim"/>
        </w:rPr>
        <w:t>.</w:t>
      </w:r>
    </w:p>
    <w:p w14:paraId="0AD1E63C" w14:textId="77777777" w:rsidR="006C4368" w:rsidRPr="00AF3214" w:rsidRDefault="006C4368" w:rsidP="006C4368">
      <w:pPr>
        <w:bidi/>
        <w:rPr>
          <w:rFonts w:ascii="Narkisim" w:hAnsi="Narkisim" w:cs="Narkisim"/>
        </w:rPr>
      </w:pPr>
      <w:r w:rsidRPr="00AF3214">
        <w:rPr>
          <w:rFonts w:ascii="Narkisim" w:hAnsi="Narkisim" w:cs="Narkisim"/>
          <w:rtl/>
        </w:rPr>
        <w:t>ובמשנה (לקמן צב., הו' פח:) אי' דהיכא דרק נתקדשה לשני, ואח"כ בא בעלה, מותרת לחזור לו [ואי"צ גט משני]. ומסקנת הגמ' (לקמן פט.) דכיון דלא עבדא איסורא לא קנסינן</w:t>
      </w:r>
      <w:r w:rsidRPr="00AF3214">
        <w:rPr>
          <w:rFonts w:ascii="Narkisim" w:hAnsi="Narkisim" w:cs="Narkisim"/>
        </w:rPr>
        <w:t>.</w:t>
      </w:r>
    </w:p>
    <w:p w14:paraId="317A4C03"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כת' דמ"מ היכא דנשאת ולא נבעלה אסורה. וה</w:t>
      </w:r>
      <w:r w:rsidRPr="00AF3214">
        <w:rPr>
          <w:rFonts w:ascii="Narkisim" w:hAnsi="Narkisim"/>
          <w:b/>
          <w:bCs/>
          <w:rtl/>
        </w:rPr>
        <w:t xml:space="preserve">יש"ש </w:t>
      </w:r>
      <w:r w:rsidRPr="00AF3214">
        <w:rPr>
          <w:rFonts w:ascii="Narkisim" w:hAnsi="Narkisim"/>
          <w:rtl/>
        </w:rPr>
        <w:t>ביאר הטעם דלא חילקו חכמים בנישואין, ובפרט שקרובה לביאה וחשבינן לה דעבדא איסורא</w:t>
      </w:r>
      <w:r w:rsidRPr="00AF3214">
        <w:rPr>
          <w:rStyle w:val="ac"/>
          <w:rFonts w:ascii="Narkisim" w:hAnsi="Narkisim"/>
          <w:rtl/>
        </w:rPr>
        <w:footnoteReference w:id="5302"/>
      </w:r>
      <w:r w:rsidRPr="00AF3214">
        <w:rPr>
          <w:rFonts w:ascii="Narkisim" w:hAnsi="Narkisim"/>
        </w:rPr>
        <w:t>.</w:t>
      </w:r>
    </w:p>
    <w:p w14:paraId="3BC2DC1E" w14:textId="77777777" w:rsidR="006C4368" w:rsidRPr="00AF3214" w:rsidRDefault="006C4368" w:rsidP="006C4368">
      <w:pPr>
        <w:pStyle w:val="aa"/>
        <w:bidi/>
        <w:rPr>
          <w:rFonts w:ascii="Narkisim" w:hAnsi="Narkisim"/>
        </w:rPr>
      </w:pPr>
      <w:r w:rsidRPr="00AF3214">
        <w:rPr>
          <w:rFonts w:ascii="Narkisim" w:hAnsi="Narkisim"/>
          <w:u w:val="single"/>
          <w:rtl/>
        </w:rPr>
        <w:t>אין לה כתובה וכו'</w:t>
      </w:r>
      <w:r w:rsidRPr="00AF3214">
        <w:rPr>
          <w:rFonts w:ascii="Narkisim" w:hAnsi="Narkisim"/>
          <w:rtl/>
        </w:rPr>
        <w:t>. ה</w:t>
      </w:r>
      <w:r w:rsidRPr="00AF3214">
        <w:rPr>
          <w:rFonts w:ascii="Narkisim" w:hAnsi="Narkisim"/>
          <w:b/>
          <w:bCs/>
          <w:rtl/>
        </w:rPr>
        <w:t>רשב"א</w:t>
      </w:r>
      <w:r w:rsidRPr="00AF3214">
        <w:rPr>
          <w:rFonts w:ascii="Narkisim" w:hAnsi="Narkisim"/>
          <w:rtl/>
        </w:rPr>
        <w:t xml:space="preserve"> כת' דהיינו דוקא כתובה ותוספת כתובה, אבל נדוניא שהכניסה לו</w:t>
      </w:r>
      <w:r w:rsidRPr="00AF3214">
        <w:rPr>
          <w:rStyle w:val="ac"/>
          <w:rFonts w:ascii="Narkisim" w:hAnsi="Narkisim"/>
          <w:rtl/>
        </w:rPr>
        <w:footnoteReference w:id="5303"/>
      </w:r>
      <w:r w:rsidRPr="00AF3214">
        <w:rPr>
          <w:rFonts w:ascii="Narkisim" w:hAnsi="Narkisim"/>
        </w:rPr>
        <w:t xml:space="preserve"> </w:t>
      </w:r>
      <w:r w:rsidRPr="00AF3214">
        <w:rPr>
          <w:rFonts w:ascii="Narkisim" w:hAnsi="Narkisim"/>
          <w:rtl/>
        </w:rPr>
        <w:t>נוטלת. אך שוב הביא דב</w:t>
      </w:r>
      <w:r w:rsidRPr="00AF3214">
        <w:rPr>
          <w:rFonts w:ascii="Narkisim" w:hAnsi="Narkisim"/>
          <w:b/>
          <w:bCs/>
          <w:rtl/>
        </w:rPr>
        <w:t>ירושלמי</w:t>
      </w:r>
      <w:r w:rsidRPr="00AF3214">
        <w:rPr>
          <w:rFonts w:ascii="Narkisim" w:hAnsi="Narkisim"/>
          <w:rtl/>
        </w:rPr>
        <w:t xml:space="preserve"> מבואר שקנסו אף במה שנפל לה, דדינו כנדוניא</w:t>
      </w:r>
      <w:r w:rsidRPr="00AF3214">
        <w:rPr>
          <w:rStyle w:val="ac"/>
          <w:rFonts w:ascii="Narkisim" w:hAnsi="Narkisim"/>
          <w:rtl/>
        </w:rPr>
        <w:footnoteReference w:id="5304"/>
      </w:r>
      <w:r w:rsidRPr="00AF3214">
        <w:rPr>
          <w:rFonts w:ascii="Narkisim" w:hAnsi="Narkisim"/>
        </w:rPr>
        <w:t xml:space="preserve">. </w:t>
      </w:r>
      <w:r w:rsidRPr="00AF3214">
        <w:rPr>
          <w:rFonts w:ascii="Narkisim" w:hAnsi="Narkisim"/>
          <w:rtl/>
        </w:rPr>
        <w:t>והביא דכ"מ מדברי הגמ' (לקמן צא.) דהגמ' מק' דפשיטא דמפסדת כתובת בנין דכרין</w:t>
      </w:r>
      <w:r w:rsidRPr="00AF3214">
        <w:rPr>
          <w:rStyle w:val="ac"/>
          <w:rFonts w:ascii="Narkisim" w:hAnsi="Narkisim"/>
          <w:rtl/>
        </w:rPr>
        <w:footnoteReference w:id="5305"/>
      </w:r>
      <w:r w:rsidRPr="00AF3214">
        <w:rPr>
          <w:rFonts w:ascii="Narkisim" w:hAnsi="Narkisim"/>
        </w:rPr>
        <w:t xml:space="preserve">, </w:t>
      </w:r>
      <w:r w:rsidRPr="00AF3214">
        <w:rPr>
          <w:rFonts w:ascii="Narkisim" w:hAnsi="Narkisim"/>
          <w:rtl/>
        </w:rPr>
        <w:t>ואף דעיקר כתובת בנין דכרין הוה נדוניא</w:t>
      </w:r>
      <w:r w:rsidRPr="00AF3214">
        <w:rPr>
          <w:rStyle w:val="ac"/>
          <w:rFonts w:ascii="Narkisim" w:hAnsi="Narkisim"/>
          <w:rtl/>
        </w:rPr>
        <w:footnoteReference w:id="5306"/>
      </w:r>
      <w:r w:rsidRPr="00AF3214">
        <w:rPr>
          <w:rFonts w:ascii="Narkisim" w:hAnsi="Narkisim"/>
        </w:rPr>
        <w:t xml:space="preserve">. </w:t>
      </w:r>
      <w:r w:rsidRPr="00AF3214">
        <w:rPr>
          <w:rFonts w:ascii="Narkisim" w:hAnsi="Narkisim"/>
          <w:rtl/>
        </w:rPr>
        <w:t>[אך מה שהכניסה לו אי הוה בעין דינו כבלאות קיימות, ע' בסמוך]</w:t>
      </w:r>
      <w:r w:rsidRPr="00AF3214">
        <w:rPr>
          <w:rFonts w:ascii="Narkisim" w:hAnsi="Narkisim"/>
        </w:rPr>
        <w:t>.</w:t>
      </w:r>
    </w:p>
    <w:p w14:paraId="3D833A3F" w14:textId="77777777" w:rsidR="006C4368" w:rsidRPr="00AF3214" w:rsidRDefault="006C4368" w:rsidP="006C4368">
      <w:pPr>
        <w:pStyle w:val="aa"/>
        <w:bidi/>
        <w:rPr>
          <w:rFonts w:ascii="Narkisim" w:hAnsi="Narkisim"/>
        </w:rPr>
      </w:pPr>
      <w:r w:rsidRPr="00AF3214">
        <w:rPr>
          <w:rFonts w:ascii="Narkisim" w:hAnsi="Narkisim"/>
          <w:u w:val="single"/>
          <w:rtl/>
        </w:rPr>
        <w:t>ולא פירות</w:t>
      </w:r>
      <w:r w:rsidRPr="00AF3214">
        <w:rPr>
          <w:rFonts w:ascii="Narkisim" w:hAnsi="Narkisim"/>
          <w:rtl/>
        </w:rPr>
        <w:t>. פ</w:t>
      </w:r>
      <w:r w:rsidRPr="00AF3214">
        <w:rPr>
          <w:rFonts w:ascii="Narkisim" w:hAnsi="Narkisim"/>
          <w:b/>
          <w:bCs/>
          <w:rtl/>
        </w:rPr>
        <w:t>רש"י</w:t>
      </w:r>
      <w:r w:rsidRPr="00AF3214">
        <w:rPr>
          <w:rFonts w:ascii="Narkisim" w:hAnsi="Narkisim"/>
          <w:rtl/>
        </w:rPr>
        <w:t xml:space="preserve"> (לעיל פד.) דאינו משלם לה פירות נכסי מלוג שאכל</w:t>
      </w:r>
      <w:r w:rsidRPr="00AF3214">
        <w:rPr>
          <w:rStyle w:val="ac"/>
          <w:rFonts w:ascii="Narkisim" w:hAnsi="Narkisim"/>
          <w:rtl/>
        </w:rPr>
        <w:footnoteReference w:id="5307"/>
      </w:r>
      <w:r w:rsidRPr="00AF3214">
        <w:rPr>
          <w:rFonts w:ascii="Narkisim" w:hAnsi="Narkisim"/>
        </w:rPr>
        <w:t xml:space="preserve">. </w:t>
      </w:r>
      <w:r w:rsidRPr="00AF3214">
        <w:rPr>
          <w:rFonts w:ascii="Narkisim" w:hAnsi="Narkisim"/>
          <w:rtl/>
        </w:rPr>
        <w:t>ואף דאינו מתחייב בפרקונה, ומש"ה בדין שלא יאכל פירות. אפ"ה כיון דאכל את הפירות דינם כתנאי כתובה, וקנסום. וכ"ה ב</w:t>
      </w:r>
      <w:r w:rsidRPr="00AF3214">
        <w:rPr>
          <w:rFonts w:ascii="Narkisim" w:hAnsi="Narkisim"/>
          <w:b/>
          <w:bCs/>
          <w:rtl/>
        </w:rPr>
        <w:t>ירושלמי</w:t>
      </w:r>
      <w:r w:rsidRPr="00AF3214">
        <w:rPr>
          <w:rFonts w:ascii="Narkisim" w:hAnsi="Narkisim"/>
          <w:rtl/>
        </w:rPr>
        <w:t xml:space="preserve"> (הו' בתוס' לעיל פה. ד"ה אלמנה) שאינה יכולה להוציא משם פירות שאכל</w:t>
      </w:r>
      <w:r w:rsidRPr="00AF3214">
        <w:rPr>
          <w:rFonts w:ascii="Narkisim" w:hAnsi="Narkisim"/>
        </w:rPr>
        <w:t>.</w:t>
      </w:r>
    </w:p>
    <w:p w14:paraId="6E5E6A6F"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ירושלמי</w:t>
      </w:r>
      <w:r w:rsidRPr="00AF3214">
        <w:rPr>
          <w:rFonts w:ascii="Narkisim" w:hAnsi="Narkisim"/>
          <w:rtl/>
        </w:rPr>
        <w:t xml:space="preserve"> אי' דה"מ מה שאכל קודם שבא בעלה, אבל היכא דאכל אח"כ צריך להחזיר. שהרי אכלם שלא כדין. [וכ"פ השו"ע יז נו]</w:t>
      </w:r>
      <w:r w:rsidRPr="00AF3214">
        <w:rPr>
          <w:rFonts w:ascii="Narkisim" w:hAnsi="Narkisim"/>
        </w:rPr>
        <w:t>.</w:t>
      </w:r>
    </w:p>
    <w:p w14:paraId="37262594"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ולא בלאות</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אפי' שחיקת בגדים [שעדיין בעין] לא תוציא משם. וה</w:t>
      </w:r>
      <w:r w:rsidRPr="00AF3214">
        <w:rPr>
          <w:rFonts w:ascii="Narkisim" w:hAnsi="Narkisim" w:cs="Narkisim"/>
          <w:b/>
          <w:bCs/>
          <w:rtl/>
        </w:rPr>
        <w:t>רשב"א</w:t>
      </w:r>
      <w:r w:rsidRPr="00AF3214">
        <w:rPr>
          <w:rFonts w:ascii="Narkisim" w:hAnsi="Narkisim" w:cs="Narkisim"/>
          <w:rtl/>
        </w:rPr>
        <w:t xml:space="preserve"> הק' דאפי' זינתה לא הפסידה בלאותיה קיימין, והגמ' (כתובות קא.) פי' דכליה מי קנאי. וכ"ד ה</w:t>
      </w:r>
      <w:r w:rsidRPr="00AF3214">
        <w:rPr>
          <w:rFonts w:ascii="Narkisim" w:hAnsi="Narkisim" w:cs="Narkisim"/>
          <w:b/>
          <w:bCs/>
          <w:rtl/>
        </w:rPr>
        <w:t>רי"ף</w:t>
      </w:r>
      <w:r w:rsidRPr="00AF3214">
        <w:rPr>
          <w:rFonts w:ascii="Narkisim" w:hAnsi="Narkisim" w:cs="Narkisim"/>
          <w:rtl/>
        </w:rPr>
        <w:t xml:space="preserve">. ועד"ז הק' </w:t>
      </w:r>
      <w:r w:rsidRPr="00AF3214">
        <w:rPr>
          <w:rFonts w:ascii="Narkisim" w:hAnsi="Narkisim" w:cs="Narkisim"/>
          <w:b/>
          <w:bCs/>
          <w:rtl/>
        </w:rPr>
        <w:t>תוס'</w:t>
      </w:r>
      <w:r w:rsidRPr="00AF3214">
        <w:rPr>
          <w:rFonts w:ascii="Narkisim" w:hAnsi="Narkisim" w:cs="Narkisim"/>
          <w:rtl/>
        </w:rPr>
        <w:t xml:space="preserve"> (לעיל פה.) דדרך הגמ' לפרש שמפסדת בלאותיה הקיימין</w:t>
      </w:r>
      <w:r w:rsidRPr="00AF3214">
        <w:rPr>
          <w:rFonts w:ascii="Narkisim" w:hAnsi="Narkisim" w:cs="Narkisim"/>
        </w:rPr>
        <w:t>.</w:t>
      </w:r>
    </w:p>
    <w:p w14:paraId="4D7C5EFB"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ביאר דלדעת רש"י דהכא קנסו טפי אפי' בלאותיה קיימין, טפי מזינתה במזיד, דלא שכיח כולי האי. תדע דבת לוי מן המעשר, ואף דזינתה לא נפסלה, הכא קנסא (וכדאי' בגמ' צא:)</w:t>
      </w:r>
      <w:r w:rsidRPr="00AF3214">
        <w:rPr>
          <w:rFonts w:ascii="Narkisim" w:hAnsi="Narkisim"/>
        </w:rPr>
        <w:t>.</w:t>
      </w:r>
    </w:p>
    <w:p w14:paraId="37549036" w14:textId="77777777" w:rsidR="006C4368" w:rsidRPr="00AF3214" w:rsidRDefault="006C4368" w:rsidP="006C4368">
      <w:pPr>
        <w:bidi/>
        <w:rPr>
          <w:rFonts w:ascii="Narkisim" w:hAnsi="Narkisim" w:cs="Narkisim"/>
        </w:rPr>
      </w:pPr>
      <w:r w:rsidRPr="00AF3214">
        <w:rPr>
          <w:rFonts w:ascii="Narkisim" w:hAnsi="Narkisim" w:cs="Narkisim"/>
          <w:u w:val="single"/>
          <w:rtl/>
        </w:rPr>
        <w:t>ואם נטלה מזה ומזה תחזיר</w:t>
      </w:r>
      <w:r w:rsidRPr="00AF3214">
        <w:rPr>
          <w:rFonts w:ascii="Narkisim" w:hAnsi="Narkisim" w:cs="Narkisim"/>
          <w:rtl/>
        </w:rPr>
        <w:t>. ה</w:t>
      </w:r>
      <w:r w:rsidRPr="00AF3214">
        <w:rPr>
          <w:rFonts w:ascii="Narkisim" w:hAnsi="Narkisim" w:cs="Narkisim"/>
          <w:b/>
          <w:bCs/>
          <w:rtl/>
        </w:rPr>
        <w:t>רשב"א</w:t>
      </w:r>
      <w:r w:rsidRPr="00AF3214">
        <w:rPr>
          <w:rFonts w:ascii="Narkisim" w:hAnsi="Narkisim" w:cs="Narkisim"/>
          <w:rtl/>
        </w:rPr>
        <w:t xml:space="preserve"> הביא בשם ה</w:t>
      </w:r>
      <w:r w:rsidRPr="00AF3214">
        <w:rPr>
          <w:rFonts w:ascii="Narkisim" w:hAnsi="Narkisim" w:cs="Narkisim"/>
          <w:b/>
          <w:bCs/>
          <w:rtl/>
        </w:rPr>
        <w:t>ירושלמי</w:t>
      </w:r>
      <w:r w:rsidRPr="00AF3214">
        <w:rPr>
          <w:rFonts w:ascii="Narkisim" w:hAnsi="Narkisim" w:cs="Narkisim"/>
          <w:rtl/>
        </w:rPr>
        <w:t xml:space="preserve"> דה"מ כשנטלה לאחר שבא בעלה. אבל אין מוציאין מידה מה שנטלה מהשני קודם שבא מהראשון</w:t>
      </w:r>
      <w:r w:rsidRPr="00AF3214">
        <w:rPr>
          <w:rStyle w:val="ac"/>
          <w:rFonts w:ascii="Narkisim" w:hAnsi="Narkisim" w:cs="Narkisim"/>
          <w:rtl/>
        </w:rPr>
        <w:footnoteReference w:id="5308"/>
      </w:r>
      <w:r w:rsidRPr="00AF3214">
        <w:rPr>
          <w:rFonts w:ascii="Narkisim" w:hAnsi="Narkisim" w:cs="Narkisim"/>
        </w:rPr>
        <w:t xml:space="preserve">. </w:t>
      </w:r>
      <w:r w:rsidRPr="00AF3214">
        <w:rPr>
          <w:rFonts w:ascii="Narkisim" w:hAnsi="Narkisim" w:cs="Narkisim"/>
          <w:rtl/>
        </w:rPr>
        <w:t>[</w:t>
      </w:r>
      <w:r w:rsidRPr="00AF3214">
        <w:rPr>
          <w:rFonts w:ascii="Narkisim" w:hAnsi="Narkisim" w:cs="Narkisim"/>
          <w:szCs w:val="20"/>
          <w:rtl/>
        </w:rPr>
        <w:t>וצ"ב דכיון דנתברר שבעלה חי, א"כ לא היתה אשתו של שני מעולם, ומ"ט אי"צ להחזיר כל מה שנטלה ואכלה מעולם. ואפשר דהוה מדין מחילה, כיון דהוחזקו במצב אישות</w:t>
      </w:r>
      <w:r w:rsidRPr="00AF3214">
        <w:rPr>
          <w:rStyle w:val="ac"/>
          <w:rFonts w:ascii="Narkisim" w:hAnsi="Narkisim" w:cs="Narkisim"/>
          <w:szCs w:val="20"/>
          <w:rtl/>
        </w:rPr>
        <w:footnoteReference w:id="5309"/>
      </w:r>
      <w:r w:rsidRPr="00AF3214">
        <w:rPr>
          <w:rFonts w:ascii="Narkisim" w:hAnsi="Narkisim" w:cs="Narkisim"/>
          <w:rtl/>
        </w:rPr>
        <w:t>]</w:t>
      </w:r>
      <w:r w:rsidRPr="00AF3214">
        <w:rPr>
          <w:rFonts w:ascii="Narkisim" w:hAnsi="Narkisim" w:cs="Narkisim"/>
        </w:rPr>
        <w:t>.</w:t>
      </w:r>
    </w:p>
    <w:p w14:paraId="422D36F7" w14:textId="77777777" w:rsidR="006C4368" w:rsidRPr="00AF3214" w:rsidRDefault="006C4368" w:rsidP="006C4368">
      <w:pPr>
        <w:pStyle w:val="2"/>
        <w:bidi/>
        <w:rPr>
          <w:rFonts w:ascii="Narkisim" w:hAnsi="Narkisim"/>
        </w:rPr>
      </w:pPr>
      <w:r w:rsidRPr="00AF3214">
        <w:rPr>
          <w:rFonts w:ascii="Narkisim" w:hAnsi="Narkisim"/>
          <w:rtl/>
        </w:rPr>
        <w:t>הולד ממזר מזה ומזה</w:t>
      </w:r>
    </w:p>
    <w:p w14:paraId="5BA28948" w14:textId="77777777" w:rsidR="006C4368" w:rsidRPr="00AF3214" w:rsidRDefault="006C4368" w:rsidP="006C4368">
      <w:pPr>
        <w:bidi/>
        <w:rPr>
          <w:rFonts w:ascii="Narkisim" w:hAnsi="Narkisim" w:cs="Narkisim"/>
        </w:rPr>
      </w:pPr>
      <w:r w:rsidRPr="00AF3214">
        <w:rPr>
          <w:rFonts w:ascii="Narkisim" w:hAnsi="Narkisim" w:cs="Narkisim"/>
          <w:u w:val="single"/>
          <w:rtl/>
        </w:rPr>
        <w:t>והולד ממזר מזה ומזה</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דאם שוב החזירה ראשון</w:t>
      </w:r>
      <w:r w:rsidRPr="00AF3214">
        <w:rPr>
          <w:rStyle w:val="ac"/>
          <w:rFonts w:ascii="Narkisim" w:hAnsi="Narkisim" w:cs="Narkisim"/>
          <w:rtl/>
        </w:rPr>
        <w:footnoteReference w:id="5310"/>
      </w:r>
      <w:r w:rsidRPr="00AF3214">
        <w:rPr>
          <w:rFonts w:ascii="Narkisim" w:hAnsi="Narkisim" w:cs="Narkisim"/>
        </w:rPr>
        <w:t xml:space="preserve"> </w:t>
      </w:r>
      <w:r w:rsidRPr="00AF3214">
        <w:rPr>
          <w:rFonts w:ascii="Narkisim" w:hAnsi="Narkisim" w:cs="Narkisim"/>
          <w:rtl/>
        </w:rPr>
        <w:t>הוי ממזר מדבריהם. [וכדאי' בגמ' לקמן פט: דהוה ממזר מדרבנן</w:t>
      </w:r>
      <w:r w:rsidRPr="00AF3214">
        <w:rPr>
          <w:rStyle w:val="ac"/>
          <w:rFonts w:ascii="Narkisim" w:hAnsi="Narkisim" w:cs="Narkisim"/>
          <w:rtl/>
        </w:rPr>
        <w:footnoteReference w:id="5311"/>
      </w:r>
      <w:r w:rsidRPr="00AF3214">
        <w:rPr>
          <w:rFonts w:ascii="Narkisim" w:hAnsi="Narkisim" w:cs="Narkisim"/>
          <w:rtl/>
        </w:rPr>
        <w:t xml:space="preserve">]. ודעת </w:t>
      </w:r>
      <w:r w:rsidRPr="00AF3214">
        <w:rPr>
          <w:rFonts w:ascii="Narkisim" w:hAnsi="Narkisim" w:cs="Narkisim"/>
          <w:b/>
          <w:bCs/>
          <w:rtl/>
        </w:rPr>
        <w:t>ר"ח</w:t>
      </w:r>
      <w:r w:rsidRPr="00AF3214">
        <w:rPr>
          <w:rFonts w:ascii="Narkisim" w:hAnsi="Narkisim" w:cs="Narkisim"/>
          <w:rtl/>
        </w:rPr>
        <w:t xml:space="preserve"> (בתוס' מט: ד"ה סוטה) דבכל סוטה הולד ממזר מדרבנן. [וכיון דאסורה לראשון מדין סוטה, מש"ה הולד ממנו ממזר מדרבנן</w:t>
      </w:r>
      <w:r w:rsidRPr="00AF3214">
        <w:rPr>
          <w:rStyle w:val="ac"/>
          <w:rFonts w:ascii="Narkisim" w:hAnsi="Narkisim" w:cs="Narkisim"/>
          <w:rtl/>
        </w:rPr>
        <w:footnoteReference w:id="5312"/>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וה</w:t>
      </w:r>
      <w:r w:rsidRPr="00AF3214">
        <w:rPr>
          <w:rFonts w:ascii="Narkisim" w:hAnsi="Narkisim" w:cs="Narkisim"/>
          <w:b/>
          <w:bCs/>
          <w:rtl/>
        </w:rPr>
        <w:t>ראשונים</w:t>
      </w:r>
      <w:r w:rsidRPr="00AF3214">
        <w:rPr>
          <w:rFonts w:ascii="Narkisim" w:hAnsi="Narkisim" w:cs="Narkisim"/>
          <w:rtl/>
        </w:rPr>
        <w:t xml:space="preserve"> דחו דמבואר (לעיל פה:) דהולד מותר אפי' מדרבנן</w:t>
      </w:r>
      <w:r w:rsidRPr="00AF3214">
        <w:rPr>
          <w:rFonts w:ascii="Narkisim" w:hAnsi="Narkisim" w:cs="Narkisim"/>
        </w:rPr>
        <w:t>.</w:t>
      </w:r>
    </w:p>
    <w:p w14:paraId="05796A0C"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פי' דדוקא בסוגיין הוה קנס כי היכי דתידוק. ומשמע דתוס' מודו דגדר הקנס משום דהוה סוטה</w:t>
      </w:r>
      <w:r w:rsidRPr="00AF3214">
        <w:rPr>
          <w:rStyle w:val="ac"/>
          <w:rFonts w:ascii="Narkisim" w:hAnsi="Narkisim"/>
          <w:rtl/>
        </w:rPr>
        <w:footnoteReference w:id="5313"/>
      </w:r>
      <w:r w:rsidRPr="00AF3214">
        <w:rPr>
          <w:rFonts w:ascii="Narkisim" w:hAnsi="Narkisim"/>
        </w:rPr>
        <w:t xml:space="preserve">. </w:t>
      </w:r>
      <w:r w:rsidRPr="00AF3214">
        <w:rPr>
          <w:rFonts w:ascii="Narkisim" w:hAnsi="Narkisim"/>
          <w:rtl/>
        </w:rPr>
        <w:t>ועפ"ז נקטו התוס' דאף הולד משני [לאחר שגירש הראשון] הוה ממזר משום איסור סוטה [לבועל]</w:t>
      </w:r>
      <w:r w:rsidRPr="00AF3214">
        <w:rPr>
          <w:rFonts w:ascii="Narkisim" w:hAnsi="Narkisim"/>
        </w:rPr>
        <w:t>.</w:t>
      </w:r>
    </w:p>
    <w:p w14:paraId="1DE60E80" w14:textId="77777777" w:rsidR="006C4368" w:rsidRPr="00AF3214" w:rsidRDefault="006C4368" w:rsidP="006C4368">
      <w:pPr>
        <w:pStyle w:val="a7"/>
        <w:bidi/>
        <w:rPr>
          <w:rFonts w:ascii="Narkisim" w:hAnsi="Narkisim"/>
        </w:rPr>
      </w:pPr>
      <w:r w:rsidRPr="00AF3214">
        <w:rPr>
          <w:rFonts w:ascii="Narkisim" w:hAnsi="Narkisim"/>
          <w:rtl/>
        </w:rPr>
        <w:t>אבל ב</w:t>
      </w:r>
      <w:r w:rsidRPr="00AF3214">
        <w:rPr>
          <w:rFonts w:ascii="Narkisim" w:hAnsi="Narkisim"/>
          <w:b/>
          <w:bCs/>
          <w:rtl/>
        </w:rPr>
        <w:t>תוס' חד מקמאי</w:t>
      </w:r>
      <w:r w:rsidRPr="00AF3214">
        <w:rPr>
          <w:rFonts w:ascii="Narkisim" w:hAnsi="Narkisim"/>
          <w:rtl/>
        </w:rPr>
        <w:t xml:space="preserve"> (עה"ג) כת' דהולד מראשון ממזר היכא דהחזירה קודם שקיבלה גט מהשני</w:t>
      </w:r>
      <w:r w:rsidRPr="00AF3214">
        <w:rPr>
          <w:rStyle w:val="ac"/>
          <w:rFonts w:ascii="Narkisim" w:hAnsi="Narkisim"/>
          <w:rtl/>
        </w:rPr>
        <w:footnoteReference w:id="5314"/>
      </w:r>
      <w:r w:rsidRPr="00AF3214">
        <w:rPr>
          <w:rFonts w:ascii="Narkisim" w:hAnsi="Narkisim"/>
        </w:rPr>
        <w:t xml:space="preserve">. </w:t>
      </w:r>
      <w:r w:rsidRPr="00AF3214">
        <w:rPr>
          <w:rFonts w:ascii="Narkisim" w:hAnsi="Narkisim"/>
          <w:rtl/>
        </w:rPr>
        <w:t>וכ"כ ה</w:t>
      </w:r>
      <w:r w:rsidRPr="00AF3214">
        <w:rPr>
          <w:rFonts w:ascii="Narkisim" w:hAnsi="Narkisim"/>
          <w:b/>
          <w:bCs/>
          <w:rtl/>
        </w:rPr>
        <w:t>רמב"ן</w:t>
      </w:r>
      <w:r w:rsidRPr="00AF3214">
        <w:rPr>
          <w:rFonts w:ascii="Narkisim" w:hAnsi="Narkisim"/>
          <w:rtl/>
        </w:rPr>
        <w:t xml:space="preserve"> (לקמן צא:) ושא"ר (צב.) וכ"פ ה</w:t>
      </w:r>
      <w:r w:rsidRPr="00AF3214">
        <w:rPr>
          <w:rFonts w:ascii="Narkisim" w:hAnsi="Narkisim"/>
          <w:b/>
          <w:bCs/>
          <w:rtl/>
        </w:rPr>
        <w:t>רמב"ם</w:t>
      </w:r>
      <w:r w:rsidRPr="00AF3214">
        <w:rPr>
          <w:rFonts w:ascii="Narkisim" w:hAnsi="Narkisim"/>
          <w:rtl/>
        </w:rPr>
        <w:t xml:space="preserve"> (גירושין י ז, ושו"ע ד טז), ו</w:t>
      </w:r>
      <w:r w:rsidRPr="00AF3214">
        <w:rPr>
          <w:rFonts w:ascii="Narkisim" w:hAnsi="Narkisim"/>
          <w:b/>
          <w:bCs/>
          <w:rtl/>
        </w:rPr>
        <w:t>ה"ה</w:t>
      </w:r>
      <w:r w:rsidRPr="00AF3214">
        <w:rPr>
          <w:rFonts w:ascii="Narkisim" w:hAnsi="Narkisim"/>
          <w:rtl/>
        </w:rPr>
        <w:t xml:space="preserve"> ביאר דעשאוה כאשת איש מן השני מדבריהם</w:t>
      </w:r>
      <w:r w:rsidRPr="00AF3214">
        <w:rPr>
          <w:rStyle w:val="ac"/>
          <w:rFonts w:ascii="Narkisim" w:hAnsi="Narkisim"/>
          <w:rtl/>
        </w:rPr>
        <w:footnoteReference w:id="5315"/>
      </w:r>
      <w:r w:rsidRPr="00AF3214">
        <w:rPr>
          <w:rFonts w:ascii="Narkisim" w:hAnsi="Narkisim"/>
        </w:rPr>
        <w:t xml:space="preserve">. </w:t>
      </w:r>
      <w:r w:rsidRPr="00AF3214">
        <w:rPr>
          <w:rFonts w:ascii="Narkisim" w:hAnsi="Narkisim"/>
          <w:rtl/>
        </w:rPr>
        <w:t>אבל לאחר שגירשה השני אסורה רק מדין סוטה [או משום מיחזי כמחזיר גרושתו משנשאת], והולד כשר</w:t>
      </w:r>
      <w:r w:rsidRPr="00AF3214">
        <w:rPr>
          <w:rFonts w:ascii="Narkisim" w:hAnsi="Narkisim"/>
        </w:rPr>
        <w:t>.</w:t>
      </w:r>
    </w:p>
    <w:p w14:paraId="1DC70A8F" w14:textId="77777777" w:rsidR="006C4368" w:rsidRPr="00AF3214" w:rsidRDefault="006C4368" w:rsidP="006C4368">
      <w:pPr>
        <w:bidi/>
        <w:rPr>
          <w:rFonts w:ascii="Narkisim" w:hAnsi="Narkisim" w:cs="Narkisim"/>
        </w:rPr>
      </w:pPr>
      <w:r w:rsidRPr="00AF3214">
        <w:rPr>
          <w:rFonts w:ascii="Narkisim" w:hAnsi="Narkisim" w:cs="Narkisim"/>
          <w:u w:val="single"/>
          <w:rtl/>
        </w:rPr>
        <w:t>תוד"ה הולד</w:t>
      </w:r>
      <w:r w:rsidRPr="00AF3214">
        <w:rPr>
          <w:rFonts w:ascii="Narkisim" w:hAnsi="Narkisim" w:cs="Narkisim"/>
          <w:rtl/>
        </w:rPr>
        <w:t>. אר"י דאפי' לאחר שנתן הראשון גט</w:t>
      </w:r>
      <w:r w:rsidRPr="00AF3214">
        <w:rPr>
          <w:rStyle w:val="ac"/>
          <w:rFonts w:ascii="Narkisim" w:hAnsi="Narkisim" w:cs="Narkisim"/>
          <w:rtl/>
        </w:rPr>
        <w:footnoteReference w:id="5316"/>
      </w:r>
      <w:r w:rsidRPr="00AF3214">
        <w:rPr>
          <w:rFonts w:ascii="Narkisim" w:hAnsi="Narkisim" w:cs="Narkisim"/>
        </w:rPr>
        <w:t xml:space="preserve"> </w:t>
      </w:r>
      <w:r w:rsidRPr="00AF3214">
        <w:rPr>
          <w:rFonts w:ascii="Narkisim" w:hAnsi="Narkisim" w:cs="Narkisim"/>
          <w:rtl/>
        </w:rPr>
        <w:t>הוי ממזר מן השני וכו'. והוה ממזר דרבנן משום איסור סוטה [וקנסו דהוה ממזר אף משני]. אבל ה</w:t>
      </w:r>
      <w:r w:rsidRPr="00AF3214">
        <w:rPr>
          <w:rFonts w:ascii="Narkisim" w:hAnsi="Narkisim" w:cs="Narkisim"/>
          <w:b/>
          <w:bCs/>
          <w:rtl/>
        </w:rPr>
        <w:t>תוס' חד מקמאי</w:t>
      </w:r>
      <w:r w:rsidRPr="00AF3214">
        <w:rPr>
          <w:rFonts w:ascii="Narkisim" w:hAnsi="Narkisim" w:cs="Narkisim"/>
          <w:rtl/>
        </w:rPr>
        <w:t xml:space="preserve"> וה</w:t>
      </w:r>
      <w:r w:rsidRPr="00AF3214">
        <w:rPr>
          <w:rFonts w:ascii="Narkisim" w:hAnsi="Narkisim" w:cs="Narkisim"/>
          <w:b/>
          <w:bCs/>
          <w:rtl/>
        </w:rPr>
        <w:t>רמב"ן</w:t>
      </w:r>
      <w:r w:rsidRPr="00AF3214">
        <w:rPr>
          <w:rFonts w:ascii="Narkisim" w:hAnsi="Narkisim" w:cs="Narkisim"/>
          <w:rtl/>
        </w:rPr>
        <w:t xml:space="preserve"> חלקו דלאחר שהראשון גירש או מת הולד כשר, דל"ש צד ממזרות</w:t>
      </w:r>
      <w:r w:rsidRPr="00AF3214">
        <w:rPr>
          <w:rFonts w:ascii="Narkisim" w:hAnsi="Narkisim" w:cs="Narkisim"/>
        </w:rPr>
        <w:t>.</w:t>
      </w:r>
    </w:p>
    <w:p w14:paraId="77ECE36B"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ט"ז</w:t>
      </w:r>
      <w:r w:rsidRPr="00AF3214">
        <w:rPr>
          <w:rFonts w:ascii="Narkisim" w:hAnsi="Narkisim"/>
          <w:rtl/>
        </w:rPr>
        <w:t xml:space="preserve"> (ד ט) האריך דתוס' והרמב"ם נח' לשיטתם בגדר הממזרות, דלדעת </w:t>
      </w:r>
      <w:r w:rsidRPr="00AF3214">
        <w:rPr>
          <w:rFonts w:ascii="Narkisim" w:hAnsi="Narkisim"/>
          <w:b/>
          <w:bCs/>
          <w:rtl/>
        </w:rPr>
        <w:t>תוס'</w:t>
      </w:r>
      <w:r w:rsidRPr="00AF3214">
        <w:rPr>
          <w:rFonts w:ascii="Narkisim" w:hAnsi="Narkisim"/>
          <w:rtl/>
        </w:rPr>
        <w:t xml:space="preserve"> החמירו מחמת איסור סוטה דהוה ממזר, בין לבעל ובין לבועל. ואילו לדעת ה</w:t>
      </w:r>
      <w:r w:rsidRPr="00AF3214">
        <w:rPr>
          <w:rFonts w:ascii="Narkisim" w:hAnsi="Narkisim"/>
          <w:b/>
          <w:bCs/>
          <w:rtl/>
        </w:rPr>
        <w:t>רמב"ם</w:t>
      </w:r>
      <w:r w:rsidRPr="00AF3214">
        <w:rPr>
          <w:rFonts w:ascii="Narkisim" w:hAnsi="Narkisim"/>
          <w:rtl/>
        </w:rPr>
        <w:t xml:space="preserve"> הוה ממזר משום אשת איש, דתקנו רבנן שתחשב אשתו של שני [לאסור על הראשון] כל זמן שלא קיבלה גט. וכן הביא ה</w:t>
      </w:r>
      <w:r w:rsidRPr="00AF3214">
        <w:rPr>
          <w:rFonts w:ascii="Narkisim" w:hAnsi="Narkisim"/>
          <w:b/>
          <w:bCs/>
          <w:rtl/>
        </w:rPr>
        <w:t>גר"א</w:t>
      </w:r>
      <w:r w:rsidRPr="00AF3214">
        <w:rPr>
          <w:rFonts w:ascii="Narkisim" w:hAnsi="Narkisim"/>
          <w:rtl/>
        </w:rPr>
        <w:t xml:space="preserve"> (יז קעא) מהירושלמי</w:t>
      </w:r>
      <w:r w:rsidRPr="00AF3214">
        <w:rPr>
          <w:rFonts w:ascii="Narkisim" w:hAnsi="Narkisim"/>
        </w:rPr>
        <w:t>.</w:t>
      </w:r>
    </w:p>
    <w:p w14:paraId="55DD670C" w14:textId="77777777" w:rsidR="006C4368" w:rsidRPr="00AF3214" w:rsidRDefault="006C4368" w:rsidP="006C4368">
      <w:pPr>
        <w:pStyle w:val="a8"/>
        <w:bidi/>
        <w:rPr>
          <w:rFonts w:ascii="Narkisim" w:hAnsi="Narkisim"/>
        </w:rPr>
      </w:pPr>
      <w:r w:rsidRPr="00AF3214">
        <w:rPr>
          <w:rFonts w:ascii="Narkisim" w:hAnsi="Narkisim"/>
        </w:rPr>
        <w:t>[</w:t>
      </w:r>
      <w:r w:rsidRPr="00AF3214">
        <w:rPr>
          <w:rFonts w:ascii="Narkisim" w:hAnsi="Narkisim"/>
          <w:rtl/>
        </w:rPr>
        <w:t>ולכאורה דעת התוס' דלא תקנו אישות מהשני כלל. ואף דתקנו גט משום הרואים</w:t>
      </w:r>
      <w:r w:rsidRPr="00AF3214">
        <w:rPr>
          <w:rFonts w:ascii="Narkisim" w:hAnsi="Narkisim"/>
        </w:rPr>
        <w:t>].</w:t>
      </w:r>
    </w:p>
    <w:p w14:paraId="29C715D8"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פוסקים</w:t>
      </w:r>
      <w:r w:rsidRPr="00AF3214">
        <w:rPr>
          <w:rFonts w:ascii="Narkisim" w:hAnsi="Narkisim"/>
          <w:rtl/>
        </w:rPr>
        <w:t xml:space="preserve"> (ט"ז ד ט, הג' פרישה שם יט, חלק"מ ד יז ויז קכ, גר"א יז קעא) הק' בזה סתירה בדברי השו"ע, דגבי ולד מהשני ה</w:t>
      </w:r>
      <w:r w:rsidRPr="00AF3214">
        <w:rPr>
          <w:rFonts w:ascii="Narkisim" w:hAnsi="Narkisim"/>
          <w:b/>
          <w:bCs/>
          <w:rtl/>
        </w:rPr>
        <w:t>שו"ע</w:t>
      </w:r>
      <w:r w:rsidRPr="00AF3214">
        <w:rPr>
          <w:rFonts w:ascii="Narkisim" w:hAnsi="Narkisim"/>
          <w:rtl/>
        </w:rPr>
        <w:t xml:space="preserve"> (יז נו) פסק כדברי ה</w:t>
      </w:r>
      <w:r w:rsidRPr="00AF3214">
        <w:rPr>
          <w:rFonts w:ascii="Narkisim" w:hAnsi="Narkisim"/>
          <w:b/>
          <w:bCs/>
          <w:rtl/>
        </w:rPr>
        <w:t>תוס</w:t>
      </w:r>
      <w:r w:rsidRPr="00AF3214">
        <w:rPr>
          <w:rFonts w:ascii="Narkisim" w:hAnsi="Narkisim"/>
          <w:rtl/>
        </w:rPr>
        <w:t>' [והרא"ש והטור] דאף לאחר שגירש השני הוה ממזר מדרבנן, ואף דה</w:t>
      </w:r>
      <w:r w:rsidRPr="00AF3214">
        <w:rPr>
          <w:rFonts w:ascii="Narkisim" w:hAnsi="Narkisim"/>
          <w:b/>
          <w:bCs/>
          <w:rtl/>
        </w:rPr>
        <w:t>שו"ע</w:t>
      </w:r>
      <w:r w:rsidRPr="00AF3214">
        <w:rPr>
          <w:rFonts w:ascii="Narkisim" w:hAnsi="Narkisim"/>
          <w:rtl/>
        </w:rPr>
        <w:t xml:space="preserve"> (בסו"ד שם וד טז) פסק כדברי הרמב"ם דהולד מהראשון הוה ממזר רק קודם שנתן השני גט. וה</w:t>
      </w:r>
      <w:r w:rsidRPr="00AF3214">
        <w:rPr>
          <w:rFonts w:ascii="Narkisim" w:hAnsi="Narkisim"/>
          <w:b/>
          <w:bCs/>
          <w:rtl/>
        </w:rPr>
        <w:t>ב"ח</w:t>
      </w:r>
      <w:r w:rsidRPr="00AF3214">
        <w:rPr>
          <w:rFonts w:ascii="Narkisim" w:hAnsi="Narkisim"/>
          <w:rtl/>
        </w:rPr>
        <w:t xml:space="preserve"> תי' דגבי שני גזרו טפי שיהא ממזר דרבנן, כיון דקודם שגירש הוה ממזר דאורייתא [נחית דרגא], ועד"ז כת' </w:t>
      </w:r>
      <w:r w:rsidRPr="00AF3214">
        <w:rPr>
          <w:rFonts w:ascii="Narkisim" w:hAnsi="Narkisim"/>
          <w:rtl/>
        </w:rPr>
        <w:lastRenderedPageBreak/>
        <w:t>ה</w:t>
      </w:r>
      <w:r w:rsidRPr="00AF3214">
        <w:rPr>
          <w:rFonts w:ascii="Narkisim" w:hAnsi="Narkisim"/>
          <w:b/>
          <w:bCs/>
          <w:rtl/>
        </w:rPr>
        <w:t>מהרלב"ח</w:t>
      </w:r>
      <w:r w:rsidRPr="00AF3214">
        <w:rPr>
          <w:rFonts w:ascii="Narkisim" w:hAnsi="Narkisim"/>
          <w:rtl/>
        </w:rPr>
        <w:t xml:space="preserve"> (מב). ומש"ה מהני גט לענין שהולד מראשון לא יהא ממזר. אבל לא מהני גט [מראשון] לענין ולד משני. וה</w:t>
      </w:r>
      <w:r w:rsidRPr="00AF3214">
        <w:rPr>
          <w:rFonts w:ascii="Narkisim" w:hAnsi="Narkisim"/>
          <w:b/>
          <w:bCs/>
          <w:rtl/>
        </w:rPr>
        <w:t>ט"ז</w:t>
      </w:r>
      <w:r w:rsidRPr="00AF3214">
        <w:rPr>
          <w:rFonts w:ascii="Narkisim" w:hAnsi="Narkisim"/>
          <w:rtl/>
        </w:rPr>
        <w:t xml:space="preserve"> חלק דאין לחלק בזה</w:t>
      </w:r>
      <w:r w:rsidRPr="00AF3214">
        <w:rPr>
          <w:rStyle w:val="ac"/>
          <w:rFonts w:ascii="Narkisim" w:hAnsi="Narkisim"/>
          <w:rtl/>
        </w:rPr>
        <w:footnoteReference w:id="5317"/>
      </w:r>
      <w:r w:rsidRPr="00AF3214">
        <w:rPr>
          <w:rFonts w:ascii="Narkisim" w:hAnsi="Narkisim"/>
        </w:rPr>
        <w:t xml:space="preserve">, </w:t>
      </w:r>
      <w:r w:rsidRPr="00AF3214">
        <w:rPr>
          <w:rFonts w:ascii="Narkisim" w:hAnsi="Narkisim"/>
          <w:rtl/>
        </w:rPr>
        <w:t>ונשאר בתימה בדברי השו"ע</w:t>
      </w:r>
      <w:r w:rsidRPr="00AF3214">
        <w:rPr>
          <w:rFonts w:ascii="Narkisim" w:hAnsi="Narkisim"/>
        </w:rPr>
        <w:t>.</w:t>
      </w:r>
    </w:p>
    <w:p w14:paraId="559DDB2E" w14:textId="77777777" w:rsidR="006C4368" w:rsidRPr="00AF3214" w:rsidRDefault="006C4368" w:rsidP="006C4368">
      <w:pPr>
        <w:pStyle w:val="aa"/>
        <w:bidi/>
        <w:rPr>
          <w:rFonts w:ascii="Narkisim" w:hAnsi="Narkisim"/>
        </w:rPr>
      </w:pPr>
      <w:r w:rsidRPr="00AF3214">
        <w:rPr>
          <w:rFonts w:ascii="Narkisim" w:hAnsi="Narkisim"/>
          <w:u w:val="single"/>
          <w:rtl/>
        </w:rPr>
        <w:t>שם. דאפי' לאחר שנתן הראשון גט הוי ממזר מהשני</w:t>
      </w:r>
      <w:r w:rsidRPr="00AF3214">
        <w:rPr>
          <w:rFonts w:ascii="Narkisim" w:hAnsi="Narkisim"/>
          <w:rtl/>
        </w:rPr>
        <w:t>. אבל במשנה (לקמן צב.) אי' דהיכא דהבעל הראשון היה קיים ואח"כ מת, הולד הראשון [שהיה בעוד הבעל חי] ממזר, וולד אחרון אינו ממזר. וה</w:t>
      </w:r>
      <w:r w:rsidRPr="00AF3214">
        <w:rPr>
          <w:rFonts w:ascii="Narkisim" w:hAnsi="Narkisim"/>
          <w:b/>
          <w:bCs/>
          <w:rtl/>
        </w:rPr>
        <w:t>רמב"ן</w:t>
      </w:r>
      <w:r w:rsidRPr="00AF3214">
        <w:rPr>
          <w:rFonts w:ascii="Narkisim" w:hAnsi="Narkisim"/>
          <w:rtl/>
        </w:rPr>
        <w:t xml:space="preserve"> ו</w:t>
      </w:r>
      <w:r w:rsidRPr="00AF3214">
        <w:rPr>
          <w:rFonts w:ascii="Narkisim" w:hAnsi="Narkisim"/>
          <w:b/>
          <w:bCs/>
          <w:rtl/>
        </w:rPr>
        <w:t>תוס' חד מקמאי</w:t>
      </w:r>
      <w:r w:rsidRPr="00AF3214">
        <w:rPr>
          <w:rFonts w:ascii="Narkisim" w:hAnsi="Narkisim"/>
          <w:rtl/>
        </w:rPr>
        <w:t xml:space="preserve"> הביאו להדיא כדבריהם דלאחר שגירש הראשון הולד משני אינו ממזר</w:t>
      </w:r>
      <w:r w:rsidRPr="00AF3214">
        <w:rPr>
          <w:rStyle w:val="ac"/>
          <w:rFonts w:ascii="Narkisim" w:hAnsi="Narkisim"/>
          <w:rtl/>
        </w:rPr>
        <w:footnoteReference w:id="5318"/>
      </w:r>
      <w:r w:rsidRPr="00AF3214">
        <w:rPr>
          <w:rFonts w:ascii="Narkisim" w:hAnsi="Narkisim"/>
        </w:rPr>
        <w:t xml:space="preserve">. </w:t>
      </w:r>
      <w:r w:rsidRPr="00AF3214">
        <w:rPr>
          <w:rFonts w:ascii="Narkisim" w:hAnsi="Narkisim"/>
          <w:rtl/>
        </w:rPr>
        <w:t xml:space="preserve">אבל </w:t>
      </w:r>
      <w:r w:rsidRPr="00AF3214">
        <w:rPr>
          <w:rFonts w:ascii="Narkisim" w:hAnsi="Narkisim"/>
          <w:b/>
          <w:bCs/>
          <w:rtl/>
        </w:rPr>
        <w:t>תוס</w:t>
      </w:r>
      <w:r w:rsidRPr="00AF3214">
        <w:rPr>
          <w:rFonts w:ascii="Narkisim" w:hAnsi="Narkisim"/>
          <w:rtl/>
        </w:rPr>
        <w:t>' (צב. ד"ה ואמרו וצב:) כת' דהמשנה קאי מדאורייתא, דהאחרון אינו ממזר מדאורייתא. אבל הוה ממזר מדרבנן</w:t>
      </w:r>
      <w:r w:rsidRPr="00AF3214">
        <w:rPr>
          <w:rFonts w:ascii="Narkisim" w:hAnsi="Narkisim"/>
        </w:rPr>
        <w:t>.</w:t>
      </w:r>
    </w:p>
    <w:p w14:paraId="23EE5A24" w14:textId="77777777" w:rsidR="006C4368" w:rsidRPr="00AF3214" w:rsidRDefault="006C4368" w:rsidP="006C4368">
      <w:pPr>
        <w:bidi/>
        <w:rPr>
          <w:rFonts w:ascii="Narkisim" w:hAnsi="Narkisim" w:cs="Narkisim"/>
        </w:rPr>
      </w:pPr>
      <w:r w:rsidRPr="00AF3214">
        <w:rPr>
          <w:rFonts w:ascii="Narkisim" w:hAnsi="Narkisim" w:cs="Narkisim"/>
          <w:u w:val="single"/>
          <w:rtl/>
        </w:rPr>
        <w:t>בא"ד מידי דהוה אראשון שהולד ממזר ממנו</w:t>
      </w:r>
      <w:r w:rsidRPr="00AF3214">
        <w:rPr>
          <w:rFonts w:ascii="Narkisim" w:hAnsi="Narkisim" w:cs="Narkisim"/>
          <w:rtl/>
        </w:rPr>
        <w:t>. דקנסו דולד מהראשון הוה ממזר מדרבנן, ותוס' נקטו דהוה משום איסור סוטה [וכנ"ל], א"כ ה"ה הולד מהבועל קנסו</w:t>
      </w:r>
      <w:r w:rsidRPr="00AF3214">
        <w:rPr>
          <w:rFonts w:ascii="Narkisim" w:hAnsi="Narkisim" w:cs="Narkisim"/>
        </w:rPr>
        <w:t>.</w:t>
      </w:r>
    </w:p>
    <w:p w14:paraId="0A04D62C" w14:textId="77777777" w:rsidR="006C4368" w:rsidRPr="00AF3214" w:rsidRDefault="006C4368" w:rsidP="006C4368">
      <w:pPr>
        <w:pStyle w:val="a7"/>
        <w:bidi/>
        <w:rPr>
          <w:rFonts w:ascii="Narkisim" w:hAnsi="Narkisim"/>
        </w:rPr>
      </w:pPr>
      <w:r w:rsidRPr="00AF3214">
        <w:rPr>
          <w:rFonts w:ascii="Narkisim" w:hAnsi="Narkisim"/>
          <w:rtl/>
        </w:rPr>
        <w:t>ובפשוטו כוונת התוס' דפשיט"ל דהולד מראשון הוה ממזר אף לאחר שגירש השני</w:t>
      </w:r>
      <w:r w:rsidRPr="00AF3214">
        <w:rPr>
          <w:rFonts w:ascii="Narkisim" w:hAnsi="Narkisim"/>
          <w:szCs w:val="20"/>
          <w:rtl/>
        </w:rPr>
        <w:t xml:space="preserve"> [ודלא כרמב"ם ושא"ר הנ"ל],</w:t>
      </w:r>
      <w:r w:rsidRPr="00AF3214">
        <w:rPr>
          <w:rFonts w:ascii="Narkisim" w:hAnsi="Narkisim"/>
          <w:rtl/>
        </w:rPr>
        <w:t xml:space="preserve"> ובזה תוס' דימו דאף הולד משני לאחר שגירש הראשון. </w:t>
      </w:r>
      <w:r w:rsidRPr="00AF3214">
        <w:rPr>
          <w:rFonts w:ascii="Narkisim" w:hAnsi="Narkisim"/>
          <w:szCs w:val="20"/>
          <w:rtl/>
        </w:rPr>
        <w:t>[וקצת דוחק שתוס' למדו מדין שאינו מפורש במשנה, ולא פירשו דבריהם</w:t>
      </w:r>
      <w:r w:rsidRPr="00AF3214">
        <w:rPr>
          <w:rStyle w:val="ac"/>
          <w:rFonts w:ascii="Narkisim" w:hAnsi="Narkisim"/>
          <w:szCs w:val="20"/>
          <w:rtl/>
        </w:rPr>
        <w:footnoteReference w:id="5319"/>
      </w:r>
      <w:r w:rsidRPr="00AF3214">
        <w:rPr>
          <w:rFonts w:ascii="Narkisim" w:hAnsi="Narkisim"/>
          <w:szCs w:val="20"/>
          <w:rtl/>
        </w:rPr>
        <w:t>]</w:t>
      </w:r>
      <w:r w:rsidRPr="00AF3214">
        <w:rPr>
          <w:rFonts w:ascii="Narkisim" w:hAnsi="Narkisim"/>
          <w:szCs w:val="20"/>
        </w:rPr>
        <w:t>.</w:t>
      </w:r>
    </w:p>
    <w:p w14:paraId="76990736" w14:textId="77777777" w:rsidR="006C4368" w:rsidRPr="00AF3214" w:rsidRDefault="006C4368" w:rsidP="006C4368">
      <w:pPr>
        <w:pStyle w:val="a7"/>
        <w:bidi/>
        <w:rPr>
          <w:rFonts w:ascii="Narkisim" w:hAnsi="Narkisim"/>
        </w:rPr>
      </w:pPr>
      <w:r w:rsidRPr="00AF3214">
        <w:rPr>
          <w:rFonts w:ascii="Narkisim" w:hAnsi="Narkisim"/>
          <w:rtl/>
        </w:rPr>
        <w:t>אבל ב</w:t>
      </w:r>
      <w:r w:rsidRPr="00AF3214">
        <w:rPr>
          <w:rFonts w:ascii="Narkisim" w:hAnsi="Narkisim"/>
          <w:b/>
          <w:bCs/>
          <w:rtl/>
        </w:rPr>
        <w:t>שו"ת מהרלב"ח</w:t>
      </w:r>
      <w:r w:rsidRPr="00AF3214">
        <w:rPr>
          <w:rFonts w:ascii="Narkisim" w:hAnsi="Narkisim"/>
          <w:rtl/>
        </w:rPr>
        <w:t xml:space="preserve"> </w:t>
      </w:r>
      <w:r w:rsidRPr="00AF3214">
        <w:rPr>
          <w:rFonts w:ascii="Narkisim" w:hAnsi="Narkisim"/>
          <w:szCs w:val="20"/>
          <w:rtl/>
        </w:rPr>
        <w:t>(מב ד"ה אם נאמ', ציינו הט"ז הנ"ל, ועד"ז הבי"ש ד כז)</w:t>
      </w:r>
      <w:r w:rsidRPr="00AF3214">
        <w:rPr>
          <w:rFonts w:ascii="Narkisim" w:hAnsi="Narkisim"/>
          <w:rtl/>
        </w:rPr>
        <w:t xml:space="preserve"> כת' דכוונת התוס' דכי היכי שהולד מראשון הוה ממזר מדרבנן, אף הולד משני הוה ממזר מדרבנן [במקום שאינו ממזר מדאורייתא], ודייק כן מלשון המשנה הולד ממזר מזה ומזה, משמע דהוה ממזר בשווה</w:t>
      </w:r>
      <w:r w:rsidRPr="00AF3214">
        <w:rPr>
          <w:rFonts w:ascii="Narkisim" w:hAnsi="Narkisim"/>
        </w:rPr>
        <w:t>.</w:t>
      </w:r>
    </w:p>
    <w:p w14:paraId="67B6896B" w14:textId="77777777" w:rsidR="006C4368" w:rsidRPr="00AF3214" w:rsidRDefault="006C4368" w:rsidP="006C4368">
      <w:pPr>
        <w:pStyle w:val="aa"/>
        <w:bidi/>
        <w:rPr>
          <w:rFonts w:ascii="Narkisim" w:hAnsi="Narkisim"/>
        </w:rPr>
      </w:pPr>
      <w:r w:rsidRPr="00AF3214">
        <w:rPr>
          <w:rFonts w:ascii="Narkisim" w:hAnsi="Narkisim"/>
          <w:u w:val="single"/>
          <w:rtl/>
        </w:rPr>
        <w:t>לא זה וזה זכאין במציאתה וכו'</w:t>
      </w:r>
      <w:r w:rsidRPr="00AF3214">
        <w:rPr>
          <w:rFonts w:ascii="Narkisim" w:hAnsi="Narkisim"/>
          <w:rtl/>
        </w:rPr>
        <w:t>. קנס זו הוה על הבעל, ע' גמ' (לקמן צא.). וה</w:t>
      </w:r>
      <w:r w:rsidRPr="00AF3214">
        <w:rPr>
          <w:rFonts w:ascii="Narkisim" w:hAnsi="Narkisim"/>
          <w:b/>
          <w:bCs/>
          <w:rtl/>
        </w:rPr>
        <w:t>גמ'</w:t>
      </w:r>
      <w:r w:rsidRPr="00AF3214">
        <w:rPr>
          <w:rFonts w:ascii="Narkisim" w:hAnsi="Narkisim"/>
          <w:rtl/>
        </w:rPr>
        <w:t xml:space="preserve"> (צ:) פי' דחכמים רצו שיהא איבה ואיבה. ו</w:t>
      </w:r>
      <w:r w:rsidRPr="00AF3214">
        <w:rPr>
          <w:rFonts w:ascii="Narkisim" w:hAnsi="Narkisim"/>
          <w:b/>
          <w:bCs/>
          <w:rtl/>
        </w:rPr>
        <w:t>תוס'</w:t>
      </w:r>
      <w:r w:rsidRPr="00AF3214">
        <w:rPr>
          <w:rFonts w:ascii="Narkisim" w:hAnsi="Narkisim"/>
          <w:rtl/>
        </w:rPr>
        <w:t xml:space="preserve"> (פט: ד"ה כיון) דנו דמ"מ הבעל יורשה, שאמאי יפסיד ירושתה</w:t>
      </w:r>
      <w:r w:rsidRPr="00AF3214">
        <w:rPr>
          <w:rFonts w:ascii="Narkisim" w:hAnsi="Narkisim"/>
        </w:rPr>
        <w:t>.</w:t>
      </w:r>
    </w:p>
    <w:p w14:paraId="60C2AFCD" w14:textId="77777777" w:rsidR="006C4368" w:rsidRPr="00AF3214" w:rsidRDefault="006C4368" w:rsidP="006C4368">
      <w:pPr>
        <w:pStyle w:val="aa"/>
        <w:bidi/>
        <w:rPr>
          <w:rFonts w:ascii="Narkisim" w:hAnsi="Narkisim"/>
        </w:rPr>
      </w:pPr>
      <w:r w:rsidRPr="00AF3214">
        <w:rPr>
          <w:rFonts w:ascii="Narkisim" w:hAnsi="Narkisim"/>
          <w:u w:val="single"/>
          <w:rtl/>
        </w:rPr>
        <w:t>היתה בת ישראל נפסלה מן הכהונה</w:t>
      </w:r>
      <w:r w:rsidRPr="00AF3214">
        <w:rPr>
          <w:rFonts w:ascii="Narkisim" w:hAnsi="Narkisim"/>
          <w:rtl/>
        </w:rPr>
        <w:t>. פ</w:t>
      </w:r>
      <w:r w:rsidRPr="00AF3214">
        <w:rPr>
          <w:rFonts w:ascii="Narkisim" w:hAnsi="Narkisim"/>
          <w:b/>
          <w:bCs/>
          <w:rtl/>
        </w:rPr>
        <w:t>רש"י</w:t>
      </w:r>
      <w:r w:rsidRPr="00AF3214">
        <w:rPr>
          <w:rFonts w:ascii="Narkisim" w:hAnsi="Narkisim"/>
          <w:rtl/>
        </w:rPr>
        <w:t xml:space="preserve"> משום זונה. ואף מדאורייתא פסולה, דהא אפי' נאנסה נפסלה לכהונה. כדאי' (לעיל לה. ונו:). אך לחד לישנא (לעיל נו:) דנאנסה לא הוה זונה</w:t>
      </w:r>
      <w:r w:rsidRPr="00AF3214">
        <w:rPr>
          <w:rFonts w:ascii="Narkisim" w:hAnsi="Narkisim"/>
        </w:rPr>
        <w:t>.</w:t>
      </w:r>
    </w:p>
    <w:p w14:paraId="27DF34D3" w14:textId="77777777" w:rsidR="006C4368" w:rsidRPr="00AF3214" w:rsidRDefault="006C4368" w:rsidP="006C4368">
      <w:pPr>
        <w:bidi/>
        <w:rPr>
          <w:rFonts w:ascii="Narkisim" w:hAnsi="Narkisim" w:cs="Narkisim"/>
        </w:rPr>
      </w:pPr>
      <w:r w:rsidRPr="00AF3214">
        <w:rPr>
          <w:rFonts w:ascii="Narkisim" w:hAnsi="Narkisim" w:cs="Narkisim"/>
          <w:u w:val="single"/>
          <w:rtl/>
        </w:rPr>
        <w:t>רש"י ד"ה מן המעשר</w:t>
      </w:r>
      <w:r w:rsidRPr="00AF3214">
        <w:rPr>
          <w:rFonts w:ascii="Narkisim" w:hAnsi="Narkisim" w:cs="Narkisim"/>
          <w:rtl/>
        </w:rPr>
        <w:t>. משום קנסא (כדלקמן צא.), וכן תרומה דרבנן. משמע דהא דאסורה בתרומה [אפי' תרומה דרבנן] הוה משום קנס. וה</w:t>
      </w:r>
      <w:r w:rsidRPr="00AF3214">
        <w:rPr>
          <w:rFonts w:ascii="Narkisim" w:hAnsi="Narkisim" w:cs="Narkisim"/>
          <w:b/>
          <w:bCs/>
          <w:rtl/>
        </w:rPr>
        <w:t>אחרונים</w:t>
      </w:r>
      <w:r w:rsidRPr="00AF3214">
        <w:rPr>
          <w:rFonts w:ascii="Narkisim" w:hAnsi="Narkisim" w:cs="Narkisim"/>
          <w:rtl/>
        </w:rPr>
        <w:t xml:space="preserve"> (ערול"נ ועוד) תמהו דאפי' אשת איש נאנסה נפסלה מדאורייתא מתרומה, [ולכאורה אף תרומה דרבנן]</w:t>
      </w:r>
      <w:r w:rsidRPr="00AF3214">
        <w:rPr>
          <w:rStyle w:val="ac"/>
          <w:rFonts w:ascii="Narkisim" w:hAnsi="Narkisim" w:cs="Narkisim"/>
          <w:rtl/>
        </w:rPr>
        <w:footnoteReference w:id="5320"/>
      </w:r>
      <w:r w:rsidRPr="00AF3214">
        <w:rPr>
          <w:rFonts w:ascii="Narkisim" w:hAnsi="Narkisim" w:cs="Narkisim"/>
        </w:rPr>
        <w:t xml:space="preserve">. </w:t>
      </w:r>
      <w:r w:rsidRPr="00AF3214">
        <w:rPr>
          <w:rFonts w:ascii="Narkisim" w:hAnsi="Narkisim" w:cs="Narkisim"/>
          <w:rtl/>
        </w:rPr>
        <w:t>ובפשוטו מבואר מדברי רש"י דאשת איש שנאנסה פסולה לינשא לכהן, אבל אינה נאסרת בתרומה מדאורייתא</w:t>
      </w:r>
      <w:r w:rsidRPr="00AF3214">
        <w:rPr>
          <w:rStyle w:val="ac"/>
          <w:rFonts w:ascii="Narkisim" w:hAnsi="Narkisim" w:cs="Narkisim"/>
          <w:rtl/>
        </w:rPr>
        <w:footnoteReference w:id="5321"/>
      </w:r>
      <w:r w:rsidRPr="00AF3214">
        <w:rPr>
          <w:rFonts w:ascii="Narkisim" w:hAnsi="Narkisim" w:cs="Narkisim"/>
        </w:rPr>
        <w:t xml:space="preserve">. </w:t>
      </w:r>
      <w:r w:rsidRPr="00AF3214">
        <w:rPr>
          <w:rFonts w:ascii="Narkisim" w:hAnsi="Narkisim" w:cs="Narkisim"/>
          <w:rtl/>
        </w:rPr>
        <w:t>וצ"ע דבגמ' (לעיל לה.) מפורש דאשת איש שנאנסה פסולה מתרומה דבי נשא</w:t>
      </w:r>
      <w:r w:rsidRPr="00AF3214">
        <w:rPr>
          <w:rStyle w:val="ac"/>
          <w:rFonts w:ascii="Narkisim" w:hAnsi="Narkisim" w:cs="Narkisim"/>
          <w:rtl/>
        </w:rPr>
        <w:footnoteReference w:id="5322"/>
      </w:r>
      <w:r w:rsidRPr="00AF3214">
        <w:rPr>
          <w:rFonts w:ascii="Narkisim" w:hAnsi="Narkisim" w:cs="Narkisim"/>
        </w:rPr>
        <w:t>.</w:t>
      </w:r>
    </w:p>
    <w:p w14:paraId="38FA44F7" w14:textId="77777777" w:rsidR="006C4368" w:rsidRPr="00AF3214" w:rsidRDefault="006C4368" w:rsidP="006C4368">
      <w:pPr>
        <w:bidi/>
        <w:rPr>
          <w:rFonts w:ascii="Narkisim" w:hAnsi="Narkisim" w:cs="Narkisim"/>
        </w:rPr>
      </w:pPr>
      <w:r w:rsidRPr="00AF3214">
        <w:rPr>
          <w:rFonts w:ascii="Narkisim" w:hAnsi="Narkisim" w:cs="Narkisim"/>
          <w:u w:val="single"/>
          <w:rtl/>
        </w:rPr>
        <w:t>ואם ניסת שלא ברשות מותרת לחזור לו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באו ב' עדים [וכדאי' בגמ'] וניסת מעצמה, שלא היתה צריכה להיתר בי"ד. בפשוטו משמע דרשאית לינשא כששמעה מהעדים, ואי"צ שיתקבל עדותם בבי"ד</w:t>
      </w:r>
      <w:r w:rsidRPr="00AF3214">
        <w:rPr>
          <w:rStyle w:val="ac"/>
          <w:rFonts w:ascii="Narkisim" w:hAnsi="Narkisim" w:cs="Narkisim"/>
          <w:rtl/>
        </w:rPr>
        <w:footnoteReference w:id="5323"/>
      </w:r>
      <w:r w:rsidRPr="00AF3214">
        <w:rPr>
          <w:rFonts w:ascii="Narkisim" w:hAnsi="Narkisim" w:cs="Narkisim"/>
        </w:rPr>
        <w:t xml:space="preserve">. </w:t>
      </w:r>
      <w:r w:rsidRPr="00AF3214">
        <w:rPr>
          <w:rFonts w:ascii="Narkisim" w:hAnsi="Narkisim" w:cs="Narkisim"/>
          <w:rtl/>
        </w:rPr>
        <w:t xml:space="preserve">וכן דייק בס' </w:t>
      </w:r>
      <w:r w:rsidRPr="00AF3214">
        <w:rPr>
          <w:rFonts w:ascii="Narkisim" w:hAnsi="Narkisim" w:cs="Narkisim"/>
          <w:b/>
          <w:bCs/>
          <w:rtl/>
        </w:rPr>
        <w:t>ברית</w:t>
      </w:r>
      <w:r w:rsidRPr="00AF3214">
        <w:rPr>
          <w:rFonts w:ascii="Narkisim" w:hAnsi="Narkisim" w:cs="Narkisim"/>
          <w:rtl/>
        </w:rPr>
        <w:t xml:space="preserve"> </w:t>
      </w:r>
      <w:r w:rsidRPr="00AF3214">
        <w:rPr>
          <w:rFonts w:ascii="Narkisim" w:hAnsi="Narkisim" w:cs="Narkisim"/>
          <w:b/>
          <w:bCs/>
          <w:rtl/>
        </w:rPr>
        <w:t>אברהם</w:t>
      </w:r>
      <w:r w:rsidRPr="00AF3214">
        <w:rPr>
          <w:rFonts w:ascii="Narkisim" w:hAnsi="Narkisim" w:cs="Narkisim"/>
          <w:rtl/>
        </w:rPr>
        <w:t xml:space="preserve"> (אה"ע ס, הו' בחפץ חיים ז במ"ח בהג'), אך כת' דיש לדחות דלעולם צריך ג' לקבלת העדות, אלא דלא בעינן 'רשות בית דין' לינשא</w:t>
      </w:r>
      <w:r w:rsidRPr="00AF3214">
        <w:rPr>
          <w:rFonts w:ascii="Narkisim" w:hAnsi="Narkisim" w:cs="Narkisim"/>
        </w:rPr>
        <w:t>.</w:t>
      </w:r>
    </w:p>
    <w:p w14:paraId="7434880D" w14:textId="77777777" w:rsidR="006C4368" w:rsidRPr="00AF3214" w:rsidRDefault="006C4368" w:rsidP="006C4368">
      <w:pPr>
        <w:bidi/>
        <w:rPr>
          <w:rFonts w:ascii="Narkisim" w:hAnsi="Narkisim" w:cs="Narkisim"/>
        </w:rPr>
      </w:pPr>
      <w:r w:rsidRPr="00AF3214">
        <w:rPr>
          <w:rFonts w:ascii="Narkisim" w:hAnsi="Narkisim" w:cs="Narkisim"/>
          <w:u w:val="single"/>
          <w:rtl/>
        </w:rPr>
        <w:t>ניסת ע"פ בי"ד תצא ופטורה מהקרבן</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דיחיד שעשה בהוראת בי"ד פטור. כדתנן (הוריות ב.) דהורו בי"ד, והלך יחיד ועשה ע"פ פטור, מפני שתלה בבי"ד. ובגמ' (שם ב:) נח' בזה התנאים</w:t>
      </w:r>
      <w:r w:rsidRPr="00AF3214">
        <w:rPr>
          <w:rStyle w:val="ac"/>
          <w:rFonts w:ascii="Narkisim" w:hAnsi="Narkisim" w:cs="Narkisim"/>
          <w:rtl/>
        </w:rPr>
        <w:footnoteReference w:id="5324"/>
      </w:r>
      <w:r w:rsidRPr="00AF3214">
        <w:rPr>
          <w:rFonts w:ascii="Narkisim" w:hAnsi="Narkisim" w:cs="Narkisim"/>
        </w:rPr>
        <w:t>.</w:t>
      </w:r>
    </w:p>
    <w:p w14:paraId="1E545023" w14:textId="77777777" w:rsidR="006C4368" w:rsidRPr="00AF3214" w:rsidRDefault="006C4368" w:rsidP="006C4368">
      <w:pPr>
        <w:bidi/>
        <w:rPr>
          <w:rFonts w:ascii="Narkisim" w:hAnsi="Narkisim" w:cs="Narkisim"/>
        </w:rPr>
      </w:pP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(הוריות ב.) כת' דהורו בי"ד דהתם הוה סנהדרין גדולה</w:t>
      </w:r>
      <w:r w:rsidRPr="00AF3214">
        <w:rPr>
          <w:rStyle w:val="ac"/>
          <w:rFonts w:ascii="Narkisim" w:hAnsi="Narkisim" w:cs="Narkisim"/>
          <w:rtl/>
        </w:rPr>
        <w:footnoteReference w:id="5325"/>
      </w:r>
      <w:r w:rsidRPr="00AF3214">
        <w:rPr>
          <w:rFonts w:ascii="Narkisim" w:hAnsi="Narkisim" w:cs="Narkisim"/>
        </w:rPr>
        <w:t xml:space="preserve">, </w:t>
      </w:r>
      <w:r w:rsidRPr="00AF3214">
        <w:rPr>
          <w:rFonts w:ascii="Narkisim" w:hAnsi="Narkisim" w:cs="Narkisim"/>
          <w:rtl/>
        </w:rPr>
        <w:t xml:space="preserve">אבל בסוגיין קאי בכל </w:t>
      </w:r>
      <w:r w:rsidRPr="00AF3214">
        <w:rPr>
          <w:rFonts w:ascii="Narkisim" w:hAnsi="Narkisim" w:cs="Narkisim"/>
          <w:rtl/>
        </w:rPr>
        <w:lastRenderedPageBreak/>
        <w:t>בי"ד, שכל בי"ד יכולין להתירה לינשא, והני נמי אית להו האי דינא שאם עשתה כמו שהורו פטורה. כיון שתולה בבי"ד</w:t>
      </w:r>
      <w:r w:rsidRPr="00AF3214">
        <w:rPr>
          <w:rFonts w:ascii="Narkisim" w:hAnsi="Narkisim" w:cs="Narkisim"/>
        </w:rPr>
        <w:t>.</w:t>
      </w:r>
    </w:p>
    <w:p w14:paraId="23931A78" w14:textId="77777777" w:rsidR="006C4368" w:rsidRPr="00AF3214" w:rsidRDefault="006C4368" w:rsidP="006C4368">
      <w:pPr>
        <w:pStyle w:val="a7"/>
        <w:bidi/>
        <w:rPr>
          <w:rFonts w:ascii="Narkisim" w:hAnsi="Narkisim"/>
        </w:rPr>
      </w:pPr>
      <w:r w:rsidRPr="00AF3214">
        <w:rPr>
          <w:rFonts w:ascii="Narkisim" w:hAnsi="Narkisim"/>
          <w:rtl/>
        </w:rPr>
        <w:t>ובפשוטו משמע דכל יחיד שתולה עצמו בהוראת בי"ד בעלמא אינו חייב קרבן חטאת. אבל ה</w:t>
      </w:r>
      <w:r w:rsidRPr="00AF3214">
        <w:rPr>
          <w:rFonts w:ascii="Narkisim" w:hAnsi="Narkisim"/>
          <w:b/>
          <w:bCs/>
          <w:rtl/>
        </w:rPr>
        <w:t>חלק"מ</w:t>
      </w:r>
      <w:r w:rsidRPr="00AF3214">
        <w:rPr>
          <w:rFonts w:ascii="Narkisim" w:hAnsi="Narkisim"/>
          <w:rtl/>
        </w:rPr>
        <w:t xml:space="preserve"> </w:t>
      </w:r>
      <w:r w:rsidRPr="00AF3214">
        <w:rPr>
          <w:rFonts w:ascii="Narkisim" w:hAnsi="Narkisim"/>
          <w:szCs w:val="20"/>
          <w:rtl/>
        </w:rPr>
        <w:t>(יז עח, הו' תשובה)</w:t>
      </w:r>
      <w:r w:rsidRPr="00AF3214">
        <w:rPr>
          <w:rFonts w:ascii="Narkisim" w:hAnsi="Narkisim"/>
          <w:rtl/>
        </w:rPr>
        <w:t xml:space="preserve"> נקט דדוקא התולה בבי"ד הגדול פטור. אבל בי"ד דעלמא אינו פוטר מקרבן</w:t>
      </w:r>
      <w:r w:rsidRPr="00AF3214">
        <w:rPr>
          <w:rStyle w:val="ac"/>
          <w:rFonts w:ascii="Narkisim" w:hAnsi="Narkisim"/>
          <w:rtl/>
        </w:rPr>
        <w:footnoteReference w:id="5326"/>
      </w:r>
      <w:r w:rsidRPr="00AF3214">
        <w:rPr>
          <w:rFonts w:ascii="Narkisim" w:hAnsi="Narkisim"/>
        </w:rPr>
        <w:t xml:space="preserve">. </w:t>
      </w:r>
      <w:r w:rsidRPr="00AF3214">
        <w:rPr>
          <w:rFonts w:ascii="Narkisim" w:hAnsi="Narkisim"/>
          <w:rtl/>
        </w:rPr>
        <w:t>אלא דיש אופן דהוה ע"פ הוראת בי"ד הגדול ופטור מקרבן. [וע"ע לקמן צב.]</w:t>
      </w:r>
      <w:r w:rsidRPr="00AF3214">
        <w:rPr>
          <w:rFonts w:ascii="Narkisim" w:hAnsi="Narkisim"/>
        </w:rPr>
        <w:t>.</w:t>
      </w:r>
    </w:p>
    <w:p w14:paraId="5D6B3992" w14:textId="77777777" w:rsidR="006C4368" w:rsidRPr="00AF3214" w:rsidRDefault="006C4368" w:rsidP="006C4368">
      <w:pPr>
        <w:bidi/>
        <w:rPr>
          <w:rFonts w:ascii="Narkisim" w:hAnsi="Narkisim" w:cs="Narkisim"/>
        </w:rPr>
      </w:pPr>
      <w:r w:rsidRPr="00AF3214">
        <w:rPr>
          <w:rFonts w:ascii="Narkisim" w:hAnsi="Narkisim" w:cs="Narkisim"/>
          <w:u w:val="single"/>
          <w:rtl/>
        </w:rPr>
        <w:t>שם. ע"פ בי"ד</w:t>
      </w:r>
      <w:r w:rsidRPr="00AF3214">
        <w:rPr>
          <w:rFonts w:ascii="Narkisim" w:hAnsi="Narkisim" w:cs="Narkisim"/>
          <w:rtl/>
        </w:rPr>
        <w:t>. ה</w:t>
      </w:r>
      <w:r w:rsidRPr="00AF3214">
        <w:rPr>
          <w:rFonts w:ascii="Narkisim" w:hAnsi="Narkisim" w:cs="Narkisim"/>
          <w:b/>
          <w:bCs/>
          <w:rtl/>
        </w:rPr>
        <w:t xml:space="preserve">שו"ע </w:t>
      </w:r>
      <w:r w:rsidRPr="00AF3214">
        <w:rPr>
          <w:rFonts w:ascii="Narkisim" w:hAnsi="Narkisim" w:cs="Narkisim"/>
          <w:rtl/>
        </w:rPr>
        <w:t>(יז לט) כת' דהנשאת ע"פ עד א' לא תנשא אלא ברשות בי"ד. וה</w:t>
      </w:r>
      <w:r w:rsidRPr="00AF3214">
        <w:rPr>
          <w:rFonts w:ascii="Narkisim" w:hAnsi="Narkisim" w:cs="Narkisim"/>
          <w:b/>
          <w:bCs/>
          <w:rtl/>
        </w:rPr>
        <w:t>רמ"א</w:t>
      </w:r>
      <w:r w:rsidRPr="00AF3214">
        <w:rPr>
          <w:rFonts w:ascii="Narkisim" w:hAnsi="Narkisim" w:cs="Narkisim"/>
          <w:rtl/>
        </w:rPr>
        <w:t xml:space="preserve"> כת' הביא דהיינו ג' דיינים כשרים, שהדיינים לא יהיו קרובים זל"ז או לעדים</w:t>
      </w:r>
      <w:r w:rsidRPr="00AF3214">
        <w:rPr>
          <w:rStyle w:val="ac"/>
          <w:rFonts w:ascii="Narkisim" w:hAnsi="Narkisim" w:cs="Narkisim"/>
          <w:rtl/>
        </w:rPr>
        <w:footnoteReference w:id="5327"/>
      </w:r>
      <w:r w:rsidRPr="00AF3214">
        <w:rPr>
          <w:rFonts w:ascii="Narkisim" w:hAnsi="Narkisim" w:cs="Narkisim"/>
        </w:rPr>
        <w:t>.</w:t>
      </w:r>
    </w:p>
    <w:p w14:paraId="758C76EB"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שו"ע</w:t>
      </w:r>
      <w:r w:rsidRPr="00AF3214">
        <w:rPr>
          <w:rFonts w:ascii="Narkisim" w:hAnsi="Narkisim"/>
          <w:rtl/>
        </w:rPr>
        <w:t xml:space="preserve"> כת' דהיכא דנשאת בלא בי"ד י"א שלא תצא</w:t>
      </w:r>
      <w:r w:rsidRPr="00AF3214">
        <w:rPr>
          <w:rStyle w:val="ac"/>
          <w:rFonts w:ascii="Narkisim" w:hAnsi="Narkisim"/>
          <w:rtl/>
        </w:rPr>
        <w:footnoteReference w:id="5328"/>
      </w:r>
      <w:r w:rsidRPr="00AF3214">
        <w:rPr>
          <w:rFonts w:ascii="Narkisim" w:hAnsi="Narkisim"/>
        </w:rPr>
        <w:t>.</w:t>
      </w:r>
    </w:p>
    <w:p w14:paraId="28BB104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חלק"מ</w:t>
      </w:r>
      <w:r w:rsidRPr="00AF3214">
        <w:rPr>
          <w:rFonts w:ascii="Narkisim" w:hAnsi="Narkisim"/>
          <w:rtl/>
        </w:rPr>
        <w:t xml:space="preserve"> (שם עח) האריך דלא צריך דין בי"ד להתיר</w:t>
      </w:r>
      <w:r w:rsidRPr="00AF3214">
        <w:rPr>
          <w:rStyle w:val="ac"/>
          <w:rFonts w:ascii="Narkisim" w:hAnsi="Narkisim"/>
          <w:rtl/>
        </w:rPr>
        <w:footnoteReference w:id="5329"/>
      </w:r>
      <w:r w:rsidRPr="00AF3214">
        <w:rPr>
          <w:rFonts w:ascii="Narkisim" w:hAnsi="Narkisim"/>
        </w:rPr>
        <w:t xml:space="preserve">. </w:t>
      </w:r>
      <w:r w:rsidRPr="00AF3214">
        <w:rPr>
          <w:rFonts w:ascii="Narkisim" w:hAnsi="Narkisim"/>
          <w:rtl/>
        </w:rPr>
        <w:t>דהא עד מפי עד כשר בעדות אשה. וה</w:t>
      </w:r>
      <w:r w:rsidRPr="00AF3214">
        <w:rPr>
          <w:rFonts w:ascii="Narkisim" w:hAnsi="Narkisim"/>
          <w:b/>
          <w:bCs/>
          <w:rtl/>
        </w:rPr>
        <w:t>בי"ש</w:t>
      </w:r>
      <w:r w:rsidRPr="00AF3214">
        <w:rPr>
          <w:rFonts w:ascii="Narkisim" w:hAnsi="Narkisim"/>
          <w:rtl/>
        </w:rPr>
        <w:t xml:space="preserve"> (שם קכד, והגר"א שם קלא) דחו דצריך קבלת עדות בבי"ד, וכדאי' (לקמן קכב:) דצריך דרישה וחקירה. ואף דהקילו משום עיגונא בעד מפי עד, אין דנים אפשר משאי אפשר. [ואין בזה עיגונא לבא לפני בי"ד להתירה]</w:t>
      </w:r>
      <w:r w:rsidRPr="00AF3214">
        <w:rPr>
          <w:rFonts w:ascii="Narkisim" w:hAnsi="Narkisim"/>
        </w:rPr>
        <w:t>.</w:t>
      </w:r>
    </w:p>
    <w:p w14:paraId="2B6B6342"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(כז ח) כת' דהיכא דיש ב' עדים לא צריך בי"ד, וכת' דמבואר בפוסקים דמדינא היתר האשה הוה הוראה וסגי כחד כטומאות וטהרות, ואף בהכרעת שיקול הדעת. ולא הוה גדר 'משפט' [כדיני ממונות'. אלא דהיכא שניתרת בעד א' תיקנו שתנשא ע"פ בי"ד</w:t>
      </w:r>
      <w:r w:rsidRPr="00AF3214">
        <w:rPr>
          <w:rFonts w:ascii="Narkisim" w:hAnsi="Narkisim"/>
        </w:rPr>
        <w:t>.</w:t>
      </w:r>
    </w:p>
    <w:p w14:paraId="51CBA60E" w14:textId="77777777" w:rsidR="006C4368" w:rsidRPr="00AF3214" w:rsidRDefault="006C4368" w:rsidP="006C4368">
      <w:pPr>
        <w:pStyle w:val="a8"/>
        <w:bidi/>
        <w:rPr>
          <w:rFonts w:ascii="Narkisim" w:hAnsi="Narkisim"/>
        </w:rPr>
      </w:pPr>
      <w:r w:rsidRPr="00AF3214">
        <w:rPr>
          <w:rFonts w:ascii="Narkisim" w:hAnsi="Narkisim"/>
          <w:rtl/>
        </w:rPr>
        <w:t>אך כת' ומיהו י"ל דברשות בי"ד היינו בי"ד [הקדמון] שתקנו להנשא בעד א', ובזה קרוי תולה בבי"ד</w:t>
      </w:r>
      <w:r w:rsidRPr="00AF3214">
        <w:rPr>
          <w:rFonts w:ascii="Narkisim" w:hAnsi="Narkisim"/>
        </w:rPr>
        <w:t>.</w:t>
      </w:r>
    </w:p>
    <w:p w14:paraId="0CAE4114" w14:textId="77777777" w:rsidR="006C4368" w:rsidRPr="00AF3214" w:rsidRDefault="006C4368" w:rsidP="006C4368">
      <w:pPr>
        <w:bidi/>
        <w:rPr>
          <w:rFonts w:ascii="Narkisim" w:hAnsi="Narkisim" w:cs="Narkisim"/>
        </w:rPr>
      </w:pPr>
      <w:r w:rsidRPr="00AF3214">
        <w:rPr>
          <w:rFonts w:ascii="Narkisim" w:hAnsi="Narkisim" w:cs="Narkisim"/>
          <w:u w:val="single"/>
          <w:rtl/>
        </w:rPr>
        <w:t>לא ניסת ע"פ בי"ד תצא וחייבת קרבן</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דשוגגת היא, ואין זה אונס. דאיבעי לה לאמתוני. וה</w:t>
      </w:r>
      <w:r w:rsidRPr="00AF3214">
        <w:rPr>
          <w:rFonts w:ascii="Narkisim" w:hAnsi="Narkisim" w:cs="Narkisim"/>
          <w:b/>
          <w:bCs/>
          <w:rtl/>
        </w:rPr>
        <w:t>אחרונים</w:t>
      </w:r>
      <w:r w:rsidRPr="00AF3214">
        <w:rPr>
          <w:rFonts w:ascii="Narkisim" w:hAnsi="Narkisim" w:cs="Narkisim"/>
          <w:rtl/>
        </w:rPr>
        <w:t xml:space="preserve"> תמהו דכתיב ע"פ שנים עדים יקום דבר, ורשאית לסמוך על דבריהם. ואי"צ לחשוש שהעדים שקרנים, ואמאי הו"ל להמתין. והק' מ"ש ממש"כ </w:t>
      </w:r>
      <w:r w:rsidRPr="00AF3214">
        <w:rPr>
          <w:rFonts w:ascii="Narkisim" w:hAnsi="Narkisim" w:cs="Narkisim"/>
          <w:b/>
          <w:bCs/>
          <w:rtl/>
        </w:rPr>
        <w:t>תוס</w:t>
      </w:r>
      <w:r w:rsidRPr="00AF3214">
        <w:rPr>
          <w:rFonts w:ascii="Narkisim" w:hAnsi="Narkisim" w:cs="Narkisim"/>
          <w:rtl/>
        </w:rPr>
        <w:t>' (לעיל לה: ד"ה ונמצאת) דהיכא דסמך על הכרעת רוב אינו חייב קרבן, דדרשי' פרט לאונס</w:t>
      </w:r>
      <w:r w:rsidRPr="00AF3214">
        <w:rPr>
          <w:rFonts w:ascii="Narkisim" w:hAnsi="Narkisim" w:cs="Narkisim"/>
        </w:rPr>
        <w:t>.</w:t>
      </w:r>
    </w:p>
    <w:p w14:paraId="14035584"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קר"א</w:t>
      </w:r>
      <w:r w:rsidRPr="00AF3214">
        <w:rPr>
          <w:rFonts w:ascii="Narkisim" w:hAnsi="Narkisim"/>
          <w:rtl/>
        </w:rPr>
        <w:t xml:space="preserve"> (לקמן צא:) הוכיח מכאן דאף דהוה אונס גמור חייבת קרבן</w:t>
      </w:r>
      <w:r w:rsidRPr="00AF3214">
        <w:rPr>
          <w:rStyle w:val="ac"/>
          <w:rFonts w:ascii="Narkisim" w:hAnsi="Narkisim"/>
          <w:rtl/>
        </w:rPr>
        <w:footnoteReference w:id="5330"/>
      </w:r>
      <w:r w:rsidRPr="00AF3214">
        <w:rPr>
          <w:rFonts w:ascii="Narkisim" w:hAnsi="Narkisim"/>
        </w:rPr>
        <w:t xml:space="preserve">. </w:t>
      </w:r>
      <w:r w:rsidRPr="00AF3214">
        <w:rPr>
          <w:rFonts w:ascii="Narkisim" w:hAnsi="Narkisim"/>
          <w:rtl/>
        </w:rPr>
        <w:t>ודוקא היכא דטעה בדבר מצווה פטורה מקרבן</w:t>
      </w:r>
      <w:r w:rsidRPr="00AF3214">
        <w:rPr>
          <w:rStyle w:val="ac"/>
          <w:rFonts w:ascii="Narkisim" w:hAnsi="Narkisim"/>
          <w:rtl/>
        </w:rPr>
        <w:footnoteReference w:id="5331"/>
      </w:r>
      <w:r w:rsidRPr="00AF3214">
        <w:rPr>
          <w:rFonts w:ascii="Narkisim" w:hAnsi="Narkisim"/>
        </w:rPr>
        <w:t xml:space="preserve">. </w:t>
      </w:r>
      <w:r w:rsidRPr="00AF3214">
        <w:rPr>
          <w:rFonts w:ascii="Narkisim" w:hAnsi="Narkisim"/>
          <w:rtl/>
        </w:rPr>
        <w:t>[אך צ"ע דרש"י כת' הטעם דאיבעי לאימתוני]</w:t>
      </w:r>
      <w:r w:rsidRPr="00AF3214">
        <w:rPr>
          <w:rStyle w:val="ac"/>
          <w:rFonts w:ascii="Narkisim" w:hAnsi="Narkisim"/>
          <w:rtl/>
        </w:rPr>
        <w:footnoteReference w:id="5332"/>
      </w:r>
      <w:r w:rsidRPr="00AF3214">
        <w:rPr>
          <w:rFonts w:ascii="Narkisim" w:hAnsi="Narkisim"/>
        </w:rPr>
        <w:t>.</w:t>
      </w:r>
    </w:p>
    <w:p w14:paraId="5EF453BC"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נוב"י</w:t>
      </w:r>
      <w:r w:rsidRPr="00AF3214">
        <w:rPr>
          <w:rFonts w:ascii="Narkisim" w:hAnsi="Narkisim"/>
          <w:rtl/>
        </w:rPr>
        <w:t xml:space="preserve"> (יו"ד ת' צו) חילק דהיכא דנשאת ע"פ עדים, ואח"כ נתברר שההיתר היתה בטעות חייבת חטאת. </w:t>
      </w:r>
      <w:r w:rsidRPr="00AF3214">
        <w:rPr>
          <w:rFonts w:ascii="Narkisim" w:hAnsi="Narkisim"/>
          <w:szCs w:val="20"/>
          <w:rtl/>
        </w:rPr>
        <w:t>שהרי באמת העדות שקר, והעדים הטעו אותה. וטעות דינו כשוגג</w:t>
      </w:r>
      <w:r w:rsidRPr="00AF3214">
        <w:rPr>
          <w:rStyle w:val="ac"/>
          <w:rFonts w:ascii="Narkisim" w:hAnsi="Narkisim"/>
          <w:szCs w:val="20"/>
          <w:rtl/>
        </w:rPr>
        <w:footnoteReference w:id="5333"/>
      </w:r>
      <w:r w:rsidRPr="00AF3214">
        <w:rPr>
          <w:rFonts w:ascii="Narkisim" w:hAnsi="Narkisim"/>
          <w:szCs w:val="20"/>
        </w:rPr>
        <w:t>.</w:t>
      </w:r>
      <w:r w:rsidRPr="00AF3214">
        <w:rPr>
          <w:rFonts w:ascii="Narkisim" w:hAnsi="Narkisim"/>
        </w:rPr>
        <w:t xml:space="preserve"> </w:t>
      </w:r>
      <w:r w:rsidRPr="00AF3214">
        <w:rPr>
          <w:rFonts w:ascii="Narkisim" w:hAnsi="Narkisim"/>
          <w:rtl/>
        </w:rPr>
        <w:t>משא"כ היכא דסומכת על דין רוב, אין כאן שום טעות. שהתורה אמרה אחרי רבים להטות, ולא צריך לחשוש למיעוט. ואף דנתברר שהיה מהמיעוט, ההיתר לא היה ע"פ טעות</w:t>
      </w:r>
      <w:r w:rsidRPr="00AF3214">
        <w:rPr>
          <w:rFonts w:ascii="Narkisim" w:hAnsi="Narkisim"/>
        </w:rPr>
        <w:t>.</w:t>
      </w:r>
    </w:p>
    <w:p w14:paraId="5E3D48A2" w14:textId="77777777" w:rsidR="006C4368" w:rsidRPr="00AF3214" w:rsidRDefault="006C4368" w:rsidP="006C4368">
      <w:pPr>
        <w:pStyle w:val="a8"/>
        <w:bidi/>
        <w:rPr>
          <w:rFonts w:ascii="Narkisim" w:hAnsi="Narkisim"/>
        </w:rPr>
      </w:pPr>
      <w:r w:rsidRPr="00AF3214">
        <w:rPr>
          <w:rFonts w:ascii="Narkisim" w:hAnsi="Narkisim"/>
          <w:rtl/>
        </w:rPr>
        <w:lastRenderedPageBreak/>
        <w:t>וה</w:t>
      </w:r>
      <w:r w:rsidRPr="00AF3214">
        <w:rPr>
          <w:rFonts w:ascii="Narkisim" w:hAnsi="Narkisim"/>
          <w:b/>
          <w:bCs/>
          <w:rtl/>
        </w:rPr>
        <w:t>אחרונים</w:t>
      </w:r>
      <w:r w:rsidRPr="00AF3214">
        <w:rPr>
          <w:rFonts w:ascii="Narkisim" w:hAnsi="Narkisim"/>
          <w:rtl/>
        </w:rPr>
        <w:t xml:space="preserve"> תמהו מ"ש דנתברר שהיה טעות, מהדין היה לה לסמוך על דברי העדים</w:t>
      </w:r>
      <w:r w:rsidRPr="00AF3214">
        <w:rPr>
          <w:rStyle w:val="ac"/>
          <w:rFonts w:ascii="Narkisim" w:hAnsi="Narkisim"/>
          <w:rtl/>
        </w:rPr>
        <w:footnoteReference w:id="5334"/>
      </w:r>
      <w:r w:rsidRPr="00AF3214">
        <w:rPr>
          <w:rFonts w:ascii="Narkisim" w:hAnsi="Narkisim"/>
        </w:rPr>
        <w:t xml:space="preserve">. </w:t>
      </w:r>
      <w:r w:rsidRPr="00AF3214">
        <w:rPr>
          <w:rFonts w:ascii="Narkisim" w:hAnsi="Narkisim"/>
          <w:rtl/>
        </w:rPr>
        <w:t>ואמאי לא הוה אונס</w:t>
      </w:r>
      <w:r w:rsidRPr="00AF3214">
        <w:rPr>
          <w:rStyle w:val="ac"/>
          <w:rFonts w:ascii="Narkisim" w:hAnsi="Narkisim"/>
          <w:rtl/>
        </w:rPr>
        <w:footnoteReference w:id="5335"/>
      </w:r>
      <w:r w:rsidRPr="00AF3214">
        <w:rPr>
          <w:rFonts w:ascii="Narkisim" w:hAnsi="Narkisim"/>
        </w:rPr>
        <w:t xml:space="preserve">. </w:t>
      </w:r>
      <w:r w:rsidRPr="00AF3214">
        <w:rPr>
          <w:rFonts w:ascii="Narkisim" w:hAnsi="Narkisim"/>
          <w:rtl/>
        </w:rPr>
        <w:t>ומבואר מדברי הנוב"י דפטור 'אונס' הוה דוקא היכא דהסיבה עדיין קיימת</w:t>
      </w:r>
      <w:r w:rsidRPr="00AF3214">
        <w:rPr>
          <w:rStyle w:val="ac"/>
          <w:rFonts w:ascii="Narkisim" w:hAnsi="Narkisim"/>
          <w:rtl/>
        </w:rPr>
        <w:footnoteReference w:id="5336"/>
      </w:r>
      <w:r w:rsidRPr="00AF3214">
        <w:rPr>
          <w:rFonts w:ascii="Narkisim" w:hAnsi="Narkisim"/>
        </w:rPr>
        <w:t xml:space="preserve">. </w:t>
      </w:r>
      <w:r w:rsidRPr="00AF3214">
        <w:rPr>
          <w:rFonts w:ascii="Narkisim" w:hAnsi="Narkisim"/>
          <w:rtl/>
        </w:rPr>
        <w:t>אבל הכא לאחר שנתברר שהוא חי והעדות שקר, מתבטל סיבת האונס</w:t>
      </w:r>
      <w:r w:rsidRPr="00AF3214">
        <w:rPr>
          <w:rStyle w:val="ac"/>
          <w:rFonts w:ascii="Narkisim" w:hAnsi="Narkisim"/>
          <w:rtl/>
        </w:rPr>
        <w:footnoteReference w:id="5337"/>
      </w:r>
      <w:r w:rsidRPr="00AF3214">
        <w:rPr>
          <w:rFonts w:ascii="Narkisim" w:hAnsi="Narkisim"/>
        </w:rPr>
        <w:t xml:space="preserve"> </w:t>
      </w:r>
      <w:r w:rsidRPr="00AF3214">
        <w:rPr>
          <w:rFonts w:ascii="Narkisim" w:hAnsi="Narkisim"/>
          <w:rtl/>
        </w:rPr>
        <w:t>[מכאן ולהבא, ועי"ז לא נחשב אונס למפרע]</w:t>
      </w:r>
      <w:r w:rsidRPr="00AF3214">
        <w:rPr>
          <w:rFonts w:ascii="Narkisim" w:hAnsi="Narkisim"/>
        </w:rPr>
        <w:t>.</w:t>
      </w:r>
    </w:p>
    <w:p w14:paraId="701859EC" w14:textId="77777777" w:rsidR="006C4368" w:rsidRPr="00AF3214" w:rsidRDefault="006C4368" w:rsidP="006C4368">
      <w:pPr>
        <w:bidi/>
        <w:rPr>
          <w:rFonts w:ascii="Narkisim" w:hAnsi="Narkisim" w:cs="Narkisim"/>
        </w:rPr>
      </w:pPr>
      <w:r w:rsidRPr="00AF3214">
        <w:rPr>
          <w:rFonts w:ascii="Narkisim" w:hAnsi="Narkisim" w:cs="Narkisim"/>
          <w:u w:val="single"/>
          <w:rtl/>
        </w:rPr>
        <w:t>מכלל דרישא ברשות בי"ד ובע"א</w:t>
      </w:r>
      <w:r w:rsidRPr="00AF3214">
        <w:rPr>
          <w:rFonts w:ascii="Narkisim" w:hAnsi="Narkisim" w:cs="Narkisim"/>
          <w:rtl/>
        </w:rPr>
        <w:t>. וה</w:t>
      </w:r>
      <w:r w:rsidRPr="00AF3214">
        <w:rPr>
          <w:rFonts w:ascii="Narkisim" w:hAnsi="Narkisim" w:cs="Narkisim"/>
          <w:b/>
          <w:bCs/>
          <w:rtl/>
        </w:rPr>
        <w:t>גמ'</w:t>
      </w:r>
      <w:r w:rsidRPr="00AF3214">
        <w:rPr>
          <w:rFonts w:ascii="Narkisim" w:hAnsi="Narkisim" w:cs="Narkisim"/>
          <w:rtl/>
        </w:rPr>
        <w:t xml:space="preserve"> (כריתות יא:, והו' ברשב"א וריטב"א ונמוק"י) הביאה ממתני' דידן דקרי לחד בלשון 'אמרו לו</w:t>
      </w:r>
      <w:r w:rsidRPr="00AF3214">
        <w:rPr>
          <w:rFonts w:ascii="Narkisim" w:hAnsi="Narkisim" w:cs="Narkisim"/>
        </w:rPr>
        <w:t>'.</w:t>
      </w:r>
    </w:p>
    <w:p w14:paraId="713EA23A" w14:textId="77777777" w:rsidR="006C4368" w:rsidRPr="00AF3214" w:rsidRDefault="006C4368" w:rsidP="006C4368">
      <w:pPr>
        <w:pStyle w:val="a8"/>
        <w:bidi/>
        <w:rPr>
          <w:rFonts w:ascii="Narkisim" w:hAnsi="Narkisim"/>
        </w:rPr>
      </w:pPr>
      <w:r w:rsidRPr="00AF3214">
        <w:rPr>
          <w:rFonts w:ascii="Narkisim" w:hAnsi="Narkisim"/>
          <w:rtl/>
        </w:rPr>
        <w:t>ומ"מ צ"ב אמאי נקט לשון רבים, ובאו ואמרו לה. וה</w:t>
      </w:r>
      <w:r w:rsidRPr="00AF3214">
        <w:rPr>
          <w:rFonts w:ascii="Narkisim" w:hAnsi="Narkisim"/>
          <w:b/>
          <w:bCs/>
          <w:rtl/>
        </w:rPr>
        <w:t>תוי"ט</w:t>
      </w:r>
      <w:r w:rsidRPr="00AF3214">
        <w:rPr>
          <w:rFonts w:ascii="Narkisim" w:hAnsi="Narkisim"/>
          <w:rtl/>
        </w:rPr>
        <w:t xml:space="preserve"> כת' די"ל דבא לרמז באופן שהאמירה ע"י רבים, כגון עד מפי עד, ואפי' הכי תנשא</w:t>
      </w:r>
      <w:r w:rsidRPr="00AF3214">
        <w:rPr>
          <w:rStyle w:val="ac"/>
          <w:rFonts w:ascii="Narkisim" w:hAnsi="Narkisim"/>
          <w:rtl/>
        </w:rPr>
        <w:footnoteReference w:id="5338"/>
      </w:r>
      <w:r w:rsidRPr="00AF3214">
        <w:rPr>
          <w:rFonts w:ascii="Narkisim" w:hAnsi="Narkisim"/>
        </w:rPr>
        <w:t xml:space="preserve"> </w:t>
      </w:r>
      <w:r w:rsidRPr="00AF3214">
        <w:rPr>
          <w:rFonts w:ascii="Narkisim" w:hAnsi="Narkisim"/>
          <w:rtl/>
        </w:rPr>
        <w:t>(כדתנן לקמן קכב., הו' בסמוך). ואורחיה דתנא לאשמעינן בקיצור לדבר המפורש במקו"א</w:t>
      </w:r>
      <w:r w:rsidRPr="00AF3214">
        <w:rPr>
          <w:rFonts w:ascii="Narkisim" w:hAnsi="Narkisim"/>
        </w:rPr>
        <w:t>.</w:t>
      </w:r>
    </w:p>
    <w:p w14:paraId="0AE26FB4" w14:textId="77777777" w:rsidR="006C4368" w:rsidRPr="00AF3214" w:rsidRDefault="006C4368" w:rsidP="006C4368">
      <w:pPr>
        <w:pStyle w:val="aa"/>
        <w:bidi/>
        <w:rPr>
          <w:rFonts w:ascii="Narkisim" w:hAnsi="Narkisim"/>
        </w:rPr>
      </w:pPr>
      <w:r w:rsidRPr="00AF3214">
        <w:rPr>
          <w:rFonts w:ascii="Narkisim" w:hAnsi="Narkisim"/>
          <w:u w:val="single"/>
          <w:rtl/>
        </w:rPr>
        <w:t>תוד"ה מכלל</w:t>
      </w:r>
      <w:r w:rsidRPr="00AF3214">
        <w:rPr>
          <w:rFonts w:ascii="Narkisim" w:hAnsi="Narkisim"/>
          <w:rtl/>
        </w:rPr>
        <w:t>. למאי דס"ד השתא דע"א מהימן מדאורייתא, הא דקרי ליה ברשות בי"ד וכו' וצריכה לישאל לבי"ד להתירה וכו'. ועד"ז הק' ה</w:t>
      </w:r>
      <w:r w:rsidRPr="00AF3214">
        <w:rPr>
          <w:rFonts w:ascii="Narkisim" w:hAnsi="Narkisim"/>
          <w:b/>
          <w:bCs/>
          <w:rtl/>
        </w:rPr>
        <w:t>רשב"א</w:t>
      </w:r>
      <w:r w:rsidRPr="00AF3214">
        <w:rPr>
          <w:rFonts w:ascii="Narkisim" w:hAnsi="Narkisim"/>
          <w:rtl/>
        </w:rPr>
        <w:t xml:space="preserve"> דאיתא עד א' נאמן מדאורייתא מ"ש עד א' שצריכה לישאל לבי"ד, ובב' עדים אי"צ ליטול רשות. הא תרוייהו דאורייתא, והאמינה תורה עד א' כתרי. ומ"ש דבע"א תצא מהראשון, ובב' עדים לא אמרי' כן</w:t>
      </w:r>
      <w:r w:rsidRPr="00AF3214">
        <w:rPr>
          <w:rFonts w:ascii="Narkisim" w:hAnsi="Narkisim"/>
        </w:rPr>
        <w:t>.</w:t>
      </w:r>
    </w:p>
    <w:p w14:paraId="2BE3FDC5"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 xml:space="preserve">ריטב"א </w:t>
      </w:r>
      <w:r w:rsidRPr="00AF3214">
        <w:rPr>
          <w:rFonts w:ascii="Narkisim" w:hAnsi="Narkisim"/>
          <w:rtl/>
        </w:rPr>
        <w:t>כת' דאפ"ה מפני שאין נשואין שלה בדבר ברור לגמרי החמירו עליה בדברים אלו</w:t>
      </w:r>
      <w:r w:rsidRPr="00AF3214">
        <w:rPr>
          <w:rFonts w:ascii="Narkisim" w:hAnsi="Narkisim"/>
        </w:rPr>
        <w:t>.</w:t>
      </w:r>
    </w:p>
    <w:p w14:paraId="648B3CF1" w14:textId="77777777" w:rsidR="006C4368" w:rsidRPr="00AF3214" w:rsidRDefault="006C4368" w:rsidP="006C4368">
      <w:pPr>
        <w:bidi/>
        <w:rPr>
          <w:rFonts w:ascii="Narkisim" w:hAnsi="Narkisim" w:cs="Narkisim"/>
        </w:rPr>
      </w:pPr>
      <w:r w:rsidRPr="00AF3214">
        <w:rPr>
          <w:rFonts w:ascii="Narkisim" w:hAnsi="Narkisim" w:cs="Narkisim"/>
          <w:u w:val="single"/>
          <w:rtl/>
        </w:rPr>
        <w:t>אלמא ע"א נאמן וכו' ותנן נמי עד א' אומר אכלת חלב וכו' אלמא עד א' מהימן מדאורייתא מנ"ל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(ד"ה מכלל) מבואר דס"ד דמהני עד א' להתיר אשה, וכמו שנאמן באיסורין. וכן מבואר מדברי </w:t>
      </w:r>
      <w:r w:rsidRPr="00AF3214">
        <w:rPr>
          <w:rFonts w:ascii="Narkisim" w:hAnsi="Narkisim" w:cs="Narkisim"/>
          <w:b/>
          <w:bCs/>
          <w:rtl/>
        </w:rPr>
        <w:t>רש"י</w:t>
      </w:r>
      <w:r w:rsidRPr="00AF3214">
        <w:rPr>
          <w:rFonts w:ascii="Narkisim" w:hAnsi="Narkisim" w:cs="Narkisim"/>
          <w:rtl/>
        </w:rPr>
        <w:t xml:space="preserve"> (פח. ד"ה אי נימא) דנידון הסוגיה ללמוד עד א' להתיר אשה מעד א' באיסורין דעלמא</w:t>
      </w:r>
      <w:r w:rsidRPr="00AF3214">
        <w:rPr>
          <w:rFonts w:ascii="Narkisim" w:hAnsi="Narkisim" w:cs="Narkisim"/>
        </w:rPr>
        <w:t>.</w:t>
      </w:r>
    </w:p>
    <w:p w14:paraId="4CADC33D"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רשב"א</w:t>
      </w:r>
      <w:r w:rsidRPr="00AF3214">
        <w:rPr>
          <w:rFonts w:ascii="Narkisim" w:hAnsi="Narkisim"/>
          <w:rtl/>
        </w:rPr>
        <w:t xml:space="preserve"> כת' דלא קאי השתא אמתני' (דהכא ולקמן קכב.), דודאי ל"מ מדאורייתא, דהא אין דבר שבערוה פחות מב'. אלא קאי אמתני' דאכלת חלב (כריתות יא:)</w:t>
      </w:r>
      <w:r w:rsidRPr="00AF3214">
        <w:rPr>
          <w:rFonts w:ascii="Narkisim" w:hAnsi="Narkisim"/>
        </w:rPr>
        <w:t>.</w:t>
      </w:r>
    </w:p>
    <w:p w14:paraId="4127E542"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ו</w:t>
      </w:r>
      <w:r w:rsidRPr="00AF3214">
        <w:rPr>
          <w:rFonts w:ascii="Narkisim" w:hAnsi="Narkisim"/>
          <w:b/>
          <w:bCs/>
          <w:rtl/>
        </w:rPr>
        <w:t>ריטב"א</w:t>
      </w:r>
      <w:r w:rsidRPr="00AF3214">
        <w:rPr>
          <w:rFonts w:ascii="Narkisim" w:hAnsi="Narkisim"/>
          <w:rtl/>
        </w:rPr>
        <w:t xml:space="preserve"> ביארו דכוונת הגמ' דחכמים הקילו בעדות אשה, וס"ד דהסמיכו עד א' דעדות אשה על דין עד א' באיסורין. דמשום עיגונא עשאוה כשאר איסורין [ולא דנו כדבר שבערוה]. אבל לא היו מקילין בדבר שבערוה אא"כ מצאנו דנאמן בשאר איסורין, אף איתחזק איסורא</w:t>
      </w:r>
      <w:r w:rsidRPr="00AF3214">
        <w:rPr>
          <w:rStyle w:val="ac"/>
          <w:rFonts w:ascii="Narkisim" w:hAnsi="Narkisim"/>
          <w:rtl/>
        </w:rPr>
        <w:footnoteReference w:id="5339"/>
      </w:r>
      <w:r w:rsidRPr="00AF3214">
        <w:rPr>
          <w:rFonts w:ascii="Narkisim" w:hAnsi="Narkisim"/>
        </w:rPr>
        <w:t xml:space="preserve">. </w:t>
      </w:r>
      <w:r w:rsidRPr="00AF3214">
        <w:rPr>
          <w:rFonts w:ascii="Narkisim" w:hAnsi="Narkisim"/>
          <w:rtl/>
        </w:rPr>
        <w:t>ומסקנת ר' זירא דלא הסמיכו על דין עד א' דאיסורין</w:t>
      </w:r>
      <w:r w:rsidRPr="00AF3214">
        <w:rPr>
          <w:rStyle w:val="ac"/>
          <w:rFonts w:ascii="Narkisim" w:hAnsi="Narkisim"/>
          <w:rtl/>
        </w:rPr>
        <w:footnoteReference w:id="5340"/>
      </w:r>
      <w:r w:rsidRPr="00AF3214">
        <w:rPr>
          <w:rFonts w:ascii="Narkisim" w:hAnsi="Narkisim"/>
        </w:rPr>
        <w:t>.</w:t>
      </w:r>
    </w:p>
    <w:p w14:paraId="3292F69C" w14:textId="77777777" w:rsidR="006C4368" w:rsidRPr="00AF3214" w:rsidRDefault="006C4368" w:rsidP="006C4368">
      <w:pPr>
        <w:bidi/>
        <w:rPr>
          <w:rFonts w:ascii="Narkisim" w:hAnsi="Narkisim" w:cs="Narkisim"/>
        </w:rPr>
      </w:pPr>
      <w:r w:rsidRPr="00AF3214">
        <w:rPr>
          <w:rFonts w:ascii="Narkisim" w:hAnsi="Narkisim" w:cs="Narkisim"/>
          <w:u w:val="single"/>
          <w:rtl/>
        </w:rPr>
        <w:t>שם. אלמא ע"א נאמן, מדאורייתא מנ"ל וכו'</w:t>
      </w:r>
      <w:r w:rsidRPr="00AF3214">
        <w:rPr>
          <w:rFonts w:ascii="Narkisim" w:hAnsi="Narkisim" w:cs="Narkisim"/>
          <w:rtl/>
        </w:rPr>
        <w:t>. ה</w:t>
      </w:r>
      <w:r w:rsidRPr="00AF3214">
        <w:rPr>
          <w:rFonts w:ascii="Narkisim" w:hAnsi="Narkisim" w:cs="Narkisim"/>
          <w:b/>
          <w:bCs/>
          <w:rtl/>
        </w:rPr>
        <w:t>קובה"ע</w:t>
      </w:r>
      <w:r w:rsidRPr="00AF3214">
        <w:rPr>
          <w:rFonts w:ascii="Narkisim" w:hAnsi="Narkisim" w:cs="Narkisim"/>
          <w:rtl/>
        </w:rPr>
        <w:t xml:space="preserve"> (סז א) ביאר דקו' הגמ' מנ"ל דעד א' נאמן היכא דאיתחזק איסורא, וע"פ הגמ' (בסמוך). ומש"ה לא הביאו דרשא דוספרה לה (ע' תוס' פח. ד"ה ברי)</w:t>
      </w:r>
      <w:r w:rsidRPr="00AF3214">
        <w:rPr>
          <w:rStyle w:val="ac"/>
          <w:rFonts w:ascii="Narkisim" w:hAnsi="Narkisim" w:cs="Narkisim"/>
          <w:rtl/>
        </w:rPr>
        <w:footnoteReference w:id="5341"/>
      </w:r>
      <w:r w:rsidRPr="00AF3214">
        <w:rPr>
          <w:rFonts w:ascii="Narkisim" w:hAnsi="Narkisim" w:cs="Narkisim"/>
        </w:rPr>
        <w:t>.</w:t>
      </w:r>
    </w:p>
    <w:p w14:paraId="4B0B8C26"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ביאר דאף עד א' שאכל חלב הגברא עומד בחזקת פטור מקרבן, והעד מחייבו קרבן. </w:t>
      </w:r>
      <w:r w:rsidRPr="00AF3214">
        <w:rPr>
          <w:rFonts w:ascii="Narkisim" w:hAnsi="Narkisim"/>
          <w:szCs w:val="20"/>
          <w:rtl/>
        </w:rPr>
        <w:t>אך הק' דלדעת ה</w:t>
      </w:r>
      <w:r w:rsidRPr="00AF3214">
        <w:rPr>
          <w:rFonts w:ascii="Narkisim" w:hAnsi="Narkisim"/>
          <w:b/>
          <w:bCs/>
          <w:szCs w:val="20"/>
          <w:rtl/>
        </w:rPr>
        <w:t>רמב"ן</w:t>
      </w:r>
      <w:r w:rsidRPr="00AF3214">
        <w:rPr>
          <w:rFonts w:ascii="Narkisim" w:hAnsi="Narkisim"/>
          <w:szCs w:val="20"/>
          <w:rtl/>
        </w:rPr>
        <w:t xml:space="preserve"> ו</w:t>
      </w:r>
      <w:r w:rsidRPr="00AF3214">
        <w:rPr>
          <w:rFonts w:ascii="Narkisim" w:hAnsi="Narkisim"/>
          <w:b/>
          <w:bCs/>
          <w:szCs w:val="20"/>
          <w:rtl/>
        </w:rPr>
        <w:t>רשב"א</w:t>
      </w:r>
      <w:r w:rsidRPr="00AF3214">
        <w:rPr>
          <w:rFonts w:ascii="Narkisim" w:hAnsi="Narkisim"/>
          <w:szCs w:val="20"/>
          <w:rtl/>
        </w:rPr>
        <w:t xml:space="preserve"> (קידושין סה:) דעד א' נאמן לאסור את המותר, ולא הוה נגד חזקה. דלא אמרי' איתחזק התירא [דהוה שלילה]. וא"כ לכאורה ל"ש חזקה דאינו חייב קרבן</w:t>
      </w:r>
      <w:r w:rsidRPr="00AF3214">
        <w:rPr>
          <w:rFonts w:ascii="Narkisim" w:hAnsi="Narkisim"/>
        </w:rPr>
        <w:t>.</w:t>
      </w:r>
    </w:p>
    <w:p w14:paraId="150C609A" w14:textId="77777777" w:rsidR="006C4368" w:rsidRPr="00AF3214" w:rsidRDefault="006C4368" w:rsidP="006C4368">
      <w:pPr>
        <w:bidi/>
        <w:rPr>
          <w:rFonts w:ascii="Narkisim" w:hAnsi="Narkisim" w:cs="Narkisim"/>
        </w:rPr>
      </w:pPr>
      <w:r w:rsidRPr="00AF3214">
        <w:rPr>
          <w:rFonts w:ascii="Narkisim" w:hAnsi="Narkisim" w:cs="Narkisim"/>
          <w:u w:val="single"/>
          <w:rtl/>
        </w:rPr>
        <w:t>דתניא או הודע אליו</w:t>
      </w:r>
      <w:r w:rsidRPr="00AF3214">
        <w:rPr>
          <w:rStyle w:val="ac"/>
          <w:rFonts w:ascii="Narkisim" w:hAnsi="Narkisim" w:cs="Narkisim"/>
          <w:u w:val="single"/>
          <w:rtl/>
        </w:rPr>
        <w:footnoteReference w:id="5342"/>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ביאר מדכתב רחמנא 'אליו' ש"מ דבעי שיהא נודע אליו, ושיהא לבו סומך לדבר. ומדכתיב לשון 'או הודע' ולא כתיב או ידע, שמעי' מיהא דכל </w:t>
      </w:r>
      <w:r w:rsidRPr="00AF3214">
        <w:rPr>
          <w:rFonts w:ascii="Narkisim" w:hAnsi="Narkisim" w:cs="Narkisim"/>
          <w:rtl/>
        </w:rPr>
        <w:lastRenderedPageBreak/>
        <w:t>שאינו מכחיש חשיבא כידיעה אליו</w:t>
      </w:r>
      <w:r w:rsidRPr="00AF3214">
        <w:rPr>
          <w:rFonts w:ascii="Narkisim" w:hAnsi="Narkisim" w:cs="Narkisim"/>
        </w:rPr>
        <w:t>.</w:t>
      </w:r>
    </w:p>
    <w:p w14:paraId="16E2C2C6"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ביאר [דס"ד] דאף ע"א כי לא מכחיש רבי רחמנא שיחשב ידיעה, כיון דנאמן באיסורין. [והגמ' דוחה דמהני משום הודאתו]</w:t>
      </w:r>
      <w:r w:rsidRPr="00AF3214">
        <w:rPr>
          <w:rFonts w:ascii="Narkisim" w:hAnsi="Narkisim"/>
        </w:rPr>
        <w:t>.</w:t>
      </w:r>
    </w:p>
    <w:p w14:paraId="1456DCB5" w14:textId="77777777" w:rsidR="006C4368" w:rsidRPr="00AF3214" w:rsidRDefault="006C4368" w:rsidP="006C4368">
      <w:pPr>
        <w:pStyle w:val="aa"/>
        <w:bidi/>
        <w:rPr>
          <w:rFonts w:ascii="Narkisim" w:hAnsi="Narkisim"/>
        </w:rPr>
      </w:pPr>
      <w:r w:rsidRPr="00AF3214">
        <w:rPr>
          <w:rFonts w:ascii="Narkisim" w:hAnsi="Narkisim"/>
          <w:u w:val="single"/>
          <w:rtl/>
        </w:rPr>
        <w:t>אלא לאו חד, וכי לא קא מכחיש מהימן וכו' דילמא משום דקא שתיק ושתיקה כהודאה</w:t>
      </w:r>
      <w:r w:rsidRPr="00AF3214">
        <w:rPr>
          <w:rFonts w:ascii="Narkisim" w:hAnsi="Narkisim"/>
          <w:rtl/>
        </w:rPr>
        <w:t xml:space="preserve">. וס"ד דעד א' נאמן כשאינו יודע, ואפ"ה נאמן להכחיש. ויל"פ דהוה כמו עד א' בהכחשה. אבל </w:t>
      </w:r>
      <w:r w:rsidRPr="00AF3214">
        <w:rPr>
          <w:rFonts w:ascii="Narkisim" w:hAnsi="Narkisim"/>
          <w:b/>
          <w:bCs/>
          <w:rtl/>
        </w:rPr>
        <w:t>תוס'</w:t>
      </w:r>
      <w:r w:rsidRPr="00AF3214">
        <w:rPr>
          <w:rFonts w:ascii="Narkisim" w:hAnsi="Narkisim"/>
          <w:rtl/>
        </w:rPr>
        <w:t xml:space="preserve"> (כריתות יא:) כת' דפשיטא דעד א' אינו נאמן דכתיב לא יקום ע"א באיש, וכל הנידון כשאומר איני יודע</w:t>
      </w:r>
      <w:r w:rsidRPr="00AF3214">
        <w:rPr>
          <w:rFonts w:ascii="Narkisim" w:hAnsi="Narkisim"/>
        </w:rPr>
        <w:t>.</w:t>
      </w:r>
    </w:p>
    <w:p w14:paraId="635DB6C3" w14:textId="77777777" w:rsidR="006C4368" w:rsidRPr="00AF3214" w:rsidRDefault="006C4368" w:rsidP="006C4368">
      <w:pPr>
        <w:bidi/>
        <w:rPr>
          <w:rFonts w:ascii="Narkisim" w:hAnsi="Narkisim" w:cs="Narkisim"/>
        </w:rPr>
      </w:pPr>
      <w:r w:rsidRPr="00AF3214">
        <w:rPr>
          <w:rFonts w:ascii="Narkisim" w:hAnsi="Narkisim" w:cs="Narkisim"/>
          <w:u w:val="single"/>
          <w:rtl/>
        </w:rPr>
        <w:t>דלמא משום דקא שתיק, ושתיקה כהודאה דמיא</w:t>
      </w:r>
      <w:r w:rsidRPr="00AF3214">
        <w:rPr>
          <w:rStyle w:val="ac"/>
          <w:rFonts w:ascii="Narkisim" w:hAnsi="Narkisim" w:cs="Narkisim"/>
          <w:u w:val="single"/>
          <w:rtl/>
        </w:rPr>
        <w:footnoteReference w:id="5343"/>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xml:space="preserve">. בפשוטו משמע דהוה הודאה ממש, ולא תלי בעדות העד. אבל </w:t>
      </w:r>
      <w:r w:rsidRPr="00AF3214">
        <w:rPr>
          <w:rFonts w:ascii="Narkisim" w:hAnsi="Narkisim" w:cs="Narkisim"/>
          <w:b/>
          <w:bCs/>
          <w:rtl/>
        </w:rPr>
        <w:t>תוס</w:t>
      </w:r>
      <w:r w:rsidRPr="00AF3214">
        <w:rPr>
          <w:rFonts w:ascii="Narkisim" w:hAnsi="Narkisim" w:cs="Narkisim"/>
          <w:rtl/>
        </w:rPr>
        <w:t>' (פח. ד"ה דשתיקה) כת' דלעולם הוה משום נאמנות העד, אלא לאו הודאה ממש</w:t>
      </w:r>
      <w:r w:rsidRPr="00AF3214">
        <w:rPr>
          <w:rFonts w:ascii="Narkisim" w:hAnsi="Narkisim" w:cs="Narkisim"/>
        </w:rPr>
        <w:t>.</w:t>
      </w:r>
    </w:p>
    <w:p w14:paraId="1D393AB9"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מרדכי</w:t>
      </w:r>
      <w:r w:rsidRPr="00AF3214">
        <w:rPr>
          <w:rFonts w:ascii="Narkisim" w:hAnsi="Narkisim"/>
          <w:rtl/>
        </w:rPr>
        <w:t xml:space="preserve"> (קידושין תקכט בשם ר"ת) ביאר דטעמא דשתיקה כהודאה דמיא, משום דכיון דשתיק נראה לו הדבר אמת וידע רגלים לדבר. ומשמע דעי"ז מהני עדות העד, בתורת עדות</w:t>
      </w:r>
      <w:r w:rsidRPr="00AF3214">
        <w:rPr>
          <w:rStyle w:val="ac"/>
          <w:rFonts w:ascii="Narkisim" w:hAnsi="Narkisim"/>
          <w:rtl/>
        </w:rPr>
        <w:footnoteReference w:id="5344"/>
      </w:r>
      <w:r w:rsidRPr="00AF3214">
        <w:rPr>
          <w:rFonts w:ascii="Narkisim" w:hAnsi="Narkisim"/>
        </w:rPr>
        <w:t>.</w:t>
      </w:r>
    </w:p>
    <w:p w14:paraId="378E838E" w14:textId="77777777" w:rsidR="006C4368" w:rsidRPr="00AF3214" w:rsidRDefault="006C4368" w:rsidP="006C4368">
      <w:pPr>
        <w:bidi/>
        <w:rPr>
          <w:rFonts w:ascii="Narkisim" w:hAnsi="Narkisim" w:cs="Narkisim"/>
        </w:rPr>
      </w:pPr>
      <w:r w:rsidRPr="00AF3214">
        <w:rPr>
          <w:rFonts w:ascii="Narkisim" w:hAnsi="Narkisim" w:cs="Narkisim"/>
          <w:u w:val="single"/>
          <w:rtl/>
        </w:rPr>
        <w:t>תדע דקתני סיפא אמרו לו ב' וכו' אלא לאו משום דאישתיק, ושתיקה כהודאה</w:t>
      </w:r>
      <w:r w:rsidRPr="00AF3214">
        <w:rPr>
          <w:rFonts w:ascii="Narkisim" w:hAnsi="Narkisim" w:cs="Narkisim"/>
          <w:rtl/>
        </w:rPr>
        <w:t xml:space="preserve">. בפשוטו מבואר דב' עדים אינם נאמנים כלל לענין קרבן. אבל </w:t>
      </w:r>
      <w:r w:rsidRPr="00AF3214">
        <w:rPr>
          <w:rFonts w:ascii="Narkisim" w:hAnsi="Narkisim" w:cs="Narkisim"/>
          <w:b/>
          <w:bCs/>
          <w:rtl/>
        </w:rPr>
        <w:t>תוס</w:t>
      </w:r>
      <w:r w:rsidRPr="00AF3214">
        <w:rPr>
          <w:rFonts w:ascii="Narkisim" w:hAnsi="Narkisim" w:cs="Narkisim"/>
          <w:rtl/>
        </w:rPr>
        <w:t>' (ד"ה ומה) פי' דכוונת הגמ' דבעינן הודאתו שנדע שהיה שוגג. [וצ"ב, ע' קובה"ע (סז ב)]</w:t>
      </w:r>
      <w:r w:rsidRPr="00AF3214">
        <w:rPr>
          <w:rFonts w:ascii="Narkisim" w:hAnsi="Narkisim" w:cs="Narkisim"/>
        </w:rPr>
        <w:t>.</w:t>
      </w:r>
    </w:p>
    <w:p w14:paraId="7159A8D6" w14:textId="77777777" w:rsidR="006C4368" w:rsidRPr="00AF3214" w:rsidRDefault="006C4368" w:rsidP="006C4368">
      <w:pPr>
        <w:bidi/>
        <w:rPr>
          <w:rFonts w:ascii="Narkisim" w:hAnsi="Narkisim" w:cs="Narkisim"/>
        </w:rPr>
      </w:pPr>
      <w:r w:rsidRPr="00AF3214">
        <w:rPr>
          <w:rFonts w:ascii="Narkisim" w:hAnsi="Narkisim" w:cs="Narkisim"/>
          <w:u w:val="single"/>
          <w:rtl/>
        </w:rPr>
        <w:t>דקתני סיפא אמרו לו ב' אכלת חלב, והוא אומר לא אכלתי פטור וכו' מה אם ירצה לומר מזיד הייתי</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הילכך אי אמר נמי לא אכלתי נאמן. משמע דנאמן משום מיגו</w:t>
      </w:r>
      <w:r w:rsidRPr="00AF3214">
        <w:rPr>
          <w:rStyle w:val="ac"/>
          <w:rFonts w:ascii="Narkisim" w:hAnsi="Narkisim" w:cs="Narkisim"/>
          <w:rtl/>
        </w:rPr>
        <w:footnoteReference w:id="5345"/>
      </w:r>
      <w:r w:rsidRPr="00AF3214">
        <w:rPr>
          <w:rFonts w:ascii="Narkisim" w:hAnsi="Narkisim" w:cs="Narkisim"/>
        </w:rPr>
        <w:t xml:space="preserve">. </w:t>
      </w:r>
      <w:r w:rsidRPr="00AF3214">
        <w:rPr>
          <w:rFonts w:ascii="Narkisim" w:hAnsi="Narkisim" w:cs="Narkisim"/>
          <w:rtl/>
        </w:rPr>
        <w:t xml:space="preserve">אבל </w:t>
      </w:r>
      <w:r w:rsidRPr="00AF3214">
        <w:rPr>
          <w:rFonts w:ascii="Narkisim" w:hAnsi="Narkisim" w:cs="Narkisim"/>
          <w:b/>
          <w:bCs/>
          <w:rtl/>
        </w:rPr>
        <w:t>תוס'</w:t>
      </w:r>
      <w:r w:rsidRPr="00AF3214">
        <w:rPr>
          <w:rFonts w:ascii="Narkisim" w:hAnsi="Narkisim" w:cs="Narkisim"/>
          <w:rtl/>
        </w:rPr>
        <w:t xml:space="preserve"> (פח. ד"ה ומה, ב"מ ג:, וכריתות שם) פי' דמתרצינן דיבוריה דהיה מזיד</w:t>
      </w:r>
      <w:r w:rsidRPr="00AF3214">
        <w:rPr>
          <w:rFonts w:ascii="Narkisim" w:hAnsi="Narkisim" w:cs="Narkisim"/>
        </w:rPr>
        <w:t>.</w:t>
      </w:r>
    </w:p>
    <w:p w14:paraId="17AF1A2C" w14:textId="77777777" w:rsidR="006C4368" w:rsidRPr="00AF3214" w:rsidRDefault="006C4368" w:rsidP="006C4368">
      <w:pPr>
        <w:pStyle w:val="a7"/>
        <w:bidi/>
        <w:rPr>
          <w:rFonts w:ascii="Narkisim" w:hAnsi="Narkisim"/>
        </w:rPr>
      </w:pPr>
      <w:r w:rsidRPr="00AF3214">
        <w:rPr>
          <w:rFonts w:ascii="Narkisim" w:hAnsi="Narkisim"/>
          <w:rtl/>
        </w:rPr>
        <w:t>ובגמ' (כריתות יב.) יש ב' לשונות האם סברת רבנן משום מיגו דמזיד הייתי (וכנ"ל), או דרבנן ס"ל דאדם נאמן על עצמו [אפי' נגד עדים], והשיבו [אם ירצה לומר מזיד] לדברי ר' מאיר</w:t>
      </w:r>
      <w:r w:rsidRPr="00AF3214">
        <w:rPr>
          <w:rFonts w:ascii="Narkisim" w:hAnsi="Narkisim"/>
        </w:rPr>
        <w:t>.</w:t>
      </w:r>
    </w:p>
    <w:p w14:paraId="338BCA59"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אחרונים</w:t>
      </w:r>
      <w:r w:rsidRPr="00AF3214">
        <w:rPr>
          <w:rFonts w:ascii="Narkisim" w:hAnsi="Narkisim" w:cs="Narkisim"/>
          <w:rtl/>
        </w:rPr>
        <w:t xml:space="preserve"> הביאו מדברי התוס' דדנו דסוגיין קאי למ"ד דמתרצינן דיבוריה. וביארו דלאידך לישנא דסברת רבנן דאדם נאמן על עצמו יותר מק' עדים, ה"מ כשמעיד על עצמו. אבל בשותק, העדים נאמנים [וכ"כ ה</w:t>
      </w:r>
      <w:r w:rsidRPr="00AF3214">
        <w:rPr>
          <w:rFonts w:ascii="Narkisim" w:hAnsi="Narkisim" w:cs="Narkisim"/>
          <w:b/>
          <w:bCs/>
          <w:rtl/>
        </w:rPr>
        <w:t>שיטמ"ק</w:t>
      </w:r>
      <w:r w:rsidRPr="00AF3214">
        <w:rPr>
          <w:rFonts w:ascii="Narkisim" w:hAnsi="Narkisim" w:cs="Narkisim"/>
          <w:rtl/>
        </w:rPr>
        <w:t xml:space="preserve"> כריתות יב. אות ג]. ואף בלא שתיקה כהודאה</w:t>
      </w:r>
      <w:r w:rsidRPr="00AF3214">
        <w:rPr>
          <w:rFonts w:ascii="Narkisim" w:hAnsi="Narkisim" w:cs="Narkisim"/>
        </w:rPr>
        <w:t>.</w:t>
      </w:r>
    </w:p>
    <w:p w14:paraId="14DE934C"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רמב"ן</w:t>
      </w:r>
      <w:r w:rsidRPr="00AF3214">
        <w:rPr>
          <w:rFonts w:ascii="Narkisim" w:hAnsi="Narkisim"/>
          <w:rtl/>
        </w:rPr>
        <w:t xml:space="preserve"> (בסוגיין) כת' דסוגיין כמ"ד אדם נאמן על עצמו. דאינו מתחייב קרבן כלל ע"פ עדים אלא ע"פ הודאת עצמו. והרמב"ן ביאר דבב' עדים שמעידים אמרי' דכל זמן שאינו מכחיש הוה כמודה לדבריהם [וע' לעיל דהריטב"א דרש לה מקרא]. וה</w:t>
      </w:r>
      <w:r w:rsidRPr="00AF3214">
        <w:rPr>
          <w:rFonts w:ascii="Narkisim" w:hAnsi="Narkisim"/>
          <w:b/>
          <w:bCs/>
          <w:rtl/>
        </w:rPr>
        <w:t>קובה"ע</w:t>
      </w:r>
      <w:r w:rsidRPr="00AF3214">
        <w:rPr>
          <w:rFonts w:ascii="Narkisim" w:hAnsi="Narkisim"/>
          <w:rtl/>
        </w:rPr>
        <w:t xml:space="preserve"> (סג ב, סז ג) ביאר דכיון דיש לו לסמוך על דברי העדים, מש"ה כל זמן שאינו מכחישן הוה כמודה לדבריהם</w:t>
      </w:r>
      <w:r w:rsidRPr="00AF3214">
        <w:rPr>
          <w:rStyle w:val="ac"/>
          <w:rFonts w:ascii="Narkisim" w:hAnsi="Narkisim"/>
          <w:rtl/>
        </w:rPr>
        <w:footnoteReference w:id="5346"/>
      </w:r>
      <w:r w:rsidRPr="00AF3214">
        <w:rPr>
          <w:rFonts w:ascii="Narkisim" w:hAnsi="Narkisim"/>
        </w:rPr>
        <w:t>.</w:t>
      </w:r>
    </w:p>
    <w:p w14:paraId="39C591B8"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(סג ב) ביאר [למסקנא] דעד א' לא מקרי 'ידיעה', אפי' במקום שהוא נאמן. ודוקא כשנודע ע"פ ב' מקרי ידיעה. וכ"כ ה</w:t>
      </w:r>
      <w:r w:rsidRPr="00AF3214">
        <w:rPr>
          <w:rFonts w:ascii="Narkisim" w:hAnsi="Narkisim"/>
          <w:b/>
          <w:bCs/>
          <w:rtl/>
        </w:rPr>
        <w:t>חזו"א</w:t>
      </w:r>
      <w:r w:rsidRPr="00AF3214">
        <w:rPr>
          <w:rFonts w:ascii="Narkisim" w:hAnsi="Narkisim"/>
          <w:rtl/>
        </w:rPr>
        <w:t xml:space="preserve"> (נט יד)</w:t>
      </w:r>
      <w:r w:rsidRPr="00AF3214">
        <w:rPr>
          <w:rStyle w:val="ac"/>
          <w:rFonts w:ascii="Narkisim" w:hAnsi="Narkisim"/>
          <w:rtl/>
        </w:rPr>
        <w:footnoteReference w:id="5347"/>
      </w:r>
      <w:r w:rsidRPr="00AF3214">
        <w:rPr>
          <w:rFonts w:ascii="Narkisim" w:hAnsi="Narkisim"/>
        </w:rPr>
        <w:t>.</w:t>
      </w:r>
    </w:p>
    <w:p w14:paraId="6B7401C7" w14:textId="77777777" w:rsidR="006C4368" w:rsidRPr="00AF3214" w:rsidRDefault="006C4368" w:rsidP="006C4368">
      <w:pPr>
        <w:bidi/>
        <w:rPr>
          <w:rFonts w:ascii="Narkisim" w:hAnsi="Narkisim" w:cs="Narkisim"/>
        </w:rPr>
      </w:pPr>
      <w:r w:rsidRPr="00AF3214">
        <w:rPr>
          <w:rFonts w:ascii="Narkisim" w:eastAsia="Narkisim" w:hAnsi="Narkisim" w:cs="Narkisim"/>
          <w:u w:val="single"/>
          <w:rtl/>
        </w:rPr>
        <w:t>שם</w:t>
      </w:r>
      <w:r w:rsidRPr="00AF3214">
        <w:rPr>
          <w:rFonts w:ascii="Narkisim" w:eastAsia="Narkisim" w:hAnsi="Narkisim" w:cs="Narkisim"/>
          <w:rtl/>
        </w:rPr>
        <w:t>. ה</w:t>
      </w:r>
      <w:r w:rsidRPr="00AF3214">
        <w:rPr>
          <w:rFonts w:ascii="Narkisim" w:eastAsia="Narkisim" w:hAnsi="Narkisim" w:cs="Narkisim"/>
          <w:b/>
          <w:bCs/>
          <w:rtl/>
        </w:rPr>
        <w:t>שיטמ"ק</w:t>
      </w:r>
      <w:r w:rsidRPr="00AF3214">
        <w:rPr>
          <w:rFonts w:ascii="Narkisim" w:eastAsia="Narkisim" w:hAnsi="Narkisim" w:cs="Narkisim"/>
          <w:rtl/>
        </w:rPr>
        <w:t xml:space="preserve"> (שם ג בהשמ') הק' דבסוגיין (לעיל) ילפי' 'או הודע אליו' על עד א', ואילו בגמ' (שם) ללישנא דאדם נאמן על עצמו דרשי' לה אב' עדים. ותי' דסוגיין קאי כאידך לישנא, דהוה משום מתרצינן דיבוריה</w:t>
      </w:r>
      <w:r w:rsidRPr="00AF3214">
        <w:rPr>
          <w:rFonts w:ascii="Narkisim" w:eastAsia="Narkisim" w:hAnsi="Narkisim" w:cs="Narkisim"/>
        </w:rPr>
        <w:t>.</w:t>
      </w:r>
    </w:p>
    <w:p w14:paraId="5C752980" w14:textId="77777777" w:rsidR="006C4368" w:rsidRPr="00AF3214" w:rsidRDefault="006C4368" w:rsidP="006C4368">
      <w:pPr>
        <w:pStyle w:val="a7"/>
        <w:bidi/>
        <w:rPr>
          <w:rFonts w:ascii="Narkisim" w:eastAsia="Narkisim" w:hAnsi="Narkisim"/>
        </w:rPr>
      </w:pPr>
      <w:r w:rsidRPr="00AF3214">
        <w:rPr>
          <w:rFonts w:ascii="Narkisim" w:eastAsia="Narkisim" w:hAnsi="Narkisim"/>
          <w:rtl/>
        </w:rPr>
        <w:t>אבל לדברי הרמב"ן וריטב"א (הנ"ל, וכן הראשונים קידו' סה:) דרשינן 'או הודע אליו' בין בעד א' [כשאינו יודע] ובין בב' עדים [כשמכחיש]</w:t>
      </w:r>
      <w:r w:rsidRPr="00AF3214">
        <w:rPr>
          <w:rFonts w:ascii="Narkisim" w:eastAsia="Narkisim" w:hAnsi="Narkisim"/>
        </w:rPr>
        <w:t>.</w:t>
      </w:r>
    </w:p>
    <w:p w14:paraId="15C5F73C"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ב</w:t>
      </w:r>
      <w:r w:rsidRPr="00AF3214">
        <w:rPr>
          <w:rFonts w:ascii="Narkisim" w:hAnsi="Narkisim" w:cs="Narkisim"/>
          <w:b/>
          <w:bCs/>
          <w:rtl/>
        </w:rPr>
        <w:t>חי' בכור שור</w:t>
      </w:r>
      <w:r w:rsidRPr="00AF3214">
        <w:rPr>
          <w:rFonts w:ascii="Narkisim" w:hAnsi="Narkisim" w:cs="Narkisim"/>
          <w:rtl/>
        </w:rPr>
        <w:t xml:space="preserve"> (כאן) נסתפק היכא דב' עדים מעידים על דבר שהוא אסור ואחד יודע </w:t>
      </w:r>
      <w:r w:rsidRPr="00AF3214">
        <w:rPr>
          <w:rFonts w:ascii="Narkisim" w:hAnsi="Narkisim" w:cs="Narkisim"/>
          <w:rtl/>
        </w:rPr>
        <w:lastRenderedPageBreak/>
        <w:t>בבירור שהדבר מותר</w:t>
      </w:r>
      <w:r w:rsidRPr="00AF3214">
        <w:rPr>
          <w:rStyle w:val="ac"/>
          <w:rFonts w:ascii="Narkisim" w:hAnsi="Narkisim" w:cs="Narkisim"/>
          <w:rtl/>
        </w:rPr>
        <w:footnoteReference w:id="5348"/>
      </w:r>
      <w:r w:rsidRPr="00AF3214">
        <w:rPr>
          <w:rFonts w:ascii="Narkisim" w:hAnsi="Narkisim" w:cs="Narkisim"/>
        </w:rPr>
        <w:t xml:space="preserve">, </w:t>
      </w:r>
      <w:r w:rsidRPr="00AF3214">
        <w:rPr>
          <w:rFonts w:ascii="Narkisim" w:hAnsi="Narkisim" w:cs="Narkisim"/>
          <w:rtl/>
        </w:rPr>
        <w:t>האם מותר לו לאוכלו בצינעא</w:t>
      </w:r>
      <w:r w:rsidRPr="00AF3214">
        <w:rPr>
          <w:rStyle w:val="ac"/>
          <w:rFonts w:ascii="Narkisim" w:hAnsi="Narkisim" w:cs="Narkisim"/>
          <w:rtl/>
        </w:rPr>
        <w:footnoteReference w:id="5349"/>
      </w:r>
      <w:r w:rsidRPr="00AF3214">
        <w:rPr>
          <w:rFonts w:ascii="Narkisim" w:hAnsi="Narkisim" w:cs="Narkisim"/>
        </w:rPr>
        <w:t xml:space="preserve">. </w:t>
      </w:r>
      <w:r w:rsidRPr="00AF3214">
        <w:rPr>
          <w:rFonts w:ascii="Narkisim" w:hAnsi="Narkisim" w:cs="Narkisim"/>
          <w:rtl/>
        </w:rPr>
        <w:t>דאף דפשיטא דבפרהסיא אסור ובי"ד מצווין להפרישו מלאכול, אבל בצינעא יתכן שמותר. ותלה בנידון (כריתות שם) האם אדם נאמן על עצמו יותר מק' עדים, והביא דרב יוסף (כריתות יב:) אמר דקאי בינו לבין עצמו</w:t>
      </w:r>
      <w:r w:rsidRPr="00AF3214">
        <w:rPr>
          <w:rFonts w:ascii="Narkisim" w:hAnsi="Narkisim" w:cs="Narkisim"/>
        </w:rPr>
        <w:t>.</w:t>
      </w:r>
    </w:p>
    <w:p w14:paraId="66AA6334" w14:textId="77777777" w:rsidR="006C4368" w:rsidRPr="00AF3214" w:rsidRDefault="006C4368" w:rsidP="006C4368">
      <w:pPr>
        <w:pStyle w:val="a7"/>
        <w:bidi/>
        <w:rPr>
          <w:rFonts w:ascii="Narkisim" w:hAnsi="Narkisim"/>
        </w:rPr>
      </w:pPr>
      <w:r w:rsidRPr="00AF3214">
        <w:rPr>
          <w:rFonts w:ascii="Narkisim" w:hAnsi="Narkisim"/>
          <w:rtl/>
        </w:rPr>
        <w:t>וכת' דמסתבר דכיון דיודע דבר ברור לא ישוב מפני כל. אך דן דכיון דבפרהסיא אסור, אף בחדרי חדרים אסור [וע"ד הא דאי' שבת סד: וכ"מ]</w:t>
      </w:r>
      <w:r w:rsidRPr="00AF3214">
        <w:rPr>
          <w:rStyle w:val="ac"/>
          <w:rFonts w:ascii="Narkisim" w:hAnsi="Narkisim"/>
          <w:rtl/>
        </w:rPr>
        <w:footnoteReference w:id="5350"/>
      </w:r>
      <w:r w:rsidRPr="00AF3214">
        <w:rPr>
          <w:rFonts w:ascii="Narkisim" w:hAnsi="Narkisim"/>
        </w:rPr>
        <w:t xml:space="preserve">. </w:t>
      </w:r>
      <w:r w:rsidRPr="00AF3214">
        <w:rPr>
          <w:rFonts w:ascii="Narkisim" w:hAnsi="Narkisim"/>
          <w:rtl/>
        </w:rPr>
        <w:t>וכת' שאין להתיר כ"א לצורך גדול</w:t>
      </w:r>
      <w:r w:rsidRPr="00AF3214">
        <w:rPr>
          <w:rFonts w:ascii="Narkisim" w:hAnsi="Narkisim"/>
        </w:rPr>
        <w:t>.</w:t>
      </w:r>
    </w:p>
    <w:p w14:paraId="31ACBAC0" w14:textId="77777777" w:rsidR="006C4368" w:rsidRPr="00AF3214" w:rsidRDefault="006C4368" w:rsidP="006C4368">
      <w:pPr>
        <w:pStyle w:val="aa"/>
        <w:bidi/>
        <w:rPr>
          <w:rFonts w:ascii="Narkisim" w:hAnsi="Narkisim"/>
        </w:rPr>
      </w:pPr>
      <w:r w:rsidRPr="00AF3214">
        <w:rPr>
          <w:rFonts w:ascii="Narkisim" w:hAnsi="Narkisim"/>
          <w:u w:val="single"/>
          <w:rtl/>
        </w:rPr>
        <w:t>תוד"ה ר' מאיר</w:t>
      </w:r>
      <w:r w:rsidRPr="00AF3214">
        <w:rPr>
          <w:rFonts w:ascii="Narkisim" w:hAnsi="Narkisim"/>
          <w:rtl/>
        </w:rPr>
        <w:t>. ול"ד לשאר חייבי חטאות דניח"ל בכפרה, ולא בעי משכוני וכו'. דהא דחייבי חטאות אין ממשכנין משום דאמרי' דודאי יביא משום כפרה</w:t>
      </w:r>
      <w:r w:rsidRPr="00AF3214">
        <w:rPr>
          <w:rStyle w:val="ac"/>
          <w:rFonts w:ascii="Narkisim" w:hAnsi="Narkisim"/>
          <w:rtl/>
        </w:rPr>
        <w:footnoteReference w:id="5351"/>
      </w:r>
      <w:r w:rsidRPr="00AF3214">
        <w:rPr>
          <w:rFonts w:ascii="Narkisim" w:hAnsi="Narkisim"/>
        </w:rPr>
        <w:t xml:space="preserve"> </w:t>
      </w:r>
      <w:r w:rsidRPr="00AF3214">
        <w:rPr>
          <w:rFonts w:ascii="Narkisim" w:hAnsi="Narkisim"/>
          <w:rtl/>
        </w:rPr>
        <w:t xml:space="preserve">[אף דעכשיו רואים שמתעצל]. וכ"כ </w:t>
      </w:r>
      <w:r w:rsidRPr="00AF3214">
        <w:rPr>
          <w:rFonts w:ascii="Narkisim" w:hAnsi="Narkisim"/>
          <w:b/>
          <w:bCs/>
          <w:rtl/>
        </w:rPr>
        <w:t>תוס</w:t>
      </w:r>
      <w:r w:rsidRPr="00AF3214">
        <w:rPr>
          <w:rFonts w:ascii="Narkisim" w:hAnsi="Narkisim"/>
          <w:rtl/>
        </w:rPr>
        <w:t>' (ר"ה ו.) דהיכא דכבר עבר בבל תאחר ממשכנין</w:t>
      </w:r>
      <w:r w:rsidRPr="00AF3214">
        <w:rPr>
          <w:rFonts w:ascii="Narkisim" w:hAnsi="Narkisim"/>
        </w:rPr>
        <w:t>.</w:t>
      </w:r>
    </w:p>
    <w:p w14:paraId="4A853110"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(כריתות יב.) כת' [להיפך] דהא דאין ממשכנין כשאמר דלא ניח"ל בכפרה [דהוה סברא דאין ממשכנין למי שאינו רוצה כפרה]. אבל הכא ניחא ליה בכפרה, אלא שהוא סבור להיות פטור, מש"ה ממשכנין אותו</w:t>
      </w:r>
      <w:r w:rsidRPr="00AF3214">
        <w:rPr>
          <w:rFonts w:ascii="Narkisim" w:hAnsi="Narkisim"/>
        </w:rPr>
        <w:t>.</w:t>
      </w:r>
    </w:p>
    <w:p w14:paraId="72B8206E" w14:textId="77777777" w:rsidR="006C4368" w:rsidRPr="00AF3214" w:rsidRDefault="006C4368" w:rsidP="006C4368">
      <w:pPr>
        <w:pStyle w:val="aa"/>
        <w:bidi/>
        <w:rPr>
          <w:rFonts w:ascii="Narkisim" w:hAnsi="Narkisim"/>
        </w:rPr>
      </w:pPr>
      <w:r w:rsidRPr="00AF3214">
        <w:rPr>
          <w:rFonts w:ascii="Narkisim" w:hAnsi="Narkisim"/>
          <w:rtl/>
        </w:rPr>
        <w:t>אבל מדברי ה</w:t>
      </w:r>
      <w:r w:rsidRPr="00AF3214">
        <w:rPr>
          <w:rFonts w:ascii="Narkisim" w:hAnsi="Narkisim"/>
          <w:b/>
          <w:bCs/>
          <w:rtl/>
        </w:rPr>
        <w:t>רמב"ן</w:t>
      </w:r>
      <w:r w:rsidRPr="00AF3214">
        <w:rPr>
          <w:rFonts w:ascii="Narkisim" w:hAnsi="Narkisim"/>
          <w:rtl/>
        </w:rPr>
        <w:t xml:space="preserve"> (ב"מ ג: ומכות ב.) מבואר דאף כופין כלל דהוה עסק האדם עם עצמו, דאף אי לא ניח"ל להביא קרבן אין ממשכנין אותו</w:t>
      </w:r>
      <w:r w:rsidRPr="00AF3214">
        <w:rPr>
          <w:rStyle w:val="ac"/>
          <w:rFonts w:ascii="Narkisim" w:hAnsi="Narkisim"/>
          <w:rtl/>
        </w:rPr>
        <w:footnoteReference w:id="5352"/>
      </w:r>
      <w:r w:rsidRPr="00AF3214">
        <w:rPr>
          <w:rFonts w:ascii="Narkisim" w:hAnsi="Narkisim"/>
        </w:rPr>
        <w:t>.</w:t>
      </w:r>
    </w:p>
    <w:p w14:paraId="1CC11233" w14:textId="77777777" w:rsidR="006C4368" w:rsidRPr="00AF3214" w:rsidRDefault="006C4368" w:rsidP="006C4368">
      <w:pPr>
        <w:pStyle w:val="3"/>
        <w:bidi/>
        <w:rPr>
          <w:rFonts w:ascii="Narkisim" w:hAnsi="Narkisim"/>
        </w:rPr>
      </w:pPr>
      <w:r w:rsidRPr="00AF3214">
        <w:rPr>
          <w:rFonts w:ascii="Narkisim" w:hAnsi="Narkisim"/>
          <w:rtl/>
        </w:rPr>
        <w:t>דף פח</w:t>
      </w:r>
      <w:r w:rsidRPr="00AF3214">
        <w:rPr>
          <w:rFonts w:ascii="Narkisim" w:hAnsi="Narkisim"/>
        </w:rPr>
        <w:t>.</w:t>
      </w:r>
    </w:p>
    <w:p w14:paraId="35E3FA48" w14:textId="77777777" w:rsidR="006C4368" w:rsidRPr="00AF3214" w:rsidRDefault="006C4368" w:rsidP="006C4368">
      <w:pPr>
        <w:pStyle w:val="aa"/>
        <w:bidi/>
        <w:rPr>
          <w:rFonts w:ascii="Narkisim" w:hAnsi="Narkisim"/>
        </w:rPr>
      </w:pPr>
      <w:r w:rsidRPr="00AF3214">
        <w:rPr>
          <w:rFonts w:ascii="Narkisim" w:hAnsi="Narkisim"/>
          <w:u w:val="single"/>
          <w:rtl/>
        </w:rPr>
        <w:t>תוד"ה ומה אם</w:t>
      </w:r>
      <w:r w:rsidRPr="00AF3214">
        <w:rPr>
          <w:rFonts w:ascii="Narkisim" w:hAnsi="Narkisim"/>
          <w:rtl/>
        </w:rPr>
        <w:t>. השתא נמי ה"ק לא אכלתי שוגג אלא מזיד. וכ"כ תוס' בכ"מ דכוונת הגמ' (שם, ללישנא דמיגו) דמתרצינן דיבוריה</w:t>
      </w:r>
      <w:r w:rsidRPr="00AF3214">
        <w:rPr>
          <w:rFonts w:ascii="Narkisim" w:hAnsi="Narkisim"/>
        </w:rPr>
        <w:t>.</w:t>
      </w:r>
    </w:p>
    <w:p w14:paraId="06056823"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תו"י</w:t>
      </w:r>
      <w:r w:rsidRPr="00AF3214">
        <w:rPr>
          <w:rFonts w:ascii="Narkisim" w:hAnsi="Narkisim"/>
          <w:rtl/>
        </w:rPr>
        <w:t xml:space="preserve"> (שם יב.) הק' ונישייליה אם היה דעתו לכך. וי"ל דר' מאיר מחייב אפי' הדר אמר שאכל מזיד, כיון שלא אמר כך באותה שעה</w:t>
      </w:r>
      <w:r w:rsidRPr="00AF3214">
        <w:rPr>
          <w:rFonts w:ascii="Narkisim" w:hAnsi="Narkisim"/>
        </w:rPr>
        <w:t>.</w:t>
      </w:r>
    </w:p>
    <w:p w14:paraId="1878C13D" w14:textId="77777777" w:rsidR="006C4368" w:rsidRPr="00AF3214" w:rsidRDefault="006C4368" w:rsidP="006C4368">
      <w:pPr>
        <w:pStyle w:val="aa"/>
        <w:bidi/>
        <w:rPr>
          <w:rFonts w:ascii="Narkisim" w:hAnsi="Narkisim"/>
        </w:rPr>
      </w:pPr>
      <w:r w:rsidRPr="00AF3214">
        <w:rPr>
          <w:rFonts w:ascii="Narkisim" w:hAnsi="Narkisim"/>
          <w:u w:val="single"/>
          <w:rtl/>
        </w:rPr>
        <w:t>בא"ד מספק"ל לר"י וכו' או שמא נאמן דהא לא מכחשי לעדים במה שאומר לא אכלתי שוגג וכו</w:t>
      </w:r>
      <w:r w:rsidRPr="00AF3214">
        <w:rPr>
          <w:rFonts w:ascii="Narkisim" w:hAnsi="Narkisim"/>
          <w:rtl/>
        </w:rPr>
        <w:t>'. תוס' נסתפקו האם מחלקים דבריו להיות נאמן נגד העד. או כון דהוכחש לא איכפ"ל ליישב דבריו</w:t>
      </w:r>
      <w:r w:rsidRPr="00AF3214">
        <w:rPr>
          <w:rFonts w:ascii="Narkisim" w:hAnsi="Narkisim"/>
        </w:rPr>
        <w:t>.</w:t>
      </w:r>
    </w:p>
    <w:p w14:paraId="6B99EF50" w14:textId="77777777" w:rsidR="006C4368" w:rsidRPr="00AF3214" w:rsidRDefault="006C4368" w:rsidP="006C4368">
      <w:pPr>
        <w:pStyle w:val="2"/>
        <w:bidi/>
        <w:rPr>
          <w:rFonts w:ascii="Narkisim" w:hAnsi="Narkisim"/>
        </w:rPr>
      </w:pPr>
      <w:r w:rsidRPr="00AF3214">
        <w:rPr>
          <w:rFonts w:ascii="Narkisim" w:hAnsi="Narkisim"/>
          <w:rtl/>
        </w:rPr>
        <w:t>עד א' באיסורין</w:t>
      </w:r>
    </w:p>
    <w:p w14:paraId="0B7ECC13" w14:textId="77777777" w:rsidR="006C4368" w:rsidRPr="00AF3214" w:rsidRDefault="006C4368" w:rsidP="006C4368">
      <w:pPr>
        <w:pStyle w:val="aa"/>
        <w:bidi/>
        <w:rPr>
          <w:rFonts w:ascii="Narkisim" w:hAnsi="Narkisim"/>
        </w:rPr>
      </w:pPr>
      <w:r w:rsidRPr="00AF3214">
        <w:rPr>
          <w:rFonts w:ascii="Narkisim" w:hAnsi="Narkisim"/>
          <w:u w:val="single"/>
          <w:rtl/>
        </w:rPr>
        <w:t>אלא סברא היא מידי דהוה אחתיכה ספק של חלב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דהא ודאי פשיט"ל</w:t>
      </w:r>
      <w:r w:rsidRPr="00AF3214">
        <w:rPr>
          <w:rStyle w:val="ac"/>
          <w:rFonts w:ascii="Narkisim" w:hAnsi="Narkisim"/>
          <w:rtl/>
        </w:rPr>
        <w:footnoteReference w:id="5353"/>
      </w:r>
      <w:r w:rsidRPr="00AF3214">
        <w:rPr>
          <w:rFonts w:ascii="Narkisim" w:hAnsi="Narkisim"/>
        </w:rPr>
        <w:t xml:space="preserve"> </w:t>
      </w:r>
      <w:r w:rsidRPr="00AF3214">
        <w:rPr>
          <w:rFonts w:ascii="Narkisim" w:hAnsi="Narkisim"/>
          <w:rtl/>
        </w:rPr>
        <w:t>דסמכינן וכו' דאל"ה אין לך אדם אוכל משל חבירו וכו'</w:t>
      </w:r>
      <w:r w:rsidRPr="00AF3214">
        <w:rPr>
          <w:rStyle w:val="ac"/>
          <w:rFonts w:ascii="Narkisim" w:hAnsi="Narkisim"/>
          <w:rtl/>
        </w:rPr>
        <w:footnoteReference w:id="5354"/>
      </w:r>
      <w:r w:rsidRPr="00AF3214">
        <w:rPr>
          <w:rFonts w:ascii="Narkisim" w:hAnsi="Narkisim"/>
          <w:rtl/>
        </w:rPr>
        <w:t xml:space="preserve">. ועד"ז כת' </w:t>
      </w:r>
      <w:r w:rsidRPr="00AF3214">
        <w:rPr>
          <w:rFonts w:ascii="Narkisim" w:hAnsi="Narkisim"/>
          <w:b/>
          <w:bCs/>
          <w:rtl/>
        </w:rPr>
        <w:t>רש"י</w:t>
      </w:r>
      <w:r w:rsidRPr="00AF3214">
        <w:rPr>
          <w:rFonts w:ascii="Narkisim" w:hAnsi="Narkisim"/>
          <w:rtl/>
        </w:rPr>
        <w:t xml:space="preserve"> (גיטין ב:). ו</w:t>
      </w:r>
      <w:r w:rsidRPr="00AF3214">
        <w:rPr>
          <w:rFonts w:ascii="Narkisim" w:hAnsi="Narkisim"/>
          <w:b/>
          <w:bCs/>
          <w:rtl/>
        </w:rPr>
        <w:t>רש"י</w:t>
      </w:r>
      <w:r w:rsidRPr="00AF3214">
        <w:rPr>
          <w:rFonts w:ascii="Narkisim" w:hAnsi="Narkisim"/>
          <w:rtl/>
        </w:rPr>
        <w:t xml:space="preserve"> (חולין י:) כת' דכל יחיד האמינתו תורה וזבחת מבקרך, ואכלי כהנים על ידו. וע' תוס' (ד"ה ברי)</w:t>
      </w:r>
      <w:r w:rsidRPr="00AF3214">
        <w:rPr>
          <w:rFonts w:ascii="Narkisim" w:hAnsi="Narkisim"/>
        </w:rPr>
        <w:t>.</w:t>
      </w:r>
    </w:p>
    <w:p w14:paraId="1A6799B2" w14:textId="77777777" w:rsidR="006C4368" w:rsidRPr="00AF3214" w:rsidRDefault="006C4368" w:rsidP="006C4368">
      <w:pPr>
        <w:pStyle w:val="aa"/>
        <w:bidi/>
        <w:rPr>
          <w:rFonts w:ascii="Narkisim" w:hAnsi="Narkisim"/>
        </w:rPr>
      </w:pPr>
      <w:r w:rsidRPr="00AF3214">
        <w:rPr>
          <w:rFonts w:ascii="Narkisim" w:hAnsi="Narkisim"/>
          <w:u w:val="single"/>
          <w:rtl/>
        </w:rPr>
        <w:t>תוד"ה ברי לי</w:t>
      </w:r>
      <w:r w:rsidRPr="00AF3214">
        <w:rPr>
          <w:rFonts w:ascii="Narkisim" w:hAnsi="Narkisim"/>
          <w:rtl/>
        </w:rPr>
        <w:t>. י"מ דגמרי [הא דע"א נאמן באיסורין</w:t>
      </w:r>
      <w:r w:rsidRPr="00AF3214">
        <w:rPr>
          <w:rStyle w:val="ac"/>
          <w:rFonts w:ascii="Narkisim" w:hAnsi="Narkisim"/>
          <w:rtl/>
        </w:rPr>
        <w:footnoteReference w:id="5355"/>
      </w:r>
      <w:r w:rsidRPr="00AF3214">
        <w:rPr>
          <w:rFonts w:ascii="Narkisim" w:hAnsi="Narkisim"/>
          <w:rtl/>
        </w:rPr>
        <w:t>] מנדה וכו'. וה</w:t>
      </w:r>
      <w:r w:rsidRPr="00AF3214">
        <w:rPr>
          <w:rFonts w:ascii="Narkisim" w:hAnsi="Narkisim"/>
          <w:b/>
          <w:bCs/>
          <w:rtl/>
        </w:rPr>
        <w:t>שיטמ"ק</w:t>
      </w:r>
      <w:r w:rsidRPr="00AF3214">
        <w:rPr>
          <w:rFonts w:ascii="Narkisim" w:hAnsi="Narkisim"/>
          <w:rtl/>
        </w:rPr>
        <w:t xml:space="preserve"> (בשיטת הקדמונים, בשם גליון) כת' דאין ראיה מנדה לבעלה, דשאני התם שעצמה משמשת. אלא יש ראיה מנדה שנגעה בטהרות, דלכל דבר האמינה תורה</w:t>
      </w:r>
      <w:r w:rsidRPr="00AF3214">
        <w:rPr>
          <w:rFonts w:ascii="Narkisim" w:hAnsi="Narkisim"/>
        </w:rPr>
        <w:t>.</w:t>
      </w:r>
    </w:p>
    <w:p w14:paraId="137FFC43"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(בתי' הא') כת' עד"ז דשאני נדה</w:t>
      </w:r>
      <w:r w:rsidRPr="00AF3214">
        <w:rPr>
          <w:rStyle w:val="ac"/>
          <w:rFonts w:ascii="Narkisim" w:hAnsi="Narkisim"/>
          <w:rtl/>
        </w:rPr>
        <w:footnoteReference w:id="5356"/>
      </w:r>
      <w:r w:rsidRPr="00AF3214">
        <w:rPr>
          <w:rFonts w:ascii="Narkisim" w:hAnsi="Narkisim"/>
        </w:rPr>
        <w:t xml:space="preserve"> </w:t>
      </w:r>
      <w:r w:rsidRPr="00AF3214">
        <w:rPr>
          <w:rFonts w:ascii="Narkisim" w:hAnsi="Narkisim"/>
          <w:rtl/>
        </w:rPr>
        <w:t>שנאמנת על עצמה, ורחמנא הימניה מאחר שהוא מעשה של עצמה</w:t>
      </w:r>
      <w:r w:rsidRPr="00AF3214">
        <w:rPr>
          <w:rStyle w:val="ac"/>
          <w:rFonts w:ascii="Narkisim" w:hAnsi="Narkisim"/>
          <w:rtl/>
        </w:rPr>
        <w:footnoteReference w:id="5357"/>
      </w:r>
      <w:r w:rsidRPr="00AF3214">
        <w:rPr>
          <w:rFonts w:ascii="Narkisim" w:hAnsi="Narkisim"/>
        </w:rPr>
        <w:t xml:space="preserve">. </w:t>
      </w:r>
      <w:r w:rsidRPr="00AF3214">
        <w:rPr>
          <w:rFonts w:ascii="Narkisim" w:hAnsi="Narkisim"/>
          <w:rtl/>
        </w:rPr>
        <w:t>ומתוך שנאמנת על עצמה נאמנת לבעלה</w:t>
      </w:r>
      <w:r w:rsidRPr="00AF3214">
        <w:rPr>
          <w:rFonts w:ascii="Narkisim" w:hAnsi="Narkisim"/>
        </w:rPr>
        <w:t>.</w:t>
      </w:r>
    </w:p>
    <w:p w14:paraId="2FFD4B77" w14:textId="77777777" w:rsidR="006C4368" w:rsidRPr="00AF3214" w:rsidRDefault="006C4368" w:rsidP="006C4368">
      <w:pPr>
        <w:bidi/>
        <w:rPr>
          <w:rFonts w:ascii="Narkisim" w:hAnsi="Narkisim" w:cs="Narkisim"/>
        </w:rPr>
      </w:pPr>
      <w:r w:rsidRPr="00AF3214">
        <w:rPr>
          <w:rFonts w:ascii="Narkisim" w:hAnsi="Narkisim" w:cs="Narkisim"/>
          <w:u w:val="single"/>
          <w:rtl/>
        </w:rPr>
        <w:t>בא"ד ואר"י נדה נהי שעכשיו ראתה, מכ"מ לא איתחזק איסורא שתראה לעולם</w:t>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(גיטין ב: סוד"ה עד הא') פי' דאינה בחזקת שתהא רואה כל שעה, וכשעברו ז' טהורה ממילא ולא איתחזק איסורא, וגם בידה לטבול</w:t>
      </w:r>
      <w:r w:rsidRPr="00AF3214">
        <w:rPr>
          <w:rFonts w:ascii="Narkisim" w:hAnsi="Narkisim" w:cs="Narkisim"/>
        </w:rPr>
        <w:t>.</w:t>
      </w:r>
    </w:p>
    <w:p w14:paraId="2344E5C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הק' שמא אין בידה לתקן עכשיו. ותי' (תי' ב') דלטבילה קיימא, ואע"פ שהיום נדה </w:t>
      </w:r>
      <w:r w:rsidRPr="00AF3214">
        <w:rPr>
          <w:rFonts w:ascii="Narkisim" w:hAnsi="Narkisim"/>
          <w:rtl/>
        </w:rPr>
        <w:lastRenderedPageBreak/>
        <w:t>למחר פוסקת ומונה וטובלת. אבל אשת איש שמא לא תצא מאיסורא לעולם. [משמע דאילו עומדת לצאת מאיסורא ע"א נאמן שהגיע זמנה לצאת]</w:t>
      </w:r>
      <w:r w:rsidRPr="00AF3214">
        <w:rPr>
          <w:rFonts w:ascii="Narkisim" w:hAnsi="Narkisim"/>
        </w:rPr>
        <w:t>.</w:t>
      </w:r>
    </w:p>
    <w:p w14:paraId="252EE891" w14:textId="77777777" w:rsidR="006C4368" w:rsidRPr="00AF3214" w:rsidRDefault="006C4368" w:rsidP="006C4368">
      <w:pPr>
        <w:bidi/>
        <w:rPr>
          <w:rFonts w:ascii="Narkisim" w:hAnsi="Narkisim" w:cs="Narkisim"/>
        </w:rPr>
      </w:pPr>
      <w:r w:rsidRPr="00AF3214">
        <w:rPr>
          <w:rFonts w:ascii="Narkisim" w:hAnsi="Narkisim" w:cs="Narkisim"/>
          <w:u w:val="single"/>
          <w:rtl/>
        </w:rPr>
        <w:t>מי דמי התם לא איתחזק איסורא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בההיא חתיכה. ה</w:t>
      </w:r>
      <w:r w:rsidRPr="00AF3214">
        <w:rPr>
          <w:rFonts w:ascii="Narkisim" w:hAnsi="Narkisim" w:cs="Narkisim"/>
          <w:b/>
          <w:bCs/>
          <w:rtl/>
        </w:rPr>
        <w:t>ריטב"א</w:t>
      </w:r>
      <w:r w:rsidRPr="00AF3214">
        <w:rPr>
          <w:rFonts w:ascii="Narkisim" w:hAnsi="Narkisim" w:cs="Narkisim"/>
          <w:rtl/>
        </w:rPr>
        <w:t xml:space="preserve"> ו</w:t>
      </w:r>
      <w:r w:rsidRPr="00AF3214">
        <w:rPr>
          <w:rFonts w:ascii="Narkisim" w:hAnsi="Narkisim" w:cs="Narkisim"/>
          <w:b/>
          <w:bCs/>
          <w:rtl/>
        </w:rPr>
        <w:t>נמוק"י</w:t>
      </w:r>
      <w:r w:rsidRPr="00AF3214">
        <w:rPr>
          <w:rFonts w:ascii="Narkisim" w:hAnsi="Narkisim" w:cs="Narkisim"/>
          <w:rtl/>
        </w:rPr>
        <w:t xml:space="preserve"> דדייקו דדוקא איתחזק חתיכה זו אסור. אבל היכא דהוחזק טריפה בבית המקולין, עד א' נאמן על חתיכה זו שהיא כשירה</w:t>
      </w:r>
      <w:r w:rsidRPr="00AF3214">
        <w:rPr>
          <w:rStyle w:val="ac"/>
          <w:rFonts w:ascii="Narkisim" w:hAnsi="Narkisim" w:cs="Narkisim"/>
          <w:rtl/>
        </w:rPr>
        <w:footnoteReference w:id="5358"/>
      </w:r>
      <w:r w:rsidRPr="00AF3214">
        <w:rPr>
          <w:rFonts w:ascii="Narkisim" w:hAnsi="Narkisim" w:cs="Narkisim"/>
        </w:rPr>
        <w:t>.</w:t>
      </w:r>
    </w:p>
    <w:p w14:paraId="139CD925" w14:textId="77777777" w:rsidR="006C4368" w:rsidRPr="00AF3214" w:rsidRDefault="006C4368" w:rsidP="006C4368">
      <w:pPr>
        <w:pStyle w:val="aa"/>
        <w:bidi/>
        <w:rPr>
          <w:rFonts w:ascii="Narkisim" w:hAnsi="Narkisim"/>
        </w:rPr>
      </w:pPr>
      <w:r w:rsidRPr="00AF3214">
        <w:rPr>
          <w:rFonts w:ascii="Narkisim" w:hAnsi="Narkisim"/>
          <w:u w:val="single"/>
          <w:rtl/>
        </w:rPr>
        <w:t>הכא איתחזק איסורא וכו'</w:t>
      </w:r>
      <w:r w:rsidRPr="00AF3214">
        <w:rPr>
          <w:rFonts w:ascii="Narkisim" w:hAnsi="Narkisim"/>
          <w:rtl/>
        </w:rPr>
        <w:t>. והגמ' דנה מנ"ל דעד א' נאמן כנגד איתחזק איסורא. והמקשן (בסמוך) הביא דעד א' נאמן על טבל וכדו'. והגמ' דוחה די"ל דהוה משום בידו</w:t>
      </w:r>
      <w:r w:rsidRPr="00AF3214">
        <w:rPr>
          <w:rFonts w:ascii="Narkisim" w:hAnsi="Narkisim"/>
        </w:rPr>
        <w:t>.</w:t>
      </w:r>
    </w:p>
    <w:p w14:paraId="03432B73"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דנו לצד דעד א' ל"מ היכא דאיתחזק איסורא, אי הוה משום חזקת איסור, דחזקה דמעיקרא עדיפא מעדות העד</w:t>
      </w:r>
      <w:r w:rsidRPr="00AF3214">
        <w:rPr>
          <w:rStyle w:val="ac"/>
          <w:rFonts w:ascii="Narkisim" w:hAnsi="Narkisim"/>
          <w:rtl/>
        </w:rPr>
        <w:footnoteReference w:id="5359"/>
      </w:r>
      <w:r w:rsidRPr="00AF3214">
        <w:rPr>
          <w:rFonts w:ascii="Narkisim" w:hAnsi="Narkisim"/>
        </w:rPr>
        <w:t xml:space="preserve">. </w:t>
      </w:r>
      <w:r w:rsidRPr="00AF3214">
        <w:rPr>
          <w:rFonts w:ascii="Narkisim" w:hAnsi="Narkisim"/>
          <w:rtl/>
        </w:rPr>
        <w:t>אך יש שדייקו דלא הוזכר 'חזקה', אלא משום שהוחזק איסור. ולא תלי בגדרי חזקה דמעיקרא [וע"ע חי' ר' שלמה ריש גיטין וקה"י שם]</w:t>
      </w:r>
      <w:r w:rsidRPr="00AF3214">
        <w:rPr>
          <w:rFonts w:ascii="Narkisim" w:hAnsi="Narkisim"/>
        </w:rPr>
        <w:t>.</w:t>
      </w:r>
    </w:p>
    <w:p w14:paraId="42E6876F"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(חולין ב. וקידושין סד., והו' בנוב"י ק' לא, ופתח"ת קכז יב, וע"ע שו"ת רע"א ק' קכד) כת' דעד א' נאמן בחזקה באיתרע. וב</w:t>
      </w:r>
      <w:r w:rsidRPr="00AF3214">
        <w:rPr>
          <w:rFonts w:ascii="Narkisim" w:hAnsi="Narkisim"/>
          <w:b/>
          <w:bCs/>
          <w:rtl/>
        </w:rPr>
        <w:t>שו"ת זכרון יוסף</w:t>
      </w:r>
      <w:r w:rsidRPr="00AF3214">
        <w:rPr>
          <w:rFonts w:ascii="Narkisim" w:hAnsi="Narkisim"/>
          <w:rtl/>
        </w:rPr>
        <w:t xml:space="preserve"> (יו"ד י) כת' דבחזקה העשויה להשתנות, אף דאמרי' חזקה, מ"מ עד א' נאמן נגד חזקה זו. דאיתרע החזקה</w:t>
      </w:r>
      <w:r w:rsidRPr="00AF3214">
        <w:rPr>
          <w:rStyle w:val="ac"/>
          <w:rFonts w:ascii="Narkisim" w:hAnsi="Narkisim"/>
          <w:rtl/>
        </w:rPr>
        <w:footnoteReference w:id="5360"/>
      </w:r>
      <w:r w:rsidRPr="00AF3214">
        <w:rPr>
          <w:rFonts w:ascii="Narkisim" w:hAnsi="Narkisim"/>
        </w:rPr>
        <w:t>.</w:t>
      </w:r>
    </w:p>
    <w:p w14:paraId="20E6910F" w14:textId="77777777" w:rsidR="006C4368" w:rsidRPr="00AF3214" w:rsidRDefault="006C4368" w:rsidP="006C4368">
      <w:pPr>
        <w:bidi/>
        <w:rPr>
          <w:rFonts w:ascii="Narkisim" w:hAnsi="Narkisim" w:cs="Narkisim"/>
        </w:rPr>
      </w:pPr>
      <w:r w:rsidRPr="00AF3214">
        <w:rPr>
          <w:rFonts w:ascii="Narkisim" w:hAnsi="Narkisim" w:cs="Narkisim"/>
          <w:u w:val="single"/>
          <w:rtl/>
        </w:rPr>
        <w:t>שם. הכא איתחזק איסורא דאשת איש, ואין דבר שבערוה פחות מב' וכו'</w:t>
      </w:r>
      <w:r w:rsidRPr="00AF3214">
        <w:rPr>
          <w:rFonts w:ascii="Narkisim" w:hAnsi="Narkisim" w:cs="Narkisim"/>
          <w:rtl/>
        </w:rPr>
        <w:t>. [ועד"ז אי' בגמ' (גיטין ב:)]. ה</w:t>
      </w:r>
      <w:r w:rsidRPr="00AF3214">
        <w:rPr>
          <w:rFonts w:ascii="Narkisim" w:hAnsi="Narkisim" w:cs="Narkisim"/>
          <w:b/>
          <w:bCs/>
          <w:rtl/>
        </w:rPr>
        <w:t>רמב"ן</w:t>
      </w:r>
      <w:r w:rsidRPr="00AF3214">
        <w:rPr>
          <w:rFonts w:ascii="Narkisim" w:hAnsi="Narkisim" w:cs="Narkisim"/>
          <w:rtl/>
        </w:rPr>
        <w:t xml:space="preserve"> כת' דהוה ב' קושיות</w:t>
      </w:r>
      <w:r w:rsidRPr="00AF3214">
        <w:rPr>
          <w:rStyle w:val="ac"/>
          <w:rFonts w:ascii="Narkisim" w:hAnsi="Narkisim" w:cs="Narkisim"/>
          <w:rtl/>
        </w:rPr>
        <w:footnoteReference w:id="5361"/>
      </w:r>
      <w:r w:rsidRPr="00AF3214">
        <w:rPr>
          <w:rFonts w:ascii="Narkisim" w:hAnsi="Narkisim" w:cs="Narkisim"/>
        </w:rPr>
        <w:t xml:space="preserve">, </w:t>
      </w:r>
      <w:r w:rsidRPr="00AF3214">
        <w:rPr>
          <w:rFonts w:ascii="Narkisim" w:hAnsi="Narkisim" w:cs="Narkisim"/>
          <w:rtl/>
        </w:rPr>
        <w:t>חדא דאיתחזק איסורא. ועוד דהוה דבר שבערוה, וע"א אינו נאמן בדבר שבערוה</w:t>
      </w:r>
      <w:r w:rsidRPr="00AF3214">
        <w:rPr>
          <w:rStyle w:val="ac"/>
          <w:rFonts w:ascii="Narkisim" w:hAnsi="Narkisim" w:cs="Narkisim"/>
          <w:rtl/>
        </w:rPr>
        <w:footnoteReference w:id="5362"/>
      </w:r>
      <w:r w:rsidRPr="00AF3214">
        <w:rPr>
          <w:rFonts w:ascii="Narkisim" w:hAnsi="Narkisim" w:cs="Narkisim"/>
        </w:rPr>
        <w:t xml:space="preserve"> </w:t>
      </w:r>
      <w:r w:rsidRPr="00AF3214">
        <w:rPr>
          <w:rFonts w:ascii="Narkisim" w:hAnsi="Narkisim" w:cs="Narkisim"/>
          <w:rtl/>
        </w:rPr>
        <w:t>אף בלא הוחזק איסורא</w:t>
      </w:r>
      <w:r w:rsidRPr="00AF3214">
        <w:rPr>
          <w:rStyle w:val="ac"/>
          <w:rFonts w:ascii="Narkisim" w:hAnsi="Narkisim" w:cs="Narkisim"/>
          <w:rtl/>
        </w:rPr>
        <w:footnoteReference w:id="5363"/>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ביאר דהמשך דברי הגמ' קאי על הטעם הראשון [דעד א' יהא נאמן באיסורין אף באיתחזק איסורא, וכקו' התוס' ד"ה מידי דהוה]</w:t>
      </w:r>
      <w:r w:rsidRPr="00AF3214">
        <w:rPr>
          <w:rFonts w:ascii="Narkisim" w:hAnsi="Narkisim" w:cs="Narkisim"/>
        </w:rPr>
        <w:t>.</w:t>
      </w:r>
    </w:p>
    <w:p w14:paraId="4857ADDD" w14:textId="77777777" w:rsidR="006C4368" w:rsidRPr="00AF3214" w:rsidRDefault="006C4368" w:rsidP="006C4368">
      <w:pPr>
        <w:bidi/>
        <w:rPr>
          <w:rFonts w:ascii="Narkisim" w:hAnsi="Narkisim" w:cs="Narkisim"/>
        </w:rPr>
      </w:pPr>
      <w:r w:rsidRPr="00AF3214">
        <w:rPr>
          <w:rFonts w:ascii="Narkisim" w:hAnsi="Narkisim" w:cs="Narkisim"/>
          <w:rtl/>
        </w:rPr>
        <w:t>אבל מדברי ה</w:t>
      </w:r>
      <w:r w:rsidRPr="00AF3214">
        <w:rPr>
          <w:rFonts w:ascii="Narkisim" w:hAnsi="Narkisim" w:cs="Narkisim"/>
          <w:b/>
          <w:bCs/>
          <w:rtl/>
        </w:rPr>
        <w:t>תוס'</w:t>
      </w:r>
      <w:r w:rsidRPr="00AF3214">
        <w:rPr>
          <w:rFonts w:ascii="Narkisim" w:hAnsi="Narkisim" w:cs="Narkisim"/>
          <w:rtl/>
        </w:rPr>
        <w:t xml:space="preserve"> (ד"ה מידי, וכן בגיטין ב:) מבואר ד'דבר שבערוה' אינו קושיה בפנ"ע, ודוקא משום דאיתחזק איסורא הקשו התוס' דהוה דבר שבערוה</w:t>
      </w:r>
      <w:r w:rsidRPr="00AF3214">
        <w:rPr>
          <w:rFonts w:ascii="Narkisim" w:hAnsi="Narkisim" w:cs="Narkisim"/>
        </w:rPr>
        <w:t>.</w:t>
      </w:r>
    </w:p>
    <w:p w14:paraId="66B5C0B6"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מהרי"ק</w:t>
      </w:r>
      <w:r w:rsidRPr="00AF3214">
        <w:rPr>
          <w:rFonts w:ascii="Narkisim" w:hAnsi="Narkisim"/>
          <w:rtl/>
        </w:rPr>
        <w:t xml:space="preserve"> </w:t>
      </w:r>
      <w:r w:rsidRPr="00AF3214">
        <w:rPr>
          <w:rFonts w:ascii="Narkisim" w:hAnsi="Narkisim"/>
          <w:szCs w:val="20"/>
          <w:rtl/>
        </w:rPr>
        <w:t>(עב)</w:t>
      </w:r>
      <w:r w:rsidRPr="00AF3214">
        <w:rPr>
          <w:rFonts w:ascii="Narkisim" w:hAnsi="Narkisim"/>
          <w:sz w:val="20"/>
          <w:szCs w:val="20"/>
          <w:rtl/>
        </w:rPr>
        <w:t xml:space="preserve"> </w:t>
      </w:r>
      <w:r w:rsidRPr="00AF3214">
        <w:rPr>
          <w:rFonts w:ascii="Narkisim" w:hAnsi="Narkisim"/>
          <w:rtl/>
        </w:rPr>
        <w:t>ו</w:t>
      </w:r>
      <w:r w:rsidRPr="00AF3214">
        <w:rPr>
          <w:rFonts w:ascii="Narkisim" w:hAnsi="Narkisim"/>
          <w:b/>
          <w:bCs/>
          <w:rtl/>
        </w:rPr>
        <w:t>רע"א</w:t>
      </w:r>
      <w:r w:rsidRPr="00AF3214">
        <w:rPr>
          <w:rFonts w:ascii="Narkisim" w:hAnsi="Narkisim"/>
          <w:rtl/>
        </w:rPr>
        <w:t xml:space="preserve"> דייקו דלדברי התוס' ע"א נאמן בדבר שבערוה ולא איתחזק. והביאו שכ"כ ה</w:t>
      </w:r>
      <w:r w:rsidRPr="00AF3214">
        <w:rPr>
          <w:rFonts w:ascii="Narkisim" w:hAnsi="Narkisim"/>
          <w:b/>
          <w:bCs/>
          <w:rtl/>
        </w:rPr>
        <w:t>תשובות מיימוני</w:t>
      </w:r>
      <w:r w:rsidRPr="00AF3214">
        <w:rPr>
          <w:rFonts w:ascii="Narkisim" w:hAnsi="Narkisim"/>
          <w:rtl/>
        </w:rPr>
        <w:t xml:space="preserve"> </w:t>
      </w:r>
      <w:r w:rsidRPr="00AF3214">
        <w:rPr>
          <w:rFonts w:ascii="Narkisim" w:hAnsi="Narkisim"/>
          <w:sz w:val="20"/>
          <w:szCs w:val="20"/>
          <w:rtl/>
        </w:rPr>
        <w:t>(אישות ג)</w:t>
      </w:r>
      <w:r w:rsidRPr="00AF3214">
        <w:rPr>
          <w:rFonts w:ascii="Narkisim" w:hAnsi="Narkisim"/>
          <w:rtl/>
        </w:rPr>
        <w:t xml:space="preserve"> דשליח נאמן להעיד שטעה, מדין עד א' כיון דלא הוחזק דבר שבערוה</w:t>
      </w:r>
      <w:r w:rsidRPr="00AF3214">
        <w:rPr>
          <w:rFonts w:ascii="Narkisim" w:hAnsi="Narkisim"/>
        </w:rPr>
        <w:t>.</w:t>
      </w:r>
    </w:p>
    <w:p w14:paraId="65AF069E"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ש"ש</w:t>
      </w:r>
      <w:r w:rsidRPr="00AF3214">
        <w:rPr>
          <w:rFonts w:ascii="Narkisim" w:hAnsi="Narkisim"/>
          <w:rtl/>
        </w:rPr>
        <w:t xml:space="preserve"> (ו ג) הביא [דמבואר בתשו' מיימוני] דגדר הדבר שהעד מעיד דאין כאן דבר שבערוה</w:t>
      </w:r>
      <w:r w:rsidRPr="00AF3214">
        <w:rPr>
          <w:rStyle w:val="ac"/>
          <w:rFonts w:ascii="Narkisim" w:hAnsi="Narkisim"/>
          <w:rtl/>
        </w:rPr>
        <w:footnoteReference w:id="5364"/>
      </w:r>
      <w:r w:rsidRPr="00AF3214">
        <w:rPr>
          <w:rFonts w:ascii="Narkisim" w:hAnsi="Narkisim"/>
        </w:rPr>
        <w:t xml:space="preserve">. </w:t>
      </w: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(קובה"ע סז יא) כת' דעפ"ז ע"א אינו נאמן כלל בדבר שבערוה, אלא דכה"ג לא חשיב דבר שבערוה</w:t>
      </w:r>
      <w:r w:rsidRPr="00AF3214">
        <w:rPr>
          <w:rStyle w:val="ac"/>
          <w:rFonts w:ascii="Narkisim" w:hAnsi="Narkisim"/>
          <w:rtl/>
        </w:rPr>
        <w:footnoteReference w:id="5365"/>
      </w:r>
      <w:r w:rsidRPr="00AF3214">
        <w:rPr>
          <w:rFonts w:ascii="Narkisim" w:hAnsi="Narkisim"/>
        </w:rPr>
        <w:t>.</w:t>
      </w:r>
    </w:p>
    <w:p w14:paraId="069DC8F3"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ולדברי הרשב"א וריטב"א (הנ"ל) כוונת הגמ' דעד א' נאמן באיסורין כה"ג, ומש"ה הקילו כאן משום עיגונא. והגמ' מק' דאיתחזק איסורא, ומש"ה בכה"ג עד א' אינו נאמן. [ונקט </w:t>
      </w:r>
      <w:r w:rsidRPr="00AF3214">
        <w:rPr>
          <w:rFonts w:ascii="Narkisim" w:hAnsi="Narkisim" w:cs="Narkisim"/>
          <w:rtl/>
        </w:rPr>
        <w:lastRenderedPageBreak/>
        <w:t>דבר שבערוה לאו דוקא]</w:t>
      </w:r>
      <w:r w:rsidRPr="00AF3214">
        <w:rPr>
          <w:rFonts w:ascii="Narkisim" w:hAnsi="Narkisim" w:cs="Narkisim"/>
        </w:rPr>
        <w:t>.</w:t>
      </w:r>
    </w:p>
    <w:p w14:paraId="6E32B4D1" w14:textId="77777777" w:rsidR="006C4368" w:rsidRPr="00AF3214" w:rsidRDefault="006C4368" w:rsidP="006C4368">
      <w:pPr>
        <w:pStyle w:val="aa"/>
        <w:bidi/>
        <w:rPr>
          <w:rFonts w:ascii="Narkisim" w:hAnsi="Narkisim"/>
        </w:rPr>
      </w:pPr>
      <w:r w:rsidRPr="00AF3214">
        <w:rPr>
          <w:rFonts w:ascii="Narkisim" w:hAnsi="Narkisim"/>
          <w:u w:val="single"/>
          <w:rtl/>
        </w:rPr>
        <w:t>אלא לחתיכה דודאי חלב וכו' התם אפי' אתו בי מאה לא מהימני</w:t>
      </w:r>
      <w:r w:rsidRPr="00AF3214">
        <w:rPr>
          <w:rFonts w:ascii="Narkisim" w:hAnsi="Narkisim"/>
          <w:rtl/>
        </w:rPr>
        <w:t>. דמי שיודע בבירור אינו מאמין לדברי העדים. וע"ע מש"כ (בסוף העמ')</w:t>
      </w:r>
      <w:r w:rsidRPr="00AF3214">
        <w:rPr>
          <w:rFonts w:ascii="Narkisim" w:hAnsi="Narkisim"/>
        </w:rPr>
        <w:t>.</w:t>
      </w:r>
    </w:p>
    <w:p w14:paraId="2A4FAC04" w14:textId="77777777" w:rsidR="006C4368" w:rsidRPr="00AF3214" w:rsidRDefault="006C4368" w:rsidP="006C4368">
      <w:pPr>
        <w:bidi/>
        <w:rPr>
          <w:rFonts w:ascii="Narkisim" w:hAnsi="Narkisim" w:cs="Narkisim"/>
        </w:rPr>
      </w:pPr>
      <w:r w:rsidRPr="00AF3214">
        <w:rPr>
          <w:rFonts w:ascii="Narkisim" w:hAnsi="Narkisim" w:cs="Narkisim"/>
          <w:u w:val="single"/>
          <w:rtl/>
        </w:rPr>
        <w:t>אי דידיה, משום דבידו לתקנו</w:t>
      </w:r>
      <w:r w:rsidRPr="00AF3214">
        <w:rPr>
          <w:rFonts w:ascii="Narkisim" w:hAnsi="Narkisim" w:cs="Narkisim"/>
          <w:rtl/>
        </w:rPr>
        <w:t>. ועד א' נאמן אף במקום דאיתחזק איסורא. ובפשוטו הוה מטעם מיגו. וה</w:t>
      </w:r>
      <w:r w:rsidRPr="00AF3214">
        <w:rPr>
          <w:rFonts w:ascii="Narkisim" w:hAnsi="Narkisim" w:cs="Narkisim"/>
          <w:b/>
          <w:bCs/>
          <w:rtl/>
        </w:rPr>
        <w:t>רא"ש</w:t>
      </w:r>
      <w:r w:rsidRPr="00AF3214">
        <w:rPr>
          <w:rFonts w:ascii="Narkisim" w:hAnsi="Narkisim" w:cs="Narkisim"/>
          <w:rtl/>
        </w:rPr>
        <w:t xml:space="preserve"> (גיטין ה יג והמרדכי כאן עד) הק' דיש אופנים דאינו רוצה לעשות כן, דהמעיד שנטמאו טהרותיו, אם יטמאנו צריך לשלם. וכן בפירות חבירו [למ"ד דתורם משלו על של חבירו ל"צ דעת], אטו בשופטני עסקינן שיעשר משלו על של חבירו</w:t>
      </w:r>
      <w:r w:rsidRPr="00AF3214">
        <w:rPr>
          <w:rFonts w:ascii="Narkisim" w:hAnsi="Narkisim" w:cs="Narkisim"/>
        </w:rPr>
        <w:t>.</w:t>
      </w:r>
    </w:p>
    <w:p w14:paraId="4D86D31E"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רא"ש</w:t>
      </w:r>
      <w:r w:rsidRPr="00AF3214">
        <w:rPr>
          <w:rFonts w:ascii="Narkisim" w:hAnsi="Narkisim"/>
          <w:rtl/>
        </w:rPr>
        <w:t xml:space="preserve"> חידש דכיון דבידו לתקנו הו"ל כבעלים, דהואיל וברשותו הן הרי הן כשלו</w:t>
      </w:r>
      <w:r w:rsidRPr="00AF3214">
        <w:rPr>
          <w:rFonts w:ascii="Narkisim" w:hAnsi="Narkisim"/>
        </w:rPr>
        <w:t>.</w:t>
      </w:r>
    </w:p>
    <w:p w14:paraId="485E128B"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ט"ז</w:t>
      </w:r>
      <w:r w:rsidRPr="00AF3214">
        <w:rPr>
          <w:rFonts w:ascii="Narkisim" w:hAnsi="Narkisim"/>
          <w:rtl/>
        </w:rPr>
        <w:t xml:space="preserve"> (יו"ד קכז ו) נקט עפ"ז דהבעלים עצמן נאמנים</w:t>
      </w:r>
      <w:r w:rsidRPr="00AF3214">
        <w:rPr>
          <w:rStyle w:val="ac"/>
          <w:rFonts w:ascii="Narkisim" w:hAnsi="Narkisim"/>
          <w:rtl/>
        </w:rPr>
        <w:footnoteReference w:id="5366"/>
      </w:r>
      <w:r w:rsidRPr="00AF3214">
        <w:rPr>
          <w:rFonts w:ascii="Narkisim" w:hAnsi="Narkisim"/>
        </w:rPr>
        <w:t xml:space="preserve"> </w:t>
      </w:r>
      <w:r w:rsidRPr="00AF3214">
        <w:rPr>
          <w:rFonts w:ascii="Narkisim" w:hAnsi="Narkisim"/>
          <w:rtl/>
        </w:rPr>
        <w:t>להתיר נגד איתחזק איסורא</w:t>
      </w:r>
      <w:r w:rsidRPr="00AF3214">
        <w:rPr>
          <w:rStyle w:val="ac"/>
          <w:rFonts w:ascii="Narkisim" w:hAnsi="Narkisim"/>
          <w:rtl/>
        </w:rPr>
        <w:footnoteReference w:id="5367"/>
      </w:r>
      <w:r w:rsidRPr="00AF3214">
        <w:rPr>
          <w:rFonts w:ascii="Narkisim" w:hAnsi="Narkisim"/>
        </w:rPr>
        <w:t xml:space="preserve">. </w:t>
      </w: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תמהו דלא מצאנו דבעלים יהא נאמן על שלו, ובסוגיין מבואר דאף פירות שלו הוה משום דבידו לתקנו. ועד"ז הק' </w:t>
      </w:r>
      <w:r w:rsidRPr="00AF3214">
        <w:rPr>
          <w:rFonts w:ascii="Narkisim" w:hAnsi="Narkisim"/>
          <w:b/>
          <w:bCs/>
          <w:rtl/>
        </w:rPr>
        <w:t>רע"א</w:t>
      </w:r>
      <w:r w:rsidRPr="00AF3214">
        <w:rPr>
          <w:rFonts w:ascii="Narkisim" w:hAnsi="Narkisim"/>
          <w:rtl/>
        </w:rPr>
        <w:t xml:space="preserve"> וה</w:t>
      </w:r>
      <w:r w:rsidRPr="00AF3214">
        <w:rPr>
          <w:rFonts w:ascii="Narkisim" w:hAnsi="Narkisim"/>
          <w:b/>
          <w:bCs/>
          <w:rtl/>
        </w:rPr>
        <w:t>ש"ש</w:t>
      </w:r>
      <w:r w:rsidRPr="00AF3214">
        <w:rPr>
          <w:rFonts w:ascii="Narkisim" w:hAnsi="Narkisim"/>
          <w:rtl/>
        </w:rPr>
        <w:t xml:space="preserve"> (ו א,ו). וה</w:t>
      </w:r>
      <w:r w:rsidRPr="00AF3214">
        <w:rPr>
          <w:rFonts w:ascii="Narkisim" w:hAnsi="Narkisim"/>
          <w:b/>
          <w:bCs/>
          <w:rtl/>
        </w:rPr>
        <w:t>שער"י</w:t>
      </w:r>
      <w:r w:rsidRPr="00AF3214">
        <w:rPr>
          <w:rFonts w:ascii="Narkisim" w:hAnsi="Narkisim"/>
          <w:rtl/>
        </w:rPr>
        <w:t xml:space="preserve"> (ו ד) וה</w:t>
      </w:r>
      <w:r w:rsidRPr="00AF3214">
        <w:rPr>
          <w:rFonts w:ascii="Narkisim" w:hAnsi="Narkisim"/>
          <w:b/>
          <w:bCs/>
          <w:rtl/>
        </w:rPr>
        <w:t>חזו"א</w:t>
      </w:r>
      <w:r w:rsidRPr="00AF3214">
        <w:rPr>
          <w:rFonts w:ascii="Narkisim" w:hAnsi="Narkisim"/>
          <w:rtl/>
        </w:rPr>
        <w:t xml:space="preserve"> (נג ז) כת' [דכוונת הרא"ש] דהיכא דבידו נחשב בעלות על האיסור ושולט על גדרי האיסור של החפץ. אבל בעלים על ממון אינו שולט להתיר את ממונו</w:t>
      </w:r>
      <w:r w:rsidRPr="00AF3214">
        <w:rPr>
          <w:rFonts w:ascii="Narkisim" w:hAnsi="Narkisim"/>
        </w:rPr>
        <w:t>.</w:t>
      </w:r>
    </w:p>
    <w:p w14:paraId="5BFA46DF"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 xml:space="preserve">מהרי"ק </w:t>
      </w:r>
      <w:r w:rsidRPr="00AF3214">
        <w:rPr>
          <w:rFonts w:ascii="Narkisim" w:hAnsi="Narkisim"/>
          <w:rtl/>
        </w:rPr>
        <w:t>(שורש עב) כתב דע"י שהוא בידו נחשב דלא איתחזק איסורא. ועי"ז נאמן עד א</w:t>
      </w:r>
      <w:r w:rsidRPr="00AF3214">
        <w:rPr>
          <w:rFonts w:ascii="Narkisim" w:hAnsi="Narkisim"/>
        </w:rPr>
        <w:t>'</w:t>
      </w:r>
      <w:r w:rsidRPr="00AF3214">
        <w:rPr>
          <w:rStyle w:val="ac"/>
          <w:rFonts w:ascii="Narkisim" w:hAnsi="Narkisim"/>
        </w:rPr>
        <w:footnoteReference w:id="5368"/>
      </w:r>
      <w:r w:rsidRPr="00AF3214">
        <w:rPr>
          <w:rFonts w:ascii="Narkisim" w:hAnsi="Narkisim"/>
        </w:rPr>
        <w:t>.</w:t>
      </w:r>
    </w:p>
    <w:p w14:paraId="2B7DB3D4" w14:textId="77777777" w:rsidR="006C4368" w:rsidRPr="00AF3214" w:rsidRDefault="006C4368" w:rsidP="006C4368">
      <w:pPr>
        <w:bidi/>
        <w:rPr>
          <w:rFonts w:ascii="Narkisim" w:hAnsi="Narkisim" w:cs="Narkisim"/>
        </w:rPr>
      </w:pPr>
      <w:r w:rsidRPr="00AF3214">
        <w:rPr>
          <w:rFonts w:ascii="Narkisim" w:hAnsi="Narkisim" w:cs="Narkisim"/>
          <w:u w:val="single"/>
          <w:rtl/>
        </w:rPr>
        <w:t>היא גופא מנלן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(גיטין ב:) הביאו דמספק"ל לגמ' האם עד א' נאמן באיסורין בדבר דאיתחזק איסורא. אבל ה</w:t>
      </w:r>
      <w:r w:rsidRPr="00AF3214">
        <w:rPr>
          <w:rFonts w:ascii="Narkisim" w:hAnsi="Narkisim" w:cs="Narkisim"/>
          <w:b/>
          <w:bCs/>
          <w:rtl/>
        </w:rPr>
        <w:t>רמב"ן</w:t>
      </w:r>
      <w:r w:rsidRPr="00AF3214">
        <w:rPr>
          <w:rFonts w:ascii="Narkisim" w:hAnsi="Narkisim" w:cs="Narkisim"/>
          <w:rtl/>
        </w:rPr>
        <w:t xml:space="preserve"> כת' דודאי עד א' נאמן בכל איסורין [אפי' נגד איתחזק]. וסוגיא זו הוה שאלות בעלמא, מנלן שנאמן מדאורייתא</w:t>
      </w:r>
      <w:r w:rsidRPr="00AF3214">
        <w:rPr>
          <w:rFonts w:ascii="Narkisim" w:hAnsi="Narkisim" w:cs="Narkisim"/>
        </w:rPr>
        <w:t>.</w:t>
      </w:r>
    </w:p>
    <w:p w14:paraId="10688530"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הק' דלפ"ז האיך עד א' נאמן על שחיטה</w:t>
      </w:r>
      <w:r w:rsidRPr="00AF3214">
        <w:rPr>
          <w:rStyle w:val="ac"/>
          <w:rFonts w:ascii="Narkisim" w:hAnsi="Narkisim" w:cs="Narkisim"/>
          <w:rtl/>
        </w:rPr>
        <w:footnoteReference w:id="5369"/>
      </w:r>
      <w:r w:rsidRPr="00AF3214">
        <w:rPr>
          <w:rFonts w:ascii="Narkisim" w:hAnsi="Narkisim" w:cs="Narkisim"/>
        </w:rPr>
        <w:t xml:space="preserve">, </w:t>
      </w:r>
      <w:r w:rsidRPr="00AF3214">
        <w:rPr>
          <w:rFonts w:ascii="Narkisim" w:hAnsi="Narkisim" w:cs="Narkisim"/>
          <w:rtl/>
        </w:rPr>
        <w:t>דהוחזקה בהמה בחזקת איסור בחייה (וכדאי' ביצה כה.)</w:t>
      </w:r>
      <w:r w:rsidRPr="00AF3214">
        <w:rPr>
          <w:rStyle w:val="ac"/>
          <w:rFonts w:ascii="Narkisim" w:hAnsi="Narkisim" w:cs="Narkisim"/>
          <w:rtl/>
        </w:rPr>
        <w:footnoteReference w:id="5370"/>
      </w:r>
      <w:r w:rsidRPr="00AF3214">
        <w:rPr>
          <w:rFonts w:ascii="Narkisim" w:hAnsi="Narkisim" w:cs="Narkisim"/>
        </w:rPr>
        <w:t xml:space="preserve">, </w:t>
      </w:r>
      <w:r w:rsidRPr="00AF3214">
        <w:rPr>
          <w:rFonts w:ascii="Narkisim" w:hAnsi="Narkisim" w:cs="Narkisim"/>
          <w:rtl/>
        </w:rPr>
        <w:t>ואם נבילה היא אין בידו לתקן</w:t>
      </w:r>
      <w:r w:rsidRPr="00AF3214">
        <w:rPr>
          <w:rStyle w:val="ac"/>
          <w:rFonts w:ascii="Narkisim" w:hAnsi="Narkisim" w:cs="Narkisim"/>
          <w:rtl/>
        </w:rPr>
        <w:footnoteReference w:id="5371"/>
      </w:r>
      <w:r w:rsidRPr="00AF3214">
        <w:rPr>
          <w:rFonts w:ascii="Narkisim" w:hAnsi="Narkisim" w:cs="Narkisim"/>
        </w:rPr>
        <w:t xml:space="preserve">. </w:t>
      </w: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xml:space="preserve"> (גיטין ב:) תי' דמעיקרא היה בידו לשחוט</w:t>
      </w:r>
      <w:r w:rsidRPr="00AF3214">
        <w:rPr>
          <w:rStyle w:val="ac"/>
          <w:rFonts w:ascii="Narkisim" w:hAnsi="Narkisim" w:cs="Narkisim"/>
          <w:rtl/>
        </w:rPr>
        <w:footnoteReference w:id="5372"/>
      </w:r>
      <w:r w:rsidRPr="00AF3214">
        <w:rPr>
          <w:rFonts w:ascii="Narkisim" w:hAnsi="Narkisim" w:cs="Narkisim"/>
        </w:rPr>
        <w:t xml:space="preserve">, </w:t>
      </w:r>
      <w:r w:rsidRPr="00AF3214">
        <w:rPr>
          <w:rFonts w:ascii="Narkisim" w:hAnsi="Narkisim" w:cs="Narkisim"/>
          <w:rtl/>
        </w:rPr>
        <w:t>ועי"ז נאמן עליו. וה</w:t>
      </w:r>
      <w:r w:rsidRPr="00AF3214">
        <w:rPr>
          <w:rFonts w:ascii="Narkisim" w:hAnsi="Narkisim" w:cs="Narkisim"/>
          <w:b/>
          <w:bCs/>
          <w:rtl/>
        </w:rPr>
        <w:t>רמב"ן</w:t>
      </w:r>
      <w:r w:rsidRPr="00AF3214">
        <w:rPr>
          <w:rFonts w:ascii="Narkisim" w:hAnsi="Narkisim" w:cs="Narkisim"/>
          <w:rtl/>
        </w:rPr>
        <w:t xml:space="preserve"> הוכיח דהוה קו' בעלמא, ואליבא דאמת עד א' נאמן אפי' איתחזק</w:t>
      </w:r>
      <w:r w:rsidRPr="00AF3214">
        <w:rPr>
          <w:rFonts w:ascii="Narkisim" w:hAnsi="Narkisim" w:cs="Narkisim"/>
        </w:rPr>
        <w:t>.</w:t>
      </w:r>
    </w:p>
    <w:p w14:paraId="14CA4C9F" w14:textId="77777777" w:rsidR="006C4368" w:rsidRPr="00AF3214" w:rsidRDefault="006C4368" w:rsidP="006C4368">
      <w:pPr>
        <w:pStyle w:val="aa"/>
        <w:bidi/>
        <w:rPr>
          <w:rFonts w:ascii="Narkisim" w:hAnsi="Narkisim"/>
        </w:rPr>
      </w:pPr>
      <w:r w:rsidRPr="00AF3214">
        <w:rPr>
          <w:rFonts w:ascii="Narkisim" w:hAnsi="Narkisim"/>
          <w:u w:val="single"/>
          <w:rtl/>
        </w:rPr>
        <w:t>אי קדושת דמים משום דבידו לפדותו וכו'</w:t>
      </w:r>
      <w:r w:rsidRPr="00AF3214">
        <w:rPr>
          <w:rFonts w:ascii="Narkisim" w:hAnsi="Narkisim"/>
          <w:rtl/>
        </w:rPr>
        <w:t>. ה</w:t>
      </w:r>
      <w:r w:rsidRPr="00AF3214">
        <w:rPr>
          <w:rFonts w:ascii="Narkisim" w:hAnsi="Narkisim"/>
          <w:b/>
          <w:bCs/>
          <w:rtl/>
        </w:rPr>
        <w:t>ש"ש</w:t>
      </w:r>
      <w:r w:rsidRPr="00AF3214">
        <w:rPr>
          <w:rFonts w:ascii="Narkisim" w:hAnsi="Narkisim"/>
          <w:rtl/>
        </w:rPr>
        <w:t xml:space="preserve"> (ו ד) הביא דלדברי הרא"ש (הנ"ל) 'בידו' לא הוה משום מיגו, דאטו בשופטני עסקינן דשמא אינו רוצה להוציא ממונו. והק' דבגדרי הממון ל"מ נאמנות 'בעלות' דאיסורין</w:t>
      </w:r>
      <w:r w:rsidRPr="00AF3214">
        <w:rPr>
          <w:rStyle w:val="ac"/>
          <w:rFonts w:ascii="Narkisim" w:hAnsi="Narkisim"/>
          <w:rtl/>
        </w:rPr>
        <w:footnoteReference w:id="5373"/>
      </w:r>
      <w:r w:rsidRPr="00AF3214">
        <w:rPr>
          <w:rFonts w:ascii="Narkisim" w:hAnsi="Narkisim"/>
        </w:rPr>
        <w:t xml:space="preserve">. </w:t>
      </w:r>
      <w:r w:rsidRPr="00AF3214">
        <w:rPr>
          <w:rFonts w:ascii="Narkisim" w:hAnsi="Narkisim"/>
          <w:rtl/>
        </w:rPr>
        <w:t>א"כ אף על הקדש לא יהא נאמן, דמה לי ממון הדיוט או מכרו לשמים. והיכי נאמן לאפקועי ממונא דהקדש. וציין ל</w:t>
      </w:r>
      <w:r w:rsidRPr="00AF3214">
        <w:rPr>
          <w:rFonts w:ascii="Narkisim" w:hAnsi="Narkisim"/>
          <w:b/>
          <w:bCs/>
          <w:rtl/>
        </w:rPr>
        <w:t>ר"ן</w:t>
      </w:r>
      <w:r w:rsidRPr="00AF3214">
        <w:rPr>
          <w:rFonts w:ascii="Narkisim" w:hAnsi="Narkisim"/>
          <w:rtl/>
        </w:rPr>
        <w:t xml:space="preserve"> (סנהדרין ל) דנחשב עדות ממון להעיד על ממון שהוא הקדש</w:t>
      </w:r>
      <w:r w:rsidRPr="00AF3214">
        <w:rPr>
          <w:rFonts w:ascii="Narkisim" w:hAnsi="Narkisim"/>
        </w:rPr>
        <w:t>.</w:t>
      </w:r>
    </w:p>
    <w:p w14:paraId="2FEA1C7F" w14:textId="77777777" w:rsidR="006C4368" w:rsidRPr="00AF3214" w:rsidRDefault="006C4368" w:rsidP="006C4368">
      <w:pPr>
        <w:pStyle w:val="a8"/>
        <w:bidi/>
        <w:rPr>
          <w:rFonts w:ascii="Narkisim" w:hAnsi="Narkisim"/>
        </w:rPr>
      </w:pPr>
      <w:r w:rsidRPr="00AF3214">
        <w:rPr>
          <w:rFonts w:ascii="Narkisim" w:hAnsi="Narkisim"/>
          <w:rtl/>
        </w:rPr>
        <w:t>ותי' דכ"ז להכניס מממון הדיוט להקדש, אבל להיפך להעיד מרשות גבוה לרשות הדיוט הוה תורת איסור. ולא איכפת לן בהקדש משום תורת ממון שבו</w:t>
      </w:r>
      <w:r w:rsidRPr="00AF3214">
        <w:rPr>
          <w:rFonts w:ascii="Narkisim" w:hAnsi="Narkisim"/>
        </w:rPr>
        <w:t>.</w:t>
      </w:r>
    </w:p>
    <w:p w14:paraId="4353F879" w14:textId="77777777" w:rsidR="006C4368" w:rsidRPr="00AF3214" w:rsidRDefault="006C4368" w:rsidP="006C4368">
      <w:pPr>
        <w:pStyle w:val="aa"/>
        <w:bidi/>
        <w:rPr>
          <w:rFonts w:ascii="Narkisim" w:hAnsi="Narkisim"/>
        </w:rPr>
      </w:pPr>
      <w:r w:rsidRPr="00AF3214">
        <w:rPr>
          <w:rFonts w:ascii="Narkisim" w:hAnsi="Narkisim"/>
          <w:u w:val="single"/>
          <w:rtl/>
        </w:rPr>
        <w:t>תוד"ה אי קדושת דמים</w:t>
      </w:r>
      <w:r w:rsidRPr="00AF3214">
        <w:rPr>
          <w:rFonts w:ascii="Narkisim" w:hAnsi="Narkisim"/>
          <w:rtl/>
        </w:rPr>
        <w:t>. ואפי' דחבריה וכו' אבל הקדש לא חשיב ברשות בעלים יותר משאר כל אדם</w:t>
      </w:r>
      <w:r w:rsidRPr="00AF3214">
        <w:rPr>
          <w:rStyle w:val="ac"/>
          <w:rFonts w:ascii="Narkisim" w:hAnsi="Narkisim"/>
          <w:rtl/>
        </w:rPr>
        <w:footnoteReference w:id="5374"/>
      </w:r>
      <w:r w:rsidRPr="00AF3214">
        <w:rPr>
          <w:rFonts w:ascii="Narkisim" w:hAnsi="Narkisim"/>
        </w:rPr>
        <w:t xml:space="preserve">. </w:t>
      </w:r>
      <w:r w:rsidRPr="00AF3214">
        <w:rPr>
          <w:rFonts w:ascii="Narkisim" w:hAnsi="Narkisim"/>
          <w:rtl/>
        </w:rPr>
        <w:lastRenderedPageBreak/>
        <w:t xml:space="preserve">ועד"ז כת' </w:t>
      </w:r>
      <w:r w:rsidRPr="00AF3214">
        <w:rPr>
          <w:rFonts w:ascii="Narkisim" w:hAnsi="Narkisim"/>
          <w:b/>
          <w:bCs/>
          <w:rtl/>
        </w:rPr>
        <w:t>תוס'</w:t>
      </w:r>
      <w:r w:rsidRPr="00AF3214">
        <w:rPr>
          <w:rFonts w:ascii="Narkisim" w:hAnsi="Narkisim"/>
          <w:rtl/>
        </w:rPr>
        <w:t xml:space="preserve"> (ב"ק סח: ד"ה הוא) שהקדש יצאה מרשות בעלים, וכמו שהבעלים יכולים לפדותו אף אחרים פודים [בלא דעתו]</w:t>
      </w:r>
      <w:r w:rsidRPr="00AF3214">
        <w:rPr>
          <w:rStyle w:val="ac"/>
          <w:rFonts w:ascii="Narkisim" w:hAnsi="Narkisim"/>
          <w:rtl/>
        </w:rPr>
        <w:footnoteReference w:id="5375"/>
      </w:r>
      <w:r w:rsidRPr="00AF3214">
        <w:rPr>
          <w:rFonts w:ascii="Narkisim" w:hAnsi="Narkisim"/>
        </w:rPr>
        <w:t>.</w:t>
      </w:r>
    </w:p>
    <w:p w14:paraId="0770069D" w14:textId="77777777" w:rsidR="006C4368" w:rsidRPr="00AF3214" w:rsidRDefault="006C4368" w:rsidP="006C4368">
      <w:pPr>
        <w:bidi/>
        <w:rPr>
          <w:rFonts w:ascii="Narkisim" w:hAnsi="Narkisim" w:cs="Narkisim"/>
        </w:rPr>
      </w:pPr>
      <w:r w:rsidRPr="00AF3214">
        <w:rPr>
          <w:rFonts w:ascii="Narkisim" w:hAnsi="Narkisim" w:cs="Narkisim"/>
          <w:u w:val="single"/>
          <w:rtl/>
        </w:rPr>
        <w:t>דבידו לאיתשולי עליה</w:t>
      </w:r>
      <w:r w:rsidRPr="00AF3214">
        <w:rPr>
          <w:rStyle w:val="ac"/>
          <w:rFonts w:ascii="Narkisim" w:hAnsi="Narkisim" w:cs="Narkisim"/>
          <w:rtl/>
        </w:rPr>
        <w:footnoteReference w:id="5376"/>
      </w:r>
      <w:r w:rsidRPr="00AF3214">
        <w:rPr>
          <w:rFonts w:ascii="Narkisim" w:hAnsi="Narkisim" w:cs="Narkisim"/>
        </w:rPr>
        <w:t xml:space="preserve">. </w:t>
      </w:r>
      <w:r w:rsidRPr="00AF3214">
        <w:rPr>
          <w:rFonts w:ascii="Narkisim" w:hAnsi="Narkisim" w:cs="Narkisim"/>
          <w:rtl/>
        </w:rPr>
        <w:t>ה</w:t>
      </w:r>
      <w:r w:rsidRPr="00AF3214">
        <w:rPr>
          <w:rFonts w:ascii="Narkisim" w:hAnsi="Narkisim" w:cs="Narkisim"/>
          <w:b/>
          <w:bCs/>
          <w:rtl/>
        </w:rPr>
        <w:t>ראשונים</w:t>
      </w:r>
      <w:r w:rsidRPr="00AF3214">
        <w:rPr>
          <w:rFonts w:ascii="Narkisim" w:hAnsi="Narkisim" w:cs="Narkisim"/>
          <w:rtl/>
        </w:rPr>
        <w:t xml:space="preserve"> (רשב"א ריטב"א) הק' דבגמ' (קידושין סב:) אי' דגירות לא הוה בידו, דמי יימר דמזדקקו ליה. ותי' דשאני נדרים דסגי להו בג' הדיוטות, ומלתא דשכיחא הוא, וע"ד הא דאי' (שבת מו:)</w:t>
      </w:r>
      <w:r w:rsidRPr="00AF3214">
        <w:rPr>
          <w:rFonts w:ascii="Narkisim" w:hAnsi="Narkisim" w:cs="Narkisim"/>
        </w:rPr>
        <w:t>.</w:t>
      </w:r>
    </w:p>
    <w:p w14:paraId="6FBA618A" w14:textId="77777777" w:rsidR="006C4368" w:rsidRPr="00AF3214" w:rsidRDefault="006C4368" w:rsidP="006C4368">
      <w:pPr>
        <w:pStyle w:val="aa"/>
        <w:bidi/>
        <w:rPr>
          <w:rFonts w:ascii="Narkisim" w:hAnsi="Narkisim"/>
        </w:rPr>
      </w:pPr>
      <w:r w:rsidRPr="00AF3214">
        <w:rPr>
          <w:rFonts w:ascii="Narkisim" w:hAnsi="Narkisim"/>
          <w:u w:val="single"/>
          <w:rtl/>
        </w:rPr>
        <w:t>אלא דאחר, ואמר ידענא ביה דאיתשיל מריה עליה וכו</w:t>
      </w:r>
      <w:r w:rsidRPr="00AF3214">
        <w:rPr>
          <w:rFonts w:ascii="Narkisim" w:hAnsi="Narkisim"/>
          <w:rtl/>
        </w:rPr>
        <w:t>'. והעד מעיד נגד איתחזק איסורא. וה</w:t>
      </w:r>
      <w:r w:rsidRPr="00AF3214">
        <w:rPr>
          <w:rFonts w:ascii="Narkisim" w:hAnsi="Narkisim"/>
          <w:b/>
          <w:bCs/>
          <w:rtl/>
        </w:rPr>
        <w:t>ש"ש</w:t>
      </w:r>
      <w:r w:rsidRPr="00AF3214">
        <w:rPr>
          <w:rFonts w:ascii="Narkisim" w:hAnsi="Narkisim"/>
          <w:rtl/>
        </w:rPr>
        <w:t xml:space="preserve"> (ו ד) הק' דחכם עוקר הנדר מעיקרו ולא היה אסור מעולם, וא"כ לדברי העד לא אתחזק איסורא. ותי' דמ"מ קודם דאתשל עליה היה אסור, ומש"ה אינו נאמן להוציא מחזקתו. ואף דע"י שאלה נעקר למפרע</w:t>
      </w:r>
      <w:r w:rsidRPr="00AF3214">
        <w:rPr>
          <w:rStyle w:val="ac"/>
          <w:rFonts w:ascii="Narkisim" w:hAnsi="Narkisim"/>
          <w:rtl/>
        </w:rPr>
        <w:footnoteReference w:id="5377"/>
      </w:r>
      <w:r w:rsidRPr="00AF3214">
        <w:rPr>
          <w:rFonts w:ascii="Narkisim" w:hAnsi="Narkisim"/>
        </w:rPr>
        <w:t>.</w:t>
      </w:r>
    </w:p>
    <w:p w14:paraId="5C3CE74A" w14:textId="77777777" w:rsidR="006C4368" w:rsidRPr="00AF3214" w:rsidRDefault="006C4368" w:rsidP="006C4368">
      <w:pPr>
        <w:bidi/>
        <w:rPr>
          <w:rFonts w:ascii="Narkisim" w:hAnsi="Narkisim" w:cs="Narkisim"/>
        </w:rPr>
      </w:pPr>
      <w:r w:rsidRPr="00AF3214">
        <w:rPr>
          <w:rFonts w:ascii="Narkisim" w:hAnsi="Narkisim" w:cs="Narkisim"/>
          <w:u w:val="single"/>
          <w:rtl/>
        </w:rPr>
        <w:t>אי קסבר יש מעילה בקונמות</w:t>
      </w:r>
      <w:r w:rsidRPr="00AF3214">
        <w:rPr>
          <w:rStyle w:val="ac"/>
          <w:rFonts w:ascii="Narkisim" w:hAnsi="Narkisim" w:cs="Narkisim"/>
          <w:u w:val="single"/>
          <w:rtl/>
        </w:rPr>
        <w:footnoteReference w:id="5378"/>
      </w:r>
      <w:r w:rsidRPr="00AF3214">
        <w:rPr>
          <w:rFonts w:ascii="Narkisim" w:hAnsi="Narkisim" w:cs="Narkisim"/>
          <w:u w:val="single"/>
        </w:rPr>
        <w:t xml:space="preserve"> </w:t>
      </w:r>
      <w:r w:rsidRPr="00AF3214">
        <w:rPr>
          <w:rFonts w:ascii="Narkisim" w:hAnsi="Narkisim" w:cs="Narkisim"/>
          <w:u w:val="single"/>
          <w:rtl/>
        </w:rPr>
        <w:t>וכו' משום דבידו לפדותו</w:t>
      </w:r>
      <w:r w:rsidRPr="00AF3214">
        <w:rPr>
          <w:rFonts w:ascii="Narkisim" w:hAnsi="Narkisim" w:cs="Narkisim"/>
          <w:rtl/>
        </w:rPr>
        <w:t>. דלמ"ד יש מעילה מהני פדיון אף בקונם</w:t>
      </w:r>
      <w:r w:rsidRPr="00AF3214">
        <w:rPr>
          <w:rStyle w:val="ac"/>
          <w:rFonts w:ascii="Narkisim" w:hAnsi="Narkisim" w:cs="Narkisim"/>
          <w:rtl/>
        </w:rPr>
        <w:footnoteReference w:id="5379"/>
      </w:r>
      <w:r w:rsidRPr="00AF3214">
        <w:rPr>
          <w:rFonts w:ascii="Narkisim" w:hAnsi="Narkisim" w:cs="Narkisim"/>
        </w:rPr>
        <w:t xml:space="preserve"> </w:t>
      </w:r>
      <w:r w:rsidRPr="00AF3214">
        <w:rPr>
          <w:rFonts w:ascii="Narkisim" w:hAnsi="Narkisim" w:cs="Narkisim"/>
          <w:rtl/>
        </w:rPr>
        <w:t>[והגמ' פי' דנחתא בהו קדושת דמים], ו</w:t>
      </w:r>
      <w:r w:rsidRPr="00AF3214">
        <w:rPr>
          <w:rFonts w:ascii="Narkisim" w:hAnsi="Narkisim" w:cs="Narkisim"/>
          <w:b/>
          <w:bCs/>
          <w:rtl/>
        </w:rPr>
        <w:t>תוס</w:t>
      </w:r>
      <w:r w:rsidRPr="00AF3214">
        <w:rPr>
          <w:rFonts w:ascii="Narkisim" w:hAnsi="Narkisim" w:cs="Narkisim"/>
          <w:rtl/>
        </w:rPr>
        <w:t>' כת' דהיינו בקונם כללי [ועד"ז כת' ה</w:t>
      </w:r>
      <w:r w:rsidRPr="00AF3214">
        <w:rPr>
          <w:rFonts w:ascii="Narkisim" w:hAnsi="Narkisim" w:cs="Narkisim"/>
          <w:b/>
          <w:bCs/>
          <w:rtl/>
        </w:rPr>
        <w:t>ר"י מגאש</w:t>
      </w:r>
      <w:r w:rsidRPr="00AF3214">
        <w:rPr>
          <w:rFonts w:ascii="Narkisim" w:hAnsi="Narkisim" w:cs="Narkisim"/>
          <w:rtl/>
        </w:rPr>
        <w:t xml:space="preserve"> שבועות כב.]</w:t>
      </w:r>
      <w:r w:rsidRPr="00AF3214">
        <w:rPr>
          <w:rFonts w:ascii="Narkisim" w:hAnsi="Narkisim" w:cs="Narkisim"/>
        </w:rPr>
        <w:t>.</w:t>
      </w:r>
    </w:p>
    <w:p w14:paraId="2781DAF9" w14:textId="77777777" w:rsidR="006C4368" w:rsidRPr="00AF3214" w:rsidRDefault="006C4368" w:rsidP="006C4368">
      <w:pPr>
        <w:pStyle w:val="a7"/>
        <w:bidi/>
        <w:rPr>
          <w:rFonts w:ascii="Narkisim" w:hAnsi="Narkisim"/>
        </w:rPr>
      </w:pPr>
      <w:r w:rsidRPr="00AF3214">
        <w:rPr>
          <w:rFonts w:ascii="Narkisim" w:hAnsi="Narkisim"/>
          <w:rtl/>
        </w:rPr>
        <w:t xml:space="preserve">אבל </w:t>
      </w:r>
      <w:r w:rsidRPr="00AF3214">
        <w:rPr>
          <w:rFonts w:ascii="Narkisim" w:hAnsi="Narkisim"/>
          <w:b/>
          <w:bCs/>
          <w:rtl/>
        </w:rPr>
        <w:t>רש"י</w:t>
      </w:r>
      <w:r w:rsidRPr="00AF3214">
        <w:rPr>
          <w:rFonts w:ascii="Narkisim" w:hAnsi="Narkisim"/>
          <w:rtl/>
        </w:rPr>
        <w:t xml:space="preserve"> פי' דלמ"ד יש מעילה קונמות הוה קדשי בדק הבית, ולמ"ד אין מעילה הוה נדר בעלמא. [ומשמע דנח' אי איסור קונם הוה הקדש</w:t>
      </w:r>
      <w:r w:rsidRPr="00AF3214">
        <w:rPr>
          <w:rStyle w:val="ac"/>
          <w:rFonts w:ascii="Narkisim" w:hAnsi="Narkisim"/>
          <w:rtl/>
        </w:rPr>
        <w:footnoteReference w:id="5380"/>
      </w:r>
      <w:r w:rsidRPr="00AF3214">
        <w:rPr>
          <w:rFonts w:ascii="Narkisim" w:hAnsi="Narkisim"/>
        </w:rPr>
        <w:t xml:space="preserve">, </w:t>
      </w:r>
      <w:r w:rsidRPr="00AF3214">
        <w:rPr>
          <w:rFonts w:ascii="Narkisim" w:hAnsi="Narkisim"/>
          <w:rtl/>
        </w:rPr>
        <w:t>או איסור נדר]</w:t>
      </w:r>
      <w:r w:rsidRPr="00AF3214">
        <w:rPr>
          <w:rFonts w:ascii="Narkisim" w:hAnsi="Narkisim"/>
        </w:rPr>
        <w:t>.</w:t>
      </w:r>
    </w:p>
    <w:p w14:paraId="3BBA5B2C" w14:textId="77777777" w:rsidR="006C4368" w:rsidRPr="00AF3214" w:rsidRDefault="006C4368" w:rsidP="006C4368">
      <w:pPr>
        <w:pStyle w:val="2"/>
        <w:bidi/>
        <w:rPr>
          <w:rFonts w:ascii="Narkisim" w:hAnsi="Narkisim"/>
        </w:rPr>
      </w:pPr>
      <w:r w:rsidRPr="00AF3214">
        <w:rPr>
          <w:rFonts w:ascii="Narkisim" w:hAnsi="Narkisim"/>
          <w:rtl/>
        </w:rPr>
        <w:t>מתוך חומר שהחמרת בסופה</w:t>
      </w:r>
    </w:p>
    <w:p w14:paraId="77488338" w14:textId="77777777" w:rsidR="006C4368" w:rsidRPr="00AF3214" w:rsidRDefault="006C4368" w:rsidP="006C4368">
      <w:pPr>
        <w:bidi/>
        <w:rPr>
          <w:rFonts w:ascii="Narkisim" w:hAnsi="Narkisim" w:cs="Narkisim"/>
        </w:rPr>
      </w:pPr>
      <w:r w:rsidRPr="00AF3214">
        <w:rPr>
          <w:rFonts w:ascii="Narkisim" w:hAnsi="Narkisim" w:cs="Narkisim"/>
          <w:u w:val="single"/>
          <w:rtl/>
        </w:rPr>
        <w:t>אמר ר' זירא מתוך חומר שהחמרת עליה בסופה הקלת עליה בתחילה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שהיא חוששת, ובדקה שפיר</w:t>
      </w:r>
      <w:r w:rsidRPr="00AF3214">
        <w:rPr>
          <w:rStyle w:val="ac"/>
          <w:rFonts w:ascii="Narkisim" w:hAnsi="Narkisim" w:cs="Narkisim"/>
          <w:rtl/>
        </w:rPr>
        <w:footnoteReference w:id="5381"/>
      </w:r>
      <w:r w:rsidRPr="00AF3214">
        <w:rPr>
          <w:rFonts w:ascii="Narkisim" w:hAnsi="Narkisim" w:cs="Narkisim"/>
        </w:rPr>
        <w:t xml:space="preserve">. </w:t>
      </w:r>
      <w:r w:rsidRPr="00AF3214">
        <w:rPr>
          <w:rFonts w:ascii="Narkisim" w:hAnsi="Narkisim" w:cs="Narkisim"/>
          <w:rtl/>
        </w:rPr>
        <w:t>וכדאי' בגמ' (לקמן צג: וכ"מ) דדייקא ומינסבא</w:t>
      </w:r>
      <w:r w:rsidRPr="00AF3214">
        <w:rPr>
          <w:rFonts w:ascii="Narkisim" w:hAnsi="Narkisim" w:cs="Narkisim"/>
        </w:rPr>
        <w:t>.</w:t>
      </w:r>
    </w:p>
    <w:p w14:paraId="33DEEC30" w14:textId="77777777" w:rsidR="006C4368" w:rsidRPr="00AF3214" w:rsidRDefault="006C4368" w:rsidP="006C4368">
      <w:pPr>
        <w:pStyle w:val="a7"/>
        <w:bidi/>
        <w:rPr>
          <w:rFonts w:ascii="Narkisim" w:hAnsi="Narkisim"/>
        </w:rPr>
      </w:pPr>
      <w:r w:rsidRPr="00AF3214">
        <w:rPr>
          <w:rFonts w:ascii="Narkisim" w:hAnsi="Narkisim"/>
          <w:rtl/>
        </w:rPr>
        <w:t>ולא נתפרש בגמ' האיך מהני סברא זו, והאם מהני מדאורייתא או משום תקנה דרבנן [וכסיום הגמ' דמשום עיגונא הקילו]. וה</w:t>
      </w:r>
      <w:r w:rsidRPr="00AF3214">
        <w:rPr>
          <w:rFonts w:ascii="Narkisim" w:hAnsi="Narkisim"/>
          <w:b/>
          <w:bCs/>
          <w:rtl/>
        </w:rPr>
        <w:t>ראשונים</w:t>
      </w:r>
      <w:r w:rsidRPr="00AF3214">
        <w:rPr>
          <w:rFonts w:ascii="Narkisim" w:hAnsi="Narkisim"/>
          <w:rtl/>
        </w:rPr>
        <w:t xml:space="preserve"> הק' דאי הוה תקנ"ח, האיך יש כח ביד חכמים לעקור דבר מן התורה בקום ועשה [ע' בסוגיא לקמן פט:- צ:]</w:t>
      </w:r>
      <w:r w:rsidRPr="00AF3214">
        <w:rPr>
          <w:rStyle w:val="ac"/>
          <w:rFonts w:ascii="Narkisim" w:hAnsi="Narkisim"/>
          <w:rtl/>
        </w:rPr>
        <w:footnoteReference w:id="5382"/>
      </w:r>
      <w:r w:rsidRPr="00AF3214">
        <w:rPr>
          <w:rFonts w:ascii="Narkisim" w:hAnsi="Narkisim"/>
        </w:rPr>
        <w:t>.</w:t>
      </w:r>
    </w:p>
    <w:p w14:paraId="0A17B632" w14:textId="77777777" w:rsidR="006C4368" w:rsidRPr="00AF3214" w:rsidRDefault="006C4368" w:rsidP="006C4368">
      <w:pPr>
        <w:pStyle w:val="a7"/>
        <w:bidi/>
        <w:rPr>
          <w:rFonts w:ascii="Narkisim" w:hAnsi="Narkisim"/>
        </w:rPr>
      </w:pPr>
      <w:r w:rsidRPr="00AF3214">
        <w:rPr>
          <w:rFonts w:ascii="Narkisim" w:hAnsi="Narkisim"/>
          <w:rtl/>
        </w:rPr>
        <w:t xml:space="preserve">ודעת </w:t>
      </w:r>
      <w:r w:rsidRPr="00AF3214">
        <w:rPr>
          <w:rFonts w:ascii="Narkisim" w:hAnsi="Narkisim"/>
          <w:b/>
          <w:bCs/>
          <w:rtl/>
        </w:rPr>
        <w:t>ר"י</w:t>
      </w:r>
      <w:r w:rsidRPr="00AF3214">
        <w:rPr>
          <w:rFonts w:ascii="Narkisim" w:hAnsi="Narkisim"/>
          <w:rtl/>
        </w:rPr>
        <w:t xml:space="preserve"> (בתוס') דהוה תקנת חכמים, ותוס' פי' דדומה הדבר הגון, ויש קצת טעם וסמך ומש"ה לא חשיב עקירת דבר מהתורה. (ע' בסמוך). ויש </w:t>
      </w:r>
      <w:r w:rsidRPr="00AF3214">
        <w:rPr>
          <w:rFonts w:ascii="Narkisim" w:hAnsi="Narkisim"/>
          <w:b/>
          <w:bCs/>
          <w:rtl/>
        </w:rPr>
        <w:t>ראשונים</w:t>
      </w:r>
      <w:r w:rsidRPr="00AF3214">
        <w:rPr>
          <w:rFonts w:ascii="Narkisim" w:hAnsi="Narkisim"/>
          <w:rtl/>
        </w:rPr>
        <w:t xml:space="preserve"> דמהני משום דאפקעינהו חכמים לקידושין. (וע' בסמוך)</w:t>
      </w:r>
      <w:r w:rsidRPr="00AF3214">
        <w:rPr>
          <w:rFonts w:ascii="Narkisim" w:hAnsi="Narkisim"/>
        </w:rPr>
        <w:t>.</w:t>
      </w:r>
    </w:p>
    <w:p w14:paraId="4AB55DF3"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הביאו צד דהוה אומדנא, דאנן סהדי דדייקא ומינסבא. ומהני סברא זו מדאורייתא. וה</w:t>
      </w:r>
      <w:r w:rsidRPr="00AF3214">
        <w:rPr>
          <w:rFonts w:ascii="Narkisim" w:hAnsi="Narkisim"/>
          <w:b/>
          <w:bCs/>
          <w:rtl/>
        </w:rPr>
        <w:t>ריטב"א</w:t>
      </w:r>
      <w:r w:rsidRPr="00AF3214">
        <w:rPr>
          <w:rFonts w:ascii="Narkisim" w:hAnsi="Narkisim"/>
          <w:rtl/>
        </w:rPr>
        <w:t xml:space="preserve"> (בשם הרא"ה) ביאר דקים להו לרבנן דמילתא דעבידא לגלויי ושהחמרת עליה בסופה כל כך [ודייקא ומינסבא], א"כ ודאי קושטא קא מסהיד. והוה אנן סהדי, ופרסום כזה נחשב בכ"מ כעדות גמורה, ואפי' מדאורייתא</w:t>
      </w:r>
      <w:r w:rsidRPr="00AF3214">
        <w:rPr>
          <w:rStyle w:val="ac"/>
          <w:rFonts w:ascii="Narkisim" w:hAnsi="Narkisim"/>
          <w:rtl/>
        </w:rPr>
        <w:footnoteReference w:id="5383"/>
      </w:r>
      <w:r w:rsidRPr="00AF3214">
        <w:rPr>
          <w:rFonts w:ascii="Narkisim" w:hAnsi="Narkisim"/>
        </w:rPr>
        <w:t xml:space="preserve">. </w:t>
      </w:r>
      <w:r w:rsidRPr="00AF3214">
        <w:rPr>
          <w:rFonts w:ascii="Narkisim" w:hAnsi="Narkisim"/>
          <w:szCs w:val="20"/>
          <w:rtl/>
        </w:rPr>
        <w:t xml:space="preserve">וביאר דהכתוב מסרו לחכמים לדעת איזהו דבר </w:t>
      </w:r>
      <w:r w:rsidRPr="00AF3214">
        <w:rPr>
          <w:rFonts w:ascii="Narkisim" w:hAnsi="Narkisim"/>
          <w:szCs w:val="20"/>
          <w:rtl/>
        </w:rPr>
        <w:lastRenderedPageBreak/>
        <w:t>מפורסם וניכר דברי אמת שיהא חשוב כעדות</w:t>
      </w:r>
      <w:r w:rsidRPr="00AF3214">
        <w:rPr>
          <w:rFonts w:ascii="Narkisim" w:hAnsi="Narkisim"/>
        </w:rPr>
        <w:t>.</w:t>
      </w:r>
    </w:p>
    <w:p w14:paraId="2AE21F8D"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ובגמ' (לקמן צג: ועד"ז קטו. וקטז:) דנו אי טעמא דעד א' משום דמילתא דעבידא לאיגלויי לא משקר, או משום דדייקא ומינסבא. ו</w:t>
      </w:r>
      <w:r w:rsidRPr="00AF3214">
        <w:rPr>
          <w:rFonts w:ascii="Narkisim" w:hAnsi="Narkisim" w:cs="Narkisim"/>
          <w:b/>
          <w:bCs/>
          <w:rtl/>
        </w:rPr>
        <w:t>תוס</w:t>
      </w:r>
      <w:r w:rsidRPr="00AF3214">
        <w:rPr>
          <w:rFonts w:ascii="Narkisim" w:hAnsi="Narkisim" w:cs="Narkisim"/>
          <w:rtl/>
        </w:rPr>
        <w:t>' (צג:) ביארו דודאי הטעם משום דייקא ומינסבא [וכדאי' בסוגיין], אלא דספק הגמ' האם עיקר הטעם משום דדייקא ומינסבא</w:t>
      </w:r>
      <w:r w:rsidRPr="00AF3214">
        <w:rPr>
          <w:rStyle w:val="ac"/>
          <w:rFonts w:ascii="Narkisim" w:hAnsi="Narkisim" w:cs="Narkisim"/>
          <w:rtl/>
        </w:rPr>
        <w:footnoteReference w:id="5384"/>
      </w:r>
      <w:r w:rsidRPr="00AF3214">
        <w:rPr>
          <w:rFonts w:ascii="Narkisim" w:hAnsi="Narkisim" w:cs="Narkisim"/>
        </w:rPr>
        <w:t xml:space="preserve"> </w:t>
      </w:r>
      <w:r w:rsidRPr="00AF3214">
        <w:rPr>
          <w:rFonts w:ascii="Narkisim" w:hAnsi="Narkisim" w:cs="Narkisim"/>
          <w:rtl/>
        </w:rPr>
        <w:t>[וא"כ בעינן דיוקא רבה], או דעיקר הטעם דסמכו אדיוקא דידה משום דעבידא לאיגלויי. וכיון דעיקר הטעם דמהני עדות העד, מש"ה יש לסמוך אף במקום שיש דיוקא זוטא [עי"ש]</w:t>
      </w:r>
      <w:r w:rsidRPr="00AF3214">
        <w:rPr>
          <w:rFonts w:ascii="Narkisim" w:hAnsi="Narkisim" w:cs="Narkisim"/>
        </w:rPr>
        <w:t>.</w:t>
      </w:r>
    </w:p>
    <w:p w14:paraId="3FE129C2"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(גיטין ב:) הביא</w:t>
      </w:r>
      <w:r w:rsidRPr="00AF3214">
        <w:rPr>
          <w:rStyle w:val="ac"/>
          <w:rFonts w:ascii="Narkisim" w:hAnsi="Narkisim" w:cs="Narkisim"/>
          <w:rtl/>
        </w:rPr>
        <w:footnoteReference w:id="5385"/>
      </w:r>
      <w:r w:rsidRPr="00AF3214">
        <w:rPr>
          <w:rFonts w:ascii="Narkisim" w:hAnsi="Narkisim" w:cs="Narkisim"/>
        </w:rPr>
        <w:t xml:space="preserve"> </w:t>
      </w:r>
      <w:r w:rsidRPr="00AF3214">
        <w:rPr>
          <w:rFonts w:ascii="Narkisim" w:hAnsi="Narkisim" w:cs="Narkisim"/>
          <w:rtl/>
        </w:rPr>
        <w:t>בשם ה</w:t>
      </w:r>
      <w:r w:rsidRPr="00AF3214">
        <w:rPr>
          <w:rFonts w:ascii="Narkisim" w:hAnsi="Narkisim" w:cs="Narkisim"/>
          <w:b/>
          <w:bCs/>
          <w:rtl/>
        </w:rPr>
        <w:t>רמב"ן</w:t>
      </w:r>
      <w:r w:rsidRPr="00AF3214">
        <w:rPr>
          <w:rFonts w:ascii="Narkisim" w:hAnsi="Narkisim" w:cs="Narkisim"/>
          <w:rtl/>
        </w:rPr>
        <w:t xml:space="preserve"> דבסוגיין הוה גילוי מילתא בעלמא, שאנו צריכין לדעת אם מת בעלה, וכל שנראה שהעד אינו משקר נאמן</w:t>
      </w:r>
      <w:r w:rsidRPr="00AF3214">
        <w:rPr>
          <w:rStyle w:val="ac"/>
          <w:rFonts w:ascii="Narkisim" w:hAnsi="Narkisim" w:cs="Narkisim"/>
          <w:rtl/>
        </w:rPr>
        <w:footnoteReference w:id="5386"/>
      </w:r>
      <w:r w:rsidRPr="00AF3214">
        <w:rPr>
          <w:rFonts w:ascii="Narkisim" w:hAnsi="Narkisim" w:cs="Narkisim"/>
        </w:rPr>
        <w:t xml:space="preserve">. </w:t>
      </w:r>
      <w:r w:rsidRPr="00AF3214">
        <w:rPr>
          <w:rFonts w:ascii="Narkisim" w:hAnsi="Narkisim" w:cs="Narkisim"/>
          <w:rtl/>
        </w:rPr>
        <w:t>וכת' דאף דאי' (הכא) טעם משום חומר שהחמרת עליה בסופה, עיקר הטעם הוה מטעם גילוי מילתא, אבל מפני רינון הבריות לא היינו מתירין, אלמלא הטעם דמשום חומר שהחמרת עליה בסופה</w:t>
      </w:r>
      <w:r w:rsidRPr="00AF3214">
        <w:rPr>
          <w:rFonts w:ascii="Narkisim" w:hAnsi="Narkisim" w:cs="Narkisim"/>
        </w:rPr>
        <w:t>.</w:t>
      </w:r>
    </w:p>
    <w:p w14:paraId="3C0BC088" w14:textId="77777777" w:rsidR="006C4368" w:rsidRPr="00AF3214" w:rsidRDefault="006C4368" w:rsidP="006C4368">
      <w:pPr>
        <w:pStyle w:val="a7"/>
        <w:bidi/>
        <w:rPr>
          <w:rFonts w:ascii="Narkisim" w:hAnsi="Narkisim"/>
        </w:rPr>
      </w:pPr>
      <w:r w:rsidRPr="00AF3214">
        <w:rPr>
          <w:rFonts w:ascii="Narkisim" w:hAnsi="Narkisim"/>
          <w:rtl/>
        </w:rPr>
        <w:t>ותדע לך דאי מן הדין לא היה ראוי להאמינו, היאך אפשר שנאמין אותו משום טעם דחומר שהחמרת בסופה</w:t>
      </w:r>
      <w:r w:rsidRPr="00AF3214">
        <w:rPr>
          <w:rFonts w:ascii="Narkisim" w:hAnsi="Narkisim"/>
        </w:rPr>
        <w:t>.</w:t>
      </w:r>
    </w:p>
    <w:p w14:paraId="29E5FF11"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נוב"י</w:t>
      </w:r>
      <w:r w:rsidRPr="00AF3214">
        <w:rPr>
          <w:rFonts w:ascii="Narkisim" w:hAnsi="Narkisim" w:cs="Narkisim"/>
          <w:rtl/>
        </w:rPr>
        <w:t xml:space="preserve"> (ק' פה ד"ה ובזה נר') ועוד </w:t>
      </w:r>
      <w:r w:rsidRPr="00AF3214">
        <w:rPr>
          <w:rFonts w:ascii="Narkisim" w:hAnsi="Narkisim" w:cs="Narkisim"/>
          <w:b/>
          <w:bCs/>
          <w:rtl/>
        </w:rPr>
        <w:t>אחרונים</w:t>
      </w:r>
      <w:r w:rsidRPr="00AF3214">
        <w:rPr>
          <w:rStyle w:val="ac"/>
          <w:rFonts w:ascii="Narkisim" w:hAnsi="Narkisim" w:cs="Narkisim"/>
          <w:rtl/>
        </w:rPr>
        <w:footnoteReference w:id="5387"/>
      </w:r>
      <w:r w:rsidRPr="00AF3214">
        <w:rPr>
          <w:rFonts w:ascii="Narkisim" w:hAnsi="Narkisim" w:cs="Narkisim"/>
        </w:rPr>
        <w:t xml:space="preserve"> </w:t>
      </w:r>
      <w:r w:rsidRPr="00AF3214">
        <w:rPr>
          <w:rFonts w:ascii="Narkisim" w:hAnsi="Narkisim" w:cs="Narkisim"/>
          <w:rtl/>
        </w:rPr>
        <w:t xml:space="preserve">כת' דכיון דדייקא ומינסבא מהני עד א' מדאורייתא, וע"פ מש"כ </w:t>
      </w:r>
      <w:r w:rsidRPr="00AF3214">
        <w:rPr>
          <w:rFonts w:ascii="Narkisim" w:hAnsi="Narkisim" w:cs="Narkisim"/>
          <w:b/>
          <w:bCs/>
          <w:rtl/>
        </w:rPr>
        <w:t>תוס</w:t>
      </w:r>
      <w:r w:rsidRPr="00AF3214">
        <w:rPr>
          <w:rFonts w:ascii="Narkisim" w:hAnsi="Narkisim" w:cs="Narkisim"/>
          <w:rtl/>
        </w:rPr>
        <w:t>' (לקמן בע"ב) דחזקה דדייקא ומינסבא מרעי לחזקת אשת איש</w:t>
      </w:r>
      <w:r w:rsidRPr="00AF3214">
        <w:rPr>
          <w:rStyle w:val="ac"/>
          <w:rFonts w:ascii="Narkisim" w:hAnsi="Narkisim" w:cs="Narkisim"/>
          <w:rtl/>
        </w:rPr>
        <w:footnoteReference w:id="5388"/>
      </w:r>
      <w:r w:rsidRPr="00AF3214">
        <w:rPr>
          <w:rFonts w:ascii="Narkisim" w:hAnsi="Narkisim" w:cs="Narkisim"/>
        </w:rPr>
        <w:t xml:space="preserve">. </w:t>
      </w:r>
      <w:r w:rsidRPr="00AF3214">
        <w:rPr>
          <w:rFonts w:ascii="Narkisim" w:hAnsi="Narkisim" w:cs="Narkisim"/>
          <w:rtl/>
        </w:rPr>
        <w:t>ועד א' נאמן במקום דלא איתחזק איסורא, אף בדבר שבערוה [לדעת חלק מהראשונים, ע' בסוגיה לעיל</w:t>
      </w:r>
      <w:r w:rsidRPr="00AF3214">
        <w:rPr>
          <w:rStyle w:val="ac"/>
          <w:rFonts w:ascii="Narkisim" w:hAnsi="Narkisim" w:cs="Narkisim"/>
          <w:rtl/>
        </w:rPr>
        <w:footnoteReference w:id="5389"/>
      </w:r>
      <w:r w:rsidRPr="00AF3214">
        <w:rPr>
          <w:rFonts w:ascii="Narkisim" w:hAnsi="Narkisim" w:cs="Narkisim"/>
          <w:rtl/>
        </w:rPr>
        <w:t>]</w:t>
      </w:r>
      <w:r w:rsidRPr="00AF3214">
        <w:rPr>
          <w:rFonts w:ascii="Narkisim" w:hAnsi="Narkisim" w:cs="Narkisim"/>
        </w:rPr>
        <w:t>.</w:t>
      </w:r>
    </w:p>
    <w:p w14:paraId="77770AF6" w14:textId="77777777" w:rsidR="006C4368" w:rsidRPr="00AF3214" w:rsidRDefault="006C4368" w:rsidP="006C4368">
      <w:pPr>
        <w:pStyle w:val="a8"/>
        <w:bidi/>
        <w:rPr>
          <w:rFonts w:ascii="Narkisim" w:hAnsi="Narkisim"/>
        </w:rPr>
      </w:pPr>
      <w:r w:rsidRPr="00AF3214">
        <w:rPr>
          <w:rFonts w:ascii="Narkisim" w:hAnsi="Narkisim"/>
          <w:rtl/>
        </w:rPr>
        <w:t>ועוד יש שפי' דדבר שהוחזק וידוע לכל ל"צ עדות מדאורייתא (וכדאי' קידושין פ. דסוקלים על החזקה דהוחזקו קרובים), וע"י סברת מילתא דעבידא לאיגלויי וכן דייקא ומינסבא הוחזק הדבר כלפי כל העולם</w:t>
      </w:r>
      <w:r w:rsidRPr="00AF3214">
        <w:rPr>
          <w:rStyle w:val="ac"/>
          <w:rFonts w:ascii="Narkisim" w:hAnsi="Narkisim"/>
          <w:rtl/>
        </w:rPr>
        <w:footnoteReference w:id="5390"/>
      </w:r>
      <w:r w:rsidRPr="00AF3214">
        <w:rPr>
          <w:rFonts w:ascii="Narkisim" w:hAnsi="Narkisim"/>
        </w:rPr>
        <w:t>.</w:t>
      </w:r>
    </w:p>
    <w:p w14:paraId="2CEC6CC4"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חת"ס</w:t>
      </w:r>
      <w:r w:rsidRPr="00AF3214">
        <w:rPr>
          <w:rFonts w:ascii="Narkisim" w:hAnsi="Narkisim"/>
          <w:rtl/>
        </w:rPr>
        <w:t xml:space="preserve"> (יו"ד ב צז ד"ה ולתוספת) כת' דכל גדרי עדות הוה גזיה"כ, ואפי' אי קמי שמיא גליא שהדבר אמת א"א להתירה בלא עדים כשרים</w:t>
      </w:r>
      <w:r w:rsidRPr="00AF3214">
        <w:rPr>
          <w:rStyle w:val="ac"/>
          <w:rFonts w:ascii="Narkisim" w:hAnsi="Narkisim"/>
          <w:rtl/>
        </w:rPr>
        <w:footnoteReference w:id="5391"/>
      </w:r>
      <w:r w:rsidRPr="00AF3214">
        <w:rPr>
          <w:rFonts w:ascii="Narkisim" w:hAnsi="Narkisim"/>
        </w:rPr>
        <w:t xml:space="preserve">. </w:t>
      </w:r>
      <w:r w:rsidRPr="00AF3214">
        <w:rPr>
          <w:rFonts w:ascii="Narkisim" w:hAnsi="Narkisim"/>
          <w:rtl/>
        </w:rPr>
        <w:t>והחת"ס כת' דהחמירו הרבה בדבר שבערוה</w:t>
      </w:r>
      <w:r w:rsidRPr="00AF3214">
        <w:rPr>
          <w:rStyle w:val="ac"/>
          <w:rFonts w:ascii="Narkisim" w:hAnsi="Narkisim"/>
          <w:rtl/>
        </w:rPr>
        <w:footnoteReference w:id="5392"/>
      </w:r>
      <w:r w:rsidRPr="00AF3214">
        <w:rPr>
          <w:rFonts w:ascii="Narkisim" w:hAnsi="Narkisim"/>
        </w:rPr>
        <w:t xml:space="preserve">, </w:t>
      </w:r>
      <w:r w:rsidRPr="00AF3214">
        <w:rPr>
          <w:rFonts w:ascii="Narkisim" w:hAnsi="Narkisim"/>
          <w:rtl/>
        </w:rPr>
        <w:t>אבל לאחר שנתברר לנו [ע"פ אומדנא, בלי ספק</w:t>
      </w:r>
      <w:r w:rsidRPr="00AF3214">
        <w:rPr>
          <w:rStyle w:val="ac"/>
          <w:rFonts w:ascii="Narkisim" w:hAnsi="Narkisim"/>
          <w:rtl/>
        </w:rPr>
        <w:footnoteReference w:id="5393"/>
      </w:r>
      <w:r w:rsidRPr="00AF3214">
        <w:rPr>
          <w:rFonts w:ascii="Narkisim" w:hAnsi="Narkisim"/>
          <w:rtl/>
        </w:rPr>
        <w:t>] שמת הבעל, א"כ ליכא משום חומרת ערוה. א"כ נשאר רק דין דבעינן עדות, משום 'לא יקום עד א' באיש'. ואיסור זה אינינו חמור כל כך, והקילו משום עגונה</w:t>
      </w:r>
      <w:r w:rsidRPr="00AF3214">
        <w:rPr>
          <w:rFonts w:ascii="Narkisim" w:hAnsi="Narkisim"/>
        </w:rPr>
        <w:t>.</w:t>
      </w:r>
    </w:p>
    <w:p w14:paraId="0515562D" w14:textId="77777777" w:rsidR="006C4368" w:rsidRPr="00AF3214" w:rsidRDefault="006C4368" w:rsidP="006C4368">
      <w:pPr>
        <w:bidi/>
        <w:rPr>
          <w:rFonts w:ascii="Narkisim" w:hAnsi="Narkisim" w:cs="Narkisim"/>
        </w:rPr>
      </w:pPr>
      <w:r w:rsidRPr="00AF3214">
        <w:rPr>
          <w:rFonts w:ascii="Narkisim" w:hAnsi="Narkisim" w:cs="Narkisim"/>
          <w:i/>
          <w:iCs/>
          <w:szCs w:val="20"/>
          <w:rtl/>
        </w:rPr>
        <w:t>דעת הרמב"ם</w:t>
      </w:r>
      <w:r w:rsidRPr="00AF3214">
        <w:rPr>
          <w:rFonts w:ascii="Narkisim" w:hAnsi="Narkisim" w:cs="Narkisim"/>
          <w:rtl/>
        </w:rPr>
        <w:t xml:space="preserve"> - וה</w:t>
      </w:r>
      <w:r w:rsidRPr="00AF3214">
        <w:rPr>
          <w:rFonts w:ascii="Narkisim" w:hAnsi="Narkisim" w:cs="Narkisim"/>
          <w:b/>
          <w:bCs/>
          <w:rtl/>
        </w:rPr>
        <w:t>רמב"ם</w:t>
      </w:r>
      <w:r w:rsidRPr="00AF3214">
        <w:rPr>
          <w:rFonts w:ascii="Narkisim" w:hAnsi="Narkisim" w:cs="Narkisim"/>
          <w:rtl/>
        </w:rPr>
        <w:t xml:space="preserve"> (סו"ה גירושין יג כט) ביאר</w:t>
      </w:r>
      <w:r w:rsidRPr="00AF3214">
        <w:rPr>
          <w:rStyle w:val="ac"/>
          <w:rFonts w:ascii="Narkisim" w:hAnsi="Narkisim" w:cs="Narkisim"/>
          <w:rtl/>
        </w:rPr>
        <w:footnoteReference w:id="5394"/>
      </w:r>
      <w:r w:rsidRPr="00AF3214">
        <w:rPr>
          <w:rFonts w:ascii="Narkisim" w:hAnsi="Narkisim" w:cs="Narkisim"/>
        </w:rPr>
        <w:t xml:space="preserve"> </w:t>
      </w:r>
      <w:r w:rsidRPr="00AF3214">
        <w:rPr>
          <w:rFonts w:ascii="Narkisim" w:hAnsi="Narkisim" w:cs="Narkisim"/>
          <w:rtl/>
        </w:rPr>
        <w:t>שלא הקפידה תורה על עדים בדבר שאפשר לעמוד על בריו שלא מפי העד הזה, ואין העד יכול להשמט אם אין הדבר אמת, כגון זה שהעיד שמת פלוני. שדבר רחוק הוא שיעיד בו העד בשקר</w:t>
      </w:r>
      <w:r w:rsidRPr="00AF3214">
        <w:rPr>
          <w:rStyle w:val="ac"/>
          <w:rFonts w:ascii="Narkisim" w:hAnsi="Narkisim" w:cs="Narkisim"/>
          <w:rtl/>
        </w:rPr>
        <w:footnoteReference w:id="5395"/>
      </w:r>
      <w:r w:rsidRPr="00AF3214">
        <w:rPr>
          <w:rFonts w:ascii="Narkisim" w:hAnsi="Narkisim" w:cs="Narkisim"/>
        </w:rPr>
        <w:t xml:space="preserve">. </w:t>
      </w:r>
      <w:r w:rsidRPr="00AF3214">
        <w:rPr>
          <w:rFonts w:ascii="Narkisim" w:hAnsi="Narkisim" w:cs="Narkisim"/>
          <w:rtl/>
        </w:rPr>
        <w:t xml:space="preserve">[מילתא דעבידא </w:t>
      </w:r>
      <w:r w:rsidRPr="00AF3214">
        <w:rPr>
          <w:rFonts w:ascii="Narkisim" w:hAnsi="Narkisim" w:cs="Narkisim"/>
          <w:rtl/>
        </w:rPr>
        <w:lastRenderedPageBreak/>
        <w:t>לאיגלויי</w:t>
      </w:r>
      <w:r w:rsidRPr="00AF3214">
        <w:rPr>
          <w:rStyle w:val="ac"/>
          <w:rFonts w:ascii="Narkisim" w:hAnsi="Narkisim" w:cs="Narkisim"/>
          <w:rtl/>
        </w:rPr>
        <w:footnoteReference w:id="5396"/>
      </w:r>
      <w:r w:rsidRPr="00AF3214">
        <w:rPr>
          <w:rFonts w:ascii="Narkisim" w:hAnsi="Narkisim" w:cs="Narkisim"/>
          <w:rtl/>
        </w:rPr>
        <w:t>]. לפיכך הקלו חכמים בדבר זה</w:t>
      </w:r>
      <w:r w:rsidRPr="00AF3214">
        <w:rPr>
          <w:rStyle w:val="ac"/>
          <w:rFonts w:ascii="Narkisim" w:hAnsi="Narkisim" w:cs="Narkisim"/>
          <w:rtl/>
        </w:rPr>
        <w:footnoteReference w:id="5397"/>
      </w:r>
      <w:r w:rsidRPr="00AF3214">
        <w:rPr>
          <w:rFonts w:ascii="Narkisim" w:hAnsi="Narkisim" w:cs="Narkisim"/>
        </w:rPr>
        <w:t xml:space="preserve"> </w:t>
      </w:r>
      <w:r w:rsidRPr="00AF3214">
        <w:rPr>
          <w:rFonts w:ascii="Narkisim" w:hAnsi="Narkisim" w:cs="Narkisim"/>
          <w:rtl/>
        </w:rPr>
        <w:t xml:space="preserve">וכו' כדי שלא ישארו בנות ישראל עגונות. </w:t>
      </w:r>
      <w:r w:rsidRPr="00AF3214">
        <w:rPr>
          <w:rFonts w:ascii="Narkisim" w:hAnsi="Narkisim" w:cs="Narkisim"/>
          <w:szCs w:val="20"/>
          <w:rtl/>
        </w:rPr>
        <w:t>וה</w:t>
      </w:r>
      <w:r w:rsidRPr="00AF3214">
        <w:rPr>
          <w:rFonts w:ascii="Narkisim" w:hAnsi="Narkisim" w:cs="Narkisim"/>
          <w:b/>
          <w:bCs/>
          <w:szCs w:val="20"/>
          <w:rtl/>
        </w:rPr>
        <w:t>ראב"ד</w:t>
      </w:r>
      <w:r w:rsidRPr="00AF3214">
        <w:rPr>
          <w:rFonts w:ascii="Narkisim" w:hAnsi="Narkisim" w:cs="Narkisim"/>
          <w:szCs w:val="20"/>
          <w:rtl/>
        </w:rPr>
        <w:t xml:space="preserve"> השיג א"נ דהיא דייקא ומינסבא מפני חומר שהחמירו עליה בסופה. [דתלי בספק הגמ' (לקמן הנ"ל) אי הוה משום דייקא ומינסבא. ובפשוטו הרמב"ם השמיט סברת דייקא ומינסבא</w:t>
      </w:r>
      <w:r w:rsidRPr="00AF3214">
        <w:rPr>
          <w:rStyle w:val="ac"/>
          <w:rFonts w:ascii="Narkisim" w:hAnsi="Narkisim" w:cs="Narkisim"/>
          <w:szCs w:val="20"/>
          <w:rtl/>
        </w:rPr>
        <w:footnoteReference w:id="5398"/>
      </w:r>
      <w:r w:rsidRPr="00AF3214">
        <w:rPr>
          <w:rFonts w:ascii="Narkisim" w:hAnsi="Narkisim" w:cs="Narkisim"/>
          <w:szCs w:val="20"/>
        </w:rPr>
        <w:t xml:space="preserve">. </w:t>
      </w:r>
      <w:r w:rsidRPr="00AF3214">
        <w:rPr>
          <w:rFonts w:ascii="Narkisim" w:hAnsi="Narkisim" w:cs="Narkisim"/>
          <w:szCs w:val="20"/>
          <w:rtl/>
        </w:rPr>
        <w:t>אבל בס' ה</w:t>
      </w:r>
      <w:r w:rsidRPr="00AF3214">
        <w:rPr>
          <w:rFonts w:ascii="Narkisim" w:hAnsi="Narkisim" w:cs="Narkisim"/>
          <w:b/>
          <w:bCs/>
          <w:szCs w:val="20"/>
          <w:rtl/>
        </w:rPr>
        <w:t>קובץ</w:t>
      </w:r>
      <w:r w:rsidRPr="00AF3214">
        <w:rPr>
          <w:rFonts w:ascii="Narkisim" w:hAnsi="Narkisim" w:cs="Narkisim"/>
          <w:szCs w:val="20"/>
          <w:rtl/>
        </w:rPr>
        <w:t xml:space="preserve"> (לרמב"ם) כת' דנחשב עבידא לאיגלויי משום דדייקא ומינסבא, דמתוך חומרא שהחמרת בסופה האשה מחזרת אחר ידיעה ברורה, ועי"ז מתברר הדבר</w:t>
      </w:r>
      <w:r w:rsidRPr="00AF3214">
        <w:rPr>
          <w:rStyle w:val="ac"/>
          <w:rFonts w:ascii="Narkisim" w:hAnsi="Narkisim" w:cs="Narkisim"/>
          <w:szCs w:val="20"/>
          <w:rtl/>
        </w:rPr>
        <w:footnoteReference w:id="5399"/>
      </w:r>
      <w:r w:rsidRPr="00AF3214">
        <w:rPr>
          <w:rFonts w:ascii="Narkisim" w:hAnsi="Narkisim" w:cs="Narkisim"/>
          <w:szCs w:val="20"/>
          <w:rtl/>
        </w:rPr>
        <w:t>]</w:t>
      </w:r>
      <w:r w:rsidRPr="00AF3214">
        <w:rPr>
          <w:rFonts w:ascii="Narkisim" w:hAnsi="Narkisim" w:cs="Narkisim"/>
        </w:rPr>
        <w:t>.</w:t>
      </w:r>
    </w:p>
    <w:p w14:paraId="1E97ADF4" w14:textId="77777777" w:rsidR="006C4368" w:rsidRPr="00AF3214" w:rsidRDefault="006C4368" w:rsidP="006C4368">
      <w:pPr>
        <w:pStyle w:val="a7"/>
        <w:bidi/>
        <w:rPr>
          <w:rFonts w:ascii="Narkisim" w:hAnsi="Narkisim"/>
        </w:rPr>
      </w:pPr>
      <w:r w:rsidRPr="00AF3214">
        <w:rPr>
          <w:rFonts w:ascii="Narkisim" w:hAnsi="Narkisim"/>
          <w:rtl/>
        </w:rPr>
        <w:t>וב</w:t>
      </w:r>
      <w:r w:rsidRPr="00AF3214">
        <w:rPr>
          <w:rFonts w:ascii="Narkisim" w:hAnsi="Narkisim"/>
          <w:b/>
          <w:bCs/>
          <w:rtl/>
        </w:rPr>
        <w:t>הג' הרמ"ך</w:t>
      </w:r>
      <w:r w:rsidRPr="00AF3214">
        <w:rPr>
          <w:rFonts w:ascii="Narkisim" w:hAnsi="Narkisim"/>
          <w:rtl/>
        </w:rPr>
        <w:t xml:space="preserve"> דייק מדברי הרמב"ם דמהני מדאורייתא, כיון דהוה מילתא דעבידא לאיגלויי. [ולא משום עיגונא]. והק' דבסוגיין אי' מתוך חומר שהחמרת עליה בסופה וכו' ומשום עיגונא. והרמ"ך כת' דנראה דעד כשר מהני מדאורייתא, וכדאי' (לקמן צג:) דטעמא דעד א' משום עבידא לאיגלויי. אבל עד פסול ועבד ושפחה מהני רק מדרבנן, וכדאי' בסוגיין משום עיגונא. ואף דבפשוטו סוגיין קאי בעד א' כשר, סמכו אמשנה דאף עד פסול מהני</w:t>
      </w:r>
      <w:r w:rsidRPr="00AF3214">
        <w:rPr>
          <w:rStyle w:val="ac"/>
          <w:rFonts w:ascii="Narkisim" w:hAnsi="Narkisim"/>
          <w:rtl/>
        </w:rPr>
        <w:footnoteReference w:id="5400"/>
      </w:r>
      <w:r w:rsidRPr="00AF3214">
        <w:rPr>
          <w:rFonts w:ascii="Narkisim" w:hAnsi="Narkisim"/>
        </w:rPr>
        <w:t xml:space="preserve">. </w:t>
      </w:r>
      <w:r w:rsidRPr="00AF3214">
        <w:rPr>
          <w:rFonts w:ascii="Narkisim" w:hAnsi="Narkisim"/>
          <w:rtl/>
        </w:rPr>
        <w:t>[ודלא כרמב"ם דאף עד פסול הוה משום עבידא לאיגלויי</w:t>
      </w:r>
      <w:r w:rsidRPr="00AF3214">
        <w:rPr>
          <w:rStyle w:val="ac"/>
          <w:rFonts w:ascii="Narkisim" w:hAnsi="Narkisim"/>
          <w:rtl/>
        </w:rPr>
        <w:footnoteReference w:id="5401"/>
      </w:r>
      <w:r w:rsidRPr="00AF3214">
        <w:rPr>
          <w:rFonts w:ascii="Narkisim" w:hAnsi="Narkisim"/>
          <w:rtl/>
        </w:rPr>
        <w:t>]</w:t>
      </w:r>
      <w:r w:rsidRPr="00AF3214">
        <w:rPr>
          <w:rFonts w:ascii="Narkisim" w:hAnsi="Narkisim"/>
        </w:rPr>
        <w:t>.</w:t>
      </w:r>
    </w:p>
    <w:p w14:paraId="3BF9268F"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לח"מ</w:t>
      </w:r>
      <w:r w:rsidRPr="00AF3214">
        <w:rPr>
          <w:rFonts w:ascii="Narkisim" w:hAnsi="Narkisim"/>
          <w:rtl/>
        </w:rPr>
        <w:t xml:space="preserve"> (שם) נתקשה בדיוקי הרמב"ם, אי הוה נאמנות דאורייתא או דרבנן</w:t>
      </w:r>
      <w:r w:rsidRPr="00AF3214">
        <w:rPr>
          <w:rStyle w:val="ac"/>
          <w:rFonts w:ascii="Narkisim" w:hAnsi="Narkisim"/>
          <w:rtl/>
        </w:rPr>
        <w:footnoteReference w:id="5402"/>
      </w:r>
      <w:r w:rsidRPr="00AF3214">
        <w:rPr>
          <w:rFonts w:ascii="Narkisim" w:hAnsi="Narkisim"/>
        </w:rPr>
        <w:t xml:space="preserve">. </w:t>
      </w:r>
      <w:r w:rsidRPr="00AF3214">
        <w:rPr>
          <w:rFonts w:ascii="Narkisim" w:hAnsi="Narkisim"/>
          <w:rtl/>
        </w:rPr>
        <w:t>וה</w:t>
      </w:r>
      <w:r w:rsidRPr="00AF3214">
        <w:rPr>
          <w:rFonts w:ascii="Narkisim" w:hAnsi="Narkisim"/>
          <w:b/>
          <w:bCs/>
          <w:rtl/>
        </w:rPr>
        <w:t>לח"מ</w:t>
      </w:r>
      <w:r w:rsidRPr="00AF3214">
        <w:rPr>
          <w:rFonts w:ascii="Narkisim" w:hAnsi="Narkisim"/>
          <w:rtl/>
        </w:rPr>
        <w:t xml:space="preserve"> כת' דדעת הרמב"ם דנאמן מדרבנן. אלא שהקשה [כקו' התוס'] ואל יקשה בעיניך איך עקרו חכמים דבר מן התורה, ותי' שלא הקפידה תורה וכו' כלומר לא הקפידה תורה שלא נעקור ממנה אלא בדבר שאינו עשוי להגלות אבל בדבר עשוי להגלות אע"פ שמן התורה צריך שני עדים, מ"מ כשנעקור הדבר לא הקפידה התורה על עקירתו כיון שהוא הגון להאמין [וע"ד מש"כ התוס']</w:t>
      </w:r>
      <w:r w:rsidRPr="00AF3214">
        <w:rPr>
          <w:rFonts w:ascii="Narkisim" w:hAnsi="Narkisim"/>
        </w:rPr>
        <w:t>.</w:t>
      </w:r>
    </w:p>
    <w:p w14:paraId="60490946"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אבה"א</w:t>
      </w:r>
      <w:r w:rsidRPr="00AF3214">
        <w:rPr>
          <w:rFonts w:ascii="Narkisim" w:hAnsi="Narkisim"/>
          <w:rtl/>
        </w:rPr>
        <w:t xml:space="preserve"> (שם) תי' דדעת הרמב"ם דמהני נאמנות העד מדאורייתא, אלא דהדבר מסור לבי"ד</w:t>
      </w:r>
      <w:r w:rsidRPr="00AF3214">
        <w:rPr>
          <w:rStyle w:val="ac"/>
          <w:rFonts w:ascii="Narkisim" w:hAnsi="Narkisim"/>
          <w:rtl/>
        </w:rPr>
        <w:footnoteReference w:id="5403"/>
      </w:r>
      <w:r w:rsidRPr="00AF3214">
        <w:rPr>
          <w:rFonts w:ascii="Narkisim" w:hAnsi="Narkisim"/>
        </w:rPr>
        <w:t>.</w:t>
      </w:r>
    </w:p>
    <w:p w14:paraId="6CF5ADA6"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תשב"ץ</w:t>
      </w:r>
      <w:r w:rsidRPr="00AF3214">
        <w:rPr>
          <w:rFonts w:ascii="Narkisim" w:hAnsi="Narkisim" w:cs="Narkisim"/>
          <w:rtl/>
        </w:rPr>
        <w:t xml:space="preserve"> (א פג, פד) הביא מדברי הרמב"ם דעד א' נאמן מדאורייתא</w:t>
      </w:r>
      <w:r w:rsidRPr="00AF3214">
        <w:rPr>
          <w:rStyle w:val="ac"/>
          <w:rFonts w:ascii="Narkisim" w:hAnsi="Narkisim" w:cs="Narkisim"/>
          <w:rtl/>
        </w:rPr>
        <w:footnoteReference w:id="5404"/>
      </w:r>
      <w:r w:rsidRPr="00AF3214">
        <w:rPr>
          <w:rFonts w:ascii="Narkisim" w:hAnsi="Narkisim" w:cs="Narkisim"/>
        </w:rPr>
        <w:t xml:space="preserve"> </w:t>
      </w:r>
      <w:r w:rsidRPr="00AF3214">
        <w:rPr>
          <w:rFonts w:ascii="Narkisim" w:hAnsi="Narkisim" w:cs="Narkisim"/>
          <w:rtl/>
        </w:rPr>
        <w:t>במילתא דעבידא לאיגלויי</w:t>
      </w:r>
      <w:r w:rsidRPr="00AF3214">
        <w:rPr>
          <w:rStyle w:val="ac"/>
          <w:rFonts w:ascii="Narkisim" w:hAnsi="Narkisim" w:cs="Narkisim"/>
          <w:rtl/>
        </w:rPr>
        <w:footnoteReference w:id="5405"/>
      </w:r>
      <w:r w:rsidRPr="00AF3214">
        <w:rPr>
          <w:rFonts w:ascii="Narkisim" w:hAnsi="Narkisim" w:cs="Narkisim"/>
        </w:rPr>
        <w:t xml:space="preserve">, </w:t>
      </w:r>
      <w:r w:rsidRPr="00AF3214">
        <w:rPr>
          <w:rFonts w:ascii="Narkisim" w:hAnsi="Narkisim" w:cs="Narkisim"/>
          <w:rtl/>
        </w:rPr>
        <w:t>וא"כ אף בממון מהני מילתא דעבידא לאיגלויי</w:t>
      </w:r>
      <w:r w:rsidRPr="00AF3214">
        <w:rPr>
          <w:rFonts w:ascii="Narkisim" w:hAnsi="Narkisim" w:cs="Narkisim"/>
        </w:rPr>
        <w:t>.</w:t>
      </w:r>
    </w:p>
    <w:p w14:paraId="2813B6BD"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ריב"ש</w:t>
      </w:r>
      <w:r w:rsidRPr="00AF3214">
        <w:rPr>
          <w:rFonts w:ascii="Narkisim" w:hAnsi="Narkisim"/>
          <w:rtl/>
        </w:rPr>
        <w:t xml:space="preserve"> (קפא וקנה, וכ"פ ה</w:t>
      </w:r>
      <w:r w:rsidRPr="00AF3214">
        <w:rPr>
          <w:rFonts w:ascii="Narkisim" w:hAnsi="Narkisim"/>
          <w:b/>
          <w:bCs/>
          <w:rtl/>
        </w:rPr>
        <w:t>רמ"א</w:t>
      </w:r>
      <w:r w:rsidRPr="00AF3214">
        <w:rPr>
          <w:rFonts w:ascii="Narkisim" w:hAnsi="Narkisim"/>
          <w:rtl/>
        </w:rPr>
        <w:t xml:space="preserve"> חו"מ ל יד) חלק דבממון</w:t>
      </w:r>
      <w:r w:rsidRPr="00AF3214">
        <w:rPr>
          <w:rStyle w:val="ac"/>
          <w:rFonts w:ascii="Narkisim" w:hAnsi="Narkisim"/>
          <w:rtl/>
        </w:rPr>
        <w:footnoteReference w:id="5406"/>
      </w:r>
      <w:r w:rsidRPr="00AF3214">
        <w:rPr>
          <w:rFonts w:ascii="Narkisim" w:hAnsi="Narkisim"/>
        </w:rPr>
        <w:t xml:space="preserve"> </w:t>
      </w:r>
      <w:r w:rsidRPr="00AF3214">
        <w:rPr>
          <w:rFonts w:ascii="Narkisim" w:hAnsi="Narkisim"/>
          <w:rtl/>
        </w:rPr>
        <w:t xml:space="preserve">אפי' עבידא לאיגלויי עד א' </w:t>
      </w:r>
      <w:r w:rsidRPr="00AF3214">
        <w:rPr>
          <w:rFonts w:ascii="Narkisim" w:hAnsi="Narkisim"/>
          <w:rtl/>
        </w:rPr>
        <w:lastRenderedPageBreak/>
        <w:t>אינו נאמן</w:t>
      </w:r>
      <w:r w:rsidRPr="00AF3214">
        <w:rPr>
          <w:rStyle w:val="ac"/>
          <w:rFonts w:ascii="Narkisim" w:hAnsi="Narkisim"/>
          <w:rtl/>
        </w:rPr>
        <w:footnoteReference w:id="5407"/>
      </w:r>
      <w:r w:rsidRPr="00AF3214">
        <w:rPr>
          <w:rFonts w:ascii="Narkisim" w:hAnsi="Narkisim"/>
        </w:rPr>
        <w:t xml:space="preserve">. </w:t>
      </w:r>
      <w:r w:rsidRPr="00AF3214">
        <w:rPr>
          <w:rFonts w:ascii="Narkisim" w:hAnsi="Narkisim"/>
          <w:rtl/>
        </w:rPr>
        <w:t>ואף כוונת הרמב"ם רק טעם מ"ט הקילו</w:t>
      </w:r>
      <w:r w:rsidRPr="00AF3214">
        <w:rPr>
          <w:rStyle w:val="ac"/>
          <w:rFonts w:ascii="Narkisim" w:hAnsi="Narkisim"/>
          <w:rtl/>
        </w:rPr>
        <w:footnoteReference w:id="5408"/>
      </w:r>
      <w:r w:rsidRPr="00AF3214">
        <w:rPr>
          <w:rFonts w:ascii="Narkisim" w:hAnsi="Narkisim"/>
        </w:rPr>
        <w:t xml:space="preserve">. </w:t>
      </w:r>
      <w:r w:rsidRPr="00AF3214">
        <w:rPr>
          <w:rFonts w:ascii="Narkisim" w:hAnsi="Narkisim"/>
          <w:rtl/>
        </w:rPr>
        <w:t>וה</w:t>
      </w:r>
      <w:r w:rsidRPr="00AF3214">
        <w:rPr>
          <w:rFonts w:ascii="Narkisim" w:hAnsi="Narkisim"/>
          <w:b/>
          <w:bCs/>
          <w:rtl/>
        </w:rPr>
        <w:t>ש"ש</w:t>
      </w:r>
      <w:r w:rsidRPr="00AF3214">
        <w:rPr>
          <w:rFonts w:ascii="Narkisim" w:hAnsi="Narkisim"/>
          <w:rtl/>
        </w:rPr>
        <w:t xml:space="preserve"> (ז ב) הביא ע"פ דברי הרמ"א (הנ"ל) דקי"ל דעד א' בעדות מיתה הוה מדרבנן, ומדאורייתא ל"מ עבידא לאיגלויי</w:t>
      </w:r>
      <w:r w:rsidRPr="00AF3214">
        <w:rPr>
          <w:rFonts w:ascii="Narkisim" w:hAnsi="Narkisim"/>
        </w:rPr>
        <w:t>.</w:t>
      </w:r>
    </w:p>
    <w:p w14:paraId="175626D6"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ב</w:t>
      </w:r>
      <w:r w:rsidRPr="00AF3214">
        <w:rPr>
          <w:rFonts w:ascii="Narkisim" w:hAnsi="Narkisim" w:cs="Narkisim"/>
          <w:b/>
          <w:bCs/>
          <w:rtl/>
        </w:rPr>
        <w:t>ספרי</w:t>
      </w:r>
      <w:r w:rsidRPr="00AF3214">
        <w:rPr>
          <w:rFonts w:ascii="Narkisim" w:hAnsi="Narkisim" w:cs="Narkisim"/>
          <w:rtl/>
        </w:rPr>
        <w:t xml:space="preserve"> (שופטים קפח) דרשו לא יקום עד א' באיש לכל עוון ולכל חטאת, לעוון אינו קם אבל קם הוא באשה להשיאה דברי ר' יהודה</w:t>
      </w:r>
      <w:r w:rsidRPr="00AF3214">
        <w:rPr>
          <w:rStyle w:val="ac"/>
          <w:rFonts w:ascii="Narkisim" w:hAnsi="Narkisim" w:cs="Narkisim"/>
          <w:rtl/>
        </w:rPr>
        <w:footnoteReference w:id="5409"/>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נוב"י</w:t>
      </w:r>
      <w:r w:rsidRPr="00AF3214">
        <w:rPr>
          <w:rFonts w:ascii="Narkisim" w:hAnsi="Narkisim" w:cs="Narkisim"/>
          <w:rtl/>
        </w:rPr>
        <w:t xml:space="preserve"> (ק' לג) הביא דעד א' מהני מדאורייתא. [וכדעת הריטב"א ותשב"ץ הנ"ל]. ולדעת שאר ראשונים בפשוטו פליג אסוגיין</w:t>
      </w:r>
      <w:r w:rsidRPr="00AF3214">
        <w:rPr>
          <w:rStyle w:val="ac"/>
          <w:rFonts w:ascii="Narkisim" w:hAnsi="Narkisim" w:cs="Narkisim"/>
          <w:rtl/>
        </w:rPr>
        <w:footnoteReference w:id="5410"/>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בית מאיר</w:t>
      </w:r>
      <w:r w:rsidRPr="00AF3214">
        <w:rPr>
          <w:rFonts w:ascii="Narkisim" w:hAnsi="Narkisim" w:cs="Narkisim"/>
          <w:rtl/>
        </w:rPr>
        <w:t xml:space="preserve"> (יז ג) כת' דהוה אסמכתא בעלמא. ויש </w:t>
      </w:r>
      <w:r w:rsidRPr="00AF3214">
        <w:rPr>
          <w:rFonts w:ascii="Narkisim" w:hAnsi="Narkisim" w:cs="Narkisim"/>
          <w:b/>
          <w:bCs/>
          <w:rtl/>
        </w:rPr>
        <w:t>אחרונים</w:t>
      </w:r>
      <w:r w:rsidRPr="00AF3214">
        <w:rPr>
          <w:rFonts w:ascii="Narkisim" w:hAnsi="Narkisim" w:cs="Narkisim"/>
          <w:rtl/>
        </w:rPr>
        <w:t xml:space="preserve"> (ע' בסמוך בדעת רש"י) שנקטו דעד א' כשר מהני מדאורייתא, ובסוגיין הנידון בהא דהוחזקו להשיא בעד פסול ועד מפי עד</w:t>
      </w:r>
      <w:r w:rsidRPr="00AF3214">
        <w:rPr>
          <w:rFonts w:ascii="Narkisim" w:hAnsi="Narkisim" w:cs="Narkisim"/>
        </w:rPr>
        <w:t>.</w:t>
      </w:r>
    </w:p>
    <w:p w14:paraId="5F1C9FBB"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פנים יפות</w:t>
      </w:r>
      <w:r w:rsidRPr="00AF3214">
        <w:rPr>
          <w:rFonts w:ascii="Narkisim" w:hAnsi="Narkisim"/>
          <w:rtl/>
        </w:rPr>
        <w:t xml:space="preserve"> (דברים יט טו) ביאר דברי ה</w:t>
      </w:r>
      <w:r w:rsidRPr="00AF3214">
        <w:rPr>
          <w:rFonts w:ascii="Narkisim" w:hAnsi="Narkisim"/>
          <w:b/>
          <w:bCs/>
          <w:rtl/>
        </w:rPr>
        <w:t>ספרי</w:t>
      </w:r>
      <w:r w:rsidRPr="00AF3214">
        <w:rPr>
          <w:rFonts w:ascii="Narkisim" w:hAnsi="Narkisim"/>
          <w:rtl/>
        </w:rPr>
        <w:t xml:space="preserve"> דחזקה דאשה דייקא ומנסבא, הוא נגד חזקה דא"א, והוי כאילו לא אתחזק איסורא ונאמן עד א' להתירה</w:t>
      </w:r>
      <w:r w:rsidRPr="00AF3214">
        <w:rPr>
          <w:rFonts w:ascii="Narkisim" w:hAnsi="Narkisim"/>
        </w:rPr>
        <w:t>.</w:t>
      </w:r>
    </w:p>
    <w:p w14:paraId="6828A76B" w14:textId="77777777" w:rsidR="006C4368" w:rsidRPr="00AF3214" w:rsidRDefault="006C4368" w:rsidP="006C4368">
      <w:pPr>
        <w:pStyle w:val="aa"/>
        <w:bidi/>
        <w:rPr>
          <w:rFonts w:ascii="Narkisim" w:hAnsi="Narkisim"/>
        </w:rPr>
      </w:pPr>
      <w:r w:rsidRPr="00AF3214">
        <w:rPr>
          <w:rFonts w:ascii="Narkisim" w:hAnsi="Narkisim"/>
          <w:u w:val="single"/>
          <w:rtl/>
        </w:rPr>
        <w:t>שם. מתוך חומרא שהחמרת עליה בסופה</w:t>
      </w:r>
      <w:r w:rsidRPr="00AF3214">
        <w:rPr>
          <w:rFonts w:ascii="Narkisim" w:hAnsi="Narkisim"/>
          <w:rtl/>
        </w:rPr>
        <w:t>. ה</w:t>
      </w:r>
      <w:r w:rsidRPr="00AF3214">
        <w:rPr>
          <w:rFonts w:ascii="Narkisim" w:hAnsi="Narkisim"/>
          <w:b/>
          <w:bCs/>
          <w:rtl/>
        </w:rPr>
        <w:t>מרדכי</w:t>
      </w:r>
      <w:r w:rsidRPr="00AF3214">
        <w:rPr>
          <w:rFonts w:ascii="Narkisim" w:hAnsi="Narkisim"/>
          <w:rtl/>
        </w:rPr>
        <w:t xml:space="preserve"> (צג) כת' עפ"ז היכא שהיא זקנה ואינה בת בנים [אלא שרוצה היתר נישואין כדי להקנות קרקעות כתובתה לקרובותיה] אסורה. דאינה יראה מקלקול, וטעמא מאי הוחזקו להיות משיאין וכו' מתוך שהחמרת עליה בסופה הקלת עליה בתחלתה, והכא ליכא למימר הכי</w:t>
      </w:r>
      <w:r w:rsidRPr="00AF3214">
        <w:rPr>
          <w:rFonts w:ascii="Narkisim" w:hAnsi="Narkisim"/>
        </w:rPr>
        <w:t>.</w:t>
      </w:r>
    </w:p>
    <w:p w14:paraId="7AAB8F94" w14:textId="77777777" w:rsidR="006C4368" w:rsidRPr="00AF3214" w:rsidRDefault="006C4368" w:rsidP="006C4368">
      <w:pPr>
        <w:bidi/>
        <w:rPr>
          <w:rFonts w:ascii="Narkisim" w:hAnsi="Narkisim" w:cs="Narkisim"/>
        </w:rPr>
      </w:pPr>
      <w:r w:rsidRPr="00AF3214">
        <w:rPr>
          <w:rFonts w:ascii="Narkisim" w:hAnsi="Narkisim" w:cs="Narkisim"/>
          <w:u w:val="single"/>
          <w:rtl/>
        </w:rPr>
        <w:t>שם. הקלת עליה בתחלה וכו' משום עיגונא אקילו בה רבנן</w:t>
      </w:r>
      <w:r w:rsidRPr="00AF3214">
        <w:rPr>
          <w:rFonts w:ascii="Narkisim" w:hAnsi="Narkisim" w:cs="Narkisim"/>
          <w:rtl/>
        </w:rPr>
        <w:t>. משמע דהוה קולא מדרבנן. אבל ה</w:t>
      </w:r>
      <w:r w:rsidRPr="00AF3214">
        <w:rPr>
          <w:rFonts w:ascii="Narkisim" w:hAnsi="Narkisim" w:cs="Narkisim"/>
          <w:b/>
          <w:bCs/>
          <w:rtl/>
        </w:rPr>
        <w:t>ריטב"א</w:t>
      </w:r>
      <w:r w:rsidRPr="00AF3214">
        <w:rPr>
          <w:rFonts w:ascii="Narkisim" w:hAnsi="Narkisim" w:cs="Narkisim"/>
          <w:rtl/>
        </w:rPr>
        <w:t xml:space="preserve"> ביאר דכוונת הגמ' 'משום עיגונא אקילו בה רבנן', ה"ק חכמים שהם מחמירים בכ"מ הקילו בזה לחשבו פרסום ולדונו כעדות ברור כל זמן שלא באו עליו עדי הכחשה</w:t>
      </w:r>
      <w:r w:rsidRPr="00AF3214">
        <w:rPr>
          <w:rFonts w:ascii="Narkisim" w:hAnsi="Narkisim" w:cs="Narkisim"/>
        </w:rPr>
        <w:t>.</w:t>
      </w:r>
    </w:p>
    <w:p w14:paraId="22B02D8F"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 xml:space="preserve">רשב"א </w:t>
      </w:r>
      <w:r w:rsidRPr="00AF3214">
        <w:rPr>
          <w:rFonts w:ascii="Narkisim" w:hAnsi="Narkisim" w:cs="Narkisim"/>
          <w:szCs w:val="20"/>
          <w:rtl/>
        </w:rPr>
        <w:t>(כתובות ג. ובשו"ת א אלף קסב, וכ"ד המאירי)</w:t>
      </w:r>
      <w:r w:rsidRPr="00AF3214">
        <w:rPr>
          <w:rFonts w:ascii="Narkisim" w:hAnsi="Narkisim" w:cs="Narkisim"/>
          <w:rtl/>
        </w:rPr>
        <w:t xml:space="preserve"> כת' דעיקר הטעם משום דאפקעינהו חכמים לקידושין (ע"ע לקמן צ:)</w:t>
      </w:r>
      <w:r w:rsidRPr="00AF3214">
        <w:rPr>
          <w:rStyle w:val="ac"/>
          <w:rFonts w:ascii="Narkisim" w:hAnsi="Narkisim" w:cs="Narkisim"/>
          <w:rtl/>
        </w:rPr>
        <w:footnoteReference w:id="5411"/>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רשב"א</w:t>
      </w:r>
      <w:r w:rsidRPr="00AF3214">
        <w:rPr>
          <w:rFonts w:ascii="Narkisim" w:hAnsi="Narkisim" w:cs="Narkisim"/>
          <w:rtl/>
        </w:rPr>
        <w:t xml:space="preserve"> כת' דבכל עיגונא בעלמא לא הקילו להפקיע הקידושין בלא כלום</w:t>
      </w:r>
      <w:r w:rsidRPr="00AF3214">
        <w:rPr>
          <w:rStyle w:val="ac"/>
          <w:rFonts w:ascii="Narkisim" w:hAnsi="Narkisim" w:cs="Narkisim"/>
          <w:rtl/>
        </w:rPr>
        <w:footnoteReference w:id="5412"/>
      </w:r>
      <w:r w:rsidRPr="00AF3214">
        <w:rPr>
          <w:rFonts w:ascii="Narkisim" w:hAnsi="Narkisim" w:cs="Narkisim"/>
        </w:rPr>
        <w:t xml:space="preserve">, </w:t>
      </w:r>
      <w:r w:rsidRPr="00AF3214">
        <w:rPr>
          <w:rFonts w:ascii="Narkisim" w:hAnsi="Narkisim" w:cs="Narkisim"/>
          <w:rtl/>
        </w:rPr>
        <w:t>מיהו לא אקילו בה אלא משום דאיתתא דייקא ומנסבא. דסמכו על נאמנות העד [בסוגיין] או היכא דיש סרך גט</w:t>
      </w:r>
      <w:r w:rsidRPr="00AF3214">
        <w:rPr>
          <w:rFonts w:ascii="Narkisim" w:hAnsi="Narkisim" w:cs="Narkisim"/>
        </w:rPr>
        <w:t>.</w:t>
      </w:r>
    </w:p>
    <w:p w14:paraId="5BD0861D"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מאירי</w:t>
      </w:r>
      <w:r w:rsidRPr="00AF3214">
        <w:rPr>
          <w:rFonts w:ascii="Narkisim" w:hAnsi="Narkisim"/>
          <w:rtl/>
        </w:rPr>
        <w:t xml:space="preserve"> (פז: ד"ה אע"פ) כת' דחכמים הקילו משום עיגונא, ושלא מן הדין [וסמכו משום חומרא שהחמירו בסופה]. והק' האיך מתירין איסור ערוה דאורייתא. ותי' דהוה כמקדש על תנאי שיהא עד א' נאמן להשיאה</w:t>
      </w:r>
      <w:r w:rsidRPr="00AF3214">
        <w:rPr>
          <w:rStyle w:val="ac"/>
          <w:rFonts w:ascii="Narkisim" w:hAnsi="Narkisim"/>
          <w:rtl/>
        </w:rPr>
        <w:footnoteReference w:id="5413"/>
      </w:r>
      <w:r w:rsidRPr="00AF3214">
        <w:rPr>
          <w:rFonts w:ascii="Narkisim" w:hAnsi="Narkisim"/>
        </w:rPr>
        <w:t xml:space="preserve">. </w:t>
      </w:r>
      <w:r w:rsidRPr="00AF3214">
        <w:rPr>
          <w:rFonts w:ascii="Narkisim" w:hAnsi="Narkisim"/>
          <w:rtl/>
        </w:rPr>
        <w:t>ובלבד שלא ימצא שקרן</w:t>
      </w:r>
      <w:r w:rsidRPr="00AF3214">
        <w:rPr>
          <w:rFonts w:ascii="Narkisim" w:hAnsi="Narkisim"/>
        </w:rPr>
        <w:t>.</w:t>
      </w:r>
    </w:p>
    <w:p w14:paraId="69B5E518"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רשב"א</w:t>
      </w:r>
      <w:r w:rsidRPr="00AF3214">
        <w:rPr>
          <w:rFonts w:ascii="Narkisim" w:hAnsi="Narkisim" w:cs="Narkisim"/>
          <w:rtl/>
        </w:rPr>
        <w:t xml:space="preserve"> הביא דכ"כ </w:t>
      </w:r>
      <w:r w:rsidRPr="00AF3214">
        <w:rPr>
          <w:rFonts w:ascii="Narkisim" w:hAnsi="Narkisim" w:cs="Narkisim"/>
          <w:b/>
          <w:bCs/>
          <w:rtl/>
        </w:rPr>
        <w:t>רש"י</w:t>
      </w:r>
      <w:r w:rsidRPr="00AF3214">
        <w:rPr>
          <w:rFonts w:ascii="Narkisim" w:hAnsi="Narkisim" w:cs="Narkisim"/>
          <w:rtl/>
        </w:rPr>
        <w:t xml:space="preserve"> (שבת קמה:) דהא דמהני עד מפי עד לעדות אשה שמת בעלה, דאקילו בה רבנן משום עיגונא, וכל דמקדש אדעתא דרבנן מקדש, ואפקועי רבנן לקדושין מיניה. </w:t>
      </w:r>
      <w:r w:rsidRPr="00AF3214">
        <w:rPr>
          <w:rFonts w:ascii="Narkisim" w:hAnsi="Narkisim" w:cs="Narkisim"/>
          <w:szCs w:val="20"/>
          <w:rtl/>
        </w:rPr>
        <w:t xml:space="preserve">[אך כמה </w:t>
      </w:r>
      <w:r w:rsidRPr="00AF3214">
        <w:rPr>
          <w:rFonts w:ascii="Narkisim" w:hAnsi="Narkisim" w:cs="Narkisim"/>
          <w:b/>
          <w:bCs/>
          <w:szCs w:val="20"/>
          <w:rtl/>
        </w:rPr>
        <w:t>אחרונים</w:t>
      </w:r>
      <w:r w:rsidRPr="00AF3214">
        <w:rPr>
          <w:rFonts w:ascii="Narkisim" w:hAnsi="Narkisim" w:cs="Narkisim"/>
          <w:szCs w:val="20"/>
          <w:rtl/>
        </w:rPr>
        <w:t xml:space="preserve"> (נוב"י ת קמז וחו"מ ת סב, עצי אלמוגים יג) דייקו דרש"י קאי דוקא בעד מפי עד, דהוה קולא דרבנן</w:t>
      </w:r>
      <w:r w:rsidRPr="00AF3214">
        <w:rPr>
          <w:rStyle w:val="ac"/>
          <w:rFonts w:ascii="Narkisim" w:hAnsi="Narkisim" w:cs="Narkisim"/>
          <w:szCs w:val="20"/>
          <w:rtl/>
        </w:rPr>
        <w:footnoteReference w:id="5414"/>
      </w:r>
      <w:r w:rsidRPr="00AF3214">
        <w:rPr>
          <w:rFonts w:ascii="Narkisim" w:hAnsi="Narkisim" w:cs="Narkisim"/>
          <w:szCs w:val="20"/>
        </w:rPr>
        <w:t xml:space="preserve">. </w:t>
      </w:r>
      <w:r w:rsidRPr="00AF3214">
        <w:rPr>
          <w:rFonts w:ascii="Narkisim" w:hAnsi="Narkisim" w:cs="Narkisim"/>
          <w:szCs w:val="20"/>
          <w:rtl/>
        </w:rPr>
        <w:t>אבל עד כשר מהני מהני מדאורייתא</w:t>
      </w:r>
      <w:r w:rsidRPr="00AF3214">
        <w:rPr>
          <w:rStyle w:val="ac"/>
          <w:rFonts w:ascii="Narkisim" w:hAnsi="Narkisim" w:cs="Narkisim"/>
          <w:szCs w:val="20"/>
          <w:rtl/>
        </w:rPr>
        <w:footnoteReference w:id="5415"/>
      </w:r>
      <w:r w:rsidRPr="00AF3214">
        <w:rPr>
          <w:rFonts w:ascii="Narkisim" w:hAnsi="Narkisim" w:cs="Narkisim"/>
          <w:szCs w:val="20"/>
        </w:rPr>
        <w:t xml:space="preserve">. </w:t>
      </w:r>
      <w:r w:rsidRPr="00AF3214">
        <w:rPr>
          <w:rFonts w:ascii="Narkisim" w:hAnsi="Narkisim" w:cs="Narkisim"/>
          <w:szCs w:val="20"/>
          <w:rtl/>
        </w:rPr>
        <w:t>ע' בסמוך]</w:t>
      </w:r>
      <w:r w:rsidRPr="00AF3214">
        <w:rPr>
          <w:rFonts w:ascii="Narkisim" w:hAnsi="Narkisim" w:cs="Narkisim"/>
        </w:rPr>
        <w:t>.</w:t>
      </w:r>
    </w:p>
    <w:p w14:paraId="0222AC67"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הק' דמבואר בגמ' (לקמן צא.) דאחיו של ראשון חולץ מדאורייתא, ואחיו של שני מדרבנן. ואי אפקעינהו לקידושין הול"ל איפכא, דנתברר שאינה אשתו של ראשון. ועד"ז הק' ה</w:t>
      </w:r>
      <w:r w:rsidRPr="00AF3214">
        <w:rPr>
          <w:rFonts w:ascii="Narkisim" w:hAnsi="Narkisim" w:cs="Narkisim"/>
          <w:b/>
          <w:bCs/>
          <w:rtl/>
        </w:rPr>
        <w:t>אחרונים</w:t>
      </w:r>
      <w:r w:rsidRPr="00AF3214">
        <w:rPr>
          <w:rFonts w:ascii="Narkisim" w:hAnsi="Narkisim" w:cs="Narkisim"/>
          <w:rtl/>
        </w:rPr>
        <w:t xml:space="preserve"> (שו"ת פנים מאירות א פט ועוד) דבכמה מקומות בפירקין מבואר דלא פקע אישות </w:t>
      </w:r>
      <w:r w:rsidRPr="00AF3214">
        <w:rPr>
          <w:rFonts w:ascii="Narkisim" w:hAnsi="Narkisim" w:cs="Narkisim"/>
          <w:rtl/>
        </w:rPr>
        <w:lastRenderedPageBreak/>
        <w:t>דראשון</w:t>
      </w:r>
      <w:r w:rsidRPr="00AF3214">
        <w:rPr>
          <w:rStyle w:val="ac"/>
          <w:rFonts w:ascii="Narkisim" w:hAnsi="Narkisim" w:cs="Narkisim"/>
          <w:rtl/>
        </w:rPr>
        <w:footnoteReference w:id="5416"/>
      </w:r>
      <w:r w:rsidRPr="00AF3214">
        <w:rPr>
          <w:rFonts w:ascii="Narkisim" w:hAnsi="Narkisim" w:cs="Narkisim"/>
        </w:rPr>
        <w:t>.</w:t>
      </w:r>
    </w:p>
    <w:p w14:paraId="073CA75D"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רשב"א</w:t>
      </w:r>
      <w:r w:rsidRPr="00AF3214">
        <w:rPr>
          <w:rFonts w:ascii="Narkisim" w:hAnsi="Narkisim" w:cs="Narkisim"/>
          <w:rtl/>
        </w:rPr>
        <w:t xml:space="preserve"> (כתובות שם) תי' דלא אפקעינהו רבנן לקידושיה לגמרי, אלא משום דסמכין אדיוקא דאיתתא. וכיון שבא הבעל איגלי מילתא דלא דיקא שפיר, ומש"ה פקע ההיתר</w:t>
      </w:r>
      <w:r w:rsidRPr="00AF3214">
        <w:rPr>
          <w:rStyle w:val="ac"/>
          <w:rFonts w:ascii="Narkisim" w:hAnsi="Narkisim" w:cs="Narkisim"/>
          <w:rtl/>
        </w:rPr>
        <w:footnoteReference w:id="5417"/>
      </w:r>
      <w:r w:rsidRPr="00AF3214">
        <w:rPr>
          <w:rFonts w:ascii="Narkisim" w:hAnsi="Narkisim" w:cs="Narkisim"/>
        </w:rPr>
        <w:t xml:space="preserve">. </w:t>
      </w:r>
      <w:r w:rsidRPr="00AF3214">
        <w:rPr>
          <w:rFonts w:ascii="Narkisim" w:hAnsi="Narkisim" w:cs="Narkisim"/>
          <w:rtl/>
        </w:rPr>
        <w:t>ועד"ז כת' ה</w:t>
      </w:r>
      <w:r w:rsidRPr="00AF3214">
        <w:rPr>
          <w:rFonts w:ascii="Narkisim" w:hAnsi="Narkisim" w:cs="Narkisim"/>
          <w:b/>
          <w:bCs/>
          <w:rtl/>
        </w:rPr>
        <w:t>מאירי</w:t>
      </w:r>
      <w:r w:rsidRPr="00AF3214">
        <w:rPr>
          <w:rFonts w:ascii="Narkisim" w:hAnsi="Narkisim" w:cs="Narkisim"/>
          <w:rtl/>
        </w:rPr>
        <w:t xml:space="preserve"> (פז:) ובלבד שלא ימצא שקרן. מבואר דהיכא דנמצא שקרן לא הפקיעו. משמע דהפקיעו את הקידושין על תנאי, וכיון דהבעל חזר נתברר שהיא אשת איש</w:t>
      </w:r>
      <w:r w:rsidRPr="00AF3214">
        <w:rPr>
          <w:rFonts w:ascii="Narkisim" w:hAnsi="Narkisim" w:cs="Narkisim"/>
        </w:rPr>
        <w:t>.</w:t>
      </w:r>
    </w:p>
    <w:p w14:paraId="3CED5A4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ש"ש</w:t>
      </w:r>
      <w:r w:rsidRPr="00AF3214">
        <w:rPr>
          <w:rFonts w:ascii="Narkisim" w:hAnsi="Narkisim"/>
          <w:rtl/>
        </w:rPr>
        <w:t xml:space="preserve"> (ז א) ביאר דעקרו את הקידושין משום דראו חכמים להאמין לעד שאומר מת. אבל כל שנתברר בודאי ששקר העיד העד, וחי היה, לא עקרו לקידושין</w:t>
      </w:r>
      <w:r w:rsidRPr="00AF3214">
        <w:rPr>
          <w:rStyle w:val="ac"/>
          <w:rFonts w:ascii="Narkisim" w:hAnsi="Narkisim"/>
          <w:rtl/>
        </w:rPr>
        <w:footnoteReference w:id="5418"/>
      </w:r>
      <w:r w:rsidRPr="00AF3214">
        <w:rPr>
          <w:rFonts w:ascii="Narkisim" w:hAnsi="Narkisim"/>
        </w:rPr>
        <w:t xml:space="preserve">. </w:t>
      </w:r>
      <w:r w:rsidRPr="00AF3214">
        <w:rPr>
          <w:rFonts w:ascii="Narkisim" w:hAnsi="Narkisim"/>
          <w:rtl/>
        </w:rPr>
        <w:t>ומש"ה הולד ממזר וחייבת קרבן</w:t>
      </w:r>
      <w:r w:rsidRPr="00AF3214">
        <w:rPr>
          <w:rStyle w:val="ac"/>
          <w:rFonts w:ascii="Narkisim" w:hAnsi="Narkisim"/>
          <w:rtl/>
        </w:rPr>
        <w:footnoteReference w:id="5419"/>
      </w:r>
      <w:r w:rsidRPr="00AF3214">
        <w:rPr>
          <w:rFonts w:ascii="Narkisim" w:hAnsi="Narkisim"/>
        </w:rPr>
        <w:t>.</w:t>
      </w:r>
    </w:p>
    <w:p w14:paraId="78AC344F"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הק' דא"כ הדר קו' האיך התירו חכמים, הא יש לנו לחוש שמא הבעל חי ויחזור אח"כ. וה</w:t>
      </w:r>
      <w:r w:rsidRPr="00AF3214">
        <w:rPr>
          <w:rFonts w:ascii="Narkisim" w:hAnsi="Narkisim"/>
          <w:b/>
          <w:bCs/>
          <w:rtl/>
        </w:rPr>
        <w:t>שואל בנוב"י</w:t>
      </w:r>
      <w:r w:rsidRPr="00AF3214">
        <w:rPr>
          <w:rFonts w:ascii="Narkisim" w:hAnsi="Narkisim"/>
          <w:rtl/>
        </w:rPr>
        <w:t xml:space="preserve"> תי' דמ"מ אין כאן חזקת אשת איש וחזקת חיים, דהא אף אם הוא חי ולא יבא לביתו היא מותרת ע"י הפקעת הקידושין, ולא היתה מעולם אשת איש</w:t>
      </w:r>
      <w:r w:rsidRPr="00AF3214">
        <w:rPr>
          <w:rStyle w:val="ac"/>
          <w:rFonts w:ascii="Narkisim" w:hAnsi="Narkisim"/>
          <w:rtl/>
        </w:rPr>
        <w:footnoteReference w:id="5420"/>
      </w:r>
      <w:r w:rsidRPr="00AF3214">
        <w:rPr>
          <w:rFonts w:ascii="Narkisim" w:hAnsi="Narkisim"/>
        </w:rPr>
        <w:t xml:space="preserve">. </w:t>
      </w:r>
      <w:r w:rsidRPr="00AF3214">
        <w:rPr>
          <w:rFonts w:ascii="Narkisim" w:hAnsi="Narkisim"/>
          <w:rtl/>
        </w:rPr>
        <w:t>וכיון שאין כאן חזקה לא חיישינן שיבא, ומש"ה ע"א נאמן בדבר דלא איתחזק איסורא</w:t>
      </w:r>
      <w:r w:rsidRPr="00AF3214">
        <w:rPr>
          <w:rStyle w:val="ac"/>
          <w:rFonts w:ascii="Narkisim" w:hAnsi="Narkisim"/>
          <w:rtl/>
        </w:rPr>
        <w:footnoteReference w:id="5421"/>
      </w:r>
      <w:r w:rsidRPr="00AF3214">
        <w:rPr>
          <w:rFonts w:ascii="Narkisim" w:hAnsi="Narkisim"/>
        </w:rPr>
        <w:t>.</w:t>
      </w:r>
    </w:p>
    <w:p w14:paraId="015FC146"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ר"ש</w:t>
      </w:r>
      <w:r w:rsidRPr="00AF3214">
        <w:rPr>
          <w:rFonts w:ascii="Narkisim" w:hAnsi="Narkisim"/>
          <w:rtl/>
        </w:rPr>
        <w:t xml:space="preserve"> (בן הנוב"י, בשו"ת שם) חלק דאילו הבעל קיים מסתמא יבא</w:t>
      </w:r>
      <w:r w:rsidRPr="00AF3214">
        <w:rPr>
          <w:rStyle w:val="ac"/>
          <w:rFonts w:ascii="Narkisim" w:hAnsi="Narkisim"/>
          <w:rtl/>
        </w:rPr>
        <w:footnoteReference w:id="5422"/>
      </w:r>
      <w:r w:rsidRPr="00AF3214">
        <w:rPr>
          <w:rFonts w:ascii="Narkisim" w:hAnsi="Narkisim"/>
        </w:rPr>
        <w:t>.</w:t>
      </w:r>
    </w:p>
    <w:p w14:paraId="51865699"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חת"ס</w:t>
      </w:r>
      <w:r w:rsidRPr="00AF3214">
        <w:rPr>
          <w:rFonts w:ascii="Narkisim" w:hAnsi="Narkisim"/>
          <w:rtl/>
        </w:rPr>
        <w:t xml:space="preserve"> (יו"ד ב צז הנ"ל) כת' [בדעת הסוברים דעקרוהו רבנן לקידושין], דלא עקרו אלא היכי דהבעל לא בא, והקילו בדין דצריך עדות אע"פ שהדבר אמת. אבל אילו הבעל קיים לא הקילו בערוה החמורה, ולא עקרו לקידושין כלל. ועד"ז כת' בהג' לאבנ"מ (ק ב)</w:t>
      </w:r>
      <w:r w:rsidRPr="00AF3214">
        <w:rPr>
          <w:rFonts w:ascii="Narkisim" w:hAnsi="Narkisim"/>
        </w:rPr>
        <w:t>.</w:t>
      </w:r>
    </w:p>
    <w:p w14:paraId="29B4FFF4"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ב</w:t>
      </w:r>
      <w:r w:rsidRPr="00AF3214">
        <w:rPr>
          <w:rFonts w:ascii="Narkisim" w:hAnsi="Narkisim" w:cs="Narkisim"/>
          <w:b/>
          <w:bCs/>
          <w:rtl/>
        </w:rPr>
        <w:t>גמ'</w:t>
      </w:r>
      <w:r w:rsidRPr="00AF3214">
        <w:rPr>
          <w:rFonts w:ascii="Narkisim" w:hAnsi="Narkisim" w:cs="Narkisim"/>
          <w:rtl/>
        </w:rPr>
        <w:t xml:space="preserve"> </w:t>
      </w:r>
      <w:r w:rsidRPr="00AF3214">
        <w:rPr>
          <w:rFonts w:ascii="Narkisim" w:hAnsi="Narkisim" w:cs="Narkisim"/>
          <w:szCs w:val="20"/>
          <w:rtl/>
        </w:rPr>
        <w:t>(שבועות לב:)</w:t>
      </w:r>
      <w:r w:rsidRPr="00AF3214">
        <w:rPr>
          <w:rFonts w:ascii="Narkisim" w:hAnsi="Narkisim" w:cs="Narkisim"/>
          <w:rtl/>
        </w:rPr>
        <w:t xml:space="preserve"> מבואר דיש חיוב שבועת העדות במשביע עד א' שמת בעלה [שלא רצה להעיד, אפי' לאשה</w:t>
      </w:r>
      <w:r w:rsidRPr="00AF3214">
        <w:rPr>
          <w:rStyle w:val="ac"/>
          <w:rFonts w:ascii="Narkisim" w:hAnsi="Narkisim" w:cs="Narkisim"/>
          <w:rtl/>
        </w:rPr>
        <w:footnoteReference w:id="5423"/>
      </w:r>
      <w:r w:rsidRPr="00AF3214">
        <w:rPr>
          <w:rFonts w:ascii="Narkisim" w:hAnsi="Narkisim" w:cs="Narkisim"/>
          <w:rtl/>
        </w:rPr>
        <w:t>]. ובשלמא לסוברים דהעד נאמן מדאורייתא אתי שפיר. אבל לסוברים דהוה נאמנות מדרבנן הוה חידוש דמתחייב מחמת זה קרבן שבועת העדות</w:t>
      </w:r>
      <w:r w:rsidRPr="00AF3214">
        <w:rPr>
          <w:rFonts w:ascii="Narkisim" w:hAnsi="Narkisim" w:cs="Narkisim"/>
        </w:rPr>
        <w:t>.</w:t>
      </w:r>
    </w:p>
    <w:p w14:paraId="1FCC06D0"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(שבועות לא.) עמדו בזה וכת' דכיון דחכמים הכשירו את העדות, אזלינן בתר הדין דרבנן</w:t>
      </w:r>
      <w:r w:rsidRPr="00AF3214">
        <w:rPr>
          <w:rStyle w:val="ac"/>
          <w:rFonts w:ascii="Narkisim" w:hAnsi="Narkisim"/>
          <w:rtl/>
        </w:rPr>
        <w:footnoteReference w:id="5424"/>
      </w:r>
      <w:r w:rsidRPr="00AF3214">
        <w:rPr>
          <w:rFonts w:ascii="Narkisim" w:hAnsi="Narkisim"/>
        </w:rPr>
        <w:t xml:space="preserve">. </w:t>
      </w:r>
      <w:r w:rsidRPr="00AF3214">
        <w:rPr>
          <w:rFonts w:ascii="Narkisim" w:hAnsi="Narkisim"/>
          <w:rtl/>
        </w:rPr>
        <w:t>דכיון דמועלת עדותו מדרבנן הרי יש כאן הפסד ממון במה שלא העיד. [וגדר שבועת העדות הוא כל היכא דכובש עדותו, ועי"ז גורם לחבירו הפסד ממון. ואף במקום דל"ש גדרי עדות מדאורייתא</w:t>
      </w:r>
      <w:r w:rsidRPr="00AF3214">
        <w:rPr>
          <w:rStyle w:val="ac"/>
          <w:rFonts w:ascii="Narkisim" w:hAnsi="Narkisim"/>
          <w:rtl/>
        </w:rPr>
        <w:footnoteReference w:id="5425"/>
      </w:r>
      <w:r w:rsidRPr="00AF3214">
        <w:rPr>
          <w:rFonts w:ascii="Narkisim" w:hAnsi="Narkisim"/>
          <w:rtl/>
        </w:rPr>
        <w:t>]</w:t>
      </w:r>
      <w:r w:rsidRPr="00AF3214">
        <w:rPr>
          <w:rFonts w:ascii="Narkisim" w:hAnsi="Narkisim"/>
        </w:rPr>
        <w:t>.</w:t>
      </w:r>
    </w:p>
    <w:p w14:paraId="712E24DD" w14:textId="77777777" w:rsidR="006C4368" w:rsidRPr="00AF3214" w:rsidRDefault="006C4368" w:rsidP="006C4368">
      <w:pPr>
        <w:pStyle w:val="a7"/>
        <w:bidi/>
        <w:rPr>
          <w:rFonts w:ascii="Narkisim" w:hAnsi="Narkisim"/>
        </w:rPr>
      </w:pPr>
      <w:r w:rsidRPr="00AF3214">
        <w:rPr>
          <w:rFonts w:ascii="Narkisim" w:hAnsi="Narkisim"/>
          <w:rtl/>
        </w:rPr>
        <w:lastRenderedPageBreak/>
        <w:t>וה</w:t>
      </w:r>
      <w:r w:rsidRPr="00AF3214">
        <w:rPr>
          <w:rFonts w:ascii="Narkisim" w:hAnsi="Narkisim"/>
          <w:b/>
          <w:bCs/>
          <w:rtl/>
        </w:rPr>
        <w:t>משנ"ל</w:t>
      </w:r>
      <w:r w:rsidRPr="00AF3214">
        <w:rPr>
          <w:rFonts w:ascii="Narkisim" w:hAnsi="Narkisim"/>
          <w:rtl/>
        </w:rPr>
        <w:t xml:space="preserve"> (פרשת דרכים לס' החינוך קכג) ועוד </w:t>
      </w:r>
      <w:r w:rsidRPr="00AF3214">
        <w:rPr>
          <w:rFonts w:ascii="Narkisim" w:hAnsi="Narkisim"/>
          <w:b/>
          <w:bCs/>
          <w:rtl/>
        </w:rPr>
        <w:t>אחרונים</w:t>
      </w:r>
      <w:r w:rsidRPr="00AF3214">
        <w:rPr>
          <w:rFonts w:ascii="Narkisim" w:hAnsi="Narkisim"/>
          <w:rtl/>
        </w:rPr>
        <w:t xml:space="preserve"> הק' דאי' (שבועות ל.) דשבועת העדות אינה נוהגת בנשים ופסולי עדות. [כיון דאינם ראויים להעיד]. והא בעדות מיתת הבעל אף אשה ופסולי עדות נאמנים</w:t>
      </w:r>
      <w:r w:rsidRPr="00AF3214">
        <w:rPr>
          <w:rStyle w:val="ac"/>
          <w:rFonts w:ascii="Narkisim" w:hAnsi="Narkisim"/>
          <w:rtl/>
        </w:rPr>
        <w:footnoteReference w:id="5426"/>
      </w:r>
      <w:r w:rsidRPr="00AF3214">
        <w:rPr>
          <w:rFonts w:ascii="Narkisim" w:hAnsi="Narkisim"/>
        </w:rPr>
        <w:t xml:space="preserve">. </w:t>
      </w:r>
      <w:r w:rsidRPr="00AF3214">
        <w:rPr>
          <w:rFonts w:ascii="Narkisim" w:hAnsi="Narkisim"/>
          <w:rtl/>
        </w:rPr>
        <w:t>ותתחייב משום שבועת העדות</w:t>
      </w:r>
      <w:r w:rsidRPr="00AF3214">
        <w:rPr>
          <w:rFonts w:ascii="Narkisim" w:hAnsi="Narkisim"/>
        </w:rPr>
        <w:t>.</w:t>
      </w:r>
    </w:p>
    <w:p w14:paraId="1249212F"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משנ"ל</w:t>
      </w:r>
      <w:r w:rsidRPr="00AF3214">
        <w:rPr>
          <w:rFonts w:ascii="Narkisim" w:hAnsi="Narkisim"/>
          <w:rtl/>
        </w:rPr>
        <w:t xml:space="preserve"> תי' דאשה אינה בתורת עדות בשום מקום</w:t>
      </w:r>
      <w:r w:rsidRPr="00AF3214">
        <w:rPr>
          <w:rStyle w:val="ac"/>
          <w:rFonts w:ascii="Narkisim" w:hAnsi="Narkisim"/>
          <w:rtl/>
        </w:rPr>
        <w:footnoteReference w:id="5427"/>
      </w:r>
      <w:r w:rsidRPr="00AF3214">
        <w:rPr>
          <w:rFonts w:ascii="Narkisim" w:hAnsi="Narkisim"/>
        </w:rPr>
        <w:t xml:space="preserve">, </w:t>
      </w:r>
      <w:r w:rsidRPr="00AF3214">
        <w:rPr>
          <w:rFonts w:ascii="Narkisim" w:hAnsi="Narkisim"/>
          <w:rtl/>
        </w:rPr>
        <w:t>ומש"ה אינה חייבת קרבן אף בעדות מיתת הבעל</w:t>
      </w:r>
      <w:r w:rsidRPr="00AF3214">
        <w:rPr>
          <w:rStyle w:val="ac"/>
          <w:rFonts w:ascii="Narkisim" w:hAnsi="Narkisim"/>
          <w:rtl/>
        </w:rPr>
        <w:footnoteReference w:id="5428"/>
      </w:r>
      <w:r w:rsidRPr="00AF3214">
        <w:rPr>
          <w:rFonts w:ascii="Narkisim" w:hAnsi="Narkisim"/>
        </w:rPr>
        <w:t>.</w:t>
      </w:r>
    </w:p>
    <w:p w14:paraId="1A8AB4F5"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נוב"י</w:t>
      </w:r>
      <w:r w:rsidRPr="00AF3214">
        <w:rPr>
          <w:rFonts w:ascii="Narkisim" w:hAnsi="Narkisim"/>
          <w:rtl/>
        </w:rPr>
        <w:t xml:space="preserve"> </w:t>
      </w:r>
      <w:r w:rsidRPr="00AF3214">
        <w:rPr>
          <w:rFonts w:ascii="Narkisim" w:hAnsi="Narkisim"/>
          <w:szCs w:val="20"/>
          <w:rtl/>
        </w:rPr>
        <w:t>(ק' לג הנ"ל, הו' בש"ש ז א)</w:t>
      </w:r>
      <w:r w:rsidRPr="00AF3214">
        <w:rPr>
          <w:rFonts w:ascii="Narkisim" w:hAnsi="Narkisim"/>
          <w:rtl/>
        </w:rPr>
        <w:t xml:space="preserve"> הוכיח מקו' זו דעד כשר מהני בעדות אשה מדאורייתא</w:t>
      </w:r>
      <w:r w:rsidRPr="00AF3214">
        <w:rPr>
          <w:rStyle w:val="ac"/>
          <w:rFonts w:ascii="Narkisim" w:hAnsi="Narkisim"/>
          <w:rtl/>
        </w:rPr>
        <w:footnoteReference w:id="5429"/>
      </w:r>
      <w:r w:rsidRPr="00AF3214">
        <w:rPr>
          <w:rFonts w:ascii="Narkisim" w:hAnsi="Narkisim"/>
        </w:rPr>
        <w:t xml:space="preserve">. </w:t>
      </w:r>
      <w:r w:rsidRPr="00AF3214">
        <w:rPr>
          <w:rFonts w:ascii="Narkisim" w:hAnsi="Narkisim"/>
          <w:rtl/>
        </w:rPr>
        <w:t>אבל אשה ועד פסול ל"מ לעדות אשה מדאורייתא, ומש"ה לא שייך שבועת העדות</w:t>
      </w:r>
      <w:r w:rsidRPr="00AF3214">
        <w:rPr>
          <w:rFonts w:ascii="Narkisim" w:hAnsi="Narkisim"/>
        </w:rPr>
        <w:t>.</w:t>
      </w:r>
    </w:p>
    <w:p w14:paraId="564CED46"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ש"ש</w:t>
      </w:r>
      <w:r w:rsidRPr="00AF3214">
        <w:rPr>
          <w:rFonts w:ascii="Narkisim" w:hAnsi="Narkisim" w:cs="Narkisim"/>
          <w:rtl/>
        </w:rPr>
        <w:t xml:space="preserve"> (ז א) תי' דבעד כשר תקנו חכמים דמהני בתורת עדות, והכשירו עד א'. אבל בפסולים לא תקנו בתורת עדות. דכיון דאשה ועבד לאו בני עדות נינהו, ומש"ה אף כשהכשירום לעדות מיתה אינו בתורת עדות [דאין עדות לפסולים], אלא שראו חכמים להאמין בתורת אומדנא</w:t>
      </w:r>
      <w:r w:rsidRPr="00AF3214">
        <w:rPr>
          <w:rStyle w:val="ac"/>
          <w:rFonts w:ascii="Narkisim" w:hAnsi="Narkisim" w:cs="Narkisim"/>
          <w:rtl/>
        </w:rPr>
        <w:footnoteReference w:id="5430"/>
      </w:r>
      <w:r w:rsidRPr="00AF3214">
        <w:rPr>
          <w:rFonts w:ascii="Narkisim" w:hAnsi="Narkisim" w:cs="Narkisim"/>
        </w:rPr>
        <w:t>.</w:t>
      </w:r>
    </w:p>
    <w:p w14:paraId="60378133" w14:textId="77777777" w:rsidR="006C4368" w:rsidRPr="00AF3214" w:rsidRDefault="006C4368" w:rsidP="006C4368">
      <w:pPr>
        <w:pStyle w:val="a8"/>
        <w:bidi/>
        <w:rPr>
          <w:rFonts w:ascii="Narkisim" w:hAnsi="Narkisim"/>
        </w:rPr>
      </w:pPr>
      <w:r w:rsidRPr="00AF3214">
        <w:rPr>
          <w:rFonts w:ascii="Narkisim" w:hAnsi="Narkisim"/>
          <w:rtl/>
        </w:rPr>
        <w:t>והש"ש הביא דבפסולי עדות איתא (לקמן קיז, ובע"ב) הלך אחר רוב דיעות. דכיון דלאו בני עדות נינהו, אלא שראו חז"ל להאמין מגדרי אומדנא, ומש"ה הלך אחר רוב דיעות. ולא אמרי' דעד א' כב'. וכן האריך הברכ"ש (יא, הו' בע"ב)</w:t>
      </w:r>
      <w:r w:rsidRPr="00AF3214">
        <w:rPr>
          <w:rFonts w:ascii="Narkisim" w:hAnsi="Narkisim"/>
        </w:rPr>
        <w:t>.</w:t>
      </w:r>
    </w:p>
    <w:p w14:paraId="4C647B83" w14:textId="77777777" w:rsidR="006C4368" w:rsidRPr="00AF3214" w:rsidRDefault="006C4368" w:rsidP="006C4368">
      <w:pPr>
        <w:bidi/>
        <w:rPr>
          <w:rFonts w:ascii="Narkisim" w:hAnsi="Narkisim" w:cs="Narkisim"/>
        </w:rPr>
      </w:pPr>
      <w:r w:rsidRPr="00AF3214">
        <w:rPr>
          <w:rFonts w:ascii="Narkisim" w:hAnsi="Narkisim" w:cs="Narkisim"/>
          <w:u w:val="single"/>
          <w:rtl/>
        </w:rPr>
        <w:t>שם. לא ליחמיר ולא ליקיל, משום עיגונא אקילו וכו'</w:t>
      </w:r>
      <w:r w:rsidRPr="00AF3214">
        <w:rPr>
          <w:rFonts w:ascii="Narkisim" w:hAnsi="Narkisim" w:cs="Narkisim"/>
          <w:rtl/>
        </w:rPr>
        <w:t>. בפשוטו מבואר דהוה קולא, שחכמים תקנו להקל משום עיגונא</w:t>
      </w:r>
      <w:r w:rsidRPr="00AF3214">
        <w:rPr>
          <w:rFonts w:ascii="Narkisim" w:hAnsi="Narkisim" w:cs="Narkisim"/>
        </w:rPr>
        <w:t>.</w:t>
      </w:r>
    </w:p>
    <w:p w14:paraId="45E31F57" w14:textId="77777777" w:rsidR="006C4368" w:rsidRPr="00AF3214" w:rsidRDefault="006C4368" w:rsidP="006C4368">
      <w:pPr>
        <w:pStyle w:val="a8"/>
        <w:bidi/>
        <w:rPr>
          <w:rFonts w:ascii="Narkisim" w:hAnsi="Narkisim"/>
        </w:rPr>
      </w:pPr>
      <w:r w:rsidRPr="00AF3214">
        <w:rPr>
          <w:rFonts w:ascii="Narkisim" w:hAnsi="Narkisim"/>
          <w:rtl/>
        </w:rPr>
        <w:t>ועפ"ז מבואר דהטעם דהחמירו בסופו הוה כדי שיוכלו להתיר בתחילתו [להעמיד את האומדנא דדייקא ומינסבא]. וקצת קשה דמבואר בכ"מ דתצא מזה ומזה משום קנס. וצ"ל דתקנו גדר קנס, מחמת שרצו להחמיר עליה בסופה. כדי שיהא דייקא</w:t>
      </w:r>
      <w:r w:rsidRPr="00AF3214">
        <w:rPr>
          <w:rFonts w:ascii="Narkisim" w:hAnsi="Narkisim"/>
        </w:rPr>
        <w:t>.</w:t>
      </w:r>
    </w:p>
    <w:p w14:paraId="353622C6"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ריטב"א</w:t>
      </w:r>
      <w:r w:rsidRPr="00AF3214">
        <w:rPr>
          <w:rFonts w:ascii="Narkisim" w:hAnsi="Narkisim"/>
          <w:rtl/>
        </w:rPr>
        <w:t xml:space="preserve"> (והו' בש"ש ז א) כת' דה"ק דהיה ראוי שחכמים יחמירו [כמו שהם מחמירים בכל מקום], ואילו הכא הקילו</w:t>
      </w:r>
      <w:r w:rsidRPr="00AF3214">
        <w:rPr>
          <w:rStyle w:val="ac"/>
          <w:rFonts w:ascii="Narkisim" w:hAnsi="Narkisim"/>
          <w:rtl/>
        </w:rPr>
        <w:footnoteReference w:id="5431"/>
      </w:r>
      <w:r w:rsidRPr="00AF3214">
        <w:rPr>
          <w:rFonts w:ascii="Narkisim" w:hAnsi="Narkisim"/>
        </w:rPr>
        <w:t xml:space="preserve"> </w:t>
      </w:r>
      <w:r w:rsidRPr="00AF3214">
        <w:rPr>
          <w:rFonts w:ascii="Narkisim" w:hAnsi="Narkisim"/>
          <w:rtl/>
        </w:rPr>
        <w:t>[משום עיגונא]</w:t>
      </w:r>
      <w:r w:rsidRPr="00AF3214">
        <w:rPr>
          <w:rFonts w:ascii="Narkisim" w:hAnsi="Narkisim"/>
        </w:rPr>
        <w:t>.</w:t>
      </w:r>
    </w:p>
    <w:p w14:paraId="78E0DB6B" w14:textId="77777777" w:rsidR="006C4368" w:rsidRPr="00AF3214" w:rsidRDefault="006C4368" w:rsidP="006C4368">
      <w:pPr>
        <w:bidi/>
        <w:rPr>
          <w:rFonts w:ascii="Narkisim" w:hAnsi="Narkisim" w:cs="Narkisim"/>
        </w:rPr>
      </w:pPr>
      <w:r w:rsidRPr="00AF3214">
        <w:rPr>
          <w:rFonts w:ascii="Narkisim" w:hAnsi="Narkisim" w:cs="Narkisim"/>
          <w:u w:val="single"/>
          <w:rtl/>
        </w:rPr>
        <w:t>רש"י ד"ה הקלת</w:t>
      </w:r>
      <w:r w:rsidRPr="00AF3214">
        <w:rPr>
          <w:rFonts w:ascii="Narkisim" w:hAnsi="Narkisim" w:cs="Narkisim"/>
          <w:rtl/>
        </w:rPr>
        <w:t>. ולא מינסבא עד דבדקה שפיר. ה</w:t>
      </w:r>
      <w:r w:rsidRPr="00AF3214">
        <w:rPr>
          <w:rFonts w:ascii="Narkisim" w:hAnsi="Narkisim" w:cs="Narkisim"/>
          <w:b/>
          <w:bCs/>
          <w:rtl/>
        </w:rPr>
        <w:t>אחרונים</w:t>
      </w:r>
      <w:r w:rsidRPr="00AF3214">
        <w:rPr>
          <w:rFonts w:ascii="Narkisim" w:hAnsi="Narkisim" w:cs="Narkisim"/>
          <w:rtl/>
        </w:rPr>
        <w:t xml:space="preserve"> העירו דלפ"ז בירור ההיתר הושלם רק במה שראינו שנשאת, דבשעת עדות העד עדיין תלוי ועומד שהאשה תדייק ותברר שודאי מת לפי דעתה. וה</w:t>
      </w:r>
      <w:r w:rsidRPr="00AF3214">
        <w:rPr>
          <w:rFonts w:ascii="Narkisim" w:hAnsi="Narkisim" w:cs="Narkisim"/>
          <w:b/>
          <w:bCs/>
          <w:rtl/>
        </w:rPr>
        <w:t>אחרונים</w:t>
      </w:r>
      <w:r w:rsidRPr="00AF3214">
        <w:rPr>
          <w:rFonts w:ascii="Narkisim" w:hAnsi="Narkisim" w:cs="Narkisim"/>
          <w:rtl/>
        </w:rPr>
        <w:t xml:space="preserve"> (נתיבות, הו' ברע"א השלם) הק' דמשמע בגמ' (ב"ב לב., וע"ע לקמן בע"ב) דבי"ד הורוה לינשא, ובשעת פסק דידהו כבר חל היתר</w:t>
      </w:r>
      <w:r w:rsidRPr="00AF3214">
        <w:rPr>
          <w:rStyle w:val="ac"/>
          <w:rFonts w:ascii="Narkisim" w:hAnsi="Narkisim" w:cs="Narkisim"/>
          <w:rtl/>
        </w:rPr>
        <w:footnoteReference w:id="5432"/>
      </w:r>
      <w:r w:rsidRPr="00AF3214">
        <w:rPr>
          <w:rFonts w:ascii="Narkisim" w:hAnsi="Narkisim" w:cs="Narkisim"/>
        </w:rPr>
        <w:t xml:space="preserve">. </w:t>
      </w:r>
      <w:r w:rsidRPr="00AF3214">
        <w:rPr>
          <w:rFonts w:ascii="Narkisim" w:hAnsi="Narkisim" w:cs="Narkisim"/>
          <w:rtl/>
        </w:rPr>
        <w:t>והנתיבות ביאר דכיון דהעד יודע שהאשה תידוק, ומש"ה לא חשיד לשקר, ועי"ז ההיתר נגמר לאלתר</w:t>
      </w:r>
      <w:r w:rsidRPr="00AF3214">
        <w:rPr>
          <w:rStyle w:val="ac"/>
          <w:rFonts w:ascii="Narkisim" w:hAnsi="Narkisim" w:cs="Narkisim"/>
          <w:rtl/>
        </w:rPr>
        <w:footnoteReference w:id="5433"/>
      </w:r>
      <w:r w:rsidRPr="00AF3214">
        <w:rPr>
          <w:rFonts w:ascii="Narkisim" w:hAnsi="Narkisim" w:cs="Narkisim"/>
        </w:rPr>
        <w:t>.</w:t>
      </w:r>
    </w:p>
    <w:p w14:paraId="654EA1BD"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(כ ט) כת' דהוה אומדנא דדרך בני אדם לדקדק מיד [בשעת העדות] אם אמת הדבר</w:t>
      </w:r>
      <w:r w:rsidRPr="00AF3214">
        <w:rPr>
          <w:rStyle w:val="ac"/>
          <w:rFonts w:ascii="Narkisim" w:hAnsi="Narkisim"/>
          <w:rtl/>
        </w:rPr>
        <w:footnoteReference w:id="5434"/>
      </w:r>
      <w:r w:rsidRPr="00AF3214">
        <w:rPr>
          <w:rFonts w:ascii="Narkisim" w:hAnsi="Narkisim"/>
        </w:rPr>
        <w:t xml:space="preserve">, </w:t>
      </w:r>
      <w:r w:rsidRPr="00AF3214">
        <w:rPr>
          <w:rFonts w:ascii="Narkisim" w:hAnsi="Narkisim"/>
          <w:rtl/>
        </w:rPr>
        <w:t>עד שבאין להחלטה</w:t>
      </w:r>
      <w:r w:rsidRPr="00AF3214">
        <w:rPr>
          <w:rStyle w:val="ac"/>
          <w:rFonts w:ascii="Narkisim" w:hAnsi="Narkisim"/>
          <w:rtl/>
        </w:rPr>
        <w:footnoteReference w:id="5435"/>
      </w:r>
      <w:r w:rsidRPr="00AF3214">
        <w:rPr>
          <w:rFonts w:ascii="Narkisim" w:hAnsi="Narkisim"/>
        </w:rPr>
        <w:t xml:space="preserve">. </w:t>
      </w:r>
      <w:r w:rsidRPr="00AF3214">
        <w:rPr>
          <w:rFonts w:ascii="Narkisim" w:hAnsi="Narkisim"/>
          <w:rtl/>
        </w:rPr>
        <w:t>ושוב אין מסתפקין בענינן</w:t>
      </w:r>
      <w:r w:rsidRPr="00AF3214">
        <w:rPr>
          <w:rFonts w:ascii="Narkisim" w:hAnsi="Narkisim"/>
        </w:rPr>
        <w:t>.</w:t>
      </w:r>
    </w:p>
    <w:p w14:paraId="149FB1E5" w14:textId="77777777" w:rsidR="006C4368" w:rsidRPr="00AF3214" w:rsidRDefault="006C4368" w:rsidP="006C4368">
      <w:pPr>
        <w:bidi/>
        <w:rPr>
          <w:rFonts w:ascii="Narkisim" w:hAnsi="Narkisim" w:cs="Narkisim"/>
        </w:rPr>
      </w:pPr>
      <w:r w:rsidRPr="00AF3214">
        <w:rPr>
          <w:rFonts w:ascii="Narkisim" w:hAnsi="Narkisim" w:cs="Narkisim"/>
          <w:rtl/>
        </w:rPr>
        <w:t>ו</w:t>
      </w:r>
      <w:r w:rsidRPr="00AF3214">
        <w:rPr>
          <w:rFonts w:ascii="Narkisim" w:hAnsi="Narkisim" w:cs="Narkisim"/>
          <w:b/>
          <w:bCs/>
          <w:rtl/>
        </w:rPr>
        <w:t>רע"א</w:t>
      </w:r>
      <w:r w:rsidRPr="00AF3214">
        <w:rPr>
          <w:rFonts w:ascii="Narkisim" w:hAnsi="Narkisim" w:cs="Narkisim"/>
          <w:rtl/>
        </w:rPr>
        <w:t xml:space="preserve"> (ק' קכד וקכה, הו' בע"ב) דן על אשה שנשאת באיסור [בלא ידיעה שמת בעלה], ואח"כ בא עד א' [שהבעל מת מעיקרא] לא מהני להתיר. דאילו הבעל קיים כבר מקולקלת, ובמה שנשארת אצל השני אין בזה תוספת חומר</w:t>
      </w:r>
      <w:r w:rsidRPr="00AF3214">
        <w:rPr>
          <w:rStyle w:val="ac"/>
          <w:rFonts w:ascii="Narkisim" w:hAnsi="Narkisim" w:cs="Narkisim"/>
          <w:rtl/>
        </w:rPr>
        <w:footnoteReference w:id="5436"/>
      </w:r>
      <w:r w:rsidRPr="00AF3214">
        <w:rPr>
          <w:rFonts w:ascii="Narkisim" w:hAnsi="Narkisim" w:cs="Narkisim"/>
        </w:rPr>
        <w:t>.</w:t>
      </w:r>
    </w:p>
    <w:p w14:paraId="4D7856B0" w14:textId="77777777" w:rsidR="006C4368" w:rsidRPr="00AF3214" w:rsidRDefault="006C4368" w:rsidP="006C4368">
      <w:pPr>
        <w:pStyle w:val="aa"/>
        <w:bidi/>
        <w:rPr>
          <w:rFonts w:ascii="Narkisim" w:hAnsi="Narkisim"/>
        </w:rPr>
      </w:pPr>
      <w:r w:rsidRPr="00AF3214">
        <w:rPr>
          <w:rFonts w:ascii="Narkisim" w:hAnsi="Narkisim"/>
          <w:rtl/>
        </w:rPr>
        <w:lastRenderedPageBreak/>
        <w:t>ו</w:t>
      </w:r>
      <w:r w:rsidRPr="00AF3214">
        <w:rPr>
          <w:rFonts w:ascii="Narkisim" w:hAnsi="Narkisim"/>
          <w:b/>
          <w:bCs/>
          <w:rtl/>
        </w:rPr>
        <w:t>רע"א</w:t>
      </w:r>
      <w:r w:rsidRPr="00AF3214">
        <w:rPr>
          <w:rFonts w:ascii="Narkisim" w:hAnsi="Narkisim"/>
          <w:rtl/>
        </w:rPr>
        <w:t xml:space="preserve"> (במשניות לעיל ס"פ ב) חידש דהיכא דבאו ב' עדים להתיר, וא' מהם חשוד לשקר אסורה. ולא אמרי' דל עדותו מהכא, וסגי בעד השני. דדוקא היכא שיודעת שהתירו ע"י עד א' אמרי' דדייקא ומינסבא. אבל כשיש ב' עדים היא סומכת על העדים, ולא דייקא כ"כ</w:t>
      </w:r>
      <w:r w:rsidRPr="00AF3214">
        <w:rPr>
          <w:rStyle w:val="ac"/>
          <w:rFonts w:ascii="Narkisim" w:hAnsi="Narkisim"/>
          <w:rtl/>
        </w:rPr>
        <w:footnoteReference w:id="5437"/>
      </w:r>
      <w:r w:rsidRPr="00AF3214">
        <w:rPr>
          <w:rFonts w:ascii="Narkisim" w:hAnsi="Narkisim"/>
        </w:rPr>
        <w:t xml:space="preserve">. </w:t>
      </w:r>
      <w:r w:rsidRPr="00AF3214">
        <w:rPr>
          <w:rFonts w:ascii="Narkisim" w:hAnsi="Narkisim"/>
          <w:rtl/>
        </w:rPr>
        <w:t>וא"כ אי אפשר להתיר ע"פ עד א</w:t>
      </w:r>
      <w:r w:rsidRPr="00AF3214">
        <w:rPr>
          <w:rFonts w:ascii="Narkisim" w:hAnsi="Narkisim"/>
        </w:rPr>
        <w:t>'.</w:t>
      </w:r>
    </w:p>
    <w:p w14:paraId="1CA27621" w14:textId="77777777" w:rsidR="006C4368" w:rsidRPr="00AF3214" w:rsidRDefault="006C4368" w:rsidP="006C4368">
      <w:pPr>
        <w:bidi/>
        <w:rPr>
          <w:rFonts w:ascii="Narkisim" w:hAnsi="Narkisim" w:cs="Narkisim"/>
        </w:rPr>
      </w:pPr>
      <w:r w:rsidRPr="00AF3214">
        <w:rPr>
          <w:rFonts w:ascii="Narkisim" w:hAnsi="Narkisim" w:cs="Narkisim"/>
          <w:u w:val="single"/>
          <w:rtl/>
        </w:rPr>
        <w:t>תוד"ה מתוך</w:t>
      </w:r>
      <w:r w:rsidRPr="00AF3214">
        <w:rPr>
          <w:rFonts w:ascii="Narkisim" w:hAnsi="Narkisim" w:cs="Narkisim"/>
          <w:rtl/>
        </w:rPr>
        <w:t>. שבדבר שיש קצת טעם וסמך לא חשיב עוקר דבר מן התורה. וז"ל ה</w:t>
      </w:r>
      <w:r w:rsidRPr="00AF3214">
        <w:rPr>
          <w:rFonts w:ascii="Narkisim" w:hAnsi="Narkisim" w:cs="Narkisim"/>
          <w:b/>
          <w:bCs/>
          <w:rtl/>
        </w:rPr>
        <w:t>תוס' רא"ש</w:t>
      </w:r>
      <w:r w:rsidRPr="00AF3214">
        <w:rPr>
          <w:rFonts w:ascii="Narkisim" w:hAnsi="Narkisim" w:cs="Narkisim"/>
          <w:rtl/>
        </w:rPr>
        <w:t xml:space="preserve"> דכיון שיש כאן עדות, ומסתבר להאמין העדים, לא חשיב לעבור על ד"ת כיון שיש קצת טעם וסמך לדבר</w:t>
      </w:r>
      <w:r w:rsidRPr="00AF3214">
        <w:rPr>
          <w:rFonts w:ascii="Narkisim" w:hAnsi="Narkisim" w:cs="Narkisim"/>
        </w:rPr>
        <w:t>.</w:t>
      </w:r>
    </w:p>
    <w:p w14:paraId="1F9AA1D0" w14:textId="77777777" w:rsidR="006C4368" w:rsidRPr="00AF3214" w:rsidRDefault="006C4368" w:rsidP="006C4368">
      <w:pPr>
        <w:bidi/>
        <w:rPr>
          <w:rFonts w:ascii="Narkisim" w:hAnsi="Narkisim" w:cs="Narkisim"/>
        </w:rPr>
      </w:pPr>
      <w:r w:rsidRPr="00AF3214">
        <w:rPr>
          <w:rFonts w:ascii="Narkisim" w:hAnsi="Narkisim" w:cs="Narkisim"/>
          <w:u w:val="single"/>
          <w:rtl/>
        </w:rPr>
        <w:t>בא"ד לא חשיב עוקר דבר מה"ת</w:t>
      </w:r>
      <w:r w:rsidRPr="00AF3214">
        <w:rPr>
          <w:rFonts w:ascii="Narkisim" w:hAnsi="Narkisim" w:cs="Narkisim"/>
          <w:rtl/>
        </w:rPr>
        <w:t>. דנח' האמוראים (לקמן פט: וצ:) אי יש כח ביד חכמים לעקור דבר מה"ת בקום ועשה. ו</w:t>
      </w:r>
      <w:r w:rsidRPr="00AF3214">
        <w:rPr>
          <w:rFonts w:ascii="Narkisim" w:hAnsi="Narkisim" w:cs="Narkisim"/>
          <w:b/>
          <w:bCs/>
          <w:rtl/>
        </w:rPr>
        <w:t>תוס</w:t>
      </w:r>
      <w:r w:rsidRPr="00AF3214">
        <w:rPr>
          <w:rFonts w:ascii="Narkisim" w:hAnsi="Narkisim" w:cs="Narkisim"/>
          <w:rtl/>
        </w:rPr>
        <w:t>' כת' דכשיש קצת טעם וסמך לא חשיב עקירת דבר מה"ת. ו</w:t>
      </w:r>
      <w:r w:rsidRPr="00AF3214">
        <w:rPr>
          <w:rFonts w:ascii="Narkisim" w:hAnsi="Narkisim" w:cs="Narkisim"/>
          <w:b/>
          <w:bCs/>
          <w:rtl/>
        </w:rPr>
        <w:t>תוס</w:t>
      </w:r>
      <w:r w:rsidRPr="00AF3214">
        <w:rPr>
          <w:rFonts w:ascii="Narkisim" w:hAnsi="Narkisim" w:cs="Narkisim"/>
          <w:rtl/>
        </w:rPr>
        <w:t>' (לקמן פט: ד"ה כיון) כת' דיש כח לחכמים לעקור בדבר הדומה, וכדפרישית לעיל (כאן)</w:t>
      </w:r>
      <w:r w:rsidRPr="00AF3214">
        <w:rPr>
          <w:rFonts w:ascii="Narkisim" w:hAnsi="Narkisim" w:cs="Narkisim"/>
        </w:rPr>
        <w:t>.</w:t>
      </w:r>
    </w:p>
    <w:p w14:paraId="0A3E6987" w14:textId="77777777" w:rsidR="006C4368" w:rsidRPr="00AF3214" w:rsidRDefault="006C4368" w:rsidP="006C4368">
      <w:pPr>
        <w:pStyle w:val="a7"/>
        <w:bidi/>
        <w:rPr>
          <w:rFonts w:ascii="Narkisim" w:hAnsi="Narkisim"/>
        </w:rPr>
      </w:pPr>
      <w:r w:rsidRPr="00AF3214">
        <w:rPr>
          <w:rFonts w:ascii="Narkisim" w:hAnsi="Narkisim"/>
          <w:rtl/>
        </w:rPr>
        <w:t xml:space="preserve">ועד"ז כת' </w:t>
      </w:r>
      <w:r w:rsidRPr="00AF3214">
        <w:rPr>
          <w:rFonts w:ascii="Narkisim" w:hAnsi="Narkisim"/>
          <w:b/>
          <w:bCs/>
          <w:rtl/>
        </w:rPr>
        <w:t>תוס'</w:t>
      </w:r>
      <w:r w:rsidRPr="00AF3214">
        <w:rPr>
          <w:rFonts w:ascii="Narkisim" w:hAnsi="Narkisim"/>
          <w:rtl/>
        </w:rPr>
        <w:t xml:space="preserve"> (נזיר מג:, ע' לקמן פט:) דבמקום שיש קצת פנים וטעם בדבר ודאי לכו"ע יש כח לעקור</w:t>
      </w:r>
      <w:r w:rsidRPr="00AF3214">
        <w:rPr>
          <w:rStyle w:val="ac"/>
          <w:rFonts w:ascii="Narkisim" w:hAnsi="Narkisim"/>
          <w:rtl/>
        </w:rPr>
        <w:footnoteReference w:id="5438"/>
      </w:r>
      <w:r w:rsidRPr="00AF3214">
        <w:rPr>
          <w:rFonts w:ascii="Narkisim" w:hAnsi="Narkisim"/>
        </w:rPr>
        <w:t xml:space="preserve">. </w:t>
      </w:r>
      <w:r w:rsidRPr="00AF3214">
        <w:rPr>
          <w:rFonts w:ascii="Narkisim" w:hAnsi="Narkisim"/>
          <w:rtl/>
        </w:rPr>
        <w:t>ותדע (מסוגיין) דבכולי סוגיה לא מייתי הא דאשה נאמנת לומר מת בעלי, דהרי עוקרה דבר תורה בקום ועשה</w:t>
      </w:r>
      <w:r w:rsidRPr="00AF3214">
        <w:rPr>
          <w:rStyle w:val="ac"/>
          <w:rFonts w:ascii="Narkisim" w:hAnsi="Narkisim"/>
          <w:rtl/>
        </w:rPr>
        <w:footnoteReference w:id="5439"/>
      </w:r>
      <w:r w:rsidRPr="00AF3214">
        <w:rPr>
          <w:rFonts w:ascii="Narkisim" w:hAnsi="Narkisim"/>
        </w:rPr>
        <w:t xml:space="preserve">. </w:t>
      </w:r>
      <w:r w:rsidRPr="00AF3214">
        <w:rPr>
          <w:rFonts w:ascii="Narkisim" w:hAnsi="Narkisim"/>
          <w:rtl/>
        </w:rPr>
        <w:t>וכן הביא ה</w:t>
      </w:r>
      <w:r w:rsidRPr="00AF3214">
        <w:rPr>
          <w:rFonts w:ascii="Narkisim" w:hAnsi="Narkisim"/>
          <w:b/>
          <w:bCs/>
          <w:rtl/>
        </w:rPr>
        <w:t>כס"מ</w:t>
      </w:r>
      <w:r w:rsidRPr="00AF3214">
        <w:rPr>
          <w:rFonts w:ascii="Narkisim" w:hAnsi="Narkisim"/>
          <w:rtl/>
        </w:rPr>
        <w:t xml:space="preserve"> (נדרים ג ט)</w:t>
      </w:r>
      <w:r w:rsidRPr="00AF3214">
        <w:rPr>
          <w:rStyle w:val="ac"/>
          <w:rFonts w:ascii="Narkisim" w:hAnsi="Narkisim"/>
          <w:rtl/>
        </w:rPr>
        <w:footnoteReference w:id="5440"/>
      </w:r>
      <w:r w:rsidRPr="00AF3214">
        <w:rPr>
          <w:rFonts w:ascii="Narkisim" w:hAnsi="Narkisim"/>
        </w:rPr>
        <w:t xml:space="preserve">, </w:t>
      </w:r>
      <w:r w:rsidRPr="00AF3214">
        <w:rPr>
          <w:rFonts w:ascii="Narkisim" w:hAnsi="Narkisim"/>
          <w:rtl/>
        </w:rPr>
        <w:t>וכת' דמאחר שדברי חכמים צריכין חיזוק שפיר יש פנים וטעם בדבר</w:t>
      </w:r>
      <w:r w:rsidRPr="00AF3214">
        <w:rPr>
          <w:rStyle w:val="ac"/>
          <w:rFonts w:ascii="Narkisim" w:hAnsi="Narkisim"/>
          <w:rtl/>
        </w:rPr>
        <w:footnoteReference w:id="5441"/>
      </w:r>
      <w:r w:rsidRPr="00AF3214">
        <w:rPr>
          <w:rFonts w:ascii="Narkisim" w:hAnsi="Narkisim"/>
        </w:rPr>
        <w:t>.</w:t>
      </w:r>
    </w:p>
    <w:p w14:paraId="17632607"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(בכ"מ, ע' מה שהו' לקמן צ:) כת' דיש כח ביד חכמים לעקור דבר מה"ת. וה</w:t>
      </w:r>
      <w:r w:rsidRPr="00AF3214">
        <w:rPr>
          <w:rFonts w:ascii="Narkisim" w:hAnsi="Narkisim"/>
          <w:b/>
          <w:bCs/>
          <w:rtl/>
        </w:rPr>
        <w:t>תומים</w:t>
      </w:r>
      <w:r w:rsidRPr="00AF3214">
        <w:rPr>
          <w:rFonts w:ascii="Narkisim" w:hAnsi="Narkisim"/>
          <w:rtl/>
        </w:rPr>
        <w:t xml:space="preserve"> (סה כא) וה</w:t>
      </w:r>
      <w:r w:rsidRPr="00AF3214">
        <w:rPr>
          <w:rFonts w:ascii="Narkisim" w:hAnsi="Narkisim"/>
          <w:b/>
          <w:bCs/>
          <w:rtl/>
        </w:rPr>
        <w:t>קצות</w:t>
      </w:r>
      <w:r w:rsidRPr="00AF3214">
        <w:rPr>
          <w:rFonts w:ascii="Narkisim" w:hAnsi="Narkisim"/>
          <w:rtl/>
        </w:rPr>
        <w:t xml:space="preserve"> (לד א) כת' דכוונתם דבכל הני יש גדר או טעם. וע"ד מש"כ התוס' כאן. וה</w:t>
      </w:r>
      <w:r w:rsidRPr="00AF3214">
        <w:rPr>
          <w:rFonts w:ascii="Narkisim" w:hAnsi="Narkisim"/>
          <w:b/>
          <w:bCs/>
          <w:rtl/>
        </w:rPr>
        <w:t>תומים</w:t>
      </w:r>
      <w:r w:rsidRPr="00AF3214">
        <w:rPr>
          <w:rFonts w:ascii="Narkisim" w:hAnsi="Narkisim"/>
          <w:rtl/>
        </w:rPr>
        <w:t xml:space="preserve"> כת' דה</w:t>
      </w:r>
      <w:r w:rsidRPr="00AF3214">
        <w:rPr>
          <w:rFonts w:ascii="Narkisim" w:hAnsi="Narkisim"/>
          <w:b/>
          <w:bCs/>
          <w:rtl/>
        </w:rPr>
        <w:t>ר"ן</w:t>
      </w:r>
      <w:r w:rsidRPr="00AF3214">
        <w:rPr>
          <w:rFonts w:ascii="Narkisim" w:hAnsi="Narkisim"/>
          <w:rtl/>
        </w:rPr>
        <w:t xml:space="preserve"> (נדרים צ:, יתבאר לקמן צ:) פליג דאין כח לחכמים לעקור דבר בקום ועשה, ואף במקום שיש קצת טעם</w:t>
      </w:r>
      <w:r w:rsidRPr="00AF3214">
        <w:rPr>
          <w:rFonts w:ascii="Narkisim" w:hAnsi="Narkisim"/>
        </w:rPr>
        <w:t>.</w:t>
      </w:r>
    </w:p>
    <w:p w14:paraId="51B6A70B" w14:textId="77777777" w:rsidR="006C4368" w:rsidRPr="00AF3214" w:rsidRDefault="006C4368" w:rsidP="006C4368">
      <w:pPr>
        <w:pStyle w:val="aa"/>
        <w:bidi/>
        <w:rPr>
          <w:rFonts w:ascii="Narkisim" w:hAnsi="Narkisim"/>
        </w:rPr>
      </w:pPr>
      <w:r w:rsidRPr="00AF3214">
        <w:rPr>
          <w:rFonts w:ascii="Narkisim" w:hAnsi="Narkisim"/>
          <w:rtl/>
        </w:rPr>
        <w:t>ויל"ד אי כוונת התוס' דכל היכא דיש טעם וסיבה לגזירה</w:t>
      </w:r>
      <w:r w:rsidRPr="00AF3214">
        <w:rPr>
          <w:rStyle w:val="ac"/>
          <w:rFonts w:ascii="Narkisim" w:hAnsi="Narkisim"/>
          <w:rtl/>
        </w:rPr>
        <w:footnoteReference w:id="5442"/>
      </w:r>
      <w:r w:rsidRPr="00AF3214">
        <w:rPr>
          <w:rFonts w:ascii="Narkisim" w:hAnsi="Narkisim"/>
        </w:rPr>
        <w:t xml:space="preserve"> </w:t>
      </w:r>
      <w:r w:rsidRPr="00AF3214">
        <w:rPr>
          <w:rFonts w:ascii="Narkisim" w:hAnsi="Narkisim"/>
          <w:rtl/>
        </w:rPr>
        <w:t>יש כח לתקן</w:t>
      </w:r>
      <w:r w:rsidRPr="00AF3214">
        <w:rPr>
          <w:rStyle w:val="ac"/>
          <w:rFonts w:ascii="Narkisim" w:hAnsi="Narkisim"/>
          <w:rtl/>
        </w:rPr>
        <w:footnoteReference w:id="5443"/>
      </w:r>
      <w:r w:rsidRPr="00AF3214">
        <w:rPr>
          <w:rFonts w:ascii="Narkisim" w:hAnsi="Narkisim"/>
        </w:rPr>
        <w:t xml:space="preserve">. </w:t>
      </w:r>
      <w:r w:rsidRPr="00AF3214">
        <w:rPr>
          <w:rFonts w:ascii="Narkisim" w:hAnsi="Narkisim"/>
          <w:rtl/>
        </w:rPr>
        <w:t>או דכוונת התוס' דהכא תקנו דחשיב כעין דאורייתא, ויש כח לחכמים לקבוע דאף אומדנא זו דדייקא ומינסבא דמי לגדרי עדות דאורייתא. ויש טעם וגדר לעקירתם</w:t>
      </w:r>
      <w:r w:rsidRPr="00AF3214">
        <w:rPr>
          <w:rFonts w:ascii="Narkisim" w:hAnsi="Narkisim"/>
        </w:rPr>
        <w:t>.</w:t>
      </w:r>
    </w:p>
    <w:p w14:paraId="67333C4B"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(כב) כת' דדעת תוס' ניתנה תורה על דעת חכמים להכריע מה מקרי ידיעה, וחכמים יקבעו בזה חוקים לכל ישראל או כל בי"ד לבני עירם. וכל שלא קבעו בי"ד לא מקרי ידיעה אלא בעדות ב' עדים. אבל היכא דחכמים ישבו וקבעו דבירור אחר יחשב עדות, הרי זה רצוי לפני המקום ע"פ התורה</w:t>
      </w:r>
      <w:r w:rsidRPr="00AF3214">
        <w:rPr>
          <w:rStyle w:val="ac"/>
          <w:rFonts w:ascii="Narkisim" w:hAnsi="Narkisim"/>
          <w:rtl/>
        </w:rPr>
        <w:footnoteReference w:id="5444"/>
      </w:r>
      <w:r w:rsidRPr="00AF3214">
        <w:rPr>
          <w:rFonts w:ascii="Narkisim" w:hAnsi="Narkisim"/>
        </w:rPr>
        <w:t>.</w:t>
      </w:r>
    </w:p>
    <w:p w14:paraId="339CE748" w14:textId="77777777" w:rsidR="006C4368" w:rsidRPr="00AF3214" w:rsidRDefault="006C4368" w:rsidP="006C4368">
      <w:pPr>
        <w:pStyle w:val="2"/>
        <w:bidi/>
        <w:rPr>
          <w:rFonts w:ascii="Narkisim" w:hAnsi="Narkisim"/>
        </w:rPr>
      </w:pPr>
      <w:r w:rsidRPr="00AF3214">
        <w:rPr>
          <w:rFonts w:ascii="Narkisim" w:hAnsi="Narkisim"/>
          <w:rtl/>
        </w:rPr>
        <w:t>תרי ותרי לא תצא</w:t>
      </w:r>
    </w:p>
    <w:p w14:paraId="25618D6C" w14:textId="77777777" w:rsidR="006C4368" w:rsidRPr="00AF3214" w:rsidRDefault="006C4368" w:rsidP="006C4368">
      <w:pPr>
        <w:bidi/>
        <w:rPr>
          <w:rFonts w:ascii="Narkisim" w:hAnsi="Narkisim" w:cs="Narkisim"/>
        </w:rPr>
      </w:pPr>
      <w:r w:rsidRPr="00AF3214">
        <w:rPr>
          <w:rFonts w:ascii="Narkisim" w:hAnsi="Narkisim" w:cs="Narkisim"/>
          <w:u w:val="single"/>
          <w:rtl/>
        </w:rPr>
        <w:t>תוד"ה אתא</w:t>
      </w:r>
      <w:r w:rsidRPr="00AF3214">
        <w:rPr>
          <w:rFonts w:ascii="Narkisim" w:hAnsi="Narkisim" w:cs="Narkisim"/>
          <w:rtl/>
        </w:rPr>
        <w:t>. הא תרי כק' דמו, וי"ל דלגבי דבר הנראה וידוע לכל וכו'. ובדבר הידוע [וברור לבי"ד] לא אמרי' תרי כמאה, וה</w:t>
      </w:r>
      <w:r w:rsidRPr="00AF3214">
        <w:rPr>
          <w:rFonts w:ascii="Narkisim" w:hAnsi="Narkisim" w:cs="Narkisim"/>
          <w:b/>
          <w:bCs/>
          <w:rtl/>
        </w:rPr>
        <w:t>אחרונים</w:t>
      </w:r>
      <w:r w:rsidRPr="00AF3214">
        <w:rPr>
          <w:rFonts w:ascii="Narkisim" w:hAnsi="Narkisim" w:cs="Narkisim"/>
          <w:rtl/>
        </w:rPr>
        <w:t xml:space="preserve"> הביאו מקור לזה מהא דאי' (ב"ק עד:) דהיכא דבא הרוג ברגליו [והבי"ד מכירים אותו] הוכחשו העדים, ומלקים אותם</w:t>
      </w:r>
      <w:r w:rsidRPr="00AF3214">
        <w:rPr>
          <w:rStyle w:val="ac"/>
          <w:rFonts w:ascii="Narkisim" w:hAnsi="Narkisim" w:cs="Narkisim"/>
          <w:rtl/>
        </w:rPr>
        <w:footnoteReference w:id="5445"/>
      </w:r>
      <w:r w:rsidRPr="00AF3214">
        <w:rPr>
          <w:rFonts w:ascii="Narkisim" w:hAnsi="Narkisim" w:cs="Narkisim"/>
        </w:rPr>
        <w:t>.</w:t>
      </w:r>
    </w:p>
    <w:p w14:paraId="2A7B4107"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הביאו ד</w:t>
      </w:r>
      <w:r w:rsidRPr="00AF3214">
        <w:rPr>
          <w:rFonts w:ascii="Narkisim" w:hAnsi="Narkisim"/>
          <w:b/>
          <w:bCs/>
          <w:rtl/>
        </w:rPr>
        <w:t>תוס</w:t>
      </w:r>
      <w:r w:rsidRPr="00AF3214">
        <w:rPr>
          <w:rFonts w:ascii="Narkisim" w:hAnsi="Narkisim"/>
          <w:rtl/>
        </w:rPr>
        <w:t>' (כתובות כב. ד"ה תרי) לא ס"ל כן. דתוס' כת' דהיכא דב' אומרים שהוא עבד אין כל העולם יכולים להכחישם, דתרי כמאה</w:t>
      </w:r>
      <w:r w:rsidRPr="00AF3214">
        <w:rPr>
          <w:rStyle w:val="ac"/>
          <w:rFonts w:ascii="Narkisim" w:hAnsi="Narkisim"/>
          <w:rtl/>
        </w:rPr>
        <w:footnoteReference w:id="5446"/>
      </w:r>
      <w:r w:rsidRPr="00AF3214">
        <w:rPr>
          <w:rFonts w:ascii="Narkisim" w:hAnsi="Narkisim"/>
        </w:rPr>
        <w:t xml:space="preserve">. </w:t>
      </w:r>
      <w:r w:rsidRPr="00AF3214">
        <w:rPr>
          <w:rFonts w:ascii="Narkisim" w:hAnsi="Narkisim"/>
          <w:rtl/>
        </w:rPr>
        <w:t>[וה</w:t>
      </w:r>
      <w:r w:rsidRPr="00AF3214">
        <w:rPr>
          <w:rFonts w:ascii="Narkisim" w:hAnsi="Narkisim"/>
          <w:b/>
          <w:bCs/>
          <w:rtl/>
        </w:rPr>
        <w:t>ש"ך</w:t>
      </w:r>
      <w:r w:rsidRPr="00AF3214">
        <w:rPr>
          <w:rFonts w:ascii="Narkisim" w:hAnsi="Narkisim"/>
          <w:rtl/>
        </w:rPr>
        <w:t xml:space="preserve"> (חו"מ מו סו) תי' קו' </w:t>
      </w:r>
      <w:r w:rsidRPr="00AF3214">
        <w:rPr>
          <w:rFonts w:ascii="Narkisim" w:hAnsi="Narkisim"/>
          <w:rtl/>
        </w:rPr>
        <w:lastRenderedPageBreak/>
        <w:t>התוס' שם ע"פ תוס' דידן, דבדבר העשוי ליגלות לכל העולם</w:t>
      </w:r>
      <w:r w:rsidRPr="00AF3214">
        <w:rPr>
          <w:rStyle w:val="ac"/>
          <w:rFonts w:ascii="Narkisim" w:hAnsi="Narkisim"/>
          <w:rtl/>
        </w:rPr>
        <w:footnoteReference w:id="5447"/>
      </w:r>
      <w:r w:rsidRPr="00AF3214">
        <w:rPr>
          <w:rFonts w:ascii="Narkisim" w:hAnsi="Narkisim"/>
        </w:rPr>
        <w:t xml:space="preserve"> </w:t>
      </w:r>
      <w:r w:rsidRPr="00AF3214">
        <w:rPr>
          <w:rFonts w:ascii="Narkisim" w:hAnsi="Narkisim"/>
          <w:rtl/>
        </w:rPr>
        <w:t>לא אמרינן תרי כמאה</w:t>
      </w:r>
      <w:r w:rsidRPr="00AF3214">
        <w:rPr>
          <w:rStyle w:val="ac"/>
          <w:rFonts w:ascii="Narkisim" w:hAnsi="Narkisim"/>
          <w:rtl/>
        </w:rPr>
        <w:footnoteReference w:id="5448"/>
      </w:r>
      <w:r w:rsidRPr="00AF3214">
        <w:rPr>
          <w:rFonts w:ascii="Narkisim" w:hAnsi="Narkisim"/>
          <w:rtl/>
        </w:rPr>
        <w:t>]</w:t>
      </w:r>
      <w:r w:rsidRPr="00AF3214">
        <w:rPr>
          <w:rFonts w:ascii="Narkisim" w:hAnsi="Narkisim"/>
        </w:rPr>
        <w:t>.</w:t>
      </w:r>
    </w:p>
    <w:p w14:paraId="557A6662"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נתיבות</w:t>
      </w:r>
      <w:r w:rsidRPr="00AF3214">
        <w:rPr>
          <w:rFonts w:ascii="Narkisim" w:hAnsi="Narkisim"/>
          <w:rtl/>
        </w:rPr>
        <w:t xml:space="preserve"> (מו ז) ביאר דתוס' (דידן) קאי בדבר התלוי בטביעת עין, וכן בכל מקום דתלוי בהכרה וטביעת עין</w:t>
      </w:r>
      <w:r w:rsidRPr="00AF3214">
        <w:rPr>
          <w:rStyle w:val="ac"/>
          <w:rFonts w:ascii="Narkisim" w:hAnsi="Narkisim"/>
          <w:rtl/>
        </w:rPr>
        <w:footnoteReference w:id="5449"/>
      </w:r>
      <w:r w:rsidRPr="00AF3214">
        <w:rPr>
          <w:rFonts w:ascii="Narkisim" w:hAnsi="Narkisim"/>
        </w:rPr>
        <w:t xml:space="preserve"> </w:t>
      </w:r>
      <w:r w:rsidRPr="00AF3214">
        <w:rPr>
          <w:rFonts w:ascii="Narkisim" w:hAnsi="Narkisim"/>
          <w:rtl/>
        </w:rPr>
        <w:t>לא אמרי' תרי כמאה. אלא אזלי' בתר רוב העולם ורוב דעות</w:t>
      </w:r>
      <w:r w:rsidRPr="00AF3214">
        <w:rPr>
          <w:rStyle w:val="ac"/>
          <w:rFonts w:ascii="Narkisim" w:hAnsi="Narkisim"/>
          <w:rtl/>
        </w:rPr>
        <w:footnoteReference w:id="5450"/>
      </w:r>
      <w:r w:rsidRPr="00AF3214">
        <w:rPr>
          <w:rFonts w:ascii="Narkisim" w:hAnsi="Narkisim"/>
        </w:rPr>
        <w:t>.</w:t>
      </w:r>
    </w:p>
    <w:p w14:paraId="53B6AA52"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נוב"י</w:t>
      </w:r>
      <w:r w:rsidRPr="00AF3214">
        <w:rPr>
          <w:rFonts w:ascii="Narkisim" w:hAnsi="Narkisim"/>
          <w:rtl/>
        </w:rPr>
        <w:t xml:space="preserve"> (ק' סה) כת' דלעולם אמרי' תרי ככולי עלמא, אלא כיון שהבי"ד וכו"ע מכירין אותו הם חייבים להפריש האשה מאיסורא, שהם עצמם יודעים שהעדים משקרים. [ואף דבגדרי הבי"ד אמרי' תרי כמאה]</w:t>
      </w:r>
      <w:r w:rsidRPr="00AF3214">
        <w:rPr>
          <w:rFonts w:ascii="Narkisim" w:hAnsi="Narkisim"/>
        </w:rPr>
        <w:t>.</w:t>
      </w:r>
    </w:p>
    <w:p w14:paraId="21B0FB22" w14:textId="77777777" w:rsidR="006C4368" w:rsidRPr="00AF3214" w:rsidRDefault="006C4368" w:rsidP="006C4368">
      <w:pPr>
        <w:bidi/>
        <w:rPr>
          <w:rFonts w:ascii="Narkisim" w:hAnsi="Narkisim" w:cs="Narkisim"/>
        </w:rPr>
      </w:pPr>
      <w:r w:rsidRPr="00AF3214">
        <w:rPr>
          <w:rFonts w:ascii="Narkisim" w:hAnsi="Narkisim" w:cs="Narkisim"/>
          <w:u w:val="single"/>
          <w:rtl/>
        </w:rPr>
        <w:t>ל"צ דאתו בי תרי ואמרי אנן הוינן בהדיה וכו' ואתון הוא דלא ידעיתו ליה, דכתיב ויכר יוסף וכו</w:t>
      </w:r>
      <w:r w:rsidRPr="00AF3214">
        <w:rPr>
          <w:rFonts w:ascii="Narkisim" w:hAnsi="Narkisim" w:cs="Narkisim"/>
          <w:rtl/>
        </w:rPr>
        <w:t>'. [וכה"ג לא נחשב דבר הנראה וידוע, אלא הוה תרי ותרי בעלמא]</w:t>
      </w:r>
      <w:r w:rsidRPr="00AF3214">
        <w:rPr>
          <w:rFonts w:ascii="Narkisim" w:hAnsi="Narkisim" w:cs="Narkisim"/>
        </w:rPr>
        <w:t>.</w:t>
      </w:r>
    </w:p>
    <w:p w14:paraId="1D9F1E0C"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מהר"י בן לב</w:t>
      </w:r>
      <w:r w:rsidRPr="00AF3214">
        <w:rPr>
          <w:rFonts w:ascii="Narkisim" w:hAnsi="Narkisim"/>
          <w:rtl/>
        </w:rPr>
        <w:t xml:space="preserve"> (ב מה, ציינו הגהש"ס) דייק דדוקא שהעדים אמרו אנן הוינן בהדיה מכי נפיק וכו', אבל בלאו הכי אינם נאמנים. דאל"כ הו"ל לגמ' לומר כגון דאיכא במתא גברי דידעי ליה בטביעות עין, מההוא זימנא דנפק</w:t>
      </w:r>
      <w:r w:rsidRPr="00AF3214">
        <w:rPr>
          <w:rFonts w:ascii="Narkisim" w:hAnsi="Narkisim"/>
        </w:rPr>
        <w:t>.</w:t>
      </w:r>
    </w:p>
    <w:p w14:paraId="7C506BE7" w14:textId="77777777" w:rsidR="006C4368" w:rsidRPr="00AF3214" w:rsidRDefault="006C4368" w:rsidP="006C4368">
      <w:pPr>
        <w:pStyle w:val="a7"/>
        <w:bidi/>
        <w:rPr>
          <w:rFonts w:ascii="Narkisim" w:hAnsi="Narkisim"/>
        </w:rPr>
      </w:pPr>
      <w:r w:rsidRPr="00AF3214">
        <w:rPr>
          <w:rFonts w:ascii="Narkisim" w:hAnsi="Narkisim"/>
          <w:rtl/>
        </w:rPr>
        <w:t>וכת' דאפשר שהרגילות הוא שמכיר, ואפי' יצאו בלא חתימת זקן. וכיון דבעירו לא הכירו אותו, דחוק להעמידשיש קצת שמכירין אותו. ומש"ה העמידו דהוו בהדיה מכי נפק ועד השתא</w:t>
      </w:r>
      <w:r w:rsidRPr="00AF3214">
        <w:rPr>
          <w:rFonts w:ascii="Narkisim" w:hAnsi="Narkisim"/>
        </w:rPr>
        <w:t>.</w:t>
      </w:r>
    </w:p>
    <w:p w14:paraId="344869F1" w14:textId="77777777" w:rsidR="006C4368" w:rsidRPr="00AF3214" w:rsidRDefault="006C4368" w:rsidP="006C4368">
      <w:pPr>
        <w:pStyle w:val="a7"/>
        <w:bidi/>
        <w:rPr>
          <w:rFonts w:ascii="Narkisim" w:hAnsi="Narkisim"/>
        </w:rPr>
      </w:pPr>
      <w:r w:rsidRPr="00AF3214">
        <w:rPr>
          <w:rFonts w:ascii="Narkisim" w:hAnsi="Narkisim"/>
          <w:rtl/>
        </w:rPr>
        <w:t>א"נ אפשר דכיון דכולהו בני מתא לא הוו ידעינן ליה, ב' עדים שאמרו דידעין ליה בטלה דעתייהו, דכיון דנשתנו פניו עד שכל בני העיר אינם מכירים אותו לא מאמינים לעדים אלו, אי לאו דאמרי דהוו בהדיה מכי נפק ועד השתא</w:t>
      </w:r>
      <w:r w:rsidRPr="00AF3214">
        <w:rPr>
          <w:rFonts w:ascii="Narkisim" w:hAnsi="Narkisim"/>
        </w:rPr>
        <w:t>.</w:t>
      </w:r>
    </w:p>
    <w:p w14:paraId="5915011D" w14:textId="77777777" w:rsidR="006C4368" w:rsidRPr="00AF3214" w:rsidRDefault="006C4368" w:rsidP="006C4368">
      <w:pPr>
        <w:pStyle w:val="3"/>
        <w:bidi/>
        <w:rPr>
          <w:rFonts w:ascii="Narkisim" w:hAnsi="Narkisim"/>
        </w:rPr>
      </w:pPr>
      <w:r w:rsidRPr="00AF3214">
        <w:rPr>
          <w:rFonts w:ascii="Narkisim" w:hAnsi="Narkisim"/>
          <w:rtl/>
        </w:rPr>
        <w:t>דף פח</w:t>
      </w:r>
      <w:r w:rsidRPr="00AF3214">
        <w:rPr>
          <w:rFonts w:ascii="Narkisim" w:hAnsi="Narkisim"/>
        </w:rPr>
        <w:t>:</w:t>
      </w:r>
    </w:p>
    <w:p w14:paraId="15D8A914" w14:textId="77777777" w:rsidR="006C4368" w:rsidRPr="00AF3214" w:rsidRDefault="006C4368" w:rsidP="006C4368">
      <w:pPr>
        <w:pStyle w:val="aa"/>
        <w:bidi/>
        <w:rPr>
          <w:rFonts w:ascii="Narkisim" w:hAnsi="Narkisim"/>
        </w:rPr>
      </w:pPr>
      <w:r w:rsidRPr="00AF3214">
        <w:rPr>
          <w:rFonts w:ascii="Narkisim" w:hAnsi="Narkisim"/>
          <w:u w:val="single"/>
          <w:rtl/>
        </w:rPr>
        <w:t>והבא עליה באשם תלוי קאי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(כתובות כב:) בא על ספק כרת. ובפשוטו קו' הגמ' משום חומר איסור כרת [שהרי מביא קרבן מספק]. אבל מדברי </w:t>
      </w:r>
      <w:r w:rsidRPr="00AF3214">
        <w:rPr>
          <w:rFonts w:ascii="Narkisim" w:hAnsi="Narkisim"/>
          <w:b/>
          <w:bCs/>
          <w:rtl/>
        </w:rPr>
        <w:t>רש"י</w:t>
      </w:r>
      <w:r w:rsidRPr="00AF3214">
        <w:rPr>
          <w:rFonts w:ascii="Narkisim" w:hAnsi="Narkisim"/>
          <w:rtl/>
        </w:rPr>
        <w:t xml:space="preserve"> (בתי' הגמ') משמע דהגמ' מק' אשם תלוי דוקא [ותי' דאין ליבו נוקפו ליכא אשם]. וביארו ע"פ דברי ה</w:t>
      </w:r>
      <w:r w:rsidRPr="00AF3214">
        <w:rPr>
          <w:rFonts w:ascii="Narkisim" w:hAnsi="Narkisim"/>
          <w:b/>
          <w:bCs/>
          <w:rtl/>
        </w:rPr>
        <w:t>אחרונים</w:t>
      </w:r>
      <w:r w:rsidRPr="00AF3214">
        <w:rPr>
          <w:rFonts w:ascii="Narkisim" w:hAnsi="Narkisim"/>
          <w:rtl/>
        </w:rPr>
        <w:t xml:space="preserve"> (הו' בש"ש א א) דאף לדעת ה</w:t>
      </w:r>
      <w:r w:rsidRPr="00AF3214">
        <w:rPr>
          <w:rFonts w:ascii="Narkisim" w:hAnsi="Narkisim"/>
          <w:b/>
          <w:bCs/>
          <w:rtl/>
        </w:rPr>
        <w:t>רמב"ם</w:t>
      </w:r>
      <w:r w:rsidRPr="00AF3214">
        <w:rPr>
          <w:rFonts w:ascii="Narkisim" w:hAnsi="Narkisim"/>
          <w:rtl/>
        </w:rPr>
        <w:t xml:space="preserve"> (טומאת מת ט יב) דספק דאורייתא מותר בדאורייתא, היכא דיש חיוב אשם תלוי גלי רחמנא דאסור מספק</w:t>
      </w:r>
      <w:r w:rsidRPr="00AF3214">
        <w:rPr>
          <w:rFonts w:ascii="Narkisim" w:hAnsi="Narkisim"/>
        </w:rPr>
        <w:t>.</w:t>
      </w:r>
    </w:p>
    <w:p w14:paraId="33DB1B30" w14:textId="77777777" w:rsidR="006C4368" w:rsidRPr="00AF3214" w:rsidRDefault="006C4368" w:rsidP="006C4368">
      <w:pPr>
        <w:bidi/>
        <w:rPr>
          <w:rFonts w:ascii="Narkisim" w:hAnsi="Narkisim" w:cs="Narkisim"/>
        </w:rPr>
      </w:pPr>
      <w:r w:rsidRPr="00AF3214">
        <w:rPr>
          <w:rFonts w:ascii="Narkisim" w:hAnsi="Narkisim" w:cs="Narkisim"/>
          <w:u w:val="single"/>
          <w:rtl/>
        </w:rPr>
        <w:t>כשנשאת לא' מעדיה וכו'</w:t>
      </w:r>
      <w:r w:rsidRPr="00AF3214">
        <w:rPr>
          <w:rFonts w:ascii="Narkisim" w:hAnsi="Narkisim" w:cs="Narkisim"/>
          <w:rtl/>
        </w:rPr>
        <w:t>. ה</w:t>
      </w:r>
      <w:r w:rsidRPr="00AF3214">
        <w:rPr>
          <w:rFonts w:ascii="Narkisim" w:hAnsi="Narkisim" w:cs="Narkisim"/>
          <w:b/>
          <w:bCs/>
          <w:rtl/>
        </w:rPr>
        <w:t>תו"י</w:t>
      </w:r>
      <w:r w:rsidRPr="00AF3214">
        <w:rPr>
          <w:rFonts w:ascii="Narkisim" w:hAnsi="Narkisim" w:cs="Narkisim"/>
          <w:rtl/>
        </w:rPr>
        <w:t xml:space="preserve"> (ושא"ר) הק' דאי' (לעיל כה.) דעד המעיד שמת לא ישא את אשתו. ו</w:t>
      </w:r>
      <w:r w:rsidRPr="00AF3214">
        <w:rPr>
          <w:rFonts w:ascii="Narkisim" w:hAnsi="Narkisim" w:cs="Narkisim"/>
          <w:b/>
          <w:bCs/>
          <w:rtl/>
        </w:rPr>
        <w:t>ר"ח</w:t>
      </w:r>
      <w:r w:rsidRPr="00AF3214">
        <w:rPr>
          <w:rFonts w:ascii="Narkisim" w:hAnsi="Narkisim" w:cs="Narkisim"/>
          <w:rtl/>
        </w:rPr>
        <w:t xml:space="preserve"> (הו' ברשב"א) תי' דאיירי כשיש ג' עדים, ומלבד זה שנושאה יש ב' עדים</w:t>
      </w:r>
      <w:r w:rsidRPr="00AF3214">
        <w:rPr>
          <w:rStyle w:val="ac"/>
          <w:rFonts w:ascii="Narkisim" w:hAnsi="Narkisim" w:cs="Narkisim"/>
          <w:rtl/>
        </w:rPr>
        <w:footnoteReference w:id="5451"/>
      </w:r>
      <w:r w:rsidRPr="00AF3214">
        <w:rPr>
          <w:rFonts w:ascii="Narkisim" w:hAnsi="Narkisim" w:cs="Narkisim"/>
        </w:rPr>
        <w:t>.</w:t>
      </w:r>
    </w:p>
    <w:p w14:paraId="77AEDFBE" w14:textId="77777777" w:rsidR="006C4368" w:rsidRPr="00AF3214" w:rsidRDefault="006C4368" w:rsidP="006C4368">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xml:space="preserve"> (כתובות כב:) כת' דבב' עדים לא חששו, דב' עדים אינם חשודים [ע' תוס' כה: ד"ה לא], ומותר לינשא לא' מהעדים. אך התו"י פשיט"ל דאף בב' עדים לא ישא, וע"כ הוה משום לעז ולא משום חשד. ועפ"ז נקט דאף כשיש עדים נוספים</w:t>
      </w:r>
      <w:r w:rsidRPr="00AF3214">
        <w:rPr>
          <w:rStyle w:val="ac"/>
          <w:rFonts w:ascii="Narkisim" w:hAnsi="Narkisim"/>
          <w:rtl/>
        </w:rPr>
        <w:footnoteReference w:id="5452"/>
      </w:r>
      <w:r w:rsidRPr="00AF3214">
        <w:rPr>
          <w:rFonts w:ascii="Narkisim" w:hAnsi="Narkisim"/>
        </w:rPr>
        <w:t>.</w:t>
      </w:r>
    </w:p>
    <w:p w14:paraId="0ACA7E07"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תו"י</w:t>
      </w:r>
      <w:r w:rsidRPr="00AF3214">
        <w:rPr>
          <w:rFonts w:ascii="Narkisim" w:hAnsi="Narkisim"/>
          <w:rtl/>
        </w:rPr>
        <w:t xml:space="preserve"> תי' דאיירי שהיה לו אשה ואח"כ מתה</w:t>
      </w:r>
      <w:r w:rsidRPr="00AF3214">
        <w:rPr>
          <w:rFonts w:ascii="Narkisim" w:hAnsi="Narkisim"/>
        </w:rPr>
        <w:t>.</w:t>
      </w:r>
    </w:p>
    <w:p w14:paraId="15518BB7"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תי' דבדיעבד לא תצא, וקי"ל (לעיל כה:) דברננה לא מפקינן. וה</w:t>
      </w:r>
      <w:r w:rsidRPr="00AF3214">
        <w:rPr>
          <w:rFonts w:ascii="Narkisim" w:hAnsi="Narkisim"/>
          <w:b/>
          <w:bCs/>
          <w:rtl/>
        </w:rPr>
        <w:t>אחרונים</w:t>
      </w:r>
      <w:r w:rsidRPr="00AF3214">
        <w:rPr>
          <w:rFonts w:ascii="Narkisim" w:hAnsi="Narkisim"/>
          <w:rtl/>
        </w:rPr>
        <w:t xml:space="preserve"> (הר"א ברודא בשו"ת חכ"צ ב) הק' על קושיית התוס' ושא"ר (הנ"ל), דהא איירי בסוגיין בדיעבד שנשאת</w:t>
      </w:r>
      <w:r w:rsidRPr="00AF3214">
        <w:rPr>
          <w:rStyle w:val="ac"/>
          <w:rFonts w:ascii="Narkisim" w:hAnsi="Narkisim"/>
          <w:rtl/>
        </w:rPr>
        <w:footnoteReference w:id="5453"/>
      </w:r>
      <w:r w:rsidRPr="00AF3214">
        <w:rPr>
          <w:rFonts w:ascii="Narkisim" w:hAnsi="Narkisim"/>
        </w:rPr>
        <w:t xml:space="preserve">. </w:t>
      </w:r>
      <w:r w:rsidRPr="00AF3214">
        <w:rPr>
          <w:rFonts w:ascii="Narkisim" w:hAnsi="Narkisim"/>
          <w:rtl/>
        </w:rPr>
        <w:t>אך ה</w:t>
      </w:r>
      <w:r w:rsidRPr="00AF3214">
        <w:rPr>
          <w:rFonts w:ascii="Narkisim" w:hAnsi="Narkisim"/>
          <w:b/>
          <w:bCs/>
          <w:rtl/>
        </w:rPr>
        <w:t>תו"י</w:t>
      </w:r>
      <w:r w:rsidRPr="00AF3214">
        <w:rPr>
          <w:rFonts w:ascii="Narkisim" w:hAnsi="Narkisim"/>
          <w:rtl/>
        </w:rPr>
        <w:t xml:space="preserve"> (לעיל כה: ב ועוד ראשונים שם) נקטו דלא קאי התם על עד המעיד, </w:t>
      </w:r>
      <w:r w:rsidRPr="00AF3214">
        <w:rPr>
          <w:rFonts w:ascii="Narkisim" w:hAnsi="Narkisim"/>
          <w:rtl/>
        </w:rPr>
        <w:lastRenderedPageBreak/>
        <w:t>דאילו הרננה אמת ומשקר אסורה לו מה"ת. וה</w:t>
      </w:r>
      <w:r w:rsidRPr="00AF3214">
        <w:rPr>
          <w:rFonts w:ascii="Narkisim" w:hAnsi="Narkisim"/>
          <w:b/>
          <w:bCs/>
          <w:rtl/>
        </w:rPr>
        <w:t>גר"א</w:t>
      </w:r>
      <w:r w:rsidRPr="00AF3214">
        <w:rPr>
          <w:rFonts w:ascii="Narkisim" w:hAnsi="Narkisim"/>
          <w:rtl/>
        </w:rPr>
        <w:t xml:space="preserve"> (יז קכא) ציין דתוס' (כתובות) ס"ל דעד המעיד כנס מוציא</w:t>
      </w:r>
      <w:r w:rsidRPr="00AF3214">
        <w:rPr>
          <w:rStyle w:val="ac"/>
          <w:rFonts w:ascii="Narkisim" w:hAnsi="Narkisim"/>
          <w:rtl/>
        </w:rPr>
        <w:footnoteReference w:id="5454"/>
      </w:r>
      <w:r w:rsidRPr="00AF3214">
        <w:rPr>
          <w:rFonts w:ascii="Narkisim" w:hAnsi="Narkisim"/>
        </w:rPr>
        <w:t>.</w:t>
      </w:r>
    </w:p>
    <w:p w14:paraId="7469B5A8" w14:textId="77777777" w:rsidR="006C4368" w:rsidRPr="00AF3214" w:rsidRDefault="006C4368" w:rsidP="006C4368">
      <w:pPr>
        <w:pStyle w:val="aa"/>
        <w:bidi/>
        <w:rPr>
          <w:rFonts w:ascii="Narkisim" w:hAnsi="Narkisim"/>
        </w:rPr>
      </w:pPr>
      <w:r w:rsidRPr="00AF3214">
        <w:rPr>
          <w:rFonts w:ascii="Narkisim" w:hAnsi="Narkisim"/>
          <w:u w:val="single"/>
          <w:rtl/>
        </w:rPr>
        <w:t>היא גופה באשת תלוי קיימא, באומרת ברי לי וכו'</w:t>
      </w:r>
      <w:r w:rsidRPr="00AF3214">
        <w:rPr>
          <w:rFonts w:ascii="Narkisim" w:hAnsi="Narkisim"/>
          <w:rtl/>
        </w:rPr>
        <w:t>. ה</w:t>
      </w:r>
      <w:r w:rsidRPr="00AF3214">
        <w:rPr>
          <w:rFonts w:ascii="Narkisim" w:hAnsi="Narkisim"/>
          <w:b/>
          <w:bCs/>
          <w:rtl/>
        </w:rPr>
        <w:t>אחרונים</w:t>
      </w:r>
      <w:r w:rsidRPr="00AF3214">
        <w:rPr>
          <w:rFonts w:ascii="Narkisim" w:hAnsi="Narkisim"/>
          <w:rtl/>
        </w:rPr>
        <w:t xml:space="preserve"> (השואל בנוב"י ת' כג) הק' לדברי ה</w:t>
      </w:r>
      <w:r w:rsidRPr="00AF3214">
        <w:rPr>
          <w:rFonts w:ascii="Narkisim" w:hAnsi="Narkisim"/>
          <w:b/>
          <w:bCs/>
          <w:rtl/>
        </w:rPr>
        <w:t>רא"מ</w:t>
      </w:r>
      <w:r w:rsidRPr="00AF3214">
        <w:rPr>
          <w:rFonts w:ascii="Narkisim" w:hAnsi="Narkisim"/>
          <w:rtl/>
        </w:rPr>
        <w:t xml:space="preserve"> (בתוס' ורשב"א נדרים צ:, הו' לעיל פד:) דהאיסור של האשה תלי באיסור לבעל</w:t>
      </w:r>
      <w:r w:rsidRPr="00AF3214">
        <w:rPr>
          <w:rStyle w:val="ac"/>
          <w:rFonts w:ascii="Narkisim" w:hAnsi="Narkisim"/>
          <w:rtl/>
        </w:rPr>
        <w:footnoteReference w:id="5455"/>
      </w:r>
      <w:r w:rsidRPr="00AF3214">
        <w:rPr>
          <w:rFonts w:ascii="Narkisim" w:hAnsi="Narkisim"/>
        </w:rPr>
        <w:t xml:space="preserve">, </w:t>
      </w:r>
      <w:r w:rsidRPr="00AF3214">
        <w:rPr>
          <w:rFonts w:ascii="Narkisim" w:hAnsi="Narkisim"/>
          <w:rtl/>
        </w:rPr>
        <w:t>והיכא דהוא אינו יודע אף היא אינה מוזהרת. א"כ הכא נימא דסגי דהעד יודע שמותרת לו, וממילא אף היא מותרת</w:t>
      </w:r>
      <w:r w:rsidRPr="00AF3214">
        <w:rPr>
          <w:rStyle w:val="ac"/>
          <w:rFonts w:ascii="Narkisim" w:hAnsi="Narkisim"/>
          <w:rtl/>
        </w:rPr>
        <w:footnoteReference w:id="5456"/>
      </w:r>
      <w:r w:rsidRPr="00AF3214">
        <w:rPr>
          <w:rFonts w:ascii="Narkisim" w:hAnsi="Narkisim"/>
        </w:rPr>
        <w:t>.</w:t>
      </w:r>
    </w:p>
    <w:p w14:paraId="166AE77E" w14:textId="77777777" w:rsidR="006C4368" w:rsidRPr="00AF3214" w:rsidRDefault="006C4368" w:rsidP="006C4368">
      <w:pPr>
        <w:bidi/>
        <w:rPr>
          <w:rFonts w:ascii="Narkisim" w:hAnsi="Narkisim" w:cs="Narkisim"/>
        </w:rPr>
      </w:pPr>
      <w:r w:rsidRPr="00AF3214">
        <w:rPr>
          <w:rFonts w:ascii="Narkisim" w:hAnsi="Narkisim" w:cs="Narkisim"/>
          <w:u w:val="single"/>
          <w:rtl/>
        </w:rPr>
        <w:t>באומרת ברי לי</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כגון ע"י סימנים, ואשם תלוי אינו בא אלא על מי שליבו נוקפו</w:t>
      </w:r>
      <w:r w:rsidRPr="00AF3214">
        <w:rPr>
          <w:rStyle w:val="ac"/>
          <w:rFonts w:ascii="Narkisim" w:hAnsi="Narkisim" w:cs="Narkisim"/>
          <w:rtl/>
        </w:rPr>
        <w:footnoteReference w:id="5457"/>
      </w:r>
      <w:r w:rsidRPr="00AF3214">
        <w:rPr>
          <w:rFonts w:ascii="Narkisim" w:hAnsi="Narkisim" w:cs="Narkisim"/>
        </w:rPr>
        <w:t xml:space="preserve">. </w:t>
      </w:r>
      <w:r w:rsidRPr="00AF3214">
        <w:rPr>
          <w:rFonts w:ascii="Narkisim" w:hAnsi="Narkisim" w:cs="Narkisim"/>
          <w:rtl/>
        </w:rPr>
        <w:t>משמע דאינו ידיעה ברורה</w:t>
      </w:r>
      <w:r w:rsidRPr="00AF3214">
        <w:rPr>
          <w:rStyle w:val="ac"/>
          <w:rFonts w:ascii="Narkisim" w:hAnsi="Narkisim" w:cs="Narkisim"/>
          <w:rtl/>
        </w:rPr>
        <w:footnoteReference w:id="5458"/>
      </w:r>
      <w:r w:rsidRPr="00AF3214">
        <w:rPr>
          <w:rFonts w:ascii="Narkisim" w:hAnsi="Narkisim" w:cs="Narkisim"/>
        </w:rPr>
        <w:t xml:space="preserve">, </w:t>
      </w:r>
      <w:r w:rsidRPr="00AF3214">
        <w:rPr>
          <w:rFonts w:ascii="Narkisim" w:hAnsi="Narkisim" w:cs="Narkisim"/>
          <w:rtl/>
        </w:rPr>
        <w:t>אלא שנראה לה העיקר כך ואין ליבה נוקפה</w:t>
      </w:r>
      <w:r w:rsidRPr="00AF3214">
        <w:rPr>
          <w:rStyle w:val="ac"/>
          <w:rFonts w:ascii="Narkisim" w:hAnsi="Narkisim" w:cs="Narkisim"/>
          <w:rtl/>
        </w:rPr>
        <w:footnoteReference w:id="5459"/>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(וכן הרא"ה כתובות כב:) הק' דאף דליכא חיוב אשם תלוי, מ"מ לא נפיק מידי ספק</w:t>
      </w:r>
      <w:r w:rsidRPr="00AF3214">
        <w:rPr>
          <w:rStyle w:val="ac"/>
          <w:rFonts w:ascii="Narkisim" w:hAnsi="Narkisim" w:cs="Narkisim"/>
          <w:rtl/>
        </w:rPr>
        <w:footnoteReference w:id="5460"/>
      </w:r>
      <w:r w:rsidRPr="00AF3214">
        <w:rPr>
          <w:rFonts w:ascii="Narkisim" w:hAnsi="Narkisim" w:cs="Narkisim"/>
        </w:rPr>
        <w:t xml:space="preserve"> </w:t>
      </w:r>
      <w:r w:rsidRPr="00AF3214">
        <w:rPr>
          <w:rFonts w:ascii="Narkisim" w:hAnsi="Narkisim" w:cs="Narkisim"/>
          <w:rtl/>
        </w:rPr>
        <w:t>איסור</w:t>
      </w:r>
      <w:r w:rsidRPr="00AF3214">
        <w:rPr>
          <w:rStyle w:val="ac"/>
          <w:rFonts w:ascii="Narkisim" w:hAnsi="Narkisim" w:cs="Narkisim"/>
          <w:rtl/>
        </w:rPr>
        <w:footnoteReference w:id="5461"/>
      </w:r>
      <w:r w:rsidRPr="00AF3214">
        <w:rPr>
          <w:rFonts w:ascii="Narkisim" w:hAnsi="Narkisim" w:cs="Narkisim"/>
        </w:rPr>
        <w:t xml:space="preserve">, </w:t>
      </w:r>
      <w:r w:rsidRPr="00AF3214">
        <w:rPr>
          <w:rFonts w:ascii="Narkisim" w:hAnsi="Narkisim" w:cs="Narkisim"/>
          <w:rtl/>
        </w:rPr>
        <w:t>והאיך לא תצא. ועוה"ק דהלשון 'ברי לי' לא משמע כן. וה</w:t>
      </w:r>
      <w:r w:rsidRPr="00AF3214">
        <w:rPr>
          <w:rFonts w:ascii="Narkisim" w:hAnsi="Narkisim" w:cs="Narkisim"/>
          <w:b/>
          <w:bCs/>
          <w:rtl/>
        </w:rPr>
        <w:t>ריטב"א</w:t>
      </w:r>
      <w:r w:rsidRPr="00AF3214">
        <w:rPr>
          <w:rFonts w:ascii="Narkisim" w:hAnsi="Narkisim" w:cs="Narkisim"/>
          <w:rtl/>
        </w:rPr>
        <w:t xml:space="preserve"> (והרא"ה ור"ן כתובות שם) פי' דאומרת ברי לי ממש</w:t>
      </w:r>
      <w:r w:rsidRPr="00AF3214">
        <w:rPr>
          <w:rStyle w:val="ac"/>
          <w:rFonts w:ascii="Narkisim" w:hAnsi="Narkisim" w:cs="Narkisim"/>
          <w:rtl/>
        </w:rPr>
        <w:footnoteReference w:id="5462"/>
      </w:r>
      <w:r w:rsidRPr="00AF3214">
        <w:rPr>
          <w:rFonts w:ascii="Narkisim" w:hAnsi="Narkisim" w:cs="Narkisim"/>
        </w:rPr>
        <w:t>.</w:t>
      </w:r>
    </w:p>
    <w:p w14:paraId="1E3F912F"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גרי"ז</w:t>
      </w:r>
      <w:r w:rsidRPr="00AF3214">
        <w:rPr>
          <w:rFonts w:ascii="Narkisim" w:hAnsi="Narkisim"/>
          <w:rtl/>
        </w:rPr>
        <w:t xml:space="preserve"> (נזיר כג.) הביא דמבואר ב</w:t>
      </w:r>
      <w:r w:rsidRPr="00AF3214">
        <w:rPr>
          <w:rFonts w:ascii="Narkisim" w:hAnsi="Narkisim"/>
          <w:b/>
          <w:bCs/>
          <w:rtl/>
        </w:rPr>
        <w:t>רמב"ם</w:t>
      </w:r>
      <w:r w:rsidRPr="00AF3214">
        <w:rPr>
          <w:rFonts w:ascii="Narkisim" w:hAnsi="Narkisim"/>
          <w:rtl/>
        </w:rPr>
        <w:t xml:space="preserve"> (טומאת מת ט יב) דספק דאורייתא לקולא מדאורייתא, וכת' [לחד גירסא] אעפ"כ בדבר שחייבין על זדונו כרת ספיקו לחומרא, שהרי נתחייב אשם תלוי</w:t>
      </w:r>
      <w:r w:rsidRPr="00AF3214">
        <w:rPr>
          <w:rStyle w:val="ac"/>
          <w:rFonts w:ascii="Narkisim" w:hAnsi="Narkisim"/>
          <w:rtl/>
        </w:rPr>
        <w:footnoteReference w:id="5463"/>
      </w:r>
      <w:r w:rsidRPr="00AF3214">
        <w:rPr>
          <w:rFonts w:ascii="Narkisim" w:hAnsi="Narkisim"/>
        </w:rPr>
        <w:t xml:space="preserve">. </w:t>
      </w:r>
      <w:r w:rsidRPr="00AF3214">
        <w:rPr>
          <w:rFonts w:ascii="Narkisim" w:hAnsi="Narkisim"/>
          <w:rtl/>
        </w:rPr>
        <w:t>וביארו דבאיסורין שנתחדש חיוב אשם תלוי שאני, דבהא שחייבתו תורה אשם נתגלה דהך ספק אסור</w:t>
      </w:r>
      <w:r w:rsidRPr="00AF3214">
        <w:rPr>
          <w:rFonts w:ascii="Narkisim" w:hAnsi="Narkisim"/>
        </w:rPr>
        <w:t>.</w:t>
      </w:r>
    </w:p>
    <w:p w14:paraId="07B18BB3" w14:textId="77777777" w:rsidR="006C4368" w:rsidRPr="00AF3214" w:rsidRDefault="006C4368" w:rsidP="006C4368">
      <w:pPr>
        <w:pStyle w:val="a8"/>
        <w:bidi/>
        <w:rPr>
          <w:rFonts w:ascii="Narkisim" w:hAnsi="Narkisim"/>
        </w:rPr>
      </w:pPr>
      <w:r w:rsidRPr="00AF3214">
        <w:rPr>
          <w:rFonts w:ascii="Narkisim" w:hAnsi="Narkisim"/>
          <w:rtl/>
        </w:rPr>
        <w:t>ועפ"ז כת' הגרי"ז דקו' הגמ' בסוגיין משום דמתחייב אשם תלוי</w:t>
      </w:r>
      <w:r w:rsidRPr="00AF3214">
        <w:rPr>
          <w:rStyle w:val="ac"/>
          <w:rFonts w:ascii="Narkisim" w:hAnsi="Narkisim"/>
          <w:rtl/>
        </w:rPr>
        <w:footnoteReference w:id="5464"/>
      </w:r>
      <w:r w:rsidRPr="00AF3214">
        <w:rPr>
          <w:rFonts w:ascii="Narkisim" w:hAnsi="Narkisim"/>
        </w:rPr>
        <w:t xml:space="preserve">, </w:t>
      </w:r>
      <w:r w:rsidRPr="00AF3214">
        <w:rPr>
          <w:rFonts w:ascii="Narkisim" w:hAnsi="Narkisim"/>
          <w:rtl/>
        </w:rPr>
        <w:t>ומש"ה ספיקא לחומרא [מדאורייתא]. ובזה כת' רש"י דהיכא דאין ליבו נוקפו וליכא חיוב אשם תלוי, א"כ הדר דינו כשאר ספק, ומדאורייתא לא אמרי' דספיקא לחומרא</w:t>
      </w:r>
      <w:r w:rsidRPr="00AF3214">
        <w:rPr>
          <w:rStyle w:val="ac"/>
          <w:rFonts w:ascii="Narkisim" w:hAnsi="Narkisim"/>
          <w:rtl/>
        </w:rPr>
        <w:footnoteReference w:id="5465"/>
      </w:r>
      <w:r w:rsidRPr="00AF3214">
        <w:rPr>
          <w:rFonts w:ascii="Narkisim" w:hAnsi="Narkisim"/>
        </w:rPr>
        <w:t>.</w:t>
      </w:r>
    </w:p>
    <w:p w14:paraId="4148FA6A" w14:textId="77777777" w:rsidR="006C4368" w:rsidRPr="00AF3214" w:rsidRDefault="006C4368" w:rsidP="006C4368">
      <w:pPr>
        <w:bidi/>
        <w:rPr>
          <w:rFonts w:ascii="Narkisim" w:hAnsi="Narkisim" w:cs="Narkisim"/>
        </w:rPr>
      </w:pPr>
      <w:r w:rsidRPr="00AF3214">
        <w:rPr>
          <w:rFonts w:ascii="Narkisim" w:hAnsi="Narkisim" w:cs="Narkisim"/>
          <w:u w:val="single"/>
          <w:rtl/>
        </w:rPr>
        <w:t>שם. באומרת ברי לי</w:t>
      </w:r>
      <w:r w:rsidRPr="00AF3214">
        <w:rPr>
          <w:rFonts w:ascii="Narkisim" w:hAnsi="Narkisim" w:cs="Narkisim"/>
          <w:rtl/>
        </w:rPr>
        <w:t>. ה</w:t>
      </w:r>
      <w:r w:rsidRPr="00AF3214">
        <w:rPr>
          <w:rFonts w:ascii="Narkisim" w:hAnsi="Narkisim" w:cs="Narkisim"/>
          <w:b/>
          <w:bCs/>
          <w:rtl/>
        </w:rPr>
        <w:t>בית מאיר</w:t>
      </w:r>
      <w:r w:rsidRPr="00AF3214">
        <w:rPr>
          <w:rFonts w:ascii="Narkisim" w:hAnsi="Narkisim" w:cs="Narkisim"/>
          <w:rtl/>
        </w:rPr>
        <w:t xml:space="preserve"> (קנב ג, ויז מב) הק' דמ"מ הבנים הוה ספק, ויאסרו כדין ספק ממזר [שהם אינם יודעים ברי]. ו</w:t>
      </w:r>
      <w:r w:rsidRPr="00AF3214">
        <w:rPr>
          <w:rFonts w:ascii="Narkisim" w:hAnsi="Narkisim" w:cs="Narkisim"/>
          <w:b/>
          <w:bCs/>
          <w:rtl/>
        </w:rPr>
        <w:t>רע"א</w:t>
      </w:r>
      <w:r w:rsidRPr="00AF3214">
        <w:rPr>
          <w:rFonts w:ascii="Narkisim" w:hAnsi="Narkisim" w:cs="Narkisim"/>
          <w:rtl/>
        </w:rPr>
        <w:t xml:space="preserve"> נקט דאה"נ הבנים אסורים משום ספק ממזר</w:t>
      </w:r>
      <w:r w:rsidRPr="00AF3214">
        <w:rPr>
          <w:rStyle w:val="ac"/>
          <w:rFonts w:ascii="Narkisim" w:hAnsi="Narkisim" w:cs="Narkisim"/>
          <w:rtl/>
        </w:rPr>
        <w:footnoteReference w:id="5466"/>
      </w:r>
      <w:r w:rsidRPr="00AF3214">
        <w:rPr>
          <w:rFonts w:ascii="Narkisim" w:hAnsi="Narkisim" w:cs="Narkisim"/>
        </w:rPr>
        <w:t xml:space="preserve">. </w:t>
      </w:r>
      <w:r w:rsidRPr="00AF3214">
        <w:rPr>
          <w:rFonts w:ascii="Narkisim" w:hAnsi="Narkisim" w:cs="Narkisim"/>
          <w:rtl/>
        </w:rPr>
        <w:t>והבית מאיר כת' דמ"מ תימה להרבות ממזרים בישראל. ועוד הביאו דב</w:t>
      </w:r>
      <w:r w:rsidRPr="00AF3214">
        <w:rPr>
          <w:rFonts w:ascii="Narkisim" w:hAnsi="Narkisim" w:cs="Narkisim"/>
          <w:b/>
          <w:bCs/>
          <w:rtl/>
        </w:rPr>
        <w:t>רמב"ם</w:t>
      </w:r>
      <w:r w:rsidRPr="00AF3214">
        <w:rPr>
          <w:rFonts w:ascii="Narkisim" w:hAnsi="Narkisim" w:cs="Narkisim"/>
          <w:rtl/>
        </w:rPr>
        <w:t xml:space="preserve"> (גירושין יב ז) משמע דהבנים כשרים</w:t>
      </w:r>
      <w:r w:rsidRPr="00AF3214">
        <w:rPr>
          <w:rStyle w:val="ac"/>
          <w:rFonts w:ascii="Narkisim" w:hAnsi="Narkisim" w:cs="Narkisim"/>
          <w:rtl/>
        </w:rPr>
        <w:footnoteReference w:id="5467"/>
      </w:r>
      <w:r w:rsidRPr="00AF3214">
        <w:rPr>
          <w:rFonts w:ascii="Narkisim" w:hAnsi="Narkisim" w:cs="Narkisim"/>
        </w:rPr>
        <w:t xml:space="preserve">. </w:t>
      </w:r>
      <w:r w:rsidRPr="00AF3214">
        <w:rPr>
          <w:rFonts w:ascii="Narkisim" w:hAnsi="Narkisim" w:cs="Narkisim"/>
          <w:rtl/>
        </w:rPr>
        <w:t xml:space="preserve">[וע"ע לקמן צג:]. </w:t>
      </w:r>
      <w:r w:rsidRPr="00AF3214">
        <w:rPr>
          <w:rFonts w:ascii="Narkisim" w:hAnsi="Narkisim" w:cs="Narkisim"/>
          <w:szCs w:val="20"/>
          <w:rtl/>
        </w:rPr>
        <w:t>וה</w:t>
      </w:r>
      <w:r w:rsidRPr="00AF3214">
        <w:rPr>
          <w:rFonts w:ascii="Narkisim" w:hAnsi="Narkisim" w:cs="Narkisim"/>
          <w:b/>
          <w:bCs/>
          <w:szCs w:val="20"/>
          <w:rtl/>
        </w:rPr>
        <w:t>או"ש</w:t>
      </w:r>
      <w:r w:rsidRPr="00AF3214">
        <w:rPr>
          <w:rFonts w:ascii="Narkisim" w:hAnsi="Narkisim" w:cs="Narkisim"/>
          <w:szCs w:val="20"/>
          <w:rtl/>
        </w:rPr>
        <w:t xml:space="preserve"> (שם) העלה צד דכיון דנאמנת לגבי עצמה, תו </w:t>
      </w:r>
      <w:r w:rsidRPr="00AF3214">
        <w:rPr>
          <w:rFonts w:ascii="Narkisim" w:hAnsi="Narkisim" w:cs="Narkisim"/>
          <w:szCs w:val="20"/>
          <w:rtl/>
        </w:rPr>
        <w:lastRenderedPageBreak/>
        <w:t>נאמנת לגבי הולד. ועוד דמדאורייתא ספק ממזר מותר, וכיון דהאמינו לענין שלא תצא, תו לא גזרו לאסור משום ספק ממזר</w:t>
      </w:r>
      <w:r w:rsidRPr="00AF3214">
        <w:rPr>
          <w:rStyle w:val="ac"/>
          <w:rFonts w:ascii="Narkisim" w:hAnsi="Narkisim" w:cs="Narkisim"/>
          <w:szCs w:val="20"/>
          <w:rtl/>
        </w:rPr>
        <w:footnoteReference w:id="5468"/>
      </w:r>
      <w:r w:rsidRPr="00AF3214">
        <w:rPr>
          <w:rFonts w:ascii="Narkisim" w:hAnsi="Narkisim" w:cs="Narkisim"/>
        </w:rPr>
        <w:t>.</w:t>
      </w:r>
    </w:p>
    <w:p w14:paraId="27BB8AAD" w14:textId="77777777" w:rsidR="006C4368" w:rsidRPr="00AF3214" w:rsidRDefault="006C4368" w:rsidP="006C4368">
      <w:pPr>
        <w:pStyle w:val="aa"/>
        <w:bidi/>
        <w:rPr>
          <w:rFonts w:ascii="Narkisim" w:hAnsi="Narkisim"/>
        </w:rPr>
      </w:pPr>
      <w:r w:rsidRPr="00AF3214">
        <w:rPr>
          <w:rFonts w:ascii="Narkisim" w:hAnsi="Narkisim"/>
          <w:u w:val="single"/>
          <w:rtl/>
        </w:rPr>
        <w:t>תוד"ה והבא</w:t>
      </w:r>
      <w:r w:rsidRPr="00AF3214">
        <w:rPr>
          <w:rFonts w:ascii="Narkisim" w:hAnsi="Narkisim"/>
          <w:rtl/>
        </w:rPr>
        <w:t>. ואע"ג דרב בעי חתיכה מב' חתיכות וכו' דלר' זירא וכו' אפשר לברר</w:t>
      </w:r>
      <w:r w:rsidRPr="00AF3214">
        <w:rPr>
          <w:rStyle w:val="ac"/>
          <w:rFonts w:ascii="Narkisim" w:hAnsi="Narkisim"/>
          <w:rtl/>
        </w:rPr>
        <w:footnoteReference w:id="5469"/>
      </w:r>
      <w:r w:rsidRPr="00AF3214">
        <w:rPr>
          <w:rFonts w:ascii="Narkisim" w:hAnsi="Narkisim"/>
        </w:rPr>
        <w:t xml:space="preserve"> </w:t>
      </w:r>
      <w:r w:rsidRPr="00AF3214">
        <w:rPr>
          <w:rFonts w:ascii="Narkisim" w:hAnsi="Narkisim"/>
          <w:rtl/>
        </w:rPr>
        <w:t>וכו' ולרב נחמן וכו'. אבל למ"ד (כריתות שם) דבעינן ב' חתיכות ממש, דדרשי' מצוות [לשון רבים], א"כ ל"ש אשם תלוי</w:t>
      </w:r>
      <w:r w:rsidRPr="00AF3214">
        <w:rPr>
          <w:rStyle w:val="ac"/>
          <w:rFonts w:ascii="Narkisim" w:hAnsi="Narkisim"/>
          <w:rtl/>
        </w:rPr>
        <w:footnoteReference w:id="5470"/>
      </w:r>
      <w:r w:rsidRPr="00AF3214">
        <w:rPr>
          <w:rFonts w:ascii="Narkisim" w:hAnsi="Narkisim"/>
        </w:rPr>
        <w:t>.</w:t>
      </w:r>
    </w:p>
    <w:p w14:paraId="60C3E457" w14:textId="77777777" w:rsidR="006C4368" w:rsidRPr="00AF3214" w:rsidRDefault="006C4368" w:rsidP="006C4368">
      <w:pPr>
        <w:pStyle w:val="aa"/>
        <w:bidi/>
        <w:rPr>
          <w:rFonts w:ascii="Narkisim" w:hAnsi="Narkisim"/>
        </w:rPr>
      </w:pPr>
      <w:r w:rsidRPr="00AF3214">
        <w:rPr>
          <w:rFonts w:ascii="Narkisim" w:hAnsi="Narkisim"/>
          <w:u w:val="single"/>
          <w:rtl/>
        </w:rPr>
        <w:t>בא"ד ולרב נחמן וכו' ה"נ איקבע איסורא שהיא בחזקת אשת איש</w:t>
      </w:r>
      <w:r w:rsidRPr="00AF3214">
        <w:rPr>
          <w:rStyle w:val="ac"/>
          <w:rFonts w:ascii="Narkisim" w:hAnsi="Narkisim"/>
          <w:rtl/>
        </w:rPr>
        <w:footnoteReference w:id="5471"/>
      </w:r>
      <w:r w:rsidRPr="00AF3214">
        <w:rPr>
          <w:rFonts w:ascii="Narkisim" w:hAnsi="Narkisim"/>
        </w:rPr>
        <w:t xml:space="preserve">. </w:t>
      </w:r>
      <w:r w:rsidRPr="00AF3214">
        <w:rPr>
          <w:rFonts w:ascii="Narkisim" w:hAnsi="Narkisim"/>
          <w:rtl/>
        </w:rPr>
        <w:t>ועד"ז כת' ה</w:t>
      </w:r>
      <w:r w:rsidRPr="00AF3214">
        <w:rPr>
          <w:rFonts w:ascii="Narkisim" w:hAnsi="Narkisim"/>
          <w:b/>
          <w:bCs/>
          <w:rtl/>
        </w:rPr>
        <w:t>רמב"ם</w:t>
      </w:r>
      <w:r w:rsidRPr="00AF3214">
        <w:rPr>
          <w:rFonts w:ascii="Narkisim" w:hAnsi="Narkisim"/>
          <w:rtl/>
        </w:rPr>
        <w:t xml:space="preserve"> (שגגות ח ג) דחייב אשם תלוי בספק גירושין, שהרי נקבע האיסור. אבל ספק קידושין לא נקבע האיסור</w:t>
      </w:r>
      <w:r w:rsidRPr="00AF3214">
        <w:rPr>
          <w:rFonts w:ascii="Narkisim" w:hAnsi="Narkisim"/>
        </w:rPr>
        <w:t>.</w:t>
      </w:r>
    </w:p>
    <w:p w14:paraId="561BC11C" w14:textId="77777777" w:rsidR="006C4368" w:rsidRPr="00AF3214" w:rsidRDefault="006C4368" w:rsidP="006C4368">
      <w:pPr>
        <w:pStyle w:val="a8"/>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xml:space="preserve"> (גיטין עד.) כת' דהא דאי' (שם) דלר' יוסי מביא אשם תלוי בספק גירושין, לשיטתו דלא בעי ב' חתיכות. ולא חילק דהתם יש חזקת אשת איש וגרע. [וה</w:t>
      </w:r>
      <w:r w:rsidRPr="00AF3214">
        <w:rPr>
          <w:rFonts w:ascii="Narkisim" w:hAnsi="Narkisim"/>
          <w:b/>
          <w:bCs/>
          <w:rtl/>
        </w:rPr>
        <w:t>קוב"ב</w:t>
      </w:r>
      <w:r w:rsidRPr="00AF3214">
        <w:rPr>
          <w:rFonts w:ascii="Narkisim" w:hAnsi="Narkisim"/>
          <w:rtl/>
        </w:rPr>
        <w:t xml:space="preserve"> (שם מב) כת' דכוונת התוס' לאפוקי ממ"ד דבעי ב' חתיכות ממש, דדרשי' מצוות]</w:t>
      </w:r>
      <w:r w:rsidRPr="00AF3214">
        <w:rPr>
          <w:rFonts w:ascii="Narkisim" w:hAnsi="Narkisim"/>
        </w:rPr>
        <w:t>.</w:t>
      </w:r>
    </w:p>
    <w:p w14:paraId="01CC3168"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(שם) כת' דאף היכא דעד א' מעיד שהוא חלב, ועד א' מכחיש חייב אשם תלוי, שהרי נקבע האיסור. וה</w:t>
      </w:r>
      <w:r w:rsidRPr="00AF3214">
        <w:rPr>
          <w:rFonts w:ascii="Narkisim" w:hAnsi="Narkisim"/>
          <w:b/>
          <w:bCs/>
          <w:rtl/>
        </w:rPr>
        <w:t>ראב"ד</w:t>
      </w:r>
      <w:r w:rsidRPr="00AF3214">
        <w:rPr>
          <w:rFonts w:ascii="Narkisim" w:hAnsi="Narkisim"/>
          <w:rtl/>
        </w:rPr>
        <w:t xml:space="preserve"> השיג אמאי נקבע האיסור, אא"כ איירי שדנים על ב' חתיכות. וה</w:t>
      </w:r>
      <w:r w:rsidRPr="00AF3214">
        <w:rPr>
          <w:rFonts w:ascii="Narkisim" w:hAnsi="Narkisim"/>
          <w:b/>
          <w:bCs/>
          <w:rtl/>
        </w:rPr>
        <w:t>כס"מ</w:t>
      </w:r>
      <w:r w:rsidRPr="00AF3214">
        <w:rPr>
          <w:rFonts w:ascii="Narkisim" w:hAnsi="Narkisim"/>
          <w:rtl/>
        </w:rPr>
        <w:t xml:space="preserve"> נסתפק האם הרמב"ם איירי אף בחתיכה א', דע"י הכחשת העדים איקבע איסורא. [דהכחשת העדים כמאן דאיתא</w:t>
      </w:r>
      <w:r w:rsidRPr="00AF3214">
        <w:rPr>
          <w:rStyle w:val="ac"/>
          <w:rFonts w:ascii="Narkisim" w:hAnsi="Narkisim"/>
          <w:rtl/>
        </w:rPr>
        <w:footnoteReference w:id="5472"/>
      </w:r>
      <w:r w:rsidRPr="00AF3214">
        <w:rPr>
          <w:rFonts w:ascii="Narkisim" w:hAnsi="Narkisim"/>
        </w:rPr>
        <w:t xml:space="preserve">. </w:t>
      </w:r>
      <w:r w:rsidRPr="00AF3214">
        <w:rPr>
          <w:rFonts w:ascii="Narkisim" w:hAnsi="Narkisim"/>
          <w:rtl/>
        </w:rPr>
        <w:t>ואף לרב נחמן</w:t>
      </w:r>
      <w:r w:rsidRPr="00AF3214">
        <w:rPr>
          <w:rStyle w:val="ac"/>
          <w:rFonts w:ascii="Narkisim" w:hAnsi="Narkisim"/>
          <w:rtl/>
        </w:rPr>
        <w:footnoteReference w:id="5473"/>
      </w:r>
      <w:r w:rsidRPr="00AF3214">
        <w:rPr>
          <w:rFonts w:ascii="Narkisim" w:hAnsi="Narkisim"/>
          <w:rtl/>
        </w:rPr>
        <w:t>]. וע"ע לח"מ</w:t>
      </w:r>
      <w:r w:rsidRPr="00AF3214">
        <w:rPr>
          <w:rStyle w:val="ac"/>
          <w:rFonts w:ascii="Narkisim" w:hAnsi="Narkisim"/>
          <w:rtl/>
        </w:rPr>
        <w:footnoteReference w:id="5474"/>
      </w:r>
      <w:r w:rsidRPr="00AF3214">
        <w:rPr>
          <w:rFonts w:ascii="Narkisim" w:hAnsi="Narkisim"/>
        </w:rPr>
        <w:t>.</w:t>
      </w:r>
    </w:p>
    <w:p w14:paraId="11901B48"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xml:space="preserve"> (כתובות כב:) כת' א"נ דה"ק באיסור אשם תלוי, ולאו דוקא שמתחייב אשם</w:t>
      </w:r>
      <w:r w:rsidRPr="00AF3214">
        <w:rPr>
          <w:rStyle w:val="ac"/>
          <w:rFonts w:ascii="Narkisim" w:hAnsi="Narkisim" w:cs="Narkisim"/>
          <w:rtl/>
        </w:rPr>
        <w:footnoteReference w:id="5475"/>
      </w:r>
      <w:r w:rsidRPr="00AF3214">
        <w:rPr>
          <w:rFonts w:ascii="Narkisim" w:hAnsi="Narkisim" w:cs="Narkisim"/>
        </w:rPr>
        <w:t xml:space="preserve">. </w:t>
      </w:r>
      <w:r w:rsidRPr="00AF3214">
        <w:rPr>
          <w:rFonts w:ascii="Narkisim" w:hAnsi="Narkisim" w:cs="Narkisim"/>
          <w:szCs w:val="20"/>
          <w:rtl/>
        </w:rPr>
        <w:t>[ואף דליכא חיוב אשם, אין לחלק בכך בגדרי ספיקות באיסורין. וע' מה שהו' לעיל]</w:t>
      </w:r>
      <w:r w:rsidRPr="00AF3214">
        <w:rPr>
          <w:rFonts w:ascii="Narkisim" w:hAnsi="Narkisim" w:cs="Narkisim"/>
          <w:szCs w:val="20"/>
        </w:rPr>
        <w:t>.</w:t>
      </w:r>
    </w:p>
    <w:p w14:paraId="60734AFC" w14:textId="77777777" w:rsidR="006C4368" w:rsidRPr="00AF3214" w:rsidRDefault="006C4368" w:rsidP="006C4368">
      <w:pPr>
        <w:bidi/>
        <w:rPr>
          <w:rFonts w:ascii="Narkisim" w:hAnsi="Narkisim" w:cs="Narkisim"/>
        </w:rPr>
      </w:pPr>
      <w:r w:rsidRPr="00AF3214">
        <w:rPr>
          <w:rFonts w:ascii="Narkisim" w:hAnsi="Narkisim" w:cs="Narkisim"/>
          <w:u w:val="single"/>
          <w:rtl/>
        </w:rPr>
        <w:t>בא"ד וא"ת למאי דמסקינן</w:t>
      </w:r>
      <w:r w:rsidRPr="00AF3214">
        <w:rPr>
          <w:rStyle w:val="ac"/>
          <w:rFonts w:ascii="Narkisim" w:hAnsi="Narkisim" w:cs="Narkisim"/>
          <w:u w:val="single"/>
          <w:rtl/>
        </w:rPr>
        <w:footnoteReference w:id="5476"/>
      </w:r>
      <w:r w:rsidRPr="00AF3214">
        <w:rPr>
          <w:rFonts w:ascii="Narkisim" w:hAnsi="Narkisim" w:cs="Narkisim"/>
          <w:u w:val="single"/>
        </w:rPr>
        <w:t xml:space="preserve"> </w:t>
      </w:r>
      <w:r w:rsidRPr="00AF3214">
        <w:rPr>
          <w:rFonts w:ascii="Narkisim" w:hAnsi="Narkisim" w:cs="Narkisim"/>
          <w:u w:val="single"/>
          <w:rtl/>
        </w:rPr>
        <w:t>(לעיל לא.) דתרי ותרי ספיקא דרבנן, ומוקמינן לה אחזקה וכו'</w:t>
      </w:r>
      <w:r w:rsidRPr="00AF3214">
        <w:rPr>
          <w:rFonts w:ascii="Narkisim" w:hAnsi="Narkisim" w:cs="Narkisim"/>
          <w:rtl/>
        </w:rPr>
        <w:t>. אבל ה</w:t>
      </w:r>
      <w:r w:rsidRPr="00AF3214">
        <w:rPr>
          <w:rFonts w:ascii="Narkisim" w:hAnsi="Narkisim" w:cs="Narkisim"/>
          <w:b/>
          <w:bCs/>
          <w:rtl/>
        </w:rPr>
        <w:t>רשב"א</w:t>
      </w:r>
      <w:r w:rsidRPr="00AF3214">
        <w:rPr>
          <w:rFonts w:ascii="Narkisim" w:hAnsi="Narkisim" w:cs="Narkisim"/>
          <w:rtl/>
        </w:rPr>
        <w:t xml:space="preserve"> (כאן וקידושין סו.) כת' דסוגיין הק' לרווחא דמילתא, ואפי' למ"ד תרי ותרי ספיקא דאורייתא. וכ"כ </w:t>
      </w:r>
      <w:r w:rsidRPr="00AF3214">
        <w:rPr>
          <w:rFonts w:ascii="Narkisim" w:hAnsi="Narkisim" w:cs="Narkisim"/>
          <w:b/>
          <w:bCs/>
          <w:rtl/>
        </w:rPr>
        <w:t>תוס</w:t>
      </w:r>
      <w:r w:rsidRPr="00AF3214">
        <w:rPr>
          <w:rFonts w:ascii="Narkisim" w:hAnsi="Narkisim" w:cs="Narkisim"/>
          <w:rtl/>
        </w:rPr>
        <w:t>' (ב"ב לב. בסו"ד, הו' בסמוך)</w:t>
      </w:r>
      <w:r w:rsidRPr="00AF3214">
        <w:rPr>
          <w:rFonts w:ascii="Narkisim" w:hAnsi="Narkisim" w:cs="Narkisim"/>
        </w:rPr>
        <w:t>.</w:t>
      </w:r>
    </w:p>
    <w:p w14:paraId="42108E5F" w14:textId="77777777" w:rsidR="006C4368" w:rsidRPr="00AF3214" w:rsidRDefault="006C4368" w:rsidP="006C4368">
      <w:pPr>
        <w:bidi/>
        <w:rPr>
          <w:rFonts w:ascii="Narkisim" w:hAnsi="Narkisim" w:cs="Narkisim"/>
        </w:rPr>
      </w:pPr>
      <w:r w:rsidRPr="00AF3214">
        <w:rPr>
          <w:rFonts w:ascii="Narkisim" w:hAnsi="Narkisim" w:cs="Narkisim"/>
          <w:u w:val="single"/>
          <w:rtl/>
        </w:rPr>
        <w:t>בא"ד ועוד מאי קא משני וכו' היכי שבקינן ליה, הא מיחייב מיתת בי"ד דאוקמה אחזקה</w:t>
      </w:r>
      <w:r w:rsidRPr="00AF3214">
        <w:rPr>
          <w:rFonts w:ascii="Narkisim" w:hAnsi="Narkisim" w:cs="Narkisim"/>
          <w:rtl/>
        </w:rPr>
        <w:t>. [למ"ד תרי ותרי מוקמינן אחזקה, ורק מדרבנן דינו כספק</w:t>
      </w:r>
      <w:r w:rsidRPr="00AF3214">
        <w:rPr>
          <w:rStyle w:val="ac"/>
          <w:rFonts w:ascii="Narkisim" w:hAnsi="Narkisim" w:cs="Narkisim"/>
          <w:rtl/>
        </w:rPr>
        <w:footnoteReference w:id="5477"/>
      </w:r>
      <w:r w:rsidRPr="00AF3214">
        <w:rPr>
          <w:rFonts w:ascii="Narkisim" w:hAnsi="Narkisim" w:cs="Narkisim"/>
          <w:rtl/>
        </w:rPr>
        <w:t>]. ול"מ טענת ברי כיון דיש חזקה איסור</w:t>
      </w:r>
      <w:r w:rsidRPr="00AF3214">
        <w:rPr>
          <w:rFonts w:ascii="Narkisim" w:hAnsi="Narkisim" w:cs="Narkisim"/>
        </w:rPr>
        <w:t>.</w:t>
      </w:r>
    </w:p>
    <w:p w14:paraId="1032B0C6"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מהרש"א</w:t>
      </w:r>
      <w:r w:rsidRPr="00AF3214">
        <w:rPr>
          <w:rFonts w:ascii="Narkisim" w:hAnsi="Narkisim"/>
          <w:rtl/>
        </w:rPr>
        <w:t xml:space="preserve"> חידש דהא דאמרינן (לעיל לא.) דתרי ותרי אוקמה אחזקה, דוקא למאן דמספק"ל. אבל העד הזה שאומר ברי לי לא אוקמה אחזקה</w:t>
      </w:r>
      <w:r w:rsidRPr="00AF3214">
        <w:rPr>
          <w:rStyle w:val="ac"/>
          <w:rFonts w:ascii="Narkisim" w:hAnsi="Narkisim"/>
          <w:rtl/>
        </w:rPr>
        <w:footnoteReference w:id="5478"/>
      </w:r>
      <w:r w:rsidRPr="00AF3214">
        <w:rPr>
          <w:rFonts w:ascii="Narkisim" w:hAnsi="Narkisim"/>
        </w:rPr>
        <w:t xml:space="preserve">. </w:t>
      </w:r>
      <w:r w:rsidRPr="00AF3214">
        <w:rPr>
          <w:rFonts w:ascii="Narkisim" w:hAnsi="Narkisim"/>
          <w:rtl/>
        </w:rPr>
        <w:t>ועד"ז כת' ה</w:t>
      </w:r>
      <w:r w:rsidRPr="00AF3214">
        <w:rPr>
          <w:rFonts w:ascii="Narkisim" w:hAnsi="Narkisim"/>
          <w:b/>
          <w:bCs/>
          <w:rtl/>
        </w:rPr>
        <w:t>רשב"א</w:t>
      </w:r>
      <w:r w:rsidRPr="00AF3214">
        <w:rPr>
          <w:rFonts w:ascii="Narkisim" w:hAnsi="Narkisim"/>
          <w:rtl/>
        </w:rPr>
        <w:t xml:space="preserve"> (קידושין </w:t>
      </w:r>
      <w:r w:rsidRPr="00AF3214">
        <w:rPr>
          <w:rFonts w:ascii="Narkisim" w:hAnsi="Narkisim"/>
          <w:rtl/>
        </w:rPr>
        <w:lastRenderedPageBreak/>
        <w:t>סו.) דאין מוציאין מתחת בעלה כיון אינהו ברי קאמרי, ולגבי עצמן נאמנין הן בדיעבד. [ואף שיש חזקת איסור]</w:t>
      </w:r>
      <w:r w:rsidRPr="00AF3214">
        <w:rPr>
          <w:rFonts w:ascii="Narkisim" w:hAnsi="Narkisim"/>
        </w:rPr>
        <w:t>.</w:t>
      </w:r>
    </w:p>
    <w:p w14:paraId="03B462BE"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(כתובות כב:) ביאר דלעולם לא אמרה תורה דאזלי' בתר חזקה אלא למי שמסופק בדבר. והתורה עשאתו ודאי. אבל למי שיודע מחמת חזקה א"א לומר שהתורה אוסרת עליו. ומש"ה בי"ד אינם יכולים להענישו, וכל היכא שהוא טוען ברי לא קטלינן ליה</w:t>
      </w:r>
      <w:r w:rsidRPr="00AF3214">
        <w:rPr>
          <w:rStyle w:val="ac"/>
          <w:rFonts w:ascii="Narkisim" w:hAnsi="Narkisim"/>
          <w:rtl/>
        </w:rPr>
        <w:footnoteReference w:id="5479"/>
      </w:r>
      <w:r w:rsidRPr="00AF3214">
        <w:rPr>
          <w:rFonts w:ascii="Narkisim" w:hAnsi="Narkisim"/>
        </w:rPr>
        <w:t xml:space="preserve">. </w:t>
      </w:r>
      <w:r w:rsidRPr="00AF3214">
        <w:rPr>
          <w:rFonts w:ascii="Narkisim" w:hAnsi="Narkisim"/>
          <w:rtl/>
        </w:rPr>
        <w:t>ומש"ה בסוגיין אי"צ להפרישם. [אף דלדידן הוה נגד חזקה]</w:t>
      </w:r>
      <w:r w:rsidRPr="00AF3214">
        <w:rPr>
          <w:rFonts w:ascii="Narkisim" w:hAnsi="Narkisim"/>
        </w:rPr>
        <w:t>.</w:t>
      </w:r>
    </w:p>
    <w:p w14:paraId="3A3CB916"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תרה"כ</w:t>
      </w:r>
      <w:r w:rsidRPr="00AF3214">
        <w:rPr>
          <w:rFonts w:ascii="Narkisim" w:hAnsi="Narkisim"/>
          <w:rtl/>
        </w:rPr>
        <w:t xml:space="preserve"> (לא ד"ה איברא) כת' דדוקא במקום שיש ספק לפנינו נאמן לטעון ברי שמותרת, ובזה קאי סברת הרשב"א והמהרש"א. אבל במקום דליכא ספק לפנינו ודאי אינו נאמן לעורר ספק נגד מה שמוחזק לנו</w:t>
      </w:r>
      <w:r w:rsidRPr="00AF3214">
        <w:rPr>
          <w:rStyle w:val="ac"/>
          <w:rFonts w:ascii="Narkisim" w:hAnsi="Narkisim"/>
          <w:rtl/>
        </w:rPr>
        <w:footnoteReference w:id="5480"/>
      </w:r>
      <w:r w:rsidRPr="00AF3214">
        <w:rPr>
          <w:rFonts w:ascii="Narkisim" w:hAnsi="Narkisim"/>
        </w:rPr>
        <w:t>.</w:t>
      </w:r>
    </w:p>
    <w:p w14:paraId="46956552"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אחרונים</w:t>
      </w:r>
      <w:r w:rsidRPr="00AF3214">
        <w:rPr>
          <w:rFonts w:ascii="Narkisim" w:hAnsi="Narkisim"/>
          <w:rtl/>
        </w:rPr>
        <w:t xml:space="preserve"> (חמד"ש ובית יעקב כתובות כב:) כת' דאיירי דוקא במקום תרי ותרי. אף דבתרי ותרי מוקמינן אחזקה, הוה בגדר חזקת הנהגה ולא הוכרע גוף הספק. וכיון דהספק לפנינו, והוא טוען ברי לא כייפינן ליה</w:t>
      </w:r>
      <w:r w:rsidRPr="00AF3214">
        <w:rPr>
          <w:rStyle w:val="ac"/>
          <w:rFonts w:ascii="Narkisim" w:hAnsi="Narkisim"/>
          <w:rtl/>
        </w:rPr>
        <w:footnoteReference w:id="5481"/>
      </w:r>
      <w:r w:rsidRPr="00AF3214">
        <w:rPr>
          <w:rFonts w:ascii="Narkisim" w:hAnsi="Narkisim"/>
        </w:rPr>
        <w:t>.</w:t>
      </w:r>
    </w:p>
    <w:p w14:paraId="6C5CDCF1"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שער"י</w:t>
      </w:r>
      <w:r w:rsidRPr="00AF3214">
        <w:rPr>
          <w:rFonts w:ascii="Narkisim" w:hAnsi="Narkisim"/>
          <w:rtl/>
        </w:rPr>
        <w:t xml:space="preserve"> (ו יח וכתובות כג) ביאר דיש נידון של האדם כלפי עצמו</w:t>
      </w:r>
      <w:r w:rsidRPr="00AF3214">
        <w:rPr>
          <w:rStyle w:val="ac"/>
          <w:rFonts w:ascii="Narkisim" w:hAnsi="Narkisim"/>
          <w:rtl/>
        </w:rPr>
        <w:footnoteReference w:id="5482"/>
      </w:r>
      <w:r w:rsidRPr="00AF3214">
        <w:rPr>
          <w:rFonts w:ascii="Narkisim" w:hAnsi="Narkisim"/>
        </w:rPr>
        <w:t xml:space="preserve">, </w:t>
      </w:r>
      <w:r w:rsidRPr="00AF3214">
        <w:rPr>
          <w:rFonts w:ascii="Narkisim" w:hAnsi="Narkisim"/>
          <w:rtl/>
        </w:rPr>
        <w:t>ובזה כל א' עושה ע"פ עצמו [וכיון דהוא יודע לא נאמר אצלו חזקה]. אלא דיש נידון כלפי בי"ד, ובי"ד כופין לאפרושי מאיסורא ע"פ הכרעת הדין [כלפיהם]. ודוקא במקום דאף לבי"ד יש ספק לפניהם, מש"ה אינן מפרישין אותו [משום דין הבי"ד]. וכיון דטוען ברי אין מפרישין משום הדין של עצמו</w:t>
      </w:r>
      <w:r w:rsidRPr="00AF3214">
        <w:rPr>
          <w:rFonts w:ascii="Narkisim" w:hAnsi="Narkisim"/>
        </w:rPr>
        <w:t>.</w:t>
      </w:r>
    </w:p>
    <w:p w14:paraId="419507CE" w14:textId="77777777" w:rsidR="006C4368" w:rsidRPr="00AF3214" w:rsidRDefault="006C4368" w:rsidP="006C4368">
      <w:pPr>
        <w:bidi/>
        <w:rPr>
          <w:rFonts w:ascii="Narkisim" w:hAnsi="Narkisim" w:cs="Narkisim"/>
        </w:rPr>
      </w:pPr>
      <w:r w:rsidRPr="00AF3214">
        <w:rPr>
          <w:rFonts w:ascii="Narkisim" w:hAnsi="Narkisim" w:cs="Narkisim"/>
          <w:u w:val="single"/>
          <w:rtl/>
        </w:rPr>
        <w:t>בא"ד ואר"י דמה שאשה דייקא מרעא ליה לחזקה וכו'</w:t>
      </w:r>
      <w:r w:rsidRPr="00AF3214">
        <w:rPr>
          <w:rFonts w:ascii="Narkisim" w:hAnsi="Narkisim" w:cs="Narkisim"/>
          <w:rtl/>
        </w:rPr>
        <w:t>. וצ"ב האיך מהני אומדנא זו להכריע במקום תרי ותרי</w:t>
      </w:r>
      <w:r w:rsidRPr="00AF3214">
        <w:rPr>
          <w:rStyle w:val="ac"/>
          <w:rFonts w:ascii="Narkisim" w:hAnsi="Narkisim" w:cs="Narkisim"/>
          <w:rtl/>
        </w:rPr>
        <w:footnoteReference w:id="5483"/>
      </w:r>
      <w:r w:rsidRPr="00AF3214">
        <w:rPr>
          <w:rFonts w:ascii="Narkisim" w:hAnsi="Narkisim" w:cs="Narkisim"/>
        </w:rPr>
        <w:t xml:space="preserve">. </w:t>
      </w:r>
      <w:r w:rsidRPr="00AF3214">
        <w:rPr>
          <w:rFonts w:ascii="Narkisim" w:hAnsi="Narkisim" w:cs="Narkisim"/>
          <w:rtl/>
        </w:rPr>
        <w:t>וב</w:t>
      </w:r>
      <w:r w:rsidRPr="00AF3214">
        <w:rPr>
          <w:rFonts w:ascii="Narkisim" w:hAnsi="Narkisim" w:cs="Narkisim"/>
          <w:b/>
          <w:bCs/>
          <w:rtl/>
        </w:rPr>
        <w:t>חי' ר' שמעון</w:t>
      </w:r>
      <w:r w:rsidRPr="00AF3214">
        <w:rPr>
          <w:rFonts w:ascii="Narkisim" w:hAnsi="Narkisim" w:cs="Narkisim"/>
          <w:rtl/>
        </w:rPr>
        <w:t xml:space="preserve"> (כתובות כג) תי' דמ"מ מהני האומדנא לסלק את החזקה, ואף דל"מ להכריע במקום עדים</w:t>
      </w:r>
      <w:r w:rsidRPr="00AF3214">
        <w:rPr>
          <w:rStyle w:val="ac"/>
          <w:rFonts w:ascii="Narkisim" w:hAnsi="Narkisim" w:cs="Narkisim"/>
          <w:rtl/>
        </w:rPr>
        <w:footnoteReference w:id="5484"/>
      </w:r>
      <w:r w:rsidRPr="00AF3214">
        <w:rPr>
          <w:rFonts w:ascii="Narkisim" w:hAnsi="Narkisim" w:cs="Narkisim"/>
        </w:rPr>
        <w:t>.</w:t>
      </w:r>
    </w:p>
    <w:p w14:paraId="0D59463A"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ו</w:t>
      </w:r>
      <w:r w:rsidRPr="00AF3214">
        <w:rPr>
          <w:rFonts w:ascii="Narkisim" w:hAnsi="Narkisim"/>
          <w:b/>
          <w:bCs/>
          <w:rtl/>
        </w:rPr>
        <w:t>תוס</w:t>
      </w:r>
      <w:r w:rsidRPr="00AF3214">
        <w:rPr>
          <w:rFonts w:ascii="Narkisim" w:hAnsi="Narkisim"/>
          <w:rtl/>
        </w:rPr>
        <w:t>' (כתובות שם) הוסיפו דמהאי טעמא שרינן כי ליכא עדים כלל. [וכדאי' (בע"א) דהתירו לינשא משום דדייקא ומינסבא. וה</w:t>
      </w:r>
      <w:r w:rsidRPr="00AF3214">
        <w:rPr>
          <w:rFonts w:ascii="Narkisim" w:hAnsi="Narkisim"/>
          <w:b/>
          <w:bCs/>
          <w:rtl/>
        </w:rPr>
        <w:t>קוב"ש</w:t>
      </w:r>
      <w:r w:rsidRPr="00AF3214">
        <w:rPr>
          <w:rFonts w:ascii="Narkisim" w:hAnsi="Narkisim"/>
          <w:rtl/>
        </w:rPr>
        <w:t xml:space="preserve"> (שם נט) הק' דדעת </w:t>
      </w:r>
      <w:r w:rsidRPr="00AF3214">
        <w:rPr>
          <w:rFonts w:ascii="Narkisim" w:hAnsi="Narkisim"/>
          <w:b/>
          <w:bCs/>
          <w:rtl/>
        </w:rPr>
        <w:t>תוס'</w:t>
      </w:r>
      <w:r w:rsidRPr="00AF3214">
        <w:rPr>
          <w:rFonts w:ascii="Narkisim" w:hAnsi="Narkisim"/>
          <w:rtl/>
        </w:rPr>
        <w:t xml:space="preserve"> (שם ד"ה אי הכי, כתוס' בע"א) דהתירו מדרבנן משום דדייקא ומינסבא, והאיך תוס' הוכיחו דמהני סברא זו נגד חזקת אשת איש [לדאורייתא</w:t>
      </w:r>
      <w:r w:rsidRPr="00AF3214">
        <w:rPr>
          <w:rFonts w:ascii="Narkisim" w:hAnsi="Narkisim"/>
        </w:rPr>
        <w:t>].</w:t>
      </w:r>
    </w:p>
    <w:p w14:paraId="34E7D120" w14:textId="77777777" w:rsidR="006C4368" w:rsidRPr="00AF3214" w:rsidRDefault="006C4368" w:rsidP="006C4368">
      <w:pPr>
        <w:pStyle w:val="a8"/>
        <w:bidi/>
        <w:rPr>
          <w:rFonts w:ascii="Narkisim" w:hAnsi="Narkisim"/>
        </w:rPr>
      </w:pPr>
      <w:r w:rsidRPr="00AF3214">
        <w:rPr>
          <w:rFonts w:ascii="Narkisim" w:hAnsi="Narkisim"/>
          <w:rtl/>
        </w:rPr>
        <w:t>והקוב"ש ביאר דכוונת התוס' דהקילו חכמים [משום עיגונא] לסלק חומר דבר שבערוה, וחכמים עשו עדות אשה כשאר איסורין</w:t>
      </w:r>
      <w:r w:rsidRPr="00AF3214">
        <w:rPr>
          <w:rStyle w:val="ac"/>
          <w:rFonts w:ascii="Narkisim" w:hAnsi="Narkisim"/>
          <w:rtl/>
        </w:rPr>
        <w:footnoteReference w:id="5485"/>
      </w:r>
      <w:r w:rsidRPr="00AF3214">
        <w:rPr>
          <w:rFonts w:ascii="Narkisim" w:hAnsi="Narkisim"/>
        </w:rPr>
        <w:t xml:space="preserve">, </w:t>
      </w:r>
      <w:r w:rsidRPr="00AF3214">
        <w:rPr>
          <w:rFonts w:ascii="Narkisim" w:hAnsi="Narkisim"/>
          <w:rtl/>
        </w:rPr>
        <w:t>דעד א' נאמן היכא דלא איתחזק איסורא</w:t>
      </w:r>
      <w:r w:rsidRPr="00AF3214">
        <w:rPr>
          <w:rStyle w:val="ac"/>
          <w:rFonts w:ascii="Narkisim" w:hAnsi="Narkisim"/>
          <w:rtl/>
        </w:rPr>
        <w:footnoteReference w:id="5486"/>
      </w:r>
      <w:r w:rsidRPr="00AF3214">
        <w:rPr>
          <w:rFonts w:ascii="Narkisim" w:hAnsi="Narkisim"/>
        </w:rPr>
        <w:t>.</w:t>
      </w:r>
    </w:p>
    <w:p w14:paraId="3C4E78FD" w14:textId="77777777" w:rsidR="006C4368" w:rsidRPr="00AF3214" w:rsidRDefault="006C4368" w:rsidP="006C4368">
      <w:pPr>
        <w:pStyle w:val="a8"/>
        <w:bidi/>
        <w:rPr>
          <w:rFonts w:ascii="Narkisim" w:hAnsi="Narkisim"/>
        </w:rPr>
      </w:pPr>
      <w:r w:rsidRPr="00AF3214">
        <w:rPr>
          <w:rFonts w:ascii="Narkisim" w:hAnsi="Narkisim"/>
          <w:rtl/>
        </w:rPr>
        <w:t>ומש"ה תוס' הוכיחו דע"כ איתרע חזקת אשת איש [משום דדייקא ומינסבא], ומש"ה עד א' נאמן בכה"ג בשאר איסורין. אבל אי לא איתרע חזקת א"א, א"כ לא עדיף משאר איסורין דע"א אינו נאמן היכא דאיתחזק איסורא. [דמסקנת הגמ' (בע"א) דל"מ דעד א' נגד איתחזק]</w:t>
      </w:r>
      <w:r w:rsidRPr="00AF3214">
        <w:rPr>
          <w:rFonts w:ascii="Narkisim" w:hAnsi="Narkisim"/>
        </w:rPr>
        <w:t>.</w:t>
      </w:r>
    </w:p>
    <w:p w14:paraId="29845CE0"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שם</w:t>
      </w:r>
      <w:r w:rsidRPr="00AF3214">
        <w:rPr>
          <w:rFonts w:ascii="Narkisim" w:hAnsi="Narkisim" w:cs="Narkisim"/>
          <w:rtl/>
        </w:rPr>
        <w:t>. וה</w:t>
      </w:r>
      <w:r w:rsidRPr="00AF3214">
        <w:rPr>
          <w:rFonts w:ascii="Narkisim" w:hAnsi="Narkisim" w:cs="Narkisim"/>
          <w:b/>
          <w:bCs/>
          <w:rtl/>
        </w:rPr>
        <w:t xml:space="preserve">מהרש"א </w:t>
      </w:r>
      <w:r w:rsidRPr="00AF3214">
        <w:rPr>
          <w:rFonts w:ascii="Narkisim" w:hAnsi="Narkisim" w:cs="Narkisim"/>
          <w:rtl/>
        </w:rPr>
        <w:t>תמה דאיירי בנשאת ע"פ ב' עדים, ונשאת בב' עדים ליכא חומר בסופה</w:t>
      </w:r>
      <w:r w:rsidRPr="00AF3214">
        <w:rPr>
          <w:rStyle w:val="ac"/>
          <w:rFonts w:ascii="Narkisim" w:hAnsi="Narkisim" w:cs="Narkisim"/>
          <w:rtl/>
        </w:rPr>
        <w:footnoteReference w:id="5487"/>
      </w:r>
      <w:r w:rsidRPr="00AF3214">
        <w:rPr>
          <w:rFonts w:ascii="Narkisim" w:hAnsi="Narkisim" w:cs="Narkisim"/>
        </w:rPr>
        <w:t xml:space="preserve">, </w:t>
      </w:r>
      <w:r w:rsidRPr="00AF3214">
        <w:rPr>
          <w:rFonts w:ascii="Narkisim" w:hAnsi="Narkisim" w:cs="Narkisim"/>
          <w:rtl/>
        </w:rPr>
        <w:t>ומש"ה ליכא דייקא ומינסבא</w:t>
      </w:r>
      <w:r w:rsidRPr="00AF3214">
        <w:rPr>
          <w:rStyle w:val="ac"/>
          <w:rFonts w:ascii="Narkisim" w:hAnsi="Narkisim" w:cs="Narkisim"/>
          <w:rtl/>
        </w:rPr>
        <w:footnoteReference w:id="5488"/>
      </w:r>
      <w:r w:rsidRPr="00AF3214">
        <w:rPr>
          <w:rFonts w:ascii="Narkisim" w:hAnsi="Narkisim" w:cs="Narkisim"/>
        </w:rPr>
        <w:t>.</w:t>
      </w:r>
    </w:p>
    <w:p w14:paraId="55EBC47B"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ציינו ד</w:t>
      </w:r>
      <w:r w:rsidRPr="00AF3214">
        <w:rPr>
          <w:rFonts w:ascii="Narkisim" w:hAnsi="Narkisim"/>
          <w:b/>
          <w:bCs/>
          <w:rtl/>
        </w:rPr>
        <w:t>תוס'</w:t>
      </w:r>
      <w:r w:rsidRPr="00AF3214">
        <w:rPr>
          <w:rFonts w:ascii="Narkisim" w:hAnsi="Narkisim"/>
          <w:rtl/>
        </w:rPr>
        <w:t xml:space="preserve"> (ב"ב לב., וכתובות כו: בקיצור) הק' כן, ותי' דהואיל ומכחישים זה את זה איכא חומרא אם תעמוד תחת בעלה בטענת ברי שלה</w:t>
      </w:r>
      <w:r w:rsidRPr="00AF3214">
        <w:rPr>
          <w:rStyle w:val="ac"/>
          <w:rFonts w:ascii="Narkisim" w:hAnsi="Narkisim"/>
          <w:rtl/>
        </w:rPr>
        <w:footnoteReference w:id="5489"/>
      </w:r>
      <w:r w:rsidRPr="00AF3214">
        <w:rPr>
          <w:rFonts w:ascii="Narkisim" w:hAnsi="Narkisim"/>
        </w:rPr>
        <w:t xml:space="preserve">. </w:t>
      </w:r>
      <w:r w:rsidRPr="00AF3214">
        <w:rPr>
          <w:rFonts w:ascii="Narkisim" w:hAnsi="Narkisim"/>
          <w:rtl/>
        </w:rPr>
        <w:t>[ובתרי ותרי ואח"כ נתברר הדין תצא מזה ומזה ויש חומר בסופה</w:t>
      </w:r>
      <w:r w:rsidRPr="00AF3214">
        <w:rPr>
          <w:rStyle w:val="ac"/>
          <w:rFonts w:ascii="Narkisim" w:hAnsi="Narkisim"/>
          <w:rtl/>
        </w:rPr>
        <w:footnoteReference w:id="5490"/>
      </w:r>
      <w:r w:rsidRPr="00AF3214">
        <w:rPr>
          <w:rFonts w:ascii="Narkisim" w:hAnsi="Narkisim"/>
          <w:rtl/>
        </w:rPr>
        <w:t>]</w:t>
      </w:r>
      <w:r w:rsidRPr="00AF3214">
        <w:rPr>
          <w:rFonts w:ascii="Narkisim" w:hAnsi="Narkisim"/>
        </w:rPr>
        <w:t>.</w:t>
      </w:r>
    </w:p>
    <w:p w14:paraId="50DD8AFC" w14:textId="77777777" w:rsidR="006C4368" w:rsidRPr="00AF3214" w:rsidRDefault="006C4368" w:rsidP="006C4368">
      <w:pPr>
        <w:pStyle w:val="a8"/>
        <w:bidi/>
        <w:rPr>
          <w:rFonts w:ascii="Narkisim" w:hAnsi="Narkisim"/>
        </w:rPr>
      </w:pPr>
      <w:r w:rsidRPr="00AF3214">
        <w:rPr>
          <w:rFonts w:ascii="Narkisim" w:hAnsi="Narkisim"/>
          <w:rtl/>
        </w:rPr>
        <w:t xml:space="preserve">אך </w:t>
      </w:r>
      <w:r w:rsidRPr="00AF3214">
        <w:rPr>
          <w:rFonts w:ascii="Narkisim" w:hAnsi="Narkisim"/>
          <w:b/>
          <w:bCs/>
          <w:rtl/>
        </w:rPr>
        <w:t>תוס'</w:t>
      </w:r>
      <w:r w:rsidRPr="00AF3214">
        <w:rPr>
          <w:rFonts w:ascii="Narkisim" w:hAnsi="Narkisim"/>
          <w:rtl/>
        </w:rPr>
        <w:t xml:space="preserve"> (ב"ב לב.) הק' דבקו' הגמ' עדיין לא ידענו דאיירי שאומרת ברי לי, א"כ ליכא 'דייקא', ולא איתרע חזקת אשת איש. וקאי בחטאת. ותי' דהמקשן הק' אפי' נאמר דתרי ותרי הוה ספיקא דאורייתא, אפ"ה באשם קיימא. אבל מדברי תוס' דידן מבואר דתי' בזה אף הקו' הראשונה, דבאשם תלוי ולא בחטאת [והפנ"י כתובות שם תמה בזה]</w:t>
      </w:r>
      <w:r w:rsidRPr="00AF3214">
        <w:rPr>
          <w:rStyle w:val="ac"/>
          <w:rFonts w:ascii="Narkisim" w:hAnsi="Narkisim"/>
          <w:rtl/>
        </w:rPr>
        <w:footnoteReference w:id="5491"/>
      </w:r>
      <w:r w:rsidRPr="00AF3214">
        <w:rPr>
          <w:rFonts w:ascii="Narkisim" w:hAnsi="Narkisim"/>
        </w:rPr>
        <w:t>.</w:t>
      </w:r>
    </w:p>
    <w:p w14:paraId="5E29B964" w14:textId="77777777" w:rsidR="006C4368" w:rsidRPr="00AF3214" w:rsidRDefault="006C4368" w:rsidP="006C4368">
      <w:pPr>
        <w:bidi/>
        <w:rPr>
          <w:rFonts w:ascii="Narkisim" w:hAnsi="Narkisim" w:cs="Narkisim"/>
        </w:rPr>
      </w:pPr>
      <w:r w:rsidRPr="00AF3214">
        <w:rPr>
          <w:rFonts w:ascii="Narkisim" w:hAnsi="Narkisim" w:cs="Narkisim"/>
          <w:u w:val="single"/>
          <w:rtl/>
        </w:rPr>
        <w:t>שם. דמה שאשה דייקא ומינסבא מרעא ליה לחזקה וכו'</w:t>
      </w:r>
      <w:r w:rsidRPr="00AF3214">
        <w:rPr>
          <w:rFonts w:ascii="Narkisim" w:hAnsi="Narkisim" w:cs="Narkisim"/>
          <w:rtl/>
        </w:rPr>
        <w:t>. ה</w:t>
      </w:r>
      <w:r w:rsidRPr="00AF3214">
        <w:rPr>
          <w:rFonts w:ascii="Narkisim" w:hAnsi="Narkisim" w:cs="Narkisim"/>
          <w:b/>
          <w:bCs/>
          <w:rtl/>
        </w:rPr>
        <w:t>ר"א ברודא</w:t>
      </w:r>
      <w:r w:rsidRPr="00AF3214">
        <w:rPr>
          <w:rFonts w:ascii="Narkisim" w:hAnsi="Narkisim" w:cs="Narkisim"/>
          <w:rtl/>
        </w:rPr>
        <w:t xml:space="preserve"> (בשו"ת חכ"צ ב) הק' דהניחא בבאו עדים ואח"כ נשאת. אבל בנשאת [ע"פ עדים] ואח"כ באו עדים לא דייקא [דבשעה שנשאת סמכה על העדים]. א"כ קיימא בחזקת אשת איש</w:t>
      </w:r>
      <w:r w:rsidRPr="00AF3214">
        <w:rPr>
          <w:rStyle w:val="ac"/>
          <w:rFonts w:ascii="Narkisim" w:hAnsi="Narkisim" w:cs="Narkisim"/>
          <w:rtl/>
        </w:rPr>
        <w:footnoteReference w:id="5492"/>
      </w:r>
      <w:r w:rsidRPr="00AF3214">
        <w:rPr>
          <w:rFonts w:ascii="Narkisim" w:hAnsi="Narkisim" w:cs="Narkisim"/>
        </w:rPr>
        <w:t>.</w:t>
      </w:r>
    </w:p>
    <w:p w14:paraId="01BA14FD" w14:textId="77777777" w:rsidR="006C4368" w:rsidRPr="00AF3214" w:rsidRDefault="006C4368" w:rsidP="006C4368">
      <w:pPr>
        <w:pStyle w:val="a7"/>
        <w:bidi/>
        <w:rPr>
          <w:rFonts w:ascii="Narkisim" w:hAnsi="Narkisim"/>
        </w:rPr>
      </w:pPr>
      <w:r w:rsidRPr="00AF3214">
        <w:rPr>
          <w:rFonts w:ascii="Narkisim" w:hAnsi="Narkisim"/>
          <w:rtl/>
        </w:rPr>
        <w:t>וכת' [פי' א'] דע"כ נשאת ואח"כ באו עדים הוה מטעם אחר, שכבר יצאת מחזקת אשת איש ע"פ עדים בתחילה [שהוחזקה בהיתר ע"פ העדים הראשונים</w:t>
      </w:r>
      <w:r w:rsidRPr="00AF3214">
        <w:rPr>
          <w:rStyle w:val="ac"/>
          <w:rFonts w:ascii="Narkisim" w:hAnsi="Narkisim"/>
          <w:rtl/>
        </w:rPr>
        <w:footnoteReference w:id="5493"/>
      </w:r>
      <w:r w:rsidRPr="00AF3214">
        <w:rPr>
          <w:rFonts w:ascii="Narkisim" w:hAnsi="Narkisim"/>
          <w:rtl/>
        </w:rPr>
        <w:t>]. ועד"ז כת' ה</w:t>
      </w:r>
      <w:r w:rsidRPr="00AF3214">
        <w:rPr>
          <w:rFonts w:ascii="Narkisim" w:hAnsi="Narkisim"/>
          <w:b/>
          <w:bCs/>
          <w:rtl/>
        </w:rPr>
        <w:t>פנ"י</w:t>
      </w:r>
      <w:r w:rsidRPr="00AF3214">
        <w:rPr>
          <w:rFonts w:ascii="Narkisim" w:hAnsi="Narkisim"/>
          <w:rtl/>
        </w:rPr>
        <w:t xml:space="preserve"> (כתובות, הו' בסמוך)</w:t>
      </w:r>
      <w:r w:rsidRPr="00AF3214">
        <w:rPr>
          <w:rFonts w:ascii="Narkisim" w:hAnsi="Narkisim"/>
        </w:rPr>
        <w:t>.</w:t>
      </w:r>
    </w:p>
    <w:p w14:paraId="5AC3D15A" w14:textId="77777777" w:rsidR="006C4368" w:rsidRPr="00AF3214" w:rsidRDefault="006C4368" w:rsidP="006C4368">
      <w:pPr>
        <w:pStyle w:val="a8"/>
        <w:bidi/>
        <w:rPr>
          <w:rFonts w:ascii="Narkisim" w:hAnsi="Narkisim"/>
        </w:rPr>
      </w:pPr>
      <w:r w:rsidRPr="00AF3214">
        <w:rPr>
          <w:rFonts w:ascii="Narkisim" w:hAnsi="Narkisim"/>
          <w:rtl/>
        </w:rPr>
        <w:t xml:space="preserve">ועד"ז דעת </w:t>
      </w:r>
      <w:r w:rsidRPr="00AF3214">
        <w:rPr>
          <w:rFonts w:ascii="Narkisim" w:hAnsi="Narkisim"/>
          <w:b/>
          <w:bCs/>
          <w:rtl/>
        </w:rPr>
        <w:t>ר"י ב"ר ברוך</w:t>
      </w:r>
      <w:r w:rsidRPr="00AF3214">
        <w:rPr>
          <w:rFonts w:ascii="Narkisim" w:hAnsi="Narkisim"/>
          <w:rtl/>
        </w:rPr>
        <w:t xml:space="preserve"> (בתוס' כתובות כו:) דהיכא דב' עדים הראשונים הוציאו מהחזקה, ואח"כ באו והכחישום [והוה תרי ותרי] לא מעמידים אחזקה. דהעדים הראשונים כבר הוציאום מהחזקה</w:t>
      </w:r>
      <w:r w:rsidRPr="00AF3214">
        <w:rPr>
          <w:rStyle w:val="ac"/>
          <w:rFonts w:ascii="Narkisim" w:hAnsi="Narkisim"/>
          <w:rtl/>
        </w:rPr>
        <w:footnoteReference w:id="5494"/>
      </w:r>
      <w:r w:rsidRPr="00AF3214">
        <w:rPr>
          <w:rFonts w:ascii="Narkisim" w:hAnsi="Narkisim"/>
        </w:rPr>
        <w:t>.</w:t>
      </w:r>
    </w:p>
    <w:p w14:paraId="2543405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(חכ"צ ג) הביאו ד</w:t>
      </w:r>
      <w:r w:rsidRPr="00AF3214">
        <w:rPr>
          <w:rFonts w:ascii="Narkisim" w:hAnsi="Narkisim"/>
          <w:b/>
          <w:bCs/>
          <w:rtl/>
        </w:rPr>
        <w:t>תוס'</w:t>
      </w:r>
      <w:r w:rsidRPr="00AF3214">
        <w:rPr>
          <w:rFonts w:ascii="Narkisim" w:hAnsi="Narkisim"/>
          <w:rtl/>
        </w:rPr>
        <w:t xml:space="preserve"> (הנ"ל) כת' דיש חומרא במה שתעמוד תחת בעלה. דאף בנשאת ואח"כ באו עדים אמרי' דדייקא ונשארת תחת הבעל, לאחר שבאו העדים המכחישים</w:t>
      </w:r>
      <w:r w:rsidRPr="00AF3214">
        <w:rPr>
          <w:rFonts w:ascii="Narkisim" w:hAnsi="Narkisim"/>
        </w:rPr>
        <w:t>.</w:t>
      </w:r>
    </w:p>
    <w:p w14:paraId="20072D02" w14:textId="77777777" w:rsidR="006C4368" w:rsidRPr="00AF3214" w:rsidRDefault="006C4368" w:rsidP="006C4368">
      <w:pPr>
        <w:pStyle w:val="aa"/>
        <w:bidi/>
        <w:rPr>
          <w:rFonts w:ascii="Narkisim" w:hAnsi="Narkisim"/>
        </w:rPr>
      </w:pPr>
      <w:r w:rsidRPr="00AF3214">
        <w:rPr>
          <w:rFonts w:ascii="Narkisim" w:hAnsi="Narkisim"/>
          <w:u w:val="single"/>
          <w:rtl/>
        </w:rPr>
        <w:t>בא"ד ובשנים אומרים נתגרשה דבסמוך נמי דייקא לפי שיראה שיבואו עדים ויזימו וכו'</w:t>
      </w:r>
      <w:r w:rsidRPr="00AF3214">
        <w:rPr>
          <w:rFonts w:ascii="Narkisim" w:hAnsi="Narkisim"/>
          <w:rtl/>
        </w:rPr>
        <w:t>. ו</w:t>
      </w:r>
      <w:r w:rsidRPr="00AF3214">
        <w:rPr>
          <w:rFonts w:ascii="Narkisim" w:hAnsi="Narkisim"/>
          <w:b/>
          <w:bCs/>
          <w:rtl/>
        </w:rPr>
        <w:t>תוס'</w:t>
      </w:r>
      <w:r w:rsidRPr="00AF3214">
        <w:rPr>
          <w:rFonts w:ascii="Narkisim" w:hAnsi="Narkisim"/>
          <w:rtl/>
        </w:rPr>
        <w:t xml:space="preserve"> (ב"ב לב.) כת'</w:t>
      </w:r>
      <w:r w:rsidRPr="00AF3214">
        <w:rPr>
          <w:rStyle w:val="ac"/>
          <w:rFonts w:ascii="Narkisim" w:hAnsi="Narkisim"/>
          <w:rtl/>
        </w:rPr>
        <w:footnoteReference w:id="5495"/>
      </w:r>
      <w:r w:rsidRPr="00AF3214">
        <w:rPr>
          <w:rFonts w:ascii="Narkisim" w:hAnsi="Narkisim"/>
          <w:rtl/>
        </w:rPr>
        <w:t xml:space="preserve"> דיראה שמא יוזמו או יפסלום בגזלנות</w:t>
      </w:r>
      <w:r w:rsidRPr="00AF3214">
        <w:rPr>
          <w:rFonts w:ascii="Narkisim" w:hAnsi="Narkisim"/>
        </w:rPr>
        <w:t>.</w:t>
      </w:r>
    </w:p>
    <w:p w14:paraId="4E566770" w14:textId="77777777" w:rsidR="006C4368" w:rsidRPr="00AF3214" w:rsidRDefault="006C4368" w:rsidP="006C4368">
      <w:pPr>
        <w:bidi/>
        <w:rPr>
          <w:rFonts w:ascii="Narkisim" w:hAnsi="Narkisim" w:cs="Narkisim"/>
        </w:rPr>
      </w:pPr>
      <w:r w:rsidRPr="00AF3214">
        <w:rPr>
          <w:rFonts w:ascii="Narkisim" w:hAnsi="Narkisim" w:cs="Narkisim"/>
          <w:u w:val="single"/>
          <w:rtl/>
        </w:rPr>
        <w:t>דתניא ב' אומרים מת וכו' ואם נשאת לא תצא</w:t>
      </w:r>
      <w:r w:rsidRPr="00AF3214">
        <w:rPr>
          <w:rFonts w:ascii="Narkisim" w:hAnsi="Narkisim" w:cs="Narkisim"/>
          <w:rtl/>
        </w:rPr>
        <w:t>. ומבואר (בגמ' כתובות כב:, הו' ברש"י) דהת"ק איירי באומרת ברי ונשאת לעדיה. ולכתחילה לא תנשא</w:t>
      </w:r>
      <w:r w:rsidRPr="00AF3214">
        <w:rPr>
          <w:rStyle w:val="ac"/>
          <w:rFonts w:ascii="Narkisim" w:hAnsi="Narkisim" w:cs="Narkisim"/>
          <w:rtl/>
        </w:rPr>
        <w:footnoteReference w:id="5496"/>
      </w:r>
      <w:r w:rsidRPr="00AF3214">
        <w:rPr>
          <w:rFonts w:ascii="Narkisim" w:hAnsi="Narkisim" w:cs="Narkisim"/>
        </w:rPr>
        <w:t xml:space="preserve">, </w:t>
      </w:r>
      <w:r w:rsidRPr="00AF3214">
        <w:rPr>
          <w:rFonts w:ascii="Narkisim" w:hAnsi="Narkisim" w:cs="Narkisim"/>
          <w:rtl/>
        </w:rPr>
        <w:t xml:space="preserve">אבל כיון דיש דתרי ותרי </w:t>
      </w:r>
      <w:r w:rsidRPr="00AF3214">
        <w:rPr>
          <w:rFonts w:ascii="Narkisim" w:hAnsi="Narkisim" w:cs="Narkisim"/>
          <w:rtl/>
        </w:rPr>
        <w:lastRenderedPageBreak/>
        <w:t>וטענת ברי אין מוציאין (כמו שנתפרש). [ואף כשנשאת באיסור]</w:t>
      </w:r>
      <w:r w:rsidRPr="00AF3214">
        <w:rPr>
          <w:rFonts w:ascii="Narkisim" w:hAnsi="Narkisim" w:cs="Narkisim"/>
        </w:rPr>
        <w:t>.</w:t>
      </w:r>
    </w:p>
    <w:p w14:paraId="63CB18FD" w14:textId="77777777" w:rsidR="006C4368" w:rsidRPr="00AF3214" w:rsidRDefault="006C4368" w:rsidP="006C4368">
      <w:pPr>
        <w:bidi/>
        <w:rPr>
          <w:rFonts w:ascii="Narkisim" w:hAnsi="Narkisim" w:cs="Narkisim"/>
        </w:rPr>
      </w:pPr>
      <w:r w:rsidRPr="00AF3214">
        <w:rPr>
          <w:rFonts w:ascii="Narkisim" w:hAnsi="Narkisim" w:cs="Narkisim"/>
          <w:u w:val="single"/>
          <w:rtl/>
        </w:rPr>
        <w:t>ר' מנחם בר"י אומר תצא וכו' בזמן שבאו עדים ואח"כ נשאת וכו'</w:t>
      </w:r>
      <w:r w:rsidRPr="00AF3214">
        <w:rPr>
          <w:rFonts w:ascii="Narkisim" w:hAnsi="Narkisim" w:cs="Narkisim"/>
          <w:rtl/>
        </w:rPr>
        <w:t xml:space="preserve">. </w:t>
      </w:r>
      <w:r w:rsidRPr="00AF3214">
        <w:rPr>
          <w:rFonts w:ascii="Narkisim" w:hAnsi="Narkisim" w:cs="Narkisim"/>
          <w:szCs w:val="20"/>
          <w:rtl/>
        </w:rPr>
        <w:t>[וב' לשונות בגמ' בסמוך האם ברייתא דדפנו קמ"ל לאפוקי מר' מנחם בר"י, או קמ"ל כר' מנחם בר"י]</w:t>
      </w:r>
      <w:r w:rsidRPr="00AF3214">
        <w:rPr>
          <w:rFonts w:ascii="Narkisim" w:hAnsi="Narkisim" w:cs="Narkisim"/>
          <w:rtl/>
        </w:rPr>
        <w:t xml:space="preserve">. וכמה </w:t>
      </w:r>
      <w:r w:rsidRPr="00AF3214">
        <w:rPr>
          <w:rFonts w:ascii="Narkisim" w:hAnsi="Narkisim" w:cs="Narkisim"/>
          <w:b/>
          <w:bCs/>
          <w:rtl/>
        </w:rPr>
        <w:t>אחרונים</w:t>
      </w:r>
      <w:r w:rsidRPr="00AF3214">
        <w:rPr>
          <w:rStyle w:val="ac"/>
          <w:rFonts w:ascii="Narkisim" w:hAnsi="Narkisim" w:cs="Narkisim"/>
          <w:rtl/>
        </w:rPr>
        <w:footnoteReference w:id="5497"/>
      </w:r>
      <w:r w:rsidRPr="00AF3214">
        <w:rPr>
          <w:rFonts w:ascii="Narkisim" w:hAnsi="Narkisim" w:cs="Narkisim"/>
        </w:rPr>
        <w:t xml:space="preserve"> </w:t>
      </w:r>
      <w:r w:rsidRPr="00AF3214">
        <w:rPr>
          <w:rFonts w:ascii="Narkisim" w:hAnsi="Narkisim" w:cs="Narkisim"/>
          <w:rtl/>
        </w:rPr>
        <w:t>כת' דסברת ר' מנחם בר"י דהחמירו כיון דנשאת שלא כדין. וכ"כ ה</w:t>
      </w:r>
      <w:r w:rsidRPr="00AF3214">
        <w:rPr>
          <w:rFonts w:ascii="Narkisim" w:hAnsi="Narkisim" w:cs="Narkisim"/>
          <w:b/>
          <w:bCs/>
          <w:rtl/>
        </w:rPr>
        <w:t>ר' יונתן מלוניל</w:t>
      </w:r>
      <w:r w:rsidRPr="00AF3214">
        <w:rPr>
          <w:rFonts w:ascii="Narkisim" w:hAnsi="Narkisim" w:cs="Narkisim"/>
          <w:rtl/>
        </w:rPr>
        <w:t xml:space="preserve"> (כתובות שם) דהוה קנס שנשאת שלא כדין</w:t>
      </w:r>
      <w:r w:rsidRPr="00AF3214">
        <w:rPr>
          <w:rFonts w:ascii="Narkisim" w:hAnsi="Narkisim" w:cs="Narkisim"/>
        </w:rPr>
        <w:t>.</w:t>
      </w:r>
    </w:p>
    <w:p w14:paraId="018A91EF"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פנ"י</w:t>
      </w:r>
      <w:r w:rsidRPr="00AF3214">
        <w:rPr>
          <w:rFonts w:ascii="Narkisim" w:hAnsi="Narkisim"/>
          <w:rtl/>
        </w:rPr>
        <w:t xml:space="preserve"> (כתובות שם) הביא דמבואר בסוגיין (לחד לישנא בסמוך) דר' מנחם בר"י יליף לה מקרא דדפנו, וע"כ דבאו עדים ואח"כ נשאת אסורה מדאורייתא. והפנ"י ביאר דר' מנחם בר"י פליג אסברת דייקא ומינסבא [שכתבו התוס']. וכיון דקיימא בחזקת אשת איש ל"מ שאומרת ברי</w:t>
      </w:r>
      <w:r w:rsidRPr="00AF3214">
        <w:rPr>
          <w:rStyle w:val="ac"/>
          <w:rFonts w:ascii="Narkisim" w:hAnsi="Narkisim"/>
          <w:rtl/>
        </w:rPr>
        <w:footnoteReference w:id="5498"/>
      </w:r>
      <w:r w:rsidRPr="00AF3214">
        <w:rPr>
          <w:rFonts w:ascii="Narkisim" w:hAnsi="Narkisim"/>
        </w:rPr>
        <w:t>.</w:t>
      </w:r>
    </w:p>
    <w:p w14:paraId="3C0D2024" w14:textId="77777777" w:rsidR="006C4368" w:rsidRPr="00AF3214" w:rsidRDefault="006C4368" w:rsidP="006C4368">
      <w:pPr>
        <w:bidi/>
        <w:rPr>
          <w:rFonts w:ascii="Narkisim" w:hAnsi="Narkisim" w:cs="Narkisim"/>
        </w:rPr>
      </w:pPr>
      <w:r w:rsidRPr="00AF3214">
        <w:rPr>
          <w:rFonts w:ascii="Narkisim" w:hAnsi="Narkisim" w:cs="Narkisim"/>
          <w:rtl/>
        </w:rPr>
        <w:t>ובגמ' (ב"ב לא:) נח' רב נחמן ורבא האם חיישינן לזילותא דבי דינא, ורבא הביא מברייתא דר' מנחם בר"י. ו</w:t>
      </w:r>
      <w:r w:rsidRPr="00AF3214">
        <w:rPr>
          <w:rFonts w:ascii="Narkisim" w:hAnsi="Narkisim" w:cs="Narkisim"/>
          <w:b/>
          <w:bCs/>
          <w:rtl/>
        </w:rPr>
        <w:t>רשב"ם</w:t>
      </w:r>
      <w:r w:rsidRPr="00AF3214">
        <w:rPr>
          <w:rFonts w:ascii="Narkisim" w:hAnsi="Narkisim" w:cs="Narkisim"/>
          <w:rtl/>
        </w:rPr>
        <w:t xml:space="preserve"> פי' דסברת ר' מנחם בר"י דהיכא דנשאת [ע"פ היתר בי"ד] ואח"כ באו עדים שהוא קיים לא תצא, משום דחיישינן לזילותא דבי"ד</w:t>
      </w:r>
      <w:r w:rsidRPr="00AF3214">
        <w:rPr>
          <w:rStyle w:val="ac"/>
          <w:rFonts w:ascii="Narkisim" w:hAnsi="Narkisim" w:cs="Narkisim"/>
          <w:rtl/>
        </w:rPr>
        <w:footnoteReference w:id="5499"/>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פנ"י</w:t>
      </w:r>
      <w:r w:rsidRPr="00AF3214">
        <w:rPr>
          <w:rFonts w:ascii="Narkisim" w:hAnsi="Narkisim" w:cs="Narkisim"/>
          <w:rtl/>
        </w:rPr>
        <w:t xml:space="preserve"> (הנ"ל) הק' דסברת ר' מנחם בר"י משום טענת ברי. ובבאו עדים ואח"כ נשאת הוה מדאורייתא, וכדאי' בסוגיין. והיכן מצאנו דשייך לזילותא דבי"ד. והפנ"י כת' דבמסקנא (שם) לא הוה משום זילותא דבי"ד</w:t>
      </w:r>
      <w:r w:rsidRPr="00AF3214">
        <w:rPr>
          <w:rStyle w:val="ac"/>
          <w:rFonts w:ascii="Narkisim" w:hAnsi="Narkisim" w:cs="Narkisim"/>
          <w:rtl/>
        </w:rPr>
        <w:footnoteReference w:id="5500"/>
      </w:r>
      <w:r w:rsidRPr="00AF3214">
        <w:rPr>
          <w:rFonts w:ascii="Narkisim" w:hAnsi="Narkisim" w:cs="Narkisim"/>
        </w:rPr>
        <w:t>.</w:t>
      </w:r>
    </w:p>
    <w:p w14:paraId="5E96E642"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ביאר דכוונת הגמ' דבכל תרי ותרי החמירו רבנן, וכאן הקילו כשנשאת בהיתר הקילו משום זילותא דבי"ד</w:t>
      </w:r>
      <w:r w:rsidRPr="00AF3214">
        <w:rPr>
          <w:rStyle w:val="ac"/>
          <w:rFonts w:ascii="Narkisim" w:hAnsi="Narkisim"/>
          <w:rtl/>
        </w:rPr>
        <w:footnoteReference w:id="5501"/>
      </w:r>
      <w:r w:rsidRPr="00AF3214">
        <w:rPr>
          <w:rFonts w:ascii="Narkisim" w:hAnsi="Narkisim"/>
        </w:rPr>
        <w:t>.</w:t>
      </w:r>
    </w:p>
    <w:p w14:paraId="5E0C6DD5" w14:textId="77777777" w:rsidR="006C4368" w:rsidRPr="00AF3214" w:rsidRDefault="006C4368" w:rsidP="006C4368">
      <w:pPr>
        <w:bidi/>
        <w:rPr>
          <w:rFonts w:ascii="Narkisim" w:hAnsi="Narkisim" w:cs="Narkisim"/>
        </w:rPr>
      </w:pPr>
      <w:r w:rsidRPr="00AF3214">
        <w:rPr>
          <w:rFonts w:ascii="Narkisim" w:hAnsi="Narkisim" w:cs="Narkisim"/>
          <w:u w:val="single"/>
          <w:rtl/>
        </w:rPr>
        <w:t>אבל נשאת ואח"כ באו עדים הר"ז לא תצא</w:t>
      </w:r>
      <w:r w:rsidRPr="00AF3214">
        <w:rPr>
          <w:rFonts w:ascii="Narkisim" w:hAnsi="Narkisim" w:cs="Narkisim"/>
          <w:rtl/>
        </w:rPr>
        <w:t>. בפשוטו משמע דבזה ר' מנחם מודה לת"ק, דסמכינן אטענת ברי דידהו. [כיון דלא נשאת שלא כדין]</w:t>
      </w:r>
      <w:r w:rsidRPr="00AF3214">
        <w:rPr>
          <w:rFonts w:ascii="Narkisim" w:hAnsi="Narkisim" w:cs="Narkisim"/>
        </w:rPr>
        <w:t>.</w:t>
      </w:r>
    </w:p>
    <w:p w14:paraId="1DDE67E3"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פנ"י</w:t>
      </w:r>
      <w:r w:rsidRPr="00AF3214">
        <w:rPr>
          <w:rFonts w:ascii="Narkisim" w:hAnsi="Narkisim"/>
          <w:rtl/>
        </w:rPr>
        <w:t xml:space="preserve"> (הנ"ל) כת' דבנשאת בהיתר ר' מנחם בר"י ס"ל דיצאת מחזקת אשת איש ע"י עדות הראשונה. [וכדברי ר"א ברודא (הנ"ל בצד א')</w:t>
      </w:r>
      <w:r w:rsidRPr="00AF3214">
        <w:rPr>
          <w:rStyle w:val="ac"/>
          <w:rFonts w:ascii="Narkisim" w:hAnsi="Narkisim"/>
          <w:rtl/>
        </w:rPr>
        <w:footnoteReference w:id="5502"/>
      </w:r>
      <w:r w:rsidRPr="00AF3214">
        <w:rPr>
          <w:rFonts w:ascii="Narkisim" w:hAnsi="Narkisim"/>
        </w:rPr>
        <w:t xml:space="preserve">, </w:t>
      </w:r>
      <w:r w:rsidRPr="00AF3214">
        <w:rPr>
          <w:rFonts w:ascii="Narkisim" w:hAnsi="Narkisim"/>
          <w:rtl/>
        </w:rPr>
        <w:t>וכר' יצחק ב"ר ברוך בתוס' כתובות כו: הנ"ל]. דהא ר' מנחם בר"י פליג אהא דדייקא ומינסבא מהני להוציאו מחזקתה</w:t>
      </w:r>
      <w:r w:rsidRPr="00AF3214">
        <w:rPr>
          <w:rFonts w:ascii="Narkisim" w:hAnsi="Narkisim"/>
        </w:rPr>
        <w:t>.</w:t>
      </w:r>
    </w:p>
    <w:p w14:paraId="78442B54"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שעה"מ</w:t>
      </w:r>
      <w:r w:rsidRPr="00AF3214">
        <w:rPr>
          <w:rFonts w:ascii="Narkisim" w:hAnsi="Narkisim"/>
          <w:rtl/>
        </w:rPr>
        <w:t xml:space="preserve"> (גירושין יב) הביא מדברי ה</w:t>
      </w:r>
      <w:r w:rsidRPr="00AF3214">
        <w:rPr>
          <w:rFonts w:ascii="Narkisim" w:hAnsi="Narkisim"/>
          <w:b/>
          <w:bCs/>
          <w:rtl/>
        </w:rPr>
        <w:t>רשב"א</w:t>
      </w:r>
      <w:r w:rsidRPr="00AF3214">
        <w:rPr>
          <w:rFonts w:ascii="Narkisim" w:hAnsi="Narkisim"/>
          <w:rtl/>
        </w:rPr>
        <w:t xml:space="preserve"> (קידושין סו.) דבנשאת ואח"כ באו עדים לא תצא, אף כשאינם טוענים ברי, ואף כשנשאת שלא לעדיה</w:t>
      </w:r>
      <w:r w:rsidRPr="00AF3214">
        <w:rPr>
          <w:rStyle w:val="ac"/>
          <w:rFonts w:ascii="Narkisim" w:hAnsi="Narkisim"/>
          <w:rtl/>
        </w:rPr>
        <w:footnoteReference w:id="5503"/>
      </w:r>
      <w:r w:rsidRPr="00AF3214">
        <w:rPr>
          <w:rFonts w:ascii="Narkisim" w:hAnsi="Narkisim"/>
        </w:rPr>
        <w:t xml:space="preserve">. </w:t>
      </w:r>
      <w:r w:rsidRPr="00AF3214">
        <w:rPr>
          <w:rFonts w:ascii="Narkisim" w:hAnsi="Narkisim"/>
          <w:rtl/>
        </w:rPr>
        <w:t>ואף לרבנן היכא דנשאת בהיתר אי"צ דוקא לא' מעדיה</w:t>
      </w:r>
      <w:r w:rsidRPr="00AF3214">
        <w:rPr>
          <w:rStyle w:val="ac"/>
          <w:rFonts w:ascii="Narkisim" w:hAnsi="Narkisim"/>
          <w:rtl/>
        </w:rPr>
        <w:footnoteReference w:id="5504"/>
      </w:r>
      <w:r w:rsidRPr="00AF3214">
        <w:rPr>
          <w:rFonts w:ascii="Narkisim" w:hAnsi="Narkisim"/>
        </w:rPr>
        <w:t xml:space="preserve">. </w:t>
      </w:r>
      <w:r w:rsidRPr="00AF3214">
        <w:rPr>
          <w:rFonts w:ascii="Narkisim" w:hAnsi="Narkisim"/>
          <w:szCs w:val="20"/>
          <w:rtl/>
        </w:rPr>
        <w:t>וקו' הגמ' (כאן וכתובות כב:) באשם תלוי קיימא הוה דוקא היכא דבאו עדים ואח"כ נשאת</w:t>
      </w:r>
      <w:r w:rsidRPr="00AF3214">
        <w:rPr>
          <w:rFonts w:ascii="Narkisim" w:hAnsi="Narkisim"/>
        </w:rPr>
        <w:t>.</w:t>
      </w:r>
    </w:p>
    <w:p w14:paraId="6A3F3ABC" w14:textId="77777777" w:rsidR="006C4368" w:rsidRPr="00AF3214" w:rsidRDefault="006C4368" w:rsidP="006C4368">
      <w:pPr>
        <w:bidi/>
        <w:rPr>
          <w:rFonts w:ascii="Narkisim" w:hAnsi="Narkisim" w:cs="Narkisim"/>
        </w:rPr>
      </w:pPr>
      <w:r w:rsidRPr="00AF3214">
        <w:rPr>
          <w:rFonts w:ascii="Narkisim" w:hAnsi="Narkisim" w:cs="Narkisim"/>
          <w:u w:val="single"/>
          <w:rtl/>
        </w:rPr>
        <w:t>מתיב רבא מנין שאם לא רצה דפנו ת"ל וקדשתו בע"כ</w:t>
      </w:r>
      <w:r w:rsidRPr="00AF3214">
        <w:rPr>
          <w:rStyle w:val="ac"/>
          <w:rFonts w:ascii="Narkisim" w:hAnsi="Narkisim" w:cs="Narkisim"/>
          <w:u w:val="single"/>
          <w:rtl/>
        </w:rPr>
        <w:footnoteReference w:id="5505"/>
      </w:r>
      <w:r w:rsidRPr="00AF3214">
        <w:rPr>
          <w:rFonts w:ascii="Narkisim" w:hAnsi="Narkisim" w:cs="Narkisim"/>
          <w:u w:val="single"/>
        </w:rPr>
        <w:t xml:space="preserve">, </w:t>
      </w:r>
      <w:r w:rsidRPr="00AF3214">
        <w:rPr>
          <w:rFonts w:ascii="Narkisim" w:hAnsi="Narkisim" w:cs="Narkisim"/>
          <w:u w:val="single"/>
          <w:rtl/>
        </w:rPr>
        <w:t>ה"ד וכו' צריכא למימר וכו'</w:t>
      </w:r>
      <w:r w:rsidRPr="00AF3214">
        <w:rPr>
          <w:rFonts w:ascii="Narkisim" w:hAnsi="Narkisim" w:cs="Narkisim"/>
          <w:rtl/>
        </w:rPr>
        <w:t xml:space="preserve">. </w:t>
      </w:r>
      <w:r w:rsidRPr="00AF3214">
        <w:rPr>
          <w:rFonts w:ascii="Narkisim" w:hAnsi="Narkisim" w:cs="Narkisim"/>
          <w:rtl/>
        </w:rPr>
        <w:lastRenderedPageBreak/>
        <w:t>פ</w:t>
      </w:r>
      <w:r w:rsidRPr="00AF3214">
        <w:rPr>
          <w:rFonts w:ascii="Narkisim" w:hAnsi="Narkisim" w:cs="Narkisim"/>
          <w:b/>
          <w:bCs/>
          <w:rtl/>
        </w:rPr>
        <w:t>רש"י</w:t>
      </w:r>
      <w:r w:rsidRPr="00AF3214">
        <w:rPr>
          <w:rFonts w:ascii="Narkisim" w:hAnsi="Narkisim" w:cs="Narkisim"/>
          <w:rtl/>
        </w:rPr>
        <w:t xml:space="preserve"> דלא איצטריך קרא</w:t>
      </w:r>
      <w:r w:rsidRPr="00AF3214">
        <w:rPr>
          <w:rStyle w:val="ac"/>
          <w:rFonts w:ascii="Narkisim" w:hAnsi="Narkisim" w:cs="Narkisim"/>
          <w:rtl/>
        </w:rPr>
        <w:footnoteReference w:id="5506"/>
      </w:r>
      <w:r w:rsidRPr="00AF3214">
        <w:rPr>
          <w:rFonts w:ascii="Narkisim" w:hAnsi="Narkisim" w:cs="Narkisim"/>
        </w:rPr>
        <w:t xml:space="preserve"> </w:t>
      </w:r>
      <w:r w:rsidRPr="00AF3214">
        <w:rPr>
          <w:rFonts w:ascii="Narkisim" w:hAnsi="Narkisim" w:cs="Narkisim"/>
          <w:rtl/>
        </w:rPr>
        <w:t>דודאי כפינן ליה באיסור מפורסם, ואפי' באיסור ספק. ה</w:t>
      </w:r>
      <w:r w:rsidRPr="00AF3214">
        <w:rPr>
          <w:rFonts w:ascii="Narkisim" w:hAnsi="Narkisim" w:cs="Narkisim"/>
          <w:b/>
          <w:bCs/>
          <w:rtl/>
        </w:rPr>
        <w:t>פר"ח</w:t>
      </w:r>
      <w:r w:rsidRPr="00AF3214">
        <w:rPr>
          <w:rFonts w:ascii="Narkisim" w:hAnsi="Narkisim" w:cs="Narkisim"/>
          <w:rtl/>
        </w:rPr>
        <w:t xml:space="preserve"> (יו"ד קי כללי ס"ס א) הביא דמפורש ברש"י דספק דאורייתא לחומרא מדאורייתא</w:t>
      </w:r>
      <w:r w:rsidRPr="00AF3214">
        <w:rPr>
          <w:rStyle w:val="ac"/>
          <w:rFonts w:ascii="Narkisim" w:hAnsi="Narkisim" w:cs="Narkisim"/>
          <w:rtl/>
        </w:rPr>
        <w:footnoteReference w:id="5507"/>
      </w:r>
      <w:r w:rsidRPr="00AF3214">
        <w:rPr>
          <w:rFonts w:ascii="Narkisim" w:hAnsi="Narkisim" w:cs="Narkisim"/>
        </w:rPr>
        <w:t xml:space="preserve">, </w:t>
      </w:r>
      <w:r w:rsidRPr="00AF3214">
        <w:rPr>
          <w:rFonts w:ascii="Narkisim" w:hAnsi="Narkisim" w:cs="Narkisim"/>
          <w:rtl/>
        </w:rPr>
        <w:t>וכדעת ה</w:t>
      </w:r>
      <w:r w:rsidRPr="00AF3214">
        <w:rPr>
          <w:rFonts w:ascii="Narkisim" w:hAnsi="Narkisim" w:cs="Narkisim"/>
          <w:b/>
          <w:bCs/>
          <w:rtl/>
        </w:rPr>
        <w:t>רשב"א</w:t>
      </w:r>
      <w:r w:rsidRPr="00AF3214">
        <w:rPr>
          <w:rFonts w:ascii="Narkisim" w:hAnsi="Narkisim" w:cs="Narkisim"/>
          <w:rtl/>
        </w:rPr>
        <w:t xml:space="preserve"> (תוה"ב ד א יב. בדה"ס, והר"ן קידושין טו. בדה"ר). [ודלא כרמב"ם טומ"מ ט יב]</w:t>
      </w:r>
      <w:r w:rsidRPr="00AF3214">
        <w:rPr>
          <w:rFonts w:ascii="Narkisim" w:hAnsi="Narkisim" w:cs="Narkisim"/>
        </w:rPr>
        <w:t>.</w:t>
      </w:r>
    </w:p>
    <w:p w14:paraId="16BD3D01" w14:textId="77777777" w:rsidR="006C4368" w:rsidRPr="00AF3214" w:rsidRDefault="006C4368" w:rsidP="006C4368">
      <w:pPr>
        <w:bidi/>
        <w:rPr>
          <w:rFonts w:ascii="Narkisim" w:hAnsi="Narkisim" w:cs="Narkisim"/>
        </w:rPr>
      </w:pPr>
      <w:r w:rsidRPr="00AF3214">
        <w:rPr>
          <w:rFonts w:ascii="Narkisim" w:hAnsi="Narkisim" w:cs="Narkisim"/>
          <w:u w:val="single"/>
          <w:rtl/>
        </w:rPr>
        <w:t>אלא לאו שנשאת דניסת לא' מעדיה וקאמרה ברי לי וקתני דפנו, אלמא מפקינן לה מיניה</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וקשיא לרב. וגלי קרא דאף שטוענים ברי, מוטל על בי"ד לקדש את הכהן בע"כ. [וס"ד דילפי' מהך קרא דאף ישראל מוציא]</w:t>
      </w:r>
      <w:r w:rsidRPr="00AF3214">
        <w:rPr>
          <w:rFonts w:ascii="Narkisim" w:hAnsi="Narkisim" w:cs="Narkisim"/>
        </w:rPr>
        <w:t>.</w:t>
      </w:r>
    </w:p>
    <w:p w14:paraId="74DA08C1" w14:textId="77777777" w:rsidR="006C4368" w:rsidRPr="00AF3214" w:rsidRDefault="006C4368" w:rsidP="006C4368">
      <w:pPr>
        <w:pStyle w:val="a7"/>
        <w:bidi/>
        <w:rPr>
          <w:rFonts w:ascii="Narkisim" w:hAnsi="Narkisim"/>
        </w:rPr>
      </w:pPr>
      <w:r w:rsidRPr="00AF3214">
        <w:rPr>
          <w:rFonts w:ascii="Narkisim" w:hAnsi="Narkisim"/>
          <w:rtl/>
        </w:rPr>
        <w:t>ופ</w:t>
      </w:r>
      <w:r w:rsidRPr="00AF3214">
        <w:rPr>
          <w:rFonts w:ascii="Narkisim" w:hAnsi="Narkisim"/>
          <w:b/>
          <w:bCs/>
          <w:rtl/>
        </w:rPr>
        <w:t>רש"י</w:t>
      </w:r>
      <w:r w:rsidRPr="00AF3214">
        <w:rPr>
          <w:rFonts w:ascii="Narkisim" w:hAnsi="Narkisim"/>
          <w:rtl/>
        </w:rPr>
        <w:t xml:space="preserve"> דבאו עדים שהיה חי באותה שעה</w:t>
      </w:r>
      <w:r w:rsidRPr="00AF3214">
        <w:rPr>
          <w:rStyle w:val="ac"/>
          <w:rFonts w:ascii="Narkisim" w:hAnsi="Narkisim"/>
          <w:rtl/>
        </w:rPr>
        <w:footnoteReference w:id="5508"/>
      </w:r>
      <w:r w:rsidRPr="00AF3214">
        <w:rPr>
          <w:rFonts w:ascii="Narkisim" w:hAnsi="Narkisim"/>
        </w:rPr>
        <w:t xml:space="preserve"> </w:t>
      </w:r>
      <w:r w:rsidRPr="00AF3214">
        <w:rPr>
          <w:rFonts w:ascii="Narkisim" w:hAnsi="Narkisim"/>
          <w:rtl/>
        </w:rPr>
        <w:t>[שנשאת לשני באיסור], ואסורה לכהן משום זונה</w:t>
      </w:r>
      <w:r w:rsidRPr="00AF3214">
        <w:rPr>
          <w:rStyle w:val="ac"/>
          <w:rFonts w:ascii="Narkisim" w:hAnsi="Narkisim"/>
          <w:rtl/>
        </w:rPr>
        <w:footnoteReference w:id="5509"/>
      </w:r>
      <w:r w:rsidRPr="00AF3214">
        <w:rPr>
          <w:rFonts w:ascii="Narkisim" w:hAnsi="Narkisim"/>
        </w:rPr>
        <w:t xml:space="preserve">. </w:t>
      </w:r>
      <w:r w:rsidRPr="00AF3214">
        <w:rPr>
          <w:rFonts w:ascii="Narkisim" w:hAnsi="Narkisim"/>
          <w:rtl/>
        </w:rPr>
        <w:t>וה</w:t>
      </w:r>
      <w:r w:rsidRPr="00AF3214">
        <w:rPr>
          <w:rFonts w:ascii="Narkisim" w:hAnsi="Narkisim"/>
          <w:b/>
          <w:bCs/>
          <w:rtl/>
        </w:rPr>
        <w:t>מהרש"א במהד"ב</w:t>
      </w:r>
      <w:r w:rsidRPr="00AF3214">
        <w:rPr>
          <w:rFonts w:ascii="Narkisim" w:hAnsi="Narkisim"/>
          <w:rtl/>
        </w:rPr>
        <w:t xml:space="preserve"> ביאר דאי עדיין קיים א"כ הוה אשת איש ואסורה אף לישראל [והך קרא איירי בכהונה]</w:t>
      </w:r>
      <w:r w:rsidRPr="00AF3214">
        <w:rPr>
          <w:rFonts w:ascii="Narkisim" w:hAnsi="Narkisim"/>
        </w:rPr>
        <w:t>.</w:t>
      </w:r>
    </w:p>
    <w:p w14:paraId="6B8ED98F"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העמיד שמת השני, ובאה לינשא לכהן. </w:t>
      </w:r>
      <w:r w:rsidRPr="00AF3214">
        <w:rPr>
          <w:rFonts w:ascii="Narkisim" w:hAnsi="Narkisim"/>
          <w:szCs w:val="20"/>
          <w:rtl/>
        </w:rPr>
        <w:t>[וצ"ב דתאסר מחמת בעלה הראשון, ואפשר דאיירי שאף הראשון מת. ויש שהביאו דכיון דנשאת לשני, נחשב דנתברר שהבעל אינו קיים ועי"ז מותרת אף לאחרים, עכ"פ דאם תנשא לא תצא</w:t>
      </w:r>
      <w:r w:rsidRPr="00AF3214">
        <w:rPr>
          <w:rStyle w:val="ac"/>
          <w:rFonts w:ascii="Narkisim" w:hAnsi="Narkisim"/>
          <w:szCs w:val="20"/>
          <w:rtl/>
        </w:rPr>
        <w:footnoteReference w:id="5510"/>
      </w:r>
      <w:r w:rsidRPr="00AF3214">
        <w:rPr>
          <w:rFonts w:ascii="Narkisim" w:hAnsi="Narkisim"/>
          <w:szCs w:val="20"/>
          <w:rtl/>
        </w:rPr>
        <w:t>]</w:t>
      </w:r>
      <w:r w:rsidRPr="00AF3214">
        <w:rPr>
          <w:rFonts w:ascii="Narkisim" w:hAnsi="Narkisim"/>
          <w:szCs w:val="20"/>
        </w:rPr>
        <w:t>.</w:t>
      </w:r>
    </w:p>
    <w:p w14:paraId="623D301E" w14:textId="77777777" w:rsidR="006C4368" w:rsidRPr="00AF3214" w:rsidRDefault="006C4368" w:rsidP="006C4368">
      <w:pPr>
        <w:bidi/>
        <w:rPr>
          <w:rFonts w:ascii="Narkisim" w:hAnsi="Narkisim" w:cs="Narkisim"/>
        </w:rPr>
      </w:pPr>
      <w:r w:rsidRPr="00AF3214">
        <w:rPr>
          <w:rFonts w:ascii="Narkisim" w:hAnsi="Narkisim" w:cs="Narkisim"/>
          <w:u w:val="single"/>
          <w:rtl/>
        </w:rPr>
        <w:t>שם. אלמא מפקינן</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וקשיא לרב. ה</w:t>
      </w:r>
      <w:r w:rsidRPr="00AF3214">
        <w:rPr>
          <w:rFonts w:ascii="Narkisim" w:hAnsi="Narkisim" w:cs="Narkisim"/>
          <w:b/>
          <w:bCs/>
          <w:rtl/>
        </w:rPr>
        <w:t>ריטב"א</w:t>
      </w:r>
      <w:r w:rsidRPr="00AF3214">
        <w:rPr>
          <w:rFonts w:ascii="Narkisim" w:hAnsi="Narkisim" w:cs="Narkisim"/>
          <w:rtl/>
        </w:rPr>
        <w:t xml:space="preserve"> הק' דדברי רב תלי במח' ר' מנחם בר"י ות"ק, א"כ נימא דרב קאי כברייתא דלעיל. [וכה"ק </w:t>
      </w:r>
      <w:r w:rsidRPr="00AF3214">
        <w:rPr>
          <w:rFonts w:ascii="Narkisim" w:hAnsi="Narkisim" w:cs="Narkisim"/>
          <w:b/>
          <w:bCs/>
          <w:rtl/>
        </w:rPr>
        <w:t>רע"א</w:t>
      </w:r>
      <w:r w:rsidRPr="00AF3214">
        <w:rPr>
          <w:rFonts w:ascii="Narkisim" w:hAnsi="Narkisim" w:cs="Narkisim"/>
          <w:rtl/>
        </w:rPr>
        <w:t xml:space="preserve"> (שו"ת קל) ועוד אחרונים, ע' מה שפלפלו בזה]. וה</w:t>
      </w:r>
      <w:r w:rsidRPr="00AF3214">
        <w:rPr>
          <w:rFonts w:ascii="Narkisim" w:hAnsi="Narkisim" w:cs="Narkisim"/>
          <w:b/>
          <w:bCs/>
          <w:rtl/>
        </w:rPr>
        <w:t>ריטב"א</w:t>
      </w:r>
      <w:r w:rsidRPr="00AF3214">
        <w:rPr>
          <w:rFonts w:ascii="Narkisim" w:hAnsi="Narkisim" w:cs="Narkisim"/>
          <w:rtl/>
        </w:rPr>
        <w:t xml:space="preserve"> תי' דקו' הגמ' דקים ליה דברייתא דדפנו הוה להלכה</w:t>
      </w:r>
      <w:r w:rsidRPr="00AF3214">
        <w:rPr>
          <w:rStyle w:val="ac"/>
          <w:rFonts w:ascii="Narkisim" w:hAnsi="Narkisim" w:cs="Narkisim"/>
          <w:rtl/>
        </w:rPr>
        <w:footnoteReference w:id="5511"/>
      </w:r>
      <w:r w:rsidRPr="00AF3214">
        <w:rPr>
          <w:rFonts w:ascii="Narkisim" w:hAnsi="Narkisim" w:cs="Narkisim"/>
        </w:rPr>
        <w:t>.</w:t>
      </w:r>
    </w:p>
    <w:p w14:paraId="606BE1C3" w14:textId="77777777" w:rsidR="006C4368" w:rsidRPr="00AF3214" w:rsidRDefault="006C4368" w:rsidP="006C4368">
      <w:pPr>
        <w:bidi/>
        <w:rPr>
          <w:rFonts w:ascii="Narkisim" w:hAnsi="Narkisim" w:cs="Narkisim"/>
        </w:rPr>
      </w:pPr>
      <w:r w:rsidRPr="00AF3214">
        <w:rPr>
          <w:rFonts w:ascii="Narkisim" w:hAnsi="Narkisim" w:cs="Narkisim"/>
          <w:u w:val="single"/>
          <w:rtl/>
        </w:rPr>
        <w:t>איסור כהונה שאני</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פי' דמשום מעלת כהונה נאסרה עליו, כיון דאיכא תרי ותרי, ולאחריני קיימא בחזקת איסור. </w:t>
      </w:r>
      <w:r w:rsidRPr="00AF3214">
        <w:rPr>
          <w:rFonts w:ascii="Narkisim" w:hAnsi="Narkisim" w:cs="Narkisim"/>
          <w:szCs w:val="20"/>
          <w:rtl/>
        </w:rPr>
        <w:t>[ואף דשאר איסורי התורה מהני טענת ברי דידהו, באיסור כהונה כופין אותם, כיון דלאחריני קיימא בחזקת איסור]</w:t>
      </w:r>
      <w:r w:rsidRPr="00AF3214">
        <w:rPr>
          <w:rFonts w:ascii="Narkisim" w:hAnsi="Narkisim" w:cs="Narkisim"/>
          <w:rtl/>
        </w:rPr>
        <w:t>.</w:t>
      </w:r>
    </w:p>
    <w:p w14:paraId="25C0E124"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(כא יז, ועד"ז בשערי חיים כתובות מב) ביאר דהטעם דמהני בתרי ותרי ואומרת ברי משום דהחיוב של בי"ד להפרישה הוא בתולדה מאיסורה על עצמה, וכיון דעל עצמה היא נאמנת, ממילא בי"ד אין חייבין להפרישה. ואף דהבי"ד אינם מאמינים לה כלל, מ"מ כיון </w:t>
      </w:r>
      <w:r w:rsidRPr="00AF3214">
        <w:rPr>
          <w:rFonts w:ascii="Narkisim" w:hAnsi="Narkisim"/>
          <w:rtl/>
        </w:rPr>
        <w:lastRenderedPageBreak/>
        <w:t>דהיא נאמנת על איסור דידה מש"ה אין עליהם חיוב להפרישה</w:t>
      </w:r>
      <w:r w:rsidRPr="00AF3214">
        <w:rPr>
          <w:rFonts w:ascii="Narkisim" w:hAnsi="Narkisim"/>
        </w:rPr>
        <w:t>.</w:t>
      </w:r>
    </w:p>
    <w:p w14:paraId="7389D9BF" w14:textId="77777777" w:rsidR="006C4368" w:rsidRPr="00AF3214" w:rsidRDefault="006C4368" w:rsidP="006C4368">
      <w:pPr>
        <w:pStyle w:val="a7"/>
        <w:bidi/>
        <w:rPr>
          <w:rFonts w:ascii="Narkisim" w:hAnsi="Narkisim"/>
        </w:rPr>
      </w:pPr>
      <w:r w:rsidRPr="00AF3214">
        <w:rPr>
          <w:rFonts w:ascii="Narkisim" w:hAnsi="Narkisim"/>
          <w:rtl/>
        </w:rPr>
        <w:t>אבל השתא דכתיב 'וקדשתו', גלי קרא דיש חיוב על הבי"ד מצד עצמם להפריש מאיסורי, ולא הוה בתולדה מאיסור הכהן. והבי"ד עוברים בעשה דוקדשתו [דנתחייבו לקדש את הכהן בע"כ</w:t>
      </w:r>
      <w:r w:rsidRPr="00AF3214">
        <w:rPr>
          <w:rStyle w:val="ac"/>
          <w:rFonts w:ascii="Narkisim" w:hAnsi="Narkisim"/>
          <w:rtl/>
        </w:rPr>
        <w:footnoteReference w:id="5512"/>
      </w:r>
      <w:r w:rsidRPr="00AF3214">
        <w:rPr>
          <w:rFonts w:ascii="Narkisim" w:hAnsi="Narkisim"/>
          <w:rtl/>
        </w:rPr>
        <w:t>], וכלפי הבי"ד אין כאן נאמנות. לא מהני שאומרים ברי לי</w:t>
      </w:r>
      <w:r w:rsidRPr="00AF3214">
        <w:rPr>
          <w:rFonts w:ascii="Narkisim" w:hAnsi="Narkisim"/>
        </w:rPr>
        <w:t>.</w:t>
      </w:r>
    </w:p>
    <w:p w14:paraId="0A737305" w14:textId="77777777" w:rsidR="006C4368" w:rsidRPr="00AF3214" w:rsidRDefault="006C4368" w:rsidP="006C4368">
      <w:pPr>
        <w:bidi/>
        <w:rPr>
          <w:rFonts w:ascii="Narkisim" w:hAnsi="Narkisim" w:cs="Narkisim"/>
        </w:rPr>
      </w:pPr>
      <w:r w:rsidRPr="00AF3214">
        <w:rPr>
          <w:rFonts w:ascii="Narkisim" w:hAnsi="Narkisim" w:cs="Narkisim"/>
          <w:u w:val="single"/>
          <w:rtl/>
        </w:rPr>
        <w:t>דפנו בעדים</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דבי"ד מוזהרים לטרוח אחר עדים להכחיש את הראשונים. ויש שכת' דהוה ע"י עדות הזמה</w:t>
      </w:r>
      <w:r w:rsidRPr="00AF3214">
        <w:rPr>
          <w:rFonts w:ascii="Narkisim" w:hAnsi="Narkisim" w:cs="Narkisim"/>
        </w:rPr>
        <w:t>.</w:t>
      </w:r>
    </w:p>
    <w:p w14:paraId="0A103966" w14:textId="77777777" w:rsidR="006C4368" w:rsidRPr="00AF3214" w:rsidRDefault="006C4368" w:rsidP="006C4368">
      <w:pPr>
        <w:pStyle w:val="a8"/>
        <w:bidi/>
        <w:rPr>
          <w:rFonts w:ascii="Narkisim" w:hAnsi="Narkisim"/>
        </w:rPr>
      </w:pPr>
      <w:r w:rsidRPr="00AF3214">
        <w:rPr>
          <w:rFonts w:ascii="Narkisim" w:hAnsi="Narkisim"/>
          <w:rtl/>
        </w:rPr>
        <w:t>וצ"ע דכיון דיש עדות ברור לפנינו [וקי"ל ע"פ ב' עדים יקום דבר בתורת ודאי], א"כ האיך יתכן שמוטל על בי"ד לטרוח ולברר שמא שקרנים</w:t>
      </w:r>
      <w:r w:rsidRPr="00AF3214">
        <w:rPr>
          <w:rStyle w:val="ac"/>
          <w:rFonts w:ascii="Narkisim" w:hAnsi="Narkisim"/>
          <w:rtl/>
        </w:rPr>
        <w:footnoteReference w:id="5513"/>
      </w:r>
      <w:r w:rsidRPr="00AF3214">
        <w:rPr>
          <w:rFonts w:ascii="Narkisim" w:hAnsi="Narkisim"/>
        </w:rPr>
        <w:t xml:space="preserve">. </w:t>
      </w:r>
      <w:r w:rsidRPr="00AF3214">
        <w:rPr>
          <w:rFonts w:ascii="Narkisim" w:hAnsi="Narkisim"/>
          <w:rtl/>
        </w:rPr>
        <w:t>ועד"ז הק' ה</w:t>
      </w:r>
      <w:r w:rsidRPr="00AF3214">
        <w:rPr>
          <w:rFonts w:ascii="Narkisim" w:hAnsi="Narkisim"/>
          <w:b/>
          <w:bCs/>
          <w:rtl/>
        </w:rPr>
        <w:t>קר"א</w:t>
      </w:r>
      <w:r w:rsidRPr="00AF3214">
        <w:rPr>
          <w:rFonts w:ascii="Narkisim" w:hAnsi="Narkisim"/>
          <w:rtl/>
        </w:rPr>
        <w:t xml:space="preserve"> (עי"ש)</w:t>
      </w:r>
      <w:r w:rsidRPr="00AF3214">
        <w:rPr>
          <w:rFonts w:ascii="Narkisim" w:hAnsi="Narkisim"/>
        </w:rPr>
        <w:t>.</w:t>
      </w:r>
    </w:p>
    <w:p w14:paraId="2B76A279"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הוסיף כל היכא דיש שום פקפוק. [ומשמע דאיירי בדין מרומה, שנראה לדיינים שאינו אמת]</w:t>
      </w:r>
      <w:r w:rsidRPr="00AF3214">
        <w:rPr>
          <w:rFonts w:ascii="Narkisim" w:hAnsi="Narkisim"/>
        </w:rPr>
        <w:t>.</w:t>
      </w:r>
    </w:p>
    <w:p w14:paraId="0143BA14" w14:textId="77777777" w:rsidR="006C4368" w:rsidRPr="00AF3214" w:rsidRDefault="006C4368" w:rsidP="006C4368">
      <w:pPr>
        <w:bidi/>
        <w:rPr>
          <w:rFonts w:ascii="Narkisim" w:hAnsi="Narkisim" w:cs="Narkisim"/>
        </w:rPr>
      </w:pPr>
      <w:r w:rsidRPr="00AF3214">
        <w:rPr>
          <w:rFonts w:ascii="Narkisim" w:hAnsi="Narkisim" w:cs="Narkisim"/>
          <w:u w:val="single"/>
          <w:rtl/>
        </w:rPr>
        <w:t>ואיבע"א כשבאו עדים ואח"כ ניסת, ור' מנחם בר"י היא</w:t>
      </w:r>
      <w:r w:rsidRPr="00AF3214">
        <w:rPr>
          <w:rFonts w:ascii="Narkisim" w:hAnsi="Narkisim" w:cs="Narkisim"/>
          <w:rtl/>
        </w:rPr>
        <w:t>. דיש גזיה"כ שהבי"ד מצווין להפרישם. וה</w:t>
      </w:r>
      <w:r w:rsidRPr="00AF3214">
        <w:rPr>
          <w:rFonts w:ascii="Narkisim" w:hAnsi="Narkisim" w:cs="Narkisim"/>
          <w:b/>
          <w:bCs/>
          <w:rtl/>
        </w:rPr>
        <w:t>פנ"י</w:t>
      </w:r>
      <w:r w:rsidRPr="00AF3214">
        <w:rPr>
          <w:rFonts w:ascii="Narkisim" w:hAnsi="Narkisim" w:cs="Narkisim"/>
          <w:rtl/>
        </w:rPr>
        <w:t xml:space="preserve"> (הנ"ל) הביא דמבואר דמפרישין אותם מגזיה"כ. וילפי' מקרא דהוה בחזקת איסור ול"מ טענת ברי דידהו</w:t>
      </w:r>
      <w:r w:rsidRPr="00AF3214">
        <w:rPr>
          <w:rStyle w:val="ac"/>
          <w:rFonts w:ascii="Narkisim" w:hAnsi="Narkisim" w:cs="Narkisim"/>
          <w:rtl/>
        </w:rPr>
        <w:footnoteReference w:id="5514"/>
      </w:r>
      <w:r w:rsidRPr="00AF3214">
        <w:rPr>
          <w:rFonts w:ascii="Narkisim" w:hAnsi="Narkisim" w:cs="Narkisim"/>
        </w:rPr>
        <w:t xml:space="preserve"> </w:t>
      </w:r>
      <w:r w:rsidRPr="00AF3214">
        <w:rPr>
          <w:rFonts w:ascii="Narkisim" w:hAnsi="Narkisim" w:cs="Narkisim"/>
          <w:rtl/>
        </w:rPr>
        <w:t>[וע' מה שהו' לעיל]</w:t>
      </w:r>
      <w:r w:rsidRPr="00AF3214">
        <w:rPr>
          <w:rFonts w:ascii="Narkisim" w:hAnsi="Narkisim" w:cs="Narkisim"/>
        </w:rPr>
        <w:t>.</w:t>
      </w:r>
    </w:p>
    <w:p w14:paraId="1E4634A2"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ה</w:t>
      </w:r>
      <w:r w:rsidRPr="00AF3214">
        <w:rPr>
          <w:rFonts w:ascii="Narkisim" w:hAnsi="Narkisim"/>
          <w:b/>
          <w:bCs/>
          <w:rtl/>
        </w:rPr>
        <w:t>מהרח"ש</w:t>
      </w:r>
      <w:r w:rsidRPr="00AF3214">
        <w:rPr>
          <w:rFonts w:ascii="Narkisim" w:hAnsi="Narkisim"/>
          <w:rtl/>
        </w:rPr>
        <w:t xml:space="preserve"> (בקו' עגונות) הק' דנימא דהברייתא איירי בחד וחד, לדעת ה</w:t>
      </w:r>
      <w:r w:rsidRPr="00AF3214">
        <w:rPr>
          <w:rFonts w:ascii="Narkisim" w:hAnsi="Narkisim"/>
          <w:b/>
          <w:bCs/>
          <w:rtl/>
        </w:rPr>
        <w:t xml:space="preserve">רמב"ן </w:t>
      </w:r>
      <w:r w:rsidRPr="00AF3214">
        <w:rPr>
          <w:rFonts w:ascii="Narkisim" w:hAnsi="Narkisim"/>
          <w:rtl/>
        </w:rPr>
        <w:t>(לקמן קיז:, הו' במגיד משנה גירושין יב יט) עד א' בהכחשה לאו כלום הוא, ואפי' אומרת ברי לי תצא</w:t>
      </w:r>
      <w:r w:rsidRPr="00AF3214">
        <w:rPr>
          <w:rStyle w:val="ac"/>
          <w:rFonts w:ascii="Narkisim" w:hAnsi="Narkisim"/>
          <w:rtl/>
        </w:rPr>
        <w:footnoteReference w:id="5515"/>
      </w:r>
      <w:r w:rsidRPr="00AF3214">
        <w:rPr>
          <w:rFonts w:ascii="Narkisim" w:hAnsi="Narkisim"/>
        </w:rPr>
        <w:t xml:space="preserve">. </w:t>
      </w:r>
      <w:r w:rsidRPr="00AF3214">
        <w:rPr>
          <w:rFonts w:ascii="Narkisim" w:hAnsi="Narkisim"/>
          <w:rtl/>
        </w:rPr>
        <w:t>אך כת' דכ"ז בבאו העדים בבת א', אבל לאחר שהותרה ע"פ עד א', ל"מ העד הב' להכחיש, וכדעולא (בסמוך). אבל להך לישנא דאיירי בבאו עדים ואח"כ נשאת יש להעמיד בעד א', ואי"צ לתלות בדברי ר' מנחם בר"י. ויש אחרונים שתי' דפשיטא דעד א' בהכחשה לאו כלום הוא, ולא איצטריך ילפותא דדפנו. [ואכמ"ל]</w:t>
      </w:r>
      <w:r w:rsidRPr="00AF3214">
        <w:rPr>
          <w:rFonts w:ascii="Narkisim" w:hAnsi="Narkisim"/>
        </w:rPr>
        <w:t>.</w:t>
      </w:r>
    </w:p>
    <w:p w14:paraId="065DFA81" w14:textId="77777777" w:rsidR="006C4368" w:rsidRPr="00AF3214" w:rsidRDefault="006C4368" w:rsidP="006C4368">
      <w:pPr>
        <w:pStyle w:val="aa"/>
        <w:bidi/>
        <w:rPr>
          <w:rFonts w:ascii="Narkisim" w:hAnsi="Narkisim"/>
        </w:rPr>
      </w:pPr>
      <w:r w:rsidRPr="00AF3214">
        <w:rPr>
          <w:rFonts w:ascii="Narkisim" w:hAnsi="Narkisim"/>
          <w:u w:val="single"/>
          <w:rtl/>
        </w:rPr>
        <w:t>רב אשי אמר וכו' לא תצא מהיתירה הראשון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שחוזרת לראשון. דניסת ע"פ עדים לא תצא מההיתר 'ל'ראשון. וכדאי' במשנה דנשאת שלא ברשות [ע"פ עדים] מותרת לחזור לו [וע' לקמן צא.]. וה</w:t>
      </w:r>
      <w:r w:rsidRPr="00AF3214">
        <w:rPr>
          <w:rFonts w:ascii="Narkisim" w:hAnsi="Narkisim"/>
          <w:b/>
          <w:bCs/>
          <w:rtl/>
        </w:rPr>
        <w:t>ריטב"א</w:t>
      </w:r>
      <w:r w:rsidRPr="00AF3214">
        <w:rPr>
          <w:rFonts w:ascii="Narkisim" w:hAnsi="Narkisim"/>
          <w:rtl/>
        </w:rPr>
        <w:t xml:space="preserve"> ציין דבגמ' (כתובות כג.) לשון זה מתפרש באופ"א. דאי' דהיכא דהתירוה לינשא ואח"כ באו עדים [שנשבית, ועי"ז אין לה מיגו] לא תצא מהתירה הראשון. [שהתירו אותה ע"פ המיגו]. והוא מהלשונות בתלמוד שמתחלף פירושם</w:t>
      </w:r>
      <w:r w:rsidRPr="00AF3214">
        <w:rPr>
          <w:rFonts w:ascii="Narkisim" w:hAnsi="Narkisim"/>
        </w:rPr>
        <w:t>.</w:t>
      </w:r>
    </w:p>
    <w:p w14:paraId="5E5FE910" w14:textId="77777777" w:rsidR="006C4368" w:rsidRPr="00AF3214" w:rsidRDefault="006C4368" w:rsidP="006C4368">
      <w:pPr>
        <w:bidi/>
        <w:rPr>
          <w:rFonts w:ascii="Narkisim" w:hAnsi="Narkisim" w:cs="Narkisim"/>
        </w:rPr>
      </w:pPr>
      <w:r w:rsidRPr="00AF3214">
        <w:rPr>
          <w:rFonts w:ascii="Narkisim" w:hAnsi="Narkisim" w:cs="Narkisim"/>
          <w:u w:val="single"/>
          <w:rtl/>
        </w:rPr>
        <w:t>והאמר עולא כל מקום שהאמינה תורה ע"א הרי כאן ב'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כגון עדות אשה לומר שמת בעלה, ובעדות סוטה לומר נטמאה [שאינה שותה]</w:t>
      </w:r>
      <w:r w:rsidRPr="00AF3214">
        <w:rPr>
          <w:rStyle w:val="ac"/>
          <w:rFonts w:ascii="Narkisim" w:hAnsi="Narkisim" w:cs="Narkisim"/>
          <w:rtl/>
        </w:rPr>
        <w:footnoteReference w:id="5516"/>
      </w:r>
      <w:r w:rsidRPr="00AF3214">
        <w:rPr>
          <w:rFonts w:ascii="Narkisim" w:hAnsi="Narkisim" w:cs="Narkisim"/>
        </w:rPr>
        <w:t xml:space="preserve">. </w:t>
      </w:r>
      <w:r w:rsidRPr="00AF3214">
        <w:rPr>
          <w:rFonts w:ascii="Narkisim" w:hAnsi="Narkisim" w:cs="Narkisim"/>
          <w:rtl/>
        </w:rPr>
        <w:t>(וכדאי' בגמ' סוטה לא:). וכן אי' (שם מז:) גבי עגלה ערופה, כשיש עד א' על הרוצח לא היו עורפים. [ועיקר הסוגיה יתבאר בעזה"י לקמן קיז:</w:t>
      </w:r>
      <w:r w:rsidRPr="00AF3214">
        <w:rPr>
          <w:rStyle w:val="ac"/>
          <w:rFonts w:ascii="Narkisim" w:hAnsi="Narkisim" w:cs="Narkisim"/>
          <w:rtl/>
        </w:rPr>
        <w:footnoteReference w:id="5517"/>
      </w:r>
      <w:r w:rsidRPr="00AF3214">
        <w:rPr>
          <w:rFonts w:ascii="Narkisim" w:hAnsi="Narkisim" w:cs="Narkisim"/>
          <w:rtl/>
        </w:rPr>
        <w:t>]</w:t>
      </w:r>
      <w:r w:rsidRPr="00AF3214">
        <w:rPr>
          <w:rFonts w:ascii="Narkisim" w:hAnsi="Narkisim" w:cs="Narkisim"/>
        </w:rPr>
        <w:t>.</w:t>
      </w:r>
    </w:p>
    <w:p w14:paraId="207CE3DE"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כת' דכל זה לענין שאח"כ בא עד א', אבל אם באו ב' עדים נאמנים, ואין דבריו של א' במקום ב'. ולא אמרי' דהוה כתרי ותרי</w:t>
      </w:r>
      <w:r w:rsidRPr="00AF3214">
        <w:rPr>
          <w:rFonts w:ascii="Narkisim" w:hAnsi="Narkisim"/>
        </w:rPr>
        <w:t>.</w:t>
      </w:r>
    </w:p>
    <w:p w14:paraId="723E7DBC" w14:textId="77777777" w:rsidR="006C4368" w:rsidRPr="00AF3214" w:rsidRDefault="006C4368" w:rsidP="006C4368">
      <w:pPr>
        <w:bidi/>
        <w:rPr>
          <w:rFonts w:ascii="Narkisim" w:hAnsi="Narkisim" w:cs="Narkisim"/>
        </w:rPr>
      </w:pPr>
      <w:r w:rsidRPr="00AF3214">
        <w:rPr>
          <w:rFonts w:ascii="Narkisim" w:hAnsi="Narkisim" w:cs="Narkisim"/>
          <w:u w:val="single"/>
          <w:rtl/>
        </w:rPr>
        <w:t>שם. כל מקום שהאמינה תורה</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(והו' בנמוק"י כח. בדה"ר) הביא בשם </w:t>
      </w:r>
      <w:r w:rsidRPr="00AF3214">
        <w:rPr>
          <w:rFonts w:ascii="Narkisim" w:hAnsi="Narkisim" w:cs="Narkisim"/>
          <w:b/>
          <w:bCs/>
          <w:rtl/>
        </w:rPr>
        <w:t>ר"י</w:t>
      </w:r>
      <w:r w:rsidRPr="00AF3214">
        <w:rPr>
          <w:rFonts w:ascii="Narkisim" w:hAnsi="Narkisim" w:cs="Narkisim"/>
          <w:rtl/>
        </w:rPr>
        <w:t xml:space="preserve"> דדוקא בעדות דבר שבערוה דבעי ב' עדים, והאמינוהו לזה כב' עדים. אבל באיסורין דעלמא סגי בעד א' [ואינו כשנים]. והאמינו כחד, וכי אתא אחר ואכחשיה הויא הכחשה, כחד לגבי חד. וכ"פ ה</w:t>
      </w:r>
      <w:r w:rsidRPr="00AF3214">
        <w:rPr>
          <w:rFonts w:ascii="Narkisim" w:hAnsi="Narkisim" w:cs="Narkisim"/>
          <w:b/>
          <w:bCs/>
          <w:rtl/>
        </w:rPr>
        <w:t>יש"ש</w:t>
      </w:r>
      <w:r w:rsidRPr="00AF3214">
        <w:rPr>
          <w:rFonts w:ascii="Narkisim" w:hAnsi="Narkisim" w:cs="Narkisim"/>
          <w:rtl/>
        </w:rPr>
        <w:t xml:space="preserve"> (חולין א ט, והב"ח יו"ד ס"ס א)</w:t>
      </w:r>
      <w:r w:rsidRPr="00AF3214">
        <w:rPr>
          <w:rFonts w:ascii="Narkisim" w:hAnsi="Narkisim" w:cs="Narkisim"/>
        </w:rPr>
        <w:t>.</w:t>
      </w:r>
    </w:p>
    <w:p w14:paraId="626A7714"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ש"ך</w:t>
      </w:r>
      <w:r w:rsidRPr="00AF3214">
        <w:rPr>
          <w:rFonts w:ascii="Narkisim" w:hAnsi="Narkisim"/>
          <w:rtl/>
        </w:rPr>
        <w:t xml:space="preserve"> (יו"ד קכז יד) הביא דדעת כמה </w:t>
      </w:r>
      <w:r w:rsidRPr="00AF3214">
        <w:rPr>
          <w:rFonts w:ascii="Narkisim" w:hAnsi="Narkisim"/>
          <w:b/>
          <w:bCs/>
          <w:rtl/>
        </w:rPr>
        <w:t>ראשונים</w:t>
      </w:r>
      <w:r w:rsidRPr="00AF3214">
        <w:rPr>
          <w:rStyle w:val="ac"/>
          <w:rFonts w:ascii="Narkisim" w:hAnsi="Narkisim"/>
          <w:rtl/>
        </w:rPr>
        <w:footnoteReference w:id="5518"/>
      </w:r>
      <w:r w:rsidRPr="00AF3214">
        <w:rPr>
          <w:rFonts w:ascii="Narkisim" w:hAnsi="Narkisim"/>
        </w:rPr>
        <w:t xml:space="preserve"> </w:t>
      </w:r>
      <w:r w:rsidRPr="00AF3214">
        <w:rPr>
          <w:rFonts w:ascii="Narkisim" w:hAnsi="Narkisim"/>
          <w:rtl/>
        </w:rPr>
        <w:t xml:space="preserve">דאף באיסורין אמרי' דעד א' הרי הוא </w:t>
      </w:r>
      <w:r w:rsidRPr="00AF3214">
        <w:rPr>
          <w:rFonts w:ascii="Narkisim" w:hAnsi="Narkisim"/>
          <w:rtl/>
        </w:rPr>
        <w:lastRenderedPageBreak/>
        <w:t>כב'</w:t>
      </w:r>
      <w:r w:rsidRPr="00AF3214">
        <w:rPr>
          <w:rStyle w:val="ac"/>
          <w:rFonts w:ascii="Narkisim" w:hAnsi="Narkisim"/>
          <w:rtl/>
        </w:rPr>
        <w:footnoteReference w:id="5519"/>
      </w:r>
      <w:r w:rsidRPr="00AF3214">
        <w:rPr>
          <w:rFonts w:ascii="Narkisim" w:hAnsi="Narkisim"/>
          <w:rtl/>
        </w:rPr>
        <w:t>. וה</w:t>
      </w:r>
      <w:r w:rsidRPr="00AF3214">
        <w:rPr>
          <w:rFonts w:ascii="Narkisim" w:hAnsi="Narkisim"/>
          <w:b/>
          <w:bCs/>
          <w:rtl/>
        </w:rPr>
        <w:t>שו"ע</w:t>
      </w:r>
      <w:r w:rsidRPr="00AF3214">
        <w:rPr>
          <w:rFonts w:ascii="Narkisim" w:hAnsi="Narkisim"/>
          <w:rtl/>
        </w:rPr>
        <w:t xml:space="preserve"> (יו"ד א יד) בשם ה</w:t>
      </w:r>
      <w:r w:rsidRPr="00AF3214">
        <w:rPr>
          <w:rFonts w:ascii="Narkisim" w:hAnsi="Narkisim"/>
          <w:b/>
          <w:bCs/>
          <w:rtl/>
        </w:rPr>
        <w:t>מהרי"ק</w:t>
      </w:r>
      <w:r w:rsidRPr="00AF3214">
        <w:rPr>
          <w:rFonts w:ascii="Narkisim" w:hAnsi="Narkisim"/>
          <w:rtl/>
        </w:rPr>
        <w:t xml:space="preserve"> (לג) פסק גבי שחיטה דעד א' אינו נאמן שנשחט שלא כדין, דדברי השוחט כב' [כדעולא]</w:t>
      </w:r>
      <w:r w:rsidRPr="00AF3214">
        <w:rPr>
          <w:rFonts w:ascii="Narkisim" w:hAnsi="Narkisim"/>
        </w:rPr>
        <w:t>.</w:t>
      </w:r>
    </w:p>
    <w:p w14:paraId="296715C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ש"ש</w:t>
      </w:r>
      <w:r w:rsidRPr="00AF3214">
        <w:rPr>
          <w:rFonts w:ascii="Narkisim" w:hAnsi="Narkisim"/>
          <w:rtl/>
        </w:rPr>
        <w:t xml:space="preserve"> (ו כ) כת' דסברת המהרי"ק דהעד אינו נאמן לאסור כיון דלא הוה בידו ואינו בעלים. ומש"ה ל"מ להכחיש, ואף לדברי הריטב"א</w:t>
      </w:r>
      <w:r w:rsidRPr="00AF3214">
        <w:rPr>
          <w:rStyle w:val="ac"/>
          <w:rFonts w:ascii="Narkisim" w:hAnsi="Narkisim"/>
          <w:rtl/>
        </w:rPr>
        <w:footnoteReference w:id="5520"/>
      </w:r>
      <w:r w:rsidRPr="00AF3214">
        <w:rPr>
          <w:rFonts w:ascii="Narkisim" w:hAnsi="Narkisim"/>
        </w:rPr>
        <w:t xml:space="preserve">. </w:t>
      </w:r>
      <w:r w:rsidRPr="00AF3214">
        <w:rPr>
          <w:rFonts w:ascii="Narkisim" w:hAnsi="Narkisim"/>
          <w:rtl/>
        </w:rPr>
        <w:t>והש"ש ביאר דסברת הריטב"א דבאיסורין אף העד השני נאמן. והביא דכ"כ ה</w:t>
      </w:r>
      <w:r w:rsidRPr="00AF3214">
        <w:rPr>
          <w:rFonts w:ascii="Narkisim" w:hAnsi="Narkisim"/>
          <w:b/>
          <w:bCs/>
          <w:rtl/>
        </w:rPr>
        <w:t>תשב"ץ</w:t>
      </w:r>
      <w:r w:rsidRPr="00AF3214">
        <w:rPr>
          <w:rFonts w:ascii="Narkisim" w:hAnsi="Narkisim"/>
          <w:rtl/>
        </w:rPr>
        <w:t xml:space="preserve"> (ב פט) דלענין איסורין גם העד השני הוי כשנים, דהעד נאמן לאסור להתיר כמו לאסור. </w:t>
      </w:r>
      <w:r w:rsidRPr="00AF3214">
        <w:rPr>
          <w:rFonts w:ascii="Narkisim" w:hAnsi="Narkisim"/>
          <w:szCs w:val="20"/>
          <w:rtl/>
        </w:rPr>
        <w:t>ועולא איירי בעדות עגלה וסוטה דהעד הראשון נאמן, ולא נתחדש נאמנות לעד המעיד שלא ראה, ומש"ה השני לא הוה כשנים. ועד"ז כתב ה</w:t>
      </w:r>
      <w:r w:rsidRPr="00AF3214">
        <w:rPr>
          <w:rFonts w:ascii="Narkisim" w:hAnsi="Narkisim"/>
          <w:b/>
          <w:bCs/>
          <w:szCs w:val="20"/>
          <w:rtl/>
        </w:rPr>
        <w:t>גר"ח</w:t>
      </w:r>
      <w:r w:rsidRPr="00AF3214">
        <w:rPr>
          <w:rFonts w:ascii="Narkisim" w:hAnsi="Narkisim"/>
          <w:szCs w:val="20"/>
          <w:rtl/>
        </w:rPr>
        <w:t xml:space="preserve"> (רוצח ט יד) בדעת הרמב"ם</w:t>
      </w:r>
      <w:r w:rsidRPr="00AF3214">
        <w:rPr>
          <w:rFonts w:ascii="Narkisim" w:hAnsi="Narkisim"/>
          <w:szCs w:val="20"/>
        </w:rPr>
        <w:t>.</w:t>
      </w:r>
    </w:p>
    <w:p w14:paraId="72BA5EA2"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ש"ך</w:t>
      </w:r>
      <w:r w:rsidRPr="00AF3214">
        <w:rPr>
          <w:rFonts w:ascii="Narkisim" w:hAnsi="Narkisim"/>
          <w:rtl/>
        </w:rPr>
        <w:t xml:space="preserve"> (שם) הק' דמבואר דאף בעגלה ערופה אמרי' דכל מקום שהאמינה תורה, אף דלכאורה הוה כדיני איסורין, דסגי בעד א'</w:t>
      </w:r>
      <w:r w:rsidRPr="00AF3214">
        <w:rPr>
          <w:rStyle w:val="ac"/>
          <w:rFonts w:ascii="Narkisim" w:hAnsi="Narkisim"/>
          <w:rtl/>
        </w:rPr>
        <w:footnoteReference w:id="5521"/>
      </w:r>
      <w:r w:rsidRPr="00AF3214">
        <w:rPr>
          <w:rFonts w:ascii="Narkisim" w:hAnsi="Narkisim"/>
          <w:rtl/>
        </w:rPr>
        <w:t>. וה</w:t>
      </w:r>
      <w:r w:rsidRPr="00AF3214">
        <w:rPr>
          <w:rFonts w:ascii="Narkisim" w:hAnsi="Narkisim"/>
          <w:b/>
          <w:bCs/>
          <w:rtl/>
        </w:rPr>
        <w:t>ש"ש</w:t>
      </w:r>
      <w:r w:rsidRPr="00AF3214">
        <w:rPr>
          <w:rFonts w:ascii="Narkisim" w:hAnsi="Narkisim"/>
          <w:rtl/>
        </w:rPr>
        <w:t xml:space="preserve"> (ו כא) תי' דדיני קרבן צריך ב' עדים, ולא הוה בכלל שאר איסורין. וה</w:t>
      </w:r>
      <w:r w:rsidRPr="00AF3214">
        <w:rPr>
          <w:rFonts w:ascii="Narkisim" w:hAnsi="Narkisim"/>
          <w:b/>
          <w:bCs/>
          <w:rtl/>
        </w:rPr>
        <w:t>אחרונים</w:t>
      </w:r>
      <w:r w:rsidRPr="00AF3214">
        <w:rPr>
          <w:rFonts w:ascii="Narkisim" w:hAnsi="Narkisim"/>
          <w:rtl/>
        </w:rPr>
        <w:t xml:space="preserve"> (</w:t>
      </w:r>
      <w:r w:rsidRPr="00AF3214">
        <w:rPr>
          <w:rFonts w:ascii="Narkisim" w:hAnsi="Narkisim"/>
          <w:b/>
          <w:bCs/>
          <w:rtl/>
        </w:rPr>
        <w:t>זכרון שמואל</w:t>
      </w:r>
      <w:r w:rsidRPr="00AF3214">
        <w:rPr>
          <w:rFonts w:ascii="Narkisim" w:hAnsi="Narkisim"/>
          <w:rtl/>
        </w:rPr>
        <w:t xml:space="preserve"> מא, וקובה"ע סג ב בהשמ') תי' דבעגלה ערופה דוקא היכא דיש בירור על הרוצח אין עורפים. ודוקא ע"י עדות ב' עדים נחשב בירור על המעשה, אבל עד א' באיסורין נאמן רק על הדין. ולא על המעשה. ומש"ה בעינן עד א' כב</w:t>
      </w:r>
      <w:r w:rsidRPr="00AF3214">
        <w:rPr>
          <w:rFonts w:ascii="Narkisim" w:hAnsi="Narkisim"/>
        </w:rPr>
        <w:t>'.</w:t>
      </w:r>
    </w:p>
    <w:p w14:paraId="72CD5EAA" w14:textId="77777777" w:rsidR="006C4368" w:rsidRPr="00AF3214" w:rsidRDefault="006C4368" w:rsidP="006C4368">
      <w:pPr>
        <w:bidi/>
        <w:rPr>
          <w:rFonts w:ascii="Narkisim" w:hAnsi="Narkisim" w:cs="Narkisim"/>
        </w:rPr>
      </w:pPr>
      <w:r w:rsidRPr="00AF3214">
        <w:rPr>
          <w:rFonts w:ascii="Narkisim" w:hAnsi="Narkisim" w:cs="Narkisim"/>
          <w:u w:val="single"/>
          <w:rtl/>
        </w:rPr>
        <w:t>בפסולי עדות, וכדר' נחמיה וכו' הלך אחר רוב דיעות וכו'</w:t>
      </w:r>
      <w:r w:rsidRPr="00AF3214">
        <w:rPr>
          <w:rFonts w:ascii="Narkisim" w:hAnsi="Narkisim" w:cs="Narkisim"/>
          <w:rtl/>
        </w:rPr>
        <w:t>. ה</w:t>
      </w:r>
      <w:r w:rsidRPr="00AF3214">
        <w:rPr>
          <w:rFonts w:ascii="Narkisim" w:hAnsi="Narkisim" w:cs="Narkisim"/>
          <w:b/>
          <w:bCs/>
          <w:rtl/>
        </w:rPr>
        <w:t>ש"ש</w:t>
      </w:r>
      <w:r w:rsidRPr="00AF3214">
        <w:rPr>
          <w:rFonts w:ascii="Narkisim" w:hAnsi="Narkisim" w:cs="Narkisim"/>
          <w:rtl/>
        </w:rPr>
        <w:t xml:space="preserve"> (ז א, הו' בע"א) כת' דאשה ועבד ושאר פסולי עדות לא הוה בתורת 'עדות', דאין עדות לפסולים. אלא שראו חכמים לסמוך על דבריהם בתורת אומדנא. ומש"ה אזלי' בתר רוב דיעות</w:t>
      </w:r>
      <w:r w:rsidRPr="00AF3214">
        <w:rPr>
          <w:rFonts w:ascii="Narkisim" w:hAnsi="Narkisim" w:cs="Narkisim"/>
        </w:rPr>
        <w:t>.</w:t>
      </w:r>
    </w:p>
    <w:p w14:paraId="4BB59CAA" w14:textId="77777777" w:rsidR="006C4368" w:rsidRPr="00AF3214" w:rsidRDefault="006C4368" w:rsidP="006C4368">
      <w:pPr>
        <w:bidi/>
        <w:rPr>
          <w:rFonts w:ascii="Narkisim" w:hAnsi="Narkisim" w:cs="Narkisim"/>
        </w:rPr>
      </w:pPr>
      <w:r w:rsidRPr="00AF3214">
        <w:rPr>
          <w:rFonts w:ascii="Narkisim" w:hAnsi="Narkisim" w:cs="Narkisim"/>
          <w:u w:val="single"/>
          <w:rtl/>
        </w:rPr>
        <w:t>ועשו ב' נשים באיש א'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והאשה נאמנת להכחישם, ואינם נאמנים לאוסרה בדבר הברור לה. אבל ה</w:t>
      </w:r>
      <w:r w:rsidRPr="00AF3214">
        <w:rPr>
          <w:rFonts w:ascii="Narkisim" w:hAnsi="Narkisim" w:cs="Narkisim"/>
          <w:b/>
          <w:bCs/>
          <w:rtl/>
        </w:rPr>
        <w:t>ריטב"א</w:t>
      </w:r>
      <w:r w:rsidRPr="00AF3214">
        <w:rPr>
          <w:rFonts w:ascii="Narkisim" w:hAnsi="Narkisim" w:cs="Narkisim"/>
          <w:rtl/>
        </w:rPr>
        <w:t xml:space="preserve"> (ונמוק"י, וכ"כ הרמ"א יז לז) כת' דאי שתקה, הוה ב' כנגד א'. אבל אי היא מסייעת לא תצא, דהוה ב' כנגד ב'. [ומשמע דהאשה כשאר עד פסול מעלמא, והוה תרי ותרי</w:t>
      </w:r>
      <w:r w:rsidRPr="00AF3214">
        <w:rPr>
          <w:rStyle w:val="ac"/>
          <w:rFonts w:ascii="Narkisim" w:hAnsi="Narkisim" w:cs="Narkisim"/>
          <w:rtl/>
        </w:rPr>
        <w:footnoteReference w:id="5522"/>
      </w:r>
      <w:r w:rsidRPr="00AF3214">
        <w:rPr>
          <w:rFonts w:ascii="Narkisim" w:hAnsi="Narkisim" w:cs="Narkisim"/>
          <w:rtl/>
        </w:rPr>
        <w:t>]. וה</w:t>
      </w:r>
      <w:r w:rsidRPr="00AF3214">
        <w:rPr>
          <w:rFonts w:ascii="Narkisim" w:hAnsi="Narkisim" w:cs="Narkisim"/>
          <w:b/>
          <w:bCs/>
          <w:rtl/>
        </w:rPr>
        <w:t>גר"א</w:t>
      </w:r>
      <w:r w:rsidRPr="00AF3214">
        <w:rPr>
          <w:rFonts w:ascii="Narkisim" w:hAnsi="Narkisim" w:cs="Narkisim"/>
          <w:rtl/>
        </w:rPr>
        <w:t xml:space="preserve"> (עה"ג, ויז קכב) ציין מח' זו</w:t>
      </w:r>
      <w:r w:rsidRPr="00AF3214">
        <w:rPr>
          <w:rFonts w:ascii="Narkisim" w:hAnsi="Narkisim" w:cs="Narkisim"/>
        </w:rPr>
        <w:t>.</w:t>
      </w:r>
    </w:p>
    <w:p w14:paraId="1147F7CF"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נמוק"י</w:t>
      </w:r>
      <w:r w:rsidRPr="00AF3214">
        <w:rPr>
          <w:rFonts w:ascii="Narkisim" w:hAnsi="Narkisim"/>
          <w:rtl/>
        </w:rPr>
        <w:t xml:space="preserve"> כת' דאף דהאשה נאמנת להעיד</w:t>
      </w:r>
      <w:r w:rsidRPr="00AF3214">
        <w:rPr>
          <w:rStyle w:val="ac"/>
          <w:rFonts w:ascii="Narkisim" w:hAnsi="Narkisim"/>
          <w:rtl/>
        </w:rPr>
        <w:footnoteReference w:id="5523"/>
      </w:r>
      <w:r w:rsidRPr="00AF3214">
        <w:rPr>
          <w:rFonts w:ascii="Narkisim" w:hAnsi="Narkisim"/>
        </w:rPr>
        <w:t xml:space="preserve">, </w:t>
      </w:r>
      <w:r w:rsidRPr="00AF3214">
        <w:rPr>
          <w:rFonts w:ascii="Narkisim" w:hAnsi="Narkisim"/>
          <w:rtl/>
        </w:rPr>
        <w:t>אבל הבעל [שבא ואמר שהוא הבעל הראשון] אינו נאמן להעיד ולומר אני הוא [דא"כ הוה ג' במקום ב']</w:t>
      </w:r>
      <w:r w:rsidRPr="00AF3214">
        <w:rPr>
          <w:rFonts w:ascii="Narkisim" w:hAnsi="Narkisim"/>
        </w:rPr>
        <w:t>.</w:t>
      </w:r>
    </w:p>
    <w:p w14:paraId="10FA6FB5"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רמ"א</w:t>
      </w:r>
      <w:r w:rsidRPr="00AF3214">
        <w:rPr>
          <w:rFonts w:ascii="Narkisim" w:hAnsi="Narkisim"/>
          <w:rtl/>
        </w:rPr>
        <w:t xml:space="preserve"> (שם) הביא דהבעל שנשאה אינו נאמן להעיד [שמת בעלה, ולהכחיש זה שבא]. [ע"פ הא דאיירי בנשאת לא' מעדיה, וא"כ הוה ג' להתיר כנגד ב']</w:t>
      </w:r>
      <w:r w:rsidRPr="00AF3214">
        <w:rPr>
          <w:rFonts w:ascii="Narkisim" w:hAnsi="Narkisim"/>
        </w:rPr>
        <w:t>.</w:t>
      </w:r>
    </w:p>
    <w:p w14:paraId="729C2C5F" w14:textId="77777777" w:rsidR="006C4368" w:rsidRPr="00AF3214" w:rsidRDefault="006C4368" w:rsidP="006C4368">
      <w:pPr>
        <w:pStyle w:val="aa"/>
        <w:bidi/>
        <w:rPr>
          <w:rFonts w:ascii="Narkisim" w:hAnsi="Narkisim"/>
        </w:rPr>
      </w:pPr>
      <w:r w:rsidRPr="00AF3214">
        <w:rPr>
          <w:rFonts w:ascii="Narkisim" w:hAnsi="Narkisim"/>
          <w:u w:val="single"/>
          <w:rtl/>
        </w:rPr>
        <w:t>רש"י ד"ה ועשו</w:t>
      </w:r>
      <w:r w:rsidRPr="00AF3214">
        <w:rPr>
          <w:rFonts w:ascii="Narkisim" w:hAnsi="Narkisim"/>
          <w:rtl/>
        </w:rPr>
        <w:t>. אבל היכא דאמרה ברי לי וכו' אין פסולי עדות נאמנים להעיד על אדם כשר אפי' הן אלף, שכל אדם נאמן על עצמו באיסורין בדבר הברור לו</w:t>
      </w:r>
      <w:r w:rsidRPr="00AF3214">
        <w:rPr>
          <w:rStyle w:val="ac"/>
          <w:rFonts w:ascii="Narkisim" w:hAnsi="Narkisim"/>
          <w:rtl/>
        </w:rPr>
        <w:footnoteReference w:id="5524"/>
      </w:r>
      <w:r w:rsidRPr="00AF3214">
        <w:rPr>
          <w:rFonts w:ascii="Narkisim" w:hAnsi="Narkisim"/>
        </w:rPr>
        <w:t xml:space="preserve">, </w:t>
      </w:r>
      <w:r w:rsidRPr="00AF3214">
        <w:rPr>
          <w:rFonts w:ascii="Narkisim" w:hAnsi="Narkisim"/>
          <w:rtl/>
        </w:rPr>
        <w:t>אא"כ יש עדות כשירה וכו'. דעדים פסולים אינם נאמנים לאסור כלל</w:t>
      </w:r>
      <w:r w:rsidRPr="00AF3214">
        <w:rPr>
          <w:rStyle w:val="ac"/>
          <w:rFonts w:ascii="Narkisim" w:hAnsi="Narkisim"/>
          <w:rtl/>
        </w:rPr>
        <w:footnoteReference w:id="5525"/>
      </w:r>
      <w:r w:rsidRPr="00AF3214">
        <w:rPr>
          <w:rFonts w:ascii="Narkisim" w:hAnsi="Narkisim"/>
        </w:rPr>
        <w:t xml:space="preserve">. </w:t>
      </w:r>
      <w:r w:rsidRPr="00AF3214">
        <w:rPr>
          <w:rFonts w:ascii="Narkisim" w:hAnsi="Narkisim"/>
          <w:rtl/>
        </w:rPr>
        <w:t>אבל היכא דהיא אינה טוענת ברי, א"כ הוכחש העד המתיר וממילא אסורה [אף ע"י פסולים]. אך כשהיא אומרת שמת בעלה ל"ש להכחיש דבריה 'בדבר הברור לה'. [ומבואר דהאשה נאמנת שלא בתורת עדות]</w:t>
      </w:r>
      <w:r w:rsidRPr="00AF3214">
        <w:rPr>
          <w:rFonts w:ascii="Narkisim" w:hAnsi="Narkisim"/>
        </w:rPr>
        <w:t>.</w:t>
      </w:r>
    </w:p>
    <w:p w14:paraId="6C5F2C80" w14:textId="77777777" w:rsidR="006C4368" w:rsidRPr="00AF3214" w:rsidRDefault="006C4368" w:rsidP="006C4368">
      <w:pPr>
        <w:pStyle w:val="aa"/>
        <w:bidi/>
        <w:rPr>
          <w:rFonts w:ascii="Narkisim" w:hAnsi="Narkisim"/>
        </w:rPr>
      </w:pPr>
      <w:r w:rsidRPr="00AF3214">
        <w:rPr>
          <w:rFonts w:ascii="Narkisim" w:hAnsi="Narkisim"/>
          <w:u w:val="single"/>
          <w:rtl/>
        </w:rPr>
        <w:t>בא"ד הלכך כמאן דליתנהו דמו, ומחזקת אשת איש יצתה לה ע"פ ראשון</w:t>
      </w:r>
      <w:r w:rsidRPr="00AF3214">
        <w:rPr>
          <w:rFonts w:ascii="Narkisim" w:hAnsi="Narkisim"/>
          <w:rtl/>
        </w:rPr>
        <w:t>. משמע מסו"ד רש"י דדוקא משום שמעיקרא העיד עד אחר. וצ"ב אף היכא דליכא עד כלל, נימא דאדם נאמן על עצמו בדבר הברור לו</w:t>
      </w:r>
      <w:r w:rsidRPr="00AF3214">
        <w:rPr>
          <w:rStyle w:val="ac"/>
          <w:rFonts w:ascii="Narkisim" w:hAnsi="Narkisim"/>
          <w:rtl/>
        </w:rPr>
        <w:footnoteReference w:id="5526"/>
      </w:r>
      <w:r w:rsidRPr="00AF3214">
        <w:rPr>
          <w:rFonts w:ascii="Narkisim" w:hAnsi="Narkisim"/>
        </w:rPr>
        <w:t xml:space="preserve">. </w:t>
      </w:r>
      <w:r w:rsidRPr="00AF3214">
        <w:rPr>
          <w:rFonts w:ascii="Narkisim" w:hAnsi="Narkisim"/>
          <w:rtl/>
        </w:rPr>
        <w:t>וכמ"ש רש"י (לעיל) דדל עד מהכא</w:t>
      </w:r>
      <w:r w:rsidRPr="00AF3214">
        <w:rPr>
          <w:rFonts w:ascii="Narkisim" w:hAnsi="Narkisim"/>
        </w:rPr>
        <w:t>.</w:t>
      </w:r>
    </w:p>
    <w:p w14:paraId="1A3B0B3C"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ואיבעית אימא כל היכא דאתא עד כשר מעיקרא, אפי' ק' נשים כע"א דמי</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ק' נשים באו אחר שנשאת</w:t>
      </w:r>
      <w:r w:rsidRPr="00AF3214">
        <w:rPr>
          <w:rStyle w:val="ac"/>
          <w:rFonts w:ascii="Narkisim" w:hAnsi="Narkisim" w:cs="Narkisim"/>
          <w:rtl/>
        </w:rPr>
        <w:footnoteReference w:id="5527"/>
      </w:r>
      <w:r w:rsidRPr="00AF3214">
        <w:rPr>
          <w:rFonts w:ascii="Narkisim" w:hAnsi="Narkisim" w:cs="Narkisim"/>
        </w:rPr>
        <w:t xml:space="preserve">. </w:t>
      </w:r>
      <w:r w:rsidRPr="00AF3214">
        <w:rPr>
          <w:rFonts w:ascii="Narkisim" w:hAnsi="Narkisim" w:cs="Narkisim"/>
          <w:rtl/>
        </w:rPr>
        <w:t>דעד ראשון הוה כתרי כדעולא, והמכחיש אינו כלום. והא דאי' (בסמוך) כפלגא ופלגא הוה כשבאו בבת א</w:t>
      </w:r>
      <w:r w:rsidRPr="00AF3214">
        <w:rPr>
          <w:rFonts w:ascii="Narkisim" w:hAnsi="Narkisim" w:cs="Narkisim"/>
        </w:rPr>
        <w:t>'.</w:t>
      </w:r>
    </w:p>
    <w:p w14:paraId="662AC374"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הביא דה</w:t>
      </w:r>
      <w:r w:rsidRPr="00AF3214">
        <w:rPr>
          <w:rFonts w:ascii="Narkisim" w:hAnsi="Narkisim"/>
          <w:b/>
          <w:bCs/>
          <w:rtl/>
        </w:rPr>
        <w:t>רמב"ם</w:t>
      </w:r>
      <w:r w:rsidRPr="00AF3214">
        <w:rPr>
          <w:rFonts w:ascii="Narkisim" w:hAnsi="Narkisim"/>
          <w:rtl/>
        </w:rPr>
        <w:t xml:space="preserve"> (גירושין יב כ) פי' כפלגא ופלגא, כב' כתות המכחישות זו את זו ואסורה. אא"כ נשאת לא' מעדיה ואומרת ברי לי. </w:t>
      </w:r>
      <w:r w:rsidRPr="00AF3214">
        <w:rPr>
          <w:rFonts w:ascii="Narkisim" w:hAnsi="Narkisim"/>
          <w:szCs w:val="20"/>
          <w:rtl/>
        </w:rPr>
        <w:t>[ובמקום רוב דיעות ל"מ הא דעד א' כתרי]</w:t>
      </w:r>
      <w:r w:rsidRPr="00AF3214">
        <w:rPr>
          <w:rFonts w:ascii="Narkisim" w:hAnsi="Narkisim"/>
          <w:szCs w:val="20"/>
        </w:rPr>
        <w:t>.</w:t>
      </w:r>
    </w:p>
    <w:p w14:paraId="11991DFF" w14:textId="77777777" w:rsidR="006C4368" w:rsidRPr="00AF3214" w:rsidRDefault="006C4368" w:rsidP="006C4368">
      <w:pPr>
        <w:pStyle w:val="a7"/>
        <w:bidi/>
        <w:rPr>
          <w:rFonts w:ascii="Narkisim" w:hAnsi="Narkisim"/>
        </w:rPr>
      </w:pPr>
      <w:r w:rsidRPr="00AF3214">
        <w:rPr>
          <w:rFonts w:ascii="Narkisim" w:hAnsi="Narkisim"/>
          <w:rtl/>
        </w:rPr>
        <w:t xml:space="preserve">אבל </w:t>
      </w:r>
      <w:r w:rsidRPr="00AF3214">
        <w:rPr>
          <w:rFonts w:ascii="Narkisim" w:hAnsi="Narkisim"/>
          <w:b/>
          <w:bCs/>
          <w:rtl/>
        </w:rPr>
        <w:t>ה"ה</w:t>
      </w:r>
      <w:r w:rsidRPr="00AF3214">
        <w:rPr>
          <w:rFonts w:ascii="Narkisim" w:hAnsi="Narkisim"/>
          <w:rtl/>
        </w:rPr>
        <w:t xml:space="preserve"> דן דהרמב"ם איירי דוקא בבאו בבת א'</w:t>
      </w:r>
      <w:r w:rsidRPr="00AF3214">
        <w:rPr>
          <w:rStyle w:val="ac"/>
          <w:rFonts w:ascii="Narkisim" w:hAnsi="Narkisim"/>
          <w:rtl/>
        </w:rPr>
        <w:footnoteReference w:id="5528"/>
      </w:r>
      <w:r w:rsidRPr="00AF3214">
        <w:rPr>
          <w:rFonts w:ascii="Narkisim" w:hAnsi="Narkisim"/>
          <w:rtl/>
        </w:rPr>
        <w:t>, אבל היכא דהתירוה לינשא ע"פ העד לא תצא מהתירא הראשון [כדעולא, וכדעת רש"י]</w:t>
      </w:r>
      <w:r w:rsidRPr="00AF3214">
        <w:rPr>
          <w:rStyle w:val="ac"/>
          <w:rFonts w:ascii="Narkisim" w:hAnsi="Narkisim"/>
          <w:rtl/>
        </w:rPr>
        <w:footnoteReference w:id="5529"/>
      </w:r>
      <w:r w:rsidRPr="00AF3214">
        <w:rPr>
          <w:rFonts w:ascii="Narkisim" w:hAnsi="Narkisim"/>
        </w:rPr>
        <w:t xml:space="preserve">. </w:t>
      </w:r>
      <w:r w:rsidRPr="00AF3214">
        <w:rPr>
          <w:rFonts w:ascii="Narkisim" w:hAnsi="Narkisim"/>
          <w:rtl/>
        </w:rPr>
        <w:t>[אך הביא דהרמב"ן ורשב"א פי' דברי הרמב"ם דלא כרש"י]</w:t>
      </w:r>
      <w:r w:rsidRPr="00AF3214">
        <w:rPr>
          <w:rFonts w:ascii="Narkisim" w:hAnsi="Narkisim"/>
        </w:rPr>
        <w:t>.</w:t>
      </w:r>
    </w:p>
    <w:p w14:paraId="3A2085D8" w14:textId="77777777" w:rsidR="006C4368" w:rsidRPr="00AF3214" w:rsidRDefault="006C4368" w:rsidP="006C4368">
      <w:pPr>
        <w:bidi/>
        <w:rPr>
          <w:rFonts w:ascii="Narkisim" w:hAnsi="Narkisim" w:cs="Narkisim"/>
        </w:rPr>
      </w:pPr>
      <w:r w:rsidRPr="00AF3214">
        <w:rPr>
          <w:rFonts w:ascii="Narkisim" w:hAnsi="Narkisim" w:cs="Narkisim"/>
          <w:u w:val="single"/>
          <w:rtl/>
        </w:rPr>
        <w:t>אבל ב' נשים באיש א' כפלגא על פלגא</w:t>
      </w:r>
      <w:r w:rsidRPr="00AF3214">
        <w:rPr>
          <w:rFonts w:ascii="Narkisim" w:hAnsi="Narkisim" w:cs="Narkisim"/>
          <w:rtl/>
        </w:rPr>
        <w:t>. [דעד כשר שקול כנגד רוב הדיעות</w:t>
      </w:r>
      <w:r w:rsidRPr="00AF3214">
        <w:rPr>
          <w:rStyle w:val="ac"/>
          <w:rFonts w:ascii="Narkisim" w:hAnsi="Narkisim" w:cs="Narkisim"/>
          <w:rtl/>
        </w:rPr>
        <w:footnoteReference w:id="5530"/>
      </w:r>
      <w:r w:rsidRPr="00AF3214">
        <w:rPr>
          <w:rFonts w:ascii="Narkisim" w:hAnsi="Narkisim" w:cs="Narkisim"/>
          <w:rtl/>
        </w:rPr>
        <w:t>]. ולל"ק אף בעד כשר אזלינן בתר מרוב דיעות</w:t>
      </w:r>
      <w:r w:rsidRPr="00AF3214">
        <w:rPr>
          <w:rFonts w:ascii="Narkisim" w:hAnsi="Narkisim" w:cs="Narkisim"/>
        </w:rPr>
        <w:t>.</w:t>
      </w:r>
    </w:p>
    <w:p w14:paraId="0CBB90E1"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גר"ח</w:t>
      </w:r>
      <w:r w:rsidRPr="00AF3214">
        <w:rPr>
          <w:rFonts w:ascii="Narkisim" w:hAnsi="Narkisim"/>
          <w:rtl/>
        </w:rPr>
        <w:t xml:space="preserve"> (גירושין יב כא) ביאר דהל"ב סבר דעד כשר מהני בתורת עדות, ובעדות ל"ש בזה כלל תורת רוב. אבל לל"ק אמרי' דכיון דהכשירה תורה פסולים, א"כ אף עד כשר [בעדות מיתה וסוטה</w:t>
      </w:r>
      <w:r w:rsidRPr="00AF3214">
        <w:rPr>
          <w:rStyle w:val="ac"/>
          <w:rFonts w:ascii="Narkisim" w:hAnsi="Narkisim"/>
          <w:rtl/>
        </w:rPr>
        <w:footnoteReference w:id="5531"/>
      </w:r>
      <w:r w:rsidRPr="00AF3214">
        <w:rPr>
          <w:rFonts w:ascii="Narkisim" w:hAnsi="Narkisim"/>
          <w:rtl/>
        </w:rPr>
        <w:t>] לא הוה תורת עדות, אלא נאמנות בעלמא. ובשאר נאמנות אזלי' בתר רוב דעות, ומשום דינא דאחרי רבים להטות</w:t>
      </w:r>
      <w:r w:rsidRPr="00AF3214">
        <w:rPr>
          <w:rFonts w:ascii="Narkisim" w:hAnsi="Narkisim"/>
        </w:rPr>
        <w:t>.</w:t>
      </w:r>
    </w:p>
    <w:p w14:paraId="12B1C050" w14:textId="77777777" w:rsidR="006C4368" w:rsidRPr="00AF3214" w:rsidRDefault="006C4368" w:rsidP="006C4368">
      <w:pPr>
        <w:pStyle w:val="a8"/>
        <w:bidi/>
        <w:rPr>
          <w:rFonts w:ascii="Narkisim" w:hAnsi="Narkisim"/>
        </w:rPr>
      </w:pPr>
      <w:r w:rsidRPr="00AF3214">
        <w:rPr>
          <w:rFonts w:ascii="Narkisim" w:hAnsi="Narkisim"/>
          <w:rtl/>
        </w:rPr>
        <w:t>ונח' ב' הלשונות האם עד א' [כשר] הוה תורת עדות</w:t>
      </w:r>
      <w:r w:rsidRPr="00AF3214">
        <w:rPr>
          <w:rStyle w:val="ac"/>
          <w:rFonts w:ascii="Narkisim" w:hAnsi="Narkisim"/>
          <w:rtl/>
        </w:rPr>
        <w:footnoteReference w:id="5532"/>
      </w:r>
      <w:r w:rsidRPr="00AF3214">
        <w:rPr>
          <w:rFonts w:ascii="Narkisim" w:hAnsi="Narkisim"/>
        </w:rPr>
        <w:t xml:space="preserve"> </w:t>
      </w:r>
      <w:r w:rsidRPr="00AF3214">
        <w:rPr>
          <w:rFonts w:ascii="Narkisim" w:hAnsi="Narkisim"/>
          <w:rtl/>
        </w:rPr>
        <w:t>או דין נאמנות. וכ"כ ה</w:t>
      </w:r>
      <w:r w:rsidRPr="00AF3214">
        <w:rPr>
          <w:rFonts w:ascii="Narkisim" w:hAnsi="Narkisim"/>
          <w:b/>
          <w:bCs/>
          <w:rtl/>
        </w:rPr>
        <w:t>ברכ"ש</w:t>
      </w:r>
      <w:r w:rsidRPr="00AF3214">
        <w:rPr>
          <w:rFonts w:ascii="Narkisim" w:hAnsi="Narkisim"/>
          <w:rtl/>
        </w:rPr>
        <w:t xml:space="preserve"> (יא א)</w:t>
      </w:r>
      <w:r w:rsidRPr="00AF3214">
        <w:rPr>
          <w:rStyle w:val="ac"/>
          <w:rFonts w:ascii="Narkisim" w:hAnsi="Narkisim"/>
          <w:rtl/>
        </w:rPr>
        <w:footnoteReference w:id="5533"/>
      </w:r>
      <w:r w:rsidRPr="00AF3214">
        <w:rPr>
          <w:rFonts w:ascii="Narkisim" w:hAnsi="Narkisim"/>
        </w:rPr>
        <w:t>.</w:t>
      </w:r>
    </w:p>
    <w:p w14:paraId="482B75DC" w14:textId="77777777" w:rsidR="006C4368" w:rsidRPr="00AF3214" w:rsidRDefault="006C4368" w:rsidP="006C4368">
      <w:pPr>
        <w:pStyle w:val="2"/>
        <w:bidi/>
        <w:rPr>
          <w:rFonts w:ascii="Narkisim" w:hAnsi="Narkisim"/>
        </w:rPr>
      </w:pPr>
      <w:r w:rsidRPr="00AF3214">
        <w:rPr>
          <w:rFonts w:ascii="Narkisim" w:hAnsi="Narkisim"/>
          <w:rtl/>
        </w:rPr>
        <w:t>צריכה גט משני</w:t>
      </w:r>
    </w:p>
    <w:p w14:paraId="4655469F" w14:textId="77777777" w:rsidR="006C4368" w:rsidRPr="00AF3214" w:rsidRDefault="006C4368" w:rsidP="006C4368">
      <w:pPr>
        <w:bidi/>
        <w:rPr>
          <w:rFonts w:ascii="Narkisim" w:hAnsi="Narkisim" w:cs="Narkisim"/>
        </w:rPr>
      </w:pPr>
      <w:r w:rsidRPr="00AF3214">
        <w:rPr>
          <w:rFonts w:ascii="Narkisim" w:hAnsi="Narkisim" w:cs="Narkisim"/>
          <w:u w:val="single"/>
          <w:rtl/>
        </w:rPr>
        <w:t>א"ה סיפא וכו' מותרת לחזור לו, התם נמי נימא גירש זה וכו' לעולם בעיא גט, א"ה נמצא זה מחזיר גרושתו וכו</w:t>
      </w:r>
      <w:r w:rsidRPr="00AF3214">
        <w:rPr>
          <w:rFonts w:ascii="Narkisim" w:hAnsi="Narkisim" w:cs="Narkisim"/>
          <w:rtl/>
        </w:rPr>
        <w:t>'. יל"ד אי הוה קו' חדשה, ניחוש שמא יאמרו דמחזיר גרושתו</w:t>
      </w:r>
      <w:r w:rsidRPr="00AF3214">
        <w:rPr>
          <w:rStyle w:val="ac"/>
          <w:rFonts w:ascii="Narkisim" w:hAnsi="Narkisim" w:cs="Narkisim"/>
          <w:rtl/>
        </w:rPr>
        <w:footnoteReference w:id="5534"/>
      </w:r>
      <w:r w:rsidRPr="00AF3214">
        <w:rPr>
          <w:rFonts w:ascii="Narkisim" w:hAnsi="Narkisim" w:cs="Narkisim"/>
        </w:rPr>
        <w:t xml:space="preserve">. </w:t>
      </w:r>
      <w:r w:rsidRPr="00AF3214">
        <w:rPr>
          <w:rFonts w:ascii="Narkisim" w:hAnsi="Narkisim" w:cs="Narkisim"/>
          <w:rtl/>
        </w:rPr>
        <w:t>אך לכאורה קו' הגמ' טפי</w:t>
      </w:r>
      <w:r w:rsidRPr="00AF3214">
        <w:rPr>
          <w:rStyle w:val="ac"/>
          <w:rFonts w:ascii="Narkisim" w:hAnsi="Narkisim" w:cs="Narkisim"/>
          <w:rtl/>
        </w:rPr>
        <w:footnoteReference w:id="5535"/>
      </w:r>
      <w:r w:rsidRPr="00AF3214">
        <w:rPr>
          <w:rFonts w:ascii="Narkisim" w:hAnsi="Narkisim" w:cs="Narkisim"/>
        </w:rPr>
        <w:t xml:space="preserve">, </w:t>
      </w:r>
      <w:r w:rsidRPr="00AF3214">
        <w:rPr>
          <w:rFonts w:ascii="Narkisim" w:hAnsi="Narkisim" w:cs="Narkisim"/>
          <w:rtl/>
        </w:rPr>
        <w:t>דגט זה לא מהני כלל, דעד כמה דחיישינן שמא גירש הראשון וקידש שני, גט דשני לא מהני מידי. וה</w:t>
      </w:r>
      <w:r w:rsidRPr="00AF3214">
        <w:rPr>
          <w:rFonts w:ascii="Narkisim" w:hAnsi="Narkisim" w:cs="Narkisim"/>
          <w:b/>
          <w:bCs/>
          <w:rtl/>
        </w:rPr>
        <w:t>ערול"נ</w:t>
      </w:r>
      <w:r w:rsidRPr="00AF3214">
        <w:rPr>
          <w:rFonts w:ascii="Narkisim" w:hAnsi="Narkisim" w:cs="Narkisim"/>
          <w:rtl/>
        </w:rPr>
        <w:t xml:space="preserve"> כת' די"ל דחששו לאיסור אשת איש דחמיר, ולא חששו משום איסור לאו דמחזיר גרושתו</w:t>
      </w:r>
      <w:r w:rsidRPr="00AF3214">
        <w:rPr>
          <w:rStyle w:val="ac"/>
          <w:rFonts w:ascii="Narkisim" w:hAnsi="Narkisim" w:cs="Narkisim"/>
          <w:rtl/>
        </w:rPr>
        <w:footnoteReference w:id="5536"/>
      </w:r>
      <w:r w:rsidRPr="00AF3214">
        <w:rPr>
          <w:rFonts w:ascii="Narkisim" w:hAnsi="Narkisim" w:cs="Narkisim"/>
        </w:rPr>
        <w:t>.</w:t>
      </w:r>
    </w:p>
    <w:p w14:paraId="50832976" w14:textId="77777777" w:rsidR="006C4368" w:rsidRPr="00AF3214" w:rsidRDefault="006C4368" w:rsidP="006C4368">
      <w:pPr>
        <w:bidi/>
        <w:rPr>
          <w:rFonts w:ascii="Narkisim" w:hAnsi="Narkisim" w:cs="Narkisim"/>
        </w:rPr>
      </w:pPr>
      <w:r w:rsidRPr="00AF3214">
        <w:rPr>
          <w:rFonts w:ascii="Narkisim" w:hAnsi="Narkisim" w:cs="Narkisim"/>
          <w:u w:val="single"/>
          <w:rtl/>
        </w:rPr>
        <w:t>תוד"ה אי הכי</w:t>
      </w:r>
      <w:r w:rsidRPr="00AF3214">
        <w:rPr>
          <w:rFonts w:ascii="Narkisim" w:hAnsi="Narkisim" w:cs="Narkisim"/>
          <w:rtl/>
        </w:rPr>
        <w:t>. דאיכא למימר דבגט איירי. ה</w:t>
      </w:r>
      <w:r w:rsidRPr="00AF3214">
        <w:rPr>
          <w:rFonts w:ascii="Narkisim" w:hAnsi="Narkisim" w:cs="Narkisim"/>
          <w:b/>
          <w:bCs/>
          <w:rtl/>
        </w:rPr>
        <w:t>מפרשים</w:t>
      </w:r>
      <w:r w:rsidRPr="00AF3214">
        <w:rPr>
          <w:rFonts w:ascii="Narkisim" w:hAnsi="Narkisim" w:cs="Narkisim"/>
          <w:rtl/>
        </w:rPr>
        <w:t xml:space="preserve"> הק' דלאחר שהשני נתן גט האיך מותרת לראשון, הא מיחזי כמחזיר גרושתו [דיתלו דגירש זה ונשא זה]</w:t>
      </w:r>
      <w:r w:rsidRPr="00AF3214">
        <w:rPr>
          <w:rStyle w:val="ac"/>
          <w:rFonts w:ascii="Narkisim" w:hAnsi="Narkisim" w:cs="Narkisim"/>
          <w:rtl/>
        </w:rPr>
        <w:footnoteReference w:id="5537"/>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מהרש"א</w:t>
      </w:r>
      <w:r w:rsidRPr="00AF3214">
        <w:rPr>
          <w:rFonts w:ascii="Narkisim" w:hAnsi="Narkisim" w:cs="Narkisim"/>
          <w:rtl/>
        </w:rPr>
        <w:t xml:space="preserve"> כת' דאה"נ הו"מ להקשות, אלא דעדיפא מקשה מסיפא</w:t>
      </w:r>
      <w:r w:rsidRPr="00AF3214">
        <w:rPr>
          <w:rFonts w:ascii="Narkisim" w:hAnsi="Narkisim" w:cs="Narkisim"/>
        </w:rPr>
        <w:t>.</w:t>
      </w:r>
    </w:p>
    <w:p w14:paraId="52DA7CB1"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ב"ח</w:t>
      </w:r>
      <w:r w:rsidRPr="00AF3214">
        <w:rPr>
          <w:rFonts w:ascii="Narkisim" w:hAnsi="Narkisim"/>
          <w:rtl/>
        </w:rPr>
        <w:t xml:space="preserve"> (עה"ג) תי' דכיון דאיסור מחזיר גרושתו מפורש בתורה לא יתלו שגירש [אלא בגירושי טעות]. ודוקא במחזיר גרושתו מהאירוסין שייך גזירה [לרבנן דר"י בן כיפר], דילמדו דמותר להחזיר גרושתו מהאירוסין</w:t>
      </w:r>
      <w:r w:rsidRPr="00AF3214">
        <w:rPr>
          <w:rFonts w:ascii="Narkisim" w:hAnsi="Narkisim"/>
        </w:rPr>
        <w:t>.</w:t>
      </w:r>
    </w:p>
    <w:p w14:paraId="22EE7090"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מהרש"ל</w:t>
      </w:r>
      <w:r w:rsidRPr="00AF3214">
        <w:rPr>
          <w:rFonts w:ascii="Narkisim" w:hAnsi="Narkisim"/>
          <w:rtl/>
        </w:rPr>
        <w:t xml:space="preserve"> תי' דלאו כל כמיניה לאסור על הראשון משום גזירת שמא יאמרו [שהוא לא פשע]. ובשלמא היכא דמת או אינו רוצה להחזירה אסרינן על השני מהך גזירה. אבל היכא דהראשון רוצה להחזירה ל"ש לגזור [והראשון מחזירה בלא גט מהשני. וה</w:t>
      </w:r>
      <w:r w:rsidRPr="00AF3214">
        <w:rPr>
          <w:rFonts w:ascii="Narkisim" w:hAnsi="Narkisim"/>
          <w:b/>
          <w:bCs/>
          <w:rtl/>
        </w:rPr>
        <w:t>מפרשים</w:t>
      </w:r>
      <w:r w:rsidRPr="00AF3214">
        <w:rPr>
          <w:rFonts w:ascii="Narkisim" w:hAnsi="Narkisim"/>
          <w:rtl/>
        </w:rPr>
        <w:t xml:space="preserve"> העירו דמשמע בתוס' דאף היכא דהראשון מחזירה צריך גט]</w:t>
      </w:r>
      <w:r w:rsidRPr="00AF3214">
        <w:rPr>
          <w:rFonts w:ascii="Narkisim" w:hAnsi="Narkisim"/>
        </w:rPr>
        <w:t>.</w:t>
      </w:r>
    </w:p>
    <w:p w14:paraId="30610B1F" w14:textId="77777777" w:rsidR="006C4368" w:rsidRPr="00AF3214" w:rsidRDefault="006C4368" w:rsidP="006C4368">
      <w:pPr>
        <w:pStyle w:val="a7"/>
        <w:bidi/>
        <w:rPr>
          <w:rFonts w:ascii="Narkisim" w:hAnsi="Narkisim"/>
        </w:rPr>
      </w:pPr>
      <w:r w:rsidRPr="00AF3214">
        <w:rPr>
          <w:rFonts w:ascii="Narkisim" w:hAnsi="Narkisim"/>
          <w:rtl/>
        </w:rPr>
        <w:t>ועוד תי' ה</w:t>
      </w:r>
      <w:r w:rsidRPr="00AF3214">
        <w:rPr>
          <w:rFonts w:ascii="Narkisim" w:hAnsi="Narkisim"/>
          <w:b/>
          <w:bCs/>
          <w:rtl/>
        </w:rPr>
        <w:t>מהרש"ל</w:t>
      </w:r>
      <w:r w:rsidRPr="00AF3214">
        <w:rPr>
          <w:rFonts w:ascii="Narkisim" w:hAnsi="Narkisim"/>
          <w:rtl/>
        </w:rPr>
        <w:t xml:space="preserve"> [על קו' התוס'] דהיכא דנשאת בעדים יש קול</w:t>
      </w:r>
      <w:r w:rsidRPr="00AF3214">
        <w:rPr>
          <w:rStyle w:val="ac"/>
          <w:rFonts w:ascii="Narkisim" w:hAnsi="Narkisim"/>
          <w:rtl/>
        </w:rPr>
        <w:footnoteReference w:id="5538"/>
      </w:r>
      <w:r w:rsidRPr="00AF3214">
        <w:rPr>
          <w:rFonts w:ascii="Narkisim" w:hAnsi="Narkisim"/>
        </w:rPr>
        <w:t xml:space="preserve">, </w:t>
      </w:r>
      <w:r w:rsidRPr="00AF3214">
        <w:rPr>
          <w:rFonts w:ascii="Narkisim" w:hAnsi="Narkisim"/>
          <w:rtl/>
        </w:rPr>
        <w:t>וידעי שנשאת משום שסבורה שמת בעלה. ולא יאמרו גירש זה וכו'. ודוקא בנשאת בעד א' חיישינן בסוגיין</w:t>
      </w:r>
      <w:r w:rsidRPr="00AF3214">
        <w:rPr>
          <w:rFonts w:ascii="Narkisim" w:hAnsi="Narkisim"/>
        </w:rPr>
        <w:t>.</w:t>
      </w:r>
    </w:p>
    <w:p w14:paraId="15F470B1" w14:textId="77777777" w:rsidR="006C4368" w:rsidRPr="00AF3214" w:rsidRDefault="006C4368" w:rsidP="006C4368">
      <w:pPr>
        <w:pStyle w:val="3"/>
        <w:bidi/>
        <w:rPr>
          <w:rFonts w:ascii="Narkisim" w:hAnsi="Narkisim"/>
        </w:rPr>
      </w:pPr>
      <w:r w:rsidRPr="00AF3214">
        <w:rPr>
          <w:rFonts w:ascii="Narkisim" w:hAnsi="Narkisim"/>
          <w:rtl/>
        </w:rPr>
        <w:lastRenderedPageBreak/>
        <w:t>דף פט</w:t>
      </w:r>
      <w:r w:rsidRPr="00AF3214">
        <w:rPr>
          <w:rFonts w:ascii="Narkisim" w:hAnsi="Narkisim"/>
        </w:rPr>
        <w:t>.</w:t>
      </w:r>
    </w:p>
    <w:p w14:paraId="5D93F444" w14:textId="77777777" w:rsidR="006C4368" w:rsidRPr="00AF3214" w:rsidRDefault="006C4368" w:rsidP="006C4368">
      <w:pPr>
        <w:pStyle w:val="aa"/>
        <w:bidi/>
        <w:rPr>
          <w:rFonts w:ascii="Narkisim" w:hAnsi="Narkisim"/>
        </w:rPr>
      </w:pPr>
      <w:r w:rsidRPr="00AF3214">
        <w:rPr>
          <w:rFonts w:ascii="Narkisim" w:hAnsi="Narkisim"/>
          <w:u w:val="single"/>
          <w:rtl/>
        </w:rPr>
        <w:t>מכלל דלא בעיא גט</w:t>
      </w:r>
      <w:r w:rsidRPr="00AF3214">
        <w:rPr>
          <w:rStyle w:val="ac"/>
          <w:rFonts w:ascii="Narkisim" w:hAnsi="Narkisim"/>
          <w:u w:val="single"/>
          <w:rtl/>
        </w:rPr>
        <w:footnoteReference w:id="5539"/>
      </w:r>
      <w:r w:rsidRPr="00AF3214">
        <w:rPr>
          <w:rFonts w:ascii="Narkisim" w:hAnsi="Narkisim"/>
          <w:u w:val="single"/>
        </w:rPr>
        <w:t xml:space="preserve">, </w:t>
      </w:r>
      <w:r w:rsidRPr="00AF3214">
        <w:rPr>
          <w:rFonts w:ascii="Narkisim" w:hAnsi="Narkisim"/>
          <w:u w:val="single"/>
          <w:rtl/>
        </w:rPr>
        <w:t>דאי בעיא גט אמאי לא פסלה מן הכהונה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דאי בעי גט הוה 'ריח הגט' שפוסל לכהונה. ואף דמדינא אינה אשתו, מ"מ כיון דרבנן הצריכו שיתן גט, עי"ז הוה בכלל ריח הגט</w:t>
      </w:r>
      <w:r w:rsidRPr="00AF3214">
        <w:rPr>
          <w:rFonts w:ascii="Narkisim" w:hAnsi="Narkisim"/>
        </w:rPr>
        <w:t>.</w:t>
      </w:r>
    </w:p>
    <w:p w14:paraId="100EB6DD" w14:textId="77777777" w:rsidR="006C4368" w:rsidRPr="00AF3214" w:rsidRDefault="006C4368" w:rsidP="006C4368">
      <w:pPr>
        <w:bidi/>
        <w:rPr>
          <w:rFonts w:ascii="Narkisim" w:hAnsi="Narkisim" w:cs="Narkisim"/>
        </w:rPr>
      </w:pPr>
      <w:r w:rsidRPr="00AF3214">
        <w:rPr>
          <w:rFonts w:ascii="Narkisim" w:hAnsi="Narkisim" w:cs="Narkisim"/>
          <w:u w:val="single"/>
          <w:rtl/>
        </w:rPr>
        <w:t>קנסוה רבנן וכו' רישא דעבדא איסורא קנסינן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ולא תלינן לקולא. ומבואר דמשום קנס חששו לטעם דשמא יאמרו גירש זה ונשא זה, וחששו שיאמרו דאשת איש יוצאת בלא גט. וכ"כ ה</w:t>
      </w:r>
      <w:r w:rsidRPr="00AF3214">
        <w:rPr>
          <w:rFonts w:ascii="Narkisim" w:hAnsi="Narkisim" w:cs="Narkisim"/>
          <w:b/>
          <w:bCs/>
          <w:rtl/>
        </w:rPr>
        <w:t>רא"ש</w:t>
      </w:r>
      <w:r w:rsidRPr="00AF3214">
        <w:rPr>
          <w:rFonts w:ascii="Narkisim" w:hAnsi="Narkisim" w:cs="Narkisim"/>
          <w:rtl/>
        </w:rPr>
        <w:t xml:space="preserve"> ושא"ר [ע"פ רש"י]. אבל מדינא תלינן בקידושי טעות</w:t>
      </w:r>
      <w:r w:rsidRPr="00AF3214">
        <w:rPr>
          <w:rStyle w:val="ac"/>
          <w:rFonts w:ascii="Narkisim" w:hAnsi="Narkisim" w:cs="Narkisim"/>
          <w:rtl/>
        </w:rPr>
        <w:footnoteReference w:id="5540"/>
      </w:r>
      <w:r w:rsidRPr="00AF3214">
        <w:rPr>
          <w:rFonts w:ascii="Narkisim" w:hAnsi="Narkisim" w:cs="Narkisim"/>
        </w:rPr>
        <w:t xml:space="preserve">, </w:t>
      </w:r>
      <w:r w:rsidRPr="00AF3214">
        <w:rPr>
          <w:rFonts w:ascii="Narkisim" w:hAnsi="Narkisim" w:cs="Narkisim"/>
          <w:rtl/>
        </w:rPr>
        <w:t>ומש"ה בסיפא [דנתקדשה ולא עבדא איסורא] הקילו</w:t>
      </w:r>
      <w:r w:rsidRPr="00AF3214">
        <w:rPr>
          <w:rFonts w:ascii="Narkisim" w:hAnsi="Narkisim" w:cs="Narkisim"/>
        </w:rPr>
        <w:t>.</w:t>
      </w:r>
    </w:p>
    <w:p w14:paraId="1F89EDD1"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ביאר דברי רש"י [באופ"א קצת] דברישא קנסו שיתן גט, כדי להוציא עליה קול שיאמרו גירש זה ונשא זה, ועי"ז תהא לראשון כאילו מחזיר גרושתו מן הנשואין, כדי שלא יעבור ויחזירנה</w:t>
      </w:r>
      <w:r w:rsidRPr="00AF3214">
        <w:rPr>
          <w:rFonts w:ascii="Narkisim" w:hAnsi="Narkisim"/>
        </w:rPr>
        <w:t>.</w:t>
      </w:r>
    </w:p>
    <w:p w14:paraId="097520E1"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רי"ף</w:t>
      </w:r>
      <w:r w:rsidRPr="00AF3214">
        <w:rPr>
          <w:rFonts w:ascii="Narkisim" w:hAnsi="Narkisim"/>
          <w:rtl/>
        </w:rPr>
        <w:t xml:space="preserve"> גרס 'אלא' רישא דעבדא איסורא קנסוה רבנן. ומשמע דמטעם קנס לחוד צריכה גט, דהדרינן מהטעם דיאמרו גירש זה ונשא זה</w:t>
      </w:r>
      <w:r w:rsidRPr="00AF3214">
        <w:rPr>
          <w:rFonts w:ascii="Narkisim" w:hAnsi="Narkisim"/>
        </w:rPr>
        <w:t>.</w:t>
      </w:r>
    </w:p>
    <w:p w14:paraId="6D7B02D2"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ו</w:t>
      </w:r>
      <w:r w:rsidRPr="00AF3214">
        <w:rPr>
          <w:rFonts w:ascii="Narkisim" w:hAnsi="Narkisim"/>
          <w:b/>
          <w:bCs/>
          <w:rtl/>
        </w:rPr>
        <w:t>נמוק"י</w:t>
      </w:r>
      <w:r w:rsidRPr="00AF3214">
        <w:rPr>
          <w:rFonts w:ascii="Narkisim" w:hAnsi="Narkisim"/>
          <w:rtl/>
        </w:rPr>
        <w:t xml:space="preserve"> ביארו דטעם קנס זה [לדעת הרי"ף] כדי לעגן אותה שלא תנשא בלא גט מהשני. א"נ ע"פ הירושלמי</w:t>
      </w:r>
      <w:r w:rsidRPr="00AF3214">
        <w:rPr>
          <w:rFonts w:ascii="Narkisim" w:hAnsi="Narkisim"/>
        </w:rPr>
        <w:t>.</w:t>
      </w:r>
    </w:p>
    <w:p w14:paraId="23281D24"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וב</w:t>
      </w:r>
      <w:r w:rsidRPr="00AF3214">
        <w:rPr>
          <w:rFonts w:ascii="Narkisim" w:hAnsi="Narkisim" w:cs="Narkisim"/>
          <w:b/>
          <w:bCs/>
          <w:rtl/>
        </w:rPr>
        <w:t>ירושלמי</w:t>
      </w:r>
      <w:r w:rsidRPr="00AF3214">
        <w:rPr>
          <w:rFonts w:ascii="Narkisim" w:hAnsi="Narkisim" w:cs="Narkisim"/>
          <w:rtl/>
        </w:rPr>
        <w:t xml:space="preserve"> (הו' בראשונים) אי' דצריכה גט משני כדי לברר איסורו של ראשון. וה</w:t>
      </w:r>
      <w:r w:rsidRPr="00AF3214">
        <w:rPr>
          <w:rFonts w:ascii="Narkisim" w:hAnsi="Narkisim" w:cs="Narkisim"/>
          <w:b/>
          <w:bCs/>
          <w:rtl/>
        </w:rPr>
        <w:t>רמב"ן</w:t>
      </w:r>
      <w:r w:rsidRPr="00AF3214">
        <w:rPr>
          <w:rFonts w:ascii="Narkisim" w:hAnsi="Narkisim" w:cs="Narkisim"/>
          <w:rtl/>
        </w:rPr>
        <w:t xml:space="preserve"> וה</w:t>
      </w:r>
      <w:r w:rsidRPr="00AF3214">
        <w:rPr>
          <w:rFonts w:ascii="Narkisim" w:hAnsi="Narkisim" w:cs="Narkisim"/>
          <w:b/>
          <w:bCs/>
          <w:rtl/>
        </w:rPr>
        <w:t>רשב"א</w:t>
      </w:r>
      <w:r w:rsidRPr="00AF3214">
        <w:rPr>
          <w:rFonts w:ascii="Narkisim" w:hAnsi="Narkisim" w:cs="Narkisim"/>
          <w:rtl/>
        </w:rPr>
        <w:t xml:space="preserve"> ביארו [ע"פ דברי רש"י] דמשום קנס חששו שיאמרו גירש זה, כדי לאוסרה על הראשון. דע"י הגט הוה כמחזיר גרושתו, ועי"ז יתברר איסורו לראשון, ולא יחזירנה</w:t>
      </w:r>
      <w:r w:rsidRPr="00AF3214">
        <w:rPr>
          <w:rFonts w:ascii="Narkisim" w:hAnsi="Narkisim" w:cs="Narkisim"/>
        </w:rPr>
        <w:t>.</w:t>
      </w:r>
    </w:p>
    <w:p w14:paraId="54F2A274"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ו</w:t>
      </w:r>
      <w:r w:rsidRPr="00AF3214">
        <w:rPr>
          <w:rFonts w:ascii="Narkisim" w:hAnsi="Narkisim"/>
          <w:b/>
          <w:bCs/>
          <w:rtl/>
        </w:rPr>
        <w:t>נמוק"י</w:t>
      </w:r>
      <w:r w:rsidRPr="00AF3214">
        <w:rPr>
          <w:rFonts w:ascii="Narkisim" w:hAnsi="Narkisim"/>
          <w:rtl/>
        </w:rPr>
        <w:t xml:space="preserve"> ביארו כוונת הירושלמי [כדעת הרי"ף דהוה טעם בפנ"ע] דתקנו לעשות קיום לקדושי השני, כדי לאוסרה על הראשון ולעשות הולד ממנו ממזר קודם גרושי שני, וכדתנן והולד ממזר מזה ומזה</w:t>
      </w:r>
      <w:r w:rsidRPr="00AF3214">
        <w:rPr>
          <w:rStyle w:val="ac"/>
          <w:rFonts w:ascii="Narkisim" w:hAnsi="Narkisim"/>
          <w:rtl/>
        </w:rPr>
        <w:footnoteReference w:id="5541"/>
      </w:r>
      <w:r w:rsidRPr="00AF3214">
        <w:rPr>
          <w:rFonts w:ascii="Narkisim" w:hAnsi="Narkisim"/>
        </w:rPr>
        <w:t>.</w:t>
      </w:r>
    </w:p>
    <w:p w14:paraId="7B4F14B4"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בפשוטו בסוגיין קאי רק לענין גט. והא דאסורה לחזור לראשון הוה משום סוטה דרבנן (וכדאי' לעיל יא.). אבל ה</w:t>
      </w:r>
      <w:r w:rsidRPr="00AF3214">
        <w:rPr>
          <w:rFonts w:ascii="Narkisim" w:hAnsi="Narkisim" w:cs="Narkisim"/>
          <w:b/>
          <w:bCs/>
          <w:rtl/>
        </w:rPr>
        <w:t>רמב"ם</w:t>
      </w:r>
      <w:r w:rsidRPr="00AF3214">
        <w:rPr>
          <w:rFonts w:ascii="Narkisim" w:hAnsi="Narkisim" w:cs="Narkisim"/>
          <w:rtl/>
        </w:rPr>
        <w:t xml:space="preserve"> (גירושין י ד) כת' דנאסרה על שניהם לעולם אע"פ שנבעלה בשגגה, כדי שלא יאמרו החזיר זה גרושתו אחר שנשאת</w:t>
      </w:r>
      <w:r w:rsidRPr="00AF3214">
        <w:rPr>
          <w:rStyle w:val="ac"/>
          <w:rFonts w:ascii="Narkisim" w:hAnsi="Narkisim" w:cs="Narkisim"/>
          <w:rtl/>
        </w:rPr>
        <w:footnoteReference w:id="5542"/>
      </w:r>
      <w:r w:rsidRPr="00AF3214">
        <w:rPr>
          <w:rFonts w:ascii="Narkisim" w:hAnsi="Narkisim" w:cs="Narkisim"/>
        </w:rPr>
        <w:t xml:space="preserve">. </w:t>
      </w:r>
      <w:r w:rsidRPr="00AF3214">
        <w:rPr>
          <w:rFonts w:ascii="Narkisim" w:hAnsi="Narkisim" w:cs="Narkisim"/>
          <w:rtl/>
        </w:rPr>
        <w:t>[דאף האיסור הוה משום גזירה זו</w:t>
      </w:r>
      <w:r w:rsidRPr="00AF3214">
        <w:rPr>
          <w:rStyle w:val="ac"/>
          <w:rFonts w:ascii="Narkisim" w:hAnsi="Narkisim" w:cs="Narkisim"/>
          <w:rtl/>
        </w:rPr>
        <w:footnoteReference w:id="5543"/>
      </w:r>
      <w:r w:rsidRPr="00AF3214">
        <w:rPr>
          <w:rFonts w:ascii="Narkisim" w:hAnsi="Narkisim" w:cs="Narkisim"/>
          <w:rtl/>
        </w:rPr>
        <w:t>]</w:t>
      </w:r>
      <w:r w:rsidRPr="00AF3214">
        <w:rPr>
          <w:rFonts w:ascii="Narkisim" w:hAnsi="Narkisim" w:cs="Narkisim"/>
        </w:rPr>
        <w:t>.</w:t>
      </w:r>
    </w:p>
    <w:p w14:paraId="23DA320E"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משנ"ל</w:t>
      </w:r>
      <w:r w:rsidRPr="00AF3214">
        <w:rPr>
          <w:rFonts w:ascii="Narkisim" w:hAnsi="Narkisim"/>
          <w:rtl/>
        </w:rPr>
        <w:t xml:space="preserve"> (שם) תמה דודאי אסורה על השני משום סוטה לבועל</w:t>
      </w:r>
      <w:r w:rsidRPr="00AF3214">
        <w:rPr>
          <w:rStyle w:val="ac"/>
          <w:rFonts w:ascii="Narkisim" w:hAnsi="Narkisim"/>
          <w:rtl/>
        </w:rPr>
        <w:footnoteReference w:id="5544"/>
      </w:r>
      <w:r w:rsidRPr="00AF3214">
        <w:rPr>
          <w:rFonts w:ascii="Narkisim" w:hAnsi="Narkisim"/>
        </w:rPr>
        <w:t xml:space="preserve"> </w:t>
      </w:r>
      <w:r w:rsidRPr="00AF3214">
        <w:rPr>
          <w:rFonts w:ascii="Narkisim" w:hAnsi="Narkisim"/>
          <w:rtl/>
        </w:rPr>
        <w:t>[דל"ש בזה גזירה]. א"כ אמאי פי' הרמב"ם שאסורה לראשון משום גזירה זו</w:t>
      </w:r>
      <w:r w:rsidRPr="00AF3214">
        <w:rPr>
          <w:rFonts w:ascii="Narkisim" w:hAnsi="Narkisim"/>
        </w:rPr>
        <w:t>.</w:t>
      </w:r>
    </w:p>
    <w:p w14:paraId="04BF15E3"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תו"י</w:t>
      </w:r>
      <w:r w:rsidRPr="00AF3214">
        <w:rPr>
          <w:rFonts w:ascii="Narkisim" w:hAnsi="Narkisim" w:cs="Narkisim"/>
          <w:rtl/>
        </w:rPr>
        <w:t xml:space="preserve"> וה</w:t>
      </w:r>
      <w:r w:rsidRPr="00AF3214">
        <w:rPr>
          <w:rFonts w:ascii="Narkisim" w:hAnsi="Narkisim" w:cs="Narkisim"/>
          <w:b/>
          <w:bCs/>
          <w:rtl/>
        </w:rPr>
        <w:t>רשב"א</w:t>
      </w:r>
      <w:r w:rsidRPr="00AF3214">
        <w:rPr>
          <w:rFonts w:ascii="Narkisim" w:hAnsi="Narkisim" w:cs="Narkisim"/>
          <w:rtl/>
        </w:rPr>
        <w:t xml:space="preserve"> ו</w:t>
      </w:r>
      <w:r w:rsidRPr="00AF3214">
        <w:rPr>
          <w:rFonts w:ascii="Narkisim" w:hAnsi="Narkisim" w:cs="Narkisim"/>
          <w:b/>
          <w:bCs/>
          <w:rtl/>
        </w:rPr>
        <w:t>רא"ש</w:t>
      </w:r>
      <w:r w:rsidRPr="00AF3214">
        <w:rPr>
          <w:rFonts w:ascii="Narkisim" w:hAnsi="Narkisim" w:cs="Narkisim"/>
          <w:rtl/>
        </w:rPr>
        <w:t xml:space="preserve"> הביאו מהגמ' (לקמן צד:) כדעת רש"י דהא דצריכה גט הוה משום שיאמרו גירש זה, ומש"ה בנשאת לאשת אחיו [במקום יבום] אי"צ גט</w:t>
      </w:r>
      <w:r w:rsidRPr="00AF3214">
        <w:rPr>
          <w:rStyle w:val="ac"/>
          <w:rFonts w:ascii="Narkisim" w:hAnsi="Narkisim" w:cs="Narkisim"/>
          <w:rtl/>
        </w:rPr>
        <w:footnoteReference w:id="5545"/>
      </w:r>
      <w:r w:rsidRPr="00AF3214">
        <w:rPr>
          <w:rFonts w:ascii="Narkisim" w:hAnsi="Narkisim" w:cs="Narkisim"/>
        </w:rPr>
        <w:t xml:space="preserve">, </w:t>
      </w:r>
      <w:r w:rsidRPr="00AF3214">
        <w:rPr>
          <w:rFonts w:ascii="Narkisim" w:hAnsi="Narkisim" w:cs="Narkisim"/>
          <w:rtl/>
        </w:rPr>
        <w:t xml:space="preserve">דאם גירשה אסורה ליבם. וכן כשאמרו לו שמת אשתו ונשא אחותה ל"ש טעם זה. אף דעבדא איסורא </w:t>
      </w:r>
      <w:r w:rsidRPr="00AF3214">
        <w:rPr>
          <w:rFonts w:ascii="Narkisim" w:hAnsi="Narkisim" w:cs="Narkisim"/>
          <w:rtl/>
        </w:rPr>
        <w:lastRenderedPageBreak/>
        <w:t>ל"צ גט כיון דל"ש שיאמרו גירש זה. [ואפ"ה מבואר דאסורה עליו, וכמ"ש תוס' צד: ד"ה אשת</w:t>
      </w:r>
      <w:r w:rsidRPr="00AF3214">
        <w:rPr>
          <w:rStyle w:val="ac"/>
          <w:rFonts w:ascii="Narkisim" w:hAnsi="Narkisim" w:cs="Narkisim"/>
          <w:rtl/>
        </w:rPr>
        <w:footnoteReference w:id="5546"/>
      </w:r>
      <w:r w:rsidRPr="00AF3214">
        <w:rPr>
          <w:rFonts w:ascii="Narkisim" w:hAnsi="Narkisim" w:cs="Narkisim"/>
          <w:rtl/>
        </w:rPr>
        <w:t>]</w:t>
      </w:r>
      <w:r w:rsidRPr="00AF3214">
        <w:rPr>
          <w:rFonts w:ascii="Narkisim" w:hAnsi="Narkisim" w:cs="Narkisim"/>
        </w:rPr>
        <w:t>.</w:t>
      </w:r>
    </w:p>
    <w:p w14:paraId="31B74DED" w14:textId="77777777" w:rsidR="006C4368" w:rsidRPr="00AF3214" w:rsidRDefault="006C4368" w:rsidP="006C4368">
      <w:pPr>
        <w:bidi/>
        <w:rPr>
          <w:rFonts w:ascii="Narkisim" w:hAnsi="Narkisim" w:cs="Narkisim"/>
        </w:rPr>
      </w:pPr>
      <w:r w:rsidRPr="00AF3214">
        <w:rPr>
          <w:rFonts w:ascii="Narkisim" w:hAnsi="Narkisim" w:cs="Narkisim"/>
          <w:u w:val="single"/>
          <w:rtl/>
        </w:rPr>
        <w:t>[בסוגיין] צריכה גט</w:t>
      </w:r>
      <w:r w:rsidRPr="00AF3214">
        <w:rPr>
          <w:rFonts w:ascii="Narkisim" w:hAnsi="Narkisim" w:cs="Narkisim"/>
          <w:rtl/>
        </w:rPr>
        <w:t>. ה</w:t>
      </w:r>
      <w:r w:rsidRPr="00AF3214">
        <w:rPr>
          <w:rFonts w:ascii="Narkisim" w:hAnsi="Narkisim" w:cs="Narkisim"/>
          <w:b/>
          <w:bCs/>
          <w:rtl/>
        </w:rPr>
        <w:t>ט"ז</w:t>
      </w:r>
      <w:r w:rsidRPr="00AF3214">
        <w:rPr>
          <w:rFonts w:ascii="Narkisim" w:hAnsi="Narkisim" w:cs="Narkisim"/>
          <w:rtl/>
        </w:rPr>
        <w:t xml:space="preserve"> (ד ט והגר"א יז קעא, הו' לעיל פז:) העמיד דנח' ה</w:t>
      </w:r>
      <w:r w:rsidRPr="00AF3214">
        <w:rPr>
          <w:rFonts w:ascii="Narkisim" w:hAnsi="Narkisim" w:cs="Narkisim"/>
          <w:b/>
          <w:bCs/>
          <w:rtl/>
        </w:rPr>
        <w:t>ראשונים</w:t>
      </w:r>
      <w:r w:rsidRPr="00AF3214">
        <w:rPr>
          <w:rFonts w:ascii="Narkisim" w:hAnsi="Narkisim" w:cs="Narkisim"/>
          <w:rtl/>
        </w:rPr>
        <w:t xml:space="preserve"> בהא דתקנו גט, דלדעת הרמב"ן וכמה </w:t>
      </w:r>
      <w:r w:rsidRPr="00AF3214">
        <w:rPr>
          <w:rFonts w:ascii="Narkisim" w:hAnsi="Narkisim" w:cs="Narkisim"/>
          <w:b/>
          <w:bCs/>
          <w:rtl/>
        </w:rPr>
        <w:t>ראשונים</w:t>
      </w:r>
      <w:r w:rsidRPr="00AF3214">
        <w:rPr>
          <w:rFonts w:ascii="Narkisim" w:hAnsi="Narkisim" w:cs="Narkisim"/>
          <w:rtl/>
        </w:rPr>
        <w:t xml:space="preserve"> דעשאוה אשת איש מהשני [משום קנס דסוגיין], ומש"ה הולד ממזר מראשון [וכדברי הריטב"א הנ"ל]. [קודם שקבלה גט משני]</w:t>
      </w:r>
      <w:r w:rsidRPr="00AF3214">
        <w:rPr>
          <w:rFonts w:ascii="Narkisim" w:hAnsi="Narkisim" w:cs="Narkisim"/>
        </w:rPr>
        <w:t>.</w:t>
      </w:r>
    </w:p>
    <w:p w14:paraId="60355A3B" w14:textId="77777777" w:rsidR="006C4368" w:rsidRPr="00AF3214" w:rsidRDefault="006C4368" w:rsidP="006C4368">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xml:space="preserve"> </w:t>
      </w:r>
      <w:r w:rsidRPr="00AF3214">
        <w:rPr>
          <w:rFonts w:ascii="Narkisim" w:hAnsi="Narkisim"/>
          <w:szCs w:val="20"/>
          <w:rtl/>
        </w:rPr>
        <w:t>(פז: ד"ה הולד, ולקמן צב)</w:t>
      </w:r>
      <w:r w:rsidRPr="00AF3214">
        <w:rPr>
          <w:rFonts w:ascii="Narkisim" w:hAnsi="Narkisim"/>
          <w:rtl/>
        </w:rPr>
        <w:t xml:space="preserve"> נקטו דתקנת הגט הוה משום חשד בעלמא. והא דהולד ממזר מראשון לא תלי בגט של השני</w:t>
      </w:r>
      <w:r w:rsidRPr="00AF3214">
        <w:rPr>
          <w:rFonts w:ascii="Narkisim" w:hAnsi="Narkisim"/>
        </w:rPr>
        <w:t>.</w:t>
      </w:r>
    </w:p>
    <w:p w14:paraId="79D3812A"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(פח: משו"ת חדשות פב) כת' די"ל [אף לדברי שאר ראשונים] דהשני מותר בקרובותיה</w:t>
      </w:r>
      <w:r w:rsidRPr="00AF3214">
        <w:rPr>
          <w:rStyle w:val="ac"/>
          <w:rFonts w:ascii="Narkisim" w:hAnsi="Narkisim"/>
          <w:rtl/>
        </w:rPr>
        <w:footnoteReference w:id="5547"/>
      </w:r>
      <w:r w:rsidRPr="00AF3214">
        <w:rPr>
          <w:rFonts w:ascii="Narkisim" w:hAnsi="Narkisim"/>
        </w:rPr>
        <w:t xml:space="preserve"> </w:t>
      </w:r>
      <w:r w:rsidRPr="00AF3214">
        <w:rPr>
          <w:rFonts w:ascii="Narkisim" w:hAnsi="Narkisim"/>
          <w:rtl/>
        </w:rPr>
        <w:t>[קודם שנתן גט</w:t>
      </w:r>
      <w:r w:rsidRPr="00AF3214">
        <w:rPr>
          <w:rStyle w:val="ac"/>
          <w:rFonts w:ascii="Narkisim" w:hAnsi="Narkisim"/>
          <w:rtl/>
        </w:rPr>
        <w:footnoteReference w:id="5548"/>
      </w:r>
      <w:r w:rsidRPr="00AF3214">
        <w:rPr>
          <w:rFonts w:ascii="Narkisim" w:hAnsi="Narkisim"/>
          <w:rtl/>
        </w:rPr>
        <w:t>], דלא קנסו לדידיה. ודוקא לדידה קנסו לחוש שיאמרו גירש זה ונשא</w:t>
      </w:r>
      <w:r w:rsidRPr="00AF3214">
        <w:rPr>
          <w:rStyle w:val="ac"/>
          <w:rFonts w:ascii="Narkisim" w:hAnsi="Narkisim"/>
          <w:rtl/>
        </w:rPr>
        <w:footnoteReference w:id="5549"/>
      </w:r>
      <w:r w:rsidRPr="00AF3214">
        <w:rPr>
          <w:rFonts w:ascii="Narkisim" w:hAnsi="Narkisim"/>
        </w:rPr>
        <w:t>.</w:t>
      </w:r>
    </w:p>
    <w:p w14:paraId="420F3280"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ריא"ז</w:t>
      </w:r>
      <w:r w:rsidRPr="00AF3214">
        <w:rPr>
          <w:rFonts w:ascii="Narkisim" w:hAnsi="Narkisim"/>
          <w:rtl/>
        </w:rPr>
        <w:t xml:space="preserve"> (בשלט"ג) כת' דצריכה להמתין ג' חדשים מגירושיה לינשא לאחר [משמע אף מהגט של השני, והחמירו לענין הבחנה</w:t>
      </w:r>
      <w:r w:rsidRPr="00AF3214">
        <w:rPr>
          <w:rStyle w:val="ac"/>
          <w:rFonts w:ascii="Narkisim" w:hAnsi="Narkisim"/>
          <w:rtl/>
        </w:rPr>
        <w:footnoteReference w:id="5550"/>
      </w:r>
      <w:r w:rsidRPr="00AF3214">
        <w:rPr>
          <w:rFonts w:ascii="Narkisim" w:hAnsi="Narkisim"/>
          <w:rtl/>
        </w:rPr>
        <w:t>]</w:t>
      </w:r>
      <w:r w:rsidRPr="00AF3214">
        <w:rPr>
          <w:rFonts w:ascii="Narkisim" w:hAnsi="Narkisim"/>
        </w:rPr>
        <w:t>.</w:t>
      </w:r>
    </w:p>
    <w:p w14:paraId="5C113748" w14:textId="77777777" w:rsidR="006C4368" w:rsidRPr="00AF3214" w:rsidRDefault="006C4368" w:rsidP="006C4368">
      <w:pPr>
        <w:pStyle w:val="aa"/>
        <w:bidi/>
        <w:rPr>
          <w:rFonts w:ascii="Narkisim" w:hAnsi="Narkisim"/>
        </w:rPr>
      </w:pPr>
      <w:r w:rsidRPr="00AF3214">
        <w:rPr>
          <w:rFonts w:ascii="Narkisim" w:hAnsi="Narkisim"/>
          <w:rtl/>
        </w:rPr>
        <w:t xml:space="preserve">ועוד דן </w:t>
      </w:r>
      <w:r w:rsidRPr="00AF3214">
        <w:rPr>
          <w:rFonts w:ascii="Narkisim" w:hAnsi="Narkisim"/>
          <w:b/>
          <w:bCs/>
          <w:rtl/>
        </w:rPr>
        <w:t>רע"א</w:t>
      </w:r>
      <w:r w:rsidRPr="00AF3214">
        <w:rPr>
          <w:rFonts w:ascii="Narkisim" w:hAnsi="Narkisim"/>
          <w:rtl/>
        </w:rPr>
        <w:t xml:space="preserve"> (שם) האם כופין את השני לגרש</w:t>
      </w:r>
      <w:r w:rsidRPr="00AF3214">
        <w:rPr>
          <w:rStyle w:val="ac"/>
          <w:rFonts w:ascii="Narkisim" w:hAnsi="Narkisim"/>
          <w:rtl/>
        </w:rPr>
        <w:footnoteReference w:id="5551"/>
      </w:r>
      <w:r w:rsidRPr="00AF3214">
        <w:rPr>
          <w:rFonts w:ascii="Narkisim" w:hAnsi="Narkisim"/>
        </w:rPr>
        <w:t xml:space="preserve">, </w:t>
      </w:r>
      <w:r w:rsidRPr="00AF3214">
        <w:rPr>
          <w:rFonts w:ascii="Narkisim" w:hAnsi="Narkisim"/>
          <w:rtl/>
        </w:rPr>
        <w:t>או דילמא אמרי' דהיא פשעה בעצמה</w:t>
      </w:r>
      <w:r w:rsidRPr="00AF3214">
        <w:rPr>
          <w:rStyle w:val="ac"/>
          <w:rFonts w:ascii="Narkisim" w:hAnsi="Narkisim"/>
          <w:rtl/>
        </w:rPr>
        <w:footnoteReference w:id="5552"/>
      </w:r>
      <w:r w:rsidRPr="00AF3214">
        <w:rPr>
          <w:rFonts w:ascii="Narkisim" w:hAnsi="Narkisim"/>
        </w:rPr>
        <w:t>.</w:t>
      </w:r>
    </w:p>
    <w:p w14:paraId="1B82BCBF" w14:textId="77777777" w:rsidR="006C4368" w:rsidRPr="00AF3214" w:rsidRDefault="006C4368" w:rsidP="006C4368">
      <w:pPr>
        <w:pStyle w:val="aa"/>
        <w:bidi/>
        <w:rPr>
          <w:rFonts w:ascii="Narkisim" w:hAnsi="Narkisim"/>
        </w:rPr>
      </w:pPr>
      <w:r w:rsidRPr="00AF3214">
        <w:rPr>
          <w:rFonts w:ascii="Narkisim" w:hAnsi="Narkisim"/>
          <w:u w:val="single"/>
          <w:rtl/>
        </w:rPr>
        <w:t>תוד"ה מאי</w:t>
      </w:r>
      <w:r w:rsidRPr="00AF3214">
        <w:rPr>
          <w:rFonts w:ascii="Narkisim" w:hAnsi="Narkisim"/>
          <w:rtl/>
        </w:rPr>
        <w:t>. אע"ג דקי"ל דכתובה דאורייתא, שכותבין וכו' דחזו ליכי מדאורייתא</w:t>
      </w:r>
      <w:r w:rsidRPr="00AF3214">
        <w:rPr>
          <w:rStyle w:val="ac"/>
          <w:rFonts w:ascii="Narkisim" w:hAnsi="Narkisim"/>
          <w:rtl/>
        </w:rPr>
        <w:footnoteReference w:id="5553"/>
      </w:r>
      <w:r w:rsidRPr="00AF3214">
        <w:rPr>
          <w:rFonts w:ascii="Narkisim" w:hAnsi="Narkisim"/>
        </w:rPr>
        <w:t xml:space="preserve"> </w:t>
      </w:r>
      <w:r w:rsidRPr="00AF3214">
        <w:rPr>
          <w:rFonts w:ascii="Narkisim" w:hAnsi="Narkisim"/>
          <w:rtl/>
        </w:rPr>
        <w:t>וכו'. [וכן דייק תוס' כתובות י.</w:t>
      </w:r>
      <w:r w:rsidRPr="00AF3214">
        <w:rPr>
          <w:rStyle w:val="ac"/>
          <w:rFonts w:ascii="Narkisim" w:hAnsi="Narkisim"/>
          <w:rtl/>
        </w:rPr>
        <w:footnoteReference w:id="5554"/>
      </w:r>
      <w:r w:rsidRPr="00AF3214">
        <w:rPr>
          <w:rFonts w:ascii="Narkisim" w:hAnsi="Narkisim"/>
          <w:rtl/>
        </w:rPr>
        <w:t>]. וה</w:t>
      </w:r>
      <w:r w:rsidRPr="00AF3214">
        <w:rPr>
          <w:rFonts w:ascii="Narkisim" w:hAnsi="Narkisim"/>
          <w:b/>
          <w:bCs/>
          <w:rtl/>
        </w:rPr>
        <w:t>רא"ש</w:t>
      </w:r>
      <w:r w:rsidRPr="00AF3214">
        <w:rPr>
          <w:rFonts w:ascii="Narkisim" w:hAnsi="Narkisim"/>
          <w:rtl/>
        </w:rPr>
        <w:t xml:space="preserve"> (כתובות א יט) דחה דקי"ל דכתובה דרבנן, ופי' הלשון דהוה מעות דאורייתא [של צורי, ולא מעות מדינה</w:t>
      </w:r>
      <w:r w:rsidRPr="00AF3214">
        <w:rPr>
          <w:rStyle w:val="ac"/>
          <w:rFonts w:ascii="Narkisim" w:hAnsi="Narkisim"/>
          <w:rtl/>
        </w:rPr>
        <w:footnoteReference w:id="5555"/>
      </w:r>
      <w:r w:rsidRPr="00AF3214">
        <w:rPr>
          <w:rFonts w:ascii="Narkisim" w:hAnsi="Narkisim"/>
          <w:rtl/>
        </w:rPr>
        <w:t>]. דחכמים תקנו כתובה ע"פ השקלים האמורים בתורה</w:t>
      </w:r>
      <w:r w:rsidRPr="00AF3214">
        <w:rPr>
          <w:rStyle w:val="ac"/>
          <w:rFonts w:ascii="Narkisim" w:hAnsi="Narkisim"/>
          <w:rtl/>
        </w:rPr>
        <w:footnoteReference w:id="5556"/>
      </w:r>
      <w:r w:rsidRPr="00AF3214">
        <w:rPr>
          <w:rFonts w:ascii="Narkisim" w:hAnsi="Narkisim"/>
        </w:rPr>
        <w:t>.</w:t>
      </w:r>
    </w:p>
    <w:p w14:paraId="018F9AF8" w14:textId="77777777" w:rsidR="006C4368" w:rsidRPr="00AF3214" w:rsidRDefault="006C4368" w:rsidP="006C4368">
      <w:pPr>
        <w:pStyle w:val="aa"/>
        <w:bidi/>
        <w:rPr>
          <w:rFonts w:ascii="Narkisim" w:hAnsi="Narkisim"/>
        </w:rPr>
      </w:pPr>
      <w:r w:rsidRPr="00AF3214">
        <w:rPr>
          <w:rFonts w:ascii="Narkisim" w:hAnsi="Narkisim"/>
          <w:u w:val="single"/>
          <w:rtl/>
        </w:rPr>
        <w:t>[במשנה] נטלה מזה ומזה</w:t>
      </w:r>
      <w:r w:rsidRPr="00AF3214">
        <w:rPr>
          <w:rFonts w:ascii="Narkisim" w:hAnsi="Narkisim"/>
          <w:rtl/>
        </w:rPr>
        <w:t>. ב</w:t>
      </w:r>
      <w:r w:rsidRPr="00AF3214">
        <w:rPr>
          <w:rFonts w:ascii="Narkisim" w:hAnsi="Narkisim"/>
          <w:b/>
          <w:bCs/>
          <w:rtl/>
        </w:rPr>
        <w:t>ירושלמי</w:t>
      </w:r>
      <w:r w:rsidRPr="00AF3214">
        <w:rPr>
          <w:rFonts w:ascii="Narkisim" w:hAnsi="Narkisim"/>
          <w:rtl/>
        </w:rPr>
        <w:t xml:space="preserve"> (הו' ברא"ש) אי' דכל זה כשנטלה לאחר שבא הראשון, אבל אם נטלה</w:t>
      </w:r>
      <w:r w:rsidRPr="00AF3214">
        <w:rPr>
          <w:rStyle w:val="ac"/>
          <w:rFonts w:ascii="Narkisim" w:hAnsi="Narkisim"/>
          <w:rtl/>
        </w:rPr>
        <w:footnoteReference w:id="5557"/>
      </w:r>
      <w:r w:rsidRPr="00AF3214">
        <w:rPr>
          <w:rFonts w:ascii="Narkisim" w:hAnsi="Narkisim"/>
        </w:rPr>
        <w:t xml:space="preserve"> </w:t>
      </w:r>
      <w:r w:rsidRPr="00AF3214">
        <w:rPr>
          <w:rFonts w:ascii="Narkisim" w:hAnsi="Narkisim"/>
          <w:rtl/>
        </w:rPr>
        <w:t>[כתובה</w:t>
      </w:r>
      <w:r w:rsidRPr="00AF3214">
        <w:rPr>
          <w:rStyle w:val="ac"/>
          <w:rFonts w:ascii="Narkisim" w:hAnsi="Narkisim"/>
          <w:rtl/>
        </w:rPr>
        <w:footnoteReference w:id="5558"/>
      </w:r>
      <w:r w:rsidRPr="00AF3214">
        <w:rPr>
          <w:rFonts w:ascii="Narkisim" w:hAnsi="Narkisim"/>
        </w:rPr>
        <w:t xml:space="preserve"> </w:t>
      </w:r>
      <w:r w:rsidRPr="00AF3214">
        <w:rPr>
          <w:rFonts w:ascii="Narkisim" w:hAnsi="Narkisim"/>
          <w:rtl/>
        </w:rPr>
        <w:t>או מזונות] עד שלא בא הראשון אין מוציאין מידה. כמו שאינה מוציאה ממנו, כך לא מפיק מינה</w:t>
      </w:r>
      <w:r w:rsidRPr="00AF3214">
        <w:rPr>
          <w:rFonts w:ascii="Narkisim" w:hAnsi="Narkisim"/>
        </w:rPr>
        <w:t>.</w:t>
      </w:r>
    </w:p>
    <w:p w14:paraId="7D38DCAE" w14:textId="77777777" w:rsidR="006C4368" w:rsidRPr="00AF3214" w:rsidRDefault="006C4368" w:rsidP="006C4368">
      <w:pPr>
        <w:pStyle w:val="aa"/>
        <w:bidi/>
        <w:rPr>
          <w:rFonts w:ascii="Narkisim" w:hAnsi="Narkisim"/>
        </w:rPr>
      </w:pPr>
      <w:r w:rsidRPr="00AF3214">
        <w:rPr>
          <w:rFonts w:ascii="Narkisim" w:hAnsi="Narkisim"/>
          <w:u w:val="single"/>
          <w:rtl/>
        </w:rPr>
        <w:t>מהד"ת כיון דתפשה לא מפקינן מינה וכו'</w:t>
      </w:r>
      <w:r w:rsidRPr="00AF3214">
        <w:rPr>
          <w:rFonts w:ascii="Narkisim" w:hAnsi="Narkisim"/>
          <w:rtl/>
        </w:rPr>
        <w:t>. [ע' ערול"נ]. וצ"ב דכיון דאין לה זכות כתובה מה ס"ד דמהני תפיסה. וצ"ל דס"ד דקנסו שלא תגבה [ולא הפקיעו את חיוב הכתובה]</w:t>
      </w:r>
      <w:r w:rsidRPr="00AF3214">
        <w:rPr>
          <w:rStyle w:val="ac"/>
          <w:rFonts w:ascii="Narkisim" w:hAnsi="Narkisim"/>
          <w:rtl/>
        </w:rPr>
        <w:footnoteReference w:id="5559"/>
      </w:r>
      <w:r w:rsidRPr="00AF3214">
        <w:rPr>
          <w:rFonts w:ascii="Narkisim" w:hAnsi="Narkisim"/>
        </w:rPr>
        <w:t>.</w:t>
      </w:r>
    </w:p>
    <w:p w14:paraId="0976EF15" w14:textId="77777777" w:rsidR="006C4368" w:rsidRPr="00AF3214" w:rsidRDefault="006C4368" w:rsidP="006C4368">
      <w:pPr>
        <w:pStyle w:val="Standard"/>
        <w:bidi/>
        <w:ind w:firstLine="567"/>
        <w:rPr>
          <w:rFonts w:ascii="Narkisim" w:hAnsi="Narkisim"/>
        </w:rPr>
      </w:pPr>
    </w:p>
    <w:p w14:paraId="32BEBEFD" w14:textId="77777777" w:rsidR="006C4368" w:rsidRPr="00AF3214" w:rsidRDefault="006C4368" w:rsidP="006C4368">
      <w:pPr>
        <w:pStyle w:val="2"/>
        <w:bidi/>
        <w:rPr>
          <w:rFonts w:ascii="Narkisim" w:hAnsi="Narkisim"/>
        </w:rPr>
      </w:pPr>
      <w:r w:rsidRPr="00AF3214">
        <w:rPr>
          <w:rFonts w:ascii="Narkisim" w:hAnsi="Narkisim"/>
          <w:rtl/>
        </w:rPr>
        <w:t>אין תורמין מהטמא על הטהור</w:t>
      </w:r>
    </w:p>
    <w:p w14:paraId="5AB1B8E4" w14:textId="77777777" w:rsidR="006C4368" w:rsidRPr="00AF3214" w:rsidRDefault="006C4368" w:rsidP="006C4368">
      <w:pPr>
        <w:pStyle w:val="aa"/>
        <w:bidi/>
        <w:rPr>
          <w:rFonts w:ascii="Narkisim" w:hAnsi="Narkisim"/>
        </w:rPr>
      </w:pPr>
      <w:r w:rsidRPr="00AF3214">
        <w:rPr>
          <w:rFonts w:ascii="Narkisim" w:hAnsi="Narkisim"/>
          <w:u w:val="single"/>
          <w:rtl/>
        </w:rPr>
        <w:t>אין תורמין מן הטמא וכו' בשוגג תרומתו תרומה</w:t>
      </w:r>
      <w:r w:rsidRPr="00AF3214">
        <w:rPr>
          <w:rFonts w:ascii="Narkisim" w:hAnsi="Narkisim"/>
          <w:rtl/>
        </w:rPr>
        <w:t>. פ</w:t>
      </w:r>
      <w:r w:rsidRPr="00AF3214">
        <w:rPr>
          <w:rFonts w:ascii="Narkisim" w:hAnsi="Narkisim"/>
          <w:b/>
          <w:bCs/>
          <w:rtl/>
        </w:rPr>
        <w:t>רש"י</w:t>
      </w:r>
      <w:r w:rsidRPr="00AF3214">
        <w:rPr>
          <w:rFonts w:ascii="Narkisim" w:hAnsi="Narkisim"/>
          <w:rtl/>
        </w:rPr>
        <w:t xml:space="preserve"> משום הפסד תרומה, ובדיעבד מהני כדר' אלעאי (הובא בע"ב) דמהני מהרע על היפה. ואף טמא על הטהור הוה מהרע על היפה</w:t>
      </w:r>
      <w:r w:rsidRPr="00AF3214">
        <w:rPr>
          <w:rFonts w:ascii="Narkisim" w:hAnsi="Narkisim"/>
        </w:rPr>
        <w:t>.</w:t>
      </w:r>
    </w:p>
    <w:p w14:paraId="6F0ED985" w14:textId="77777777" w:rsidR="006C4368" w:rsidRPr="00AF3214" w:rsidRDefault="006C4368" w:rsidP="006C4368">
      <w:pPr>
        <w:pStyle w:val="a8"/>
        <w:bidi/>
        <w:rPr>
          <w:rFonts w:ascii="Narkisim" w:hAnsi="Narkisim"/>
        </w:rPr>
      </w:pPr>
      <w:r w:rsidRPr="00AF3214">
        <w:rPr>
          <w:rFonts w:ascii="Narkisim" w:hAnsi="Narkisim"/>
          <w:rtl/>
        </w:rPr>
        <w:lastRenderedPageBreak/>
        <w:t>ו</w:t>
      </w:r>
      <w:r w:rsidRPr="00AF3214">
        <w:rPr>
          <w:rFonts w:ascii="Narkisim" w:hAnsi="Narkisim"/>
          <w:b/>
          <w:bCs/>
          <w:rtl/>
        </w:rPr>
        <w:t>ר"י</w:t>
      </w:r>
      <w:r w:rsidRPr="00AF3214">
        <w:rPr>
          <w:rFonts w:ascii="Narkisim" w:hAnsi="Narkisim"/>
          <w:rtl/>
        </w:rPr>
        <w:t xml:space="preserve"> (בתוד"ה אין) כת' דלכתחילה לא יפריש טמא על הטהור מ'כל חלבו' דהוה רע על היפה. אבל </w:t>
      </w:r>
      <w:r w:rsidRPr="00AF3214">
        <w:rPr>
          <w:rFonts w:ascii="Narkisim" w:hAnsi="Narkisim"/>
          <w:b/>
          <w:bCs/>
          <w:rtl/>
        </w:rPr>
        <w:t>רש"י</w:t>
      </w:r>
      <w:r w:rsidRPr="00AF3214">
        <w:rPr>
          <w:rFonts w:ascii="Narkisim" w:hAnsi="Narkisim"/>
          <w:rtl/>
        </w:rPr>
        <w:t xml:space="preserve"> [וריב"ן] נקטו דטמא לא נתמעט מ'כל חלבו'. אלא דילפי' דמהני בדיעבד. [דלא גרע מרע על היפה]</w:t>
      </w:r>
      <w:r w:rsidRPr="00AF3214">
        <w:rPr>
          <w:rFonts w:ascii="Narkisim" w:hAnsi="Narkisim"/>
        </w:rPr>
        <w:t>.</w:t>
      </w:r>
    </w:p>
    <w:p w14:paraId="27BBA33A" w14:textId="77777777" w:rsidR="006C4368" w:rsidRPr="00AF3214" w:rsidRDefault="006C4368" w:rsidP="006C4368">
      <w:pPr>
        <w:pStyle w:val="aa"/>
        <w:bidi/>
        <w:rPr>
          <w:rFonts w:ascii="Narkisim" w:hAnsi="Narkisim"/>
        </w:rPr>
      </w:pPr>
      <w:r w:rsidRPr="00AF3214">
        <w:rPr>
          <w:rFonts w:ascii="Narkisim" w:hAnsi="Narkisim"/>
          <w:rtl/>
        </w:rPr>
        <w:t>ה</w:t>
      </w:r>
      <w:r w:rsidRPr="00AF3214">
        <w:rPr>
          <w:rFonts w:ascii="Narkisim" w:hAnsi="Narkisim"/>
          <w:b/>
          <w:bCs/>
          <w:rtl/>
        </w:rPr>
        <w:t>שו"ע</w:t>
      </w:r>
      <w:r w:rsidRPr="00AF3214">
        <w:rPr>
          <w:rFonts w:ascii="Narkisim" w:hAnsi="Narkisim"/>
          <w:rtl/>
        </w:rPr>
        <w:t xml:space="preserve"> (יו"ד שלא נב) פסק [בשם י"א] דבזה"ז מותר להפריש מן הרע על היפה. וה</w:t>
      </w:r>
      <w:r w:rsidRPr="00AF3214">
        <w:rPr>
          <w:rFonts w:ascii="Narkisim" w:hAnsi="Narkisim"/>
          <w:b/>
          <w:bCs/>
          <w:rtl/>
        </w:rPr>
        <w:t>גר"א</w:t>
      </w:r>
      <w:r w:rsidRPr="00AF3214">
        <w:rPr>
          <w:rFonts w:ascii="Narkisim" w:hAnsi="Narkisim"/>
          <w:rtl/>
        </w:rPr>
        <w:t xml:space="preserve"> (שם צה) ציין לדברי ר"י בתוס' דהטמא הוה רע, א"כ כל מה שמפריש הוה רע</w:t>
      </w:r>
      <w:r w:rsidRPr="00AF3214">
        <w:rPr>
          <w:rFonts w:ascii="Narkisim" w:hAnsi="Narkisim"/>
        </w:rPr>
        <w:t>.</w:t>
      </w:r>
    </w:p>
    <w:p w14:paraId="6471AEBA" w14:textId="77777777" w:rsidR="006C4368" w:rsidRPr="00AF3214" w:rsidRDefault="006C4368" w:rsidP="006C4368">
      <w:pPr>
        <w:pStyle w:val="aa"/>
        <w:bidi/>
        <w:rPr>
          <w:rFonts w:ascii="Narkisim" w:hAnsi="Narkisim"/>
        </w:rPr>
      </w:pPr>
      <w:r w:rsidRPr="00AF3214">
        <w:rPr>
          <w:rFonts w:ascii="Narkisim" w:hAnsi="Narkisim"/>
          <w:u w:val="single"/>
          <w:rtl/>
        </w:rPr>
        <w:t>שם. בשוגג</w:t>
      </w:r>
      <w:r w:rsidRPr="00AF3214">
        <w:rPr>
          <w:rFonts w:ascii="Narkisim" w:hAnsi="Narkisim"/>
          <w:rtl/>
        </w:rPr>
        <w:t>. ה</w:t>
      </w:r>
      <w:r w:rsidRPr="00AF3214">
        <w:rPr>
          <w:rFonts w:ascii="Narkisim" w:hAnsi="Narkisim"/>
          <w:b/>
          <w:bCs/>
          <w:rtl/>
        </w:rPr>
        <w:t>ירושלמי</w:t>
      </w:r>
      <w:r w:rsidRPr="00AF3214">
        <w:rPr>
          <w:rFonts w:ascii="Narkisim" w:hAnsi="Narkisim"/>
          <w:rtl/>
        </w:rPr>
        <w:t xml:space="preserve"> (תרומות ב ב) מק' דבשוגג נימא דהוה מקח טעות. ותי' דא"כ מכניסו לאכילת טבל דחמור טפי [ואנן סהדי דדעתו שיחול באופן בדיעבד, ולא יתבטל הפרשת התרומה]</w:t>
      </w:r>
      <w:r w:rsidRPr="00AF3214">
        <w:rPr>
          <w:rFonts w:ascii="Narkisim" w:hAnsi="Narkisim"/>
        </w:rPr>
        <w:t>.</w:t>
      </w:r>
    </w:p>
    <w:p w14:paraId="7848FA6C" w14:textId="77777777" w:rsidR="006C4368" w:rsidRPr="00AF3214" w:rsidRDefault="006C4368" w:rsidP="006C4368">
      <w:pPr>
        <w:bidi/>
        <w:rPr>
          <w:rFonts w:ascii="Narkisim" w:hAnsi="Narkisim" w:cs="Narkisim"/>
        </w:rPr>
      </w:pPr>
      <w:r w:rsidRPr="00AF3214">
        <w:rPr>
          <w:rFonts w:ascii="Narkisim" w:hAnsi="Narkisim" w:cs="Narkisim"/>
          <w:u w:val="single"/>
          <w:rtl/>
        </w:rPr>
        <w:t>תוד"ה אין</w:t>
      </w:r>
      <w:r w:rsidRPr="00AF3214">
        <w:rPr>
          <w:rFonts w:ascii="Narkisim" w:hAnsi="Narkisim" w:cs="Narkisim"/>
          <w:rtl/>
        </w:rPr>
        <w:t>. ריב"ן</w:t>
      </w:r>
      <w:r w:rsidRPr="00AF3214">
        <w:rPr>
          <w:rStyle w:val="ac"/>
          <w:rFonts w:ascii="Narkisim" w:hAnsi="Narkisim" w:cs="Narkisim"/>
          <w:rtl/>
        </w:rPr>
        <w:footnoteReference w:id="5560"/>
      </w:r>
      <w:r w:rsidRPr="00AF3214">
        <w:rPr>
          <w:rFonts w:ascii="Narkisim" w:hAnsi="Narkisim" w:cs="Narkisim"/>
        </w:rPr>
        <w:t xml:space="preserve"> </w:t>
      </w:r>
      <w:r w:rsidRPr="00AF3214">
        <w:rPr>
          <w:rFonts w:ascii="Narkisim" w:hAnsi="Narkisim" w:cs="Narkisim"/>
          <w:rtl/>
        </w:rPr>
        <w:t>פי' משום דכתיב תתן לו ולא לאורו, ואי אפשר לומר כן, דבפ' כל שעה (פסחים לג.)</w:t>
      </w:r>
      <w:r w:rsidRPr="00AF3214">
        <w:rPr>
          <w:rStyle w:val="ac"/>
          <w:rFonts w:ascii="Narkisim" w:hAnsi="Narkisim" w:cs="Narkisim"/>
          <w:rtl/>
        </w:rPr>
        <w:footnoteReference w:id="5561"/>
      </w:r>
      <w:r w:rsidRPr="00AF3214">
        <w:rPr>
          <w:rFonts w:ascii="Narkisim" w:hAnsi="Narkisim" w:cs="Narkisim"/>
        </w:rPr>
        <w:t xml:space="preserve"> </w:t>
      </w:r>
      <w:r w:rsidRPr="00AF3214">
        <w:rPr>
          <w:rFonts w:ascii="Narkisim" w:hAnsi="Narkisim" w:cs="Narkisim"/>
          <w:rtl/>
        </w:rPr>
        <w:t>וכו' שעת הכושר</w:t>
      </w:r>
      <w:r w:rsidRPr="00AF3214">
        <w:rPr>
          <w:rStyle w:val="ac"/>
          <w:rFonts w:ascii="Narkisim" w:hAnsi="Narkisim" w:cs="Narkisim"/>
          <w:rtl/>
        </w:rPr>
        <w:footnoteReference w:id="5562"/>
      </w:r>
      <w:r w:rsidRPr="00AF3214">
        <w:rPr>
          <w:rFonts w:ascii="Narkisim" w:hAnsi="Narkisim" w:cs="Narkisim"/>
        </w:rPr>
        <w:t xml:space="preserve"> </w:t>
      </w:r>
      <w:r w:rsidRPr="00AF3214">
        <w:rPr>
          <w:rFonts w:ascii="Narkisim" w:hAnsi="Narkisim" w:cs="Narkisim"/>
          <w:rtl/>
        </w:rPr>
        <w:t>וכו'. ועוד יש שהק' דא"כ נימא דאסור אף להפריש מהטמא על הטמא</w:t>
      </w:r>
      <w:r w:rsidRPr="00AF3214">
        <w:rPr>
          <w:rFonts w:ascii="Narkisim" w:hAnsi="Narkisim" w:cs="Narkisim"/>
        </w:rPr>
        <w:t>.</w:t>
      </w:r>
    </w:p>
    <w:p w14:paraId="22BBEDCF" w14:textId="77777777" w:rsidR="006C4368" w:rsidRPr="00AF3214" w:rsidRDefault="006C4368" w:rsidP="006C4368">
      <w:pPr>
        <w:pStyle w:val="a7"/>
        <w:bidi/>
        <w:rPr>
          <w:rFonts w:ascii="Narkisim" w:hAnsi="Narkisim"/>
        </w:rPr>
      </w:pPr>
      <w:r w:rsidRPr="00AF3214">
        <w:rPr>
          <w:rFonts w:ascii="Narkisim" w:hAnsi="Narkisim"/>
          <w:rtl/>
        </w:rPr>
        <w:t>ולדעת ריב"ן דרשי' ב' דינים 'ולא לאורו', דהיכא דלא היה שעת הכושר נתמעט לגמרי. והיכא דלא היתה שעת הכושר לענין לכתחילה. וצ"ב האיך ילפי' תרוייהו</w:t>
      </w:r>
      <w:r w:rsidRPr="00AF3214">
        <w:rPr>
          <w:rFonts w:ascii="Narkisim" w:hAnsi="Narkisim"/>
        </w:rPr>
        <w:t>.</w:t>
      </w:r>
    </w:p>
    <w:p w14:paraId="1E9ED952" w14:textId="77777777" w:rsidR="006C4368" w:rsidRPr="00AF3214" w:rsidRDefault="006C4368" w:rsidP="006C4368">
      <w:pPr>
        <w:pStyle w:val="a8"/>
        <w:bidi/>
        <w:rPr>
          <w:rFonts w:ascii="Narkisim" w:hAnsi="Narkisim"/>
        </w:rPr>
      </w:pPr>
      <w:r w:rsidRPr="00AF3214">
        <w:rPr>
          <w:rFonts w:ascii="Narkisim" w:hAnsi="Narkisim"/>
          <w:rtl/>
        </w:rPr>
        <w:t>ויש שפי' דדעת ריב"ן דדין 'ולא לאורו' הוה אף כשהיה לו שעת הכושר. ומש"ה אינו ראוי לתרומה, וממילא לא חל עליו 'שם טבל'. אך דהיכא דיש שעת הכושר, וכבר חל עליו 'שם טבל' ולא פקע איסור טבל, וע"כ חל תורת הפרשה בדיעבד</w:t>
      </w:r>
      <w:r w:rsidRPr="00AF3214">
        <w:rPr>
          <w:rFonts w:ascii="Narkisim" w:hAnsi="Narkisim"/>
        </w:rPr>
        <w:t>.</w:t>
      </w:r>
    </w:p>
    <w:p w14:paraId="4F03DE54"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קובה"ע</w:t>
      </w:r>
      <w:r w:rsidRPr="00AF3214">
        <w:rPr>
          <w:rFonts w:ascii="Narkisim" w:hAnsi="Narkisim" w:cs="Narkisim"/>
          <w:rtl/>
        </w:rPr>
        <w:t xml:space="preserve"> (סג ו פסחים קנג) דן דנימא דאסור להפריש פירות טמאים לתרומה, דעי"ז גורם שיהא תרומה טמאה. ונימא דיחשב כמטמא תרומה</w:t>
      </w:r>
      <w:r w:rsidRPr="00AF3214">
        <w:rPr>
          <w:rStyle w:val="ac"/>
          <w:rFonts w:ascii="Narkisim" w:hAnsi="Narkisim" w:cs="Narkisim"/>
          <w:rtl/>
        </w:rPr>
        <w:footnoteReference w:id="5563"/>
      </w:r>
      <w:r w:rsidRPr="00AF3214">
        <w:rPr>
          <w:rFonts w:ascii="Narkisim" w:hAnsi="Narkisim" w:cs="Narkisim"/>
        </w:rPr>
        <w:t xml:space="preserve">. </w:t>
      </w:r>
      <w:r w:rsidRPr="00AF3214">
        <w:rPr>
          <w:rFonts w:ascii="Narkisim" w:hAnsi="Narkisim" w:cs="Narkisim"/>
          <w:rtl/>
        </w:rPr>
        <w:t>ובהג' (מבנו הגר"נ) תי' דאיסור לטמאות תרומה הוה משום הפסד</w:t>
      </w:r>
      <w:r w:rsidRPr="00AF3214">
        <w:rPr>
          <w:rFonts w:ascii="Narkisim" w:hAnsi="Narkisim" w:cs="Narkisim"/>
        </w:rPr>
        <w:t>.</w:t>
      </w:r>
    </w:p>
    <w:p w14:paraId="6275178D"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וה</w:t>
      </w:r>
      <w:r w:rsidRPr="00AF3214">
        <w:rPr>
          <w:rFonts w:ascii="Narkisim" w:hAnsi="Narkisim"/>
          <w:b/>
          <w:bCs/>
          <w:rtl/>
        </w:rPr>
        <w:t>אחיעזר</w:t>
      </w:r>
      <w:r w:rsidRPr="00AF3214">
        <w:rPr>
          <w:rFonts w:ascii="Narkisim" w:hAnsi="Narkisim"/>
          <w:rtl/>
        </w:rPr>
        <w:t xml:space="preserve"> (ב לח ז בסוגריים) כת' דבהפרשת מעשרות מפריש מהטמא על הטהור, דמעשר טמא מותר באכילה</w:t>
      </w:r>
      <w:r w:rsidRPr="00AF3214">
        <w:rPr>
          <w:rStyle w:val="ac"/>
          <w:rFonts w:ascii="Narkisim" w:hAnsi="Narkisim"/>
          <w:rtl/>
        </w:rPr>
        <w:footnoteReference w:id="5564"/>
      </w:r>
      <w:r w:rsidRPr="00AF3214">
        <w:rPr>
          <w:rFonts w:ascii="Narkisim" w:hAnsi="Narkisim"/>
        </w:rPr>
        <w:t xml:space="preserve">. </w:t>
      </w:r>
      <w:r w:rsidRPr="00AF3214">
        <w:rPr>
          <w:rFonts w:ascii="Narkisim" w:hAnsi="Narkisim"/>
          <w:rtl/>
        </w:rPr>
        <w:t>וליכא בזה משום הפסד</w:t>
      </w:r>
      <w:r w:rsidRPr="00AF3214">
        <w:rPr>
          <w:rStyle w:val="ac"/>
          <w:rFonts w:ascii="Narkisim" w:hAnsi="Narkisim"/>
          <w:rtl/>
        </w:rPr>
        <w:footnoteReference w:id="5565"/>
      </w:r>
      <w:r w:rsidRPr="00AF3214">
        <w:rPr>
          <w:rFonts w:ascii="Narkisim" w:hAnsi="Narkisim"/>
        </w:rPr>
        <w:t xml:space="preserve">. </w:t>
      </w:r>
      <w:r w:rsidRPr="00AF3214">
        <w:rPr>
          <w:rFonts w:ascii="Narkisim" w:hAnsi="Narkisim"/>
          <w:rtl/>
        </w:rPr>
        <w:t>אבל ה</w:t>
      </w:r>
      <w:r w:rsidRPr="00AF3214">
        <w:rPr>
          <w:rFonts w:ascii="Narkisim" w:hAnsi="Narkisim"/>
          <w:b/>
          <w:bCs/>
          <w:rtl/>
        </w:rPr>
        <w:t>דרך אמונה</w:t>
      </w:r>
      <w:r w:rsidRPr="00AF3214">
        <w:rPr>
          <w:rFonts w:ascii="Narkisim" w:hAnsi="Narkisim"/>
          <w:rtl/>
        </w:rPr>
        <w:t xml:space="preserve"> (תרומות ה פז וצה"ה קעב) נקט דאין מפרישין מעשרות מהטמא על הטהור, דהוה מהרע על היפה</w:t>
      </w:r>
      <w:r w:rsidRPr="00AF3214">
        <w:rPr>
          <w:rFonts w:ascii="Narkisim" w:hAnsi="Narkisim"/>
        </w:rPr>
        <w:t>.</w:t>
      </w:r>
    </w:p>
    <w:p w14:paraId="411570A9" w14:textId="77777777" w:rsidR="006C4368" w:rsidRPr="00AF3214" w:rsidRDefault="006C4368" w:rsidP="006C4368">
      <w:pPr>
        <w:pStyle w:val="aa"/>
        <w:bidi/>
        <w:rPr>
          <w:rFonts w:ascii="Narkisim" w:hAnsi="Narkisim"/>
        </w:rPr>
      </w:pPr>
      <w:r w:rsidRPr="00AF3214">
        <w:rPr>
          <w:rFonts w:ascii="Narkisim" w:hAnsi="Narkisim"/>
          <w:u w:val="single"/>
          <w:rtl/>
        </w:rPr>
        <w:t>התורם קישות ונמצאת מרה וכו' תרומה</w:t>
      </w:r>
      <w:r w:rsidRPr="00AF3214">
        <w:rPr>
          <w:rStyle w:val="ac"/>
          <w:rFonts w:ascii="Narkisim" w:hAnsi="Narkisim"/>
          <w:u w:val="single"/>
          <w:rtl/>
        </w:rPr>
        <w:footnoteReference w:id="5566"/>
      </w:r>
      <w:r w:rsidRPr="00AF3214">
        <w:rPr>
          <w:rFonts w:ascii="Narkisim" w:hAnsi="Narkisim"/>
          <w:u w:val="single"/>
        </w:rPr>
        <w:t xml:space="preserve"> </w:t>
      </w:r>
      <w:r w:rsidRPr="00AF3214">
        <w:rPr>
          <w:rFonts w:ascii="Narkisim" w:hAnsi="Narkisim"/>
          <w:u w:val="single"/>
          <w:rtl/>
        </w:rPr>
        <w:t>ויחזור ויתרום וכו'</w:t>
      </w:r>
      <w:r w:rsidRPr="00AF3214">
        <w:rPr>
          <w:rFonts w:ascii="Narkisim" w:hAnsi="Narkisim"/>
          <w:rtl/>
        </w:rPr>
        <w:t>. ה</w:t>
      </w:r>
      <w:r w:rsidRPr="00AF3214">
        <w:rPr>
          <w:rFonts w:ascii="Narkisim" w:hAnsi="Narkisim"/>
          <w:b/>
          <w:bCs/>
          <w:rtl/>
        </w:rPr>
        <w:t>ראשונים</w:t>
      </w:r>
      <w:r w:rsidRPr="00AF3214">
        <w:rPr>
          <w:rFonts w:ascii="Narkisim" w:hAnsi="Narkisim"/>
          <w:rtl/>
        </w:rPr>
        <w:t xml:space="preserve"> (רשב"א עירובין כח:) הביאו דמבואר דיש שם אוכל על קישות מרה. וצ"ל דעדיין ראוי לאכילה</w:t>
      </w:r>
      <w:r w:rsidRPr="00AF3214">
        <w:rPr>
          <w:rStyle w:val="ac"/>
          <w:rFonts w:ascii="Narkisim" w:hAnsi="Narkisim"/>
          <w:rtl/>
        </w:rPr>
        <w:footnoteReference w:id="5567"/>
      </w:r>
      <w:r w:rsidRPr="00AF3214">
        <w:rPr>
          <w:rFonts w:ascii="Narkisim" w:hAnsi="Narkisim"/>
        </w:rPr>
        <w:t xml:space="preserve">. </w:t>
      </w:r>
      <w:r w:rsidRPr="00AF3214">
        <w:rPr>
          <w:rFonts w:ascii="Narkisim" w:hAnsi="Narkisim"/>
          <w:rtl/>
        </w:rPr>
        <w:t>[אך דעת הירושלמי דהוה ספק, ע"ע בסמוך]</w:t>
      </w:r>
      <w:r w:rsidRPr="00AF3214">
        <w:rPr>
          <w:rFonts w:ascii="Narkisim" w:hAnsi="Narkisim"/>
        </w:rPr>
        <w:t>.</w:t>
      </w:r>
    </w:p>
    <w:p w14:paraId="6E8FE792" w14:textId="77777777" w:rsidR="006C4368" w:rsidRPr="00AF3214" w:rsidRDefault="006C4368" w:rsidP="006C4368">
      <w:pPr>
        <w:pStyle w:val="aa"/>
        <w:bidi/>
        <w:rPr>
          <w:rFonts w:ascii="Narkisim" w:hAnsi="Narkisim"/>
        </w:rPr>
      </w:pPr>
      <w:r w:rsidRPr="00AF3214">
        <w:rPr>
          <w:rFonts w:ascii="Narkisim" w:hAnsi="Narkisim"/>
          <w:u w:val="single"/>
          <w:rtl/>
        </w:rPr>
        <w:t>תוד"ה קישות</w:t>
      </w:r>
      <w:r w:rsidRPr="00AF3214">
        <w:rPr>
          <w:rFonts w:ascii="Narkisim" w:hAnsi="Narkisim"/>
          <w:rtl/>
        </w:rPr>
        <w:t xml:space="preserve">. ואין לומר דהתם כרבי דאמר יין וחומץ ב' מינין וכו'. (וכ"כ </w:t>
      </w:r>
      <w:r w:rsidRPr="00AF3214">
        <w:rPr>
          <w:rFonts w:ascii="Narkisim" w:hAnsi="Narkisim"/>
          <w:b/>
          <w:bCs/>
          <w:rtl/>
        </w:rPr>
        <w:t>רש"י</w:t>
      </w:r>
      <w:r w:rsidRPr="00AF3214">
        <w:rPr>
          <w:rFonts w:ascii="Narkisim" w:hAnsi="Narkisim"/>
          <w:rtl/>
        </w:rPr>
        <w:t xml:space="preserve"> נדה ב: ורשב"ם ב"ב צו. דקאי כרבי). ותוס' דחו דא"כ אפי' מתכוין לתרום מהחומץ ל"מ</w:t>
      </w:r>
      <w:r w:rsidRPr="00AF3214">
        <w:rPr>
          <w:rStyle w:val="ac"/>
          <w:rFonts w:ascii="Narkisim" w:hAnsi="Narkisim"/>
          <w:rtl/>
        </w:rPr>
        <w:footnoteReference w:id="5568"/>
      </w:r>
      <w:r w:rsidRPr="00AF3214">
        <w:rPr>
          <w:rFonts w:ascii="Narkisim" w:hAnsi="Narkisim"/>
        </w:rPr>
        <w:t>.</w:t>
      </w:r>
    </w:p>
    <w:p w14:paraId="21B3C6A0" w14:textId="77777777" w:rsidR="006C4368" w:rsidRPr="00AF3214" w:rsidRDefault="006C4368" w:rsidP="006C4368">
      <w:pPr>
        <w:pStyle w:val="aa"/>
        <w:bidi/>
        <w:rPr>
          <w:rFonts w:ascii="Narkisim" w:hAnsi="Narkisim"/>
        </w:rPr>
      </w:pPr>
      <w:r w:rsidRPr="00AF3214">
        <w:rPr>
          <w:rFonts w:ascii="Narkisim" w:hAnsi="Narkisim"/>
          <w:u w:val="single"/>
          <w:rtl/>
        </w:rPr>
        <w:t>בא"ד ואר"י דיין וחומץ אע"פ שהם מין א', מ"מ ב' שמות הן</w:t>
      </w:r>
      <w:r w:rsidRPr="00AF3214">
        <w:rPr>
          <w:rStyle w:val="ac"/>
          <w:rFonts w:ascii="Narkisim" w:hAnsi="Narkisim"/>
          <w:u w:val="single"/>
          <w:rtl/>
        </w:rPr>
        <w:footnoteReference w:id="5569"/>
      </w:r>
      <w:r w:rsidRPr="00AF3214">
        <w:rPr>
          <w:rFonts w:ascii="Narkisim" w:hAnsi="Narkisim"/>
          <w:u w:val="single"/>
        </w:rPr>
        <w:t xml:space="preserve"> </w:t>
      </w:r>
      <w:r w:rsidRPr="00AF3214">
        <w:rPr>
          <w:rFonts w:ascii="Narkisim" w:hAnsi="Narkisim"/>
          <w:u w:val="single"/>
          <w:rtl/>
        </w:rPr>
        <w:t>וכו' ולכך הוי טעות טפי ול"ה תרומה</w:t>
      </w:r>
      <w:r w:rsidRPr="00AF3214">
        <w:rPr>
          <w:rFonts w:ascii="Narkisim" w:hAnsi="Narkisim"/>
          <w:rtl/>
        </w:rPr>
        <w:t>. וכ"כ ה</w:t>
      </w:r>
      <w:r w:rsidRPr="00AF3214">
        <w:rPr>
          <w:rFonts w:ascii="Narkisim" w:hAnsi="Narkisim"/>
          <w:b/>
          <w:bCs/>
          <w:rtl/>
        </w:rPr>
        <w:t>רמב"ן</w:t>
      </w:r>
      <w:r w:rsidRPr="00AF3214">
        <w:rPr>
          <w:rFonts w:ascii="Narkisim" w:hAnsi="Narkisim"/>
          <w:rtl/>
        </w:rPr>
        <w:t xml:space="preserve"> (ב"ב פד:) דבקישות לא הוה טעות, כיון שכיוון להפריש אותו פרי עצמו שהוא מפריש. אבל ביין ונמצא חומץ שתי שמות הן וחלופיהן טעות. וכן טמא על הטהור הם מין א' לגמרי ואין בעצמן שום שינוי, מש"ה אינו נקרא טעות</w:t>
      </w:r>
      <w:r w:rsidRPr="00AF3214">
        <w:rPr>
          <w:rFonts w:ascii="Narkisim" w:hAnsi="Narkisim"/>
        </w:rPr>
        <w:t>.</w:t>
      </w:r>
    </w:p>
    <w:p w14:paraId="08D7A1E6"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(שם) כת' </w:t>
      </w:r>
      <w:r w:rsidRPr="00AF3214">
        <w:rPr>
          <w:rFonts w:ascii="Narkisim" w:hAnsi="Narkisim"/>
          <w:b/>
          <w:bCs/>
          <w:rtl/>
        </w:rPr>
        <w:t>י"מ</w:t>
      </w:r>
      <w:r w:rsidRPr="00AF3214">
        <w:rPr>
          <w:rFonts w:ascii="Narkisim" w:hAnsi="Narkisim"/>
          <w:rtl/>
        </w:rPr>
        <w:t xml:space="preserve"> דבסוגיין סתם קישות מרה היא, ומתכוין הוא להפריש מר על מר, אלא שאינו מתכוין להפריש ממר כולי האי</w:t>
      </w:r>
      <w:r w:rsidRPr="00AF3214">
        <w:rPr>
          <w:rFonts w:ascii="Narkisim" w:hAnsi="Narkisim"/>
        </w:rPr>
        <w:t>.</w:t>
      </w:r>
    </w:p>
    <w:p w14:paraId="536AA9C1" w14:textId="77777777" w:rsidR="006C4368" w:rsidRPr="00AF3214" w:rsidRDefault="006C4368" w:rsidP="006C4368">
      <w:pPr>
        <w:pStyle w:val="a8"/>
        <w:bidi/>
        <w:rPr>
          <w:rFonts w:ascii="Narkisim" w:hAnsi="Narkisim"/>
        </w:rPr>
      </w:pPr>
      <w:r w:rsidRPr="00AF3214">
        <w:rPr>
          <w:rFonts w:ascii="Narkisim" w:hAnsi="Narkisim"/>
          <w:rtl/>
        </w:rPr>
        <w:lastRenderedPageBreak/>
        <w:t>וה</w:t>
      </w:r>
      <w:r w:rsidRPr="00AF3214">
        <w:rPr>
          <w:rFonts w:ascii="Narkisim" w:hAnsi="Narkisim"/>
          <w:b/>
          <w:bCs/>
          <w:rtl/>
        </w:rPr>
        <w:t>מאירי</w:t>
      </w:r>
      <w:r w:rsidRPr="00AF3214">
        <w:rPr>
          <w:rFonts w:ascii="Narkisim" w:hAnsi="Narkisim"/>
          <w:rtl/>
        </w:rPr>
        <w:t xml:space="preserve"> (קידושין מו:) תי' דאיירי התם שבדק וגילה בדעתו שאינו רוצה אלא יפה, ומש"ה כשטעה ונזדמן לו רע אינה תרומה. אבל קישות (בסוגיין) איירי שלא בדקו, ולא גילה דעתו. ומש"ה הוה תרומה</w:t>
      </w:r>
      <w:r w:rsidRPr="00AF3214">
        <w:rPr>
          <w:rFonts w:ascii="Narkisim" w:hAnsi="Narkisim"/>
        </w:rPr>
        <w:t>.</w:t>
      </w:r>
    </w:p>
    <w:p w14:paraId="3DFF299B"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אבל ה</w:t>
      </w:r>
      <w:r w:rsidRPr="00AF3214">
        <w:rPr>
          <w:rFonts w:ascii="Narkisim" w:hAnsi="Narkisim" w:cs="Narkisim"/>
          <w:b/>
          <w:bCs/>
          <w:rtl/>
        </w:rPr>
        <w:t>ר"ש</w:t>
      </w:r>
      <w:r w:rsidRPr="00AF3214">
        <w:rPr>
          <w:rFonts w:ascii="Narkisim" w:hAnsi="Narkisim" w:cs="Narkisim"/>
          <w:rtl/>
        </w:rPr>
        <w:t xml:space="preserve"> (תרומות ג א) הביא מה</w:t>
      </w:r>
      <w:r w:rsidRPr="00AF3214">
        <w:rPr>
          <w:rFonts w:ascii="Narkisim" w:hAnsi="Narkisim" w:cs="Narkisim"/>
          <w:b/>
          <w:bCs/>
          <w:rtl/>
        </w:rPr>
        <w:t>ירושלמי</w:t>
      </w:r>
      <w:r w:rsidRPr="00AF3214">
        <w:rPr>
          <w:rFonts w:ascii="Narkisim" w:hAnsi="Narkisim" w:cs="Narkisim"/>
          <w:rtl/>
        </w:rPr>
        <w:t xml:space="preserve"> דהטעם שחל דאמרי' דלמא לא הוה סרוח בשעת הפרשה, והוה תרומה ויחזור ויתרום מספק דלא ידעי' אי חל התרומה. אבל אי הוה סרוח מעיקרא ל"מ כיין ונמצא חומץ. והירושלמי מקשה תינח אבטיח ונמצא סרוח, אבל קישות נמצאת מרה מעיקרא. ותי' דקישות מרה עשוה כספק אוכל</w:t>
      </w:r>
      <w:r w:rsidRPr="00AF3214">
        <w:rPr>
          <w:rStyle w:val="ac"/>
          <w:rFonts w:ascii="Narkisim" w:hAnsi="Narkisim" w:cs="Narkisim"/>
          <w:rtl/>
        </w:rPr>
        <w:footnoteReference w:id="5570"/>
      </w:r>
      <w:r w:rsidRPr="00AF3214">
        <w:rPr>
          <w:rFonts w:ascii="Narkisim" w:hAnsi="Narkisim" w:cs="Narkisim"/>
        </w:rPr>
        <w:t>.</w:t>
      </w:r>
    </w:p>
    <w:p w14:paraId="00EBE6A5" w14:textId="77777777" w:rsidR="006C4368" w:rsidRPr="00AF3214" w:rsidRDefault="006C4368" w:rsidP="006C4368">
      <w:pPr>
        <w:pStyle w:val="aa"/>
        <w:bidi/>
        <w:rPr>
          <w:rFonts w:ascii="Narkisim" w:hAnsi="Narkisim"/>
        </w:rPr>
      </w:pPr>
      <w:r w:rsidRPr="00AF3214">
        <w:rPr>
          <w:rFonts w:ascii="Narkisim" w:hAnsi="Narkisim"/>
          <w:u w:val="single"/>
          <w:rtl/>
        </w:rPr>
        <w:t>התם שוגג קרוב למזיד דאיבע"ל למיטעמיה</w:t>
      </w:r>
      <w:r w:rsidRPr="00AF3214">
        <w:rPr>
          <w:rFonts w:ascii="Narkisim" w:hAnsi="Narkisim"/>
          <w:rtl/>
        </w:rPr>
        <w:t>. יש שדנו דלפ"ז באומר מותר וכדו', דל"ש איבע"ל למיטעמי, א"כ לא קנסו. אבל ה</w:t>
      </w:r>
      <w:r w:rsidRPr="00AF3214">
        <w:rPr>
          <w:rFonts w:ascii="Narkisim" w:hAnsi="Narkisim"/>
          <w:b/>
          <w:bCs/>
          <w:rtl/>
        </w:rPr>
        <w:t>מאירי</w:t>
      </w:r>
      <w:r w:rsidRPr="00AF3214">
        <w:rPr>
          <w:rFonts w:ascii="Narkisim" w:hAnsi="Narkisim"/>
          <w:rtl/>
        </w:rPr>
        <w:t xml:space="preserve"> כת' דאומר מותר הוה קרוב למזיד. וה</w:t>
      </w:r>
      <w:r w:rsidRPr="00AF3214">
        <w:rPr>
          <w:rFonts w:ascii="Narkisim" w:hAnsi="Narkisim"/>
          <w:b/>
          <w:bCs/>
          <w:rtl/>
        </w:rPr>
        <w:t>מאירי</w:t>
      </w:r>
      <w:r w:rsidRPr="00AF3214">
        <w:rPr>
          <w:rFonts w:ascii="Narkisim" w:hAnsi="Narkisim"/>
          <w:rtl/>
        </w:rPr>
        <w:t xml:space="preserve"> כת' דעד"ז אף בתורם מהטמא על הטהור, שידע שנטמא אלא ששגג שמותר לתרום מן הטמא על הטהור הרי הוא קרוב למזיד, ויחזור ויתרום</w:t>
      </w:r>
      <w:r w:rsidRPr="00AF3214">
        <w:rPr>
          <w:rFonts w:ascii="Narkisim" w:hAnsi="Narkisim"/>
        </w:rPr>
        <w:t>.</w:t>
      </w:r>
    </w:p>
    <w:p w14:paraId="74FBF86B" w14:textId="77777777" w:rsidR="006C4368" w:rsidRPr="00AF3214" w:rsidRDefault="006C4368" w:rsidP="006C4368">
      <w:pPr>
        <w:bidi/>
        <w:rPr>
          <w:rFonts w:ascii="Narkisim" w:hAnsi="Narkisim" w:cs="Narkisim"/>
        </w:rPr>
      </w:pPr>
      <w:r w:rsidRPr="00AF3214">
        <w:rPr>
          <w:rFonts w:ascii="Narkisim" w:hAnsi="Narkisim" w:cs="Narkisim"/>
          <w:u w:val="single"/>
          <w:rtl/>
        </w:rPr>
        <w:t>תוד"ה איבעי</w:t>
      </w:r>
      <w:r w:rsidRPr="00AF3214">
        <w:rPr>
          <w:rFonts w:ascii="Narkisim" w:hAnsi="Narkisim" w:cs="Narkisim"/>
          <w:rtl/>
        </w:rPr>
        <w:t>. כלומר יפריש על מה שהוא וכו' כדי שיטעום. דאינו רשאי לטעום טבל קודם הפרשה. אבל ה</w:t>
      </w:r>
      <w:r w:rsidRPr="00AF3214">
        <w:rPr>
          <w:rFonts w:ascii="Narkisim" w:hAnsi="Narkisim" w:cs="Narkisim"/>
          <w:b/>
          <w:bCs/>
          <w:rtl/>
        </w:rPr>
        <w:t>תפא"י</w:t>
      </w:r>
      <w:r w:rsidRPr="00AF3214">
        <w:rPr>
          <w:rFonts w:ascii="Narkisim" w:hAnsi="Narkisim" w:cs="Narkisim"/>
          <w:rtl/>
        </w:rPr>
        <w:t xml:space="preserve"> (תרומות שם אות ג) דן דתרומת ירקות דרבנן, והוה ספק האם ראוי לאכילה. ומש"ה הקילו בטעימה בעלמא (וציין לדברי הט"ז יו"ד צח ב)</w:t>
      </w:r>
      <w:r w:rsidRPr="00AF3214">
        <w:rPr>
          <w:rStyle w:val="ac"/>
          <w:rFonts w:ascii="Narkisim" w:hAnsi="Narkisim" w:cs="Narkisim"/>
          <w:rtl/>
        </w:rPr>
        <w:footnoteReference w:id="5571"/>
      </w:r>
      <w:r w:rsidRPr="00AF3214">
        <w:rPr>
          <w:rFonts w:ascii="Narkisim" w:hAnsi="Narkisim" w:cs="Narkisim"/>
        </w:rPr>
        <w:t>.</w:t>
      </w:r>
    </w:p>
    <w:p w14:paraId="01760EB9" w14:textId="77777777" w:rsidR="006C4368" w:rsidRPr="00AF3214" w:rsidRDefault="006C4368" w:rsidP="006C4368">
      <w:pPr>
        <w:bidi/>
        <w:rPr>
          <w:rFonts w:ascii="Narkisim" w:hAnsi="Narkisim" w:cs="Narkisim"/>
        </w:rPr>
      </w:pPr>
      <w:r w:rsidRPr="00AF3214">
        <w:rPr>
          <w:rFonts w:ascii="Narkisim" w:hAnsi="Narkisim" w:cs="Narkisim"/>
          <w:u w:val="single"/>
          <w:rtl/>
        </w:rPr>
        <w:t>התורם משאין נקוב על נקוב, תרומה ויחזור ויתרום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(בע"ב סוד"ה שאני) דהו"ל מן הפטור על החיוב, ואע"ג דהפריש עלה לא מיפטר בהך תרומה, ולא חייל עליה שם תרומה</w:t>
      </w:r>
      <w:r w:rsidRPr="00AF3214">
        <w:rPr>
          <w:rFonts w:ascii="Narkisim" w:hAnsi="Narkisim" w:cs="Narkisim"/>
        </w:rPr>
        <w:t>.</w:t>
      </w:r>
    </w:p>
    <w:p w14:paraId="291F72CD" w14:textId="77777777" w:rsidR="006C4368" w:rsidRPr="00AF3214" w:rsidRDefault="006C4368" w:rsidP="006C4368">
      <w:pPr>
        <w:pStyle w:val="a7"/>
        <w:bidi/>
        <w:rPr>
          <w:rFonts w:ascii="Narkisim" w:hAnsi="Narkisim"/>
        </w:rPr>
      </w:pPr>
      <w:r w:rsidRPr="00AF3214">
        <w:rPr>
          <w:rFonts w:ascii="Narkisim" w:hAnsi="Narkisim"/>
          <w:rtl/>
        </w:rPr>
        <w:t>ופ</w:t>
      </w:r>
      <w:r w:rsidRPr="00AF3214">
        <w:rPr>
          <w:rFonts w:ascii="Narkisim" w:hAnsi="Narkisim"/>
          <w:b/>
          <w:bCs/>
          <w:rtl/>
        </w:rPr>
        <w:t>רש"י</w:t>
      </w:r>
      <w:r w:rsidRPr="00AF3214">
        <w:rPr>
          <w:rFonts w:ascii="Narkisim" w:hAnsi="Narkisim"/>
          <w:rtl/>
        </w:rPr>
        <w:t xml:space="preserve"> דלא אמר לא תאכל עד שיפריש עליה ממקו"א [שהרי לא חל כלום, ומה שהפריש הוה טבל מדרבנן]. ותי' דלא איכפ"ל אי הכהן אכל לה בטבל, דאין עליה דין טבל ותרומה כו'. [והקילו להתיר איסור טבל דרבנן]</w:t>
      </w:r>
      <w:r w:rsidRPr="00AF3214">
        <w:rPr>
          <w:rFonts w:ascii="Narkisim" w:hAnsi="Narkisim"/>
        </w:rPr>
        <w:t>.</w:t>
      </w:r>
    </w:p>
    <w:p w14:paraId="3683E0AA" w14:textId="77777777" w:rsidR="006C4368" w:rsidRPr="00AF3214" w:rsidRDefault="006C4368" w:rsidP="006C4368">
      <w:pPr>
        <w:pStyle w:val="a7"/>
        <w:bidi/>
        <w:rPr>
          <w:rFonts w:ascii="Narkisim" w:hAnsi="Narkisim"/>
        </w:rPr>
      </w:pPr>
      <w:r w:rsidRPr="00AF3214">
        <w:rPr>
          <w:rFonts w:ascii="Narkisim" w:hAnsi="Narkisim"/>
          <w:rtl/>
        </w:rPr>
        <w:t>וכ"כ ה</w:t>
      </w:r>
      <w:r w:rsidRPr="00AF3214">
        <w:rPr>
          <w:rFonts w:ascii="Narkisim" w:hAnsi="Narkisim"/>
          <w:b/>
          <w:bCs/>
          <w:rtl/>
        </w:rPr>
        <w:t>רא"ש</w:t>
      </w:r>
      <w:r w:rsidRPr="00AF3214">
        <w:rPr>
          <w:rFonts w:ascii="Narkisim" w:hAnsi="Narkisim"/>
          <w:rtl/>
        </w:rPr>
        <w:t xml:space="preserve"> (דמאי ה י והרע"ב שם) דאי"צ להוציא תרומה ומעשר כמו בסיפא משום דמדאורייתא לאו טבל הוא. וה</w:t>
      </w:r>
      <w:r w:rsidRPr="00AF3214">
        <w:rPr>
          <w:rFonts w:ascii="Narkisim" w:hAnsi="Narkisim"/>
          <w:b/>
          <w:bCs/>
          <w:rtl/>
        </w:rPr>
        <w:t>רא"ש</w:t>
      </w:r>
      <w:r w:rsidRPr="00AF3214">
        <w:rPr>
          <w:rFonts w:ascii="Narkisim" w:hAnsi="Narkisim"/>
          <w:rtl/>
        </w:rPr>
        <w:t xml:space="preserve"> כת' דמ"מ צריך ליתנה לכהן כיון שקרא לה שם תרומה, דלא ליתי לזלזולי בתרומה</w:t>
      </w:r>
      <w:r w:rsidRPr="00AF3214">
        <w:rPr>
          <w:rFonts w:ascii="Narkisim" w:hAnsi="Narkisim"/>
        </w:rPr>
        <w:t>.</w:t>
      </w:r>
    </w:p>
    <w:p w14:paraId="7C4EB5F4"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(דמאי שם) הק' דעציץ שאינו נקוב חייב מדרבנן, נימא דחל תרומה מדרבנן, ובגדרי הדרבנן הוה תרומה ומש"ה נותנו לכהן ולא הוה טבל אף מדרבנן</w:t>
      </w:r>
      <w:r w:rsidRPr="00AF3214">
        <w:rPr>
          <w:rStyle w:val="ac"/>
          <w:rFonts w:ascii="Narkisim" w:hAnsi="Narkisim"/>
          <w:rtl/>
        </w:rPr>
        <w:footnoteReference w:id="5572"/>
      </w:r>
      <w:r w:rsidRPr="00AF3214">
        <w:rPr>
          <w:rFonts w:ascii="Narkisim" w:hAnsi="Narkisim"/>
        </w:rPr>
        <w:t xml:space="preserve">. </w:t>
      </w:r>
      <w:r w:rsidRPr="00AF3214">
        <w:rPr>
          <w:rFonts w:ascii="Narkisim" w:hAnsi="Narkisim"/>
          <w:rtl/>
        </w:rPr>
        <w:t>[ואילו מדברי הראשונים מבואר דלא חל כלל]. ותי' דכיון דלא פטר את הנקוב, א"כ הוה מקח טעות</w:t>
      </w:r>
      <w:r w:rsidRPr="00AF3214">
        <w:rPr>
          <w:rStyle w:val="ac"/>
          <w:rFonts w:ascii="Narkisim" w:hAnsi="Narkisim"/>
          <w:rtl/>
        </w:rPr>
        <w:footnoteReference w:id="5573"/>
      </w:r>
      <w:r w:rsidRPr="00AF3214">
        <w:rPr>
          <w:rFonts w:ascii="Narkisim" w:hAnsi="Narkisim"/>
        </w:rPr>
        <w:t xml:space="preserve"> </w:t>
      </w:r>
      <w:r w:rsidRPr="00AF3214">
        <w:rPr>
          <w:rFonts w:ascii="Narkisim" w:hAnsi="Narkisim"/>
          <w:rtl/>
        </w:rPr>
        <w:t>[ולא חל כלל], ומש"ה הוצרכו לטעם חדש שהתירו איסור טבל</w:t>
      </w:r>
      <w:r w:rsidRPr="00AF3214">
        <w:rPr>
          <w:rFonts w:ascii="Narkisim" w:hAnsi="Narkisim"/>
        </w:rPr>
        <w:t>.</w:t>
      </w:r>
    </w:p>
    <w:p w14:paraId="72A75237" w14:textId="77777777" w:rsidR="006C4368" w:rsidRPr="00AF3214" w:rsidRDefault="006C4368" w:rsidP="006C4368">
      <w:pPr>
        <w:pStyle w:val="a8"/>
        <w:bidi/>
        <w:rPr>
          <w:rFonts w:ascii="Narkisim" w:hAnsi="Narkisim"/>
        </w:rPr>
      </w:pPr>
      <w:r w:rsidRPr="00AF3214">
        <w:rPr>
          <w:rFonts w:ascii="Narkisim" w:hAnsi="Narkisim"/>
          <w:rtl/>
        </w:rPr>
        <w:t>ויש שדנו (ע' תפארת ירושלים שם) דאף מדינא לא יחשב הפרשת תרומה כלל, דכיון דטבל דרבנן אינו ראוי לתקן טבל דאורייתא, מש"ה אין כאן שם תרומה אף בגדרי הדרבנן</w:t>
      </w:r>
      <w:r w:rsidRPr="00AF3214">
        <w:rPr>
          <w:rStyle w:val="ac"/>
          <w:rFonts w:ascii="Narkisim" w:hAnsi="Narkisim"/>
          <w:rtl/>
        </w:rPr>
        <w:footnoteReference w:id="5574"/>
      </w:r>
      <w:r w:rsidRPr="00AF3214">
        <w:rPr>
          <w:rFonts w:ascii="Narkisim" w:hAnsi="Narkisim"/>
        </w:rPr>
        <w:t>.</w:t>
      </w:r>
    </w:p>
    <w:p w14:paraId="1809FC7F"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מאירי</w:t>
      </w:r>
      <w:r w:rsidRPr="00AF3214">
        <w:rPr>
          <w:rFonts w:ascii="Narkisim" w:hAnsi="Narkisim"/>
          <w:rtl/>
        </w:rPr>
        <w:t xml:space="preserve"> הביא </w:t>
      </w:r>
      <w:r w:rsidRPr="00AF3214">
        <w:rPr>
          <w:rFonts w:ascii="Narkisim" w:hAnsi="Narkisim"/>
          <w:b/>
          <w:bCs/>
          <w:rtl/>
        </w:rPr>
        <w:t>י"א</w:t>
      </w:r>
      <w:r w:rsidRPr="00AF3214">
        <w:rPr>
          <w:rFonts w:ascii="Narkisim" w:hAnsi="Narkisim"/>
          <w:rtl/>
        </w:rPr>
        <w:t xml:space="preserve"> דאף משאין נקוב על הנקוב צריך לחזור ולתרום את שאינו נקוב. ולא חש להזכיר מאחר שאין בו חיוב תורה</w:t>
      </w:r>
      <w:r w:rsidRPr="00AF3214">
        <w:rPr>
          <w:rFonts w:ascii="Narkisim" w:hAnsi="Narkisim"/>
        </w:rPr>
        <w:t>.</w:t>
      </w:r>
    </w:p>
    <w:p w14:paraId="522858FF" w14:textId="77777777" w:rsidR="006C4368" w:rsidRPr="00AF3214" w:rsidRDefault="006C4368" w:rsidP="006C4368">
      <w:pPr>
        <w:pStyle w:val="aa"/>
        <w:bidi/>
        <w:rPr>
          <w:rFonts w:ascii="Narkisim" w:hAnsi="Narkisim"/>
        </w:rPr>
      </w:pPr>
      <w:r w:rsidRPr="00AF3214">
        <w:rPr>
          <w:rFonts w:ascii="Narkisim" w:hAnsi="Narkisim"/>
          <w:u w:val="single"/>
          <w:rtl/>
        </w:rPr>
        <w:t>בחד מנא לא ציית</w:t>
      </w:r>
      <w:r w:rsidRPr="00AF3214">
        <w:rPr>
          <w:rFonts w:ascii="Narkisim" w:hAnsi="Narkisim"/>
          <w:rtl/>
        </w:rPr>
        <w:t>. ומש"ה רב חסדא חשש דפשע ולא מפריש. ועד"ז אי' בגמ' (קידושין מו:) דהמפריש חלה בעודו קמח אינו חלה, וגזל ביד כהן. והגמ' פי' דלא גזרו תרומה ויחזור ויתרום, דהא אוקימנא דבחד מנא לא ציית. פ</w:t>
      </w:r>
      <w:r w:rsidRPr="00AF3214">
        <w:rPr>
          <w:rFonts w:ascii="Narkisim" w:hAnsi="Narkisim"/>
          <w:b/>
          <w:bCs/>
          <w:rtl/>
        </w:rPr>
        <w:t>רש"י</w:t>
      </w:r>
      <w:r w:rsidRPr="00AF3214">
        <w:rPr>
          <w:rFonts w:ascii="Narkisim" w:hAnsi="Narkisim"/>
          <w:rtl/>
        </w:rPr>
        <w:t xml:space="preserve"> דאף חלה קמח הוה מאותו כלי</w:t>
      </w:r>
      <w:r w:rsidRPr="00AF3214">
        <w:rPr>
          <w:rFonts w:ascii="Narkisim" w:hAnsi="Narkisim"/>
        </w:rPr>
        <w:t>.</w:t>
      </w:r>
    </w:p>
    <w:p w14:paraId="70EB05B3"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(שם) הק' דכ"ז לרב חסדא. אבל רב נתן בר"א (בסוגיין) סבר דבחד מנא מיצת ציית [ואפי' ישראל], וקי"ל כוותיה</w:t>
      </w:r>
      <w:r w:rsidRPr="00AF3214">
        <w:rPr>
          <w:rStyle w:val="ac"/>
          <w:rFonts w:ascii="Narkisim" w:hAnsi="Narkisim"/>
          <w:rtl/>
        </w:rPr>
        <w:footnoteReference w:id="5575"/>
      </w:r>
      <w:r w:rsidRPr="00AF3214">
        <w:rPr>
          <w:rFonts w:ascii="Narkisim" w:hAnsi="Narkisim"/>
        </w:rPr>
        <w:t xml:space="preserve">. </w:t>
      </w:r>
      <w:r w:rsidRPr="00AF3214">
        <w:rPr>
          <w:rFonts w:ascii="Narkisim" w:hAnsi="Narkisim"/>
          <w:rtl/>
        </w:rPr>
        <w:t>וכת' דמ"מ אף סוגיה דהתם אליבא דשמואל, ודלא כהילכתא</w:t>
      </w:r>
      <w:r w:rsidRPr="00AF3214">
        <w:rPr>
          <w:rStyle w:val="ac"/>
          <w:rFonts w:ascii="Narkisim" w:hAnsi="Narkisim"/>
          <w:rtl/>
        </w:rPr>
        <w:footnoteReference w:id="5576"/>
      </w:r>
      <w:r w:rsidRPr="00AF3214">
        <w:rPr>
          <w:rFonts w:ascii="Narkisim" w:hAnsi="Narkisim"/>
        </w:rPr>
        <w:t>.</w:t>
      </w:r>
    </w:p>
    <w:p w14:paraId="0346A6C8" w14:textId="77777777" w:rsidR="006C4368" w:rsidRPr="00AF3214" w:rsidRDefault="006C4368" w:rsidP="006C4368">
      <w:pPr>
        <w:pStyle w:val="3"/>
        <w:bidi/>
        <w:rPr>
          <w:rFonts w:ascii="Narkisim" w:hAnsi="Narkisim"/>
        </w:rPr>
      </w:pPr>
      <w:r w:rsidRPr="00AF3214">
        <w:rPr>
          <w:rFonts w:ascii="Narkisim" w:hAnsi="Narkisim"/>
          <w:rtl/>
        </w:rPr>
        <w:lastRenderedPageBreak/>
        <w:t>דף פט</w:t>
      </w:r>
      <w:r w:rsidRPr="00AF3214">
        <w:rPr>
          <w:rFonts w:ascii="Narkisim" w:hAnsi="Narkisim"/>
        </w:rPr>
        <w:t>:</w:t>
      </w:r>
    </w:p>
    <w:p w14:paraId="4878F8C8" w14:textId="77777777" w:rsidR="006C4368" w:rsidRPr="00AF3214" w:rsidRDefault="006C4368" w:rsidP="006C4368">
      <w:pPr>
        <w:bidi/>
        <w:rPr>
          <w:rFonts w:ascii="Narkisim" w:hAnsi="Narkisim" w:cs="Narkisim"/>
        </w:rPr>
      </w:pPr>
      <w:r w:rsidRPr="00AF3214">
        <w:rPr>
          <w:rFonts w:ascii="Narkisim" w:hAnsi="Narkisim" w:cs="Narkisim"/>
          <w:u w:val="single"/>
          <w:rtl/>
        </w:rPr>
        <w:t>תוד"ה ולא תאכל</w:t>
      </w:r>
      <w:r w:rsidRPr="00AF3214">
        <w:rPr>
          <w:rFonts w:ascii="Narkisim" w:hAnsi="Narkisim" w:cs="Narkisim"/>
          <w:rtl/>
        </w:rPr>
        <w:t>. פריב"ן דלא הוי תרומה אלא לענין שיתנה לכהן</w:t>
      </w:r>
      <w:r w:rsidRPr="00AF3214">
        <w:rPr>
          <w:rStyle w:val="ac"/>
          <w:rFonts w:ascii="Narkisim" w:hAnsi="Narkisim" w:cs="Narkisim"/>
          <w:rtl/>
        </w:rPr>
        <w:footnoteReference w:id="5577"/>
      </w:r>
      <w:r w:rsidRPr="00AF3214">
        <w:rPr>
          <w:rFonts w:ascii="Narkisim" w:hAnsi="Narkisim" w:cs="Narkisim"/>
        </w:rPr>
        <w:t xml:space="preserve"> </w:t>
      </w:r>
      <w:r w:rsidRPr="00AF3214">
        <w:rPr>
          <w:rFonts w:ascii="Narkisim" w:hAnsi="Narkisim" w:cs="Narkisim"/>
          <w:rtl/>
        </w:rPr>
        <w:t>וכו' ואין נר' לר"י דכיון דפוטרת שאין נקוב דחייב בתרומה מדרבנן, ה"נ תרומה מדרבנן וכו'. וה</w:t>
      </w:r>
      <w:r w:rsidRPr="00AF3214">
        <w:rPr>
          <w:rFonts w:ascii="Narkisim" w:hAnsi="Narkisim" w:cs="Narkisim"/>
          <w:b/>
          <w:bCs/>
          <w:rtl/>
        </w:rPr>
        <w:t>תו"י</w:t>
      </w:r>
      <w:r w:rsidRPr="00AF3214">
        <w:rPr>
          <w:rFonts w:ascii="Narkisim" w:hAnsi="Narkisim" w:cs="Narkisim"/>
          <w:rtl/>
        </w:rPr>
        <w:t xml:space="preserve"> (קידושין מו: ד"ה מן) תי' דכיון דאין עליו [על שאינו נקוב] חיוב תרומה אלא מדרבנן, הם אמרו דאי"צ תיקון אחר</w:t>
      </w:r>
      <w:r w:rsidRPr="00AF3214">
        <w:rPr>
          <w:rStyle w:val="ac"/>
          <w:rFonts w:ascii="Narkisim" w:hAnsi="Narkisim" w:cs="Narkisim"/>
          <w:rtl/>
        </w:rPr>
        <w:footnoteReference w:id="5578"/>
      </w:r>
      <w:r w:rsidRPr="00AF3214">
        <w:rPr>
          <w:rFonts w:ascii="Narkisim" w:hAnsi="Narkisim" w:cs="Narkisim"/>
        </w:rPr>
        <w:t>.</w:t>
      </w:r>
    </w:p>
    <w:p w14:paraId="63ECFE5A" w14:textId="77777777" w:rsidR="006C4368" w:rsidRPr="00AF3214" w:rsidRDefault="006C4368" w:rsidP="006C4368">
      <w:pPr>
        <w:pStyle w:val="aa"/>
        <w:bidi/>
        <w:rPr>
          <w:rFonts w:ascii="Narkisim" w:hAnsi="Narkisim"/>
        </w:rPr>
      </w:pPr>
      <w:r w:rsidRPr="00AF3214">
        <w:rPr>
          <w:rFonts w:ascii="Narkisim" w:hAnsi="Narkisim"/>
          <w:u w:val="single"/>
          <w:rtl/>
        </w:rPr>
        <w:t>שם. ה"נ תרומה מדרבנן, כמו במן שאין נקוב על שאינו נקוב</w:t>
      </w:r>
      <w:r w:rsidRPr="00AF3214">
        <w:rPr>
          <w:rFonts w:ascii="Narkisim" w:hAnsi="Narkisim"/>
          <w:rtl/>
        </w:rPr>
        <w:t>. והפירות האלו הו' טבל מדאורייתא, ומדרבנן חל עליהם קדושת תרומה</w:t>
      </w:r>
      <w:r w:rsidRPr="00AF3214">
        <w:rPr>
          <w:rStyle w:val="ac"/>
          <w:rFonts w:ascii="Narkisim" w:hAnsi="Narkisim"/>
          <w:rtl/>
        </w:rPr>
        <w:footnoteReference w:id="5579"/>
      </w:r>
      <w:r w:rsidRPr="00AF3214">
        <w:rPr>
          <w:rFonts w:ascii="Narkisim" w:hAnsi="Narkisim"/>
        </w:rPr>
        <w:t>.</w:t>
      </w:r>
    </w:p>
    <w:p w14:paraId="15E6B08B" w14:textId="77777777" w:rsidR="006C4368" w:rsidRPr="00AF3214" w:rsidRDefault="006C4368" w:rsidP="006C4368">
      <w:pPr>
        <w:pStyle w:val="aa"/>
        <w:bidi/>
        <w:rPr>
          <w:rFonts w:ascii="Narkisim" w:hAnsi="Narkisim"/>
        </w:rPr>
      </w:pPr>
      <w:r w:rsidRPr="00AF3214">
        <w:rPr>
          <w:rFonts w:ascii="Narkisim" w:hAnsi="Narkisim"/>
          <w:u w:val="single"/>
          <w:rtl/>
        </w:rPr>
        <w:t>תוד"ה ממקום אחר</w:t>
      </w:r>
      <w:r w:rsidRPr="00AF3214">
        <w:rPr>
          <w:rFonts w:ascii="Narkisim" w:hAnsi="Narkisim"/>
          <w:rtl/>
        </w:rPr>
        <w:t xml:space="preserve">. אר"י מיניה וביה לא וכו'. אבל </w:t>
      </w:r>
      <w:r w:rsidRPr="00AF3214">
        <w:rPr>
          <w:rFonts w:ascii="Narkisim" w:hAnsi="Narkisim"/>
          <w:b/>
          <w:bCs/>
          <w:rtl/>
        </w:rPr>
        <w:t>רש"י</w:t>
      </w:r>
      <w:r w:rsidRPr="00AF3214">
        <w:rPr>
          <w:rFonts w:ascii="Narkisim" w:hAnsi="Narkisim"/>
          <w:rtl/>
        </w:rPr>
        <w:t xml:space="preserve"> (קידושין מו:) כת' דלאו דוקא, וה"ה מיניה וביה</w:t>
      </w:r>
      <w:r w:rsidRPr="00AF3214">
        <w:rPr>
          <w:rFonts w:ascii="Narkisim" w:hAnsi="Narkisim"/>
        </w:rPr>
        <w:t>.</w:t>
      </w:r>
    </w:p>
    <w:p w14:paraId="4E0F82E9" w14:textId="77777777" w:rsidR="006C4368" w:rsidRPr="00AF3214" w:rsidRDefault="006C4368" w:rsidP="006C4368">
      <w:pPr>
        <w:bidi/>
        <w:rPr>
          <w:rFonts w:ascii="Narkisim" w:hAnsi="Narkisim" w:cs="Narkisim"/>
        </w:rPr>
      </w:pPr>
      <w:r w:rsidRPr="00AF3214">
        <w:rPr>
          <w:rFonts w:ascii="Narkisim" w:hAnsi="Narkisim" w:cs="Narkisim"/>
          <w:u w:val="single"/>
          <w:rtl/>
        </w:rPr>
        <w:t>דא"ר אלעאי מנין לתורם מן הרעה וכו' ואם אין קדוש נשיאות חטא למה</w:t>
      </w:r>
      <w:r w:rsidRPr="00AF3214">
        <w:rPr>
          <w:rStyle w:val="ac"/>
          <w:rFonts w:ascii="Narkisim" w:hAnsi="Narkisim" w:cs="Narkisim"/>
          <w:u w:val="single"/>
          <w:rtl/>
        </w:rPr>
        <w:footnoteReference w:id="5580"/>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ה</w:t>
      </w:r>
      <w:r w:rsidRPr="00AF3214">
        <w:rPr>
          <w:rFonts w:ascii="Narkisim" w:hAnsi="Narkisim" w:cs="Narkisim"/>
          <w:b/>
          <w:bCs/>
          <w:rtl/>
        </w:rPr>
        <w:t>תו"י</w:t>
      </w:r>
      <w:r w:rsidRPr="00AF3214">
        <w:rPr>
          <w:rFonts w:ascii="Narkisim" w:hAnsi="Narkisim" w:cs="Narkisim"/>
          <w:rtl/>
        </w:rPr>
        <w:t xml:space="preserve"> (וכן תוס' קידושין מו:) הק' נימא דיש נשיאות חטא משום שעבר אמימרא דרחמנא. וכדאי' (תמורה ד:) לדעת רבא</w:t>
      </w:r>
      <w:r w:rsidRPr="00AF3214">
        <w:rPr>
          <w:rStyle w:val="ac"/>
          <w:rFonts w:ascii="Narkisim" w:hAnsi="Narkisim" w:cs="Narkisim"/>
          <w:rtl/>
        </w:rPr>
        <w:footnoteReference w:id="5581"/>
      </w:r>
      <w:r w:rsidRPr="00AF3214">
        <w:rPr>
          <w:rFonts w:ascii="Narkisim" w:hAnsi="Narkisim" w:cs="Narkisim"/>
        </w:rPr>
        <w:t xml:space="preserve"> </w:t>
      </w:r>
      <w:r w:rsidRPr="00AF3214">
        <w:rPr>
          <w:rFonts w:ascii="Narkisim" w:hAnsi="Narkisim" w:cs="Narkisim"/>
          <w:rtl/>
        </w:rPr>
        <w:t>דלוקה משום דעבר אמימרא דרחמנא</w:t>
      </w:r>
      <w:r w:rsidRPr="00AF3214">
        <w:rPr>
          <w:rFonts w:ascii="Narkisim" w:hAnsi="Narkisim" w:cs="Narkisim"/>
        </w:rPr>
        <w:t>.</w:t>
      </w:r>
    </w:p>
    <w:p w14:paraId="441E0A3F"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תו"י</w:t>
      </w:r>
      <w:r w:rsidRPr="00AF3214">
        <w:rPr>
          <w:rFonts w:ascii="Narkisim" w:hAnsi="Narkisim"/>
          <w:rtl/>
        </w:rPr>
        <w:t xml:space="preserve"> תי' דנשיאות חטא משמע דהאיסור קיים לעולם</w:t>
      </w:r>
      <w:r w:rsidRPr="00AF3214">
        <w:rPr>
          <w:rStyle w:val="ac"/>
          <w:rFonts w:ascii="Narkisim" w:hAnsi="Narkisim"/>
          <w:rtl/>
        </w:rPr>
        <w:footnoteReference w:id="5582"/>
      </w:r>
      <w:r w:rsidRPr="00AF3214">
        <w:rPr>
          <w:rFonts w:ascii="Narkisim" w:hAnsi="Narkisim"/>
        </w:rPr>
        <w:t xml:space="preserve">. </w:t>
      </w:r>
      <w:r w:rsidRPr="00AF3214">
        <w:rPr>
          <w:rFonts w:ascii="Narkisim" w:hAnsi="Narkisim"/>
          <w:rtl/>
        </w:rPr>
        <w:t>ו</w:t>
      </w:r>
      <w:r w:rsidRPr="00AF3214">
        <w:rPr>
          <w:rFonts w:ascii="Narkisim" w:hAnsi="Narkisim"/>
          <w:b/>
          <w:bCs/>
          <w:rtl/>
        </w:rPr>
        <w:t>תוס</w:t>
      </w:r>
      <w:r w:rsidRPr="00AF3214">
        <w:rPr>
          <w:rFonts w:ascii="Narkisim" w:hAnsi="Narkisim"/>
          <w:rtl/>
        </w:rPr>
        <w:t>' (קידושין מו:) תי' דמשמע בקרא דיש ב' חטאים, שעבר אמימרא דרחמנא, וחטא בתרומתו דהויא תרומה מהרעה</w:t>
      </w:r>
      <w:r w:rsidRPr="00AF3214">
        <w:rPr>
          <w:rStyle w:val="ac"/>
          <w:rFonts w:ascii="Narkisim" w:hAnsi="Narkisim"/>
          <w:rtl/>
        </w:rPr>
        <w:footnoteReference w:id="5583"/>
      </w:r>
      <w:r w:rsidRPr="00AF3214">
        <w:rPr>
          <w:rFonts w:ascii="Narkisim" w:hAnsi="Narkisim"/>
        </w:rPr>
        <w:t>.</w:t>
      </w:r>
    </w:p>
    <w:p w14:paraId="4F7BF86A"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(תמורה ה. ד"ה אם אינו, בשם הר"ש משאנץ) תי' דדרשי' למה כתיב נשיאות חטא, דבלאו הכי ידעי' מדכתיב מכל חלבו, חלבו ולא גירועין</w:t>
      </w:r>
      <w:r w:rsidRPr="00AF3214">
        <w:rPr>
          <w:rFonts w:ascii="Narkisim" w:hAnsi="Narkisim"/>
        </w:rPr>
        <w:t>.</w:t>
      </w:r>
    </w:p>
    <w:p w14:paraId="61F5D911"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גר"ח</w:t>
      </w:r>
      <w:r w:rsidRPr="00AF3214">
        <w:rPr>
          <w:rFonts w:ascii="Narkisim" w:hAnsi="Narkisim"/>
          <w:rtl/>
        </w:rPr>
        <w:t xml:space="preserve"> (סטנסל) תי' דמעשה ההפרשה מן הרע אינו גוף האיסור, אלא מה שאינו תורם מן היפה. ולו יצויר שאחר ההפרשה מן הרע יכול לתרום עוד הפעם מן היפה לא היה בזה איסור כלל. וכיון דל"מ ואינו קדוש, הרי תורם שוב מיפה ולא עבר כלל אמימרא דרחמנא</w:t>
      </w:r>
      <w:r w:rsidRPr="00AF3214">
        <w:rPr>
          <w:rStyle w:val="ac"/>
          <w:rFonts w:ascii="Narkisim" w:hAnsi="Narkisim"/>
          <w:rtl/>
        </w:rPr>
        <w:footnoteReference w:id="5584"/>
      </w:r>
      <w:r w:rsidRPr="00AF3214">
        <w:rPr>
          <w:rFonts w:ascii="Narkisim" w:hAnsi="Narkisim"/>
        </w:rPr>
        <w:t xml:space="preserve">. </w:t>
      </w:r>
      <w:r w:rsidRPr="00AF3214">
        <w:rPr>
          <w:rFonts w:ascii="Narkisim" w:hAnsi="Narkisim"/>
          <w:rtl/>
        </w:rPr>
        <w:t>וה</w:t>
      </w:r>
      <w:r w:rsidRPr="00AF3214">
        <w:rPr>
          <w:rFonts w:ascii="Narkisim" w:hAnsi="Narkisim"/>
          <w:b/>
          <w:bCs/>
          <w:rtl/>
        </w:rPr>
        <w:t>גרי"ז</w:t>
      </w:r>
      <w:r w:rsidRPr="00AF3214">
        <w:rPr>
          <w:rFonts w:ascii="Narkisim" w:hAnsi="Narkisim"/>
          <w:rtl/>
        </w:rPr>
        <w:t xml:space="preserve"> ציין דכ"מ בדברי ה</w:t>
      </w:r>
      <w:r w:rsidRPr="00AF3214">
        <w:rPr>
          <w:rFonts w:ascii="Narkisim" w:hAnsi="Narkisim"/>
          <w:b/>
          <w:bCs/>
          <w:rtl/>
        </w:rPr>
        <w:t>רשב"ם</w:t>
      </w:r>
      <w:r w:rsidRPr="00AF3214">
        <w:rPr>
          <w:rFonts w:ascii="Narkisim" w:hAnsi="Narkisim"/>
          <w:rtl/>
        </w:rPr>
        <w:t xml:space="preserve"> (ב"ב פד:) נשיאות חטא ל"ל הא לא עבד ולא מידי, ויחזור ויתרום מן היפה. ולא תשאו חטא בהרמכם וכו' הא אם תרימו מן הרע תקדש ואין תקנה להחליפו ולא לחזור ולתרום</w:t>
      </w:r>
      <w:r w:rsidRPr="00AF3214">
        <w:rPr>
          <w:rStyle w:val="ac"/>
          <w:rFonts w:ascii="Narkisim" w:hAnsi="Narkisim"/>
          <w:rtl/>
        </w:rPr>
        <w:footnoteReference w:id="5585"/>
      </w:r>
      <w:r w:rsidRPr="00AF3214">
        <w:rPr>
          <w:rFonts w:ascii="Narkisim" w:hAnsi="Narkisim"/>
        </w:rPr>
        <w:t>.</w:t>
      </w:r>
    </w:p>
    <w:p w14:paraId="2F9543DC" w14:textId="77777777" w:rsidR="006C4368" w:rsidRPr="00AF3214" w:rsidRDefault="006C4368" w:rsidP="006C4368">
      <w:pPr>
        <w:pStyle w:val="2"/>
        <w:bidi/>
        <w:rPr>
          <w:rFonts w:ascii="Narkisim" w:hAnsi="Narkisim"/>
        </w:rPr>
      </w:pPr>
      <w:r w:rsidRPr="00AF3214">
        <w:rPr>
          <w:rFonts w:ascii="Narkisim" w:hAnsi="Narkisim"/>
          <w:rtl/>
        </w:rPr>
        <w:t>סוגיית כח ביד חכמים לעקור דבר מה"ת</w:t>
      </w:r>
    </w:p>
    <w:p w14:paraId="0C590ADE" w14:textId="77777777" w:rsidR="006C4368" w:rsidRPr="00AF3214" w:rsidRDefault="006C4368" w:rsidP="006C4368">
      <w:pPr>
        <w:bidi/>
        <w:rPr>
          <w:rFonts w:ascii="Narkisim" w:hAnsi="Narkisim" w:cs="Narkisim"/>
        </w:rPr>
      </w:pPr>
      <w:r w:rsidRPr="00AF3214">
        <w:rPr>
          <w:rFonts w:ascii="Narkisim" w:hAnsi="Narkisim" w:cs="Narkisim"/>
          <w:u w:val="single"/>
          <w:rtl/>
        </w:rPr>
        <w:t>ומשום דילמא פשע אפקוה רבנן לחולין, וכי בי"ד מתנין לעקור דבר מה"ת</w:t>
      </w:r>
      <w:r w:rsidRPr="00AF3214">
        <w:rPr>
          <w:rFonts w:ascii="Narkisim" w:hAnsi="Narkisim" w:cs="Narkisim"/>
          <w:rtl/>
        </w:rPr>
        <w:t>. ורב חסדא השיב דאה"נ, בי"ד מתנין לעקור דבר מהתורה. פ</w:t>
      </w:r>
      <w:r w:rsidRPr="00AF3214">
        <w:rPr>
          <w:rFonts w:ascii="Narkisim" w:hAnsi="Narkisim" w:cs="Narkisim"/>
          <w:b/>
          <w:bCs/>
          <w:rtl/>
        </w:rPr>
        <w:t>רש"י</w:t>
      </w:r>
      <w:r w:rsidRPr="00AF3214">
        <w:rPr>
          <w:rFonts w:ascii="Narkisim" w:hAnsi="Narkisim" w:cs="Narkisim"/>
          <w:rtl/>
        </w:rPr>
        <w:t xml:space="preserve"> (צ. ד"ה שב) דמפקת לה לחולין, הוה עקירה ממש. האחרונים חקרו בגדר העקירה. האם חכמים הפכו את התרומה לחולין [וממילא זר </w:t>
      </w:r>
      <w:r w:rsidRPr="00AF3214">
        <w:rPr>
          <w:rFonts w:ascii="Narkisim" w:hAnsi="Narkisim" w:cs="Narkisim"/>
          <w:rtl/>
        </w:rPr>
        <w:lastRenderedPageBreak/>
        <w:t>אוכלה], או דחכמים התירו לו לעבור על האיסור, ורשאי לאכול אף דהוה תרומה מדאורייתא</w:t>
      </w:r>
      <w:r w:rsidRPr="00AF3214">
        <w:rPr>
          <w:rStyle w:val="ac"/>
          <w:rFonts w:ascii="Narkisim" w:hAnsi="Narkisim" w:cs="Narkisim"/>
          <w:rtl/>
        </w:rPr>
        <w:footnoteReference w:id="5586"/>
      </w:r>
      <w:r w:rsidRPr="00AF3214">
        <w:rPr>
          <w:rFonts w:ascii="Narkisim" w:hAnsi="Narkisim" w:cs="Narkisim"/>
        </w:rPr>
        <w:t>.</w:t>
      </w:r>
    </w:p>
    <w:p w14:paraId="4F02A61D"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(נדרים צ:) כת' [היכא דעקרו למיגדר מילתא (לקמן צ:)] לא שחכמים עוקרין דבר מה"ת מדעתן, אלא</w:t>
      </w:r>
      <w:r w:rsidRPr="00AF3214">
        <w:rPr>
          <w:rStyle w:val="ac"/>
          <w:rFonts w:ascii="Narkisim" w:hAnsi="Narkisim"/>
          <w:rtl/>
        </w:rPr>
        <w:footnoteReference w:id="5587"/>
      </w:r>
      <w:r w:rsidRPr="00AF3214">
        <w:rPr>
          <w:rFonts w:ascii="Narkisim" w:hAnsi="Narkisim"/>
        </w:rPr>
        <w:t xml:space="preserve"> </w:t>
      </w:r>
      <w:r w:rsidRPr="00AF3214">
        <w:rPr>
          <w:rFonts w:ascii="Narkisim" w:hAnsi="Narkisim"/>
          <w:rtl/>
        </w:rPr>
        <w:t>אחת ממצות התורה היא לשמוע אל דברי השופט אשר יהי' בימים ההם. וכל שהן רואין צורך להתיר, מותר מה"ת</w:t>
      </w:r>
      <w:r w:rsidRPr="00AF3214">
        <w:rPr>
          <w:rFonts w:ascii="Narkisim" w:hAnsi="Narkisim"/>
        </w:rPr>
        <w:t>.</w:t>
      </w:r>
    </w:p>
    <w:p w14:paraId="33AB7A9B" w14:textId="77777777" w:rsidR="006C4368" w:rsidRPr="00AF3214" w:rsidRDefault="006C4368" w:rsidP="006C4368">
      <w:pPr>
        <w:pStyle w:val="aa"/>
        <w:bidi/>
        <w:rPr>
          <w:rFonts w:ascii="Narkisim" w:hAnsi="Narkisim"/>
        </w:rPr>
      </w:pPr>
      <w:r w:rsidRPr="00AF3214">
        <w:rPr>
          <w:rFonts w:ascii="Narkisim" w:hAnsi="Narkisim"/>
          <w:rtl/>
        </w:rPr>
        <w:t>ויש שדנו איזה בי"ד כחם יפה לעקור דבר מה"ת</w:t>
      </w:r>
      <w:r w:rsidRPr="00AF3214">
        <w:rPr>
          <w:rStyle w:val="ac"/>
          <w:rFonts w:ascii="Narkisim" w:hAnsi="Narkisim"/>
          <w:rtl/>
        </w:rPr>
        <w:footnoteReference w:id="5588"/>
      </w:r>
      <w:r w:rsidRPr="00AF3214">
        <w:rPr>
          <w:rFonts w:ascii="Narkisim" w:hAnsi="Narkisim"/>
        </w:rPr>
        <w:t xml:space="preserve">. </w:t>
      </w:r>
      <w:r w:rsidRPr="00AF3214">
        <w:rPr>
          <w:rFonts w:ascii="Narkisim" w:hAnsi="Narkisim"/>
          <w:rtl/>
        </w:rPr>
        <w:t>ומדברי הרשב"א לכאורה מבואר דכל בי"ד שראוי לתקן תקנות לישראל [והוה בכלל 'לא תסור'], ראוי להתיר דבר מה"ת</w:t>
      </w:r>
      <w:r w:rsidRPr="00AF3214">
        <w:rPr>
          <w:rFonts w:ascii="Narkisim" w:hAnsi="Narkisim"/>
        </w:rPr>
        <w:t>.</w:t>
      </w:r>
    </w:p>
    <w:p w14:paraId="548B5E81" w14:textId="77777777" w:rsidR="006C4368" w:rsidRPr="00AF3214" w:rsidRDefault="006C4368" w:rsidP="006C4368">
      <w:pPr>
        <w:pStyle w:val="aa"/>
        <w:bidi/>
        <w:rPr>
          <w:rFonts w:ascii="Narkisim" w:hAnsi="Narkisim"/>
        </w:rPr>
      </w:pPr>
      <w:r w:rsidRPr="00AF3214">
        <w:rPr>
          <w:rFonts w:ascii="Narkisim" w:hAnsi="Narkisim"/>
          <w:rtl/>
        </w:rPr>
        <w:t>ודעת ה</w:t>
      </w:r>
      <w:r w:rsidRPr="00AF3214">
        <w:rPr>
          <w:rFonts w:ascii="Narkisim" w:hAnsi="Narkisim"/>
          <w:b/>
          <w:bCs/>
          <w:rtl/>
        </w:rPr>
        <w:t>רמב"ם</w:t>
      </w:r>
      <w:r w:rsidRPr="00AF3214">
        <w:rPr>
          <w:rFonts w:ascii="Narkisim" w:hAnsi="Narkisim"/>
          <w:rtl/>
        </w:rPr>
        <w:t xml:space="preserve"> (סה"מ שורש א, עשה קעד) דכל תקנות דרבנן הוה בכלל לאו ד'לא תסור'</w:t>
      </w:r>
      <w:r w:rsidRPr="00AF3214">
        <w:rPr>
          <w:rStyle w:val="ac"/>
          <w:rFonts w:ascii="Narkisim" w:hAnsi="Narkisim"/>
          <w:rtl/>
        </w:rPr>
        <w:footnoteReference w:id="5589"/>
      </w:r>
      <w:r w:rsidRPr="00AF3214">
        <w:rPr>
          <w:rFonts w:ascii="Narkisim" w:hAnsi="Narkisim"/>
          <w:rtl/>
        </w:rPr>
        <w:t>. וכ"כ ה</w:t>
      </w:r>
      <w:r w:rsidRPr="00AF3214">
        <w:rPr>
          <w:rFonts w:ascii="Narkisim" w:hAnsi="Narkisim"/>
          <w:b/>
          <w:bCs/>
          <w:rtl/>
        </w:rPr>
        <w:t>רמב"ם</w:t>
      </w:r>
      <w:r w:rsidRPr="00AF3214">
        <w:rPr>
          <w:rFonts w:ascii="Narkisim" w:hAnsi="Narkisim"/>
          <w:rtl/>
        </w:rPr>
        <w:t xml:space="preserve"> (סוף מנין המצוות) דיש מצוות שקבעו הנביאים והחכמים</w:t>
      </w:r>
      <w:r w:rsidRPr="00AF3214">
        <w:rPr>
          <w:rStyle w:val="ac"/>
          <w:rFonts w:ascii="Narkisim" w:hAnsi="Narkisim"/>
          <w:rtl/>
        </w:rPr>
        <w:footnoteReference w:id="5590"/>
      </w:r>
      <w:r w:rsidRPr="00AF3214">
        <w:rPr>
          <w:rFonts w:ascii="Narkisim" w:hAnsi="Narkisim"/>
        </w:rPr>
        <w:t xml:space="preserve">, </w:t>
      </w:r>
      <w:r w:rsidRPr="00AF3214">
        <w:rPr>
          <w:rFonts w:ascii="Narkisim" w:hAnsi="Narkisim"/>
          <w:rtl/>
        </w:rPr>
        <w:t>וחייבין אנו לקבלם ולשמרם שנאמר לא תסור מכל הדבר וכו</w:t>
      </w:r>
      <w:r w:rsidRPr="00AF3214">
        <w:rPr>
          <w:rFonts w:ascii="Narkisim" w:hAnsi="Narkisim"/>
        </w:rPr>
        <w:t>'.</w:t>
      </w:r>
    </w:p>
    <w:p w14:paraId="01B55EAC"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(שם) הביא דהרמב"ם החמיר בדברי סופרים כדברי תורה, ואין ביניהם שום הפרש. שכל דבריהם ל"ת ועשה. והק' א"כ אמאי אינו לוקה. ועוד דבדברי סופרים אזלי' להקל. וה</w:t>
      </w:r>
      <w:r w:rsidRPr="00AF3214">
        <w:rPr>
          <w:rFonts w:ascii="Narkisim" w:hAnsi="Narkisim"/>
          <w:b/>
          <w:bCs/>
          <w:rtl/>
        </w:rPr>
        <w:t>רמב"ן</w:t>
      </w:r>
      <w:r w:rsidRPr="00AF3214">
        <w:rPr>
          <w:rFonts w:ascii="Narkisim" w:hAnsi="Narkisim"/>
          <w:rtl/>
        </w:rPr>
        <w:t xml:space="preserve"> הביא דבגמ' (ברכות יט:) אי' דאסמכינהו מידי דרבנן אלאו דלא תסור. והוה סמך וחיזוק בעלמא</w:t>
      </w:r>
      <w:r w:rsidRPr="00AF3214">
        <w:rPr>
          <w:rStyle w:val="ac"/>
          <w:rFonts w:ascii="Narkisim" w:hAnsi="Narkisim"/>
          <w:rtl/>
        </w:rPr>
        <w:footnoteReference w:id="5591"/>
      </w:r>
      <w:r w:rsidRPr="00AF3214">
        <w:rPr>
          <w:rFonts w:ascii="Narkisim" w:hAnsi="Narkisim"/>
        </w:rPr>
        <w:t xml:space="preserve">. </w:t>
      </w:r>
      <w:r w:rsidRPr="00AF3214">
        <w:rPr>
          <w:rFonts w:ascii="Narkisim" w:hAnsi="Narkisim"/>
          <w:rtl/>
        </w:rPr>
        <w:t>[והמפרשים שם ושאר אחרונים האריכו בכ"ז, ע"ע קונ' דברי סופרים (א, בקוב"ש ח"ב)]. והאחרונים דנו לדעת הרמב"ן מהיכן כח חכמים לחייבו בתקנתם</w:t>
      </w:r>
      <w:r w:rsidRPr="00AF3214">
        <w:rPr>
          <w:rStyle w:val="ac"/>
          <w:rFonts w:ascii="Narkisim" w:hAnsi="Narkisim"/>
          <w:rtl/>
        </w:rPr>
        <w:footnoteReference w:id="5592"/>
      </w:r>
      <w:r w:rsidRPr="00AF3214">
        <w:rPr>
          <w:rFonts w:ascii="Narkisim" w:hAnsi="Narkisim"/>
        </w:rPr>
        <w:t>.</w:t>
      </w:r>
    </w:p>
    <w:p w14:paraId="25FD9DDD" w14:textId="77777777" w:rsidR="006C4368" w:rsidRPr="00AF3214" w:rsidRDefault="006C4368" w:rsidP="006C4368">
      <w:pPr>
        <w:pStyle w:val="aa"/>
        <w:bidi/>
        <w:rPr>
          <w:rFonts w:ascii="Narkisim" w:hAnsi="Narkisim"/>
        </w:rPr>
      </w:pPr>
      <w:r w:rsidRPr="00AF3214">
        <w:rPr>
          <w:rFonts w:ascii="Narkisim" w:hAnsi="Narkisim"/>
          <w:u w:val="single"/>
          <w:rtl/>
        </w:rPr>
        <w:t>מאימתי אדם יורש את אשתו קטנה וכו'</w:t>
      </w:r>
      <w:r w:rsidRPr="00AF3214">
        <w:rPr>
          <w:rFonts w:ascii="Narkisim" w:hAnsi="Narkisim"/>
          <w:rtl/>
        </w:rPr>
        <w:t>. דר' אליעזר (לקמן קח.) אמר דאין מעשה קטנה כלום, והנשאת למיאון בעלה אינו זכאי במציאתה ובמעש"י והפרת נדריה, ואינו יורשה ומטמא לה. כללו של דבר אינו כאשתו לכל דבר</w:t>
      </w:r>
      <w:r w:rsidRPr="00AF3214">
        <w:rPr>
          <w:rStyle w:val="ac"/>
          <w:rFonts w:ascii="Narkisim" w:hAnsi="Narkisim"/>
          <w:rtl/>
        </w:rPr>
        <w:footnoteReference w:id="5593"/>
      </w:r>
      <w:r w:rsidRPr="00AF3214">
        <w:rPr>
          <w:rFonts w:ascii="Narkisim" w:hAnsi="Narkisim"/>
        </w:rPr>
        <w:t xml:space="preserve">, </w:t>
      </w:r>
      <w:r w:rsidRPr="00AF3214">
        <w:rPr>
          <w:rFonts w:ascii="Narkisim" w:hAnsi="Narkisim"/>
          <w:rtl/>
        </w:rPr>
        <w:t>אלא שצריכה מיאון. ור' יהושע פליג דמהני קידושי מיאון, וזכאי במציאתה ובמעש"י ובהפרת נדריה, ויורשה ומטמא לה. כללו של דבר הוה כאשתו לכל דבר, אלא שיוצאת במיאון</w:t>
      </w:r>
      <w:r w:rsidRPr="00AF3214">
        <w:rPr>
          <w:rFonts w:ascii="Narkisim" w:hAnsi="Narkisim"/>
        </w:rPr>
        <w:t>.</w:t>
      </w:r>
    </w:p>
    <w:p w14:paraId="0D9DF5AA" w14:textId="77777777" w:rsidR="006C4368" w:rsidRPr="00AF3214" w:rsidRDefault="006C4368" w:rsidP="006C4368">
      <w:pPr>
        <w:pStyle w:val="a8"/>
        <w:bidi/>
        <w:rPr>
          <w:rFonts w:ascii="Narkisim" w:hAnsi="Narkisim"/>
        </w:rPr>
      </w:pPr>
      <w:r w:rsidRPr="00AF3214">
        <w:rPr>
          <w:rFonts w:ascii="Narkisim" w:hAnsi="Narkisim"/>
          <w:rtl/>
        </w:rPr>
        <w:t>ובית הלל דברייתא דהכא ס"ל דמהני כניסה לחופה, וכר' יהושע. ובי"ש ור"א ס"ל דדוקא היכא שגדלה</w:t>
      </w:r>
      <w:r w:rsidRPr="00AF3214">
        <w:rPr>
          <w:rFonts w:ascii="Narkisim" w:hAnsi="Narkisim"/>
        </w:rPr>
        <w:t>.</w:t>
      </w:r>
    </w:p>
    <w:p w14:paraId="7FE64515" w14:textId="77777777" w:rsidR="006C4368" w:rsidRPr="00AF3214" w:rsidRDefault="006C4368" w:rsidP="006C4368">
      <w:pPr>
        <w:bidi/>
        <w:rPr>
          <w:rFonts w:ascii="Narkisim" w:hAnsi="Narkisim" w:cs="Narkisim"/>
        </w:rPr>
      </w:pPr>
      <w:r w:rsidRPr="00AF3214">
        <w:rPr>
          <w:rFonts w:ascii="Narkisim" w:hAnsi="Narkisim" w:cs="Narkisim"/>
          <w:u w:val="single"/>
          <w:rtl/>
        </w:rPr>
        <w:t>רש"י ד"ה את אשתו</w:t>
      </w:r>
      <w:r w:rsidRPr="00AF3214">
        <w:rPr>
          <w:rFonts w:ascii="Narkisim" w:hAnsi="Narkisim" w:cs="Narkisim"/>
          <w:rtl/>
        </w:rPr>
        <w:t>. ולא אמרי' שמא עתידה היתה למאן, ואשתכח דלאו אשתו הואי. משמע דרש"י פי' מתי אמרי' דהוה ודאי אשתו, ומש"ה יורשה. ו</w:t>
      </w:r>
      <w:r w:rsidRPr="00AF3214">
        <w:rPr>
          <w:rFonts w:ascii="Narkisim" w:hAnsi="Narkisim" w:cs="Narkisim"/>
          <w:b/>
          <w:bCs/>
          <w:rtl/>
        </w:rPr>
        <w:t>רע"א</w:t>
      </w:r>
      <w:r w:rsidRPr="00AF3214">
        <w:rPr>
          <w:rFonts w:ascii="Narkisim" w:hAnsi="Narkisim" w:cs="Narkisim"/>
          <w:rtl/>
        </w:rPr>
        <w:t xml:space="preserve"> (בהשמטות) תמה אליבא דמאן קאי רש"י, דדעת בי"ש (לקמן קז.) דאין ממאנין אלא ארוסות, וכיון שנכנסה לחופה אינה יכולה למאן, ואפ"ה אינו יורשה עד שתעמוד בקומתה. [וע"כ דיש טעם אחר דאינו יורשה]. ודעת בית הלל דכיון דנכנסה לחופה [אף בעודה קטנה] יורשה, אף דיכולה למאן. ולדעת ר' אליעזר מבואר דבעינן תגדל ותבעל, ואף שגדלה ואינה יכולה למאן, דוקא ששוב תבעל. וצלע"ג</w:t>
      </w:r>
      <w:r w:rsidRPr="00AF3214">
        <w:rPr>
          <w:rFonts w:ascii="Narkisim" w:hAnsi="Narkisim" w:cs="Narkisim"/>
        </w:rPr>
        <w:t>.</w:t>
      </w:r>
    </w:p>
    <w:p w14:paraId="3FF53E06" w14:textId="77777777" w:rsidR="006C4368" w:rsidRPr="00AF3214" w:rsidRDefault="006C4368" w:rsidP="006C4368">
      <w:pPr>
        <w:pStyle w:val="a8"/>
        <w:bidi/>
        <w:rPr>
          <w:rFonts w:ascii="Narkisim" w:hAnsi="Narkisim"/>
        </w:rPr>
      </w:pPr>
      <w:r w:rsidRPr="00AF3214">
        <w:rPr>
          <w:rFonts w:ascii="Narkisim" w:hAnsi="Narkisim"/>
          <w:rtl/>
        </w:rPr>
        <w:t>ולכאורה כוונת רש"י 'שמא עתידה למאן' דחז"ל תקנו קידושי מיאון בגדר אישות ספק</w:t>
      </w:r>
      <w:r w:rsidRPr="00AF3214">
        <w:rPr>
          <w:rStyle w:val="ac"/>
          <w:rFonts w:ascii="Narkisim" w:hAnsi="Narkisim"/>
          <w:rtl/>
        </w:rPr>
        <w:footnoteReference w:id="5594"/>
      </w:r>
      <w:r w:rsidRPr="00AF3214">
        <w:rPr>
          <w:rFonts w:ascii="Narkisim" w:hAnsi="Narkisim"/>
        </w:rPr>
        <w:t xml:space="preserve"> </w:t>
      </w:r>
      <w:r w:rsidRPr="00AF3214">
        <w:rPr>
          <w:rFonts w:ascii="Narkisim" w:hAnsi="Narkisim"/>
          <w:rtl/>
        </w:rPr>
        <w:t xml:space="preserve">מחמת דיש בהם צד </w:t>
      </w:r>
      <w:r w:rsidRPr="00AF3214">
        <w:rPr>
          <w:rFonts w:ascii="Narkisim" w:hAnsi="Narkisim"/>
          <w:rtl/>
        </w:rPr>
        <w:lastRenderedPageBreak/>
        <w:t>מיאון. ואף באופן שכבר גדלה</w:t>
      </w:r>
      <w:r w:rsidRPr="00AF3214">
        <w:rPr>
          <w:rStyle w:val="ac"/>
          <w:rFonts w:ascii="Narkisim" w:hAnsi="Narkisim"/>
          <w:rtl/>
        </w:rPr>
        <w:footnoteReference w:id="5595"/>
      </w:r>
      <w:r w:rsidRPr="00AF3214">
        <w:rPr>
          <w:rFonts w:ascii="Narkisim" w:hAnsi="Narkisim"/>
        </w:rPr>
        <w:t xml:space="preserve"> </w:t>
      </w:r>
      <w:r w:rsidRPr="00AF3214">
        <w:rPr>
          <w:rFonts w:ascii="Narkisim" w:hAnsi="Narkisim"/>
          <w:rtl/>
        </w:rPr>
        <w:t>ואינה יכולה למאן, מ"מ הוה גדר אישות ספק</w:t>
      </w:r>
      <w:r w:rsidRPr="00AF3214">
        <w:rPr>
          <w:rStyle w:val="ac"/>
          <w:rFonts w:ascii="Narkisim" w:hAnsi="Narkisim"/>
          <w:rtl/>
        </w:rPr>
        <w:footnoteReference w:id="5596"/>
      </w:r>
      <w:r w:rsidRPr="00AF3214">
        <w:rPr>
          <w:rFonts w:ascii="Narkisim" w:hAnsi="Narkisim"/>
        </w:rPr>
        <w:t xml:space="preserve">. </w:t>
      </w:r>
      <w:r w:rsidRPr="00AF3214">
        <w:rPr>
          <w:rFonts w:ascii="Narkisim" w:hAnsi="Narkisim"/>
          <w:rtl/>
        </w:rPr>
        <w:t>ורש"י ביאר הטעם דלבי"ש ור"א ע"י אישות קטנה אינה זוכה בה דהוה ספק</w:t>
      </w:r>
      <w:r w:rsidRPr="00AF3214">
        <w:rPr>
          <w:rFonts w:ascii="Narkisim" w:hAnsi="Narkisim"/>
        </w:rPr>
        <w:t>.</w:t>
      </w:r>
    </w:p>
    <w:p w14:paraId="3E594EB6" w14:textId="77777777" w:rsidR="006C4368" w:rsidRPr="00AF3214" w:rsidRDefault="006C4368" w:rsidP="006C4368">
      <w:pPr>
        <w:pStyle w:val="aa"/>
        <w:bidi/>
        <w:rPr>
          <w:rFonts w:ascii="Narkisim" w:hAnsi="Narkisim"/>
        </w:rPr>
      </w:pPr>
      <w:r w:rsidRPr="00AF3214">
        <w:rPr>
          <w:rFonts w:ascii="Narkisim" w:hAnsi="Narkisim"/>
          <w:u w:val="single"/>
          <w:rtl/>
        </w:rPr>
        <w:t>תוד"ה משתעמוד</w:t>
      </w:r>
      <w:r w:rsidRPr="00AF3214">
        <w:rPr>
          <w:rFonts w:ascii="Narkisim" w:hAnsi="Narkisim"/>
          <w:rtl/>
        </w:rPr>
        <w:t>. וה"ה אם נכנסה לחופה ואח"כ עמדה וכו'. יל"פ דמהני החופה שבקטנות [אף דהוה קודם קידושין], ועי"ז קונה אותה מכאן ולהבא. כיון דבמציאות היא עדיין תוך ביתו. ונחשב נישואין מכאן ולהבא</w:t>
      </w:r>
      <w:r w:rsidRPr="00AF3214">
        <w:rPr>
          <w:rStyle w:val="ac"/>
          <w:rFonts w:ascii="Narkisim" w:hAnsi="Narkisim"/>
          <w:rtl/>
        </w:rPr>
        <w:footnoteReference w:id="5597"/>
      </w:r>
      <w:r w:rsidRPr="00AF3214">
        <w:rPr>
          <w:rFonts w:ascii="Narkisim" w:hAnsi="Narkisim"/>
        </w:rPr>
        <w:t xml:space="preserve">. </w:t>
      </w:r>
      <w:r w:rsidRPr="00AF3214">
        <w:rPr>
          <w:rFonts w:ascii="Narkisim" w:hAnsi="Narkisim"/>
          <w:rtl/>
        </w:rPr>
        <w:t>[אך מסו"ד התוס' לא משמע כן]</w:t>
      </w:r>
      <w:r w:rsidRPr="00AF3214">
        <w:rPr>
          <w:rFonts w:ascii="Narkisim" w:hAnsi="Narkisim"/>
        </w:rPr>
        <w:t>.</w:t>
      </w:r>
    </w:p>
    <w:p w14:paraId="032D707E" w14:textId="77777777" w:rsidR="006C4368" w:rsidRPr="00AF3214" w:rsidRDefault="006C4368" w:rsidP="006C4368">
      <w:pPr>
        <w:pStyle w:val="aa"/>
        <w:bidi/>
        <w:rPr>
          <w:rFonts w:ascii="Narkisim" w:hAnsi="Narkisim"/>
        </w:rPr>
      </w:pPr>
      <w:r w:rsidRPr="00AF3214">
        <w:rPr>
          <w:rFonts w:ascii="Narkisim" w:hAnsi="Narkisim"/>
          <w:u w:val="single"/>
          <w:rtl/>
        </w:rPr>
        <w:t>בא"ד דמ"ש מקידושין דמהנו כשהיו בקטנות, ואח"כ עמדה בקומתה</w:t>
      </w:r>
      <w:r w:rsidRPr="00AF3214">
        <w:rPr>
          <w:rFonts w:ascii="Narkisim" w:hAnsi="Narkisim"/>
          <w:rtl/>
        </w:rPr>
        <w:t>. לכאורה כוונת התוס' דלבי"ש מהני חופה בלא ביאה. וע"כ דסגי להו בקידושין דרבנן [שהיו בקטנות], ומהני משעה שנראית גדולה. ומשמע דאף החופה שעשה מעיקרא בעודו קטן מהני</w:t>
      </w:r>
      <w:r w:rsidRPr="00AF3214">
        <w:rPr>
          <w:rFonts w:ascii="Narkisim" w:hAnsi="Narkisim"/>
        </w:rPr>
        <w:t>.</w:t>
      </w:r>
    </w:p>
    <w:p w14:paraId="0141331F" w14:textId="77777777" w:rsidR="006C4368" w:rsidRPr="00AF3214" w:rsidRDefault="006C4368" w:rsidP="006C4368">
      <w:pPr>
        <w:pStyle w:val="aa"/>
        <w:bidi/>
        <w:rPr>
          <w:rFonts w:ascii="Narkisim" w:hAnsi="Narkisim"/>
        </w:rPr>
      </w:pPr>
      <w:r w:rsidRPr="00AF3214">
        <w:rPr>
          <w:rFonts w:ascii="Narkisim" w:hAnsi="Narkisim"/>
          <w:u w:val="single"/>
          <w:rtl/>
        </w:rPr>
        <w:t>קתני מיהת יורשה וכו'</w:t>
      </w:r>
      <w:r w:rsidRPr="00AF3214">
        <w:rPr>
          <w:rFonts w:ascii="Narkisim" w:hAnsi="Narkisim"/>
          <w:rtl/>
        </w:rPr>
        <w:t>. לכאורה הביא מדברי בי"ה דמהני חופה בעודה קטנה, והו"ל להביא ברייתא דר' יהושע (לקמן קח.). אבל ר"א איירי שגדלה וקנאה מדאורייתא. וכן בי"ש [לפרש"י], אבל לר"י בי"ש איירי מדרבנן היכא שנראית גדולה קצת</w:t>
      </w:r>
      <w:r w:rsidRPr="00AF3214">
        <w:rPr>
          <w:rFonts w:ascii="Narkisim" w:hAnsi="Narkisim"/>
        </w:rPr>
        <w:t>.</w:t>
      </w:r>
    </w:p>
    <w:p w14:paraId="3D52D939" w14:textId="77777777" w:rsidR="006C4368" w:rsidRPr="00AF3214" w:rsidRDefault="006C4368" w:rsidP="006C4368">
      <w:pPr>
        <w:pStyle w:val="aa"/>
        <w:bidi/>
        <w:rPr>
          <w:rFonts w:ascii="Narkisim" w:hAnsi="Narkisim"/>
        </w:rPr>
      </w:pPr>
      <w:r w:rsidRPr="00AF3214">
        <w:rPr>
          <w:rFonts w:ascii="Narkisim" w:hAnsi="Narkisim"/>
          <w:u w:val="single"/>
          <w:rtl/>
        </w:rPr>
        <w:t>והא הכא דמדאורייתא אבוה ירית לה</w:t>
      </w:r>
      <w:r w:rsidRPr="00AF3214">
        <w:rPr>
          <w:rFonts w:ascii="Narkisim" w:hAnsi="Narkisim"/>
          <w:rtl/>
        </w:rPr>
        <w:t>. פ</w:t>
      </w:r>
      <w:r w:rsidRPr="00AF3214">
        <w:rPr>
          <w:rFonts w:ascii="Narkisim" w:hAnsi="Narkisim"/>
          <w:b/>
          <w:bCs/>
          <w:rtl/>
        </w:rPr>
        <w:t>רש"י</w:t>
      </w:r>
      <w:r w:rsidRPr="00AF3214">
        <w:rPr>
          <w:rFonts w:ascii="Narkisim" w:hAnsi="Narkisim"/>
          <w:rtl/>
        </w:rPr>
        <w:t xml:space="preserve"> כלומר קרובי האב. דהא איירי ביתומה. ו</w:t>
      </w:r>
      <w:r w:rsidRPr="00AF3214">
        <w:rPr>
          <w:rFonts w:ascii="Narkisim" w:hAnsi="Narkisim"/>
          <w:b/>
          <w:bCs/>
          <w:rtl/>
        </w:rPr>
        <w:t>רע"א</w:t>
      </w:r>
      <w:r w:rsidRPr="00AF3214">
        <w:rPr>
          <w:rFonts w:ascii="Narkisim" w:hAnsi="Narkisim"/>
          <w:rtl/>
        </w:rPr>
        <w:t xml:space="preserve"> כת' דמשכח"ל ביתומה בחיי האב</w:t>
      </w:r>
      <w:r w:rsidRPr="00AF3214">
        <w:rPr>
          <w:rStyle w:val="ac"/>
          <w:rFonts w:ascii="Narkisim" w:hAnsi="Narkisim"/>
          <w:rtl/>
        </w:rPr>
        <w:footnoteReference w:id="5598"/>
      </w:r>
      <w:r w:rsidRPr="00AF3214">
        <w:rPr>
          <w:rFonts w:ascii="Narkisim" w:hAnsi="Narkisim"/>
        </w:rPr>
        <w:t>.</w:t>
      </w:r>
    </w:p>
    <w:p w14:paraId="2E642995" w14:textId="77777777" w:rsidR="006C4368" w:rsidRPr="00AF3214" w:rsidRDefault="006C4368" w:rsidP="006C4368">
      <w:pPr>
        <w:bidi/>
        <w:rPr>
          <w:rFonts w:ascii="Narkisim" w:hAnsi="Narkisim" w:cs="Narkisim"/>
        </w:rPr>
      </w:pPr>
      <w:r w:rsidRPr="00AF3214">
        <w:rPr>
          <w:rFonts w:ascii="Narkisim" w:hAnsi="Narkisim" w:cs="Narkisim"/>
          <w:u w:val="single"/>
          <w:rtl/>
        </w:rPr>
        <w:t>ומדרבנן ירית לה בעל וכו</w:t>
      </w:r>
      <w:r w:rsidRPr="00AF3214">
        <w:rPr>
          <w:rFonts w:ascii="Narkisim" w:hAnsi="Narkisim" w:cs="Narkisim"/>
          <w:rtl/>
        </w:rPr>
        <w:t>'. ה</w:t>
      </w:r>
      <w:r w:rsidRPr="00AF3214">
        <w:rPr>
          <w:rFonts w:ascii="Narkisim" w:hAnsi="Narkisim" w:cs="Narkisim"/>
          <w:b/>
          <w:bCs/>
          <w:rtl/>
        </w:rPr>
        <w:t>רמ"ך</w:t>
      </w:r>
      <w:r w:rsidRPr="00AF3214">
        <w:rPr>
          <w:rFonts w:ascii="Narkisim" w:hAnsi="Narkisim" w:cs="Narkisim"/>
          <w:rtl/>
        </w:rPr>
        <w:t xml:space="preserve"> (אישות יב ט) דייק דהגמ' מקשה מירושת קטנה, ואילו למ"ד דירושת הבעל דרבנן הו"ל לגמ' להק' מכל בעל דתקנו דיורש את אשתו. ע"כ סוגיין ס"ל דקי"ל דירושת הבעל דרבנן</w:t>
      </w:r>
      <w:r w:rsidRPr="00AF3214">
        <w:rPr>
          <w:rFonts w:ascii="Narkisim" w:hAnsi="Narkisim" w:cs="Narkisim"/>
        </w:rPr>
        <w:t>.</w:t>
      </w:r>
    </w:p>
    <w:p w14:paraId="539C039B" w14:textId="77777777" w:rsidR="006C4368" w:rsidRPr="00AF3214" w:rsidRDefault="006C4368" w:rsidP="006C4368">
      <w:pPr>
        <w:bidi/>
        <w:rPr>
          <w:rFonts w:ascii="Narkisim" w:hAnsi="Narkisim" w:cs="Narkisim"/>
        </w:rPr>
      </w:pPr>
      <w:r w:rsidRPr="00AF3214">
        <w:rPr>
          <w:rFonts w:ascii="Narkisim" w:hAnsi="Narkisim" w:cs="Narkisim"/>
          <w:u w:val="single"/>
          <w:rtl/>
        </w:rPr>
        <w:t>הפקר בי"ד היה הפקר, כדר' יצחק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וכל מידי דממונא לאו עקירה היא. [לכאורה כוונת רש"י דאי"צ לעקור את סיבת הדין</w:t>
      </w:r>
      <w:r w:rsidRPr="00AF3214">
        <w:rPr>
          <w:rStyle w:val="ac"/>
          <w:rFonts w:ascii="Narkisim" w:hAnsi="Narkisim" w:cs="Narkisim"/>
          <w:rtl/>
        </w:rPr>
        <w:footnoteReference w:id="5599"/>
      </w:r>
      <w:r w:rsidRPr="00AF3214">
        <w:rPr>
          <w:rFonts w:ascii="Narkisim" w:hAnsi="Narkisim" w:cs="Narkisim"/>
        </w:rPr>
        <w:t xml:space="preserve">, </w:t>
      </w:r>
      <w:r w:rsidRPr="00AF3214">
        <w:rPr>
          <w:rFonts w:ascii="Narkisim" w:hAnsi="Narkisim" w:cs="Narkisim"/>
          <w:rtl/>
        </w:rPr>
        <w:t>אלא מפקיעין את הממון]</w:t>
      </w:r>
      <w:r w:rsidRPr="00AF3214">
        <w:rPr>
          <w:rFonts w:ascii="Narkisim" w:hAnsi="Narkisim" w:cs="Narkisim"/>
        </w:rPr>
        <w:t>.</w:t>
      </w:r>
    </w:p>
    <w:p w14:paraId="23434048" w14:textId="77777777" w:rsidR="006C4368" w:rsidRPr="00AF3214" w:rsidRDefault="006C4368" w:rsidP="006C4368">
      <w:pPr>
        <w:pStyle w:val="a8"/>
        <w:bidi/>
        <w:rPr>
          <w:rFonts w:ascii="Narkisim" w:hAnsi="Narkisim"/>
        </w:rPr>
      </w:pPr>
      <w:r w:rsidRPr="00AF3214">
        <w:rPr>
          <w:rFonts w:ascii="Narkisim" w:hAnsi="Narkisim"/>
          <w:rtl/>
        </w:rPr>
        <w:t>ובפשוטו מבואר בסוגיין דכל תקנ"ח בממונא מהני משום הפקר בי"ד, שהפקירו ממונו. אבל ה</w:t>
      </w:r>
      <w:r w:rsidRPr="00AF3214">
        <w:rPr>
          <w:rFonts w:ascii="Narkisim" w:hAnsi="Narkisim"/>
          <w:b/>
          <w:bCs/>
          <w:rtl/>
        </w:rPr>
        <w:t>אחרונים</w:t>
      </w:r>
      <w:r w:rsidRPr="00AF3214">
        <w:rPr>
          <w:rFonts w:ascii="Narkisim" w:hAnsi="Narkisim"/>
          <w:rtl/>
        </w:rPr>
        <w:t xml:space="preserve"> נקטו דיש אופנים דחכמים הקנו בקנין דרבנן, ולא הפקירו ממונו</w:t>
      </w:r>
      <w:r w:rsidRPr="00AF3214">
        <w:rPr>
          <w:rStyle w:val="ac"/>
          <w:rFonts w:ascii="Narkisim" w:hAnsi="Narkisim"/>
          <w:rtl/>
        </w:rPr>
        <w:footnoteReference w:id="5600"/>
      </w:r>
      <w:r w:rsidRPr="00AF3214">
        <w:rPr>
          <w:rFonts w:ascii="Narkisim" w:hAnsi="Narkisim"/>
        </w:rPr>
        <w:t xml:space="preserve">. </w:t>
      </w:r>
      <w:r w:rsidRPr="00AF3214">
        <w:rPr>
          <w:rFonts w:ascii="Narkisim" w:hAnsi="Narkisim"/>
          <w:rtl/>
        </w:rPr>
        <w:t>ומקור לזה ממש"כ ה</w:t>
      </w:r>
      <w:r w:rsidRPr="00AF3214">
        <w:rPr>
          <w:rFonts w:ascii="Narkisim" w:hAnsi="Narkisim"/>
          <w:b/>
          <w:bCs/>
          <w:rtl/>
        </w:rPr>
        <w:t>ר"ן</w:t>
      </w:r>
      <w:r w:rsidRPr="00AF3214">
        <w:rPr>
          <w:rFonts w:ascii="Narkisim" w:hAnsi="Narkisim"/>
          <w:rtl/>
        </w:rPr>
        <w:t xml:space="preserve"> (גיטין סד לא: בדה"ר) דאשכחן קנין דרבנן דקלישא מדאורייתא</w:t>
      </w:r>
      <w:r w:rsidRPr="00AF3214">
        <w:rPr>
          <w:rStyle w:val="ac"/>
          <w:rFonts w:ascii="Narkisim" w:hAnsi="Narkisim"/>
          <w:rtl/>
        </w:rPr>
        <w:footnoteReference w:id="5601"/>
      </w:r>
      <w:r w:rsidRPr="00AF3214">
        <w:rPr>
          <w:rFonts w:ascii="Narkisim" w:hAnsi="Narkisim"/>
        </w:rPr>
        <w:t>.</w:t>
      </w:r>
    </w:p>
    <w:p w14:paraId="6605BE01" w14:textId="77777777" w:rsidR="006C4368" w:rsidRPr="00AF3214" w:rsidRDefault="006C4368" w:rsidP="006C4368">
      <w:pPr>
        <w:pStyle w:val="a8"/>
        <w:bidi/>
        <w:rPr>
          <w:rFonts w:ascii="Narkisim" w:hAnsi="Narkisim"/>
        </w:rPr>
      </w:pPr>
      <w:r w:rsidRPr="00AF3214">
        <w:rPr>
          <w:rFonts w:ascii="Narkisim" w:hAnsi="Narkisim"/>
          <w:rtl/>
        </w:rPr>
        <w:t>ויש קנין דרבנן דלא הוה שלו מדאורייתא, ואפ"ה מותר להשתמש בו, ואין בזה איסור גזל</w:t>
      </w:r>
      <w:r w:rsidRPr="00AF3214">
        <w:rPr>
          <w:rStyle w:val="ac"/>
          <w:rFonts w:ascii="Narkisim" w:hAnsi="Narkisim"/>
          <w:rtl/>
        </w:rPr>
        <w:footnoteReference w:id="5602"/>
      </w:r>
      <w:r w:rsidRPr="00AF3214">
        <w:rPr>
          <w:rFonts w:ascii="Narkisim" w:hAnsi="Narkisim"/>
        </w:rPr>
        <w:t>.</w:t>
      </w:r>
    </w:p>
    <w:p w14:paraId="055720E1"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שער"י</w:t>
      </w:r>
      <w:r w:rsidRPr="00AF3214">
        <w:rPr>
          <w:rFonts w:ascii="Narkisim" w:hAnsi="Narkisim"/>
          <w:rtl/>
        </w:rPr>
        <w:t xml:space="preserve"> (ה ט) כת' דאף זה נכלל בדין הפקר בי"ד. וכמו שביד הבעלים לעשות הקנאתם באופנים שונים, כמו כן בדין ה'ראשים'. ובבעלים עצמם יש אופן [א'] של הקנאה גמורה, ויש אופן [ב'] הפקר גמור, ויש אופן [ג'] נתינת רשות לחבירו שיהנה משלו. וה"נ בכח הפקר בי"ד, וכל מקום תקנו לפי הענין</w:t>
      </w:r>
      <w:r w:rsidRPr="00AF3214">
        <w:rPr>
          <w:rStyle w:val="ac"/>
          <w:rFonts w:ascii="Narkisim" w:hAnsi="Narkisim"/>
          <w:rtl/>
        </w:rPr>
        <w:footnoteReference w:id="5603"/>
      </w:r>
      <w:r w:rsidRPr="00AF3214">
        <w:rPr>
          <w:rFonts w:ascii="Narkisim" w:hAnsi="Narkisim"/>
        </w:rPr>
        <w:t>.</w:t>
      </w:r>
    </w:p>
    <w:p w14:paraId="7A951C85"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יש שהביאו דה</w:t>
      </w:r>
      <w:r w:rsidRPr="00AF3214">
        <w:rPr>
          <w:rFonts w:ascii="Narkisim" w:hAnsi="Narkisim"/>
          <w:b/>
          <w:bCs/>
          <w:rtl/>
        </w:rPr>
        <w:t>ריטב"א</w:t>
      </w:r>
      <w:r w:rsidRPr="00AF3214">
        <w:rPr>
          <w:rFonts w:ascii="Narkisim" w:hAnsi="Narkisim"/>
          <w:rtl/>
        </w:rPr>
        <w:t xml:space="preserve"> (קידושין יג:) כת' דפשיטא שאין חכמים יכולין לעקור דבר מן התורה בלא טעם [וקאי התם בדיני הממון, דהוה משום הפקר בי"ד]</w:t>
      </w:r>
      <w:r w:rsidRPr="00AF3214">
        <w:rPr>
          <w:rFonts w:ascii="Narkisim" w:hAnsi="Narkisim"/>
        </w:rPr>
        <w:t>.</w:t>
      </w:r>
    </w:p>
    <w:p w14:paraId="457410C7" w14:textId="77777777" w:rsidR="006C4368" w:rsidRPr="00AF3214" w:rsidRDefault="006C4368" w:rsidP="006C4368">
      <w:pPr>
        <w:bidi/>
        <w:rPr>
          <w:rFonts w:ascii="Narkisim" w:hAnsi="Narkisim" w:cs="Narkisim"/>
        </w:rPr>
      </w:pPr>
      <w:r w:rsidRPr="00AF3214">
        <w:rPr>
          <w:rFonts w:ascii="Narkisim" w:hAnsi="Narkisim" w:cs="Narkisim"/>
          <w:u w:val="single"/>
          <w:rtl/>
        </w:rPr>
        <w:t>ר' אלעזר אמר מהכא וכו' אף ראשים מנחילין את העם כל מה שירצו וכו'</w:t>
      </w:r>
      <w:r w:rsidRPr="00AF3214">
        <w:rPr>
          <w:rFonts w:ascii="Narkisim" w:hAnsi="Narkisim" w:cs="Narkisim"/>
          <w:rtl/>
        </w:rPr>
        <w:t>. ה</w:t>
      </w:r>
      <w:r w:rsidRPr="00AF3214">
        <w:rPr>
          <w:rFonts w:ascii="Narkisim" w:eastAsia="Narkisim" w:hAnsi="Narkisim" w:cs="Narkisim"/>
          <w:b/>
          <w:bCs/>
          <w:rtl/>
        </w:rPr>
        <w:t>יש"ש</w:t>
      </w:r>
      <w:r w:rsidRPr="00AF3214">
        <w:rPr>
          <w:rFonts w:ascii="Narkisim" w:eastAsia="Narkisim" w:hAnsi="Narkisim" w:cs="Narkisim"/>
          <w:rtl/>
        </w:rPr>
        <w:t xml:space="preserve"> (כאן יט) כת' דפסוק דר"א עדיף, דילפינן שיוכלו להפקיר ממון מזה ולהחליטו לחבירו, ולא רק </w:t>
      </w:r>
      <w:r w:rsidRPr="00AF3214">
        <w:rPr>
          <w:rFonts w:ascii="Narkisim" w:eastAsia="Narkisim" w:hAnsi="Narkisim" w:cs="Narkisim"/>
          <w:rtl/>
        </w:rPr>
        <w:lastRenderedPageBreak/>
        <w:t>להפקיר</w:t>
      </w:r>
      <w:r w:rsidRPr="00AF3214">
        <w:rPr>
          <w:rStyle w:val="ac"/>
          <w:rFonts w:ascii="Narkisim" w:eastAsia="Narkisim" w:hAnsi="Narkisim" w:cs="Narkisim"/>
          <w:rtl/>
        </w:rPr>
        <w:footnoteReference w:id="5604"/>
      </w:r>
      <w:r w:rsidRPr="00AF3214">
        <w:rPr>
          <w:rFonts w:ascii="Narkisim" w:eastAsia="Narkisim" w:hAnsi="Narkisim" w:cs="Narkisim"/>
        </w:rPr>
        <w:t xml:space="preserve">. </w:t>
      </w:r>
      <w:r w:rsidRPr="00AF3214">
        <w:rPr>
          <w:rFonts w:ascii="Narkisim" w:eastAsia="Narkisim" w:hAnsi="Narkisim" w:cs="Narkisim"/>
          <w:rtl/>
        </w:rPr>
        <w:t>ועד"ז כת' ה</w:t>
      </w:r>
      <w:r w:rsidRPr="00AF3214">
        <w:rPr>
          <w:rFonts w:ascii="Narkisim" w:eastAsia="Narkisim" w:hAnsi="Narkisim" w:cs="Narkisim"/>
          <w:b/>
          <w:bCs/>
          <w:rtl/>
        </w:rPr>
        <w:t>רשב"א</w:t>
      </w:r>
      <w:r w:rsidRPr="00AF3214">
        <w:rPr>
          <w:rFonts w:ascii="Narkisim" w:eastAsia="Narkisim" w:hAnsi="Narkisim" w:cs="Narkisim"/>
          <w:rtl/>
        </w:rPr>
        <w:t xml:space="preserve"> (גיטין לו:) דמוכח מקרא ד'אלה הנחלות' דכח בי"ד יפה להפקיר ממון מזה ולזכותו לזה, אפי' קודם שבא לידו</w:t>
      </w:r>
      <w:r w:rsidRPr="00AF3214">
        <w:rPr>
          <w:rStyle w:val="ac"/>
          <w:rFonts w:ascii="Narkisim" w:eastAsia="Narkisim" w:hAnsi="Narkisim" w:cs="Narkisim"/>
          <w:rtl/>
        </w:rPr>
        <w:footnoteReference w:id="5605"/>
      </w:r>
      <w:r w:rsidRPr="00AF3214">
        <w:rPr>
          <w:rFonts w:ascii="Narkisim" w:eastAsia="Narkisim" w:hAnsi="Narkisim" w:cs="Narkisim"/>
        </w:rPr>
        <w:t xml:space="preserve">. </w:t>
      </w:r>
      <w:r w:rsidRPr="00AF3214">
        <w:rPr>
          <w:rFonts w:ascii="Narkisim" w:eastAsia="Narkisim" w:hAnsi="Narkisim" w:cs="Narkisim"/>
          <w:rtl/>
        </w:rPr>
        <w:t xml:space="preserve">אבל </w:t>
      </w:r>
      <w:r w:rsidRPr="00AF3214">
        <w:rPr>
          <w:rFonts w:ascii="Narkisim" w:eastAsia="Narkisim" w:hAnsi="Narkisim" w:cs="Narkisim"/>
          <w:b/>
          <w:bCs/>
          <w:rtl/>
        </w:rPr>
        <w:t>רבינו</w:t>
      </w:r>
      <w:r w:rsidRPr="00AF3214">
        <w:rPr>
          <w:rFonts w:ascii="Narkisim" w:eastAsia="Narkisim" w:hAnsi="Narkisim" w:cs="Narkisim"/>
          <w:rtl/>
        </w:rPr>
        <w:t xml:space="preserve"> </w:t>
      </w:r>
      <w:r w:rsidRPr="00AF3214">
        <w:rPr>
          <w:rFonts w:ascii="Narkisim" w:eastAsia="Narkisim" w:hAnsi="Narkisim" w:cs="Narkisim"/>
          <w:b/>
          <w:bCs/>
          <w:rtl/>
        </w:rPr>
        <w:t>יונה</w:t>
      </w:r>
      <w:r w:rsidRPr="00AF3214">
        <w:rPr>
          <w:rFonts w:ascii="Narkisim" w:eastAsia="Narkisim" w:hAnsi="Narkisim" w:cs="Narkisim"/>
          <w:rtl/>
        </w:rPr>
        <w:t xml:space="preserve"> (ב"ב נד: וק.) כת' דהפקר בי"ד מהני רק להפקיר, ולא להקנות [עד שיעשה קנין לזכות מההפקר]. ועד"ז נקטו כמה </w:t>
      </w:r>
      <w:r w:rsidRPr="00AF3214">
        <w:rPr>
          <w:rFonts w:ascii="Narkisim" w:eastAsia="Narkisim" w:hAnsi="Narkisim" w:cs="Narkisim"/>
          <w:b/>
          <w:bCs/>
          <w:rtl/>
        </w:rPr>
        <w:t>אחרונים</w:t>
      </w:r>
      <w:r w:rsidRPr="00AF3214">
        <w:rPr>
          <w:rStyle w:val="ac"/>
          <w:rFonts w:ascii="Narkisim" w:eastAsia="Narkisim" w:hAnsi="Narkisim" w:cs="Narkisim"/>
          <w:rtl/>
        </w:rPr>
        <w:footnoteReference w:id="5606"/>
      </w:r>
      <w:r w:rsidRPr="00AF3214">
        <w:rPr>
          <w:rFonts w:ascii="Narkisim" w:eastAsia="Narkisim" w:hAnsi="Narkisim" w:cs="Narkisim"/>
          <w:b/>
          <w:bCs/>
        </w:rPr>
        <w:t>.</w:t>
      </w:r>
    </w:p>
    <w:p w14:paraId="10B482E1" w14:textId="77777777" w:rsidR="006C4368" w:rsidRPr="00AF3214" w:rsidRDefault="006C4368" w:rsidP="006C4368">
      <w:pPr>
        <w:bidi/>
        <w:rPr>
          <w:rFonts w:ascii="Narkisim" w:hAnsi="Narkisim" w:cs="Narkisim"/>
        </w:rPr>
      </w:pPr>
      <w:r w:rsidRPr="00AF3214">
        <w:rPr>
          <w:rFonts w:ascii="Narkisim" w:hAnsi="Narkisim" w:cs="Narkisim"/>
          <w:u w:val="single"/>
          <w:rtl/>
        </w:rPr>
        <w:t>אף ראשים וכו'</w:t>
      </w:r>
      <w:r w:rsidRPr="00AF3214">
        <w:rPr>
          <w:rFonts w:ascii="Narkisim" w:hAnsi="Narkisim" w:cs="Narkisim"/>
          <w:rtl/>
        </w:rPr>
        <w:t>. ה</w:t>
      </w:r>
      <w:r w:rsidRPr="00AF3214">
        <w:rPr>
          <w:rFonts w:ascii="Narkisim" w:hAnsi="Narkisim" w:cs="Narkisim"/>
          <w:b/>
          <w:bCs/>
          <w:rtl/>
        </w:rPr>
        <w:t>נמוק"י</w:t>
      </w:r>
      <w:r w:rsidRPr="00AF3214">
        <w:rPr>
          <w:rFonts w:ascii="Narkisim" w:hAnsi="Narkisim" w:cs="Narkisim"/>
          <w:rtl/>
        </w:rPr>
        <w:t xml:space="preserve"> הביא בשם ה</w:t>
      </w:r>
      <w:r w:rsidRPr="00AF3214">
        <w:rPr>
          <w:rFonts w:ascii="Narkisim" w:hAnsi="Narkisim" w:cs="Narkisim"/>
          <w:b/>
          <w:bCs/>
          <w:rtl/>
        </w:rPr>
        <w:t>רמב"ם</w:t>
      </w:r>
      <w:r w:rsidRPr="00AF3214">
        <w:rPr>
          <w:rFonts w:ascii="Narkisim" w:hAnsi="Narkisim" w:cs="Narkisim"/>
          <w:rtl/>
        </w:rPr>
        <w:t xml:space="preserve"> (סנהדרין כד ו) דה"ה לכל בי"ד חשוב</w:t>
      </w:r>
      <w:r w:rsidRPr="00AF3214">
        <w:rPr>
          <w:rStyle w:val="ac"/>
          <w:rFonts w:ascii="Narkisim" w:hAnsi="Narkisim" w:cs="Narkisim"/>
          <w:rtl/>
        </w:rPr>
        <w:footnoteReference w:id="5607"/>
      </w:r>
      <w:r w:rsidRPr="00AF3214">
        <w:rPr>
          <w:rFonts w:ascii="Narkisim" w:hAnsi="Narkisim" w:cs="Narkisim"/>
        </w:rPr>
        <w:t xml:space="preserve"> </w:t>
      </w:r>
      <w:r w:rsidRPr="00AF3214">
        <w:rPr>
          <w:rFonts w:ascii="Narkisim" w:hAnsi="Narkisim" w:cs="Narkisim"/>
          <w:rtl/>
        </w:rPr>
        <w:t>בכל מקום וכל זמן רשאין להפקיר ממון</w:t>
      </w:r>
      <w:r w:rsidRPr="00AF3214">
        <w:rPr>
          <w:rStyle w:val="ac"/>
          <w:rFonts w:ascii="Narkisim" w:hAnsi="Narkisim" w:cs="Narkisim"/>
          <w:rtl/>
        </w:rPr>
        <w:footnoteReference w:id="5608"/>
      </w:r>
      <w:r w:rsidRPr="00AF3214">
        <w:rPr>
          <w:rFonts w:ascii="Narkisim" w:hAnsi="Narkisim" w:cs="Narkisim"/>
        </w:rPr>
        <w:t xml:space="preserve">. </w:t>
      </w:r>
      <w:r w:rsidRPr="00AF3214">
        <w:rPr>
          <w:rFonts w:ascii="Narkisim" w:hAnsi="Narkisim" w:cs="Narkisim"/>
          <w:rtl/>
        </w:rPr>
        <w:t>[ולא רק ע"פ תקנת חז"ל שקבעו לדורות]</w:t>
      </w:r>
      <w:r w:rsidRPr="00AF3214">
        <w:rPr>
          <w:rFonts w:ascii="Narkisim" w:hAnsi="Narkisim" w:cs="Narkisim"/>
        </w:rPr>
        <w:t>.</w:t>
      </w:r>
    </w:p>
    <w:p w14:paraId="780DAA62" w14:textId="77777777" w:rsidR="006C4368" w:rsidRPr="00AF3214" w:rsidRDefault="006C4368" w:rsidP="006C4368">
      <w:pPr>
        <w:pStyle w:val="a8"/>
        <w:bidi/>
        <w:rPr>
          <w:rFonts w:ascii="Narkisim" w:hAnsi="Narkisim"/>
        </w:rPr>
      </w:pPr>
      <w:r w:rsidRPr="00AF3214">
        <w:rPr>
          <w:rFonts w:ascii="Narkisim" w:hAnsi="Narkisim"/>
          <w:rtl/>
        </w:rPr>
        <w:t>והביא דה</w:t>
      </w:r>
      <w:r w:rsidRPr="00AF3214">
        <w:rPr>
          <w:rFonts w:ascii="Narkisim" w:hAnsi="Narkisim"/>
          <w:b/>
          <w:bCs/>
          <w:rtl/>
        </w:rPr>
        <w:t>ריטב"א</w:t>
      </w:r>
      <w:r w:rsidRPr="00AF3214">
        <w:rPr>
          <w:rFonts w:ascii="Narkisim" w:hAnsi="Narkisim"/>
          <w:rtl/>
        </w:rPr>
        <w:t xml:space="preserve"> כת' דמכאן סמך להכרזות שנהגו במלכותינו, דמפקיעין זכותו של מערער [כשאינו מוחה], מפני תקנת הלקוחות והמוכרים</w:t>
      </w:r>
      <w:r w:rsidRPr="00AF3214">
        <w:rPr>
          <w:rFonts w:ascii="Narkisim" w:hAnsi="Narkisim"/>
        </w:rPr>
        <w:t>.</w:t>
      </w:r>
    </w:p>
    <w:p w14:paraId="3F4E57BB"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w:t>
      </w:r>
      <w:r w:rsidRPr="00AF3214">
        <w:rPr>
          <w:rFonts w:ascii="Narkisim" w:hAnsi="Narkisim"/>
          <w:b/>
          <w:bCs/>
          <w:rtl/>
        </w:rPr>
        <w:t xml:space="preserve">רש"י </w:t>
      </w:r>
      <w:r w:rsidRPr="00AF3214">
        <w:rPr>
          <w:rFonts w:ascii="Narkisim" w:hAnsi="Narkisim"/>
          <w:rtl/>
        </w:rPr>
        <w:t>(ב"מ צו: ד"ה נמעלו בי"ד) כת' דכל תקנות משפט תלויה בבי"ד שבאותו דור</w:t>
      </w:r>
      <w:r w:rsidRPr="00AF3214">
        <w:rPr>
          <w:rStyle w:val="ac"/>
          <w:rFonts w:ascii="Narkisim" w:hAnsi="Narkisim"/>
          <w:rtl/>
        </w:rPr>
        <w:footnoteReference w:id="5609"/>
      </w:r>
      <w:r w:rsidRPr="00AF3214">
        <w:rPr>
          <w:rFonts w:ascii="Narkisim" w:hAnsi="Narkisim"/>
        </w:rPr>
        <w:t xml:space="preserve">, </w:t>
      </w:r>
      <w:r w:rsidRPr="00AF3214">
        <w:rPr>
          <w:rFonts w:ascii="Narkisim" w:hAnsi="Narkisim"/>
          <w:rtl/>
        </w:rPr>
        <w:t>ועל ידיהם נוהגות חוקות המתוקנים לציבור מאז, והוה כמי שתקנו הם קנינים הדרבנן וכו'. וה</w:t>
      </w:r>
      <w:r w:rsidRPr="00AF3214">
        <w:rPr>
          <w:rFonts w:ascii="Narkisim" w:hAnsi="Narkisim"/>
          <w:b/>
          <w:bCs/>
          <w:rtl/>
        </w:rPr>
        <w:t>אחרונים</w:t>
      </w:r>
      <w:r w:rsidRPr="00AF3214">
        <w:rPr>
          <w:rFonts w:ascii="Narkisim" w:hAnsi="Narkisim"/>
          <w:rtl/>
        </w:rPr>
        <w:t xml:space="preserve"> דנו האם רש"י קאי בכל תקנ"ח</w:t>
      </w:r>
      <w:r w:rsidRPr="00AF3214">
        <w:rPr>
          <w:rStyle w:val="ac"/>
          <w:rFonts w:ascii="Narkisim" w:hAnsi="Narkisim"/>
          <w:rtl/>
        </w:rPr>
        <w:footnoteReference w:id="5610"/>
      </w:r>
      <w:r w:rsidRPr="00AF3214">
        <w:rPr>
          <w:rFonts w:ascii="Narkisim" w:hAnsi="Narkisim"/>
        </w:rPr>
        <w:t xml:space="preserve">, </w:t>
      </w:r>
      <w:r w:rsidRPr="00AF3214">
        <w:rPr>
          <w:rFonts w:ascii="Narkisim" w:hAnsi="Narkisim"/>
          <w:rtl/>
        </w:rPr>
        <w:t>או דוקא תקנות משפט [של ממון], דהוה מדין הפקר בי"ד</w:t>
      </w:r>
      <w:r w:rsidRPr="00AF3214">
        <w:rPr>
          <w:rStyle w:val="ac"/>
          <w:rFonts w:ascii="Narkisim" w:hAnsi="Narkisim"/>
          <w:rtl/>
        </w:rPr>
        <w:footnoteReference w:id="5611"/>
      </w:r>
      <w:r w:rsidRPr="00AF3214">
        <w:rPr>
          <w:rFonts w:ascii="Narkisim" w:hAnsi="Narkisim"/>
        </w:rPr>
        <w:t>.</w:t>
      </w:r>
    </w:p>
    <w:p w14:paraId="3B886A97" w14:textId="77777777" w:rsidR="006C4368" w:rsidRPr="00AF3214" w:rsidRDefault="006C4368" w:rsidP="006C4368">
      <w:pPr>
        <w:bidi/>
        <w:rPr>
          <w:rFonts w:ascii="Narkisim" w:hAnsi="Narkisim" w:cs="Narkisim"/>
        </w:rPr>
      </w:pPr>
      <w:r w:rsidRPr="00AF3214">
        <w:rPr>
          <w:rFonts w:ascii="Narkisim" w:hAnsi="Narkisim" w:cs="Narkisim"/>
          <w:u w:val="single"/>
          <w:rtl/>
        </w:rPr>
        <w:t>תוד"ה שהפקר</w:t>
      </w:r>
      <w:r w:rsidRPr="00AF3214">
        <w:rPr>
          <w:rFonts w:ascii="Narkisim" w:hAnsi="Narkisim" w:cs="Narkisim"/>
          <w:rtl/>
        </w:rPr>
        <w:t>. ליכא למימר דאפקוה מרשותיה בשעת הפרשה, כיון דבתר הכי נמי שלו הוא. ולא מסתבר שחכמים הפקיעו את הממון, ושוב יחזירו לו</w:t>
      </w:r>
      <w:r w:rsidRPr="00AF3214">
        <w:rPr>
          <w:rStyle w:val="ac"/>
          <w:rFonts w:ascii="Narkisim" w:hAnsi="Narkisim" w:cs="Narkisim"/>
          <w:rtl/>
        </w:rPr>
        <w:footnoteReference w:id="5612"/>
      </w:r>
      <w:r w:rsidRPr="00AF3214">
        <w:rPr>
          <w:rFonts w:ascii="Narkisim" w:hAnsi="Narkisim" w:cs="Narkisim"/>
        </w:rPr>
        <w:t>.</w:t>
      </w:r>
    </w:p>
    <w:p w14:paraId="7B6DEB88"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דנו בכ"מ דמהני משום הפקר בי"ד אף דלבתר הכי לא הוה של זה, וכגון קנין ד' אמות שהקנו לו את הסימטא לזמן לקנות בו (ע' ראשונים גיטין עח). וכן הקנו פירות לאפוטרופוס לעשר עליהם (ע' תוס' גיטין מ:)</w:t>
      </w:r>
      <w:r w:rsidRPr="00AF3214">
        <w:rPr>
          <w:rStyle w:val="ac"/>
          <w:rFonts w:ascii="Narkisim" w:hAnsi="Narkisim"/>
          <w:rtl/>
        </w:rPr>
        <w:footnoteReference w:id="5613"/>
      </w:r>
      <w:r w:rsidRPr="00AF3214">
        <w:rPr>
          <w:rFonts w:ascii="Narkisim" w:hAnsi="Narkisim"/>
        </w:rPr>
        <w:t>.</w:t>
      </w:r>
    </w:p>
    <w:p w14:paraId="42F1C7F4" w14:textId="77777777" w:rsidR="006C4368" w:rsidRPr="00AF3214" w:rsidRDefault="006C4368" w:rsidP="006C4368">
      <w:pPr>
        <w:bidi/>
        <w:rPr>
          <w:rFonts w:ascii="Narkisim" w:hAnsi="Narkisim" w:cs="Narkisim"/>
        </w:rPr>
      </w:pPr>
      <w:r w:rsidRPr="00AF3214">
        <w:rPr>
          <w:rFonts w:ascii="Narkisim" w:hAnsi="Narkisim" w:cs="Narkisim"/>
          <w:u w:val="single"/>
          <w:rtl/>
        </w:rPr>
        <w:t>והתניא איזהו מת מצווה וכו' קורא ואחרים עונין</w:t>
      </w:r>
      <w:r w:rsidRPr="00AF3214">
        <w:rPr>
          <w:rStyle w:val="ac"/>
          <w:rFonts w:ascii="Narkisim" w:hAnsi="Narkisim" w:cs="Narkisim"/>
          <w:u w:val="single"/>
          <w:rtl/>
        </w:rPr>
        <w:footnoteReference w:id="5614"/>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ה</w:t>
      </w:r>
      <w:r w:rsidRPr="00AF3214">
        <w:rPr>
          <w:rFonts w:ascii="Narkisim" w:hAnsi="Narkisim" w:cs="Narkisim"/>
          <w:b/>
          <w:bCs/>
          <w:rtl/>
        </w:rPr>
        <w:t>רמב"ן</w:t>
      </w:r>
      <w:r w:rsidRPr="00AF3214">
        <w:rPr>
          <w:rFonts w:ascii="Narkisim" w:hAnsi="Narkisim" w:cs="Narkisim"/>
          <w:rtl/>
        </w:rPr>
        <w:t xml:space="preserve"> כת' דלכאורה הפי' דכל שהחולה עצמו קורא לקברו, ואין יורשין עונין אותו דינו כמת מצווה</w:t>
      </w:r>
      <w:r w:rsidRPr="00AF3214">
        <w:rPr>
          <w:rStyle w:val="ac"/>
          <w:rFonts w:ascii="Narkisim" w:hAnsi="Narkisim" w:cs="Narkisim"/>
          <w:rtl/>
        </w:rPr>
        <w:footnoteReference w:id="5615"/>
      </w:r>
      <w:r w:rsidRPr="00AF3214">
        <w:rPr>
          <w:rFonts w:ascii="Narkisim" w:hAnsi="Narkisim" w:cs="Narkisim"/>
        </w:rPr>
        <w:t xml:space="preserve">. </w:t>
      </w:r>
      <w:r w:rsidRPr="00AF3214">
        <w:rPr>
          <w:rFonts w:ascii="Narkisim" w:hAnsi="Narkisim" w:cs="Narkisim"/>
          <w:rtl/>
        </w:rPr>
        <w:t>אך הביא מה</w:t>
      </w:r>
      <w:r w:rsidRPr="00AF3214">
        <w:rPr>
          <w:rFonts w:ascii="Narkisim" w:hAnsi="Narkisim" w:cs="Narkisim"/>
          <w:b/>
          <w:bCs/>
          <w:rtl/>
        </w:rPr>
        <w:t>ירושלמי</w:t>
      </w:r>
      <w:r w:rsidRPr="00AF3214">
        <w:rPr>
          <w:rFonts w:ascii="Narkisim" w:hAnsi="Narkisim" w:cs="Narkisim"/>
          <w:rtl/>
        </w:rPr>
        <w:t xml:space="preserve"> </w:t>
      </w:r>
      <w:r w:rsidRPr="00AF3214">
        <w:rPr>
          <w:rFonts w:ascii="Narkisim" w:hAnsi="Narkisim" w:cs="Narkisim"/>
          <w:rtl/>
        </w:rPr>
        <w:lastRenderedPageBreak/>
        <w:t>(נזיר ז א) דכל שהכהן קורא לאחרים לקבור את המת לא הוה מת מצווה. דכיון שאפשר ע"י אחרים לא הותר לכהן ליטמא</w:t>
      </w:r>
      <w:r w:rsidRPr="00AF3214">
        <w:rPr>
          <w:rStyle w:val="ac"/>
          <w:rFonts w:ascii="Narkisim" w:hAnsi="Narkisim" w:cs="Narkisim"/>
          <w:rtl/>
        </w:rPr>
        <w:footnoteReference w:id="5616"/>
      </w:r>
      <w:r w:rsidRPr="00AF3214">
        <w:rPr>
          <w:rFonts w:ascii="Narkisim" w:hAnsi="Narkisim" w:cs="Narkisim"/>
        </w:rPr>
        <w:t xml:space="preserve">. </w:t>
      </w:r>
      <w:r w:rsidRPr="00AF3214">
        <w:rPr>
          <w:rFonts w:ascii="Narkisim" w:hAnsi="Narkisim" w:cs="Narkisim"/>
          <w:rtl/>
        </w:rPr>
        <w:t>דהיתר מת מצווה משום כבוד הבריות (וכדאי' ברכות יט:)</w:t>
      </w:r>
      <w:r w:rsidRPr="00AF3214">
        <w:rPr>
          <w:rFonts w:ascii="Narkisim" w:hAnsi="Narkisim" w:cs="Narkisim"/>
        </w:rPr>
        <w:t>.</w:t>
      </w:r>
    </w:p>
    <w:p w14:paraId="5090A5BE" w14:textId="77777777" w:rsidR="006C4368" w:rsidRPr="00AF3214" w:rsidRDefault="006C4368" w:rsidP="006C4368">
      <w:pPr>
        <w:bidi/>
        <w:rPr>
          <w:rFonts w:ascii="Narkisim" w:hAnsi="Narkisim" w:cs="Narkisim"/>
        </w:rPr>
      </w:pPr>
      <w:r w:rsidRPr="00AF3214">
        <w:rPr>
          <w:rFonts w:ascii="Narkisim" w:hAnsi="Narkisim" w:cs="Narkisim"/>
          <w:u w:val="single"/>
          <w:rtl/>
        </w:rPr>
        <w:t>ה"נ כיון דלא ירתי לה קריא ולא ענו לה</w:t>
      </w:r>
      <w:r w:rsidRPr="00AF3214">
        <w:rPr>
          <w:rFonts w:ascii="Narkisim" w:hAnsi="Narkisim" w:cs="Narkisim"/>
          <w:rtl/>
        </w:rPr>
        <w:t>. ומטמא לאשתו קטנה משום מת מצווה</w:t>
      </w:r>
      <w:r w:rsidRPr="00AF3214">
        <w:rPr>
          <w:rFonts w:ascii="Narkisim" w:hAnsi="Narkisim" w:cs="Narkisim"/>
        </w:rPr>
        <w:t>.</w:t>
      </w:r>
    </w:p>
    <w:p w14:paraId="58335C83"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ר"י</w:t>
      </w:r>
      <w:r w:rsidRPr="00AF3214">
        <w:rPr>
          <w:rFonts w:ascii="Narkisim" w:hAnsi="Narkisim"/>
          <w:rtl/>
        </w:rPr>
        <w:t xml:space="preserve"> (בתוס') פי' דכוונת הגמ' דדמי למת מצווה, ועיקר ההיתר משום דיש כח ביד חכמים לעקור דבר מה"ת בדבר הדומה</w:t>
      </w:r>
      <w:r w:rsidRPr="00AF3214">
        <w:rPr>
          <w:rFonts w:ascii="Narkisim" w:hAnsi="Narkisim"/>
        </w:rPr>
        <w:t>.</w:t>
      </w:r>
    </w:p>
    <w:p w14:paraId="4570FC69"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כת' דהטעם דכיון שהיא מוטלת עליו, גנאי הדבר לקוברה ע"י אחרים. ומש"ה כבוד הבריות דוחה ל"ת זה</w:t>
      </w:r>
      <w:r w:rsidRPr="00AF3214">
        <w:rPr>
          <w:rFonts w:ascii="Narkisim" w:hAnsi="Narkisim"/>
        </w:rPr>
        <w:t>.</w:t>
      </w:r>
    </w:p>
    <w:p w14:paraId="1A90146D"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רש"ש</w:t>
      </w:r>
      <w:r w:rsidRPr="00AF3214">
        <w:rPr>
          <w:rFonts w:ascii="Narkisim" w:hAnsi="Narkisim"/>
          <w:rtl/>
        </w:rPr>
        <w:t xml:space="preserve"> כת' דדוקא היכא דרבנן עקרו הירושה מיד היורשים לא יקברו. אבל היכא דהתורה הפקיעה מידם לא משכי בעבור זה מלהתעסק בה</w:t>
      </w:r>
      <w:r w:rsidRPr="00AF3214">
        <w:rPr>
          <w:rFonts w:ascii="Narkisim" w:hAnsi="Narkisim"/>
        </w:rPr>
        <w:t>.</w:t>
      </w:r>
    </w:p>
    <w:p w14:paraId="246C49A1"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ה</w:t>
      </w:r>
      <w:r w:rsidRPr="00AF3214">
        <w:rPr>
          <w:rFonts w:ascii="Narkisim" w:hAnsi="Narkisim" w:cs="Narkisim"/>
          <w:b/>
          <w:bCs/>
          <w:rtl/>
        </w:rPr>
        <w:t>רמב"ם</w:t>
      </w:r>
      <w:r w:rsidRPr="00AF3214">
        <w:rPr>
          <w:rFonts w:ascii="Narkisim" w:hAnsi="Narkisim" w:cs="Narkisim"/>
          <w:rtl/>
        </w:rPr>
        <w:t xml:space="preserve"> (אבל ב ז) כת' דכהן מטמא לאשתו מדברי סופרים</w:t>
      </w:r>
      <w:r w:rsidRPr="00AF3214">
        <w:rPr>
          <w:rStyle w:val="ac"/>
          <w:rFonts w:ascii="Narkisim" w:hAnsi="Narkisim" w:cs="Narkisim"/>
          <w:rtl/>
        </w:rPr>
        <w:footnoteReference w:id="5617"/>
      </w:r>
      <w:r w:rsidRPr="00AF3214">
        <w:rPr>
          <w:rFonts w:ascii="Narkisim" w:hAnsi="Narkisim" w:cs="Narkisim"/>
        </w:rPr>
        <w:t xml:space="preserve">, </w:t>
      </w:r>
      <w:r w:rsidRPr="00AF3214">
        <w:rPr>
          <w:rFonts w:ascii="Narkisim" w:hAnsi="Narkisim" w:cs="Narkisim"/>
          <w:rtl/>
        </w:rPr>
        <w:t>ועשאוה כמת מצווה. ומבואר דאף אשתו גדולה [דהוה אשתו מדאורייתא] הוה מטעם מת מצווה. וה</w:t>
      </w:r>
      <w:r w:rsidRPr="00AF3214">
        <w:rPr>
          <w:rFonts w:ascii="Narkisim" w:hAnsi="Narkisim" w:cs="Narkisim"/>
          <w:b/>
          <w:bCs/>
          <w:rtl/>
        </w:rPr>
        <w:t>רמב"ן</w:t>
      </w:r>
      <w:r w:rsidRPr="00AF3214">
        <w:rPr>
          <w:rFonts w:ascii="Narkisim" w:hAnsi="Narkisim" w:cs="Narkisim"/>
          <w:rtl/>
        </w:rPr>
        <w:t xml:space="preserve"> (בסוגיין) תמה דבגמ' דידן קאי דוקא בקטנה, ואילו גדולה דאורייתא. ודרשי' (בכ"מ, לקמן צ: ולעיל כב:) שארו זו אשתו, ובעל בעמיו. וה</w:t>
      </w:r>
      <w:r w:rsidRPr="00AF3214">
        <w:rPr>
          <w:rFonts w:ascii="Narkisim" w:hAnsi="Narkisim" w:cs="Narkisim"/>
          <w:b/>
          <w:bCs/>
          <w:rtl/>
        </w:rPr>
        <w:t>רדב"ז</w:t>
      </w:r>
      <w:r w:rsidRPr="00AF3214">
        <w:rPr>
          <w:rFonts w:ascii="Narkisim" w:hAnsi="Narkisim" w:cs="Narkisim"/>
          <w:rtl/>
        </w:rPr>
        <w:t xml:space="preserve"> (שם) כת' דהרמב"ם ס"ל דהוה אסמכתא בעלמא</w:t>
      </w:r>
      <w:r w:rsidRPr="00AF3214">
        <w:rPr>
          <w:rStyle w:val="ac"/>
          <w:rFonts w:ascii="Narkisim" w:hAnsi="Narkisim" w:cs="Narkisim"/>
          <w:rtl/>
        </w:rPr>
        <w:footnoteReference w:id="5618"/>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אחרונים</w:t>
      </w:r>
      <w:r w:rsidRPr="00AF3214">
        <w:rPr>
          <w:rFonts w:ascii="Narkisim" w:hAnsi="Narkisim" w:cs="Narkisim"/>
          <w:rtl/>
        </w:rPr>
        <w:t xml:space="preserve"> (קר"א מו"ק שם) כת' דהרמב"ם ס"ל דלאחר תי' הגמ' דאשתו קטנה הוה משום גדר מת מצווה, י"ל כן אף באשתו גדולה</w:t>
      </w:r>
      <w:r w:rsidRPr="00AF3214">
        <w:rPr>
          <w:rStyle w:val="ac"/>
          <w:rFonts w:ascii="Narkisim" w:hAnsi="Narkisim" w:cs="Narkisim"/>
          <w:rtl/>
        </w:rPr>
        <w:footnoteReference w:id="5619"/>
      </w:r>
      <w:r w:rsidRPr="00AF3214">
        <w:rPr>
          <w:rFonts w:ascii="Narkisim" w:hAnsi="Narkisim" w:cs="Narkisim"/>
        </w:rPr>
        <w:t>.</w:t>
      </w:r>
    </w:p>
    <w:p w14:paraId="69516985"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כס"מ</w:t>
      </w:r>
      <w:r w:rsidRPr="00AF3214">
        <w:rPr>
          <w:rFonts w:ascii="Narkisim" w:hAnsi="Narkisim"/>
          <w:rtl/>
        </w:rPr>
        <w:t xml:space="preserve"> (שם א) כת' דאפ"ל דכוונת הרמב"ם דאשתו אינה מפורש בתורה, ולעולם הוה דין דאורייתא</w:t>
      </w:r>
      <w:r w:rsidRPr="00AF3214">
        <w:rPr>
          <w:rStyle w:val="ac"/>
          <w:rFonts w:ascii="Narkisim" w:hAnsi="Narkisim"/>
          <w:rtl/>
        </w:rPr>
        <w:footnoteReference w:id="5620"/>
      </w:r>
      <w:r w:rsidRPr="00AF3214">
        <w:rPr>
          <w:rFonts w:ascii="Narkisim" w:hAnsi="Narkisim"/>
        </w:rPr>
        <w:t xml:space="preserve">. </w:t>
      </w:r>
      <w:r w:rsidRPr="00AF3214">
        <w:rPr>
          <w:rFonts w:ascii="Narkisim" w:hAnsi="Narkisim"/>
          <w:rtl/>
        </w:rPr>
        <w:t xml:space="preserve">ואע"ג דכתיב 'שארו', אינו מוכרח שיהא פירוש אשתו, שהרי </w:t>
      </w:r>
      <w:r w:rsidRPr="00AF3214">
        <w:rPr>
          <w:rFonts w:ascii="Narkisim" w:hAnsi="Narkisim"/>
          <w:b/>
          <w:bCs/>
          <w:rtl/>
        </w:rPr>
        <w:t>אונקלוס</w:t>
      </w:r>
      <w:r w:rsidRPr="00AF3214">
        <w:rPr>
          <w:rFonts w:ascii="Narkisim" w:hAnsi="Narkisim"/>
          <w:rtl/>
        </w:rPr>
        <w:t xml:space="preserve"> (ויקרא כא ב) תרגם 'לקריביה' דקריב ליה</w:t>
      </w:r>
      <w:r w:rsidRPr="00AF3214">
        <w:rPr>
          <w:rStyle w:val="ac"/>
          <w:rFonts w:ascii="Narkisim" w:hAnsi="Narkisim"/>
          <w:rtl/>
        </w:rPr>
        <w:footnoteReference w:id="5621"/>
      </w:r>
      <w:r w:rsidRPr="00AF3214">
        <w:rPr>
          <w:rFonts w:ascii="Narkisim" w:hAnsi="Narkisim"/>
        </w:rPr>
        <w:t>.</w:t>
      </w:r>
    </w:p>
    <w:p w14:paraId="734A10D2" w14:textId="77777777" w:rsidR="006C4368" w:rsidRPr="00AF3214" w:rsidRDefault="006C4368" w:rsidP="006C4368">
      <w:pPr>
        <w:pStyle w:val="a7"/>
        <w:bidi/>
        <w:rPr>
          <w:rFonts w:ascii="Narkisim" w:hAnsi="Narkisim"/>
        </w:rPr>
      </w:pPr>
      <w:r w:rsidRPr="00AF3214">
        <w:rPr>
          <w:rFonts w:ascii="Narkisim" w:hAnsi="Narkisim"/>
          <w:rtl/>
        </w:rPr>
        <w:t>אך עכ"פ מבואר ב</w:t>
      </w:r>
      <w:r w:rsidRPr="00AF3214">
        <w:rPr>
          <w:rFonts w:ascii="Narkisim" w:hAnsi="Narkisim"/>
          <w:b/>
          <w:bCs/>
          <w:rtl/>
        </w:rPr>
        <w:t>רמב"ם</w:t>
      </w:r>
      <w:r w:rsidRPr="00AF3214">
        <w:rPr>
          <w:rFonts w:ascii="Narkisim" w:hAnsi="Narkisim"/>
          <w:rtl/>
        </w:rPr>
        <w:t xml:space="preserve"> דהא דמטמא הוה משום דומיא דמת מצווה</w:t>
      </w:r>
      <w:r w:rsidRPr="00AF3214">
        <w:rPr>
          <w:rStyle w:val="ac"/>
          <w:rFonts w:ascii="Narkisim" w:hAnsi="Narkisim"/>
          <w:rtl/>
        </w:rPr>
        <w:footnoteReference w:id="5622"/>
      </w:r>
      <w:r w:rsidRPr="00AF3214">
        <w:rPr>
          <w:rFonts w:ascii="Narkisim" w:hAnsi="Narkisim"/>
        </w:rPr>
        <w:t xml:space="preserve">, </w:t>
      </w:r>
      <w:r w:rsidRPr="00AF3214">
        <w:rPr>
          <w:rFonts w:ascii="Narkisim" w:hAnsi="Narkisim"/>
          <w:rtl/>
        </w:rPr>
        <w:t>כיון דיורשה</w:t>
      </w:r>
      <w:r w:rsidRPr="00AF3214">
        <w:rPr>
          <w:rStyle w:val="ac"/>
          <w:rFonts w:ascii="Narkisim" w:hAnsi="Narkisim"/>
          <w:rtl/>
        </w:rPr>
        <w:footnoteReference w:id="5623"/>
      </w:r>
      <w:r w:rsidRPr="00AF3214">
        <w:rPr>
          <w:rFonts w:ascii="Narkisim" w:hAnsi="Narkisim"/>
        </w:rPr>
        <w:t xml:space="preserve"> </w:t>
      </w:r>
      <w:r w:rsidRPr="00AF3214">
        <w:rPr>
          <w:rFonts w:ascii="Narkisim" w:hAnsi="Narkisim"/>
          <w:rtl/>
        </w:rPr>
        <w:t>ומש"ה דין התורה שיטמא. וה</w:t>
      </w:r>
      <w:r w:rsidRPr="00AF3214">
        <w:rPr>
          <w:rFonts w:ascii="Narkisim" w:hAnsi="Narkisim"/>
          <w:b/>
          <w:bCs/>
          <w:rtl/>
        </w:rPr>
        <w:t>כס"מ</w:t>
      </w:r>
      <w:r w:rsidRPr="00AF3214">
        <w:rPr>
          <w:rFonts w:ascii="Narkisim" w:hAnsi="Narkisim"/>
          <w:rtl/>
        </w:rPr>
        <w:t xml:space="preserve"> (שם ז) כת' דמ"מ הטעם משום דקרי ולא ענו, ושייך טעם זה בתרוייהו. ונקטו טעם השווה לכולהו</w:t>
      </w:r>
      <w:r w:rsidRPr="00AF3214">
        <w:rPr>
          <w:rFonts w:ascii="Narkisim" w:hAnsi="Narkisim"/>
        </w:rPr>
        <w:t>.</w:t>
      </w:r>
    </w:p>
    <w:p w14:paraId="7B742BA4" w14:textId="77777777" w:rsidR="006C4368" w:rsidRPr="00AF3214" w:rsidRDefault="006C4368" w:rsidP="006C4368">
      <w:pPr>
        <w:pStyle w:val="aa"/>
        <w:bidi/>
        <w:rPr>
          <w:rFonts w:ascii="Narkisim" w:hAnsi="Narkisim"/>
        </w:rPr>
      </w:pPr>
      <w:r w:rsidRPr="00AF3214">
        <w:rPr>
          <w:rFonts w:ascii="Narkisim" w:hAnsi="Narkisim"/>
          <w:u w:val="single"/>
          <w:rtl/>
        </w:rPr>
        <w:t>תוד"ה כיון</w:t>
      </w:r>
      <w:r w:rsidRPr="00AF3214">
        <w:rPr>
          <w:rFonts w:ascii="Narkisim" w:hAnsi="Narkisim"/>
          <w:rtl/>
        </w:rPr>
        <w:t>. משמע דכל היכא דירית לה מטמא לה וכו' ולפ"ז אלמנה לכה"ג וכו' לא ירית לה. ותוס' חזרו וחילקו דלא תלי הא בהא. וכ"פ ה</w:t>
      </w:r>
      <w:r w:rsidRPr="00AF3214">
        <w:rPr>
          <w:rFonts w:ascii="Narkisim" w:hAnsi="Narkisim"/>
          <w:b/>
          <w:bCs/>
          <w:rtl/>
        </w:rPr>
        <w:t>רמב"ם</w:t>
      </w:r>
      <w:r w:rsidRPr="00AF3214">
        <w:rPr>
          <w:rFonts w:ascii="Narkisim" w:hAnsi="Narkisim"/>
          <w:rtl/>
        </w:rPr>
        <w:t xml:space="preserve"> (נחלות א ח ושא"ר) דאף אלמנה לכה"ג יורשה</w:t>
      </w:r>
      <w:r w:rsidRPr="00AF3214">
        <w:rPr>
          <w:rFonts w:ascii="Narkisim" w:hAnsi="Narkisim"/>
        </w:rPr>
        <w:t>.</w:t>
      </w:r>
    </w:p>
    <w:p w14:paraId="32BB2D63" w14:textId="77777777" w:rsidR="006C4368" w:rsidRPr="00AF3214" w:rsidRDefault="006C4368" w:rsidP="006C4368">
      <w:pPr>
        <w:pStyle w:val="aa"/>
        <w:bidi/>
        <w:rPr>
          <w:rFonts w:ascii="Narkisim" w:hAnsi="Narkisim"/>
        </w:rPr>
      </w:pPr>
      <w:r w:rsidRPr="00AF3214">
        <w:rPr>
          <w:rFonts w:ascii="Narkisim" w:hAnsi="Narkisim"/>
          <w:u w:val="single"/>
          <w:rtl/>
        </w:rPr>
        <w:t>בא"ד בהא נשאת ע"פ בי"ד וכו' אע"ג דבעלה הראשון יורשה</w:t>
      </w:r>
      <w:r w:rsidRPr="00AF3214">
        <w:rPr>
          <w:rStyle w:val="ac"/>
          <w:rFonts w:ascii="Narkisim" w:hAnsi="Narkisim"/>
          <w:u w:val="single"/>
          <w:rtl/>
        </w:rPr>
        <w:footnoteReference w:id="5624"/>
      </w:r>
      <w:r w:rsidRPr="00AF3214">
        <w:rPr>
          <w:rFonts w:ascii="Narkisim" w:hAnsi="Narkisim"/>
          <w:u w:val="single"/>
        </w:rPr>
        <w:t xml:space="preserve">, </w:t>
      </w:r>
      <w:r w:rsidRPr="00AF3214">
        <w:rPr>
          <w:rFonts w:ascii="Narkisim" w:hAnsi="Narkisim"/>
          <w:u w:val="single"/>
          <w:rtl/>
        </w:rPr>
        <w:t>דלדידיה לא קנסו וכו'</w:t>
      </w:r>
      <w:r w:rsidRPr="00AF3214">
        <w:rPr>
          <w:rFonts w:ascii="Narkisim" w:hAnsi="Narkisim"/>
          <w:rtl/>
        </w:rPr>
        <w:t>. [וע' רשב"א במשנה פז: ומש"כ שם]</w:t>
      </w:r>
      <w:r w:rsidRPr="00AF3214">
        <w:rPr>
          <w:rFonts w:ascii="Narkisim" w:hAnsi="Narkisim"/>
        </w:rPr>
        <w:t>.</w:t>
      </w:r>
    </w:p>
    <w:p w14:paraId="51C8FDB7" w14:textId="77777777" w:rsidR="006C4368" w:rsidRPr="00AF3214" w:rsidRDefault="006C4368" w:rsidP="006C4368">
      <w:pPr>
        <w:bidi/>
        <w:rPr>
          <w:rFonts w:ascii="Narkisim" w:hAnsi="Narkisim" w:cs="Narkisim"/>
        </w:rPr>
      </w:pPr>
      <w:r w:rsidRPr="00AF3214">
        <w:rPr>
          <w:rFonts w:ascii="Narkisim" w:hAnsi="Narkisim" w:cs="Narkisim"/>
          <w:u w:val="single"/>
          <w:rtl/>
        </w:rPr>
        <w:t>בא"ד ונר' לר"י וכו' משום דיש כח ביד חכמים לעקור דבר מה"ת בדבר הדומה (כדלעיל פח. תוד"ה מתוך)</w:t>
      </w:r>
      <w:r w:rsidRPr="00AF3214">
        <w:rPr>
          <w:rFonts w:ascii="Narkisim" w:hAnsi="Narkisim" w:cs="Narkisim"/>
          <w:rtl/>
        </w:rPr>
        <w:t>. לכאורה משמע בתוס' דגדר התקנה דעשאוה מת מצווה מדרבנן. ועד"ז הביאו ה</w:t>
      </w:r>
      <w:r w:rsidRPr="00AF3214">
        <w:rPr>
          <w:rFonts w:ascii="Narkisim" w:hAnsi="Narkisim" w:cs="Narkisim"/>
          <w:b/>
          <w:bCs/>
          <w:rtl/>
        </w:rPr>
        <w:t>אחרונים</w:t>
      </w:r>
      <w:r w:rsidRPr="00AF3214">
        <w:rPr>
          <w:rFonts w:ascii="Narkisim" w:hAnsi="Narkisim" w:cs="Narkisim"/>
          <w:rtl/>
        </w:rPr>
        <w:t xml:space="preserve"> מדברי </w:t>
      </w:r>
      <w:r w:rsidRPr="00AF3214">
        <w:rPr>
          <w:rFonts w:ascii="Narkisim" w:hAnsi="Narkisim" w:cs="Narkisim"/>
          <w:b/>
          <w:bCs/>
          <w:rtl/>
        </w:rPr>
        <w:t>תוס</w:t>
      </w:r>
      <w:r w:rsidRPr="00AF3214">
        <w:rPr>
          <w:rFonts w:ascii="Narkisim" w:hAnsi="Narkisim" w:cs="Narkisim"/>
          <w:rtl/>
        </w:rPr>
        <w:t xml:space="preserve">' (גיטין לב.) דיש כח ביד חכמים לעשות דברים שבלב לדברים היכא </w:t>
      </w:r>
      <w:r w:rsidRPr="00AF3214">
        <w:rPr>
          <w:rFonts w:ascii="Narkisim" w:hAnsi="Narkisim" w:cs="Narkisim"/>
          <w:rtl/>
        </w:rPr>
        <w:lastRenderedPageBreak/>
        <w:t>דהיה אנוס. ולא נחשב 'עקירת דבר מה"ת', דכללו בגדר דין קיים. אבל כמה אחרונים הביאו דכוונת התוס' דכל דבר שהוא צורך גדול הוה בכלל מיגדר מילתא [וע' מה שהובא לקמן צ:]</w:t>
      </w:r>
      <w:r w:rsidRPr="00AF3214">
        <w:rPr>
          <w:rFonts w:ascii="Narkisim" w:hAnsi="Narkisim" w:cs="Narkisim"/>
        </w:rPr>
        <w:t>.</w:t>
      </w:r>
    </w:p>
    <w:p w14:paraId="26BA2BA6" w14:textId="77777777" w:rsidR="006C4368" w:rsidRPr="00AF3214" w:rsidRDefault="006C4368" w:rsidP="006C4368">
      <w:pPr>
        <w:pStyle w:val="3"/>
        <w:bidi/>
        <w:rPr>
          <w:rFonts w:ascii="Narkisim" w:hAnsi="Narkisim"/>
        </w:rPr>
      </w:pPr>
      <w:r w:rsidRPr="00AF3214">
        <w:rPr>
          <w:rFonts w:ascii="Narkisim" w:hAnsi="Narkisim"/>
          <w:rtl/>
        </w:rPr>
        <w:t>דף צ</w:t>
      </w:r>
      <w:r w:rsidRPr="00AF3214">
        <w:rPr>
          <w:rFonts w:ascii="Narkisim" w:hAnsi="Narkisim"/>
        </w:rPr>
        <w:t>.</w:t>
      </w:r>
    </w:p>
    <w:p w14:paraId="4F2954CC" w14:textId="77777777" w:rsidR="006C4368" w:rsidRPr="00AF3214" w:rsidRDefault="006C4368" w:rsidP="006C4368">
      <w:pPr>
        <w:pStyle w:val="aa"/>
        <w:bidi/>
        <w:rPr>
          <w:rFonts w:ascii="Narkisim" w:hAnsi="Narkisim"/>
        </w:rPr>
      </w:pPr>
      <w:r w:rsidRPr="00AF3214">
        <w:rPr>
          <w:rFonts w:ascii="Narkisim" w:hAnsi="Narkisim"/>
          <w:u w:val="single"/>
          <w:rtl/>
        </w:rPr>
        <w:t>תוד"ה ואוכלת</w:t>
      </w:r>
      <w:r w:rsidRPr="00AF3214">
        <w:rPr>
          <w:rFonts w:ascii="Narkisim" w:hAnsi="Narkisim"/>
          <w:rtl/>
        </w:rPr>
        <w:t>. אפי' בתרומה דאוריי', ומשום דקטן אוכל נבילות הוא וכו'. והגמ' (גיטין נה.) מדייקת דדוקא נישואי קטנה אוכלת בתרומה, אבל נישואי חרש אינה אוכלת, משום גזירה. והגמ' מק' דקטן אוכל נבילות, ותי' גזירה אטו חרש בפקחת, שיאכיל בתרומה. [אבל קטנה ל"ש הך גזירה, וכ"כ תוס' לקמן קיג. ד"ה שמא]</w:t>
      </w:r>
      <w:r w:rsidRPr="00AF3214">
        <w:rPr>
          <w:rFonts w:ascii="Narkisim" w:hAnsi="Narkisim"/>
        </w:rPr>
        <w:t>.</w:t>
      </w:r>
    </w:p>
    <w:p w14:paraId="7FA6F99C"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(שם) פי' דגבי חרש גזרו תרומה דרבנן שמא יאכיל בתרומה דאורייתא (וכדאי' בגמ' שם), אבל בסוגיין לא גזרו, דאפי' תאכל הא קטנה היא. ו</w:t>
      </w:r>
      <w:r w:rsidRPr="00AF3214">
        <w:rPr>
          <w:rFonts w:ascii="Narkisim" w:hAnsi="Narkisim"/>
          <w:b/>
          <w:bCs/>
          <w:rtl/>
        </w:rPr>
        <w:t>תוס</w:t>
      </w:r>
      <w:r w:rsidRPr="00AF3214">
        <w:rPr>
          <w:rFonts w:ascii="Narkisim" w:hAnsi="Narkisim"/>
          <w:rtl/>
        </w:rPr>
        <w:t>' (לקמן קיג. ד"ה דלמא) פי' כיון שתגיע לכלל גדלות. וה</w:t>
      </w:r>
      <w:r w:rsidRPr="00AF3214">
        <w:rPr>
          <w:rFonts w:ascii="Narkisim" w:hAnsi="Narkisim"/>
          <w:b/>
          <w:bCs/>
          <w:rtl/>
        </w:rPr>
        <w:t>ב"ח</w:t>
      </w:r>
      <w:r w:rsidRPr="00AF3214">
        <w:rPr>
          <w:rFonts w:ascii="Narkisim" w:hAnsi="Narkisim"/>
          <w:rtl/>
        </w:rPr>
        <w:t xml:space="preserve"> ביאר כוונתם דלא גזרו משום זמן מועט [עד שתגדיל, וכמ"ש תוס' שם ד"ה שמא]</w:t>
      </w:r>
      <w:r w:rsidRPr="00AF3214">
        <w:rPr>
          <w:rFonts w:ascii="Narkisim" w:hAnsi="Narkisim"/>
        </w:rPr>
        <w:t>.</w:t>
      </w:r>
    </w:p>
    <w:p w14:paraId="43C2DE44" w14:textId="77777777" w:rsidR="006C4368" w:rsidRPr="00AF3214" w:rsidRDefault="006C4368" w:rsidP="006C4368">
      <w:pPr>
        <w:pStyle w:val="aa"/>
        <w:bidi/>
        <w:rPr>
          <w:rFonts w:ascii="Narkisim" w:hAnsi="Narkisim"/>
        </w:rPr>
      </w:pPr>
      <w:r w:rsidRPr="00AF3214">
        <w:rPr>
          <w:rFonts w:ascii="Narkisim" w:hAnsi="Narkisim"/>
          <w:u w:val="single"/>
          <w:rtl/>
        </w:rPr>
        <w:t>בא"ד ועוד דאוכלת בגינו</w:t>
      </w:r>
      <w:r w:rsidRPr="00AF3214">
        <w:rPr>
          <w:rStyle w:val="ac"/>
          <w:rFonts w:ascii="Narkisim" w:hAnsi="Narkisim"/>
          <w:u w:val="single"/>
          <w:rtl/>
        </w:rPr>
        <w:footnoteReference w:id="5625"/>
      </w:r>
      <w:r w:rsidRPr="00AF3214">
        <w:rPr>
          <w:rFonts w:ascii="Narkisim" w:hAnsi="Narkisim"/>
          <w:u w:val="single"/>
        </w:rPr>
        <w:t xml:space="preserve"> </w:t>
      </w:r>
      <w:r w:rsidRPr="00AF3214">
        <w:rPr>
          <w:rFonts w:ascii="Narkisim" w:hAnsi="Narkisim"/>
          <w:u w:val="single"/>
          <w:rtl/>
        </w:rPr>
        <w:t>משמע דאפי' כי גדלה אוכלת</w:t>
      </w:r>
      <w:r w:rsidRPr="00AF3214">
        <w:rPr>
          <w:rFonts w:ascii="Narkisim" w:hAnsi="Narkisim"/>
          <w:rtl/>
        </w:rPr>
        <w:t>. ועפ"ז א"ש דהק' כן על הברייתא, ואילו במשנה (גיטין נה.) י"ל דהוה משום קטן אוכל נבילות</w:t>
      </w:r>
      <w:r w:rsidRPr="00AF3214">
        <w:rPr>
          <w:rFonts w:ascii="Narkisim" w:hAnsi="Narkisim"/>
        </w:rPr>
        <w:t>.</w:t>
      </w:r>
    </w:p>
    <w:p w14:paraId="25D5B5A4"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w:t>
      </w:r>
      <w:r w:rsidRPr="00AF3214">
        <w:rPr>
          <w:rFonts w:ascii="Narkisim" w:hAnsi="Narkisim"/>
          <w:b/>
          <w:bCs/>
          <w:rtl/>
        </w:rPr>
        <w:t>רש"י</w:t>
      </w:r>
      <w:r w:rsidRPr="00AF3214">
        <w:rPr>
          <w:rFonts w:ascii="Narkisim" w:hAnsi="Narkisim"/>
          <w:rtl/>
        </w:rPr>
        <w:t xml:space="preserve"> (גיטין נה.) כת' דקטנה אוכלת בתרומה דרבנן. וכדאי' בסוגיין. וה</w:t>
      </w:r>
      <w:r w:rsidRPr="00AF3214">
        <w:rPr>
          <w:rFonts w:ascii="Narkisim" w:hAnsi="Narkisim"/>
          <w:b/>
          <w:bCs/>
          <w:rtl/>
        </w:rPr>
        <w:t>רשב"א</w:t>
      </w:r>
      <w:r w:rsidRPr="00AF3214">
        <w:rPr>
          <w:rFonts w:ascii="Narkisim" w:hAnsi="Narkisim"/>
          <w:rtl/>
        </w:rPr>
        <w:t xml:space="preserve"> (שם) הק' דבסוגיה דהתם לא משמע כן. והרשב"א הביא דהגמ' (לקמן קיד.) מביאה את הנידון דקטן אוכל נבילות אי בי"ד מצווין להפרישו על משנה זו, ואי איירי בתרומה דרבנן מאי מייתי. אלא למ"ד אין בי"ד מצוין להפרישו אוכלת אף בתרומה דאורייתא. אלא דלא הביאו לפשוט מהך משנה, דמצי לדחות דאיירי בתרומה דרבנן. [כדדחי התם על ברייתא אחרת]. והרשב"א כת' דקי"ל דבי"ד אינן מצווין להפרישו, הילכך אוכלת אף תרומה דאורייתא. ואף בסוגיין ה"מ לדחות כמ"ד בי"ד מצווין להפרישו</w:t>
      </w:r>
      <w:r w:rsidRPr="00AF3214">
        <w:rPr>
          <w:rFonts w:ascii="Narkisim" w:hAnsi="Narkisim"/>
        </w:rPr>
        <w:t>.</w:t>
      </w:r>
    </w:p>
    <w:p w14:paraId="12A60D60" w14:textId="77777777" w:rsidR="006C4368" w:rsidRPr="00AF3214" w:rsidRDefault="006C4368" w:rsidP="006C4368">
      <w:pPr>
        <w:bidi/>
        <w:rPr>
          <w:rFonts w:ascii="Narkisim" w:hAnsi="Narkisim" w:cs="Narkisim"/>
        </w:rPr>
      </w:pPr>
      <w:r w:rsidRPr="00AF3214">
        <w:rPr>
          <w:rFonts w:ascii="Narkisim" w:hAnsi="Narkisim" w:cs="Narkisim"/>
          <w:u w:val="single"/>
          <w:rtl/>
        </w:rPr>
        <w:t>תוד"ה אכל</w:t>
      </w:r>
      <w:r w:rsidRPr="00AF3214">
        <w:rPr>
          <w:rFonts w:ascii="Narkisim" w:hAnsi="Narkisim" w:cs="Narkisim"/>
          <w:rtl/>
        </w:rPr>
        <w:t xml:space="preserve">. ועוד אר"י דתשלומין דתרומה לכפרה קאתו, ול"ש קלב"מ וכו'. כ"כ </w:t>
      </w:r>
      <w:r w:rsidRPr="00AF3214">
        <w:rPr>
          <w:rFonts w:ascii="Narkisim" w:hAnsi="Narkisim" w:cs="Narkisim"/>
          <w:b/>
          <w:bCs/>
          <w:rtl/>
        </w:rPr>
        <w:t>תוס'</w:t>
      </w:r>
      <w:r w:rsidRPr="00AF3214">
        <w:rPr>
          <w:rFonts w:ascii="Narkisim" w:hAnsi="Narkisim" w:cs="Narkisim"/>
          <w:rtl/>
        </w:rPr>
        <w:t xml:space="preserve"> (כתובות ל: ופסחים כט.) ה</w:t>
      </w:r>
      <w:r w:rsidRPr="00AF3214">
        <w:rPr>
          <w:rFonts w:ascii="Narkisim" w:hAnsi="Narkisim" w:cs="Narkisim"/>
          <w:b/>
          <w:bCs/>
          <w:rtl/>
        </w:rPr>
        <w:t xml:space="preserve">ר"ש </w:t>
      </w:r>
      <w:r w:rsidRPr="00AF3214">
        <w:rPr>
          <w:rFonts w:ascii="Narkisim" w:hAnsi="Narkisim" w:cs="Narkisim"/>
          <w:rtl/>
        </w:rPr>
        <w:t>(תרומות ז א) דחה דהך סברא מנלן דתרומה כפרה ולא מעילה</w:t>
      </w:r>
      <w:r w:rsidRPr="00AF3214">
        <w:rPr>
          <w:rStyle w:val="ac"/>
          <w:rFonts w:ascii="Narkisim" w:hAnsi="Narkisim" w:cs="Narkisim"/>
          <w:rtl/>
        </w:rPr>
        <w:footnoteReference w:id="5626"/>
      </w:r>
      <w:r w:rsidRPr="00AF3214">
        <w:rPr>
          <w:rFonts w:ascii="Narkisim" w:hAnsi="Narkisim" w:cs="Narkisim"/>
        </w:rPr>
        <w:t xml:space="preserve">. </w:t>
      </w:r>
      <w:r w:rsidRPr="00AF3214">
        <w:rPr>
          <w:rFonts w:ascii="Narkisim" w:hAnsi="Narkisim" w:cs="Narkisim"/>
          <w:rtl/>
        </w:rPr>
        <w:t>וע"כ דגם בכפרה אמרי' קלב"ם</w:t>
      </w:r>
      <w:r w:rsidRPr="00AF3214">
        <w:rPr>
          <w:rFonts w:ascii="Narkisim" w:hAnsi="Narkisim" w:cs="Narkisim"/>
        </w:rPr>
        <w:t>.</w:t>
      </w:r>
    </w:p>
    <w:p w14:paraId="075BE994" w14:textId="77777777" w:rsidR="006C4368" w:rsidRPr="00AF3214" w:rsidRDefault="006C4368" w:rsidP="006C4368">
      <w:pPr>
        <w:bidi/>
        <w:rPr>
          <w:rFonts w:ascii="Narkisim" w:hAnsi="Narkisim" w:cs="Narkisim"/>
        </w:rPr>
      </w:pPr>
      <w:r w:rsidRPr="00AF3214">
        <w:rPr>
          <w:rFonts w:ascii="Narkisim" w:hAnsi="Narkisim" w:cs="Narkisim"/>
          <w:u w:val="single"/>
          <w:rtl/>
        </w:rPr>
        <w:t>בא"ד וכן משמע (פסחים לב.) וכו' דהאוכל תרומת חמץ בפסח</w:t>
      </w:r>
      <w:r w:rsidRPr="00AF3214">
        <w:rPr>
          <w:rStyle w:val="ac"/>
          <w:rFonts w:ascii="Narkisim" w:hAnsi="Narkisim" w:cs="Narkisim"/>
          <w:u w:val="single"/>
          <w:rtl/>
        </w:rPr>
        <w:footnoteReference w:id="5627"/>
      </w:r>
      <w:r w:rsidRPr="00AF3214">
        <w:rPr>
          <w:rFonts w:ascii="Narkisim" w:hAnsi="Narkisim" w:cs="Narkisim"/>
          <w:u w:val="single"/>
        </w:rPr>
        <w:t xml:space="preserve"> </w:t>
      </w:r>
      <w:r w:rsidRPr="00AF3214">
        <w:rPr>
          <w:rFonts w:ascii="Narkisim" w:hAnsi="Narkisim" w:cs="Narkisim"/>
          <w:u w:val="single"/>
          <w:rtl/>
        </w:rPr>
        <w:t>וכו' אבל בשוגג חייב, אע"ג דלא גלי קרא בכרת</w:t>
      </w:r>
      <w:r w:rsidRPr="00AF3214">
        <w:rPr>
          <w:rStyle w:val="ac"/>
          <w:rFonts w:ascii="Narkisim" w:hAnsi="Narkisim" w:cs="Narkisim"/>
          <w:u w:val="single"/>
          <w:rtl/>
        </w:rPr>
        <w:footnoteReference w:id="5628"/>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xml:space="preserve">'. וחיוב כרת דחמץ אינו פוטר תשלומי תרומה [אף לר' נחוניא], כיון דהוה כפרה. אבל </w:t>
      </w:r>
      <w:r w:rsidRPr="00AF3214">
        <w:rPr>
          <w:rFonts w:ascii="Narkisim" w:hAnsi="Narkisim" w:cs="Narkisim"/>
          <w:b/>
          <w:bCs/>
          <w:rtl/>
        </w:rPr>
        <w:t>רש"י</w:t>
      </w:r>
      <w:r w:rsidRPr="00AF3214">
        <w:rPr>
          <w:rFonts w:ascii="Narkisim" w:hAnsi="Narkisim" w:cs="Narkisim"/>
          <w:rtl/>
        </w:rPr>
        <w:t xml:space="preserve"> (פסחים לב.) מבואר דהטעם דחייבי כרת שוגגין אינו פוטר</w:t>
      </w:r>
      <w:r w:rsidRPr="00AF3214">
        <w:rPr>
          <w:rStyle w:val="ac"/>
          <w:rFonts w:ascii="Narkisim" w:hAnsi="Narkisim" w:cs="Narkisim"/>
          <w:rtl/>
        </w:rPr>
        <w:footnoteReference w:id="5629"/>
      </w:r>
      <w:r w:rsidRPr="00AF3214">
        <w:rPr>
          <w:rFonts w:ascii="Narkisim" w:hAnsi="Narkisim" w:cs="Narkisim"/>
        </w:rPr>
        <w:t xml:space="preserve">. </w:t>
      </w:r>
      <w:r w:rsidRPr="00AF3214">
        <w:rPr>
          <w:rFonts w:ascii="Narkisim" w:hAnsi="Narkisim" w:cs="Narkisim"/>
          <w:rtl/>
        </w:rPr>
        <w:t>אבל אילו הזיד בחמץ, פטור אף מתשלומי תרומה. [ומהני קלב"ם לפטור מתשלומי תרומה]</w:t>
      </w:r>
      <w:r w:rsidRPr="00AF3214">
        <w:rPr>
          <w:rFonts w:ascii="Narkisim" w:hAnsi="Narkisim" w:cs="Narkisim"/>
        </w:rPr>
        <w:t>.</w:t>
      </w:r>
    </w:p>
    <w:p w14:paraId="6C1C941A" w14:textId="77777777" w:rsidR="006C4368" w:rsidRPr="00AF3214" w:rsidRDefault="006C4368" w:rsidP="006C4368">
      <w:pPr>
        <w:pStyle w:val="aa"/>
        <w:bidi/>
        <w:rPr>
          <w:rFonts w:ascii="Narkisim" w:hAnsi="Narkisim"/>
        </w:rPr>
      </w:pPr>
      <w:r w:rsidRPr="00AF3214">
        <w:rPr>
          <w:rFonts w:ascii="Narkisim" w:hAnsi="Narkisim"/>
          <w:u w:val="single"/>
          <w:rtl/>
        </w:rPr>
        <w:t>בא"ד ואפשר דאם אכל תרומה במזיד שיפטור לר' נחוניא וכו'</w:t>
      </w:r>
      <w:r w:rsidRPr="00AF3214">
        <w:rPr>
          <w:rFonts w:ascii="Narkisim" w:hAnsi="Narkisim"/>
          <w:rtl/>
        </w:rPr>
        <w:t>. דאף מיתה ביד"ש דתרומה פוטר מחיוב אכילת תרומה [ואף דהגמ' פסחים איירי בכרת דחמץ בפסח]. ומשמע דס"ד דקלב"מ ל"מ לפטור חיוב של עצמו, וצ"ב. ועוד צ"ע דבפשוטו תשלום דהאוכל תרומה במזיד הוה משום גזל כהן, ולא הוה גדר תשלומי תרומה כלל</w:t>
      </w:r>
      <w:r w:rsidRPr="00AF3214">
        <w:rPr>
          <w:rStyle w:val="ac"/>
          <w:rFonts w:ascii="Narkisim" w:hAnsi="Narkisim"/>
          <w:rtl/>
        </w:rPr>
        <w:footnoteReference w:id="5630"/>
      </w:r>
      <w:r w:rsidRPr="00AF3214">
        <w:rPr>
          <w:rFonts w:ascii="Narkisim" w:hAnsi="Narkisim"/>
        </w:rPr>
        <w:t>.</w:t>
      </w:r>
    </w:p>
    <w:p w14:paraId="1F6A9246" w14:textId="77777777" w:rsidR="006C4368" w:rsidRPr="00AF3214" w:rsidRDefault="006C4368" w:rsidP="006C4368">
      <w:pPr>
        <w:pStyle w:val="aa"/>
        <w:bidi/>
        <w:rPr>
          <w:rFonts w:ascii="Narkisim" w:hAnsi="Narkisim"/>
        </w:rPr>
      </w:pPr>
      <w:r w:rsidRPr="00AF3214">
        <w:rPr>
          <w:rFonts w:ascii="Narkisim" w:hAnsi="Narkisim"/>
          <w:u w:val="single"/>
          <w:rtl/>
        </w:rPr>
        <w:t>בא"ד א"נ מיחייב משום דמדאגבהה קנייה</w:t>
      </w:r>
      <w:r w:rsidRPr="00AF3214">
        <w:rPr>
          <w:rFonts w:ascii="Narkisim" w:hAnsi="Narkisim"/>
          <w:rtl/>
        </w:rPr>
        <w:t>. [וכדאי' להדיא כתובות ל:]. בפשוטו משמע דהוה המשך ל'ואפשר' דפטור משום קלב"מ, וא"נ [הצד שמתחייב] מדאגביה. וה</w:t>
      </w:r>
      <w:r w:rsidRPr="00AF3214">
        <w:rPr>
          <w:rFonts w:ascii="Narkisim" w:hAnsi="Narkisim"/>
          <w:b/>
          <w:bCs/>
          <w:rtl/>
        </w:rPr>
        <w:t>מהרש"ל</w:t>
      </w:r>
      <w:r w:rsidRPr="00AF3214">
        <w:rPr>
          <w:rFonts w:ascii="Narkisim" w:hAnsi="Narkisim"/>
          <w:rtl/>
        </w:rPr>
        <w:t xml:space="preserve"> דחה דמפורש בגמ' דאילו הגביהו נתחייב. וכן תמה </w:t>
      </w:r>
      <w:r w:rsidRPr="00AF3214">
        <w:rPr>
          <w:rFonts w:ascii="Narkisim" w:hAnsi="Narkisim"/>
          <w:b/>
          <w:bCs/>
          <w:rtl/>
        </w:rPr>
        <w:t>רע"א</w:t>
      </w:r>
      <w:r w:rsidRPr="00AF3214">
        <w:rPr>
          <w:rFonts w:ascii="Narkisim" w:hAnsi="Narkisim"/>
          <w:rtl/>
        </w:rPr>
        <w:t>. ה</w:t>
      </w:r>
      <w:r w:rsidRPr="00AF3214">
        <w:rPr>
          <w:rFonts w:ascii="Narkisim" w:hAnsi="Narkisim"/>
          <w:b/>
          <w:bCs/>
          <w:rtl/>
        </w:rPr>
        <w:t>מהרש"ל</w:t>
      </w:r>
      <w:r w:rsidRPr="00AF3214">
        <w:rPr>
          <w:rFonts w:ascii="Narkisim" w:hAnsi="Narkisim"/>
          <w:rtl/>
        </w:rPr>
        <w:t xml:space="preserve"> ביאר דתוס' קאי אסוגיין דאוכל תרומה במזיד, די"ל דאיירי דנתחייב משעת הגבהה</w:t>
      </w:r>
      <w:r w:rsidRPr="00AF3214">
        <w:rPr>
          <w:rFonts w:ascii="Narkisim" w:hAnsi="Narkisim"/>
        </w:rPr>
        <w:t>.</w:t>
      </w:r>
    </w:p>
    <w:p w14:paraId="567A3F66" w14:textId="77777777" w:rsidR="006C4368" w:rsidRPr="00AF3214" w:rsidRDefault="006C4368" w:rsidP="006C4368">
      <w:pPr>
        <w:bidi/>
        <w:rPr>
          <w:rFonts w:ascii="Narkisim" w:hAnsi="Narkisim" w:cs="Narkisim"/>
        </w:rPr>
      </w:pPr>
      <w:r w:rsidRPr="00AF3214">
        <w:rPr>
          <w:rFonts w:ascii="Narkisim" w:hAnsi="Narkisim" w:cs="Narkisim"/>
          <w:u w:val="single"/>
          <w:rtl/>
        </w:rPr>
        <w:t>תוד"ה בשוגג</w:t>
      </w:r>
      <w:r w:rsidRPr="00AF3214">
        <w:rPr>
          <w:rFonts w:ascii="Narkisim" w:hAnsi="Narkisim" w:cs="Narkisim"/>
          <w:rtl/>
        </w:rPr>
        <w:t>. אין לפרש האי שוגג ומזיד אאכילה קאי כדפריב"ן וכו'. לדעת ריב"ן איירי שאכל תרומה במזיד, ונתחייב תשלום דמים בעלמא, ואין נעשין תרומה. ותוס' תמהו בזה. וה</w:t>
      </w:r>
      <w:r w:rsidRPr="00AF3214">
        <w:rPr>
          <w:rFonts w:ascii="Narkisim" w:hAnsi="Narkisim" w:cs="Narkisim"/>
          <w:b/>
          <w:bCs/>
          <w:rtl/>
        </w:rPr>
        <w:t>תו"י</w:t>
      </w:r>
      <w:r w:rsidRPr="00AF3214">
        <w:rPr>
          <w:rFonts w:ascii="Narkisim" w:hAnsi="Narkisim" w:cs="Narkisim"/>
          <w:rtl/>
        </w:rPr>
        <w:t xml:space="preserve"> כת' דזה קו' הגמ' דמשלם מידי דחזי בימי טומאתו. וה</w:t>
      </w:r>
      <w:r w:rsidRPr="00AF3214">
        <w:rPr>
          <w:rFonts w:ascii="Narkisim" w:hAnsi="Narkisim" w:cs="Narkisim"/>
          <w:b/>
          <w:bCs/>
          <w:rtl/>
        </w:rPr>
        <w:t>אחרונים</w:t>
      </w:r>
      <w:r w:rsidRPr="00AF3214">
        <w:rPr>
          <w:rFonts w:ascii="Narkisim" w:hAnsi="Narkisim" w:cs="Narkisim"/>
          <w:rtl/>
        </w:rPr>
        <w:t xml:space="preserve"> דנו די"ל דריב"ן נקט כן רק לס"ד, אבל למסקנא ל"מ</w:t>
      </w:r>
      <w:r w:rsidRPr="00AF3214">
        <w:rPr>
          <w:rFonts w:ascii="Narkisim" w:hAnsi="Narkisim" w:cs="Narkisim"/>
        </w:rPr>
        <w:t>.</w:t>
      </w:r>
    </w:p>
    <w:p w14:paraId="2ADF2032" w14:textId="77777777" w:rsidR="006C4368" w:rsidRPr="00AF3214" w:rsidRDefault="006C4368" w:rsidP="006C4368">
      <w:pPr>
        <w:pStyle w:val="aa"/>
        <w:bidi/>
        <w:rPr>
          <w:rFonts w:ascii="Narkisim" w:hAnsi="Narkisim"/>
        </w:rPr>
      </w:pPr>
      <w:r w:rsidRPr="00AF3214">
        <w:rPr>
          <w:rFonts w:ascii="Narkisim" w:hAnsi="Narkisim"/>
          <w:u w:val="single"/>
          <w:rtl/>
        </w:rPr>
        <w:t>בא"ד דא"כ במזיד אמאי אין תשלומיו תשלומין וכו'</w:t>
      </w:r>
      <w:r w:rsidRPr="00AF3214">
        <w:rPr>
          <w:rFonts w:ascii="Narkisim" w:hAnsi="Narkisim"/>
          <w:rtl/>
        </w:rPr>
        <w:t>. דהאוכל תרומה [שהגיע ליד כהן] במזיד משלם כדין גוזל ממון חבירו [וכמ"ש תוס' גיטין מט.]. ואילו תרומה שלא הגיע ליד כהן פטור מדינא, וכדאי' (חולין קלא.) דהוה ממון שאינו לו תובעים. וחייב לצאת יד"ש</w:t>
      </w:r>
      <w:r w:rsidRPr="00AF3214">
        <w:rPr>
          <w:rStyle w:val="ac"/>
          <w:rFonts w:ascii="Narkisim" w:hAnsi="Narkisim"/>
          <w:rtl/>
        </w:rPr>
        <w:footnoteReference w:id="5631"/>
      </w:r>
      <w:r w:rsidRPr="00AF3214">
        <w:rPr>
          <w:rFonts w:ascii="Narkisim" w:hAnsi="Narkisim"/>
        </w:rPr>
        <w:t>.</w:t>
      </w:r>
    </w:p>
    <w:p w14:paraId="4CE2E678"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בא"ד דאפי' סובין יכול לשלם, דתשלומין אין נעשין קודש</w:t>
      </w:r>
      <w:r w:rsidRPr="00AF3214">
        <w:rPr>
          <w:rStyle w:val="ac"/>
          <w:rFonts w:ascii="Narkisim" w:hAnsi="Narkisim" w:cs="Narkisim"/>
          <w:rtl/>
        </w:rPr>
        <w:footnoteReference w:id="5632"/>
      </w:r>
      <w:r w:rsidRPr="00AF3214">
        <w:rPr>
          <w:rFonts w:ascii="Narkisim" w:hAnsi="Narkisim" w:cs="Narkisim"/>
        </w:rPr>
        <w:t xml:space="preserve">. </w:t>
      </w:r>
      <w:r w:rsidRPr="00AF3214">
        <w:rPr>
          <w:rFonts w:ascii="Narkisim" w:hAnsi="Narkisim" w:cs="Narkisim"/>
          <w:rtl/>
        </w:rPr>
        <w:t xml:space="preserve">והא דבעי' דוקא דבר הראוי להיות קודש הוה משום שהתשלומין נעשין קודש. וכ"כ </w:t>
      </w:r>
      <w:r w:rsidRPr="00AF3214">
        <w:rPr>
          <w:rFonts w:ascii="Narkisim" w:hAnsi="Narkisim" w:cs="Narkisim"/>
          <w:b/>
          <w:bCs/>
          <w:rtl/>
        </w:rPr>
        <w:t>רש"י</w:t>
      </w:r>
      <w:r w:rsidRPr="00AF3214">
        <w:rPr>
          <w:rFonts w:ascii="Narkisim" w:hAnsi="Narkisim" w:cs="Narkisim"/>
          <w:rtl/>
        </w:rPr>
        <w:t xml:space="preserve"> (גיטין נד.). אבל דעת ה</w:t>
      </w:r>
      <w:r w:rsidRPr="00AF3214">
        <w:rPr>
          <w:rFonts w:ascii="Narkisim" w:hAnsi="Narkisim" w:cs="Narkisim"/>
          <w:b/>
          <w:bCs/>
          <w:rtl/>
        </w:rPr>
        <w:t>רמב"ם</w:t>
      </w:r>
      <w:r w:rsidRPr="00AF3214">
        <w:rPr>
          <w:rFonts w:ascii="Narkisim" w:hAnsi="Narkisim" w:cs="Narkisim"/>
          <w:rtl/>
        </w:rPr>
        <w:t xml:space="preserve"> (תרומות י יח) דאף האוכל במזיד משלם דבר הראוי להיות קודש, וגזיה"כ דישלם חולין מתוקנים</w:t>
      </w:r>
      <w:r w:rsidRPr="00AF3214">
        <w:rPr>
          <w:rStyle w:val="ac"/>
          <w:rFonts w:ascii="Narkisim" w:hAnsi="Narkisim" w:cs="Narkisim"/>
          <w:rtl/>
        </w:rPr>
        <w:footnoteReference w:id="5633"/>
      </w:r>
      <w:r w:rsidRPr="00AF3214">
        <w:rPr>
          <w:rFonts w:ascii="Narkisim" w:hAnsi="Narkisim" w:cs="Narkisim"/>
        </w:rPr>
        <w:t xml:space="preserve"> </w:t>
      </w:r>
      <w:r w:rsidRPr="00AF3214">
        <w:rPr>
          <w:rFonts w:ascii="Narkisim" w:hAnsi="Narkisim" w:cs="Narkisim"/>
          <w:rtl/>
        </w:rPr>
        <w:t>[ואף דאין תשלומין נעשין קודש]. וה</w:t>
      </w:r>
      <w:r w:rsidRPr="00AF3214">
        <w:rPr>
          <w:rFonts w:ascii="Narkisim" w:hAnsi="Narkisim" w:cs="Narkisim"/>
          <w:b/>
          <w:bCs/>
          <w:rtl/>
        </w:rPr>
        <w:t>גרי"ז</w:t>
      </w:r>
      <w:r w:rsidRPr="00AF3214">
        <w:rPr>
          <w:rFonts w:ascii="Narkisim" w:hAnsi="Narkisim" w:cs="Narkisim"/>
          <w:rtl/>
        </w:rPr>
        <w:t xml:space="preserve"> (פ. בדה"ס) הביא [דדעת הרמב"ם] דמדיני התשלום צריך לשלם בדבר הראוי להיות קודש, וממין הקדוש כמותו</w:t>
      </w:r>
      <w:r w:rsidRPr="00AF3214">
        <w:rPr>
          <w:rStyle w:val="ac"/>
          <w:rFonts w:ascii="Narkisim" w:hAnsi="Narkisim" w:cs="Narkisim"/>
          <w:rtl/>
        </w:rPr>
        <w:footnoteReference w:id="5634"/>
      </w:r>
      <w:r w:rsidRPr="00AF3214">
        <w:rPr>
          <w:rFonts w:ascii="Narkisim" w:hAnsi="Narkisim" w:cs="Narkisim"/>
        </w:rPr>
        <w:t>.</w:t>
      </w:r>
    </w:p>
    <w:p w14:paraId="37B06E4C" w14:textId="77777777" w:rsidR="006C4368" w:rsidRPr="00AF3214" w:rsidRDefault="006C4368" w:rsidP="006C4368">
      <w:pPr>
        <w:bidi/>
        <w:rPr>
          <w:rFonts w:ascii="Narkisim" w:hAnsi="Narkisim" w:cs="Narkisim"/>
        </w:rPr>
      </w:pPr>
      <w:r w:rsidRPr="00AF3214">
        <w:rPr>
          <w:rFonts w:ascii="Narkisim" w:hAnsi="Narkisim" w:cs="Narkisim"/>
          <w:u w:val="single"/>
          <w:rtl/>
        </w:rPr>
        <w:t>תבא עליו ברכה</w:t>
      </w:r>
      <w:r w:rsidRPr="00AF3214">
        <w:rPr>
          <w:rStyle w:val="ac"/>
          <w:rFonts w:ascii="Narkisim" w:hAnsi="Narkisim" w:cs="Narkisim"/>
          <w:u w:val="single"/>
          <w:rtl/>
        </w:rPr>
        <w:footnoteReference w:id="5635"/>
      </w:r>
      <w:r w:rsidRPr="00AF3214">
        <w:rPr>
          <w:rFonts w:ascii="Narkisim" w:hAnsi="Narkisim" w:cs="Narkisim"/>
          <w:u w:val="single"/>
        </w:rPr>
        <w:t xml:space="preserve"> </w:t>
      </w:r>
      <w:r w:rsidRPr="00AF3214">
        <w:rPr>
          <w:rFonts w:ascii="Narkisim" w:hAnsi="Narkisim" w:cs="Narkisim"/>
          <w:u w:val="single"/>
          <w:rtl/>
        </w:rPr>
        <w:t>וכו' וקא משלם מידי דחזי ליה בימי טומאתו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אע"ג דהתשלומין נעשים תרומה, ולא חזי ליה, הא מיכוין לתשלומין מעליא</w:t>
      </w:r>
      <w:r w:rsidRPr="00AF3214">
        <w:rPr>
          <w:rStyle w:val="ac"/>
          <w:rFonts w:ascii="Narkisim" w:hAnsi="Narkisim" w:cs="Narkisim"/>
          <w:rtl/>
        </w:rPr>
        <w:footnoteReference w:id="5636"/>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תו"י</w:t>
      </w:r>
      <w:r w:rsidRPr="00AF3214">
        <w:rPr>
          <w:rFonts w:ascii="Narkisim" w:hAnsi="Narkisim" w:cs="Narkisim"/>
          <w:rtl/>
        </w:rPr>
        <w:t xml:space="preserve"> הק' מה לנו לכוונתו. וה</w:t>
      </w:r>
      <w:r w:rsidRPr="00AF3214">
        <w:rPr>
          <w:rFonts w:ascii="Narkisim" w:hAnsi="Narkisim" w:cs="Narkisim"/>
          <w:b/>
          <w:bCs/>
          <w:rtl/>
        </w:rPr>
        <w:t>ריטב"א</w:t>
      </w:r>
      <w:r w:rsidRPr="00AF3214">
        <w:rPr>
          <w:rFonts w:ascii="Narkisim" w:hAnsi="Narkisim" w:cs="Narkisim"/>
          <w:rtl/>
        </w:rPr>
        <w:t xml:space="preserve"> הק' תינח עם הארץ [שלא ידע דתשלומין נעשין קודש], אבל ת"ח מאי איכא למימר</w:t>
      </w:r>
      <w:r w:rsidRPr="00AF3214">
        <w:rPr>
          <w:rFonts w:ascii="Narkisim" w:hAnsi="Narkisim" w:cs="Narkisim"/>
        </w:rPr>
        <w:t>.</w:t>
      </w:r>
    </w:p>
    <w:p w14:paraId="0684383F"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(ד"ה בשוגג, והתו"י בתי' הב') פי' דמפסיד לעצמו יותר ממה שהפסיד לכהן. דמה שמשלם חזי בימי טומאתו [קודם התשלומים]. ותבוא עליו ברכה שמפסיד בתשלומים. [ומש"ה אין לקונסו]</w:t>
      </w:r>
      <w:r w:rsidRPr="00AF3214">
        <w:rPr>
          <w:rFonts w:ascii="Narkisim" w:hAnsi="Narkisim"/>
        </w:rPr>
        <w:t>.</w:t>
      </w:r>
    </w:p>
    <w:p w14:paraId="196E8C2D"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תי' דבשעה שמוציאם עתה מרשותו לשלם לכהן הוה תשלומין מעליא. דנותן לו מרשותו חולין טמאים דחזו טפי. ובתר דידיה אזלינן, והוה להו תשלומין מעליא. אלא שלאחר שבא ליד כהן נתקלקלו. וע"ע בסמוך</w:t>
      </w:r>
      <w:r w:rsidRPr="00AF3214">
        <w:rPr>
          <w:rFonts w:ascii="Narkisim" w:hAnsi="Narkisim" w:cs="Narkisim"/>
        </w:rPr>
        <w:t>.</w:t>
      </w:r>
    </w:p>
    <w:p w14:paraId="4104522B" w14:textId="77777777" w:rsidR="006C4368" w:rsidRPr="00AF3214" w:rsidRDefault="006C4368" w:rsidP="006C4368">
      <w:pPr>
        <w:bidi/>
        <w:rPr>
          <w:rFonts w:ascii="Narkisim" w:hAnsi="Narkisim" w:cs="Narkisim"/>
        </w:rPr>
      </w:pPr>
      <w:r w:rsidRPr="00AF3214">
        <w:rPr>
          <w:rFonts w:ascii="Narkisim" w:hAnsi="Narkisim" w:cs="Narkisim"/>
          <w:u w:val="single"/>
          <w:rtl/>
        </w:rPr>
        <w:t>רש"י ד"ה תרומה טמאה כו'</w:t>
      </w:r>
      <w:r w:rsidRPr="00AF3214">
        <w:rPr>
          <w:rFonts w:ascii="Narkisim" w:hAnsi="Narkisim" w:cs="Narkisim"/>
          <w:rtl/>
        </w:rPr>
        <w:t>. וכהן טמא קאי עלה במיתה</w:t>
      </w:r>
      <w:r w:rsidRPr="00AF3214">
        <w:rPr>
          <w:rStyle w:val="ac"/>
          <w:rFonts w:ascii="Narkisim" w:hAnsi="Narkisim" w:cs="Narkisim"/>
          <w:rtl/>
        </w:rPr>
        <w:footnoteReference w:id="5637"/>
      </w:r>
      <w:r w:rsidRPr="00AF3214">
        <w:rPr>
          <w:rFonts w:ascii="Narkisim" w:hAnsi="Narkisim" w:cs="Narkisim"/>
        </w:rPr>
        <w:t xml:space="preserve">, </w:t>
      </w:r>
      <w:r w:rsidRPr="00AF3214">
        <w:rPr>
          <w:rFonts w:ascii="Narkisim" w:hAnsi="Narkisim" w:cs="Narkisim"/>
          <w:rtl/>
        </w:rPr>
        <w:t>דלא חלק הכתוב לגבי טומאת הגוף כו'. ו</w:t>
      </w:r>
      <w:r w:rsidRPr="00AF3214">
        <w:rPr>
          <w:rFonts w:ascii="Narkisim" w:hAnsi="Narkisim" w:cs="Narkisim"/>
          <w:b/>
          <w:bCs/>
          <w:rtl/>
        </w:rPr>
        <w:t>רע"א</w:t>
      </w:r>
      <w:r w:rsidRPr="00AF3214">
        <w:rPr>
          <w:rFonts w:ascii="Narkisim" w:hAnsi="Narkisim" w:cs="Narkisim"/>
          <w:rtl/>
        </w:rPr>
        <w:t xml:space="preserve"> (בגהש"ס) ושאר </w:t>
      </w:r>
      <w:r w:rsidRPr="00AF3214">
        <w:rPr>
          <w:rFonts w:ascii="Narkisim" w:hAnsi="Narkisim" w:cs="Narkisim"/>
          <w:b/>
          <w:bCs/>
          <w:rtl/>
        </w:rPr>
        <w:t>אחרונים</w:t>
      </w:r>
      <w:r w:rsidRPr="00AF3214">
        <w:rPr>
          <w:rFonts w:ascii="Narkisim" w:hAnsi="Narkisim" w:cs="Narkisim"/>
          <w:rtl/>
        </w:rPr>
        <w:t xml:space="preserve"> תמהו דבברייתא (חולין קיג:) אי' דתרומה טמאה מחוללת ועומדת</w:t>
      </w:r>
      <w:r w:rsidRPr="00AF3214">
        <w:rPr>
          <w:rFonts w:ascii="Narkisim" w:hAnsi="Narkisim" w:cs="Narkisim"/>
        </w:rPr>
        <w:t>.</w:t>
      </w:r>
    </w:p>
    <w:p w14:paraId="5DD121D2" w14:textId="77777777" w:rsidR="006C4368" w:rsidRPr="00AF3214" w:rsidRDefault="006C4368" w:rsidP="006C4368">
      <w:pPr>
        <w:pStyle w:val="a8"/>
        <w:bidi/>
        <w:rPr>
          <w:rFonts w:ascii="Narkisim" w:hAnsi="Narkisim"/>
        </w:rPr>
      </w:pPr>
      <w:r w:rsidRPr="00AF3214">
        <w:rPr>
          <w:rFonts w:ascii="Narkisim" w:hAnsi="Narkisim"/>
          <w:rtl/>
        </w:rPr>
        <w:t xml:space="preserve">ורע"א דן לחלק עוד דבברייתא בחולין איירי בנטמאה התרומה ואח"כ הגוף [דהוה מחוללת ועומדת ופטור], אבל בנטמא הגוף ואח"כ נטמאה התרומה חייב מיתה. [וציין דעד"ז כת' </w:t>
      </w:r>
      <w:r w:rsidRPr="00AF3214">
        <w:rPr>
          <w:rFonts w:ascii="Narkisim" w:hAnsi="Narkisim"/>
          <w:b/>
          <w:bCs/>
          <w:rtl/>
        </w:rPr>
        <w:t>תוס'</w:t>
      </w:r>
      <w:r w:rsidRPr="00AF3214">
        <w:rPr>
          <w:rFonts w:ascii="Narkisim" w:hAnsi="Narkisim"/>
          <w:rtl/>
        </w:rPr>
        <w:t xml:space="preserve"> (חולין קא. ד"ה בנטמא הגוף)]. אך הק' דבסוגיין קאי לאכול בימי טומאתו [שיטמא אח"כ], וע"ז כת' רש"י דהוה במיתה. והא כשנטמא הגוף אח"כ לא הוי במיתה</w:t>
      </w:r>
      <w:r w:rsidRPr="00AF3214">
        <w:rPr>
          <w:rFonts w:ascii="Narkisim" w:hAnsi="Narkisim"/>
        </w:rPr>
        <w:t>.</w:t>
      </w:r>
    </w:p>
    <w:p w14:paraId="3B0B6C33"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ציין לדברי ה</w:t>
      </w:r>
      <w:r w:rsidRPr="00AF3214">
        <w:rPr>
          <w:rFonts w:ascii="Narkisim" w:hAnsi="Narkisim"/>
          <w:b/>
          <w:bCs/>
          <w:rtl/>
        </w:rPr>
        <w:t>ר"ש</w:t>
      </w:r>
      <w:r w:rsidRPr="00AF3214">
        <w:rPr>
          <w:rFonts w:ascii="Narkisim" w:hAnsi="Narkisim"/>
          <w:rtl/>
        </w:rPr>
        <w:t xml:space="preserve"> (פרה יא ג) דמתניתין דהתם פליג אברייתא דחולין. וצ"ע</w:t>
      </w:r>
      <w:r w:rsidRPr="00AF3214">
        <w:rPr>
          <w:rFonts w:ascii="Narkisim" w:hAnsi="Narkisim"/>
        </w:rPr>
        <w:t>.</w:t>
      </w:r>
    </w:p>
    <w:p w14:paraId="4042C47B" w14:textId="77777777" w:rsidR="006C4368" w:rsidRPr="00AF3214" w:rsidRDefault="006C4368" w:rsidP="006C4368">
      <w:pPr>
        <w:pStyle w:val="aa"/>
        <w:bidi/>
        <w:rPr>
          <w:rFonts w:ascii="Narkisim" w:hAnsi="Narkisim"/>
        </w:rPr>
      </w:pPr>
      <w:r w:rsidRPr="00AF3214">
        <w:rPr>
          <w:rFonts w:ascii="Narkisim" w:hAnsi="Narkisim"/>
          <w:u w:val="single"/>
          <w:rtl/>
        </w:rPr>
        <w:t>רש"י ד"ה והכא מדאורייתא</w:t>
      </w:r>
      <w:r w:rsidRPr="00AF3214">
        <w:rPr>
          <w:rFonts w:ascii="Narkisim" w:hAnsi="Narkisim"/>
          <w:rtl/>
        </w:rPr>
        <w:t>. דחולין טמאים וכו' כדר' אילעי. דאף טמא על הטהור נחשב 'רע'. ו</w:t>
      </w:r>
      <w:r w:rsidRPr="00AF3214">
        <w:rPr>
          <w:rFonts w:ascii="Narkisim" w:hAnsi="Narkisim"/>
          <w:b/>
          <w:bCs/>
          <w:rtl/>
        </w:rPr>
        <w:t>רע"א</w:t>
      </w:r>
      <w:r w:rsidRPr="00AF3214">
        <w:rPr>
          <w:rFonts w:ascii="Narkisim" w:hAnsi="Narkisim"/>
          <w:rtl/>
        </w:rPr>
        <w:t xml:space="preserve"> הק' דהא דרע חל עליו שם תרומה ל"צ לדר' אלעי, דפשיטא דהמפריש רע על הרע חל תרומה. ור' אלעי איצטריך מן הרע על היפה</w:t>
      </w:r>
      <w:r w:rsidRPr="00AF3214">
        <w:rPr>
          <w:rFonts w:ascii="Narkisim" w:hAnsi="Narkisim"/>
        </w:rPr>
        <w:t>.</w:t>
      </w:r>
    </w:p>
    <w:p w14:paraId="5C78885C" w14:textId="77777777" w:rsidR="006C4368" w:rsidRPr="00AF3214" w:rsidRDefault="006C4368" w:rsidP="006C4368">
      <w:pPr>
        <w:bidi/>
        <w:rPr>
          <w:rFonts w:ascii="Narkisim" w:hAnsi="Narkisim" w:cs="Narkisim"/>
        </w:rPr>
      </w:pPr>
      <w:r w:rsidRPr="00AF3214">
        <w:rPr>
          <w:rFonts w:ascii="Narkisim" w:hAnsi="Narkisim" w:cs="Narkisim"/>
          <w:u w:val="single"/>
          <w:rtl/>
        </w:rPr>
        <w:t>תוד"ה חסורי</w:t>
      </w:r>
      <w:r w:rsidRPr="00AF3214">
        <w:rPr>
          <w:rFonts w:ascii="Narkisim" w:hAnsi="Narkisim" w:cs="Narkisim"/>
          <w:rtl/>
        </w:rPr>
        <w:t>. וא"ת אי לפי דמים משלם וכו'. דהגמ' (פסחים לב.) מסתפקת בגדר תשלומי האוכל תרומה בשוגג, האם משלם לפי מידה [כשיעור סאה שאכל, ואפי' נתייקר אח"כ], או לפי דמים</w:t>
      </w:r>
      <w:r w:rsidRPr="00AF3214">
        <w:rPr>
          <w:rFonts w:ascii="Narkisim" w:hAnsi="Narkisim" w:cs="Narkisim"/>
        </w:rPr>
        <w:t>.</w:t>
      </w:r>
    </w:p>
    <w:p w14:paraId="17141DEC"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רש"י</w:t>
      </w:r>
      <w:r w:rsidRPr="00AF3214">
        <w:rPr>
          <w:rFonts w:ascii="Narkisim" w:hAnsi="Narkisim"/>
          <w:rtl/>
        </w:rPr>
        <w:t xml:space="preserve"> (גיטין נד.) פי' [אהא דמהני ששילם בפירות טמאים] דלפי מידה משלם. משמע דקאי הכא דוקא לצד דלפי מידה. וה</w:t>
      </w:r>
      <w:r w:rsidRPr="00AF3214">
        <w:rPr>
          <w:rFonts w:ascii="Narkisim" w:hAnsi="Narkisim"/>
          <w:b/>
          <w:bCs/>
          <w:rtl/>
        </w:rPr>
        <w:t>ראשונים</w:t>
      </w:r>
      <w:r w:rsidRPr="00AF3214">
        <w:rPr>
          <w:rFonts w:ascii="Narkisim" w:hAnsi="Narkisim"/>
          <w:rtl/>
        </w:rPr>
        <w:t xml:space="preserve"> הק' דהוה ספק בגמ', והו"ל לגמ' (שם) לפשוט מברייתא זו. [ואפשר דזה כוונת קו' התוס']</w:t>
      </w:r>
      <w:r w:rsidRPr="00AF3214">
        <w:rPr>
          <w:rFonts w:ascii="Narkisim" w:hAnsi="Narkisim"/>
        </w:rPr>
        <w:t>.</w:t>
      </w:r>
    </w:p>
    <w:p w14:paraId="79CC9ACE" w14:textId="77777777" w:rsidR="006C4368" w:rsidRPr="00AF3214" w:rsidRDefault="006C4368" w:rsidP="006C4368">
      <w:pPr>
        <w:bidi/>
        <w:rPr>
          <w:rFonts w:ascii="Narkisim" w:hAnsi="Narkisim" w:cs="Narkisim"/>
        </w:rPr>
      </w:pPr>
      <w:r w:rsidRPr="00AF3214">
        <w:rPr>
          <w:rFonts w:ascii="Narkisim" w:hAnsi="Narkisim" w:cs="Narkisim"/>
          <w:u w:val="single"/>
          <w:rtl/>
        </w:rPr>
        <w:t>שם. אי לפי דמים משלם</w:t>
      </w:r>
      <w:r w:rsidRPr="00AF3214">
        <w:rPr>
          <w:rFonts w:ascii="Narkisim" w:hAnsi="Narkisim" w:cs="Narkisim"/>
          <w:rtl/>
        </w:rPr>
        <w:t xml:space="preserve">. מבואר בתוס' דאילו לפי מידה משלם ניחא. [וכדברי רש"י שם]. אבל </w:t>
      </w:r>
      <w:r w:rsidRPr="00AF3214">
        <w:rPr>
          <w:rFonts w:ascii="Narkisim" w:hAnsi="Narkisim" w:cs="Narkisim"/>
          <w:b/>
          <w:bCs/>
          <w:rtl/>
        </w:rPr>
        <w:t>תוס'</w:t>
      </w:r>
      <w:r w:rsidRPr="00AF3214">
        <w:rPr>
          <w:rFonts w:ascii="Narkisim" w:hAnsi="Narkisim" w:cs="Narkisim"/>
          <w:rtl/>
        </w:rPr>
        <w:t xml:space="preserve"> (גיטין נד. והרמב"ן ושא"ר שם) הק' דאף לצד דלפי מידה צריך לשלם שיהיו שווין להסקה כשיעור תרומה טהורה שאכל, דלא גרע מגזלן. וכדאי' (פסחים לב.) דהיכא דמעיקרא שווה ד' ולבסוף זוז פשיטא דצריך להשלים, דלא גרע מגזלן</w:t>
      </w:r>
      <w:r w:rsidRPr="00AF3214">
        <w:rPr>
          <w:rFonts w:ascii="Narkisim" w:hAnsi="Narkisim" w:cs="Narkisim"/>
        </w:rPr>
        <w:t>.</w:t>
      </w:r>
    </w:p>
    <w:p w14:paraId="395BDA4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(גיטין שם) תי' דלדעת רש"י מחוייב להשלים מעות בעלמא מדין 'לא גרע' מגזלן. והוה </w:t>
      </w:r>
      <w:r w:rsidRPr="00AF3214">
        <w:rPr>
          <w:rFonts w:ascii="Narkisim" w:hAnsi="Narkisim"/>
          <w:rtl/>
        </w:rPr>
        <w:lastRenderedPageBreak/>
        <w:t>מדיני גזילה</w:t>
      </w:r>
      <w:r w:rsidRPr="00AF3214">
        <w:rPr>
          <w:rStyle w:val="ac"/>
          <w:rFonts w:ascii="Narkisim" w:hAnsi="Narkisim"/>
          <w:rtl/>
        </w:rPr>
        <w:footnoteReference w:id="5638"/>
      </w:r>
      <w:r w:rsidRPr="00AF3214">
        <w:rPr>
          <w:rFonts w:ascii="Narkisim" w:hAnsi="Narkisim"/>
        </w:rPr>
        <w:t xml:space="preserve"> </w:t>
      </w:r>
      <w:r w:rsidRPr="00AF3214">
        <w:rPr>
          <w:rFonts w:ascii="Narkisim" w:hAnsi="Narkisim"/>
          <w:rtl/>
        </w:rPr>
        <w:t>ולא מדין תשלומי תרומה [ואינן נעשין תרומה]</w:t>
      </w:r>
      <w:r w:rsidRPr="00AF3214">
        <w:rPr>
          <w:rStyle w:val="ac"/>
          <w:rFonts w:ascii="Narkisim" w:hAnsi="Narkisim"/>
          <w:rtl/>
        </w:rPr>
        <w:footnoteReference w:id="5639"/>
      </w:r>
      <w:r w:rsidRPr="00AF3214">
        <w:rPr>
          <w:rFonts w:ascii="Narkisim" w:hAnsi="Narkisim"/>
        </w:rPr>
        <w:t xml:space="preserve">. </w:t>
      </w:r>
      <w:r w:rsidRPr="00AF3214">
        <w:rPr>
          <w:rFonts w:ascii="Narkisim" w:hAnsi="Narkisim"/>
          <w:rtl/>
        </w:rPr>
        <w:t xml:space="preserve">ועד"ז הק' </w:t>
      </w:r>
      <w:r w:rsidRPr="00AF3214">
        <w:rPr>
          <w:rFonts w:ascii="Narkisim" w:hAnsi="Narkisim"/>
          <w:b/>
          <w:bCs/>
          <w:rtl/>
        </w:rPr>
        <w:t>רע"א</w:t>
      </w:r>
      <w:r w:rsidRPr="00AF3214">
        <w:rPr>
          <w:rFonts w:ascii="Narkisim" w:hAnsi="Narkisim"/>
          <w:rtl/>
        </w:rPr>
        <w:t xml:space="preserve"> (בגהש"ס פסחים לב.) דלא גרע מגזלן הוה תשלום ממון בעלמא</w:t>
      </w:r>
      <w:r w:rsidRPr="00AF3214">
        <w:rPr>
          <w:rStyle w:val="ac"/>
          <w:rFonts w:ascii="Narkisim" w:hAnsi="Narkisim"/>
          <w:rtl/>
        </w:rPr>
        <w:footnoteReference w:id="5640"/>
      </w:r>
      <w:r w:rsidRPr="00AF3214">
        <w:rPr>
          <w:rFonts w:ascii="Narkisim" w:hAnsi="Narkisim"/>
        </w:rPr>
        <w:t>.</w:t>
      </w:r>
    </w:p>
    <w:p w14:paraId="13D0CE8D"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דייק דדעת </w:t>
      </w:r>
      <w:r w:rsidRPr="00AF3214">
        <w:rPr>
          <w:rFonts w:ascii="Narkisim" w:hAnsi="Narkisim"/>
          <w:b/>
          <w:bCs/>
          <w:rtl/>
        </w:rPr>
        <w:t>תוס</w:t>
      </w:r>
      <w:r w:rsidRPr="00AF3214">
        <w:rPr>
          <w:rFonts w:ascii="Narkisim" w:hAnsi="Narkisim"/>
          <w:rtl/>
        </w:rPr>
        <w:t xml:space="preserve">' (גיטין) דלא גרע מגזלן הוה מדיני תשלומי תרומה, וצריך לשלם כל השווי שאכל משום כפרה [ונעשין תרומה]. </w:t>
      </w:r>
      <w:r w:rsidRPr="00AF3214">
        <w:rPr>
          <w:rFonts w:ascii="Narkisim" w:hAnsi="Narkisim"/>
          <w:szCs w:val="20"/>
          <w:rtl/>
        </w:rPr>
        <w:t>וה</w:t>
      </w:r>
      <w:r w:rsidRPr="00AF3214">
        <w:rPr>
          <w:rFonts w:ascii="Narkisim" w:hAnsi="Narkisim"/>
          <w:b/>
          <w:bCs/>
          <w:szCs w:val="20"/>
          <w:rtl/>
        </w:rPr>
        <w:t>אחרונים</w:t>
      </w:r>
      <w:r w:rsidRPr="00AF3214">
        <w:rPr>
          <w:rFonts w:ascii="Narkisim" w:hAnsi="Narkisim"/>
          <w:szCs w:val="20"/>
          <w:rtl/>
        </w:rPr>
        <w:t xml:space="preserve"> (שפ"א פסחים שם, וחזו"א שם) ביארו דילפי' ק"ו דדין תשלומי תרומה לא גרע מתשלומי גזילה. דכיון דהחמירה בו תורה לחיוב חומש, כ"ש דיתחייב כשעת האכילה</w:t>
      </w:r>
      <w:r w:rsidRPr="00AF3214">
        <w:rPr>
          <w:rFonts w:ascii="Narkisim" w:hAnsi="Narkisim"/>
          <w:szCs w:val="20"/>
        </w:rPr>
        <w:t>.</w:t>
      </w:r>
    </w:p>
    <w:p w14:paraId="4C90B005" w14:textId="77777777" w:rsidR="006C4368" w:rsidRPr="00AF3214" w:rsidRDefault="006C4368" w:rsidP="006C4368">
      <w:pPr>
        <w:bidi/>
        <w:rPr>
          <w:rFonts w:ascii="Narkisim" w:hAnsi="Narkisim" w:cs="Narkisim"/>
        </w:rPr>
      </w:pPr>
      <w:r w:rsidRPr="00AF3214">
        <w:rPr>
          <w:rFonts w:ascii="Narkisim" w:hAnsi="Narkisim" w:cs="Narkisim"/>
          <w:u w:val="single"/>
          <w:rtl/>
        </w:rPr>
        <w:t>שם. והלא הן נעשין תרומה, ואין שווים כתרומה טהורה שאכל וכו'</w:t>
      </w:r>
      <w:r w:rsidRPr="00AF3214">
        <w:rPr>
          <w:rFonts w:ascii="Narkisim" w:hAnsi="Narkisim" w:cs="Narkisim"/>
          <w:rtl/>
        </w:rPr>
        <w:t>. וה</w:t>
      </w:r>
      <w:r w:rsidRPr="00AF3214">
        <w:rPr>
          <w:rFonts w:ascii="Narkisim" w:hAnsi="Narkisim" w:cs="Narkisim"/>
          <w:b/>
          <w:bCs/>
          <w:rtl/>
        </w:rPr>
        <w:t>רמב"ן</w:t>
      </w:r>
      <w:r w:rsidRPr="00AF3214">
        <w:rPr>
          <w:rFonts w:ascii="Narkisim" w:hAnsi="Narkisim" w:cs="Narkisim"/>
          <w:rtl/>
        </w:rPr>
        <w:t xml:space="preserve"> (גיטין, הו' בריטב"א כאן) תי' דמ"מ בשעת נתינה היה שווה כדמי תרומה טהורה, וסגי בזה. ואף שאחר מכאן תשלומין נעשין תרומה</w:t>
      </w:r>
      <w:r w:rsidRPr="00AF3214">
        <w:rPr>
          <w:rStyle w:val="ac"/>
          <w:rFonts w:ascii="Narkisim" w:hAnsi="Narkisim" w:cs="Narkisim"/>
          <w:rtl/>
        </w:rPr>
        <w:footnoteReference w:id="5641"/>
      </w:r>
      <w:r w:rsidRPr="00AF3214">
        <w:rPr>
          <w:rFonts w:ascii="Narkisim" w:hAnsi="Narkisim" w:cs="Narkisim"/>
        </w:rPr>
        <w:t>.</w:t>
      </w:r>
    </w:p>
    <w:p w14:paraId="65BD7D84"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(שם) כת' [בדעת רש"י] אף למ"ד לפי דמים משלם, דמתחייב לשלם שווי הגזילה, ובשעת תשלום היו שווים כך. אף דע"י גרמתו נעשין תרומה ואינן שווין מידי, הא הוה היזק שאינו ניכר. ולא קנסו שוגג אטו מזיד</w:t>
      </w:r>
      <w:r w:rsidRPr="00AF3214">
        <w:rPr>
          <w:rFonts w:ascii="Narkisim" w:hAnsi="Narkisim"/>
        </w:rPr>
        <w:t>.</w:t>
      </w:r>
    </w:p>
    <w:p w14:paraId="318518A8"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משנ"ל</w:t>
      </w:r>
      <w:r w:rsidRPr="00AF3214">
        <w:rPr>
          <w:rFonts w:ascii="Narkisim" w:eastAsia="Narkisim" w:hAnsi="Narkisim" w:cs="Narkisim"/>
          <w:rtl/>
        </w:rPr>
        <w:t xml:space="preserve"> (תרומות י יח ד"ה נסתפקתי) חקר האיך שמין </w:t>
      </w:r>
      <w:r w:rsidRPr="00AF3214">
        <w:rPr>
          <w:rFonts w:ascii="Narkisim" w:eastAsia="Narkisim" w:hAnsi="Narkisim" w:cs="Narkisim"/>
          <w:sz w:val="20"/>
          <w:szCs w:val="20"/>
          <w:rtl/>
        </w:rPr>
        <w:t xml:space="preserve">[לצד דלפי דמים], </w:t>
      </w:r>
      <w:r w:rsidRPr="00AF3214">
        <w:rPr>
          <w:rFonts w:ascii="Narkisim" w:eastAsia="Narkisim" w:hAnsi="Narkisim" w:cs="Narkisim"/>
          <w:rtl/>
        </w:rPr>
        <w:t>לפי דמי פירות תרומה</w:t>
      </w:r>
      <w:r w:rsidRPr="00AF3214">
        <w:rPr>
          <w:rStyle w:val="ac"/>
          <w:rFonts w:ascii="Narkisim" w:eastAsia="Narkisim" w:hAnsi="Narkisim" w:cs="Narkisim"/>
          <w:rtl/>
        </w:rPr>
        <w:footnoteReference w:id="5642"/>
      </w:r>
      <w:r w:rsidRPr="00AF3214">
        <w:rPr>
          <w:rFonts w:ascii="Narkisim" w:eastAsia="Narkisim" w:hAnsi="Narkisim" w:cs="Narkisim"/>
        </w:rPr>
        <w:t xml:space="preserve"> </w:t>
      </w:r>
      <w:r w:rsidRPr="00AF3214">
        <w:rPr>
          <w:rFonts w:ascii="Narkisim" w:eastAsia="Narkisim" w:hAnsi="Narkisim" w:cs="Narkisim"/>
          <w:rtl/>
        </w:rPr>
        <w:t>או לפי דמי חולין [כאילו היתה חולין]</w:t>
      </w:r>
      <w:r w:rsidRPr="00AF3214">
        <w:rPr>
          <w:rStyle w:val="ac"/>
          <w:rFonts w:ascii="Narkisim" w:eastAsia="Narkisim" w:hAnsi="Narkisim" w:cs="Narkisim"/>
          <w:rtl/>
        </w:rPr>
        <w:footnoteReference w:id="5643"/>
      </w:r>
      <w:r w:rsidRPr="00AF3214">
        <w:rPr>
          <w:rFonts w:ascii="Narkisim" w:eastAsia="Narkisim" w:hAnsi="Narkisim" w:cs="Narkisim"/>
        </w:rPr>
        <w:t>.</w:t>
      </w:r>
    </w:p>
    <w:p w14:paraId="5A0FA77E" w14:textId="77777777" w:rsidR="006C4368" w:rsidRPr="00AF3214" w:rsidRDefault="006C4368" w:rsidP="006C4368">
      <w:pPr>
        <w:pStyle w:val="a8"/>
        <w:bidi/>
        <w:rPr>
          <w:rFonts w:ascii="Narkisim" w:hAnsi="Narkisim"/>
        </w:rPr>
      </w:pPr>
      <w:r w:rsidRPr="00AF3214">
        <w:rPr>
          <w:rFonts w:ascii="Narkisim" w:eastAsia="Narkisim" w:hAnsi="Narkisim"/>
          <w:rtl/>
        </w:rPr>
        <w:t>ולצד דמשלם לפי דמי תרומה, א"כ לכאורה משלם פירות חולין בשווי זה [ומשלם פחות ממה שאכל]. ו</w:t>
      </w:r>
      <w:r w:rsidRPr="00AF3214">
        <w:rPr>
          <w:rFonts w:ascii="Narkisim" w:eastAsia="Narkisim" w:hAnsi="Narkisim"/>
          <w:b/>
          <w:bCs/>
          <w:rtl/>
        </w:rPr>
        <w:t>רע"א</w:t>
      </w:r>
      <w:r w:rsidRPr="00AF3214">
        <w:rPr>
          <w:rFonts w:ascii="Narkisim" w:eastAsia="Narkisim" w:hAnsi="Narkisim"/>
          <w:rtl/>
        </w:rPr>
        <w:t xml:space="preserve"> (פסחים לב.) הק' דא"כ לעולם יש נפק"מ אי שמין לפי מידה או לפי דמים. והוכיח דשמין כאילו היו חולין</w:t>
      </w:r>
      <w:r w:rsidRPr="00AF3214">
        <w:rPr>
          <w:rFonts w:ascii="Narkisim" w:eastAsia="Narkisim" w:hAnsi="Narkisim"/>
        </w:rPr>
        <w:t>.</w:t>
      </w:r>
    </w:p>
    <w:p w14:paraId="25996B09" w14:textId="77777777" w:rsidR="006C4368" w:rsidRPr="00AF3214" w:rsidRDefault="006C4368" w:rsidP="006C4368">
      <w:pPr>
        <w:pStyle w:val="a8"/>
        <w:bidi/>
        <w:rPr>
          <w:rFonts w:ascii="Narkisim" w:hAnsi="Narkisim"/>
        </w:rPr>
      </w:pPr>
      <w:r w:rsidRPr="00AF3214">
        <w:rPr>
          <w:rFonts w:ascii="Narkisim" w:eastAsia="Narkisim" w:hAnsi="Narkisim"/>
          <w:rtl/>
        </w:rPr>
        <w:t>וה</w:t>
      </w:r>
      <w:r w:rsidRPr="00AF3214">
        <w:rPr>
          <w:rFonts w:ascii="Narkisim" w:eastAsia="Narkisim" w:hAnsi="Narkisim"/>
          <w:b/>
          <w:bCs/>
          <w:rtl/>
        </w:rPr>
        <w:t>חזו"א</w:t>
      </w:r>
      <w:r w:rsidRPr="00AF3214">
        <w:rPr>
          <w:rFonts w:ascii="Narkisim" w:eastAsia="Narkisim" w:hAnsi="Narkisim"/>
          <w:rtl/>
        </w:rPr>
        <w:t xml:space="preserve"> (פסחים) כת' [צד נוסף] שמשלם חולין כשיעור שלאחר שיתקדש יהא שווי כפי התרומה שאכל [ודלא כרמב"ן הנ"ל]. ולכאורה כן מבואר בתוס' (בסוגיין). ובזה נח' תוס' דידן והרמב"ן (ושא"ר הנ"ל) אי בעי' שאחרי התשלום יהא שווה למה שאכל או דהפירות קודם תשלום יהיו שווים</w:t>
      </w:r>
      <w:r w:rsidRPr="00AF3214">
        <w:rPr>
          <w:rFonts w:ascii="Narkisim" w:eastAsia="Narkisim" w:hAnsi="Narkisim"/>
        </w:rPr>
        <w:t>.</w:t>
      </w:r>
    </w:p>
    <w:p w14:paraId="09ABFF15" w14:textId="77777777" w:rsidR="006C4368" w:rsidRPr="00AF3214" w:rsidRDefault="006C4368" w:rsidP="006C4368">
      <w:pPr>
        <w:bidi/>
        <w:rPr>
          <w:rFonts w:ascii="Narkisim" w:hAnsi="Narkisim" w:cs="Narkisim"/>
        </w:rPr>
      </w:pPr>
      <w:r w:rsidRPr="00AF3214">
        <w:rPr>
          <w:rFonts w:ascii="Narkisim" w:hAnsi="Narkisim" w:cs="Narkisim"/>
          <w:u w:val="single"/>
          <w:rtl/>
        </w:rPr>
        <w:t>בא"ד וי"ל דמשלם חולין טמאים כל כך דכשנעשין תרומה טמאה יהיו שווין להסקה וכו</w:t>
      </w:r>
      <w:r w:rsidRPr="00AF3214">
        <w:rPr>
          <w:rFonts w:ascii="Narkisim" w:hAnsi="Narkisim" w:cs="Narkisim"/>
          <w:rtl/>
        </w:rPr>
        <w:t>'. [וכ"כ תוס' גיטין]. וצ"ב דהא איירי במשלם בשוגג, והוא סבור שהפירות טהורים, א"כ ודאי לא שילם כל כך. וכה"ק ה</w:t>
      </w:r>
      <w:r w:rsidRPr="00AF3214">
        <w:rPr>
          <w:rFonts w:ascii="Narkisim" w:hAnsi="Narkisim" w:cs="Narkisim"/>
          <w:b/>
          <w:bCs/>
          <w:rtl/>
        </w:rPr>
        <w:t>יש"ש.</w:t>
      </w:r>
      <w:r w:rsidRPr="00AF3214">
        <w:rPr>
          <w:rFonts w:ascii="Narkisim" w:hAnsi="Narkisim" w:cs="Narkisim"/>
          <w:rtl/>
        </w:rPr>
        <w:t xml:space="preserve"> וי"ל דמ"מ מתקיים הפרעון במקצת החיוב</w:t>
      </w:r>
      <w:r w:rsidRPr="00AF3214">
        <w:rPr>
          <w:rFonts w:ascii="Narkisim" w:hAnsi="Narkisim" w:cs="Narkisim"/>
        </w:rPr>
        <w:t>.</w:t>
      </w:r>
    </w:p>
    <w:p w14:paraId="26656EB2" w14:textId="77777777" w:rsidR="006C4368" w:rsidRPr="00AF3214" w:rsidRDefault="006C4368" w:rsidP="006C4368">
      <w:pPr>
        <w:bidi/>
        <w:rPr>
          <w:rFonts w:ascii="Narkisim" w:hAnsi="Narkisim" w:cs="Narkisim"/>
        </w:rPr>
      </w:pPr>
      <w:r w:rsidRPr="00AF3214">
        <w:rPr>
          <w:rFonts w:ascii="Narkisim" w:hAnsi="Narkisim" w:cs="Narkisim"/>
          <w:u w:val="single"/>
          <w:rtl/>
        </w:rPr>
        <w:t>תוד"ה אזיל</w:t>
      </w:r>
      <w:r w:rsidRPr="00AF3214">
        <w:rPr>
          <w:rFonts w:ascii="Narkisim" w:hAnsi="Narkisim" w:cs="Narkisim"/>
          <w:rtl/>
        </w:rPr>
        <w:t>. דמה פשע כהן שיש לנו להפקיר ממונו. וכ"כ ה</w:t>
      </w:r>
      <w:r w:rsidRPr="00AF3214">
        <w:rPr>
          <w:rFonts w:ascii="Narkisim" w:hAnsi="Narkisim" w:cs="Narkisim"/>
          <w:b/>
          <w:bCs/>
          <w:rtl/>
        </w:rPr>
        <w:t>תוס' הרא"ש</w:t>
      </w:r>
      <w:r w:rsidRPr="00AF3214">
        <w:rPr>
          <w:rFonts w:ascii="Narkisim" w:hAnsi="Narkisim" w:cs="Narkisim"/>
          <w:rtl/>
        </w:rPr>
        <w:t>. וה</w:t>
      </w:r>
      <w:r w:rsidRPr="00AF3214">
        <w:rPr>
          <w:rFonts w:ascii="Narkisim" w:hAnsi="Narkisim" w:cs="Narkisim"/>
          <w:b/>
          <w:bCs/>
          <w:rtl/>
        </w:rPr>
        <w:t>שיטמ"ק</w:t>
      </w:r>
      <w:r w:rsidRPr="00AF3214">
        <w:rPr>
          <w:rFonts w:ascii="Narkisim" w:hAnsi="Narkisim" w:cs="Narkisim"/>
          <w:rtl/>
        </w:rPr>
        <w:t xml:space="preserve"> (כתובות ג.) הביא ע"פ התוס' לפרש דהיכא דאפקעינהו רבנן לקידושין, והפקירו המעות הוה דוקא היכא דקידש ע"ד דרבנן</w:t>
      </w:r>
      <w:r w:rsidRPr="00AF3214">
        <w:rPr>
          <w:rFonts w:ascii="Narkisim" w:hAnsi="Narkisim" w:cs="Narkisim"/>
        </w:rPr>
        <w:t>.</w:t>
      </w:r>
    </w:p>
    <w:p w14:paraId="1C5460A2" w14:textId="77777777" w:rsidR="006C4368" w:rsidRPr="00AF3214" w:rsidRDefault="006C4368" w:rsidP="006C4368">
      <w:pPr>
        <w:pStyle w:val="a7"/>
        <w:bidi/>
        <w:rPr>
          <w:rFonts w:ascii="Narkisim" w:hAnsi="Narkisim"/>
        </w:rPr>
      </w:pPr>
      <w:r w:rsidRPr="00AF3214">
        <w:rPr>
          <w:rFonts w:ascii="Narkisim" w:hAnsi="Narkisim"/>
          <w:rtl/>
        </w:rPr>
        <w:t>אבל ב</w:t>
      </w:r>
      <w:r w:rsidRPr="00AF3214">
        <w:rPr>
          <w:rFonts w:ascii="Narkisim" w:hAnsi="Narkisim"/>
          <w:b/>
          <w:bCs/>
          <w:rtl/>
        </w:rPr>
        <w:t>שו"ת רע"א</w:t>
      </w:r>
      <w:r w:rsidRPr="00AF3214">
        <w:rPr>
          <w:rFonts w:ascii="Narkisim" w:hAnsi="Narkisim"/>
          <w:rtl/>
        </w:rPr>
        <w:t xml:space="preserve"> (ק' קה) כת' דמצינו תקנת חז"ל בממונא פעמים רבות אין מספר</w:t>
      </w:r>
      <w:r w:rsidRPr="00AF3214">
        <w:rPr>
          <w:rStyle w:val="ac"/>
          <w:rFonts w:ascii="Narkisim" w:hAnsi="Narkisim"/>
          <w:rtl/>
        </w:rPr>
        <w:footnoteReference w:id="5644"/>
      </w:r>
      <w:r w:rsidRPr="00AF3214">
        <w:rPr>
          <w:rFonts w:ascii="Narkisim" w:hAnsi="Narkisim"/>
        </w:rPr>
        <w:t xml:space="preserve">, </w:t>
      </w:r>
      <w:r w:rsidRPr="00AF3214">
        <w:rPr>
          <w:rFonts w:ascii="Narkisim" w:hAnsi="Narkisim"/>
          <w:rtl/>
        </w:rPr>
        <w:t>והפקיעו ממונו אף דלא פשע</w:t>
      </w:r>
      <w:r w:rsidRPr="00AF3214">
        <w:rPr>
          <w:rStyle w:val="ac"/>
          <w:rFonts w:ascii="Narkisim" w:hAnsi="Narkisim"/>
          <w:rtl/>
        </w:rPr>
        <w:footnoteReference w:id="5645"/>
      </w:r>
      <w:r w:rsidRPr="00AF3214">
        <w:rPr>
          <w:rFonts w:ascii="Narkisim" w:hAnsi="Narkisim"/>
        </w:rPr>
        <w:t xml:space="preserve">, </w:t>
      </w:r>
      <w:r w:rsidRPr="00AF3214">
        <w:rPr>
          <w:rFonts w:ascii="Narkisim" w:hAnsi="Narkisim"/>
          <w:rtl/>
        </w:rPr>
        <w:t>מפני תיקון עולם. דלאו כל ענינים שוים, וחז"ל תקנו כפי הוראה צורך שעה</w:t>
      </w:r>
      <w:r w:rsidRPr="00AF3214">
        <w:rPr>
          <w:rStyle w:val="ac"/>
          <w:rFonts w:ascii="Narkisim" w:hAnsi="Narkisim"/>
          <w:rtl/>
        </w:rPr>
        <w:footnoteReference w:id="5646"/>
      </w:r>
      <w:r w:rsidRPr="00AF3214">
        <w:rPr>
          <w:rFonts w:ascii="Narkisim" w:hAnsi="Narkisim"/>
        </w:rPr>
        <w:t xml:space="preserve">. </w:t>
      </w:r>
      <w:r w:rsidRPr="00AF3214">
        <w:rPr>
          <w:rFonts w:ascii="Narkisim" w:hAnsi="Narkisim"/>
          <w:rtl/>
        </w:rPr>
        <w:t xml:space="preserve">ופשיטא דביד חז"ל להפקיע ממון מאיזה טעם שיהי' להם אף בלא </w:t>
      </w:r>
      <w:r w:rsidRPr="00AF3214">
        <w:rPr>
          <w:rFonts w:ascii="Narkisim" w:hAnsi="Narkisim"/>
          <w:rtl/>
        </w:rPr>
        <w:lastRenderedPageBreak/>
        <w:t>פשע</w:t>
      </w:r>
      <w:r w:rsidRPr="00AF3214">
        <w:rPr>
          <w:rFonts w:ascii="Narkisim" w:hAnsi="Narkisim"/>
        </w:rPr>
        <w:t>.</w:t>
      </w:r>
    </w:p>
    <w:p w14:paraId="6C0BE2A4" w14:textId="77777777" w:rsidR="006C4368" w:rsidRPr="00AF3214" w:rsidRDefault="006C4368" w:rsidP="006C4368">
      <w:pPr>
        <w:pStyle w:val="a7"/>
        <w:bidi/>
        <w:rPr>
          <w:rFonts w:ascii="Narkisim" w:hAnsi="Narkisim"/>
        </w:rPr>
      </w:pPr>
      <w:r w:rsidRPr="00AF3214">
        <w:rPr>
          <w:rFonts w:ascii="Narkisim" w:hAnsi="Narkisim"/>
          <w:rtl/>
        </w:rPr>
        <w:t xml:space="preserve">ויש </w:t>
      </w:r>
      <w:r w:rsidRPr="00AF3214">
        <w:rPr>
          <w:rFonts w:ascii="Narkisim" w:hAnsi="Narkisim"/>
          <w:b/>
          <w:bCs/>
          <w:rtl/>
        </w:rPr>
        <w:t>אחרונים</w:t>
      </w:r>
      <w:r w:rsidRPr="00AF3214">
        <w:rPr>
          <w:rFonts w:ascii="Narkisim" w:hAnsi="Narkisim"/>
          <w:rtl/>
        </w:rPr>
        <w:t xml:space="preserve"> (ישרש יעקב) שחילקו דתוס' קאי בהפקר בי"ד שהוא בתורת קנס</w:t>
      </w:r>
      <w:r w:rsidRPr="00AF3214">
        <w:rPr>
          <w:rStyle w:val="ac"/>
          <w:rFonts w:ascii="Narkisim" w:hAnsi="Narkisim"/>
          <w:rtl/>
        </w:rPr>
        <w:footnoteReference w:id="5647"/>
      </w:r>
      <w:r w:rsidRPr="00AF3214">
        <w:rPr>
          <w:rFonts w:ascii="Narkisim" w:hAnsi="Narkisim"/>
        </w:rPr>
        <w:t xml:space="preserve">. </w:t>
      </w:r>
      <w:r w:rsidRPr="00AF3214">
        <w:rPr>
          <w:rFonts w:ascii="Narkisim" w:hAnsi="Narkisim"/>
          <w:rtl/>
        </w:rPr>
        <w:t>אבל במקום דהוה גדר תקנה תקנו להפקיר אף כשלא פשע</w:t>
      </w:r>
      <w:r w:rsidRPr="00AF3214">
        <w:rPr>
          <w:rFonts w:ascii="Narkisim" w:hAnsi="Narkisim"/>
        </w:rPr>
        <w:t>.</w:t>
      </w:r>
    </w:p>
    <w:p w14:paraId="1F02ABD6" w14:textId="77777777" w:rsidR="006C4368" w:rsidRPr="00AF3214" w:rsidRDefault="006C4368" w:rsidP="006C4368">
      <w:pPr>
        <w:pStyle w:val="aa"/>
        <w:bidi/>
        <w:rPr>
          <w:rFonts w:ascii="Narkisim" w:hAnsi="Narkisim"/>
        </w:rPr>
      </w:pPr>
      <w:r w:rsidRPr="00AF3214">
        <w:rPr>
          <w:rFonts w:ascii="Narkisim" w:hAnsi="Narkisim"/>
          <w:u w:val="single"/>
          <w:rtl/>
        </w:rPr>
        <w:t>שם. שיש לנו להפקיר ממונו</w:t>
      </w:r>
      <w:r w:rsidRPr="00AF3214">
        <w:rPr>
          <w:rFonts w:ascii="Narkisim" w:hAnsi="Narkisim"/>
          <w:rtl/>
        </w:rPr>
        <w:t>. ה</w:t>
      </w:r>
      <w:r w:rsidRPr="00AF3214">
        <w:rPr>
          <w:rFonts w:ascii="Narkisim" w:hAnsi="Narkisim"/>
          <w:b/>
          <w:bCs/>
          <w:rtl/>
        </w:rPr>
        <w:t>מהרש"א מהד"ב</w:t>
      </w:r>
      <w:r w:rsidRPr="00AF3214">
        <w:rPr>
          <w:rFonts w:ascii="Narkisim" w:hAnsi="Narkisim"/>
          <w:rtl/>
        </w:rPr>
        <w:t xml:space="preserve"> הק' דהכהן אינו מפסיד במה שיפקיעו תרומה זו, דהישראל נתחייב ליתן</w:t>
      </w:r>
      <w:r w:rsidRPr="00AF3214">
        <w:rPr>
          <w:rStyle w:val="ac"/>
          <w:rFonts w:ascii="Narkisim" w:hAnsi="Narkisim"/>
          <w:rtl/>
        </w:rPr>
        <w:footnoteReference w:id="5648"/>
      </w:r>
      <w:r w:rsidRPr="00AF3214">
        <w:rPr>
          <w:rFonts w:ascii="Narkisim" w:hAnsi="Narkisim"/>
        </w:rPr>
        <w:t xml:space="preserve"> </w:t>
      </w:r>
      <w:r w:rsidRPr="00AF3214">
        <w:rPr>
          <w:rFonts w:ascii="Narkisim" w:hAnsi="Narkisim"/>
          <w:rtl/>
        </w:rPr>
        <w:t>שוב חולין טהורים במקום</w:t>
      </w:r>
      <w:r w:rsidRPr="00AF3214">
        <w:rPr>
          <w:rStyle w:val="ac"/>
          <w:rFonts w:ascii="Narkisim" w:hAnsi="Narkisim"/>
          <w:rtl/>
        </w:rPr>
        <w:footnoteReference w:id="5649"/>
      </w:r>
      <w:r w:rsidRPr="00AF3214">
        <w:rPr>
          <w:rFonts w:ascii="Narkisim" w:hAnsi="Narkisim"/>
        </w:rPr>
        <w:t xml:space="preserve">. </w:t>
      </w:r>
      <w:r w:rsidRPr="00AF3214">
        <w:rPr>
          <w:rFonts w:ascii="Narkisim" w:hAnsi="Narkisim"/>
          <w:rtl/>
        </w:rPr>
        <w:t>וה</w:t>
      </w:r>
      <w:r w:rsidRPr="00AF3214">
        <w:rPr>
          <w:rFonts w:ascii="Narkisim" w:hAnsi="Narkisim"/>
          <w:b/>
          <w:bCs/>
          <w:rtl/>
        </w:rPr>
        <w:t>ערול"נ</w:t>
      </w:r>
      <w:r w:rsidRPr="00AF3214">
        <w:rPr>
          <w:rFonts w:ascii="Narkisim" w:hAnsi="Narkisim"/>
          <w:rtl/>
        </w:rPr>
        <w:t xml:space="preserve"> תי' דכשקידש אשה חוב הוא לו [שמפסיד פירות אלו], שמפסיד אשתו שקידש. [ויל"פ דהוה הפסד שמפסיד ממון מסויים זה, אף שיקבל החוב ממקום אחר]</w:t>
      </w:r>
      <w:r w:rsidRPr="00AF3214">
        <w:rPr>
          <w:rFonts w:ascii="Narkisim" w:hAnsi="Narkisim"/>
        </w:rPr>
        <w:t>.</w:t>
      </w:r>
    </w:p>
    <w:p w14:paraId="4486E6C4" w14:textId="77777777" w:rsidR="006C4368" w:rsidRPr="00AF3214" w:rsidRDefault="006C4368" w:rsidP="006C4368">
      <w:pPr>
        <w:pStyle w:val="aa"/>
        <w:bidi/>
        <w:rPr>
          <w:rFonts w:ascii="Narkisim" w:hAnsi="Narkisim"/>
        </w:rPr>
      </w:pPr>
      <w:r w:rsidRPr="00AF3214">
        <w:rPr>
          <w:rFonts w:ascii="Narkisim" w:hAnsi="Narkisim"/>
          <w:u w:val="single"/>
          <w:rtl/>
        </w:rPr>
        <w:t>ת"ש דם שנטמא וזרקו וכו' אר"י בר חנינא מאי לא הורצה דקאמר להתיר בשר באכילה, אבל בעלים נתכפרו</w:t>
      </w:r>
      <w:r w:rsidRPr="00AF3214">
        <w:rPr>
          <w:rFonts w:ascii="Narkisim" w:hAnsi="Narkisim"/>
          <w:rtl/>
        </w:rPr>
        <w:t>. ואין כח לחכמים לפסול את הקרבן שלא יתכפר הבעלים</w:t>
      </w:r>
      <w:r w:rsidRPr="00AF3214">
        <w:rPr>
          <w:rStyle w:val="ac"/>
          <w:rFonts w:ascii="Narkisim" w:hAnsi="Narkisim"/>
          <w:rtl/>
        </w:rPr>
        <w:footnoteReference w:id="5650"/>
      </w:r>
      <w:r w:rsidRPr="00AF3214">
        <w:rPr>
          <w:rFonts w:ascii="Narkisim" w:hAnsi="Narkisim"/>
        </w:rPr>
        <w:t xml:space="preserve">, </w:t>
      </w:r>
      <w:r w:rsidRPr="00AF3214">
        <w:rPr>
          <w:rFonts w:ascii="Narkisim" w:hAnsi="Narkisim"/>
          <w:rtl/>
        </w:rPr>
        <w:t>דעי"ז יתחייב שוב קרבן אחר. [וה</w:t>
      </w:r>
      <w:r w:rsidRPr="00AF3214">
        <w:rPr>
          <w:rFonts w:ascii="Narkisim" w:hAnsi="Narkisim"/>
          <w:b/>
          <w:bCs/>
          <w:rtl/>
        </w:rPr>
        <w:t>שיטמ"ק</w:t>
      </w:r>
      <w:r w:rsidRPr="00AF3214">
        <w:rPr>
          <w:rFonts w:ascii="Narkisim" w:hAnsi="Narkisim"/>
          <w:rtl/>
        </w:rPr>
        <w:t xml:space="preserve"> (זבחים עג: בהשמטות) דן בזה</w:t>
      </w:r>
      <w:r w:rsidRPr="00AF3214">
        <w:rPr>
          <w:rStyle w:val="ac"/>
          <w:rFonts w:ascii="Narkisim" w:hAnsi="Narkisim"/>
          <w:rtl/>
          <w:lang w:val="he-IL"/>
        </w:rPr>
        <w:footnoteReference w:id="5651"/>
      </w:r>
      <w:r w:rsidRPr="00AF3214">
        <w:rPr>
          <w:rFonts w:ascii="Narkisim" w:hAnsi="Narkisim"/>
          <w:rtl/>
        </w:rPr>
        <w:t>]</w:t>
      </w:r>
      <w:r w:rsidRPr="00AF3214">
        <w:rPr>
          <w:rFonts w:ascii="Narkisim" w:hAnsi="Narkisim"/>
        </w:rPr>
        <w:t>.</w:t>
      </w:r>
    </w:p>
    <w:p w14:paraId="064FC59F"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ר"ח</w:t>
      </w:r>
      <w:r w:rsidRPr="00AF3214">
        <w:rPr>
          <w:rFonts w:ascii="Narkisim" w:hAnsi="Narkisim"/>
          <w:rtl/>
        </w:rPr>
        <w:t xml:space="preserve"> גרס 'וכיון דבשר לא מתאכיל בעלים היכי מתכפרי, והא כתיב ואכלו אותם אשר כופר בהם'. וה</w:t>
      </w:r>
      <w:r w:rsidRPr="00AF3214">
        <w:rPr>
          <w:rFonts w:ascii="Narkisim" w:hAnsi="Narkisim"/>
          <w:b/>
          <w:bCs/>
          <w:rtl/>
        </w:rPr>
        <w:t>רמב"ן</w:t>
      </w:r>
      <w:r w:rsidRPr="00AF3214">
        <w:rPr>
          <w:rFonts w:ascii="Narkisim" w:hAnsi="Narkisim"/>
          <w:rtl/>
        </w:rPr>
        <w:t xml:space="preserve"> חלק דהציץ ל"מ לענין אכילת הבשר, אלא להקרבת הקרבן. [ומש"ה גרס כרש"י]</w:t>
      </w:r>
      <w:r w:rsidRPr="00AF3214">
        <w:rPr>
          <w:rFonts w:ascii="Narkisim" w:hAnsi="Narkisim"/>
        </w:rPr>
        <w:t>.</w:t>
      </w:r>
    </w:p>
    <w:p w14:paraId="3D5D2520" w14:textId="77777777" w:rsidR="006C4368" w:rsidRPr="00AF3214" w:rsidRDefault="006C4368" w:rsidP="006C4368">
      <w:pPr>
        <w:pStyle w:val="2"/>
        <w:bidi/>
        <w:rPr>
          <w:rFonts w:ascii="Narkisim" w:hAnsi="Narkisim"/>
        </w:rPr>
      </w:pPr>
      <w:r w:rsidRPr="00AF3214">
        <w:rPr>
          <w:rFonts w:ascii="Narkisim" w:hAnsi="Narkisim"/>
          <w:rtl/>
        </w:rPr>
        <w:t>שב ואל תעשה</w:t>
      </w:r>
    </w:p>
    <w:p w14:paraId="39661797" w14:textId="77777777" w:rsidR="006C4368" w:rsidRPr="00AF3214" w:rsidRDefault="006C4368" w:rsidP="006C4368">
      <w:pPr>
        <w:bidi/>
        <w:rPr>
          <w:rFonts w:ascii="Narkisim" w:hAnsi="Narkisim" w:cs="Narkisim"/>
        </w:rPr>
      </w:pPr>
      <w:r w:rsidRPr="00AF3214">
        <w:rPr>
          <w:rFonts w:ascii="Narkisim" w:hAnsi="Narkisim" w:cs="Narkisim"/>
          <w:u w:val="single"/>
          <w:rtl/>
        </w:rPr>
        <w:t>א"ל שב ואל תעשה שאני וכו'</w:t>
      </w:r>
      <w:r w:rsidRPr="00AF3214">
        <w:rPr>
          <w:rFonts w:ascii="Narkisim" w:hAnsi="Narkisim" w:cs="Narkisim"/>
          <w:rtl/>
        </w:rPr>
        <w:t>. פ</w:t>
      </w:r>
      <w:r w:rsidRPr="00AF3214">
        <w:rPr>
          <w:rFonts w:ascii="Narkisim" w:hAnsi="Narkisim" w:cs="Narkisim"/>
          <w:b/>
          <w:bCs/>
          <w:rtl/>
        </w:rPr>
        <w:t xml:space="preserve">רש"י </w:t>
      </w:r>
      <w:r w:rsidRPr="00AF3214">
        <w:rPr>
          <w:rFonts w:ascii="Narkisim" w:hAnsi="Narkisim" w:cs="Narkisim"/>
          <w:rtl/>
        </w:rPr>
        <w:t>לאו עקירה היא וכו', דלא הוה בידים אלא ממילא מיעקרא. אבל תרומה דמפקת לה לחולין עקירה ממש היא. ה</w:t>
      </w:r>
      <w:r w:rsidRPr="00AF3214">
        <w:rPr>
          <w:rFonts w:ascii="Narkisim" w:hAnsi="Narkisim" w:cs="Narkisim"/>
          <w:b/>
          <w:bCs/>
          <w:rtl/>
        </w:rPr>
        <w:t>קובה"ע</w:t>
      </w:r>
      <w:r w:rsidRPr="00AF3214">
        <w:rPr>
          <w:rFonts w:ascii="Narkisim" w:hAnsi="Narkisim" w:cs="Narkisim"/>
          <w:rtl/>
        </w:rPr>
        <w:t xml:space="preserve"> </w:t>
      </w:r>
      <w:r w:rsidRPr="00AF3214">
        <w:rPr>
          <w:rFonts w:ascii="Narkisim" w:hAnsi="Narkisim" w:cs="Narkisim"/>
          <w:szCs w:val="20"/>
          <w:rtl/>
        </w:rPr>
        <w:t>(סט ג, ובקוב"ש ב קונ' ד"ס ג)</w:t>
      </w:r>
      <w:r w:rsidRPr="00AF3214">
        <w:rPr>
          <w:rFonts w:ascii="Narkisim" w:hAnsi="Narkisim" w:cs="Narkisim"/>
          <w:rtl/>
        </w:rPr>
        <w:t xml:space="preserve"> חקר בהא דעקרו בשב ואל תעשה, מהו 'איכות העקירה'. האם פטרו ועקרו את המצווה לגמרי, וקבעו שטלית זו אינה חייבת בציצית [אף מדאורייתא]. או דדין התורה עומדת במקומה</w:t>
      </w:r>
      <w:r w:rsidRPr="00AF3214">
        <w:rPr>
          <w:rStyle w:val="ac"/>
          <w:rFonts w:ascii="Narkisim" w:hAnsi="Narkisim" w:cs="Narkisim"/>
          <w:rtl/>
        </w:rPr>
        <w:footnoteReference w:id="5652"/>
      </w:r>
      <w:r w:rsidRPr="00AF3214">
        <w:rPr>
          <w:rFonts w:ascii="Narkisim" w:hAnsi="Narkisim" w:cs="Narkisim"/>
        </w:rPr>
        <w:t xml:space="preserve">, </w:t>
      </w:r>
      <w:r w:rsidRPr="00AF3214">
        <w:rPr>
          <w:rFonts w:ascii="Narkisim" w:hAnsi="Narkisim" w:cs="Narkisim"/>
          <w:rtl/>
        </w:rPr>
        <w:t>אלא שהתורה נתנה רשות לחכמים לצוות שלא יקיימו</w:t>
      </w:r>
      <w:r w:rsidRPr="00AF3214">
        <w:rPr>
          <w:rStyle w:val="ac"/>
          <w:rFonts w:ascii="Narkisim" w:hAnsi="Narkisim" w:cs="Narkisim"/>
          <w:rtl/>
        </w:rPr>
        <w:footnoteReference w:id="5653"/>
      </w:r>
      <w:r w:rsidRPr="00AF3214">
        <w:rPr>
          <w:rFonts w:ascii="Narkisim" w:hAnsi="Narkisim" w:cs="Narkisim"/>
        </w:rPr>
        <w:t xml:space="preserve"> </w:t>
      </w:r>
      <w:r w:rsidRPr="00AF3214">
        <w:rPr>
          <w:rFonts w:ascii="Narkisim" w:hAnsi="Narkisim" w:cs="Narkisim"/>
          <w:rtl/>
        </w:rPr>
        <w:t>את דין התורה</w:t>
      </w:r>
      <w:r w:rsidRPr="00AF3214">
        <w:rPr>
          <w:rStyle w:val="ac"/>
          <w:rFonts w:ascii="Narkisim" w:hAnsi="Narkisim" w:cs="Narkisim"/>
          <w:rtl/>
        </w:rPr>
        <w:footnoteReference w:id="5654"/>
      </w:r>
      <w:r w:rsidRPr="00AF3214">
        <w:rPr>
          <w:rFonts w:ascii="Narkisim" w:hAnsi="Narkisim" w:cs="Narkisim"/>
        </w:rPr>
        <w:t xml:space="preserve">. </w:t>
      </w:r>
      <w:r w:rsidRPr="00AF3214">
        <w:rPr>
          <w:rFonts w:ascii="Narkisim" w:hAnsi="Narkisim" w:cs="Narkisim"/>
          <w:rtl/>
        </w:rPr>
        <w:t>[ועד"ז חקר האבני נזר (אה"ע קיט ע)]</w:t>
      </w:r>
      <w:r w:rsidRPr="00AF3214">
        <w:rPr>
          <w:rFonts w:ascii="Narkisim" w:hAnsi="Narkisim" w:cs="Narkisim"/>
        </w:rPr>
        <w:t>.</w:t>
      </w:r>
    </w:p>
    <w:p w14:paraId="1CA3C2F7" w14:textId="77777777" w:rsidR="006C4368" w:rsidRPr="00AF3214" w:rsidRDefault="006C4368" w:rsidP="006C4368">
      <w:pPr>
        <w:bidi/>
        <w:rPr>
          <w:rFonts w:ascii="Narkisim" w:hAnsi="Narkisim" w:cs="Narkisim"/>
        </w:rPr>
      </w:pPr>
      <w:r w:rsidRPr="00AF3214">
        <w:rPr>
          <w:rFonts w:ascii="Narkisim" w:hAnsi="Narkisim" w:cs="Narkisim"/>
          <w:rtl/>
        </w:rPr>
        <w:t>ועוד חקר (שם ד) האם טעם החילוק דשב ואל תעשה אינו חמור כל כך, ומש"ה יש כח בידם לעוקרו. או דאין חילוק מצד עצם האיסור בין קום ועשה לשב ואל תעשה, אלא דמצוה לשמוע דברי חכמים [שאסרו להטיל ציצית בסדין] עומד כנגד המצווה. וכיון דב' הצווים סותרין זה את זה, שב ואל תעשה עדיף</w:t>
      </w:r>
      <w:r w:rsidRPr="00AF3214">
        <w:rPr>
          <w:rStyle w:val="ac"/>
          <w:rFonts w:ascii="Narkisim" w:hAnsi="Narkisim" w:cs="Narkisim"/>
          <w:rtl/>
        </w:rPr>
        <w:footnoteReference w:id="5655"/>
      </w:r>
      <w:r w:rsidRPr="00AF3214">
        <w:rPr>
          <w:rFonts w:ascii="Narkisim" w:hAnsi="Narkisim" w:cs="Narkisim"/>
        </w:rPr>
        <w:t>.</w:t>
      </w:r>
    </w:p>
    <w:p w14:paraId="517B3FAB"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(שם ה) כת' דהחקירות תלויין זה בזה, דאי נימא דאף בשב ואל תעשה לא עקרו עצם הדין, ממילא י"ל דהדין שב ואל תעשה. אבל אי נימא דעקרו עצם האיסור, א"כ אין סתירה בין הצווין דנימא שב ואל תעשה. וע"כ הא דעקרו בשב ואל תעשה הוה משום באיסורו אינו חמור כ"כ</w:t>
      </w:r>
      <w:r w:rsidRPr="00AF3214">
        <w:rPr>
          <w:rFonts w:ascii="Narkisim" w:hAnsi="Narkisim"/>
        </w:rPr>
        <w:t>.</w:t>
      </w:r>
    </w:p>
    <w:p w14:paraId="004656F8"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(שם ב) חקר באופן דגוף האיסור הוה בשב ואל תעשה, אלא שעובר עליו במעשה [וכגון שעושה מעשה בקיום התנאי</w:t>
      </w:r>
      <w:r w:rsidRPr="00AF3214">
        <w:rPr>
          <w:rStyle w:val="ac"/>
          <w:rFonts w:ascii="Narkisim" w:hAnsi="Narkisim"/>
          <w:rtl/>
        </w:rPr>
        <w:footnoteReference w:id="5656"/>
      </w:r>
      <w:r w:rsidRPr="00AF3214">
        <w:rPr>
          <w:rFonts w:ascii="Narkisim" w:hAnsi="Narkisim"/>
          <w:rtl/>
        </w:rPr>
        <w:t xml:space="preserve">]. וכן להיפך, היכא דעובר בלא מעשה, ועי"ז עובר בעצם האיסור שהוא במעשה. האם </w:t>
      </w:r>
      <w:r w:rsidRPr="00AF3214">
        <w:rPr>
          <w:rFonts w:ascii="Narkisim" w:hAnsi="Narkisim"/>
          <w:rtl/>
        </w:rPr>
        <w:lastRenderedPageBreak/>
        <w:t>גדר שב ואל תעשה תלי בעצם האיסור או במעשה האדם</w:t>
      </w:r>
      <w:r w:rsidRPr="00AF3214">
        <w:rPr>
          <w:rStyle w:val="ac"/>
          <w:rFonts w:ascii="Narkisim" w:hAnsi="Narkisim"/>
          <w:rtl/>
        </w:rPr>
        <w:footnoteReference w:id="5657"/>
      </w:r>
      <w:r w:rsidRPr="00AF3214">
        <w:rPr>
          <w:rFonts w:ascii="Narkisim" w:hAnsi="Narkisim"/>
        </w:rPr>
        <w:t>.</w:t>
      </w:r>
    </w:p>
    <w:p w14:paraId="25832563" w14:textId="77777777" w:rsidR="006C4368" w:rsidRPr="00AF3214" w:rsidRDefault="006C4368" w:rsidP="006C4368">
      <w:pPr>
        <w:pStyle w:val="a8"/>
        <w:bidi/>
        <w:rPr>
          <w:rFonts w:ascii="Narkisim" w:hAnsi="Narkisim"/>
        </w:rPr>
      </w:pPr>
      <w:r w:rsidRPr="00AF3214">
        <w:rPr>
          <w:rFonts w:ascii="Narkisim" w:hAnsi="Narkisim"/>
          <w:rtl/>
        </w:rPr>
        <w:t>וכת' (שם ו) דתלי בחקירה (הנ"ל), דלצד דעקרו גוף המצווה [כיון דהוה שב ואל תעשה], א"כ לא איכפ"ל שיעבור עליו במעשה. דכיון דביטלו את המצווה, ממילא אין איסור במעשה</w:t>
      </w:r>
      <w:r w:rsidRPr="00AF3214">
        <w:rPr>
          <w:rStyle w:val="ac"/>
          <w:rFonts w:ascii="Narkisim" w:hAnsi="Narkisim"/>
          <w:rtl/>
        </w:rPr>
        <w:footnoteReference w:id="5658"/>
      </w:r>
      <w:r w:rsidRPr="00AF3214">
        <w:rPr>
          <w:rFonts w:ascii="Narkisim" w:hAnsi="Narkisim"/>
        </w:rPr>
        <w:t>.</w:t>
      </w:r>
    </w:p>
    <w:p w14:paraId="333E10C6" w14:textId="77777777" w:rsidR="006C4368" w:rsidRPr="00AF3214" w:rsidRDefault="006C4368" w:rsidP="006C4368">
      <w:pPr>
        <w:pStyle w:val="a8"/>
        <w:bidi/>
        <w:rPr>
          <w:rFonts w:ascii="Narkisim" w:hAnsi="Narkisim"/>
        </w:rPr>
      </w:pPr>
      <w:r w:rsidRPr="00AF3214">
        <w:rPr>
          <w:rFonts w:ascii="Narkisim" w:hAnsi="Narkisim"/>
          <w:rtl/>
        </w:rPr>
        <w:t>והביא דב</w:t>
      </w:r>
      <w:r w:rsidRPr="00AF3214">
        <w:rPr>
          <w:rFonts w:ascii="Narkisim" w:hAnsi="Narkisim"/>
          <w:b/>
          <w:bCs/>
          <w:rtl/>
        </w:rPr>
        <w:t>חי' אנשי שם</w:t>
      </w:r>
      <w:r w:rsidRPr="00AF3214">
        <w:rPr>
          <w:rFonts w:ascii="Narkisim" w:hAnsi="Narkisim"/>
          <w:rtl/>
        </w:rPr>
        <w:t xml:space="preserve"> (שבת י. בדה"ר) הק' עמש"כ ה</w:t>
      </w:r>
      <w:r w:rsidRPr="00AF3214">
        <w:rPr>
          <w:rFonts w:ascii="Narkisim" w:hAnsi="Narkisim"/>
          <w:b/>
          <w:bCs/>
          <w:rtl/>
        </w:rPr>
        <w:t>ר"ן</w:t>
      </w:r>
      <w:r w:rsidRPr="00AF3214">
        <w:rPr>
          <w:rFonts w:ascii="Narkisim" w:hAnsi="Narkisim"/>
          <w:rtl/>
        </w:rPr>
        <w:t xml:space="preserve"> (כתובות א: בדה"ר) דעקרו חכמים דין אבילות יום ראשון [למ"ד] דאורייתא</w:t>
      </w:r>
      <w:r w:rsidRPr="00AF3214">
        <w:rPr>
          <w:rStyle w:val="ac"/>
          <w:rFonts w:ascii="Narkisim" w:hAnsi="Narkisim"/>
          <w:rtl/>
        </w:rPr>
        <w:footnoteReference w:id="5659"/>
      </w:r>
      <w:r w:rsidRPr="00AF3214">
        <w:rPr>
          <w:rFonts w:ascii="Narkisim" w:hAnsi="Narkisim"/>
        </w:rPr>
        <w:t xml:space="preserve">, </w:t>
      </w:r>
      <w:r w:rsidRPr="00AF3214">
        <w:rPr>
          <w:rFonts w:ascii="Narkisim" w:hAnsi="Narkisim"/>
          <w:rtl/>
        </w:rPr>
        <w:t>והק' איך יהא מותר בקום ועשה בדברים שהאבל אסור בהן. והקובה"ע כת' די"ל דחכמים עקרו מצות אבילות [בשב ואל תעשה], וממילא ליכא איסורא אף בדברים שהאבל אסור בהם</w:t>
      </w:r>
      <w:r w:rsidRPr="00AF3214">
        <w:rPr>
          <w:rStyle w:val="ac"/>
          <w:rFonts w:ascii="Narkisim" w:hAnsi="Narkisim"/>
          <w:rtl/>
        </w:rPr>
        <w:footnoteReference w:id="5660"/>
      </w:r>
      <w:r w:rsidRPr="00AF3214">
        <w:rPr>
          <w:rFonts w:ascii="Narkisim" w:hAnsi="Narkisim"/>
        </w:rPr>
        <w:t xml:space="preserve">. </w:t>
      </w:r>
      <w:r w:rsidRPr="00AF3214">
        <w:rPr>
          <w:rFonts w:ascii="Narkisim" w:hAnsi="Narkisim"/>
          <w:rtl/>
        </w:rPr>
        <w:t>אך שוב הביא דה</w:t>
      </w:r>
      <w:r w:rsidRPr="00AF3214">
        <w:rPr>
          <w:rFonts w:ascii="Narkisim" w:hAnsi="Narkisim"/>
          <w:b/>
          <w:bCs/>
          <w:rtl/>
        </w:rPr>
        <w:t>ר"ן</w:t>
      </w:r>
      <w:r w:rsidRPr="00AF3214">
        <w:rPr>
          <w:rFonts w:ascii="Narkisim" w:hAnsi="Narkisim"/>
          <w:rtl/>
        </w:rPr>
        <w:t xml:space="preserve"> (שם) באמת כת' דאינו ראוי להתעסק בדברים של שמחה כל אותו היום, אלא ששב ואל תעשה שאינו חייב לעשות מעשה אבילות</w:t>
      </w:r>
      <w:r w:rsidRPr="00AF3214">
        <w:rPr>
          <w:rStyle w:val="ac"/>
          <w:rFonts w:ascii="Narkisim" w:hAnsi="Narkisim"/>
          <w:rtl/>
        </w:rPr>
        <w:footnoteReference w:id="5661"/>
      </w:r>
      <w:r w:rsidRPr="00AF3214">
        <w:rPr>
          <w:rFonts w:ascii="Narkisim" w:hAnsi="Narkisim"/>
        </w:rPr>
        <w:t>.</w:t>
      </w:r>
    </w:p>
    <w:p w14:paraId="6F163A91" w14:textId="77777777" w:rsidR="006C4368" w:rsidRPr="00AF3214" w:rsidRDefault="006C4368" w:rsidP="006C4368">
      <w:pPr>
        <w:pStyle w:val="a7"/>
        <w:bidi/>
        <w:rPr>
          <w:rFonts w:ascii="Narkisim" w:hAnsi="Narkisim"/>
        </w:rPr>
      </w:pPr>
      <w:r w:rsidRPr="00AF3214">
        <w:rPr>
          <w:rFonts w:ascii="Narkisim" w:hAnsi="Narkisim"/>
          <w:rtl/>
        </w:rPr>
        <w:t>והקובה"ע הביא דמבואר בכמה ראשונים דחכמים עקרו את גוף המצווה משום שב ואל תעשה. [וע"ע מה שהו' בע"ב]</w:t>
      </w:r>
      <w:r w:rsidRPr="00AF3214">
        <w:rPr>
          <w:rFonts w:ascii="Narkisim" w:hAnsi="Narkisim"/>
        </w:rPr>
        <w:t>.</w:t>
      </w:r>
    </w:p>
    <w:p w14:paraId="42D1C72F"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רבינו יונה</w:t>
      </w:r>
      <w:r w:rsidRPr="00AF3214">
        <w:rPr>
          <w:rFonts w:ascii="Narkisim" w:hAnsi="Narkisim"/>
          <w:rtl/>
        </w:rPr>
        <w:t xml:space="preserve"> (ברכות א. בדה"ר) כת' דמצוות קריאת שמע מה"ת הוה כל הלילה, ואפ"ה אינו קורא אותה אחר חצות. שיכולין חכמים לפטרו ממצות עשה כל זמן שעושין כן משום סייג, או משום קיום המצוה עצמה</w:t>
      </w:r>
      <w:r w:rsidRPr="00AF3214">
        <w:rPr>
          <w:rStyle w:val="ac"/>
          <w:rFonts w:ascii="Narkisim" w:hAnsi="Narkisim"/>
          <w:rtl/>
        </w:rPr>
        <w:footnoteReference w:id="5662"/>
      </w:r>
      <w:r w:rsidRPr="00AF3214">
        <w:rPr>
          <w:rFonts w:ascii="Narkisim" w:hAnsi="Narkisim"/>
        </w:rPr>
        <w:t xml:space="preserve">. </w:t>
      </w:r>
      <w:r w:rsidRPr="00AF3214">
        <w:rPr>
          <w:rFonts w:ascii="Narkisim" w:hAnsi="Narkisim"/>
          <w:rtl/>
        </w:rPr>
        <w:t>דס"ל דתקנו חכמים שלא יקרא קר"ש אחר חצות</w:t>
      </w:r>
      <w:r w:rsidRPr="00AF3214">
        <w:rPr>
          <w:rStyle w:val="ac"/>
          <w:rFonts w:ascii="Narkisim" w:hAnsi="Narkisim"/>
          <w:rtl/>
        </w:rPr>
        <w:footnoteReference w:id="5663"/>
      </w:r>
      <w:r w:rsidRPr="00AF3214">
        <w:rPr>
          <w:rFonts w:ascii="Narkisim" w:hAnsi="Narkisim"/>
        </w:rPr>
        <w:t xml:space="preserve">. </w:t>
      </w:r>
      <w:r w:rsidRPr="00AF3214">
        <w:rPr>
          <w:rFonts w:ascii="Narkisim" w:hAnsi="Narkisim"/>
          <w:rtl/>
        </w:rPr>
        <w:t>וצ"ב בגדר הדבר, דליכא איסור לקרוא קר"ש אחר חצות</w:t>
      </w:r>
      <w:r w:rsidRPr="00AF3214">
        <w:rPr>
          <w:rStyle w:val="ac"/>
          <w:rFonts w:ascii="Narkisim" w:hAnsi="Narkisim"/>
          <w:rtl/>
        </w:rPr>
        <w:footnoteReference w:id="5664"/>
      </w:r>
      <w:r w:rsidRPr="00AF3214">
        <w:rPr>
          <w:rFonts w:ascii="Narkisim" w:hAnsi="Narkisim"/>
        </w:rPr>
        <w:t xml:space="preserve">. </w:t>
      </w:r>
      <w:r w:rsidRPr="00AF3214">
        <w:rPr>
          <w:rFonts w:ascii="Narkisim" w:hAnsi="Narkisim"/>
          <w:rtl/>
        </w:rPr>
        <w:t>וע"כ דיש כח ביד חכמים לעקור ולפוטרו מהמצווה</w:t>
      </w:r>
      <w:r w:rsidRPr="00AF3214">
        <w:rPr>
          <w:rStyle w:val="ac"/>
          <w:rFonts w:ascii="Narkisim" w:hAnsi="Narkisim"/>
          <w:rtl/>
        </w:rPr>
        <w:footnoteReference w:id="5665"/>
      </w:r>
      <w:r w:rsidRPr="00AF3214">
        <w:rPr>
          <w:rFonts w:ascii="Narkisim" w:hAnsi="Narkisim"/>
        </w:rPr>
        <w:t xml:space="preserve">. </w:t>
      </w:r>
      <w:r w:rsidRPr="00AF3214">
        <w:rPr>
          <w:rFonts w:ascii="Narkisim" w:hAnsi="Narkisim"/>
          <w:rtl/>
        </w:rPr>
        <w:t>וקבעו דאינו מחוייב לקרוא אחר חצות</w:t>
      </w:r>
      <w:r w:rsidRPr="00AF3214">
        <w:rPr>
          <w:rFonts w:ascii="Narkisim" w:hAnsi="Narkisim"/>
        </w:rPr>
        <w:t>.</w:t>
      </w:r>
    </w:p>
    <w:p w14:paraId="04D32F51"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(סוכה ג. ד"ה דאמר) כת' דכיון דגזרו שמא ימשך אחר שולחנו, קאמרי לא קיימת מצות סוכה מימיך, דאפי' מדאורייתא לא קיים. וה</w:t>
      </w:r>
      <w:r w:rsidRPr="00AF3214">
        <w:rPr>
          <w:rFonts w:ascii="Narkisim" w:hAnsi="Narkisim"/>
          <w:b/>
          <w:bCs/>
          <w:rtl/>
        </w:rPr>
        <w:t>אחרונים</w:t>
      </w:r>
      <w:r w:rsidRPr="00AF3214">
        <w:rPr>
          <w:rFonts w:ascii="Narkisim" w:hAnsi="Narkisim"/>
          <w:rtl/>
        </w:rPr>
        <w:t xml:space="preserve"> הביאו דכיון דחכמים פסלו את הסוכה, יש כח ביד חכמים לעקור בשב ואל תעשה, ועקרו את דין הסוכה, ועי"ז לא קיים אף בדאורייתא</w:t>
      </w:r>
      <w:r w:rsidRPr="00AF3214">
        <w:rPr>
          <w:rStyle w:val="ac"/>
          <w:rFonts w:ascii="Narkisim" w:hAnsi="Narkisim"/>
          <w:rtl/>
        </w:rPr>
        <w:footnoteReference w:id="5666"/>
      </w:r>
      <w:r w:rsidRPr="00AF3214">
        <w:rPr>
          <w:rFonts w:ascii="Narkisim" w:hAnsi="Narkisim"/>
        </w:rPr>
        <w:t xml:space="preserve">. </w:t>
      </w: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(סט ז) הביא דמבואר דעקרו </w:t>
      </w:r>
      <w:r w:rsidRPr="00AF3214">
        <w:rPr>
          <w:rFonts w:ascii="Narkisim" w:hAnsi="Narkisim"/>
          <w:rtl/>
        </w:rPr>
        <w:lastRenderedPageBreak/>
        <w:t>את גוף המצווה</w:t>
      </w:r>
      <w:r w:rsidRPr="00AF3214">
        <w:rPr>
          <w:rStyle w:val="ac"/>
          <w:rFonts w:ascii="Narkisim" w:hAnsi="Narkisim"/>
          <w:rtl/>
        </w:rPr>
        <w:footnoteReference w:id="5667"/>
      </w:r>
      <w:r w:rsidRPr="00AF3214">
        <w:rPr>
          <w:rFonts w:ascii="Narkisim" w:hAnsi="Narkisim"/>
          <w:rtl/>
        </w:rPr>
        <w:t>]. אבל ה</w:t>
      </w:r>
      <w:r w:rsidRPr="00AF3214">
        <w:rPr>
          <w:rFonts w:ascii="Narkisim" w:hAnsi="Narkisim"/>
          <w:b/>
          <w:bCs/>
          <w:rtl/>
        </w:rPr>
        <w:t>עונג יו"ט</w:t>
      </w:r>
      <w:r w:rsidRPr="00AF3214">
        <w:rPr>
          <w:rFonts w:ascii="Narkisim" w:hAnsi="Narkisim"/>
          <w:rtl/>
        </w:rPr>
        <w:t xml:space="preserve"> (ט) וה</w:t>
      </w:r>
      <w:r w:rsidRPr="00AF3214">
        <w:rPr>
          <w:rFonts w:ascii="Narkisim" w:hAnsi="Narkisim"/>
          <w:b/>
          <w:bCs/>
          <w:rtl/>
        </w:rPr>
        <w:t>דבר אברהם</w:t>
      </w:r>
      <w:r w:rsidRPr="00AF3214">
        <w:rPr>
          <w:rFonts w:ascii="Narkisim" w:hAnsi="Narkisim"/>
          <w:rtl/>
        </w:rPr>
        <w:t xml:space="preserve"> (ב כו י) כת' דכוונתו התוס' משום מצווה הבאה בעבירה</w:t>
      </w:r>
      <w:r w:rsidRPr="00AF3214">
        <w:rPr>
          <w:rFonts w:ascii="Narkisim" w:hAnsi="Narkisim"/>
        </w:rPr>
        <w:t>.</w:t>
      </w:r>
    </w:p>
    <w:p w14:paraId="34CAF6B7" w14:textId="77777777" w:rsidR="006C4368" w:rsidRPr="00AF3214" w:rsidRDefault="006C4368" w:rsidP="006C4368">
      <w:pPr>
        <w:pStyle w:val="a8"/>
        <w:bidi/>
        <w:rPr>
          <w:rFonts w:ascii="Narkisim" w:hAnsi="Narkisim"/>
        </w:rPr>
      </w:pPr>
      <w:r w:rsidRPr="00AF3214">
        <w:rPr>
          <w:rFonts w:ascii="Narkisim" w:hAnsi="Narkisim"/>
        </w:rPr>
        <w:t>[</w:t>
      </w:r>
      <w:r w:rsidRPr="00AF3214">
        <w:rPr>
          <w:rFonts w:ascii="Narkisim" w:hAnsi="Narkisim"/>
          <w:rtl/>
        </w:rPr>
        <w:t>אבל ה</w:t>
      </w:r>
      <w:r w:rsidRPr="00AF3214">
        <w:rPr>
          <w:rFonts w:ascii="Narkisim" w:hAnsi="Narkisim"/>
          <w:b/>
          <w:bCs/>
          <w:rtl/>
        </w:rPr>
        <w:t>ריטב"א</w:t>
      </w:r>
      <w:r w:rsidRPr="00AF3214">
        <w:rPr>
          <w:rFonts w:ascii="Narkisim" w:hAnsi="Narkisim"/>
          <w:rtl/>
        </w:rPr>
        <w:t xml:space="preserve"> וה</w:t>
      </w:r>
      <w:r w:rsidRPr="00AF3214">
        <w:rPr>
          <w:rFonts w:ascii="Narkisim" w:hAnsi="Narkisim"/>
          <w:b/>
          <w:bCs/>
          <w:rtl/>
        </w:rPr>
        <w:t>ר"ן</w:t>
      </w:r>
      <w:r w:rsidRPr="00AF3214">
        <w:rPr>
          <w:rFonts w:ascii="Narkisim" w:hAnsi="Narkisim"/>
          <w:rtl/>
        </w:rPr>
        <w:t xml:space="preserve"> (סוכה כח.</w:t>
      </w:r>
      <w:r w:rsidRPr="00AF3214">
        <w:rPr>
          <w:rFonts w:ascii="Narkisim" w:eastAsia="Narkisim" w:hAnsi="Narkisim"/>
          <w:rtl/>
        </w:rPr>
        <w:t xml:space="preserve"> יב: בדה"ר</w:t>
      </w:r>
      <w:r w:rsidRPr="00AF3214">
        <w:rPr>
          <w:rFonts w:ascii="Narkisim" w:hAnsi="Narkisim"/>
          <w:rtl/>
        </w:rPr>
        <w:t>) כת' דלא קיימת מצוות סוכה לאו דוקא, דהא יצא יד"ח דאורייתא, אלא דלא קיים כתיקון חכמים</w:t>
      </w:r>
      <w:r w:rsidRPr="00AF3214">
        <w:rPr>
          <w:rStyle w:val="ac"/>
          <w:rFonts w:ascii="Narkisim" w:hAnsi="Narkisim"/>
          <w:rtl/>
        </w:rPr>
        <w:footnoteReference w:id="5668"/>
      </w:r>
      <w:r w:rsidRPr="00AF3214">
        <w:rPr>
          <w:rFonts w:ascii="Narkisim" w:hAnsi="Narkisim"/>
        </w:rPr>
        <w:t>].</w:t>
      </w:r>
    </w:p>
    <w:p w14:paraId="69679E79"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ה</w:t>
      </w:r>
      <w:r w:rsidRPr="00AF3214">
        <w:rPr>
          <w:rFonts w:ascii="Narkisim" w:hAnsi="Narkisim"/>
          <w:b/>
          <w:bCs/>
          <w:rtl/>
        </w:rPr>
        <w:t>רשב"א</w:t>
      </w:r>
      <w:r w:rsidRPr="00AF3214">
        <w:rPr>
          <w:rFonts w:ascii="Narkisim" w:hAnsi="Narkisim"/>
          <w:rtl/>
        </w:rPr>
        <w:t xml:space="preserve"> (ר"ה טז.) הק' דהיכא דעקרו חכמים מצווה בשב ואל תעשה, אמאי אינו עובר משום בל תגרע. [והרשב"א הוכיח דכל היכא דהוה בתקנת חכמים ליכא איסור בל תגרע ובל תוסיף]. וה</w:t>
      </w:r>
      <w:r w:rsidRPr="00AF3214">
        <w:rPr>
          <w:rFonts w:ascii="Narkisim" w:hAnsi="Narkisim"/>
          <w:b/>
          <w:bCs/>
          <w:rtl/>
        </w:rPr>
        <w:t>אחרונים</w:t>
      </w:r>
      <w:r w:rsidRPr="00AF3214">
        <w:rPr>
          <w:rFonts w:ascii="Narkisim" w:hAnsi="Narkisim"/>
          <w:rtl/>
        </w:rPr>
        <w:t xml:space="preserve"> דנו דלכאורה כוונתו דחכמים 'עקרו' את המצווה, דהיושב ולא קיים מצווה בפשוטו אינו עובר בבל תגרע</w:t>
      </w:r>
      <w:r w:rsidRPr="00AF3214">
        <w:rPr>
          <w:rStyle w:val="ac"/>
          <w:rFonts w:ascii="Narkisim" w:hAnsi="Narkisim"/>
          <w:rtl/>
        </w:rPr>
        <w:footnoteReference w:id="5669"/>
      </w:r>
      <w:r w:rsidRPr="00AF3214">
        <w:rPr>
          <w:rFonts w:ascii="Narkisim" w:hAnsi="Narkisim"/>
        </w:rPr>
        <w:t xml:space="preserve">. </w:t>
      </w: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(שם יב) דחה דרבינו יונה (שע"ת ג יא) כת' דהמבטל מצוות עשה עובר משום בל תגרע</w:t>
      </w:r>
      <w:r w:rsidRPr="00AF3214">
        <w:rPr>
          <w:rStyle w:val="ac"/>
          <w:rFonts w:ascii="Narkisim" w:hAnsi="Narkisim"/>
          <w:rtl/>
        </w:rPr>
        <w:footnoteReference w:id="5670"/>
      </w:r>
      <w:r w:rsidRPr="00AF3214">
        <w:rPr>
          <w:rFonts w:ascii="Narkisim" w:hAnsi="Narkisim"/>
          <w:rtl/>
        </w:rPr>
        <w:t>]</w:t>
      </w:r>
      <w:r w:rsidRPr="00AF3214">
        <w:rPr>
          <w:rFonts w:ascii="Narkisim" w:hAnsi="Narkisim"/>
        </w:rPr>
        <w:t>.</w:t>
      </w:r>
    </w:p>
    <w:p w14:paraId="4737798C"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טור"א</w:t>
      </w:r>
      <w:r w:rsidRPr="00AF3214">
        <w:rPr>
          <w:rFonts w:ascii="Narkisim" w:hAnsi="Narkisim"/>
          <w:rtl/>
        </w:rPr>
        <w:t xml:space="preserve"> (שם) הק' דמ"מ אף איסור בל תגרע הוה שב ואל תעשה, והא עקרוה. וה</w:t>
      </w:r>
      <w:r w:rsidRPr="00AF3214">
        <w:rPr>
          <w:rFonts w:ascii="Narkisim" w:hAnsi="Narkisim"/>
          <w:b/>
          <w:bCs/>
          <w:rtl/>
        </w:rPr>
        <w:t>קובה"ע</w:t>
      </w:r>
      <w:r w:rsidRPr="00AF3214">
        <w:rPr>
          <w:rFonts w:ascii="Narkisim" w:hAnsi="Narkisim"/>
          <w:rtl/>
        </w:rPr>
        <w:t xml:space="preserve"> (סט יב) כת' דכוונת הרשב"א דאין כח לחכמים לעקור איסורים, ובל תגרע הוה לאו, והאיך עקרוה [אף דהוה לאו שאין בו מעשה</w:t>
      </w:r>
      <w:r w:rsidRPr="00AF3214">
        <w:rPr>
          <w:rStyle w:val="ac"/>
          <w:rFonts w:ascii="Narkisim" w:hAnsi="Narkisim"/>
          <w:rtl/>
        </w:rPr>
        <w:footnoteReference w:id="5671"/>
      </w:r>
      <w:r w:rsidRPr="00AF3214">
        <w:rPr>
          <w:rFonts w:ascii="Narkisim" w:hAnsi="Narkisim"/>
          <w:rtl/>
        </w:rPr>
        <w:t>]. וע"ע דברי יחזקאל (יז ה)</w:t>
      </w:r>
      <w:r w:rsidRPr="00AF3214">
        <w:rPr>
          <w:rFonts w:ascii="Narkisim" w:hAnsi="Narkisim"/>
        </w:rPr>
        <w:t>.</w:t>
      </w:r>
    </w:p>
    <w:p w14:paraId="363ED7C9" w14:textId="77777777" w:rsidR="006C4368" w:rsidRPr="00AF3214" w:rsidRDefault="006C4368" w:rsidP="006C4368">
      <w:pPr>
        <w:pStyle w:val="a8"/>
        <w:bidi/>
        <w:rPr>
          <w:rFonts w:ascii="Narkisim" w:hAnsi="Narkisim"/>
        </w:rPr>
      </w:pPr>
      <w:r w:rsidRPr="00AF3214">
        <w:rPr>
          <w:rFonts w:ascii="Narkisim" w:hAnsi="Narkisim"/>
          <w:rtl/>
        </w:rPr>
        <w:t>אך ב</w:t>
      </w:r>
      <w:r w:rsidRPr="00AF3214">
        <w:rPr>
          <w:rFonts w:ascii="Narkisim" w:hAnsi="Narkisim"/>
          <w:b/>
          <w:bCs/>
          <w:rtl/>
        </w:rPr>
        <w:t>הג' ברוך טעם</w:t>
      </w:r>
      <w:r w:rsidRPr="00AF3214">
        <w:rPr>
          <w:rFonts w:ascii="Narkisim" w:hAnsi="Narkisim"/>
          <w:rtl/>
        </w:rPr>
        <w:t xml:space="preserve"> (לטור"א שם) ביאר דקו' הרשב"א דחכמים עוברים בבל תגרע במה שעקרו וצוו שלא יקיים המצווה. [אבל כל המבטל מצווה אין בזה משום בל תגרע, וכקו' הטור"א שם. וע' קובה"ע]</w:t>
      </w:r>
      <w:r w:rsidRPr="00AF3214">
        <w:rPr>
          <w:rFonts w:ascii="Narkisim" w:hAnsi="Narkisim"/>
        </w:rPr>
        <w:t>.</w:t>
      </w:r>
    </w:p>
    <w:p w14:paraId="23E91163"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ב</w:t>
      </w:r>
      <w:r w:rsidRPr="00AF3214">
        <w:rPr>
          <w:rFonts w:ascii="Narkisim" w:hAnsi="Narkisim"/>
          <w:b/>
          <w:bCs/>
          <w:rtl/>
        </w:rPr>
        <w:t>שו"ת הרשב"א</w:t>
      </w:r>
      <w:r w:rsidRPr="00AF3214">
        <w:rPr>
          <w:rFonts w:ascii="Narkisim" w:hAnsi="Narkisim"/>
          <w:rtl/>
        </w:rPr>
        <w:t xml:space="preserve"> (א קכז) כת' דאשכחן בכמה דוכתי דדחו חכמים בידים אפי' לאו הבא מכלל עשה, לצורך</w:t>
      </w:r>
      <w:r w:rsidRPr="00AF3214">
        <w:rPr>
          <w:rStyle w:val="ac"/>
          <w:rFonts w:ascii="Narkisim" w:hAnsi="Narkisim"/>
          <w:rtl/>
        </w:rPr>
        <w:footnoteReference w:id="5672"/>
      </w:r>
      <w:r w:rsidRPr="00AF3214">
        <w:rPr>
          <w:rFonts w:ascii="Narkisim" w:hAnsi="Narkisim"/>
        </w:rPr>
        <w:t xml:space="preserve">. </w:t>
      </w:r>
      <w:r w:rsidRPr="00AF3214">
        <w:rPr>
          <w:rFonts w:ascii="Narkisim" w:hAnsi="Narkisim"/>
          <w:rtl/>
        </w:rPr>
        <w:t xml:space="preserve">[דהוה איסור קל, אף דהוה בקום ועשה]. אבל </w:t>
      </w:r>
      <w:r w:rsidRPr="00AF3214">
        <w:rPr>
          <w:rFonts w:ascii="Narkisim" w:hAnsi="Narkisim"/>
          <w:b/>
          <w:bCs/>
          <w:rtl/>
        </w:rPr>
        <w:t>תוס</w:t>
      </w:r>
      <w:r w:rsidRPr="00AF3214">
        <w:rPr>
          <w:rFonts w:ascii="Narkisim" w:hAnsi="Narkisim"/>
          <w:rtl/>
        </w:rPr>
        <w:t>' (בע"ב גבי ציצית) נקטו דאין כח לחכמים לעקור ולבטל מצוות עשה היכא דהוה קום ועשה</w:t>
      </w:r>
      <w:r w:rsidRPr="00AF3214">
        <w:rPr>
          <w:rStyle w:val="ac"/>
          <w:rFonts w:ascii="Narkisim" w:hAnsi="Narkisim"/>
          <w:rtl/>
        </w:rPr>
        <w:footnoteReference w:id="5673"/>
      </w:r>
      <w:r w:rsidRPr="00AF3214">
        <w:rPr>
          <w:rFonts w:ascii="Narkisim" w:hAnsi="Narkisim"/>
        </w:rPr>
        <w:t xml:space="preserve">. </w:t>
      </w:r>
      <w:r w:rsidRPr="00AF3214">
        <w:rPr>
          <w:rFonts w:ascii="Narkisim" w:hAnsi="Narkisim"/>
          <w:rtl/>
        </w:rPr>
        <w:t>[ובפשוטו נח' בחקירה הנ"ל]</w:t>
      </w:r>
      <w:r w:rsidRPr="00AF3214">
        <w:rPr>
          <w:rFonts w:ascii="Narkisim" w:hAnsi="Narkisim"/>
        </w:rPr>
        <w:t>.</w:t>
      </w:r>
    </w:p>
    <w:p w14:paraId="3F4CD4DD" w14:textId="77777777" w:rsidR="006C4368" w:rsidRPr="00AF3214" w:rsidRDefault="006C4368" w:rsidP="006C4368">
      <w:pPr>
        <w:pStyle w:val="a8"/>
        <w:bidi/>
        <w:rPr>
          <w:rFonts w:ascii="Narkisim" w:hAnsi="Narkisim"/>
        </w:rPr>
      </w:pPr>
      <w:r w:rsidRPr="00AF3214">
        <w:rPr>
          <w:rFonts w:ascii="Narkisim" w:hAnsi="Narkisim"/>
          <w:rtl/>
        </w:rPr>
        <w:t>וב</w:t>
      </w:r>
      <w:r w:rsidRPr="00AF3214">
        <w:rPr>
          <w:rFonts w:ascii="Narkisim" w:hAnsi="Narkisim"/>
          <w:b/>
          <w:bCs/>
          <w:rtl/>
        </w:rPr>
        <w:t>שו"ת הרדב"ז</w:t>
      </w:r>
      <w:r w:rsidRPr="00AF3214">
        <w:rPr>
          <w:rFonts w:ascii="Narkisim" w:hAnsi="Narkisim"/>
          <w:rtl/>
        </w:rPr>
        <w:t xml:space="preserve"> (ה פח [אלף תסא]) כת' דאיסור נדר קיל, כיון דאיתיה בשאלה</w:t>
      </w:r>
      <w:r w:rsidRPr="00AF3214">
        <w:rPr>
          <w:rStyle w:val="ac"/>
          <w:rFonts w:ascii="Narkisim" w:hAnsi="Narkisim"/>
          <w:rtl/>
        </w:rPr>
        <w:footnoteReference w:id="5674"/>
      </w:r>
      <w:r w:rsidRPr="00AF3214">
        <w:rPr>
          <w:rFonts w:ascii="Narkisim" w:hAnsi="Narkisim"/>
        </w:rPr>
        <w:t xml:space="preserve">. </w:t>
      </w:r>
      <w:r w:rsidRPr="00AF3214">
        <w:rPr>
          <w:rFonts w:ascii="Narkisim" w:hAnsi="Narkisim"/>
          <w:rtl/>
        </w:rPr>
        <w:t>ומש"ה יש כח ביד חכמים לעקור נדר</w:t>
      </w:r>
      <w:r w:rsidRPr="00AF3214">
        <w:rPr>
          <w:rStyle w:val="ac"/>
          <w:rFonts w:ascii="Narkisim" w:hAnsi="Narkisim"/>
          <w:rtl/>
        </w:rPr>
        <w:footnoteReference w:id="5675"/>
      </w:r>
      <w:r w:rsidRPr="00AF3214">
        <w:rPr>
          <w:rFonts w:ascii="Narkisim" w:hAnsi="Narkisim"/>
        </w:rPr>
        <w:t xml:space="preserve">, </w:t>
      </w:r>
      <w:r w:rsidRPr="00AF3214">
        <w:rPr>
          <w:rFonts w:ascii="Narkisim" w:hAnsi="Narkisim"/>
          <w:rtl/>
        </w:rPr>
        <w:t>אפי' בקום עשה</w:t>
      </w:r>
      <w:r w:rsidRPr="00AF3214">
        <w:rPr>
          <w:rFonts w:ascii="Narkisim" w:hAnsi="Narkisim"/>
        </w:rPr>
        <w:t>.</w:t>
      </w:r>
    </w:p>
    <w:p w14:paraId="018EEA38" w14:textId="77777777" w:rsidR="006C4368" w:rsidRPr="00AF3214" w:rsidRDefault="006C4368" w:rsidP="006C4368">
      <w:pPr>
        <w:pStyle w:val="aa"/>
        <w:bidi/>
        <w:rPr>
          <w:rFonts w:ascii="Narkisim" w:hAnsi="Narkisim"/>
        </w:rPr>
      </w:pPr>
      <w:r w:rsidRPr="00AF3214">
        <w:rPr>
          <w:rFonts w:ascii="Narkisim" w:hAnsi="Narkisim"/>
          <w:u w:val="single"/>
          <w:rtl/>
        </w:rPr>
        <w:t>שם. סוף סוף קמתעקרא אכילת בשר וכו' א"ל שב ואל תעשה וכו'</w:t>
      </w:r>
      <w:r w:rsidRPr="00AF3214">
        <w:rPr>
          <w:rFonts w:ascii="Narkisim" w:hAnsi="Narkisim"/>
          <w:rtl/>
        </w:rPr>
        <w:t>. ה</w:t>
      </w:r>
      <w:r w:rsidRPr="00AF3214">
        <w:rPr>
          <w:rFonts w:ascii="Narkisim" w:hAnsi="Narkisim"/>
          <w:b/>
          <w:bCs/>
          <w:rtl/>
        </w:rPr>
        <w:t>אחרונים</w:t>
      </w:r>
      <w:r w:rsidRPr="00AF3214">
        <w:rPr>
          <w:rFonts w:ascii="Narkisim" w:hAnsi="Narkisim"/>
          <w:rtl/>
        </w:rPr>
        <w:t xml:space="preserve"> הק' דעובר אף משום לאו דנותר, שמניח את הבשר ואינו אוכלו</w:t>
      </w:r>
      <w:r w:rsidRPr="00AF3214">
        <w:rPr>
          <w:rStyle w:val="ac"/>
          <w:rFonts w:ascii="Narkisim" w:hAnsi="Narkisim"/>
          <w:rtl/>
        </w:rPr>
        <w:footnoteReference w:id="5676"/>
      </w:r>
      <w:r w:rsidRPr="00AF3214">
        <w:rPr>
          <w:rFonts w:ascii="Narkisim" w:hAnsi="Narkisim"/>
        </w:rPr>
        <w:t xml:space="preserve">. </w:t>
      </w:r>
      <w:r w:rsidRPr="00AF3214">
        <w:rPr>
          <w:rFonts w:ascii="Narkisim" w:hAnsi="Narkisim"/>
          <w:rtl/>
        </w:rPr>
        <w:t>ובפשוטו מבואר</w:t>
      </w:r>
      <w:r w:rsidRPr="00AF3214">
        <w:rPr>
          <w:rStyle w:val="ac"/>
          <w:rFonts w:ascii="Narkisim" w:hAnsi="Narkisim"/>
          <w:rtl/>
        </w:rPr>
        <w:footnoteReference w:id="5677"/>
      </w:r>
      <w:r w:rsidRPr="00AF3214">
        <w:rPr>
          <w:rFonts w:ascii="Narkisim" w:hAnsi="Narkisim"/>
        </w:rPr>
        <w:t xml:space="preserve"> </w:t>
      </w:r>
      <w:r w:rsidRPr="00AF3214">
        <w:rPr>
          <w:rFonts w:ascii="Narkisim" w:hAnsi="Narkisim"/>
          <w:rtl/>
        </w:rPr>
        <w:t>דבשב ואל תעשה יש כח ביד חכמים לבטל אף לא תעשה</w:t>
      </w:r>
      <w:r w:rsidRPr="00AF3214">
        <w:rPr>
          <w:rStyle w:val="ac"/>
          <w:rFonts w:ascii="Narkisim" w:hAnsi="Narkisim"/>
          <w:rtl/>
        </w:rPr>
        <w:footnoteReference w:id="5678"/>
      </w:r>
      <w:r w:rsidRPr="00AF3214">
        <w:rPr>
          <w:rFonts w:ascii="Narkisim" w:hAnsi="Narkisim"/>
        </w:rPr>
        <w:t xml:space="preserve">. </w:t>
      </w:r>
      <w:r w:rsidRPr="00AF3214">
        <w:rPr>
          <w:rFonts w:ascii="Narkisim" w:hAnsi="Narkisim"/>
          <w:rtl/>
        </w:rPr>
        <w:t>ויש שתי' דאיסור נותר הוה רק במקום שיש מצוות אכילת הקרבן. וכיון דעקרו את מצוות אכילתו</w:t>
      </w:r>
      <w:r w:rsidRPr="00AF3214">
        <w:rPr>
          <w:rStyle w:val="ac"/>
          <w:rFonts w:ascii="Narkisim" w:hAnsi="Narkisim"/>
          <w:rtl/>
        </w:rPr>
        <w:footnoteReference w:id="5679"/>
      </w:r>
      <w:r w:rsidRPr="00AF3214">
        <w:rPr>
          <w:rFonts w:ascii="Narkisim" w:hAnsi="Narkisim"/>
        </w:rPr>
        <w:t xml:space="preserve">, </w:t>
      </w:r>
      <w:r w:rsidRPr="00AF3214">
        <w:rPr>
          <w:rFonts w:ascii="Narkisim" w:hAnsi="Narkisim"/>
          <w:rtl/>
        </w:rPr>
        <w:t>ממילא ליכא איסור נותר</w:t>
      </w:r>
      <w:r w:rsidRPr="00AF3214">
        <w:rPr>
          <w:rStyle w:val="ac"/>
          <w:rFonts w:ascii="Narkisim" w:hAnsi="Narkisim"/>
          <w:rtl/>
        </w:rPr>
        <w:footnoteReference w:id="5680"/>
      </w:r>
      <w:r w:rsidRPr="00AF3214">
        <w:rPr>
          <w:rFonts w:ascii="Narkisim" w:hAnsi="Narkisim"/>
        </w:rPr>
        <w:t>.</w:t>
      </w:r>
    </w:p>
    <w:p w14:paraId="62BC2834" w14:textId="77777777" w:rsidR="006C4368" w:rsidRPr="00AF3214" w:rsidRDefault="006C4368" w:rsidP="006C4368">
      <w:pPr>
        <w:pStyle w:val="aa"/>
        <w:bidi/>
        <w:rPr>
          <w:rFonts w:ascii="Narkisim" w:hAnsi="Narkisim"/>
        </w:rPr>
      </w:pPr>
      <w:r w:rsidRPr="00AF3214">
        <w:rPr>
          <w:rFonts w:ascii="Narkisim" w:hAnsi="Narkisim"/>
          <w:rtl/>
        </w:rPr>
        <w:lastRenderedPageBreak/>
        <w:t>ועוה"ק ה</w:t>
      </w:r>
      <w:r w:rsidRPr="00AF3214">
        <w:rPr>
          <w:rFonts w:ascii="Narkisim" w:hAnsi="Narkisim"/>
          <w:b/>
          <w:bCs/>
          <w:rtl/>
        </w:rPr>
        <w:t>ערול"נ</w:t>
      </w:r>
      <w:r w:rsidRPr="00AF3214">
        <w:rPr>
          <w:rFonts w:ascii="Narkisim" w:hAnsi="Narkisim"/>
          <w:rtl/>
        </w:rPr>
        <w:t xml:space="preserve"> דיש פסולים [אף פסולים מדרבנן] דלא הצריכו עיבור צורה</w:t>
      </w:r>
      <w:r w:rsidRPr="00AF3214">
        <w:rPr>
          <w:rStyle w:val="ac"/>
          <w:rFonts w:ascii="Narkisim" w:hAnsi="Narkisim"/>
          <w:rtl/>
        </w:rPr>
        <w:footnoteReference w:id="5681"/>
      </w:r>
      <w:r w:rsidRPr="00AF3214">
        <w:rPr>
          <w:rFonts w:ascii="Narkisim" w:hAnsi="Narkisim"/>
        </w:rPr>
        <w:t xml:space="preserve">, </w:t>
      </w:r>
      <w:r w:rsidRPr="00AF3214">
        <w:rPr>
          <w:rFonts w:ascii="Narkisim" w:hAnsi="Narkisim"/>
          <w:rtl/>
        </w:rPr>
        <w:t>והאיך התירו לאבד קדשים בידים. וה</w:t>
      </w:r>
      <w:r w:rsidRPr="00AF3214">
        <w:rPr>
          <w:rFonts w:ascii="Narkisim" w:hAnsi="Narkisim"/>
          <w:b/>
          <w:bCs/>
          <w:rtl/>
        </w:rPr>
        <w:t>אחרונים</w:t>
      </w:r>
      <w:r w:rsidRPr="00AF3214">
        <w:rPr>
          <w:rFonts w:ascii="Narkisim" w:hAnsi="Narkisim"/>
          <w:rtl/>
        </w:rPr>
        <w:t xml:space="preserve"> תי' דהיכא דידעינן דבלאו הכי לא יאכל אין איסור [עכ"פ מדאורייתא] לאבד בידים</w:t>
      </w:r>
      <w:r w:rsidRPr="00AF3214">
        <w:rPr>
          <w:rStyle w:val="ac"/>
          <w:rFonts w:ascii="Narkisim" w:hAnsi="Narkisim"/>
          <w:rtl/>
        </w:rPr>
        <w:footnoteReference w:id="5682"/>
      </w:r>
      <w:r w:rsidRPr="00AF3214">
        <w:rPr>
          <w:rFonts w:ascii="Narkisim" w:hAnsi="Narkisim"/>
        </w:rPr>
        <w:t>.</w:t>
      </w:r>
    </w:p>
    <w:p w14:paraId="675F4621"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ערול"נ</w:t>
      </w:r>
      <w:r w:rsidRPr="00AF3214">
        <w:rPr>
          <w:rFonts w:ascii="Narkisim" w:hAnsi="Narkisim"/>
          <w:rtl/>
        </w:rPr>
        <w:t xml:space="preserve"> העלה צד דיש כח לחכמים לגזור גזירה במקדש אפי' בקום ועשה</w:t>
      </w:r>
      <w:r w:rsidRPr="00AF3214">
        <w:rPr>
          <w:rStyle w:val="ac"/>
          <w:rFonts w:ascii="Narkisim" w:hAnsi="Narkisim"/>
          <w:rtl/>
        </w:rPr>
        <w:footnoteReference w:id="5683"/>
      </w:r>
      <w:r w:rsidRPr="00AF3214">
        <w:rPr>
          <w:rFonts w:ascii="Narkisim" w:hAnsi="Narkisim"/>
        </w:rPr>
        <w:t xml:space="preserve">. </w:t>
      </w:r>
      <w:r w:rsidRPr="00AF3214">
        <w:rPr>
          <w:rFonts w:ascii="Narkisim" w:hAnsi="Narkisim"/>
          <w:rtl/>
        </w:rPr>
        <w:t>[אך הק' דא"כ הו"ל לגמ' לתרץ כן אקו' הגמ' כאן דבטלו מצוות אכילתו</w:t>
      </w:r>
      <w:r w:rsidRPr="00AF3214">
        <w:rPr>
          <w:rStyle w:val="ac"/>
          <w:rFonts w:ascii="Narkisim" w:hAnsi="Narkisim"/>
          <w:rtl/>
        </w:rPr>
        <w:footnoteReference w:id="5684"/>
      </w:r>
      <w:r w:rsidRPr="00AF3214">
        <w:rPr>
          <w:rFonts w:ascii="Narkisim" w:hAnsi="Narkisim"/>
          <w:rtl/>
        </w:rPr>
        <w:t>]</w:t>
      </w:r>
      <w:r w:rsidRPr="00AF3214">
        <w:rPr>
          <w:rFonts w:ascii="Narkisim" w:hAnsi="Narkisim"/>
        </w:rPr>
        <w:t>.</w:t>
      </w:r>
    </w:p>
    <w:p w14:paraId="4D12533A" w14:textId="77777777" w:rsidR="006C4368" w:rsidRPr="00AF3214" w:rsidRDefault="006C4368" w:rsidP="006C4368">
      <w:pPr>
        <w:pStyle w:val="3"/>
        <w:bidi/>
        <w:rPr>
          <w:rFonts w:ascii="Narkisim" w:hAnsi="Narkisim"/>
        </w:rPr>
      </w:pPr>
      <w:r w:rsidRPr="00AF3214">
        <w:rPr>
          <w:rFonts w:ascii="Narkisim" w:hAnsi="Narkisim"/>
          <w:rtl/>
        </w:rPr>
        <w:t>דף צ</w:t>
      </w:r>
      <w:r w:rsidRPr="00AF3214">
        <w:rPr>
          <w:rFonts w:ascii="Narkisim" w:hAnsi="Narkisim"/>
        </w:rPr>
        <w:t>:</w:t>
      </w:r>
    </w:p>
    <w:p w14:paraId="530FBFD8" w14:textId="77777777" w:rsidR="006C4368" w:rsidRPr="00AF3214" w:rsidRDefault="006C4368" w:rsidP="006C4368">
      <w:pPr>
        <w:pStyle w:val="aa"/>
        <w:bidi/>
        <w:rPr>
          <w:rFonts w:ascii="Narkisim" w:hAnsi="Narkisim"/>
        </w:rPr>
      </w:pPr>
      <w:r w:rsidRPr="00AF3214">
        <w:rPr>
          <w:rFonts w:ascii="Narkisim" w:hAnsi="Narkisim"/>
          <w:u w:val="single"/>
          <w:rtl/>
        </w:rPr>
        <w:t>א"ל בעית לאותובך וכו' הזאה וכו'</w:t>
      </w:r>
      <w:r w:rsidRPr="00AF3214">
        <w:rPr>
          <w:rFonts w:ascii="Narkisim" w:hAnsi="Narkisim"/>
          <w:rtl/>
        </w:rPr>
        <w:t>. דאסרו להזות, ועי"ז הוה טמא ומבטל לפסח. ובפשוטו חכמים העמידו דבריהם ואסרו להזות, ועי"ז הוה אנוס שאינו יכול לקיים המצווה</w:t>
      </w:r>
      <w:r w:rsidRPr="00AF3214">
        <w:rPr>
          <w:rStyle w:val="ac"/>
          <w:rFonts w:ascii="Narkisim" w:hAnsi="Narkisim"/>
          <w:rtl/>
        </w:rPr>
        <w:footnoteReference w:id="5685"/>
      </w:r>
      <w:r w:rsidRPr="00AF3214">
        <w:rPr>
          <w:rFonts w:ascii="Narkisim" w:hAnsi="Narkisim"/>
        </w:rPr>
        <w:t xml:space="preserve">. </w:t>
      </w:r>
      <w:r w:rsidRPr="00AF3214">
        <w:rPr>
          <w:rFonts w:ascii="Narkisim" w:hAnsi="Narkisim"/>
          <w:rtl/>
        </w:rPr>
        <w:t>אך בסוגיין משמע דהוה גדר יש כח ביד חכמים, ש'עקרו' את מצוות הפסח</w:t>
      </w:r>
      <w:r w:rsidRPr="00AF3214">
        <w:rPr>
          <w:rStyle w:val="ac"/>
          <w:rFonts w:ascii="Narkisim" w:hAnsi="Narkisim"/>
          <w:rtl/>
        </w:rPr>
        <w:footnoteReference w:id="5686"/>
      </w:r>
      <w:r w:rsidRPr="00AF3214">
        <w:rPr>
          <w:rFonts w:ascii="Narkisim" w:hAnsi="Narkisim"/>
        </w:rPr>
        <w:t xml:space="preserve">. </w:t>
      </w:r>
      <w:r w:rsidRPr="00AF3214">
        <w:rPr>
          <w:rFonts w:ascii="Narkisim" w:hAnsi="Narkisim"/>
          <w:rtl/>
        </w:rPr>
        <w:t>[ואפשר דאי לא עקרו מצוות מילה, אתי עשה שיש בו כרת ודחי לשבות. וצ"ע]</w:t>
      </w:r>
      <w:r w:rsidRPr="00AF3214">
        <w:rPr>
          <w:rFonts w:ascii="Narkisim" w:hAnsi="Narkisim"/>
        </w:rPr>
        <w:t>.</w:t>
      </w:r>
    </w:p>
    <w:p w14:paraId="1E3FB144" w14:textId="77777777" w:rsidR="006C4368" w:rsidRPr="00AF3214" w:rsidRDefault="006C4368" w:rsidP="006C4368">
      <w:pPr>
        <w:pStyle w:val="aa"/>
        <w:bidi/>
        <w:rPr>
          <w:rFonts w:ascii="Narkisim" w:hAnsi="Narkisim"/>
        </w:rPr>
      </w:pPr>
      <w:r w:rsidRPr="00AF3214">
        <w:rPr>
          <w:rFonts w:ascii="Narkisim" w:hAnsi="Narkisim"/>
          <w:u w:val="single"/>
          <w:rtl/>
        </w:rPr>
        <w:t>וכבשי עצרת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שנשחטו שלא לשמן</w:t>
      </w:r>
      <w:r w:rsidRPr="00AF3214">
        <w:rPr>
          <w:rStyle w:val="ac"/>
          <w:rFonts w:ascii="Narkisim" w:hAnsi="Narkisim"/>
          <w:rtl/>
        </w:rPr>
        <w:footnoteReference w:id="5687"/>
      </w:r>
      <w:r w:rsidRPr="00AF3214">
        <w:rPr>
          <w:rFonts w:ascii="Narkisim" w:hAnsi="Narkisim"/>
        </w:rPr>
        <w:t xml:space="preserve">, </w:t>
      </w:r>
      <w:r w:rsidRPr="00AF3214">
        <w:rPr>
          <w:rFonts w:ascii="Narkisim" w:hAnsi="Narkisim"/>
          <w:rtl/>
        </w:rPr>
        <w:t>ובשבת העמידו דבריהם שלא יזרוק את הדם. ומבטל מצוות הקרבן, זריקה הקטרת האימורים ואכילת הבשר</w:t>
      </w:r>
      <w:r w:rsidRPr="00AF3214">
        <w:rPr>
          <w:rStyle w:val="ac"/>
          <w:rFonts w:ascii="Narkisim" w:hAnsi="Narkisim"/>
          <w:rtl/>
        </w:rPr>
        <w:footnoteReference w:id="5688"/>
      </w:r>
      <w:r w:rsidRPr="00AF3214">
        <w:rPr>
          <w:rFonts w:ascii="Narkisim" w:hAnsi="Narkisim"/>
        </w:rPr>
        <w:t>.</w:t>
      </w:r>
    </w:p>
    <w:p w14:paraId="0C80317B" w14:textId="77777777" w:rsidR="006C4368" w:rsidRPr="00AF3214" w:rsidRDefault="006C4368" w:rsidP="006C4368">
      <w:pPr>
        <w:bidi/>
        <w:rPr>
          <w:rFonts w:ascii="Narkisim" w:hAnsi="Narkisim" w:cs="Narkisim"/>
        </w:rPr>
      </w:pPr>
      <w:r w:rsidRPr="00AF3214">
        <w:rPr>
          <w:rFonts w:ascii="Narkisim" w:hAnsi="Narkisim" w:cs="Narkisim"/>
          <w:u w:val="single"/>
          <w:rtl/>
        </w:rPr>
        <w:t>סדין בציצית</w:t>
      </w:r>
      <w:r w:rsidRPr="00AF3214">
        <w:rPr>
          <w:rFonts w:ascii="Narkisim" w:hAnsi="Narkisim" w:cs="Narkisim"/>
          <w:rtl/>
        </w:rPr>
        <w:t xml:space="preserve">. </w:t>
      </w:r>
      <w:r w:rsidRPr="00AF3214">
        <w:rPr>
          <w:rFonts w:ascii="Narkisim" w:hAnsi="Narkisim" w:cs="Narkisim"/>
          <w:b/>
          <w:bCs/>
          <w:rtl/>
        </w:rPr>
        <w:t>רש"י</w:t>
      </w:r>
      <w:r w:rsidRPr="00AF3214">
        <w:rPr>
          <w:rFonts w:ascii="Narkisim" w:hAnsi="Narkisim" w:cs="Narkisim"/>
          <w:rtl/>
        </w:rPr>
        <w:t xml:space="preserve"> הביא (מהגמ' מנחות מ: לבי"ש) דגזרו משום כסות לילה</w:t>
      </w:r>
      <w:r w:rsidRPr="00AF3214">
        <w:rPr>
          <w:rStyle w:val="ac"/>
          <w:rFonts w:ascii="Narkisim" w:hAnsi="Narkisim" w:cs="Narkisim"/>
          <w:rtl/>
        </w:rPr>
        <w:footnoteReference w:id="5689"/>
      </w:r>
      <w:r w:rsidRPr="00AF3214">
        <w:rPr>
          <w:rFonts w:ascii="Narkisim" w:hAnsi="Narkisim" w:cs="Narkisim"/>
        </w:rPr>
        <w:t xml:space="preserve"> </w:t>
      </w:r>
      <w:r w:rsidRPr="00AF3214">
        <w:rPr>
          <w:rFonts w:ascii="Narkisim" w:hAnsi="Narkisim" w:cs="Narkisim"/>
          <w:rtl/>
        </w:rPr>
        <w:t>[דאינו מקיים מצוות ציצית, א"כ עי"ז חייב משום כלאים]</w:t>
      </w:r>
      <w:r w:rsidRPr="00AF3214">
        <w:rPr>
          <w:rFonts w:ascii="Narkisim" w:hAnsi="Narkisim" w:cs="Narkisim"/>
        </w:rPr>
        <w:t>.</w:t>
      </w:r>
    </w:p>
    <w:p w14:paraId="2CF702DE" w14:textId="77777777" w:rsidR="006C4368" w:rsidRPr="00AF3214" w:rsidRDefault="006C4368" w:rsidP="006C4368">
      <w:pPr>
        <w:pStyle w:val="a8"/>
        <w:bidi/>
        <w:rPr>
          <w:rFonts w:ascii="Narkisim" w:hAnsi="Narkisim"/>
        </w:rPr>
      </w:pPr>
      <w:r w:rsidRPr="00AF3214">
        <w:rPr>
          <w:rFonts w:ascii="Narkisim" w:hAnsi="Narkisim"/>
          <w:rtl/>
        </w:rPr>
        <w:t xml:space="preserve">ובפשוטו משמע דבי"ש פטרו שילבש בגד פשתן בלא ציצית כלל. אבל </w:t>
      </w:r>
      <w:r w:rsidRPr="00AF3214">
        <w:rPr>
          <w:rFonts w:ascii="Narkisim" w:hAnsi="Narkisim"/>
          <w:b/>
          <w:bCs/>
          <w:rtl/>
        </w:rPr>
        <w:t>תוס</w:t>
      </w:r>
      <w:r w:rsidRPr="00AF3214">
        <w:rPr>
          <w:rFonts w:ascii="Narkisim" w:hAnsi="Narkisim"/>
          <w:rtl/>
        </w:rPr>
        <w:t xml:space="preserve">' (מנחות מ.) הביאו דלדעת </w:t>
      </w:r>
      <w:r w:rsidRPr="00AF3214">
        <w:rPr>
          <w:rFonts w:ascii="Narkisim" w:hAnsi="Narkisim"/>
          <w:b/>
          <w:bCs/>
          <w:rtl/>
        </w:rPr>
        <w:t>רש"י</w:t>
      </w:r>
      <w:r w:rsidRPr="00AF3214">
        <w:rPr>
          <w:rFonts w:ascii="Narkisim" w:hAnsi="Narkisim"/>
          <w:rtl/>
        </w:rPr>
        <w:t xml:space="preserve"> (ס' הפרדס לו) פטרו רק ממצות תכלת, ולעולם מחוייב בציצית לבן ממינו [וכ"ד ה</w:t>
      </w:r>
      <w:r w:rsidRPr="00AF3214">
        <w:rPr>
          <w:rFonts w:ascii="Narkisim" w:hAnsi="Narkisim"/>
          <w:b/>
          <w:bCs/>
          <w:rtl/>
        </w:rPr>
        <w:t>רי"ף</w:t>
      </w:r>
      <w:r w:rsidRPr="00AF3214">
        <w:rPr>
          <w:rFonts w:ascii="Narkisim" w:hAnsi="Narkisim"/>
          <w:rtl/>
        </w:rPr>
        <w:t xml:space="preserve"> (ציצית) וה</w:t>
      </w:r>
      <w:r w:rsidRPr="00AF3214">
        <w:rPr>
          <w:rFonts w:ascii="Narkisim" w:hAnsi="Narkisim"/>
          <w:b/>
          <w:bCs/>
          <w:rtl/>
        </w:rPr>
        <w:t>רמב"ם</w:t>
      </w:r>
      <w:r w:rsidRPr="00AF3214">
        <w:rPr>
          <w:rFonts w:ascii="Narkisim" w:hAnsi="Narkisim"/>
          <w:rtl/>
        </w:rPr>
        <w:t xml:space="preserve"> (ציצית ג ז, ע' פוסקים או"ח ט ו)]. ו</w:t>
      </w:r>
      <w:r w:rsidRPr="00AF3214">
        <w:rPr>
          <w:rFonts w:ascii="Narkisim" w:hAnsi="Narkisim"/>
          <w:b/>
          <w:bCs/>
          <w:rtl/>
        </w:rPr>
        <w:t>ר"ת</w:t>
      </w:r>
      <w:r w:rsidRPr="00AF3214">
        <w:rPr>
          <w:rFonts w:ascii="Narkisim" w:hAnsi="Narkisim"/>
          <w:rtl/>
        </w:rPr>
        <w:t xml:space="preserve"> חלק דפטרו אף ממינו, דילמא אתי למיעבד במינו</w:t>
      </w:r>
      <w:r w:rsidRPr="00AF3214">
        <w:rPr>
          <w:rFonts w:ascii="Narkisim" w:hAnsi="Narkisim"/>
        </w:rPr>
        <w:t>.</w:t>
      </w:r>
    </w:p>
    <w:p w14:paraId="1B35C78E"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תוס' רא"ש</w:t>
      </w:r>
      <w:r w:rsidRPr="00AF3214">
        <w:rPr>
          <w:rFonts w:ascii="Narkisim" w:hAnsi="Narkisim"/>
          <w:rtl/>
        </w:rPr>
        <w:t xml:space="preserve"> (שבת כה:, וכן הרא"ש הל' ציצית יז) הביא בשם </w:t>
      </w:r>
      <w:r w:rsidRPr="00AF3214">
        <w:rPr>
          <w:rFonts w:ascii="Narkisim" w:hAnsi="Narkisim"/>
          <w:b/>
          <w:bCs/>
          <w:rtl/>
        </w:rPr>
        <w:t>ר"ת</w:t>
      </w:r>
      <w:r w:rsidRPr="00AF3214">
        <w:rPr>
          <w:rFonts w:ascii="Narkisim" w:hAnsi="Narkisim"/>
          <w:rtl/>
        </w:rPr>
        <w:t xml:space="preserve"> דהלובש טלית של פשתן וציצית פשתן ומברך עליו</w:t>
      </w:r>
      <w:r w:rsidRPr="00AF3214">
        <w:rPr>
          <w:rStyle w:val="ac"/>
          <w:rFonts w:ascii="Narkisim" w:hAnsi="Narkisim"/>
          <w:rtl/>
        </w:rPr>
        <w:footnoteReference w:id="5690"/>
      </w:r>
      <w:r w:rsidRPr="00AF3214">
        <w:rPr>
          <w:rFonts w:ascii="Narkisim" w:hAnsi="Narkisim"/>
        </w:rPr>
        <w:t xml:space="preserve"> </w:t>
      </w:r>
      <w:r w:rsidRPr="00AF3214">
        <w:rPr>
          <w:rFonts w:ascii="Narkisim" w:hAnsi="Narkisim"/>
          <w:rtl/>
        </w:rPr>
        <w:t>הוה ברכה לבטלה</w:t>
      </w:r>
      <w:r w:rsidRPr="00AF3214">
        <w:rPr>
          <w:rStyle w:val="ac"/>
          <w:rFonts w:ascii="Narkisim" w:hAnsi="Narkisim"/>
          <w:rtl/>
        </w:rPr>
        <w:footnoteReference w:id="5691"/>
      </w:r>
      <w:r w:rsidRPr="00AF3214">
        <w:rPr>
          <w:rFonts w:ascii="Narkisim" w:hAnsi="Narkisim"/>
        </w:rPr>
        <w:t xml:space="preserve">. </w:t>
      </w:r>
      <w:r w:rsidRPr="00AF3214">
        <w:rPr>
          <w:rFonts w:ascii="Narkisim" w:hAnsi="Narkisim"/>
          <w:rtl/>
        </w:rPr>
        <w:t xml:space="preserve">ויש </w:t>
      </w:r>
      <w:r w:rsidRPr="00AF3214">
        <w:rPr>
          <w:rFonts w:ascii="Narkisim" w:hAnsi="Narkisim"/>
          <w:b/>
          <w:bCs/>
          <w:rtl/>
        </w:rPr>
        <w:t>אחרונים</w:t>
      </w:r>
      <w:r w:rsidRPr="00AF3214">
        <w:rPr>
          <w:rFonts w:ascii="Narkisim" w:hAnsi="Narkisim"/>
          <w:rtl/>
        </w:rPr>
        <w:t xml:space="preserve"> שהביאו דמבואר דע"י שחכמים עקרו את המצווה נחשב דלא קיים אף מדאורייתא. אך יש שדחו דדוקא לענין ברכה, ל"ש לומר 'וצוונו' בדבר שדין התורה לקיים צווי רבנן. ולזה אהני הא דעקרו מצוות התורה</w:t>
      </w:r>
      <w:r w:rsidRPr="00AF3214">
        <w:rPr>
          <w:rStyle w:val="ac"/>
          <w:rFonts w:ascii="Narkisim" w:hAnsi="Narkisim"/>
          <w:rtl/>
        </w:rPr>
        <w:footnoteReference w:id="5692"/>
      </w:r>
      <w:r w:rsidRPr="00AF3214">
        <w:rPr>
          <w:rFonts w:ascii="Narkisim" w:hAnsi="Narkisim"/>
        </w:rPr>
        <w:t xml:space="preserve">. </w:t>
      </w:r>
      <w:r w:rsidRPr="00AF3214">
        <w:rPr>
          <w:rFonts w:ascii="Narkisim" w:hAnsi="Narkisim"/>
          <w:rtl/>
        </w:rPr>
        <w:t>ועוד יש שדחו דמ"מ חכמים לא תקנו ברכה כה"ג [דהם אמרו והם אמרו], ומש"ה הוה ברכה לבטלה</w:t>
      </w:r>
      <w:r w:rsidRPr="00AF3214">
        <w:rPr>
          <w:rFonts w:ascii="Narkisim" w:hAnsi="Narkisim"/>
        </w:rPr>
        <w:t>.</w:t>
      </w:r>
    </w:p>
    <w:p w14:paraId="7935624E"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 xml:space="preserve">קובה"ע </w:t>
      </w:r>
      <w:r w:rsidRPr="00AF3214">
        <w:rPr>
          <w:rFonts w:ascii="Narkisim" w:hAnsi="Narkisim"/>
          <w:rtl/>
        </w:rPr>
        <w:t>(סט ח,ט) הביא דבס' ה</w:t>
      </w:r>
      <w:r w:rsidRPr="00AF3214">
        <w:rPr>
          <w:rFonts w:ascii="Narkisim" w:hAnsi="Narkisim"/>
          <w:b/>
          <w:bCs/>
          <w:rtl/>
        </w:rPr>
        <w:t>אשכול</w:t>
      </w:r>
      <w:r w:rsidRPr="00AF3214">
        <w:rPr>
          <w:rFonts w:ascii="Narkisim" w:hAnsi="Narkisim"/>
          <w:rtl/>
        </w:rPr>
        <w:t xml:space="preserve"> (ציצית לב</w:t>
      </w:r>
      <w:r w:rsidRPr="00AF3214">
        <w:rPr>
          <w:rStyle w:val="ac"/>
          <w:rFonts w:ascii="Narkisim" w:hAnsi="Narkisim"/>
          <w:rtl/>
        </w:rPr>
        <w:footnoteReference w:id="5693"/>
      </w:r>
      <w:r w:rsidRPr="00AF3214">
        <w:rPr>
          <w:rFonts w:ascii="Narkisim" w:hAnsi="Narkisim"/>
          <w:rtl/>
        </w:rPr>
        <w:t xml:space="preserve">) הביא מח' העושה כלאים בציצית בזה"ז, האם לוקה </w:t>
      </w:r>
      <w:r w:rsidRPr="00AF3214">
        <w:rPr>
          <w:rFonts w:ascii="Narkisim" w:hAnsi="Narkisim"/>
          <w:rtl/>
        </w:rPr>
        <w:lastRenderedPageBreak/>
        <w:t>משום כלאים</w:t>
      </w:r>
      <w:r w:rsidRPr="00AF3214">
        <w:rPr>
          <w:rStyle w:val="ac"/>
          <w:rFonts w:ascii="Narkisim" w:hAnsi="Narkisim"/>
          <w:rtl/>
        </w:rPr>
        <w:footnoteReference w:id="5694"/>
      </w:r>
      <w:r w:rsidRPr="00AF3214">
        <w:rPr>
          <w:rFonts w:ascii="Narkisim" w:hAnsi="Narkisim"/>
        </w:rPr>
        <w:t xml:space="preserve">. </w:t>
      </w:r>
      <w:r w:rsidRPr="00AF3214">
        <w:rPr>
          <w:rFonts w:ascii="Narkisim" w:hAnsi="Narkisim"/>
          <w:rtl/>
        </w:rPr>
        <w:t>והקובה"ע ביאר דהגדר דחכמים עקרו מצוות ציצית [וכצד שעקרו את גוף המצווה</w:t>
      </w:r>
      <w:r w:rsidRPr="00AF3214">
        <w:rPr>
          <w:rStyle w:val="ac"/>
          <w:rFonts w:ascii="Narkisim" w:hAnsi="Narkisim"/>
          <w:rtl/>
        </w:rPr>
        <w:footnoteReference w:id="5695"/>
      </w:r>
      <w:r w:rsidRPr="00AF3214">
        <w:rPr>
          <w:rFonts w:ascii="Narkisim" w:hAnsi="Narkisim"/>
          <w:rtl/>
        </w:rPr>
        <w:t>], ומש"ה ליכא עשה, ולא דחי ל"ת דכלאים</w:t>
      </w:r>
      <w:r w:rsidRPr="00AF3214">
        <w:rPr>
          <w:rStyle w:val="ac"/>
          <w:rFonts w:ascii="Narkisim" w:hAnsi="Narkisim"/>
          <w:rtl/>
        </w:rPr>
        <w:footnoteReference w:id="5696"/>
      </w:r>
      <w:r w:rsidRPr="00AF3214">
        <w:rPr>
          <w:rFonts w:ascii="Narkisim" w:hAnsi="Narkisim"/>
        </w:rPr>
        <w:t>.</w:t>
      </w:r>
    </w:p>
    <w:p w14:paraId="100954BB" w14:textId="77777777" w:rsidR="006C4368" w:rsidRPr="00AF3214" w:rsidRDefault="006C4368" w:rsidP="006C4368">
      <w:pPr>
        <w:pStyle w:val="a8"/>
        <w:bidi/>
        <w:rPr>
          <w:rFonts w:ascii="Narkisim" w:hAnsi="Narkisim"/>
        </w:rPr>
      </w:pPr>
      <w:r w:rsidRPr="00AF3214">
        <w:rPr>
          <w:rFonts w:ascii="Narkisim" w:hAnsi="Narkisim"/>
          <w:rtl/>
        </w:rPr>
        <w:t>והביא בשם ה</w:t>
      </w:r>
      <w:r w:rsidRPr="00AF3214">
        <w:rPr>
          <w:rFonts w:ascii="Narkisim" w:hAnsi="Narkisim"/>
          <w:b/>
          <w:bCs/>
          <w:rtl/>
        </w:rPr>
        <w:t>גר"ח</w:t>
      </w:r>
      <w:r w:rsidRPr="00AF3214">
        <w:rPr>
          <w:rFonts w:ascii="Narkisim" w:hAnsi="Narkisim"/>
          <w:rtl/>
        </w:rPr>
        <w:t xml:space="preserve"> [דסברת המ"ד דלוקה</w:t>
      </w:r>
      <w:r w:rsidRPr="00AF3214">
        <w:rPr>
          <w:rStyle w:val="ac"/>
          <w:rFonts w:ascii="Narkisim" w:hAnsi="Narkisim"/>
          <w:rtl/>
        </w:rPr>
        <w:footnoteReference w:id="5697"/>
      </w:r>
      <w:r w:rsidRPr="00AF3214">
        <w:rPr>
          <w:rFonts w:ascii="Narkisim" w:hAnsi="Narkisim"/>
          <w:rtl/>
        </w:rPr>
        <w:t xml:space="preserve">] דלא אמרי' עשה דוחה ל"ת כיון דאינו חייב </w:t>
      </w:r>
      <w:r w:rsidRPr="00AF3214">
        <w:rPr>
          <w:rFonts w:ascii="Narkisim" w:hAnsi="Narkisim"/>
          <w:i/>
          <w:iCs/>
          <w:rtl/>
        </w:rPr>
        <w:t>בפועל</w:t>
      </w:r>
      <w:r w:rsidRPr="00AF3214">
        <w:rPr>
          <w:rFonts w:ascii="Narkisim" w:hAnsi="Narkisim"/>
          <w:rtl/>
        </w:rPr>
        <w:t xml:space="preserve"> לקיים המצוה</w:t>
      </w:r>
      <w:r w:rsidRPr="00AF3214">
        <w:rPr>
          <w:rStyle w:val="ac"/>
          <w:rFonts w:ascii="Narkisim" w:hAnsi="Narkisim"/>
          <w:rtl/>
        </w:rPr>
        <w:footnoteReference w:id="5698"/>
      </w:r>
      <w:r w:rsidRPr="00AF3214">
        <w:rPr>
          <w:rFonts w:ascii="Narkisim" w:hAnsi="Narkisim"/>
        </w:rPr>
        <w:t xml:space="preserve">, </w:t>
      </w:r>
      <w:r w:rsidRPr="00AF3214">
        <w:rPr>
          <w:rFonts w:ascii="Narkisim" w:hAnsi="Narkisim"/>
          <w:rtl/>
        </w:rPr>
        <w:t>ואף שיש 'קיום' לעשה</w:t>
      </w:r>
      <w:r w:rsidRPr="00AF3214">
        <w:rPr>
          <w:rStyle w:val="ac"/>
          <w:rFonts w:ascii="Narkisim" w:hAnsi="Narkisim"/>
          <w:rtl/>
        </w:rPr>
        <w:footnoteReference w:id="5699"/>
      </w:r>
      <w:r w:rsidRPr="00AF3214">
        <w:rPr>
          <w:rFonts w:ascii="Narkisim" w:hAnsi="Narkisim"/>
        </w:rPr>
        <w:t>.</w:t>
      </w:r>
    </w:p>
    <w:p w14:paraId="5104504A" w14:textId="77777777" w:rsidR="006C4368" w:rsidRPr="00AF3214" w:rsidRDefault="006C4368" w:rsidP="006C4368">
      <w:pPr>
        <w:bidi/>
        <w:rPr>
          <w:rFonts w:ascii="Narkisim" w:hAnsi="Narkisim" w:cs="Narkisim"/>
        </w:rPr>
      </w:pPr>
      <w:r w:rsidRPr="00AF3214">
        <w:rPr>
          <w:rFonts w:ascii="Narkisim" w:hAnsi="Narkisim" w:cs="Narkisim"/>
          <w:u w:val="single"/>
          <w:rtl/>
        </w:rPr>
        <w:t>ושופר, ולולב וכו'</w:t>
      </w:r>
      <w:r w:rsidRPr="00AF3214">
        <w:rPr>
          <w:rFonts w:ascii="Narkisim" w:hAnsi="Narkisim" w:cs="Narkisim"/>
          <w:rtl/>
        </w:rPr>
        <w:t xml:space="preserve">. </w:t>
      </w:r>
      <w:r w:rsidRPr="00AF3214">
        <w:rPr>
          <w:rFonts w:ascii="Narkisim" w:hAnsi="Narkisim" w:cs="Narkisim"/>
          <w:szCs w:val="20"/>
          <w:rtl/>
        </w:rPr>
        <w:t>דאסרו בשבת [בגבולין], משום שמא יעבירנו ד' אמות ברה"ר</w:t>
      </w:r>
      <w:r w:rsidRPr="00AF3214">
        <w:rPr>
          <w:rStyle w:val="ac"/>
          <w:rFonts w:ascii="Narkisim" w:hAnsi="Narkisim" w:cs="Narkisim"/>
          <w:szCs w:val="20"/>
          <w:rtl/>
        </w:rPr>
        <w:footnoteReference w:id="5700"/>
      </w:r>
      <w:r w:rsidRPr="00AF3214">
        <w:rPr>
          <w:rFonts w:ascii="Narkisim" w:hAnsi="Narkisim" w:cs="Narkisim"/>
          <w:szCs w:val="20"/>
        </w:rPr>
        <w:t xml:space="preserve">, </w:t>
      </w:r>
      <w:r w:rsidRPr="00AF3214">
        <w:rPr>
          <w:rFonts w:ascii="Narkisim" w:hAnsi="Narkisim" w:cs="Narkisim"/>
          <w:szCs w:val="20"/>
          <w:rtl/>
        </w:rPr>
        <w:t>וכדאי' (ר"ה כט: סוכה מב: ועוד). והגמ' פי' דעקרו דין תורה בשב ואל תעשה.</w:t>
      </w:r>
      <w:r w:rsidRPr="00AF3214">
        <w:rPr>
          <w:rFonts w:ascii="Narkisim" w:hAnsi="Narkisim" w:cs="Narkisim"/>
          <w:rtl/>
        </w:rPr>
        <w:t xml:space="preserve"> וה</w:t>
      </w:r>
      <w:r w:rsidRPr="00AF3214">
        <w:rPr>
          <w:rFonts w:ascii="Narkisim" w:hAnsi="Narkisim" w:cs="Narkisim"/>
          <w:b/>
          <w:bCs/>
          <w:rtl/>
        </w:rPr>
        <w:t>אחרונים</w:t>
      </w:r>
      <w:r w:rsidRPr="00AF3214">
        <w:rPr>
          <w:rFonts w:ascii="Narkisim" w:hAnsi="Narkisim" w:cs="Narkisim"/>
          <w:rtl/>
        </w:rPr>
        <w:t xml:space="preserve"> (ע' חכמת שלמה בשו"ע תקפח, ותלי בחקירת הקובה"ע הנ"ל) דנו האם עקרו את המצווה, ואף אילו תקע ונטלו בשבת לא יצא יד"ח, או דיצא יד"ח אלא שעבר באיסור [דרבנן בעלמא]</w:t>
      </w:r>
      <w:r w:rsidRPr="00AF3214">
        <w:rPr>
          <w:rFonts w:ascii="Narkisim" w:hAnsi="Narkisim" w:cs="Narkisim"/>
        </w:rPr>
        <w:t>.</w:t>
      </w:r>
    </w:p>
    <w:p w14:paraId="2D89163A" w14:textId="77777777" w:rsidR="006C4368" w:rsidRPr="00AF3214" w:rsidRDefault="006C4368" w:rsidP="006C4368">
      <w:pPr>
        <w:pStyle w:val="a7"/>
        <w:bidi/>
        <w:rPr>
          <w:rFonts w:ascii="Narkisim" w:hAnsi="Narkisim"/>
        </w:rPr>
      </w:pPr>
      <w:r w:rsidRPr="00AF3214">
        <w:rPr>
          <w:rFonts w:ascii="Narkisim" w:hAnsi="Narkisim"/>
          <w:rtl/>
        </w:rPr>
        <w:t xml:space="preserve">וכן </w:t>
      </w:r>
      <w:r w:rsidRPr="00AF3214">
        <w:rPr>
          <w:rFonts w:ascii="Narkisim" w:hAnsi="Narkisim"/>
          <w:b/>
          <w:bCs/>
          <w:rtl/>
        </w:rPr>
        <w:t>רע"א</w:t>
      </w:r>
      <w:r w:rsidRPr="00AF3214">
        <w:rPr>
          <w:rFonts w:ascii="Narkisim" w:hAnsi="Narkisim"/>
          <w:rtl/>
        </w:rPr>
        <w:t xml:space="preserve"> </w:t>
      </w:r>
      <w:r w:rsidRPr="00AF3214">
        <w:rPr>
          <w:rFonts w:ascii="Narkisim" w:hAnsi="Narkisim"/>
          <w:szCs w:val="20"/>
          <w:rtl/>
        </w:rPr>
        <w:t>(מערכה ח, הו' פסחים פט. ד"ה והנה המג"א)</w:t>
      </w:r>
      <w:r w:rsidRPr="00AF3214">
        <w:rPr>
          <w:rFonts w:ascii="Narkisim" w:hAnsi="Narkisim"/>
          <w:rtl/>
        </w:rPr>
        <w:t xml:space="preserve"> כת' דגדול שתקע בשופר בשבת קיים את המצווה</w:t>
      </w:r>
      <w:r w:rsidRPr="00AF3214">
        <w:rPr>
          <w:rStyle w:val="ac"/>
          <w:rFonts w:ascii="Narkisim" w:hAnsi="Narkisim"/>
          <w:rtl/>
        </w:rPr>
        <w:footnoteReference w:id="5701"/>
      </w:r>
      <w:r w:rsidRPr="00AF3214">
        <w:rPr>
          <w:rFonts w:ascii="Narkisim" w:hAnsi="Narkisim"/>
        </w:rPr>
        <w:t xml:space="preserve">, </w:t>
      </w:r>
      <w:r w:rsidRPr="00AF3214">
        <w:rPr>
          <w:rFonts w:ascii="Narkisim" w:hAnsi="Narkisim"/>
          <w:rtl/>
        </w:rPr>
        <w:t>אלא דעבר על שבות דשבת</w:t>
      </w:r>
      <w:r w:rsidRPr="00AF3214">
        <w:rPr>
          <w:rStyle w:val="ac"/>
          <w:rFonts w:ascii="Narkisim" w:hAnsi="Narkisim"/>
          <w:rtl/>
        </w:rPr>
        <w:footnoteReference w:id="5702"/>
      </w:r>
      <w:r w:rsidRPr="00AF3214">
        <w:rPr>
          <w:rFonts w:ascii="Narkisim" w:hAnsi="Narkisim"/>
        </w:rPr>
        <w:t xml:space="preserve">. </w:t>
      </w:r>
      <w:r w:rsidRPr="00AF3214">
        <w:rPr>
          <w:rFonts w:ascii="Narkisim" w:hAnsi="Narkisim"/>
          <w:rtl/>
        </w:rPr>
        <w:t>[ולפ"ז כוונת הגמ' ד'עקרו' היינו שהעמידו דבריהם באיסור שבות, שלא יקיים המצווה. אבל לא עקרו את גוף המצווה]. וכ"כ האבנ"נ (יו"ד קמא יא)</w:t>
      </w:r>
      <w:r w:rsidRPr="00AF3214">
        <w:rPr>
          <w:rFonts w:ascii="Narkisim" w:hAnsi="Narkisim"/>
        </w:rPr>
        <w:t>.</w:t>
      </w:r>
    </w:p>
    <w:p w14:paraId="7F2685C2" w14:textId="77777777" w:rsidR="006C4368" w:rsidRPr="00AF3214" w:rsidRDefault="006C4368" w:rsidP="006C4368">
      <w:pPr>
        <w:pStyle w:val="a7"/>
        <w:bidi/>
        <w:rPr>
          <w:rFonts w:ascii="Narkisim" w:hAnsi="Narkisim"/>
        </w:rPr>
      </w:pPr>
      <w:r w:rsidRPr="00AF3214">
        <w:rPr>
          <w:rFonts w:ascii="Narkisim" w:hAnsi="Narkisim"/>
          <w:rtl/>
        </w:rPr>
        <w:t xml:space="preserve">ובס' </w:t>
      </w:r>
      <w:r w:rsidRPr="00AF3214">
        <w:rPr>
          <w:rFonts w:ascii="Narkisim" w:hAnsi="Narkisim"/>
          <w:b/>
          <w:bCs/>
          <w:rtl/>
        </w:rPr>
        <w:t>קבא</w:t>
      </w:r>
      <w:r w:rsidRPr="00AF3214">
        <w:rPr>
          <w:rFonts w:ascii="Narkisim" w:hAnsi="Narkisim"/>
          <w:rtl/>
        </w:rPr>
        <w:t xml:space="preserve"> </w:t>
      </w:r>
      <w:r w:rsidRPr="00AF3214">
        <w:rPr>
          <w:rFonts w:ascii="Narkisim" w:hAnsi="Narkisim"/>
          <w:b/>
          <w:bCs/>
          <w:rtl/>
        </w:rPr>
        <w:t>דקשייתא</w:t>
      </w:r>
      <w:r w:rsidRPr="00AF3214">
        <w:rPr>
          <w:rFonts w:ascii="Narkisim" w:hAnsi="Narkisim"/>
          <w:rtl/>
        </w:rPr>
        <w:t xml:space="preserve"> (צט) האריך לתמוה על רע"א דודאי לא יצא יד"ח אף מדאורייתא. לא מבעי לדעת </w:t>
      </w:r>
      <w:r w:rsidRPr="00AF3214">
        <w:rPr>
          <w:rFonts w:ascii="Narkisim" w:hAnsi="Narkisim"/>
          <w:b/>
          <w:bCs/>
          <w:rtl/>
        </w:rPr>
        <w:t>תוס</w:t>
      </w:r>
      <w:r w:rsidRPr="00AF3214">
        <w:rPr>
          <w:rFonts w:ascii="Narkisim" w:hAnsi="Narkisim"/>
          <w:rtl/>
        </w:rPr>
        <w:t>' (סוכה ג. הו' לעיל בע"א) דכל היכא דהמצווה פסולה לא יצא אף מדאורייתא</w:t>
      </w:r>
      <w:r w:rsidRPr="00AF3214">
        <w:rPr>
          <w:rStyle w:val="ac"/>
          <w:rFonts w:ascii="Narkisim" w:hAnsi="Narkisim"/>
          <w:rtl/>
        </w:rPr>
        <w:footnoteReference w:id="5703"/>
      </w:r>
      <w:r w:rsidRPr="00AF3214">
        <w:rPr>
          <w:rFonts w:ascii="Narkisim" w:hAnsi="Narkisim"/>
        </w:rPr>
        <w:t xml:space="preserve">. </w:t>
      </w:r>
      <w:r w:rsidRPr="00AF3214">
        <w:rPr>
          <w:rFonts w:ascii="Narkisim" w:hAnsi="Narkisim"/>
          <w:rtl/>
        </w:rPr>
        <w:t xml:space="preserve">אלא אף לחולקים עליו, הכא עקרו את גוף המצווה מכל וכל. וכדברי </w:t>
      </w:r>
      <w:r w:rsidRPr="00AF3214">
        <w:rPr>
          <w:rFonts w:ascii="Narkisim" w:hAnsi="Narkisim"/>
          <w:b/>
          <w:bCs/>
          <w:rtl/>
        </w:rPr>
        <w:t>רבינו יונה</w:t>
      </w:r>
      <w:r w:rsidRPr="00AF3214">
        <w:rPr>
          <w:rFonts w:ascii="Narkisim" w:hAnsi="Narkisim"/>
          <w:rtl/>
        </w:rPr>
        <w:t xml:space="preserve"> (ריש ברכות, הו' בע"א) דאחר חצות אי"צ כלל לקרוא קר"ש</w:t>
      </w:r>
      <w:r w:rsidRPr="00AF3214">
        <w:rPr>
          <w:rStyle w:val="ac"/>
          <w:rFonts w:ascii="Narkisim" w:hAnsi="Narkisim"/>
          <w:rtl/>
        </w:rPr>
        <w:footnoteReference w:id="5704"/>
      </w:r>
      <w:r w:rsidRPr="00AF3214">
        <w:rPr>
          <w:rFonts w:ascii="Narkisim" w:hAnsi="Narkisim"/>
        </w:rPr>
        <w:t xml:space="preserve">. </w:t>
      </w:r>
      <w:r w:rsidRPr="00AF3214">
        <w:rPr>
          <w:rFonts w:ascii="Narkisim" w:hAnsi="Narkisim"/>
          <w:rtl/>
        </w:rPr>
        <w:t>[וכסברת הקובה"ע, הו' בע"א]</w:t>
      </w:r>
      <w:r w:rsidRPr="00AF3214">
        <w:rPr>
          <w:rFonts w:ascii="Narkisim" w:hAnsi="Narkisim"/>
        </w:rPr>
        <w:t>.</w:t>
      </w:r>
    </w:p>
    <w:p w14:paraId="03E669C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אבנ"נ</w:t>
      </w:r>
      <w:r w:rsidRPr="00AF3214">
        <w:rPr>
          <w:rFonts w:ascii="Narkisim" w:hAnsi="Narkisim"/>
          <w:rtl/>
        </w:rPr>
        <w:t xml:space="preserve"> (שם יב) הוכיח דחכמים לא עקרו את גוף המצווה, וכדאי' (לעיל כ:) גבי יבום דחייבי לאוין דאם בעלו קנו. ואף דגזרו שחולצת משום גזירה ביאה ראשונה אטו ביאה שניה, לא עקרו את מצוות היבום מדאורייתא</w:t>
      </w:r>
      <w:r w:rsidRPr="00AF3214">
        <w:rPr>
          <w:rFonts w:ascii="Narkisim" w:hAnsi="Narkisim"/>
        </w:rPr>
        <w:t>.</w:t>
      </w:r>
    </w:p>
    <w:p w14:paraId="3973B168"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(ע' </w:t>
      </w:r>
      <w:r w:rsidRPr="00AF3214">
        <w:rPr>
          <w:rFonts w:ascii="Narkisim" w:hAnsi="Narkisim"/>
          <w:b/>
          <w:bCs/>
          <w:rtl/>
        </w:rPr>
        <w:t>כלי חמדה</w:t>
      </w:r>
      <w:r w:rsidRPr="00AF3214">
        <w:rPr>
          <w:rFonts w:ascii="Narkisim" w:hAnsi="Narkisim"/>
          <w:rtl/>
        </w:rPr>
        <w:t xml:space="preserve"> תצא יא) דחו דהתם א"א לעקור מצוות יבום, דא"כ כיון דאינה עולה ליבום אינה עולה לחליצה. ודוקא בחייבי לאו ועשה חידשה תורה יש לך אחרת שעולה לחליצה (ע' לעיל כ.). אבל מי שמדאורייתא עולה ליבום ע"כ לא עקרו את הדין דאורייתא</w:t>
      </w:r>
      <w:r w:rsidRPr="00AF3214">
        <w:rPr>
          <w:rFonts w:ascii="Narkisim" w:hAnsi="Narkisim"/>
        </w:rPr>
        <w:t>.</w:t>
      </w:r>
    </w:p>
    <w:p w14:paraId="2669C7A3" w14:textId="77777777" w:rsidR="006C4368" w:rsidRPr="00AF3214" w:rsidRDefault="006C4368" w:rsidP="006C4368">
      <w:pPr>
        <w:pStyle w:val="aa"/>
        <w:bidi/>
        <w:rPr>
          <w:rFonts w:ascii="Narkisim" w:hAnsi="Narkisim"/>
        </w:rPr>
      </w:pPr>
      <w:r w:rsidRPr="00AF3214">
        <w:rPr>
          <w:rFonts w:ascii="Narkisim" w:hAnsi="Narkisim"/>
          <w:u w:val="single"/>
          <w:rtl/>
        </w:rPr>
        <w:lastRenderedPageBreak/>
        <w:t>שם.</w:t>
      </w:r>
      <w:r w:rsidRPr="00AF3214">
        <w:rPr>
          <w:rFonts w:ascii="Narkisim" w:hAnsi="Narkisim"/>
          <w:rtl/>
        </w:rPr>
        <w:t xml:space="preserve"> ה</w:t>
      </w:r>
      <w:r w:rsidRPr="00AF3214">
        <w:rPr>
          <w:rFonts w:ascii="Narkisim" w:hAnsi="Narkisim"/>
          <w:b/>
          <w:bCs/>
          <w:rtl/>
        </w:rPr>
        <w:t>רמ"ה</w:t>
      </w:r>
      <w:r w:rsidRPr="00AF3214">
        <w:rPr>
          <w:rFonts w:ascii="Narkisim" w:hAnsi="Narkisim"/>
          <w:rtl/>
        </w:rPr>
        <w:t xml:space="preserve"> (סנהדרין יח:) אהא דאי' (לעיל כ:) דגזרו בחייבי לאוין שחולצות</w:t>
      </w:r>
      <w:r w:rsidRPr="00AF3214">
        <w:rPr>
          <w:rStyle w:val="ac"/>
          <w:rFonts w:ascii="Narkisim" w:hAnsi="Narkisim"/>
          <w:rtl/>
        </w:rPr>
        <w:footnoteReference w:id="5705"/>
      </w:r>
      <w:r w:rsidRPr="00AF3214">
        <w:rPr>
          <w:rFonts w:ascii="Narkisim" w:hAnsi="Narkisim"/>
        </w:rPr>
        <w:t xml:space="preserve">, </w:t>
      </w:r>
      <w:r w:rsidRPr="00AF3214">
        <w:rPr>
          <w:rFonts w:ascii="Narkisim" w:hAnsi="Narkisim"/>
          <w:rtl/>
        </w:rPr>
        <w:t>וכ"ת מי איכא מידי דמדאורייתא מצוה לייבם, ואתו רבנן וגזרי ומבטלי מצות יבום. ותי' כיון דאפשר בחליצה שפיר דמי. וצ"ב קו' הרמ"ה דהא הוה שב ואל תעשה. ועוד דמבואר (לעיל כ:) דאף בדיעבד אם בעלו קנו, וע"כ דלא עקרו או פסלו את המצווה</w:t>
      </w:r>
      <w:r w:rsidRPr="00AF3214">
        <w:rPr>
          <w:rFonts w:ascii="Narkisim" w:hAnsi="Narkisim"/>
        </w:rPr>
        <w:t>.</w:t>
      </w:r>
    </w:p>
    <w:p w14:paraId="431C7E6C" w14:textId="77777777" w:rsidR="006C4368" w:rsidRPr="00AF3214" w:rsidRDefault="006C4368" w:rsidP="006C4368">
      <w:pPr>
        <w:pStyle w:val="aa"/>
        <w:bidi/>
        <w:rPr>
          <w:rFonts w:ascii="Narkisim" w:hAnsi="Narkisim"/>
        </w:rPr>
      </w:pPr>
      <w:r w:rsidRPr="00AF3214">
        <w:rPr>
          <w:rFonts w:ascii="Narkisim" w:hAnsi="Narkisim"/>
          <w:u w:val="single"/>
          <w:rtl/>
        </w:rPr>
        <w:t>כולהו נמי שב ואל תעשה</w:t>
      </w:r>
      <w:r w:rsidRPr="00AF3214">
        <w:rPr>
          <w:rFonts w:ascii="Narkisim" w:hAnsi="Narkisim"/>
          <w:rtl/>
        </w:rPr>
        <w:t xml:space="preserve">. ועוד כת' </w:t>
      </w:r>
      <w:r w:rsidRPr="00AF3214">
        <w:rPr>
          <w:rFonts w:ascii="Narkisim" w:hAnsi="Narkisim"/>
          <w:b/>
          <w:bCs/>
          <w:rtl/>
        </w:rPr>
        <w:t>תוס</w:t>
      </w:r>
      <w:r w:rsidRPr="00AF3214">
        <w:rPr>
          <w:rFonts w:ascii="Narkisim" w:hAnsi="Narkisim"/>
          <w:rtl/>
        </w:rPr>
        <w:t>' (ברכות טז.) אהא דתקנו לפועלים ברכה"מ מקוצר, דאע"ג [דג' ברכות] מדאורייתא הם</w:t>
      </w:r>
      <w:r w:rsidRPr="00AF3214">
        <w:rPr>
          <w:rStyle w:val="ac"/>
          <w:rFonts w:ascii="Narkisim" w:hAnsi="Narkisim"/>
          <w:rtl/>
        </w:rPr>
        <w:footnoteReference w:id="5706"/>
      </w:r>
      <w:r w:rsidRPr="00AF3214">
        <w:rPr>
          <w:rFonts w:ascii="Narkisim" w:hAnsi="Narkisim"/>
        </w:rPr>
        <w:t xml:space="preserve">. </w:t>
      </w:r>
      <w:r w:rsidRPr="00AF3214">
        <w:rPr>
          <w:rFonts w:ascii="Narkisim" w:hAnsi="Narkisim"/>
          <w:rtl/>
        </w:rPr>
        <w:t>יש כח ביד חכמים לעקור דבר מן התורה הואיל וטרודים במלאכת בעה"ב</w:t>
      </w:r>
      <w:r w:rsidRPr="00AF3214">
        <w:rPr>
          <w:rStyle w:val="ac"/>
          <w:rFonts w:ascii="Narkisim" w:hAnsi="Narkisim"/>
          <w:rtl/>
        </w:rPr>
        <w:footnoteReference w:id="5707"/>
      </w:r>
      <w:r w:rsidRPr="00AF3214">
        <w:rPr>
          <w:rFonts w:ascii="Narkisim" w:hAnsi="Narkisim"/>
        </w:rPr>
        <w:t>.</w:t>
      </w:r>
    </w:p>
    <w:p w14:paraId="372AD6A4"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(סוטה ח.) כת' דהא דאי' גבי סוטה דאם היה לבה נאה לא היו קורעין בגדיה, אף דגזירת הכתוב הוא לקרוע בגדיה, שב ואל תעשה לאו מיעקר הוא</w:t>
      </w:r>
      <w:r w:rsidRPr="00AF3214">
        <w:rPr>
          <w:rStyle w:val="ac"/>
          <w:rFonts w:ascii="Narkisim" w:hAnsi="Narkisim"/>
          <w:rtl/>
        </w:rPr>
        <w:footnoteReference w:id="5708"/>
      </w:r>
      <w:r w:rsidRPr="00AF3214">
        <w:rPr>
          <w:rFonts w:ascii="Narkisim" w:hAnsi="Narkisim"/>
        </w:rPr>
        <w:t>.</w:t>
      </w:r>
    </w:p>
    <w:p w14:paraId="01793084" w14:textId="77777777" w:rsidR="006C4368" w:rsidRPr="00AF3214" w:rsidRDefault="006C4368" w:rsidP="006C4368">
      <w:pPr>
        <w:pStyle w:val="aa"/>
        <w:bidi/>
        <w:rPr>
          <w:rFonts w:ascii="Narkisim" w:hAnsi="Narkisim"/>
        </w:rPr>
      </w:pPr>
      <w:r w:rsidRPr="00AF3214">
        <w:rPr>
          <w:rFonts w:ascii="Narkisim" w:hAnsi="Narkisim"/>
          <w:u w:val="single"/>
          <w:rtl/>
        </w:rPr>
        <w:t>תוד"ה כולהו</w:t>
      </w:r>
      <w:r w:rsidRPr="00AF3214">
        <w:rPr>
          <w:rFonts w:ascii="Narkisim" w:hAnsi="Narkisim"/>
          <w:rtl/>
        </w:rPr>
        <w:t>. וא"ת סדין בציצית היכי הוי שב ואל תעשה, דכי מכסה בטלית וכו'. וה</w:t>
      </w:r>
      <w:r w:rsidRPr="00AF3214">
        <w:rPr>
          <w:rFonts w:ascii="Narkisim" w:hAnsi="Narkisim"/>
          <w:b/>
          <w:bCs/>
          <w:rtl/>
        </w:rPr>
        <w:t>תוס' רא"ש</w:t>
      </w:r>
      <w:r w:rsidRPr="00AF3214">
        <w:rPr>
          <w:rFonts w:ascii="Narkisim" w:hAnsi="Narkisim"/>
          <w:rtl/>
        </w:rPr>
        <w:t xml:space="preserve"> הוסיף דלמ"ד (מנחות מא.) דחובת גברא דעובר בידים כשמתכסה בטלית שאין בו ציצית. שהתורה חייבתו להטיל ציצית בכל טלית שמתכסה בו. ובשלמא למ"ד (שם) דחובת טלית [חובת מנא] מיד כשקנאו מחוייב בציצית, ואפי' מונח בקופסה. והוה שב ואל תעשה</w:t>
      </w:r>
      <w:r w:rsidRPr="00AF3214">
        <w:rPr>
          <w:rFonts w:ascii="Narkisim" w:hAnsi="Narkisim"/>
        </w:rPr>
        <w:t>.</w:t>
      </w:r>
    </w:p>
    <w:p w14:paraId="2146F0C0" w14:textId="77777777" w:rsidR="006C4368" w:rsidRPr="00AF3214" w:rsidRDefault="006C4368" w:rsidP="006C4368">
      <w:pPr>
        <w:pStyle w:val="a7"/>
        <w:bidi/>
        <w:rPr>
          <w:rFonts w:ascii="Narkisim" w:hAnsi="Narkisim"/>
        </w:rPr>
      </w:pPr>
      <w:r w:rsidRPr="00AF3214">
        <w:rPr>
          <w:rFonts w:ascii="Narkisim" w:hAnsi="Narkisim"/>
          <w:rtl/>
        </w:rPr>
        <w:t>ה</w:t>
      </w:r>
      <w:r w:rsidRPr="00AF3214">
        <w:rPr>
          <w:rFonts w:ascii="Narkisim" w:hAnsi="Narkisim"/>
          <w:b/>
          <w:bCs/>
          <w:rtl/>
        </w:rPr>
        <w:t>קובה"ע</w:t>
      </w:r>
      <w:r w:rsidRPr="00AF3214">
        <w:rPr>
          <w:rFonts w:ascii="Narkisim" w:hAnsi="Narkisim"/>
          <w:rtl/>
        </w:rPr>
        <w:t xml:space="preserve"> (סט יד) דן ע"פ הצד (הנ"ל) דחכמים עקרו את גוף המצווה [במצווה שהוא שב ואל תעשה], א"כ עי"ז הוה טלית שאין עליו חיוב ציצית. ואף הלבישה לא הוה איסור בקום ועשה. והוכיח דדעת תוס' דנחשב קום ועשה כיון שעובר עליו בקום ועשה</w:t>
      </w:r>
      <w:r w:rsidRPr="00AF3214">
        <w:rPr>
          <w:rStyle w:val="ac"/>
          <w:rFonts w:ascii="Narkisim" w:hAnsi="Narkisim"/>
          <w:rtl/>
        </w:rPr>
        <w:footnoteReference w:id="5709"/>
      </w:r>
      <w:r w:rsidRPr="00AF3214">
        <w:rPr>
          <w:rFonts w:ascii="Narkisim" w:hAnsi="Narkisim"/>
        </w:rPr>
        <w:t xml:space="preserve">. </w:t>
      </w:r>
      <w:r w:rsidRPr="00AF3214">
        <w:rPr>
          <w:rFonts w:ascii="Narkisim" w:hAnsi="Narkisim"/>
          <w:rtl/>
        </w:rPr>
        <w:t>ולא תלי אי גוף האיסור הוה קום ועשה או שב ואל תעשה</w:t>
      </w:r>
      <w:r w:rsidRPr="00AF3214">
        <w:rPr>
          <w:rFonts w:ascii="Narkisim" w:hAnsi="Narkisim"/>
        </w:rPr>
        <w:t>.</w:t>
      </w:r>
    </w:p>
    <w:p w14:paraId="398EC374" w14:textId="77777777" w:rsidR="006C4368" w:rsidRPr="00AF3214" w:rsidRDefault="006C4368" w:rsidP="006C4368">
      <w:pPr>
        <w:bidi/>
        <w:rPr>
          <w:rFonts w:ascii="Narkisim" w:hAnsi="Narkisim" w:cs="Narkisim"/>
        </w:rPr>
      </w:pPr>
      <w:r w:rsidRPr="00AF3214">
        <w:rPr>
          <w:rFonts w:ascii="Narkisim" w:hAnsi="Narkisim" w:cs="Narkisim"/>
          <w:u w:val="single"/>
          <w:rtl/>
        </w:rPr>
        <w:t>בא"ד וי"ל דבשעת עיטוף אכתי לא מיחייב עד אחר שנתעטף וכו'</w:t>
      </w:r>
      <w:r w:rsidRPr="00AF3214">
        <w:rPr>
          <w:rFonts w:ascii="Narkisim" w:hAnsi="Narkisim" w:cs="Narkisim"/>
          <w:rtl/>
        </w:rPr>
        <w:t>. ה</w:t>
      </w:r>
      <w:r w:rsidRPr="00AF3214">
        <w:rPr>
          <w:rFonts w:ascii="Narkisim" w:hAnsi="Narkisim" w:cs="Narkisim"/>
          <w:b/>
          <w:bCs/>
          <w:rtl/>
        </w:rPr>
        <w:t>שאג"א</w:t>
      </w:r>
      <w:r w:rsidRPr="00AF3214">
        <w:rPr>
          <w:rFonts w:ascii="Narkisim" w:hAnsi="Narkisim" w:cs="Narkisim"/>
          <w:rtl/>
        </w:rPr>
        <w:t xml:space="preserve"> (לב) הביא בשם התוס' דמצוות ציצית הוה רק לאחר העיטוף. וכת' דעפ"ז צריך לברך רק לאחר העיטוף, דאם יברך קודם שנתעטף הוה לפני דלפני</w:t>
      </w:r>
      <w:r w:rsidRPr="00AF3214">
        <w:rPr>
          <w:rFonts w:ascii="Narkisim" w:hAnsi="Narkisim" w:cs="Narkisim"/>
        </w:rPr>
        <w:t>.</w:t>
      </w:r>
    </w:p>
    <w:p w14:paraId="34ED05FB" w14:textId="77777777" w:rsidR="006C4368" w:rsidRPr="00AF3214" w:rsidRDefault="006C4368" w:rsidP="006C4368">
      <w:pPr>
        <w:pStyle w:val="a7"/>
        <w:bidi/>
        <w:rPr>
          <w:rFonts w:ascii="Narkisim" w:hAnsi="Narkisim"/>
        </w:rPr>
      </w:pPr>
      <w:r w:rsidRPr="00AF3214">
        <w:rPr>
          <w:rFonts w:ascii="Narkisim" w:hAnsi="Narkisim"/>
          <w:rtl/>
        </w:rPr>
        <w:t>והשאג"א כת' דנראה דהמצווה מיד בעיטוף, ודחה קו' התוס' דאפ"ה חשיב שב ואל תעשה, דהלבישה אינה אסורה מצד עצמה, אלא מחמת חסרון מעשה של מצות ציצית. ובשעה שהוא לבוש מחוייב [מצוות עשה] שיהא מוטל בו ציצית. אבל כשאין בו ציצית אינו עושה איסור בלבישה אלא שחיסר מצווה בשב ואל תעשה. ולא דמי לאיסור כלאים דהלבישה מצד עצמה אסורה</w:t>
      </w:r>
      <w:r w:rsidRPr="00AF3214">
        <w:rPr>
          <w:rFonts w:ascii="Narkisim" w:hAnsi="Narkisim"/>
        </w:rPr>
        <w:t>.</w:t>
      </w:r>
    </w:p>
    <w:p w14:paraId="040B3F43" w14:textId="77777777" w:rsidR="006C4368" w:rsidRPr="00AF3214" w:rsidRDefault="006C4368" w:rsidP="006C4368">
      <w:pPr>
        <w:pStyle w:val="a8"/>
        <w:bidi/>
        <w:rPr>
          <w:rFonts w:ascii="Narkisim" w:hAnsi="Narkisim"/>
        </w:rPr>
      </w:pPr>
      <w:r w:rsidRPr="00AF3214">
        <w:rPr>
          <w:rFonts w:ascii="Narkisim" w:hAnsi="Narkisim"/>
          <w:rtl/>
        </w:rPr>
        <w:t>והביא עד"ז מש"כ ה</w:t>
      </w:r>
      <w:r w:rsidRPr="00AF3214">
        <w:rPr>
          <w:rFonts w:ascii="Narkisim" w:hAnsi="Narkisim"/>
          <w:b/>
          <w:bCs/>
          <w:rtl/>
        </w:rPr>
        <w:t>רמב"ם</w:t>
      </w:r>
      <w:r w:rsidRPr="00AF3214">
        <w:rPr>
          <w:rFonts w:ascii="Narkisim" w:hAnsi="Narkisim"/>
          <w:rtl/>
        </w:rPr>
        <w:t xml:space="preserve"> (חגיגה א א) דמי שבא לעזרה בלא עולת ראייה עובר בלאו, אבל אינו לוקה שהרי לא עשה מעשה. ואף דכניסתו בעזרה היה ע"י מעשה</w:t>
      </w:r>
      <w:r w:rsidRPr="00AF3214">
        <w:rPr>
          <w:rStyle w:val="ac"/>
          <w:rFonts w:ascii="Narkisim" w:hAnsi="Narkisim"/>
          <w:rtl/>
        </w:rPr>
        <w:footnoteReference w:id="5710"/>
      </w:r>
      <w:r w:rsidRPr="00AF3214">
        <w:rPr>
          <w:rFonts w:ascii="Narkisim" w:hAnsi="Narkisim"/>
        </w:rPr>
        <w:t xml:space="preserve">, </w:t>
      </w:r>
      <w:r w:rsidRPr="00AF3214">
        <w:rPr>
          <w:rFonts w:ascii="Narkisim" w:hAnsi="Narkisim"/>
          <w:rtl/>
        </w:rPr>
        <w:t>מ"מ העדר הקרבן הוה בשב ואל תעשה</w:t>
      </w:r>
      <w:r w:rsidRPr="00AF3214">
        <w:rPr>
          <w:rStyle w:val="ac"/>
          <w:rFonts w:ascii="Narkisim" w:hAnsi="Narkisim"/>
          <w:rtl/>
        </w:rPr>
        <w:footnoteReference w:id="5711"/>
      </w:r>
      <w:r w:rsidRPr="00AF3214">
        <w:rPr>
          <w:rFonts w:ascii="Narkisim" w:hAnsi="Narkisim"/>
        </w:rPr>
        <w:t>.</w:t>
      </w:r>
    </w:p>
    <w:p w14:paraId="3E868EFC"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שאג"א</w:t>
      </w:r>
      <w:r w:rsidRPr="00AF3214">
        <w:rPr>
          <w:rFonts w:ascii="Narkisim" w:hAnsi="Narkisim" w:cs="Narkisim"/>
          <w:rtl/>
        </w:rPr>
        <w:t xml:space="preserve"> הביא את דברי ה</w:t>
      </w:r>
      <w:r w:rsidRPr="00AF3214">
        <w:rPr>
          <w:rFonts w:ascii="Narkisim" w:hAnsi="Narkisim" w:cs="Narkisim"/>
          <w:b/>
          <w:bCs/>
          <w:rtl/>
        </w:rPr>
        <w:t>ר"י</w:t>
      </w:r>
      <w:r w:rsidRPr="00AF3214">
        <w:rPr>
          <w:rFonts w:ascii="Narkisim" w:hAnsi="Narkisim" w:cs="Narkisim"/>
          <w:rtl/>
        </w:rPr>
        <w:t xml:space="preserve"> ב</w:t>
      </w:r>
      <w:r w:rsidRPr="00AF3214">
        <w:rPr>
          <w:rFonts w:ascii="Narkisim" w:hAnsi="Narkisim" w:cs="Narkisim"/>
          <w:b/>
          <w:bCs/>
          <w:rtl/>
        </w:rPr>
        <w:t>מרדכי</w:t>
      </w:r>
      <w:r w:rsidRPr="00AF3214">
        <w:rPr>
          <w:rFonts w:ascii="Narkisim" w:hAnsi="Narkisim" w:cs="Narkisim"/>
          <w:rtl/>
        </w:rPr>
        <w:t xml:space="preserve"> </w:t>
      </w:r>
      <w:r w:rsidRPr="00AF3214">
        <w:rPr>
          <w:rFonts w:ascii="Narkisim" w:hAnsi="Narkisim" w:cs="Narkisim"/>
          <w:szCs w:val="20"/>
          <w:rtl/>
        </w:rPr>
        <w:t>(מנחות הלק"ט ציצית תתקמד, והתוס' רא"ש כאן בשם ריצב"א</w:t>
      </w:r>
      <w:r w:rsidRPr="00AF3214">
        <w:rPr>
          <w:rFonts w:ascii="Narkisim" w:hAnsi="Narkisim" w:cs="Narkisim"/>
          <w:rtl/>
        </w:rPr>
        <w:t>) דמי שנפסק חוטי הציצית בשבת אין איסור ללובשו</w:t>
      </w:r>
      <w:r w:rsidRPr="00AF3214">
        <w:rPr>
          <w:rStyle w:val="ac"/>
          <w:rFonts w:ascii="Narkisim" w:hAnsi="Narkisim" w:cs="Narkisim"/>
          <w:rtl/>
        </w:rPr>
        <w:footnoteReference w:id="5712"/>
      </w:r>
      <w:r w:rsidRPr="00AF3214">
        <w:rPr>
          <w:rFonts w:ascii="Narkisim" w:hAnsi="Narkisim" w:cs="Narkisim"/>
        </w:rPr>
        <w:t xml:space="preserve">, </w:t>
      </w:r>
      <w:r w:rsidRPr="00AF3214">
        <w:rPr>
          <w:rFonts w:ascii="Narkisim" w:hAnsi="Narkisim" w:cs="Narkisim"/>
          <w:rtl/>
        </w:rPr>
        <w:t>כיון שבשבת אינו יכול להטיל בו ציצית</w:t>
      </w:r>
      <w:r w:rsidRPr="00AF3214">
        <w:rPr>
          <w:rStyle w:val="ac"/>
          <w:rFonts w:ascii="Narkisim" w:hAnsi="Narkisim" w:cs="Narkisim"/>
          <w:rtl/>
        </w:rPr>
        <w:footnoteReference w:id="5713"/>
      </w:r>
      <w:r w:rsidRPr="00AF3214">
        <w:rPr>
          <w:rFonts w:ascii="Narkisim" w:hAnsi="Narkisim" w:cs="Narkisim"/>
        </w:rPr>
        <w:t xml:space="preserve">. </w:t>
      </w:r>
      <w:r w:rsidRPr="00AF3214">
        <w:rPr>
          <w:rFonts w:ascii="Narkisim" w:hAnsi="Narkisim" w:cs="Narkisim"/>
          <w:rtl/>
        </w:rPr>
        <w:t xml:space="preserve">דמצוות ציצית הוה להטיל בבגד ציצית כשילבשנו, אבל אין איסור ללבוש את הטלית. דלא אמר הכתוב בלשון לא תלבש בגד שיש לו ד' כנפים בלא ציצית. ובחול עובר כל שעה שלובשו בעשה דהטל בו ציצית, אבל בשבת אינו עובר כיון שעתה אינו יכול להטיל בו </w:t>
      </w:r>
      <w:r w:rsidRPr="00AF3214">
        <w:rPr>
          <w:rFonts w:ascii="Narkisim" w:hAnsi="Narkisim" w:cs="Narkisim"/>
          <w:rtl/>
        </w:rPr>
        <w:lastRenderedPageBreak/>
        <w:t>ציצית</w:t>
      </w:r>
      <w:r w:rsidRPr="00AF3214">
        <w:rPr>
          <w:rStyle w:val="ac"/>
          <w:rFonts w:ascii="Narkisim" w:hAnsi="Narkisim" w:cs="Narkisim"/>
          <w:rtl/>
        </w:rPr>
        <w:footnoteReference w:id="5714"/>
      </w:r>
      <w:r w:rsidRPr="00AF3214">
        <w:rPr>
          <w:rFonts w:ascii="Narkisim" w:hAnsi="Narkisim" w:cs="Narkisim"/>
        </w:rPr>
        <w:t xml:space="preserve">. </w:t>
      </w:r>
      <w:r w:rsidRPr="00AF3214">
        <w:rPr>
          <w:rFonts w:ascii="Narkisim" w:hAnsi="Narkisim" w:cs="Narkisim"/>
          <w:rtl/>
        </w:rPr>
        <w:t>[והשאג"א ביאר עד"ז הא דבזה"ז לובשים ד' כנפות בלא תכלת, ולא אמרי' דמבטל מצוות תכלת</w:t>
      </w:r>
      <w:r w:rsidRPr="00AF3214">
        <w:rPr>
          <w:rStyle w:val="ac"/>
          <w:rFonts w:ascii="Narkisim" w:hAnsi="Narkisim" w:cs="Narkisim"/>
          <w:rtl/>
        </w:rPr>
        <w:footnoteReference w:id="5715"/>
      </w:r>
      <w:r w:rsidRPr="00AF3214">
        <w:rPr>
          <w:rFonts w:ascii="Narkisim" w:hAnsi="Narkisim" w:cs="Narkisim"/>
          <w:rtl/>
        </w:rPr>
        <w:t>]</w:t>
      </w:r>
      <w:r w:rsidRPr="00AF3214">
        <w:rPr>
          <w:rFonts w:ascii="Narkisim" w:hAnsi="Narkisim" w:cs="Narkisim"/>
        </w:rPr>
        <w:t>.</w:t>
      </w:r>
    </w:p>
    <w:p w14:paraId="4B282260"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(אתוון דאורייתא יג בסופו ועוד) הביאו מדברי המרדכי דאונס הוה פטור גמור, וכיון דאינו יכול לקשור ציצית לא רמי עליו, ומש"ה רשאי ללבוש את הבגד</w:t>
      </w:r>
      <w:r w:rsidRPr="00AF3214">
        <w:rPr>
          <w:rStyle w:val="ac"/>
          <w:rFonts w:ascii="Narkisim" w:hAnsi="Narkisim"/>
          <w:rtl/>
        </w:rPr>
        <w:footnoteReference w:id="5716"/>
      </w:r>
      <w:r w:rsidRPr="00AF3214">
        <w:rPr>
          <w:rFonts w:ascii="Narkisim" w:hAnsi="Narkisim"/>
        </w:rPr>
        <w:t xml:space="preserve">. </w:t>
      </w:r>
      <w:r w:rsidRPr="00AF3214">
        <w:rPr>
          <w:rFonts w:ascii="Narkisim" w:hAnsi="Narkisim"/>
          <w:rtl/>
        </w:rPr>
        <w:t>[דביטול המצווה הוא באונס גמור, ופטור</w:t>
      </w:r>
      <w:r w:rsidRPr="00AF3214">
        <w:rPr>
          <w:rStyle w:val="ac"/>
          <w:rFonts w:ascii="Narkisim" w:hAnsi="Narkisim"/>
          <w:rtl/>
        </w:rPr>
        <w:footnoteReference w:id="5717"/>
      </w:r>
      <w:r w:rsidRPr="00AF3214">
        <w:rPr>
          <w:rFonts w:ascii="Narkisim" w:hAnsi="Narkisim"/>
          <w:rtl/>
        </w:rPr>
        <w:t>]. אבל יש שביארו דעיקר הסברא דיש רק מצווה חיובית להטיל ציצית. ואין דין להמנע מביטול המצווה במקום שאינו יכול לקיים</w:t>
      </w:r>
      <w:r w:rsidRPr="00AF3214">
        <w:rPr>
          <w:rStyle w:val="ac"/>
          <w:rFonts w:ascii="Narkisim" w:hAnsi="Narkisim"/>
          <w:rtl/>
        </w:rPr>
        <w:footnoteReference w:id="5718"/>
      </w:r>
      <w:r w:rsidRPr="00AF3214">
        <w:rPr>
          <w:rFonts w:ascii="Narkisim" w:hAnsi="Narkisim"/>
        </w:rPr>
        <w:t xml:space="preserve">. </w:t>
      </w:r>
      <w:r w:rsidRPr="00AF3214">
        <w:rPr>
          <w:rFonts w:ascii="Narkisim" w:hAnsi="Narkisim"/>
          <w:rtl/>
        </w:rPr>
        <w:t>[ומש"ה אי"צ לחפש תחבולה להיות 'פטור']</w:t>
      </w:r>
      <w:r w:rsidRPr="00AF3214">
        <w:rPr>
          <w:rStyle w:val="ac"/>
          <w:rFonts w:ascii="Narkisim" w:hAnsi="Narkisim"/>
          <w:rtl/>
        </w:rPr>
        <w:footnoteReference w:id="5719"/>
      </w:r>
      <w:r w:rsidRPr="00AF3214">
        <w:rPr>
          <w:rFonts w:ascii="Narkisim" w:hAnsi="Narkisim"/>
        </w:rPr>
        <w:t>.</w:t>
      </w:r>
    </w:p>
    <w:p w14:paraId="5DBBABFE"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שיטמ"ק</w:t>
      </w:r>
      <w:r w:rsidRPr="00AF3214">
        <w:rPr>
          <w:rFonts w:ascii="Narkisim" w:hAnsi="Narkisim" w:cs="Narkisim"/>
          <w:rtl/>
        </w:rPr>
        <w:t xml:space="preserve"> (</w:t>
      </w:r>
      <w:r w:rsidRPr="00AF3214">
        <w:rPr>
          <w:rFonts w:ascii="Narkisim" w:hAnsi="Narkisim" w:cs="Narkisim"/>
          <w:szCs w:val="20"/>
          <w:rtl/>
        </w:rPr>
        <w:t>עה"ג מנחות לז: ה, וכן התורא"ש כאן הביא דמכאן הורו כן</w:t>
      </w:r>
      <w:r w:rsidRPr="00AF3214">
        <w:rPr>
          <w:rFonts w:ascii="Narkisim" w:hAnsi="Narkisim" w:cs="Narkisim"/>
          <w:rtl/>
        </w:rPr>
        <w:t xml:space="preserve">) הביא ראיה לזה מסוגיין דסדין בציצית [משום גזירה דקלא אילן] הוה שב ואל תעשה, ואם היה מוזהר שלא ללבוש טלית של ד' כנפות בלא ציצית הוה קום ועשה. </w:t>
      </w:r>
      <w:r w:rsidRPr="00AF3214">
        <w:rPr>
          <w:rFonts w:ascii="Narkisim" w:hAnsi="Narkisim" w:cs="Narkisim"/>
          <w:szCs w:val="20"/>
          <w:rtl/>
        </w:rPr>
        <w:t>[וכקו' התוס' דידן. ובפשוטו משמע דהוכיח דאינו מוזהר אלא ביטול עשה וכמרדכי. והוה תי' אחר מהתוס', וכדברי השאג"א</w:t>
      </w:r>
      <w:r w:rsidRPr="00AF3214">
        <w:rPr>
          <w:rStyle w:val="ac"/>
          <w:rFonts w:ascii="Narkisim" w:hAnsi="Narkisim" w:cs="Narkisim"/>
          <w:szCs w:val="20"/>
          <w:rtl/>
        </w:rPr>
        <w:footnoteReference w:id="5720"/>
      </w:r>
      <w:r w:rsidRPr="00AF3214">
        <w:rPr>
          <w:rFonts w:ascii="Narkisim" w:hAnsi="Narkisim" w:cs="Narkisim"/>
          <w:szCs w:val="20"/>
          <w:rtl/>
        </w:rPr>
        <w:t>]</w:t>
      </w:r>
      <w:r w:rsidRPr="00AF3214">
        <w:rPr>
          <w:rFonts w:ascii="Narkisim" w:hAnsi="Narkisim" w:cs="Narkisim"/>
        </w:rPr>
        <w:t>.</w:t>
      </w:r>
    </w:p>
    <w:p w14:paraId="03C2176E"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שאג"א</w:t>
      </w:r>
      <w:r w:rsidRPr="00AF3214">
        <w:rPr>
          <w:rFonts w:ascii="Narkisim" w:hAnsi="Narkisim"/>
          <w:rtl/>
        </w:rPr>
        <w:t xml:space="preserve"> תמה דדברי הר"י בתוס' דידן מבואר דיש איסור בלבישה, וסותרים לדברי הר"י</w:t>
      </w:r>
      <w:r w:rsidRPr="00AF3214">
        <w:rPr>
          <w:rStyle w:val="ac"/>
          <w:rFonts w:ascii="Narkisim" w:hAnsi="Narkisim"/>
          <w:rtl/>
        </w:rPr>
        <w:footnoteReference w:id="5721"/>
      </w:r>
      <w:r w:rsidRPr="00AF3214">
        <w:rPr>
          <w:rFonts w:ascii="Narkisim" w:hAnsi="Narkisim"/>
        </w:rPr>
        <w:t xml:space="preserve"> </w:t>
      </w:r>
      <w:r w:rsidRPr="00AF3214">
        <w:rPr>
          <w:rFonts w:ascii="Narkisim" w:hAnsi="Narkisim"/>
          <w:rtl/>
        </w:rPr>
        <w:t>במרדכי</w:t>
      </w:r>
      <w:r w:rsidRPr="00AF3214">
        <w:rPr>
          <w:rStyle w:val="ac"/>
          <w:rFonts w:ascii="Narkisim" w:hAnsi="Narkisim"/>
          <w:rtl/>
        </w:rPr>
        <w:footnoteReference w:id="5722"/>
      </w:r>
      <w:r w:rsidRPr="00AF3214">
        <w:rPr>
          <w:rFonts w:ascii="Narkisim" w:hAnsi="Narkisim"/>
        </w:rPr>
        <w:t>.</w:t>
      </w:r>
    </w:p>
    <w:p w14:paraId="48097681"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(שם) תי' דאין בזה סתירה, דלענין גוף האיסור הוי שב ואל תעשה, דהלבישה מצד עצמה אינה אסורה. והאיסור הוא מה שאין בו ציצית, אלא דמ"מ תוס' הק' דבלבישתו הוא עובר בקו"ע, ע"י מעשה. וכיון שמה"ת הטלית עדיין חייבת בציצית, אסור לו לעשות מעשה נגד מצות התורה</w:t>
      </w:r>
      <w:r w:rsidRPr="00AF3214">
        <w:rPr>
          <w:rFonts w:ascii="Narkisim" w:hAnsi="Narkisim"/>
        </w:rPr>
        <w:t>.</w:t>
      </w:r>
    </w:p>
    <w:p w14:paraId="2E141EC3" w14:textId="77777777" w:rsidR="006C4368" w:rsidRPr="00AF3214" w:rsidRDefault="006C4368" w:rsidP="006C4368">
      <w:pPr>
        <w:pStyle w:val="a8"/>
        <w:bidi/>
        <w:rPr>
          <w:rFonts w:ascii="Narkisim" w:hAnsi="Narkisim"/>
        </w:rPr>
      </w:pPr>
      <w:r w:rsidRPr="00AF3214">
        <w:rPr>
          <w:rFonts w:ascii="Narkisim" w:hAnsi="Narkisim"/>
          <w:rtl/>
        </w:rPr>
        <w:t>אך שוב הביא דא' מבני החבורה הק' דלאחר שחכמים אסרו לעשות ציצית בסדין, א"כ הוא אנוס בתקנתא דרבנן, וממילא יהא מותר לו ללבוש הטלית. [ומ"ש אונס דאיסור דרבנן מאונס דאסור לקשור בשבת]. וא"כ אכתי דברי ר"י סותרין אלו את אלו, וצ"ע</w:t>
      </w:r>
      <w:r w:rsidRPr="00AF3214">
        <w:rPr>
          <w:rStyle w:val="ac"/>
          <w:rFonts w:ascii="Narkisim" w:hAnsi="Narkisim"/>
          <w:rtl/>
        </w:rPr>
        <w:footnoteReference w:id="5723"/>
      </w:r>
      <w:r w:rsidRPr="00AF3214">
        <w:rPr>
          <w:rFonts w:ascii="Narkisim" w:hAnsi="Narkisim"/>
        </w:rPr>
        <w:t xml:space="preserve">. </w:t>
      </w:r>
      <w:r w:rsidRPr="00AF3214">
        <w:rPr>
          <w:rFonts w:ascii="Narkisim" w:hAnsi="Narkisim"/>
          <w:rtl/>
        </w:rPr>
        <w:t>וכת' דאולי י"ל דמ"מ אין לחכמים לעשות תקנה נגד התורה</w:t>
      </w:r>
      <w:r w:rsidRPr="00AF3214">
        <w:rPr>
          <w:rStyle w:val="ac"/>
          <w:rFonts w:ascii="Narkisim" w:hAnsi="Narkisim"/>
          <w:rtl/>
        </w:rPr>
        <w:footnoteReference w:id="5724"/>
      </w:r>
      <w:r w:rsidRPr="00AF3214">
        <w:rPr>
          <w:rFonts w:ascii="Narkisim" w:hAnsi="Narkisim"/>
        </w:rPr>
        <w:t xml:space="preserve">. </w:t>
      </w:r>
      <w:r w:rsidRPr="00AF3214">
        <w:rPr>
          <w:rFonts w:ascii="Narkisim" w:hAnsi="Narkisim"/>
          <w:rtl/>
        </w:rPr>
        <w:t>ואף היכא דע"י התקנה הוה אונס, ולא הוה מעשה איסור. וצ"ע</w:t>
      </w:r>
      <w:r w:rsidRPr="00AF3214">
        <w:rPr>
          <w:rFonts w:ascii="Narkisim" w:hAnsi="Narkisim"/>
        </w:rPr>
        <w:t>.</w:t>
      </w:r>
    </w:p>
    <w:p w14:paraId="54ECE7E5" w14:textId="77777777" w:rsidR="006C4368" w:rsidRPr="00AF3214" w:rsidRDefault="006C4368" w:rsidP="006C4368">
      <w:pPr>
        <w:bidi/>
        <w:rPr>
          <w:rFonts w:ascii="Narkisim" w:hAnsi="Narkisim" w:cs="Narkisim"/>
        </w:rPr>
      </w:pPr>
      <w:r w:rsidRPr="00AF3214">
        <w:rPr>
          <w:rFonts w:ascii="Narkisim" w:hAnsi="Narkisim" w:cs="Narkisim"/>
          <w:u w:val="single"/>
          <w:rtl/>
        </w:rPr>
        <w:t>בא"ד וא"ת (ברכות כ.) משמע כשהוא לבוש כלאים ואין פושטן וכו' עמוד ועשה וכו'</w:t>
      </w:r>
      <w:r w:rsidRPr="00AF3214">
        <w:rPr>
          <w:rFonts w:ascii="Narkisim" w:hAnsi="Narkisim" w:cs="Narkisim"/>
          <w:rtl/>
        </w:rPr>
        <w:t xml:space="preserve">. </w:t>
      </w:r>
      <w:r w:rsidRPr="00AF3214">
        <w:rPr>
          <w:rFonts w:ascii="Narkisim" w:hAnsi="Narkisim" w:cs="Narkisim"/>
          <w:rtl/>
        </w:rPr>
        <w:lastRenderedPageBreak/>
        <w:t>דמבואר דמי שהוא לבוש כלאים לא נחשב שב ואל תעשה לענין כבוד הבריות</w:t>
      </w:r>
      <w:r w:rsidRPr="00AF3214">
        <w:rPr>
          <w:rStyle w:val="ac"/>
          <w:rFonts w:ascii="Narkisim" w:hAnsi="Narkisim" w:cs="Narkisim"/>
          <w:rtl/>
        </w:rPr>
        <w:footnoteReference w:id="5725"/>
      </w:r>
      <w:r w:rsidRPr="00AF3214">
        <w:rPr>
          <w:rFonts w:ascii="Narkisim" w:hAnsi="Narkisim" w:cs="Narkisim"/>
        </w:rPr>
        <w:t>.</w:t>
      </w:r>
    </w:p>
    <w:p w14:paraId="1F8919DB"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שאג"א</w:t>
      </w:r>
      <w:r w:rsidRPr="00AF3214">
        <w:rPr>
          <w:rFonts w:ascii="Narkisim" w:hAnsi="Narkisim"/>
          <w:rtl/>
        </w:rPr>
        <w:t xml:space="preserve"> הביא מקור</w:t>
      </w:r>
      <w:r w:rsidRPr="00AF3214">
        <w:rPr>
          <w:rStyle w:val="ac"/>
          <w:rFonts w:ascii="Narkisim" w:hAnsi="Narkisim"/>
          <w:rtl/>
        </w:rPr>
        <w:footnoteReference w:id="5726"/>
      </w:r>
      <w:r w:rsidRPr="00AF3214">
        <w:rPr>
          <w:rFonts w:ascii="Narkisim" w:hAnsi="Narkisim"/>
        </w:rPr>
        <w:t xml:space="preserve"> </w:t>
      </w:r>
      <w:r w:rsidRPr="00AF3214">
        <w:rPr>
          <w:rFonts w:ascii="Narkisim" w:hAnsi="Narkisim"/>
          <w:rtl/>
        </w:rPr>
        <w:t>לסברא זו מהמשנה (מכות כא.) דמי שלבוש כלאים ואינו פושטו לוקה על כל התראה, דכיון דהוה בגוף האדם נחשב מעשה</w:t>
      </w:r>
      <w:r w:rsidRPr="00AF3214">
        <w:rPr>
          <w:rStyle w:val="ac"/>
          <w:rFonts w:ascii="Narkisim" w:hAnsi="Narkisim"/>
          <w:rtl/>
        </w:rPr>
        <w:footnoteReference w:id="5727"/>
      </w:r>
      <w:r w:rsidRPr="00AF3214">
        <w:rPr>
          <w:rFonts w:ascii="Narkisim" w:hAnsi="Narkisim"/>
        </w:rPr>
        <w:t xml:space="preserve">. </w:t>
      </w:r>
      <w:r w:rsidRPr="00AF3214">
        <w:rPr>
          <w:rFonts w:ascii="Narkisim" w:hAnsi="Narkisim"/>
          <w:rtl/>
        </w:rPr>
        <w:t>ו</w:t>
      </w:r>
      <w:r w:rsidRPr="00AF3214">
        <w:rPr>
          <w:rFonts w:ascii="Narkisim" w:hAnsi="Narkisim"/>
          <w:b/>
          <w:bCs/>
          <w:rtl/>
        </w:rPr>
        <w:t>ר"י</w:t>
      </w:r>
      <w:r w:rsidRPr="00AF3214">
        <w:rPr>
          <w:rFonts w:ascii="Narkisim" w:hAnsi="Narkisim"/>
          <w:rtl/>
        </w:rPr>
        <w:t xml:space="preserve"> (תי' התוס') חזר בו, דהתם איירי דוקא היכא שלבש באיסור</w:t>
      </w:r>
      <w:r w:rsidRPr="00AF3214">
        <w:rPr>
          <w:rStyle w:val="ac"/>
          <w:rFonts w:ascii="Narkisim" w:hAnsi="Narkisim"/>
          <w:rtl/>
        </w:rPr>
        <w:footnoteReference w:id="5728"/>
      </w:r>
      <w:r w:rsidRPr="00AF3214">
        <w:rPr>
          <w:rFonts w:ascii="Narkisim" w:hAnsi="Narkisim"/>
        </w:rPr>
        <w:t xml:space="preserve"> </w:t>
      </w:r>
      <w:r w:rsidRPr="00AF3214">
        <w:rPr>
          <w:rFonts w:ascii="Narkisim" w:hAnsi="Narkisim"/>
          <w:rtl/>
        </w:rPr>
        <w:t>[ואף שעכשיו לבוש בלא מעשה]. אבל בציצית תחילת הלבישה לא הוה מעשה איסור, ומש"ה לא נחשב 'מעשה'</w:t>
      </w:r>
      <w:r w:rsidRPr="00AF3214">
        <w:rPr>
          <w:rStyle w:val="ac"/>
          <w:rFonts w:ascii="Narkisim" w:hAnsi="Narkisim"/>
          <w:rtl/>
        </w:rPr>
        <w:footnoteReference w:id="5729"/>
      </w:r>
      <w:r w:rsidRPr="00AF3214">
        <w:rPr>
          <w:rFonts w:ascii="Narkisim" w:hAnsi="Narkisim"/>
          <w:rtl/>
        </w:rPr>
        <w:t>. [וצ"ב מה טעם החילוק]</w:t>
      </w:r>
      <w:r w:rsidRPr="00AF3214">
        <w:rPr>
          <w:rFonts w:ascii="Narkisim" w:hAnsi="Narkisim"/>
        </w:rPr>
        <w:t>.</w:t>
      </w:r>
    </w:p>
    <w:p w14:paraId="69B19BFB" w14:textId="77777777" w:rsidR="006C4368" w:rsidRPr="00AF3214" w:rsidRDefault="006C4368" w:rsidP="006C4368">
      <w:pPr>
        <w:bidi/>
        <w:rPr>
          <w:rFonts w:ascii="Narkisim" w:hAnsi="Narkisim" w:cs="Narkisim"/>
        </w:rPr>
      </w:pPr>
      <w:r w:rsidRPr="00AF3214">
        <w:rPr>
          <w:rFonts w:ascii="Narkisim" w:hAnsi="Narkisim" w:cs="Narkisim"/>
          <w:rtl/>
        </w:rPr>
        <w:t>והשאג"א כת' דע"פ דברי הר"י במרדכי (הנ"ל) לק"מ, דלבישת הבגד לא הוה מעשה איסור, ואף מה שלבוש לאחר זמן. אלא דמבטל מצוות ציצית, דרמי עליו לקשור עליהם ציצית</w:t>
      </w:r>
      <w:r w:rsidRPr="00AF3214">
        <w:rPr>
          <w:rFonts w:ascii="Narkisim" w:hAnsi="Narkisim" w:cs="Narkisim"/>
        </w:rPr>
        <w:t>.</w:t>
      </w:r>
    </w:p>
    <w:p w14:paraId="5DB9D994"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קובה"ע</w:t>
      </w:r>
      <w:r w:rsidRPr="00AF3214">
        <w:rPr>
          <w:rFonts w:ascii="Narkisim" w:hAnsi="Narkisim" w:cs="Narkisim"/>
          <w:rtl/>
        </w:rPr>
        <w:t xml:space="preserve"> (שם לא) הק' האיך תוס' הביא מגדרי שב ואל תעשה דכבוד הבריות, דתלי אי עצם האיסור הוה שב ואל תעשה [והקובה"ע (שם ל) הוכיח כן מסברא, וכן מדברי ה</w:t>
      </w:r>
      <w:r w:rsidRPr="00AF3214">
        <w:rPr>
          <w:rFonts w:ascii="Narkisim" w:hAnsi="Narkisim" w:cs="Narkisim"/>
          <w:b/>
          <w:bCs/>
          <w:rtl/>
        </w:rPr>
        <w:t>תוס'</w:t>
      </w:r>
      <w:r w:rsidRPr="00AF3214">
        <w:rPr>
          <w:rFonts w:ascii="Narkisim" w:hAnsi="Narkisim" w:cs="Narkisim"/>
          <w:rtl/>
        </w:rPr>
        <w:t xml:space="preserve"> (שבועות ל:, וברכות כ.)]. ואילו לענין יש כח ביד חכמים מבואר בקו' התוס' דתלי האם עובר את האיסור בקום ועשה או לא</w:t>
      </w:r>
      <w:r w:rsidRPr="00AF3214">
        <w:rPr>
          <w:rFonts w:ascii="Narkisim" w:hAnsi="Narkisim" w:cs="Narkisim"/>
        </w:rPr>
        <w:t>.</w:t>
      </w:r>
    </w:p>
    <w:p w14:paraId="3DDCE419" w14:textId="77777777" w:rsidR="006C4368" w:rsidRPr="00AF3214" w:rsidRDefault="006C4368" w:rsidP="006C4368">
      <w:pPr>
        <w:pStyle w:val="a8"/>
        <w:bidi/>
        <w:rPr>
          <w:rFonts w:ascii="Narkisim" w:hAnsi="Narkisim"/>
        </w:rPr>
      </w:pPr>
      <w:r w:rsidRPr="00AF3214">
        <w:rPr>
          <w:rFonts w:ascii="Narkisim" w:hAnsi="Narkisim"/>
          <w:rtl/>
        </w:rPr>
        <w:t>א"כ נהי דגוף איסור כלאים הוא איסור של קו"ע, דהא לוקין עליו, משו"ה אינו נדחה מפני כבוד הבריות. אפי' לענין עקירת דבר מה"ת הא אינו עושה מעשה כלל, וי"ל דהשהיה אינה חשובה מעשה דבזה אינו תלוי בחומר האיסור</w:t>
      </w:r>
      <w:r w:rsidRPr="00AF3214">
        <w:rPr>
          <w:rFonts w:ascii="Narkisim" w:hAnsi="Narkisim"/>
        </w:rPr>
        <w:t>.</w:t>
      </w:r>
    </w:p>
    <w:p w14:paraId="5E276B0C" w14:textId="77777777" w:rsidR="006C4368" w:rsidRPr="00AF3214" w:rsidRDefault="006C4368" w:rsidP="006C4368">
      <w:pPr>
        <w:pStyle w:val="a7"/>
        <w:bidi/>
        <w:rPr>
          <w:rFonts w:ascii="Narkisim" w:hAnsi="Narkisim"/>
        </w:rPr>
      </w:pPr>
      <w:r w:rsidRPr="00AF3214">
        <w:rPr>
          <w:rFonts w:ascii="Narkisim" w:hAnsi="Narkisim"/>
          <w:rtl/>
        </w:rPr>
        <w:t>וכת' (שם לב) דיל"פ דקו' התוס' דאף איסור כלאים חל רק אחר הלבישה [וכמ"ש התוס' בגדר חיוב ציצית</w:t>
      </w:r>
      <w:r w:rsidRPr="00AF3214">
        <w:rPr>
          <w:rStyle w:val="ac"/>
          <w:rFonts w:ascii="Narkisim" w:hAnsi="Narkisim"/>
          <w:rtl/>
        </w:rPr>
        <w:footnoteReference w:id="5730"/>
      </w:r>
      <w:r w:rsidRPr="00AF3214">
        <w:rPr>
          <w:rFonts w:ascii="Narkisim" w:hAnsi="Narkisim"/>
          <w:rtl/>
        </w:rPr>
        <w:t>]. וקו' התוס' דלעולם איסור כלאים הוי איסור של שוא"ת, אא"כ נימא דהשהיה נחשב מעשה</w:t>
      </w:r>
      <w:r w:rsidRPr="00AF3214">
        <w:rPr>
          <w:rFonts w:ascii="Narkisim" w:hAnsi="Narkisim"/>
        </w:rPr>
        <w:t>.</w:t>
      </w:r>
    </w:p>
    <w:p w14:paraId="29428EA4" w14:textId="77777777" w:rsidR="006C4368" w:rsidRPr="00AF3214" w:rsidRDefault="006C4368" w:rsidP="006C4368">
      <w:pPr>
        <w:bidi/>
        <w:rPr>
          <w:rFonts w:ascii="Narkisim" w:hAnsi="Narkisim" w:cs="Narkisim"/>
        </w:rPr>
      </w:pPr>
      <w:r w:rsidRPr="00AF3214">
        <w:rPr>
          <w:rFonts w:ascii="Narkisim" w:hAnsi="Narkisim" w:cs="Narkisim"/>
          <w:u w:val="single"/>
          <w:rtl/>
        </w:rPr>
        <w:t>בא"ד ואר"י דשאני כלאים דעיקר האיסור בשעת לבישה, שלבש באיסור וכו'</w:t>
      </w:r>
      <w:r w:rsidRPr="00AF3214">
        <w:rPr>
          <w:rFonts w:ascii="Narkisim" w:hAnsi="Narkisim" w:cs="Narkisim"/>
          <w:rtl/>
        </w:rPr>
        <w:t>. ה</w:t>
      </w:r>
      <w:r w:rsidRPr="00AF3214">
        <w:rPr>
          <w:rFonts w:ascii="Narkisim" w:hAnsi="Narkisim" w:cs="Narkisim"/>
          <w:b/>
          <w:bCs/>
          <w:rtl/>
        </w:rPr>
        <w:t>שאג"א</w:t>
      </w:r>
      <w:r w:rsidRPr="00AF3214">
        <w:rPr>
          <w:rFonts w:ascii="Narkisim" w:hAnsi="Narkisim" w:cs="Narkisim"/>
          <w:rtl/>
        </w:rPr>
        <w:t xml:space="preserve"> (ל ולב) הק' עפ"ז האיך הותר כלאים בציצית משום עשה דוחה ל"ת, הא בתחילת הלבישה עובר בלאו וקיום מצוות ציצית הוה רק אח"כ. ולא הוה בעידנא</w:t>
      </w:r>
      <w:r w:rsidRPr="00AF3214">
        <w:rPr>
          <w:rStyle w:val="ac"/>
          <w:rFonts w:ascii="Narkisim" w:hAnsi="Narkisim" w:cs="Narkisim"/>
          <w:rtl/>
        </w:rPr>
        <w:footnoteReference w:id="5731"/>
      </w:r>
      <w:r w:rsidRPr="00AF3214">
        <w:rPr>
          <w:rFonts w:ascii="Narkisim" w:hAnsi="Narkisim" w:cs="Narkisim"/>
        </w:rPr>
        <w:t xml:space="preserve">. </w:t>
      </w:r>
      <w:r w:rsidRPr="00AF3214">
        <w:rPr>
          <w:rFonts w:ascii="Narkisim" w:hAnsi="Narkisim" w:cs="Narkisim"/>
          <w:rtl/>
        </w:rPr>
        <w:t>אלא ש"מ דאף עשה דציצית חל בשעת עיטוף</w:t>
      </w:r>
      <w:r w:rsidRPr="00AF3214">
        <w:rPr>
          <w:rStyle w:val="ac"/>
          <w:rFonts w:ascii="Narkisim" w:hAnsi="Narkisim" w:cs="Narkisim"/>
          <w:rtl/>
        </w:rPr>
        <w:footnoteReference w:id="5732"/>
      </w:r>
      <w:r w:rsidRPr="00AF3214">
        <w:rPr>
          <w:rFonts w:ascii="Narkisim" w:hAnsi="Narkisim" w:cs="Narkisim"/>
        </w:rPr>
        <w:t>.</w:t>
      </w:r>
    </w:p>
    <w:p w14:paraId="7966F6E7"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(גליון מהרש"א, קו"א לשאג"א) תי' ע"פ דברי ה</w:t>
      </w:r>
      <w:r w:rsidRPr="00AF3214">
        <w:rPr>
          <w:rFonts w:ascii="Narkisim" w:hAnsi="Narkisim"/>
          <w:b/>
          <w:bCs/>
          <w:rtl/>
        </w:rPr>
        <w:t>פסקי תוס</w:t>
      </w:r>
      <w:r w:rsidRPr="00AF3214">
        <w:rPr>
          <w:rFonts w:ascii="Narkisim" w:hAnsi="Narkisim"/>
          <w:rtl/>
        </w:rPr>
        <w:t>' (זבחים צז: אות סט) [גבי שבירת עצם דפסח</w:t>
      </w:r>
      <w:r w:rsidRPr="00AF3214">
        <w:rPr>
          <w:rStyle w:val="ac"/>
          <w:rFonts w:ascii="Narkisim" w:hAnsi="Narkisim"/>
          <w:rtl/>
        </w:rPr>
        <w:footnoteReference w:id="5733"/>
      </w:r>
      <w:r w:rsidRPr="00AF3214">
        <w:rPr>
          <w:rFonts w:ascii="Narkisim" w:hAnsi="Narkisim"/>
          <w:rtl/>
        </w:rPr>
        <w:t>] דלא בעינן בעידנא היכא א"א לקיים עשה בענין אחר</w:t>
      </w:r>
      <w:r w:rsidRPr="00AF3214">
        <w:rPr>
          <w:rStyle w:val="ac"/>
          <w:rFonts w:ascii="Narkisim" w:hAnsi="Narkisim"/>
          <w:rtl/>
        </w:rPr>
        <w:footnoteReference w:id="5734"/>
      </w:r>
      <w:r w:rsidRPr="00AF3214">
        <w:rPr>
          <w:rFonts w:ascii="Narkisim" w:hAnsi="Narkisim"/>
        </w:rPr>
        <w:t xml:space="preserve">. </w:t>
      </w:r>
      <w:r w:rsidRPr="00AF3214">
        <w:rPr>
          <w:rFonts w:ascii="Narkisim" w:hAnsi="Narkisim"/>
          <w:rtl/>
        </w:rPr>
        <w:t>וה</w:t>
      </w:r>
      <w:r w:rsidRPr="00AF3214">
        <w:rPr>
          <w:rFonts w:ascii="Narkisim" w:hAnsi="Narkisim"/>
          <w:b/>
          <w:bCs/>
          <w:rtl/>
        </w:rPr>
        <w:t>טור"א</w:t>
      </w:r>
      <w:r w:rsidRPr="00AF3214">
        <w:rPr>
          <w:rFonts w:ascii="Narkisim" w:hAnsi="Narkisim"/>
          <w:rtl/>
        </w:rPr>
        <w:t xml:space="preserve"> (חגיגה ב:) ביאר דאף הכשר מצווה דוחה ל"ת, דכיון דאי אפשר בלא מעשה זה מקרי אתחלתא דמצווה</w:t>
      </w:r>
      <w:r w:rsidRPr="00AF3214">
        <w:rPr>
          <w:rStyle w:val="ac"/>
          <w:rFonts w:ascii="Narkisim" w:hAnsi="Narkisim"/>
          <w:rtl/>
        </w:rPr>
        <w:footnoteReference w:id="5735"/>
      </w:r>
      <w:r w:rsidRPr="00AF3214">
        <w:rPr>
          <w:rFonts w:ascii="Narkisim" w:hAnsi="Narkisim"/>
        </w:rPr>
        <w:t>.</w:t>
      </w:r>
    </w:p>
    <w:p w14:paraId="7E1AE723" w14:textId="77777777" w:rsidR="006C4368" w:rsidRPr="00AF3214" w:rsidRDefault="006C4368" w:rsidP="006C4368">
      <w:pPr>
        <w:pStyle w:val="aa"/>
        <w:bidi/>
        <w:rPr>
          <w:rFonts w:ascii="Narkisim" w:hAnsi="Narkisim"/>
        </w:rPr>
      </w:pPr>
      <w:r w:rsidRPr="00AF3214">
        <w:rPr>
          <w:rFonts w:ascii="Narkisim" w:hAnsi="Narkisim"/>
          <w:u w:val="single"/>
          <w:rtl/>
        </w:rPr>
        <w:lastRenderedPageBreak/>
        <w:t>בא"ד ומיהו קשה מדמברכינן להתעטף בציצית, משמע דבשעת עיטוף עביד מצווה וכו'</w:t>
      </w:r>
      <w:r w:rsidRPr="00AF3214">
        <w:rPr>
          <w:rFonts w:ascii="Narkisim" w:hAnsi="Narkisim"/>
          <w:rtl/>
        </w:rPr>
        <w:t>. וה</w:t>
      </w:r>
      <w:r w:rsidRPr="00AF3214">
        <w:rPr>
          <w:rFonts w:ascii="Narkisim" w:hAnsi="Narkisim"/>
          <w:b/>
          <w:bCs/>
          <w:rtl/>
        </w:rPr>
        <w:t>תוס' רא"ש</w:t>
      </w:r>
      <w:r w:rsidRPr="00AF3214">
        <w:rPr>
          <w:rFonts w:ascii="Narkisim" w:hAnsi="Narkisim"/>
          <w:rtl/>
        </w:rPr>
        <w:t xml:space="preserve"> תי' שפירוש הברכה 'להיות מעוטף בציצית', ומשום דמברך עובר לעשייתו צריך לברך להתעטף</w:t>
      </w:r>
      <w:r w:rsidRPr="00AF3214">
        <w:rPr>
          <w:rFonts w:ascii="Narkisim" w:hAnsi="Narkisim"/>
        </w:rPr>
        <w:t>.</w:t>
      </w:r>
    </w:p>
    <w:p w14:paraId="69222738" w14:textId="77777777" w:rsidR="006C4368" w:rsidRPr="00AF3214" w:rsidRDefault="006C4368" w:rsidP="006C4368">
      <w:pPr>
        <w:pStyle w:val="2"/>
        <w:bidi/>
        <w:rPr>
          <w:rFonts w:ascii="Narkisim" w:hAnsi="Narkisim"/>
        </w:rPr>
      </w:pPr>
      <w:r w:rsidRPr="00AF3214">
        <w:rPr>
          <w:rFonts w:ascii="Narkisim" w:hAnsi="Narkisim"/>
          <w:rtl/>
        </w:rPr>
        <w:t>מיגדר מילתא</w:t>
      </w:r>
    </w:p>
    <w:p w14:paraId="5E4772C6" w14:textId="77777777" w:rsidR="006C4368" w:rsidRPr="00AF3214" w:rsidRDefault="006C4368" w:rsidP="006C4368">
      <w:pPr>
        <w:bidi/>
        <w:rPr>
          <w:rFonts w:ascii="Narkisim" w:hAnsi="Narkisim" w:cs="Narkisim"/>
        </w:rPr>
      </w:pPr>
      <w:r w:rsidRPr="00AF3214">
        <w:rPr>
          <w:rFonts w:ascii="Narkisim" w:hAnsi="Narkisim" w:cs="Narkisim"/>
          <w:u w:val="single"/>
          <w:rtl/>
        </w:rPr>
        <w:t>ת"ש אליו תשמעון, אפי' אומר לך עבור על א' מכל מצוות שבתורה וכו' הכל לפי שעה שמע לו וכו'</w:t>
      </w:r>
      <w:r w:rsidRPr="00AF3214">
        <w:rPr>
          <w:rFonts w:ascii="Narkisim" w:hAnsi="Narkisim" w:cs="Narkisim"/>
          <w:rtl/>
        </w:rPr>
        <w:t>. ה</w:t>
      </w:r>
      <w:r w:rsidRPr="00AF3214">
        <w:rPr>
          <w:rFonts w:ascii="Narkisim" w:hAnsi="Narkisim" w:cs="Narkisim"/>
          <w:b/>
          <w:bCs/>
          <w:rtl/>
        </w:rPr>
        <w:t>רמב"ן</w:t>
      </w:r>
      <w:r w:rsidRPr="00AF3214">
        <w:rPr>
          <w:rFonts w:ascii="Narkisim" w:hAnsi="Narkisim" w:cs="Narkisim"/>
          <w:rtl/>
        </w:rPr>
        <w:t xml:space="preserve"> הק' דאדרבה בברייתא משמע דדוקא לפי שעה, ובי"ד אינם מתנין לעקור דבר מן התורה [לדורות]. ותי' דכל תקנות חכמים לפי השעה הם, משום גדר דבר</w:t>
      </w:r>
      <w:r w:rsidRPr="00AF3214">
        <w:rPr>
          <w:rFonts w:ascii="Narkisim" w:hAnsi="Narkisim" w:cs="Narkisim"/>
        </w:rPr>
        <w:t>.</w:t>
      </w:r>
    </w:p>
    <w:p w14:paraId="760AF130" w14:textId="77777777" w:rsidR="006C4368" w:rsidRPr="00AF3214" w:rsidRDefault="006C4368" w:rsidP="006C4368">
      <w:pPr>
        <w:pStyle w:val="a7"/>
        <w:bidi/>
        <w:rPr>
          <w:rFonts w:ascii="Narkisim" w:hAnsi="Narkisim"/>
        </w:rPr>
      </w:pPr>
      <w:r w:rsidRPr="00AF3214">
        <w:rPr>
          <w:rFonts w:ascii="Narkisim" w:hAnsi="Narkisim"/>
          <w:rtl/>
        </w:rPr>
        <w:t xml:space="preserve">וביאר דס"ד דנקט לפי שעה לאפוקי כשנביא אומר שהקב"ה חזר בו ממצוה פלונית ואינו רוצה שתעשו אותה לעולם, ובזה אין שומעין לו. אבל למסקנא כוונת הברייתא דדוקא במקום מיגדר מילתא מהני לעקור </w:t>
      </w:r>
      <w:r w:rsidRPr="00AF3214">
        <w:rPr>
          <w:rFonts w:ascii="Narkisim" w:hAnsi="Narkisim"/>
          <w:szCs w:val="20"/>
          <w:rtl/>
        </w:rPr>
        <w:t>[בקום ועשה</w:t>
      </w:r>
      <w:r w:rsidRPr="00AF3214">
        <w:rPr>
          <w:rFonts w:ascii="Narkisim" w:hAnsi="Narkisim"/>
          <w:rtl/>
        </w:rPr>
        <w:t>]</w:t>
      </w:r>
      <w:r w:rsidRPr="00AF3214">
        <w:rPr>
          <w:rFonts w:ascii="Narkisim" w:hAnsi="Narkisim"/>
        </w:rPr>
        <w:t>.</w:t>
      </w:r>
    </w:p>
    <w:p w14:paraId="1CD3C7C9" w14:textId="77777777" w:rsidR="006C4368" w:rsidRPr="00AF3214" w:rsidRDefault="006C4368" w:rsidP="006C4368">
      <w:pPr>
        <w:bidi/>
        <w:rPr>
          <w:rFonts w:ascii="Narkisim" w:hAnsi="Narkisim" w:cs="Narkisim"/>
        </w:rPr>
      </w:pPr>
      <w:r w:rsidRPr="00AF3214">
        <w:rPr>
          <w:rFonts w:ascii="Narkisim" w:hAnsi="Narkisim" w:cs="Narkisim"/>
          <w:u w:val="single"/>
          <w:rtl/>
        </w:rPr>
        <w:t>וליגמר מיניה, מיגדר מילתא שאני</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לעשות גדר ותקנה. כמו גבי אליהו שהשיבן מעבודת כוכבים. וה</w:t>
      </w:r>
      <w:r w:rsidRPr="00AF3214">
        <w:rPr>
          <w:rFonts w:ascii="Narkisim" w:hAnsi="Narkisim" w:cs="Narkisim"/>
          <w:b/>
          <w:bCs/>
          <w:rtl/>
        </w:rPr>
        <w:t>רמב"ן</w:t>
      </w:r>
      <w:r w:rsidRPr="00AF3214">
        <w:rPr>
          <w:rFonts w:ascii="Narkisim" w:hAnsi="Narkisim" w:cs="Narkisim"/>
          <w:rtl/>
        </w:rPr>
        <w:t xml:space="preserve"> כת' דה"ק אלא מיגדר מילתא [והגמ' חוזרת בה דיש כח לחכמים, מחמת מיגדר מילתא]. וה"ה דיש כח לבי"ד לעקור למיגדר מילתא, דגמרינן בי"ד מנביא</w:t>
      </w:r>
      <w:r w:rsidRPr="00AF3214">
        <w:rPr>
          <w:rFonts w:ascii="Narkisim" w:hAnsi="Narkisim" w:cs="Narkisim"/>
        </w:rPr>
        <w:t>.</w:t>
      </w:r>
    </w:p>
    <w:p w14:paraId="03A41B8D"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רשב"א</w:t>
      </w:r>
      <w:r w:rsidRPr="00AF3214">
        <w:rPr>
          <w:rFonts w:ascii="Narkisim" w:hAnsi="Narkisim"/>
          <w:rtl/>
        </w:rPr>
        <w:t xml:space="preserve"> הק' דהול"ל 'אלא' מיגדר מילתא שאני. [דלמסקנא יש כח לחכמים לתקן, דהוה מיגדר מילתא]. וכת' דדעת </w:t>
      </w:r>
      <w:r w:rsidRPr="00AF3214">
        <w:rPr>
          <w:rFonts w:ascii="Narkisim" w:hAnsi="Narkisim"/>
          <w:b/>
          <w:bCs/>
          <w:rtl/>
        </w:rPr>
        <w:t>רש"י</w:t>
      </w:r>
      <w:r w:rsidRPr="00AF3214">
        <w:rPr>
          <w:rFonts w:ascii="Narkisim" w:hAnsi="Narkisim"/>
          <w:rtl/>
        </w:rPr>
        <w:t xml:space="preserve"> ו</w:t>
      </w:r>
      <w:r w:rsidRPr="00AF3214">
        <w:rPr>
          <w:rFonts w:ascii="Narkisim" w:hAnsi="Narkisim"/>
          <w:b/>
          <w:bCs/>
          <w:rtl/>
        </w:rPr>
        <w:t>ר"ח</w:t>
      </w:r>
      <w:r w:rsidRPr="00AF3214">
        <w:rPr>
          <w:rFonts w:ascii="Narkisim" w:hAnsi="Narkisim"/>
          <w:rtl/>
        </w:rPr>
        <w:t xml:space="preserve"> דדוקא במקום שהשיבם ע"י כך מע"ז. או שהיו מזלזלין [בשבתות] או פרוצים [בעריות] (וכדבסמוך) הותר לעשות סייג לתורה. אבל בעלמא אין כח ביד חכמים לעקור בקום ועשה</w:t>
      </w:r>
      <w:r w:rsidRPr="00AF3214">
        <w:rPr>
          <w:rFonts w:ascii="Narkisim" w:hAnsi="Narkisim"/>
        </w:rPr>
        <w:t>.</w:t>
      </w:r>
    </w:p>
    <w:p w14:paraId="49C1A62C" w14:textId="77777777" w:rsidR="006C4368" w:rsidRPr="00AF3214" w:rsidRDefault="006C4368" w:rsidP="006C4368">
      <w:pPr>
        <w:bidi/>
        <w:rPr>
          <w:rFonts w:ascii="Narkisim" w:hAnsi="Narkisim" w:cs="Narkisim"/>
        </w:rPr>
      </w:pPr>
      <w:r w:rsidRPr="00AF3214">
        <w:rPr>
          <w:rFonts w:ascii="Narkisim" w:hAnsi="Narkisim" w:cs="Narkisim"/>
          <w:u w:val="single"/>
          <w:rtl/>
        </w:rPr>
        <w:t>שם. מיגדר מילתא</w:t>
      </w:r>
      <w:r w:rsidRPr="00AF3214">
        <w:rPr>
          <w:rFonts w:ascii="Narkisim" w:hAnsi="Narkisim" w:cs="Narkisim"/>
          <w:rtl/>
        </w:rPr>
        <w:t>. ה</w:t>
      </w:r>
      <w:r w:rsidRPr="00AF3214">
        <w:rPr>
          <w:rFonts w:ascii="Narkisim" w:hAnsi="Narkisim" w:cs="Narkisim"/>
          <w:b/>
          <w:bCs/>
          <w:rtl/>
        </w:rPr>
        <w:t>רמב"ם</w:t>
      </w:r>
      <w:r w:rsidRPr="00AF3214">
        <w:rPr>
          <w:rFonts w:ascii="Narkisim" w:hAnsi="Narkisim" w:cs="Narkisim"/>
          <w:rtl/>
        </w:rPr>
        <w:t xml:space="preserve"> (סנהדרין כד ד) כת' דיש כח לחכמים לגדור ולחזק הדבר</w:t>
      </w:r>
      <w:r w:rsidRPr="00AF3214">
        <w:rPr>
          <w:rStyle w:val="ac"/>
          <w:rFonts w:ascii="Narkisim" w:hAnsi="Narkisim" w:cs="Narkisim"/>
          <w:rtl/>
        </w:rPr>
        <w:footnoteReference w:id="5736"/>
      </w:r>
      <w:r w:rsidRPr="00AF3214">
        <w:rPr>
          <w:rFonts w:ascii="Narkisim" w:hAnsi="Narkisim" w:cs="Narkisim"/>
        </w:rPr>
        <w:t xml:space="preserve">, </w:t>
      </w:r>
      <w:r w:rsidRPr="00AF3214">
        <w:rPr>
          <w:rFonts w:ascii="Narkisim" w:hAnsi="Narkisim" w:cs="Narkisim"/>
          <w:rtl/>
        </w:rPr>
        <w:t>בהוראת שעה, ולא שיקבע הלכה לדורות. ומשמע דדייק מהך ברייתא דדוקא לפי שעה נחשב מגדר מילתא</w:t>
      </w:r>
      <w:r w:rsidRPr="00AF3214">
        <w:rPr>
          <w:rStyle w:val="ac"/>
          <w:rFonts w:ascii="Narkisim" w:hAnsi="Narkisim" w:cs="Narkisim"/>
          <w:rtl/>
        </w:rPr>
        <w:footnoteReference w:id="5737"/>
      </w:r>
      <w:r w:rsidRPr="00AF3214">
        <w:rPr>
          <w:rFonts w:ascii="Narkisim" w:hAnsi="Narkisim" w:cs="Narkisim"/>
        </w:rPr>
        <w:t xml:space="preserve"> </w:t>
      </w:r>
      <w:r w:rsidRPr="00AF3214">
        <w:rPr>
          <w:rFonts w:ascii="Narkisim" w:hAnsi="Narkisim" w:cs="Narkisim"/>
          <w:rtl/>
        </w:rPr>
        <w:t>[וכקו' הרמב"ן]. אבל מסקנת ה</w:t>
      </w:r>
      <w:r w:rsidRPr="00AF3214">
        <w:rPr>
          <w:rFonts w:ascii="Narkisim" w:hAnsi="Narkisim" w:cs="Narkisim"/>
          <w:b/>
          <w:bCs/>
          <w:rtl/>
        </w:rPr>
        <w:t>רמב"ן</w:t>
      </w:r>
      <w:r w:rsidRPr="00AF3214">
        <w:rPr>
          <w:rFonts w:ascii="Narkisim" w:hAnsi="Narkisim" w:cs="Narkisim"/>
          <w:rtl/>
        </w:rPr>
        <w:t xml:space="preserve"> (הנ"ל) משמע דאף תקנ"ח קבוע רשאין משום מיגדר מילתא. וכן מבואר בראשונים (בכ"מ)</w:t>
      </w:r>
      <w:r w:rsidRPr="00AF3214">
        <w:rPr>
          <w:rFonts w:ascii="Narkisim" w:hAnsi="Narkisim" w:cs="Narkisim"/>
        </w:rPr>
        <w:t>.</w:t>
      </w:r>
    </w:p>
    <w:p w14:paraId="2510B76F" w14:textId="77777777" w:rsidR="006C4368" w:rsidRPr="00AF3214" w:rsidRDefault="006C4368" w:rsidP="006C4368">
      <w:pPr>
        <w:pStyle w:val="a7"/>
        <w:bidi/>
        <w:rPr>
          <w:rFonts w:ascii="Narkisim" w:hAnsi="Narkisim"/>
        </w:rPr>
      </w:pPr>
      <w:r w:rsidRPr="00AF3214">
        <w:rPr>
          <w:rFonts w:ascii="Narkisim" w:hAnsi="Narkisim"/>
          <w:rtl/>
        </w:rPr>
        <w:t>ד</w:t>
      </w:r>
      <w:r w:rsidRPr="00AF3214">
        <w:rPr>
          <w:rFonts w:ascii="Narkisim" w:hAnsi="Narkisim"/>
          <w:b/>
          <w:bCs/>
          <w:rtl/>
        </w:rPr>
        <w:t>תוס</w:t>
      </w:r>
      <w:r w:rsidRPr="00AF3214">
        <w:rPr>
          <w:rFonts w:ascii="Narkisim" w:hAnsi="Narkisim"/>
          <w:rtl/>
        </w:rPr>
        <w:t>' (נדרים צ:) כת' דיש כח ביד חכמים לעקור דבר מה"ת</w:t>
      </w:r>
      <w:r w:rsidRPr="00AF3214">
        <w:rPr>
          <w:rStyle w:val="ac"/>
          <w:rFonts w:ascii="Narkisim" w:hAnsi="Narkisim"/>
          <w:rtl/>
        </w:rPr>
        <w:footnoteReference w:id="5738"/>
      </w:r>
      <w:r w:rsidRPr="00AF3214">
        <w:rPr>
          <w:rFonts w:ascii="Narkisim" w:hAnsi="Narkisim"/>
        </w:rPr>
        <w:t xml:space="preserve"> </w:t>
      </w:r>
      <w:r w:rsidRPr="00AF3214">
        <w:rPr>
          <w:rFonts w:ascii="Narkisim" w:hAnsi="Narkisim"/>
          <w:rtl/>
        </w:rPr>
        <w:t>היכא דיש לחוש שעיניה נתנה באחר, וכל סברא גדולה כזאת. וה</w:t>
      </w:r>
      <w:r w:rsidRPr="00AF3214">
        <w:rPr>
          <w:rFonts w:ascii="Narkisim" w:hAnsi="Narkisim"/>
          <w:b/>
          <w:bCs/>
          <w:rtl/>
        </w:rPr>
        <w:t>רשב"א</w:t>
      </w:r>
      <w:r w:rsidRPr="00AF3214">
        <w:rPr>
          <w:rFonts w:ascii="Narkisim" w:hAnsi="Narkisim"/>
          <w:rtl/>
        </w:rPr>
        <w:t xml:space="preserve"> (נדרים צ:) ביאר דתקנו משום מיגדר מלתא [שלא תהא נותנת עיניה באחר</w:t>
      </w:r>
      <w:r w:rsidRPr="00AF3214">
        <w:rPr>
          <w:rStyle w:val="ac"/>
          <w:rFonts w:ascii="Narkisim" w:hAnsi="Narkisim"/>
          <w:rtl/>
        </w:rPr>
        <w:footnoteReference w:id="5739"/>
      </w:r>
      <w:r w:rsidRPr="00AF3214">
        <w:rPr>
          <w:rFonts w:ascii="Narkisim" w:hAnsi="Narkisim"/>
          <w:rtl/>
        </w:rPr>
        <w:t>], דבי"ד מתנין לעקור דבר מן התורה כל היכא דאיכא משום מיגדר מלתא</w:t>
      </w:r>
      <w:r w:rsidRPr="00AF3214">
        <w:rPr>
          <w:rStyle w:val="ac"/>
          <w:rFonts w:ascii="Narkisim" w:hAnsi="Narkisim"/>
          <w:rtl/>
        </w:rPr>
        <w:footnoteReference w:id="5740"/>
      </w:r>
      <w:r w:rsidRPr="00AF3214">
        <w:rPr>
          <w:rFonts w:ascii="Narkisim" w:hAnsi="Narkisim"/>
        </w:rPr>
        <w:t>.</w:t>
      </w:r>
    </w:p>
    <w:p w14:paraId="0D59E1D0"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ביאר</w:t>
      </w:r>
      <w:r w:rsidRPr="00AF3214">
        <w:rPr>
          <w:rStyle w:val="ac"/>
          <w:rFonts w:ascii="Narkisim" w:hAnsi="Narkisim"/>
          <w:rtl/>
        </w:rPr>
        <w:footnoteReference w:id="5741"/>
      </w:r>
      <w:r w:rsidRPr="00AF3214">
        <w:rPr>
          <w:rFonts w:ascii="Narkisim" w:hAnsi="Narkisim"/>
        </w:rPr>
        <w:t xml:space="preserve"> </w:t>
      </w:r>
      <w:r w:rsidRPr="00AF3214">
        <w:rPr>
          <w:rFonts w:ascii="Narkisim" w:hAnsi="Narkisim"/>
          <w:rtl/>
        </w:rPr>
        <w:t>דאחת ממצוות התורה היא לשמוע אל דברי השופט אשר יהי' בימים ההם, ותקנו לעבור על דברי תורה. [ואפי' בקום ועשה משום הך צורך]</w:t>
      </w:r>
      <w:r w:rsidRPr="00AF3214">
        <w:rPr>
          <w:rFonts w:ascii="Narkisim" w:hAnsi="Narkisim"/>
        </w:rPr>
        <w:t>.</w:t>
      </w:r>
    </w:p>
    <w:p w14:paraId="4C389CC9" w14:textId="77777777" w:rsidR="006C4368" w:rsidRPr="00AF3214" w:rsidRDefault="006C4368" w:rsidP="006C4368">
      <w:pPr>
        <w:pStyle w:val="a7"/>
        <w:bidi/>
        <w:rPr>
          <w:rFonts w:ascii="Narkisim" w:hAnsi="Narkisim"/>
        </w:rPr>
      </w:pPr>
      <w:r w:rsidRPr="00AF3214">
        <w:rPr>
          <w:rFonts w:ascii="Narkisim" w:hAnsi="Narkisim"/>
          <w:rtl/>
        </w:rPr>
        <w:t xml:space="preserve">וכן </w:t>
      </w:r>
      <w:r w:rsidRPr="00AF3214">
        <w:rPr>
          <w:rFonts w:ascii="Narkisim" w:hAnsi="Narkisim"/>
          <w:b/>
          <w:bCs/>
          <w:rtl/>
        </w:rPr>
        <w:t>תוס</w:t>
      </w:r>
      <w:r w:rsidRPr="00AF3214">
        <w:rPr>
          <w:rFonts w:ascii="Narkisim" w:hAnsi="Narkisim"/>
          <w:rtl/>
        </w:rPr>
        <w:t>' בכמה מקומות</w:t>
      </w:r>
      <w:r w:rsidRPr="00AF3214">
        <w:rPr>
          <w:rStyle w:val="ac"/>
          <w:rFonts w:ascii="Narkisim" w:hAnsi="Narkisim"/>
          <w:rtl/>
        </w:rPr>
        <w:footnoteReference w:id="5742"/>
      </w:r>
      <w:r w:rsidRPr="00AF3214">
        <w:rPr>
          <w:rFonts w:ascii="Narkisim" w:hAnsi="Narkisim"/>
          <w:rtl/>
        </w:rPr>
        <w:t xml:space="preserve"> כת' דחכמים עקרו דבר מה"ת. ויש שפי' דנחשב מיגדר מילתא</w:t>
      </w:r>
      <w:r w:rsidRPr="00AF3214">
        <w:rPr>
          <w:rStyle w:val="ac"/>
          <w:rFonts w:ascii="Narkisim" w:hAnsi="Narkisim"/>
          <w:rtl/>
        </w:rPr>
        <w:footnoteReference w:id="5743"/>
      </w:r>
      <w:r w:rsidRPr="00AF3214">
        <w:rPr>
          <w:rFonts w:ascii="Narkisim" w:hAnsi="Narkisim"/>
          <w:rtl/>
        </w:rPr>
        <w:t>.</w:t>
      </w:r>
    </w:p>
    <w:p w14:paraId="32E3BC03"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ר"ן</w:t>
      </w:r>
      <w:r w:rsidRPr="00AF3214">
        <w:rPr>
          <w:rFonts w:ascii="Narkisim" w:hAnsi="Narkisim"/>
          <w:rtl/>
        </w:rPr>
        <w:t xml:space="preserve"> (נדרים שם) הביא דהקשו ע"ז [ע"ד הרשב"א] שאין בי"ד מתנין לעקור דבר מה"ת </w:t>
      </w:r>
      <w:r w:rsidRPr="00AF3214">
        <w:rPr>
          <w:rFonts w:ascii="Narkisim" w:hAnsi="Narkisim"/>
          <w:rtl/>
        </w:rPr>
        <w:lastRenderedPageBreak/>
        <w:t>בקום ועשה אלא להוראת שעה בלבד, ולא לדורות</w:t>
      </w:r>
      <w:r w:rsidRPr="00AF3214">
        <w:rPr>
          <w:rStyle w:val="ac"/>
          <w:rFonts w:ascii="Narkisim" w:hAnsi="Narkisim"/>
          <w:rtl/>
        </w:rPr>
        <w:footnoteReference w:id="5744"/>
      </w:r>
      <w:r w:rsidRPr="00AF3214">
        <w:rPr>
          <w:rFonts w:ascii="Narkisim" w:hAnsi="Narkisim"/>
        </w:rPr>
        <w:t xml:space="preserve">. </w:t>
      </w:r>
      <w:r w:rsidRPr="00AF3214">
        <w:rPr>
          <w:rFonts w:ascii="Narkisim" w:hAnsi="Narkisim"/>
          <w:rtl/>
        </w:rPr>
        <w:t>[וכדעת הרמב"ם הנ"ל דמהני רק לפי שעה]</w:t>
      </w:r>
      <w:r w:rsidRPr="00AF3214">
        <w:rPr>
          <w:rFonts w:ascii="Narkisim" w:hAnsi="Narkisim"/>
        </w:rPr>
        <w:t>.</w:t>
      </w:r>
    </w:p>
    <w:p w14:paraId="65B095A1" w14:textId="77777777" w:rsidR="006C4368" w:rsidRPr="00AF3214" w:rsidRDefault="006C4368" w:rsidP="006C4368">
      <w:pPr>
        <w:pStyle w:val="aa"/>
        <w:bidi/>
        <w:rPr>
          <w:rFonts w:ascii="Narkisim" w:hAnsi="Narkisim"/>
        </w:rPr>
      </w:pPr>
      <w:r w:rsidRPr="00AF3214">
        <w:rPr>
          <w:rFonts w:ascii="Narkisim" w:hAnsi="Narkisim"/>
          <w:u w:val="single"/>
          <w:rtl/>
        </w:rPr>
        <w:t>רש"י ד"ה כגון אליהו</w:t>
      </w:r>
      <w:r w:rsidRPr="00AF3214">
        <w:rPr>
          <w:rFonts w:ascii="Narkisim" w:hAnsi="Narkisim"/>
          <w:rtl/>
        </w:rPr>
        <w:t>. ואיכא כרת דשחוטי חוץ, וכרת דהעלאה. ה</w:t>
      </w:r>
      <w:r w:rsidRPr="00AF3214">
        <w:rPr>
          <w:rFonts w:ascii="Narkisim" w:hAnsi="Narkisim"/>
          <w:b/>
          <w:bCs/>
          <w:rtl/>
        </w:rPr>
        <w:t>דב"א</w:t>
      </w:r>
      <w:r w:rsidRPr="00AF3214">
        <w:rPr>
          <w:rFonts w:ascii="Narkisim" w:hAnsi="Narkisim"/>
          <w:rtl/>
        </w:rPr>
        <w:t xml:space="preserve"> (ג א ה בהג') הק' דחיוב העלאה בחוץ הוה דוקא כשיש אש על המזבח [וכמ"ש החינוך (תלט) דהעלאה פירוש שריפה, וע' בנין ציון מה], והכא בשעת העלאה לא היה אש, אלא דאח"כ ירד מהשמים. עי"ש</w:t>
      </w:r>
      <w:r w:rsidRPr="00AF3214">
        <w:rPr>
          <w:rFonts w:ascii="Narkisim" w:hAnsi="Narkisim"/>
        </w:rPr>
        <w:t>.</w:t>
      </w:r>
    </w:p>
    <w:p w14:paraId="426939D3" w14:textId="77777777" w:rsidR="006C4368" w:rsidRPr="00AF3214" w:rsidRDefault="006C4368" w:rsidP="006C4368">
      <w:pPr>
        <w:bidi/>
        <w:rPr>
          <w:rFonts w:ascii="Narkisim" w:hAnsi="Narkisim" w:cs="Narkisim"/>
        </w:rPr>
      </w:pPr>
      <w:r w:rsidRPr="00AF3214">
        <w:rPr>
          <w:rFonts w:ascii="Narkisim" w:hAnsi="Narkisim" w:cs="Narkisim"/>
          <w:u w:val="single"/>
          <w:rtl/>
        </w:rPr>
        <w:t>תוד"ה וליגמר</w:t>
      </w:r>
      <w:r w:rsidRPr="00AF3214">
        <w:rPr>
          <w:rFonts w:ascii="Narkisim" w:hAnsi="Narkisim" w:cs="Narkisim"/>
          <w:rtl/>
        </w:rPr>
        <w:t>. ונראה דכיון דע"פ הדיבור שרי וכו' ה"ה שלא ע"פ דיבור</w:t>
      </w:r>
      <w:r w:rsidRPr="00AF3214">
        <w:rPr>
          <w:rStyle w:val="ac"/>
          <w:rFonts w:ascii="Narkisim" w:hAnsi="Narkisim" w:cs="Narkisim"/>
          <w:rtl/>
        </w:rPr>
        <w:footnoteReference w:id="5745"/>
      </w:r>
      <w:r w:rsidRPr="00AF3214">
        <w:rPr>
          <w:rFonts w:ascii="Narkisim" w:hAnsi="Narkisim" w:cs="Narkisim"/>
        </w:rPr>
        <w:t xml:space="preserve">, </w:t>
      </w:r>
      <w:r w:rsidRPr="00AF3214">
        <w:rPr>
          <w:rFonts w:ascii="Narkisim" w:hAnsi="Narkisim" w:cs="Narkisim"/>
          <w:rtl/>
        </w:rPr>
        <w:t>שהרי אין נביא רשאי לחדש דבר מעתה וכו</w:t>
      </w:r>
      <w:r w:rsidRPr="00AF3214">
        <w:rPr>
          <w:rFonts w:ascii="Narkisim" w:hAnsi="Narkisim" w:cs="Narkisim"/>
        </w:rPr>
        <w:t>'.</w:t>
      </w:r>
    </w:p>
    <w:p w14:paraId="59DC228D"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(סנהדרין פט: בתי' הא') כת' דהגמ' (כאן) דקדק מהברייתא דקתני הכל לפי שעה, דמשמע הכל מפני צורך השעה. ואי על פי הדיבור צריך לקיים צוויו של מקום, ובין לצורך השעה ובין שלא לצורך</w:t>
      </w:r>
      <w:r w:rsidRPr="00AF3214">
        <w:rPr>
          <w:rStyle w:val="ac"/>
          <w:rFonts w:ascii="Narkisim" w:hAnsi="Narkisim"/>
          <w:rtl/>
        </w:rPr>
        <w:footnoteReference w:id="5746"/>
      </w:r>
      <w:r w:rsidRPr="00AF3214">
        <w:rPr>
          <w:rFonts w:ascii="Narkisim" w:hAnsi="Narkisim"/>
        </w:rPr>
        <w:t xml:space="preserve">. </w:t>
      </w:r>
      <w:r w:rsidRPr="00AF3214">
        <w:rPr>
          <w:rFonts w:ascii="Narkisim" w:hAnsi="Narkisim"/>
          <w:rtl/>
        </w:rPr>
        <w:t>וע"כ דהברייתא קאי שהנביא עושה מדעתו [ולא שנתנבא לעשות כן]</w:t>
      </w:r>
      <w:r w:rsidRPr="00AF3214">
        <w:rPr>
          <w:rFonts w:ascii="Narkisim" w:hAnsi="Narkisim"/>
        </w:rPr>
        <w:t>.</w:t>
      </w:r>
    </w:p>
    <w:p w14:paraId="6D265F53"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ה</w:t>
      </w:r>
      <w:r w:rsidRPr="00AF3214">
        <w:rPr>
          <w:rFonts w:ascii="Narkisim" w:hAnsi="Narkisim"/>
          <w:b/>
          <w:bCs/>
          <w:rtl/>
        </w:rPr>
        <w:t>מנח"ח</w:t>
      </w:r>
      <w:r w:rsidRPr="00AF3214">
        <w:rPr>
          <w:rFonts w:ascii="Narkisim" w:hAnsi="Narkisim"/>
          <w:rtl/>
        </w:rPr>
        <w:t xml:space="preserve"> (תקטז א) הביא דמבואר מדברי התוס' דיש חיוב לשמוע לנביא אף כשצווה ע"ד עצמו. אך דייק מדברי ה</w:t>
      </w:r>
      <w:r w:rsidRPr="00AF3214">
        <w:rPr>
          <w:rFonts w:ascii="Narkisim" w:hAnsi="Narkisim"/>
          <w:b/>
          <w:bCs/>
          <w:rtl/>
        </w:rPr>
        <w:t>רמב"ם</w:t>
      </w:r>
      <w:r w:rsidRPr="00AF3214">
        <w:rPr>
          <w:rFonts w:ascii="Narkisim" w:hAnsi="Narkisim"/>
          <w:rtl/>
        </w:rPr>
        <w:t xml:space="preserve"> (יסוה"ת ט ג) דהמצווה לשמוע בקול נביא הוא במה שצווה בנבואה מהקב"ה. והא דדרשי' אפי' לעבור על א' מן המצות דוקא אם אומר בשם הקב"ה, שהקב"ה צוה לו כך. אבל נביא שאמר מדעתו אי"צ לשמוע לו, ואפי' בדבר הרשות</w:t>
      </w:r>
      <w:r w:rsidRPr="00AF3214">
        <w:rPr>
          <w:rFonts w:ascii="Narkisim" w:hAnsi="Narkisim"/>
        </w:rPr>
        <w:t>.</w:t>
      </w:r>
    </w:p>
    <w:p w14:paraId="7423E6C4" w14:textId="77777777" w:rsidR="006C4368" w:rsidRPr="00AF3214" w:rsidRDefault="006C4368" w:rsidP="006C4368">
      <w:pPr>
        <w:bidi/>
        <w:rPr>
          <w:rFonts w:ascii="Narkisim" w:hAnsi="Narkisim" w:cs="Narkisim"/>
        </w:rPr>
      </w:pPr>
      <w:r w:rsidRPr="00AF3214">
        <w:rPr>
          <w:rFonts w:ascii="Narkisim" w:hAnsi="Narkisim" w:cs="Narkisim"/>
          <w:u w:val="single"/>
          <w:rtl/>
        </w:rPr>
        <w:t>בא"ד אליהו בהר הכרמל היכי סמכי עליה וכו' אלא היכא דמוחזק שאני</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(סנהדרין הנ"ל) בתי' הא' (הנ"ל) כת' דהברייתא איירי בנביא שעושה מעצמו [ולא ע"פ נבואה]. ובזה נאמר וכגון אליהו בהר הכרמל, משמע דאליהו עשה ע"ד עצמו [למיגדר מילתא]</w:t>
      </w:r>
      <w:r w:rsidRPr="00AF3214">
        <w:rPr>
          <w:rFonts w:ascii="Narkisim" w:hAnsi="Narkisim" w:cs="Narkisim"/>
        </w:rPr>
        <w:t>.</w:t>
      </w:r>
    </w:p>
    <w:p w14:paraId="2058D189" w14:textId="77777777" w:rsidR="006C4368" w:rsidRPr="00AF3214" w:rsidRDefault="006C4368" w:rsidP="006C4368">
      <w:pPr>
        <w:pStyle w:val="a7"/>
        <w:bidi/>
        <w:rPr>
          <w:rFonts w:ascii="Narkisim" w:hAnsi="Narkisim"/>
        </w:rPr>
      </w:pPr>
      <w:r w:rsidRPr="00AF3214">
        <w:rPr>
          <w:rFonts w:ascii="Narkisim" w:hAnsi="Narkisim"/>
          <w:rtl/>
        </w:rPr>
        <w:t>ושוב הק' ה</w:t>
      </w:r>
      <w:r w:rsidRPr="00AF3214">
        <w:rPr>
          <w:rFonts w:ascii="Narkisim" w:hAnsi="Narkisim"/>
          <w:b/>
          <w:bCs/>
          <w:rtl/>
        </w:rPr>
        <w:t>תוס</w:t>
      </w:r>
      <w:r w:rsidRPr="00AF3214">
        <w:rPr>
          <w:rFonts w:ascii="Narkisim" w:hAnsi="Narkisim"/>
          <w:rtl/>
        </w:rPr>
        <w:t>' ומיהו בקראי משמע שעל פי הדיבור עשה, דכתיב (מלכים א יח לו) באליהו וכדברך [ובדרכך] עשיתי וגו'</w:t>
      </w:r>
      <w:r w:rsidRPr="00AF3214">
        <w:rPr>
          <w:rStyle w:val="ac"/>
          <w:rFonts w:ascii="Narkisim" w:hAnsi="Narkisim"/>
          <w:rtl/>
        </w:rPr>
        <w:footnoteReference w:id="5747"/>
      </w:r>
      <w:r w:rsidRPr="00AF3214">
        <w:rPr>
          <w:rFonts w:ascii="Narkisim" w:hAnsi="Narkisim"/>
          <w:rtl/>
        </w:rPr>
        <w:t>. ותוס' תי' [כתוס' דידן] דאליהו עשה ע"פ הדיבור, אלא דילפי' דאף בלא הדיבור מותר, דהא אין נביא רשאי לחדש דבר מעתה. [וה</w:t>
      </w:r>
      <w:r w:rsidRPr="00AF3214">
        <w:rPr>
          <w:rFonts w:ascii="Narkisim" w:hAnsi="Narkisim"/>
          <w:b/>
          <w:bCs/>
          <w:rtl/>
        </w:rPr>
        <w:t>לח"מ</w:t>
      </w:r>
      <w:r w:rsidRPr="00AF3214">
        <w:rPr>
          <w:rFonts w:ascii="Narkisim" w:hAnsi="Narkisim"/>
          <w:rtl/>
        </w:rPr>
        <w:t xml:space="preserve"> (יסוה"ת ט בסופו) הביא דהרמב"ם הביא דאליהו עשה ע"פ הדיבור]</w:t>
      </w:r>
      <w:r w:rsidRPr="00AF3214">
        <w:rPr>
          <w:rFonts w:ascii="Narkisim" w:hAnsi="Narkisim"/>
        </w:rPr>
        <w:t>.</w:t>
      </w:r>
    </w:p>
    <w:p w14:paraId="0A6B30A4" w14:textId="77777777" w:rsidR="006C4368" w:rsidRPr="00AF3214" w:rsidRDefault="006C4368" w:rsidP="006C4368">
      <w:pPr>
        <w:pStyle w:val="a7"/>
        <w:bidi/>
        <w:rPr>
          <w:rFonts w:ascii="Narkisim" w:hAnsi="Narkisim"/>
        </w:rPr>
      </w:pPr>
      <w:r w:rsidRPr="00AF3214">
        <w:rPr>
          <w:rFonts w:ascii="Narkisim" w:hAnsi="Narkisim"/>
          <w:rtl/>
        </w:rPr>
        <w:t>ותוס' תי' עוד [דלעולם עשה ע"פ עצמו] דהא דקאמר אליהו 'וכדברך עשיתי' שהיה דורש דכתיב 'גוי וקהל גוים יהיה ממך', דאמרינן עתידין בניך לעשות כמעשה נכרים, פירוש לשחוט בחוץ ואני מסכים על ידו</w:t>
      </w:r>
      <w:r w:rsidRPr="00AF3214">
        <w:rPr>
          <w:rStyle w:val="ac"/>
          <w:rFonts w:ascii="Narkisim" w:hAnsi="Narkisim"/>
          <w:rtl/>
        </w:rPr>
        <w:footnoteReference w:id="5748"/>
      </w:r>
      <w:r w:rsidRPr="00AF3214">
        <w:rPr>
          <w:rFonts w:ascii="Narkisim" w:hAnsi="Narkisim"/>
        </w:rPr>
        <w:t xml:space="preserve">. </w:t>
      </w:r>
      <w:r w:rsidRPr="00AF3214">
        <w:rPr>
          <w:rFonts w:ascii="Narkisim" w:hAnsi="Narkisim"/>
          <w:rtl/>
        </w:rPr>
        <w:t>ולפי שהיה נביא מוחזק סמכו עליו שעליו נאמר מקרא זה</w:t>
      </w:r>
      <w:r w:rsidRPr="00AF3214">
        <w:rPr>
          <w:rStyle w:val="ac"/>
          <w:rFonts w:ascii="Narkisim" w:hAnsi="Narkisim"/>
          <w:rtl/>
        </w:rPr>
        <w:footnoteReference w:id="5749"/>
      </w:r>
      <w:r w:rsidRPr="00AF3214">
        <w:rPr>
          <w:rFonts w:ascii="Narkisim" w:hAnsi="Narkisim"/>
        </w:rPr>
        <w:t>.</w:t>
      </w:r>
    </w:p>
    <w:p w14:paraId="4D35BC13" w14:textId="77777777" w:rsidR="006C4368" w:rsidRPr="00AF3214" w:rsidRDefault="006C4368" w:rsidP="006C4368">
      <w:pPr>
        <w:pStyle w:val="aa"/>
        <w:bidi/>
        <w:rPr>
          <w:rFonts w:ascii="Narkisim" w:hAnsi="Narkisim"/>
        </w:rPr>
      </w:pPr>
      <w:r w:rsidRPr="00AF3214">
        <w:rPr>
          <w:rFonts w:ascii="Narkisim" w:hAnsi="Narkisim"/>
          <w:u w:val="single"/>
          <w:rtl/>
        </w:rPr>
        <w:t>בא"ד ואור"י משום דאיתחזק בנביאות היו סומכים עליו במה שהיה מבטיח בירידת האש וכו'</w:t>
      </w:r>
      <w:r w:rsidRPr="00AF3214">
        <w:rPr>
          <w:rFonts w:ascii="Narkisim" w:hAnsi="Narkisim"/>
          <w:rtl/>
        </w:rPr>
        <w:t>. ו</w:t>
      </w:r>
      <w:r w:rsidRPr="00AF3214">
        <w:rPr>
          <w:rFonts w:ascii="Narkisim" w:hAnsi="Narkisim"/>
          <w:b/>
          <w:bCs/>
          <w:rtl/>
        </w:rPr>
        <w:t>תוס</w:t>
      </w:r>
      <w:r w:rsidRPr="00AF3214">
        <w:rPr>
          <w:rFonts w:ascii="Narkisim" w:hAnsi="Narkisim"/>
          <w:rtl/>
        </w:rPr>
        <w:t>' (סנהדרין שם) פי' דנביא צריך להביא אות, וכיון דאליהו היה מוחזק מהימנינן ביה אף בלא אות</w:t>
      </w:r>
      <w:r w:rsidRPr="00AF3214">
        <w:rPr>
          <w:rFonts w:ascii="Narkisim" w:hAnsi="Narkisim"/>
        </w:rPr>
        <w:t>.</w:t>
      </w:r>
    </w:p>
    <w:p w14:paraId="217CFD18" w14:textId="77777777" w:rsidR="006C4368" w:rsidRPr="00AF3214" w:rsidRDefault="006C4368" w:rsidP="006C4368">
      <w:pPr>
        <w:bidi/>
        <w:rPr>
          <w:rFonts w:ascii="Narkisim" w:hAnsi="Narkisim" w:cs="Narkisim"/>
        </w:rPr>
      </w:pPr>
      <w:r w:rsidRPr="00AF3214">
        <w:rPr>
          <w:rFonts w:ascii="Narkisim" w:hAnsi="Narkisim" w:cs="Narkisim"/>
          <w:u w:val="single"/>
          <w:rtl/>
        </w:rPr>
        <w:t>ת"ש בטלו וכו' רשב"ג אומר</w:t>
      </w:r>
      <w:r w:rsidRPr="00AF3214">
        <w:rPr>
          <w:rStyle w:val="ac"/>
          <w:rFonts w:ascii="Narkisim" w:hAnsi="Narkisim" w:cs="Narkisim"/>
          <w:u w:val="single"/>
          <w:rtl/>
        </w:rPr>
        <w:footnoteReference w:id="5750"/>
      </w:r>
      <w:r w:rsidRPr="00AF3214">
        <w:rPr>
          <w:rFonts w:ascii="Narkisim" w:hAnsi="Narkisim" w:cs="Narkisim"/>
          <w:u w:val="single"/>
        </w:rPr>
        <w:t xml:space="preserve"> </w:t>
      </w:r>
      <w:r w:rsidRPr="00AF3214">
        <w:rPr>
          <w:rFonts w:ascii="Narkisim" w:hAnsi="Narkisim" w:cs="Narkisim"/>
          <w:u w:val="single"/>
          <w:rtl/>
        </w:rPr>
        <w:t>וכו' מאן דמקדש אדעתא דרבנן מקדש</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תולה בדעת חכמים, דהא אמר כדת משה וישראל. ובפשוטו הוה תנאי בעלמא, שתלה קידושיו בתנאי </w:t>
      </w:r>
      <w:r w:rsidRPr="00AF3214">
        <w:rPr>
          <w:rFonts w:ascii="Narkisim" w:hAnsi="Narkisim" w:cs="Narkisim"/>
          <w:rtl/>
        </w:rPr>
        <w:lastRenderedPageBreak/>
        <w:t>שכן דעת חכמים. [וע"ע פנ"י (כתובות ג. בקו"א, הו' בפתח"ת קמג א) שהאריך בזה]</w:t>
      </w:r>
      <w:r w:rsidRPr="00AF3214">
        <w:rPr>
          <w:rFonts w:ascii="Narkisim" w:hAnsi="Narkisim" w:cs="Narkisim"/>
        </w:rPr>
        <w:t>.</w:t>
      </w:r>
    </w:p>
    <w:p w14:paraId="5306538A" w14:textId="77777777" w:rsidR="006C4368" w:rsidRPr="00AF3214" w:rsidRDefault="006C4368" w:rsidP="006C4368">
      <w:pPr>
        <w:pStyle w:val="a8"/>
        <w:bidi/>
        <w:rPr>
          <w:rFonts w:ascii="Narkisim" w:hAnsi="Narkisim"/>
        </w:rPr>
      </w:pPr>
      <w:r w:rsidRPr="00AF3214">
        <w:rPr>
          <w:rFonts w:ascii="Narkisim" w:hAnsi="Narkisim"/>
          <w:rtl/>
        </w:rPr>
        <w:t>אבל ה</w:t>
      </w:r>
      <w:r w:rsidRPr="00AF3214">
        <w:rPr>
          <w:rFonts w:ascii="Narkisim" w:hAnsi="Narkisim"/>
          <w:b/>
          <w:bCs/>
          <w:rtl/>
        </w:rPr>
        <w:t>שיטמ"ק</w:t>
      </w:r>
      <w:r w:rsidRPr="00AF3214">
        <w:rPr>
          <w:rFonts w:ascii="Narkisim" w:hAnsi="Narkisim"/>
          <w:rtl/>
        </w:rPr>
        <w:t xml:space="preserve"> (כתובות ג. בשם שיטה) הביא </w:t>
      </w:r>
      <w:r w:rsidRPr="00AF3214">
        <w:rPr>
          <w:rFonts w:ascii="Narkisim" w:hAnsi="Narkisim"/>
          <w:b/>
          <w:bCs/>
          <w:rtl/>
        </w:rPr>
        <w:t>י"מ</w:t>
      </w:r>
      <w:r w:rsidRPr="00AF3214">
        <w:rPr>
          <w:rFonts w:ascii="Narkisim" w:hAnsi="Narkisim"/>
          <w:rtl/>
        </w:rPr>
        <w:t xml:space="preserve"> דהפקיעו הקידושין מכאן ולהבא משעת הגט [ואם זינתה קודם חייבת חנק]</w:t>
      </w:r>
      <w:r w:rsidRPr="00AF3214">
        <w:rPr>
          <w:rFonts w:ascii="Narkisim" w:hAnsi="Narkisim"/>
        </w:rPr>
        <w:t>.</w:t>
      </w:r>
    </w:p>
    <w:p w14:paraId="34BFBC76" w14:textId="77777777" w:rsidR="006C4368" w:rsidRPr="00AF3214" w:rsidRDefault="006C4368" w:rsidP="006C4368">
      <w:pPr>
        <w:pStyle w:val="aa"/>
        <w:bidi/>
        <w:rPr>
          <w:rFonts w:ascii="Narkisim" w:hAnsi="Narkisim"/>
        </w:rPr>
      </w:pPr>
      <w:r w:rsidRPr="00AF3214">
        <w:rPr>
          <w:rFonts w:ascii="Narkisim" w:hAnsi="Narkisim"/>
          <w:u w:val="single"/>
          <w:rtl/>
        </w:rPr>
        <w:t>ואפקעינהו רבנן לקידושין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ע"י גט זה, הפקירו למפרע</w:t>
      </w:r>
      <w:r w:rsidRPr="00AF3214">
        <w:rPr>
          <w:rStyle w:val="ac"/>
          <w:rFonts w:ascii="Narkisim" w:hAnsi="Narkisim"/>
          <w:rtl/>
        </w:rPr>
        <w:footnoteReference w:id="5751"/>
      </w:r>
      <w:r w:rsidRPr="00AF3214">
        <w:rPr>
          <w:rFonts w:ascii="Narkisim" w:hAnsi="Narkisim"/>
        </w:rPr>
        <w:t xml:space="preserve">. </w:t>
      </w:r>
      <w:r w:rsidRPr="00AF3214">
        <w:rPr>
          <w:rFonts w:ascii="Narkisim" w:hAnsi="Narkisim"/>
          <w:rtl/>
        </w:rPr>
        <w:t xml:space="preserve">וכ"כ </w:t>
      </w:r>
      <w:r w:rsidRPr="00AF3214">
        <w:rPr>
          <w:rFonts w:ascii="Narkisim" w:hAnsi="Narkisim"/>
          <w:b/>
          <w:bCs/>
          <w:rtl/>
        </w:rPr>
        <w:t>רש"י</w:t>
      </w:r>
      <w:r w:rsidRPr="00AF3214">
        <w:rPr>
          <w:rFonts w:ascii="Narkisim" w:hAnsi="Narkisim"/>
          <w:rtl/>
        </w:rPr>
        <w:t xml:space="preserve"> (כתובות ג. גיטין לג.) דאפקעינהו ע"י הגט. וצ"ב במה תלי בגט, ולכאורה אינו גט כלל אלא דחכמים תקנו להתירה בלא כלום</w:t>
      </w:r>
      <w:r w:rsidRPr="00AF3214">
        <w:rPr>
          <w:rStyle w:val="ac"/>
          <w:rFonts w:ascii="Narkisim" w:hAnsi="Narkisim"/>
          <w:rtl/>
        </w:rPr>
        <w:footnoteReference w:id="5752"/>
      </w:r>
      <w:r w:rsidRPr="00AF3214">
        <w:rPr>
          <w:rFonts w:ascii="Narkisim" w:hAnsi="Narkisim"/>
        </w:rPr>
        <w:t>.</w:t>
      </w:r>
    </w:p>
    <w:p w14:paraId="3AADC0DA"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(כתובות ג., ושו"ת אלף קסב הו' לעיל פח.) כת' דבעלמא חכמים לא התירו אשת איש בכדי</w:t>
      </w:r>
      <w:r w:rsidRPr="00AF3214">
        <w:rPr>
          <w:rStyle w:val="ac"/>
          <w:rFonts w:ascii="Narkisim" w:hAnsi="Narkisim"/>
          <w:rtl/>
        </w:rPr>
        <w:footnoteReference w:id="5753"/>
      </w:r>
      <w:r w:rsidRPr="00AF3214">
        <w:rPr>
          <w:rFonts w:ascii="Narkisim" w:hAnsi="Narkisim"/>
        </w:rPr>
        <w:t xml:space="preserve">, </w:t>
      </w:r>
      <w:r w:rsidRPr="00AF3214">
        <w:rPr>
          <w:rFonts w:ascii="Narkisim" w:hAnsi="Narkisim"/>
          <w:rtl/>
        </w:rPr>
        <w:t>משום דאדעתא דרבנן מקדש. ודוקא הכא דיש סרך גט הקילו</w:t>
      </w:r>
      <w:r w:rsidRPr="00AF3214">
        <w:rPr>
          <w:rStyle w:val="ac"/>
          <w:rFonts w:ascii="Narkisim" w:hAnsi="Narkisim"/>
          <w:rtl/>
        </w:rPr>
        <w:footnoteReference w:id="5754"/>
      </w:r>
      <w:r w:rsidRPr="00AF3214">
        <w:rPr>
          <w:rFonts w:ascii="Narkisim" w:hAnsi="Narkisim"/>
        </w:rPr>
        <w:t>.</w:t>
      </w:r>
    </w:p>
    <w:p w14:paraId="36CC37B3"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(ב"ב מח.) דייקו דבגמ' (שם, וכן לקמן קי.) גבי תלויה וקדיש אי' דאפקעינהו לקידושין, ולא הזכירו דאדעתא דרבנן מקדש</w:t>
      </w:r>
      <w:r w:rsidRPr="00AF3214">
        <w:rPr>
          <w:rStyle w:val="ac"/>
          <w:rFonts w:ascii="Narkisim" w:hAnsi="Narkisim" w:cs="Narkisim"/>
          <w:rtl/>
        </w:rPr>
        <w:footnoteReference w:id="5755"/>
      </w:r>
      <w:r w:rsidRPr="00AF3214">
        <w:rPr>
          <w:rFonts w:ascii="Narkisim" w:hAnsi="Narkisim" w:cs="Narkisim"/>
        </w:rPr>
        <w:t xml:space="preserve">. </w:t>
      </w:r>
      <w:r w:rsidRPr="00AF3214">
        <w:rPr>
          <w:rFonts w:ascii="Narkisim" w:hAnsi="Narkisim" w:cs="Narkisim"/>
          <w:rtl/>
        </w:rPr>
        <w:t>ואפקעינהו אף דלא קידש אדעתא דרבנן, דסבר דיש כח ביד חכמים לעקור דבר מה"ת</w:t>
      </w:r>
      <w:r w:rsidRPr="00AF3214">
        <w:rPr>
          <w:rStyle w:val="ac"/>
          <w:rFonts w:ascii="Narkisim" w:hAnsi="Narkisim" w:cs="Narkisim"/>
          <w:rtl/>
        </w:rPr>
        <w:footnoteReference w:id="5756"/>
      </w:r>
      <w:r w:rsidRPr="00AF3214">
        <w:rPr>
          <w:rFonts w:ascii="Narkisim" w:hAnsi="Narkisim" w:cs="Narkisim"/>
        </w:rPr>
        <w:t xml:space="preserve">. </w:t>
      </w:r>
      <w:r w:rsidRPr="00AF3214">
        <w:rPr>
          <w:rFonts w:ascii="Narkisim" w:hAnsi="Narkisim" w:cs="Narkisim"/>
          <w:rtl/>
        </w:rPr>
        <w:t>ותוס' הק' דהגמ' בשאר מקומות (כתובות ג., גיטין לג.) נקטה דאדעתא דרבנן מקדש, וכת' דלכאורה הנך סוגיות פליגי. [ונח' במח' דסוגיין אי יש כח ביד חכמים לעקור הקידושין דאורייתא, או דוקא היכא דקידש על דעתם]</w:t>
      </w:r>
      <w:r w:rsidRPr="00AF3214">
        <w:rPr>
          <w:rFonts w:ascii="Narkisim" w:hAnsi="Narkisim" w:cs="Narkisim"/>
        </w:rPr>
        <w:t>.</w:t>
      </w:r>
    </w:p>
    <w:p w14:paraId="538192F6"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דחו דהיכא דקידש כהוגן לא היה כח לחכמים להפקיעם אי לאו משום דמקדש אדעתא דרבנן. [ודוקא התם שקידש שלא כהוגן אמרי' דיש כח לחכמים לעקור]</w:t>
      </w:r>
      <w:r w:rsidRPr="00AF3214">
        <w:rPr>
          <w:rFonts w:ascii="Narkisim" w:hAnsi="Narkisim"/>
        </w:rPr>
        <w:t>.</w:t>
      </w:r>
    </w:p>
    <w:p w14:paraId="2CEFC567" w14:textId="77777777" w:rsidR="006C4368" w:rsidRPr="00AF3214" w:rsidRDefault="006C4368" w:rsidP="006C4368">
      <w:pPr>
        <w:pStyle w:val="a8"/>
        <w:bidi/>
        <w:rPr>
          <w:rFonts w:ascii="Narkisim" w:hAnsi="Narkisim"/>
        </w:rPr>
      </w:pPr>
      <w:r w:rsidRPr="00AF3214">
        <w:rPr>
          <w:rFonts w:ascii="Narkisim" w:hAnsi="Narkisim"/>
          <w:rtl/>
        </w:rPr>
        <w:t>ולכאורה כוונת התוס' למש"כ (בע"א) דאין כח לחכמים להפקיע למי שלא פשע [וע"ע מש"כ שם]. א"נ לעולם יש כח לחכמים להפקיע, אלא דכוונת התוס' דאינו ראוי שיפקיעו ממי שקידש כהוגן. אא"כ תלה בדעת רבנן</w:t>
      </w:r>
      <w:r w:rsidRPr="00AF3214">
        <w:rPr>
          <w:rFonts w:ascii="Narkisim" w:hAnsi="Narkisim"/>
        </w:rPr>
        <w:t>.</w:t>
      </w:r>
    </w:p>
    <w:p w14:paraId="0574D8B0" w14:textId="77777777" w:rsidR="006C4368" w:rsidRPr="00AF3214" w:rsidRDefault="006C4368" w:rsidP="006C4368">
      <w:pPr>
        <w:bidi/>
        <w:rPr>
          <w:rFonts w:ascii="Narkisim" w:hAnsi="Narkisim" w:cs="Narkisim"/>
        </w:rPr>
      </w:pPr>
      <w:r w:rsidRPr="00AF3214">
        <w:rPr>
          <w:rFonts w:ascii="Narkisim" w:hAnsi="Narkisim" w:cs="Narkisim"/>
          <w:u w:val="single"/>
          <w:rtl/>
        </w:rPr>
        <w:t>תינח דקדיש בכספא, קדיש בביאה מאי איכא למימר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דשוינהו למעות מתנה למפרע דהפקר בי"ד הפקר, ואילו קדיש בביאה מאי שויוה לביאה. ומה שייך בזה אפקעתא. ומשמע דאפקעינהו משום הפקר בי"ד, וא"כ אמאי אמרי' דאדעתא דרבנן מקדש, ומשמע דהוה קידושין בתנאי [ואמאי בעי תרוייהו</w:t>
      </w:r>
      <w:r w:rsidRPr="00AF3214">
        <w:rPr>
          <w:rStyle w:val="ac"/>
          <w:rFonts w:ascii="Narkisim" w:hAnsi="Narkisim" w:cs="Narkisim"/>
          <w:rtl/>
        </w:rPr>
        <w:footnoteReference w:id="5757"/>
      </w:r>
      <w:r w:rsidRPr="00AF3214">
        <w:rPr>
          <w:rFonts w:ascii="Narkisim" w:hAnsi="Narkisim" w:cs="Narkisim"/>
          <w:rtl/>
        </w:rPr>
        <w:t>]. ואי הוה תנאי אף בביאה מהני תנאי, אם ירצו חכמים. [ומשמע מדברי רש"י דאף תנאי צריך 'אפקעתא']</w:t>
      </w:r>
      <w:r w:rsidRPr="00AF3214">
        <w:rPr>
          <w:rFonts w:ascii="Narkisim" w:hAnsi="Narkisim" w:cs="Narkisim"/>
        </w:rPr>
        <w:t>.</w:t>
      </w:r>
    </w:p>
    <w:p w14:paraId="6EA98A5D"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(כתובות ג.) פי' דקו' הגמ' דאין לחכמים לעשות ביאתו עבירה</w:t>
      </w:r>
      <w:r w:rsidRPr="00AF3214">
        <w:rPr>
          <w:rStyle w:val="ac"/>
          <w:rFonts w:ascii="Narkisim" w:hAnsi="Narkisim"/>
          <w:rtl/>
        </w:rPr>
        <w:footnoteReference w:id="5758"/>
      </w:r>
      <w:r w:rsidRPr="00AF3214">
        <w:rPr>
          <w:rFonts w:ascii="Narkisim" w:hAnsi="Narkisim"/>
        </w:rPr>
        <w:t>.</w:t>
      </w:r>
    </w:p>
    <w:p w14:paraId="792DF4FD"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(כתובות שם) כתב דבשלמא בכסף אמרי' דקידש אדעתא דרבנן, כיון דאם ירצו יפקירו ממונו</w:t>
      </w:r>
      <w:r w:rsidRPr="00AF3214">
        <w:rPr>
          <w:rStyle w:val="ac"/>
          <w:rFonts w:ascii="Narkisim" w:hAnsi="Narkisim"/>
          <w:rtl/>
        </w:rPr>
        <w:footnoteReference w:id="5759"/>
      </w:r>
      <w:r w:rsidRPr="00AF3214">
        <w:rPr>
          <w:rFonts w:ascii="Narkisim" w:hAnsi="Narkisim"/>
        </w:rPr>
        <w:t xml:space="preserve">, </w:t>
      </w:r>
      <w:r w:rsidRPr="00AF3214">
        <w:rPr>
          <w:rFonts w:ascii="Narkisim" w:hAnsi="Narkisim"/>
          <w:rtl/>
        </w:rPr>
        <w:t>אבל בביאה מי אמרי' דאדעתא דרבנן</w:t>
      </w:r>
      <w:r w:rsidRPr="00AF3214">
        <w:rPr>
          <w:rFonts w:ascii="Narkisim" w:hAnsi="Narkisim"/>
        </w:rPr>
        <w:t>.</w:t>
      </w:r>
    </w:p>
    <w:p w14:paraId="731C7AA1" w14:textId="77777777" w:rsidR="006C4368" w:rsidRPr="00AF3214" w:rsidRDefault="006C4368" w:rsidP="006C4368">
      <w:pPr>
        <w:pStyle w:val="a8"/>
        <w:bidi/>
        <w:rPr>
          <w:rFonts w:ascii="Narkisim" w:hAnsi="Narkisim"/>
        </w:rPr>
      </w:pPr>
      <w:r w:rsidRPr="00AF3214">
        <w:rPr>
          <w:rFonts w:ascii="Narkisim" w:hAnsi="Narkisim"/>
          <w:rtl/>
        </w:rPr>
        <w:t>ועוד פי' ה</w:t>
      </w:r>
      <w:r w:rsidRPr="00AF3214">
        <w:rPr>
          <w:rFonts w:ascii="Narkisim" w:hAnsi="Narkisim"/>
          <w:b/>
          <w:bCs/>
          <w:rtl/>
        </w:rPr>
        <w:t>אחרונים</w:t>
      </w:r>
      <w:r w:rsidRPr="00AF3214">
        <w:rPr>
          <w:rFonts w:ascii="Narkisim" w:hAnsi="Narkisim"/>
          <w:rtl/>
        </w:rPr>
        <w:t xml:space="preserve"> דקו' הגמ' דקידושי ביאה הוה 'מעשה', ויותר חידוש לעקור דבר שהוא מעשה גמור, מאשר לעקור קידושי כסף</w:t>
      </w:r>
      <w:r w:rsidRPr="00AF3214">
        <w:rPr>
          <w:rFonts w:ascii="Narkisim" w:hAnsi="Narkisim"/>
        </w:rPr>
        <w:t>.</w:t>
      </w:r>
    </w:p>
    <w:p w14:paraId="269961E9" w14:textId="77777777" w:rsidR="006C4368" w:rsidRPr="00AF3214" w:rsidRDefault="006C4368" w:rsidP="006C4368">
      <w:pPr>
        <w:pStyle w:val="aa"/>
        <w:bidi/>
        <w:rPr>
          <w:rFonts w:ascii="Narkisim" w:hAnsi="Narkisim"/>
        </w:rPr>
      </w:pPr>
      <w:r w:rsidRPr="00AF3214">
        <w:rPr>
          <w:rFonts w:ascii="Narkisim" w:hAnsi="Narkisim"/>
          <w:rtl/>
          <w:lang w:val="he-IL"/>
        </w:rPr>
        <w:t>ו</w:t>
      </w:r>
      <w:r w:rsidRPr="00AF3214">
        <w:rPr>
          <w:rFonts w:ascii="Narkisim" w:hAnsi="Narkisim"/>
          <w:b/>
          <w:bCs/>
          <w:rtl/>
          <w:lang w:val="he-IL"/>
        </w:rPr>
        <w:t>ראב"ן</w:t>
      </w:r>
      <w:r w:rsidRPr="00AF3214">
        <w:rPr>
          <w:rFonts w:ascii="Narkisim" w:hAnsi="Narkisim"/>
          <w:rtl/>
          <w:lang w:val="he-IL"/>
        </w:rPr>
        <w:t xml:space="preserve"> (גיטין) כת' דדוקא בימי חכמים הראשונים אמרו דאין אונס בגיטין (כדאי' כתובות ג.), שהיה כח בידם להפקיע קידושין. אבל בזמן הזה באונסא דשכיח ולא התנה הוה גט.</w:t>
      </w:r>
    </w:p>
    <w:p w14:paraId="654DDF04" w14:textId="77777777" w:rsidR="006C4368" w:rsidRPr="00AF3214" w:rsidRDefault="006C4368" w:rsidP="006C4368">
      <w:pPr>
        <w:pStyle w:val="a8"/>
        <w:bidi/>
        <w:rPr>
          <w:rFonts w:ascii="Narkisim" w:hAnsi="Narkisim"/>
        </w:rPr>
      </w:pPr>
      <w:r w:rsidRPr="00AF3214">
        <w:rPr>
          <w:rFonts w:ascii="Narkisim" w:hAnsi="Narkisim"/>
          <w:rtl/>
          <w:lang w:val="he-IL"/>
        </w:rPr>
        <w:t>וה</w:t>
      </w:r>
      <w:r w:rsidRPr="00AF3214">
        <w:rPr>
          <w:rFonts w:ascii="Narkisim" w:hAnsi="Narkisim"/>
          <w:b/>
          <w:bCs/>
          <w:rtl/>
          <w:lang w:val="he-IL"/>
        </w:rPr>
        <w:t>דבר אברהם</w:t>
      </w:r>
      <w:r w:rsidRPr="00AF3214">
        <w:rPr>
          <w:rFonts w:ascii="Narkisim" w:hAnsi="Narkisim"/>
          <w:rtl/>
          <w:lang w:val="he-IL"/>
        </w:rPr>
        <w:t xml:space="preserve"> (א כט) הביא דשיטת הראב"ן דגדר תקנת אפקעינהו שכל בי"ד שבדורו מפקיע את הקידושין. ולא שבי"ד הראשונים הפקיעו בימיהם עד דור אחרון.</w:t>
      </w:r>
    </w:p>
    <w:p w14:paraId="77717F35" w14:textId="77777777" w:rsidR="006C4368" w:rsidRPr="00AF3214" w:rsidRDefault="006C4368" w:rsidP="006C4368">
      <w:pPr>
        <w:pStyle w:val="a8"/>
        <w:bidi/>
        <w:rPr>
          <w:rFonts w:ascii="Narkisim" w:hAnsi="Narkisim"/>
          <w:rtl/>
          <w:lang w:val="he-IL"/>
        </w:rPr>
      </w:pPr>
      <w:r w:rsidRPr="00AF3214">
        <w:rPr>
          <w:rFonts w:ascii="Narkisim" w:hAnsi="Narkisim"/>
          <w:rtl/>
          <w:lang w:val="he-IL"/>
        </w:rPr>
        <w:t xml:space="preserve">אך הק' דבגמ' (לעיל יד:) מבואר דנח' בי"ש ובי"ה בקידושין פרוטה [פחות מדינר], ואפ"ה לא נמנעו מלינשא זב"ז. והק' דכיון דבי"ש ובתי דיניהם היו מפקיעים קידושי פרוטה, א"כ אף לבי"ה לאו קידושין נינהו. שכבר </w:t>
      </w:r>
      <w:r w:rsidRPr="00AF3214">
        <w:rPr>
          <w:rFonts w:ascii="Narkisim" w:hAnsi="Narkisim"/>
          <w:rtl/>
          <w:lang w:val="he-IL"/>
        </w:rPr>
        <w:lastRenderedPageBreak/>
        <w:t>הפקיעום בי"ד שלהם. והביא דעד"ז הק' המקנה (קידושין יב.).</w:t>
      </w:r>
    </w:p>
    <w:p w14:paraId="5829FD87" w14:textId="77777777" w:rsidR="006C4368" w:rsidRPr="00AF3214" w:rsidRDefault="006C4368" w:rsidP="006C4368">
      <w:pPr>
        <w:pStyle w:val="aa"/>
        <w:bidi/>
        <w:rPr>
          <w:rFonts w:ascii="Narkisim" w:hAnsi="Narkisim"/>
        </w:rPr>
      </w:pPr>
      <w:r w:rsidRPr="00AF3214">
        <w:rPr>
          <w:rFonts w:ascii="Narkisim" w:hAnsi="Narkisim"/>
          <w:u w:val="single"/>
          <w:rtl/>
        </w:rPr>
        <w:t>רש"י ד"ה א"ל</w:t>
      </w:r>
      <w:r w:rsidRPr="00AF3214">
        <w:rPr>
          <w:rFonts w:ascii="Narkisim" w:hAnsi="Narkisim"/>
          <w:rtl/>
        </w:rPr>
        <w:t>. ואית דאמרי וכו' דקידושי כסף דרבנן</w:t>
      </w:r>
      <w:r w:rsidRPr="00AF3214">
        <w:rPr>
          <w:rStyle w:val="ac"/>
          <w:rFonts w:ascii="Narkisim" w:hAnsi="Narkisim"/>
          <w:rtl/>
        </w:rPr>
        <w:footnoteReference w:id="5760"/>
      </w:r>
      <w:r w:rsidRPr="00AF3214">
        <w:rPr>
          <w:rFonts w:ascii="Narkisim" w:hAnsi="Narkisim"/>
        </w:rPr>
        <w:t xml:space="preserve"> </w:t>
      </w:r>
      <w:r w:rsidRPr="00AF3214">
        <w:rPr>
          <w:rFonts w:ascii="Narkisim" w:hAnsi="Narkisim"/>
          <w:rtl/>
        </w:rPr>
        <w:t>וכו' וטעות גדול הוא בידם וכו'. וב</w:t>
      </w:r>
      <w:r w:rsidRPr="00AF3214">
        <w:rPr>
          <w:rFonts w:ascii="Narkisim" w:hAnsi="Narkisim"/>
          <w:b/>
          <w:bCs/>
          <w:rtl/>
        </w:rPr>
        <w:t>חי' חת"ס</w:t>
      </w:r>
      <w:r w:rsidRPr="00AF3214">
        <w:rPr>
          <w:rFonts w:ascii="Narkisim" w:hAnsi="Narkisim"/>
          <w:rtl/>
        </w:rPr>
        <w:t xml:space="preserve"> (כתובות ג., וכן בשו"ת חת"ס אה"ע קט) פירש [דעת רבותיו של רש"י] דכיון דנלמד מגזי"ש משדה אפרון, א"כ ילפינן דומיא דקניני ממון, ויש כח לחכמים להפקיר ולהפקיע את עצם הקידושין [מכאן ולהבא]. וכעין הפקר בי"ד</w:t>
      </w:r>
      <w:r w:rsidRPr="00AF3214">
        <w:rPr>
          <w:rFonts w:ascii="Narkisim" w:hAnsi="Narkisim"/>
        </w:rPr>
        <w:t>.</w:t>
      </w:r>
    </w:p>
    <w:p w14:paraId="5DF005D3" w14:textId="77777777" w:rsidR="006C4368" w:rsidRPr="00AF3214" w:rsidRDefault="006C4368" w:rsidP="006C4368">
      <w:pPr>
        <w:bidi/>
        <w:rPr>
          <w:rFonts w:ascii="Narkisim" w:hAnsi="Narkisim" w:cs="Narkisim"/>
        </w:rPr>
      </w:pPr>
      <w:r w:rsidRPr="00AF3214">
        <w:rPr>
          <w:rFonts w:ascii="Narkisim" w:hAnsi="Narkisim" w:cs="Narkisim"/>
          <w:u w:val="single"/>
          <w:rtl/>
        </w:rPr>
        <w:t>ת"ש אמר ראב"י שמעתי שבי"ד מכין ועונשין וכו' לעשות סייג לתורה וכו'</w:t>
      </w:r>
      <w:r w:rsidRPr="00AF3214">
        <w:rPr>
          <w:rFonts w:ascii="Narkisim" w:hAnsi="Narkisim" w:cs="Narkisim"/>
          <w:rtl/>
        </w:rPr>
        <w:t>. ה</w:t>
      </w:r>
      <w:r w:rsidRPr="00AF3214">
        <w:rPr>
          <w:rFonts w:ascii="Narkisim" w:hAnsi="Narkisim" w:cs="Narkisim"/>
          <w:b/>
          <w:bCs/>
          <w:rtl/>
        </w:rPr>
        <w:t>קובה"ע</w:t>
      </w:r>
      <w:r w:rsidRPr="00AF3214">
        <w:rPr>
          <w:rFonts w:ascii="Narkisim" w:hAnsi="Narkisim" w:cs="Narkisim"/>
          <w:rtl/>
        </w:rPr>
        <w:t xml:space="preserve"> (ע) הק' דהאיסור לחבול הוה שלא לצורך</w:t>
      </w:r>
      <w:r w:rsidRPr="00AF3214">
        <w:rPr>
          <w:rStyle w:val="ac"/>
          <w:rFonts w:ascii="Narkisim" w:hAnsi="Narkisim" w:cs="Narkisim"/>
          <w:rtl/>
        </w:rPr>
        <w:footnoteReference w:id="5761"/>
      </w:r>
      <w:r w:rsidRPr="00AF3214">
        <w:rPr>
          <w:rFonts w:ascii="Narkisim" w:hAnsi="Narkisim" w:cs="Narkisim"/>
        </w:rPr>
        <w:t xml:space="preserve">, </w:t>
      </w:r>
      <w:r w:rsidRPr="00AF3214">
        <w:rPr>
          <w:rFonts w:ascii="Narkisim" w:hAnsi="Narkisim" w:cs="Narkisim"/>
          <w:rtl/>
        </w:rPr>
        <w:t>אבל מותר להכות ולחבול כדי לתקן</w:t>
      </w:r>
      <w:r w:rsidRPr="00AF3214">
        <w:rPr>
          <w:rStyle w:val="ac"/>
          <w:rFonts w:ascii="Narkisim" w:hAnsi="Narkisim" w:cs="Narkisim"/>
          <w:rtl/>
        </w:rPr>
        <w:footnoteReference w:id="5762"/>
      </w:r>
      <w:r w:rsidRPr="00AF3214">
        <w:rPr>
          <w:rFonts w:ascii="Narkisim" w:hAnsi="Narkisim" w:cs="Narkisim"/>
        </w:rPr>
        <w:t xml:space="preserve">. </w:t>
      </w:r>
      <w:r w:rsidRPr="00AF3214">
        <w:rPr>
          <w:rFonts w:ascii="Narkisim" w:hAnsi="Narkisim" w:cs="Narkisim"/>
          <w:rtl/>
        </w:rPr>
        <w:t>א"כ כשבי"ד מכין</w:t>
      </w:r>
      <w:r w:rsidRPr="00AF3214">
        <w:rPr>
          <w:rStyle w:val="ac"/>
          <w:rFonts w:ascii="Narkisim" w:hAnsi="Narkisim" w:cs="Narkisim"/>
          <w:rtl/>
        </w:rPr>
        <w:footnoteReference w:id="5763"/>
      </w:r>
      <w:r w:rsidRPr="00AF3214">
        <w:rPr>
          <w:rFonts w:ascii="Narkisim" w:hAnsi="Narkisim" w:cs="Narkisim"/>
        </w:rPr>
        <w:t xml:space="preserve"> </w:t>
      </w:r>
      <w:r w:rsidRPr="00AF3214">
        <w:rPr>
          <w:rFonts w:ascii="Narkisim" w:hAnsi="Narkisim" w:cs="Narkisim"/>
          <w:rtl/>
        </w:rPr>
        <w:t>לא הוה עקירת דבר מה"ת. וכת' דקו' הגמ' מהא דהורגין שלא מהדין, אבל הכאה לא הוה איסור</w:t>
      </w:r>
      <w:r w:rsidRPr="00AF3214">
        <w:rPr>
          <w:rFonts w:ascii="Narkisim" w:hAnsi="Narkisim" w:cs="Narkisim"/>
        </w:rPr>
        <w:t>.</w:t>
      </w:r>
    </w:p>
    <w:p w14:paraId="5C1C4B10" w14:textId="77777777" w:rsidR="006C4368" w:rsidRPr="00AF3214" w:rsidRDefault="006C4368" w:rsidP="006C4368">
      <w:pPr>
        <w:pStyle w:val="aa"/>
        <w:bidi/>
        <w:rPr>
          <w:rFonts w:ascii="Narkisim" w:hAnsi="Narkisim"/>
        </w:rPr>
      </w:pPr>
      <w:r w:rsidRPr="00AF3214">
        <w:rPr>
          <w:rFonts w:ascii="Narkisim" w:hAnsi="Narkisim"/>
          <w:u w:val="single"/>
          <w:rtl/>
        </w:rPr>
        <w:t>מיגדר מילתא שאני</w:t>
      </w:r>
      <w:r w:rsidRPr="00AF3214">
        <w:rPr>
          <w:rFonts w:ascii="Narkisim" w:hAnsi="Narkisim"/>
          <w:rtl/>
        </w:rPr>
        <w:t>. ולדעת ה</w:t>
      </w:r>
      <w:r w:rsidRPr="00AF3214">
        <w:rPr>
          <w:rFonts w:ascii="Narkisim" w:hAnsi="Narkisim"/>
          <w:b/>
          <w:bCs/>
          <w:rtl/>
        </w:rPr>
        <w:t>רמב"ם</w:t>
      </w:r>
      <w:r w:rsidRPr="00AF3214">
        <w:rPr>
          <w:rFonts w:ascii="Narkisim" w:hAnsi="Narkisim"/>
          <w:rtl/>
        </w:rPr>
        <w:t xml:space="preserve"> (הנ"ל) לכאורה הוה דוקא לפי שעה. וה</w:t>
      </w:r>
      <w:r w:rsidRPr="00AF3214">
        <w:rPr>
          <w:rFonts w:ascii="Narkisim" w:hAnsi="Narkisim"/>
          <w:b/>
          <w:bCs/>
          <w:rtl/>
        </w:rPr>
        <w:t>קובה"ע</w:t>
      </w:r>
      <w:r w:rsidRPr="00AF3214">
        <w:rPr>
          <w:rFonts w:ascii="Narkisim" w:hAnsi="Narkisim"/>
          <w:rtl/>
        </w:rPr>
        <w:t xml:space="preserve"> (שם) הק' דתקנת מלקות מרדות הוא לדורות. ותי' דמלקות מרדות נחשב תועלת ואינו בכלל חבלה, וקו' הגמ' מהא דהורגין</w:t>
      </w:r>
      <w:r w:rsidRPr="00AF3214">
        <w:rPr>
          <w:rFonts w:ascii="Narkisim" w:hAnsi="Narkisim"/>
        </w:rPr>
        <w:t>.</w:t>
      </w:r>
    </w:p>
    <w:p w14:paraId="447895BB" w14:textId="77777777" w:rsidR="006C4368" w:rsidRPr="00AF3214" w:rsidRDefault="006C4368" w:rsidP="006C4368">
      <w:pPr>
        <w:pStyle w:val="aa"/>
        <w:bidi/>
        <w:rPr>
          <w:rFonts w:ascii="Narkisim" w:hAnsi="Narkisim"/>
        </w:rPr>
      </w:pPr>
      <w:r w:rsidRPr="00AF3214">
        <w:rPr>
          <w:rFonts w:ascii="Narkisim" w:hAnsi="Narkisim"/>
          <w:u w:val="single"/>
          <w:rtl/>
        </w:rPr>
        <w:t>ולא זו"ז מטמאין לה, מנלן וכו' אין מטמא לאשתו פסולה</w:t>
      </w:r>
      <w:r w:rsidRPr="00AF3214">
        <w:rPr>
          <w:rStyle w:val="ac"/>
          <w:rFonts w:ascii="Narkisim" w:hAnsi="Narkisim"/>
          <w:rtl/>
        </w:rPr>
        <w:footnoteReference w:id="5764"/>
      </w:r>
      <w:r w:rsidRPr="00AF3214">
        <w:rPr>
          <w:rFonts w:ascii="Narkisim" w:hAnsi="Narkisim"/>
        </w:rPr>
        <w:t xml:space="preserve">. </w:t>
      </w:r>
      <w:r w:rsidRPr="00AF3214">
        <w:rPr>
          <w:rFonts w:ascii="Narkisim" w:hAnsi="Narkisim"/>
          <w:rtl/>
        </w:rPr>
        <w:t>ה</w:t>
      </w:r>
      <w:r w:rsidRPr="00AF3214">
        <w:rPr>
          <w:rFonts w:ascii="Narkisim" w:hAnsi="Narkisim"/>
          <w:b/>
          <w:bCs/>
          <w:rtl/>
        </w:rPr>
        <w:t>רמב"ן</w:t>
      </w:r>
      <w:r w:rsidRPr="00AF3214">
        <w:rPr>
          <w:rFonts w:ascii="Narkisim" w:hAnsi="Narkisim"/>
          <w:rtl/>
        </w:rPr>
        <w:t xml:space="preserve"> ביאר דקו' הגמ' דל"ש קנס לענין לטמאות לה, דמאי איכפ"ל. וע"כ דילפינן מדאורייתא. אבל ה</w:t>
      </w:r>
      <w:r w:rsidRPr="00AF3214">
        <w:rPr>
          <w:rFonts w:ascii="Narkisim" w:hAnsi="Narkisim"/>
          <w:b/>
          <w:bCs/>
          <w:rtl/>
        </w:rPr>
        <w:t>ריטב"א</w:t>
      </w:r>
      <w:r w:rsidRPr="00AF3214">
        <w:rPr>
          <w:rFonts w:ascii="Narkisim" w:hAnsi="Narkisim"/>
          <w:rtl/>
        </w:rPr>
        <w:t xml:space="preserve"> כת' דהמ"ל משום קנס, אלא נקט האמת</w:t>
      </w:r>
      <w:r w:rsidRPr="00AF3214">
        <w:rPr>
          <w:rFonts w:ascii="Narkisim" w:hAnsi="Narkisim"/>
        </w:rPr>
        <w:t>.</w:t>
      </w:r>
    </w:p>
    <w:p w14:paraId="6114F681" w14:textId="77777777" w:rsidR="006C4368" w:rsidRPr="00AF3214" w:rsidRDefault="006C4368" w:rsidP="006C4368">
      <w:pPr>
        <w:pStyle w:val="aa"/>
        <w:bidi/>
        <w:rPr>
          <w:rFonts w:ascii="Narkisim" w:hAnsi="Narkisim"/>
        </w:rPr>
      </w:pPr>
      <w:r w:rsidRPr="00AF3214">
        <w:rPr>
          <w:rFonts w:ascii="Narkisim" w:hAnsi="Narkisim"/>
          <w:u w:val="single"/>
          <w:rtl/>
        </w:rPr>
        <w:t>מטמא הוא לאשתו כשרה וכו'</w:t>
      </w:r>
      <w:r w:rsidRPr="00AF3214">
        <w:rPr>
          <w:rFonts w:ascii="Narkisim" w:hAnsi="Narkisim"/>
          <w:rtl/>
        </w:rPr>
        <w:t>. ה</w:t>
      </w:r>
      <w:r w:rsidRPr="00AF3214">
        <w:rPr>
          <w:rFonts w:ascii="Narkisim" w:hAnsi="Narkisim"/>
          <w:b/>
          <w:bCs/>
          <w:rtl/>
        </w:rPr>
        <w:t>ריטב"א</w:t>
      </w:r>
      <w:r w:rsidRPr="00AF3214">
        <w:rPr>
          <w:rFonts w:ascii="Narkisim" w:hAnsi="Narkisim"/>
          <w:rtl/>
        </w:rPr>
        <w:t xml:space="preserve"> פי' דאשתו כשירה קרינן ביה שארו, אבל אשתו פסולה דבעמוד והוצא קאי קרינן ביה לא יטמא בעל בעמיו. [ומשמע דגדר המיעוט דכיון דאסורה עליו לא מקרי 'שאר' לענין זה]</w:t>
      </w:r>
      <w:r w:rsidRPr="00AF3214">
        <w:rPr>
          <w:rFonts w:ascii="Narkisim" w:hAnsi="Narkisim"/>
        </w:rPr>
        <w:t>.</w:t>
      </w:r>
    </w:p>
    <w:p w14:paraId="7C41AF51"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(אבל ב ט, ע"פ תורת כהנים) כת' דדוקא אשתו פסולה אינו מטמא, אבל מטמא לאמו אף שנתחללה וכן שאר קרוב, ואפי' ממזר</w:t>
      </w:r>
      <w:r w:rsidRPr="00AF3214">
        <w:rPr>
          <w:rFonts w:ascii="Narkisim" w:hAnsi="Narkisim"/>
        </w:rPr>
        <w:t>.</w:t>
      </w:r>
    </w:p>
    <w:p w14:paraId="7EEFAB4F" w14:textId="77777777" w:rsidR="006C4368" w:rsidRPr="00AF3214" w:rsidRDefault="006C4368" w:rsidP="006C4368">
      <w:pPr>
        <w:bidi/>
        <w:rPr>
          <w:rFonts w:ascii="Narkisim" w:hAnsi="Narkisim" w:cs="Narkisim"/>
        </w:rPr>
      </w:pPr>
      <w:r w:rsidRPr="00AF3214">
        <w:rPr>
          <w:rFonts w:ascii="Narkisim" w:hAnsi="Narkisim" w:cs="Narkisim"/>
          <w:u w:val="single"/>
          <w:rtl/>
        </w:rPr>
        <w:t>במציאתה</w:t>
      </w:r>
      <w:r w:rsidRPr="00AF3214">
        <w:rPr>
          <w:rStyle w:val="ac"/>
          <w:rFonts w:ascii="Narkisim" w:hAnsi="Narkisim" w:cs="Narkisim"/>
          <w:u w:val="single"/>
          <w:rtl/>
        </w:rPr>
        <w:footnoteReference w:id="5765"/>
      </w:r>
      <w:r w:rsidRPr="00AF3214">
        <w:rPr>
          <w:rFonts w:ascii="Narkisim" w:hAnsi="Narkisim" w:cs="Narkisim"/>
          <w:u w:val="single"/>
          <w:rtl/>
        </w:rPr>
        <w:t xml:space="preserve"> וכו' הכא תיהוי ליה איבה ואיבה וכו</w:t>
      </w:r>
      <w:r w:rsidRPr="00AF3214">
        <w:rPr>
          <w:rFonts w:ascii="Narkisim" w:hAnsi="Narkisim" w:cs="Narkisim"/>
          <w:rtl/>
        </w:rPr>
        <w:t>'. ה</w:t>
      </w:r>
      <w:r w:rsidRPr="00AF3214">
        <w:rPr>
          <w:rFonts w:ascii="Narkisim" w:hAnsi="Narkisim" w:cs="Narkisim"/>
          <w:b/>
          <w:bCs/>
          <w:rtl/>
        </w:rPr>
        <w:t>רמב"ן</w:t>
      </w:r>
      <w:r w:rsidRPr="00AF3214">
        <w:rPr>
          <w:rFonts w:ascii="Narkisim" w:hAnsi="Narkisim" w:cs="Narkisim"/>
          <w:rtl/>
        </w:rPr>
        <w:t xml:space="preserve"> כת' דסברא זו שייך אף באלמנה לכה"ג, ונהי דיש לה כתובה ותנאי כתובה (כדתנן לעיל פד.), בעלה אינו זכאי במציאתה. אבל ה</w:t>
      </w:r>
      <w:r w:rsidRPr="00AF3214">
        <w:rPr>
          <w:rFonts w:ascii="Narkisim" w:hAnsi="Narkisim" w:cs="Narkisim"/>
          <w:b/>
          <w:bCs/>
          <w:rtl/>
        </w:rPr>
        <w:t>רשב"א</w:t>
      </w:r>
      <w:r w:rsidRPr="00AF3214">
        <w:rPr>
          <w:rFonts w:ascii="Narkisim" w:hAnsi="Narkisim" w:cs="Narkisim"/>
          <w:rtl/>
        </w:rPr>
        <w:t xml:space="preserve"> הביא דמפורש ב</w:t>
      </w:r>
      <w:r w:rsidRPr="00AF3214">
        <w:rPr>
          <w:rFonts w:ascii="Narkisim" w:hAnsi="Narkisim" w:cs="Narkisim"/>
          <w:b/>
          <w:bCs/>
          <w:rtl/>
        </w:rPr>
        <w:t>תוספתא</w:t>
      </w:r>
      <w:r w:rsidRPr="00AF3214">
        <w:rPr>
          <w:rFonts w:ascii="Narkisim" w:hAnsi="Narkisim" w:cs="Narkisim"/>
          <w:rtl/>
        </w:rPr>
        <w:t xml:space="preserve"> (לעיל</w:t>
      </w:r>
      <w:r w:rsidRPr="00AF3214">
        <w:rPr>
          <w:rStyle w:val="ac"/>
          <w:rFonts w:ascii="Narkisim" w:hAnsi="Narkisim" w:cs="Narkisim"/>
          <w:rtl/>
        </w:rPr>
        <w:footnoteReference w:id="5766"/>
      </w:r>
      <w:r w:rsidRPr="00AF3214">
        <w:rPr>
          <w:rFonts w:ascii="Narkisim" w:hAnsi="Narkisim" w:cs="Narkisim"/>
          <w:rtl/>
        </w:rPr>
        <w:t>) דבאלמנה לכה"ג זכאי במציאתה ובמעש"י ובהפרת נדריה</w:t>
      </w:r>
      <w:r w:rsidRPr="00AF3214">
        <w:rPr>
          <w:rStyle w:val="ac"/>
          <w:rFonts w:ascii="Narkisim" w:hAnsi="Narkisim" w:cs="Narkisim"/>
          <w:rtl/>
        </w:rPr>
        <w:footnoteReference w:id="5767"/>
      </w:r>
      <w:r w:rsidRPr="00AF3214">
        <w:rPr>
          <w:rFonts w:ascii="Narkisim" w:hAnsi="Narkisim" w:cs="Narkisim"/>
          <w:rtl/>
        </w:rPr>
        <w:t>. וביאר דהתם כיון דהוה אשתו לכל דבר, לא חילקו אף לענין מציאתה</w:t>
      </w:r>
      <w:r w:rsidRPr="00AF3214">
        <w:rPr>
          <w:rStyle w:val="ac"/>
          <w:rFonts w:ascii="Narkisim" w:hAnsi="Narkisim" w:cs="Narkisim"/>
          <w:rtl/>
        </w:rPr>
        <w:footnoteReference w:id="5768"/>
      </w:r>
      <w:r w:rsidRPr="00AF3214">
        <w:rPr>
          <w:rFonts w:ascii="Narkisim" w:hAnsi="Narkisim" w:cs="Narkisim"/>
          <w:rtl/>
        </w:rPr>
        <w:t>.</w:t>
      </w:r>
    </w:p>
    <w:p w14:paraId="4B8C03B0" w14:textId="77777777" w:rsidR="006C4368" w:rsidRPr="00AF3214" w:rsidRDefault="006C4368" w:rsidP="006C4368">
      <w:pPr>
        <w:bidi/>
        <w:rPr>
          <w:rFonts w:ascii="Narkisim" w:hAnsi="Narkisim" w:cs="Narkisim"/>
        </w:rPr>
      </w:pPr>
      <w:r w:rsidRPr="00AF3214">
        <w:rPr>
          <w:rFonts w:ascii="Narkisim" w:hAnsi="Narkisim" w:cs="Narkisim"/>
          <w:u w:val="single"/>
          <w:rtl/>
        </w:rPr>
        <w:t>טעמא מאי אמר רחמנא בעל מיפר, כדי שלא תתגנה וכו'</w:t>
      </w:r>
      <w:r w:rsidRPr="00AF3214">
        <w:rPr>
          <w:rFonts w:ascii="Narkisim" w:hAnsi="Narkisim" w:cs="Narkisim"/>
          <w:rtl/>
        </w:rPr>
        <w:t xml:space="preserve">. לגירסא דידן משמע דדרשי' טעמא דקרא, דכיון דהיא אסורה עליו אינו בכלל טעמא דקרא דבעל מיפר לאשתו. אבל </w:t>
      </w:r>
      <w:r w:rsidRPr="00AF3214">
        <w:rPr>
          <w:rFonts w:ascii="Narkisim" w:hAnsi="Narkisim" w:cs="Narkisim"/>
          <w:b/>
          <w:bCs/>
          <w:rtl/>
        </w:rPr>
        <w:t>תוס</w:t>
      </w:r>
      <w:r w:rsidRPr="00AF3214">
        <w:rPr>
          <w:rFonts w:ascii="Narkisim" w:hAnsi="Narkisim" w:cs="Narkisim"/>
          <w:rtl/>
        </w:rPr>
        <w:t>' (לעיל פט. ד"ה מאי) הביאו גירסא אמור רבנן, דקאי אהנך דמיפר נדריה מדרבנן. ותוס' פי' דמש"ה תקנו [בכל הנשים] שלא יפר נדריה</w:t>
      </w:r>
      <w:r w:rsidRPr="00AF3214">
        <w:rPr>
          <w:rStyle w:val="ac"/>
          <w:rFonts w:ascii="Narkisim" w:hAnsi="Narkisim" w:cs="Narkisim"/>
          <w:rtl/>
        </w:rPr>
        <w:footnoteReference w:id="5769"/>
      </w:r>
      <w:r w:rsidRPr="00AF3214">
        <w:rPr>
          <w:rFonts w:ascii="Narkisim" w:hAnsi="Narkisim" w:cs="Narkisim"/>
        </w:rPr>
        <w:t>.</w:t>
      </w:r>
    </w:p>
    <w:p w14:paraId="557658DE" w14:textId="77777777" w:rsidR="006C4368" w:rsidRPr="00AF3214" w:rsidRDefault="006C4368" w:rsidP="006C4368">
      <w:pPr>
        <w:pStyle w:val="a7"/>
        <w:bidi/>
        <w:rPr>
          <w:rFonts w:ascii="Narkisim" w:hAnsi="Narkisim"/>
        </w:rPr>
      </w:pPr>
      <w:r w:rsidRPr="00AF3214">
        <w:rPr>
          <w:rFonts w:ascii="Narkisim" w:hAnsi="Narkisim"/>
          <w:rtl/>
        </w:rPr>
        <w:t>ולכאורה אף לגירסא דידן יל"פ עד"ז, דחכמים תקנו שלא יהני הפרת הבעל. כיון דע"פ טעמא דקרא לא מהני</w:t>
      </w:r>
      <w:r w:rsidRPr="00AF3214">
        <w:rPr>
          <w:rFonts w:ascii="Narkisim" w:hAnsi="Narkisim"/>
        </w:rPr>
        <w:t>.</w:t>
      </w:r>
    </w:p>
    <w:p w14:paraId="383C2600" w14:textId="77777777" w:rsidR="006C4368" w:rsidRPr="00AF3214" w:rsidRDefault="006C4368" w:rsidP="006C4368">
      <w:pPr>
        <w:bidi/>
        <w:rPr>
          <w:rFonts w:ascii="Narkisim" w:hAnsi="Narkisim" w:cs="Narkisim"/>
        </w:rPr>
      </w:pPr>
      <w:r w:rsidRPr="00AF3214">
        <w:rPr>
          <w:rFonts w:ascii="Narkisim" w:hAnsi="Narkisim" w:cs="Narkisim"/>
          <w:u w:val="single"/>
          <w:rtl/>
        </w:rPr>
        <w:t>שם. כדי שלא תתגנה</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כגון נדרי עינוי נפש וכו'. וה</w:t>
      </w:r>
      <w:r w:rsidRPr="00AF3214">
        <w:rPr>
          <w:rFonts w:ascii="Narkisim" w:hAnsi="Narkisim" w:cs="Narkisim"/>
          <w:b/>
          <w:bCs/>
          <w:rtl/>
        </w:rPr>
        <w:t>רשב"א</w:t>
      </w:r>
      <w:r w:rsidRPr="00AF3214">
        <w:rPr>
          <w:rFonts w:ascii="Narkisim" w:hAnsi="Narkisim" w:cs="Narkisim"/>
          <w:rtl/>
        </w:rPr>
        <w:t xml:space="preserve"> הק' דקי"ל דבעל מיפר אף נדרים שבינו לבינה. [וע"כ הפרת נדרים לא הוה משום שלא תתגנה]</w:t>
      </w:r>
      <w:r w:rsidRPr="00AF3214">
        <w:rPr>
          <w:rFonts w:ascii="Narkisim" w:hAnsi="Narkisim" w:cs="Narkisim"/>
        </w:rPr>
        <w:t>.</w:t>
      </w:r>
    </w:p>
    <w:p w14:paraId="768A904F" w14:textId="77777777" w:rsidR="006C4368" w:rsidRPr="00AF3214" w:rsidRDefault="006C4368" w:rsidP="006C4368">
      <w:pPr>
        <w:pStyle w:val="a7"/>
        <w:bidi/>
        <w:rPr>
          <w:rFonts w:ascii="Narkisim" w:hAnsi="Narkisim"/>
        </w:rPr>
      </w:pPr>
      <w:r w:rsidRPr="00AF3214">
        <w:rPr>
          <w:rFonts w:ascii="Narkisim" w:hAnsi="Narkisim"/>
          <w:rtl/>
        </w:rPr>
        <w:t>ועוה"ק ה</w:t>
      </w:r>
      <w:r w:rsidRPr="00AF3214">
        <w:rPr>
          <w:rFonts w:ascii="Narkisim" w:hAnsi="Narkisim"/>
          <w:b/>
          <w:bCs/>
          <w:rtl/>
        </w:rPr>
        <w:t>רשב"א</w:t>
      </w:r>
      <w:r w:rsidRPr="00AF3214">
        <w:rPr>
          <w:rFonts w:ascii="Narkisim" w:hAnsi="Narkisim"/>
          <w:rtl/>
        </w:rPr>
        <w:t xml:space="preserve"> דהא דבעל מיפר נדריה הוה משום שנודרת על דעתו, וכדר' פנחס (לעיל </w:t>
      </w:r>
      <w:r w:rsidRPr="00AF3214">
        <w:rPr>
          <w:rFonts w:ascii="Narkisim" w:hAnsi="Narkisim"/>
          <w:rtl/>
        </w:rPr>
        <w:lastRenderedPageBreak/>
        <w:t>כט:). וה</w:t>
      </w:r>
      <w:r w:rsidRPr="00AF3214">
        <w:rPr>
          <w:rFonts w:ascii="Narkisim" w:hAnsi="Narkisim"/>
          <w:b/>
          <w:bCs/>
          <w:rtl/>
        </w:rPr>
        <w:t>רשב"א</w:t>
      </w:r>
      <w:r w:rsidRPr="00AF3214">
        <w:rPr>
          <w:rFonts w:ascii="Narkisim" w:hAnsi="Narkisim"/>
          <w:rtl/>
        </w:rPr>
        <w:t xml:space="preserve"> ביאר דהטעם שמתכוונת ונודרת על דעתו, הוא כדי שלא תתגנה עליו. אבל הכא דעומדת שיוציאנה אינה משועבדת לו, ואינה נודרת על דעתו דלא איכפת לה שתתגנה</w:t>
      </w:r>
      <w:r w:rsidRPr="00AF3214">
        <w:rPr>
          <w:rFonts w:ascii="Narkisim" w:hAnsi="Narkisim"/>
        </w:rPr>
        <w:t>.</w:t>
      </w:r>
    </w:p>
    <w:p w14:paraId="3CCF1D63" w14:textId="77777777" w:rsidR="006C4368" w:rsidRPr="00AF3214" w:rsidRDefault="006C4368" w:rsidP="006C4368">
      <w:pPr>
        <w:pStyle w:val="3"/>
        <w:bidi/>
        <w:rPr>
          <w:rFonts w:ascii="Narkisim" w:hAnsi="Narkisim"/>
        </w:rPr>
      </w:pPr>
      <w:r w:rsidRPr="00AF3214">
        <w:rPr>
          <w:rFonts w:ascii="Narkisim" w:hAnsi="Narkisim"/>
          <w:rtl/>
        </w:rPr>
        <w:t>דף צא</w:t>
      </w:r>
      <w:r w:rsidRPr="00AF3214">
        <w:rPr>
          <w:rFonts w:ascii="Narkisim" w:hAnsi="Narkisim"/>
        </w:rPr>
        <w:t>.</w:t>
      </w:r>
    </w:p>
    <w:p w14:paraId="70A72E03" w14:textId="77777777" w:rsidR="006C4368" w:rsidRPr="00AF3214" w:rsidRDefault="006C4368" w:rsidP="006C4368">
      <w:pPr>
        <w:bidi/>
        <w:rPr>
          <w:rFonts w:ascii="Narkisim" w:hAnsi="Narkisim" w:cs="Narkisim"/>
        </w:rPr>
      </w:pPr>
      <w:r w:rsidRPr="00AF3214">
        <w:rPr>
          <w:rFonts w:ascii="Narkisim" w:hAnsi="Narkisim" w:cs="Narkisim"/>
          <w:u w:val="single"/>
          <w:rtl/>
        </w:rPr>
        <w:t>פשיטא</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זונה היא. </w:t>
      </w:r>
      <w:r w:rsidRPr="00AF3214">
        <w:rPr>
          <w:rFonts w:ascii="Narkisim" w:hAnsi="Narkisim" w:cs="Narkisim"/>
          <w:szCs w:val="20"/>
          <w:rtl/>
        </w:rPr>
        <w:t xml:space="preserve">[ויש </w:t>
      </w:r>
      <w:r w:rsidRPr="00AF3214">
        <w:rPr>
          <w:rFonts w:ascii="Narkisim" w:hAnsi="Narkisim" w:cs="Narkisim"/>
          <w:b/>
          <w:bCs/>
          <w:szCs w:val="20"/>
          <w:rtl/>
        </w:rPr>
        <w:t>ראשונים</w:t>
      </w:r>
      <w:r w:rsidRPr="00AF3214">
        <w:rPr>
          <w:rFonts w:ascii="Narkisim" w:hAnsi="Narkisim" w:cs="Narkisim"/>
          <w:szCs w:val="20"/>
          <w:rtl/>
        </w:rPr>
        <w:t xml:space="preserve"> (רמב"ן, ריטב"א) שגרסו בגמ' פשיטא זונה היא]</w:t>
      </w:r>
      <w:r w:rsidRPr="00AF3214">
        <w:rPr>
          <w:rFonts w:ascii="Narkisim" w:hAnsi="Narkisim" w:cs="Narkisim"/>
          <w:rtl/>
        </w:rPr>
        <w:t>. ובפשוטו קאי כמ"ד (לעיל נו:) דאף באונס הוה זונה. וה</w:t>
      </w:r>
      <w:r w:rsidRPr="00AF3214">
        <w:rPr>
          <w:rFonts w:ascii="Narkisim" w:hAnsi="Narkisim" w:cs="Narkisim"/>
          <w:b/>
          <w:bCs/>
          <w:rtl/>
        </w:rPr>
        <w:t>רמב"ן</w:t>
      </w:r>
      <w:r w:rsidRPr="00AF3214">
        <w:rPr>
          <w:rFonts w:ascii="Narkisim" w:hAnsi="Narkisim" w:cs="Narkisim"/>
          <w:rtl/>
        </w:rPr>
        <w:t xml:space="preserve"> כת' דזונה לאו דוקא, אלא דנבעלה לפסול לה אסורה</w:t>
      </w:r>
      <w:r w:rsidRPr="00AF3214">
        <w:rPr>
          <w:rStyle w:val="ac"/>
          <w:rFonts w:ascii="Narkisim" w:hAnsi="Narkisim" w:cs="Narkisim"/>
          <w:rtl/>
        </w:rPr>
        <w:footnoteReference w:id="5770"/>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כת' [דכוונת הגמ'] דאף למ"ד דבאונס לא הוה זונה, בסוגיין הוה זונה מדרבנן, דעשאוה כמו שזינתה ברצון ליאסר לבעל ולבועל. [ועד"ז כת' תוס'</w:t>
      </w:r>
      <w:r w:rsidRPr="00AF3214">
        <w:rPr>
          <w:rStyle w:val="ac"/>
          <w:rFonts w:ascii="Narkisim" w:hAnsi="Narkisim" w:cs="Narkisim"/>
          <w:rtl/>
        </w:rPr>
        <w:footnoteReference w:id="5771"/>
      </w:r>
      <w:r w:rsidRPr="00AF3214">
        <w:rPr>
          <w:rFonts w:ascii="Narkisim" w:hAnsi="Narkisim" w:cs="Narkisim"/>
          <w:rtl/>
        </w:rPr>
        <w:t>]</w:t>
      </w:r>
      <w:r w:rsidRPr="00AF3214">
        <w:rPr>
          <w:rFonts w:ascii="Narkisim" w:hAnsi="Narkisim" w:cs="Narkisim"/>
        </w:rPr>
        <w:t>.</w:t>
      </w:r>
    </w:p>
    <w:p w14:paraId="589D1B21" w14:textId="77777777" w:rsidR="006C4368" w:rsidRPr="00AF3214" w:rsidRDefault="006C4368" w:rsidP="006C4368">
      <w:pPr>
        <w:bidi/>
        <w:rPr>
          <w:rFonts w:ascii="Narkisim" w:hAnsi="Narkisim" w:cs="Narkisim"/>
        </w:rPr>
      </w:pPr>
      <w:r w:rsidRPr="00AF3214">
        <w:rPr>
          <w:rFonts w:ascii="Narkisim" w:hAnsi="Narkisim" w:cs="Narkisim"/>
          <w:u w:val="single"/>
          <w:rtl/>
        </w:rPr>
        <w:t>ובת לוי מן המעשר מי מיפסלא בזנות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פי' דאף לר' מאיר [דאסור לזרים] אינה מפסלה. אבל מדברי ה</w:t>
      </w:r>
      <w:r w:rsidRPr="00AF3214">
        <w:rPr>
          <w:rFonts w:ascii="Narkisim" w:hAnsi="Narkisim" w:cs="Narkisim"/>
          <w:b/>
          <w:bCs/>
          <w:rtl/>
        </w:rPr>
        <w:t>רמב"ם</w:t>
      </w:r>
      <w:r w:rsidRPr="00AF3214">
        <w:rPr>
          <w:rFonts w:ascii="Narkisim" w:hAnsi="Narkisim" w:cs="Narkisim"/>
          <w:rtl/>
        </w:rPr>
        <w:t xml:space="preserve"> (מעשר א ב) משמע דלר' מאיר זונה אינה אוכלת מעשר</w:t>
      </w:r>
      <w:r w:rsidRPr="00AF3214">
        <w:rPr>
          <w:rStyle w:val="ac"/>
          <w:rFonts w:ascii="Narkisim" w:hAnsi="Narkisim" w:cs="Narkisim"/>
          <w:rtl/>
        </w:rPr>
        <w:footnoteReference w:id="5772"/>
      </w:r>
      <w:r w:rsidRPr="00AF3214">
        <w:rPr>
          <w:rFonts w:ascii="Narkisim" w:hAnsi="Narkisim" w:cs="Narkisim"/>
        </w:rPr>
        <w:t xml:space="preserve">, </w:t>
      </w:r>
      <w:r w:rsidRPr="00AF3214">
        <w:rPr>
          <w:rFonts w:ascii="Narkisim" w:hAnsi="Narkisim" w:cs="Narkisim"/>
          <w:rtl/>
        </w:rPr>
        <w:t xml:space="preserve">וכן דייק </w:t>
      </w:r>
      <w:r w:rsidRPr="00AF3214">
        <w:rPr>
          <w:rFonts w:ascii="Narkisim" w:hAnsi="Narkisim" w:cs="Narkisim"/>
          <w:b/>
          <w:bCs/>
          <w:rtl/>
        </w:rPr>
        <w:t>מהר"י קורקוס</w:t>
      </w:r>
      <w:r w:rsidRPr="00AF3214">
        <w:rPr>
          <w:rFonts w:ascii="Narkisim" w:hAnsi="Narkisim" w:cs="Narkisim"/>
          <w:rtl/>
        </w:rPr>
        <w:t xml:space="preserve"> (ומשנ"ל שם) א"כ הגמ' כאן כאן לרבנן. וכת' דאפשר דלדעת הרמב"ם קאי הכא לענין נתינת מעשר [וע"ד התי' הב' בתוס'], דלרבנן אף שזינתה מתקיים נתינת מעשר אצלה, ולא הוה כזרה. ועוד פי' דקמ"ל דהיכא דזינתה לא קנסו אותה באכילת תרומה, וכמו שקנסו בסוגיין</w:t>
      </w:r>
      <w:r w:rsidRPr="00AF3214">
        <w:rPr>
          <w:rFonts w:ascii="Narkisim" w:hAnsi="Narkisim" w:cs="Narkisim"/>
        </w:rPr>
        <w:t>.</w:t>
      </w:r>
    </w:p>
    <w:p w14:paraId="1E26AC83" w14:textId="77777777" w:rsidR="006C4368" w:rsidRPr="00AF3214" w:rsidRDefault="006C4368" w:rsidP="006C4368">
      <w:pPr>
        <w:bidi/>
        <w:rPr>
          <w:rFonts w:ascii="Narkisim" w:hAnsi="Narkisim" w:cs="Narkisim"/>
        </w:rPr>
      </w:pPr>
      <w:r w:rsidRPr="00AF3214">
        <w:rPr>
          <w:rFonts w:ascii="Narkisim" w:hAnsi="Narkisim" w:cs="Narkisim"/>
          <w:u w:val="single"/>
          <w:rtl/>
        </w:rPr>
        <w:t>תוד"ה אמר</w:t>
      </w:r>
      <w:r w:rsidRPr="00AF3214">
        <w:rPr>
          <w:rFonts w:ascii="Narkisim" w:hAnsi="Narkisim" w:cs="Narkisim"/>
          <w:rtl/>
        </w:rPr>
        <w:t>. ושמא לר' מאיר דוקא מיפסלא וכו' דקנסוה</w:t>
      </w:r>
      <w:r w:rsidRPr="00AF3214">
        <w:rPr>
          <w:rStyle w:val="ac"/>
          <w:rFonts w:ascii="Narkisim" w:hAnsi="Narkisim" w:cs="Narkisim"/>
          <w:rtl/>
        </w:rPr>
        <w:footnoteReference w:id="5773"/>
      </w:r>
      <w:r w:rsidRPr="00AF3214">
        <w:rPr>
          <w:rFonts w:ascii="Narkisim" w:hAnsi="Narkisim" w:cs="Narkisim"/>
        </w:rPr>
        <w:t xml:space="preserve"> </w:t>
      </w:r>
      <w:r w:rsidRPr="00AF3214">
        <w:rPr>
          <w:rFonts w:ascii="Narkisim" w:hAnsi="Narkisim" w:cs="Narkisim"/>
          <w:rtl/>
        </w:rPr>
        <w:t>שתחשב כזרה</w:t>
      </w:r>
      <w:r w:rsidRPr="00AF3214">
        <w:rPr>
          <w:rStyle w:val="ac"/>
          <w:rFonts w:ascii="Narkisim" w:hAnsi="Narkisim" w:cs="Narkisim"/>
          <w:rtl/>
        </w:rPr>
        <w:footnoteReference w:id="5774"/>
      </w:r>
      <w:r w:rsidRPr="00AF3214">
        <w:rPr>
          <w:rFonts w:ascii="Narkisim" w:hAnsi="Narkisim" w:cs="Narkisim"/>
        </w:rPr>
        <w:t xml:space="preserve"> </w:t>
      </w:r>
      <w:r w:rsidRPr="00AF3214">
        <w:rPr>
          <w:rFonts w:ascii="Narkisim" w:hAnsi="Narkisim" w:cs="Narkisim"/>
          <w:rtl/>
        </w:rPr>
        <w:t>וכו' א"נ אפי' לרבנן דקנסוה שלא ליתן מעשר, אע"פ שמותרת לאוכלה. ופשיטא לתוס' דאף משום קנס לא גרע מזר. אבל ה</w:t>
      </w:r>
      <w:r w:rsidRPr="00AF3214">
        <w:rPr>
          <w:rFonts w:ascii="Narkisim" w:hAnsi="Narkisim" w:cs="Narkisim"/>
          <w:b/>
          <w:bCs/>
          <w:rtl/>
        </w:rPr>
        <w:t>רמב"ם</w:t>
      </w:r>
      <w:r w:rsidRPr="00AF3214">
        <w:rPr>
          <w:rFonts w:ascii="Narkisim" w:hAnsi="Narkisim" w:cs="Narkisim"/>
          <w:rtl/>
        </w:rPr>
        <w:t xml:space="preserve"> (מעשר א ב) פסק דמעשר ראשון מותר לזרים, ואפ"ה כתב דשמעה שמת בעלה או ניסת ע"פ ע"א</w:t>
      </w:r>
      <w:r w:rsidRPr="00AF3214">
        <w:rPr>
          <w:rStyle w:val="ac"/>
          <w:rFonts w:ascii="Narkisim" w:hAnsi="Narkisim" w:cs="Narkisim"/>
          <w:rtl/>
        </w:rPr>
        <w:footnoteReference w:id="5775"/>
      </w:r>
      <w:r w:rsidRPr="00AF3214">
        <w:rPr>
          <w:rFonts w:ascii="Narkisim" w:hAnsi="Narkisim" w:cs="Narkisim"/>
        </w:rPr>
        <w:t xml:space="preserve"> </w:t>
      </w:r>
      <w:r w:rsidRPr="00AF3214">
        <w:rPr>
          <w:rFonts w:ascii="Narkisim" w:hAnsi="Narkisim" w:cs="Narkisim"/>
          <w:rtl/>
        </w:rPr>
        <w:t>קנסו שתאסר במעשר. ו</w:t>
      </w:r>
      <w:r w:rsidRPr="00AF3214">
        <w:rPr>
          <w:rFonts w:ascii="Narkisim" w:hAnsi="Narkisim" w:cs="Narkisim"/>
          <w:b/>
          <w:bCs/>
          <w:rtl/>
        </w:rPr>
        <w:t>מהר"י</w:t>
      </w:r>
      <w:r w:rsidRPr="00AF3214">
        <w:rPr>
          <w:rFonts w:ascii="Narkisim" w:hAnsi="Narkisim" w:cs="Narkisim"/>
          <w:rtl/>
        </w:rPr>
        <w:t xml:space="preserve"> </w:t>
      </w:r>
      <w:r w:rsidRPr="00AF3214">
        <w:rPr>
          <w:rFonts w:ascii="Narkisim" w:hAnsi="Narkisim" w:cs="Narkisim"/>
          <w:b/>
          <w:bCs/>
          <w:rtl/>
        </w:rPr>
        <w:t>קורקוס</w:t>
      </w:r>
      <w:r w:rsidRPr="00AF3214">
        <w:rPr>
          <w:rFonts w:ascii="Narkisim" w:hAnsi="Narkisim" w:cs="Narkisim"/>
          <w:rtl/>
        </w:rPr>
        <w:t xml:space="preserve"> כת' דאה"נ קנסו יותר מזרה, כדי שתדייק ותנשא. א"נ גזרו שלא תאכל, כדי שלא יטעו לתת לה מעשר. ועוד כת' דאפשר דכוונת הרמב"ם דקנסו שלא לתת לה [ולא באכילה]</w:t>
      </w:r>
      <w:r w:rsidRPr="00AF3214">
        <w:rPr>
          <w:rFonts w:ascii="Narkisim" w:hAnsi="Narkisim" w:cs="Narkisim"/>
        </w:rPr>
        <w:t>.</w:t>
      </w:r>
    </w:p>
    <w:p w14:paraId="4CB4EA2B" w14:textId="77777777" w:rsidR="006C4368" w:rsidRPr="00AF3214" w:rsidRDefault="006C4368" w:rsidP="006C4368">
      <w:pPr>
        <w:bidi/>
        <w:rPr>
          <w:rFonts w:ascii="Narkisim" w:hAnsi="Narkisim" w:cs="Narkisim"/>
        </w:rPr>
      </w:pPr>
      <w:r w:rsidRPr="00AF3214">
        <w:rPr>
          <w:rFonts w:ascii="Narkisim" w:hAnsi="Narkisim" w:cs="Narkisim"/>
          <w:u w:val="single"/>
          <w:rtl/>
        </w:rPr>
        <w:t>רש"י ד"ה בתרומה דרבנן</w:t>
      </w:r>
      <w:r w:rsidRPr="00AF3214">
        <w:rPr>
          <w:rFonts w:ascii="Narkisim" w:hAnsi="Narkisim" w:cs="Narkisim"/>
          <w:rtl/>
        </w:rPr>
        <w:t>. דקנסוה אמעשר כ"ש אתרומה. משמע דאסורה בתרומה משום קנס</w:t>
      </w:r>
      <w:r w:rsidRPr="00AF3214">
        <w:rPr>
          <w:rStyle w:val="ac"/>
          <w:rFonts w:ascii="Narkisim" w:hAnsi="Narkisim" w:cs="Narkisim"/>
          <w:rtl/>
        </w:rPr>
        <w:footnoteReference w:id="5776"/>
      </w:r>
      <w:r w:rsidRPr="00AF3214">
        <w:rPr>
          <w:rFonts w:ascii="Narkisim" w:hAnsi="Narkisim" w:cs="Narkisim"/>
        </w:rPr>
        <w:t xml:space="preserve">. </w:t>
      </w:r>
      <w:r w:rsidRPr="00AF3214">
        <w:rPr>
          <w:rFonts w:ascii="Narkisim" w:hAnsi="Narkisim" w:cs="Narkisim"/>
          <w:rtl/>
        </w:rPr>
        <w:t xml:space="preserve">וכ"כ </w:t>
      </w:r>
      <w:r w:rsidRPr="00AF3214">
        <w:rPr>
          <w:rFonts w:ascii="Narkisim" w:hAnsi="Narkisim" w:cs="Narkisim"/>
          <w:b/>
          <w:bCs/>
          <w:rtl/>
        </w:rPr>
        <w:t>רש"י</w:t>
      </w:r>
      <w:r w:rsidRPr="00AF3214">
        <w:rPr>
          <w:rFonts w:ascii="Narkisim" w:hAnsi="Narkisim" w:cs="Narkisim"/>
          <w:rtl/>
        </w:rPr>
        <w:t xml:space="preserve"> (במשנה פז: ד"ה מן המעשר). וה</w:t>
      </w:r>
      <w:r w:rsidRPr="00AF3214">
        <w:rPr>
          <w:rFonts w:ascii="Narkisim" w:hAnsi="Narkisim" w:cs="Narkisim"/>
          <w:b/>
          <w:bCs/>
          <w:rtl/>
        </w:rPr>
        <w:t>רשב"א</w:t>
      </w:r>
      <w:r w:rsidRPr="00AF3214">
        <w:rPr>
          <w:rFonts w:ascii="Narkisim" w:hAnsi="Narkisim" w:cs="Narkisim"/>
          <w:rtl/>
        </w:rPr>
        <w:t xml:space="preserve"> (ורמב"ן ושא"ר) חלק דכיון שנבעלה לפסול לה פשיטא דאסורה בתרומה. ואף למ"ד (לעיל נו:) דבזנות באונס לא נאסרה לכהונה, מ"מ אסורה בין בתרומה ובין בכהונה [אלא דאינה לוקה משום זונה]</w:t>
      </w:r>
      <w:r w:rsidRPr="00AF3214">
        <w:rPr>
          <w:rStyle w:val="ac"/>
          <w:rFonts w:ascii="Narkisim" w:hAnsi="Narkisim" w:cs="Narkisim"/>
          <w:rtl/>
        </w:rPr>
        <w:footnoteReference w:id="5777"/>
      </w:r>
      <w:r w:rsidRPr="00AF3214">
        <w:rPr>
          <w:rFonts w:ascii="Narkisim" w:hAnsi="Narkisim" w:cs="Narkisim"/>
        </w:rPr>
        <w:t>.</w:t>
      </w:r>
    </w:p>
    <w:p w14:paraId="53883F86"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ביאר דאפ"ה סד"א דמשום דאניסא נקיל בה, קמ"ל דכל דתקון רבנן כעין דאורייתא תקון</w:t>
      </w:r>
      <w:r w:rsidRPr="00AF3214">
        <w:rPr>
          <w:rFonts w:ascii="Narkisim" w:hAnsi="Narkisim"/>
        </w:rPr>
        <w:t>.</w:t>
      </w:r>
    </w:p>
    <w:p w14:paraId="2CF9D198" w14:textId="77777777" w:rsidR="006C4368" w:rsidRPr="00AF3214" w:rsidRDefault="006C4368" w:rsidP="006C4368">
      <w:pPr>
        <w:bidi/>
        <w:rPr>
          <w:rFonts w:ascii="Narkisim" w:hAnsi="Narkisim" w:cs="Narkisim"/>
        </w:rPr>
      </w:pPr>
      <w:r w:rsidRPr="00AF3214">
        <w:rPr>
          <w:rFonts w:ascii="Narkisim" w:hAnsi="Narkisim" w:cs="Narkisim"/>
          <w:rtl/>
        </w:rPr>
        <w:t xml:space="preserve">וכן </w:t>
      </w:r>
      <w:r w:rsidRPr="00AF3214">
        <w:rPr>
          <w:rFonts w:ascii="Narkisim" w:hAnsi="Narkisim" w:cs="Narkisim"/>
          <w:b/>
          <w:bCs/>
          <w:rtl/>
        </w:rPr>
        <w:t>רש"י</w:t>
      </w:r>
      <w:r w:rsidRPr="00AF3214">
        <w:rPr>
          <w:rFonts w:ascii="Narkisim" w:hAnsi="Narkisim" w:cs="Narkisim"/>
          <w:rtl/>
        </w:rPr>
        <w:t xml:space="preserve"> (לעיל ד"ה פשיטא) כת' דפשיטא דפסולה לכהונה משום זונה. וכ"כ </w:t>
      </w:r>
      <w:r w:rsidRPr="00AF3214">
        <w:rPr>
          <w:rFonts w:ascii="Narkisim" w:hAnsi="Narkisim" w:cs="Narkisim"/>
          <w:b/>
          <w:bCs/>
          <w:rtl/>
        </w:rPr>
        <w:t>רש"י</w:t>
      </w:r>
      <w:r w:rsidRPr="00AF3214">
        <w:rPr>
          <w:rFonts w:ascii="Narkisim" w:hAnsi="Narkisim" w:cs="Narkisim"/>
          <w:rtl/>
        </w:rPr>
        <w:t xml:space="preserve"> (במשנה פז:) דפסולה לכהונה משום זונה. [וכיון דהוה זונה לכאורה אסורה בתרומה, ע' תוס' לעיל מד: ולה.]. משמע דאסורה מדינא משום זונה [מדאורייתא או מדרבנן]. וצ"ב מאי שנא גבי תרומה דנקט דהוה קנס בפנ"ע</w:t>
      </w:r>
      <w:r w:rsidRPr="00AF3214">
        <w:rPr>
          <w:rStyle w:val="ac"/>
          <w:rFonts w:ascii="Narkisim" w:hAnsi="Narkisim" w:cs="Narkisim"/>
          <w:rtl/>
        </w:rPr>
        <w:footnoteReference w:id="5778"/>
      </w:r>
      <w:r w:rsidRPr="00AF3214">
        <w:rPr>
          <w:rFonts w:ascii="Narkisim" w:hAnsi="Narkisim" w:cs="Narkisim"/>
        </w:rPr>
        <w:t>.</w:t>
      </w:r>
    </w:p>
    <w:p w14:paraId="06EA8CDD" w14:textId="77777777" w:rsidR="006C4368" w:rsidRPr="00AF3214" w:rsidRDefault="006C4368" w:rsidP="006C4368">
      <w:pPr>
        <w:pStyle w:val="aa"/>
        <w:bidi/>
        <w:rPr>
          <w:rFonts w:ascii="Narkisim" w:hAnsi="Narkisim"/>
        </w:rPr>
      </w:pPr>
      <w:r w:rsidRPr="00AF3214">
        <w:rPr>
          <w:rFonts w:ascii="Narkisim" w:hAnsi="Narkisim"/>
          <w:u w:val="single"/>
          <w:rtl/>
        </w:rPr>
        <w:lastRenderedPageBreak/>
        <w:t>כתובה מאי עבידתה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דקו' הגמ' האיך בניה ירשו כתובתה, הא אמרי' דאין לה כתובה</w:t>
      </w:r>
      <w:r w:rsidRPr="00AF3214">
        <w:rPr>
          <w:rStyle w:val="ac"/>
          <w:rFonts w:ascii="Narkisim" w:hAnsi="Narkisim"/>
          <w:rtl/>
        </w:rPr>
        <w:footnoteReference w:id="5779"/>
      </w:r>
      <w:r w:rsidRPr="00AF3214">
        <w:rPr>
          <w:rFonts w:ascii="Narkisim" w:hAnsi="Narkisim"/>
        </w:rPr>
        <w:t xml:space="preserve">. </w:t>
      </w:r>
      <w:r w:rsidRPr="00AF3214">
        <w:rPr>
          <w:rFonts w:ascii="Narkisim" w:hAnsi="Narkisim"/>
          <w:rtl/>
        </w:rPr>
        <w:t>וה</w:t>
      </w:r>
      <w:r w:rsidRPr="00AF3214">
        <w:rPr>
          <w:rFonts w:ascii="Narkisim" w:hAnsi="Narkisim"/>
          <w:b/>
          <w:bCs/>
          <w:rtl/>
        </w:rPr>
        <w:t>רש"ש</w:t>
      </w:r>
      <w:r w:rsidRPr="00AF3214">
        <w:rPr>
          <w:rFonts w:ascii="Narkisim" w:hAnsi="Narkisim"/>
          <w:rtl/>
        </w:rPr>
        <w:t xml:space="preserve"> כת' [דלולי דבריו] יל"פ קו' הגמ' דיורשיו (היינו של בעל) מאי עבידתייהו לכתובה, יורשיה מבעי' ליה</w:t>
      </w:r>
      <w:r w:rsidRPr="00AF3214">
        <w:rPr>
          <w:rFonts w:ascii="Narkisim" w:hAnsi="Narkisim"/>
        </w:rPr>
        <w:t>.</w:t>
      </w:r>
    </w:p>
    <w:p w14:paraId="6F2AA930" w14:textId="77777777" w:rsidR="006C4368" w:rsidRPr="00AF3214" w:rsidRDefault="006C4368" w:rsidP="006C4368">
      <w:pPr>
        <w:pStyle w:val="aa"/>
        <w:bidi/>
        <w:rPr>
          <w:rFonts w:ascii="Narkisim" w:hAnsi="Narkisim"/>
        </w:rPr>
      </w:pPr>
      <w:r w:rsidRPr="00AF3214">
        <w:rPr>
          <w:rFonts w:ascii="Narkisim" w:hAnsi="Narkisim"/>
          <w:u w:val="single"/>
          <w:rtl/>
        </w:rPr>
        <w:t>כתובת בנין דכרין, פשיטא</w:t>
      </w:r>
      <w:r w:rsidRPr="00AF3214">
        <w:rPr>
          <w:rStyle w:val="ac"/>
          <w:rFonts w:ascii="Narkisim" w:hAnsi="Narkisim"/>
          <w:u w:val="single"/>
          <w:rtl/>
        </w:rPr>
        <w:footnoteReference w:id="5780"/>
      </w:r>
      <w:r w:rsidRPr="00AF3214">
        <w:rPr>
          <w:rFonts w:ascii="Narkisim" w:hAnsi="Narkisim"/>
          <w:u w:val="single"/>
        </w:rPr>
        <w:t xml:space="preserve"> </w:t>
      </w:r>
      <w:r w:rsidRPr="00AF3214">
        <w:rPr>
          <w:rFonts w:ascii="Narkisim" w:hAnsi="Narkisim"/>
          <w:u w:val="single"/>
          <w:rtl/>
        </w:rPr>
        <w:t>וכו</w:t>
      </w:r>
      <w:r w:rsidRPr="00AF3214">
        <w:rPr>
          <w:rFonts w:ascii="Narkisim" w:hAnsi="Narkisim"/>
          <w:rtl/>
        </w:rPr>
        <w:t>'. דכיון שהיא הפסידה כתובתה ממילא בניה אינם יורשים חלקה. וכדאי' (כתובות נג.) דמוחלת כתובתה דבניה אינם נוטלים כתובת בנין דכרין. ויל"ד אי הוה סברא דכיון דמחלה, א"כ אין לה כתובה, וממילא אינם יורשים מידי. או דמיגו דמחלה והפסידה עיקר הכתובה, הפסידה תנאי הכתובה (וע' רע"א כתובות שם)</w:t>
      </w:r>
      <w:r w:rsidRPr="00AF3214">
        <w:rPr>
          <w:rFonts w:ascii="Narkisim" w:hAnsi="Narkisim"/>
        </w:rPr>
        <w:t>.</w:t>
      </w:r>
    </w:p>
    <w:p w14:paraId="52A98B66" w14:textId="77777777" w:rsidR="006C4368" w:rsidRPr="00AF3214" w:rsidRDefault="006C4368" w:rsidP="006C4368">
      <w:pPr>
        <w:pStyle w:val="a8"/>
        <w:bidi/>
        <w:rPr>
          <w:rFonts w:ascii="Narkisim" w:hAnsi="Narkisim"/>
        </w:rPr>
      </w:pPr>
      <w:r w:rsidRPr="00AF3214">
        <w:rPr>
          <w:rFonts w:ascii="Narkisim" w:hAnsi="Narkisim"/>
          <w:rtl/>
        </w:rPr>
        <w:t>וב</w:t>
      </w:r>
      <w:r w:rsidRPr="00AF3214">
        <w:rPr>
          <w:rFonts w:ascii="Narkisim" w:hAnsi="Narkisim"/>
          <w:b/>
          <w:bCs/>
          <w:rtl/>
        </w:rPr>
        <w:t>גמ</w:t>
      </w:r>
      <w:r w:rsidRPr="00AF3214">
        <w:rPr>
          <w:rFonts w:ascii="Narkisim" w:hAnsi="Narkisim"/>
          <w:rtl/>
        </w:rPr>
        <w:t>' (כתובות שם) מבואר דה"מ מוחלת מדעתה, אבל מוכרת כתובתה [דזוזי אנסוה] לא הפסידו בניה כתובת בנין דכרין</w:t>
      </w:r>
      <w:r w:rsidRPr="00AF3214">
        <w:rPr>
          <w:rStyle w:val="ac"/>
          <w:rFonts w:ascii="Narkisim" w:hAnsi="Narkisim"/>
          <w:rtl/>
        </w:rPr>
        <w:footnoteReference w:id="5781"/>
      </w:r>
      <w:r w:rsidRPr="00AF3214">
        <w:rPr>
          <w:rFonts w:ascii="Narkisim" w:hAnsi="Narkisim"/>
        </w:rPr>
        <w:t xml:space="preserve">. </w:t>
      </w:r>
      <w:r w:rsidRPr="00AF3214">
        <w:rPr>
          <w:rFonts w:ascii="Narkisim" w:hAnsi="Narkisim"/>
          <w:rtl/>
        </w:rPr>
        <w:t>והגמ' מק' דאף במתני' דידן נימא יצר אנסה, ולא יפסידו בניה. והגמ' תי' דהכא הוה קנס. פ</w:t>
      </w:r>
      <w:r w:rsidRPr="00AF3214">
        <w:rPr>
          <w:rFonts w:ascii="Narkisim" w:hAnsi="Narkisim"/>
          <w:b/>
          <w:bCs/>
          <w:rtl/>
        </w:rPr>
        <w:t>רש"</w:t>
      </w:r>
      <w:r w:rsidRPr="00AF3214">
        <w:rPr>
          <w:rFonts w:ascii="Narkisim" w:hAnsi="Narkisim"/>
          <w:rtl/>
        </w:rPr>
        <w:t>י דקנסו משום דלא דייקא שפיר שמת בעלה מקמי דתינסוב</w:t>
      </w:r>
      <w:r w:rsidRPr="00AF3214">
        <w:rPr>
          <w:rStyle w:val="ac"/>
          <w:rFonts w:ascii="Narkisim" w:hAnsi="Narkisim"/>
          <w:rtl/>
        </w:rPr>
        <w:footnoteReference w:id="5782"/>
      </w:r>
      <w:r w:rsidRPr="00AF3214">
        <w:rPr>
          <w:rFonts w:ascii="Narkisim" w:hAnsi="Narkisim"/>
        </w:rPr>
        <w:t>.</w:t>
      </w:r>
    </w:p>
    <w:p w14:paraId="4D55B6B9" w14:textId="77777777" w:rsidR="006C4368" w:rsidRPr="00AF3214" w:rsidRDefault="006C4368" w:rsidP="006C4368">
      <w:pPr>
        <w:bidi/>
        <w:rPr>
          <w:rFonts w:ascii="Narkisim" w:hAnsi="Narkisim" w:cs="Narkisim"/>
        </w:rPr>
      </w:pPr>
      <w:r w:rsidRPr="00AF3214">
        <w:rPr>
          <w:rFonts w:ascii="Narkisim" w:hAnsi="Narkisim" w:cs="Narkisim"/>
          <w:u w:val="single"/>
          <w:rtl/>
        </w:rPr>
        <w:t>אחיו של ראשון חולץ מדאורייתא, ולא מייבם מדרבנן</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דרבנן קנסוה. דדינה כסוטה מדרבנן (וכדלעיל יא.). אבל ה</w:t>
      </w:r>
      <w:r w:rsidRPr="00AF3214">
        <w:rPr>
          <w:rFonts w:ascii="Narkisim" w:hAnsi="Narkisim" w:cs="Narkisim"/>
          <w:b/>
          <w:bCs/>
          <w:rtl/>
        </w:rPr>
        <w:t>מהרש"א</w:t>
      </w:r>
      <w:r w:rsidRPr="00AF3214">
        <w:rPr>
          <w:rFonts w:ascii="Narkisim" w:hAnsi="Narkisim" w:cs="Narkisim"/>
          <w:rtl/>
        </w:rPr>
        <w:t xml:space="preserve"> נקט דהוה משום קנס דיאמרו גירש זה ונשא זה (וכדלעיל פט.), והוה גרושת אחיו</w:t>
      </w:r>
      <w:r w:rsidRPr="00AF3214">
        <w:rPr>
          <w:rFonts w:ascii="Narkisim" w:hAnsi="Narkisim" w:cs="Narkisim"/>
        </w:rPr>
        <w:t>.</w:t>
      </w:r>
    </w:p>
    <w:p w14:paraId="6C4FBBE9" w14:textId="77777777" w:rsidR="006C4368" w:rsidRPr="00AF3214" w:rsidRDefault="006C4368" w:rsidP="006C4368">
      <w:pPr>
        <w:bidi/>
        <w:rPr>
          <w:rFonts w:ascii="Narkisim" w:hAnsi="Narkisim" w:cs="Narkisim"/>
        </w:rPr>
      </w:pPr>
      <w:r w:rsidRPr="00AF3214">
        <w:rPr>
          <w:rFonts w:ascii="Narkisim" w:hAnsi="Narkisim" w:cs="Narkisim"/>
          <w:u w:val="single"/>
          <w:rtl/>
        </w:rPr>
        <w:t>אחיו של שני וכו' ולא מייבם לא מדאורייתא ולא מדרבנן</w:t>
      </w:r>
      <w:r w:rsidRPr="00AF3214">
        <w:rPr>
          <w:rFonts w:ascii="Narkisim" w:hAnsi="Narkisim" w:cs="Narkisim"/>
          <w:rtl/>
        </w:rPr>
        <w:t>. משמע דאסורה לאחיו של שני, וה</w:t>
      </w:r>
      <w:r w:rsidRPr="00AF3214">
        <w:rPr>
          <w:rFonts w:ascii="Narkisim" w:hAnsi="Narkisim" w:cs="Narkisim"/>
          <w:b/>
          <w:bCs/>
          <w:rtl/>
        </w:rPr>
        <w:t>מהרש"א</w:t>
      </w:r>
      <w:r w:rsidRPr="00AF3214">
        <w:rPr>
          <w:rFonts w:ascii="Narkisim" w:hAnsi="Narkisim" w:cs="Narkisim"/>
          <w:rtl/>
        </w:rPr>
        <w:t xml:space="preserve"> הק' דל"ש בזה קנס דיאמרו גירש זה ונשא זה</w:t>
      </w:r>
      <w:r w:rsidRPr="00AF3214">
        <w:rPr>
          <w:rStyle w:val="ac"/>
          <w:rFonts w:ascii="Narkisim" w:hAnsi="Narkisim" w:cs="Narkisim"/>
          <w:rtl/>
        </w:rPr>
        <w:footnoteReference w:id="5783"/>
      </w:r>
      <w:r w:rsidRPr="00AF3214">
        <w:rPr>
          <w:rFonts w:ascii="Narkisim" w:hAnsi="Narkisim" w:cs="Narkisim"/>
        </w:rPr>
        <w:t xml:space="preserve">. </w:t>
      </w:r>
      <w:r w:rsidRPr="00AF3214">
        <w:rPr>
          <w:rFonts w:ascii="Narkisim" w:hAnsi="Narkisim" w:cs="Narkisim"/>
          <w:rtl/>
        </w:rPr>
        <w:t>והביא ד</w:t>
      </w:r>
      <w:r w:rsidRPr="00AF3214">
        <w:rPr>
          <w:rFonts w:ascii="Narkisim" w:hAnsi="Narkisim" w:cs="Narkisim"/>
          <w:b/>
          <w:bCs/>
          <w:rtl/>
        </w:rPr>
        <w:t>רש"י</w:t>
      </w:r>
      <w:r w:rsidRPr="00AF3214">
        <w:rPr>
          <w:rFonts w:ascii="Narkisim" w:hAnsi="Narkisim" w:cs="Narkisim"/>
          <w:rtl/>
        </w:rPr>
        <w:t xml:space="preserve"> (גיטין פ.) משמע דאף אחיו של שני אסורה משום קנס. וכת' דביאה הוה עיקר איסורא (וכדאי' בסמוך) ומש"ה קנסו אף במה של"ש גדר הגזירה דגירש זה</w:t>
      </w:r>
      <w:r w:rsidRPr="00AF3214">
        <w:rPr>
          <w:rStyle w:val="ac"/>
          <w:rFonts w:ascii="Narkisim" w:hAnsi="Narkisim" w:cs="Narkisim"/>
          <w:rtl/>
        </w:rPr>
        <w:footnoteReference w:id="5784"/>
      </w:r>
      <w:r w:rsidRPr="00AF3214">
        <w:rPr>
          <w:rFonts w:ascii="Narkisim" w:hAnsi="Narkisim" w:cs="Narkisim"/>
        </w:rPr>
        <w:t>.</w:t>
      </w:r>
    </w:p>
    <w:p w14:paraId="49E8B847"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קר"א</w:t>
      </w:r>
      <w:r w:rsidRPr="00AF3214">
        <w:rPr>
          <w:rFonts w:ascii="Narkisim" w:hAnsi="Narkisim"/>
          <w:rtl/>
        </w:rPr>
        <w:t xml:space="preserve"> כת' דהוה כמו סוטה לבועל, דהיכא שנשאה הבועל אינה מתייבמת לאחיו. דטומאה כתיב בה (ע' תוס' ג:)</w:t>
      </w:r>
      <w:r w:rsidRPr="00AF3214">
        <w:rPr>
          <w:rFonts w:ascii="Narkisim" w:hAnsi="Narkisim"/>
        </w:rPr>
        <w:t>.</w:t>
      </w:r>
    </w:p>
    <w:p w14:paraId="7FF26583"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הביא </w:t>
      </w:r>
      <w:r w:rsidRPr="00AF3214">
        <w:rPr>
          <w:rFonts w:ascii="Narkisim" w:hAnsi="Narkisim"/>
          <w:b/>
          <w:bCs/>
          <w:rtl/>
        </w:rPr>
        <w:t>י"מ</w:t>
      </w:r>
      <w:r w:rsidRPr="00AF3214">
        <w:rPr>
          <w:rFonts w:ascii="Narkisim" w:hAnsi="Narkisim"/>
          <w:rtl/>
        </w:rPr>
        <w:t xml:space="preserve"> דאיירי בחיי הראשון, ואסורה לאחיו של שני משום אשת איש. וכת' דהלשון לא משמע כן</w:t>
      </w:r>
      <w:r w:rsidRPr="00AF3214">
        <w:rPr>
          <w:rStyle w:val="ac"/>
          <w:rFonts w:ascii="Narkisim" w:hAnsi="Narkisim"/>
          <w:rtl/>
        </w:rPr>
        <w:footnoteReference w:id="5785"/>
      </w:r>
      <w:r w:rsidRPr="00AF3214">
        <w:rPr>
          <w:rFonts w:ascii="Narkisim" w:hAnsi="Narkisim"/>
        </w:rPr>
        <w:t>.</w:t>
      </w:r>
    </w:p>
    <w:p w14:paraId="112D5E1C"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יש"ש</w:t>
      </w:r>
      <w:r w:rsidRPr="00AF3214">
        <w:rPr>
          <w:rFonts w:ascii="Narkisim" w:hAnsi="Narkisim"/>
          <w:rtl/>
        </w:rPr>
        <w:t xml:space="preserve"> (יא) כת' דאינה זקוקה לאחיו של שני, אבל אינה אסורה עליו לאחר מיתת שני. ומותר ממ"נ</w:t>
      </w:r>
      <w:r w:rsidRPr="00AF3214">
        <w:rPr>
          <w:rStyle w:val="ac"/>
          <w:rFonts w:ascii="Narkisim" w:hAnsi="Narkisim"/>
          <w:rtl/>
        </w:rPr>
        <w:footnoteReference w:id="5786"/>
      </w:r>
      <w:r w:rsidRPr="00AF3214">
        <w:rPr>
          <w:rFonts w:ascii="Narkisim" w:hAnsi="Narkisim"/>
        </w:rPr>
        <w:t xml:space="preserve">, </w:t>
      </w:r>
      <w:r w:rsidRPr="00AF3214">
        <w:rPr>
          <w:rFonts w:ascii="Narkisim" w:hAnsi="Narkisim"/>
          <w:rtl/>
        </w:rPr>
        <w:t>וכנ"ל</w:t>
      </w:r>
      <w:r w:rsidRPr="00AF3214">
        <w:rPr>
          <w:rStyle w:val="ac"/>
          <w:rFonts w:ascii="Narkisim" w:hAnsi="Narkisim"/>
          <w:rtl/>
        </w:rPr>
        <w:footnoteReference w:id="5787"/>
      </w:r>
      <w:r w:rsidRPr="00AF3214">
        <w:rPr>
          <w:rFonts w:ascii="Narkisim" w:hAnsi="Narkisim"/>
        </w:rPr>
        <w:t>.</w:t>
      </w:r>
    </w:p>
    <w:p w14:paraId="1480140B" w14:textId="77777777" w:rsidR="006C4368" w:rsidRPr="00AF3214" w:rsidRDefault="006C4368" w:rsidP="006C4368">
      <w:pPr>
        <w:bidi/>
        <w:rPr>
          <w:rFonts w:ascii="Narkisim" w:hAnsi="Narkisim" w:cs="Narkisim"/>
        </w:rPr>
      </w:pPr>
      <w:r w:rsidRPr="00AF3214">
        <w:rPr>
          <w:rFonts w:ascii="Narkisim" w:hAnsi="Narkisim" w:cs="Narkisim"/>
          <w:u w:val="single"/>
          <w:rtl/>
        </w:rPr>
        <w:t>דמה ביאה דעיקר איסורא לא קניס, וכ"ש מציאתה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הביאו דמבואר דנחשב 'קנס' מה שבעלה אינו זוכה במציאתה. אבל ה</w:t>
      </w:r>
      <w:r w:rsidRPr="00AF3214">
        <w:rPr>
          <w:rFonts w:ascii="Narkisim" w:hAnsi="Narkisim" w:cs="Narkisim"/>
          <w:b/>
          <w:bCs/>
          <w:rtl/>
        </w:rPr>
        <w:t>ריטב"א</w:t>
      </w:r>
      <w:r w:rsidRPr="00AF3214">
        <w:rPr>
          <w:rFonts w:ascii="Narkisim" w:hAnsi="Narkisim" w:cs="Narkisim"/>
          <w:rtl/>
        </w:rPr>
        <w:t xml:space="preserve"> כת' דנקט קנס לאו דוקא. וה"ק דכיון דביאה דעיקר איסורא לא קניס, ומוקים לה אדינא שתהא כאשתו [ואע"ג דהוי בדין למקנסה], כ"ש דמציאתה ומעשה ידיה דמוקים לה כאשתו שהבעל לא יפסידם, ואף דאיכא טעמא דלפסדינהו</w:t>
      </w:r>
      <w:r w:rsidRPr="00AF3214">
        <w:rPr>
          <w:rFonts w:ascii="Narkisim" w:hAnsi="Narkisim" w:cs="Narkisim"/>
        </w:rPr>
        <w:t>.</w:t>
      </w:r>
    </w:p>
    <w:p w14:paraId="108DA27F" w14:textId="77777777" w:rsidR="006C4368" w:rsidRPr="00AF3214" w:rsidRDefault="006C4368" w:rsidP="006C4368">
      <w:pPr>
        <w:bidi/>
        <w:rPr>
          <w:rFonts w:ascii="Narkisim" w:hAnsi="Narkisim" w:cs="Narkisim"/>
        </w:rPr>
      </w:pPr>
      <w:r w:rsidRPr="00AF3214">
        <w:rPr>
          <w:rFonts w:ascii="Narkisim" w:hAnsi="Narkisim" w:cs="Narkisim"/>
          <w:u w:val="single"/>
          <w:rtl/>
        </w:rPr>
        <w:t>[במשנה פז:] ר' שמעון אומר ביאתה או חליצתה מאחיו של ראשון פוטרת צרתה</w:t>
      </w:r>
      <w:r w:rsidRPr="00AF3214">
        <w:rPr>
          <w:rFonts w:ascii="Narkisim" w:hAnsi="Narkisim" w:cs="Narkisim"/>
          <w:rtl/>
        </w:rPr>
        <w:t>. והגמ' (לעיל יא.) תי' דאף דסוטה דאורייתא דינה כערוה לענין יבום, בסוטה דרבנן הקילו</w:t>
      </w:r>
      <w:r w:rsidRPr="00AF3214">
        <w:rPr>
          <w:rStyle w:val="ac"/>
          <w:rFonts w:ascii="Narkisim" w:hAnsi="Narkisim" w:cs="Narkisim"/>
          <w:rtl/>
        </w:rPr>
        <w:footnoteReference w:id="5788"/>
      </w:r>
      <w:r w:rsidRPr="00AF3214">
        <w:rPr>
          <w:rFonts w:ascii="Narkisim" w:hAnsi="Narkisim" w:cs="Narkisim"/>
        </w:rPr>
        <w:t xml:space="preserve"> </w:t>
      </w:r>
      <w:r w:rsidRPr="00AF3214">
        <w:rPr>
          <w:rFonts w:ascii="Narkisim" w:hAnsi="Narkisim" w:cs="Narkisim"/>
          <w:rtl/>
        </w:rPr>
        <w:t>[ולא תקנו כעין דאורייתא, עי"ש תוס']</w:t>
      </w:r>
      <w:r w:rsidRPr="00AF3214">
        <w:rPr>
          <w:rFonts w:ascii="Narkisim" w:hAnsi="Narkisim" w:cs="Narkisim"/>
        </w:rPr>
        <w:t>.</w:t>
      </w:r>
    </w:p>
    <w:p w14:paraId="249F93F7"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[במשנה פז:] ואין הולד ממנו ממזר</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(פז:) אם החזירה הראשון. דר' שמעון פליג אהא דתקנו דהולד מראשון ממזר דרבנן. וה</w:t>
      </w:r>
      <w:r w:rsidRPr="00AF3214">
        <w:rPr>
          <w:rFonts w:ascii="Narkisim" w:hAnsi="Narkisim" w:cs="Narkisim"/>
          <w:b/>
          <w:bCs/>
          <w:rtl/>
        </w:rPr>
        <w:t>תוס' רא"ש</w:t>
      </w:r>
      <w:r w:rsidRPr="00AF3214">
        <w:rPr>
          <w:rFonts w:ascii="Narkisim" w:hAnsi="Narkisim" w:cs="Narkisim"/>
          <w:rtl/>
        </w:rPr>
        <w:t xml:space="preserve"> הק' דבגמ' אי' דר' שמעון לא קנס לאחר מיתה. ולדברי רש"י מבואר דאף מחיים נפק"מ. וה</w:t>
      </w:r>
      <w:r w:rsidRPr="00AF3214">
        <w:rPr>
          <w:rFonts w:ascii="Narkisim" w:hAnsi="Narkisim" w:cs="Narkisim"/>
          <w:b/>
          <w:bCs/>
          <w:rtl/>
        </w:rPr>
        <w:t>תוס' הרא"ש</w:t>
      </w:r>
      <w:r w:rsidRPr="00AF3214">
        <w:rPr>
          <w:rFonts w:ascii="Narkisim" w:hAnsi="Narkisim" w:cs="Narkisim"/>
          <w:rtl/>
        </w:rPr>
        <w:t xml:space="preserve"> פי' דקאי אולד מהיבם</w:t>
      </w:r>
      <w:r w:rsidRPr="00AF3214">
        <w:rPr>
          <w:rStyle w:val="ac"/>
          <w:rFonts w:ascii="Narkisim" w:hAnsi="Narkisim" w:cs="Narkisim"/>
          <w:rtl/>
        </w:rPr>
        <w:footnoteReference w:id="5789"/>
      </w:r>
      <w:r w:rsidRPr="00AF3214">
        <w:rPr>
          <w:rFonts w:ascii="Narkisim" w:hAnsi="Narkisim" w:cs="Narkisim"/>
        </w:rPr>
        <w:t xml:space="preserve">, </w:t>
      </w:r>
      <w:r w:rsidRPr="00AF3214">
        <w:rPr>
          <w:rFonts w:ascii="Narkisim" w:hAnsi="Narkisim" w:cs="Narkisim"/>
          <w:rtl/>
        </w:rPr>
        <w:t>דביאתו פוטרת צרתה בדיעבד, והולד אינו ממזר</w:t>
      </w:r>
      <w:r w:rsidRPr="00AF3214">
        <w:rPr>
          <w:rStyle w:val="ac"/>
          <w:rFonts w:ascii="Narkisim" w:hAnsi="Narkisim" w:cs="Narkisim"/>
          <w:rtl/>
        </w:rPr>
        <w:footnoteReference w:id="5790"/>
      </w:r>
      <w:r w:rsidRPr="00AF3214">
        <w:rPr>
          <w:rFonts w:ascii="Narkisim" w:hAnsi="Narkisim" w:cs="Narkisim"/>
        </w:rPr>
        <w:t>.</w:t>
      </w:r>
    </w:p>
    <w:p w14:paraId="18FC3C8E" w14:textId="77777777" w:rsidR="006C4368" w:rsidRPr="00AF3214" w:rsidRDefault="006C4368" w:rsidP="006C4368">
      <w:pPr>
        <w:pStyle w:val="aa"/>
        <w:bidi/>
        <w:rPr>
          <w:rFonts w:ascii="Narkisim" w:hAnsi="Narkisim"/>
        </w:rPr>
      </w:pPr>
      <w:r w:rsidRPr="00AF3214">
        <w:rPr>
          <w:rFonts w:ascii="Narkisim" w:hAnsi="Narkisim"/>
          <w:u w:val="single"/>
          <w:rtl/>
        </w:rPr>
        <w:t>[במשנה פז:] נשאת שלא ברשות מותרת לחזור לו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שבאו ב' עדים, ולא היתה צריכה להיתר בי"ד. ואנוסה היא. ובגמ' נח' אי הוה מדברי ר' שמעון, או כו"ע מודו בזה, דמאי הו"ל למיעבד</w:t>
      </w:r>
      <w:r w:rsidRPr="00AF3214">
        <w:rPr>
          <w:rFonts w:ascii="Narkisim" w:hAnsi="Narkisim"/>
        </w:rPr>
        <w:t>.</w:t>
      </w:r>
    </w:p>
    <w:p w14:paraId="1FABD48D" w14:textId="77777777" w:rsidR="006C4368" w:rsidRPr="00AF3214" w:rsidRDefault="006C4368" w:rsidP="006C4368">
      <w:pPr>
        <w:bidi/>
        <w:rPr>
          <w:rFonts w:ascii="Narkisim" w:hAnsi="Narkisim" w:cs="Narkisim"/>
        </w:rPr>
      </w:pPr>
      <w:r w:rsidRPr="00AF3214">
        <w:rPr>
          <w:rFonts w:ascii="Narkisim" w:hAnsi="Narkisim" w:cs="Narkisim"/>
          <w:u w:val="single"/>
          <w:rtl/>
        </w:rPr>
        <w:t>אמר רב ששת וכו' הלכה מכלל דפליגי, מאי הו"ל למיעבד וכו'</w:t>
      </w:r>
      <w:r w:rsidRPr="00AF3214">
        <w:rPr>
          <w:rFonts w:ascii="Narkisim" w:hAnsi="Narkisim" w:cs="Narkisim"/>
          <w:rtl/>
        </w:rPr>
        <w:t>. דדעת רב ששת דהך בבא הוה לדברי הכל, דע"פ עדים מותרת לחזור לו. [ומסקנת הגמ' (בע"ב) אשנויי ליקו וליסמוך, ולא הקילו משום סברת מאי הו"ל למיעבד]</w:t>
      </w:r>
      <w:r w:rsidRPr="00AF3214">
        <w:rPr>
          <w:rFonts w:ascii="Narkisim" w:hAnsi="Narkisim" w:cs="Narkisim"/>
        </w:rPr>
        <w:t>.</w:t>
      </w:r>
    </w:p>
    <w:p w14:paraId="1E05EB35" w14:textId="77777777" w:rsidR="006C4368" w:rsidRPr="00AF3214" w:rsidRDefault="006C4368" w:rsidP="006C4368">
      <w:pPr>
        <w:bidi/>
        <w:rPr>
          <w:rFonts w:ascii="Narkisim" w:hAnsi="Narkisim" w:cs="Narkisim"/>
        </w:rPr>
      </w:pPr>
      <w:r w:rsidRPr="00AF3214">
        <w:rPr>
          <w:rFonts w:ascii="Narkisim" w:hAnsi="Narkisim" w:cs="Narkisim"/>
          <w:u w:val="single"/>
          <w:rtl/>
        </w:rPr>
        <w:t>ע"פ בי"ד הוא דבעיא גט, ע"פ עדים לא בעיא גט</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דאנוסה היא. ומש"ה לא קנסוה [וכדאי' לעיל פט. דהגט הוה משום קנס, וע' מש"כ שם]. וה</w:t>
      </w:r>
      <w:r w:rsidRPr="00AF3214">
        <w:rPr>
          <w:rFonts w:ascii="Narkisim" w:hAnsi="Narkisim" w:cs="Narkisim"/>
          <w:b/>
          <w:bCs/>
          <w:rtl/>
        </w:rPr>
        <w:t>רמב"ן</w:t>
      </w:r>
      <w:r w:rsidRPr="00AF3214">
        <w:rPr>
          <w:rFonts w:ascii="Narkisim" w:hAnsi="Narkisim" w:cs="Narkisim"/>
          <w:rtl/>
        </w:rPr>
        <w:t xml:space="preserve"> ביאר דבעיא גט [בנשאת ע"פ בי"ד] כדי לברר איסורו של ראשון [וכדאי' בירושלמי, הו' לעיל פט.]. ואילו ע"פ עדים לא בעיא גט, אלמא מותרת לחזור לו</w:t>
      </w:r>
      <w:r w:rsidRPr="00AF3214">
        <w:rPr>
          <w:rFonts w:ascii="Narkisim" w:hAnsi="Narkisim" w:cs="Narkisim"/>
        </w:rPr>
        <w:t>.</w:t>
      </w:r>
    </w:p>
    <w:p w14:paraId="641D1CC1" w14:textId="77777777" w:rsidR="006C4368" w:rsidRPr="00AF3214" w:rsidRDefault="006C4368" w:rsidP="006C4368">
      <w:pPr>
        <w:bidi/>
        <w:rPr>
          <w:rFonts w:ascii="Narkisim" w:hAnsi="Narkisim" w:cs="Narkisim"/>
        </w:rPr>
      </w:pPr>
      <w:r w:rsidRPr="00AF3214">
        <w:rPr>
          <w:rFonts w:ascii="Narkisim" w:hAnsi="Narkisim" w:cs="Narkisim"/>
          <w:u w:val="single"/>
          <w:rtl/>
        </w:rPr>
        <w:t>אילימא ר' שמעון, ע"פ בי"ד מי בעיא גט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כת' דר' שמעון ל"ל קנסא דגט, אף דבנשאת ע"פ עד א' אסורה לזה ולזה. וה</w:t>
      </w:r>
      <w:r w:rsidRPr="00AF3214">
        <w:rPr>
          <w:rFonts w:ascii="Narkisim" w:hAnsi="Narkisim" w:cs="Narkisim"/>
          <w:b/>
          <w:bCs/>
          <w:rtl/>
        </w:rPr>
        <w:t>רמב"ן</w:t>
      </w:r>
      <w:r w:rsidRPr="00AF3214">
        <w:rPr>
          <w:rFonts w:ascii="Narkisim" w:hAnsi="Narkisim" w:cs="Narkisim"/>
          <w:rtl/>
        </w:rPr>
        <w:t xml:space="preserve"> ביאר סברת ר"ש [להך אוקימתא] שלעולם יוצאת בלא גט, שלא להחזיק נשואי שני בכשרין. ומיהו ע"פ בי"ד אסורה לו כזדון איש באשה, וע"פ עדים מותרת כשגגת איש באשה</w:t>
      </w:r>
      <w:r w:rsidRPr="00AF3214">
        <w:rPr>
          <w:rFonts w:ascii="Narkisim" w:hAnsi="Narkisim" w:cs="Narkisim"/>
        </w:rPr>
        <w:t>.</w:t>
      </w:r>
    </w:p>
    <w:p w14:paraId="4BE50369" w14:textId="77777777" w:rsidR="006C4368" w:rsidRPr="00AF3214" w:rsidRDefault="006C4368" w:rsidP="006C4368">
      <w:pPr>
        <w:pStyle w:val="a8"/>
        <w:bidi/>
        <w:rPr>
          <w:rFonts w:ascii="Narkisim" w:hAnsi="Narkisim"/>
        </w:rPr>
      </w:pPr>
      <w:r w:rsidRPr="00AF3214">
        <w:rPr>
          <w:rFonts w:ascii="Narkisim" w:hAnsi="Narkisim"/>
          <w:rtl/>
        </w:rPr>
        <w:t>ולהך אוקימתא אסורה כדין סוטה [דתקנו שתחשב כפושע], אבל ר' שמעון ס"ל דלא תקנו גט</w:t>
      </w:r>
      <w:r w:rsidRPr="00AF3214">
        <w:rPr>
          <w:rFonts w:ascii="Narkisim" w:hAnsi="Narkisim"/>
        </w:rPr>
        <w:t>.</w:t>
      </w:r>
    </w:p>
    <w:p w14:paraId="2BC0B12E" w14:textId="77777777" w:rsidR="006C4368" w:rsidRPr="00AF3214" w:rsidRDefault="006C4368" w:rsidP="006C4368">
      <w:pPr>
        <w:pStyle w:val="3"/>
        <w:bidi/>
        <w:rPr>
          <w:rFonts w:ascii="Narkisim" w:hAnsi="Narkisim"/>
        </w:rPr>
      </w:pPr>
      <w:r w:rsidRPr="00AF3214">
        <w:rPr>
          <w:rFonts w:ascii="Narkisim" w:hAnsi="Narkisim"/>
          <w:rtl/>
        </w:rPr>
        <w:t>דף צא</w:t>
      </w:r>
      <w:r w:rsidRPr="00AF3214">
        <w:rPr>
          <w:rFonts w:ascii="Narkisim" w:hAnsi="Narkisim"/>
        </w:rPr>
        <w:t>:</w:t>
      </w:r>
    </w:p>
    <w:p w14:paraId="1A5A09FB" w14:textId="77777777" w:rsidR="006C4368" w:rsidRPr="00AF3214" w:rsidRDefault="006C4368" w:rsidP="006C4368">
      <w:pPr>
        <w:bidi/>
        <w:rPr>
          <w:rFonts w:ascii="Narkisim" w:hAnsi="Narkisim" w:cs="Narkisim"/>
        </w:rPr>
      </w:pPr>
      <w:r w:rsidRPr="00AF3214">
        <w:rPr>
          <w:rFonts w:ascii="Narkisim" w:hAnsi="Narkisim" w:cs="Narkisim"/>
          <w:u w:val="single"/>
          <w:rtl/>
        </w:rPr>
        <w:t>רש"י ד"ה חוץ</w:t>
      </w:r>
      <w:r w:rsidRPr="00AF3214">
        <w:rPr>
          <w:rFonts w:ascii="Narkisim" w:hAnsi="Narkisim" w:cs="Narkisim"/>
          <w:rtl/>
        </w:rPr>
        <w:t xml:space="preserve">. וכיון דבעינן גיטא, אלמא מילתא היא ומתסרא אקמא. וכל היכא דצריך גט אסורה לחזור לראשון. </w:t>
      </w:r>
      <w:r w:rsidRPr="00AF3214">
        <w:rPr>
          <w:rFonts w:ascii="Narkisim" w:hAnsi="Narkisim" w:cs="Narkisim"/>
          <w:szCs w:val="20"/>
          <w:rtl/>
        </w:rPr>
        <w:t>וע' מש"כ (לעיל פח:) דנח' הראשונים אי הא דאסורה לראשון תלי בגזירה דצריכה גט. ולכאורה מדברי רש"י משמע דהוה הוכחה חיצונית, דאי תקנו גט [משום שמא יאמרו גירש זה], א"כ ממילא אסורה לראשון [משום מחזיר גרושתו]</w:t>
      </w:r>
      <w:r w:rsidRPr="00AF3214">
        <w:rPr>
          <w:rFonts w:ascii="Narkisim" w:hAnsi="Narkisim" w:cs="Narkisim"/>
          <w:szCs w:val="20"/>
        </w:rPr>
        <w:t>.</w:t>
      </w:r>
    </w:p>
    <w:p w14:paraId="0B3D949D"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מהרש"א</w:t>
      </w:r>
      <w:r w:rsidRPr="00AF3214">
        <w:rPr>
          <w:rFonts w:ascii="Narkisim" w:hAnsi="Narkisim"/>
          <w:rtl/>
        </w:rPr>
        <w:t xml:space="preserve"> הביא ד</w:t>
      </w:r>
      <w:r w:rsidRPr="00AF3214">
        <w:rPr>
          <w:rFonts w:ascii="Narkisim" w:hAnsi="Narkisim"/>
          <w:b/>
          <w:bCs/>
          <w:rtl/>
        </w:rPr>
        <w:t>תוס'</w:t>
      </w:r>
      <w:r w:rsidRPr="00AF3214">
        <w:rPr>
          <w:rFonts w:ascii="Narkisim" w:hAnsi="Narkisim"/>
          <w:rtl/>
        </w:rPr>
        <w:t xml:space="preserve"> (לעיל פח: ד"ה א"ה) מבואר דאף היכא דצריכה גט מותרת לחזור לו [ותמהו בזה האחרונים שם</w:t>
      </w:r>
      <w:r w:rsidRPr="00AF3214">
        <w:rPr>
          <w:rStyle w:val="ac"/>
          <w:rFonts w:ascii="Narkisim" w:hAnsi="Narkisim"/>
          <w:rtl/>
        </w:rPr>
        <w:footnoteReference w:id="5791"/>
      </w:r>
      <w:r w:rsidRPr="00AF3214">
        <w:rPr>
          <w:rFonts w:ascii="Narkisim" w:hAnsi="Narkisim"/>
          <w:rtl/>
        </w:rPr>
        <w:t>]. ותוס' הוכיחו כן מדברי ר' שמעון (כאן)</w:t>
      </w:r>
      <w:r w:rsidRPr="00AF3214">
        <w:rPr>
          <w:rFonts w:ascii="Narkisim" w:hAnsi="Narkisim"/>
        </w:rPr>
        <w:t>.</w:t>
      </w:r>
    </w:p>
    <w:p w14:paraId="547B07E0" w14:textId="77777777" w:rsidR="006C4368" w:rsidRPr="00AF3214" w:rsidRDefault="006C4368" w:rsidP="006C4368">
      <w:pPr>
        <w:pStyle w:val="aa"/>
        <w:bidi/>
        <w:rPr>
          <w:rFonts w:ascii="Narkisim" w:hAnsi="Narkisim"/>
        </w:rPr>
      </w:pPr>
      <w:r w:rsidRPr="00AF3214">
        <w:rPr>
          <w:rFonts w:ascii="Narkisim" w:hAnsi="Narkisim"/>
          <w:u w:val="single"/>
          <w:rtl/>
        </w:rPr>
        <w:t>כתב לשם מלכות שאינה הוגנת וכו' תצא מזה ומזה וכו'</w:t>
      </w:r>
      <w:r w:rsidRPr="00AF3214">
        <w:rPr>
          <w:rFonts w:ascii="Narkisim" w:hAnsi="Narkisim"/>
          <w:rtl/>
        </w:rPr>
        <w:t>. דעבר על התקנה לכתוב הזמן לכבוד המלכות, וכר' מאיר דכל המשנה ממטבע שטבעו חכמים בגיטין הולד ממזר</w:t>
      </w:r>
      <w:r w:rsidRPr="00AF3214">
        <w:rPr>
          <w:rStyle w:val="ac"/>
          <w:rFonts w:ascii="Narkisim" w:hAnsi="Narkisim"/>
          <w:rtl/>
        </w:rPr>
        <w:footnoteReference w:id="5792"/>
      </w:r>
      <w:r w:rsidRPr="00AF3214">
        <w:rPr>
          <w:rFonts w:ascii="Narkisim" w:hAnsi="Narkisim"/>
        </w:rPr>
        <w:t>.</w:t>
      </w:r>
    </w:p>
    <w:p w14:paraId="0EEA0919" w14:textId="77777777" w:rsidR="006C4368" w:rsidRPr="00AF3214" w:rsidRDefault="006C4368" w:rsidP="006C4368">
      <w:pPr>
        <w:bidi/>
        <w:rPr>
          <w:rFonts w:ascii="Narkisim" w:hAnsi="Narkisim" w:cs="Narkisim"/>
        </w:rPr>
      </w:pPr>
      <w:r w:rsidRPr="00AF3214">
        <w:rPr>
          <w:rFonts w:ascii="Narkisim" w:hAnsi="Narkisim" w:cs="Narkisim"/>
          <w:u w:val="single"/>
          <w:rtl/>
        </w:rPr>
        <w:t>תוד"ה היה</w:t>
      </w:r>
      <w:r w:rsidRPr="00AF3214">
        <w:rPr>
          <w:rFonts w:ascii="Narkisim" w:hAnsi="Narkisim" w:cs="Narkisim"/>
          <w:rtl/>
        </w:rPr>
        <w:t>. בשלמא בעדים צריך לכתוב מקום שחותמין, דאיכא קפידא שיכולים לבא לידי הזמה. ה</w:t>
      </w:r>
      <w:r w:rsidRPr="00AF3214">
        <w:rPr>
          <w:rFonts w:ascii="Narkisim" w:hAnsi="Narkisim" w:cs="Narkisim"/>
          <w:b/>
          <w:bCs/>
          <w:rtl/>
        </w:rPr>
        <w:t>אחרונים</w:t>
      </w:r>
      <w:r w:rsidRPr="00AF3214">
        <w:rPr>
          <w:rFonts w:ascii="Narkisim" w:hAnsi="Narkisim" w:cs="Narkisim"/>
          <w:rtl/>
        </w:rPr>
        <w:t xml:space="preserve"> הביאו דמבואר בתוס' דאף בעדות בשטר בעי שיהא ראוי להזמה</w:t>
      </w:r>
      <w:r w:rsidRPr="00AF3214">
        <w:rPr>
          <w:rStyle w:val="ac"/>
          <w:rFonts w:ascii="Narkisim" w:hAnsi="Narkisim" w:cs="Narkisim"/>
          <w:rtl/>
        </w:rPr>
        <w:footnoteReference w:id="5793"/>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אחרונים</w:t>
      </w:r>
      <w:r w:rsidRPr="00AF3214">
        <w:rPr>
          <w:rFonts w:ascii="Narkisim" w:hAnsi="Narkisim" w:cs="Narkisim"/>
          <w:rtl/>
        </w:rPr>
        <w:t xml:space="preserve"> (פנ"י גיטין פ.) הק' א"כ נימא דצריך לכתוב את הזמן בשטרות משום שיהא יכול להזימה. [ואכמ"ל]</w:t>
      </w:r>
      <w:r w:rsidRPr="00AF3214">
        <w:rPr>
          <w:rFonts w:ascii="Narkisim" w:hAnsi="Narkisim" w:cs="Narkisim"/>
        </w:rPr>
        <w:t>.</w:t>
      </w:r>
    </w:p>
    <w:p w14:paraId="436BCD10" w14:textId="77777777" w:rsidR="006C4368" w:rsidRPr="00AF3214" w:rsidRDefault="006C4368" w:rsidP="006C4368">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(גיטין פ.) כת' דגט פסול משום מיחזי כשיקרא היכא דאינו עומד במקום הכתוב בה</w:t>
      </w:r>
      <w:r w:rsidRPr="00AF3214">
        <w:rPr>
          <w:rFonts w:ascii="Narkisim" w:hAnsi="Narkisim"/>
        </w:rPr>
        <w:t>.</w:t>
      </w:r>
    </w:p>
    <w:p w14:paraId="19A6B582" w14:textId="77777777" w:rsidR="006C4368" w:rsidRPr="00AF3214" w:rsidRDefault="006C4368" w:rsidP="006C4368">
      <w:pPr>
        <w:pStyle w:val="aa"/>
        <w:bidi/>
        <w:rPr>
          <w:rFonts w:ascii="Narkisim" w:hAnsi="Narkisim"/>
        </w:rPr>
      </w:pPr>
      <w:r w:rsidRPr="00AF3214">
        <w:rPr>
          <w:rFonts w:ascii="Narkisim" w:hAnsi="Narkisim"/>
          <w:u w:val="single"/>
          <w:rtl/>
        </w:rPr>
        <w:t>בא"ד אבל בסופר מאי קפידא איכא</w:t>
      </w:r>
      <w:r w:rsidRPr="00AF3214">
        <w:rPr>
          <w:rStyle w:val="ac"/>
          <w:rFonts w:ascii="Narkisim" w:hAnsi="Narkisim"/>
          <w:u w:val="single"/>
          <w:rtl/>
        </w:rPr>
        <w:footnoteReference w:id="5794"/>
      </w:r>
      <w:r w:rsidRPr="00AF3214">
        <w:rPr>
          <w:rFonts w:ascii="Narkisim" w:hAnsi="Narkisim"/>
          <w:u w:val="single"/>
        </w:rPr>
        <w:t xml:space="preserve"> </w:t>
      </w:r>
      <w:r w:rsidRPr="00AF3214">
        <w:rPr>
          <w:rFonts w:ascii="Narkisim" w:hAnsi="Narkisim"/>
          <w:u w:val="single"/>
          <w:rtl/>
        </w:rPr>
        <w:t>וכו'</w:t>
      </w:r>
      <w:r w:rsidRPr="00AF3214">
        <w:rPr>
          <w:rFonts w:ascii="Narkisim" w:hAnsi="Narkisim"/>
          <w:rtl/>
        </w:rPr>
        <w:t>. וה</w:t>
      </w:r>
      <w:r w:rsidRPr="00AF3214">
        <w:rPr>
          <w:rFonts w:ascii="Narkisim" w:hAnsi="Narkisim"/>
          <w:b/>
          <w:bCs/>
          <w:rtl/>
        </w:rPr>
        <w:t>תוס' הרא"ש</w:t>
      </w:r>
      <w:r w:rsidRPr="00AF3214">
        <w:rPr>
          <w:rFonts w:ascii="Narkisim" w:hAnsi="Narkisim"/>
          <w:rtl/>
        </w:rPr>
        <w:t xml:space="preserve"> תי' דחיישינן שהרואה את הגט ומכיר כתב יד הסופר, שמא יודע שלא היה באותו המקום בו ביום. א"כ יאמר שאדם אחר זייף כתב הסופר. דשמא הבעל צווה </w:t>
      </w:r>
      <w:r w:rsidRPr="00AF3214">
        <w:rPr>
          <w:rFonts w:ascii="Narkisim" w:hAnsi="Narkisim"/>
          <w:rtl/>
        </w:rPr>
        <w:lastRenderedPageBreak/>
        <w:t>לסופר זה לכתוב, וכתבו אחר. ויש לעז על הגט. [אבל בשאר שטרות ל"ש חשש זה]</w:t>
      </w:r>
      <w:r w:rsidRPr="00AF3214">
        <w:rPr>
          <w:rFonts w:ascii="Narkisim" w:hAnsi="Narkisim"/>
        </w:rPr>
        <w:t>.</w:t>
      </w:r>
    </w:p>
    <w:p w14:paraId="2B8DF5C6" w14:textId="77777777" w:rsidR="006C4368" w:rsidRPr="00AF3214" w:rsidRDefault="006C4368" w:rsidP="006C4368">
      <w:pPr>
        <w:pStyle w:val="aa"/>
        <w:bidi/>
        <w:rPr>
          <w:rFonts w:ascii="Narkisim" w:hAnsi="Narkisim"/>
        </w:rPr>
      </w:pPr>
      <w:r w:rsidRPr="00AF3214">
        <w:rPr>
          <w:rFonts w:ascii="Narkisim" w:hAnsi="Narkisim"/>
          <w:u w:val="single"/>
          <w:rtl/>
        </w:rPr>
        <w:t>בא"ד והא דגיטין המאוחרים כשרים, היינו כשהעדים והסופר היו באותה העיר בזמן הכתוב וכו'</w:t>
      </w:r>
      <w:r w:rsidRPr="00AF3214">
        <w:rPr>
          <w:rFonts w:ascii="Narkisim" w:hAnsi="Narkisim"/>
          <w:rtl/>
        </w:rPr>
        <w:t>. ו</w:t>
      </w:r>
      <w:r w:rsidRPr="00AF3214">
        <w:rPr>
          <w:rFonts w:ascii="Narkisim" w:hAnsi="Narkisim"/>
          <w:b/>
          <w:bCs/>
          <w:rtl/>
        </w:rPr>
        <w:t>תוס'</w:t>
      </w:r>
      <w:r w:rsidRPr="00AF3214">
        <w:rPr>
          <w:rFonts w:ascii="Narkisim" w:hAnsi="Narkisim"/>
          <w:rtl/>
        </w:rPr>
        <w:t xml:space="preserve"> (גיטין שם) תי' דגט מאוחר כשר טפי, כיון שכתוב מקום שעומד בשעת כתיבה. ואף שלא יעמדו שם הסופר והעדים [בזמן ההוא], יתלו שאיחרוהו וכתבוהו. אבל היה במזרח וכתב במערב שאינו כותב מקום שעומד באותה שעה פסול משום מיחזי כשיקרא. ועוד כי פעמים נודע שלא איחרוהו ויסברו העולם שהקדימוהו</w:t>
      </w:r>
      <w:r w:rsidRPr="00AF3214">
        <w:rPr>
          <w:rFonts w:ascii="Narkisim" w:hAnsi="Narkisim"/>
        </w:rPr>
        <w:t>.</w:t>
      </w:r>
    </w:p>
    <w:p w14:paraId="001A7397" w14:textId="77777777" w:rsidR="006C4368" w:rsidRPr="00AF3214" w:rsidRDefault="006C4368" w:rsidP="006C4368">
      <w:pPr>
        <w:pStyle w:val="aa"/>
        <w:bidi/>
        <w:rPr>
          <w:rFonts w:ascii="Narkisim" w:hAnsi="Narkisim"/>
        </w:rPr>
      </w:pPr>
      <w:r w:rsidRPr="00AF3214">
        <w:rPr>
          <w:rFonts w:ascii="Narkisim" w:hAnsi="Narkisim"/>
          <w:u w:val="single"/>
          <w:rtl/>
        </w:rPr>
        <w:t>ואמאי לימא מאי הו"ל למיעבד, איבעי לה לאיקרויי גיטא</w:t>
      </w:r>
      <w:r w:rsidRPr="00AF3214">
        <w:rPr>
          <w:rStyle w:val="ac"/>
          <w:rFonts w:ascii="Narkisim" w:hAnsi="Narkisim"/>
          <w:rtl/>
        </w:rPr>
        <w:footnoteReference w:id="5795"/>
      </w:r>
      <w:r w:rsidRPr="00AF3214">
        <w:rPr>
          <w:rFonts w:ascii="Narkisim" w:hAnsi="Narkisim"/>
        </w:rPr>
        <w:t xml:space="preserve">. </w:t>
      </w:r>
      <w:r w:rsidRPr="00AF3214">
        <w:rPr>
          <w:rFonts w:ascii="Narkisim" w:hAnsi="Narkisim"/>
          <w:rtl/>
        </w:rPr>
        <w:t>פ</w:t>
      </w:r>
      <w:r w:rsidRPr="00AF3214">
        <w:rPr>
          <w:rFonts w:ascii="Narkisim" w:hAnsi="Narkisim"/>
          <w:b/>
          <w:bCs/>
          <w:rtl/>
        </w:rPr>
        <w:t>רש"י</w:t>
      </w:r>
      <w:r w:rsidRPr="00AF3214">
        <w:rPr>
          <w:rFonts w:ascii="Narkisim" w:hAnsi="Narkisim"/>
          <w:rtl/>
        </w:rPr>
        <w:t xml:space="preserve"> לפני חכם. [ואף שהאשה אינה צריכה לדעת הלכות גיטין, איבע"ל להקריאו לפני חכם היודע]. ו</w:t>
      </w:r>
      <w:r w:rsidRPr="00AF3214">
        <w:rPr>
          <w:rFonts w:ascii="Narkisim" w:hAnsi="Narkisim"/>
          <w:b/>
          <w:bCs/>
          <w:rtl/>
        </w:rPr>
        <w:t>תוס</w:t>
      </w:r>
      <w:r w:rsidRPr="00AF3214">
        <w:rPr>
          <w:rFonts w:ascii="Narkisim" w:hAnsi="Narkisim"/>
          <w:rtl/>
        </w:rPr>
        <w:t>' (ד"ה ת"ש שינה) כת' דנוסף (שם) חידוש בשינה שמו ושמה, דהו"ל לאסוקי אדעתיה ולשאול. דהכא כל חכם היודע הלכות גיטין יודע שהגט פסול, אבל התם החכם אינו יודע שיש לו שם אחר במקום אחר</w:t>
      </w:r>
      <w:r w:rsidRPr="00AF3214">
        <w:rPr>
          <w:rFonts w:ascii="Narkisim" w:hAnsi="Narkisim"/>
        </w:rPr>
        <w:t>.</w:t>
      </w:r>
    </w:p>
    <w:p w14:paraId="11D12659" w14:textId="77777777" w:rsidR="006C4368" w:rsidRPr="00AF3214" w:rsidRDefault="006C4368" w:rsidP="006C4368">
      <w:pPr>
        <w:bidi/>
        <w:rPr>
          <w:rFonts w:ascii="Narkisim" w:hAnsi="Narkisim" w:cs="Narkisim"/>
        </w:rPr>
      </w:pPr>
      <w:r w:rsidRPr="00AF3214">
        <w:rPr>
          <w:rFonts w:ascii="Narkisim" w:hAnsi="Narkisim" w:cs="Narkisim"/>
          <w:u w:val="single"/>
          <w:rtl/>
        </w:rPr>
        <w:t>ת"ש הכונס את יבמתו, והלכה צרתה ונשאת וכו' תצא וכו</w:t>
      </w:r>
      <w:r w:rsidRPr="00AF3214">
        <w:rPr>
          <w:rFonts w:ascii="Narkisim" w:hAnsi="Narkisim" w:cs="Narkisim"/>
          <w:rtl/>
        </w:rPr>
        <w:t>'. דנמצא יבמה שנשאת לשוק באיסור. פ</w:t>
      </w:r>
      <w:r w:rsidRPr="00AF3214">
        <w:rPr>
          <w:rFonts w:ascii="Narkisim" w:hAnsi="Narkisim" w:cs="Narkisim"/>
          <w:b/>
          <w:bCs/>
          <w:rtl/>
        </w:rPr>
        <w:t>רש"י</w:t>
      </w:r>
      <w:r w:rsidRPr="00AF3214">
        <w:rPr>
          <w:rFonts w:ascii="Narkisim" w:hAnsi="Narkisim" w:cs="Narkisim"/>
          <w:rtl/>
        </w:rPr>
        <w:t xml:space="preserve"> דהך משנה כר"ע דיבמה לשוק הוה כחייבי כריתות, כאשת איש ממש</w:t>
      </w:r>
      <w:r w:rsidRPr="00AF3214">
        <w:rPr>
          <w:rStyle w:val="ac"/>
          <w:rFonts w:ascii="Narkisim" w:hAnsi="Narkisim" w:cs="Narkisim"/>
          <w:rtl/>
        </w:rPr>
        <w:footnoteReference w:id="5796"/>
      </w:r>
      <w:r w:rsidRPr="00AF3214">
        <w:rPr>
          <w:rFonts w:ascii="Narkisim" w:hAnsi="Narkisim" w:cs="Narkisim"/>
        </w:rPr>
        <w:t>.</w:t>
      </w:r>
    </w:p>
    <w:p w14:paraId="1FB8EA8B" w14:textId="77777777" w:rsidR="006C4368" w:rsidRPr="00AF3214" w:rsidRDefault="006C4368" w:rsidP="006C4368">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xml:space="preserve">' </w:t>
      </w:r>
      <w:r w:rsidRPr="00AF3214">
        <w:rPr>
          <w:rFonts w:ascii="Narkisim" w:hAnsi="Narkisim"/>
          <w:szCs w:val="20"/>
          <w:rtl/>
        </w:rPr>
        <w:t xml:space="preserve">(גיטין פ:, ולקמן צב. ד"ה אבל והראשונים) </w:t>
      </w:r>
      <w:r w:rsidRPr="00AF3214">
        <w:rPr>
          <w:rFonts w:ascii="Narkisim" w:hAnsi="Narkisim"/>
          <w:rtl/>
        </w:rPr>
        <w:t>הוכיחו מהגמ' (גיטין פ:) דקאי אף לרבנן. והיכא דנשאת באיסור [כעין אשה שהלך בעלה ונשאת בעד א'] קנסו דתצא מזה ומזה והולד ממזר מדרבנן, אף לרבנן. ותוס' הק' מהגמ' (לקמן צב.), עי"ש</w:t>
      </w:r>
      <w:r w:rsidRPr="00AF3214">
        <w:rPr>
          <w:rFonts w:ascii="Narkisim" w:hAnsi="Narkisim"/>
        </w:rPr>
        <w:t>.</w:t>
      </w:r>
    </w:p>
    <w:p w14:paraId="140A9FE9" w14:textId="77777777" w:rsidR="006C4368" w:rsidRPr="00AF3214" w:rsidRDefault="006C4368" w:rsidP="006C4368">
      <w:pPr>
        <w:pStyle w:val="a7"/>
        <w:bidi/>
        <w:rPr>
          <w:rFonts w:ascii="Narkisim" w:hAnsi="Narkisim"/>
        </w:rPr>
      </w:pPr>
      <w:r w:rsidRPr="00AF3214">
        <w:rPr>
          <w:rFonts w:ascii="Narkisim" w:hAnsi="Narkisim"/>
          <w:rtl/>
        </w:rPr>
        <w:t xml:space="preserve">אך </w:t>
      </w:r>
      <w:r w:rsidRPr="00AF3214">
        <w:rPr>
          <w:rFonts w:ascii="Narkisim" w:hAnsi="Narkisim"/>
          <w:b/>
          <w:bCs/>
          <w:rtl/>
        </w:rPr>
        <w:t>תוס</w:t>
      </w:r>
      <w:r w:rsidRPr="00AF3214">
        <w:rPr>
          <w:rFonts w:ascii="Narkisim" w:hAnsi="Narkisim"/>
          <w:rtl/>
        </w:rPr>
        <w:t>' הביאו דב</w:t>
      </w:r>
      <w:r w:rsidRPr="00AF3214">
        <w:rPr>
          <w:rFonts w:ascii="Narkisim" w:hAnsi="Narkisim"/>
          <w:b/>
          <w:bCs/>
          <w:rtl/>
        </w:rPr>
        <w:t>תוספתא</w:t>
      </w:r>
      <w:r w:rsidRPr="00AF3214">
        <w:rPr>
          <w:rFonts w:ascii="Narkisim" w:hAnsi="Narkisim"/>
          <w:rtl/>
        </w:rPr>
        <w:t xml:space="preserve"> (גיטין ו) ו</w:t>
      </w:r>
      <w:r w:rsidRPr="00AF3214">
        <w:rPr>
          <w:rFonts w:ascii="Narkisim" w:hAnsi="Narkisim"/>
          <w:b/>
          <w:bCs/>
          <w:rtl/>
        </w:rPr>
        <w:t>ירושלמי</w:t>
      </w:r>
      <w:r w:rsidRPr="00AF3214">
        <w:rPr>
          <w:rFonts w:ascii="Narkisim" w:hAnsi="Narkisim"/>
          <w:rtl/>
        </w:rPr>
        <w:t xml:space="preserve"> מפורש כדברי רש"י דקאי כר"ע</w:t>
      </w:r>
      <w:r w:rsidRPr="00AF3214">
        <w:rPr>
          <w:rFonts w:ascii="Narkisim" w:hAnsi="Narkisim"/>
        </w:rPr>
        <w:t>.</w:t>
      </w:r>
    </w:p>
    <w:p w14:paraId="76A56949"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וה</w:t>
      </w:r>
      <w:r w:rsidRPr="00AF3214">
        <w:rPr>
          <w:rFonts w:ascii="Narkisim" w:hAnsi="Narkisim"/>
          <w:b/>
          <w:bCs/>
          <w:rtl/>
        </w:rPr>
        <w:t>ריטב"א</w:t>
      </w:r>
      <w:r w:rsidRPr="00AF3214">
        <w:rPr>
          <w:rFonts w:ascii="Narkisim" w:hAnsi="Narkisim"/>
          <w:rtl/>
        </w:rPr>
        <w:t xml:space="preserve"> תי' דתרי תנאי אליבא דר"ע אי דוקא חייבי לאוין דשאר, ולמ"ד דהוה ממזר מכל חייבי לאוין, אף יבמה לשוק הוה ממזר דאורייתא. ומ"ד דדוקא חייבי לאוין דשאר, יבמה לשוק לא הוה ממזר מדאורייתא, אלא דקנסוה רבנן. אבל לרבנן לא קנסו אף מדרבנן. </w:t>
      </w:r>
      <w:r w:rsidRPr="00AF3214">
        <w:rPr>
          <w:rFonts w:ascii="Narkisim" w:hAnsi="Narkisim"/>
          <w:szCs w:val="20"/>
          <w:rtl/>
        </w:rPr>
        <w:t>וה</w:t>
      </w:r>
      <w:r w:rsidRPr="00AF3214">
        <w:rPr>
          <w:rFonts w:ascii="Narkisim" w:hAnsi="Narkisim"/>
          <w:b/>
          <w:bCs/>
          <w:szCs w:val="20"/>
          <w:rtl/>
        </w:rPr>
        <w:t>אחרונים</w:t>
      </w:r>
      <w:r w:rsidRPr="00AF3214">
        <w:rPr>
          <w:rFonts w:ascii="Narkisim" w:hAnsi="Narkisim"/>
          <w:szCs w:val="20"/>
          <w:rtl/>
        </w:rPr>
        <w:t xml:space="preserve"> (קר"א) הק' אמאי תלי במח' ר"ע ורבנן, דלמ"ד דדוקא חייבי לאוין דשאר הוה ממזר, וקנסו ביבמה לשוק אף לא הוה 'שאר', א"כ מנ"ל דלרבנן לא קנסו</w:t>
      </w:r>
      <w:r w:rsidRPr="00AF3214">
        <w:rPr>
          <w:rFonts w:ascii="Narkisim" w:hAnsi="Narkisim"/>
          <w:szCs w:val="20"/>
        </w:rPr>
        <w:t>.</w:t>
      </w:r>
    </w:p>
    <w:p w14:paraId="42C505D6"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כת' דקים להו לגמ' שנחלקו ר"ע וחכמים רק בהולד ממזר [כדקתני עלה אין ממזר מיבמה], הא בשאר כל הדרכים האלו מודין. והביאו מהא דתקנו שאר חומרות, ולא אמרו מאי הו"ל למיעבד</w:t>
      </w:r>
      <w:r w:rsidRPr="00AF3214">
        <w:rPr>
          <w:rFonts w:ascii="Narkisim" w:hAnsi="Narkisim" w:cs="Narkisim"/>
        </w:rPr>
        <w:t>.</w:t>
      </w:r>
    </w:p>
    <w:p w14:paraId="1B7DC760" w14:textId="77777777" w:rsidR="006C4368" w:rsidRPr="00AF3214" w:rsidRDefault="006C4368" w:rsidP="006C4368">
      <w:pPr>
        <w:bidi/>
        <w:rPr>
          <w:rFonts w:ascii="Narkisim" w:hAnsi="Narkisim" w:cs="Narkisim"/>
        </w:rPr>
      </w:pPr>
      <w:r w:rsidRPr="00AF3214">
        <w:rPr>
          <w:rFonts w:ascii="Narkisim" w:hAnsi="Narkisim" w:cs="Narkisim"/>
          <w:u w:val="single"/>
          <w:rtl/>
        </w:rPr>
        <w:t>ואמאי נימא מאי הו"ל למיעבד, איבע"ל לאמתוני וכו'</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פי' עד שתלד או עד שיתגלו סימניה לגמרי. דודאי היו לה קצת סימנים מתחלת ברייתה. דאל"כ לא הוה אמרי' שתמתין, וכדאי' (לעיל פז:) דנעשו מתים כחיים משום דדרכיה דרכי נועם ולא אמרי' שתמתין. וע"כ דדוקא בדבר שיש לו קיצבה אמרו להמתין</w:t>
      </w:r>
      <w:r w:rsidRPr="00AF3214">
        <w:rPr>
          <w:rStyle w:val="ac"/>
          <w:rFonts w:ascii="Narkisim" w:hAnsi="Narkisim" w:cs="Narkisim"/>
          <w:rtl/>
        </w:rPr>
        <w:footnoteReference w:id="5797"/>
      </w:r>
      <w:r w:rsidRPr="00AF3214">
        <w:rPr>
          <w:rFonts w:ascii="Narkisim" w:hAnsi="Narkisim" w:cs="Narkisim"/>
        </w:rPr>
        <w:t>.</w:t>
      </w:r>
    </w:p>
    <w:p w14:paraId="43565F2E"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הק' דרוב נשים אינם אילונית, וע"פ דין סמכינן על הרוב [ואף כנגד חזקה דאסורה לשוק, ע' תוס']. ולא מצאנו חיוב להמתין. ומי שסומך על הרוב אינו מתחייב קרבן [וכמ"ש תוס' לעיל לה:, ע' מה שהו' לעיל פז:]. וב</w:t>
      </w:r>
      <w:r w:rsidRPr="00AF3214">
        <w:rPr>
          <w:rFonts w:ascii="Narkisim" w:hAnsi="Narkisim"/>
          <w:b/>
          <w:bCs/>
          <w:rtl/>
        </w:rPr>
        <w:t>שו"ת רע"א</w:t>
      </w:r>
      <w:r w:rsidRPr="00AF3214">
        <w:rPr>
          <w:rFonts w:ascii="Narkisim" w:hAnsi="Narkisim"/>
          <w:rtl/>
        </w:rPr>
        <w:t xml:space="preserve"> (ק' רו) הביא מכאן דגדרי הקנס דמאי הו"ל למיעבד לא תלי בגדר אונס לענין קרבן</w:t>
      </w:r>
      <w:r w:rsidRPr="00AF3214">
        <w:rPr>
          <w:rStyle w:val="ac"/>
          <w:rFonts w:ascii="Narkisim" w:hAnsi="Narkisim"/>
          <w:rtl/>
        </w:rPr>
        <w:footnoteReference w:id="5798"/>
      </w:r>
      <w:r w:rsidRPr="00AF3214">
        <w:rPr>
          <w:rFonts w:ascii="Narkisim" w:hAnsi="Narkisim"/>
        </w:rPr>
        <w:t>.</w:t>
      </w:r>
    </w:p>
    <w:p w14:paraId="638E2F1E" w14:textId="77777777" w:rsidR="006C4368" w:rsidRPr="00AF3214" w:rsidRDefault="006C4368" w:rsidP="006C4368">
      <w:pPr>
        <w:pStyle w:val="a8"/>
        <w:bidi/>
        <w:rPr>
          <w:rFonts w:ascii="Narkisim" w:hAnsi="Narkisim"/>
        </w:rPr>
      </w:pPr>
      <w:r w:rsidRPr="00AF3214">
        <w:rPr>
          <w:rFonts w:ascii="Narkisim" w:hAnsi="Narkisim"/>
          <w:rtl/>
        </w:rPr>
        <w:t>וצ"ל דאפי' הכי יש לה לחוש לעצמה, וע"ד הא דאמרי' דמותרת לינשא ע"פ עדים, אלא דיש לה לחוש לעצמה. [ואם רואה איזה ריעותא בדבר לא תנשא]</w:t>
      </w:r>
      <w:r w:rsidRPr="00AF3214">
        <w:rPr>
          <w:rFonts w:ascii="Narkisim" w:hAnsi="Narkisim"/>
        </w:rPr>
        <w:t>.</w:t>
      </w:r>
    </w:p>
    <w:p w14:paraId="60B26FB5"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וה</w:t>
      </w:r>
      <w:r w:rsidRPr="00AF3214">
        <w:rPr>
          <w:rFonts w:ascii="Narkisim" w:hAnsi="Narkisim" w:cs="Narkisim"/>
          <w:b/>
          <w:bCs/>
          <w:rtl/>
        </w:rPr>
        <w:t>תו"י</w:t>
      </w:r>
      <w:r w:rsidRPr="00AF3214">
        <w:rPr>
          <w:rFonts w:ascii="Narkisim" w:hAnsi="Narkisim" w:cs="Narkisim"/>
          <w:rtl/>
        </w:rPr>
        <w:t xml:space="preserve"> הק' דאף נשאת ע"פ עדים נימא דאיבעי לאימתוני. [ואף דע"פ דין ודאי דאינה חייבת להמתין, אלא דיש לה לחוש לעצמה]. ותי' דכיון דבאו עדים שמת בעלה, הרי היא עומדת בחזקת היתר. ומה יש לה להמתין עוד. </w:t>
      </w:r>
      <w:r w:rsidRPr="00AF3214">
        <w:rPr>
          <w:rFonts w:ascii="Narkisim" w:hAnsi="Narkisim" w:cs="Narkisim"/>
          <w:szCs w:val="20"/>
          <w:rtl/>
        </w:rPr>
        <w:t>[ומבואר בדבריו דהיכא דהותרה ע"פ הכרעת רוב נחשב עדיין בחזקת איסור. אבל עדות נחשב בירור גמור, והוחזק היתר]</w:t>
      </w:r>
      <w:r w:rsidRPr="00AF3214">
        <w:rPr>
          <w:rFonts w:ascii="Narkisim" w:hAnsi="Narkisim" w:cs="Narkisim"/>
        </w:rPr>
        <w:t>.</w:t>
      </w:r>
    </w:p>
    <w:p w14:paraId="38745C7A" w14:textId="77777777" w:rsidR="006C4368" w:rsidRPr="00AF3214" w:rsidRDefault="006C4368" w:rsidP="006C4368">
      <w:pPr>
        <w:pStyle w:val="aa"/>
        <w:bidi/>
        <w:rPr>
          <w:rFonts w:ascii="Narkisim" w:hAnsi="Narkisim"/>
        </w:rPr>
      </w:pPr>
      <w:r w:rsidRPr="00AF3214">
        <w:rPr>
          <w:rFonts w:ascii="Narkisim" w:hAnsi="Narkisim"/>
          <w:u w:val="single"/>
          <w:rtl/>
        </w:rPr>
        <w:t>רש"י ד"ה והלכה צרתה</w:t>
      </w:r>
      <w:r w:rsidRPr="00AF3214">
        <w:rPr>
          <w:rFonts w:ascii="Narkisim" w:hAnsi="Narkisim"/>
          <w:rtl/>
        </w:rPr>
        <w:t>. ואין ביאתה פוטרת צרתה כדאמר (לעיל יב.) פרט לאילונית שאינה יולדת. [דל"ש יבום באילונית]. ודעת רב אסי (שם) דאילונית פוטרת צרתה</w:t>
      </w:r>
      <w:r w:rsidRPr="00AF3214">
        <w:rPr>
          <w:rStyle w:val="ac"/>
          <w:rFonts w:ascii="Narkisim" w:hAnsi="Narkisim"/>
          <w:rtl/>
        </w:rPr>
        <w:footnoteReference w:id="5799"/>
      </w:r>
      <w:r w:rsidRPr="00AF3214">
        <w:rPr>
          <w:rFonts w:ascii="Narkisim" w:hAnsi="Narkisim"/>
        </w:rPr>
        <w:t xml:space="preserve"> </w:t>
      </w:r>
      <w:r w:rsidRPr="00AF3214">
        <w:rPr>
          <w:rFonts w:ascii="Narkisim" w:hAnsi="Narkisim"/>
          <w:rtl/>
        </w:rPr>
        <w:t>[ופ</w:t>
      </w:r>
      <w:r w:rsidRPr="00AF3214">
        <w:rPr>
          <w:rFonts w:ascii="Narkisim" w:hAnsi="Narkisim"/>
          <w:b/>
          <w:bCs/>
          <w:rtl/>
        </w:rPr>
        <w:t>רש"י</w:t>
      </w:r>
      <w:r w:rsidRPr="00AF3214">
        <w:rPr>
          <w:rFonts w:ascii="Narkisim" w:hAnsi="Narkisim"/>
          <w:rtl/>
        </w:rPr>
        <w:t xml:space="preserve"> דכיון דפטורה מיבום קיימא באיסור </w:t>
      </w:r>
      <w:r w:rsidRPr="00AF3214">
        <w:rPr>
          <w:rFonts w:ascii="Narkisim" w:hAnsi="Narkisim"/>
          <w:rtl/>
        </w:rPr>
        <w:lastRenderedPageBreak/>
        <w:t>אשת אח, וצרתה צרת ערוה</w:t>
      </w:r>
      <w:r w:rsidRPr="00AF3214">
        <w:rPr>
          <w:rStyle w:val="ac"/>
          <w:rFonts w:ascii="Narkisim" w:hAnsi="Narkisim"/>
          <w:rtl/>
        </w:rPr>
        <w:footnoteReference w:id="5800"/>
      </w:r>
      <w:r w:rsidRPr="00AF3214">
        <w:rPr>
          <w:rFonts w:ascii="Narkisim" w:hAnsi="Narkisim"/>
          <w:rtl/>
        </w:rPr>
        <w:t>]. והא דאי' (במשנתינו וכ"מ) דצרתה זקוקה ליבום איירי בלא הכיר בה, דהוה מקח טעות. ורבא (יב:, וכ"ד ר' יוחנן שם) פסק דאילונית אינה פוטרת צרתה. ופ</w:t>
      </w:r>
      <w:r w:rsidRPr="00AF3214">
        <w:rPr>
          <w:rFonts w:ascii="Narkisim" w:hAnsi="Narkisim"/>
          <w:b/>
          <w:bCs/>
          <w:rtl/>
        </w:rPr>
        <w:t>רש"י</w:t>
      </w:r>
      <w:r w:rsidRPr="00AF3214">
        <w:rPr>
          <w:rFonts w:ascii="Narkisim" w:hAnsi="Narkisim"/>
          <w:rtl/>
        </w:rPr>
        <w:t xml:space="preserve"> דאילונית הוה שלא במקום מצווה</w:t>
      </w:r>
      <w:r w:rsidRPr="00AF3214">
        <w:rPr>
          <w:rFonts w:ascii="Narkisim" w:hAnsi="Narkisim"/>
        </w:rPr>
        <w:t>.</w:t>
      </w:r>
    </w:p>
    <w:p w14:paraId="630C9979" w14:textId="77777777" w:rsidR="006C4368" w:rsidRPr="00AF3214" w:rsidRDefault="006C4368" w:rsidP="006C4368">
      <w:pPr>
        <w:pStyle w:val="aa"/>
        <w:bidi/>
        <w:rPr>
          <w:rFonts w:ascii="Narkisim" w:hAnsi="Narkisim"/>
        </w:rPr>
      </w:pPr>
      <w:r w:rsidRPr="00AF3214">
        <w:rPr>
          <w:rFonts w:ascii="Narkisim" w:hAnsi="Narkisim"/>
          <w:u w:val="single"/>
          <w:rtl/>
        </w:rPr>
        <w:t>רש"י ד"ה הלכו צרות</w:t>
      </w:r>
      <w:r w:rsidRPr="00AF3214">
        <w:rPr>
          <w:rFonts w:ascii="Narkisim" w:hAnsi="Narkisim"/>
          <w:rtl/>
        </w:rPr>
        <w:t>. דערוה אילונית אינה פוטרת צרתה, דאילונית מק"ט הוא, ולאו אשתו וכו'. [אבל היכא דהכיר בה, ט"ו נשים הוה ערוה, ופוטרת צרתה]. אבל דעת רבא (לעיל יב:) דצרת בתו אילונית אינה פוטרת צרתה אפי' הכיר בה, דאילונית נחשב צרת ערוה שלא במקום מצווה</w:t>
      </w:r>
      <w:r w:rsidRPr="00AF3214">
        <w:rPr>
          <w:rStyle w:val="ac"/>
          <w:rFonts w:ascii="Narkisim" w:hAnsi="Narkisim"/>
          <w:rtl/>
        </w:rPr>
        <w:footnoteReference w:id="5801"/>
      </w:r>
      <w:r w:rsidRPr="00AF3214">
        <w:rPr>
          <w:rFonts w:ascii="Narkisim" w:hAnsi="Narkisim"/>
        </w:rPr>
        <w:t>.</w:t>
      </w:r>
    </w:p>
    <w:p w14:paraId="75689909"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תמה דמשמע דרש"י העמיד כרב אסי, אך לרב אסי כל אילונית פוטרת צרתה היכא דלא הוה מקח טעות, א"כ אמאי נקט רש"י (לעיל ד"ה והלכה צרתה) גבי הכונס יבמתו, משום גזיה"כ 'אשר תלד פרט לאילונית', לרב אסי הטעם משום דמק"ט ואינה אשתו. וב' דבורי רש"י הסמוכים סותרים אהדדי [חדא כרבא וחדא כרב אשי]</w:t>
      </w:r>
      <w:r w:rsidRPr="00AF3214">
        <w:rPr>
          <w:rFonts w:ascii="Narkisim" w:hAnsi="Narkisim"/>
        </w:rPr>
        <w:t>.</w:t>
      </w:r>
    </w:p>
    <w:p w14:paraId="48C3E58E" w14:textId="77777777" w:rsidR="006C4368" w:rsidRPr="00AF3214" w:rsidRDefault="006C4368" w:rsidP="006C4368">
      <w:pPr>
        <w:pStyle w:val="a8"/>
        <w:bidi/>
        <w:rPr>
          <w:rFonts w:ascii="Narkisim" w:hAnsi="Narkisim"/>
        </w:rPr>
      </w:pPr>
      <w:r w:rsidRPr="00AF3214">
        <w:rPr>
          <w:rFonts w:ascii="Narkisim" w:hAnsi="Narkisim"/>
          <w:rtl/>
        </w:rPr>
        <w:t>וב</w:t>
      </w:r>
      <w:r w:rsidRPr="00AF3214">
        <w:rPr>
          <w:rFonts w:ascii="Narkisim" w:hAnsi="Narkisim"/>
          <w:b/>
          <w:bCs/>
          <w:rtl/>
        </w:rPr>
        <w:t>הג' הר"ש מדסוי</w:t>
      </w:r>
      <w:r w:rsidRPr="00AF3214">
        <w:rPr>
          <w:rFonts w:ascii="Narkisim" w:hAnsi="Narkisim"/>
          <w:rtl/>
        </w:rPr>
        <w:t xml:space="preserve"> תי' דיש מ"ד</w:t>
      </w:r>
      <w:r w:rsidRPr="00AF3214">
        <w:rPr>
          <w:rStyle w:val="ac"/>
          <w:rFonts w:ascii="Narkisim" w:hAnsi="Narkisim"/>
          <w:rtl/>
        </w:rPr>
        <w:footnoteReference w:id="5802"/>
      </w:r>
      <w:r w:rsidRPr="00AF3214">
        <w:rPr>
          <w:rFonts w:ascii="Narkisim" w:hAnsi="Narkisim"/>
        </w:rPr>
        <w:t xml:space="preserve"> </w:t>
      </w:r>
      <w:r w:rsidRPr="00AF3214">
        <w:rPr>
          <w:rFonts w:ascii="Narkisim" w:hAnsi="Narkisim"/>
          <w:rtl/>
        </w:rPr>
        <w:t>דאילונית אינה פוטרת צרתה, משום דלא הוה צרת ערוה. אבל בתו אילונית פוטרת צרתה, דערות בתו פוטרת דחשיב במקום מצווה. ולהך מ"ד המשנה דכונס והלכה צרתה ונשאת איירי אפי' הכיר בה, ואינה פוטרת צרתה. ודוקא המשנה דט"ו עריות ונמצאת אילונית הוה משום מקח טעות [ואיירי בלא הכיר בה]</w:t>
      </w:r>
      <w:r w:rsidRPr="00AF3214">
        <w:rPr>
          <w:rFonts w:ascii="Narkisim" w:hAnsi="Narkisim"/>
        </w:rPr>
        <w:t>.</w:t>
      </w:r>
    </w:p>
    <w:p w14:paraId="1E4A5905" w14:textId="77777777" w:rsidR="006C4368" w:rsidRPr="00AF3214" w:rsidRDefault="006C4368" w:rsidP="006C4368">
      <w:pPr>
        <w:pStyle w:val="aa"/>
        <w:bidi/>
        <w:rPr>
          <w:rFonts w:ascii="Narkisim" w:hAnsi="Narkisim"/>
        </w:rPr>
      </w:pPr>
      <w:r w:rsidRPr="00AF3214">
        <w:rPr>
          <w:rFonts w:ascii="Narkisim" w:hAnsi="Narkisim"/>
          <w:u w:val="single"/>
          <w:rtl/>
        </w:rPr>
        <w:t>תוד"ה ת"ש כל עריות</w:t>
      </w:r>
      <w:r w:rsidRPr="00AF3214">
        <w:rPr>
          <w:rFonts w:ascii="Narkisim" w:hAnsi="Narkisim"/>
          <w:rtl/>
        </w:rPr>
        <w:t>. אבל כאן בחזקת היתר לשוק עומדת. [שהוחזקה שהיא צרת ערוה, וע"ד הא דאמר רבה (לעיל ל:) דאשה זו בחזקת היתר לשוק עומדת</w:t>
      </w:r>
      <w:r w:rsidRPr="00AF3214">
        <w:rPr>
          <w:rStyle w:val="ac"/>
          <w:rFonts w:ascii="Narkisim" w:hAnsi="Narkisim"/>
          <w:rtl/>
        </w:rPr>
        <w:footnoteReference w:id="5803"/>
      </w:r>
      <w:r w:rsidRPr="00AF3214">
        <w:rPr>
          <w:rFonts w:ascii="Narkisim" w:hAnsi="Narkisim"/>
          <w:rtl/>
        </w:rPr>
        <w:t>]. ועד"ז אי' בגמ' (גיטין פ:) צריכותא דאי אשמוע' הכונס את יבמתו, דרמיא קמיה. פ</w:t>
      </w:r>
      <w:r w:rsidRPr="00AF3214">
        <w:rPr>
          <w:rFonts w:ascii="Narkisim" w:hAnsi="Narkisim"/>
          <w:b/>
          <w:bCs/>
          <w:rtl/>
        </w:rPr>
        <w:t>רש"י</w:t>
      </w:r>
      <w:r w:rsidRPr="00AF3214">
        <w:rPr>
          <w:rFonts w:ascii="Narkisim" w:hAnsi="Narkisim"/>
          <w:rtl/>
        </w:rPr>
        <w:t xml:space="preserve"> דשתיהם נופלות ליבום, והו"ל להמתין עד שתראה שתביא היבמה שערות, שתראה שיבומי חברתה כשרין. דכיון דרמאי קמיה, צריכה לצאת מידי זיקתו ביבומין ודאין. אבל צרת צרת ערוה מתחילת נפילה לא רמיא קמיה, פרש"י שהצרה סבורה דלא רמיא קמיה. הילכך לא הו"ל לאסוקי אדעתה ולאמתוני, דמסולקת היא ממנו. ולא לקנסה דהא אנוסה היא</w:t>
      </w:r>
      <w:r w:rsidRPr="00AF3214">
        <w:rPr>
          <w:rFonts w:ascii="Narkisim" w:hAnsi="Narkisim"/>
        </w:rPr>
        <w:t>.</w:t>
      </w:r>
    </w:p>
    <w:p w14:paraId="2545E5E4"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גמ'</w:t>
      </w:r>
      <w:r w:rsidRPr="00AF3214">
        <w:rPr>
          <w:rFonts w:ascii="Narkisim" w:hAnsi="Narkisim"/>
          <w:rtl/>
        </w:rPr>
        <w:t xml:space="preserve"> (שם) נקטו בתחילה צריכותא להיפך, דאי אשמעו' עריות</w:t>
      </w:r>
      <w:r w:rsidRPr="00AF3214">
        <w:rPr>
          <w:rStyle w:val="ac"/>
          <w:rFonts w:ascii="Narkisim" w:hAnsi="Narkisim"/>
          <w:rtl/>
        </w:rPr>
        <w:footnoteReference w:id="5804"/>
      </w:r>
      <w:r w:rsidRPr="00AF3214">
        <w:rPr>
          <w:rFonts w:ascii="Narkisim" w:hAnsi="Narkisim"/>
        </w:rPr>
        <w:t xml:space="preserve">, </w:t>
      </w:r>
      <w:r w:rsidRPr="00AF3214">
        <w:rPr>
          <w:rFonts w:ascii="Narkisim" w:hAnsi="Narkisim"/>
          <w:rtl/>
        </w:rPr>
        <w:t>דלא איקיים מצוות יבום. פ</w:t>
      </w:r>
      <w:r w:rsidRPr="00AF3214">
        <w:rPr>
          <w:rFonts w:ascii="Narkisim" w:hAnsi="Narkisim"/>
          <w:b/>
          <w:bCs/>
          <w:rtl/>
        </w:rPr>
        <w:t>רש"י</w:t>
      </w:r>
      <w:r w:rsidRPr="00AF3214">
        <w:rPr>
          <w:rFonts w:ascii="Narkisim" w:hAnsi="Narkisim"/>
          <w:rtl/>
        </w:rPr>
        <w:t xml:space="preserve"> ומש"ה קנסינן לה. אבל הכונס את יבמתו, דקיימו מצוות יבום [באילונית], מש"ה נימא דלא הו"ל להמתין. קמ"ל דאפ"ה קנסינן לה</w:t>
      </w:r>
      <w:r w:rsidRPr="00AF3214">
        <w:rPr>
          <w:rFonts w:ascii="Narkisim" w:hAnsi="Narkisim"/>
        </w:rPr>
        <w:t>.</w:t>
      </w:r>
    </w:p>
    <w:p w14:paraId="059123D7" w14:textId="77777777" w:rsidR="006C4368" w:rsidRPr="00AF3214" w:rsidRDefault="006C4368" w:rsidP="006C4368">
      <w:pPr>
        <w:pStyle w:val="aa"/>
        <w:bidi/>
        <w:rPr>
          <w:rFonts w:ascii="Narkisim" w:hAnsi="Narkisim"/>
        </w:rPr>
      </w:pPr>
      <w:r w:rsidRPr="00AF3214">
        <w:rPr>
          <w:rFonts w:ascii="Narkisim" w:hAnsi="Narkisim"/>
          <w:u w:val="single"/>
          <w:rtl/>
        </w:rPr>
        <w:t>אמר רבא ת"ש כתב סופר גט לאיש וכו' וטעה ונתן וכו' איבע"ל לאיקרויי לגיטא</w:t>
      </w:r>
      <w:r w:rsidRPr="00AF3214">
        <w:rPr>
          <w:rFonts w:ascii="Narkisim" w:hAnsi="Narkisim"/>
          <w:rtl/>
        </w:rPr>
        <w:t xml:space="preserve">. </w:t>
      </w:r>
      <w:r w:rsidRPr="00AF3214">
        <w:rPr>
          <w:rFonts w:ascii="Narkisim" w:hAnsi="Narkisim"/>
          <w:b/>
          <w:bCs/>
          <w:rtl/>
        </w:rPr>
        <w:t>תוס'</w:t>
      </w:r>
      <w:r w:rsidRPr="00AF3214">
        <w:rPr>
          <w:rFonts w:ascii="Narkisim" w:hAnsi="Narkisim"/>
          <w:rtl/>
        </w:rPr>
        <w:t xml:space="preserve"> (גיטין יט:) הק' דאי לא קראו את הגט אינה רשאית לינשא כלל [אפי' לא הוחלף כלל], וכדאי' (שם) דהעדים צריכים לקרוא את הגט. ותוס' תי' דנהי דאסורה לינשא בלא קריאה, מ"מ אם נשאת לא תצא</w:t>
      </w:r>
      <w:r w:rsidRPr="00AF3214">
        <w:rPr>
          <w:rStyle w:val="ac"/>
          <w:rFonts w:ascii="Narkisim" w:hAnsi="Narkisim"/>
          <w:rtl/>
        </w:rPr>
        <w:footnoteReference w:id="5805"/>
      </w:r>
      <w:r w:rsidRPr="00AF3214">
        <w:rPr>
          <w:rFonts w:ascii="Narkisim" w:hAnsi="Narkisim"/>
        </w:rPr>
        <w:t>.</w:t>
      </w:r>
    </w:p>
    <w:p w14:paraId="2C189193"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(שם) כת' דהיכא דליכא עדי חתימה בגט בעינן עדי מסירה, שיקראו את הגט להכיר שראו שמסר לה גט זה</w:t>
      </w:r>
      <w:r w:rsidRPr="00AF3214">
        <w:rPr>
          <w:rStyle w:val="ac"/>
          <w:rFonts w:ascii="Narkisim" w:hAnsi="Narkisim"/>
          <w:rtl/>
        </w:rPr>
        <w:footnoteReference w:id="5806"/>
      </w:r>
      <w:r w:rsidRPr="00AF3214">
        <w:rPr>
          <w:rFonts w:ascii="Narkisim" w:hAnsi="Narkisim"/>
        </w:rPr>
        <w:t xml:space="preserve">. </w:t>
      </w:r>
      <w:r w:rsidRPr="00AF3214">
        <w:rPr>
          <w:rFonts w:ascii="Narkisim" w:hAnsi="Narkisim"/>
          <w:rtl/>
        </w:rPr>
        <w:t>ואילו בסוגיין איירי כשיש עדי חתימה, דאי"צ עדי מסירה [לדעת הרי"ף גיטין פו]</w:t>
      </w:r>
      <w:r w:rsidRPr="00AF3214">
        <w:rPr>
          <w:rFonts w:ascii="Narkisim" w:hAnsi="Narkisim"/>
        </w:rPr>
        <w:t>.</w:t>
      </w:r>
    </w:p>
    <w:p w14:paraId="45957D28"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(שם) תי' עוד איירי שקראו ואח"כ עיילי לבי ידיה ונתחלף [וכמ"ש תוס' כאן]. ובסוגיין קנסינן לה דהו"ל לחזור ולקרוא את הגט לאחר הנתינה, מאחר שבה לידי קלקול</w:t>
      </w:r>
      <w:r w:rsidRPr="00AF3214">
        <w:rPr>
          <w:rStyle w:val="ac"/>
          <w:rFonts w:ascii="Narkisim" w:hAnsi="Narkisim"/>
          <w:rtl/>
        </w:rPr>
        <w:footnoteReference w:id="5807"/>
      </w:r>
      <w:r w:rsidRPr="00AF3214">
        <w:rPr>
          <w:rFonts w:ascii="Narkisim" w:hAnsi="Narkisim"/>
        </w:rPr>
        <w:t xml:space="preserve">. </w:t>
      </w:r>
      <w:r w:rsidRPr="00AF3214">
        <w:rPr>
          <w:rFonts w:ascii="Narkisim" w:hAnsi="Narkisim"/>
          <w:rtl/>
        </w:rPr>
        <w:t>[וכמ"ש תוס' כאן]</w:t>
      </w:r>
      <w:r w:rsidRPr="00AF3214">
        <w:rPr>
          <w:rFonts w:ascii="Narkisim" w:hAnsi="Narkisim"/>
        </w:rPr>
        <w:t>.</w:t>
      </w:r>
    </w:p>
    <w:p w14:paraId="12EF4FAF" w14:textId="77777777" w:rsidR="006C4368" w:rsidRPr="00AF3214" w:rsidRDefault="006C4368" w:rsidP="006C4368">
      <w:pPr>
        <w:pStyle w:val="aa"/>
        <w:bidi/>
        <w:rPr>
          <w:rFonts w:ascii="Narkisim" w:hAnsi="Narkisim"/>
        </w:rPr>
      </w:pPr>
      <w:r w:rsidRPr="00AF3214">
        <w:rPr>
          <w:rFonts w:ascii="Narkisim" w:hAnsi="Narkisim"/>
          <w:u w:val="single"/>
          <w:rtl/>
        </w:rPr>
        <w:t>תוד"ה תא שמע שינה</w:t>
      </w:r>
      <w:r w:rsidRPr="00AF3214">
        <w:rPr>
          <w:rFonts w:ascii="Narkisim" w:hAnsi="Narkisim"/>
          <w:rtl/>
        </w:rPr>
        <w:t>. כגון שיש לו ב' שמות וכו'. וע"פ המשנה (גיטין לד:) דבראשונה היה משנה שמו ושמה, ותיקן ר"ג הזקן לכתוב כל שום וחניכה. [ובגמ' שם איירי דיש לו ב' שמות בב' מקומות]. וכיון דעבר על התקנה הוה משנה ממטבע בגיטין, ולר"מ הולד ממזר. אבל ה</w:t>
      </w:r>
      <w:r w:rsidRPr="00AF3214">
        <w:rPr>
          <w:rFonts w:ascii="Narkisim" w:hAnsi="Narkisim"/>
          <w:b/>
          <w:bCs/>
          <w:rtl/>
        </w:rPr>
        <w:t>ריטב"א</w:t>
      </w:r>
      <w:r w:rsidRPr="00AF3214">
        <w:rPr>
          <w:rFonts w:ascii="Narkisim" w:hAnsi="Narkisim"/>
          <w:rtl/>
        </w:rPr>
        <w:t xml:space="preserve"> (גיטין פ.) נקט דאיירי בשינה שמו ממש, ואיירי בפסול דאורייתא</w:t>
      </w:r>
      <w:r w:rsidRPr="00AF3214">
        <w:rPr>
          <w:rStyle w:val="ac"/>
          <w:rFonts w:ascii="Narkisim" w:hAnsi="Narkisim"/>
          <w:rtl/>
        </w:rPr>
        <w:footnoteReference w:id="5808"/>
      </w:r>
      <w:r w:rsidRPr="00AF3214">
        <w:rPr>
          <w:rFonts w:ascii="Narkisim" w:hAnsi="Narkisim"/>
        </w:rPr>
        <w:t xml:space="preserve">. </w:t>
      </w:r>
      <w:r w:rsidRPr="00AF3214">
        <w:rPr>
          <w:rFonts w:ascii="Narkisim" w:hAnsi="Narkisim"/>
          <w:rtl/>
        </w:rPr>
        <w:t>והך בבא קאי אף לרבנן</w:t>
      </w:r>
      <w:r w:rsidRPr="00AF3214">
        <w:rPr>
          <w:rFonts w:ascii="Narkisim" w:hAnsi="Narkisim"/>
        </w:rPr>
        <w:t>.</w:t>
      </w:r>
    </w:p>
    <w:p w14:paraId="01D0B27D" w14:textId="77777777" w:rsidR="006C4368" w:rsidRPr="00AF3214" w:rsidRDefault="006C4368" w:rsidP="006C4368">
      <w:pPr>
        <w:bidi/>
        <w:rPr>
          <w:rFonts w:ascii="Narkisim" w:hAnsi="Narkisim" w:cs="Narkisim"/>
        </w:rPr>
      </w:pPr>
      <w:r w:rsidRPr="00AF3214">
        <w:rPr>
          <w:rFonts w:ascii="Narkisim" w:hAnsi="Narkisim" w:cs="Narkisim"/>
          <w:u w:val="single"/>
          <w:rtl/>
        </w:rPr>
        <w:t>א"ל רב הונא בדר"י וכו' ואשינויי ליקו וליסמוך</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באשת איש שנשאת ע"פ עדים. ו</w:t>
      </w:r>
      <w:r w:rsidRPr="00AF3214">
        <w:rPr>
          <w:rFonts w:ascii="Narkisim" w:hAnsi="Narkisim" w:cs="Narkisim"/>
          <w:b/>
          <w:bCs/>
          <w:rtl/>
        </w:rPr>
        <w:t>רש"י</w:t>
      </w:r>
      <w:r w:rsidRPr="00AF3214">
        <w:rPr>
          <w:rFonts w:ascii="Narkisim" w:hAnsi="Narkisim" w:cs="Narkisim"/>
          <w:rtl/>
        </w:rPr>
        <w:t xml:space="preserve"> הביא דאף רב פפא נמנע ולא עבד עובדא</w:t>
      </w:r>
      <w:r w:rsidRPr="00AF3214">
        <w:rPr>
          <w:rFonts w:ascii="Narkisim" w:hAnsi="Narkisim" w:cs="Narkisim"/>
        </w:rPr>
        <w:t>.</w:t>
      </w:r>
    </w:p>
    <w:p w14:paraId="3E5C0495" w14:textId="77777777" w:rsidR="006C4368" w:rsidRPr="00AF3214" w:rsidRDefault="006C4368" w:rsidP="006C4368">
      <w:pPr>
        <w:pStyle w:val="a7"/>
        <w:bidi/>
        <w:rPr>
          <w:rFonts w:ascii="Narkisim" w:hAnsi="Narkisim"/>
        </w:rPr>
      </w:pPr>
      <w:r w:rsidRPr="00AF3214">
        <w:rPr>
          <w:rFonts w:ascii="Narkisim" w:hAnsi="Narkisim"/>
          <w:rtl/>
        </w:rPr>
        <w:t>ובפשוטו נקטו ה</w:t>
      </w:r>
      <w:r w:rsidRPr="00AF3214">
        <w:rPr>
          <w:rFonts w:ascii="Narkisim" w:hAnsi="Narkisim"/>
          <w:b/>
          <w:bCs/>
          <w:rtl/>
        </w:rPr>
        <w:t>ראשונים</w:t>
      </w:r>
      <w:r w:rsidRPr="00AF3214">
        <w:rPr>
          <w:rFonts w:ascii="Narkisim" w:hAnsi="Narkisim"/>
          <w:rtl/>
        </w:rPr>
        <w:t xml:space="preserve"> דקי"ל כרבנן דנשאת ע"פ עדים תצא מזה ומזה. אבל ה</w:t>
      </w:r>
      <w:r w:rsidRPr="00AF3214">
        <w:rPr>
          <w:rFonts w:ascii="Narkisim" w:hAnsi="Narkisim"/>
          <w:b/>
          <w:bCs/>
          <w:rtl/>
        </w:rPr>
        <w:t>בעה"מ</w:t>
      </w:r>
      <w:r w:rsidRPr="00AF3214">
        <w:rPr>
          <w:rFonts w:ascii="Narkisim" w:hAnsi="Narkisim"/>
          <w:rtl/>
        </w:rPr>
        <w:t xml:space="preserve"> (צה: ל: בדה"ר) כת' דרק לכתחילה לא תנשא, ואם נשאת לא תצא ואינו ממזר</w:t>
      </w:r>
      <w:r w:rsidRPr="00AF3214">
        <w:rPr>
          <w:rStyle w:val="ac"/>
          <w:rFonts w:ascii="Narkisim" w:hAnsi="Narkisim"/>
          <w:rtl/>
        </w:rPr>
        <w:footnoteReference w:id="5809"/>
      </w:r>
      <w:r w:rsidRPr="00AF3214">
        <w:rPr>
          <w:rFonts w:ascii="Narkisim" w:hAnsi="Narkisim"/>
        </w:rPr>
        <w:t>.</w:t>
      </w:r>
    </w:p>
    <w:p w14:paraId="6B28912F" w14:textId="77777777" w:rsidR="006C4368" w:rsidRPr="00AF3214" w:rsidRDefault="006C4368" w:rsidP="006C4368">
      <w:pPr>
        <w:pStyle w:val="a7"/>
        <w:bidi/>
        <w:rPr>
          <w:rFonts w:ascii="Narkisim" w:hAnsi="Narkisim"/>
        </w:rPr>
      </w:pPr>
      <w:r w:rsidRPr="00AF3214">
        <w:rPr>
          <w:rFonts w:ascii="Narkisim" w:hAnsi="Narkisim"/>
          <w:rtl/>
        </w:rPr>
        <w:t>ועוד כת' ה</w:t>
      </w:r>
      <w:r w:rsidRPr="00AF3214">
        <w:rPr>
          <w:rFonts w:ascii="Narkisim" w:hAnsi="Narkisim"/>
          <w:b/>
          <w:bCs/>
          <w:rtl/>
        </w:rPr>
        <w:t>בעה"מ</w:t>
      </w:r>
      <w:r w:rsidRPr="00AF3214">
        <w:rPr>
          <w:rFonts w:ascii="Narkisim" w:hAnsi="Narkisim"/>
          <w:rtl/>
        </w:rPr>
        <w:t xml:space="preserve"> דאפשר דבסוגיין קאי בשאר מאי הו"ל למיעבד, וכהנך מתני'</w:t>
      </w:r>
      <w:r w:rsidRPr="00AF3214">
        <w:rPr>
          <w:rStyle w:val="ac"/>
          <w:rFonts w:ascii="Narkisim" w:hAnsi="Narkisim"/>
          <w:rtl/>
        </w:rPr>
        <w:footnoteReference w:id="5810"/>
      </w:r>
      <w:r w:rsidRPr="00AF3214">
        <w:rPr>
          <w:rFonts w:ascii="Narkisim" w:hAnsi="Narkisim"/>
          <w:rtl/>
        </w:rPr>
        <w:t xml:space="preserve">. דלא פלוג </w:t>
      </w:r>
      <w:r w:rsidRPr="00AF3214">
        <w:rPr>
          <w:rFonts w:ascii="Narkisim" w:hAnsi="Narkisim"/>
          <w:rtl/>
        </w:rPr>
        <w:lastRenderedPageBreak/>
        <w:t>רבנן</w:t>
      </w:r>
      <w:r w:rsidRPr="00AF3214">
        <w:rPr>
          <w:rStyle w:val="ac"/>
          <w:rFonts w:ascii="Narkisim" w:hAnsi="Narkisim"/>
          <w:rtl/>
        </w:rPr>
        <w:footnoteReference w:id="5811"/>
      </w:r>
      <w:r w:rsidRPr="00AF3214">
        <w:rPr>
          <w:rFonts w:ascii="Narkisim" w:hAnsi="Narkisim"/>
        </w:rPr>
        <w:t xml:space="preserve">. </w:t>
      </w:r>
      <w:r w:rsidRPr="00AF3214">
        <w:rPr>
          <w:rFonts w:ascii="Narkisim" w:hAnsi="Narkisim"/>
          <w:rtl/>
        </w:rPr>
        <w:t>אבל נשאת ע"פ עדים רב ושמואל פסקו להדיא דלא תצא [ואף לכתחילה</w:t>
      </w:r>
      <w:r w:rsidRPr="00AF3214">
        <w:rPr>
          <w:rStyle w:val="ac"/>
          <w:rFonts w:ascii="Narkisim" w:hAnsi="Narkisim"/>
          <w:rtl/>
        </w:rPr>
        <w:footnoteReference w:id="5812"/>
      </w:r>
      <w:r w:rsidRPr="00AF3214">
        <w:rPr>
          <w:rFonts w:ascii="Narkisim" w:hAnsi="Narkisim"/>
          <w:rtl/>
        </w:rPr>
        <w:t>]</w:t>
      </w:r>
      <w:r w:rsidRPr="00AF3214">
        <w:rPr>
          <w:rFonts w:ascii="Narkisim" w:hAnsi="Narkisim"/>
        </w:rPr>
        <w:t>.</w:t>
      </w:r>
    </w:p>
    <w:p w14:paraId="0E56ACBE"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ולמסקנא לא אמרי' מאי הו"ל למיעבד. וקנסו דתצא מזה ומזה אף במקום אונס</w:t>
      </w:r>
      <w:r w:rsidRPr="00AF3214">
        <w:rPr>
          <w:rStyle w:val="ac"/>
          <w:rFonts w:ascii="Narkisim" w:hAnsi="Narkisim" w:cs="Narkisim"/>
          <w:rtl/>
        </w:rPr>
        <w:footnoteReference w:id="5813"/>
      </w:r>
      <w:r w:rsidRPr="00AF3214">
        <w:rPr>
          <w:rFonts w:ascii="Narkisim" w:hAnsi="Narkisim" w:cs="Narkisim"/>
        </w:rPr>
        <w:t>.</w:t>
      </w:r>
    </w:p>
    <w:p w14:paraId="2E2DA175" w14:textId="77777777" w:rsidR="006C4368" w:rsidRPr="00AF3214" w:rsidRDefault="006C4368" w:rsidP="006C4368">
      <w:pPr>
        <w:pStyle w:val="a8"/>
        <w:bidi/>
        <w:rPr>
          <w:rFonts w:ascii="Narkisim" w:hAnsi="Narkisim"/>
        </w:rPr>
      </w:pPr>
      <w:r w:rsidRPr="00AF3214">
        <w:rPr>
          <w:rFonts w:ascii="Narkisim" w:hAnsi="Narkisim"/>
          <w:rtl/>
        </w:rPr>
        <w:t>ויל"ד אי למסקנא תצא מזה ומזה לא הוה משום קנס. או דלא פלוג, וקנסו אף במקום שהיתה אנוסה</w:t>
      </w:r>
      <w:r w:rsidRPr="00AF3214">
        <w:rPr>
          <w:rStyle w:val="ac"/>
          <w:rFonts w:ascii="Narkisim" w:hAnsi="Narkisim"/>
          <w:rtl/>
        </w:rPr>
        <w:footnoteReference w:id="5814"/>
      </w:r>
      <w:r w:rsidRPr="00AF3214">
        <w:rPr>
          <w:rFonts w:ascii="Narkisim" w:hAnsi="Narkisim"/>
        </w:rPr>
        <w:t xml:space="preserve"> </w:t>
      </w:r>
      <w:r w:rsidRPr="00AF3214">
        <w:rPr>
          <w:rFonts w:ascii="Narkisim" w:hAnsi="Narkisim"/>
          <w:rtl/>
        </w:rPr>
        <w:t>[וכ"כ הבעה"מ]. א"נ אף נשאת ע"פ עדים אמרי' דהו"ל למידק, וכעין כל הנך דלעיל [וכקו' התו"י הנ"ל], וכ"כ ה</w:t>
      </w:r>
      <w:r w:rsidRPr="00AF3214">
        <w:rPr>
          <w:rFonts w:ascii="Narkisim" w:hAnsi="Narkisim"/>
          <w:b/>
          <w:bCs/>
          <w:rtl/>
        </w:rPr>
        <w:t>בית מאיר</w:t>
      </w:r>
      <w:r w:rsidRPr="00AF3214">
        <w:rPr>
          <w:rFonts w:ascii="Narkisim" w:hAnsi="Narkisim"/>
          <w:rtl/>
        </w:rPr>
        <w:t xml:space="preserve"> (יז נח ד"ה ובאמת) דסברת המסקנא דאף בעדים שייך מאי הו"ל למיעבד</w:t>
      </w:r>
      <w:r w:rsidRPr="00AF3214">
        <w:rPr>
          <w:rStyle w:val="ac"/>
          <w:rFonts w:ascii="Narkisim" w:hAnsi="Narkisim"/>
          <w:rtl/>
        </w:rPr>
        <w:footnoteReference w:id="5815"/>
      </w:r>
      <w:r w:rsidRPr="00AF3214">
        <w:rPr>
          <w:rFonts w:ascii="Narkisim" w:hAnsi="Narkisim"/>
        </w:rPr>
        <w:t xml:space="preserve">. </w:t>
      </w:r>
      <w:r w:rsidRPr="00AF3214">
        <w:rPr>
          <w:rFonts w:ascii="Narkisim" w:hAnsi="Narkisim"/>
          <w:rtl/>
        </w:rPr>
        <w:t>[אבל בגמ' לא משמע כן]</w:t>
      </w:r>
      <w:r w:rsidRPr="00AF3214">
        <w:rPr>
          <w:rFonts w:ascii="Narkisim" w:hAnsi="Narkisim"/>
        </w:rPr>
        <w:t>.</w:t>
      </w:r>
    </w:p>
    <w:p w14:paraId="2797D455" w14:textId="77777777" w:rsidR="006C4368" w:rsidRPr="00AF3214" w:rsidRDefault="006C4368" w:rsidP="006C4368">
      <w:pPr>
        <w:pStyle w:val="aa"/>
        <w:bidi/>
        <w:rPr>
          <w:rFonts w:ascii="Narkisim" w:hAnsi="Narkisim"/>
        </w:rPr>
      </w:pPr>
      <w:r w:rsidRPr="00AF3214">
        <w:rPr>
          <w:rFonts w:ascii="Narkisim" w:hAnsi="Narkisim"/>
          <w:rtl/>
        </w:rPr>
        <w:t>וב</w:t>
      </w:r>
      <w:r w:rsidRPr="00AF3214">
        <w:rPr>
          <w:rFonts w:ascii="Narkisim" w:hAnsi="Narkisim"/>
          <w:b/>
          <w:bCs/>
          <w:rtl/>
        </w:rPr>
        <w:t>שו"ת הרשב"א</w:t>
      </w:r>
      <w:r w:rsidRPr="00AF3214">
        <w:rPr>
          <w:rFonts w:ascii="Narkisim" w:hAnsi="Narkisim"/>
          <w:rtl/>
        </w:rPr>
        <w:t xml:space="preserve"> (א אלף קפט, הו' בב"י ורמ"א יז נח) כת' דהיכא דהורו בי"ד בטעות שלא נתקדשה</w:t>
      </w:r>
      <w:r w:rsidRPr="00AF3214">
        <w:rPr>
          <w:rStyle w:val="ac"/>
          <w:rFonts w:ascii="Narkisim" w:hAnsi="Narkisim"/>
          <w:rtl/>
        </w:rPr>
        <w:footnoteReference w:id="5816"/>
      </w:r>
      <w:r w:rsidRPr="00AF3214">
        <w:rPr>
          <w:rFonts w:ascii="Narkisim" w:hAnsi="Narkisim"/>
        </w:rPr>
        <w:t xml:space="preserve"> </w:t>
      </w:r>
      <w:r w:rsidRPr="00AF3214">
        <w:rPr>
          <w:rFonts w:ascii="Narkisim" w:hAnsi="Narkisim"/>
          <w:rtl/>
        </w:rPr>
        <w:t>ונשאת ע"פ הבי"ד, הוי אונס גמור, ומותרת</w:t>
      </w:r>
      <w:r w:rsidRPr="00AF3214">
        <w:rPr>
          <w:rStyle w:val="ac"/>
          <w:rFonts w:ascii="Narkisim" w:hAnsi="Narkisim"/>
          <w:rtl/>
        </w:rPr>
        <w:footnoteReference w:id="5817"/>
      </w:r>
      <w:r w:rsidRPr="00AF3214">
        <w:rPr>
          <w:rFonts w:ascii="Narkisim" w:hAnsi="Narkisim"/>
        </w:rPr>
        <w:t xml:space="preserve"> </w:t>
      </w:r>
      <w:r w:rsidRPr="00AF3214">
        <w:rPr>
          <w:rFonts w:ascii="Narkisim" w:hAnsi="Narkisim"/>
          <w:rtl/>
        </w:rPr>
        <w:t>לבעלה הראשון</w:t>
      </w:r>
      <w:r w:rsidRPr="00AF3214">
        <w:rPr>
          <w:rStyle w:val="ac"/>
          <w:rFonts w:ascii="Narkisim" w:hAnsi="Narkisim"/>
          <w:rtl/>
        </w:rPr>
        <w:footnoteReference w:id="5818"/>
      </w:r>
      <w:r w:rsidRPr="00AF3214">
        <w:rPr>
          <w:rFonts w:ascii="Narkisim" w:hAnsi="Narkisim"/>
        </w:rPr>
        <w:t xml:space="preserve">. </w:t>
      </w:r>
      <w:r w:rsidRPr="00AF3214">
        <w:rPr>
          <w:rFonts w:ascii="Narkisim" w:hAnsi="Narkisim"/>
          <w:rtl/>
        </w:rPr>
        <w:t>אבל בכל טעות בעלמא [שלא ע"פ הוראת בי"ד] אמרי' דתצא מזה ומזה</w:t>
      </w:r>
      <w:r w:rsidRPr="00AF3214">
        <w:rPr>
          <w:rStyle w:val="ac"/>
          <w:rFonts w:ascii="Narkisim" w:hAnsi="Narkisim"/>
          <w:rtl/>
        </w:rPr>
        <w:footnoteReference w:id="5819"/>
      </w:r>
      <w:r w:rsidRPr="00AF3214">
        <w:rPr>
          <w:rFonts w:ascii="Narkisim" w:hAnsi="Narkisim"/>
        </w:rPr>
        <w:t>.</w:t>
      </w:r>
    </w:p>
    <w:p w14:paraId="06B977A8"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בי"ש</w:t>
      </w:r>
      <w:r w:rsidRPr="00AF3214">
        <w:rPr>
          <w:rFonts w:ascii="Narkisim" w:hAnsi="Narkisim"/>
          <w:rtl/>
        </w:rPr>
        <w:t xml:space="preserve"> (יז קעב) הק' דקי"ל דנשאת ע"פ בי"ד אסורה, אף דאין לך אונס גדול מזה. ומ"ש. וכה"ק ה</w:t>
      </w:r>
      <w:r w:rsidRPr="00AF3214">
        <w:rPr>
          <w:rFonts w:ascii="Narkisim" w:hAnsi="Narkisim"/>
          <w:b/>
          <w:bCs/>
          <w:rtl/>
        </w:rPr>
        <w:t>ט"ז</w:t>
      </w:r>
      <w:r w:rsidRPr="00AF3214">
        <w:rPr>
          <w:rFonts w:ascii="Narkisim" w:hAnsi="Narkisim"/>
          <w:rtl/>
        </w:rPr>
        <w:t xml:space="preserve"> (יז עא) בנשאת ע"פ עדים או ע"פ בי"ד ואח"כ בא בעלה אמרי' דתצא מזה ומזה, ולא אמרינן דאנוסה היתה. ומ"ש הוראת בי"ד בטעות של מיתת הבעל מהוראת בי"ד בטעות של קידושי הראשון</w:t>
      </w:r>
      <w:r w:rsidRPr="00AF3214">
        <w:rPr>
          <w:rStyle w:val="ac"/>
          <w:rFonts w:ascii="Narkisim" w:hAnsi="Narkisim"/>
          <w:rtl/>
        </w:rPr>
        <w:footnoteReference w:id="5820"/>
      </w:r>
      <w:r w:rsidRPr="00AF3214">
        <w:rPr>
          <w:rFonts w:ascii="Narkisim" w:hAnsi="Narkisim"/>
        </w:rPr>
        <w:t>.</w:t>
      </w:r>
    </w:p>
    <w:p w14:paraId="1430130B" w14:textId="77777777" w:rsidR="006C4368" w:rsidRPr="00AF3214" w:rsidRDefault="006C4368" w:rsidP="006C4368">
      <w:pPr>
        <w:pStyle w:val="a8"/>
        <w:bidi/>
        <w:rPr>
          <w:rFonts w:ascii="Narkisim" w:hAnsi="Narkisim"/>
        </w:rPr>
      </w:pPr>
      <w:r w:rsidRPr="00AF3214">
        <w:rPr>
          <w:rFonts w:ascii="Narkisim" w:hAnsi="Narkisim"/>
          <w:rtl/>
        </w:rPr>
        <w:t xml:space="preserve">ועוה"ק הט"ז דמש"כ הרשב"א דהוראת בי"ד הוה אונס ולא שוגג, הא מבואר דנחשב שוגג להתחייב עליו </w:t>
      </w:r>
      <w:r w:rsidRPr="00AF3214">
        <w:rPr>
          <w:rFonts w:ascii="Narkisim" w:hAnsi="Narkisim"/>
          <w:rtl/>
        </w:rPr>
        <w:lastRenderedPageBreak/>
        <w:t>קרבן</w:t>
      </w:r>
      <w:r w:rsidRPr="00AF3214">
        <w:rPr>
          <w:rStyle w:val="ac"/>
          <w:rFonts w:ascii="Narkisim" w:hAnsi="Narkisim"/>
          <w:rtl/>
        </w:rPr>
        <w:footnoteReference w:id="5821"/>
      </w:r>
      <w:r w:rsidRPr="00AF3214">
        <w:rPr>
          <w:rFonts w:ascii="Narkisim" w:hAnsi="Narkisim"/>
        </w:rPr>
        <w:t>.</w:t>
      </w:r>
    </w:p>
    <w:p w14:paraId="13574A84" w14:textId="77777777" w:rsidR="006C4368" w:rsidRPr="00AF3214" w:rsidRDefault="006C4368" w:rsidP="006C4368">
      <w:pPr>
        <w:pStyle w:val="a8"/>
        <w:bidi/>
        <w:rPr>
          <w:rFonts w:ascii="Narkisim" w:hAnsi="Narkisim"/>
        </w:rPr>
      </w:pPr>
      <w:r w:rsidRPr="00AF3214">
        <w:rPr>
          <w:rFonts w:ascii="Narkisim" w:hAnsi="Narkisim"/>
          <w:rtl/>
        </w:rPr>
        <w:t>והבי"ש ציין דב</w:t>
      </w:r>
      <w:r w:rsidRPr="00AF3214">
        <w:rPr>
          <w:rFonts w:ascii="Narkisim" w:hAnsi="Narkisim"/>
          <w:b/>
          <w:bCs/>
          <w:rtl/>
        </w:rPr>
        <w:t>שו"ת מהרי"ק</w:t>
      </w:r>
      <w:r w:rsidRPr="00AF3214">
        <w:rPr>
          <w:rFonts w:ascii="Narkisim" w:hAnsi="Narkisim"/>
          <w:rtl/>
        </w:rPr>
        <w:t xml:space="preserve"> (פד, הביאו הבי"ש לא י) כת' דכה"ג שנשאת לאחר ע"פ המורה שטעה, והטעה אותה לומר שאין חשש בקדושין הראשונין, תצא מזה ומזה. דמסקינן (כאן) מאי הו"ל למיעבד</w:t>
      </w:r>
      <w:r w:rsidRPr="00AF3214">
        <w:rPr>
          <w:rStyle w:val="ac"/>
          <w:rFonts w:ascii="Narkisim" w:hAnsi="Narkisim"/>
          <w:rtl/>
        </w:rPr>
        <w:footnoteReference w:id="5822"/>
      </w:r>
      <w:r w:rsidRPr="00AF3214">
        <w:rPr>
          <w:rFonts w:ascii="Narkisim" w:hAnsi="Narkisim"/>
        </w:rPr>
        <w:t xml:space="preserve">. </w:t>
      </w:r>
      <w:r w:rsidRPr="00AF3214">
        <w:rPr>
          <w:rFonts w:ascii="Narkisim" w:hAnsi="Narkisim"/>
          <w:rtl/>
        </w:rPr>
        <w:t>והמהרי"ק כת' ועוד דאפי' לפי הני שינויי דהו"ל לאמתוני או לאקרויי גיטא וכו', כ"ש אצלינו כשהמורה טעה בדבר לא נחשב מאי הו"ל למיעבד</w:t>
      </w:r>
      <w:r w:rsidRPr="00AF3214">
        <w:rPr>
          <w:rStyle w:val="ac"/>
          <w:rFonts w:ascii="Narkisim" w:hAnsi="Narkisim"/>
          <w:rtl/>
        </w:rPr>
        <w:footnoteReference w:id="5823"/>
      </w:r>
      <w:r w:rsidRPr="00AF3214">
        <w:rPr>
          <w:rFonts w:ascii="Narkisim" w:hAnsi="Narkisim"/>
        </w:rPr>
        <w:t>.</w:t>
      </w:r>
    </w:p>
    <w:p w14:paraId="16D2624D" w14:textId="77777777" w:rsidR="006C4368" w:rsidRPr="00AF3214" w:rsidRDefault="006C4368" w:rsidP="006C4368">
      <w:pPr>
        <w:pStyle w:val="a8"/>
        <w:bidi/>
        <w:rPr>
          <w:rFonts w:ascii="Narkisim" w:hAnsi="Narkisim"/>
        </w:rPr>
      </w:pPr>
      <w:r w:rsidRPr="00AF3214">
        <w:rPr>
          <w:rFonts w:ascii="Narkisim" w:hAnsi="Narkisim"/>
          <w:rtl/>
        </w:rPr>
        <w:t>וב</w:t>
      </w:r>
      <w:r w:rsidRPr="00AF3214">
        <w:rPr>
          <w:rFonts w:ascii="Narkisim" w:hAnsi="Narkisim"/>
          <w:b/>
          <w:bCs/>
          <w:rtl/>
        </w:rPr>
        <w:t>שו"ת הרדב"ז</w:t>
      </w:r>
      <w:r w:rsidRPr="00AF3214">
        <w:rPr>
          <w:rFonts w:ascii="Narkisim" w:hAnsi="Narkisim"/>
          <w:rtl/>
        </w:rPr>
        <w:t xml:space="preserve"> (ד מ, אלף קיד, הו' בברכ"י יז כ) כת' דהנשאת ע"פ חכם שהורה שהגט כשר אסורה לבעלה הראשון. שהרי אין זה אונס</w:t>
      </w:r>
      <w:r w:rsidRPr="00AF3214">
        <w:rPr>
          <w:rStyle w:val="ac"/>
          <w:rFonts w:ascii="Narkisim" w:hAnsi="Narkisim"/>
          <w:rtl/>
        </w:rPr>
        <w:footnoteReference w:id="5824"/>
      </w:r>
      <w:r w:rsidRPr="00AF3214">
        <w:rPr>
          <w:rFonts w:ascii="Narkisim" w:hAnsi="Narkisim"/>
        </w:rPr>
        <w:t xml:space="preserve"> </w:t>
      </w:r>
      <w:r w:rsidRPr="00AF3214">
        <w:rPr>
          <w:rFonts w:ascii="Narkisim" w:hAnsi="Narkisim"/>
          <w:rtl/>
        </w:rPr>
        <w:t>שלא היה לה לסמוך ע"ז החכם כיון שיש גדול ממנו. ואפי' הבי"ד הגדול שיש במדינה לא נקרא אונס, שכבר אפשר שיש גדול ממנו במקום אחר</w:t>
      </w:r>
      <w:r w:rsidRPr="00AF3214">
        <w:rPr>
          <w:rFonts w:ascii="Narkisim" w:hAnsi="Narkisim"/>
        </w:rPr>
        <w:t>.</w:t>
      </w:r>
    </w:p>
    <w:p w14:paraId="2011EE3B"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ברכ"י</w:t>
      </w:r>
      <w:r w:rsidRPr="00AF3214">
        <w:rPr>
          <w:rFonts w:ascii="Narkisim" w:hAnsi="Narkisim"/>
          <w:rtl/>
        </w:rPr>
        <w:t xml:space="preserve"> כת' די"ל דבשו"ת הרשב"א איירי דוקא בבי"ד של שאול, שהיה בי"ד של כל ישראל, ואין גדול ממנו. אבל תמה שהרמ"א פסק כדבריו</w:t>
      </w:r>
      <w:r w:rsidRPr="00AF3214">
        <w:rPr>
          <w:rStyle w:val="ac"/>
          <w:rFonts w:ascii="Narkisim" w:hAnsi="Narkisim"/>
          <w:rtl/>
        </w:rPr>
        <w:footnoteReference w:id="5825"/>
      </w:r>
      <w:r w:rsidRPr="00AF3214">
        <w:rPr>
          <w:rFonts w:ascii="Narkisim" w:hAnsi="Narkisim"/>
        </w:rPr>
        <w:t xml:space="preserve">. </w:t>
      </w:r>
      <w:r w:rsidRPr="00AF3214">
        <w:rPr>
          <w:rFonts w:ascii="Narkisim" w:hAnsi="Narkisim"/>
          <w:rtl/>
        </w:rPr>
        <w:t>וה</w:t>
      </w:r>
      <w:r w:rsidRPr="00AF3214">
        <w:rPr>
          <w:rFonts w:ascii="Narkisim" w:hAnsi="Narkisim"/>
          <w:b/>
          <w:bCs/>
          <w:rtl/>
        </w:rPr>
        <w:t>בית מאיר</w:t>
      </w:r>
      <w:r w:rsidRPr="00AF3214">
        <w:rPr>
          <w:rFonts w:ascii="Narkisim" w:hAnsi="Narkisim"/>
          <w:rtl/>
        </w:rPr>
        <w:t xml:space="preserve"> (שם) כת' דכל היכא דנשאת ע"פ פסק בי"ד [שטעו בדין] נחשב אונס גמור דאינו עומד להתברר, ואף במסקנא אמרי' מאי הו"ל למיעבד</w:t>
      </w:r>
      <w:r w:rsidRPr="00AF3214">
        <w:rPr>
          <w:rStyle w:val="ac"/>
          <w:rFonts w:ascii="Narkisim" w:hAnsi="Narkisim"/>
          <w:rtl/>
        </w:rPr>
        <w:footnoteReference w:id="5826"/>
      </w:r>
      <w:r w:rsidRPr="00AF3214">
        <w:rPr>
          <w:rFonts w:ascii="Narkisim" w:hAnsi="Narkisim"/>
        </w:rPr>
        <w:t>.</w:t>
      </w:r>
    </w:p>
    <w:p w14:paraId="6AED0122" w14:textId="77777777" w:rsidR="006C4368" w:rsidRPr="00AF3214" w:rsidRDefault="006C4368" w:rsidP="006C4368">
      <w:pPr>
        <w:pStyle w:val="aa"/>
        <w:bidi/>
        <w:rPr>
          <w:rFonts w:ascii="Narkisim" w:hAnsi="Narkisim"/>
        </w:rPr>
      </w:pPr>
      <w:r w:rsidRPr="00AF3214">
        <w:rPr>
          <w:rFonts w:ascii="Narkisim" w:hAnsi="Narkisim"/>
          <w:rtl/>
        </w:rPr>
        <w:t>ה</w:t>
      </w:r>
      <w:r w:rsidRPr="00AF3214">
        <w:rPr>
          <w:rFonts w:ascii="Narkisim" w:hAnsi="Narkisim"/>
          <w:b/>
          <w:bCs/>
          <w:rtl/>
        </w:rPr>
        <w:t>אבנ"מ</w:t>
      </w:r>
      <w:r w:rsidRPr="00AF3214">
        <w:rPr>
          <w:rFonts w:ascii="Narkisim" w:hAnsi="Narkisim"/>
          <w:rtl/>
        </w:rPr>
        <w:t xml:space="preserve"> (לז כא) כת' דקטנה שקידשה אביה לא' ונשאת לאחר בטעות</w:t>
      </w:r>
      <w:r w:rsidRPr="00AF3214">
        <w:rPr>
          <w:rStyle w:val="ac"/>
          <w:rFonts w:ascii="Narkisim" w:hAnsi="Narkisim"/>
          <w:rtl/>
        </w:rPr>
        <w:footnoteReference w:id="5827"/>
      </w:r>
      <w:r w:rsidRPr="00AF3214">
        <w:rPr>
          <w:rFonts w:ascii="Narkisim" w:hAnsi="Narkisim"/>
        </w:rPr>
        <w:t xml:space="preserve">, </w:t>
      </w:r>
      <w:r w:rsidRPr="00AF3214">
        <w:rPr>
          <w:rFonts w:ascii="Narkisim" w:hAnsi="Narkisim"/>
          <w:rtl/>
        </w:rPr>
        <w:t>מותרת לחזור לראשון. דקטנה אפי' זינתה במזיד אינה נאסרת, דפיתוי קטנה אונס (וכדלעיל לג:)</w:t>
      </w:r>
      <w:r w:rsidRPr="00AF3214">
        <w:rPr>
          <w:rStyle w:val="ac"/>
          <w:rFonts w:ascii="Narkisim" w:hAnsi="Narkisim"/>
          <w:rtl/>
        </w:rPr>
        <w:footnoteReference w:id="5828"/>
      </w:r>
      <w:r w:rsidRPr="00AF3214">
        <w:rPr>
          <w:rFonts w:ascii="Narkisim" w:hAnsi="Narkisim"/>
        </w:rPr>
        <w:t xml:space="preserve">. </w:t>
      </w:r>
      <w:r w:rsidRPr="00AF3214">
        <w:rPr>
          <w:rFonts w:ascii="Narkisim" w:hAnsi="Narkisim"/>
          <w:rtl/>
        </w:rPr>
        <w:t>ומש"ה ל"ש קנס זו. ולא גזרו שמא יאמרו גירש זה ונשא זה אלא היכא דעבדא איסורא</w:t>
      </w:r>
      <w:r w:rsidRPr="00AF3214">
        <w:rPr>
          <w:rStyle w:val="ac"/>
          <w:rFonts w:ascii="Narkisim" w:hAnsi="Narkisim"/>
          <w:rtl/>
        </w:rPr>
        <w:footnoteReference w:id="5829"/>
      </w:r>
      <w:r w:rsidRPr="00AF3214">
        <w:rPr>
          <w:rFonts w:ascii="Narkisim" w:hAnsi="Narkisim"/>
        </w:rPr>
        <w:t xml:space="preserve"> </w:t>
      </w:r>
      <w:r w:rsidRPr="00AF3214">
        <w:rPr>
          <w:rFonts w:ascii="Narkisim" w:hAnsi="Narkisim"/>
          <w:rtl/>
        </w:rPr>
        <w:t>(וכדאי' לע' פט.) [וקטנה לא חשיב 'איסורא']</w:t>
      </w:r>
      <w:r w:rsidRPr="00AF3214">
        <w:rPr>
          <w:rFonts w:ascii="Narkisim" w:hAnsi="Narkisim"/>
        </w:rPr>
        <w:t>.</w:t>
      </w:r>
    </w:p>
    <w:p w14:paraId="21515BEE" w14:textId="77777777" w:rsidR="006C4368" w:rsidRPr="00AF3214" w:rsidRDefault="006C4368" w:rsidP="006C4368">
      <w:pPr>
        <w:pStyle w:val="3"/>
        <w:bidi/>
        <w:rPr>
          <w:rFonts w:ascii="Narkisim" w:hAnsi="Narkisim"/>
        </w:rPr>
      </w:pPr>
      <w:r w:rsidRPr="00AF3214">
        <w:rPr>
          <w:rFonts w:ascii="Narkisim" w:hAnsi="Narkisim"/>
          <w:rtl/>
        </w:rPr>
        <w:t>דף צב</w:t>
      </w:r>
      <w:r w:rsidRPr="00AF3214">
        <w:rPr>
          <w:rFonts w:ascii="Narkisim" w:hAnsi="Narkisim"/>
        </w:rPr>
        <w:t>.</w:t>
      </w:r>
    </w:p>
    <w:p w14:paraId="49408690" w14:textId="77777777" w:rsidR="006C4368" w:rsidRPr="00AF3214" w:rsidRDefault="006C4368" w:rsidP="006C4368">
      <w:pPr>
        <w:pStyle w:val="aa"/>
        <w:bidi/>
        <w:rPr>
          <w:rFonts w:ascii="Narkisim" w:hAnsi="Narkisim"/>
        </w:rPr>
      </w:pPr>
      <w:r w:rsidRPr="00AF3214">
        <w:rPr>
          <w:rFonts w:ascii="Narkisim" w:hAnsi="Narkisim"/>
          <w:u w:val="single"/>
          <w:rtl/>
        </w:rPr>
        <w:t>מהו דתימא הואיל ואתאי לבי דינא וכו'</w:t>
      </w:r>
      <w:r w:rsidRPr="00AF3214">
        <w:rPr>
          <w:rFonts w:ascii="Narkisim" w:hAnsi="Narkisim"/>
          <w:rtl/>
        </w:rPr>
        <w:t>. ואיצטריך הא דסוגיין דלא חיישינן לקול. וה</w:t>
      </w:r>
      <w:r w:rsidRPr="00AF3214">
        <w:rPr>
          <w:rFonts w:ascii="Narkisim" w:hAnsi="Narkisim"/>
          <w:b/>
          <w:bCs/>
          <w:rtl/>
        </w:rPr>
        <w:t>ריטב"א</w:t>
      </w:r>
      <w:r w:rsidRPr="00AF3214">
        <w:rPr>
          <w:rFonts w:ascii="Narkisim" w:hAnsi="Narkisim"/>
          <w:rtl/>
        </w:rPr>
        <w:t xml:space="preserve"> הק' דלימא הא דהכא, ולא איצטריך דברי רב אשי בעלמא. ותי' דס"ד דהכא נשאת ע"פ בי"ד ואלמוה רבנן להוראתם שלא לחוש לקול. קמ"ל דאף בעלמא לא חששו לקול</w:t>
      </w:r>
      <w:r w:rsidRPr="00AF3214">
        <w:rPr>
          <w:rFonts w:ascii="Narkisim" w:hAnsi="Narkisim"/>
        </w:rPr>
        <w:t>.</w:t>
      </w:r>
    </w:p>
    <w:p w14:paraId="4B7718A1" w14:textId="77777777" w:rsidR="006C4368" w:rsidRPr="00AF3214" w:rsidRDefault="006C4368" w:rsidP="006C4368">
      <w:pPr>
        <w:pStyle w:val="aa"/>
        <w:bidi/>
        <w:rPr>
          <w:rFonts w:ascii="Narkisim" w:hAnsi="Narkisim"/>
        </w:rPr>
      </w:pPr>
      <w:r w:rsidRPr="00AF3214">
        <w:rPr>
          <w:rFonts w:ascii="Narkisim" w:hAnsi="Narkisim"/>
          <w:u w:val="single"/>
          <w:rtl/>
        </w:rPr>
        <w:t>שם. הואיל ואתאי לבי"ד ושרינן</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דהוצרכו לבא לבי"ד. מבואר דהיתר עד א' צריך לבא לבי"ד דוקא. וה</w:t>
      </w:r>
      <w:r w:rsidRPr="00AF3214">
        <w:rPr>
          <w:rFonts w:ascii="Narkisim" w:hAnsi="Narkisim"/>
          <w:b/>
          <w:bCs/>
          <w:rtl/>
        </w:rPr>
        <w:t>מאירי</w:t>
      </w:r>
      <w:r w:rsidRPr="00AF3214">
        <w:rPr>
          <w:rFonts w:ascii="Narkisim" w:hAnsi="Narkisim"/>
          <w:rtl/>
        </w:rPr>
        <w:t xml:space="preserve"> גרס 'הכא במאי עסקינן כגון דאתאי לבי"ד ושרינן לה', ולמד מהך לשון דהיכא שהעיד עד א' ונשאת בלא רשות בי"ד הוה נשואי היתר [בדיעבד]. שלא הוצרכו להיתר בי"ד אלא לכתחלה</w:t>
      </w:r>
      <w:r w:rsidRPr="00AF3214">
        <w:rPr>
          <w:rStyle w:val="ac"/>
          <w:rFonts w:ascii="Narkisim" w:hAnsi="Narkisim"/>
          <w:rtl/>
        </w:rPr>
        <w:footnoteReference w:id="5830"/>
      </w:r>
      <w:r w:rsidRPr="00AF3214">
        <w:rPr>
          <w:rFonts w:ascii="Narkisim" w:hAnsi="Narkisim"/>
        </w:rPr>
        <w:t xml:space="preserve">. </w:t>
      </w:r>
      <w:r w:rsidRPr="00AF3214">
        <w:rPr>
          <w:rFonts w:ascii="Narkisim" w:hAnsi="Narkisim"/>
          <w:rtl/>
        </w:rPr>
        <w:t>[משמע דמדרבנן צריך היתר בי"ד, ולכאורה למד כן מלשון המשנה דנשאת ע"פ בי"ד</w:t>
      </w:r>
      <w:r w:rsidRPr="00AF3214">
        <w:rPr>
          <w:rStyle w:val="ac"/>
          <w:rFonts w:ascii="Narkisim" w:hAnsi="Narkisim"/>
          <w:rtl/>
        </w:rPr>
        <w:footnoteReference w:id="5831"/>
      </w:r>
      <w:r w:rsidRPr="00AF3214">
        <w:rPr>
          <w:rFonts w:ascii="Narkisim" w:hAnsi="Narkisim"/>
        </w:rPr>
        <w:t xml:space="preserve">. </w:t>
      </w:r>
      <w:r w:rsidRPr="00AF3214">
        <w:rPr>
          <w:rFonts w:ascii="Narkisim" w:hAnsi="Narkisim"/>
          <w:rtl/>
        </w:rPr>
        <w:t>אלא דהיכא דנשאת אינו מעכב]</w:t>
      </w:r>
      <w:r w:rsidRPr="00AF3214">
        <w:rPr>
          <w:rFonts w:ascii="Narkisim" w:hAnsi="Narkisim"/>
        </w:rPr>
        <w:t>.</w:t>
      </w:r>
    </w:p>
    <w:p w14:paraId="32F8BBEB" w14:textId="77777777" w:rsidR="006C4368" w:rsidRPr="00AF3214" w:rsidRDefault="006C4368" w:rsidP="006C4368">
      <w:pPr>
        <w:pStyle w:val="2"/>
        <w:bidi/>
        <w:rPr>
          <w:rFonts w:ascii="Narkisim" w:hAnsi="Narkisim"/>
        </w:rPr>
      </w:pPr>
      <w:r w:rsidRPr="00AF3214">
        <w:rPr>
          <w:rFonts w:ascii="Narkisim" w:hAnsi="Narkisim"/>
          <w:rtl/>
        </w:rPr>
        <w:lastRenderedPageBreak/>
        <w:t>קרבן בנשאת ע"פ בי"ד</w:t>
      </w:r>
    </w:p>
    <w:p w14:paraId="0B4E01A3" w14:textId="77777777" w:rsidR="006C4368" w:rsidRPr="00AF3214" w:rsidRDefault="006C4368" w:rsidP="006C4368">
      <w:pPr>
        <w:bidi/>
        <w:rPr>
          <w:rFonts w:ascii="Narkisim" w:hAnsi="Narkisim" w:cs="Narkisim"/>
        </w:rPr>
      </w:pPr>
      <w:r w:rsidRPr="00AF3214">
        <w:rPr>
          <w:rFonts w:ascii="Narkisim" w:hAnsi="Narkisim" w:cs="Narkisim"/>
          <w:u w:val="single"/>
          <w:rtl/>
        </w:rPr>
        <w:t>אמר זעירי וכו' אין זו הוראה אלא טעות</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ויתחייב חטאת, ואין כאן פטור יחיד שעשה בהוראת בי"ד. וכן פ</w:t>
      </w:r>
      <w:r w:rsidRPr="00AF3214">
        <w:rPr>
          <w:rFonts w:ascii="Narkisim" w:hAnsi="Narkisim" w:cs="Narkisim"/>
          <w:b/>
          <w:bCs/>
          <w:rtl/>
        </w:rPr>
        <w:t>רש"י</w:t>
      </w:r>
      <w:r w:rsidRPr="00AF3214">
        <w:rPr>
          <w:rFonts w:ascii="Narkisim" w:hAnsi="Narkisim" w:cs="Narkisim"/>
          <w:rtl/>
        </w:rPr>
        <w:t xml:space="preserve"> (במשנה פז:) דהטעם דנשאת ע"פ בי"ד פטורה מקרבן, דיחיד שעשה בהוראת בי"ד פטור. לכאורה כוונתו למח' תנאים (הוריות ב:) כשהורו בי"ד הגדול, ועשה יחיד על פיהם דלר' יהודה פטור מחטאת ולרבנן מתחייב</w:t>
      </w:r>
      <w:r w:rsidRPr="00AF3214">
        <w:rPr>
          <w:rFonts w:ascii="Narkisim" w:hAnsi="Narkisim" w:cs="Narkisim"/>
        </w:rPr>
        <w:t>.</w:t>
      </w:r>
    </w:p>
    <w:p w14:paraId="4AA186D5" w14:textId="77777777" w:rsidR="006C4368" w:rsidRPr="00AF3214" w:rsidRDefault="006C4368" w:rsidP="006C4368">
      <w:pPr>
        <w:pStyle w:val="a7"/>
        <w:bidi/>
        <w:rPr>
          <w:rFonts w:ascii="Narkisim" w:hAnsi="Narkisim"/>
        </w:rPr>
      </w:pPr>
      <w:r w:rsidRPr="00AF3214">
        <w:rPr>
          <w:rFonts w:ascii="Narkisim" w:hAnsi="Narkisim"/>
          <w:rtl/>
        </w:rPr>
        <w:t>וכן מבואר בגמ' (בסמוך) דלר"א דס"ל יחיד שעשה בהוראת בי"ד חייב. וה</w:t>
      </w:r>
      <w:r w:rsidRPr="00AF3214">
        <w:rPr>
          <w:rFonts w:ascii="Narkisim" w:hAnsi="Narkisim"/>
          <w:b/>
          <w:bCs/>
          <w:rtl/>
        </w:rPr>
        <w:t>רמב"ם</w:t>
      </w:r>
      <w:r w:rsidRPr="00AF3214">
        <w:rPr>
          <w:rFonts w:ascii="Narkisim" w:hAnsi="Narkisim"/>
          <w:rtl/>
        </w:rPr>
        <w:t xml:space="preserve"> (שגגות יג א) פסק דיחיד שעשה בהוראת בי"ד חייב</w:t>
      </w:r>
      <w:r w:rsidRPr="00AF3214">
        <w:rPr>
          <w:rFonts w:ascii="Narkisim" w:hAnsi="Narkisim"/>
        </w:rPr>
        <w:t>.</w:t>
      </w:r>
    </w:p>
    <w:p w14:paraId="31BE7132"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(שם יד ג) פסק כדברי זעירי, דהורו בי"ד שיצא השבת לפי שנתכסית החמה ודימו ששקעה חמה, ואח"כ זרחה אין זו הוראה אלא טעות וכו'. וכן אם בי"ד התירו אשת איש ע"פ עדות</w:t>
      </w:r>
      <w:r w:rsidRPr="00AF3214">
        <w:rPr>
          <w:rStyle w:val="ac"/>
          <w:rFonts w:ascii="Narkisim" w:hAnsi="Narkisim"/>
          <w:rtl/>
        </w:rPr>
        <w:footnoteReference w:id="5832"/>
      </w:r>
      <w:r w:rsidRPr="00AF3214">
        <w:rPr>
          <w:rFonts w:ascii="Narkisim" w:hAnsi="Narkisim"/>
        </w:rPr>
        <w:t xml:space="preserve">, </w:t>
      </w:r>
      <w:r w:rsidRPr="00AF3214">
        <w:rPr>
          <w:rFonts w:ascii="Narkisim" w:hAnsi="Narkisim"/>
          <w:rtl/>
        </w:rPr>
        <w:t>ואח"כ בא בעלה אין זו הוראה אלא טעות וחייבין חטאת על שגגתן. וכן כל כיו"ב</w:t>
      </w:r>
      <w:r w:rsidRPr="00AF3214">
        <w:rPr>
          <w:rFonts w:ascii="Narkisim" w:hAnsi="Narkisim"/>
        </w:rPr>
        <w:t>.</w:t>
      </w:r>
    </w:p>
    <w:p w14:paraId="7209608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(שם ה ה) פסק דהאשה שהלך בעלה ונשאת ע"פ עד א' או ע"פ ב' עדים ואח"כ בא בעלה חייבת חטאת. וכן היכא דזינתה (ע' בסמוך). וה</w:t>
      </w:r>
      <w:r w:rsidRPr="00AF3214">
        <w:rPr>
          <w:rFonts w:ascii="Narkisim" w:hAnsi="Narkisim"/>
          <w:b/>
          <w:bCs/>
          <w:rtl/>
        </w:rPr>
        <w:t>כס"מ</w:t>
      </w:r>
      <w:r w:rsidRPr="00AF3214">
        <w:rPr>
          <w:rFonts w:ascii="Narkisim" w:hAnsi="Narkisim"/>
          <w:rtl/>
        </w:rPr>
        <w:t xml:space="preserve"> כת' דפסק כזעירי, דאף עד א' הוה טעות ולא הוראה</w:t>
      </w:r>
      <w:r w:rsidRPr="00AF3214">
        <w:rPr>
          <w:rFonts w:ascii="Narkisim" w:hAnsi="Narkisim"/>
        </w:rPr>
        <w:t>.</w:t>
      </w:r>
    </w:p>
    <w:p w14:paraId="6CC830CB"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לח"מ</w:t>
      </w:r>
      <w:r w:rsidRPr="00AF3214">
        <w:rPr>
          <w:rFonts w:ascii="Narkisim" w:hAnsi="Narkisim"/>
          <w:rtl/>
        </w:rPr>
        <w:t xml:space="preserve"> (ה ה) ו</w:t>
      </w:r>
      <w:r w:rsidRPr="00AF3214">
        <w:rPr>
          <w:rFonts w:ascii="Narkisim" w:hAnsi="Narkisim"/>
          <w:b/>
          <w:bCs/>
          <w:rtl/>
        </w:rPr>
        <w:t>משנ"ל</w:t>
      </w:r>
      <w:r w:rsidRPr="00AF3214">
        <w:rPr>
          <w:rFonts w:ascii="Narkisim" w:hAnsi="Narkisim"/>
          <w:rtl/>
        </w:rPr>
        <w:t xml:space="preserve"> (יד ג) תמהו אמאי איצטריך לזה, דהא אנן קי"ל דאף אי הוה הוראה, יחיד שעשה בהוראת בי"ד חייב</w:t>
      </w:r>
      <w:r w:rsidRPr="00AF3214">
        <w:rPr>
          <w:rStyle w:val="ac"/>
          <w:rFonts w:ascii="Narkisim" w:hAnsi="Narkisim"/>
          <w:rtl/>
        </w:rPr>
        <w:footnoteReference w:id="5833"/>
      </w:r>
      <w:r w:rsidRPr="00AF3214">
        <w:rPr>
          <w:rFonts w:ascii="Narkisim" w:hAnsi="Narkisim"/>
        </w:rPr>
        <w:t xml:space="preserve">. </w:t>
      </w:r>
      <w:r w:rsidRPr="00AF3214">
        <w:rPr>
          <w:rFonts w:ascii="Narkisim" w:hAnsi="Narkisim"/>
          <w:rtl/>
        </w:rPr>
        <w:t>וה</w:t>
      </w:r>
      <w:r w:rsidRPr="00AF3214">
        <w:rPr>
          <w:rFonts w:ascii="Narkisim" w:hAnsi="Narkisim"/>
          <w:b/>
          <w:bCs/>
          <w:rtl/>
        </w:rPr>
        <w:t>לח"מ</w:t>
      </w:r>
      <w:r w:rsidRPr="00AF3214">
        <w:rPr>
          <w:rFonts w:ascii="Narkisim" w:hAnsi="Narkisim"/>
          <w:rtl/>
        </w:rPr>
        <w:t xml:space="preserve"> תי' דמ"מ נפק"מ אילו יהא דבר שעשו רוב ישראל. וה</w:t>
      </w:r>
      <w:r w:rsidRPr="00AF3214">
        <w:rPr>
          <w:rFonts w:ascii="Narkisim" w:hAnsi="Narkisim"/>
          <w:b/>
          <w:bCs/>
          <w:rtl/>
        </w:rPr>
        <w:t>או"ש</w:t>
      </w:r>
      <w:r w:rsidRPr="00AF3214">
        <w:rPr>
          <w:rFonts w:ascii="Narkisim" w:hAnsi="Narkisim"/>
          <w:rtl/>
        </w:rPr>
        <w:t xml:space="preserve"> תי' דנפק"מ כהן משיח, שהורה שמותרת לינשא וקדשה, ואח"כ נתמנה להיות כה"ג ונשאה</w:t>
      </w:r>
      <w:r w:rsidRPr="00AF3214">
        <w:rPr>
          <w:rStyle w:val="ac"/>
          <w:rFonts w:ascii="Narkisim" w:hAnsi="Narkisim"/>
          <w:rtl/>
        </w:rPr>
        <w:footnoteReference w:id="5834"/>
      </w:r>
      <w:r w:rsidRPr="00AF3214">
        <w:rPr>
          <w:rFonts w:ascii="Narkisim" w:hAnsi="Narkisim"/>
        </w:rPr>
        <w:t>.</w:t>
      </w:r>
    </w:p>
    <w:p w14:paraId="5704C65E"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גר"ח</w:t>
      </w:r>
      <w:r w:rsidRPr="00AF3214">
        <w:rPr>
          <w:rFonts w:ascii="Narkisim" w:hAnsi="Narkisim"/>
          <w:rtl/>
        </w:rPr>
        <w:t xml:space="preserve"> הביא דקי"ל (רמב"ם שם יג ד) פסק דהיכא דמיעוט בהוראה א' ומיעוט בהוראת אחרת מצטרפין לרוב להחשב הוראת בי"ד. וה"נ ההוראה שהורו לה להנשא יל"ד שיצטרף עם הוראה אחרת שהורו, ועי"ז תהא פטור, קמ"ל דאין זה הוראה כלל אלא טעות. ואינו מצטרף</w:t>
      </w:r>
      <w:r w:rsidRPr="00AF3214">
        <w:rPr>
          <w:rStyle w:val="ac"/>
          <w:rFonts w:ascii="Narkisim" w:hAnsi="Narkisim"/>
          <w:rtl/>
        </w:rPr>
        <w:footnoteReference w:id="5835"/>
      </w:r>
      <w:r w:rsidRPr="00AF3214">
        <w:rPr>
          <w:rFonts w:ascii="Narkisim" w:hAnsi="Narkisim"/>
        </w:rPr>
        <w:t>.</w:t>
      </w:r>
    </w:p>
    <w:p w14:paraId="6D3AF044" w14:textId="77777777" w:rsidR="006C4368" w:rsidRPr="00AF3214" w:rsidRDefault="006C4368" w:rsidP="006C4368">
      <w:pPr>
        <w:bidi/>
        <w:rPr>
          <w:rFonts w:ascii="Narkisim" w:hAnsi="Narkisim" w:cs="Narkisim"/>
        </w:rPr>
      </w:pPr>
      <w:r w:rsidRPr="00AF3214">
        <w:rPr>
          <w:rFonts w:ascii="Narkisim" w:hAnsi="Narkisim" w:cs="Narkisim"/>
          <w:u w:val="single"/>
          <w:rtl/>
        </w:rPr>
        <w:t>ולבסוף זרחה אין זו הוראה אלא טעות</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דהא לכו"ע גליא השתא דטעות הואי. בפשוטו להך ברייתא כל טעות במציאות הוה בגדר 'טעות', ולא נחשב 'הוראה'. אך מלשון רש"י משמע דדוקא דהשתא ניכר וגליא לכל</w:t>
      </w:r>
      <w:r w:rsidRPr="00AF3214">
        <w:rPr>
          <w:rFonts w:ascii="Narkisim" w:hAnsi="Narkisim" w:cs="Narkisim"/>
        </w:rPr>
        <w:t>.</w:t>
      </w:r>
    </w:p>
    <w:p w14:paraId="09206508" w14:textId="77777777" w:rsidR="006C4368" w:rsidRPr="00AF3214" w:rsidRDefault="006C4368" w:rsidP="006C4368">
      <w:pPr>
        <w:pStyle w:val="a8"/>
        <w:bidi/>
        <w:rPr>
          <w:rFonts w:ascii="Narkisim" w:hAnsi="Narkisim"/>
        </w:rPr>
      </w:pPr>
      <w:r w:rsidRPr="00AF3214">
        <w:rPr>
          <w:rFonts w:ascii="Narkisim" w:hAnsi="Narkisim"/>
          <w:rtl/>
        </w:rPr>
        <w:t>וצ"ב דנהי דעכשיו גליא וניכר, מ"מ בשעה שהוא עשה היה ע"פ הוראת הבי"ד. ויל"פ דכח הוראת הבי"ד לא שייך כלפי בירור המציאות, וכשיש טעות במציאות לא נחשב שהיחיד עשה מחמת הבי"ד. ועיל"פ דלאחר שנתברר שטעו, נעקר ההוראה [למפרע]. והא דיחיד שעשה בהוראת בי"ד הוה דוקא במקום שההוראה קיימת</w:t>
      </w:r>
      <w:r w:rsidRPr="00AF3214">
        <w:rPr>
          <w:rFonts w:ascii="Narkisim" w:hAnsi="Narkisim"/>
        </w:rPr>
        <w:t>.</w:t>
      </w:r>
    </w:p>
    <w:p w14:paraId="3AD08EFE" w14:textId="77777777" w:rsidR="006C4368" w:rsidRPr="00AF3214" w:rsidRDefault="006C4368" w:rsidP="006C4368">
      <w:pPr>
        <w:bidi/>
        <w:rPr>
          <w:rFonts w:ascii="Narkisim" w:hAnsi="Narkisim" w:cs="Narkisim"/>
        </w:rPr>
      </w:pPr>
      <w:r w:rsidRPr="00AF3214">
        <w:rPr>
          <w:rFonts w:ascii="Narkisim" w:hAnsi="Narkisim" w:cs="Narkisim"/>
          <w:u w:val="single"/>
          <w:rtl/>
        </w:rPr>
        <w:t>רש"י ד"ה אין זו</w:t>
      </w:r>
      <w:r w:rsidRPr="00AF3214">
        <w:rPr>
          <w:rFonts w:ascii="Narkisim" w:hAnsi="Narkisim" w:cs="Narkisim"/>
          <w:rtl/>
        </w:rPr>
        <w:t>. וה"נ דמתני' טעות היא, כסבורים שמת וכו' אלא אעד סמוך. ה</w:t>
      </w:r>
      <w:r w:rsidRPr="00AF3214">
        <w:rPr>
          <w:rFonts w:ascii="Narkisim" w:hAnsi="Narkisim" w:cs="Narkisim"/>
          <w:b/>
          <w:bCs/>
          <w:rtl/>
        </w:rPr>
        <w:t>נוב"י</w:t>
      </w:r>
      <w:r w:rsidRPr="00AF3214">
        <w:rPr>
          <w:rFonts w:ascii="Narkisim" w:hAnsi="Narkisim" w:cs="Narkisim"/>
          <w:rtl/>
        </w:rPr>
        <w:t xml:space="preserve"> (ת' חו"מ סב, מבן המחבר) הביא דמבואר בסוגיין [עכ"פ להך מ"ד] דעד א' נאמן להתיר את האשה מן התורה. דאי הוה היתר דחכמים הימנוהו, א"כ מש"ה יחשב זה להוראת בי"ד [וכמו שהוכיח רב נחמן]. </w:t>
      </w:r>
      <w:r w:rsidRPr="00AF3214">
        <w:rPr>
          <w:rFonts w:ascii="Narkisim" w:hAnsi="Narkisim" w:cs="Narkisim"/>
          <w:szCs w:val="20"/>
          <w:rtl/>
        </w:rPr>
        <w:t>[וע"ע מה שהו' לעיל פח. דנח' הראשונים בגדר ההיתר]</w:t>
      </w:r>
      <w:r w:rsidRPr="00AF3214">
        <w:rPr>
          <w:rFonts w:ascii="Narkisim" w:hAnsi="Narkisim" w:cs="Narkisim"/>
        </w:rPr>
        <w:t>.</w:t>
      </w:r>
    </w:p>
    <w:p w14:paraId="6E0A6AC1" w14:textId="77777777" w:rsidR="006C4368" w:rsidRPr="00AF3214" w:rsidRDefault="006C4368" w:rsidP="006C4368">
      <w:pPr>
        <w:bidi/>
        <w:rPr>
          <w:rFonts w:ascii="Narkisim" w:hAnsi="Narkisim" w:cs="Narkisim"/>
        </w:rPr>
      </w:pPr>
      <w:r w:rsidRPr="00AF3214">
        <w:rPr>
          <w:rFonts w:ascii="Narkisim" w:hAnsi="Narkisim" w:cs="Narkisim"/>
          <w:u w:val="single"/>
          <w:rtl/>
        </w:rPr>
        <w:t>ורב נחמן אמר הוראה הוא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דנשאת ע"י הוראת הבי"ד, ולא אעד. דהתורה לא האמינה לעד, והם האמינוהו, ועבדינן אפומייהו. בפשוטו רב נחמן פליג בהא גופא, דהעד נאמן רק מדרבנן. ופטור מקרבן כיון שעשה מחמת הוראת הבי"ד</w:t>
      </w:r>
      <w:r w:rsidRPr="00AF3214">
        <w:rPr>
          <w:rStyle w:val="ac"/>
          <w:rFonts w:ascii="Narkisim" w:hAnsi="Narkisim" w:cs="Narkisim"/>
          <w:rtl/>
        </w:rPr>
        <w:footnoteReference w:id="5836"/>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נוב"י</w:t>
      </w:r>
      <w:r w:rsidRPr="00AF3214">
        <w:rPr>
          <w:rFonts w:ascii="Narkisim" w:hAnsi="Narkisim" w:cs="Narkisim"/>
          <w:rtl/>
        </w:rPr>
        <w:t xml:space="preserve"> (שם) כת' דאף אי נימא דעד א' נאמן מדאורייתא, מ"מ צריכה בי"ד להתירה (וציין לתוס' פז: ד"ה מכלל</w:t>
      </w:r>
      <w:r w:rsidRPr="00AF3214">
        <w:rPr>
          <w:rStyle w:val="ac"/>
          <w:rFonts w:ascii="Narkisim" w:hAnsi="Narkisim" w:cs="Narkisim"/>
          <w:rtl/>
        </w:rPr>
        <w:footnoteReference w:id="5837"/>
      </w:r>
      <w:r w:rsidRPr="00AF3214">
        <w:rPr>
          <w:rFonts w:ascii="Narkisim" w:hAnsi="Narkisim" w:cs="Narkisim"/>
          <w:rtl/>
        </w:rPr>
        <w:t>), ומש"ה נחשב 'הוראה</w:t>
      </w:r>
      <w:r w:rsidRPr="00AF3214">
        <w:rPr>
          <w:rFonts w:ascii="Narkisim" w:hAnsi="Narkisim" w:cs="Narkisim"/>
        </w:rPr>
        <w:t>'.</w:t>
      </w:r>
    </w:p>
    <w:p w14:paraId="20AE6F1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ביארו לדברי הראשונים (ע' לעיל פח. בשם הריטב"א ועוד) דעד א' נאמן מדאורייתא במקום דדייקא ומינסבא [או דעבידא לאיגלויי], בזה נח' זעירי ורב נחמן אי עיקר </w:t>
      </w:r>
      <w:r w:rsidRPr="00AF3214">
        <w:rPr>
          <w:rFonts w:ascii="Narkisim" w:hAnsi="Narkisim"/>
          <w:rtl/>
        </w:rPr>
        <w:lastRenderedPageBreak/>
        <w:t>ההיתר מחמת העדות, ומש"ה כשנמצא שאינו כן הוה טעות</w:t>
      </w:r>
      <w:r w:rsidRPr="00AF3214">
        <w:rPr>
          <w:rStyle w:val="ac"/>
          <w:rFonts w:ascii="Narkisim" w:hAnsi="Narkisim"/>
          <w:rtl/>
        </w:rPr>
        <w:footnoteReference w:id="5838"/>
      </w:r>
      <w:r w:rsidRPr="00AF3214">
        <w:rPr>
          <w:rFonts w:ascii="Narkisim" w:hAnsi="Narkisim"/>
        </w:rPr>
        <w:t xml:space="preserve">. </w:t>
      </w:r>
      <w:r w:rsidRPr="00AF3214">
        <w:rPr>
          <w:rFonts w:ascii="Narkisim" w:hAnsi="Narkisim"/>
          <w:rtl/>
        </w:rPr>
        <w:t>או עיקר ההיתר מחמת האומדנא, ומש"ה הוה הוראה</w:t>
      </w:r>
      <w:r w:rsidRPr="00AF3214">
        <w:rPr>
          <w:rStyle w:val="ac"/>
          <w:rFonts w:ascii="Narkisim" w:hAnsi="Narkisim"/>
          <w:rtl/>
        </w:rPr>
        <w:footnoteReference w:id="5839"/>
      </w:r>
      <w:r w:rsidRPr="00AF3214">
        <w:rPr>
          <w:rFonts w:ascii="Narkisim" w:hAnsi="Narkisim"/>
        </w:rPr>
        <w:t>.</w:t>
      </w:r>
    </w:p>
    <w:p w14:paraId="5EE7A9E1" w14:textId="77777777" w:rsidR="006C4368" w:rsidRPr="00AF3214" w:rsidRDefault="006C4368" w:rsidP="006C4368">
      <w:pPr>
        <w:pStyle w:val="a8"/>
        <w:bidi/>
        <w:rPr>
          <w:rFonts w:ascii="Narkisim" w:hAnsi="Narkisim"/>
        </w:rPr>
      </w:pPr>
      <w:r w:rsidRPr="00AF3214">
        <w:rPr>
          <w:rFonts w:ascii="Narkisim" w:hAnsi="Narkisim"/>
          <w:rtl/>
        </w:rPr>
        <w:t>ועוד יש שפי' דסברת רב נחמן דצריך הכרעת הבי"ד לסמוך על האומדנא דדייקא ומינסבא [או עבידא לאיגלויי], ותלי בסברת הבי"ד</w:t>
      </w:r>
      <w:r w:rsidRPr="00AF3214">
        <w:rPr>
          <w:rStyle w:val="ac"/>
          <w:rFonts w:ascii="Narkisim" w:hAnsi="Narkisim"/>
          <w:rtl/>
        </w:rPr>
        <w:footnoteReference w:id="5840"/>
      </w:r>
      <w:r w:rsidRPr="00AF3214">
        <w:rPr>
          <w:rFonts w:ascii="Narkisim" w:hAnsi="Narkisim"/>
        </w:rPr>
        <w:t>.</w:t>
      </w:r>
    </w:p>
    <w:p w14:paraId="786CFA3F" w14:textId="77777777" w:rsidR="006C4368" w:rsidRPr="00AF3214" w:rsidRDefault="006C4368" w:rsidP="006C4368">
      <w:pPr>
        <w:bidi/>
        <w:rPr>
          <w:rFonts w:ascii="Narkisim" w:hAnsi="Narkisim" w:cs="Narkisim"/>
        </w:rPr>
      </w:pPr>
      <w:r w:rsidRPr="00AF3214">
        <w:rPr>
          <w:rFonts w:ascii="Narkisim" w:hAnsi="Narkisim" w:cs="Narkisim"/>
          <w:u w:val="single"/>
          <w:rtl/>
        </w:rPr>
        <w:t>אמר רבא תדע דטעות הוא וכו'</w:t>
      </w:r>
      <w:r w:rsidRPr="00AF3214">
        <w:rPr>
          <w:rFonts w:ascii="Narkisim" w:hAnsi="Narkisim" w:cs="Narkisim"/>
          <w:rtl/>
        </w:rPr>
        <w:t>. ה</w:t>
      </w:r>
      <w:r w:rsidRPr="00AF3214">
        <w:rPr>
          <w:rFonts w:ascii="Narkisim" w:hAnsi="Narkisim" w:cs="Narkisim"/>
          <w:b/>
          <w:bCs/>
          <w:rtl/>
        </w:rPr>
        <w:t>מאירי</w:t>
      </w:r>
      <w:r w:rsidRPr="00AF3214">
        <w:rPr>
          <w:rFonts w:ascii="Narkisim" w:hAnsi="Narkisim" w:cs="Narkisim"/>
          <w:rtl/>
        </w:rPr>
        <w:t xml:space="preserve"> ביאר דרב נחמן ס"ל דהוה הוראה, שעיקר התקנה לסמוך על העד הוה הוראת בי"ד. ורבא השיבו שאין הולכין אחר עיקר התקנה, אלא אחר שעת המעשה. ועכשיו שנמצא העד כפרן נתגלה שלא היתה הוראה אלא טעות</w:t>
      </w:r>
      <w:r w:rsidRPr="00AF3214">
        <w:rPr>
          <w:rFonts w:ascii="Narkisim" w:hAnsi="Narkisim" w:cs="Narkisim"/>
        </w:rPr>
        <w:t>.</w:t>
      </w:r>
    </w:p>
    <w:p w14:paraId="07C9371B" w14:textId="77777777" w:rsidR="006C4368" w:rsidRPr="00AF3214" w:rsidRDefault="006C4368" w:rsidP="006C4368">
      <w:pPr>
        <w:bidi/>
        <w:rPr>
          <w:rFonts w:ascii="Narkisim" w:hAnsi="Narkisim" w:cs="Narkisim"/>
        </w:rPr>
      </w:pPr>
      <w:r w:rsidRPr="00AF3214">
        <w:rPr>
          <w:rFonts w:ascii="Narkisim" w:hAnsi="Narkisim" w:cs="Narkisim"/>
          <w:u w:val="single"/>
          <w:rtl/>
        </w:rPr>
        <w:t>והדר חזו טעמא לאיסורא, כי הדרי ואמרי להתירא לא משגחינן להו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דחזו טעם מובהק לאיסורא, והדר חזו טעם [אחר</w:t>
      </w:r>
      <w:r w:rsidRPr="00AF3214">
        <w:rPr>
          <w:rStyle w:val="ac"/>
          <w:rFonts w:ascii="Narkisim" w:hAnsi="Narkisim" w:cs="Narkisim"/>
          <w:rtl/>
        </w:rPr>
        <w:footnoteReference w:id="5841"/>
      </w:r>
      <w:r w:rsidRPr="00AF3214">
        <w:rPr>
          <w:rFonts w:ascii="Narkisim" w:hAnsi="Narkisim" w:cs="Narkisim"/>
          <w:rtl/>
        </w:rPr>
        <w:t>] שאינו מובהק</w:t>
      </w:r>
      <w:r w:rsidRPr="00AF3214">
        <w:rPr>
          <w:rStyle w:val="ac"/>
          <w:rFonts w:ascii="Narkisim" w:hAnsi="Narkisim" w:cs="Narkisim"/>
          <w:rtl/>
        </w:rPr>
        <w:footnoteReference w:id="5842"/>
      </w:r>
      <w:r w:rsidRPr="00AF3214">
        <w:rPr>
          <w:rFonts w:ascii="Narkisim" w:hAnsi="Narkisim" w:cs="Narkisim"/>
        </w:rPr>
        <w:t xml:space="preserve"> </w:t>
      </w:r>
      <w:r w:rsidRPr="00AF3214">
        <w:rPr>
          <w:rFonts w:ascii="Narkisim" w:hAnsi="Narkisim" w:cs="Narkisim"/>
          <w:rtl/>
        </w:rPr>
        <w:t>להיתירא</w:t>
      </w:r>
      <w:r w:rsidRPr="00AF3214">
        <w:rPr>
          <w:rStyle w:val="ac"/>
          <w:rFonts w:ascii="Narkisim" w:hAnsi="Narkisim" w:cs="Narkisim"/>
          <w:rtl/>
        </w:rPr>
        <w:footnoteReference w:id="5843"/>
      </w:r>
      <w:r w:rsidRPr="00AF3214">
        <w:rPr>
          <w:rFonts w:ascii="Narkisim" w:hAnsi="Narkisim" w:cs="Narkisim"/>
        </w:rPr>
        <w:t xml:space="preserve">. </w:t>
      </w:r>
      <w:r w:rsidRPr="00AF3214">
        <w:rPr>
          <w:rFonts w:ascii="Narkisim" w:hAnsi="Narkisim" w:cs="Narkisim"/>
          <w:rtl/>
        </w:rPr>
        <w:t>ועד"ז פ</w:t>
      </w:r>
      <w:r w:rsidRPr="00AF3214">
        <w:rPr>
          <w:rFonts w:ascii="Narkisim" w:hAnsi="Narkisim" w:cs="Narkisim"/>
          <w:b/>
          <w:bCs/>
          <w:rtl/>
        </w:rPr>
        <w:t>רש"י</w:t>
      </w:r>
      <w:r w:rsidRPr="00AF3214">
        <w:rPr>
          <w:rFonts w:ascii="Narkisim" w:hAnsi="Narkisim" w:cs="Narkisim"/>
          <w:rtl/>
        </w:rPr>
        <w:t xml:space="preserve"> דמה שסמכו בי"ד על עד הא' הוה טעם שאינו ברור. ומש"ה אי הוה הוראה אין לסמוך על הוראת הבי"ד ע"פ דברי העד שעכשיו מת</w:t>
      </w:r>
      <w:r w:rsidRPr="00AF3214">
        <w:rPr>
          <w:rStyle w:val="ac"/>
          <w:rFonts w:ascii="Narkisim" w:hAnsi="Narkisim" w:cs="Narkisim"/>
          <w:rtl/>
        </w:rPr>
        <w:footnoteReference w:id="5844"/>
      </w:r>
      <w:r w:rsidRPr="00AF3214">
        <w:rPr>
          <w:rFonts w:ascii="Narkisim" w:hAnsi="Narkisim" w:cs="Narkisim"/>
        </w:rPr>
        <w:t xml:space="preserve">. </w:t>
      </w:r>
      <w:r w:rsidRPr="00AF3214">
        <w:rPr>
          <w:rFonts w:ascii="Narkisim" w:hAnsi="Narkisim" w:cs="Narkisim"/>
          <w:rtl/>
        </w:rPr>
        <w:t>וע"כ דלא הוה הוראה</w:t>
      </w:r>
      <w:r w:rsidRPr="00AF3214">
        <w:rPr>
          <w:rFonts w:ascii="Narkisim" w:hAnsi="Narkisim" w:cs="Narkisim"/>
        </w:rPr>
        <w:t>.</w:t>
      </w:r>
    </w:p>
    <w:p w14:paraId="4D53AFCB"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ביאר דאי הוה הוראה, א"כ נימא דכשם שטעו בסמיכתן על הראשון כך טועין בזה. אך מבואר דשרינן ע"פ העד, ואף דלא בריר לן טעמא דבתרא מקמא. דלאו הוראה היא ולא תלוי באומדן בי"ד. אלא שמענו דברי העד הראשון ואף שהוכחש, אם הוא הוחזק כל ישראל מי הוחזקו, הוא משקר וזה מעיד אמת</w:t>
      </w:r>
      <w:r w:rsidRPr="00AF3214">
        <w:rPr>
          <w:rFonts w:ascii="Narkisim" w:hAnsi="Narkisim"/>
        </w:rPr>
        <w:t>.</w:t>
      </w:r>
    </w:p>
    <w:p w14:paraId="1E8BE64D" w14:textId="77777777" w:rsidR="006C4368" w:rsidRPr="00AF3214" w:rsidRDefault="006C4368" w:rsidP="006C4368">
      <w:pPr>
        <w:bidi/>
        <w:rPr>
          <w:rFonts w:ascii="Narkisim" w:hAnsi="Narkisim" w:cs="Narkisim"/>
        </w:rPr>
      </w:pPr>
      <w:r w:rsidRPr="00AF3214">
        <w:rPr>
          <w:rFonts w:ascii="Narkisim" w:hAnsi="Narkisim" w:cs="Narkisim"/>
          <w:rtl/>
        </w:rPr>
        <w:t>אבל ה</w:t>
      </w:r>
      <w:r w:rsidRPr="00AF3214">
        <w:rPr>
          <w:rFonts w:ascii="Narkisim" w:hAnsi="Narkisim" w:cs="Narkisim"/>
          <w:b/>
          <w:bCs/>
          <w:rtl/>
        </w:rPr>
        <w:t>ר' משה בר' יוסף</w:t>
      </w:r>
      <w:r w:rsidRPr="00AF3214">
        <w:rPr>
          <w:rFonts w:ascii="Narkisim" w:hAnsi="Narkisim" w:cs="Narkisim"/>
          <w:rtl/>
        </w:rPr>
        <w:t xml:space="preserve"> (הו' ברמב"ן ושא"ר) פי' דהורו בי"ד להתיר דבר שהיו מוחזקין שהוא אסור, והם טעו והורו בו בהיתר, והדר חזו טעמא לאסור [לאוקומה אחזקה דאיסור קמייתא], וכשחוזרים והתירו לא משגחינן בהו. דאמרינן כיון דהוה מוחזק לן באיסורא לא הוה עדיף האי טעמא דהיתירא בתרא מדקמא וקיימינן אחזקה קמייתא. </w:t>
      </w:r>
      <w:r w:rsidRPr="00AF3214">
        <w:rPr>
          <w:rFonts w:ascii="Narkisim" w:hAnsi="Narkisim" w:cs="Narkisim"/>
          <w:szCs w:val="20"/>
          <w:rtl/>
        </w:rPr>
        <w:t>והרמב"ן סיים דלא בריר לן האי פירושא, אמאי לא משגחינן בטעמא בתרא דהוראה</w:t>
      </w:r>
      <w:r w:rsidRPr="00AF3214">
        <w:rPr>
          <w:rFonts w:ascii="Narkisim" w:hAnsi="Narkisim" w:cs="Narkisim"/>
        </w:rPr>
        <w:t>.</w:t>
      </w:r>
    </w:p>
    <w:p w14:paraId="780ECC7F"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ואילו היכא דאתא ע"א ושרינן</w:t>
      </w:r>
      <w:r w:rsidRPr="00AF3214">
        <w:rPr>
          <w:rStyle w:val="ac"/>
          <w:rFonts w:ascii="Narkisim" w:hAnsi="Narkisim" w:cs="Narkisim"/>
          <w:u w:val="single"/>
          <w:rtl/>
        </w:rPr>
        <w:footnoteReference w:id="5845"/>
      </w:r>
      <w:r w:rsidRPr="00AF3214">
        <w:rPr>
          <w:rFonts w:ascii="Narkisim" w:hAnsi="Narkisim" w:cs="Narkisim"/>
          <w:u w:val="single"/>
        </w:rPr>
        <w:t xml:space="preserve"> </w:t>
      </w:r>
      <w:r w:rsidRPr="00AF3214">
        <w:rPr>
          <w:rFonts w:ascii="Narkisim" w:hAnsi="Narkisim" w:cs="Narkisim"/>
          <w:u w:val="single"/>
          <w:rtl/>
        </w:rPr>
        <w:t>וכו' כי הדר אתא עד אחרינא</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דעכשיו מת</w:t>
      </w:r>
      <w:r w:rsidRPr="00AF3214">
        <w:rPr>
          <w:rStyle w:val="ac"/>
          <w:rFonts w:ascii="Narkisim" w:hAnsi="Narkisim" w:cs="Narkisim"/>
          <w:rtl/>
        </w:rPr>
        <w:footnoteReference w:id="5846"/>
      </w:r>
      <w:r w:rsidRPr="00AF3214">
        <w:rPr>
          <w:rFonts w:ascii="Narkisim" w:hAnsi="Narkisim" w:cs="Narkisim"/>
        </w:rPr>
        <w:t xml:space="preserve">. </w:t>
      </w:r>
      <w:r w:rsidRPr="00AF3214">
        <w:rPr>
          <w:rFonts w:ascii="Narkisim" w:hAnsi="Narkisim" w:cs="Narkisim"/>
          <w:rtl/>
        </w:rPr>
        <w:t>אבל ה</w:t>
      </w:r>
      <w:r w:rsidRPr="00AF3214">
        <w:rPr>
          <w:rFonts w:ascii="Narkisim" w:hAnsi="Narkisim" w:cs="Narkisim"/>
          <w:b/>
          <w:bCs/>
          <w:rtl/>
        </w:rPr>
        <w:t>ר' משה בר"י</w:t>
      </w:r>
      <w:r w:rsidRPr="00AF3214">
        <w:rPr>
          <w:rFonts w:ascii="Narkisim" w:hAnsi="Narkisim" w:cs="Narkisim"/>
          <w:rtl/>
        </w:rPr>
        <w:t xml:space="preserve"> (הנ"ל) פי' שמעיד שמת מעיקרא, ומצטרף לעד הראשון</w:t>
      </w:r>
      <w:r w:rsidRPr="00AF3214">
        <w:rPr>
          <w:rStyle w:val="ac"/>
          <w:rFonts w:ascii="Narkisim" w:hAnsi="Narkisim" w:cs="Narkisim"/>
          <w:rtl/>
        </w:rPr>
        <w:footnoteReference w:id="5847"/>
      </w:r>
      <w:r w:rsidRPr="00AF3214">
        <w:rPr>
          <w:rFonts w:ascii="Narkisim" w:hAnsi="Narkisim" w:cs="Narkisim"/>
        </w:rPr>
        <w:t xml:space="preserve"> </w:t>
      </w:r>
      <w:r w:rsidRPr="00AF3214">
        <w:rPr>
          <w:rFonts w:ascii="Narkisim" w:hAnsi="Narkisim" w:cs="Narkisim"/>
          <w:rtl/>
        </w:rPr>
        <w:t>והוה תרי ותרי</w:t>
      </w:r>
      <w:r w:rsidRPr="00AF3214">
        <w:rPr>
          <w:rStyle w:val="ac"/>
          <w:rFonts w:ascii="Narkisim" w:hAnsi="Narkisim" w:cs="Narkisim"/>
          <w:rtl/>
        </w:rPr>
        <w:footnoteReference w:id="5848"/>
      </w:r>
      <w:r w:rsidRPr="00AF3214">
        <w:rPr>
          <w:rFonts w:ascii="Narkisim" w:hAnsi="Narkisim" w:cs="Narkisim"/>
        </w:rPr>
        <w:t xml:space="preserve">. </w:t>
      </w:r>
      <w:r w:rsidRPr="00AF3214">
        <w:rPr>
          <w:rFonts w:ascii="Narkisim" w:hAnsi="Narkisim" w:cs="Narkisim"/>
          <w:rtl/>
        </w:rPr>
        <w:t>והיכא דנשאת לא' מעידיה ואמרה ברי לא מפקינן (כדלעיל פח:)</w:t>
      </w:r>
      <w:r w:rsidRPr="00AF3214">
        <w:rPr>
          <w:rFonts w:ascii="Narkisim" w:hAnsi="Narkisim" w:cs="Narkisim"/>
        </w:rPr>
        <w:t>.</w:t>
      </w:r>
    </w:p>
    <w:p w14:paraId="6AC80AA3" w14:textId="77777777" w:rsidR="006C4368" w:rsidRPr="00AF3214" w:rsidRDefault="006C4368" w:rsidP="006C4368">
      <w:pPr>
        <w:pStyle w:val="aa"/>
        <w:bidi/>
        <w:rPr>
          <w:rFonts w:ascii="Narkisim" w:hAnsi="Narkisim"/>
        </w:rPr>
      </w:pPr>
      <w:r w:rsidRPr="00AF3214">
        <w:rPr>
          <w:rFonts w:ascii="Narkisim" w:hAnsi="Narkisim"/>
          <w:u w:val="single"/>
          <w:rtl/>
        </w:rPr>
        <w:t>דתניא ר"א אומר יקוב הדין את ההר וכו' דטעות הוא</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דהולכין אחר עומק הדין, דטעותא היא. ותביא חטאת. אבל אי לא מעיינין בה שפיר, לפום ריהטא יש לפטור דהוה ע"פ בי"ד</w:t>
      </w:r>
      <w:r w:rsidRPr="00AF3214">
        <w:rPr>
          <w:rFonts w:ascii="Narkisim" w:hAnsi="Narkisim"/>
        </w:rPr>
        <w:t>.</w:t>
      </w:r>
    </w:p>
    <w:p w14:paraId="174CFBA4" w14:textId="77777777" w:rsidR="006C4368" w:rsidRPr="00AF3214" w:rsidRDefault="006C4368" w:rsidP="006C4368">
      <w:pPr>
        <w:pStyle w:val="2"/>
        <w:bidi/>
        <w:rPr>
          <w:rFonts w:ascii="Narkisim" w:hAnsi="Narkisim"/>
        </w:rPr>
      </w:pPr>
      <w:r w:rsidRPr="00AF3214">
        <w:rPr>
          <w:rFonts w:ascii="Narkisim" w:hAnsi="Narkisim"/>
          <w:rtl/>
        </w:rPr>
        <w:t>קלקלה</w:t>
      </w:r>
    </w:p>
    <w:p w14:paraId="7F5E6FC2" w14:textId="77777777" w:rsidR="006C4368" w:rsidRPr="00AF3214" w:rsidRDefault="006C4368" w:rsidP="006C4368">
      <w:pPr>
        <w:bidi/>
        <w:rPr>
          <w:rFonts w:ascii="Narkisim" w:hAnsi="Narkisim" w:cs="Narkisim"/>
        </w:rPr>
      </w:pPr>
      <w:r w:rsidRPr="00AF3214">
        <w:rPr>
          <w:rFonts w:ascii="Narkisim" w:hAnsi="Narkisim" w:cs="Narkisim"/>
          <w:u w:val="single"/>
          <w:rtl/>
        </w:rPr>
        <w:t>[במשנה] הורוה בי"ד והלכה וקלקלה חייבת קרבן, שלא התירוה אלא לינשא</w:t>
      </w:r>
      <w:r w:rsidRPr="00AF3214">
        <w:rPr>
          <w:rStyle w:val="ac"/>
          <w:rFonts w:ascii="Narkisim" w:hAnsi="Narkisim" w:cs="Narkisim"/>
          <w:rtl/>
        </w:rPr>
        <w:footnoteReference w:id="5849"/>
      </w:r>
      <w:r w:rsidRPr="00AF3214">
        <w:rPr>
          <w:rFonts w:ascii="Narkisim" w:hAnsi="Narkisim" w:cs="Narkisim"/>
        </w:rPr>
        <w:t xml:space="preserve">. </w:t>
      </w:r>
      <w:r w:rsidRPr="00AF3214">
        <w:rPr>
          <w:rFonts w:ascii="Narkisim" w:hAnsi="Narkisim" w:cs="Narkisim"/>
          <w:rtl/>
        </w:rPr>
        <w:t>ובגמ' (הוריות ב.) שמואל אמר דחיוב העלם דבר</w:t>
      </w:r>
      <w:r w:rsidRPr="00AF3214">
        <w:rPr>
          <w:rStyle w:val="ac"/>
          <w:rFonts w:ascii="Narkisim" w:hAnsi="Narkisim" w:cs="Narkisim"/>
          <w:rtl/>
        </w:rPr>
        <w:footnoteReference w:id="5850"/>
      </w:r>
      <w:r w:rsidRPr="00AF3214">
        <w:rPr>
          <w:rFonts w:ascii="Narkisim" w:hAnsi="Narkisim" w:cs="Narkisim"/>
        </w:rPr>
        <w:t xml:space="preserve"> </w:t>
      </w:r>
      <w:r w:rsidRPr="00AF3214">
        <w:rPr>
          <w:rFonts w:ascii="Narkisim" w:hAnsi="Narkisim" w:cs="Narkisim"/>
          <w:rtl/>
        </w:rPr>
        <w:t>הוה דוקא כשאמרו להם 'מותרין אתם', ורב דימי מנהרדעא אמר עד שיאמרו להם 'מותרין אתם לעשות'</w:t>
      </w:r>
      <w:r w:rsidRPr="00AF3214">
        <w:rPr>
          <w:rStyle w:val="ac"/>
          <w:rFonts w:ascii="Narkisim" w:hAnsi="Narkisim" w:cs="Narkisim"/>
          <w:rtl/>
        </w:rPr>
        <w:footnoteReference w:id="5851"/>
      </w:r>
      <w:r w:rsidRPr="00AF3214">
        <w:rPr>
          <w:rFonts w:ascii="Narkisim" w:hAnsi="Narkisim" w:cs="Narkisim"/>
          <w:rtl/>
        </w:rPr>
        <w:t>, מ"ט לפי שלא נגמרה הוראה. והגמ' הביאה אף אנן תנינא [כרב דימי</w:t>
      </w:r>
      <w:r w:rsidRPr="00AF3214">
        <w:rPr>
          <w:rStyle w:val="ac"/>
          <w:rFonts w:ascii="Narkisim" w:hAnsi="Narkisim" w:cs="Narkisim"/>
          <w:rtl/>
        </w:rPr>
        <w:footnoteReference w:id="5852"/>
      </w:r>
      <w:r w:rsidRPr="00AF3214">
        <w:rPr>
          <w:rFonts w:ascii="Narkisim" w:hAnsi="Narkisim" w:cs="Narkisim"/>
          <w:rtl/>
        </w:rPr>
        <w:t>] (ממתני' דהכא) הורוה בי"ד, דלא התירוה אלא לינשא</w:t>
      </w:r>
      <w:r w:rsidRPr="00AF3214">
        <w:rPr>
          <w:rStyle w:val="ac"/>
          <w:rFonts w:ascii="Narkisim" w:hAnsi="Narkisim" w:cs="Narkisim"/>
          <w:rtl/>
        </w:rPr>
        <w:footnoteReference w:id="5853"/>
      </w:r>
      <w:r w:rsidRPr="00AF3214">
        <w:rPr>
          <w:rFonts w:ascii="Narkisim" w:hAnsi="Narkisim" w:cs="Narkisim"/>
        </w:rPr>
        <w:t>.</w:t>
      </w:r>
    </w:p>
    <w:p w14:paraId="64F2539F" w14:textId="77777777" w:rsidR="006C4368" w:rsidRPr="00AF3214" w:rsidRDefault="006C4368" w:rsidP="006C4368">
      <w:pPr>
        <w:pStyle w:val="a7"/>
        <w:bidi/>
        <w:rPr>
          <w:rFonts w:ascii="Narkisim" w:hAnsi="Narkisim"/>
        </w:rPr>
      </w:pPr>
      <w:r w:rsidRPr="00AF3214">
        <w:rPr>
          <w:rFonts w:ascii="Narkisim" w:hAnsi="Narkisim"/>
          <w:rtl/>
        </w:rPr>
        <w:t>וב</w:t>
      </w:r>
      <w:r w:rsidRPr="00AF3214">
        <w:rPr>
          <w:rFonts w:ascii="Narkisim" w:hAnsi="Narkisim"/>
          <w:b/>
          <w:bCs/>
          <w:rtl/>
        </w:rPr>
        <w:t>ירושלמי</w:t>
      </w:r>
      <w:r w:rsidRPr="00AF3214">
        <w:rPr>
          <w:rFonts w:ascii="Narkisim" w:hAnsi="Narkisim"/>
          <w:rtl/>
        </w:rPr>
        <w:t xml:space="preserve"> (הו' ברשב"א) אי' דדומה להורו בי"ד דמותר לאכול חלב, ואכל דם</w:t>
      </w:r>
      <w:r w:rsidRPr="00AF3214">
        <w:rPr>
          <w:rStyle w:val="ac"/>
          <w:rFonts w:ascii="Narkisim" w:hAnsi="Narkisim"/>
          <w:rtl/>
        </w:rPr>
        <w:footnoteReference w:id="5854"/>
      </w:r>
      <w:r w:rsidRPr="00AF3214">
        <w:rPr>
          <w:rFonts w:ascii="Narkisim" w:hAnsi="Narkisim"/>
        </w:rPr>
        <w:t>.</w:t>
      </w:r>
    </w:p>
    <w:p w14:paraId="3F7ED533" w14:textId="77777777" w:rsidR="006C4368" w:rsidRPr="00AF3214" w:rsidRDefault="006C4368" w:rsidP="006C4368">
      <w:pPr>
        <w:bidi/>
        <w:rPr>
          <w:rFonts w:ascii="Narkisim" w:hAnsi="Narkisim" w:cs="Narkisim"/>
        </w:rPr>
      </w:pPr>
      <w:r w:rsidRPr="00AF3214">
        <w:rPr>
          <w:rFonts w:ascii="Narkisim" w:hAnsi="Narkisim" w:cs="Narkisim"/>
          <w:u w:val="single"/>
          <w:rtl/>
        </w:rPr>
        <w:t>אתון הוא דשויתין פנויה</w:t>
      </w:r>
      <w:r w:rsidRPr="00AF3214">
        <w:rPr>
          <w:rFonts w:ascii="Narkisim" w:hAnsi="Narkisim" w:cs="Narkisim"/>
          <w:rtl/>
        </w:rPr>
        <w:t>. אבל לא נכלל בהיתר אלמנה לכה"ג</w:t>
      </w:r>
      <w:r w:rsidRPr="00AF3214">
        <w:rPr>
          <w:rStyle w:val="ac"/>
          <w:rFonts w:ascii="Narkisim" w:hAnsi="Narkisim" w:cs="Narkisim"/>
          <w:rtl/>
        </w:rPr>
        <w:footnoteReference w:id="5855"/>
      </w:r>
      <w:r w:rsidRPr="00AF3214">
        <w:rPr>
          <w:rFonts w:ascii="Narkisim" w:hAnsi="Narkisim" w:cs="Narkisim"/>
        </w:rPr>
        <w:t xml:space="preserve">. </w:t>
      </w:r>
      <w:r w:rsidRPr="00AF3214">
        <w:rPr>
          <w:rFonts w:ascii="Narkisim" w:hAnsi="Narkisim" w:cs="Narkisim"/>
          <w:rtl/>
        </w:rPr>
        <w:t>וביארו דלר' יוחנן היכא דהתירו לאיש זה נחשב שהתירו בכל צורה [והוה בכלל ההיתר], אבל לא נחשב דהתירו כלפי אדם אחר</w:t>
      </w:r>
      <w:r w:rsidRPr="00AF3214">
        <w:rPr>
          <w:rFonts w:ascii="Narkisim" w:hAnsi="Narkisim" w:cs="Narkisim"/>
        </w:rPr>
        <w:t>.</w:t>
      </w:r>
    </w:p>
    <w:p w14:paraId="7FC5E894" w14:textId="77777777" w:rsidR="006C4368" w:rsidRPr="00AF3214" w:rsidRDefault="006C4368" w:rsidP="006C4368">
      <w:pPr>
        <w:pStyle w:val="a8"/>
        <w:bidi/>
        <w:rPr>
          <w:rFonts w:ascii="Narkisim" w:hAnsi="Narkisim"/>
        </w:rPr>
      </w:pPr>
      <w:r w:rsidRPr="00AF3214">
        <w:rPr>
          <w:rFonts w:ascii="Narkisim" w:hAnsi="Narkisim"/>
          <w:rtl/>
        </w:rPr>
        <w:lastRenderedPageBreak/>
        <w:t>אבל ה</w:t>
      </w:r>
      <w:r w:rsidRPr="00AF3214">
        <w:rPr>
          <w:rFonts w:ascii="Narkisim" w:hAnsi="Narkisim"/>
          <w:b/>
          <w:bCs/>
          <w:rtl/>
        </w:rPr>
        <w:t xml:space="preserve">ערול"נ </w:t>
      </w:r>
      <w:r w:rsidRPr="00AF3214">
        <w:rPr>
          <w:rFonts w:ascii="Narkisim" w:hAnsi="Narkisim"/>
          <w:rtl/>
        </w:rPr>
        <w:t>נקט דהחילוק דפנויה שזינתה הוה איסור קל</w:t>
      </w:r>
      <w:r w:rsidRPr="00AF3214">
        <w:rPr>
          <w:rStyle w:val="ac"/>
          <w:rFonts w:ascii="Narkisim" w:hAnsi="Narkisim"/>
          <w:rtl/>
        </w:rPr>
        <w:footnoteReference w:id="5856"/>
      </w:r>
      <w:r w:rsidRPr="00AF3214">
        <w:rPr>
          <w:rFonts w:ascii="Narkisim" w:hAnsi="Narkisim"/>
        </w:rPr>
        <w:t xml:space="preserve">. </w:t>
      </w:r>
      <w:r w:rsidRPr="00AF3214">
        <w:rPr>
          <w:rFonts w:ascii="Narkisim" w:hAnsi="Narkisim"/>
          <w:rtl/>
        </w:rPr>
        <w:t>ולא הוה לאו כאלמנה לכה"ג</w:t>
      </w:r>
      <w:r w:rsidRPr="00AF3214">
        <w:rPr>
          <w:rStyle w:val="ac"/>
          <w:rFonts w:ascii="Narkisim" w:hAnsi="Narkisim"/>
          <w:rtl/>
        </w:rPr>
        <w:footnoteReference w:id="5857"/>
      </w:r>
      <w:r w:rsidRPr="00AF3214">
        <w:rPr>
          <w:rFonts w:ascii="Narkisim" w:hAnsi="Narkisim"/>
        </w:rPr>
        <w:t>.</w:t>
      </w:r>
    </w:p>
    <w:p w14:paraId="66787AE9"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ראשונים</w:t>
      </w:r>
      <w:r w:rsidRPr="00AF3214">
        <w:rPr>
          <w:rFonts w:ascii="Narkisim" w:hAnsi="Narkisim" w:cs="Narkisim"/>
          <w:rtl/>
        </w:rPr>
        <w:t xml:space="preserve"> (גיטין פה:) דנו האם סגי בנוסח הגט 'להתנסבא לכל גבר', או דאמרי' דהתירה להנשא ולא לזנות</w:t>
      </w:r>
      <w:r w:rsidRPr="00AF3214">
        <w:rPr>
          <w:rStyle w:val="ac"/>
          <w:rFonts w:ascii="Narkisim" w:hAnsi="Narkisim" w:cs="Narkisim"/>
          <w:rtl/>
        </w:rPr>
        <w:footnoteReference w:id="5858"/>
      </w:r>
      <w:r w:rsidRPr="00AF3214">
        <w:rPr>
          <w:rFonts w:ascii="Narkisim" w:hAnsi="Narkisim" w:cs="Narkisim"/>
        </w:rPr>
        <w:t xml:space="preserve">. </w:t>
      </w:r>
      <w:r w:rsidRPr="00AF3214">
        <w:rPr>
          <w:rFonts w:ascii="Narkisim" w:hAnsi="Narkisim" w:cs="Narkisim"/>
          <w:rtl/>
        </w:rPr>
        <w:t>והוי כאומר הרי זו גיטך חוץ מזנותך [דהוה ספק בגמ' שם פה.]. וה</w:t>
      </w:r>
      <w:r w:rsidRPr="00AF3214">
        <w:rPr>
          <w:rFonts w:ascii="Narkisim" w:hAnsi="Narkisim" w:cs="Narkisim"/>
          <w:b/>
          <w:bCs/>
          <w:rtl/>
        </w:rPr>
        <w:t>עיטור</w:t>
      </w:r>
      <w:r w:rsidRPr="00AF3214">
        <w:rPr>
          <w:rFonts w:ascii="Narkisim" w:hAnsi="Narkisim" w:cs="Narkisim"/>
          <w:rtl/>
        </w:rPr>
        <w:t xml:space="preserve"> (וי"א ברמב"ן שם) הביא מסוגיין דקי"ל ד'להנשא' משמע אף זנות. וה</w:t>
      </w:r>
      <w:r w:rsidRPr="00AF3214">
        <w:rPr>
          <w:rFonts w:ascii="Narkisim" w:hAnsi="Narkisim" w:cs="Narkisim"/>
          <w:b/>
          <w:bCs/>
          <w:rtl/>
        </w:rPr>
        <w:t>רמב"ן</w:t>
      </w:r>
      <w:r w:rsidRPr="00AF3214">
        <w:rPr>
          <w:rFonts w:ascii="Narkisim" w:hAnsi="Narkisim" w:cs="Narkisim"/>
          <w:rtl/>
        </w:rPr>
        <w:t xml:space="preserve"> (שם) דחה דבסוגיין אין הוראת בי"ד למחצה</w:t>
      </w:r>
      <w:r w:rsidRPr="00AF3214">
        <w:rPr>
          <w:rStyle w:val="ac"/>
          <w:rFonts w:ascii="Narkisim" w:hAnsi="Narkisim" w:cs="Narkisim"/>
          <w:rtl/>
        </w:rPr>
        <w:footnoteReference w:id="5859"/>
      </w:r>
      <w:r w:rsidRPr="00AF3214">
        <w:rPr>
          <w:rFonts w:ascii="Narkisim" w:hAnsi="Narkisim" w:cs="Narkisim"/>
        </w:rPr>
        <w:t xml:space="preserve">. </w:t>
      </w:r>
      <w:r w:rsidRPr="00AF3214">
        <w:rPr>
          <w:rFonts w:ascii="Narkisim" w:hAnsi="Narkisim" w:cs="Narkisim"/>
          <w:rtl/>
        </w:rPr>
        <w:t>אלא שאלמנה לכה"ג לא עלה על דעת בי"ד שישאנה, ולא התירוה בנשואי איסור</w:t>
      </w:r>
      <w:r w:rsidRPr="00AF3214">
        <w:rPr>
          <w:rStyle w:val="ac"/>
          <w:rFonts w:ascii="Narkisim" w:hAnsi="Narkisim" w:cs="Narkisim"/>
          <w:rtl/>
        </w:rPr>
        <w:footnoteReference w:id="5860"/>
      </w:r>
      <w:r w:rsidRPr="00AF3214">
        <w:rPr>
          <w:rFonts w:ascii="Narkisim" w:hAnsi="Narkisim" w:cs="Narkisim"/>
        </w:rPr>
        <w:t>.</w:t>
      </w:r>
    </w:p>
    <w:p w14:paraId="3710344E"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(ונמוק"י) הביא בשם </w:t>
      </w:r>
      <w:r w:rsidRPr="00AF3214">
        <w:rPr>
          <w:rFonts w:ascii="Narkisim" w:hAnsi="Narkisim"/>
          <w:b/>
          <w:bCs/>
          <w:rtl/>
        </w:rPr>
        <w:t>ר"י</w:t>
      </w:r>
      <w:r w:rsidRPr="00AF3214">
        <w:rPr>
          <w:rFonts w:ascii="Narkisim" w:hAnsi="Narkisim"/>
          <w:rtl/>
        </w:rPr>
        <w:t xml:space="preserve"> דבמילתא דבי דינא לא אזלינן בתר לישנא, אלא בתר עיקר טעמא. והתירו להנשא, אתו לשוייה פנויה [ואף בזנות]. אבל בגט אזלי' בתר הלשון, ודילמא מקפיד הוא שלא להתירה לזנות</w:t>
      </w:r>
      <w:r w:rsidRPr="00AF3214">
        <w:rPr>
          <w:rFonts w:ascii="Narkisim" w:hAnsi="Narkisim"/>
        </w:rPr>
        <w:t>.</w:t>
      </w:r>
    </w:p>
    <w:p w14:paraId="03B37140"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ה</w:t>
      </w:r>
      <w:r w:rsidRPr="00AF3214">
        <w:rPr>
          <w:rFonts w:ascii="Narkisim" w:hAnsi="Narkisim"/>
          <w:b/>
          <w:bCs/>
          <w:rtl/>
        </w:rPr>
        <w:t>רמב"ם</w:t>
      </w:r>
      <w:r w:rsidRPr="00AF3214">
        <w:rPr>
          <w:rFonts w:ascii="Narkisim" w:hAnsi="Narkisim"/>
          <w:rtl/>
        </w:rPr>
        <w:t xml:space="preserve"> (שגגות ה ה) כת' דאפי' זינתה חייבין חטאת. וה</w:t>
      </w:r>
      <w:r w:rsidRPr="00AF3214">
        <w:rPr>
          <w:rFonts w:ascii="Narkisim" w:hAnsi="Narkisim"/>
          <w:b/>
          <w:bCs/>
          <w:rtl/>
        </w:rPr>
        <w:t>כס"מ</w:t>
      </w:r>
      <w:r w:rsidRPr="00AF3214">
        <w:rPr>
          <w:rFonts w:ascii="Narkisim" w:hAnsi="Narkisim"/>
          <w:rtl/>
        </w:rPr>
        <w:t xml:space="preserve"> הק' דלכאורה קי"ל כר' יוחנן. אלא דנח' אליבא דמתני' דהוה הוראה ופטור. ואנן קי"ל כזעירי [דליתא למתני'] דהוה טעות. וה</w:t>
      </w:r>
      <w:r w:rsidRPr="00AF3214">
        <w:rPr>
          <w:rFonts w:ascii="Narkisim" w:hAnsi="Narkisim"/>
          <w:b/>
          <w:bCs/>
          <w:rtl/>
        </w:rPr>
        <w:t>משנ"ל</w:t>
      </w:r>
      <w:r w:rsidRPr="00AF3214">
        <w:rPr>
          <w:rFonts w:ascii="Narkisim" w:hAnsi="Narkisim"/>
          <w:rtl/>
        </w:rPr>
        <w:t xml:space="preserve"> הוסיף דאנן קי"ל דיחיד שעשה בהוראה חייב</w:t>
      </w:r>
      <w:r w:rsidRPr="00AF3214">
        <w:rPr>
          <w:rFonts w:ascii="Narkisim" w:hAnsi="Narkisim"/>
        </w:rPr>
        <w:t>.</w:t>
      </w:r>
    </w:p>
    <w:p w14:paraId="160C60B8" w14:textId="77777777" w:rsidR="006C4368" w:rsidRPr="00AF3214" w:rsidRDefault="006C4368" w:rsidP="006C4368">
      <w:pPr>
        <w:pStyle w:val="2"/>
        <w:bidi/>
        <w:rPr>
          <w:rFonts w:ascii="Narkisim" w:hAnsi="Narkisim"/>
        </w:rPr>
      </w:pPr>
      <w:r w:rsidRPr="00AF3214">
        <w:rPr>
          <w:rFonts w:ascii="Narkisim" w:hAnsi="Narkisim"/>
          <w:rtl/>
        </w:rPr>
        <w:t>הולד הראשון ואחרון ממזר</w:t>
      </w:r>
    </w:p>
    <w:p w14:paraId="73E73CB8" w14:textId="77777777" w:rsidR="006C4368" w:rsidRPr="00AF3214" w:rsidRDefault="006C4368" w:rsidP="006C4368">
      <w:pPr>
        <w:bidi/>
        <w:rPr>
          <w:rFonts w:ascii="Narkisim" w:hAnsi="Narkisim" w:cs="Narkisim"/>
        </w:rPr>
      </w:pPr>
      <w:r w:rsidRPr="00AF3214">
        <w:rPr>
          <w:rFonts w:ascii="Narkisim" w:hAnsi="Narkisim" w:cs="Narkisim"/>
          <w:u w:val="single"/>
          <w:rtl/>
        </w:rPr>
        <w:t>האשה שהלך בעלה ובנה למדיה"י ובאו ואמרו לה מת בעליך</w:t>
      </w:r>
      <w:r w:rsidRPr="00AF3214">
        <w:rPr>
          <w:rStyle w:val="ac"/>
          <w:rFonts w:ascii="Narkisim" w:hAnsi="Narkisim" w:cs="Narkisim"/>
          <w:u w:val="single"/>
          <w:rtl/>
        </w:rPr>
        <w:footnoteReference w:id="5861"/>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ובגמ' (צד.) דנו אי איירי בעד א' [והגמ' מסתפקת האם עד א' נאמן באשה שהיא בחזקת זקוקה ליבם להתירה לשוק], או בב' עדים ואח"כ הוזמו</w:t>
      </w:r>
      <w:r w:rsidRPr="00AF3214">
        <w:rPr>
          <w:rFonts w:ascii="Narkisim" w:hAnsi="Narkisim" w:cs="Narkisim"/>
        </w:rPr>
        <w:t>.</w:t>
      </w:r>
    </w:p>
    <w:p w14:paraId="091162CC" w14:textId="77777777" w:rsidR="006C4368" w:rsidRPr="00AF3214" w:rsidRDefault="006C4368" w:rsidP="006C4368">
      <w:pPr>
        <w:pStyle w:val="aa"/>
        <w:bidi/>
        <w:rPr>
          <w:rFonts w:ascii="Narkisim" w:hAnsi="Narkisim"/>
        </w:rPr>
      </w:pPr>
      <w:r w:rsidRPr="00AF3214">
        <w:rPr>
          <w:rFonts w:ascii="Narkisim" w:hAnsi="Narkisim"/>
          <w:u w:val="single"/>
          <w:rtl/>
        </w:rPr>
        <w:t>ואח"כ אמרו לה חילוף היו הדברים, תצא, והולד הראשון ואחרון ממזר.</w:t>
      </w:r>
      <w:r w:rsidRPr="00AF3214">
        <w:rPr>
          <w:rFonts w:ascii="Narkisim" w:hAnsi="Narkisim"/>
          <w:rtl/>
        </w:rPr>
        <w:t xml:space="preserve"> דנמצא שמת בנה בחיי בעלה וזקוקה ליבום, והוה יבמה לשוק</w:t>
      </w:r>
      <w:r w:rsidRPr="00AF3214">
        <w:rPr>
          <w:rFonts w:ascii="Narkisim" w:hAnsi="Narkisim"/>
        </w:rPr>
        <w:t>.</w:t>
      </w:r>
    </w:p>
    <w:p w14:paraId="7B07DAA3" w14:textId="77777777" w:rsidR="006C4368" w:rsidRPr="00AF3214" w:rsidRDefault="006C4368" w:rsidP="006C4368">
      <w:pPr>
        <w:pStyle w:val="a8"/>
        <w:bidi/>
        <w:rPr>
          <w:rFonts w:ascii="Narkisim" w:hAnsi="Narkisim"/>
        </w:rPr>
      </w:pPr>
      <w:r w:rsidRPr="00AF3214">
        <w:rPr>
          <w:rFonts w:ascii="Narkisim" w:hAnsi="Narkisim"/>
          <w:rtl/>
        </w:rPr>
        <w:t>והגמ' פי' כר"ע דאין קידושין תופסים בחייבי לאוין, ומש"ה הוה ממזר מיבמה לשוק. ו</w:t>
      </w:r>
      <w:r w:rsidRPr="00AF3214">
        <w:rPr>
          <w:rFonts w:ascii="Narkisim" w:hAnsi="Narkisim"/>
          <w:b/>
          <w:bCs/>
          <w:rtl/>
        </w:rPr>
        <w:t>תוס</w:t>
      </w:r>
      <w:r w:rsidRPr="00AF3214">
        <w:rPr>
          <w:rFonts w:ascii="Narkisim" w:hAnsi="Narkisim"/>
          <w:rtl/>
        </w:rPr>
        <w:t>' כת' דממזר דמתני' הוה ממזר מדאורייתא. [וע"ע בסמוך אי הוה ממזר מדרבנן]</w:t>
      </w:r>
      <w:r w:rsidRPr="00AF3214">
        <w:rPr>
          <w:rFonts w:ascii="Narkisim" w:hAnsi="Narkisim"/>
        </w:rPr>
        <w:t>.</w:t>
      </w:r>
    </w:p>
    <w:p w14:paraId="775B97B2" w14:textId="77777777" w:rsidR="006C4368" w:rsidRPr="00AF3214" w:rsidRDefault="006C4368" w:rsidP="006C4368">
      <w:pPr>
        <w:bidi/>
        <w:rPr>
          <w:rFonts w:ascii="Narkisim" w:hAnsi="Narkisim" w:cs="Narkisim"/>
        </w:rPr>
      </w:pPr>
      <w:r w:rsidRPr="00AF3214">
        <w:rPr>
          <w:rFonts w:ascii="Narkisim" w:hAnsi="Narkisim" w:cs="Narkisim"/>
          <w:u w:val="single"/>
          <w:rtl/>
        </w:rPr>
        <w:t>אמרו לה מת בנך ואח"כ מת בעליך ונתייבמה וכו'</w:t>
      </w:r>
      <w:r w:rsidRPr="00AF3214">
        <w:rPr>
          <w:rFonts w:ascii="Narkisim" w:hAnsi="Narkisim" w:cs="Narkisim"/>
          <w:rtl/>
        </w:rPr>
        <w:t>. ובגמ' (צג:) דנו אי איירי בעד א' [והגמ' מסתפקת האם עד א' נאמן שמת בעלה שתתייבם], או בב' עדים וע"י הזמה</w:t>
      </w:r>
      <w:r w:rsidRPr="00AF3214">
        <w:rPr>
          <w:rFonts w:ascii="Narkisim" w:hAnsi="Narkisim" w:cs="Narkisim"/>
        </w:rPr>
        <w:t>.</w:t>
      </w:r>
    </w:p>
    <w:p w14:paraId="0FD78ADE"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בעה"מ</w:t>
      </w:r>
      <w:r w:rsidRPr="00AF3214">
        <w:rPr>
          <w:rFonts w:ascii="Narkisim" w:hAnsi="Narkisim" w:cs="Narkisim"/>
          <w:rtl/>
        </w:rPr>
        <w:t xml:space="preserve"> (כט: בדה"ר) הק' דכיון דידעינן שיש לה בן, א"כ האשה בחזקת היתר לשוק, והאיך עד א' נאמן שמת בנה לאפוקי מחזקתה</w:t>
      </w:r>
      <w:r w:rsidRPr="00AF3214">
        <w:rPr>
          <w:rStyle w:val="ac"/>
          <w:rFonts w:ascii="Narkisim" w:hAnsi="Narkisim" w:cs="Narkisim"/>
          <w:rtl/>
        </w:rPr>
        <w:footnoteReference w:id="5862"/>
      </w:r>
      <w:r w:rsidRPr="00AF3214">
        <w:rPr>
          <w:rFonts w:ascii="Narkisim" w:hAnsi="Narkisim" w:cs="Narkisim"/>
        </w:rPr>
        <w:t xml:space="preserve">. </w:t>
      </w:r>
      <w:r w:rsidRPr="00AF3214">
        <w:rPr>
          <w:rFonts w:ascii="Narkisim" w:hAnsi="Narkisim" w:cs="Narkisim"/>
          <w:rtl/>
        </w:rPr>
        <w:t>ולהזקיקה ליבום. ותי' דאיירי ששמעו [בעדים] שמתו שניהם, ולא ידעינן איזה מת ראשון</w:t>
      </w:r>
      <w:r w:rsidRPr="00AF3214">
        <w:rPr>
          <w:rStyle w:val="ac"/>
          <w:rFonts w:ascii="Narkisim" w:hAnsi="Narkisim" w:cs="Narkisim"/>
          <w:rtl/>
        </w:rPr>
        <w:footnoteReference w:id="5863"/>
      </w:r>
      <w:r w:rsidRPr="00AF3214">
        <w:rPr>
          <w:rFonts w:ascii="Narkisim" w:hAnsi="Narkisim" w:cs="Narkisim"/>
        </w:rPr>
        <w:t xml:space="preserve">. </w:t>
      </w:r>
      <w:r w:rsidRPr="00AF3214">
        <w:rPr>
          <w:rFonts w:ascii="Narkisim" w:hAnsi="Narkisim" w:cs="Narkisim"/>
          <w:rtl/>
        </w:rPr>
        <w:t>דמאחר שאינן בחזקת קיימין, אינה בחזקת לשוק. ומש"ה עד א' נאמן</w:t>
      </w:r>
      <w:r w:rsidRPr="00AF3214">
        <w:rPr>
          <w:rStyle w:val="ac"/>
          <w:rFonts w:ascii="Narkisim" w:hAnsi="Narkisim" w:cs="Narkisim"/>
          <w:rtl/>
        </w:rPr>
        <w:footnoteReference w:id="5864"/>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מלחמות</w:t>
      </w:r>
      <w:r w:rsidRPr="00AF3214">
        <w:rPr>
          <w:rFonts w:ascii="Narkisim" w:hAnsi="Narkisim" w:cs="Narkisim"/>
          <w:rtl/>
        </w:rPr>
        <w:t xml:space="preserve"> הק' דסוף סוף הוה בחזקת היתר לשוק, וכדאי' (לעיל לא. לדעת רבה) דבספק מי מת קודם הוה חזקת היתר לשוק. ועוה"ק דהו"ל לגמ' לפרש </w:t>
      </w:r>
      <w:r w:rsidRPr="00AF3214">
        <w:rPr>
          <w:rFonts w:ascii="Narkisim" w:hAnsi="Narkisim" w:cs="Narkisim"/>
          <w:rtl/>
        </w:rPr>
        <w:lastRenderedPageBreak/>
        <w:t>דאיירי כה"ג</w:t>
      </w:r>
      <w:r w:rsidRPr="00AF3214">
        <w:rPr>
          <w:rFonts w:ascii="Narkisim" w:hAnsi="Narkisim" w:cs="Narkisim"/>
        </w:rPr>
        <w:t>.</w:t>
      </w:r>
    </w:p>
    <w:p w14:paraId="5AF71C39"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בית הלוי</w:t>
      </w:r>
      <w:r w:rsidRPr="00AF3214">
        <w:rPr>
          <w:rFonts w:ascii="Narkisim" w:hAnsi="Narkisim"/>
          <w:rtl/>
        </w:rPr>
        <w:t xml:space="preserve"> (ג יג בסופו) הביא דמשמע במלחמות דכ"ה מסקנת הגמ' (לא.) דקיימא בחזקת היתר לשוק [אלא דדעת אביי ורבא דהחמירו מדרבנן]. אמנם ה</w:t>
      </w:r>
      <w:r w:rsidRPr="00AF3214">
        <w:rPr>
          <w:rFonts w:ascii="Narkisim" w:hAnsi="Narkisim"/>
          <w:b/>
          <w:bCs/>
          <w:rtl/>
        </w:rPr>
        <w:t>ש"ך</w:t>
      </w:r>
      <w:r w:rsidRPr="00AF3214">
        <w:rPr>
          <w:rFonts w:ascii="Narkisim" w:hAnsi="Narkisim"/>
          <w:rtl/>
        </w:rPr>
        <w:t xml:space="preserve"> (יו"ד נ ג, הו' לעיל ל:) כת' דאביי ורבא פליגי [אדעת רבה] דליכא חזקה שתהא מותרת לאחר מיתת בעלה</w:t>
      </w:r>
      <w:r w:rsidRPr="00AF3214">
        <w:rPr>
          <w:rStyle w:val="ac"/>
          <w:rFonts w:ascii="Narkisim" w:hAnsi="Narkisim"/>
          <w:rtl/>
        </w:rPr>
        <w:footnoteReference w:id="5865"/>
      </w:r>
      <w:r w:rsidRPr="00AF3214">
        <w:rPr>
          <w:rFonts w:ascii="Narkisim" w:hAnsi="Narkisim"/>
        </w:rPr>
        <w:t xml:space="preserve">. </w:t>
      </w:r>
      <w:r w:rsidRPr="00AF3214">
        <w:rPr>
          <w:rFonts w:ascii="Narkisim" w:hAnsi="Narkisim"/>
          <w:rtl/>
        </w:rPr>
        <w:t>והבית הלוי הביא דמוכח בבעה"מ כדעת הש"ך דלא אמרי' שהיא בחזקת היתר לשוק</w:t>
      </w:r>
      <w:r w:rsidRPr="00AF3214">
        <w:rPr>
          <w:rStyle w:val="ac"/>
          <w:rFonts w:ascii="Narkisim" w:hAnsi="Narkisim"/>
          <w:rtl/>
        </w:rPr>
        <w:footnoteReference w:id="5866"/>
      </w:r>
      <w:r w:rsidRPr="00AF3214">
        <w:rPr>
          <w:rFonts w:ascii="Narkisim" w:hAnsi="Narkisim"/>
        </w:rPr>
        <w:t>.</w:t>
      </w:r>
    </w:p>
    <w:p w14:paraId="55028BAD" w14:textId="77777777" w:rsidR="006C4368" w:rsidRPr="00AF3214" w:rsidRDefault="006C4368" w:rsidP="006C4368">
      <w:pPr>
        <w:bidi/>
        <w:rPr>
          <w:rFonts w:ascii="Narkisim" w:hAnsi="Narkisim" w:cs="Narkisim"/>
        </w:rPr>
      </w:pPr>
      <w:r w:rsidRPr="00AF3214">
        <w:rPr>
          <w:rFonts w:ascii="Narkisim" w:hAnsi="Narkisim" w:cs="Narkisim"/>
          <w:rtl/>
        </w:rPr>
        <w:t>ועוד תי' ה</w:t>
      </w:r>
      <w:r w:rsidRPr="00AF3214">
        <w:rPr>
          <w:rFonts w:ascii="Narkisim" w:hAnsi="Narkisim" w:cs="Narkisim"/>
          <w:b/>
          <w:bCs/>
          <w:rtl/>
        </w:rPr>
        <w:t>בעה"מ</w:t>
      </w:r>
      <w:r w:rsidRPr="00AF3214">
        <w:rPr>
          <w:rFonts w:ascii="Narkisim" w:hAnsi="Narkisim" w:cs="Narkisim"/>
          <w:rtl/>
        </w:rPr>
        <w:t xml:space="preserve"> דאיירי שלא היה ידוע שיש לו בן [והיא בחזקת איסור לשוק]. והעד אומר ניתן לו בן במדינת הים</w:t>
      </w:r>
      <w:r w:rsidRPr="00AF3214">
        <w:rPr>
          <w:rStyle w:val="ac"/>
          <w:rFonts w:ascii="Narkisim" w:hAnsi="Narkisim" w:cs="Narkisim"/>
          <w:rtl/>
        </w:rPr>
        <w:footnoteReference w:id="5867"/>
      </w:r>
      <w:r w:rsidRPr="00AF3214">
        <w:rPr>
          <w:rFonts w:ascii="Narkisim" w:hAnsi="Narkisim" w:cs="Narkisim"/>
        </w:rPr>
        <w:t xml:space="preserve">, </w:t>
      </w:r>
      <w:r w:rsidRPr="00AF3214">
        <w:rPr>
          <w:rFonts w:ascii="Narkisim" w:hAnsi="Narkisim" w:cs="Narkisim"/>
          <w:rtl/>
        </w:rPr>
        <w:t>ומת הוא ואח"כ מת בנו. [ואף שהאשה אינה נאמנת לומר שניתן לה בן במדיה"י (וכדתנן לקמן קיח:), אפ"ה עד א' נאמן]. והמלחמות דחה דבמשנה איירי שבעלה ובנה היו כאן, והלכו</w:t>
      </w:r>
      <w:r w:rsidRPr="00AF3214">
        <w:rPr>
          <w:rFonts w:ascii="Narkisim" w:hAnsi="Narkisim" w:cs="Narkisim"/>
        </w:rPr>
        <w:t>.</w:t>
      </w:r>
    </w:p>
    <w:p w14:paraId="5DB544F0"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מלחמות</w:t>
      </w:r>
      <w:r w:rsidRPr="00AF3214">
        <w:rPr>
          <w:rFonts w:ascii="Narkisim" w:hAnsi="Narkisim" w:cs="Narkisim"/>
          <w:rtl/>
        </w:rPr>
        <w:t xml:space="preserve"> תי' דהכא העד מעיד שמת בעלה, והוא מעיד שמת בנה. א"כ אין לנו עדות להתירה לשוק</w:t>
      </w:r>
      <w:r w:rsidRPr="00AF3214">
        <w:rPr>
          <w:rStyle w:val="ac"/>
          <w:rFonts w:ascii="Narkisim" w:hAnsi="Narkisim" w:cs="Narkisim"/>
          <w:rtl/>
        </w:rPr>
        <w:footnoteReference w:id="5868"/>
      </w:r>
      <w:r w:rsidRPr="00AF3214">
        <w:rPr>
          <w:rFonts w:ascii="Narkisim" w:hAnsi="Narkisim" w:cs="Narkisim"/>
        </w:rPr>
        <w:t xml:space="preserve"> </w:t>
      </w:r>
      <w:r w:rsidRPr="00AF3214">
        <w:rPr>
          <w:rFonts w:ascii="Narkisim" w:hAnsi="Narkisim" w:cs="Narkisim"/>
          <w:rtl/>
        </w:rPr>
        <w:t>[וע"ע תוס' לקמן צד.]</w:t>
      </w:r>
      <w:r w:rsidRPr="00AF3214">
        <w:rPr>
          <w:rFonts w:ascii="Narkisim" w:hAnsi="Narkisim" w:cs="Narkisim"/>
        </w:rPr>
        <w:t>.</w:t>
      </w:r>
    </w:p>
    <w:p w14:paraId="0E2283E8" w14:textId="77777777" w:rsidR="006C4368" w:rsidRPr="00AF3214" w:rsidRDefault="006C4368" w:rsidP="006C4368">
      <w:pPr>
        <w:pStyle w:val="aa"/>
        <w:bidi/>
        <w:rPr>
          <w:rFonts w:ascii="Narkisim" w:hAnsi="Narkisim"/>
        </w:rPr>
      </w:pPr>
      <w:r w:rsidRPr="00AF3214">
        <w:rPr>
          <w:rFonts w:ascii="Narkisim" w:hAnsi="Narkisim"/>
          <w:u w:val="single"/>
          <w:rtl/>
        </w:rPr>
        <w:t>ונתייבמה ואח"כ אמרו לה חילוף היו הדברים תצא והולד ראשון ואחרון ממזר</w:t>
      </w:r>
      <w:r w:rsidRPr="00AF3214">
        <w:rPr>
          <w:rFonts w:ascii="Narkisim" w:hAnsi="Narkisim"/>
          <w:rtl/>
        </w:rPr>
        <w:t>. בזה הוה ממזר מדאורייתא דהוה אשת אח שלא במקום מצווה. ולא נתפרש כאן אי גזרו דצריכה גט משני, ואי כל הדרכים האלו בה. [וי"ל דכיון דבעלה ממ"נ אינו קיים ל"ש הנך דרכים]</w:t>
      </w:r>
      <w:r w:rsidRPr="00AF3214">
        <w:rPr>
          <w:rFonts w:ascii="Narkisim" w:hAnsi="Narkisim"/>
        </w:rPr>
        <w:t>.</w:t>
      </w:r>
    </w:p>
    <w:p w14:paraId="5D2B1127" w14:textId="77777777" w:rsidR="006C4368" w:rsidRPr="00AF3214" w:rsidRDefault="006C4368" w:rsidP="006C4368">
      <w:pPr>
        <w:pStyle w:val="aa"/>
        <w:bidi/>
        <w:rPr>
          <w:rFonts w:ascii="Narkisim" w:hAnsi="Narkisim"/>
        </w:rPr>
      </w:pPr>
      <w:r w:rsidRPr="00AF3214">
        <w:rPr>
          <w:rFonts w:ascii="Narkisim" w:hAnsi="Narkisim"/>
          <w:rtl/>
        </w:rPr>
        <w:t>וכן היכא דנתייבמה [ע"פ עד א' או ע"פ עדים] ואח"כ בא בעלה לא נתפרש [במשנה] האם גזרו כל הדרכים האלו בה. ובגמ' (לקמן צד:) מבואר דלר"ע אי"צ גט</w:t>
      </w:r>
      <w:r w:rsidRPr="00AF3214">
        <w:rPr>
          <w:rStyle w:val="ac"/>
          <w:rFonts w:ascii="Narkisim" w:hAnsi="Narkisim"/>
          <w:rtl/>
        </w:rPr>
        <w:footnoteReference w:id="5869"/>
      </w:r>
      <w:r w:rsidRPr="00AF3214">
        <w:rPr>
          <w:rFonts w:ascii="Narkisim" w:hAnsi="Narkisim"/>
        </w:rPr>
        <w:t xml:space="preserve"> </w:t>
      </w:r>
      <w:r w:rsidRPr="00AF3214">
        <w:rPr>
          <w:rFonts w:ascii="Narkisim" w:hAnsi="Narkisim"/>
          <w:rtl/>
        </w:rPr>
        <w:t>[באשת אחיו הנשואה], כיון דל"ש גזירת שמא יאמרו גירש זה ונשא זה. וה</w:t>
      </w:r>
      <w:r w:rsidRPr="00AF3214">
        <w:rPr>
          <w:rFonts w:ascii="Narkisim" w:hAnsi="Narkisim"/>
          <w:b/>
          <w:bCs/>
          <w:rtl/>
        </w:rPr>
        <w:t>ראשונים</w:t>
      </w:r>
      <w:r w:rsidRPr="00AF3214">
        <w:rPr>
          <w:rFonts w:ascii="Narkisim" w:hAnsi="Narkisim"/>
          <w:rtl/>
        </w:rPr>
        <w:t xml:space="preserve"> (לקמן צה:) דנו דנח' בזה התנאים. ועוד דנו האיך קי"ל (עי"ש)</w:t>
      </w:r>
      <w:r w:rsidRPr="00AF3214">
        <w:rPr>
          <w:rFonts w:ascii="Narkisim" w:hAnsi="Narkisim"/>
        </w:rPr>
        <w:t>.</w:t>
      </w:r>
    </w:p>
    <w:p w14:paraId="583DF602" w14:textId="77777777" w:rsidR="006C4368" w:rsidRPr="00AF3214" w:rsidRDefault="006C4368" w:rsidP="006C4368">
      <w:pPr>
        <w:bidi/>
        <w:rPr>
          <w:rFonts w:ascii="Narkisim" w:hAnsi="Narkisim" w:cs="Narkisim"/>
        </w:rPr>
      </w:pPr>
      <w:r w:rsidRPr="00AF3214">
        <w:rPr>
          <w:rFonts w:ascii="Narkisim" w:hAnsi="Narkisim" w:cs="Narkisim"/>
          <w:u w:val="single"/>
          <w:rtl/>
        </w:rPr>
        <w:t>אמרו לה מת בעליך וניסת, ואח"כ אמרו לה קיים היה ומת וכו' והאחרון אינו ממזר</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(בע"ב) וה</w:t>
      </w:r>
      <w:r w:rsidRPr="00AF3214">
        <w:rPr>
          <w:rFonts w:ascii="Narkisim" w:hAnsi="Narkisim" w:cs="Narkisim"/>
          <w:b/>
          <w:bCs/>
          <w:rtl/>
        </w:rPr>
        <w:t>תו"י</w:t>
      </w:r>
      <w:r w:rsidRPr="00AF3214">
        <w:rPr>
          <w:rFonts w:ascii="Narkisim" w:hAnsi="Narkisim" w:cs="Narkisim"/>
          <w:rtl/>
        </w:rPr>
        <w:t xml:space="preserve"> נקטו דכיון דנתברר שבעלה היה קיים כל הדרכים האלו בה, ותצא מהשני והולד ממנו ממזר מדרבנן. וכוונת המשנה דלא הוה ממזר מדאורייתא</w:t>
      </w:r>
      <w:r w:rsidRPr="00AF3214">
        <w:rPr>
          <w:rFonts w:ascii="Narkisim" w:hAnsi="Narkisim" w:cs="Narkisim"/>
        </w:rPr>
        <w:t>.</w:t>
      </w:r>
    </w:p>
    <w:p w14:paraId="5C1399B2"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(בע"ב, והרא"ש) העלו צד דבמשנה איירי דוקא בנשאת ע"פ עדים, ומש"ה לא הוה ממזר מדרבנן, וכר"ש (לעיל צא.)</w:t>
      </w:r>
      <w:r w:rsidRPr="00AF3214">
        <w:rPr>
          <w:rStyle w:val="ac"/>
          <w:rFonts w:ascii="Narkisim" w:hAnsi="Narkisim"/>
          <w:rtl/>
        </w:rPr>
        <w:footnoteReference w:id="5870"/>
      </w:r>
      <w:r w:rsidRPr="00AF3214">
        <w:rPr>
          <w:rFonts w:ascii="Narkisim" w:hAnsi="Narkisim"/>
        </w:rPr>
        <w:t xml:space="preserve">. </w:t>
      </w:r>
      <w:r w:rsidRPr="00AF3214">
        <w:rPr>
          <w:rFonts w:ascii="Narkisim" w:hAnsi="Narkisim"/>
          <w:rtl/>
        </w:rPr>
        <w:t>וה</w:t>
      </w:r>
      <w:r w:rsidRPr="00AF3214">
        <w:rPr>
          <w:rFonts w:ascii="Narkisim" w:hAnsi="Narkisim"/>
          <w:b/>
          <w:bCs/>
          <w:rtl/>
        </w:rPr>
        <w:t>רמב"ן</w:t>
      </w:r>
      <w:r w:rsidRPr="00AF3214">
        <w:rPr>
          <w:rFonts w:ascii="Narkisim" w:hAnsi="Narkisim"/>
          <w:rtl/>
        </w:rPr>
        <w:t xml:space="preserve"> דחה דכ"ז לצד (לקמן צג:) דהמשנה איירי בתרי ותרי,ואם כן תפשוט מינה דרב ששת. ותו בסיפא אי' דנתקדשה מותרת לחזור לו, ואי ע"פ עדים [וכרבנן] אפי' נשאת</w:t>
      </w:r>
      <w:r w:rsidRPr="00AF3214">
        <w:rPr>
          <w:rFonts w:ascii="Narkisim" w:hAnsi="Narkisim"/>
        </w:rPr>
        <w:t>.</w:t>
      </w:r>
    </w:p>
    <w:p w14:paraId="76FC1BE0" w14:textId="77777777" w:rsidR="006C4368" w:rsidRPr="00AF3214" w:rsidRDefault="006C4368" w:rsidP="006C4368">
      <w:pPr>
        <w:pStyle w:val="a7"/>
        <w:bidi/>
        <w:rPr>
          <w:rFonts w:ascii="Narkisim" w:hAnsi="Narkisim"/>
        </w:rPr>
      </w:pPr>
      <w:r w:rsidRPr="00AF3214">
        <w:rPr>
          <w:rFonts w:ascii="Narkisim" w:hAnsi="Narkisim"/>
          <w:rtl/>
        </w:rPr>
        <w:t>ודעת ה</w:t>
      </w:r>
      <w:r w:rsidRPr="00AF3214">
        <w:rPr>
          <w:rFonts w:ascii="Narkisim" w:hAnsi="Narkisim"/>
          <w:b/>
          <w:bCs/>
          <w:rtl/>
        </w:rPr>
        <w:t>רמב"ן</w:t>
      </w:r>
      <w:r w:rsidRPr="00AF3214">
        <w:rPr>
          <w:rFonts w:ascii="Narkisim" w:hAnsi="Narkisim"/>
          <w:rtl/>
        </w:rPr>
        <w:t xml:space="preserve"> (צא: ועוד ראשונים, הו' בסמוך) דהולד משני אינו ממזר [אפי' מדרבנן] לאחר מיתת הראשון. ורק בעודה תחת הראשון הוה ממזר משני</w:t>
      </w:r>
      <w:r w:rsidRPr="00AF3214">
        <w:rPr>
          <w:rFonts w:ascii="Narkisim" w:hAnsi="Narkisim"/>
        </w:rPr>
        <w:t>.</w:t>
      </w:r>
    </w:p>
    <w:p w14:paraId="40C654E4" w14:textId="77777777" w:rsidR="006C4368" w:rsidRPr="00AF3214" w:rsidRDefault="006C4368" w:rsidP="006C4368">
      <w:pPr>
        <w:bidi/>
        <w:rPr>
          <w:rFonts w:ascii="Narkisim" w:hAnsi="Narkisim" w:cs="Narkisim"/>
        </w:rPr>
      </w:pPr>
      <w:r w:rsidRPr="00AF3214">
        <w:rPr>
          <w:rFonts w:ascii="Narkisim" w:hAnsi="Narkisim" w:cs="Narkisim"/>
          <w:rtl/>
        </w:rPr>
        <w:t>אבל ה</w:t>
      </w:r>
      <w:r w:rsidRPr="00AF3214">
        <w:rPr>
          <w:rFonts w:ascii="Narkisim" w:hAnsi="Narkisim" w:cs="Narkisim"/>
          <w:b/>
          <w:bCs/>
          <w:rtl/>
        </w:rPr>
        <w:t>רא"ש</w:t>
      </w:r>
      <w:r w:rsidRPr="00AF3214">
        <w:rPr>
          <w:rFonts w:ascii="Narkisim" w:hAnsi="Narkisim" w:cs="Narkisim"/>
          <w:rtl/>
        </w:rPr>
        <w:t xml:space="preserve"> (ג) הביא </w:t>
      </w:r>
      <w:r w:rsidRPr="00AF3214">
        <w:rPr>
          <w:rFonts w:ascii="Narkisim" w:hAnsi="Narkisim" w:cs="Narkisim"/>
          <w:b/>
          <w:bCs/>
          <w:rtl/>
        </w:rPr>
        <w:t>י"א</w:t>
      </w:r>
      <w:r w:rsidRPr="00AF3214">
        <w:rPr>
          <w:rFonts w:ascii="Narkisim" w:hAnsi="Narkisim" w:cs="Narkisim"/>
          <w:rtl/>
        </w:rPr>
        <w:t xml:space="preserve"> דדוקא היכא שבא הבעל קנסוה חכמים, דכיון דקנסו מראשון קנסו אף שהולד משני ממזר אף לאחר גירושין ומיתת הראשון. אבל הכא שהבעל מת במדיה"י ולא בא לפנינו, כיון דל"ש קנס לגבי בעל, לא קנסו משני</w:t>
      </w:r>
      <w:r w:rsidRPr="00AF3214">
        <w:rPr>
          <w:rStyle w:val="ac"/>
          <w:rFonts w:ascii="Narkisim" w:hAnsi="Narkisim" w:cs="Narkisim"/>
          <w:rtl/>
        </w:rPr>
        <w:footnoteReference w:id="5871"/>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רא"ש</w:t>
      </w:r>
      <w:r w:rsidRPr="00AF3214">
        <w:rPr>
          <w:rFonts w:ascii="Narkisim" w:hAnsi="Narkisim" w:cs="Narkisim"/>
          <w:rtl/>
        </w:rPr>
        <w:t xml:space="preserve"> דחה דעיקר קנסא הוה לשני שנישאת לו באיסור</w:t>
      </w:r>
      <w:r w:rsidRPr="00AF3214">
        <w:rPr>
          <w:rStyle w:val="ac"/>
          <w:rFonts w:ascii="Narkisim" w:hAnsi="Narkisim" w:cs="Narkisim"/>
          <w:rtl/>
        </w:rPr>
        <w:footnoteReference w:id="5872"/>
      </w:r>
      <w:r w:rsidRPr="00AF3214">
        <w:rPr>
          <w:rFonts w:ascii="Narkisim" w:hAnsi="Narkisim" w:cs="Narkisim"/>
        </w:rPr>
        <w:t xml:space="preserve">, </w:t>
      </w:r>
      <w:r w:rsidRPr="00AF3214">
        <w:rPr>
          <w:rFonts w:ascii="Narkisim" w:hAnsi="Narkisim" w:cs="Narkisim"/>
          <w:rtl/>
        </w:rPr>
        <w:t>ואגב השני קנסוה נמי לגבי ראשון</w:t>
      </w:r>
      <w:r w:rsidRPr="00AF3214">
        <w:rPr>
          <w:rFonts w:ascii="Narkisim" w:hAnsi="Narkisim" w:cs="Narkisim"/>
        </w:rPr>
        <w:t>.</w:t>
      </w:r>
    </w:p>
    <w:p w14:paraId="13B373B1" w14:textId="77777777" w:rsidR="006C4368" w:rsidRPr="00AF3214" w:rsidRDefault="006C4368" w:rsidP="006C4368">
      <w:pPr>
        <w:pStyle w:val="aa"/>
        <w:bidi/>
        <w:rPr>
          <w:rFonts w:ascii="Narkisim" w:hAnsi="Narkisim"/>
        </w:rPr>
      </w:pPr>
      <w:r w:rsidRPr="00AF3214">
        <w:rPr>
          <w:rFonts w:ascii="Narkisim" w:hAnsi="Narkisim"/>
          <w:u w:val="single"/>
          <w:rtl/>
        </w:rPr>
        <w:t>ונתקדשה ואח"כ בא בעלה וכו'</w:t>
      </w:r>
      <w:r w:rsidRPr="00AF3214">
        <w:rPr>
          <w:rFonts w:ascii="Narkisim" w:hAnsi="Narkisim"/>
          <w:rtl/>
        </w:rPr>
        <w:t>. הגמ' (לעיל פט:) מק' אמאי לא חיישינן שיאמרו גירש זה וקידש זה. והגמ' (צ.) תי' דאמרי קידושי טעות הוה (עי"ש). ומסקנת הגמ' דכיון דלא עבדא איסורא לא קנסו רבנן</w:t>
      </w:r>
      <w:r w:rsidRPr="00AF3214">
        <w:rPr>
          <w:rFonts w:ascii="Narkisim" w:hAnsi="Narkisim"/>
        </w:rPr>
        <w:t>.</w:t>
      </w:r>
    </w:p>
    <w:p w14:paraId="6669FE01"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תוד"ה ואמרו</w:t>
      </w:r>
      <w:r w:rsidRPr="00AF3214">
        <w:rPr>
          <w:rFonts w:ascii="Narkisim" w:hAnsi="Narkisim" w:cs="Narkisim"/>
          <w:rtl/>
        </w:rPr>
        <w:t>. ומיבם לא הוי ממזר מדאורייתא אפי' לר"ע וכו' דאפי' אשת איש לא מיתסרא מדאורייתא ע"י טעות וכו'. משמע דהיכא דאסורה ליבם [וכגון זינתה במזיד, דאסורה כסוטה] הוה ממזר. ו</w:t>
      </w:r>
      <w:r w:rsidRPr="00AF3214">
        <w:rPr>
          <w:rFonts w:ascii="Narkisim" w:hAnsi="Narkisim" w:cs="Narkisim"/>
          <w:b/>
          <w:bCs/>
          <w:rtl/>
        </w:rPr>
        <w:t>רע"א</w:t>
      </w:r>
      <w:r w:rsidRPr="00AF3214">
        <w:rPr>
          <w:rFonts w:ascii="Narkisim" w:hAnsi="Narkisim" w:cs="Narkisim"/>
          <w:rtl/>
        </w:rPr>
        <w:t xml:space="preserve"> תמה דאף כשזינתה במזיד הוה רק איסור סוטה, ואי' (לעיל מט:) דהכל מודים בבא על הנדה ועל הסוטה שאין הולד ממזר</w:t>
      </w:r>
      <w:r w:rsidRPr="00AF3214">
        <w:rPr>
          <w:rFonts w:ascii="Narkisim" w:hAnsi="Narkisim" w:cs="Narkisim"/>
        </w:rPr>
        <w:t>.</w:t>
      </w:r>
    </w:p>
    <w:p w14:paraId="0B4248C1"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הביא בשם </w:t>
      </w:r>
      <w:r w:rsidRPr="00AF3214">
        <w:rPr>
          <w:rFonts w:ascii="Narkisim" w:hAnsi="Narkisim"/>
          <w:b/>
          <w:bCs/>
          <w:rtl/>
        </w:rPr>
        <w:t>חכם</w:t>
      </w:r>
      <w:r w:rsidRPr="00AF3214">
        <w:rPr>
          <w:rFonts w:ascii="Narkisim" w:hAnsi="Narkisim"/>
          <w:rtl/>
        </w:rPr>
        <w:t xml:space="preserve"> </w:t>
      </w:r>
      <w:r w:rsidRPr="00AF3214">
        <w:rPr>
          <w:rFonts w:ascii="Narkisim" w:hAnsi="Narkisim"/>
          <w:b/>
          <w:bCs/>
          <w:rtl/>
        </w:rPr>
        <w:t>א'</w:t>
      </w:r>
      <w:r w:rsidRPr="00AF3214">
        <w:rPr>
          <w:rFonts w:ascii="Narkisim" w:hAnsi="Narkisim"/>
          <w:rtl/>
        </w:rPr>
        <w:t xml:space="preserve"> דהיכא דהוה סוטה דאורייתא פקע מצות יבום, דטומאה כתיב בה כעריות (וכדלעיל יא.). וכיון שנעשית ערוה, וממילא הוי ממזר משום אשת אחיו</w:t>
      </w:r>
      <w:r w:rsidRPr="00AF3214">
        <w:rPr>
          <w:rStyle w:val="ac"/>
          <w:rFonts w:ascii="Narkisim" w:hAnsi="Narkisim"/>
          <w:rtl/>
        </w:rPr>
        <w:footnoteReference w:id="5873"/>
      </w:r>
      <w:r w:rsidRPr="00AF3214">
        <w:rPr>
          <w:rFonts w:ascii="Narkisim" w:hAnsi="Narkisim"/>
        </w:rPr>
        <w:t xml:space="preserve">. </w:t>
      </w:r>
      <w:r w:rsidRPr="00AF3214">
        <w:rPr>
          <w:rFonts w:ascii="Narkisim" w:hAnsi="Narkisim"/>
          <w:rtl/>
        </w:rPr>
        <w:t>ודפח"ח</w:t>
      </w:r>
      <w:r w:rsidRPr="00AF3214">
        <w:rPr>
          <w:rFonts w:ascii="Narkisim" w:hAnsi="Narkisim"/>
        </w:rPr>
        <w:t>.</w:t>
      </w:r>
    </w:p>
    <w:p w14:paraId="08EDC62B"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אחיעזר</w:t>
      </w:r>
      <w:r w:rsidRPr="00AF3214">
        <w:rPr>
          <w:rFonts w:ascii="Narkisim" w:hAnsi="Narkisim"/>
          <w:rtl/>
        </w:rPr>
        <w:t xml:space="preserve"> (א א י) הביא דפשיט"ל לרע"א דלמ"ד דאסורה על היבם, א"כ פקע הזיקה כדין סוטה</w:t>
      </w:r>
      <w:r w:rsidRPr="00AF3214">
        <w:rPr>
          <w:rStyle w:val="ac"/>
          <w:rFonts w:ascii="Narkisim" w:hAnsi="Narkisim"/>
          <w:rtl/>
        </w:rPr>
        <w:footnoteReference w:id="5874"/>
      </w:r>
      <w:r w:rsidRPr="00AF3214">
        <w:rPr>
          <w:rFonts w:ascii="Narkisim" w:hAnsi="Narkisim"/>
        </w:rPr>
        <w:t xml:space="preserve">. </w:t>
      </w:r>
      <w:r w:rsidRPr="00AF3214">
        <w:rPr>
          <w:rFonts w:ascii="Narkisim" w:hAnsi="Narkisim"/>
          <w:rtl/>
        </w:rPr>
        <w:t>והק' דא"כ תהא מותרת לשוק בלא חליצה. והק' דבמשנה אי' דהולד שני הוה ממזר [וקשה להך ס"ד דתוס' דאסורה מדאורייתא]</w:t>
      </w:r>
      <w:r w:rsidRPr="00AF3214">
        <w:rPr>
          <w:rFonts w:ascii="Narkisim" w:hAnsi="Narkisim"/>
        </w:rPr>
        <w:t>.</w:t>
      </w:r>
    </w:p>
    <w:p w14:paraId="24D81FFD"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אחיעזר</w:t>
      </w:r>
      <w:r w:rsidRPr="00AF3214">
        <w:rPr>
          <w:rFonts w:ascii="Narkisim" w:hAnsi="Narkisim"/>
          <w:rtl/>
        </w:rPr>
        <w:t xml:space="preserve"> הק' דאי בכ"מ דלר"ע הולד ממזר מיבמה לשוק, והא [היכא דהוה במזיד] משעת העראה נעשית סוטה ופקע זיקה. ובשעת גמר ביאה כבר אינה יבמה</w:t>
      </w:r>
      <w:r w:rsidRPr="00AF3214">
        <w:rPr>
          <w:rStyle w:val="ac"/>
          <w:rFonts w:ascii="Narkisim" w:hAnsi="Narkisim"/>
          <w:rtl/>
        </w:rPr>
        <w:footnoteReference w:id="5875"/>
      </w:r>
      <w:r w:rsidRPr="00AF3214">
        <w:rPr>
          <w:rFonts w:ascii="Narkisim" w:hAnsi="Narkisim"/>
        </w:rPr>
        <w:t xml:space="preserve">. </w:t>
      </w:r>
      <w:r w:rsidRPr="00AF3214">
        <w:rPr>
          <w:rFonts w:ascii="Narkisim" w:hAnsi="Narkisim"/>
          <w:rtl/>
        </w:rPr>
        <w:t>וכת' דמ"מ אסורה עליו מדין סוטה לבועל, וי"ל דמש"ה הולד ממזר. [ותלה בתי' התוס' לעיל מט: ד"ה סוטה]</w:t>
      </w:r>
      <w:r w:rsidRPr="00AF3214">
        <w:rPr>
          <w:rFonts w:ascii="Narkisim" w:hAnsi="Narkisim"/>
        </w:rPr>
        <w:t>.</w:t>
      </w:r>
    </w:p>
    <w:p w14:paraId="124FE183"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(קל ד) כת' [דכוונת רע"א] דאסורה ליבם, אך מ"מ צריכה חליצה כיון דכבר הוזקקה</w:t>
      </w:r>
      <w:r w:rsidRPr="00AF3214">
        <w:rPr>
          <w:rStyle w:val="ac"/>
          <w:rFonts w:ascii="Narkisim" w:hAnsi="Narkisim"/>
          <w:rtl/>
        </w:rPr>
        <w:footnoteReference w:id="5876"/>
      </w:r>
      <w:r w:rsidRPr="00AF3214">
        <w:rPr>
          <w:rFonts w:ascii="Narkisim" w:hAnsi="Narkisim"/>
        </w:rPr>
        <w:t xml:space="preserve">. </w:t>
      </w:r>
      <w:r w:rsidRPr="00AF3214">
        <w:rPr>
          <w:rFonts w:ascii="Narkisim" w:hAnsi="Narkisim"/>
          <w:rtl/>
        </w:rPr>
        <w:t>וכמו שסוטה אינה יוצאת מבעלה בלא גט (וציין לגמ' סוטה ה:</w:t>
      </w:r>
      <w:r w:rsidRPr="00AF3214">
        <w:rPr>
          <w:rStyle w:val="ac"/>
          <w:rFonts w:ascii="Narkisim" w:hAnsi="Narkisim"/>
          <w:rtl/>
        </w:rPr>
        <w:footnoteReference w:id="5877"/>
      </w:r>
      <w:r w:rsidRPr="00AF3214">
        <w:rPr>
          <w:rFonts w:ascii="Narkisim" w:hAnsi="Narkisim"/>
          <w:rtl/>
        </w:rPr>
        <w:t>). ומש"ה יבמה שזינתה יש עדיין איסור יבמה לשוק</w:t>
      </w:r>
      <w:r w:rsidRPr="00AF3214">
        <w:rPr>
          <w:rFonts w:ascii="Narkisim" w:hAnsi="Narkisim"/>
        </w:rPr>
        <w:t>.</w:t>
      </w:r>
    </w:p>
    <w:p w14:paraId="1D8B25B3" w14:textId="77777777" w:rsidR="006C4368" w:rsidRPr="00AF3214" w:rsidRDefault="006C4368" w:rsidP="006C4368">
      <w:pPr>
        <w:pStyle w:val="aa"/>
        <w:bidi/>
        <w:rPr>
          <w:rFonts w:ascii="Narkisim" w:hAnsi="Narkisim"/>
        </w:rPr>
      </w:pPr>
      <w:r w:rsidRPr="00AF3214">
        <w:rPr>
          <w:rFonts w:ascii="Narkisim" w:hAnsi="Narkisim"/>
          <w:u w:val="single"/>
          <w:rtl/>
        </w:rPr>
        <w:t>בא"ד ואפי' מדרבנן לא מיתסרא איבם הכא למאי דמוקי לה בתרי ותרי וכו'</w:t>
      </w:r>
      <w:r w:rsidRPr="00AF3214">
        <w:rPr>
          <w:rFonts w:ascii="Narkisim" w:hAnsi="Narkisim"/>
          <w:rtl/>
        </w:rPr>
        <w:t xml:space="preserve">. וכר' שמעון (במשנה לעיל פז: ובסוגיא צא) דנשאת ע"פ עדים מותרת לחזור. [או כמ"ד דאף רבנן מודו דאמרי' מאי הו"ל למיעבד]. ויש </w:t>
      </w:r>
      <w:r w:rsidRPr="00AF3214">
        <w:rPr>
          <w:rFonts w:ascii="Narkisim" w:hAnsi="Narkisim"/>
          <w:b/>
          <w:bCs/>
          <w:rtl/>
        </w:rPr>
        <w:t>ראשונים</w:t>
      </w:r>
      <w:r w:rsidRPr="00AF3214">
        <w:rPr>
          <w:rFonts w:ascii="Narkisim" w:hAnsi="Narkisim"/>
          <w:rtl/>
        </w:rPr>
        <w:t xml:space="preserve"> (ע' לקמן צה:) דדנו דהיכא דאתינן עלה משום 'מיחלפה' (ע' תוס' בע"ב) לא החמירו היכא דנשאת ע"פ עדים</w:t>
      </w:r>
      <w:r w:rsidRPr="00AF3214">
        <w:rPr>
          <w:rFonts w:ascii="Narkisim" w:hAnsi="Narkisim"/>
        </w:rPr>
        <w:t>.</w:t>
      </w:r>
    </w:p>
    <w:p w14:paraId="7E3205F6" w14:textId="77777777" w:rsidR="006C4368" w:rsidRPr="00AF3214" w:rsidRDefault="006C4368" w:rsidP="006C4368">
      <w:pPr>
        <w:pStyle w:val="aa"/>
        <w:bidi/>
        <w:rPr>
          <w:rFonts w:ascii="Narkisim" w:hAnsi="Narkisim"/>
        </w:rPr>
      </w:pPr>
      <w:r w:rsidRPr="00AF3214">
        <w:rPr>
          <w:rFonts w:ascii="Narkisim" w:hAnsi="Narkisim"/>
          <w:u w:val="single"/>
          <w:rtl/>
        </w:rPr>
        <w:t>בא"ד וגט נמי לא בעי' מאותו מן השוק, אם מתחילה נשאת בב' עדים וכו'</w:t>
      </w:r>
      <w:r w:rsidRPr="00AF3214">
        <w:rPr>
          <w:rFonts w:ascii="Narkisim" w:hAnsi="Narkisim"/>
          <w:rtl/>
        </w:rPr>
        <w:t>. למ"ד (בע"ב) דאין קידושין תופסים ביבמה. ותוס' קאי אליבא דר"ע דאין קידושין תופסין בכל חייבי לאוין. [אך עיקר כוונת התוס' דלא תקנו בזה גט כיון דבא בעלה]</w:t>
      </w:r>
      <w:r w:rsidRPr="00AF3214">
        <w:rPr>
          <w:rFonts w:ascii="Narkisim" w:hAnsi="Narkisim"/>
        </w:rPr>
        <w:t>.</w:t>
      </w:r>
    </w:p>
    <w:p w14:paraId="601BA893" w14:textId="77777777" w:rsidR="006C4368" w:rsidRPr="00AF3214" w:rsidRDefault="006C4368" w:rsidP="006C4368">
      <w:pPr>
        <w:bidi/>
        <w:rPr>
          <w:rFonts w:ascii="Narkisim" w:hAnsi="Narkisim" w:cs="Narkisim"/>
        </w:rPr>
      </w:pPr>
      <w:r w:rsidRPr="00AF3214">
        <w:rPr>
          <w:rFonts w:ascii="Narkisim" w:hAnsi="Narkisim" w:cs="Narkisim"/>
          <w:u w:val="single"/>
          <w:rtl/>
        </w:rPr>
        <w:t>ת"ר זו דברי ר"ע וכו'</w:t>
      </w:r>
      <w:r w:rsidRPr="00AF3214">
        <w:rPr>
          <w:rFonts w:ascii="Narkisim" w:hAnsi="Narkisim" w:cs="Narkisim"/>
          <w:rtl/>
        </w:rPr>
        <w:t>. והגמ' פי' דחכמים דפליגי הוה מ"ד דלר"ע מחייבי לאוין דשאר הוי ממזר, ואילו יבמה לשוק הוה חייבי לאוין גרידא</w:t>
      </w:r>
      <w:r w:rsidRPr="00AF3214">
        <w:rPr>
          <w:rFonts w:ascii="Narkisim" w:hAnsi="Narkisim" w:cs="Narkisim"/>
        </w:rPr>
        <w:t>.</w:t>
      </w:r>
    </w:p>
    <w:p w14:paraId="201EF322" w14:textId="77777777" w:rsidR="006C4368" w:rsidRPr="00AF3214" w:rsidRDefault="006C4368" w:rsidP="006C4368">
      <w:pPr>
        <w:pStyle w:val="a7"/>
        <w:bidi/>
        <w:rPr>
          <w:rFonts w:ascii="Narkisim" w:hAnsi="Narkisim"/>
        </w:rPr>
      </w:pPr>
      <w:r w:rsidRPr="00AF3214">
        <w:rPr>
          <w:rFonts w:ascii="Narkisim" w:hAnsi="Narkisim"/>
          <w:rtl/>
        </w:rPr>
        <w:t>ומבואר דהמשנה כמ"ד דאף חייבי לאוין גרידא הוה ממזר</w:t>
      </w:r>
      <w:r w:rsidRPr="00AF3214">
        <w:rPr>
          <w:rStyle w:val="ac"/>
          <w:rFonts w:ascii="Narkisim" w:hAnsi="Narkisim"/>
          <w:rtl/>
        </w:rPr>
        <w:footnoteReference w:id="5878"/>
      </w:r>
      <w:r w:rsidRPr="00AF3214">
        <w:rPr>
          <w:rFonts w:ascii="Narkisim" w:hAnsi="Narkisim"/>
        </w:rPr>
        <w:t xml:space="preserve">. </w:t>
      </w:r>
      <w:r w:rsidRPr="00AF3214">
        <w:rPr>
          <w:rFonts w:ascii="Narkisim" w:hAnsi="Narkisim"/>
          <w:szCs w:val="20"/>
          <w:rtl/>
        </w:rPr>
        <w:t>[וסתם משנה דהכא</w:t>
      </w:r>
      <w:r w:rsidRPr="00AF3214">
        <w:rPr>
          <w:rStyle w:val="ac"/>
          <w:rFonts w:ascii="Narkisim" w:hAnsi="Narkisim"/>
          <w:szCs w:val="20"/>
          <w:rtl/>
        </w:rPr>
        <w:footnoteReference w:id="5879"/>
      </w:r>
      <w:r w:rsidRPr="00AF3214">
        <w:rPr>
          <w:rFonts w:ascii="Narkisim" w:hAnsi="Narkisim"/>
          <w:szCs w:val="20"/>
        </w:rPr>
        <w:t xml:space="preserve"> </w:t>
      </w:r>
      <w:r w:rsidRPr="00AF3214">
        <w:rPr>
          <w:rFonts w:ascii="Narkisim" w:hAnsi="Narkisim"/>
          <w:szCs w:val="20"/>
          <w:rtl/>
        </w:rPr>
        <w:t>דלא כסתם משנה (לעיל מט.) אליבא דר"ע]</w:t>
      </w:r>
      <w:r w:rsidRPr="00AF3214">
        <w:rPr>
          <w:rFonts w:ascii="Narkisim" w:hAnsi="Narkisim"/>
        </w:rPr>
        <w:t>.</w:t>
      </w:r>
    </w:p>
    <w:p w14:paraId="5E62301F"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ר"ת</w:t>
      </w:r>
      <w:r w:rsidRPr="00AF3214">
        <w:rPr>
          <w:rFonts w:ascii="Narkisim" w:hAnsi="Narkisim"/>
          <w:rtl/>
        </w:rPr>
        <w:t xml:space="preserve"> (בתוס' מט.) כת' דהברייתא (שם) דאמר הכל מודים ביבמה לשוק דלא הוה ממזר, היינו למ"ד דלר"ע קאי דוקא בחייבי לאוין שאר</w:t>
      </w:r>
      <w:r w:rsidRPr="00AF3214">
        <w:rPr>
          <w:rStyle w:val="ac"/>
          <w:rFonts w:ascii="Narkisim" w:hAnsi="Narkisim"/>
          <w:rtl/>
        </w:rPr>
        <w:footnoteReference w:id="5880"/>
      </w:r>
      <w:r w:rsidRPr="00AF3214">
        <w:rPr>
          <w:rFonts w:ascii="Narkisim" w:hAnsi="Narkisim"/>
        </w:rPr>
        <w:t>.</w:t>
      </w:r>
    </w:p>
    <w:p w14:paraId="77DD0E1E" w14:textId="77777777" w:rsidR="006C4368" w:rsidRPr="00AF3214" w:rsidRDefault="006C4368" w:rsidP="006C4368">
      <w:pPr>
        <w:pStyle w:val="a8"/>
        <w:bidi/>
        <w:rPr>
          <w:rFonts w:ascii="Narkisim" w:hAnsi="Narkisim"/>
        </w:rPr>
      </w:pPr>
      <w:r w:rsidRPr="00AF3214">
        <w:rPr>
          <w:rFonts w:ascii="Narkisim" w:hAnsi="Narkisim"/>
          <w:rtl/>
        </w:rPr>
        <w:lastRenderedPageBreak/>
        <w:t>ו</w:t>
      </w:r>
      <w:r w:rsidRPr="00AF3214">
        <w:rPr>
          <w:rFonts w:ascii="Narkisim" w:hAnsi="Narkisim"/>
          <w:b/>
          <w:bCs/>
          <w:rtl/>
        </w:rPr>
        <w:t>תוס</w:t>
      </w:r>
      <w:r w:rsidRPr="00AF3214">
        <w:rPr>
          <w:rFonts w:ascii="Narkisim" w:hAnsi="Narkisim"/>
          <w:rtl/>
        </w:rPr>
        <w:t>' (בע"ב שם) הק' דיבמה לשוק לא הוה חיי"ל דשאר, ואמאי איצטריך להזכיר דלא הוה ממזר. ותי' דלמ"ד דלא תפסי קידושין ביבמה איצטריך, דס"ד דכיון דלא תפסי קידושין הוה ממזר [ועי"ש המסקנא]. וכת' דלמ"ד דתפסי קידושין, זהו חידוש הברייתא דתפסי קידושין</w:t>
      </w:r>
      <w:r w:rsidRPr="00AF3214">
        <w:rPr>
          <w:rFonts w:ascii="Narkisim" w:hAnsi="Narkisim"/>
        </w:rPr>
        <w:t>.</w:t>
      </w:r>
    </w:p>
    <w:p w14:paraId="76739493" w14:textId="77777777" w:rsidR="006C4368" w:rsidRPr="00AF3214" w:rsidRDefault="006C4368" w:rsidP="006C4368">
      <w:pPr>
        <w:pStyle w:val="aa"/>
        <w:bidi/>
        <w:rPr>
          <w:rFonts w:ascii="Narkisim" w:hAnsi="Narkisim"/>
        </w:rPr>
      </w:pPr>
      <w:r w:rsidRPr="00AF3214">
        <w:rPr>
          <w:rFonts w:ascii="Narkisim" w:hAnsi="Narkisim"/>
          <w:u w:val="single"/>
          <w:rtl/>
        </w:rPr>
        <w:t>אבל חכמים אומרים אין ממזר מיבמה וכו'</w:t>
      </w:r>
      <w:r w:rsidRPr="00AF3214">
        <w:rPr>
          <w:rFonts w:ascii="Narkisim" w:hAnsi="Narkisim"/>
          <w:rtl/>
        </w:rPr>
        <w:t xml:space="preserve">. </w:t>
      </w:r>
      <w:r w:rsidRPr="00AF3214">
        <w:rPr>
          <w:rFonts w:ascii="Narkisim" w:hAnsi="Narkisim"/>
          <w:b/>
          <w:bCs/>
          <w:rtl/>
        </w:rPr>
        <w:t>תוס'</w:t>
      </w:r>
      <w:r w:rsidRPr="00AF3214">
        <w:rPr>
          <w:rFonts w:ascii="Narkisim" w:hAnsi="Narkisim"/>
          <w:rtl/>
        </w:rPr>
        <w:t xml:space="preserve"> פי' דלא הוה ממזר מדאורייתא. אבל מדרבנן כו"ע ס"ל דגזרו דתצא מזה ומזה, וכל הדרכים האלו בה. והוה ממזר מדרבנן. אבל ה</w:t>
      </w:r>
      <w:r w:rsidRPr="00AF3214">
        <w:rPr>
          <w:rFonts w:ascii="Narkisim" w:hAnsi="Narkisim"/>
          <w:b/>
          <w:bCs/>
          <w:rtl/>
        </w:rPr>
        <w:t>רמב"ן</w:t>
      </w:r>
      <w:r w:rsidRPr="00AF3214">
        <w:rPr>
          <w:rFonts w:ascii="Narkisim" w:hAnsi="Narkisim"/>
          <w:rtl/>
        </w:rPr>
        <w:t xml:space="preserve"> (הו' בסמוך) נקט דל"ה ממזר אף מדרבנן. [וכ"כ תוס' בדעת הירושלמי]. [והו' מח' זו בשו"ע קנט ב, וע"ע גר"א שם יד]</w:t>
      </w:r>
      <w:r w:rsidRPr="00AF3214">
        <w:rPr>
          <w:rFonts w:ascii="Narkisim" w:hAnsi="Narkisim"/>
        </w:rPr>
        <w:t>.</w:t>
      </w:r>
    </w:p>
    <w:p w14:paraId="4B17B906" w14:textId="77777777" w:rsidR="006C4368" w:rsidRPr="00AF3214" w:rsidRDefault="006C4368" w:rsidP="006C4368">
      <w:pPr>
        <w:pStyle w:val="aa"/>
        <w:bidi/>
        <w:rPr>
          <w:rFonts w:ascii="Narkisim" w:hAnsi="Narkisim"/>
        </w:rPr>
      </w:pPr>
      <w:r w:rsidRPr="00AF3214">
        <w:rPr>
          <w:rFonts w:ascii="Narkisim" w:hAnsi="Narkisim"/>
          <w:u w:val="single"/>
          <w:rtl/>
        </w:rPr>
        <w:t>שם. אבל חכ"א אין ממזר מיבמה</w:t>
      </w:r>
      <w:r w:rsidRPr="00AF3214">
        <w:rPr>
          <w:rFonts w:ascii="Narkisim" w:hAnsi="Narkisim"/>
          <w:rtl/>
        </w:rPr>
        <w:t xml:space="preserve">. משמע מדברי </w:t>
      </w:r>
      <w:r w:rsidRPr="00AF3214">
        <w:rPr>
          <w:rFonts w:ascii="Narkisim" w:hAnsi="Narkisim"/>
          <w:b/>
          <w:bCs/>
          <w:rtl/>
        </w:rPr>
        <w:t>רש"י</w:t>
      </w:r>
      <w:r w:rsidRPr="00AF3214">
        <w:rPr>
          <w:rFonts w:ascii="Narkisim" w:hAnsi="Narkisim"/>
          <w:rtl/>
        </w:rPr>
        <w:t xml:space="preserve"> (לעיל מט: ד"ה אי כרב) דלדעת רב שאין קידושין תופסין ביבמה [דדרשי' לא תהיה בת הויה לזר] הולד ממזר</w:t>
      </w:r>
      <w:r w:rsidRPr="00AF3214">
        <w:rPr>
          <w:rStyle w:val="ac"/>
          <w:rFonts w:ascii="Narkisim" w:hAnsi="Narkisim"/>
          <w:rtl/>
        </w:rPr>
        <w:footnoteReference w:id="5881"/>
      </w:r>
      <w:r w:rsidRPr="00AF3214">
        <w:rPr>
          <w:rFonts w:ascii="Narkisim" w:hAnsi="Narkisim"/>
        </w:rPr>
        <w:t xml:space="preserve">. </w:t>
      </w:r>
      <w:r w:rsidRPr="00AF3214">
        <w:rPr>
          <w:rFonts w:ascii="Narkisim" w:hAnsi="Narkisim"/>
          <w:rtl/>
        </w:rPr>
        <w:t>[אך יש לדחות דקאי אליבא דר"ע דהוה ממזר מחייבי לאוין, דלרב ליכא גילוי דלא הוה ממזר]</w:t>
      </w:r>
      <w:r w:rsidRPr="00AF3214">
        <w:rPr>
          <w:rFonts w:ascii="Narkisim" w:hAnsi="Narkisim"/>
        </w:rPr>
        <w:t>.</w:t>
      </w:r>
    </w:p>
    <w:p w14:paraId="6821EB20" w14:textId="77777777" w:rsidR="006C4368" w:rsidRPr="00AF3214" w:rsidRDefault="006C4368" w:rsidP="006C4368">
      <w:pPr>
        <w:bidi/>
        <w:rPr>
          <w:rFonts w:ascii="Narkisim" w:hAnsi="Narkisim" w:cs="Narkisim"/>
        </w:rPr>
      </w:pPr>
      <w:r w:rsidRPr="00AF3214">
        <w:rPr>
          <w:rFonts w:ascii="Narkisim" w:hAnsi="Narkisim" w:cs="Narkisim"/>
          <w:u w:val="single"/>
          <w:rtl/>
        </w:rPr>
        <w:t>תוד"ה אבל</w:t>
      </w:r>
      <w:r w:rsidRPr="00AF3214">
        <w:rPr>
          <w:rFonts w:ascii="Narkisim" w:hAnsi="Narkisim" w:cs="Narkisim"/>
          <w:rtl/>
        </w:rPr>
        <w:t>. וא"ת הא משמע בגיטין דאפי' לרבנן הוה ממזר מיבמה לשוק וכו' (בע"ב) ואור"י דהתם הוי ממזר דרבנן משום דמיחלפא</w:t>
      </w:r>
      <w:r w:rsidRPr="00AF3214">
        <w:rPr>
          <w:rStyle w:val="ac"/>
          <w:rFonts w:ascii="Narkisim" w:hAnsi="Narkisim" w:cs="Narkisim"/>
          <w:rtl/>
        </w:rPr>
        <w:footnoteReference w:id="5882"/>
      </w:r>
      <w:r w:rsidRPr="00AF3214">
        <w:rPr>
          <w:rFonts w:ascii="Narkisim" w:hAnsi="Narkisim" w:cs="Narkisim"/>
        </w:rPr>
        <w:t xml:space="preserve"> </w:t>
      </w:r>
      <w:r w:rsidRPr="00AF3214">
        <w:rPr>
          <w:rFonts w:ascii="Narkisim" w:hAnsi="Narkisim" w:cs="Narkisim"/>
          <w:rtl/>
        </w:rPr>
        <w:t>וכו', אבל מתני' משמע דהוה ממזר מדאורייתא וכו'. ואף בסוגיין הוה ממזר דרבנן</w:t>
      </w:r>
      <w:r w:rsidRPr="00AF3214">
        <w:rPr>
          <w:rFonts w:ascii="Narkisim" w:hAnsi="Narkisim" w:cs="Narkisim"/>
        </w:rPr>
        <w:t>.</w:t>
      </w:r>
    </w:p>
    <w:p w14:paraId="7846238E" w14:textId="77777777" w:rsidR="006C4368" w:rsidRPr="00AF3214" w:rsidRDefault="006C4368" w:rsidP="006C4368">
      <w:pPr>
        <w:pStyle w:val="a8"/>
        <w:bidi/>
        <w:rPr>
          <w:rFonts w:ascii="Narkisim" w:hAnsi="Narkisim"/>
        </w:rPr>
      </w:pPr>
      <w:r w:rsidRPr="00AF3214">
        <w:rPr>
          <w:rFonts w:ascii="Narkisim" w:hAnsi="Narkisim"/>
        </w:rPr>
        <w:t>[</w:t>
      </w:r>
      <w:r w:rsidRPr="00AF3214">
        <w:rPr>
          <w:rFonts w:ascii="Narkisim" w:hAnsi="Narkisim"/>
          <w:rtl/>
        </w:rPr>
        <w:t>ויל"ד האם כל יבמה לשוק הוה ממזר מדרבנן. אך בפשוטו משמע דדוקא בשמועת טעות, דמיחלפא באשה שהלך בעלה. וכ"כ תוס' בסמוך דדוקא נשאת בטעות, אבל בהוראת בי"ד ואין עומדת לצאת לא גזרו</w:t>
      </w:r>
      <w:r w:rsidRPr="00AF3214">
        <w:rPr>
          <w:rFonts w:ascii="Narkisim" w:hAnsi="Narkisim"/>
        </w:rPr>
        <w:t>].</w:t>
      </w:r>
    </w:p>
    <w:p w14:paraId="35CF053C"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(לעיל צא:) הק' דהמשנה קרי לממזר מדבריהם 'ממזר', והיכי קתני השתא אינו ממזר</w:t>
      </w:r>
      <w:r w:rsidRPr="00AF3214">
        <w:rPr>
          <w:rStyle w:val="ac"/>
          <w:rFonts w:ascii="Narkisim" w:hAnsi="Narkisim"/>
          <w:rtl/>
        </w:rPr>
        <w:footnoteReference w:id="5883"/>
      </w:r>
      <w:r w:rsidRPr="00AF3214">
        <w:rPr>
          <w:rFonts w:ascii="Narkisim" w:hAnsi="Narkisim"/>
        </w:rPr>
        <w:t>.</w:t>
      </w:r>
    </w:p>
    <w:p w14:paraId="62089201" w14:textId="77777777" w:rsidR="006C4368" w:rsidRPr="00AF3214" w:rsidRDefault="006C4368" w:rsidP="006C4368">
      <w:pPr>
        <w:pStyle w:val="aa"/>
        <w:bidi/>
        <w:rPr>
          <w:rFonts w:ascii="Narkisim" w:hAnsi="Narkisim"/>
        </w:rPr>
      </w:pPr>
      <w:r w:rsidRPr="00AF3214">
        <w:rPr>
          <w:rFonts w:ascii="Narkisim" w:hAnsi="Narkisim"/>
          <w:u w:val="single"/>
          <w:rtl/>
        </w:rPr>
        <w:t>בא"ד (ריש ע"ב) א"כ בעי למימר דההיא משנה כרבנן דר"ע וכו'</w:t>
      </w:r>
      <w:r w:rsidRPr="00AF3214">
        <w:rPr>
          <w:rFonts w:ascii="Narkisim" w:hAnsi="Narkisim"/>
          <w:rtl/>
        </w:rPr>
        <w:t xml:space="preserve">. ודלא כמ"ש </w:t>
      </w:r>
      <w:r w:rsidRPr="00AF3214">
        <w:rPr>
          <w:rFonts w:ascii="Narkisim" w:hAnsi="Narkisim"/>
          <w:b/>
          <w:bCs/>
          <w:rtl/>
        </w:rPr>
        <w:t>רש"י</w:t>
      </w:r>
      <w:r w:rsidRPr="00AF3214">
        <w:rPr>
          <w:rFonts w:ascii="Narkisim" w:hAnsi="Narkisim"/>
          <w:rtl/>
        </w:rPr>
        <w:t xml:space="preserve"> (לעיל צא:) דהך משנה ר' עקיבא היא. (וכה"ק תוס' גיטין שם והראשונים כאן ושם על דברי רש"י). אך תוס' (בסמוך) הביאו מהירושלמי דמתני' כר"ע [ע' בסמוך]</w:t>
      </w:r>
      <w:r w:rsidRPr="00AF3214">
        <w:rPr>
          <w:rFonts w:ascii="Narkisim" w:hAnsi="Narkisim"/>
        </w:rPr>
        <w:t>.</w:t>
      </w:r>
    </w:p>
    <w:p w14:paraId="7DD62DF1"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תי' דבהא דאי' דהולד ממזר קאי כר"ע [וכדתניא בתוספתא ובירושלמי זו דברי ר' מאיר לר"ע], אבל קי"ל לגמ' דרבנן מודו דתצא מזה ומזה</w:t>
      </w:r>
      <w:r w:rsidRPr="00AF3214">
        <w:rPr>
          <w:rStyle w:val="ac"/>
          <w:rFonts w:ascii="Narkisim" w:hAnsi="Narkisim"/>
          <w:rtl/>
        </w:rPr>
        <w:footnoteReference w:id="5884"/>
      </w:r>
      <w:r w:rsidRPr="00AF3214">
        <w:rPr>
          <w:rFonts w:ascii="Narkisim" w:hAnsi="Narkisim"/>
        </w:rPr>
        <w:t xml:space="preserve">, </w:t>
      </w:r>
      <w:r w:rsidRPr="00AF3214">
        <w:rPr>
          <w:rFonts w:ascii="Narkisim" w:hAnsi="Narkisim"/>
          <w:rtl/>
        </w:rPr>
        <w:t>ושאר הדרכים נוהגין בה</w:t>
      </w:r>
      <w:r w:rsidRPr="00AF3214">
        <w:rPr>
          <w:rStyle w:val="ac"/>
          <w:rFonts w:ascii="Narkisim" w:hAnsi="Narkisim"/>
          <w:rtl/>
        </w:rPr>
        <w:footnoteReference w:id="5885"/>
      </w:r>
      <w:r w:rsidRPr="00AF3214">
        <w:rPr>
          <w:rFonts w:ascii="Narkisim" w:hAnsi="Narkisim"/>
        </w:rPr>
        <w:t xml:space="preserve">. </w:t>
      </w:r>
      <w:r w:rsidRPr="00AF3214">
        <w:rPr>
          <w:rFonts w:ascii="Narkisim" w:hAnsi="Narkisim"/>
          <w:rtl/>
        </w:rPr>
        <w:t>ועפ"ז הבבלי אינו סותר לירושלמי</w:t>
      </w:r>
      <w:r w:rsidRPr="00AF3214">
        <w:rPr>
          <w:rFonts w:ascii="Narkisim" w:hAnsi="Narkisim"/>
        </w:rPr>
        <w:t>.</w:t>
      </w:r>
    </w:p>
    <w:p w14:paraId="1CAD60E0" w14:textId="77777777" w:rsidR="006C4368" w:rsidRPr="00AF3214" w:rsidRDefault="006C4368" w:rsidP="006C4368">
      <w:pPr>
        <w:pStyle w:val="a8"/>
        <w:bidi/>
        <w:rPr>
          <w:rFonts w:ascii="Narkisim" w:hAnsi="Narkisim"/>
        </w:rPr>
      </w:pPr>
      <w:r w:rsidRPr="00AF3214">
        <w:rPr>
          <w:rFonts w:ascii="Narkisim" w:hAnsi="Narkisim"/>
        </w:rPr>
        <w:t>[</w:t>
      </w:r>
      <w:r w:rsidRPr="00AF3214">
        <w:rPr>
          <w:rFonts w:ascii="Narkisim" w:hAnsi="Narkisim"/>
          <w:rtl/>
        </w:rPr>
        <w:t>והרא"ש כת' דאי אפשר לומר כן, דלשון המשנה וכל הדרכים האלו בה</w:t>
      </w:r>
      <w:r w:rsidRPr="00AF3214">
        <w:rPr>
          <w:rFonts w:ascii="Narkisim" w:hAnsi="Narkisim"/>
        </w:rPr>
        <w:t>].</w:t>
      </w:r>
    </w:p>
    <w:p w14:paraId="426A41A0" w14:textId="77777777" w:rsidR="006C4368" w:rsidRPr="00AF3214" w:rsidRDefault="006C4368" w:rsidP="006C4368">
      <w:pPr>
        <w:bidi/>
        <w:rPr>
          <w:rFonts w:ascii="Narkisim" w:hAnsi="Narkisim" w:cs="Narkisim"/>
        </w:rPr>
      </w:pPr>
      <w:r w:rsidRPr="00AF3214">
        <w:rPr>
          <w:rFonts w:ascii="Narkisim" w:hAnsi="Narkisim" w:cs="Narkisim"/>
          <w:u w:val="single"/>
          <w:rtl/>
        </w:rPr>
        <w:t>בא"ד האחרון אמאי אינו ממזר, דכי היכי דקנסוה גבי בעל ה"נ קנסי' לגבי בועל, דאפי' אחר שמת בעלה וכו</w:t>
      </w:r>
      <w:r w:rsidRPr="00AF3214">
        <w:rPr>
          <w:rFonts w:ascii="Narkisim" w:hAnsi="Narkisim" w:cs="Narkisim"/>
          <w:rtl/>
        </w:rPr>
        <w:t xml:space="preserve">'. וכמ"ש </w:t>
      </w:r>
      <w:r w:rsidRPr="00AF3214">
        <w:rPr>
          <w:rFonts w:ascii="Narkisim" w:hAnsi="Narkisim" w:cs="Narkisim"/>
          <w:b/>
          <w:bCs/>
          <w:rtl/>
        </w:rPr>
        <w:t>תוס'</w:t>
      </w:r>
      <w:r w:rsidRPr="00AF3214">
        <w:rPr>
          <w:rFonts w:ascii="Narkisim" w:hAnsi="Narkisim" w:cs="Narkisim"/>
          <w:rtl/>
        </w:rPr>
        <w:t xml:space="preserve"> (לעיל פז: ד"ה הולד) דהולד משני ממזר אפי' לאחר שהראשון נתן גט, מידי דהוה אראשון. וה</w:t>
      </w:r>
      <w:r w:rsidRPr="00AF3214">
        <w:rPr>
          <w:rFonts w:ascii="Narkisim" w:hAnsi="Narkisim" w:cs="Narkisim"/>
          <w:b/>
          <w:bCs/>
          <w:rtl/>
        </w:rPr>
        <w:t>מפרשים</w:t>
      </w:r>
      <w:r w:rsidRPr="00AF3214">
        <w:rPr>
          <w:rFonts w:ascii="Narkisim" w:hAnsi="Narkisim" w:cs="Narkisim"/>
          <w:rtl/>
        </w:rPr>
        <w:t xml:space="preserve"> (ע' מה שהו' שם) פי' דכוונת התוס' להוכיח דגדר הקנס דהוה ממזר משום איסור סוטה</w:t>
      </w:r>
      <w:r w:rsidRPr="00AF3214">
        <w:rPr>
          <w:rFonts w:ascii="Narkisim" w:hAnsi="Narkisim" w:cs="Narkisim"/>
        </w:rPr>
        <w:t>.</w:t>
      </w:r>
    </w:p>
    <w:p w14:paraId="01645F36"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רמב"ן</w:t>
      </w:r>
      <w:r w:rsidRPr="00AF3214">
        <w:rPr>
          <w:rFonts w:ascii="Narkisim" w:hAnsi="Narkisim"/>
          <w:rtl/>
        </w:rPr>
        <w:t xml:space="preserve"> </w:t>
      </w:r>
      <w:r w:rsidRPr="00AF3214">
        <w:rPr>
          <w:rFonts w:ascii="Narkisim" w:hAnsi="Narkisim"/>
          <w:szCs w:val="20"/>
          <w:rtl/>
        </w:rPr>
        <w:t>(לעיל צא: ועוד ראשונים, הו' לעיל פז:)</w:t>
      </w:r>
      <w:r w:rsidRPr="00AF3214">
        <w:rPr>
          <w:rFonts w:ascii="Narkisim" w:hAnsi="Narkisim"/>
          <w:rtl/>
        </w:rPr>
        <w:t xml:space="preserve"> חלק דל"ש ממזר מדרבנן לאחר שהראשון גירש או מת. [דלא גזרו ממזר משום איסור סוטה לבועל]. והא דהוה ממזר מהראשון משום דעשוה חכמים כאלו גירש ראשון ונשא שני בלא גט</w:t>
      </w:r>
      <w:r w:rsidRPr="00AF3214">
        <w:rPr>
          <w:rStyle w:val="ac"/>
          <w:rFonts w:ascii="Narkisim" w:hAnsi="Narkisim"/>
          <w:rtl/>
        </w:rPr>
        <w:footnoteReference w:id="5886"/>
      </w:r>
      <w:r w:rsidRPr="00AF3214">
        <w:rPr>
          <w:rFonts w:ascii="Narkisim" w:hAnsi="Narkisim"/>
        </w:rPr>
        <w:t xml:space="preserve">. </w:t>
      </w:r>
      <w:r w:rsidRPr="00AF3214">
        <w:rPr>
          <w:rFonts w:ascii="Narkisim" w:hAnsi="Narkisim"/>
          <w:rtl/>
        </w:rPr>
        <w:t xml:space="preserve">אבל משגירש השני לא הוה ממזר דרבנן מהראשון. דכל דתקון רבנן אמילי דטעמא אסמכוה. </w:t>
      </w:r>
      <w:r w:rsidRPr="00AF3214">
        <w:rPr>
          <w:rFonts w:ascii="Narkisim" w:hAnsi="Narkisim"/>
          <w:szCs w:val="20"/>
          <w:rtl/>
        </w:rPr>
        <w:t>[וע' מש"כ לעיל פז:]</w:t>
      </w:r>
      <w:r w:rsidRPr="00AF3214">
        <w:rPr>
          <w:rFonts w:ascii="Narkisim" w:hAnsi="Narkisim"/>
        </w:rPr>
        <w:t>.</w:t>
      </w:r>
    </w:p>
    <w:p w14:paraId="02A5440E" w14:textId="77777777" w:rsidR="006C4368" w:rsidRPr="00AF3214" w:rsidRDefault="006C4368" w:rsidP="006C4368">
      <w:pPr>
        <w:pStyle w:val="aa"/>
        <w:bidi/>
        <w:rPr>
          <w:rFonts w:ascii="Narkisim" w:hAnsi="Narkisim"/>
        </w:rPr>
      </w:pPr>
      <w:r w:rsidRPr="00AF3214">
        <w:rPr>
          <w:rFonts w:ascii="Narkisim" w:hAnsi="Narkisim"/>
          <w:u w:val="single"/>
          <w:rtl/>
        </w:rPr>
        <w:t>בא"ד ואי מיירי בנשאת בעדים וכו'</w:t>
      </w:r>
      <w:r w:rsidRPr="00AF3214">
        <w:rPr>
          <w:rFonts w:ascii="Narkisim" w:hAnsi="Narkisim"/>
          <w:rtl/>
        </w:rPr>
        <w:t>. וכר' שמעון (ע' לעיל צא.) דבנשאת בעדים לא קנסו כל הדרכים האלו</w:t>
      </w:r>
      <w:r w:rsidRPr="00AF3214">
        <w:rPr>
          <w:rStyle w:val="ac"/>
          <w:rFonts w:ascii="Narkisim" w:hAnsi="Narkisim"/>
          <w:rtl/>
        </w:rPr>
        <w:footnoteReference w:id="5887"/>
      </w:r>
      <w:r w:rsidRPr="00AF3214">
        <w:rPr>
          <w:rFonts w:ascii="Narkisim" w:hAnsi="Narkisim"/>
        </w:rPr>
        <w:t xml:space="preserve">. </w:t>
      </w:r>
      <w:r w:rsidRPr="00AF3214">
        <w:rPr>
          <w:rFonts w:ascii="Narkisim" w:hAnsi="Narkisim"/>
          <w:rtl/>
        </w:rPr>
        <w:t xml:space="preserve">ותוס' דחו דא"כ אף ברישא דיבמה איירי בעדים, ואמאי קנסוה. [לס"ד דתוס' עכשיו דיבמה דרישא הוה ממזר </w:t>
      </w:r>
      <w:r w:rsidRPr="00AF3214">
        <w:rPr>
          <w:rFonts w:ascii="Narkisim" w:hAnsi="Narkisim"/>
          <w:rtl/>
        </w:rPr>
        <w:lastRenderedPageBreak/>
        <w:t>דרבנן (וכרבנן דר"ע) א"כ מ"ש יבמה</w:t>
      </w:r>
      <w:r w:rsidRPr="00AF3214">
        <w:rPr>
          <w:rStyle w:val="ac"/>
          <w:rFonts w:ascii="Narkisim" w:hAnsi="Narkisim"/>
          <w:rtl/>
        </w:rPr>
        <w:footnoteReference w:id="5888"/>
      </w:r>
      <w:r w:rsidRPr="00AF3214">
        <w:rPr>
          <w:rFonts w:ascii="Narkisim" w:hAnsi="Narkisim"/>
        </w:rPr>
        <w:t xml:space="preserve">. </w:t>
      </w:r>
      <w:r w:rsidRPr="00AF3214">
        <w:rPr>
          <w:rFonts w:ascii="Narkisim" w:hAnsi="Narkisim"/>
          <w:rtl/>
        </w:rPr>
        <w:t>אך אליבא דאמת דברישא איירי בממזר דאורייתא, א"כ י"ל דאיירי בנשאת בעדים (וכמ"ד דלא גזרו), ומש"ה בסיפא אינו ממזר כלל</w:t>
      </w:r>
      <w:r w:rsidRPr="00AF3214">
        <w:rPr>
          <w:rStyle w:val="ac"/>
          <w:rFonts w:ascii="Narkisim" w:hAnsi="Narkisim"/>
          <w:rtl/>
        </w:rPr>
        <w:footnoteReference w:id="5889"/>
      </w:r>
      <w:r w:rsidRPr="00AF3214">
        <w:rPr>
          <w:rFonts w:ascii="Narkisim" w:hAnsi="Narkisim"/>
          <w:rtl/>
        </w:rPr>
        <w:t>]</w:t>
      </w:r>
      <w:r w:rsidRPr="00AF3214">
        <w:rPr>
          <w:rFonts w:ascii="Narkisim" w:hAnsi="Narkisim"/>
        </w:rPr>
        <w:t>.</w:t>
      </w:r>
    </w:p>
    <w:p w14:paraId="193091B9" w14:textId="77777777" w:rsidR="006C4368" w:rsidRPr="00AF3214" w:rsidRDefault="006C4368" w:rsidP="006C4368">
      <w:pPr>
        <w:pStyle w:val="aa"/>
        <w:bidi/>
        <w:rPr>
          <w:rFonts w:ascii="Narkisim" w:hAnsi="Narkisim"/>
        </w:rPr>
      </w:pPr>
      <w:r w:rsidRPr="00AF3214">
        <w:rPr>
          <w:rFonts w:ascii="Narkisim" w:hAnsi="Narkisim"/>
          <w:u w:val="single"/>
          <w:rtl/>
        </w:rPr>
        <w:t>בא"ד ואין להק' וכו' בני צרות מעיד אני לכם שהם כהנים גדולים וכו'</w:t>
      </w:r>
      <w:r w:rsidRPr="00AF3214">
        <w:rPr>
          <w:rFonts w:ascii="Narkisim" w:hAnsi="Narkisim"/>
          <w:rtl/>
        </w:rPr>
        <w:t>. והגמ' (לעיל טו:) הביאה דשאלו את ר' יהושע בני צרות אליבא דבי"ש, האם פגום לכהונה. ור' יהושע העיד דבניהם כהנים גדולים. [ותוס' הק' דעכ"פ יהא ממזר מדרבנן, וכדאי' בסוגיין</w:t>
      </w:r>
      <w:r w:rsidRPr="00AF3214">
        <w:rPr>
          <w:rStyle w:val="ac"/>
          <w:rFonts w:ascii="Narkisim" w:hAnsi="Narkisim"/>
          <w:rtl/>
        </w:rPr>
        <w:footnoteReference w:id="5890"/>
      </w:r>
      <w:r w:rsidRPr="00AF3214">
        <w:rPr>
          <w:rFonts w:ascii="Narkisim" w:hAnsi="Narkisim"/>
          <w:rtl/>
        </w:rPr>
        <w:t>]</w:t>
      </w:r>
      <w:r w:rsidRPr="00AF3214">
        <w:rPr>
          <w:rFonts w:ascii="Narkisim" w:hAnsi="Narkisim"/>
        </w:rPr>
        <w:t>.</w:t>
      </w:r>
    </w:p>
    <w:p w14:paraId="775333DD" w14:textId="77777777" w:rsidR="006C4368" w:rsidRPr="00AF3214" w:rsidRDefault="006C4368" w:rsidP="006C4368">
      <w:pPr>
        <w:bidi/>
        <w:rPr>
          <w:rFonts w:ascii="Narkisim" w:hAnsi="Narkisim" w:cs="Narkisim"/>
        </w:rPr>
      </w:pPr>
      <w:r w:rsidRPr="00AF3214">
        <w:rPr>
          <w:rFonts w:ascii="Narkisim" w:hAnsi="Narkisim" w:cs="Narkisim"/>
          <w:u w:val="single"/>
          <w:rtl/>
        </w:rPr>
        <w:t>בא"ד התם שלא נשאת בטעות, אלא בהוראת בי"ד ואין עומדת לצאת כלל, דל"ש טעמא דמיחלפא וכו'</w:t>
      </w:r>
      <w:r w:rsidRPr="00AF3214">
        <w:rPr>
          <w:rFonts w:ascii="Narkisim" w:hAnsi="Narkisim" w:cs="Narkisim"/>
          <w:rtl/>
        </w:rPr>
        <w:t>. לכאורה יש כאן כמה סברות, א' דבהוראת בי"ד לא קנסו תצא מזה ומזה וכל הדרכים האלו. וע"ד דברי ה</w:t>
      </w:r>
      <w:r w:rsidRPr="00AF3214">
        <w:rPr>
          <w:rFonts w:ascii="Narkisim" w:hAnsi="Narkisim" w:cs="Narkisim"/>
          <w:b/>
          <w:bCs/>
          <w:rtl/>
        </w:rPr>
        <w:t>רשב"א</w:t>
      </w:r>
      <w:r w:rsidRPr="00AF3214">
        <w:rPr>
          <w:rFonts w:ascii="Narkisim" w:hAnsi="Narkisim" w:cs="Narkisim"/>
          <w:rtl/>
        </w:rPr>
        <w:t xml:space="preserve"> (הו' לעיל צא:). ב' אין עומדת לצאת, דדוקא היכא דנתברר הטעות קנסו כל הדרכים האלו. אבל היכא דטעו בי"ד ולא נודע הדבר</w:t>
      </w:r>
      <w:r w:rsidRPr="00AF3214">
        <w:rPr>
          <w:rStyle w:val="ac"/>
          <w:rFonts w:ascii="Narkisim" w:hAnsi="Narkisim" w:cs="Narkisim"/>
          <w:rtl/>
        </w:rPr>
        <w:footnoteReference w:id="5891"/>
      </w:r>
      <w:r w:rsidRPr="00AF3214">
        <w:rPr>
          <w:rFonts w:ascii="Narkisim" w:hAnsi="Narkisim" w:cs="Narkisim"/>
        </w:rPr>
        <w:t xml:space="preserve">, </w:t>
      </w:r>
      <w:r w:rsidRPr="00AF3214">
        <w:rPr>
          <w:rFonts w:ascii="Narkisim" w:hAnsi="Narkisim" w:cs="Narkisim"/>
          <w:rtl/>
        </w:rPr>
        <w:t>לא הוה בכלל הגזירה</w:t>
      </w:r>
      <w:r w:rsidRPr="00AF3214">
        <w:rPr>
          <w:rStyle w:val="ac"/>
          <w:rFonts w:ascii="Narkisim" w:hAnsi="Narkisim" w:cs="Narkisim"/>
          <w:rtl/>
        </w:rPr>
        <w:footnoteReference w:id="5892"/>
      </w:r>
      <w:r w:rsidRPr="00AF3214">
        <w:rPr>
          <w:rFonts w:ascii="Narkisim" w:hAnsi="Narkisim" w:cs="Narkisim"/>
        </w:rPr>
        <w:t xml:space="preserve">. </w:t>
      </w:r>
      <w:r w:rsidRPr="00AF3214">
        <w:rPr>
          <w:rFonts w:ascii="Narkisim" w:hAnsi="Narkisim" w:cs="Narkisim"/>
          <w:rtl/>
        </w:rPr>
        <w:t>או משום דתלי בפועל אי עומדת לצאת</w:t>
      </w:r>
      <w:r w:rsidRPr="00AF3214">
        <w:rPr>
          <w:rStyle w:val="ac"/>
          <w:rFonts w:ascii="Narkisim" w:hAnsi="Narkisim" w:cs="Narkisim"/>
          <w:rtl/>
        </w:rPr>
        <w:footnoteReference w:id="5893"/>
      </w:r>
      <w:r w:rsidRPr="00AF3214">
        <w:rPr>
          <w:rFonts w:ascii="Narkisim" w:hAnsi="Narkisim" w:cs="Narkisim"/>
        </w:rPr>
        <w:t>.</w:t>
      </w:r>
    </w:p>
    <w:p w14:paraId="4DF9AC0B" w14:textId="77777777" w:rsidR="006C4368" w:rsidRPr="00AF3214" w:rsidRDefault="006C4368" w:rsidP="006C4368">
      <w:pPr>
        <w:pStyle w:val="a7"/>
        <w:bidi/>
        <w:rPr>
          <w:rFonts w:ascii="Narkisim" w:hAnsi="Narkisim"/>
        </w:rPr>
      </w:pPr>
      <w:r w:rsidRPr="00AF3214">
        <w:rPr>
          <w:rFonts w:ascii="Narkisim" w:hAnsi="Narkisim"/>
          <w:rtl/>
        </w:rPr>
        <w:t>ותוס' סיימו דל"ש טעמא דמיחלפא</w:t>
      </w:r>
      <w:r w:rsidRPr="00AF3214">
        <w:rPr>
          <w:rStyle w:val="ac"/>
          <w:rFonts w:ascii="Narkisim" w:hAnsi="Narkisim"/>
          <w:rtl/>
        </w:rPr>
        <w:footnoteReference w:id="5894"/>
      </w:r>
      <w:r w:rsidRPr="00AF3214">
        <w:rPr>
          <w:rFonts w:ascii="Narkisim" w:hAnsi="Narkisim"/>
        </w:rPr>
        <w:t xml:space="preserve">, </w:t>
      </w:r>
      <w:r w:rsidRPr="00AF3214">
        <w:rPr>
          <w:rFonts w:ascii="Narkisim" w:hAnsi="Narkisim"/>
          <w:rtl/>
        </w:rPr>
        <w:t>לכאורה משמע דכל הנך סברות מהני דוקא ביבמה לשוק, וע"פ הגמ' (גיטין פ:, הו' בסמוך) דהוה רק משום גזירה דמיחלפה</w:t>
      </w:r>
      <w:r w:rsidRPr="00AF3214">
        <w:rPr>
          <w:rStyle w:val="ac"/>
          <w:rFonts w:ascii="Narkisim" w:hAnsi="Narkisim"/>
          <w:rtl/>
        </w:rPr>
        <w:footnoteReference w:id="5895"/>
      </w:r>
      <w:r w:rsidRPr="00AF3214">
        <w:rPr>
          <w:rFonts w:ascii="Narkisim" w:hAnsi="Narkisim"/>
        </w:rPr>
        <w:t>.</w:t>
      </w:r>
    </w:p>
    <w:p w14:paraId="7E4A02E0" w14:textId="77777777" w:rsidR="006C4368" w:rsidRPr="00AF3214" w:rsidRDefault="006C4368" w:rsidP="006C4368">
      <w:pPr>
        <w:bidi/>
        <w:rPr>
          <w:rFonts w:ascii="Narkisim" w:hAnsi="Narkisim" w:cs="Narkisim"/>
        </w:rPr>
      </w:pPr>
      <w:r w:rsidRPr="00AF3214">
        <w:rPr>
          <w:rFonts w:ascii="Narkisim" w:hAnsi="Narkisim" w:cs="Narkisim"/>
          <w:u w:val="single"/>
          <w:rtl/>
        </w:rPr>
        <w:t>בא"ד וליכא למגזר שמא יאמרו חלץ זה וכו' דהא אפי' באשה לא חיישי' להכי אלא משום קנס, דהא בנתקדשה מותרת לחזור לו וכו'</w:t>
      </w:r>
      <w:r w:rsidRPr="00AF3214">
        <w:rPr>
          <w:rFonts w:ascii="Narkisim" w:hAnsi="Narkisim" w:cs="Narkisim"/>
          <w:rtl/>
        </w:rPr>
        <w:t>. (וכהוכחת הגמ' לעיל פט.). ותוס' נקטו דל"ש קנס [להך מ"ד] ביבמה, כיון דבמזיד לא מיתסרא בזנות. [ואף דעבדא איסורא, כיון דאיסור זו אינו אוסרה איבם]</w:t>
      </w:r>
      <w:r w:rsidRPr="00AF3214">
        <w:rPr>
          <w:rFonts w:ascii="Narkisim" w:hAnsi="Narkisim" w:cs="Narkisim"/>
        </w:rPr>
        <w:t>.</w:t>
      </w:r>
    </w:p>
    <w:p w14:paraId="785D4641"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(גיטין פ:) הביאו דהכי אמרי' (בפירקין, לקמן צד: צה.</w:t>
      </w:r>
      <w:r w:rsidRPr="00AF3214">
        <w:rPr>
          <w:rStyle w:val="ac"/>
          <w:rFonts w:ascii="Narkisim" w:hAnsi="Narkisim"/>
          <w:rtl/>
        </w:rPr>
        <w:footnoteReference w:id="5896"/>
      </w:r>
      <w:r w:rsidRPr="00AF3214">
        <w:rPr>
          <w:rFonts w:ascii="Narkisim" w:hAnsi="Narkisim"/>
          <w:rtl/>
        </w:rPr>
        <w:t>) דאסור להחזירה משום דבמזיד מיתסרא, בשוגג נמי גזרו בה רבנן משום שמא יאמרו גירש זה ונשאה זה</w:t>
      </w:r>
      <w:r w:rsidRPr="00AF3214">
        <w:rPr>
          <w:rFonts w:ascii="Narkisim" w:hAnsi="Narkisim"/>
        </w:rPr>
        <w:t>.</w:t>
      </w:r>
    </w:p>
    <w:p w14:paraId="2D5D279F" w14:textId="77777777" w:rsidR="006C4368" w:rsidRPr="00AF3214" w:rsidRDefault="006C4368" w:rsidP="006C4368">
      <w:pPr>
        <w:pStyle w:val="aa"/>
        <w:bidi/>
        <w:rPr>
          <w:rFonts w:ascii="Narkisim" w:hAnsi="Narkisim"/>
        </w:rPr>
      </w:pPr>
      <w:r w:rsidRPr="00AF3214">
        <w:rPr>
          <w:rFonts w:ascii="Narkisim" w:hAnsi="Narkisim"/>
          <w:u w:val="single"/>
          <w:rtl/>
        </w:rPr>
        <w:t>בא"ד (לעיל) דמיחלפא באשה שהלך בעלה למדיה"י או דלמא וכו'</w:t>
      </w:r>
      <w:r w:rsidRPr="00AF3214">
        <w:rPr>
          <w:rFonts w:ascii="Narkisim" w:hAnsi="Narkisim"/>
          <w:rtl/>
        </w:rPr>
        <w:t xml:space="preserve">. </w:t>
      </w:r>
      <w:r w:rsidRPr="00AF3214">
        <w:rPr>
          <w:rFonts w:ascii="Narkisim" w:hAnsi="Narkisim"/>
          <w:b/>
          <w:bCs/>
          <w:rtl/>
        </w:rPr>
        <w:t>תוס</w:t>
      </w:r>
      <w:r w:rsidRPr="00AF3214">
        <w:rPr>
          <w:rFonts w:ascii="Narkisim" w:hAnsi="Narkisim"/>
          <w:rtl/>
        </w:rPr>
        <w:t>' הביאו ב' לשונות ובגמ' (גיטין פ:) האם לדייק (מהמשנה שם עט:) דדוקא נישאו [כל הדרכים האלו בה], אבל זינו לא גזרו. כיון דשומרת יבם לא נאסרת בזנות, ודלא כרב המנונא. [והגמ' בל"ב הוסיפה דמיחלפה באשה שהלך בעלה למדינת הים]. או נישאו וה"ה זינו</w:t>
      </w:r>
      <w:r w:rsidRPr="00AF3214">
        <w:rPr>
          <w:rStyle w:val="ac"/>
          <w:rFonts w:ascii="Narkisim" w:hAnsi="Narkisim"/>
          <w:rtl/>
        </w:rPr>
        <w:footnoteReference w:id="5897"/>
      </w:r>
      <w:r w:rsidRPr="00AF3214">
        <w:rPr>
          <w:rFonts w:ascii="Narkisim" w:hAnsi="Narkisim"/>
        </w:rPr>
        <w:t xml:space="preserve">, </w:t>
      </w:r>
      <w:r w:rsidRPr="00AF3214">
        <w:rPr>
          <w:rFonts w:ascii="Narkisim" w:hAnsi="Narkisim"/>
          <w:rtl/>
        </w:rPr>
        <w:t>ואף בזינתה אסורה כדרב המנונא</w:t>
      </w:r>
      <w:r w:rsidRPr="00AF3214">
        <w:rPr>
          <w:rStyle w:val="ac"/>
          <w:rFonts w:ascii="Narkisim" w:hAnsi="Narkisim"/>
          <w:rtl/>
        </w:rPr>
        <w:footnoteReference w:id="5898"/>
      </w:r>
      <w:r w:rsidRPr="00AF3214">
        <w:rPr>
          <w:rFonts w:ascii="Narkisim" w:hAnsi="Narkisim"/>
        </w:rPr>
        <w:t>.</w:t>
      </w:r>
    </w:p>
    <w:p w14:paraId="69C5C9EA"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רש"י</w:t>
      </w:r>
      <w:r w:rsidRPr="00AF3214">
        <w:rPr>
          <w:rFonts w:ascii="Narkisim" w:hAnsi="Narkisim"/>
          <w:rtl/>
        </w:rPr>
        <w:t xml:space="preserve"> (גיטין שם) פי' הא דאמרי' 'מיחלפה באשה שהלך בעלה' דאף בחליצה שייך הך גזירה, שיאמרו חלץ זה ונשא זה, ומחזיר חלוצתו. ו</w:t>
      </w:r>
      <w:r w:rsidRPr="00AF3214">
        <w:rPr>
          <w:rFonts w:ascii="Narkisim" w:hAnsi="Narkisim"/>
          <w:b/>
          <w:bCs/>
          <w:rtl/>
        </w:rPr>
        <w:t>תוס</w:t>
      </w:r>
      <w:r w:rsidRPr="00AF3214">
        <w:rPr>
          <w:rFonts w:ascii="Narkisim" w:hAnsi="Narkisim"/>
          <w:rtl/>
        </w:rPr>
        <w:t xml:space="preserve">' (שם) הק' א"כ אסורה מחמת אשה שהלך בעלה. ואילו הלשון מיחלפה משמע </w:t>
      </w:r>
      <w:r w:rsidRPr="00AF3214">
        <w:rPr>
          <w:rFonts w:ascii="Narkisim" w:hAnsi="Narkisim"/>
          <w:rtl/>
        </w:rPr>
        <w:lastRenderedPageBreak/>
        <w:t>דהוה גזירה אטו אשה שהלך בעלה</w:t>
      </w:r>
      <w:r w:rsidRPr="00AF3214">
        <w:rPr>
          <w:rFonts w:ascii="Narkisim" w:hAnsi="Narkisim"/>
        </w:rPr>
        <w:t>.</w:t>
      </w:r>
    </w:p>
    <w:p w14:paraId="63DFF6F7" w14:textId="77777777" w:rsidR="006C4368" w:rsidRPr="00AF3214" w:rsidRDefault="006C4368" w:rsidP="006C4368">
      <w:pPr>
        <w:pStyle w:val="a8"/>
        <w:bidi/>
        <w:rPr>
          <w:rFonts w:ascii="Narkisim" w:hAnsi="Narkisim"/>
        </w:rPr>
      </w:pPr>
      <w:r w:rsidRPr="00AF3214">
        <w:rPr>
          <w:rFonts w:ascii="Narkisim" w:hAnsi="Narkisim"/>
          <w:rtl/>
        </w:rPr>
        <w:t>אלא תוס' כת' דלמ"ד דיבמה אינה נאסרה ליבם [ודלא כרב המנונא] ל"ש גזירה דיאמרו גירש זה, שהרי בזנות במזיד אינה נאסרת</w:t>
      </w:r>
      <w:r w:rsidRPr="00AF3214">
        <w:rPr>
          <w:rStyle w:val="ac"/>
          <w:rFonts w:ascii="Narkisim" w:hAnsi="Narkisim"/>
          <w:rtl/>
        </w:rPr>
        <w:footnoteReference w:id="5899"/>
      </w:r>
      <w:r w:rsidRPr="00AF3214">
        <w:rPr>
          <w:rFonts w:ascii="Narkisim" w:hAnsi="Narkisim"/>
        </w:rPr>
        <w:t xml:space="preserve"> </w:t>
      </w:r>
      <w:r w:rsidRPr="00AF3214">
        <w:rPr>
          <w:rFonts w:ascii="Narkisim" w:hAnsi="Narkisim"/>
          <w:rtl/>
        </w:rPr>
        <w:t>[וכנ"ל ע"פ הגמ' לקמן צה.]. אלא דגזרו משום דמחלפא. וה</w:t>
      </w:r>
      <w:r w:rsidRPr="00AF3214">
        <w:rPr>
          <w:rFonts w:ascii="Narkisim" w:hAnsi="Narkisim"/>
          <w:b/>
          <w:bCs/>
          <w:rtl/>
        </w:rPr>
        <w:t>רמב"ן</w:t>
      </w:r>
      <w:r w:rsidRPr="00AF3214">
        <w:rPr>
          <w:rFonts w:ascii="Narkisim" w:hAnsi="Narkisim"/>
          <w:rtl/>
        </w:rPr>
        <w:t xml:space="preserve"> הביא דכ"כ </w:t>
      </w:r>
      <w:r w:rsidRPr="00AF3214">
        <w:rPr>
          <w:rFonts w:ascii="Narkisim" w:hAnsi="Narkisim"/>
          <w:b/>
          <w:bCs/>
          <w:rtl/>
        </w:rPr>
        <w:t>רש"י</w:t>
      </w:r>
      <w:r w:rsidRPr="00AF3214">
        <w:rPr>
          <w:rFonts w:ascii="Narkisim" w:hAnsi="Narkisim"/>
          <w:rtl/>
        </w:rPr>
        <w:t xml:space="preserve"> עצמו (בסמוך צב: ד"ה כדאמר) גזירה דאתו למימר הכי באשה שהלך בעלה למדינת הים תצא בלא גט</w:t>
      </w:r>
      <w:r w:rsidRPr="00AF3214">
        <w:rPr>
          <w:rStyle w:val="ac"/>
          <w:rFonts w:ascii="Narkisim" w:hAnsi="Narkisim"/>
          <w:rtl/>
        </w:rPr>
        <w:footnoteReference w:id="5900"/>
      </w:r>
      <w:r w:rsidRPr="00AF3214">
        <w:rPr>
          <w:rFonts w:ascii="Narkisim" w:hAnsi="Narkisim"/>
        </w:rPr>
        <w:t>.</w:t>
      </w:r>
    </w:p>
    <w:p w14:paraId="22123D38"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רש"י</w:t>
      </w:r>
      <w:r w:rsidRPr="00AF3214">
        <w:rPr>
          <w:rFonts w:ascii="Narkisim" w:hAnsi="Narkisim"/>
          <w:rtl/>
        </w:rPr>
        <w:t xml:space="preserve"> (שם) כת' דהיכא דזינתה ל"ש חשש דשמא יאמרו גירש זה ונשא זה. דזנות ל"ל קול כולי האי, וידעי דפריצותא הואי. ולא חשדי לה. ו</w:t>
      </w:r>
      <w:r w:rsidRPr="00AF3214">
        <w:rPr>
          <w:rFonts w:ascii="Narkisim" w:hAnsi="Narkisim"/>
          <w:b/>
          <w:bCs/>
          <w:rtl/>
        </w:rPr>
        <w:t>תוס</w:t>
      </w:r>
      <w:r w:rsidRPr="00AF3214">
        <w:rPr>
          <w:rFonts w:ascii="Narkisim" w:hAnsi="Narkisim"/>
          <w:rtl/>
        </w:rPr>
        <w:t>' (גיטין שם) הק' דהגמ' בפירקין</w:t>
      </w:r>
      <w:r w:rsidRPr="00AF3214">
        <w:rPr>
          <w:rStyle w:val="ac"/>
          <w:rFonts w:ascii="Narkisim" w:hAnsi="Narkisim"/>
          <w:rtl/>
        </w:rPr>
        <w:footnoteReference w:id="5901"/>
      </w:r>
      <w:r w:rsidRPr="00AF3214">
        <w:rPr>
          <w:rFonts w:ascii="Narkisim" w:hAnsi="Narkisim"/>
        </w:rPr>
        <w:t xml:space="preserve"> </w:t>
      </w:r>
      <w:r w:rsidRPr="00AF3214">
        <w:rPr>
          <w:rFonts w:ascii="Narkisim" w:hAnsi="Narkisim"/>
          <w:rtl/>
        </w:rPr>
        <w:t>לא דייקה מהמשנה נשאת דוקא, אבל לא זינתה. אלא דבאשה שהלך בעלה קנסו אף בזינתה. [וכדמוכח בלישנא דאף ביבמה קנסו בזינתה, וכדרב המנונא]. ואף בזנות חששו שיאמרו גירש זה ונשא זה</w:t>
      </w:r>
      <w:r w:rsidRPr="00AF3214">
        <w:rPr>
          <w:rStyle w:val="ac"/>
          <w:rFonts w:ascii="Narkisim" w:hAnsi="Narkisim"/>
          <w:rtl/>
        </w:rPr>
        <w:footnoteReference w:id="5902"/>
      </w:r>
      <w:r w:rsidRPr="00AF3214">
        <w:rPr>
          <w:rFonts w:ascii="Narkisim" w:hAnsi="Narkisim"/>
        </w:rPr>
        <w:t>.</w:t>
      </w:r>
    </w:p>
    <w:p w14:paraId="30C35EDE" w14:textId="77777777" w:rsidR="006C4368" w:rsidRPr="00AF3214" w:rsidRDefault="006C4368" w:rsidP="006C4368">
      <w:pPr>
        <w:pStyle w:val="a8"/>
        <w:bidi/>
        <w:rPr>
          <w:rFonts w:ascii="Narkisim" w:hAnsi="Narkisim"/>
        </w:rPr>
      </w:pPr>
      <w:r w:rsidRPr="00AF3214">
        <w:rPr>
          <w:rFonts w:ascii="Narkisim" w:hAnsi="Narkisim"/>
          <w:rtl/>
        </w:rPr>
        <w:t>אבל ביבמה [למ"ד שאינה נאסרת ליבם] הוה רק גזירה דמיחלפא באשה שהלך בעלה, ודוקא בנשאת חששו משום מיחלפא</w:t>
      </w:r>
      <w:r w:rsidRPr="00AF3214">
        <w:rPr>
          <w:rFonts w:ascii="Narkisim" w:hAnsi="Narkisim"/>
        </w:rPr>
        <w:t>.</w:t>
      </w:r>
    </w:p>
    <w:p w14:paraId="521B361A" w14:textId="77777777" w:rsidR="006C4368" w:rsidRPr="00AF3214" w:rsidRDefault="006C4368" w:rsidP="006C4368">
      <w:pPr>
        <w:pStyle w:val="3"/>
        <w:bidi/>
        <w:rPr>
          <w:rFonts w:ascii="Narkisim" w:hAnsi="Narkisim"/>
        </w:rPr>
      </w:pPr>
      <w:r w:rsidRPr="00AF3214">
        <w:rPr>
          <w:rFonts w:ascii="Narkisim" w:hAnsi="Narkisim"/>
          <w:rtl/>
        </w:rPr>
        <w:t>דף צב</w:t>
      </w:r>
      <w:r w:rsidRPr="00AF3214">
        <w:rPr>
          <w:rFonts w:ascii="Narkisim" w:hAnsi="Narkisim"/>
        </w:rPr>
        <w:t>:</w:t>
      </w:r>
    </w:p>
    <w:p w14:paraId="78F759E9" w14:textId="77777777" w:rsidR="006C4368" w:rsidRPr="00AF3214" w:rsidRDefault="006C4368" w:rsidP="006C4368">
      <w:pPr>
        <w:bidi/>
        <w:rPr>
          <w:rFonts w:ascii="Narkisim" w:hAnsi="Narkisim" w:cs="Narkisim"/>
        </w:rPr>
      </w:pPr>
      <w:r w:rsidRPr="00AF3214">
        <w:rPr>
          <w:rFonts w:ascii="Narkisim" w:hAnsi="Narkisim" w:cs="Narkisim"/>
          <w:u w:val="single"/>
          <w:rtl/>
        </w:rPr>
        <w:t>אמר רב מנין שאין קדושין תופסין ביבמה וכו'</w:t>
      </w:r>
      <w:r w:rsidRPr="00AF3214">
        <w:rPr>
          <w:rFonts w:ascii="Narkisim" w:hAnsi="Narkisim" w:cs="Narkisim"/>
          <w:rtl/>
        </w:rPr>
        <w:t>. דילפי' גזיה"כ דלא תפסי קידושין. ואף דלרבנן תפסי קידושין בשאר חייבי לאוין</w:t>
      </w:r>
      <w:r w:rsidRPr="00AF3214">
        <w:rPr>
          <w:rFonts w:ascii="Narkisim" w:hAnsi="Narkisim" w:cs="Narkisim"/>
        </w:rPr>
        <w:t>.</w:t>
      </w:r>
    </w:p>
    <w:p w14:paraId="44413103" w14:textId="77777777" w:rsidR="006C4368" w:rsidRPr="00AF3214" w:rsidRDefault="006C4368" w:rsidP="006C4368">
      <w:pPr>
        <w:pStyle w:val="a8"/>
        <w:bidi/>
        <w:rPr>
          <w:rFonts w:ascii="Narkisim" w:hAnsi="Narkisim"/>
        </w:rPr>
      </w:pPr>
      <w:r w:rsidRPr="00AF3214">
        <w:rPr>
          <w:rFonts w:ascii="Narkisim" w:hAnsi="Narkisim"/>
          <w:rtl/>
        </w:rPr>
        <w:t>ורב אחא בר יעקב (קידושין סח.) ס"ל דילפי' מיבמה ק"ו דלא תפסי קידושין בחייבי כריתות וחייבי מיתות, ומה יבמה שהיא בלאו לא תפסי קידושין וכו'. והגמ' מק' א"ה שאר חייבי לאוין נמי, ותי' דגלי קרא והאחת שנואה, שנואה בפני המקום</w:t>
      </w:r>
      <w:r w:rsidRPr="00AF3214">
        <w:rPr>
          <w:rFonts w:ascii="Narkisim" w:hAnsi="Narkisim"/>
        </w:rPr>
        <w:t>.</w:t>
      </w:r>
    </w:p>
    <w:p w14:paraId="14021330" w14:textId="77777777" w:rsidR="006C4368" w:rsidRPr="00AF3214" w:rsidRDefault="006C4368" w:rsidP="006C4368">
      <w:pPr>
        <w:pStyle w:val="a8"/>
        <w:bidi/>
        <w:rPr>
          <w:rFonts w:ascii="Narkisim" w:hAnsi="Narkisim"/>
        </w:rPr>
      </w:pPr>
      <w:r w:rsidRPr="00AF3214">
        <w:rPr>
          <w:rFonts w:ascii="Narkisim" w:hAnsi="Narkisim"/>
          <w:rtl/>
        </w:rPr>
        <w:t>ויש שדנו דהגדר דיבמה לשוק חמיר משאר חייבי לאוין, כיון דיש בה קנין אישות [שעומדת לאישות היבום</w:t>
      </w:r>
      <w:r w:rsidRPr="00AF3214">
        <w:rPr>
          <w:rStyle w:val="ac"/>
          <w:rFonts w:ascii="Narkisim" w:hAnsi="Narkisim"/>
          <w:rtl/>
        </w:rPr>
        <w:footnoteReference w:id="5903"/>
      </w:r>
      <w:r w:rsidRPr="00AF3214">
        <w:rPr>
          <w:rFonts w:ascii="Narkisim" w:hAnsi="Narkisim"/>
          <w:rtl/>
        </w:rPr>
        <w:t>]. וקנין האישות מונע את הקידושין. אך צ"ע א"כ האיך ילפי' (קידושין שם) מהתם לשאר עריות</w:t>
      </w:r>
      <w:r w:rsidRPr="00AF3214">
        <w:rPr>
          <w:rFonts w:ascii="Narkisim" w:hAnsi="Narkisim"/>
        </w:rPr>
        <w:t>.</w:t>
      </w:r>
    </w:p>
    <w:p w14:paraId="2EA6DCC6" w14:textId="77777777" w:rsidR="006C4368" w:rsidRPr="00AF3214" w:rsidRDefault="006C4368" w:rsidP="006C4368">
      <w:pPr>
        <w:bidi/>
        <w:rPr>
          <w:rFonts w:ascii="Narkisim" w:hAnsi="Narkisim" w:cs="Narkisim"/>
        </w:rPr>
      </w:pPr>
      <w:r w:rsidRPr="00AF3214">
        <w:rPr>
          <w:rFonts w:ascii="Narkisim" w:hAnsi="Narkisim" w:cs="Narkisim"/>
          <w:u w:val="single"/>
          <w:rtl/>
        </w:rPr>
        <w:t>שנאמר וכו' לא תהא בה הויה לזר</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(ד"ה אי, ולעיל מט:, והראשונים שם ונה:) כת' דעיקר קרא קאי ללאו, ואף לרב לוקה. [וכדמבואר בכ"מ דיבמה לשוק הוה חייבי לאוין</w:t>
      </w:r>
      <w:r w:rsidRPr="00AF3214">
        <w:rPr>
          <w:rStyle w:val="ac"/>
          <w:rFonts w:ascii="Narkisim" w:hAnsi="Narkisim" w:cs="Narkisim"/>
          <w:rtl/>
        </w:rPr>
        <w:footnoteReference w:id="5904"/>
      </w:r>
      <w:r w:rsidRPr="00AF3214">
        <w:rPr>
          <w:rFonts w:ascii="Narkisim" w:hAnsi="Narkisim" w:cs="Narkisim"/>
          <w:rtl/>
        </w:rPr>
        <w:t xml:space="preserve">]. אבל </w:t>
      </w:r>
      <w:r w:rsidRPr="00AF3214">
        <w:rPr>
          <w:rFonts w:ascii="Narkisim" w:hAnsi="Narkisim" w:cs="Narkisim"/>
          <w:b/>
          <w:bCs/>
          <w:rtl/>
        </w:rPr>
        <w:t>רש"י</w:t>
      </w:r>
      <w:r w:rsidRPr="00AF3214">
        <w:rPr>
          <w:rFonts w:ascii="Narkisim" w:hAnsi="Narkisim" w:cs="Narkisim"/>
          <w:rtl/>
        </w:rPr>
        <w:t xml:space="preserve"> גרס (לעיל נה:) אי ללאו אי לעשה, דלדעת רב הוה איסור עשה</w:t>
      </w:r>
      <w:r w:rsidRPr="00AF3214">
        <w:rPr>
          <w:rFonts w:ascii="Narkisim" w:hAnsi="Narkisim" w:cs="Narkisim"/>
        </w:rPr>
        <w:t>.</w:t>
      </w:r>
    </w:p>
    <w:p w14:paraId="52706495"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ערול"נ</w:t>
      </w:r>
      <w:r w:rsidRPr="00AF3214">
        <w:rPr>
          <w:rFonts w:ascii="Narkisim" w:hAnsi="Narkisim"/>
          <w:rtl/>
        </w:rPr>
        <w:t xml:space="preserve"> (שם) כתב דרש"י כתב כן רק לר' עקיבא. וה</w:t>
      </w:r>
      <w:r w:rsidRPr="00AF3214">
        <w:rPr>
          <w:rFonts w:ascii="Narkisim" w:hAnsi="Narkisim"/>
          <w:b/>
          <w:bCs/>
          <w:rtl/>
        </w:rPr>
        <w:t>בית מאיר</w:t>
      </w:r>
      <w:r w:rsidRPr="00AF3214">
        <w:rPr>
          <w:rFonts w:ascii="Narkisim" w:hAnsi="Narkisim"/>
          <w:rtl/>
        </w:rPr>
        <w:t xml:space="preserve"> (יח) כת' דלדעת רש"י תלי במח' אביי ורבא (תמורה ד:) גבי אי עביד לא מהני, דלדעת רבא לוקה משום דעבר אמימרא דרחמנא. ואילו לדעת אביי במקום דלא אהנו מעשיו אינו לוקה</w:t>
      </w:r>
      <w:r w:rsidRPr="00AF3214">
        <w:rPr>
          <w:rFonts w:ascii="Narkisim" w:hAnsi="Narkisim"/>
        </w:rPr>
        <w:t>.</w:t>
      </w:r>
    </w:p>
    <w:p w14:paraId="3CCF7B00" w14:textId="77777777" w:rsidR="006C4368" w:rsidRPr="00AF3214" w:rsidRDefault="006C4368" w:rsidP="006C4368">
      <w:pPr>
        <w:bidi/>
        <w:rPr>
          <w:rFonts w:ascii="Narkisim" w:hAnsi="Narkisim" w:cs="Narkisim"/>
        </w:rPr>
      </w:pPr>
      <w:r w:rsidRPr="00AF3214">
        <w:rPr>
          <w:rFonts w:ascii="Narkisim" w:hAnsi="Narkisim" w:cs="Narkisim"/>
          <w:u w:val="single"/>
          <w:rtl/>
        </w:rPr>
        <w:t>ושמואל אמר בעניותינו צריכה גט</w:t>
      </w:r>
      <w:r w:rsidRPr="00AF3214">
        <w:rPr>
          <w:rStyle w:val="ac"/>
          <w:rFonts w:ascii="Narkisim" w:hAnsi="Narkisim" w:cs="Narkisim"/>
          <w:u w:val="single"/>
          <w:rtl/>
        </w:rPr>
        <w:footnoteReference w:id="5905"/>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ונסתפק שמא תפסי קידושין</w:t>
      </w:r>
      <w:r w:rsidRPr="00AF3214">
        <w:rPr>
          <w:rStyle w:val="ac"/>
          <w:rFonts w:ascii="Narkisim" w:hAnsi="Narkisim" w:cs="Narkisim"/>
          <w:rtl/>
        </w:rPr>
        <w:footnoteReference w:id="5906"/>
      </w:r>
      <w:r w:rsidRPr="00AF3214">
        <w:rPr>
          <w:rFonts w:ascii="Narkisim" w:hAnsi="Narkisim" w:cs="Narkisim"/>
        </w:rPr>
        <w:t xml:space="preserve"> </w:t>
      </w:r>
      <w:r w:rsidRPr="00AF3214">
        <w:rPr>
          <w:rFonts w:ascii="Narkisim" w:hAnsi="Narkisim" w:cs="Narkisim"/>
          <w:rtl/>
        </w:rPr>
        <w:t>ביבמה לשוק</w:t>
      </w:r>
      <w:r w:rsidRPr="00AF3214">
        <w:rPr>
          <w:rStyle w:val="ac"/>
          <w:rFonts w:ascii="Narkisim" w:hAnsi="Narkisim" w:cs="Narkisim"/>
          <w:rtl/>
        </w:rPr>
        <w:footnoteReference w:id="5907"/>
      </w:r>
      <w:r w:rsidRPr="00AF3214">
        <w:rPr>
          <w:rFonts w:ascii="Narkisim" w:hAnsi="Narkisim" w:cs="Narkisim"/>
        </w:rPr>
        <w:t>.</w:t>
      </w:r>
    </w:p>
    <w:p w14:paraId="7EAE84CA" w14:textId="77777777" w:rsidR="006C4368" w:rsidRPr="00AF3214" w:rsidRDefault="006C4368" w:rsidP="006C4368">
      <w:pPr>
        <w:bidi/>
        <w:rPr>
          <w:rFonts w:ascii="Narkisim" w:hAnsi="Narkisim" w:cs="Narkisim"/>
        </w:rPr>
      </w:pP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xml:space="preserve">' (לעיל טז.) הק' דמיד שקידשה יפקע הזיקה, דהוה ערוה על היבם. וכמו כשהיבם </w:t>
      </w:r>
      <w:r w:rsidRPr="00AF3214">
        <w:rPr>
          <w:rFonts w:ascii="Narkisim" w:hAnsi="Narkisim" w:cs="Narkisim"/>
          <w:rtl/>
        </w:rPr>
        <w:lastRenderedPageBreak/>
        <w:t>קידש אחותה (לעיל מא. וכ"מ). ו</w:t>
      </w:r>
      <w:r w:rsidRPr="00AF3214">
        <w:rPr>
          <w:rFonts w:ascii="Narkisim" w:hAnsi="Narkisim" w:cs="Narkisim"/>
          <w:b/>
          <w:bCs/>
          <w:rtl/>
        </w:rPr>
        <w:t>תוס</w:t>
      </w:r>
      <w:r w:rsidRPr="00AF3214">
        <w:rPr>
          <w:rFonts w:ascii="Narkisim" w:hAnsi="Narkisim" w:cs="Narkisim"/>
          <w:rtl/>
        </w:rPr>
        <w:t xml:space="preserve">' תי' דכשנעשית אשת איש לא פקע הזיקה, דיש תקנה בגירושין. [וע' מה שהו' לעיל שם]. ועוד תי' </w:t>
      </w:r>
      <w:r w:rsidRPr="00AF3214">
        <w:rPr>
          <w:rFonts w:ascii="Narkisim" w:hAnsi="Narkisim" w:cs="Narkisim"/>
          <w:b/>
          <w:bCs/>
          <w:rtl/>
        </w:rPr>
        <w:t>ר"י</w:t>
      </w:r>
      <w:r w:rsidRPr="00AF3214">
        <w:rPr>
          <w:rFonts w:ascii="Narkisim" w:hAnsi="Narkisim" w:cs="Narkisim"/>
          <w:rtl/>
        </w:rPr>
        <w:t xml:space="preserve"> דמשמע בקרא לא תהיה אשת המת לאיש זר, דאפי' ע"י הויה [דהיינו קידושין] לא תהיה לאיש זר</w:t>
      </w:r>
      <w:r w:rsidRPr="00AF3214">
        <w:rPr>
          <w:rStyle w:val="ac"/>
          <w:rFonts w:ascii="Narkisim" w:hAnsi="Narkisim" w:cs="Narkisim"/>
          <w:rtl/>
        </w:rPr>
        <w:footnoteReference w:id="5908"/>
      </w:r>
      <w:r w:rsidRPr="00AF3214">
        <w:rPr>
          <w:rFonts w:ascii="Narkisim" w:hAnsi="Narkisim" w:cs="Narkisim"/>
        </w:rPr>
        <w:t>.</w:t>
      </w:r>
    </w:p>
    <w:p w14:paraId="082938C4" w14:textId="77777777" w:rsidR="006C4368" w:rsidRPr="00AF3214" w:rsidRDefault="006C4368" w:rsidP="006C4368">
      <w:pPr>
        <w:bidi/>
        <w:rPr>
          <w:rFonts w:ascii="Narkisim" w:hAnsi="Narkisim" w:cs="Narkisim"/>
        </w:rPr>
      </w:pPr>
      <w:r w:rsidRPr="00AF3214">
        <w:rPr>
          <w:rFonts w:ascii="Narkisim" w:hAnsi="Narkisim" w:cs="Narkisim"/>
          <w:u w:val="single"/>
          <w:rtl/>
        </w:rPr>
        <w:t>שם. צריכה גט</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כשאר חייבי לאוין, דתפסי קידושין [לרבנן]. אבל </w:t>
      </w:r>
      <w:r w:rsidRPr="00AF3214">
        <w:rPr>
          <w:rFonts w:ascii="Narkisim" w:hAnsi="Narkisim" w:cs="Narkisim"/>
          <w:b/>
          <w:bCs/>
          <w:rtl/>
        </w:rPr>
        <w:t>רש"י</w:t>
      </w:r>
      <w:r w:rsidRPr="00AF3214">
        <w:rPr>
          <w:rFonts w:ascii="Narkisim" w:hAnsi="Narkisim" w:cs="Narkisim"/>
          <w:rtl/>
        </w:rPr>
        <w:t xml:space="preserve"> (לעיל מט: ד"ה שומרת, וד"ה אי כשמואל) כת' [דלתנא דברייתא שם] אפי' לר"ע דאין קידושין תופסים בחייבי לאוין, בשומר"י תפסי קידושין, מדאפקיה ללאו דידה בלשון הויה, דהזהיר לא תהיה [לא תתקדש], אלמא בת הויה היא</w:t>
      </w:r>
      <w:r w:rsidRPr="00AF3214">
        <w:rPr>
          <w:rStyle w:val="ac"/>
          <w:rFonts w:ascii="Narkisim" w:hAnsi="Narkisim" w:cs="Narkisim"/>
          <w:rtl/>
        </w:rPr>
        <w:footnoteReference w:id="5909"/>
      </w:r>
      <w:r w:rsidRPr="00AF3214">
        <w:rPr>
          <w:rFonts w:ascii="Narkisim" w:hAnsi="Narkisim" w:cs="Narkisim"/>
        </w:rPr>
        <w:t xml:space="preserve">, </w:t>
      </w:r>
      <w:r w:rsidRPr="00AF3214">
        <w:rPr>
          <w:rFonts w:ascii="Narkisim" w:hAnsi="Narkisim" w:cs="Narkisim"/>
          <w:rtl/>
        </w:rPr>
        <w:t>וקידושין תפסי בה</w:t>
      </w:r>
      <w:r w:rsidRPr="00AF3214">
        <w:rPr>
          <w:rFonts w:ascii="Narkisim" w:hAnsi="Narkisim" w:cs="Narkisim"/>
        </w:rPr>
        <w:t>.</w:t>
      </w:r>
    </w:p>
    <w:p w14:paraId="30736296" w14:textId="77777777" w:rsidR="006C4368" w:rsidRPr="00AF3214" w:rsidRDefault="006C4368" w:rsidP="006C4368">
      <w:pPr>
        <w:pStyle w:val="aa"/>
        <w:bidi/>
        <w:rPr>
          <w:rFonts w:ascii="Narkisim" w:hAnsi="Narkisim"/>
        </w:rPr>
      </w:pPr>
      <w:r w:rsidRPr="00AF3214">
        <w:rPr>
          <w:rFonts w:ascii="Narkisim" w:hAnsi="Narkisim"/>
          <w:rtl/>
        </w:rPr>
        <w:t xml:space="preserve">ומבואר מדברי </w:t>
      </w:r>
      <w:r w:rsidRPr="00AF3214">
        <w:rPr>
          <w:rFonts w:ascii="Narkisim" w:hAnsi="Narkisim"/>
          <w:b/>
          <w:bCs/>
          <w:rtl/>
        </w:rPr>
        <w:t>רש"י</w:t>
      </w:r>
      <w:r w:rsidRPr="00AF3214">
        <w:rPr>
          <w:rFonts w:ascii="Narkisim" w:hAnsi="Narkisim"/>
          <w:rtl/>
        </w:rPr>
        <w:t xml:space="preserve"> (מט: ד"ה אי כרב) דלדעת רב הולד ממזר מיבמה, כיון דלא תפסי בה קידושין. ויל"ד האם כוונתו (שם) לרב אליבא דר"ע. או אף לרבנן, כיון דגלי קרא דלא תפסי קידושין הוה ממזר. [ואביי (שם) חולק דאינו ממזר, והברייתא בסוגיין כאביי]</w:t>
      </w:r>
      <w:r w:rsidRPr="00AF3214">
        <w:rPr>
          <w:rFonts w:ascii="Narkisim" w:hAnsi="Narkisim"/>
        </w:rPr>
        <w:t>.</w:t>
      </w:r>
    </w:p>
    <w:p w14:paraId="5599F4D9"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אחיעזר</w:t>
      </w:r>
      <w:r w:rsidRPr="00AF3214">
        <w:rPr>
          <w:rFonts w:ascii="Narkisim" w:hAnsi="Narkisim"/>
          <w:rtl/>
        </w:rPr>
        <w:t xml:space="preserve"> (א י) דן דמ"מ היכא דנתקדשה בטעות, שלא ידעו שהיא זקוקה ליבום, כיון דהוה רק ספק קידושין [אף לשמואל] מש"ה אפשר דהוה מקח טעות</w:t>
      </w:r>
      <w:r w:rsidRPr="00AF3214">
        <w:rPr>
          <w:rStyle w:val="ac"/>
          <w:rFonts w:ascii="Narkisim" w:hAnsi="Narkisim"/>
          <w:rtl/>
        </w:rPr>
        <w:footnoteReference w:id="5910"/>
      </w:r>
      <w:r w:rsidRPr="00AF3214">
        <w:rPr>
          <w:rFonts w:ascii="Narkisim" w:hAnsi="Narkisim"/>
        </w:rPr>
        <w:t xml:space="preserve"> </w:t>
      </w:r>
      <w:r w:rsidRPr="00AF3214">
        <w:rPr>
          <w:rFonts w:ascii="Narkisim" w:hAnsi="Narkisim"/>
          <w:rtl/>
        </w:rPr>
        <w:t>ואי"צ גט</w:t>
      </w:r>
      <w:r w:rsidRPr="00AF3214">
        <w:rPr>
          <w:rFonts w:ascii="Narkisim" w:hAnsi="Narkisim"/>
        </w:rPr>
        <w:t>.</w:t>
      </w:r>
    </w:p>
    <w:p w14:paraId="0E53194E" w14:textId="77777777" w:rsidR="006C4368" w:rsidRPr="00AF3214" w:rsidRDefault="006C4368" w:rsidP="006C4368">
      <w:pPr>
        <w:bidi/>
        <w:rPr>
          <w:rFonts w:ascii="Narkisim" w:hAnsi="Narkisim" w:cs="Narkisim"/>
        </w:rPr>
      </w:pPr>
      <w:r w:rsidRPr="00AF3214">
        <w:rPr>
          <w:rFonts w:ascii="Narkisim" w:hAnsi="Narkisim" w:cs="Narkisim"/>
          <w:u w:val="single"/>
          <w:rtl/>
        </w:rPr>
        <w:t>אי ללאו הוא דאתא</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והרי הוא כשאר חייבי לאוין, ותפסי בה קידושין. ובפשוטו הוה איסורי ביאה כשאר חייבי לאוין. ו</w:t>
      </w:r>
      <w:r w:rsidRPr="00AF3214">
        <w:rPr>
          <w:rFonts w:ascii="Narkisim" w:hAnsi="Narkisim" w:cs="Narkisim"/>
          <w:b/>
          <w:bCs/>
          <w:rtl/>
        </w:rPr>
        <w:t>תוס</w:t>
      </w:r>
      <w:r w:rsidRPr="00AF3214">
        <w:rPr>
          <w:rFonts w:ascii="Narkisim" w:hAnsi="Narkisim" w:cs="Narkisim"/>
          <w:rtl/>
        </w:rPr>
        <w:t>' (מט: ד"ה אי) כת' דלשמואל אשמעינן קרא</w:t>
      </w:r>
      <w:r w:rsidRPr="00AF3214">
        <w:rPr>
          <w:rStyle w:val="ac"/>
          <w:rFonts w:ascii="Narkisim" w:hAnsi="Narkisim" w:cs="Narkisim"/>
          <w:rtl/>
        </w:rPr>
        <w:footnoteReference w:id="5911"/>
      </w:r>
      <w:r w:rsidRPr="00AF3214">
        <w:rPr>
          <w:rFonts w:ascii="Narkisim" w:hAnsi="Narkisim" w:cs="Narkisim"/>
        </w:rPr>
        <w:t xml:space="preserve"> </w:t>
      </w:r>
      <w:r w:rsidRPr="00AF3214">
        <w:rPr>
          <w:rFonts w:ascii="Narkisim" w:hAnsi="Narkisim" w:cs="Narkisim"/>
          <w:rtl/>
        </w:rPr>
        <w:t>דלקי אקידושין. [וחמיר משאר חייבי לאוין, שלוקה אף אקידושין</w:t>
      </w:r>
      <w:r w:rsidRPr="00AF3214">
        <w:rPr>
          <w:rStyle w:val="ac"/>
          <w:rFonts w:ascii="Narkisim" w:hAnsi="Narkisim" w:cs="Narkisim"/>
          <w:rtl/>
        </w:rPr>
        <w:footnoteReference w:id="5912"/>
      </w:r>
      <w:r w:rsidRPr="00AF3214">
        <w:rPr>
          <w:rFonts w:ascii="Narkisim" w:hAnsi="Narkisim" w:cs="Narkisim"/>
          <w:rtl/>
        </w:rPr>
        <w:t>]. וה</w:t>
      </w:r>
      <w:r w:rsidRPr="00AF3214">
        <w:rPr>
          <w:rFonts w:ascii="Narkisim" w:hAnsi="Narkisim" w:cs="Narkisim"/>
          <w:b/>
          <w:bCs/>
          <w:rtl/>
        </w:rPr>
        <w:t>רמב"ן</w:t>
      </w:r>
      <w:r w:rsidRPr="00AF3214">
        <w:rPr>
          <w:rFonts w:ascii="Narkisim" w:hAnsi="Narkisim" w:cs="Narkisim"/>
          <w:rtl/>
        </w:rPr>
        <w:t xml:space="preserve"> (קידושין עח.) כת' דהך לאו הוה על הקיחה, ולוקה על הקידושין. ואינו לוקה על הביאה</w:t>
      </w:r>
      <w:r w:rsidRPr="00AF3214">
        <w:rPr>
          <w:rFonts w:ascii="Narkisim" w:hAnsi="Narkisim" w:cs="Narkisim"/>
        </w:rPr>
        <w:t>.</w:t>
      </w:r>
    </w:p>
    <w:p w14:paraId="24FE6B1A" w14:textId="77777777" w:rsidR="006C4368" w:rsidRPr="00AF3214" w:rsidRDefault="006C4368" w:rsidP="006C4368">
      <w:pPr>
        <w:bidi/>
        <w:rPr>
          <w:rFonts w:ascii="Narkisim" w:hAnsi="Narkisim" w:cs="Narkisim"/>
        </w:rPr>
      </w:pPr>
      <w:r w:rsidRPr="00AF3214">
        <w:rPr>
          <w:rFonts w:ascii="Narkisim" w:hAnsi="Narkisim" w:cs="Narkisim"/>
          <w:u w:val="single"/>
          <w:rtl/>
        </w:rPr>
        <w:t>אמר רב אשי וכו' אם היה יבמה כהן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דקאי בנישאת לשוק בעד א' או בב' עדים [ואח"כ נתברר שזקוקה ליבום</w:t>
      </w:r>
      <w:r w:rsidRPr="00AF3214">
        <w:rPr>
          <w:rStyle w:val="ac"/>
          <w:rFonts w:ascii="Narkisim" w:hAnsi="Narkisim" w:cs="Narkisim"/>
          <w:rtl/>
        </w:rPr>
        <w:footnoteReference w:id="5913"/>
      </w:r>
      <w:r w:rsidRPr="00AF3214">
        <w:rPr>
          <w:rFonts w:ascii="Narkisim" w:hAnsi="Narkisim" w:cs="Narkisim"/>
          <w:rtl/>
        </w:rPr>
        <w:t>]</w:t>
      </w:r>
      <w:r w:rsidRPr="00AF3214">
        <w:rPr>
          <w:rFonts w:ascii="Narkisim" w:hAnsi="Narkisim" w:cs="Narkisim"/>
        </w:rPr>
        <w:t>.</w:t>
      </w:r>
    </w:p>
    <w:p w14:paraId="4F5F8CE6" w14:textId="77777777" w:rsidR="006C4368" w:rsidRPr="00AF3214" w:rsidRDefault="006C4368" w:rsidP="006C4368">
      <w:pPr>
        <w:pStyle w:val="a7"/>
        <w:bidi/>
        <w:rPr>
          <w:rFonts w:ascii="Narkisim" w:hAnsi="Narkisim"/>
        </w:rPr>
      </w:pPr>
      <w:r w:rsidRPr="00AF3214">
        <w:rPr>
          <w:rFonts w:ascii="Narkisim" w:hAnsi="Narkisim"/>
          <w:rtl/>
        </w:rPr>
        <w:t xml:space="preserve">אבל שאר </w:t>
      </w:r>
      <w:r w:rsidRPr="00AF3214">
        <w:rPr>
          <w:rFonts w:ascii="Narkisim" w:hAnsi="Narkisim"/>
          <w:b/>
          <w:bCs/>
          <w:rtl/>
        </w:rPr>
        <w:t>ראשונים</w:t>
      </w:r>
      <w:r w:rsidRPr="00AF3214">
        <w:rPr>
          <w:rFonts w:ascii="Narkisim" w:hAnsi="Narkisim"/>
          <w:rtl/>
        </w:rPr>
        <w:t xml:space="preserve"> (וכ"מ </w:t>
      </w:r>
      <w:r w:rsidRPr="00AF3214">
        <w:rPr>
          <w:rFonts w:ascii="Narkisim" w:hAnsi="Narkisim"/>
          <w:b/>
          <w:bCs/>
          <w:rtl/>
        </w:rPr>
        <w:t>תוס'</w:t>
      </w:r>
      <w:r w:rsidRPr="00AF3214">
        <w:rPr>
          <w:rFonts w:ascii="Narkisim" w:hAnsi="Narkisim"/>
          <w:rtl/>
        </w:rPr>
        <w:t xml:space="preserve"> ד"ה נותן) דקאי בכל יבמה בעלמא, שקבלה קידושין מאחר. [אף במזיד]. וה</w:t>
      </w:r>
      <w:r w:rsidRPr="00AF3214">
        <w:rPr>
          <w:rFonts w:ascii="Narkisim" w:hAnsi="Narkisim"/>
          <w:b/>
          <w:bCs/>
          <w:rtl/>
        </w:rPr>
        <w:t>ריטב"א</w:t>
      </w:r>
      <w:r w:rsidRPr="00AF3214">
        <w:rPr>
          <w:rFonts w:ascii="Narkisim" w:hAnsi="Narkisim"/>
          <w:rtl/>
        </w:rPr>
        <w:t xml:space="preserve"> כת' דרש"י לא ניח"ל בזה, דמשום קידושין לחוד לא עבר איסור, ובגמ' (בסמוך) נקרא 'חוטא' נשכר</w:t>
      </w:r>
      <w:r w:rsidRPr="00AF3214">
        <w:rPr>
          <w:rFonts w:ascii="Narkisim" w:hAnsi="Narkisim"/>
        </w:rPr>
        <w:t>].</w:t>
      </w:r>
    </w:p>
    <w:p w14:paraId="1FAD4633"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כת' דדעת רש"י דאי נתקדשה או נשאת לאחר במזיד פשיטא דלא התירו לזה, דנמצא מחזקינן ידי עוברי עבירה. אלא דוקא בנשאת בעד א</w:t>
      </w:r>
      <w:r w:rsidRPr="00AF3214">
        <w:rPr>
          <w:rFonts w:ascii="Narkisim" w:hAnsi="Narkisim" w:cs="Narkisim"/>
        </w:rPr>
        <w:t>'.</w:t>
      </w:r>
    </w:p>
    <w:p w14:paraId="556AC28E" w14:textId="77777777" w:rsidR="006C4368" w:rsidRPr="00AF3214" w:rsidRDefault="006C4368" w:rsidP="006C4368">
      <w:pPr>
        <w:pStyle w:val="aa"/>
        <w:bidi/>
        <w:rPr>
          <w:rFonts w:ascii="Narkisim" w:hAnsi="Narkisim"/>
        </w:rPr>
      </w:pPr>
      <w:r w:rsidRPr="00AF3214">
        <w:rPr>
          <w:rFonts w:ascii="Narkisim" w:hAnsi="Narkisim"/>
          <w:u w:val="single"/>
          <w:rtl/>
        </w:rPr>
        <w:t>שם. אם היה יבמה כהן חולץ לה, ושריא ליה</w:t>
      </w:r>
      <w:r w:rsidRPr="00AF3214">
        <w:rPr>
          <w:rStyle w:val="ac"/>
          <w:rFonts w:ascii="Narkisim" w:hAnsi="Narkisim"/>
          <w:rtl/>
        </w:rPr>
        <w:footnoteReference w:id="5914"/>
      </w:r>
      <w:r w:rsidRPr="00AF3214">
        <w:rPr>
          <w:rFonts w:ascii="Narkisim" w:hAnsi="Narkisim"/>
        </w:rPr>
        <w:t xml:space="preserve">. </w:t>
      </w:r>
      <w:r w:rsidRPr="00AF3214">
        <w:rPr>
          <w:rFonts w:ascii="Narkisim" w:hAnsi="Narkisim"/>
          <w:rtl/>
        </w:rPr>
        <w:t>מבואר דחולץ בעודה אשת איש [ואף דעכשיו אינה ראוי ליבום]. וכ"כ ה</w:t>
      </w:r>
      <w:r w:rsidRPr="00AF3214">
        <w:rPr>
          <w:rFonts w:ascii="Narkisim" w:hAnsi="Narkisim"/>
          <w:b/>
          <w:bCs/>
          <w:rtl/>
        </w:rPr>
        <w:t>בית מאיר</w:t>
      </w:r>
      <w:r w:rsidRPr="00AF3214">
        <w:rPr>
          <w:rFonts w:ascii="Narkisim" w:hAnsi="Narkisim"/>
          <w:rtl/>
        </w:rPr>
        <w:t xml:space="preserve"> (קנט הו' בפתח"ת שם ג). ודלא כלבוש (שם) (וע' מש"כ לעיל לז: טז.)</w:t>
      </w:r>
      <w:r w:rsidRPr="00AF3214">
        <w:rPr>
          <w:rFonts w:ascii="Narkisim" w:hAnsi="Narkisim"/>
        </w:rPr>
        <w:t>.</w:t>
      </w:r>
    </w:p>
    <w:p w14:paraId="7BB6ABFB" w14:textId="77777777" w:rsidR="006C4368" w:rsidRPr="00AF3214" w:rsidRDefault="006C4368" w:rsidP="006C4368">
      <w:pPr>
        <w:pStyle w:val="aa"/>
        <w:bidi/>
        <w:rPr>
          <w:rFonts w:ascii="Narkisim" w:hAnsi="Narkisim"/>
        </w:rPr>
      </w:pPr>
      <w:r w:rsidRPr="00AF3214">
        <w:rPr>
          <w:rFonts w:ascii="Narkisim" w:hAnsi="Narkisim"/>
          <w:u w:val="single"/>
          <w:rtl/>
        </w:rPr>
        <w:t>רש"י ד"ה אם היה יבמה כהן</w:t>
      </w:r>
      <w:r w:rsidRPr="00AF3214">
        <w:rPr>
          <w:rFonts w:ascii="Narkisim" w:hAnsi="Narkisim"/>
          <w:rtl/>
        </w:rPr>
        <w:t>. וזו נישאת לשוק וכו' וכיון דיהיב לה גיטא מיפסלה וכו'. מבואר דבמה שנשאת לשוק אינה נאסרת לכהונה [ונפסלה רק ע"י הגט]. וכר' יהושע (לעיל טו:) דיבמה שנשאת לשוק [לכהן], הולד ראוי להיות כה"ג</w:t>
      </w:r>
      <w:r w:rsidRPr="00AF3214">
        <w:rPr>
          <w:rStyle w:val="ac"/>
          <w:rFonts w:ascii="Narkisim" w:hAnsi="Narkisim"/>
          <w:rtl/>
        </w:rPr>
        <w:footnoteReference w:id="5915"/>
      </w:r>
      <w:r w:rsidRPr="00AF3214">
        <w:rPr>
          <w:rFonts w:ascii="Narkisim" w:hAnsi="Narkisim"/>
        </w:rPr>
        <w:t xml:space="preserve">. </w:t>
      </w:r>
      <w:r w:rsidRPr="00AF3214">
        <w:rPr>
          <w:rFonts w:ascii="Narkisim" w:hAnsi="Narkisim"/>
          <w:rtl/>
        </w:rPr>
        <w:t>וה</w:t>
      </w:r>
      <w:r w:rsidRPr="00AF3214">
        <w:rPr>
          <w:rFonts w:ascii="Narkisim" w:hAnsi="Narkisim"/>
          <w:b/>
          <w:bCs/>
          <w:rtl/>
        </w:rPr>
        <w:t>ערול"נ</w:t>
      </w:r>
      <w:r w:rsidRPr="00AF3214">
        <w:rPr>
          <w:rFonts w:ascii="Narkisim" w:hAnsi="Narkisim"/>
          <w:rtl/>
        </w:rPr>
        <w:t xml:space="preserve"> הק' לדעת רש"י (לעיל סא.) דמשמע דאף כל ביאת איסור הוה זונה. ואכמ"ל</w:t>
      </w:r>
      <w:r w:rsidRPr="00AF3214">
        <w:rPr>
          <w:rFonts w:ascii="Narkisim" w:hAnsi="Narkisim"/>
        </w:rPr>
        <w:t>.</w:t>
      </w:r>
    </w:p>
    <w:p w14:paraId="29F0B9B1" w14:textId="77777777" w:rsidR="006C4368" w:rsidRPr="00AF3214" w:rsidRDefault="006C4368" w:rsidP="006C4368">
      <w:pPr>
        <w:pStyle w:val="a8"/>
        <w:bidi/>
        <w:rPr>
          <w:rFonts w:ascii="Narkisim" w:hAnsi="Narkisim"/>
        </w:rPr>
      </w:pPr>
      <w:r w:rsidRPr="00AF3214">
        <w:rPr>
          <w:rFonts w:ascii="Narkisim" w:hAnsi="Narkisim"/>
          <w:rtl/>
        </w:rPr>
        <w:t>ודעת ה</w:t>
      </w:r>
      <w:r w:rsidRPr="00AF3214">
        <w:rPr>
          <w:rFonts w:ascii="Narkisim" w:hAnsi="Narkisim"/>
          <w:b/>
          <w:bCs/>
          <w:rtl/>
        </w:rPr>
        <w:t>טור</w:t>
      </w:r>
      <w:r w:rsidRPr="00AF3214">
        <w:rPr>
          <w:rFonts w:ascii="Narkisim" w:hAnsi="Narkisim"/>
          <w:rtl/>
        </w:rPr>
        <w:t xml:space="preserve"> (ו) דביאת שאר חייבי לאוין אינה נפסלת לכהונה, חוץ מיבמה לשוק דלא תפסי בה קידושין</w:t>
      </w:r>
      <w:r w:rsidRPr="00AF3214">
        <w:rPr>
          <w:rStyle w:val="ac"/>
          <w:rFonts w:ascii="Narkisim" w:hAnsi="Narkisim"/>
          <w:rtl/>
        </w:rPr>
        <w:footnoteReference w:id="5916"/>
      </w:r>
      <w:r w:rsidRPr="00AF3214">
        <w:rPr>
          <w:rFonts w:ascii="Narkisim" w:hAnsi="Narkisim"/>
        </w:rPr>
        <w:t xml:space="preserve">. </w:t>
      </w:r>
      <w:r w:rsidRPr="00AF3214">
        <w:rPr>
          <w:rFonts w:ascii="Narkisim" w:hAnsi="Narkisim"/>
          <w:rtl/>
        </w:rPr>
        <w:lastRenderedPageBreak/>
        <w:t>וה</w:t>
      </w:r>
      <w:r w:rsidRPr="00AF3214">
        <w:rPr>
          <w:rFonts w:ascii="Narkisim" w:hAnsi="Narkisim"/>
          <w:b/>
          <w:bCs/>
          <w:rtl/>
        </w:rPr>
        <w:t>ב"י</w:t>
      </w:r>
      <w:r w:rsidRPr="00AF3214">
        <w:rPr>
          <w:rFonts w:ascii="Narkisim" w:hAnsi="Narkisim"/>
          <w:rtl/>
        </w:rPr>
        <w:t xml:space="preserve"> הק' דקי"ל דהקידושין ספק, א"כ יפסול רק מספק. וה</w:t>
      </w:r>
      <w:r w:rsidRPr="00AF3214">
        <w:rPr>
          <w:rFonts w:ascii="Narkisim" w:hAnsi="Narkisim"/>
          <w:b/>
          <w:bCs/>
          <w:rtl/>
        </w:rPr>
        <w:t>ב"ח</w:t>
      </w:r>
      <w:r w:rsidRPr="00AF3214">
        <w:rPr>
          <w:rFonts w:ascii="Narkisim" w:hAnsi="Narkisim"/>
          <w:rtl/>
        </w:rPr>
        <w:t xml:space="preserve"> ו</w:t>
      </w:r>
      <w:r w:rsidRPr="00AF3214">
        <w:rPr>
          <w:rFonts w:ascii="Narkisim" w:hAnsi="Narkisim"/>
          <w:b/>
          <w:bCs/>
          <w:rtl/>
        </w:rPr>
        <w:t>מהרש"ל</w:t>
      </w:r>
      <w:r w:rsidRPr="00AF3214">
        <w:rPr>
          <w:rFonts w:ascii="Narkisim" w:hAnsi="Narkisim"/>
          <w:rtl/>
        </w:rPr>
        <w:t xml:space="preserve"> לטור כת' דהא דצריכה גט הוה לרווחא דמילתא, ומדינא לוקה משום זונה. וה</w:t>
      </w:r>
      <w:r w:rsidRPr="00AF3214">
        <w:rPr>
          <w:rFonts w:ascii="Narkisim" w:hAnsi="Narkisim"/>
          <w:b/>
          <w:bCs/>
          <w:rtl/>
        </w:rPr>
        <w:t>אבנ"מ</w:t>
      </w:r>
      <w:r w:rsidRPr="00AF3214">
        <w:rPr>
          <w:rFonts w:ascii="Narkisim" w:hAnsi="Narkisim"/>
          <w:rtl/>
        </w:rPr>
        <w:t xml:space="preserve"> (ו ד) ציין דמדברי ה</w:t>
      </w:r>
      <w:r w:rsidRPr="00AF3214">
        <w:rPr>
          <w:rFonts w:ascii="Narkisim" w:hAnsi="Narkisim"/>
          <w:b/>
          <w:bCs/>
          <w:rtl/>
        </w:rPr>
        <w:t>רמב"ם</w:t>
      </w:r>
      <w:r w:rsidRPr="00AF3214">
        <w:rPr>
          <w:rFonts w:ascii="Narkisim" w:hAnsi="Narkisim"/>
          <w:rtl/>
        </w:rPr>
        <w:t xml:space="preserve"> (אישות ד יד) מבואר דהוה ספק גמור</w:t>
      </w:r>
      <w:r w:rsidRPr="00AF3214">
        <w:rPr>
          <w:rFonts w:ascii="Narkisim" w:hAnsi="Narkisim"/>
        </w:rPr>
        <w:t>.</w:t>
      </w:r>
    </w:p>
    <w:p w14:paraId="1310785F" w14:textId="77777777" w:rsidR="006C4368" w:rsidRPr="00AF3214" w:rsidRDefault="006C4368" w:rsidP="006C4368">
      <w:pPr>
        <w:bidi/>
        <w:rPr>
          <w:rFonts w:ascii="Narkisim" w:hAnsi="Narkisim" w:cs="Narkisim"/>
        </w:rPr>
      </w:pPr>
      <w:r w:rsidRPr="00AF3214">
        <w:rPr>
          <w:rFonts w:ascii="Narkisim" w:hAnsi="Narkisim" w:cs="Narkisim"/>
          <w:u w:val="single"/>
          <w:rtl/>
        </w:rPr>
        <w:t>איתגורי איתגר, א"כ מצינו חוטא נשכר וכו'</w:t>
      </w:r>
      <w:r w:rsidRPr="00AF3214">
        <w:rPr>
          <w:rFonts w:ascii="Narkisim" w:hAnsi="Narkisim" w:cs="Narkisim"/>
          <w:rtl/>
        </w:rPr>
        <w:t>. ה</w:t>
      </w:r>
      <w:r w:rsidRPr="00AF3214">
        <w:rPr>
          <w:rFonts w:ascii="Narkisim" w:hAnsi="Narkisim" w:cs="Narkisim"/>
          <w:b/>
          <w:bCs/>
          <w:rtl/>
        </w:rPr>
        <w:t>רי"ף</w:t>
      </w:r>
      <w:r w:rsidRPr="00AF3214">
        <w:rPr>
          <w:rFonts w:ascii="Narkisim" w:hAnsi="Narkisim" w:cs="Narkisim"/>
          <w:rtl/>
        </w:rPr>
        <w:t xml:space="preserve"> הביא בשם </w:t>
      </w:r>
      <w:r w:rsidRPr="00AF3214">
        <w:rPr>
          <w:rFonts w:ascii="Narkisim" w:hAnsi="Narkisim" w:cs="Narkisim"/>
          <w:b/>
          <w:bCs/>
          <w:rtl/>
        </w:rPr>
        <w:t>רב יהודאי גאון</w:t>
      </w:r>
      <w:r w:rsidRPr="00AF3214">
        <w:rPr>
          <w:rFonts w:ascii="Narkisim" w:hAnsi="Narkisim" w:cs="Narkisim"/>
          <w:rtl/>
        </w:rPr>
        <w:t xml:space="preserve"> (בה"ג הלכות יבום) דיבמה שנתקדשה אסורה למקדש עולמית, כדי שלא יהא חוטא נשכר</w:t>
      </w:r>
      <w:r w:rsidRPr="00AF3214">
        <w:rPr>
          <w:rStyle w:val="ac"/>
          <w:rFonts w:ascii="Narkisim" w:hAnsi="Narkisim" w:cs="Narkisim"/>
          <w:rtl/>
        </w:rPr>
        <w:footnoteReference w:id="5917"/>
      </w:r>
      <w:r w:rsidRPr="00AF3214">
        <w:rPr>
          <w:rFonts w:ascii="Narkisim" w:hAnsi="Narkisim" w:cs="Narkisim"/>
        </w:rPr>
        <w:t xml:space="preserve">. </w:t>
      </w:r>
      <w:r w:rsidRPr="00AF3214">
        <w:rPr>
          <w:rFonts w:ascii="Narkisim" w:hAnsi="Narkisim" w:cs="Narkisim"/>
          <w:rtl/>
        </w:rPr>
        <w:t>ואפי' בישראל אפי' חלץ לה מדעתו אסורה לשני. ו</w:t>
      </w:r>
      <w:r w:rsidRPr="00AF3214">
        <w:rPr>
          <w:rFonts w:ascii="Narkisim" w:hAnsi="Narkisim" w:cs="Narkisim"/>
          <w:b/>
          <w:bCs/>
          <w:rtl/>
        </w:rPr>
        <w:t>תוס</w:t>
      </w:r>
      <w:r w:rsidRPr="00AF3214">
        <w:rPr>
          <w:rFonts w:ascii="Narkisim" w:hAnsi="Narkisim" w:cs="Narkisim"/>
          <w:rtl/>
        </w:rPr>
        <w:t xml:space="preserve">' (בסו"ד) הביאו דכ"ד </w:t>
      </w:r>
      <w:r w:rsidRPr="00AF3214">
        <w:rPr>
          <w:rFonts w:ascii="Narkisim" w:hAnsi="Narkisim" w:cs="Narkisim"/>
          <w:b/>
          <w:bCs/>
          <w:rtl/>
        </w:rPr>
        <w:t>ר"ח</w:t>
      </w:r>
      <w:r w:rsidRPr="00AF3214">
        <w:rPr>
          <w:rFonts w:ascii="Narkisim" w:hAnsi="Narkisim" w:cs="Narkisim"/>
          <w:rtl/>
        </w:rPr>
        <w:t xml:space="preserve"> כ</w:t>
      </w:r>
      <w:r w:rsidRPr="00AF3214">
        <w:rPr>
          <w:rFonts w:ascii="Narkisim" w:hAnsi="Narkisim" w:cs="Narkisim"/>
          <w:b/>
          <w:bCs/>
          <w:rtl/>
        </w:rPr>
        <w:t>בה"ג</w:t>
      </w:r>
      <w:r w:rsidRPr="00AF3214">
        <w:rPr>
          <w:rFonts w:ascii="Narkisim" w:hAnsi="Narkisim" w:cs="Narkisim"/>
          <w:rtl/>
        </w:rPr>
        <w:t xml:space="preserve"> דאפי' נתקדשה אסורה למקדש. וכ"ד ה</w:t>
      </w:r>
      <w:r w:rsidRPr="00AF3214">
        <w:rPr>
          <w:rFonts w:ascii="Narkisim" w:hAnsi="Narkisim" w:cs="Narkisim"/>
          <w:b/>
          <w:bCs/>
          <w:rtl/>
        </w:rPr>
        <w:t>רמב"ם</w:t>
      </w:r>
      <w:r w:rsidRPr="00AF3214">
        <w:rPr>
          <w:rFonts w:ascii="Narkisim" w:hAnsi="Narkisim" w:cs="Narkisim"/>
          <w:rtl/>
        </w:rPr>
        <w:t xml:space="preserve"> (ב כ)</w:t>
      </w:r>
      <w:r w:rsidRPr="00AF3214">
        <w:rPr>
          <w:rFonts w:ascii="Narkisim" w:hAnsi="Narkisim" w:cs="Narkisim"/>
        </w:rPr>
        <w:t>.</w:t>
      </w:r>
    </w:p>
    <w:p w14:paraId="79E68968" w14:textId="77777777" w:rsidR="006C4368" w:rsidRPr="00AF3214" w:rsidRDefault="006C4368" w:rsidP="006C4368">
      <w:pPr>
        <w:pStyle w:val="a7"/>
        <w:bidi/>
        <w:rPr>
          <w:rFonts w:ascii="Narkisim" w:hAnsi="Narkisim"/>
        </w:rPr>
      </w:pPr>
      <w:r w:rsidRPr="00AF3214">
        <w:rPr>
          <w:rFonts w:ascii="Narkisim" w:hAnsi="Narkisim"/>
          <w:rtl/>
        </w:rPr>
        <w:t xml:space="preserve">אבל דעת </w:t>
      </w:r>
      <w:r w:rsidRPr="00AF3214">
        <w:rPr>
          <w:rFonts w:ascii="Narkisim" w:hAnsi="Narkisim"/>
          <w:b/>
          <w:bCs/>
          <w:rtl/>
        </w:rPr>
        <w:t>ר"ת</w:t>
      </w:r>
      <w:r w:rsidRPr="00AF3214">
        <w:rPr>
          <w:rFonts w:ascii="Narkisim" w:hAnsi="Narkisim"/>
          <w:rtl/>
        </w:rPr>
        <w:t xml:space="preserve"> </w:t>
      </w:r>
      <w:r w:rsidRPr="00AF3214">
        <w:rPr>
          <w:rFonts w:ascii="Narkisim" w:hAnsi="Narkisim"/>
          <w:szCs w:val="20"/>
          <w:rtl/>
        </w:rPr>
        <w:t>(בתוס')</w:t>
      </w:r>
      <w:r w:rsidRPr="00AF3214">
        <w:rPr>
          <w:rFonts w:ascii="Narkisim" w:hAnsi="Narkisim"/>
          <w:rtl/>
        </w:rPr>
        <w:t xml:space="preserve"> דכוונת הגמ' דאין כופין שיחלוץ לה בע"כ. אבל אילו היבם רוצה לחלוץ לה, מותרת למקדש</w:t>
      </w:r>
      <w:r w:rsidRPr="00AF3214">
        <w:rPr>
          <w:rFonts w:ascii="Narkisim" w:hAnsi="Narkisim"/>
        </w:rPr>
        <w:t>.</w:t>
      </w:r>
    </w:p>
    <w:p w14:paraId="1C326421"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(שם) כת' דהיכא דהמקדש גירשה</w:t>
      </w:r>
      <w:r w:rsidRPr="00AF3214">
        <w:rPr>
          <w:rStyle w:val="ac"/>
          <w:rFonts w:ascii="Narkisim" w:hAnsi="Narkisim"/>
          <w:rtl/>
        </w:rPr>
        <w:footnoteReference w:id="5918"/>
      </w:r>
      <w:r w:rsidRPr="00AF3214">
        <w:rPr>
          <w:rFonts w:ascii="Narkisim" w:hAnsi="Narkisim"/>
        </w:rPr>
        <w:t xml:space="preserve"> </w:t>
      </w:r>
      <w:r w:rsidRPr="00AF3214">
        <w:rPr>
          <w:rFonts w:ascii="Narkisim" w:hAnsi="Narkisim"/>
          <w:rtl/>
        </w:rPr>
        <w:t>והיבם חלץ לה, וחזר המקדש ונשאה אין מוציאין אותה מידו</w:t>
      </w:r>
      <w:r w:rsidRPr="00AF3214">
        <w:rPr>
          <w:rStyle w:val="ac"/>
          <w:rFonts w:ascii="Narkisim" w:hAnsi="Narkisim"/>
          <w:rtl/>
        </w:rPr>
        <w:footnoteReference w:id="5919"/>
      </w:r>
      <w:r w:rsidRPr="00AF3214">
        <w:rPr>
          <w:rFonts w:ascii="Narkisim" w:hAnsi="Narkisim"/>
        </w:rPr>
        <w:t xml:space="preserve">. </w:t>
      </w:r>
      <w:r w:rsidRPr="00AF3214">
        <w:rPr>
          <w:rFonts w:ascii="Narkisim" w:hAnsi="Narkisim"/>
          <w:rtl/>
        </w:rPr>
        <w:t>[ולא גזרו בזה דתצא מזה ומזה, וכדברי הגאונים דלא גזרו דהולד ממזר]. והרמב"ן הוסיף דאפי' כשהיבם כהן</w:t>
      </w:r>
      <w:r w:rsidRPr="00AF3214">
        <w:rPr>
          <w:rFonts w:ascii="Narkisim" w:hAnsi="Narkisim"/>
        </w:rPr>
        <w:t>.</w:t>
      </w:r>
    </w:p>
    <w:p w14:paraId="5437F784" w14:textId="77777777" w:rsidR="006C4368" w:rsidRPr="00AF3214" w:rsidRDefault="006C4368" w:rsidP="006C4368">
      <w:pPr>
        <w:bidi/>
        <w:rPr>
          <w:rFonts w:ascii="Narkisim" w:hAnsi="Narkisim" w:cs="Narkisim"/>
        </w:rPr>
      </w:pPr>
      <w:r w:rsidRPr="00AF3214">
        <w:rPr>
          <w:rFonts w:ascii="Narkisim" w:hAnsi="Narkisim" w:cs="Narkisim"/>
          <w:u w:val="single"/>
          <w:rtl/>
        </w:rPr>
        <w:t>אלא אם היה יבמה ישראל נותן לה שני גט והותרה לו</w:t>
      </w:r>
      <w:r w:rsidRPr="00AF3214">
        <w:rPr>
          <w:rFonts w:ascii="Narkisim" w:hAnsi="Narkisim" w:cs="Narkisim"/>
          <w:rtl/>
        </w:rPr>
        <w:t>. [ליבם]. פ</w:t>
      </w:r>
      <w:r w:rsidRPr="00AF3214">
        <w:rPr>
          <w:rFonts w:ascii="Narkisim" w:hAnsi="Narkisim" w:cs="Narkisim"/>
          <w:b/>
          <w:bCs/>
          <w:rtl/>
        </w:rPr>
        <w:t>רש"י</w:t>
      </w:r>
      <w:r w:rsidRPr="00AF3214">
        <w:rPr>
          <w:rFonts w:ascii="Narkisim" w:hAnsi="Narkisim" w:cs="Narkisim"/>
          <w:rtl/>
        </w:rPr>
        <w:t xml:space="preserve"> (סוד"ה בזנות) דרב אשי לא ס"ל כרב המנונא. ולשיטתו (בד"ה אם היה) דאיירי לאחר שנשאת. ואפ"ה נותן גט ומותרת. אבל </w:t>
      </w:r>
      <w:r w:rsidRPr="00AF3214">
        <w:rPr>
          <w:rFonts w:ascii="Narkisim" w:hAnsi="Narkisim" w:cs="Narkisim"/>
          <w:b/>
          <w:bCs/>
          <w:rtl/>
        </w:rPr>
        <w:t>תוס'</w:t>
      </w:r>
      <w:r w:rsidRPr="00AF3214">
        <w:rPr>
          <w:rFonts w:ascii="Narkisim" w:hAnsi="Narkisim" w:cs="Narkisim"/>
          <w:rtl/>
        </w:rPr>
        <w:t xml:space="preserve"> כת' דאיירי שנתקדשה, דאי נשאת גזרו דתצא מזה ומזה</w:t>
      </w:r>
      <w:r w:rsidRPr="00AF3214">
        <w:rPr>
          <w:rStyle w:val="ac"/>
          <w:rFonts w:ascii="Narkisim" w:hAnsi="Narkisim" w:cs="Narkisim"/>
          <w:rtl/>
        </w:rPr>
        <w:footnoteReference w:id="5920"/>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ביאר דאף למ"ד דפליג ארב המנונא, מן הנשואין גזרו משום דמחלפא באשה שהלך בעלה למדינת הים [וכדאי' בסמוך וגיטין פ:, הו' לעיל]</w:t>
      </w:r>
      <w:r w:rsidRPr="00AF3214">
        <w:rPr>
          <w:rFonts w:ascii="Narkisim" w:hAnsi="Narkisim" w:cs="Narkisim"/>
        </w:rPr>
        <w:t>.</w:t>
      </w:r>
    </w:p>
    <w:p w14:paraId="021F5F45"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פי' דאפי' אשת איש שנתקדשה לא גזרו לאסור (וכדאי' במשנה צב.) כיון דלא עבדא איסורא (וכדאי' בגמ' לעיל פט.). וצ"ב א"כ מאי קמ"ל רב אשי ביבמה. וה</w:t>
      </w:r>
      <w:r w:rsidRPr="00AF3214">
        <w:rPr>
          <w:rFonts w:ascii="Narkisim" w:hAnsi="Narkisim"/>
          <w:b/>
          <w:bCs/>
          <w:rtl/>
        </w:rPr>
        <w:t>רמב"ן</w:t>
      </w:r>
      <w:r w:rsidRPr="00AF3214">
        <w:rPr>
          <w:rFonts w:ascii="Narkisim" w:hAnsi="Narkisim"/>
          <w:rtl/>
        </w:rPr>
        <w:t xml:space="preserve"> ביאר דקמ"ל דכופין את המקדש ליתן גט</w:t>
      </w:r>
      <w:r w:rsidRPr="00AF3214">
        <w:rPr>
          <w:rStyle w:val="ac"/>
          <w:rFonts w:ascii="Narkisim" w:hAnsi="Narkisim"/>
          <w:rtl/>
        </w:rPr>
        <w:footnoteReference w:id="5921"/>
      </w:r>
      <w:r w:rsidRPr="00AF3214">
        <w:rPr>
          <w:rFonts w:ascii="Narkisim" w:hAnsi="Narkisim"/>
        </w:rPr>
        <w:t>.</w:t>
      </w:r>
    </w:p>
    <w:p w14:paraId="08968527" w14:textId="77777777" w:rsidR="006C4368" w:rsidRPr="00AF3214" w:rsidRDefault="006C4368" w:rsidP="006C4368">
      <w:pPr>
        <w:pStyle w:val="a8"/>
        <w:bidi/>
        <w:rPr>
          <w:rFonts w:ascii="Narkisim" w:hAnsi="Narkisim"/>
        </w:rPr>
      </w:pPr>
      <w:r w:rsidRPr="00AF3214">
        <w:rPr>
          <w:rFonts w:ascii="Narkisim" w:hAnsi="Narkisim"/>
          <w:rtl/>
        </w:rPr>
        <w:t>ועוד כת' ה</w:t>
      </w:r>
      <w:r w:rsidRPr="00AF3214">
        <w:rPr>
          <w:rFonts w:ascii="Narkisim" w:hAnsi="Narkisim"/>
          <w:b/>
          <w:bCs/>
          <w:rtl/>
        </w:rPr>
        <w:t>רמב"ן</w:t>
      </w:r>
      <w:r w:rsidRPr="00AF3214">
        <w:rPr>
          <w:rFonts w:ascii="Narkisim" w:hAnsi="Narkisim"/>
          <w:rtl/>
        </w:rPr>
        <w:t xml:space="preserve"> דס"ד דע"י שהלכה ונתקדשה כוונתה לבטל מצוות יבמין, אף שהיתה יודעת שהיא זקוקה ליבם. וס"ד דיש לקונסה ליאסר, ע"ד הני (במשנה גיטין עט: שהו' לעיל צא:) דקנסו דכל הדרכים האלו בה</w:t>
      </w:r>
      <w:r w:rsidRPr="00AF3214">
        <w:rPr>
          <w:rStyle w:val="ac"/>
          <w:rFonts w:ascii="Narkisim" w:hAnsi="Narkisim"/>
          <w:rtl/>
        </w:rPr>
        <w:footnoteReference w:id="5922"/>
      </w:r>
      <w:r w:rsidRPr="00AF3214">
        <w:rPr>
          <w:rFonts w:ascii="Narkisim" w:hAnsi="Narkisim"/>
        </w:rPr>
        <w:t>.</w:t>
      </w:r>
    </w:p>
    <w:p w14:paraId="117EEDA8" w14:textId="77777777" w:rsidR="006C4368" w:rsidRPr="00AF3214" w:rsidRDefault="006C4368" w:rsidP="006C4368">
      <w:pPr>
        <w:pStyle w:val="a8"/>
        <w:bidi/>
        <w:rPr>
          <w:rFonts w:ascii="Narkisim" w:hAnsi="Narkisim"/>
        </w:rPr>
      </w:pPr>
      <w:r w:rsidRPr="00AF3214">
        <w:rPr>
          <w:rFonts w:ascii="Narkisim" w:hAnsi="Narkisim"/>
          <w:rtl/>
        </w:rPr>
        <w:t>ועוד הביא ה</w:t>
      </w:r>
      <w:r w:rsidRPr="00AF3214">
        <w:rPr>
          <w:rFonts w:ascii="Narkisim" w:hAnsi="Narkisim"/>
          <w:b/>
          <w:bCs/>
          <w:rtl/>
        </w:rPr>
        <w:t>רמב"ן</w:t>
      </w:r>
      <w:r w:rsidRPr="00AF3214">
        <w:rPr>
          <w:rFonts w:ascii="Narkisim" w:hAnsi="Narkisim"/>
          <w:rtl/>
        </w:rPr>
        <w:t xml:space="preserve"> בשם ה</w:t>
      </w:r>
      <w:r w:rsidRPr="00AF3214">
        <w:rPr>
          <w:rFonts w:ascii="Narkisim" w:hAnsi="Narkisim"/>
          <w:b/>
          <w:bCs/>
          <w:rtl/>
        </w:rPr>
        <w:t>ר' אב"ד</w:t>
      </w:r>
      <w:r w:rsidRPr="00AF3214">
        <w:rPr>
          <w:rFonts w:ascii="Narkisim" w:hAnsi="Narkisim"/>
          <w:rtl/>
        </w:rPr>
        <w:t xml:space="preserve"> דכוונת הגמ' דהותרה דוקא ליבם, אבל למקדש לא תהא מותרת לעולם. וכדברי הגאונים (הנ"ל)</w:t>
      </w:r>
      <w:r w:rsidRPr="00AF3214">
        <w:rPr>
          <w:rFonts w:ascii="Narkisim" w:hAnsi="Narkisim"/>
        </w:rPr>
        <w:t>.</w:t>
      </w:r>
    </w:p>
    <w:p w14:paraId="4D701140" w14:textId="77777777" w:rsidR="006C4368" w:rsidRPr="00AF3214" w:rsidRDefault="006C4368" w:rsidP="006C4368">
      <w:pPr>
        <w:bidi/>
        <w:rPr>
          <w:rFonts w:ascii="Narkisim" w:hAnsi="Narkisim" w:cs="Narkisim"/>
        </w:rPr>
      </w:pPr>
      <w:r w:rsidRPr="00AF3214">
        <w:rPr>
          <w:rFonts w:ascii="Narkisim" w:hAnsi="Narkisim" w:cs="Narkisim"/>
          <w:u w:val="single"/>
          <w:rtl/>
        </w:rPr>
        <w:t>תוד"ה נותן</w:t>
      </w:r>
      <w:r w:rsidRPr="00AF3214">
        <w:rPr>
          <w:rFonts w:ascii="Narkisim" w:hAnsi="Narkisim" w:cs="Narkisim"/>
          <w:rtl/>
        </w:rPr>
        <w:t>. דבקידושין לא קנסי' אפי' באשת איש, אלא דוקא כשניסת דעבדא איסורא</w:t>
      </w:r>
      <w:r w:rsidRPr="00AF3214">
        <w:rPr>
          <w:rStyle w:val="ac"/>
          <w:rFonts w:ascii="Narkisim" w:hAnsi="Narkisim" w:cs="Narkisim"/>
          <w:rtl/>
        </w:rPr>
        <w:footnoteReference w:id="5923"/>
      </w:r>
      <w:r w:rsidRPr="00AF3214">
        <w:rPr>
          <w:rFonts w:ascii="Narkisim" w:hAnsi="Narkisim" w:cs="Narkisim"/>
        </w:rPr>
        <w:t xml:space="preserve">. </w:t>
      </w:r>
      <w:r w:rsidRPr="00AF3214">
        <w:rPr>
          <w:rFonts w:ascii="Narkisim" w:hAnsi="Narkisim" w:cs="Narkisim"/>
          <w:rtl/>
        </w:rPr>
        <w:t>[וכדאי' לעיל פט.]. וכן ה</w:t>
      </w:r>
      <w:r w:rsidRPr="00AF3214">
        <w:rPr>
          <w:rFonts w:ascii="Narkisim" w:hAnsi="Narkisim" w:cs="Narkisim"/>
          <w:b/>
          <w:bCs/>
          <w:rtl/>
        </w:rPr>
        <w:t>רמב"ן</w:t>
      </w:r>
      <w:r w:rsidRPr="00AF3214">
        <w:rPr>
          <w:rFonts w:ascii="Narkisim" w:hAnsi="Narkisim" w:cs="Narkisim"/>
          <w:rtl/>
        </w:rPr>
        <w:t xml:space="preserve"> תמה ע"ד ה</w:t>
      </w:r>
      <w:r w:rsidRPr="00AF3214">
        <w:rPr>
          <w:rFonts w:ascii="Narkisim" w:hAnsi="Narkisim" w:cs="Narkisim"/>
          <w:b/>
          <w:bCs/>
          <w:rtl/>
        </w:rPr>
        <w:t>גאונים</w:t>
      </w:r>
      <w:r w:rsidRPr="00AF3214">
        <w:rPr>
          <w:rFonts w:ascii="Narkisim" w:hAnsi="Narkisim" w:cs="Narkisim"/>
          <w:rtl/>
        </w:rPr>
        <w:t xml:space="preserve"> (הנ"ל דבסוגיין קנסו ואסרוה למקדש), האיך נחמיר בזו יותר מהאשה שהלך בעלה למדיה"י ונתקדשה. וכת' דשמא י"ל דהתם נתקדשה ברשות [ע"פ עד א'], והכא נתקדשה שלא ברשות</w:t>
      </w:r>
      <w:r w:rsidRPr="00AF3214">
        <w:rPr>
          <w:rStyle w:val="ac"/>
          <w:rFonts w:ascii="Narkisim" w:hAnsi="Narkisim" w:cs="Narkisim"/>
          <w:rtl/>
        </w:rPr>
        <w:footnoteReference w:id="5924"/>
      </w:r>
      <w:r w:rsidRPr="00AF3214">
        <w:rPr>
          <w:rFonts w:ascii="Narkisim" w:hAnsi="Narkisim" w:cs="Narkisim"/>
        </w:rPr>
        <w:t>.</w:t>
      </w:r>
    </w:p>
    <w:p w14:paraId="5F529CED"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ר"א מן ההר</w:t>
      </w:r>
      <w:r w:rsidRPr="00AF3214">
        <w:rPr>
          <w:rFonts w:ascii="Narkisim" w:hAnsi="Narkisim"/>
          <w:rtl/>
        </w:rPr>
        <w:t xml:space="preserve"> תי' דהתם לא עבד איסורא, דאין קידושין תופסין באשת איש. אבל הכא תפסי קידושין ביבמה לשוק [לשמואל]. ואיסורא הוא דעבד דרחמנא אזהר 'לא תהיה החוצה'. והואיל ועבד איסורא קנסו רבנן למיסרה עליה לעולם. [ומשמע דיש איסור בקידושין, וכתוס' </w:t>
      </w:r>
      <w:r w:rsidRPr="00AF3214">
        <w:rPr>
          <w:rFonts w:ascii="Narkisim" w:hAnsi="Narkisim"/>
          <w:rtl/>
        </w:rPr>
        <w:lastRenderedPageBreak/>
        <w:t>לעיל מט: הו' לעיל]. ועד"ז כת' ה</w:t>
      </w:r>
      <w:r w:rsidRPr="00AF3214">
        <w:rPr>
          <w:rFonts w:ascii="Narkisim" w:hAnsi="Narkisim"/>
          <w:b/>
          <w:bCs/>
          <w:rtl/>
        </w:rPr>
        <w:t>קובה"ע</w:t>
      </w:r>
      <w:r w:rsidRPr="00AF3214">
        <w:rPr>
          <w:rFonts w:ascii="Narkisim" w:hAnsi="Narkisim"/>
          <w:rtl/>
        </w:rPr>
        <w:t xml:space="preserve"> (מה ה)</w:t>
      </w:r>
      <w:r w:rsidRPr="00AF3214">
        <w:rPr>
          <w:rStyle w:val="ac"/>
          <w:rFonts w:ascii="Narkisim" w:hAnsi="Narkisim"/>
          <w:rtl/>
        </w:rPr>
        <w:footnoteReference w:id="5925"/>
      </w:r>
      <w:r w:rsidRPr="00AF3214">
        <w:rPr>
          <w:rFonts w:ascii="Narkisim" w:hAnsi="Narkisim"/>
        </w:rPr>
        <w:t>.</w:t>
      </w:r>
    </w:p>
    <w:p w14:paraId="7F5B1BFE" w14:textId="77777777" w:rsidR="006C4368" w:rsidRPr="00AF3214" w:rsidRDefault="006C4368" w:rsidP="006C4368">
      <w:pPr>
        <w:bidi/>
        <w:rPr>
          <w:rFonts w:ascii="Narkisim" w:hAnsi="Narkisim" w:cs="Narkisim"/>
        </w:rPr>
      </w:pPr>
      <w:r w:rsidRPr="00AF3214">
        <w:rPr>
          <w:rFonts w:ascii="Narkisim" w:hAnsi="Narkisim" w:cs="Narkisim"/>
          <w:u w:val="single"/>
          <w:rtl/>
        </w:rPr>
        <w:t>בא"ד דמשמע חולץ בעל כרחו שכופין אותו וכו' אבל אם מדעתו היה חולץ היתה מותרת לו, ואין זה איתגורי איתגור וכו</w:t>
      </w:r>
      <w:r w:rsidRPr="00AF3214">
        <w:rPr>
          <w:rFonts w:ascii="Narkisim" w:hAnsi="Narkisim" w:cs="Narkisim"/>
          <w:rtl/>
        </w:rPr>
        <w:t>'. משמע דלא קנסו לאסור את האשה, אלא דסברת איתגורי אתגר מהני דאין כופין ליבם לחלוץ</w:t>
      </w:r>
      <w:r w:rsidRPr="00AF3214">
        <w:rPr>
          <w:rStyle w:val="ac"/>
          <w:rFonts w:ascii="Narkisim" w:hAnsi="Narkisim" w:cs="Narkisim"/>
          <w:rtl/>
        </w:rPr>
        <w:footnoteReference w:id="5926"/>
      </w:r>
      <w:r w:rsidRPr="00AF3214">
        <w:rPr>
          <w:rFonts w:ascii="Narkisim" w:hAnsi="Narkisim" w:cs="Narkisim"/>
        </w:rPr>
        <w:t xml:space="preserve">. </w:t>
      </w:r>
      <w:r w:rsidRPr="00AF3214">
        <w:rPr>
          <w:rFonts w:ascii="Narkisim" w:hAnsi="Narkisim" w:cs="Narkisim"/>
          <w:rtl/>
        </w:rPr>
        <w:t>[אלא כופין את המקדש לגרש, ע"פ תביעת היבם</w:t>
      </w:r>
      <w:r w:rsidRPr="00AF3214">
        <w:rPr>
          <w:rStyle w:val="ac"/>
          <w:rFonts w:ascii="Narkisim" w:hAnsi="Narkisim" w:cs="Narkisim"/>
          <w:rtl/>
        </w:rPr>
        <w:footnoteReference w:id="5927"/>
      </w:r>
      <w:r w:rsidRPr="00AF3214">
        <w:rPr>
          <w:rFonts w:ascii="Narkisim" w:hAnsi="Narkisim" w:cs="Narkisim"/>
          <w:rtl/>
        </w:rPr>
        <w:t>]</w:t>
      </w:r>
      <w:r w:rsidRPr="00AF3214">
        <w:rPr>
          <w:rFonts w:ascii="Narkisim" w:hAnsi="Narkisim" w:cs="Narkisim"/>
        </w:rPr>
        <w:t>.</w:t>
      </w:r>
    </w:p>
    <w:p w14:paraId="654DCEB1"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ר"ת</w:t>
      </w:r>
      <w:r w:rsidRPr="00AF3214">
        <w:rPr>
          <w:rFonts w:ascii="Narkisim" w:hAnsi="Narkisim"/>
          <w:rtl/>
        </w:rPr>
        <w:t xml:space="preserve"> בס' הישר (חידושים לכאן, נד, וד"ו כג, ושו"ת ס' הישר ס) הוסיף דהיכא דהיבם כהן [דא"א לכוף את המקדש ליתן גט] אין כופין אותו לחלוץ</w:t>
      </w:r>
      <w:r w:rsidRPr="00AF3214">
        <w:rPr>
          <w:rStyle w:val="ac"/>
          <w:rFonts w:ascii="Narkisim" w:hAnsi="Narkisim"/>
          <w:rtl/>
        </w:rPr>
        <w:footnoteReference w:id="5928"/>
      </w:r>
      <w:r w:rsidRPr="00AF3214">
        <w:rPr>
          <w:rFonts w:ascii="Narkisim" w:hAnsi="Narkisim"/>
        </w:rPr>
        <w:t xml:space="preserve">, </w:t>
      </w:r>
      <w:r w:rsidRPr="00AF3214">
        <w:rPr>
          <w:rFonts w:ascii="Narkisim" w:hAnsi="Narkisim"/>
          <w:rtl/>
        </w:rPr>
        <w:t>אלא מבקשין ממנו</w:t>
      </w:r>
      <w:r w:rsidRPr="00AF3214">
        <w:rPr>
          <w:rStyle w:val="ac"/>
          <w:rFonts w:ascii="Narkisim" w:hAnsi="Narkisim"/>
          <w:rtl/>
        </w:rPr>
        <w:footnoteReference w:id="5929"/>
      </w:r>
      <w:r w:rsidRPr="00AF3214">
        <w:rPr>
          <w:rFonts w:ascii="Narkisim" w:hAnsi="Narkisim"/>
        </w:rPr>
        <w:t xml:space="preserve">. </w:t>
      </w:r>
      <w:r w:rsidRPr="00AF3214">
        <w:rPr>
          <w:rFonts w:ascii="Narkisim" w:hAnsi="Narkisim"/>
          <w:rtl/>
        </w:rPr>
        <w:t>דאל"כ הו"ל לגמ' לפרש דמוציא בגט</w:t>
      </w:r>
      <w:r w:rsidRPr="00AF3214">
        <w:rPr>
          <w:rStyle w:val="ac"/>
          <w:rFonts w:ascii="Narkisim" w:hAnsi="Narkisim"/>
          <w:rtl/>
        </w:rPr>
        <w:footnoteReference w:id="5930"/>
      </w:r>
      <w:r w:rsidRPr="00AF3214">
        <w:rPr>
          <w:rFonts w:ascii="Narkisim" w:hAnsi="Narkisim"/>
        </w:rPr>
        <w:t>.</w:t>
      </w:r>
    </w:p>
    <w:p w14:paraId="74FF3A08" w14:textId="77777777" w:rsidR="006C4368" w:rsidRPr="00AF3214" w:rsidRDefault="006C4368" w:rsidP="006C4368">
      <w:pPr>
        <w:pStyle w:val="a8"/>
        <w:bidi/>
        <w:rPr>
          <w:rFonts w:ascii="Narkisim" w:hAnsi="Narkisim"/>
        </w:rPr>
      </w:pPr>
      <w:r w:rsidRPr="00AF3214">
        <w:rPr>
          <w:rFonts w:ascii="Narkisim" w:hAnsi="Narkisim"/>
          <w:rtl/>
        </w:rPr>
        <w:t>וכ"כ ב</w:t>
      </w:r>
      <w:r w:rsidRPr="00AF3214">
        <w:rPr>
          <w:rFonts w:ascii="Narkisim" w:hAnsi="Narkisim"/>
          <w:b/>
          <w:bCs/>
          <w:rtl/>
        </w:rPr>
        <w:t>שו"ת הרשב"א</w:t>
      </w:r>
      <w:r w:rsidRPr="00AF3214">
        <w:rPr>
          <w:rFonts w:ascii="Narkisim" w:hAnsi="Narkisim"/>
          <w:rtl/>
        </w:rPr>
        <w:t xml:space="preserve"> (א תתב, הו' בב"י קנט) דיבמה הזקוקה לכהן שקיבלה קידושין מאחר [ליאסר על היבם], אי"צ לחלוץ לה. שהיא נתנה אצבע בין שיניה (כתובות נב.)</w:t>
      </w:r>
      <w:r w:rsidRPr="00AF3214">
        <w:rPr>
          <w:rStyle w:val="ac"/>
          <w:rFonts w:ascii="Narkisim" w:hAnsi="Narkisim"/>
          <w:rtl/>
        </w:rPr>
        <w:footnoteReference w:id="5931"/>
      </w:r>
      <w:r w:rsidRPr="00AF3214">
        <w:rPr>
          <w:rFonts w:ascii="Narkisim" w:hAnsi="Narkisim"/>
        </w:rPr>
        <w:t>.</w:t>
      </w:r>
    </w:p>
    <w:p w14:paraId="7E624E06" w14:textId="77777777" w:rsidR="006C4368" w:rsidRPr="00AF3214" w:rsidRDefault="006C4368" w:rsidP="006C4368">
      <w:pPr>
        <w:pStyle w:val="a8"/>
        <w:bidi/>
        <w:rPr>
          <w:rFonts w:ascii="Narkisim" w:hAnsi="Narkisim"/>
        </w:rPr>
      </w:pPr>
      <w:r w:rsidRPr="00AF3214">
        <w:rPr>
          <w:rFonts w:ascii="Narkisim" w:hAnsi="Narkisim"/>
          <w:rtl/>
        </w:rPr>
        <w:t>ועוה"ק ר"ת דאי קנסו, הוה לן למיקנס לדידה ולומר תצא מזה ומזה [ואילו הכא מותרת ליבם]. ואמאי קנסינן לדידיה [למקדש] טפי מדידה. ומ"ש משאר דברים דתצא מזה ומזה. אבל ה</w:t>
      </w:r>
      <w:r w:rsidRPr="00AF3214">
        <w:rPr>
          <w:rFonts w:ascii="Narkisim" w:hAnsi="Narkisim"/>
          <w:b/>
          <w:bCs/>
          <w:rtl/>
        </w:rPr>
        <w:t>ריטב"א</w:t>
      </w:r>
      <w:r w:rsidRPr="00AF3214">
        <w:rPr>
          <w:rFonts w:ascii="Narkisim" w:hAnsi="Narkisim"/>
          <w:rtl/>
        </w:rPr>
        <w:t xml:space="preserve"> כת' [לדעת רש"י] דהכא ל"ש לקנוס ולאוסרה על היבם, דשמא סניא ליה ומתכוונת לאסור עצמה</w:t>
      </w:r>
      <w:r w:rsidRPr="00AF3214">
        <w:rPr>
          <w:rFonts w:ascii="Narkisim" w:hAnsi="Narkisim"/>
        </w:rPr>
        <w:t>.</w:t>
      </w:r>
    </w:p>
    <w:p w14:paraId="1C58259B" w14:textId="77777777" w:rsidR="006C4368" w:rsidRPr="00AF3214" w:rsidRDefault="006C4368" w:rsidP="006C4368">
      <w:pPr>
        <w:bidi/>
        <w:rPr>
          <w:rFonts w:ascii="Narkisim" w:hAnsi="Narkisim" w:cs="Narkisim"/>
        </w:rPr>
      </w:pPr>
      <w:r w:rsidRPr="00AF3214">
        <w:rPr>
          <w:rFonts w:ascii="Narkisim" w:hAnsi="Narkisim" w:cs="Narkisim"/>
          <w:rtl/>
        </w:rPr>
        <w:t>ו</w:t>
      </w:r>
      <w:r w:rsidRPr="00AF3214">
        <w:rPr>
          <w:rFonts w:ascii="Narkisim" w:hAnsi="Narkisim" w:cs="Narkisim"/>
          <w:b/>
          <w:bCs/>
          <w:rtl/>
        </w:rPr>
        <w:t>ר"ת</w:t>
      </w:r>
      <w:r w:rsidRPr="00AF3214">
        <w:rPr>
          <w:rFonts w:ascii="Narkisim" w:hAnsi="Narkisim" w:cs="Narkisim"/>
          <w:rtl/>
        </w:rPr>
        <w:t xml:space="preserve"> כת' [דלא אסרו אותה על היבם], ואף דיש לחוש שמא יאמרו חלץ זה וקידש זה וגירשה, ונמצא היבם עובר בלא יבנה, והוא בכרת</w:t>
      </w:r>
      <w:r w:rsidRPr="00AF3214">
        <w:rPr>
          <w:rStyle w:val="ac"/>
          <w:rFonts w:ascii="Narkisim" w:hAnsi="Narkisim" w:cs="Narkisim"/>
          <w:rtl/>
        </w:rPr>
        <w:footnoteReference w:id="5932"/>
      </w:r>
      <w:r w:rsidRPr="00AF3214">
        <w:rPr>
          <w:rFonts w:ascii="Narkisim" w:hAnsi="Narkisim" w:cs="Narkisim"/>
        </w:rPr>
        <w:t xml:space="preserve">. </w:t>
      </w:r>
      <w:r w:rsidRPr="00AF3214">
        <w:rPr>
          <w:rFonts w:ascii="Narkisim" w:hAnsi="Narkisim" w:cs="Narkisim"/>
          <w:rtl/>
        </w:rPr>
        <w:t>ואעפ"כ הותרה לו, ולא חיישינן בהכי ולא אסרו על היבם</w:t>
      </w:r>
      <w:r w:rsidRPr="00AF3214">
        <w:rPr>
          <w:rStyle w:val="ac"/>
          <w:rFonts w:ascii="Narkisim" w:hAnsi="Narkisim" w:cs="Narkisim"/>
          <w:rtl/>
        </w:rPr>
        <w:footnoteReference w:id="5933"/>
      </w:r>
      <w:r w:rsidRPr="00AF3214">
        <w:rPr>
          <w:rFonts w:ascii="Narkisim" w:hAnsi="Narkisim" w:cs="Narkisim"/>
        </w:rPr>
        <w:t>.</w:t>
      </w:r>
    </w:p>
    <w:p w14:paraId="7CA774A9"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רא"ש</w:t>
      </w:r>
      <w:r w:rsidRPr="00AF3214">
        <w:rPr>
          <w:rFonts w:ascii="Narkisim" w:hAnsi="Narkisim" w:cs="Narkisim"/>
          <w:rtl/>
        </w:rPr>
        <w:t xml:space="preserve"> ביאר דלא אשכחן דאסרו על השני אלא היכא דאסרוה גם לראשון. [וגדרי תקנת 'תצא מזה ומזה' באשת איש תלי בהדדי</w:t>
      </w:r>
      <w:r w:rsidRPr="00AF3214">
        <w:rPr>
          <w:rStyle w:val="ac"/>
          <w:rFonts w:ascii="Narkisim" w:hAnsi="Narkisim" w:cs="Narkisim"/>
          <w:rtl/>
        </w:rPr>
        <w:footnoteReference w:id="5934"/>
      </w:r>
      <w:r w:rsidRPr="00AF3214">
        <w:rPr>
          <w:rFonts w:ascii="Narkisim" w:hAnsi="Narkisim" w:cs="Narkisim"/>
          <w:rtl/>
        </w:rPr>
        <w:t>]</w:t>
      </w:r>
      <w:r w:rsidRPr="00AF3214">
        <w:rPr>
          <w:rFonts w:ascii="Narkisim" w:hAnsi="Narkisim" w:cs="Narkisim"/>
        </w:rPr>
        <w:t>.</w:t>
      </w:r>
    </w:p>
    <w:p w14:paraId="3F3370EE" w14:textId="77777777" w:rsidR="006C4368" w:rsidRPr="00AF3214" w:rsidRDefault="006C4368" w:rsidP="006C4368">
      <w:pPr>
        <w:bidi/>
        <w:rPr>
          <w:rFonts w:ascii="Narkisim" w:hAnsi="Narkisim" w:cs="Narkisim"/>
        </w:rPr>
      </w:pPr>
      <w:r w:rsidRPr="00AF3214">
        <w:rPr>
          <w:rFonts w:ascii="Narkisim" w:hAnsi="Narkisim" w:cs="Narkisim"/>
          <w:u w:val="single"/>
          <w:rtl/>
        </w:rPr>
        <w:t>בא"ד באשה שלא ידעה שהיה לה יבם</w:t>
      </w:r>
      <w:r w:rsidRPr="00AF3214">
        <w:rPr>
          <w:rFonts w:ascii="Narkisim" w:hAnsi="Narkisim" w:cs="Narkisim"/>
          <w:rtl/>
        </w:rPr>
        <w:t>. מבואר בתוס' דאף דהיו שוגגין אמרי' אתגורי אתגר. ולדעת ה</w:t>
      </w:r>
      <w:r w:rsidRPr="00AF3214">
        <w:rPr>
          <w:rFonts w:ascii="Narkisim" w:hAnsi="Narkisim" w:cs="Narkisim"/>
          <w:b/>
          <w:bCs/>
          <w:rtl/>
        </w:rPr>
        <w:t>גאונים</w:t>
      </w:r>
      <w:r w:rsidRPr="00AF3214">
        <w:rPr>
          <w:rFonts w:ascii="Narkisim" w:hAnsi="Narkisim" w:cs="Narkisim"/>
          <w:rtl/>
        </w:rPr>
        <w:t xml:space="preserve"> (הו' לעיל) אסרינן אותה על המקדש משום הך גזירה, ולכאורה אף היכא שלא היו מזידים</w:t>
      </w:r>
      <w:r w:rsidRPr="00AF3214">
        <w:rPr>
          <w:rStyle w:val="ac"/>
          <w:rFonts w:ascii="Narkisim" w:hAnsi="Narkisim" w:cs="Narkisim"/>
          <w:rtl/>
        </w:rPr>
        <w:footnoteReference w:id="5935"/>
      </w:r>
      <w:r w:rsidRPr="00AF3214">
        <w:rPr>
          <w:rFonts w:ascii="Narkisim" w:hAnsi="Narkisim" w:cs="Narkisim"/>
        </w:rPr>
        <w:t xml:space="preserve">. </w:t>
      </w:r>
      <w:r w:rsidRPr="00AF3214">
        <w:rPr>
          <w:rFonts w:ascii="Narkisim" w:hAnsi="Narkisim" w:cs="Narkisim"/>
          <w:rtl/>
        </w:rPr>
        <w:t>דומיא דכל הנך (לעיל צא:) דגזרו תצא מזה ומזה משום דהו"ל לברר ולהמתין. אבל ה</w:t>
      </w:r>
      <w:r w:rsidRPr="00AF3214">
        <w:rPr>
          <w:rFonts w:ascii="Narkisim" w:hAnsi="Narkisim" w:cs="Narkisim"/>
          <w:b/>
          <w:bCs/>
          <w:rtl/>
        </w:rPr>
        <w:t>רא"ש</w:t>
      </w:r>
      <w:r w:rsidRPr="00AF3214">
        <w:rPr>
          <w:rFonts w:ascii="Narkisim" w:hAnsi="Narkisim" w:cs="Narkisim"/>
          <w:rtl/>
        </w:rPr>
        <w:t xml:space="preserve"> (בסו"ד) כת' ומיהו נראה דהיכא דלא היתה יודעת שיש לה יבם מותרת אף לבה"ג, דסברת חוטא נשכר הוה דוקא במזיד</w:t>
      </w:r>
      <w:r w:rsidRPr="00AF3214">
        <w:rPr>
          <w:rStyle w:val="ac"/>
          <w:rFonts w:ascii="Narkisim" w:hAnsi="Narkisim" w:cs="Narkisim"/>
          <w:rtl/>
        </w:rPr>
        <w:footnoteReference w:id="5936"/>
      </w:r>
      <w:r w:rsidRPr="00AF3214">
        <w:rPr>
          <w:rFonts w:ascii="Narkisim" w:hAnsi="Narkisim" w:cs="Narkisim"/>
        </w:rPr>
        <w:t>.</w:t>
      </w:r>
    </w:p>
    <w:p w14:paraId="338025EA" w14:textId="77777777" w:rsidR="006C4368" w:rsidRPr="00AF3214" w:rsidRDefault="006C4368" w:rsidP="006C4368">
      <w:pPr>
        <w:pStyle w:val="aa"/>
        <w:bidi/>
        <w:rPr>
          <w:rFonts w:ascii="Narkisim" w:hAnsi="Narkisim"/>
        </w:rPr>
      </w:pPr>
      <w:r w:rsidRPr="00AF3214">
        <w:rPr>
          <w:rFonts w:ascii="Narkisim" w:hAnsi="Narkisim"/>
          <w:rtl/>
        </w:rPr>
        <w:t>וב</w:t>
      </w:r>
      <w:r w:rsidRPr="00AF3214">
        <w:rPr>
          <w:rFonts w:ascii="Narkisim" w:hAnsi="Narkisim"/>
          <w:b/>
          <w:bCs/>
          <w:rtl/>
        </w:rPr>
        <w:t>הג' המהרש"ם</w:t>
      </w:r>
      <w:r w:rsidRPr="00AF3214">
        <w:rPr>
          <w:rFonts w:ascii="Narkisim" w:hAnsi="Narkisim"/>
          <w:rtl/>
        </w:rPr>
        <w:t xml:space="preserve"> ציין דה</w:t>
      </w:r>
      <w:r w:rsidRPr="00AF3214">
        <w:rPr>
          <w:rFonts w:ascii="Narkisim" w:hAnsi="Narkisim"/>
          <w:b/>
          <w:bCs/>
          <w:rtl/>
        </w:rPr>
        <w:t>ראשונים</w:t>
      </w:r>
      <w:r w:rsidRPr="00AF3214">
        <w:rPr>
          <w:rFonts w:ascii="Narkisim" w:hAnsi="Narkisim"/>
          <w:rtl/>
        </w:rPr>
        <w:t xml:space="preserve"> בכ"מ דנו בעבירה בשוגג האם אמרי' דלא יהא חוטא נשכר</w:t>
      </w:r>
      <w:r w:rsidRPr="00AF3214">
        <w:rPr>
          <w:rStyle w:val="ac"/>
          <w:rFonts w:ascii="Narkisim" w:hAnsi="Narkisim"/>
          <w:rtl/>
        </w:rPr>
        <w:footnoteReference w:id="5937"/>
      </w:r>
      <w:r w:rsidRPr="00AF3214">
        <w:rPr>
          <w:rFonts w:ascii="Narkisim" w:hAnsi="Narkisim"/>
        </w:rPr>
        <w:t>.</w:t>
      </w:r>
    </w:p>
    <w:p w14:paraId="563B5879"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אמר רב גידל אר"ח בר יוסף אמר רב וכו' נישואין יש בה וכו'.</w:t>
      </w:r>
      <w:r w:rsidRPr="00AF3214">
        <w:rPr>
          <w:rFonts w:ascii="Narkisim" w:hAnsi="Narkisim" w:cs="Narkisim"/>
          <w:rtl/>
        </w:rPr>
        <w:t xml:space="preserve"> פ</w:t>
      </w:r>
      <w:r w:rsidRPr="00AF3214">
        <w:rPr>
          <w:rFonts w:ascii="Narkisim" w:hAnsi="Narkisim" w:cs="Narkisim"/>
          <w:b/>
          <w:bCs/>
          <w:rtl/>
        </w:rPr>
        <w:t>רש"י</w:t>
      </w:r>
      <w:r w:rsidRPr="00AF3214">
        <w:rPr>
          <w:rFonts w:ascii="Narkisim" w:hAnsi="Narkisim" w:cs="Narkisim"/>
          <w:rtl/>
        </w:rPr>
        <w:t xml:space="preserve"> קס"ד קאי לענין גט [וקאי אליבא דרב דיבמה שקיבלה קידושין אי"צ גט]. דלהו"א כיון דנשאת צריכה גט. </w:t>
      </w:r>
      <w:r w:rsidRPr="00AF3214">
        <w:rPr>
          <w:rFonts w:ascii="Narkisim" w:hAnsi="Narkisim" w:cs="Narkisim"/>
          <w:szCs w:val="20"/>
          <w:rtl/>
        </w:rPr>
        <w:t>[ובפשוטו משמע דלס"ד ע"י נישואין תפסי אישות ביבמה</w:t>
      </w:r>
      <w:r w:rsidRPr="00AF3214">
        <w:rPr>
          <w:rStyle w:val="ac"/>
          <w:rFonts w:ascii="Narkisim" w:hAnsi="Narkisim" w:cs="Narkisim"/>
          <w:szCs w:val="20"/>
          <w:rtl/>
        </w:rPr>
        <w:footnoteReference w:id="5938"/>
      </w:r>
      <w:r w:rsidRPr="00AF3214">
        <w:rPr>
          <w:rFonts w:ascii="Narkisim" w:hAnsi="Narkisim" w:cs="Narkisim"/>
          <w:szCs w:val="20"/>
        </w:rPr>
        <w:t xml:space="preserve">. </w:t>
      </w:r>
      <w:r w:rsidRPr="00AF3214">
        <w:rPr>
          <w:rFonts w:ascii="Narkisim" w:hAnsi="Narkisim" w:cs="Narkisim"/>
          <w:szCs w:val="20"/>
          <w:rtl/>
        </w:rPr>
        <w:t>אך י"ל דאף לס"ד הוה גזירה בעלמא להצריך גט. וע"ד התי' הג' בגמ', וכ"מ בתוס'</w:t>
      </w:r>
      <w:r w:rsidRPr="00AF3214">
        <w:rPr>
          <w:rFonts w:ascii="Narkisim" w:hAnsi="Narkisim" w:cs="Narkisim"/>
          <w:rtl/>
        </w:rPr>
        <w:t>]</w:t>
      </w:r>
      <w:r w:rsidRPr="00AF3214">
        <w:rPr>
          <w:rFonts w:ascii="Narkisim" w:hAnsi="Narkisim" w:cs="Narkisim"/>
        </w:rPr>
        <w:t>.</w:t>
      </w:r>
    </w:p>
    <w:p w14:paraId="3DBE0B53" w14:textId="77777777" w:rsidR="006C4368" w:rsidRPr="00AF3214" w:rsidRDefault="006C4368" w:rsidP="006C4368">
      <w:pPr>
        <w:pStyle w:val="a7"/>
        <w:bidi/>
        <w:rPr>
          <w:rFonts w:ascii="Narkisim" w:hAnsi="Narkisim"/>
        </w:rPr>
      </w:pPr>
      <w:r w:rsidRPr="00AF3214">
        <w:rPr>
          <w:rFonts w:ascii="Narkisim" w:hAnsi="Narkisim"/>
          <w:rtl/>
        </w:rPr>
        <w:t>ובזה הגמ' מק' דלרב לא תפסי בה קידושין, אפי' נשאת אי"צ גט. ולתי' הא' רב גידל אמר דאף נישואין אין בה [דאי"צ גט]</w:t>
      </w:r>
      <w:r w:rsidRPr="00AF3214">
        <w:rPr>
          <w:rFonts w:ascii="Narkisim" w:hAnsi="Narkisim"/>
        </w:rPr>
        <w:t>.</w:t>
      </w:r>
    </w:p>
    <w:p w14:paraId="3EC5422C"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ר"י</w:t>
      </w:r>
      <w:r w:rsidRPr="00AF3214">
        <w:rPr>
          <w:rFonts w:ascii="Narkisim" w:hAnsi="Narkisim"/>
          <w:rtl/>
        </w:rPr>
        <w:t xml:space="preserve"> בתוס' (המשך מהע"א) כת' דלהך לישנא אינה נאסרת על היבם. ולא אמרי' דתצא מזה ומזה, כיון דבזנות במזיד אינה נאסרת. וס"ל דלא גזרו משום דמחלפה באשה שהלך בעלה למדיה"י. [וכדעת הירושלמי דהנך משניות בגיטין דתצא מזה ומזה קאי דוקא לר"ע]. ובזה פליג התי' הג' דאסורה על היבם משום דמחלפה, וכגמ' (גיטין פ:, הו' לעיל)</w:t>
      </w:r>
      <w:r w:rsidRPr="00AF3214">
        <w:rPr>
          <w:rFonts w:ascii="Narkisim" w:hAnsi="Narkisim"/>
        </w:rPr>
        <w:t>.</w:t>
      </w:r>
    </w:p>
    <w:p w14:paraId="308875B7" w14:textId="77777777" w:rsidR="006C4368" w:rsidRPr="00AF3214" w:rsidRDefault="006C4368" w:rsidP="006C4368">
      <w:pPr>
        <w:pStyle w:val="aa"/>
        <w:bidi/>
        <w:rPr>
          <w:rFonts w:ascii="Narkisim" w:hAnsi="Narkisim"/>
        </w:rPr>
      </w:pPr>
      <w:r w:rsidRPr="00AF3214">
        <w:rPr>
          <w:rFonts w:ascii="Narkisim" w:hAnsi="Narkisim"/>
          <w:u w:val="single"/>
          <w:rtl/>
        </w:rPr>
        <w:t>ואבע"א מאי נישואין יש בה בזנות</w:t>
      </w:r>
      <w:r w:rsidRPr="00AF3214">
        <w:rPr>
          <w:rStyle w:val="ac"/>
          <w:rFonts w:ascii="Narkisim" w:hAnsi="Narkisim"/>
          <w:u w:val="single"/>
          <w:rtl/>
        </w:rPr>
        <w:footnoteReference w:id="5939"/>
      </w:r>
      <w:r w:rsidRPr="00AF3214">
        <w:rPr>
          <w:rFonts w:ascii="Narkisim" w:hAnsi="Narkisim"/>
          <w:u w:val="single"/>
        </w:rPr>
        <w:t xml:space="preserve"> </w:t>
      </w:r>
      <w:r w:rsidRPr="00AF3214">
        <w:rPr>
          <w:rFonts w:ascii="Narkisim" w:hAnsi="Narkisim"/>
          <w:u w:val="single"/>
          <w:rtl/>
        </w:rPr>
        <w:t>כדרב המנונא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ומיתסרא איבם [משום עצם הזנות</w:t>
      </w:r>
      <w:r w:rsidRPr="00AF3214">
        <w:rPr>
          <w:rStyle w:val="ac"/>
          <w:rFonts w:ascii="Narkisim" w:hAnsi="Narkisim"/>
          <w:rtl/>
        </w:rPr>
        <w:footnoteReference w:id="5940"/>
      </w:r>
      <w:r w:rsidRPr="00AF3214">
        <w:rPr>
          <w:rFonts w:ascii="Narkisim" w:hAnsi="Narkisim"/>
          <w:rtl/>
        </w:rPr>
        <w:t>]. ומשמע מדברי רש"י דאי"צ גט אפי' מדרבנן. אך בדברי התוס' משמע דלרב המנונא [דבמזיד אסורה] א"כ אף בנשאת בשוגג יש בה כל גזירות דאשה שהלך בעלה. וכ"כ ה</w:t>
      </w:r>
      <w:r w:rsidRPr="00AF3214">
        <w:rPr>
          <w:rFonts w:ascii="Narkisim" w:hAnsi="Narkisim"/>
          <w:b/>
          <w:bCs/>
          <w:rtl/>
        </w:rPr>
        <w:t>ריטב"א</w:t>
      </w:r>
      <w:r w:rsidRPr="00AF3214">
        <w:rPr>
          <w:rFonts w:ascii="Narkisim" w:hAnsi="Narkisim"/>
          <w:rtl/>
        </w:rPr>
        <w:t xml:space="preserve"> (בתי' הב')</w:t>
      </w:r>
      <w:r w:rsidRPr="00AF3214">
        <w:rPr>
          <w:rFonts w:ascii="Narkisim" w:hAnsi="Narkisim"/>
        </w:rPr>
        <w:t>.</w:t>
      </w:r>
    </w:p>
    <w:p w14:paraId="7E18BE40" w14:textId="77777777" w:rsidR="006C4368" w:rsidRPr="00AF3214" w:rsidRDefault="006C4368" w:rsidP="006C4368">
      <w:pPr>
        <w:pStyle w:val="aa"/>
        <w:bidi/>
        <w:rPr>
          <w:rFonts w:ascii="Narkisim" w:hAnsi="Narkisim"/>
        </w:rPr>
      </w:pPr>
      <w:r w:rsidRPr="00AF3214">
        <w:rPr>
          <w:rFonts w:ascii="Narkisim" w:hAnsi="Narkisim"/>
          <w:rtl/>
        </w:rPr>
        <w:t>ולהך אוקימתא רב סבר כדרב המנונא, וכן לחד לישנא (לקמן צו.) נח' בזה רב ושמואל, ורב סבר כרב המנונא. אך בגמ' (סוטה יח: הו' בתוס' צו.) אי' אמרי במערבא לית הילכתא כרב המנונא. וכ"פ רוב ה</w:t>
      </w:r>
      <w:r w:rsidRPr="00AF3214">
        <w:rPr>
          <w:rFonts w:ascii="Narkisim" w:hAnsi="Narkisim"/>
          <w:b/>
          <w:bCs/>
          <w:rtl/>
        </w:rPr>
        <w:t>ראשונים</w:t>
      </w:r>
      <w:r w:rsidRPr="00AF3214">
        <w:rPr>
          <w:rFonts w:ascii="Narkisim" w:hAnsi="Narkisim"/>
          <w:rtl/>
        </w:rPr>
        <w:t xml:space="preserve">. אך </w:t>
      </w:r>
      <w:r w:rsidRPr="00AF3214">
        <w:rPr>
          <w:rFonts w:ascii="Narkisim" w:hAnsi="Narkisim"/>
          <w:b/>
          <w:bCs/>
          <w:rtl/>
        </w:rPr>
        <w:t>תוס</w:t>
      </w:r>
      <w:r w:rsidRPr="00AF3214">
        <w:rPr>
          <w:rFonts w:ascii="Narkisim" w:hAnsi="Narkisim"/>
          <w:rtl/>
        </w:rPr>
        <w:t>' (סוטה יח:) הביאו מסוגיין דמ"ד דאין קידושין תופסין ביבמה ס"ל כדרב המנונא [ותוס' נקטו דתלי הא בהא, ע' בסמוך], והביאו כמה אמוראים</w:t>
      </w:r>
      <w:r w:rsidRPr="00AF3214">
        <w:rPr>
          <w:rStyle w:val="ac"/>
          <w:rFonts w:ascii="Narkisim" w:hAnsi="Narkisim"/>
          <w:rtl/>
        </w:rPr>
        <w:footnoteReference w:id="5941"/>
      </w:r>
      <w:r w:rsidRPr="00AF3214">
        <w:rPr>
          <w:rFonts w:ascii="Narkisim" w:hAnsi="Narkisim"/>
        </w:rPr>
        <w:t xml:space="preserve"> </w:t>
      </w:r>
      <w:r w:rsidRPr="00AF3214">
        <w:rPr>
          <w:rFonts w:ascii="Narkisim" w:hAnsi="Narkisim"/>
          <w:rtl/>
        </w:rPr>
        <w:t>דאין קידושין תופסים ביבמה. א"כ הכי קי"ל. [וה</w:t>
      </w:r>
      <w:r w:rsidRPr="00AF3214">
        <w:rPr>
          <w:rFonts w:ascii="Narkisim" w:hAnsi="Narkisim"/>
          <w:b/>
          <w:bCs/>
          <w:rtl/>
        </w:rPr>
        <w:t>אחרונים</w:t>
      </w:r>
      <w:r w:rsidRPr="00AF3214">
        <w:rPr>
          <w:rFonts w:ascii="Narkisim" w:hAnsi="Narkisim"/>
          <w:rtl/>
        </w:rPr>
        <w:t xml:space="preserve"> תמהו בזה]</w:t>
      </w:r>
      <w:r w:rsidRPr="00AF3214">
        <w:rPr>
          <w:rFonts w:ascii="Narkisim" w:hAnsi="Narkisim"/>
        </w:rPr>
        <w:t>.</w:t>
      </w:r>
    </w:p>
    <w:p w14:paraId="1647961D" w14:textId="77777777" w:rsidR="006C4368" w:rsidRPr="00AF3214" w:rsidRDefault="006C4368" w:rsidP="006C4368">
      <w:pPr>
        <w:bidi/>
        <w:rPr>
          <w:rFonts w:ascii="Narkisim" w:hAnsi="Narkisim" w:cs="Narkisim"/>
        </w:rPr>
      </w:pPr>
      <w:r w:rsidRPr="00AF3214">
        <w:rPr>
          <w:rFonts w:ascii="Narkisim" w:hAnsi="Narkisim" w:cs="Narkisim"/>
          <w:u w:val="single"/>
          <w:rtl/>
        </w:rPr>
        <w:t>דא"ר המנונא שומר"י שזינתה אסורה ליבמה</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(סוטה יח:) כאשה שזינתה תחת בעלה, שנאסרת לבעלה</w:t>
      </w:r>
      <w:r w:rsidRPr="00AF3214">
        <w:rPr>
          <w:rFonts w:ascii="Narkisim" w:hAnsi="Narkisim" w:cs="Narkisim"/>
        </w:rPr>
        <w:t>.</w:t>
      </w:r>
    </w:p>
    <w:p w14:paraId="5356898F"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(סוטה יח:) פי' דיליף מדכתיב לא תהיה אשת המת החוצה לאיש זר, לא תהא בה הויה לזר, אלמא דקרא משוי לה כערוה דלא תפסי בה קידושין משום דאגידא ביה. והוי כארוסתו שזינתה. [ומשמע דזיקה הוה גדר אישות ליבם</w:t>
      </w:r>
      <w:r w:rsidRPr="00AF3214">
        <w:rPr>
          <w:rStyle w:val="ac"/>
          <w:rFonts w:ascii="Narkisim" w:hAnsi="Narkisim"/>
          <w:rtl/>
        </w:rPr>
        <w:footnoteReference w:id="5942"/>
      </w:r>
      <w:r w:rsidRPr="00AF3214">
        <w:rPr>
          <w:rFonts w:ascii="Narkisim" w:hAnsi="Narkisim"/>
          <w:rtl/>
        </w:rPr>
        <w:t>]</w:t>
      </w:r>
      <w:r w:rsidRPr="00AF3214">
        <w:rPr>
          <w:rFonts w:ascii="Narkisim" w:hAnsi="Narkisim"/>
        </w:rPr>
        <w:t>.</w:t>
      </w:r>
    </w:p>
    <w:p w14:paraId="39E8278A"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(סד ב) הק' מ"ש דילפי' יבמה מאשת איש לענין איסור</w:t>
      </w:r>
      <w:r w:rsidRPr="00AF3214">
        <w:rPr>
          <w:rStyle w:val="ac"/>
          <w:rFonts w:ascii="Narkisim" w:hAnsi="Narkisim"/>
          <w:rtl/>
        </w:rPr>
        <w:footnoteReference w:id="5943"/>
      </w:r>
      <w:r w:rsidRPr="00AF3214">
        <w:rPr>
          <w:rFonts w:ascii="Narkisim" w:hAnsi="Narkisim"/>
        </w:rPr>
        <w:t xml:space="preserve">, </w:t>
      </w:r>
      <w:r w:rsidRPr="00AF3214">
        <w:rPr>
          <w:rFonts w:ascii="Narkisim" w:hAnsi="Narkisim"/>
          <w:rtl/>
        </w:rPr>
        <w:t>ואילו שאר דינים לא ילפי' ביבמה מאישות. דקי"ל (לעיל יח:) דקרובת זקוקה אסורה רק מדרבנן. וצ"ע</w:t>
      </w:r>
      <w:r w:rsidRPr="00AF3214">
        <w:rPr>
          <w:rFonts w:ascii="Narkisim" w:hAnsi="Narkisim"/>
        </w:rPr>
        <w:t>.</w:t>
      </w:r>
    </w:p>
    <w:p w14:paraId="1A41A4E3"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אחיעזר</w:t>
      </w:r>
      <w:r w:rsidRPr="00AF3214">
        <w:rPr>
          <w:rFonts w:ascii="Narkisim" w:hAnsi="Narkisim"/>
          <w:rtl/>
        </w:rPr>
        <w:t xml:space="preserve"> (א א יג) כת' די"ל דרב המנונא למד כן מדרשת ה</w:t>
      </w:r>
      <w:r w:rsidRPr="00AF3214">
        <w:rPr>
          <w:rFonts w:ascii="Narkisim" w:hAnsi="Narkisim"/>
          <w:b/>
          <w:bCs/>
          <w:rtl/>
        </w:rPr>
        <w:t>ירושלמי</w:t>
      </w:r>
      <w:r w:rsidRPr="00AF3214">
        <w:rPr>
          <w:rFonts w:ascii="Narkisim" w:hAnsi="Narkisim"/>
          <w:rtl/>
        </w:rPr>
        <w:t xml:space="preserve"> (סוטה ב ה יב. בדה"ס) דהתורה אמרה וקנא את אשתו, אפי' מקצת אשתו, ונתרבה שומרת יבם [דהוי מקצת אשתו] לפרשת סוטה. [וע' מפרשים </w:t>
      </w:r>
      <w:r w:rsidRPr="00AF3214">
        <w:rPr>
          <w:rFonts w:ascii="Narkisim" w:hAnsi="Narkisim"/>
          <w:rtl/>
        </w:rPr>
        <w:lastRenderedPageBreak/>
        <w:t>באופ"א]. ועוד כת' דילפי' (לעיל יא.) דסוטה [שזינתה בחיי בעלה] אסורה ליבם</w:t>
      </w:r>
      <w:r w:rsidRPr="00AF3214">
        <w:rPr>
          <w:rStyle w:val="ac"/>
          <w:rFonts w:ascii="Narkisim" w:hAnsi="Narkisim"/>
          <w:rtl/>
        </w:rPr>
        <w:footnoteReference w:id="5944"/>
      </w:r>
      <w:r w:rsidRPr="00AF3214">
        <w:rPr>
          <w:rFonts w:ascii="Narkisim" w:hAnsi="Narkisim"/>
        </w:rPr>
        <w:t xml:space="preserve">. </w:t>
      </w:r>
      <w:r w:rsidRPr="00AF3214">
        <w:rPr>
          <w:rFonts w:ascii="Narkisim" w:hAnsi="Narkisim"/>
          <w:rtl/>
        </w:rPr>
        <w:t>א"כ ילפי' דה"ה זינתה בעודה זקוקה ליבום</w:t>
      </w:r>
      <w:r w:rsidRPr="00AF3214">
        <w:rPr>
          <w:rStyle w:val="ac"/>
          <w:rFonts w:ascii="Narkisim" w:hAnsi="Narkisim"/>
          <w:rtl/>
        </w:rPr>
        <w:footnoteReference w:id="5945"/>
      </w:r>
      <w:r w:rsidRPr="00AF3214">
        <w:rPr>
          <w:rFonts w:ascii="Narkisim" w:hAnsi="Narkisim"/>
        </w:rPr>
        <w:t xml:space="preserve">. </w:t>
      </w:r>
      <w:r w:rsidRPr="00AF3214">
        <w:rPr>
          <w:rFonts w:ascii="Narkisim" w:hAnsi="Narkisim"/>
          <w:rtl/>
        </w:rPr>
        <w:t>דהזנות נחשב כטומאה לאוסרה על היבם</w:t>
      </w:r>
      <w:r w:rsidRPr="00AF3214">
        <w:rPr>
          <w:rStyle w:val="ac"/>
          <w:rFonts w:ascii="Narkisim" w:hAnsi="Narkisim"/>
          <w:rtl/>
        </w:rPr>
        <w:footnoteReference w:id="5946"/>
      </w:r>
      <w:r w:rsidRPr="00AF3214">
        <w:rPr>
          <w:rFonts w:ascii="Narkisim" w:hAnsi="Narkisim"/>
        </w:rPr>
        <w:t xml:space="preserve">. </w:t>
      </w:r>
      <w:r w:rsidRPr="00AF3214">
        <w:rPr>
          <w:rFonts w:ascii="Narkisim" w:hAnsi="Narkisim"/>
          <w:rtl/>
        </w:rPr>
        <w:t>ואף שומרת יבם שזינתה הוה כמו סוטה בחיי הבעל שאסורה על היבם. [וע"ע חזו"א טו ב]</w:t>
      </w:r>
      <w:r w:rsidRPr="00AF3214">
        <w:rPr>
          <w:rFonts w:ascii="Narkisim" w:hAnsi="Narkisim"/>
        </w:rPr>
        <w:t>.</w:t>
      </w:r>
    </w:p>
    <w:p w14:paraId="635F6471" w14:textId="77777777" w:rsidR="006C4368" w:rsidRPr="00AF3214" w:rsidRDefault="006C4368" w:rsidP="006C4368">
      <w:pPr>
        <w:bidi/>
        <w:rPr>
          <w:rFonts w:ascii="Narkisim" w:hAnsi="Narkisim" w:cs="Narkisim"/>
        </w:rPr>
      </w:pP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(סוטה הנ"ל) נקטו דמ"ד דאין קידושין תופסים ביבמה ע"כ סבר דנאסרת בזנות כדרב המנונא. ועד"ז הביא ה</w:t>
      </w:r>
      <w:r w:rsidRPr="00AF3214">
        <w:rPr>
          <w:rFonts w:ascii="Narkisim" w:hAnsi="Narkisim" w:cs="Narkisim"/>
          <w:b/>
          <w:bCs/>
          <w:rtl/>
        </w:rPr>
        <w:t>מאירי</w:t>
      </w:r>
      <w:r w:rsidRPr="00AF3214">
        <w:rPr>
          <w:rFonts w:ascii="Narkisim" w:hAnsi="Narkisim" w:cs="Narkisim"/>
          <w:rtl/>
        </w:rPr>
        <w:t xml:space="preserve"> (כאן בשם יש חולקים) דלשמואל דהוה ספק אי תפסי קידושין, נאסרת בזנות מספק. והביא דבגמ' (סוטה שם) מבואר דלר' עקיבא דאמר אין קדושין תופסין ביבמה נאסרת בזנות. אלמא כל שנתברר שאין קדושין תופסין ביבמה נאסרה בזנות, דהא בהא תליא</w:t>
      </w:r>
      <w:r w:rsidRPr="00AF3214">
        <w:rPr>
          <w:rStyle w:val="ac"/>
          <w:rFonts w:ascii="Narkisim" w:hAnsi="Narkisim" w:cs="Narkisim"/>
          <w:rtl/>
        </w:rPr>
        <w:footnoteReference w:id="5947"/>
      </w:r>
      <w:r w:rsidRPr="00AF3214">
        <w:rPr>
          <w:rFonts w:ascii="Narkisim" w:hAnsi="Narkisim" w:cs="Narkisim"/>
        </w:rPr>
        <w:t>.</w:t>
      </w:r>
    </w:p>
    <w:p w14:paraId="5D9D23EE" w14:textId="77777777" w:rsidR="006C4368" w:rsidRPr="00AF3214" w:rsidRDefault="006C4368" w:rsidP="006C4368">
      <w:pPr>
        <w:pStyle w:val="a7"/>
        <w:bidi/>
        <w:rPr>
          <w:rFonts w:ascii="Narkisim" w:hAnsi="Narkisim"/>
        </w:rPr>
      </w:pPr>
      <w:r w:rsidRPr="00AF3214">
        <w:rPr>
          <w:rFonts w:ascii="Narkisim" w:hAnsi="Narkisim"/>
          <w:rtl/>
        </w:rPr>
        <w:t xml:space="preserve">אך שאר </w:t>
      </w:r>
      <w:r w:rsidRPr="00AF3214">
        <w:rPr>
          <w:rFonts w:ascii="Narkisim" w:hAnsi="Narkisim"/>
          <w:b/>
          <w:bCs/>
          <w:rtl/>
        </w:rPr>
        <w:t>ראשונים</w:t>
      </w:r>
      <w:r w:rsidRPr="00AF3214">
        <w:rPr>
          <w:rFonts w:ascii="Narkisim" w:hAnsi="Narkisim"/>
          <w:rtl/>
        </w:rPr>
        <w:t xml:space="preserve"> נקטו דלא קי"ל כרב המנונא. ואף למ"ד דאין קידושין תופסים מגזיה"כ, אפ"ה אינה נאסרת עליו. והא דאי' (סוטה שם) דלר"ע נאסרת</w:t>
      </w:r>
      <w:r w:rsidRPr="00AF3214">
        <w:rPr>
          <w:rStyle w:val="ac"/>
          <w:rFonts w:ascii="Narkisim" w:hAnsi="Narkisim"/>
          <w:rtl/>
        </w:rPr>
        <w:footnoteReference w:id="5948"/>
      </w:r>
      <w:r w:rsidRPr="00AF3214">
        <w:rPr>
          <w:rFonts w:ascii="Narkisim" w:hAnsi="Narkisim"/>
        </w:rPr>
        <w:t xml:space="preserve">, </w:t>
      </w:r>
      <w:r w:rsidRPr="00AF3214">
        <w:rPr>
          <w:rFonts w:ascii="Narkisim" w:hAnsi="Narkisim"/>
          <w:rtl/>
        </w:rPr>
        <w:t>היינו משום דלר"ע חייבי לאוין הוה כערוה לכל דבר</w:t>
      </w:r>
      <w:r w:rsidRPr="00AF3214">
        <w:rPr>
          <w:rStyle w:val="ac"/>
          <w:rFonts w:ascii="Narkisim" w:hAnsi="Narkisim"/>
          <w:rtl/>
        </w:rPr>
        <w:footnoteReference w:id="5949"/>
      </w:r>
      <w:r w:rsidRPr="00AF3214">
        <w:rPr>
          <w:rFonts w:ascii="Narkisim" w:hAnsi="Narkisim"/>
        </w:rPr>
        <w:t xml:space="preserve">. </w:t>
      </w: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הוסיף דכיון דר"ע ס"ל דהולד ממזר כדין אשת איש, מש"ה נאסרת עליו. ואילו דעת רב דאין הולד ממזר, אף דלא תפסי קידושין</w:t>
      </w:r>
      <w:r w:rsidRPr="00AF3214">
        <w:rPr>
          <w:rFonts w:ascii="Narkisim" w:hAnsi="Narkisim"/>
        </w:rPr>
        <w:t>.</w:t>
      </w:r>
    </w:p>
    <w:p w14:paraId="70785C57"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(ונמוק"י) חידש דאף מ"ד דפליג על רב המנונא, היינו דלא אסרינן על היבם שלא חטא. ומ"מ על הבועל אסרינן לה משום קנסא. והו' ב</w:t>
      </w:r>
      <w:r w:rsidRPr="00AF3214">
        <w:rPr>
          <w:rFonts w:ascii="Narkisim" w:hAnsi="Narkisim" w:cs="Narkisim"/>
          <w:b/>
          <w:bCs/>
          <w:rtl/>
        </w:rPr>
        <w:t>רמ"א</w:t>
      </w:r>
      <w:r w:rsidRPr="00AF3214">
        <w:rPr>
          <w:rFonts w:ascii="Narkisim" w:hAnsi="Narkisim" w:cs="Narkisim"/>
          <w:rtl/>
        </w:rPr>
        <w:t xml:space="preserve"> (קנט ג). וה</w:t>
      </w:r>
      <w:r w:rsidRPr="00AF3214">
        <w:rPr>
          <w:rFonts w:ascii="Narkisim" w:hAnsi="Narkisim" w:cs="Narkisim"/>
          <w:b/>
          <w:bCs/>
          <w:rtl/>
        </w:rPr>
        <w:t>אחרונים</w:t>
      </w:r>
      <w:r w:rsidRPr="00AF3214">
        <w:rPr>
          <w:rFonts w:ascii="Narkisim" w:hAnsi="Narkisim" w:cs="Narkisim"/>
          <w:rtl/>
        </w:rPr>
        <w:t xml:space="preserve"> (יש"ש כג, משנ"ל סוטה ב יב בסו"ד) תמהו מנ"ל דקנסו בזה, והאיך יחדשו גזירה שלא הוזכר בגמ'</w:t>
      </w:r>
      <w:r w:rsidRPr="00AF3214">
        <w:rPr>
          <w:rStyle w:val="ac"/>
          <w:rFonts w:ascii="Narkisim" w:hAnsi="Narkisim" w:cs="Narkisim"/>
          <w:rtl/>
        </w:rPr>
        <w:footnoteReference w:id="5950"/>
      </w:r>
      <w:r w:rsidRPr="00AF3214">
        <w:rPr>
          <w:rFonts w:ascii="Narkisim" w:hAnsi="Narkisim" w:cs="Narkisim"/>
          <w:rtl/>
        </w:rPr>
        <w:t xml:space="preserve">. </w:t>
      </w:r>
      <w:r w:rsidRPr="00AF3214">
        <w:rPr>
          <w:rFonts w:ascii="Narkisim" w:hAnsi="Narkisim" w:cs="Narkisim"/>
          <w:szCs w:val="20"/>
          <w:rtl/>
        </w:rPr>
        <w:t>וה</w:t>
      </w:r>
      <w:r w:rsidRPr="00AF3214">
        <w:rPr>
          <w:rFonts w:ascii="Narkisim" w:hAnsi="Narkisim" w:cs="Narkisim"/>
          <w:b/>
          <w:bCs/>
          <w:szCs w:val="20"/>
          <w:rtl/>
        </w:rPr>
        <w:t>אחרונים</w:t>
      </w:r>
      <w:r w:rsidRPr="00AF3214">
        <w:rPr>
          <w:rFonts w:ascii="Narkisim" w:hAnsi="Narkisim" w:cs="Narkisim"/>
          <w:szCs w:val="20"/>
          <w:rtl/>
        </w:rPr>
        <w:t xml:space="preserve"> דנו דתלי בגמ' (גיטין פ:) אי גזרו תצא מזה ומזה כשזינתה או דלא שכיחא</w:t>
      </w:r>
      <w:r w:rsidRPr="00AF3214">
        <w:rPr>
          <w:rFonts w:ascii="Narkisim" w:hAnsi="Narkisim" w:cs="Narkisim"/>
        </w:rPr>
        <w:t>.</w:t>
      </w:r>
    </w:p>
    <w:p w14:paraId="547B719C" w14:textId="77777777" w:rsidR="006C4368" w:rsidRPr="00AF3214" w:rsidRDefault="006C4368" w:rsidP="006C4368">
      <w:pPr>
        <w:pStyle w:val="a8"/>
        <w:bidi/>
        <w:rPr>
          <w:rFonts w:ascii="Narkisim" w:hAnsi="Narkisim"/>
        </w:rPr>
      </w:pPr>
      <w:r w:rsidRPr="00AF3214">
        <w:rPr>
          <w:rFonts w:ascii="Narkisim" w:hAnsi="Narkisim"/>
          <w:rtl/>
        </w:rPr>
        <w:t>ועוה"ק ה</w:t>
      </w:r>
      <w:r w:rsidRPr="00AF3214">
        <w:rPr>
          <w:rFonts w:ascii="Narkisim" w:hAnsi="Narkisim"/>
          <w:b/>
          <w:bCs/>
          <w:rtl/>
        </w:rPr>
        <w:t>בי"ש</w:t>
      </w:r>
      <w:r w:rsidRPr="00AF3214">
        <w:rPr>
          <w:rFonts w:ascii="Narkisim" w:hAnsi="Narkisim"/>
          <w:rtl/>
        </w:rPr>
        <w:t xml:space="preserve"> (שם ט) דאפי' אשת איש שנאנסה מותרת לבועל, כיון דלא נאסרה לבעל. [וכדאי' כתובות ט.]. א"כ כ"ש דל"ש קנס לבועל באופן דלא נאסרה על היבם. וכת' דדוחק לומר דשם ל"ש קנס, או שמעשה דדוד היה קודם שתקנו קנס זה</w:t>
      </w:r>
      <w:r w:rsidRPr="00AF3214">
        <w:rPr>
          <w:rStyle w:val="ac"/>
          <w:rFonts w:ascii="Narkisim" w:hAnsi="Narkisim"/>
          <w:rtl/>
        </w:rPr>
        <w:footnoteReference w:id="5951"/>
      </w:r>
      <w:r w:rsidRPr="00AF3214">
        <w:rPr>
          <w:rFonts w:ascii="Narkisim" w:hAnsi="Narkisim"/>
        </w:rPr>
        <w:t>.</w:t>
      </w:r>
    </w:p>
    <w:p w14:paraId="1EC25F31" w14:textId="77777777" w:rsidR="006C4368" w:rsidRPr="00AF3214" w:rsidRDefault="006C4368" w:rsidP="006C4368">
      <w:pPr>
        <w:bidi/>
        <w:rPr>
          <w:rFonts w:ascii="Narkisim" w:hAnsi="Narkisim" w:cs="Narkisim"/>
        </w:rPr>
      </w:pPr>
      <w:r w:rsidRPr="00AF3214">
        <w:rPr>
          <w:rFonts w:ascii="Narkisim" w:hAnsi="Narkisim" w:cs="Narkisim"/>
          <w:u w:val="single"/>
          <w:rtl/>
        </w:rPr>
        <w:t>ואבע"א לעולם כדאמרי' מעיקרא וכו' דמיחלפא באשה שהלך בעלה למדינה"י</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דצריכה גט משני משום גזירה דאשת איש שנשאת ע"פ בי"ד. ו</w:t>
      </w:r>
      <w:r w:rsidRPr="00AF3214">
        <w:rPr>
          <w:rFonts w:ascii="Narkisim" w:hAnsi="Narkisim" w:cs="Narkisim"/>
          <w:b/>
          <w:bCs/>
          <w:rtl/>
        </w:rPr>
        <w:t>תוס'</w:t>
      </w:r>
      <w:r w:rsidRPr="00AF3214">
        <w:rPr>
          <w:rFonts w:ascii="Narkisim" w:hAnsi="Narkisim" w:cs="Narkisim"/>
          <w:rtl/>
        </w:rPr>
        <w:t xml:space="preserve"> פי' דלהך לישנא נאסרת ליבם</w:t>
      </w:r>
      <w:r w:rsidRPr="00AF3214">
        <w:rPr>
          <w:rStyle w:val="ac"/>
          <w:rFonts w:ascii="Narkisim" w:hAnsi="Narkisim" w:cs="Narkisim"/>
          <w:rtl/>
        </w:rPr>
        <w:footnoteReference w:id="5952"/>
      </w:r>
      <w:r w:rsidRPr="00AF3214">
        <w:rPr>
          <w:rFonts w:ascii="Narkisim" w:hAnsi="Narkisim" w:cs="Narkisim"/>
        </w:rPr>
        <w:t xml:space="preserve"> </w:t>
      </w:r>
      <w:r w:rsidRPr="00AF3214">
        <w:rPr>
          <w:rFonts w:ascii="Narkisim" w:hAnsi="Narkisim" w:cs="Narkisim"/>
          <w:rtl/>
        </w:rPr>
        <w:t>משום גזירה אטו אשה שהלך בעלה [ואף דבמזיד אינה נאסרת]</w:t>
      </w:r>
      <w:r w:rsidRPr="00AF3214">
        <w:rPr>
          <w:rFonts w:ascii="Narkisim" w:hAnsi="Narkisim" w:cs="Narkisim"/>
        </w:rPr>
        <w:t>.</w:t>
      </w:r>
    </w:p>
    <w:p w14:paraId="21CA9566"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(סוד"ה נותן) דנו האם כ"ש נשואי מזיד דקנסינן לה טפי. או [אפי' את"ל] דהך גזירה הוה דוקא דומיא דאשה שהלך בעלה ונשאת ע"פ עד א', אבל נשאת במזיד ל"ש גזירה [וע"ע מאירי]</w:t>
      </w:r>
      <w:r w:rsidRPr="00AF3214">
        <w:rPr>
          <w:rFonts w:ascii="Narkisim" w:hAnsi="Narkisim"/>
        </w:rPr>
        <w:t>.</w:t>
      </w:r>
    </w:p>
    <w:p w14:paraId="73D21F2D" w14:textId="77777777" w:rsidR="006C4368" w:rsidRPr="00AF3214" w:rsidRDefault="006C4368" w:rsidP="006C4368">
      <w:pPr>
        <w:pStyle w:val="a8"/>
        <w:bidi/>
        <w:rPr>
          <w:rFonts w:ascii="Narkisim" w:hAnsi="Narkisim"/>
        </w:rPr>
      </w:pPr>
      <w:r w:rsidRPr="00AF3214">
        <w:rPr>
          <w:rFonts w:ascii="Narkisim" w:hAnsi="Narkisim"/>
          <w:rtl/>
        </w:rPr>
        <w:t>וכן נקט ה</w:t>
      </w:r>
      <w:r w:rsidRPr="00AF3214">
        <w:rPr>
          <w:rFonts w:ascii="Narkisim" w:hAnsi="Narkisim"/>
          <w:b/>
          <w:bCs/>
          <w:rtl/>
        </w:rPr>
        <w:t>ריטב"א</w:t>
      </w:r>
      <w:r w:rsidRPr="00AF3214">
        <w:rPr>
          <w:rFonts w:ascii="Narkisim" w:hAnsi="Narkisim"/>
          <w:rtl/>
        </w:rPr>
        <w:t xml:space="preserve"> (והנמוק"י) דקאי דוקא בנשאת בעד א'</w:t>
      </w:r>
      <w:r w:rsidRPr="00AF3214">
        <w:rPr>
          <w:rStyle w:val="ac"/>
          <w:rFonts w:ascii="Narkisim" w:hAnsi="Narkisim"/>
          <w:rtl/>
        </w:rPr>
        <w:footnoteReference w:id="5953"/>
      </w:r>
      <w:r w:rsidRPr="00AF3214">
        <w:rPr>
          <w:rFonts w:ascii="Narkisim" w:hAnsi="Narkisim"/>
          <w:rtl/>
        </w:rPr>
        <w:t xml:space="preserve">, אבל נשאת במזיד אינה נאסרת דהוה זנות </w:t>
      </w:r>
      <w:r w:rsidRPr="00AF3214">
        <w:rPr>
          <w:rFonts w:ascii="Narkisim" w:hAnsi="Narkisim"/>
          <w:rtl/>
        </w:rPr>
        <w:lastRenderedPageBreak/>
        <w:t>בעלמא</w:t>
      </w:r>
      <w:r w:rsidRPr="00AF3214">
        <w:rPr>
          <w:rStyle w:val="ac"/>
          <w:rFonts w:ascii="Narkisim" w:hAnsi="Narkisim"/>
          <w:rtl/>
        </w:rPr>
        <w:footnoteReference w:id="5954"/>
      </w:r>
      <w:r w:rsidRPr="00AF3214">
        <w:rPr>
          <w:rFonts w:ascii="Narkisim" w:hAnsi="Narkisim"/>
        </w:rPr>
        <w:t xml:space="preserve">, </w:t>
      </w:r>
      <w:r w:rsidRPr="00AF3214">
        <w:rPr>
          <w:rFonts w:ascii="Narkisim" w:hAnsi="Narkisim"/>
          <w:rtl/>
        </w:rPr>
        <w:t xml:space="preserve">ולא קי"ל כרב המנונא. אך </w:t>
      </w:r>
      <w:r w:rsidRPr="00AF3214">
        <w:rPr>
          <w:rFonts w:ascii="Narkisim" w:hAnsi="Narkisim"/>
          <w:b/>
          <w:bCs/>
          <w:rtl/>
        </w:rPr>
        <w:t>רע"א</w:t>
      </w:r>
      <w:r w:rsidRPr="00AF3214">
        <w:rPr>
          <w:rFonts w:ascii="Narkisim" w:hAnsi="Narkisim"/>
          <w:rtl/>
        </w:rPr>
        <w:t xml:space="preserve"> (בשו"ע קנט ב) כת' דקאי דוקא אליבא דרב דאין קידושין תופסים ביבמה לשוק, מש"ה הוה זנות בעלמא. אבל קי"ל כשמואל דאף נשאת במזיד צריכה גט, י"ל דשם נישואין עלה</w:t>
      </w:r>
      <w:r w:rsidRPr="00AF3214">
        <w:rPr>
          <w:rStyle w:val="ac"/>
          <w:rFonts w:ascii="Narkisim" w:hAnsi="Narkisim"/>
          <w:rtl/>
        </w:rPr>
        <w:footnoteReference w:id="5955"/>
      </w:r>
      <w:r w:rsidRPr="00AF3214">
        <w:rPr>
          <w:rFonts w:ascii="Narkisim" w:hAnsi="Narkisim"/>
        </w:rPr>
        <w:t xml:space="preserve">, </w:t>
      </w:r>
      <w:r w:rsidRPr="00AF3214">
        <w:rPr>
          <w:rFonts w:ascii="Narkisim" w:hAnsi="Narkisim"/>
          <w:rtl/>
        </w:rPr>
        <w:t>ושייך בזה גזירה דאשה שהלך בעלה למדינה"י</w:t>
      </w:r>
      <w:r w:rsidRPr="00AF3214">
        <w:rPr>
          <w:rFonts w:ascii="Narkisim" w:hAnsi="Narkisim"/>
        </w:rPr>
        <w:t>.</w:t>
      </w:r>
    </w:p>
    <w:p w14:paraId="5F02F93B" w14:textId="77777777" w:rsidR="006C4368" w:rsidRPr="00AF3214" w:rsidRDefault="006C4368" w:rsidP="006C4368">
      <w:pPr>
        <w:bidi/>
        <w:rPr>
          <w:rFonts w:ascii="Narkisim" w:hAnsi="Narkisim" w:cs="Narkisim"/>
        </w:rPr>
      </w:pPr>
      <w:r w:rsidRPr="00AF3214">
        <w:rPr>
          <w:rFonts w:ascii="Narkisim" w:hAnsi="Narkisim" w:cs="Narkisim"/>
          <w:rtl/>
        </w:rPr>
        <w:t>ו</w:t>
      </w:r>
      <w:r w:rsidRPr="00AF3214">
        <w:rPr>
          <w:rFonts w:ascii="Narkisim" w:hAnsi="Narkisim" w:cs="Narkisim"/>
          <w:b/>
          <w:bCs/>
          <w:rtl/>
        </w:rPr>
        <w:t>רב יהודאי גאון</w:t>
      </w:r>
      <w:r w:rsidRPr="00AF3214">
        <w:rPr>
          <w:rFonts w:ascii="Narkisim" w:hAnsi="Narkisim" w:cs="Narkisim"/>
          <w:rtl/>
        </w:rPr>
        <w:t xml:space="preserve"> (בה"ג, הו' ברי"ף) כת' דשומרת יבם שנשאת בלא חליצה, דוקא כשאין לה בנים אמרי' תצא מזה ומזה [מבעל בגט ומיבם בחליצה], ואסורה להם עולמית משום דמיחלפא באשה שהלך בעלה למד"ה</w:t>
      </w:r>
      <w:r w:rsidRPr="00AF3214">
        <w:rPr>
          <w:rStyle w:val="ac"/>
          <w:rFonts w:ascii="Narkisim" w:hAnsi="Narkisim" w:cs="Narkisim"/>
          <w:rtl/>
        </w:rPr>
        <w:footnoteReference w:id="5956"/>
      </w:r>
      <w:r w:rsidRPr="00AF3214">
        <w:rPr>
          <w:rFonts w:ascii="Narkisim" w:hAnsi="Narkisim" w:cs="Narkisim"/>
        </w:rPr>
        <w:t xml:space="preserve">. </w:t>
      </w:r>
      <w:r w:rsidRPr="00AF3214">
        <w:rPr>
          <w:rFonts w:ascii="Narkisim" w:hAnsi="Narkisim" w:cs="Narkisim"/>
          <w:rtl/>
        </w:rPr>
        <w:t>אבל נשאת ויש לה בנים יחלוץ לה היבם</w:t>
      </w:r>
      <w:r w:rsidRPr="00AF3214">
        <w:rPr>
          <w:rStyle w:val="ac"/>
          <w:rFonts w:ascii="Narkisim" w:hAnsi="Narkisim" w:cs="Narkisim"/>
          <w:rtl/>
        </w:rPr>
        <w:footnoteReference w:id="5957"/>
      </w:r>
      <w:r w:rsidRPr="00AF3214">
        <w:rPr>
          <w:rFonts w:ascii="Narkisim" w:hAnsi="Narkisim" w:cs="Narkisim"/>
        </w:rPr>
        <w:t xml:space="preserve"> </w:t>
      </w:r>
      <w:r w:rsidRPr="00AF3214">
        <w:rPr>
          <w:rFonts w:ascii="Narkisim" w:hAnsi="Narkisim" w:cs="Narkisim"/>
          <w:rtl/>
        </w:rPr>
        <w:t>ולא תצא, ולא גזרו משום אשה שהלך בעלה למדינה"י, דא"כ אתה מוציא לעז ממזרות על בניה</w:t>
      </w:r>
      <w:r w:rsidRPr="00AF3214">
        <w:rPr>
          <w:rStyle w:val="ac"/>
          <w:rFonts w:ascii="Narkisim" w:hAnsi="Narkisim" w:cs="Narkisim"/>
          <w:rtl/>
        </w:rPr>
        <w:footnoteReference w:id="5958"/>
      </w:r>
      <w:r w:rsidRPr="00AF3214">
        <w:rPr>
          <w:rFonts w:ascii="Narkisim" w:hAnsi="Narkisim" w:cs="Narkisim"/>
        </w:rPr>
        <w:t>.</w:t>
      </w:r>
    </w:p>
    <w:p w14:paraId="10203E4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רי"ף</w:t>
      </w:r>
      <w:r w:rsidRPr="00AF3214">
        <w:rPr>
          <w:rFonts w:ascii="Narkisim" w:hAnsi="Narkisim"/>
          <w:rtl/>
        </w:rPr>
        <w:t xml:space="preserve"> הביא </w:t>
      </w:r>
      <w:r w:rsidRPr="00AF3214">
        <w:rPr>
          <w:rFonts w:ascii="Narkisim" w:hAnsi="Narkisim"/>
          <w:b/>
          <w:bCs/>
          <w:rtl/>
        </w:rPr>
        <w:t>י"מ</w:t>
      </w:r>
      <w:r w:rsidRPr="00AF3214">
        <w:rPr>
          <w:rFonts w:ascii="Narkisim" w:hAnsi="Narkisim"/>
          <w:rtl/>
        </w:rPr>
        <w:t xml:space="preserve"> דפליגי דאף כשיש לה בנים תצא, והביאו ראיה מהירושלמי דרבנן פליגי רק דאין הולד ממזר, אך מודו דאף כשיש בנים תצא</w:t>
      </w:r>
      <w:r w:rsidRPr="00AF3214">
        <w:rPr>
          <w:rFonts w:ascii="Narkisim" w:hAnsi="Narkisim"/>
        </w:rPr>
        <w:t>.</w:t>
      </w:r>
    </w:p>
    <w:p w14:paraId="4000F3B8"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רמ"א</w:t>
      </w:r>
      <w:r w:rsidRPr="00AF3214">
        <w:rPr>
          <w:rFonts w:ascii="Narkisim" w:hAnsi="Narkisim"/>
          <w:rtl/>
        </w:rPr>
        <w:t xml:space="preserve"> (קנז ג) הביא דדעת </w:t>
      </w:r>
      <w:r w:rsidRPr="00AF3214">
        <w:rPr>
          <w:rFonts w:ascii="Narkisim" w:hAnsi="Narkisim"/>
          <w:b/>
          <w:bCs/>
          <w:rtl/>
        </w:rPr>
        <w:t>מהר"י מינץ</w:t>
      </w:r>
      <w:r w:rsidRPr="00AF3214">
        <w:rPr>
          <w:rFonts w:ascii="Narkisim" w:hAnsi="Narkisim"/>
          <w:rtl/>
        </w:rPr>
        <w:t xml:space="preserve"> (יב) דהיכא דנפלה ליבום לפני מומר, ונשאת בשוגג לא תצא [דבדיעבד סמכו אמקצת </w:t>
      </w:r>
      <w:r w:rsidRPr="00AF3214">
        <w:rPr>
          <w:rFonts w:ascii="Narkisim" w:hAnsi="Narkisim"/>
          <w:b/>
          <w:bCs/>
          <w:rtl/>
        </w:rPr>
        <w:t>גאונים</w:t>
      </w:r>
      <w:r w:rsidRPr="00AF3214">
        <w:rPr>
          <w:rFonts w:ascii="Narkisim" w:hAnsi="Narkisim"/>
          <w:rtl/>
        </w:rPr>
        <w:t xml:space="preserve"> (הו' לעיל כב.) דמומר אינו זוקק ליבום. וי"א (מהר"י וויל נד, ובנימין זאב עא) דדוקא אי חלץ לה לבסוף. וה</w:t>
      </w:r>
      <w:r w:rsidRPr="00AF3214">
        <w:rPr>
          <w:rFonts w:ascii="Narkisim" w:hAnsi="Narkisim"/>
          <w:b/>
          <w:bCs/>
          <w:rtl/>
        </w:rPr>
        <w:t>גר"א</w:t>
      </w:r>
      <w:r w:rsidRPr="00AF3214">
        <w:rPr>
          <w:rFonts w:ascii="Narkisim" w:hAnsi="Narkisim"/>
          <w:rtl/>
        </w:rPr>
        <w:t xml:space="preserve"> (שם ט) ביאר דבקנס דרבנן סמכו אדברי המתירין בלא חליצה</w:t>
      </w:r>
      <w:r w:rsidRPr="00AF3214">
        <w:rPr>
          <w:rFonts w:ascii="Narkisim" w:hAnsi="Narkisim"/>
        </w:rPr>
        <w:t>.</w:t>
      </w:r>
    </w:p>
    <w:p w14:paraId="7F92A4D8" w14:textId="77777777" w:rsidR="006C4368" w:rsidRPr="00AF3214" w:rsidRDefault="006C4368" w:rsidP="006C4368">
      <w:pPr>
        <w:pStyle w:val="aa"/>
        <w:bidi/>
        <w:rPr>
          <w:rFonts w:ascii="Narkisim" w:hAnsi="Narkisim"/>
        </w:rPr>
      </w:pPr>
      <w:r w:rsidRPr="00AF3214">
        <w:rPr>
          <w:rFonts w:ascii="Narkisim" w:hAnsi="Narkisim"/>
          <w:u w:val="single"/>
          <w:rtl/>
        </w:rPr>
        <w:t>שם. נשואין יש בה, דמיחלפא וכו'</w:t>
      </w:r>
      <w:r w:rsidRPr="00AF3214">
        <w:rPr>
          <w:rFonts w:ascii="Narkisim" w:hAnsi="Narkisim"/>
          <w:rtl/>
        </w:rPr>
        <w:t xml:space="preserve">. לדעת </w:t>
      </w:r>
      <w:r w:rsidRPr="00AF3214">
        <w:rPr>
          <w:rFonts w:ascii="Narkisim" w:hAnsi="Narkisim"/>
          <w:b/>
          <w:bCs/>
          <w:rtl/>
        </w:rPr>
        <w:t>רש"י</w:t>
      </w:r>
      <w:r w:rsidRPr="00AF3214">
        <w:rPr>
          <w:rFonts w:ascii="Narkisim" w:hAnsi="Narkisim"/>
          <w:rtl/>
        </w:rPr>
        <w:t xml:space="preserve"> (הנ"ל) הוה לענין שצריכה גט. וכ"כ ה</w:t>
      </w:r>
      <w:r w:rsidRPr="00AF3214">
        <w:rPr>
          <w:rFonts w:ascii="Narkisim" w:hAnsi="Narkisim"/>
          <w:b/>
          <w:bCs/>
          <w:rtl/>
        </w:rPr>
        <w:t>בעה"מ</w:t>
      </w:r>
      <w:r w:rsidRPr="00AF3214">
        <w:rPr>
          <w:rFonts w:ascii="Narkisim" w:hAnsi="Narkisim"/>
          <w:rtl/>
        </w:rPr>
        <w:t xml:space="preserve"> דהנשואין תופסין בה וצריכה גט</w:t>
      </w:r>
      <w:r w:rsidRPr="00AF3214">
        <w:rPr>
          <w:rStyle w:val="ac"/>
          <w:rFonts w:ascii="Narkisim" w:hAnsi="Narkisim"/>
          <w:rtl/>
        </w:rPr>
        <w:footnoteReference w:id="5959"/>
      </w:r>
      <w:r w:rsidRPr="00AF3214">
        <w:rPr>
          <w:rFonts w:ascii="Narkisim" w:hAnsi="Narkisim"/>
        </w:rPr>
        <w:t xml:space="preserve">, </w:t>
      </w:r>
      <w:r w:rsidRPr="00AF3214">
        <w:rPr>
          <w:rFonts w:ascii="Narkisim" w:hAnsi="Narkisim"/>
          <w:rtl/>
        </w:rPr>
        <w:t>אבל קדושין אין תופסין בה</w:t>
      </w:r>
      <w:r w:rsidRPr="00AF3214">
        <w:rPr>
          <w:rFonts w:ascii="Narkisim" w:hAnsi="Narkisim"/>
        </w:rPr>
        <w:t>.</w:t>
      </w:r>
    </w:p>
    <w:p w14:paraId="37CAEBDA"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בעה"מ</w:t>
      </w:r>
      <w:r w:rsidRPr="00AF3214">
        <w:rPr>
          <w:rFonts w:ascii="Narkisim" w:hAnsi="Narkisim"/>
          <w:rtl/>
        </w:rPr>
        <w:t xml:space="preserve"> כת' דלפ"ז עיקר המימרא לענין גט, ולדעת רב דאין קידושין תופסין ביבמה. אבל לשמואל אף מדינא ספק תפסי בה קידושין. ואי"צ לסברת מיחלפה כשנשאת</w:t>
      </w:r>
      <w:r w:rsidRPr="00AF3214">
        <w:rPr>
          <w:rFonts w:ascii="Narkisim" w:hAnsi="Narkisim"/>
        </w:rPr>
        <w:t>.</w:t>
      </w:r>
    </w:p>
    <w:p w14:paraId="7EC6EDEC" w14:textId="77777777" w:rsidR="006C4368" w:rsidRPr="00AF3214" w:rsidRDefault="006C4368" w:rsidP="006C4368">
      <w:pPr>
        <w:pStyle w:val="a8"/>
        <w:bidi/>
        <w:rPr>
          <w:rFonts w:ascii="Narkisim" w:hAnsi="Narkisim"/>
        </w:rPr>
      </w:pPr>
      <w:r w:rsidRPr="00AF3214">
        <w:rPr>
          <w:rFonts w:ascii="Narkisim" w:hAnsi="Narkisim"/>
          <w:rtl/>
        </w:rPr>
        <w:t>אבל ה</w:t>
      </w:r>
      <w:r w:rsidRPr="00AF3214">
        <w:rPr>
          <w:rFonts w:ascii="Narkisim" w:hAnsi="Narkisim"/>
          <w:b/>
          <w:bCs/>
          <w:rtl/>
        </w:rPr>
        <w:t>רי"ף</w:t>
      </w:r>
      <w:r w:rsidRPr="00AF3214">
        <w:rPr>
          <w:rFonts w:ascii="Narkisim" w:hAnsi="Narkisim"/>
          <w:rtl/>
        </w:rPr>
        <w:t xml:space="preserve"> הביא מימרא דרב דנישואין יש לה דמחלפה [ואף דקי"ל דאף בקידושין צריכה גט]. ומבואר דהרי"ף נקט דהך מימרא קאי לאסרה על היבם</w:t>
      </w:r>
      <w:r w:rsidRPr="00AF3214">
        <w:rPr>
          <w:rStyle w:val="ac"/>
          <w:rFonts w:ascii="Narkisim" w:hAnsi="Narkisim"/>
          <w:rtl/>
        </w:rPr>
        <w:footnoteReference w:id="5960"/>
      </w:r>
      <w:r w:rsidRPr="00AF3214">
        <w:rPr>
          <w:rFonts w:ascii="Narkisim" w:hAnsi="Narkisim"/>
        </w:rPr>
        <w:t xml:space="preserve">. </w:t>
      </w:r>
      <w:r w:rsidRPr="00AF3214">
        <w:rPr>
          <w:rFonts w:ascii="Narkisim" w:hAnsi="Narkisim"/>
          <w:rtl/>
        </w:rPr>
        <w:t>וכדברי התוס</w:t>
      </w:r>
      <w:r w:rsidRPr="00AF3214">
        <w:rPr>
          <w:rFonts w:ascii="Narkisim" w:hAnsi="Narkisim"/>
        </w:rPr>
        <w:t>'</w:t>
      </w:r>
      <w:r w:rsidRPr="00AF3214">
        <w:rPr>
          <w:rStyle w:val="ac"/>
          <w:rFonts w:ascii="Narkisim" w:hAnsi="Narkisim"/>
        </w:rPr>
        <w:footnoteReference w:id="5961"/>
      </w:r>
      <w:r w:rsidRPr="00AF3214">
        <w:rPr>
          <w:rFonts w:ascii="Narkisim" w:hAnsi="Narkisim"/>
        </w:rPr>
        <w:t>.</w:t>
      </w:r>
    </w:p>
    <w:p w14:paraId="30A26DDF" w14:textId="77777777" w:rsidR="006C4368" w:rsidRPr="00AF3214" w:rsidRDefault="006C4368" w:rsidP="006C4368">
      <w:pPr>
        <w:pStyle w:val="2"/>
        <w:bidi/>
        <w:rPr>
          <w:rFonts w:ascii="Narkisim" w:hAnsi="Narkisim"/>
        </w:rPr>
      </w:pPr>
      <w:r w:rsidRPr="00AF3214">
        <w:rPr>
          <w:rFonts w:ascii="Narkisim" w:hAnsi="Narkisim"/>
          <w:rtl/>
        </w:rPr>
        <w:t>סוגיית דבר שלא בא לעולם</w:t>
      </w:r>
    </w:p>
    <w:p w14:paraId="625DD6A8" w14:textId="77777777" w:rsidR="006C4368" w:rsidRPr="00AF3214" w:rsidRDefault="006C4368" w:rsidP="006C4368">
      <w:pPr>
        <w:bidi/>
        <w:rPr>
          <w:rFonts w:ascii="Narkisim" w:hAnsi="Narkisim" w:cs="Narkisim"/>
        </w:rPr>
      </w:pPr>
      <w:r w:rsidRPr="00AF3214">
        <w:rPr>
          <w:rFonts w:ascii="Narkisim" w:hAnsi="Narkisim" w:cs="Narkisim"/>
          <w:u w:val="single"/>
          <w:rtl/>
        </w:rPr>
        <w:t>א"ל אי לאו דדלאי לך חספא מי משכחת מרגניתא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דס"ד דטעם המשנה [מטעם אחר</w:t>
      </w:r>
      <w:r w:rsidRPr="00AF3214">
        <w:rPr>
          <w:rStyle w:val="ac"/>
          <w:rFonts w:ascii="Narkisim" w:hAnsi="Narkisim" w:cs="Narkisim"/>
          <w:rtl/>
        </w:rPr>
        <w:footnoteReference w:id="5962"/>
      </w:r>
      <w:r w:rsidRPr="00AF3214">
        <w:rPr>
          <w:rFonts w:ascii="Narkisim" w:hAnsi="Narkisim" w:cs="Narkisim"/>
          <w:rtl/>
        </w:rPr>
        <w:t>]. משום דל"מ להקנות דבר שלא בא לעולם, ואפי' יש בידו לעשות עכשיו</w:t>
      </w:r>
      <w:r w:rsidRPr="00AF3214">
        <w:rPr>
          <w:rStyle w:val="ac"/>
          <w:rFonts w:ascii="Narkisim" w:hAnsi="Narkisim" w:cs="Narkisim"/>
          <w:rtl/>
        </w:rPr>
        <w:footnoteReference w:id="5963"/>
      </w:r>
      <w:r w:rsidRPr="00AF3214">
        <w:rPr>
          <w:rFonts w:ascii="Narkisim" w:hAnsi="Narkisim" w:cs="Narkisim"/>
        </w:rPr>
        <w:t xml:space="preserve">. </w:t>
      </w:r>
      <w:r w:rsidRPr="00AF3214">
        <w:rPr>
          <w:rFonts w:ascii="Narkisim" w:hAnsi="Narkisim" w:cs="Narkisim"/>
          <w:szCs w:val="20"/>
          <w:rtl/>
        </w:rPr>
        <w:t xml:space="preserve">[קמ"ל ר' ינאי דאין קידושין תופסים ביבמה, ואינו בידו להקנות עכשיו. אבל אילו תפסי קידושין מעכשיו והוה בידו, </w:t>
      </w:r>
      <w:r w:rsidRPr="00AF3214">
        <w:rPr>
          <w:rFonts w:ascii="Narkisim" w:hAnsi="Narkisim" w:cs="Narkisim"/>
          <w:szCs w:val="20"/>
          <w:rtl/>
        </w:rPr>
        <w:lastRenderedPageBreak/>
        <w:t>שפיר מהני</w:t>
      </w:r>
      <w:r w:rsidRPr="00AF3214">
        <w:rPr>
          <w:rStyle w:val="ac"/>
          <w:rFonts w:ascii="Narkisim" w:hAnsi="Narkisim" w:cs="Narkisim"/>
          <w:szCs w:val="20"/>
          <w:rtl/>
        </w:rPr>
        <w:footnoteReference w:id="5964"/>
      </w:r>
      <w:r w:rsidRPr="00AF3214">
        <w:rPr>
          <w:rFonts w:ascii="Narkisim" w:hAnsi="Narkisim" w:cs="Narkisim"/>
          <w:szCs w:val="20"/>
          <w:rtl/>
        </w:rPr>
        <w:t>]</w:t>
      </w:r>
      <w:r w:rsidRPr="00AF3214">
        <w:rPr>
          <w:rFonts w:ascii="Narkisim" w:hAnsi="Narkisim" w:cs="Narkisim"/>
          <w:rtl/>
        </w:rPr>
        <w:t>. וצ"ב דאילו קידושין תפסי עכשיו ביבמה, א"כ אמאי חשיב דבר שלא בא לעולם</w:t>
      </w:r>
      <w:r w:rsidRPr="00AF3214">
        <w:rPr>
          <w:rStyle w:val="ac"/>
          <w:rFonts w:ascii="Narkisim" w:hAnsi="Narkisim" w:cs="Narkisim"/>
          <w:rtl/>
        </w:rPr>
        <w:footnoteReference w:id="5965"/>
      </w:r>
      <w:r w:rsidRPr="00AF3214">
        <w:rPr>
          <w:rFonts w:ascii="Narkisim" w:hAnsi="Narkisim" w:cs="Narkisim"/>
        </w:rPr>
        <w:t>.</w:t>
      </w:r>
    </w:p>
    <w:p w14:paraId="4500D248"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ביאר דאישתני גופה ודינה בינתיים, שיצאת לשוק</w:t>
      </w:r>
      <w:r w:rsidRPr="00AF3214">
        <w:rPr>
          <w:rStyle w:val="ac"/>
          <w:rFonts w:ascii="Narkisim" w:hAnsi="Narkisim"/>
          <w:rtl/>
        </w:rPr>
        <w:footnoteReference w:id="5966"/>
      </w:r>
      <w:r w:rsidRPr="00AF3214">
        <w:rPr>
          <w:rFonts w:ascii="Narkisim" w:hAnsi="Narkisim"/>
        </w:rPr>
        <w:t xml:space="preserve">. </w:t>
      </w:r>
      <w:r w:rsidRPr="00AF3214">
        <w:rPr>
          <w:rFonts w:ascii="Narkisim" w:hAnsi="Narkisim"/>
          <w:rtl/>
        </w:rPr>
        <w:t>וכן היכא דנתגיירה</w:t>
      </w:r>
      <w:r w:rsidRPr="00AF3214">
        <w:rPr>
          <w:rStyle w:val="ac"/>
          <w:rFonts w:ascii="Narkisim" w:hAnsi="Narkisim"/>
          <w:rtl/>
        </w:rPr>
        <w:footnoteReference w:id="5967"/>
      </w:r>
      <w:r w:rsidRPr="00AF3214">
        <w:rPr>
          <w:rFonts w:ascii="Narkisim" w:hAnsi="Narkisim"/>
        </w:rPr>
        <w:t xml:space="preserve"> </w:t>
      </w:r>
      <w:r w:rsidRPr="00AF3214">
        <w:rPr>
          <w:rFonts w:ascii="Narkisim" w:hAnsi="Narkisim"/>
          <w:rtl/>
        </w:rPr>
        <w:t>או נשתחררה</w:t>
      </w:r>
      <w:r w:rsidRPr="00AF3214">
        <w:rPr>
          <w:rStyle w:val="ac"/>
          <w:rFonts w:ascii="Narkisim" w:hAnsi="Narkisim"/>
          <w:rtl/>
        </w:rPr>
        <w:footnoteReference w:id="5968"/>
      </w:r>
      <w:r w:rsidRPr="00AF3214">
        <w:rPr>
          <w:rFonts w:ascii="Narkisim" w:hAnsi="Narkisim"/>
        </w:rPr>
        <w:t xml:space="preserve">. </w:t>
      </w:r>
      <w:r w:rsidRPr="00AF3214">
        <w:rPr>
          <w:rFonts w:ascii="Narkisim" w:hAnsi="Narkisim"/>
          <w:rtl/>
        </w:rPr>
        <w:t>[אך אליבא דאמת לא אמרי' כן, דסוף סוף תפסי קידושין עכשיו]</w:t>
      </w:r>
      <w:r w:rsidRPr="00AF3214">
        <w:rPr>
          <w:rFonts w:ascii="Narkisim" w:hAnsi="Narkisim"/>
        </w:rPr>
        <w:t>.</w:t>
      </w:r>
    </w:p>
    <w:p w14:paraId="4B8FF989" w14:textId="77777777" w:rsidR="006C4368" w:rsidRPr="00AF3214" w:rsidRDefault="006C4368" w:rsidP="006C4368">
      <w:pPr>
        <w:pStyle w:val="aa"/>
        <w:bidi/>
        <w:rPr>
          <w:rFonts w:ascii="Narkisim" w:hAnsi="Narkisim"/>
        </w:rPr>
      </w:pPr>
      <w:r w:rsidRPr="00AF3214">
        <w:rPr>
          <w:rFonts w:ascii="Narkisim" w:hAnsi="Narkisim"/>
          <w:u w:val="single"/>
          <w:rtl/>
        </w:rPr>
        <w:t>הו"א אנא מתני' ר"ע היא דאמר אין קידושין תופסין בחייבי לאוין</w:t>
      </w:r>
      <w:r w:rsidRPr="00AF3214">
        <w:rPr>
          <w:rFonts w:ascii="Narkisim" w:hAnsi="Narkisim"/>
          <w:rtl/>
        </w:rPr>
        <w:t>. וכתנא אליבא דר"ע דבכל חייבי לאוין לא תפסי קידושין, ואף דיבמה לשוק לא הוה 'שאר'. [וכתנא דמתני' דידן]</w:t>
      </w:r>
      <w:r w:rsidRPr="00AF3214">
        <w:rPr>
          <w:rStyle w:val="ac"/>
          <w:rFonts w:ascii="Narkisim" w:hAnsi="Narkisim"/>
          <w:rtl/>
        </w:rPr>
        <w:footnoteReference w:id="5969"/>
      </w:r>
      <w:r w:rsidRPr="00AF3214">
        <w:rPr>
          <w:rFonts w:ascii="Narkisim" w:hAnsi="Narkisim"/>
        </w:rPr>
        <w:t>.</w:t>
      </w:r>
    </w:p>
    <w:p w14:paraId="6D64CD64" w14:textId="77777777" w:rsidR="006C4368" w:rsidRPr="00AF3214" w:rsidRDefault="006C4368" w:rsidP="006C4368">
      <w:pPr>
        <w:pStyle w:val="a8"/>
        <w:bidi/>
        <w:rPr>
          <w:rFonts w:ascii="Narkisim" w:hAnsi="Narkisim"/>
        </w:rPr>
      </w:pPr>
      <w:r w:rsidRPr="00AF3214">
        <w:rPr>
          <w:rFonts w:ascii="Narkisim" w:hAnsi="Narkisim"/>
          <w:rtl/>
        </w:rPr>
        <w:t>ואילו ר' יוחנן ור' ינאי נקטו דהמשנה אף כרבנן, וכדברי רב (לעיל) דגזיה"כ לא תהיה אשת המת החוצה</w:t>
      </w:r>
      <w:r w:rsidRPr="00AF3214">
        <w:rPr>
          <w:rFonts w:ascii="Narkisim" w:hAnsi="Narkisim"/>
        </w:rPr>
        <w:t>.</w:t>
      </w:r>
    </w:p>
    <w:p w14:paraId="4F286040"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מקנה</w:t>
      </w:r>
      <w:r w:rsidRPr="00AF3214">
        <w:rPr>
          <w:rFonts w:ascii="Narkisim" w:hAnsi="Narkisim"/>
          <w:rtl/>
        </w:rPr>
        <w:t xml:space="preserve"> (קידושין סב:) הביא דיבמה שהיא חייבי עשה או ל"ת ועשה ליבם, א"כ אסורה לכל העולם עד שתחלוץ. א"כ כשקיבלה קידושין לא נאסרה על שום אדם, ומש"ה לא תפסי קידושין (ע"ד הא דאי' גיטין פב:). ודן דהו"ל להעמיד מתני' כה"ג. [עי"ש]</w:t>
      </w:r>
      <w:r w:rsidRPr="00AF3214">
        <w:rPr>
          <w:rFonts w:ascii="Narkisim" w:hAnsi="Narkisim"/>
        </w:rPr>
        <w:t>.</w:t>
      </w:r>
    </w:p>
    <w:p w14:paraId="5B0158E1" w14:textId="77777777" w:rsidR="006C4368" w:rsidRPr="00AF3214" w:rsidRDefault="006C4368" w:rsidP="006C4368">
      <w:pPr>
        <w:pStyle w:val="aa"/>
        <w:bidi/>
        <w:rPr>
          <w:rFonts w:ascii="Narkisim" w:hAnsi="Narkisim"/>
        </w:rPr>
      </w:pPr>
      <w:r w:rsidRPr="00AF3214">
        <w:rPr>
          <w:rFonts w:ascii="Narkisim" w:hAnsi="Narkisim"/>
          <w:u w:val="single"/>
          <w:rtl/>
        </w:rPr>
        <w:t>ואי ר"ע כי אמר לאחר שיחלוץ ליך יבמיך ליתפסי בה קידושי וכו'</w:t>
      </w:r>
      <w:r w:rsidRPr="00AF3214">
        <w:rPr>
          <w:rFonts w:ascii="Narkisim" w:hAnsi="Narkisim"/>
          <w:rtl/>
        </w:rPr>
        <w:t>. ולדברי רב נחמן בר יצחק (בסמוך) דר"ע ס"ל אדם מקנה דבר שלבל"ע, ע"כ דאף רבנן ס"ל דאין קידושין תופסין בעריות</w:t>
      </w:r>
      <w:r w:rsidRPr="00AF3214">
        <w:rPr>
          <w:rStyle w:val="ac"/>
          <w:rFonts w:ascii="Narkisim" w:hAnsi="Narkisim"/>
          <w:rtl/>
        </w:rPr>
        <w:footnoteReference w:id="5970"/>
      </w:r>
      <w:r w:rsidRPr="00AF3214">
        <w:rPr>
          <w:rFonts w:ascii="Narkisim" w:hAnsi="Narkisim"/>
        </w:rPr>
        <w:t>.</w:t>
      </w:r>
    </w:p>
    <w:p w14:paraId="5DBBA393" w14:textId="77777777" w:rsidR="006C4368" w:rsidRPr="00AF3214" w:rsidRDefault="006C4368" w:rsidP="006C4368">
      <w:pPr>
        <w:pStyle w:val="aa"/>
        <w:bidi/>
        <w:rPr>
          <w:rFonts w:ascii="Narkisim" w:hAnsi="Narkisim"/>
        </w:rPr>
      </w:pPr>
      <w:r w:rsidRPr="00AF3214">
        <w:rPr>
          <w:rFonts w:ascii="Narkisim" w:hAnsi="Narkisim"/>
          <w:rtl/>
        </w:rPr>
        <w:t>ואנן קי"ל כשמואל דיבמה הוה ספק קידושין. ובפשוטו נקטו ה</w:t>
      </w:r>
      <w:r w:rsidRPr="00AF3214">
        <w:rPr>
          <w:rFonts w:ascii="Narkisim" w:hAnsi="Narkisim"/>
          <w:b/>
          <w:bCs/>
          <w:rtl/>
        </w:rPr>
        <w:t>ראשונים</w:t>
      </w:r>
      <w:r w:rsidRPr="00AF3214">
        <w:rPr>
          <w:rFonts w:ascii="Narkisim" w:hAnsi="Narkisim"/>
          <w:rtl/>
        </w:rPr>
        <w:t xml:space="preserve"> (וכ"פ השו"ע מ ו) דאף המקדש יבמה לאחר שיחלוץ לך יבמך הוה ספק קידושין. אבל ה</w:t>
      </w:r>
      <w:r w:rsidRPr="00AF3214">
        <w:rPr>
          <w:rFonts w:ascii="Narkisim" w:hAnsi="Narkisim"/>
          <w:b/>
          <w:bCs/>
          <w:rtl/>
        </w:rPr>
        <w:t>כס"מ</w:t>
      </w:r>
      <w:r w:rsidRPr="00AF3214">
        <w:rPr>
          <w:rFonts w:ascii="Narkisim" w:hAnsi="Narkisim"/>
          <w:rtl/>
        </w:rPr>
        <w:t xml:space="preserve"> דייק מדברי ה</w:t>
      </w:r>
      <w:r w:rsidRPr="00AF3214">
        <w:rPr>
          <w:rFonts w:ascii="Narkisim" w:hAnsi="Narkisim"/>
          <w:b/>
          <w:bCs/>
          <w:rtl/>
        </w:rPr>
        <w:t>רמב"ם</w:t>
      </w:r>
      <w:r w:rsidRPr="00AF3214">
        <w:rPr>
          <w:rFonts w:ascii="Narkisim" w:hAnsi="Narkisim"/>
          <w:rtl/>
        </w:rPr>
        <w:t xml:space="preserve"> (אישות ז טו) דהוה קידושין ודאי</w:t>
      </w:r>
      <w:r w:rsidRPr="00AF3214">
        <w:rPr>
          <w:rStyle w:val="ac"/>
          <w:rFonts w:ascii="Narkisim" w:hAnsi="Narkisim"/>
          <w:rtl/>
        </w:rPr>
        <w:footnoteReference w:id="5971"/>
      </w:r>
      <w:r w:rsidRPr="00AF3214">
        <w:rPr>
          <w:rFonts w:ascii="Narkisim" w:hAnsi="Narkisim"/>
        </w:rPr>
        <w:t xml:space="preserve">. </w:t>
      </w:r>
      <w:r w:rsidRPr="00AF3214">
        <w:rPr>
          <w:rFonts w:ascii="Narkisim" w:hAnsi="Narkisim"/>
          <w:rtl/>
        </w:rPr>
        <w:t>וביאר דלא נחשב דבר שלא בא לעולם כיון דהשתא תפסי קידושין מספק. [וצ"ב</w:t>
      </w:r>
      <w:r w:rsidRPr="00AF3214">
        <w:rPr>
          <w:rStyle w:val="ac"/>
          <w:rFonts w:ascii="Narkisim" w:hAnsi="Narkisim"/>
          <w:rtl/>
        </w:rPr>
        <w:footnoteReference w:id="5972"/>
      </w:r>
      <w:r w:rsidRPr="00AF3214">
        <w:rPr>
          <w:rFonts w:ascii="Narkisim" w:hAnsi="Narkisim"/>
          <w:rtl/>
        </w:rPr>
        <w:t>]</w:t>
      </w:r>
      <w:r w:rsidRPr="00AF3214">
        <w:rPr>
          <w:rFonts w:ascii="Narkisim" w:hAnsi="Narkisim"/>
        </w:rPr>
        <w:t>.</w:t>
      </w:r>
    </w:p>
    <w:p w14:paraId="027F3791" w14:textId="77777777" w:rsidR="006C4368" w:rsidRPr="00AF3214" w:rsidRDefault="006C4368" w:rsidP="006C4368">
      <w:pPr>
        <w:pStyle w:val="3"/>
        <w:bidi/>
        <w:rPr>
          <w:rFonts w:ascii="Narkisim" w:hAnsi="Narkisim"/>
        </w:rPr>
      </w:pPr>
      <w:r w:rsidRPr="00AF3214">
        <w:rPr>
          <w:rFonts w:ascii="Narkisim" w:hAnsi="Narkisim"/>
          <w:rtl/>
        </w:rPr>
        <w:t>דף צג</w:t>
      </w:r>
      <w:r w:rsidRPr="00AF3214">
        <w:rPr>
          <w:rFonts w:ascii="Narkisim" w:hAnsi="Narkisim"/>
        </w:rPr>
        <w:t>.</w:t>
      </w:r>
    </w:p>
    <w:p w14:paraId="65835E23" w14:textId="77777777" w:rsidR="006C4368" w:rsidRPr="00AF3214" w:rsidRDefault="006C4368" w:rsidP="006C4368">
      <w:pPr>
        <w:pStyle w:val="aa"/>
        <w:bidi/>
        <w:rPr>
          <w:rFonts w:ascii="Narkisim" w:hAnsi="Narkisim"/>
        </w:rPr>
      </w:pPr>
      <w:r w:rsidRPr="00AF3214">
        <w:rPr>
          <w:rFonts w:ascii="Narkisim" w:hAnsi="Narkisim"/>
          <w:u w:val="single"/>
          <w:rtl/>
        </w:rPr>
        <w:t>שמא תעדיף עליו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דלא משתעבדא טפי משיעור דמתני' (כתובות סד:), ואהעדפה חל הנדר. ו</w:t>
      </w:r>
      <w:r w:rsidRPr="00AF3214">
        <w:rPr>
          <w:rFonts w:ascii="Narkisim" w:hAnsi="Narkisim"/>
          <w:b/>
          <w:bCs/>
          <w:rtl/>
        </w:rPr>
        <w:t>תוס</w:t>
      </w:r>
      <w:r w:rsidRPr="00AF3214">
        <w:rPr>
          <w:rFonts w:ascii="Narkisim" w:hAnsi="Narkisim"/>
          <w:rtl/>
        </w:rPr>
        <w:t>' הביאו דמסקנת הגמ' (כתובות סו.) דר"ע קאי דוקא בהעדפה ע"י הדחק. דהעדפה בעלמא לכו"ע משועבדת לו [כנגד מעה כסף], ולא חל הנדר</w:t>
      </w:r>
      <w:r w:rsidRPr="00AF3214">
        <w:rPr>
          <w:rFonts w:ascii="Narkisim" w:hAnsi="Narkisim"/>
        </w:rPr>
        <w:t>.</w:t>
      </w:r>
    </w:p>
    <w:p w14:paraId="7BBF41DA" w14:textId="77777777" w:rsidR="006C4368" w:rsidRPr="00AF3214" w:rsidRDefault="006C4368" w:rsidP="006C4368">
      <w:pPr>
        <w:pStyle w:val="aa"/>
        <w:bidi/>
        <w:rPr>
          <w:rFonts w:ascii="Narkisim" w:hAnsi="Narkisim"/>
        </w:rPr>
      </w:pPr>
      <w:r w:rsidRPr="00AF3214">
        <w:rPr>
          <w:rFonts w:ascii="Narkisim" w:hAnsi="Narkisim"/>
          <w:u w:val="single"/>
          <w:rtl/>
        </w:rPr>
        <w:t>תוד"ה ר' עקיבא</w:t>
      </w:r>
      <w:r w:rsidRPr="00AF3214">
        <w:rPr>
          <w:rFonts w:ascii="Narkisim" w:hAnsi="Narkisim"/>
          <w:rtl/>
        </w:rPr>
        <w:t>. וא"ת והאיך יכול להפר, והא אין זה דבר שבינו לבינה וכו'. ועוד תי' ה</w:t>
      </w:r>
      <w:r w:rsidRPr="00AF3214">
        <w:rPr>
          <w:rFonts w:ascii="Narkisim" w:hAnsi="Narkisim"/>
          <w:b/>
          <w:bCs/>
          <w:rtl/>
        </w:rPr>
        <w:t>ריטב"א</w:t>
      </w:r>
      <w:r w:rsidRPr="00AF3214">
        <w:rPr>
          <w:rFonts w:ascii="Narkisim" w:hAnsi="Narkisim"/>
          <w:rtl/>
        </w:rPr>
        <w:t xml:space="preserve"> (קידושין סג.) דאיירי שרוצה ההעדפה לקישוטיה, דהוה דברים שבינו לבינה</w:t>
      </w:r>
      <w:r w:rsidRPr="00AF3214">
        <w:rPr>
          <w:rStyle w:val="ac"/>
          <w:rFonts w:ascii="Narkisim" w:hAnsi="Narkisim"/>
          <w:rtl/>
        </w:rPr>
        <w:footnoteReference w:id="5973"/>
      </w:r>
      <w:r w:rsidRPr="00AF3214">
        <w:rPr>
          <w:rFonts w:ascii="Narkisim" w:hAnsi="Narkisim"/>
        </w:rPr>
        <w:t>.</w:t>
      </w:r>
    </w:p>
    <w:p w14:paraId="734E3091" w14:textId="77777777" w:rsidR="006C4368" w:rsidRPr="00AF3214" w:rsidRDefault="006C4368" w:rsidP="006C4368">
      <w:pPr>
        <w:bidi/>
        <w:rPr>
          <w:rFonts w:ascii="Narkisim" w:hAnsi="Narkisim" w:cs="Narkisim"/>
        </w:rPr>
      </w:pPr>
      <w:r w:rsidRPr="00AF3214">
        <w:rPr>
          <w:rFonts w:ascii="Narkisim" w:hAnsi="Narkisim" w:cs="Narkisim"/>
          <w:u w:val="single"/>
          <w:rtl/>
        </w:rPr>
        <w:t>הא איתמר עלה א"ר הונא בדר"י באומרת יקדשו ידי לעושיהם, וידים איתנהו בעולם וכו'</w:t>
      </w:r>
      <w:r w:rsidRPr="00AF3214">
        <w:rPr>
          <w:rFonts w:ascii="Narkisim" w:hAnsi="Narkisim" w:cs="Narkisim"/>
          <w:rtl/>
        </w:rPr>
        <w:t>. [וכן אי' בגמ' כתובות נט. ונדרים פה:</w:t>
      </w:r>
      <w:r w:rsidRPr="00AF3214">
        <w:rPr>
          <w:rStyle w:val="ac"/>
          <w:rFonts w:ascii="Narkisim" w:hAnsi="Narkisim" w:cs="Narkisim"/>
          <w:rtl/>
        </w:rPr>
        <w:footnoteReference w:id="5974"/>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(קידושין סג.) פי' דהוי כמקדיש דקל לפירותיו, דאפי' למ"ד אין אדם מקנה דשלב"ל מהני דקל לפירותיו</w:t>
      </w:r>
      <w:r w:rsidRPr="00AF3214">
        <w:rPr>
          <w:rFonts w:ascii="Narkisim" w:hAnsi="Narkisim" w:cs="Narkisim"/>
        </w:rPr>
        <w:t>.</w:t>
      </w:r>
    </w:p>
    <w:p w14:paraId="19AA2BEE"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ראשונים</w:t>
      </w:r>
      <w:r w:rsidRPr="00AF3214">
        <w:rPr>
          <w:rFonts w:ascii="Narkisim" w:hAnsi="Narkisim"/>
          <w:rtl/>
        </w:rPr>
        <w:t xml:space="preserve"> העירו מה מהני להקנות גוף למלאכתו, הרי המלאכה אינו יוצא מגוף הידים</w:t>
      </w:r>
      <w:r w:rsidRPr="00AF3214">
        <w:rPr>
          <w:rStyle w:val="ac"/>
          <w:rFonts w:ascii="Narkisim" w:hAnsi="Narkisim"/>
          <w:rtl/>
        </w:rPr>
        <w:footnoteReference w:id="5975"/>
      </w:r>
      <w:r w:rsidRPr="00AF3214">
        <w:rPr>
          <w:rFonts w:ascii="Narkisim" w:hAnsi="Narkisim"/>
        </w:rPr>
        <w:t xml:space="preserve">. </w:t>
      </w:r>
      <w:r w:rsidRPr="00AF3214">
        <w:rPr>
          <w:rFonts w:ascii="Narkisim" w:hAnsi="Narkisim"/>
          <w:rtl/>
        </w:rPr>
        <w:t>וה</w:t>
      </w:r>
      <w:r w:rsidRPr="00AF3214">
        <w:rPr>
          <w:rFonts w:ascii="Narkisim" w:hAnsi="Narkisim"/>
          <w:b/>
          <w:bCs/>
          <w:rtl/>
        </w:rPr>
        <w:t>רשב"א</w:t>
      </w:r>
      <w:r w:rsidRPr="00AF3214">
        <w:rPr>
          <w:rFonts w:ascii="Narkisim" w:hAnsi="Narkisim"/>
          <w:rtl/>
        </w:rPr>
        <w:t xml:space="preserve"> (כתובות </w:t>
      </w:r>
      <w:r w:rsidRPr="00AF3214">
        <w:rPr>
          <w:rFonts w:ascii="Narkisim" w:hAnsi="Narkisim"/>
          <w:rtl/>
        </w:rPr>
        <w:lastRenderedPageBreak/>
        <w:t>נט. ובקו"א שם) האריך לדון האם מהני ידים לעושיהם, שאינו יוצא מגופו</w:t>
      </w:r>
      <w:r w:rsidRPr="00AF3214">
        <w:rPr>
          <w:rStyle w:val="ac"/>
          <w:rFonts w:ascii="Narkisim" w:hAnsi="Narkisim"/>
          <w:rtl/>
        </w:rPr>
        <w:footnoteReference w:id="5976"/>
      </w:r>
      <w:r w:rsidRPr="00AF3214">
        <w:rPr>
          <w:rFonts w:ascii="Narkisim" w:hAnsi="Narkisim"/>
        </w:rPr>
        <w:t>.</w:t>
      </w:r>
    </w:p>
    <w:p w14:paraId="306409AD"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w:t>
      </w:r>
      <w:r w:rsidRPr="00AF3214">
        <w:rPr>
          <w:rFonts w:ascii="Narkisim" w:hAnsi="Narkisim"/>
          <w:b/>
          <w:bCs/>
          <w:rtl/>
        </w:rPr>
        <w:t>תוס'</w:t>
      </w:r>
      <w:r w:rsidRPr="00AF3214">
        <w:rPr>
          <w:rFonts w:ascii="Narkisim" w:hAnsi="Narkisim"/>
          <w:rtl/>
        </w:rPr>
        <w:t xml:space="preserve"> (קידושין שם) כת' דה"ה דמצי לשנויי שאני קונמות דקדושת הגוף נינהו. וכדאי' (כתובות נט:), ומבואר מדברי התוס' דתי' זה מהני אף לקושיה דמעשה ידים אינם בעולם. [וכ"כ </w:t>
      </w:r>
      <w:r w:rsidRPr="00AF3214">
        <w:rPr>
          <w:rFonts w:ascii="Narkisim" w:hAnsi="Narkisim"/>
          <w:b/>
          <w:bCs/>
          <w:rtl/>
        </w:rPr>
        <w:t>רש"י מה"ק</w:t>
      </w:r>
      <w:r w:rsidRPr="00AF3214">
        <w:rPr>
          <w:rFonts w:ascii="Narkisim" w:hAnsi="Narkisim"/>
          <w:rtl/>
        </w:rPr>
        <w:t xml:space="preserve"> בשיטמ"ק שם]. וקדושת הגוף חל אף בדבר שלא בא לעולם</w:t>
      </w:r>
      <w:r w:rsidRPr="00AF3214">
        <w:rPr>
          <w:rStyle w:val="ac"/>
          <w:rFonts w:ascii="Narkisim" w:hAnsi="Narkisim"/>
          <w:rtl/>
        </w:rPr>
        <w:footnoteReference w:id="5977"/>
      </w:r>
      <w:r w:rsidRPr="00AF3214">
        <w:rPr>
          <w:rFonts w:ascii="Narkisim" w:hAnsi="Narkisim"/>
        </w:rPr>
        <w:t xml:space="preserve">. </w:t>
      </w:r>
      <w:r w:rsidRPr="00AF3214">
        <w:rPr>
          <w:rFonts w:ascii="Narkisim" w:hAnsi="Narkisim"/>
          <w:rtl/>
        </w:rPr>
        <w:t>אבל פשטות הסוגיא דהתם דקאי רק אקו' הגמ' לר' יוחנן בן נורי (שם) דמשועבד לבעל עד הגירושין. ולעולם איירי דדוקא בידים לעושיהם</w:t>
      </w:r>
      <w:r w:rsidRPr="00AF3214">
        <w:rPr>
          <w:rFonts w:ascii="Narkisim" w:hAnsi="Narkisim"/>
        </w:rPr>
        <w:t>.</w:t>
      </w:r>
    </w:p>
    <w:p w14:paraId="08D3FEE1" w14:textId="77777777" w:rsidR="006C4368" w:rsidRPr="00AF3214" w:rsidRDefault="006C4368" w:rsidP="006C4368">
      <w:pPr>
        <w:bidi/>
        <w:rPr>
          <w:rFonts w:ascii="Narkisim" w:hAnsi="Narkisim" w:cs="Narkisim"/>
        </w:rPr>
      </w:pPr>
      <w:r w:rsidRPr="00AF3214">
        <w:rPr>
          <w:rFonts w:ascii="Narkisim" w:hAnsi="Narkisim" w:cs="Narkisim"/>
          <w:u w:val="single"/>
          <w:rtl/>
        </w:rPr>
        <w:t>דאמר רב נחמן ב"י וכו' ורבי כר' מאיר, ור' מאיר כראב"י, וראב"י כר"ע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כלומר [כל א'] קיבלה מרבו. ובגמ' (קידו' סב:) אביי אמר דראב"י ורבי ור' מאיר כולהו ס"ל</w:t>
      </w:r>
      <w:r w:rsidRPr="00AF3214">
        <w:rPr>
          <w:rStyle w:val="ac"/>
          <w:rFonts w:ascii="Narkisim" w:hAnsi="Narkisim" w:cs="Narkisim"/>
          <w:rtl/>
        </w:rPr>
        <w:footnoteReference w:id="5978"/>
      </w:r>
      <w:r w:rsidRPr="00AF3214">
        <w:rPr>
          <w:rFonts w:ascii="Narkisim" w:hAnsi="Narkisim" w:cs="Narkisim"/>
        </w:rPr>
        <w:t xml:space="preserve"> </w:t>
      </w:r>
      <w:r w:rsidRPr="00AF3214">
        <w:rPr>
          <w:rFonts w:ascii="Narkisim" w:hAnsi="Narkisim" w:cs="Narkisim"/>
          <w:rtl/>
        </w:rPr>
        <w:t>אדם מקנה דבר שלא בא לעולם. ולא הזכירו את ר"ע כרב הונא בדר"י דאיירי באומרת יקדשו ידי, דידים איתנהו בעולם. [ולא הובאו כל האמוראים דבסוגיין]</w:t>
      </w:r>
      <w:r w:rsidRPr="00AF3214">
        <w:rPr>
          <w:rFonts w:ascii="Narkisim" w:hAnsi="Narkisim" w:cs="Narkisim"/>
        </w:rPr>
        <w:t>.</w:t>
      </w:r>
    </w:p>
    <w:p w14:paraId="47E5A6B9"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ר"ן</w:t>
      </w:r>
      <w:r w:rsidRPr="00AF3214">
        <w:rPr>
          <w:rFonts w:ascii="Narkisim" w:hAnsi="Narkisim" w:cs="Narkisim"/>
          <w:rtl/>
        </w:rPr>
        <w:t xml:space="preserve"> (סוכה ג. בדה"ר) הביא דאף דנקטום בשיטה</w:t>
      </w:r>
      <w:r w:rsidRPr="00AF3214">
        <w:rPr>
          <w:rStyle w:val="ac"/>
          <w:rFonts w:ascii="Narkisim" w:hAnsi="Narkisim" w:cs="Narkisim"/>
          <w:rtl/>
        </w:rPr>
        <w:footnoteReference w:id="5979"/>
      </w:r>
      <w:r w:rsidRPr="00AF3214">
        <w:rPr>
          <w:rFonts w:ascii="Narkisim" w:hAnsi="Narkisim" w:cs="Narkisim"/>
        </w:rPr>
        <w:t xml:space="preserve"> </w:t>
      </w:r>
      <w:r w:rsidRPr="00AF3214">
        <w:rPr>
          <w:rFonts w:ascii="Narkisim" w:hAnsi="Narkisim" w:cs="Narkisim"/>
          <w:rtl/>
        </w:rPr>
        <w:t>אינם שווים, דר' ינאי ור' חייא איירי שהפירות בעולם אלא שעדיין לא הביאן לו האריס, ור"מ אמר בפירות דקל אף שלא באו לעולם כלל. וראב"י איירי כשהוציא שחת (כדאי' קידושין סב:)</w:t>
      </w:r>
      <w:r w:rsidRPr="00AF3214">
        <w:rPr>
          <w:rStyle w:val="ac"/>
          <w:rFonts w:ascii="Narkisim" w:hAnsi="Narkisim" w:cs="Narkisim"/>
          <w:rtl/>
        </w:rPr>
        <w:footnoteReference w:id="5980"/>
      </w:r>
      <w:r w:rsidRPr="00AF3214">
        <w:rPr>
          <w:rFonts w:ascii="Narkisim" w:hAnsi="Narkisim" w:cs="Narkisim"/>
        </w:rPr>
        <w:t>.</w:t>
      </w:r>
    </w:p>
    <w:p w14:paraId="5039EEC2" w14:textId="77777777" w:rsidR="006C4368" w:rsidRPr="00AF3214" w:rsidRDefault="006C4368" w:rsidP="006C4368">
      <w:pPr>
        <w:bidi/>
        <w:rPr>
          <w:rFonts w:ascii="Narkisim" w:hAnsi="Narkisim" w:cs="Narkisim"/>
        </w:rPr>
      </w:pPr>
      <w:r w:rsidRPr="00AF3214">
        <w:rPr>
          <w:rFonts w:ascii="Narkisim" w:hAnsi="Narkisim" w:cs="Narkisim"/>
          <w:u w:val="single"/>
          <w:rtl/>
        </w:rPr>
        <w:t>דאמר אדם מקנה דבר שלא בא לעולם</w:t>
      </w:r>
      <w:r w:rsidRPr="00AF3214">
        <w:rPr>
          <w:rFonts w:ascii="Narkisim" w:hAnsi="Narkisim" w:cs="Narkisim"/>
          <w:rtl/>
        </w:rPr>
        <w:t>. והנך תנאים פליגי אסתם משנה (קידושין סב. הו' לעיל) דהמקדש אשה לאחר שאתגייר ושתתגיירי וכו' אינה מקודשת. דאין אדם מקנה דבר שלא בא לעולם</w:t>
      </w:r>
      <w:r w:rsidRPr="00AF3214">
        <w:rPr>
          <w:rFonts w:ascii="Narkisim" w:hAnsi="Narkisim" w:cs="Narkisim"/>
        </w:rPr>
        <w:t>.</w:t>
      </w:r>
    </w:p>
    <w:p w14:paraId="5989635D"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חקרו בטעם דל"מ להקנות </w:t>
      </w:r>
      <w:r w:rsidRPr="00AF3214">
        <w:rPr>
          <w:rFonts w:ascii="Narkisim" w:eastAsia="Narkisim" w:hAnsi="Narkisim"/>
          <w:rtl/>
        </w:rPr>
        <w:t>דבר שלא בא לעולם, האם הוה חסרון בקנין משום דאינו יכול להקנות עכשיו</w:t>
      </w:r>
      <w:r w:rsidRPr="00AF3214">
        <w:rPr>
          <w:rStyle w:val="ac"/>
          <w:rFonts w:ascii="Narkisim" w:eastAsia="Narkisim" w:hAnsi="Narkisim"/>
          <w:rtl/>
        </w:rPr>
        <w:footnoteReference w:id="5981"/>
      </w:r>
      <w:r w:rsidRPr="00AF3214">
        <w:rPr>
          <w:rFonts w:ascii="Narkisim" w:eastAsia="Narkisim" w:hAnsi="Narkisim"/>
        </w:rPr>
        <w:t xml:space="preserve">, </w:t>
      </w:r>
      <w:r w:rsidRPr="00AF3214">
        <w:rPr>
          <w:rFonts w:ascii="Narkisim" w:eastAsia="Narkisim" w:hAnsi="Narkisim"/>
          <w:rtl/>
        </w:rPr>
        <w:t>וכ"כ ה</w:t>
      </w:r>
      <w:r w:rsidRPr="00AF3214">
        <w:rPr>
          <w:rFonts w:ascii="Narkisim" w:eastAsia="Narkisim" w:hAnsi="Narkisim"/>
          <w:b/>
          <w:bCs/>
          <w:rtl/>
        </w:rPr>
        <w:t>לבוש</w:t>
      </w:r>
      <w:r w:rsidRPr="00AF3214">
        <w:rPr>
          <w:rFonts w:ascii="Narkisim" w:eastAsia="Narkisim" w:hAnsi="Narkisim"/>
          <w:rtl/>
        </w:rPr>
        <w:t xml:space="preserve"> (חו"מ רט ד) דאין כאן דבר שיחול עליו הקנין. או דהוה משום חסרון בגמירות דעת</w:t>
      </w:r>
      <w:r w:rsidRPr="00AF3214">
        <w:rPr>
          <w:rStyle w:val="ac"/>
          <w:rFonts w:ascii="Narkisim" w:eastAsia="Narkisim" w:hAnsi="Narkisim"/>
          <w:rtl/>
        </w:rPr>
        <w:footnoteReference w:id="5982"/>
      </w:r>
      <w:r w:rsidRPr="00AF3214">
        <w:rPr>
          <w:rFonts w:ascii="Narkisim" w:eastAsia="Narkisim" w:hAnsi="Narkisim"/>
        </w:rPr>
        <w:t xml:space="preserve"> </w:t>
      </w:r>
      <w:r w:rsidRPr="00AF3214">
        <w:rPr>
          <w:rFonts w:ascii="Narkisim" w:eastAsia="Narkisim" w:hAnsi="Narkisim"/>
          <w:rtl/>
        </w:rPr>
        <w:t>(וכ"כ ה</w:t>
      </w:r>
      <w:r w:rsidRPr="00AF3214">
        <w:rPr>
          <w:rFonts w:ascii="Narkisim" w:eastAsia="Narkisim" w:hAnsi="Narkisim"/>
          <w:b/>
          <w:bCs/>
          <w:rtl/>
        </w:rPr>
        <w:t>נמוק"י</w:t>
      </w:r>
      <w:r w:rsidRPr="00AF3214">
        <w:rPr>
          <w:rFonts w:ascii="Narkisim" w:eastAsia="Narkisim" w:hAnsi="Narkisim"/>
          <w:rtl/>
        </w:rPr>
        <w:t xml:space="preserve"> ב"מ סז, לז: בדה"ר)</w:t>
      </w:r>
      <w:r w:rsidRPr="00AF3214">
        <w:rPr>
          <w:rStyle w:val="ac"/>
          <w:rFonts w:ascii="Narkisim" w:eastAsia="Narkisim" w:hAnsi="Narkisim"/>
          <w:rtl/>
        </w:rPr>
        <w:footnoteReference w:id="5983"/>
      </w:r>
      <w:r w:rsidRPr="00AF3214">
        <w:rPr>
          <w:rFonts w:ascii="Narkisim" w:eastAsia="Narkisim" w:hAnsi="Narkisim"/>
        </w:rPr>
        <w:t>.</w:t>
      </w:r>
    </w:p>
    <w:p w14:paraId="06B5CD4A" w14:textId="77777777" w:rsidR="006C4368" w:rsidRPr="00AF3214" w:rsidRDefault="006C4368" w:rsidP="006C4368">
      <w:pPr>
        <w:pStyle w:val="a8"/>
        <w:bidi/>
        <w:rPr>
          <w:rFonts w:ascii="Narkisim" w:hAnsi="Narkisim"/>
        </w:rPr>
      </w:pPr>
      <w:r w:rsidRPr="00AF3214">
        <w:rPr>
          <w:rFonts w:ascii="Narkisim" w:eastAsia="Narkisim" w:hAnsi="Narkisim"/>
          <w:rtl/>
        </w:rPr>
        <w:t>וה</w:t>
      </w:r>
      <w:r w:rsidRPr="00AF3214">
        <w:rPr>
          <w:rFonts w:ascii="Narkisim" w:eastAsia="Narkisim" w:hAnsi="Narkisim"/>
          <w:b/>
          <w:bCs/>
          <w:rtl/>
        </w:rPr>
        <w:t>קוב"ש</w:t>
      </w:r>
      <w:r w:rsidRPr="00AF3214">
        <w:rPr>
          <w:rFonts w:ascii="Narkisim" w:eastAsia="Narkisim" w:hAnsi="Narkisim"/>
          <w:rtl/>
        </w:rPr>
        <w:t xml:space="preserve"> (ב"ב רעו) הביא דבגמ' (ב"מ טז.) משמע דהיכא דסמכא דעתיה מהני להקנות דבר שלא בא לעולם</w:t>
      </w:r>
      <w:r w:rsidRPr="00AF3214">
        <w:rPr>
          <w:rStyle w:val="ac"/>
          <w:rFonts w:ascii="Narkisim" w:eastAsia="Narkisim" w:hAnsi="Narkisim"/>
          <w:rtl/>
        </w:rPr>
        <w:footnoteReference w:id="5984"/>
      </w:r>
      <w:r w:rsidRPr="00AF3214">
        <w:rPr>
          <w:rFonts w:ascii="Narkisim" w:eastAsia="Narkisim" w:hAnsi="Narkisim"/>
        </w:rPr>
        <w:t xml:space="preserve">. </w:t>
      </w:r>
      <w:r w:rsidRPr="00AF3214">
        <w:rPr>
          <w:rFonts w:ascii="Narkisim" w:eastAsia="Narkisim" w:hAnsi="Narkisim"/>
          <w:rtl/>
        </w:rPr>
        <w:t>ואילו בגמ' (כתובות נט.) מבואר גבי קונמות דמתוך שאדם אוסר פירות חבירו עליו, אוסר דבר שלבל"ע עליו. וע"כ דהחסרון דאין לו כח הקנאה. דל"ש סברא זו משום סמיכות דעת. [והאחרונים דנו דתרוייהו איתנהו, ודנו בזה כמה נפק"מ</w:t>
      </w:r>
      <w:r w:rsidRPr="00AF3214">
        <w:rPr>
          <w:rStyle w:val="ac"/>
          <w:rFonts w:ascii="Narkisim" w:eastAsia="Narkisim" w:hAnsi="Narkisim"/>
          <w:rtl/>
        </w:rPr>
        <w:footnoteReference w:id="5985"/>
      </w:r>
      <w:r w:rsidRPr="00AF3214">
        <w:rPr>
          <w:rFonts w:ascii="Narkisim" w:eastAsia="Narkisim" w:hAnsi="Narkisim"/>
          <w:rtl/>
        </w:rPr>
        <w:t>]</w:t>
      </w:r>
      <w:r w:rsidRPr="00AF3214">
        <w:rPr>
          <w:rFonts w:ascii="Narkisim" w:eastAsia="Narkisim" w:hAnsi="Narkisim"/>
        </w:rPr>
        <w:t>.</w:t>
      </w:r>
    </w:p>
    <w:p w14:paraId="079155F2" w14:textId="77777777" w:rsidR="006C4368" w:rsidRPr="00AF3214" w:rsidRDefault="006C4368" w:rsidP="006C4368">
      <w:pPr>
        <w:pStyle w:val="aa"/>
        <w:bidi/>
        <w:rPr>
          <w:rFonts w:ascii="Narkisim" w:hAnsi="Narkisim"/>
        </w:rPr>
      </w:pPr>
      <w:r w:rsidRPr="00AF3214">
        <w:rPr>
          <w:rFonts w:ascii="Narkisim" w:hAnsi="Narkisim"/>
          <w:u w:val="single"/>
          <w:rtl/>
        </w:rPr>
        <w:lastRenderedPageBreak/>
        <w:t>רש"י ד"ה ורב הונא</w:t>
      </w:r>
      <w:r w:rsidRPr="00AF3214">
        <w:rPr>
          <w:rFonts w:ascii="Narkisim" w:hAnsi="Narkisim"/>
          <w:rtl/>
        </w:rPr>
        <w:t xml:space="preserve">. כלומר מרב שהוא רביה קבלה וכו' זה למעלה מדורו של זה היה. הגהש"ס ציין שו"ת </w:t>
      </w:r>
      <w:r w:rsidRPr="00AF3214">
        <w:rPr>
          <w:rFonts w:ascii="Narkisim" w:hAnsi="Narkisim"/>
          <w:b/>
          <w:bCs/>
          <w:rtl/>
        </w:rPr>
        <w:t>חוות</w:t>
      </w:r>
      <w:r w:rsidRPr="00AF3214">
        <w:rPr>
          <w:rFonts w:ascii="Narkisim" w:hAnsi="Narkisim"/>
          <w:rtl/>
        </w:rPr>
        <w:t xml:space="preserve"> </w:t>
      </w:r>
      <w:r w:rsidRPr="00AF3214">
        <w:rPr>
          <w:rFonts w:ascii="Narkisim" w:hAnsi="Narkisim"/>
          <w:b/>
          <w:bCs/>
          <w:rtl/>
        </w:rPr>
        <w:t>יאיר</w:t>
      </w:r>
      <w:r w:rsidRPr="00AF3214">
        <w:rPr>
          <w:rFonts w:ascii="Narkisim" w:hAnsi="Narkisim"/>
          <w:rtl/>
        </w:rPr>
        <w:t xml:space="preserve"> (צד) שהעיר דלפ"ז משמע דיש ג' דורות מרב לרבי, והא רב גופיה שימש את רבי (ע' חולין קלז: וכתובות סט.), ועד"ז הק' בהא דנקט ר"מ כראב"י וראב"י כר"ע, והרי ר"מ היה תלמיד מובהק דר"ע (עירובין יג.)</w:t>
      </w:r>
      <w:r w:rsidRPr="00AF3214">
        <w:rPr>
          <w:rFonts w:ascii="Narkisim" w:hAnsi="Narkisim"/>
        </w:rPr>
        <w:t>.</w:t>
      </w:r>
    </w:p>
    <w:p w14:paraId="6D9AD205" w14:textId="77777777" w:rsidR="006C4368" w:rsidRPr="00AF3214" w:rsidRDefault="006C4368" w:rsidP="006C4368">
      <w:pPr>
        <w:pStyle w:val="aa"/>
        <w:bidi/>
        <w:rPr>
          <w:rFonts w:ascii="Narkisim" w:hAnsi="Narkisim"/>
        </w:rPr>
      </w:pPr>
      <w:r w:rsidRPr="00AF3214">
        <w:rPr>
          <w:rFonts w:ascii="Narkisim" w:hAnsi="Narkisim"/>
          <w:u w:val="single"/>
          <w:rtl/>
        </w:rPr>
        <w:t>תוד"ה ורב נחמן</w:t>
      </w:r>
      <w:r w:rsidRPr="00AF3214">
        <w:rPr>
          <w:rFonts w:ascii="Narkisim" w:hAnsi="Narkisim"/>
          <w:rtl/>
        </w:rPr>
        <w:t>. סברת רב הונא הפוכה וכו'. דנח' (ב"ב קמב.) במזכה לעובר, דדעת רב נחמן לכשתלד קנה</w:t>
      </w:r>
      <w:r w:rsidRPr="00AF3214">
        <w:rPr>
          <w:rStyle w:val="ac"/>
          <w:rFonts w:ascii="Narkisim" w:hAnsi="Narkisim"/>
          <w:rtl/>
        </w:rPr>
        <w:footnoteReference w:id="5986"/>
      </w:r>
      <w:r w:rsidRPr="00AF3214">
        <w:rPr>
          <w:rFonts w:ascii="Narkisim" w:hAnsi="Narkisim"/>
        </w:rPr>
        <w:t xml:space="preserve">, </w:t>
      </w:r>
      <w:r w:rsidRPr="00AF3214">
        <w:rPr>
          <w:rFonts w:ascii="Narkisim" w:hAnsi="Narkisim"/>
          <w:rtl/>
        </w:rPr>
        <w:t>ודעת רב הונא דלא קנה. וכן אמר רב אשי (גיטין יג:) דאפי' לר"מ אין אדם מקנה 'ל'דבר שלא בא לעולם</w:t>
      </w:r>
      <w:r w:rsidRPr="00AF3214">
        <w:rPr>
          <w:rFonts w:ascii="Narkisim" w:hAnsi="Narkisim"/>
        </w:rPr>
        <w:t>.</w:t>
      </w:r>
    </w:p>
    <w:p w14:paraId="6777F0FE" w14:textId="77777777" w:rsidR="006C4368" w:rsidRPr="00AF3214" w:rsidRDefault="006C4368" w:rsidP="006C4368">
      <w:pPr>
        <w:pStyle w:val="aa"/>
        <w:bidi/>
        <w:rPr>
          <w:rFonts w:ascii="Narkisim" w:hAnsi="Narkisim"/>
        </w:rPr>
      </w:pPr>
      <w:r w:rsidRPr="00AF3214">
        <w:rPr>
          <w:rFonts w:ascii="Narkisim" w:hAnsi="Narkisim"/>
          <w:u w:val="single"/>
          <w:rtl/>
        </w:rPr>
        <w:t>תוד"ה קנויה</w:t>
      </w:r>
      <w:r w:rsidRPr="00AF3214">
        <w:rPr>
          <w:rFonts w:ascii="Narkisim" w:hAnsi="Narkisim"/>
          <w:rtl/>
        </w:rPr>
        <w:t>. דכיון דאית ליה אדם מקנה דבר שלא בא לעולם, כאילו בא לעולם וכו' אי"צ מעכשיו וכו'. ומהני עשיית קנין לאחר ל' בלא אמירת מעכשיו. [וצ"ב מה הוסיפו התוס' ד'כאילו בא לעולם', דודאי לר"מ לא מהני להקנות מעכשיו, דהדבר הנקנה עדיין אינו קיים. אלא דמהני קנין לאחר ל' כמו דבר שבא לעולם]</w:t>
      </w:r>
      <w:r w:rsidRPr="00AF3214">
        <w:rPr>
          <w:rFonts w:ascii="Narkisim" w:hAnsi="Narkisim"/>
        </w:rPr>
        <w:t>.</w:t>
      </w:r>
    </w:p>
    <w:p w14:paraId="7F651EC1" w14:textId="77777777" w:rsidR="006C4368" w:rsidRPr="00AF3214" w:rsidRDefault="006C4368" w:rsidP="006C4368">
      <w:pPr>
        <w:bidi/>
        <w:rPr>
          <w:rFonts w:ascii="Narkisim" w:hAnsi="Narkisim" w:cs="Narkisim"/>
        </w:rPr>
      </w:pPr>
      <w:r w:rsidRPr="00AF3214">
        <w:rPr>
          <w:rFonts w:ascii="Narkisim" w:hAnsi="Narkisim" w:cs="Narkisim"/>
          <w:u w:val="single"/>
          <w:rtl/>
        </w:rPr>
        <w:t>בא"ד ואר"ת דהכא אצטריך מעכשיו וכו' הואיל ובשעה שיש לקנין לחול וכו' כבר פסקה וכו'</w:t>
      </w:r>
      <w:r w:rsidRPr="00AF3214">
        <w:rPr>
          <w:rFonts w:ascii="Narkisim" w:hAnsi="Narkisim" w:cs="Narkisim"/>
          <w:rtl/>
        </w:rPr>
        <w:t xml:space="preserve">. אבל היכא דאמר מעכשיו מהני דלא אמרי' דכלתה קנינו. וצ"ב דכל זמן שהחפץ בעולם ודאי לא חל הקנין, ואיירי שאמר מעכשיו ולכשיבוא לעולם. א"כ האיך מהני 'מעכשיו' לענין כלתה קנינו. וכן תמהו </w:t>
      </w:r>
      <w:r w:rsidRPr="00AF3214">
        <w:rPr>
          <w:rFonts w:ascii="Narkisim" w:hAnsi="Narkisim" w:cs="Narkisim"/>
          <w:b/>
          <w:bCs/>
          <w:rtl/>
        </w:rPr>
        <w:t>רע"א</w:t>
      </w:r>
      <w:r w:rsidRPr="00AF3214">
        <w:rPr>
          <w:rFonts w:ascii="Narkisim" w:hAnsi="Narkisim" w:cs="Narkisim"/>
          <w:rtl/>
        </w:rPr>
        <w:t xml:space="preserve"> וה</w:t>
      </w:r>
      <w:r w:rsidRPr="00AF3214">
        <w:rPr>
          <w:rFonts w:ascii="Narkisim" w:hAnsi="Narkisim" w:cs="Narkisim"/>
          <w:b/>
          <w:bCs/>
          <w:rtl/>
        </w:rPr>
        <w:t>רש"ש</w:t>
      </w:r>
      <w:r w:rsidRPr="00AF3214">
        <w:rPr>
          <w:rFonts w:ascii="Narkisim" w:hAnsi="Narkisim" w:cs="Narkisim"/>
          <w:rtl/>
        </w:rPr>
        <w:t xml:space="preserve"> (קידושין סג.)</w:t>
      </w:r>
      <w:r w:rsidRPr="00AF3214">
        <w:rPr>
          <w:rStyle w:val="ac"/>
          <w:rFonts w:ascii="Narkisim" w:hAnsi="Narkisim" w:cs="Narkisim"/>
          <w:rtl/>
        </w:rPr>
        <w:footnoteReference w:id="5987"/>
      </w:r>
      <w:r w:rsidRPr="00AF3214">
        <w:rPr>
          <w:rFonts w:ascii="Narkisim" w:hAnsi="Narkisim" w:cs="Narkisim"/>
        </w:rPr>
        <w:t>.</w:t>
      </w:r>
    </w:p>
    <w:p w14:paraId="6559D430"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רש"ש</w:t>
      </w:r>
      <w:r w:rsidRPr="00AF3214">
        <w:rPr>
          <w:rFonts w:ascii="Narkisim" w:hAnsi="Narkisim"/>
          <w:rtl/>
        </w:rPr>
        <w:t xml:space="preserve"> (קידושין סב.) נקט דחל הקנין ממש מעכשיו, וכאילו הוה בעולם</w:t>
      </w:r>
      <w:r w:rsidRPr="00AF3214">
        <w:rPr>
          <w:rFonts w:ascii="Narkisim" w:hAnsi="Narkisim"/>
        </w:rPr>
        <w:t>.</w:t>
      </w:r>
    </w:p>
    <w:p w14:paraId="422E1BDD"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(אמר"מ כ ה, ועד"ז ר' שמעון נדרים כב ומערכת הקנינים ב וה, חזו"א עא כז, ועוד) ביארו דע"י מעכשיו אמרי' ד'מעשה הקנין' נגמר כבר מעכשיו, והחלות לאחר שיבוא. ואף דלא קנה עדיין, מ"מ מהני 'מעכשיו' שיגמר מעשה הקנין</w:t>
      </w:r>
      <w:r w:rsidRPr="00AF3214">
        <w:rPr>
          <w:rStyle w:val="ac"/>
          <w:rFonts w:ascii="Narkisim" w:hAnsi="Narkisim"/>
          <w:rtl/>
        </w:rPr>
        <w:footnoteReference w:id="5988"/>
      </w:r>
      <w:r w:rsidRPr="00AF3214">
        <w:rPr>
          <w:rFonts w:ascii="Narkisim" w:hAnsi="Narkisim"/>
        </w:rPr>
        <w:t>.</w:t>
      </w:r>
    </w:p>
    <w:p w14:paraId="7DEFD2BC"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(הנ"ל) ביארו דבדבר שבא לעולם ל"ש גדר זה, דאילו נגמר מעשה הקנין, היה נקנה מיד</w:t>
      </w:r>
      <w:r w:rsidRPr="00AF3214">
        <w:rPr>
          <w:rStyle w:val="ac"/>
          <w:rFonts w:ascii="Narkisim" w:hAnsi="Narkisim"/>
          <w:rtl/>
        </w:rPr>
        <w:footnoteReference w:id="5989"/>
      </w:r>
      <w:r w:rsidRPr="00AF3214">
        <w:rPr>
          <w:rFonts w:ascii="Narkisim" w:hAnsi="Narkisim"/>
        </w:rPr>
        <w:t xml:space="preserve">. </w:t>
      </w:r>
      <w:r w:rsidRPr="00AF3214">
        <w:rPr>
          <w:rFonts w:ascii="Narkisim" w:hAnsi="Narkisim"/>
          <w:rtl/>
        </w:rPr>
        <w:t>ודוקא בדבר שלא בא לעולם שייך גדר זה דנגמר המעשה, אלא דאינו יכול לחול עד שיבא לעולם</w:t>
      </w:r>
      <w:r w:rsidRPr="00AF3214">
        <w:rPr>
          <w:rStyle w:val="ac"/>
          <w:rFonts w:ascii="Narkisim" w:hAnsi="Narkisim"/>
          <w:rtl/>
        </w:rPr>
        <w:footnoteReference w:id="5990"/>
      </w:r>
      <w:r w:rsidRPr="00AF3214">
        <w:rPr>
          <w:rFonts w:ascii="Narkisim" w:hAnsi="Narkisim"/>
        </w:rPr>
        <w:t>.</w:t>
      </w:r>
    </w:p>
    <w:p w14:paraId="74747440" w14:textId="77777777" w:rsidR="006C4368" w:rsidRPr="00AF3214" w:rsidRDefault="006C4368" w:rsidP="006C4368">
      <w:pPr>
        <w:bidi/>
        <w:rPr>
          <w:rFonts w:ascii="Narkisim" w:hAnsi="Narkisim" w:cs="Narkisim"/>
        </w:rPr>
      </w:pPr>
      <w:r w:rsidRPr="00AF3214">
        <w:rPr>
          <w:rFonts w:ascii="Narkisim" w:hAnsi="Narkisim" w:cs="Narkisim"/>
          <w:u w:val="single"/>
          <w:rtl/>
        </w:rPr>
        <w:t>שם. כבר פסקה החזקה או הוחזר הסודר וכו' צריך מעכשיו שאפי' יהיה נקרע השטר או נאבד קנה וכו'</w:t>
      </w:r>
      <w:r w:rsidRPr="00AF3214">
        <w:rPr>
          <w:rFonts w:ascii="Narkisim" w:hAnsi="Narkisim" w:cs="Narkisim"/>
          <w:rtl/>
        </w:rPr>
        <w:t xml:space="preserve">. ומהני מעכשיו לענין דלא אמרי' כלתה קנינו. </w:t>
      </w:r>
      <w:r w:rsidRPr="00AF3214">
        <w:rPr>
          <w:rFonts w:ascii="Narkisim" w:eastAsia="Narkisim" w:hAnsi="Narkisim" w:cs="Narkisim"/>
          <w:rtl/>
        </w:rPr>
        <w:t>אבל דעת ה</w:t>
      </w:r>
      <w:r w:rsidRPr="00AF3214">
        <w:rPr>
          <w:rFonts w:ascii="Narkisim" w:eastAsia="Narkisim" w:hAnsi="Narkisim" w:cs="Narkisim"/>
          <w:b/>
          <w:bCs/>
          <w:rtl/>
        </w:rPr>
        <w:t>רמב"ן</w:t>
      </w:r>
      <w:r w:rsidRPr="00AF3214">
        <w:rPr>
          <w:rFonts w:ascii="Narkisim" w:eastAsia="Narkisim" w:hAnsi="Narkisim" w:cs="Narkisim"/>
          <w:rtl/>
        </w:rPr>
        <w:t xml:space="preserve"> (קידושין סג.) דאף שאומר מעכשיו ל"מ היכא דנקרע הגט או שאבד, דהא לא חייל שחרור עכשיו</w:t>
      </w:r>
      <w:r w:rsidRPr="00AF3214">
        <w:rPr>
          <w:rFonts w:ascii="Narkisim" w:eastAsia="Narkisim" w:hAnsi="Narkisim" w:cs="Narkisim"/>
        </w:rPr>
        <w:t>.</w:t>
      </w:r>
    </w:p>
    <w:p w14:paraId="329CA221" w14:textId="77777777" w:rsidR="006C4368" w:rsidRPr="00AF3214" w:rsidRDefault="006C4368" w:rsidP="006C4368">
      <w:pPr>
        <w:pStyle w:val="a7"/>
        <w:bidi/>
        <w:rPr>
          <w:rFonts w:ascii="Narkisim" w:hAnsi="Narkisim"/>
        </w:rPr>
      </w:pPr>
      <w:r w:rsidRPr="00AF3214">
        <w:rPr>
          <w:rFonts w:ascii="Narkisim" w:eastAsia="Narkisim" w:hAnsi="Narkisim"/>
          <w:rtl/>
        </w:rPr>
        <w:t>וה</w:t>
      </w:r>
      <w:r w:rsidRPr="00AF3214">
        <w:rPr>
          <w:rFonts w:ascii="Narkisim" w:eastAsia="Narkisim" w:hAnsi="Narkisim"/>
          <w:b/>
          <w:bCs/>
          <w:rtl/>
        </w:rPr>
        <w:t>רמב"ן</w:t>
      </w:r>
      <w:r w:rsidRPr="00AF3214">
        <w:rPr>
          <w:rFonts w:ascii="Narkisim" w:eastAsia="Narkisim" w:hAnsi="Narkisim"/>
          <w:rtl/>
        </w:rPr>
        <w:t xml:space="preserve"> (שם בתי' הב'</w:t>
      </w:r>
      <w:r w:rsidRPr="00AF3214">
        <w:rPr>
          <w:rStyle w:val="ac"/>
          <w:rFonts w:ascii="Narkisim" w:eastAsia="Narkisim" w:hAnsi="Narkisim"/>
          <w:rtl/>
        </w:rPr>
        <w:footnoteReference w:id="5991"/>
      </w:r>
      <w:r w:rsidRPr="00AF3214">
        <w:rPr>
          <w:rFonts w:ascii="Narkisim" w:eastAsia="Narkisim" w:hAnsi="Narkisim"/>
          <w:rtl/>
        </w:rPr>
        <w:t>) תי' דמהני שאומר 'מעכשיו' שמשעת כתיבה זכה בשחרורו מהני לענין שאינו יכול לחזור בו</w:t>
      </w:r>
      <w:r w:rsidRPr="00AF3214">
        <w:rPr>
          <w:rStyle w:val="ac"/>
          <w:rFonts w:ascii="Narkisim" w:eastAsia="Narkisim" w:hAnsi="Narkisim"/>
          <w:rtl/>
        </w:rPr>
        <w:footnoteReference w:id="5992"/>
      </w:r>
      <w:r w:rsidRPr="00AF3214">
        <w:rPr>
          <w:rFonts w:ascii="Narkisim" w:eastAsia="Narkisim" w:hAnsi="Narkisim"/>
        </w:rPr>
        <w:t xml:space="preserve">. </w:t>
      </w:r>
      <w:r w:rsidRPr="00AF3214">
        <w:rPr>
          <w:rFonts w:ascii="Narkisim" w:eastAsia="Narkisim" w:hAnsi="Narkisim"/>
          <w:rtl/>
        </w:rPr>
        <w:t xml:space="preserve">ומיד שלוקחו נשתחרר. </w:t>
      </w:r>
      <w:r w:rsidRPr="00AF3214">
        <w:rPr>
          <w:rFonts w:ascii="Narkisim" w:eastAsia="Narkisim" w:hAnsi="Narkisim"/>
          <w:szCs w:val="20"/>
          <w:rtl/>
        </w:rPr>
        <w:t>וכת' דדמי להא דאמר ר"ל (קידושין נט.) דהמקדש לאחר ל' אינה חוזרת, דלא אתי דיבור ומבטל דיבור</w:t>
      </w:r>
      <w:r w:rsidRPr="00AF3214">
        <w:rPr>
          <w:rStyle w:val="ac"/>
          <w:rFonts w:ascii="Narkisim" w:eastAsia="Narkisim" w:hAnsi="Narkisim"/>
          <w:szCs w:val="20"/>
          <w:rtl/>
        </w:rPr>
        <w:footnoteReference w:id="5993"/>
      </w:r>
      <w:r w:rsidRPr="00AF3214">
        <w:rPr>
          <w:rFonts w:ascii="Narkisim" w:eastAsia="Narkisim" w:hAnsi="Narkisim"/>
          <w:szCs w:val="20"/>
        </w:rPr>
        <w:t>.</w:t>
      </w:r>
      <w:r w:rsidRPr="00AF3214">
        <w:rPr>
          <w:rFonts w:ascii="Narkisim" w:eastAsia="Narkisim" w:hAnsi="Narkisim"/>
        </w:rPr>
        <w:t xml:space="preserve"> </w:t>
      </w:r>
      <w:r w:rsidRPr="00AF3214">
        <w:rPr>
          <w:rFonts w:ascii="Narkisim" w:eastAsia="Narkisim" w:hAnsi="Narkisim"/>
          <w:rtl/>
        </w:rPr>
        <w:t xml:space="preserve">[אבל דעת </w:t>
      </w:r>
      <w:r w:rsidRPr="00AF3214">
        <w:rPr>
          <w:rFonts w:ascii="Narkisim" w:eastAsia="Narkisim" w:hAnsi="Narkisim"/>
          <w:b/>
          <w:bCs/>
          <w:rtl/>
        </w:rPr>
        <w:t>תוס'</w:t>
      </w:r>
      <w:r w:rsidRPr="00AF3214">
        <w:rPr>
          <w:rFonts w:ascii="Narkisim" w:eastAsia="Narkisim" w:hAnsi="Narkisim"/>
          <w:rtl/>
        </w:rPr>
        <w:t xml:space="preserve"> (ב"מ טז.) דאף כשאומר </w:t>
      </w:r>
      <w:r w:rsidRPr="00AF3214">
        <w:rPr>
          <w:rFonts w:ascii="Narkisim" w:eastAsia="Narkisim" w:hAnsi="Narkisim"/>
          <w:rtl/>
        </w:rPr>
        <w:lastRenderedPageBreak/>
        <w:t>מעכשיו יכול לחזור בו, ומהני רק היכא דנקרע השטר]</w:t>
      </w:r>
      <w:r w:rsidRPr="00AF3214">
        <w:rPr>
          <w:rFonts w:ascii="Narkisim" w:eastAsia="Narkisim" w:hAnsi="Narkisim"/>
        </w:rPr>
        <w:t>.</w:t>
      </w:r>
    </w:p>
    <w:p w14:paraId="3E048E9A" w14:textId="77777777" w:rsidR="006C4368" w:rsidRPr="00AF3214" w:rsidRDefault="006C4368" w:rsidP="006C4368">
      <w:pPr>
        <w:bidi/>
        <w:rPr>
          <w:rFonts w:ascii="Narkisim" w:hAnsi="Narkisim" w:cs="Narkisim"/>
        </w:rPr>
      </w:pPr>
      <w:r w:rsidRPr="00AF3214">
        <w:rPr>
          <w:rFonts w:ascii="Narkisim" w:hAnsi="Narkisim" w:cs="Narkisim"/>
          <w:u w:val="single"/>
          <w:rtl/>
        </w:rPr>
        <w:t>בא"ד דסתם קדושין בכסף הם, דאפי' נתאכלו המעות חשוב כל שעה כאילו הם בעין, שהמעות נשארו אצל המקנה, ואם לא נעשה הקנין היה מוטל עליו להחזירם</w:t>
      </w:r>
      <w:r w:rsidRPr="00AF3214">
        <w:rPr>
          <w:rStyle w:val="ac"/>
          <w:rFonts w:ascii="Narkisim" w:hAnsi="Narkisim" w:cs="Narkisim"/>
          <w:u w:val="single"/>
          <w:rtl/>
        </w:rPr>
        <w:footnoteReference w:id="5994"/>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כדאי' (קידושין נט.) דלאו למלוה דמי ולא לפקדון. ו</w:t>
      </w:r>
      <w:r w:rsidRPr="00AF3214">
        <w:rPr>
          <w:rFonts w:ascii="Narkisim" w:hAnsi="Narkisim" w:cs="Narkisim"/>
          <w:b/>
          <w:bCs/>
          <w:rtl/>
        </w:rPr>
        <w:t>תוס'</w:t>
      </w:r>
      <w:r w:rsidRPr="00AF3214">
        <w:rPr>
          <w:rFonts w:ascii="Narkisim" w:hAnsi="Narkisim" w:cs="Narkisim"/>
          <w:rtl/>
        </w:rPr>
        <w:t xml:space="preserve"> ביארו משום שהאשה צריכה להחזיר המעות, ומש"ה 'חשוב כאילו הם בעין' [דשעבוד המעות חשיב בעין, ולא נחשב מלווה]</w:t>
      </w:r>
      <w:r w:rsidRPr="00AF3214">
        <w:rPr>
          <w:rStyle w:val="ac"/>
          <w:rFonts w:ascii="Narkisim" w:hAnsi="Narkisim" w:cs="Narkisim"/>
          <w:rtl/>
        </w:rPr>
        <w:footnoteReference w:id="5995"/>
      </w:r>
      <w:r w:rsidRPr="00AF3214">
        <w:rPr>
          <w:rFonts w:ascii="Narkisim" w:hAnsi="Narkisim" w:cs="Narkisim"/>
        </w:rPr>
        <w:t>.</w:t>
      </w:r>
    </w:p>
    <w:p w14:paraId="4FDF6FC7" w14:textId="77777777" w:rsidR="006C4368" w:rsidRPr="00AF3214" w:rsidRDefault="006C4368" w:rsidP="006C4368">
      <w:pPr>
        <w:bidi/>
        <w:rPr>
          <w:rFonts w:ascii="Narkisim" w:hAnsi="Narkisim" w:cs="Narkisim"/>
        </w:rPr>
      </w:pPr>
      <w:r w:rsidRPr="00AF3214">
        <w:rPr>
          <w:rFonts w:ascii="Narkisim" w:hAnsi="Narkisim" w:cs="Narkisim"/>
          <w:u w:val="single"/>
          <w:rtl/>
        </w:rPr>
        <w:t>בא"ד ובפירות ערוגה וכו' לפי שאמירתו לגבוה כמסירתו להדיוט דמי, וחשוב כאילו מוסרם ליד הקונה לעמוד בידו ולקנות כשיגיע הזמן שקבע</w:t>
      </w:r>
      <w:r w:rsidRPr="00AF3214">
        <w:rPr>
          <w:rStyle w:val="ac"/>
          <w:rFonts w:ascii="Narkisim" w:hAnsi="Narkisim" w:cs="Narkisim"/>
          <w:u w:val="single"/>
          <w:rtl/>
        </w:rPr>
        <w:footnoteReference w:id="5996"/>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(וכ"כ הרשב"א קידושין סג.). מבואר בתוס' דגדר 'אמירתו לגבוה' נחשב שמעשה הקנין קיים אף בדבר שלא בא לעולם, וכאילו מסור. ועי"ז חל הקנין כשיבוא לעולם. [ומבואר בתוס' דאף הפרשת תרומה מהני משום אמירתו לגבוה כמסירתו להדיוט, וכ"כ הפנ"י קידושין נט.</w:t>
      </w:r>
      <w:r w:rsidRPr="00AF3214">
        <w:rPr>
          <w:rStyle w:val="ac"/>
          <w:rFonts w:ascii="Narkisim" w:hAnsi="Narkisim" w:cs="Narkisim"/>
          <w:rtl/>
        </w:rPr>
        <w:footnoteReference w:id="5997"/>
      </w:r>
      <w:r w:rsidRPr="00AF3214">
        <w:rPr>
          <w:rFonts w:ascii="Narkisim" w:hAnsi="Narkisim" w:cs="Narkisim"/>
          <w:rtl/>
        </w:rPr>
        <w:t>]</w:t>
      </w:r>
      <w:r w:rsidRPr="00AF3214">
        <w:rPr>
          <w:rFonts w:ascii="Narkisim" w:hAnsi="Narkisim" w:cs="Narkisim"/>
        </w:rPr>
        <w:t>.</w:t>
      </w:r>
    </w:p>
    <w:p w14:paraId="49D00A39"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דייקו מדברי התוס' דדוקא משום דע"י אמירתו נחשב 'מסור' כבר בידו. אבל ב</w:t>
      </w:r>
      <w:r w:rsidRPr="00AF3214">
        <w:rPr>
          <w:rFonts w:ascii="Narkisim" w:hAnsi="Narkisim"/>
          <w:b/>
          <w:bCs/>
          <w:rtl/>
        </w:rPr>
        <w:t>חי' ר' שמעון</w:t>
      </w:r>
      <w:r w:rsidRPr="00AF3214">
        <w:rPr>
          <w:rFonts w:ascii="Narkisim" w:hAnsi="Narkisim"/>
          <w:rtl/>
        </w:rPr>
        <w:t xml:space="preserve"> (נדרים כב) נקט דל"ש כלתה קנינו בכל דבר שחל ע"י דיבורו</w:t>
      </w:r>
      <w:r w:rsidRPr="00AF3214">
        <w:rPr>
          <w:rStyle w:val="ac"/>
          <w:rFonts w:ascii="Narkisim" w:hAnsi="Narkisim"/>
          <w:rtl/>
        </w:rPr>
        <w:footnoteReference w:id="5998"/>
      </w:r>
      <w:r w:rsidRPr="00AF3214">
        <w:rPr>
          <w:rFonts w:ascii="Narkisim" w:hAnsi="Narkisim"/>
        </w:rPr>
        <w:t xml:space="preserve">. </w:t>
      </w:r>
      <w:r w:rsidRPr="00AF3214">
        <w:rPr>
          <w:rFonts w:ascii="Narkisim" w:hAnsi="Narkisim"/>
          <w:rtl/>
        </w:rPr>
        <w:t>דדוקא ב'מעשה' אמרי' דכלתה קנינו, והמעשה אינו בעולם. אבל דיבור הוה הסכמה בעלמא, ולא אמרי' דנאבד מהעולם</w:t>
      </w:r>
      <w:r w:rsidRPr="00AF3214">
        <w:rPr>
          <w:rStyle w:val="ac"/>
          <w:rFonts w:ascii="Narkisim" w:hAnsi="Narkisim"/>
          <w:rtl/>
        </w:rPr>
        <w:footnoteReference w:id="5999"/>
      </w:r>
      <w:r w:rsidRPr="00AF3214">
        <w:rPr>
          <w:rFonts w:ascii="Narkisim" w:hAnsi="Narkisim"/>
        </w:rPr>
        <w:t>.</w:t>
      </w:r>
    </w:p>
    <w:p w14:paraId="4D24F9E2" w14:textId="77777777" w:rsidR="006C4368" w:rsidRPr="00AF3214" w:rsidRDefault="006C4368" w:rsidP="006C4368">
      <w:pPr>
        <w:pStyle w:val="aa"/>
        <w:bidi/>
        <w:rPr>
          <w:rFonts w:ascii="Narkisim" w:hAnsi="Narkisim"/>
        </w:rPr>
      </w:pPr>
      <w:r w:rsidRPr="00AF3214">
        <w:rPr>
          <w:rFonts w:ascii="Narkisim" w:hAnsi="Narkisim"/>
          <w:u w:val="single"/>
          <w:rtl/>
        </w:rPr>
        <w:t>בא"ד אע"ג דרב מספק"ל וכו' אבל בדבר שאין בידו להקנות עכשיו וכו' אין זה חזרה וכו'</w:t>
      </w:r>
      <w:r w:rsidRPr="00AF3214">
        <w:rPr>
          <w:rFonts w:ascii="Narkisim" w:hAnsi="Narkisim"/>
          <w:rtl/>
        </w:rPr>
        <w:t>. לכאורה כוונת התוס' דכיון דשייך גדר קנין זו, דנגמר הקנין מעכשיו וחל לאחר ל', א"כ אי"צ לפרש כוונתו לחזור בו</w:t>
      </w:r>
      <w:r w:rsidRPr="00AF3214">
        <w:rPr>
          <w:rFonts w:ascii="Narkisim" w:hAnsi="Narkisim"/>
        </w:rPr>
        <w:t>.</w:t>
      </w:r>
    </w:p>
    <w:p w14:paraId="1E933064" w14:textId="77777777" w:rsidR="006C4368" w:rsidRPr="00AF3214" w:rsidRDefault="006C4368" w:rsidP="006C4368">
      <w:pPr>
        <w:pStyle w:val="aa"/>
        <w:bidi/>
        <w:rPr>
          <w:rFonts w:ascii="Narkisim" w:hAnsi="Narkisim"/>
        </w:rPr>
      </w:pPr>
      <w:r w:rsidRPr="00AF3214">
        <w:rPr>
          <w:rFonts w:ascii="Narkisim" w:hAnsi="Narkisim"/>
          <w:u w:val="single"/>
          <w:rtl/>
        </w:rPr>
        <w:t>בא"ד ועוד דהכא שאמר מעכשיו לבסוף אין שייך להסתפק כלל</w:t>
      </w:r>
      <w:r w:rsidRPr="00AF3214">
        <w:rPr>
          <w:rFonts w:ascii="Narkisim" w:hAnsi="Narkisim"/>
          <w:rtl/>
        </w:rPr>
        <w:t>. ובדבר שבא לעולם שאמר 'לאחר ל' תקנה מעכשיו' ודאי קנה לאחר ל' [ומעכשיו לאו דוקא, דל"ש בזה תנאי או חזרה]</w:t>
      </w:r>
      <w:r w:rsidRPr="00AF3214">
        <w:rPr>
          <w:rFonts w:ascii="Narkisim" w:hAnsi="Narkisim"/>
        </w:rPr>
        <w:t>.</w:t>
      </w:r>
    </w:p>
    <w:p w14:paraId="0FB42547" w14:textId="77777777" w:rsidR="006C4368" w:rsidRPr="00AF3214" w:rsidRDefault="006C4368" w:rsidP="006C4368">
      <w:pPr>
        <w:pStyle w:val="aa"/>
        <w:bidi/>
        <w:rPr>
          <w:rFonts w:ascii="Narkisim" w:hAnsi="Narkisim"/>
        </w:rPr>
      </w:pPr>
      <w:r w:rsidRPr="00AF3214">
        <w:rPr>
          <w:rFonts w:ascii="Narkisim" w:hAnsi="Narkisim"/>
          <w:u w:val="single"/>
          <w:rtl/>
        </w:rPr>
        <w:t>בא"ד ואר"י דל"ק מידי, דר' יוחנן לטעמיה (קידושין ס.) וכו' דמעכשיו יתחיל הקנין ולאחר ל' יגמור</w:t>
      </w:r>
      <w:r w:rsidRPr="00AF3214">
        <w:rPr>
          <w:rStyle w:val="ac"/>
          <w:rFonts w:ascii="Narkisim" w:hAnsi="Narkisim"/>
          <w:rtl/>
        </w:rPr>
        <w:footnoteReference w:id="6000"/>
      </w:r>
      <w:r w:rsidRPr="00AF3214">
        <w:rPr>
          <w:rFonts w:ascii="Narkisim" w:hAnsi="Narkisim"/>
        </w:rPr>
        <w:t xml:space="preserve">. </w:t>
      </w:r>
      <w:r w:rsidRPr="00AF3214">
        <w:rPr>
          <w:rFonts w:ascii="Narkisim" w:hAnsi="Narkisim"/>
          <w:rtl/>
        </w:rPr>
        <w:t xml:space="preserve">[כשרגא דליבני דרווחא שביק]. ואף בקנין ממון מעכשיו ולאחר ל' לר' יוחנן חל במקצת. וכ"כ </w:t>
      </w:r>
      <w:r w:rsidRPr="00AF3214">
        <w:rPr>
          <w:rFonts w:ascii="Narkisim" w:hAnsi="Narkisim"/>
          <w:b/>
          <w:bCs/>
          <w:rtl/>
        </w:rPr>
        <w:t>תוס</w:t>
      </w:r>
      <w:r w:rsidRPr="00AF3214">
        <w:rPr>
          <w:rFonts w:ascii="Narkisim" w:hAnsi="Narkisim"/>
          <w:rtl/>
        </w:rPr>
        <w:t>' (כתובות פב.)</w:t>
      </w:r>
      <w:r w:rsidRPr="00AF3214">
        <w:rPr>
          <w:rFonts w:ascii="Narkisim" w:hAnsi="Narkisim"/>
        </w:rPr>
        <w:t>.</w:t>
      </w:r>
    </w:p>
    <w:p w14:paraId="0D06CA12" w14:textId="77777777" w:rsidR="006C4368" w:rsidRPr="00AF3214" w:rsidRDefault="006C4368" w:rsidP="006C4368">
      <w:pPr>
        <w:pStyle w:val="a8"/>
        <w:bidi/>
        <w:rPr>
          <w:rFonts w:ascii="Narkisim" w:hAnsi="Narkisim"/>
        </w:rPr>
      </w:pPr>
      <w:r w:rsidRPr="00AF3214">
        <w:rPr>
          <w:rFonts w:ascii="Narkisim" w:hAnsi="Narkisim"/>
        </w:rPr>
        <w:t>[</w:t>
      </w:r>
      <w:r w:rsidRPr="00AF3214">
        <w:rPr>
          <w:rFonts w:ascii="Narkisim" w:hAnsi="Narkisim"/>
          <w:rtl/>
        </w:rPr>
        <w:t>אבל ה</w:t>
      </w:r>
      <w:r w:rsidRPr="00AF3214">
        <w:rPr>
          <w:rFonts w:ascii="Narkisim" w:hAnsi="Narkisim"/>
          <w:b/>
          <w:bCs/>
          <w:rtl/>
        </w:rPr>
        <w:t>רשב"א</w:t>
      </w:r>
      <w:r w:rsidRPr="00AF3214">
        <w:rPr>
          <w:rFonts w:ascii="Narkisim" w:hAnsi="Narkisim"/>
          <w:rtl/>
        </w:rPr>
        <w:t xml:space="preserve"> ו</w:t>
      </w:r>
      <w:r w:rsidRPr="00AF3214">
        <w:rPr>
          <w:rFonts w:ascii="Narkisim" w:hAnsi="Narkisim"/>
          <w:b/>
          <w:bCs/>
          <w:rtl/>
        </w:rPr>
        <w:t>ריטב"א</w:t>
      </w:r>
      <w:r w:rsidRPr="00AF3214">
        <w:rPr>
          <w:rFonts w:ascii="Narkisim" w:hAnsi="Narkisim"/>
          <w:rtl/>
        </w:rPr>
        <w:t xml:space="preserve"> (כתובות שם, ורמב"ן ס' הזכות שם פו: מד: בדה"ר) נקטו דלדעת ר' יוחנן מהני אפי' עומדת ברה"ר בסוף הל'. דהוה כאומר גוף מהיום ופירות לאחר ל'</w:t>
      </w:r>
      <w:r w:rsidRPr="00AF3214">
        <w:rPr>
          <w:rStyle w:val="ac"/>
          <w:rFonts w:ascii="Narkisim" w:hAnsi="Narkisim"/>
          <w:rtl/>
        </w:rPr>
        <w:footnoteReference w:id="6001"/>
      </w:r>
      <w:r w:rsidRPr="00AF3214">
        <w:rPr>
          <w:rFonts w:ascii="Narkisim" w:hAnsi="Narkisim"/>
          <w:rtl/>
        </w:rPr>
        <w:t>, ולא כשרגא דליבני</w:t>
      </w:r>
      <w:r w:rsidRPr="00AF3214">
        <w:rPr>
          <w:rStyle w:val="ac"/>
          <w:rFonts w:ascii="Narkisim" w:hAnsi="Narkisim"/>
          <w:rtl/>
        </w:rPr>
        <w:footnoteReference w:id="6002"/>
      </w:r>
      <w:r w:rsidRPr="00AF3214">
        <w:rPr>
          <w:rFonts w:ascii="Narkisim" w:hAnsi="Narkisim"/>
        </w:rPr>
        <w:t>].</w:t>
      </w:r>
    </w:p>
    <w:p w14:paraId="5882CDA2"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(מכירה ב ט, ושו"ע קצז ז) פסק דמעכשיו ולאחר ל' יום קונה, ואפי' היתה עומדת באגם</w:t>
      </w:r>
      <w:r w:rsidRPr="00AF3214">
        <w:rPr>
          <w:rStyle w:val="ac"/>
          <w:rFonts w:ascii="Narkisim" w:hAnsi="Narkisim"/>
          <w:rtl/>
        </w:rPr>
        <w:footnoteReference w:id="6003"/>
      </w:r>
      <w:r w:rsidRPr="00AF3214">
        <w:rPr>
          <w:rFonts w:ascii="Narkisim" w:hAnsi="Narkisim"/>
        </w:rPr>
        <w:t xml:space="preserve"> </w:t>
      </w:r>
      <w:r w:rsidRPr="00AF3214">
        <w:rPr>
          <w:rFonts w:ascii="Narkisim" w:hAnsi="Narkisim"/>
          <w:rtl/>
        </w:rPr>
        <w:t>בסוף הל', שזה כמי שהקנה אותו מעתה על תנאי נעשה התנאי נתקיים הקנין</w:t>
      </w:r>
      <w:r w:rsidRPr="00AF3214">
        <w:rPr>
          <w:rStyle w:val="ac"/>
          <w:rFonts w:ascii="Narkisim" w:hAnsi="Narkisim"/>
          <w:rtl/>
        </w:rPr>
        <w:footnoteReference w:id="6004"/>
      </w:r>
      <w:r w:rsidRPr="00AF3214">
        <w:rPr>
          <w:rFonts w:ascii="Narkisim" w:hAnsi="Narkisim"/>
        </w:rPr>
        <w:t xml:space="preserve">, </w:t>
      </w:r>
      <w:r w:rsidRPr="00AF3214">
        <w:rPr>
          <w:rFonts w:ascii="Narkisim" w:hAnsi="Narkisim"/>
          <w:rtl/>
        </w:rPr>
        <w:t>וכל האומר על מנת כאומר מעכשיו דמי. וה</w:t>
      </w:r>
      <w:r w:rsidRPr="00AF3214">
        <w:rPr>
          <w:rFonts w:ascii="Narkisim" w:hAnsi="Narkisim"/>
          <w:b/>
          <w:bCs/>
          <w:rtl/>
        </w:rPr>
        <w:t>פוסקים</w:t>
      </w:r>
      <w:r w:rsidRPr="00AF3214">
        <w:rPr>
          <w:rFonts w:ascii="Narkisim" w:hAnsi="Narkisim"/>
          <w:rtl/>
        </w:rPr>
        <w:t xml:space="preserve"> (לח"מ שם, ט"ז ס"ס קצז) דנו מ"ט פסק כשמואל</w:t>
      </w:r>
      <w:r w:rsidRPr="00AF3214">
        <w:rPr>
          <w:rStyle w:val="ac"/>
          <w:rFonts w:ascii="Narkisim" w:hAnsi="Narkisim"/>
          <w:rtl/>
        </w:rPr>
        <w:footnoteReference w:id="6005"/>
      </w:r>
      <w:r w:rsidRPr="00AF3214">
        <w:rPr>
          <w:rFonts w:ascii="Narkisim" w:hAnsi="Narkisim"/>
        </w:rPr>
        <w:t xml:space="preserve">. </w:t>
      </w:r>
      <w:r w:rsidRPr="00AF3214">
        <w:rPr>
          <w:rFonts w:ascii="Narkisim" w:hAnsi="Narkisim"/>
          <w:rtl/>
        </w:rPr>
        <w:t>וה</w:t>
      </w:r>
      <w:r w:rsidRPr="00AF3214">
        <w:rPr>
          <w:rFonts w:ascii="Narkisim" w:hAnsi="Narkisim"/>
          <w:b/>
          <w:bCs/>
          <w:rtl/>
        </w:rPr>
        <w:t>גר"א</w:t>
      </w:r>
      <w:r w:rsidRPr="00AF3214">
        <w:rPr>
          <w:rFonts w:ascii="Narkisim" w:hAnsi="Narkisim"/>
          <w:rtl/>
        </w:rPr>
        <w:t xml:space="preserve"> (קצז כ) ביאר דס"ל דבממון כו"ע מודו דהוה תנאי. [והגמ' כתובות שם איירי בלא מעכשיו]</w:t>
      </w:r>
      <w:r w:rsidRPr="00AF3214">
        <w:rPr>
          <w:rFonts w:ascii="Narkisim" w:hAnsi="Narkisim"/>
        </w:rPr>
        <w:t>.</w:t>
      </w:r>
    </w:p>
    <w:p w14:paraId="2D17A96D"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בא"ד כיון דבסוף ל'</w:t>
      </w:r>
      <w:r w:rsidRPr="00AF3214">
        <w:rPr>
          <w:rStyle w:val="ac"/>
          <w:rFonts w:ascii="Narkisim" w:hAnsi="Narkisim" w:cs="Narkisim"/>
          <w:u w:val="single"/>
          <w:rtl/>
        </w:rPr>
        <w:footnoteReference w:id="6006"/>
      </w:r>
      <w:r w:rsidRPr="00AF3214">
        <w:rPr>
          <w:rFonts w:ascii="Narkisim" w:hAnsi="Narkisim" w:cs="Narkisim"/>
          <w:u w:val="single"/>
          <w:rtl/>
        </w:rPr>
        <w:t xml:space="preserve"> הפרה עומדת באגם וכו' דע"י תחילת משיכה שהותחל הקנין נעשה האגם רשותו, והו"ל כמשיכה אריכתא וכו'</w:t>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(קידושין סג. וכתובות פב.) כת' דבסוף הל' עומד במקום הראוי למשיכה. [וסגי בזה לענין גמר קנין המשיכה]. אבל תוס' דידן הוסיפו דנעשית האגם רשותו, ומשמע דגדר קנין משיכה משום שהכניסו לרשותו, שייחד את הסימטא לעצמו. ותוס' ביארו דאף שהבהמה נכנסו לבד לאגם בסוף הל' מהני, כיון שהותחל הקנין מעיקרא</w:t>
      </w:r>
      <w:r w:rsidRPr="00AF3214">
        <w:rPr>
          <w:rStyle w:val="ac"/>
          <w:rFonts w:ascii="Narkisim" w:hAnsi="Narkisim" w:cs="Narkisim"/>
          <w:rtl/>
        </w:rPr>
        <w:footnoteReference w:id="6007"/>
      </w:r>
      <w:r w:rsidRPr="00AF3214">
        <w:rPr>
          <w:rFonts w:ascii="Narkisim" w:hAnsi="Narkisim" w:cs="Narkisim"/>
        </w:rPr>
        <w:t>.</w:t>
      </w:r>
    </w:p>
    <w:p w14:paraId="7FCB91D0" w14:textId="77777777" w:rsidR="006C4368" w:rsidRPr="00AF3214" w:rsidRDefault="006C4368" w:rsidP="006C4368">
      <w:pPr>
        <w:bidi/>
        <w:rPr>
          <w:rFonts w:ascii="Narkisim" w:hAnsi="Narkisim" w:cs="Narkisim"/>
        </w:rPr>
      </w:pPr>
      <w:r w:rsidRPr="00AF3214">
        <w:rPr>
          <w:rFonts w:ascii="Narkisim" w:hAnsi="Narkisim" w:cs="Narkisim"/>
          <w:u w:val="single"/>
          <w:rtl/>
        </w:rPr>
        <w:t>בא"ד ולרב דמספק"ל אי חזרה הוה וכו' ולשמואל דפשיט"ל דתנאה הוה וכו'</w:t>
      </w:r>
      <w:r w:rsidRPr="00AF3214">
        <w:rPr>
          <w:rFonts w:ascii="Narkisim" w:hAnsi="Narkisim" w:cs="Narkisim"/>
          <w:rtl/>
        </w:rPr>
        <w:t xml:space="preserve">. מבואר בתוס' דאף בממון הוה תנאי או חזרה. אבל </w:t>
      </w:r>
      <w:r w:rsidRPr="00AF3214">
        <w:rPr>
          <w:rFonts w:ascii="Narkisim" w:hAnsi="Narkisim" w:cs="Narkisim"/>
          <w:b/>
          <w:bCs/>
          <w:rtl/>
        </w:rPr>
        <w:t>רש"י</w:t>
      </w:r>
      <w:r w:rsidRPr="00AF3214">
        <w:rPr>
          <w:rFonts w:ascii="Narkisim" w:hAnsi="Narkisim" w:cs="Narkisim"/>
          <w:rtl/>
        </w:rPr>
        <w:t xml:space="preserve"> (גיטין עב.) חילק דדוקא בגט [וקידושין] אמרי' דהוה תנאי או חזרה. אבל בממון אמרי' דקנה גוף מהיום ופירות לאחר ל'</w:t>
      </w:r>
      <w:r w:rsidRPr="00AF3214">
        <w:rPr>
          <w:rStyle w:val="ac"/>
          <w:rFonts w:ascii="Narkisim" w:hAnsi="Narkisim" w:cs="Narkisim"/>
          <w:rtl/>
        </w:rPr>
        <w:footnoteReference w:id="6008"/>
      </w:r>
      <w:r w:rsidRPr="00AF3214">
        <w:rPr>
          <w:rFonts w:ascii="Narkisim" w:hAnsi="Narkisim" w:cs="Narkisim"/>
          <w:rtl/>
        </w:rPr>
        <w:t xml:space="preserve">. ואילו </w:t>
      </w:r>
      <w:r w:rsidRPr="00AF3214">
        <w:rPr>
          <w:rFonts w:ascii="Narkisim" w:hAnsi="Narkisim" w:cs="Narkisim"/>
          <w:b/>
          <w:bCs/>
          <w:rtl/>
        </w:rPr>
        <w:t>תוס</w:t>
      </w:r>
      <w:r w:rsidRPr="00AF3214">
        <w:rPr>
          <w:rFonts w:ascii="Narkisim" w:hAnsi="Narkisim" w:cs="Narkisim"/>
          <w:rtl/>
        </w:rPr>
        <w:t>' דידן (בסו"ד) כת' דדוקא מעכשיו ולאחר מיתה אמרי' דמסתבר דכוונתו להבריח מיורשים, וכוונתו גוף מהיום ופירות לאחר ל'. אבל מהיום ולאחר ל' לא אמרי' דמקנה גוף מהיום</w:t>
      </w:r>
      <w:r w:rsidRPr="00AF3214">
        <w:rPr>
          <w:rStyle w:val="ac"/>
          <w:rFonts w:ascii="Narkisim" w:hAnsi="Narkisim" w:cs="Narkisim"/>
          <w:rtl/>
        </w:rPr>
        <w:footnoteReference w:id="6009"/>
      </w:r>
      <w:r w:rsidRPr="00AF3214">
        <w:rPr>
          <w:rFonts w:ascii="Narkisim" w:hAnsi="Narkisim" w:cs="Narkisim"/>
        </w:rPr>
        <w:t>.</w:t>
      </w:r>
    </w:p>
    <w:p w14:paraId="3FA5C2E3"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ה</w:t>
      </w:r>
      <w:r w:rsidRPr="00AF3214">
        <w:rPr>
          <w:rFonts w:ascii="Narkisim" w:hAnsi="Narkisim"/>
          <w:b/>
          <w:bCs/>
          <w:rtl/>
        </w:rPr>
        <w:t>ב"י</w:t>
      </w:r>
      <w:r w:rsidRPr="00AF3214">
        <w:rPr>
          <w:rFonts w:ascii="Narkisim" w:hAnsi="Narkisim"/>
          <w:rtl/>
        </w:rPr>
        <w:t xml:space="preserve"> וה</w:t>
      </w:r>
      <w:r w:rsidRPr="00AF3214">
        <w:rPr>
          <w:rFonts w:ascii="Narkisim" w:hAnsi="Narkisim"/>
          <w:b/>
          <w:bCs/>
          <w:rtl/>
        </w:rPr>
        <w:t>רמ"א</w:t>
      </w:r>
      <w:r w:rsidRPr="00AF3214">
        <w:rPr>
          <w:rFonts w:ascii="Narkisim" w:hAnsi="Narkisim"/>
          <w:rtl/>
        </w:rPr>
        <w:t xml:space="preserve"> (חו"מ קצא ד) הביא בשם </w:t>
      </w:r>
      <w:r w:rsidRPr="00AF3214">
        <w:rPr>
          <w:rFonts w:ascii="Narkisim" w:hAnsi="Narkisim"/>
          <w:b/>
          <w:bCs/>
          <w:rtl/>
        </w:rPr>
        <w:t>תוס'</w:t>
      </w:r>
      <w:r w:rsidRPr="00AF3214">
        <w:rPr>
          <w:rFonts w:ascii="Narkisim" w:hAnsi="Narkisim"/>
          <w:rtl/>
        </w:rPr>
        <w:t xml:space="preserve"> (דידן) דהמקנה בשטר מעכשיו ולאחר ל', קנה אף שנקרע השטר תוך ל'. ובפשוטו משמע דנקטו דמהני מעכשיו ולאחר ל' אף בדבר שבא לעולם [ודלא כדברי האחרונים הנ"ל]. אבל ה</w:t>
      </w:r>
      <w:r w:rsidRPr="00AF3214">
        <w:rPr>
          <w:rFonts w:ascii="Narkisim" w:hAnsi="Narkisim"/>
          <w:b/>
          <w:bCs/>
          <w:rtl/>
        </w:rPr>
        <w:t>גר"א</w:t>
      </w:r>
      <w:r w:rsidRPr="00AF3214">
        <w:rPr>
          <w:rFonts w:ascii="Narkisim" w:hAnsi="Narkisim"/>
          <w:rtl/>
        </w:rPr>
        <w:t xml:space="preserve"> (שם י), ו</w:t>
      </w:r>
      <w:r w:rsidRPr="00AF3214">
        <w:rPr>
          <w:rFonts w:ascii="Narkisim" w:hAnsi="Narkisim"/>
          <w:b/>
          <w:bCs/>
          <w:rtl/>
        </w:rPr>
        <w:t>בי"ש</w:t>
      </w:r>
      <w:r w:rsidRPr="00AF3214">
        <w:rPr>
          <w:rFonts w:ascii="Narkisim" w:hAnsi="Narkisim"/>
          <w:rtl/>
        </w:rPr>
        <w:t xml:space="preserve"> (קמו א) כת' דכוונת הפוסקים דבממון כו"ע מודו לשמואל דהוה תנאי. [וע' מה שהו' לעיל]. וה</w:t>
      </w:r>
      <w:r w:rsidRPr="00AF3214">
        <w:rPr>
          <w:rFonts w:ascii="Narkisim" w:hAnsi="Narkisim"/>
          <w:b/>
          <w:bCs/>
          <w:rtl/>
        </w:rPr>
        <w:t>נתיבות</w:t>
      </w:r>
      <w:r w:rsidRPr="00AF3214">
        <w:rPr>
          <w:rFonts w:ascii="Narkisim" w:hAnsi="Narkisim"/>
          <w:rtl/>
        </w:rPr>
        <w:t xml:space="preserve"> (הנ"ל) כת' דמהני משום גוף מהיום ופירות לאחר ל' [ודלא כתוס' דידן]</w:t>
      </w:r>
      <w:r w:rsidRPr="00AF3214">
        <w:rPr>
          <w:rFonts w:ascii="Narkisim" w:hAnsi="Narkisim"/>
        </w:rPr>
        <w:t>.</w:t>
      </w:r>
    </w:p>
    <w:p w14:paraId="55324EB6" w14:textId="77777777" w:rsidR="006C4368" w:rsidRPr="00AF3214" w:rsidRDefault="006C4368" w:rsidP="006C4368">
      <w:pPr>
        <w:bidi/>
        <w:rPr>
          <w:rFonts w:ascii="Narkisim" w:hAnsi="Narkisim" w:cs="Narkisim"/>
        </w:rPr>
      </w:pPr>
      <w:r w:rsidRPr="00AF3214">
        <w:rPr>
          <w:rFonts w:ascii="Narkisim" w:hAnsi="Narkisim" w:cs="Narkisim"/>
          <w:u w:val="single"/>
          <w:rtl/>
        </w:rPr>
        <w:t>שקל עשר מפירי דביתיה עלייהו וכו' כל הימים אלו שבתות ויו"ט וכו' [בע"ב] אלא לאו כה"ג</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דילפי' דמותר לעשר על מה שעתיד לבא לרשותו משום עונג שבת. ואף דבינתיים הוה דבר שלא בא לעולם [שלא הגיע לרשותו]</w:t>
      </w:r>
      <w:r w:rsidRPr="00AF3214">
        <w:rPr>
          <w:rFonts w:ascii="Narkisim" w:hAnsi="Narkisim" w:cs="Narkisim"/>
        </w:rPr>
        <w:t>.</w:t>
      </w:r>
    </w:p>
    <w:p w14:paraId="06028A91"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(בע"ב) הק' מאי איריא שבתות ויו"ט. וה</w:t>
      </w:r>
      <w:r w:rsidRPr="00AF3214">
        <w:rPr>
          <w:rFonts w:ascii="Narkisim" w:hAnsi="Narkisim"/>
          <w:b/>
          <w:bCs/>
          <w:rtl/>
        </w:rPr>
        <w:t>ריטב"א</w:t>
      </w:r>
      <w:r w:rsidRPr="00AF3214">
        <w:rPr>
          <w:rFonts w:ascii="Narkisim" w:hAnsi="Narkisim"/>
          <w:rtl/>
        </w:rPr>
        <w:t xml:space="preserve"> כת' דיש מצוה להפריש על שבא לעולם</w:t>
      </w:r>
      <w:r w:rsidRPr="00AF3214">
        <w:rPr>
          <w:rStyle w:val="ac"/>
          <w:rFonts w:ascii="Narkisim" w:hAnsi="Narkisim"/>
          <w:rtl/>
        </w:rPr>
        <w:footnoteReference w:id="6010"/>
      </w:r>
      <w:r w:rsidRPr="00AF3214">
        <w:rPr>
          <w:rFonts w:ascii="Narkisim" w:hAnsi="Narkisim"/>
        </w:rPr>
        <w:t xml:space="preserve">, </w:t>
      </w:r>
      <w:r w:rsidRPr="00AF3214">
        <w:rPr>
          <w:rFonts w:ascii="Narkisim" w:hAnsi="Narkisim"/>
          <w:rtl/>
        </w:rPr>
        <w:t>ולצורך שבת התיר הכתוב לגמרי</w:t>
      </w:r>
      <w:r w:rsidRPr="00AF3214">
        <w:rPr>
          <w:rFonts w:ascii="Narkisim" w:hAnsi="Narkisim"/>
        </w:rPr>
        <w:t>.</w:t>
      </w:r>
    </w:p>
    <w:p w14:paraId="2A8A861D"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ר"ש</w:t>
      </w:r>
      <w:r w:rsidRPr="00AF3214">
        <w:rPr>
          <w:rFonts w:ascii="Narkisim" w:hAnsi="Narkisim" w:cs="Narkisim"/>
          <w:rtl/>
        </w:rPr>
        <w:t xml:space="preserve"> (דמאי ד ד) הביא דב</w:t>
      </w:r>
      <w:r w:rsidRPr="00AF3214">
        <w:rPr>
          <w:rFonts w:ascii="Narkisim" w:hAnsi="Narkisim" w:cs="Narkisim"/>
          <w:b/>
          <w:bCs/>
          <w:rtl/>
        </w:rPr>
        <w:t>ירושלמי</w:t>
      </w:r>
      <w:r w:rsidRPr="00AF3214">
        <w:rPr>
          <w:rFonts w:ascii="Narkisim" w:hAnsi="Narkisim" w:cs="Narkisim"/>
          <w:rtl/>
        </w:rPr>
        <w:t xml:space="preserve"> (דמאי ז א) אי' דר' ירמיה רבה הורה לר' ינאי שיכול לתקן בשבת [טבל ודאי] מהך קרא דכתיב למען תלמד ליראה את ה' כל הימים אפי' בשבת, ופי' שהתנה עליו מערב שבת מה שאני עתיד להפריש יהא מעשר. וה</w:t>
      </w:r>
      <w:r w:rsidRPr="00AF3214">
        <w:rPr>
          <w:rFonts w:ascii="Narkisim" w:hAnsi="Narkisim" w:cs="Narkisim"/>
          <w:b/>
          <w:bCs/>
          <w:rtl/>
        </w:rPr>
        <w:t>ר"ש</w:t>
      </w:r>
      <w:r w:rsidRPr="00AF3214">
        <w:rPr>
          <w:rFonts w:ascii="Narkisim" w:hAnsi="Narkisim" w:cs="Narkisim"/>
          <w:rtl/>
        </w:rPr>
        <w:t xml:space="preserve"> הק' דבסוגיין ר' ינאי גופיה עישר מפירי דביתיה שלא מן המוקף, הא הו"ל לקרוא שם ויפריש בשבת מן המוקף, כירושלמי. וכת' דשמא מעשה דהכא הוה ברישא, ואכתי לא ידע אי שרי ע"י תנאי. א"נ הכא היה צריך לכולה כנתא דפירי</w:t>
      </w:r>
      <w:r w:rsidRPr="00AF3214">
        <w:rPr>
          <w:rFonts w:ascii="Narkisim" w:hAnsi="Narkisim" w:cs="Narkisim"/>
        </w:rPr>
        <w:t>.</w:t>
      </w:r>
    </w:p>
    <w:p w14:paraId="1F47CB2C" w14:textId="77777777" w:rsidR="006C4368" w:rsidRPr="00AF3214" w:rsidRDefault="006C4368" w:rsidP="006C4368">
      <w:pPr>
        <w:pStyle w:val="a7"/>
        <w:bidi/>
        <w:rPr>
          <w:rFonts w:ascii="Narkisim" w:hAnsi="Narkisim"/>
        </w:rPr>
      </w:pPr>
      <w:r w:rsidRPr="00AF3214">
        <w:rPr>
          <w:rFonts w:ascii="Narkisim" w:hAnsi="Narkisim"/>
          <w:rtl/>
        </w:rPr>
        <w:t>ועוד תי' ה</w:t>
      </w:r>
      <w:r w:rsidRPr="00AF3214">
        <w:rPr>
          <w:rFonts w:ascii="Narkisim" w:hAnsi="Narkisim"/>
          <w:b/>
          <w:bCs/>
          <w:rtl/>
        </w:rPr>
        <w:t>ר"ש</w:t>
      </w:r>
      <w:r w:rsidRPr="00AF3214">
        <w:rPr>
          <w:rFonts w:ascii="Narkisim" w:hAnsi="Narkisim"/>
          <w:rtl/>
        </w:rPr>
        <w:t xml:space="preserve"> דמבואר בירושלמי (הנ"ל) דל"מ תנאי [בטבל ודאי] על מה שביד חברו. ו</w:t>
      </w:r>
      <w:r w:rsidRPr="00AF3214">
        <w:rPr>
          <w:rFonts w:ascii="Narkisim" w:hAnsi="Narkisim"/>
          <w:b/>
          <w:bCs/>
          <w:rtl/>
        </w:rPr>
        <w:t>רע"א</w:t>
      </w:r>
      <w:r w:rsidRPr="00AF3214">
        <w:rPr>
          <w:rFonts w:ascii="Narkisim" w:hAnsi="Narkisim"/>
          <w:rtl/>
        </w:rPr>
        <w:t xml:space="preserve"> תמה דה"מ למ"ד דאין אדם מקנה דבר שלא בא לעולם, ואילו ר' ינאי ס"ל דאדם מקנה אף שאינו בעולם, ומש"ה יוכל להתנות בדבר שאינו ברשותו. וה</w:t>
      </w:r>
      <w:r w:rsidRPr="00AF3214">
        <w:rPr>
          <w:rFonts w:ascii="Narkisim" w:hAnsi="Narkisim"/>
          <w:b/>
          <w:bCs/>
          <w:rtl/>
        </w:rPr>
        <w:t>חזו"א</w:t>
      </w:r>
      <w:r w:rsidRPr="00AF3214">
        <w:rPr>
          <w:rFonts w:ascii="Narkisim" w:hAnsi="Narkisim"/>
          <w:rtl/>
        </w:rPr>
        <w:t xml:space="preserve"> (דמאי ט יז) ביאר תי' הר"ש דאף למ"ד אדם מקנה דבר שאינו ברשותו, מ"מ י"ל דלא מהני תנאי</w:t>
      </w:r>
      <w:r w:rsidRPr="00AF3214">
        <w:rPr>
          <w:rStyle w:val="ac"/>
          <w:rFonts w:ascii="Narkisim" w:hAnsi="Narkisim"/>
          <w:rtl/>
        </w:rPr>
        <w:footnoteReference w:id="6011"/>
      </w:r>
      <w:r w:rsidRPr="00AF3214">
        <w:rPr>
          <w:rFonts w:ascii="Narkisim" w:hAnsi="Narkisim"/>
        </w:rPr>
        <w:t>.</w:t>
      </w:r>
    </w:p>
    <w:p w14:paraId="204A1926" w14:textId="77777777" w:rsidR="006C4368" w:rsidRPr="00AF3214" w:rsidRDefault="006C4368" w:rsidP="006C4368">
      <w:pPr>
        <w:pStyle w:val="aa"/>
        <w:bidi/>
        <w:rPr>
          <w:rFonts w:ascii="Narkisim" w:hAnsi="Narkisim"/>
        </w:rPr>
      </w:pPr>
      <w:r w:rsidRPr="00AF3214">
        <w:rPr>
          <w:rFonts w:ascii="Narkisim" w:hAnsi="Narkisim"/>
          <w:u w:val="single"/>
          <w:rtl/>
        </w:rPr>
        <w:t>אלו שבתות ויו"ט</w:t>
      </w:r>
      <w:r w:rsidRPr="00AF3214">
        <w:rPr>
          <w:rFonts w:ascii="Narkisim" w:hAnsi="Narkisim"/>
          <w:rtl/>
        </w:rPr>
        <w:t>. ה</w:t>
      </w:r>
      <w:r w:rsidRPr="00AF3214">
        <w:rPr>
          <w:rFonts w:ascii="Narkisim" w:hAnsi="Narkisim"/>
          <w:b/>
          <w:bCs/>
          <w:rtl/>
        </w:rPr>
        <w:t>אחרונים</w:t>
      </w:r>
      <w:r w:rsidRPr="00AF3214">
        <w:rPr>
          <w:rFonts w:ascii="Narkisim" w:hAnsi="Narkisim"/>
          <w:rtl/>
        </w:rPr>
        <w:t xml:space="preserve"> הביאו דיש דין 'עונג' אף ביו"ט, ויו"ט קובע למעשרות מדאורייתא. וכ"כ </w:t>
      </w:r>
      <w:r w:rsidRPr="00AF3214">
        <w:rPr>
          <w:rFonts w:ascii="Narkisim" w:hAnsi="Narkisim"/>
          <w:rtl/>
        </w:rPr>
        <w:lastRenderedPageBreak/>
        <w:t>ה</w:t>
      </w:r>
      <w:r w:rsidRPr="00AF3214">
        <w:rPr>
          <w:rFonts w:ascii="Narkisim" w:hAnsi="Narkisim"/>
          <w:b/>
          <w:bCs/>
          <w:rtl/>
        </w:rPr>
        <w:t>שעה"מ</w:t>
      </w:r>
      <w:r w:rsidRPr="00AF3214">
        <w:rPr>
          <w:rFonts w:ascii="Narkisim" w:hAnsi="Narkisim"/>
          <w:rtl/>
        </w:rPr>
        <w:t xml:space="preserve"> (מעשר ה). ודלא כ</w:t>
      </w:r>
      <w:r w:rsidRPr="00AF3214">
        <w:rPr>
          <w:rFonts w:ascii="Narkisim" w:hAnsi="Narkisim"/>
          <w:b/>
          <w:bCs/>
          <w:rtl/>
        </w:rPr>
        <w:t>צל"ח</w:t>
      </w:r>
      <w:r w:rsidRPr="00AF3214">
        <w:rPr>
          <w:rFonts w:ascii="Narkisim" w:hAnsi="Narkisim"/>
          <w:rtl/>
        </w:rPr>
        <w:t xml:space="preserve"> (ביצה לה.) דביו"ט נאמר שמחה בבשר ויין, ולא עונג</w:t>
      </w:r>
      <w:r w:rsidRPr="00AF3214">
        <w:rPr>
          <w:rStyle w:val="ac"/>
          <w:rFonts w:ascii="Narkisim" w:hAnsi="Narkisim"/>
          <w:rtl/>
        </w:rPr>
        <w:footnoteReference w:id="6012"/>
      </w:r>
      <w:r w:rsidRPr="00AF3214">
        <w:rPr>
          <w:rFonts w:ascii="Narkisim" w:hAnsi="Narkisim"/>
        </w:rPr>
        <w:t xml:space="preserve">. </w:t>
      </w:r>
      <w:r w:rsidRPr="00AF3214">
        <w:rPr>
          <w:rFonts w:ascii="Narkisim" w:hAnsi="Narkisim"/>
          <w:rtl/>
        </w:rPr>
        <w:t>ואינו קובע למעשרות</w:t>
      </w:r>
      <w:r w:rsidRPr="00AF3214">
        <w:rPr>
          <w:rFonts w:ascii="Narkisim" w:hAnsi="Narkisim"/>
        </w:rPr>
        <w:t>.</w:t>
      </w:r>
    </w:p>
    <w:p w14:paraId="55B38931" w14:textId="77777777" w:rsidR="006C4368" w:rsidRPr="00AF3214" w:rsidRDefault="006C4368" w:rsidP="006C4368">
      <w:pPr>
        <w:bidi/>
        <w:rPr>
          <w:rFonts w:ascii="Narkisim" w:hAnsi="Narkisim" w:cs="Narkisim"/>
        </w:rPr>
      </w:pPr>
      <w:r w:rsidRPr="00AF3214">
        <w:rPr>
          <w:rFonts w:ascii="Narkisim" w:hAnsi="Narkisim" w:cs="Narkisim"/>
          <w:u w:val="single"/>
          <w:rtl/>
        </w:rPr>
        <w:t>איצטריך קרא למישרי טלטול דרבנן</w:t>
      </w:r>
      <w:r w:rsidRPr="00AF3214">
        <w:rPr>
          <w:rStyle w:val="ac"/>
          <w:rFonts w:ascii="Narkisim" w:hAnsi="Narkisim" w:cs="Narkisim"/>
          <w:u w:val="single"/>
          <w:rtl/>
        </w:rPr>
        <w:footnoteReference w:id="6013"/>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הפרשת מעשרות בשבת אינה אלא משום שבות וכו'. [דאסור מדרבנן משום מתקן, וכדאי' ביצה לז.</w:t>
      </w:r>
      <w:r w:rsidRPr="00AF3214">
        <w:rPr>
          <w:rStyle w:val="ac"/>
          <w:rFonts w:ascii="Narkisim" w:hAnsi="Narkisim" w:cs="Narkisim"/>
          <w:rtl/>
        </w:rPr>
        <w:footnoteReference w:id="6014"/>
      </w:r>
      <w:r w:rsidRPr="00AF3214">
        <w:rPr>
          <w:rFonts w:ascii="Narkisim" w:hAnsi="Narkisim" w:cs="Narkisim"/>
          <w:rtl/>
        </w:rPr>
        <w:t>]. ו</w:t>
      </w:r>
      <w:r w:rsidRPr="00AF3214">
        <w:rPr>
          <w:rFonts w:ascii="Narkisim" w:hAnsi="Narkisim" w:cs="Narkisim"/>
          <w:b/>
          <w:bCs/>
          <w:rtl/>
        </w:rPr>
        <w:t>רע"א</w:t>
      </w:r>
      <w:r w:rsidRPr="00AF3214">
        <w:rPr>
          <w:rFonts w:ascii="Narkisim" w:hAnsi="Narkisim" w:cs="Narkisim"/>
          <w:rtl/>
        </w:rPr>
        <w:t xml:space="preserve"> בגהש"ס הק' אמאי נקט הלשון 'טלטול', דמשמע דאיסור הפרשת תרומות ומעשרות בשבת ויו"ט הוה משום איסור מוקצה</w:t>
      </w:r>
      <w:r w:rsidRPr="00AF3214">
        <w:rPr>
          <w:rStyle w:val="ac"/>
          <w:rFonts w:ascii="Narkisim" w:hAnsi="Narkisim" w:cs="Narkisim"/>
          <w:rtl/>
        </w:rPr>
        <w:footnoteReference w:id="6015"/>
      </w:r>
      <w:r w:rsidRPr="00AF3214">
        <w:rPr>
          <w:rFonts w:ascii="Narkisim" w:hAnsi="Narkisim" w:cs="Narkisim"/>
        </w:rPr>
        <w:t xml:space="preserve">. </w:t>
      </w:r>
      <w:r w:rsidRPr="00AF3214">
        <w:rPr>
          <w:rFonts w:ascii="Narkisim" w:hAnsi="Narkisim" w:cs="Narkisim"/>
          <w:szCs w:val="20"/>
          <w:rtl/>
        </w:rPr>
        <w:t>ואפשר דפשיטא לגמ' דאין צד איסור דאורייתא משום מתקן. אך משום טלטול, אילו היה איסור דאורייתא בזה ס"ד דאסור</w:t>
      </w:r>
      <w:r w:rsidRPr="00AF3214">
        <w:rPr>
          <w:rFonts w:ascii="Narkisim" w:hAnsi="Narkisim" w:cs="Narkisim"/>
          <w:szCs w:val="20"/>
        </w:rPr>
        <w:t>.</w:t>
      </w:r>
    </w:p>
    <w:p w14:paraId="63A2F417" w14:textId="77777777" w:rsidR="006C4368" w:rsidRPr="00AF3214" w:rsidRDefault="006C4368" w:rsidP="006C4368">
      <w:pPr>
        <w:pStyle w:val="a8"/>
        <w:bidi/>
        <w:rPr>
          <w:rFonts w:ascii="Narkisim" w:hAnsi="Narkisim"/>
        </w:rPr>
      </w:pPr>
      <w:r w:rsidRPr="00AF3214">
        <w:rPr>
          <w:rFonts w:ascii="Narkisim" w:hAnsi="Narkisim"/>
          <w:rtl/>
        </w:rPr>
        <w:t>ויש שתי' דאיסור 'מתקן' דהפרשת תרו"מ הוה גזירה משום טירחא יתירא, דלא שייך בזה מכה בפטיש. וזה כוונת הגמ' דמדאורייתא אין בזה משום מכה בפטיש, דהוה טלטול בעלמא</w:t>
      </w:r>
      <w:r w:rsidRPr="00AF3214">
        <w:rPr>
          <w:rFonts w:ascii="Narkisim" w:hAnsi="Narkisim"/>
        </w:rPr>
        <w:t>.</w:t>
      </w:r>
    </w:p>
    <w:p w14:paraId="7D7B07A5" w14:textId="77777777" w:rsidR="006C4368" w:rsidRPr="00AF3214" w:rsidRDefault="006C4368" w:rsidP="006C4368">
      <w:pPr>
        <w:bidi/>
        <w:rPr>
          <w:rFonts w:ascii="Narkisim" w:hAnsi="Narkisim" w:cs="Narkisim"/>
        </w:rPr>
      </w:pPr>
      <w:r w:rsidRPr="00AF3214">
        <w:rPr>
          <w:rFonts w:ascii="Narkisim" w:hAnsi="Narkisim" w:cs="Narkisim"/>
          <w:u w:val="single"/>
          <w:rtl/>
        </w:rPr>
        <w:t>תוד"ה מייתי</w:t>
      </w:r>
      <w:r w:rsidRPr="00AF3214">
        <w:rPr>
          <w:rFonts w:ascii="Narkisim" w:hAnsi="Narkisim" w:cs="Narkisim"/>
          <w:rtl/>
        </w:rPr>
        <w:t>. אר"י דמשל אריס הוו וכו' דאי משל ר' ינאי לא חשוב דשלבל"ע וכו'. אבל ה</w:t>
      </w:r>
      <w:r w:rsidRPr="00AF3214">
        <w:rPr>
          <w:rFonts w:ascii="Narkisim" w:hAnsi="Narkisim" w:cs="Narkisim"/>
          <w:b/>
          <w:bCs/>
          <w:rtl/>
        </w:rPr>
        <w:t>ריטב"א</w:t>
      </w:r>
      <w:r w:rsidRPr="00AF3214">
        <w:rPr>
          <w:rFonts w:ascii="Narkisim" w:hAnsi="Narkisim" w:cs="Narkisim"/>
          <w:rtl/>
        </w:rPr>
        <w:t xml:space="preserve"> הביא בשם רש"י דהפירות משל ר' ינאי, וכמ"ש רש"י דהחסרון משום דאכתי לא אתא</w:t>
      </w:r>
      <w:r w:rsidRPr="00AF3214">
        <w:rPr>
          <w:rStyle w:val="ac"/>
          <w:rFonts w:ascii="Narkisim" w:hAnsi="Narkisim" w:cs="Narkisim"/>
          <w:rtl/>
        </w:rPr>
        <w:footnoteReference w:id="6016"/>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מאירי</w:t>
      </w:r>
      <w:r w:rsidRPr="00AF3214">
        <w:rPr>
          <w:rFonts w:ascii="Narkisim" w:hAnsi="Narkisim" w:cs="Narkisim"/>
          <w:rtl/>
        </w:rPr>
        <w:t xml:space="preserve"> כת' דהיכא דהפירות אינם ברשותו וביד האריס אינו יכול לעשר עליהם, שאינו יודע אם יביאם לו בחלקו</w:t>
      </w:r>
      <w:r w:rsidRPr="00AF3214">
        <w:rPr>
          <w:rStyle w:val="ac"/>
          <w:rFonts w:ascii="Narkisim" w:hAnsi="Narkisim" w:cs="Narkisim"/>
          <w:rtl/>
        </w:rPr>
        <w:footnoteReference w:id="6017"/>
      </w:r>
      <w:r w:rsidRPr="00AF3214">
        <w:rPr>
          <w:rFonts w:ascii="Narkisim" w:hAnsi="Narkisim" w:cs="Narkisim"/>
        </w:rPr>
        <w:t xml:space="preserve">. </w:t>
      </w:r>
      <w:r w:rsidRPr="00AF3214">
        <w:rPr>
          <w:rFonts w:ascii="Narkisim" w:hAnsi="Narkisim" w:cs="Narkisim"/>
          <w:rtl/>
        </w:rPr>
        <w:t>ואף שהם מהקרקע שלו</w:t>
      </w:r>
      <w:r w:rsidRPr="00AF3214">
        <w:rPr>
          <w:rFonts w:ascii="Narkisim" w:hAnsi="Narkisim" w:cs="Narkisim"/>
        </w:rPr>
        <w:t>.</w:t>
      </w:r>
    </w:p>
    <w:p w14:paraId="73E1375B" w14:textId="77777777" w:rsidR="006C4368" w:rsidRPr="00AF3214" w:rsidRDefault="006C4368" w:rsidP="006C4368">
      <w:pPr>
        <w:bidi/>
        <w:rPr>
          <w:rFonts w:ascii="Narkisim" w:hAnsi="Narkisim" w:cs="Narkisim"/>
        </w:rPr>
      </w:pPr>
      <w:r w:rsidRPr="00AF3214">
        <w:rPr>
          <w:rFonts w:ascii="Narkisim" w:hAnsi="Narkisim" w:cs="Narkisim"/>
          <w:u w:val="single"/>
          <w:rtl/>
        </w:rPr>
        <w:t>שם. דמשל אריס הוה</w:t>
      </w:r>
      <w:r w:rsidRPr="00AF3214">
        <w:rPr>
          <w:rFonts w:ascii="Narkisim" w:hAnsi="Narkisim" w:cs="Narkisim"/>
          <w:rtl/>
        </w:rPr>
        <w:t>. ואינו יכול לעשר על פירות של חבירו. ו</w:t>
      </w:r>
      <w:r w:rsidRPr="00AF3214">
        <w:rPr>
          <w:rFonts w:ascii="Narkisim" w:hAnsi="Narkisim" w:cs="Narkisim"/>
          <w:b/>
          <w:bCs/>
          <w:rtl/>
        </w:rPr>
        <w:t>רע"א</w:t>
      </w:r>
      <w:r w:rsidRPr="00AF3214">
        <w:rPr>
          <w:rFonts w:ascii="Narkisim" w:hAnsi="Narkisim" w:cs="Narkisim"/>
          <w:rtl/>
        </w:rPr>
        <w:t xml:space="preserve"> הק' לצד (נדרים לו:) דמפריש משלו על של חבירו בלא דעת חבירו [וכ"פ הרמב"ם], א"כ יחשב בא לעולם, שיוכל להפריש משלו על של חבירו</w:t>
      </w:r>
      <w:r w:rsidRPr="00AF3214">
        <w:rPr>
          <w:rStyle w:val="ac"/>
          <w:rFonts w:ascii="Narkisim" w:hAnsi="Narkisim" w:cs="Narkisim"/>
          <w:rtl/>
        </w:rPr>
        <w:footnoteReference w:id="6018"/>
      </w:r>
      <w:r w:rsidRPr="00AF3214">
        <w:rPr>
          <w:rFonts w:ascii="Narkisim" w:hAnsi="Narkisim" w:cs="Narkisim"/>
        </w:rPr>
        <w:t>.</w:t>
      </w:r>
    </w:p>
    <w:p w14:paraId="221585FC"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גר"ח</w:t>
      </w:r>
      <w:r w:rsidRPr="00AF3214">
        <w:rPr>
          <w:rFonts w:ascii="Narkisim" w:hAnsi="Narkisim"/>
          <w:rtl/>
        </w:rPr>
        <w:t xml:space="preserve"> (סטנסל) וה</w:t>
      </w:r>
      <w:r w:rsidRPr="00AF3214">
        <w:rPr>
          <w:rFonts w:ascii="Narkisim" w:hAnsi="Narkisim"/>
          <w:b/>
          <w:bCs/>
          <w:rtl/>
        </w:rPr>
        <w:t>קובה"ע</w:t>
      </w:r>
      <w:r w:rsidRPr="00AF3214">
        <w:rPr>
          <w:rFonts w:ascii="Narkisim" w:hAnsi="Narkisim"/>
          <w:rtl/>
        </w:rPr>
        <w:t xml:space="preserve"> (סה ו) תי' דלא נחשב עי"ז 'מצי עביד' משום שיכול להפריש על של חבירו. דהתורם משלו על של חבירו הוה מטעם זכין ושליחות</w:t>
      </w:r>
      <w:r w:rsidRPr="00AF3214">
        <w:rPr>
          <w:rStyle w:val="ac"/>
          <w:rFonts w:ascii="Narkisim" w:hAnsi="Narkisim"/>
          <w:rtl/>
        </w:rPr>
        <w:footnoteReference w:id="6019"/>
      </w:r>
      <w:r w:rsidRPr="00AF3214">
        <w:rPr>
          <w:rFonts w:ascii="Narkisim" w:hAnsi="Narkisim"/>
        </w:rPr>
        <w:t xml:space="preserve">, </w:t>
      </w:r>
      <w:r w:rsidRPr="00AF3214">
        <w:rPr>
          <w:rFonts w:ascii="Narkisim" w:hAnsi="Narkisim"/>
          <w:rtl/>
        </w:rPr>
        <w:t>ובא מכח המשלח. ולא מהני להחשב מצי עבד שיוכל להפריש מכח עצמו [שרצה להפריש מעכשיו ולכשיבוא לרשותו]</w:t>
      </w:r>
      <w:r w:rsidRPr="00AF3214">
        <w:rPr>
          <w:rFonts w:ascii="Narkisim" w:hAnsi="Narkisim"/>
        </w:rPr>
        <w:t>.</w:t>
      </w:r>
    </w:p>
    <w:p w14:paraId="2EC1EBFD" w14:textId="77777777" w:rsidR="006C4368" w:rsidRPr="00AF3214" w:rsidRDefault="006C4368" w:rsidP="006C4368">
      <w:pPr>
        <w:pStyle w:val="a8"/>
        <w:bidi/>
        <w:rPr>
          <w:rFonts w:ascii="Narkisim" w:hAnsi="Narkisim"/>
        </w:rPr>
      </w:pPr>
      <w:r w:rsidRPr="00AF3214">
        <w:rPr>
          <w:rFonts w:ascii="Narkisim" w:hAnsi="Narkisim"/>
          <w:rtl/>
        </w:rPr>
        <w:t>ועוד תי' ה</w:t>
      </w:r>
      <w:r w:rsidRPr="00AF3214">
        <w:rPr>
          <w:rFonts w:ascii="Narkisim" w:hAnsi="Narkisim"/>
          <w:b/>
          <w:bCs/>
          <w:rtl/>
        </w:rPr>
        <w:t>גר"ח</w:t>
      </w:r>
      <w:r w:rsidRPr="00AF3214">
        <w:rPr>
          <w:rFonts w:ascii="Narkisim" w:hAnsi="Narkisim"/>
          <w:rtl/>
        </w:rPr>
        <w:t xml:space="preserve"> דהפירות שקיבל מיד האריס פטורין מדאורייתא מדין לקוח, וע"כ הפריש מפירות אחרים שלקח עליהם. וא"כ לא היה יכול להפריש מדין משלו על של חבירו, דבעוד הפירות ביד האריס עדיין לא חל בהם פטור לקוח. ול"מ להפריש מפירות הלקוחין שבידו</w:t>
      </w:r>
      <w:r w:rsidRPr="00AF3214">
        <w:rPr>
          <w:rFonts w:ascii="Narkisim" w:hAnsi="Narkisim"/>
        </w:rPr>
        <w:t>.</w:t>
      </w:r>
    </w:p>
    <w:p w14:paraId="608721C6" w14:textId="77777777" w:rsidR="006C4368" w:rsidRPr="00AF3214" w:rsidRDefault="006C4368" w:rsidP="006C4368">
      <w:pPr>
        <w:pStyle w:val="aa"/>
        <w:bidi/>
        <w:rPr>
          <w:rFonts w:ascii="Narkisim" w:hAnsi="Narkisim"/>
        </w:rPr>
      </w:pPr>
      <w:r w:rsidRPr="00AF3214">
        <w:rPr>
          <w:rFonts w:ascii="Narkisim" w:hAnsi="Narkisim"/>
          <w:u w:val="single"/>
          <w:rtl/>
        </w:rPr>
        <w:t>בא"ד ולא מסתבר לומר דלא חשיב הכא בידו לפי שהיה רחוק מהם, דאין נראה לחלק בין רחוק לקרוב</w:t>
      </w:r>
      <w:r w:rsidRPr="00AF3214">
        <w:rPr>
          <w:rFonts w:ascii="Narkisim" w:hAnsi="Narkisim"/>
          <w:rtl/>
        </w:rPr>
        <w:t>. לכאורה מבואר בתוס' דנחשב 'בידו' דמחוסר קריבה לאו כמחוסר מעשה. [ולא צריך שיהא בידו ממש במציאות]. אך יל"פ דמהני להפריש אף על דבר רחוק</w:t>
      </w:r>
      <w:r w:rsidRPr="00AF3214">
        <w:rPr>
          <w:rFonts w:ascii="Narkisim" w:hAnsi="Narkisim"/>
        </w:rPr>
        <w:t>.</w:t>
      </w:r>
    </w:p>
    <w:p w14:paraId="3B27931B" w14:textId="77777777" w:rsidR="006C4368" w:rsidRPr="00AF3214" w:rsidRDefault="006C4368" w:rsidP="006C4368">
      <w:pPr>
        <w:pStyle w:val="3"/>
        <w:bidi/>
        <w:rPr>
          <w:rFonts w:ascii="Narkisim" w:hAnsi="Narkisim"/>
        </w:rPr>
      </w:pPr>
      <w:r w:rsidRPr="00AF3214">
        <w:rPr>
          <w:rFonts w:ascii="Narkisim" w:hAnsi="Narkisim"/>
          <w:rtl/>
        </w:rPr>
        <w:t>דף צג</w:t>
      </w:r>
      <w:r w:rsidRPr="00AF3214">
        <w:rPr>
          <w:rFonts w:ascii="Narkisim" w:hAnsi="Narkisim"/>
        </w:rPr>
        <w:t>:</w:t>
      </w:r>
    </w:p>
    <w:p w14:paraId="7843350B" w14:textId="77777777" w:rsidR="006C4368" w:rsidRPr="00AF3214" w:rsidRDefault="006C4368" w:rsidP="006C4368">
      <w:pPr>
        <w:pStyle w:val="aa"/>
        <w:bidi/>
        <w:rPr>
          <w:rFonts w:ascii="Narkisim" w:hAnsi="Narkisim"/>
        </w:rPr>
      </w:pPr>
      <w:r w:rsidRPr="00AF3214">
        <w:rPr>
          <w:rFonts w:ascii="Narkisim" w:hAnsi="Narkisim"/>
          <w:u w:val="single"/>
          <w:rtl/>
        </w:rPr>
        <w:t>אלא לאו כה"ג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דמעשר על מה שעתיד לבא. ומפריש תרומה שיחול בשבת. וב</w:t>
      </w:r>
      <w:r w:rsidRPr="00AF3214">
        <w:rPr>
          <w:rFonts w:ascii="Narkisim" w:hAnsi="Narkisim"/>
          <w:b/>
          <w:bCs/>
          <w:rtl/>
        </w:rPr>
        <w:t>שו"ת רע"א</w:t>
      </w:r>
      <w:r w:rsidRPr="00AF3214">
        <w:rPr>
          <w:rFonts w:ascii="Narkisim" w:hAnsi="Narkisim"/>
          <w:rtl/>
        </w:rPr>
        <w:t xml:space="preserve"> (ק' קנט) נסתפק האם מותר למכור חפץ בערב שבת, ולומר תקנה לך למחר. דבשבת נגמר הקנין. האם הוה בכלל הגזירה דמקח וממכר בשבת</w:t>
      </w:r>
      <w:r w:rsidRPr="00AF3214">
        <w:rPr>
          <w:rStyle w:val="ac"/>
          <w:rFonts w:ascii="Narkisim" w:hAnsi="Narkisim"/>
          <w:rtl/>
        </w:rPr>
        <w:footnoteReference w:id="6020"/>
      </w:r>
      <w:r w:rsidRPr="00AF3214">
        <w:rPr>
          <w:rFonts w:ascii="Narkisim" w:hAnsi="Narkisim"/>
        </w:rPr>
        <w:t>.</w:t>
      </w:r>
    </w:p>
    <w:p w14:paraId="4556D6B7" w14:textId="77777777" w:rsidR="006C4368" w:rsidRPr="00AF3214" w:rsidRDefault="006C4368" w:rsidP="006C4368">
      <w:pPr>
        <w:pStyle w:val="a8"/>
        <w:bidi/>
        <w:rPr>
          <w:rFonts w:ascii="Narkisim" w:hAnsi="Narkisim"/>
        </w:rPr>
      </w:pPr>
      <w:r w:rsidRPr="00AF3214">
        <w:rPr>
          <w:rFonts w:ascii="Narkisim" w:hAnsi="Narkisim"/>
          <w:rtl/>
        </w:rPr>
        <w:t>ויש שהביאו דבסוגיין מבואר דמותר להפריש תרומה שיחול בשבת, ולא הוה בכלל גזירה דהפרשת תרומה בשבת. וצ"ע אמאי לא הביא מסוגיין. ויש שתי' דבסוגיין עושה מעכשיו בדבר שלא בא לעולם. ואין חסרון במה שגמר הקנין הוה בשבת</w:t>
      </w:r>
      <w:r w:rsidRPr="00AF3214">
        <w:rPr>
          <w:rFonts w:ascii="Narkisim" w:hAnsi="Narkisim"/>
        </w:rPr>
        <w:t>.</w:t>
      </w:r>
    </w:p>
    <w:p w14:paraId="2F77FDBA" w14:textId="77777777" w:rsidR="006C4368" w:rsidRPr="00AF3214" w:rsidRDefault="006C4368" w:rsidP="006C4368">
      <w:pPr>
        <w:bidi/>
        <w:rPr>
          <w:rFonts w:ascii="Narkisim" w:hAnsi="Narkisim" w:cs="Narkisim"/>
        </w:rPr>
      </w:pPr>
      <w:r w:rsidRPr="00AF3214">
        <w:rPr>
          <w:rFonts w:ascii="Narkisim" w:hAnsi="Narkisim" w:cs="Narkisim"/>
          <w:u w:val="single"/>
          <w:rtl/>
        </w:rPr>
        <w:t>תוד"ה אלא</w:t>
      </w:r>
      <w:r w:rsidRPr="00AF3214">
        <w:rPr>
          <w:rFonts w:ascii="Narkisim" w:hAnsi="Narkisim" w:cs="Narkisim"/>
          <w:rtl/>
        </w:rPr>
        <w:t>. דאתא קרא למישרי שלא מן המוקף</w:t>
      </w:r>
      <w:r w:rsidRPr="00AF3214">
        <w:rPr>
          <w:rStyle w:val="ac"/>
          <w:rFonts w:ascii="Narkisim" w:hAnsi="Narkisim" w:cs="Narkisim"/>
          <w:rtl/>
        </w:rPr>
        <w:footnoteReference w:id="6021"/>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 xml:space="preserve">רמב"ן </w:t>
      </w:r>
      <w:r w:rsidRPr="00AF3214">
        <w:rPr>
          <w:rFonts w:ascii="Narkisim" w:hAnsi="Narkisim" w:cs="Narkisim"/>
          <w:rtl/>
        </w:rPr>
        <w:t xml:space="preserve">חלק דאין בזה חסרון שלא </w:t>
      </w:r>
      <w:r w:rsidRPr="00AF3214">
        <w:rPr>
          <w:rFonts w:ascii="Narkisim" w:hAnsi="Narkisim" w:cs="Narkisim"/>
          <w:rtl/>
        </w:rPr>
        <w:lastRenderedPageBreak/>
        <w:t>מן המוקף. דהא ר' ינאי סבר דאדם מקנה דבר שלא בא לעולם, שיהא קנין חל עליו כשיבא לעולם. הלכך מפרישין תרו"מ על מה שלא בא לעולם לכשיבא לעולם ויקיף. והתרו"מ חלין בדבר שבעולם ומוקף</w:t>
      </w:r>
      <w:r w:rsidRPr="00AF3214">
        <w:rPr>
          <w:rStyle w:val="ac"/>
          <w:rFonts w:ascii="Narkisim" w:hAnsi="Narkisim" w:cs="Narkisim"/>
          <w:rtl/>
        </w:rPr>
        <w:footnoteReference w:id="6022"/>
      </w:r>
      <w:r w:rsidRPr="00AF3214">
        <w:rPr>
          <w:rFonts w:ascii="Narkisim" w:hAnsi="Narkisim" w:cs="Narkisim"/>
        </w:rPr>
        <w:t>.</w:t>
      </w:r>
    </w:p>
    <w:p w14:paraId="294D9AD8" w14:textId="77777777" w:rsidR="006C4368" w:rsidRPr="00AF3214" w:rsidRDefault="006C4368" w:rsidP="006C4368">
      <w:pPr>
        <w:pStyle w:val="a7"/>
        <w:bidi/>
        <w:rPr>
          <w:rFonts w:ascii="Narkisim" w:hAnsi="Narkisim"/>
        </w:rPr>
      </w:pPr>
      <w:r w:rsidRPr="00AF3214">
        <w:rPr>
          <w:rFonts w:ascii="Narkisim" w:hAnsi="Narkisim"/>
          <w:rtl/>
        </w:rPr>
        <w:t>ומבואר דדעת התוס' דאף כה"ג שלא מן המוקף. דתלי בשעת מעשה הפרשה</w:t>
      </w:r>
      <w:r w:rsidRPr="00AF3214">
        <w:rPr>
          <w:rFonts w:ascii="Narkisim" w:hAnsi="Narkisim"/>
        </w:rPr>
        <w:t>.</w:t>
      </w:r>
    </w:p>
    <w:p w14:paraId="213A14E1" w14:textId="77777777" w:rsidR="006C4368" w:rsidRPr="00AF3214" w:rsidRDefault="006C4368" w:rsidP="006C4368">
      <w:pPr>
        <w:pStyle w:val="aa"/>
        <w:bidi/>
        <w:rPr>
          <w:rFonts w:ascii="Narkisim" w:hAnsi="Narkisim"/>
        </w:rPr>
      </w:pPr>
      <w:r w:rsidRPr="00AF3214">
        <w:rPr>
          <w:rFonts w:ascii="Narkisim" w:hAnsi="Narkisim"/>
          <w:u w:val="single"/>
          <w:rtl/>
        </w:rPr>
        <w:t>שם. ומישרי שלא מן המוקף</w:t>
      </w:r>
      <w:r w:rsidRPr="00AF3214">
        <w:rPr>
          <w:rFonts w:ascii="Narkisim" w:hAnsi="Narkisim"/>
          <w:rtl/>
        </w:rPr>
        <w:t>. ה</w:t>
      </w:r>
      <w:r w:rsidRPr="00AF3214">
        <w:rPr>
          <w:rFonts w:ascii="Narkisim" w:hAnsi="Narkisim"/>
          <w:b/>
          <w:bCs/>
          <w:rtl/>
        </w:rPr>
        <w:t>שואל</w:t>
      </w:r>
      <w:r w:rsidRPr="00AF3214">
        <w:rPr>
          <w:rFonts w:ascii="Narkisim" w:hAnsi="Narkisim"/>
          <w:rtl/>
        </w:rPr>
        <w:t xml:space="preserve"> בשו"ת הרשב"א (א קכז) הק' היכי התירו איסור דאוריתא דשלא מן המוקף משום עונג שבת</w:t>
      </w:r>
      <w:r w:rsidRPr="00AF3214">
        <w:rPr>
          <w:rStyle w:val="ac"/>
          <w:rFonts w:ascii="Narkisim" w:hAnsi="Narkisim"/>
          <w:rtl/>
        </w:rPr>
        <w:footnoteReference w:id="6023"/>
      </w:r>
      <w:r w:rsidRPr="00AF3214">
        <w:rPr>
          <w:rFonts w:ascii="Narkisim" w:hAnsi="Narkisim"/>
        </w:rPr>
        <w:t xml:space="preserve">. </w:t>
      </w:r>
      <w:r w:rsidRPr="00AF3214">
        <w:rPr>
          <w:rFonts w:ascii="Narkisim" w:hAnsi="Narkisim"/>
          <w:rtl/>
        </w:rPr>
        <w:t>וה</w:t>
      </w:r>
      <w:r w:rsidRPr="00AF3214">
        <w:rPr>
          <w:rFonts w:ascii="Narkisim" w:hAnsi="Narkisim"/>
          <w:b/>
          <w:bCs/>
          <w:rtl/>
        </w:rPr>
        <w:t>רשב"א</w:t>
      </w:r>
      <w:r w:rsidRPr="00AF3214">
        <w:rPr>
          <w:rFonts w:ascii="Narkisim" w:hAnsi="Narkisim"/>
          <w:rtl/>
        </w:rPr>
        <w:t xml:space="preserve"> השיב דהתורה התירתה מדכתיב תלמד ליראה כל הימים. ועוד דאפי' ליכא קרא ל"ק מידי, דאשכחן בכ"מ דחכמים דחו בידים אפי' לאו הבא מכלל עשה לצורך</w:t>
      </w:r>
      <w:r w:rsidRPr="00AF3214">
        <w:rPr>
          <w:rStyle w:val="ac"/>
          <w:rFonts w:ascii="Narkisim" w:hAnsi="Narkisim"/>
          <w:rtl/>
        </w:rPr>
        <w:footnoteReference w:id="6024"/>
      </w:r>
      <w:r w:rsidRPr="00AF3214">
        <w:rPr>
          <w:rFonts w:ascii="Narkisim" w:hAnsi="Narkisim"/>
        </w:rPr>
        <w:t xml:space="preserve">. </w:t>
      </w:r>
      <w:r w:rsidRPr="00AF3214">
        <w:rPr>
          <w:rFonts w:ascii="Narkisim" w:hAnsi="Narkisim"/>
          <w:rtl/>
        </w:rPr>
        <w:t>ופעמים דוחין עשה מפני עשה הכל לפי שהוא ענין. ומש"ה אין לתמוה אם התירו לפעמים דברים כאלו מפני עונג שבת</w:t>
      </w:r>
      <w:r w:rsidRPr="00AF3214">
        <w:rPr>
          <w:rFonts w:ascii="Narkisim" w:hAnsi="Narkisim"/>
        </w:rPr>
        <w:t>.</w:t>
      </w:r>
    </w:p>
    <w:p w14:paraId="4C3FCF5C" w14:textId="77777777" w:rsidR="006C4368" w:rsidRPr="00AF3214" w:rsidRDefault="006C4368" w:rsidP="006C4368">
      <w:pPr>
        <w:pStyle w:val="a8"/>
        <w:bidi/>
        <w:rPr>
          <w:rFonts w:ascii="Narkisim" w:hAnsi="Narkisim"/>
        </w:rPr>
      </w:pPr>
      <w:r w:rsidRPr="00AF3214">
        <w:rPr>
          <w:rFonts w:ascii="Narkisim" w:hAnsi="Narkisim"/>
          <w:rtl/>
        </w:rPr>
        <w:t>וכת' דאין להקשות דהחמירו בהפרשת תרומה ומעשרות בשבת [אף דמבטל עי"ז עונג שבת]. דהרבה עשו חזוק לדבריהם יותר משל תורה. שהרי לא התירו שבות אפילו במקום כרת כגון הזאה ואיזמל</w:t>
      </w:r>
      <w:r w:rsidRPr="00AF3214">
        <w:rPr>
          <w:rFonts w:ascii="Narkisim" w:hAnsi="Narkisim"/>
        </w:rPr>
        <w:t>.</w:t>
      </w:r>
    </w:p>
    <w:p w14:paraId="4702CB2C" w14:textId="77777777" w:rsidR="006C4368" w:rsidRPr="00AF3214" w:rsidRDefault="006C4368" w:rsidP="006C4368">
      <w:pPr>
        <w:pStyle w:val="aa"/>
        <w:bidi/>
        <w:rPr>
          <w:rFonts w:ascii="Narkisim" w:hAnsi="Narkisim"/>
        </w:rPr>
      </w:pPr>
      <w:r w:rsidRPr="00AF3214">
        <w:rPr>
          <w:rFonts w:ascii="Narkisim" w:hAnsi="Narkisim"/>
          <w:u w:val="single"/>
          <w:rtl/>
        </w:rPr>
        <w:t>בא"ד וא"ת בהאי עובדא דר' ינאי וכו' דמדאורייתא יכול לתרום למחר מן המוקף וכו'</w:t>
      </w:r>
      <w:r w:rsidRPr="00AF3214">
        <w:rPr>
          <w:rFonts w:ascii="Narkisim" w:hAnsi="Narkisim"/>
          <w:rtl/>
        </w:rPr>
        <w:t>. ויל"ד דמאחר דחכמים אסרו לעשר למחר בשבת, א"כ עכשיו אין לו עצה אלא לעשר שלא מהמוקף. ונימא דמש"ה הותר לכבוד שבת. [כיון דאשכחן דהתירה תורה היכא דפירותיו רחוקין, וכמ"ש תוס']</w:t>
      </w:r>
      <w:r w:rsidRPr="00AF3214">
        <w:rPr>
          <w:rFonts w:ascii="Narkisim" w:hAnsi="Narkisim"/>
        </w:rPr>
        <w:t>.</w:t>
      </w:r>
    </w:p>
    <w:p w14:paraId="51392D27" w14:textId="77777777" w:rsidR="006C4368" w:rsidRPr="00AF3214" w:rsidRDefault="006C4368" w:rsidP="006C4368">
      <w:pPr>
        <w:pStyle w:val="a8"/>
        <w:bidi/>
        <w:rPr>
          <w:rFonts w:ascii="Narkisim" w:hAnsi="Narkisim"/>
        </w:rPr>
      </w:pPr>
      <w:r w:rsidRPr="00AF3214">
        <w:rPr>
          <w:rFonts w:ascii="Narkisim" w:hAnsi="Narkisim"/>
          <w:rtl/>
        </w:rPr>
        <w:t>ודוחק דקו' התוס' דטפי יש לנו להתיר איסור מעשר בשבת מאיסור שלא מהמוקף דאורייתא. דבכ"מ אשכחן דלא פלוג רבנן [ויש כח בידם אף לעקור דאורייתא בשב ואל תעשה], והעמידו דבריהם אף במקום שעי"ז יבוא חומרא דאורייתא</w:t>
      </w:r>
      <w:r w:rsidRPr="00AF3214">
        <w:rPr>
          <w:rFonts w:ascii="Narkisim" w:hAnsi="Narkisim"/>
        </w:rPr>
        <w:t>.</w:t>
      </w:r>
    </w:p>
    <w:p w14:paraId="198606AA" w14:textId="77777777" w:rsidR="006C4368" w:rsidRPr="00AF3214" w:rsidRDefault="006C4368" w:rsidP="006C4368">
      <w:pPr>
        <w:pStyle w:val="aa"/>
        <w:bidi/>
        <w:rPr>
          <w:rFonts w:ascii="Narkisim" w:hAnsi="Narkisim"/>
        </w:rPr>
      </w:pPr>
      <w:r w:rsidRPr="00AF3214">
        <w:rPr>
          <w:rFonts w:ascii="Narkisim" w:hAnsi="Narkisim"/>
          <w:u w:val="single"/>
          <w:rtl/>
        </w:rPr>
        <w:t>תוד"ה לאחר</w:t>
      </w:r>
      <w:r w:rsidRPr="00AF3214">
        <w:rPr>
          <w:rFonts w:ascii="Narkisim" w:hAnsi="Narkisim"/>
          <w:rtl/>
        </w:rPr>
        <w:t>. שמעינן נמי 'לדבר' שלבל"ע כגון לאחר שאתגייר. שהמקדש עדיין לא נתגייר, ונחשב דלא בא לעולם. וה</w:t>
      </w:r>
      <w:r w:rsidRPr="00AF3214">
        <w:rPr>
          <w:rFonts w:ascii="Narkisim" w:hAnsi="Narkisim"/>
          <w:b/>
          <w:bCs/>
          <w:rtl/>
        </w:rPr>
        <w:t>אבנ"מ</w:t>
      </w:r>
      <w:r w:rsidRPr="00AF3214">
        <w:rPr>
          <w:rFonts w:ascii="Narkisim" w:hAnsi="Narkisim"/>
          <w:rtl/>
        </w:rPr>
        <w:t xml:space="preserve"> (מג א) תי' דקידושין לא נחשב קנין 'לדבר' שלבל"ע, שהאשה אינה מקנה עצמה לבעל</w:t>
      </w:r>
      <w:r w:rsidRPr="00AF3214">
        <w:rPr>
          <w:rStyle w:val="ac"/>
          <w:rFonts w:ascii="Narkisim" w:hAnsi="Narkisim"/>
          <w:rtl/>
        </w:rPr>
        <w:footnoteReference w:id="6025"/>
      </w:r>
      <w:r w:rsidRPr="00AF3214">
        <w:rPr>
          <w:rFonts w:ascii="Narkisim" w:hAnsi="Narkisim"/>
        </w:rPr>
        <w:t xml:space="preserve"> </w:t>
      </w:r>
      <w:r w:rsidRPr="00AF3214">
        <w:rPr>
          <w:rFonts w:ascii="Narkisim" w:hAnsi="Narkisim"/>
          <w:rtl/>
        </w:rPr>
        <w:t>[אלא מפקרת עצמה, וכמ"ש הר"ן נדרים ל.]. אך שוב דן דאף כלפי המקדש הוה 'ל'דבר שלבל"ע, ולא מצי קני לאשה לעצמו</w:t>
      </w:r>
      <w:r w:rsidRPr="00AF3214">
        <w:rPr>
          <w:rFonts w:ascii="Narkisim" w:hAnsi="Narkisim"/>
        </w:rPr>
        <w:t>.</w:t>
      </w:r>
    </w:p>
    <w:p w14:paraId="45BA64E6" w14:textId="77777777" w:rsidR="006C4368" w:rsidRPr="00AF3214" w:rsidRDefault="006C4368" w:rsidP="006C4368">
      <w:pPr>
        <w:pStyle w:val="aa"/>
        <w:bidi/>
        <w:rPr>
          <w:rFonts w:ascii="Narkisim" w:hAnsi="Narkisim"/>
        </w:rPr>
      </w:pPr>
      <w:r w:rsidRPr="00AF3214">
        <w:rPr>
          <w:rFonts w:ascii="Narkisim" w:hAnsi="Narkisim"/>
          <w:u w:val="single"/>
          <w:rtl/>
        </w:rPr>
        <w:t>בא"ד ואור"י דלא חשיב לאחר שאתגייר לא בא לעולם כ"כ, כיון שהגוף הוא בעולם וכו</w:t>
      </w:r>
      <w:r w:rsidRPr="00AF3214">
        <w:rPr>
          <w:rFonts w:ascii="Narkisim" w:hAnsi="Narkisim"/>
          <w:rtl/>
        </w:rPr>
        <w:t>'. ואף דנחשב 'דבר שלא בא לעולם', מ"מ כיון דהגוף בעולם אין בו את החסרון של 'ל'דבר שלא בא לעולם</w:t>
      </w:r>
      <w:r w:rsidRPr="00AF3214">
        <w:rPr>
          <w:rFonts w:ascii="Narkisim" w:hAnsi="Narkisim"/>
        </w:rPr>
        <w:t>.</w:t>
      </w:r>
    </w:p>
    <w:p w14:paraId="1ABDADCA" w14:textId="77777777" w:rsidR="006C4368" w:rsidRPr="00AF3214" w:rsidRDefault="006C4368" w:rsidP="006C4368">
      <w:pPr>
        <w:bidi/>
        <w:rPr>
          <w:rFonts w:ascii="Narkisim" w:hAnsi="Narkisim" w:cs="Narkisim"/>
        </w:rPr>
      </w:pPr>
      <w:r w:rsidRPr="00AF3214">
        <w:rPr>
          <w:rFonts w:ascii="Narkisim" w:hAnsi="Narkisim" w:cs="Narkisim"/>
          <w:u w:val="single"/>
          <w:rtl/>
        </w:rPr>
        <w:t>בא"ד ואר"י שבענין זה תי' הר"א משנזא וכו' דלא בעינן עבידי דאתו אלא בדבר שאין בעולם כלל וכו</w:t>
      </w:r>
      <w:r w:rsidRPr="00AF3214">
        <w:rPr>
          <w:rFonts w:ascii="Narkisim" w:hAnsi="Narkisim" w:cs="Narkisim"/>
          <w:rtl/>
        </w:rPr>
        <w:t>'. (והו' בתוס' ב"ב עט: וכתובות נח:)</w:t>
      </w:r>
      <w:r w:rsidRPr="00AF3214">
        <w:rPr>
          <w:rFonts w:ascii="Narkisim" w:hAnsi="Narkisim" w:cs="Narkisim"/>
        </w:rPr>
        <w:t>.</w:t>
      </w:r>
    </w:p>
    <w:p w14:paraId="79C0D6E0"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הוכיחו מלאחר שתתגיירי ותשתחרר, ולאחר שתמות אחותך, אמאי הוה עבידא דאתו. אלא כיון דהגוף בעולם ל"צ עבידא דאתו. אבל </w:t>
      </w:r>
      <w:r w:rsidRPr="00AF3214">
        <w:rPr>
          <w:rFonts w:ascii="Narkisim" w:hAnsi="Narkisim"/>
          <w:b/>
          <w:bCs/>
          <w:rtl/>
        </w:rPr>
        <w:t>רשב"ם</w:t>
      </w:r>
      <w:r w:rsidRPr="00AF3214">
        <w:rPr>
          <w:rFonts w:ascii="Narkisim" w:hAnsi="Narkisim"/>
          <w:rtl/>
        </w:rPr>
        <w:t xml:space="preserve"> (ב"ב שם) תי' דאיירי דעבידי דאתו, שהבטיחו רבו לשחררו. ו</w:t>
      </w:r>
      <w:r w:rsidRPr="00AF3214">
        <w:rPr>
          <w:rFonts w:ascii="Narkisim" w:hAnsi="Narkisim"/>
          <w:b/>
          <w:bCs/>
          <w:rtl/>
        </w:rPr>
        <w:t>תוס</w:t>
      </w:r>
      <w:r w:rsidRPr="00AF3214">
        <w:rPr>
          <w:rFonts w:ascii="Narkisim" w:hAnsi="Narkisim"/>
          <w:rtl/>
        </w:rPr>
        <w:t>' (ב"ב) הביאו בשם ריב"ן דאיירי בחצי שפחה ונהגו מנהג הפקר שכופין לשחרר, ובעליך ואחותך איירי בגוססין. ותוס' תי' די"ל דאיירי בחולים וזקנים</w:t>
      </w:r>
      <w:r w:rsidRPr="00AF3214">
        <w:rPr>
          <w:rFonts w:ascii="Narkisim" w:hAnsi="Narkisim"/>
        </w:rPr>
        <w:t>.</w:t>
      </w:r>
    </w:p>
    <w:p w14:paraId="76004DED" w14:textId="77777777" w:rsidR="006C4368" w:rsidRPr="00AF3214" w:rsidRDefault="006C4368" w:rsidP="006C4368">
      <w:pPr>
        <w:pStyle w:val="a8"/>
        <w:bidi/>
        <w:rPr>
          <w:rFonts w:ascii="Narkisim" w:hAnsi="Narkisim"/>
        </w:rPr>
      </w:pPr>
      <w:r w:rsidRPr="00AF3214">
        <w:rPr>
          <w:rFonts w:ascii="Narkisim" w:hAnsi="Narkisim"/>
          <w:rtl/>
        </w:rPr>
        <w:t>ועוד תי' ה</w:t>
      </w:r>
      <w:r w:rsidRPr="00AF3214">
        <w:rPr>
          <w:rFonts w:ascii="Narkisim" w:hAnsi="Narkisim"/>
          <w:b/>
          <w:bCs/>
          <w:rtl/>
        </w:rPr>
        <w:t>תוס</w:t>
      </w:r>
      <w:r w:rsidRPr="00AF3214">
        <w:rPr>
          <w:rFonts w:ascii="Narkisim" w:hAnsi="Narkisim"/>
          <w:rtl/>
        </w:rPr>
        <w:t>' דכל היכא דהוה חד מי יימר נחשב עבידא דאתו [אף במידי דלא שכיח]</w:t>
      </w:r>
      <w:r w:rsidRPr="00AF3214">
        <w:rPr>
          <w:rFonts w:ascii="Narkisim" w:hAnsi="Narkisim"/>
        </w:rPr>
        <w:t>.</w:t>
      </w:r>
    </w:p>
    <w:p w14:paraId="04BA755D"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xml:space="preserve"> יש לדון מה החסרון לר' מאיר בדבר דלא עבידי דאתו, האם בזה מודה ר' מאיר לרבנן דנחשב דבר שלא בא לעולם [וא"כ תלי בצדדים אי יש חסרון בקנין, או משום גמירות דעת]. או דלא עבידא דאתו הוה סברא בגדרי הקנינים לכו"ע</w:t>
      </w:r>
      <w:r w:rsidRPr="00AF3214">
        <w:rPr>
          <w:rFonts w:ascii="Narkisim" w:hAnsi="Narkisim"/>
        </w:rPr>
        <w:t>.</w:t>
      </w:r>
    </w:p>
    <w:p w14:paraId="0035126F" w14:textId="77777777" w:rsidR="006C4368" w:rsidRPr="00AF3214" w:rsidRDefault="006C4368" w:rsidP="006C4368">
      <w:pPr>
        <w:pStyle w:val="2"/>
        <w:bidi/>
        <w:rPr>
          <w:rFonts w:ascii="Narkisim" w:hAnsi="Narkisim"/>
        </w:rPr>
      </w:pPr>
      <w:r w:rsidRPr="00AF3214">
        <w:rPr>
          <w:rFonts w:ascii="Narkisim" w:hAnsi="Narkisim"/>
          <w:rtl/>
        </w:rPr>
        <w:t>עד א' ביבמה</w:t>
      </w:r>
    </w:p>
    <w:p w14:paraId="0F10CECB" w14:textId="77777777" w:rsidR="006C4368" w:rsidRPr="00AF3214" w:rsidRDefault="006C4368" w:rsidP="006C4368">
      <w:pPr>
        <w:bidi/>
        <w:rPr>
          <w:rFonts w:ascii="Narkisim" w:hAnsi="Narkisim" w:cs="Narkisim"/>
        </w:rPr>
      </w:pPr>
      <w:r w:rsidRPr="00AF3214">
        <w:rPr>
          <w:rFonts w:ascii="Narkisim" w:hAnsi="Narkisim" w:cs="Narkisim"/>
          <w:u w:val="single"/>
          <w:rtl/>
        </w:rPr>
        <w:t>עד א' ביבמה מהו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שמעיד שמת בעלה כדי שתתייבם. ובמשנה (לקמן קיד:, הו' בסמוך) אי' דאשה נאמנת לומר שמת בעלה, ועי"ז תתייבם. משום דייקא ומינסבא</w:t>
      </w:r>
      <w:r w:rsidRPr="00AF3214">
        <w:rPr>
          <w:rStyle w:val="ac"/>
          <w:rFonts w:ascii="Narkisim" w:hAnsi="Narkisim" w:cs="Narkisim"/>
          <w:rtl/>
        </w:rPr>
        <w:footnoteReference w:id="6026"/>
      </w:r>
      <w:r w:rsidRPr="00AF3214">
        <w:rPr>
          <w:rFonts w:ascii="Narkisim" w:hAnsi="Narkisim" w:cs="Narkisim"/>
        </w:rPr>
        <w:t xml:space="preserve">. </w:t>
      </w:r>
      <w:r w:rsidRPr="00AF3214">
        <w:rPr>
          <w:rFonts w:ascii="Narkisim" w:hAnsi="Narkisim" w:cs="Narkisim"/>
          <w:rtl/>
        </w:rPr>
        <w:t>וספק הגמ' כשעד א' מעיד, האם סמכינן אהא דדייקא ומינסבא</w:t>
      </w:r>
      <w:r w:rsidRPr="00AF3214">
        <w:rPr>
          <w:rFonts w:ascii="Narkisim" w:hAnsi="Narkisim" w:cs="Narkisim"/>
        </w:rPr>
        <w:t>.</w:t>
      </w:r>
    </w:p>
    <w:p w14:paraId="12DA0A82" w14:textId="77777777" w:rsidR="006C4368" w:rsidRPr="00AF3214" w:rsidRDefault="006C4368" w:rsidP="006C4368">
      <w:pPr>
        <w:bidi/>
        <w:rPr>
          <w:rFonts w:ascii="Narkisim" w:hAnsi="Narkisim" w:cs="Narkisim"/>
        </w:rPr>
      </w:pPr>
      <w:r w:rsidRPr="00AF3214">
        <w:rPr>
          <w:rFonts w:ascii="Narkisim" w:hAnsi="Narkisim" w:cs="Narkisim"/>
          <w:u w:val="single"/>
          <w:rtl/>
        </w:rPr>
        <w:t>טעמא דע"א משום דמילתא דעבידא לאיגלויי וכו'</w:t>
      </w:r>
      <w:r w:rsidRPr="00AF3214">
        <w:rPr>
          <w:rFonts w:ascii="Narkisim" w:hAnsi="Narkisim" w:cs="Narkisim"/>
          <w:rtl/>
        </w:rPr>
        <w:t>. וב</w:t>
      </w:r>
      <w:r w:rsidRPr="00AF3214">
        <w:rPr>
          <w:rFonts w:ascii="Narkisim" w:hAnsi="Narkisim" w:cs="Narkisim"/>
          <w:b/>
          <w:bCs/>
          <w:rtl/>
        </w:rPr>
        <w:t>תוס' חד מקמאי</w:t>
      </w:r>
      <w:r w:rsidRPr="00AF3214">
        <w:rPr>
          <w:rFonts w:ascii="Narkisim" w:hAnsi="Narkisim" w:cs="Narkisim"/>
          <w:rtl/>
        </w:rPr>
        <w:t xml:space="preserve"> כת' דאע"ג דעד א' אינו נאמן לומר שמתה אשתו שישא אחותה (כדאי' צד.), אף דהוה מילתא דעבידא לאיגלויי. ובגמ' (צד.) מבואר דהטעם משום עיגונא. וכ"כ </w:t>
      </w:r>
      <w:r w:rsidRPr="00AF3214">
        <w:rPr>
          <w:rFonts w:ascii="Narkisim" w:hAnsi="Narkisim" w:cs="Narkisim"/>
          <w:b/>
          <w:bCs/>
          <w:rtl/>
        </w:rPr>
        <w:t>תוס</w:t>
      </w:r>
      <w:r w:rsidRPr="00AF3214">
        <w:rPr>
          <w:rFonts w:ascii="Narkisim" w:hAnsi="Narkisim" w:cs="Narkisim"/>
          <w:rtl/>
        </w:rPr>
        <w:t>' (בכורות לו: ד"ה והלכתא, בחד תי')</w:t>
      </w:r>
      <w:r w:rsidRPr="00AF3214">
        <w:rPr>
          <w:rFonts w:ascii="Narkisim" w:hAnsi="Narkisim" w:cs="Narkisim"/>
        </w:rPr>
        <w:t>.</w:t>
      </w:r>
    </w:p>
    <w:p w14:paraId="51D1C704" w14:textId="77777777" w:rsidR="006C4368" w:rsidRPr="00AF3214" w:rsidRDefault="006C4368" w:rsidP="006C4368">
      <w:pPr>
        <w:pStyle w:val="a8"/>
        <w:bidi/>
        <w:rPr>
          <w:rFonts w:ascii="Narkisim" w:hAnsi="Narkisim"/>
        </w:rPr>
      </w:pPr>
      <w:r w:rsidRPr="00AF3214">
        <w:rPr>
          <w:rFonts w:ascii="Narkisim" w:hAnsi="Narkisim"/>
          <w:rtl/>
        </w:rPr>
        <w:lastRenderedPageBreak/>
        <w:t>וע"פ ה</w:t>
      </w:r>
      <w:r w:rsidRPr="00AF3214">
        <w:rPr>
          <w:rFonts w:ascii="Narkisim" w:hAnsi="Narkisim"/>
          <w:b/>
          <w:bCs/>
          <w:rtl/>
        </w:rPr>
        <w:t>ריטב"א</w:t>
      </w:r>
      <w:r w:rsidRPr="00AF3214">
        <w:rPr>
          <w:rFonts w:ascii="Narkisim" w:hAnsi="Narkisim"/>
          <w:rtl/>
        </w:rPr>
        <w:t xml:space="preserve"> (לעיל פח.) י"ל דבאמת מדאורייתא נאמן, אלא דרבנן החמירו בעריות, דבזה לא שייך עיגונא</w:t>
      </w:r>
      <w:r w:rsidRPr="00AF3214">
        <w:rPr>
          <w:rFonts w:ascii="Narkisim" w:hAnsi="Narkisim"/>
        </w:rPr>
        <w:t>.</w:t>
      </w:r>
    </w:p>
    <w:p w14:paraId="77CCD3C6" w14:textId="77777777" w:rsidR="006C4368" w:rsidRPr="00AF3214" w:rsidRDefault="006C4368" w:rsidP="006C4368">
      <w:pPr>
        <w:pStyle w:val="aa"/>
        <w:bidi/>
        <w:rPr>
          <w:rFonts w:ascii="Narkisim" w:hAnsi="Narkisim"/>
        </w:rPr>
      </w:pPr>
      <w:r w:rsidRPr="00AF3214">
        <w:rPr>
          <w:rFonts w:ascii="Narkisim" w:hAnsi="Narkisim"/>
          <w:rtl/>
        </w:rPr>
        <w:t>ומדברי ה</w:t>
      </w:r>
      <w:r w:rsidRPr="00AF3214">
        <w:rPr>
          <w:rFonts w:ascii="Narkisim" w:hAnsi="Narkisim"/>
          <w:b/>
          <w:bCs/>
          <w:rtl/>
        </w:rPr>
        <w:t>רמ"ך</w:t>
      </w:r>
      <w:r w:rsidRPr="00AF3214">
        <w:rPr>
          <w:rFonts w:ascii="Narkisim" w:hAnsi="Narkisim"/>
          <w:rtl/>
        </w:rPr>
        <w:t xml:space="preserve"> (לרמב"ם סו"ה גירושין יג כט) משמע דדוקא עד כשר מהני משום עבידא לאיגלויי, ואילו אשה ועבד ועד פסול מהני רק משום עיגונא, ומשום דייקא ומינסבא</w:t>
      </w:r>
      <w:r w:rsidRPr="00AF3214">
        <w:rPr>
          <w:rStyle w:val="ac"/>
          <w:rFonts w:ascii="Narkisim" w:hAnsi="Narkisim"/>
          <w:rtl/>
        </w:rPr>
        <w:footnoteReference w:id="6027"/>
      </w:r>
      <w:r w:rsidRPr="00AF3214">
        <w:rPr>
          <w:rFonts w:ascii="Narkisim" w:hAnsi="Narkisim"/>
        </w:rPr>
        <w:t xml:space="preserve">. </w:t>
      </w:r>
      <w:r w:rsidRPr="00AF3214">
        <w:rPr>
          <w:rFonts w:ascii="Narkisim" w:hAnsi="Narkisim"/>
          <w:rtl/>
        </w:rPr>
        <w:t>אבל ה</w:t>
      </w:r>
      <w:r w:rsidRPr="00AF3214">
        <w:rPr>
          <w:rFonts w:ascii="Narkisim" w:hAnsi="Narkisim"/>
          <w:b/>
          <w:bCs/>
          <w:rtl/>
        </w:rPr>
        <w:t>שו"ע</w:t>
      </w:r>
      <w:r w:rsidRPr="00AF3214">
        <w:rPr>
          <w:rFonts w:ascii="Narkisim" w:hAnsi="Narkisim"/>
          <w:rtl/>
        </w:rPr>
        <w:t xml:space="preserve"> (קנח ג) פסק דאפי' עבד ושפחה ועכו"ם מסל"ת נאמן. וככל דיני עד א' במיתת הבעל</w:t>
      </w:r>
      <w:r w:rsidRPr="00AF3214">
        <w:rPr>
          <w:rStyle w:val="ac"/>
          <w:rFonts w:ascii="Narkisim" w:hAnsi="Narkisim"/>
          <w:rtl/>
        </w:rPr>
        <w:footnoteReference w:id="6028"/>
      </w:r>
      <w:r w:rsidRPr="00AF3214">
        <w:rPr>
          <w:rFonts w:ascii="Narkisim" w:hAnsi="Narkisim"/>
        </w:rPr>
        <w:t xml:space="preserve">. </w:t>
      </w:r>
      <w:r w:rsidRPr="00AF3214">
        <w:rPr>
          <w:rFonts w:ascii="Narkisim" w:hAnsi="Narkisim"/>
          <w:rtl/>
        </w:rPr>
        <w:t>[וה</w:t>
      </w:r>
      <w:r w:rsidRPr="00AF3214">
        <w:rPr>
          <w:rFonts w:ascii="Narkisim" w:hAnsi="Narkisim"/>
          <w:b/>
          <w:bCs/>
          <w:rtl/>
        </w:rPr>
        <w:t>חזו"א</w:t>
      </w:r>
      <w:r w:rsidRPr="00AF3214">
        <w:rPr>
          <w:rFonts w:ascii="Narkisim" w:hAnsi="Narkisim"/>
          <w:rtl/>
        </w:rPr>
        <w:t xml:space="preserve"> (כב ט) ביאר דלמסקנא רבא יליף ק"ו לאיסור כרת התרת]</w:t>
      </w:r>
      <w:r w:rsidRPr="00AF3214">
        <w:rPr>
          <w:rFonts w:ascii="Narkisim" w:hAnsi="Narkisim"/>
        </w:rPr>
        <w:t>.</w:t>
      </w:r>
    </w:p>
    <w:p w14:paraId="07E557DB" w14:textId="77777777" w:rsidR="006C4368" w:rsidRPr="00AF3214" w:rsidRDefault="006C4368" w:rsidP="006C4368">
      <w:pPr>
        <w:bidi/>
        <w:rPr>
          <w:rFonts w:ascii="Narkisim" w:hAnsi="Narkisim" w:cs="Narkisim"/>
        </w:rPr>
      </w:pPr>
      <w:r w:rsidRPr="00AF3214">
        <w:rPr>
          <w:rFonts w:ascii="Narkisim" w:hAnsi="Narkisim" w:cs="Narkisim"/>
          <w:u w:val="single"/>
          <w:rtl/>
        </w:rPr>
        <w:t>או דילמא טעמא דע"א משום דאיהי דייקא ומינסבא</w:t>
      </w:r>
      <w:r w:rsidRPr="00AF3214">
        <w:rPr>
          <w:rFonts w:ascii="Narkisim" w:hAnsi="Narkisim" w:cs="Narkisim"/>
          <w:rtl/>
        </w:rPr>
        <w:t xml:space="preserve">. [וכן הגמ' בלישנא בתרא מסתפקת לענין יבמה לעלמא]. בפשוטו משמע דספק הגמ' האם סברת מילתא דעבידא לאיגלויי מהני לחוד. אבל </w:t>
      </w:r>
      <w:r w:rsidRPr="00AF3214">
        <w:rPr>
          <w:rFonts w:ascii="Narkisim" w:hAnsi="Narkisim" w:cs="Narkisim"/>
          <w:b/>
          <w:bCs/>
          <w:rtl/>
        </w:rPr>
        <w:t>תוס'</w:t>
      </w:r>
      <w:r w:rsidRPr="00AF3214">
        <w:rPr>
          <w:rFonts w:ascii="Narkisim" w:hAnsi="Narkisim" w:cs="Narkisim"/>
          <w:rtl/>
        </w:rPr>
        <w:t xml:space="preserve"> פי' דספק הגמ' האם בעינן דיוקא רבה או סמכינן אדיוקא זוטא בצירוף עבידא לאיגלויי. </w:t>
      </w:r>
      <w:r w:rsidRPr="00AF3214">
        <w:rPr>
          <w:rFonts w:ascii="Narkisim" w:hAnsi="Narkisim" w:cs="Narkisim"/>
          <w:szCs w:val="20"/>
          <w:rtl/>
        </w:rPr>
        <w:t>ועד"ז כת' ה</w:t>
      </w:r>
      <w:r w:rsidRPr="00AF3214">
        <w:rPr>
          <w:rFonts w:ascii="Narkisim" w:hAnsi="Narkisim" w:cs="Narkisim"/>
          <w:b/>
          <w:bCs/>
          <w:szCs w:val="20"/>
          <w:rtl/>
        </w:rPr>
        <w:t>ריטב"א</w:t>
      </w:r>
      <w:r w:rsidRPr="00AF3214">
        <w:rPr>
          <w:rFonts w:ascii="Narkisim" w:hAnsi="Narkisim" w:cs="Narkisim"/>
          <w:szCs w:val="20"/>
          <w:rtl/>
        </w:rPr>
        <w:t xml:space="preserve"> דודאי תרוייהו טעמי איתנהו בעד א', אלא דמספק"ל הי מינייהו עיקר דעלה סמכינן</w:t>
      </w:r>
      <w:r w:rsidRPr="00AF3214">
        <w:rPr>
          <w:rFonts w:ascii="Narkisim" w:hAnsi="Narkisim" w:cs="Narkisim"/>
        </w:rPr>
        <w:t>.</w:t>
      </w:r>
    </w:p>
    <w:p w14:paraId="04682908" w14:textId="77777777" w:rsidR="006C4368" w:rsidRPr="00AF3214" w:rsidRDefault="006C4368" w:rsidP="006C4368">
      <w:pPr>
        <w:pStyle w:val="a7"/>
        <w:bidi/>
        <w:rPr>
          <w:rFonts w:ascii="Narkisim" w:hAnsi="Narkisim"/>
        </w:rPr>
      </w:pPr>
      <w:r w:rsidRPr="00AF3214">
        <w:rPr>
          <w:rFonts w:ascii="Narkisim" w:hAnsi="Narkisim"/>
          <w:rtl/>
        </w:rPr>
        <w:t>ועד"ז הגמ' (לקמן קטו.) מסתפקת גבי עד א' במלחמה, האם טעמא דעד א' משום עבידא לאיגלויי או משום דדייקא, א"כ זימנין דסני ליה ולא דייקא. [פ</w:t>
      </w:r>
      <w:r w:rsidRPr="00AF3214">
        <w:rPr>
          <w:rFonts w:ascii="Narkisim" w:hAnsi="Narkisim"/>
          <w:b/>
          <w:bCs/>
          <w:rtl/>
        </w:rPr>
        <w:t>רש"י</w:t>
      </w:r>
      <w:r w:rsidRPr="00AF3214">
        <w:rPr>
          <w:rFonts w:ascii="Narkisim" w:hAnsi="Narkisim"/>
          <w:rtl/>
        </w:rPr>
        <w:t xml:space="preserve"> ואמרה בדדמי</w:t>
      </w:r>
      <w:r w:rsidRPr="00AF3214">
        <w:rPr>
          <w:rStyle w:val="ac"/>
          <w:rFonts w:ascii="Narkisim" w:hAnsi="Narkisim"/>
          <w:rtl/>
        </w:rPr>
        <w:footnoteReference w:id="6029"/>
      </w:r>
      <w:r w:rsidRPr="00AF3214">
        <w:rPr>
          <w:rFonts w:ascii="Narkisim" w:hAnsi="Narkisim"/>
          <w:rtl/>
        </w:rPr>
        <w:t>]. וכן הגמ' (לקמן קטז:) מסתפקת ע"א בקטטה, דכיון דאית ליה קטטה לא דייקא</w:t>
      </w:r>
      <w:r w:rsidRPr="00AF3214">
        <w:rPr>
          <w:rStyle w:val="ac"/>
          <w:rFonts w:ascii="Narkisim" w:hAnsi="Narkisim"/>
          <w:rtl/>
        </w:rPr>
        <w:footnoteReference w:id="6030"/>
      </w:r>
      <w:r w:rsidRPr="00AF3214">
        <w:rPr>
          <w:rFonts w:ascii="Narkisim" w:hAnsi="Narkisim"/>
        </w:rPr>
        <w:t>.</w:t>
      </w:r>
    </w:p>
    <w:p w14:paraId="2AFABB6D"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(צד. סוד"ה כי) כת' דהתם נמי הספק אי צריך דיוקא רבה, או סגי בקצת דייקא</w:t>
      </w:r>
      <w:r w:rsidRPr="00AF3214">
        <w:rPr>
          <w:rFonts w:ascii="Narkisim" w:hAnsi="Narkisim"/>
        </w:rPr>
        <w:t>.</w:t>
      </w:r>
    </w:p>
    <w:p w14:paraId="6FF4FBD1" w14:textId="77777777" w:rsidR="006C4368" w:rsidRPr="00AF3214" w:rsidRDefault="006C4368" w:rsidP="006C4368">
      <w:pPr>
        <w:bidi/>
        <w:rPr>
          <w:rFonts w:ascii="Narkisim" w:hAnsi="Narkisim" w:cs="Narkisim"/>
        </w:rPr>
      </w:pPr>
      <w:r w:rsidRPr="00AF3214">
        <w:rPr>
          <w:rFonts w:ascii="Narkisim" w:hAnsi="Narkisim" w:cs="Narkisim"/>
          <w:rtl/>
        </w:rPr>
        <w:t>ועוד הביאו ה</w:t>
      </w:r>
      <w:r w:rsidRPr="00AF3214">
        <w:rPr>
          <w:rFonts w:ascii="Narkisim" w:hAnsi="Narkisim" w:cs="Narkisim"/>
          <w:b/>
          <w:bCs/>
          <w:rtl/>
        </w:rPr>
        <w:t>ראשונים</w:t>
      </w:r>
      <w:r w:rsidRPr="00AF3214">
        <w:rPr>
          <w:rFonts w:ascii="Narkisim" w:hAnsi="Narkisim" w:cs="Narkisim"/>
          <w:rtl/>
        </w:rPr>
        <w:t xml:space="preserve"> דבגמ' (לעיל כה.) אי' דמת לאו עליה סמכינן [על העד], דדייקא ומינסבא. וה</w:t>
      </w:r>
      <w:r w:rsidRPr="00AF3214">
        <w:rPr>
          <w:rFonts w:ascii="Narkisim" w:hAnsi="Narkisim" w:cs="Narkisim"/>
          <w:b/>
          <w:bCs/>
          <w:rtl/>
        </w:rPr>
        <w:t>רשב"א</w:t>
      </w:r>
      <w:r w:rsidRPr="00AF3214">
        <w:rPr>
          <w:rFonts w:ascii="Narkisim" w:hAnsi="Narkisim" w:cs="Narkisim"/>
          <w:rtl/>
        </w:rPr>
        <w:t xml:space="preserve"> (לעיל כה.) הק' דתלי בספק דהגמ' (דלקמן קטו.) ולא איפשיטא</w:t>
      </w:r>
      <w:r w:rsidRPr="00AF3214">
        <w:rPr>
          <w:rStyle w:val="ac"/>
          <w:rFonts w:ascii="Narkisim" w:hAnsi="Narkisim" w:cs="Narkisim"/>
          <w:rtl/>
        </w:rPr>
        <w:footnoteReference w:id="6031"/>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רשב"א</w:t>
      </w:r>
      <w:r w:rsidRPr="00AF3214">
        <w:rPr>
          <w:rFonts w:ascii="Narkisim" w:hAnsi="Narkisim" w:cs="Narkisim"/>
          <w:rtl/>
        </w:rPr>
        <w:t xml:space="preserve"> (בסו"ד, וכן הריטב"א שם) כת' דהמ"ל טעם דעד א' משום דעבידא לאיגלויי</w:t>
      </w:r>
      <w:r w:rsidRPr="00AF3214">
        <w:rPr>
          <w:rStyle w:val="ac"/>
          <w:rFonts w:ascii="Narkisim" w:hAnsi="Narkisim" w:cs="Narkisim"/>
          <w:rtl/>
        </w:rPr>
        <w:footnoteReference w:id="6032"/>
      </w:r>
      <w:r w:rsidRPr="00AF3214">
        <w:rPr>
          <w:rFonts w:ascii="Narkisim" w:hAnsi="Narkisim" w:cs="Narkisim"/>
        </w:rPr>
        <w:t xml:space="preserve">. </w:t>
      </w:r>
      <w:r w:rsidRPr="00AF3214">
        <w:rPr>
          <w:rFonts w:ascii="Narkisim" w:hAnsi="Narkisim" w:cs="Narkisim"/>
          <w:rtl/>
        </w:rPr>
        <w:t>וחדא מתרי טעמי נקט</w:t>
      </w:r>
      <w:r w:rsidRPr="00AF3214">
        <w:rPr>
          <w:rFonts w:ascii="Narkisim" w:hAnsi="Narkisim" w:cs="Narkisim"/>
        </w:rPr>
        <w:t>.</w:t>
      </w:r>
    </w:p>
    <w:p w14:paraId="246D7C1C" w14:textId="77777777" w:rsidR="006C4368" w:rsidRPr="00AF3214" w:rsidRDefault="006C4368" w:rsidP="006C4368">
      <w:pPr>
        <w:pStyle w:val="a8"/>
        <w:bidi/>
        <w:rPr>
          <w:rFonts w:ascii="Narkisim" w:hAnsi="Narkisim"/>
        </w:rPr>
      </w:pPr>
      <w:r w:rsidRPr="00AF3214">
        <w:rPr>
          <w:rFonts w:ascii="Narkisim" w:hAnsi="Narkisim"/>
          <w:rtl/>
        </w:rPr>
        <w:t>ויש שדייקו מדברי הרשב"א דנקט דלא כתוס', אלא הוה ספק האם סמכינן על העד כלל</w:t>
      </w:r>
      <w:r w:rsidRPr="00AF3214">
        <w:rPr>
          <w:rFonts w:ascii="Narkisim" w:hAnsi="Narkisim"/>
        </w:rPr>
        <w:t>.</w:t>
      </w:r>
    </w:p>
    <w:p w14:paraId="173F0954" w14:textId="77777777" w:rsidR="006C4368" w:rsidRPr="00AF3214" w:rsidRDefault="006C4368" w:rsidP="006C4368">
      <w:pPr>
        <w:bidi/>
        <w:rPr>
          <w:rFonts w:ascii="Narkisim" w:hAnsi="Narkisim" w:cs="Narkisim"/>
        </w:rPr>
      </w:pP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(צד. הנ"ל) כת' דהספיקות אינם תלויין בהדדי, דאף את"ל דבסוגיין נאמן, אפ"ה יש להסתפק התם. אבל ה</w:t>
      </w:r>
      <w:r w:rsidRPr="00AF3214">
        <w:rPr>
          <w:rFonts w:ascii="Narkisim" w:hAnsi="Narkisim" w:cs="Narkisim"/>
          <w:b/>
          <w:bCs/>
          <w:rtl/>
        </w:rPr>
        <w:t>מלחמות</w:t>
      </w:r>
      <w:r w:rsidRPr="00AF3214">
        <w:rPr>
          <w:rFonts w:ascii="Narkisim" w:hAnsi="Narkisim" w:cs="Narkisim"/>
          <w:rtl/>
        </w:rPr>
        <w:t xml:space="preserve"> (לקמן קטו. מב: בדה"ר) פשט אף סוגיא דהתם דמהני עד א' במלחמה</w:t>
      </w:r>
      <w:r w:rsidRPr="00AF3214">
        <w:rPr>
          <w:rStyle w:val="ac"/>
          <w:rFonts w:ascii="Narkisim" w:hAnsi="Narkisim" w:cs="Narkisim"/>
          <w:rtl/>
        </w:rPr>
        <w:footnoteReference w:id="6033"/>
      </w:r>
      <w:r w:rsidRPr="00AF3214">
        <w:rPr>
          <w:rFonts w:ascii="Narkisim" w:hAnsi="Narkisim" w:cs="Narkisim"/>
        </w:rPr>
        <w:t xml:space="preserve">. </w:t>
      </w:r>
      <w:r w:rsidRPr="00AF3214">
        <w:rPr>
          <w:rFonts w:ascii="Narkisim" w:hAnsi="Narkisim" w:cs="Narkisim"/>
          <w:rtl/>
        </w:rPr>
        <w:t>דרבוותא (הרי"ף, ע"פ דברי רבא לקמן צד.) הכריעו דמהני עד א' ביבמה אפי' להתיר לשוק. ואע"ג דליכא למיסמך על דייקא [דהיא עצמה אינה נאמנת], אלא איפשיט דטעמא דעד א' משום דבמילתא דעבידא לאיגלויי לא משקר. הילכך אף עד א' במלחמה נאמן</w:t>
      </w:r>
      <w:r w:rsidRPr="00AF3214">
        <w:rPr>
          <w:rFonts w:ascii="Narkisim" w:hAnsi="Narkisim" w:cs="Narkisim"/>
        </w:rPr>
        <w:t>.</w:t>
      </w:r>
    </w:p>
    <w:p w14:paraId="6855961B" w14:textId="77777777" w:rsidR="006C4368" w:rsidRPr="00AF3214" w:rsidRDefault="006C4368" w:rsidP="006C4368">
      <w:pPr>
        <w:pStyle w:val="a8"/>
        <w:bidi/>
        <w:rPr>
          <w:rFonts w:ascii="Narkisim" w:hAnsi="Narkisim"/>
        </w:rPr>
      </w:pPr>
      <w:r w:rsidRPr="00AF3214">
        <w:rPr>
          <w:rFonts w:ascii="Narkisim" w:hAnsi="Narkisim"/>
          <w:rtl/>
        </w:rPr>
        <w:t>וכת' דסוגיין נמי בעלמא ע"ד טעם זה, דאי' (ר"ה כב:) דעד א' נאמן בקידוש החדש, דכל מילתא דעבידא לאיגלויי לא משקרי בה אינשי. וכת' דאף דהתם עבידא לאיגלויי טפי, הא לא מספק"ל בגמ' כאן האם עבידא לאיגלויי, אלא פשיט"ל לגמ' דמהני עבידא לאיגלויי</w:t>
      </w:r>
      <w:r w:rsidRPr="00AF3214">
        <w:rPr>
          <w:rStyle w:val="ac"/>
          <w:rFonts w:ascii="Narkisim" w:hAnsi="Narkisim"/>
          <w:rtl/>
        </w:rPr>
        <w:footnoteReference w:id="6034"/>
      </w:r>
      <w:r w:rsidRPr="00AF3214">
        <w:rPr>
          <w:rFonts w:ascii="Narkisim" w:hAnsi="Narkisim"/>
        </w:rPr>
        <w:t>.</w:t>
      </w:r>
    </w:p>
    <w:p w14:paraId="366C8BA9" w14:textId="77777777" w:rsidR="006C4368" w:rsidRPr="00AF3214" w:rsidRDefault="006C4368" w:rsidP="006C4368">
      <w:pPr>
        <w:pStyle w:val="aa"/>
        <w:bidi/>
        <w:rPr>
          <w:rFonts w:ascii="Narkisim" w:hAnsi="Narkisim"/>
        </w:rPr>
      </w:pPr>
      <w:r w:rsidRPr="00AF3214">
        <w:rPr>
          <w:rFonts w:ascii="Narkisim" w:hAnsi="Narkisim"/>
          <w:u w:val="single"/>
          <w:rtl/>
        </w:rPr>
        <w:t>תוד"ה עד</w:t>
      </w:r>
      <w:r w:rsidRPr="00AF3214">
        <w:rPr>
          <w:rFonts w:ascii="Narkisim" w:hAnsi="Narkisim"/>
          <w:rtl/>
        </w:rPr>
        <w:t>. וא"ת היכי מ"ל דדייקא</w:t>
      </w:r>
      <w:r w:rsidRPr="00AF3214">
        <w:rPr>
          <w:rStyle w:val="ac"/>
          <w:rFonts w:ascii="Narkisim" w:hAnsi="Narkisim"/>
          <w:rtl/>
        </w:rPr>
        <w:footnoteReference w:id="6035"/>
      </w:r>
      <w:r w:rsidRPr="00AF3214">
        <w:rPr>
          <w:rFonts w:ascii="Narkisim" w:hAnsi="Narkisim"/>
        </w:rPr>
        <w:t xml:space="preserve"> </w:t>
      </w:r>
      <w:r w:rsidRPr="00AF3214">
        <w:rPr>
          <w:rFonts w:ascii="Narkisim" w:hAnsi="Narkisim"/>
          <w:rtl/>
        </w:rPr>
        <w:t>כשמתירה ע"א</w:t>
      </w:r>
      <w:r w:rsidRPr="00AF3214">
        <w:rPr>
          <w:rStyle w:val="ac"/>
          <w:rFonts w:ascii="Narkisim" w:hAnsi="Narkisim"/>
          <w:rtl/>
        </w:rPr>
        <w:footnoteReference w:id="6036"/>
      </w:r>
      <w:r w:rsidRPr="00AF3214">
        <w:rPr>
          <w:rFonts w:ascii="Narkisim" w:hAnsi="Narkisim"/>
        </w:rPr>
        <w:t xml:space="preserve"> </w:t>
      </w:r>
      <w:r w:rsidRPr="00AF3214">
        <w:rPr>
          <w:rFonts w:ascii="Narkisim" w:hAnsi="Narkisim"/>
          <w:rtl/>
        </w:rPr>
        <w:t>להתייבם, והא ליכא חומר בסופה כשנופלת מהנישואין וכו' מן הנישואין לכו"ע</w:t>
      </w:r>
      <w:r w:rsidRPr="00AF3214">
        <w:rPr>
          <w:rStyle w:val="ac"/>
          <w:rFonts w:ascii="Narkisim" w:hAnsi="Narkisim"/>
          <w:rtl/>
        </w:rPr>
        <w:footnoteReference w:id="6037"/>
      </w:r>
      <w:r w:rsidRPr="00AF3214">
        <w:rPr>
          <w:rFonts w:ascii="Narkisim" w:hAnsi="Narkisim"/>
        </w:rPr>
        <w:t xml:space="preserve"> </w:t>
      </w:r>
      <w:r w:rsidRPr="00AF3214">
        <w:rPr>
          <w:rFonts w:ascii="Narkisim" w:hAnsi="Narkisim"/>
          <w:rtl/>
        </w:rPr>
        <w:t>מותרת וכו'. (כדמבואר לקמן צה:). [כיון דל"ש שמא יאמרו גירש זה ונשא זה]</w:t>
      </w:r>
      <w:r w:rsidRPr="00AF3214">
        <w:rPr>
          <w:rFonts w:ascii="Narkisim" w:hAnsi="Narkisim"/>
        </w:rPr>
        <w:t>.</w:t>
      </w:r>
    </w:p>
    <w:p w14:paraId="7D36A3EA" w14:textId="77777777" w:rsidR="006C4368" w:rsidRPr="00AF3214" w:rsidRDefault="006C4368" w:rsidP="006C4368">
      <w:pPr>
        <w:bidi/>
        <w:rPr>
          <w:rFonts w:ascii="Narkisim" w:hAnsi="Narkisim" w:cs="Narkisim"/>
        </w:rPr>
      </w:pPr>
      <w:r w:rsidRPr="00AF3214">
        <w:rPr>
          <w:rFonts w:ascii="Narkisim" w:hAnsi="Narkisim" w:cs="Narkisim"/>
          <w:u w:val="single"/>
          <w:rtl/>
        </w:rPr>
        <w:t>בא"ד [סו"ד] וי"ל דדייקא מ"מ לפי שאין יודעת אם יכנוס או יחלוץ, וחיישת שמא יחלוץ ותנשא לשוק ואיכא חומר</w:t>
      </w:r>
      <w:r w:rsidRPr="00AF3214">
        <w:rPr>
          <w:rFonts w:ascii="Narkisim" w:hAnsi="Narkisim" w:cs="Narkisim"/>
          <w:rtl/>
        </w:rPr>
        <w:t>. וה</w:t>
      </w:r>
      <w:r w:rsidRPr="00AF3214">
        <w:rPr>
          <w:rFonts w:ascii="Narkisim" w:hAnsi="Narkisim" w:cs="Narkisim"/>
          <w:b/>
          <w:bCs/>
          <w:rtl/>
        </w:rPr>
        <w:t>תוס' רא"ש</w:t>
      </w:r>
      <w:r w:rsidRPr="00AF3214">
        <w:rPr>
          <w:rFonts w:ascii="Narkisim" w:hAnsi="Narkisim" w:cs="Narkisim"/>
          <w:rtl/>
        </w:rPr>
        <w:t xml:space="preserve"> חלק דניחוש שהיא תבא לבי"ד להתירה אם ירצה לייבם אותה, ולא תדקדק. ואם יחלוץ לה לא תנשא עד שתדקדק [ובידה שלא לינשא]. [ותי' </w:t>
      </w:r>
      <w:r w:rsidRPr="00AF3214">
        <w:rPr>
          <w:rFonts w:ascii="Narkisim" w:hAnsi="Narkisim" w:cs="Narkisim"/>
          <w:rtl/>
        </w:rPr>
        <w:lastRenderedPageBreak/>
        <w:t>כתי' הב' בתוס']</w:t>
      </w:r>
      <w:r w:rsidRPr="00AF3214">
        <w:rPr>
          <w:rFonts w:ascii="Narkisim" w:hAnsi="Narkisim" w:cs="Narkisim"/>
        </w:rPr>
        <w:t>.</w:t>
      </w:r>
    </w:p>
    <w:p w14:paraId="343B39D3" w14:textId="77777777" w:rsidR="006C4368" w:rsidRPr="00AF3214" w:rsidRDefault="006C4368" w:rsidP="006C4368">
      <w:pPr>
        <w:pStyle w:val="a7"/>
        <w:bidi/>
        <w:rPr>
          <w:rFonts w:ascii="Narkisim" w:hAnsi="Narkisim"/>
        </w:rPr>
      </w:pPr>
      <w:r w:rsidRPr="00AF3214">
        <w:rPr>
          <w:rFonts w:ascii="Narkisim" w:hAnsi="Narkisim"/>
          <w:rtl/>
        </w:rPr>
        <w:t>ומבואר דדעת תוס' דמשעה שהותרה לינשא אמרי' ד'דייקא', דאי רק בשעה שראינו שנשאת אמרי' דדייקא, א"כ כשמתייבמת אין ראיה דדייקא. וכ"כ ה</w:t>
      </w:r>
      <w:r w:rsidRPr="00AF3214">
        <w:rPr>
          <w:rFonts w:ascii="Narkisim" w:hAnsi="Narkisim"/>
          <w:b/>
          <w:bCs/>
          <w:rtl/>
        </w:rPr>
        <w:t>נתיבות</w:t>
      </w:r>
      <w:r w:rsidRPr="00AF3214">
        <w:rPr>
          <w:rFonts w:ascii="Narkisim" w:hAnsi="Narkisim"/>
          <w:rtl/>
        </w:rPr>
        <w:t xml:space="preserve"> </w:t>
      </w:r>
      <w:r w:rsidRPr="00AF3214">
        <w:rPr>
          <w:rFonts w:ascii="Narkisim" w:hAnsi="Narkisim"/>
          <w:szCs w:val="20"/>
          <w:rtl/>
        </w:rPr>
        <w:t>(במכתב לרע"א, הו' ברע"א השלם. ובשו"ת רע"א ק' קכה הסכים לדבריו. הו' לעיל פח.)</w:t>
      </w:r>
      <w:r w:rsidRPr="00AF3214">
        <w:rPr>
          <w:rFonts w:ascii="Narkisim" w:hAnsi="Narkisim"/>
          <w:rtl/>
        </w:rPr>
        <w:t xml:space="preserve"> דההיתר נגמר מיד בשעת עדות העד</w:t>
      </w:r>
      <w:r w:rsidRPr="00AF3214">
        <w:rPr>
          <w:rStyle w:val="ac"/>
          <w:rFonts w:ascii="Narkisim" w:hAnsi="Narkisim"/>
          <w:rtl/>
        </w:rPr>
        <w:footnoteReference w:id="6038"/>
      </w:r>
      <w:r w:rsidRPr="00AF3214">
        <w:rPr>
          <w:rFonts w:ascii="Narkisim" w:hAnsi="Narkisim"/>
        </w:rPr>
        <w:t>.</w:t>
      </w:r>
    </w:p>
    <w:p w14:paraId="5F262A3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(כ ט) ביאר דהאשה מדקדקת מיד לדעת אם אמת הדבר, ומבררת בשביל כל המאורעות שיוכלו לקלקלה. דדרך בני אדם שבשעת נידון מדקדקין עד שבאין להחלטה, ושוב אין מסתפקים בענין</w:t>
      </w:r>
      <w:r w:rsidRPr="00AF3214">
        <w:rPr>
          <w:rFonts w:ascii="Narkisim" w:hAnsi="Narkisim"/>
        </w:rPr>
        <w:t>.</w:t>
      </w:r>
    </w:p>
    <w:p w14:paraId="562D9222" w14:textId="77777777" w:rsidR="006C4368" w:rsidRPr="00AF3214" w:rsidRDefault="006C4368" w:rsidP="006C4368">
      <w:pPr>
        <w:pStyle w:val="a8"/>
        <w:bidi/>
        <w:rPr>
          <w:rFonts w:ascii="Narkisim" w:hAnsi="Narkisim"/>
        </w:rPr>
      </w:pPr>
      <w:r w:rsidRPr="00AF3214">
        <w:rPr>
          <w:rFonts w:ascii="Narkisim" w:hAnsi="Narkisim"/>
          <w:rtl/>
        </w:rPr>
        <w:t>אך מ"מ קשה דשמא לא נתכוונה לינשא, וקבעה בליבה שלא תינשא לאחר אלא להתייבם. [ואפשר דזה קו' התוס' רא"ש]</w:t>
      </w:r>
      <w:r w:rsidRPr="00AF3214">
        <w:rPr>
          <w:rFonts w:ascii="Narkisim" w:hAnsi="Narkisim"/>
        </w:rPr>
        <w:t>.</w:t>
      </w:r>
    </w:p>
    <w:p w14:paraId="2D4C179E"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ערול"נ</w:t>
      </w:r>
      <w:r w:rsidRPr="00AF3214">
        <w:rPr>
          <w:rFonts w:ascii="Narkisim" w:hAnsi="Narkisim"/>
          <w:rtl/>
        </w:rPr>
        <w:t xml:space="preserve"> תי' דדייקא מטעם אחר, דכל זמן שלא התירוה ניזונת משל בעלה</w:t>
      </w:r>
      <w:r w:rsidRPr="00AF3214">
        <w:rPr>
          <w:rStyle w:val="ac"/>
          <w:rFonts w:ascii="Narkisim" w:hAnsi="Narkisim"/>
          <w:rtl/>
        </w:rPr>
        <w:footnoteReference w:id="6039"/>
      </w:r>
      <w:r w:rsidRPr="00AF3214">
        <w:rPr>
          <w:rFonts w:ascii="Narkisim" w:hAnsi="Narkisim"/>
        </w:rPr>
        <w:t xml:space="preserve">. </w:t>
      </w:r>
      <w:r w:rsidRPr="00AF3214">
        <w:rPr>
          <w:rFonts w:ascii="Narkisim" w:hAnsi="Narkisim"/>
          <w:rtl/>
        </w:rPr>
        <w:t>ומשעה שהתירוה אין לה מזונות מהבעל</w:t>
      </w:r>
      <w:r w:rsidRPr="00AF3214">
        <w:rPr>
          <w:rStyle w:val="ac"/>
          <w:rFonts w:ascii="Narkisim" w:hAnsi="Narkisim"/>
          <w:rtl/>
        </w:rPr>
        <w:footnoteReference w:id="6040"/>
      </w:r>
      <w:r w:rsidRPr="00AF3214">
        <w:rPr>
          <w:rFonts w:ascii="Narkisim" w:hAnsi="Narkisim"/>
        </w:rPr>
        <w:t xml:space="preserve">. </w:t>
      </w:r>
      <w:r w:rsidRPr="00AF3214">
        <w:rPr>
          <w:rFonts w:ascii="Narkisim" w:hAnsi="Narkisim"/>
          <w:rtl/>
        </w:rPr>
        <w:t>וכשיחלוץ לה היבם ע"כ צריכה להנשא שיהא לה מזונות</w:t>
      </w:r>
      <w:r w:rsidRPr="00AF3214">
        <w:rPr>
          <w:rStyle w:val="ac"/>
          <w:rFonts w:ascii="Narkisim" w:hAnsi="Narkisim"/>
          <w:rtl/>
        </w:rPr>
        <w:footnoteReference w:id="6041"/>
      </w:r>
      <w:r w:rsidRPr="00AF3214">
        <w:rPr>
          <w:rFonts w:ascii="Narkisim" w:hAnsi="Narkisim"/>
        </w:rPr>
        <w:t xml:space="preserve">, </w:t>
      </w:r>
      <w:r w:rsidRPr="00AF3214">
        <w:rPr>
          <w:rFonts w:ascii="Narkisim" w:hAnsi="Narkisim"/>
          <w:rtl/>
        </w:rPr>
        <w:t>ואיכא חומר בסופה</w:t>
      </w:r>
      <w:r w:rsidRPr="00AF3214">
        <w:rPr>
          <w:rFonts w:ascii="Narkisim" w:hAnsi="Narkisim"/>
        </w:rPr>
        <w:t>.</w:t>
      </w:r>
    </w:p>
    <w:p w14:paraId="5B32C623" w14:textId="77777777" w:rsidR="006C4368" w:rsidRPr="00AF3214" w:rsidRDefault="006C4368" w:rsidP="006C4368">
      <w:pPr>
        <w:pStyle w:val="aa"/>
        <w:bidi/>
        <w:rPr>
          <w:rFonts w:ascii="Narkisim" w:hAnsi="Narkisim"/>
        </w:rPr>
      </w:pPr>
      <w:r w:rsidRPr="00AF3214">
        <w:rPr>
          <w:rFonts w:ascii="Narkisim" w:hAnsi="Narkisim"/>
          <w:u w:val="single"/>
          <w:rtl/>
        </w:rPr>
        <w:t>א"ל רב ששת תניתוה אמרו לה מת בנך ואח"כ מת בעליך ונתייבמה וכו' אלא לאו ש"מ חד וכו'</w:t>
      </w:r>
      <w:r w:rsidRPr="00AF3214">
        <w:rPr>
          <w:rFonts w:ascii="Narkisim" w:hAnsi="Narkisim"/>
          <w:rtl/>
        </w:rPr>
        <w:t>. וכיון דעד א' נאמן דמת הבן ואח"כ מת בעלה שתתייבם [אף שלא עמדה בחזקת עומדת ליבום], כ"ש דנאמן במת הבעל לחוד. [וע"ע מש"כ במשנה ובסמוך]</w:t>
      </w:r>
      <w:r w:rsidRPr="00AF3214">
        <w:rPr>
          <w:rFonts w:ascii="Narkisim" w:hAnsi="Narkisim"/>
        </w:rPr>
        <w:t>.</w:t>
      </w:r>
    </w:p>
    <w:p w14:paraId="45E82054" w14:textId="77777777" w:rsidR="006C4368" w:rsidRPr="00AF3214" w:rsidRDefault="006C4368" w:rsidP="006C4368">
      <w:pPr>
        <w:bidi/>
        <w:rPr>
          <w:rFonts w:ascii="Narkisim" w:hAnsi="Narkisim" w:cs="Narkisim"/>
        </w:rPr>
      </w:pPr>
      <w:r w:rsidRPr="00AF3214">
        <w:rPr>
          <w:rFonts w:ascii="Narkisim" w:hAnsi="Narkisim" w:cs="Narkisim"/>
          <w:u w:val="single"/>
          <w:rtl/>
        </w:rPr>
        <w:t>תוד"ה מאי חזית</w:t>
      </w:r>
      <w:r w:rsidRPr="00AF3214">
        <w:rPr>
          <w:rFonts w:ascii="Narkisim" w:hAnsi="Narkisim" w:cs="Narkisim"/>
          <w:rtl/>
        </w:rPr>
        <w:t>. אע"ג דתרי ותרי ספיקא דרבנן, ואיכא לאוקמי בחזקת איסור ליבם</w:t>
      </w:r>
      <w:r w:rsidRPr="00AF3214">
        <w:rPr>
          <w:rStyle w:val="ac"/>
          <w:rFonts w:ascii="Narkisim" w:hAnsi="Narkisim" w:cs="Narkisim"/>
          <w:rtl/>
        </w:rPr>
        <w:footnoteReference w:id="6042"/>
      </w:r>
      <w:r w:rsidRPr="00AF3214">
        <w:rPr>
          <w:rFonts w:ascii="Narkisim" w:hAnsi="Narkisim" w:cs="Narkisim"/>
        </w:rPr>
        <w:t xml:space="preserve"> </w:t>
      </w:r>
      <w:r w:rsidRPr="00AF3214">
        <w:rPr>
          <w:rFonts w:ascii="Narkisim" w:hAnsi="Narkisim" w:cs="Narkisim"/>
          <w:rtl/>
        </w:rPr>
        <w:t xml:space="preserve">וכו'. וכמ"ש </w:t>
      </w:r>
      <w:r w:rsidRPr="00AF3214">
        <w:rPr>
          <w:rFonts w:ascii="Narkisim" w:hAnsi="Narkisim" w:cs="Narkisim"/>
          <w:b/>
          <w:bCs/>
          <w:rtl/>
        </w:rPr>
        <w:t>תוס'</w:t>
      </w:r>
      <w:r w:rsidRPr="00AF3214">
        <w:rPr>
          <w:rFonts w:ascii="Narkisim" w:hAnsi="Narkisim" w:cs="Narkisim"/>
          <w:rtl/>
        </w:rPr>
        <w:t xml:space="preserve"> (לעיל פח:) דמסקינן (לעיל לא.) דתרי ותרי ספיקא דרבנן, ומדאורייתא מוקמינן אחזקה [לולי סברת דייקא ומינסבא]</w:t>
      </w:r>
      <w:r w:rsidRPr="00AF3214">
        <w:rPr>
          <w:rFonts w:ascii="Narkisim" w:hAnsi="Narkisim" w:cs="Narkisim"/>
        </w:rPr>
        <w:t>.</w:t>
      </w:r>
    </w:p>
    <w:p w14:paraId="752D1AC4"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(קידושין סו.) הביא 'אחרים' שהביאו מסוגיין דקי"ל דתרי ותרי ספיקא דאורייתא</w:t>
      </w:r>
      <w:r w:rsidRPr="00AF3214">
        <w:rPr>
          <w:rStyle w:val="ac"/>
          <w:rFonts w:ascii="Narkisim" w:hAnsi="Narkisim"/>
          <w:rtl/>
        </w:rPr>
        <w:footnoteReference w:id="6043"/>
      </w:r>
      <w:r w:rsidRPr="00AF3214">
        <w:rPr>
          <w:rFonts w:ascii="Narkisim" w:hAnsi="Narkisim"/>
        </w:rPr>
        <w:t xml:space="preserve">, </w:t>
      </w:r>
      <w:r w:rsidRPr="00AF3214">
        <w:rPr>
          <w:rFonts w:ascii="Narkisim" w:hAnsi="Narkisim"/>
          <w:rtl/>
        </w:rPr>
        <w:t>ודוקא בתרומה דרבנן מוקמי' אחזקה. [ע"ע מש"כ לעיל לא.]</w:t>
      </w:r>
      <w:r w:rsidRPr="00AF3214">
        <w:rPr>
          <w:rFonts w:ascii="Narkisim" w:hAnsi="Narkisim"/>
        </w:rPr>
        <w:t>.</w:t>
      </w:r>
    </w:p>
    <w:p w14:paraId="5E68D2C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דחה דכיון שקדם ונשא לא אמרינן אוקי תרי לבהדי תרי ואוקי אחזקה לאפוקי אתתא מתותי גברא</w:t>
      </w:r>
      <w:r w:rsidRPr="00AF3214">
        <w:rPr>
          <w:rStyle w:val="ac"/>
          <w:rFonts w:ascii="Narkisim" w:hAnsi="Narkisim"/>
          <w:rtl/>
        </w:rPr>
        <w:footnoteReference w:id="6044"/>
      </w:r>
      <w:r w:rsidRPr="00AF3214">
        <w:rPr>
          <w:rFonts w:ascii="Narkisim" w:hAnsi="Narkisim"/>
        </w:rPr>
        <w:t xml:space="preserve">. </w:t>
      </w:r>
      <w:r w:rsidRPr="00AF3214">
        <w:rPr>
          <w:rFonts w:ascii="Narkisim" w:hAnsi="Narkisim"/>
          <w:rtl/>
        </w:rPr>
        <w:t>ולא משוינן ולד ממזר גמור</w:t>
      </w:r>
      <w:r w:rsidRPr="00AF3214">
        <w:rPr>
          <w:rStyle w:val="ac"/>
          <w:rFonts w:ascii="Narkisim" w:hAnsi="Narkisim"/>
          <w:rtl/>
        </w:rPr>
        <w:footnoteReference w:id="6045"/>
      </w:r>
      <w:r w:rsidRPr="00AF3214">
        <w:rPr>
          <w:rFonts w:ascii="Narkisim" w:hAnsi="Narkisim"/>
        </w:rPr>
        <w:t xml:space="preserve"> </w:t>
      </w:r>
      <w:r w:rsidRPr="00AF3214">
        <w:rPr>
          <w:rFonts w:ascii="Narkisim" w:hAnsi="Narkisim"/>
          <w:rtl/>
        </w:rPr>
        <w:t>להוציא אשה מתחתיו (ע"ע בסמוך). וכן תרי ותרי ל"מ להוציא ממון מידיה דמריה</w:t>
      </w:r>
      <w:r w:rsidRPr="00AF3214">
        <w:rPr>
          <w:rStyle w:val="ac"/>
          <w:rFonts w:ascii="Narkisim" w:hAnsi="Narkisim"/>
          <w:rtl/>
        </w:rPr>
        <w:footnoteReference w:id="6046"/>
      </w:r>
      <w:r w:rsidRPr="00AF3214">
        <w:rPr>
          <w:rFonts w:ascii="Narkisim" w:hAnsi="Narkisim"/>
        </w:rPr>
        <w:t>.</w:t>
      </w:r>
    </w:p>
    <w:p w14:paraId="766A1232" w14:textId="77777777" w:rsidR="006C4368" w:rsidRPr="00AF3214" w:rsidRDefault="006C4368" w:rsidP="006C4368">
      <w:pPr>
        <w:pStyle w:val="a8"/>
        <w:bidi/>
        <w:rPr>
          <w:rFonts w:ascii="Narkisim" w:hAnsi="Narkisim"/>
        </w:rPr>
      </w:pPr>
      <w:r w:rsidRPr="00AF3214">
        <w:rPr>
          <w:rFonts w:ascii="Narkisim" w:hAnsi="Narkisim"/>
          <w:rtl/>
        </w:rPr>
        <w:t>ומשמע דכוונתו דמדאורייתא מוקמי' אחזקה, אלא דהך חזקה קלישא ול"מ להוציא אשה מתחת בעלה. ומבואר דיש סברא [דאורייתא] דמוחזקת בהיתר לבעלה, ומספק א"א לאוסרה עליו</w:t>
      </w:r>
      <w:r w:rsidRPr="00AF3214">
        <w:rPr>
          <w:rFonts w:ascii="Narkisim" w:hAnsi="Narkisim"/>
        </w:rPr>
        <w:t>.</w:t>
      </w:r>
    </w:p>
    <w:p w14:paraId="5E49116E"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הוסיף דבכל מקום שראוי להחמיר לא העמידו אחזקתו בתרי ותרי. והחמירו אף ביוחסין, ואין מתירין לכהן לישא בתו של ינאי המלך</w:t>
      </w:r>
      <w:r w:rsidRPr="00AF3214">
        <w:rPr>
          <w:rStyle w:val="ac"/>
          <w:rFonts w:ascii="Narkisim" w:hAnsi="Narkisim"/>
          <w:rtl/>
        </w:rPr>
        <w:footnoteReference w:id="6047"/>
      </w:r>
      <w:r w:rsidRPr="00AF3214">
        <w:rPr>
          <w:rFonts w:ascii="Narkisim" w:hAnsi="Narkisim"/>
        </w:rPr>
        <w:t>.</w:t>
      </w:r>
    </w:p>
    <w:p w14:paraId="342EA02C" w14:textId="77777777" w:rsidR="006C4368" w:rsidRPr="00AF3214" w:rsidRDefault="006C4368" w:rsidP="006C4368">
      <w:pPr>
        <w:pStyle w:val="aa"/>
        <w:bidi/>
        <w:rPr>
          <w:rFonts w:ascii="Narkisim" w:hAnsi="Narkisim"/>
        </w:rPr>
      </w:pPr>
      <w:r w:rsidRPr="00AF3214">
        <w:rPr>
          <w:rFonts w:ascii="Narkisim" w:hAnsi="Narkisim"/>
          <w:rtl/>
        </w:rPr>
        <w:t xml:space="preserve">ודעת </w:t>
      </w:r>
      <w:r w:rsidRPr="00AF3214">
        <w:rPr>
          <w:rFonts w:ascii="Narkisim" w:hAnsi="Narkisim"/>
          <w:b/>
          <w:bCs/>
          <w:rtl/>
        </w:rPr>
        <w:t>ר"י בר ברוך</w:t>
      </w:r>
      <w:r w:rsidRPr="00AF3214">
        <w:rPr>
          <w:rFonts w:ascii="Narkisim" w:hAnsi="Narkisim"/>
          <w:rtl/>
        </w:rPr>
        <w:t xml:space="preserve"> (בתוס' כתובות כו:) דהיכא דב' עדים המתירין העידו תחילה, והוציאו אותה מחזקתה [דאשת איש או דעומדת ליבום]. ומש"ה אף שאח"כ הוכחשו לא מוקמינן אחזקה [בתרי ותרי]. [ור"י פליג]. ע"ע בסמוך דעת הרשב"א</w:t>
      </w:r>
      <w:r w:rsidRPr="00AF3214">
        <w:rPr>
          <w:rFonts w:ascii="Narkisim" w:hAnsi="Narkisim"/>
        </w:rPr>
        <w:t>.</w:t>
      </w:r>
    </w:p>
    <w:p w14:paraId="7BC39172"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שם.</w:t>
      </w:r>
      <w:r w:rsidRPr="00AF3214">
        <w:rPr>
          <w:rFonts w:ascii="Narkisim" w:hAnsi="Narkisim" w:cs="Narkisim"/>
          <w:rtl/>
        </w:rPr>
        <w:t xml:space="preserve"> וה</w:t>
      </w:r>
      <w:r w:rsidRPr="00AF3214">
        <w:rPr>
          <w:rFonts w:ascii="Narkisim" w:hAnsi="Narkisim" w:cs="Narkisim"/>
          <w:b/>
          <w:bCs/>
          <w:rtl/>
        </w:rPr>
        <w:t>ריטב"א</w:t>
      </w:r>
      <w:r w:rsidRPr="00AF3214">
        <w:rPr>
          <w:rFonts w:ascii="Narkisim" w:hAnsi="Narkisim" w:cs="Narkisim"/>
          <w:rtl/>
        </w:rPr>
        <w:t xml:space="preserve"> תי' דקו' הגמ' מהא דאי' דכל הדרכים האלו בה, דקנסינן ומפקינן ממונא</w:t>
      </w:r>
      <w:r w:rsidRPr="00AF3214">
        <w:rPr>
          <w:rFonts w:ascii="Narkisim" w:hAnsi="Narkisim" w:cs="Narkisim"/>
        </w:rPr>
        <w:t>.</w:t>
      </w:r>
    </w:p>
    <w:p w14:paraId="18AFBDF9" w14:textId="77777777" w:rsidR="006C4368" w:rsidRPr="00AF3214" w:rsidRDefault="006C4368" w:rsidP="006C4368">
      <w:pPr>
        <w:bidi/>
        <w:rPr>
          <w:rFonts w:ascii="Narkisim" w:hAnsi="Narkisim" w:cs="Narkisim"/>
        </w:rPr>
      </w:pPr>
      <w:r w:rsidRPr="00AF3214">
        <w:rPr>
          <w:rFonts w:ascii="Narkisim" w:hAnsi="Narkisim" w:cs="Narkisim"/>
          <w:u w:val="single"/>
          <w:rtl/>
        </w:rPr>
        <w:t>בא"ד אור"י היכא דיבם אומר ברי לי וכו' מידי דהוה אנשאת לא' מעדיה וכו'</w:t>
      </w:r>
      <w:r w:rsidRPr="00AF3214">
        <w:rPr>
          <w:rFonts w:ascii="Narkisim" w:hAnsi="Narkisim" w:cs="Narkisim"/>
          <w:rtl/>
        </w:rPr>
        <w:t>. וכ"כ ה</w:t>
      </w:r>
      <w:r w:rsidRPr="00AF3214">
        <w:rPr>
          <w:rFonts w:ascii="Narkisim" w:hAnsi="Narkisim" w:cs="Narkisim"/>
          <w:b/>
          <w:bCs/>
          <w:rtl/>
        </w:rPr>
        <w:t>תוס' חד מקמאי</w:t>
      </w:r>
      <w:r w:rsidRPr="00AF3214">
        <w:rPr>
          <w:rFonts w:ascii="Narkisim" w:hAnsi="Narkisim" w:cs="Narkisim"/>
        </w:rPr>
        <w:t>.</w:t>
      </w:r>
    </w:p>
    <w:p w14:paraId="2917C12A"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תוס' חד מקמאי</w:t>
      </w:r>
      <w:r w:rsidRPr="00AF3214">
        <w:rPr>
          <w:rFonts w:ascii="Narkisim" w:hAnsi="Narkisim"/>
          <w:rtl/>
        </w:rPr>
        <w:t xml:space="preserve"> הביא בשם </w:t>
      </w:r>
      <w:r w:rsidRPr="00AF3214">
        <w:rPr>
          <w:rFonts w:ascii="Narkisim" w:hAnsi="Narkisim"/>
          <w:b/>
          <w:bCs/>
          <w:rtl/>
        </w:rPr>
        <w:t>כת"י אביו</w:t>
      </w:r>
      <w:r w:rsidRPr="00AF3214">
        <w:rPr>
          <w:rFonts w:ascii="Narkisim" w:hAnsi="Narkisim"/>
          <w:rtl/>
        </w:rPr>
        <w:t xml:space="preserve"> [דאי"צ להעמיד בטענת ברי] דכיון דכולהו מודים שהבן והבעל מתו, אלא שמכחישים איזה מת קודם, מש"ה אמרי' היכא דקיימא תיקום</w:t>
      </w:r>
      <w:r w:rsidRPr="00AF3214">
        <w:rPr>
          <w:rStyle w:val="ac"/>
          <w:rFonts w:ascii="Narkisim" w:hAnsi="Narkisim"/>
          <w:rtl/>
        </w:rPr>
        <w:footnoteReference w:id="6048"/>
      </w:r>
      <w:r w:rsidRPr="00AF3214">
        <w:rPr>
          <w:rFonts w:ascii="Narkisim" w:hAnsi="Narkisim"/>
        </w:rPr>
        <w:t xml:space="preserve"> </w:t>
      </w:r>
      <w:r w:rsidRPr="00AF3214">
        <w:rPr>
          <w:rFonts w:ascii="Narkisim" w:hAnsi="Narkisim"/>
          <w:rtl/>
        </w:rPr>
        <w:t>[ואם נשאת לא תצא</w:t>
      </w:r>
      <w:r w:rsidRPr="00AF3214">
        <w:rPr>
          <w:rStyle w:val="ac"/>
          <w:rFonts w:ascii="Narkisim" w:hAnsi="Narkisim"/>
          <w:rtl/>
        </w:rPr>
        <w:footnoteReference w:id="6049"/>
      </w:r>
      <w:r w:rsidRPr="00AF3214">
        <w:rPr>
          <w:rFonts w:ascii="Narkisim" w:hAnsi="Narkisim"/>
          <w:rtl/>
        </w:rPr>
        <w:t xml:space="preserve">]. </w:t>
      </w:r>
      <w:r w:rsidRPr="00AF3214">
        <w:rPr>
          <w:rFonts w:ascii="Narkisim" w:hAnsi="Narkisim"/>
          <w:szCs w:val="20"/>
          <w:rtl/>
        </w:rPr>
        <w:t>וצ"ב כוונתו, ואמאי לא אמרי' דעומדת בחזקת היתר לשוק, וע"פ הגמ' (לעיל לא.</w:t>
      </w:r>
      <w:r w:rsidRPr="00AF3214">
        <w:rPr>
          <w:rStyle w:val="ac"/>
          <w:rFonts w:ascii="Narkisim" w:hAnsi="Narkisim"/>
          <w:szCs w:val="20"/>
          <w:rtl/>
        </w:rPr>
        <w:footnoteReference w:id="6050"/>
      </w:r>
      <w:r w:rsidRPr="00AF3214">
        <w:rPr>
          <w:rFonts w:ascii="Narkisim" w:hAnsi="Narkisim"/>
          <w:szCs w:val="20"/>
          <w:rtl/>
        </w:rPr>
        <w:t>, הו' לעיל במשנה)</w:t>
      </w:r>
      <w:r w:rsidRPr="00AF3214">
        <w:rPr>
          <w:rStyle w:val="ac"/>
          <w:rFonts w:ascii="Narkisim" w:hAnsi="Narkisim"/>
          <w:szCs w:val="20"/>
          <w:rtl/>
        </w:rPr>
        <w:footnoteReference w:id="6051"/>
      </w:r>
      <w:r w:rsidRPr="00AF3214">
        <w:rPr>
          <w:rFonts w:ascii="Narkisim" w:hAnsi="Narkisim"/>
        </w:rPr>
        <w:t>.</w:t>
      </w:r>
    </w:p>
    <w:p w14:paraId="0F5A3B95"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רשב"א</w:t>
      </w:r>
      <w:r w:rsidRPr="00AF3214">
        <w:rPr>
          <w:rFonts w:ascii="Narkisim" w:hAnsi="Narkisim" w:cs="Narkisim"/>
          <w:rtl/>
        </w:rPr>
        <w:t xml:space="preserve"> </w:t>
      </w:r>
      <w:r w:rsidRPr="00AF3214">
        <w:rPr>
          <w:rFonts w:ascii="Narkisim" w:hAnsi="Narkisim" w:cs="Narkisim"/>
          <w:szCs w:val="20"/>
          <w:rtl/>
        </w:rPr>
        <w:t>(קידושין סו. בסו"ד)</w:t>
      </w:r>
      <w:r w:rsidRPr="00AF3214">
        <w:rPr>
          <w:rFonts w:ascii="Narkisim" w:hAnsi="Narkisim" w:cs="Narkisim"/>
          <w:rtl/>
        </w:rPr>
        <w:t xml:space="preserve"> כת' [ליישב דברי הגמ' כאן] דמסתברא דכיון דהעדים </w:t>
      </w:r>
      <w:r w:rsidRPr="00AF3214">
        <w:rPr>
          <w:rFonts w:ascii="Narkisim" w:hAnsi="Narkisim" w:cs="Narkisim"/>
          <w:szCs w:val="20"/>
          <w:rtl/>
        </w:rPr>
        <w:t>[שאמרו חלוף היו הדברים]</w:t>
      </w:r>
      <w:r w:rsidRPr="00AF3214">
        <w:rPr>
          <w:rFonts w:ascii="Narkisim" w:hAnsi="Narkisim" w:cs="Narkisim"/>
          <w:rtl/>
        </w:rPr>
        <w:t xml:space="preserve"> באו אחר שנתייבמה, מש"ה אמרי' מאי חזית דסמכת אהני דאתו בתר יבום ומפקת לה, סמוך אהני שנתייבמה אפומייהו</w:t>
      </w:r>
      <w:r w:rsidRPr="00AF3214">
        <w:rPr>
          <w:rFonts w:ascii="Narkisim" w:hAnsi="Narkisim" w:cs="Narkisim"/>
        </w:rPr>
        <w:t>.</w:t>
      </w:r>
    </w:p>
    <w:p w14:paraId="13AC7602" w14:textId="77777777" w:rsidR="006C4368" w:rsidRPr="00AF3214" w:rsidRDefault="006C4368" w:rsidP="006C4368">
      <w:pPr>
        <w:pStyle w:val="a7"/>
        <w:bidi/>
        <w:rPr>
          <w:rFonts w:ascii="Narkisim" w:hAnsi="Narkisim"/>
        </w:rPr>
      </w:pPr>
      <w:r w:rsidRPr="00AF3214">
        <w:rPr>
          <w:rFonts w:ascii="Narkisim" w:hAnsi="Narkisim"/>
          <w:rtl/>
        </w:rPr>
        <w:t>וכת' ותדע לך דהא ר' מנחם בר"י (לעיל פח: וכתובות כב:) אמר בתרי ותרי אם נשאת עד שלא באו עדים לא תצא</w:t>
      </w:r>
      <w:r w:rsidRPr="00AF3214">
        <w:rPr>
          <w:rFonts w:ascii="Narkisim" w:hAnsi="Narkisim"/>
        </w:rPr>
        <w:t>.</w:t>
      </w:r>
    </w:p>
    <w:p w14:paraId="5A37EB04"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שעה"מ</w:t>
      </w:r>
      <w:r w:rsidRPr="00AF3214">
        <w:rPr>
          <w:rFonts w:ascii="Narkisim" w:hAnsi="Narkisim"/>
          <w:rtl/>
        </w:rPr>
        <w:t xml:space="preserve"> </w:t>
      </w:r>
      <w:r w:rsidRPr="00AF3214">
        <w:rPr>
          <w:rFonts w:ascii="Narkisim" w:hAnsi="Narkisim"/>
          <w:szCs w:val="20"/>
          <w:rtl/>
        </w:rPr>
        <w:t>(גירושין יב, הו' לעיל פח: באריכות)</w:t>
      </w:r>
      <w:r w:rsidRPr="00AF3214">
        <w:rPr>
          <w:rFonts w:ascii="Narkisim" w:hAnsi="Narkisim"/>
          <w:rtl/>
        </w:rPr>
        <w:t xml:space="preserve"> הביא מדברי הרשב"א דהיכא דנשאת עד שלא באו עדים, אפי' כשאין לה טענת ברי [וכן היכא דלא נשאת לא' מעדיה</w:t>
      </w:r>
      <w:r w:rsidRPr="00AF3214">
        <w:rPr>
          <w:rStyle w:val="ac"/>
          <w:rFonts w:ascii="Narkisim" w:hAnsi="Narkisim"/>
          <w:rtl/>
        </w:rPr>
        <w:footnoteReference w:id="6052"/>
      </w:r>
      <w:r w:rsidRPr="00AF3214">
        <w:rPr>
          <w:rFonts w:ascii="Narkisim" w:hAnsi="Narkisim"/>
          <w:rtl/>
        </w:rPr>
        <w:t>] אין מוציאין מתחת בעלה. כיון דנשאת בהיתר ע"פ עדים, ל"מ תרי ותרי להוציא מידם</w:t>
      </w:r>
      <w:r w:rsidRPr="00AF3214">
        <w:rPr>
          <w:rStyle w:val="ac"/>
          <w:rFonts w:ascii="Narkisim" w:hAnsi="Narkisim"/>
          <w:rtl/>
        </w:rPr>
        <w:footnoteReference w:id="6053"/>
      </w:r>
      <w:r w:rsidRPr="00AF3214">
        <w:rPr>
          <w:rFonts w:ascii="Narkisim" w:hAnsi="Narkisim"/>
        </w:rPr>
        <w:t xml:space="preserve"> </w:t>
      </w:r>
      <w:r w:rsidRPr="00AF3214">
        <w:rPr>
          <w:rFonts w:ascii="Narkisim" w:hAnsi="Narkisim"/>
          <w:rtl/>
        </w:rPr>
        <w:t>[ע"ד דברי הרמב"ן הנ"ל]</w:t>
      </w:r>
      <w:r w:rsidRPr="00AF3214">
        <w:rPr>
          <w:rStyle w:val="ac"/>
          <w:rFonts w:ascii="Narkisim" w:hAnsi="Narkisim"/>
          <w:rtl/>
        </w:rPr>
        <w:footnoteReference w:id="6054"/>
      </w:r>
      <w:r w:rsidRPr="00AF3214">
        <w:rPr>
          <w:rFonts w:ascii="Narkisim" w:hAnsi="Narkisim"/>
        </w:rPr>
        <w:t>.</w:t>
      </w:r>
    </w:p>
    <w:p w14:paraId="2E3FCC73" w14:textId="77777777" w:rsidR="006C4368" w:rsidRPr="00AF3214" w:rsidRDefault="006C4368" w:rsidP="006C4368">
      <w:pPr>
        <w:pStyle w:val="a8"/>
        <w:bidi/>
        <w:rPr>
          <w:rFonts w:ascii="Narkisim" w:hAnsi="Narkisim"/>
        </w:rPr>
      </w:pPr>
      <w:r w:rsidRPr="00AF3214">
        <w:rPr>
          <w:rFonts w:ascii="Narkisim" w:hAnsi="Narkisim"/>
          <w:rtl/>
        </w:rPr>
        <w:t>ועד"ז לדעת ה</w:t>
      </w:r>
      <w:r w:rsidRPr="00AF3214">
        <w:rPr>
          <w:rFonts w:ascii="Narkisim" w:hAnsi="Narkisim"/>
          <w:b/>
          <w:bCs/>
          <w:rtl/>
        </w:rPr>
        <w:t>ר"י ב"ר ברוך</w:t>
      </w:r>
      <w:r w:rsidRPr="00AF3214">
        <w:rPr>
          <w:rFonts w:ascii="Narkisim" w:hAnsi="Narkisim"/>
          <w:rtl/>
        </w:rPr>
        <w:t xml:space="preserve"> (בתוס' כתובות כו: הנ"ל)</w:t>
      </w:r>
      <w:r w:rsidRPr="00AF3214">
        <w:rPr>
          <w:rStyle w:val="ac"/>
          <w:rFonts w:ascii="Narkisim" w:hAnsi="Narkisim"/>
          <w:rtl/>
        </w:rPr>
        <w:footnoteReference w:id="6055"/>
      </w:r>
      <w:r w:rsidRPr="00AF3214">
        <w:rPr>
          <w:rFonts w:ascii="Narkisim" w:hAnsi="Narkisim"/>
        </w:rPr>
        <w:t>.</w:t>
      </w:r>
    </w:p>
    <w:p w14:paraId="60932301" w14:textId="77777777" w:rsidR="006C4368" w:rsidRPr="00AF3214" w:rsidRDefault="006C4368" w:rsidP="006C4368">
      <w:pPr>
        <w:pStyle w:val="aa"/>
        <w:bidi/>
        <w:rPr>
          <w:rFonts w:ascii="Narkisim" w:hAnsi="Narkisim"/>
        </w:rPr>
      </w:pPr>
      <w:r w:rsidRPr="00AF3214">
        <w:rPr>
          <w:rFonts w:ascii="Narkisim" w:hAnsi="Narkisim"/>
          <w:u w:val="single"/>
          <w:rtl/>
        </w:rPr>
        <w:t>בא"ד מידי דהוה אנשאת לא' מעדיה (לעיל פח:) וכו'</w:t>
      </w:r>
      <w:r w:rsidRPr="00AF3214">
        <w:rPr>
          <w:rFonts w:ascii="Narkisim" w:hAnsi="Narkisim"/>
          <w:rtl/>
        </w:rPr>
        <w:t>. ה</w:t>
      </w:r>
      <w:r w:rsidRPr="00AF3214">
        <w:rPr>
          <w:rFonts w:ascii="Narkisim" w:hAnsi="Narkisim"/>
          <w:b/>
          <w:bCs/>
          <w:rtl/>
        </w:rPr>
        <w:t>מהרש"א</w:t>
      </w:r>
      <w:r w:rsidRPr="00AF3214">
        <w:rPr>
          <w:rFonts w:ascii="Narkisim" w:hAnsi="Narkisim"/>
          <w:rtl/>
        </w:rPr>
        <w:t xml:space="preserve"> (לעיל פח:) הק' דתוס' (שם) כת' דהא דמהני ברי במקום תרי ותרי הוה משום דדייקא ומינסבא, ומרע לחזקת אשת איש [אבל היכא דיש חזקת אשת איש ל"מ טענת ברי]. והמהרש"א ציין דבתוס' דידן מבואר דמהני ברי אף במקום חזקת אשת איש</w:t>
      </w:r>
      <w:r w:rsidRPr="00AF3214">
        <w:rPr>
          <w:rStyle w:val="ac"/>
          <w:rFonts w:ascii="Narkisim" w:hAnsi="Narkisim"/>
          <w:rtl/>
        </w:rPr>
        <w:footnoteReference w:id="6056"/>
      </w:r>
      <w:r w:rsidRPr="00AF3214">
        <w:rPr>
          <w:rFonts w:ascii="Narkisim" w:hAnsi="Narkisim"/>
        </w:rPr>
        <w:t>.</w:t>
      </w:r>
    </w:p>
    <w:p w14:paraId="07B2C54B" w14:textId="77777777" w:rsidR="006C4368" w:rsidRPr="00AF3214" w:rsidRDefault="006C4368" w:rsidP="006C4368">
      <w:pPr>
        <w:pStyle w:val="a8"/>
        <w:bidi/>
        <w:rPr>
          <w:rFonts w:ascii="Narkisim" w:hAnsi="Narkisim"/>
        </w:rPr>
      </w:pPr>
      <w:r w:rsidRPr="00AF3214">
        <w:rPr>
          <w:rFonts w:ascii="Narkisim" w:hAnsi="Narkisim"/>
          <w:rtl/>
        </w:rPr>
        <w:t>וביארו דכוונתו דלתי' הא' ב</w:t>
      </w:r>
      <w:r w:rsidRPr="00AF3214">
        <w:rPr>
          <w:rFonts w:ascii="Narkisim" w:hAnsi="Narkisim"/>
          <w:b/>
          <w:bCs/>
          <w:rtl/>
        </w:rPr>
        <w:t>תוס'</w:t>
      </w:r>
      <w:r w:rsidRPr="00AF3214">
        <w:rPr>
          <w:rFonts w:ascii="Narkisim" w:hAnsi="Narkisim"/>
          <w:rtl/>
        </w:rPr>
        <w:t xml:space="preserve"> (ד"ה עד) ביבמה ליכא דייקא ומינסבא [דליכא חומר בסופה]. ותוס' תי' דמשום דיראה שיחלוץ לה ותנשא לשוק אמרי' דדייקא. אבל הכא דבאו עדי ההכחשה לאחר שנתייבמה, לא שייך דייקא </w:t>
      </w:r>
      <w:r w:rsidRPr="00AF3214">
        <w:rPr>
          <w:rFonts w:ascii="Narkisim" w:hAnsi="Narkisim"/>
          <w:rtl/>
        </w:rPr>
        <w:lastRenderedPageBreak/>
        <w:t>במה שנשארת תחת היבם</w:t>
      </w:r>
      <w:r w:rsidRPr="00AF3214">
        <w:rPr>
          <w:rStyle w:val="ac"/>
          <w:rFonts w:ascii="Narkisim" w:hAnsi="Narkisim"/>
          <w:rtl/>
        </w:rPr>
        <w:footnoteReference w:id="6057"/>
      </w:r>
      <w:r w:rsidRPr="00AF3214">
        <w:rPr>
          <w:rFonts w:ascii="Narkisim" w:hAnsi="Narkisim"/>
        </w:rPr>
        <w:t xml:space="preserve">. </w:t>
      </w:r>
      <w:r w:rsidRPr="00AF3214">
        <w:rPr>
          <w:rFonts w:ascii="Narkisim" w:hAnsi="Narkisim"/>
          <w:rtl/>
        </w:rPr>
        <w:t>אך לתי' הב' (בסוף התוס' הנ"ל) אף יבמה רגילה לדייק [אף דליכא חומר בסופה]</w:t>
      </w:r>
      <w:r w:rsidRPr="00AF3214">
        <w:rPr>
          <w:rStyle w:val="ac"/>
          <w:rFonts w:ascii="Narkisim" w:hAnsi="Narkisim"/>
          <w:rtl/>
        </w:rPr>
        <w:footnoteReference w:id="6058"/>
      </w:r>
      <w:r w:rsidRPr="00AF3214">
        <w:rPr>
          <w:rFonts w:ascii="Narkisim" w:hAnsi="Narkisim"/>
        </w:rPr>
        <w:t>.</w:t>
      </w:r>
    </w:p>
    <w:p w14:paraId="70477F3F"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(כתובות כו:) הק' [ע"ד קו' המהרש"א] דביבם לא דייקא, דזימנין דרחמא ליבם [וכדאי' בסוגיין</w:t>
      </w:r>
      <w:r w:rsidRPr="00AF3214">
        <w:rPr>
          <w:rStyle w:val="ac"/>
          <w:rFonts w:ascii="Narkisim" w:hAnsi="Narkisim"/>
          <w:rtl/>
        </w:rPr>
        <w:footnoteReference w:id="6059"/>
      </w:r>
      <w:r w:rsidRPr="00AF3214">
        <w:rPr>
          <w:rFonts w:ascii="Narkisim" w:hAnsi="Narkisim"/>
          <w:rtl/>
        </w:rPr>
        <w:t>]. א"כ לא מרעי לחזקת אשת איש. ותוס' תי' דמ"מ דייקא קצת</w:t>
      </w:r>
      <w:r w:rsidRPr="00AF3214">
        <w:rPr>
          <w:rStyle w:val="ac"/>
          <w:rFonts w:ascii="Narkisim" w:hAnsi="Narkisim"/>
          <w:rtl/>
        </w:rPr>
        <w:footnoteReference w:id="6060"/>
      </w:r>
      <w:r w:rsidRPr="00AF3214">
        <w:rPr>
          <w:rFonts w:ascii="Narkisim" w:hAnsi="Narkisim"/>
        </w:rPr>
        <w:t xml:space="preserve">, </w:t>
      </w:r>
      <w:r w:rsidRPr="00AF3214">
        <w:rPr>
          <w:rFonts w:ascii="Narkisim" w:hAnsi="Narkisim"/>
          <w:rtl/>
        </w:rPr>
        <w:t>ומהני דיוקא דידה לענין דמרעה ליה לחזקת איסור ליבם</w:t>
      </w:r>
      <w:r w:rsidRPr="00AF3214">
        <w:rPr>
          <w:rStyle w:val="ac"/>
          <w:rFonts w:ascii="Narkisim" w:hAnsi="Narkisim"/>
          <w:rtl/>
        </w:rPr>
        <w:footnoteReference w:id="6061"/>
      </w:r>
      <w:r w:rsidRPr="00AF3214">
        <w:rPr>
          <w:rFonts w:ascii="Narkisim" w:hAnsi="Narkisim"/>
        </w:rPr>
        <w:t>.</w:t>
      </w:r>
    </w:p>
    <w:p w14:paraId="01E98C27" w14:textId="77777777" w:rsidR="006C4368" w:rsidRPr="00AF3214" w:rsidRDefault="006C4368" w:rsidP="006C4368">
      <w:pPr>
        <w:bidi/>
        <w:rPr>
          <w:rFonts w:ascii="Narkisim" w:hAnsi="Narkisim" w:cs="Narkisim"/>
        </w:rPr>
      </w:pPr>
      <w:r w:rsidRPr="00AF3214">
        <w:rPr>
          <w:rFonts w:ascii="Narkisim" w:hAnsi="Narkisim" w:cs="Narkisim"/>
          <w:u w:val="single"/>
          <w:rtl/>
        </w:rPr>
        <w:t>ועוד ממזר, ספק ממזר הוא</w:t>
      </w:r>
      <w:r w:rsidRPr="00AF3214">
        <w:rPr>
          <w:rFonts w:ascii="Narkisim" w:hAnsi="Narkisim" w:cs="Narkisim"/>
          <w:rtl/>
        </w:rPr>
        <w:t>. ה</w:t>
      </w:r>
      <w:r w:rsidRPr="00AF3214">
        <w:rPr>
          <w:rFonts w:ascii="Narkisim" w:hAnsi="Narkisim" w:cs="Narkisim"/>
          <w:b/>
          <w:bCs/>
          <w:rtl/>
        </w:rPr>
        <w:t>ראשונים</w:t>
      </w:r>
      <w:r w:rsidRPr="00AF3214">
        <w:rPr>
          <w:rFonts w:ascii="Narkisim" w:hAnsi="Narkisim" w:cs="Narkisim"/>
          <w:rtl/>
        </w:rPr>
        <w:t xml:space="preserve"> הק' דלמ"ד תרי ותרי ספיקא דרבנן, ומדאורייתא מוקמינן אחזקתה, א"כ הוה ודאי ממזר מאשת אח. וה</w:t>
      </w:r>
      <w:r w:rsidRPr="00AF3214">
        <w:rPr>
          <w:rFonts w:ascii="Narkisim" w:hAnsi="Narkisim" w:cs="Narkisim"/>
          <w:b/>
          <w:bCs/>
          <w:rtl/>
        </w:rPr>
        <w:t>רמב"ן</w:t>
      </w:r>
      <w:r w:rsidRPr="00AF3214">
        <w:rPr>
          <w:rFonts w:ascii="Narkisim" w:hAnsi="Narkisim" w:cs="Narkisim"/>
          <w:rtl/>
        </w:rPr>
        <w:t xml:space="preserve"> (קידושין סו. הנ"ל) הביא </w:t>
      </w:r>
      <w:r w:rsidRPr="00AF3214">
        <w:rPr>
          <w:rFonts w:ascii="Narkisim" w:hAnsi="Narkisim" w:cs="Narkisim"/>
          <w:b/>
          <w:bCs/>
          <w:rtl/>
        </w:rPr>
        <w:t>י"מ</w:t>
      </w:r>
      <w:r w:rsidRPr="00AF3214">
        <w:rPr>
          <w:rFonts w:ascii="Narkisim" w:hAnsi="Narkisim" w:cs="Narkisim"/>
          <w:rtl/>
        </w:rPr>
        <w:t xml:space="preserve"> דהוכיחו מכאן דקי"ל דתרי ותרי ספיקא דאורייתא</w:t>
      </w:r>
      <w:r w:rsidRPr="00AF3214">
        <w:rPr>
          <w:rStyle w:val="ac"/>
          <w:rFonts w:ascii="Narkisim" w:hAnsi="Narkisim" w:cs="Narkisim"/>
          <w:rtl/>
        </w:rPr>
        <w:footnoteReference w:id="6062"/>
      </w:r>
      <w:r w:rsidRPr="00AF3214">
        <w:rPr>
          <w:rFonts w:ascii="Narkisim" w:hAnsi="Narkisim" w:cs="Narkisim"/>
        </w:rPr>
        <w:t xml:space="preserve">. </w:t>
      </w:r>
      <w:r w:rsidRPr="00AF3214">
        <w:rPr>
          <w:rFonts w:ascii="Narkisim" w:hAnsi="Narkisim" w:cs="Narkisim"/>
          <w:rtl/>
        </w:rPr>
        <w:t xml:space="preserve">אבל </w:t>
      </w:r>
      <w:r w:rsidRPr="00AF3214">
        <w:rPr>
          <w:rFonts w:ascii="Narkisim" w:hAnsi="Narkisim" w:cs="Narkisim"/>
          <w:b/>
          <w:bCs/>
          <w:rtl/>
        </w:rPr>
        <w:t>תוס'</w:t>
      </w:r>
      <w:r w:rsidRPr="00AF3214">
        <w:rPr>
          <w:rFonts w:ascii="Narkisim" w:hAnsi="Narkisim" w:cs="Narkisim"/>
          <w:rtl/>
        </w:rPr>
        <w:t xml:space="preserve"> (כתובות כו:) כת' דקו' הגמ' דמהני דיוקא דידה, ואיתרע לחזקה איסור. ומש"ה הוה רק ספק ממזר</w:t>
      </w:r>
      <w:r w:rsidRPr="00AF3214">
        <w:rPr>
          <w:rFonts w:ascii="Narkisim" w:hAnsi="Narkisim" w:cs="Narkisim"/>
        </w:rPr>
        <w:t>.</w:t>
      </w:r>
    </w:p>
    <w:p w14:paraId="77B255CF" w14:textId="77777777" w:rsidR="006C4368" w:rsidRPr="00AF3214" w:rsidRDefault="006C4368" w:rsidP="006C4368">
      <w:pPr>
        <w:pStyle w:val="a7"/>
        <w:bidi/>
        <w:rPr>
          <w:rFonts w:ascii="Narkisim" w:hAnsi="Narkisim"/>
        </w:rPr>
      </w:pPr>
      <w:r w:rsidRPr="00AF3214">
        <w:rPr>
          <w:rFonts w:ascii="Narkisim" w:hAnsi="Narkisim"/>
          <w:rtl/>
        </w:rPr>
        <w:t xml:space="preserve">ועוד כת' </w:t>
      </w:r>
      <w:r w:rsidRPr="00AF3214">
        <w:rPr>
          <w:rFonts w:ascii="Narkisim" w:hAnsi="Narkisim"/>
          <w:b/>
          <w:bCs/>
          <w:rtl/>
        </w:rPr>
        <w:t>תוס'</w:t>
      </w:r>
      <w:r w:rsidRPr="00AF3214">
        <w:rPr>
          <w:rFonts w:ascii="Narkisim" w:hAnsi="Narkisim"/>
          <w:rtl/>
        </w:rPr>
        <w:t xml:space="preserve"> (כתובות) דכיון דתרי ותרי ספיקא דרבנן אין לנו להעמידה על חזקתה ולהתירו בממזרת</w:t>
      </w:r>
      <w:r w:rsidRPr="00AF3214">
        <w:rPr>
          <w:rStyle w:val="ac"/>
          <w:rFonts w:ascii="Narkisim" w:hAnsi="Narkisim"/>
          <w:rtl/>
        </w:rPr>
        <w:footnoteReference w:id="6063"/>
      </w:r>
      <w:r w:rsidRPr="00AF3214">
        <w:rPr>
          <w:rFonts w:ascii="Narkisim" w:hAnsi="Narkisim"/>
        </w:rPr>
        <w:t xml:space="preserve">. </w:t>
      </w:r>
      <w:r w:rsidRPr="00AF3214">
        <w:rPr>
          <w:rFonts w:ascii="Narkisim" w:hAnsi="Narkisim"/>
          <w:rtl/>
        </w:rPr>
        <w:t>דרבנן החמירו בכל תרי ותרי, והוה ספק ממזר מדרבנן</w:t>
      </w:r>
      <w:r w:rsidRPr="00AF3214">
        <w:rPr>
          <w:rStyle w:val="ac"/>
          <w:rFonts w:ascii="Narkisim" w:hAnsi="Narkisim"/>
          <w:rtl/>
        </w:rPr>
        <w:footnoteReference w:id="6064"/>
      </w:r>
      <w:r w:rsidRPr="00AF3214">
        <w:rPr>
          <w:rFonts w:ascii="Narkisim" w:hAnsi="Narkisim"/>
        </w:rPr>
        <w:t>.</w:t>
      </w:r>
    </w:p>
    <w:p w14:paraId="0F92D566"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דחה דכיון דקדם ונשא [קודם שנתברר], לא אמרי' תרי ותרי להוציאה מתחת בעלה לענין שיהא הולד ממזר גמור</w:t>
      </w:r>
      <w:r w:rsidRPr="00AF3214">
        <w:rPr>
          <w:rStyle w:val="ac"/>
          <w:rFonts w:ascii="Narkisim" w:hAnsi="Narkisim" w:cs="Narkisim"/>
          <w:rtl/>
        </w:rPr>
        <w:footnoteReference w:id="6065"/>
      </w:r>
      <w:r w:rsidRPr="00AF3214">
        <w:rPr>
          <w:rFonts w:ascii="Narkisim" w:hAnsi="Narkisim" w:cs="Narkisim"/>
        </w:rPr>
        <w:t xml:space="preserve">. </w:t>
      </w:r>
      <w:r w:rsidRPr="00AF3214">
        <w:rPr>
          <w:rFonts w:ascii="Narkisim" w:hAnsi="Narkisim" w:cs="Narkisim"/>
          <w:szCs w:val="20"/>
          <w:rtl/>
        </w:rPr>
        <w:t>ומשמע דכוונתו דמהני הא דנשאת בהיתר [וא"א לאוסרה עליו] עכ"פ לענין הולד, וצ"ב</w:t>
      </w:r>
      <w:r w:rsidRPr="00AF3214">
        <w:rPr>
          <w:rStyle w:val="ac"/>
          <w:rFonts w:ascii="Narkisim" w:hAnsi="Narkisim" w:cs="Narkisim"/>
          <w:szCs w:val="20"/>
          <w:rtl/>
        </w:rPr>
        <w:footnoteReference w:id="6066"/>
      </w:r>
      <w:r w:rsidRPr="00AF3214">
        <w:rPr>
          <w:rFonts w:ascii="Narkisim" w:hAnsi="Narkisim" w:cs="Narkisim"/>
        </w:rPr>
        <w:t>.</w:t>
      </w:r>
    </w:p>
    <w:p w14:paraId="0F116387" w14:textId="77777777" w:rsidR="006C4368" w:rsidRPr="00AF3214" w:rsidRDefault="006C4368" w:rsidP="006C4368">
      <w:pPr>
        <w:bidi/>
        <w:rPr>
          <w:rFonts w:ascii="Narkisim" w:hAnsi="Narkisim" w:cs="Narkisim"/>
        </w:rPr>
      </w:pPr>
      <w:r w:rsidRPr="00AF3214">
        <w:rPr>
          <w:rFonts w:ascii="Narkisim" w:hAnsi="Narkisim" w:cs="Narkisim"/>
          <w:u w:val="single"/>
          <w:rtl/>
        </w:rPr>
        <w:t>שם. ספק ממזר</w:t>
      </w:r>
      <w:r w:rsidRPr="00AF3214">
        <w:rPr>
          <w:rFonts w:ascii="Narkisim" w:hAnsi="Narkisim" w:cs="Narkisim"/>
          <w:rtl/>
        </w:rPr>
        <w:t>. וה</w:t>
      </w:r>
      <w:r w:rsidRPr="00AF3214">
        <w:rPr>
          <w:rFonts w:ascii="Narkisim" w:hAnsi="Narkisim" w:cs="Narkisim"/>
          <w:b/>
          <w:bCs/>
          <w:rtl/>
        </w:rPr>
        <w:t>בית מאיר</w:t>
      </w:r>
      <w:r w:rsidRPr="00AF3214">
        <w:rPr>
          <w:rFonts w:ascii="Narkisim" w:hAnsi="Narkisim" w:cs="Narkisim"/>
          <w:rtl/>
        </w:rPr>
        <w:t xml:space="preserve"> (קנב ג) דייק דבפשוטו איירי בטוענים ברי, ומש"ה לא תצא [וכמ"ש </w:t>
      </w:r>
      <w:r w:rsidRPr="00AF3214">
        <w:rPr>
          <w:rFonts w:ascii="Narkisim" w:hAnsi="Narkisim" w:cs="Narkisim"/>
          <w:b/>
          <w:bCs/>
          <w:rtl/>
        </w:rPr>
        <w:t>תוס'</w:t>
      </w:r>
      <w:r w:rsidRPr="00AF3214">
        <w:rPr>
          <w:rFonts w:ascii="Narkisim" w:hAnsi="Narkisim" w:cs="Narkisim"/>
          <w:rtl/>
        </w:rPr>
        <w:t xml:space="preserve"> ד"ה מאי</w:t>
      </w:r>
      <w:r w:rsidRPr="00AF3214">
        <w:rPr>
          <w:rStyle w:val="ac"/>
          <w:rFonts w:ascii="Narkisim" w:hAnsi="Narkisim" w:cs="Narkisim"/>
          <w:rtl/>
        </w:rPr>
        <w:footnoteReference w:id="6067"/>
      </w:r>
      <w:r w:rsidRPr="00AF3214">
        <w:rPr>
          <w:rFonts w:ascii="Narkisim" w:hAnsi="Narkisim" w:cs="Narkisim"/>
          <w:rtl/>
        </w:rPr>
        <w:t>]. ואפ"ה הולד ספק ממזר</w:t>
      </w:r>
      <w:r w:rsidRPr="00AF3214">
        <w:rPr>
          <w:rStyle w:val="ac"/>
          <w:rFonts w:ascii="Narkisim" w:hAnsi="Narkisim" w:cs="Narkisim"/>
          <w:rtl/>
        </w:rPr>
        <w:footnoteReference w:id="6068"/>
      </w:r>
      <w:r w:rsidRPr="00AF3214">
        <w:rPr>
          <w:rFonts w:ascii="Narkisim" w:hAnsi="Narkisim" w:cs="Narkisim"/>
        </w:rPr>
        <w:t>.</w:t>
      </w:r>
    </w:p>
    <w:p w14:paraId="2923F1BC"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רמב"ם</w:t>
      </w:r>
      <w:r w:rsidRPr="00AF3214">
        <w:rPr>
          <w:rFonts w:ascii="Narkisim" w:hAnsi="Narkisim"/>
          <w:rtl/>
        </w:rPr>
        <w:t xml:space="preserve"> (גירושין יב ז, ו</w:t>
      </w:r>
      <w:r w:rsidRPr="00AF3214">
        <w:rPr>
          <w:rFonts w:ascii="Narkisim" w:hAnsi="Narkisim"/>
          <w:b/>
          <w:bCs/>
          <w:rtl/>
        </w:rPr>
        <w:t>טושו"ע</w:t>
      </w:r>
      <w:r w:rsidRPr="00AF3214">
        <w:rPr>
          <w:rFonts w:ascii="Narkisim" w:hAnsi="Narkisim"/>
          <w:rtl/>
        </w:rPr>
        <w:t xml:space="preserve"> קנב ג) פסק</w:t>
      </w:r>
      <w:r w:rsidRPr="00AF3214">
        <w:rPr>
          <w:rStyle w:val="ac"/>
          <w:rFonts w:ascii="Narkisim" w:hAnsi="Narkisim"/>
          <w:rtl/>
        </w:rPr>
        <w:footnoteReference w:id="6069"/>
      </w:r>
      <w:r w:rsidRPr="00AF3214">
        <w:rPr>
          <w:rFonts w:ascii="Narkisim" w:hAnsi="Narkisim"/>
        </w:rPr>
        <w:t xml:space="preserve"> </w:t>
      </w:r>
      <w:r w:rsidRPr="00AF3214">
        <w:rPr>
          <w:rFonts w:ascii="Narkisim" w:hAnsi="Narkisim"/>
          <w:rtl/>
        </w:rPr>
        <w:t>דהיכא דהאשה אומרת שאינה יודעת, או שלא נשאת לעדיה [והבעל אינו יודע] תצא והולד ספק ממזר</w:t>
      </w:r>
      <w:r w:rsidRPr="00AF3214">
        <w:rPr>
          <w:rStyle w:val="ac"/>
          <w:rFonts w:ascii="Narkisim" w:hAnsi="Narkisim"/>
          <w:rtl/>
        </w:rPr>
        <w:footnoteReference w:id="6070"/>
      </w:r>
      <w:r w:rsidRPr="00AF3214">
        <w:rPr>
          <w:rFonts w:ascii="Narkisim" w:hAnsi="Narkisim"/>
        </w:rPr>
        <w:t xml:space="preserve">. </w:t>
      </w:r>
      <w:r w:rsidRPr="00AF3214">
        <w:rPr>
          <w:rFonts w:ascii="Narkisim" w:hAnsi="Narkisim"/>
          <w:rtl/>
        </w:rPr>
        <w:t>ומבואר דדעת הרמב"ם (והפוסקים) דהיכא דטוענים ברי לא תצא, ואף הולד כשר</w:t>
      </w:r>
      <w:r w:rsidRPr="00AF3214">
        <w:rPr>
          <w:rStyle w:val="ac"/>
          <w:rFonts w:ascii="Narkisim" w:hAnsi="Narkisim"/>
          <w:rtl/>
        </w:rPr>
        <w:footnoteReference w:id="6071"/>
      </w:r>
      <w:r w:rsidRPr="00AF3214">
        <w:rPr>
          <w:rFonts w:ascii="Narkisim" w:hAnsi="Narkisim"/>
        </w:rPr>
        <w:t>.</w:t>
      </w:r>
    </w:p>
    <w:p w14:paraId="62FD7BE8" w14:textId="77777777" w:rsidR="006C4368" w:rsidRPr="00AF3214" w:rsidRDefault="006C4368" w:rsidP="006C4368">
      <w:pPr>
        <w:pStyle w:val="a8"/>
        <w:bidi/>
        <w:rPr>
          <w:rFonts w:ascii="Narkisim" w:hAnsi="Narkisim"/>
        </w:rPr>
      </w:pPr>
      <w:r w:rsidRPr="00AF3214">
        <w:rPr>
          <w:rFonts w:ascii="Narkisim" w:hAnsi="Narkisim"/>
          <w:rtl/>
        </w:rPr>
        <w:t>וביאר דאין זה סברא שהם מותרים, והולד ספק ממזר. דא"כ ראוי שתצא שלא להרבות ספק ממזרים</w:t>
      </w:r>
      <w:r w:rsidRPr="00AF3214">
        <w:rPr>
          <w:rFonts w:ascii="Narkisim" w:hAnsi="Narkisim"/>
        </w:rPr>
        <w:t>.</w:t>
      </w:r>
    </w:p>
    <w:p w14:paraId="31875F7B"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בית מאיר</w:t>
      </w:r>
      <w:r w:rsidRPr="00AF3214">
        <w:rPr>
          <w:rFonts w:ascii="Narkisim" w:hAnsi="Narkisim"/>
          <w:rtl/>
        </w:rPr>
        <w:t xml:space="preserve"> כת' דעפ"ז יל"פ כוונת הגמ' 'ועוד', דאפי' אינם טוענים ברי, עכ"פ הוה ספק ממזר. [אבל לדברי התוס' לולי 'דייקא' הוה ודאי ממזר. א"כ אין לפרש סברת ה'ועוד' עד"ז]</w:t>
      </w:r>
      <w:r w:rsidRPr="00AF3214">
        <w:rPr>
          <w:rFonts w:ascii="Narkisim" w:hAnsi="Narkisim"/>
        </w:rPr>
        <w:t>.</w:t>
      </w:r>
    </w:p>
    <w:p w14:paraId="3166B040" w14:textId="77777777" w:rsidR="006C4368" w:rsidRPr="00AF3214" w:rsidRDefault="006C4368" w:rsidP="006C4368">
      <w:pPr>
        <w:pStyle w:val="aa"/>
        <w:bidi/>
        <w:rPr>
          <w:rFonts w:ascii="Narkisim" w:hAnsi="Narkisim"/>
        </w:rPr>
      </w:pPr>
      <w:r w:rsidRPr="00AF3214">
        <w:rPr>
          <w:rFonts w:ascii="Narkisim" w:hAnsi="Narkisim"/>
          <w:rtl/>
        </w:rPr>
        <w:lastRenderedPageBreak/>
        <w:t>וה</w:t>
      </w:r>
      <w:r w:rsidRPr="00AF3214">
        <w:rPr>
          <w:rFonts w:ascii="Narkisim" w:hAnsi="Narkisim"/>
          <w:b/>
          <w:bCs/>
          <w:rtl/>
        </w:rPr>
        <w:t>בי"מ</w:t>
      </w:r>
      <w:r w:rsidRPr="00AF3214">
        <w:rPr>
          <w:rFonts w:ascii="Narkisim" w:hAnsi="Narkisim"/>
          <w:rtl/>
        </w:rPr>
        <w:t xml:space="preserve"> (שם) דייק [מלשון הרמב"ם והשו"ע] דהיכא דהאשה טוענת ברי והבעל אינו יודע הוה ספק ממזר</w:t>
      </w:r>
      <w:r w:rsidRPr="00AF3214">
        <w:rPr>
          <w:rStyle w:val="ac"/>
          <w:rFonts w:ascii="Narkisim" w:hAnsi="Narkisim"/>
          <w:rtl/>
        </w:rPr>
        <w:footnoteReference w:id="6072"/>
      </w:r>
      <w:r w:rsidRPr="00AF3214">
        <w:rPr>
          <w:rFonts w:ascii="Narkisim" w:hAnsi="Narkisim"/>
        </w:rPr>
        <w:t xml:space="preserve">, </w:t>
      </w:r>
      <w:r w:rsidRPr="00AF3214">
        <w:rPr>
          <w:rFonts w:ascii="Narkisim" w:hAnsi="Narkisim"/>
          <w:rtl/>
        </w:rPr>
        <w:t>והק' א"כ מ"ש היכא דשניהם טוענים ברי</w:t>
      </w:r>
      <w:r w:rsidRPr="00AF3214">
        <w:rPr>
          <w:rStyle w:val="ac"/>
          <w:rFonts w:ascii="Narkisim" w:hAnsi="Narkisim"/>
          <w:rtl/>
        </w:rPr>
        <w:footnoteReference w:id="6073"/>
      </w:r>
      <w:r w:rsidRPr="00AF3214">
        <w:rPr>
          <w:rFonts w:ascii="Narkisim" w:hAnsi="Narkisim"/>
        </w:rPr>
        <w:t xml:space="preserve">. </w:t>
      </w:r>
      <w:r w:rsidRPr="00AF3214">
        <w:rPr>
          <w:rFonts w:ascii="Narkisim" w:hAnsi="Narkisim"/>
          <w:rtl/>
        </w:rPr>
        <w:t>וה</w:t>
      </w:r>
      <w:r w:rsidRPr="00AF3214">
        <w:rPr>
          <w:rFonts w:ascii="Narkisim" w:hAnsi="Narkisim"/>
          <w:b/>
          <w:bCs/>
          <w:rtl/>
        </w:rPr>
        <w:t>או"ש</w:t>
      </w:r>
      <w:r w:rsidRPr="00AF3214">
        <w:rPr>
          <w:rFonts w:ascii="Narkisim" w:hAnsi="Narkisim"/>
          <w:rtl/>
        </w:rPr>
        <w:t xml:space="preserve"> (שם, וכן החמד"ש כתובות כב:) כת' דמדינא הוה ספק ממזר, וספק ממזר מותר מדאורייתא. וכיון דהדין נשאת לא תצא לא החמירו על הבנים</w:t>
      </w:r>
      <w:r w:rsidRPr="00AF3214">
        <w:rPr>
          <w:rFonts w:ascii="Narkisim" w:hAnsi="Narkisim"/>
        </w:rPr>
        <w:t>.</w:t>
      </w:r>
    </w:p>
    <w:p w14:paraId="4B84546D" w14:textId="77777777" w:rsidR="006C4368" w:rsidRPr="00AF3214" w:rsidRDefault="006C4368" w:rsidP="006C4368">
      <w:pPr>
        <w:pStyle w:val="2"/>
        <w:bidi/>
        <w:rPr>
          <w:rFonts w:ascii="Narkisim" w:hAnsi="Narkisim"/>
        </w:rPr>
      </w:pPr>
      <w:r w:rsidRPr="00AF3214">
        <w:rPr>
          <w:rFonts w:ascii="Narkisim" w:hAnsi="Narkisim"/>
          <w:rtl/>
        </w:rPr>
        <w:t>עד א' להתיר יבמה לעלמא</w:t>
      </w:r>
    </w:p>
    <w:p w14:paraId="2EA7B6E2" w14:textId="77777777" w:rsidR="006C4368" w:rsidRPr="00AF3214" w:rsidRDefault="006C4368" w:rsidP="006C4368">
      <w:pPr>
        <w:bidi/>
        <w:rPr>
          <w:rFonts w:ascii="Narkisim" w:hAnsi="Narkisim" w:cs="Narkisim"/>
        </w:rPr>
      </w:pPr>
      <w:r w:rsidRPr="00AF3214">
        <w:rPr>
          <w:rFonts w:ascii="Narkisim" w:hAnsi="Narkisim" w:cs="Narkisim"/>
          <w:u w:val="single"/>
          <w:rtl/>
        </w:rPr>
        <w:t>וא"ד הא לא תבעי לך, דאפי' איהי נמי מהימנא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(ד"ה כי) בתי' הא' נקט דכוונת הגמ' דבכל מקום שהיא נאמנת, אף העד נאמן. [אבל עד א' על מיתת הבן שתתייבם הוה ספק, דהא האשה אינה נאמנת]</w:t>
      </w:r>
      <w:r w:rsidRPr="00AF3214">
        <w:rPr>
          <w:rFonts w:ascii="Narkisim" w:hAnsi="Narkisim" w:cs="Narkisim"/>
        </w:rPr>
        <w:t>.</w:t>
      </w:r>
    </w:p>
    <w:p w14:paraId="731FDB68" w14:textId="77777777" w:rsidR="006C4368" w:rsidRPr="00AF3214" w:rsidRDefault="006C4368" w:rsidP="006C4368">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בתי' הב' כת' דכוונת הגמ' דכיון דהיא נאמנת [ולא חיישינן לרחומי], אף העד נאמן. ולא משום דתלינן נאמנות העד בהא דהיא נאמנת</w:t>
      </w:r>
      <w:r w:rsidRPr="00AF3214">
        <w:rPr>
          <w:rFonts w:ascii="Narkisim" w:hAnsi="Narkisim"/>
        </w:rPr>
        <w:t>.</w:t>
      </w:r>
    </w:p>
    <w:p w14:paraId="283126C9" w14:textId="77777777" w:rsidR="006C4368" w:rsidRPr="00AF3214" w:rsidRDefault="006C4368" w:rsidP="006C4368">
      <w:pPr>
        <w:pStyle w:val="aa"/>
        <w:bidi/>
        <w:rPr>
          <w:rFonts w:ascii="Narkisim" w:hAnsi="Narkisim"/>
        </w:rPr>
      </w:pPr>
      <w:r w:rsidRPr="00AF3214">
        <w:rPr>
          <w:rFonts w:ascii="Narkisim" w:hAnsi="Narkisim"/>
          <w:u w:val="single"/>
          <w:rtl/>
        </w:rPr>
        <w:t>שם. דאפי' איהי נמי מהימנא</w:t>
      </w:r>
      <w:r w:rsidRPr="00AF3214">
        <w:rPr>
          <w:rFonts w:ascii="Narkisim" w:hAnsi="Narkisim"/>
          <w:rtl/>
        </w:rPr>
        <w:t>. לכאורה הגמ' חוזרת מהסברא דלא דייקא כיון דרחמא, דחזינן שהיא נאמנת וע"כ דדייקא. ו</w:t>
      </w:r>
      <w:r w:rsidRPr="00AF3214">
        <w:rPr>
          <w:rFonts w:ascii="Narkisim" w:hAnsi="Narkisim"/>
          <w:b/>
          <w:bCs/>
          <w:rtl/>
        </w:rPr>
        <w:t>ראב"ן</w:t>
      </w:r>
      <w:r w:rsidRPr="00AF3214">
        <w:rPr>
          <w:rFonts w:ascii="Narkisim" w:hAnsi="Narkisim"/>
          <w:rtl/>
        </w:rPr>
        <w:t xml:space="preserve"> ביאר דהיא גופא מהימנא, דטעמא משום דמיקלקלא ומש"ה דייקא ומינסבא. עד א' נמי, כיון דמיקלקלא דפגע באיסור אשת אח שהוא בכרת, מש"ה דייקא ומינסבא</w:t>
      </w:r>
      <w:r w:rsidRPr="00AF3214">
        <w:rPr>
          <w:rFonts w:ascii="Narkisim" w:hAnsi="Narkisim"/>
        </w:rPr>
        <w:t>.</w:t>
      </w:r>
    </w:p>
    <w:p w14:paraId="00A9A632" w14:textId="77777777" w:rsidR="006C4368" w:rsidRPr="00AF3214" w:rsidRDefault="006C4368" w:rsidP="006C4368">
      <w:pPr>
        <w:pStyle w:val="a8"/>
        <w:bidi/>
        <w:rPr>
          <w:rFonts w:ascii="Narkisim" w:hAnsi="Narkisim"/>
        </w:rPr>
      </w:pPr>
      <w:r w:rsidRPr="00AF3214">
        <w:rPr>
          <w:rFonts w:ascii="Narkisim" w:hAnsi="Narkisim"/>
          <w:rtl/>
        </w:rPr>
        <w:t>וביאר דהגמ' מסתפקת להתיר יבמה לשוק [מת בעליך ואח"כ מת בנך], כיון דהוה איסור לאו בעלמא, לא מיקלקלא. מש"ה לא דייקא</w:t>
      </w:r>
      <w:r w:rsidRPr="00AF3214">
        <w:rPr>
          <w:rStyle w:val="ac"/>
          <w:rFonts w:ascii="Narkisim" w:hAnsi="Narkisim"/>
          <w:rtl/>
        </w:rPr>
        <w:footnoteReference w:id="6074"/>
      </w:r>
      <w:r w:rsidRPr="00AF3214">
        <w:rPr>
          <w:rFonts w:ascii="Narkisim" w:hAnsi="Narkisim"/>
        </w:rPr>
        <w:t>.</w:t>
      </w:r>
    </w:p>
    <w:p w14:paraId="07596FFC" w14:textId="77777777" w:rsidR="006C4368" w:rsidRPr="00AF3214" w:rsidRDefault="006C4368" w:rsidP="006C4368">
      <w:pPr>
        <w:bidi/>
        <w:rPr>
          <w:rFonts w:ascii="Narkisim" w:hAnsi="Narkisim" w:cs="Narkisim"/>
        </w:rPr>
      </w:pPr>
      <w:r w:rsidRPr="00AF3214">
        <w:rPr>
          <w:rFonts w:ascii="Narkisim" w:hAnsi="Narkisim" w:cs="Narkisim"/>
          <w:u w:val="single"/>
          <w:rtl/>
        </w:rPr>
        <w:t>כי תיבעי לך למישרי יבמה לעלמא וכו' טעמא דע"א וכו'</w:t>
      </w:r>
      <w:r w:rsidRPr="00AF3214">
        <w:rPr>
          <w:rFonts w:ascii="Narkisim" w:hAnsi="Narkisim" w:cs="Narkisim"/>
          <w:rtl/>
        </w:rPr>
        <w:t xml:space="preserve">. </w:t>
      </w:r>
      <w:r w:rsidRPr="00AF3214">
        <w:rPr>
          <w:rFonts w:ascii="Narkisim" w:hAnsi="Narkisim" w:cs="Narkisim"/>
          <w:b/>
          <w:bCs/>
          <w:rtl/>
        </w:rPr>
        <w:t>רע"א</w:t>
      </w:r>
      <w:r w:rsidRPr="00AF3214">
        <w:rPr>
          <w:rFonts w:ascii="Narkisim" w:hAnsi="Narkisim" w:cs="Narkisim"/>
          <w:rtl/>
        </w:rPr>
        <w:t xml:space="preserve"> (שו"ת קכד) הביא</w:t>
      </w:r>
      <w:r w:rsidRPr="00AF3214">
        <w:rPr>
          <w:rStyle w:val="ac"/>
          <w:rFonts w:ascii="Narkisim" w:hAnsi="Narkisim" w:cs="Narkisim"/>
          <w:rtl/>
        </w:rPr>
        <w:footnoteReference w:id="6075"/>
      </w:r>
      <w:r w:rsidRPr="00AF3214">
        <w:rPr>
          <w:rFonts w:ascii="Narkisim" w:hAnsi="Narkisim" w:cs="Narkisim"/>
        </w:rPr>
        <w:t xml:space="preserve"> </w:t>
      </w:r>
      <w:r w:rsidRPr="00AF3214">
        <w:rPr>
          <w:rFonts w:ascii="Narkisim" w:hAnsi="Narkisim" w:cs="Narkisim"/>
          <w:rtl/>
        </w:rPr>
        <w:t>דמבואר דדנו מצד עד א' דמיתת הבעל, ומבואר דל"מ משום עד א' נאמן באיסורין. אלא משום קולא דמילתא דעבידא לאיגלויי ודייקא ומינסבא</w:t>
      </w:r>
      <w:r w:rsidRPr="00AF3214">
        <w:rPr>
          <w:rFonts w:ascii="Narkisim" w:hAnsi="Narkisim" w:cs="Narkisim"/>
        </w:rPr>
        <w:t>.</w:t>
      </w:r>
    </w:p>
    <w:p w14:paraId="0D29C349" w14:textId="77777777" w:rsidR="006C4368" w:rsidRPr="00AF3214" w:rsidRDefault="006C4368" w:rsidP="006C4368">
      <w:pPr>
        <w:pStyle w:val="a7"/>
        <w:bidi/>
        <w:rPr>
          <w:rFonts w:ascii="Narkisim" w:hAnsi="Narkisim"/>
        </w:rPr>
      </w:pPr>
      <w:r w:rsidRPr="00AF3214">
        <w:rPr>
          <w:rFonts w:ascii="Narkisim" w:hAnsi="Narkisim"/>
          <w:rtl/>
        </w:rPr>
        <w:t>ובשלמא לדברי ה</w:t>
      </w:r>
      <w:r w:rsidRPr="00AF3214">
        <w:rPr>
          <w:rFonts w:ascii="Narkisim" w:hAnsi="Narkisim"/>
          <w:b/>
          <w:bCs/>
          <w:rtl/>
        </w:rPr>
        <w:t>ראשונים</w:t>
      </w:r>
      <w:r w:rsidRPr="00AF3214">
        <w:rPr>
          <w:rFonts w:ascii="Narkisim" w:hAnsi="Narkisim"/>
          <w:rtl/>
        </w:rPr>
        <w:t xml:space="preserve"> (ע' תוס' קידושין סה:, ע"פ הגמ' לעיל פח.) דע"א אינו נאמן אף באיסורין נגד איתחזק איסורא י"ל דמש"ה דנו משום עבידא לאיגלויי. אבל לדעת ה</w:t>
      </w:r>
      <w:r w:rsidRPr="00AF3214">
        <w:rPr>
          <w:rFonts w:ascii="Narkisim" w:hAnsi="Narkisim"/>
          <w:b/>
          <w:bCs/>
          <w:rtl/>
        </w:rPr>
        <w:t>ראשונים</w:t>
      </w:r>
      <w:r w:rsidRPr="00AF3214">
        <w:rPr>
          <w:rFonts w:ascii="Narkisim" w:hAnsi="Narkisim"/>
          <w:rtl/>
        </w:rPr>
        <w:t xml:space="preserve"> (רמב"ן, הו' שם) דעד א' נאמן באיסורא אף דאיתחזק איסורא</w:t>
      </w:r>
      <w:r w:rsidRPr="00AF3214">
        <w:rPr>
          <w:rStyle w:val="ac"/>
          <w:rFonts w:ascii="Narkisim" w:hAnsi="Narkisim"/>
          <w:rtl/>
        </w:rPr>
        <w:footnoteReference w:id="6076"/>
      </w:r>
      <w:r w:rsidRPr="00AF3214">
        <w:rPr>
          <w:rFonts w:ascii="Narkisim" w:hAnsi="Narkisim"/>
        </w:rPr>
        <w:t xml:space="preserve">, </w:t>
      </w:r>
      <w:r w:rsidRPr="00AF3214">
        <w:rPr>
          <w:rFonts w:ascii="Narkisim" w:hAnsi="Narkisim"/>
          <w:rtl/>
        </w:rPr>
        <w:t>א"כ מוכח דיבמה לשוק הוה דבר שבערוה [אף דהוה חייבי לאוין]</w:t>
      </w:r>
      <w:r w:rsidRPr="00AF3214">
        <w:rPr>
          <w:rFonts w:ascii="Narkisim" w:hAnsi="Narkisim"/>
        </w:rPr>
        <w:t>.</w:t>
      </w:r>
    </w:p>
    <w:p w14:paraId="163570FF"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מרדכי</w:t>
      </w:r>
      <w:r w:rsidRPr="00AF3214">
        <w:rPr>
          <w:rFonts w:ascii="Narkisim" w:hAnsi="Narkisim"/>
          <w:rtl/>
        </w:rPr>
        <w:t xml:space="preserve"> (נח בשם אביאסף) כת' דהיתר יבמה לשוק צריך עדות דהוה דבר שבערוה</w:t>
      </w:r>
      <w:r w:rsidRPr="00AF3214">
        <w:rPr>
          <w:rStyle w:val="ac"/>
          <w:rFonts w:ascii="Narkisim" w:hAnsi="Narkisim"/>
          <w:rtl/>
        </w:rPr>
        <w:footnoteReference w:id="6077"/>
      </w:r>
      <w:r w:rsidRPr="00AF3214">
        <w:rPr>
          <w:rFonts w:ascii="Narkisim" w:hAnsi="Narkisim"/>
        </w:rPr>
        <w:t xml:space="preserve">, </w:t>
      </w:r>
      <w:r w:rsidRPr="00AF3214">
        <w:rPr>
          <w:rFonts w:ascii="Narkisim" w:hAnsi="Narkisim"/>
          <w:rtl/>
        </w:rPr>
        <w:t>כיון דספק אי תפסי קידושין</w:t>
      </w:r>
      <w:r w:rsidRPr="00AF3214">
        <w:rPr>
          <w:rStyle w:val="ac"/>
          <w:rFonts w:ascii="Narkisim" w:hAnsi="Narkisim"/>
          <w:rtl/>
        </w:rPr>
        <w:footnoteReference w:id="6078"/>
      </w:r>
      <w:r w:rsidRPr="00AF3214">
        <w:rPr>
          <w:rFonts w:ascii="Narkisim" w:hAnsi="Narkisim"/>
        </w:rPr>
        <w:t xml:space="preserve">. </w:t>
      </w:r>
      <w:r w:rsidRPr="00AF3214">
        <w:rPr>
          <w:rFonts w:ascii="Narkisim" w:hAnsi="Narkisim"/>
          <w:rtl/>
        </w:rPr>
        <w:t>ומבואר דהנידון אי הוה דבר שבערוה וצריך עדות תלי במח' אי קידושין תופסים</w:t>
      </w:r>
      <w:r w:rsidRPr="00AF3214">
        <w:rPr>
          <w:rStyle w:val="ac"/>
          <w:rFonts w:ascii="Narkisim" w:hAnsi="Narkisim"/>
          <w:rtl/>
        </w:rPr>
        <w:footnoteReference w:id="6079"/>
      </w:r>
      <w:r w:rsidRPr="00AF3214">
        <w:rPr>
          <w:rFonts w:ascii="Narkisim" w:hAnsi="Narkisim"/>
        </w:rPr>
        <w:t xml:space="preserve"> </w:t>
      </w:r>
      <w:r w:rsidRPr="00AF3214">
        <w:rPr>
          <w:rFonts w:ascii="Narkisim" w:hAnsi="Narkisim"/>
          <w:rtl/>
        </w:rPr>
        <w:t>ביבמה</w:t>
      </w:r>
      <w:r w:rsidRPr="00AF3214">
        <w:rPr>
          <w:rStyle w:val="ac"/>
          <w:rFonts w:ascii="Narkisim" w:hAnsi="Narkisim"/>
          <w:rtl/>
        </w:rPr>
        <w:footnoteReference w:id="6080"/>
      </w:r>
      <w:r w:rsidRPr="00AF3214">
        <w:rPr>
          <w:rFonts w:ascii="Narkisim" w:hAnsi="Narkisim"/>
        </w:rPr>
        <w:t>.</w:t>
      </w:r>
    </w:p>
    <w:p w14:paraId="1B3C9B93" w14:textId="77777777" w:rsidR="006C4368" w:rsidRPr="00AF3214" w:rsidRDefault="006C4368" w:rsidP="006C4368">
      <w:pPr>
        <w:pStyle w:val="a8"/>
        <w:bidi/>
        <w:rPr>
          <w:rFonts w:ascii="Narkisim" w:hAnsi="Narkisim"/>
        </w:rPr>
      </w:pPr>
      <w:r w:rsidRPr="00AF3214">
        <w:rPr>
          <w:rFonts w:ascii="Narkisim" w:hAnsi="Narkisim"/>
          <w:rtl/>
        </w:rPr>
        <w:t>ובהמשך דברי ה</w:t>
      </w:r>
      <w:r w:rsidRPr="00AF3214">
        <w:rPr>
          <w:rFonts w:ascii="Narkisim" w:hAnsi="Narkisim"/>
          <w:b/>
          <w:bCs/>
          <w:rtl/>
        </w:rPr>
        <w:t>מרדכי</w:t>
      </w:r>
      <w:r w:rsidRPr="00AF3214">
        <w:rPr>
          <w:rFonts w:ascii="Narkisim" w:hAnsi="Narkisim"/>
          <w:rtl/>
        </w:rPr>
        <w:t xml:space="preserve"> (נט בשם רבינו יואל) הביא דכללא הוא כל היכא דאיתחזק איסורא, כגון טבל ואשת </w:t>
      </w:r>
      <w:r w:rsidRPr="00AF3214">
        <w:rPr>
          <w:rFonts w:ascii="Narkisim" w:hAnsi="Narkisim"/>
          <w:rtl/>
        </w:rPr>
        <w:lastRenderedPageBreak/>
        <w:t>איש, ל"מ אלא בעדים. [משמע דלא חילק בין דבר שבערוה לשאר איסורין</w:t>
      </w:r>
      <w:r w:rsidRPr="00AF3214">
        <w:rPr>
          <w:rStyle w:val="ac"/>
          <w:rFonts w:ascii="Narkisim" w:hAnsi="Narkisim"/>
          <w:rtl/>
        </w:rPr>
        <w:footnoteReference w:id="6081"/>
      </w:r>
      <w:r w:rsidRPr="00AF3214">
        <w:rPr>
          <w:rFonts w:ascii="Narkisim" w:hAnsi="Narkisim"/>
          <w:rtl/>
        </w:rPr>
        <w:t>]</w:t>
      </w:r>
      <w:r w:rsidRPr="00AF3214">
        <w:rPr>
          <w:rFonts w:ascii="Narkisim" w:hAnsi="Narkisim"/>
        </w:rPr>
        <w:t>.</w:t>
      </w:r>
    </w:p>
    <w:p w14:paraId="7F2929AE" w14:textId="77777777" w:rsidR="006C4368" w:rsidRPr="00AF3214" w:rsidRDefault="006C4368" w:rsidP="006C4368">
      <w:pPr>
        <w:pStyle w:val="a8"/>
        <w:bidi/>
        <w:rPr>
          <w:rFonts w:ascii="Narkisim" w:hAnsi="Narkisim"/>
        </w:rPr>
      </w:pPr>
      <w:r w:rsidRPr="00AF3214">
        <w:rPr>
          <w:rFonts w:ascii="Narkisim" w:hAnsi="Narkisim"/>
          <w:rtl/>
        </w:rPr>
        <w:t>וב</w:t>
      </w:r>
      <w:r w:rsidRPr="00AF3214">
        <w:rPr>
          <w:rFonts w:ascii="Narkisim" w:hAnsi="Narkisim"/>
          <w:b/>
          <w:bCs/>
          <w:rtl/>
        </w:rPr>
        <w:t>שו"ת הרא"ש</w:t>
      </w:r>
      <w:r w:rsidRPr="00AF3214">
        <w:rPr>
          <w:rFonts w:ascii="Narkisim" w:hAnsi="Narkisim"/>
          <w:rtl/>
        </w:rPr>
        <w:t xml:space="preserve"> (נב ה, הו' בב"י קנז) כת' דעד א' אינו נאמן להעיד שזקוקה ליבם, וכמו שאינו נאמן שנטמאו טהרותיו, וכדיני איסורין</w:t>
      </w:r>
      <w:r w:rsidRPr="00AF3214">
        <w:rPr>
          <w:rFonts w:ascii="Narkisim" w:hAnsi="Narkisim"/>
        </w:rPr>
        <w:t>.</w:t>
      </w:r>
    </w:p>
    <w:p w14:paraId="69310782" w14:textId="77777777" w:rsidR="006C4368" w:rsidRPr="00AF3214" w:rsidRDefault="006C4368" w:rsidP="006C4368">
      <w:pPr>
        <w:pStyle w:val="a8"/>
        <w:bidi/>
        <w:rPr>
          <w:rFonts w:ascii="Narkisim" w:hAnsi="Narkisim"/>
        </w:rPr>
      </w:pPr>
      <w:r w:rsidRPr="00AF3214">
        <w:rPr>
          <w:rFonts w:ascii="Narkisim" w:eastAsia="Narkisim" w:hAnsi="Narkisim"/>
          <w:rtl/>
        </w:rPr>
        <w:t>וה</w:t>
      </w:r>
      <w:r w:rsidRPr="00AF3214">
        <w:rPr>
          <w:rFonts w:ascii="Narkisim" w:eastAsia="Narkisim" w:hAnsi="Narkisim"/>
          <w:b/>
          <w:bCs/>
          <w:rtl/>
        </w:rPr>
        <w:t>אתוון דאורייתא</w:t>
      </w:r>
      <w:r w:rsidRPr="00AF3214">
        <w:rPr>
          <w:rFonts w:ascii="Narkisim" w:eastAsia="Narkisim" w:hAnsi="Narkisim"/>
          <w:rtl/>
        </w:rPr>
        <w:t xml:space="preserve"> (ח) הביא מהמרדכי (הנ"ל) דזיקת היבום נחשב 'ערוה', משום דאין קידושין תופסים ביבמה. ועוד דן האתוון דתלי בחקירה האם גדר זיקה ליבום משום המשך מאישות המת, מש"ה נחשב דבר שבערוה. וה</w:t>
      </w:r>
      <w:r w:rsidRPr="00AF3214">
        <w:rPr>
          <w:rFonts w:ascii="Narkisim" w:eastAsia="Narkisim" w:hAnsi="Narkisim"/>
          <w:b/>
          <w:bCs/>
          <w:rtl/>
        </w:rPr>
        <w:t>קה"י</w:t>
      </w:r>
      <w:r w:rsidRPr="00AF3214">
        <w:rPr>
          <w:rFonts w:ascii="Narkisim" w:eastAsia="Narkisim" w:hAnsi="Narkisim"/>
          <w:rtl/>
        </w:rPr>
        <w:t xml:space="preserve"> (לג) כת' דהצד דנחשב דבר שבערוה משום דהוה הפקעת זכות היבם</w:t>
      </w:r>
      <w:r w:rsidRPr="00AF3214">
        <w:rPr>
          <w:rFonts w:ascii="Narkisim" w:eastAsia="Narkisim" w:hAnsi="Narkisim"/>
        </w:rPr>
        <w:t>.</w:t>
      </w:r>
    </w:p>
    <w:p w14:paraId="18FA023C"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נוב"י</w:t>
      </w:r>
      <w:r w:rsidRPr="00AF3214">
        <w:rPr>
          <w:rFonts w:ascii="Narkisim" w:hAnsi="Narkisim" w:cs="Narkisim"/>
          <w:rtl/>
        </w:rPr>
        <w:t xml:space="preserve"> (ק' נד) הק' דיבמה לשוק הוה חייבי לאוין בעלמא</w:t>
      </w:r>
      <w:r w:rsidRPr="00AF3214">
        <w:rPr>
          <w:rStyle w:val="ac"/>
          <w:rFonts w:ascii="Narkisim" w:hAnsi="Narkisim" w:cs="Narkisim"/>
          <w:rtl/>
        </w:rPr>
        <w:footnoteReference w:id="6082"/>
      </w:r>
      <w:r w:rsidRPr="00AF3214">
        <w:rPr>
          <w:rFonts w:ascii="Narkisim" w:hAnsi="Narkisim" w:cs="Narkisim"/>
        </w:rPr>
        <w:t xml:space="preserve">. </w:t>
      </w:r>
      <w:r w:rsidRPr="00AF3214">
        <w:rPr>
          <w:rFonts w:ascii="Narkisim" w:hAnsi="Narkisim" w:cs="Narkisim"/>
          <w:rtl/>
        </w:rPr>
        <w:t>ולא קי"ל כר"ע דס"ל דהוה כערוה. דמש"ה ר"ע סבר דנאסרת עליו בזנות [וכדאי' סוטה יח:, הו' לעיל צב:], אלא לדידן לא הוה עריות</w:t>
      </w:r>
      <w:r w:rsidRPr="00AF3214">
        <w:rPr>
          <w:rStyle w:val="ac"/>
          <w:rFonts w:ascii="Narkisim" w:hAnsi="Narkisim" w:cs="Narkisim"/>
          <w:rtl/>
        </w:rPr>
        <w:footnoteReference w:id="6083"/>
      </w:r>
      <w:r w:rsidRPr="00AF3214">
        <w:rPr>
          <w:rFonts w:ascii="Narkisim" w:hAnsi="Narkisim" w:cs="Narkisim"/>
        </w:rPr>
        <w:t>.</w:t>
      </w:r>
    </w:p>
    <w:p w14:paraId="4A3482E0" w14:textId="77777777" w:rsidR="006C4368" w:rsidRPr="00AF3214" w:rsidRDefault="006C4368" w:rsidP="006C4368">
      <w:pPr>
        <w:pStyle w:val="aa"/>
        <w:bidi/>
        <w:rPr>
          <w:rFonts w:ascii="Narkisim" w:hAnsi="Narkisim"/>
        </w:rPr>
      </w:pPr>
      <w:r w:rsidRPr="00AF3214">
        <w:rPr>
          <w:rFonts w:ascii="Narkisim" w:hAnsi="Narkisim"/>
          <w:rtl/>
        </w:rPr>
        <w:t>ומ"מ ה</w:t>
      </w:r>
      <w:r w:rsidRPr="00AF3214">
        <w:rPr>
          <w:rFonts w:ascii="Narkisim" w:hAnsi="Narkisim"/>
          <w:b/>
          <w:bCs/>
          <w:rtl/>
        </w:rPr>
        <w:t>נוב"י</w:t>
      </w:r>
      <w:r w:rsidRPr="00AF3214">
        <w:rPr>
          <w:rFonts w:ascii="Narkisim" w:hAnsi="Narkisim"/>
          <w:rtl/>
        </w:rPr>
        <w:t xml:space="preserve"> הביא דנח' הראשונים</w:t>
      </w:r>
      <w:r w:rsidRPr="00AF3214">
        <w:rPr>
          <w:rStyle w:val="ac"/>
          <w:rFonts w:ascii="Narkisim" w:hAnsi="Narkisim"/>
          <w:rtl/>
        </w:rPr>
        <w:footnoteReference w:id="6084"/>
      </w:r>
      <w:r w:rsidRPr="00AF3214">
        <w:rPr>
          <w:rFonts w:ascii="Narkisim" w:hAnsi="Narkisim"/>
        </w:rPr>
        <w:t xml:space="preserve"> </w:t>
      </w:r>
      <w:r w:rsidRPr="00AF3214">
        <w:rPr>
          <w:rFonts w:ascii="Narkisim" w:hAnsi="Narkisim"/>
          <w:rtl/>
        </w:rPr>
        <w:t>האיך קי"ל בספק דסוגיין, ולצד דל"מ עד א', ע"כ דהוה דבר שבערוה. ואף לסוברים דעד א' נאמן, י"ל דהוה מטעם דייקא קצת או דעבידא לאיגלויי [כדמפורש בגמ'</w:t>
      </w:r>
      <w:r w:rsidRPr="00AF3214">
        <w:rPr>
          <w:rStyle w:val="ac"/>
          <w:rFonts w:ascii="Narkisim" w:hAnsi="Narkisim"/>
          <w:rtl/>
        </w:rPr>
        <w:footnoteReference w:id="6085"/>
      </w:r>
      <w:r w:rsidRPr="00AF3214">
        <w:rPr>
          <w:rFonts w:ascii="Narkisim" w:hAnsi="Narkisim"/>
          <w:rtl/>
        </w:rPr>
        <w:t>]</w:t>
      </w:r>
      <w:r w:rsidRPr="00AF3214">
        <w:rPr>
          <w:rFonts w:ascii="Narkisim" w:hAnsi="Narkisim"/>
        </w:rPr>
        <w:t>.</w:t>
      </w:r>
    </w:p>
    <w:p w14:paraId="5B8DA55D"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נוב"י</w:t>
      </w:r>
      <w:r w:rsidRPr="00AF3214">
        <w:rPr>
          <w:rFonts w:ascii="Narkisim" w:hAnsi="Narkisim"/>
          <w:rtl/>
        </w:rPr>
        <w:t xml:space="preserve"> (ד"ה ובגוף הדין) כת' דמשמע בסוגיין דהטעם דעד א' אינו נאמן ביבמה לשוק משום סברת מסנא סני ליה</w:t>
      </w:r>
      <w:r w:rsidRPr="00AF3214">
        <w:rPr>
          <w:rStyle w:val="ac"/>
          <w:rFonts w:ascii="Narkisim" w:hAnsi="Narkisim"/>
          <w:rtl/>
        </w:rPr>
        <w:footnoteReference w:id="6086"/>
      </w:r>
      <w:r w:rsidRPr="00AF3214">
        <w:rPr>
          <w:rFonts w:ascii="Narkisim" w:hAnsi="Narkisim"/>
        </w:rPr>
        <w:t xml:space="preserve">, </w:t>
      </w:r>
      <w:r w:rsidRPr="00AF3214">
        <w:rPr>
          <w:rFonts w:ascii="Narkisim" w:hAnsi="Narkisim"/>
          <w:rtl/>
        </w:rPr>
        <w:t>ולא הוה דבר שבערוה</w:t>
      </w:r>
      <w:r w:rsidRPr="00AF3214">
        <w:rPr>
          <w:rStyle w:val="ac"/>
          <w:rFonts w:ascii="Narkisim" w:hAnsi="Narkisim"/>
          <w:rtl/>
        </w:rPr>
        <w:footnoteReference w:id="6087"/>
      </w:r>
      <w:r w:rsidRPr="00AF3214">
        <w:rPr>
          <w:rFonts w:ascii="Narkisim" w:hAnsi="Narkisim"/>
        </w:rPr>
        <w:t xml:space="preserve">. </w:t>
      </w:r>
      <w:r w:rsidRPr="00AF3214">
        <w:rPr>
          <w:rFonts w:ascii="Narkisim" w:hAnsi="Narkisim"/>
          <w:rtl/>
        </w:rPr>
        <w:t>אך דחה דמשמע דה"מ היכא דעבידא לאיגלויי</w:t>
      </w:r>
      <w:r w:rsidRPr="00AF3214">
        <w:rPr>
          <w:rFonts w:ascii="Narkisim" w:hAnsi="Narkisim"/>
        </w:rPr>
        <w:t>.</w:t>
      </w:r>
    </w:p>
    <w:p w14:paraId="640DC064"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(ב"ב קלד:) הביא מסוגיין [להיפך] דעד א' נאמן באיסור יבמה לשוק, כגון להעיד שניתן לו בן במדינת הים</w:t>
      </w:r>
      <w:r w:rsidRPr="00AF3214">
        <w:rPr>
          <w:rStyle w:val="ac"/>
          <w:rFonts w:ascii="Narkisim" w:hAnsi="Narkisim" w:cs="Narkisim"/>
          <w:rtl/>
        </w:rPr>
        <w:footnoteReference w:id="6088"/>
      </w:r>
      <w:r w:rsidRPr="00AF3214">
        <w:rPr>
          <w:rFonts w:ascii="Narkisim" w:hAnsi="Narkisim" w:cs="Narkisim"/>
        </w:rPr>
        <w:t xml:space="preserve">. </w:t>
      </w:r>
      <w:r w:rsidRPr="00AF3214">
        <w:rPr>
          <w:rFonts w:ascii="Narkisim" w:hAnsi="Narkisim" w:cs="Narkisim"/>
          <w:rtl/>
        </w:rPr>
        <w:t>וביאר משום דהוה מילתא דעבידא לאיגלויי</w:t>
      </w:r>
      <w:r w:rsidRPr="00AF3214">
        <w:rPr>
          <w:rStyle w:val="ac"/>
          <w:rFonts w:ascii="Narkisim" w:hAnsi="Narkisim" w:cs="Narkisim"/>
          <w:rtl/>
        </w:rPr>
        <w:footnoteReference w:id="6089"/>
      </w:r>
      <w:r w:rsidRPr="00AF3214">
        <w:rPr>
          <w:rFonts w:ascii="Narkisim" w:hAnsi="Narkisim" w:cs="Narkisim"/>
        </w:rPr>
        <w:t>.</w:t>
      </w:r>
    </w:p>
    <w:p w14:paraId="7E9AB3D6" w14:textId="77777777" w:rsidR="006C4368" w:rsidRPr="00AF3214" w:rsidRDefault="006C4368" w:rsidP="006C4368">
      <w:pPr>
        <w:pStyle w:val="aa"/>
        <w:autoSpaceDE w:val="0"/>
        <w:bidi/>
        <w:rPr>
          <w:rFonts w:ascii="Narkisim" w:hAnsi="Narkisim"/>
        </w:rPr>
      </w:pPr>
      <w:r w:rsidRPr="00AF3214">
        <w:rPr>
          <w:rFonts w:ascii="Narkisim" w:eastAsia="Narkisim" w:hAnsi="Narkisim"/>
          <w:u w:val="single"/>
          <w:rtl/>
        </w:rPr>
        <w:t>שם.</w:t>
      </w:r>
      <w:r w:rsidRPr="00AF3214">
        <w:rPr>
          <w:rFonts w:ascii="Narkisim" w:eastAsia="Narkisim" w:hAnsi="Narkisim"/>
          <w:rtl/>
        </w:rPr>
        <w:t xml:space="preserve"> עוד דנו ה</w:t>
      </w:r>
      <w:r w:rsidRPr="00AF3214">
        <w:rPr>
          <w:rFonts w:ascii="Narkisim" w:eastAsia="Narkisim" w:hAnsi="Narkisim"/>
          <w:b/>
          <w:bCs/>
          <w:rtl/>
        </w:rPr>
        <w:t>אחרונים</w:t>
      </w:r>
      <w:r w:rsidRPr="00AF3214">
        <w:rPr>
          <w:rFonts w:ascii="Narkisim" w:eastAsia="Narkisim" w:hAnsi="Narkisim"/>
          <w:rtl/>
        </w:rPr>
        <w:t xml:space="preserve"> (משנ"ל ב ד) האם יבום וחליצה צריכים עדות לקיומי, לצד דהוה דבר שבערוה</w:t>
      </w:r>
      <w:r w:rsidRPr="00AF3214">
        <w:rPr>
          <w:rStyle w:val="ac"/>
          <w:rFonts w:ascii="Narkisim" w:eastAsia="Narkisim" w:hAnsi="Narkisim"/>
          <w:rtl/>
        </w:rPr>
        <w:footnoteReference w:id="6090"/>
      </w:r>
      <w:r w:rsidRPr="00AF3214">
        <w:rPr>
          <w:rFonts w:ascii="Narkisim" w:eastAsia="Narkisim" w:hAnsi="Narkisim"/>
        </w:rPr>
        <w:t xml:space="preserve"> </w:t>
      </w:r>
      <w:r w:rsidRPr="00AF3214">
        <w:rPr>
          <w:rFonts w:ascii="Narkisim" w:eastAsia="Narkisim" w:hAnsi="Narkisim"/>
          <w:rtl/>
        </w:rPr>
        <w:t>(ויתבאר בעזה"י לקמן קה:, וע' מש"כ לעיל נב.). וה</w:t>
      </w:r>
      <w:r w:rsidRPr="00AF3214">
        <w:rPr>
          <w:rFonts w:ascii="Narkisim" w:eastAsia="Narkisim" w:hAnsi="Narkisim"/>
          <w:b/>
          <w:bCs/>
          <w:rtl/>
        </w:rPr>
        <w:t>מנח"ח</w:t>
      </w:r>
      <w:r w:rsidRPr="00AF3214">
        <w:rPr>
          <w:rFonts w:ascii="Narkisim" w:eastAsia="Narkisim" w:hAnsi="Narkisim"/>
          <w:rtl/>
        </w:rPr>
        <w:t xml:space="preserve"> (תקצט) כת' דלדברי המרדכי דתלי במח' אי קידושין תופסים ביבמה לשוק, א"כ קי"ל דהוה ספק, ובלא עדות הוה ספק</w:t>
      </w:r>
      <w:r w:rsidRPr="00AF3214">
        <w:rPr>
          <w:rFonts w:ascii="Narkisim" w:eastAsia="Narkisim" w:hAnsi="Narkisim"/>
        </w:rPr>
        <w:t>.</w:t>
      </w:r>
    </w:p>
    <w:p w14:paraId="0FF20E15" w14:textId="77777777" w:rsidR="006C4368" w:rsidRPr="00AF3214" w:rsidRDefault="006C4368" w:rsidP="006C4368">
      <w:pPr>
        <w:bidi/>
        <w:rPr>
          <w:rFonts w:ascii="Narkisim" w:hAnsi="Narkisim" w:cs="Narkisim"/>
        </w:rPr>
      </w:pPr>
      <w:r w:rsidRPr="00AF3214">
        <w:rPr>
          <w:rFonts w:ascii="Narkisim" w:hAnsi="Narkisim" w:cs="Narkisim"/>
          <w:u w:val="single"/>
          <w:rtl/>
        </w:rPr>
        <w:t>דמיסנא הוא דסניא ליה</w:t>
      </w:r>
      <w:r w:rsidRPr="00AF3214">
        <w:rPr>
          <w:rFonts w:ascii="Narkisim" w:hAnsi="Narkisim" w:cs="Narkisim"/>
          <w:rtl/>
        </w:rPr>
        <w:t>. ואילו לעיל (בספק הראשון) אי' דזימנין דמרחמא ליה. וה</w:t>
      </w:r>
      <w:r w:rsidRPr="00AF3214">
        <w:rPr>
          <w:rFonts w:ascii="Narkisim" w:hAnsi="Narkisim" w:cs="Narkisim"/>
          <w:b/>
          <w:bCs/>
          <w:rtl/>
        </w:rPr>
        <w:t>רשב"א</w:t>
      </w:r>
      <w:r w:rsidRPr="00AF3214">
        <w:rPr>
          <w:rFonts w:ascii="Narkisim" w:hAnsi="Narkisim" w:cs="Narkisim"/>
          <w:rtl/>
        </w:rPr>
        <w:t xml:space="preserve"> גרס אף כאן דזימנין דסניא ליה</w:t>
      </w:r>
      <w:r w:rsidRPr="00AF3214">
        <w:rPr>
          <w:rStyle w:val="ac"/>
          <w:rFonts w:ascii="Narkisim" w:hAnsi="Narkisim" w:cs="Narkisim"/>
          <w:rtl/>
        </w:rPr>
        <w:footnoteReference w:id="6091"/>
      </w:r>
      <w:r w:rsidRPr="00AF3214">
        <w:rPr>
          <w:rFonts w:ascii="Narkisim" w:hAnsi="Narkisim" w:cs="Narkisim"/>
        </w:rPr>
        <w:t xml:space="preserve">. </w:t>
      </w:r>
      <w:r w:rsidRPr="00AF3214">
        <w:rPr>
          <w:rFonts w:ascii="Narkisim" w:hAnsi="Narkisim" w:cs="Narkisim"/>
          <w:rtl/>
        </w:rPr>
        <w:t>וביאר דקצת יבמות אוהבות את היבם, דגייסי. ויש קצת ששונאות. [והוה ספק לנו ביבמה זו]</w:t>
      </w:r>
      <w:r w:rsidRPr="00AF3214">
        <w:rPr>
          <w:rFonts w:ascii="Narkisim" w:hAnsi="Narkisim" w:cs="Narkisim"/>
        </w:rPr>
        <w:t>.</w:t>
      </w:r>
    </w:p>
    <w:p w14:paraId="5413007D"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מהרש"ל</w:t>
      </w:r>
      <w:r w:rsidRPr="00AF3214">
        <w:rPr>
          <w:rFonts w:ascii="Narkisim" w:hAnsi="Narkisim"/>
          <w:rtl/>
        </w:rPr>
        <w:t xml:space="preserve"> דייק דבגירסא דידן לא הוזכר (כאן) 'זימנין', וכמש"כ </w:t>
      </w:r>
      <w:r w:rsidRPr="00AF3214">
        <w:rPr>
          <w:rFonts w:ascii="Narkisim" w:hAnsi="Narkisim"/>
          <w:b/>
          <w:bCs/>
          <w:rtl/>
        </w:rPr>
        <w:t>תוס</w:t>
      </w:r>
      <w:r w:rsidRPr="00AF3214">
        <w:rPr>
          <w:rFonts w:ascii="Narkisim" w:hAnsi="Narkisim"/>
          <w:rtl/>
        </w:rPr>
        <w:t>' (צד. ד"ה כי) דשכיח טפי דסניא ליה מדרחמא ליה (כדמשמע לקמן קיח:). וה</w:t>
      </w:r>
      <w:r w:rsidRPr="00AF3214">
        <w:rPr>
          <w:rFonts w:ascii="Narkisim" w:hAnsi="Narkisim"/>
          <w:b/>
          <w:bCs/>
          <w:rtl/>
        </w:rPr>
        <w:t>ק"נ</w:t>
      </w:r>
      <w:r w:rsidRPr="00AF3214">
        <w:rPr>
          <w:rFonts w:ascii="Narkisim" w:hAnsi="Narkisim"/>
          <w:rtl/>
        </w:rPr>
        <w:t xml:space="preserve"> כת' דתוס' לא הביאו ראיה זו, די"ל דגרסו כרשב"א</w:t>
      </w:r>
      <w:r w:rsidRPr="00AF3214">
        <w:rPr>
          <w:rFonts w:ascii="Narkisim" w:hAnsi="Narkisim"/>
        </w:rPr>
        <w:t>.</w:t>
      </w:r>
    </w:p>
    <w:p w14:paraId="78069279" w14:textId="77777777" w:rsidR="006C4368" w:rsidRPr="00AF3214" w:rsidRDefault="006C4368" w:rsidP="006C4368">
      <w:pPr>
        <w:pStyle w:val="aa"/>
        <w:bidi/>
        <w:rPr>
          <w:rFonts w:ascii="Narkisim" w:hAnsi="Narkisim"/>
        </w:rPr>
      </w:pPr>
      <w:r w:rsidRPr="00AF3214">
        <w:rPr>
          <w:rFonts w:ascii="Narkisim" w:hAnsi="Narkisim"/>
          <w:u w:val="single"/>
          <w:rtl/>
        </w:rPr>
        <w:t>שם. דמיסנא הוא דסני ליה וכו'</w:t>
      </w:r>
      <w:r w:rsidRPr="00AF3214">
        <w:rPr>
          <w:rFonts w:ascii="Narkisim" w:hAnsi="Narkisim"/>
          <w:rtl/>
        </w:rPr>
        <w:t>. [ורוצה לאסר על היבם, שלא ייבמנה בע"כ]. ו</w:t>
      </w:r>
      <w:r w:rsidRPr="00AF3214">
        <w:rPr>
          <w:rFonts w:ascii="Narkisim" w:hAnsi="Narkisim"/>
          <w:b/>
          <w:bCs/>
          <w:rtl/>
        </w:rPr>
        <w:t>מהר"י מינץ</w:t>
      </w:r>
      <w:r w:rsidRPr="00AF3214">
        <w:rPr>
          <w:rFonts w:ascii="Narkisim" w:hAnsi="Narkisim"/>
          <w:rtl/>
        </w:rPr>
        <w:t xml:space="preserve"> (יד) כת' דבזה"ז דאין מייבמין [א"כ ל"ש סברת סני] אפשר דנאמנת. וה</w:t>
      </w:r>
      <w:r w:rsidRPr="00AF3214">
        <w:rPr>
          <w:rFonts w:ascii="Narkisim" w:hAnsi="Narkisim"/>
          <w:b/>
          <w:bCs/>
          <w:rtl/>
        </w:rPr>
        <w:t>נוב"י</w:t>
      </w:r>
      <w:r w:rsidRPr="00AF3214">
        <w:rPr>
          <w:rFonts w:ascii="Narkisim" w:hAnsi="Narkisim"/>
          <w:rtl/>
        </w:rPr>
        <w:t xml:space="preserve"> (ת' קמו) כת' דאדרבה בזה"ז י"ל דגרע, כיון דל"ש קלקולא</w:t>
      </w:r>
      <w:r w:rsidRPr="00AF3214">
        <w:rPr>
          <w:rFonts w:ascii="Narkisim" w:hAnsi="Narkisim"/>
        </w:rPr>
        <w:t>.</w:t>
      </w:r>
    </w:p>
    <w:p w14:paraId="2F2E2EB5" w14:textId="77777777" w:rsidR="006C4368" w:rsidRPr="00AF3214" w:rsidRDefault="006C4368" w:rsidP="006C4368">
      <w:pPr>
        <w:pStyle w:val="aa"/>
        <w:bidi/>
        <w:rPr>
          <w:rFonts w:ascii="Narkisim" w:hAnsi="Narkisim"/>
        </w:rPr>
      </w:pPr>
      <w:r w:rsidRPr="00AF3214">
        <w:rPr>
          <w:rFonts w:ascii="Narkisim" w:hAnsi="Narkisim"/>
          <w:u w:val="single"/>
          <w:rtl/>
        </w:rPr>
        <w:lastRenderedPageBreak/>
        <w:t>תוד"ה כי</w:t>
      </w:r>
      <w:r w:rsidRPr="00AF3214">
        <w:rPr>
          <w:rFonts w:ascii="Narkisim" w:hAnsi="Narkisim"/>
          <w:rtl/>
        </w:rPr>
        <w:t>. וה"ה דהמ"ל ביבמה ליבם במת בנך ואח"כ מת בעליך דאיהי לא מהימנא וכו'. [כדתנן קיח:, והו' בתוס' לעיל דחיישינן שמשקרא משום דרחמא]. מבואר דהספק לל"ב הוה בכל מקום שהיא אינה נאמנת [משום דרחמא או דסני] האם עד א' נאמן. [והך ספק הוה בין יבמה ליבם, ובין יבמה לשוק]. אך לתי' הב' י"ל דהספק בסוגיין דוקא משום איסור יבמה לשוק [וע' מה שהו' לעיל]</w:t>
      </w:r>
      <w:r w:rsidRPr="00AF3214">
        <w:rPr>
          <w:rFonts w:ascii="Narkisim" w:hAnsi="Narkisim"/>
        </w:rPr>
        <w:t>.</w:t>
      </w:r>
    </w:p>
    <w:p w14:paraId="19C2AE3F" w14:textId="77777777" w:rsidR="006C4368" w:rsidRPr="00AF3214" w:rsidRDefault="006C4368" w:rsidP="006C4368">
      <w:pPr>
        <w:pStyle w:val="3"/>
        <w:bidi/>
        <w:rPr>
          <w:rFonts w:ascii="Narkisim" w:hAnsi="Narkisim"/>
        </w:rPr>
      </w:pPr>
      <w:r w:rsidRPr="00AF3214">
        <w:rPr>
          <w:rFonts w:ascii="Narkisim" w:hAnsi="Narkisim"/>
          <w:rtl/>
        </w:rPr>
        <w:t>דף צד</w:t>
      </w:r>
      <w:r w:rsidRPr="00AF3214">
        <w:rPr>
          <w:rFonts w:ascii="Narkisim" w:hAnsi="Narkisim"/>
        </w:rPr>
        <w:t>.</w:t>
      </w:r>
    </w:p>
    <w:p w14:paraId="5CA36E38" w14:textId="77777777" w:rsidR="006C4368" w:rsidRPr="00AF3214" w:rsidRDefault="006C4368" w:rsidP="006C4368">
      <w:pPr>
        <w:bidi/>
        <w:rPr>
          <w:rFonts w:ascii="Narkisim" w:hAnsi="Narkisim" w:cs="Narkisim"/>
        </w:rPr>
      </w:pPr>
      <w:r w:rsidRPr="00AF3214">
        <w:rPr>
          <w:rFonts w:ascii="Narkisim" w:hAnsi="Narkisim" w:cs="Narkisim"/>
          <w:u w:val="single"/>
          <w:rtl/>
        </w:rPr>
        <w:t>תוד"ה כי</w:t>
      </w:r>
      <w:r w:rsidRPr="00AF3214">
        <w:rPr>
          <w:rFonts w:ascii="Narkisim" w:hAnsi="Narkisim" w:cs="Narkisim"/>
          <w:rtl/>
        </w:rPr>
        <w:t>. דהתם איכא למימר טפי לא דייקא וכו'. משמע דהחילוק בין יבמה לשוק ליבמה ליבם הוה רק בסברות דמרחמא ליה או סני ליה. ולא האם עד א' נאמן על עצם האיסור</w:t>
      </w:r>
      <w:r w:rsidRPr="00AF3214">
        <w:rPr>
          <w:rFonts w:ascii="Narkisim" w:hAnsi="Narkisim" w:cs="Narkisim"/>
        </w:rPr>
        <w:t>.</w:t>
      </w:r>
    </w:p>
    <w:p w14:paraId="04C83131" w14:textId="77777777" w:rsidR="006C4368" w:rsidRPr="00AF3214" w:rsidRDefault="006C4368" w:rsidP="006C4368">
      <w:pPr>
        <w:pStyle w:val="aa"/>
        <w:bidi/>
        <w:rPr>
          <w:rFonts w:ascii="Narkisim" w:hAnsi="Narkisim"/>
        </w:rPr>
      </w:pPr>
      <w:r w:rsidRPr="00AF3214">
        <w:rPr>
          <w:rFonts w:ascii="Narkisim" w:hAnsi="Narkisim"/>
          <w:u w:val="single"/>
          <w:rtl/>
        </w:rPr>
        <w:t>בא"ד אבל אם שונאתו אינה יכולה להנצל ממנו וכו' או תתעגן וכו'</w:t>
      </w:r>
      <w:r w:rsidRPr="00AF3214">
        <w:rPr>
          <w:rFonts w:ascii="Narkisim" w:hAnsi="Narkisim"/>
          <w:rtl/>
        </w:rPr>
        <w:t>. משמע בתוס' דאין כופין אותה להתייבם בע"כ</w:t>
      </w:r>
      <w:r w:rsidRPr="00AF3214">
        <w:rPr>
          <w:rStyle w:val="ac"/>
          <w:rFonts w:ascii="Narkisim" w:hAnsi="Narkisim"/>
          <w:rtl/>
        </w:rPr>
        <w:footnoteReference w:id="6092"/>
      </w:r>
      <w:r w:rsidRPr="00AF3214">
        <w:rPr>
          <w:rFonts w:ascii="Narkisim" w:hAnsi="Narkisim"/>
        </w:rPr>
        <w:t xml:space="preserve">. </w:t>
      </w:r>
      <w:r w:rsidRPr="00AF3214">
        <w:rPr>
          <w:rFonts w:ascii="Narkisim" w:hAnsi="Narkisim"/>
          <w:rtl/>
        </w:rPr>
        <w:t xml:space="preserve">[ואף דיש עליה שעבוד כלפי היבם, והתורה תלתה בדידיה אם לא יחפוץ האיש. ולכאורה דינה כמורדת (ע' כתובות סד.), אפ"ה אין כופין] אלא דאי"צ לחלוץ לה. [אך לדעת </w:t>
      </w:r>
      <w:r w:rsidRPr="00AF3214">
        <w:rPr>
          <w:rFonts w:ascii="Narkisim" w:hAnsi="Narkisim"/>
          <w:b/>
          <w:bCs/>
          <w:rtl/>
        </w:rPr>
        <w:t>רש"י</w:t>
      </w:r>
      <w:r w:rsidRPr="00AF3214">
        <w:rPr>
          <w:rFonts w:ascii="Narkisim" w:hAnsi="Narkisim"/>
          <w:rtl/>
        </w:rPr>
        <w:t xml:space="preserve"> (לעיל לט:) דהיכא דאמרה דברים ניכרין כופין לחלוץ]</w:t>
      </w:r>
      <w:r w:rsidRPr="00AF3214">
        <w:rPr>
          <w:rFonts w:ascii="Narkisim" w:hAnsi="Narkisim"/>
        </w:rPr>
        <w:t>.</w:t>
      </w:r>
    </w:p>
    <w:p w14:paraId="0F13C5EC" w14:textId="77777777" w:rsidR="006C4368" w:rsidRPr="00AF3214" w:rsidRDefault="006C4368" w:rsidP="006C4368">
      <w:pPr>
        <w:bidi/>
        <w:rPr>
          <w:rFonts w:ascii="Narkisim" w:hAnsi="Narkisim" w:cs="Narkisim"/>
        </w:rPr>
      </w:pPr>
      <w:r w:rsidRPr="00AF3214">
        <w:rPr>
          <w:rFonts w:ascii="Narkisim" w:hAnsi="Narkisim" w:cs="Narkisim"/>
          <w:u w:val="single"/>
          <w:rtl/>
        </w:rPr>
        <w:t>בא"ד וא"ת ומאי קמיבע"ל, והתנן (לקמן קיח:) שהיא נאמנת לומר מת בעלה ואח"כ מת בנה וכו' וכ"ש ע"א</w:t>
      </w:r>
      <w:r w:rsidRPr="00AF3214">
        <w:rPr>
          <w:rFonts w:ascii="Narkisim" w:hAnsi="Narkisim" w:cs="Narkisim"/>
          <w:rtl/>
        </w:rPr>
        <w:t>. וכן הק' ה</w:t>
      </w:r>
      <w:r w:rsidRPr="00AF3214">
        <w:rPr>
          <w:rFonts w:ascii="Narkisim" w:hAnsi="Narkisim" w:cs="Narkisim"/>
          <w:b/>
          <w:bCs/>
          <w:rtl/>
        </w:rPr>
        <w:t>רא"ש</w:t>
      </w:r>
      <w:r w:rsidRPr="00AF3214">
        <w:rPr>
          <w:rFonts w:ascii="Narkisim" w:hAnsi="Narkisim" w:cs="Narkisim"/>
          <w:rtl/>
        </w:rPr>
        <w:t xml:space="preserve"> ע"ד </w:t>
      </w:r>
      <w:r w:rsidRPr="00AF3214">
        <w:rPr>
          <w:rFonts w:ascii="Narkisim" w:hAnsi="Narkisim" w:cs="Narkisim"/>
          <w:b/>
          <w:bCs/>
          <w:rtl/>
        </w:rPr>
        <w:t>רש"י</w:t>
      </w:r>
      <w:r w:rsidRPr="00AF3214">
        <w:rPr>
          <w:rFonts w:ascii="Narkisim" w:hAnsi="Narkisim" w:cs="Narkisim"/>
          <w:rtl/>
        </w:rPr>
        <w:t xml:space="preserve"> (צג: ד"ה יבמה) שכת' דספק הגמ' הוה אף במת בעליך ואח"כ מת בנך [להתיר לשוק]. וה</w:t>
      </w:r>
      <w:r w:rsidRPr="00AF3214">
        <w:rPr>
          <w:rFonts w:ascii="Narkisim" w:hAnsi="Narkisim" w:cs="Narkisim"/>
          <w:b/>
          <w:bCs/>
          <w:rtl/>
        </w:rPr>
        <w:t>רא"ש</w:t>
      </w:r>
      <w:r w:rsidRPr="00AF3214">
        <w:rPr>
          <w:rFonts w:ascii="Narkisim" w:hAnsi="Narkisim" w:cs="Narkisim"/>
          <w:rtl/>
        </w:rPr>
        <w:t xml:space="preserve"> הק' דלהך לישנא אמרי' דע"א נאמן להתיר ליבם, דאפי' היא נאמנת. והיכא דהיא נאמנת כ"ש דע"א נאמן</w:t>
      </w:r>
      <w:r w:rsidRPr="00AF3214">
        <w:rPr>
          <w:rFonts w:ascii="Narkisim" w:hAnsi="Narkisim" w:cs="Narkisim"/>
        </w:rPr>
        <w:t>.</w:t>
      </w:r>
    </w:p>
    <w:p w14:paraId="049CAD27" w14:textId="77777777" w:rsidR="006C4368" w:rsidRPr="00AF3214" w:rsidRDefault="006C4368" w:rsidP="006C4368">
      <w:pPr>
        <w:bidi/>
        <w:rPr>
          <w:rFonts w:ascii="Narkisim" w:hAnsi="Narkisim" w:cs="Narkisim"/>
        </w:rPr>
      </w:pPr>
      <w:r w:rsidRPr="00AF3214">
        <w:rPr>
          <w:rFonts w:ascii="Narkisim" w:hAnsi="Narkisim" w:cs="Narkisim"/>
          <w:u w:val="single"/>
          <w:rtl/>
        </w:rPr>
        <w:t>בא"ד וי"ל דאיהי מהימנא משום דאית לה מיגו וכו' אבל בעד איכא למיחש</w:t>
      </w:r>
      <w:r w:rsidRPr="00AF3214">
        <w:rPr>
          <w:rStyle w:val="ac"/>
          <w:rFonts w:ascii="Narkisim" w:hAnsi="Narkisim" w:cs="Narkisim"/>
          <w:u w:val="single"/>
          <w:rtl/>
        </w:rPr>
        <w:footnoteReference w:id="6093"/>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וכן תי' שאר ה</w:t>
      </w:r>
      <w:r w:rsidRPr="00AF3214">
        <w:rPr>
          <w:rFonts w:ascii="Narkisim" w:hAnsi="Narkisim" w:cs="Narkisim"/>
          <w:b/>
          <w:bCs/>
          <w:rtl/>
        </w:rPr>
        <w:t>ראשונים</w:t>
      </w:r>
      <w:r w:rsidRPr="00AF3214">
        <w:rPr>
          <w:rFonts w:ascii="Narkisim" w:hAnsi="Narkisim" w:cs="Narkisim"/>
          <w:rtl/>
        </w:rPr>
        <w:t xml:space="preserve"> דבעד א' ליכא מיגו</w:t>
      </w:r>
      <w:r w:rsidRPr="00AF3214">
        <w:rPr>
          <w:rStyle w:val="ac"/>
          <w:rFonts w:ascii="Narkisim" w:hAnsi="Narkisim" w:cs="Narkisim"/>
          <w:rtl/>
        </w:rPr>
        <w:footnoteReference w:id="6094"/>
      </w:r>
      <w:r w:rsidRPr="00AF3214">
        <w:rPr>
          <w:rFonts w:ascii="Narkisim" w:hAnsi="Narkisim" w:cs="Narkisim"/>
        </w:rPr>
        <w:t>.</w:t>
      </w:r>
    </w:p>
    <w:p w14:paraId="09AB7069" w14:textId="77777777" w:rsidR="006C4368" w:rsidRPr="00AF3214" w:rsidRDefault="006C4368" w:rsidP="006C4368">
      <w:pPr>
        <w:bidi/>
        <w:rPr>
          <w:rFonts w:ascii="Narkisim" w:hAnsi="Narkisim" w:cs="Narkisim"/>
        </w:rPr>
      </w:pPr>
      <w:r w:rsidRPr="00AF3214">
        <w:rPr>
          <w:rFonts w:ascii="Narkisim" w:hAnsi="Narkisim" w:cs="Narkisim"/>
          <w:rtl/>
        </w:rPr>
        <w:t>ומשמע מדברי ה</w:t>
      </w:r>
      <w:r w:rsidRPr="00AF3214">
        <w:rPr>
          <w:rFonts w:ascii="Narkisim" w:hAnsi="Narkisim" w:cs="Narkisim"/>
          <w:b/>
          <w:bCs/>
          <w:rtl/>
        </w:rPr>
        <w:t>תוס'</w:t>
      </w:r>
      <w:r w:rsidRPr="00AF3214">
        <w:rPr>
          <w:rFonts w:ascii="Narkisim" w:hAnsi="Narkisim" w:cs="Narkisim"/>
          <w:rtl/>
        </w:rPr>
        <w:t xml:space="preserve"> דמטעם זה לא אמרי' כיון דאיהי מהימנא כ"ש דהעד נאמן. אך מ"מ הוה בכלל ספק הגמ' [וכדברי רש"י] האם עד א' נאמן שמת היבם להתיר לשוק. אבל ה</w:t>
      </w:r>
      <w:r w:rsidRPr="00AF3214">
        <w:rPr>
          <w:rFonts w:ascii="Narkisim" w:hAnsi="Narkisim" w:cs="Narkisim"/>
          <w:b/>
          <w:bCs/>
          <w:rtl/>
        </w:rPr>
        <w:t>רא"ש</w:t>
      </w:r>
      <w:r w:rsidRPr="00AF3214">
        <w:rPr>
          <w:rFonts w:ascii="Narkisim" w:hAnsi="Narkisim" w:cs="Narkisim"/>
          <w:rtl/>
        </w:rPr>
        <w:t xml:space="preserve"> (ותוס' רא"ש) כת' דעד א' ודאי אינו נאמן כה"ג, אע"ג שהיא נאמנת משום מיגו.</w:t>
      </w:r>
    </w:p>
    <w:p w14:paraId="11042B50" w14:textId="77777777" w:rsidR="006C4368" w:rsidRPr="00AF3214" w:rsidRDefault="006C4368" w:rsidP="006C4368">
      <w:pPr>
        <w:pStyle w:val="a7"/>
        <w:bidi/>
        <w:rPr>
          <w:rFonts w:ascii="Narkisim" w:hAnsi="Narkisim"/>
        </w:rPr>
      </w:pPr>
      <w:r w:rsidRPr="00AF3214">
        <w:rPr>
          <w:rFonts w:ascii="Narkisim" w:hAnsi="Narkisim"/>
          <w:rtl/>
        </w:rPr>
        <w:t>אך צ"ב מ"ש ממעיד שמת יבמה לחוד, דהוה ספק האם עד א' נאמן</w:t>
      </w:r>
      <w:r w:rsidRPr="00AF3214">
        <w:rPr>
          <w:rStyle w:val="ac"/>
          <w:rFonts w:ascii="Narkisim" w:hAnsi="Narkisim"/>
          <w:rtl/>
        </w:rPr>
        <w:footnoteReference w:id="6095"/>
      </w:r>
      <w:r w:rsidRPr="00AF3214">
        <w:rPr>
          <w:rFonts w:ascii="Narkisim" w:hAnsi="Narkisim"/>
        </w:rPr>
        <w:t xml:space="preserve">. </w:t>
      </w:r>
      <w:r w:rsidRPr="00AF3214">
        <w:rPr>
          <w:rFonts w:ascii="Narkisim" w:hAnsi="Narkisim"/>
          <w:rtl/>
        </w:rPr>
        <w:t>וה</w:t>
      </w:r>
      <w:r w:rsidRPr="00AF3214">
        <w:rPr>
          <w:rFonts w:ascii="Narkisim" w:hAnsi="Narkisim"/>
          <w:b/>
          <w:bCs/>
          <w:rtl/>
        </w:rPr>
        <w:t>תפא"ש</w:t>
      </w:r>
      <w:r w:rsidRPr="00AF3214">
        <w:rPr>
          <w:rFonts w:ascii="Narkisim" w:hAnsi="Narkisim"/>
          <w:rtl/>
        </w:rPr>
        <w:t xml:space="preserve"> (א) כת' דיש ריעותא במה שהזכיר את הבן, דנראה דכוונתו לקלקלה</w:t>
      </w:r>
      <w:r w:rsidRPr="00AF3214">
        <w:rPr>
          <w:rStyle w:val="ac"/>
          <w:rFonts w:ascii="Narkisim" w:hAnsi="Narkisim"/>
          <w:rtl/>
        </w:rPr>
        <w:footnoteReference w:id="6096"/>
      </w:r>
      <w:r w:rsidRPr="00AF3214">
        <w:rPr>
          <w:rFonts w:ascii="Narkisim" w:hAnsi="Narkisim"/>
        </w:rPr>
        <w:t xml:space="preserve"> </w:t>
      </w:r>
      <w:r w:rsidRPr="00AF3214">
        <w:rPr>
          <w:rFonts w:ascii="Narkisim" w:hAnsi="Narkisim"/>
          <w:rtl/>
        </w:rPr>
        <w:t>[וכמ"ש תוס']. ועוד תי' דכה"ג ודאי סומכת על דברי העד</w:t>
      </w:r>
      <w:r w:rsidRPr="00AF3214">
        <w:rPr>
          <w:rStyle w:val="ac"/>
          <w:rFonts w:ascii="Narkisim" w:hAnsi="Narkisim"/>
          <w:rtl/>
        </w:rPr>
        <w:footnoteReference w:id="6097"/>
      </w:r>
      <w:r w:rsidRPr="00AF3214">
        <w:rPr>
          <w:rFonts w:ascii="Narkisim" w:hAnsi="Narkisim"/>
        </w:rPr>
        <w:t xml:space="preserve"> </w:t>
      </w:r>
      <w:r w:rsidRPr="00AF3214">
        <w:rPr>
          <w:rFonts w:ascii="Narkisim" w:hAnsi="Narkisim"/>
          <w:rtl/>
        </w:rPr>
        <w:t>ולא דייקא כלל</w:t>
      </w:r>
      <w:r w:rsidRPr="00AF3214">
        <w:rPr>
          <w:rFonts w:ascii="Narkisim" w:hAnsi="Narkisim"/>
        </w:rPr>
        <w:t>.</w:t>
      </w:r>
    </w:p>
    <w:p w14:paraId="67FE5442"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בית הלוי</w:t>
      </w:r>
      <w:r w:rsidRPr="00AF3214">
        <w:rPr>
          <w:rFonts w:ascii="Narkisim" w:hAnsi="Narkisim"/>
          <w:rtl/>
        </w:rPr>
        <w:t xml:space="preserve"> (ג יג) תי' דמת יבמך לחוד מקרי עביד לגלויי, שיוכל הדבר להתברר מעצמו שיבא היבם ברגליו. אבל כשמעיד שמת בעלה ואח"כ בנה לא מקרי עביד לגלויי, ומש"ה עד א' אינו נאמן מסברא פשוטה. </w:t>
      </w:r>
      <w:r w:rsidRPr="00AF3214">
        <w:rPr>
          <w:rFonts w:ascii="Narkisim" w:hAnsi="Narkisim"/>
          <w:szCs w:val="20"/>
          <w:rtl/>
        </w:rPr>
        <w:t>אך הביא דמדברי רש"י מבואר דאף זה בכלל ספק הגמ', וצ"ל דאף כה"ג נחשב עבידא לאיגלויי [וע"ע שם]</w:t>
      </w:r>
      <w:r w:rsidRPr="00AF3214">
        <w:rPr>
          <w:rFonts w:ascii="Narkisim" w:hAnsi="Narkisim"/>
        </w:rPr>
        <w:t>.</w:t>
      </w:r>
    </w:p>
    <w:p w14:paraId="22F34AA9" w14:textId="77777777" w:rsidR="006C4368" w:rsidRPr="00AF3214" w:rsidRDefault="006C4368" w:rsidP="006C4368">
      <w:pPr>
        <w:pStyle w:val="aa"/>
        <w:bidi/>
        <w:rPr>
          <w:rFonts w:ascii="Narkisim" w:hAnsi="Narkisim"/>
        </w:rPr>
      </w:pPr>
      <w:r w:rsidRPr="00AF3214">
        <w:rPr>
          <w:rFonts w:ascii="Narkisim" w:hAnsi="Narkisim"/>
          <w:u w:val="single"/>
          <w:rtl/>
        </w:rPr>
        <w:t>בא"ד דסבר אי אסהידנא אבעל לחודיא, כי שמעה דמת הבן תחקור איזה מת ראשון וכו'</w:t>
      </w:r>
      <w:r w:rsidRPr="00AF3214">
        <w:rPr>
          <w:rFonts w:ascii="Narkisim" w:hAnsi="Narkisim"/>
          <w:rtl/>
        </w:rPr>
        <w:t>. [אף דעכשיו לא שמעה שמת הבן, ואין לה לחשוש שמת. אלא דהעד יודע שהבן מת, ומש"ה חושש שקודם שתנשא תשמע שהבן מת. ויתעורר אצלה ספק מי מת קודם]</w:t>
      </w:r>
      <w:r w:rsidRPr="00AF3214">
        <w:rPr>
          <w:rFonts w:ascii="Narkisim" w:hAnsi="Narkisim"/>
        </w:rPr>
        <w:t>.</w:t>
      </w:r>
    </w:p>
    <w:p w14:paraId="6A83F156" w14:textId="77777777" w:rsidR="006C4368" w:rsidRPr="00AF3214" w:rsidRDefault="006C4368" w:rsidP="006C4368">
      <w:pPr>
        <w:pStyle w:val="aa"/>
        <w:bidi/>
        <w:rPr>
          <w:rFonts w:ascii="Narkisim" w:hAnsi="Narkisim"/>
        </w:rPr>
      </w:pPr>
      <w:r w:rsidRPr="00AF3214">
        <w:rPr>
          <w:rFonts w:ascii="Narkisim" w:hAnsi="Narkisim"/>
          <w:u w:val="single"/>
          <w:rtl/>
        </w:rPr>
        <w:t>בא"ד ואפי' מהימן כאן עד, בהני תרתי (לקמן קטז. וקטו.) בעיי אכתי איכא למיבעי וכו'</w:t>
      </w:r>
      <w:r w:rsidRPr="00AF3214">
        <w:rPr>
          <w:rFonts w:ascii="Narkisim" w:hAnsi="Narkisim"/>
          <w:rtl/>
        </w:rPr>
        <w:t xml:space="preserve">. [ואף דהגמ' בכולהו פי' טעם הספק האם נאמנות העד משום דעבידא לאיגלויי וא משום דדייקא ומינסבא]. ותוס' תי' דהכא איכא </w:t>
      </w:r>
      <w:r w:rsidRPr="00AF3214">
        <w:rPr>
          <w:rFonts w:ascii="Narkisim" w:hAnsi="Narkisim"/>
          <w:rtl/>
        </w:rPr>
        <w:lastRenderedPageBreak/>
        <w:t>למימר דביבמה דייקא טפי. [ובכלל הספק בסוגיין כמה מהני סברת דיוקא זוטא, וכמ"ש תוס' צג: ד"ה עד]</w:t>
      </w:r>
      <w:r w:rsidRPr="00AF3214">
        <w:rPr>
          <w:rFonts w:ascii="Narkisim" w:hAnsi="Narkisim"/>
        </w:rPr>
        <w:t>.</w:t>
      </w:r>
    </w:p>
    <w:p w14:paraId="62CE5611" w14:textId="77777777" w:rsidR="006C4368" w:rsidRPr="00AF3214" w:rsidRDefault="006C4368" w:rsidP="006C4368">
      <w:pPr>
        <w:pStyle w:val="aa"/>
        <w:bidi/>
        <w:rPr>
          <w:rFonts w:ascii="Narkisim" w:hAnsi="Narkisim"/>
        </w:rPr>
      </w:pPr>
      <w:r w:rsidRPr="00AF3214">
        <w:rPr>
          <w:rFonts w:ascii="Narkisim" w:hAnsi="Narkisim"/>
          <w:u w:val="single"/>
          <w:rtl/>
        </w:rPr>
        <w:t>כדאמר רב אחא בר מניומי בעדי הזמה וכו'</w:t>
      </w:r>
      <w:r w:rsidRPr="00AF3214">
        <w:rPr>
          <w:rFonts w:ascii="Narkisim" w:hAnsi="Narkisim"/>
          <w:rtl/>
        </w:rPr>
        <w:t>. ה</w:t>
      </w:r>
      <w:r w:rsidRPr="00AF3214">
        <w:rPr>
          <w:rFonts w:ascii="Narkisim" w:hAnsi="Narkisim"/>
          <w:b/>
          <w:bCs/>
          <w:rtl/>
        </w:rPr>
        <w:t>רא"ש</w:t>
      </w:r>
      <w:r w:rsidRPr="00AF3214">
        <w:rPr>
          <w:rFonts w:ascii="Narkisim" w:hAnsi="Narkisim"/>
          <w:rtl/>
        </w:rPr>
        <w:t xml:space="preserve"> כת' דהו"מ לדחות פשיטותא קמייתא דרב ששת, בספק דיבמה ליבם, ולהעמיד בעדי הזמה. אלא דבעל הש"ס חשש להאריך</w:t>
      </w:r>
      <w:r w:rsidRPr="00AF3214">
        <w:rPr>
          <w:rFonts w:ascii="Narkisim" w:hAnsi="Narkisim"/>
        </w:rPr>
        <w:t>.</w:t>
      </w:r>
    </w:p>
    <w:p w14:paraId="20C8C49C" w14:textId="77777777" w:rsidR="006C4368" w:rsidRPr="00AF3214" w:rsidRDefault="006C4368" w:rsidP="006C4368">
      <w:pPr>
        <w:bidi/>
        <w:rPr>
          <w:rFonts w:ascii="Narkisim" w:hAnsi="Narkisim" w:cs="Narkisim"/>
        </w:rPr>
      </w:pPr>
      <w:r w:rsidRPr="00AF3214">
        <w:rPr>
          <w:rFonts w:ascii="Narkisim" w:hAnsi="Narkisim" w:cs="Narkisim"/>
          <w:u w:val="single"/>
          <w:rtl/>
        </w:rPr>
        <w:t>בשלמא גבי אשה משום עיגונא אקילו בה רבנן וכו'</w:t>
      </w:r>
      <w:r w:rsidRPr="00AF3214">
        <w:rPr>
          <w:rFonts w:ascii="Narkisim" w:hAnsi="Narkisim" w:cs="Narkisim"/>
          <w:rtl/>
        </w:rPr>
        <w:t>. אבל לא הקילו לאיש לישא אחותה ע"פ עד א'. ואף דשייך סברת עבידא ואיגלויי. וע"כ דלא הקילו בלא עיגונא. ולדעת תוס' בעינן ג"כ קצת סברת 'דייקא' [ובאיש ל"ש דייקא]. וע' מש"כ לעיל. [אך רש"י (לקמן בע"ב) משמע דעד א' נאמן. ע' לקמן]</w:t>
      </w:r>
      <w:r w:rsidRPr="00AF3214">
        <w:rPr>
          <w:rFonts w:ascii="Narkisim" w:hAnsi="Narkisim" w:cs="Narkisim"/>
        </w:rPr>
        <w:t>.</w:t>
      </w:r>
    </w:p>
    <w:p w14:paraId="512B66DE"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בי"ש</w:t>
      </w:r>
      <w:r w:rsidRPr="00AF3214">
        <w:rPr>
          <w:rFonts w:ascii="Narkisim" w:hAnsi="Narkisim"/>
          <w:rtl/>
        </w:rPr>
        <w:t xml:space="preserve"> (טו כ, וקנח א) כת' דבזה"ז דיש חרם דר"ג, נראה דל"מ להעיד שמתה אשתו, שיוכל לישא אחרת. וכדאי' (לעיל פח.) דמדינא עד א' אינו נאמן בדבר דאיתחזק איסורא להוציאו מחזקתו</w:t>
      </w:r>
      <w:r w:rsidRPr="00AF3214">
        <w:rPr>
          <w:rStyle w:val="ac"/>
          <w:rFonts w:ascii="Narkisim" w:hAnsi="Narkisim"/>
          <w:rtl/>
        </w:rPr>
        <w:footnoteReference w:id="6098"/>
      </w:r>
      <w:r w:rsidRPr="00AF3214">
        <w:rPr>
          <w:rFonts w:ascii="Narkisim" w:hAnsi="Narkisim"/>
        </w:rPr>
        <w:t xml:space="preserve">. </w:t>
      </w:r>
      <w:r w:rsidRPr="00AF3214">
        <w:rPr>
          <w:rFonts w:ascii="Narkisim" w:hAnsi="Narkisim"/>
          <w:rtl/>
        </w:rPr>
        <w:t>[ולהתיר לאיש ל"מ תקנה]. וה</w:t>
      </w:r>
      <w:r w:rsidRPr="00AF3214">
        <w:rPr>
          <w:rFonts w:ascii="Narkisim" w:hAnsi="Narkisim"/>
          <w:b/>
          <w:bCs/>
          <w:rtl/>
        </w:rPr>
        <w:t>אחרונים</w:t>
      </w:r>
      <w:r w:rsidRPr="00AF3214">
        <w:rPr>
          <w:rFonts w:ascii="Narkisim" w:hAnsi="Narkisim"/>
          <w:rtl/>
        </w:rPr>
        <w:t xml:space="preserve"> (ק"נ ק, הו' בפתח"ת א יד, ש"ש ז ב) חלקו דלא החמירו בזה משום חרם דר"ג</w:t>
      </w:r>
      <w:r w:rsidRPr="00AF3214">
        <w:rPr>
          <w:rFonts w:ascii="Narkisim" w:hAnsi="Narkisim"/>
        </w:rPr>
        <w:t>.</w:t>
      </w:r>
    </w:p>
    <w:p w14:paraId="09163675" w14:textId="77777777" w:rsidR="006C4368" w:rsidRPr="00AF3214" w:rsidRDefault="006C4368" w:rsidP="006C4368">
      <w:pPr>
        <w:pStyle w:val="aa"/>
        <w:bidi/>
        <w:rPr>
          <w:rFonts w:ascii="Narkisim" w:hAnsi="Narkisim"/>
        </w:rPr>
      </w:pPr>
      <w:r w:rsidRPr="00AF3214">
        <w:rPr>
          <w:rFonts w:ascii="Narkisim" w:hAnsi="Narkisim"/>
          <w:u w:val="single"/>
          <w:rtl/>
        </w:rPr>
        <w:t>סד"א הואיל ואר"ע יש ממזר מחייבי לאוין אימא חיישא אקלקולא ודייקא וכו'</w:t>
      </w:r>
      <w:r w:rsidRPr="00AF3214">
        <w:rPr>
          <w:rFonts w:ascii="Narkisim" w:hAnsi="Narkisim"/>
          <w:rtl/>
        </w:rPr>
        <w:t xml:space="preserve">. </w:t>
      </w:r>
      <w:r w:rsidRPr="00AF3214">
        <w:rPr>
          <w:rFonts w:ascii="Narkisim" w:hAnsi="Narkisim"/>
          <w:b/>
          <w:bCs/>
          <w:rtl/>
        </w:rPr>
        <w:t>תוס</w:t>
      </w:r>
      <w:r w:rsidRPr="00AF3214">
        <w:rPr>
          <w:rFonts w:ascii="Narkisim" w:hAnsi="Narkisim"/>
          <w:rtl/>
        </w:rPr>
        <w:t>' הביאו דמבואר דלרבנן לא הוה ממזר, והק' דמבואר (גיטין פ:) דאף לרבנן היכא דנשאת לאחר תקנו תצא מזה ומזה וכל הדרכים, והוה ממזר מדרבנן משום דמחלפה. ו</w:t>
      </w:r>
      <w:r w:rsidRPr="00AF3214">
        <w:rPr>
          <w:rFonts w:ascii="Narkisim" w:hAnsi="Narkisim"/>
          <w:b/>
          <w:bCs/>
          <w:rtl/>
        </w:rPr>
        <w:t>תוס'</w:t>
      </w:r>
      <w:r w:rsidRPr="00AF3214">
        <w:rPr>
          <w:rFonts w:ascii="Narkisim" w:hAnsi="Narkisim"/>
          <w:rtl/>
        </w:rPr>
        <w:t xml:space="preserve"> (לעיל צב:, והתורא"ש כאן) תי' דהגמ' כאן קאי כאידך לישנא (לעיל צב:) דלא גזרו. א"נ מחמת שנאה אינה חוששת אלא משום פסול דאורייתא</w:t>
      </w:r>
      <w:r w:rsidRPr="00AF3214">
        <w:rPr>
          <w:rFonts w:ascii="Narkisim" w:hAnsi="Narkisim"/>
        </w:rPr>
        <w:t>.</w:t>
      </w:r>
    </w:p>
    <w:p w14:paraId="3433D7E2" w14:textId="77777777" w:rsidR="006C4368" w:rsidRPr="00AF3214" w:rsidRDefault="006C4368" w:rsidP="006C4368">
      <w:pPr>
        <w:pStyle w:val="aa"/>
        <w:bidi/>
        <w:rPr>
          <w:rFonts w:ascii="Narkisim" w:hAnsi="Narkisim"/>
        </w:rPr>
      </w:pPr>
      <w:r w:rsidRPr="00AF3214">
        <w:rPr>
          <w:rFonts w:ascii="Narkisim" w:hAnsi="Narkisim"/>
          <w:u w:val="single"/>
          <w:rtl/>
        </w:rPr>
        <w:t>שם</w:t>
      </w:r>
      <w:r w:rsidRPr="00AF3214">
        <w:rPr>
          <w:rFonts w:ascii="Narkisim" w:hAnsi="Narkisim"/>
          <w:rtl/>
        </w:rPr>
        <w:t>. וי"ג אימא חיישא אקלקולא דזרעא ודייקא, קמ"ל דאקלקולא דידה חיישא דזרעא לא חיישא. רש"י דחה דה"נ לר"ע נאסרת על היבם ועל בעל שני ויש קלקול לדידה. והבעה"מ הביא ד</w:t>
      </w:r>
      <w:r w:rsidRPr="00AF3214">
        <w:rPr>
          <w:rFonts w:ascii="Narkisim" w:hAnsi="Narkisim"/>
          <w:b/>
          <w:bCs/>
          <w:rtl/>
        </w:rPr>
        <w:t>ר' אברהם</w:t>
      </w:r>
      <w:r w:rsidRPr="00AF3214">
        <w:rPr>
          <w:rFonts w:ascii="Narkisim" w:hAnsi="Narkisim"/>
          <w:rtl/>
        </w:rPr>
        <w:t xml:space="preserve"> פי' דחיישא לקלקולא דידה היינו צער גופה, משום דסניא ליה</w:t>
      </w:r>
      <w:r w:rsidRPr="00AF3214">
        <w:rPr>
          <w:rFonts w:ascii="Narkisim" w:hAnsi="Narkisim"/>
        </w:rPr>
        <w:t>.</w:t>
      </w:r>
    </w:p>
    <w:p w14:paraId="43EDC77A"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בעה"מ</w:t>
      </w:r>
      <w:r w:rsidRPr="00AF3214">
        <w:rPr>
          <w:rFonts w:ascii="Narkisim" w:hAnsi="Narkisim"/>
          <w:rtl/>
        </w:rPr>
        <w:t xml:space="preserve"> פי' הך גירסא דבשלמא אשה שיש לה בעל והלך למדיה"י, שמקולקלת על בעלה הראשון. אבל יבמה שאין לה בעל אין זה קלקול לומר לה תצא מזה ומזה, דבלחודה עיילא ובלחודה נפקא. ועד"ז כת' ה</w:t>
      </w:r>
      <w:r w:rsidRPr="00AF3214">
        <w:rPr>
          <w:rFonts w:ascii="Narkisim" w:hAnsi="Narkisim"/>
          <w:b/>
          <w:bCs/>
          <w:rtl/>
        </w:rPr>
        <w:t>ריטב"א</w:t>
      </w:r>
      <w:r w:rsidRPr="00AF3214">
        <w:rPr>
          <w:rFonts w:ascii="Narkisim" w:hAnsi="Narkisim"/>
          <w:rtl/>
        </w:rPr>
        <w:t xml:space="preserve"> דאין זה קלקול בעיניה לצאת מיבמה, דאדרבה דילמא סניא ליה וניחא לה בשאר קלקולי ממון משום הא. ודוקא משום קלקולא דזרעא [שאין לו תיקון] איכא למימר דחיישת</w:t>
      </w:r>
      <w:r w:rsidRPr="00AF3214">
        <w:rPr>
          <w:rFonts w:ascii="Narkisim" w:hAnsi="Narkisim"/>
        </w:rPr>
        <w:t>.</w:t>
      </w:r>
    </w:p>
    <w:p w14:paraId="140A6D03" w14:textId="77777777" w:rsidR="006C4368" w:rsidRPr="00AF3214" w:rsidRDefault="006C4368" w:rsidP="006C4368">
      <w:pPr>
        <w:bidi/>
        <w:rPr>
          <w:rFonts w:ascii="Narkisim" w:hAnsi="Narkisim" w:cs="Narkisim"/>
        </w:rPr>
      </w:pPr>
      <w:r w:rsidRPr="00AF3214">
        <w:rPr>
          <w:rFonts w:ascii="Narkisim" w:hAnsi="Narkisim" w:cs="Narkisim"/>
          <w:u w:val="single"/>
          <w:rtl/>
        </w:rPr>
        <w:t>רבא אמר ע"א נאמן ביבמה מק"ו וכו' לאיסור לאו לא כ"ש</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דכיון דנאמנת להתיר איסור אשת איש, כ"ש דנאמן להתיר איסור יבמה לשוק. [ולפ"ז הפשיטות לא הוה מעין הספק של הגמ' האם חיישינן דסני או דרחמא. וצ"ב דמ"מ ניחוש דסניא ליה, והאיך ילפי' דבר זה בק"ו. וזהו קו' ההוא מדרבנן]. ו</w:t>
      </w:r>
      <w:r w:rsidRPr="00AF3214">
        <w:rPr>
          <w:rFonts w:ascii="Narkisim" w:hAnsi="Narkisim" w:cs="Narkisim"/>
          <w:b/>
          <w:bCs/>
          <w:rtl/>
        </w:rPr>
        <w:t>תוס'</w:t>
      </w:r>
      <w:r w:rsidRPr="00AF3214">
        <w:rPr>
          <w:rFonts w:ascii="Narkisim" w:hAnsi="Narkisim" w:cs="Narkisim"/>
          <w:rtl/>
        </w:rPr>
        <w:t xml:space="preserve"> פי' דילפי' מהא דמהני עד א' להתיר ליבם, והגמ' לומדת כמו שלא חיישינן דמרחמא ליה, ה"נ לא חיישינן דסני. וצ"ב דהגמ' נוקטת ק"ו</w:t>
      </w:r>
      <w:r w:rsidRPr="00AF3214">
        <w:rPr>
          <w:rFonts w:ascii="Narkisim" w:hAnsi="Narkisim" w:cs="Narkisim"/>
        </w:rPr>
        <w:t>.</w:t>
      </w:r>
    </w:p>
    <w:p w14:paraId="6F04CFD3" w14:textId="77777777" w:rsidR="006C4368" w:rsidRPr="00AF3214" w:rsidRDefault="006C4368" w:rsidP="006C4368">
      <w:pPr>
        <w:bidi/>
        <w:rPr>
          <w:rFonts w:ascii="Narkisim" w:hAnsi="Narkisim" w:cs="Narkisim"/>
        </w:rPr>
      </w:pPr>
      <w:r w:rsidRPr="00AF3214">
        <w:rPr>
          <w:rFonts w:ascii="Narkisim" w:hAnsi="Narkisim" w:cs="Narkisim"/>
          <w:rtl/>
        </w:rPr>
        <w:t>ה</w:t>
      </w:r>
      <w:r w:rsidRPr="00AF3214">
        <w:rPr>
          <w:rFonts w:ascii="Narkisim" w:hAnsi="Narkisim" w:cs="Narkisim"/>
          <w:b/>
          <w:bCs/>
          <w:rtl/>
        </w:rPr>
        <w:t>רי"ף</w:t>
      </w:r>
      <w:r w:rsidRPr="00AF3214">
        <w:rPr>
          <w:rFonts w:ascii="Narkisim" w:hAnsi="Narkisim" w:cs="Narkisim"/>
          <w:rtl/>
        </w:rPr>
        <w:t xml:space="preserve"> פסק דעד א' נאמן ביבמה לשוק, וכדברי ר' ששת ורבא. ואף דדחינן להו, הדחייה לאו דסמכא. וה</w:t>
      </w:r>
      <w:r w:rsidRPr="00AF3214">
        <w:rPr>
          <w:rFonts w:ascii="Narkisim" w:hAnsi="Narkisim" w:cs="Narkisim"/>
          <w:b/>
          <w:bCs/>
          <w:rtl/>
        </w:rPr>
        <w:t>רא"ש</w:t>
      </w:r>
      <w:r w:rsidRPr="00AF3214">
        <w:rPr>
          <w:rFonts w:ascii="Narkisim" w:hAnsi="Narkisim" w:cs="Narkisim"/>
          <w:rtl/>
        </w:rPr>
        <w:t xml:space="preserve"> תמה מנ"ל להקל בזה. ודחייה דרבא היא טובה וחזקה, וכמו שביבמה חיישינן שמא תעיד שקר במזיד משום דסניא ליה, כ"ש שתסמוך על העד ולא דייקא. וקשה הדבר להקל</w:t>
      </w:r>
      <w:r w:rsidRPr="00AF3214">
        <w:rPr>
          <w:rFonts w:ascii="Narkisim" w:hAnsi="Narkisim" w:cs="Narkisim"/>
        </w:rPr>
        <w:t>.</w:t>
      </w:r>
    </w:p>
    <w:p w14:paraId="26A5B349"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בית הלוי</w:t>
      </w:r>
      <w:r w:rsidRPr="00AF3214">
        <w:rPr>
          <w:rFonts w:ascii="Narkisim" w:hAnsi="Narkisim"/>
          <w:rtl/>
        </w:rPr>
        <w:t xml:space="preserve"> (ג יג ב) דן אי הוה חשש דרבנן או אף מדאורייתא ל"מ. עי"ש שהאריך</w:t>
      </w:r>
      <w:r w:rsidRPr="00AF3214">
        <w:rPr>
          <w:rFonts w:ascii="Narkisim" w:hAnsi="Narkisim"/>
        </w:rPr>
        <w:t>.</w:t>
      </w:r>
    </w:p>
    <w:p w14:paraId="3DDBC512" w14:textId="77777777" w:rsidR="006C4368" w:rsidRPr="00AF3214" w:rsidRDefault="006C4368" w:rsidP="006C4368">
      <w:pPr>
        <w:bidi/>
        <w:rPr>
          <w:rFonts w:ascii="Narkisim" w:hAnsi="Narkisim" w:cs="Narkisim"/>
        </w:rPr>
      </w:pPr>
      <w:r w:rsidRPr="00AF3214">
        <w:rPr>
          <w:rFonts w:ascii="Narkisim" w:hAnsi="Narkisim" w:cs="Narkisim"/>
          <w:u w:val="single"/>
          <w:rtl/>
        </w:rPr>
        <w:t>מאי מרגניתא וכו' אפי' לא נתגרשה אלא מאישה פסולה לכהונה, והיינו ריח הגט</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הרי את מגורשת ממני, ואי את מותרת לכל אדם</w:t>
      </w:r>
      <w:r w:rsidRPr="00AF3214">
        <w:rPr>
          <w:rStyle w:val="ac"/>
          <w:rFonts w:ascii="Narkisim" w:hAnsi="Narkisim" w:cs="Narkisim"/>
          <w:rtl/>
        </w:rPr>
        <w:footnoteReference w:id="6099"/>
      </w:r>
      <w:r w:rsidRPr="00AF3214">
        <w:rPr>
          <w:rFonts w:ascii="Narkisim" w:hAnsi="Narkisim" w:cs="Narkisim"/>
        </w:rPr>
        <w:t xml:space="preserve">. </w:t>
      </w:r>
      <w:r w:rsidRPr="00AF3214">
        <w:rPr>
          <w:rFonts w:ascii="Narkisim" w:hAnsi="Narkisim" w:cs="Narkisim"/>
          <w:rtl/>
        </w:rPr>
        <w:t>דמאישה נפרדה. [והוה גירושין מאישה, אף דאינו מתיר]</w:t>
      </w:r>
      <w:r w:rsidRPr="00AF3214">
        <w:rPr>
          <w:rFonts w:ascii="Narkisim" w:hAnsi="Narkisim" w:cs="Narkisim"/>
        </w:rPr>
        <w:t>.</w:t>
      </w:r>
    </w:p>
    <w:p w14:paraId="33241D4E" w14:textId="77777777" w:rsidR="006C4368" w:rsidRPr="00AF3214" w:rsidRDefault="006C4368" w:rsidP="006C4368">
      <w:pPr>
        <w:pStyle w:val="a8"/>
        <w:bidi/>
        <w:rPr>
          <w:rFonts w:ascii="Narkisim" w:hAnsi="Narkisim"/>
        </w:rPr>
      </w:pPr>
      <w:r w:rsidRPr="00AF3214">
        <w:rPr>
          <w:rFonts w:ascii="Narkisim" w:hAnsi="Narkisim"/>
          <w:rtl/>
        </w:rPr>
        <w:t xml:space="preserve">ובפשוטו משמע דהוה דרשא גמורה מדאורייתא דריח הגט פוסל לכהונה. </w:t>
      </w:r>
      <w:r w:rsidRPr="00AF3214">
        <w:rPr>
          <w:rFonts w:ascii="Narkisim" w:eastAsia="Narkisim" w:hAnsi="Narkisim"/>
          <w:sz w:val="24"/>
          <w:rtl/>
        </w:rPr>
        <w:t>אבל ה</w:t>
      </w:r>
      <w:r w:rsidRPr="00AF3214">
        <w:rPr>
          <w:rFonts w:ascii="Narkisim" w:eastAsia="Narkisim" w:hAnsi="Narkisim"/>
          <w:b/>
          <w:bCs/>
          <w:sz w:val="24"/>
          <w:rtl/>
        </w:rPr>
        <w:t>רמב"ם</w:t>
      </w:r>
      <w:r w:rsidRPr="00AF3214">
        <w:rPr>
          <w:rFonts w:ascii="Narkisim" w:eastAsia="Narkisim" w:hAnsi="Narkisim"/>
          <w:sz w:val="24"/>
          <w:rtl/>
        </w:rPr>
        <w:t xml:space="preserve"> (גירושין י א) כת' דריח הגט אסורה לכהונה 'מדבריהם'. וע"ע לח"מ ושאג"א (חדשות ב)</w:t>
      </w:r>
      <w:r w:rsidRPr="00AF3214">
        <w:rPr>
          <w:rFonts w:ascii="Narkisim" w:eastAsia="Narkisim" w:hAnsi="Narkisim"/>
          <w:sz w:val="24"/>
        </w:rPr>
        <w:t>.</w:t>
      </w:r>
    </w:p>
    <w:p w14:paraId="0B85040B" w14:textId="77777777" w:rsidR="006C4368" w:rsidRPr="00AF3214" w:rsidRDefault="006C4368" w:rsidP="006C4368">
      <w:pPr>
        <w:pStyle w:val="aa"/>
        <w:bidi/>
        <w:rPr>
          <w:rFonts w:ascii="Narkisim" w:hAnsi="Narkisim"/>
        </w:rPr>
      </w:pPr>
      <w:r w:rsidRPr="00AF3214">
        <w:rPr>
          <w:rFonts w:ascii="Narkisim" w:eastAsia="Narkisim" w:hAnsi="Narkisim"/>
          <w:sz w:val="24"/>
          <w:rtl/>
        </w:rPr>
        <w:t>וה</w:t>
      </w:r>
      <w:r w:rsidRPr="00AF3214">
        <w:rPr>
          <w:rFonts w:ascii="Narkisim" w:eastAsia="Narkisim" w:hAnsi="Narkisim"/>
          <w:b/>
          <w:bCs/>
          <w:sz w:val="24"/>
          <w:rtl/>
        </w:rPr>
        <w:t>בית מאיר</w:t>
      </w:r>
      <w:r w:rsidRPr="00AF3214">
        <w:rPr>
          <w:rFonts w:ascii="Narkisim" w:eastAsia="Narkisim" w:hAnsi="Narkisim"/>
          <w:sz w:val="24"/>
          <w:rtl/>
        </w:rPr>
        <w:t xml:space="preserve"> (יז נח) נסתפק מ"ט כינה לדינא דמתני' חספא, האם הוה משום שפשיטא דאינה אשתו, ול"ש גט לפוסלה</w:t>
      </w:r>
      <w:r w:rsidRPr="00AF3214">
        <w:rPr>
          <w:rStyle w:val="ac"/>
          <w:rFonts w:ascii="Narkisim" w:eastAsia="Narkisim" w:hAnsi="Narkisim"/>
          <w:sz w:val="24"/>
          <w:rtl/>
        </w:rPr>
        <w:footnoteReference w:id="6100"/>
      </w:r>
      <w:r w:rsidRPr="00AF3214">
        <w:rPr>
          <w:rFonts w:ascii="Narkisim" w:eastAsia="Narkisim" w:hAnsi="Narkisim"/>
          <w:sz w:val="24"/>
        </w:rPr>
        <w:t xml:space="preserve">. </w:t>
      </w:r>
      <w:r w:rsidRPr="00AF3214">
        <w:rPr>
          <w:rFonts w:ascii="Narkisim" w:eastAsia="Narkisim" w:hAnsi="Narkisim"/>
          <w:sz w:val="24"/>
          <w:rtl/>
        </w:rPr>
        <w:t>או דכוונתו לחלוק בדין, דאף כה"ג הוה בכלל ריח הגט</w:t>
      </w:r>
      <w:r w:rsidRPr="00AF3214">
        <w:rPr>
          <w:rFonts w:ascii="Narkisim" w:eastAsia="Narkisim" w:hAnsi="Narkisim"/>
          <w:sz w:val="24"/>
        </w:rPr>
        <w:t>.</w:t>
      </w:r>
    </w:p>
    <w:p w14:paraId="08F8D126" w14:textId="77777777" w:rsidR="006C4368" w:rsidRPr="00AF3214" w:rsidRDefault="006C4368" w:rsidP="006C4368">
      <w:pPr>
        <w:pStyle w:val="aa"/>
        <w:bidi/>
        <w:rPr>
          <w:rFonts w:ascii="Narkisim" w:hAnsi="Narkisim"/>
        </w:rPr>
      </w:pPr>
      <w:r w:rsidRPr="00AF3214">
        <w:rPr>
          <w:rFonts w:ascii="Narkisim" w:eastAsia="Narkisim" w:hAnsi="Narkisim"/>
          <w:sz w:val="24"/>
          <w:u w:val="single"/>
          <w:rtl/>
        </w:rPr>
        <w:t>מי שהלכה אשתו למדה"י באו ואמרו לו מתה אשתך ונשא את אחותה וכו'</w:t>
      </w:r>
      <w:r w:rsidRPr="00AF3214">
        <w:rPr>
          <w:rFonts w:ascii="Narkisim" w:eastAsia="Narkisim" w:hAnsi="Narkisim"/>
          <w:sz w:val="24"/>
          <w:rtl/>
        </w:rPr>
        <w:t>. דאחות אשתו מותרת לאחר מיתה, כדכתיב (ויקרא יח יח) לצרור, לגלות ערותה עליה בחייה. וה</w:t>
      </w:r>
      <w:r w:rsidRPr="00AF3214">
        <w:rPr>
          <w:rFonts w:ascii="Narkisim" w:eastAsia="Narkisim" w:hAnsi="Narkisim"/>
          <w:b/>
          <w:bCs/>
          <w:sz w:val="24"/>
          <w:rtl/>
        </w:rPr>
        <w:t>משך חכמה</w:t>
      </w:r>
      <w:r w:rsidRPr="00AF3214">
        <w:rPr>
          <w:rFonts w:ascii="Narkisim" w:eastAsia="Narkisim" w:hAnsi="Narkisim"/>
          <w:sz w:val="24"/>
          <w:rtl/>
        </w:rPr>
        <w:t xml:space="preserve"> (שם) כת' דאחות אשה לא נאסרה משום קורבה, דהא כל קרובות אשתו [אמה ובתה וכו'] נאסרות גם אחר מותה. אלא דגדר המצווה </w:t>
      </w:r>
      <w:r w:rsidRPr="00AF3214">
        <w:rPr>
          <w:rFonts w:ascii="Narkisim" w:eastAsia="Narkisim" w:hAnsi="Narkisim"/>
          <w:sz w:val="24"/>
          <w:rtl/>
        </w:rPr>
        <w:lastRenderedPageBreak/>
        <w:t>'לצרור'</w:t>
      </w:r>
      <w:r w:rsidRPr="00AF3214">
        <w:rPr>
          <w:rStyle w:val="ac"/>
          <w:rFonts w:ascii="Narkisim" w:eastAsia="Narkisim" w:hAnsi="Narkisim"/>
          <w:sz w:val="24"/>
          <w:rtl/>
        </w:rPr>
        <w:footnoteReference w:id="6101"/>
      </w:r>
      <w:r w:rsidRPr="00AF3214">
        <w:rPr>
          <w:rFonts w:ascii="Narkisim" w:eastAsia="Narkisim" w:hAnsi="Narkisim"/>
          <w:sz w:val="24"/>
          <w:rtl/>
        </w:rPr>
        <w:t>. [דהאיסור במה ששניהם יחד</w:t>
      </w:r>
      <w:r w:rsidRPr="00AF3214">
        <w:rPr>
          <w:rStyle w:val="ac"/>
          <w:rFonts w:ascii="Narkisim" w:eastAsia="Narkisim" w:hAnsi="Narkisim"/>
          <w:sz w:val="24"/>
          <w:rtl/>
        </w:rPr>
        <w:footnoteReference w:id="6102"/>
      </w:r>
      <w:r w:rsidRPr="00AF3214">
        <w:rPr>
          <w:rFonts w:ascii="Narkisim" w:eastAsia="Narkisim" w:hAnsi="Narkisim"/>
          <w:sz w:val="24"/>
          <w:rtl/>
        </w:rPr>
        <w:t>]</w:t>
      </w:r>
      <w:r w:rsidRPr="00AF3214">
        <w:rPr>
          <w:rFonts w:ascii="Narkisim" w:eastAsia="Narkisim" w:hAnsi="Narkisim"/>
          <w:sz w:val="24"/>
        </w:rPr>
        <w:t xml:space="preserve">.  </w:t>
      </w:r>
    </w:p>
    <w:p w14:paraId="4C7C464B" w14:textId="77777777" w:rsidR="006C4368" w:rsidRPr="00AF3214" w:rsidRDefault="006C4368" w:rsidP="006C4368">
      <w:pPr>
        <w:pStyle w:val="3"/>
        <w:bidi/>
        <w:rPr>
          <w:rFonts w:ascii="Narkisim" w:hAnsi="Narkisim"/>
        </w:rPr>
      </w:pPr>
      <w:r w:rsidRPr="00AF3214">
        <w:rPr>
          <w:rFonts w:ascii="Narkisim" w:hAnsi="Narkisim"/>
          <w:rtl/>
        </w:rPr>
        <w:t>דף צד</w:t>
      </w:r>
      <w:r w:rsidRPr="00AF3214">
        <w:rPr>
          <w:rFonts w:ascii="Narkisim" w:hAnsi="Narkisim"/>
        </w:rPr>
        <w:t>:</w:t>
      </w:r>
    </w:p>
    <w:p w14:paraId="56A17A85" w14:textId="77777777" w:rsidR="006C4368" w:rsidRPr="00AF3214" w:rsidRDefault="006C4368" w:rsidP="006C4368">
      <w:pPr>
        <w:bidi/>
        <w:rPr>
          <w:rFonts w:ascii="Narkisim" w:hAnsi="Narkisim" w:cs="Narkisim"/>
        </w:rPr>
      </w:pPr>
      <w:r w:rsidRPr="00AF3214">
        <w:rPr>
          <w:rFonts w:ascii="Narkisim" w:hAnsi="Narkisim" w:cs="Narkisim"/>
          <w:u w:val="single"/>
          <w:rtl/>
        </w:rPr>
        <w:t>ומותר בקרובות שניה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דקי"ל (לקמן צז.) נושאין על האנוסה ועל המפותה. וה</w:t>
      </w:r>
      <w:r w:rsidRPr="00AF3214">
        <w:rPr>
          <w:rFonts w:ascii="Narkisim" w:hAnsi="Narkisim" w:cs="Narkisim"/>
          <w:b/>
          <w:bCs/>
          <w:rtl/>
        </w:rPr>
        <w:t>פוסקים</w:t>
      </w:r>
      <w:r w:rsidRPr="00AF3214">
        <w:rPr>
          <w:rFonts w:ascii="Narkisim" w:hAnsi="Narkisim" w:cs="Narkisim"/>
          <w:rtl/>
        </w:rPr>
        <w:t xml:space="preserve"> הק' דבגמ' (שם) אי' דהנטען על האשה מדרבנן אסור בקרובותיה בחייה</w:t>
      </w:r>
      <w:r w:rsidRPr="00AF3214">
        <w:rPr>
          <w:rStyle w:val="ac"/>
          <w:rFonts w:ascii="Narkisim" w:hAnsi="Narkisim" w:cs="Narkisim"/>
          <w:rtl/>
        </w:rPr>
        <w:footnoteReference w:id="6103"/>
      </w:r>
      <w:r w:rsidRPr="00AF3214">
        <w:rPr>
          <w:rFonts w:ascii="Narkisim" w:hAnsi="Narkisim" w:cs="Narkisim"/>
        </w:rPr>
        <w:t xml:space="preserve">. </w:t>
      </w:r>
      <w:r w:rsidRPr="00AF3214">
        <w:rPr>
          <w:rFonts w:ascii="Narkisim" w:hAnsi="Narkisim" w:cs="Narkisim"/>
          <w:rtl/>
        </w:rPr>
        <w:t>גזירה שמא תזנה עמה. וה"נ נגזור. וה</w:t>
      </w:r>
      <w:r w:rsidRPr="00AF3214">
        <w:rPr>
          <w:rFonts w:ascii="Narkisim" w:hAnsi="Narkisim" w:cs="Narkisim"/>
          <w:b/>
          <w:bCs/>
          <w:rtl/>
        </w:rPr>
        <w:t>ב"ח</w:t>
      </w:r>
      <w:r w:rsidRPr="00AF3214">
        <w:rPr>
          <w:rFonts w:ascii="Narkisim" w:hAnsi="Narkisim" w:cs="Narkisim"/>
          <w:rtl/>
        </w:rPr>
        <w:t xml:space="preserve"> וה</w:t>
      </w:r>
      <w:r w:rsidRPr="00AF3214">
        <w:rPr>
          <w:rFonts w:ascii="Narkisim" w:hAnsi="Narkisim" w:cs="Narkisim"/>
          <w:b/>
          <w:bCs/>
          <w:rtl/>
        </w:rPr>
        <w:t>פרישה</w:t>
      </w:r>
      <w:r w:rsidRPr="00AF3214">
        <w:rPr>
          <w:rFonts w:ascii="Narkisim" w:hAnsi="Narkisim" w:cs="Narkisim"/>
          <w:rtl/>
        </w:rPr>
        <w:t xml:space="preserve"> (טו) כת' דהא דאי' במשנה דמותר בקרובות שניה היינו לאחר מיתתה. ואינה נאסר על אשתו משום הך גזירה, כיון דכבר נשא בהיתר. [וכמ"ש הרמב"ן ושא"ר לקמן צה.]</w:t>
      </w:r>
      <w:r w:rsidRPr="00AF3214">
        <w:rPr>
          <w:rFonts w:ascii="Narkisim" w:hAnsi="Narkisim" w:cs="Narkisim"/>
        </w:rPr>
        <w:t>.</w:t>
      </w:r>
    </w:p>
    <w:p w14:paraId="0BE620E7"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ט"ז</w:t>
      </w:r>
      <w:r w:rsidRPr="00AF3214">
        <w:rPr>
          <w:rFonts w:ascii="Narkisim" w:hAnsi="Narkisim"/>
          <w:rtl/>
        </w:rPr>
        <w:t xml:space="preserve"> (טו יח) כת' דהתם איירי שבא עליה דרך זנות, ומש"ה חיישינן שמא עוד יזנה עמה אחר שנושא קרובותיה. משא"כ בסוגיין שבא עליה בשוגג שהיה סבור שמתה הראשונה, ועכשיו שרואה שהיא חיה למה נחשדיהו שיבא במזיד על אחות אשתו, והוא בלי פשע לפנינו. ועד"ז כת' ה</w:t>
      </w:r>
      <w:r w:rsidRPr="00AF3214">
        <w:rPr>
          <w:rFonts w:ascii="Narkisim" w:hAnsi="Narkisim"/>
          <w:b/>
          <w:bCs/>
          <w:rtl/>
        </w:rPr>
        <w:t>משנ"ל</w:t>
      </w:r>
      <w:r w:rsidRPr="00AF3214">
        <w:rPr>
          <w:rFonts w:ascii="Narkisim" w:hAnsi="Narkisim"/>
          <w:rtl/>
        </w:rPr>
        <w:t xml:space="preserve"> (איסו"ב ב יא)</w:t>
      </w:r>
      <w:r w:rsidRPr="00AF3214">
        <w:rPr>
          <w:rStyle w:val="ac"/>
          <w:rFonts w:ascii="Narkisim" w:hAnsi="Narkisim"/>
          <w:rtl/>
        </w:rPr>
        <w:footnoteReference w:id="6104"/>
      </w:r>
      <w:r w:rsidRPr="00AF3214">
        <w:rPr>
          <w:rFonts w:ascii="Narkisim" w:hAnsi="Narkisim"/>
        </w:rPr>
        <w:t xml:space="preserve">, </w:t>
      </w:r>
      <w:r w:rsidRPr="00AF3214">
        <w:rPr>
          <w:rFonts w:ascii="Narkisim" w:hAnsi="Narkisim"/>
          <w:rtl/>
        </w:rPr>
        <w:t>והביא כן ממשנתינו. והביא דמדברי ה</w:t>
      </w:r>
      <w:r w:rsidRPr="00AF3214">
        <w:rPr>
          <w:rFonts w:ascii="Narkisim" w:hAnsi="Narkisim"/>
          <w:b/>
          <w:bCs/>
          <w:rtl/>
        </w:rPr>
        <w:t>טור</w:t>
      </w:r>
      <w:r w:rsidRPr="00AF3214">
        <w:rPr>
          <w:rFonts w:ascii="Narkisim" w:hAnsi="Narkisim"/>
          <w:rtl/>
        </w:rPr>
        <w:t xml:space="preserve"> (טו ו) משמע דמותר אף בחייה</w:t>
      </w:r>
      <w:r w:rsidRPr="00AF3214">
        <w:rPr>
          <w:rFonts w:ascii="Narkisim" w:hAnsi="Narkisim"/>
        </w:rPr>
        <w:t>.</w:t>
      </w:r>
    </w:p>
    <w:p w14:paraId="1688F691" w14:textId="77777777" w:rsidR="006C4368" w:rsidRPr="00AF3214" w:rsidRDefault="006C4368" w:rsidP="006C4368">
      <w:pPr>
        <w:bidi/>
        <w:rPr>
          <w:rFonts w:ascii="Narkisim" w:hAnsi="Narkisim" w:cs="Narkisim"/>
        </w:rPr>
      </w:pPr>
      <w:r w:rsidRPr="00AF3214">
        <w:rPr>
          <w:rFonts w:ascii="Narkisim" w:hAnsi="Narkisim" w:cs="Narkisim"/>
          <w:u w:val="single"/>
          <w:rtl/>
        </w:rPr>
        <w:t>ואע"ג דאזיל אשתו וגיסו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דעד א' אמר לו מתה אשתך, ולזו אמר מת בעליך וכו'. ה</w:t>
      </w:r>
      <w:r w:rsidRPr="00AF3214">
        <w:rPr>
          <w:rFonts w:ascii="Narkisim" w:hAnsi="Narkisim" w:cs="Narkisim"/>
          <w:b/>
          <w:bCs/>
          <w:rtl/>
        </w:rPr>
        <w:t>מהרש"א</w:t>
      </w:r>
      <w:r w:rsidRPr="00AF3214">
        <w:rPr>
          <w:rFonts w:ascii="Narkisim" w:hAnsi="Narkisim" w:cs="Narkisim"/>
          <w:rtl/>
        </w:rPr>
        <w:t xml:space="preserve"> הק' דע"פ ע"א אינו רשאי לישא אחותה [וכדאי' בע"א]. ו</w:t>
      </w:r>
      <w:r w:rsidRPr="00AF3214">
        <w:rPr>
          <w:rFonts w:ascii="Narkisim" w:hAnsi="Narkisim" w:cs="Narkisim"/>
          <w:b/>
          <w:bCs/>
          <w:rtl/>
        </w:rPr>
        <w:t>תוס'</w:t>
      </w:r>
      <w:r w:rsidRPr="00AF3214">
        <w:rPr>
          <w:rFonts w:ascii="Narkisim" w:hAnsi="Narkisim" w:cs="Narkisim"/>
          <w:rtl/>
        </w:rPr>
        <w:t xml:space="preserve"> וה</w:t>
      </w:r>
      <w:r w:rsidRPr="00AF3214">
        <w:rPr>
          <w:rFonts w:ascii="Narkisim" w:hAnsi="Narkisim" w:cs="Narkisim"/>
          <w:b/>
          <w:bCs/>
          <w:rtl/>
        </w:rPr>
        <w:t>ראשונים</w:t>
      </w:r>
      <w:r w:rsidRPr="00AF3214">
        <w:rPr>
          <w:rFonts w:ascii="Narkisim" w:hAnsi="Narkisim" w:cs="Narkisim"/>
          <w:rtl/>
        </w:rPr>
        <w:t xml:space="preserve"> העמידו דהעידו ב' עדים על אשתו</w:t>
      </w:r>
      <w:r w:rsidRPr="00AF3214">
        <w:rPr>
          <w:rStyle w:val="ac"/>
          <w:rFonts w:ascii="Narkisim" w:hAnsi="Narkisim" w:cs="Narkisim"/>
          <w:rtl/>
        </w:rPr>
        <w:footnoteReference w:id="6105"/>
      </w:r>
      <w:r w:rsidRPr="00AF3214">
        <w:rPr>
          <w:rFonts w:ascii="Narkisim" w:hAnsi="Narkisim" w:cs="Narkisim"/>
        </w:rPr>
        <w:t>.</w:t>
      </w:r>
    </w:p>
    <w:p w14:paraId="1F67D87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כת' [בדעת רש"י] די"ל דבאמת עד א' נאמן</w:t>
      </w:r>
      <w:r w:rsidRPr="00AF3214">
        <w:rPr>
          <w:rStyle w:val="ac"/>
          <w:rFonts w:ascii="Narkisim" w:hAnsi="Narkisim"/>
          <w:rtl/>
        </w:rPr>
        <w:footnoteReference w:id="6106"/>
      </w:r>
      <w:r w:rsidRPr="00AF3214">
        <w:rPr>
          <w:rFonts w:ascii="Narkisim" w:hAnsi="Narkisim"/>
        </w:rPr>
        <w:t xml:space="preserve"> </w:t>
      </w:r>
      <w:r w:rsidRPr="00AF3214">
        <w:rPr>
          <w:rFonts w:ascii="Narkisim" w:hAnsi="Narkisim"/>
          <w:rtl/>
        </w:rPr>
        <w:t>[אף בלא עיגונא], אלא דבגמ' (בע"א) לא בעו למידק מהכא. ועוד תי' דאיירי בעבר ונשאה באיסור. דטעה וסבר דעד א' נאמן (וכ"כ ה</w:t>
      </w:r>
      <w:r w:rsidRPr="00AF3214">
        <w:rPr>
          <w:rFonts w:ascii="Narkisim" w:hAnsi="Narkisim"/>
          <w:b/>
          <w:bCs/>
          <w:rtl/>
        </w:rPr>
        <w:t>בי"ש</w:t>
      </w:r>
      <w:r w:rsidRPr="00AF3214">
        <w:rPr>
          <w:rFonts w:ascii="Narkisim" w:hAnsi="Narkisim"/>
          <w:rtl/>
        </w:rPr>
        <w:t xml:space="preserve"> טו כ)</w:t>
      </w:r>
      <w:r w:rsidRPr="00AF3214">
        <w:rPr>
          <w:rFonts w:ascii="Narkisim" w:hAnsi="Narkisim"/>
        </w:rPr>
        <w:t>.</w:t>
      </w:r>
    </w:p>
    <w:p w14:paraId="6DE730A1" w14:textId="77777777" w:rsidR="006C4368" w:rsidRPr="00AF3214" w:rsidRDefault="006C4368" w:rsidP="006C4368">
      <w:pPr>
        <w:pStyle w:val="aa"/>
        <w:bidi/>
        <w:rPr>
          <w:rFonts w:ascii="Narkisim" w:hAnsi="Narkisim"/>
        </w:rPr>
      </w:pPr>
      <w:r w:rsidRPr="00AF3214">
        <w:rPr>
          <w:rFonts w:ascii="Narkisim" w:hAnsi="Narkisim"/>
          <w:u w:val="single"/>
          <w:rtl/>
        </w:rPr>
        <w:t>תוד"ה ואע"ג</w:t>
      </w:r>
      <w:r w:rsidRPr="00AF3214">
        <w:rPr>
          <w:rFonts w:ascii="Narkisim" w:hAnsi="Narkisim"/>
          <w:rtl/>
        </w:rPr>
        <w:t>. אלא משמע דאיירי בנשואה, מדקאמר עלה ר' יוסי כל שפוסל ע"י אחרים וכו'. וע"פ הגמ' (צה:) דפוסל ע"י אחרים הוה בנשואה שאוסרה על בעלה. ע"ע תוס' (צה: ד"ה כל)</w:t>
      </w:r>
      <w:r w:rsidRPr="00AF3214">
        <w:rPr>
          <w:rFonts w:ascii="Narkisim" w:hAnsi="Narkisim"/>
        </w:rPr>
        <w:t>.</w:t>
      </w:r>
    </w:p>
    <w:p w14:paraId="59417890" w14:textId="77777777" w:rsidR="006C4368" w:rsidRPr="00AF3214" w:rsidRDefault="006C4368" w:rsidP="006C4368">
      <w:pPr>
        <w:bidi/>
        <w:rPr>
          <w:rFonts w:ascii="Narkisim" w:hAnsi="Narkisim" w:cs="Narkisim"/>
        </w:rPr>
      </w:pPr>
      <w:r w:rsidRPr="00AF3214">
        <w:rPr>
          <w:rFonts w:ascii="Narkisim" w:hAnsi="Narkisim" w:cs="Narkisim"/>
          <w:u w:val="single"/>
          <w:rtl/>
        </w:rPr>
        <w:t>ולא אמרי' מתוך שנאסרה אשת גיסו אגיסו וכו'</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הק' מה שייך כאן 'מיגו', ומה שייך איסור אשת גיסו ליאסר גיסו. אך </w:t>
      </w:r>
      <w:r w:rsidRPr="00AF3214">
        <w:rPr>
          <w:rFonts w:ascii="Narkisim" w:hAnsi="Narkisim" w:cs="Narkisim"/>
          <w:b/>
          <w:bCs/>
          <w:rtl/>
        </w:rPr>
        <w:t>רש"י</w:t>
      </w:r>
      <w:r w:rsidRPr="00AF3214">
        <w:rPr>
          <w:rFonts w:ascii="Narkisim" w:hAnsi="Narkisim" w:cs="Narkisim"/>
          <w:rtl/>
        </w:rPr>
        <w:t xml:space="preserve"> (צה: ד"ה אלא כי) פי' דהואיל ואהני הני נישואין לפוסלה על בעלה, אהנו נמי להיות חשובה כאשתו ולאסור את אחותה מדרבנן</w:t>
      </w:r>
      <w:r w:rsidRPr="00AF3214">
        <w:rPr>
          <w:rStyle w:val="ac"/>
          <w:rFonts w:ascii="Narkisim" w:hAnsi="Narkisim" w:cs="Narkisim"/>
          <w:rtl/>
        </w:rPr>
        <w:footnoteReference w:id="6107"/>
      </w:r>
      <w:r w:rsidRPr="00AF3214">
        <w:rPr>
          <w:rFonts w:ascii="Narkisim" w:hAnsi="Narkisim" w:cs="Narkisim"/>
        </w:rPr>
        <w:t xml:space="preserve">. </w:t>
      </w:r>
      <w:r w:rsidRPr="00AF3214">
        <w:rPr>
          <w:rFonts w:ascii="Narkisim" w:hAnsi="Narkisim" w:cs="Narkisim"/>
          <w:rtl/>
        </w:rPr>
        <w:t>דגדר הקנס דתצא מזה ומזה, דהחשיבו אישות השני, ועי"ז נאסרת על הראשון. וכיון דהוה אישות חשובה, נאסר בקרובותיה</w:t>
      </w:r>
      <w:r w:rsidRPr="00AF3214">
        <w:rPr>
          <w:rStyle w:val="ac"/>
          <w:rFonts w:ascii="Narkisim" w:hAnsi="Narkisim" w:cs="Narkisim"/>
          <w:rtl/>
        </w:rPr>
        <w:footnoteReference w:id="6108"/>
      </w:r>
      <w:r w:rsidRPr="00AF3214">
        <w:rPr>
          <w:rFonts w:ascii="Narkisim" w:hAnsi="Narkisim" w:cs="Narkisim"/>
        </w:rPr>
        <w:t>.</w:t>
      </w:r>
    </w:p>
    <w:p w14:paraId="3FBB11B1" w14:textId="77777777" w:rsidR="006C4368" w:rsidRPr="00AF3214" w:rsidRDefault="006C4368" w:rsidP="006C4368">
      <w:pPr>
        <w:pStyle w:val="a8"/>
        <w:bidi/>
        <w:rPr>
          <w:rFonts w:ascii="Narkisim" w:hAnsi="Narkisim"/>
        </w:rPr>
      </w:pPr>
      <w:r w:rsidRPr="00AF3214">
        <w:rPr>
          <w:rFonts w:ascii="Narkisim" w:hAnsi="Narkisim"/>
          <w:rtl/>
        </w:rPr>
        <w:t>ועוד יש שפי' הך 'מתוך' דהוה גזירה אטו, וע"ד הא דגזרו יבמה אטו אשה שהלך בעלה למדינת הים (ללישנא האחרונה לעיל צב:). ה"נ י"ל דגזרו באחות אשתו, באופן שאשת גיסו אסורה</w:t>
      </w:r>
      <w:r w:rsidRPr="00AF3214">
        <w:rPr>
          <w:rFonts w:ascii="Narkisim" w:hAnsi="Narkisim"/>
        </w:rPr>
        <w:t>.</w:t>
      </w:r>
    </w:p>
    <w:p w14:paraId="06A283ED"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פי' דנידון הגמ' אי צריך גט, דכיון דמיתסרא אשת גיסו אגיסו, וצריכה ממנו גט </w:t>
      </w:r>
      <w:r w:rsidRPr="00AF3214">
        <w:rPr>
          <w:rFonts w:ascii="Narkisim" w:hAnsi="Narkisim"/>
          <w:rtl/>
        </w:rPr>
        <w:lastRenderedPageBreak/>
        <w:t>[כדי לקונסה ולאוסרה על בעלה], א"כ אשתו אסורה עליו</w:t>
      </w:r>
      <w:r w:rsidRPr="00AF3214">
        <w:rPr>
          <w:rStyle w:val="ac"/>
          <w:rFonts w:ascii="Narkisim" w:hAnsi="Narkisim"/>
          <w:rtl/>
        </w:rPr>
        <w:footnoteReference w:id="6109"/>
      </w:r>
      <w:r w:rsidRPr="00AF3214">
        <w:rPr>
          <w:rFonts w:ascii="Narkisim" w:hAnsi="Narkisim"/>
        </w:rPr>
        <w:t xml:space="preserve"> </w:t>
      </w:r>
      <w:r w:rsidRPr="00AF3214">
        <w:rPr>
          <w:rFonts w:ascii="Narkisim" w:hAnsi="Narkisim"/>
          <w:rtl/>
        </w:rPr>
        <w:t>משום אחות גרושתו</w:t>
      </w:r>
      <w:r w:rsidRPr="00AF3214">
        <w:rPr>
          <w:rStyle w:val="ac"/>
          <w:rFonts w:ascii="Narkisim" w:hAnsi="Narkisim"/>
          <w:rtl/>
        </w:rPr>
        <w:footnoteReference w:id="6110"/>
      </w:r>
      <w:r w:rsidRPr="00AF3214">
        <w:rPr>
          <w:rFonts w:ascii="Narkisim" w:hAnsi="Narkisim"/>
        </w:rPr>
        <w:t>.</w:t>
      </w:r>
    </w:p>
    <w:p w14:paraId="23ABDFA9" w14:textId="77777777" w:rsidR="006C4368" w:rsidRPr="00AF3214" w:rsidRDefault="006C4368" w:rsidP="006C4368">
      <w:pPr>
        <w:bidi/>
        <w:rPr>
          <w:rFonts w:ascii="Narkisim" w:hAnsi="Narkisim" w:cs="Narkisim"/>
        </w:rPr>
      </w:pPr>
      <w:r w:rsidRPr="00AF3214">
        <w:rPr>
          <w:rFonts w:ascii="Narkisim" w:hAnsi="Narkisim" w:cs="Narkisim"/>
          <w:rtl/>
        </w:rPr>
        <w:t xml:space="preserve">וכ"כ </w:t>
      </w:r>
      <w:r w:rsidRPr="00AF3214">
        <w:rPr>
          <w:rFonts w:ascii="Narkisim" w:hAnsi="Narkisim" w:cs="Narkisim"/>
          <w:b/>
          <w:bCs/>
          <w:rtl/>
        </w:rPr>
        <w:t>תוס</w:t>
      </w:r>
      <w:r w:rsidRPr="00AF3214">
        <w:rPr>
          <w:rFonts w:ascii="Narkisim" w:hAnsi="Narkisim" w:cs="Narkisim"/>
          <w:rtl/>
        </w:rPr>
        <w:t>' (ד"ה אשת) דע"כ ל"צ גט</w:t>
      </w:r>
      <w:r w:rsidRPr="00AF3214">
        <w:rPr>
          <w:rStyle w:val="ac"/>
          <w:rFonts w:ascii="Narkisim" w:hAnsi="Narkisim" w:cs="Narkisim"/>
          <w:rtl/>
        </w:rPr>
        <w:footnoteReference w:id="6111"/>
      </w:r>
      <w:r w:rsidRPr="00AF3214">
        <w:rPr>
          <w:rFonts w:ascii="Narkisim" w:hAnsi="Narkisim" w:cs="Narkisim"/>
        </w:rPr>
        <w:t xml:space="preserve"> </w:t>
      </w:r>
      <w:r w:rsidRPr="00AF3214">
        <w:rPr>
          <w:rFonts w:ascii="Narkisim" w:hAnsi="Narkisim" w:cs="Narkisim"/>
          <w:rtl/>
        </w:rPr>
        <w:t>[וכדמוכח בגמ' בסמוך]. ו</w:t>
      </w:r>
      <w:r w:rsidRPr="00AF3214">
        <w:rPr>
          <w:rFonts w:ascii="Narkisim" w:hAnsi="Narkisim" w:cs="Narkisim"/>
          <w:b/>
          <w:bCs/>
          <w:rtl/>
        </w:rPr>
        <w:t>תוס</w:t>
      </w:r>
      <w:r w:rsidRPr="00AF3214">
        <w:rPr>
          <w:rFonts w:ascii="Narkisim" w:hAnsi="Narkisim" w:cs="Narkisim"/>
          <w:rtl/>
        </w:rPr>
        <w:t xml:space="preserve">' פי' דכיון דנתברר שאשתו חיה ואסורה עליו, ידעי שנשאת ע"י שמועת טעות. ול"ש גזירה. ועד"ז כת' </w:t>
      </w:r>
      <w:r w:rsidRPr="00AF3214">
        <w:rPr>
          <w:rFonts w:ascii="Narkisim" w:hAnsi="Narkisim" w:cs="Narkisim"/>
          <w:b/>
          <w:bCs/>
          <w:rtl/>
        </w:rPr>
        <w:t>רש"י</w:t>
      </w:r>
      <w:r w:rsidRPr="00AF3214">
        <w:rPr>
          <w:rFonts w:ascii="Narkisim" w:hAnsi="Narkisim" w:cs="Narkisim"/>
          <w:rtl/>
        </w:rPr>
        <w:t xml:space="preserve"> (בסמוך ד"ה ר"ע) דגלוי לכל שאינו קידושין. אבל ה</w:t>
      </w:r>
      <w:r w:rsidRPr="00AF3214">
        <w:rPr>
          <w:rFonts w:ascii="Narkisim" w:hAnsi="Narkisim" w:cs="Narkisim"/>
          <w:b/>
          <w:bCs/>
          <w:rtl/>
        </w:rPr>
        <w:t>ריטב"א</w:t>
      </w:r>
      <w:r w:rsidRPr="00AF3214">
        <w:rPr>
          <w:rFonts w:ascii="Narkisim" w:hAnsi="Narkisim" w:cs="Narkisim"/>
          <w:rtl/>
        </w:rPr>
        <w:t xml:space="preserve"> ביאר דמקילין עליו שלא לקונסה בגט, כדי שתהא אשתו מותרת לחזור לו. [ועד"ז כת' הרמב"ן צה:]</w:t>
      </w:r>
      <w:r w:rsidRPr="00AF3214">
        <w:rPr>
          <w:rFonts w:ascii="Narkisim" w:hAnsi="Narkisim" w:cs="Narkisim"/>
        </w:rPr>
        <w:t>.</w:t>
      </w:r>
    </w:p>
    <w:p w14:paraId="13B01197"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תה"ד</w:t>
      </w:r>
      <w:r w:rsidRPr="00AF3214">
        <w:rPr>
          <w:rFonts w:ascii="Narkisim" w:hAnsi="Narkisim"/>
          <w:rtl/>
        </w:rPr>
        <w:t xml:space="preserve"> (ב כט, הו' ברמ"א טו כח) העלה צד דהבא על אחות אשה שהיא אשת איש לא חל איסור סוטה [לבועל], ותהא מותרת לו לכשתמות אחותה ובעלה, כיון דבלאו הכי אסורה עליו</w:t>
      </w:r>
      <w:r w:rsidRPr="00AF3214">
        <w:rPr>
          <w:rStyle w:val="ac"/>
          <w:rFonts w:ascii="Narkisim" w:hAnsi="Narkisim"/>
          <w:rtl/>
        </w:rPr>
        <w:footnoteReference w:id="6112"/>
      </w:r>
      <w:r w:rsidRPr="00AF3214">
        <w:rPr>
          <w:rFonts w:ascii="Narkisim" w:hAnsi="Narkisim"/>
        </w:rPr>
        <w:t xml:space="preserve"> </w:t>
      </w:r>
      <w:r w:rsidRPr="00AF3214">
        <w:rPr>
          <w:rFonts w:ascii="Narkisim" w:hAnsi="Narkisim"/>
          <w:rtl/>
        </w:rPr>
        <w:t>[משום אחות אשתו]. והתה"ד דחה דכיון דיש לה היתר לאחר זמן, קרינן בה טומאה לבועל</w:t>
      </w:r>
      <w:r w:rsidRPr="00AF3214">
        <w:rPr>
          <w:rFonts w:ascii="Narkisim" w:hAnsi="Narkisim"/>
        </w:rPr>
        <w:t>.</w:t>
      </w:r>
    </w:p>
    <w:p w14:paraId="649F945C" w14:textId="77777777" w:rsidR="006C4368" w:rsidRPr="00AF3214" w:rsidRDefault="006C4368" w:rsidP="006C4368">
      <w:pPr>
        <w:bidi/>
        <w:rPr>
          <w:rFonts w:ascii="Narkisim" w:hAnsi="Narkisim" w:cs="Narkisim"/>
        </w:rPr>
      </w:pPr>
      <w:r w:rsidRPr="00AF3214">
        <w:rPr>
          <w:rFonts w:ascii="Narkisim" w:hAnsi="Narkisim" w:cs="Narkisim"/>
          <w:u w:val="single"/>
          <w:rtl/>
        </w:rPr>
        <w:t>תוד"ה אשת</w:t>
      </w:r>
      <w:r w:rsidRPr="00AF3214">
        <w:rPr>
          <w:rFonts w:ascii="Narkisim" w:hAnsi="Narkisim" w:cs="Narkisim"/>
          <w:rtl/>
        </w:rPr>
        <w:t>. דקנסינן ככולהו קנסא דמתני', אבל גט לא בעיא דל"ש כאן שמא יאמרו גירש זה וכו</w:t>
      </w:r>
      <w:r w:rsidRPr="00AF3214">
        <w:rPr>
          <w:rFonts w:ascii="Narkisim" w:hAnsi="Narkisim" w:cs="Narkisim"/>
        </w:rPr>
        <w:t>'.</w:t>
      </w:r>
    </w:p>
    <w:p w14:paraId="590B8AB3"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הביא דנח' ה</w:t>
      </w:r>
      <w:r w:rsidRPr="00AF3214">
        <w:rPr>
          <w:rFonts w:ascii="Narkisim" w:hAnsi="Narkisim"/>
          <w:b/>
          <w:bCs/>
          <w:rtl/>
        </w:rPr>
        <w:t>ראשונים</w:t>
      </w:r>
      <w:r w:rsidRPr="00AF3214">
        <w:rPr>
          <w:rFonts w:ascii="Narkisim" w:hAnsi="Narkisim"/>
          <w:rtl/>
        </w:rPr>
        <w:t xml:space="preserve"> מ"ט הצריכו גט משני [דס"ד דהגמ' פח: דהטעם משום גירש זה ונשא זה, ולמסקנא משום דעבד איסורא קנסו רבנן]. דמבואר ב</w:t>
      </w:r>
      <w:r w:rsidRPr="00AF3214">
        <w:rPr>
          <w:rFonts w:ascii="Narkisim" w:hAnsi="Narkisim"/>
          <w:b/>
          <w:bCs/>
          <w:rtl/>
        </w:rPr>
        <w:t>רש"י</w:t>
      </w:r>
      <w:r w:rsidRPr="00AF3214">
        <w:rPr>
          <w:rFonts w:ascii="Narkisim" w:hAnsi="Narkisim"/>
          <w:rtl/>
        </w:rPr>
        <w:t xml:space="preserve"> </w:t>
      </w:r>
      <w:r w:rsidRPr="00AF3214">
        <w:rPr>
          <w:rFonts w:ascii="Narkisim" w:hAnsi="Narkisim"/>
          <w:szCs w:val="20"/>
          <w:rtl/>
        </w:rPr>
        <w:t xml:space="preserve">(פט.) </w:t>
      </w:r>
      <w:r w:rsidRPr="00AF3214">
        <w:rPr>
          <w:rFonts w:ascii="Narkisim" w:hAnsi="Narkisim"/>
          <w:rtl/>
        </w:rPr>
        <w:t>דהיכא דעבדה איסורא חששו משום גירש זה ונשא זה, וא"כ הכא דאשתו קיימת ל"ש חשש זה [וכתוס']. ואילו בירושלמי מבואר דצריכה גט משני כדי לברר איסורה, ולאוסרה אראשון. וה</w:t>
      </w:r>
      <w:r w:rsidRPr="00AF3214">
        <w:rPr>
          <w:rFonts w:ascii="Narkisim" w:hAnsi="Narkisim"/>
          <w:b/>
          <w:bCs/>
          <w:rtl/>
        </w:rPr>
        <w:t>ריטב"א</w:t>
      </w:r>
      <w:r w:rsidRPr="00AF3214">
        <w:rPr>
          <w:rFonts w:ascii="Narkisim" w:hAnsi="Narkisim"/>
          <w:rtl/>
        </w:rPr>
        <w:t xml:space="preserve"> הק' דטעם זה שייך אף בסוגיין</w:t>
      </w:r>
      <w:r w:rsidRPr="00AF3214">
        <w:rPr>
          <w:rStyle w:val="ac"/>
          <w:rFonts w:ascii="Narkisim" w:hAnsi="Narkisim"/>
          <w:rtl/>
        </w:rPr>
        <w:footnoteReference w:id="6113"/>
      </w:r>
      <w:r w:rsidRPr="00AF3214">
        <w:rPr>
          <w:rFonts w:ascii="Narkisim" w:hAnsi="Narkisim"/>
        </w:rPr>
        <w:t xml:space="preserve">. </w:t>
      </w: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תי' דמ"מ עבדינן סניפין קצת בטעמא דגירש זה ואף דטעמא קלישא הוא. והכא דל"ש להצריך גט משום קנס, דכיון דליכא חשש דגירש זה, א"כ אין זה גט</w:t>
      </w:r>
      <w:r w:rsidRPr="00AF3214">
        <w:rPr>
          <w:rFonts w:ascii="Narkisim" w:hAnsi="Narkisim"/>
        </w:rPr>
        <w:t>.</w:t>
      </w:r>
    </w:p>
    <w:p w14:paraId="2AD4E9D8" w14:textId="77777777" w:rsidR="006C4368" w:rsidRPr="00AF3214" w:rsidRDefault="006C4368" w:rsidP="006C4368">
      <w:pPr>
        <w:bidi/>
        <w:rPr>
          <w:rFonts w:ascii="Narkisim" w:hAnsi="Narkisim" w:cs="Narkisim"/>
        </w:rPr>
      </w:pPr>
      <w:r w:rsidRPr="00AF3214">
        <w:rPr>
          <w:rFonts w:ascii="Narkisim" w:hAnsi="Narkisim" w:cs="Narkisim"/>
          <w:u w:val="single"/>
          <w:rtl/>
        </w:rPr>
        <w:t>שם. דקנסינן ככולהו קנסא דמתני' וכו' דל"ש כאן שמא יאמרו גירש זה וכו'</w:t>
      </w:r>
      <w:r w:rsidRPr="00AF3214">
        <w:rPr>
          <w:rFonts w:ascii="Narkisim" w:hAnsi="Narkisim" w:cs="Narkisim"/>
          <w:rtl/>
        </w:rPr>
        <w:t>. ואף היכא דל"צ גט קנסו לאסור על בעלה [דהקנס דאסורה לזה ולזה דהחשיבו אותה כסוטה]. ואף היכא דליכא סברת 'שמא יאמרו גירש</w:t>
      </w:r>
      <w:r w:rsidRPr="00AF3214">
        <w:rPr>
          <w:rFonts w:ascii="Narkisim" w:hAnsi="Narkisim" w:cs="Narkisim"/>
        </w:rPr>
        <w:t>'</w:t>
      </w:r>
      <w:r w:rsidRPr="00AF3214">
        <w:rPr>
          <w:rStyle w:val="ac"/>
          <w:rFonts w:ascii="Narkisim" w:hAnsi="Narkisim" w:cs="Narkisim"/>
        </w:rPr>
        <w:footnoteReference w:id="6114"/>
      </w:r>
      <w:r w:rsidRPr="00AF3214">
        <w:rPr>
          <w:rFonts w:ascii="Narkisim" w:hAnsi="Narkisim" w:cs="Narkisim"/>
        </w:rPr>
        <w:t>.</w:t>
      </w:r>
    </w:p>
    <w:p w14:paraId="451BBDC3" w14:textId="77777777" w:rsidR="006C4368" w:rsidRPr="00AF3214" w:rsidRDefault="006C4368" w:rsidP="006C4368">
      <w:pPr>
        <w:pStyle w:val="a7"/>
        <w:bidi/>
        <w:rPr>
          <w:rFonts w:ascii="Narkisim" w:hAnsi="Narkisim"/>
        </w:rPr>
      </w:pPr>
      <w:r w:rsidRPr="00AF3214">
        <w:rPr>
          <w:rFonts w:ascii="Narkisim" w:hAnsi="Narkisim"/>
          <w:rtl/>
        </w:rPr>
        <w:t>אבל ב</w:t>
      </w:r>
      <w:r w:rsidRPr="00AF3214">
        <w:rPr>
          <w:rFonts w:ascii="Narkisim" w:hAnsi="Narkisim"/>
          <w:b/>
          <w:bCs/>
          <w:rtl/>
        </w:rPr>
        <w:t>תוס' חד מקמאי</w:t>
      </w:r>
      <w:r w:rsidRPr="00AF3214">
        <w:rPr>
          <w:rFonts w:ascii="Narkisim" w:hAnsi="Narkisim"/>
          <w:rtl/>
        </w:rPr>
        <w:t xml:space="preserve"> (עה"ג) תמה למה אשתו אסורה, דהא דאסרי' אראשון באשה שהלך בעלה הוה משום שמא יאמרו גירש זה, והכא ל"ש גזירה זו. [וכדברי ה</w:t>
      </w:r>
      <w:r w:rsidRPr="00AF3214">
        <w:rPr>
          <w:rFonts w:ascii="Narkisim" w:hAnsi="Narkisim"/>
          <w:b/>
          <w:bCs/>
          <w:rtl/>
        </w:rPr>
        <w:t>רמב"ם</w:t>
      </w:r>
      <w:r w:rsidRPr="00AF3214">
        <w:rPr>
          <w:rFonts w:ascii="Narkisim" w:hAnsi="Narkisim"/>
          <w:rtl/>
        </w:rPr>
        <w:t xml:space="preserve"> (גירושין י ד, ע' מה שהו' לעיל פט.) דאסורה על בעלה משום גזירה זו</w:t>
      </w:r>
      <w:r w:rsidRPr="00AF3214">
        <w:rPr>
          <w:rStyle w:val="ac"/>
          <w:rFonts w:ascii="Narkisim" w:hAnsi="Narkisim"/>
          <w:rtl/>
        </w:rPr>
        <w:footnoteReference w:id="6115"/>
      </w:r>
      <w:r w:rsidRPr="00AF3214">
        <w:rPr>
          <w:rFonts w:ascii="Narkisim" w:hAnsi="Narkisim"/>
          <w:rtl/>
        </w:rPr>
        <w:t>]</w:t>
      </w:r>
      <w:r w:rsidRPr="00AF3214">
        <w:rPr>
          <w:rFonts w:ascii="Narkisim" w:hAnsi="Narkisim"/>
        </w:rPr>
        <w:t>.</w:t>
      </w:r>
    </w:p>
    <w:p w14:paraId="544BC7D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תוס' ח"מ</w:t>
      </w:r>
      <w:r w:rsidRPr="00AF3214">
        <w:rPr>
          <w:rFonts w:ascii="Narkisim" w:hAnsi="Narkisim"/>
          <w:rtl/>
        </w:rPr>
        <w:t xml:space="preserve"> תי' דאפ"ה אשת גיסו אסורה על גיסו משום דמיחלפה באשה שהלך בעלה למדינת הים, וע"ד הגמ' (גיטין פ:, הו' בתוס' לעיל צב:). ועוד הביא בשם ה</w:t>
      </w:r>
      <w:r w:rsidRPr="00AF3214">
        <w:rPr>
          <w:rFonts w:ascii="Narkisim" w:hAnsi="Narkisim"/>
          <w:b/>
          <w:bCs/>
          <w:rtl/>
        </w:rPr>
        <w:t>ראב"ד</w:t>
      </w:r>
      <w:r w:rsidRPr="00AF3214">
        <w:rPr>
          <w:rFonts w:ascii="Narkisim" w:hAnsi="Narkisim"/>
          <w:rtl/>
        </w:rPr>
        <w:t xml:space="preserve"> דלא ידעי כו"ע שהיא אחות אשתו</w:t>
      </w:r>
      <w:r w:rsidRPr="00AF3214">
        <w:rPr>
          <w:rFonts w:ascii="Narkisim" w:hAnsi="Narkisim"/>
        </w:rPr>
        <w:t>.</w:t>
      </w:r>
    </w:p>
    <w:p w14:paraId="7A3D7EEE" w14:textId="77777777" w:rsidR="006C4368" w:rsidRPr="00AF3214" w:rsidRDefault="006C4368" w:rsidP="006C4368">
      <w:pPr>
        <w:pStyle w:val="a7"/>
        <w:bidi/>
        <w:rPr>
          <w:rFonts w:ascii="Narkisim" w:hAnsi="Narkisim"/>
        </w:rPr>
      </w:pPr>
      <w:r w:rsidRPr="00AF3214">
        <w:rPr>
          <w:rFonts w:ascii="Narkisim" w:hAnsi="Narkisim"/>
          <w:rtl/>
        </w:rPr>
        <w:t>ועוד הביא בשם ה</w:t>
      </w:r>
      <w:r w:rsidRPr="00AF3214">
        <w:rPr>
          <w:rFonts w:ascii="Narkisim" w:hAnsi="Narkisim"/>
          <w:b/>
          <w:bCs/>
          <w:rtl/>
        </w:rPr>
        <w:t>רב הצרפתי</w:t>
      </w:r>
      <w:r w:rsidRPr="00AF3214">
        <w:rPr>
          <w:rFonts w:ascii="Narkisim" w:hAnsi="Narkisim"/>
          <w:rtl/>
        </w:rPr>
        <w:t xml:space="preserve"> (וכ"כ התו"י צה:) דפעמים שבא גיסו קודם שבאה אשתו, ובשעה שבאה יש לחוש שמא יאמרו גירש זה. [ועד"ז כת' רש"י צה: ד"ה דלמא אדר' אמי]</w:t>
      </w:r>
      <w:r w:rsidRPr="00AF3214">
        <w:rPr>
          <w:rFonts w:ascii="Narkisim" w:hAnsi="Narkisim"/>
        </w:rPr>
        <w:t>.</w:t>
      </w:r>
    </w:p>
    <w:p w14:paraId="243B60C8" w14:textId="77777777" w:rsidR="006C4368" w:rsidRPr="00AF3214" w:rsidRDefault="006C4368" w:rsidP="006C4368">
      <w:pPr>
        <w:pStyle w:val="a7"/>
        <w:bidi/>
        <w:rPr>
          <w:rFonts w:ascii="Narkisim" w:hAnsi="Narkisim"/>
        </w:rPr>
      </w:pPr>
      <w:r w:rsidRPr="00AF3214">
        <w:rPr>
          <w:rFonts w:ascii="Narkisim" w:hAnsi="Narkisim"/>
          <w:rtl/>
        </w:rPr>
        <w:t>ועוד הביא התוס' ח"מ ד</w:t>
      </w:r>
      <w:r w:rsidRPr="00AF3214">
        <w:rPr>
          <w:rFonts w:ascii="Narkisim" w:hAnsi="Narkisim"/>
          <w:b/>
          <w:bCs/>
          <w:rtl/>
        </w:rPr>
        <w:t>רש"י</w:t>
      </w:r>
      <w:r w:rsidRPr="00AF3214">
        <w:rPr>
          <w:rFonts w:ascii="Narkisim" w:hAnsi="Narkisim"/>
          <w:rtl/>
        </w:rPr>
        <w:t xml:space="preserve"> (לקמן צה: בדברי ר"י נפחא, סוד"ה וקא"ל הב') הביא דנח' בזה </w:t>
      </w:r>
      <w:r w:rsidRPr="00AF3214">
        <w:rPr>
          <w:rFonts w:ascii="Narkisim" w:hAnsi="Narkisim"/>
          <w:rtl/>
        </w:rPr>
        <w:lastRenderedPageBreak/>
        <w:t>ר' יוסי ורבנן, דר' יוסי סבר דבאשת גיסו מנישואין, כיון דל"ש שמא יאמרו גירש מש"ה אשת גיסה אינה אסורה על גיסו. ורבנן פליגי דאסורה, דלאו משום שמא יאמרו, אלא משום דקנסוה רבנן משום דלא דייקא</w:t>
      </w:r>
      <w:r w:rsidRPr="00AF3214">
        <w:rPr>
          <w:rFonts w:ascii="Narkisim" w:hAnsi="Narkisim"/>
        </w:rPr>
        <w:t>.</w:t>
      </w:r>
    </w:p>
    <w:p w14:paraId="14FC96ED" w14:textId="77777777" w:rsidR="006C4368" w:rsidRPr="00AF3214" w:rsidRDefault="006C4368" w:rsidP="006C4368">
      <w:pPr>
        <w:bidi/>
        <w:rPr>
          <w:rFonts w:ascii="Narkisim" w:hAnsi="Narkisim" w:cs="Narkisim"/>
        </w:rPr>
      </w:pPr>
      <w:r w:rsidRPr="00AF3214">
        <w:rPr>
          <w:rFonts w:ascii="Narkisim" w:hAnsi="Narkisim" w:cs="Narkisim"/>
          <w:u w:val="single"/>
          <w:rtl/>
        </w:rPr>
        <w:t>דתניא כל עריות שבתורה וכו' ר"ע מוסיף אף אשת אח ואחות אשה וכו'</w:t>
      </w:r>
      <w:r w:rsidRPr="00AF3214">
        <w:rPr>
          <w:rFonts w:ascii="Narkisim" w:hAnsi="Narkisim" w:cs="Narkisim"/>
          <w:rtl/>
        </w:rPr>
        <w:t>. בפשוטו משמע דאיירי בהנך עריות שנשאו באיסור</w:t>
      </w:r>
      <w:r w:rsidRPr="00AF3214">
        <w:rPr>
          <w:rStyle w:val="ac"/>
          <w:rFonts w:ascii="Narkisim" w:hAnsi="Narkisim" w:cs="Narkisim"/>
          <w:rtl/>
        </w:rPr>
        <w:footnoteReference w:id="6116"/>
      </w:r>
      <w:r w:rsidRPr="00AF3214">
        <w:rPr>
          <w:rFonts w:ascii="Narkisim" w:hAnsi="Narkisim" w:cs="Narkisim"/>
        </w:rPr>
        <w:t xml:space="preserve">, </w:t>
      </w:r>
      <w:r w:rsidRPr="00AF3214">
        <w:rPr>
          <w:rFonts w:ascii="Narkisim" w:hAnsi="Narkisim" w:cs="Narkisim"/>
          <w:rtl/>
        </w:rPr>
        <w:t>דתקנו שצריכה גט. וה</w:t>
      </w:r>
      <w:r w:rsidRPr="00AF3214">
        <w:rPr>
          <w:rFonts w:ascii="Narkisim" w:hAnsi="Narkisim" w:cs="Narkisim"/>
          <w:b/>
          <w:bCs/>
          <w:rtl/>
        </w:rPr>
        <w:t>ריטב"א</w:t>
      </w:r>
      <w:r w:rsidRPr="00AF3214">
        <w:rPr>
          <w:rFonts w:ascii="Narkisim" w:hAnsi="Narkisim" w:cs="Narkisim"/>
          <w:rtl/>
        </w:rPr>
        <w:t xml:space="preserve"> ביאר דכיון דפעמים שיש להם היתר הצריכו גט ממנו אף בזמן שאסורות</w:t>
      </w:r>
      <w:r w:rsidRPr="00AF3214">
        <w:rPr>
          <w:rFonts w:ascii="Narkisim" w:hAnsi="Narkisim" w:cs="Narkisim"/>
        </w:rPr>
        <w:t>.</w:t>
      </w:r>
    </w:p>
    <w:p w14:paraId="3936B367"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(בשם תוס') נקט דאף אחות אשתו פנויה שנשאת לו צריכה גט</w:t>
      </w:r>
      <w:r w:rsidRPr="00AF3214">
        <w:rPr>
          <w:rStyle w:val="ac"/>
          <w:rFonts w:ascii="Narkisim" w:hAnsi="Narkisim"/>
          <w:rtl/>
        </w:rPr>
        <w:footnoteReference w:id="6117"/>
      </w:r>
      <w:r w:rsidRPr="00AF3214">
        <w:rPr>
          <w:rFonts w:ascii="Narkisim" w:hAnsi="Narkisim"/>
        </w:rPr>
        <w:t xml:space="preserve">. </w:t>
      </w:r>
      <w:r w:rsidRPr="00AF3214">
        <w:rPr>
          <w:rFonts w:ascii="Narkisim" w:hAnsi="Narkisim"/>
          <w:rtl/>
        </w:rPr>
        <w:t xml:space="preserve">אבל </w:t>
      </w:r>
      <w:r w:rsidRPr="00AF3214">
        <w:rPr>
          <w:rFonts w:ascii="Narkisim" w:hAnsi="Narkisim"/>
          <w:b/>
          <w:bCs/>
          <w:rtl/>
        </w:rPr>
        <w:t>תוס</w:t>
      </w:r>
      <w:r w:rsidRPr="00AF3214">
        <w:rPr>
          <w:rFonts w:ascii="Narkisim" w:hAnsi="Narkisim"/>
          <w:rtl/>
        </w:rPr>
        <w:t xml:space="preserve">' (ד"ה לימא) הביאו דבגמ' (בסמוך) מבואר דלא קנסו כיון דבמזיד שכיבתה אינו אוסרתה. ואיירי באחות אשתו אשת איש [ושמעו שמתו גיסו ואשתו]. </w:t>
      </w:r>
      <w:r w:rsidRPr="00AF3214">
        <w:rPr>
          <w:rFonts w:ascii="Narkisim" w:hAnsi="Narkisim"/>
          <w:szCs w:val="20"/>
          <w:rtl/>
        </w:rPr>
        <w:t>וה</w:t>
      </w:r>
      <w:r w:rsidRPr="00AF3214">
        <w:rPr>
          <w:rFonts w:ascii="Narkisim" w:hAnsi="Narkisim"/>
          <w:b/>
          <w:bCs/>
          <w:szCs w:val="20"/>
          <w:rtl/>
        </w:rPr>
        <w:t>אחרונים</w:t>
      </w:r>
      <w:r w:rsidRPr="00AF3214">
        <w:rPr>
          <w:rFonts w:ascii="Narkisim" w:hAnsi="Narkisim"/>
          <w:szCs w:val="20"/>
          <w:rtl/>
        </w:rPr>
        <w:t xml:space="preserve"> דנו דאף תוס' מודו דלמסקנא ר"ע איירי באחות אשתו פנויה</w:t>
      </w:r>
      <w:r w:rsidRPr="00AF3214">
        <w:rPr>
          <w:rFonts w:ascii="Narkisim" w:hAnsi="Narkisim"/>
        </w:rPr>
        <w:t>.</w:t>
      </w:r>
    </w:p>
    <w:p w14:paraId="028D3DD4" w14:textId="77777777" w:rsidR="006C4368" w:rsidRPr="00AF3214" w:rsidRDefault="006C4368" w:rsidP="006C4368">
      <w:pPr>
        <w:pStyle w:val="aa"/>
        <w:bidi/>
        <w:rPr>
          <w:rFonts w:ascii="Narkisim" w:hAnsi="Narkisim"/>
        </w:rPr>
      </w:pPr>
      <w:r w:rsidRPr="00AF3214">
        <w:rPr>
          <w:rFonts w:ascii="Narkisim" w:hAnsi="Narkisim"/>
          <w:rtl/>
        </w:rPr>
        <w:t>ומשמעות ה</w:t>
      </w:r>
      <w:r w:rsidRPr="00AF3214">
        <w:rPr>
          <w:rFonts w:ascii="Narkisim" w:hAnsi="Narkisim"/>
          <w:b/>
          <w:bCs/>
          <w:rtl/>
        </w:rPr>
        <w:t>רמב"ם</w:t>
      </w:r>
      <w:r w:rsidRPr="00AF3214">
        <w:rPr>
          <w:rFonts w:ascii="Narkisim" w:hAnsi="Narkisim"/>
          <w:rtl/>
        </w:rPr>
        <w:t xml:space="preserve"> (גירושין י ח, ואיסו"ב ב י) דהנושא</w:t>
      </w:r>
      <w:r w:rsidRPr="00AF3214">
        <w:rPr>
          <w:rStyle w:val="ac"/>
          <w:rFonts w:ascii="Narkisim" w:hAnsi="Narkisim"/>
          <w:rtl/>
        </w:rPr>
        <w:footnoteReference w:id="6118"/>
      </w:r>
      <w:r w:rsidRPr="00AF3214">
        <w:rPr>
          <w:rFonts w:ascii="Narkisim" w:hAnsi="Narkisim"/>
        </w:rPr>
        <w:t xml:space="preserve"> </w:t>
      </w:r>
      <w:r w:rsidRPr="00AF3214">
        <w:rPr>
          <w:rFonts w:ascii="Narkisim" w:hAnsi="Narkisim"/>
          <w:rtl/>
        </w:rPr>
        <w:t>אחות ארוסתו פנויה, שתיהן צריכות גט, וכל הדרכים האלו בה. ובאיסור אחות אשה גזרו שמא יאמרו גירש זה ונשא זה וכל הדרכים האלו [ואף דאין בזה צד סוטה]. וע"ע בסוף העמ</w:t>
      </w:r>
      <w:r w:rsidRPr="00AF3214">
        <w:rPr>
          <w:rFonts w:ascii="Narkisim" w:hAnsi="Narkisim"/>
        </w:rPr>
        <w:t>'.</w:t>
      </w:r>
    </w:p>
    <w:p w14:paraId="7F89A576" w14:textId="77777777" w:rsidR="006C4368" w:rsidRPr="00AF3214" w:rsidRDefault="006C4368" w:rsidP="006C4368">
      <w:pPr>
        <w:bidi/>
        <w:rPr>
          <w:rFonts w:ascii="Narkisim" w:hAnsi="Narkisim" w:cs="Narkisim"/>
        </w:rPr>
      </w:pPr>
      <w:r w:rsidRPr="00AF3214">
        <w:rPr>
          <w:rFonts w:ascii="Narkisim" w:hAnsi="Narkisim" w:cs="Narkisim"/>
          <w:u w:val="single"/>
          <w:rtl/>
        </w:rPr>
        <w:t>מי איכא למימר תנאה הו"ל בנישואין</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הא כו"ע ידעי דאין אדם עושה בעילתו בעילת זנות. וכדברי רב (כתובות עד.) דמחל את התנאי. [ויש </w:t>
      </w:r>
      <w:r w:rsidRPr="00AF3214">
        <w:rPr>
          <w:rFonts w:ascii="Narkisim" w:hAnsi="Narkisim" w:cs="Narkisim"/>
          <w:b/>
          <w:bCs/>
          <w:rtl/>
        </w:rPr>
        <w:t>ראשונים</w:t>
      </w:r>
      <w:r w:rsidRPr="00AF3214">
        <w:rPr>
          <w:rFonts w:ascii="Narkisim" w:hAnsi="Narkisim" w:cs="Narkisim"/>
          <w:rtl/>
        </w:rPr>
        <w:t xml:space="preserve"> (י"א בריטב"א ורשב"א ומאירי) שהעמידו דסתמא דסוגיין כרב</w:t>
      </w:r>
      <w:r w:rsidRPr="00AF3214">
        <w:rPr>
          <w:rStyle w:val="ac"/>
          <w:rFonts w:ascii="Narkisim" w:hAnsi="Narkisim" w:cs="Narkisim"/>
          <w:rtl/>
        </w:rPr>
        <w:footnoteReference w:id="6119"/>
      </w:r>
      <w:r w:rsidRPr="00AF3214">
        <w:rPr>
          <w:rFonts w:ascii="Narkisim" w:hAnsi="Narkisim" w:cs="Narkisim"/>
          <w:rtl/>
        </w:rPr>
        <w:t xml:space="preserve">]. אבל </w:t>
      </w:r>
      <w:r w:rsidRPr="00AF3214">
        <w:rPr>
          <w:rFonts w:ascii="Narkisim" w:hAnsi="Narkisim" w:cs="Narkisim"/>
          <w:b/>
          <w:bCs/>
          <w:rtl/>
        </w:rPr>
        <w:t>תוס'</w:t>
      </w:r>
      <w:r w:rsidRPr="00AF3214">
        <w:rPr>
          <w:rFonts w:ascii="Narkisim" w:hAnsi="Narkisim" w:cs="Narkisim"/>
          <w:rtl/>
        </w:rPr>
        <w:t xml:space="preserve"> וה</w:t>
      </w:r>
      <w:r w:rsidRPr="00AF3214">
        <w:rPr>
          <w:rFonts w:ascii="Narkisim" w:hAnsi="Narkisim" w:cs="Narkisim"/>
          <w:b/>
          <w:bCs/>
          <w:rtl/>
        </w:rPr>
        <w:t>ראשונים</w:t>
      </w:r>
      <w:r w:rsidRPr="00AF3214">
        <w:rPr>
          <w:rFonts w:ascii="Narkisim" w:hAnsi="Narkisim" w:cs="Narkisim"/>
          <w:rtl/>
        </w:rPr>
        <w:t xml:space="preserve"> חלקו דקאי אף לשמואל, דמ"מ לא שכיח שיתבטל הנישואין מחמת התנאי</w:t>
      </w:r>
      <w:r w:rsidRPr="00AF3214">
        <w:rPr>
          <w:rStyle w:val="ac"/>
          <w:rFonts w:ascii="Narkisim" w:hAnsi="Narkisim" w:cs="Narkisim"/>
          <w:rtl/>
        </w:rPr>
        <w:footnoteReference w:id="6120"/>
      </w:r>
      <w:r w:rsidRPr="00AF3214">
        <w:rPr>
          <w:rFonts w:ascii="Narkisim" w:hAnsi="Narkisim" w:cs="Narkisim"/>
        </w:rPr>
        <w:t xml:space="preserve">. </w:t>
      </w: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(לקמן קז.) הוסיפו דיש מ"ד דאף מהקידושין ל"צ גט, ואף דבקידושין כו"ע דמהני תנאי. אלא דלא שכיח. ולא יתלו בזה. (וע"ע בסוגיא לקמן קז:)</w:t>
      </w:r>
      <w:r w:rsidRPr="00AF3214">
        <w:rPr>
          <w:rFonts w:ascii="Narkisim" w:hAnsi="Narkisim" w:cs="Narkisim"/>
        </w:rPr>
        <w:t>.</w:t>
      </w:r>
    </w:p>
    <w:p w14:paraId="5E9D8998" w14:textId="77777777" w:rsidR="006C4368" w:rsidRPr="00AF3214" w:rsidRDefault="006C4368" w:rsidP="006C4368">
      <w:pPr>
        <w:pStyle w:val="aa"/>
        <w:bidi/>
        <w:rPr>
          <w:rFonts w:ascii="Narkisim" w:hAnsi="Narkisim"/>
        </w:rPr>
      </w:pPr>
      <w:r w:rsidRPr="00AF3214">
        <w:rPr>
          <w:rFonts w:ascii="Narkisim" w:hAnsi="Narkisim"/>
          <w:u w:val="single"/>
          <w:rtl/>
        </w:rPr>
        <w:t>שם. תנאי הו"ל בנישואין</w:t>
      </w:r>
      <w:r w:rsidRPr="00AF3214">
        <w:rPr>
          <w:rFonts w:ascii="Narkisim" w:hAnsi="Narkisim"/>
          <w:rtl/>
        </w:rPr>
        <w:t>. היינו שקידש בתנאי, ולאחר שנשא נתבטלו הקידושין. וה</w:t>
      </w:r>
      <w:r w:rsidRPr="00AF3214">
        <w:rPr>
          <w:rFonts w:ascii="Narkisim" w:hAnsi="Narkisim"/>
          <w:b/>
          <w:bCs/>
          <w:rtl/>
        </w:rPr>
        <w:t>או"ש</w:t>
      </w:r>
      <w:r w:rsidRPr="00AF3214">
        <w:rPr>
          <w:rFonts w:ascii="Narkisim" w:hAnsi="Narkisim"/>
          <w:rtl/>
        </w:rPr>
        <w:t xml:space="preserve"> (אישות י ב) דן האם שייך תנאי בעצם הנישואין [דאם לא יתקיים התנאי תשאר ארוסה]. וכת' דלא שייך לסוגיין כלל</w:t>
      </w:r>
      <w:r w:rsidRPr="00AF3214">
        <w:rPr>
          <w:rFonts w:ascii="Narkisim" w:hAnsi="Narkisim"/>
        </w:rPr>
        <w:t>.</w:t>
      </w:r>
    </w:p>
    <w:p w14:paraId="5CB46203" w14:textId="77777777" w:rsidR="006C4368" w:rsidRPr="00AF3214" w:rsidRDefault="006C4368" w:rsidP="006C4368">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רי"ף</w:t>
      </w:r>
      <w:r w:rsidRPr="00AF3214">
        <w:rPr>
          <w:rFonts w:ascii="Narkisim" w:hAnsi="Narkisim" w:cs="Narkisim"/>
          <w:rtl/>
        </w:rPr>
        <w:t xml:space="preserve"> פסק כר"ע, כיון דמתניתין כוותיה. וה</w:t>
      </w:r>
      <w:r w:rsidRPr="00AF3214">
        <w:rPr>
          <w:rFonts w:ascii="Narkisim" w:hAnsi="Narkisim" w:cs="Narkisim"/>
          <w:b/>
          <w:bCs/>
          <w:rtl/>
        </w:rPr>
        <w:t>רא"ש</w:t>
      </w:r>
      <w:r w:rsidRPr="00AF3214">
        <w:rPr>
          <w:rFonts w:ascii="Narkisim" w:hAnsi="Narkisim" w:cs="Narkisim"/>
          <w:rtl/>
        </w:rPr>
        <w:t xml:space="preserve"> (ו) כת' עמקו ממני דברי רב אלפס דמנ"ל לפסוק כר' עקיבא נגד רבים, ואף דדחיק לאוקומי מתני' כוותיה, הא לרבנן אתי שפיר טפי. ואורחא דהגמ' למהדר ליישב את המשניות אליבא דכל התנאים</w:t>
      </w:r>
      <w:r w:rsidRPr="00AF3214">
        <w:rPr>
          <w:rFonts w:ascii="Narkisim" w:hAnsi="Narkisim" w:cs="Narkisim"/>
        </w:rPr>
        <w:t>.</w:t>
      </w:r>
    </w:p>
    <w:p w14:paraId="0F20E61C" w14:textId="77777777" w:rsidR="006C4368" w:rsidRPr="00AF3214" w:rsidRDefault="006C4368" w:rsidP="006C4368">
      <w:pPr>
        <w:pStyle w:val="a8"/>
        <w:bidi/>
        <w:rPr>
          <w:rFonts w:ascii="Narkisim" w:hAnsi="Narkisim"/>
        </w:rPr>
      </w:pPr>
      <w:r w:rsidRPr="00AF3214">
        <w:rPr>
          <w:rFonts w:ascii="Narkisim" w:hAnsi="Narkisim"/>
          <w:rtl/>
        </w:rPr>
        <w:t>אך ה</w:t>
      </w:r>
      <w:r w:rsidRPr="00AF3214">
        <w:rPr>
          <w:rFonts w:ascii="Narkisim" w:hAnsi="Narkisim"/>
          <w:b/>
          <w:bCs/>
          <w:rtl/>
        </w:rPr>
        <w:t>רא"ש</w:t>
      </w:r>
      <w:r w:rsidRPr="00AF3214">
        <w:rPr>
          <w:rFonts w:ascii="Narkisim" w:hAnsi="Narkisim"/>
          <w:rtl/>
        </w:rPr>
        <w:t xml:space="preserve"> הביא דבגמ' (צו.) דיבמה כא"א לרב הונא נח' רב ושמואל [ביבמה כא"א] כשקדש אחיו את האשה, דדעת רב דהרי היא כאשת איש ואסורה ליבם משום דבעי גט, דאמרי אינשי תנאי היה לאחיו בקידושין. וכר"ע. והאי אוקימתא עיקר</w:t>
      </w:r>
      <w:r w:rsidRPr="00AF3214">
        <w:rPr>
          <w:rStyle w:val="ac"/>
          <w:rFonts w:ascii="Narkisim" w:hAnsi="Narkisim"/>
          <w:rtl/>
        </w:rPr>
        <w:footnoteReference w:id="6121"/>
      </w:r>
      <w:r w:rsidRPr="00AF3214">
        <w:rPr>
          <w:rFonts w:ascii="Narkisim" w:hAnsi="Narkisim"/>
        </w:rPr>
        <w:t xml:space="preserve">. </w:t>
      </w:r>
      <w:r w:rsidRPr="00AF3214">
        <w:rPr>
          <w:rFonts w:ascii="Narkisim" w:hAnsi="Narkisim"/>
          <w:rtl/>
        </w:rPr>
        <w:t>והלכה כרב באיסורי, וכר"ע</w:t>
      </w:r>
      <w:r w:rsidRPr="00AF3214">
        <w:rPr>
          <w:rFonts w:ascii="Narkisim" w:hAnsi="Narkisim"/>
        </w:rPr>
        <w:t>.</w:t>
      </w:r>
    </w:p>
    <w:p w14:paraId="7C286B8D" w14:textId="77777777" w:rsidR="006C4368" w:rsidRPr="00AF3214" w:rsidRDefault="006C4368" w:rsidP="006C4368">
      <w:pPr>
        <w:bidi/>
        <w:rPr>
          <w:rFonts w:ascii="Narkisim" w:hAnsi="Narkisim" w:cs="Narkisim"/>
        </w:rPr>
      </w:pPr>
      <w:r w:rsidRPr="00AF3214">
        <w:rPr>
          <w:rFonts w:ascii="Narkisim" w:hAnsi="Narkisim" w:cs="Narkisim"/>
          <w:u w:val="single"/>
          <w:rtl/>
        </w:rPr>
        <w:t>תוד"ה ר' עקיבא</w:t>
      </w:r>
      <w:r w:rsidRPr="00AF3214">
        <w:rPr>
          <w:rFonts w:ascii="Narkisim" w:hAnsi="Narkisim" w:cs="Narkisim"/>
          <w:rtl/>
        </w:rPr>
        <w:t>. אשת אביו ואשת אחי אביו לא בעי למינקט</w:t>
      </w:r>
      <w:r w:rsidRPr="00AF3214">
        <w:rPr>
          <w:rStyle w:val="ac"/>
          <w:rFonts w:ascii="Narkisim" w:hAnsi="Narkisim" w:cs="Narkisim"/>
          <w:rtl/>
        </w:rPr>
        <w:footnoteReference w:id="6122"/>
      </w:r>
      <w:r w:rsidRPr="00AF3214">
        <w:rPr>
          <w:rFonts w:ascii="Narkisim" w:hAnsi="Narkisim" w:cs="Narkisim"/>
        </w:rPr>
        <w:t xml:space="preserve">, </w:t>
      </w:r>
      <w:r w:rsidRPr="00AF3214">
        <w:rPr>
          <w:rFonts w:ascii="Narkisim" w:hAnsi="Narkisim" w:cs="Narkisim"/>
          <w:rtl/>
        </w:rPr>
        <w:t>דלא שכיח וכו'. צ"ב כוונת התוס', דאשת אביו אסורה עליו לעולם, והיכי משכח"ל שישאנה. ועד"ז צ"ב בדברי הגמ' (בסמוך) גבי חמותו</w:t>
      </w:r>
      <w:r w:rsidRPr="00AF3214">
        <w:rPr>
          <w:rFonts w:ascii="Narkisim" w:hAnsi="Narkisim" w:cs="Narkisim"/>
        </w:rPr>
        <w:t>.</w:t>
      </w:r>
    </w:p>
    <w:p w14:paraId="35B306F2"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מהרש"ל</w:t>
      </w:r>
      <w:r w:rsidRPr="00AF3214">
        <w:rPr>
          <w:rFonts w:ascii="Narkisim" w:hAnsi="Narkisim"/>
          <w:rtl/>
        </w:rPr>
        <w:t xml:space="preserve"> תי' דמ"מ משכח"ל טעות דלא ידע שהיא אשתו של אביו. [אלא דלא שכיחא]. וה</w:t>
      </w:r>
      <w:r w:rsidRPr="00AF3214">
        <w:rPr>
          <w:rFonts w:ascii="Narkisim" w:hAnsi="Narkisim"/>
          <w:b/>
          <w:bCs/>
          <w:rtl/>
        </w:rPr>
        <w:t>מהרש"א</w:t>
      </w:r>
      <w:r w:rsidRPr="00AF3214">
        <w:rPr>
          <w:rFonts w:ascii="Narkisim" w:hAnsi="Narkisim"/>
          <w:rtl/>
        </w:rPr>
        <w:t xml:space="preserve"> חלק דאיירי שעבר ונשאה באיסור, ואף שהכירה. ותקנו דצריך גט שמא יאמרו </w:t>
      </w:r>
      <w:r w:rsidRPr="00AF3214">
        <w:rPr>
          <w:rFonts w:ascii="Narkisim" w:hAnsi="Narkisim"/>
          <w:rtl/>
        </w:rPr>
        <w:lastRenderedPageBreak/>
        <w:t>תנאי היה לראשון</w:t>
      </w:r>
      <w:r w:rsidRPr="00AF3214">
        <w:rPr>
          <w:rFonts w:ascii="Narkisim" w:hAnsi="Narkisim"/>
        </w:rPr>
        <w:t>.</w:t>
      </w:r>
    </w:p>
    <w:p w14:paraId="301E3C2B" w14:textId="77777777" w:rsidR="006C4368" w:rsidRPr="00AF3214" w:rsidRDefault="006C4368" w:rsidP="006C4368">
      <w:pPr>
        <w:pStyle w:val="a7"/>
        <w:bidi/>
        <w:rPr>
          <w:rFonts w:ascii="Narkisim" w:hAnsi="Narkisim"/>
        </w:rPr>
      </w:pPr>
      <w:r w:rsidRPr="00AF3214">
        <w:rPr>
          <w:rFonts w:ascii="Narkisim" w:hAnsi="Narkisim"/>
          <w:rtl/>
        </w:rPr>
        <w:t>אבל ב</w:t>
      </w:r>
      <w:r w:rsidRPr="00AF3214">
        <w:rPr>
          <w:rFonts w:ascii="Narkisim" w:hAnsi="Narkisim"/>
          <w:b/>
          <w:bCs/>
          <w:rtl/>
        </w:rPr>
        <w:t>פסקי הרי"ד</w:t>
      </w:r>
      <w:r w:rsidRPr="00AF3214">
        <w:rPr>
          <w:rFonts w:ascii="Narkisim" w:hAnsi="Narkisim"/>
          <w:rtl/>
        </w:rPr>
        <w:t xml:space="preserve"> תי' דכשנשאה באיסור לא שייך גזירה. </w:t>
      </w:r>
      <w:r w:rsidRPr="00AF3214">
        <w:rPr>
          <w:rFonts w:ascii="Narkisim" w:hAnsi="Narkisim"/>
          <w:szCs w:val="20"/>
          <w:rtl/>
        </w:rPr>
        <w:t>דב</w:t>
      </w:r>
      <w:r w:rsidRPr="00AF3214">
        <w:rPr>
          <w:rFonts w:ascii="Narkisim" w:hAnsi="Narkisim"/>
          <w:b/>
          <w:bCs/>
          <w:szCs w:val="20"/>
          <w:rtl/>
        </w:rPr>
        <w:t>פסקי הרי"ד</w:t>
      </w:r>
      <w:r w:rsidRPr="00AF3214">
        <w:rPr>
          <w:rFonts w:ascii="Narkisim" w:hAnsi="Narkisim"/>
          <w:szCs w:val="20"/>
          <w:rtl/>
        </w:rPr>
        <w:t xml:space="preserve"> הק' [כקו' התוס'] ליתני אם נשא אשת אביו או חמותו [מקידושין] שיהו צריכות הימינו גט, שמא יאמרו שקידושי ראשון הוה בתנאי. ודחה דאין זה כלום, דדוקא בנישואי היתר הצריכו גט, דסבר שנשאה בהיתר [וכגון ששמע שמת בעלה של זו], ומש"ה סברי דהוי נישואין ובעיא גט. אבל אי ידעינן דבעלה קיים ואזיל האי ונסיב לה ל"צ גט, דכולי עלמא ידעי דזנות הוה ולא נישואין. הילכך משכח"ל דוקא באשת איש ואשת אח ואחות אשה דמותרין לאחר מיתה</w:t>
      </w:r>
      <w:r w:rsidRPr="00AF3214">
        <w:rPr>
          <w:rStyle w:val="ac"/>
          <w:rFonts w:ascii="Narkisim" w:hAnsi="Narkisim"/>
          <w:szCs w:val="20"/>
          <w:rtl/>
        </w:rPr>
        <w:footnoteReference w:id="6123"/>
      </w:r>
      <w:r w:rsidRPr="00AF3214">
        <w:rPr>
          <w:rFonts w:ascii="Narkisim" w:hAnsi="Narkisim"/>
        </w:rPr>
        <w:t>.</w:t>
      </w:r>
    </w:p>
    <w:p w14:paraId="12F717B0" w14:textId="77777777" w:rsidR="006C4368" w:rsidRPr="00AF3214" w:rsidRDefault="006C4368" w:rsidP="006C4368">
      <w:pPr>
        <w:bidi/>
        <w:rPr>
          <w:rFonts w:ascii="Narkisim" w:hAnsi="Narkisim" w:cs="Narkisim"/>
        </w:rPr>
      </w:pPr>
      <w:r w:rsidRPr="00AF3214">
        <w:rPr>
          <w:rFonts w:ascii="Narkisim" w:hAnsi="Narkisim" w:cs="Narkisim"/>
          <w:u w:val="single"/>
          <w:rtl/>
        </w:rPr>
        <w:t>תוד"ה מאיסורא</w:t>
      </w:r>
      <w:r w:rsidRPr="00AF3214">
        <w:rPr>
          <w:rFonts w:ascii="Narkisim" w:hAnsi="Narkisim" w:cs="Narkisim"/>
          <w:rtl/>
        </w:rPr>
        <w:t xml:space="preserve">. כלומר מלאו וכרת לא מיעטה. וכ"ד </w:t>
      </w:r>
      <w:r w:rsidRPr="00AF3214">
        <w:rPr>
          <w:rFonts w:ascii="Narkisim" w:hAnsi="Narkisim" w:cs="Narkisim"/>
          <w:b/>
          <w:bCs/>
          <w:rtl/>
        </w:rPr>
        <w:t>בה"ג</w:t>
      </w:r>
      <w:r w:rsidRPr="00AF3214">
        <w:rPr>
          <w:rFonts w:ascii="Narkisim" w:hAnsi="Narkisim" w:cs="Narkisim"/>
          <w:rtl/>
        </w:rPr>
        <w:t xml:space="preserve"> וה</w:t>
      </w:r>
      <w:r w:rsidRPr="00AF3214">
        <w:rPr>
          <w:rFonts w:ascii="Narkisim" w:hAnsi="Narkisim" w:cs="Narkisim"/>
          <w:b/>
          <w:bCs/>
          <w:rtl/>
        </w:rPr>
        <w:t xml:space="preserve">רמב"ם </w:t>
      </w:r>
      <w:r w:rsidRPr="00AF3214">
        <w:rPr>
          <w:rFonts w:ascii="Narkisim" w:hAnsi="Narkisim" w:cs="Narkisim"/>
          <w:rtl/>
        </w:rPr>
        <w:t>(איסו"ב ב ז). וה</w:t>
      </w:r>
      <w:r w:rsidRPr="00AF3214">
        <w:rPr>
          <w:rFonts w:ascii="Narkisim" w:hAnsi="Narkisim" w:cs="Narkisim"/>
          <w:b/>
          <w:bCs/>
          <w:rtl/>
        </w:rPr>
        <w:t>ריטב"א</w:t>
      </w:r>
      <w:r w:rsidRPr="00AF3214">
        <w:rPr>
          <w:rFonts w:ascii="Narkisim" w:hAnsi="Narkisim" w:cs="Narkisim"/>
          <w:rtl/>
        </w:rPr>
        <w:t xml:space="preserve"> חלק דלשון הגמ' משמע איסורא בעלמא, דאסור מדאורייתא אבל ליכא כרת</w:t>
      </w:r>
      <w:r w:rsidRPr="00AF3214">
        <w:rPr>
          <w:rStyle w:val="ac"/>
          <w:rFonts w:ascii="Narkisim" w:hAnsi="Narkisim" w:cs="Narkisim"/>
          <w:rtl/>
        </w:rPr>
        <w:footnoteReference w:id="6124"/>
      </w:r>
      <w:r w:rsidRPr="00AF3214">
        <w:rPr>
          <w:rFonts w:ascii="Narkisim" w:hAnsi="Narkisim" w:cs="Narkisim"/>
        </w:rPr>
        <w:t xml:space="preserve">. </w:t>
      </w:r>
      <w:r w:rsidRPr="00AF3214">
        <w:rPr>
          <w:rFonts w:ascii="Narkisim" w:hAnsi="Narkisim" w:cs="Narkisim"/>
          <w:rtl/>
        </w:rPr>
        <w:t>וכ"ד ה</w:t>
      </w:r>
      <w:r w:rsidRPr="00AF3214">
        <w:rPr>
          <w:rFonts w:ascii="Narkisim" w:hAnsi="Narkisim" w:cs="Narkisim"/>
          <w:b/>
          <w:bCs/>
          <w:rtl/>
        </w:rPr>
        <w:t>רמב"ן</w:t>
      </w:r>
      <w:r w:rsidRPr="00AF3214">
        <w:rPr>
          <w:rFonts w:ascii="Narkisim" w:hAnsi="Narkisim" w:cs="Narkisim"/>
          <w:rtl/>
        </w:rPr>
        <w:t xml:space="preserve"> (לקמן צח:), והביא דכ"מ ב</w:t>
      </w:r>
      <w:r w:rsidRPr="00AF3214">
        <w:rPr>
          <w:rFonts w:ascii="Narkisim" w:hAnsi="Narkisim" w:cs="Narkisim"/>
          <w:b/>
          <w:bCs/>
          <w:rtl/>
        </w:rPr>
        <w:t>רש"י</w:t>
      </w:r>
      <w:r w:rsidRPr="00AF3214">
        <w:rPr>
          <w:rFonts w:ascii="Narkisim" w:hAnsi="Narkisim" w:cs="Narkisim"/>
          <w:rtl/>
        </w:rPr>
        <w:t xml:space="preserve"> (סנהדרין עו:) שכת' אין כאן עונש שריפה, אלא איסור ארור שוכב עם חותנתו</w:t>
      </w:r>
      <w:r w:rsidRPr="00AF3214">
        <w:rPr>
          <w:rStyle w:val="ac"/>
          <w:rFonts w:ascii="Narkisim" w:hAnsi="Narkisim" w:cs="Narkisim"/>
          <w:rtl/>
        </w:rPr>
        <w:footnoteReference w:id="6125"/>
      </w:r>
      <w:r w:rsidRPr="00AF3214">
        <w:rPr>
          <w:rFonts w:ascii="Narkisim" w:hAnsi="Narkisim" w:cs="Narkisim"/>
        </w:rPr>
        <w:t xml:space="preserve">. </w:t>
      </w:r>
      <w:r w:rsidRPr="00AF3214">
        <w:rPr>
          <w:rFonts w:ascii="Narkisim" w:hAnsi="Narkisim" w:cs="Narkisim"/>
          <w:rtl/>
        </w:rPr>
        <w:t>[ויתבאר עוד לקמן צח:]</w:t>
      </w:r>
      <w:r w:rsidRPr="00AF3214">
        <w:rPr>
          <w:rFonts w:ascii="Narkisim" w:hAnsi="Narkisim" w:cs="Narkisim"/>
        </w:rPr>
        <w:t>.</w:t>
      </w:r>
    </w:p>
    <w:p w14:paraId="2C547B27" w14:textId="77777777" w:rsidR="006C4368" w:rsidRPr="00AF3214" w:rsidRDefault="006C4368" w:rsidP="006C4368">
      <w:pPr>
        <w:bidi/>
        <w:rPr>
          <w:rFonts w:ascii="Narkisim" w:hAnsi="Narkisim" w:cs="Narkisim"/>
        </w:rPr>
      </w:pPr>
      <w:r w:rsidRPr="00AF3214">
        <w:rPr>
          <w:rFonts w:ascii="Narkisim" w:hAnsi="Narkisim" w:cs="Narkisim"/>
          <w:u w:val="single"/>
          <w:rtl/>
        </w:rPr>
        <w:t>ותאסר בשכיבה דאחותה מידי דהוה אאשה שהלך בעלה למדה"י, ל"ד אשתו דבמזיד אסירא מדאורייתא גזרו בה רבנן וכו</w:t>
      </w:r>
      <w:r w:rsidRPr="00AF3214">
        <w:rPr>
          <w:rFonts w:ascii="Narkisim" w:hAnsi="Narkisim" w:cs="Narkisim"/>
          <w:rtl/>
        </w:rPr>
        <w:t xml:space="preserve">'. </w:t>
      </w:r>
      <w:r w:rsidRPr="00AF3214">
        <w:rPr>
          <w:rFonts w:ascii="Narkisim" w:hAnsi="Narkisim" w:cs="Narkisim"/>
          <w:b/>
          <w:bCs/>
          <w:rtl/>
        </w:rPr>
        <w:t>רש"י</w:t>
      </w:r>
      <w:r w:rsidRPr="00AF3214">
        <w:rPr>
          <w:rFonts w:ascii="Narkisim" w:hAnsi="Narkisim" w:cs="Narkisim"/>
          <w:rtl/>
        </w:rPr>
        <w:t xml:space="preserve"> פי' סברת המקשן דאשה שהלך בעלה למדינת הים מיתסרא בשכיבת האחרון, אע"פ שהיא שוגגת. וכוונת הגמ' להוכיח דלא הוה משום איסור סוטה [דהא אף בשוגג אסורה</w:t>
      </w:r>
      <w:r w:rsidRPr="00AF3214">
        <w:rPr>
          <w:rStyle w:val="ac"/>
          <w:rFonts w:ascii="Narkisim" w:hAnsi="Narkisim" w:cs="Narkisim"/>
          <w:rtl/>
        </w:rPr>
        <w:footnoteReference w:id="6126"/>
      </w:r>
      <w:r w:rsidRPr="00AF3214">
        <w:rPr>
          <w:rFonts w:ascii="Narkisim" w:hAnsi="Narkisim" w:cs="Narkisim"/>
          <w:rtl/>
        </w:rPr>
        <w:t xml:space="preserve">]. אלא אסורה מצד אחר. </w:t>
      </w:r>
      <w:r w:rsidRPr="00AF3214">
        <w:rPr>
          <w:rFonts w:ascii="Narkisim" w:hAnsi="Narkisim" w:cs="Narkisim"/>
          <w:szCs w:val="20"/>
          <w:rtl/>
        </w:rPr>
        <w:t>(ע' בסמוך)</w:t>
      </w:r>
      <w:r w:rsidRPr="00AF3214">
        <w:rPr>
          <w:rFonts w:ascii="Narkisim" w:hAnsi="Narkisim" w:cs="Narkisim"/>
          <w:rtl/>
        </w:rPr>
        <w:t>. וה</w:t>
      </w:r>
      <w:r w:rsidRPr="00AF3214">
        <w:rPr>
          <w:rFonts w:ascii="Narkisim" w:hAnsi="Narkisim" w:cs="Narkisim"/>
          <w:b/>
          <w:bCs/>
          <w:rtl/>
        </w:rPr>
        <w:t>רשב"א</w:t>
      </w:r>
      <w:r w:rsidRPr="00AF3214">
        <w:rPr>
          <w:rFonts w:ascii="Narkisim" w:hAnsi="Narkisim" w:cs="Narkisim"/>
          <w:rtl/>
        </w:rPr>
        <w:t xml:space="preserve"> </w:t>
      </w:r>
      <w:r w:rsidRPr="00AF3214">
        <w:rPr>
          <w:rFonts w:ascii="Narkisim" w:hAnsi="Narkisim" w:cs="Narkisim"/>
          <w:szCs w:val="20"/>
          <w:rtl/>
        </w:rPr>
        <w:t>(גיטין פ:)</w:t>
      </w:r>
      <w:r w:rsidRPr="00AF3214">
        <w:rPr>
          <w:rFonts w:ascii="Narkisim" w:hAnsi="Narkisim" w:cs="Narkisim"/>
          <w:rtl/>
        </w:rPr>
        <w:t xml:space="preserve"> פי' דקו' הגמ' משום גזירה שמא יאמרו גירש זה ונשא זה </w:t>
      </w:r>
      <w:r w:rsidRPr="00AF3214">
        <w:rPr>
          <w:rFonts w:ascii="Narkisim" w:hAnsi="Narkisim" w:cs="Narkisim"/>
          <w:szCs w:val="20"/>
          <w:rtl/>
        </w:rPr>
        <w:t>(כדלעיל פט.)</w:t>
      </w:r>
      <w:r w:rsidRPr="00AF3214">
        <w:rPr>
          <w:rStyle w:val="ac"/>
          <w:rFonts w:ascii="Narkisim" w:hAnsi="Narkisim" w:cs="Narkisim"/>
          <w:rtl/>
        </w:rPr>
        <w:footnoteReference w:id="6127"/>
      </w:r>
      <w:r w:rsidRPr="00AF3214">
        <w:rPr>
          <w:rFonts w:ascii="Narkisim" w:hAnsi="Narkisim" w:cs="Narkisim"/>
        </w:rPr>
        <w:t>.</w:t>
      </w:r>
    </w:p>
    <w:p w14:paraId="40055432"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תוס' רא"ש</w:t>
      </w:r>
      <w:r w:rsidRPr="00AF3214">
        <w:rPr>
          <w:rFonts w:ascii="Narkisim" w:hAnsi="Narkisim" w:cs="Narkisim"/>
          <w:rtl/>
        </w:rPr>
        <w:t xml:space="preserve"> כת' דקו' הגמ' למ"ד (לעיל צא., ע"ע לקמן צה:) דדעת רבנן דנשאת בעדים אסורה כל הדרכים האלו בה. דהא במתה אשתו ונשא אחותה ע"כ איירי בעדים (וכמ"ש תוס' לעיל ד"ה ואע"ג ורוב ראשונים. וע' לעיל דעת רש"י</w:t>
      </w:r>
      <w:r w:rsidRPr="00AF3214">
        <w:rPr>
          <w:rStyle w:val="ac"/>
          <w:rFonts w:ascii="Narkisim" w:hAnsi="Narkisim" w:cs="Narkisim"/>
          <w:rtl/>
        </w:rPr>
        <w:footnoteReference w:id="6128"/>
      </w:r>
      <w:r w:rsidRPr="00AF3214">
        <w:rPr>
          <w:rFonts w:ascii="Narkisim" w:hAnsi="Narkisim" w:cs="Narkisim"/>
          <w:rtl/>
        </w:rPr>
        <w:t>)</w:t>
      </w:r>
      <w:r w:rsidRPr="00AF3214">
        <w:rPr>
          <w:rFonts w:ascii="Narkisim" w:hAnsi="Narkisim" w:cs="Narkisim"/>
        </w:rPr>
        <w:t>.</w:t>
      </w:r>
    </w:p>
    <w:p w14:paraId="277BD184" w14:textId="77777777" w:rsidR="006C4368" w:rsidRPr="00AF3214" w:rsidRDefault="006C4368" w:rsidP="006C4368">
      <w:pPr>
        <w:bidi/>
        <w:rPr>
          <w:rFonts w:ascii="Narkisim" w:hAnsi="Narkisim" w:cs="Narkisim"/>
        </w:rPr>
      </w:pPr>
      <w:r w:rsidRPr="00AF3214">
        <w:rPr>
          <w:rFonts w:ascii="Narkisim" w:hAnsi="Narkisim" w:cs="Narkisim"/>
          <w:u w:val="single"/>
          <w:rtl/>
        </w:rPr>
        <w:t>לא דמי אשתו דבמזיד אסירא מדאורייתא גזרו בה רבנן וכו'</w:t>
      </w:r>
      <w:r w:rsidRPr="00AF3214">
        <w:rPr>
          <w:rFonts w:ascii="Narkisim" w:hAnsi="Narkisim" w:cs="Narkisim"/>
          <w:rtl/>
        </w:rPr>
        <w:t>. יש שהביא דתי' הגמ' דעיקר הגזירה באשה שהלך בעלה, דמדרבנן החשיבו אותה כסוטה, וכדאי' בגמ' (לעיל יא.). [ואף דנשאת ע"פ טעות ובהוראת בי"ד, כיון דסמכו על דייקא ומינסבא, ונתברר שלא דייקה, קנסו חכמים להחשב מזיד]. אך בפשטות משמע דעיקר הגזירה מטעם אחר, אלא דלא החמירו בגזירתן טפי מדין סוטה דאורייתא</w:t>
      </w:r>
      <w:r w:rsidRPr="00AF3214">
        <w:rPr>
          <w:rFonts w:ascii="Narkisim" w:hAnsi="Narkisim" w:cs="Narkisim"/>
        </w:rPr>
        <w:t>.</w:t>
      </w:r>
    </w:p>
    <w:p w14:paraId="54217624" w14:textId="77777777" w:rsidR="006C4368" w:rsidRPr="00AF3214" w:rsidRDefault="006C4368" w:rsidP="006C4368">
      <w:pPr>
        <w:bidi/>
        <w:rPr>
          <w:rFonts w:ascii="Narkisim" w:hAnsi="Narkisim" w:cs="Narkisim"/>
        </w:rPr>
      </w:pP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(לעיל צב:) הביאו מכאן דשומרת יבם שנשאת בטעות ל"ש הך גזירה, דקי"ל דאפי' זינתה במזיד מותרת. אלא דהוה גזירה אטו אשה שהלך בעלה (לישנא בתרא דרב גידל צב:, ולגמ' גיטין פ:)</w:t>
      </w:r>
      <w:r w:rsidRPr="00AF3214">
        <w:rPr>
          <w:rFonts w:ascii="Narkisim" w:hAnsi="Narkisim" w:cs="Narkisim"/>
        </w:rPr>
        <w:t>.</w:t>
      </w:r>
    </w:p>
    <w:p w14:paraId="22BE1DF8" w14:textId="77777777" w:rsidR="006C4368" w:rsidRPr="00AF3214" w:rsidRDefault="006C4368" w:rsidP="006C4368">
      <w:pPr>
        <w:pStyle w:val="3"/>
        <w:bidi/>
        <w:rPr>
          <w:rFonts w:ascii="Narkisim" w:hAnsi="Narkisim"/>
        </w:rPr>
      </w:pPr>
      <w:r w:rsidRPr="00AF3214">
        <w:rPr>
          <w:rFonts w:ascii="Narkisim" w:hAnsi="Narkisim"/>
          <w:rtl/>
        </w:rPr>
        <w:t>דף צה</w:t>
      </w:r>
      <w:r w:rsidRPr="00AF3214">
        <w:rPr>
          <w:rFonts w:ascii="Narkisim" w:hAnsi="Narkisim"/>
        </w:rPr>
        <w:t>.</w:t>
      </w:r>
    </w:p>
    <w:p w14:paraId="7290733B" w14:textId="77777777" w:rsidR="006C4368" w:rsidRPr="00AF3214" w:rsidRDefault="006C4368" w:rsidP="006C4368">
      <w:pPr>
        <w:pStyle w:val="aa"/>
        <w:bidi/>
        <w:rPr>
          <w:rFonts w:ascii="Narkisim" w:hAnsi="Narkisim"/>
        </w:rPr>
      </w:pPr>
      <w:r w:rsidRPr="00AF3214">
        <w:rPr>
          <w:rFonts w:ascii="Narkisim" w:hAnsi="Narkisim"/>
          <w:u w:val="single"/>
          <w:rtl/>
        </w:rPr>
        <w:t>נאסר האוסר</w:t>
      </w:r>
      <w:r w:rsidRPr="00AF3214">
        <w:rPr>
          <w:rFonts w:ascii="Narkisim" w:hAnsi="Narkisim"/>
          <w:rtl/>
        </w:rPr>
        <w:t>. ה</w:t>
      </w:r>
      <w:r w:rsidRPr="00AF3214">
        <w:rPr>
          <w:rFonts w:ascii="Narkisim" w:hAnsi="Narkisim"/>
          <w:b/>
          <w:bCs/>
          <w:rtl/>
        </w:rPr>
        <w:t>אתוון דאורייתא</w:t>
      </w:r>
      <w:r w:rsidRPr="00AF3214">
        <w:rPr>
          <w:rFonts w:ascii="Narkisim" w:hAnsi="Narkisim"/>
          <w:rtl/>
        </w:rPr>
        <w:t xml:space="preserve"> (ח) הביא מלשון הגמ' דהטעם שאשת איש נאסרת לבעלה ע"י זנות הוה בעבור שהבעל הוא האוסר על הבועל, וע"כ גזרה תורה שיהי' נאסר האוסר</w:t>
      </w:r>
      <w:r w:rsidRPr="00AF3214">
        <w:rPr>
          <w:rFonts w:ascii="Narkisim" w:hAnsi="Narkisim"/>
        </w:rPr>
        <w:t>.</w:t>
      </w:r>
    </w:p>
    <w:p w14:paraId="2AA18ADB" w14:textId="77777777" w:rsidR="006C4368" w:rsidRPr="00AF3214" w:rsidRDefault="006C4368" w:rsidP="006C4368">
      <w:pPr>
        <w:pStyle w:val="aa"/>
        <w:bidi/>
        <w:rPr>
          <w:rFonts w:ascii="Narkisim" w:hAnsi="Narkisim"/>
        </w:rPr>
      </w:pPr>
      <w:r w:rsidRPr="00AF3214">
        <w:rPr>
          <w:rFonts w:ascii="Narkisim" w:hAnsi="Narkisim"/>
          <w:u w:val="single"/>
          <w:rtl/>
        </w:rPr>
        <w:t>א"ר יהודה לא נחלקו בי"ש ובי"ה בבא על חמותו שפוסל את אשתו</w:t>
      </w:r>
      <w:r w:rsidRPr="00AF3214">
        <w:rPr>
          <w:rFonts w:ascii="Narkisim" w:hAnsi="Narkisim"/>
          <w:rtl/>
        </w:rPr>
        <w:t>. ה</w:t>
      </w:r>
      <w:r w:rsidRPr="00AF3214">
        <w:rPr>
          <w:rFonts w:ascii="Narkisim" w:hAnsi="Narkisim"/>
          <w:b/>
          <w:bCs/>
          <w:rtl/>
        </w:rPr>
        <w:t>ערול"נ</w:t>
      </w:r>
      <w:r w:rsidRPr="00AF3214">
        <w:rPr>
          <w:rFonts w:ascii="Narkisim" w:hAnsi="Narkisim"/>
          <w:rtl/>
        </w:rPr>
        <w:t xml:space="preserve"> העיר דהמקשן (צד:) אי ר"ע ליתני חמותו המ"ל דס"ל כר' יהודה. ודחה דע"כ ר' עקיבא לא ס"ל כר' יהודה, דר' יהודה דרש מ'אתהן', ואילו ר"ע דרש אתהן דאיקליש לאחר מיתה ואינו בשריפה</w:t>
      </w:r>
      <w:r w:rsidRPr="00AF3214">
        <w:rPr>
          <w:rFonts w:ascii="Narkisim" w:hAnsi="Narkisim"/>
        </w:rPr>
        <w:t>.</w:t>
      </w:r>
    </w:p>
    <w:p w14:paraId="1258C71B" w14:textId="77777777" w:rsidR="006C4368" w:rsidRPr="00AF3214" w:rsidRDefault="006C4368" w:rsidP="006C4368">
      <w:pPr>
        <w:pStyle w:val="aa"/>
        <w:bidi/>
        <w:rPr>
          <w:rFonts w:ascii="Narkisim" w:hAnsi="Narkisim"/>
        </w:rPr>
      </w:pPr>
      <w:r w:rsidRPr="00AF3214">
        <w:rPr>
          <w:rFonts w:ascii="Narkisim" w:hAnsi="Narkisim"/>
          <w:u w:val="single"/>
          <w:rtl/>
        </w:rPr>
        <w:t>אין הלכה כר' יהודה</w:t>
      </w:r>
      <w:r w:rsidRPr="00AF3214">
        <w:rPr>
          <w:rFonts w:ascii="Narkisim" w:hAnsi="Narkisim"/>
          <w:rtl/>
        </w:rPr>
        <w:t>. ה</w:t>
      </w:r>
      <w:r w:rsidRPr="00AF3214">
        <w:rPr>
          <w:rFonts w:ascii="Narkisim" w:hAnsi="Narkisim"/>
          <w:b/>
          <w:bCs/>
          <w:rtl/>
        </w:rPr>
        <w:t>אחרונים</w:t>
      </w:r>
      <w:r w:rsidRPr="00AF3214">
        <w:rPr>
          <w:rFonts w:ascii="Narkisim" w:hAnsi="Narkisim"/>
          <w:rtl/>
        </w:rPr>
        <w:t xml:space="preserve"> (פור"י) הק' אמאי איצטריך לומר כן, הא קי"ל (עירובין מו.) ר' יהודה ור' יוסי הלכה כר' יוסי. וכת' דשמא דאף ת"ק משמע דדוקא אחות אשתו לא פסל, אבל אחות אשתו פסל. ועוד משום דר"ל (בסמוך) דרש מ"ט דר' יהודה</w:t>
      </w:r>
      <w:r w:rsidRPr="00AF3214">
        <w:rPr>
          <w:rFonts w:ascii="Narkisim" w:hAnsi="Narkisim"/>
        </w:rPr>
        <w:t>.</w:t>
      </w:r>
    </w:p>
    <w:p w14:paraId="72DB1E96" w14:textId="77777777" w:rsidR="006C4368" w:rsidRPr="00AF3214" w:rsidRDefault="006C4368" w:rsidP="006C4368">
      <w:pPr>
        <w:bidi/>
        <w:rPr>
          <w:rFonts w:ascii="Narkisim" w:hAnsi="Narkisim" w:cs="Narkisim"/>
        </w:rPr>
      </w:pPr>
      <w:r w:rsidRPr="00AF3214">
        <w:rPr>
          <w:rFonts w:ascii="Narkisim" w:hAnsi="Narkisim" w:cs="Narkisim"/>
          <w:u w:val="single"/>
          <w:rtl/>
        </w:rPr>
        <w:lastRenderedPageBreak/>
        <w:t>ההוא דעבד איסורא וכו' אי לאו דאמר שמואל אין הלכה כר' יהודה, אסרתיה עלך איסורא דלעולם</w:t>
      </w:r>
      <w:r w:rsidRPr="00AF3214">
        <w:rPr>
          <w:rFonts w:ascii="Narkisim" w:hAnsi="Narkisim" w:cs="Narkisim"/>
          <w:rtl/>
        </w:rPr>
        <w:t>. ה</w:t>
      </w:r>
      <w:r w:rsidRPr="00AF3214">
        <w:rPr>
          <w:rFonts w:ascii="Narkisim" w:hAnsi="Narkisim" w:cs="Narkisim"/>
          <w:b/>
          <w:bCs/>
          <w:rtl/>
        </w:rPr>
        <w:t>רמב"ן</w:t>
      </w:r>
      <w:r w:rsidRPr="00AF3214">
        <w:rPr>
          <w:rFonts w:ascii="Narkisim" w:hAnsi="Narkisim" w:cs="Narkisim"/>
          <w:rtl/>
        </w:rPr>
        <w:t xml:space="preserve"> (ושא"ר) הק' דאשתו תאסר מדרבנן, כדתנן (לעיל כו.) הנטען מן האשה אסור בבתה. ותי' דכיון דהיתה כבר אשתו מקודם לא אסרינן עלה. דמבואר התם דאפי' אם כנס [באיסור] לא יוציא, דברננה לא מפקינן. וכ"ש הכא שהיתה אשתו מקודם</w:t>
      </w:r>
      <w:r w:rsidRPr="00AF3214">
        <w:rPr>
          <w:rFonts w:ascii="Narkisim" w:hAnsi="Narkisim" w:cs="Narkisim"/>
        </w:rPr>
        <w:t>.</w:t>
      </w:r>
    </w:p>
    <w:p w14:paraId="5B316125"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רמ"א</w:t>
      </w:r>
      <w:r w:rsidRPr="00AF3214">
        <w:rPr>
          <w:rFonts w:ascii="Narkisim" w:hAnsi="Narkisim"/>
          <w:rtl/>
        </w:rPr>
        <w:t xml:space="preserve"> (טו כז בשם שלט"ג מדברי הריא"ז) כת' דהיכא דהקרובה [שזינתה עמו] רגילה לבא אצל אשתו, כופין לגרש. [והמקור מהירושלמי כאן]</w:t>
      </w:r>
      <w:r w:rsidRPr="00AF3214">
        <w:rPr>
          <w:rStyle w:val="ac"/>
          <w:rFonts w:ascii="Narkisim" w:hAnsi="Narkisim"/>
          <w:rtl/>
        </w:rPr>
        <w:footnoteReference w:id="6129"/>
      </w:r>
      <w:r w:rsidRPr="00AF3214">
        <w:rPr>
          <w:rFonts w:ascii="Narkisim" w:hAnsi="Narkisim"/>
        </w:rPr>
        <w:t xml:space="preserve">. </w:t>
      </w:r>
      <w:r w:rsidRPr="00AF3214">
        <w:rPr>
          <w:rFonts w:ascii="Narkisim" w:hAnsi="Narkisim"/>
          <w:rtl/>
        </w:rPr>
        <w:t>וה</w:t>
      </w:r>
      <w:r w:rsidRPr="00AF3214">
        <w:rPr>
          <w:rFonts w:ascii="Narkisim" w:hAnsi="Narkisim"/>
          <w:b/>
          <w:bCs/>
          <w:rtl/>
        </w:rPr>
        <w:t>בי"ש</w:t>
      </w:r>
      <w:r w:rsidRPr="00AF3214">
        <w:rPr>
          <w:rFonts w:ascii="Narkisim" w:hAnsi="Narkisim"/>
          <w:rtl/>
        </w:rPr>
        <w:t xml:space="preserve"> (שם כב) תמה דמ"מ הוה חששא בעלמא, וה</w:t>
      </w:r>
      <w:r w:rsidRPr="00AF3214">
        <w:rPr>
          <w:rFonts w:ascii="Narkisim" w:hAnsi="Narkisim"/>
          <w:b/>
          <w:bCs/>
          <w:rtl/>
        </w:rPr>
        <w:t>ראשונים</w:t>
      </w:r>
      <w:r w:rsidRPr="00AF3214">
        <w:rPr>
          <w:rFonts w:ascii="Narkisim" w:hAnsi="Narkisim"/>
          <w:rtl/>
        </w:rPr>
        <w:t xml:space="preserve"> (לעיל כו.) כת' דמשום חששא אין מוציאין מבעלה. ומנ"ל לחלק בזה</w:t>
      </w:r>
      <w:r w:rsidRPr="00AF3214">
        <w:rPr>
          <w:rStyle w:val="ac"/>
          <w:rFonts w:ascii="Narkisim" w:hAnsi="Narkisim"/>
          <w:rtl/>
        </w:rPr>
        <w:footnoteReference w:id="6130"/>
      </w:r>
      <w:r w:rsidRPr="00AF3214">
        <w:rPr>
          <w:rFonts w:ascii="Narkisim" w:hAnsi="Narkisim"/>
        </w:rPr>
        <w:t>.</w:t>
      </w:r>
    </w:p>
    <w:p w14:paraId="10689DA3" w14:textId="77777777" w:rsidR="006C4368" w:rsidRPr="00AF3214" w:rsidRDefault="006C4368" w:rsidP="006C4368">
      <w:pPr>
        <w:bidi/>
        <w:rPr>
          <w:rFonts w:ascii="Narkisim" w:hAnsi="Narkisim" w:cs="Narkisim"/>
        </w:rPr>
      </w:pPr>
      <w:r w:rsidRPr="00AF3214">
        <w:rPr>
          <w:rFonts w:ascii="Narkisim" w:hAnsi="Narkisim" w:cs="Narkisim"/>
          <w:u w:val="single"/>
          <w:rtl/>
        </w:rPr>
        <w:t>א"ר אמי אר"ל מ"ט דר' יהודה דכתיב באש ישרפו אותו ואתהן וכו'</w:t>
      </w:r>
      <w:r w:rsidRPr="00AF3214">
        <w:rPr>
          <w:rFonts w:ascii="Narkisim" w:hAnsi="Narkisim" w:cs="Narkisim"/>
          <w:rtl/>
        </w:rPr>
        <w:t>. ו</w:t>
      </w:r>
      <w:r w:rsidRPr="00AF3214">
        <w:rPr>
          <w:rFonts w:ascii="Narkisim" w:hAnsi="Narkisim" w:cs="Narkisim"/>
          <w:b/>
          <w:bCs/>
          <w:rtl/>
        </w:rPr>
        <w:t>רש"י</w:t>
      </w:r>
      <w:r w:rsidRPr="00AF3214">
        <w:rPr>
          <w:rFonts w:ascii="Narkisim" w:hAnsi="Narkisim" w:cs="Narkisim"/>
          <w:rtl/>
        </w:rPr>
        <w:t xml:space="preserve"> (לעיל ד"ה שבש"א, וכן תוד"ה על) מבואר דאף בי"ש אליבא דר' יוסי ילפי' מהכא</w:t>
      </w:r>
      <w:r w:rsidRPr="00AF3214">
        <w:rPr>
          <w:rStyle w:val="ac"/>
          <w:rFonts w:ascii="Narkisim" w:hAnsi="Narkisim" w:cs="Narkisim"/>
          <w:rtl/>
        </w:rPr>
        <w:footnoteReference w:id="6131"/>
      </w:r>
      <w:r w:rsidRPr="00AF3214">
        <w:rPr>
          <w:rFonts w:ascii="Narkisim" w:hAnsi="Narkisim" w:cs="Narkisim"/>
        </w:rPr>
        <w:t>.</w:t>
      </w:r>
    </w:p>
    <w:p w14:paraId="18743DD9" w14:textId="77777777" w:rsidR="006C4368" w:rsidRPr="00AF3214" w:rsidRDefault="006C4368" w:rsidP="006C4368">
      <w:pPr>
        <w:bidi/>
        <w:rPr>
          <w:rFonts w:ascii="Narkisim" w:hAnsi="Narkisim" w:cs="Narkisim"/>
        </w:rPr>
      </w:pPr>
      <w:r w:rsidRPr="00AF3214">
        <w:rPr>
          <w:rFonts w:ascii="Narkisim" w:hAnsi="Narkisim" w:cs="Narkisim"/>
          <w:u w:val="single"/>
          <w:rtl/>
        </w:rPr>
        <w:t>א"ר חסדא מחזיר גרושתו משנשאת, בא עליה האי אסרה עליה דהאי וכו'</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הק' מאי איריא בא עליה, הא ע"י הקידושין נאסרת על הראשון [ועד"ז מקשה הגמ' בסמוך]. ותי' דאיכא לאוקומי כר' יוסי בן כיפר (לעיל יא:) דמן האירוסין מותרת. אך שוב הק' דאפי' לר"י בן כיפר אסורה בכניסה לחופה בלא ביאה. ותי' דההיא איסורא דרבנן. דכל מקום שביאה אוסרת, אסרו רבנן בחופה מפני שהיא הכשר ביאה, והיא עושה נשואין. ועד"ז דן ה</w:t>
      </w:r>
      <w:r w:rsidRPr="00AF3214">
        <w:rPr>
          <w:rFonts w:ascii="Narkisim" w:hAnsi="Narkisim" w:cs="Narkisim"/>
          <w:b/>
          <w:bCs/>
          <w:rtl/>
        </w:rPr>
        <w:t>קר"א</w:t>
      </w:r>
      <w:r w:rsidRPr="00AF3214">
        <w:rPr>
          <w:rFonts w:ascii="Narkisim" w:hAnsi="Narkisim" w:cs="Narkisim"/>
        </w:rPr>
        <w:t>.</w:t>
      </w:r>
    </w:p>
    <w:p w14:paraId="3E757A2F" w14:textId="77777777" w:rsidR="006C4368" w:rsidRPr="00AF3214" w:rsidRDefault="006C4368" w:rsidP="006C4368">
      <w:pPr>
        <w:pStyle w:val="aa"/>
        <w:bidi/>
        <w:rPr>
          <w:rFonts w:ascii="Narkisim" w:hAnsi="Narkisim"/>
        </w:rPr>
      </w:pPr>
      <w:r w:rsidRPr="00AF3214">
        <w:rPr>
          <w:rFonts w:ascii="Narkisim" w:hAnsi="Narkisim"/>
          <w:u w:val="single"/>
          <w:rtl/>
        </w:rPr>
        <w:t>מה למחזיר גרושתו משנשאת שכן נטמא הגוף ואיסורא ברוב ואיסורא איסור עולם</w:t>
      </w:r>
      <w:r w:rsidRPr="00AF3214">
        <w:rPr>
          <w:rFonts w:ascii="Narkisim" w:hAnsi="Narkisim"/>
          <w:rtl/>
        </w:rPr>
        <w:t>. פ</w:t>
      </w:r>
      <w:r w:rsidRPr="00AF3214">
        <w:rPr>
          <w:rFonts w:ascii="Narkisim" w:hAnsi="Narkisim"/>
          <w:b/>
          <w:bCs/>
          <w:rtl/>
        </w:rPr>
        <w:t>רש"י</w:t>
      </w:r>
      <w:r w:rsidRPr="00AF3214">
        <w:rPr>
          <w:rFonts w:ascii="Narkisim" w:hAnsi="Narkisim"/>
          <w:rtl/>
        </w:rPr>
        <w:t xml:space="preserve"> משא"כ אחות אשתו שלא נטמא גופה, ואינו איסור עולם [שהותר במיתת אחותה]. ה</w:t>
      </w:r>
      <w:r w:rsidRPr="00AF3214">
        <w:rPr>
          <w:rFonts w:ascii="Narkisim" w:hAnsi="Narkisim"/>
          <w:b/>
          <w:bCs/>
          <w:rtl/>
        </w:rPr>
        <w:t>ריטב"א</w:t>
      </w:r>
      <w:r w:rsidRPr="00AF3214">
        <w:rPr>
          <w:rFonts w:ascii="Narkisim" w:hAnsi="Narkisim"/>
          <w:rtl/>
        </w:rPr>
        <w:t xml:space="preserve"> דייק דרש"י השמיט איסורא ברוב, דל"ג הכי בגמ' כאן, דרש"י (בסמוך) פי' דלכל אדם אסורה, ואילו הכא האיסור רק לבעלה הראשון. וה</w:t>
      </w:r>
      <w:r w:rsidRPr="00AF3214">
        <w:rPr>
          <w:rFonts w:ascii="Narkisim" w:hAnsi="Narkisim"/>
          <w:b/>
          <w:bCs/>
          <w:rtl/>
        </w:rPr>
        <w:t>ריטב"א</w:t>
      </w:r>
      <w:r w:rsidRPr="00AF3214">
        <w:rPr>
          <w:rFonts w:ascii="Narkisim" w:hAnsi="Narkisim"/>
          <w:rtl/>
        </w:rPr>
        <w:t xml:space="preserve"> כת' דאי"צ למוחקו דיל"פ דרוב ישראל ראויים לנשאה ולאוסרה עליו</w:t>
      </w:r>
      <w:r w:rsidRPr="00AF3214">
        <w:rPr>
          <w:rFonts w:ascii="Narkisim" w:hAnsi="Narkisim"/>
        </w:rPr>
        <w:t>.</w:t>
      </w:r>
    </w:p>
    <w:p w14:paraId="3BDD3A6F" w14:textId="77777777" w:rsidR="006C4368" w:rsidRPr="00AF3214" w:rsidRDefault="006C4368" w:rsidP="006C4368">
      <w:pPr>
        <w:bidi/>
        <w:rPr>
          <w:rFonts w:ascii="Narkisim" w:hAnsi="Narkisim" w:cs="Narkisim"/>
        </w:rPr>
      </w:pPr>
      <w:r w:rsidRPr="00AF3214">
        <w:rPr>
          <w:rFonts w:ascii="Narkisim" w:hAnsi="Narkisim" w:cs="Narkisim"/>
          <w:u w:val="single"/>
          <w:rtl/>
        </w:rPr>
        <w:t>שם. מחזיר גרושתו</w:t>
      </w:r>
      <w:r w:rsidRPr="00AF3214">
        <w:rPr>
          <w:rFonts w:ascii="Narkisim" w:hAnsi="Narkisim" w:cs="Narkisim"/>
          <w:rtl/>
        </w:rPr>
        <w:t>. ה</w:t>
      </w:r>
      <w:r w:rsidRPr="00AF3214">
        <w:rPr>
          <w:rFonts w:ascii="Narkisim" w:hAnsi="Narkisim" w:cs="Narkisim"/>
          <w:b/>
          <w:bCs/>
          <w:rtl/>
        </w:rPr>
        <w:t>אחרונים</w:t>
      </w:r>
      <w:r w:rsidRPr="00AF3214">
        <w:rPr>
          <w:rFonts w:ascii="Narkisim" w:hAnsi="Narkisim" w:cs="Narkisim"/>
          <w:rtl/>
        </w:rPr>
        <w:t xml:space="preserve"> (קר"א ועוד) הק' דהא דנאסר השני לא הוה מחמת שהוא האוסר. אלא כל שנשאת לשום אדם הוה מחזיר גרושתו משנשאת. ומה לי נשאת לאחר או לראשון</w:t>
      </w:r>
      <w:r w:rsidRPr="00AF3214">
        <w:rPr>
          <w:rFonts w:ascii="Narkisim" w:hAnsi="Narkisim" w:cs="Narkisim"/>
        </w:rPr>
        <w:t>.</w:t>
      </w:r>
    </w:p>
    <w:p w14:paraId="31179A9A"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(קלב ה) כת' דאפשר דמשום גדרי מחזיר גרושתו אין ראוי שתאסר לשני ע"י שהראשון מחזיר, כיון דאסורה על הראשון והחזירה באיסור</w:t>
      </w:r>
      <w:r w:rsidRPr="00AF3214">
        <w:rPr>
          <w:rStyle w:val="ac"/>
          <w:rFonts w:ascii="Narkisim" w:hAnsi="Narkisim"/>
          <w:rtl/>
        </w:rPr>
        <w:footnoteReference w:id="6132"/>
      </w:r>
      <w:r w:rsidRPr="00AF3214">
        <w:rPr>
          <w:rFonts w:ascii="Narkisim" w:hAnsi="Narkisim"/>
        </w:rPr>
        <w:t xml:space="preserve">. </w:t>
      </w:r>
      <w:r w:rsidRPr="00AF3214">
        <w:rPr>
          <w:rFonts w:ascii="Narkisim" w:hAnsi="Narkisim"/>
          <w:rtl/>
        </w:rPr>
        <w:t>וכוונת התורה באיסור מחזיר גרושתו שלא תהא אשה מתחלפת מזה לזה. ודי במה שאסרה תורה לראשון להחזירה, ואף שהחזירה הראשון אין ראוי שתאסר לשני. אלא טעם האיסור לשני משום שבחזירתו מינכר טפי התחלפות האשה [ומש"ה ילפי' דנאסר האוסר]</w:t>
      </w:r>
      <w:r w:rsidRPr="00AF3214">
        <w:rPr>
          <w:rFonts w:ascii="Narkisim" w:hAnsi="Narkisim"/>
        </w:rPr>
        <w:t>.</w:t>
      </w:r>
    </w:p>
    <w:p w14:paraId="7192DD75" w14:textId="77777777" w:rsidR="006C4368" w:rsidRPr="00AF3214" w:rsidRDefault="006C4368" w:rsidP="006C4368">
      <w:pPr>
        <w:bidi/>
        <w:rPr>
          <w:rFonts w:ascii="Narkisim" w:hAnsi="Narkisim" w:cs="Narkisim"/>
        </w:rPr>
      </w:pPr>
      <w:r w:rsidRPr="00AF3214">
        <w:rPr>
          <w:rFonts w:ascii="Narkisim" w:hAnsi="Narkisim" w:cs="Narkisim"/>
          <w:u w:val="single"/>
          <w:rtl/>
        </w:rPr>
        <w:t>אלא יבמה לאחין, עבד בה מאמר האי, אסרה עליה דהאי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דהוה איסור קל כיון דמאמר יבמין מדרבנן. ולפ"ז להך תי' ילפי' מדין דרבנן. אבל </w:t>
      </w:r>
      <w:r w:rsidRPr="00AF3214">
        <w:rPr>
          <w:rFonts w:ascii="Narkisim" w:hAnsi="Narkisim" w:cs="Narkisim"/>
          <w:b/>
          <w:bCs/>
          <w:rtl/>
        </w:rPr>
        <w:t>תוס'</w:t>
      </w:r>
      <w:r w:rsidRPr="00AF3214">
        <w:rPr>
          <w:rFonts w:ascii="Narkisim" w:hAnsi="Narkisim" w:cs="Narkisim"/>
          <w:rtl/>
        </w:rPr>
        <w:t xml:space="preserve"> נקטו דבסוגיין קאי למ"ד דמאמר מדאורייתא (ע"ע בסמוך)</w:t>
      </w:r>
      <w:r w:rsidRPr="00AF3214">
        <w:rPr>
          <w:rFonts w:ascii="Narkisim" w:hAnsi="Narkisim" w:cs="Narkisim"/>
        </w:rPr>
        <w:t>.</w:t>
      </w:r>
    </w:p>
    <w:p w14:paraId="2A46D7B4"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כת' דלפרש"י צ"ל דילפי' בבא על אחות אשתו לאסור את אשתו מדרבנן. והא דנקט 'אותה' הוה אסמכתא</w:t>
      </w:r>
      <w:r w:rsidRPr="00AF3214">
        <w:rPr>
          <w:rFonts w:ascii="Narkisim" w:hAnsi="Narkisim"/>
        </w:rPr>
        <w:t>.</w:t>
      </w:r>
    </w:p>
    <w:p w14:paraId="7ACDD427" w14:textId="77777777" w:rsidR="006C4368" w:rsidRPr="00AF3214" w:rsidRDefault="006C4368" w:rsidP="006C4368">
      <w:pPr>
        <w:pStyle w:val="a8"/>
        <w:bidi/>
        <w:rPr>
          <w:rFonts w:ascii="Narkisim" w:hAnsi="Narkisim"/>
        </w:rPr>
      </w:pPr>
      <w:r w:rsidRPr="00AF3214">
        <w:rPr>
          <w:rFonts w:ascii="Narkisim" w:hAnsi="Narkisim"/>
          <w:rtl/>
        </w:rPr>
        <w:t>אבל ה</w:t>
      </w:r>
      <w:r w:rsidRPr="00AF3214">
        <w:rPr>
          <w:rFonts w:ascii="Narkisim" w:hAnsi="Narkisim"/>
          <w:b/>
          <w:bCs/>
          <w:rtl/>
        </w:rPr>
        <w:t>קובה"ע</w:t>
      </w:r>
      <w:r w:rsidRPr="00AF3214">
        <w:rPr>
          <w:rFonts w:ascii="Narkisim" w:hAnsi="Narkisim"/>
          <w:rtl/>
        </w:rPr>
        <w:t xml:space="preserve"> (סו א) חידש דכוונת הגמ' לדמות דין דרבנן לאיסור מדאורייתא</w:t>
      </w:r>
      <w:r w:rsidRPr="00AF3214">
        <w:rPr>
          <w:rStyle w:val="ac"/>
          <w:rFonts w:ascii="Narkisim" w:hAnsi="Narkisim"/>
          <w:rtl/>
        </w:rPr>
        <w:footnoteReference w:id="6133"/>
      </w:r>
      <w:r w:rsidRPr="00AF3214">
        <w:rPr>
          <w:rFonts w:ascii="Narkisim" w:hAnsi="Narkisim"/>
        </w:rPr>
        <w:t xml:space="preserve">. </w:t>
      </w:r>
      <w:r w:rsidRPr="00AF3214">
        <w:rPr>
          <w:rFonts w:ascii="Narkisim" w:hAnsi="Narkisim"/>
          <w:rtl/>
        </w:rPr>
        <w:t>וביאר דכוונת הגמ' דאילו בדאורייתא האוסר אינו נאסר [אפי' באיסור חמור דאחות אשתו], לא היו חכמים מתקנים שיהא האוסר נאסר באיסור קל. וכיון דמצינו בדבריהם האוסר נאסר באיסור קל, מוכח שהיה פשוט לחכמים דבדאורייתא האוסר נאסר</w:t>
      </w:r>
      <w:r w:rsidRPr="00AF3214">
        <w:rPr>
          <w:rStyle w:val="ac"/>
          <w:rFonts w:ascii="Narkisim" w:hAnsi="Narkisim"/>
          <w:rtl/>
        </w:rPr>
        <w:footnoteReference w:id="6134"/>
      </w:r>
      <w:r w:rsidRPr="00AF3214">
        <w:rPr>
          <w:rFonts w:ascii="Narkisim" w:hAnsi="Narkisim"/>
        </w:rPr>
        <w:t>.</w:t>
      </w:r>
    </w:p>
    <w:p w14:paraId="4550CC1C" w14:textId="77777777" w:rsidR="006C4368" w:rsidRPr="00AF3214" w:rsidRDefault="006C4368" w:rsidP="006C4368">
      <w:pPr>
        <w:pStyle w:val="a8"/>
        <w:bidi/>
        <w:rPr>
          <w:rFonts w:ascii="Narkisim" w:hAnsi="Narkisim"/>
        </w:rPr>
      </w:pPr>
      <w:r w:rsidRPr="00AF3214">
        <w:rPr>
          <w:rFonts w:ascii="Narkisim" w:hAnsi="Narkisim"/>
          <w:rtl/>
        </w:rPr>
        <w:lastRenderedPageBreak/>
        <w:t>אך כת' דתוס' לא ניח"ל בזה, דנהי דיש לנו ראיה מתקנ"ח דשייך כה"ג מדאורייתא. מ"מ מקרא מנ"ל, ומהיכן ילפי' הך איסור מדאורייתא</w:t>
      </w:r>
      <w:r w:rsidRPr="00AF3214">
        <w:rPr>
          <w:rFonts w:ascii="Narkisim" w:hAnsi="Narkisim"/>
        </w:rPr>
        <w:t>.</w:t>
      </w:r>
    </w:p>
    <w:p w14:paraId="47B33666" w14:textId="77777777" w:rsidR="006C4368" w:rsidRPr="00AF3214" w:rsidRDefault="006C4368" w:rsidP="006C4368">
      <w:pPr>
        <w:bidi/>
        <w:rPr>
          <w:rFonts w:ascii="Narkisim" w:hAnsi="Narkisim" w:cs="Narkisim"/>
        </w:rPr>
      </w:pPr>
      <w:r w:rsidRPr="00AF3214">
        <w:rPr>
          <w:rFonts w:ascii="Narkisim" w:hAnsi="Narkisim" w:cs="Narkisim"/>
          <w:u w:val="single"/>
          <w:rtl/>
        </w:rPr>
        <w:t>תוד"ה עבד</w:t>
      </w:r>
      <w:r w:rsidRPr="00AF3214">
        <w:rPr>
          <w:rFonts w:ascii="Narkisim" w:hAnsi="Narkisim" w:cs="Narkisim"/>
          <w:rtl/>
        </w:rPr>
        <w:t>. כמ"ד (לעיל כט.) מאמר קונה מדאורייתא</w:t>
      </w:r>
      <w:r w:rsidRPr="00AF3214">
        <w:rPr>
          <w:rStyle w:val="ac"/>
          <w:rFonts w:ascii="Narkisim" w:hAnsi="Narkisim" w:cs="Narkisim"/>
          <w:rtl/>
        </w:rPr>
        <w:footnoteReference w:id="6135"/>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תוס' הרא"ש</w:t>
      </w:r>
      <w:r w:rsidRPr="00AF3214">
        <w:rPr>
          <w:rFonts w:ascii="Narkisim" w:hAnsi="Narkisim" w:cs="Narkisim"/>
          <w:rtl/>
        </w:rPr>
        <w:t xml:space="preserve"> הק' דאי מאמר קונה מה"ת, א"כ חייב עליה כנערה המאורסה. ואמאי קרי ליה איסור קל</w:t>
      </w:r>
      <w:r w:rsidRPr="00AF3214">
        <w:rPr>
          <w:rStyle w:val="ac"/>
          <w:rFonts w:ascii="Narkisim" w:hAnsi="Narkisim" w:cs="Narkisim"/>
          <w:rtl/>
        </w:rPr>
        <w:footnoteReference w:id="6136"/>
      </w:r>
      <w:r w:rsidRPr="00AF3214">
        <w:rPr>
          <w:rFonts w:ascii="Narkisim" w:hAnsi="Narkisim" w:cs="Narkisim"/>
        </w:rPr>
        <w:t xml:space="preserve">. </w:t>
      </w:r>
      <w:r w:rsidRPr="00AF3214">
        <w:rPr>
          <w:rFonts w:ascii="Narkisim" w:hAnsi="Narkisim" w:cs="Narkisim"/>
          <w:rtl/>
        </w:rPr>
        <w:t>וכה"ק ה</w:t>
      </w:r>
      <w:r w:rsidRPr="00AF3214">
        <w:rPr>
          <w:rFonts w:ascii="Narkisim" w:hAnsi="Narkisim" w:cs="Narkisim"/>
          <w:b/>
          <w:bCs/>
          <w:rtl/>
        </w:rPr>
        <w:t>מהרש"א</w:t>
      </w:r>
      <w:r w:rsidRPr="00AF3214">
        <w:rPr>
          <w:rFonts w:ascii="Narkisim" w:hAnsi="Narkisim" w:cs="Narkisim"/>
          <w:rtl/>
        </w:rPr>
        <w:t xml:space="preserve"> דאמרי' דהוה 'איסור קל'</w:t>
      </w:r>
      <w:r w:rsidRPr="00AF3214">
        <w:rPr>
          <w:rStyle w:val="ac"/>
          <w:rFonts w:ascii="Narkisim" w:hAnsi="Narkisim" w:cs="Narkisim"/>
          <w:rtl/>
        </w:rPr>
        <w:footnoteReference w:id="6137"/>
      </w:r>
      <w:r w:rsidRPr="00AF3214">
        <w:rPr>
          <w:rFonts w:ascii="Narkisim" w:hAnsi="Narkisim" w:cs="Narkisim"/>
          <w:rtl/>
        </w:rPr>
        <w:t>. ועוד דאכתי איכא למפרך שכן נטמא הגוף [וכקו' דלעיל]</w:t>
      </w:r>
      <w:r w:rsidRPr="00AF3214">
        <w:rPr>
          <w:rFonts w:ascii="Narkisim" w:hAnsi="Narkisim" w:cs="Narkisim"/>
        </w:rPr>
        <w:t>.</w:t>
      </w:r>
    </w:p>
    <w:p w14:paraId="413AB3EE"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כת' דמבואר מאמר אינו קונה קנין גמור לענין דליהוי כאשת איש לגבי אחיו</w:t>
      </w:r>
      <w:r w:rsidRPr="00AF3214">
        <w:rPr>
          <w:rStyle w:val="ac"/>
          <w:rFonts w:ascii="Narkisim" w:hAnsi="Narkisim"/>
          <w:rtl/>
        </w:rPr>
        <w:footnoteReference w:id="6138"/>
      </w:r>
      <w:r w:rsidRPr="00AF3214">
        <w:rPr>
          <w:rFonts w:ascii="Narkisim" w:hAnsi="Narkisim"/>
        </w:rPr>
        <w:t xml:space="preserve">. </w:t>
      </w: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הביא דעד"ז מבואר (לעיל כט.) דלבי"ש לאו לכל מילי קנה המאמר מדאורייתא, אלא לענין לדחות לצרה בלבד</w:t>
      </w:r>
      <w:r w:rsidRPr="00AF3214">
        <w:rPr>
          <w:rStyle w:val="ac"/>
          <w:rFonts w:ascii="Narkisim" w:hAnsi="Narkisim"/>
          <w:rtl/>
        </w:rPr>
        <w:footnoteReference w:id="6139"/>
      </w:r>
      <w:r w:rsidRPr="00AF3214">
        <w:rPr>
          <w:rFonts w:ascii="Narkisim" w:hAnsi="Narkisim"/>
        </w:rPr>
        <w:t>.</w:t>
      </w:r>
    </w:p>
    <w:p w14:paraId="0415993E"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תוס' רא"ש</w:t>
      </w:r>
      <w:r w:rsidRPr="00AF3214">
        <w:rPr>
          <w:rFonts w:ascii="Narkisim" w:hAnsi="Narkisim" w:cs="Narkisim"/>
          <w:rtl/>
        </w:rPr>
        <w:t xml:space="preserve"> הק' דא"כ מאי קאמר אפי' עבד בה מאמר נמי. דכיון דמאמר קונה מה"ת, ע"כ לא תפיס מאמר אבתריה. אבל מדברי ה</w:t>
      </w:r>
      <w:r w:rsidRPr="00AF3214">
        <w:rPr>
          <w:rFonts w:ascii="Narkisim" w:hAnsi="Narkisim" w:cs="Narkisim"/>
          <w:b/>
          <w:bCs/>
          <w:rtl/>
        </w:rPr>
        <w:t>תוס'</w:t>
      </w:r>
      <w:r w:rsidRPr="00AF3214">
        <w:rPr>
          <w:rFonts w:ascii="Narkisim" w:hAnsi="Narkisim" w:cs="Narkisim"/>
          <w:rtl/>
        </w:rPr>
        <w:t xml:space="preserve"> מבואר דאף למ"ד דמאמר קונה מדאורייתא, אי בעי אחיו פסיל עליה. דאף למ"ד מאמר דאורייתא נח' ר"ג ורבנן בדיני מאמר אחר מאמר</w:t>
      </w:r>
      <w:r w:rsidRPr="00AF3214">
        <w:rPr>
          <w:rFonts w:ascii="Narkisim" w:hAnsi="Narkisim" w:cs="Narkisim"/>
        </w:rPr>
        <w:t>.</w:t>
      </w:r>
    </w:p>
    <w:p w14:paraId="4BA48297" w14:textId="77777777" w:rsidR="006C4368" w:rsidRPr="00AF3214" w:rsidRDefault="006C4368" w:rsidP="006C4368">
      <w:pPr>
        <w:pStyle w:val="a8"/>
        <w:bidi/>
        <w:rPr>
          <w:rFonts w:ascii="Narkisim" w:hAnsi="Narkisim"/>
        </w:rPr>
      </w:pPr>
      <w:r w:rsidRPr="00AF3214">
        <w:rPr>
          <w:rFonts w:ascii="Narkisim" w:hAnsi="Narkisim"/>
          <w:rtl/>
        </w:rPr>
        <w:t>והביאו דכן מבואר ב</w:t>
      </w:r>
      <w:r w:rsidRPr="00AF3214">
        <w:rPr>
          <w:rFonts w:ascii="Narkisim" w:hAnsi="Narkisim"/>
          <w:b/>
          <w:bCs/>
          <w:rtl/>
        </w:rPr>
        <w:t xml:space="preserve">משנה </w:t>
      </w:r>
      <w:r w:rsidRPr="00AF3214">
        <w:rPr>
          <w:rFonts w:ascii="Narkisim" w:hAnsi="Narkisim"/>
          <w:rtl/>
        </w:rPr>
        <w:t>(נדרים עד.) דבב' יבמין יש לאחרים חלק בה. ומבואר (לחד לישנא) דהוה ע"י מאמר כבי"ש. וה</w:t>
      </w:r>
      <w:r w:rsidRPr="00AF3214">
        <w:rPr>
          <w:rFonts w:ascii="Narkisim" w:hAnsi="Narkisim"/>
          <w:b/>
          <w:bCs/>
          <w:rtl/>
        </w:rPr>
        <w:t>ר"ן</w:t>
      </w:r>
      <w:r w:rsidRPr="00AF3214">
        <w:rPr>
          <w:rFonts w:ascii="Narkisim" w:hAnsi="Narkisim"/>
          <w:rtl/>
        </w:rPr>
        <w:t xml:space="preserve"> (שם עד:) כתב דקאי אף למ"ד קנין גמור. והגמ' (שם עד., הו' בתוס' בע"ב) פי' דמצי פסל ליה בגט</w:t>
      </w:r>
      <w:r w:rsidRPr="00AF3214">
        <w:rPr>
          <w:rStyle w:val="ac"/>
          <w:rFonts w:ascii="Narkisim" w:hAnsi="Narkisim"/>
          <w:rtl/>
        </w:rPr>
        <w:footnoteReference w:id="6140"/>
      </w:r>
      <w:r w:rsidRPr="00AF3214">
        <w:rPr>
          <w:rFonts w:ascii="Narkisim" w:hAnsi="Narkisim"/>
        </w:rPr>
        <w:t>.</w:t>
      </w:r>
    </w:p>
    <w:p w14:paraId="0132B500"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 xml:space="preserve">חזו"א </w:t>
      </w:r>
      <w:r w:rsidRPr="00AF3214">
        <w:rPr>
          <w:rFonts w:ascii="Narkisim" w:hAnsi="Narkisim"/>
          <w:rtl/>
        </w:rPr>
        <w:t>(קלב ה) תמה דאי מאמר קונה מדאורייתא, א"כ הוה אשת איש גמורה [ומדאורייתא יוצאת בגט, ובלא חליצה]. והק' א"כ אם אחיו בא עליה תאסר מדין סוטה</w:t>
      </w:r>
      <w:r w:rsidRPr="00AF3214">
        <w:rPr>
          <w:rStyle w:val="ac"/>
          <w:rFonts w:ascii="Narkisim" w:hAnsi="Narkisim"/>
          <w:rtl/>
        </w:rPr>
        <w:footnoteReference w:id="6141"/>
      </w:r>
      <w:r w:rsidRPr="00AF3214">
        <w:rPr>
          <w:rFonts w:ascii="Narkisim" w:hAnsi="Narkisim"/>
        </w:rPr>
        <w:t xml:space="preserve">. </w:t>
      </w:r>
      <w:r w:rsidRPr="00AF3214">
        <w:rPr>
          <w:rFonts w:ascii="Narkisim" w:hAnsi="Narkisim"/>
          <w:rtl/>
        </w:rPr>
        <w:t>[והחזו"א דחה די"ל כשבא עליה שוגג. ע"ד מש"כ תוס' (לעיל נא:) ביבם בן ט']</w:t>
      </w:r>
      <w:r w:rsidRPr="00AF3214">
        <w:rPr>
          <w:rFonts w:ascii="Narkisim" w:hAnsi="Narkisim"/>
        </w:rPr>
        <w:t>.</w:t>
      </w:r>
    </w:p>
    <w:p w14:paraId="115661D2"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חידש דאפ"ה היכא דבא עליה אחיו אינה נאסרת מדין סוטה. וביאר (כמ"ד לעיל כט.) דמאמר הוה קונה ומשייר, א"כ יש שיור בקנין כלפי האחים. ולא חשיבא אשת איש כלפי שאר האחים, דא"כ יפקע הזיקה משאר אחים</w:t>
      </w:r>
      <w:r w:rsidRPr="00AF3214">
        <w:rPr>
          <w:rStyle w:val="ac"/>
          <w:rFonts w:ascii="Narkisim" w:hAnsi="Narkisim"/>
          <w:rtl/>
        </w:rPr>
        <w:footnoteReference w:id="6142"/>
      </w:r>
      <w:r w:rsidRPr="00AF3214">
        <w:rPr>
          <w:rFonts w:ascii="Narkisim" w:hAnsi="Narkisim"/>
        </w:rPr>
        <w:t>.</w:t>
      </w:r>
    </w:p>
    <w:p w14:paraId="39F37E32" w14:textId="77777777" w:rsidR="006C4368" w:rsidRPr="00AF3214" w:rsidRDefault="006C4368" w:rsidP="006C4368">
      <w:pPr>
        <w:bidi/>
        <w:rPr>
          <w:rFonts w:ascii="Narkisim" w:hAnsi="Narkisim" w:cs="Narkisim"/>
        </w:rPr>
      </w:pPr>
      <w:r w:rsidRPr="00AF3214">
        <w:rPr>
          <w:rFonts w:ascii="Narkisim" w:hAnsi="Narkisim" w:cs="Narkisim"/>
          <w:u w:val="single"/>
          <w:rtl/>
        </w:rPr>
        <w:t>הא ל"ק כר"ג דאמר אין מאמר אחר מאמר</w:t>
      </w:r>
      <w:r w:rsidRPr="00AF3214">
        <w:rPr>
          <w:rFonts w:ascii="Narkisim" w:hAnsi="Narkisim" w:cs="Narkisim"/>
          <w:rtl/>
        </w:rPr>
        <w:t>. ה</w:t>
      </w:r>
      <w:r w:rsidRPr="00AF3214">
        <w:rPr>
          <w:rFonts w:ascii="Narkisim" w:hAnsi="Narkisim" w:cs="Narkisim"/>
          <w:b/>
          <w:bCs/>
          <w:rtl/>
        </w:rPr>
        <w:t>קובה"ע</w:t>
      </w:r>
      <w:r w:rsidRPr="00AF3214">
        <w:rPr>
          <w:rFonts w:ascii="Narkisim" w:hAnsi="Narkisim" w:cs="Narkisim"/>
          <w:rtl/>
        </w:rPr>
        <w:t xml:space="preserve"> (סו א בסוגריים) תמה דלדעת תוס' הכא קאי למ"ד מאמר קונה מדאורייתא. ומנ"ל דר"ג סבר דאף למ"ד מאמר דאורייתא דיש מאמר אחר מאמר</w:t>
      </w:r>
      <w:r w:rsidRPr="00AF3214">
        <w:rPr>
          <w:rStyle w:val="ac"/>
          <w:rFonts w:ascii="Narkisim" w:hAnsi="Narkisim" w:cs="Narkisim"/>
          <w:rtl/>
        </w:rPr>
        <w:footnoteReference w:id="6143"/>
      </w:r>
      <w:r w:rsidRPr="00AF3214">
        <w:rPr>
          <w:rFonts w:ascii="Narkisim" w:hAnsi="Narkisim" w:cs="Narkisim"/>
        </w:rPr>
        <w:t xml:space="preserve">. </w:t>
      </w:r>
      <w:r w:rsidRPr="00AF3214">
        <w:rPr>
          <w:rFonts w:ascii="Narkisim" w:hAnsi="Narkisim" w:cs="Narkisim"/>
          <w:rtl/>
        </w:rPr>
        <w:t xml:space="preserve">וכת' דע"כ אין לחלק בזה, דכיון דר"ג סובר בדרבנן דיש מאמר אחר </w:t>
      </w:r>
      <w:r w:rsidRPr="00AF3214">
        <w:rPr>
          <w:rFonts w:ascii="Narkisim" w:hAnsi="Narkisim" w:cs="Narkisim"/>
          <w:rtl/>
        </w:rPr>
        <w:lastRenderedPageBreak/>
        <w:t>מאמר, ה"ה דסובר כן למ"ד מאמר דאורייתא</w:t>
      </w:r>
      <w:r w:rsidRPr="00AF3214">
        <w:rPr>
          <w:rFonts w:ascii="Narkisim" w:hAnsi="Narkisim" w:cs="Narkisim"/>
        </w:rPr>
        <w:t>.</w:t>
      </w:r>
    </w:p>
    <w:p w14:paraId="4D3D1F64"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(שם) כת' דצ"ל דמשמע ליה דנח' אף למ"ד מאמר דאורייתא</w:t>
      </w:r>
      <w:r w:rsidRPr="00AF3214">
        <w:rPr>
          <w:rStyle w:val="ac"/>
          <w:rFonts w:ascii="Narkisim" w:hAnsi="Narkisim"/>
          <w:rtl/>
        </w:rPr>
        <w:footnoteReference w:id="6144"/>
      </w:r>
      <w:r w:rsidRPr="00AF3214">
        <w:rPr>
          <w:rFonts w:ascii="Narkisim" w:hAnsi="Narkisim"/>
        </w:rPr>
        <w:t xml:space="preserve">. </w:t>
      </w:r>
      <w:r w:rsidRPr="00AF3214">
        <w:rPr>
          <w:rFonts w:ascii="Narkisim" w:hAnsi="Narkisim"/>
          <w:rtl/>
        </w:rPr>
        <w:t>א"נ כוונת הגמ' דהך ברייתא ס"ל דבמאמר דאורייתא אין מאמר אחר מאמר, דומיא דר"ג במאמר דרבנן</w:t>
      </w:r>
      <w:r w:rsidRPr="00AF3214">
        <w:rPr>
          <w:rFonts w:ascii="Narkisim" w:hAnsi="Narkisim"/>
        </w:rPr>
        <w:t>.</w:t>
      </w:r>
    </w:p>
    <w:p w14:paraId="3CEA0B9B" w14:textId="77777777" w:rsidR="006C4368" w:rsidRPr="00AF3214" w:rsidRDefault="006C4368" w:rsidP="006C4368">
      <w:pPr>
        <w:bidi/>
        <w:rPr>
          <w:rFonts w:ascii="Narkisim" w:hAnsi="Narkisim" w:cs="Narkisim"/>
        </w:rPr>
      </w:pPr>
      <w:r w:rsidRPr="00AF3214">
        <w:rPr>
          <w:rFonts w:ascii="Narkisim" w:hAnsi="Narkisim" w:cs="Narkisim"/>
          <w:u w:val="single"/>
          <w:rtl/>
        </w:rPr>
        <w:t>אלא אפי' נתן לה גט, ואפי' חלץ לה וכו'</w:t>
      </w:r>
      <w:r w:rsidRPr="00AF3214">
        <w:rPr>
          <w:rFonts w:ascii="Narkisim" w:hAnsi="Narkisim" w:cs="Narkisim"/>
          <w:rtl/>
        </w:rPr>
        <w:t>. בפשוטו מבואר דמהני גט מדאורייתא ביבמה. ו</w:t>
      </w:r>
      <w:r w:rsidRPr="00AF3214">
        <w:rPr>
          <w:rFonts w:ascii="Narkisim" w:hAnsi="Narkisim" w:cs="Narkisim"/>
          <w:b/>
          <w:bCs/>
          <w:rtl/>
        </w:rPr>
        <w:t>ר' יצחק ב"ר ברוך</w:t>
      </w:r>
      <w:r w:rsidRPr="00AF3214">
        <w:rPr>
          <w:rFonts w:ascii="Narkisim" w:hAnsi="Narkisim" w:cs="Narkisim"/>
          <w:rtl/>
        </w:rPr>
        <w:t xml:space="preserve"> ב</w:t>
      </w:r>
      <w:r w:rsidRPr="00AF3214">
        <w:rPr>
          <w:rFonts w:ascii="Narkisim" w:hAnsi="Narkisim" w:cs="Narkisim"/>
          <w:b/>
          <w:bCs/>
          <w:rtl/>
        </w:rPr>
        <w:t>תוס</w:t>
      </w:r>
      <w:r w:rsidRPr="00AF3214">
        <w:rPr>
          <w:rFonts w:ascii="Narkisim" w:hAnsi="Narkisim" w:cs="Narkisim"/>
          <w:rtl/>
        </w:rPr>
        <w:t>' (לעיל נא: ד"ה ביאה) כת' דכ"ד ר' נחמיה דמהני גט מדאורייתא</w:t>
      </w:r>
      <w:r w:rsidRPr="00AF3214">
        <w:rPr>
          <w:rStyle w:val="ac"/>
          <w:rFonts w:ascii="Narkisim" w:hAnsi="Narkisim" w:cs="Narkisim"/>
          <w:rtl/>
        </w:rPr>
        <w:footnoteReference w:id="6145"/>
      </w:r>
      <w:r w:rsidRPr="00AF3214">
        <w:rPr>
          <w:rFonts w:ascii="Narkisim" w:hAnsi="Narkisim" w:cs="Narkisim"/>
        </w:rPr>
        <w:t xml:space="preserve">. </w:t>
      </w:r>
      <w:r w:rsidRPr="00AF3214">
        <w:rPr>
          <w:rFonts w:ascii="Narkisim" w:hAnsi="Narkisim" w:cs="Narkisim"/>
          <w:rtl/>
        </w:rPr>
        <w:t xml:space="preserve">אבל </w:t>
      </w:r>
      <w:r w:rsidRPr="00AF3214">
        <w:rPr>
          <w:rFonts w:ascii="Narkisim" w:hAnsi="Narkisim" w:cs="Narkisim"/>
          <w:b/>
          <w:bCs/>
          <w:rtl/>
        </w:rPr>
        <w:t>תוס'</w:t>
      </w:r>
      <w:r w:rsidRPr="00AF3214">
        <w:rPr>
          <w:rFonts w:ascii="Narkisim" w:hAnsi="Narkisim" w:cs="Narkisim"/>
          <w:rtl/>
        </w:rPr>
        <w:t xml:space="preserve"> (שם) דחו דתימה גדולה לומר כן, דלא משתמט תנא דגט פוטר ביבמה מדאורייתא</w:t>
      </w:r>
      <w:r w:rsidRPr="00AF3214">
        <w:rPr>
          <w:rStyle w:val="ac"/>
          <w:rFonts w:ascii="Narkisim" w:hAnsi="Narkisim" w:cs="Narkisim"/>
          <w:rtl/>
        </w:rPr>
        <w:footnoteReference w:id="6146"/>
      </w:r>
      <w:r w:rsidRPr="00AF3214">
        <w:rPr>
          <w:rFonts w:ascii="Narkisim" w:hAnsi="Narkisim" w:cs="Narkisim"/>
        </w:rPr>
        <w:t xml:space="preserve">. </w:t>
      </w:r>
      <w:r w:rsidRPr="00AF3214">
        <w:rPr>
          <w:rFonts w:ascii="Narkisim" w:hAnsi="Narkisim" w:cs="Narkisim"/>
          <w:rtl/>
        </w:rPr>
        <w:t>והחזו"א כת' דנקט גט אגב חליצה. דגט ל"מ מדאורייתא</w:t>
      </w:r>
      <w:r w:rsidRPr="00AF3214">
        <w:rPr>
          <w:rFonts w:ascii="Narkisim" w:hAnsi="Narkisim" w:cs="Narkisim"/>
        </w:rPr>
        <w:t>.</w:t>
      </w:r>
    </w:p>
    <w:p w14:paraId="79CC0FB3" w14:textId="77777777" w:rsidR="006C4368" w:rsidRPr="00AF3214" w:rsidRDefault="006C4368" w:rsidP="006C4368">
      <w:pPr>
        <w:bidi/>
        <w:rPr>
          <w:rFonts w:ascii="Narkisim" w:hAnsi="Narkisim" w:cs="Narkisim"/>
        </w:rPr>
      </w:pPr>
      <w:r w:rsidRPr="00AF3214">
        <w:rPr>
          <w:rFonts w:ascii="Narkisim" w:hAnsi="Narkisim" w:cs="Narkisim"/>
          <w:u w:val="single"/>
          <w:rtl/>
        </w:rPr>
        <w:t>סוטה וכו' לבעל וכו' בא עליה בעל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פי' דכיון דהבעל בא עליה, שוב אין המים בודקין אותה. [פ</w:t>
      </w:r>
      <w:r w:rsidRPr="00AF3214">
        <w:rPr>
          <w:rFonts w:ascii="Narkisim" w:hAnsi="Narkisim" w:cs="Narkisim"/>
          <w:b/>
          <w:bCs/>
          <w:rtl/>
        </w:rPr>
        <w:t>רש"י</w:t>
      </w:r>
      <w:r w:rsidRPr="00AF3214">
        <w:rPr>
          <w:rFonts w:ascii="Narkisim" w:hAnsi="Narkisim" w:cs="Narkisim"/>
          <w:rtl/>
        </w:rPr>
        <w:t xml:space="preserve"> (סוטה ו.) דשוב המים אין בודקין אותה, שהרי אינו מנוקה מעוון. ע"ע לעיל נח.]. ועי"ז נאסר הבועל, שאסר אותה על הבעל. ויל"ד האיך ילפי' גדר נאסר האוסר, דבפשוטו הוה פסול בעלמא בהשקאה</w:t>
      </w:r>
      <w:r w:rsidRPr="00AF3214">
        <w:rPr>
          <w:rFonts w:ascii="Narkisim" w:hAnsi="Narkisim" w:cs="Narkisim"/>
        </w:rPr>
        <w:t>.</w:t>
      </w:r>
    </w:p>
    <w:p w14:paraId="2483306D" w14:textId="77777777" w:rsidR="006C4368" w:rsidRPr="00AF3214" w:rsidRDefault="006C4368" w:rsidP="006C4368">
      <w:pPr>
        <w:bidi/>
        <w:rPr>
          <w:rFonts w:ascii="Narkisim" w:hAnsi="Narkisim" w:cs="Narkisim"/>
        </w:rPr>
      </w:pPr>
      <w:r w:rsidRPr="00AF3214">
        <w:rPr>
          <w:rFonts w:ascii="Narkisim" w:hAnsi="Narkisim" w:cs="Narkisim"/>
          <w:u w:val="single"/>
          <w:rtl/>
        </w:rPr>
        <w:t>תוד"ה אילימא</w:t>
      </w:r>
      <w:r w:rsidRPr="00AF3214">
        <w:rPr>
          <w:rFonts w:ascii="Narkisim" w:hAnsi="Narkisim" w:cs="Narkisim"/>
          <w:rtl/>
        </w:rPr>
        <w:t>. או אמר איני משקה שוב א"י להשקותה ואסורה לבועל לעולם וכו'. וכ"פ ה</w:t>
      </w:r>
      <w:r w:rsidRPr="00AF3214">
        <w:rPr>
          <w:rFonts w:ascii="Narkisim" w:hAnsi="Narkisim" w:cs="Narkisim"/>
          <w:b/>
          <w:bCs/>
          <w:rtl/>
        </w:rPr>
        <w:t>רמב"ם</w:t>
      </w:r>
      <w:r w:rsidRPr="00AF3214">
        <w:rPr>
          <w:rFonts w:ascii="Narkisim" w:hAnsi="Narkisim" w:cs="Narkisim"/>
          <w:rtl/>
        </w:rPr>
        <w:t xml:space="preserve"> (סוטה ב א) דאם בעלה אינו רוצה להשקות אסורה עליו לעולם ונוטלת כתובתה. וכן ה</w:t>
      </w:r>
      <w:r w:rsidRPr="00AF3214">
        <w:rPr>
          <w:rFonts w:ascii="Narkisim" w:hAnsi="Narkisim" w:cs="Narkisim"/>
          <w:b/>
          <w:bCs/>
          <w:rtl/>
        </w:rPr>
        <w:t>רמב"ם</w:t>
      </w:r>
      <w:r w:rsidRPr="00AF3214">
        <w:rPr>
          <w:rFonts w:ascii="Narkisim" w:hAnsi="Narkisim" w:cs="Narkisim"/>
          <w:rtl/>
        </w:rPr>
        <w:t xml:space="preserve"> (שם יב) כת' דאסורה לבועל. וה</w:t>
      </w:r>
      <w:r w:rsidRPr="00AF3214">
        <w:rPr>
          <w:rFonts w:ascii="Narkisim" w:hAnsi="Narkisim" w:cs="Narkisim"/>
          <w:b/>
          <w:bCs/>
          <w:rtl/>
        </w:rPr>
        <w:t>גר"א</w:t>
      </w:r>
      <w:r w:rsidRPr="00AF3214">
        <w:rPr>
          <w:rFonts w:ascii="Narkisim" w:hAnsi="Narkisim" w:cs="Narkisim"/>
          <w:rtl/>
        </w:rPr>
        <w:t xml:space="preserve"> (יא ב) ציין המקור מסוגיין</w:t>
      </w:r>
      <w:r w:rsidRPr="00AF3214">
        <w:rPr>
          <w:rFonts w:ascii="Narkisim" w:hAnsi="Narkisim" w:cs="Narkisim"/>
        </w:rPr>
        <w:t>.</w:t>
      </w:r>
    </w:p>
    <w:p w14:paraId="57E59CBD"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חלק"מ</w:t>
      </w:r>
      <w:r w:rsidRPr="00AF3214">
        <w:rPr>
          <w:rFonts w:ascii="Narkisim" w:hAnsi="Narkisim"/>
          <w:rtl/>
        </w:rPr>
        <w:t xml:space="preserve"> (יא א) הק' מנ"ל הא דיכול לאוסרה לבועל לעולם, מאחר שהם טוענים ברי, והיא רוצה לשתות. שהרי יש לה כתובה. וה</w:t>
      </w:r>
      <w:r w:rsidRPr="00AF3214">
        <w:rPr>
          <w:rFonts w:ascii="Narkisim" w:hAnsi="Narkisim"/>
          <w:b/>
          <w:bCs/>
          <w:rtl/>
        </w:rPr>
        <w:t>משנ"ל</w:t>
      </w:r>
      <w:r w:rsidRPr="00AF3214">
        <w:rPr>
          <w:rFonts w:ascii="Narkisim" w:hAnsi="Narkisim"/>
          <w:rtl/>
        </w:rPr>
        <w:t xml:space="preserve"> (סוטה ב א בסופו) תמה דנאסרה ע"י קינוי וסתירה, ומה איכפ"ל שצווחת</w:t>
      </w:r>
      <w:r w:rsidRPr="00AF3214">
        <w:rPr>
          <w:rStyle w:val="ac"/>
          <w:rFonts w:ascii="Narkisim" w:hAnsi="Narkisim"/>
          <w:rtl/>
        </w:rPr>
        <w:footnoteReference w:id="6147"/>
      </w:r>
      <w:r w:rsidRPr="00AF3214">
        <w:rPr>
          <w:rFonts w:ascii="Narkisim" w:hAnsi="Narkisim"/>
        </w:rPr>
        <w:t xml:space="preserve">. </w:t>
      </w:r>
      <w:r w:rsidRPr="00AF3214">
        <w:rPr>
          <w:rFonts w:ascii="Narkisim" w:hAnsi="Narkisim"/>
          <w:rtl/>
        </w:rPr>
        <w:t>וב</w:t>
      </w:r>
      <w:r w:rsidRPr="00AF3214">
        <w:rPr>
          <w:rFonts w:ascii="Narkisim" w:hAnsi="Narkisim"/>
          <w:b/>
          <w:bCs/>
          <w:rtl/>
        </w:rPr>
        <w:t>חי' ר' שמואל</w:t>
      </w:r>
      <w:r w:rsidRPr="00AF3214">
        <w:rPr>
          <w:rFonts w:ascii="Narkisim" w:hAnsi="Narkisim"/>
          <w:rtl/>
        </w:rPr>
        <w:t xml:space="preserve"> (ז) ביאר דכוונת החלק"מ דהכא הבועל והאשה טוענים ברי שיודעים האמת שלא נאסרה. והא דספק סוטה אסורה לבועל הוה משום שאסרה על הבעל, ואילו הכא בידו להתירה</w:t>
      </w:r>
      <w:r w:rsidRPr="00AF3214">
        <w:rPr>
          <w:rFonts w:ascii="Narkisim" w:hAnsi="Narkisim"/>
        </w:rPr>
        <w:t>.</w:t>
      </w:r>
    </w:p>
    <w:p w14:paraId="1EBAE204" w14:textId="77777777" w:rsidR="006C4368" w:rsidRPr="00AF3214" w:rsidRDefault="006C4368" w:rsidP="006C4368">
      <w:pPr>
        <w:bidi/>
        <w:rPr>
          <w:rFonts w:ascii="Narkisim" w:hAnsi="Narkisim" w:cs="Narkisim"/>
        </w:rPr>
      </w:pPr>
      <w:r w:rsidRPr="00AF3214">
        <w:rPr>
          <w:rFonts w:ascii="Narkisim" w:hAnsi="Narkisim" w:cs="Narkisim"/>
          <w:u w:val="single"/>
          <w:rtl/>
        </w:rPr>
        <w:t>בא"ד ותימה לר"י דמנ"ל וכו' דשוב א"י להשקותה</w:t>
      </w:r>
      <w:r w:rsidRPr="00AF3214">
        <w:rPr>
          <w:rFonts w:ascii="Narkisim" w:hAnsi="Narkisim" w:cs="Narkisim"/>
          <w:rtl/>
        </w:rPr>
        <w:t>. וכן ה</w:t>
      </w:r>
      <w:r w:rsidRPr="00AF3214">
        <w:rPr>
          <w:rFonts w:ascii="Narkisim" w:hAnsi="Narkisim" w:cs="Narkisim"/>
          <w:b/>
          <w:bCs/>
          <w:rtl/>
        </w:rPr>
        <w:t>משנ"ל</w:t>
      </w:r>
      <w:r w:rsidRPr="00AF3214">
        <w:rPr>
          <w:rFonts w:ascii="Narkisim" w:hAnsi="Narkisim" w:cs="Narkisim"/>
          <w:rtl/>
        </w:rPr>
        <w:t xml:space="preserve"> (שם) הביא מסוגיין דלאחר שאמר שאינו רוצה להשקותה, שוב אינו חוזר בו. והביא את דברי התוס'. אבל ה</w:t>
      </w:r>
      <w:r w:rsidRPr="00AF3214">
        <w:rPr>
          <w:rFonts w:ascii="Narkisim" w:hAnsi="Narkisim" w:cs="Narkisim"/>
          <w:b/>
          <w:bCs/>
          <w:rtl/>
        </w:rPr>
        <w:t>אחרונים</w:t>
      </w:r>
      <w:r w:rsidRPr="00AF3214">
        <w:rPr>
          <w:rFonts w:ascii="Narkisim" w:hAnsi="Narkisim" w:cs="Narkisim"/>
          <w:rtl/>
        </w:rPr>
        <w:t xml:space="preserve"> הביאו דה</w:t>
      </w:r>
      <w:r w:rsidRPr="00AF3214">
        <w:rPr>
          <w:rFonts w:ascii="Narkisim" w:hAnsi="Narkisim" w:cs="Narkisim"/>
          <w:b/>
          <w:bCs/>
          <w:rtl/>
        </w:rPr>
        <w:t>בי"ש</w:t>
      </w:r>
      <w:r w:rsidRPr="00AF3214">
        <w:rPr>
          <w:rFonts w:ascii="Narkisim" w:hAnsi="Narkisim" w:cs="Narkisim"/>
          <w:rtl/>
        </w:rPr>
        <w:t xml:space="preserve"> (יא ב) נקט דיכול לחזור בו ולהשקות</w:t>
      </w:r>
      <w:r w:rsidRPr="00AF3214">
        <w:rPr>
          <w:rStyle w:val="ac"/>
          <w:rFonts w:ascii="Narkisim" w:hAnsi="Narkisim" w:cs="Narkisim"/>
          <w:rtl/>
        </w:rPr>
        <w:footnoteReference w:id="6148"/>
      </w:r>
      <w:r w:rsidRPr="00AF3214">
        <w:rPr>
          <w:rFonts w:ascii="Narkisim" w:hAnsi="Narkisim" w:cs="Narkisim"/>
        </w:rPr>
        <w:t>.</w:t>
      </w:r>
    </w:p>
    <w:p w14:paraId="027D87C0" w14:textId="77777777" w:rsidR="006C4368" w:rsidRPr="00AF3214" w:rsidRDefault="006C4368" w:rsidP="006C4368">
      <w:pPr>
        <w:pStyle w:val="aa"/>
        <w:bidi/>
        <w:rPr>
          <w:rFonts w:ascii="Narkisim" w:hAnsi="Narkisim"/>
        </w:rPr>
      </w:pPr>
      <w:r w:rsidRPr="00AF3214">
        <w:rPr>
          <w:rFonts w:ascii="Narkisim" w:hAnsi="Narkisim"/>
          <w:u w:val="single"/>
          <w:rtl/>
        </w:rPr>
        <w:t>בא"ד ואמר ר"י שיש להוכיח קצת וכו' דמנחותיהן נשרפות, שאין ראויות עוד לשתות</w:t>
      </w:r>
      <w:r w:rsidRPr="00AF3214">
        <w:rPr>
          <w:rFonts w:ascii="Narkisim" w:hAnsi="Narkisim"/>
          <w:rtl/>
        </w:rPr>
        <w:t>. ה</w:t>
      </w:r>
      <w:r w:rsidRPr="00AF3214">
        <w:rPr>
          <w:rFonts w:ascii="Narkisim" w:hAnsi="Narkisim"/>
          <w:b/>
          <w:bCs/>
          <w:rtl/>
        </w:rPr>
        <w:t>אבנ"מ</w:t>
      </w:r>
      <w:r w:rsidRPr="00AF3214">
        <w:rPr>
          <w:rFonts w:ascii="Narkisim" w:hAnsi="Narkisim"/>
          <w:rtl/>
        </w:rPr>
        <w:t xml:space="preserve"> (יא א) דחה די"ל דהמנחה נשרפת משום 'דיחוי'. ואף אילו הבעל יוכל לחזור בו, מ"מ בינתיים הקרבן דחוי</w:t>
      </w:r>
      <w:r w:rsidRPr="00AF3214">
        <w:rPr>
          <w:rStyle w:val="ac"/>
          <w:rFonts w:ascii="Narkisim" w:hAnsi="Narkisim"/>
          <w:rtl/>
        </w:rPr>
        <w:footnoteReference w:id="6149"/>
      </w:r>
      <w:r w:rsidRPr="00AF3214">
        <w:rPr>
          <w:rFonts w:ascii="Narkisim" w:hAnsi="Narkisim"/>
        </w:rPr>
        <w:t xml:space="preserve">. </w:t>
      </w:r>
      <w:r w:rsidRPr="00AF3214">
        <w:rPr>
          <w:rFonts w:ascii="Narkisim" w:hAnsi="Narkisim"/>
          <w:rtl/>
        </w:rPr>
        <w:t>ואכמ"ל</w:t>
      </w:r>
      <w:r w:rsidRPr="00AF3214">
        <w:rPr>
          <w:rFonts w:ascii="Narkisim" w:hAnsi="Narkisim"/>
        </w:rPr>
        <w:t>.</w:t>
      </w:r>
    </w:p>
    <w:p w14:paraId="24CD917D" w14:textId="77777777" w:rsidR="006C4368" w:rsidRPr="00AF3214" w:rsidRDefault="006C4368" w:rsidP="006C4368">
      <w:pPr>
        <w:bidi/>
        <w:rPr>
          <w:rFonts w:ascii="Narkisim" w:hAnsi="Narkisim" w:cs="Narkisim"/>
        </w:rPr>
      </w:pPr>
      <w:r w:rsidRPr="00AF3214">
        <w:rPr>
          <w:rFonts w:ascii="Narkisim" w:hAnsi="Narkisim" w:cs="Narkisim"/>
          <w:u w:val="single"/>
          <w:rtl/>
        </w:rPr>
        <w:t>אלא סוטה לבועל וכו'</w:t>
      </w:r>
      <w:r w:rsidRPr="00AF3214">
        <w:rPr>
          <w:rFonts w:ascii="Narkisim" w:hAnsi="Narkisim" w:cs="Narkisim"/>
          <w:rtl/>
        </w:rPr>
        <w:t>. [וכ"ה מסקנת הגמ']. פ</w:t>
      </w:r>
      <w:r w:rsidRPr="00AF3214">
        <w:rPr>
          <w:rFonts w:ascii="Narkisim" w:hAnsi="Narkisim" w:cs="Narkisim"/>
          <w:b/>
          <w:bCs/>
          <w:rtl/>
        </w:rPr>
        <w:t>רש"י</w:t>
      </w:r>
      <w:r w:rsidRPr="00AF3214">
        <w:rPr>
          <w:rFonts w:ascii="Narkisim" w:hAnsi="Narkisim" w:cs="Narkisim"/>
          <w:rtl/>
        </w:rPr>
        <w:t xml:space="preserve"> שנבעלה לבועל, נאסר בעלה האוסרה עליו. מבואר ברש"י דאישות הבעל 'אסור', וע"י שהבועל בא עליה נאסר האוסר</w:t>
      </w:r>
      <w:r w:rsidRPr="00AF3214">
        <w:rPr>
          <w:rStyle w:val="ac"/>
          <w:rFonts w:ascii="Narkisim" w:hAnsi="Narkisim" w:cs="Narkisim"/>
          <w:rtl/>
        </w:rPr>
        <w:footnoteReference w:id="6150"/>
      </w:r>
      <w:r w:rsidRPr="00AF3214">
        <w:rPr>
          <w:rFonts w:ascii="Narkisim" w:hAnsi="Narkisim" w:cs="Narkisim"/>
        </w:rPr>
        <w:t>.</w:t>
      </w:r>
    </w:p>
    <w:p w14:paraId="7D533FDA"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קרבן נתנאל</w:t>
      </w:r>
      <w:r w:rsidRPr="00AF3214">
        <w:rPr>
          <w:rFonts w:ascii="Narkisim" w:hAnsi="Narkisim"/>
          <w:rtl/>
        </w:rPr>
        <w:t xml:space="preserve"> (כתובות א ד אות ח) הק' עכו"ם הבא על אשת איש אמאי נאסרת על בעלה</w:t>
      </w:r>
      <w:r w:rsidRPr="00AF3214">
        <w:rPr>
          <w:rStyle w:val="ac"/>
          <w:rFonts w:ascii="Narkisim" w:hAnsi="Narkisim"/>
          <w:rtl/>
        </w:rPr>
        <w:footnoteReference w:id="6151"/>
      </w:r>
      <w:r w:rsidRPr="00AF3214">
        <w:rPr>
          <w:rFonts w:ascii="Narkisim" w:hAnsi="Narkisim"/>
        </w:rPr>
        <w:t xml:space="preserve">. </w:t>
      </w:r>
      <w:r w:rsidRPr="00AF3214">
        <w:rPr>
          <w:rFonts w:ascii="Narkisim" w:hAnsi="Narkisim"/>
          <w:rtl/>
        </w:rPr>
        <w:t>הרי הבעל אינו אוסר על זה [דבלאו הכי היתה אסורה בעכו"ם</w:t>
      </w:r>
      <w:r w:rsidRPr="00AF3214">
        <w:rPr>
          <w:rStyle w:val="ac"/>
          <w:rFonts w:ascii="Narkisim" w:hAnsi="Narkisim"/>
          <w:rtl/>
        </w:rPr>
        <w:footnoteReference w:id="6152"/>
      </w:r>
      <w:r w:rsidRPr="00AF3214">
        <w:rPr>
          <w:rFonts w:ascii="Narkisim" w:hAnsi="Narkisim"/>
          <w:rtl/>
        </w:rPr>
        <w:t xml:space="preserve">], ובסוגיין מבואר דהטעם דנטמאת לבעל כיון שהבעל הוא </w:t>
      </w:r>
      <w:r w:rsidRPr="00AF3214">
        <w:rPr>
          <w:rFonts w:ascii="Narkisim" w:hAnsi="Narkisim"/>
          <w:rtl/>
        </w:rPr>
        <w:lastRenderedPageBreak/>
        <w:t>האוסר על הבועל</w:t>
      </w:r>
      <w:r w:rsidRPr="00AF3214">
        <w:rPr>
          <w:rStyle w:val="ac"/>
          <w:rFonts w:ascii="Narkisim" w:hAnsi="Narkisim"/>
          <w:rtl/>
        </w:rPr>
        <w:footnoteReference w:id="6153"/>
      </w:r>
      <w:r w:rsidRPr="00AF3214">
        <w:rPr>
          <w:rFonts w:ascii="Narkisim" w:hAnsi="Narkisim"/>
        </w:rPr>
        <w:t xml:space="preserve">. </w:t>
      </w:r>
      <w:r w:rsidRPr="00AF3214">
        <w:rPr>
          <w:rFonts w:ascii="Narkisim" w:hAnsi="Narkisim"/>
          <w:rtl/>
        </w:rPr>
        <w:t>ותי' דהטעם משום שהבעל אוסר על הנכרי לכשיתגייר</w:t>
      </w:r>
      <w:r w:rsidRPr="00AF3214">
        <w:rPr>
          <w:rFonts w:ascii="Narkisim" w:hAnsi="Narkisim"/>
        </w:rPr>
        <w:t>.</w:t>
      </w:r>
    </w:p>
    <w:p w14:paraId="7DC57E0F"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(קלב ה) הביא מסוגיין דטעם איסור סוטה משום שריחקה התורה שתהא האשה משמשת אישות לזה ולזולתו</w:t>
      </w:r>
      <w:r w:rsidRPr="00AF3214">
        <w:rPr>
          <w:rStyle w:val="ac"/>
          <w:rFonts w:ascii="Narkisim" w:hAnsi="Narkisim"/>
          <w:rtl/>
        </w:rPr>
        <w:footnoteReference w:id="6154"/>
      </w:r>
      <w:r w:rsidRPr="00AF3214">
        <w:rPr>
          <w:rFonts w:ascii="Narkisim" w:hAnsi="Narkisim"/>
        </w:rPr>
        <w:t xml:space="preserve">. </w:t>
      </w:r>
      <w:r w:rsidRPr="00AF3214">
        <w:rPr>
          <w:rFonts w:ascii="Narkisim" w:hAnsi="Narkisim"/>
          <w:rtl/>
        </w:rPr>
        <w:t>והלכך כשעברה וזינתה, וחוזרת לבעלה מינכר טפי מעשה הזימה והתחלפות האישים באשה זו. ומש"ה אסרה תורה. ועד"ז ילפי' איסור בבא על חמותו ואחות אשתו, לשוב אל אשתו. דמינכר השתמשות האיש בב' אחיות או באשה ובתה</w:t>
      </w:r>
      <w:r w:rsidRPr="00AF3214">
        <w:rPr>
          <w:rFonts w:ascii="Narkisim" w:hAnsi="Narkisim"/>
        </w:rPr>
        <w:t>.</w:t>
      </w:r>
    </w:p>
    <w:p w14:paraId="1C820CFF"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הביא דלפ"ז הא דסוטה נאסרת על בעלה אינו כמו הפשטות, דהוה משום קנס, או משום דנטמאה תחת בעלה אין כבוד בעלה בה. דא"כ ל"ש למילף לאחות אשתו</w:t>
      </w:r>
      <w:r w:rsidRPr="00AF3214">
        <w:rPr>
          <w:rStyle w:val="ac"/>
          <w:rFonts w:ascii="Narkisim" w:hAnsi="Narkisim"/>
          <w:rtl/>
        </w:rPr>
        <w:footnoteReference w:id="6155"/>
      </w:r>
      <w:r w:rsidRPr="00AF3214">
        <w:rPr>
          <w:rFonts w:ascii="Narkisim" w:hAnsi="Narkisim"/>
        </w:rPr>
        <w:t xml:space="preserve">. </w:t>
      </w:r>
      <w:r w:rsidRPr="00AF3214">
        <w:rPr>
          <w:rFonts w:ascii="Narkisim" w:hAnsi="Narkisim"/>
          <w:rtl/>
        </w:rPr>
        <w:t>וה</w:t>
      </w:r>
      <w:r w:rsidRPr="00AF3214">
        <w:rPr>
          <w:rFonts w:ascii="Narkisim" w:hAnsi="Narkisim"/>
          <w:b/>
          <w:bCs/>
          <w:rtl/>
        </w:rPr>
        <w:t>חזו"א</w:t>
      </w:r>
      <w:r w:rsidRPr="00AF3214">
        <w:rPr>
          <w:rFonts w:ascii="Narkisim" w:hAnsi="Narkisim"/>
          <w:rtl/>
        </w:rPr>
        <w:t xml:space="preserve"> (בסוגריים) הק' לדעת ה</w:t>
      </w:r>
      <w:r w:rsidRPr="00AF3214">
        <w:rPr>
          <w:rFonts w:ascii="Narkisim" w:hAnsi="Narkisim"/>
          <w:b/>
          <w:bCs/>
          <w:rtl/>
        </w:rPr>
        <w:t>מהרי"ק</w:t>
      </w:r>
      <w:r w:rsidRPr="00AF3214">
        <w:rPr>
          <w:rFonts w:ascii="Narkisim" w:hAnsi="Narkisim"/>
          <w:rtl/>
        </w:rPr>
        <w:t xml:space="preserve"> (קסז הו' ברמ"א קעח ג) דזינתה כשאומרת מותר אסורה לבעלה, דמ"מ יש כאן בגידה בבעלה</w:t>
      </w:r>
      <w:r w:rsidRPr="00AF3214">
        <w:rPr>
          <w:rStyle w:val="ac"/>
          <w:rFonts w:ascii="Narkisim" w:hAnsi="Narkisim"/>
          <w:rtl/>
        </w:rPr>
        <w:footnoteReference w:id="6156"/>
      </w:r>
      <w:r w:rsidRPr="00AF3214">
        <w:rPr>
          <w:rFonts w:ascii="Narkisim" w:hAnsi="Narkisim"/>
        </w:rPr>
        <w:t xml:space="preserve">. </w:t>
      </w:r>
      <w:r w:rsidRPr="00AF3214">
        <w:rPr>
          <w:rFonts w:ascii="Narkisim" w:hAnsi="Narkisim"/>
          <w:rtl/>
        </w:rPr>
        <w:t>דא"כ ל"ש לגדרי 'נאסר האוסר</w:t>
      </w:r>
      <w:r w:rsidRPr="00AF3214">
        <w:rPr>
          <w:rFonts w:ascii="Narkisim" w:hAnsi="Narkisim"/>
        </w:rPr>
        <w:t>'</w:t>
      </w:r>
      <w:r w:rsidRPr="00AF3214">
        <w:rPr>
          <w:rStyle w:val="ac"/>
          <w:rFonts w:ascii="Narkisim" w:hAnsi="Narkisim"/>
        </w:rPr>
        <w:footnoteReference w:id="6157"/>
      </w:r>
      <w:r w:rsidRPr="00AF3214">
        <w:rPr>
          <w:rFonts w:ascii="Narkisim" w:hAnsi="Narkisim"/>
        </w:rPr>
        <w:t>.</w:t>
      </w:r>
    </w:p>
    <w:p w14:paraId="44395CBE" w14:textId="77777777" w:rsidR="006C4368" w:rsidRPr="00AF3214" w:rsidRDefault="006C4368" w:rsidP="006C4368">
      <w:pPr>
        <w:pStyle w:val="a8"/>
        <w:bidi/>
        <w:rPr>
          <w:rFonts w:ascii="Narkisim" w:hAnsi="Narkisim"/>
        </w:rPr>
      </w:pPr>
      <w:r w:rsidRPr="00AF3214">
        <w:rPr>
          <w:rFonts w:ascii="Narkisim" w:hAnsi="Narkisim"/>
          <w:rtl/>
        </w:rPr>
        <w:t xml:space="preserve">אך יש </w:t>
      </w:r>
      <w:r w:rsidRPr="00AF3214">
        <w:rPr>
          <w:rFonts w:ascii="Narkisim" w:hAnsi="Narkisim"/>
          <w:b/>
          <w:bCs/>
          <w:rtl/>
        </w:rPr>
        <w:t>אחרונים</w:t>
      </w:r>
      <w:r w:rsidRPr="00AF3214">
        <w:rPr>
          <w:rFonts w:ascii="Narkisim" w:hAnsi="Narkisim"/>
          <w:rtl/>
        </w:rPr>
        <w:t xml:space="preserve"> (</w:t>
      </w:r>
      <w:r w:rsidRPr="00AF3214">
        <w:rPr>
          <w:rFonts w:ascii="Narkisim" w:hAnsi="Narkisim"/>
          <w:b/>
          <w:bCs/>
          <w:rtl/>
        </w:rPr>
        <w:t>אגר"מ</w:t>
      </w:r>
      <w:r w:rsidRPr="00AF3214">
        <w:rPr>
          <w:rFonts w:ascii="Narkisim" w:hAnsi="Narkisim"/>
          <w:rtl/>
        </w:rPr>
        <w:t xml:space="preserve"> אה"ע ד מד בסו"ד) שדנו דדעת המהרי"ק דתרוייהו איתנהו, דיש אופנים שנאסרת מחמת עצם האישות. ויש מקומות שהאיסור מחמת הבגידה בבעל. [וע"ע מש"כ לעיל נה:]</w:t>
      </w:r>
      <w:r w:rsidRPr="00AF3214">
        <w:rPr>
          <w:rFonts w:ascii="Narkisim" w:hAnsi="Narkisim"/>
        </w:rPr>
        <w:t>.</w:t>
      </w:r>
    </w:p>
    <w:p w14:paraId="67A7B126" w14:textId="77777777" w:rsidR="006C4368" w:rsidRPr="00AF3214" w:rsidRDefault="006C4368" w:rsidP="006C4368">
      <w:pPr>
        <w:pStyle w:val="3"/>
        <w:bidi/>
        <w:rPr>
          <w:rFonts w:ascii="Narkisim" w:hAnsi="Narkisim"/>
        </w:rPr>
      </w:pPr>
      <w:r w:rsidRPr="00AF3214">
        <w:rPr>
          <w:rFonts w:ascii="Narkisim" w:hAnsi="Narkisim"/>
          <w:rtl/>
        </w:rPr>
        <w:t>דף צה</w:t>
      </w:r>
      <w:r w:rsidRPr="00AF3214">
        <w:rPr>
          <w:rFonts w:ascii="Narkisim" w:hAnsi="Narkisim"/>
        </w:rPr>
        <w:t>:</w:t>
      </w:r>
    </w:p>
    <w:p w14:paraId="2743EDA0" w14:textId="77777777" w:rsidR="006C4368" w:rsidRPr="00AF3214" w:rsidRDefault="006C4368" w:rsidP="006C4368">
      <w:pPr>
        <w:bidi/>
        <w:rPr>
          <w:rFonts w:ascii="Narkisim" w:hAnsi="Narkisim" w:cs="Narkisim"/>
        </w:rPr>
      </w:pPr>
      <w:r w:rsidRPr="00AF3214">
        <w:rPr>
          <w:rFonts w:ascii="Narkisim" w:hAnsi="Narkisim" w:cs="Narkisim"/>
          <w:u w:val="single"/>
          <w:rtl/>
        </w:rPr>
        <w:t>אלא אמר רבא אשת איש</w:t>
      </w:r>
      <w:r w:rsidRPr="00AF3214">
        <w:rPr>
          <w:rFonts w:ascii="Narkisim" w:hAnsi="Narkisim" w:cs="Narkisim"/>
          <w:rtl/>
        </w:rPr>
        <w:t xml:space="preserve">. [דנאסר האוסר]. </w:t>
      </w:r>
      <w:r w:rsidRPr="00AF3214">
        <w:rPr>
          <w:rFonts w:ascii="Narkisim" w:hAnsi="Narkisim" w:cs="Narkisim"/>
          <w:b/>
          <w:bCs/>
          <w:rtl/>
        </w:rPr>
        <w:t>תוס'</w:t>
      </w:r>
      <w:r w:rsidRPr="00AF3214">
        <w:rPr>
          <w:rFonts w:ascii="Narkisim" w:hAnsi="Narkisim" w:cs="Narkisim"/>
          <w:rtl/>
        </w:rPr>
        <w:t xml:space="preserve"> כת' דילפי' מאשת איש שזינתה, דאסורה מדין סוטה. והוה איסור קל אף דהוה בחנק. וה</w:t>
      </w:r>
      <w:r w:rsidRPr="00AF3214">
        <w:rPr>
          <w:rFonts w:ascii="Narkisim" w:hAnsi="Narkisim" w:cs="Narkisim"/>
          <w:b/>
          <w:bCs/>
          <w:rtl/>
        </w:rPr>
        <w:t>תו"י</w:t>
      </w:r>
      <w:r w:rsidRPr="00AF3214">
        <w:rPr>
          <w:rFonts w:ascii="Narkisim" w:hAnsi="Narkisim" w:cs="Narkisim"/>
          <w:rtl/>
        </w:rPr>
        <w:t xml:space="preserve"> (בסו"ד) פי' דילפי' מספק סוטה</w:t>
      </w:r>
      <w:r w:rsidRPr="00AF3214">
        <w:rPr>
          <w:rStyle w:val="ac"/>
          <w:rFonts w:ascii="Narkisim" w:hAnsi="Narkisim" w:cs="Narkisim"/>
          <w:rtl/>
        </w:rPr>
        <w:footnoteReference w:id="6158"/>
      </w:r>
      <w:r w:rsidRPr="00AF3214">
        <w:rPr>
          <w:rFonts w:ascii="Narkisim" w:hAnsi="Narkisim" w:cs="Narkisim"/>
        </w:rPr>
        <w:t>.</w:t>
      </w:r>
    </w:p>
    <w:p w14:paraId="73FFDF66" w14:textId="77777777" w:rsidR="006C4368" w:rsidRPr="00AF3214" w:rsidRDefault="006C4368" w:rsidP="006C4368">
      <w:pPr>
        <w:pStyle w:val="aa"/>
        <w:bidi/>
        <w:rPr>
          <w:rFonts w:ascii="Narkisim" w:hAnsi="Narkisim"/>
        </w:rPr>
      </w:pPr>
      <w:r w:rsidRPr="00AF3214">
        <w:rPr>
          <w:rFonts w:ascii="Narkisim" w:hAnsi="Narkisim"/>
          <w:u w:val="single"/>
          <w:rtl/>
        </w:rPr>
        <w:t>תוד"ה אלא</w:t>
      </w:r>
      <w:r w:rsidRPr="00AF3214">
        <w:rPr>
          <w:rFonts w:ascii="Narkisim" w:hAnsi="Narkisim"/>
          <w:rtl/>
        </w:rPr>
        <w:t>. אבל ק"ק לר"י דאכתי תקשי וכו' שכן נטמא הגוף, ואיסורה ברוב. וה</w:t>
      </w:r>
      <w:r w:rsidRPr="00AF3214">
        <w:rPr>
          <w:rFonts w:ascii="Narkisim" w:hAnsi="Narkisim"/>
          <w:b/>
          <w:bCs/>
          <w:rtl/>
        </w:rPr>
        <w:t>תוס' הרא"ש</w:t>
      </w:r>
      <w:r w:rsidRPr="00AF3214">
        <w:rPr>
          <w:rFonts w:ascii="Narkisim" w:hAnsi="Narkisim"/>
          <w:rtl/>
        </w:rPr>
        <w:t xml:space="preserve"> הביא ד</w:t>
      </w:r>
      <w:r w:rsidRPr="00AF3214">
        <w:rPr>
          <w:rFonts w:ascii="Narkisim" w:hAnsi="Narkisim"/>
          <w:b/>
          <w:bCs/>
          <w:rtl/>
        </w:rPr>
        <w:t>ריב"ן</w:t>
      </w:r>
      <w:r w:rsidRPr="00AF3214">
        <w:rPr>
          <w:rFonts w:ascii="Narkisim" w:hAnsi="Narkisim"/>
          <w:rtl/>
        </w:rPr>
        <w:t xml:space="preserve"> תי' דמעיקרא ס"ד דאיסור קל היינו איסור לאו ממש, ומש"ה הק' כלל הני. אבל השתא דמוקי לה באיסור אשת איש, שהוא במיתה וחמור מאחות אשה. וקרי ליה איסור קל משום שאינו אוסרה כל ימיו, והאי צד עדיפא ליה,  כיון שקל כל כך שיש לה היתר בחיי אוסרה. ומש"ה ל"ש פירכא</w:t>
      </w:r>
      <w:r w:rsidRPr="00AF3214">
        <w:rPr>
          <w:rFonts w:ascii="Narkisim" w:hAnsi="Narkisim"/>
        </w:rPr>
        <w:t>.</w:t>
      </w:r>
    </w:p>
    <w:p w14:paraId="3A2A48D0" w14:textId="77777777" w:rsidR="006C4368" w:rsidRPr="00AF3214" w:rsidRDefault="006C4368" w:rsidP="006C4368">
      <w:pPr>
        <w:bidi/>
        <w:rPr>
          <w:rFonts w:ascii="Narkisim" w:hAnsi="Narkisim" w:cs="Narkisim"/>
        </w:rPr>
      </w:pPr>
      <w:r w:rsidRPr="00AF3214">
        <w:rPr>
          <w:rFonts w:ascii="Narkisim" w:hAnsi="Narkisim" w:cs="Narkisim"/>
          <w:u w:val="single"/>
          <w:rtl/>
        </w:rPr>
        <w:t>אילימא דקאמר ת"ק וכו' גיסו אסירא ואשתו שריא</w:t>
      </w:r>
      <w:r w:rsidRPr="00AF3214">
        <w:rPr>
          <w:rFonts w:ascii="Narkisim" w:hAnsi="Narkisim" w:cs="Narkisim"/>
          <w:rtl/>
        </w:rPr>
        <w:t>. [וכדאי' בגמ' (לעיל צד:) דת"ק איירי אף דאזיל אשתו וגיסו למדיה"י</w:t>
      </w:r>
      <w:r w:rsidRPr="00AF3214">
        <w:rPr>
          <w:rStyle w:val="ac"/>
          <w:rFonts w:ascii="Narkisim" w:hAnsi="Narkisim" w:cs="Narkisim"/>
          <w:rtl/>
        </w:rPr>
        <w:footnoteReference w:id="6159"/>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(צד: ד"ה אשת) כת' דמ"מ אשת גיסו ל"צ גט [אף לת"ק], כיון דאשתו קיימת ל"ש גזירה דיאמרו גירש זה ונשא זה, דהוה אחות אשתו. ואפ"ה אשת גיסו אסורה לבעלה דקנסו שאר הקנסות. [ומה שאסורה לבעלה לא הוה מחמת גזירה זו. ע"ע בסמוך]</w:t>
      </w:r>
      <w:r w:rsidRPr="00AF3214">
        <w:rPr>
          <w:rFonts w:ascii="Narkisim" w:hAnsi="Narkisim" w:cs="Narkisim"/>
        </w:rPr>
        <w:t>.</w:t>
      </w:r>
    </w:p>
    <w:p w14:paraId="033817AD"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רמב"ן</w:t>
      </w:r>
      <w:r w:rsidRPr="00AF3214">
        <w:rPr>
          <w:rFonts w:ascii="Narkisim" w:hAnsi="Narkisim"/>
          <w:rtl/>
        </w:rPr>
        <w:t xml:space="preserve"> כת' די"ל דאשת גיסו אסורה [לעלמא] בלא גט, משום דמיחלפא באשה אחרת שהלך בעלה למדינת הים. אבל לא תקנו שיתן לה גט, דא"כ תאסור אשתו על זה</w:t>
      </w:r>
      <w:r w:rsidRPr="00AF3214">
        <w:rPr>
          <w:rStyle w:val="ac"/>
          <w:rFonts w:ascii="Narkisim" w:hAnsi="Narkisim"/>
          <w:rtl/>
        </w:rPr>
        <w:footnoteReference w:id="6160"/>
      </w:r>
      <w:r w:rsidRPr="00AF3214">
        <w:rPr>
          <w:rFonts w:ascii="Narkisim" w:hAnsi="Narkisim"/>
        </w:rPr>
        <w:t>.</w:t>
      </w:r>
    </w:p>
    <w:p w14:paraId="19F0FF99" w14:textId="77777777" w:rsidR="006C4368" w:rsidRPr="00AF3214" w:rsidRDefault="006C4368" w:rsidP="006C4368">
      <w:pPr>
        <w:pStyle w:val="a7"/>
        <w:bidi/>
        <w:rPr>
          <w:rFonts w:ascii="Narkisim" w:hAnsi="Narkisim"/>
        </w:rPr>
      </w:pPr>
      <w:r w:rsidRPr="00AF3214">
        <w:rPr>
          <w:rFonts w:ascii="Narkisim" w:hAnsi="Narkisim"/>
          <w:rtl/>
        </w:rPr>
        <w:t>ועוד כת' ה</w:t>
      </w:r>
      <w:r w:rsidRPr="00AF3214">
        <w:rPr>
          <w:rFonts w:ascii="Narkisim" w:hAnsi="Narkisim"/>
          <w:b/>
          <w:bCs/>
          <w:rtl/>
        </w:rPr>
        <w:t>רמב"ן</w:t>
      </w:r>
      <w:r w:rsidRPr="00AF3214">
        <w:rPr>
          <w:rFonts w:ascii="Narkisim" w:hAnsi="Narkisim"/>
          <w:rtl/>
        </w:rPr>
        <w:t xml:space="preserve"> די"ל דגזרו דנותן גט לאשת גיסו</w:t>
      </w:r>
      <w:r w:rsidRPr="00AF3214">
        <w:rPr>
          <w:rStyle w:val="ac"/>
          <w:rFonts w:ascii="Narkisim" w:hAnsi="Narkisim"/>
          <w:rtl/>
        </w:rPr>
        <w:footnoteReference w:id="6161"/>
      </w:r>
      <w:r w:rsidRPr="00AF3214">
        <w:rPr>
          <w:rFonts w:ascii="Narkisim" w:hAnsi="Narkisim"/>
          <w:rtl/>
        </w:rPr>
        <w:t>, ואפ"ה אינו נאסר באשתו [אף דהוה אחות גרושתו]. שכל הרואה שאשתו קיימת אין לחוש לכלום [ונתברר דהגט אינו כלום]. וכ"מ ב</w:t>
      </w:r>
      <w:r w:rsidRPr="00AF3214">
        <w:rPr>
          <w:rFonts w:ascii="Narkisim" w:hAnsi="Narkisim"/>
          <w:b/>
          <w:bCs/>
          <w:rtl/>
        </w:rPr>
        <w:t>פיה"מ לרמב"ם</w:t>
      </w:r>
      <w:r w:rsidRPr="00AF3214">
        <w:rPr>
          <w:rStyle w:val="ac"/>
          <w:rFonts w:ascii="Narkisim" w:hAnsi="Narkisim"/>
          <w:rtl/>
        </w:rPr>
        <w:footnoteReference w:id="6162"/>
      </w:r>
      <w:r w:rsidRPr="00AF3214">
        <w:rPr>
          <w:rFonts w:ascii="Narkisim" w:hAnsi="Narkisim"/>
          <w:rtl/>
        </w:rPr>
        <w:t>.</w:t>
      </w:r>
    </w:p>
    <w:p w14:paraId="4D8A4974" w14:textId="77777777" w:rsidR="006C4368" w:rsidRPr="00AF3214" w:rsidRDefault="006C4368" w:rsidP="006C4368">
      <w:pPr>
        <w:pStyle w:val="a8"/>
        <w:bidi/>
        <w:rPr>
          <w:rFonts w:ascii="Narkisim" w:hAnsi="Narkisim"/>
        </w:rPr>
      </w:pPr>
      <w:r w:rsidRPr="00AF3214">
        <w:rPr>
          <w:rFonts w:ascii="Narkisim" w:hAnsi="Narkisim"/>
          <w:rtl/>
        </w:rPr>
        <w:lastRenderedPageBreak/>
        <w:t>וה</w:t>
      </w:r>
      <w:r w:rsidRPr="00AF3214">
        <w:rPr>
          <w:rFonts w:ascii="Narkisim" w:hAnsi="Narkisim"/>
          <w:b/>
          <w:bCs/>
          <w:rtl/>
        </w:rPr>
        <w:t>רשב"א</w:t>
      </w:r>
      <w:r w:rsidRPr="00AF3214">
        <w:rPr>
          <w:rFonts w:ascii="Narkisim" w:hAnsi="Narkisim"/>
          <w:rtl/>
        </w:rPr>
        <w:t xml:space="preserve"> חלק דאי אשת גיסו יוצאת ממנו בגט, ודאי אשתו תאסר עליו. דממילא הוה אחות גרושתו</w:t>
      </w:r>
      <w:r w:rsidRPr="00AF3214">
        <w:rPr>
          <w:rStyle w:val="ac"/>
          <w:rFonts w:ascii="Narkisim" w:hAnsi="Narkisim"/>
          <w:rtl/>
        </w:rPr>
        <w:footnoteReference w:id="6163"/>
      </w:r>
      <w:r w:rsidRPr="00AF3214">
        <w:rPr>
          <w:rFonts w:ascii="Narkisim" w:hAnsi="Narkisim"/>
        </w:rPr>
        <w:t xml:space="preserve">. </w:t>
      </w:r>
      <w:r w:rsidRPr="00AF3214">
        <w:rPr>
          <w:rFonts w:ascii="Narkisim" w:hAnsi="Narkisim"/>
          <w:rtl/>
        </w:rPr>
        <w:t xml:space="preserve">וכדעת </w:t>
      </w:r>
      <w:r w:rsidRPr="00AF3214">
        <w:rPr>
          <w:rFonts w:ascii="Narkisim" w:hAnsi="Narkisim"/>
          <w:b/>
          <w:bCs/>
          <w:rtl/>
        </w:rPr>
        <w:t>תוס</w:t>
      </w:r>
      <w:r w:rsidRPr="00AF3214">
        <w:rPr>
          <w:rFonts w:ascii="Narkisim" w:hAnsi="Narkisim"/>
          <w:rtl/>
        </w:rPr>
        <w:t>' (צד:)</w:t>
      </w:r>
      <w:r w:rsidRPr="00AF3214">
        <w:rPr>
          <w:rFonts w:ascii="Narkisim" w:hAnsi="Narkisim"/>
        </w:rPr>
        <w:t>.</w:t>
      </w:r>
    </w:p>
    <w:p w14:paraId="4D30D2D0" w14:textId="77777777" w:rsidR="006C4368" w:rsidRPr="00AF3214" w:rsidRDefault="006C4368" w:rsidP="006C4368">
      <w:pPr>
        <w:bidi/>
        <w:rPr>
          <w:rFonts w:ascii="Narkisim" w:hAnsi="Narkisim" w:cs="Narkisim"/>
        </w:rPr>
      </w:pPr>
      <w:r w:rsidRPr="00AF3214">
        <w:rPr>
          <w:rFonts w:ascii="Narkisim" w:hAnsi="Narkisim" w:cs="Narkisim"/>
          <w:u w:val="single"/>
          <w:rtl/>
        </w:rPr>
        <w:t>שם. וקא"ל ר' יוסי כי היכי דאשתו שריא, אשת גיסו נמי שריא וכו</w:t>
      </w:r>
      <w:r w:rsidRPr="00AF3214">
        <w:rPr>
          <w:rFonts w:ascii="Narkisim" w:hAnsi="Narkisim" w:cs="Narkisim"/>
          <w:rtl/>
        </w:rPr>
        <w:t xml:space="preserve">'. להך ס"ד לר' יוסי הקילו באשת גיסו, כיון דהוה אחות אשתו, שהרי אשתו מותרת. ולכאורה מש"ה לא שייך גזירה דיאמרו גירש זה ונשא זה, וכמ"ש </w:t>
      </w:r>
      <w:r w:rsidRPr="00AF3214">
        <w:rPr>
          <w:rFonts w:ascii="Narkisim" w:hAnsi="Narkisim" w:cs="Narkisim"/>
          <w:b/>
          <w:bCs/>
          <w:rtl/>
        </w:rPr>
        <w:t>רש"י</w:t>
      </w:r>
      <w:r w:rsidRPr="00AF3214">
        <w:rPr>
          <w:rFonts w:ascii="Narkisim" w:hAnsi="Narkisim" w:cs="Narkisim"/>
          <w:rtl/>
        </w:rPr>
        <w:t xml:space="preserve"> ו</w:t>
      </w:r>
      <w:r w:rsidRPr="00AF3214">
        <w:rPr>
          <w:rFonts w:ascii="Narkisim" w:hAnsi="Narkisim" w:cs="Narkisim"/>
          <w:b/>
          <w:bCs/>
          <w:rtl/>
        </w:rPr>
        <w:t>שא"ר</w:t>
      </w:r>
      <w:r w:rsidRPr="00AF3214">
        <w:rPr>
          <w:rFonts w:ascii="Narkisim" w:hAnsi="Narkisim" w:cs="Narkisim"/>
          <w:rtl/>
        </w:rPr>
        <w:t xml:space="preserve"> בדעת ר' יצחק נפחא</w:t>
      </w:r>
      <w:r w:rsidRPr="00AF3214">
        <w:rPr>
          <w:rFonts w:ascii="Narkisim" w:hAnsi="Narkisim" w:cs="Narkisim"/>
        </w:rPr>
        <w:t>.</w:t>
      </w:r>
    </w:p>
    <w:p w14:paraId="65145013"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(ד"ה וקאמר) ביארו [למסקנא לר"י נפחא] דסברת ר' יוסי דהאיסור לבעל תלי בגט. דהיכא דלא תקנו גט [דל"ש גירש זה ונשא זה], לא קניס לחזור לגיסו אלא היכא דבעי גט. אבל דעת ת"ק דבכל ענין קנסו רבנן ליאסר. ואף במקום דל"ש שמא יאמרו גירש זה ונשא זה והאיסור לא תלי בגט. [ועד"ז מבואר ברש"י]</w:t>
      </w:r>
      <w:r w:rsidRPr="00AF3214">
        <w:rPr>
          <w:rFonts w:ascii="Narkisim" w:hAnsi="Narkisim"/>
        </w:rPr>
        <w:t>.</w:t>
      </w:r>
    </w:p>
    <w:p w14:paraId="5750D2ED" w14:textId="77777777" w:rsidR="006C4368" w:rsidRPr="00AF3214" w:rsidRDefault="006C4368" w:rsidP="006C4368">
      <w:pPr>
        <w:bidi/>
        <w:rPr>
          <w:rFonts w:ascii="Narkisim" w:hAnsi="Narkisim" w:cs="Narkisim"/>
        </w:rPr>
      </w:pPr>
      <w:r w:rsidRPr="00AF3214">
        <w:rPr>
          <w:rFonts w:ascii="Narkisim" w:hAnsi="Narkisim" w:cs="Narkisim"/>
          <w:u w:val="single"/>
          <w:rtl/>
        </w:rPr>
        <w:t>ואלא כ"ה דאשת גיסו אסירא, אשתו נמי אסירא וכו'</w:t>
      </w:r>
      <w:r w:rsidRPr="00AF3214">
        <w:rPr>
          <w:rStyle w:val="ac"/>
          <w:rFonts w:ascii="Narkisim" w:hAnsi="Narkisim" w:cs="Narkisim"/>
          <w:rtl/>
        </w:rPr>
        <w:footnoteReference w:id="6164"/>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הואיל ואהני הנישואין לפוסלה על בעלה, אהנו נמי להיות חשובה כאשתו ולאסור את אחותה מדרבנן. [בפשוטו משמע דהוה גדר 'מיגו', דכיון דחמיר כ"כ פוסלה על בעלה, מש"ה אף השני שנשאה נאסר באשתו. ועוד יל"פ דגדר הא דאסורה על בעלה משום דתקנו גדר 'אישות' לשני, ועי"ז אסורה על בעלה</w:t>
      </w:r>
      <w:r w:rsidRPr="00AF3214">
        <w:rPr>
          <w:rStyle w:val="ac"/>
          <w:rFonts w:ascii="Narkisim" w:hAnsi="Narkisim" w:cs="Narkisim"/>
          <w:rtl/>
        </w:rPr>
        <w:footnoteReference w:id="6165"/>
      </w:r>
      <w:r w:rsidRPr="00AF3214">
        <w:rPr>
          <w:rFonts w:ascii="Narkisim" w:hAnsi="Narkisim" w:cs="Narkisim"/>
          <w:rtl/>
        </w:rPr>
        <w:t>]</w:t>
      </w:r>
      <w:r w:rsidRPr="00AF3214">
        <w:rPr>
          <w:rFonts w:ascii="Narkisim" w:hAnsi="Narkisim" w:cs="Narkisim"/>
        </w:rPr>
        <w:t>.</w:t>
      </w:r>
    </w:p>
    <w:p w14:paraId="52B8A8C3"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כת' דסברת ר' יוסי משום דאשת גיסו צריכה גט, ומש"ה אשתו אסורה עליו. [וכ"כ ה</w:t>
      </w:r>
      <w:r w:rsidRPr="00AF3214">
        <w:rPr>
          <w:rFonts w:ascii="Narkisim" w:hAnsi="Narkisim"/>
          <w:b/>
          <w:bCs/>
          <w:rtl/>
        </w:rPr>
        <w:t>רמב"ם</w:t>
      </w:r>
      <w:r w:rsidRPr="00AF3214">
        <w:rPr>
          <w:rFonts w:ascii="Narkisim" w:hAnsi="Narkisim"/>
          <w:rtl/>
        </w:rPr>
        <w:t xml:space="preserve"> בפיה"מ, וכ"כ ה</w:t>
      </w:r>
      <w:r w:rsidRPr="00AF3214">
        <w:rPr>
          <w:rFonts w:ascii="Narkisim" w:hAnsi="Narkisim"/>
          <w:b/>
          <w:bCs/>
          <w:rtl/>
        </w:rPr>
        <w:t>רי"ף</w:t>
      </w:r>
      <w:r w:rsidRPr="00AF3214">
        <w:rPr>
          <w:rFonts w:ascii="Narkisim" w:hAnsi="Narkisim"/>
          <w:rtl/>
        </w:rPr>
        <w:t xml:space="preserve"> בדברי ר' יצחק נפחא</w:t>
      </w:r>
      <w:r w:rsidRPr="00AF3214">
        <w:rPr>
          <w:rStyle w:val="ac"/>
          <w:rFonts w:ascii="Narkisim" w:hAnsi="Narkisim"/>
          <w:rtl/>
        </w:rPr>
        <w:footnoteReference w:id="6166"/>
      </w:r>
      <w:r w:rsidRPr="00AF3214">
        <w:rPr>
          <w:rFonts w:ascii="Narkisim" w:hAnsi="Narkisim"/>
          <w:rtl/>
        </w:rPr>
        <w:t>]. וכת' דר' יוסי ס"ל דשויתינהו למילי דרבנן כי חוכא וטלולא, לאסור את זה בגט ולהתיר את זו, הילכך שתיהן שוות</w:t>
      </w:r>
      <w:r w:rsidRPr="00AF3214">
        <w:rPr>
          <w:rFonts w:ascii="Narkisim" w:hAnsi="Narkisim"/>
        </w:rPr>
        <w:t>.</w:t>
      </w:r>
    </w:p>
    <w:p w14:paraId="112F127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ביאר דקנסי' בגט אף דלא שייך טעמא דגירש זה ונשא זה, כדי שלא תחלוק בין אשה לאשה. שהרי עיקר הטעם בגט אלא משום קנס [וע"פ ה</w:t>
      </w:r>
      <w:r w:rsidRPr="00AF3214">
        <w:rPr>
          <w:rFonts w:ascii="Narkisim" w:hAnsi="Narkisim"/>
          <w:b/>
          <w:bCs/>
          <w:rtl/>
        </w:rPr>
        <w:t>ירושלמי</w:t>
      </w:r>
      <w:r w:rsidRPr="00AF3214">
        <w:rPr>
          <w:rFonts w:ascii="Narkisim" w:hAnsi="Narkisim"/>
          <w:rtl/>
        </w:rPr>
        <w:t xml:space="preserve"> (הו' בראשונים לעיל פט.) לברר איסורו, וע"ע ריטב"א צד:]</w:t>
      </w:r>
      <w:r w:rsidRPr="00AF3214">
        <w:rPr>
          <w:rFonts w:ascii="Narkisim" w:hAnsi="Narkisim"/>
        </w:rPr>
        <w:t>.</w:t>
      </w:r>
    </w:p>
    <w:p w14:paraId="55E3251C" w14:textId="77777777" w:rsidR="006C4368" w:rsidRPr="00AF3214" w:rsidRDefault="006C4368" w:rsidP="006C4368">
      <w:pPr>
        <w:pStyle w:val="a8"/>
        <w:bidi/>
        <w:rPr>
          <w:rFonts w:ascii="Narkisim" w:hAnsi="Narkisim"/>
        </w:rPr>
      </w:pPr>
      <w:r w:rsidRPr="00AF3214">
        <w:rPr>
          <w:rFonts w:ascii="Narkisim" w:hAnsi="Narkisim"/>
          <w:rtl/>
        </w:rPr>
        <w:t>ועוד כת' ה</w:t>
      </w:r>
      <w:r w:rsidRPr="00AF3214">
        <w:rPr>
          <w:rFonts w:ascii="Narkisim" w:hAnsi="Narkisim"/>
          <w:b/>
          <w:bCs/>
          <w:rtl/>
        </w:rPr>
        <w:t>ריטב"א</w:t>
      </w:r>
      <w:r w:rsidRPr="00AF3214">
        <w:rPr>
          <w:rFonts w:ascii="Narkisim" w:hAnsi="Narkisim"/>
          <w:rtl/>
        </w:rPr>
        <w:t xml:space="preserve"> דגזרו היכא שבאו אשתו וגיסו אטו היכא שבא גיסו לבדו [קודם לאשתו]. דכה"ג קנסו בגט כאשה דעלמא, דכל זמן שאין אשתו בכאן יאמרו שמתה אשתו וגירש גיסו לאחותה ונשאה זה. [ע"ע רש"י בסמוך ד"ה דלמא</w:t>
      </w:r>
      <w:r w:rsidRPr="00AF3214">
        <w:rPr>
          <w:rStyle w:val="ac"/>
          <w:rFonts w:ascii="Narkisim" w:hAnsi="Narkisim"/>
          <w:rtl/>
        </w:rPr>
        <w:footnoteReference w:id="6167"/>
      </w:r>
      <w:r w:rsidRPr="00AF3214">
        <w:rPr>
          <w:rFonts w:ascii="Narkisim" w:hAnsi="Narkisim"/>
          <w:rtl/>
        </w:rPr>
        <w:t>]</w:t>
      </w:r>
      <w:r w:rsidRPr="00AF3214">
        <w:rPr>
          <w:rFonts w:ascii="Narkisim" w:hAnsi="Narkisim"/>
        </w:rPr>
        <w:t>.</w:t>
      </w:r>
    </w:p>
    <w:p w14:paraId="06137586" w14:textId="77777777" w:rsidR="006C4368" w:rsidRPr="00AF3214" w:rsidRDefault="006C4368" w:rsidP="006C4368">
      <w:pPr>
        <w:pStyle w:val="a8"/>
        <w:bidi/>
        <w:rPr>
          <w:rFonts w:ascii="Narkisim" w:hAnsi="Narkisim"/>
        </w:rPr>
      </w:pPr>
      <w:r w:rsidRPr="00AF3214">
        <w:rPr>
          <w:rFonts w:ascii="Narkisim" w:hAnsi="Narkisim"/>
          <w:rtl/>
        </w:rPr>
        <w:t>ועוד כת' ה</w:t>
      </w:r>
      <w:r w:rsidRPr="00AF3214">
        <w:rPr>
          <w:rFonts w:ascii="Narkisim" w:hAnsi="Narkisim"/>
          <w:b/>
          <w:bCs/>
          <w:rtl/>
        </w:rPr>
        <w:t>ריטב"א</w:t>
      </w:r>
      <w:r w:rsidRPr="00AF3214">
        <w:rPr>
          <w:rFonts w:ascii="Narkisim" w:hAnsi="Narkisim"/>
          <w:rtl/>
        </w:rPr>
        <w:t xml:space="preserve"> דדחקינן נפשי' לומר גירש זה ונשא זה, לחוש דתנאה הו"ל באשתו ולא נתקיים</w:t>
      </w:r>
      <w:r w:rsidRPr="00AF3214">
        <w:rPr>
          <w:rStyle w:val="ac"/>
          <w:rFonts w:ascii="Narkisim" w:hAnsi="Narkisim"/>
          <w:rtl/>
        </w:rPr>
        <w:footnoteReference w:id="6168"/>
      </w:r>
      <w:r w:rsidRPr="00AF3214">
        <w:rPr>
          <w:rFonts w:ascii="Narkisim" w:hAnsi="Narkisim"/>
        </w:rPr>
        <w:t xml:space="preserve"> </w:t>
      </w:r>
      <w:r w:rsidRPr="00AF3214">
        <w:rPr>
          <w:rFonts w:ascii="Narkisim" w:hAnsi="Narkisim"/>
          <w:rtl/>
        </w:rPr>
        <w:t>[ואף בנשואה תלינן בתנאי, ע"ע בסמוך], ואף דהוה חשש דחוק, עבדינן הכי כדי לקנוס אשה שהלך בעלה שנשאת ע"פ עד א'. ולעשות גדר לתקנת חכמים שהקלו בתחלתה בדבר שבערוה החמור</w:t>
      </w:r>
      <w:r w:rsidRPr="00AF3214">
        <w:rPr>
          <w:rFonts w:ascii="Narkisim" w:hAnsi="Narkisim"/>
        </w:rPr>
        <w:t>.</w:t>
      </w:r>
    </w:p>
    <w:p w14:paraId="33903AB2" w14:textId="77777777" w:rsidR="006C4368" w:rsidRPr="00AF3214" w:rsidRDefault="006C4368" w:rsidP="006C4368">
      <w:pPr>
        <w:bidi/>
        <w:rPr>
          <w:rFonts w:ascii="Narkisim" w:hAnsi="Narkisim" w:cs="Narkisim"/>
        </w:rPr>
      </w:pPr>
      <w:r w:rsidRPr="00AF3214">
        <w:rPr>
          <w:rFonts w:ascii="Narkisim" w:hAnsi="Narkisim" w:cs="Narkisim"/>
          <w:u w:val="single"/>
          <w:rtl/>
        </w:rPr>
        <w:t>א"ר אמי ארישא</w:t>
      </w:r>
      <w:r w:rsidRPr="00AF3214">
        <w:rPr>
          <w:rStyle w:val="ac"/>
          <w:rFonts w:ascii="Narkisim" w:hAnsi="Narkisim" w:cs="Narkisim"/>
          <w:u w:val="single"/>
          <w:rtl/>
        </w:rPr>
        <w:footnoteReference w:id="6169"/>
      </w:r>
      <w:r w:rsidRPr="00AF3214">
        <w:rPr>
          <w:rFonts w:ascii="Narkisim" w:hAnsi="Narkisim" w:cs="Narkisim"/>
          <w:u w:val="single"/>
        </w:rPr>
        <w:t xml:space="preserve"> </w:t>
      </w:r>
      <w:r w:rsidRPr="00AF3214">
        <w:rPr>
          <w:rFonts w:ascii="Narkisim" w:hAnsi="Narkisim" w:cs="Narkisim"/>
          <w:u w:val="single"/>
          <w:rtl/>
        </w:rPr>
        <w:t>וכו' ע"פ עדים תצא וחייבת קרבן וכו' וקאמר ת"ק ל"ש ע"פ עדים דאשת גיסו שריא</w:t>
      </w:r>
      <w:r w:rsidRPr="00AF3214">
        <w:rPr>
          <w:rStyle w:val="ac"/>
          <w:rFonts w:ascii="Narkisim" w:hAnsi="Narkisim" w:cs="Narkisim"/>
          <w:u w:val="single"/>
          <w:rtl/>
        </w:rPr>
        <w:footnoteReference w:id="6170"/>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xml:space="preserve">. וכר' שמעון (במשנה פז:) דע"פ עדים מותרת לחזור לו, ואי"צ גט. </w:t>
      </w:r>
      <w:r w:rsidRPr="00AF3214">
        <w:rPr>
          <w:rFonts w:ascii="Narkisim" w:hAnsi="Narkisim" w:cs="Narkisim"/>
          <w:szCs w:val="20"/>
          <w:rtl/>
        </w:rPr>
        <w:t>[ונח' בגמ' לעיל צא. אי חכמים דמתני' פליגי אר' שמעון בזה, ומסקנת הגמ' דלא קי"ל כסברת מאי הו"ל למיעבד, ואף ע"פ עדים אסורה לחזור לו]</w:t>
      </w:r>
      <w:r w:rsidRPr="00AF3214">
        <w:rPr>
          <w:rFonts w:ascii="Narkisim" w:hAnsi="Narkisim" w:cs="Narkisim"/>
        </w:rPr>
        <w:t>.</w:t>
      </w:r>
    </w:p>
    <w:p w14:paraId="3F288E2A" w14:textId="77777777" w:rsidR="006C4368" w:rsidRPr="00AF3214" w:rsidRDefault="006C4368" w:rsidP="006C4368">
      <w:pPr>
        <w:pStyle w:val="a8"/>
        <w:bidi/>
        <w:rPr>
          <w:rFonts w:ascii="Narkisim" w:hAnsi="Narkisim"/>
        </w:rPr>
      </w:pPr>
      <w:r w:rsidRPr="00AF3214">
        <w:rPr>
          <w:rFonts w:ascii="Narkisim" w:hAnsi="Narkisim"/>
          <w:rtl/>
        </w:rPr>
        <w:t>והמשך הגמ' דקא"ל ר' יוסי ע"פ בי"ד דפוסל ע"י אחרים, פוסל ע"י עצמו. וכגמ' (לעיל) דכי היכי דאשת גיסו אסירא, אשתו אסירא. אבל ע"פ עדים [פ</w:t>
      </w:r>
      <w:r w:rsidRPr="00AF3214">
        <w:rPr>
          <w:rFonts w:ascii="Narkisim" w:hAnsi="Narkisim"/>
          <w:b/>
          <w:bCs/>
          <w:rtl/>
        </w:rPr>
        <w:t>רש"י</w:t>
      </w:r>
      <w:r w:rsidRPr="00AF3214">
        <w:rPr>
          <w:rFonts w:ascii="Narkisim" w:hAnsi="Narkisim"/>
          <w:rtl/>
        </w:rPr>
        <w:t xml:space="preserve"> מודינא לך] דל"ש סברת 'כי היכי', כיון דאינה נאסרת</w:t>
      </w:r>
      <w:r w:rsidRPr="00AF3214">
        <w:rPr>
          <w:rFonts w:ascii="Narkisim" w:hAnsi="Narkisim"/>
        </w:rPr>
        <w:t>.</w:t>
      </w:r>
    </w:p>
    <w:p w14:paraId="11E2B063"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פי' עוד דקאי אף לרבנן (לעיל צא.), ובאשת איש בעלמא אף נשאת ע"פ עדים אסורה </w:t>
      </w:r>
      <w:r w:rsidRPr="00AF3214">
        <w:rPr>
          <w:rFonts w:ascii="Narkisim" w:hAnsi="Narkisim"/>
          <w:rtl/>
        </w:rPr>
        <w:lastRenderedPageBreak/>
        <w:t>משום שמא יאמרו גירש זה ונשא זה</w:t>
      </w:r>
      <w:r w:rsidRPr="00AF3214">
        <w:rPr>
          <w:rStyle w:val="ac"/>
          <w:rFonts w:ascii="Narkisim" w:hAnsi="Narkisim"/>
          <w:rtl/>
        </w:rPr>
        <w:footnoteReference w:id="6171"/>
      </w:r>
      <w:r w:rsidRPr="00AF3214">
        <w:rPr>
          <w:rFonts w:ascii="Narkisim" w:hAnsi="Narkisim"/>
        </w:rPr>
        <w:t xml:space="preserve">. </w:t>
      </w:r>
      <w:r w:rsidRPr="00AF3214">
        <w:rPr>
          <w:rFonts w:ascii="Narkisim" w:hAnsi="Narkisim"/>
          <w:rtl/>
        </w:rPr>
        <w:t>אבל הכא דאשתו קיימת ל"ש גזירה שמא יאמרו גירש זה, הילכך ע"פ ב' עדים לא החמירו בה. אבל בנשאת ע"פ עד א' גזרו [אף באחות אשתו] דצריכין אנו שיהא חומר בסופה כדי שיהא נאמן בתחילתו</w:t>
      </w:r>
      <w:r w:rsidRPr="00AF3214">
        <w:rPr>
          <w:rStyle w:val="ac"/>
          <w:rFonts w:ascii="Narkisim" w:hAnsi="Narkisim"/>
          <w:rtl/>
        </w:rPr>
        <w:footnoteReference w:id="6172"/>
      </w:r>
      <w:r w:rsidRPr="00AF3214">
        <w:rPr>
          <w:rFonts w:ascii="Narkisim" w:hAnsi="Narkisim"/>
        </w:rPr>
        <w:t xml:space="preserve">. </w:t>
      </w:r>
      <w:r w:rsidRPr="00AF3214">
        <w:rPr>
          <w:rFonts w:ascii="Narkisim" w:hAnsi="Narkisim"/>
          <w:rtl/>
        </w:rPr>
        <w:t>ובנשאת ע"פ ב' עדים לא החמירו היכא דל"ש גזירה דגירש זה</w:t>
      </w:r>
      <w:r w:rsidRPr="00AF3214">
        <w:rPr>
          <w:rFonts w:ascii="Narkisim" w:hAnsi="Narkisim"/>
        </w:rPr>
        <w:t>.</w:t>
      </w:r>
    </w:p>
    <w:p w14:paraId="4095723F" w14:textId="77777777" w:rsidR="006C4368" w:rsidRPr="00AF3214" w:rsidRDefault="006C4368" w:rsidP="006C4368">
      <w:pPr>
        <w:pStyle w:val="aa"/>
        <w:bidi/>
        <w:rPr>
          <w:rFonts w:ascii="Narkisim" w:hAnsi="Narkisim"/>
        </w:rPr>
      </w:pPr>
      <w:r w:rsidRPr="00AF3214">
        <w:rPr>
          <w:rFonts w:ascii="Narkisim" w:hAnsi="Narkisim"/>
          <w:rtl/>
        </w:rPr>
        <w:t>ועד"ז כת' ה</w:t>
      </w:r>
      <w:r w:rsidRPr="00AF3214">
        <w:rPr>
          <w:rFonts w:ascii="Narkisim" w:hAnsi="Narkisim"/>
          <w:b/>
          <w:bCs/>
          <w:rtl/>
        </w:rPr>
        <w:t>ריטב"א</w:t>
      </w:r>
      <w:r w:rsidRPr="00AF3214">
        <w:rPr>
          <w:rFonts w:ascii="Narkisim" w:hAnsi="Narkisim"/>
          <w:rtl/>
        </w:rPr>
        <w:t xml:space="preserve"> בשם יש שפירשו דאף רבנן מודו לסברת דמאי הו"ל למעבד, ואיסורא דידה אינו מן הדין, אלא שהפריזו בתקנתם בעדים משום נשאת ע"פ בי"ד</w:t>
      </w:r>
      <w:r w:rsidRPr="00AF3214">
        <w:rPr>
          <w:rStyle w:val="ac"/>
          <w:rFonts w:ascii="Narkisim" w:hAnsi="Narkisim"/>
          <w:rtl/>
        </w:rPr>
        <w:footnoteReference w:id="6173"/>
      </w:r>
      <w:r w:rsidRPr="00AF3214">
        <w:rPr>
          <w:rFonts w:ascii="Narkisim" w:hAnsi="Narkisim"/>
        </w:rPr>
        <w:t xml:space="preserve">. </w:t>
      </w:r>
      <w:r w:rsidRPr="00AF3214">
        <w:rPr>
          <w:rFonts w:ascii="Narkisim" w:hAnsi="Narkisim"/>
          <w:rtl/>
        </w:rPr>
        <w:t>אבל הכא באשתו וגיסו הוה מילתא דלא שכיחא</w:t>
      </w:r>
      <w:r w:rsidRPr="00AF3214">
        <w:rPr>
          <w:rStyle w:val="ac"/>
          <w:rFonts w:ascii="Narkisim" w:hAnsi="Narkisim"/>
          <w:rtl/>
        </w:rPr>
        <w:footnoteReference w:id="6174"/>
      </w:r>
      <w:r w:rsidRPr="00AF3214">
        <w:rPr>
          <w:rFonts w:ascii="Narkisim" w:hAnsi="Narkisim"/>
        </w:rPr>
        <w:t xml:space="preserve">, </w:t>
      </w:r>
      <w:r w:rsidRPr="00AF3214">
        <w:rPr>
          <w:rFonts w:ascii="Narkisim" w:hAnsi="Narkisim"/>
          <w:rtl/>
        </w:rPr>
        <w:t>ובמילתא דלא שכיחא אוקמוה אדינא לומר מאי הו"ל למעבד</w:t>
      </w:r>
      <w:r w:rsidRPr="00AF3214">
        <w:rPr>
          <w:rFonts w:ascii="Narkisim" w:hAnsi="Narkisim"/>
        </w:rPr>
        <w:t>.</w:t>
      </w:r>
    </w:p>
    <w:p w14:paraId="404CC223"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דחה פי' זה דעיקר הקנס משום קנס דלמא לא דייקא שפיר, ולא משום שמא יאמרו גירש זה ונשא זה [כמסקנת הגמ' לעיל פט.]</w:t>
      </w:r>
      <w:r w:rsidRPr="00AF3214">
        <w:rPr>
          <w:rStyle w:val="ac"/>
          <w:rFonts w:ascii="Narkisim" w:hAnsi="Narkisim"/>
          <w:rtl/>
        </w:rPr>
        <w:footnoteReference w:id="6175"/>
      </w:r>
      <w:r w:rsidRPr="00AF3214">
        <w:rPr>
          <w:rFonts w:ascii="Narkisim" w:hAnsi="Narkisim"/>
        </w:rPr>
        <w:t xml:space="preserve">. </w:t>
      </w:r>
      <w:r w:rsidRPr="00AF3214">
        <w:rPr>
          <w:rFonts w:ascii="Narkisim" w:hAnsi="Narkisim"/>
          <w:szCs w:val="20"/>
          <w:rtl/>
        </w:rPr>
        <w:t>ומבואר דפשיט"ל לרשב"א דלמסקנא דהוה קנס לא הוה משום 'שמא יאמרו' כלל</w:t>
      </w:r>
      <w:r w:rsidRPr="00AF3214">
        <w:rPr>
          <w:rStyle w:val="ac"/>
          <w:rFonts w:ascii="Narkisim" w:hAnsi="Narkisim"/>
          <w:szCs w:val="20"/>
          <w:rtl/>
        </w:rPr>
        <w:footnoteReference w:id="6176"/>
      </w:r>
      <w:r w:rsidRPr="00AF3214">
        <w:rPr>
          <w:rFonts w:ascii="Narkisim" w:hAnsi="Narkisim"/>
        </w:rPr>
        <w:t>.</w:t>
      </w:r>
    </w:p>
    <w:p w14:paraId="5BC09E17"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כת' מיהו לאוקימתא דר' יצחק נפחא טעמא דר' יוסי משום גזרת שמא יאמרו. ושמא פליג דאפי' בנתקדשה צריכה גט. וא"נ אזיל בה לקולא משום דלא עבדא איסורא, ומ"מ לדר' אמי למה לן לדחוקי נפשין כולי האי</w:t>
      </w:r>
      <w:r w:rsidRPr="00AF3214">
        <w:rPr>
          <w:rFonts w:ascii="Narkisim" w:hAnsi="Narkisim"/>
        </w:rPr>
        <w:t>.</w:t>
      </w:r>
    </w:p>
    <w:p w14:paraId="077DCF58" w14:textId="77777777" w:rsidR="006C4368" w:rsidRPr="00AF3214" w:rsidRDefault="006C4368" w:rsidP="006C4368">
      <w:pPr>
        <w:bidi/>
        <w:rPr>
          <w:rFonts w:ascii="Narkisim" w:hAnsi="Narkisim" w:cs="Narkisim"/>
        </w:rPr>
      </w:pPr>
      <w:r w:rsidRPr="00AF3214">
        <w:rPr>
          <w:rFonts w:ascii="Narkisim" w:hAnsi="Narkisim" w:cs="Narkisim"/>
          <w:u w:val="single"/>
          <w:rtl/>
        </w:rPr>
        <w:t>ר' יצחק נפחא אמר לעולם אסיפא, הא דאזלי ארוסתו וכו' אשת גיסו אסירא ואשתו שריא</w:t>
      </w:r>
      <w:r w:rsidRPr="00AF3214">
        <w:rPr>
          <w:rFonts w:ascii="Narkisim" w:hAnsi="Narkisim" w:cs="Narkisim"/>
          <w:rtl/>
        </w:rPr>
        <w:t xml:space="preserve">. </w:t>
      </w:r>
      <w:r w:rsidRPr="00AF3214">
        <w:rPr>
          <w:rFonts w:ascii="Narkisim" w:hAnsi="Narkisim" w:cs="Narkisim"/>
          <w:b/>
          <w:bCs/>
          <w:rtl/>
        </w:rPr>
        <w:t>רש"י</w:t>
      </w:r>
      <w:r w:rsidRPr="00AF3214">
        <w:rPr>
          <w:rFonts w:ascii="Narkisim" w:hAnsi="Narkisim" w:cs="Narkisim"/>
          <w:rtl/>
        </w:rPr>
        <w:t xml:space="preserve"> כת' דסברת ת"ק דהא דניסת בעד א' אסורה לחזור לבעלה הוה משום קנס. ואף היכא דל"ש שמא יאמרו גירש זה ונשא זה</w:t>
      </w:r>
      <w:r w:rsidRPr="00AF3214">
        <w:rPr>
          <w:rStyle w:val="ac"/>
          <w:rFonts w:ascii="Narkisim" w:hAnsi="Narkisim" w:cs="Narkisim"/>
          <w:rtl/>
        </w:rPr>
        <w:footnoteReference w:id="6177"/>
      </w:r>
      <w:r w:rsidRPr="00AF3214">
        <w:rPr>
          <w:rFonts w:ascii="Narkisim" w:hAnsi="Narkisim" w:cs="Narkisim"/>
        </w:rPr>
        <w:t xml:space="preserve">. </w:t>
      </w:r>
      <w:r w:rsidRPr="00AF3214">
        <w:rPr>
          <w:rFonts w:ascii="Narkisim" w:hAnsi="Narkisim" w:cs="Narkisim"/>
          <w:rtl/>
        </w:rPr>
        <w:t>ור' יוסי פליג דכל האיסור באשה שהלך בעלה משום גירש זה</w:t>
      </w:r>
      <w:r w:rsidRPr="00AF3214">
        <w:rPr>
          <w:rStyle w:val="ac"/>
          <w:rFonts w:ascii="Narkisim" w:hAnsi="Narkisim" w:cs="Narkisim"/>
          <w:rtl/>
        </w:rPr>
        <w:footnoteReference w:id="6178"/>
      </w:r>
      <w:r w:rsidRPr="00AF3214">
        <w:rPr>
          <w:rFonts w:ascii="Narkisim" w:hAnsi="Narkisim" w:cs="Narkisim"/>
        </w:rPr>
        <w:t xml:space="preserve">. </w:t>
      </w:r>
      <w:r w:rsidRPr="00AF3214">
        <w:rPr>
          <w:rFonts w:ascii="Narkisim" w:hAnsi="Narkisim" w:cs="Narkisim"/>
          <w:szCs w:val="20"/>
          <w:rtl/>
        </w:rPr>
        <w:t>[ולפ"ז נח' בתרתי, באשתו וגיסו אי אשת גיסו נאסרת. ובארוסתו וגיסו, אי אמרי' אמרי' 'כי היכי', ואף אשתו תאסר]</w:t>
      </w:r>
      <w:r w:rsidRPr="00AF3214">
        <w:rPr>
          <w:rFonts w:ascii="Narkisim" w:hAnsi="Narkisim" w:cs="Narkisim"/>
        </w:rPr>
        <w:t>.</w:t>
      </w:r>
    </w:p>
    <w:p w14:paraId="00882788"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כת' דתקנת הגט הוה משום שמא יאמרו גירש זה, אבל הא דאסורה לחזור לבעלה הוה משום קנס בעלמא</w:t>
      </w:r>
      <w:r w:rsidRPr="00AF3214">
        <w:rPr>
          <w:rStyle w:val="ac"/>
          <w:rFonts w:ascii="Narkisim" w:hAnsi="Narkisim"/>
          <w:rtl/>
        </w:rPr>
        <w:footnoteReference w:id="6179"/>
      </w:r>
      <w:r w:rsidRPr="00AF3214">
        <w:rPr>
          <w:rFonts w:ascii="Narkisim" w:hAnsi="Narkisim"/>
        </w:rPr>
        <w:t xml:space="preserve"> </w:t>
      </w:r>
      <w:r w:rsidRPr="00AF3214">
        <w:rPr>
          <w:rFonts w:ascii="Narkisim" w:hAnsi="Narkisim"/>
          <w:rtl/>
        </w:rPr>
        <w:t>[וכמ"ש תוס' לעיל צד:]. ואילו דעת ר' יוסי דאף הקנס לאסור לבעלה תלי גט [ובסברת שמא יאמרו גירש זה]. והוא קרוב לדברי רש"י דנח' ר' יוסי ורבנן בגדר האיסור על בעלה [אי הוה משום קנס בעלמא</w:t>
      </w:r>
      <w:r w:rsidRPr="00AF3214">
        <w:rPr>
          <w:rStyle w:val="ac"/>
          <w:rFonts w:ascii="Narkisim" w:hAnsi="Narkisim"/>
          <w:rtl/>
        </w:rPr>
        <w:footnoteReference w:id="6180"/>
      </w:r>
      <w:r w:rsidRPr="00AF3214">
        <w:rPr>
          <w:rFonts w:ascii="Narkisim" w:hAnsi="Narkisim"/>
          <w:rtl/>
        </w:rPr>
        <w:t>]</w:t>
      </w:r>
      <w:r w:rsidRPr="00AF3214">
        <w:rPr>
          <w:rFonts w:ascii="Narkisim" w:hAnsi="Narkisim"/>
        </w:rPr>
        <w:t>.</w:t>
      </w:r>
    </w:p>
    <w:p w14:paraId="0261479B" w14:textId="77777777" w:rsidR="006C4368" w:rsidRPr="00AF3214" w:rsidRDefault="006C4368" w:rsidP="006C4368">
      <w:pPr>
        <w:bidi/>
        <w:rPr>
          <w:rFonts w:ascii="Narkisim" w:hAnsi="Narkisim" w:cs="Narkisim"/>
        </w:rPr>
      </w:pPr>
      <w:r w:rsidRPr="00AF3214">
        <w:rPr>
          <w:rFonts w:ascii="Narkisim" w:hAnsi="Narkisim" w:cs="Narkisim"/>
          <w:u w:val="single"/>
          <w:rtl/>
        </w:rPr>
        <w:t>שם. וקאמר ליה ר' יוסי אשתו וגיסו דל"ל תנאה וכו' דאינו פוסל ע"י אחרים וכו'</w:t>
      </w:r>
      <w:r w:rsidRPr="00AF3214">
        <w:rPr>
          <w:rFonts w:ascii="Narkisim" w:hAnsi="Narkisim" w:cs="Narkisim"/>
          <w:rtl/>
        </w:rPr>
        <w:t>. ה</w:t>
      </w:r>
      <w:r w:rsidRPr="00AF3214">
        <w:rPr>
          <w:rFonts w:ascii="Narkisim" w:hAnsi="Narkisim" w:cs="Narkisim"/>
          <w:b/>
          <w:bCs/>
          <w:rtl/>
        </w:rPr>
        <w:t>רמב"ן</w:t>
      </w:r>
      <w:r w:rsidRPr="00AF3214">
        <w:rPr>
          <w:rFonts w:ascii="Narkisim" w:hAnsi="Narkisim" w:cs="Narkisim"/>
          <w:rtl/>
        </w:rPr>
        <w:t xml:space="preserve"> הק' דכיון דת"ק ס"ל דאף אשתו וגיסו אסורה, א"כ הו"ל לר' יוסי לומר שאינו פוסל. ואילו לשון המשנה 'כל שאינו פוסל' משמע דמילתא פשיטא היא דאינו פוסל [ומשמע דאף ת"ק מודה]</w:t>
      </w:r>
      <w:r w:rsidRPr="00AF3214">
        <w:rPr>
          <w:rFonts w:ascii="Narkisim" w:hAnsi="Narkisim" w:cs="Narkisim"/>
        </w:rPr>
        <w:t>.</w:t>
      </w:r>
    </w:p>
    <w:p w14:paraId="6904A574" w14:textId="77777777" w:rsidR="006C4368" w:rsidRPr="00AF3214" w:rsidRDefault="006C4368" w:rsidP="006C4368">
      <w:pPr>
        <w:pStyle w:val="a7"/>
        <w:bidi/>
        <w:rPr>
          <w:rFonts w:ascii="Narkisim" w:hAnsi="Narkisim"/>
        </w:rPr>
      </w:pPr>
      <w:r w:rsidRPr="00AF3214">
        <w:rPr>
          <w:rFonts w:ascii="Narkisim" w:hAnsi="Narkisim"/>
          <w:rtl/>
        </w:rPr>
        <w:t>ותי' דאף ת"ק מודו דאשתו וגיסו אסורה רק משום מיחלפה, אבל מדינא אינה אסורה. ומש"ה נקרא 'אינו פוסל ע"י אחרים' מפני שאינו פוסל ע"י עצמו, כלומר שאינו בדין לפסול ע"י עצמו, ומש"ה א"א לפסול ע"י אחרים. א"נ הלשון לאו דוקא, אלא ה"ק אינו פוסל ע"י אחרים, וכל שאינו פוסל ע"י אחרים אינו פוסל ע"י עצמו</w:t>
      </w:r>
      <w:r w:rsidRPr="00AF3214">
        <w:rPr>
          <w:rFonts w:ascii="Narkisim" w:hAnsi="Narkisim"/>
        </w:rPr>
        <w:t>.</w:t>
      </w:r>
    </w:p>
    <w:p w14:paraId="724C358E" w14:textId="77777777" w:rsidR="006C4368" w:rsidRPr="00AF3214" w:rsidRDefault="006C4368" w:rsidP="006C4368">
      <w:pPr>
        <w:pStyle w:val="aa"/>
        <w:bidi/>
        <w:rPr>
          <w:rFonts w:ascii="Narkisim" w:hAnsi="Narkisim"/>
        </w:rPr>
      </w:pPr>
      <w:r w:rsidRPr="00AF3214">
        <w:rPr>
          <w:rFonts w:ascii="Narkisim" w:hAnsi="Narkisim"/>
          <w:u w:val="single"/>
          <w:rtl/>
        </w:rPr>
        <w:lastRenderedPageBreak/>
        <w:t>אמר רב יהודה א"ש הלכה כר' יוסי</w:t>
      </w:r>
      <w:r w:rsidRPr="00AF3214">
        <w:rPr>
          <w:rFonts w:ascii="Narkisim" w:hAnsi="Narkisim"/>
          <w:rtl/>
        </w:rPr>
        <w:t>. והגמ' (בסוף העמ') מסתפקת אי קאי אליבא דר' אמי [דר' יוסי סבר דבנשאת ע"פ בי"ד כי היכי דאשת גיסו אסירא אשתו נמי אסירא</w:t>
      </w:r>
      <w:r w:rsidRPr="00AF3214">
        <w:rPr>
          <w:rStyle w:val="ac"/>
          <w:rFonts w:ascii="Narkisim" w:hAnsi="Narkisim"/>
          <w:rtl/>
        </w:rPr>
        <w:footnoteReference w:id="6181"/>
      </w:r>
      <w:r w:rsidRPr="00AF3214">
        <w:rPr>
          <w:rFonts w:ascii="Narkisim" w:hAnsi="Narkisim"/>
          <w:rtl/>
        </w:rPr>
        <w:t>], או אדר' יצחק נפחא [דאשת גיסו מותרת לגיסו. ובארוסה אף אשתו אסורה עליו]. ורב יוסף נקט כדר' יצחק נפחא, ועפ"ז הק' דמבואר דבארוסה תלינן שהיה תנאי. [ואילו לדברי רב הונא נח' בזה רב ושמואל]</w:t>
      </w:r>
      <w:r w:rsidRPr="00AF3214">
        <w:rPr>
          <w:rFonts w:ascii="Narkisim" w:hAnsi="Narkisim"/>
        </w:rPr>
        <w:t>.</w:t>
      </w:r>
    </w:p>
    <w:p w14:paraId="70AF7514" w14:textId="77777777" w:rsidR="006C4368" w:rsidRPr="00AF3214" w:rsidRDefault="006C4368" w:rsidP="006C4368">
      <w:pPr>
        <w:pStyle w:val="aa"/>
        <w:bidi/>
        <w:rPr>
          <w:rFonts w:ascii="Narkisim" w:hAnsi="Narkisim"/>
        </w:rPr>
      </w:pPr>
      <w:r w:rsidRPr="00AF3214">
        <w:rPr>
          <w:rFonts w:ascii="Narkisim" w:hAnsi="Narkisim"/>
          <w:u w:val="single"/>
          <w:rtl/>
        </w:rPr>
        <w:t>והאתמר יבמה רב אמר ה"ה כאשת איש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כאשת איש הנשאת ע"פ עד א'. ה</w:t>
      </w:r>
      <w:r w:rsidRPr="00AF3214">
        <w:rPr>
          <w:rFonts w:ascii="Narkisim" w:hAnsi="Narkisim"/>
          <w:b/>
          <w:bCs/>
          <w:rtl/>
        </w:rPr>
        <w:t>ריטב"א</w:t>
      </w:r>
      <w:r w:rsidRPr="00AF3214">
        <w:rPr>
          <w:rFonts w:ascii="Narkisim" w:hAnsi="Narkisim"/>
          <w:rtl/>
        </w:rPr>
        <w:t xml:space="preserve"> כת' דלפ"ז מבואר דעד א' נאמן ביבמה להתייבם (ונפשט ספק דלעיל צג:). [דאי נשאת ע"פ עדים דעת רב (צא. ופח:) דמותרת לחזור]</w:t>
      </w:r>
      <w:r w:rsidRPr="00AF3214">
        <w:rPr>
          <w:rFonts w:ascii="Narkisim" w:hAnsi="Narkisim"/>
        </w:rPr>
        <w:t>.</w:t>
      </w:r>
    </w:p>
    <w:p w14:paraId="162B8112" w14:textId="77777777" w:rsidR="006C4368" w:rsidRPr="00AF3214" w:rsidRDefault="006C4368" w:rsidP="006C4368">
      <w:pPr>
        <w:bidi/>
        <w:rPr>
          <w:rFonts w:ascii="Narkisim" w:hAnsi="Narkisim" w:cs="Narkisim"/>
        </w:rPr>
      </w:pPr>
      <w:r w:rsidRPr="00AF3214">
        <w:rPr>
          <w:rFonts w:ascii="Narkisim" w:hAnsi="Narkisim" w:cs="Narkisim"/>
          <w:u w:val="single"/>
          <w:rtl/>
        </w:rPr>
        <w:t>ואמר רב הונא וכו' דרב אמר הרי היא כאשת איש ואסורה ליבם</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דאסורה לבעלה הראשון, שהוא עכשיו יבמה [דכלפי שני שנשואה לו עכשיו, בעלה הראשון הוה יבמה]. וה</w:t>
      </w:r>
      <w:r w:rsidRPr="00AF3214">
        <w:rPr>
          <w:rFonts w:ascii="Narkisim" w:hAnsi="Narkisim" w:cs="Narkisim"/>
          <w:b/>
          <w:bCs/>
          <w:rtl/>
        </w:rPr>
        <w:t>ראשונים</w:t>
      </w:r>
      <w:r w:rsidRPr="00AF3214">
        <w:rPr>
          <w:rFonts w:ascii="Narkisim" w:hAnsi="Narkisim" w:cs="Narkisim"/>
          <w:rtl/>
        </w:rPr>
        <w:t xml:space="preserve"> הק' דל"מ כן. ו</w:t>
      </w:r>
      <w:r w:rsidRPr="00AF3214">
        <w:rPr>
          <w:rFonts w:ascii="Narkisim" w:hAnsi="Narkisim" w:cs="Narkisim"/>
          <w:b/>
          <w:bCs/>
          <w:rtl/>
        </w:rPr>
        <w:t>ר"ח</w:t>
      </w:r>
      <w:r w:rsidRPr="00AF3214">
        <w:rPr>
          <w:rFonts w:ascii="Narkisim" w:hAnsi="Narkisim" w:cs="Narkisim"/>
          <w:rtl/>
        </w:rPr>
        <w:t xml:space="preserve"> (הו' ברשב"א) פי' דאסורה לשני [יבמה זה שנשאה עכשיו]. דתצא מזה ומזה, ואף דאח"כ מת בעלה הראשון אסור ליבם לעולם, שהרי כבר נאסרה על אחיו</w:t>
      </w:r>
      <w:r w:rsidRPr="00AF3214">
        <w:rPr>
          <w:rStyle w:val="ac"/>
          <w:rFonts w:ascii="Narkisim" w:hAnsi="Narkisim" w:cs="Narkisim"/>
          <w:rtl/>
        </w:rPr>
        <w:footnoteReference w:id="6182"/>
      </w:r>
      <w:r w:rsidRPr="00AF3214">
        <w:rPr>
          <w:rFonts w:ascii="Narkisim" w:hAnsi="Narkisim" w:cs="Narkisim"/>
        </w:rPr>
        <w:t>.</w:t>
      </w:r>
    </w:p>
    <w:p w14:paraId="1E034C4F" w14:textId="77777777" w:rsidR="006C4368" w:rsidRPr="00AF3214" w:rsidRDefault="006C4368" w:rsidP="006C4368">
      <w:pPr>
        <w:pStyle w:val="a8"/>
        <w:bidi/>
        <w:rPr>
          <w:rFonts w:ascii="Narkisim" w:hAnsi="Narkisim"/>
        </w:rPr>
      </w:pPr>
      <w:r w:rsidRPr="00AF3214">
        <w:rPr>
          <w:rFonts w:ascii="Narkisim" w:hAnsi="Narkisim"/>
          <w:rtl/>
        </w:rPr>
        <w:t xml:space="preserve">ולפ"ז מבואר דלדעת שמואל אינה נאסרת אף לשני. [וכשימות בעלה מתייבמת]. ולא קנסו לאסור לשני. אבל </w:t>
      </w:r>
      <w:r w:rsidRPr="00AF3214">
        <w:rPr>
          <w:rFonts w:ascii="Narkisim" w:hAnsi="Narkisim"/>
          <w:b/>
          <w:bCs/>
          <w:rtl/>
        </w:rPr>
        <w:t>רע"א</w:t>
      </w:r>
      <w:r w:rsidRPr="00AF3214">
        <w:rPr>
          <w:rFonts w:ascii="Narkisim" w:hAnsi="Narkisim"/>
          <w:rtl/>
        </w:rPr>
        <w:t xml:space="preserve"> (לקמן קיז.) העלה צד דכו"ע מודו דאסורה לשני. ורע"א ביאר דהאיסור לבעל י"ל דהוה משום גזירה שמא יאמרו גירש זה ונשא זה. אבל האיסור לשני לא שייך גזירה זו, וע"כ לכו"ע הוה משום קנס</w:t>
      </w:r>
      <w:r w:rsidRPr="00AF3214">
        <w:rPr>
          <w:rStyle w:val="ac"/>
          <w:rFonts w:ascii="Narkisim" w:hAnsi="Narkisim"/>
          <w:rtl/>
        </w:rPr>
        <w:footnoteReference w:id="6183"/>
      </w:r>
      <w:r w:rsidRPr="00AF3214">
        <w:rPr>
          <w:rFonts w:ascii="Narkisim" w:hAnsi="Narkisim"/>
        </w:rPr>
        <w:t xml:space="preserve">. </w:t>
      </w:r>
      <w:r w:rsidRPr="00AF3214">
        <w:rPr>
          <w:rFonts w:ascii="Narkisim" w:hAnsi="Narkisim"/>
          <w:rtl/>
        </w:rPr>
        <w:t>ואף ביבמה [ואשת גיסו] אסורה לשני לאחר מיתת הראשון. [אך לגירסת ר"ח הנ"ל מבואר דלא כן]</w:t>
      </w:r>
      <w:r w:rsidRPr="00AF3214">
        <w:rPr>
          <w:rFonts w:ascii="Narkisim" w:hAnsi="Narkisim"/>
        </w:rPr>
        <w:t>.</w:t>
      </w:r>
    </w:p>
    <w:p w14:paraId="7F933216" w14:textId="77777777" w:rsidR="006C4368" w:rsidRPr="00AF3214" w:rsidRDefault="006C4368" w:rsidP="006C4368">
      <w:pPr>
        <w:bidi/>
        <w:rPr>
          <w:rFonts w:ascii="Narkisim" w:hAnsi="Narkisim" w:cs="Narkisim"/>
        </w:rPr>
      </w:pPr>
      <w:r w:rsidRPr="00AF3214">
        <w:rPr>
          <w:rFonts w:ascii="Narkisim" w:hAnsi="Narkisim" w:cs="Narkisim"/>
          <w:u w:val="single"/>
          <w:rtl/>
        </w:rPr>
        <w:t>ושמואל אמר אינה כאשת איש, ושריא ליה</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לבעלה הראשון]. דאפי' שהיתה ארוסה של אחיו אי"צ גט, פ</w:t>
      </w:r>
      <w:r w:rsidRPr="00AF3214">
        <w:rPr>
          <w:rFonts w:ascii="Narkisim" w:hAnsi="Narkisim" w:cs="Narkisim"/>
          <w:b/>
          <w:bCs/>
          <w:rtl/>
        </w:rPr>
        <w:t>רש"י</w:t>
      </w:r>
      <w:r w:rsidRPr="00AF3214">
        <w:rPr>
          <w:rFonts w:ascii="Narkisim" w:hAnsi="Narkisim" w:cs="Narkisim"/>
          <w:rtl/>
        </w:rPr>
        <w:t xml:space="preserve"> שהאנשים לא יאמרו שהיה תנאי, דמילתא דלא שכיחא היא</w:t>
      </w:r>
      <w:r w:rsidRPr="00AF3214">
        <w:rPr>
          <w:rStyle w:val="ac"/>
          <w:rFonts w:ascii="Narkisim" w:hAnsi="Narkisim" w:cs="Narkisim"/>
          <w:rtl/>
        </w:rPr>
        <w:footnoteReference w:id="6184"/>
      </w:r>
      <w:r w:rsidRPr="00AF3214">
        <w:rPr>
          <w:rFonts w:ascii="Narkisim" w:hAnsi="Narkisim" w:cs="Narkisim"/>
        </w:rPr>
        <w:t xml:space="preserve">. </w:t>
      </w:r>
      <w:r w:rsidRPr="00AF3214">
        <w:rPr>
          <w:rFonts w:ascii="Narkisim" w:hAnsi="Narkisim" w:cs="Narkisim"/>
          <w:rtl/>
        </w:rPr>
        <w:t>וכיון דליכא חשש שיאמרו גירש זה מותרת לבעלה הראשון</w:t>
      </w:r>
      <w:r w:rsidRPr="00AF3214">
        <w:rPr>
          <w:rFonts w:ascii="Narkisim" w:hAnsi="Narkisim" w:cs="Narkisim"/>
        </w:rPr>
        <w:t>.</w:t>
      </w:r>
    </w:p>
    <w:p w14:paraId="4CF56975" w14:textId="77777777" w:rsidR="006C4368" w:rsidRPr="00AF3214" w:rsidRDefault="006C4368" w:rsidP="006C4368">
      <w:pPr>
        <w:bidi/>
        <w:rPr>
          <w:rFonts w:ascii="Narkisim" w:hAnsi="Narkisim" w:cs="Narkisim"/>
        </w:rPr>
      </w:pPr>
      <w:r w:rsidRPr="00AF3214">
        <w:rPr>
          <w:rFonts w:ascii="Narkisim" w:hAnsi="Narkisim" w:cs="Narkisim"/>
          <w:rtl/>
        </w:rPr>
        <w:t>ו</w:t>
      </w:r>
      <w:r w:rsidRPr="00AF3214">
        <w:rPr>
          <w:rFonts w:ascii="Narkisim" w:hAnsi="Narkisim" w:cs="Narkisim"/>
          <w:b/>
          <w:bCs/>
          <w:rtl/>
        </w:rPr>
        <w:t>רש"י</w:t>
      </w:r>
      <w:r w:rsidRPr="00AF3214">
        <w:rPr>
          <w:rFonts w:ascii="Narkisim" w:hAnsi="Narkisim" w:cs="Narkisim"/>
          <w:rtl/>
        </w:rPr>
        <w:t xml:space="preserve"> ו</w:t>
      </w:r>
      <w:r w:rsidRPr="00AF3214">
        <w:rPr>
          <w:rFonts w:ascii="Narkisim" w:hAnsi="Narkisim" w:cs="Narkisim"/>
          <w:b/>
          <w:bCs/>
          <w:rtl/>
        </w:rPr>
        <w:t>תוס'</w:t>
      </w:r>
      <w:r w:rsidRPr="00AF3214">
        <w:rPr>
          <w:rFonts w:ascii="Narkisim" w:hAnsi="Narkisim" w:cs="Narkisim"/>
          <w:rtl/>
        </w:rPr>
        <w:t xml:space="preserve"> הק' דלעיל מבואר דדעת רבנן דאשת גיסו אסורה על גיסו, ו</w:t>
      </w:r>
      <w:r w:rsidRPr="00AF3214">
        <w:rPr>
          <w:rFonts w:ascii="Narkisim" w:hAnsi="Narkisim" w:cs="Narkisim"/>
          <w:b/>
          <w:bCs/>
          <w:rtl/>
        </w:rPr>
        <w:t>רש"י</w:t>
      </w:r>
      <w:r w:rsidRPr="00AF3214">
        <w:rPr>
          <w:rFonts w:ascii="Narkisim" w:hAnsi="Narkisim" w:cs="Narkisim"/>
          <w:rtl/>
        </w:rPr>
        <w:t xml:space="preserve"> (לעיל ד"ה וקא"ל הב') ביאר הטעם דאף דל"ש גזירה שמא יאמרו מחזיר גרושתו, אפ"ה קנסוה רבנן משום דלא דייקא שפיר. א"כ אף ביבמה נימא הכי. ו</w:t>
      </w:r>
      <w:r w:rsidRPr="00AF3214">
        <w:rPr>
          <w:rFonts w:ascii="Narkisim" w:hAnsi="Narkisim" w:cs="Narkisim"/>
          <w:b/>
          <w:bCs/>
          <w:rtl/>
        </w:rPr>
        <w:t>תוס'</w:t>
      </w:r>
      <w:r w:rsidRPr="00AF3214">
        <w:rPr>
          <w:rFonts w:ascii="Narkisim" w:hAnsi="Narkisim" w:cs="Narkisim"/>
          <w:rtl/>
        </w:rPr>
        <w:t xml:space="preserve"> (סוד"ה וקאמר) תי' דשמואל סבר בחדא כר' יוסי, דלא אסרו משום קנס</w:t>
      </w:r>
      <w:r w:rsidRPr="00AF3214">
        <w:rPr>
          <w:rFonts w:ascii="Narkisim" w:hAnsi="Narkisim" w:cs="Narkisim"/>
        </w:rPr>
        <w:t>.</w:t>
      </w:r>
    </w:p>
    <w:p w14:paraId="7DDB83E5"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(במשניות אות פה) תמה מנ"ל לרב ושמואל דתלי בגזירה דמחזיר גרושתו, כיון דת"ק סבר דאף היכא דל"צ גזירה אסורה משום קנס. ומנ"ל לחלוק</w:t>
      </w:r>
      <w:r w:rsidRPr="00AF3214">
        <w:rPr>
          <w:rStyle w:val="ac"/>
          <w:rFonts w:ascii="Narkisim" w:hAnsi="Narkisim"/>
          <w:rtl/>
        </w:rPr>
        <w:footnoteReference w:id="6185"/>
      </w:r>
      <w:r w:rsidRPr="00AF3214">
        <w:rPr>
          <w:rFonts w:ascii="Narkisim" w:hAnsi="Narkisim"/>
        </w:rPr>
        <w:t xml:space="preserve">. </w:t>
      </w:r>
      <w:r w:rsidRPr="00AF3214">
        <w:rPr>
          <w:rFonts w:ascii="Narkisim" w:hAnsi="Narkisim"/>
          <w:rtl/>
        </w:rPr>
        <w:t>ותיפו"ל דאסורה לראשון משום זונה, כיון דהו"ל למידק. וצע"ג וד' יחנני וילמדני</w:t>
      </w:r>
      <w:r w:rsidRPr="00AF3214">
        <w:rPr>
          <w:rFonts w:ascii="Narkisim" w:hAnsi="Narkisim"/>
        </w:rPr>
        <w:t>.</w:t>
      </w:r>
    </w:p>
    <w:p w14:paraId="695FD296"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רש"י</w:t>
      </w:r>
      <w:r w:rsidRPr="00AF3214">
        <w:rPr>
          <w:rFonts w:ascii="Narkisim" w:hAnsi="Narkisim"/>
          <w:rtl/>
        </w:rPr>
        <w:t xml:space="preserve"> (ד"ה דלמא אדר' אמי) תי' דבאשת גיסו יש טעם חדש, שמא גיסו יבא קודם לאשת גיסו</w:t>
      </w:r>
      <w:r w:rsidRPr="00AF3214">
        <w:rPr>
          <w:rStyle w:val="ac"/>
          <w:rFonts w:ascii="Narkisim" w:hAnsi="Narkisim"/>
          <w:rtl/>
        </w:rPr>
        <w:footnoteReference w:id="6186"/>
      </w:r>
      <w:r w:rsidRPr="00AF3214">
        <w:rPr>
          <w:rFonts w:ascii="Narkisim" w:hAnsi="Narkisim"/>
        </w:rPr>
        <w:t xml:space="preserve">, </w:t>
      </w:r>
      <w:r w:rsidRPr="00AF3214">
        <w:rPr>
          <w:rFonts w:ascii="Narkisim" w:hAnsi="Narkisim"/>
          <w:rtl/>
        </w:rPr>
        <w:t>ושייך שמא יאמרו. [ולא משום קנס]. וכ"פ ה</w:t>
      </w:r>
      <w:r w:rsidRPr="00AF3214">
        <w:rPr>
          <w:rFonts w:ascii="Narkisim" w:hAnsi="Narkisim"/>
          <w:b/>
          <w:bCs/>
          <w:rtl/>
        </w:rPr>
        <w:t>שו"ע</w:t>
      </w:r>
      <w:r w:rsidRPr="00AF3214">
        <w:rPr>
          <w:rFonts w:ascii="Narkisim" w:hAnsi="Narkisim"/>
          <w:rtl/>
        </w:rPr>
        <w:t xml:space="preserve"> (טו כח)</w:t>
      </w:r>
      <w:r w:rsidRPr="00AF3214">
        <w:rPr>
          <w:rFonts w:ascii="Narkisim" w:hAnsi="Narkisim"/>
        </w:rPr>
        <w:t>.</w:t>
      </w:r>
    </w:p>
    <w:p w14:paraId="1C1EC200"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(לעיל צג: סוד"ה עד א') הביאו מכאן דהיכא דנתייבמה מותרת לחזור לבעלה הראשון</w:t>
      </w:r>
      <w:r w:rsidRPr="00AF3214">
        <w:rPr>
          <w:rStyle w:val="ac"/>
          <w:rFonts w:ascii="Narkisim" w:hAnsi="Narkisim"/>
          <w:rtl/>
        </w:rPr>
        <w:footnoteReference w:id="6187"/>
      </w:r>
      <w:r w:rsidRPr="00AF3214">
        <w:rPr>
          <w:rFonts w:ascii="Narkisim" w:hAnsi="Narkisim"/>
        </w:rPr>
        <w:t xml:space="preserve">, </w:t>
      </w:r>
      <w:r w:rsidRPr="00AF3214">
        <w:rPr>
          <w:rFonts w:ascii="Narkisim" w:hAnsi="Narkisim"/>
          <w:rtl/>
        </w:rPr>
        <w:t>והק' א"כ ליכא חומר בסופה</w:t>
      </w:r>
      <w:r w:rsidRPr="00AF3214">
        <w:rPr>
          <w:rFonts w:ascii="Narkisim" w:hAnsi="Narkisim"/>
        </w:rPr>
        <w:t>.</w:t>
      </w:r>
    </w:p>
    <w:p w14:paraId="630536FD" w14:textId="77777777" w:rsidR="006C4368" w:rsidRPr="00AF3214" w:rsidRDefault="006C4368" w:rsidP="006C4368">
      <w:pPr>
        <w:pStyle w:val="aa"/>
        <w:bidi/>
        <w:rPr>
          <w:rFonts w:ascii="Narkisim" w:hAnsi="Narkisim"/>
        </w:rPr>
      </w:pPr>
      <w:r w:rsidRPr="00AF3214">
        <w:rPr>
          <w:rFonts w:ascii="Narkisim" w:hAnsi="Narkisim"/>
          <w:rtl/>
        </w:rPr>
        <w:lastRenderedPageBreak/>
        <w:t>וה</w:t>
      </w:r>
      <w:r w:rsidRPr="00AF3214">
        <w:rPr>
          <w:rFonts w:ascii="Narkisim" w:hAnsi="Narkisim"/>
          <w:b/>
          <w:bCs/>
          <w:rtl/>
        </w:rPr>
        <w:t>או"ש</w:t>
      </w:r>
      <w:r w:rsidRPr="00AF3214">
        <w:rPr>
          <w:rFonts w:ascii="Narkisim" w:hAnsi="Narkisim"/>
          <w:rtl/>
        </w:rPr>
        <w:t xml:space="preserve"> (י ח ד"ה ובזה) כת' דגבי יבום יש טעם נוסף, דמתייבמת בע"כ, ומש"ה ל"ש קנס</w:t>
      </w:r>
      <w:r w:rsidRPr="00AF3214">
        <w:rPr>
          <w:rStyle w:val="ac"/>
          <w:rFonts w:ascii="Narkisim" w:hAnsi="Narkisim"/>
          <w:rtl/>
        </w:rPr>
        <w:footnoteReference w:id="6188"/>
      </w:r>
      <w:r w:rsidRPr="00AF3214">
        <w:rPr>
          <w:rFonts w:ascii="Narkisim" w:hAnsi="Narkisim"/>
        </w:rPr>
        <w:t xml:space="preserve">. </w:t>
      </w:r>
      <w:r w:rsidRPr="00AF3214">
        <w:rPr>
          <w:rFonts w:ascii="Narkisim" w:hAnsi="Narkisim"/>
          <w:rtl/>
        </w:rPr>
        <w:t>ומש"ה אינה אסורה אלא היכא דשייך גזירה דגירש זה ונשא זה</w:t>
      </w:r>
      <w:r w:rsidRPr="00AF3214">
        <w:rPr>
          <w:rFonts w:ascii="Narkisim" w:hAnsi="Narkisim"/>
        </w:rPr>
        <w:t>.</w:t>
      </w:r>
    </w:p>
    <w:p w14:paraId="5A1B8291"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ב"י</w:t>
      </w:r>
      <w:r w:rsidRPr="00AF3214">
        <w:rPr>
          <w:rFonts w:ascii="Narkisim" w:hAnsi="Narkisim" w:cs="Narkisim"/>
          <w:rtl/>
        </w:rPr>
        <w:t xml:space="preserve"> (בדק הבית קנט) הביא דמבואר ברש"י בסוגיין [דלמסקנא] נאסרת על הראשון משום גזירה שמא יאמרו גירש זה ונשא זה. והק' ד</w:t>
      </w:r>
      <w:r w:rsidRPr="00AF3214">
        <w:rPr>
          <w:rFonts w:ascii="Narkisim" w:hAnsi="Narkisim" w:cs="Narkisim"/>
          <w:b/>
          <w:bCs/>
          <w:rtl/>
        </w:rPr>
        <w:t>רש"י</w:t>
      </w:r>
      <w:r w:rsidRPr="00AF3214">
        <w:rPr>
          <w:rFonts w:ascii="Narkisim" w:hAnsi="Narkisim" w:cs="Narkisim"/>
          <w:rtl/>
        </w:rPr>
        <w:t xml:space="preserve"> (לעיל פז:) כת' דאסורה כדין אשת איש שזינתה ומשום קנס</w:t>
      </w:r>
      <w:r w:rsidRPr="00AF3214">
        <w:rPr>
          <w:rFonts w:ascii="Narkisim" w:hAnsi="Narkisim" w:cs="Narkisim"/>
        </w:rPr>
        <w:t>.</w:t>
      </w:r>
    </w:p>
    <w:p w14:paraId="6C6CDBC6" w14:textId="77777777" w:rsidR="006C4368" w:rsidRPr="00AF3214" w:rsidRDefault="006C4368" w:rsidP="006C4368">
      <w:pPr>
        <w:pStyle w:val="a7"/>
        <w:bidi/>
        <w:rPr>
          <w:rFonts w:ascii="Narkisim" w:hAnsi="Narkisim"/>
        </w:rPr>
      </w:pPr>
      <w:r w:rsidRPr="00AF3214">
        <w:rPr>
          <w:rFonts w:ascii="Narkisim" w:hAnsi="Narkisim"/>
          <w:rtl/>
        </w:rPr>
        <w:t>אך הביא דה</w:t>
      </w:r>
      <w:r w:rsidRPr="00AF3214">
        <w:rPr>
          <w:rFonts w:ascii="Narkisim" w:hAnsi="Narkisim"/>
          <w:b/>
          <w:bCs/>
          <w:rtl/>
        </w:rPr>
        <w:t>רמב"ם</w:t>
      </w:r>
      <w:r w:rsidRPr="00AF3214">
        <w:rPr>
          <w:rFonts w:ascii="Narkisim" w:hAnsi="Narkisim"/>
          <w:rtl/>
        </w:rPr>
        <w:t xml:space="preserve"> (גירושין י ח,ט) כת' דין זה רק לענין שאי"צ גט</w:t>
      </w:r>
      <w:r w:rsidRPr="00AF3214">
        <w:rPr>
          <w:rStyle w:val="ac"/>
          <w:rFonts w:ascii="Narkisim" w:hAnsi="Narkisim"/>
          <w:rtl/>
        </w:rPr>
        <w:footnoteReference w:id="6189"/>
      </w:r>
      <w:r w:rsidRPr="00AF3214">
        <w:rPr>
          <w:rFonts w:ascii="Narkisim" w:hAnsi="Narkisim"/>
        </w:rPr>
        <w:t xml:space="preserve">. </w:t>
      </w:r>
      <w:r w:rsidRPr="00AF3214">
        <w:rPr>
          <w:rFonts w:ascii="Narkisim" w:hAnsi="Narkisim"/>
          <w:rtl/>
        </w:rPr>
        <w:t>ולכאורה משמע דאפ"ה אסורה משום קנס</w:t>
      </w:r>
      <w:r w:rsidRPr="00AF3214">
        <w:rPr>
          <w:rStyle w:val="ac"/>
          <w:rFonts w:ascii="Narkisim" w:hAnsi="Narkisim"/>
          <w:rtl/>
        </w:rPr>
        <w:footnoteReference w:id="6190"/>
      </w:r>
      <w:r w:rsidRPr="00AF3214">
        <w:rPr>
          <w:rFonts w:ascii="Narkisim" w:hAnsi="Narkisim"/>
        </w:rPr>
        <w:t xml:space="preserve">. </w:t>
      </w:r>
      <w:r w:rsidRPr="00AF3214">
        <w:rPr>
          <w:rFonts w:ascii="Narkisim" w:hAnsi="Narkisim"/>
          <w:rtl/>
        </w:rPr>
        <w:t>[וכמ"ש רש"י לעיל בדעת ת"ק לר' יצחק נפחא, וכ"כ תוס' לעיל צד:, וע' מש"כ בזה</w:t>
      </w:r>
      <w:r w:rsidRPr="00AF3214">
        <w:rPr>
          <w:rStyle w:val="ac"/>
          <w:rFonts w:ascii="Narkisim" w:hAnsi="Narkisim"/>
          <w:rtl/>
        </w:rPr>
        <w:footnoteReference w:id="6191"/>
      </w:r>
      <w:r w:rsidRPr="00AF3214">
        <w:rPr>
          <w:rFonts w:ascii="Narkisim" w:hAnsi="Narkisim"/>
          <w:rtl/>
        </w:rPr>
        <w:t>]. אך הב"י לא יישב את דברי הגמ' דשריא ליה. וצ"ע</w:t>
      </w:r>
      <w:r w:rsidRPr="00AF3214">
        <w:rPr>
          <w:rStyle w:val="ac"/>
          <w:rFonts w:ascii="Narkisim" w:hAnsi="Narkisim"/>
          <w:rtl/>
        </w:rPr>
        <w:footnoteReference w:id="6192"/>
      </w:r>
      <w:r w:rsidRPr="00AF3214">
        <w:rPr>
          <w:rFonts w:ascii="Narkisim" w:hAnsi="Narkisim"/>
        </w:rPr>
        <w:t>.</w:t>
      </w:r>
    </w:p>
    <w:p w14:paraId="273838BC" w14:textId="77777777" w:rsidR="006C4368" w:rsidRPr="00AF3214" w:rsidRDefault="006C4368" w:rsidP="006C4368">
      <w:pPr>
        <w:bidi/>
        <w:rPr>
          <w:rFonts w:ascii="Narkisim" w:hAnsi="Narkisim" w:cs="Narkisim"/>
        </w:rPr>
      </w:pPr>
      <w:r w:rsidRPr="00AF3214">
        <w:rPr>
          <w:rFonts w:ascii="Narkisim" w:hAnsi="Narkisim" w:cs="Narkisim"/>
          <w:u w:val="single"/>
          <w:rtl/>
        </w:rPr>
        <w:t>וממאי דכי אמר שמואל הלכה כר"י אדר"י נפחא קאמר, דלמא אדר' אמי קאמר, וא"נ וכו' [צו.] ודילמא אאינו פוסל וכו'</w:t>
      </w:r>
      <w:r w:rsidRPr="00AF3214">
        <w:rPr>
          <w:rFonts w:ascii="Narkisim" w:hAnsi="Narkisim" w:cs="Narkisim"/>
          <w:rtl/>
        </w:rPr>
        <w:t>. ה</w:t>
      </w:r>
      <w:r w:rsidRPr="00AF3214">
        <w:rPr>
          <w:rFonts w:ascii="Narkisim" w:hAnsi="Narkisim" w:cs="Narkisim"/>
          <w:b/>
          <w:bCs/>
          <w:rtl/>
        </w:rPr>
        <w:t>רי"ף</w:t>
      </w:r>
      <w:r w:rsidRPr="00AF3214">
        <w:rPr>
          <w:rFonts w:ascii="Narkisim" w:hAnsi="Narkisim" w:cs="Narkisim"/>
          <w:rtl/>
        </w:rPr>
        <w:t xml:space="preserve"> כת' דלא אתברר פסק הלכה, הילכך אשת גיסו אסורה אגיסו מספק</w:t>
      </w:r>
      <w:r w:rsidRPr="00AF3214">
        <w:rPr>
          <w:rFonts w:ascii="Narkisim" w:hAnsi="Narkisim" w:cs="Narkisim"/>
        </w:rPr>
        <w:t>.</w:t>
      </w:r>
    </w:p>
    <w:p w14:paraId="32E55D3D"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רא"ש</w:t>
      </w:r>
      <w:r w:rsidRPr="00AF3214">
        <w:rPr>
          <w:rFonts w:ascii="Narkisim" w:hAnsi="Narkisim"/>
          <w:rtl/>
        </w:rPr>
        <w:t xml:space="preserve"> כת' דהעיקר כאוקימתא דמח' רב ושמואל אי יבמה כאשת איש, כרב הונא דאיירי בקידושין</w:t>
      </w:r>
      <w:r w:rsidRPr="00AF3214">
        <w:rPr>
          <w:rStyle w:val="ac"/>
          <w:rFonts w:ascii="Narkisim" w:hAnsi="Narkisim"/>
          <w:rtl/>
        </w:rPr>
        <w:footnoteReference w:id="6193"/>
      </w:r>
      <w:r w:rsidRPr="00AF3214">
        <w:rPr>
          <w:rFonts w:ascii="Narkisim" w:hAnsi="Narkisim"/>
        </w:rPr>
        <w:t xml:space="preserve">, </w:t>
      </w:r>
      <w:r w:rsidRPr="00AF3214">
        <w:rPr>
          <w:rFonts w:ascii="Narkisim" w:hAnsi="Narkisim"/>
          <w:rtl/>
        </w:rPr>
        <w:t>וקי"ל כרב באיסורי. א"כ קי"ל כר' עקיבא (לעיל צד:) דהיכא דקידש צריכה גט, דחיישינן לתנאי</w:t>
      </w:r>
      <w:r w:rsidRPr="00AF3214">
        <w:rPr>
          <w:rFonts w:ascii="Narkisim" w:hAnsi="Narkisim"/>
        </w:rPr>
        <w:t>.</w:t>
      </w:r>
    </w:p>
    <w:p w14:paraId="2436B7F1" w14:textId="77777777" w:rsidR="006C4368" w:rsidRPr="00AF3214" w:rsidRDefault="006C4368" w:rsidP="006C4368">
      <w:pPr>
        <w:pStyle w:val="a8"/>
        <w:bidi/>
        <w:rPr>
          <w:rFonts w:ascii="Narkisim" w:hAnsi="Narkisim"/>
        </w:rPr>
      </w:pPr>
      <w:r w:rsidRPr="00AF3214">
        <w:rPr>
          <w:rFonts w:ascii="Narkisim" w:hAnsi="Narkisim"/>
          <w:rtl/>
        </w:rPr>
        <w:t>ומבואר ברא"ש דהנידון בסוגיין האם נאסרת אראשון תלי במח' ר"ע ורבנן אי צריכה גט</w:t>
      </w:r>
      <w:r w:rsidRPr="00AF3214">
        <w:rPr>
          <w:rFonts w:ascii="Narkisim" w:hAnsi="Narkisim"/>
        </w:rPr>
        <w:t>.</w:t>
      </w:r>
    </w:p>
    <w:p w14:paraId="623B56AA" w14:textId="77777777" w:rsidR="006C4368" w:rsidRPr="00AF3214" w:rsidRDefault="006C4368" w:rsidP="006C4368">
      <w:pPr>
        <w:pStyle w:val="3"/>
        <w:bidi/>
        <w:rPr>
          <w:rFonts w:ascii="Narkisim" w:hAnsi="Narkisim"/>
        </w:rPr>
      </w:pPr>
      <w:r w:rsidRPr="00AF3214">
        <w:rPr>
          <w:rFonts w:ascii="Narkisim" w:hAnsi="Narkisim"/>
          <w:rtl/>
        </w:rPr>
        <w:t>דף צו</w:t>
      </w:r>
      <w:r w:rsidRPr="00AF3214">
        <w:rPr>
          <w:rFonts w:ascii="Narkisim" w:hAnsi="Narkisim"/>
        </w:rPr>
        <w:t>.</w:t>
      </w:r>
    </w:p>
    <w:p w14:paraId="1978A7DA" w14:textId="77777777" w:rsidR="006C4368" w:rsidRPr="00AF3214" w:rsidRDefault="006C4368" w:rsidP="006C4368">
      <w:pPr>
        <w:bidi/>
        <w:rPr>
          <w:rFonts w:ascii="Narkisim" w:hAnsi="Narkisim" w:cs="Narkisim"/>
        </w:rPr>
      </w:pPr>
      <w:r w:rsidRPr="00AF3214">
        <w:rPr>
          <w:rFonts w:ascii="Narkisim" w:hAnsi="Narkisim" w:cs="Narkisim"/>
          <w:u w:val="single"/>
          <w:rtl/>
        </w:rPr>
        <w:t>ובדרב המנונא קמיפלגי וכו' דרב אמר ה"ה כאשת איש ומיפסלא בזנות וכו'</w:t>
      </w:r>
      <w:r w:rsidRPr="00AF3214">
        <w:rPr>
          <w:rFonts w:ascii="Narkisim" w:hAnsi="Narkisim" w:cs="Narkisim"/>
          <w:rtl/>
        </w:rPr>
        <w:t>. ה</w:t>
      </w:r>
      <w:r w:rsidRPr="00AF3214">
        <w:rPr>
          <w:rFonts w:ascii="Narkisim" w:hAnsi="Narkisim" w:cs="Narkisim"/>
          <w:b/>
          <w:bCs/>
          <w:rtl/>
        </w:rPr>
        <w:t>אתוון דאורייתא</w:t>
      </w:r>
      <w:r w:rsidRPr="00AF3214">
        <w:rPr>
          <w:rFonts w:ascii="Narkisim" w:hAnsi="Narkisim" w:cs="Narkisim"/>
          <w:rtl/>
        </w:rPr>
        <w:t xml:space="preserve"> (ח ד"ה וע"ע ביבמות) העיר אמאי נקטו המח' אי כאשת איש או לאו כאשת איש, הו"ל לפרש עיקר המח' אי נפסל בזנות</w:t>
      </w:r>
      <w:r w:rsidRPr="00AF3214">
        <w:rPr>
          <w:rFonts w:ascii="Narkisim" w:hAnsi="Narkisim" w:cs="Narkisim"/>
        </w:rPr>
        <w:t>.</w:t>
      </w:r>
    </w:p>
    <w:p w14:paraId="44CC25D8" w14:textId="77777777" w:rsidR="006C4368" w:rsidRPr="00AF3214" w:rsidRDefault="006C4368" w:rsidP="006C4368">
      <w:pPr>
        <w:pStyle w:val="a7"/>
        <w:bidi/>
        <w:rPr>
          <w:rFonts w:ascii="Narkisim" w:hAnsi="Narkisim"/>
        </w:rPr>
      </w:pPr>
      <w:r w:rsidRPr="00AF3214">
        <w:rPr>
          <w:rFonts w:ascii="Narkisim" w:hAnsi="Narkisim"/>
          <w:rtl/>
        </w:rPr>
        <w:t>וביאר דרב ס"ל דגדר האיסור יבמה לשוק מחמת האישות שיש בינה ובין היבם, ומש"ה מיפסלא בזנות, דזנות פוסל באישות, וכמו באשת איש ממש. ואילו שמואל ס"ל דאיסור יבמה לשוק הוה איסור ביאה גרידא הוא, ולא גדר אישות כלל. [וע"ע מש"כ לעיל יז: בזה]</w:t>
      </w:r>
      <w:r w:rsidRPr="00AF3214">
        <w:rPr>
          <w:rFonts w:ascii="Narkisim" w:hAnsi="Narkisim"/>
        </w:rPr>
        <w:t>.</w:t>
      </w:r>
    </w:p>
    <w:p w14:paraId="66D4AC87" w14:textId="77777777" w:rsidR="006C4368" w:rsidRPr="00AF3214" w:rsidRDefault="006C4368" w:rsidP="006C4368">
      <w:pPr>
        <w:pStyle w:val="aa"/>
        <w:bidi/>
        <w:rPr>
          <w:rFonts w:ascii="Narkisim" w:hAnsi="Narkisim"/>
        </w:rPr>
      </w:pPr>
      <w:r w:rsidRPr="00AF3214">
        <w:rPr>
          <w:rFonts w:ascii="Narkisim" w:hAnsi="Narkisim"/>
          <w:u w:val="single"/>
          <w:rtl/>
        </w:rPr>
        <w:t>וא"נ בקידושין תופסים ביבמה וכו' ושמואל אמר אינה כאשת איש, ותפסי בה קידושין וכו'</w:t>
      </w:r>
      <w:r w:rsidRPr="00AF3214">
        <w:rPr>
          <w:rFonts w:ascii="Narkisim" w:hAnsi="Narkisim"/>
          <w:rtl/>
        </w:rPr>
        <w:t>. [ושמואל לשיטתו לע' צב: דצריכה גט מספק, וה"נ מספק אינה כאשת איש, ומש"ה צריכה גט]</w:t>
      </w:r>
      <w:r w:rsidRPr="00AF3214">
        <w:rPr>
          <w:rFonts w:ascii="Narkisim" w:hAnsi="Narkisim"/>
        </w:rPr>
        <w:t>.</w:t>
      </w:r>
    </w:p>
    <w:p w14:paraId="07EBA7D0"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הביאו דמשמע בסוגיין דאף ללישנא דל"ל דרב המנונא, אפ"ה נח' אי תפסי קידושין. וכדעת רוב הראשונים, ודלא כ</w:t>
      </w:r>
      <w:r w:rsidRPr="00AF3214">
        <w:rPr>
          <w:rFonts w:ascii="Narkisim" w:hAnsi="Narkisim"/>
          <w:b/>
          <w:bCs/>
          <w:rtl/>
        </w:rPr>
        <w:t>תוס'</w:t>
      </w:r>
      <w:r w:rsidRPr="00AF3214">
        <w:rPr>
          <w:rFonts w:ascii="Narkisim" w:hAnsi="Narkisim"/>
          <w:rtl/>
        </w:rPr>
        <w:t xml:space="preserve"> (סוטה יח: הו' לעיל צב:) דלמ"ד דלא תפסי קידושין ודאי נאסרה בזנות. וה</w:t>
      </w:r>
      <w:r w:rsidRPr="00AF3214">
        <w:rPr>
          <w:rFonts w:ascii="Narkisim" w:hAnsi="Narkisim"/>
          <w:b/>
          <w:bCs/>
          <w:rtl/>
        </w:rPr>
        <w:t>קובה"ע</w:t>
      </w:r>
      <w:r w:rsidRPr="00AF3214">
        <w:rPr>
          <w:rFonts w:ascii="Narkisim" w:hAnsi="Narkisim"/>
          <w:rtl/>
        </w:rPr>
        <w:t xml:space="preserve"> (מה ב) דייק עוד דלא תלי בהדדי, ואף לצד דאין קידושין תופסים ביבמה י"ל דנאסרת בזנות כדרב המנונא</w:t>
      </w:r>
      <w:r w:rsidRPr="00AF3214">
        <w:rPr>
          <w:rStyle w:val="ac"/>
          <w:rFonts w:ascii="Narkisim" w:hAnsi="Narkisim"/>
          <w:rtl/>
        </w:rPr>
        <w:footnoteReference w:id="6194"/>
      </w:r>
      <w:r w:rsidRPr="00AF3214">
        <w:rPr>
          <w:rFonts w:ascii="Narkisim" w:hAnsi="Narkisim"/>
        </w:rPr>
        <w:t>.</w:t>
      </w:r>
    </w:p>
    <w:p w14:paraId="76919832" w14:textId="77777777" w:rsidR="006C4368" w:rsidRPr="00AF3214" w:rsidRDefault="006C4368" w:rsidP="006C4368">
      <w:pPr>
        <w:bidi/>
        <w:rPr>
          <w:rFonts w:ascii="Narkisim" w:hAnsi="Narkisim" w:cs="Narkisim"/>
        </w:rPr>
      </w:pPr>
      <w:r w:rsidRPr="00AF3214">
        <w:rPr>
          <w:rFonts w:ascii="Narkisim" w:hAnsi="Narkisim" w:cs="Narkisim"/>
          <w:u w:val="single"/>
          <w:rtl/>
        </w:rPr>
        <w:t>אמרו לו מתה אשתך וכו' מתה ונשא אחותה מאביה, מתה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(לעיל נד:) כת' דנקט ה', דאע"פ שיש ערבוב דשלשלת אחוה. וסד"א דכיון דצריך להוציא האסורות, קמ"ל דלא גזרינן הנך דשרינן אטו הנך דאסירן</w:t>
      </w:r>
      <w:r w:rsidRPr="00AF3214">
        <w:rPr>
          <w:rFonts w:ascii="Narkisim" w:hAnsi="Narkisim" w:cs="Narkisim"/>
        </w:rPr>
        <w:t>.</w:t>
      </w:r>
    </w:p>
    <w:p w14:paraId="4A88BADD" w14:textId="77777777" w:rsidR="006C4368" w:rsidRPr="00AF3214" w:rsidRDefault="006C4368" w:rsidP="006C4368">
      <w:pPr>
        <w:bidi/>
        <w:rPr>
          <w:rFonts w:ascii="Narkisim" w:hAnsi="Narkisim" w:cs="Narkisim"/>
        </w:rPr>
      </w:pPr>
      <w:r w:rsidRPr="00AF3214">
        <w:rPr>
          <w:rFonts w:ascii="Narkisim" w:hAnsi="Narkisim" w:cs="Narkisim"/>
          <w:u w:val="single"/>
          <w:rtl/>
        </w:rPr>
        <w:t>בא על השניה לאחר מיתת הראשונה 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שאמת היה שהראשונה מתה. אבל ה</w:t>
      </w:r>
      <w:r w:rsidRPr="00AF3214">
        <w:rPr>
          <w:rFonts w:ascii="Narkisim" w:hAnsi="Narkisim" w:cs="Narkisim"/>
          <w:b/>
          <w:bCs/>
          <w:rtl/>
        </w:rPr>
        <w:t>רש"ש</w:t>
      </w:r>
      <w:r w:rsidRPr="00AF3214">
        <w:rPr>
          <w:rFonts w:ascii="Narkisim" w:hAnsi="Narkisim" w:cs="Narkisim"/>
          <w:rtl/>
        </w:rPr>
        <w:t xml:space="preserve"> </w:t>
      </w:r>
      <w:r w:rsidRPr="00AF3214">
        <w:rPr>
          <w:rFonts w:ascii="Narkisim" w:hAnsi="Narkisim" w:cs="Narkisim"/>
          <w:rtl/>
        </w:rPr>
        <w:lastRenderedPageBreak/>
        <w:t>דייק דאיירי אף שנשא השניה בחיי הראשונה, אלא דאח"כ מתה ראשונה, ועדיין שניה קיימת אצלו ובא עליה</w:t>
      </w:r>
      <w:r w:rsidRPr="00AF3214">
        <w:rPr>
          <w:rStyle w:val="ac"/>
          <w:rFonts w:ascii="Narkisim" w:hAnsi="Narkisim" w:cs="Narkisim"/>
          <w:rtl/>
        </w:rPr>
        <w:footnoteReference w:id="6195"/>
      </w:r>
      <w:r w:rsidRPr="00AF3214">
        <w:rPr>
          <w:rFonts w:ascii="Narkisim" w:hAnsi="Narkisim" w:cs="Narkisim"/>
        </w:rPr>
        <w:t xml:space="preserve">. </w:t>
      </w:r>
      <w:r w:rsidRPr="00AF3214">
        <w:rPr>
          <w:rFonts w:ascii="Narkisim" w:hAnsi="Narkisim" w:cs="Narkisim"/>
          <w:rtl/>
        </w:rPr>
        <w:t>דאמרי' דנתכוון לבא עליה לשם קדושין חדשים. שהיה יודע שהקדושין הראשונים לא היה כלום</w:t>
      </w:r>
      <w:r w:rsidRPr="00AF3214">
        <w:rPr>
          <w:rStyle w:val="ac"/>
          <w:rFonts w:ascii="Narkisim" w:hAnsi="Narkisim" w:cs="Narkisim"/>
          <w:rtl/>
        </w:rPr>
        <w:footnoteReference w:id="6196"/>
      </w:r>
      <w:r w:rsidRPr="00AF3214">
        <w:rPr>
          <w:rFonts w:ascii="Narkisim" w:hAnsi="Narkisim" w:cs="Narkisim"/>
        </w:rPr>
        <w:t xml:space="preserve">, </w:t>
      </w:r>
      <w:r w:rsidRPr="00AF3214">
        <w:rPr>
          <w:rFonts w:ascii="Narkisim" w:hAnsi="Narkisim" w:cs="Narkisim"/>
          <w:rtl/>
        </w:rPr>
        <w:t>וע"ד הא דאי' (כתובות עג:)</w:t>
      </w:r>
      <w:r w:rsidRPr="00AF3214">
        <w:rPr>
          <w:rStyle w:val="ac"/>
          <w:rFonts w:ascii="Narkisim" w:hAnsi="Narkisim" w:cs="Narkisim"/>
          <w:rtl/>
        </w:rPr>
        <w:footnoteReference w:id="6197"/>
      </w:r>
      <w:r w:rsidRPr="00AF3214">
        <w:rPr>
          <w:rFonts w:ascii="Narkisim" w:hAnsi="Narkisim" w:cs="Narkisim"/>
        </w:rPr>
        <w:t>.</w:t>
      </w:r>
    </w:p>
    <w:p w14:paraId="7A757E22" w14:textId="77777777" w:rsidR="006C4368" w:rsidRPr="00AF3214" w:rsidRDefault="006C4368" w:rsidP="006C4368">
      <w:pPr>
        <w:bidi/>
        <w:rPr>
          <w:rFonts w:ascii="Narkisim" w:hAnsi="Narkisim" w:cs="Narkisim"/>
        </w:rPr>
      </w:pPr>
      <w:r w:rsidRPr="00AF3214">
        <w:rPr>
          <w:rFonts w:ascii="Narkisim" w:hAnsi="Narkisim" w:cs="Narkisim"/>
          <w:u w:val="single"/>
          <w:rtl/>
        </w:rPr>
        <w:t>כיצד בן ט' וכו' שבא על יבמתו פסל ע"י האחים וכו</w:t>
      </w:r>
      <w:r w:rsidRPr="00AF3214">
        <w:rPr>
          <w:rFonts w:ascii="Narkisim" w:hAnsi="Narkisim" w:cs="Narkisim"/>
          <w:rtl/>
        </w:rPr>
        <w:t xml:space="preserve">'. ומבואר (בברייתא בסמוך, וכ"מ במשנה בע"ב) דביאת בן ט' הוה כמאמר. וכ"כ </w:t>
      </w:r>
      <w:r w:rsidRPr="00AF3214">
        <w:rPr>
          <w:rFonts w:ascii="Narkisim" w:hAnsi="Narkisim" w:cs="Narkisim"/>
          <w:b/>
          <w:bCs/>
          <w:rtl/>
        </w:rPr>
        <w:t>רש"י</w:t>
      </w:r>
      <w:r w:rsidRPr="00AF3214">
        <w:rPr>
          <w:rFonts w:ascii="Narkisim" w:hAnsi="Narkisim" w:cs="Narkisim"/>
          <w:rtl/>
        </w:rPr>
        <w:t xml:space="preserve"> (ד"ה פוסלין על ידו) דביאתו לא קנה לגמרי, אלא כמאמר בעלמא וכו'. וה</w:t>
      </w:r>
      <w:r w:rsidRPr="00AF3214">
        <w:rPr>
          <w:rFonts w:ascii="Narkisim" w:hAnsi="Narkisim" w:cs="Narkisim"/>
          <w:b/>
          <w:bCs/>
          <w:rtl/>
        </w:rPr>
        <w:t>רמב"ן</w:t>
      </w:r>
      <w:r w:rsidRPr="00AF3214">
        <w:rPr>
          <w:rFonts w:ascii="Narkisim" w:hAnsi="Narkisim" w:cs="Narkisim"/>
          <w:rtl/>
        </w:rPr>
        <w:t xml:space="preserve"> דייק מדברי רש"י דקנה רק מדרבנן. וכ"ד תוס' (בכ"מ) ורוב הראשונים</w:t>
      </w:r>
      <w:r w:rsidRPr="00AF3214">
        <w:rPr>
          <w:rFonts w:ascii="Narkisim" w:hAnsi="Narkisim" w:cs="Narkisim"/>
        </w:rPr>
        <w:t>.</w:t>
      </w:r>
    </w:p>
    <w:p w14:paraId="0874D3FE" w14:textId="77777777" w:rsidR="006C4368" w:rsidRPr="00AF3214" w:rsidRDefault="006C4368" w:rsidP="006C4368">
      <w:pPr>
        <w:pStyle w:val="a7"/>
        <w:bidi/>
        <w:rPr>
          <w:rFonts w:ascii="Narkisim" w:hAnsi="Narkisim"/>
        </w:rPr>
      </w:pPr>
      <w:r w:rsidRPr="00AF3214">
        <w:rPr>
          <w:rFonts w:ascii="Narkisim" w:hAnsi="Narkisim"/>
          <w:rtl/>
        </w:rPr>
        <w:t xml:space="preserve">אבל דעת </w:t>
      </w:r>
      <w:r w:rsidRPr="00AF3214">
        <w:rPr>
          <w:rFonts w:ascii="Narkisim" w:hAnsi="Narkisim"/>
          <w:b/>
          <w:bCs/>
          <w:rtl/>
        </w:rPr>
        <w:t>רש"י</w:t>
      </w:r>
      <w:r w:rsidRPr="00AF3214">
        <w:rPr>
          <w:rFonts w:ascii="Narkisim" w:hAnsi="Narkisim"/>
          <w:rtl/>
        </w:rPr>
        <w:t xml:space="preserve"> (קידושין יט.) דביאת בן ט' קונה מדאורייתא, אלא דנתמעט מחיוב מיתה</w:t>
      </w:r>
      <w:r w:rsidRPr="00AF3214">
        <w:rPr>
          <w:rFonts w:ascii="Narkisim" w:hAnsi="Narkisim"/>
        </w:rPr>
        <w:t>.</w:t>
      </w:r>
    </w:p>
    <w:p w14:paraId="04F571A6" w14:textId="77777777" w:rsidR="006C4368" w:rsidRPr="00AF3214" w:rsidRDefault="006C4368" w:rsidP="006C4368">
      <w:pPr>
        <w:bidi/>
        <w:rPr>
          <w:rFonts w:ascii="Narkisim" w:hAnsi="Narkisim" w:cs="Narkisim"/>
        </w:rPr>
      </w:pPr>
      <w:r w:rsidRPr="00AF3214">
        <w:rPr>
          <w:rFonts w:ascii="Narkisim" w:hAnsi="Narkisim" w:cs="Narkisim"/>
          <w:rtl/>
        </w:rPr>
        <w:t>דבגמ' (קידושין יט.) נתמעט אשה איש פרט לאשת קטן. והגמ' פי'</w:t>
      </w:r>
      <w:r w:rsidRPr="00AF3214">
        <w:rPr>
          <w:rStyle w:val="ac"/>
          <w:rFonts w:ascii="Narkisim" w:hAnsi="Narkisim" w:cs="Narkisim"/>
          <w:rtl/>
        </w:rPr>
        <w:footnoteReference w:id="6198"/>
      </w:r>
      <w:r w:rsidRPr="00AF3214">
        <w:rPr>
          <w:rFonts w:ascii="Narkisim" w:hAnsi="Narkisim" w:cs="Narkisim"/>
          <w:rtl/>
        </w:rPr>
        <w:t xml:space="preserve"> דאיירי בבן ט' הבא על יבמתו. דמדאורייתא חזי ליה וביאתו ביאה</w:t>
      </w:r>
      <w:r w:rsidRPr="00AF3214">
        <w:rPr>
          <w:rStyle w:val="ac"/>
          <w:rFonts w:ascii="Narkisim" w:hAnsi="Narkisim" w:cs="Narkisim"/>
          <w:rtl/>
        </w:rPr>
        <w:footnoteReference w:id="6199"/>
      </w:r>
      <w:r w:rsidRPr="00AF3214">
        <w:rPr>
          <w:rFonts w:ascii="Narkisim" w:hAnsi="Narkisim" w:cs="Narkisim"/>
        </w:rPr>
        <w:t xml:space="preserve">. </w:t>
      </w:r>
      <w:r w:rsidRPr="00AF3214">
        <w:rPr>
          <w:rFonts w:ascii="Narkisim" w:hAnsi="Narkisim" w:cs="Narkisim"/>
          <w:rtl/>
        </w:rPr>
        <w:t>ופ</w:t>
      </w:r>
      <w:r w:rsidRPr="00AF3214">
        <w:rPr>
          <w:rFonts w:ascii="Narkisim" w:hAnsi="Narkisim" w:cs="Narkisim"/>
          <w:b/>
          <w:bCs/>
          <w:rtl/>
        </w:rPr>
        <w:t>רש"י</w:t>
      </w:r>
      <w:r w:rsidRPr="00AF3214">
        <w:rPr>
          <w:rFonts w:ascii="Narkisim" w:hAnsi="Narkisim" w:cs="Narkisim"/>
          <w:rtl/>
        </w:rPr>
        <w:t xml:space="preserve"> (קידושין שם) כלומר זקוקה לו, וקנאה ליורשה (כדאמרי' בנדה מה.). ומבואר דקנאה מדאורייתא</w:t>
      </w:r>
      <w:r w:rsidRPr="00AF3214">
        <w:rPr>
          <w:rStyle w:val="ac"/>
          <w:rFonts w:ascii="Narkisim" w:hAnsi="Narkisim" w:cs="Narkisim"/>
          <w:rtl/>
        </w:rPr>
        <w:footnoteReference w:id="6200"/>
      </w:r>
      <w:r w:rsidRPr="00AF3214">
        <w:rPr>
          <w:rFonts w:ascii="Narkisim" w:hAnsi="Narkisim" w:cs="Narkisim"/>
        </w:rPr>
        <w:t xml:space="preserve">. </w:t>
      </w:r>
      <w:r w:rsidRPr="00AF3214">
        <w:rPr>
          <w:rFonts w:ascii="Narkisim" w:hAnsi="Narkisim" w:cs="Narkisim"/>
          <w:rtl/>
        </w:rPr>
        <w:t>ואפ"ה אישות דקטן נתמעט</w:t>
      </w:r>
      <w:r w:rsidRPr="00AF3214">
        <w:rPr>
          <w:rStyle w:val="ac"/>
          <w:rFonts w:ascii="Narkisim" w:hAnsi="Narkisim" w:cs="Narkisim"/>
          <w:rtl/>
        </w:rPr>
        <w:footnoteReference w:id="6201"/>
      </w:r>
      <w:r w:rsidRPr="00AF3214">
        <w:rPr>
          <w:rFonts w:ascii="Narkisim" w:hAnsi="Narkisim" w:cs="Narkisim"/>
        </w:rPr>
        <w:t xml:space="preserve"> </w:t>
      </w:r>
      <w:r w:rsidRPr="00AF3214">
        <w:rPr>
          <w:rFonts w:ascii="Narkisim" w:hAnsi="Narkisim" w:cs="Narkisim"/>
          <w:rtl/>
        </w:rPr>
        <w:t>מחיוב מיתה</w:t>
      </w:r>
      <w:r w:rsidRPr="00AF3214">
        <w:rPr>
          <w:rStyle w:val="ac"/>
          <w:rFonts w:ascii="Narkisim" w:hAnsi="Narkisim" w:cs="Narkisim"/>
          <w:rtl/>
        </w:rPr>
        <w:footnoteReference w:id="6202"/>
      </w:r>
      <w:r w:rsidRPr="00AF3214">
        <w:rPr>
          <w:rFonts w:ascii="Narkisim" w:hAnsi="Narkisim" w:cs="Narkisim"/>
        </w:rPr>
        <w:t xml:space="preserve">. </w:t>
      </w:r>
      <w:r w:rsidRPr="00AF3214">
        <w:rPr>
          <w:rFonts w:ascii="Narkisim" w:hAnsi="Narkisim" w:cs="Narkisim"/>
          <w:rtl/>
        </w:rPr>
        <w:t>ורבנן תקנו דנחשב רק כמאמר, ואם נתן גט צריכה ג"כ חליצה</w:t>
      </w:r>
      <w:r w:rsidRPr="00AF3214">
        <w:rPr>
          <w:rFonts w:ascii="Narkisim" w:hAnsi="Narkisim" w:cs="Narkisim"/>
        </w:rPr>
        <w:t>.</w:t>
      </w:r>
    </w:p>
    <w:p w14:paraId="57158D86"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(חי' ר' שמואל טז) חקרו האם הוה</w:t>
      </w:r>
      <w:r w:rsidRPr="00AF3214">
        <w:rPr>
          <w:rFonts w:ascii="Narkisim" w:hAnsi="Narkisim"/>
          <w:sz w:val="24"/>
          <w:szCs w:val="24"/>
          <w:rtl/>
        </w:rPr>
        <w:t xml:space="preserve"> </w:t>
      </w:r>
      <w:r w:rsidRPr="00AF3214">
        <w:rPr>
          <w:rFonts w:ascii="Narkisim" w:hAnsi="Narkisim"/>
          <w:sz w:val="24"/>
          <w:rtl/>
        </w:rPr>
        <w:t>אישות גמורה, אלא דאין חיוב מיתה</w:t>
      </w:r>
      <w:r w:rsidRPr="00AF3214">
        <w:rPr>
          <w:rStyle w:val="ac"/>
          <w:rFonts w:ascii="Narkisim" w:hAnsi="Narkisim"/>
          <w:sz w:val="24"/>
          <w:rtl/>
        </w:rPr>
        <w:footnoteReference w:id="6203"/>
      </w:r>
      <w:r w:rsidRPr="00AF3214">
        <w:rPr>
          <w:rFonts w:ascii="Narkisim" w:hAnsi="Narkisim"/>
          <w:sz w:val="24"/>
          <w:szCs w:val="24"/>
        </w:rPr>
        <w:t>.</w:t>
      </w:r>
      <w:r w:rsidRPr="00AF3214">
        <w:rPr>
          <w:rFonts w:ascii="Narkisim" w:hAnsi="Narkisim"/>
        </w:rPr>
        <w:t xml:space="preserve"> </w:t>
      </w:r>
      <w:r w:rsidRPr="00AF3214">
        <w:rPr>
          <w:rFonts w:ascii="Narkisim" w:hAnsi="Narkisim"/>
          <w:rtl/>
        </w:rPr>
        <w:t>או דנתחדש מגזיה"כ דקטן אין לו אישות שלם</w:t>
      </w:r>
      <w:r w:rsidRPr="00AF3214">
        <w:rPr>
          <w:rStyle w:val="ac"/>
          <w:rFonts w:ascii="Narkisim" w:hAnsi="Narkisim"/>
          <w:rtl/>
        </w:rPr>
        <w:footnoteReference w:id="6204"/>
      </w:r>
      <w:r w:rsidRPr="00AF3214">
        <w:rPr>
          <w:rFonts w:ascii="Narkisim" w:hAnsi="Narkisim"/>
        </w:rPr>
        <w:t>.</w:t>
      </w:r>
    </w:p>
    <w:p w14:paraId="70E32B90"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(כאן בסו"ד) הביא דלשמואל (לעיל נו.) ביאת שוגג לא קנה אלא לדברים הכתובים בפרשה, דאין חיוב מיתה</w:t>
      </w:r>
      <w:r w:rsidRPr="00AF3214">
        <w:rPr>
          <w:rStyle w:val="ac"/>
          <w:rFonts w:ascii="Narkisim" w:hAnsi="Narkisim"/>
          <w:rtl/>
        </w:rPr>
        <w:footnoteReference w:id="6205"/>
      </w:r>
      <w:r w:rsidRPr="00AF3214">
        <w:rPr>
          <w:rFonts w:ascii="Narkisim" w:hAnsi="Narkisim"/>
        </w:rPr>
        <w:t xml:space="preserve">. </w:t>
      </w:r>
      <w:r w:rsidRPr="00AF3214">
        <w:rPr>
          <w:rFonts w:ascii="Narkisim" w:hAnsi="Narkisim"/>
          <w:rtl/>
        </w:rPr>
        <w:t>שלא ריבה הכתוב שוגג כמזיד אלא לדברים הכתובים בפרשה. [ולא קנה להיות אשתו לכל דבר, ואף בגדול שקנה בשוגג]. וכת' דלדעת רב הוה גזיה"כ דדוקא קטן, אבל ביאת שוגג קנה לכל דבר</w:t>
      </w:r>
      <w:r w:rsidRPr="00AF3214">
        <w:rPr>
          <w:rStyle w:val="ac"/>
          <w:rFonts w:ascii="Narkisim" w:hAnsi="Narkisim"/>
          <w:rtl/>
        </w:rPr>
        <w:footnoteReference w:id="6206"/>
      </w:r>
      <w:r w:rsidRPr="00AF3214">
        <w:rPr>
          <w:rFonts w:ascii="Narkisim" w:hAnsi="Narkisim"/>
        </w:rPr>
        <w:t>.</w:t>
      </w:r>
    </w:p>
    <w:p w14:paraId="560B2401" w14:textId="77777777" w:rsidR="006C4368" w:rsidRPr="00AF3214" w:rsidRDefault="006C4368" w:rsidP="006C4368">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w:t>
      </w:r>
      <w:r w:rsidRPr="00AF3214">
        <w:rPr>
          <w:rFonts w:ascii="Narkisim" w:hAnsi="Narkisim"/>
          <w:sz w:val="20"/>
          <w:szCs w:val="20"/>
          <w:rtl/>
        </w:rPr>
        <w:t>קידושין שם)</w:t>
      </w:r>
      <w:r w:rsidRPr="00AF3214">
        <w:rPr>
          <w:rFonts w:ascii="Narkisim" w:hAnsi="Narkisim"/>
          <w:rtl/>
        </w:rPr>
        <w:t xml:space="preserve"> חלקו דהקטן קונה יבמתו רק מדרבנן. ופי' דאי לאו קרא ס"ד דקנאה מדאורייתא, וילפי' מקרא דאין אישות לקטן</w:t>
      </w:r>
      <w:r w:rsidRPr="00AF3214">
        <w:rPr>
          <w:rStyle w:val="ac"/>
          <w:rFonts w:ascii="Narkisim" w:hAnsi="Narkisim"/>
          <w:rtl/>
        </w:rPr>
        <w:footnoteReference w:id="6207"/>
      </w:r>
      <w:r w:rsidRPr="00AF3214">
        <w:rPr>
          <w:rFonts w:ascii="Narkisim" w:hAnsi="Narkisim"/>
        </w:rPr>
        <w:t xml:space="preserve">, </w:t>
      </w:r>
      <w:r w:rsidRPr="00AF3214">
        <w:rPr>
          <w:rFonts w:ascii="Narkisim" w:hAnsi="Narkisim"/>
          <w:rtl/>
        </w:rPr>
        <w:t xml:space="preserve">דאינו קונה אותה אלא מדרבנן. </w:t>
      </w:r>
      <w:r w:rsidRPr="00AF3214">
        <w:rPr>
          <w:rFonts w:ascii="Narkisim" w:hAnsi="Narkisim"/>
          <w:sz w:val="20"/>
          <w:szCs w:val="20"/>
          <w:rtl/>
        </w:rPr>
        <w:t>[וכ"כ תוס' (לעיל נז: ד"ה וחייבין, וסח. ד"ה קניא), והריטב"א (לעיל נא:) והרשב"א קידושין שם]</w:t>
      </w:r>
      <w:r w:rsidRPr="00AF3214">
        <w:rPr>
          <w:rFonts w:ascii="Narkisim" w:hAnsi="Narkisim"/>
          <w:sz w:val="20"/>
          <w:szCs w:val="20"/>
        </w:rPr>
        <w:t>.</w:t>
      </w:r>
    </w:p>
    <w:p w14:paraId="04711B66"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ר"א אב"ד</w:t>
      </w:r>
      <w:r w:rsidRPr="00AF3214">
        <w:rPr>
          <w:rFonts w:ascii="Narkisim" w:hAnsi="Narkisim"/>
          <w:rtl/>
        </w:rPr>
        <w:t xml:space="preserve"> (הו' ברמב"ן ושא"ר קידושין שם) כת' דנתמעט אשת קטן ביבם פחות מבן ט', דל"ק כלל. [ולא קאי בבן ט'</w:t>
      </w:r>
      <w:r w:rsidRPr="00AF3214">
        <w:rPr>
          <w:rStyle w:val="ac"/>
          <w:rFonts w:ascii="Narkisim" w:hAnsi="Narkisim"/>
          <w:rtl/>
        </w:rPr>
        <w:footnoteReference w:id="6208"/>
      </w:r>
      <w:r w:rsidRPr="00AF3214">
        <w:rPr>
          <w:rFonts w:ascii="Narkisim" w:hAnsi="Narkisim"/>
          <w:rtl/>
        </w:rPr>
        <w:t>]</w:t>
      </w:r>
      <w:r w:rsidRPr="00AF3214">
        <w:rPr>
          <w:rFonts w:ascii="Narkisim" w:hAnsi="Narkisim"/>
        </w:rPr>
        <w:t>.</w:t>
      </w:r>
    </w:p>
    <w:p w14:paraId="0234D427" w14:textId="77777777" w:rsidR="006C4368" w:rsidRPr="00AF3214" w:rsidRDefault="006C4368" w:rsidP="006C4368">
      <w:pPr>
        <w:pStyle w:val="aa"/>
        <w:bidi/>
        <w:rPr>
          <w:rFonts w:ascii="Narkisim" w:hAnsi="Narkisim"/>
        </w:rPr>
      </w:pPr>
      <w:r w:rsidRPr="00AF3214">
        <w:rPr>
          <w:rFonts w:ascii="Narkisim" w:hAnsi="Narkisim"/>
          <w:rtl/>
        </w:rPr>
        <w:t xml:space="preserve">ובגמ' (לעיל סח.) אי' בביאת בן ט' סד"א הואיל ומדאורייתא קניא ליה יאכל בתרומה, קמ"ל עשו ביאת בן ט' כמאמר בגדול. ומשמע דס"ד דהוה קנין מדאורייתא. קמ"ל דקנה רק מדרבנן. אך </w:t>
      </w:r>
      <w:r w:rsidRPr="00AF3214">
        <w:rPr>
          <w:rFonts w:ascii="Narkisim" w:hAnsi="Narkisim"/>
          <w:b/>
          <w:bCs/>
          <w:rtl/>
        </w:rPr>
        <w:t>תוס'</w:t>
      </w:r>
      <w:r w:rsidRPr="00AF3214">
        <w:rPr>
          <w:rFonts w:ascii="Narkisim" w:hAnsi="Narkisim"/>
          <w:rtl/>
        </w:rPr>
        <w:t xml:space="preserve"> (לעיל סח., וה</w:t>
      </w:r>
      <w:r w:rsidRPr="00AF3214">
        <w:rPr>
          <w:rFonts w:ascii="Narkisim" w:hAnsi="Narkisim"/>
          <w:b/>
          <w:bCs/>
          <w:rtl/>
        </w:rPr>
        <w:t>רמב"ן</w:t>
      </w:r>
      <w:r w:rsidRPr="00AF3214">
        <w:rPr>
          <w:rFonts w:ascii="Narkisim" w:hAnsi="Narkisim"/>
          <w:rtl/>
        </w:rPr>
        <w:t xml:space="preserve"> כאן </w:t>
      </w:r>
      <w:r w:rsidRPr="00AF3214">
        <w:rPr>
          <w:rFonts w:ascii="Narkisim" w:hAnsi="Narkisim"/>
          <w:rtl/>
        </w:rPr>
        <w:lastRenderedPageBreak/>
        <w:t>לדעת רש"י דידן) דחו דכוונת הגמ' דס"ד דכיון דמדאורייתא היא זקוקה לו</w:t>
      </w:r>
      <w:r w:rsidRPr="00AF3214">
        <w:rPr>
          <w:rStyle w:val="ac"/>
          <w:rFonts w:ascii="Narkisim" w:hAnsi="Narkisim"/>
          <w:rtl/>
        </w:rPr>
        <w:footnoteReference w:id="6209"/>
      </w:r>
      <w:r w:rsidRPr="00AF3214">
        <w:rPr>
          <w:rFonts w:ascii="Narkisim" w:hAnsi="Narkisim"/>
        </w:rPr>
        <w:t xml:space="preserve">. </w:t>
      </w:r>
      <w:r w:rsidRPr="00AF3214">
        <w:rPr>
          <w:rFonts w:ascii="Narkisim" w:hAnsi="Narkisim"/>
          <w:rtl/>
        </w:rPr>
        <w:t>קמ"ל דקנין המאמר הוה רק מדרבנן</w:t>
      </w:r>
      <w:r w:rsidRPr="00AF3214">
        <w:rPr>
          <w:rFonts w:ascii="Narkisim" w:hAnsi="Narkisim"/>
        </w:rPr>
        <w:t>.</w:t>
      </w:r>
    </w:p>
    <w:p w14:paraId="3FBB8335" w14:textId="77777777" w:rsidR="006C4368" w:rsidRPr="00AF3214" w:rsidRDefault="006C4368" w:rsidP="006C4368">
      <w:pPr>
        <w:pStyle w:val="a8"/>
        <w:bidi/>
        <w:rPr>
          <w:rFonts w:ascii="Narkisim" w:hAnsi="Narkisim"/>
        </w:rPr>
      </w:pPr>
      <w:r w:rsidRPr="00AF3214">
        <w:rPr>
          <w:rFonts w:ascii="Narkisim" w:hAnsi="Narkisim"/>
          <w:rtl/>
        </w:rPr>
        <w:t>ושוב הק' ה</w:t>
      </w:r>
      <w:r w:rsidRPr="00AF3214">
        <w:rPr>
          <w:rFonts w:ascii="Narkisim" w:hAnsi="Narkisim"/>
          <w:b/>
          <w:bCs/>
          <w:rtl/>
        </w:rPr>
        <w:t>רמב"ן</w:t>
      </w:r>
      <w:r w:rsidRPr="00AF3214">
        <w:rPr>
          <w:rFonts w:ascii="Narkisim" w:hAnsi="Narkisim"/>
          <w:rtl/>
        </w:rPr>
        <w:t xml:space="preserve"> דהו"ל לגמ' (סח.) לומר קמ"ל דל"ק. ואילו הלשון משמע דקנה מדאורייתא, ואפ"ה רבנן שויוה כמאמר. ואוכלת בתרומה מדאורייתא ורבנן תקנו שלא תאכל [וכדעת רש"י בקידושין]</w:t>
      </w:r>
      <w:r w:rsidRPr="00AF3214">
        <w:rPr>
          <w:rFonts w:ascii="Narkisim" w:hAnsi="Narkisim"/>
        </w:rPr>
        <w:t>.</w:t>
      </w:r>
    </w:p>
    <w:p w14:paraId="17A55416" w14:textId="77777777" w:rsidR="006C4368" w:rsidRPr="00AF3214" w:rsidRDefault="006C4368" w:rsidP="006C4368">
      <w:pPr>
        <w:bidi/>
        <w:rPr>
          <w:rFonts w:ascii="Narkisim" w:hAnsi="Narkisim" w:cs="Narkisim"/>
        </w:rPr>
      </w:pPr>
      <w:r w:rsidRPr="00AF3214">
        <w:rPr>
          <w:rFonts w:ascii="Narkisim" w:hAnsi="Narkisim" w:cs="Narkisim"/>
          <w:rtl/>
        </w:rPr>
        <w:t>ובמשנה (נדה מה.) אי' בן ט' שבא על יבמתו קנאה</w:t>
      </w:r>
      <w:r w:rsidRPr="00AF3214">
        <w:rPr>
          <w:rStyle w:val="ac"/>
          <w:rFonts w:ascii="Narkisim" w:hAnsi="Narkisim" w:cs="Narkisim"/>
          <w:rtl/>
        </w:rPr>
        <w:footnoteReference w:id="6210"/>
      </w:r>
      <w:r w:rsidRPr="00AF3214">
        <w:rPr>
          <w:rFonts w:ascii="Narkisim" w:hAnsi="Narkisim" w:cs="Narkisim"/>
        </w:rPr>
        <w:t xml:space="preserve">, </w:t>
      </w:r>
      <w:r w:rsidRPr="00AF3214">
        <w:rPr>
          <w:rFonts w:ascii="Narkisim" w:hAnsi="Narkisim" w:cs="Narkisim"/>
          <w:rtl/>
        </w:rPr>
        <w:t>ואין נותן גט עד שיגדיל. והגמ' מק' דכשיגדיל צריך ג"כ חליצה לזיקתו. או שיגדיל יבעול ויתן גט</w:t>
      </w:r>
      <w:r w:rsidRPr="00AF3214">
        <w:rPr>
          <w:rFonts w:ascii="Narkisim" w:hAnsi="Narkisim" w:cs="Narkisim"/>
        </w:rPr>
        <w:t>.</w:t>
      </w:r>
    </w:p>
    <w:p w14:paraId="3C979394" w14:textId="77777777" w:rsidR="006C4368" w:rsidRPr="00AF3214" w:rsidRDefault="006C4368" w:rsidP="006C4368">
      <w:pPr>
        <w:pStyle w:val="a7"/>
        <w:bidi/>
        <w:rPr>
          <w:rFonts w:ascii="Narkisim" w:hAnsi="Narkisim"/>
        </w:rPr>
      </w:pPr>
      <w:r w:rsidRPr="00AF3214">
        <w:rPr>
          <w:rFonts w:ascii="Narkisim" w:hAnsi="Narkisim"/>
          <w:rtl/>
        </w:rPr>
        <w:t>ופ</w:t>
      </w:r>
      <w:r w:rsidRPr="00AF3214">
        <w:rPr>
          <w:rFonts w:ascii="Narkisim" w:hAnsi="Narkisim"/>
          <w:b/>
          <w:bCs/>
          <w:rtl/>
        </w:rPr>
        <w:t>רש"י</w:t>
      </w:r>
      <w:r w:rsidRPr="00AF3214">
        <w:rPr>
          <w:rFonts w:ascii="Narkisim" w:hAnsi="Narkisim"/>
          <w:rtl/>
        </w:rPr>
        <w:t xml:space="preserve"> (שם) דקנאה וזכה בנכסי אחיו</w:t>
      </w:r>
      <w:r w:rsidRPr="00AF3214">
        <w:rPr>
          <w:rStyle w:val="ac"/>
          <w:rFonts w:ascii="Narkisim" w:hAnsi="Narkisim"/>
          <w:rtl/>
        </w:rPr>
        <w:footnoteReference w:id="6211"/>
      </w:r>
      <w:r w:rsidRPr="00AF3214">
        <w:rPr>
          <w:rFonts w:ascii="Narkisim" w:hAnsi="Narkisim"/>
        </w:rPr>
        <w:t xml:space="preserve">. </w:t>
      </w:r>
      <w:r w:rsidRPr="00AF3214">
        <w:rPr>
          <w:rFonts w:ascii="Narkisim" w:hAnsi="Narkisim"/>
          <w:rtl/>
        </w:rPr>
        <w:t>ואע"ג שאין קנין לקטן, הרי קנויה לו ועומדת. וה</w:t>
      </w:r>
      <w:r w:rsidRPr="00AF3214">
        <w:rPr>
          <w:rFonts w:ascii="Narkisim" w:hAnsi="Narkisim"/>
          <w:b/>
          <w:bCs/>
          <w:rtl/>
        </w:rPr>
        <w:t>רמב"ן</w:t>
      </w:r>
      <w:r w:rsidRPr="00AF3214">
        <w:rPr>
          <w:rFonts w:ascii="Narkisim" w:hAnsi="Narkisim"/>
          <w:rtl/>
        </w:rPr>
        <w:t xml:space="preserve"> (כאן, ונדה שם) דייק מדבריו דקנאה ליורשה וליטמא לה</w:t>
      </w:r>
      <w:r w:rsidRPr="00AF3214">
        <w:rPr>
          <w:rStyle w:val="ac"/>
          <w:rFonts w:ascii="Narkisim" w:hAnsi="Narkisim"/>
          <w:rtl/>
        </w:rPr>
        <w:footnoteReference w:id="6212"/>
      </w:r>
      <w:r w:rsidRPr="00AF3214">
        <w:rPr>
          <w:rFonts w:ascii="Narkisim" w:hAnsi="Narkisim"/>
        </w:rPr>
        <w:t xml:space="preserve">, </w:t>
      </w:r>
      <w:r w:rsidRPr="00AF3214">
        <w:rPr>
          <w:rFonts w:ascii="Narkisim" w:hAnsi="Narkisim"/>
          <w:rtl/>
        </w:rPr>
        <w:t>אלא שאינו נותן גט עד שיגדיל</w:t>
      </w:r>
      <w:r w:rsidRPr="00AF3214">
        <w:rPr>
          <w:rStyle w:val="ac"/>
          <w:rFonts w:ascii="Narkisim" w:hAnsi="Narkisim"/>
          <w:rtl/>
        </w:rPr>
        <w:footnoteReference w:id="6213"/>
      </w:r>
      <w:r w:rsidRPr="00AF3214">
        <w:rPr>
          <w:rFonts w:ascii="Narkisim" w:hAnsi="Narkisim"/>
        </w:rPr>
        <w:t xml:space="preserve">. </w:t>
      </w:r>
      <w:r w:rsidRPr="00AF3214">
        <w:rPr>
          <w:rFonts w:ascii="Narkisim" w:hAnsi="Narkisim"/>
          <w:rtl/>
        </w:rPr>
        <w:t xml:space="preserve">וכ"כ </w:t>
      </w:r>
      <w:r w:rsidRPr="00AF3214">
        <w:rPr>
          <w:rFonts w:ascii="Narkisim" w:hAnsi="Narkisim"/>
          <w:b/>
          <w:bCs/>
          <w:rtl/>
        </w:rPr>
        <w:t>רש"י</w:t>
      </w:r>
      <w:r w:rsidRPr="00AF3214">
        <w:rPr>
          <w:rFonts w:ascii="Narkisim" w:hAnsi="Narkisim"/>
          <w:rtl/>
        </w:rPr>
        <w:t xml:space="preserve"> (קידושין יט.) דקנאה ליורשה</w:t>
      </w:r>
      <w:r w:rsidRPr="00AF3214">
        <w:rPr>
          <w:rStyle w:val="ac"/>
          <w:rFonts w:ascii="Narkisim" w:hAnsi="Narkisim"/>
          <w:rtl/>
        </w:rPr>
        <w:footnoteReference w:id="6214"/>
      </w:r>
      <w:r w:rsidRPr="00AF3214">
        <w:rPr>
          <w:rFonts w:ascii="Narkisim" w:hAnsi="Narkisim"/>
        </w:rPr>
        <w:t xml:space="preserve">. </w:t>
      </w:r>
      <w:r w:rsidRPr="00AF3214">
        <w:rPr>
          <w:rFonts w:ascii="Narkisim" w:hAnsi="Narkisim"/>
          <w:rtl/>
        </w:rPr>
        <w:t>ו</w:t>
      </w:r>
      <w:r w:rsidRPr="00AF3214">
        <w:rPr>
          <w:rFonts w:ascii="Narkisim" w:hAnsi="Narkisim"/>
          <w:b/>
          <w:bCs/>
          <w:rtl/>
        </w:rPr>
        <w:t>תוס</w:t>
      </w:r>
      <w:r w:rsidRPr="00AF3214">
        <w:rPr>
          <w:rFonts w:ascii="Narkisim" w:hAnsi="Narkisim"/>
          <w:rtl/>
        </w:rPr>
        <w:t>' (שם) חלקו דתקנו דהוה כמאמר, אבל לא הויא כאשתו ליורשה ולשאר דברים. וה</w:t>
      </w:r>
      <w:r w:rsidRPr="00AF3214">
        <w:rPr>
          <w:rFonts w:ascii="Narkisim" w:hAnsi="Narkisim"/>
          <w:b/>
          <w:bCs/>
          <w:rtl/>
        </w:rPr>
        <w:t>בי"ש</w:t>
      </w:r>
      <w:r w:rsidRPr="00AF3214">
        <w:rPr>
          <w:rFonts w:ascii="Narkisim" w:hAnsi="Narkisim"/>
          <w:rtl/>
        </w:rPr>
        <w:t xml:space="preserve"> (קע יב) הביא דנח' לשיטתם (קידושין יט.) האם קנה מדאורייתא</w:t>
      </w:r>
      <w:r w:rsidRPr="00AF3214">
        <w:rPr>
          <w:rFonts w:ascii="Narkisim" w:hAnsi="Narkisim"/>
        </w:rPr>
        <w:t>.</w:t>
      </w:r>
    </w:p>
    <w:p w14:paraId="1E056877" w14:textId="77777777" w:rsidR="006C4368" w:rsidRPr="00AF3214" w:rsidRDefault="006C4368" w:rsidP="006C4368">
      <w:pPr>
        <w:pStyle w:val="a7"/>
        <w:bidi/>
        <w:rPr>
          <w:rFonts w:ascii="Narkisim" w:hAnsi="Narkisim"/>
        </w:rPr>
      </w:pPr>
      <w:r w:rsidRPr="00AF3214">
        <w:rPr>
          <w:rFonts w:ascii="Narkisim" w:hAnsi="Narkisim"/>
          <w:rtl/>
        </w:rPr>
        <w:t>אבל ה</w:t>
      </w:r>
      <w:r w:rsidRPr="00AF3214">
        <w:rPr>
          <w:rFonts w:ascii="Narkisim" w:hAnsi="Narkisim"/>
          <w:b/>
          <w:bCs/>
          <w:rtl/>
        </w:rPr>
        <w:t>רמב"ן</w:t>
      </w:r>
      <w:r w:rsidRPr="00AF3214">
        <w:rPr>
          <w:rFonts w:ascii="Narkisim" w:hAnsi="Narkisim"/>
          <w:rtl/>
        </w:rPr>
        <w:t xml:space="preserve"> (ד"ה אף בזו) חלק על רש"י [וכת' הכרעה שלישית] דאף דמדאורייתא קונה אותה לכל דבר, אבל מדבריהם עשו אותה כמאמר לגמרי. דהיכן מצינו קונה לשאר הדברים ולא לדברים האמורין בפרשה [לפטור בגט ולפטור צרה מן היבום]</w:t>
      </w:r>
      <w:r w:rsidRPr="00AF3214">
        <w:rPr>
          <w:rFonts w:ascii="Narkisim" w:hAnsi="Narkisim"/>
        </w:rPr>
        <w:t>.</w:t>
      </w:r>
    </w:p>
    <w:p w14:paraId="50854C96"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תוס' רי"ד</w:t>
      </w:r>
      <w:r w:rsidRPr="00AF3214">
        <w:rPr>
          <w:rFonts w:ascii="Narkisim" w:hAnsi="Narkisim"/>
          <w:rtl/>
        </w:rPr>
        <w:t xml:space="preserve"> (נדה שם) יישב הלשון קנאה, דכיון שבא עליה 'קנאה' להיות שלו, ששוב אינה ראויה אלא לו. שעד עכשיו היתה ראויה לכל האחים, ועכשיו אינה ראויה אלא לו. שכיון שבא עליה פסלה על כל האחין</w:t>
      </w:r>
      <w:r w:rsidRPr="00AF3214">
        <w:rPr>
          <w:rFonts w:ascii="Narkisim" w:hAnsi="Narkisim"/>
        </w:rPr>
        <w:t>.</w:t>
      </w:r>
    </w:p>
    <w:p w14:paraId="24D7E88A" w14:textId="77777777" w:rsidR="006C4368" w:rsidRPr="00AF3214" w:rsidRDefault="006C4368" w:rsidP="006C4368">
      <w:pPr>
        <w:bidi/>
        <w:rPr>
          <w:rFonts w:ascii="Narkisim" w:hAnsi="Narkisim" w:cs="Narkisim"/>
        </w:rPr>
      </w:pPr>
      <w:r w:rsidRPr="00AF3214">
        <w:rPr>
          <w:rFonts w:ascii="Narkisim" w:hAnsi="Narkisim" w:cs="Narkisim"/>
          <w:rtl/>
        </w:rPr>
        <w:t>ובגמ' (נדה הנ"ל) מבואר דכשיגדיל צריך לחזור ולבא עליה. ולדעת תוס' כשיגדיל הוה יבום מדאורייתא</w:t>
      </w:r>
      <w:r w:rsidRPr="00AF3214">
        <w:rPr>
          <w:rStyle w:val="ac"/>
          <w:rFonts w:ascii="Narkisim" w:hAnsi="Narkisim" w:cs="Narkisim"/>
          <w:rtl/>
        </w:rPr>
        <w:footnoteReference w:id="6215"/>
      </w:r>
      <w:r w:rsidRPr="00AF3214">
        <w:rPr>
          <w:rFonts w:ascii="Narkisim" w:hAnsi="Narkisim" w:cs="Narkisim"/>
        </w:rPr>
        <w:t xml:space="preserve">. </w:t>
      </w:r>
      <w:r w:rsidRPr="00AF3214">
        <w:rPr>
          <w:rFonts w:ascii="Narkisim" w:hAnsi="Narkisim" w:cs="Narkisim"/>
          <w:rtl/>
        </w:rPr>
        <w:t>ולדעת רש"י מדרבנן צריך שיבא עליה לשם יבום, ועי"ז אי"צ חליצה</w:t>
      </w:r>
      <w:r w:rsidRPr="00AF3214">
        <w:rPr>
          <w:rFonts w:ascii="Narkisim" w:hAnsi="Narkisim" w:cs="Narkisim"/>
        </w:rPr>
        <w:t xml:space="preserve">.  </w:t>
      </w:r>
    </w:p>
    <w:p w14:paraId="0A00CC01"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נוב"י</w:t>
      </w:r>
      <w:r w:rsidRPr="00AF3214">
        <w:rPr>
          <w:rFonts w:ascii="Narkisim" w:hAnsi="Narkisim"/>
          <w:rtl/>
        </w:rPr>
        <w:t xml:space="preserve"> (ת' נד) כת' דקודם שבא עליה, כיון שגדל חייבין מיתה בביאתה, דהשתא הו"ל אשת גדול. [דהמיעוט אשת קטן לא הוה חסרון באישות]. אבל ה</w:t>
      </w:r>
      <w:r w:rsidRPr="00AF3214">
        <w:rPr>
          <w:rFonts w:ascii="Narkisim" w:hAnsi="Narkisim"/>
          <w:b/>
          <w:bCs/>
          <w:rtl/>
        </w:rPr>
        <w:t>מנח"ח</w:t>
      </w:r>
      <w:r w:rsidRPr="00AF3214">
        <w:rPr>
          <w:rFonts w:ascii="Narkisim" w:hAnsi="Narkisim"/>
          <w:sz w:val="20"/>
          <w:szCs w:val="20"/>
          <w:rtl/>
        </w:rPr>
        <w:t xml:space="preserve"> (קצא ג)</w:t>
      </w:r>
      <w:r w:rsidRPr="00AF3214">
        <w:rPr>
          <w:rFonts w:ascii="Narkisim" w:hAnsi="Narkisim"/>
          <w:rtl/>
        </w:rPr>
        <w:t xml:space="preserve"> נקט דהיכא דייבם בקטנותו ואח"כ גדלה לא אמרי' דגדלי בהדה, ואינה אשת איש לחיוב מיתה עד שיבעל</w:t>
      </w:r>
      <w:r w:rsidRPr="00AF3214">
        <w:rPr>
          <w:rStyle w:val="ac"/>
          <w:rFonts w:ascii="Narkisim" w:hAnsi="Narkisim"/>
          <w:rtl/>
        </w:rPr>
        <w:footnoteReference w:id="6216"/>
      </w:r>
      <w:r w:rsidRPr="00AF3214">
        <w:rPr>
          <w:rFonts w:ascii="Narkisim" w:hAnsi="Narkisim"/>
        </w:rPr>
        <w:t xml:space="preserve">. </w:t>
      </w:r>
      <w:r w:rsidRPr="00AF3214">
        <w:rPr>
          <w:rFonts w:ascii="Narkisim" w:hAnsi="Narkisim"/>
          <w:sz w:val="20"/>
          <w:szCs w:val="20"/>
          <w:rtl/>
        </w:rPr>
        <w:t>[וב</w:t>
      </w:r>
      <w:r w:rsidRPr="00AF3214">
        <w:rPr>
          <w:rFonts w:ascii="Narkisim" w:hAnsi="Narkisim"/>
          <w:b/>
          <w:bCs/>
          <w:sz w:val="20"/>
          <w:szCs w:val="20"/>
          <w:rtl/>
        </w:rPr>
        <w:t>חי' ר' שמואל</w:t>
      </w:r>
      <w:r w:rsidRPr="00AF3214">
        <w:rPr>
          <w:rFonts w:ascii="Narkisim" w:hAnsi="Narkisim"/>
          <w:sz w:val="20"/>
          <w:szCs w:val="20"/>
          <w:rtl/>
        </w:rPr>
        <w:t xml:space="preserve"> דן האם הוה חסרון ב'קנין', או דהקטן הוה בעלים על אישות אחיו, ואינה נחשבת אשתו דקטן</w:t>
      </w:r>
      <w:r w:rsidRPr="00AF3214">
        <w:rPr>
          <w:rStyle w:val="ac"/>
          <w:rFonts w:ascii="Narkisim" w:hAnsi="Narkisim"/>
          <w:sz w:val="20"/>
          <w:szCs w:val="20"/>
          <w:rtl/>
        </w:rPr>
        <w:footnoteReference w:id="6217"/>
      </w:r>
      <w:r w:rsidRPr="00AF3214">
        <w:rPr>
          <w:rFonts w:ascii="Narkisim" w:hAnsi="Narkisim"/>
          <w:sz w:val="20"/>
          <w:szCs w:val="20"/>
          <w:rtl/>
        </w:rPr>
        <w:t>]</w:t>
      </w:r>
      <w:r w:rsidRPr="00AF3214">
        <w:rPr>
          <w:rFonts w:ascii="Narkisim" w:hAnsi="Narkisim"/>
          <w:sz w:val="20"/>
          <w:szCs w:val="20"/>
        </w:rPr>
        <w:t>.</w:t>
      </w:r>
    </w:p>
    <w:p w14:paraId="5B9EFBFB" w14:textId="77777777" w:rsidR="006C4368" w:rsidRPr="00AF3214" w:rsidRDefault="006C4368" w:rsidP="006C4368">
      <w:pPr>
        <w:bidi/>
        <w:rPr>
          <w:rFonts w:ascii="Narkisim" w:hAnsi="Narkisim" w:cs="Narkisim"/>
        </w:rPr>
      </w:pPr>
      <w:r w:rsidRPr="00AF3214">
        <w:rPr>
          <w:rFonts w:ascii="Narkisim" w:hAnsi="Narkisim" w:cs="Narkisim"/>
          <w:u w:val="single"/>
          <w:rtl/>
        </w:rPr>
        <w:t>והאחין פוסלין על ידו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דקי"ל דיש מאמר וגט וביאה וחליצה אחר מאמר. וכן מבואר בגמ' (בסמוך ובע"ב). ואף לצד דקנה מדאורייתא, מ"מ רבנן תקנו דהוה גדר מאמר</w:t>
      </w:r>
      <w:r w:rsidRPr="00AF3214">
        <w:rPr>
          <w:rFonts w:ascii="Narkisim" w:hAnsi="Narkisim" w:cs="Narkisim"/>
        </w:rPr>
        <w:t>.</w:t>
      </w:r>
    </w:p>
    <w:p w14:paraId="7D35C02B"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בי"ש</w:t>
      </w:r>
      <w:r w:rsidRPr="00AF3214">
        <w:rPr>
          <w:rFonts w:ascii="Narkisim" w:hAnsi="Narkisim"/>
          <w:rtl/>
        </w:rPr>
        <w:t xml:space="preserve"> (קע יב) כת' דלדעת רש"י לאחר שבא עליה הקטן, יש צד איסור דאורייתא לאחין משום איסור אשת אחיו</w:t>
      </w:r>
      <w:r w:rsidRPr="00AF3214">
        <w:rPr>
          <w:rStyle w:val="ac"/>
          <w:rFonts w:ascii="Narkisim" w:hAnsi="Narkisim"/>
          <w:rtl/>
        </w:rPr>
        <w:footnoteReference w:id="6218"/>
      </w:r>
      <w:r w:rsidRPr="00AF3214">
        <w:rPr>
          <w:rFonts w:ascii="Narkisim" w:hAnsi="Narkisim"/>
        </w:rPr>
        <w:t xml:space="preserve">. </w:t>
      </w:r>
      <w:r w:rsidRPr="00AF3214">
        <w:rPr>
          <w:rFonts w:ascii="Narkisim" w:hAnsi="Narkisim"/>
          <w:rtl/>
        </w:rPr>
        <w:t>אלא דכיון דבעלמא קידושין וביאה של קטן אינו כלום, מש"ה גזרו ביבמה</w:t>
      </w:r>
      <w:r w:rsidRPr="00AF3214">
        <w:rPr>
          <w:rFonts w:ascii="Narkisim" w:hAnsi="Narkisim"/>
        </w:rPr>
        <w:t>.</w:t>
      </w:r>
    </w:p>
    <w:p w14:paraId="121A38B8" w14:textId="77777777" w:rsidR="006C4368" w:rsidRPr="00AF3214" w:rsidRDefault="006C4368" w:rsidP="006C4368">
      <w:pPr>
        <w:bidi/>
        <w:rPr>
          <w:rFonts w:ascii="Narkisim" w:hAnsi="Narkisim" w:cs="Narkisim"/>
        </w:rPr>
      </w:pPr>
      <w:r w:rsidRPr="00AF3214">
        <w:rPr>
          <w:rFonts w:ascii="Narkisim" w:hAnsi="Narkisim" w:cs="Narkisim"/>
          <w:u w:val="single"/>
          <w:rtl/>
        </w:rPr>
        <w:t>מאמר תחילה פסיל וכו'</w:t>
      </w:r>
      <w:r w:rsidRPr="00AF3214">
        <w:rPr>
          <w:rFonts w:ascii="Narkisim" w:hAnsi="Narkisim" w:cs="Narkisim"/>
          <w:rtl/>
        </w:rPr>
        <w:t>. והגמ' מחדשת דקטן בן ט' מהני כשעושה מאמר. [אלא דקליש ממאמר דגדול]. וה</w:t>
      </w:r>
      <w:r w:rsidRPr="00AF3214">
        <w:rPr>
          <w:rFonts w:ascii="Narkisim" w:hAnsi="Narkisim" w:cs="Narkisim"/>
          <w:b/>
          <w:bCs/>
          <w:rtl/>
        </w:rPr>
        <w:t>בי"ש</w:t>
      </w:r>
      <w:r w:rsidRPr="00AF3214">
        <w:rPr>
          <w:rFonts w:ascii="Narkisim" w:hAnsi="Narkisim" w:cs="Narkisim"/>
          <w:rtl/>
        </w:rPr>
        <w:t xml:space="preserve"> (קע יב) הק' דתקנת מאמר הוה אטו קידושין דעלמא, וכיון דקטן אין </w:t>
      </w:r>
      <w:r w:rsidRPr="00AF3214">
        <w:rPr>
          <w:rFonts w:ascii="Narkisim" w:hAnsi="Narkisim" w:cs="Narkisim"/>
          <w:rtl/>
        </w:rPr>
        <w:lastRenderedPageBreak/>
        <w:t>לו קידושין אמאי תקנו לו מאמר</w:t>
      </w:r>
      <w:r w:rsidRPr="00AF3214">
        <w:rPr>
          <w:rFonts w:ascii="Narkisim" w:hAnsi="Narkisim" w:cs="Narkisim"/>
        </w:rPr>
        <w:t>.</w:t>
      </w:r>
    </w:p>
    <w:p w14:paraId="12FEB181" w14:textId="77777777" w:rsidR="006C4368" w:rsidRPr="00AF3214" w:rsidRDefault="006C4368" w:rsidP="006C4368">
      <w:pPr>
        <w:pStyle w:val="a7"/>
        <w:bidi/>
        <w:rPr>
          <w:rFonts w:ascii="Narkisim" w:hAnsi="Narkisim"/>
        </w:rPr>
      </w:pPr>
      <w:r w:rsidRPr="00AF3214">
        <w:rPr>
          <w:rFonts w:ascii="Narkisim" w:hAnsi="Narkisim"/>
          <w:rtl/>
        </w:rPr>
        <w:t>ועוד דנו ה</w:t>
      </w:r>
      <w:r w:rsidRPr="00AF3214">
        <w:rPr>
          <w:rFonts w:ascii="Narkisim" w:hAnsi="Narkisim"/>
          <w:b/>
          <w:bCs/>
          <w:rtl/>
        </w:rPr>
        <w:t>אחרונים</w:t>
      </w:r>
      <w:r w:rsidRPr="00AF3214">
        <w:rPr>
          <w:rFonts w:ascii="Narkisim" w:hAnsi="Narkisim"/>
          <w:rtl/>
        </w:rPr>
        <w:t xml:space="preserve"> דמאמר צריך 'דעת' היבם למעשה הקידושין. ואמאי חשיב מאמר כלל</w:t>
      </w:r>
      <w:r w:rsidRPr="00AF3214">
        <w:rPr>
          <w:rStyle w:val="ac"/>
          <w:rFonts w:ascii="Narkisim" w:hAnsi="Narkisim"/>
          <w:rtl/>
        </w:rPr>
        <w:footnoteReference w:id="6219"/>
      </w:r>
      <w:r w:rsidRPr="00AF3214">
        <w:rPr>
          <w:rFonts w:ascii="Narkisim" w:hAnsi="Narkisim"/>
        </w:rPr>
        <w:t xml:space="preserve">. </w:t>
      </w: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חקרו בגדר מאמר, אי הוה מפרשת קידושין או מגדרי קנין יבום</w:t>
      </w:r>
      <w:r w:rsidRPr="00AF3214">
        <w:rPr>
          <w:rStyle w:val="ac"/>
          <w:rFonts w:ascii="Narkisim" w:hAnsi="Narkisim"/>
          <w:rtl/>
        </w:rPr>
        <w:footnoteReference w:id="6220"/>
      </w:r>
      <w:r w:rsidRPr="00AF3214">
        <w:rPr>
          <w:rFonts w:ascii="Narkisim" w:hAnsi="Narkisim"/>
          <w:rtl/>
        </w:rPr>
        <w:t>]. וצ"ל דהוה תקנה בפנ"ע דמהני הכא מעשה כעין מאמר דעלמא</w:t>
      </w:r>
      <w:r w:rsidRPr="00AF3214">
        <w:rPr>
          <w:rFonts w:ascii="Narkisim" w:hAnsi="Narkisim"/>
        </w:rPr>
        <w:t>.</w:t>
      </w:r>
    </w:p>
    <w:p w14:paraId="4FEC605A"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בי"ש</w:t>
      </w:r>
      <w:r w:rsidRPr="00AF3214">
        <w:rPr>
          <w:rFonts w:ascii="Narkisim" w:hAnsi="Narkisim"/>
          <w:rtl/>
        </w:rPr>
        <w:t xml:space="preserve"> כת' דבשלמא לדעת רש"י גזרו מאמר אטו ביאה. [וע"י ביאה קנאה מדאורייתא, ונאסרת על אחיו]. אבל לדעת תוס' דביאת בן ט' הוה מדרבנן, א"כ אמאי תקנו מאמר, דהוה גזירה לגזירה. וצ"ע</w:t>
      </w:r>
      <w:r w:rsidRPr="00AF3214">
        <w:rPr>
          <w:rFonts w:ascii="Narkisim" w:hAnsi="Narkisim"/>
        </w:rPr>
        <w:t>.</w:t>
      </w:r>
    </w:p>
    <w:p w14:paraId="3A394944"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ק"נ</w:t>
      </w:r>
      <w:r w:rsidRPr="00AF3214">
        <w:rPr>
          <w:rFonts w:ascii="Narkisim" w:hAnsi="Narkisim"/>
          <w:rtl/>
        </w:rPr>
        <w:t xml:space="preserve"> (ט) תי' דלא פלוג, וגזרו בקטן דומיא דגדול. וכל דתקון רבנן כעין דאורייתא תקון</w:t>
      </w:r>
      <w:r w:rsidRPr="00AF3214">
        <w:rPr>
          <w:rStyle w:val="ac"/>
          <w:rFonts w:ascii="Narkisim" w:hAnsi="Narkisim"/>
          <w:rtl/>
        </w:rPr>
        <w:footnoteReference w:id="6221"/>
      </w:r>
      <w:r w:rsidRPr="00AF3214">
        <w:rPr>
          <w:rFonts w:ascii="Narkisim" w:hAnsi="Narkisim"/>
        </w:rPr>
        <w:t>.</w:t>
      </w:r>
    </w:p>
    <w:p w14:paraId="42BC971C" w14:textId="77777777" w:rsidR="006C4368" w:rsidRPr="00AF3214" w:rsidRDefault="006C4368" w:rsidP="006C4368">
      <w:pPr>
        <w:bidi/>
        <w:rPr>
          <w:rFonts w:ascii="Narkisim" w:hAnsi="Narkisim" w:cs="Narkisim"/>
        </w:rPr>
      </w:pPr>
      <w:r w:rsidRPr="00AF3214">
        <w:rPr>
          <w:rFonts w:ascii="Narkisim" w:hAnsi="Narkisim" w:cs="Narkisim"/>
          <w:u w:val="single"/>
          <w:rtl/>
        </w:rPr>
        <w:t>אית ליה וזוטר וכו'</w:t>
      </w:r>
      <w:r w:rsidRPr="00AF3214">
        <w:rPr>
          <w:rFonts w:ascii="Narkisim" w:hAnsi="Narkisim" w:cs="Narkisim"/>
          <w:rtl/>
        </w:rPr>
        <w:t>. ה</w:t>
      </w:r>
      <w:r w:rsidRPr="00AF3214">
        <w:rPr>
          <w:rFonts w:ascii="Narkisim" w:hAnsi="Narkisim" w:cs="Narkisim"/>
          <w:b/>
          <w:bCs/>
          <w:rtl/>
        </w:rPr>
        <w:t>רא"ש</w:t>
      </w:r>
      <w:r w:rsidRPr="00AF3214">
        <w:rPr>
          <w:rFonts w:ascii="Narkisim" w:hAnsi="Narkisim" w:cs="Narkisim"/>
          <w:rtl/>
        </w:rPr>
        <w:t xml:space="preserve"> כת' דה"ה מאמר דבן ט' אית ליה וזוטר. והא דקאמרי רבנן דביאת בן ט' כמאמר בגדול [ולא אמרו עשו ביאתו כמאמרו], דמאמר בן ט' זוטר. [ולר"ג מהני מאמר דגדול אחר מאמר דבן ט', ולרבנן ל"מ מאמר דבן ט' אחר מאמר דגדול]</w:t>
      </w:r>
      <w:r w:rsidRPr="00AF3214">
        <w:rPr>
          <w:rFonts w:ascii="Narkisim" w:hAnsi="Narkisim" w:cs="Narkisim"/>
        </w:rPr>
        <w:t>.</w:t>
      </w:r>
    </w:p>
    <w:p w14:paraId="57FDEC1B" w14:textId="77777777" w:rsidR="006C4368" w:rsidRPr="00AF3214" w:rsidRDefault="006C4368" w:rsidP="006C4368">
      <w:pPr>
        <w:pStyle w:val="a7"/>
        <w:bidi/>
        <w:rPr>
          <w:rFonts w:ascii="Narkisim" w:hAnsi="Narkisim"/>
        </w:rPr>
      </w:pPr>
      <w:r w:rsidRPr="00AF3214">
        <w:rPr>
          <w:rFonts w:ascii="Narkisim" w:hAnsi="Narkisim"/>
          <w:rtl/>
        </w:rPr>
        <w:t>וה</w:t>
      </w:r>
      <w:r w:rsidRPr="00AF3214">
        <w:rPr>
          <w:rFonts w:ascii="Narkisim" w:hAnsi="Narkisim"/>
          <w:b/>
          <w:bCs/>
          <w:rtl/>
        </w:rPr>
        <w:t>טור</w:t>
      </w:r>
      <w:r w:rsidRPr="00AF3214">
        <w:rPr>
          <w:rFonts w:ascii="Narkisim" w:hAnsi="Narkisim"/>
          <w:rtl/>
        </w:rPr>
        <w:t xml:space="preserve"> (קע) כת' דאיכא למימר דמהני מאמרו של בן ט' אחר מאמר בן ט</w:t>
      </w:r>
      <w:r w:rsidRPr="00AF3214">
        <w:rPr>
          <w:rFonts w:ascii="Narkisim" w:hAnsi="Narkisim"/>
        </w:rPr>
        <w:t>'</w:t>
      </w:r>
      <w:r w:rsidRPr="00AF3214">
        <w:rPr>
          <w:rStyle w:val="ac"/>
          <w:rFonts w:ascii="Narkisim" w:hAnsi="Narkisim"/>
        </w:rPr>
        <w:footnoteReference w:id="6222"/>
      </w:r>
      <w:r w:rsidRPr="00AF3214">
        <w:rPr>
          <w:rFonts w:ascii="Narkisim" w:hAnsi="Narkisim"/>
        </w:rPr>
        <w:t>.</w:t>
      </w:r>
    </w:p>
    <w:p w14:paraId="4357A6F8" w14:textId="77777777" w:rsidR="006C4368" w:rsidRPr="00AF3214" w:rsidRDefault="006C4368" w:rsidP="006C4368">
      <w:pPr>
        <w:bidi/>
        <w:rPr>
          <w:rFonts w:ascii="Narkisim" w:hAnsi="Narkisim" w:cs="Narkisim"/>
        </w:rPr>
      </w:pPr>
      <w:r w:rsidRPr="00AF3214">
        <w:rPr>
          <w:rFonts w:ascii="Narkisim" w:hAnsi="Narkisim" w:cs="Narkisim"/>
          <w:u w:val="single"/>
          <w:rtl/>
        </w:rPr>
        <w:t>תוד"ה וכן</w:t>
      </w:r>
      <w:r w:rsidRPr="00AF3214">
        <w:rPr>
          <w:rFonts w:ascii="Narkisim" w:hAnsi="Narkisim" w:cs="Narkisim"/>
          <w:rtl/>
        </w:rPr>
        <w:t>. אבל גט לא וכו' הוי במקום חליצה, וביאה עדיפא מחליצה. [משמע דהוה עדיפות בעלמא]. וה</w:t>
      </w:r>
      <w:r w:rsidRPr="00AF3214">
        <w:rPr>
          <w:rFonts w:ascii="Narkisim" w:hAnsi="Narkisim" w:cs="Narkisim"/>
          <w:b/>
          <w:bCs/>
          <w:rtl/>
        </w:rPr>
        <w:t>מהרש"א</w:t>
      </w:r>
      <w:r w:rsidRPr="00AF3214">
        <w:rPr>
          <w:rFonts w:ascii="Narkisim" w:hAnsi="Narkisim" w:cs="Narkisim"/>
          <w:rtl/>
        </w:rPr>
        <w:t xml:space="preserve"> כת' דלמש"כ </w:t>
      </w:r>
      <w:r w:rsidRPr="00AF3214">
        <w:rPr>
          <w:rFonts w:ascii="Narkisim" w:hAnsi="Narkisim" w:cs="Narkisim"/>
          <w:b/>
          <w:bCs/>
          <w:rtl/>
        </w:rPr>
        <w:t>תוס'</w:t>
      </w:r>
      <w:r w:rsidRPr="00AF3214">
        <w:rPr>
          <w:rFonts w:ascii="Narkisim" w:hAnsi="Narkisim" w:cs="Narkisim"/>
          <w:rtl/>
        </w:rPr>
        <w:t xml:space="preserve"> (ד"ה ר' מאיר) דנח' ר' מאיר וחכמים אי מהני חליצת בן ט', א"כ שמואל דאמר דמהני גט קאי אליבא דר"מ [דגט לא עדיף מחליצה]. ואינך מ"ד קאי אליבא דרבנן דאין חליצת קטן כלום, וה"ה לגיטו. והביא דכ"כ ה</w:t>
      </w:r>
      <w:r w:rsidRPr="00AF3214">
        <w:rPr>
          <w:rFonts w:ascii="Narkisim" w:hAnsi="Narkisim" w:cs="Narkisim"/>
          <w:b/>
          <w:bCs/>
          <w:rtl/>
        </w:rPr>
        <w:t>רא"ש</w:t>
      </w:r>
      <w:r w:rsidRPr="00AF3214">
        <w:rPr>
          <w:rFonts w:ascii="Narkisim" w:hAnsi="Narkisim" w:cs="Narkisim"/>
          <w:rtl/>
        </w:rPr>
        <w:t>. וכ"כ הבעה"מ, וכ"כ</w:t>
      </w:r>
      <w:r w:rsidRPr="00AF3214">
        <w:rPr>
          <w:rFonts w:ascii="Narkisim" w:hAnsi="Narkisim" w:cs="Narkisim"/>
          <w:b/>
          <w:bCs/>
          <w:rtl/>
        </w:rPr>
        <w:t xml:space="preserve"> ה"ה</w:t>
      </w:r>
      <w:r w:rsidRPr="00AF3214">
        <w:rPr>
          <w:rFonts w:ascii="Narkisim" w:hAnsi="Narkisim" w:cs="Narkisim"/>
          <w:rtl/>
        </w:rPr>
        <w:t xml:space="preserve"> (ה יח)</w:t>
      </w:r>
      <w:r w:rsidRPr="00AF3214">
        <w:rPr>
          <w:rFonts w:ascii="Narkisim" w:hAnsi="Narkisim" w:cs="Narkisim"/>
        </w:rPr>
        <w:t>.</w:t>
      </w:r>
    </w:p>
    <w:p w14:paraId="14AD45CC" w14:textId="77777777" w:rsidR="006C4368" w:rsidRPr="00AF3214" w:rsidRDefault="006C4368" w:rsidP="006C4368">
      <w:pPr>
        <w:pStyle w:val="3"/>
        <w:bidi/>
        <w:rPr>
          <w:rFonts w:ascii="Narkisim" w:hAnsi="Narkisim"/>
        </w:rPr>
      </w:pPr>
      <w:r w:rsidRPr="00AF3214">
        <w:rPr>
          <w:rFonts w:ascii="Narkisim" w:hAnsi="Narkisim"/>
          <w:rtl/>
        </w:rPr>
        <w:t>דף צו</w:t>
      </w:r>
      <w:r w:rsidRPr="00AF3214">
        <w:rPr>
          <w:rFonts w:ascii="Narkisim" w:hAnsi="Narkisim"/>
        </w:rPr>
        <w:t>:</w:t>
      </w:r>
    </w:p>
    <w:p w14:paraId="565B6472" w14:textId="77777777" w:rsidR="006C4368" w:rsidRPr="00AF3214" w:rsidRDefault="006C4368" w:rsidP="006C4368">
      <w:pPr>
        <w:bidi/>
        <w:rPr>
          <w:rFonts w:ascii="Narkisim" w:hAnsi="Narkisim" w:cs="Narkisim"/>
        </w:rPr>
      </w:pPr>
      <w:r w:rsidRPr="00AF3214">
        <w:rPr>
          <w:rFonts w:ascii="Narkisim" w:hAnsi="Narkisim" w:cs="Narkisim"/>
          <w:u w:val="single"/>
          <w:rtl/>
        </w:rPr>
        <w:t>רש"י ד"ה פוסל על ידו</w:t>
      </w:r>
      <w:r w:rsidRPr="00AF3214">
        <w:rPr>
          <w:rFonts w:ascii="Narkisim" w:hAnsi="Narkisim" w:cs="Narkisim"/>
          <w:rtl/>
        </w:rPr>
        <w:t>. דהו"ל כמאמר אחר מאמר (במשנה לעיל נ.) וכו' וכיון דבעיא גט משני</w:t>
      </w:r>
      <w:r w:rsidRPr="00AF3214">
        <w:rPr>
          <w:rStyle w:val="ac"/>
          <w:rFonts w:ascii="Narkisim" w:hAnsi="Narkisim" w:cs="Narkisim"/>
          <w:rtl/>
        </w:rPr>
        <w:footnoteReference w:id="6223"/>
      </w:r>
      <w:r w:rsidRPr="00AF3214">
        <w:rPr>
          <w:rFonts w:ascii="Narkisim" w:hAnsi="Narkisim" w:cs="Narkisim"/>
        </w:rPr>
        <w:t xml:space="preserve"> </w:t>
      </w:r>
      <w:r w:rsidRPr="00AF3214">
        <w:rPr>
          <w:rFonts w:ascii="Narkisim" w:hAnsi="Narkisim" w:cs="Narkisim"/>
          <w:rtl/>
        </w:rPr>
        <w:t>קם ביתא וכו' שוב לא יבנה. ו</w:t>
      </w:r>
      <w:r w:rsidRPr="00AF3214">
        <w:rPr>
          <w:rFonts w:ascii="Narkisim" w:hAnsi="Narkisim" w:cs="Narkisim"/>
          <w:b/>
          <w:bCs/>
          <w:rtl/>
        </w:rPr>
        <w:t>תוס'</w:t>
      </w:r>
      <w:r w:rsidRPr="00AF3214">
        <w:rPr>
          <w:rFonts w:ascii="Narkisim" w:hAnsi="Narkisim" w:cs="Narkisim"/>
          <w:rtl/>
        </w:rPr>
        <w:t xml:space="preserve"> (לעיל לב.) דנו דיוכל ליתן גט למאמרו [ולא לזיקתו]. ותי' דלכתחילה אין לעשות כן, דגזרו אטו מאמר לזיקתו. [וע' בסוגיות לעיל לב. ונב:]</w:t>
      </w:r>
      <w:r w:rsidRPr="00AF3214">
        <w:rPr>
          <w:rFonts w:ascii="Narkisim" w:hAnsi="Narkisim" w:cs="Narkisim"/>
        </w:rPr>
        <w:t>.</w:t>
      </w:r>
    </w:p>
    <w:p w14:paraId="0B29523E" w14:textId="77777777" w:rsidR="006C4368" w:rsidRPr="00AF3214" w:rsidRDefault="006C4368" w:rsidP="006C4368">
      <w:pPr>
        <w:bidi/>
        <w:rPr>
          <w:rFonts w:ascii="Narkisim" w:hAnsi="Narkisim" w:cs="Narkisim"/>
        </w:rPr>
      </w:pPr>
      <w:r w:rsidRPr="00AF3214">
        <w:rPr>
          <w:rFonts w:ascii="Narkisim" w:hAnsi="Narkisim" w:cs="Narkisim"/>
          <w:u w:val="single"/>
          <w:rtl/>
        </w:rPr>
        <w:t>רש"י ד"ה ור' שמעון</w:t>
      </w:r>
      <w:r w:rsidRPr="00AF3214">
        <w:rPr>
          <w:rFonts w:ascii="Narkisim" w:hAnsi="Narkisim" w:cs="Narkisim"/>
          <w:rtl/>
        </w:rPr>
        <w:t>. וכגון דבביאת שני שגגה</w:t>
      </w:r>
      <w:r w:rsidRPr="00AF3214">
        <w:rPr>
          <w:rStyle w:val="ac"/>
          <w:rFonts w:ascii="Narkisim" w:hAnsi="Narkisim" w:cs="Narkisim"/>
          <w:rtl/>
        </w:rPr>
        <w:footnoteReference w:id="6224"/>
      </w:r>
      <w:r w:rsidRPr="00AF3214">
        <w:rPr>
          <w:rFonts w:ascii="Narkisim" w:hAnsi="Narkisim" w:cs="Narkisim"/>
        </w:rPr>
        <w:t xml:space="preserve">, </w:t>
      </w:r>
      <w:r w:rsidRPr="00AF3214">
        <w:rPr>
          <w:rFonts w:ascii="Narkisim" w:hAnsi="Narkisim" w:cs="Narkisim"/>
          <w:rtl/>
        </w:rPr>
        <w:t>דאי במזיד וכו' ונהרגת עליו. כוונת רש"י דה"ה דנאסרת לבעל ולבועל</w:t>
      </w:r>
      <w:r w:rsidRPr="00AF3214">
        <w:rPr>
          <w:rStyle w:val="ac"/>
          <w:rFonts w:ascii="Narkisim" w:hAnsi="Narkisim" w:cs="Narkisim"/>
          <w:rtl/>
        </w:rPr>
        <w:footnoteReference w:id="6225"/>
      </w:r>
      <w:r w:rsidRPr="00AF3214">
        <w:rPr>
          <w:rFonts w:ascii="Narkisim" w:hAnsi="Narkisim" w:cs="Narkisim"/>
        </w:rPr>
        <w:t xml:space="preserve">. </w:t>
      </w:r>
      <w:r w:rsidRPr="00AF3214">
        <w:rPr>
          <w:rFonts w:ascii="Narkisim" w:hAnsi="Narkisim" w:cs="Narkisim"/>
          <w:rtl/>
        </w:rPr>
        <w:t xml:space="preserve">אבל </w:t>
      </w:r>
      <w:r w:rsidRPr="00AF3214">
        <w:rPr>
          <w:rFonts w:ascii="Narkisim" w:hAnsi="Narkisim" w:cs="Narkisim"/>
          <w:b/>
          <w:bCs/>
          <w:rtl/>
        </w:rPr>
        <w:t>רש"י</w:t>
      </w:r>
      <w:r w:rsidRPr="00AF3214">
        <w:rPr>
          <w:rFonts w:ascii="Narkisim" w:hAnsi="Narkisim" w:cs="Narkisim"/>
          <w:rtl/>
        </w:rPr>
        <w:t xml:space="preserve"> (לעיל נא:) כת' דאינה נאסרת אלא על עסקי קינוי וסתירה. ו</w:t>
      </w:r>
      <w:r w:rsidRPr="00AF3214">
        <w:rPr>
          <w:rFonts w:ascii="Narkisim" w:hAnsi="Narkisim" w:cs="Narkisim"/>
          <w:b/>
          <w:bCs/>
          <w:rtl/>
        </w:rPr>
        <w:t>תוס</w:t>
      </w:r>
      <w:r w:rsidRPr="00AF3214">
        <w:rPr>
          <w:rFonts w:ascii="Narkisim" w:hAnsi="Narkisim" w:cs="Narkisim"/>
          <w:rtl/>
        </w:rPr>
        <w:t>' (שם) ושא"ר תמהו דודאי נאסרת בביאה אף בלא קינוי וסתירה, וכדאי' (כתובות ט.)</w:t>
      </w:r>
      <w:r w:rsidRPr="00AF3214">
        <w:rPr>
          <w:rFonts w:ascii="Narkisim" w:hAnsi="Narkisim" w:cs="Narkisim"/>
        </w:rPr>
        <w:t>.</w:t>
      </w:r>
    </w:p>
    <w:p w14:paraId="4B44CC6B"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כת' דהוה טעות סופר, ורש"י לא פי' כן מעולם. וה</w:t>
      </w:r>
      <w:r w:rsidRPr="00AF3214">
        <w:rPr>
          <w:rFonts w:ascii="Narkisim" w:hAnsi="Narkisim"/>
          <w:b/>
          <w:bCs/>
          <w:rtl/>
        </w:rPr>
        <w:t>רמב"ן</w:t>
      </w:r>
      <w:r w:rsidRPr="00AF3214">
        <w:rPr>
          <w:rFonts w:ascii="Narkisim" w:hAnsi="Narkisim"/>
          <w:rtl/>
        </w:rPr>
        <w:t xml:space="preserve"> (שם) ציין דרש"י (כאן) חזר בו דאיירי בשוגגת</w:t>
      </w:r>
      <w:r w:rsidRPr="00AF3214">
        <w:rPr>
          <w:rFonts w:ascii="Narkisim" w:hAnsi="Narkisim"/>
        </w:rPr>
        <w:t>.</w:t>
      </w:r>
    </w:p>
    <w:p w14:paraId="2963120B" w14:textId="77777777" w:rsidR="006C4368" w:rsidRPr="00AF3214" w:rsidRDefault="006C4368" w:rsidP="006C4368">
      <w:pPr>
        <w:bidi/>
        <w:rPr>
          <w:rFonts w:ascii="Narkisim" w:hAnsi="Narkisim" w:cs="Narkisim"/>
        </w:rPr>
      </w:pP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(לעיל) הביא דה</w:t>
      </w:r>
      <w:r w:rsidRPr="00AF3214">
        <w:rPr>
          <w:rFonts w:ascii="Narkisim" w:hAnsi="Narkisim" w:cs="Narkisim"/>
          <w:b/>
          <w:bCs/>
          <w:rtl/>
        </w:rPr>
        <w:t>רב אב"ד</w:t>
      </w:r>
      <w:r w:rsidRPr="00AF3214">
        <w:rPr>
          <w:rFonts w:ascii="Narkisim" w:hAnsi="Narkisim" w:cs="Narkisim"/>
          <w:rtl/>
        </w:rPr>
        <w:t xml:space="preserve"> תי' דנתמעט אשת קטן מחיוב מיתה. ומש"ה אין דינה כאשת איש גמורה אלא כמאמר, ואינה נאסרת בזנות. </w:t>
      </w:r>
      <w:r w:rsidRPr="00AF3214">
        <w:rPr>
          <w:rFonts w:ascii="Narkisim" w:hAnsi="Narkisim" w:cs="Narkisim"/>
          <w:szCs w:val="20"/>
          <w:rtl/>
        </w:rPr>
        <w:t>[וה</w:t>
      </w:r>
      <w:r w:rsidRPr="00AF3214">
        <w:rPr>
          <w:rFonts w:ascii="Narkisim" w:hAnsi="Narkisim" w:cs="Narkisim"/>
          <w:b/>
          <w:bCs/>
          <w:szCs w:val="20"/>
          <w:rtl/>
        </w:rPr>
        <w:t>אחרונים</w:t>
      </w:r>
      <w:r w:rsidRPr="00AF3214">
        <w:rPr>
          <w:rFonts w:ascii="Narkisim" w:hAnsi="Narkisim" w:cs="Narkisim"/>
          <w:szCs w:val="20"/>
          <w:rtl/>
        </w:rPr>
        <w:t xml:space="preserve"> פי' דברי רש"י הנ"ל עד"ז, דבזנות בעלמא אינה נאסרת. אבל ע"י קינוי וסתירה דתלי בקפידת הבעל נאסרת, וע' מש"כ לעיל נה: עד"ז]</w:t>
      </w:r>
      <w:r w:rsidRPr="00AF3214">
        <w:rPr>
          <w:rFonts w:ascii="Narkisim" w:hAnsi="Narkisim" w:cs="Narkisim"/>
          <w:szCs w:val="20"/>
        </w:rPr>
        <w:t>.</w:t>
      </w:r>
    </w:p>
    <w:p w14:paraId="58B7FC6C" w14:textId="77777777" w:rsidR="006C4368" w:rsidRPr="00AF3214" w:rsidRDefault="006C4368" w:rsidP="006C4368">
      <w:pPr>
        <w:pStyle w:val="a7"/>
        <w:bidi/>
        <w:rPr>
          <w:rFonts w:ascii="Narkisim" w:hAnsi="Narkisim"/>
        </w:rPr>
      </w:pPr>
      <w:r w:rsidRPr="00AF3214">
        <w:rPr>
          <w:rFonts w:ascii="Narkisim" w:hAnsi="Narkisim"/>
          <w:rtl/>
        </w:rPr>
        <w:lastRenderedPageBreak/>
        <w:t>אך ה</w:t>
      </w:r>
      <w:r w:rsidRPr="00AF3214">
        <w:rPr>
          <w:rFonts w:ascii="Narkisim" w:hAnsi="Narkisim"/>
          <w:b/>
          <w:bCs/>
          <w:rtl/>
        </w:rPr>
        <w:t>רמב"ן</w:t>
      </w:r>
      <w:r w:rsidRPr="00AF3214">
        <w:rPr>
          <w:rFonts w:ascii="Narkisim" w:hAnsi="Narkisim"/>
          <w:rtl/>
        </w:rPr>
        <w:t xml:space="preserve"> דחה דדעת רב (לעיל נו.) דביאת שוגג קנה לכל, ואף ביאת חרש. [ודלא כשמואל דקנה לדברים הכתובים בפרשה</w:t>
      </w:r>
      <w:r w:rsidRPr="00AF3214">
        <w:rPr>
          <w:rStyle w:val="ac"/>
          <w:rFonts w:ascii="Narkisim" w:hAnsi="Narkisim"/>
          <w:rtl/>
        </w:rPr>
        <w:footnoteReference w:id="6226"/>
      </w:r>
      <w:r w:rsidRPr="00AF3214">
        <w:rPr>
          <w:rFonts w:ascii="Narkisim" w:hAnsi="Narkisim"/>
        </w:rPr>
        <w:t xml:space="preserve">. </w:t>
      </w:r>
      <w:r w:rsidRPr="00AF3214">
        <w:rPr>
          <w:rFonts w:ascii="Narkisim" w:hAnsi="Narkisim"/>
          <w:rtl/>
        </w:rPr>
        <w:t>וקי"ל כרב</w:t>
      </w:r>
      <w:r w:rsidRPr="00AF3214">
        <w:rPr>
          <w:rStyle w:val="ac"/>
          <w:rFonts w:ascii="Narkisim" w:hAnsi="Narkisim"/>
          <w:rtl/>
        </w:rPr>
        <w:footnoteReference w:id="6227"/>
      </w:r>
      <w:r w:rsidRPr="00AF3214">
        <w:rPr>
          <w:rFonts w:ascii="Narkisim" w:hAnsi="Narkisim"/>
          <w:rtl/>
        </w:rPr>
        <w:t xml:space="preserve">]. </w:t>
      </w:r>
      <w:r w:rsidRPr="00AF3214">
        <w:rPr>
          <w:rFonts w:ascii="Narkisim" w:hAnsi="Narkisim"/>
          <w:szCs w:val="20"/>
          <w:rtl/>
        </w:rPr>
        <w:t>וב</w:t>
      </w:r>
      <w:r w:rsidRPr="00AF3214">
        <w:rPr>
          <w:rFonts w:ascii="Narkisim" w:hAnsi="Narkisim"/>
          <w:b/>
          <w:bCs/>
          <w:szCs w:val="20"/>
          <w:rtl/>
        </w:rPr>
        <w:t>חי' ר' שמואל</w:t>
      </w:r>
      <w:r w:rsidRPr="00AF3214">
        <w:rPr>
          <w:rFonts w:ascii="Narkisim" w:hAnsi="Narkisim"/>
          <w:szCs w:val="20"/>
          <w:rtl/>
        </w:rPr>
        <w:t xml:space="preserve"> (טז) ביאר דדעת הר"א אב"ד דנתמעט אשת קטן בעצם האישות, דלא הוה אישות גמור. והרמב"ן חלק דמדאורייתא קנה לכל, אלא דגזיה"כ דאין חייבין על ביאתו</w:t>
      </w:r>
      <w:r w:rsidRPr="00AF3214">
        <w:rPr>
          <w:rStyle w:val="ac"/>
          <w:rFonts w:ascii="Narkisim" w:hAnsi="Narkisim"/>
          <w:szCs w:val="20"/>
          <w:rtl/>
        </w:rPr>
        <w:footnoteReference w:id="6228"/>
      </w:r>
      <w:r w:rsidRPr="00AF3214">
        <w:rPr>
          <w:rFonts w:ascii="Narkisim" w:hAnsi="Narkisim"/>
          <w:szCs w:val="20"/>
        </w:rPr>
        <w:t>.</w:t>
      </w:r>
    </w:p>
    <w:p w14:paraId="255B9F91" w14:textId="77777777" w:rsidR="006C4368" w:rsidRPr="00AF3214" w:rsidRDefault="006C4368" w:rsidP="006C4368">
      <w:pPr>
        <w:bidi/>
        <w:rPr>
          <w:rFonts w:ascii="Narkisim" w:hAnsi="Narkisim" w:cs="Narkisim"/>
        </w:rPr>
      </w:pPr>
      <w:r w:rsidRPr="00AF3214">
        <w:rPr>
          <w:rFonts w:ascii="Narkisim" w:hAnsi="Narkisim" w:cs="Narkisim"/>
          <w:u w:val="single"/>
          <w:rtl/>
        </w:rPr>
        <w:t>בא"ד (שם) ונהרגת עליו</w:t>
      </w:r>
      <w:r w:rsidRPr="00AF3214">
        <w:rPr>
          <w:rFonts w:ascii="Narkisim" w:hAnsi="Narkisim" w:cs="Narkisim"/>
          <w:rtl/>
        </w:rPr>
        <w:t>. צ"ע דהא נתמעט אשת קטן. ואף לצד (רש"י קידושין והרמב"ן) דביאת בן ט' קונה מדאורייתא, מ"מ נתמעט מחיוב מיתה. ועוה"ק ה</w:t>
      </w:r>
      <w:r w:rsidRPr="00AF3214">
        <w:rPr>
          <w:rFonts w:ascii="Narkisim" w:hAnsi="Narkisim" w:cs="Narkisim"/>
          <w:b/>
          <w:bCs/>
          <w:rtl/>
        </w:rPr>
        <w:t>מהרש"א</w:t>
      </w:r>
      <w:r w:rsidRPr="00AF3214">
        <w:rPr>
          <w:rFonts w:ascii="Narkisim" w:hAnsi="Narkisim" w:cs="Narkisim"/>
          <w:rtl/>
        </w:rPr>
        <w:t xml:space="preserve"> דדעת רש"י בסוגייין דקני רק מדרבנן. וכת' דדברי רש"י לאו דוקא, וה"ק דאשה אחרת אסורה במזיד דנהרגת עליו, ה"נ בנשואין דרבנן חכמים אסרוה, דכל דתיקון רבנן כעין דאורייתא תיקון</w:t>
      </w:r>
      <w:r w:rsidRPr="00AF3214">
        <w:rPr>
          <w:rStyle w:val="ac"/>
          <w:rFonts w:ascii="Narkisim" w:hAnsi="Narkisim" w:cs="Narkisim"/>
          <w:rtl/>
        </w:rPr>
        <w:footnoteReference w:id="6229"/>
      </w:r>
      <w:r w:rsidRPr="00AF3214">
        <w:rPr>
          <w:rFonts w:ascii="Narkisim" w:hAnsi="Narkisim" w:cs="Narkisim"/>
        </w:rPr>
        <w:t>.</w:t>
      </w:r>
    </w:p>
    <w:p w14:paraId="47053978" w14:textId="77777777" w:rsidR="006C4368" w:rsidRPr="00AF3214" w:rsidRDefault="006C4368" w:rsidP="006C4368">
      <w:pPr>
        <w:bidi/>
        <w:rPr>
          <w:rFonts w:ascii="Narkisim" w:hAnsi="Narkisim" w:cs="Narkisim"/>
        </w:rPr>
      </w:pPr>
      <w:r w:rsidRPr="00AF3214">
        <w:rPr>
          <w:rFonts w:ascii="Narkisim" w:hAnsi="Narkisim" w:cs="Narkisim"/>
          <w:u w:val="single"/>
          <w:rtl/>
        </w:rPr>
        <w:t>תניא אמר להם ר"ש לחכמים אם ביאה ראשונה ביאה וכו'</w:t>
      </w:r>
      <w:r w:rsidRPr="00AF3214">
        <w:rPr>
          <w:rFonts w:ascii="Narkisim" w:hAnsi="Narkisim" w:cs="Narkisim"/>
          <w:rtl/>
        </w:rPr>
        <w:t>. פ</w:t>
      </w:r>
      <w:r w:rsidRPr="00AF3214">
        <w:rPr>
          <w:rFonts w:ascii="Narkisim" w:hAnsi="Narkisim" w:cs="Narkisim"/>
          <w:b/>
          <w:bCs/>
          <w:rtl/>
        </w:rPr>
        <w:t xml:space="preserve">רש"י </w:t>
      </w:r>
      <w:r w:rsidRPr="00AF3214">
        <w:rPr>
          <w:rFonts w:ascii="Narkisim" w:hAnsi="Narkisim" w:cs="Narkisim"/>
          <w:rtl/>
        </w:rPr>
        <w:t>(במשנה) דביאת בן ט' הוה ספק, ואי קניא קניא לגמרי, ומש"ה ל"מ בתריה. דאמרי' ממ"נ. וביאת קטן בן ט' הוה בגדר ספק. ואילו לרבנן ל"ק קנין גמור, ומש"ה מהני בתרא. וקונה במקצת, ומש"ה תפסי תרוייהו</w:t>
      </w:r>
      <w:r w:rsidRPr="00AF3214">
        <w:rPr>
          <w:rFonts w:ascii="Narkisim" w:hAnsi="Narkisim" w:cs="Narkisim"/>
        </w:rPr>
        <w:t>.</w:t>
      </w:r>
    </w:p>
    <w:p w14:paraId="2E7A887C" w14:textId="77777777" w:rsidR="006C4368" w:rsidRPr="00AF3214" w:rsidRDefault="006C4368" w:rsidP="006C4368">
      <w:pPr>
        <w:pStyle w:val="a7"/>
        <w:bidi/>
        <w:rPr>
          <w:rFonts w:ascii="Narkisim" w:hAnsi="Narkisim"/>
        </w:rPr>
      </w:pPr>
      <w:r w:rsidRPr="00AF3214">
        <w:rPr>
          <w:rFonts w:ascii="Narkisim" w:hAnsi="Narkisim"/>
          <w:rtl/>
        </w:rPr>
        <w:t xml:space="preserve">אבל </w:t>
      </w:r>
      <w:r w:rsidRPr="00AF3214">
        <w:rPr>
          <w:rFonts w:ascii="Narkisim" w:hAnsi="Narkisim"/>
          <w:b/>
          <w:bCs/>
          <w:rtl/>
        </w:rPr>
        <w:t>רש"י</w:t>
      </w:r>
      <w:r w:rsidRPr="00AF3214">
        <w:rPr>
          <w:rFonts w:ascii="Narkisim" w:hAnsi="Narkisim"/>
          <w:rtl/>
        </w:rPr>
        <w:t xml:space="preserve"> </w:t>
      </w:r>
      <w:r w:rsidRPr="00AF3214">
        <w:rPr>
          <w:rFonts w:ascii="Narkisim" w:hAnsi="Narkisim"/>
          <w:szCs w:val="20"/>
          <w:rtl/>
        </w:rPr>
        <w:t>(לעיל נא:)</w:t>
      </w:r>
      <w:r w:rsidRPr="00AF3214">
        <w:rPr>
          <w:rFonts w:ascii="Narkisim" w:hAnsi="Narkisim"/>
          <w:rtl/>
        </w:rPr>
        <w:t xml:space="preserve"> כת' דסברת ר' שמעון משום דאין ביאה אחר ביאה, ול"מ לפסול עליו. וה"נ ביאת בן ט' [דהוה כמאמר] חשוב לקנות כל כח מאמר</w:t>
      </w:r>
      <w:r w:rsidRPr="00AF3214">
        <w:rPr>
          <w:rStyle w:val="ac"/>
          <w:rFonts w:ascii="Narkisim" w:hAnsi="Narkisim"/>
          <w:rtl/>
        </w:rPr>
        <w:footnoteReference w:id="6230"/>
      </w:r>
      <w:r w:rsidRPr="00AF3214">
        <w:rPr>
          <w:rFonts w:ascii="Narkisim" w:hAnsi="Narkisim"/>
          <w:rtl/>
        </w:rPr>
        <w:t>. ופי' דחכמים פליגי משום דיש מאמר אחר מאמר. ומקודשת אף לשני, ופסלה על הראשון</w:t>
      </w:r>
      <w:r w:rsidRPr="00AF3214">
        <w:rPr>
          <w:rStyle w:val="ac"/>
          <w:rFonts w:ascii="Narkisim" w:hAnsi="Narkisim"/>
          <w:rtl/>
        </w:rPr>
        <w:footnoteReference w:id="6231"/>
      </w:r>
      <w:r w:rsidRPr="00AF3214">
        <w:rPr>
          <w:rFonts w:ascii="Narkisim" w:hAnsi="Narkisim"/>
          <w:rtl/>
        </w:rPr>
        <w:t>. [וה</w:t>
      </w:r>
      <w:r w:rsidRPr="00AF3214">
        <w:rPr>
          <w:rFonts w:ascii="Narkisim" w:hAnsi="Narkisim"/>
          <w:b/>
          <w:bCs/>
          <w:rtl/>
        </w:rPr>
        <w:t>רשב"א</w:t>
      </w:r>
      <w:r w:rsidRPr="00AF3214">
        <w:rPr>
          <w:rFonts w:ascii="Narkisim" w:hAnsi="Narkisim"/>
          <w:rtl/>
        </w:rPr>
        <w:t xml:space="preserve"> </w:t>
      </w:r>
      <w:r w:rsidRPr="00AF3214">
        <w:rPr>
          <w:rFonts w:ascii="Narkisim" w:hAnsi="Narkisim"/>
          <w:szCs w:val="20"/>
          <w:rtl/>
        </w:rPr>
        <w:t>(לעיל נא:)</w:t>
      </w:r>
      <w:r w:rsidRPr="00AF3214">
        <w:rPr>
          <w:rFonts w:ascii="Narkisim" w:hAnsi="Narkisim"/>
          <w:rtl/>
        </w:rPr>
        <w:t xml:space="preserve"> הביא ב' מהלכים אלו].</w:t>
      </w:r>
    </w:p>
    <w:p w14:paraId="2DD2D95C" w14:textId="77777777" w:rsidR="006C4368" w:rsidRPr="00AF3214" w:rsidRDefault="006C4368" w:rsidP="006C4368">
      <w:pPr>
        <w:bidi/>
        <w:rPr>
          <w:rFonts w:ascii="Narkisim" w:hAnsi="Narkisim" w:cs="Narkisim"/>
        </w:rPr>
      </w:pPr>
      <w:r w:rsidRPr="00AF3214">
        <w:rPr>
          <w:rFonts w:ascii="Narkisim" w:hAnsi="Narkisim" w:cs="Narkisim"/>
          <w:rtl/>
        </w:rPr>
        <w:t xml:space="preserve">ועד"ז אי' בברייתא </w:t>
      </w:r>
      <w:r w:rsidRPr="00AF3214">
        <w:rPr>
          <w:rFonts w:ascii="Narkisim" w:hAnsi="Narkisim" w:cs="Narkisim"/>
          <w:szCs w:val="20"/>
          <w:rtl/>
        </w:rPr>
        <w:t xml:space="preserve">(לעיל יט.) </w:t>
      </w:r>
      <w:r w:rsidRPr="00AF3214">
        <w:rPr>
          <w:rFonts w:ascii="Narkisim" w:hAnsi="Narkisim" w:cs="Narkisim"/>
          <w:rtl/>
        </w:rPr>
        <w:t xml:space="preserve">דר' שמעון סבר דמאמר הוה ספק, ואין בזה משום אשת ב' מתים (וכדאי' בסמוך גבי ביאת בן ט'). דס"ל דמאמר הוה ספק. וממ"נ, אי מהני מאמר הוה אשתו של שני, ואי ל"מ הוה אשתו של ראשון. ואילו לרבנן ע"י מאמר הוה מקצת של שניהם. </w:t>
      </w:r>
      <w:r w:rsidRPr="00AF3214">
        <w:rPr>
          <w:rFonts w:ascii="Narkisim" w:hAnsi="Narkisim" w:cs="Narkisim"/>
          <w:szCs w:val="20"/>
          <w:rtl/>
        </w:rPr>
        <w:t>[ע' רש"י לעיל יט.]</w:t>
      </w:r>
      <w:r w:rsidRPr="00AF3214">
        <w:rPr>
          <w:rFonts w:ascii="Narkisim" w:hAnsi="Narkisim" w:cs="Narkisim"/>
        </w:rPr>
        <w:t>.</w:t>
      </w:r>
    </w:p>
    <w:p w14:paraId="0CE96FDF" w14:textId="77777777" w:rsidR="006C4368" w:rsidRPr="00AF3214" w:rsidRDefault="006C4368" w:rsidP="006C4368">
      <w:pPr>
        <w:pStyle w:val="a7"/>
        <w:bidi/>
        <w:rPr>
          <w:rFonts w:ascii="Narkisim" w:hAnsi="Narkisim"/>
        </w:rPr>
      </w:pPr>
      <w:r w:rsidRPr="00AF3214">
        <w:rPr>
          <w:rFonts w:ascii="Narkisim" w:hAnsi="Narkisim"/>
          <w:rtl/>
        </w:rPr>
        <w:t>ובגמ' (לעיל נא:) מבואר דסברת ר' שמעון (כאן) דביאת בן ט' הוה בגדר מאמר, ומש"ה הוה ספק, ולשיטתו</w:t>
      </w:r>
      <w:r w:rsidRPr="00AF3214">
        <w:rPr>
          <w:rFonts w:ascii="Narkisim" w:hAnsi="Narkisim"/>
        </w:rPr>
        <w:t>.</w:t>
      </w:r>
    </w:p>
    <w:p w14:paraId="7275827E" w14:textId="77777777" w:rsidR="006C4368" w:rsidRPr="00AF3214" w:rsidRDefault="006C4368" w:rsidP="006C4368">
      <w:pPr>
        <w:bidi/>
        <w:rPr>
          <w:rFonts w:ascii="Narkisim" w:hAnsi="Narkisim" w:cs="Narkisim"/>
        </w:rPr>
      </w:pPr>
      <w:r w:rsidRPr="00AF3214">
        <w:rPr>
          <w:rFonts w:ascii="Narkisim" w:hAnsi="Narkisim" w:cs="Narkisim"/>
          <w:rtl/>
        </w:rPr>
        <w:t>והגמ' (לעיל נא:) הביאה דדעת ר' שמעון דמאמר קונה קנין גמור [טפי מדעת חכמים], ומש"ה ל"מ מאמר השני אחריו. [והגמ' הביאה מהמשנה כאן, אך לכאורה טפי הו"ל להביא הברייתא דלעיל יט. דאיירי במאמר ממש</w:t>
      </w:r>
      <w:r w:rsidRPr="00AF3214">
        <w:rPr>
          <w:rStyle w:val="ac"/>
          <w:rFonts w:ascii="Narkisim" w:hAnsi="Narkisim" w:cs="Narkisim"/>
          <w:rtl/>
        </w:rPr>
        <w:footnoteReference w:id="6232"/>
      </w:r>
      <w:r w:rsidRPr="00AF3214">
        <w:rPr>
          <w:rFonts w:ascii="Narkisim" w:hAnsi="Narkisim" w:cs="Narkisim"/>
          <w:rtl/>
        </w:rPr>
        <w:t>]</w:t>
      </w:r>
      <w:r w:rsidRPr="00AF3214">
        <w:rPr>
          <w:rFonts w:ascii="Narkisim" w:hAnsi="Narkisim" w:cs="Narkisim"/>
        </w:rPr>
        <w:t>.</w:t>
      </w:r>
    </w:p>
    <w:p w14:paraId="211C1CBA" w14:textId="77777777" w:rsidR="006C4368" w:rsidRPr="00AF3214" w:rsidRDefault="006C4368" w:rsidP="006C4368">
      <w:pPr>
        <w:bidi/>
        <w:rPr>
          <w:rFonts w:ascii="Narkisim" w:hAnsi="Narkisim" w:cs="Narkisim"/>
        </w:rPr>
      </w:pPr>
      <w:r w:rsidRPr="00AF3214">
        <w:rPr>
          <w:rFonts w:ascii="Narkisim" w:hAnsi="Narkisim" w:cs="Narkisim"/>
          <w:rtl/>
        </w:rPr>
        <w:t>ובפשוטו מבואר דדעת ר' שמעון דמאמר [וכן ביאת בן ט'] הוה ספק</w:t>
      </w:r>
      <w:r w:rsidRPr="00AF3214">
        <w:rPr>
          <w:rStyle w:val="ac"/>
          <w:rFonts w:ascii="Narkisim" w:hAnsi="Narkisim" w:cs="Narkisim"/>
          <w:rtl/>
        </w:rPr>
        <w:footnoteReference w:id="6233"/>
      </w:r>
      <w:r w:rsidRPr="00AF3214">
        <w:rPr>
          <w:rFonts w:ascii="Narkisim" w:hAnsi="Narkisim" w:cs="Narkisim"/>
        </w:rPr>
        <w:t xml:space="preserve"> </w:t>
      </w:r>
      <w:r w:rsidRPr="00AF3214">
        <w:rPr>
          <w:rFonts w:ascii="Narkisim" w:hAnsi="Narkisim" w:cs="Narkisim"/>
          <w:rtl/>
        </w:rPr>
        <w:t xml:space="preserve">אי הוה קנין גמור </w:t>
      </w:r>
      <w:r w:rsidRPr="00AF3214">
        <w:rPr>
          <w:rFonts w:ascii="Narkisim" w:hAnsi="Narkisim" w:cs="Narkisim"/>
          <w:rtl/>
        </w:rPr>
        <w:lastRenderedPageBreak/>
        <w:t>מדאורייתא. [וכ"מ ב</w:t>
      </w:r>
      <w:r w:rsidRPr="00AF3214">
        <w:rPr>
          <w:rFonts w:ascii="Narkisim" w:hAnsi="Narkisim" w:cs="Narkisim"/>
          <w:b/>
          <w:bCs/>
          <w:rtl/>
        </w:rPr>
        <w:t>תוס'</w:t>
      </w:r>
      <w:r w:rsidRPr="00AF3214">
        <w:rPr>
          <w:rFonts w:ascii="Narkisim" w:hAnsi="Narkisim" w:cs="Narkisim"/>
          <w:rtl/>
        </w:rPr>
        <w:t xml:space="preserve"> (לעיל כט. ד"ה לא)]. אבל </w:t>
      </w:r>
      <w:r w:rsidRPr="00AF3214">
        <w:rPr>
          <w:rFonts w:ascii="Narkisim" w:hAnsi="Narkisim" w:cs="Narkisim"/>
          <w:b/>
          <w:bCs/>
          <w:rtl/>
        </w:rPr>
        <w:t>תוס</w:t>
      </w:r>
      <w:r w:rsidRPr="00AF3214">
        <w:rPr>
          <w:rFonts w:ascii="Narkisim" w:hAnsi="Narkisim" w:cs="Narkisim"/>
          <w:rtl/>
        </w:rPr>
        <w:t>' (נא: ד"ה כולהו) כת' דלר"ש הוה מדרבנן, ומספק"ל אי קני</w:t>
      </w:r>
      <w:r w:rsidRPr="00AF3214">
        <w:rPr>
          <w:rStyle w:val="ac"/>
          <w:rFonts w:ascii="Narkisim" w:hAnsi="Narkisim" w:cs="Narkisim"/>
          <w:rtl/>
        </w:rPr>
        <w:footnoteReference w:id="6234"/>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אחרונים</w:t>
      </w:r>
      <w:r w:rsidRPr="00AF3214">
        <w:rPr>
          <w:rFonts w:ascii="Narkisim" w:hAnsi="Narkisim" w:cs="Narkisim"/>
          <w:rtl/>
        </w:rPr>
        <w:t xml:space="preserve"> </w:t>
      </w:r>
      <w:r w:rsidRPr="00AF3214">
        <w:rPr>
          <w:rFonts w:ascii="Narkisim" w:eastAsia="Narkisim" w:hAnsi="Narkisim" w:cs="Narkisim"/>
          <w:rtl/>
        </w:rPr>
        <w:t>(חזו"א קלא ד ועוד) פי' דכוונת הגמ' דמדרבנן תקנו לר' שמעון דלא מהני מאמר שני לאחריו. ותקנו דהוה קנין גמור ואלים מדרבנן. [ואף דמהני יבום מדאורייתא אחר מאמר, מ"מ לא תקנו דיהני מאמר נוסף. דכלפי מאמר תפס כל כח המאמר]. וכן משמע ב</w:t>
      </w:r>
      <w:r w:rsidRPr="00AF3214">
        <w:rPr>
          <w:rFonts w:ascii="Narkisim" w:eastAsia="Narkisim" w:hAnsi="Narkisim" w:cs="Narkisim"/>
          <w:b/>
          <w:bCs/>
          <w:rtl/>
        </w:rPr>
        <w:t>תוס'</w:t>
      </w:r>
      <w:r w:rsidRPr="00AF3214">
        <w:rPr>
          <w:rFonts w:ascii="Narkisim" w:eastAsia="Narkisim" w:hAnsi="Narkisim" w:cs="Narkisim"/>
          <w:rtl/>
        </w:rPr>
        <w:t xml:space="preserve"> (נא: ד"ה ביאה)</w:t>
      </w:r>
      <w:r w:rsidRPr="00AF3214">
        <w:rPr>
          <w:rFonts w:ascii="Narkisim" w:eastAsia="Narkisim" w:hAnsi="Narkisim" w:cs="Narkisim"/>
        </w:rPr>
        <w:t>.</w:t>
      </w:r>
    </w:p>
    <w:p w14:paraId="4E86D646" w14:textId="77777777" w:rsidR="006C4368" w:rsidRPr="00AF3214" w:rsidRDefault="006C4368" w:rsidP="006C4368">
      <w:pPr>
        <w:pStyle w:val="a7"/>
        <w:bidi/>
        <w:rPr>
          <w:rFonts w:ascii="Narkisim" w:hAnsi="Narkisim"/>
        </w:rPr>
      </w:pPr>
      <w:r w:rsidRPr="00AF3214">
        <w:rPr>
          <w:rFonts w:ascii="Narkisim" w:eastAsia="Narkisim" w:hAnsi="Narkisim"/>
          <w:rtl/>
        </w:rPr>
        <w:t xml:space="preserve">ולפ"ז לא הוה בגדר ספק, אלא מדרבנן דנו ממ"נ. אבל </w:t>
      </w:r>
      <w:r w:rsidRPr="00AF3214">
        <w:rPr>
          <w:rFonts w:ascii="Narkisim" w:eastAsia="Narkisim" w:hAnsi="Narkisim"/>
          <w:b/>
          <w:bCs/>
          <w:rtl/>
        </w:rPr>
        <w:t>תוס</w:t>
      </w:r>
      <w:r w:rsidRPr="00AF3214">
        <w:rPr>
          <w:rFonts w:ascii="Narkisim" w:eastAsia="Narkisim" w:hAnsi="Narkisim"/>
          <w:rtl/>
        </w:rPr>
        <w:t>' (ד"ה כולהו) מבואר דהוה גדר ספק. ומבואר דמדרבנן הוה קנין גמור בספק, וע"ד הא דאי' (לקמן קי:) לחלק בין קנין משויירת לקנין ספק</w:t>
      </w:r>
      <w:r w:rsidRPr="00AF3214">
        <w:rPr>
          <w:rStyle w:val="ac"/>
          <w:rFonts w:ascii="Narkisim" w:eastAsia="Narkisim" w:hAnsi="Narkisim"/>
          <w:rtl/>
        </w:rPr>
        <w:footnoteReference w:id="6235"/>
      </w:r>
      <w:r w:rsidRPr="00AF3214">
        <w:rPr>
          <w:rFonts w:ascii="Narkisim" w:eastAsia="Narkisim" w:hAnsi="Narkisim"/>
        </w:rPr>
        <w:t>.</w:t>
      </w:r>
    </w:p>
    <w:p w14:paraId="25D718F1" w14:textId="77777777" w:rsidR="006C4368" w:rsidRPr="00AF3214" w:rsidRDefault="006C4368" w:rsidP="006C4368">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(לעיל יט.) כת' דלר' שמעון מאמר קונה לענין שאין ביאה ומאמר אחריו, אבל לא עבד ככנוסה. ו</w:t>
      </w:r>
      <w:r w:rsidRPr="00AF3214">
        <w:rPr>
          <w:rFonts w:ascii="Narkisim" w:hAnsi="Narkisim"/>
          <w:b/>
          <w:bCs/>
          <w:rtl/>
        </w:rPr>
        <w:t>רע"א</w:t>
      </w:r>
      <w:r w:rsidRPr="00AF3214">
        <w:rPr>
          <w:rFonts w:ascii="Narkisim" w:hAnsi="Narkisim"/>
          <w:rtl/>
        </w:rPr>
        <w:t xml:space="preserve"> (שם) תמה דמבואר בגמ' (נא:) דלר"ש הוה ספק, ולצד דקונה הוה קנין גמור. וציין ל</w:t>
      </w:r>
      <w:r w:rsidRPr="00AF3214">
        <w:rPr>
          <w:rFonts w:ascii="Narkisim" w:hAnsi="Narkisim"/>
          <w:b/>
          <w:bCs/>
          <w:rtl/>
        </w:rPr>
        <w:t>תוס'</w:t>
      </w:r>
      <w:r w:rsidRPr="00AF3214">
        <w:rPr>
          <w:rFonts w:ascii="Narkisim" w:hAnsi="Narkisim"/>
          <w:rtl/>
        </w:rPr>
        <w:t xml:space="preserve"> (נא: ד"ה כולהו)</w:t>
      </w:r>
      <w:r w:rsidRPr="00AF3214">
        <w:rPr>
          <w:rFonts w:ascii="Narkisim" w:hAnsi="Narkisim"/>
        </w:rPr>
        <w:t>.</w:t>
      </w:r>
    </w:p>
    <w:p w14:paraId="47E4A367" w14:textId="77777777" w:rsidR="006C4368" w:rsidRPr="00AF3214" w:rsidRDefault="006C4368" w:rsidP="006C4368">
      <w:pPr>
        <w:pStyle w:val="aa"/>
        <w:bidi/>
        <w:rPr>
          <w:rFonts w:ascii="Narkisim" w:hAnsi="Narkisim"/>
        </w:rPr>
      </w:pPr>
      <w:r w:rsidRPr="00AF3214">
        <w:rPr>
          <w:rFonts w:ascii="Narkisim" w:hAnsi="Narkisim"/>
          <w:u w:val="single"/>
          <w:rtl/>
        </w:rPr>
        <w:t>מתני' דלא כבן עזאי וכו' יש מאמר אחר מאמר בב' יבמין ויבמה א', ואין מאמר אחר מאמר בב' יבמות ויבם א</w:t>
      </w:r>
      <w:r w:rsidRPr="00AF3214">
        <w:rPr>
          <w:rFonts w:ascii="Narkisim" w:hAnsi="Narkisim"/>
          <w:rtl/>
        </w:rPr>
        <w:t>'</w:t>
      </w:r>
      <w:r w:rsidRPr="00AF3214">
        <w:rPr>
          <w:rStyle w:val="ac"/>
          <w:rFonts w:ascii="Narkisim" w:hAnsi="Narkisim"/>
          <w:rtl/>
        </w:rPr>
        <w:footnoteReference w:id="6236"/>
      </w:r>
      <w:r w:rsidRPr="00AF3214">
        <w:rPr>
          <w:rFonts w:ascii="Narkisim" w:hAnsi="Narkisim"/>
          <w:rtl/>
        </w:rPr>
        <w:t>. פ</w:t>
      </w:r>
      <w:r w:rsidRPr="00AF3214">
        <w:rPr>
          <w:rFonts w:ascii="Narkisim" w:hAnsi="Narkisim"/>
          <w:b/>
          <w:bCs/>
          <w:rtl/>
        </w:rPr>
        <w:t>רש"י</w:t>
      </w:r>
      <w:r w:rsidRPr="00AF3214">
        <w:rPr>
          <w:rFonts w:ascii="Narkisim" w:hAnsi="Narkisim"/>
          <w:rtl/>
        </w:rPr>
        <w:t xml:space="preserve"> שכל כחו וקנינו [לענין מאמר] נתן בראשונה. דתקנת מאמר תלי ביבם, ותקנו לו מאמר פעם א'. ואפ"ה תקנו לכל יבם בפנ"ע</w:t>
      </w:r>
      <w:r w:rsidRPr="00AF3214">
        <w:rPr>
          <w:rFonts w:ascii="Narkisim" w:hAnsi="Narkisim"/>
        </w:rPr>
        <w:t>.</w:t>
      </w:r>
    </w:p>
    <w:p w14:paraId="295D75B2" w14:textId="77777777" w:rsidR="006C4368" w:rsidRPr="00AF3214" w:rsidRDefault="006C4368" w:rsidP="006C4368">
      <w:pPr>
        <w:pStyle w:val="a8"/>
        <w:bidi/>
        <w:rPr>
          <w:rFonts w:ascii="Narkisim" w:hAnsi="Narkisim"/>
        </w:rPr>
      </w:pPr>
      <w:r w:rsidRPr="00AF3214">
        <w:rPr>
          <w:rFonts w:ascii="Narkisim" w:hAnsi="Narkisim"/>
          <w:rtl/>
        </w:rPr>
        <w:t>ו</w:t>
      </w:r>
      <w:r w:rsidRPr="00AF3214">
        <w:rPr>
          <w:rFonts w:ascii="Narkisim" w:hAnsi="Narkisim"/>
          <w:b/>
          <w:bCs/>
          <w:rtl/>
        </w:rPr>
        <w:t>רש"י</w:t>
      </w:r>
      <w:r w:rsidRPr="00AF3214">
        <w:rPr>
          <w:rFonts w:ascii="Narkisim" w:hAnsi="Narkisim"/>
          <w:rtl/>
        </w:rPr>
        <w:t xml:space="preserve"> (כאן, ולעיל נא: בשם מורו) הביא די"ג להיפך. ופרש"י (שם) לגירסא זו דאין קידושין אחר קידושין באשה א'. אבל בב' יבמות יש כח מאמר בכל א'. וע' מש"כ בזה (לעיל נא:)</w:t>
      </w:r>
      <w:r w:rsidRPr="00AF3214">
        <w:rPr>
          <w:rFonts w:ascii="Narkisim" w:hAnsi="Narkisim"/>
        </w:rPr>
        <w:t>.</w:t>
      </w:r>
    </w:p>
    <w:p w14:paraId="0178E7E3" w14:textId="77777777" w:rsidR="006C4368" w:rsidRPr="00AF3214" w:rsidRDefault="006C4368" w:rsidP="006C4368">
      <w:pPr>
        <w:pStyle w:val="aa"/>
        <w:bidi/>
        <w:rPr>
          <w:rFonts w:ascii="Narkisim" w:hAnsi="Narkisim"/>
        </w:rPr>
      </w:pPr>
      <w:r w:rsidRPr="00AF3214">
        <w:rPr>
          <w:rFonts w:ascii="Narkisim" w:hAnsi="Narkisim"/>
          <w:u w:val="single"/>
          <w:rtl/>
        </w:rPr>
        <w:t>תוד"ה נשא</w:t>
      </w:r>
      <w:r w:rsidRPr="00AF3214">
        <w:rPr>
          <w:rFonts w:ascii="Narkisim" w:hAnsi="Narkisim"/>
          <w:rtl/>
        </w:rPr>
        <w:t>. ואע"ג דלא תקינו רבנן נישואין לקטן, מ"מ אור"י דליכא איסורא וכו'</w:t>
      </w:r>
      <w:r w:rsidRPr="00AF3214">
        <w:rPr>
          <w:rStyle w:val="ac"/>
          <w:rFonts w:ascii="Narkisim" w:hAnsi="Narkisim"/>
          <w:rtl/>
        </w:rPr>
        <w:footnoteReference w:id="6237"/>
      </w:r>
      <w:r w:rsidRPr="00AF3214">
        <w:rPr>
          <w:rFonts w:ascii="Narkisim" w:hAnsi="Narkisim"/>
          <w:rtl/>
        </w:rPr>
        <w:t>. ו</w:t>
      </w:r>
      <w:r w:rsidRPr="00AF3214">
        <w:rPr>
          <w:rFonts w:ascii="Narkisim" w:hAnsi="Narkisim"/>
          <w:b/>
          <w:bCs/>
          <w:rtl/>
        </w:rPr>
        <w:t>תוס</w:t>
      </w:r>
      <w:r w:rsidRPr="00AF3214">
        <w:rPr>
          <w:rFonts w:ascii="Narkisim" w:hAnsi="Narkisim"/>
          <w:rtl/>
        </w:rPr>
        <w:t>' (לעיל סב:) ביארו דלהכי תקינו נישואין [סמוך לפירקן</w:t>
      </w:r>
      <w:r w:rsidRPr="00AF3214">
        <w:rPr>
          <w:rStyle w:val="ac"/>
          <w:rFonts w:ascii="Narkisim" w:hAnsi="Narkisim"/>
          <w:rtl/>
        </w:rPr>
        <w:footnoteReference w:id="6238"/>
      </w:r>
      <w:r w:rsidRPr="00AF3214">
        <w:rPr>
          <w:rFonts w:ascii="Narkisim" w:hAnsi="Narkisim"/>
          <w:rtl/>
        </w:rPr>
        <w:t>] שלא יחשב ביאת זנות</w:t>
      </w:r>
      <w:r w:rsidRPr="00AF3214">
        <w:rPr>
          <w:rStyle w:val="ac"/>
          <w:rFonts w:ascii="Narkisim" w:hAnsi="Narkisim"/>
          <w:rtl/>
        </w:rPr>
        <w:footnoteReference w:id="6239"/>
      </w:r>
      <w:r w:rsidRPr="00AF3214">
        <w:rPr>
          <w:rFonts w:ascii="Narkisim" w:hAnsi="Narkisim"/>
        </w:rPr>
        <w:t xml:space="preserve">. </w:t>
      </w:r>
      <w:r w:rsidRPr="00AF3214">
        <w:rPr>
          <w:rFonts w:ascii="Narkisim" w:hAnsi="Narkisim"/>
          <w:rtl/>
        </w:rPr>
        <w:t>[משמע דיש בזה גדר תקנת אישות]</w:t>
      </w:r>
      <w:r w:rsidRPr="00AF3214">
        <w:rPr>
          <w:rFonts w:ascii="Narkisim" w:hAnsi="Narkisim"/>
        </w:rPr>
        <w:t>.</w:t>
      </w:r>
    </w:p>
    <w:p w14:paraId="1664A81D" w14:textId="77777777" w:rsidR="006C4368" w:rsidRPr="00AF3214" w:rsidRDefault="006C4368" w:rsidP="006C4368">
      <w:pPr>
        <w:bidi/>
        <w:rPr>
          <w:rFonts w:ascii="Narkisim" w:hAnsi="Narkisim" w:cs="Narkisim"/>
        </w:rPr>
      </w:pPr>
      <w:r w:rsidRPr="00AF3214">
        <w:rPr>
          <w:rFonts w:ascii="Narkisim" w:hAnsi="Narkisim" w:cs="Narkisim"/>
          <w:u w:val="single"/>
          <w:rtl/>
        </w:rPr>
        <w:t>רש"י ד"ה הרי זו פטורה</w:t>
      </w:r>
      <w:r w:rsidRPr="00AF3214">
        <w:rPr>
          <w:rFonts w:ascii="Narkisim" w:hAnsi="Narkisim" w:cs="Narkisim"/>
          <w:rtl/>
        </w:rPr>
        <w:t>. אבל ביבמה הואיל וזקוקה ליה שויוה רבנן כמאמר. לכאורה משמע דאף ביבמה ל"מ כלל מדאורייתא [דאין קנין קטן קנין] אלא דמדרבנן דינו כמאמר. ודלא כשיטתו (קידושין יט. וכ"מ) דביאת בן ט' קני מדאורייתא</w:t>
      </w:r>
      <w:r w:rsidRPr="00AF3214">
        <w:rPr>
          <w:rFonts w:ascii="Narkisim" w:hAnsi="Narkisim" w:cs="Narkisim"/>
        </w:rPr>
        <w:t>.</w:t>
      </w:r>
    </w:p>
    <w:p w14:paraId="2E92204D" w14:textId="77777777" w:rsidR="006C4368" w:rsidRPr="00AF3214" w:rsidRDefault="006C4368" w:rsidP="006C4368">
      <w:pPr>
        <w:bidi/>
        <w:rPr>
          <w:rFonts w:ascii="Narkisim" w:hAnsi="Narkisim" w:cs="Narkisim"/>
        </w:rPr>
      </w:pPr>
      <w:r w:rsidRPr="00AF3214">
        <w:rPr>
          <w:rFonts w:ascii="Narkisim" w:hAnsi="Narkisim" w:cs="Narkisim"/>
          <w:u w:val="single"/>
          <w:rtl/>
        </w:rPr>
        <w:t>רש"י ד"ה ר' שמעון</w:t>
      </w:r>
      <w:r w:rsidRPr="00AF3214">
        <w:rPr>
          <w:rFonts w:ascii="Narkisim" w:hAnsi="Narkisim" w:cs="Narkisim"/>
          <w:rtl/>
        </w:rPr>
        <w:t xml:space="preserve">. דל"ל זיקת ב' יבמין, ובהא נמי פליג (לעיל לא:). משמע מדברי רש"י דפליג אדרשת זיקת ב' יבמין. ולכאורה הול"ל דר"ש ס"ל דהוה ספק, וממ"נ אם ביאתו ביאה הוה אשתו של שני, ומש"ה ליכא עליו זיקת ב' יבמין. וכדאי' בברייתא (לעיל יט.). וע"ד הא דאי' בברייתא (לעיל בעמ'). וכ"כ </w:t>
      </w:r>
      <w:r w:rsidRPr="00AF3214">
        <w:rPr>
          <w:rFonts w:ascii="Narkisim" w:hAnsi="Narkisim" w:cs="Narkisim"/>
          <w:b/>
          <w:bCs/>
          <w:rtl/>
        </w:rPr>
        <w:t>רש"י</w:t>
      </w:r>
      <w:r w:rsidRPr="00AF3214">
        <w:rPr>
          <w:rFonts w:ascii="Narkisim" w:hAnsi="Narkisim" w:cs="Narkisim"/>
          <w:rtl/>
        </w:rPr>
        <w:t xml:space="preserve"> (במשנה לא:). וה</w:t>
      </w:r>
      <w:r w:rsidRPr="00AF3214">
        <w:rPr>
          <w:rFonts w:ascii="Narkisim" w:hAnsi="Narkisim" w:cs="Narkisim"/>
          <w:b/>
          <w:bCs/>
          <w:rtl/>
        </w:rPr>
        <w:t>מהרש"ל</w:t>
      </w:r>
      <w:r w:rsidRPr="00AF3214">
        <w:rPr>
          <w:rFonts w:ascii="Narkisim" w:hAnsi="Narkisim" w:cs="Narkisim"/>
          <w:rtl/>
        </w:rPr>
        <w:t xml:space="preserve"> (חכמ"ש) כת' פי' דלא משכח"ל לר' שמעון זיקת ב' יבמין, כיון דס"ל דהוה ספק [ומש"ה לא דרש לקרא הכי]</w:t>
      </w:r>
      <w:r w:rsidRPr="00AF3214">
        <w:rPr>
          <w:rFonts w:ascii="Narkisim" w:hAnsi="Narkisim" w:cs="Narkisim"/>
        </w:rPr>
        <w:t>.</w:t>
      </w:r>
    </w:p>
    <w:p w14:paraId="36EDFF0E" w14:textId="77777777" w:rsidR="006C4368" w:rsidRPr="00AF3214" w:rsidRDefault="006C4368" w:rsidP="006C4368">
      <w:pPr>
        <w:bidi/>
        <w:rPr>
          <w:rFonts w:ascii="Narkisim" w:hAnsi="Narkisim" w:cs="Narkisim"/>
        </w:rPr>
      </w:pPr>
      <w:r w:rsidRPr="00AF3214">
        <w:rPr>
          <w:rFonts w:ascii="Narkisim" w:hAnsi="Narkisim" w:cs="Narkisim"/>
          <w:u w:val="single"/>
          <w:rtl/>
        </w:rPr>
        <w:t>אמר רבא הא דאמור רבנן זיקת ב' יבמין וכו' לא תימא וכו' דאיכא למיגזר משום צרה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דזיקת ב' יבמין הוה גזירה משום צרה, שמא יאמרו ב' יבמות הבאות מבית א' מתייבמות. ומש"ה ס"ד דגזרו דוקא היכא דיש לה צרה</w:t>
      </w:r>
      <w:r w:rsidRPr="00AF3214">
        <w:rPr>
          <w:rFonts w:ascii="Narkisim" w:hAnsi="Narkisim" w:cs="Narkisim"/>
        </w:rPr>
        <w:t>.</w:t>
      </w:r>
    </w:p>
    <w:p w14:paraId="635E8C72" w14:textId="77777777" w:rsidR="006C4368" w:rsidRPr="00AF3214" w:rsidRDefault="006C4368" w:rsidP="006C4368">
      <w:pPr>
        <w:pStyle w:val="a7"/>
        <w:bidi/>
        <w:rPr>
          <w:rFonts w:ascii="Narkisim" w:hAnsi="Narkisim"/>
        </w:rPr>
      </w:pPr>
      <w:r w:rsidRPr="00AF3214">
        <w:rPr>
          <w:rFonts w:ascii="Narkisim" w:hAnsi="Narkisim"/>
          <w:rtl/>
        </w:rPr>
        <w:t>ובפשוטו משמע דאף למסקנא הטעם משום שמא יאמרו ב' יבמות מבית א', אלא דקמ"ל דגזרו אף היכא דליכא צרה. וכ"ה בגמ' (לעיל לא:) דאשת ב' מתים הוה גזירה משום ב' יבמות מבית א'. [ואילו מייבם לחדא וחליץ לחדא גזרי' דילמא חליץ ברישא]</w:t>
      </w:r>
      <w:r w:rsidRPr="00AF3214">
        <w:rPr>
          <w:rFonts w:ascii="Narkisim" w:hAnsi="Narkisim"/>
        </w:rPr>
        <w:t>.</w:t>
      </w:r>
    </w:p>
    <w:p w14:paraId="3D3ED72B" w14:textId="77777777" w:rsidR="006C4368" w:rsidRPr="00AF3214" w:rsidRDefault="006C4368" w:rsidP="006C4368">
      <w:pPr>
        <w:pStyle w:val="a7"/>
        <w:bidi/>
        <w:rPr>
          <w:rFonts w:ascii="Narkisim" w:hAnsi="Narkisim"/>
        </w:rPr>
      </w:pPr>
      <w:r w:rsidRPr="00AF3214">
        <w:rPr>
          <w:rFonts w:ascii="Narkisim" w:hAnsi="Narkisim"/>
          <w:rtl/>
        </w:rPr>
        <w:t>ולס"ד דהגמ' (לא:) זיקת ב' יבמין הוה מדאורייתא [באופן דמשכח"ל מדאורייתא]. וע"י מאמר נחשב אשת ב' מתים מדרבנן. ו</w:t>
      </w:r>
      <w:r w:rsidRPr="00AF3214">
        <w:rPr>
          <w:rFonts w:ascii="Narkisim" w:hAnsi="Narkisim"/>
          <w:b/>
          <w:bCs/>
          <w:rtl/>
        </w:rPr>
        <w:t>תוס</w:t>
      </w:r>
      <w:r w:rsidRPr="00AF3214">
        <w:rPr>
          <w:rFonts w:ascii="Narkisim" w:hAnsi="Narkisim"/>
          <w:rtl/>
        </w:rPr>
        <w:t xml:space="preserve">' (לב.) הביאו דכ"מ בגמ' (גיטין פב:) משמע דהוה </w:t>
      </w:r>
      <w:r w:rsidRPr="00AF3214">
        <w:rPr>
          <w:rFonts w:ascii="Narkisim" w:hAnsi="Narkisim"/>
          <w:rtl/>
        </w:rPr>
        <w:lastRenderedPageBreak/>
        <w:t>מדאורייתא בחד דוכתי. ותוס' כת' דהוה מח' תנאים (בסמוך)</w:t>
      </w:r>
      <w:r w:rsidRPr="00AF3214">
        <w:rPr>
          <w:rFonts w:ascii="Narkisim" w:hAnsi="Narkisim"/>
        </w:rPr>
        <w:t xml:space="preserve">.  </w:t>
      </w:r>
    </w:p>
    <w:p w14:paraId="2ED159B9" w14:textId="77777777" w:rsidR="006C4368" w:rsidRPr="00AF3214" w:rsidRDefault="006C4368" w:rsidP="006C4368">
      <w:pPr>
        <w:pStyle w:val="aa"/>
        <w:bidi/>
        <w:rPr>
          <w:rFonts w:ascii="Narkisim" w:hAnsi="Narkisim"/>
        </w:rPr>
      </w:pPr>
      <w:r w:rsidRPr="00AF3214">
        <w:rPr>
          <w:rFonts w:ascii="Narkisim" w:hAnsi="Narkisim"/>
          <w:u w:val="single"/>
          <w:rtl/>
        </w:rPr>
        <w:t>ושמואל אמר עשו ועשו</w:t>
      </w:r>
      <w:r w:rsidRPr="00AF3214">
        <w:rPr>
          <w:rFonts w:ascii="Narkisim" w:hAnsi="Narkisim"/>
          <w:rtl/>
        </w:rPr>
        <w:t>. ה</w:t>
      </w:r>
      <w:r w:rsidRPr="00AF3214">
        <w:rPr>
          <w:rFonts w:ascii="Narkisim" w:hAnsi="Narkisim"/>
          <w:b/>
          <w:bCs/>
          <w:rtl/>
        </w:rPr>
        <w:t>ריטב"א</w:t>
      </w:r>
      <w:r w:rsidRPr="00AF3214">
        <w:rPr>
          <w:rFonts w:ascii="Narkisim" w:hAnsi="Narkisim"/>
          <w:rtl/>
        </w:rPr>
        <w:t xml:space="preserve"> פי' דנקט כפל לשון לחזוקי. א"נ כשם שעשו ביאתו כמאמר לפסול על האחים, כן עשו אותה כמאמר לאסור צרתה</w:t>
      </w:r>
      <w:r w:rsidRPr="00AF3214">
        <w:rPr>
          <w:rFonts w:ascii="Narkisim" w:hAnsi="Narkisim"/>
        </w:rPr>
        <w:t>.</w:t>
      </w:r>
    </w:p>
    <w:p w14:paraId="306BE487" w14:textId="77777777" w:rsidR="006C4368" w:rsidRPr="00AF3214" w:rsidRDefault="006C4368" w:rsidP="006C4368">
      <w:pPr>
        <w:bidi/>
        <w:rPr>
          <w:rFonts w:ascii="Narkisim" w:hAnsi="Narkisim" w:cs="Narkisim"/>
        </w:rPr>
      </w:pPr>
      <w:r w:rsidRPr="00AF3214">
        <w:rPr>
          <w:rFonts w:ascii="Narkisim" w:hAnsi="Narkisim" w:cs="Narkisim"/>
          <w:u w:val="single"/>
          <w:rtl/>
        </w:rPr>
        <w:t xml:space="preserve">ויעשו תנאי היא, הך תנא דד' אחין </w:t>
      </w:r>
      <w:r w:rsidRPr="00AF3214">
        <w:rPr>
          <w:rFonts w:ascii="Narkisim" w:hAnsi="Narkisim" w:cs="Narkisim"/>
          <w:szCs w:val="20"/>
          <w:u w:val="single"/>
          <w:rtl/>
        </w:rPr>
        <w:t>(לעיל לא:)</w:t>
      </w:r>
      <w:r w:rsidRPr="00AF3214">
        <w:rPr>
          <w:rFonts w:ascii="Narkisim" w:hAnsi="Narkisim" w:cs="Narkisim"/>
          <w:u w:val="single"/>
          <w:rtl/>
        </w:rPr>
        <w:t xml:space="preserve"> גזר משום צרה וכו' והאי תנא דהכא ס"ל עשו, ולא גזר משום צרה</w:t>
      </w:r>
      <w:r w:rsidRPr="00AF3214">
        <w:rPr>
          <w:rFonts w:ascii="Narkisim" w:hAnsi="Narkisim" w:cs="Narkisim"/>
          <w:rtl/>
        </w:rPr>
        <w:t xml:space="preserve">. [וס"ל דאינה אוסרת צרתה]. </w:t>
      </w:r>
      <w:r w:rsidRPr="00AF3214">
        <w:rPr>
          <w:rFonts w:ascii="Narkisim" w:hAnsi="Narkisim" w:cs="Narkisim"/>
          <w:b/>
          <w:bCs/>
          <w:rtl/>
        </w:rPr>
        <w:t>תוס</w:t>
      </w:r>
      <w:r w:rsidRPr="00AF3214">
        <w:rPr>
          <w:rFonts w:ascii="Narkisim" w:hAnsi="Narkisim" w:cs="Narkisim"/>
          <w:rtl/>
        </w:rPr>
        <w:t>' (לב.) פי' דתנא דלעיל ס"ל דאשת ב' מתים הוה גזירה אטו צרה (כדאי' לעיל שם) [ועיקר הגזירה באופן דיש צרה</w:t>
      </w:r>
      <w:r w:rsidRPr="00AF3214">
        <w:rPr>
          <w:rStyle w:val="ac"/>
          <w:rFonts w:ascii="Narkisim" w:hAnsi="Narkisim" w:cs="Narkisim"/>
          <w:rtl/>
        </w:rPr>
        <w:footnoteReference w:id="6240"/>
      </w:r>
      <w:r w:rsidRPr="00AF3214">
        <w:rPr>
          <w:rFonts w:ascii="Narkisim" w:hAnsi="Narkisim" w:cs="Narkisim"/>
          <w:rtl/>
        </w:rPr>
        <w:t>], ולא דרש אשת ב' מתים מדאורייתא. ואילו תנא דסוגיין סבר דילפי' מדאורייתא דאשת ב' מתים פטורה היכא דמשכח"ל מדאורייתא</w:t>
      </w:r>
      <w:r w:rsidRPr="00AF3214">
        <w:rPr>
          <w:rFonts w:ascii="Narkisim" w:hAnsi="Narkisim" w:cs="Narkisim"/>
        </w:rPr>
        <w:t>.</w:t>
      </w:r>
    </w:p>
    <w:p w14:paraId="362ACC1C" w14:textId="77777777" w:rsidR="006C4368" w:rsidRPr="00AF3214" w:rsidRDefault="006C4368" w:rsidP="006C4368">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פי' דמ"מ גבי מאמר הוה מדרבנן [אטו היכא דמדאורייתא הוה אשתו של ב' מתים], וגזרו עליה. ולא רצו להחמיר על צרתה. [וע"ע מה שהו' לעיל לא: ולב.]</w:t>
      </w:r>
      <w:r w:rsidRPr="00AF3214">
        <w:rPr>
          <w:rFonts w:ascii="Narkisim" w:hAnsi="Narkisim"/>
        </w:rPr>
        <w:t>.</w:t>
      </w:r>
    </w:p>
    <w:p w14:paraId="22E52970" w14:textId="77777777" w:rsidR="006C4368" w:rsidRPr="00AF3214" w:rsidRDefault="006C4368" w:rsidP="006C4368">
      <w:pPr>
        <w:pStyle w:val="a7"/>
        <w:bidi/>
        <w:rPr>
          <w:rFonts w:ascii="Narkisim" w:hAnsi="Narkisim"/>
        </w:rPr>
      </w:pPr>
      <w:r w:rsidRPr="00AF3214">
        <w:rPr>
          <w:rFonts w:ascii="Narkisim" w:eastAsia="Narkisim" w:hAnsi="Narkisim"/>
          <w:szCs w:val="20"/>
          <w:rtl/>
        </w:rPr>
        <w:t>ו</w:t>
      </w:r>
      <w:r w:rsidRPr="00AF3214">
        <w:rPr>
          <w:rFonts w:ascii="Narkisim" w:eastAsia="Narkisim" w:hAnsi="Narkisim"/>
          <w:b/>
          <w:bCs/>
          <w:szCs w:val="20"/>
          <w:rtl/>
        </w:rPr>
        <w:t>ריב"ן</w:t>
      </w:r>
      <w:r w:rsidRPr="00AF3214">
        <w:rPr>
          <w:rFonts w:ascii="Narkisim" w:eastAsia="Narkisim" w:hAnsi="Narkisim"/>
          <w:szCs w:val="20"/>
          <w:rtl/>
        </w:rPr>
        <w:t xml:space="preserve"> (בתוס' שם) כת' דלכו"ע עיקר אשת ב' מתים הוה מדאורייתא</w:t>
      </w:r>
      <w:r w:rsidRPr="00AF3214">
        <w:rPr>
          <w:rStyle w:val="ac"/>
          <w:rFonts w:ascii="Narkisim" w:eastAsia="Narkisim" w:hAnsi="Narkisim"/>
          <w:szCs w:val="20"/>
          <w:rtl/>
        </w:rPr>
        <w:footnoteReference w:id="6241"/>
      </w:r>
      <w:r w:rsidRPr="00AF3214">
        <w:rPr>
          <w:rFonts w:ascii="Narkisim" w:eastAsia="Narkisim" w:hAnsi="Narkisim"/>
          <w:szCs w:val="20"/>
        </w:rPr>
        <w:t xml:space="preserve">, </w:t>
      </w:r>
      <w:r w:rsidRPr="00AF3214">
        <w:rPr>
          <w:rFonts w:ascii="Narkisim" w:eastAsia="Narkisim" w:hAnsi="Narkisim"/>
          <w:szCs w:val="20"/>
          <w:rtl/>
        </w:rPr>
        <w:t>ונח' התנאים רק אי גזרו אף על הצרה</w:t>
      </w:r>
      <w:r w:rsidRPr="00AF3214">
        <w:rPr>
          <w:rFonts w:ascii="Narkisim" w:eastAsia="Narkisim" w:hAnsi="Narkisim"/>
          <w:szCs w:val="20"/>
        </w:rPr>
        <w:t>.</w:t>
      </w:r>
    </w:p>
    <w:p w14:paraId="4C736A4E" w14:textId="77777777" w:rsidR="006C4368" w:rsidRPr="00AF3214" w:rsidRDefault="006C4368" w:rsidP="006C4368">
      <w:pPr>
        <w:pStyle w:val="aa"/>
        <w:bidi/>
        <w:rPr>
          <w:rFonts w:ascii="Narkisim" w:hAnsi="Narkisim"/>
        </w:rPr>
      </w:pPr>
      <w:r w:rsidRPr="00AF3214">
        <w:rPr>
          <w:rFonts w:ascii="Narkisim" w:hAnsi="Narkisim"/>
          <w:u w:val="single"/>
          <w:rtl/>
        </w:rPr>
        <w:t>תוד"ה קרעו</w:t>
      </w:r>
      <w:r w:rsidRPr="00AF3214">
        <w:rPr>
          <w:rFonts w:ascii="Narkisim" w:hAnsi="Narkisim"/>
          <w:rtl/>
        </w:rPr>
        <w:t>. קרעו משמע בכוונה. ה</w:t>
      </w:r>
      <w:r w:rsidRPr="00AF3214">
        <w:rPr>
          <w:rFonts w:ascii="Narkisim" w:hAnsi="Narkisim"/>
          <w:b/>
          <w:bCs/>
          <w:rtl/>
        </w:rPr>
        <w:t>אתוון דאורייתא</w:t>
      </w:r>
      <w:r w:rsidRPr="00AF3214">
        <w:rPr>
          <w:rFonts w:ascii="Narkisim" w:hAnsi="Narkisim"/>
          <w:rtl/>
        </w:rPr>
        <w:t xml:space="preserve"> (כד) הביא מדברי התוס' דרק מה שהאדם עושה בכוונה מתייחס אליו, ושייך לומר שהוא עשאו. אבל מה שידיו ואיברי גופו עשו בלי דעתו וכוונתו כלל נחשב כנעשה מאיליו</w:t>
      </w:r>
      <w:r w:rsidRPr="00AF3214">
        <w:rPr>
          <w:rStyle w:val="ac"/>
          <w:rFonts w:ascii="Narkisim" w:hAnsi="Narkisim"/>
          <w:rtl/>
        </w:rPr>
        <w:footnoteReference w:id="6242"/>
      </w:r>
      <w:r w:rsidRPr="00AF3214">
        <w:rPr>
          <w:rFonts w:ascii="Narkisim" w:hAnsi="Narkisim"/>
        </w:rPr>
        <w:t xml:space="preserve">. </w:t>
      </w:r>
      <w:r w:rsidRPr="00AF3214">
        <w:rPr>
          <w:rFonts w:ascii="Narkisim" w:hAnsi="Narkisim"/>
          <w:rtl/>
        </w:rPr>
        <w:t>ומש"ה אילו קרעו שלא בכוונה ל"ש מלת קרעו, אלא מלת נקרע</w:t>
      </w:r>
      <w:r w:rsidRPr="00AF3214">
        <w:rPr>
          <w:rFonts w:ascii="Narkisim" w:hAnsi="Narkisim"/>
        </w:rPr>
        <w:t>.</w:t>
      </w:r>
    </w:p>
    <w:p w14:paraId="02C20A28" w14:textId="77777777" w:rsidR="006C4368" w:rsidRPr="00AF3214" w:rsidRDefault="006C4368" w:rsidP="006C4368">
      <w:pPr>
        <w:pStyle w:val="aa"/>
        <w:bidi/>
        <w:rPr>
          <w:rFonts w:ascii="Narkisim" w:hAnsi="Narkisim"/>
        </w:rPr>
      </w:pPr>
      <w:r w:rsidRPr="00AF3214">
        <w:rPr>
          <w:rFonts w:ascii="Narkisim" w:hAnsi="Narkisim"/>
          <w:u w:val="single"/>
          <w:rtl/>
        </w:rPr>
        <w:t>תמיה אני אם לא יה' ביהכ"נ זו ע"ז וכו'</w:t>
      </w:r>
      <w:r w:rsidRPr="00AF3214">
        <w:rPr>
          <w:rFonts w:ascii="Narkisim" w:hAnsi="Narkisim"/>
          <w:rtl/>
        </w:rPr>
        <w:t>. ה</w:t>
      </w:r>
      <w:r w:rsidRPr="00AF3214">
        <w:rPr>
          <w:rFonts w:ascii="Narkisim" w:hAnsi="Narkisim"/>
          <w:b/>
          <w:bCs/>
          <w:rtl/>
        </w:rPr>
        <w:t>מהרש"א</w:t>
      </w:r>
      <w:r w:rsidRPr="00AF3214">
        <w:rPr>
          <w:rFonts w:ascii="Narkisim" w:hAnsi="Narkisim"/>
          <w:rtl/>
        </w:rPr>
        <w:t xml:space="preserve"> (ח"א) ביאר שהכעס דוחק השכינה מביהכ"נ, וכדאי' (נדרים כב:) כל הכועס כאילו אין שכינה כנגדו</w:t>
      </w:r>
      <w:r w:rsidRPr="00AF3214">
        <w:rPr>
          <w:rFonts w:ascii="Narkisim" w:hAnsi="Narkisim"/>
        </w:rPr>
        <w:t>.</w:t>
      </w:r>
    </w:p>
    <w:p w14:paraId="690C4F82" w14:textId="77777777" w:rsidR="006C4368" w:rsidRPr="00AF3214" w:rsidRDefault="006C4368" w:rsidP="006C4368">
      <w:pPr>
        <w:pStyle w:val="aa"/>
        <w:bidi/>
        <w:rPr>
          <w:rFonts w:ascii="Narkisim" w:hAnsi="Narkisim"/>
        </w:rPr>
      </w:pPr>
      <w:r w:rsidRPr="00AF3214">
        <w:rPr>
          <w:rFonts w:ascii="Narkisim" w:hAnsi="Narkisim"/>
          <w:u w:val="single"/>
          <w:rtl/>
        </w:rPr>
        <w:t>חברותא נמי וכו</w:t>
      </w:r>
      <w:r w:rsidRPr="00AF3214">
        <w:rPr>
          <w:rFonts w:ascii="Narkisim" w:hAnsi="Narkisim"/>
          <w:rtl/>
        </w:rPr>
        <w:t>'. וצ"ב דבגמ' (בסמוך) מבואר דהטעם דהקפיד משום שרצה שיאמרו הלכה בשמו, דשפתותיו דוברות. ואמאי תלי אי הוה חבירו או תלמידו. ולכאורה צ"ל דאף דתחילת סיבת הקפידא הוא שיאמרו הלכה בשמו. מ"מ השיבו לו דראוי לוותר מפני השלום. ובזה השיב להם דאינו ראוי שהרב יוותר לתלמידו. ול"ד להתם דהוה חבירו</w:t>
      </w:r>
      <w:r w:rsidRPr="00AF3214">
        <w:rPr>
          <w:rFonts w:ascii="Narkisim" w:hAnsi="Narkisim"/>
        </w:rPr>
        <w:t>.</w:t>
      </w:r>
    </w:p>
    <w:p w14:paraId="18532A2A" w14:textId="77777777" w:rsidR="006C4368" w:rsidRPr="00AF3214" w:rsidRDefault="006C4368" w:rsidP="006C4368">
      <w:pPr>
        <w:pStyle w:val="aa"/>
        <w:bidi/>
        <w:rPr>
          <w:rFonts w:ascii="Narkisim" w:hAnsi="Narkisim"/>
        </w:rPr>
      </w:pPr>
      <w:r w:rsidRPr="00AF3214">
        <w:rPr>
          <w:rFonts w:ascii="Narkisim" w:hAnsi="Narkisim"/>
          <w:u w:val="single"/>
          <w:rtl/>
        </w:rPr>
        <w:t>אף ר"א תלמידך וכו' והכל יודעין כי שלך היא וכו'</w:t>
      </w:r>
      <w:r w:rsidRPr="00AF3214">
        <w:rPr>
          <w:rFonts w:ascii="Narkisim" w:hAnsi="Narkisim"/>
          <w:rtl/>
        </w:rPr>
        <w:t>. ועפ"ז פסק ב</w:t>
      </w:r>
      <w:r w:rsidRPr="00AF3214">
        <w:rPr>
          <w:rFonts w:ascii="Narkisim" w:hAnsi="Narkisim"/>
          <w:b/>
          <w:bCs/>
          <w:rtl/>
        </w:rPr>
        <w:t>שו"ע</w:t>
      </w:r>
      <w:r w:rsidRPr="00AF3214">
        <w:rPr>
          <w:rFonts w:ascii="Narkisim" w:hAnsi="Narkisim"/>
          <w:rtl/>
        </w:rPr>
        <w:t xml:space="preserve"> (יו"ד רמב כד) דתלמיד לא יאמר דבר שלא שמע מרבו</w:t>
      </w:r>
      <w:r w:rsidRPr="00AF3214">
        <w:rPr>
          <w:rStyle w:val="ac"/>
          <w:rFonts w:ascii="Narkisim" w:hAnsi="Narkisim"/>
          <w:rtl/>
        </w:rPr>
        <w:footnoteReference w:id="6243"/>
      </w:r>
      <w:r w:rsidRPr="00AF3214">
        <w:rPr>
          <w:rFonts w:ascii="Narkisim" w:hAnsi="Narkisim"/>
        </w:rPr>
        <w:t xml:space="preserve"> </w:t>
      </w:r>
      <w:r w:rsidRPr="00AF3214">
        <w:rPr>
          <w:rFonts w:ascii="Narkisim" w:hAnsi="Narkisim"/>
          <w:rtl/>
        </w:rPr>
        <w:t>אא"כ מזכיר שם אומרו</w:t>
      </w:r>
      <w:r w:rsidRPr="00AF3214">
        <w:rPr>
          <w:rStyle w:val="ac"/>
          <w:rFonts w:ascii="Narkisim" w:hAnsi="Narkisim"/>
          <w:rtl/>
        </w:rPr>
        <w:footnoteReference w:id="6244"/>
      </w:r>
      <w:r w:rsidRPr="00AF3214">
        <w:rPr>
          <w:rFonts w:ascii="Narkisim" w:hAnsi="Narkisim"/>
        </w:rPr>
        <w:t>.</w:t>
      </w:r>
    </w:p>
    <w:p w14:paraId="49854202" w14:textId="77777777" w:rsidR="006C4368" w:rsidRPr="00AF3214" w:rsidRDefault="006C4368" w:rsidP="006C4368">
      <w:pPr>
        <w:pStyle w:val="aa"/>
        <w:bidi/>
        <w:rPr>
          <w:rFonts w:ascii="Narkisim" w:hAnsi="Narkisim"/>
        </w:rPr>
      </w:pPr>
      <w:r w:rsidRPr="00AF3214">
        <w:rPr>
          <w:rFonts w:ascii="Narkisim" w:hAnsi="Narkisim"/>
          <w:u w:val="single"/>
          <w:rtl/>
        </w:rPr>
        <w:t>ור' יוחנן מ"ט איקפיד כולי האי וכו' אגורה באהליך עולמים וכו' שפתותיו דובבות וכו'</w:t>
      </w:r>
      <w:r w:rsidRPr="00AF3214">
        <w:rPr>
          <w:rFonts w:ascii="Narkisim" w:hAnsi="Narkisim"/>
          <w:rtl/>
        </w:rPr>
        <w:t>. וכן אי' (אבות ו ו, מגילה טו., חולין קד:, נדה יט:) דכל האומר דבר בשם אומרו מביא גאולה לעולם. וב</w:t>
      </w:r>
      <w:r w:rsidRPr="00AF3214">
        <w:rPr>
          <w:rFonts w:ascii="Narkisim" w:hAnsi="Narkisim"/>
          <w:b/>
          <w:bCs/>
          <w:rtl/>
        </w:rPr>
        <w:t>מדרש</w:t>
      </w:r>
      <w:r w:rsidRPr="00AF3214">
        <w:rPr>
          <w:rFonts w:ascii="Narkisim" w:hAnsi="Narkisim"/>
          <w:rtl/>
        </w:rPr>
        <w:t xml:space="preserve"> (תנחומא במדבר כז) אי' כל שאינו אומר דבר בשם אומרו, עליו הכתוב (משלי כב כב) אומר אל תגזול דל כי דל הוא</w:t>
      </w:r>
      <w:r w:rsidRPr="00AF3214">
        <w:rPr>
          <w:rStyle w:val="ac"/>
          <w:rFonts w:ascii="Narkisim" w:hAnsi="Narkisim"/>
          <w:rtl/>
        </w:rPr>
        <w:footnoteReference w:id="6245"/>
      </w:r>
      <w:r w:rsidRPr="00AF3214">
        <w:rPr>
          <w:rFonts w:ascii="Narkisim" w:hAnsi="Narkisim"/>
        </w:rPr>
        <w:t>.</w:t>
      </w:r>
    </w:p>
    <w:p w14:paraId="18421BC6" w14:textId="77777777" w:rsidR="006C4368" w:rsidRPr="00AF3214" w:rsidRDefault="006C4368" w:rsidP="006C4368">
      <w:pPr>
        <w:pStyle w:val="a8"/>
        <w:bidi/>
        <w:rPr>
          <w:rFonts w:ascii="Narkisim" w:hAnsi="Narkisim"/>
        </w:rPr>
      </w:pP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(ח"א) כת' דהגמ' כאן לא נקטה טעם זה, דמשום גאולה אף אחרים היה להם להקפיד בכך [דהגאולה הוה לכל העולם]. והכא דוקא ר' יוחנן הקפיד, דכשאומרים בשמו יש לו הנאה בדבר</w:t>
      </w:r>
      <w:r w:rsidRPr="00AF3214">
        <w:rPr>
          <w:rFonts w:ascii="Narkisim" w:hAnsi="Narkisim"/>
        </w:rPr>
        <w:t>.</w:t>
      </w:r>
    </w:p>
    <w:p w14:paraId="3B3034A0" w14:textId="77777777" w:rsidR="006C4368" w:rsidRPr="00AF3214" w:rsidRDefault="006C4368" w:rsidP="006C4368">
      <w:pPr>
        <w:pStyle w:val="aa"/>
        <w:bidi/>
        <w:rPr>
          <w:rFonts w:ascii="Narkisim" w:hAnsi="Narkisim"/>
        </w:rPr>
      </w:pPr>
      <w:r w:rsidRPr="00AF3214">
        <w:rPr>
          <w:rFonts w:ascii="Narkisim" w:hAnsi="Narkisim"/>
          <w:rtl/>
        </w:rPr>
        <w:t>וה</w:t>
      </w:r>
      <w:r w:rsidRPr="00AF3214">
        <w:rPr>
          <w:rFonts w:ascii="Narkisim" w:hAnsi="Narkisim"/>
          <w:b/>
          <w:bCs/>
          <w:rtl/>
        </w:rPr>
        <w:t>חיד"א</w:t>
      </w:r>
      <w:r w:rsidRPr="00AF3214">
        <w:rPr>
          <w:rFonts w:ascii="Narkisim" w:hAnsi="Narkisim"/>
          <w:rtl/>
        </w:rPr>
        <w:t xml:space="preserve"> (שם הגדולים ז [כו]) הביא דה</w:t>
      </w:r>
      <w:r w:rsidRPr="00AF3214">
        <w:rPr>
          <w:rFonts w:ascii="Narkisim" w:hAnsi="Narkisim"/>
          <w:b/>
          <w:bCs/>
          <w:rtl/>
        </w:rPr>
        <w:t>פנים מאירות</w:t>
      </w:r>
      <w:r w:rsidRPr="00AF3214">
        <w:rPr>
          <w:rFonts w:ascii="Narkisim" w:hAnsi="Narkisim"/>
          <w:rtl/>
        </w:rPr>
        <w:t xml:space="preserve"> (הקדמה לחלק א) כת' דאף כשאינו מזכיר שם אומרה שפתותיו דובבות, דקמי שמיא גליא היולדה והמחזיקה, ושפתותיו דובבות</w:t>
      </w:r>
      <w:r w:rsidRPr="00AF3214">
        <w:rPr>
          <w:rStyle w:val="ac"/>
          <w:rFonts w:ascii="Narkisim" w:hAnsi="Narkisim"/>
          <w:rtl/>
        </w:rPr>
        <w:footnoteReference w:id="6246"/>
      </w:r>
      <w:r w:rsidRPr="00AF3214">
        <w:rPr>
          <w:rFonts w:ascii="Narkisim" w:hAnsi="Narkisim"/>
        </w:rPr>
        <w:t xml:space="preserve">. </w:t>
      </w:r>
      <w:r w:rsidRPr="00AF3214">
        <w:rPr>
          <w:rFonts w:ascii="Narkisim" w:hAnsi="Narkisim"/>
          <w:rtl/>
        </w:rPr>
        <w:t>וביאר דהא שהיו מקפידים לומר בשם אומרה משום דכשיאמרו השמועה בשם אדם גדול, השומע ישמע ומקבלה וגורסין אותה ונותנין לב ללומדה. ועי"ז האומרה שפתותיו דובבות. וע"ע שם הגדולים (שם)</w:t>
      </w:r>
      <w:r w:rsidRPr="00AF3214">
        <w:rPr>
          <w:rFonts w:ascii="Narkisim" w:hAnsi="Narkisim"/>
        </w:rPr>
        <w:t>.</w:t>
      </w:r>
    </w:p>
    <w:p w14:paraId="435FB2B8" w14:textId="77777777" w:rsidR="006C4368" w:rsidRPr="00AF3214" w:rsidRDefault="006C4368" w:rsidP="006C4368">
      <w:pPr>
        <w:pStyle w:val="aa"/>
        <w:bidi/>
        <w:rPr>
          <w:rFonts w:ascii="Narkisim" w:hAnsi="Narkisim"/>
        </w:rPr>
      </w:pPr>
      <w:r w:rsidRPr="00AF3214">
        <w:rPr>
          <w:rFonts w:ascii="Narkisim" w:hAnsi="Narkisim"/>
          <w:rtl/>
        </w:rPr>
        <w:t>והביאו בשם ה</w:t>
      </w:r>
      <w:r w:rsidRPr="00AF3214">
        <w:rPr>
          <w:rFonts w:ascii="Narkisim" w:hAnsi="Narkisim"/>
          <w:b/>
          <w:bCs/>
          <w:rtl/>
        </w:rPr>
        <w:t>חזו"א</w:t>
      </w:r>
      <w:r w:rsidRPr="00AF3214">
        <w:rPr>
          <w:rFonts w:ascii="Narkisim" w:hAnsi="Narkisim"/>
          <w:rtl/>
        </w:rPr>
        <w:t xml:space="preserve"> דמי שמראה לו מקום לעיין אי"צ לומר בשמו. [ויל"ד אי איירי דאח"כ עיין במקור הדברים, או דאף היכא דיודע רק מפיו, כיון דבקל יוכל לברר במקור לא נחשב 'חידוש' של האומר. אך יש חיוב </w:t>
      </w:r>
      <w:r w:rsidRPr="00AF3214">
        <w:rPr>
          <w:rFonts w:ascii="Narkisim" w:hAnsi="Narkisim"/>
          <w:rtl/>
        </w:rPr>
        <w:lastRenderedPageBreak/>
        <w:t>אמירה בשם אומרו אף במי שמסר מפי רבו וכו'. וע"ע נזיר נו:, ומדרש תנחומא (במדבר כז) וירושלמי שבת א ב]</w:t>
      </w:r>
      <w:r w:rsidRPr="00AF3214">
        <w:rPr>
          <w:rFonts w:ascii="Narkisim" w:hAnsi="Narkisim"/>
        </w:rPr>
        <w:t>.</w:t>
      </w:r>
    </w:p>
    <w:p w14:paraId="49581974" w14:textId="77777777" w:rsidR="006C4368" w:rsidRPr="00AF3214" w:rsidRDefault="006C4368" w:rsidP="006C4368">
      <w:pPr>
        <w:pStyle w:val="3"/>
        <w:bidi/>
        <w:rPr>
          <w:rFonts w:ascii="Narkisim" w:hAnsi="Narkisim"/>
        </w:rPr>
      </w:pPr>
      <w:r w:rsidRPr="00AF3214">
        <w:rPr>
          <w:rFonts w:ascii="Narkisim" w:hAnsi="Narkisim"/>
          <w:rtl/>
        </w:rPr>
        <w:t>דף צז</w:t>
      </w:r>
      <w:r w:rsidRPr="00AF3214">
        <w:rPr>
          <w:rFonts w:ascii="Narkisim" w:hAnsi="Narkisim"/>
        </w:rPr>
        <w:t>.</w:t>
      </w:r>
    </w:p>
    <w:p w14:paraId="53D56476" w14:textId="77777777" w:rsidR="006C4368" w:rsidRPr="00AF3214" w:rsidRDefault="006C4368" w:rsidP="006C4368">
      <w:pPr>
        <w:pStyle w:val="aa"/>
        <w:bidi/>
        <w:rPr>
          <w:rFonts w:ascii="Narkisim" w:hAnsi="Narkisim"/>
        </w:rPr>
      </w:pPr>
      <w:r w:rsidRPr="00AF3214">
        <w:rPr>
          <w:rFonts w:ascii="Narkisim" w:hAnsi="Narkisim"/>
          <w:u w:val="single"/>
          <w:rtl/>
        </w:rPr>
        <w:t>זימנין דנתרו מחמת כחישותא וכו'</w:t>
      </w:r>
      <w:r w:rsidRPr="00AF3214">
        <w:rPr>
          <w:rFonts w:ascii="Narkisim" w:hAnsi="Narkisim"/>
          <w:rtl/>
        </w:rPr>
        <w:t xml:space="preserve">. משמע שהיו שערות ונשרו אח"כ. אבל </w:t>
      </w:r>
      <w:r w:rsidRPr="00AF3214">
        <w:rPr>
          <w:rFonts w:ascii="Narkisim" w:hAnsi="Narkisim"/>
          <w:b/>
          <w:bCs/>
          <w:rtl/>
        </w:rPr>
        <w:t>ר"ת</w:t>
      </w:r>
      <w:r w:rsidRPr="00AF3214">
        <w:rPr>
          <w:rFonts w:ascii="Narkisim" w:hAnsi="Narkisim"/>
          <w:rtl/>
        </w:rPr>
        <w:t xml:space="preserve"> (בתוס' ב"ב קנה:) גרס דזימנין דאתו מחמת בריאותא, וזימנין דאתו מחמת כחישותא</w:t>
      </w:r>
      <w:r w:rsidRPr="00AF3214">
        <w:rPr>
          <w:rFonts w:ascii="Narkisim" w:hAnsi="Narkisim"/>
        </w:rPr>
        <w:t>.</w:t>
      </w:r>
    </w:p>
    <w:p w14:paraId="3C7BDD3B" w14:textId="77777777" w:rsidR="006C4368" w:rsidRPr="00AF3214" w:rsidRDefault="006C4368" w:rsidP="006C4368">
      <w:pPr>
        <w:pStyle w:val="2"/>
        <w:bidi/>
        <w:rPr>
          <w:rFonts w:ascii="Narkisim" w:hAnsi="Narkisim"/>
        </w:rPr>
      </w:pPr>
      <w:r w:rsidRPr="00AF3214">
        <w:rPr>
          <w:rFonts w:ascii="Narkisim" w:eastAsia="Narkisim" w:hAnsi="Narkisim"/>
          <w:sz w:val="24"/>
          <w:szCs w:val="20"/>
          <w:rtl/>
        </w:rPr>
        <w:t>הדרן עלך פרק האשה רבה</w:t>
      </w:r>
    </w:p>
    <w:p w14:paraId="38A3F361" w14:textId="77777777" w:rsidR="006C4368" w:rsidRPr="003D7FC2" w:rsidRDefault="006C4368" w:rsidP="006C4368">
      <w:pPr>
        <w:pStyle w:val="a9"/>
        <w:bidi/>
        <w:rPr>
          <w:rFonts w:ascii="Narkisim" w:hAnsi="Narkisim"/>
        </w:rPr>
      </w:pPr>
      <w:r w:rsidRPr="003D7FC2">
        <w:rPr>
          <w:rFonts w:ascii="Narkisim" w:hAnsi="Narkisim"/>
          <w:rtl/>
        </w:rPr>
        <w:t>בס"ד</w:t>
      </w:r>
    </w:p>
    <w:p w14:paraId="04BCAC41" w14:textId="77777777" w:rsidR="006C4368" w:rsidRPr="003D7FC2" w:rsidRDefault="006C4368" w:rsidP="006C4368">
      <w:pPr>
        <w:pStyle w:val="1"/>
        <w:bidi/>
        <w:rPr>
          <w:rFonts w:ascii="Narkisim" w:hAnsi="Narkisim"/>
        </w:rPr>
      </w:pPr>
      <w:r w:rsidRPr="003D7FC2">
        <w:rPr>
          <w:rFonts w:ascii="Narkisim" w:hAnsi="Narkisim"/>
          <w:rtl/>
        </w:rPr>
        <w:t>פרק נושאין על האנוסה</w:t>
      </w:r>
    </w:p>
    <w:p w14:paraId="5528EF30" w14:textId="77777777" w:rsidR="006C4368" w:rsidRPr="003D7FC2" w:rsidRDefault="006C4368" w:rsidP="006C4368">
      <w:pPr>
        <w:bidi/>
        <w:rPr>
          <w:rFonts w:ascii="Narkisim" w:hAnsi="Narkisim" w:cs="Narkisim"/>
        </w:rPr>
      </w:pPr>
      <w:r w:rsidRPr="003D7FC2">
        <w:rPr>
          <w:rFonts w:ascii="Narkisim" w:hAnsi="Narkisim" w:cs="Narkisim"/>
          <w:u w:val="single"/>
          <w:rtl/>
        </w:rPr>
        <w:t>נושאין על האנוסה וכו'</w:t>
      </w:r>
      <w:r w:rsidRPr="003D7FC2">
        <w:rPr>
          <w:rFonts w:ascii="Narkisim" w:hAnsi="Narkisim" w:cs="Narkisim"/>
          <w:rtl/>
        </w:rPr>
        <w:t>. וה</w:t>
      </w:r>
      <w:r w:rsidRPr="003D7FC2">
        <w:rPr>
          <w:rFonts w:ascii="Narkisim" w:hAnsi="Narkisim" w:cs="Narkisim"/>
          <w:b/>
          <w:bCs/>
          <w:rtl/>
        </w:rPr>
        <w:t>ריטב"א</w:t>
      </w:r>
      <w:r w:rsidRPr="003D7FC2">
        <w:rPr>
          <w:rFonts w:ascii="Narkisim" w:hAnsi="Narkisim" w:cs="Narkisim"/>
          <w:rtl/>
        </w:rPr>
        <w:t xml:space="preserve"> כת' דאפי' פילגש אינו נאסר בקרובותיה [מדאורייתא], [אפי'] למ"ד דמתיר פילגש בעלמא</w:t>
      </w:r>
      <w:r w:rsidRPr="003D7FC2">
        <w:rPr>
          <w:rStyle w:val="ac"/>
          <w:rFonts w:ascii="Narkisim" w:hAnsi="Narkisim" w:cs="Narkisim"/>
          <w:rtl/>
        </w:rPr>
        <w:footnoteReference w:id="6247"/>
      </w:r>
      <w:r w:rsidRPr="003D7FC2">
        <w:rPr>
          <w:rFonts w:ascii="Narkisim" w:hAnsi="Narkisim" w:cs="Narkisim"/>
          <w:rtl/>
        </w:rPr>
        <w:t xml:space="preserve">. </w:t>
      </w:r>
      <w:r w:rsidRPr="003D7FC2">
        <w:rPr>
          <w:rFonts w:ascii="Narkisim" w:hAnsi="Narkisim" w:cs="Narkisim"/>
          <w:szCs w:val="20"/>
          <w:rtl/>
        </w:rPr>
        <w:t>[וצ"ב מה ס"ד. ואפשר דכיון דמיוחדת לו וכעין אישות של בני נח נחשבת 'אשתו']</w:t>
      </w:r>
      <w:r w:rsidRPr="003D7FC2">
        <w:rPr>
          <w:rFonts w:ascii="Narkisim" w:hAnsi="Narkisim" w:cs="Narkisim"/>
          <w:rtl/>
        </w:rPr>
        <w:t>.</w:t>
      </w:r>
    </w:p>
    <w:p w14:paraId="1E6CD969" w14:textId="77777777" w:rsidR="006C4368" w:rsidRPr="003D7FC2" w:rsidRDefault="006C4368" w:rsidP="006C4368">
      <w:pPr>
        <w:bidi/>
        <w:rPr>
          <w:rFonts w:ascii="Narkisim" w:hAnsi="Narkisim" w:cs="Narkisim"/>
        </w:rPr>
      </w:pPr>
      <w:r w:rsidRPr="003D7FC2">
        <w:rPr>
          <w:rFonts w:ascii="Narkisim" w:hAnsi="Narkisim" w:cs="Narkisim"/>
          <w:u w:val="single"/>
          <w:rtl/>
        </w:rPr>
        <w:t>ורמינהו הנטען מן האשה אסור באמה ובבתה ובאחותה וכו'</w:t>
      </w:r>
      <w:r w:rsidRPr="003D7FC2">
        <w:rPr>
          <w:rFonts w:ascii="Narkisim" w:hAnsi="Narkisim" w:cs="Narkisim"/>
          <w:rtl/>
        </w:rPr>
        <w:t>. ה</w:t>
      </w:r>
      <w:r w:rsidRPr="003D7FC2">
        <w:rPr>
          <w:rFonts w:ascii="Narkisim" w:hAnsi="Narkisim" w:cs="Narkisim"/>
          <w:b/>
          <w:bCs/>
          <w:rtl/>
        </w:rPr>
        <w:t>רמב"ן</w:t>
      </w:r>
      <w:r w:rsidRPr="003D7FC2">
        <w:rPr>
          <w:rFonts w:ascii="Narkisim" w:hAnsi="Narkisim" w:cs="Narkisim"/>
          <w:rtl/>
        </w:rPr>
        <w:t xml:space="preserve"> כת' דבפשוטו הוזכרו רק אלו, אבל בת בתה מותרת. אבל הביאו ד</w:t>
      </w:r>
      <w:r w:rsidRPr="003D7FC2">
        <w:rPr>
          <w:rFonts w:ascii="Narkisim" w:hAnsi="Narkisim" w:cs="Narkisim"/>
          <w:b/>
          <w:bCs/>
          <w:rtl/>
        </w:rPr>
        <w:t>בה"ג</w:t>
      </w:r>
      <w:r w:rsidRPr="003D7FC2">
        <w:rPr>
          <w:rFonts w:ascii="Narkisim" w:hAnsi="Narkisim" w:cs="Narkisim"/>
          <w:rtl/>
        </w:rPr>
        <w:t xml:space="preserve"> וה</w:t>
      </w:r>
      <w:r w:rsidRPr="003D7FC2">
        <w:rPr>
          <w:rFonts w:ascii="Narkisim" w:hAnsi="Narkisim" w:cs="Narkisim"/>
          <w:b/>
          <w:bCs/>
          <w:rtl/>
        </w:rPr>
        <w:t>רמב"ם</w:t>
      </w:r>
      <w:r w:rsidRPr="003D7FC2">
        <w:rPr>
          <w:rFonts w:ascii="Narkisim" w:hAnsi="Narkisim" w:cs="Narkisim"/>
          <w:rtl/>
        </w:rPr>
        <w:t xml:space="preserve"> (איסו"ב ב יא) אסרו בכל הקרובותיה</w:t>
      </w:r>
      <w:r w:rsidRPr="003D7FC2">
        <w:rPr>
          <w:rStyle w:val="ac"/>
          <w:rFonts w:ascii="Narkisim" w:hAnsi="Narkisim" w:cs="Narkisim"/>
          <w:rtl/>
        </w:rPr>
        <w:footnoteReference w:id="6248"/>
      </w:r>
      <w:r w:rsidRPr="003D7FC2">
        <w:rPr>
          <w:rFonts w:ascii="Narkisim" w:hAnsi="Narkisim" w:cs="Narkisim"/>
          <w:rtl/>
        </w:rPr>
        <w:t>. וכ"כ ה</w:t>
      </w:r>
      <w:r w:rsidRPr="003D7FC2">
        <w:rPr>
          <w:rFonts w:ascii="Narkisim" w:hAnsi="Narkisim" w:cs="Narkisim"/>
          <w:b/>
          <w:bCs/>
          <w:rtl/>
        </w:rPr>
        <w:t>רשב"א</w:t>
      </w:r>
      <w:r w:rsidRPr="003D7FC2">
        <w:rPr>
          <w:rFonts w:ascii="Narkisim" w:hAnsi="Narkisim" w:cs="Narkisim"/>
          <w:rtl/>
        </w:rPr>
        <w:t xml:space="preserve"> (לעיל כו.) דה"ה כל העריות.</w:t>
      </w:r>
    </w:p>
    <w:p w14:paraId="50DD43DF" w14:textId="77777777" w:rsidR="006C4368" w:rsidRPr="003D7FC2" w:rsidRDefault="006C4368" w:rsidP="006C4368">
      <w:pPr>
        <w:bidi/>
        <w:rPr>
          <w:rFonts w:ascii="Narkisim" w:hAnsi="Narkisim" w:cs="Narkisim"/>
        </w:rPr>
      </w:pPr>
      <w:r w:rsidRPr="003D7FC2">
        <w:rPr>
          <w:rFonts w:ascii="Narkisim" w:hAnsi="Narkisim" w:cs="Narkisim"/>
          <w:u w:val="single"/>
          <w:rtl/>
        </w:rPr>
        <w:t>מדרבנן.</w:t>
      </w:r>
      <w:r w:rsidRPr="003D7FC2">
        <w:rPr>
          <w:rFonts w:ascii="Narkisim" w:hAnsi="Narkisim" w:cs="Narkisim"/>
          <w:rtl/>
        </w:rPr>
        <w:t xml:space="preserve"> פ</w:t>
      </w:r>
      <w:r w:rsidRPr="003D7FC2">
        <w:rPr>
          <w:rFonts w:ascii="Narkisim" w:hAnsi="Narkisim" w:cs="Narkisim"/>
          <w:b/>
          <w:bCs/>
          <w:rtl/>
        </w:rPr>
        <w:t>רש"י</w:t>
      </w:r>
      <w:r w:rsidRPr="003D7FC2">
        <w:rPr>
          <w:rFonts w:ascii="Narkisim" w:hAnsi="Narkisim" w:cs="Narkisim"/>
          <w:rtl/>
        </w:rPr>
        <w:t xml:space="preserve"> משום גזירה שמא יזנה. [וע”פ הגמ' לעיל כו.]. וה</w:t>
      </w:r>
      <w:r w:rsidRPr="003D7FC2">
        <w:rPr>
          <w:rFonts w:ascii="Narkisim" w:hAnsi="Narkisim" w:cs="Narkisim"/>
          <w:b/>
          <w:bCs/>
          <w:rtl/>
        </w:rPr>
        <w:t>משנ"ל</w:t>
      </w:r>
      <w:r w:rsidRPr="003D7FC2">
        <w:rPr>
          <w:rFonts w:ascii="Narkisim" w:hAnsi="Narkisim" w:cs="Narkisim"/>
          <w:rtl/>
        </w:rPr>
        <w:t xml:space="preserve"> (איסו"ב ב יא) דן האם קאי בין אנוסה ובין מפותה, או דקו' הגמ' דוקא ממפותה, דשניהם נתכוונו לאיסור. אבל אנוסה היא בחזקת כשרה עומדת, ואין לחוש שתזנה מרצונה, וכן אין חשש שיחזור ויאנוס אותה</w:t>
      </w:r>
      <w:r w:rsidRPr="003D7FC2">
        <w:rPr>
          <w:rStyle w:val="ac"/>
          <w:rFonts w:ascii="Narkisim" w:hAnsi="Narkisim" w:cs="Narkisim"/>
          <w:rtl/>
        </w:rPr>
        <w:footnoteReference w:id="6249"/>
      </w:r>
      <w:r w:rsidRPr="003D7FC2">
        <w:rPr>
          <w:rFonts w:ascii="Narkisim" w:hAnsi="Narkisim" w:cs="Narkisim"/>
          <w:rtl/>
        </w:rPr>
        <w:t>. אך הביא ד</w:t>
      </w:r>
      <w:r w:rsidRPr="003D7FC2">
        <w:rPr>
          <w:rFonts w:ascii="Narkisim" w:hAnsi="Narkisim" w:cs="Narkisim"/>
          <w:b/>
          <w:bCs/>
          <w:rtl/>
        </w:rPr>
        <w:t>רש"י</w:t>
      </w:r>
      <w:r w:rsidRPr="003D7FC2">
        <w:rPr>
          <w:rFonts w:ascii="Narkisim" w:hAnsi="Narkisim" w:cs="Narkisim"/>
          <w:rtl/>
        </w:rPr>
        <w:t xml:space="preserve"> (סוד"ה מדרבנן) כת' שהיא אנוסה או מפותה. וכן </w:t>
      </w:r>
      <w:r w:rsidRPr="003D7FC2">
        <w:rPr>
          <w:rFonts w:ascii="Narkisim" w:hAnsi="Narkisim" w:cs="Narkisim"/>
          <w:b/>
          <w:bCs/>
          <w:rtl/>
        </w:rPr>
        <w:t>תוס</w:t>
      </w:r>
      <w:r w:rsidRPr="003D7FC2">
        <w:rPr>
          <w:rFonts w:ascii="Narkisim" w:hAnsi="Narkisim" w:cs="Narkisim"/>
          <w:rtl/>
        </w:rPr>
        <w:t>' (ד"ה וכל) מבואר דאיירי אף באנוסה. וכ"כ ה</w:t>
      </w:r>
      <w:r w:rsidRPr="003D7FC2">
        <w:rPr>
          <w:rFonts w:ascii="Narkisim" w:hAnsi="Narkisim" w:cs="Narkisim"/>
          <w:b/>
          <w:bCs/>
          <w:rtl/>
        </w:rPr>
        <w:t>ב"י</w:t>
      </w:r>
      <w:r w:rsidRPr="003D7FC2">
        <w:rPr>
          <w:rFonts w:ascii="Narkisim" w:hAnsi="Narkisim" w:cs="Narkisim"/>
          <w:rtl/>
        </w:rPr>
        <w:t xml:space="preserve"> (טו).</w:t>
      </w:r>
    </w:p>
    <w:p w14:paraId="53819ABA" w14:textId="77777777" w:rsidR="006C4368" w:rsidRPr="003D7FC2" w:rsidRDefault="006C4368" w:rsidP="006C4368">
      <w:pPr>
        <w:pStyle w:val="a8"/>
        <w:bidi/>
        <w:rPr>
          <w:rFonts w:ascii="Narkisim" w:hAnsi="Narkisim"/>
        </w:rPr>
      </w:pPr>
      <w:r w:rsidRPr="003D7FC2">
        <w:rPr>
          <w:rFonts w:ascii="Narkisim" w:hAnsi="Narkisim"/>
          <w:rtl/>
        </w:rPr>
        <w:t>וב</w:t>
      </w:r>
      <w:r w:rsidRPr="003D7FC2">
        <w:rPr>
          <w:rFonts w:ascii="Narkisim" w:hAnsi="Narkisim"/>
          <w:b/>
          <w:bCs/>
          <w:rtl/>
        </w:rPr>
        <w:t>שו"ת הרי"ד</w:t>
      </w:r>
      <w:r w:rsidRPr="003D7FC2">
        <w:rPr>
          <w:rFonts w:ascii="Narkisim" w:hAnsi="Narkisim"/>
          <w:rtl/>
        </w:rPr>
        <w:t xml:space="preserve"> (קב) בתחילת דבריו הביא דאף אנוסה גזרו</w:t>
      </w:r>
      <w:r w:rsidRPr="003D7FC2">
        <w:rPr>
          <w:rStyle w:val="ac"/>
          <w:rFonts w:ascii="Narkisim" w:hAnsi="Narkisim"/>
          <w:rtl/>
        </w:rPr>
        <w:footnoteReference w:id="6250"/>
      </w:r>
      <w:r w:rsidRPr="003D7FC2">
        <w:rPr>
          <w:rFonts w:ascii="Narkisim" w:hAnsi="Narkisim"/>
          <w:rtl/>
        </w:rPr>
        <w:t>, דבסוגיין קאי על תרוייהו אנוסה ומפותה</w:t>
      </w:r>
      <w:r w:rsidRPr="003D7FC2">
        <w:rPr>
          <w:rStyle w:val="ac"/>
          <w:rFonts w:ascii="Narkisim" w:hAnsi="Narkisim"/>
          <w:rtl/>
        </w:rPr>
        <w:footnoteReference w:id="6251"/>
      </w:r>
      <w:r w:rsidRPr="003D7FC2">
        <w:rPr>
          <w:rFonts w:ascii="Narkisim" w:hAnsi="Narkisim"/>
          <w:rtl/>
        </w:rPr>
        <w:t>. אך שוב חזר בו דהדעת מכרעת והסברא נותנת שאין לחוש אלא במפותה, שמרצונה נבעלה לו, אבל האנוסה שלא נתרצת לו אחזוקי בנות ישראל בזונות לא מחזיקינן. וקו' הגמ' אבבא במתני' דתני נושאין על המפותה</w:t>
      </w:r>
      <w:r w:rsidRPr="003D7FC2">
        <w:rPr>
          <w:rStyle w:val="ac"/>
          <w:rFonts w:ascii="Narkisim" w:hAnsi="Narkisim"/>
          <w:rtl/>
        </w:rPr>
        <w:footnoteReference w:id="6252"/>
      </w:r>
      <w:r w:rsidRPr="003D7FC2">
        <w:rPr>
          <w:rFonts w:ascii="Narkisim" w:hAnsi="Narkisim"/>
          <w:rtl/>
        </w:rPr>
        <w:t>.</w:t>
      </w:r>
    </w:p>
    <w:p w14:paraId="2E19ADCF" w14:textId="77777777" w:rsidR="006C4368" w:rsidRPr="003D7FC2" w:rsidRDefault="006C4368" w:rsidP="006C4368">
      <w:pPr>
        <w:bidi/>
        <w:rPr>
          <w:rFonts w:ascii="Narkisim" w:hAnsi="Narkisim" w:cs="Narkisim"/>
        </w:rPr>
      </w:pPr>
      <w:r w:rsidRPr="003D7FC2">
        <w:rPr>
          <w:rFonts w:ascii="Narkisim" w:hAnsi="Narkisim" w:cs="Narkisim"/>
          <w:rtl/>
        </w:rPr>
        <w:t>ועוד נסתפק ה</w:t>
      </w:r>
      <w:r w:rsidRPr="003D7FC2">
        <w:rPr>
          <w:rFonts w:ascii="Narkisim" w:hAnsi="Narkisim" w:cs="Narkisim"/>
          <w:b/>
          <w:bCs/>
          <w:rtl/>
        </w:rPr>
        <w:t>משנ"ל</w:t>
      </w:r>
      <w:r w:rsidRPr="003D7FC2">
        <w:rPr>
          <w:rFonts w:ascii="Narkisim" w:hAnsi="Narkisim" w:cs="Narkisim"/>
          <w:rtl/>
        </w:rPr>
        <w:t xml:space="preserve"> (שם) האם גזרו דוקא במי שראינו שזינה מרצונו [ואיתרע חזקתו], וחוששין שמא יחזור ויזנה. ועפ"ז נסתפק היכא דבא עליה בשוגג או שאנסוהו האם גזרו</w:t>
      </w:r>
      <w:r w:rsidRPr="003D7FC2">
        <w:rPr>
          <w:rStyle w:val="ac"/>
          <w:rFonts w:ascii="Narkisim" w:hAnsi="Narkisim" w:cs="Narkisim"/>
          <w:rtl/>
        </w:rPr>
        <w:footnoteReference w:id="6253"/>
      </w:r>
      <w:r w:rsidRPr="003D7FC2">
        <w:rPr>
          <w:rFonts w:ascii="Narkisim" w:hAnsi="Narkisim" w:cs="Narkisim"/>
          <w:rtl/>
        </w:rPr>
        <w:t xml:space="preserve">. והביא דבמשנה </w:t>
      </w:r>
      <w:r w:rsidRPr="003D7FC2">
        <w:rPr>
          <w:rFonts w:ascii="Narkisim" w:hAnsi="Narkisim" w:cs="Narkisim"/>
          <w:szCs w:val="20"/>
          <w:rtl/>
        </w:rPr>
        <w:t>(לעיל צד:)</w:t>
      </w:r>
      <w:r w:rsidRPr="003D7FC2">
        <w:rPr>
          <w:rFonts w:ascii="Narkisim" w:hAnsi="Narkisim" w:cs="Narkisim"/>
          <w:rtl/>
        </w:rPr>
        <w:t xml:space="preserve"> מבואר דהיכא דנשאה בטעות [שסבר שמתה אחותה], מותר בקרובותיה. ובפשוטו משמע דאף בחייה, כיון דנשאה בטעות. ועד"ז כת' ה</w:t>
      </w:r>
      <w:r w:rsidRPr="003D7FC2">
        <w:rPr>
          <w:rFonts w:ascii="Narkisim" w:hAnsi="Narkisim" w:cs="Narkisim"/>
          <w:b/>
          <w:bCs/>
          <w:rtl/>
        </w:rPr>
        <w:t>ט”ז</w:t>
      </w:r>
      <w:r w:rsidRPr="003D7FC2">
        <w:rPr>
          <w:rFonts w:ascii="Narkisim" w:hAnsi="Narkisim" w:cs="Narkisim"/>
          <w:rtl/>
        </w:rPr>
        <w:t xml:space="preserve"> </w:t>
      </w:r>
      <w:r w:rsidRPr="003D7FC2">
        <w:rPr>
          <w:rFonts w:ascii="Narkisim" w:hAnsi="Narkisim" w:cs="Narkisim"/>
          <w:szCs w:val="20"/>
          <w:rtl/>
        </w:rPr>
        <w:t>(טו יח)</w:t>
      </w:r>
      <w:r w:rsidRPr="003D7FC2">
        <w:rPr>
          <w:rFonts w:ascii="Narkisim" w:hAnsi="Narkisim" w:cs="Narkisim"/>
          <w:rtl/>
        </w:rPr>
        <w:t xml:space="preserve"> דהתם נשאה בשוגג לא הוה דרך זנות</w:t>
      </w:r>
      <w:r w:rsidRPr="003D7FC2">
        <w:rPr>
          <w:rStyle w:val="ac"/>
          <w:rFonts w:ascii="Narkisim" w:hAnsi="Narkisim" w:cs="Narkisim"/>
          <w:rtl/>
        </w:rPr>
        <w:footnoteReference w:id="6254"/>
      </w:r>
      <w:r w:rsidRPr="003D7FC2">
        <w:rPr>
          <w:rFonts w:ascii="Narkisim" w:hAnsi="Narkisim" w:cs="Narkisim"/>
          <w:rtl/>
        </w:rPr>
        <w:t>. אבל ה</w:t>
      </w:r>
      <w:r w:rsidRPr="003D7FC2">
        <w:rPr>
          <w:rFonts w:ascii="Narkisim" w:hAnsi="Narkisim" w:cs="Narkisim"/>
          <w:b/>
          <w:bCs/>
          <w:rtl/>
        </w:rPr>
        <w:t>ב”ח</w:t>
      </w:r>
      <w:r w:rsidRPr="003D7FC2">
        <w:rPr>
          <w:rFonts w:ascii="Narkisim" w:hAnsi="Narkisim" w:cs="Narkisim"/>
          <w:rtl/>
        </w:rPr>
        <w:t xml:space="preserve"> וה</w:t>
      </w:r>
      <w:r w:rsidRPr="003D7FC2">
        <w:rPr>
          <w:rFonts w:ascii="Narkisim" w:hAnsi="Narkisim" w:cs="Narkisim"/>
          <w:b/>
          <w:bCs/>
          <w:rtl/>
        </w:rPr>
        <w:t>פרישה</w:t>
      </w:r>
      <w:r w:rsidRPr="003D7FC2">
        <w:rPr>
          <w:rFonts w:ascii="Narkisim" w:hAnsi="Narkisim" w:cs="Narkisim"/>
          <w:rtl/>
        </w:rPr>
        <w:t xml:space="preserve"> (טו) כת' דהא דאי' (שם) דמותר בקרובות שניה</w:t>
      </w:r>
      <w:r w:rsidRPr="003D7FC2">
        <w:rPr>
          <w:rStyle w:val="ac"/>
          <w:rFonts w:ascii="Narkisim" w:hAnsi="Narkisim" w:cs="Narkisim"/>
          <w:rtl/>
        </w:rPr>
        <w:footnoteReference w:id="6255"/>
      </w:r>
      <w:r w:rsidRPr="003D7FC2">
        <w:rPr>
          <w:rFonts w:ascii="Narkisim" w:hAnsi="Narkisim" w:cs="Narkisim"/>
          <w:rtl/>
        </w:rPr>
        <w:t xml:space="preserve"> היינו לאחר מיתה</w:t>
      </w:r>
      <w:r w:rsidRPr="003D7FC2">
        <w:rPr>
          <w:rStyle w:val="ac"/>
          <w:rFonts w:ascii="Narkisim" w:hAnsi="Narkisim" w:cs="Narkisim"/>
          <w:rtl/>
        </w:rPr>
        <w:footnoteReference w:id="6256"/>
      </w:r>
      <w:r w:rsidRPr="003D7FC2">
        <w:rPr>
          <w:rFonts w:ascii="Narkisim" w:hAnsi="Narkisim" w:cs="Narkisim"/>
          <w:rtl/>
        </w:rPr>
        <w:t>. וה</w:t>
      </w:r>
      <w:r w:rsidRPr="003D7FC2">
        <w:rPr>
          <w:rFonts w:ascii="Narkisim" w:hAnsi="Narkisim" w:cs="Narkisim"/>
          <w:b/>
          <w:bCs/>
          <w:rtl/>
        </w:rPr>
        <w:t>בי"ש</w:t>
      </w:r>
      <w:r w:rsidRPr="003D7FC2">
        <w:rPr>
          <w:rFonts w:ascii="Narkisim" w:hAnsi="Narkisim" w:cs="Narkisim"/>
          <w:rtl/>
        </w:rPr>
        <w:t xml:space="preserve"> (שם כא) כת' דקצת ראייה לדבריהם, מדאסור בקרובות אנוסתו [ואף דאין חשש שיחזור ויאנס אותה</w:t>
      </w:r>
      <w:r w:rsidRPr="003D7FC2">
        <w:rPr>
          <w:rStyle w:val="ac"/>
          <w:rFonts w:ascii="Narkisim" w:hAnsi="Narkisim" w:cs="Narkisim"/>
          <w:rtl/>
        </w:rPr>
        <w:footnoteReference w:id="6257"/>
      </w:r>
      <w:r w:rsidRPr="003D7FC2">
        <w:rPr>
          <w:rFonts w:ascii="Narkisim" w:hAnsi="Narkisim" w:cs="Narkisim"/>
          <w:rtl/>
        </w:rPr>
        <w:t>].</w:t>
      </w:r>
    </w:p>
    <w:p w14:paraId="2A2DA8AE" w14:textId="77777777" w:rsidR="006C4368" w:rsidRPr="003D7FC2" w:rsidRDefault="006C4368" w:rsidP="006C4368">
      <w:pPr>
        <w:pStyle w:val="aa"/>
        <w:bidi/>
        <w:rPr>
          <w:rFonts w:ascii="Narkisim" w:hAnsi="Narkisim"/>
        </w:rPr>
      </w:pPr>
      <w:r w:rsidRPr="003D7FC2">
        <w:rPr>
          <w:rFonts w:ascii="Narkisim" w:hAnsi="Narkisim"/>
          <w:rtl/>
        </w:rPr>
        <w:lastRenderedPageBreak/>
        <w:t>וב</w:t>
      </w:r>
      <w:r w:rsidRPr="003D7FC2">
        <w:rPr>
          <w:rFonts w:ascii="Narkisim" w:hAnsi="Narkisim"/>
          <w:b/>
          <w:bCs/>
          <w:rtl/>
        </w:rPr>
        <w:t>שו"ת הרי"ד</w:t>
      </w:r>
      <w:r w:rsidRPr="003D7FC2">
        <w:rPr>
          <w:rFonts w:ascii="Narkisim" w:hAnsi="Narkisim"/>
          <w:rtl/>
        </w:rPr>
        <w:t xml:space="preserve"> (קב) דן בהא דממאנת מותר בקרובותיה (כדאי' לקמן קח.), האם אסור מדרבנן בחייה. ודן דלצד דגזרו אפי' אנוסה, כ"ש בממאנת. שהיתה נשואה לו מרצונה</w:t>
      </w:r>
      <w:r w:rsidRPr="003D7FC2">
        <w:rPr>
          <w:rStyle w:val="ac"/>
          <w:rFonts w:ascii="Narkisim" w:hAnsi="Narkisim"/>
          <w:rtl/>
        </w:rPr>
        <w:footnoteReference w:id="6258"/>
      </w:r>
      <w:r w:rsidRPr="003D7FC2">
        <w:rPr>
          <w:rFonts w:ascii="Narkisim" w:hAnsi="Narkisim"/>
          <w:rtl/>
        </w:rPr>
        <w:t>. אך הרי"ד חזר בו דלא גזרו באנוסה (וכנ”ל)</w:t>
      </w:r>
      <w:r w:rsidRPr="003D7FC2">
        <w:rPr>
          <w:rStyle w:val="ac"/>
          <w:rFonts w:ascii="Narkisim" w:hAnsi="Narkisim"/>
          <w:rtl/>
        </w:rPr>
        <w:footnoteReference w:id="6259"/>
      </w:r>
      <w:r w:rsidRPr="003D7FC2">
        <w:rPr>
          <w:rFonts w:ascii="Narkisim" w:hAnsi="Narkisim"/>
          <w:rtl/>
        </w:rPr>
        <w:t>, א"כ אף ממאנת אין לחוש שמא תתפתה לו ותזנה עמו</w:t>
      </w:r>
      <w:r w:rsidRPr="003D7FC2">
        <w:rPr>
          <w:rStyle w:val="ac"/>
          <w:rFonts w:ascii="Narkisim" w:hAnsi="Narkisim"/>
          <w:rtl/>
        </w:rPr>
        <w:footnoteReference w:id="6260"/>
      </w:r>
      <w:r w:rsidRPr="003D7FC2">
        <w:rPr>
          <w:rFonts w:ascii="Narkisim" w:hAnsi="Narkisim"/>
          <w:rtl/>
        </w:rPr>
        <w:t>. ובמשנה (לקמן קח.) לא חילקה דמותר בקרובותיה.</w:t>
      </w:r>
    </w:p>
    <w:p w14:paraId="34ACE3D1" w14:textId="77777777" w:rsidR="006C4368" w:rsidRPr="003D7FC2" w:rsidRDefault="006C4368" w:rsidP="006C4368">
      <w:pPr>
        <w:bidi/>
        <w:rPr>
          <w:rFonts w:ascii="Narkisim" w:hAnsi="Narkisim" w:cs="Narkisim"/>
        </w:rPr>
      </w:pPr>
      <w:r w:rsidRPr="003D7FC2">
        <w:rPr>
          <w:rFonts w:ascii="Narkisim" w:hAnsi="Narkisim" w:cs="Narkisim"/>
          <w:u w:val="single"/>
          <w:rtl/>
        </w:rPr>
        <w:t>דרך ליקוחין אסרה תורה</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שהיתה הראשונה לקוחתו חייב על השניה, דבשניה לא תפסי קידושין. וע”כ דהאיסור בשניה על הביאה. ואפ”ה דרשי' קיחה על הראשונה.</w:t>
      </w:r>
    </w:p>
    <w:p w14:paraId="67ACA323"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ריטב"א</w:t>
      </w:r>
      <w:r w:rsidRPr="003D7FC2">
        <w:rPr>
          <w:rFonts w:ascii="Narkisim" w:hAnsi="Narkisim"/>
          <w:rtl/>
        </w:rPr>
        <w:t xml:space="preserve"> כת' דאין לומר דקאי לאסור לישא על המפותה, והוה איסור לקוחין על השניה לחוד. [ובקרובת מפותה תפסי קידושין</w:t>
      </w:r>
      <w:r w:rsidRPr="003D7FC2">
        <w:rPr>
          <w:rStyle w:val="ac"/>
          <w:rFonts w:ascii="Narkisim" w:hAnsi="Narkisim"/>
          <w:rtl/>
        </w:rPr>
        <w:footnoteReference w:id="6261"/>
      </w:r>
      <w:r w:rsidRPr="003D7FC2">
        <w:rPr>
          <w:rFonts w:ascii="Narkisim" w:hAnsi="Narkisim"/>
          <w:rtl/>
        </w:rPr>
        <w:t>, אלא דיש איסור לא יקח]. ודחה דאי אמרת דאפי' לישא אסור, כ"ש דאסור בזנות. וכיון דאסירא ליה ל"ש ביה לקוחין, דאין קדושין תופסים בה.</w:t>
      </w:r>
    </w:p>
    <w:p w14:paraId="64FB6A3A" w14:textId="77777777" w:rsidR="006C4368" w:rsidRPr="003D7FC2" w:rsidRDefault="006C4368" w:rsidP="006C4368">
      <w:pPr>
        <w:bidi/>
        <w:rPr>
          <w:rFonts w:ascii="Narkisim" w:hAnsi="Narkisim" w:cs="Narkisim"/>
        </w:rPr>
      </w:pPr>
      <w:r w:rsidRPr="003D7FC2">
        <w:rPr>
          <w:rFonts w:ascii="Narkisim" w:hAnsi="Narkisim" w:cs="Narkisim"/>
          <w:rtl/>
        </w:rPr>
        <w:t>וה</w:t>
      </w:r>
      <w:r w:rsidRPr="003D7FC2">
        <w:rPr>
          <w:rFonts w:ascii="Narkisim" w:hAnsi="Narkisim" w:cs="Narkisim"/>
          <w:b/>
          <w:bCs/>
          <w:rtl/>
        </w:rPr>
        <w:t>רמב"ן</w:t>
      </w:r>
      <w:r w:rsidRPr="003D7FC2">
        <w:rPr>
          <w:rFonts w:ascii="Narkisim" w:hAnsi="Narkisim" w:cs="Narkisim"/>
          <w:rtl/>
        </w:rPr>
        <w:t xml:space="preserve"> הקשה דגבי בתה ובת בתה לא כתיב 'קיחה'. ותי' דילפי' זמה זמה [כדאמרי' לעיל ג.].</w:t>
      </w:r>
    </w:p>
    <w:p w14:paraId="1C271E38" w14:textId="77777777" w:rsidR="006C4368" w:rsidRPr="003D7FC2" w:rsidRDefault="006C4368" w:rsidP="006C4368">
      <w:pPr>
        <w:bidi/>
        <w:rPr>
          <w:rFonts w:ascii="Narkisim" w:hAnsi="Narkisim" w:cs="Narkisim"/>
        </w:rPr>
      </w:pPr>
      <w:r w:rsidRPr="003D7FC2">
        <w:rPr>
          <w:rFonts w:ascii="Narkisim" w:hAnsi="Narkisim" w:cs="Narkisim"/>
          <w:u w:val="single"/>
          <w:rtl/>
        </w:rPr>
        <w:t>רבא אמר אנס אשה מותר לישא בתה מהכא וכו' הא בת בנה דידה וכו' כאן באונסין וכו</w:t>
      </w:r>
      <w:r w:rsidRPr="003D7FC2">
        <w:rPr>
          <w:rFonts w:ascii="Narkisim" w:hAnsi="Narkisim" w:cs="Narkisim"/>
          <w:rtl/>
        </w:rPr>
        <w:t>'</w:t>
      </w:r>
      <w:r w:rsidRPr="003D7FC2">
        <w:rPr>
          <w:rStyle w:val="ac"/>
          <w:rFonts w:ascii="Narkisim" w:hAnsi="Narkisim" w:cs="Narkisim"/>
          <w:rtl/>
        </w:rPr>
        <w:footnoteReference w:id="6262"/>
      </w:r>
      <w:r w:rsidRPr="003D7FC2">
        <w:rPr>
          <w:rFonts w:ascii="Narkisim" w:hAnsi="Narkisim" w:cs="Narkisim"/>
          <w:rtl/>
        </w:rPr>
        <w:t>. ה</w:t>
      </w:r>
      <w:r w:rsidRPr="003D7FC2">
        <w:rPr>
          <w:rFonts w:ascii="Narkisim" w:hAnsi="Narkisim" w:cs="Narkisim"/>
          <w:b/>
          <w:bCs/>
          <w:rtl/>
        </w:rPr>
        <w:t>אחרונים</w:t>
      </w:r>
      <w:r w:rsidRPr="003D7FC2">
        <w:rPr>
          <w:rFonts w:ascii="Narkisim" w:hAnsi="Narkisim" w:cs="Narkisim"/>
          <w:rtl/>
        </w:rPr>
        <w:t xml:space="preserve"> הק' דנימא דהותר רק לאחר מיתתה, וע"ד הא דאי' דחמותו לאחר מיתת אשתו קליש איסורא [ע"ד הא דאי' לעיל צד: ולקמן צח:]. והביאו בבת אשתו לא אמרי' דקליש. וע"ע שו"ת רע"א (ק קכא).</w:t>
      </w:r>
    </w:p>
    <w:p w14:paraId="23BF1A72" w14:textId="77777777" w:rsidR="006C4368" w:rsidRPr="003D7FC2" w:rsidRDefault="006C4368" w:rsidP="006C4368">
      <w:pPr>
        <w:pStyle w:val="aa"/>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(ע' ערול"נ לעיל ט:, אחיעזר א יא) העלו צד דגירש אשה ואח"כ נולד לה בת מאיש אחר, דאפשר דלא הוה בכלל בת אשתו [דבשעה שהיתה אשתו עדיין לא חל עליה איסור]. אך האחיעזר הביא להק' דא”כ הו"ל לרבא ליישב דבת בנה דידה דלאחר מכן מותר</w:t>
      </w:r>
      <w:r w:rsidRPr="003D7FC2">
        <w:rPr>
          <w:rStyle w:val="ac"/>
          <w:rFonts w:ascii="Narkisim" w:hAnsi="Narkisim"/>
          <w:rtl/>
        </w:rPr>
        <w:footnoteReference w:id="6263"/>
      </w:r>
      <w:r w:rsidRPr="003D7FC2">
        <w:rPr>
          <w:rFonts w:ascii="Narkisim" w:hAnsi="Narkisim"/>
          <w:rtl/>
        </w:rPr>
        <w:t>.</w:t>
      </w:r>
    </w:p>
    <w:p w14:paraId="7566418E" w14:textId="77777777" w:rsidR="006C4368" w:rsidRPr="003D7FC2" w:rsidRDefault="006C4368" w:rsidP="006C4368">
      <w:pPr>
        <w:pStyle w:val="aa"/>
        <w:bidi/>
        <w:rPr>
          <w:rFonts w:ascii="Narkisim" w:hAnsi="Narkisim"/>
        </w:rPr>
      </w:pPr>
      <w:r w:rsidRPr="003D7FC2">
        <w:rPr>
          <w:rFonts w:ascii="Narkisim" w:hAnsi="Narkisim"/>
          <w:u w:val="single"/>
          <w:rtl/>
        </w:rPr>
        <w:t>ואיפוך אנא וכו'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דקרא דבת בנך [דממעט] קאי גבי נשואתו. אבל </w:t>
      </w:r>
      <w:r w:rsidRPr="003D7FC2">
        <w:rPr>
          <w:rFonts w:ascii="Narkisim" w:hAnsi="Narkisim"/>
          <w:b/>
          <w:bCs/>
          <w:rtl/>
        </w:rPr>
        <w:t>תוס</w:t>
      </w:r>
      <w:r w:rsidRPr="003D7FC2">
        <w:rPr>
          <w:rFonts w:ascii="Narkisim" w:hAnsi="Narkisim"/>
          <w:rtl/>
        </w:rPr>
        <w:t>' כת' דקו' הגמ' מסברא, דזנות חמיר.</w:t>
      </w:r>
    </w:p>
    <w:p w14:paraId="6EEDE2FD" w14:textId="77777777" w:rsidR="006C4368" w:rsidRPr="003D7FC2" w:rsidRDefault="006C4368" w:rsidP="006C4368">
      <w:pPr>
        <w:pStyle w:val="aa"/>
        <w:bidi/>
        <w:rPr>
          <w:rFonts w:ascii="Narkisim" w:hAnsi="Narkisim"/>
        </w:rPr>
      </w:pPr>
      <w:r w:rsidRPr="003D7FC2">
        <w:rPr>
          <w:rFonts w:ascii="Narkisim" w:hAnsi="Narkisim"/>
          <w:u w:val="single"/>
          <w:rtl/>
        </w:rPr>
        <w:t>תוד"ה עריות</w:t>
      </w:r>
      <w:r w:rsidRPr="003D7FC2">
        <w:rPr>
          <w:rFonts w:ascii="Narkisim" w:hAnsi="Narkisim"/>
          <w:rtl/>
        </w:rPr>
        <w:t>. וא"ת כיון דאיסור אשה ובתה מערות אשה ובתה לא תגלה נפקא וכו'. ה</w:t>
      </w:r>
      <w:r w:rsidRPr="003D7FC2">
        <w:rPr>
          <w:rFonts w:ascii="Narkisim" w:hAnsi="Narkisim"/>
          <w:b/>
          <w:bCs/>
          <w:rtl/>
        </w:rPr>
        <w:t>מהרש"א</w:t>
      </w:r>
      <w:r w:rsidRPr="003D7FC2">
        <w:rPr>
          <w:rFonts w:ascii="Narkisim" w:hAnsi="Narkisim"/>
          <w:rtl/>
        </w:rPr>
        <w:t xml:space="preserve"> ביאר דבשלמא בת בנה ובבת בתה כתיב לא תגלה ערותה</w:t>
      </w:r>
      <w:r w:rsidRPr="003D7FC2">
        <w:rPr>
          <w:rStyle w:val="ac"/>
          <w:rFonts w:ascii="Narkisim" w:hAnsi="Narkisim"/>
          <w:rtl/>
        </w:rPr>
        <w:footnoteReference w:id="6264"/>
      </w:r>
      <w:r w:rsidRPr="003D7FC2">
        <w:rPr>
          <w:rFonts w:ascii="Narkisim" w:hAnsi="Narkisim"/>
          <w:rtl/>
        </w:rPr>
        <w:t>, וכן באחות אשה כתיב לגלות ערותה משמע גילוי ערוה דחדא, ובאשה ואמה לא כתיב כלל לשון גילוי ערוה. אבל אשה ובתה משמע דקאי לא תגלה אתרוייהו.</w:t>
      </w:r>
    </w:p>
    <w:p w14:paraId="3729EE3C" w14:textId="77777777" w:rsidR="006C4368" w:rsidRPr="003D7FC2" w:rsidRDefault="006C4368" w:rsidP="006C4368">
      <w:pPr>
        <w:bidi/>
        <w:rPr>
          <w:rFonts w:ascii="Narkisim" w:hAnsi="Narkisim" w:cs="Narkisim"/>
        </w:rPr>
      </w:pPr>
      <w:r w:rsidRPr="003D7FC2">
        <w:rPr>
          <w:rFonts w:ascii="Narkisim" w:hAnsi="Narkisim" w:cs="Narkisim"/>
          <w:u w:val="single"/>
          <w:rtl/>
        </w:rPr>
        <w:t>בא"ד וע"י הנישואין באה השארות</w:t>
      </w:r>
      <w:r w:rsidRPr="003D7FC2">
        <w:rPr>
          <w:rFonts w:ascii="Narkisim" w:hAnsi="Narkisim" w:cs="Narkisim"/>
          <w:rtl/>
        </w:rPr>
        <w:t>. לכאורה משמע דע"י אירוסין אינו נאסר [דאירוסין לא נחשב שאר</w:t>
      </w:r>
      <w:r w:rsidRPr="003D7FC2">
        <w:rPr>
          <w:rStyle w:val="ac"/>
          <w:rFonts w:ascii="Narkisim" w:hAnsi="Narkisim" w:cs="Narkisim"/>
          <w:rtl/>
        </w:rPr>
        <w:footnoteReference w:id="6265"/>
      </w:r>
      <w:r w:rsidRPr="003D7FC2">
        <w:rPr>
          <w:rFonts w:ascii="Narkisim" w:hAnsi="Narkisim" w:cs="Narkisim"/>
          <w:rtl/>
        </w:rPr>
        <w:t>]. וכ"מ ב</w:t>
      </w:r>
      <w:r w:rsidRPr="003D7FC2">
        <w:rPr>
          <w:rFonts w:ascii="Narkisim" w:hAnsi="Narkisim" w:cs="Narkisim"/>
          <w:b/>
          <w:bCs/>
          <w:rtl/>
        </w:rPr>
        <w:t>תוס'</w:t>
      </w:r>
      <w:r w:rsidRPr="003D7FC2">
        <w:rPr>
          <w:rFonts w:ascii="Narkisim" w:hAnsi="Narkisim" w:cs="Narkisim"/>
          <w:rtl/>
        </w:rPr>
        <w:t xml:space="preserve"> </w:t>
      </w:r>
      <w:r w:rsidRPr="003D7FC2">
        <w:rPr>
          <w:rFonts w:ascii="Narkisim" w:hAnsi="Narkisim" w:cs="Narkisim"/>
          <w:szCs w:val="20"/>
          <w:rtl/>
        </w:rPr>
        <w:t>(לעיל ג.)</w:t>
      </w:r>
      <w:r w:rsidRPr="003D7FC2">
        <w:rPr>
          <w:rFonts w:ascii="Narkisim" w:hAnsi="Narkisim" w:cs="Narkisim"/>
          <w:rtl/>
        </w:rPr>
        <w:t xml:space="preserve"> דנאסר בבתה דוקא בנישואין, ותוס' חידשו אפי' נכנסה לחופה ולא נבעלה</w:t>
      </w:r>
      <w:r w:rsidRPr="003D7FC2">
        <w:rPr>
          <w:rStyle w:val="ac"/>
          <w:rFonts w:ascii="Narkisim" w:hAnsi="Narkisim" w:cs="Narkisim"/>
          <w:rtl/>
        </w:rPr>
        <w:footnoteReference w:id="6266"/>
      </w:r>
      <w:r w:rsidRPr="003D7FC2">
        <w:rPr>
          <w:rFonts w:ascii="Narkisim" w:hAnsi="Narkisim" w:cs="Narkisim"/>
          <w:rtl/>
        </w:rPr>
        <w:t>. וה</w:t>
      </w:r>
      <w:r w:rsidRPr="003D7FC2">
        <w:rPr>
          <w:rFonts w:ascii="Narkisim" w:hAnsi="Narkisim" w:cs="Narkisim"/>
          <w:b/>
          <w:bCs/>
          <w:rtl/>
        </w:rPr>
        <w:t>שעה"מ</w:t>
      </w:r>
      <w:r w:rsidRPr="003D7FC2">
        <w:rPr>
          <w:rFonts w:ascii="Narkisim" w:hAnsi="Narkisim" w:cs="Narkisim"/>
          <w:rtl/>
        </w:rPr>
        <w:t xml:space="preserve"> </w:t>
      </w:r>
      <w:r w:rsidRPr="003D7FC2">
        <w:rPr>
          <w:rFonts w:ascii="Narkisim" w:hAnsi="Narkisim" w:cs="Narkisim"/>
          <w:szCs w:val="20"/>
          <w:rtl/>
        </w:rPr>
        <w:t>(חופת חתנים ה, הו' בפתח"ת טו ה)</w:t>
      </w:r>
      <w:r w:rsidRPr="003D7FC2">
        <w:rPr>
          <w:rFonts w:ascii="Narkisim" w:hAnsi="Narkisim" w:cs="Narkisim"/>
          <w:rtl/>
        </w:rPr>
        <w:t xml:space="preserve"> דייק דבת ארוסתו מותר</w:t>
      </w:r>
      <w:r w:rsidRPr="003D7FC2">
        <w:rPr>
          <w:rStyle w:val="ac"/>
          <w:rFonts w:ascii="Narkisim" w:hAnsi="Narkisim" w:cs="Narkisim"/>
          <w:rtl/>
        </w:rPr>
        <w:footnoteReference w:id="6267"/>
      </w:r>
      <w:r w:rsidRPr="003D7FC2">
        <w:rPr>
          <w:rFonts w:ascii="Narkisim" w:hAnsi="Narkisim" w:cs="Narkisim"/>
          <w:rtl/>
        </w:rPr>
        <w:t>.</w:t>
      </w:r>
    </w:p>
    <w:p w14:paraId="5EA5440B" w14:textId="77777777" w:rsidR="006C4368" w:rsidRPr="003D7FC2" w:rsidRDefault="006C4368" w:rsidP="006C4368">
      <w:pPr>
        <w:pStyle w:val="a7"/>
        <w:bidi/>
        <w:rPr>
          <w:rFonts w:ascii="Narkisim" w:hAnsi="Narkisim"/>
        </w:rPr>
      </w:pPr>
      <w:r w:rsidRPr="003D7FC2">
        <w:rPr>
          <w:rFonts w:ascii="Narkisim" w:hAnsi="Narkisim"/>
          <w:rtl/>
        </w:rPr>
        <w:lastRenderedPageBreak/>
        <w:t>אבל ה</w:t>
      </w:r>
      <w:r w:rsidRPr="003D7FC2">
        <w:rPr>
          <w:rFonts w:ascii="Narkisim" w:hAnsi="Narkisim"/>
          <w:b/>
          <w:bCs/>
          <w:rtl/>
        </w:rPr>
        <w:t>רמב”ם</w:t>
      </w:r>
      <w:r w:rsidRPr="003D7FC2">
        <w:rPr>
          <w:rFonts w:ascii="Narkisim" w:hAnsi="Narkisim"/>
          <w:rtl/>
        </w:rPr>
        <w:t xml:space="preserve"> (איסו"ב ב ז) כת' דכיון שקידש אדם אשה נאסרו עליו</w:t>
      </w:r>
      <w:r w:rsidRPr="003D7FC2">
        <w:rPr>
          <w:rStyle w:val="ac"/>
          <w:rFonts w:ascii="Narkisim" w:hAnsi="Narkisim"/>
          <w:rtl/>
        </w:rPr>
        <w:footnoteReference w:id="6268"/>
      </w:r>
      <w:r w:rsidRPr="003D7FC2">
        <w:rPr>
          <w:rFonts w:ascii="Narkisim" w:hAnsi="Narkisim"/>
          <w:rtl/>
        </w:rPr>
        <w:t xml:space="preserve"> ו' קרובותיה</w:t>
      </w:r>
      <w:r w:rsidRPr="003D7FC2">
        <w:rPr>
          <w:rStyle w:val="ac"/>
          <w:rFonts w:ascii="Narkisim" w:hAnsi="Narkisim"/>
          <w:rtl/>
        </w:rPr>
        <w:footnoteReference w:id="6269"/>
      </w:r>
      <w:r w:rsidRPr="003D7FC2">
        <w:rPr>
          <w:rFonts w:ascii="Narkisim" w:hAnsi="Narkisim"/>
          <w:rtl/>
        </w:rPr>
        <w:t>.</w:t>
      </w:r>
    </w:p>
    <w:p w14:paraId="05304872"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(אחיעזר א יא) דנו די"ל דאף תוס' מודה דילפי' מדאורייתא משאר עריות דתלי בקידושין</w:t>
      </w:r>
      <w:r w:rsidRPr="003D7FC2">
        <w:rPr>
          <w:rStyle w:val="ac"/>
          <w:rFonts w:ascii="Narkisim" w:hAnsi="Narkisim"/>
          <w:rtl/>
        </w:rPr>
        <w:footnoteReference w:id="6270"/>
      </w:r>
      <w:r w:rsidRPr="003D7FC2">
        <w:rPr>
          <w:rFonts w:ascii="Narkisim" w:hAnsi="Narkisim"/>
          <w:rtl/>
        </w:rPr>
        <w:t>, אלא דס"ד דתוס' דהכא גלי קרא דתלי דוקא בביאה. קמ"ל דתלי בשאר, ומש"ה ילפי' משאר עריות. אך יש שדנו דהך ילפו' הוה איסורא בעלמא</w:t>
      </w:r>
      <w:r w:rsidRPr="003D7FC2">
        <w:rPr>
          <w:rStyle w:val="ac"/>
          <w:rFonts w:ascii="Narkisim" w:hAnsi="Narkisim"/>
          <w:rtl/>
        </w:rPr>
        <w:footnoteReference w:id="6271"/>
      </w:r>
      <w:r w:rsidRPr="003D7FC2">
        <w:rPr>
          <w:rFonts w:ascii="Narkisim" w:hAnsi="Narkisim"/>
          <w:rtl/>
        </w:rPr>
        <w:t>, ולא חיוב כרת.</w:t>
      </w:r>
    </w:p>
    <w:p w14:paraId="2857E6DA"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(בפתח"ת שם) הביאו דמבואר (קידושין נ:) דהמקדש אשה ובתה בבת א' לא תפסי קידושין, ומבואר דאף מאירוסין לא תפסי קידושין בחמותו או בת אשתו</w:t>
      </w:r>
      <w:r w:rsidRPr="003D7FC2">
        <w:rPr>
          <w:rStyle w:val="ac"/>
          <w:rFonts w:ascii="Narkisim" w:hAnsi="Narkisim"/>
          <w:rtl/>
        </w:rPr>
        <w:footnoteReference w:id="6272"/>
      </w:r>
      <w:r w:rsidRPr="003D7FC2">
        <w:rPr>
          <w:rFonts w:ascii="Narkisim" w:hAnsi="Narkisim"/>
          <w:rtl/>
        </w:rPr>
        <w:t>. וכ"מ בכמה מקומות. וכת' דע"כ דמסקנת ה</w:t>
      </w:r>
      <w:r w:rsidRPr="003D7FC2">
        <w:rPr>
          <w:rFonts w:ascii="Narkisim" w:hAnsi="Narkisim"/>
          <w:b/>
          <w:bCs/>
          <w:rtl/>
        </w:rPr>
        <w:t>תוס'</w:t>
      </w:r>
      <w:r w:rsidRPr="003D7FC2">
        <w:rPr>
          <w:rFonts w:ascii="Narkisim" w:hAnsi="Narkisim"/>
          <w:rtl/>
        </w:rPr>
        <w:t xml:space="preserve"> (לעיל ג.) דתלי בקידושין ולא בביאה. [ואף מאירוסין].</w:t>
      </w:r>
    </w:p>
    <w:p w14:paraId="4F3FFDD4"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קה"י</w:t>
      </w:r>
      <w:r w:rsidRPr="003D7FC2">
        <w:rPr>
          <w:rFonts w:ascii="Narkisim" w:hAnsi="Narkisim"/>
          <w:rtl/>
        </w:rPr>
        <w:t xml:space="preserve"> (ב) חידש דמ"מ לא תפסי בה קידושין, דכיון דקידש את הראשונה ועומדת לנישואין, ל"מ לקדש את בתה דסותר לקידושי האם</w:t>
      </w:r>
      <w:r w:rsidRPr="003D7FC2">
        <w:rPr>
          <w:rStyle w:val="ac"/>
          <w:rFonts w:ascii="Narkisim" w:hAnsi="Narkisim"/>
          <w:rtl/>
        </w:rPr>
        <w:footnoteReference w:id="6273"/>
      </w:r>
      <w:r w:rsidRPr="003D7FC2">
        <w:rPr>
          <w:rFonts w:ascii="Narkisim" w:hAnsi="Narkisim"/>
          <w:rtl/>
        </w:rPr>
        <w:t>. [ואף שעדיין אינה אסורה עליו].</w:t>
      </w:r>
    </w:p>
    <w:p w14:paraId="64F9968A" w14:textId="77777777" w:rsidR="006C4368" w:rsidRPr="003D7FC2" w:rsidRDefault="006C4368" w:rsidP="006C4368">
      <w:pPr>
        <w:pStyle w:val="aa"/>
        <w:bidi/>
        <w:rPr>
          <w:rFonts w:ascii="Narkisim" w:hAnsi="Narkisim"/>
        </w:rPr>
      </w:pPr>
      <w:r w:rsidRPr="003D7FC2">
        <w:rPr>
          <w:rFonts w:ascii="Narkisim" w:hAnsi="Narkisim"/>
          <w:u w:val="single"/>
          <w:rtl/>
        </w:rPr>
        <w:t>בשומרת יבם של אביו וכו' כנף הראוי לאביו וכו'</w:t>
      </w:r>
      <w:r w:rsidRPr="003D7FC2">
        <w:rPr>
          <w:rFonts w:ascii="Narkisim" w:hAnsi="Narkisim"/>
          <w:rtl/>
        </w:rPr>
        <w:t>. ה</w:t>
      </w:r>
      <w:r w:rsidRPr="003D7FC2">
        <w:rPr>
          <w:rFonts w:ascii="Narkisim" w:hAnsi="Narkisim"/>
          <w:b/>
          <w:bCs/>
          <w:rtl/>
        </w:rPr>
        <w:t>אתוון דאורייתא</w:t>
      </w:r>
      <w:r w:rsidRPr="003D7FC2">
        <w:rPr>
          <w:rFonts w:ascii="Narkisim" w:hAnsi="Narkisim"/>
          <w:rtl/>
        </w:rPr>
        <w:t xml:space="preserve"> (ח קו”א) הביא דמשמע דשומר"י של אביו הוה קצת אשת אביו, ומתאים לפשטיה דקרא דאיירי באשת אב. והביא דלפ"ז משמע כצד דגדר יבמה לשוק הוה קורבא ליבם, ועי"ז שייך בה צד אשת אב</w:t>
      </w:r>
      <w:r w:rsidRPr="003D7FC2">
        <w:rPr>
          <w:rStyle w:val="ac"/>
          <w:rFonts w:ascii="Narkisim" w:hAnsi="Narkisim"/>
          <w:rtl/>
        </w:rPr>
        <w:footnoteReference w:id="6274"/>
      </w:r>
      <w:r w:rsidRPr="003D7FC2">
        <w:rPr>
          <w:rFonts w:ascii="Narkisim" w:hAnsi="Narkisim"/>
          <w:rtl/>
        </w:rPr>
        <w:t>.</w:t>
      </w:r>
    </w:p>
    <w:p w14:paraId="561114E2" w14:textId="77777777" w:rsidR="006C4368" w:rsidRPr="003D7FC2" w:rsidRDefault="006C4368" w:rsidP="006C4368">
      <w:pPr>
        <w:pStyle w:val="aa"/>
        <w:bidi/>
        <w:rPr>
          <w:rFonts w:ascii="Narkisim" w:hAnsi="Narkisim"/>
        </w:rPr>
      </w:pPr>
      <w:r w:rsidRPr="003D7FC2">
        <w:rPr>
          <w:rFonts w:ascii="Narkisim" w:hAnsi="Narkisim"/>
          <w:u w:val="single"/>
          <w:rtl/>
        </w:rPr>
        <w:t>ותיפו"ל משום דודתו</w:t>
      </w:r>
      <w:r w:rsidRPr="003D7FC2">
        <w:rPr>
          <w:rFonts w:ascii="Narkisim" w:hAnsi="Narkisim"/>
          <w:rtl/>
        </w:rPr>
        <w:t>. ה</w:t>
      </w:r>
      <w:r w:rsidRPr="003D7FC2">
        <w:rPr>
          <w:rFonts w:ascii="Narkisim" w:hAnsi="Narkisim"/>
          <w:b/>
          <w:bCs/>
          <w:rtl/>
        </w:rPr>
        <w:t>ערול"נ</w:t>
      </w:r>
      <w:r w:rsidRPr="003D7FC2">
        <w:rPr>
          <w:rFonts w:ascii="Narkisim" w:hAnsi="Narkisim"/>
          <w:rtl/>
        </w:rPr>
        <w:t xml:space="preserve"> דן היכא דאחי אביו קידשה חוץ ממנו [למ"ד גיטין פב: דמהני לקדש חוץ מפלוני, ע"ע תוס' לעיל י.], דכה"ג ליכא משום דודתו ולא משום יבמה לשוק, דהא לגביה לא היתה לא אשת איש ולא אשת אחי אביו. ומ"מ הוה כנף הראוי לאביו</w:t>
      </w:r>
      <w:r w:rsidRPr="003D7FC2">
        <w:rPr>
          <w:rStyle w:val="ac"/>
          <w:rFonts w:ascii="Narkisim" w:hAnsi="Narkisim"/>
          <w:rtl/>
        </w:rPr>
        <w:footnoteReference w:id="6275"/>
      </w:r>
      <w:r w:rsidRPr="003D7FC2">
        <w:rPr>
          <w:rFonts w:ascii="Narkisim" w:hAnsi="Narkisim"/>
          <w:rtl/>
        </w:rPr>
        <w:t>. א"כ הו"ל לתרץ כה"ג</w:t>
      </w:r>
      <w:r w:rsidRPr="003D7FC2">
        <w:rPr>
          <w:rStyle w:val="ac"/>
          <w:rFonts w:ascii="Narkisim" w:hAnsi="Narkisim"/>
          <w:rtl/>
        </w:rPr>
        <w:footnoteReference w:id="6276"/>
      </w:r>
      <w:r w:rsidRPr="003D7FC2">
        <w:rPr>
          <w:rFonts w:ascii="Narkisim" w:hAnsi="Narkisim"/>
          <w:rtl/>
        </w:rPr>
        <w:t>. ותי' דקו' הגמ' דא"כ תפשוט ספק דאביי (שם) דמהני קידושין בכה"ג.</w:t>
      </w:r>
    </w:p>
    <w:p w14:paraId="685AF964" w14:textId="77777777" w:rsidR="006C4368" w:rsidRPr="003D7FC2" w:rsidRDefault="006C4368" w:rsidP="006C4368">
      <w:pPr>
        <w:bidi/>
        <w:rPr>
          <w:rFonts w:ascii="Narkisim" w:hAnsi="Narkisim" w:cs="Narkisim"/>
        </w:rPr>
      </w:pPr>
      <w:r w:rsidRPr="003D7FC2">
        <w:rPr>
          <w:rFonts w:ascii="Narkisim" w:hAnsi="Narkisim" w:cs="Narkisim"/>
          <w:u w:val="single"/>
          <w:rtl/>
        </w:rPr>
        <w:t>לעבור עליו בב' לאוין</w:t>
      </w:r>
      <w:r w:rsidRPr="003D7FC2">
        <w:rPr>
          <w:rFonts w:ascii="Narkisim" w:hAnsi="Narkisim" w:cs="Narkisim"/>
          <w:rtl/>
        </w:rPr>
        <w:t>. ה</w:t>
      </w:r>
      <w:r w:rsidRPr="003D7FC2">
        <w:rPr>
          <w:rFonts w:ascii="Narkisim" w:hAnsi="Narkisim" w:cs="Narkisim"/>
          <w:b/>
          <w:bCs/>
          <w:rtl/>
        </w:rPr>
        <w:t>ערול”נ</w:t>
      </w:r>
      <w:r w:rsidRPr="003D7FC2">
        <w:rPr>
          <w:rFonts w:ascii="Narkisim" w:hAnsi="Narkisim" w:cs="Narkisim"/>
          <w:rtl/>
        </w:rPr>
        <w:t xml:space="preserve"> הק' דנימא אין איסור חל על איסור, דהאיך חל איסור כנף אביו על איסור דודתו. ודן האם אמרי' דכיון דחל איסור יבמה לשוק [דהוה איסור כולל], חל איסור דודתו במיגו [והוה בבת א']. </w:t>
      </w:r>
      <w:r w:rsidRPr="003D7FC2">
        <w:rPr>
          <w:rFonts w:ascii="Narkisim" w:hAnsi="Narkisim" w:cs="Narkisim"/>
          <w:szCs w:val="20"/>
          <w:rtl/>
        </w:rPr>
        <w:t>עי"ש עוד [ובבנין ציון א נו].</w:t>
      </w:r>
    </w:p>
    <w:p w14:paraId="051E62A0" w14:textId="77777777" w:rsidR="006C4368" w:rsidRPr="003D7FC2" w:rsidRDefault="006C4368" w:rsidP="006C4368">
      <w:pPr>
        <w:pStyle w:val="a8"/>
        <w:bidi/>
        <w:rPr>
          <w:rFonts w:ascii="Narkisim" w:hAnsi="Narkisim"/>
        </w:rPr>
      </w:pPr>
      <w:r w:rsidRPr="003D7FC2">
        <w:rPr>
          <w:rFonts w:ascii="Narkisim" w:hAnsi="Narkisim"/>
          <w:rtl/>
        </w:rPr>
        <w:t>ועוד כת' דנקט ב' לאווין לענין איסורי בעלמא [וע"ד הא דאי' לעיל לג:]. כת' דמש"ה השמיט הרמב"ם דחייב ב' וג'.</w:t>
      </w:r>
    </w:p>
    <w:p w14:paraId="79BA39D0"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או"ש</w:t>
      </w:r>
      <w:r w:rsidRPr="003D7FC2">
        <w:rPr>
          <w:rFonts w:ascii="Narkisim" w:hAnsi="Narkisim"/>
          <w:rtl/>
        </w:rPr>
        <w:t xml:space="preserve"> (שגגות ד ב) כת' דרחמנא גלי דחייב אף משום לא יגלה כנף אביו, אף דאסורה משום אשת אחי אביו, ולעבור ב'.</w:t>
      </w:r>
    </w:p>
    <w:p w14:paraId="7848C869" w14:textId="77777777" w:rsidR="006C4368" w:rsidRPr="003D7FC2" w:rsidRDefault="006C4368" w:rsidP="006C4368">
      <w:pPr>
        <w:bidi/>
        <w:rPr>
          <w:rFonts w:ascii="Narkisim" w:hAnsi="Narkisim" w:cs="Narkisim"/>
        </w:rPr>
      </w:pPr>
      <w:r w:rsidRPr="003D7FC2">
        <w:rPr>
          <w:rFonts w:ascii="Narkisim" w:hAnsi="Narkisim" w:cs="Narkisim"/>
          <w:u w:val="single"/>
          <w:rtl/>
        </w:rPr>
        <w:t>ותיפו"ל משום יבמה לשוק וכו'</w:t>
      </w:r>
      <w:r w:rsidRPr="003D7FC2">
        <w:rPr>
          <w:rFonts w:ascii="Narkisim" w:hAnsi="Narkisim" w:cs="Narkisim"/>
          <w:rtl/>
        </w:rPr>
        <w:t>. [דהוה לאו</w:t>
      </w:r>
      <w:r w:rsidRPr="003D7FC2">
        <w:rPr>
          <w:rStyle w:val="ac"/>
          <w:rFonts w:ascii="Narkisim" w:hAnsi="Narkisim" w:cs="Narkisim"/>
          <w:rtl/>
        </w:rPr>
        <w:footnoteReference w:id="6277"/>
      </w:r>
      <w:r w:rsidRPr="003D7FC2">
        <w:rPr>
          <w:rFonts w:ascii="Narkisim" w:hAnsi="Narkisim" w:cs="Narkisim"/>
          <w:rtl/>
        </w:rPr>
        <w:t>]. ה</w:t>
      </w:r>
      <w:r w:rsidRPr="003D7FC2">
        <w:rPr>
          <w:rFonts w:ascii="Narkisim" w:hAnsi="Narkisim" w:cs="Narkisim"/>
          <w:b/>
          <w:bCs/>
          <w:rtl/>
        </w:rPr>
        <w:t>רש"ש</w:t>
      </w:r>
      <w:r w:rsidRPr="003D7FC2">
        <w:rPr>
          <w:rFonts w:ascii="Narkisim" w:hAnsi="Narkisim" w:cs="Narkisim"/>
          <w:rtl/>
        </w:rPr>
        <w:t xml:space="preserve"> (ועד"ז הקר"א) הק' דנימא כשחלץ</w:t>
      </w:r>
      <w:r w:rsidRPr="003D7FC2">
        <w:rPr>
          <w:rStyle w:val="ac"/>
          <w:rFonts w:ascii="Narkisim" w:hAnsi="Narkisim" w:cs="Narkisim"/>
          <w:rtl/>
        </w:rPr>
        <w:footnoteReference w:id="6278"/>
      </w:r>
      <w:r w:rsidRPr="003D7FC2">
        <w:rPr>
          <w:rFonts w:ascii="Narkisim" w:hAnsi="Narkisim" w:cs="Narkisim"/>
          <w:rtl/>
        </w:rPr>
        <w:t>. וכת' די"ל דחליצה מפקעת את הזיקה לגמרי</w:t>
      </w:r>
      <w:r w:rsidRPr="003D7FC2">
        <w:rPr>
          <w:rStyle w:val="ac"/>
          <w:rFonts w:ascii="Narkisim" w:hAnsi="Narkisim" w:cs="Narkisim"/>
          <w:rtl/>
        </w:rPr>
        <w:footnoteReference w:id="6279"/>
      </w:r>
      <w:r w:rsidRPr="003D7FC2">
        <w:rPr>
          <w:rFonts w:ascii="Narkisim" w:hAnsi="Narkisim" w:cs="Narkisim"/>
          <w:rtl/>
        </w:rPr>
        <w:t>, ועי"ז לא הוה בכלל שומרת יבם של אביו, ולא הוה כנף אביו. ואף דהיכא דמת אביו עדיין הוה בכלל [וכתי' הג' דהגמ'], הטעם דכשמת לא פקע זיקה. וכת' דאידך תי' (דלעבור בג' לאוין</w:t>
      </w:r>
      <w:r w:rsidRPr="003D7FC2">
        <w:rPr>
          <w:rStyle w:val="ac"/>
          <w:rFonts w:ascii="Narkisim" w:hAnsi="Narkisim" w:cs="Narkisim"/>
          <w:rtl/>
        </w:rPr>
        <w:footnoteReference w:id="6280"/>
      </w:r>
      <w:r w:rsidRPr="003D7FC2">
        <w:rPr>
          <w:rFonts w:ascii="Narkisim" w:hAnsi="Narkisim" w:cs="Narkisim"/>
          <w:rtl/>
        </w:rPr>
        <w:t xml:space="preserve">) ס"ל דאף מת היבם פקע זיקה, </w:t>
      </w:r>
      <w:r w:rsidRPr="003D7FC2">
        <w:rPr>
          <w:rFonts w:ascii="Narkisim" w:hAnsi="Narkisim" w:cs="Narkisim"/>
          <w:rtl/>
        </w:rPr>
        <w:lastRenderedPageBreak/>
        <w:t>וכמ”ד (צריכותא דהגמ' לעיל יח.) דלאחר מיתה פקע זיקה</w:t>
      </w:r>
      <w:r w:rsidRPr="003D7FC2">
        <w:rPr>
          <w:rStyle w:val="ac"/>
          <w:rFonts w:ascii="Narkisim" w:hAnsi="Narkisim" w:cs="Narkisim"/>
          <w:rtl/>
        </w:rPr>
        <w:footnoteReference w:id="6281"/>
      </w:r>
      <w:r w:rsidRPr="003D7FC2">
        <w:rPr>
          <w:rFonts w:ascii="Narkisim" w:hAnsi="Narkisim" w:cs="Narkisim"/>
          <w:rtl/>
        </w:rPr>
        <w:t>. ומש”ה אייתר ללאו יתירא.</w:t>
      </w:r>
    </w:p>
    <w:p w14:paraId="1B3D5B0F" w14:textId="77777777" w:rsidR="006C4368" w:rsidRPr="003D7FC2" w:rsidRDefault="006C4368" w:rsidP="006C4368">
      <w:pPr>
        <w:pStyle w:val="aa"/>
        <w:bidi/>
        <w:rPr>
          <w:rFonts w:ascii="Narkisim" w:hAnsi="Narkisim"/>
        </w:rPr>
      </w:pPr>
      <w:r w:rsidRPr="003D7FC2">
        <w:rPr>
          <w:rFonts w:ascii="Narkisim" w:hAnsi="Narkisim"/>
          <w:u w:val="single"/>
          <w:rtl/>
        </w:rPr>
        <w:t>ואיבע"א לאחר מיתה</w:t>
      </w:r>
      <w:r w:rsidRPr="003D7FC2">
        <w:rPr>
          <w:rFonts w:ascii="Narkisim" w:hAnsi="Narkisim"/>
          <w:rtl/>
        </w:rPr>
        <w:t>. יל"ד אי כוונת הגמ' דהיתה זקוקה לאביו ליבום, ואח"כ מת. או אף כשמת אביו בחיי האח, כיון דמת אחיו נחשב כנף הראוי [וכמ”ש תוס'].</w:t>
      </w:r>
    </w:p>
    <w:p w14:paraId="1BDB0C1E" w14:textId="77777777" w:rsidR="006C4368" w:rsidRPr="003D7FC2" w:rsidRDefault="006C4368" w:rsidP="006C4368">
      <w:pPr>
        <w:pStyle w:val="3"/>
        <w:bidi/>
        <w:rPr>
          <w:rFonts w:ascii="Narkisim" w:hAnsi="Narkisim"/>
        </w:rPr>
      </w:pPr>
      <w:r w:rsidRPr="003D7FC2">
        <w:rPr>
          <w:rFonts w:ascii="Narkisim" w:hAnsi="Narkisim"/>
          <w:rtl/>
        </w:rPr>
        <w:t>דף צז:</w:t>
      </w:r>
    </w:p>
    <w:p w14:paraId="3D6CA12F" w14:textId="77777777" w:rsidR="006C4368" w:rsidRPr="003D7FC2" w:rsidRDefault="006C4368" w:rsidP="006C4368">
      <w:pPr>
        <w:pStyle w:val="aa"/>
        <w:bidi/>
        <w:rPr>
          <w:rFonts w:ascii="Narkisim" w:hAnsi="Narkisim"/>
        </w:rPr>
      </w:pPr>
      <w:r w:rsidRPr="003D7FC2">
        <w:rPr>
          <w:rFonts w:ascii="Narkisim" w:hAnsi="Narkisim"/>
          <w:u w:val="single"/>
          <w:rtl/>
        </w:rPr>
        <w:t>אח מאב ולא מאם וכו'</w:t>
      </w:r>
      <w:r w:rsidRPr="003D7FC2">
        <w:rPr>
          <w:rFonts w:ascii="Narkisim" w:hAnsi="Narkisim"/>
          <w:rtl/>
        </w:rPr>
        <w:t>. ה</w:t>
      </w:r>
      <w:r w:rsidRPr="003D7FC2">
        <w:rPr>
          <w:rFonts w:ascii="Narkisim" w:hAnsi="Narkisim"/>
          <w:b/>
          <w:bCs/>
          <w:rtl/>
        </w:rPr>
        <w:t>מאירי</w:t>
      </w:r>
      <w:r w:rsidRPr="003D7FC2">
        <w:rPr>
          <w:rFonts w:ascii="Narkisim" w:hAnsi="Narkisim"/>
          <w:rtl/>
        </w:rPr>
        <w:t xml:space="preserve"> ביאר דחז"ל עשו משלים וחידות באיסור ביאות, כדי להפליג בגנותן, שיהיו השומעים נזהרים בכך</w:t>
      </w:r>
      <w:r w:rsidRPr="003D7FC2">
        <w:rPr>
          <w:rStyle w:val="ac"/>
          <w:rFonts w:ascii="Narkisim" w:hAnsi="Narkisim"/>
          <w:rtl/>
        </w:rPr>
        <w:footnoteReference w:id="6282"/>
      </w:r>
      <w:r w:rsidRPr="003D7FC2">
        <w:rPr>
          <w:rFonts w:ascii="Narkisim" w:hAnsi="Narkisim"/>
          <w:rtl/>
        </w:rPr>
        <w:t>.</w:t>
      </w:r>
    </w:p>
    <w:p w14:paraId="0B704A17" w14:textId="77777777" w:rsidR="006C4368" w:rsidRPr="003D7FC2" w:rsidRDefault="006C4368" w:rsidP="006C4368">
      <w:pPr>
        <w:pStyle w:val="aa"/>
        <w:bidi/>
        <w:rPr>
          <w:rFonts w:ascii="Narkisim" w:hAnsi="Narkisim"/>
        </w:rPr>
      </w:pPr>
      <w:r w:rsidRPr="003D7FC2">
        <w:rPr>
          <w:rFonts w:ascii="Narkisim" w:hAnsi="Narkisim"/>
          <w:u w:val="single"/>
          <w:rtl/>
        </w:rPr>
        <w:t>בגמרא בר בעל והוא בעלה דאם</w:t>
      </w:r>
      <w:r w:rsidRPr="003D7FC2">
        <w:rPr>
          <w:rFonts w:ascii="Narkisim" w:hAnsi="Narkisim"/>
          <w:rtl/>
        </w:rPr>
        <w:t>. ה</w:t>
      </w:r>
      <w:r w:rsidRPr="003D7FC2">
        <w:rPr>
          <w:rFonts w:ascii="Narkisim" w:hAnsi="Narkisim"/>
          <w:b/>
          <w:bCs/>
          <w:rtl/>
        </w:rPr>
        <w:t>משנ"ל</w:t>
      </w:r>
      <w:r w:rsidRPr="003D7FC2">
        <w:rPr>
          <w:rFonts w:ascii="Narkisim" w:hAnsi="Narkisim"/>
          <w:rtl/>
        </w:rPr>
        <w:t xml:space="preserve"> (פרשת דרכים דרוש א בסופו, וציינו מלכים ט ה) נסתפק בן נח שייחד לו ערוה [שחייב עליה מיתה], האם נחשב בעולת בעל, ואם חבירו יבא עליה חייבין מיתה. או דאמרי' דל"ש אישות במקום ערוה</w:t>
      </w:r>
      <w:r w:rsidRPr="003D7FC2">
        <w:rPr>
          <w:rStyle w:val="ac"/>
          <w:rFonts w:ascii="Narkisim" w:hAnsi="Narkisim"/>
          <w:rtl/>
        </w:rPr>
        <w:footnoteReference w:id="6283"/>
      </w:r>
      <w:r w:rsidRPr="003D7FC2">
        <w:rPr>
          <w:rFonts w:ascii="Narkisim" w:hAnsi="Narkisim"/>
          <w:rtl/>
        </w:rPr>
        <w:t>. וה</w:t>
      </w:r>
      <w:r w:rsidRPr="003D7FC2">
        <w:rPr>
          <w:rFonts w:ascii="Narkisim" w:hAnsi="Narkisim"/>
          <w:b/>
          <w:bCs/>
          <w:rtl/>
        </w:rPr>
        <w:t>ערול"נ</w:t>
      </w:r>
      <w:r w:rsidRPr="003D7FC2">
        <w:rPr>
          <w:rFonts w:ascii="Narkisim" w:hAnsi="Narkisim"/>
          <w:rtl/>
        </w:rPr>
        <w:t xml:space="preserve"> דייק דמשמע בסוגיין דנחשב אישות.</w:t>
      </w:r>
    </w:p>
    <w:p w14:paraId="6DD708CE" w14:textId="77777777" w:rsidR="006C4368" w:rsidRPr="003D7FC2" w:rsidRDefault="006C4368" w:rsidP="006C4368">
      <w:pPr>
        <w:pStyle w:val="2"/>
        <w:bidi/>
        <w:rPr>
          <w:rFonts w:ascii="Narkisim" w:hAnsi="Narkisim"/>
        </w:rPr>
      </w:pPr>
      <w:r w:rsidRPr="003D7FC2">
        <w:rPr>
          <w:rFonts w:ascii="Narkisim" w:hAnsi="Narkisim"/>
          <w:rtl/>
        </w:rPr>
        <w:t>עריות בגרים</w:t>
      </w:r>
    </w:p>
    <w:p w14:paraId="6D79A65E" w14:textId="77777777" w:rsidR="006C4368" w:rsidRPr="003D7FC2" w:rsidRDefault="006C4368" w:rsidP="006C4368">
      <w:pPr>
        <w:bidi/>
        <w:rPr>
          <w:rFonts w:ascii="Narkisim" w:hAnsi="Narkisim" w:cs="Narkisim"/>
        </w:rPr>
      </w:pPr>
      <w:r w:rsidRPr="003D7FC2">
        <w:rPr>
          <w:rFonts w:ascii="Narkisim" w:hAnsi="Narkisim" w:cs="Narkisim"/>
          <w:u w:val="single"/>
          <w:rtl/>
        </w:rPr>
        <w:t>רש"י ד"ה לא חולצין</w:t>
      </w:r>
      <w:r w:rsidRPr="003D7FC2">
        <w:rPr>
          <w:rFonts w:ascii="Narkisim" w:hAnsi="Narkisim" w:cs="Narkisim"/>
          <w:rtl/>
        </w:rPr>
        <w:t>. גר אין לו שאר האב, דרחמנא אפקרי' וכו'. (וכדאי' בגמ' צח.). ועוד יש טעם דגר שנתגייר כקטן שנולד (וכדאי' בתחילת הגמ').</w:t>
      </w:r>
    </w:p>
    <w:p w14:paraId="6EF054C3" w14:textId="77777777" w:rsidR="006C4368" w:rsidRPr="003D7FC2" w:rsidRDefault="006C4368" w:rsidP="006C4368">
      <w:pPr>
        <w:pStyle w:val="a7"/>
        <w:bidi/>
        <w:rPr>
          <w:rFonts w:ascii="Narkisim" w:hAnsi="Narkisim"/>
        </w:rPr>
      </w:pPr>
      <w:r w:rsidRPr="003D7FC2">
        <w:rPr>
          <w:rFonts w:ascii="Narkisim" w:hAnsi="Narkisim"/>
          <w:rtl/>
        </w:rPr>
        <w:t>ו</w:t>
      </w:r>
      <w:r w:rsidRPr="003D7FC2">
        <w:rPr>
          <w:rFonts w:ascii="Narkisim" w:hAnsi="Narkisim"/>
          <w:b/>
          <w:bCs/>
          <w:rtl/>
        </w:rPr>
        <w:t>רש"י</w:t>
      </w:r>
      <w:r w:rsidRPr="003D7FC2">
        <w:rPr>
          <w:rFonts w:ascii="Narkisim" w:hAnsi="Narkisim"/>
          <w:rtl/>
        </w:rPr>
        <w:t xml:space="preserve"> (צח. ד”ה הא דאמור) כת' דאיצטריך הטעם ד'אין אב למצרי' [דרחמנא אפקריה לזרעיה] משום לידתו בקדושה, דלא אמרי' כקטן שנולד. ועע"ש. אך ברישא דמתני' שנולד נכרי ואח"כ נתגייר יש ב' טעמים</w:t>
      </w:r>
      <w:r w:rsidRPr="003D7FC2">
        <w:rPr>
          <w:rStyle w:val="ac"/>
          <w:rFonts w:ascii="Narkisim" w:hAnsi="Narkisim"/>
          <w:rtl/>
        </w:rPr>
        <w:footnoteReference w:id="6284"/>
      </w:r>
      <w:r w:rsidRPr="003D7FC2">
        <w:rPr>
          <w:rFonts w:ascii="Narkisim" w:hAnsi="Narkisim"/>
          <w:rtl/>
        </w:rPr>
        <w:t>.</w:t>
      </w:r>
    </w:p>
    <w:p w14:paraId="14F0BD58" w14:textId="77777777" w:rsidR="006C4368" w:rsidRPr="003D7FC2" w:rsidRDefault="006C4368" w:rsidP="006C4368">
      <w:pPr>
        <w:bidi/>
        <w:rPr>
          <w:rFonts w:ascii="Narkisim" w:hAnsi="Narkisim" w:cs="Narkisim"/>
        </w:rPr>
      </w:pPr>
      <w:r w:rsidRPr="003D7FC2">
        <w:rPr>
          <w:rFonts w:ascii="Narkisim" w:hAnsi="Narkisim" w:cs="Narkisim"/>
          <w:u w:val="single"/>
          <w:rtl/>
        </w:rPr>
        <w:t>בני יודן אמתא אשתחרור וכו' רב ששת אסר וכו'</w:t>
      </w:r>
      <w:r w:rsidRPr="003D7FC2">
        <w:rPr>
          <w:rFonts w:ascii="Narkisim" w:hAnsi="Narkisim" w:cs="Narkisim"/>
          <w:rtl/>
        </w:rPr>
        <w:t xml:space="preserve">. </w:t>
      </w:r>
      <w:r w:rsidRPr="003D7FC2">
        <w:rPr>
          <w:rFonts w:ascii="Narkisim" w:hAnsi="Narkisim" w:cs="Narkisim"/>
          <w:b/>
          <w:bCs/>
          <w:rtl/>
        </w:rPr>
        <w:t>רש”י</w:t>
      </w:r>
      <w:r w:rsidRPr="003D7FC2">
        <w:rPr>
          <w:rFonts w:ascii="Narkisim" w:hAnsi="Narkisim" w:cs="Narkisim"/>
          <w:rtl/>
        </w:rPr>
        <w:t xml:space="preserve"> (ד"ה מן) פי' הצד לאסור דאתי לאיחלופי בישראל</w:t>
      </w:r>
      <w:r w:rsidRPr="003D7FC2">
        <w:rPr>
          <w:rStyle w:val="ac"/>
          <w:rFonts w:ascii="Narkisim" w:hAnsi="Narkisim" w:cs="Narkisim"/>
          <w:rtl/>
        </w:rPr>
        <w:footnoteReference w:id="6285"/>
      </w:r>
      <w:r w:rsidRPr="003D7FC2">
        <w:rPr>
          <w:rFonts w:ascii="Narkisim" w:hAnsi="Narkisim" w:cs="Narkisim"/>
          <w:rtl/>
        </w:rPr>
        <w:t>.</w:t>
      </w:r>
    </w:p>
    <w:p w14:paraId="729CA039" w14:textId="77777777" w:rsidR="006C4368" w:rsidRPr="003D7FC2" w:rsidRDefault="006C4368" w:rsidP="006C4368">
      <w:pPr>
        <w:pStyle w:val="a7"/>
        <w:bidi/>
        <w:rPr>
          <w:rFonts w:ascii="Narkisim" w:hAnsi="Narkisim"/>
        </w:rPr>
      </w:pPr>
      <w:r w:rsidRPr="003D7FC2">
        <w:rPr>
          <w:rFonts w:ascii="Narkisim" w:hAnsi="Narkisim"/>
          <w:rtl/>
        </w:rPr>
        <w:t>ובגמ' (לעיל כב., וכן בהמשך הסוגיה) אי' דהגזירה דגר אסור בקרובותיו שהיו אסורות בעודו עכו"ם, שמא יאמרו באנו מקדושה חמורה לקדושה קלה. ו</w:t>
      </w:r>
      <w:r w:rsidRPr="003D7FC2">
        <w:rPr>
          <w:rFonts w:ascii="Narkisim" w:hAnsi="Narkisim"/>
          <w:b/>
          <w:bCs/>
          <w:rtl/>
        </w:rPr>
        <w:t>תוס</w:t>
      </w:r>
      <w:r w:rsidRPr="003D7FC2">
        <w:rPr>
          <w:rFonts w:ascii="Narkisim" w:hAnsi="Narkisim"/>
          <w:rtl/>
        </w:rPr>
        <w:t>' (לעיל כב.) כת' דבסוגיין ע"כ לא הוה משום 'שמא יאמרו באנו', דא"כ לא יתכן להקל טפי מן האב ומן האם.</w:t>
      </w:r>
    </w:p>
    <w:p w14:paraId="7DBBA0F1" w14:textId="77777777" w:rsidR="006C4368" w:rsidRPr="003D7FC2" w:rsidRDefault="006C4368" w:rsidP="006C4368">
      <w:pPr>
        <w:pStyle w:val="a8"/>
        <w:bidi/>
        <w:rPr>
          <w:rFonts w:ascii="Narkisim" w:hAnsi="Narkisim"/>
        </w:rPr>
      </w:pPr>
      <w:r w:rsidRPr="003D7FC2">
        <w:rPr>
          <w:rFonts w:ascii="Narkisim" w:hAnsi="Narkisim"/>
          <w:rtl/>
        </w:rPr>
        <w:t>ותוס' כת' דב' הגזירות תרוייהו איתנהו, ואיצטריך טעם דשמא יאמרו בקורבת אב דליכא איחלופי [משום סברת רחמנא אפקריה].</w:t>
      </w:r>
    </w:p>
    <w:p w14:paraId="221A2FAB"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ביאר דבסוגיין ל”ש טעם שמא יאמרו</w:t>
      </w:r>
      <w:r w:rsidRPr="003D7FC2">
        <w:rPr>
          <w:rStyle w:val="ac"/>
          <w:rFonts w:ascii="Narkisim" w:hAnsi="Narkisim"/>
          <w:rtl/>
        </w:rPr>
        <w:footnoteReference w:id="6286"/>
      </w:r>
      <w:r w:rsidRPr="003D7FC2">
        <w:rPr>
          <w:rFonts w:ascii="Narkisim" w:hAnsi="Narkisim"/>
          <w:rtl/>
        </w:rPr>
        <w:t>, דאין איסור קרובות שע"י אישות בעכו"ם</w:t>
      </w:r>
      <w:r w:rsidRPr="003D7FC2">
        <w:rPr>
          <w:rStyle w:val="ac"/>
          <w:rFonts w:ascii="Narkisim" w:hAnsi="Narkisim"/>
          <w:rtl/>
        </w:rPr>
        <w:footnoteReference w:id="6287"/>
      </w:r>
      <w:r w:rsidRPr="003D7FC2">
        <w:rPr>
          <w:rFonts w:ascii="Narkisim" w:hAnsi="Narkisim"/>
          <w:rtl/>
        </w:rPr>
        <w:t xml:space="preserve"> [וע”ע בסמוך]. ועוד כת' דבעבד משוחרר ל"ש גזירה זו, דבעודו עבד אין איסור קרובים כלל (וכדאי' סנהדרין נח:).</w:t>
      </w:r>
    </w:p>
    <w:p w14:paraId="61A37F2C" w14:textId="77777777" w:rsidR="006C4368" w:rsidRPr="003D7FC2" w:rsidRDefault="006C4368" w:rsidP="006C4368">
      <w:pPr>
        <w:bidi/>
        <w:rPr>
          <w:rFonts w:ascii="Narkisim" w:hAnsi="Narkisim" w:cs="Narkisim"/>
        </w:rPr>
      </w:pPr>
      <w:r w:rsidRPr="003D7FC2">
        <w:rPr>
          <w:rFonts w:ascii="Narkisim" w:hAnsi="Narkisim" w:cs="Narkisim"/>
          <w:u w:val="single"/>
          <w:rtl/>
        </w:rPr>
        <w:t>מן האב וכו' שרי</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דקסבר דאין קורבה לגר. ומבואר ברש"י הטעם דל"ש איחלופי, דמידע ידעי דגר אין לו אחוה מהאב.</w:t>
      </w:r>
    </w:p>
    <w:p w14:paraId="5852A2D5" w14:textId="77777777" w:rsidR="006C4368" w:rsidRPr="003D7FC2" w:rsidRDefault="006C4368" w:rsidP="006C4368">
      <w:pPr>
        <w:bidi/>
        <w:rPr>
          <w:rFonts w:ascii="Narkisim" w:hAnsi="Narkisim" w:cs="Narkisim"/>
        </w:rPr>
      </w:pPr>
      <w:r w:rsidRPr="003D7FC2">
        <w:rPr>
          <w:rFonts w:ascii="Narkisim" w:hAnsi="Narkisim" w:cs="Narkisim"/>
          <w:u w:val="single"/>
          <w:rtl/>
        </w:rPr>
        <w:t>ואיכא דאמר פליג רב אחא ב"י אפי' באחין מן האם, ומ"ט גר שנתגייר כקטן שנולד דמי</w:t>
      </w:r>
      <w:r w:rsidRPr="003D7FC2">
        <w:rPr>
          <w:rFonts w:ascii="Narkisim" w:hAnsi="Narkisim" w:cs="Narkisim"/>
          <w:rtl/>
        </w:rPr>
        <w:t>. ה</w:t>
      </w:r>
      <w:r w:rsidRPr="003D7FC2">
        <w:rPr>
          <w:rFonts w:ascii="Narkisim" w:hAnsi="Narkisim" w:cs="Narkisim"/>
          <w:b/>
          <w:bCs/>
          <w:rtl/>
        </w:rPr>
        <w:t>רשב"א</w:t>
      </w:r>
      <w:r w:rsidRPr="003D7FC2">
        <w:rPr>
          <w:rFonts w:ascii="Narkisim" w:hAnsi="Narkisim" w:cs="Narkisim"/>
          <w:rtl/>
        </w:rPr>
        <w:t xml:space="preserve"> ביאר דכו"ע ידעי דכקטן שנולד, ול"ש איחלופי [ופליג על גזירת איחלופי].</w:t>
      </w:r>
    </w:p>
    <w:p w14:paraId="753DBC23" w14:textId="77777777" w:rsidR="006C4368" w:rsidRPr="003D7FC2" w:rsidRDefault="006C4368" w:rsidP="006C4368">
      <w:pPr>
        <w:bidi/>
        <w:rPr>
          <w:rFonts w:ascii="Narkisim" w:hAnsi="Narkisim" w:cs="Narkisim"/>
        </w:rPr>
      </w:pPr>
      <w:r w:rsidRPr="003D7FC2">
        <w:rPr>
          <w:rFonts w:ascii="Narkisim" w:hAnsi="Narkisim" w:cs="Narkisim"/>
          <w:rtl/>
        </w:rPr>
        <w:t>ולפ”ז משמע דהמח' כאן בעיקר גזירת איחלופי [היכא דל"ש גזירת באנו מקדושה חמורה]. אבל בגמ' (צח:) מבואר דאף למ"ד דלא גזרו כלל באשת אח, אפ"ה גזרו בשאר עריות [אף בהנך דהוה משום איחלופי, ולא משום שמא יאמרו]. ו</w:t>
      </w:r>
      <w:r w:rsidRPr="003D7FC2">
        <w:rPr>
          <w:rFonts w:ascii="Narkisim" w:hAnsi="Narkisim" w:cs="Narkisim"/>
          <w:b/>
          <w:bCs/>
          <w:rtl/>
        </w:rPr>
        <w:t>רש"י</w:t>
      </w:r>
      <w:r w:rsidRPr="003D7FC2">
        <w:rPr>
          <w:rFonts w:ascii="Narkisim" w:hAnsi="Narkisim" w:cs="Narkisim"/>
          <w:rtl/>
        </w:rPr>
        <w:t xml:space="preserve"> (צח: ד"ה ומותר) פי' דדוקא </w:t>
      </w:r>
      <w:r w:rsidRPr="003D7FC2">
        <w:rPr>
          <w:rFonts w:ascii="Narkisim" w:hAnsi="Narkisim" w:cs="Narkisim"/>
          <w:rtl/>
        </w:rPr>
        <w:lastRenderedPageBreak/>
        <w:t>בקורבה גזרו רבנן, אבל במידי דאתי ע"י קידושין לא גזרו</w:t>
      </w:r>
      <w:r w:rsidRPr="003D7FC2">
        <w:rPr>
          <w:rStyle w:val="ac"/>
          <w:rFonts w:ascii="Narkisim" w:hAnsi="Narkisim" w:cs="Narkisim"/>
          <w:rtl/>
        </w:rPr>
        <w:footnoteReference w:id="6288"/>
      </w:r>
      <w:r w:rsidRPr="003D7FC2">
        <w:rPr>
          <w:rFonts w:ascii="Narkisim" w:hAnsi="Narkisim" w:cs="Narkisim"/>
          <w:rtl/>
        </w:rPr>
        <w:t>.</w:t>
      </w:r>
    </w:p>
    <w:p w14:paraId="5C678718" w14:textId="77777777" w:rsidR="006C4368" w:rsidRPr="003D7FC2" w:rsidRDefault="006C4368" w:rsidP="006C4368">
      <w:pPr>
        <w:pStyle w:val="aa"/>
        <w:bidi/>
        <w:rPr>
          <w:rFonts w:ascii="Narkisim" w:hAnsi="Narkisim"/>
        </w:rPr>
      </w:pPr>
      <w:r w:rsidRPr="003D7FC2">
        <w:rPr>
          <w:rFonts w:ascii="Narkisim" w:hAnsi="Narkisim"/>
          <w:u w:val="single"/>
          <w:rtl/>
        </w:rPr>
        <w:t>רש"י ד"ה בתר אביו</w:t>
      </w:r>
      <w:r w:rsidRPr="003D7FC2">
        <w:rPr>
          <w:rFonts w:ascii="Narkisim" w:hAnsi="Narkisim"/>
          <w:rtl/>
        </w:rPr>
        <w:t>. דמידע ידעי וכו' דאין אחוה מן האב לגר, דסתם עכו"ם זונה וכו'. [וכס”ד דהגמ' בסמוך]. ואף דהעכו"ם מחזיקין אותם כבנו, ומש"ה קרו להו בני פלניא. מ"מ ידעי דבדיני ישראל מחזקינן ליה דסתמא לאו אביו הוא.</w:t>
      </w:r>
    </w:p>
    <w:p w14:paraId="0AB691A4" w14:textId="77777777" w:rsidR="006C4368" w:rsidRPr="003D7FC2" w:rsidRDefault="006C4368" w:rsidP="006C4368">
      <w:pPr>
        <w:bidi/>
        <w:rPr>
          <w:rFonts w:ascii="Narkisim" w:hAnsi="Narkisim" w:cs="Narkisim"/>
        </w:rPr>
      </w:pPr>
      <w:r w:rsidRPr="003D7FC2">
        <w:rPr>
          <w:rFonts w:ascii="Narkisim" w:hAnsi="Narkisim" w:cs="Narkisim"/>
          <w:u w:val="single"/>
          <w:rtl/>
        </w:rPr>
        <w:t>דאע"ג דראשון הורתו שלא בקדושה ולידתו בקדושה, ושני הורתו ולידתו בקודשה, וכב' אמהות דמי אפ"ה אסירי, אלא אי אמרת שרו וכו'</w:t>
      </w:r>
      <w:r w:rsidRPr="003D7FC2">
        <w:rPr>
          <w:rFonts w:ascii="Narkisim" w:hAnsi="Narkisim" w:cs="Narkisim"/>
          <w:rtl/>
        </w:rPr>
        <w:t>. [ועד"ז לל"ב]. בפשוטו משמע 'שרו' היינו לאחים, ואף דלידתו בקדושה מותרין. ואידך מ"ד אוסר מדרבנן משום איחלופי. וה</w:t>
      </w:r>
      <w:r w:rsidRPr="003D7FC2">
        <w:rPr>
          <w:rFonts w:ascii="Narkisim" w:hAnsi="Narkisim" w:cs="Narkisim"/>
          <w:b/>
          <w:bCs/>
          <w:rtl/>
        </w:rPr>
        <w:t>רש"ש</w:t>
      </w:r>
      <w:r w:rsidRPr="003D7FC2">
        <w:rPr>
          <w:rFonts w:ascii="Narkisim" w:hAnsi="Narkisim" w:cs="Narkisim"/>
          <w:rtl/>
        </w:rPr>
        <w:t xml:space="preserve"> תמה דמבואר בסמוך [לדעת רש"י] דכיון דלידתן בקדושה יש להם שאר מצד האם מדאורייתא</w:t>
      </w:r>
      <w:r w:rsidRPr="003D7FC2">
        <w:rPr>
          <w:rStyle w:val="ac"/>
          <w:rFonts w:ascii="Narkisim" w:hAnsi="Narkisim" w:cs="Narkisim"/>
          <w:rtl/>
        </w:rPr>
        <w:footnoteReference w:id="6289"/>
      </w:r>
      <w:r w:rsidRPr="003D7FC2">
        <w:rPr>
          <w:rFonts w:ascii="Narkisim" w:hAnsi="Narkisim" w:cs="Narkisim"/>
          <w:rtl/>
        </w:rPr>
        <w:t>, וכה"ג חייב משום אשת אח מאמו. וה</w:t>
      </w:r>
      <w:r w:rsidRPr="003D7FC2">
        <w:rPr>
          <w:rFonts w:ascii="Narkisim" w:hAnsi="Narkisim" w:cs="Narkisim"/>
          <w:b/>
          <w:bCs/>
          <w:rtl/>
        </w:rPr>
        <w:t>מהרש"א</w:t>
      </w:r>
      <w:r w:rsidRPr="003D7FC2">
        <w:rPr>
          <w:rFonts w:ascii="Narkisim" w:hAnsi="Narkisim" w:cs="Narkisim"/>
          <w:rtl/>
        </w:rPr>
        <w:t xml:space="preserve"> (בתוס') כת' דמתיישב בתי' התוס', דאפ”ה ס”ד דדמיא לב' אמהות </w:t>
      </w:r>
      <w:r w:rsidRPr="003D7FC2">
        <w:rPr>
          <w:rFonts w:ascii="Narkisim" w:hAnsi="Narkisim" w:cs="Narkisim"/>
          <w:szCs w:val="20"/>
          <w:rtl/>
        </w:rPr>
        <w:t>[וס”ד דמהני הך סברא מדאורייתא</w:t>
      </w:r>
      <w:r w:rsidRPr="003D7FC2">
        <w:rPr>
          <w:rStyle w:val="ac"/>
          <w:rFonts w:ascii="Narkisim" w:hAnsi="Narkisim" w:cs="Narkisim"/>
          <w:szCs w:val="20"/>
          <w:rtl/>
        </w:rPr>
        <w:footnoteReference w:id="6290"/>
      </w:r>
      <w:r w:rsidRPr="003D7FC2">
        <w:rPr>
          <w:rFonts w:ascii="Narkisim" w:hAnsi="Narkisim" w:cs="Narkisim"/>
          <w:szCs w:val="20"/>
          <w:rtl/>
        </w:rPr>
        <w:t>]</w:t>
      </w:r>
      <w:r w:rsidRPr="003D7FC2">
        <w:rPr>
          <w:rFonts w:ascii="Narkisim" w:hAnsi="Narkisim" w:cs="Narkisim"/>
          <w:rtl/>
        </w:rPr>
        <w:t>.</w:t>
      </w:r>
    </w:p>
    <w:p w14:paraId="18FE05F7" w14:textId="77777777" w:rsidR="006C4368" w:rsidRPr="003D7FC2" w:rsidRDefault="006C4368" w:rsidP="006C4368">
      <w:pPr>
        <w:pStyle w:val="a7"/>
        <w:bidi/>
        <w:rPr>
          <w:rFonts w:ascii="Narkisim" w:hAnsi="Narkisim"/>
        </w:rPr>
      </w:pPr>
      <w:r w:rsidRPr="003D7FC2">
        <w:rPr>
          <w:rFonts w:ascii="Narkisim" w:hAnsi="Narkisim"/>
          <w:rtl/>
        </w:rPr>
        <w:t xml:space="preserve">אבל </w:t>
      </w:r>
      <w:r w:rsidRPr="003D7FC2">
        <w:rPr>
          <w:rFonts w:ascii="Narkisim" w:hAnsi="Narkisim"/>
          <w:b/>
          <w:bCs/>
          <w:rtl/>
        </w:rPr>
        <w:t>רש"י</w:t>
      </w:r>
      <w:r w:rsidRPr="003D7FC2">
        <w:rPr>
          <w:rFonts w:ascii="Narkisim" w:hAnsi="Narkisim"/>
          <w:rtl/>
        </w:rPr>
        <w:t xml:space="preserve"> (ד"ה אלא) כת' דכוונת הגמ' דהמשנה קמ"ל דשריא לעלמא</w:t>
      </w:r>
      <w:r w:rsidRPr="003D7FC2">
        <w:rPr>
          <w:rStyle w:val="ac"/>
          <w:rFonts w:ascii="Narkisim" w:hAnsi="Narkisim"/>
          <w:rtl/>
        </w:rPr>
        <w:footnoteReference w:id="6291"/>
      </w:r>
      <w:r w:rsidRPr="003D7FC2">
        <w:rPr>
          <w:rFonts w:ascii="Narkisim" w:hAnsi="Narkisim"/>
          <w:rtl/>
        </w:rPr>
        <w:t>. ובמשנה דידן לא דנו כלל אי מותרין לאחים, והיכא דלידתו בקדושה פשיטא דאסורין [מדאורייתא].</w:t>
      </w:r>
    </w:p>
    <w:p w14:paraId="64378FD9" w14:textId="77777777" w:rsidR="006C4368" w:rsidRPr="003D7FC2" w:rsidRDefault="006C4368" w:rsidP="006C4368">
      <w:pPr>
        <w:pStyle w:val="aa"/>
        <w:bidi/>
        <w:rPr>
          <w:rFonts w:ascii="Narkisim" w:hAnsi="Narkisim"/>
        </w:rPr>
      </w:pPr>
      <w:r w:rsidRPr="003D7FC2">
        <w:rPr>
          <w:rFonts w:ascii="Narkisim" w:hAnsi="Narkisim"/>
          <w:u w:val="single"/>
          <w:rtl/>
        </w:rPr>
        <w:t>תוד"ה והשני</w:t>
      </w:r>
      <w:r w:rsidRPr="003D7FC2">
        <w:rPr>
          <w:rFonts w:ascii="Narkisim" w:hAnsi="Narkisim"/>
          <w:rtl/>
        </w:rPr>
        <w:t>. ול”ל וכו' ואפי' הורתו ולידתו של ראשון שלא בקדושה, דהתם יכול להיות דשרי</w:t>
      </w:r>
      <w:r w:rsidRPr="003D7FC2">
        <w:rPr>
          <w:rStyle w:val="ac"/>
          <w:rFonts w:ascii="Narkisim" w:hAnsi="Narkisim"/>
          <w:rtl/>
        </w:rPr>
        <w:footnoteReference w:id="6292"/>
      </w:r>
      <w:r w:rsidRPr="003D7FC2">
        <w:rPr>
          <w:rFonts w:ascii="Narkisim" w:hAnsi="Narkisim"/>
          <w:rtl/>
        </w:rPr>
        <w:t>. מבואר דתוס' נסתפקו האם גזרו כה”ג אף כלפי האח שנולד בקדושה [לאסור באשת אחיו הגר, משום איחלופי]. או דילמא דהוא ישראל גמור לא גזרו. ועד”ז דנו תוס' (צח:). [ולכאורה משמע דתוס' דנו דהכא דהוה דרך אישות נקטו תוס' טפי להקל].</w:t>
      </w:r>
    </w:p>
    <w:p w14:paraId="42965DBC" w14:textId="77777777" w:rsidR="006C4368" w:rsidRPr="003D7FC2" w:rsidRDefault="006C4368" w:rsidP="006C4368">
      <w:pPr>
        <w:bidi/>
        <w:rPr>
          <w:rFonts w:ascii="Narkisim" w:hAnsi="Narkisim" w:cs="Narkisim"/>
        </w:rPr>
      </w:pPr>
      <w:r w:rsidRPr="003D7FC2">
        <w:rPr>
          <w:rFonts w:ascii="Narkisim" w:hAnsi="Narkisim" w:cs="Narkisim"/>
          <w:u w:val="single"/>
          <w:rtl/>
        </w:rPr>
        <w:t>ת"ש ב' אחים תאומים וכו' היתה הורתן שלא בקדושה ולידתן בקדושה וכו' אבל חייבין משום אשת אח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דאין להם אב, אבל יש להם קורבא מן האם, שהרי היא כישראלית שילדה בנים</w:t>
      </w:r>
      <w:r w:rsidRPr="003D7FC2">
        <w:rPr>
          <w:rStyle w:val="ac"/>
          <w:rFonts w:ascii="Narkisim" w:hAnsi="Narkisim" w:cs="Narkisim"/>
          <w:rtl/>
        </w:rPr>
        <w:footnoteReference w:id="6293"/>
      </w:r>
      <w:r w:rsidRPr="003D7FC2">
        <w:rPr>
          <w:rFonts w:ascii="Narkisim" w:hAnsi="Narkisim" w:cs="Narkisim"/>
          <w:rtl/>
        </w:rPr>
        <w:t>. וחייבין כרת משום אשת אח מן האם. ו</w:t>
      </w:r>
      <w:r w:rsidRPr="003D7FC2">
        <w:rPr>
          <w:rFonts w:ascii="Narkisim" w:hAnsi="Narkisim" w:cs="Narkisim"/>
          <w:b/>
          <w:bCs/>
          <w:rtl/>
        </w:rPr>
        <w:t>רש"י</w:t>
      </w:r>
      <w:r w:rsidRPr="003D7FC2">
        <w:rPr>
          <w:rFonts w:ascii="Narkisim" w:hAnsi="Narkisim" w:cs="Narkisim"/>
          <w:rtl/>
        </w:rPr>
        <w:t xml:space="preserve"> (צח. ד"ה נשא) כת' דאחותו שנולדה אחריו בקדושה יש כרת, דלידת שניהם בקדושה, ואחותו גמורה מן האם הויא כישראלית שילדה בן ובת.</w:t>
      </w:r>
    </w:p>
    <w:p w14:paraId="1D96D056"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ב"י</w:t>
      </w:r>
      <w:r w:rsidRPr="003D7FC2">
        <w:rPr>
          <w:rFonts w:ascii="Narkisim" w:hAnsi="Narkisim"/>
          <w:rtl/>
        </w:rPr>
        <w:t xml:space="preserve"> (יו"ד רסט ד) כת' דהא דאי' דתאומים חייבין מדאורייתא על שאר האם, דתאומים לאו דוקא</w:t>
      </w:r>
      <w:r w:rsidRPr="003D7FC2">
        <w:rPr>
          <w:rStyle w:val="ac"/>
          <w:rFonts w:ascii="Narkisim" w:hAnsi="Narkisim"/>
          <w:rtl/>
        </w:rPr>
        <w:footnoteReference w:id="6294"/>
      </w:r>
      <w:r w:rsidRPr="003D7FC2">
        <w:rPr>
          <w:rFonts w:ascii="Narkisim" w:hAnsi="Narkisim"/>
          <w:rtl/>
        </w:rPr>
        <w:t>, וכיון דלידתו בקדושה יש לו שאר האם [בבנים שנולדו לאמו אח"כ בקדושה].</w:t>
      </w:r>
    </w:p>
    <w:p w14:paraId="3DC34151" w14:textId="77777777" w:rsidR="006C4368" w:rsidRPr="003D7FC2" w:rsidRDefault="006C4368" w:rsidP="006C4368">
      <w:pPr>
        <w:pStyle w:val="a7"/>
        <w:bidi/>
        <w:rPr>
          <w:rFonts w:ascii="Narkisim" w:hAnsi="Narkisim"/>
        </w:rPr>
      </w:pPr>
      <w:r w:rsidRPr="003D7FC2">
        <w:rPr>
          <w:rFonts w:ascii="Narkisim" w:hAnsi="Narkisim"/>
          <w:rtl/>
        </w:rPr>
        <w:t>אבל ה</w:t>
      </w:r>
      <w:r w:rsidRPr="003D7FC2">
        <w:rPr>
          <w:rFonts w:ascii="Narkisim" w:hAnsi="Narkisim"/>
          <w:b/>
          <w:bCs/>
          <w:rtl/>
        </w:rPr>
        <w:t>ש"ך</w:t>
      </w:r>
      <w:r w:rsidRPr="003D7FC2">
        <w:rPr>
          <w:rFonts w:ascii="Narkisim" w:hAnsi="Narkisim"/>
          <w:rtl/>
        </w:rPr>
        <w:t xml:space="preserve"> (שם ו) חלק דמשמעות ה</w:t>
      </w:r>
      <w:r w:rsidRPr="003D7FC2">
        <w:rPr>
          <w:rFonts w:ascii="Narkisim" w:hAnsi="Narkisim"/>
          <w:b/>
          <w:bCs/>
          <w:rtl/>
        </w:rPr>
        <w:t>רמב"ם</w:t>
      </w:r>
      <w:r w:rsidRPr="003D7FC2">
        <w:rPr>
          <w:rFonts w:ascii="Narkisim" w:hAnsi="Narkisim"/>
          <w:rtl/>
        </w:rPr>
        <w:t xml:space="preserve"> (איסו"ב יד יד) וה</w:t>
      </w:r>
      <w:r w:rsidRPr="003D7FC2">
        <w:rPr>
          <w:rFonts w:ascii="Narkisim" w:hAnsi="Narkisim"/>
          <w:b/>
          <w:bCs/>
          <w:rtl/>
        </w:rPr>
        <w:t>שו"ע</w:t>
      </w:r>
      <w:r w:rsidRPr="003D7FC2">
        <w:rPr>
          <w:rFonts w:ascii="Narkisim" w:hAnsi="Narkisim"/>
          <w:rtl/>
        </w:rPr>
        <w:t xml:space="preserve"> דדוקא תאומים. </w:t>
      </w:r>
      <w:r w:rsidRPr="003D7FC2">
        <w:rPr>
          <w:rFonts w:ascii="Narkisim" w:hAnsi="Narkisim"/>
          <w:szCs w:val="20"/>
          <w:rtl/>
        </w:rPr>
        <w:t>וה</w:t>
      </w:r>
      <w:r w:rsidRPr="003D7FC2">
        <w:rPr>
          <w:rFonts w:ascii="Narkisim" w:hAnsi="Narkisim"/>
          <w:b/>
          <w:bCs/>
          <w:szCs w:val="20"/>
          <w:rtl/>
        </w:rPr>
        <w:t>דגול מרבבה</w:t>
      </w:r>
      <w:r w:rsidRPr="003D7FC2">
        <w:rPr>
          <w:rFonts w:ascii="Narkisim" w:hAnsi="Narkisim"/>
          <w:szCs w:val="20"/>
          <w:rtl/>
        </w:rPr>
        <w:t xml:space="preserve"> (וכן בנוב"י ק אה"ע כג) כתב דאף הרמב"ם ושו"ע נקטו תאומים לאו דוקא. והביא דכ"כ </w:t>
      </w:r>
      <w:r w:rsidRPr="003D7FC2">
        <w:rPr>
          <w:rFonts w:ascii="Narkisim" w:hAnsi="Narkisim"/>
          <w:b/>
          <w:bCs/>
          <w:szCs w:val="20"/>
          <w:rtl/>
        </w:rPr>
        <w:t>רש"י</w:t>
      </w:r>
      <w:r w:rsidRPr="003D7FC2">
        <w:rPr>
          <w:rFonts w:ascii="Narkisim" w:hAnsi="Narkisim"/>
          <w:szCs w:val="20"/>
          <w:rtl/>
        </w:rPr>
        <w:t xml:space="preserve"> (הנ"ל)</w:t>
      </w:r>
      <w:r w:rsidRPr="003D7FC2">
        <w:rPr>
          <w:rFonts w:ascii="Narkisim" w:hAnsi="Narkisim"/>
          <w:rtl/>
        </w:rPr>
        <w:t>.</w:t>
      </w:r>
    </w:p>
    <w:p w14:paraId="06ADA49C" w14:textId="77777777" w:rsidR="006C4368" w:rsidRPr="003D7FC2" w:rsidRDefault="006C4368" w:rsidP="006C4368">
      <w:pPr>
        <w:pStyle w:val="a8"/>
        <w:bidi/>
        <w:rPr>
          <w:rFonts w:ascii="Narkisim" w:hAnsi="Narkisim"/>
        </w:rPr>
      </w:pPr>
      <w:r w:rsidRPr="003D7FC2">
        <w:rPr>
          <w:rFonts w:ascii="Narkisim" w:hAnsi="Narkisim"/>
          <w:rtl/>
        </w:rPr>
        <w:t>ומבואר מדברי רש"י דקורבא לאמו נקבע בשעת לידה</w:t>
      </w:r>
      <w:r w:rsidRPr="003D7FC2">
        <w:rPr>
          <w:rStyle w:val="ac"/>
          <w:rFonts w:ascii="Narkisim" w:hAnsi="Narkisim"/>
          <w:rtl/>
        </w:rPr>
        <w:footnoteReference w:id="6295"/>
      </w:r>
      <w:r w:rsidRPr="003D7FC2">
        <w:rPr>
          <w:rFonts w:ascii="Narkisim" w:hAnsi="Narkisim"/>
          <w:rtl/>
        </w:rPr>
        <w:t>. אבל לדעת הש"ך אף הקורבא לאם תלי בשעת הריון, ושאני תאומים שיש גדר קורבא מחודשת. וה</w:t>
      </w:r>
      <w:r w:rsidRPr="003D7FC2">
        <w:rPr>
          <w:rFonts w:ascii="Narkisim" w:hAnsi="Narkisim"/>
          <w:b/>
          <w:bCs/>
          <w:rtl/>
        </w:rPr>
        <w:t>גר"ח</w:t>
      </w:r>
      <w:r w:rsidRPr="003D7FC2">
        <w:rPr>
          <w:rFonts w:ascii="Narkisim" w:hAnsi="Narkisim"/>
          <w:rtl/>
        </w:rPr>
        <w:t xml:space="preserve"> (סטנסל לעיל עח.) הק' דלמ"ד עובר לאו ירך אמו מבואר (לעיל עח.) דנחשב גירות על העובר לעצמו, א"כ מעוברת שנתגיירה אמאי יש להם שאר האם. [ולכאורה כוונתו להק' דהוה גירות על כל עובר בפנ"ע, ולדברי הש"ך</w:t>
      </w:r>
      <w:r w:rsidRPr="003D7FC2">
        <w:rPr>
          <w:rStyle w:val="ac"/>
          <w:rFonts w:ascii="Narkisim" w:hAnsi="Narkisim"/>
          <w:rtl/>
        </w:rPr>
        <w:footnoteReference w:id="6296"/>
      </w:r>
      <w:r w:rsidRPr="003D7FC2">
        <w:rPr>
          <w:rFonts w:ascii="Narkisim" w:hAnsi="Narkisim"/>
          <w:rtl/>
        </w:rPr>
        <w:t xml:space="preserve"> מהיכן יש קורבא</w:t>
      </w:r>
      <w:r w:rsidRPr="003D7FC2">
        <w:rPr>
          <w:rStyle w:val="ac"/>
          <w:rFonts w:ascii="Narkisim" w:hAnsi="Narkisim"/>
          <w:rtl/>
        </w:rPr>
        <w:footnoteReference w:id="6297"/>
      </w:r>
      <w:r w:rsidRPr="003D7FC2">
        <w:rPr>
          <w:rFonts w:ascii="Narkisim" w:hAnsi="Narkisim"/>
          <w:rtl/>
        </w:rPr>
        <w:t xml:space="preserve">]. ותי' דאף להך מ"ד גירות אמו הוה </w:t>
      </w:r>
      <w:r w:rsidRPr="003D7FC2">
        <w:rPr>
          <w:rFonts w:ascii="Narkisim" w:hAnsi="Narkisim"/>
          <w:rtl/>
        </w:rPr>
        <w:lastRenderedPageBreak/>
        <w:t>בעד העובר</w:t>
      </w:r>
      <w:r w:rsidRPr="003D7FC2">
        <w:rPr>
          <w:rStyle w:val="ac"/>
          <w:rFonts w:ascii="Narkisim" w:hAnsi="Narkisim"/>
          <w:rtl/>
        </w:rPr>
        <w:footnoteReference w:id="6298"/>
      </w:r>
      <w:r w:rsidRPr="003D7FC2">
        <w:rPr>
          <w:rFonts w:ascii="Narkisim" w:hAnsi="Narkisim"/>
          <w:rtl/>
        </w:rPr>
        <w:t>, אלא דלמ"ד לאו ירך אמו צריך מעשה טבילה לעצמו.</w:t>
      </w:r>
    </w:p>
    <w:p w14:paraId="4E90A287" w14:textId="77777777" w:rsidR="006C4368" w:rsidRPr="003D7FC2" w:rsidRDefault="006C4368" w:rsidP="006C4368">
      <w:pPr>
        <w:pStyle w:val="aa"/>
        <w:bidi/>
        <w:rPr>
          <w:rFonts w:ascii="Narkisim" w:hAnsi="Narkisim"/>
        </w:rPr>
      </w:pPr>
      <w:r w:rsidRPr="003D7FC2">
        <w:rPr>
          <w:rFonts w:ascii="Narkisim" w:hAnsi="Narkisim"/>
          <w:rtl/>
        </w:rPr>
        <w:t>ו</w:t>
      </w:r>
      <w:r w:rsidRPr="003D7FC2">
        <w:rPr>
          <w:rFonts w:ascii="Narkisim" w:hAnsi="Narkisim"/>
          <w:b/>
          <w:bCs/>
          <w:rtl/>
        </w:rPr>
        <w:t>תוס'</w:t>
      </w:r>
      <w:r w:rsidRPr="003D7FC2">
        <w:rPr>
          <w:rFonts w:ascii="Narkisim" w:hAnsi="Narkisim"/>
          <w:rtl/>
        </w:rPr>
        <w:t xml:space="preserve"> (כתובות יא. וסנהדרין סח:) כת' דמעוברת שנתגיירה יורש את אמו</w:t>
      </w:r>
      <w:r w:rsidRPr="003D7FC2">
        <w:rPr>
          <w:rStyle w:val="ac"/>
          <w:rFonts w:ascii="Narkisim" w:hAnsi="Narkisim"/>
          <w:rtl/>
        </w:rPr>
        <w:footnoteReference w:id="6299"/>
      </w:r>
      <w:r w:rsidRPr="003D7FC2">
        <w:rPr>
          <w:rFonts w:ascii="Narkisim" w:hAnsi="Narkisim"/>
          <w:rtl/>
        </w:rPr>
        <w:t>. [וה</w:t>
      </w:r>
      <w:r w:rsidRPr="003D7FC2">
        <w:rPr>
          <w:rFonts w:ascii="Narkisim" w:hAnsi="Narkisim"/>
          <w:b/>
          <w:bCs/>
          <w:rtl/>
        </w:rPr>
        <w:t>רש"ש</w:t>
      </w:r>
      <w:r w:rsidRPr="003D7FC2">
        <w:rPr>
          <w:rFonts w:ascii="Narkisim" w:hAnsi="Narkisim"/>
          <w:rtl/>
        </w:rPr>
        <w:t xml:space="preserve"> (שם) כת' דמקור התוס' מסוגיין</w:t>
      </w:r>
      <w:r w:rsidRPr="003D7FC2">
        <w:rPr>
          <w:rStyle w:val="ac"/>
          <w:rFonts w:ascii="Narkisim" w:hAnsi="Narkisim"/>
          <w:rtl/>
        </w:rPr>
        <w:footnoteReference w:id="6300"/>
      </w:r>
      <w:r w:rsidRPr="003D7FC2">
        <w:rPr>
          <w:rFonts w:ascii="Narkisim" w:hAnsi="Narkisim"/>
          <w:rtl/>
        </w:rPr>
        <w:t>, דקורבא לאמו תלי בלידה</w:t>
      </w:r>
      <w:r w:rsidRPr="003D7FC2">
        <w:rPr>
          <w:rStyle w:val="ac"/>
          <w:rFonts w:ascii="Narkisim" w:hAnsi="Narkisim"/>
          <w:rtl/>
        </w:rPr>
        <w:footnoteReference w:id="6301"/>
      </w:r>
      <w:r w:rsidRPr="003D7FC2">
        <w:rPr>
          <w:rFonts w:ascii="Narkisim" w:hAnsi="Narkisim"/>
          <w:rtl/>
        </w:rPr>
        <w:t>]. וה</w:t>
      </w:r>
      <w:r w:rsidRPr="003D7FC2">
        <w:rPr>
          <w:rFonts w:ascii="Narkisim" w:hAnsi="Narkisim"/>
          <w:b/>
          <w:bCs/>
          <w:rtl/>
        </w:rPr>
        <w:t>רש"ש</w:t>
      </w:r>
      <w:r w:rsidRPr="003D7FC2">
        <w:rPr>
          <w:rFonts w:ascii="Narkisim" w:hAnsi="Narkisim"/>
          <w:rtl/>
        </w:rPr>
        <w:t xml:space="preserve"> העיר דה</w:t>
      </w:r>
      <w:r w:rsidRPr="003D7FC2">
        <w:rPr>
          <w:rFonts w:ascii="Narkisim" w:hAnsi="Narkisim"/>
          <w:b/>
          <w:bCs/>
          <w:rtl/>
        </w:rPr>
        <w:t>פוסקים</w:t>
      </w:r>
      <w:r w:rsidRPr="003D7FC2">
        <w:rPr>
          <w:rFonts w:ascii="Narkisim" w:hAnsi="Narkisim"/>
          <w:rtl/>
        </w:rPr>
        <w:t xml:space="preserve"> לא הביאו דין זה.</w:t>
      </w:r>
    </w:p>
    <w:p w14:paraId="1DB7F52E" w14:textId="77777777" w:rsidR="006C4368" w:rsidRPr="003D7FC2" w:rsidRDefault="006C4368" w:rsidP="006C4368">
      <w:pPr>
        <w:pStyle w:val="aa"/>
        <w:bidi/>
        <w:rPr>
          <w:rFonts w:ascii="Narkisim" w:hAnsi="Narkisim"/>
        </w:rPr>
      </w:pPr>
      <w:r w:rsidRPr="003D7FC2">
        <w:rPr>
          <w:rFonts w:ascii="Narkisim" w:hAnsi="Narkisim"/>
          <w:rtl/>
        </w:rPr>
        <w:t>וה</w:t>
      </w:r>
      <w:r w:rsidRPr="003D7FC2">
        <w:rPr>
          <w:rFonts w:ascii="Narkisim" w:hAnsi="Narkisim"/>
          <w:b/>
          <w:bCs/>
          <w:rtl/>
        </w:rPr>
        <w:t>ב"י</w:t>
      </w:r>
      <w:r w:rsidRPr="003D7FC2">
        <w:rPr>
          <w:rFonts w:ascii="Narkisim" w:hAnsi="Narkisim"/>
          <w:rtl/>
        </w:rPr>
        <w:t xml:space="preserve"> (חו"מ לג יא) נסתפק בתאומים שהורתם שלא בקדושה ולידתם בקדושה האם פסולים להעיד זל"ז. וה</w:t>
      </w:r>
      <w:r w:rsidRPr="003D7FC2">
        <w:rPr>
          <w:rFonts w:ascii="Narkisim" w:hAnsi="Narkisim"/>
          <w:b/>
          <w:bCs/>
          <w:rtl/>
        </w:rPr>
        <w:t>ש"ך</w:t>
      </w:r>
      <w:r w:rsidRPr="003D7FC2">
        <w:rPr>
          <w:rFonts w:ascii="Narkisim" w:hAnsi="Narkisim"/>
          <w:rtl/>
        </w:rPr>
        <w:t xml:space="preserve"> (שם ז) כת' דכיון דמבואר בסוגיין דהוה ערוה מדאורייתא, א"כ פשוט דפסולים לעדות</w:t>
      </w:r>
      <w:r w:rsidRPr="003D7FC2">
        <w:rPr>
          <w:rStyle w:val="ac"/>
          <w:rFonts w:ascii="Narkisim" w:hAnsi="Narkisim"/>
          <w:rtl/>
        </w:rPr>
        <w:footnoteReference w:id="6302"/>
      </w:r>
      <w:r w:rsidRPr="003D7FC2">
        <w:rPr>
          <w:rFonts w:ascii="Narkisim" w:hAnsi="Narkisim"/>
          <w:rtl/>
        </w:rPr>
        <w:t>.</w:t>
      </w:r>
    </w:p>
    <w:p w14:paraId="35459AE9" w14:textId="77777777" w:rsidR="006C4368" w:rsidRPr="003D7FC2" w:rsidRDefault="006C4368" w:rsidP="006C4368">
      <w:pPr>
        <w:bidi/>
        <w:rPr>
          <w:rFonts w:ascii="Narkisim" w:hAnsi="Narkisim" w:cs="Narkisim"/>
        </w:rPr>
      </w:pPr>
      <w:r w:rsidRPr="003D7FC2">
        <w:rPr>
          <w:rFonts w:ascii="Narkisim" w:hAnsi="Narkisim" w:cs="Narkisim"/>
          <w:u w:val="single"/>
          <w:rtl/>
        </w:rPr>
        <w:t>שם. ולידתן בקדושה</w:t>
      </w:r>
      <w:r w:rsidRPr="003D7FC2">
        <w:rPr>
          <w:rFonts w:ascii="Narkisim" w:hAnsi="Narkisim" w:cs="Narkisim"/>
          <w:rtl/>
        </w:rPr>
        <w:t>. היינו מעוברת שנתגיירה</w:t>
      </w:r>
      <w:r w:rsidRPr="003D7FC2">
        <w:rPr>
          <w:rStyle w:val="ac"/>
          <w:rFonts w:ascii="Narkisim" w:hAnsi="Narkisim" w:cs="Narkisim"/>
          <w:rtl/>
        </w:rPr>
        <w:footnoteReference w:id="6303"/>
      </w:r>
      <w:r w:rsidRPr="003D7FC2">
        <w:rPr>
          <w:rFonts w:ascii="Narkisim" w:hAnsi="Narkisim" w:cs="Narkisim"/>
          <w:rtl/>
        </w:rPr>
        <w:t>, ובגמ' (לעיל עח.) מבואר דמהני הגירות לעובר אף למ”ד עובר לאו ירך אמו, דהיינו רביתיה [ומש"ה לא נחשב חציצה]. ו</w:t>
      </w:r>
      <w:r w:rsidRPr="003D7FC2">
        <w:rPr>
          <w:rFonts w:ascii="Narkisim" w:hAnsi="Narkisim" w:cs="Narkisim"/>
          <w:b/>
          <w:bCs/>
          <w:rtl/>
        </w:rPr>
        <w:t>תוס</w:t>
      </w:r>
      <w:r w:rsidRPr="003D7FC2">
        <w:rPr>
          <w:rFonts w:ascii="Narkisim" w:hAnsi="Narkisim" w:cs="Narkisim"/>
          <w:rtl/>
        </w:rPr>
        <w:t>' וה</w:t>
      </w:r>
      <w:r w:rsidRPr="003D7FC2">
        <w:rPr>
          <w:rFonts w:ascii="Narkisim" w:hAnsi="Narkisim" w:cs="Narkisim"/>
          <w:b/>
          <w:bCs/>
          <w:rtl/>
        </w:rPr>
        <w:t>ראשונים</w:t>
      </w:r>
      <w:r w:rsidRPr="003D7FC2">
        <w:rPr>
          <w:rFonts w:ascii="Narkisim" w:hAnsi="Narkisim" w:cs="Narkisim"/>
          <w:rtl/>
        </w:rPr>
        <w:t xml:space="preserve"> (לעיל מז: ד”ה מטבילין) דנו דמ”מ צריך מילה לגירות. וה</w:t>
      </w:r>
      <w:r w:rsidRPr="003D7FC2">
        <w:rPr>
          <w:rFonts w:ascii="Narkisim" w:hAnsi="Narkisim" w:cs="Narkisim"/>
          <w:b/>
          <w:bCs/>
          <w:rtl/>
        </w:rPr>
        <w:t>רמב”ן</w:t>
      </w:r>
      <w:r w:rsidRPr="003D7FC2">
        <w:rPr>
          <w:rFonts w:ascii="Narkisim" w:hAnsi="Narkisim" w:cs="Narkisim"/>
          <w:rtl/>
        </w:rPr>
        <w:t xml:space="preserve"> (שם) תי' דמהני טבילה ואח"כ מילה</w:t>
      </w:r>
      <w:r w:rsidRPr="003D7FC2">
        <w:rPr>
          <w:rStyle w:val="ac"/>
          <w:rFonts w:ascii="Narkisim" w:hAnsi="Narkisim" w:cs="Narkisim"/>
          <w:rtl/>
        </w:rPr>
        <w:footnoteReference w:id="6304"/>
      </w:r>
      <w:r w:rsidRPr="003D7FC2">
        <w:rPr>
          <w:rFonts w:ascii="Narkisim" w:hAnsi="Narkisim" w:cs="Narkisim"/>
          <w:rtl/>
        </w:rPr>
        <w:t xml:space="preserve"> [והושלם הגירות ע"י המילה</w:t>
      </w:r>
      <w:r w:rsidRPr="003D7FC2">
        <w:rPr>
          <w:rStyle w:val="ac"/>
          <w:rFonts w:ascii="Narkisim" w:hAnsi="Narkisim" w:cs="Narkisim"/>
          <w:rtl/>
        </w:rPr>
        <w:footnoteReference w:id="6305"/>
      </w:r>
      <w:r w:rsidRPr="003D7FC2">
        <w:rPr>
          <w:rFonts w:ascii="Narkisim" w:hAnsi="Narkisim" w:cs="Narkisim"/>
          <w:rtl/>
        </w:rPr>
        <w:t>].</w:t>
      </w:r>
    </w:p>
    <w:p w14:paraId="4A54B522"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רש"ש</w:t>
      </w:r>
      <w:r w:rsidRPr="003D7FC2">
        <w:rPr>
          <w:rFonts w:ascii="Narkisim" w:hAnsi="Narkisim"/>
          <w:rtl/>
        </w:rPr>
        <w:t xml:space="preserve"> (כתובות יא. וכן הקובה"ע עג יב בשם הגר"ח, אחיעזר ב כט, זכר יצחק א ד) הק' א"כ אמאי יש להם שאר האם, דבשעת לידה עדיין לא הושלם הגירות עד שימול</w:t>
      </w:r>
      <w:r w:rsidRPr="003D7FC2">
        <w:rPr>
          <w:rStyle w:val="ac"/>
          <w:rFonts w:ascii="Narkisim" w:hAnsi="Narkisim"/>
          <w:rtl/>
        </w:rPr>
        <w:footnoteReference w:id="6306"/>
      </w:r>
      <w:r w:rsidRPr="003D7FC2">
        <w:rPr>
          <w:rFonts w:ascii="Narkisim" w:hAnsi="Narkisim"/>
          <w:rtl/>
        </w:rPr>
        <w:t xml:space="preserve">. </w:t>
      </w:r>
      <w:r w:rsidRPr="003D7FC2">
        <w:rPr>
          <w:rFonts w:ascii="Narkisim" w:hAnsi="Narkisim"/>
          <w:szCs w:val="20"/>
          <w:rtl/>
        </w:rPr>
        <w:t>ו</w:t>
      </w:r>
      <w:r w:rsidRPr="003D7FC2">
        <w:rPr>
          <w:rFonts w:ascii="Narkisim" w:hAnsi="Narkisim"/>
          <w:b/>
          <w:bCs/>
          <w:szCs w:val="20"/>
          <w:rtl/>
        </w:rPr>
        <w:t>רע"א</w:t>
      </w:r>
      <w:r w:rsidRPr="003D7FC2">
        <w:rPr>
          <w:rFonts w:ascii="Narkisim" w:hAnsi="Narkisim"/>
          <w:szCs w:val="20"/>
          <w:rtl/>
        </w:rPr>
        <w:t xml:space="preserve"> (בחי' לעיל מה.) כת' די"ל דהך ברייתא ס"ל דעובר ירך אמו</w:t>
      </w:r>
      <w:r w:rsidRPr="003D7FC2">
        <w:rPr>
          <w:rStyle w:val="ac"/>
          <w:rFonts w:ascii="Narkisim" w:hAnsi="Narkisim"/>
          <w:szCs w:val="20"/>
          <w:rtl/>
        </w:rPr>
        <w:footnoteReference w:id="6307"/>
      </w:r>
      <w:r w:rsidRPr="003D7FC2">
        <w:rPr>
          <w:rFonts w:ascii="Narkisim" w:hAnsi="Narkisim"/>
          <w:szCs w:val="20"/>
          <w:rtl/>
        </w:rPr>
        <w:t>. [ולכאורה להך מ”ד מהני גירות דאמו, ול"צ מילה</w:t>
      </w:r>
      <w:r w:rsidRPr="003D7FC2">
        <w:rPr>
          <w:rStyle w:val="ac"/>
          <w:rFonts w:ascii="Narkisim" w:hAnsi="Narkisim"/>
          <w:szCs w:val="20"/>
          <w:rtl/>
        </w:rPr>
        <w:footnoteReference w:id="6308"/>
      </w:r>
      <w:r w:rsidRPr="003D7FC2">
        <w:rPr>
          <w:rFonts w:ascii="Narkisim" w:hAnsi="Narkisim"/>
          <w:szCs w:val="20"/>
          <w:rtl/>
        </w:rPr>
        <w:t>]</w:t>
      </w:r>
      <w:r w:rsidRPr="003D7FC2">
        <w:rPr>
          <w:rFonts w:ascii="Narkisim" w:hAnsi="Narkisim"/>
          <w:rtl/>
        </w:rPr>
        <w:t>.</w:t>
      </w:r>
    </w:p>
    <w:p w14:paraId="2EB5C70C"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w:t>
      </w:r>
      <w:r w:rsidRPr="003D7FC2">
        <w:rPr>
          <w:rFonts w:ascii="Narkisim" w:hAnsi="Narkisim"/>
          <w:szCs w:val="20"/>
          <w:rtl/>
        </w:rPr>
        <w:t>(קה"י לו, ויסוד הדבר בגרנ"ט כתובות כח)</w:t>
      </w:r>
      <w:r w:rsidRPr="003D7FC2">
        <w:rPr>
          <w:rFonts w:ascii="Narkisim" w:hAnsi="Narkisim"/>
          <w:rtl/>
        </w:rPr>
        <w:t xml:space="preserve"> תי' דאף שלא הושלם הגירות יש לו קורבא לאמו, שנולד מישראלית. ויש לולד משפחת ישראל, ואף דלענין קדושת ישראל צריך גירות דידיה ע”י המילה</w:t>
      </w:r>
      <w:r w:rsidRPr="003D7FC2">
        <w:rPr>
          <w:rStyle w:val="ac"/>
          <w:rFonts w:ascii="Narkisim" w:hAnsi="Narkisim"/>
          <w:rtl/>
        </w:rPr>
        <w:footnoteReference w:id="6309"/>
      </w:r>
      <w:r w:rsidRPr="003D7FC2">
        <w:rPr>
          <w:rFonts w:ascii="Narkisim" w:hAnsi="Narkisim"/>
          <w:rtl/>
        </w:rPr>
        <w:t>.</w:t>
      </w:r>
    </w:p>
    <w:p w14:paraId="0EA1EE34" w14:textId="77777777" w:rsidR="006C4368" w:rsidRPr="003D7FC2" w:rsidRDefault="006C4368" w:rsidP="006C4368">
      <w:pPr>
        <w:pStyle w:val="3"/>
        <w:bidi/>
        <w:rPr>
          <w:rFonts w:ascii="Narkisim" w:hAnsi="Narkisim"/>
        </w:rPr>
      </w:pPr>
      <w:r w:rsidRPr="003D7FC2">
        <w:rPr>
          <w:rFonts w:ascii="Narkisim" w:hAnsi="Narkisim"/>
          <w:rtl/>
        </w:rPr>
        <w:t>דף צח.</w:t>
      </w:r>
    </w:p>
    <w:p w14:paraId="753C085F" w14:textId="77777777" w:rsidR="006C4368" w:rsidRPr="003D7FC2" w:rsidRDefault="006C4368" w:rsidP="006C4368">
      <w:pPr>
        <w:bidi/>
        <w:rPr>
          <w:rFonts w:ascii="Narkisim" w:hAnsi="Narkisim" w:cs="Narkisim"/>
        </w:rPr>
      </w:pPr>
      <w:r w:rsidRPr="003D7FC2">
        <w:rPr>
          <w:rFonts w:ascii="Narkisim" w:hAnsi="Narkisim" w:cs="Narkisim"/>
          <w:u w:val="single"/>
          <w:rtl/>
        </w:rPr>
        <w:t>אין אב למצרי וכו' ש"מ אפקורי אפקריה רחמנא לזרעיה, דכתיב וכו'</w:t>
      </w:r>
      <w:r w:rsidRPr="003D7FC2">
        <w:rPr>
          <w:rFonts w:ascii="Narkisim" w:hAnsi="Narkisim" w:cs="Narkisim"/>
          <w:rtl/>
        </w:rPr>
        <w:t xml:space="preserve">. </w:t>
      </w:r>
      <w:r w:rsidRPr="003D7FC2">
        <w:rPr>
          <w:rFonts w:ascii="Narkisim" w:hAnsi="Narkisim" w:cs="Narkisim"/>
          <w:b/>
          <w:bCs/>
          <w:rtl/>
        </w:rPr>
        <w:t>רש"י</w:t>
      </w:r>
      <w:r w:rsidRPr="003D7FC2">
        <w:rPr>
          <w:rFonts w:ascii="Narkisim" w:hAnsi="Narkisim" w:cs="Narkisim"/>
          <w:rtl/>
        </w:rPr>
        <w:t xml:space="preserve"> (בכורות מו.) </w:t>
      </w:r>
      <w:r w:rsidRPr="003D7FC2">
        <w:rPr>
          <w:rFonts w:ascii="Narkisim" w:hAnsi="Narkisim" w:cs="Narkisim"/>
          <w:rtl/>
        </w:rPr>
        <w:lastRenderedPageBreak/>
        <w:t>נקט טעם זה אף לענין ירושה</w:t>
      </w:r>
      <w:r w:rsidRPr="003D7FC2">
        <w:rPr>
          <w:rStyle w:val="ac"/>
          <w:rFonts w:ascii="Narkisim" w:hAnsi="Narkisim" w:cs="Narkisim"/>
          <w:rtl/>
        </w:rPr>
        <w:footnoteReference w:id="6310"/>
      </w:r>
      <w:r w:rsidRPr="003D7FC2">
        <w:rPr>
          <w:rFonts w:ascii="Narkisim" w:hAnsi="Narkisim" w:cs="Narkisim"/>
          <w:rtl/>
        </w:rPr>
        <w:t>. ו</w:t>
      </w:r>
      <w:r w:rsidRPr="003D7FC2">
        <w:rPr>
          <w:rFonts w:ascii="Narkisim" w:hAnsi="Narkisim" w:cs="Narkisim"/>
          <w:b/>
          <w:bCs/>
          <w:rtl/>
        </w:rPr>
        <w:t>תוס'</w:t>
      </w:r>
      <w:r w:rsidRPr="003D7FC2">
        <w:rPr>
          <w:rFonts w:ascii="Narkisim" w:hAnsi="Narkisim" w:cs="Narkisim"/>
          <w:rtl/>
        </w:rPr>
        <w:t xml:space="preserve"> (בכורות מו.) חלקו דבלאו הכי לאו בר נחלה, משום דגר שנתגייר כקטן שנולד. ואינו חשוב אביו</w:t>
      </w:r>
      <w:r w:rsidRPr="003D7FC2">
        <w:rPr>
          <w:rStyle w:val="ac"/>
          <w:rFonts w:ascii="Narkisim" w:hAnsi="Narkisim" w:cs="Narkisim"/>
          <w:rtl/>
        </w:rPr>
        <w:footnoteReference w:id="6311"/>
      </w:r>
      <w:r w:rsidRPr="003D7FC2">
        <w:rPr>
          <w:rFonts w:ascii="Narkisim" w:hAnsi="Narkisim" w:cs="Narkisim"/>
          <w:rtl/>
        </w:rPr>
        <w:t>.</w:t>
      </w:r>
    </w:p>
    <w:p w14:paraId="1B1A094B" w14:textId="77777777" w:rsidR="006C4368" w:rsidRPr="003D7FC2" w:rsidRDefault="006C4368" w:rsidP="006C4368">
      <w:pPr>
        <w:pStyle w:val="a7"/>
        <w:bidi/>
        <w:rPr>
          <w:rFonts w:ascii="Narkisim" w:hAnsi="Narkisim"/>
        </w:rPr>
      </w:pPr>
      <w:r w:rsidRPr="003D7FC2">
        <w:rPr>
          <w:rFonts w:ascii="Narkisim" w:hAnsi="Narkisim"/>
          <w:rtl/>
        </w:rPr>
        <w:t>ותוס' כת' דאע"ג דעכו"ם יורש את אביו (כדאי' קידושין יח.), ובעודו מצרי חשוב אביו גבי נחלה ולא אמרי' רחמנא אפקריה לענין זה לזרעיה, אפ"ה גר שנתגייר כקטן שנולד דמי. ומשמע דכוונת התוס' לחלוק דלענין ירושה ל"ש רחמנא אפקריה</w:t>
      </w:r>
      <w:r w:rsidRPr="003D7FC2">
        <w:rPr>
          <w:rStyle w:val="ac"/>
          <w:rFonts w:ascii="Narkisim" w:hAnsi="Narkisim"/>
          <w:rtl/>
        </w:rPr>
        <w:footnoteReference w:id="6312"/>
      </w:r>
      <w:r w:rsidRPr="003D7FC2">
        <w:rPr>
          <w:rFonts w:ascii="Narkisim" w:hAnsi="Narkisim"/>
          <w:rtl/>
        </w:rPr>
        <w:t xml:space="preserve">. </w:t>
      </w:r>
      <w:r w:rsidRPr="003D7FC2">
        <w:rPr>
          <w:rFonts w:ascii="Narkisim" w:hAnsi="Narkisim"/>
          <w:szCs w:val="20"/>
          <w:rtl/>
        </w:rPr>
        <w:t>[ותוס' הביאו 'ומיהו' דבסוגיין מבואר דצריך סברת זרמת סוסים, ותוס' דחו. ע' בסמוך]</w:t>
      </w:r>
      <w:r w:rsidRPr="003D7FC2">
        <w:rPr>
          <w:rFonts w:ascii="Narkisim" w:hAnsi="Narkisim"/>
          <w:rtl/>
        </w:rPr>
        <w:t>.</w:t>
      </w:r>
    </w:p>
    <w:p w14:paraId="50E3418F" w14:textId="77777777" w:rsidR="006C4368" w:rsidRPr="003D7FC2" w:rsidRDefault="006C4368" w:rsidP="006C4368">
      <w:pPr>
        <w:pStyle w:val="a7"/>
        <w:bidi/>
        <w:rPr>
          <w:rFonts w:ascii="Narkisim" w:hAnsi="Narkisim"/>
        </w:rPr>
      </w:pPr>
      <w:r w:rsidRPr="003D7FC2">
        <w:rPr>
          <w:rFonts w:ascii="Narkisim" w:hAnsi="Narkisim"/>
          <w:rtl/>
        </w:rPr>
        <w:t>ו</w:t>
      </w:r>
      <w:r w:rsidRPr="003D7FC2">
        <w:rPr>
          <w:rFonts w:ascii="Narkisim" w:hAnsi="Narkisim"/>
          <w:b/>
          <w:bCs/>
          <w:rtl/>
        </w:rPr>
        <w:t>רש"י</w:t>
      </w:r>
      <w:r w:rsidRPr="003D7FC2">
        <w:rPr>
          <w:rFonts w:ascii="Narkisim" w:hAnsi="Narkisim"/>
          <w:rtl/>
        </w:rPr>
        <w:t xml:space="preserve"> (ב"ק פח.) כת' דגר אין לו חייס</w:t>
      </w:r>
      <w:r w:rsidRPr="003D7FC2">
        <w:rPr>
          <w:rStyle w:val="ac"/>
          <w:rFonts w:ascii="Narkisim" w:hAnsi="Narkisim"/>
          <w:rtl/>
        </w:rPr>
        <w:footnoteReference w:id="6313"/>
      </w:r>
      <w:r w:rsidRPr="003D7FC2">
        <w:rPr>
          <w:rFonts w:ascii="Narkisim" w:hAnsi="Narkisim"/>
          <w:rtl/>
        </w:rPr>
        <w:t xml:space="preserve"> לאביו עכו"ם, דכתיב וזרמת סוסים זרמתם, ואף דכתיב בלאדן בן בלאדן [דיש לעכו"ם חייס, בגמ' לעיל סב.] ה"מ בגיותן, אבל נתגיירו הבנים לא נתיחסו אחר אביהם. ומבואר דכלפי עכו"ם לא נאמר זרמת סוסים, ומש"ה עכו"ם מתייחס אחר אביו, ויורשו [אף בדיני התורה]. ודוקא כלפי ישראל לא אמרי' הכי.</w:t>
      </w:r>
    </w:p>
    <w:p w14:paraId="3956F772" w14:textId="77777777" w:rsidR="006C4368" w:rsidRPr="003D7FC2" w:rsidRDefault="006C4368" w:rsidP="006C4368">
      <w:pPr>
        <w:pStyle w:val="a7"/>
        <w:bidi/>
        <w:rPr>
          <w:rFonts w:ascii="Narkisim" w:hAnsi="Narkisim"/>
        </w:rPr>
      </w:pPr>
      <w:r w:rsidRPr="003D7FC2">
        <w:rPr>
          <w:rFonts w:ascii="Narkisim" w:hAnsi="Narkisim"/>
          <w:rtl/>
        </w:rPr>
        <w:t>אבל ה</w:t>
      </w:r>
      <w:r w:rsidRPr="003D7FC2">
        <w:rPr>
          <w:rFonts w:ascii="Narkisim" w:hAnsi="Narkisim"/>
          <w:b/>
          <w:bCs/>
          <w:rtl/>
        </w:rPr>
        <w:t>רמב"ן</w:t>
      </w:r>
      <w:r w:rsidRPr="003D7FC2">
        <w:rPr>
          <w:rFonts w:ascii="Narkisim" w:hAnsi="Narkisim"/>
          <w:rtl/>
        </w:rPr>
        <w:t xml:space="preserve"> (בסוף העמ') כת' דרחמנא אפקריה לזרעיה דעכו"ם אפי' בגיותן, ואין קורבא דרך האב לענין עריות</w:t>
      </w:r>
      <w:r w:rsidRPr="003D7FC2">
        <w:rPr>
          <w:rStyle w:val="ac"/>
          <w:rFonts w:ascii="Narkisim" w:hAnsi="Narkisim"/>
          <w:rtl/>
        </w:rPr>
        <w:footnoteReference w:id="6314"/>
      </w:r>
      <w:r w:rsidRPr="003D7FC2">
        <w:rPr>
          <w:rFonts w:ascii="Narkisim" w:hAnsi="Narkisim"/>
          <w:rtl/>
        </w:rPr>
        <w:t>. והא דיורש את אביו דבר תורה, ואית להו חייס בעודו עכו"ם (כדלעיל סב.), שאני התם דגלי ביה רחמנא. אבל לענין עריות רחמנא אפקריה לזרעיה [בין בגיות בין בגירות], והיינו דאיצטריך לרבויה בירושה</w:t>
      </w:r>
      <w:r w:rsidRPr="003D7FC2">
        <w:rPr>
          <w:rStyle w:val="ac"/>
          <w:rFonts w:ascii="Narkisim" w:hAnsi="Narkisim"/>
          <w:rtl/>
        </w:rPr>
        <w:footnoteReference w:id="6315"/>
      </w:r>
      <w:r w:rsidRPr="003D7FC2">
        <w:rPr>
          <w:rFonts w:ascii="Narkisim" w:hAnsi="Narkisim"/>
          <w:rtl/>
        </w:rPr>
        <w:t>.</w:t>
      </w:r>
    </w:p>
    <w:p w14:paraId="585FAADA" w14:textId="77777777" w:rsidR="006C4368" w:rsidRPr="003D7FC2" w:rsidRDefault="006C4368" w:rsidP="006C4368">
      <w:pPr>
        <w:bidi/>
        <w:rPr>
          <w:rFonts w:ascii="Narkisim" w:hAnsi="Narkisim" w:cs="Narkisim"/>
        </w:rPr>
      </w:pPr>
      <w:r w:rsidRPr="003D7FC2">
        <w:rPr>
          <w:rFonts w:ascii="Narkisim" w:hAnsi="Narkisim" w:cs="Narkisim"/>
          <w:rtl/>
        </w:rPr>
        <w:t>וה</w:t>
      </w:r>
      <w:r w:rsidRPr="003D7FC2">
        <w:rPr>
          <w:rFonts w:ascii="Narkisim" w:hAnsi="Narkisim" w:cs="Narkisim"/>
          <w:b/>
          <w:bCs/>
          <w:rtl/>
        </w:rPr>
        <w:t>קובה"ע</w:t>
      </w:r>
      <w:r w:rsidRPr="003D7FC2">
        <w:rPr>
          <w:rFonts w:ascii="Narkisim" w:hAnsi="Narkisim" w:cs="Narkisim"/>
          <w:rtl/>
        </w:rPr>
        <w:t xml:space="preserve"> (נא ג) תי' עוד [לולי דברי הרמב”ן</w:t>
      </w:r>
      <w:r w:rsidRPr="003D7FC2">
        <w:rPr>
          <w:rStyle w:val="ac"/>
          <w:rFonts w:ascii="Narkisim" w:hAnsi="Narkisim" w:cs="Narkisim"/>
          <w:rtl/>
        </w:rPr>
        <w:footnoteReference w:id="6316"/>
      </w:r>
      <w:r w:rsidRPr="003D7FC2">
        <w:rPr>
          <w:rFonts w:ascii="Narkisim" w:hAnsi="Narkisim" w:cs="Narkisim"/>
          <w:rtl/>
        </w:rPr>
        <w:t>] דרחמנא אפקריה לזרעיה דוקא בבא על הישראלית או היכא שנתגיירה והלידה בקדושה [דרחמנא אפקריה לזרע העכו"ם כלפי ישראל]. אבל נכרי הבא על הנכרית יש יחס לאביו (כדאי' לעיל סב.). [וכשנתגייר פקע משום כקטן שנולד]. דבסוגיין איירי דוקא בנולד בקדושה</w:t>
      </w:r>
      <w:r w:rsidRPr="003D7FC2">
        <w:rPr>
          <w:rStyle w:val="ac"/>
          <w:rFonts w:ascii="Narkisim" w:hAnsi="Narkisim" w:cs="Narkisim"/>
          <w:rtl/>
        </w:rPr>
        <w:footnoteReference w:id="6317"/>
      </w:r>
      <w:r w:rsidRPr="003D7FC2">
        <w:rPr>
          <w:rFonts w:ascii="Narkisim" w:hAnsi="Narkisim" w:cs="Narkisim"/>
          <w:rtl/>
        </w:rPr>
        <w:t>.</w:t>
      </w:r>
    </w:p>
    <w:p w14:paraId="692A5040" w14:textId="77777777" w:rsidR="006C4368" w:rsidRPr="003D7FC2" w:rsidRDefault="006C4368" w:rsidP="006C4368">
      <w:pPr>
        <w:pStyle w:val="aa"/>
        <w:bidi/>
        <w:rPr>
          <w:rFonts w:ascii="Narkisim" w:hAnsi="Narkisim"/>
        </w:rPr>
      </w:pPr>
      <w:r w:rsidRPr="003D7FC2">
        <w:rPr>
          <w:rFonts w:ascii="Narkisim" w:hAnsi="Narkisim"/>
          <w:rtl/>
        </w:rPr>
        <w:t>ו</w:t>
      </w:r>
      <w:r w:rsidRPr="003D7FC2">
        <w:rPr>
          <w:rFonts w:ascii="Narkisim" w:hAnsi="Narkisim"/>
          <w:b/>
          <w:bCs/>
          <w:rtl/>
        </w:rPr>
        <w:t>ר"ת</w:t>
      </w:r>
      <w:r w:rsidRPr="003D7FC2">
        <w:rPr>
          <w:rFonts w:ascii="Narkisim" w:hAnsi="Narkisim"/>
          <w:rtl/>
        </w:rPr>
        <w:t xml:space="preserve"> (בתוס' כתובות ג: ויומא פב: סנהדרין עד:) כת' דעכו"ם הבא על אשת ישראל אין בו חומר גילוי עריות</w:t>
      </w:r>
      <w:r w:rsidRPr="003D7FC2">
        <w:rPr>
          <w:rStyle w:val="ac"/>
          <w:rFonts w:ascii="Narkisim" w:hAnsi="Narkisim"/>
          <w:rtl/>
        </w:rPr>
        <w:footnoteReference w:id="6318"/>
      </w:r>
      <w:r w:rsidRPr="003D7FC2">
        <w:rPr>
          <w:rFonts w:ascii="Narkisim" w:hAnsi="Narkisim"/>
          <w:rtl/>
        </w:rPr>
        <w:t>, דרחמנא אפקריה לזרעיה, והוי כביאת בהמה.</w:t>
      </w:r>
    </w:p>
    <w:p w14:paraId="17558609" w14:textId="77777777" w:rsidR="006C4368" w:rsidRPr="003D7FC2" w:rsidRDefault="006C4368" w:rsidP="006C4368">
      <w:pPr>
        <w:bidi/>
        <w:rPr>
          <w:rFonts w:ascii="Narkisim" w:hAnsi="Narkisim" w:cs="Narkisim"/>
        </w:rPr>
      </w:pPr>
      <w:r w:rsidRPr="003D7FC2">
        <w:rPr>
          <w:rFonts w:ascii="Narkisim" w:hAnsi="Narkisim" w:cs="Narkisim"/>
          <w:u w:val="single"/>
          <w:rtl/>
        </w:rPr>
        <w:t>רש"י ד"ה הא דאמור רבנן</w:t>
      </w:r>
      <w:r w:rsidRPr="003D7FC2">
        <w:rPr>
          <w:rFonts w:ascii="Narkisim" w:hAnsi="Narkisim" w:cs="Narkisim"/>
          <w:rtl/>
        </w:rPr>
        <w:t xml:space="preserve">. ואפי' היכא דל”ל כקטן שנולד דמי וכו'. רש"י הק' אמאי בעינן טעם זה דרחמנא אפקריה, תיפו"ל משום כקטן שנולד. [ורש"י תי' דהיכא דנולד בקדושה ל"ש כקטן שנולד, ע' בסמוך]. וכן תמהו </w:t>
      </w:r>
      <w:r w:rsidRPr="003D7FC2">
        <w:rPr>
          <w:rFonts w:ascii="Narkisim" w:hAnsi="Narkisim" w:cs="Narkisim"/>
          <w:b/>
          <w:bCs/>
          <w:rtl/>
        </w:rPr>
        <w:t>תוס'</w:t>
      </w:r>
      <w:r w:rsidRPr="003D7FC2">
        <w:rPr>
          <w:rFonts w:ascii="Narkisim" w:hAnsi="Narkisim" w:cs="Narkisim"/>
          <w:rtl/>
        </w:rPr>
        <w:t xml:space="preserve"> (בכורות מו. הנ"ל), ותוס' תי' דאיצטריך טעם זה מדרבנן, דאי משום כקטן שנולד אפ"ה אסור משום דאתי לאחלופי בישראל. ואיצטריך טעמא </w:t>
      </w:r>
      <w:r w:rsidRPr="003D7FC2">
        <w:rPr>
          <w:rFonts w:ascii="Narkisim" w:hAnsi="Narkisim" w:cs="Narkisim"/>
          <w:rtl/>
        </w:rPr>
        <w:lastRenderedPageBreak/>
        <w:t>דאפקריה לזרעיה להתיר</w:t>
      </w:r>
      <w:r w:rsidRPr="003D7FC2">
        <w:rPr>
          <w:rStyle w:val="ac"/>
          <w:rFonts w:ascii="Narkisim" w:hAnsi="Narkisim" w:cs="Narkisim"/>
          <w:rtl/>
        </w:rPr>
        <w:footnoteReference w:id="6319"/>
      </w:r>
      <w:r w:rsidRPr="003D7FC2">
        <w:rPr>
          <w:rFonts w:ascii="Narkisim" w:hAnsi="Narkisim" w:cs="Narkisim"/>
          <w:rtl/>
        </w:rPr>
        <w:t xml:space="preserve"> נשי דהדדי</w:t>
      </w:r>
      <w:r w:rsidRPr="003D7FC2">
        <w:rPr>
          <w:rStyle w:val="ac"/>
          <w:rFonts w:ascii="Narkisim" w:hAnsi="Narkisim" w:cs="Narkisim"/>
          <w:rtl/>
        </w:rPr>
        <w:footnoteReference w:id="6320"/>
      </w:r>
      <w:r w:rsidRPr="003D7FC2">
        <w:rPr>
          <w:rFonts w:ascii="Narkisim" w:hAnsi="Narkisim" w:cs="Narkisim"/>
          <w:rtl/>
        </w:rPr>
        <w:t>. וגם היה לנו להצריך חליצה [מדרבנן], והא דקתני לא חולצין ולא מייבמין משום דרחמנא אפקריה.</w:t>
      </w:r>
    </w:p>
    <w:p w14:paraId="4703D87E" w14:textId="77777777" w:rsidR="006C4368" w:rsidRPr="003D7FC2" w:rsidRDefault="006C4368" w:rsidP="006C4368">
      <w:pPr>
        <w:bidi/>
        <w:rPr>
          <w:rFonts w:ascii="Narkisim" w:hAnsi="Narkisim" w:cs="Narkisim"/>
        </w:rPr>
      </w:pPr>
      <w:r w:rsidRPr="003D7FC2">
        <w:rPr>
          <w:rFonts w:ascii="Narkisim" w:hAnsi="Narkisim" w:cs="Narkisim"/>
          <w:u w:val="single"/>
          <w:rtl/>
        </w:rPr>
        <w:t>בא"ד כגון הורתו שלא בקדושה ולידתו בקדושה, דיש לו שאר מן האם כשאר ישראל גמור, ואין לו שאר מן האב</w:t>
      </w:r>
      <w:r w:rsidRPr="003D7FC2">
        <w:rPr>
          <w:rFonts w:ascii="Narkisim" w:hAnsi="Narkisim" w:cs="Narkisim"/>
          <w:rtl/>
        </w:rPr>
        <w:t>. משמע דכוונת רש"י דמהדין צריך שיהא לו שאר מהאב דומיא דשאר האם, אלא דרחמנא אפקריה לזרעיה. וצ"ע דהא דיש לו שאר האם הוה מחמת הלידה שנולד בקדושה. א"כ מה ראיה לאב שנתעברה שלא בקדושה.</w:t>
      </w:r>
    </w:p>
    <w:p w14:paraId="79952FB7" w14:textId="77777777" w:rsidR="006C4368" w:rsidRPr="003D7FC2" w:rsidRDefault="006C4368" w:rsidP="006C4368">
      <w:pPr>
        <w:pStyle w:val="a7"/>
        <w:bidi/>
        <w:rPr>
          <w:rFonts w:ascii="Narkisim" w:hAnsi="Narkisim"/>
        </w:rPr>
      </w:pPr>
      <w:r w:rsidRPr="003D7FC2">
        <w:rPr>
          <w:rFonts w:ascii="Narkisim" w:hAnsi="Narkisim"/>
          <w:rtl/>
        </w:rPr>
        <w:t>ויש שפי' דכיון דלידתו בקדושה [ולא נתגייר] לא שייך גדר כקטן שנולד</w:t>
      </w:r>
      <w:r w:rsidRPr="003D7FC2">
        <w:rPr>
          <w:rStyle w:val="ac"/>
          <w:rFonts w:ascii="Narkisim" w:hAnsi="Narkisim"/>
          <w:rtl/>
        </w:rPr>
        <w:footnoteReference w:id="6321"/>
      </w:r>
      <w:r w:rsidRPr="003D7FC2">
        <w:rPr>
          <w:rFonts w:ascii="Narkisim" w:hAnsi="Narkisim"/>
          <w:rtl/>
        </w:rPr>
        <w:t>. ומש”ה צריך טעם נוסף דרחמנא אפקריה</w:t>
      </w:r>
      <w:r w:rsidRPr="003D7FC2">
        <w:rPr>
          <w:rStyle w:val="ac"/>
          <w:rFonts w:ascii="Narkisim" w:hAnsi="Narkisim"/>
          <w:rtl/>
        </w:rPr>
        <w:footnoteReference w:id="6322"/>
      </w:r>
      <w:r w:rsidRPr="003D7FC2">
        <w:rPr>
          <w:rFonts w:ascii="Narkisim" w:hAnsi="Narkisim"/>
          <w:rtl/>
        </w:rPr>
        <w:t>.</w:t>
      </w:r>
    </w:p>
    <w:p w14:paraId="6B54666E" w14:textId="77777777" w:rsidR="006C4368" w:rsidRPr="003D7FC2" w:rsidRDefault="006C4368" w:rsidP="006C4368">
      <w:pPr>
        <w:pStyle w:val="aa"/>
        <w:bidi/>
        <w:rPr>
          <w:rFonts w:ascii="Narkisim" w:hAnsi="Narkisim"/>
        </w:rPr>
      </w:pPr>
      <w:r w:rsidRPr="003D7FC2">
        <w:rPr>
          <w:rFonts w:ascii="Narkisim" w:hAnsi="Narkisim"/>
          <w:u w:val="single"/>
          <w:rtl/>
        </w:rPr>
        <w:t>לא תימא משום דשטופי בזמה דלא ידיע וכו'</w:t>
      </w:r>
      <w:r w:rsidRPr="003D7FC2">
        <w:rPr>
          <w:rFonts w:ascii="Narkisim" w:hAnsi="Narkisim"/>
          <w:rtl/>
        </w:rPr>
        <w:t>. ו</w:t>
      </w:r>
      <w:r w:rsidRPr="003D7FC2">
        <w:rPr>
          <w:rFonts w:ascii="Narkisim" w:hAnsi="Narkisim"/>
          <w:b/>
          <w:bCs/>
          <w:rtl/>
        </w:rPr>
        <w:t>רש"י</w:t>
      </w:r>
      <w:r w:rsidRPr="003D7FC2">
        <w:rPr>
          <w:rFonts w:ascii="Narkisim" w:hAnsi="Narkisim"/>
          <w:rtl/>
        </w:rPr>
        <w:t xml:space="preserve"> (צז: ד"ה בתר אביו) כת' דאין אחוה מן האב לגר, דסתם עובדת כוכבים זונה היא, ומאיש אחר הוא</w:t>
      </w:r>
      <w:r w:rsidRPr="003D7FC2">
        <w:rPr>
          <w:rStyle w:val="ac"/>
          <w:rFonts w:ascii="Narkisim" w:hAnsi="Narkisim"/>
          <w:rtl/>
        </w:rPr>
        <w:footnoteReference w:id="6323"/>
      </w:r>
      <w:r w:rsidRPr="003D7FC2">
        <w:rPr>
          <w:rFonts w:ascii="Narkisim" w:hAnsi="Narkisim"/>
          <w:rtl/>
        </w:rPr>
        <w:t>. [וכס"ד דהגמ' כאן]. וצ”ב א”כ אמאי עכו"ם יורש את אביו. ולדברי ה</w:t>
      </w:r>
      <w:r w:rsidRPr="003D7FC2">
        <w:rPr>
          <w:rFonts w:ascii="Narkisim" w:hAnsi="Narkisim"/>
          <w:b/>
          <w:bCs/>
          <w:rtl/>
        </w:rPr>
        <w:t>רמב"ן</w:t>
      </w:r>
      <w:r w:rsidRPr="003D7FC2">
        <w:rPr>
          <w:rFonts w:ascii="Narkisim" w:hAnsi="Narkisim"/>
          <w:rtl/>
        </w:rPr>
        <w:t xml:space="preserve"> (הנ"ל) י"ל דהוה גזיה"כ. ויש שפי' דהטעם משום דהוחזק כבנו, אך היינו דוקא בדיני הממון. אבל בדיני ישראל ל"מ מה שהוחזק.</w:t>
      </w:r>
    </w:p>
    <w:p w14:paraId="1FEA79FB" w14:textId="77777777" w:rsidR="006C4368" w:rsidRPr="003D7FC2" w:rsidRDefault="006C4368" w:rsidP="006C4368">
      <w:pPr>
        <w:pStyle w:val="aa"/>
        <w:bidi/>
        <w:rPr>
          <w:rFonts w:ascii="Narkisim" w:hAnsi="Narkisim"/>
        </w:rPr>
      </w:pPr>
      <w:r w:rsidRPr="003D7FC2">
        <w:rPr>
          <w:rFonts w:ascii="Narkisim" w:hAnsi="Narkisim"/>
          <w:u w:val="single"/>
          <w:rtl/>
        </w:rPr>
        <w:t>דהא ב' אחין תאומים דטפה א' היה ונחלקה וכו'</w:t>
      </w:r>
      <w:r w:rsidRPr="003D7FC2">
        <w:rPr>
          <w:rFonts w:ascii="Narkisim" w:hAnsi="Narkisim"/>
          <w:rtl/>
        </w:rPr>
        <w:t>. כ"ה מסקנת הגמ' (נדה כז.)</w:t>
      </w:r>
      <w:r w:rsidRPr="003D7FC2">
        <w:rPr>
          <w:rStyle w:val="ac"/>
          <w:rFonts w:ascii="Narkisim" w:hAnsi="Narkisim"/>
          <w:rtl/>
        </w:rPr>
        <w:footnoteReference w:id="6324"/>
      </w:r>
      <w:r w:rsidRPr="003D7FC2">
        <w:rPr>
          <w:rFonts w:ascii="Narkisim" w:hAnsi="Narkisim"/>
          <w:rtl/>
        </w:rPr>
        <w:t>.</w:t>
      </w:r>
    </w:p>
    <w:p w14:paraId="01565AF1" w14:textId="77777777" w:rsidR="006C4368" w:rsidRPr="003D7FC2" w:rsidRDefault="006C4368" w:rsidP="006C4368">
      <w:pPr>
        <w:pStyle w:val="aa"/>
        <w:bidi/>
        <w:rPr>
          <w:rFonts w:ascii="Narkisim" w:hAnsi="Narkisim"/>
        </w:rPr>
      </w:pPr>
      <w:r w:rsidRPr="003D7FC2">
        <w:rPr>
          <w:rFonts w:ascii="Narkisim" w:hAnsi="Narkisim"/>
          <w:u w:val="single"/>
          <w:rtl/>
        </w:rPr>
        <w:t>הרי אשה</w:t>
      </w:r>
      <w:r w:rsidRPr="003D7FC2">
        <w:rPr>
          <w:rFonts w:ascii="Narkisim" w:hAnsi="Narkisim"/>
          <w:rtl/>
        </w:rPr>
        <w:t>. פ</w:t>
      </w:r>
      <w:r w:rsidRPr="003D7FC2">
        <w:rPr>
          <w:rFonts w:ascii="Narkisim" w:hAnsi="Narkisim"/>
          <w:b/>
          <w:bCs/>
          <w:rtl/>
        </w:rPr>
        <w:t>רש"י</w:t>
      </w:r>
      <w:r w:rsidRPr="003D7FC2">
        <w:rPr>
          <w:rFonts w:ascii="Narkisim" w:hAnsi="Narkisim"/>
          <w:rtl/>
        </w:rPr>
        <w:t xml:space="preserve"> שהתיר להם ר"ע</w:t>
      </w:r>
      <w:r w:rsidRPr="003D7FC2">
        <w:rPr>
          <w:rStyle w:val="ac"/>
          <w:rFonts w:ascii="Narkisim" w:hAnsi="Narkisim"/>
          <w:rtl/>
        </w:rPr>
        <w:footnoteReference w:id="6325"/>
      </w:r>
      <w:r w:rsidRPr="003D7FC2">
        <w:rPr>
          <w:rFonts w:ascii="Narkisim" w:hAnsi="Narkisim"/>
          <w:rtl/>
        </w:rPr>
        <w:t>, ומהם למדתי [ועד”ז כת' הרשב”א בשם ר”ח</w:t>
      </w:r>
      <w:r w:rsidRPr="003D7FC2">
        <w:rPr>
          <w:rStyle w:val="ac"/>
          <w:rFonts w:ascii="Narkisim" w:hAnsi="Narkisim"/>
          <w:rtl/>
        </w:rPr>
        <w:footnoteReference w:id="6326"/>
      </w:r>
      <w:r w:rsidRPr="003D7FC2">
        <w:rPr>
          <w:rFonts w:ascii="Narkisim" w:hAnsi="Narkisim"/>
          <w:rtl/>
        </w:rPr>
        <w:t>]. ו</w:t>
      </w:r>
      <w:r w:rsidRPr="003D7FC2">
        <w:rPr>
          <w:rFonts w:ascii="Narkisim" w:hAnsi="Narkisim"/>
          <w:b/>
          <w:bCs/>
          <w:rtl/>
        </w:rPr>
        <w:t>תוס</w:t>
      </w:r>
      <w:r w:rsidRPr="003D7FC2">
        <w:rPr>
          <w:rFonts w:ascii="Narkisim" w:hAnsi="Narkisim"/>
          <w:rtl/>
        </w:rPr>
        <w:t>' (לעיל עז.) כת' דהיתה אשתו ובניו</w:t>
      </w:r>
      <w:r w:rsidRPr="003D7FC2">
        <w:rPr>
          <w:rStyle w:val="ac"/>
          <w:rFonts w:ascii="Narkisim" w:hAnsi="Narkisim"/>
          <w:rtl/>
        </w:rPr>
        <w:footnoteReference w:id="6327"/>
      </w:r>
      <w:r w:rsidRPr="003D7FC2">
        <w:rPr>
          <w:rFonts w:ascii="Narkisim" w:hAnsi="Narkisim"/>
          <w:rtl/>
        </w:rPr>
        <w:t>. [ודין 'מורה ובה' שייך רק כשהוא נוגע לעצמו].</w:t>
      </w:r>
    </w:p>
    <w:p w14:paraId="68EB9156" w14:textId="77777777" w:rsidR="006C4368" w:rsidRPr="003D7FC2" w:rsidRDefault="006C4368" w:rsidP="006C4368">
      <w:pPr>
        <w:pStyle w:val="aa"/>
        <w:bidi/>
        <w:rPr>
          <w:rFonts w:ascii="Narkisim" w:hAnsi="Narkisim"/>
        </w:rPr>
      </w:pPr>
      <w:r w:rsidRPr="003D7FC2">
        <w:rPr>
          <w:rFonts w:ascii="Narkisim" w:hAnsi="Narkisim"/>
          <w:u w:val="single"/>
          <w:rtl/>
        </w:rPr>
        <w:t>תוד"ה על</w:t>
      </w:r>
      <w:r w:rsidRPr="003D7FC2">
        <w:rPr>
          <w:rFonts w:ascii="Narkisim" w:hAnsi="Narkisim"/>
          <w:rtl/>
        </w:rPr>
        <w:t>. כיון שמצינו שחזרו לקלקולם, ונתנבא עליהם נחום האלקושי</w:t>
      </w:r>
      <w:r w:rsidRPr="003D7FC2">
        <w:rPr>
          <w:rStyle w:val="ac"/>
          <w:rFonts w:ascii="Narkisim" w:hAnsi="Narkisim"/>
          <w:rtl/>
        </w:rPr>
        <w:footnoteReference w:id="6328"/>
      </w:r>
      <w:r w:rsidRPr="003D7FC2">
        <w:rPr>
          <w:rFonts w:ascii="Narkisim" w:hAnsi="Narkisim"/>
          <w:rtl/>
        </w:rPr>
        <w:t xml:space="preserve"> וכו' וי”ל שזה היה אותו יום, וחשיב הכל נבואה א'. ה</w:t>
      </w:r>
      <w:r w:rsidRPr="003D7FC2">
        <w:rPr>
          <w:rFonts w:ascii="Narkisim" w:hAnsi="Narkisim"/>
          <w:b/>
          <w:bCs/>
          <w:rtl/>
        </w:rPr>
        <w:t>רש"ש</w:t>
      </w:r>
      <w:r w:rsidRPr="003D7FC2">
        <w:rPr>
          <w:rFonts w:ascii="Narkisim" w:hAnsi="Narkisim"/>
          <w:rtl/>
        </w:rPr>
        <w:t xml:space="preserve"> כת' דלאו דוקא אותו היום, דבקרא מבואר דהמשך הנבואה היה למחרת</w:t>
      </w:r>
      <w:r w:rsidRPr="003D7FC2">
        <w:rPr>
          <w:rStyle w:val="ac"/>
          <w:rFonts w:ascii="Narkisim" w:hAnsi="Narkisim"/>
          <w:rtl/>
        </w:rPr>
        <w:footnoteReference w:id="6329"/>
      </w:r>
      <w:r w:rsidRPr="003D7FC2">
        <w:rPr>
          <w:rFonts w:ascii="Narkisim" w:hAnsi="Narkisim"/>
          <w:rtl/>
        </w:rPr>
        <w:t>.</w:t>
      </w:r>
    </w:p>
    <w:p w14:paraId="30337C84" w14:textId="77777777" w:rsidR="006C4368" w:rsidRPr="003D7FC2" w:rsidRDefault="006C4368" w:rsidP="006C4368">
      <w:pPr>
        <w:bidi/>
        <w:rPr>
          <w:rFonts w:ascii="Narkisim" w:hAnsi="Narkisim" w:cs="Narkisim"/>
        </w:rPr>
      </w:pPr>
      <w:r w:rsidRPr="003D7FC2">
        <w:rPr>
          <w:rFonts w:ascii="Narkisim" w:hAnsi="Narkisim" w:cs="Narkisim"/>
          <w:u w:val="single"/>
          <w:rtl/>
        </w:rPr>
        <w:t>ת"ש גר שהיה לידתו בקדושה והורתו שלא בקדושה וכו'</w:t>
      </w:r>
      <w:r w:rsidRPr="003D7FC2">
        <w:rPr>
          <w:rFonts w:ascii="Narkisim" w:hAnsi="Narkisim" w:cs="Narkisim"/>
          <w:rtl/>
        </w:rPr>
        <w:t xml:space="preserve">. </w:t>
      </w:r>
      <w:r w:rsidRPr="003D7FC2">
        <w:rPr>
          <w:rFonts w:ascii="Narkisim" w:hAnsi="Narkisim" w:cs="Narkisim"/>
          <w:b/>
          <w:bCs/>
          <w:rtl/>
        </w:rPr>
        <w:t>רש"י</w:t>
      </w:r>
      <w:r w:rsidRPr="003D7FC2">
        <w:rPr>
          <w:rFonts w:ascii="Narkisim" w:hAnsi="Narkisim" w:cs="Narkisim"/>
          <w:rtl/>
        </w:rPr>
        <w:t xml:space="preserve"> (סנהדרין נח. ועד"ז ריב”א בתוס') כת' דה"ה גר גמור דהורתו ולידתו שלא בקדושה. ונקט הורתו שלא בקדושה ולידתו בקדושה למעוטי הורתו ולידתו בקדושה.</w:t>
      </w:r>
    </w:p>
    <w:p w14:paraId="423CA4F3" w14:textId="77777777" w:rsidR="006C4368" w:rsidRPr="003D7FC2" w:rsidRDefault="006C4368" w:rsidP="006C4368">
      <w:pPr>
        <w:bidi/>
        <w:rPr>
          <w:rFonts w:ascii="Narkisim" w:hAnsi="Narkisim" w:cs="Narkisim"/>
        </w:rPr>
      </w:pPr>
      <w:r w:rsidRPr="003D7FC2">
        <w:rPr>
          <w:rFonts w:ascii="Narkisim" w:hAnsi="Narkisim" w:cs="Narkisim"/>
          <w:u w:val="single"/>
          <w:rtl/>
        </w:rPr>
        <w:t>ואין לו שאר האב וכו'</w:t>
      </w:r>
      <w:r w:rsidRPr="003D7FC2">
        <w:rPr>
          <w:rFonts w:ascii="Narkisim" w:hAnsi="Narkisim" w:cs="Narkisim"/>
          <w:rtl/>
        </w:rPr>
        <w:t xml:space="preserve">. </w:t>
      </w:r>
      <w:r w:rsidRPr="003D7FC2">
        <w:rPr>
          <w:rFonts w:ascii="Narkisim" w:hAnsi="Narkisim" w:cs="Narkisim"/>
          <w:b/>
          <w:bCs/>
          <w:rtl/>
        </w:rPr>
        <w:t>רש"י</w:t>
      </w:r>
      <w:r w:rsidRPr="003D7FC2">
        <w:rPr>
          <w:rFonts w:ascii="Narkisim" w:hAnsi="Narkisim" w:cs="Narkisim"/>
          <w:rtl/>
        </w:rPr>
        <w:t xml:space="preserve"> פי' דהטעם משום דל"ש איחלופי, דהכל יודעים דאין אב לעכו"ם. אבל ה</w:t>
      </w:r>
      <w:r w:rsidRPr="003D7FC2">
        <w:rPr>
          <w:rFonts w:ascii="Narkisim" w:hAnsi="Narkisim" w:cs="Narkisim"/>
          <w:b/>
          <w:bCs/>
          <w:rtl/>
        </w:rPr>
        <w:t>רמב"ן</w:t>
      </w:r>
      <w:r w:rsidRPr="003D7FC2">
        <w:rPr>
          <w:rFonts w:ascii="Narkisim" w:hAnsi="Narkisim" w:cs="Narkisim"/>
          <w:rtl/>
        </w:rPr>
        <w:t xml:space="preserve"> ביאר דל"ש בזה שמא יאמרו באנו מקדושה קלה.</w:t>
      </w:r>
    </w:p>
    <w:p w14:paraId="2B90E5AE"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ביאר דהוה כלל דעכו”ם לא נאסר בעריות מצד אביו כלל. ואף למ"ד (בסנהדרין) דנאסר בכל עריות שנאסרו לישראל, היינו מצד האם. אבל מצד האב לא נאסר, וכדאי' (סנהדרין שם) דעכו"ם מותר בבתו</w:t>
      </w:r>
      <w:r w:rsidRPr="003D7FC2">
        <w:rPr>
          <w:rStyle w:val="ac"/>
          <w:rFonts w:ascii="Narkisim" w:hAnsi="Narkisim"/>
          <w:rtl/>
        </w:rPr>
        <w:footnoteReference w:id="6330"/>
      </w:r>
      <w:r w:rsidRPr="003D7FC2">
        <w:rPr>
          <w:rFonts w:ascii="Narkisim" w:hAnsi="Narkisim"/>
          <w:rtl/>
        </w:rPr>
        <w:t>. מלבד הא דילפי' גזיה"כ 'את אביו' [למ"ד דדרש את אביו לאחות אביו מן האם. ולמ”ד דדרש לאשת אביו] דחידוש הוא, ולא ילפי' מיניה.</w:t>
      </w:r>
    </w:p>
    <w:p w14:paraId="70C81129"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ביאר דרחמנא אפקריה לזרעיה דעכו"ם, ואף בעודו עכו"ם. ואף דאית ליה חייס </w:t>
      </w:r>
      <w:r w:rsidRPr="003D7FC2">
        <w:rPr>
          <w:rFonts w:ascii="Narkisim" w:hAnsi="Narkisim"/>
          <w:rtl/>
        </w:rPr>
        <w:lastRenderedPageBreak/>
        <w:t>(כדאי' לעיל סב.) ויורש את אביו, היינו משום דילפי' מקרא. [והוה חידוש, ולא ילפי' מיניה. וע' מש”כ בזה בראש העמ' ולעיל סב.]. אבל לשאר מילי אינו מתייחס. [הו' לעיל].</w:t>
      </w:r>
    </w:p>
    <w:p w14:paraId="464740A3" w14:textId="77777777" w:rsidR="006C4368" w:rsidRPr="003D7FC2" w:rsidRDefault="006C4368" w:rsidP="006C4368">
      <w:pPr>
        <w:bidi/>
        <w:rPr>
          <w:rFonts w:ascii="Narkisim" w:hAnsi="Narkisim" w:cs="Narkisim"/>
        </w:rPr>
      </w:pPr>
      <w:r w:rsidRPr="003D7FC2">
        <w:rPr>
          <w:rFonts w:ascii="Narkisim" w:hAnsi="Narkisim" w:cs="Narkisim"/>
          <w:rtl/>
        </w:rPr>
        <w:t>וה</w:t>
      </w:r>
      <w:r w:rsidRPr="003D7FC2">
        <w:rPr>
          <w:rFonts w:ascii="Narkisim" w:hAnsi="Narkisim" w:cs="Narkisim"/>
          <w:b/>
          <w:bCs/>
          <w:rtl/>
        </w:rPr>
        <w:t>רמב"ן</w:t>
      </w:r>
      <w:r w:rsidRPr="003D7FC2">
        <w:rPr>
          <w:rFonts w:ascii="Narkisim" w:hAnsi="Narkisim" w:cs="Narkisim"/>
          <w:rtl/>
        </w:rPr>
        <w:t xml:space="preserve"> כת' עוד דעכו"ם לא נצטוו כלל על עריות שע"י אישות [אשת קרובים], דגבי עריות קיחה כתיב בהו ואינהו קיחה לית להו</w:t>
      </w:r>
      <w:r w:rsidRPr="003D7FC2">
        <w:rPr>
          <w:rStyle w:val="ac"/>
          <w:rFonts w:ascii="Narkisim" w:hAnsi="Narkisim" w:cs="Narkisim"/>
          <w:rtl/>
        </w:rPr>
        <w:footnoteReference w:id="6331"/>
      </w:r>
      <w:r w:rsidRPr="003D7FC2">
        <w:rPr>
          <w:rFonts w:ascii="Narkisim" w:hAnsi="Narkisim" w:cs="Narkisim"/>
          <w:rtl/>
        </w:rPr>
        <w:t>. ומותר בחמותו ובת אשתו וב' אחיות. ומש"ה יעקב נשא ב' אחיות, ולא הוזכר שלא היו מאותו האם</w:t>
      </w:r>
      <w:r w:rsidRPr="003D7FC2">
        <w:rPr>
          <w:rStyle w:val="ac"/>
          <w:rFonts w:ascii="Narkisim" w:hAnsi="Narkisim" w:cs="Narkisim"/>
          <w:rtl/>
        </w:rPr>
        <w:footnoteReference w:id="6332"/>
      </w:r>
      <w:r w:rsidRPr="003D7FC2">
        <w:rPr>
          <w:rFonts w:ascii="Narkisim" w:hAnsi="Narkisim" w:cs="Narkisim"/>
          <w:rtl/>
        </w:rPr>
        <w:t>. ויהודה היה מותר בכלתו, דאמר צדקה ממני, דאל"כ היתה חייבת מיתה משום עריות</w:t>
      </w:r>
      <w:r w:rsidRPr="003D7FC2">
        <w:rPr>
          <w:rStyle w:val="ac"/>
          <w:rFonts w:ascii="Narkisim" w:hAnsi="Narkisim" w:cs="Narkisim"/>
          <w:rtl/>
        </w:rPr>
        <w:footnoteReference w:id="6333"/>
      </w:r>
      <w:r w:rsidRPr="003D7FC2">
        <w:rPr>
          <w:rFonts w:ascii="Narkisim" w:hAnsi="Narkisim" w:cs="Narkisim"/>
          <w:rtl/>
        </w:rPr>
        <w:t>.</w:t>
      </w:r>
    </w:p>
    <w:p w14:paraId="3687990A"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רשב"א</w:t>
      </w:r>
      <w:r w:rsidRPr="003D7FC2">
        <w:rPr>
          <w:rFonts w:ascii="Narkisim" w:hAnsi="Narkisim"/>
          <w:rtl/>
        </w:rPr>
        <w:t xml:space="preserve"> דחה דאין ראיה מתמר, שהיתה מותרת לו משום יבום</w:t>
      </w:r>
      <w:r w:rsidRPr="003D7FC2">
        <w:rPr>
          <w:rStyle w:val="ac"/>
          <w:rFonts w:ascii="Narkisim" w:hAnsi="Narkisim"/>
          <w:rtl/>
        </w:rPr>
        <w:footnoteReference w:id="6334"/>
      </w:r>
      <w:r w:rsidRPr="003D7FC2">
        <w:rPr>
          <w:rFonts w:ascii="Narkisim" w:hAnsi="Narkisim"/>
          <w:rtl/>
        </w:rPr>
        <w:t>. דקודם מתן תורה הותר יבום בכל הקרובים</w:t>
      </w:r>
      <w:r w:rsidRPr="003D7FC2">
        <w:rPr>
          <w:rStyle w:val="ac"/>
          <w:rFonts w:ascii="Narkisim" w:hAnsi="Narkisim"/>
          <w:rtl/>
        </w:rPr>
        <w:footnoteReference w:id="6335"/>
      </w:r>
      <w:r w:rsidRPr="003D7FC2">
        <w:rPr>
          <w:rFonts w:ascii="Narkisim" w:hAnsi="Narkisim"/>
          <w:rtl/>
        </w:rPr>
        <w:t xml:space="preserve"> [והותר איסור כלתו משום יבום</w:t>
      </w:r>
      <w:r w:rsidRPr="003D7FC2">
        <w:rPr>
          <w:rStyle w:val="ac"/>
          <w:rFonts w:ascii="Narkisim" w:hAnsi="Narkisim"/>
          <w:rtl/>
        </w:rPr>
        <w:footnoteReference w:id="6336"/>
      </w:r>
      <w:r w:rsidRPr="003D7FC2">
        <w:rPr>
          <w:rFonts w:ascii="Narkisim" w:hAnsi="Narkisim"/>
          <w:rtl/>
        </w:rPr>
        <w:t>]. אבל ה</w:t>
      </w:r>
      <w:r w:rsidRPr="003D7FC2">
        <w:rPr>
          <w:rFonts w:ascii="Narkisim" w:hAnsi="Narkisim"/>
          <w:b/>
          <w:bCs/>
          <w:rtl/>
        </w:rPr>
        <w:t>ריטב"א</w:t>
      </w:r>
      <w:r w:rsidRPr="003D7FC2">
        <w:rPr>
          <w:rFonts w:ascii="Narkisim" w:hAnsi="Narkisim"/>
          <w:rtl/>
        </w:rPr>
        <w:t xml:space="preserve"> (צז:) כת' דאפי' תימא דיהודה עשה דרך יבום, הא לא מצינן שהותר להם איסור ערוה משום מצוות יבום. דכיון דליכא איסור אשת אח בבני נח</w:t>
      </w:r>
      <w:r w:rsidRPr="003D7FC2">
        <w:rPr>
          <w:rStyle w:val="ac"/>
          <w:rFonts w:ascii="Narkisim" w:hAnsi="Narkisim"/>
          <w:rtl/>
        </w:rPr>
        <w:footnoteReference w:id="6337"/>
      </w:r>
      <w:r w:rsidRPr="003D7FC2">
        <w:rPr>
          <w:rFonts w:ascii="Narkisim" w:hAnsi="Narkisim"/>
          <w:rtl/>
        </w:rPr>
        <w:t>.</w:t>
      </w:r>
    </w:p>
    <w:p w14:paraId="0B06D6B9" w14:textId="77777777" w:rsidR="006C4368" w:rsidRPr="003D7FC2" w:rsidRDefault="006C4368" w:rsidP="006C4368">
      <w:pPr>
        <w:pStyle w:val="aa"/>
        <w:bidi/>
        <w:rPr>
          <w:rFonts w:ascii="Narkisim" w:hAnsi="Narkisim"/>
        </w:rPr>
      </w:pPr>
      <w:r w:rsidRPr="003D7FC2">
        <w:rPr>
          <w:rFonts w:ascii="Narkisim" w:hAnsi="Narkisim"/>
          <w:u w:val="single"/>
          <w:rtl/>
        </w:rPr>
        <w:t>כיצד נשא אחותו וכו' מן האב יקיים</w:t>
      </w:r>
      <w:r w:rsidRPr="003D7FC2">
        <w:rPr>
          <w:rFonts w:ascii="Narkisim" w:hAnsi="Narkisim"/>
          <w:rtl/>
        </w:rPr>
        <w:t>. דוקא בדיעבד שכבר נשא, ולכתחילה אסור, כדאי' בסוף הברייתא.</w:t>
      </w:r>
    </w:p>
    <w:p w14:paraId="206832A1" w14:textId="77777777" w:rsidR="006C4368" w:rsidRPr="003D7FC2" w:rsidRDefault="006C4368" w:rsidP="006C4368">
      <w:pPr>
        <w:pStyle w:val="aa"/>
        <w:bidi/>
        <w:rPr>
          <w:rFonts w:ascii="Narkisim" w:hAnsi="Narkisim"/>
        </w:rPr>
      </w:pPr>
      <w:r w:rsidRPr="003D7FC2">
        <w:rPr>
          <w:rFonts w:ascii="Narkisim" w:hAnsi="Narkisim"/>
          <w:u w:val="single"/>
          <w:rtl/>
        </w:rPr>
        <w:t>רש"י ד"ה נשא אחותו</w:t>
      </w:r>
      <w:r w:rsidRPr="003D7FC2">
        <w:rPr>
          <w:rFonts w:ascii="Narkisim" w:hAnsi="Narkisim"/>
          <w:rtl/>
        </w:rPr>
        <w:t>. אחותו שנולדה אחריו, דבההיא איכא כרת, דלידת שניהם בקדושה. [וכדאי' לעיל צז: דקורבא לאם תלי בלידה. ומבואר ברש"י דאף בלא תאומים אמרי' הכי].</w:t>
      </w:r>
    </w:p>
    <w:p w14:paraId="586AFF89" w14:textId="77777777" w:rsidR="006C4368" w:rsidRPr="003D7FC2" w:rsidRDefault="006C4368" w:rsidP="006C4368">
      <w:pPr>
        <w:bidi/>
        <w:rPr>
          <w:rFonts w:ascii="Narkisim" w:hAnsi="Narkisim" w:cs="Narkisim"/>
        </w:rPr>
      </w:pPr>
      <w:r w:rsidRPr="003D7FC2">
        <w:rPr>
          <w:rFonts w:ascii="Narkisim" w:hAnsi="Narkisim" w:cs="Narkisim"/>
          <w:u w:val="single"/>
          <w:rtl/>
        </w:rPr>
        <w:t>תוד"ה נשא</w:t>
      </w:r>
      <w:r w:rsidRPr="003D7FC2">
        <w:rPr>
          <w:rFonts w:ascii="Narkisim" w:hAnsi="Narkisim" w:cs="Narkisim"/>
          <w:rtl/>
        </w:rPr>
        <w:t>. פ"ה דגזרי' שמא ישא אחותו שנולדה אחריו וכו', משמע שסובר דאם היתה גם לידתו שלא בקדושה היה מותר וכו'. וכל הנך גזירות משום צד כרת. ותוס' חלקו דהנך גזירות משום דאתי לאיחלופי בישראל.</w:t>
      </w:r>
    </w:p>
    <w:p w14:paraId="1BDA1BB0" w14:textId="77777777" w:rsidR="006C4368" w:rsidRPr="003D7FC2" w:rsidRDefault="006C4368" w:rsidP="006C4368">
      <w:pPr>
        <w:pStyle w:val="a7"/>
        <w:bidi/>
        <w:rPr>
          <w:rFonts w:ascii="Narkisim" w:hAnsi="Narkisim"/>
        </w:rPr>
      </w:pPr>
      <w:r w:rsidRPr="003D7FC2">
        <w:rPr>
          <w:rFonts w:ascii="Narkisim" w:hAnsi="Narkisim"/>
          <w:rtl/>
        </w:rPr>
        <w:t>ו</w:t>
      </w:r>
      <w:r w:rsidRPr="003D7FC2">
        <w:rPr>
          <w:rFonts w:ascii="Narkisim" w:hAnsi="Narkisim"/>
          <w:b/>
          <w:bCs/>
          <w:rtl/>
        </w:rPr>
        <w:t>רש"י</w:t>
      </w:r>
      <w:r w:rsidRPr="003D7FC2">
        <w:rPr>
          <w:rFonts w:ascii="Narkisim" w:hAnsi="Narkisim"/>
          <w:rtl/>
        </w:rPr>
        <w:t xml:space="preserve"> (סנהדרין נח.) כת' הטעם דברייתא זו משום שמא יאמרו באנו מקדושה קלה [וכדלעיל כב.]. ו</w:t>
      </w:r>
      <w:r w:rsidRPr="003D7FC2">
        <w:rPr>
          <w:rFonts w:ascii="Narkisim" w:hAnsi="Narkisim"/>
          <w:b/>
          <w:bCs/>
          <w:rtl/>
        </w:rPr>
        <w:t>תוס'</w:t>
      </w:r>
      <w:r w:rsidRPr="003D7FC2">
        <w:rPr>
          <w:rFonts w:ascii="Narkisim" w:hAnsi="Narkisim"/>
          <w:rtl/>
        </w:rPr>
        <w:t xml:space="preserve"> (שם) חלקו דמשמע (לעיל כב.) דהטעם משום איחלופי</w:t>
      </w:r>
      <w:r w:rsidRPr="003D7FC2">
        <w:rPr>
          <w:rStyle w:val="ac"/>
          <w:rFonts w:ascii="Narkisim" w:hAnsi="Narkisim"/>
          <w:rtl/>
        </w:rPr>
        <w:footnoteReference w:id="6338"/>
      </w:r>
      <w:r w:rsidRPr="003D7FC2">
        <w:rPr>
          <w:rFonts w:ascii="Narkisim" w:hAnsi="Narkisim"/>
          <w:rtl/>
        </w:rPr>
        <w:t>, דהטעם דערוה לכל מסורה.</w:t>
      </w:r>
    </w:p>
    <w:p w14:paraId="1964FE84" w14:textId="77777777" w:rsidR="006C4368" w:rsidRPr="003D7FC2" w:rsidRDefault="006C4368" w:rsidP="006C4368">
      <w:pPr>
        <w:bidi/>
        <w:rPr>
          <w:rFonts w:ascii="Narkisim" w:hAnsi="Narkisim" w:cs="Narkisim"/>
        </w:rPr>
      </w:pPr>
      <w:r w:rsidRPr="003D7FC2">
        <w:rPr>
          <w:rFonts w:ascii="Narkisim" w:hAnsi="Narkisim" w:cs="Narkisim"/>
          <w:u w:val="single"/>
          <w:rtl/>
        </w:rPr>
        <w:t>שם.</w:t>
      </w:r>
      <w:r w:rsidRPr="003D7FC2">
        <w:rPr>
          <w:rFonts w:ascii="Narkisim" w:hAnsi="Narkisim" w:cs="Narkisim"/>
          <w:rtl/>
        </w:rPr>
        <w:t xml:space="preserve"> והגמ' (סנהדרין נח.) מק' מברייתא זו דבסיפא אי' דר”מ אוסר בכל שאר האם [אפי' </w:t>
      </w:r>
      <w:r w:rsidRPr="003D7FC2">
        <w:rPr>
          <w:rFonts w:ascii="Narkisim" w:hAnsi="Narkisim" w:cs="Narkisim"/>
          <w:rtl/>
        </w:rPr>
        <w:lastRenderedPageBreak/>
        <w:t>אחותו], ואילו בברייתא (שם) אי' דר' מאיר סבר דעכו"ם מוזהר רק בערוה שבי”ד של ישראל ממיתין עליה. א"כ משמע דעכו"ם מותר באחותו [דגבי ישראל הוה כרת ולא מיתה]. והגמ' תי' דנח' בזה ר”ע ור' אליעזר</w:t>
      </w:r>
      <w:r w:rsidRPr="003D7FC2">
        <w:rPr>
          <w:rStyle w:val="ac"/>
          <w:rFonts w:ascii="Narkisim" w:hAnsi="Narkisim" w:cs="Narkisim"/>
          <w:rtl/>
        </w:rPr>
        <w:footnoteReference w:id="6339"/>
      </w:r>
      <w:r w:rsidRPr="003D7FC2">
        <w:rPr>
          <w:rFonts w:ascii="Narkisim" w:hAnsi="Narkisim" w:cs="Narkisim"/>
          <w:rtl/>
        </w:rPr>
        <w:t>, והא ר”מ אליבא דר”ע והא ר”מ אליבא דר”א.</w:t>
      </w:r>
    </w:p>
    <w:p w14:paraId="5284BDAF" w14:textId="77777777" w:rsidR="006C4368" w:rsidRPr="003D7FC2" w:rsidRDefault="006C4368" w:rsidP="006C4368">
      <w:pPr>
        <w:pStyle w:val="a7"/>
        <w:bidi/>
        <w:rPr>
          <w:rFonts w:ascii="Narkisim" w:hAnsi="Narkisim"/>
        </w:rPr>
      </w:pPr>
      <w:r w:rsidRPr="003D7FC2">
        <w:rPr>
          <w:rFonts w:ascii="Narkisim" w:hAnsi="Narkisim"/>
          <w:rtl/>
        </w:rPr>
        <w:t>ו</w:t>
      </w:r>
      <w:r w:rsidRPr="003D7FC2">
        <w:rPr>
          <w:rFonts w:ascii="Narkisim" w:hAnsi="Narkisim"/>
          <w:b/>
          <w:bCs/>
          <w:rtl/>
        </w:rPr>
        <w:t>רע"א</w:t>
      </w:r>
      <w:r w:rsidRPr="003D7FC2">
        <w:rPr>
          <w:rFonts w:ascii="Narkisim" w:hAnsi="Narkisim"/>
          <w:rtl/>
        </w:rPr>
        <w:t xml:space="preserve"> תמה לפ</w:t>
      </w:r>
      <w:r w:rsidRPr="003D7FC2">
        <w:rPr>
          <w:rFonts w:ascii="Narkisim" w:hAnsi="Narkisim"/>
          <w:b/>
          <w:bCs/>
          <w:rtl/>
        </w:rPr>
        <w:t>רש"י</w:t>
      </w:r>
      <w:r w:rsidRPr="003D7FC2">
        <w:rPr>
          <w:rFonts w:ascii="Narkisim" w:hAnsi="Narkisim"/>
          <w:rtl/>
        </w:rPr>
        <w:t xml:space="preserve"> (כאן) דהגזירה שמא ישא אחותו שנולדה אחריו בקדושה [והטעם דליכא קורבא לאב משום דהורתה שלא בקדושה ליכא צד דאורייתא באב], א”כ מה הגמ' סנהדרין מקשה. וצע"ג. ולכאורה צ"ל דמשמע לגמ' שם דהך ברייתא קאי אף בלידתו שלא בקדושה, ומשום איחלופי [וכתוס']. ואף בזה ר' מאיר אסר בכל עריות.</w:t>
      </w:r>
    </w:p>
    <w:p w14:paraId="496DB119" w14:textId="77777777" w:rsidR="006C4368" w:rsidRPr="003D7FC2" w:rsidRDefault="006C4368" w:rsidP="006C4368">
      <w:pPr>
        <w:pStyle w:val="aa"/>
        <w:bidi/>
        <w:rPr>
          <w:rFonts w:ascii="Narkisim" w:hAnsi="Narkisim"/>
        </w:rPr>
      </w:pPr>
      <w:r w:rsidRPr="003D7FC2">
        <w:rPr>
          <w:rFonts w:ascii="Narkisim" w:hAnsi="Narkisim"/>
          <w:u w:val="single"/>
          <w:rtl/>
        </w:rPr>
        <w:t>בא"ד והא דנקט הכא לידתו שלא בקדושה לרבותא וכו' דכב' אמהות דמו, ואפ”ה אסירי וכו'</w:t>
      </w:r>
      <w:r w:rsidRPr="003D7FC2">
        <w:rPr>
          <w:rFonts w:ascii="Narkisim" w:hAnsi="Narkisim"/>
          <w:rtl/>
        </w:rPr>
        <w:t>. [וכלשון הגמ' לעיל צז:, כלפי הדאורייתא]. והכא ס"ד דאמרי' סברא זו כלפי איחלופי.</w:t>
      </w:r>
    </w:p>
    <w:p w14:paraId="102FF3B6" w14:textId="77777777" w:rsidR="006C4368" w:rsidRPr="003D7FC2" w:rsidRDefault="006C4368" w:rsidP="006C4368">
      <w:pPr>
        <w:pStyle w:val="aa"/>
        <w:bidi/>
        <w:rPr>
          <w:rFonts w:ascii="Narkisim" w:hAnsi="Narkisim"/>
        </w:rPr>
      </w:pPr>
      <w:r w:rsidRPr="003D7FC2">
        <w:rPr>
          <w:rFonts w:ascii="Narkisim" w:hAnsi="Narkisim"/>
          <w:u w:val="single"/>
          <w:rtl/>
        </w:rPr>
        <w:t>בא"ד וריב"א פי' דאי בקדושה הרי הוא כישראל גמור, ומותר באחותו שנולדה בהיותה נכרית, כיון דל"ל צד נכריות כלל וכו'</w:t>
      </w:r>
      <w:r w:rsidRPr="003D7FC2">
        <w:rPr>
          <w:rFonts w:ascii="Narkisim" w:hAnsi="Narkisim"/>
          <w:rtl/>
        </w:rPr>
        <w:t>. משמע דכוונתו דחכמים גזרו על 'גר', ואף הורתו שלא בקדושה יש לו שם גר. ולא גזרו על זה שנולד כישראל גמור. [אך יל"ד דניזל בתר דידה, שהיא גר גמור, ותאסר באח שלה שנולד אחריה בקדושה. ולכאורה מבואר דגדרי איסור עריות תלי באיש].</w:t>
      </w:r>
    </w:p>
    <w:p w14:paraId="1AA5489D" w14:textId="77777777" w:rsidR="006C4368" w:rsidRPr="003D7FC2" w:rsidRDefault="006C4368" w:rsidP="006C4368">
      <w:pPr>
        <w:pStyle w:val="aa"/>
        <w:bidi/>
        <w:rPr>
          <w:rFonts w:ascii="Narkisim" w:hAnsi="Narkisim"/>
        </w:rPr>
      </w:pPr>
      <w:r w:rsidRPr="003D7FC2">
        <w:rPr>
          <w:rFonts w:ascii="Narkisim" w:hAnsi="Narkisim"/>
          <w:rtl/>
        </w:rPr>
        <w:t>ו</w:t>
      </w:r>
      <w:r w:rsidRPr="003D7FC2">
        <w:rPr>
          <w:rFonts w:ascii="Narkisim" w:hAnsi="Narkisim"/>
          <w:b/>
          <w:bCs/>
          <w:rtl/>
        </w:rPr>
        <w:t>רש"י</w:t>
      </w:r>
      <w:r w:rsidRPr="003D7FC2">
        <w:rPr>
          <w:rFonts w:ascii="Narkisim" w:hAnsi="Narkisim"/>
          <w:rtl/>
        </w:rPr>
        <w:t xml:space="preserve"> (סנהדרין הנ"ל) כת' להיפך, דהורתו ולידתו בקדושה כיון דדמי ליה לישראל מודה ר' מאיר דאסור באחותו מאביו, דילמא אתי לאחלופי בישראל., ואפי' נולדו אותן קרובות בהיותו נכרי.</w:t>
      </w:r>
    </w:p>
    <w:p w14:paraId="51DF6B0D" w14:textId="77777777" w:rsidR="006C4368" w:rsidRPr="003D7FC2" w:rsidRDefault="006C4368" w:rsidP="006C4368">
      <w:pPr>
        <w:bidi/>
        <w:rPr>
          <w:rFonts w:ascii="Narkisim" w:hAnsi="Narkisim" w:cs="Narkisim"/>
        </w:rPr>
      </w:pPr>
      <w:r w:rsidRPr="003D7FC2">
        <w:rPr>
          <w:rFonts w:ascii="Narkisim" w:hAnsi="Narkisim" w:cs="Narkisim"/>
          <w:u w:val="single"/>
          <w:rtl/>
        </w:rPr>
        <w:t>אחות האב מן האם יוציא</w:t>
      </w:r>
      <w:r w:rsidRPr="003D7FC2">
        <w:rPr>
          <w:rFonts w:ascii="Narkisim" w:hAnsi="Narkisim" w:cs="Narkisim"/>
          <w:rtl/>
        </w:rPr>
        <w:t>. ה</w:t>
      </w:r>
      <w:r w:rsidRPr="003D7FC2">
        <w:rPr>
          <w:rFonts w:ascii="Narkisim" w:hAnsi="Narkisim" w:cs="Narkisim"/>
          <w:b/>
          <w:bCs/>
          <w:rtl/>
        </w:rPr>
        <w:t>ראשונים</w:t>
      </w:r>
      <w:r w:rsidRPr="003D7FC2">
        <w:rPr>
          <w:rFonts w:ascii="Narkisim" w:hAnsi="Narkisim" w:cs="Narkisim"/>
          <w:rtl/>
        </w:rPr>
        <w:t xml:space="preserve"> תמהו וכי אחות האב חמור מאחותו [מאביו דיקיים], דאי אין אב לעכו"ם אף בזה ל"ש גזירה. ו</w:t>
      </w:r>
      <w:r w:rsidRPr="003D7FC2">
        <w:rPr>
          <w:rFonts w:ascii="Narkisim" w:hAnsi="Narkisim" w:cs="Narkisim"/>
          <w:b/>
          <w:bCs/>
          <w:rtl/>
        </w:rPr>
        <w:t>רש"י</w:t>
      </w:r>
      <w:r w:rsidRPr="003D7FC2">
        <w:rPr>
          <w:rFonts w:ascii="Narkisim" w:hAnsi="Narkisim" w:cs="Narkisim"/>
          <w:rtl/>
        </w:rPr>
        <w:t xml:space="preserve"> תי' דאחות אביו [מהאם] הוה גזירה משום אחותו מן האם. [וה</w:t>
      </w:r>
      <w:r w:rsidRPr="003D7FC2">
        <w:rPr>
          <w:rFonts w:ascii="Narkisim" w:hAnsi="Narkisim" w:cs="Narkisim"/>
          <w:b/>
          <w:bCs/>
          <w:rtl/>
        </w:rPr>
        <w:t>תוס' רא"ש</w:t>
      </w:r>
      <w:r w:rsidRPr="003D7FC2">
        <w:rPr>
          <w:rFonts w:ascii="Narkisim" w:hAnsi="Narkisim" w:cs="Narkisim"/>
          <w:rtl/>
        </w:rPr>
        <w:t xml:space="preserve"> הק' דא"כ אף אחותו מהאב נגזור אטו אחותו מהאם].</w:t>
      </w:r>
    </w:p>
    <w:p w14:paraId="031ABE86" w14:textId="77777777" w:rsidR="006C4368" w:rsidRPr="003D7FC2" w:rsidRDefault="006C4368" w:rsidP="006C4368">
      <w:pPr>
        <w:pStyle w:val="a7"/>
        <w:bidi/>
        <w:rPr>
          <w:rFonts w:ascii="Narkisim" w:hAnsi="Narkisim"/>
        </w:rPr>
      </w:pPr>
      <w:r w:rsidRPr="003D7FC2">
        <w:rPr>
          <w:rFonts w:ascii="Narkisim" w:hAnsi="Narkisim"/>
          <w:rtl/>
        </w:rPr>
        <w:t xml:space="preserve">אבל </w:t>
      </w:r>
      <w:r w:rsidRPr="003D7FC2">
        <w:rPr>
          <w:rFonts w:ascii="Narkisim" w:hAnsi="Narkisim"/>
          <w:b/>
          <w:bCs/>
          <w:rtl/>
        </w:rPr>
        <w:t>רש"י</w:t>
      </w:r>
      <w:r w:rsidRPr="003D7FC2">
        <w:rPr>
          <w:rFonts w:ascii="Narkisim" w:hAnsi="Narkisim"/>
          <w:rtl/>
        </w:rPr>
        <w:t xml:space="preserve"> (סנהדרין נח.) ביאר הך ברייתא משום שמא יאמרו באנו מקדושה חמורה לקדושה קלה (וכגמ' לעיל כב.)</w:t>
      </w:r>
      <w:r w:rsidRPr="003D7FC2">
        <w:rPr>
          <w:rStyle w:val="ac"/>
          <w:rFonts w:ascii="Narkisim" w:hAnsi="Narkisim"/>
          <w:rtl/>
        </w:rPr>
        <w:footnoteReference w:id="6340"/>
      </w:r>
      <w:r w:rsidRPr="003D7FC2">
        <w:rPr>
          <w:rFonts w:ascii="Narkisim" w:hAnsi="Narkisim"/>
          <w:rtl/>
        </w:rPr>
        <w:t>. [וכ"כ תוס' ד"ה אחות]. וס"ל כר"א דעכו"ם אסור באחות אביו מאמו</w:t>
      </w:r>
      <w:r w:rsidRPr="003D7FC2">
        <w:rPr>
          <w:rStyle w:val="ac"/>
          <w:rFonts w:ascii="Narkisim" w:hAnsi="Narkisim"/>
          <w:rtl/>
        </w:rPr>
        <w:footnoteReference w:id="6341"/>
      </w:r>
      <w:r w:rsidRPr="003D7FC2">
        <w:rPr>
          <w:rFonts w:ascii="Narkisim" w:hAnsi="Narkisim"/>
          <w:rtl/>
        </w:rPr>
        <w:t>, וכן באחות אמו מאמו. ואפ"ה עכו"ם מותר באחותו מאביו. [ו</w:t>
      </w:r>
      <w:r w:rsidRPr="003D7FC2">
        <w:rPr>
          <w:rFonts w:ascii="Narkisim" w:hAnsi="Narkisim"/>
          <w:b/>
          <w:bCs/>
          <w:rtl/>
        </w:rPr>
        <w:t>תוס'</w:t>
      </w:r>
      <w:r w:rsidRPr="003D7FC2">
        <w:rPr>
          <w:rFonts w:ascii="Narkisim" w:hAnsi="Narkisim"/>
          <w:rtl/>
        </w:rPr>
        <w:t xml:space="preserve"> (ד”ה נשא) כת' דפליג על התו"כ].</w:t>
      </w:r>
    </w:p>
    <w:p w14:paraId="340BC444"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רמ"ה</w:t>
      </w:r>
      <w:r w:rsidRPr="003D7FC2">
        <w:rPr>
          <w:rFonts w:ascii="Narkisim" w:hAnsi="Narkisim"/>
          <w:rtl/>
        </w:rPr>
        <w:t xml:space="preserve"> (שם) ביאר דדעת ר"א דגזיה"כ דאסור באחות אביו. ואף דקי"ל דאין אב לכותי, ה"מ למיסר שאר קרובין דאתיא מחמתיה אבל אחות אביו גזיה"כ. וחכמים אומרים יקיים דס"ל דאין אב לכותי לכל דבר, ולית להו דרשא דאת אביו.</w:t>
      </w:r>
    </w:p>
    <w:p w14:paraId="42753747" w14:textId="77777777" w:rsidR="006C4368" w:rsidRPr="003D7FC2" w:rsidRDefault="006C4368" w:rsidP="006C4368">
      <w:pPr>
        <w:bidi/>
        <w:rPr>
          <w:rFonts w:ascii="Narkisim" w:hAnsi="Narkisim" w:cs="Narkisim"/>
        </w:rPr>
      </w:pPr>
      <w:r w:rsidRPr="003D7FC2">
        <w:rPr>
          <w:rFonts w:ascii="Narkisim" w:hAnsi="Narkisim" w:cs="Narkisim"/>
          <w:rtl/>
        </w:rPr>
        <w:t>ו</w:t>
      </w:r>
      <w:r w:rsidRPr="003D7FC2">
        <w:rPr>
          <w:rFonts w:ascii="Narkisim" w:hAnsi="Narkisim" w:cs="Narkisim"/>
          <w:b/>
          <w:bCs/>
          <w:rtl/>
        </w:rPr>
        <w:t>רש"י</w:t>
      </w:r>
      <w:r w:rsidRPr="003D7FC2">
        <w:rPr>
          <w:rFonts w:ascii="Narkisim" w:hAnsi="Narkisim" w:cs="Narkisim"/>
          <w:rtl/>
        </w:rPr>
        <w:t xml:space="preserve"> (שם) כת' דאחות האם מן האב לר' מאיר יוציא משום גזירה דאחותו מהאם</w:t>
      </w:r>
      <w:r w:rsidRPr="003D7FC2">
        <w:rPr>
          <w:rStyle w:val="ac"/>
          <w:rFonts w:ascii="Narkisim" w:hAnsi="Narkisim" w:cs="Narkisim"/>
          <w:rtl/>
        </w:rPr>
        <w:footnoteReference w:id="6342"/>
      </w:r>
      <w:r w:rsidRPr="003D7FC2">
        <w:rPr>
          <w:rFonts w:ascii="Narkisim" w:hAnsi="Narkisim" w:cs="Narkisim"/>
          <w:rtl/>
        </w:rPr>
        <w:t>, הואיל ואיכא צד שאר האם.</w:t>
      </w:r>
    </w:p>
    <w:p w14:paraId="25D66FB8" w14:textId="77777777" w:rsidR="006C4368" w:rsidRPr="003D7FC2" w:rsidRDefault="006C4368" w:rsidP="006C4368">
      <w:pPr>
        <w:pStyle w:val="3"/>
        <w:bidi/>
        <w:rPr>
          <w:rFonts w:ascii="Narkisim" w:hAnsi="Narkisim"/>
        </w:rPr>
      </w:pPr>
      <w:r w:rsidRPr="003D7FC2">
        <w:rPr>
          <w:rFonts w:ascii="Narkisim" w:hAnsi="Narkisim"/>
          <w:rtl/>
        </w:rPr>
        <w:t>דף צח:</w:t>
      </w:r>
    </w:p>
    <w:p w14:paraId="2E889FEA" w14:textId="77777777" w:rsidR="006C4368" w:rsidRPr="003D7FC2" w:rsidRDefault="006C4368" w:rsidP="006C4368">
      <w:pPr>
        <w:pStyle w:val="aa"/>
        <w:bidi/>
        <w:rPr>
          <w:rFonts w:ascii="Narkisim" w:hAnsi="Narkisim"/>
        </w:rPr>
      </w:pPr>
      <w:r w:rsidRPr="003D7FC2">
        <w:rPr>
          <w:rFonts w:ascii="Narkisim" w:hAnsi="Narkisim"/>
          <w:u w:val="single"/>
          <w:rtl/>
        </w:rPr>
        <w:t>תוד"ה אשת אביו</w:t>
      </w:r>
      <w:r w:rsidRPr="003D7FC2">
        <w:rPr>
          <w:rFonts w:ascii="Narkisim" w:hAnsi="Narkisim"/>
          <w:rtl/>
        </w:rPr>
        <w:t>. אבל ר"ע פליג עליה, ואסר אשת אביו וכו'. דר"ע ס"ל דעכו"ם אסור באשת אביו, אבל מותר באחות אביו וכו'. דדרש לקרא על כן יעזוב את אביו זו אשת אביו. [ותוס' הביאו דברי ר"ע רק להחמיר באשת אביו, אך פליג בכוליה מתני'].</w:t>
      </w:r>
    </w:p>
    <w:p w14:paraId="4A6BA514" w14:textId="77777777" w:rsidR="006C4368" w:rsidRPr="003D7FC2" w:rsidRDefault="006C4368" w:rsidP="006C4368">
      <w:pPr>
        <w:pStyle w:val="aa"/>
        <w:bidi/>
        <w:rPr>
          <w:rFonts w:ascii="Narkisim" w:hAnsi="Narkisim"/>
        </w:rPr>
      </w:pPr>
      <w:r w:rsidRPr="003D7FC2">
        <w:rPr>
          <w:rFonts w:ascii="Narkisim" w:hAnsi="Narkisim"/>
          <w:u w:val="single"/>
          <w:rtl/>
        </w:rPr>
        <w:t>בא"ד וה"ג פוסקין כר"ע וכו' ומיהו יש ליזהר כר"א</w:t>
      </w:r>
      <w:r w:rsidRPr="003D7FC2">
        <w:rPr>
          <w:rFonts w:ascii="Narkisim" w:hAnsi="Narkisim"/>
          <w:rtl/>
        </w:rPr>
        <w:t>. וכ"פ ה</w:t>
      </w:r>
      <w:r w:rsidRPr="003D7FC2">
        <w:rPr>
          <w:rFonts w:ascii="Narkisim" w:hAnsi="Narkisim"/>
          <w:b/>
          <w:bCs/>
          <w:rtl/>
        </w:rPr>
        <w:t>טור</w:t>
      </w:r>
      <w:r w:rsidRPr="003D7FC2">
        <w:rPr>
          <w:rFonts w:ascii="Narkisim" w:hAnsi="Narkisim"/>
          <w:rtl/>
        </w:rPr>
        <w:t xml:space="preserve"> (יו"ד רסט) כתרוייהו לחומרא. אבל ה</w:t>
      </w:r>
      <w:r w:rsidRPr="003D7FC2">
        <w:rPr>
          <w:rFonts w:ascii="Narkisim" w:hAnsi="Narkisim"/>
          <w:b/>
          <w:bCs/>
          <w:rtl/>
        </w:rPr>
        <w:t>רמב”ם</w:t>
      </w:r>
      <w:r w:rsidRPr="003D7FC2">
        <w:rPr>
          <w:rFonts w:ascii="Narkisim" w:hAnsi="Narkisim"/>
          <w:rtl/>
        </w:rPr>
        <w:t xml:space="preserve"> (איסו"ב יד י ויג מלכים ט ה והשו”ע שם) פסק כר"ע אף לקולא, דמותר באחות אביו ואחות אמו.</w:t>
      </w:r>
    </w:p>
    <w:p w14:paraId="1EA8DEA3" w14:textId="77777777" w:rsidR="006C4368" w:rsidRPr="003D7FC2" w:rsidRDefault="006C4368" w:rsidP="006C4368">
      <w:pPr>
        <w:pStyle w:val="aa"/>
        <w:bidi/>
        <w:rPr>
          <w:rFonts w:ascii="Narkisim" w:hAnsi="Narkisim"/>
        </w:rPr>
      </w:pPr>
      <w:r w:rsidRPr="003D7FC2">
        <w:rPr>
          <w:rFonts w:ascii="Narkisim" w:hAnsi="Narkisim"/>
          <w:u w:val="single"/>
          <w:rtl/>
        </w:rPr>
        <w:t>קתני מיהת באשת אחיו, מאי לאו דנסבה כשהוא גר, לא דמסבה כשהוא עכו"ם וכו</w:t>
      </w:r>
      <w:r w:rsidRPr="003D7FC2">
        <w:rPr>
          <w:rFonts w:ascii="Narkisim" w:hAnsi="Narkisim"/>
          <w:rtl/>
        </w:rPr>
        <w:t>'. וה</w:t>
      </w:r>
      <w:r w:rsidRPr="003D7FC2">
        <w:rPr>
          <w:rFonts w:ascii="Narkisim" w:hAnsi="Narkisim"/>
          <w:b/>
          <w:bCs/>
          <w:rtl/>
        </w:rPr>
        <w:t>רמב"ם</w:t>
      </w:r>
      <w:r w:rsidRPr="003D7FC2">
        <w:rPr>
          <w:rFonts w:ascii="Narkisim" w:hAnsi="Narkisim"/>
          <w:rtl/>
        </w:rPr>
        <w:t xml:space="preserve"> (איסו"ב יד יג) פסק דאסור באשת אחיו מאמו שנשאה אחיו מאמו אחר שנתגייר. ומותר באשת אחי אביו, ואשת אביו, ואשת בנו אף שנשאת להם אחר שנתגיירו. וה</w:t>
      </w:r>
      <w:r w:rsidRPr="003D7FC2">
        <w:rPr>
          <w:rFonts w:ascii="Narkisim" w:hAnsi="Narkisim"/>
          <w:b/>
          <w:bCs/>
          <w:rtl/>
        </w:rPr>
        <w:t>ראב"ד</w:t>
      </w:r>
      <w:r w:rsidRPr="003D7FC2">
        <w:rPr>
          <w:rFonts w:ascii="Narkisim" w:hAnsi="Narkisim"/>
          <w:rtl/>
        </w:rPr>
        <w:t xml:space="preserve"> השיג דלדחיית הגמ' דאיירי שנסבה כשהוא עכו"ם, א"כ אף אשת אחי אביו ובאשת אביו דקתני להו כי הדדי איירי בעכו"ם, וכשנשאן אחר גירות אסורין. וה</w:t>
      </w:r>
      <w:r w:rsidRPr="003D7FC2">
        <w:rPr>
          <w:rFonts w:ascii="Narkisim" w:hAnsi="Narkisim"/>
          <w:b/>
          <w:bCs/>
          <w:rtl/>
        </w:rPr>
        <w:t>רמב"ן</w:t>
      </w:r>
      <w:r w:rsidRPr="003D7FC2">
        <w:rPr>
          <w:rFonts w:ascii="Narkisim" w:hAnsi="Narkisim"/>
          <w:rtl/>
        </w:rPr>
        <w:t xml:space="preserve"> הכריע כרמב"ם דלא תלי בהדדי. ובהנך דהוה מצד האב ל"ש גזירה.</w:t>
      </w:r>
    </w:p>
    <w:p w14:paraId="4F71DC0B" w14:textId="77777777" w:rsidR="006C4368" w:rsidRPr="003D7FC2" w:rsidRDefault="006C4368" w:rsidP="006C4368">
      <w:pPr>
        <w:bidi/>
        <w:rPr>
          <w:rFonts w:ascii="Narkisim" w:hAnsi="Narkisim" w:cs="Narkisim"/>
        </w:rPr>
      </w:pPr>
      <w:r w:rsidRPr="003D7FC2">
        <w:rPr>
          <w:rFonts w:ascii="Narkisim" w:hAnsi="Narkisim" w:cs="Narkisim"/>
          <w:u w:val="single"/>
          <w:rtl/>
        </w:rPr>
        <w:t>נשא אשה ובתה כונס א', ומוציא א'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ו</w:t>
      </w:r>
      <w:r w:rsidRPr="003D7FC2">
        <w:rPr>
          <w:rFonts w:ascii="Narkisim" w:hAnsi="Narkisim" w:cs="Narkisim"/>
          <w:b/>
          <w:bCs/>
          <w:rtl/>
        </w:rPr>
        <w:t>תוס'</w:t>
      </w:r>
      <w:r w:rsidRPr="003D7FC2">
        <w:rPr>
          <w:rFonts w:ascii="Narkisim" w:hAnsi="Narkisim" w:cs="Narkisim"/>
          <w:rtl/>
        </w:rPr>
        <w:t xml:space="preserve"> כשנשאן בהיותו עכו"ם</w:t>
      </w:r>
      <w:r w:rsidRPr="003D7FC2">
        <w:rPr>
          <w:rStyle w:val="ac"/>
          <w:rFonts w:ascii="Narkisim" w:hAnsi="Narkisim" w:cs="Narkisim"/>
          <w:rtl/>
        </w:rPr>
        <w:footnoteReference w:id="6343"/>
      </w:r>
      <w:r w:rsidRPr="003D7FC2">
        <w:rPr>
          <w:rFonts w:ascii="Narkisim" w:hAnsi="Narkisim" w:cs="Narkisim"/>
          <w:rtl/>
        </w:rPr>
        <w:t xml:space="preserve">, ונתגיירו. ולא נשאן לאחר שנתגיירו, דאי נשאן לאחר שנתגיירו, נאסר בקרובותיה לעולם. ומוציא את </w:t>
      </w:r>
      <w:r w:rsidRPr="003D7FC2">
        <w:rPr>
          <w:rFonts w:ascii="Narkisim" w:hAnsi="Narkisim" w:cs="Narkisim"/>
          <w:rtl/>
        </w:rPr>
        <w:lastRenderedPageBreak/>
        <w:t>שתיהן</w:t>
      </w:r>
      <w:r w:rsidRPr="003D7FC2">
        <w:rPr>
          <w:rStyle w:val="ac"/>
          <w:rFonts w:ascii="Narkisim" w:hAnsi="Narkisim" w:cs="Narkisim"/>
          <w:rtl/>
        </w:rPr>
        <w:footnoteReference w:id="6344"/>
      </w:r>
      <w:r w:rsidRPr="003D7FC2">
        <w:rPr>
          <w:rFonts w:ascii="Narkisim" w:hAnsi="Narkisim" w:cs="Narkisim"/>
          <w:rtl/>
        </w:rPr>
        <w:t>.</w:t>
      </w:r>
    </w:p>
    <w:p w14:paraId="5E13811D" w14:textId="77777777" w:rsidR="006C4368" w:rsidRPr="003D7FC2" w:rsidRDefault="006C4368" w:rsidP="006C4368">
      <w:pPr>
        <w:pStyle w:val="a7"/>
        <w:bidi/>
        <w:rPr>
          <w:rFonts w:ascii="Narkisim" w:hAnsi="Narkisim"/>
        </w:rPr>
      </w:pPr>
      <w:r w:rsidRPr="003D7FC2">
        <w:rPr>
          <w:rFonts w:ascii="Narkisim" w:hAnsi="Narkisim"/>
          <w:rtl/>
        </w:rPr>
        <w:t>אבל ה</w:t>
      </w:r>
      <w:r w:rsidRPr="003D7FC2">
        <w:rPr>
          <w:rFonts w:ascii="Narkisim" w:hAnsi="Narkisim"/>
          <w:b/>
          <w:bCs/>
          <w:rtl/>
        </w:rPr>
        <w:t>רמ"ה</w:t>
      </w:r>
      <w:r w:rsidRPr="003D7FC2">
        <w:rPr>
          <w:rFonts w:ascii="Narkisim" w:hAnsi="Narkisim"/>
          <w:rtl/>
        </w:rPr>
        <w:t xml:space="preserve"> (שם נח.) כת' דאיירי אפי' שנשאן משנתגייר. וכת' דה"ה ישראל שנשא אשה ובתה גיורות. והרמ"ה ביאר דאף דגזרו קרובות בגירות, הכא לא אסרה לקיחתן אהדדי. ול"ש שמא יאמרו באנו מקדושה קלה.</w:t>
      </w:r>
    </w:p>
    <w:p w14:paraId="2D4D1DB0" w14:textId="77777777" w:rsidR="006C4368" w:rsidRPr="003D7FC2" w:rsidRDefault="006C4368" w:rsidP="006C4368">
      <w:pPr>
        <w:pStyle w:val="a8"/>
        <w:bidi/>
        <w:rPr>
          <w:rFonts w:ascii="Narkisim" w:hAnsi="Narkisim"/>
        </w:rPr>
      </w:pPr>
      <w:r w:rsidRPr="003D7FC2">
        <w:rPr>
          <w:rFonts w:ascii="Narkisim" w:hAnsi="Narkisim"/>
          <w:rtl/>
        </w:rPr>
        <w:t>וכ”פ ה</w:t>
      </w:r>
      <w:r w:rsidRPr="003D7FC2">
        <w:rPr>
          <w:rFonts w:ascii="Narkisim" w:hAnsi="Narkisim"/>
          <w:b/>
          <w:bCs/>
          <w:rtl/>
        </w:rPr>
        <w:t>רמב”ם</w:t>
      </w:r>
      <w:r w:rsidRPr="003D7FC2">
        <w:rPr>
          <w:rFonts w:ascii="Narkisim" w:hAnsi="Narkisim"/>
          <w:rtl/>
        </w:rPr>
        <w:t xml:space="preserve"> (איסו”ב יד טו) הנושא</w:t>
      </w:r>
      <w:r w:rsidRPr="003D7FC2">
        <w:rPr>
          <w:rStyle w:val="ac"/>
          <w:rFonts w:ascii="Narkisim" w:hAnsi="Narkisim"/>
          <w:rtl/>
        </w:rPr>
        <w:footnoteReference w:id="6345"/>
      </w:r>
      <w:r w:rsidRPr="003D7FC2">
        <w:rPr>
          <w:rFonts w:ascii="Narkisim" w:hAnsi="Narkisim"/>
          <w:rtl/>
        </w:rPr>
        <w:t xml:space="preserve"> גיורת ובתה הגיורת או ב' אחיות מן האם יושב עם א' מהן ומגרש השנייה. ו</w:t>
      </w:r>
      <w:r w:rsidRPr="003D7FC2">
        <w:rPr>
          <w:rFonts w:ascii="Narkisim" w:hAnsi="Narkisim"/>
          <w:b/>
          <w:bCs/>
          <w:rtl/>
        </w:rPr>
        <w:t>רע"א</w:t>
      </w:r>
      <w:r w:rsidRPr="003D7FC2">
        <w:rPr>
          <w:rFonts w:ascii="Narkisim" w:hAnsi="Narkisim"/>
          <w:rtl/>
        </w:rPr>
        <w:t xml:space="preserve"> (לרמב"ם, הו' בחי') תמה דבנושא אותן אחר שנתגיירו, כיון דתפסי קדושין בשתיהן מדאורייתא מה מהני לגרש השניה, הא בישראל כה"ג אסור בקרובות גרושתו. א"כ הו"ל לאסור בגר מדרבנן. ובמתה אשתו מותר באמה רק משום דקליש איסורא, אבל בלא"ה אף דעתה אינו יושב עם שתיהן ביחד אסורה, א"כ בגירש א' דלא אקליש איסורא, אמאי מותר בשניה.</w:t>
      </w:r>
    </w:p>
    <w:p w14:paraId="0278AEDA" w14:textId="77777777" w:rsidR="006C4368" w:rsidRPr="003D7FC2" w:rsidRDefault="006C4368" w:rsidP="006C4368">
      <w:pPr>
        <w:pStyle w:val="a8"/>
        <w:bidi/>
        <w:rPr>
          <w:rFonts w:ascii="Narkisim" w:hAnsi="Narkisim"/>
        </w:rPr>
      </w:pPr>
      <w:r w:rsidRPr="003D7FC2">
        <w:rPr>
          <w:rFonts w:ascii="Narkisim" w:hAnsi="Narkisim"/>
          <w:rtl/>
        </w:rPr>
        <w:t>ו</w:t>
      </w:r>
      <w:r w:rsidRPr="003D7FC2">
        <w:rPr>
          <w:rFonts w:ascii="Narkisim" w:hAnsi="Narkisim"/>
          <w:b/>
          <w:bCs/>
          <w:rtl/>
        </w:rPr>
        <w:t>רע”א</w:t>
      </w:r>
      <w:r w:rsidRPr="003D7FC2">
        <w:rPr>
          <w:rFonts w:ascii="Narkisim" w:hAnsi="Narkisim"/>
          <w:rtl/>
        </w:rPr>
        <w:t xml:space="preserve"> כת' דאף דלקו' הגמ' מבואר דאין בזה איסור, לס"ד היינו מוכרחים לדחוק מאיזה טעם שיהיה שמותר [אי כיון דמגרש א' מהן הוי היכר יותר ועדיף ממתה, אי מטעם אחר</w:t>
      </w:r>
      <w:r w:rsidRPr="003D7FC2">
        <w:rPr>
          <w:rStyle w:val="ac"/>
          <w:rFonts w:ascii="Narkisim" w:hAnsi="Narkisim"/>
          <w:rtl/>
        </w:rPr>
        <w:footnoteReference w:id="6346"/>
      </w:r>
      <w:r w:rsidRPr="003D7FC2">
        <w:rPr>
          <w:rFonts w:ascii="Narkisim" w:hAnsi="Narkisim"/>
          <w:rtl/>
        </w:rPr>
        <w:t>], ועוד כת' דיל"פ כונס אחת היינו הראשונה. והקילו אף דקידש השני באיסור</w:t>
      </w:r>
      <w:r w:rsidRPr="003D7FC2">
        <w:rPr>
          <w:rStyle w:val="ac"/>
          <w:rFonts w:ascii="Narkisim" w:hAnsi="Narkisim"/>
          <w:rtl/>
        </w:rPr>
        <w:footnoteReference w:id="6347"/>
      </w:r>
      <w:r w:rsidRPr="003D7FC2">
        <w:rPr>
          <w:rFonts w:ascii="Narkisim" w:hAnsi="Narkisim"/>
          <w:rtl/>
        </w:rPr>
        <w:t>. אך מ"מ לפי האמת כת' רש"י והראשונים דמיירי בנשא בגויתם.</w:t>
      </w:r>
    </w:p>
    <w:p w14:paraId="6AD8805D" w14:textId="77777777" w:rsidR="006C4368" w:rsidRPr="003D7FC2" w:rsidRDefault="006C4368" w:rsidP="006C4368">
      <w:pPr>
        <w:bidi/>
        <w:rPr>
          <w:rFonts w:ascii="Narkisim" w:hAnsi="Narkisim" w:cs="Narkisim"/>
        </w:rPr>
      </w:pPr>
      <w:r w:rsidRPr="003D7FC2">
        <w:rPr>
          <w:rFonts w:ascii="Narkisim" w:hAnsi="Narkisim" w:cs="Narkisim"/>
          <w:u w:val="single"/>
          <w:rtl/>
        </w:rPr>
        <w:t>התם קאי, וה"ק הך דאמור רבנן יקיים לכתחלה לא יכנוס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כגון אחותו מן האב וכו'. דקאי ארישא דברייתא בכל הנך דתני 'יקיים'. [אחותו מאביו, אחות האב מן האב, אחות האם מן האב</w:t>
      </w:r>
      <w:r w:rsidRPr="003D7FC2">
        <w:rPr>
          <w:rStyle w:val="ac"/>
          <w:rFonts w:ascii="Narkisim" w:hAnsi="Narkisim" w:cs="Narkisim"/>
          <w:rtl/>
        </w:rPr>
        <w:footnoteReference w:id="6348"/>
      </w:r>
      <w:r w:rsidRPr="003D7FC2">
        <w:rPr>
          <w:rFonts w:ascii="Narkisim" w:hAnsi="Narkisim" w:cs="Narkisim"/>
          <w:rtl/>
        </w:rPr>
        <w:t>].</w:t>
      </w:r>
    </w:p>
    <w:p w14:paraId="0EC15F36" w14:textId="77777777" w:rsidR="006C4368" w:rsidRPr="003D7FC2" w:rsidRDefault="006C4368" w:rsidP="006C4368">
      <w:pPr>
        <w:pStyle w:val="a7"/>
        <w:bidi/>
        <w:rPr>
          <w:rFonts w:ascii="Narkisim" w:hAnsi="Narkisim"/>
        </w:rPr>
      </w:pPr>
      <w:r w:rsidRPr="003D7FC2">
        <w:rPr>
          <w:rFonts w:ascii="Narkisim" w:hAnsi="Narkisim"/>
          <w:rtl/>
        </w:rPr>
        <w:t>אבל ה</w:t>
      </w:r>
      <w:r w:rsidRPr="003D7FC2">
        <w:rPr>
          <w:rFonts w:ascii="Narkisim" w:hAnsi="Narkisim"/>
          <w:b/>
          <w:bCs/>
          <w:rtl/>
        </w:rPr>
        <w:t>רמב"ם</w:t>
      </w:r>
      <w:r w:rsidRPr="003D7FC2">
        <w:rPr>
          <w:rFonts w:ascii="Narkisim" w:hAnsi="Narkisim"/>
          <w:rtl/>
        </w:rPr>
        <w:t xml:space="preserve"> (איסו"ב יד יג) פסק דאין לו שאר האב ונושא [לכתחילה] אחות אמו מאביה, וכן אחותו מאביו. וה</w:t>
      </w:r>
      <w:r w:rsidRPr="003D7FC2">
        <w:rPr>
          <w:rFonts w:ascii="Narkisim" w:hAnsi="Narkisim"/>
          <w:b/>
          <w:bCs/>
          <w:rtl/>
        </w:rPr>
        <w:t>רמב"ן</w:t>
      </w:r>
      <w:r w:rsidRPr="003D7FC2">
        <w:rPr>
          <w:rFonts w:ascii="Narkisim" w:hAnsi="Narkisim"/>
          <w:rtl/>
        </w:rPr>
        <w:t xml:space="preserve"> ביאר דהך ברייתא כר"א דאחות האם אסורה לבני נח. ואילו הרמב"ם פסק כר"ע דמותרת [דקרא קאי באשת אב]. אך הביא דבירושלמי משמע דכל הקרובים לכתחילה לא ישא.</w:t>
      </w:r>
    </w:p>
    <w:p w14:paraId="2B6E428E" w14:textId="77777777" w:rsidR="006C4368" w:rsidRPr="003D7FC2" w:rsidRDefault="006C4368" w:rsidP="006C4368">
      <w:pPr>
        <w:pStyle w:val="a8"/>
        <w:bidi/>
        <w:rPr>
          <w:rFonts w:ascii="Narkisim" w:hAnsi="Narkisim"/>
        </w:rPr>
      </w:pPr>
      <w:r w:rsidRPr="003D7FC2">
        <w:rPr>
          <w:rFonts w:ascii="Narkisim" w:hAnsi="Narkisim"/>
          <w:rtl/>
        </w:rPr>
        <w:t>אך הרמב"ם התיר אף אחותו מן האב לכתחילה. [והרמב"ן לא הביא דבריו בזה]. ואף דדעת הרמב"ם דאחותו אסורה לבני נח, אפ"ה מן האב לא גזרו. [דמידע ידעי].</w:t>
      </w:r>
    </w:p>
    <w:p w14:paraId="3FFC144F" w14:textId="77777777" w:rsidR="006C4368" w:rsidRPr="003D7FC2" w:rsidRDefault="006C4368" w:rsidP="006C4368">
      <w:pPr>
        <w:pStyle w:val="aa"/>
        <w:bidi/>
        <w:rPr>
          <w:rFonts w:ascii="Narkisim" w:hAnsi="Narkisim"/>
        </w:rPr>
      </w:pPr>
      <w:r w:rsidRPr="003D7FC2">
        <w:rPr>
          <w:rFonts w:ascii="Narkisim" w:hAnsi="Narkisim"/>
          <w:rtl/>
        </w:rPr>
        <w:t>וה</w:t>
      </w:r>
      <w:r w:rsidRPr="003D7FC2">
        <w:rPr>
          <w:rFonts w:ascii="Narkisim" w:hAnsi="Narkisim"/>
          <w:b/>
          <w:bCs/>
          <w:rtl/>
        </w:rPr>
        <w:t>רמב"ם</w:t>
      </w:r>
      <w:r w:rsidRPr="003D7FC2">
        <w:rPr>
          <w:rFonts w:ascii="Narkisim" w:hAnsi="Narkisim"/>
          <w:rtl/>
        </w:rPr>
        <w:t xml:space="preserve"> (שם, והשו"ע) פסק דהיה נשוי לאמו או אחותו מאמו יוצא [משום שמא יאמרו], ואם היה נשוי לשאר עריות [כגון אחות אמו מאמה] ונתגייר</w:t>
      </w:r>
      <w:r w:rsidRPr="003D7FC2">
        <w:rPr>
          <w:rStyle w:val="ac"/>
          <w:rFonts w:ascii="Narkisim" w:hAnsi="Narkisim"/>
          <w:rtl/>
        </w:rPr>
        <w:footnoteReference w:id="6349"/>
      </w:r>
      <w:r w:rsidRPr="003D7FC2">
        <w:rPr>
          <w:rFonts w:ascii="Narkisim" w:hAnsi="Narkisim"/>
          <w:rtl/>
        </w:rPr>
        <w:t xml:space="preserve"> הוא ואשתו אין מפרישין אותו. [ואף דגזרו בגר משום איחלופי, כיון דל"ש שמא יאמרו הקילו דאי"צ להוציא].</w:t>
      </w:r>
    </w:p>
    <w:p w14:paraId="44A3E28E" w14:textId="77777777" w:rsidR="006C4368" w:rsidRPr="003D7FC2" w:rsidRDefault="006C4368" w:rsidP="006C4368">
      <w:pPr>
        <w:bidi/>
        <w:rPr>
          <w:rFonts w:ascii="Narkisim" w:hAnsi="Narkisim" w:cs="Narkisim"/>
        </w:rPr>
      </w:pPr>
      <w:r w:rsidRPr="003D7FC2">
        <w:rPr>
          <w:rFonts w:ascii="Narkisim" w:hAnsi="Narkisim" w:cs="Narkisim"/>
          <w:u w:val="single"/>
          <w:rtl/>
        </w:rPr>
        <w:t>תוד"ה קלש</w:t>
      </w:r>
      <w:r w:rsidRPr="003D7FC2">
        <w:rPr>
          <w:rFonts w:ascii="Narkisim" w:hAnsi="Narkisim" w:cs="Narkisim"/>
          <w:rtl/>
        </w:rPr>
        <w:t>. תימה וכו' אכתי איכא כרת</w:t>
      </w:r>
      <w:r w:rsidRPr="003D7FC2">
        <w:rPr>
          <w:rStyle w:val="ac"/>
          <w:rFonts w:ascii="Narkisim" w:hAnsi="Narkisim" w:cs="Narkisim"/>
          <w:rtl/>
        </w:rPr>
        <w:footnoteReference w:id="6350"/>
      </w:r>
      <w:r w:rsidRPr="003D7FC2">
        <w:rPr>
          <w:rFonts w:ascii="Narkisim" w:hAnsi="Narkisim" w:cs="Narkisim"/>
          <w:rtl/>
        </w:rPr>
        <w:t xml:space="preserve">. וכמ"ש </w:t>
      </w:r>
      <w:r w:rsidRPr="003D7FC2">
        <w:rPr>
          <w:rFonts w:ascii="Narkisim" w:hAnsi="Narkisim" w:cs="Narkisim"/>
          <w:b/>
          <w:bCs/>
          <w:rtl/>
        </w:rPr>
        <w:t>תוס</w:t>
      </w:r>
      <w:r w:rsidRPr="003D7FC2">
        <w:rPr>
          <w:rFonts w:ascii="Narkisim" w:hAnsi="Narkisim" w:cs="Narkisim"/>
          <w:rtl/>
        </w:rPr>
        <w:t xml:space="preserve">' (לעיל צד: ד"ה מאיסורא), וכ”ד </w:t>
      </w:r>
      <w:r w:rsidRPr="003D7FC2">
        <w:rPr>
          <w:rFonts w:ascii="Narkisim" w:hAnsi="Narkisim" w:cs="Narkisim"/>
          <w:b/>
          <w:bCs/>
          <w:rtl/>
        </w:rPr>
        <w:t>בה”ג</w:t>
      </w:r>
      <w:r w:rsidRPr="003D7FC2">
        <w:rPr>
          <w:rFonts w:ascii="Narkisim" w:hAnsi="Narkisim" w:cs="Narkisim"/>
          <w:rtl/>
        </w:rPr>
        <w:t xml:space="preserve"> וה</w:t>
      </w:r>
      <w:r w:rsidRPr="003D7FC2">
        <w:rPr>
          <w:rFonts w:ascii="Narkisim" w:hAnsi="Narkisim" w:cs="Narkisim"/>
          <w:b/>
          <w:bCs/>
          <w:rtl/>
        </w:rPr>
        <w:t xml:space="preserve">רמב”ם </w:t>
      </w:r>
      <w:r w:rsidRPr="003D7FC2">
        <w:rPr>
          <w:rFonts w:ascii="Narkisim" w:hAnsi="Narkisim" w:cs="Narkisim"/>
          <w:rtl/>
        </w:rPr>
        <w:t>(איסו"ב ב ז)</w:t>
      </w:r>
      <w:r w:rsidRPr="003D7FC2">
        <w:rPr>
          <w:rStyle w:val="ac"/>
          <w:rFonts w:ascii="Narkisim" w:hAnsi="Narkisim" w:cs="Narkisim"/>
          <w:rtl/>
        </w:rPr>
        <w:footnoteReference w:id="6351"/>
      </w:r>
      <w:r w:rsidRPr="003D7FC2">
        <w:rPr>
          <w:rFonts w:ascii="Narkisim" w:hAnsi="Narkisim" w:cs="Narkisim"/>
          <w:rtl/>
        </w:rPr>
        <w:t>. אבל ה</w:t>
      </w:r>
      <w:r w:rsidRPr="003D7FC2">
        <w:rPr>
          <w:rFonts w:ascii="Narkisim" w:hAnsi="Narkisim" w:cs="Narkisim"/>
          <w:b/>
          <w:bCs/>
          <w:rtl/>
        </w:rPr>
        <w:t>רמב"ן</w:t>
      </w:r>
      <w:r w:rsidRPr="003D7FC2">
        <w:rPr>
          <w:rFonts w:ascii="Narkisim" w:hAnsi="Narkisim" w:cs="Narkisim"/>
          <w:rtl/>
        </w:rPr>
        <w:t xml:space="preserve"> (כאן) הוכיח מסוגיין דחמותו לאחר מיתה לא הוה חייבי כריתות, דמבואר דקלישא משאר עריות דאחווה, ואף דאחותו ושאר עריות הוה רק חייבי כריתות. וע"כ הוה איסור דאורייתא בעלמא מדכתיב ארור שוכב עם חותנתו. וציין </w:t>
      </w:r>
      <w:r w:rsidRPr="003D7FC2">
        <w:rPr>
          <w:rFonts w:ascii="Narkisim" w:hAnsi="Narkisim" w:cs="Narkisim"/>
          <w:rtl/>
        </w:rPr>
        <w:lastRenderedPageBreak/>
        <w:t xml:space="preserve">דכ"כ </w:t>
      </w:r>
      <w:r w:rsidRPr="003D7FC2">
        <w:rPr>
          <w:rFonts w:ascii="Narkisim" w:hAnsi="Narkisim" w:cs="Narkisim"/>
          <w:b/>
          <w:bCs/>
          <w:rtl/>
        </w:rPr>
        <w:t>רש"י</w:t>
      </w:r>
      <w:r w:rsidRPr="003D7FC2">
        <w:rPr>
          <w:rFonts w:ascii="Narkisim" w:hAnsi="Narkisim" w:cs="Narkisim"/>
          <w:rtl/>
        </w:rPr>
        <w:t xml:space="preserve"> (סנהדרין עו:)</w:t>
      </w:r>
      <w:r w:rsidRPr="003D7FC2">
        <w:rPr>
          <w:rStyle w:val="ac"/>
          <w:rFonts w:ascii="Narkisim" w:hAnsi="Narkisim" w:cs="Narkisim"/>
          <w:rtl/>
        </w:rPr>
        <w:footnoteReference w:id="6352"/>
      </w:r>
      <w:r w:rsidRPr="003D7FC2">
        <w:rPr>
          <w:rFonts w:ascii="Narkisim" w:hAnsi="Narkisim" w:cs="Narkisim"/>
          <w:rtl/>
        </w:rPr>
        <w:t>.</w:t>
      </w:r>
    </w:p>
    <w:p w14:paraId="5E3742D7"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כת' דאין לומר דהוה רק איסור דרבנן, דא"כ הו"ל למימר ור' עקיבא סבר מדרבנן בעלמא. ועוד דא"כ ליתני גבי שניות, אלא איסורא דאורייתא.</w:t>
      </w:r>
    </w:p>
    <w:p w14:paraId="090C2978" w14:textId="77777777" w:rsidR="006C4368" w:rsidRPr="003D7FC2" w:rsidRDefault="006C4368" w:rsidP="006C4368">
      <w:pPr>
        <w:bidi/>
        <w:rPr>
          <w:rFonts w:ascii="Narkisim" w:hAnsi="Narkisim" w:cs="Narkisim"/>
        </w:rPr>
      </w:pPr>
      <w:r w:rsidRPr="003D7FC2">
        <w:rPr>
          <w:rFonts w:ascii="Narkisim" w:hAnsi="Narkisim" w:cs="Narkisim"/>
          <w:rtl/>
        </w:rPr>
        <w:t>וה</w:t>
      </w:r>
      <w:r w:rsidRPr="003D7FC2">
        <w:rPr>
          <w:rFonts w:ascii="Narkisim" w:hAnsi="Narkisim" w:cs="Narkisim"/>
          <w:b/>
          <w:bCs/>
          <w:rtl/>
        </w:rPr>
        <w:t>רמב"ן</w:t>
      </w:r>
      <w:r w:rsidRPr="003D7FC2">
        <w:rPr>
          <w:rFonts w:ascii="Narkisim" w:hAnsi="Narkisim" w:cs="Narkisim"/>
          <w:rtl/>
        </w:rPr>
        <w:t xml:space="preserve"> כת' דכיון דליכא שריפה וכרת, א"כ תפסי בה קידושין. וה</w:t>
      </w:r>
      <w:r w:rsidRPr="003D7FC2">
        <w:rPr>
          <w:rFonts w:ascii="Narkisim" w:hAnsi="Narkisim" w:cs="Narkisim"/>
          <w:b/>
          <w:bCs/>
          <w:rtl/>
        </w:rPr>
        <w:t>פוסקים</w:t>
      </w:r>
      <w:r w:rsidRPr="003D7FC2">
        <w:rPr>
          <w:rFonts w:ascii="Narkisim" w:hAnsi="Narkisim" w:cs="Narkisim"/>
          <w:rtl/>
        </w:rPr>
        <w:t xml:space="preserve"> (דגו"מ טו, הו' בפתח"ת שם ז ונוב”י ק' כו, ורע”א כאן) העירו דה</w:t>
      </w:r>
      <w:r w:rsidRPr="003D7FC2">
        <w:rPr>
          <w:rFonts w:ascii="Narkisim" w:hAnsi="Narkisim" w:cs="Narkisim"/>
          <w:b/>
          <w:bCs/>
          <w:rtl/>
        </w:rPr>
        <w:t>שו"ע</w:t>
      </w:r>
      <w:r w:rsidRPr="003D7FC2">
        <w:rPr>
          <w:rFonts w:ascii="Narkisim" w:hAnsi="Narkisim" w:cs="Narkisim"/>
          <w:rtl/>
        </w:rPr>
        <w:t xml:space="preserve"> (טו טו) וה</w:t>
      </w:r>
      <w:r w:rsidRPr="003D7FC2">
        <w:rPr>
          <w:rFonts w:ascii="Narkisim" w:hAnsi="Narkisim" w:cs="Narkisim"/>
          <w:b/>
          <w:bCs/>
          <w:rtl/>
        </w:rPr>
        <w:t>פוסקים</w:t>
      </w:r>
      <w:r w:rsidRPr="003D7FC2">
        <w:rPr>
          <w:rFonts w:ascii="Narkisim" w:hAnsi="Narkisim" w:cs="Narkisim"/>
          <w:rtl/>
        </w:rPr>
        <w:t xml:space="preserve"> סתמו דאסורה לאחר מיתה, ולא הביאו דחוששין לקידושי שני כרמב"ן</w:t>
      </w:r>
      <w:r w:rsidRPr="003D7FC2">
        <w:rPr>
          <w:rStyle w:val="ac"/>
          <w:rFonts w:ascii="Narkisim" w:hAnsi="Narkisim" w:cs="Narkisim"/>
          <w:rtl/>
        </w:rPr>
        <w:footnoteReference w:id="6353"/>
      </w:r>
      <w:r w:rsidRPr="003D7FC2">
        <w:rPr>
          <w:rFonts w:ascii="Narkisim" w:hAnsi="Narkisim" w:cs="Narkisim"/>
          <w:rtl/>
        </w:rPr>
        <w:t>. וה</w:t>
      </w:r>
      <w:r w:rsidRPr="003D7FC2">
        <w:rPr>
          <w:rFonts w:ascii="Narkisim" w:hAnsi="Narkisim" w:cs="Narkisim"/>
          <w:b/>
          <w:bCs/>
          <w:rtl/>
        </w:rPr>
        <w:t>כנה”ג</w:t>
      </w:r>
      <w:r w:rsidRPr="003D7FC2">
        <w:rPr>
          <w:rFonts w:ascii="Narkisim" w:hAnsi="Narkisim" w:cs="Narkisim"/>
          <w:rtl/>
        </w:rPr>
        <w:t xml:space="preserve"> (קעג) הק' דסתימת הפוסקים דחמותו פוטרת צרתה מיבום וחליצה, ואילו לדעת הרמב”ן היא חולצת [כדין איסור עשה], וצרתה חולצת או מתייבמת</w:t>
      </w:r>
      <w:r w:rsidRPr="003D7FC2">
        <w:rPr>
          <w:rStyle w:val="ac"/>
          <w:rFonts w:ascii="Narkisim" w:hAnsi="Narkisim" w:cs="Narkisim"/>
          <w:rtl/>
        </w:rPr>
        <w:footnoteReference w:id="6354"/>
      </w:r>
      <w:r w:rsidRPr="003D7FC2">
        <w:rPr>
          <w:rFonts w:ascii="Narkisim" w:hAnsi="Narkisim" w:cs="Narkisim"/>
          <w:rtl/>
        </w:rPr>
        <w:t>. וה</w:t>
      </w:r>
      <w:r w:rsidRPr="003D7FC2">
        <w:rPr>
          <w:rFonts w:ascii="Narkisim" w:hAnsi="Narkisim" w:cs="Narkisim"/>
          <w:b/>
          <w:bCs/>
          <w:rtl/>
        </w:rPr>
        <w:t>נוב"י</w:t>
      </w:r>
      <w:r w:rsidRPr="003D7FC2">
        <w:rPr>
          <w:rFonts w:ascii="Narkisim" w:hAnsi="Narkisim" w:cs="Narkisim"/>
          <w:rtl/>
        </w:rPr>
        <w:t xml:space="preserve"> (ת' קמח, הו' בפתח"ת קעג ב) האריך עד"ז.</w:t>
      </w:r>
    </w:p>
    <w:p w14:paraId="329FA1A2" w14:textId="77777777" w:rsidR="006C4368" w:rsidRPr="003D7FC2" w:rsidRDefault="006C4368" w:rsidP="006C4368">
      <w:pPr>
        <w:pStyle w:val="a8"/>
        <w:bidi/>
        <w:rPr>
          <w:rFonts w:ascii="Narkisim" w:hAnsi="Narkisim"/>
        </w:rPr>
      </w:pPr>
      <w:r w:rsidRPr="003D7FC2">
        <w:rPr>
          <w:rFonts w:ascii="Narkisim" w:hAnsi="Narkisim"/>
          <w:rtl/>
        </w:rPr>
        <w:t>אבל ה</w:t>
      </w:r>
      <w:r w:rsidRPr="003D7FC2">
        <w:rPr>
          <w:rFonts w:ascii="Narkisim" w:hAnsi="Narkisim"/>
          <w:b/>
          <w:bCs/>
          <w:rtl/>
        </w:rPr>
        <w:t>אבי עזרי</w:t>
      </w:r>
      <w:r w:rsidRPr="003D7FC2">
        <w:rPr>
          <w:rFonts w:ascii="Narkisim" w:hAnsi="Narkisim"/>
          <w:rtl/>
        </w:rPr>
        <w:t xml:space="preserve"> (איסו"ב ב ז) העלה צד דאף דליכא כרת, מ"מ הוה בכלל עריות דהוקשו להדדי דלא תפסי קידושין, ופוטרים מיבום וחליצה</w:t>
      </w:r>
      <w:r w:rsidRPr="003D7FC2">
        <w:rPr>
          <w:rStyle w:val="ac"/>
          <w:rFonts w:ascii="Narkisim" w:hAnsi="Narkisim"/>
          <w:rtl/>
        </w:rPr>
        <w:footnoteReference w:id="6355"/>
      </w:r>
      <w:r w:rsidRPr="003D7FC2">
        <w:rPr>
          <w:rFonts w:ascii="Narkisim" w:hAnsi="Narkisim"/>
          <w:rtl/>
        </w:rPr>
        <w:t>. אף דקאי בארור בעלמא. [אך האחרונים הביאו דהרמב"ן ורשב"א כת' להדיא דתפסי קידושין].</w:t>
      </w:r>
    </w:p>
    <w:p w14:paraId="310890CE" w14:textId="77777777" w:rsidR="006C4368" w:rsidRPr="003D7FC2" w:rsidRDefault="006C4368" w:rsidP="006C4368">
      <w:pPr>
        <w:bidi/>
        <w:rPr>
          <w:rFonts w:ascii="Narkisim" w:hAnsi="Narkisim" w:cs="Narkisim"/>
        </w:rPr>
      </w:pPr>
      <w:r w:rsidRPr="003D7FC2">
        <w:rPr>
          <w:rFonts w:ascii="Narkisim" w:hAnsi="Narkisim" w:cs="Narkisim"/>
          <w:u w:val="single"/>
          <w:rtl/>
        </w:rPr>
        <w:t>שם</w:t>
      </w:r>
      <w:r w:rsidRPr="003D7FC2">
        <w:rPr>
          <w:rFonts w:ascii="Narkisim" w:hAnsi="Narkisim" w:cs="Narkisim"/>
          <w:rtl/>
        </w:rPr>
        <w:t>. וה</w:t>
      </w:r>
      <w:r w:rsidRPr="003D7FC2">
        <w:rPr>
          <w:rFonts w:ascii="Narkisim" w:hAnsi="Narkisim" w:cs="Narkisim"/>
          <w:b/>
          <w:bCs/>
          <w:rtl/>
        </w:rPr>
        <w:t>רמב"ם</w:t>
      </w:r>
      <w:r w:rsidRPr="003D7FC2">
        <w:rPr>
          <w:rFonts w:ascii="Narkisim" w:hAnsi="Narkisim" w:cs="Narkisim"/>
          <w:rtl/>
        </w:rPr>
        <w:t xml:space="preserve"> (שם ב ז) כת' דאף בת אשתו ובת בנה ובת בתה לאחר מיתת אשתו, ליכא מיתה אלא כרת, דקליש איסוריה. ו</w:t>
      </w:r>
      <w:r w:rsidRPr="003D7FC2">
        <w:rPr>
          <w:rFonts w:ascii="Narkisim" w:hAnsi="Narkisim" w:cs="Narkisim"/>
          <w:b/>
          <w:bCs/>
          <w:rtl/>
        </w:rPr>
        <w:t>ה"ה</w:t>
      </w:r>
      <w:r w:rsidRPr="003D7FC2">
        <w:rPr>
          <w:rFonts w:ascii="Narkisim" w:hAnsi="Narkisim" w:cs="Narkisim"/>
          <w:rtl/>
        </w:rPr>
        <w:t xml:space="preserve"> ביאר דבגמ' (סנהדרין עו.) למדו עונש שריפה זה מזה. [אמנם חיוב כרת כתיב בגופה, ואין ילפותא דהותר לאחר מיתה</w:t>
      </w:r>
      <w:r w:rsidRPr="003D7FC2">
        <w:rPr>
          <w:rStyle w:val="ac"/>
          <w:rFonts w:ascii="Narkisim" w:hAnsi="Narkisim" w:cs="Narkisim"/>
          <w:rtl/>
        </w:rPr>
        <w:footnoteReference w:id="6356"/>
      </w:r>
      <w:r w:rsidRPr="003D7FC2">
        <w:rPr>
          <w:rFonts w:ascii="Narkisim" w:hAnsi="Narkisim" w:cs="Narkisim"/>
          <w:rtl/>
        </w:rPr>
        <w:t>]. ועפ"ז פסק ה</w:t>
      </w:r>
      <w:r w:rsidRPr="003D7FC2">
        <w:rPr>
          <w:rFonts w:ascii="Narkisim" w:hAnsi="Narkisim" w:cs="Narkisim"/>
          <w:b/>
          <w:bCs/>
          <w:rtl/>
        </w:rPr>
        <w:t>רמב"ם</w:t>
      </w:r>
      <w:r w:rsidRPr="003D7FC2">
        <w:rPr>
          <w:rFonts w:ascii="Narkisim" w:hAnsi="Narkisim" w:cs="Narkisim"/>
          <w:rtl/>
        </w:rPr>
        <w:t xml:space="preserve"> (יד טו, והשו"ע רסט ו</w:t>
      </w:r>
      <w:r w:rsidRPr="003D7FC2">
        <w:rPr>
          <w:rStyle w:val="ac"/>
          <w:rFonts w:ascii="Narkisim" w:hAnsi="Narkisim" w:cs="Narkisim"/>
          <w:rtl/>
        </w:rPr>
        <w:footnoteReference w:id="6357"/>
      </w:r>
      <w:r w:rsidRPr="003D7FC2">
        <w:rPr>
          <w:rFonts w:ascii="Narkisim" w:hAnsi="Narkisim" w:cs="Narkisim"/>
          <w:rtl/>
        </w:rPr>
        <w:t>) דנשא גיורת ומתה, מותר אף בבתה.</w:t>
      </w:r>
    </w:p>
    <w:p w14:paraId="30A7F738"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חלק דכאן אמרו דוקא בחמותו דקליש איסוריה</w:t>
      </w:r>
      <w:r w:rsidRPr="003D7FC2">
        <w:rPr>
          <w:rStyle w:val="ac"/>
          <w:rFonts w:ascii="Narkisim" w:hAnsi="Narkisim"/>
          <w:rtl/>
        </w:rPr>
        <w:footnoteReference w:id="6358"/>
      </w:r>
      <w:r w:rsidRPr="003D7FC2">
        <w:rPr>
          <w:rFonts w:ascii="Narkisim" w:hAnsi="Narkisim"/>
          <w:rtl/>
        </w:rPr>
        <w:t>, ואילו באשה ובתה אי' מוציא א'</w:t>
      </w:r>
      <w:r w:rsidRPr="003D7FC2">
        <w:rPr>
          <w:rStyle w:val="ac"/>
          <w:rFonts w:ascii="Narkisim" w:hAnsi="Narkisim"/>
          <w:rtl/>
        </w:rPr>
        <w:footnoteReference w:id="6359"/>
      </w:r>
      <w:r w:rsidRPr="003D7FC2">
        <w:rPr>
          <w:rFonts w:ascii="Narkisim" w:hAnsi="Narkisim"/>
          <w:rtl/>
        </w:rPr>
        <w:t>, ומשמע דאפי' מתה אשתו אסור בבתה לעולם [בגרים], ול"מ בזה דקליש איסורא</w:t>
      </w:r>
      <w:r w:rsidRPr="003D7FC2">
        <w:rPr>
          <w:rStyle w:val="ac"/>
          <w:rFonts w:ascii="Narkisim" w:hAnsi="Narkisim"/>
          <w:rtl/>
        </w:rPr>
        <w:footnoteReference w:id="6360"/>
      </w:r>
      <w:r w:rsidRPr="003D7FC2">
        <w:rPr>
          <w:rFonts w:ascii="Narkisim" w:hAnsi="Narkisim"/>
          <w:rtl/>
        </w:rPr>
        <w:t>.</w:t>
      </w:r>
    </w:p>
    <w:p w14:paraId="36C3E4A7"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רמב"ן</w:t>
      </w:r>
      <w:r w:rsidRPr="003D7FC2">
        <w:rPr>
          <w:rFonts w:ascii="Narkisim" w:hAnsi="Narkisim"/>
          <w:rtl/>
        </w:rPr>
        <w:t xml:space="preserve"> ביאר דאף דעונש בתה ובת בנה ובת בתה ילפי' מחמות (סנהדרין עה:), מ"מ לא הוקשו לכל דבר, אלא מה להלן ענש והזהיר אף כאן ענש והזהיר. ומיהו מיניה וביה דנינן עונש כאזהרה, ועוד</w:t>
      </w:r>
      <w:r w:rsidRPr="003D7FC2">
        <w:rPr>
          <w:rStyle w:val="ac"/>
          <w:rFonts w:ascii="Narkisim" w:hAnsi="Narkisim"/>
          <w:rtl/>
        </w:rPr>
        <w:footnoteReference w:id="6361"/>
      </w:r>
      <w:r w:rsidRPr="003D7FC2">
        <w:rPr>
          <w:rFonts w:ascii="Narkisim" w:hAnsi="Narkisim"/>
          <w:rtl/>
        </w:rPr>
        <w:t xml:space="preserve"> דקי"ל להלכה (שבועות לא.) דון מינה ואוקי באתרה</w:t>
      </w:r>
      <w:r w:rsidRPr="003D7FC2">
        <w:rPr>
          <w:rStyle w:val="ac"/>
          <w:rFonts w:ascii="Narkisim" w:hAnsi="Narkisim"/>
          <w:rtl/>
        </w:rPr>
        <w:footnoteReference w:id="6362"/>
      </w:r>
      <w:r w:rsidRPr="003D7FC2">
        <w:rPr>
          <w:rFonts w:ascii="Narkisim" w:hAnsi="Narkisim"/>
          <w:rtl/>
        </w:rPr>
        <w:t>. ו</w:t>
      </w:r>
      <w:r w:rsidRPr="003D7FC2">
        <w:rPr>
          <w:rFonts w:ascii="Narkisim" w:hAnsi="Narkisim"/>
          <w:b/>
          <w:bCs/>
          <w:rtl/>
        </w:rPr>
        <w:t>ה”ה</w:t>
      </w:r>
      <w:r w:rsidRPr="003D7FC2">
        <w:rPr>
          <w:rFonts w:ascii="Narkisim" w:hAnsi="Narkisim"/>
          <w:rtl/>
        </w:rPr>
        <w:t xml:space="preserve"> (ב ז) תי' דדעת הרמב”ם דכיון שחמותו ואינך אינן בשריפה לאחר מיתת אשתו, דיו לבא מן הדין להיות כנידון. [ואף דבעלמא אמרי' דון מינה ואוקי באתרא</w:t>
      </w:r>
      <w:r w:rsidRPr="003D7FC2">
        <w:rPr>
          <w:rStyle w:val="ac"/>
          <w:rFonts w:ascii="Narkisim" w:hAnsi="Narkisim"/>
          <w:rtl/>
        </w:rPr>
        <w:footnoteReference w:id="6363"/>
      </w:r>
      <w:r w:rsidRPr="003D7FC2">
        <w:rPr>
          <w:rFonts w:ascii="Narkisim" w:hAnsi="Narkisim"/>
          <w:rtl/>
        </w:rPr>
        <w:t>, הכא אמרי' 'דיו'</w:t>
      </w:r>
      <w:r w:rsidRPr="003D7FC2">
        <w:rPr>
          <w:rStyle w:val="ac"/>
          <w:rFonts w:ascii="Narkisim" w:hAnsi="Narkisim"/>
          <w:rtl/>
        </w:rPr>
        <w:footnoteReference w:id="6364"/>
      </w:r>
      <w:r w:rsidRPr="003D7FC2">
        <w:rPr>
          <w:rFonts w:ascii="Narkisim" w:hAnsi="Narkisim"/>
          <w:rtl/>
        </w:rPr>
        <w:t>].</w:t>
      </w:r>
    </w:p>
    <w:p w14:paraId="1427B52F" w14:textId="77777777" w:rsidR="006C4368" w:rsidRPr="003D7FC2" w:rsidRDefault="006C4368" w:rsidP="006C4368">
      <w:pPr>
        <w:pStyle w:val="a7"/>
        <w:bidi/>
        <w:rPr>
          <w:rFonts w:ascii="Narkisim" w:hAnsi="Narkisim"/>
        </w:rPr>
      </w:pPr>
      <w:r w:rsidRPr="003D7FC2">
        <w:rPr>
          <w:rFonts w:ascii="Narkisim" w:hAnsi="Narkisim"/>
          <w:rtl/>
        </w:rPr>
        <w:t>ועוד יש שפי' דה</w:t>
      </w:r>
      <w:r w:rsidRPr="003D7FC2">
        <w:rPr>
          <w:rFonts w:ascii="Narkisim" w:hAnsi="Narkisim"/>
          <w:b/>
          <w:bCs/>
          <w:rtl/>
        </w:rPr>
        <w:t>רמב"ם</w:t>
      </w:r>
      <w:r w:rsidRPr="003D7FC2">
        <w:rPr>
          <w:rFonts w:ascii="Narkisim" w:hAnsi="Narkisim"/>
          <w:rtl/>
        </w:rPr>
        <w:t xml:space="preserve"> בסה"מ (ל"ת שלז, והחינוך רג) מנה אשה ובתה וכן חמותו דהוה לאו א'</w:t>
      </w:r>
      <w:r w:rsidRPr="003D7FC2">
        <w:rPr>
          <w:rStyle w:val="ac"/>
          <w:rFonts w:ascii="Narkisim" w:hAnsi="Narkisim"/>
          <w:rtl/>
        </w:rPr>
        <w:footnoteReference w:id="6365"/>
      </w:r>
      <w:r w:rsidRPr="003D7FC2">
        <w:rPr>
          <w:rFonts w:ascii="Narkisim" w:hAnsi="Narkisim"/>
          <w:rtl/>
        </w:rPr>
        <w:t xml:space="preserve">. </w:t>
      </w:r>
      <w:r w:rsidRPr="003D7FC2">
        <w:rPr>
          <w:rFonts w:ascii="Narkisim" w:hAnsi="Narkisim"/>
          <w:szCs w:val="20"/>
          <w:rtl/>
        </w:rPr>
        <w:t xml:space="preserve">דכתיב (ויקרא יח יז) ערות אשה ובתה לא תגלה, דכולל בין בת אשתו ובין חמותו (וכדתנן סנהדרין </w:t>
      </w:r>
      <w:r w:rsidRPr="003D7FC2">
        <w:rPr>
          <w:rFonts w:ascii="Narkisim" w:hAnsi="Narkisim"/>
          <w:szCs w:val="20"/>
          <w:rtl/>
        </w:rPr>
        <w:lastRenderedPageBreak/>
        <w:t>עה.), וה</w:t>
      </w:r>
      <w:r w:rsidRPr="003D7FC2">
        <w:rPr>
          <w:rFonts w:ascii="Narkisim" w:hAnsi="Narkisim"/>
          <w:b/>
          <w:bCs/>
          <w:szCs w:val="20"/>
          <w:rtl/>
        </w:rPr>
        <w:t>רמב”ם</w:t>
      </w:r>
      <w:r w:rsidRPr="003D7FC2">
        <w:rPr>
          <w:rFonts w:ascii="Narkisim" w:hAnsi="Narkisim"/>
          <w:szCs w:val="20"/>
          <w:rtl/>
        </w:rPr>
        <w:t xml:space="preserve"> פי' שתהיה א' מהן אשתו, ויבעל האחרת. [והוה אזהרה א'</w:t>
      </w:r>
      <w:r w:rsidRPr="003D7FC2">
        <w:rPr>
          <w:rStyle w:val="ac"/>
          <w:rFonts w:ascii="Narkisim" w:hAnsi="Narkisim"/>
          <w:szCs w:val="20"/>
          <w:rtl/>
        </w:rPr>
        <w:footnoteReference w:id="6366"/>
      </w:r>
      <w:r w:rsidRPr="003D7FC2">
        <w:rPr>
          <w:rFonts w:ascii="Narkisim" w:hAnsi="Narkisim"/>
          <w:szCs w:val="20"/>
          <w:rtl/>
        </w:rPr>
        <w:t>].</w:t>
      </w:r>
      <w:r w:rsidRPr="003D7FC2">
        <w:rPr>
          <w:rFonts w:ascii="Narkisim" w:hAnsi="Narkisim"/>
          <w:rtl/>
        </w:rPr>
        <w:t xml:space="preserve"> והרמב"ם והחינוך כת' דע"ז דרשי' 'ואתהן', בחייה. והוה ילפותא על לאו זה.</w:t>
      </w:r>
    </w:p>
    <w:p w14:paraId="525E8FBC" w14:textId="77777777" w:rsidR="006C4368" w:rsidRPr="003D7FC2" w:rsidRDefault="006C4368" w:rsidP="006C4368">
      <w:pPr>
        <w:pStyle w:val="aa"/>
        <w:bidi/>
        <w:rPr>
          <w:rFonts w:ascii="Narkisim" w:hAnsi="Narkisim"/>
        </w:rPr>
      </w:pPr>
      <w:r w:rsidRPr="003D7FC2">
        <w:rPr>
          <w:rFonts w:ascii="Narkisim" w:hAnsi="Narkisim"/>
          <w:rtl/>
        </w:rPr>
        <w:t>ו</w:t>
      </w:r>
      <w:r w:rsidRPr="003D7FC2">
        <w:rPr>
          <w:rFonts w:ascii="Narkisim" w:hAnsi="Narkisim"/>
          <w:b/>
          <w:bCs/>
          <w:rtl/>
        </w:rPr>
        <w:t>רע"א</w:t>
      </w:r>
      <w:r w:rsidRPr="003D7FC2">
        <w:rPr>
          <w:rFonts w:ascii="Narkisim" w:hAnsi="Narkisim"/>
          <w:rtl/>
        </w:rPr>
        <w:t xml:space="preserve"> כת' דעכ"פ בבת אשתו ודאי שיש כרת, דכרת כתיב בגופה. ואף לראשונים דבחמותו ליכא כרת לאחר מיתה, דכיון דאימעט משריפה גם כרת ליכא, אבל אשה ובתה דכתיב כרת בגופה, א"כ אף אם נימא דאין בו שריפה היינו מטעם דשריפה ילפינן מגזי"ש, ואמרי' דיו לבא מן הדין להיות כנדון. אבל כרת דכתיב בגופה לא מצינו מיעוט על אחר מיתה. ועפ"ז כת' דכיון דאית בה כרת י"ל דלא מיקרי קליש איסורא</w:t>
      </w:r>
      <w:r w:rsidRPr="003D7FC2">
        <w:rPr>
          <w:rStyle w:val="ac"/>
          <w:rFonts w:ascii="Narkisim" w:hAnsi="Narkisim"/>
          <w:rtl/>
        </w:rPr>
        <w:footnoteReference w:id="6367"/>
      </w:r>
      <w:r w:rsidRPr="003D7FC2">
        <w:rPr>
          <w:rFonts w:ascii="Narkisim" w:hAnsi="Narkisim"/>
          <w:rtl/>
        </w:rPr>
        <w:t>, ולא הקילו בגר</w:t>
      </w:r>
      <w:r w:rsidRPr="003D7FC2">
        <w:rPr>
          <w:rStyle w:val="ac"/>
          <w:rFonts w:ascii="Narkisim" w:hAnsi="Narkisim"/>
          <w:rtl/>
        </w:rPr>
        <w:footnoteReference w:id="6368"/>
      </w:r>
      <w:r w:rsidRPr="003D7FC2">
        <w:rPr>
          <w:rFonts w:ascii="Narkisim" w:hAnsi="Narkisim"/>
          <w:rtl/>
        </w:rPr>
        <w:t>.</w:t>
      </w:r>
    </w:p>
    <w:p w14:paraId="10BCF9F7" w14:textId="77777777" w:rsidR="006C4368" w:rsidRPr="003D7FC2" w:rsidRDefault="006C4368" w:rsidP="006C4368">
      <w:pPr>
        <w:bidi/>
        <w:rPr>
          <w:rFonts w:ascii="Narkisim" w:hAnsi="Narkisim" w:cs="Narkisim"/>
        </w:rPr>
      </w:pPr>
      <w:r w:rsidRPr="003D7FC2">
        <w:rPr>
          <w:rFonts w:ascii="Narkisim" w:hAnsi="Narkisim" w:cs="Narkisim"/>
          <w:i/>
          <w:iCs/>
          <w:szCs w:val="20"/>
          <w:rtl/>
        </w:rPr>
        <w:t>בסוגיין</w:t>
      </w:r>
      <w:r w:rsidRPr="003D7FC2">
        <w:rPr>
          <w:rFonts w:ascii="Narkisim" w:hAnsi="Narkisim" w:cs="Narkisim"/>
          <w:rtl/>
        </w:rPr>
        <w:t xml:space="preserve"> – ה</w:t>
      </w:r>
      <w:r w:rsidRPr="003D7FC2">
        <w:rPr>
          <w:rFonts w:ascii="Narkisim" w:hAnsi="Narkisim" w:cs="Narkisim"/>
          <w:b/>
          <w:bCs/>
          <w:rtl/>
        </w:rPr>
        <w:t>ריטב"א</w:t>
      </w:r>
      <w:r w:rsidRPr="003D7FC2">
        <w:rPr>
          <w:rFonts w:ascii="Narkisim" w:hAnsi="Narkisim" w:cs="Narkisim"/>
          <w:rtl/>
        </w:rPr>
        <w:t xml:space="preserve"> (בע"א) ו</w:t>
      </w:r>
      <w:r w:rsidRPr="003D7FC2">
        <w:rPr>
          <w:rFonts w:ascii="Narkisim" w:hAnsi="Narkisim" w:cs="Narkisim"/>
          <w:b/>
          <w:bCs/>
          <w:rtl/>
        </w:rPr>
        <w:t xml:space="preserve">נמוק"י </w:t>
      </w:r>
      <w:r w:rsidRPr="003D7FC2">
        <w:rPr>
          <w:rFonts w:ascii="Narkisim" w:hAnsi="Narkisim" w:cs="Narkisim"/>
          <w:rtl/>
        </w:rPr>
        <w:t>כת' דנתגיירו איש ואשתו, אם רצה מקיימה. ואם רצה פוטרה. ומותרת לאחרים אפי' מחיים של גר. ולא אמרי' בזה שמא יאמרו באנו מקדושה חמורה לקדושה קלה משום דאותו אישות אין לו עיקר, וכשנתגייר פקע. דאל"כ ל"מ אפי' בגט לא משתריא לעלמא</w:t>
      </w:r>
      <w:r w:rsidRPr="003D7FC2">
        <w:rPr>
          <w:rStyle w:val="ac"/>
          <w:rFonts w:ascii="Narkisim" w:hAnsi="Narkisim" w:cs="Narkisim"/>
          <w:rtl/>
        </w:rPr>
        <w:footnoteReference w:id="6369"/>
      </w:r>
      <w:r w:rsidRPr="003D7FC2">
        <w:rPr>
          <w:rFonts w:ascii="Narkisim" w:hAnsi="Narkisim" w:cs="Narkisim"/>
          <w:rtl/>
        </w:rPr>
        <w:t xml:space="preserve">, דעכו"ם לאו בני גט נינהו, א"כ אף ע"י גט יאמרו באנו מקדושה חמורה לקדושה קלה, ותהיה אסורה לישראל עולמית. אלא ודאי ההוא אישות דהו"ל בנכריות פקע כשנתגייר, וכ"ע ידעי הכי. אבל הריטב"א הביא </w:t>
      </w:r>
      <w:r w:rsidRPr="003D7FC2">
        <w:rPr>
          <w:rFonts w:ascii="Narkisim" w:hAnsi="Narkisim" w:cs="Narkisim"/>
          <w:b/>
          <w:bCs/>
          <w:rtl/>
        </w:rPr>
        <w:t>י"א</w:t>
      </w:r>
      <w:r w:rsidRPr="003D7FC2">
        <w:rPr>
          <w:rFonts w:ascii="Narkisim" w:hAnsi="Narkisim" w:cs="Narkisim"/>
          <w:rtl/>
        </w:rPr>
        <w:t xml:space="preserve"> דאסורה לעולם, דל"מ גט לאישות בני נח</w:t>
      </w:r>
      <w:r w:rsidRPr="003D7FC2">
        <w:rPr>
          <w:rStyle w:val="ac"/>
          <w:rFonts w:ascii="Narkisim" w:hAnsi="Narkisim" w:cs="Narkisim"/>
          <w:rtl/>
        </w:rPr>
        <w:footnoteReference w:id="6370"/>
      </w:r>
      <w:r w:rsidRPr="003D7FC2">
        <w:rPr>
          <w:rFonts w:ascii="Narkisim" w:hAnsi="Narkisim" w:cs="Narkisim"/>
          <w:rtl/>
        </w:rPr>
        <w:t>.</w:t>
      </w:r>
    </w:p>
    <w:p w14:paraId="3CCE23F7" w14:textId="77777777" w:rsidR="006C4368" w:rsidRPr="003D7FC2" w:rsidRDefault="006C4368" w:rsidP="006C4368">
      <w:pPr>
        <w:pStyle w:val="2"/>
        <w:bidi/>
        <w:rPr>
          <w:rFonts w:ascii="Narkisim" w:hAnsi="Narkisim"/>
        </w:rPr>
      </w:pPr>
      <w:r w:rsidRPr="003D7FC2">
        <w:rPr>
          <w:rFonts w:ascii="Narkisim" w:hAnsi="Narkisim"/>
          <w:rtl/>
        </w:rPr>
        <w:t>נתערבו ולדותיהן</w:t>
      </w:r>
    </w:p>
    <w:p w14:paraId="4B468D27" w14:textId="77777777" w:rsidR="006C4368" w:rsidRPr="003D7FC2" w:rsidRDefault="006C4368" w:rsidP="006C4368">
      <w:pPr>
        <w:bidi/>
        <w:rPr>
          <w:rFonts w:ascii="Narkisim" w:hAnsi="Narkisim" w:cs="Narkisim"/>
        </w:rPr>
      </w:pPr>
      <w:r w:rsidRPr="003D7FC2">
        <w:rPr>
          <w:rFonts w:ascii="Narkisim" w:hAnsi="Narkisim" w:cs="Narkisim"/>
          <w:u w:val="single"/>
          <w:rtl/>
        </w:rPr>
        <w:t>ד' חולצין לא', וא' מייבם</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ישאנה ממ”נ</w:t>
      </w:r>
      <w:r w:rsidRPr="003D7FC2">
        <w:rPr>
          <w:rStyle w:val="ac"/>
          <w:rFonts w:ascii="Narkisim" w:hAnsi="Narkisim" w:cs="Narkisim"/>
          <w:rtl/>
        </w:rPr>
        <w:footnoteReference w:id="6371"/>
      </w:r>
      <w:r w:rsidRPr="003D7FC2">
        <w:rPr>
          <w:rFonts w:ascii="Narkisim" w:hAnsi="Narkisim" w:cs="Narkisim"/>
          <w:rtl/>
        </w:rPr>
        <w:t xml:space="preserve"> וכו'. [ע"י קידושין ונישואין</w:t>
      </w:r>
      <w:r w:rsidRPr="003D7FC2">
        <w:rPr>
          <w:rStyle w:val="ac"/>
          <w:rFonts w:ascii="Narkisim" w:hAnsi="Narkisim" w:cs="Narkisim"/>
          <w:rtl/>
        </w:rPr>
        <w:footnoteReference w:id="6372"/>
      </w:r>
      <w:r w:rsidRPr="003D7FC2">
        <w:rPr>
          <w:rFonts w:ascii="Narkisim" w:hAnsi="Narkisim" w:cs="Narkisim"/>
          <w:rtl/>
        </w:rPr>
        <w:t>]. והגמ' (לעיל מא:) פי' דאף דגבי ספיקות, אף דבשעה שחלץ אינה ראויה לייבם, מ"מ נחשב 'עולה ליבום' כיון דאם יבא אליהו ויאמר שהיא זו.</w:t>
      </w:r>
    </w:p>
    <w:p w14:paraId="6CA1E383" w14:textId="77777777" w:rsidR="006C4368" w:rsidRPr="003D7FC2" w:rsidRDefault="006C4368" w:rsidP="006C4368">
      <w:pPr>
        <w:pStyle w:val="a8"/>
        <w:bidi/>
        <w:rPr>
          <w:rFonts w:ascii="Narkisim" w:hAnsi="Narkisim"/>
        </w:rPr>
      </w:pPr>
      <w:r w:rsidRPr="003D7FC2">
        <w:rPr>
          <w:rFonts w:ascii="Narkisim" w:hAnsi="Narkisim"/>
          <w:rtl/>
        </w:rPr>
        <w:t xml:space="preserve">ויש </w:t>
      </w:r>
      <w:r w:rsidRPr="003D7FC2">
        <w:rPr>
          <w:rFonts w:ascii="Narkisim" w:hAnsi="Narkisim"/>
          <w:b/>
          <w:bCs/>
          <w:rtl/>
        </w:rPr>
        <w:t>אחרונים</w:t>
      </w:r>
      <w:r w:rsidRPr="003D7FC2">
        <w:rPr>
          <w:rFonts w:ascii="Narkisim" w:hAnsi="Narkisim"/>
          <w:rtl/>
        </w:rPr>
        <w:t xml:space="preserve"> (</w:t>
      </w:r>
      <w:r w:rsidRPr="003D7FC2">
        <w:rPr>
          <w:rFonts w:ascii="Narkisim" w:hAnsi="Narkisim"/>
          <w:b/>
          <w:bCs/>
          <w:rtl/>
        </w:rPr>
        <w:t>מהרשד"ם</w:t>
      </w:r>
      <w:r w:rsidRPr="003D7FC2">
        <w:rPr>
          <w:rFonts w:ascii="Narkisim" w:hAnsi="Narkisim"/>
          <w:rtl/>
        </w:rPr>
        <w:t xml:space="preserve"> קנח, וע”ע מש”כ לעיל כג:) דס”ל דכל מקום שא”א לייבם, אפי' מחמת ספק נחשב חליצה פסולה, וצריכה חיזור על כל האחים. וא”כ ה”נ איירי כשיש לכל א' אח א', ואם יש יותר צריכה חליצה מכולם.</w:t>
      </w:r>
    </w:p>
    <w:p w14:paraId="19A20A55" w14:textId="77777777" w:rsidR="006C4368" w:rsidRPr="003D7FC2" w:rsidRDefault="006C4368" w:rsidP="006C4368">
      <w:pPr>
        <w:pStyle w:val="aa"/>
        <w:bidi/>
        <w:rPr>
          <w:rFonts w:ascii="Narkisim" w:hAnsi="Narkisim"/>
        </w:rPr>
      </w:pPr>
      <w:r w:rsidRPr="003D7FC2">
        <w:rPr>
          <w:rFonts w:ascii="Narkisim" w:hAnsi="Narkisim"/>
          <w:u w:val="single"/>
          <w:rtl/>
        </w:rPr>
        <w:t>דלא תימא ליבמינהו חד לכולהו וכו'</w:t>
      </w:r>
      <w:r w:rsidRPr="003D7FC2">
        <w:rPr>
          <w:rFonts w:ascii="Narkisim" w:hAnsi="Narkisim"/>
          <w:rtl/>
        </w:rPr>
        <w:t>. ה</w:t>
      </w:r>
      <w:r w:rsidRPr="003D7FC2">
        <w:rPr>
          <w:rFonts w:ascii="Narkisim" w:hAnsi="Narkisim"/>
          <w:b/>
          <w:bCs/>
          <w:rtl/>
        </w:rPr>
        <w:t>תוי"ט</w:t>
      </w:r>
      <w:r w:rsidRPr="003D7FC2">
        <w:rPr>
          <w:rFonts w:ascii="Narkisim" w:hAnsi="Narkisim"/>
          <w:rtl/>
        </w:rPr>
        <w:t xml:space="preserve"> הק' איך ס"ד דייבם לכולהו, הא אמרי' (לעיל מד.) דעצה טובה שלא ייבם טפי מד', דנמטיא לכל א' עונה בחדש. ותי' דהוה רק עצה טובה.</w:t>
      </w:r>
    </w:p>
    <w:p w14:paraId="78732E86" w14:textId="77777777" w:rsidR="006C4368" w:rsidRPr="003D7FC2" w:rsidRDefault="006C4368" w:rsidP="006C4368">
      <w:pPr>
        <w:pStyle w:val="aa"/>
        <w:bidi/>
        <w:rPr>
          <w:rFonts w:ascii="Narkisim" w:hAnsi="Narkisim"/>
        </w:rPr>
      </w:pPr>
      <w:r w:rsidRPr="003D7FC2">
        <w:rPr>
          <w:rFonts w:ascii="Narkisim" w:hAnsi="Narkisim"/>
          <w:rtl/>
        </w:rPr>
        <w:t>ויל"ד לס"ד זו דא' מייבם לכולהו, איזה מהיבמין יזכה במצווה</w:t>
      </w:r>
      <w:r w:rsidRPr="003D7FC2">
        <w:rPr>
          <w:rStyle w:val="ac"/>
          <w:rFonts w:ascii="Narkisim" w:hAnsi="Narkisim"/>
          <w:rtl/>
        </w:rPr>
        <w:footnoteReference w:id="6373"/>
      </w:r>
      <w:r w:rsidRPr="003D7FC2">
        <w:rPr>
          <w:rFonts w:ascii="Narkisim" w:hAnsi="Narkisim"/>
          <w:rtl/>
        </w:rPr>
        <w:t>. ועד”ז הק' ב</w:t>
      </w:r>
      <w:r w:rsidRPr="003D7FC2">
        <w:rPr>
          <w:rFonts w:ascii="Narkisim" w:hAnsi="Narkisim"/>
          <w:b/>
          <w:bCs/>
          <w:rtl/>
        </w:rPr>
        <w:t>ס' נהור שרגא</w:t>
      </w:r>
      <w:r w:rsidRPr="003D7FC2">
        <w:rPr>
          <w:rStyle w:val="ac"/>
          <w:rFonts w:ascii="Narkisim" w:hAnsi="Narkisim"/>
          <w:rtl/>
        </w:rPr>
        <w:footnoteReference w:id="6374"/>
      </w:r>
      <w:r w:rsidRPr="003D7FC2">
        <w:rPr>
          <w:rFonts w:ascii="Narkisim" w:hAnsi="Narkisim"/>
          <w:rtl/>
        </w:rPr>
        <w:t xml:space="preserve"> מה לו לכל א' מהיבמין במצוות יבם זה</w:t>
      </w:r>
      <w:r w:rsidRPr="003D7FC2">
        <w:rPr>
          <w:rStyle w:val="ac"/>
          <w:rFonts w:ascii="Narkisim" w:hAnsi="Narkisim"/>
          <w:rtl/>
        </w:rPr>
        <w:footnoteReference w:id="6375"/>
      </w:r>
      <w:r w:rsidRPr="003D7FC2">
        <w:rPr>
          <w:rFonts w:ascii="Narkisim" w:hAnsi="Narkisim"/>
          <w:rtl/>
        </w:rPr>
        <w:t>. ואפשר דיטילו גורל.</w:t>
      </w:r>
    </w:p>
    <w:p w14:paraId="75CCCE1A" w14:textId="77777777" w:rsidR="006C4368" w:rsidRPr="003D7FC2" w:rsidRDefault="006C4368" w:rsidP="006C4368">
      <w:pPr>
        <w:bidi/>
        <w:rPr>
          <w:rFonts w:ascii="Narkisim" w:hAnsi="Narkisim" w:cs="Narkisim"/>
        </w:rPr>
      </w:pPr>
      <w:r w:rsidRPr="003D7FC2">
        <w:rPr>
          <w:rFonts w:ascii="Narkisim" w:hAnsi="Narkisim" w:cs="Narkisim"/>
          <w:u w:val="single"/>
          <w:rtl/>
        </w:rPr>
        <w:t>אלא כל חד וחד מייבם חדא, דילמא מתרמיא ליה דידיה</w:t>
      </w:r>
      <w:r w:rsidRPr="003D7FC2">
        <w:rPr>
          <w:rFonts w:ascii="Narkisim" w:hAnsi="Narkisim" w:cs="Narkisim"/>
          <w:rtl/>
        </w:rPr>
        <w:t>. [ו</w:t>
      </w:r>
      <w:r w:rsidRPr="003D7FC2">
        <w:rPr>
          <w:rFonts w:ascii="Narkisim" w:hAnsi="Narkisim" w:cs="Narkisim"/>
          <w:b/>
          <w:bCs/>
          <w:rtl/>
        </w:rPr>
        <w:t>רש"י</w:t>
      </w:r>
      <w:r w:rsidRPr="003D7FC2">
        <w:rPr>
          <w:rFonts w:ascii="Narkisim" w:hAnsi="Narkisim" w:cs="Narkisim"/>
          <w:rtl/>
        </w:rPr>
        <w:t xml:space="preserve"> במשנה הביא דברי הגמ', דהכי שפיר טפי דלמא מתרמי, ומקיים מצוות יבום</w:t>
      </w:r>
      <w:r w:rsidRPr="003D7FC2">
        <w:rPr>
          <w:rStyle w:val="ac"/>
          <w:rFonts w:ascii="Narkisim" w:hAnsi="Narkisim" w:cs="Narkisim"/>
          <w:rtl/>
        </w:rPr>
        <w:footnoteReference w:id="6376"/>
      </w:r>
      <w:r w:rsidRPr="003D7FC2">
        <w:rPr>
          <w:rFonts w:ascii="Narkisim" w:hAnsi="Narkisim" w:cs="Narkisim"/>
          <w:rtl/>
        </w:rPr>
        <w:t xml:space="preserve">]. משמע דמסברא עדיף שיתכן דכולם </w:t>
      </w:r>
      <w:r w:rsidRPr="003D7FC2">
        <w:rPr>
          <w:rFonts w:ascii="Narkisim" w:hAnsi="Narkisim" w:cs="Narkisim"/>
          <w:rtl/>
        </w:rPr>
        <w:lastRenderedPageBreak/>
        <w:t>יקיימו מצווה</w:t>
      </w:r>
      <w:r w:rsidRPr="003D7FC2">
        <w:rPr>
          <w:rStyle w:val="ac"/>
          <w:rFonts w:ascii="Narkisim" w:hAnsi="Narkisim" w:cs="Narkisim"/>
          <w:rtl/>
        </w:rPr>
        <w:footnoteReference w:id="6377"/>
      </w:r>
      <w:r w:rsidRPr="003D7FC2">
        <w:rPr>
          <w:rFonts w:ascii="Narkisim" w:hAnsi="Narkisim" w:cs="Narkisim"/>
          <w:rtl/>
        </w:rPr>
        <w:t xml:space="preserve"> [ואף דרוב הסיכויים ששום א' לא איתרמי דידיה]. וצ"ב דנימא אדרבה עדיף דא' מייבם לכולהו, והוא ודאי יעשה מצווה</w:t>
      </w:r>
      <w:r w:rsidRPr="003D7FC2">
        <w:rPr>
          <w:rStyle w:val="ac"/>
          <w:rFonts w:ascii="Narkisim" w:hAnsi="Narkisim" w:cs="Narkisim"/>
          <w:rtl/>
        </w:rPr>
        <w:footnoteReference w:id="6378"/>
      </w:r>
      <w:r w:rsidRPr="003D7FC2">
        <w:rPr>
          <w:rFonts w:ascii="Narkisim" w:hAnsi="Narkisim" w:cs="Narkisim"/>
          <w:rtl/>
        </w:rPr>
        <w:t>. ועד"ז כת' ה</w:t>
      </w:r>
      <w:r w:rsidRPr="003D7FC2">
        <w:rPr>
          <w:rFonts w:ascii="Narkisim" w:hAnsi="Narkisim" w:cs="Narkisim"/>
          <w:b/>
          <w:bCs/>
          <w:rtl/>
        </w:rPr>
        <w:t>יש”ש</w:t>
      </w:r>
      <w:r w:rsidRPr="003D7FC2">
        <w:rPr>
          <w:rFonts w:ascii="Narkisim" w:hAnsi="Narkisim" w:cs="Narkisim"/>
          <w:rtl/>
        </w:rPr>
        <w:t xml:space="preserve"> (ח) דלכאורה נראה דדוקא בכה"ג שהן ה', אבל אי הוה רק ב' תערובות, עדיף טפי שא' יחלוץ לשתיהן והשני מייבם את שתיהם, דעי"ז מקיים מצות יבום בודאי. ממה שיהא בספק, דשום א' לא יקיים. וצ"ב מ"ש ב' יבמין או ה' יבמין [ע' ס' כוס ישועות]. וה</w:t>
      </w:r>
      <w:r w:rsidRPr="003D7FC2">
        <w:rPr>
          <w:rFonts w:ascii="Narkisim" w:hAnsi="Narkisim" w:cs="Narkisim"/>
          <w:b/>
          <w:bCs/>
          <w:rtl/>
        </w:rPr>
        <w:t>ערול"נ</w:t>
      </w:r>
      <w:r w:rsidRPr="003D7FC2">
        <w:rPr>
          <w:rFonts w:ascii="Narkisim" w:hAnsi="Narkisim" w:cs="Narkisim"/>
          <w:rtl/>
        </w:rPr>
        <w:t xml:space="preserve"> כת' דכוונתו דבה' יבמין לא ייבם ה' מטעם אחר, משום עונה בחודש. אבל בב' עדיף דודאי יתקיים המצווה. [וצ”ע מדברי הגמ'].</w:t>
      </w:r>
    </w:p>
    <w:p w14:paraId="4D0BAC5D" w14:textId="77777777" w:rsidR="006C4368" w:rsidRPr="003D7FC2" w:rsidRDefault="006C4368" w:rsidP="006C4368">
      <w:pPr>
        <w:bidi/>
        <w:rPr>
          <w:rFonts w:ascii="Narkisim" w:hAnsi="Narkisim" w:cs="Narkisim"/>
        </w:rPr>
      </w:pPr>
      <w:r w:rsidRPr="003D7FC2">
        <w:rPr>
          <w:rFonts w:ascii="Narkisim" w:hAnsi="Narkisim" w:cs="Narkisim"/>
          <w:u w:val="single"/>
          <w:rtl/>
        </w:rPr>
        <w:t>מקצתן כהנים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דא"א להם לייבם, הואיל וחלצה וכו'. וחלוצה אסורה לכהונה. וה</w:t>
      </w:r>
      <w:r w:rsidRPr="003D7FC2">
        <w:rPr>
          <w:rFonts w:ascii="Narkisim" w:hAnsi="Narkisim" w:cs="Narkisim"/>
          <w:b/>
          <w:bCs/>
          <w:rtl/>
        </w:rPr>
        <w:t>רמב"ן</w:t>
      </w:r>
      <w:r w:rsidRPr="003D7FC2">
        <w:rPr>
          <w:rFonts w:ascii="Narkisim" w:hAnsi="Narkisim" w:cs="Narkisim"/>
          <w:rtl/>
        </w:rPr>
        <w:t xml:space="preserve"> (לעיל כד.) הביא דספק חלוצה אסורה לכהן, ואף דחלוצה דרבנן [לא אמרי' ספק דרבנן לקולא לתלות שנחלצה ממי שאינו היבם], דכיון דאיכא מעשה רבה שחלץ לה בבי"ד אין מתירין אותה. והערול"נ דחה דהכא איירי שנחלצה מד', ויש רוב שהיא חלוצה לפסולה.</w:t>
      </w:r>
    </w:p>
    <w:p w14:paraId="53E03B6F" w14:textId="77777777" w:rsidR="006C4368" w:rsidRPr="003D7FC2" w:rsidRDefault="006C4368" w:rsidP="006C4368">
      <w:pPr>
        <w:pStyle w:val="3"/>
        <w:bidi/>
        <w:rPr>
          <w:rFonts w:ascii="Narkisim" w:hAnsi="Narkisim"/>
        </w:rPr>
      </w:pPr>
      <w:r w:rsidRPr="003D7FC2">
        <w:rPr>
          <w:rFonts w:ascii="Narkisim" w:hAnsi="Narkisim"/>
          <w:rtl/>
        </w:rPr>
        <w:t>דף צט.</w:t>
      </w:r>
    </w:p>
    <w:p w14:paraId="5C54EE62" w14:textId="77777777" w:rsidR="006C4368" w:rsidRPr="003D7FC2" w:rsidRDefault="006C4368" w:rsidP="006C4368">
      <w:pPr>
        <w:bidi/>
        <w:rPr>
          <w:rFonts w:ascii="Narkisim" w:hAnsi="Narkisim" w:cs="Narkisim"/>
        </w:rPr>
      </w:pPr>
      <w:r w:rsidRPr="003D7FC2">
        <w:rPr>
          <w:rFonts w:ascii="Narkisim" w:hAnsi="Narkisim" w:cs="Narkisim"/>
          <w:u w:val="single"/>
          <w:rtl/>
        </w:rPr>
        <w:t>ת"ר יש חולץ לאמו מספק, לאחותו מספק וכו' כיצד וכו'</w:t>
      </w:r>
      <w:r w:rsidRPr="003D7FC2">
        <w:rPr>
          <w:rFonts w:ascii="Narkisim" w:hAnsi="Narkisim" w:cs="Narkisim"/>
          <w:rtl/>
        </w:rPr>
        <w:t xml:space="preserve">. </w:t>
      </w:r>
      <w:r w:rsidRPr="003D7FC2">
        <w:rPr>
          <w:rFonts w:ascii="Narkisim" w:hAnsi="Narkisim" w:cs="Narkisim"/>
          <w:b/>
          <w:bCs/>
          <w:rtl/>
        </w:rPr>
        <w:t>רש"י</w:t>
      </w:r>
      <w:r w:rsidRPr="003D7FC2">
        <w:rPr>
          <w:rFonts w:ascii="Narkisim" w:hAnsi="Narkisim" w:cs="Narkisim"/>
          <w:rtl/>
        </w:rPr>
        <w:t xml:space="preserve"> העמיד באופן שחולץ לתרוייהו, דממ"נ חולץ לאמו. והביא (בד"ה ה"ג לאחותו</w:t>
      </w:r>
      <w:r w:rsidRPr="003D7FC2">
        <w:rPr>
          <w:rStyle w:val="ac"/>
          <w:rFonts w:ascii="Narkisim" w:hAnsi="Narkisim" w:cs="Narkisim"/>
          <w:rtl/>
        </w:rPr>
        <w:footnoteReference w:id="6379"/>
      </w:r>
      <w:r w:rsidRPr="003D7FC2">
        <w:rPr>
          <w:rFonts w:ascii="Narkisim" w:hAnsi="Narkisim" w:cs="Narkisim"/>
          <w:rtl/>
        </w:rPr>
        <w:t>) לישנא אחרינא דאיירי שחלץ רק לא' מהם, דהוה ספק אחותו. ו</w:t>
      </w:r>
      <w:r w:rsidRPr="003D7FC2">
        <w:rPr>
          <w:rFonts w:ascii="Narkisim" w:hAnsi="Narkisim" w:cs="Narkisim"/>
          <w:b/>
          <w:bCs/>
          <w:rtl/>
        </w:rPr>
        <w:t>רש"י</w:t>
      </w:r>
      <w:r w:rsidRPr="003D7FC2">
        <w:rPr>
          <w:rFonts w:ascii="Narkisim" w:hAnsi="Narkisim" w:cs="Narkisim"/>
          <w:rtl/>
        </w:rPr>
        <w:t xml:space="preserve"> דחה פי' זה מהגירסא בגמ'. וה</w:t>
      </w:r>
      <w:r w:rsidRPr="003D7FC2">
        <w:rPr>
          <w:rFonts w:ascii="Narkisim" w:hAnsi="Narkisim" w:cs="Narkisim"/>
          <w:b/>
          <w:bCs/>
          <w:rtl/>
        </w:rPr>
        <w:t>מאירי</w:t>
      </w:r>
      <w:r w:rsidRPr="003D7FC2">
        <w:rPr>
          <w:rFonts w:ascii="Narkisim" w:hAnsi="Narkisim" w:cs="Narkisim"/>
          <w:rtl/>
        </w:rPr>
        <w:t xml:space="preserve"> דחה עוד דאין זה רבותא בהא דהוה ספק ערוה. וצריכא לחלוץ שמא אינה ערוה. אבל לגירסא דידן הוה רבותא שבודאי חלץ לאמו מצד ספק שבידו. ועכ"פ הוא חולץ לערוה, שלא נתברר לו איזה מהן ערוה.</w:t>
      </w:r>
    </w:p>
    <w:p w14:paraId="414A165E"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ערול"נ</w:t>
      </w:r>
      <w:r w:rsidRPr="003D7FC2">
        <w:rPr>
          <w:rFonts w:ascii="Narkisim" w:hAnsi="Narkisim"/>
          <w:rtl/>
        </w:rPr>
        <w:t xml:space="preserve"> כת' די"ל דהחידוש של הברייתא דלא חיישינן שמא יטעו לומר שודאי אינם קרובים, וישאו קרובים</w:t>
      </w:r>
      <w:r w:rsidRPr="003D7FC2">
        <w:rPr>
          <w:rStyle w:val="ac"/>
          <w:rFonts w:ascii="Narkisim" w:hAnsi="Narkisim"/>
          <w:rtl/>
        </w:rPr>
        <w:footnoteReference w:id="6380"/>
      </w:r>
      <w:r w:rsidRPr="003D7FC2">
        <w:rPr>
          <w:rFonts w:ascii="Narkisim" w:hAnsi="Narkisim"/>
          <w:rtl/>
        </w:rPr>
        <w:t>.</w:t>
      </w:r>
    </w:p>
    <w:p w14:paraId="5248FC26" w14:textId="77777777" w:rsidR="006C4368" w:rsidRPr="003D7FC2" w:rsidRDefault="006C4368" w:rsidP="006C4368">
      <w:pPr>
        <w:pStyle w:val="aa"/>
        <w:bidi/>
        <w:rPr>
          <w:rFonts w:ascii="Narkisim" w:hAnsi="Narkisim"/>
        </w:rPr>
      </w:pPr>
      <w:r w:rsidRPr="003D7FC2">
        <w:rPr>
          <w:rFonts w:ascii="Narkisim" w:hAnsi="Narkisim"/>
          <w:u w:val="single"/>
          <w:rtl/>
        </w:rPr>
        <w:t>לבתו מספק</w:t>
      </w:r>
      <w:r w:rsidRPr="003D7FC2">
        <w:rPr>
          <w:rFonts w:ascii="Narkisim" w:hAnsi="Narkisim"/>
          <w:rtl/>
        </w:rPr>
        <w:t>. ה</w:t>
      </w:r>
      <w:r w:rsidRPr="003D7FC2">
        <w:rPr>
          <w:rFonts w:ascii="Narkisim" w:hAnsi="Narkisim"/>
          <w:b/>
          <w:bCs/>
          <w:rtl/>
        </w:rPr>
        <w:t>ערול"נ</w:t>
      </w:r>
      <w:r w:rsidRPr="003D7FC2">
        <w:rPr>
          <w:rFonts w:ascii="Narkisim" w:hAnsi="Narkisim"/>
          <w:rtl/>
        </w:rPr>
        <w:t xml:space="preserve"> הק' דהוה זלזול בכיבוד אב שבתו יורקת לפניו. וכדאי' (סנהדרין יט:) דמלך לא חולץ, ופ</w:t>
      </w:r>
      <w:r w:rsidRPr="003D7FC2">
        <w:rPr>
          <w:rFonts w:ascii="Narkisim" w:hAnsi="Narkisim"/>
          <w:b/>
          <w:bCs/>
          <w:rtl/>
        </w:rPr>
        <w:t>רש"י</w:t>
      </w:r>
      <w:r w:rsidRPr="003D7FC2">
        <w:rPr>
          <w:rFonts w:ascii="Narkisim" w:hAnsi="Narkisim"/>
          <w:rtl/>
        </w:rPr>
        <w:t xml:space="preserve"> דגנאי הוא למלך לבא לבי"ד ותהא היבמה יורקת לפניו. אך הביא דמבואר (סנהדרין שם) דהטעם משום דמלך שמחל על כבודו אין כבודו מחול. משא”כ אב יכול למחול על כבודו (וציין לשו”ע יו"ד רמ יט). והוסיף די"ל דזהו עיקר חידוש הברייתא, ונקט אמו ואחותו אגב בתו.</w:t>
      </w:r>
    </w:p>
    <w:p w14:paraId="54FE1C23" w14:textId="77777777" w:rsidR="006C4368" w:rsidRPr="003D7FC2" w:rsidRDefault="006C4368" w:rsidP="006C4368">
      <w:pPr>
        <w:pStyle w:val="aa"/>
        <w:bidi/>
        <w:rPr>
          <w:rFonts w:ascii="Narkisim" w:hAnsi="Narkisim"/>
        </w:rPr>
      </w:pPr>
      <w:r w:rsidRPr="003D7FC2">
        <w:rPr>
          <w:rFonts w:ascii="Narkisim" w:hAnsi="Narkisim"/>
          <w:u w:val="single"/>
          <w:rtl/>
        </w:rPr>
        <w:t>פעמים שמולידים ה' אומות וכו'</w:t>
      </w:r>
      <w:r w:rsidRPr="003D7FC2">
        <w:rPr>
          <w:rFonts w:ascii="Narkisim" w:hAnsi="Narkisim"/>
          <w:rtl/>
        </w:rPr>
        <w:t>. ה</w:t>
      </w:r>
      <w:r w:rsidRPr="003D7FC2">
        <w:rPr>
          <w:rFonts w:ascii="Narkisim" w:hAnsi="Narkisim"/>
          <w:b/>
          <w:bCs/>
          <w:rtl/>
        </w:rPr>
        <w:t>ערול”נ</w:t>
      </w:r>
      <w:r w:rsidRPr="003D7FC2">
        <w:rPr>
          <w:rFonts w:ascii="Narkisim" w:hAnsi="Narkisim"/>
          <w:rtl/>
        </w:rPr>
        <w:t xml:space="preserve"> הק' דנימא שהיה להן בן שנשתחרר חציו</w:t>
      </w:r>
      <w:r w:rsidRPr="003D7FC2">
        <w:rPr>
          <w:rStyle w:val="ac"/>
          <w:rFonts w:ascii="Narkisim" w:hAnsi="Narkisim"/>
          <w:rtl/>
        </w:rPr>
        <w:footnoteReference w:id="6381"/>
      </w:r>
      <w:r w:rsidRPr="003D7FC2">
        <w:rPr>
          <w:rFonts w:ascii="Narkisim" w:hAnsi="Narkisim"/>
          <w:rtl/>
        </w:rPr>
        <w:t>, והוי חצי עבד וחצי בן חורין. ותי' דלא חשיב כאומה בפני עצמו. ועד"ז יל"ד היכא דמל ולא טבל, לדברי ה</w:t>
      </w:r>
      <w:r w:rsidRPr="003D7FC2">
        <w:rPr>
          <w:rFonts w:ascii="Narkisim" w:hAnsi="Narkisim"/>
          <w:b/>
          <w:bCs/>
          <w:rtl/>
        </w:rPr>
        <w:t>אחרונים</w:t>
      </w:r>
      <w:r w:rsidRPr="003D7FC2">
        <w:rPr>
          <w:rFonts w:ascii="Narkisim" w:hAnsi="Narkisim"/>
          <w:rtl/>
        </w:rPr>
        <w:t xml:space="preserve"> (הו' לעיל מו.) דהוה ישראל במקצת. וכן משוחרר שלא טבל, ע"פ דברי ה</w:t>
      </w:r>
      <w:r w:rsidRPr="003D7FC2">
        <w:rPr>
          <w:rFonts w:ascii="Narkisim" w:hAnsi="Narkisim"/>
          <w:b/>
          <w:bCs/>
          <w:rtl/>
        </w:rPr>
        <w:t>גר"ח</w:t>
      </w:r>
      <w:r w:rsidRPr="003D7FC2">
        <w:rPr>
          <w:rFonts w:ascii="Narkisim" w:hAnsi="Narkisim"/>
          <w:rtl/>
        </w:rPr>
        <w:t xml:space="preserve"> (איסו"ב יג יב, הו' לעיל מז:) דפקע ממנו עבדות, אבל חסר בקדושת ישראל.</w:t>
      </w:r>
    </w:p>
    <w:p w14:paraId="338A5EDB" w14:textId="77777777" w:rsidR="006C4368" w:rsidRPr="003D7FC2" w:rsidRDefault="006C4368" w:rsidP="006C4368">
      <w:pPr>
        <w:pStyle w:val="a8"/>
        <w:bidi/>
        <w:rPr>
          <w:rFonts w:ascii="Narkisim" w:hAnsi="Narkisim"/>
        </w:rPr>
      </w:pPr>
      <w:r w:rsidRPr="003D7FC2">
        <w:rPr>
          <w:rFonts w:ascii="Narkisim" w:hAnsi="Narkisim"/>
          <w:rtl/>
        </w:rPr>
        <w:t>ועוד דן ה</w:t>
      </w:r>
      <w:r w:rsidRPr="003D7FC2">
        <w:rPr>
          <w:rFonts w:ascii="Narkisim" w:hAnsi="Narkisim"/>
          <w:b/>
          <w:bCs/>
          <w:rtl/>
        </w:rPr>
        <w:t>ערול"נ</w:t>
      </w:r>
      <w:r w:rsidRPr="003D7FC2">
        <w:rPr>
          <w:rFonts w:ascii="Narkisim" w:hAnsi="Narkisim"/>
          <w:rtl/>
        </w:rPr>
        <w:t xml:space="preserve"> היכא דהבן מכר עצמו בעבד עברי</w:t>
      </w:r>
      <w:r w:rsidRPr="003D7FC2">
        <w:rPr>
          <w:rStyle w:val="ac"/>
          <w:rFonts w:ascii="Narkisim" w:hAnsi="Narkisim"/>
          <w:rtl/>
        </w:rPr>
        <w:footnoteReference w:id="6382"/>
      </w:r>
      <w:r w:rsidRPr="003D7FC2">
        <w:rPr>
          <w:rFonts w:ascii="Narkisim" w:hAnsi="Narkisim"/>
          <w:rtl/>
        </w:rPr>
        <w:t>. וכת' דעבד עברי לא הוה אומה בפנ"ע.</w:t>
      </w:r>
    </w:p>
    <w:p w14:paraId="5E65BFDD" w14:textId="77777777" w:rsidR="006C4368" w:rsidRPr="003D7FC2" w:rsidRDefault="006C4368" w:rsidP="006C4368">
      <w:pPr>
        <w:pStyle w:val="aa"/>
        <w:bidi/>
        <w:rPr>
          <w:rFonts w:ascii="Narkisim" w:hAnsi="Narkisim"/>
        </w:rPr>
      </w:pPr>
      <w:r w:rsidRPr="003D7FC2">
        <w:rPr>
          <w:rFonts w:ascii="Narkisim" w:hAnsi="Narkisim"/>
          <w:u w:val="single"/>
          <w:rtl/>
        </w:rPr>
        <w:t>הטבילן לשם עבדות וכו' ועבד וכו'</w:t>
      </w:r>
      <w:r w:rsidRPr="003D7FC2">
        <w:rPr>
          <w:rFonts w:ascii="Narkisim" w:hAnsi="Narkisim"/>
          <w:rtl/>
        </w:rPr>
        <w:t>. צ"ב מאיזה טעם נקט דהטביל אף אותו, דלכאורה עכו"ם הבא על שפחה ולדה כמותה, והוה עבד. וכן כשנשתחררה, אף עכו"ם הבא על בת ישראל הולד ממזר להך מ"ד.</w:t>
      </w:r>
    </w:p>
    <w:p w14:paraId="007E65FE" w14:textId="77777777" w:rsidR="006C4368" w:rsidRPr="003D7FC2" w:rsidRDefault="006C4368" w:rsidP="006C4368">
      <w:pPr>
        <w:pStyle w:val="aa"/>
        <w:bidi/>
        <w:rPr>
          <w:rFonts w:ascii="Narkisim" w:hAnsi="Narkisim"/>
        </w:rPr>
      </w:pPr>
      <w:r w:rsidRPr="003D7FC2">
        <w:rPr>
          <w:rFonts w:ascii="Narkisim" w:hAnsi="Narkisim"/>
          <w:u w:val="single"/>
          <w:rtl/>
        </w:rPr>
        <w:t>שחרר את השפחה ובא עליה העבד וכו' וממזר וכו' עכו"ם ועבד הבא על בת ישראל הולד ממזר</w:t>
      </w:r>
      <w:r w:rsidRPr="003D7FC2">
        <w:rPr>
          <w:rFonts w:ascii="Narkisim" w:hAnsi="Narkisim"/>
          <w:rtl/>
        </w:rPr>
        <w:t xml:space="preserve">. ומבואר דאף עבד הבא על משוחררת הולד ממזר. וכמ"ש </w:t>
      </w:r>
      <w:r w:rsidRPr="003D7FC2">
        <w:rPr>
          <w:rFonts w:ascii="Narkisim" w:hAnsi="Narkisim"/>
          <w:b/>
          <w:bCs/>
          <w:rtl/>
        </w:rPr>
        <w:t>תוס'</w:t>
      </w:r>
      <w:r w:rsidRPr="003D7FC2">
        <w:rPr>
          <w:rFonts w:ascii="Narkisim" w:hAnsi="Narkisim"/>
          <w:rtl/>
        </w:rPr>
        <w:t xml:space="preserve"> (לעיל עט.) דאף למ"ד דקהל גרים לא איקרי קהל</w:t>
      </w:r>
      <w:r w:rsidRPr="003D7FC2">
        <w:rPr>
          <w:rStyle w:val="ac"/>
          <w:rFonts w:ascii="Narkisim" w:hAnsi="Narkisim"/>
          <w:rtl/>
        </w:rPr>
        <w:footnoteReference w:id="6383"/>
      </w:r>
      <w:r w:rsidRPr="003D7FC2">
        <w:rPr>
          <w:rFonts w:ascii="Narkisim" w:hAnsi="Narkisim"/>
          <w:rtl/>
        </w:rPr>
        <w:t>, מ"מ משוחרר אסור בשפחה. וע"ע ערול"נ.</w:t>
      </w:r>
    </w:p>
    <w:p w14:paraId="0C1B798C" w14:textId="77777777" w:rsidR="006C4368" w:rsidRPr="003D7FC2" w:rsidRDefault="006C4368" w:rsidP="006C4368">
      <w:pPr>
        <w:pStyle w:val="aa"/>
        <w:bidi/>
        <w:rPr>
          <w:rFonts w:ascii="Narkisim" w:hAnsi="Narkisim"/>
        </w:rPr>
      </w:pPr>
      <w:r w:rsidRPr="003D7FC2">
        <w:rPr>
          <w:rFonts w:ascii="Narkisim" w:hAnsi="Narkisim"/>
          <w:rtl/>
        </w:rPr>
        <w:t>וה</w:t>
      </w:r>
      <w:r w:rsidRPr="003D7FC2">
        <w:rPr>
          <w:rFonts w:ascii="Narkisim" w:hAnsi="Narkisim"/>
          <w:b/>
          <w:bCs/>
          <w:rtl/>
        </w:rPr>
        <w:t>מאירי</w:t>
      </w:r>
      <w:r w:rsidRPr="003D7FC2">
        <w:rPr>
          <w:rFonts w:ascii="Narkisim" w:hAnsi="Narkisim"/>
          <w:rtl/>
        </w:rPr>
        <w:t xml:space="preserve"> כת' דכ"ז למ"ד הולד ממזר, אבל קי"ל דעכו"ם ועבד הבא על בת ישראל הולד כשר, ואין כאן אלא ד'. ויש שדנו למ"ד (לעיל מה.) דפגום מיהא הוי, א"כ יש כאן חמישי. [וצ"ל ד'פגום' לא הוה אומה בפנ"ע].</w:t>
      </w:r>
    </w:p>
    <w:p w14:paraId="1512B326" w14:textId="77777777" w:rsidR="006C4368" w:rsidRPr="003D7FC2" w:rsidRDefault="006C4368" w:rsidP="006C4368">
      <w:pPr>
        <w:pStyle w:val="aa"/>
        <w:bidi/>
        <w:rPr>
          <w:rFonts w:ascii="Narkisim" w:hAnsi="Narkisim"/>
        </w:rPr>
      </w:pPr>
      <w:r w:rsidRPr="003D7FC2">
        <w:rPr>
          <w:rFonts w:ascii="Narkisim" w:hAnsi="Narkisim"/>
          <w:u w:val="single"/>
          <w:rtl/>
        </w:rPr>
        <w:t>ת"ר יש מוכר את אביו וכו' ועמד וכתב כל נכסיו לבנה וכו'</w:t>
      </w:r>
      <w:r w:rsidRPr="003D7FC2">
        <w:rPr>
          <w:rFonts w:ascii="Narkisim" w:hAnsi="Narkisim"/>
          <w:rtl/>
        </w:rPr>
        <w:t xml:space="preserve">. ולא נתפרש האם כתב לו בעודו נכרי או שהבן </w:t>
      </w:r>
      <w:r w:rsidRPr="003D7FC2">
        <w:rPr>
          <w:rFonts w:ascii="Narkisim" w:hAnsi="Narkisim"/>
          <w:rtl/>
        </w:rPr>
        <w:lastRenderedPageBreak/>
        <w:t>נתגייר. ו</w:t>
      </w:r>
      <w:r w:rsidRPr="003D7FC2">
        <w:rPr>
          <w:rFonts w:ascii="Narkisim" w:hAnsi="Narkisim"/>
          <w:b/>
          <w:bCs/>
          <w:rtl/>
        </w:rPr>
        <w:t>רש"י</w:t>
      </w:r>
      <w:r w:rsidRPr="003D7FC2">
        <w:rPr>
          <w:rFonts w:ascii="Narkisim" w:hAnsi="Narkisim"/>
          <w:rtl/>
        </w:rPr>
        <w:t xml:space="preserve"> כת' דלא קנה את הבן. וצ"ב כוונתו, דדין זה שייך אף אי קנאו לעבד ואח"כ שחררו. ועוד דאף אם הוא עבד, כשכתב נכסיו לעבדו זכה בעצמו ובנכסים. [וכה"ק הערול"נ].</w:t>
      </w:r>
    </w:p>
    <w:p w14:paraId="096F7C22"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ערול”נ</w:t>
      </w:r>
      <w:r w:rsidRPr="003D7FC2">
        <w:rPr>
          <w:rFonts w:ascii="Narkisim" w:hAnsi="Narkisim"/>
          <w:rtl/>
        </w:rPr>
        <w:t xml:space="preserve"> דן דכוונת רש"י דאילו הבן נמכר לעבד, א"כ בטל ייחוסו לאביו</w:t>
      </w:r>
      <w:r w:rsidRPr="003D7FC2">
        <w:rPr>
          <w:rStyle w:val="ac"/>
          <w:rFonts w:ascii="Narkisim" w:hAnsi="Narkisim"/>
          <w:rtl/>
        </w:rPr>
        <w:footnoteReference w:id="6384"/>
      </w:r>
      <w:r w:rsidRPr="003D7FC2">
        <w:rPr>
          <w:rFonts w:ascii="Narkisim" w:hAnsi="Narkisim"/>
          <w:rtl/>
        </w:rPr>
        <w:t>, ולא מקרי בנו [כיון דעבד אין לו חייס, וכדאי' לעיל סב.]. ומש"ה נקט רש"י דהבן לא היה עבד מעולם, דאי הוה עבד לא נחשב מוכר את אביו.</w:t>
      </w:r>
    </w:p>
    <w:p w14:paraId="14F9CC7B"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ערול”נ</w:t>
      </w:r>
      <w:r w:rsidRPr="003D7FC2">
        <w:rPr>
          <w:rFonts w:ascii="Narkisim" w:hAnsi="Narkisim"/>
          <w:rtl/>
        </w:rPr>
        <w:t xml:space="preserve"> כת' דמ”מ במה שהאב נמכר לעבד יש סברא לומר דלא פקע החייס אחר אביו, כיון שהבן לא נשתנה להיות נקרא דומה לחמור. [ואין חסרון שיתייחס הבן לאביו עבד. ויש שדנו דתלי במח' האם יש לעבד קנין במה שהיה לו קודם שנעשה עבד. ע' קצות רמט].</w:t>
      </w:r>
    </w:p>
    <w:p w14:paraId="4E263548" w14:textId="77777777" w:rsidR="006C4368" w:rsidRPr="003D7FC2" w:rsidRDefault="006C4368" w:rsidP="006C4368">
      <w:pPr>
        <w:pStyle w:val="aa"/>
        <w:bidi/>
        <w:rPr>
          <w:rFonts w:ascii="Narkisim" w:hAnsi="Narkisim"/>
        </w:rPr>
      </w:pPr>
      <w:r w:rsidRPr="003D7FC2">
        <w:rPr>
          <w:rFonts w:ascii="Narkisim" w:hAnsi="Narkisim"/>
          <w:u w:val="single"/>
          <w:rtl/>
        </w:rPr>
        <w:t>נמצא זה מוכר את אביו להגבות לאמו וכו'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דאמו תובעת כתובתה מהנכסים. ולכאורה היא תגבה את העבד, ואמאי הבן [מקבל המתנה] מוכר את שעבוד הנכסיםף להגבות ממעות.</w:t>
      </w:r>
    </w:p>
    <w:p w14:paraId="2AD6DBE5" w14:textId="77777777" w:rsidR="006C4368" w:rsidRPr="003D7FC2" w:rsidRDefault="006C4368" w:rsidP="006C4368">
      <w:pPr>
        <w:bidi/>
        <w:rPr>
          <w:rFonts w:ascii="Narkisim" w:hAnsi="Narkisim" w:cs="Narkisim"/>
        </w:rPr>
      </w:pPr>
      <w:r w:rsidRPr="003D7FC2">
        <w:rPr>
          <w:rFonts w:ascii="Narkisim" w:hAnsi="Narkisim" w:cs="Narkisim"/>
          <w:u w:val="single"/>
          <w:rtl/>
        </w:rPr>
        <w:t>ועבדא מטלטלי, ומטלטלי משתעבדי לכתובה, ואיבע"א הא קמ"ל דעבדא כמקרקעי דמי</w:t>
      </w:r>
      <w:r w:rsidRPr="003D7FC2">
        <w:rPr>
          <w:rFonts w:ascii="Narkisim" w:hAnsi="Narkisim" w:cs="Narkisim"/>
          <w:rtl/>
        </w:rPr>
        <w:t>. מבואר דנח' ב' הלשונות האם עבדים כמטלטלין או כקרקעות [לגביית כתובה]. וכן נח' (ב"ב קכח., ב”ק יא:) האם גובין מהעבדים.</w:t>
      </w:r>
    </w:p>
    <w:p w14:paraId="0FBE9BFD" w14:textId="77777777" w:rsidR="006C4368" w:rsidRPr="003D7FC2" w:rsidRDefault="006C4368" w:rsidP="006C4368">
      <w:pPr>
        <w:pStyle w:val="a7"/>
        <w:bidi/>
        <w:rPr>
          <w:rFonts w:ascii="Narkisim" w:hAnsi="Narkisim"/>
        </w:rPr>
      </w:pPr>
      <w:r w:rsidRPr="003D7FC2">
        <w:rPr>
          <w:rFonts w:ascii="Narkisim" w:hAnsi="Narkisim"/>
          <w:rtl/>
        </w:rPr>
        <w:t>ובפשוטו המח' האם אמרי' דעבדים הוקשו לקרקעות לכל מילי. ו</w:t>
      </w:r>
      <w:r w:rsidRPr="003D7FC2">
        <w:rPr>
          <w:rFonts w:ascii="Narkisim" w:hAnsi="Narkisim"/>
          <w:b/>
          <w:bCs/>
          <w:rtl/>
        </w:rPr>
        <w:t>תוס</w:t>
      </w:r>
      <w:r w:rsidRPr="003D7FC2">
        <w:rPr>
          <w:rFonts w:ascii="Narkisim" w:hAnsi="Narkisim"/>
          <w:rtl/>
        </w:rPr>
        <w:t xml:space="preserve">' (ב"ק יב.) כת' דהנידון האם עבדים כקרקעות במידי דרבנן, וה"נ גדרי תקנת שעבוד נכסים הוה מדרבנן. אבל </w:t>
      </w:r>
      <w:r w:rsidRPr="003D7FC2">
        <w:rPr>
          <w:rFonts w:ascii="Narkisim" w:hAnsi="Narkisim"/>
          <w:b/>
          <w:bCs/>
          <w:rtl/>
        </w:rPr>
        <w:t>תוס'</w:t>
      </w:r>
      <w:r w:rsidRPr="003D7FC2">
        <w:rPr>
          <w:rFonts w:ascii="Narkisim" w:hAnsi="Narkisim"/>
          <w:rtl/>
        </w:rPr>
        <w:t xml:space="preserve"> (כאן ד”ה מני) כת' דלכו"ע הוקשו לקרקעות, אלא דהנידון משום דלא סמכא דעתיה. וכ"כ </w:t>
      </w:r>
      <w:r w:rsidRPr="003D7FC2">
        <w:rPr>
          <w:rFonts w:ascii="Narkisim" w:hAnsi="Narkisim"/>
          <w:b/>
          <w:bCs/>
          <w:rtl/>
        </w:rPr>
        <w:t>רשב"ם</w:t>
      </w:r>
      <w:r w:rsidRPr="003D7FC2">
        <w:rPr>
          <w:rFonts w:ascii="Narkisim" w:hAnsi="Narkisim"/>
          <w:rtl/>
        </w:rPr>
        <w:t xml:space="preserve"> (ב"ב קכח.)</w:t>
      </w:r>
      <w:r w:rsidRPr="003D7FC2">
        <w:rPr>
          <w:rStyle w:val="ac"/>
          <w:rFonts w:ascii="Narkisim" w:hAnsi="Narkisim"/>
          <w:rtl/>
        </w:rPr>
        <w:footnoteReference w:id="6385"/>
      </w:r>
      <w:r w:rsidRPr="003D7FC2">
        <w:rPr>
          <w:rFonts w:ascii="Narkisim" w:hAnsi="Narkisim"/>
          <w:rtl/>
        </w:rPr>
        <w:t>. [וה</w:t>
      </w:r>
      <w:r w:rsidRPr="003D7FC2">
        <w:rPr>
          <w:rFonts w:ascii="Narkisim" w:hAnsi="Narkisim"/>
          <w:b/>
          <w:bCs/>
          <w:rtl/>
        </w:rPr>
        <w:t>אחרונים</w:t>
      </w:r>
      <w:r w:rsidRPr="003D7FC2">
        <w:rPr>
          <w:rFonts w:ascii="Narkisim" w:hAnsi="Narkisim"/>
          <w:rtl/>
        </w:rPr>
        <w:t xml:space="preserve"> דנו מהסוגיה ב"ק שם, וכן מהסוגיה ב"ב קנ., ואכמ"ל].</w:t>
      </w:r>
    </w:p>
    <w:p w14:paraId="1E72EA71" w14:textId="77777777" w:rsidR="006C4368" w:rsidRPr="003D7FC2" w:rsidRDefault="006C4368" w:rsidP="006C4368">
      <w:pPr>
        <w:bidi/>
        <w:rPr>
          <w:rFonts w:ascii="Narkisim" w:hAnsi="Narkisim" w:cs="Narkisim"/>
        </w:rPr>
      </w:pPr>
      <w:r w:rsidRPr="003D7FC2">
        <w:rPr>
          <w:rFonts w:ascii="Narkisim" w:hAnsi="Narkisim" w:cs="Narkisim"/>
          <w:u w:val="single"/>
          <w:rtl/>
        </w:rPr>
        <w:t>תוד"ה כתב</w:t>
      </w:r>
      <w:r w:rsidRPr="003D7FC2">
        <w:rPr>
          <w:rFonts w:ascii="Narkisim" w:hAnsi="Narkisim" w:cs="Narkisim"/>
          <w:rtl/>
        </w:rPr>
        <w:t>. תימה לר"ת דבכל דוכתא משמע דבמיניה פליגי וכו'. ודעת רבנן דאינו גובה ממטלטלין אפי' מיניה, דכתובה קיל משאר בע"ח</w:t>
      </w:r>
      <w:r w:rsidRPr="003D7FC2">
        <w:rPr>
          <w:rStyle w:val="ac"/>
          <w:rFonts w:ascii="Narkisim" w:hAnsi="Narkisim" w:cs="Narkisim"/>
          <w:rtl/>
        </w:rPr>
        <w:footnoteReference w:id="6386"/>
      </w:r>
      <w:r w:rsidRPr="003D7FC2">
        <w:rPr>
          <w:rFonts w:ascii="Narkisim" w:hAnsi="Narkisim" w:cs="Narkisim"/>
          <w:rtl/>
        </w:rPr>
        <w:t>. אבל דעת ה</w:t>
      </w:r>
      <w:r w:rsidRPr="003D7FC2">
        <w:rPr>
          <w:rFonts w:ascii="Narkisim" w:hAnsi="Narkisim" w:cs="Narkisim"/>
          <w:b/>
          <w:bCs/>
          <w:rtl/>
        </w:rPr>
        <w:t>ראב"ד</w:t>
      </w:r>
      <w:r w:rsidRPr="003D7FC2">
        <w:rPr>
          <w:rFonts w:ascii="Narkisim" w:hAnsi="Narkisim" w:cs="Narkisim"/>
          <w:rtl/>
        </w:rPr>
        <w:t xml:space="preserve"> (קידושין סה:) דאף לרבנן גובה ממטלטלין מיניה</w:t>
      </w:r>
      <w:r w:rsidRPr="003D7FC2">
        <w:rPr>
          <w:rStyle w:val="ac"/>
          <w:rFonts w:ascii="Narkisim" w:hAnsi="Narkisim" w:cs="Narkisim"/>
          <w:rtl/>
        </w:rPr>
        <w:footnoteReference w:id="6387"/>
      </w:r>
      <w:r w:rsidRPr="003D7FC2">
        <w:rPr>
          <w:rFonts w:ascii="Narkisim" w:hAnsi="Narkisim" w:cs="Narkisim"/>
          <w:rtl/>
        </w:rPr>
        <w:t>.</w:t>
      </w:r>
    </w:p>
    <w:p w14:paraId="3998A700" w14:textId="77777777" w:rsidR="006C4368" w:rsidRPr="003D7FC2" w:rsidRDefault="006C4368" w:rsidP="006C4368">
      <w:pPr>
        <w:pStyle w:val="aa"/>
        <w:bidi/>
        <w:rPr>
          <w:rFonts w:ascii="Narkisim" w:hAnsi="Narkisim"/>
        </w:rPr>
      </w:pPr>
      <w:r w:rsidRPr="003D7FC2">
        <w:rPr>
          <w:rFonts w:ascii="Narkisim" w:hAnsi="Narkisim"/>
          <w:u w:val="single"/>
          <w:rtl/>
        </w:rPr>
        <w:t>בא”ד ואור”ת דיבם במקום אחיו קאי, והוי כמיניה וכו'</w:t>
      </w:r>
      <w:r w:rsidRPr="003D7FC2">
        <w:rPr>
          <w:rFonts w:ascii="Narkisim" w:hAnsi="Narkisim"/>
          <w:rtl/>
        </w:rPr>
        <w:t xml:space="preserve">. כ”כ </w:t>
      </w:r>
      <w:r w:rsidRPr="003D7FC2">
        <w:rPr>
          <w:rFonts w:ascii="Narkisim" w:hAnsi="Narkisim"/>
          <w:b/>
          <w:bCs/>
          <w:rtl/>
        </w:rPr>
        <w:t>תוס'</w:t>
      </w:r>
      <w:r w:rsidRPr="003D7FC2">
        <w:rPr>
          <w:rFonts w:ascii="Narkisim" w:hAnsi="Narkisim"/>
          <w:rtl/>
        </w:rPr>
        <w:t xml:space="preserve"> (כתובות פא: ופד: ד”ה ולר' עקיבא, בכורות נא:). ובפשוטו גובה משום דיש שעבוד על המטלטלין, אלא דכתובה אינו גובה ממטלטלין שהגיעו ליד היתומים</w:t>
      </w:r>
      <w:r w:rsidRPr="003D7FC2">
        <w:rPr>
          <w:rStyle w:val="ac"/>
          <w:rFonts w:ascii="Narkisim" w:hAnsi="Narkisim"/>
          <w:rtl/>
        </w:rPr>
        <w:footnoteReference w:id="6388"/>
      </w:r>
      <w:r w:rsidRPr="003D7FC2">
        <w:rPr>
          <w:rFonts w:ascii="Narkisim" w:hAnsi="Narkisim"/>
          <w:rtl/>
        </w:rPr>
        <w:t>. ועוד יל"פ דגובים מחמת חיובו של יבם</w:t>
      </w:r>
      <w:r w:rsidRPr="003D7FC2">
        <w:rPr>
          <w:rStyle w:val="ac"/>
          <w:rFonts w:ascii="Narkisim" w:hAnsi="Narkisim"/>
          <w:rtl/>
        </w:rPr>
        <w:footnoteReference w:id="6389"/>
      </w:r>
      <w:r w:rsidRPr="003D7FC2">
        <w:rPr>
          <w:rFonts w:ascii="Narkisim" w:hAnsi="Narkisim"/>
          <w:rtl/>
        </w:rPr>
        <w:t>, דהיבם מתחייב להעמיד את כתובת הבעל.</w:t>
      </w:r>
    </w:p>
    <w:p w14:paraId="304B7C73" w14:textId="77777777" w:rsidR="006C4368" w:rsidRPr="003D7FC2" w:rsidRDefault="006C4368" w:rsidP="006C4368">
      <w:pPr>
        <w:bidi/>
        <w:rPr>
          <w:rFonts w:ascii="Narkisim" w:hAnsi="Narkisim" w:cs="Narkisim"/>
        </w:rPr>
      </w:pPr>
      <w:r w:rsidRPr="003D7FC2">
        <w:rPr>
          <w:rFonts w:ascii="Narkisim" w:hAnsi="Narkisim" w:cs="Narkisim"/>
          <w:u w:val="single"/>
          <w:rtl/>
        </w:rPr>
        <w:t>בא"ד אבל מיתמי אפי' ר' מאיר מודה דלא משתעבדי וכו'</w:t>
      </w:r>
      <w:r w:rsidRPr="003D7FC2">
        <w:rPr>
          <w:rFonts w:ascii="Narkisim" w:hAnsi="Narkisim" w:cs="Narkisim"/>
          <w:rtl/>
        </w:rPr>
        <w:t>. ור"י הוכיח דאי נימא דפליגי בתרתי, א"כ סברת ר"מ הפוכה מדרבנן, דלר"מ כתובה עדיפא דאפי' מטלטלי דיתמי משתעבדי וכו'. אבל ה</w:t>
      </w:r>
      <w:r w:rsidRPr="003D7FC2">
        <w:rPr>
          <w:rFonts w:ascii="Narkisim" w:hAnsi="Narkisim" w:cs="Narkisim"/>
          <w:b/>
          <w:bCs/>
          <w:rtl/>
        </w:rPr>
        <w:t>רמב"ן</w:t>
      </w:r>
      <w:r w:rsidRPr="003D7FC2">
        <w:rPr>
          <w:rFonts w:ascii="Narkisim" w:hAnsi="Narkisim" w:cs="Narkisim"/>
          <w:rtl/>
        </w:rPr>
        <w:t xml:space="preserve"> (קידושין סה: וכן שא"ר שם ובכ"מ, והר”ן נדרים סה:) דלר”מ כתובה גובה אפי' ממטלטלין דיתמי. ועדיף משאר בע"ח, ואה"נ דסברתם הפוכה.</w:t>
      </w:r>
    </w:p>
    <w:p w14:paraId="5AF20C43" w14:textId="77777777" w:rsidR="006C4368" w:rsidRPr="003D7FC2" w:rsidRDefault="006C4368" w:rsidP="006C4368">
      <w:pPr>
        <w:bidi/>
        <w:rPr>
          <w:rFonts w:ascii="Narkisim" w:hAnsi="Narkisim" w:cs="Narkisim"/>
        </w:rPr>
      </w:pPr>
      <w:r w:rsidRPr="003D7FC2">
        <w:rPr>
          <w:rFonts w:ascii="Narkisim" w:hAnsi="Narkisim" w:cs="Narkisim"/>
          <w:u w:val="single"/>
          <w:rtl/>
        </w:rPr>
        <w:t>בא"ד ומיהו קשה דהכא משמע דמטלטלי דמתנה משתעבדי לר"מ וכו'</w:t>
      </w:r>
      <w:r w:rsidRPr="003D7FC2">
        <w:rPr>
          <w:rFonts w:ascii="Narkisim" w:hAnsi="Narkisim" w:cs="Narkisim"/>
          <w:rtl/>
        </w:rPr>
        <w:t>. ותוס' הק' דמלוה ע"פ לא גבי ממקבל מתנה, א”כ כ”ש כתובה לדעת ר”ת [משמע דלולי דברי ר”ת אתי שפיר]. וה</w:t>
      </w:r>
      <w:r w:rsidRPr="003D7FC2">
        <w:rPr>
          <w:rFonts w:ascii="Narkisim" w:hAnsi="Narkisim" w:cs="Narkisim"/>
          <w:b/>
          <w:bCs/>
          <w:rtl/>
        </w:rPr>
        <w:t>ריטב"א</w:t>
      </w:r>
      <w:r w:rsidRPr="003D7FC2">
        <w:rPr>
          <w:rFonts w:ascii="Narkisim" w:hAnsi="Narkisim" w:cs="Narkisim"/>
          <w:rtl/>
        </w:rPr>
        <w:t xml:space="preserve"> ו</w:t>
      </w:r>
      <w:r w:rsidRPr="003D7FC2">
        <w:rPr>
          <w:rFonts w:ascii="Narkisim" w:hAnsi="Narkisim" w:cs="Narkisim"/>
          <w:b/>
          <w:bCs/>
          <w:rtl/>
        </w:rPr>
        <w:t>ר"א מן ההר</w:t>
      </w:r>
      <w:r w:rsidRPr="003D7FC2">
        <w:rPr>
          <w:rFonts w:ascii="Narkisim" w:hAnsi="Narkisim" w:cs="Narkisim"/>
          <w:rtl/>
        </w:rPr>
        <w:t xml:space="preserve"> הק' עוד דאף אי גובה ממטלטלין דיתמי, הא מקבל מתנה הוה משועבדים. וקי"ל (ב"ב מד:) דעשה שורו אפותיקי ומכרו אין בע"ח גובה ממנה משום תקנת השוק. וה"ה עבד היכא דלא עשאו אפותיקי</w:t>
      </w:r>
      <w:r w:rsidRPr="003D7FC2">
        <w:rPr>
          <w:rStyle w:val="ac"/>
          <w:rFonts w:ascii="Narkisim" w:hAnsi="Narkisim" w:cs="Narkisim"/>
          <w:rtl/>
        </w:rPr>
        <w:footnoteReference w:id="6390"/>
      </w:r>
      <w:r w:rsidRPr="003D7FC2">
        <w:rPr>
          <w:rFonts w:ascii="Narkisim" w:hAnsi="Narkisim" w:cs="Narkisim"/>
          <w:rtl/>
        </w:rPr>
        <w:t xml:space="preserve">. [ור"א מן ההר האריך להוכיח דאף ר"מ מודה </w:t>
      </w:r>
      <w:r w:rsidRPr="003D7FC2">
        <w:rPr>
          <w:rFonts w:ascii="Narkisim" w:hAnsi="Narkisim" w:cs="Narkisim"/>
          <w:rtl/>
        </w:rPr>
        <w:lastRenderedPageBreak/>
        <w:t>דאינו גובה ממטלטלין ביד לקוחות].</w:t>
      </w:r>
    </w:p>
    <w:p w14:paraId="12CD40EE" w14:textId="77777777" w:rsidR="006C4368" w:rsidRPr="003D7FC2" w:rsidRDefault="006C4368" w:rsidP="006C4368">
      <w:pPr>
        <w:pStyle w:val="a7"/>
        <w:bidi/>
        <w:rPr>
          <w:rFonts w:ascii="Narkisim" w:hAnsi="Narkisim"/>
        </w:rPr>
      </w:pPr>
      <w:r w:rsidRPr="003D7FC2">
        <w:rPr>
          <w:rFonts w:ascii="Narkisim" w:hAnsi="Narkisim"/>
          <w:rtl/>
        </w:rPr>
        <w:t>[ופשיט"ל לראשונים דה"ה מתנה מפקיע שעבוד</w:t>
      </w:r>
      <w:r w:rsidRPr="003D7FC2">
        <w:rPr>
          <w:rStyle w:val="ac"/>
          <w:rFonts w:ascii="Narkisim" w:hAnsi="Narkisim"/>
          <w:rtl/>
        </w:rPr>
        <w:footnoteReference w:id="6391"/>
      </w:r>
      <w:r w:rsidRPr="003D7FC2">
        <w:rPr>
          <w:rFonts w:ascii="Narkisim" w:hAnsi="Narkisim"/>
          <w:rtl/>
        </w:rPr>
        <w:t>].</w:t>
      </w:r>
    </w:p>
    <w:p w14:paraId="6740B516" w14:textId="77777777" w:rsidR="006C4368" w:rsidRPr="003D7FC2" w:rsidRDefault="006C4368" w:rsidP="006C4368">
      <w:pPr>
        <w:pStyle w:val="aa"/>
        <w:bidi/>
        <w:rPr>
          <w:rFonts w:ascii="Narkisim" w:hAnsi="Narkisim"/>
        </w:rPr>
      </w:pPr>
      <w:r w:rsidRPr="003D7FC2">
        <w:rPr>
          <w:rFonts w:ascii="Narkisim" w:hAnsi="Narkisim"/>
          <w:u w:val="single"/>
          <w:rtl/>
        </w:rPr>
        <w:t>בא"ד ואר"י דהכא במתנת שכ"מ איירי, דגרוע כגון ירושה וכו'</w:t>
      </w:r>
      <w:r w:rsidRPr="003D7FC2">
        <w:rPr>
          <w:rFonts w:ascii="Narkisim" w:hAnsi="Narkisim"/>
          <w:rtl/>
        </w:rPr>
        <w:t>. וה</w:t>
      </w:r>
      <w:r w:rsidRPr="003D7FC2">
        <w:rPr>
          <w:rFonts w:ascii="Narkisim" w:hAnsi="Narkisim"/>
          <w:b/>
          <w:bCs/>
          <w:rtl/>
        </w:rPr>
        <w:t>תורא”ש</w:t>
      </w:r>
      <w:r w:rsidRPr="003D7FC2">
        <w:rPr>
          <w:rFonts w:ascii="Narkisim" w:hAnsi="Narkisim"/>
          <w:rtl/>
        </w:rPr>
        <w:t xml:space="preserve"> כת' דלפ”ז הא דאי' בסוגיין 'כתב' לאו דוקא, וכוונתו נתן. דמתנת שכיב מרע שצווה לכתוב גרע, דחיישינן שמא לא גמר להקנותו אלא בשטר (כדאי' ב”ב קנב.). א"נ דאיירי במייפה את כוחה. א"נ דכתב לו בצווי השכי"מ מחיים, ודוקא היכא דאמר בע"פ כתבו ותנו גרע.</w:t>
      </w:r>
    </w:p>
    <w:p w14:paraId="387009E6" w14:textId="77777777" w:rsidR="006C4368" w:rsidRPr="003D7FC2" w:rsidRDefault="006C4368" w:rsidP="006C4368">
      <w:pPr>
        <w:bidi/>
        <w:rPr>
          <w:rFonts w:ascii="Narkisim" w:hAnsi="Narkisim" w:cs="Narkisim"/>
        </w:rPr>
      </w:pPr>
      <w:r w:rsidRPr="003D7FC2">
        <w:rPr>
          <w:rFonts w:ascii="Narkisim" w:hAnsi="Narkisim" w:cs="Narkisim"/>
          <w:u w:val="single"/>
          <w:rtl/>
        </w:rPr>
        <w:t>בא"ד וכ"מ ביש נוחלין (ב"ב קלג.) דקאמר מה ירושה דאורייתא אלמנתו נזונת מנכסיו, מתנת שכי"מ דרבנן לא כ"ש וכו'</w:t>
      </w:r>
      <w:r w:rsidRPr="003D7FC2">
        <w:rPr>
          <w:rFonts w:ascii="Narkisim" w:hAnsi="Narkisim" w:cs="Narkisim"/>
          <w:rtl/>
        </w:rPr>
        <w:t>. דמתנה שכיב מרע לא נחשב 'משועבדים' כלפי מזונות אלמנה</w:t>
      </w:r>
      <w:r w:rsidRPr="003D7FC2">
        <w:rPr>
          <w:rStyle w:val="ac"/>
          <w:rFonts w:ascii="Narkisim" w:hAnsi="Narkisim" w:cs="Narkisim"/>
          <w:rtl/>
        </w:rPr>
        <w:footnoteReference w:id="6392"/>
      </w:r>
      <w:r w:rsidRPr="003D7FC2">
        <w:rPr>
          <w:rFonts w:ascii="Narkisim" w:hAnsi="Narkisim" w:cs="Narkisim"/>
          <w:rtl/>
        </w:rPr>
        <w:t>. וה</w:t>
      </w:r>
      <w:r w:rsidRPr="003D7FC2">
        <w:rPr>
          <w:rFonts w:ascii="Narkisim" w:hAnsi="Narkisim" w:cs="Narkisim"/>
          <w:b/>
          <w:bCs/>
          <w:rtl/>
        </w:rPr>
        <w:t>ר"י מגאש</w:t>
      </w:r>
      <w:r w:rsidRPr="003D7FC2">
        <w:rPr>
          <w:rFonts w:ascii="Narkisim" w:hAnsi="Narkisim" w:cs="Narkisim"/>
          <w:rtl/>
        </w:rPr>
        <w:t xml:space="preserve"> (שם) כת' דמלוה ע"פ גובה ממתנת שכיב מרע, דהא קי"ל דגובה מיורשין. [והראשונים שם האריכו בזה.</w:t>
      </w:r>
    </w:p>
    <w:p w14:paraId="3D388E87"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ראב"ד</w:t>
      </w:r>
      <w:r w:rsidRPr="003D7FC2">
        <w:rPr>
          <w:rFonts w:ascii="Narkisim" w:hAnsi="Narkisim"/>
          <w:rtl/>
        </w:rPr>
        <w:t xml:space="preserve"> (השג' אישות יט יג, והו' בראשונים שם) חלק דבכמה מקומות בש"ס מבואר דמתנת שכיב מרע הוה משועבדים. וקאי התם דוקא במזון אלמנה דתפסה מחיים]. וכן ה</w:t>
      </w:r>
      <w:r w:rsidRPr="003D7FC2">
        <w:rPr>
          <w:rFonts w:ascii="Narkisim" w:hAnsi="Narkisim"/>
          <w:b/>
          <w:bCs/>
          <w:rtl/>
        </w:rPr>
        <w:t>ריטב"א</w:t>
      </w:r>
      <w:r w:rsidRPr="003D7FC2">
        <w:rPr>
          <w:rFonts w:ascii="Narkisim" w:hAnsi="Narkisim"/>
          <w:rtl/>
        </w:rPr>
        <w:t xml:space="preserve"> (כאן) הביא דדעת מורינו הר"ם דאפי' מתנת שכיב מרע דיינינן כנכסים משועבדים.</w:t>
      </w:r>
    </w:p>
    <w:p w14:paraId="3DC09FF1"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ריטב"א</w:t>
      </w:r>
      <w:r w:rsidRPr="003D7FC2">
        <w:rPr>
          <w:rFonts w:ascii="Narkisim" w:hAnsi="Narkisim"/>
          <w:rtl/>
        </w:rPr>
        <w:t xml:space="preserve"> (והמאירי בשם קצת גדולי הדור) תי' די"ל דהכא מיירי שנתן את הנכסים ע"מ שיהא קיים בהם שעבוד כתובת אמו. ולא תפסיד כלום מפני מתנה זו.</w:t>
      </w:r>
    </w:p>
    <w:p w14:paraId="21C4C4A8" w14:textId="77777777" w:rsidR="006C4368" w:rsidRPr="003D7FC2" w:rsidRDefault="006C4368" w:rsidP="006C4368">
      <w:pPr>
        <w:bidi/>
        <w:rPr>
          <w:rFonts w:ascii="Narkisim" w:hAnsi="Narkisim" w:cs="Narkisim"/>
        </w:rPr>
      </w:pPr>
      <w:r w:rsidRPr="003D7FC2">
        <w:rPr>
          <w:rFonts w:ascii="Narkisim" w:hAnsi="Narkisim" w:cs="Narkisim"/>
          <w:u w:val="single"/>
          <w:rtl/>
        </w:rPr>
        <w:t>בא"ד ולפי מה שתקנו [הגאונים, הו' ב</w:t>
      </w:r>
      <w:r w:rsidRPr="003D7FC2">
        <w:rPr>
          <w:rFonts w:ascii="Narkisim" w:hAnsi="Narkisim" w:cs="Narkisim"/>
          <w:b/>
          <w:bCs/>
          <w:u w:val="single"/>
          <w:rtl/>
        </w:rPr>
        <w:t>בה"ג</w:t>
      </w:r>
      <w:r w:rsidRPr="003D7FC2">
        <w:rPr>
          <w:rFonts w:ascii="Narkisim" w:hAnsi="Narkisim" w:cs="Narkisim"/>
          <w:u w:val="single"/>
          <w:rtl/>
        </w:rPr>
        <w:t xml:space="preserve"> שו)] וכו' ממטלטלי דיתמי, כ"ש דגביא ממטלטלין דמתנת שכ"מ</w:t>
      </w:r>
      <w:r w:rsidRPr="003D7FC2">
        <w:rPr>
          <w:rFonts w:ascii="Narkisim" w:hAnsi="Narkisim" w:cs="Narkisim"/>
          <w:rtl/>
        </w:rPr>
        <w:t xml:space="preserve">. כ"ג </w:t>
      </w:r>
      <w:r w:rsidRPr="003D7FC2">
        <w:rPr>
          <w:rFonts w:ascii="Narkisim" w:hAnsi="Narkisim" w:cs="Narkisim"/>
          <w:b/>
          <w:bCs/>
          <w:rtl/>
        </w:rPr>
        <w:t>תוס'</w:t>
      </w:r>
      <w:r w:rsidRPr="003D7FC2">
        <w:rPr>
          <w:rFonts w:ascii="Narkisim" w:hAnsi="Narkisim" w:cs="Narkisim"/>
          <w:rtl/>
        </w:rPr>
        <w:t xml:space="preserve"> (כתובות מט:), וכ"כ ב</w:t>
      </w:r>
      <w:r w:rsidRPr="003D7FC2">
        <w:rPr>
          <w:rFonts w:ascii="Narkisim" w:hAnsi="Narkisim" w:cs="Narkisim"/>
          <w:b/>
          <w:bCs/>
          <w:rtl/>
        </w:rPr>
        <w:t>תוס' חד מקמאי</w:t>
      </w:r>
      <w:r w:rsidRPr="003D7FC2">
        <w:rPr>
          <w:rFonts w:ascii="Narkisim" w:hAnsi="Narkisim" w:cs="Narkisim"/>
          <w:rtl/>
        </w:rPr>
        <w:t xml:space="preserve"> (עה"ג). ולא אמרי' דמתנת שכ"מ הוה משועבדים, וע"פ הגמ' (ב"ב הנ"ל). [אבל לדברי הראב"ד (הנ"ל) לא יגבה. וה</w:t>
      </w:r>
      <w:r w:rsidRPr="003D7FC2">
        <w:rPr>
          <w:rFonts w:ascii="Narkisim" w:hAnsi="Narkisim" w:cs="Narkisim"/>
          <w:b/>
          <w:bCs/>
          <w:rtl/>
        </w:rPr>
        <w:t>דרכ”מ</w:t>
      </w:r>
      <w:r w:rsidRPr="003D7FC2">
        <w:rPr>
          <w:rFonts w:ascii="Narkisim" w:hAnsi="Narkisim" w:cs="Narkisim"/>
          <w:rtl/>
        </w:rPr>
        <w:t xml:space="preserve"> (ק ז) הביא בזה מח'].</w:t>
      </w:r>
    </w:p>
    <w:p w14:paraId="14B92E49" w14:textId="77777777" w:rsidR="006C4368" w:rsidRPr="003D7FC2" w:rsidRDefault="006C4368" w:rsidP="006C4368">
      <w:pPr>
        <w:pStyle w:val="aa"/>
        <w:bidi/>
        <w:rPr>
          <w:rFonts w:ascii="Narkisim" w:hAnsi="Narkisim"/>
        </w:rPr>
      </w:pPr>
      <w:r w:rsidRPr="003D7FC2">
        <w:rPr>
          <w:rFonts w:ascii="Narkisim" w:hAnsi="Narkisim"/>
          <w:u w:val="single"/>
          <w:rtl/>
        </w:rPr>
        <w:t>תוד"ה ספק</w:t>
      </w:r>
      <w:r w:rsidRPr="003D7FC2">
        <w:rPr>
          <w:rFonts w:ascii="Narkisim" w:hAnsi="Narkisim"/>
          <w:rtl/>
        </w:rPr>
        <w:t>. אמרי' בירושלמי זאת אומרת וכו' פי' אע"פ שיכול לבא לידי ביטול מצוות יבמין וכו'. ה</w:t>
      </w:r>
      <w:r w:rsidRPr="003D7FC2">
        <w:rPr>
          <w:rFonts w:ascii="Narkisim" w:hAnsi="Narkisim"/>
          <w:b/>
          <w:bCs/>
          <w:rtl/>
        </w:rPr>
        <w:t>ערול"נ</w:t>
      </w:r>
      <w:r w:rsidRPr="003D7FC2">
        <w:rPr>
          <w:rFonts w:ascii="Narkisim" w:hAnsi="Narkisim"/>
          <w:rtl/>
        </w:rPr>
        <w:t xml:space="preserve"> הק' דהכא נושאה מחמת ספק מצוות יבום. והאיך ס"ד לדחות מצוות יבום משום חשש ביטול מצוות יבמין. והוכיח דכיון דחולץ לא הוה עכשיו ביטול מצוות יבמין.</w:t>
      </w:r>
    </w:p>
    <w:p w14:paraId="1F31646A" w14:textId="77777777" w:rsidR="006C4368" w:rsidRPr="003D7FC2" w:rsidRDefault="006C4368" w:rsidP="006C4368">
      <w:pPr>
        <w:pStyle w:val="aa"/>
        <w:bidi/>
        <w:rPr>
          <w:rFonts w:ascii="Narkisim" w:hAnsi="Narkisim"/>
        </w:rPr>
      </w:pPr>
      <w:r w:rsidRPr="003D7FC2">
        <w:rPr>
          <w:rFonts w:ascii="Narkisim" w:hAnsi="Narkisim"/>
          <w:u w:val="single"/>
          <w:rtl/>
        </w:rPr>
        <w:t>בא"ד מכאן יכול להיות ראיה לפריב"ן וכו' בת אחיו אין עושה כ"כ מצווה, דמבטל מצוות יבמין</w:t>
      </w:r>
      <w:r w:rsidRPr="003D7FC2">
        <w:rPr>
          <w:rFonts w:ascii="Narkisim" w:hAnsi="Narkisim"/>
          <w:rtl/>
        </w:rPr>
        <w:t>. מבואר דתוס' דייק כן מס"ד דהירושלמי, ואף למסקנא דמותר, מ"מ לא הוה מצווה כל כך. [ויל"ד בגדר זה].</w:t>
      </w:r>
    </w:p>
    <w:p w14:paraId="44E5EB55" w14:textId="77777777" w:rsidR="006C4368" w:rsidRPr="003D7FC2" w:rsidRDefault="006C4368" w:rsidP="006C4368">
      <w:pPr>
        <w:pStyle w:val="2"/>
        <w:bidi/>
        <w:rPr>
          <w:rFonts w:ascii="Narkisim" w:hAnsi="Narkisim"/>
        </w:rPr>
      </w:pPr>
      <w:r w:rsidRPr="003D7FC2">
        <w:rPr>
          <w:rFonts w:ascii="Narkisim" w:hAnsi="Narkisim"/>
          <w:rtl/>
        </w:rPr>
        <w:t>כהנת שנתערב ולדה</w:t>
      </w:r>
    </w:p>
    <w:p w14:paraId="4381F7E4" w14:textId="77777777" w:rsidR="006C4368" w:rsidRPr="003D7FC2" w:rsidRDefault="006C4368" w:rsidP="006C4368">
      <w:pPr>
        <w:bidi/>
        <w:rPr>
          <w:rFonts w:ascii="Narkisim" w:hAnsi="Narkisim" w:cs="Narkisim"/>
        </w:rPr>
      </w:pPr>
      <w:r w:rsidRPr="003D7FC2">
        <w:rPr>
          <w:rFonts w:ascii="Narkisim" w:hAnsi="Narkisim" w:cs="Narkisim"/>
          <w:u w:val="single"/>
          <w:rtl/>
        </w:rPr>
        <w:t>הרי אלו אוכלים בתרומה</w:t>
      </w:r>
      <w:r w:rsidRPr="003D7FC2">
        <w:rPr>
          <w:rFonts w:ascii="Narkisim" w:hAnsi="Narkisim" w:cs="Narkisim"/>
          <w:rtl/>
        </w:rPr>
        <w:t>. [ואוכל ממ"נ דהוה כהן או עבד כהן]. והגמ' (גיטין מב:) מק' דכיון דהגדילו משחררין זה את זה, א”כ הוה מעוכב גט שחרור</w:t>
      </w:r>
      <w:r w:rsidRPr="003D7FC2">
        <w:rPr>
          <w:rStyle w:val="ac"/>
          <w:rFonts w:ascii="Narkisim" w:hAnsi="Narkisim" w:cs="Narkisim"/>
          <w:rtl/>
        </w:rPr>
        <w:footnoteReference w:id="6393"/>
      </w:r>
      <w:r w:rsidRPr="003D7FC2">
        <w:rPr>
          <w:rFonts w:ascii="Narkisim" w:hAnsi="Narkisim" w:cs="Narkisim"/>
          <w:rtl/>
        </w:rPr>
        <w:t>. וש"מ דעבד מעוכב גט שחרור אוכל בתרומה, והוה ספק בגמ' שם. והגמ' דוחה דאם יבא אליהו</w:t>
      </w:r>
      <w:r w:rsidRPr="003D7FC2">
        <w:rPr>
          <w:rStyle w:val="ac"/>
          <w:rFonts w:ascii="Narkisim" w:hAnsi="Narkisim" w:cs="Narkisim"/>
          <w:rtl/>
        </w:rPr>
        <w:footnoteReference w:id="6394"/>
      </w:r>
      <w:r w:rsidRPr="003D7FC2">
        <w:rPr>
          <w:rFonts w:ascii="Narkisim" w:hAnsi="Narkisim" w:cs="Narkisim"/>
          <w:rtl/>
        </w:rPr>
        <w:t xml:space="preserve"> ויאמר שהוא עבד לא ישחררנו. ומש”ה לא נחשב מעוכב גט שחרור</w:t>
      </w:r>
      <w:r w:rsidRPr="003D7FC2">
        <w:rPr>
          <w:rStyle w:val="ac"/>
          <w:rFonts w:ascii="Narkisim" w:hAnsi="Narkisim" w:cs="Narkisim"/>
          <w:rtl/>
        </w:rPr>
        <w:footnoteReference w:id="6395"/>
      </w:r>
      <w:r w:rsidRPr="003D7FC2">
        <w:rPr>
          <w:rFonts w:ascii="Narkisim" w:hAnsi="Narkisim" w:cs="Narkisim"/>
          <w:rtl/>
        </w:rPr>
        <w:t>.</w:t>
      </w:r>
    </w:p>
    <w:p w14:paraId="6C0FC1C3" w14:textId="77777777" w:rsidR="006C4368" w:rsidRPr="003D7FC2" w:rsidRDefault="006C4368" w:rsidP="006C4368">
      <w:pPr>
        <w:bidi/>
        <w:rPr>
          <w:rFonts w:ascii="Narkisim" w:hAnsi="Narkisim" w:cs="Narkisim"/>
        </w:rPr>
      </w:pPr>
      <w:r w:rsidRPr="003D7FC2">
        <w:rPr>
          <w:rFonts w:ascii="Narkisim" w:hAnsi="Narkisim" w:cs="Narkisim"/>
          <w:rtl/>
        </w:rPr>
        <w:t>וה</w:t>
      </w:r>
      <w:r w:rsidRPr="003D7FC2">
        <w:rPr>
          <w:rFonts w:ascii="Narkisim" w:hAnsi="Narkisim" w:cs="Narkisim"/>
          <w:b/>
          <w:bCs/>
          <w:rtl/>
        </w:rPr>
        <w:t>אחרונים</w:t>
      </w:r>
      <w:r w:rsidRPr="003D7FC2">
        <w:rPr>
          <w:rFonts w:ascii="Narkisim" w:hAnsi="Narkisim" w:cs="Narkisim"/>
          <w:rtl/>
        </w:rPr>
        <w:t xml:space="preserve"> (ס' המאיר לעולם א יד) הק' דמ"מ מחמת הספק אין לו עליו זכות ממון, שהרי דין המוציא מחבירו עליו הראיה הוא בתורת 'ודאי'. וכדאי' (ב"מ ו:) דספק בכור נכנסין לדיר להתעשר, ונחשב עשירי ודאי.</w:t>
      </w:r>
    </w:p>
    <w:p w14:paraId="3389512C"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שער"י</w:t>
      </w:r>
      <w:r w:rsidRPr="003D7FC2">
        <w:rPr>
          <w:rFonts w:ascii="Narkisim" w:hAnsi="Narkisim"/>
          <w:rtl/>
        </w:rPr>
        <w:t xml:space="preserve"> (ה ח) תי' דגדר 'קנין כספו' לענין תרומה תלי בבעלות האמיתי, ולא בדיני המשפט. וה</w:t>
      </w:r>
      <w:r w:rsidRPr="003D7FC2">
        <w:rPr>
          <w:rFonts w:ascii="Narkisim" w:hAnsi="Narkisim"/>
          <w:b/>
          <w:bCs/>
          <w:rtl/>
        </w:rPr>
        <w:t>קובה"ע</w:t>
      </w:r>
      <w:r w:rsidRPr="003D7FC2">
        <w:rPr>
          <w:rFonts w:ascii="Narkisim" w:hAnsi="Narkisim"/>
          <w:rtl/>
        </w:rPr>
        <w:t xml:space="preserve"> (עא ז) כת' דסיבת הבעלות קיימת, ואם יבא אליהו נתברר שהוא שלו [ולא צריך לחזור ולעשות קנין]</w:t>
      </w:r>
      <w:r w:rsidRPr="003D7FC2">
        <w:rPr>
          <w:rStyle w:val="ac"/>
          <w:rFonts w:ascii="Narkisim" w:hAnsi="Narkisim"/>
          <w:rtl/>
        </w:rPr>
        <w:footnoteReference w:id="6396"/>
      </w:r>
      <w:r w:rsidRPr="003D7FC2">
        <w:rPr>
          <w:rFonts w:ascii="Narkisim" w:hAnsi="Narkisim"/>
          <w:rtl/>
        </w:rPr>
        <w:t>. ועוד דן (שם ו) דבמקום שיש גדר ממ"נ לא נשתנה הדין [עי”ש].</w:t>
      </w:r>
    </w:p>
    <w:p w14:paraId="35FBDE3A" w14:textId="77777777" w:rsidR="006C4368" w:rsidRPr="003D7FC2" w:rsidRDefault="006C4368" w:rsidP="006C4368">
      <w:pPr>
        <w:pStyle w:val="a8"/>
        <w:bidi/>
        <w:rPr>
          <w:rFonts w:ascii="Narkisim" w:hAnsi="Narkisim"/>
        </w:rPr>
      </w:pPr>
      <w:r w:rsidRPr="003D7FC2">
        <w:rPr>
          <w:rFonts w:ascii="Narkisim" w:hAnsi="Narkisim"/>
          <w:rtl/>
        </w:rPr>
        <w:lastRenderedPageBreak/>
        <w:t>וה</w:t>
      </w:r>
      <w:r w:rsidRPr="003D7FC2">
        <w:rPr>
          <w:rFonts w:ascii="Narkisim" w:hAnsi="Narkisim"/>
          <w:b/>
          <w:bCs/>
          <w:rtl/>
        </w:rPr>
        <w:t>קה"י</w:t>
      </w:r>
      <w:r w:rsidRPr="003D7FC2">
        <w:rPr>
          <w:rFonts w:ascii="Narkisim" w:hAnsi="Narkisim"/>
          <w:rtl/>
        </w:rPr>
        <w:t xml:space="preserve"> (ב"מ יא ו) תי' עוד ע"פ דברי ה</w:t>
      </w:r>
      <w:r w:rsidRPr="003D7FC2">
        <w:rPr>
          <w:rFonts w:ascii="Narkisim" w:hAnsi="Narkisim"/>
          <w:b/>
          <w:bCs/>
          <w:rtl/>
        </w:rPr>
        <w:t>קצות</w:t>
      </w:r>
      <w:r w:rsidRPr="003D7FC2">
        <w:rPr>
          <w:rFonts w:ascii="Narkisim" w:hAnsi="Narkisim"/>
          <w:rtl/>
        </w:rPr>
        <w:t xml:space="preserve"> (פח ט) דאף במקום ספיקות עבד לא נחשב מוחזק בעצמו, כיון דיד עבד כיד רבו. ועל הצד שהוא עבד, האדון הוא המוחזק. [והעבד הוא רק 'תפוס' וספק מוחזק. אבל אינו מוחזק ממש].</w:t>
      </w:r>
    </w:p>
    <w:p w14:paraId="1A89175D" w14:textId="77777777" w:rsidR="006C4368" w:rsidRPr="003D7FC2" w:rsidRDefault="006C4368" w:rsidP="006C4368">
      <w:pPr>
        <w:pStyle w:val="3"/>
        <w:bidi/>
        <w:rPr>
          <w:rFonts w:ascii="Narkisim" w:hAnsi="Narkisim"/>
        </w:rPr>
      </w:pPr>
      <w:r w:rsidRPr="003D7FC2">
        <w:rPr>
          <w:rFonts w:ascii="Narkisim" w:hAnsi="Narkisim"/>
          <w:rtl/>
        </w:rPr>
        <w:t>דף צט:</w:t>
      </w:r>
    </w:p>
    <w:p w14:paraId="1851F86B" w14:textId="77777777" w:rsidR="006C4368" w:rsidRPr="003D7FC2" w:rsidRDefault="006C4368" w:rsidP="006C4368">
      <w:pPr>
        <w:bidi/>
        <w:rPr>
          <w:rFonts w:ascii="Narkisim" w:hAnsi="Narkisim" w:cs="Narkisim"/>
        </w:rPr>
      </w:pPr>
      <w:r w:rsidRPr="003D7FC2">
        <w:rPr>
          <w:rFonts w:ascii="Narkisim" w:hAnsi="Narkisim" w:cs="Narkisim"/>
          <w:u w:val="single"/>
          <w:rtl/>
        </w:rPr>
        <w:t>ואינן מטמאין למתים</w:t>
      </w:r>
      <w:r w:rsidRPr="003D7FC2">
        <w:rPr>
          <w:rFonts w:ascii="Narkisim" w:hAnsi="Narkisim" w:cs="Narkisim"/>
          <w:rtl/>
        </w:rPr>
        <w:t>. ה</w:t>
      </w:r>
      <w:r w:rsidRPr="003D7FC2">
        <w:rPr>
          <w:rFonts w:ascii="Narkisim" w:hAnsi="Narkisim" w:cs="Narkisim"/>
          <w:b/>
          <w:bCs/>
          <w:rtl/>
        </w:rPr>
        <w:t>ערול"נ</w:t>
      </w:r>
      <w:r w:rsidRPr="003D7FC2">
        <w:rPr>
          <w:rFonts w:ascii="Narkisim" w:hAnsi="Narkisim" w:cs="Narkisim"/>
          <w:rtl/>
        </w:rPr>
        <w:t xml:space="preserve"> כת' דהיינו מתים דעלמא. אבל יש מתים שמותר להם לטמאות ממ"נ, כגון בעל הכהנת [שנתערב ולדה], וכן בניה ובנותיה הודאים</w:t>
      </w:r>
      <w:r w:rsidRPr="003D7FC2">
        <w:rPr>
          <w:rStyle w:val="ac"/>
          <w:rFonts w:ascii="Narkisim" w:hAnsi="Narkisim" w:cs="Narkisim"/>
          <w:rtl/>
        </w:rPr>
        <w:footnoteReference w:id="6397"/>
      </w:r>
      <w:r w:rsidRPr="003D7FC2">
        <w:rPr>
          <w:rFonts w:ascii="Narkisim" w:hAnsi="Narkisim" w:cs="Narkisim"/>
          <w:rtl/>
        </w:rPr>
        <w:t>. דאי עבד הוא מותר לטמאות, ואי כהן הוא א"כ הוה קרובים שלו. [ולא אמרי' דכיון דלא נתברר הקורבא קליש, ואינו מטמא להם].</w:t>
      </w:r>
    </w:p>
    <w:p w14:paraId="1BB3EC1A" w14:textId="77777777" w:rsidR="006C4368" w:rsidRPr="003D7FC2" w:rsidRDefault="006C4368" w:rsidP="006C4368">
      <w:pPr>
        <w:pStyle w:val="aa"/>
        <w:bidi/>
        <w:rPr>
          <w:rFonts w:ascii="Narkisim" w:hAnsi="Narkisim"/>
        </w:rPr>
      </w:pPr>
      <w:r w:rsidRPr="003D7FC2">
        <w:rPr>
          <w:rFonts w:ascii="Narkisim" w:hAnsi="Narkisim"/>
          <w:u w:val="single"/>
          <w:rtl/>
        </w:rPr>
        <w:t>ואינן נושאין נשים וכו' בין פסולות וכו'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כגון שפחה, ומשום כהן. וה</w:t>
      </w:r>
      <w:r w:rsidRPr="003D7FC2">
        <w:rPr>
          <w:rFonts w:ascii="Narkisim" w:hAnsi="Narkisim"/>
          <w:b/>
          <w:bCs/>
          <w:rtl/>
        </w:rPr>
        <w:t>אחרונים</w:t>
      </w:r>
      <w:r w:rsidRPr="003D7FC2">
        <w:rPr>
          <w:rFonts w:ascii="Narkisim" w:hAnsi="Narkisim"/>
          <w:rtl/>
        </w:rPr>
        <w:t xml:space="preserve"> כת' דלאו דוקא משום כהן [אלא משום דהמשנה איירי בכהן], דהא אף ישראל אסור בשפחה.</w:t>
      </w:r>
    </w:p>
    <w:p w14:paraId="60756302"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רש"ש</w:t>
      </w:r>
      <w:r w:rsidRPr="003D7FC2">
        <w:rPr>
          <w:rFonts w:ascii="Narkisim" w:hAnsi="Narkisim"/>
          <w:rtl/>
        </w:rPr>
        <w:t xml:space="preserve"> (לקמן ק:) כת' די"ל דבישראל יש תקנה לשחרר שפחה בתנאי, ע"מ שהוא ישראל. וישאנה ממ"נ. [אבל כהן אסור במשוחררת].</w:t>
      </w:r>
    </w:p>
    <w:p w14:paraId="12641B19" w14:textId="77777777" w:rsidR="006C4368" w:rsidRPr="003D7FC2" w:rsidRDefault="006C4368" w:rsidP="006C4368">
      <w:pPr>
        <w:pStyle w:val="aa"/>
        <w:bidi/>
        <w:rPr>
          <w:rFonts w:ascii="Narkisim" w:hAnsi="Narkisim"/>
        </w:rPr>
      </w:pPr>
      <w:r w:rsidRPr="003D7FC2">
        <w:rPr>
          <w:rFonts w:ascii="Narkisim" w:hAnsi="Narkisim"/>
          <w:u w:val="single"/>
          <w:rtl/>
        </w:rPr>
        <w:t>ושחררו זא"ז וכו'</w:t>
      </w:r>
      <w:r w:rsidRPr="003D7FC2">
        <w:rPr>
          <w:rFonts w:ascii="Narkisim" w:hAnsi="Narkisim"/>
          <w:rtl/>
        </w:rPr>
        <w:t>. היינו כשהאב מת, ואין יורש אחר</w:t>
      </w:r>
      <w:r w:rsidRPr="003D7FC2">
        <w:rPr>
          <w:rStyle w:val="ac"/>
          <w:rFonts w:ascii="Narkisim" w:hAnsi="Narkisim"/>
          <w:rtl/>
        </w:rPr>
        <w:footnoteReference w:id="6398"/>
      </w:r>
      <w:r w:rsidRPr="003D7FC2">
        <w:rPr>
          <w:rFonts w:ascii="Narkisim" w:hAnsi="Narkisim"/>
          <w:rtl/>
        </w:rPr>
        <w:t xml:space="preserve"> [אבל אי האב קיים הוא ישחרר את שניהם]. וצ"ב האיך משחררין, הא אינו ברשותו מחמת הספק, </w:t>
      </w:r>
      <w:r w:rsidRPr="003D7FC2">
        <w:rPr>
          <w:rFonts w:ascii="Narkisim" w:eastAsia="Narkisim" w:hAnsi="Narkisim"/>
          <w:rtl/>
        </w:rPr>
        <w:t xml:space="preserve">ואינו יכול להוציאו בדיינים. ועד"ז הק' </w:t>
      </w:r>
      <w:r w:rsidRPr="003D7FC2">
        <w:rPr>
          <w:rFonts w:ascii="Narkisim" w:eastAsia="Narkisim" w:hAnsi="Narkisim"/>
          <w:b/>
          <w:bCs/>
          <w:rtl/>
        </w:rPr>
        <w:t>רע"א</w:t>
      </w:r>
      <w:r w:rsidRPr="003D7FC2">
        <w:rPr>
          <w:rFonts w:ascii="Narkisim" w:eastAsia="Narkisim" w:hAnsi="Narkisim"/>
          <w:rtl/>
        </w:rPr>
        <w:t xml:space="preserve"> (בגהש"ס גיטין לח.) דל"מ שחרור בעבד שאינו ברשותו. אך יש </w:t>
      </w:r>
      <w:r w:rsidRPr="003D7FC2">
        <w:rPr>
          <w:rFonts w:ascii="Narkisim" w:eastAsia="Narkisim" w:hAnsi="Narkisim"/>
          <w:b/>
          <w:bCs/>
          <w:rtl/>
        </w:rPr>
        <w:t>אחרונים</w:t>
      </w:r>
      <w:r w:rsidRPr="003D7FC2">
        <w:rPr>
          <w:rFonts w:ascii="Narkisim" w:eastAsia="Narkisim" w:hAnsi="Narkisim"/>
          <w:rtl/>
        </w:rPr>
        <w:t xml:space="preserve"> (או"ש גניבה ט ושער"י ה יג) שתי' דמהני שחרור עבד אף כשאינו ברשותו. [דשחרור אינו בגדר הקנאה, עי"ש] ניחא.</w:t>
      </w:r>
    </w:p>
    <w:p w14:paraId="2570399E" w14:textId="77777777" w:rsidR="006C4368" w:rsidRPr="003D7FC2" w:rsidRDefault="006C4368" w:rsidP="006C4368">
      <w:pPr>
        <w:pStyle w:val="a8"/>
        <w:bidi/>
        <w:rPr>
          <w:rFonts w:ascii="Narkisim" w:hAnsi="Narkisim"/>
        </w:rPr>
      </w:pPr>
      <w:r w:rsidRPr="003D7FC2">
        <w:rPr>
          <w:rFonts w:ascii="Narkisim" w:eastAsia="Narkisim" w:hAnsi="Narkisim"/>
          <w:rtl/>
        </w:rPr>
        <w:t>וה</w:t>
      </w:r>
      <w:r w:rsidRPr="003D7FC2">
        <w:rPr>
          <w:rFonts w:ascii="Narkisim" w:eastAsia="Narkisim" w:hAnsi="Narkisim"/>
          <w:b/>
          <w:bCs/>
          <w:rtl/>
        </w:rPr>
        <w:t xml:space="preserve">נחל יצחק </w:t>
      </w:r>
      <w:r w:rsidRPr="003D7FC2">
        <w:rPr>
          <w:rFonts w:ascii="Narkisim" w:eastAsia="Narkisim" w:hAnsi="Narkisim"/>
          <w:rtl/>
        </w:rPr>
        <w:t>(חו"מ עג יט) תי' דאפשר להקנות דבר שאינו ברשותו לגזלן עצמו, וה"נ אינו ברשותו מחמת העבד עצמו, ומש"ה מהני השחרור.</w:t>
      </w:r>
    </w:p>
    <w:p w14:paraId="5D5F2A54" w14:textId="77777777" w:rsidR="006C4368" w:rsidRPr="003D7FC2" w:rsidRDefault="006C4368" w:rsidP="006C4368">
      <w:pPr>
        <w:bidi/>
        <w:rPr>
          <w:rFonts w:ascii="Narkisim" w:hAnsi="Narkisim" w:cs="Narkisim"/>
        </w:rPr>
      </w:pPr>
      <w:r w:rsidRPr="003D7FC2">
        <w:rPr>
          <w:rFonts w:ascii="Narkisim" w:hAnsi="Narkisim" w:cs="Narkisim"/>
          <w:u w:val="single"/>
          <w:rtl/>
        </w:rPr>
        <w:t>תוד”ה ואינן מטמאין</w:t>
      </w:r>
      <w:r w:rsidRPr="003D7FC2">
        <w:rPr>
          <w:rFonts w:ascii="Narkisim" w:hAnsi="Narkisim" w:cs="Narkisim"/>
          <w:rtl/>
        </w:rPr>
        <w:t>. תימה לר”י דאמאי לא קתני נמי [אם נטמאו] אינן סופגין את הארבעים, כדקתני סיפא. וה</w:t>
      </w:r>
      <w:r w:rsidRPr="003D7FC2">
        <w:rPr>
          <w:rFonts w:ascii="Narkisim" w:hAnsi="Narkisim" w:cs="Narkisim"/>
          <w:b/>
          <w:bCs/>
          <w:rtl/>
        </w:rPr>
        <w:t>מהרש"א</w:t>
      </w:r>
      <w:r w:rsidRPr="003D7FC2">
        <w:rPr>
          <w:rFonts w:ascii="Narkisim" w:hAnsi="Narkisim" w:cs="Narkisim"/>
          <w:rtl/>
        </w:rPr>
        <w:t xml:space="preserve"> תי' דברישא איירי שהם עדיין קטנים [דכשהגדילו חייבין לשחרר זה את זה</w:t>
      </w:r>
      <w:r w:rsidRPr="003D7FC2">
        <w:rPr>
          <w:rStyle w:val="ac"/>
          <w:rFonts w:ascii="Narkisim" w:hAnsi="Narkisim" w:cs="Narkisim"/>
          <w:rtl/>
        </w:rPr>
        <w:footnoteReference w:id="6399"/>
      </w:r>
      <w:r w:rsidRPr="003D7FC2">
        <w:rPr>
          <w:rFonts w:ascii="Narkisim" w:hAnsi="Narkisim" w:cs="Narkisim"/>
          <w:rtl/>
        </w:rPr>
        <w:t>].</w:t>
      </w:r>
    </w:p>
    <w:p w14:paraId="26E7C0BE"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רש"ש</w:t>
      </w:r>
      <w:r w:rsidRPr="003D7FC2">
        <w:rPr>
          <w:rFonts w:ascii="Narkisim" w:hAnsi="Narkisim"/>
          <w:rtl/>
        </w:rPr>
        <w:t xml:space="preserve"> יישב [לחומר התימה] דנקט הכי משום ר' יהודה (ב"ק פח.) דעבד לא מיקרי 'אח'. ומש"ה נתמעט ממלקות דגבי מלקות כתיב ונקלה אחיך. ואינו לוקה על שום עבירה. והא דתניא (מכות ח:) דעבד וכותי גולה ולוקה ע"י ישראל, הוה דלא כר' יהודה. [אך הק' דרש"י (ב"ק שם) העמיד דקו' הגמ' לר' יהודה ע"פ הך ברייתא. וע"כ דר' יהודה ס"ל דלוקה.</w:t>
      </w:r>
    </w:p>
    <w:p w14:paraId="23DA05E7" w14:textId="77777777" w:rsidR="006C4368" w:rsidRPr="003D7FC2" w:rsidRDefault="006C4368" w:rsidP="006C4368">
      <w:pPr>
        <w:bidi/>
        <w:rPr>
          <w:rFonts w:ascii="Narkisim" w:hAnsi="Narkisim" w:cs="Narkisim"/>
        </w:rPr>
      </w:pPr>
      <w:r w:rsidRPr="003D7FC2">
        <w:rPr>
          <w:rFonts w:ascii="Narkisim" w:hAnsi="Narkisim" w:cs="Narkisim"/>
          <w:u w:val="single"/>
          <w:rtl/>
        </w:rPr>
        <w:t>תוד"ה ואם אכלו</w:t>
      </w:r>
      <w:r w:rsidRPr="003D7FC2">
        <w:rPr>
          <w:rFonts w:ascii="Narkisim" w:hAnsi="Narkisim" w:cs="Narkisim"/>
          <w:rtl/>
        </w:rPr>
        <w:t>. מ"מ צריכין להפריש משום כפרה. [ומפריש קרן וחומש לכפרה</w:t>
      </w:r>
      <w:r w:rsidRPr="003D7FC2">
        <w:rPr>
          <w:rStyle w:val="ac"/>
          <w:rFonts w:ascii="Narkisim" w:hAnsi="Narkisim" w:cs="Narkisim"/>
          <w:rtl/>
        </w:rPr>
        <w:footnoteReference w:id="6400"/>
      </w:r>
      <w:r w:rsidRPr="003D7FC2">
        <w:rPr>
          <w:rFonts w:ascii="Narkisim" w:hAnsi="Narkisim" w:cs="Narkisim"/>
          <w:rtl/>
        </w:rPr>
        <w:t>, והתשלומין נעשין קודש. ומוכרו לכהן].</w:t>
      </w:r>
    </w:p>
    <w:p w14:paraId="7E213054" w14:textId="77777777" w:rsidR="006C4368" w:rsidRPr="003D7FC2" w:rsidRDefault="006C4368" w:rsidP="006C4368">
      <w:pPr>
        <w:pStyle w:val="a7"/>
        <w:bidi/>
        <w:rPr>
          <w:rFonts w:ascii="Narkisim" w:hAnsi="Narkisim"/>
        </w:rPr>
      </w:pPr>
      <w:r w:rsidRPr="003D7FC2">
        <w:rPr>
          <w:rFonts w:ascii="Narkisim" w:hAnsi="Narkisim"/>
          <w:rtl/>
        </w:rPr>
        <w:t xml:space="preserve">וכן </w:t>
      </w:r>
      <w:r w:rsidRPr="003D7FC2">
        <w:rPr>
          <w:rFonts w:ascii="Narkisim" w:hAnsi="Narkisim"/>
          <w:b/>
          <w:bCs/>
          <w:rtl/>
        </w:rPr>
        <w:t>תוס</w:t>
      </w:r>
      <w:r w:rsidRPr="003D7FC2">
        <w:rPr>
          <w:rFonts w:ascii="Narkisim" w:hAnsi="Narkisim"/>
          <w:rtl/>
        </w:rPr>
        <w:t>' (לעיל צ., כתובות ל:, והתוס' רא"ש כאן) הביאו דתשלומי תרומה הוה כפרה, דהא אם רצה כהן ל"מ למחול. ומש"ה אינו פטור מדין קם ליה בדרבה מיניה [לר' נחוניא שם]. אבל ה</w:t>
      </w:r>
      <w:r w:rsidRPr="003D7FC2">
        <w:rPr>
          <w:rFonts w:ascii="Narkisim" w:hAnsi="Narkisim"/>
          <w:b/>
          <w:bCs/>
          <w:rtl/>
        </w:rPr>
        <w:t>ר"ש</w:t>
      </w:r>
      <w:r w:rsidRPr="003D7FC2">
        <w:rPr>
          <w:rFonts w:ascii="Narkisim" w:hAnsi="Narkisim"/>
          <w:rtl/>
        </w:rPr>
        <w:t xml:space="preserve"> (תרומות ז א) חלק דמנ"ל דתשלומי תרומה הוה כפרה</w:t>
      </w:r>
      <w:r w:rsidRPr="003D7FC2">
        <w:rPr>
          <w:rStyle w:val="ac"/>
          <w:rFonts w:ascii="Narkisim" w:hAnsi="Narkisim"/>
          <w:rtl/>
        </w:rPr>
        <w:footnoteReference w:id="6401"/>
      </w:r>
      <w:r w:rsidRPr="003D7FC2">
        <w:rPr>
          <w:rFonts w:ascii="Narkisim" w:hAnsi="Narkisim"/>
          <w:rtl/>
        </w:rPr>
        <w:t>. [</w:t>
      </w:r>
      <w:r w:rsidRPr="003D7FC2">
        <w:rPr>
          <w:rFonts w:ascii="Narkisim" w:hAnsi="Narkisim"/>
          <w:szCs w:val="20"/>
          <w:rtl/>
        </w:rPr>
        <w:t>ואף דהאוכל תרומת עצמו ליכא תשלום לכהן מסויים, מ"מ הוה גדר תשלומין לשבט הכהונה</w:t>
      </w:r>
      <w:r w:rsidRPr="003D7FC2">
        <w:rPr>
          <w:rStyle w:val="ac"/>
          <w:rFonts w:ascii="Narkisim" w:hAnsi="Narkisim"/>
          <w:szCs w:val="20"/>
          <w:rtl/>
        </w:rPr>
        <w:footnoteReference w:id="6402"/>
      </w:r>
      <w:r w:rsidRPr="003D7FC2">
        <w:rPr>
          <w:rFonts w:ascii="Narkisim" w:hAnsi="Narkisim"/>
          <w:szCs w:val="20"/>
          <w:rtl/>
        </w:rPr>
        <w:t>]</w:t>
      </w:r>
      <w:r w:rsidRPr="003D7FC2">
        <w:rPr>
          <w:rFonts w:ascii="Narkisim" w:hAnsi="Narkisim"/>
          <w:rtl/>
        </w:rPr>
        <w:t>.</w:t>
      </w:r>
    </w:p>
    <w:p w14:paraId="5A47F64F" w14:textId="77777777" w:rsidR="006C4368" w:rsidRPr="003D7FC2" w:rsidRDefault="006C4368" w:rsidP="006C4368">
      <w:pPr>
        <w:bidi/>
        <w:rPr>
          <w:rFonts w:ascii="Narkisim" w:hAnsi="Narkisim" w:cs="Narkisim"/>
        </w:rPr>
      </w:pPr>
      <w:r w:rsidRPr="003D7FC2">
        <w:rPr>
          <w:rFonts w:ascii="Narkisim" w:hAnsi="Narkisim" w:cs="Narkisim"/>
          <w:u w:val="single"/>
          <w:rtl/>
        </w:rPr>
        <w:t>שם.</w:t>
      </w:r>
      <w:r w:rsidRPr="003D7FC2">
        <w:rPr>
          <w:rFonts w:ascii="Narkisim" w:hAnsi="Narkisim" w:cs="Narkisim"/>
          <w:rtl/>
        </w:rPr>
        <w:t xml:space="preserve"> לכאורה מבואר בתוס' דבכל הספיקות בדין תשלומי תרומה, צריך לעשות הפרשה לעצמו. אבל ה</w:t>
      </w:r>
      <w:r w:rsidRPr="003D7FC2">
        <w:rPr>
          <w:rFonts w:ascii="Narkisim" w:hAnsi="Narkisim" w:cs="Narkisim"/>
          <w:b/>
          <w:bCs/>
          <w:rtl/>
        </w:rPr>
        <w:t>רמב"ם</w:t>
      </w:r>
      <w:r w:rsidRPr="003D7FC2">
        <w:rPr>
          <w:rFonts w:ascii="Narkisim" w:hAnsi="Narkisim" w:cs="Narkisim"/>
          <w:rtl/>
        </w:rPr>
        <w:t xml:space="preserve"> (תרומות י יד) כת' דתרומה שנתערב, ואכל א' מהם פטור מהתשלומין, שהמוציא מחבירו עליו הראיה. וה</w:t>
      </w:r>
      <w:r w:rsidRPr="003D7FC2">
        <w:rPr>
          <w:rFonts w:ascii="Narkisim" w:hAnsi="Narkisim" w:cs="Narkisim"/>
          <w:b/>
          <w:bCs/>
          <w:rtl/>
        </w:rPr>
        <w:t>משנ"ל</w:t>
      </w:r>
      <w:r w:rsidRPr="003D7FC2">
        <w:rPr>
          <w:rFonts w:ascii="Narkisim" w:hAnsi="Narkisim" w:cs="Narkisim"/>
          <w:rtl/>
        </w:rPr>
        <w:t xml:space="preserve"> הביא דברי התוס'</w:t>
      </w:r>
      <w:r w:rsidRPr="003D7FC2">
        <w:rPr>
          <w:rStyle w:val="ac"/>
          <w:rFonts w:ascii="Narkisim" w:hAnsi="Narkisim" w:cs="Narkisim"/>
          <w:rtl/>
        </w:rPr>
        <w:footnoteReference w:id="6403"/>
      </w:r>
      <w:r w:rsidRPr="003D7FC2">
        <w:rPr>
          <w:rFonts w:ascii="Narkisim" w:hAnsi="Narkisim" w:cs="Narkisim"/>
          <w:rtl/>
        </w:rPr>
        <w:t>. וה</w:t>
      </w:r>
      <w:r w:rsidRPr="003D7FC2">
        <w:rPr>
          <w:rFonts w:ascii="Narkisim" w:hAnsi="Narkisim" w:cs="Narkisim"/>
          <w:b/>
          <w:bCs/>
          <w:rtl/>
        </w:rPr>
        <w:t>אחרונים</w:t>
      </w:r>
      <w:r w:rsidRPr="003D7FC2">
        <w:rPr>
          <w:rFonts w:ascii="Narkisim" w:hAnsi="Narkisim" w:cs="Narkisim"/>
          <w:rtl/>
        </w:rPr>
        <w:t xml:space="preserve"> דייקו דברמב”ם </w:t>
      </w:r>
      <w:r w:rsidRPr="003D7FC2">
        <w:rPr>
          <w:rFonts w:ascii="Narkisim" w:hAnsi="Narkisim" w:cs="Narkisim"/>
          <w:rtl/>
        </w:rPr>
        <w:lastRenderedPageBreak/>
        <w:t>משמע דאי"צ להפריש מספק, וצ”ב הטעם</w:t>
      </w:r>
      <w:r w:rsidRPr="003D7FC2">
        <w:rPr>
          <w:rStyle w:val="ac"/>
          <w:rFonts w:ascii="Narkisim" w:hAnsi="Narkisim" w:cs="Narkisim"/>
          <w:rtl/>
        </w:rPr>
        <w:footnoteReference w:id="6404"/>
      </w:r>
      <w:r w:rsidRPr="003D7FC2">
        <w:rPr>
          <w:rFonts w:ascii="Narkisim" w:hAnsi="Narkisim" w:cs="Narkisim"/>
          <w:rtl/>
        </w:rPr>
        <w:t xml:space="preserve">. </w:t>
      </w:r>
      <w:r w:rsidRPr="003D7FC2">
        <w:rPr>
          <w:rFonts w:ascii="Narkisim" w:hAnsi="Narkisim" w:cs="Narkisim"/>
          <w:szCs w:val="20"/>
          <w:rtl/>
        </w:rPr>
        <w:t xml:space="preserve">ולדברי הר"ש (הנ"ל) ניחא דהוה גדר חיוב ממון, ומספק אינו חייב. ויש </w:t>
      </w:r>
      <w:r w:rsidRPr="003D7FC2">
        <w:rPr>
          <w:rFonts w:ascii="Narkisim" w:hAnsi="Narkisim" w:cs="Narkisim"/>
          <w:b/>
          <w:bCs/>
          <w:szCs w:val="20"/>
          <w:rtl/>
        </w:rPr>
        <w:t>אחרונים</w:t>
      </w:r>
      <w:r w:rsidRPr="003D7FC2">
        <w:rPr>
          <w:rFonts w:ascii="Narkisim" w:hAnsi="Narkisim" w:cs="Narkisim"/>
          <w:szCs w:val="20"/>
          <w:rtl/>
        </w:rPr>
        <w:t xml:space="preserve"> שדנו דאף לצד דהוה כפרה, מ"מ שורש החיוב בגדר 'תשלומין'. וכיון דהשורש הוה ספק ממון לא חל חיוב, ואף כלפי האיסור</w:t>
      </w:r>
      <w:r w:rsidRPr="003D7FC2">
        <w:rPr>
          <w:rStyle w:val="ac"/>
          <w:rFonts w:ascii="Narkisim" w:hAnsi="Narkisim" w:cs="Narkisim"/>
          <w:szCs w:val="20"/>
          <w:rtl/>
        </w:rPr>
        <w:footnoteReference w:id="6405"/>
      </w:r>
      <w:r w:rsidRPr="003D7FC2">
        <w:rPr>
          <w:rFonts w:ascii="Narkisim" w:hAnsi="Narkisim" w:cs="Narkisim"/>
          <w:rtl/>
        </w:rPr>
        <w:t>.</w:t>
      </w:r>
    </w:p>
    <w:p w14:paraId="15C10ED7" w14:textId="77777777" w:rsidR="006C4368" w:rsidRPr="003D7FC2" w:rsidRDefault="006C4368" w:rsidP="006C4368">
      <w:pPr>
        <w:bidi/>
        <w:rPr>
          <w:rFonts w:ascii="Narkisim" w:hAnsi="Narkisim" w:cs="Narkisim"/>
        </w:rPr>
      </w:pPr>
      <w:r w:rsidRPr="003D7FC2">
        <w:rPr>
          <w:rFonts w:ascii="Narkisim" w:hAnsi="Narkisim" w:cs="Narkisim"/>
          <w:rtl/>
        </w:rPr>
        <w:t>ובמשנה (חלה ג ו) אי' דספק חלה</w:t>
      </w:r>
      <w:r w:rsidRPr="003D7FC2">
        <w:rPr>
          <w:rStyle w:val="ac"/>
          <w:rFonts w:ascii="Narkisim" w:hAnsi="Narkisim" w:cs="Narkisim"/>
          <w:rtl/>
        </w:rPr>
        <w:footnoteReference w:id="6406"/>
      </w:r>
      <w:r w:rsidRPr="003D7FC2">
        <w:rPr>
          <w:rFonts w:ascii="Narkisim" w:hAnsi="Narkisim" w:cs="Narkisim"/>
          <w:rtl/>
        </w:rPr>
        <w:t xml:space="preserve"> אין חייבין עליו חומש. ובפשוטו התם נמי אין חייבין קרן וחומש, כדאי' במשנה (כאן)</w:t>
      </w:r>
      <w:r w:rsidRPr="003D7FC2">
        <w:rPr>
          <w:rStyle w:val="ac"/>
          <w:rFonts w:ascii="Narkisim" w:hAnsi="Narkisim" w:cs="Narkisim"/>
          <w:rtl/>
        </w:rPr>
        <w:footnoteReference w:id="6407"/>
      </w:r>
      <w:r w:rsidRPr="003D7FC2">
        <w:rPr>
          <w:rFonts w:ascii="Narkisim" w:hAnsi="Narkisim" w:cs="Narkisim"/>
          <w:rtl/>
        </w:rPr>
        <w:t>. אבל ה</w:t>
      </w:r>
      <w:r w:rsidRPr="003D7FC2">
        <w:rPr>
          <w:rFonts w:ascii="Narkisim" w:hAnsi="Narkisim" w:cs="Narkisim"/>
          <w:b/>
          <w:bCs/>
          <w:rtl/>
        </w:rPr>
        <w:t>רא"ש</w:t>
      </w:r>
      <w:r w:rsidRPr="003D7FC2">
        <w:rPr>
          <w:rFonts w:ascii="Narkisim" w:hAnsi="Narkisim" w:cs="Narkisim"/>
          <w:rtl/>
        </w:rPr>
        <w:t xml:space="preserve"> (חלה שם, וכן רע”ב שם) כת' דהקרן משלם, דתשלומי תרומה כפרה נינהו. הלכך מפריש תשלומין ונעשים תרומה מספק ומוכרן לכהן. [ורק חומש אינו מעכב].</w:t>
      </w:r>
    </w:p>
    <w:p w14:paraId="2A63154A"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הק' דלדברי ה</w:t>
      </w:r>
      <w:r w:rsidRPr="003D7FC2">
        <w:rPr>
          <w:rFonts w:ascii="Narkisim" w:hAnsi="Narkisim"/>
          <w:b/>
          <w:bCs/>
          <w:rtl/>
        </w:rPr>
        <w:t>תוס</w:t>
      </w:r>
      <w:r w:rsidRPr="003D7FC2">
        <w:rPr>
          <w:rFonts w:ascii="Narkisim" w:hAnsi="Narkisim"/>
          <w:rtl/>
        </w:rPr>
        <w:t>' ו</w:t>
      </w:r>
      <w:r w:rsidRPr="003D7FC2">
        <w:rPr>
          <w:rFonts w:ascii="Narkisim" w:hAnsi="Narkisim"/>
          <w:b/>
          <w:bCs/>
          <w:rtl/>
        </w:rPr>
        <w:t>תוס' רא"ש</w:t>
      </w:r>
      <w:r w:rsidRPr="003D7FC2">
        <w:rPr>
          <w:rFonts w:ascii="Narkisim" w:hAnsi="Narkisim"/>
          <w:rtl/>
        </w:rPr>
        <w:t xml:space="preserve"> (כאן) מפריש קרן וחומש</w:t>
      </w:r>
      <w:r w:rsidRPr="003D7FC2">
        <w:rPr>
          <w:rStyle w:val="ac"/>
          <w:rFonts w:ascii="Narkisim" w:hAnsi="Narkisim"/>
          <w:rtl/>
        </w:rPr>
        <w:footnoteReference w:id="6408"/>
      </w:r>
      <w:r w:rsidRPr="003D7FC2">
        <w:rPr>
          <w:rFonts w:ascii="Narkisim" w:hAnsi="Narkisim"/>
          <w:rtl/>
        </w:rPr>
        <w:t xml:space="preserve"> [לעצמו ומוכרו לכהן] משום ספק כפרה</w:t>
      </w:r>
      <w:r w:rsidRPr="003D7FC2">
        <w:rPr>
          <w:rStyle w:val="ac"/>
          <w:rFonts w:ascii="Narkisim" w:hAnsi="Narkisim"/>
          <w:rtl/>
        </w:rPr>
        <w:footnoteReference w:id="6409"/>
      </w:r>
      <w:r w:rsidRPr="003D7FC2">
        <w:rPr>
          <w:rFonts w:ascii="Narkisim" w:hAnsi="Narkisim"/>
          <w:rtl/>
        </w:rPr>
        <w:t>. ומ"ש התם דליכא חיוב חומש.</w:t>
      </w:r>
    </w:p>
    <w:p w14:paraId="363480CA" w14:textId="77777777" w:rsidR="006C4368" w:rsidRPr="003D7FC2" w:rsidRDefault="006C4368" w:rsidP="006C4368">
      <w:pPr>
        <w:pStyle w:val="a8"/>
        <w:bidi/>
        <w:rPr>
          <w:rFonts w:ascii="Narkisim" w:hAnsi="Narkisim"/>
        </w:rPr>
      </w:pPr>
      <w:r w:rsidRPr="003D7FC2">
        <w:rPr>
          <w:rFonts w:ascii="Narkisim" w:hAnsi="Narkisim"/>
          <w:rtl/>
        </w:rPr>
        <w:t>אבל ה</w:t>
      </w:r>
      <w:r w:rsidRPr="003D7FC2">
        <w:rPr>
          <w:rFonts w:ascii="Narkisim" w:hAnsi="Narkisim"/>
          <w:b/>
          <w:bCs/>
          <w:rtl/>
        </w:rPr>
        <w:t>מאירי</w:t>
      </w:r>
      <w:r w:rsidRPr="003D7FC2">
        <w:rPr>
          <w:rFonts w:ascii="Narkisim" w:hAnsi="Narkisim"/>
          <w:rtl/>
        </w:rPr>
        <w:t xml:space="preserve"> הביא צד דכוונת המשנה (כאן) דאין משלמין קרן וחומש פי' חומש</w:t>
      </w:r>
      <w:r w:rsidRPr="003D7FC2">
        <w:rPr>
          <w:rStyle w:val="ac"/>
          <w:rFonts w:ascii="Narkisim" w:hAnsi="Narkisim"/>
          <w:rtl/>
        </w:rPr>
        <w:footnoteReference w:id="6410"/>
      </w:r>
      <w:r w:rsidRPr="003D7FC2">
        <w:rPr>
          <w:rFonts w:ascii="Narkisim" w:hAnsi="Narkisim"/>
          <w:rtl/>
        </w:rPr>
        <w:t>, שכל א' אומר כהן אני ואיני בדין זרות לשלם חומש</w:t>
      </w:r>
      <w:r w:rsidRPr="003D7FC2">
        <w:rPr>
          <w:rStyle w:val="ac"/>
          <w:rFonts w:ascii="Narkisim" w:hAnsi="Narkisim"/>
          <w:rtl/>
        </w:rPr>
        <w:footnoteReference w:id="6411"/>
      </w:r>
      <w:r w:rsidRPr="003D7FC2">
        <w:rPr>
          <w:rFonts w:ascii="Narkisim" w:hAnsi="Narkisim"/>
          <w:rtl/>
        </w:rPr>
        <w:t>. אלא שמשלם קרן לבד, אפי' אכל תרומה מיד בעלים ישראל, קודם שנתנה לכהן</w:t>
      </w:r>
      <w:r w:rsidRPr="003D7FC2">
        <w:rPr>
          <w:rStyle w:val="ac"/>
          <w:rFonts w:ascii="Narkisim" w:hAnsi="Narkisim"/>
          <w:rtl/>
        </w:rPr>
        <w:footnoteReference w:id="6412"/>
      </w:r>
      <w:r w:rsidRPr="003D7FC2">
        <w:rPr>
          <w:rFonts w:ascii="Narkisim" w:hAnsi="Narkisim"/>
          <w:rtl/>
        </w:rPr>
        <w:t>. וצ"ב דאי הוה כהן אי"צ לשלם ע"ז, א"כ יפטר מספק. ולכאורה כוונתו דבקרן דתשלומי תרומה אמרי' ספיקו לחומרא. ודוקא בחומש ספיקו להקל, וכדברי הרא”ש.</w:t>
      </w:r>
    </w:p>
    <w:p w14:paraId="173D951C" w14:textId="77777777" w:rsidR="006C4368" w:rsidRPr="003D7FC2" w:rsidRDefault="006C4368" w:rsidP="006C4368">
      <w:pPr>
        <w:pStyle w:val="a7"/>
        <w:bidi/>
        <w:rPr>
          <w:rFonts w:ascii="Narkisim" w:hAnsi="Narkisim"/>
        </w:rPr>
      </w:pPr>
      <w:r w:rsidRPr="003D7FC2">
        <w:rPr>
          <w:rFonts w:ascii="Narkisim" w:hAnsi="Narkisim"/>
          <w:rtl/>
        </w:rPr>
        <w:t>ו</w:t>
      </w:r>
      <w:r w:rsidRPr="003D7FC2">
        <w:rPr>
          <w:rFonts w:ascii="Narkisim" w:hAnsi="Narkisim"/>
          <w:b/>
          <w:bCs/>
          <w:rtl/>
        </w:rPr>
        <w:t>רע"א</w:t>
      </w:r>
      <w:r w:rsidRPr="003D7FC2">
        <w:rPr>
          <w:rFonts w:ascii="Narkisim" w:hAnsi="Narkisim"/>
          <w:rtl/>
        </w:rPr>
        <w:t xml:space="preserve"> (חלה שם, ועד”ז מהרי"ט אלגאזי חלה יא ב כט: בדה”ס) הק' על הרא"ש מ"ש קרן מחומש, דאי חייב קרן משום כפרה, א"כ אף חומש מחויב משום כפרה</w:t>
      </w:r>
      <w:r w:rsidRPr="003D7FC2">
        <w:rPr>
          <w:rStyle w:val="ac"/>
          <w:rFonts w:ascii="Narkisim" w:hAnsi="Narkisim"/>
          <w:rtl/>
        </w:rPr>
        <w:footnoteReference w:id="6413"/>
      </w:r>
      <w:r w:rsidRPr="003D7FC2">
        <w:rPr>
          <w:rFonts w:ascii="Narkisim" w:hAnsi="Narkisim"/>
          <w:rtl/>
        </w:rPr>
        <w:t>. [וכדמשמע בתוס' דידן, דאף חומש צריך להפריש משום כפרה</w:t>
      </w:r>
      <w:r w:rsidRPr="003D7FC2">
        <w:rPr>
          <w:rStyle w:val="ac"/>
          <w:rFonts w:ascii="Narkisim" w:hAnsi="Narkisim"/>
          <w:rtl/>
        </w:rPr>
        <w:footnoteReference w:id="6414"/>
      </w:r>
      <w:r w:rsidRPr="003D7FC2">
        <w:rPr>
          <w:rFonts w:ascii="Narkisim" w:hAnsi="Narkisim"/>
          <w:rtl/>
        </w:rPr>
        <w:t>].</w:t>
      </w:r>
    </w:p>
    <w:p w14:paraId="308E10D7" w14:textId="77777777" w:rsidR="006C4368" w:rsidRPr="003D7FC2" w:rsidRDefault="006C4368" w:rsidP="006C4368">
      <w:pPr>
        <w:pStyle w:val="a8"/>
        <w:bidi/>
        <w:rPr>
          <w:rFonts w:ascii="Narkisim" w:hAnsi="Narkisim"/>
        </w:rPr>
      </w:pPr>
      <w:r w:rsidRPr="003D7FC2">
        <w:rPr>
          <w:rFonts w:ascii="Narkisim" w:hAnsi="Narkisim"/>
          <w:rtl/>
        </w:rPr>
        <w:t>ורע"א דן די"ל דנקט חומש לרבותא, דיש מקום לדון דיתחייב ליתן חומש זו לכהן. וכדין ישראל שאכל תרומה שלו</w:t>
      </w:r>
      <w:r w:rsidRPr="003D7FC2">
        <w:rPr>
          <w:rStyle w:val="ac"/>
          <w:rFonts w:ascii="Narkisim" w:hAnsi="Narkisim"/>
          <w:rtl/>
        </w:rPr>
        <w:footnoteReference w:id="6415"/>
      </w:r>
      <w:r w:rsidRPr="003D7FC2">
        <w:rPr>
          <w:rFonts w:ascii="Narkisim" w:hAnsi="Narkisim"/>
          <w:rtl/>
        </w:rPr>
        <w:t xml:space="preserve"> (ע' רמב”ם תרומות י כב). קמ"ל דאף החומש סגי בהפרשה בעלמא, ורשאי למכור לכהן, כיון דהוה ספק בעלמא.</w:t>
      </w:r>
    </w:p>
    <w:p w14:paraId="5528CE63" w14:textId="77777777" w:rsidR="006C4368" w:rsidRPr="003D7FC2" w:rsidRDefault="006C4368" w:rsidP="006C4368">
      <w:pPr>
        <w:bidi/>
        <w:rPr>
          <w:rFonts w:ascii="Narkisim" w:hAnsi="Narkisim" w:cs="Narkisim"/>
        </w:rPr>
      </w:pPr>
      <w:r w:rsidRPr="003D7FC2">
        <w:rPr>
          <w:rFonts w:ascii="Narkisim" w:hAnsi="Narkisim" w:cs="Narkisim"/>
          <w:u w:val="single"/>
          <w:rtl/>
        </w:rPr>
        <w:lastRenderedPageBreak/>
        <w:t>ומוכרין את התרומה והדמים שלהם</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דמצי אמר לכהן אייתי ראיה דלאו כהן אנא ושקול. וה</w:t>
      </w:r>
      <w:r w:rsidRPr="003D7FC2">
        <w:rPr>
          <w:rFonts w:ascii="Narkisim" w:hAnsi="Narkisim" w:cs="Narkisim"/>
          <w:b/>
          <w:bCs/>
          <w:rtl/>
        </w:rPr>
        <w:t>ריטב"א</w:t>
      </w:r>
      <w:r w:rsidRPr="003D7FC2">
        <w:rPr>
          <w:rFonts w:ascii="Narkisim" w:hAnsi="Narkisim" w:cs="Narkisim"/>
          <w:rtl/>
        </w:rPr>
        <w:t xml:space="preserve"> הביא יש מקשים כיון דספיקא דאורייתא הוא, היאך רשאי למוכרו, ולגזול את השבט ולבטל מצות נתינה. ותי' דמצוות נתינה חייבה הכתוב דוקא בישראל ודאי, ודוקא היכא שיודע בודאי שהוא חייב בנתינת התרומה. דהוה משום גזל</w:t>
      </w:r>
      <w:r w:rsidRPr="003D7FC2">
        <w:rPr>
          <w:rStyle w:val="ac"/>
          <w:rFonts w:ascii="Narkisim" w:hAnsi="Narkisim" w:cs="Narkisim"/>
          <w:rtl/>
        </w:rPr>
        <w:footnoteReference w:id="6416"/>
      </w:r>
      <w:r w:rsidRPr="003D7FC2">
        <w:rPr>
          <w:rFonts w:ascii="Narkisim" w:hAnsi="Narkisim" w:cs="Narkisim"/>
          <w:rtl/>
        </w:rPr>
        <w:t>.</w:t>
      </w:r>
      <w:r w:rsidRPr="003D7FC2">
        <w:rPr>
          <w:rFonts w:ascii="Narkisim" w:hAnsi="Narkisim" w:cs="Narkisim"/>
          <w:szCs w:val="20"/>
          <w:rtl/>
        </w:rPr>
        <w:t xml:space="preserve"> [וה</w:t>
      </w:r>
      <w:r w:rsidRPr="003D7FC2">
        <w:rPr>
          <w:rFonts w:ascii="Narkisim" w:hAnsi="Narkisim" w:cs="Narkisim"/>
          <w:b/>
          <w:bCs/>
          <w:szCs w:val="20"/>
          <w:rtl/>
        </w:rPr>
        <w:t>אחרונים</w:t>
      </w:r>
      <w:r w:rsidRPr="003D7FC2">
        <w:rPr>
          <w:rFonts w:ascii="Narkisim" w:hAnsi="Narkisim" w:cs="Narkisim"/>
          <w:szCs w:val="20"/>
          <w:rtl/>
        </w:rPr>
        <w:t xml:space="preserve"> האריכו עד"ז דאף במתנת כהונה אמרי' דספק ממון לקולא, ומש"ה אינו מצווה בנתינה</w:t>
      </w:r>
      <w:r w:rsidRPr="003D7FC2">
        <w:rPr>
          <w:rStyle w:val="ac"/>
          <w:rFonts w:ascii="Narkisim" w:hAnsi="Narkisim" w:cs="Narkisim"/>
          <w:szCs w:val="20"/>
          <w:rtl/>
        </w:rPr>
        <w:footnoteReference w:id="6417"/>
      </w:r>
      <w:r w:rsidRPr="003D7FC2">
        <w:rPr>
          <w:rFonts w:ascii="Narkisim" w:hAnsi="Narkisim" w:cs="Narkisim"/>
          <w:szCs w:val="20"/>
          <w:rtl/>
        </w:rPr>
        <w:t>. וכדתנן (טהרות ד יב, הו' ב"מ ו:) דספק בכור הממע"ה. וע”ע חולין קלד. וכמה סוגיות</w:t>
      </w:r>
      <w:r w:rsidRPr="003D7FC2">
        <w:rPr>
          <w:rStyle w:val="ac"/>
          <w:rFonts w:ascii="Narkisim" w:hAnsi="Narkisim" w:cs="Narkisim"/>
          <w:szCs w:val="20"/>
          <w:rtl/>
        </w:rPr>
        <w:footnoteReference w:id="6418"/>
      </w:r>
      <w:r w:rsidRPr="003D7FC2">
        <w:rPr>
          <w:rFonts w:ascii="Narkisim" w:hAnsi="Narkisim" w:cs="Narkisim"/>
          <w:rtl/>
        </w:rPr>
        <w:t>].</w:t>
      </w:r>
    </w:p>
    <w:p w14:paraId="19829458"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ריטב”א</w:t>
      </w:r>
      <w:r w:rsidRPr="003D7FC2">
        <w:rPr>
          <w:rFonts w:ascii="Narkisim" w:hAnsi="Narkisim"/>
          <w:rtl/>
        </w:rPr>
        <w:t xml:space="preserve"> הביא </w:t>
      </w:r>
      <w:r w:rsidRPr="003D7FC2">
        <w:rPr>
          <w:rFonts w:ascii="Narkisim" w:hAnsi="Narkisim"/>
          <w:b/>
          <w:bCs/>
          <w:rtl/>
        </w:rPr>
        <w:t>י"ג</w:t>
      </w:r>
      <w:r w:rsidRPr="003D7FC2">
        <w:rPr>
          <w:rFonts w:ascii="Narkisim" w:hAnsi="Narkisim"/>
          <w:rtl/>
        </w:rPr>
        <w:t xml:space="preserve"> דאין מוכרים את התרומה, ואם מכרו הדמים שלהם</w:t>
      </w:r>
      <w:r w:rsidRPr="003D7FC2">
        <w:rPr>
          <w:rStyle w:val="ac"/>
          <w:rFonts w:ascii="Narkisim" w:hAnsi="Narkisim"/>
          <w:rtl/>
        </w:rPr>
        <w:footnoteReference w:id="6419"/>
      </w:r>
      <w:r w:rsidRPr="003D7FC2">
        <w:rPr>
          <w:rFonts w:ascii="Narkisim" w:hAnsi="Narkisim"/>
          <w:rtl/>
        </w:rPr>
        <w:t>.</w:t>
      </w:r>
    </w:p>
    <w:p w14:paraId="4181A86B" w14:textId="77777777" w:rsidR="006C4368" w:rsidRPr="003D7FC2" w:rsidRDefault="006C4368" w:rsidP="006C4368">
      <w:pPr>
        <w:pStyle w:val="a8"/>
        <w:bidi/>
        <w:rPr>
          <w:rFonts w:ascii="Narkisim" w:hAnsi="Narkisim"/>
        </w:rPr>
      </w:pPr>
      <w:r w:rsidRPr="003D7FC2">
        <w:rPr>
          <w:rFonts w:ascii="Narkisim" w:hAnsi="Narkisim"/>
          <w:rtl/>
        </w:rPr>
        <w:t>דס"ל דלכתחילה אינו רשאי למכור את התרומה</w:t>
      </w:r>
      <w:r w:rsidRPr="003D7FC2">
        <w:rPr>
          <w:rStyle w:val="ac"/>
          <w:rFonts w:ascii="Narkisim" w:hAnsi="Narkisim"/>
          <w:rtl/>
        </w:rPr>
        <w:footnoteReference w:id="6420"/>
      </w:r>
      <w:r w:rsidRPr="003D7FC2">
        <w:rPr>
          <w:rFonts w:ascii="Narkisim" w:hAnsi="Narkisim"/>
          <w:rtl/>
        </w:rPr>
        <w:t>. ומבואר דדעת הי"מ דאינו רשאי למכור לכהן, אך בדיעבד הדמים שלו. וה</w:t>
      </w:r>
      <w:r w:rsidRPr="003D7FC2">
        <w:rPr>
          <w:rFonts w:ascii="Narkisim" w:hAnsi="Narkisim"/>
          <w:b/>
          <w:bCs/>
          <w:rtl/>
        </w:rPr>
        <w:t>אחרונים</w:t>
      </w:r>
      <w:r w:rsidRPr="003D7FC2">
        <w:rPr>
          <w:rFonts w:ascii="Narkisim" w:hAnsi="Narkisim"/>
          <w:rtl/>
        </w:rPr>
        <w:t xml:space="preserve"> הק' מ"ש לכתחילה ובדיעבד, דסוף סוף המעות דמשתרשי לו מהתרומה הם תחת ידו. וה</w:t>
      </w:r>
      <w:r w:rsidRPr="003D7FC2">
        <w:rPr>
          <w:rFonts w:ascii="Narkisim" w:hAnsi="Narkisim"/>
          <w:b/>
          <w:bCs/>
          <w:rtl/>
        </w:rPr>
        <w:t>שער"י</w:t>
      </w:r>
      <w:r w:rsidRPr="003D7FC2">
        <w:rPr>
          <w:rFonts w:ascii="Narkisim" w:hAnsi="Narkisim"/>
          <w:rtl/>
        </w:rPr>
        <w:t xml:space="preserve"> (ה ז בסופו) ביאר ד'מצוות נתינה' על התרומה בעין לא תלי בגדרי הממון, ומש”ה מחוייב ליתן לכהן מספק. אבל לאחר שמכרו והדמים בידו הוה דין ספק ממון. ועוד </w:t>
      </w:r>
      <w:r w:rsidRPr="003D7FC2">
        <w:rPr>
          <w:rFonts w:ascii="Narkisim" w:hAnsi="Narkisim"/>
          <w:b/>
          <w:bCs/>
          <w:rtl/>
        </w:rPr>
        <w:t>יש שפי'</w:t>
      </w:r>
      <w:r w:rsidRPr="003D7FC2">
        <w:rPr>
          <w:rFonts w:ascii="Narkisim" w:hAnsi="Narkisim"/>
          <w:rtl/>
        </w:rPr>
        <w:t xml:space="preserve"> דהי"מ מודו דמספק אין מצווה ליתן לכהן, וכמו בכל ספק מתנת עניים אין חיוב נתינה</w:t>
      </w:r>
      <w:r w:rsidRPr="003D7FC2">
        <w:rPr>
          <w:rStyle w:val="ac"/>
          <w:rFonts w:ascii="Narkisim" w:hAnsi="Narkisim"/>
          <w:rtl/>
        </w:rPr>
        <w:footnoteReference w:id="6421"/>
      </w:r>
      <w:r w:rsidRPr="003D7FC2">
        <w:rPr>
          <w:rFonts w:ascii="Narkisim" w:hAnsi="Narkisim"/>
          <w:rtl/>
        </w:rPr>
        <w:t>, אלא דמ”מ אינו רשאי למוכרו לכהן, ולהוציא ממון מהכהן. אלא דאם כבר הוציא, המעות הוה שלו מספק.</w:t>
      </w:r>
    </w:p>
    <w:p w14:paraId="2626F068" w14:textId="77777777" w:rsidR="006C4368" w:rsidRPr="003D7FC2" w:rsidRDefault="006C4368" w:rsidP="006C4368">
      <w:pPr>
        <w:pStyle w:val="aa"/>
        <w:bidi/>
        <w:rPr>
          <w:rFonts w:ascii="Narkisim" w:hAnsi="Narkisim"/>
        </w:rPr>
      </w:pPr>
      <w:r w:rsidRPr="003D7FC2">
        <w:rPr>
          <w:rFonts w:ascii="Narkisim" w:hAnsi="Narkisim"/>
          <w:u w:val="single"/>
          <w:rtl/>
        </w:rPr>
        <w:t>ואינן חולקים בקדשי המקדש וכו'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כגון עורות קדשים. ואף דבעל מום מאנשי משמר חולק (כדאי' קדושין נג. וכ”מ), הספיקות האלו אינם חולקים [ולא אמרי' שיטלו חלק א' לשניהם]. וה</w:t>
      </w:r>
      <w:r w:rsidRPr="003D7FC2">
        <w:rPr>
          <w:rFonts w:ascii="Narkisim" w:hAnsi="Narkisim"/>
          <w:b/>
          <w:bCs/>
          <w:rtl/>
        </w:rPr>
        <w:t>רש"ש</w:t>
      </w:r>
      <w:r w:rsidRPr="003D7FC2">
        <w:rPr>
          <w:rFonts w:ascii="Narkisim" w:hAnsi="Narkisim"/>
          <w:rtl/>
        </w:rPr>
        <w:t xml:space="preserve"> כת' דהוה גזירה שמא יחלקו להם קדשים, ויבא לתקלה.</w:t>
      </w:r>
    </w:p>
    <w:p w14:paraId="3EE18FF6" w14:textId="77777777" w:rsidR="006C4368" w:rsidRPr="003D7FC2" w:rsidRDefault="006C4368" w:rsidP="006C4368">
      <w:pPr>
        <w:pStyle w:val="aa"/>
        <w:bidi/>
        <w:rPr>
          <w:rFonts w:ascii="Narkisim" w:hAnsi="Narkisim"/>
        </w:rPr>
      </w:pPr>
      <w:r w:rsidRPr="003D7FC2">
        <w:rPr>
          <w:rFonts w:ascii="Narkisim" w:hAnsi="Narkisim"/>
          <w:rtl/>
        </w:rPr>
        <w:t>וה</w:t>
      </w:r>
      <w:r w:rsidRPr="003D7FC2">
        <w:rPr>
          <w:rFonts w:ascii="Narkisim" w:hAnsi="Narkisim"/>
          <w:b/>
          <w:bCs/>
          <w:rtl/>
        </w:rPr>
        <w:t>תוי"ט</w:t>
      </w:r>
      <w:r w:rsidRPr="003D7FC2">
        <w:rPr>
          <w:rFonts w:ascii="Narkisim" w:hAnsi="Narkisim"/>
          <w:rtl/>
        </w:rPr>
        <w:t xml:space="preserve"> הק' דהו"ל למיתני אף ברישא דאין חולקין בקדשי המקדש [קודם שנשתחרר]. וכת' דלא חשש למיתני ברישא כיון דאיתא בסיפא [ע' תוד"ה ואינן מטמאין]. וה</w:t>
      </w:r>
      <w:r w:rsidRPr="003D7FC2">
        <w:rPr>
          <w:rFonts w:ascii="Narkisim" w:hAnsi="Narkisim"/>
          <w:b/>
          <w:bCs/>
          <w:rtl/>
        </w:rPr>
        <w:t>רש”ש</w:t>
      </w:r>
      <w:r w:rsidRPr="003D7FC2">
        <w:rPr>
          <w:rFonts w:ascii="Narkisim" w:hAnsi="Narkisim"/>
          <w:rtl/>
        </w:rPr>
        <w:t xml:space="preserve"> חלק דברישא ודאי הדין שחולקין להם חלק א' בחזה ושוק ודומיהן שנאכלים לעבדי כהנים</w:t>
      </w:r>
      <w:r w:rsidRPr="003D7FC2">
        <w:rPr>
          <w:rStyle w:val="ac"/>
          <w:rFonts w:ascii="Narkisim" w:hAnsi="Narkisim"/>
          <w:rtl/>
        </w:rPr>
        <w:footnoteReference w:id="6422"/>
      </w:r>
      <w:r w:rsidRPr="003D7FC2">
        <w:rPr>
          <w:rFonts w:ascii="Narkisim" w:hAnsi="Narkisim"/>
          <w:rtl/>
        </w:rPr>
        <w:t>, ומש”ה ל”ש גזירה על עורות. אך כת' דאף קודם שחרור איכא למגזר חזה ושוק אטו קדשי קדשים.</w:t>
      </w:r>
    </w:p>
    <w:p w14:paraId="6E5CA376" w14:textId="77777777" w:rsidR="006C4368" w:rsidRPr="003D7FC2" w:rsidRDefault="006C4368" w:rsidP="006C4368">
      <w:pPr>
        <w:bidi/>
        <w:rPr>
          <w:rFonts w:ascii="Narkisim" w:hAnsi="Narkisim" w:cs="Narkisim"/>
        </w:rPr>
      </w:pPr>
      <w:r w:rsidRPr="003D7FC2">
        <w:rPr>
          <w:rFonts w:ascii="Narkisim" w:hAnsi="Narkisim" w:cs="Narkisim"/>
          <w:u w:val="single"/>
          <w:rtl/>
        </w:rPr>
        <w:t>ואין מוציאין שלהם מידיהם</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(בלשון הא') דהבי"ד יקריבו קרבנותיהן, ויחזרו להם הבשר והעור. או הללו יעשו שליח כל כהן שירצו, או ישהו קרבנם וכו'. דזר מחוייב ליתן קרבנו לאנשי משמר, והם יקריבו, והבשר והעור של כהנים. ואילו כהן [הראוי להקרבה] רשאי לעשות שליח להקריב, והבשר והעור שלו [של משלח].</w:t>
      </w:r>
    </w:p>
    <w:p w14:paraId="72F7D090" w14:textId="77777777" w:rsidR="006C4368" w:rsidRPr="003D7FC2" w:rsidRDefault="006C4368" w:rsidP="006C4368">
      <w:pPr>
        <w:pStyle w:val="a7"/>
        <w:bidi/>
        <w:rPr>
          <w:rFonts w:ascii="Narkisim" w:hAnsi="Narkisim"/>
        </w:rPr>
      </w:pPr>
      <w:r w:rsidRPr="003D7FC2">
        <w:rPr>
          <w:rFonts w:ascii="Narkisim" w:hAnsi="Narkisim"/>
          <w:rtl/>
        </w:rPr>
        <w:t>וה"נ גבי ספיקות הם מוחזקים בקרבנות שלהם, ורשאי למסור לשליח</w:t>
      </w:r>
      <w:r w:rsidRPr="003D7FC2">
        <w:rPr>
          <w:rStyle w:val="ac"/>
          <w:rFonts w:ascii="Narkisim" w:hAnsi="Narkisim"/>
          <w:rtl/>
        </w:rPr>
        <w:footnoteReference w:id="6423"/>
      </w:r>
      <w:r w:rsidRPr="003D7FC2">
        <w:rPr>
          <w:rFonts w:ascii="Narkisim" w:hAnsi="Narkisim"/>
          <w:rtl/>
        </w:rPr>
        <w:t xml:space="preserve"> ע"ד שהבשר והעור שלו. [ונחשב שהוא מוחזק בקרבן, ונותנו ע"ד כן. ולא אמרי' דאנשי המשמר והבי"ד הם מוחזקים בעבודת המזבח, לעכב שלא יקריב אלא מי שידוע שהוא כהן. ומבואר דאנשי משמר אינם רשאין לעכב על השליח מספק].</w:t>
      </w:r>
    </w:p>
    <w:p w14:paraId="28091754" w14:textId="77777777" w:rsidR="006C4368" w:rsidRPr="003D7FC2" w:rsidRDefault="006C4368" w:rsidP="006C4368">
      <w:pPr>
        <w:pStyle w:val="aa"/>
        <w:bidi/>
        <w:rPr>
          <w:rFonts w:ascii="Narkisim" w:hAnsi="Narkisim"/>
        </w:rPr>
      </w:pPr>
      <w:r w:rsidRPr="003D7FC2">
        <w:rPr>
          <w:rFonts w:ascii="Narkisim" w:hAnsi="Narkisim"/>
          <w:u w:val="single"/>
          <w:rtl/>
        </w:rPr>
        <w:t>רש"י ד"ה ואין מוציאין</w:t>
      </w:r>
      <w:r w:rsidRPr="003D7FC2">
        <w:rPr>
          <w:rFonts w:ascii="Narkisim" w:hAnsi="Narkisim"/>
          <w:rtl/>
        </w:rPr>
        <w:t>. אין בי"ד יכולין להוציא לידן בע"כ</w:t>
      </w:r>
      <w:r w:rsidRPr="003D7FC2">
        <w:rPr>
          <w:rStyle w:val="ac"/>
          <w:rFonts w:ascii="Narkisim" w:hAnsi="Narkisim"/>
          <w:rtl/>
        </w:rPr>
        <w:footnoteReference w:id="6424"/>
      </w:r>
      <w:r w:rsidRPr="003D7FC2">
        <w:rPr>
          <w:rFonts w:ascii="Narkisim" w:hAnsi="Narkisim"/>
          <w:rtl/>
        </w:rPr>
        <w:t xml:space="preserve"> וכו' אלא יקריבו קרבנותיהם ויחזרו להן הבשר </w:t>
      </w:r>
      <w:r w:rsidRPr="003D7FC2">
        <w:rPr>
          <w:rFonts w:ascii="Narkisim" w:hAnsi="Narkisim"/>
          <w:rtl/>
        </w:rPr>
        <w:lastRenderedPageBreak/>
        <w:t>והעור. יל"ד דכהנים זכו משלחן גבוה, ורק משעת שחיטה וזריקה. ובשעה זו אנשי המשמר הוה מוחזקים, א"כ מ"ט יחזירו לבעלים הראשונים. ואפשר דהבעלים מסרו להם להקריב על תנאי זו. א"נ נחשב שהבי"ד הקריבו [דאין לכהן מסויים זכות, אלא כל המשמר], והבי”ד מוחזקים עבור הבעלים.</w:t>
      </w:r>
    </w:p>
    <w:p w14:paraId="7FD0C475" w14:textId="77777777" w:rsidR="006C4368" w:rsidRPr="003D7FC2" w:rsidRDefault="006C4368" w:rsidP="006C4368">
      <w:pPr>
        <w:bidi/>
        <w:rPr>
          <w:rFonts w:ascii="Narkisim" w:hAnsi="Narkisim" w:cs="Narkisim"/>
        </w:rPr>
      </w:pPr>
      <w:r w:rsidRPr="003D7FC2">
        <w:rPr>
          <w:rFonts w:ascii="Narkisim" w:hAnsi="Narkisim" w:cs="Narkisim"/>
          <w:u w:val="single"/>
          <w:rtl/>
        </w:rPr>
        <w:t>תוד"ה ואין</w:t>
      </w:r>
      <w:r w:rsidRPr="003D7FC2">
        <w:rPr>
          <w:rFonts w:ascii="Narkisim" w:hAnsi="Narkisim" w:cs="Narkisim"/>
          <w:rtl/>
        </w:rPr>
        <w:t>. והק' ע"ז בקו' דהא אמרי' (ב”ק קי.) דהיכא דלא מצי עביד עבודה שליח ל"מ משוי, ואר”י דשאני הכא אם יבא אליהו ויאמר שהוא כהן היה ראוי לעבוד וכו'. ור”י דימה לזקן וחולה דראוי ע”י הדחק, וה”נ ספיקות ראוי ע”י שיתברר ספיקם. ודעת רש"י דאינו ראוי מחמת הספק נחשב אינו ראוי</w:t>
      </w:r>
      <w:r w:rsidRPr="003D7FC2">
        <w:rPr>
          <w:rStyle w:val="ac"/>
          <w:rFonts w:ascii="Narkisim" w:hAnsi="Narkisim" w:cs="Narkisim"/>
          <w:rtl/>
        </w:rPr>
        <w:footnoteReference w:id="6425"/>
      </w:r>
      <w:r w:rsidRPr="003D7FC2">
        <w:rPr>
          <w:rFonts w:ascii="Narkisim" w:hAnsi="Narkisim" w:cs="Narkisim"/>
          <w:rtl/>
        </w:rPr>
        <w:t>.</w:t>
      </w:r>
    </w:p>
    <w:p w14:paraId="070DBFA2" w14:textId="77777777" w:rsidR="006C4368" w:rsidRPr="003D7FC2" w:rsidRDefault="006C4368" w:rsidP="006C4368">
      <w:pPr>
        <w:pStyle w:val="a7"/>
        <w:bidi/>
        <w:rPr>
          <w:rFonts w:ascii="Narkisim" w:hAnsi="Narkisim"/>
        </w:rPr>
      </w:pPr>
      <w:r w:rsidRPr="003D7FC2">
        <w:rPr>
          <w:rFonts w:ascii="Narkisim" w:hAnsi="Narkisim"/>
          <w:rtl/>
        </w:rPr>
        <w:t>ולכאורה כוונת התוס' להביא מהגמ' (לעיל מא:) דספיקות לא נחשב שאינו עולה ליבום, דאם יבא אליהו</w:t>
      </w:r>
      <w:r w:rsidRPr="003D7FC2">
        <w:rPr>
          <w:rStyle w:val="ac"/>
          <w:rFonts w:ascii="Narkisim" w:hAnsi="Narkisim"/>
          <w:rtl/>
        </w:rPr>
        <w:footnoteReference w:id="6426"/>
      </w:r>
      <w:r w:rsidRPr="003D7FC2">
        <w:rPr>
          <w:rFonts w:ascii="Narkisim" w:hAnsi="Narkisim"/>
          <w:rtl/>
        </w:rPr>
        <w:t xml:space="preserve"> וכו'. וה</w:t>
      </w:r>
      <w:r w:rsidRPr="003D7FC2">
        <w:rPr>
          <w:rFonts w:ascii="Narkisim" w:hAnsi="Narkisim"/>
          <w:b/>
          <w:bCs/>
          <w:rtl/>
        </w:rPr>
        <w:t>אחרונים</w:t>
      </w:r>
      <w:r w:rsidRPr="003D7FC2">
        <w:rPr>
          <w:rFonts w:ascii="Narkisim" w:hAnsi="Narkisim"/>
          <w:rtl/>
        </w:rPr>
        <w:t xml:space="preserve"> דנו האם כוונת הגמ' דסגי דמבורר כלפי שמיא (וכ”כ הבית מאיר צלעות הבית א). או משום דעומד להתברר לאחר זמן [ומשום שראוי להתברר בעתיד נחשב מעכשיו עולה ליבום] (וכ”כ הקובה”ע ה טו)</w:t>
      </w:r>
      <w:r w:rsidRPr="003D7FC2">
        <w:rPr>
          <w:rStyle w:val="ac"/>
          <w:rFonts w:ascii="Narkisim" w:hAnsi="Narkisim"/>
          <w:rtl/>
        </w:rPr>
        <w:footnoteReference w:id="6427"/>
      </w:r>
      <w:r w:rsidRPr="003D7FC2">
        <w:rPr>
          <w:rFonts w:ascii="Narkisim" w:hAnsi="Narkisim"/>
          <w:rtl/>
        </w:rPr>
        <w:t>.</w:t>
      </w:r>
    </w:p>
    <w:p w14:paraId="357D5888"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ערול"נ</w:t>
      </w:r>
      <w:r w:rsidRPr="003D7FC2">
        <w:rPr>
          <w:rFonts w:ascii="Narkisim" w:hAnsi="Narkisim"/>
          <w:rtl/>
        </w:rPr>
        <w:t xml:space="preserve"> תמה על תוס' מה מהני שיתברר לבסוף, הא עכשיו אין יכול להקריב. א"כ עכשיו לא יוכל לעשות שליח. דבעינן שיכול להקריב בשעה שעושה שליח.</w:t>
      </w:r>
    </w:p>
    <w:p w14:paraId="24BA3977"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משנ"ל</w:t>
      </w:r>
      <w:r w:rsidRPr="003D7FC2">
        <w:rPr>
          <w:rFonts w:ascii="Narkisim" w:hAnsi="Narkisim"/>
          <w:rtl/>
        </w:rPr>
        <w:t xml:space="preserve"> (אישות ט ו) נסתפק בהא דל"מ למנות שליח לקדש אשה קודם שנתגרשה (כדאי' נזיר יב.) משום דאיהו לא מצי עבד. מה הדין היכא דהוה ספק אשת איש, דמצי עבד מספק.</w:t>
      </w:r>
    </w:p>
    <w:p w14:paraId="173B5ED4" w14:textId="77777777" w:rsidR="006C4368" w:rsidRPr="003D7FC2" w:rsidRDefault="006C4368" w:rsidP="006C4368">
      <w:pPr>
        <w:pStyle w:val="a8"/>
        <w:bidi/>
        <w:rPr>
          <w:rFonts w:ascii="Narkisim" w:hAnsi="Narkisim"/>
        </w:rPr>
      </w:pPr>
      <w:r w:rsidRPr="003D7FC2">
        <w:rPr>
          <w:rFonts w:ascii="Narkisim" w:hAnsi="Narkisim"/>
          <w:rtl/>
        </w:rPr>
        <w:t>וכת' דלכאורה נראה דשליחות זה הוי ספק</w:t>
      </w:r>
      <w:r w:rsidRPr="003D7FC2">
        <w:rPr>
          <w:rStyle w:val="ac"/>
          <w:rFonts w:ascii="Narkisim" w:hAnsi="Narkisim"/>
          <w:rtl/>
        </w:rPr>
        <w:footnoteReference w:id="6428"/>
      </w:r>
      <w:r w:rsidRPr="003D7FC2">
        <w:rPr>
          <w:rFonts w:ascii="Narkisim" w:hAnsi="Narkisim"/>
          <w:rtl/>
        </w:rPr>
        <w:t>. והביא דתלי במח' רש"י ותוס' (כאן) דלרש"י סוף סוף לא מצי עבד</w:t>
      </w:r>
      <w:r w:rsidRPr="003D7FC2">
        <w:rPr>
          <w:rStyle w:val="ac"/>
          <w:rFonts w:ascii="Narkisim" w:hAnsi="Narkisim"/>
          <w:rtl/>
        </w:rPr>
        <w:footnoteReference w:id="6429"/>
      </w:r>
      <w:r w:rsidRPr="003D7FC2">
        <w:rPr>
          <w:rFonts w:ascii="Narkisim" w:hAnsi="Narkisim"/>
          <w:rtl/>
        </w:rPr>
        <w:t>, ולתוס' נחשב מצי עבד, כיון דאם יבא אליהו</w:t>
      </w:r>
      <w:r w:rsidRPr="003D7FC2">
        <w:rPr>
          <w:rStyle w:val="ac"/>
          <w:rFonts w:ascii="Narkisim" w:hAnsi="Narkisim"/>
          <w:rtl/>
        </w:rPr>
        <w:footnoteReference w:id="6430"/>
      </w:r>
      <w:r w:rsidRPr="003D7FC2">
        <w:rPr>
          <w:rFonts w:ascii="Narkisim" w:hAnsi="Narkisim"/>
          <w:rtl/>
        </w:rPr>
        <w:t>. וה</w:t>
      </w:r>
      <w:r w:rsidRPr="003D7FC2">
        <w:rPr>
          <w:rFonts w:ascii="Narkisim" w:hAnsi="Narkisim"/>
          <w:b/>
          <w:bCs/>
          <w:rtl/>
        </w:rPr>
        <w:t>אבנ"מ</w:t>
      </w:r>
      <w:r w:rsidRPr="003D7FC2">
        <w:rPr>
          <w:rFonts w:ascii="Narkisim" w:hAnsi="Narkisim"/>
          <w:rtl/>
        </w:rPr>
        <w:t xml:space="preserve"> (לה יד) תמה דאף לתוס' הוה רק ספק, על הצד שהוא כהן נחשב מצי עבד. ומש"ה אינו יכול להוציאו מידו מספק. אך השליח אינו יכול להיות יותר ממנו. ואף רש"י פליג משום דלא מצי עבד עבודה [משום ספק זרות], אבל התם אף המשלח יוכל לקדש מעכשיו ולאחר שתתגרש</w:t>
      </w:r>
      <w:r w:rsidRPr="003D7FC2">
        <w:rPr>
          <w:rStyle w:val="ac"/>
          <w:rFonts w:ascii="Narkisim" w:hAnsi="Narkisim"/>
          <w:rtl/>
        </w:rPr>
        <w:footnoteReference w:id="6431"/>
      </w:r>
      <w:r w:rsidRPr="003D7FC2">
        <w:rPr>
          <w:rFonts w:ascii="Narkisim" w:hAnsi="Narkisim"/>
          <w:rtl/>
        </w:rPr>
        <w:t>.</w:t>
      </w:r>
    </w:p>
    <w:p w14:paraId="5BB1A143"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קובה"ע</w:t>
      </w:r>
      <w:r w:rsidRPr="003D7FC2">
        <w:rPr>
          <w:rFonts w:ascii="Narkisim" w:hAnsi="Narkisim"/>
          <w:rtl/>
        </w:rPr>
        <w:t xml:space="preserve"> (עב ב) כת' דהגמ' (בב"ק) דמצי עבד עבודה ל"מ שליח הוה סברא דאין לו זכות לאכול לעצמו, ומש"ה אינו יכול ליתן רשות לאחר. ולא הוה חסרון מדיני השליחות</w:t>
      </w:r>
      <w:r w:rsidRPr="003D7FC2">
        <w:rPr>
          <w:rStyle w:val="ac"/>
          <w:rFonts w:ascii="Narkisim" w:hAnsi="Narkisim"/>
          <w:rtl/>
        </w:rPr>
        <w:footnoteReference w:id="6432"/>
      </w:r>
      <w:r w:rsidRPr="003D7FC2">
        <w:rPr>
          <w:rFonts w:ascii="Narkisim" w:hAnsi="Narkisim"/>
          <w:rtl/>
        </w:rPr>
        <w:t>, ול"ש לגמ' (נזיר יב., הו' לעיל נב:)</w:t>
      </w:r>
      <w:r w:rsidRPr="003D7FC2">
        <w:rPr>
          <w:rStyle w:val="ac"/>
          <w:rFonts w:ascii="Narkisim" w:hAnsi="Narkisim"/>
          <w:rtl/>
        </w:rPr>
        <w:footnoteReference w:id="6433"/>
      </w:r>
      <w:r w:rsidRPr="003D7FC2">
        <w:rPr>
          <w:rFonts w:ascii="Narkisim" w:hAnsi="Narkisim"/>
          <w:rtl/>
        </w:rPr>
        <w:t xml:space="preserve"> דל"מ מינוי שליחות בדבר ד'איהו לא מצי עבד'</w:t>
      </w:r>
      <w:r w:rsidRPr="003D7FC2">
        <w:rPr>
          <w:rStyle w:val="ac"/>
          <w:rFonts w:ascii="Narkisim" w:hAnsi="Narkisim"/>
          <w:rtl/>
        </w:rPr>
        <w:footnoteReference w:id="6434"/>
      </w:r>
      <w:r w:rsidRPr="003D7FC2">
        <w:rPr>
          <w:rFonts w:ascii="Narkisim" w:hAnsi="Narkisim"/>
          <w:rtl/>
        </w:rPr>
        <w:t xml:space="preserve">. ועפ"ז </w:t>
      </w:r>
      <w:r w:rsidRPr="003D7FC2">
        <w:rPr>
          <w:rFonts w:ascii="Narkisim" w:hAnsi="Narkisim"/>
          <w:rtl/>
        </w:rPr>
        <w:lastRenderedPageBreak/>
        <w:t>מבואר כסברת רש"י דה"נ בפועל לא מצי עבד מחמת הספק, ול"מ שיבא אליהו</w:t>
      </w:r>
      <w:r w:rsidRPr="003D7FC2">
        <w:rPr>
          <w:rStyle w:val="ac"/>
          <w:rFonts w:ascii="Narkisim" w:hAnsi="Narkisim"/>
          <w:rtl/>
        </w:rPr>
        <w:footnoteReference w:id="6435"/>
      </w:r>
      <w:r w:rsidRPr="003D7FC2">
        <w:rPr>
          <w:rFonts w:ascii="Narkisim" w:hAnsi="Narkisim"/>
          <w:rtl/>
        </w:rPr>
        <w:t>. [אך תוס' חילקו בין זקן וחולה לספיקות, דספק נחשב 'ראוי' משום דאם יבא אליהו].</w:t>
      </w:r>
    </w:p>
    <w:p w14:paraId="488474A9" w14:textId="77777777" w:rsidR="006C4368" w:rsidRPr="003D7FC2" w:rsidRDefault="006C4368" w:rsidP="006C4368">
      <w:pPr>
        <w:pStyle w:val="aa"/>
        <w:bidi/>
        <w:rPr>
          <w:rFonts w:ascii="Narkisim" w:hAnsi="Narkisim"/>
        </w:rPr>
      </w:pPr>
      <w:r w:rsidRPr="003D7FC2">
        <w:rPr>
          <w:rFonts w:ascii="Narkisim" w:hAnsi="Narkisim"/>
          <w:u w:val="single"/>
          <w:rtl/>
        </w:rPr>
        <w:t>בא"ד משבאו ליד כהן הרי הן חולין וכו' ואר”י שיתנו זה לזה ויתנו ביניהם</w:t>
      </w:r>
      <w:r w:rsidRPr="003D7FC2">
        <w:rPr>
          <w:rFonts w:ascii="Narkisim" w:hAnsi="Narkisim"/>
          <w:rtl/>
        </w:rPr>
        <w:t>. בפשוטו ה”מ בספק כהן, אבל כהנים ודאין אין מחרימין, כיון דהחרם שלהם. אבל ה</w:t>
      </w:r>
      <w:r w:rsidRPr="003D7FC2">
        <w:rPr>
          <w:rFonts w:ascii="Narkisim" w:hAnsi="Narkisim"/>
          <w:b/>
          <w:bCs/>
          <w:rtl/>
        </w:rPr>
        <w:t>שיטמ"ק</w:t>
      </w:r>
      <w:r w:rsidRPr="003D7FC2">
        <w:rPr>
          <w:rFonts w:ascii="Narkisim" w:hAnsi="Narkisim"/>
          <w:rtl/>
        </w:rPr>
        <w:t xml:space="preserve"> (ערכין כח. בשם הרא"ש) כת' דדוקא כשאומר רוצה אני לזכות בו. אבל קודם שאומר רוצה אני יש מעילה אף בחרמי כהנים.</w:t>
      </w:r>
    </w:p>
    <w:p w14:paraId="1C7C51C3" w14:textId="77777777" w:rsidR="006C4368" w:rsidRPr="003D7FC2" w:rsidRDefault="006C4368" w:rsidP="006C4368">
      <w:pPr>
        <w:pStyle w:val="aa"/>
        <w:bidi/>
        <w:rPr>
          <w:rFonts w:ascii="Narkisim" w:hAnsi="Narkisim"/>
        </w:rPr>
      </w:pPr>
      <w:r w:rsidRPr="003D7FC2">
        <w:rPr>
          <w:rFonts w:ascii="Narkisim" w:hAnsi="Narkisim"/>
          <w:u w:val="single"/>
          <w:rtl/>
        </w:rPr>
        <w:t>ופטורין מן הזרוע ומן הלחיים ומן הקיבה</w:t>
      </w:r>
      <w:r w:rsidRPr="003D7FC2">
        <w:rPr>
          <w:rFonts w:ascii="Narkisim" w:hAnsi="Narkisim"/>
          <w:rtl/>
        </w:rPr>
        <w:t>. דמספק אי"צ ליתן [ואף לגירסת הי”מ הנ”ל פטורין מנתינת זרוע ולחיים]. וה</w:t>
      </w:r>
      <w:r w:rsidRPr="003D7FC2">
        <w:rPr>
          <w:rFonts w:ascii="Narkisim" w:hAnsi="Narkisim"/>
          <w:b/>
          <w:bCs/>
          <w:rtl/>
        </w:rPr>
        <w:t>אחרונים</w:t>
      </w:r>
      <w:r w:rsidRPr="003D7FC2">
        <w:rPr>
          <w:rFonts w:ascii="Narkisim" w:hAnsi="Narkisim"/>
          <w:rtl/>
        </w:rPr>
        <w:t xml:space="preserve"> דנו דנימא דמחוייבין משום דין 'צדק משלך' (וכדאי' חולין קלד., עי”ש במרדכי ובר”ן נדרים ז.</w:t>
      </w:r>
      <w:r w:rsidRPr="003D7FC2">
        <w:rPr>
          <w:rStyle w:val="ac"/>
          <w:rFonts w:ascii="Narkisim" w:hAnsi="Narkisim"/>
          <w:rtl/>
        </w:rPr>
        <w:footnoteReference w:id="6436"/>
      </w:r>
      <w:r w:rsidRPr="003D7FC2">
        <w:rPr>
          <w:rFonts w:ascii="Narkisim" w:hAnsi="Narkisim"/>
          <w:rtl/>
        </w:rPr>
        <w:t>). וה</w:t>
      </w:r>
      <w:r w:rsidRPr="003D7FC2">
        <w:rPr>
          <w:rFonts w:ascii="Narkisim" w:hAnsi="Narkisim"/>
          <w:b/>
          <w:bCs/>
          <w:rtl/>
        </w:rPr>
        <w:t>חת"ס</w:t>
      </w:r>
      <w:r w:rsidRPr="003D7FC2">
        <w:rPr>
          <w:rFonts w:ascii="Narkisim" w:hAnsi="Narkisim"/>
          <w:rtl/>
        </w:rPr>
        <w:t xml:space="preserve"> (יו"ד שט, חו”מ קעג) הביא מסוגיין דכל ספק במתנות פטור דהממע”ה, אף דליכא חזקת פטור. ודוקא היכא דיש חזקה אחרת כנגד נאמר דין 'צדק'</w:t>
      </w:r>
      <w:r w:rsidRPr="003D7FC2">
        <w:rPr>
          <w:rStyle w:val="ac"/>
          <w:rFonts w:ascii="Narkisim" w:hAnsi="Narkisim"/>
          <w:rtl/>
        </w:rPr>
        <w:footnoteReference w:id="6437"/>
      </w:r>
      <w:r w:rsidRPr="003D7FC2">
        <w:rPr>
          <w:rFonts w:ascii="Narkisim" w:hAnsi="Narkisim"/>
          <w:rtl/>
        </w:rPr>
        <w:t>. ועוד כת' (חת"ס נדרים ז.) דהכא בספק כהן זה גופא הספק, האם מוטל עליו לצדק את הכהן, או שהשני מוטל עליו לצדק אותי. ויש ספק בעיקר הדין 'וצדק'</w:t>
      </w:r>
      <w:r w:rsidRPr="003D7FC2">
        <w:rPr>
          <w:rStyle w:val="ac"/>
          <w:rFonts w:ascii="Narkisim" w:hAnsi="Narkisim"/>
          <w:rtl/>
        </w:rPr>
        <w:footnoteReference w:id="6438"/>
      </w:r>
      <w:r w:rsidRPr="003D7FC2">
        <w:rPr>
          <w:rFonts w:ascii="Narkisim" w:hAnsi="Narkisim"/>
          <w:rtl/>
        </w:rPr>
        <w:t>.</w:t>
      </w:r>
    </w:p>
    <w:p w14:paraId="68595B90" w14:textId="77777777" w:rsidR="006C4368" w:rsidRPr="003D7FC2" w:rsidRDefault="006C4368" w:rsidP="006C4368">
      <w:pPr>
        <w:bidi/>
        <w:rPr>
          <w:rFonts w:ascii="Narkisim" w:hAnsi="Narkisim" w:cs="Narkisim"/>
        </w:rPr>
      </w:pPr>
      <w:r w:rsidRPr="003D7FC2">
        <w:rPr>
          <w:rFonts w:ascii="Narkisim" w:hAnsi="Narkisim" w:cs="Narkisim"/>
          <w:u w:val="single"/>
          <w:rtl/>
        </w:rPr>
        <w:t>ובכורו יהא רועה עד שיסתאב</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אפי' בזמן הבית, דא"א לכופו ליתנו לכהן להקריב ולאכול</w:t>
      </w:r>
      <w:r w:rsidRPr="003D7FC2">
        <w:rPr>
          <w:rStyle w:val="ac"/>
          <w:rFonts w:ascii="Narkisim" w:hAnsi="Narkisim" w:cs="Narkisim"/>
          <w:rtl/>
        </w:rPr>
        <w:footnoteReference w:id="6439"/>
      </w:r>
      <w:r w:rsidRPr="003D7FC2">
        <w:rPr>
          <w:rFonts w:ascii="Narkisim" w:hAnsi="Narkisim" w:cs="Narkisim"/>
          <w:rtl/>
        </w:rPr>
        <w:t>, הילכך ירעה עד שיסתאב. והגמ' (תמורה ח.) דנה בזה אי איירי בזמן הזה או בזמן הבית. והגמ' מק' הניחא לצד דיש לכהן זכייה בבכור מחיים (ע' בסוגיה שם וב”ק יב.), מש"ה הכהן יכול לעכבו [מספק]. אבל אי לית ליה זכייה האיך מעכב.</w:t>
      </w:r>
    </w:p>
    <w:p w14:paraId="471A8638"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שיטמ"ק</w:t>
      </w:r>
      <w:r w:rsidRPr="003D7FC2">
        <w:rPr>
          <w:rFonts w:ascii="Narkisim" w:hAnsi="Narkisim"/>
          <w:rtl/>
        </w:rPr>
        <w:t xml:space="preserve"> (בהשמטות שם) ביאר דאי יש לכהן זכייה יכול לעכב להקריבו מתי שירצה. אבל אי ל"ל זכייה, א"כ הגזבר ממשכנו להקריב, דהגזבר אומר שהקרבן יקרב כדינו. ואי מצית תאכל את, ואם לא יאכלו שאר כהנים.</w:t>
      </w:r>
    </w:p>
    <w:p w14:paraId="5F9BE331" w14:textId="77777777" w:rsidR="006C4368" w:rsidRPr="003D7FC2" w:rsidRDefault="006C4368" w:rsidP="006C4368">
      <w:pPr>
        <w:pStyle w:val="a7"/>
        <w:bidi/>
        <w:rPr>
          <w:rFonts w:ascii="Narkisim" w:hAnsi="Narkisim"/>
        </w:rPr>
      </w:pPr>
      <w:r w:rsidRPr="003D7FC2">
        <w:rPr>
          <w:rFonts w:ascii="Narkisim" w:hAnsi="Narkisim"/>
          <w:rtl/>
        </w:rPr>
        <w:t>והגמ' דוחה דאיירי בזה"ז</w:t>
      </w:r>
      <w:r w:rsidRPr="003D7FC2">
        <w:rPr>
          <w:rStyle w:val="ac"/>
          <w:rFonts w:ascii="Narkisim" w:hAnsi="Narkisim"/>
          <w:rtl/>
        </w:rPr>
        <w:footnoteReference w:id="6440"/>
      </w:r>
      <w:r w:rsidRPr="003D7FC2">
        <w:rPr>
          <w:rFonts w:ascii="Narkisim" w:hAnsi="Narkisim"/>
          <w:rtl/>
        </w:rPr>
        <w:t>, ושאר בכורות ניתנם לכהן במומם. והנך ספיקות מעכבים לעצמן מספק.</w:t>
      </w:r>
    </w:p>
    <w:p w14:paraId="7A67A843" w14:textId="77777777" w:rsidR="006C4368" w:rsidRPr="003D7FC2" w:rsidRDefault="006C4368" w:rsidP="006C4368">
      <w:pPr>
        <w:bidi/>
        <w:rPr>
          <w:rFonts w:ascii="Narkisim" w:hAnsi="Narkisim" w:cs="Narkisim"/>
        </w:rPr>
      </w:pPr>
      <w:r w:rsidRPr="003D7FC2">
        <w:rPr>
          <w:rFonts w:ascii="Narkisim" w:hAnsi="Narkisim" w:cs="Narkisim"/>
          <w:u w:val="single"/>
          <w:rtl/>
        </w:rPr>
        <w:t>שם. יהא רועה</w:t>
      </w:r>
      <w:r w:rsidRPr="003D7FC2">
        <w:rPr>
          <w:rFonts w:ascii="Narkisim" w:hAnsi="Narkisim" w:cs="Narkisim"/>
          <w:rtl/>
        </w:rPr>
        <w:t>. ה</w:t>
      </w:r>
      <w:r w:rsidRPr="003D7FC2">
        <w:rPr>
          <w:rFonts w:ascii="Narkisim" w:hAnsi="Narkisim" w:cs="Narkisim"/>
          <w:b/>
          <w:bCs/>
          <w:rtl/>
        </w:rPr>
        <w:t>שיירי קרבן</w:t>
      </w:r>
      <w:r w:rsidRPr="003D7FC2">
        <w:rPr>
          <w:rFonts w:ascii="Narkisim" w:hAnsi="Narkisim" w:cs="Narkisim"/>
          <w:rtl/>
        </w:rPr>
        <w:t xml:space="preserve"> (לירושלמי, הו' רע”א במשנה) תמה דחייב להקריב בכור תוך שנתו</w:t>
      </w:r>
      <w:r w:rsidRPr="003D7FC2">
        <w:rPr>
          <w:rStyle w:val="ac"/>
          <w:rFonts w:ascii="Narkisim" w:hAnsi="Narkisim" w:cs="Narkisim"/>
          <w:rtl/>
        </w:rPr>
        <w:footnoteReference w:id="6441"/>
      </w:r>
      <w:r w:rsidRPr="003D7FC2">
        <w:rPr>
          <w:rFonts w:ascii="Narkisim" w:hAnsi="Narkisim" w:cs="Narkisim"/>
          <w:rtl/>
        </w:rPr>
        <w:t xml:space="preserve"> [לצד דאיירי בזמן הבית], כדכתיב תאכלנו שנה בשנה</w:t>
      </w:r>
      <w:r w:rsidRPr="003D7FC2">
        <w:rPr>
          <w:rStyle w:val="ac"/>
          <w:rFonts w:ascii="Narkisim" w:hAnsi="Narkisim" w:cs="Narkisim"/>
          <w:rtl/>
        </w:rPr>
        <w:footnoteReference w:id="6442"/>
      </w:r>
      <w:r w:rsidRPr="003D7FC2">
        <w:rPr>
          <w:rFonts w:ascii="Narkisim" w:hAnsi="Narkisim" w:cs="Narkisim"/>
          <w:rtl/>
        </w:rPr>
        <w:t>, וכי בשביל הנאתן יעברו על לאו דבל תאחר</w:t>
      </w:r>
      <w:r w:rsidRPr="003D7FC2">
        <w:rPr>
          <w:rStyle w:val="ac"/>
          <w:rFonts w:ascii="Narkisim" w:hAnsi="Narkisim" w:cs="Narkisim"/>
          <w:rtl/>
        </w:rPr>
        <w:footnoteReference w:id="6443"/>
      </w:r>
      <w:r w:rsidRPr="003D7FC2">
        <w:rPr>
          <w:rFonts w:ascii="Narkisim" w:hAnsi="Narkisim" w:cs="Narkisim"/>
          <w:rtl/>
        </w:rPr>
        <w:t>.</w:t>
      </w:r>
    </w:p>
    <w:p w14:paraId="75AF0DE5"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שיטמ"ק</w:t>
      </w:r>
      <w:r w:rsidRPr="003D7FC2">
        <w:rPr>
          <w:rFonts w:ascii="Narkisim" w:hAnsi="Narkisim"/>
          <w:rtl/>
        </w:rPr>
        <w:t xml:space="preserve"> (תמורה שם עה"ג ו בשם גליון) עמד בזה וכת' דה"מ תוך שנה, אבל לאחר שנה יש בל תאחר [ואינו רשאי להמתין]. והביא </w:t>
      </w:r>
      <w:r w:rsidRPr="003D7FC2">
        <w:rPr>
          <w:rFonts w:ascii="Narkisim" w:hAnsi="Narkisim"/>
          <w:b/>
          <w:bCs/>
          <w:rtl/>
        </w:rPr>
        <w:t>י"מ</w:t>
      </w:r>
      <w:r w:rsidRPr="003D7FC2">
        <w:rPr>
          <w:rFonts w:ascii="Narkisim" w:hAnsi="Narkisim"/>
          <w:rtl/>
        </w:rPr>
        <w:t xml:space="preserve"> דבבכור דתערובת ליכא בל תאחר אם ממתין עד שיאכל בעצמו. [אך צ"ב האיך רשאי לעכבו].</w:t>
      </w:r>
    </w:p>
    <w:p w14:paraId="57B4F843" w14:textId="77777777" w:rsidR="006C4368" w:rsidRPr="003D7FC2" w:rsidRDefault="006C4368" w:rsidP="006C4368">
      <w:pPr>
        <w:pStyle w:val="aa"/>
        <w:bidi/>
        <w:rPr>
          <w:rFonts w:ascii="Narkisim" w:hAnsi="Narkisim"/>
        </w:rPr>
      </w:pPr>
      <w:r w:rsidRPr="003D7FC2">
        <w:rPr>
          <w:rFonts w:ascii="Narkisim" w:hAnsi="Narkisim"/>
          <w:rtl/>
        </w:rPr>
        <w:lastRenderedPageBreak/>
        <w:t>וה</w:t>
      </w:r>
      <w:r w:rsidRPr="003D7FC2">
        <w:rPr>
          <w:rFonts w:ascii="Narkisim" w:hAnsi="Narkisim"/>
          <w:b/>
          <w:bCs/>
          <w:rtl/>
        </w:rPr>
        <w:t>אחרונים</w:t>
      </w:r>
      <w:r w:rsidRPr="003D7FC2">
        <w:rPr>
          <w:rFonts w:ascii="Narkisim" w:hAnsi="Narkisim"/>
          <w:rtl/>
        </w:rPr>
        <w:t xml:space="preserve"> (שער"י ה יט ועוד) הביאו דבמקום שיש ספק בעיקר החיוב ליכא בל תאחר. וכמ"ש ה</w:t>
      </w:r>
      <w:r w:rsidRPr="003D7FC2">
        <w:rPr>
          <w:rFonts w:ascii="Narkisim" w:hAnsi="Narkisim"/>
          <w:b/>
          <w:bCs/>
          <w:rtl/>
        </w:rPr>
        <w:t>מהרי"ט</w:t>
      </w:r>
      <w:r w:rsidRPr="003D7FC2">
        <w:rPr>
          <w:rFonts w:ascii="Narkisim" w:hAnsi="Narkisim"/>
          <w:rtl/>
        </w:rPr>
        <w:t xml:space="preserve"> (ב חו"מ קכד) דבספיקות כיון דמדינא פטור לא שייך בה בל תאחר. וביארו דדין בל תאחר תלי בדין חיוב, וכיון דהדין המוציא מחבירו עליו הראיה אינו מחוייב להקריבו, ומש"ה ליכא חיוב בל תאחר</w:t>
      </w:r>
      <w:r w:rsidRPr="003D7FC2">
        <w:rPr>
          <w:rStyle w:val="ac"/>
          <w:rFonts w:ascii="Narkisim" w:hAnsi="Narkisim"/>
          <w:rtl/>
        </w:rPr>
        <w:footnoteReference w:id="6444"/>
      </w:r>
      <w:r w:rsidRPr="003D7FC2">
        <w:rPr>
          <w:rFonts w:ascii="Narkisim" w:hAnsi="Narkisim"/>
          <w:rtl/>
        </w:rPr>
        <w:t>.</w:t>
      </w:r>
    </w:p>
    <w:p w14:paraId="54A4F5BC" w14:textId="77777777" w:rsidR="006C4368" w:rsidRPr="003D7FC2" w:rsidRDefault="006C4368" w:rsidP="006C4368">
      <w:pPr>
        <w:pStyle w:val="a8"/>
        <w:bidi/>
        <w:rPr>
          <w:rFonts w:ascii="Narkisim" w:hAnsi="Narkisim"/>
        </w:rPr>
      </w:pPr>
      <w:r w:rsidRPr="003D7FC2">
        <w:rPr>
          <w:rFonts w:ascii="Narkisim" w:hAnsi="Narkisim"/>
          <w:rtl/>
        </w:rPr>
        <w:t>אך בסוגיין ממ"נ יש חיוב להקריבו תוך שנה, ואף לצד שהוא כהן. ואמאי רשאי לעכבו ולא יקריב</w:t>
      </w:r>
      <w:r w:rsidRPr="003D7FC2">
        <w:rPr>
          <w:rStyle w:val="ac"/>
          <w:rFonts w:ascii="Narkisim" w:hAnsi="Narkisim"/>
          <w:rtl/>
        </w:rPr>
        <w:footnoteReference w:id="6445"/>
      </w:r>
      <w:r w:rsidRPr="003D7FC2">
        <w:rPr>
          <w:rFonts w:ascii="Narkisim" w:hAnsi="Narkisim"/>
          <w:rtl/>
        </w:rPr>
        <w:t>. ויש שתי' דגבי בכור יש ב' גדרי בל תאחר, דישראל מחוייב ליתנו לכהן, והכהן מחוייב להקריבו</w:t>
      </w:r>
      <w:r w:rsidRPr="003D7FC2">
        <w:rPr>
          <w:rStyle w:val="ac"/>
          <w:rFonts w:ascii="Narkisim" w:hAnsi="Narkisim"/>
          <w:rtl/>
        </w:rPr>
        <w:footnoteReference w:id="6446"/>
      </w:r>
      <w:r w:rsidRPr="003D7FC2">
        <w:rPr>
          <w:rFonts w:ascii="Narkisim" w:hAnsi="Narkisim"/>
          <w:rtl/>
        </w:rPr>
        <w:t>. וכאן שהוא ספק יש פטור על כל א' מחמת הספק.</w:t>
      </w:r>
    </w:p>
    <w:p w14:paraId="57740D81" w14:textId="77777777" w:rsidR="006C4368" w:rsidRPr="003D7FC2" w:rsidRDefault="006C4368" w:rsidP="006C4368">
      <w:pPr>
        <w:pStyle w:val="aa"/>
        <w:bidi/>
        <w:rPr>
          <w:rFonts w:ascii="Narkisim" w:hAnsi="Narkisim"/>
        </w:rPr>
      </w:pPr>
      <w:r w:rsidRPr="003D7FC2">
        <w:rPr>
          <w:rFonts w:ascii="Narkisim" w:hAnsi="Narkisim"/>
          <w:u w:val="single"/>
          <w:rtl/>
        </w:rPr>
        <w:t>רש"י ד"ה אין סופגין</w:t>
      </w:r>
      <w:r w:rsidRPr="003D7FC2">
        <w:rPr>
          <w:rFonts w:ascii="Narkisim" w:hAnsi="Narkisim"/>
          <w:rtl/>
        </w:rPr>
        <w:t>. (והתראת ספק הוא). בספרים אחרים נמחק, דהא אינו ספק רק בהתראה, אלא הוה איסור ספק [ולא נתברר האיסור]. והאיך ילקה מספק. וה</w:t>
      </w:r>
      <w:r w:rsidRPr="003D7FC2">
        <w:rPr>
          <w:rFonts w:ascii="Narkisim" w:hAnsi="Narkisim"/>
          <w:b/>
          <w:bCs/>
          <w:rtl/>
        </w:rPr>
        <w:t>ערול"נ</w:t>
      </w:r>
      <w:r w:rsidRPr="003D7FC2">
        <w:rPr>
          <w:rFonts w:ascii="Narkisim" w:hAnsi="Narkisim"/>
          <w:rtl/>
        </w:rPr>
        <w:t xml:space="preserve"> ציין דמצאנו כעין לשון זה ב</w:t>
      </w:r>
      <w:r w:rsidRPr="003D7FC2">
        <w:rPr>
          <w:rFonts w:ascii="Narkisim" w:hAnsi="Narkisim"/>
          <w:b/>
          <w:bCs/>
          <w:rtl/>
        </w:rPr>
        <w:t>רש"י</w:t>
      </w:r>
      <w:r w:rsidRPr="003D7FC2">
        <w:rPr>
          <w:rFonts w:ascii="Narkisim" w:hAnsi="Narkisim"/>
          <w:rtl/>
        </w:rPr>
        <w:t xml:space="preserve"> (חולין פו. וכ”מ</w:t>
      </w:r>
      <w:r w:rsidRPr="003D7FC2">
        <w:rPr>
          <w:rStyle w:val="ac"/>
          <w:rFonts w:ascii="Narkisim" w:hAnsi="Narkisim"/>
          <w:rtl/>
        </w:rPr>
        <w:footnoteReference w:id="6447"/>
      </w:r>
      <w:r w:rsidRPr="003D7FC2">
        <w:rPr>
          <w:rFonts w:ascii="Narkisim" w:hAnsi="Narkisim"/>
          <w:rtl/>
        </w:rPr>
        <w:t>) דהוה איסור ספק.</w:t>
      </w:r>
    </w:p>
    <w:p w14:paraId="1A36F066" w14:textId="77777777" w:rsidR="006C4368" w:rsidRPr="003D7FC2" w:rsidRDefault="006C4368" w:rsidP="006C4368">
      <w:pPr>
        <w:pStyle w:val="a8"/>
        <w:bidi/>
        <w:rPr>
          <w:rFonts w:ascii="Narkisim" w:hAnsi="Narkisim"/>
        </w:rPr>
      </w:pPr>
      <w:r w:rsidRPr="003D7FC2">
        <w:rPr>
          <w:rFonts w:ascii="Narkisim" w:hAnsi="Narkisim"/>
          <w:rtl/>
        </w:rPr>
        <w:t>וכת' עוד דיש נפק"מ היכא דנדר בנזיר על הצד שאינו כהן, דממ"נ אסור משום כהן או נזיר. ופטור משום התראת ספק, דאינו ידוע מאיזה לאו מתרינן בו.</w:t>
      </w:r>
    </w:p>
    <w:p w14:paraId="48B1270F" w14:textId="77777777" w:rsidR="006C4368" w:rsidRPr="003D7FC2" w:rsidRDefault="006C4368" w:rsidP="006C4368">
      <w:pPr>
        <w:bidi/>
        <w:rPr>
          <w:rFonts w:ascii="Narkisim" w:hAnsi="Narkisim" w:cs="Narkisim"/>
        </w:rPr>
      </w:pPr>
      <w:r w:rsidRPr="003D7FC2">
        <w:rPr>
          <w:rFonts w:ascii="Narkisim" w:hAnsi="Narkisim" w:cs="Narkisim"/>
          <w:u w:val="single"/>
          <w:rtl/>
        </w:rPr>
        <w:t>ר' יוסי אומר וכו' ואם עבד כהן אני, תנו לי בשביל רבי</w:t>
      </w:r>
      <w:r w:rsidRPr="003D7FC2">
        <w:rPr>
          <w:rFonts w:ascii="Narkisim" w:hAnsi="Narkisim" w:cs="Narkisim"/>
          <w:rtl/>
        </w:rPr>
        <w:t>. דס"ל דחולקין תרומה לעבד אע"פ שאין רבו עמו. ובפשוטו נחשב נתינה לאדון, מדין מה שקנה עבד קנה רבו. [ואף דעבד כהן אוכל בתרומה משום שהוא קנין כספו של כהן (וע' מש”כ לעיל סו. הגדר בזה), מ"מ דין נתינה הוה לכהן].</w:t>
      </w:r>
    </w:p>
    <w:p w14:paraId="4F345885" w14:textId="77777777" w:rsidR="006C4368" w:rsidRPr="003D7FC2" w:rsidRDefault="006C4368" w:rsidP="006C4368">
      <w:pPr>
        <w:pStyle w:val="a8"/>
        <w:bidi/>
        <w:rPr>
          <w:rFonts w:ascii="Narkisim" w:hAnsi="Narkisim"/>
        </w:rPr>
      </w:pPr>
      <w:r w:rsidRPr="003D7FC2">
        <w:rPr>
          <w:rFonts w:ascii="Narkisim" w:hAnsi="Narkisim"/>
          <w:rtl/>
        </w:rPr>
        <w:t>ויל"ד דבספק עבד (בסוגיין) האדון אינו רשאי לשעבד בו מספק, ואינו זוכה במציאתו וכדו'</w:t>
      </w:r>
      <w:r w:rsidRPr="003D7FC2">
        <w:rPr>
          <w:rStyle w:val="ac"/>
          <w:rFonts w:ascii="Narkisim" w:hAnsi="Narkisim"/>
          <w:rtl/>
        </w:rPr>
        <w:footnoteReference w:id="6448"/>
      </w:r>
      <w:r w:rsidRPr="003D7FC2">
        <w:rPr>
          <w:rFonts w:ascii="Narkisim" w:hAnsi="Narkisim"/>
          <w:rtl/>
        </w:rPr>
        <w:t>. א"כ אמאי חשיב נתינה לכהן. אך הביאו דכעי”ז משמע ב</w:t>
      </w:r>
      <w:r w:rsidRPr="003D7FC2">
        <w:rPr>
          <w:rFonts w:ascii="Narkisim" w:hAnsi="Narkisim"/>
          <w:b/>
          <w:bCs/>
          <w:rtl/>
        </w:rPr>
        <w:t>תוס'</w:t>
      </w:r>
      <w:r w:rsidRPr="003D7FC2">
        <w:rPr>
          <w:rFonts w:ascii="Narkisim" w:hAnsi="Narkisim"/>
          <w:rtl/>
        </w:rPr>
        <w:t xml:space="preserve"> (גיטין יב:) דאף עבד שברח מרבו חולקין לו תרומה על הגורן לר' יוסי.</w:t>
      </w:r>
    </w:p>
    <w:p w14:paraId="2634B9A3" w14:textId="77777777" w:rsidR="006C4368" w:rsidRPr="003D7FC2" w:rsidRDefault="006C4368" w:rsidP="006C4368">
      <w:pPr>
        <w:bidi/>
        <w:rPr>
          <w:rFonts w:ascii="Narkisim" w:hAnsi="Narkisim" w:cs="Narkisim"/>
        </w:rPr>
      </w:pPr>
      <w:r w:rsidRPr="003D7FC2">
        <w:rPr>
          <w:rFonts w:ascii="Narkisim" w:hAnsi="Narkisim" w:cs="Narkisim"/>
          <w:u w:val="single"/>
          <w:rtl/>
        </w:rPr>
        <w:t>במקומו של ר' יהודה היו מעלין מתרומה ליוחסין</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הילכך אין חולקין, דלא ליתי ליוחסין. משמע דמדינא מודה דראוי לחלק לעבד, אלא דתקנו משום מעלת יוחסין.</w:t>
      </w:r>
    </w:p>
    <w:p w14:paraId="4FC27B74" w14:textId="77777777" w:rsidR="006C4368" w:rsidRPr="003D7FC2" w:rsidRDefault="006C4368" w:rsidP="006C4368">
      <w:pPr>
        <w:pStyle w:val="a8"/>
        <w:bidi/>
        <w:rPr>
          <w:rFonts w:ascii="Narkisim" w:hAnsi="Narkisim"/>
        </w:rPr>
      </w:pPr>
      <w:r w:rsidRPr="003D7FC2">
        <w:rPr>
          <w:rFonts w:ascii="Narkisim" w:hAnsi="Narkisim"/>
          <w:rtl/>
        </w:rPr>
        <w:t>ובמקומו של ר' יוסי לא היו מעלין מתרומה ליוחסין, ומש"ה נותנים אף לעבדים תרומה. וה</w:t>
      </w:r>
      <w:r w:rsidRPr="003D7FC2">
        <w:rPr>
          <w:rFonts w:ascii="Narkisim" w:hAnsi="Narkisim"/>
          <w:b/>
          <w:bCs/>
          <w:rtl/>
        </w:rPr>
        <w:t>תו"י</w:t>
      </w:r>
      <w:r w:rsidRPr="003D7FC2">
        <w:rPr>
          <w:rFonts w:ascii="Narkisim" w:hAnsi="Narkisim"/>
          <w:rtl/>
        </w:rPr>
        <w:t xml:space="preserve"> (כתובות כה.) כת' דלר' יוסי אין מעלין מתרומה ליוחסין אף באופן דליכא חשש עבדות. דשורש הסברא דס"ל דאין מעלין [משום חששות אחרות], ומש"ה חולקין לעבד תרומה.</w:t>
      </w:r>
    </w:p>
    <w:p w14:paraId="7306F7CA" w14:textId="77777777" w:rsidR="006C4368" w:rsidRPr="003D7FC2" w:rsidRDefault="006C4368" w:rsidP="006C4368">
      <w:pPr>
        <w:pStyle w:val="a8"/>
        <w:bidi/>
        <w:rPr>
          <w:rFonts w:ascii="Narkisim" w:hAnsi="Narkisim"/>
        </w:rPr>
      </w:pPr>
      <w:r w:rsidRPr="003D7FC2">
        <w:rPr>
          <w:rFonts w:ascii="Narkisim" w:hAnsi="Narkisim"/>
          <w:rtl/>
        </w:rPr>
        <w:t>ולמ"ד מעליו מתרומה ליוחסין מבואר בסוגיות (כתובות כד:) דאין מעלין לתרומה ע"פ עד א', שמא יעלו ליוחסין</w:t>
      </w:r>
      <w:r w:rsidRPr="003D7FC2">
        <w:rPr>
          <w:rStyle w:val="ac"/>
          <w:rFonts w:ascii="Narkisim" w:hAnsi="Narkisim"/>
          <w:rtl/>
        </w:rPr>
        <w:footnoteReference w:id="6449"/>
      </w:r>
      <w:r w:rsidRPr="003D7FC2">
        <w:rPr>
          <w:rFonts w:ascii="Narkisim" w:hAnsi="Narkisim"/>
          <w:rtl/>
        </w:rPr>
        <w:t>.</w:t>
      </w:r>
    </w:p>
    <w:p w14:paraId="6D5CFABD" w14:textId="77777777" w:rsidR="006C4368" w:rsidRPr="003D7FC2" w:rsidRDefault="006C4368" w:rsidP="006C4368">
      <w:pPr>
        <w:pStyle w:val="aa"/>
        <w:bidi/>
        <w:rPr>
          <w:rFonts w:ascii="Narkisim" w:hAnsi="Narkisim"/>
        </w:rPr>
      </w:pPr>
      <w:r w:rsidRPr="003D7FC2">
        <w:rPr>
          <w:rFonts w:ascii="Narkisim" w:hAnsi="Narkisim"/>
          <w:u w:val="single"/>
          <w:rtl/>
        </w:rPr>
        <w:t>תוד"ה ואם</w:t>
      </w:r>
      <w:r w:rsidRPr="003D7FC2">
        <w:rPr>
          <w:rFonts w:ascii="Narkisim" w:hAnsi="Narkisim"/>
          <w:rtl/>
        </w:rPr>
        <w:t>. שמא ישאל לאחר שנשתחרר</w:t>
      </w:r>
      <w:r w:rsidRPr="003D7FC2">
        <w:rPr>
          <w:rStyle w:val="ac"/>
          <w:rFonts w:ascii="Narkisim" w:hAnsi="Narkisim"/>
          <w:rtl/>
        </w:rPr>
        <w:footnoteReference w:id="6450"/>
      </w:r>
      <w:r w:rsidRPr="003D7FC2">
        <w:rPr>
          <w:rFonts w:ascii="Narkisim" w:hAnsi="Narkisim"/>
          <w:rtl/>
        </w:rPr>
        <w:t xml:space="preserve"> וכו' והא נמי לא חיישי' שמא ימכרנו רבו לישראל וישאל וכו' אך קשה דמסקינן (גיטין יב.) שיכול הרב לומר לעבד וכו' ושמא הא לא שכיח. וכ”כ </w:t>
      </w:r>
      <w:r w:rsidRPr="003D7FC2">
        <w:rPr>
          <w:rFonts w:ascii="Narkisim" w:hAnsi="Narkisim"/>
          <w:b/>
          <w:bCs/>
          <w:rtl/>
        </w:rPr>
        <w:t>תוס'</w:t>
      </w:r>
      <w:r w:rsidRPr="003D7FC2">
        <w:rPr>
          <w:rFonts w:ascii="Narkisim" w:hAnsi="Narkisim"/>
          <w:rtl/>
        </w:rPr>
        <w:t xml:space="preserve"> (כתובות כח.) דכולי האי לא חיישינן שמא יאמר לו רבו ישראל צאי מעשה ידיך במזונותיך.</w:t>
      </w:r>
    </w:p>
    <w:p w14:paraId="230C1654" w14:textId="77777777" w:rsidR="006C4368" w:rsidRPr="003D7FC2" w:rsidRDefault="006C4368" w:rsidP="006C4368">
      <w:pPr>
        <w:pStyle w:val="aa"/>
        <w:bidi/>
        <w:rPr>
          <w:rFonts w:ascii="Narkisim" w:hAnsi="Narkisim"/>
        </w:rPr>
      </w:pPr>
      <w:r w:rsidRPr="003D7FC2">
        <w:rPr>
          <w:rFonts w:ascii="Narkisim" w:hAnsi="Narkisim"/>
          <w:u w:val="single"/>
          <w:rtl/>
        </w:rPr>
        <w:t>תוד"ה ס"ד השתא</w:t>
      </w:r>
      <w:r w:rsidRPr="003D7FC2">
        <w:rPr>
          <w:rFonts w:ascii="Narkisim" w:hAnsi="Narkisim"/>
          <w:rtl/>
        </w:rPr>
        <w:t>. נר' דל"ג ליה, דל”ש הך פירכא אלא במקום שהחכם עצמו נכשל באכילת איסור וכו'. כ”כ תוס' בכ"מ. ו</w:t>
      </w:r>
      <w:r w:rsidRPr="003D7FC2">
        <w:rPr>
          <w:rFonts w:ascii="Narkisim" w:hAnsi="Narkisim"/>
          <w:b/>
          <w:bCs/>
          <w:rtl/>
        </w:rPr>
        <w:t>תוס</w:t>
      </w:r>
      <w:r w:rsidRPr="003D7FC2">
        <w:rPr>
          <w:rFonts w:ascii="Narkisim" w:hAnsi="Narkisim"/>
          <w:rtl/>
        </w:rPr>
        <w:t>' (חולין ה:) תי' גירסא זו, דה"נ אתי לידי תקלה דאכילה, שמאכיל בת ישראל שנשאת לו בתרומה</w:t>
      </w:r>
      <w:r w:rsidRPr="003D7FC2">
        <w:rPr>
          <w:rStyle w:val="ac"/>
          <w:rFonts w:ascii="Narkisim" w:hAnsi="Narkisim"/>
          <w:rtl/>
        </w:rPr>
        <w:footnoteReference w:id="6451"/>
      </w:r>
      <w:r w:rsidRPr="003D7FC2">
        <w:rPr>
          <w:rFonts w:ascii="Narkisim" w:hAnsi="Narkisim"/>
          <w:rtl/>
        </w:rPr>
        <w:t>. אך הביאו דברוב ספרים (כאן) לא גרסי' לה. דדוקא היכא דהצדיק עצמו אוכל איסור.</w:t>
      </w:r>
    </w:p>
    <w:p w14:paraId="21C15D20" w14:textId="77777777" w:rsidR="006C4368" w:rsidRPr="003D7FC2" w:rsidRDefault="006C4368" w:rsidP="006C4368">
      <w:pPr>
        <w:pStyle w:val="a8"/>
        <w:bidi/>
        <w:rPr>
          <w:rFonts w:ascii="Narkisim" w:hAnsi="Narkisim"/>
        </w:rPr>
      </w:pPr>
      <w:r w:rsidRPr="003D7FC2">
        <w:rPr>
          <w:rFonts w:ascii="Narkisim" w:hAnsi="Narkisim"/>
          <w:rtl/>
        </w:rPr>
        <w:lastRenderedPageBreak/>
        <w:t>וה</w:t>
      </w:r>
      <w:r w:rsidRPr="003D7FC2">
        <w:rPr>
          <w:rFonts w:ascii="Narkisim" w:hAnsi="Narkisim"/>
          <w:b/>
          <w:bCs/>
          <w:rtl/>
        </w:rPr>
        <w:t>רמב"ן</w:t>
      </w:r>
      <w:r w:rsidRPr="003D7FC2">
        <w:rPr>
          <w:rFonts w:ascii="Narkisim" w:hAnsi="Narkisim"/>
          <w:rtl/>
        </w:rPr>
        <w:t xml:space="preserve"> (חולין ז.) חלק דאף במידי דלאו אכילה נחשב תקלה</w:t>
      </w:r>
      <w:r w:rsidRPr="003D7FC2">
        <w:rPr>
          <w:rStyle w:val="ac"/>
          <w:rFonts w:ascii="Narkisim" w:hAnsi="Narkisim"/>
          <w:rtl/>
        </w:rPr>
        <w:footnoteReference w:id="6452"/>
      </w:r>
      <w:r w:rsidRPr="003D7FC2">
        <w:rPr>
          <w:rFonts w:ascii="Narkisim" w:hAnsi="Narkisim"/>
          <w:rtl/>
        </w:rPr>
        <w:t>.</w:t>
      </w:r>
    </w:p>
    <w:p w14:paraId="121E487A" w14:textId="77777777" w:rsidR="006C4368" w:rsidRPr="003D7FC2" w:rsidRDefault="006C4368" w:rsidP="006C4368">
      <w:pPr>
        <w:bidi/>
        <w:rPr>
          <w:rFonts w:ascii="Narkisim" w:hAnsi="Narkisim" w:cs="Narkisim"/>
        </w:rPr>
      </w:pPr>
      <w:r w:rsidRPr="003D7FC2">
        <w:rPr>
          <w:rFonts w:ascii="Narkisim" w:hAnsi="Narkisim" w:cs="Narkisim"/>
          <w:u w:val="single"/>
          <w:rtl/>
        </w:rPr>
        <w:t>בשלמא חרש שוטה וקטן, לאו בני דעה נינהו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וזילותא דתרומה לחלק להן וכו'. ו</w:t>
      </w:r>
      <w:r w:rsidRPr="003D7FC2">
        <w:rPr>
          <w:rFonts w:ascii="Narkisim" w:hAnsi="Narkisim" w:cs="Narkisim"/>
          <w:b/>
          <w:bCs/>
          <w:rtl/>
        </w:rPr>
        <w:t>רש"י</w:t>
      </w:r>
      <w:r w:rsidRPr="003D7FC2">
        <w:rPr>
          <w:rFonts w:ascii="Narkisim" w:hAnsi="Narkisim" w:cs="Narkisim"/>
          <w:rtl/>
        </w:rPr>
        <w:t xml:space="preserve"> (סוכה מב.) ביאר דהוה בזיון תרומה, שאין כל רואיו יודעים בו שהוא בקי לשומרה. אבל הבקיאים ומכירין בהם משגרין לביתן.</w:t>
      </w:r>
    </w:p>
    <w:p w14:paraId="2ECF3E79" w14:textId="77777777" w:rsidR="006C4368" w:rsidRPr="003D7FC2" w:rsidRDefault="006C4368" w:rsidP="006C4368">
      <w:pPr>
        <w:pStyle w:val="a7"/>
        <w:bidi/>
        <w:rPr>
          <w:rFonts w:ascii="Narkisim" w:hAnsi="Narkisim"/>
        </w:rPr>
      </w:pPr>
      <w:r w:rsidRPr="003D7FC2">
        <w:rPr>
          <w:rFonts w:ascii="Narkisim" w:hAnsi="Narkisim"/>
          <w:rtl/>
        </w:rPr>
        <w:t>ו</w:t>
      </w:r>
      <w:r w:rsidRPr="003D7FC2">
        <w:rPr>
          <w:rFonts w:ascii="Narkisim" w:hAnsi="Narkisim"/>
          <w:b/>
          <w:bCs/>
          <w:rtl/>
        </w:rPr>
        <w:t>ר"ח</w:t>
      </w:r>
      <w:r w:rsidRPr="003D7FC2">
        <w:rPr>
          <w:rFonts w:ascii="Narkisim" w:hAnsi="Narkisim"/>
          <w:rtl/>
        </w:rPr>
        <w:t xml:space="preserve"> (הו' ברשב"א וריטב”א) כת' הטעם דילמא מטמאי לה או יתנו לזר</w:t>
      </w:r>
      <w:r w:rsidRPr="003D7FC2">
        <w:rPr>
          <w:rStyle w:val="ac"/>
          <w:rFonts w:ascii="Narkisim" w:hAnsi="Narkisim"/>
          <w:rtl/>
        </w:rPr>
        <w:footnoteReference w:id="6453"/>
      </w:r>
      <w:r w:rsidRPr="003D7FC2">
        <w:rPr>
          <w:rFonts w:ascii="Narkisim" w:hAnsi="Narkisim"/>
          <w:rtl/>
        </w:rPr>
        <w:t>. ו</w:t>
      </w:r>
      <w:r w:rsidRPr="003D7FC2">
        <w:rPr>
          <w:rFonts w:ascii="Narkisim" w:hAnsi="Narkisim"/>
          <w:b/>
          <w:bCs/>
          <w:rtl/>
        </w:rPr>
        <w:t>תוס</w:t>
      </w:r>
      <w:r w:rsidRPr="003D7FC2">
        <w:rPr>
          <w:rFonts w:ascii="Narkisim" w:hAnsi="Narkisim"/>
          <w:rtl/>
        </w:rPr>
        <w:t>' כת' דהטעם משום חשש שיחלקו להם אף כשאין להם אפוטרופוס, ולא ישמרנו בטהרה</w:t>
      </w:r>
      <w:r w:rsidRPr="003D7FC2">
        <w:rPr>
          <w:rStyle w:val="ac"/>
          <w:rFonts w:ascii="Narkisim" w:hAnsi="Narkisim"/>
          <w:rtl/>
        </w:rPr>
        <w:footnoteReference w:id="6454"/>
      </w:r>
      <w:r w:rsidRPr="003D7FC2">
        <w:rPr>
          <w:rFonts w:ascii="Narkisim" w:hAnsi="Narkisim"/>
          <w:rtl/>
        </w:rPr>
        <w:t>.</w:t>
      </w:r>
    </w:p>
    <w:p w14:paraId="5F9C6CBD" w14:textId="77777777" w:rsidR="006C4368" w:rsidRPr="003D7FC2" w:rsidRDefault="006C4368" w:rsidP="006C4368">
      <w:pPr>
        <w:bidi/>
        <w:rPr>
          <w:rFonts w:ascii="Narkisim" w:hAnsi="Narkisim" w:cs="Narkisim"/>
        </w:rPr>
      </w:pPr>
      <w:r w:rsidRPr="003D7FC2">
        <w:rPr>
          <w:rFonts w:ascii="Narkisim" w:hAnsi="Narkisim" w:cs="Narkisim"/>
          <w:u w:val="single"/>
          <w:rtl/>
        </w:rPr>
        <w:t>שם</w:t>
      </w:r>
      <w:r w:rsidRPr="003D7FC2">
        <w:rPr>
          <w:rFonts w:ascii="Narkisim" w:hAnsi="Narkisim" w:cs="Narkisim"/>
          <w:rtl/>
        </w:rPr>
        <w:t>. מבואר בברייתא דמשגרין לקטן תרומה לביתו, ומתקיים בזה מצווה נתינה. וב</w:t>
      </w:r>
      <w:r w:rsidRPr="003D7FC2">
        <w:rPr>
          <w:rFonts w:ascii="Narkisim" w:hAnsi="Narkisim" w:cs="Narkisim"/>
          <w:b/>
          <w:bCs/>
          <w:rtl/>
        </w:rPr>
        <w:t>שו"ת מים חיים</w:t>
      </w:r>
      <w:r w:rsidRPr="003D7FC2">
        <w:rPr>
          <w:rFonts w:ascii="Narkisim" w:hAnsi="Narkisim" w:cs="Narkisim"/>
          <w:rtl/>
        </w:rPr>
        <w:t xml:space="preserve"> (ד, לפר”ח) ביאר דהקטן זוכה משום דעת אחרת מקנה. וה</w:t>
      </w:r>
      <w:r w:rsidRPr="003D7FC2">
        <w:rPr>
          <w:rFonts w:ascii="Narkisim" w:hAnsi="Narkisim" w:cs="Narkisim"/>
          <w:b/>
          <w:bCs/>
          <w:rtl/>
        </w:rPr>
        <w:t>קצות</w:t>
      </w:r>
      <w:r w:rsidRPr="003D7FC2">
        <w:rPr>
          <w:rFonts w:ascii="Narkisim" w:hAnsi="Narkisim" w:cs="Narkisim"/>
          <w:rtl/>
        </w:rPr>
        <w:t xml:space="preserve"> (רמג ד) חלק דקי"ל דטובת הנאה אינו ממון, א"כ אינו בעלים להקנות לכהן, ולא נחשב דעת אחרת מקנה. והכהן צריך לזכות לעצמו, דאין כאן מקנה</w:t>
      </w:r>
      <w:r w:rsidRPr="003D7FC2">
        <w:rPr>
          <w:rStyle w:val="ac"/>
          <w:rFonts w:ascii="Narkisim" w:hAnsi="Narkisim" w:cs="Narkisim"/>
          <w:rtl/>
        </w:rPr>
        <w:footnoteReference w:id="6455"/>
      </w:r>
      <w:r w:rsidRPr="003D7FC2">
        <w:rPr>
          <w:rFonts w:ascii="Narkisim" w:hAnsi="Narkisim" w:cs="Narkisim"/>
          <w:rtl/>
        </w:rPr>
        <w:t>. והביא דכ"כ בתשו' מיימוני (נזיקין ה, והמרדכי ב”מ רמא)</w:t>
      </w:r>
      <w:r w:rsidRPr="003D7FC2">
        <w:rPr>
          <w:rStyle w:val="ac"/>
          <w:rFonts w:ascii="Narkisim" w:hAnsi="Narkisim" w:cs="Narkisim"/>
          <w:rtl/>
        </w:rPr>
        <w:footnoteReference w:id="6456"/>
      </w:r>
      <w:r w:rsidRPr="003D7FC2">
        <w:rPr>
          <w:rFonts w:ascii="Narkisim" w:hAnsi="Narkisim" w:cs="Narkisim"/>
          <w:rtl/>
        </w:rPr>
        <w:t>.</w:t>
      </w:r>
    </w:p>
    <w:p w14:paraId="0F048520" w14:textId="77777777" w:rsidR="006C4368" w:rsidRPr="003D7FC2" w:rsidRDefault="006C4368" w:rsidP="006C4368">
      <w:pPr>
        <w:pStyle w:val="a7"/>
        <w:bidi/>
        <w:rPr>
          <w:rFonts w:ascii="Narkisim" w:hAnsi="Narkisim"/>
        </w:rPr>
      </w:pPr>
      <w:r w:rsidRPr="003D7FC2">
        <w:rPr>
          <w:rFonts w:ascii="Narkisim" w:hAnsi="Narkisim"/>
          <w:rtl/>
        </w:rPr>
        <w:t>ועוד דן הקצות דבסוגיין מבואר דנותנים אף לשוטה, ואף למש"כ ה</w:t>
      </w:r>
      <w:r w:rsidRPr="003D7FC2">
        <w:rPr>
          <w:rFonts w:ascii="Narkisim" w:hAnsi="Narkisim"/>
          <w:b/>
          <w:bCs/>
          <w:rtl/>
        </w:rPr>
        <w:t>רמב"ם</w:t>
      </w:r>
      <w:r w:rsidRPr="003D7FC2">
        <w:rPr>
          <w:rFonts w:ascii="Narkisim" w:hAnsi="Narkisim"/>
          <w:rtl/>
        </w:rPr>
        <w:t xml:space="preserve"> (מכירה כט ד, ושו”ע רלה כ) דשוטה אינו קונה לעצמו, אפי' ע"י דעת אחרת מקנה.</w:t>
      </w:r>
    </w:p>
    <w:p w14:paraId="3B73D6C5" w14:textId="77777777" w:rsidR="006C4368" w:rsidRPr="003D7FC2" w:rsidRDefault="006C4368" w:rsidP="006C4368">
      <w:pPr>
        <w:pStyle w:val="a7"/>
        <w:bidi/>
        <w:rPr>
          <w:rFonts w:ascii="Narkisim" w:hAnsi="Narkisim"/>
        </w:rPr>
      </w:pPr>
      <w:r w:rsidRPr="003D7FC2">
        <w:rPr>
          <w:rFonts w:ascii="Narkisim" w:hAnsi="Narkisim"/>
          <w:rtl/>
        </w:rPr>
        <w:t>והקצות חילק דבצדקה וכדו', כל זמן שלא הפריש המעות הוה ממון דידיה ממש, ועדיין לא הוי של עניים כלל</w:t>
      </w:r>
      <w:r w:rsidRPr="003D7FC2">
        <w:rPr>
          <w:rStyle w:val="ac"/>
          <w:rFonts w:ascii="Narkisim" w:hAnsi="Narkisim"/>
          <w:rtl/>
        </w:rPr>
        <w:footnoteReference w:id="6457"/>
      </w:r>
      <w:r w:rsidRPr="003D7FC2">
        <w:rPr>
          <w:rFonts w:ascii="Narkisim" w:hAnsi="Narkisim"/>
          <w:rtl/>
        </w:rPr>
        <w:t>. אבל משעה שהפריש צדקה או מעשר עני הוה כבר ממון עניים, ואינו בעלים להקנות</w:t>
      </w:r>
      <w:r w:rsidRPr="003D7FC2">
        <w:rPr>
          <w:rStyle w:val="ac"/>
          <w:rFonts w:ascii="Narkisim" w:hAnsi="Narkisim"/>
          <w:rtl/>
        </w:rPr>
        <w:footnoteReference w:id="6458"/>
      </w:r>
      <w:r w:rsidRPr="003D7FC2">
        <w:rPr>
          <w:rFonts w:ascii="Narkisim" w:hAnsi="Narkisim"/>
          <w:rtl/>
        </w:rPr>
        <w:t>.</w:t>
      </w:r>
    </w:p>
    <w:p w14:paraId="66031B9B" w14:textId="77777777" w:rsidR="006C4368" w:rsidRPr="003D7FC2" w:rsidRDefault="006C4368" w:rsidP="006C4368">
      <w:pPr>
        <w:bidi/>
        <w:rPr>
          <w:rFonts w:ascii="Narkisim" w:hAnsi="Narkisim" w:cs="Narkisim"/>
        </w:rPr>
      </w:pPr>
      <w:r w:rsidRPr="003D7FC2">
        <w:rPr>
          <w:rFonts w:ascii="Narkisim" w:hAnsi="Narkisim" w:cs="Narkisim"/>
          <w:rtl/>
        </w:rPr>
        <w:t>והקצות כת' דהטעם דמהני נתינה לכהן קטן, כיון דכבר הוה ממון כהונה, וכבר זכתה בהם התורה לכהנים, ומש"ה מהני להקנות אפי' לכהן קטן. וכי קא זכו מדידהו קא זכו, ומהני כמו הא דאית להו ירושה.</w:t>
      </w:r>
    </w:p>
    <w:p w14:paraId="2046F38F" w14:textId="77777777" w:rsidR="006C4368" w:rsidRPr="003D7FC2" w:rsidRDefault="006C4368" w:rsidP="006C4368">
      <w:pPr>
        <w:pStyle w:val="a8"/>
        <w:bidi/>
        <w:rPr>
          <w:rFonts w:ascii="Narkisim" w:hAnsi="Narkisim"/>
        </w:rPr>
      </w:pPr>
      <w:r w:rsidRPr="003D7FC2">
        <w:rPr>
          <w:rFonts w:ascii="Narkisim" w:hAnsi="Narkisim"/>
          <w:rtl/>
        </w:rPr>
        <w:t>והקצות חילק דל"מ במתנות עניים, דכתיב לעני ולגר תעזוב אותם וא"כ אינו אלא עזיבה שיזכו בו בעצמם, ומש"ה כל שאין לו יד לזכות לא זכה. אבל במתנות כהנים הו"ל ממון כהנים ממש, ומש"ה שוטה נמי זוכה בדבר שיש לו.</w:t>
      </w:r>
    </w:p>
    <w:p w14:paraId="5CFA7E27" w14:textId="77777777" w:rsidR="006C4368" w:rsidRPr="003D7FC2" w:rsidRDefault="006C4368" w:rsidP="006C4368">
      <w:pPr>
        <w:bidi/>
        <w:rPr>
          <w:rFonts w:ascii="Narkisim" w:hAnsi="Narkisim" w:cs="Narkisim"/>
        </w:rPr>
      </w:pPr>
      <w:r w:rsidRPr="003D7FC2">
        <w:rPr>
          <w:rFonts w:ascii="Narkisim" w:hAnsi="Narkisim" w:cs="Narkisim"/>
          <w:rtl/>
        </w:rPr>
        <w:t>וה</w:t>
      </w:r>
      <w:r w:rsidRPr="003D7FC2">
        <w:rPr>
          <w:rFonts w:ascii="Narkisim" w:hAnsi="Narkisim" w:cs="Narkisim"/>
          <w:b/>
          <w:bCs/>
          <w:rtl/>
        </w:rPr>
        <w:t>קצות</w:t>
      </w:r>
      <w:r w:rsidRPr="003D7FC2">
        <w:rPr>
          <w:rFonts w:ascii="Narkisim" w:hAnsi="Narkisim" w:cs="Narkisim"/>
          <w:rtl/>
        </w:rPr>
        <w:t xml:space="preserve"> הוסיף דמתנות כהונה הוה כעין שכירות לכהנים חלף עבודה, ואף דיש זכיה גם לכהנים שפסולין לעבודה</w:t>
      </w:r>
      <w:r w:rsidRPr="003D7FC2">
        <w:rPr>
          <w:rStyle w:val="ac"/>
          <w:rFonts w:ascii="Narkisim" w:hAnsi="Narkisim" w:cs="Narkisim"/>
          <w:rtl/>
        </w:rPr>
        <w:footnoteReference w:id="6459"/>
      </w:r>
      <w:r w:rsidRPr="003D7FC2">
        <w:rPr>
          <w:rFonts w:ascii="Narkisim" w:hAnsi="Narkisim" w:cs="Narkisim"/>
          <w:rtl/>
        </w:rPr>
        <w:t>, והביא ד</w:t>
      </w:r>
      <w:r w:rsidRPr="003D7FC2">
        <w:rPr>
          <w:rFonts w:ascii="Narkisim" w:hAnsi="Narkisim" w:cs="Narkisim"/>
          <w:b/>
          <w:bCs/>
          <w:rtl/>
        </w:rPr>
        <w:t>תוס'</w:t>
      </w:r>
      <w:r w:rsidRPr="003D7FC2">
        <w:rPr>
          <w:rFonts w:ascii="Narkisim" w:hAnsi="Narkisim" w:cs="Narkisim"/>
          <w:rtl/>
        </w:rPr>
        <w:t xml:space="preserve"> (סנהדרין סח:) כת' דיש לקטן זכיה בתשלום שכירות, וכיון דמגיע לו עבור החוב זוכה במה שנותן לו בעה"ב. וה"נ זוכה חש"ו במתנות כהנים שלהם</w:t>
      </w:r>
      <w:r w:rsidRPr="003D7FC2">
        <w:rPr>
          <w:rStyle w:val="ac"/>
          <w:rFonts w:ascii="Narkisim" w:hAnsi="Narkisim" w:cs="Narkisim"/>
          <w:rtl/>
        </w:rPr>
        <w:footnoteReference w:id="6460"/>
      </w:r>
      <w:r w:rsidRPr="003D7FC2">
        <w:rPr>
          <w:rFonts w:ascii="Narkisim" w:hAnsi="Narkisim" w:cs="Narkisim"/>
          <w:rtl/>
        </w:rPr>
        <w:t>. ועוד כת' הקצות דמהני בפדיון הבן משום דקי"ל פרעון בע"כ שמיה פרעון</w:t>
      </w:r>
      <w:r w:rsidRPr="003D7FC2">
        <w:rPr>
          <w:rStyle w:val="ac"/>
          <w:rFonts w:ascii="Narkisim" w:hAnsi="Narkisim" w:cs="Narkisim"/>
          <w:rtl/>
        </w:rPr>
        <w:footnoteReference w:id="6461"/>
      </w:r>
      <w:r w:rsidRPr="003D7FC2">
        <w:rPr>
          <w:rFonts w:ascii="Narkisim" w:hAnsi="Narkisim" w:cs="Narkisim"/>
          <w:rtl/>
        </w:rPr>
        <w:t>, מש"ה מהני נתינה לקטן בע"כ</w:t>
      </w:r>
      <w:r w:rsidRPr="003D7FC2">
        <w:rPr>
          <w:rStyle w:val="ac"/>
          <w:rFonts w:ascii="Narkisim" w:hAnsi="Narkisim" w:cs="Narkisim"/>
          <w:rtl/>
        </w:rPr>
        <w:footnoteReference w:id="6462"/>
      </w:r>
      <w:r w:rsidRPr="003D7FC2">
        <w:rPr>
          <w:rFonts w:ascii="Narkisim" w:hAnsi="Narkisim" w:cs="Narkisim"/>
          <w:rtl/>
        </w:rPr>
        <w:t>.</w:t>
      </w:r>
    </w:p>
    <w:p w14:paraId="10C689C5" w14:textId="77777777" w:rsidR="006C4368" w:rsidRPr="003D7FC2" w:rsidRDefault="006C4368" w:rsidP="006C4368">
      <w:pPr>
        <w:pStyle w:val="a7"/>
        <w:bidi/>
        <w:rPr>
          <w:rFonts w:ascii="Narkisim" w:hAnsi="Narkisim"/>
        </w:rPr>
      </w:pPr>
      <w:r w:rsidRPr="003D7FC2">
        <w:rPr>
          <w:rFonts w:ascii="Narkisim" w:hAnsi="Narkisim"/>
          <w:rtl/>
        </w:rPr>
        <w:lastRenderedPageBreak/>
        <w:t>וה</w:t>
      </w:r>
      <w:r w:rsidRPr="003D7FC2">
        <w:rPr>
          <w:rFonts w:ascii="Narkisim" w:hAnsi="Narkisim"/>
          <w:b/>
          <w:bCs/>
          <w:rtl/>
        </w:rPr>
        <w:t>נתיבות</w:t>
      </w:r>
      <w:r w:rsidRPr="003D7FC2">
        <w:rPr>
          <w:rFonts w:ascii="Narkisim" w:hAnsi="Narkisim"/>
          <w:rtl/>
        </w:rPr>
        <w:t xml:space="preserve"> (שם ח) תי' דכיון דכתיב 'ונתן' במתנות כהונה, התורה זיכתה לישראל שיתן לאיזה כהן שירצה, אך יכול להפקיר דין נתינה [את הטובת הנאה]. ועי"ז רשאי</w:t>
      </w:r>
      <w:r w:rsidRPr="003D7FC2">
        <w:rPr>
          <w:rStyle w:val="ac"/>
          <w:rFonts w:ascii="Narkisim" w:hAnsi="Narkisim"/>
          <w:rtl/>
        </w:rPr>
        <w:footnoteReference w:id="6463"/>
      </w:r>
      <w:r w:rsidRPr="003D7FC2">
        <w:rPr>
          <w:rFonts w:ascii="Narkisim" w:hAnsi="Narkisim"/>
          <w:rtl/>
        </w:rPr>
        <w:t xml:space="preserve"> ליתן אף לחרש שוטה וקטן, ואף שאינם זוכים במתנות</w:t>
      </w:r>
      <w:r w:rsidRPr="003D7FC2">
        <w:rPr>
          <w:rStyle w:val="ac"/>
          <w:rFonts w:ascii="Narkisim" w:hAnsi="Narkisim"/>
          <w:rtl/>
        </w:rPr>
        <w:footnoteReference w:id="6464"/>
      </w:r>
      <w:r w:rsidRPr="003D7FC2">
        <w:rPr>
          <w:rFonts w:ascii="Narkisim" w:hAnsi="Narkisim"/>
          <w:rtl/>
        </w:rPr>
        <w:t>.</w:t>
      </w:r>
    </w:p>
    <w:p w14:paraId="2B9FF7C0" w14:textId="77777777" w:rsidR="006C4368" w:rsidRPr="003D7FC2" w:rsidRDefault="006C4368" w:rsidP="006C4368">
      <w:pPr>
        <w:bidi/>
        <w:rPr>
          <w:rFonts w:ascii="Narkisim" w:hAnsi="Narkisim" w:cs="Narkisim"/>
        </w:rPr>
      </w:pPr>
      <w:r w:rsidRPr="003D7FC2">
        <w:rPr>
          <w:rFonts w:ascii="Narkisim" w:hAnsi="Narkisim" w:cs="Narkisim"/>
          <w:u w:val="single"/>
          <w:rtl/>
        </w:rPr>
        <w:t>תוד"ה ואלו</w:t>
      </w:r>
      <w:r w:rsidRPr="003D7FC2">
        <w:rPr>
          <w:rFonts w:ascii="Narkisim" w:hAnsi="Narkisim" w:cs="Narkisim"/>
          <w:rtl/>
        </w:rPr>
        <w:t>. היינו דוקא קטן שאינו יודע לישא כפיו. וה</w:t>
      </w:r>
      <w:r w:rsidRPr="003D7FC2">
        <w:rPr>
          <w:rFonts w:ascii="Narkisim" w:hAnsi="Narkisim" w:cs="Narkisim"/>
          <w:b/>
          <w:bCs/>
          <w:rtl/>
        </w:rPr>
        <w:t>רמב"ם</w:t>
      </w:r>
      <w:r w:rsidRPr="003D7FC2">
        <w:rPr>
          <w:rFonts w:ascii="Narkisim" w:hAnsi="Narkisim" w:cs="Narkisim"/>
          <w:rtl/>
        </w:rPr>
        <w:t xml:space="preserve"> (תרומות יב כב) קטן שאין בו דעת</w:t>
      </w:r>
      <w:r w:rsidRPr="003D7FC2">
        <w:rPr>
          <w:rStyle w:val="ac"/>
          <w:rFonts w:ascii="Narkisim" w:hAnsi="Narkisim" w:cs="Narkisim"/>
          <w:rtl/>
        </w:rPr>
        <w:footnoteReference w:id="6465"/>
      </w:r>
      <w:r w:rsidRPr="003D7FC2">
        <w:rPr>
          <w:rFonts w:ascii="Narkisim" w:hAnsi="Narkisim" w:cs="Narkisim"/>
          <w:rtl/>
        </w:rPr>
        <w:t xml:space="preserve"> לפרוש חוקו</w:t>
      </w:r>
      <w:r w:rsidRPr="003D7FC2">
        <w:rPr>
          <w:rStyle w:val="ac"/>
          <w:rFonts w:ascii="Narkisim" w:hAnsi="Narkisim" w:cs="Narkisim"/>
          <w:rtl/>
        </w:rPr>
        <w:footnoteReference w:id="6466"/>
      </w:r>
      <w:r w:rsidRPr="003D7FC2">
        <w:rPr>
          <w:rFonts w:ascii="Narkisim" w:hAnsi="Narkisim" w:cs="Narkisim"/>
          <w:rtl/>
        </w:rPr>
        <w:t>. וה</w:t>
      </w:r>
      <w:r w:rsidRPr="003D7FC2">
        <w:rPr>
          <w:rFonts w:ascii="Narkisim" w:hAnsi="Narkisim" w:cs="Narkisim"/>
          <w:b/>
          <w:bCs/>
          <w:rtl/>
        </w:rPr>
        <w:t>כס”מ</w:t>
      </w:r>
      <w:r w:rsidRPr="003D7FC2">
        <w:rPr>
          <w:rFonts w:ascii="Narkisim" w:hAnsi="Narkisim" w:cs="Narkisim"/>
          <w:rtl/>
        </w:rPr>
        <w:t xml:space="preserve"> הביא דכ”ה ב</w:t>
      </w:r>
      <w:r w:rsidRPr="003D7FC2">
        <w:rPr>
          <w:rFonts w:ascii="Narkisim" w:hAnsi="Narkisim" w:cs="Narkisim"/>
          <w:b/>
          <w:bCs/>
          <w:rtl/>
        </w:rPr>
        <w:t xml:space="preserve">תוספתא </w:t>
      </w:r>
      <w:r w:rsidRPr="003D7FC2">
        <w:rPr>
          <w:rFonts w:ascii="Narkisim" w:hAnsi="Narkisim" w:cs="Narkisim"/>
          <w:rtl/>
        </w:rPr>
        <w:t>(חגיגה א). וה</w:t>
      </w:r>
      <w:r w:rsidRPr="003D7FC2">
        <w:rPr>
          <w:rFonts w:ascii="Narkisim" w:hAnsi="Narkisim" w:cs="Narkisim"/>
          <w:b/>
          <w:bCs/>
          <w:rtl/>
        </w:rPr>
        <w:t>מהר"י קורקוס</w:t>
      </w:r>
      <w:r w:rsidRPr="003D7FC2">
        <w:rPr>
          <w:rFonts w:ascii="Narkisim" w:hAnsi="Narkisim" w:cs="Narkisim"/>
          <w:rtl/>
        </w:rPr>
        <w:t xml:space="preserve"> ו</w:t>
      </w:r>
      <w:r w:rsidRPr="003D7FC2">
        <w:rPr>
          <w:rFonts w:ascii="Narkisim" w:hAnsi="Narkisim" w:cs="Narkisim"/>
          <w:b/>
          <w:bCs/>
          <w:rtl/>
        </w:rPr>
        <w:t>כס"מ</w:t>
      </w:r>
      <w:r w:rsidRPr="003D7FC2">
        <w:rPr>
          <w:rFonts w:ascii="Narkisim" w:hAnsi="Narkisim" w:cs="Narkisim"/>
          <w:rtl/>
        </w:rPr>
        <w:t xml:space="preserve"> דנו אי קאי אברכת כהנים.</w:t>
      </w:r>
    </w:p>
    <w:p w14:paraId="32F04888" w14:textId="77777777" w:rsidR="006C4368" w:rsidRPr="003D7FC2" w:rsidRDefault="006C4368" w:rsidP="006C4368">
      <w:pPr>
        <w:bidi/>
        <w:rPr>
          <w:rFonts w:ascii="Narkisim" w:hAnsi="Narkisim" w:cs="Narkisim"/>
        </w:rPr>
      </w:pPr>
      <w:r w:rsidRPr="003D7FC2">
        <w:rPr>
          <w:rFonts w:ascii="Narkisim" w:hAnsi="Narkisim" w:cs="Narkisim"/>
          <w:u w:val="single"/>
          <w:rtl/>
        </w:rPr>
        <w:t>בא"ד ואקטן קאי התם וכו'</w:t>
      </w:r>
      <w:r w:rsidRPr="003D7FC2">
        <w:rPr>
          <w:rFonts w:ascii="Narkisim" w:hAnsi="Narkisim" w:cs="Narkisim"/>
          <w:rtl/>
        </w:rPr>
        <w:t>. ודלא כ</w:t>
      </w:r>
      <w:r w:rsidRPr="003D7FC2">
        <w:rPr>
          <w:rFonts w:ascii="Narkisim" w:hAnsi="Narkisim" w:cs="Narkisim"/>
          <w:b/>
          <w:bCs/>
          <w:rtl/>
        </w:rPr>
        <w:t>רש"י</w:t>
      </w:r>
      <w:r w:rsidRPr="003D7FC2">
        <w:rPr>
          <w:rFonts w:ascii="Narkisim" w:hAnsi="Narkisim" w:cs="Narkisim"/>
          <w:rtl/>
        </w:rPr>
        <w:t xml:space="preserve"> (סוכה מב.) שפי' דקאי שהביא ב' שערות. דמשעה שפורס בציבור הכל יודעים שהביא ב' שערות</w:t>
      </w:r>
      <w:r w:rsidRPr="003D7FC2">
        <w:rPr>
          <w:rStyle w:val="ac"/>
          <w:rFonts w:ascii="Narkisim" w:hAnsi="Narkisim" w:cs="Narkisim"/>
          <w:rtl/>
        </w:rPr>
        <w:footnoteReference w:id="6467"/>
      </w:r>
      <w:r w:rsidRPr="003D7FC2">
        <w:rPr>
          <w:rFonts w:ascii="Narkisim" w:hAnsi="Narkisim" w:cs="Narkisim"/>
          <w:rtl/>
        </w:rPr>
        <w:t>, שאין קטן פורס כפיו (כדאמרי' מגילה כד.). ו</w:t>
      </w:r>
      <w:r w:rsidRPr="003D7FC2">
        <w:rPr>
          <w:rFonts w:ascii="Narkisim" w:hAnsi="Narkisim" w:cs="Narkisim"/>
          <w:b/>
          <w:bCs/>
          <w:rtl/>
        </w:rPr>
        <w:t>תוס</w:t>
      </w:r>
      <w:r w:rsidRPr="003D7FC2">
        <w:rPr>
          <w:rFonts w:ascii="Narkisim" w:hAnsi="Narkisim" w:cs="Narkisim"/>
          <w:rtl/>
        </w:rPr>
        <w:t>' (סוכה) חלקו דמשמע דקאי בקטן ממש, דומיא דהיודע לדבר אביו מלמדו תורה והיודע לשחוט וכן כולהו אחריני שם.</w:t>
      </w:r>
    </w:p>
    <w:p w14:paraId="471B63B2" w14:textId="77777777" w:rsidR="006C4368" w:rsidRPr="003D7FC2" w:rsidRDefault="006C4368" w:rsidP="006C4368">
      <w:pPr>
        <w:bidi/>
        <w:rPr>
          <w:rFonts w:ascii="Narkisim" w:hAnsi="Narkisim" w:cs="Narkisim"/>
        </w:rPr>
      </w:pPr>
      <w:r w:rsidRPr="003D7FC2">
        <w:rPr>
          <w:rFonts w:ascii="Narkisim" w:hAnsi="Narkisim" w:cs="Narkisim"/>
          <w:u w:val="single"/>
          <w:rtl/>
        </w:rPr>
        <w:t>בא"ד לישא את כפיו עם הגדולים</w:t>
      </w:r>
      <w:r w:rsidRPr="003D7FC2">
        <w:rPr>
          <w:rStyle w:val="ac"/>
          <w:rFonts w:ascii="Narkisim" w:hAnsi="Narkisim" w:cs="Narkisim"/>
          <w:u w:val="single"/>
          <w:rtl/>
        </w:rPr>
        <w:footnoteReference w:id="6468"/>
      </w:r>
      <w:r w:rsidRPr="003D7FC2">
        <w:rPr>
          <w:rFonts w:ascii="Narkisim" w:hAnsi="Narkisim" w:cs="Narkisim"/>
          <w:u w:val="single"/>
          <w:rtl/>
        </w:rPr>
        <w:t>, אבל בפנ"ע לא</w:t>
      </w:r>
      <w:r w:rsidRPr="003D7FC2">
        <w:rPr>
          <w:rFonts w:ascii="Narkisim" w:hAnsi="Narkisim" w:cs="Narkisim"/>
          <w:rtl/>
        </w:rPr>
        <w:t>. וכ"כ תוס' בכ"מ. וה</w:t>
      </w:r>
      <w:r w:rsidRPr="003D7FC2">
        <w:rPr>
          <w:rFonts w:ascii="Narkisim" w:hAnsi="Narkisim" w:cs="Narkisim"/>
          <w:b/>
          <w:bCs/>
          <w:rtl/>
        </w:rPr>
        <w:t>ריטב"א</w:t>
      </w:r>
      <w:r w:rsidRPr="003D7FC2">
        <w:rPr>
          <w:rFonts w:ascii="Narkisim" w:hAnsi="Narkisim" w:cs="Narkisim"/>
          <w:rtl/>
        </w:rPr>
        <w:t xml:space="preserve"> (סוכה שם, והרמב"ן ורשב"א חולין כד:) פי' דהיינו לבסם את הקול, וכמו שעולין לשיר עם הלויים</w:t>
      </w:r>
      <w:r w:rsidRPr="003D7FC2">
        <w:rPr>
          <w:rStyle w:val="ac"/>
          <w:rFonts w:ascii="Narkisim" w:hAnsi="Narkisim" w:cs="Narkisim"/>
          <w:rtl/>
        </w:rPr>
        <w:footnoteReference w:id="6469"/>
      </w:r>
      <w:r w:rsidRPr="003D7FC2">
        <w:rPr>
          <w:rFonts w:ascii="Narkisim" w:hAnsi="Narkisim" w:cs="Narkisim"/>
          <w:rtl/>
        </w:rPr>
        <w:t>. אך ה</w:t>
      </w:r>
      <w:r w:rsidRPr="003D7FC2">
        <w:rPr>
          <w:rFonts w:ascii="Narkisim" w:hAnsi="Narkisim" w:cs="Narkisim"/>
          <w:b/>
          <w:bCs/>
          <w:rtl/>
        </w:rPr>
        <w:t>לח"מ</w:t>
      </w:r>
      <w:r w:rsidRPr="003D7FC2">
        <w:rPr>
          <w:rFonts w:ascii="Narkisim" w:hAnsi="Narkisim" w:cs="Narkisim"/>
          <w:rtl/>
        </w:rPr>
        <w:t xml:space="preserve"> (תפילה טו ד) הביא דהרמב"ם לא הזכיר חילוק זה, ונקט דדעת הרמב"ם דקטן אינו נושא את כפיו כלל</w:t>
      </w:r>
      <w:r w:rsidRPr="003D7FC2">
        <w:rPr>
          <w:rStyle w:val="ac"/>
          <w:rFonts w:ascii="Narkisim" w:hAnsi="Narkisim" w:cs="Narkisim"/>
          <w:rtl/>
        </w:rPr>
        <w:footnoteReference w:id="6470"/>
      </w:r>
      <w:r w:rsidRPr="003D7FC2">
        <w:rPr>
          <w:rFonts w:ascii="Narkisim" w:hAnsi="Narkisim" w:cs="Narkisim"/>
          <w:rtl/>
        </w:rPr>
        <w:t>. ונדחק דבסוגיין היינו שיודע לישא כפיו, אף דאינו נושא בפועל.</w:t>
      </w:r>
    </w:p>
    <w:p w14:paraId="00CC78C9" w14:textId="77777777" w:rsidR="006C4368" w:rsidRPr="003D7FC2" w:rsidRDefault="006C4368" w:rsidP="006C4368">
      <w:pPr>
        <w:pStyle w:val="aa"/>
        <w:bidi/>
        <w:rPr>
          <w:rFonts w:ascii="Narkisim" w:hAnsi="Narkisim"/>
        </w:rPr>
      </w:pPr>
      <w:r w:rsidRPr="003D7FC2">
        <w:rPr>
          <w:rFonts w:ascii="Narkisim" w:hAnsi="Narkisim"/>
          <w:u w:val="single"/>
          <w:rtl/>
        </w:rPr>
        <w:t>חש”ו דלאו בני דעה נינהו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דהוה זילותא דתרומה לחלק בגורן</w:t>
      </w:r>
      <w:r w:rsidRPr="003D7FC2">
        <w:rPr>
          <w:rStyle w:val="ac"/>
          <w:rFonts w:ascii="Narkisim" w:hAnsi="Narkisim"/>
          <w:rtl/>
        </w:rPr>
        <w:footnoteReference w:id="6471"/>
      </w:r>
      <w:r w:rsidRPr="003D7FC2">
        <w:rPr>
          <w:rFonts w:ascii="Narkisim" w:hAnsi="Narkisim"/>
          <w:rtl/>
        </w:rPr>
        <w:t xml:space="preserve">. אבל </w:t>
      </w:r>
      <w:r w:rsidRPr="003D7FC2">
        <w:rPr>
          <w:rFonts w:ascii="Narkisim" w:hAnsi="Narkisim"/>
          <w:b/>
          <w:bCs/>
          <w:rtl/>
        </w:rPr>
        <w:t>תוס</w:t>
      </w:r>
      <w:r w:rsidRPr="003D7FC2">
        <w:rPr>
          <w:rFonts w:ascii="Narkisim" w:hAnsi="Narkisim"/>
          <w:rtl/>
        </w:rPr>
        <w:t xml:space="preserve">' כת' הטעם פן יבאו לחלק להם בלא אפוטרופוס. וכן </w:t>
      </w:r>
      <w:r w:rsidRPr="003D7FC2">
        <w:rPr>
          <w:rFonts w:ascii="Narkisim" w:hAnsi="Narkisim"/>
          <w:b/>
          <w:bCs/>
          <w:rtl/>
        </w:rPr>
        <w:t>ר"ח</w:t>
      </w:r>
      <w:r w:rsidRPr="003D7FC2">
        <w:rPr>
          <w:rFonts w:ascii="Narkisim" w:hAnsi="Narkisim"/>
          <w:rtl/>
        </w:rPr>
        <w:t xml:space="preserve"> (ברשב"א וריטב"א) כת' דהטעם דאין חולקין לקטן, דלמא יטמאנו או יתן לזר</w:t>
      </w:r>
      <w:r w:rsidRPr="003D7FC2">
        <w:rPr>
          <w:rStyle w:val="ac"/>
          <w:rFonts w:ascii="Narkisim" w:hAnsi="Narkisim"/>
          <w:rtl/>
        </w:rPr>
        <w:footnoteReference w:id="6472"/>
      </w:r>
      <w:r w:rsidRPr="003D7FC2">
        <w:rPr>
          <w:rFonts w:ascii="Narkisim" w:hAnsi="Narkisim"/>
          <w:rtl/>
        </w:rPr>
        <w:t>.</w:t>
      </w:r>
    </w:p>
    <w:p w14:paraId="3F4277AF" w14:textId="77777777" w:rsidR="006C4368" w:rsidRPr="003D7FC2" w:rsidRDefault="006C4368" w:rsidP="006C4368">
      <w:pPr>
        <w:pStyle w:val="3"/>
        <w:bidi/>
        <w:rPr>
          <w:rFonts w:ascii="Narkisim" w:hAnsi="Narkisim"/>
        </w:rPr>
      </w:pPr>
      <w:r w:rsidRPr="003D7FC2">
        <w:rPr>
          <w:rFonts w:ascii="Narkisim" w:hAnsi="Narkisim"/>
          <w:rtl/>
        </w:rPr>
        <w:t>דף ק.</w:t>
      </w:r>
    </w:p>
    <w:p w14:paraId="73F6450C" w14:textId="77777777" w:rsidR="006C4368" w:rsidRPr="003D7FC2" w:rsidRDefault="006C4368" w:rsidP="006C4368">
      <w:pPr>
        <w:bidi/>
        <w:rPr>
          <w:rFonts w:ascii="Narkisim" w:hAnsi="Narkisim" w:cs="Narkisim"/>
        </w:rPr>
      </w:pPr>
      <w:r w:rsidRPr="003D7FC2">
        <w:rPr>
          <w:rFonts w:ascii="Narkisim" w:hAnsi="Narkisim" w:cs="Narkisim"/>
          <w:u w:val="single"/>
          <w:rtl/>
        </w:rPr>
        <w:t>בריה בפני עצמו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דהויא זילותא דקדשים. ובפשוטו קאי אף אטומטום, וה</w:t>
      </w:r>
      <w:r w:rsidRPr="003D7FC2">
        <w:rPr>
          <w:rFonts w:ascii="Narkisim" w:hAnsi="Narkisim" w:cs="Narkisim"/>
          <w:b/>
          <w:bCs/>
          <w:rtl/>
        </w:rPr>
        <w:t>אחרונים</w:t>
      </w:r>
      <w:r w:rsidRPr="003D7FC2">
        <w:rPr>
          <w:rFonts w:ascii="Narkisim" w:hAnsi="Narkisim" w:cs="Narkisim"/>
          <w:rtl/>
        </w:rPr>
        <w:t xml:space="preserve"> הק' דטומטום הוה ספק זכר, ול”מ מ"ד דהוה בריה בפנ”ע. ויש שתי' (בנין ציון חדשות צד) דאף דהוה ספק או זכר או נקיבה, מ”מ המצד הזה הוא בריה משונה</w:t>
      </w:r>
      <w:r w:rsidRPr="003D7FC2">
        <w:rPr>
          <w:rStyle w:val="ac"/>
          <w:rFonts w:ascii="Narkisim" w:hAnsi="Narkisim" w:cs="Narkisim"/>
          <w:rtl/>
        </w:rPr>
        <w:footnoteReference w:id="6473"/>
      </w:r>
      <w:r w:rsidRPr="003D7FC2">
        <w:rPr>
          <w:rFonts w:ascii="Narkisim" w:hAnsi="Narkisim" w:cs="Narkisim"/>
          <w:rtl/>
        </w:rPr>
        <w:t>. ואף ספק הוה משונה וזילותא.</w:t>
      </w:r>
    </w:p>
    <w:p w14:paraId="49C3C5CF" w14:textId="77777777" w:rsidR="006C4368" w:rsidRPr="003D7FC2" w:rsidRDefault="006C4368" w:rsidP="006C4368">
      <w:pPr>
        <w:pStyle w:val="aa"/>
        <w:bidi/>
        <w:rPr>
          <w:rFonts w:ascii="Narkisim" w:hAnsi="Narkisim"/>
        </w:rPr>
      </w:pPr>
      <w:r w:rsidRPr="003D7FC2">
        <w:rPr>
          <w:rFonts w:ascii="Narkisim" w:hAnsi="Narkisim"/>
          <w:rtl/>
        </w:rPr>
        <w:t>וה</w:t>
      </w:r>
      <w:r w:rsidRPr="003D7FC2">
        <w:rPr>
          <w:rFonts w:ascii="Narkisim" w:hAnsi="Narkisim"/>
          <w:b/>
          <w:bCs/>
          <w:rtl/>
        </w:rPr>
        <w:t>אחרונים</w:t>
      </w:r>
      <w:r w:rsidRPr="003D7FC2">
        <w:rPr>
          <w:rFonts w:ascii="Narkisim" w:hAnsi="Narkisim"/>
          <w:rtl/>
        </w:rPr>
        <w:t xml:space="preserve"> דנו תיפו"ל דטומטום הוה ספק אשה, ואין חולקין לאשה [כדאי' בסמוך]</w:t>
      </w:r>
      <w:r w:rsidRPr="003D7FC2">
        <w:rPr>
          <w:rStyle w:val="ac"/>
          <w:rFonts w:ascii="Narkisim" w:hAnsi="Narkisim"/>
          <w:rtl/>
        </w:rPr>
        <w:footnoteReference w:id="6474"/>
      </w:r>
      <w:r w:rsidRPr="003D7FC2">
        <w:rPr>
          <w:rFonts w:ascii="Narkisim" w:hAnsi="Narkisim"/>
          <w:rtl/>
        </w:rPr>
        <w:t xml:space="preserve">. ותי' דלמ"ד שאין מאכילים לאשה שמא תתגרש ותתקדש, טומטום אינו עומד לקידושין. וכן למ"ד משום יחוד, הרמב"ם (איסו"ב </w:t>
      </w:r>
      <w:r w:rsidRPr="003D7FC2">
        <w:rPr>
          <w:rFonts w:ascii="Narkisim" w:hAnsi="Narkisim"/>
          <w:rtl/>
        </w:rPr>
        <w:lastRenderedPageBreak/>
        <w:t>כב יא) פסק דמותר להתייחד עם טומטום ואנדרוגינוס</w:t>
      </w:r>
      <w:r w:rsidRPr="003D7FC2">
        <w:rPr>
          <w:rStyle w:val="ac"/>
          <w:rFonts w:ascii="Narkisim" w:hAnsi="Narkisim"/>
          <w:rtl/>
        </w:rPr>
        <w:footnoteReference w:id="6475"/>
      </w:r>
      <w:r w:rsidRPr="003D7FC2">
        <w:rPr>
          <w:rFonts w:ascii="Narkisim" w:hAnsi="Narkisim"/>
          <w:rtl/>
        </w:rPr>
        <w:t>.</w:t>
      </w:r>
    </w:p>
    <w:p w14:paraId="76887821" w14:textId="77777777" w:rsidR="006C4368" w:rsidRPr="003D7FC2" w:rsidRDefault="006C4368" w:rsidP="006C4368">
      <w:pPr>
        <w:bidi/>
        <w:rPr>
          <w:rFonts w:ascii="Narkisim" w:hAnsi="Narkisim" w:cs="Narkisim"/>
        </w:rPr>
      </w:pPr>
      <w:r w:rsidRPr="003D7FC2">
        <w:rPr>
          <w:rFonts w:ascii="Narkisim" w:hAnsi="Narkisim" w:cs="Narkisim"/>
          <w:u w:val="single"/>
          <w:rtl/>
        </w:rPr>
        <w:t>ערל וטמא משום דמאיסי</w:t>
      </w:r>
      <w:r w:rsidRPr="003D7FC2">
        <w:rPr>
          <w:rFonts w:ascii="Narkisim" w:hAnsi="Narkisim" w:cs="Narkisim"/>
          <w:rtl/>
        </w:rPr>
        <w:t>. ה</w:t>
      </w:r>
      <w:r w:rsidRPr="003D7FC2">
        <w:rPr>
          <w:rFonts w:ascii="Narkisim" w:hAnsi="Narkisim" w:cs="Narkisim"/>
          <w:b/>
          <w:bCs/>
          <w:rtl/>
        </w:rPr>
        <w:t>אחרונים</w:t>
      </w:r>
      <w:r w:rsidRPr="003D7FC2">
        <w:rPr>
          <w:rFonts w:ascii="Narkisim" w:hAnsi="Narkisim" w:cs="Narkisim"/>
          <w:rtl/>
        </w:rPr>
        <w:t xml:space="preserve"> (מל"ה) הק' תיפו"ל משום חשש תקלה, כיון דאינו רשאי לאוכלו אין חולקין לו בגורן. ומדברי המאירי מבואר דהנידון משום שלוקח להאכיל לבני ביתו [אשתו ובניו ועבדיו], והם רשאין לאכול.</w:t>
      </w:r>
    </w:p>
    <w:p w14:paraId="6C757356" w14:textId="77777777" w:rsidR="006C4368" w:rsidRPr="003D7FC2" w:rsidRDefault="006C4368" w:rsidP="006C4368">
      <w:pPr>
        <w:bidi/>
        <w:rPr>
          <w:rFonts w:ascii="Narkisim" w:hAnsi="Narkisim" w:cs="Narkisim"/>
        </w:rPr>
      </w:pPr>
      <w:r w:rsidRPr="003D7FC2">
        <w:rPr>
          <w:rFonts w:ascii="Narkisim" w:hAnsi="Narkisim" w:cs="Narkisim"/>
          <w:u w:val="single"/>
          <w:rtl/>
        </w:rPr>
        <w:t>חד אמר משום גרושה</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שמא פלגי לה לאחר שתתגרש, והיא זרה</w:t>
      </w:r>
      <w:r w:rsidRPr="003D7FC2">
        <w:rPr>
          <w:rStyle w:val="ac"/>
          <w:rFonts w:ascii="Narkisim" w:hAnsi="Narkisim" w:cs="Narkisim"/>
          <w:rtl/>
        </w:rPr>
        <w:footnoteReference w:id="6476"/>
      </w:r>
      <w:r w:rsidRPr="003D7FC2">
        <w:rPr>
          <w:rFonts w:ascii="Narkisim" w:hAnsi="Narkisim" w:cs="Narkisim"/>
          <w:rtl/>
        </w:rPr>
        <w:t>. וב</w:t>
      </w:r>
      <w:r w:rsidRPr="003D7FC2">
        <w:rPr>
          <w:rFonts w:ascii="Narkisim" w:hAnsi="Narkisim" w:cs="Narkisim"/>
          <w:b/>
          <w:bCs/>
          <w:rtl/>
        </w:rPr>
        <w:t>חי' ר"א מן ההר</w:t>
      </w:r>
      <w:r w:rsidRPr="003D7FC2">
        <w:rPr>
          <w:rFonts w:ascii="Narkisim" w:hAnsi="Narkisim" w:cs="Narkisim"/>
          <w:rtl/>
        </w:rPr>
        <w:t xml:space="preserve"> כת' דגזרו בכל אשה ואפי' בת כהן. ובבת כהן יש לחוש שמא תנשא לישראל</w:t>
      </w:r>
      <w:r w:rsidRPr="003D7FC2">
        <w:rPr>
          <w:rStyle w:val="ac"/>
          <w:rFonts w:ascii="Narkisim" w:hAnsi="Narkisim" w:cs="Narkisim"/>
          <w:rtl/>
        </w:rPr>
        <w:footnoteReference w:id="6477"/>
      </w:r>
      <w:r w:rsidRPr="003D7FC2">
        <w:rPr>
          <w:rFonts w:ascii="Narkisim" w:hAnsi="Narkisim" w:cs="Narkisim"/>
          <w:rtl/>
        </w:rPr>
        <w:t>.</w:t>
      </w:r>
    </w:p>
    <w:p w14:paraId="70D69310" w14:textId="77777777" w:rsidR="006C4368" w:rsidRPr="003D7FC2" w:rsidRDefault="006C4368" w:rsidP="006C4368">
      <w:pPr>
        <w:bidi/>
        <w:rPr>
          <w:rFonts w:ascii="Narkisim" w:hAnsi="Narkisim" w:cs="Narkisim"/>
        </w:rPr>
      </w:pPr>
      <w:r w:rsidRPr="003D7FC2">
        <w:rPr>
          <w:rFonts w:ascii="Narkisim" w:hAnsi="Narkisim" w:cs="Narkisim"/>
          <w:u w:val="single"/>
          <w:rtl/>
        </w:rPr>
        <w:t>וחד אמר משום יחוד, מאי בינייהו וכו'</w:t>
      </w:r>
      <w:r w:rsidRPr="003D7FC2">
        <w:rPr>
          <w:rFonts w:ascii="Narkisim" w:hAnsi="Narkisim" w:cs="Narkisim"/>
          <w:rtl/>
        </w:rPr>
        <w:t>. בפשוטו משמע דהנך מ"ד פליגי באופנים אלו [וכ"מ בגמ' לעיל פו. דהוה מח']. אבל ה</w:t>
      </w:r>
      <w:r w:rsidRPr="003D7FC2">
        <w:rPr>
          <w:rFonts w:ascii="Narkisim" w:hAnsi="Narkisim" w:cs="Narkisim"/>
          <w:b/>
          <w:bCs/>
          <w:rtl/>
        </w:rPr>
        <w:t>רמב"ם</w:t>
      </w:r>
      <w:r w:rsidRPr="003D7FC2">
        <w:rPr>
          <w:rFonts w:ascii="Narkisim" w:hAnsi="Narkisim" w:cs="Narkisim"/>
          <w:rtl/>
        </w:rPr>
        <w:t xml:space="preserve"> (תרומות יב כב) כת' ב' הטעמים, דאין חולקין לאשה שמא תתגרש ומפני היחוד. וה</w:t>
      </w:r>
      <w:r w:rsidRPr="003D7FC2">
        <w:rPr>
          <w:rFonts w:ascii="Narkisim" w:hAnsi="Narkisim" w:cs="Narkisim"/>
          <w:b/>
          <w:bCs/>
          <w:rtl/>
        </w:rPr>
        <w:t>משנ"ל</w:t>
      </w:r>
      <w:r w:rsidRPr="003D7FC2">
        <w:rPr>
          <w:rFonts w:ascii="Narkisim" w:hAnsi="Narkisim" w:cs="Narkisim"/>
          <w:rtl/>
        </w:rPr>
        <w:t xml:space="preserve"> כת' דפסק גם כרב פפא וגם כרב הונא בדר"י, וחוששין לתרוייהו</w:t>
      </w:r>
      <w:r w:rsidRPr="003D7FC2">
        <w:rPr>
          <w:rStyle w:val="ac"/>
          <w:rFonts w:ascii="Narkisim" w:hAnsi="Narkisim" w:cs="Narkisim"/>
          <w:rtl/>
        </w:rPr>
        <w:footnoteReference w:id="6478"/>
      </w:r>
      <w:r w:rsidRPr="003D7FC2">
        <w:rPr>
          <w:rFonts w:ascii="Narkisim" w:hAnsi="Narkisim" w:cs="Narkisim"/>
          <w:rtl/>
        </w:rPr>
        <w:t>. אבל ה</w:t>
      </w:r>
      <w:r w:rsidRPr="003D7FC2">
        <w:rPr>
          <w:rFonts w:ascii="Narkisim" w:hAnsi="Narkisim" w:cs="Narkisim"/>
          <w:b/>
          <w:bCs/>
          <w:rtl/>
        </w:rPr>
        <w:t xml:space="preserve">מהר"י קורקוס </w:t>
      </w:r>
      <w:r w:rsidRPr="003D7FC2">
        <w:rPr>
          <w:rFonts w:ascii="Narkisim" w:hAnsi="Narkisim" w:cs="Narkisim"/>
          <w:rtl/>
        </w:rPr>
        <w:t>נקט דכוונת הרמב"ם דהוה ספק כמאן הילכתא, ולחוש לשניהם. וכת' דאפשר דבתרומה דרבנן הולכין להקל שלא לאסור עד דאיכא תרוייהו.</w:t>
      </w:r>
    </w:p>
    <w:p w14:paraId="72D4D182" w14:textId="77777777" w:rsidR="006C4368" w:rsidRPr="003D7FC2" w:rsidRDefault="006C4368" w:rsidP="006C4368">
      <w:pPr>
        <w:pStyle w:val="aa"/>
        <w:bidi/>
        <w:rPr>
          <w:rFonts w:ascii="Narkisim" w:hAnsi="Narkisim"/>
        </w:rPr>
      </w:pPr>
      <w:r w:rsidRPr="003D7FC2">
        <w:rPr>
          <w:rFonts w:ascii="Narkisim" w:hAnsi="Narkisim"/>
          <w:u w:val="single"/>
          <w:rtl/>
        </w:rPr>
        <w:t>חוץ מטמא</w:t>
      </w:r>
      <w:r w:rsidRPr="003D7FC2">
        <w:rPr>
          <w:rFonts w:ascii="Narkisim" w:hAnsi="Narkisim"/>
          <w:rtl/>
        </w:rPr>
        <w:t>. [דאין משגרין לו]. פ</w:t>
      </w:r>
      <w:r w:rsidRPr="003D7FC2">
        <w:rPr>
          <w:rFonts w:ascii="Narkisim" w:hAnsi="Narkisim"/>
          <w:b/>
          <w:bCs/>
          <w:rtl/>
        </w:rPr>
        <w:t>רש"י</w:t>
      </w:r>
      <w:r w:rsidRPr="003D7FC2">
        <w:rPr>
          <w:rFonts w:ascii="Narkisim" w:hAnsi="Narkisim"/>
          <w:rtl/>
        </w:rPr>
        <w:t xml:space="preserve"> משום קנס דלא אזדהר מטומאה</w:t>
      </w:r>
      <w:r w:rsidRPr="003D7FC2">
        <w:rPr>
          <w:rStyle w:val="ac"/>
          <w:rFonts w:ascii="Narkisim" w:hAnsi="Narkisim"/>
          <w:rtl/>
        </w:rPr>
        <w:footnoteReference w:id="6479"/>
      </w:r>
      <w:r w:rsidRPr="003D7FC2">
        <w:rPr>
          <w:rFonts w:ascii="Narkisim" w:hAnsi="Narkisim"/>
          <w:rtl/>
        </w:rPr>
        <w:t>. והדרך אמונה (שם קצו) נסתפק האם משגרין לטמא תרומה טמאה להסקה.</w:t>
      </w:r>
    </w:p>
    <w:p w14:paraId="69765C70" w14:textId="77777777" w:rsidR="006C4368" w:rsidRPr="003D7FC2" w:rsidRDefault="006C4368" w:rsidP="006C4368">
      <w:pPr>
        <w:bidi/>
        <w:rPr>
          <w:rFonts w:ascii="Narkisim" w:hAnsi="Narkisim" w:cs="Narkisim"/>
        </w:rPr>
      </w:pPr>
      <w:r w:rsidRPr="003D7FC2">
        <w:rPr>
          <w:rFonts w:ascii="Narkisim" w:hAnsi="Narkisim" w:cs="Narkisim"/>
          <w:u w:val="single"/>
          <w:rtl/>
        </w:rPr>
        <w:t>אבל ערל משגרינן ליה, מ"ט משום דאנוס וכו' נפיש אונסיה</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דמתו אחיו מחמת מילה. [וה</w:t>
      </w:r>
      <w:r w:rsidRPr="003D7FC2">
        <w:rPr>
          <w:rFonts w:ascii="Narkisim" w:hAnsi="Narkisim" w:cs="Narkisim"/>
          <w:b/>
          <w:bCs/>
          <w:rtl/>
        </w:rPr>
        <w:t>מאירי</w:t>
      </w:r>
      <w:r w:rsidRPr="003D7FC2">
        <w:rPr>
          <w:rFonts w:ascii="Narkisim" w:hAnsi="Narkisim" w:cs="Narkisim"/>
          <w:rtl/>
        </w:rPr>
        <w:t xml:space="preserve"> כת' דערל שאפשר לו למול פשייטא דאין משגרין לו</w:t>
      </w:r>
      <w:r w:rsidRPr="003D7FC2">
        <w:rPr>
          <w:rStyle w:val="ac"/>
          <w:rFonts w:ascii="Narkisim" w:hAnsi="Narkisim" w:cs="Narkisim"/>
          <w:rtl/>
        </w:rPr>
        <w:footnoteReference w:id="6480"/>
      </w:r>
      <w:r w:rsidRPr="003D7FC2">
        <w:rPr>
          <w:rFonts w:ascii="Narkisim" w:hAnsi="Narkisim" w:cs="Narkisim"/>
          <w:rtl/>
        </w:rPr>
        <w:t>]. ולפ"ז מבואר (כאן) דאף מתו אחיו מחמת מילה נחשב ערל ואינו אוכל בתרומה. ודלא כ</w:t>
      </w:r>
      <w:r w:rsidRPr="003D7FC2">
        <w:rPr>
          <w:rFonts w:ascii="Narkisim" w:hAnsi="Narkisim" w:cs="Narkisim"/>
          <w:b/>
          <w:bCs/>
          <w:rtl/>
        </w:rPr>
        <w:t>ר"ת</w:t>
      </w:r>
      <w:r w:rsidRPr="003D7FC2">
        <w:rPr>
          <w:rFonts w:ascii="Narkisim" w:hAnsi="Narkisim" w:cs="Narkisim"/>
          <w:rtl/>
        </w:rPr>
        <w:t xml:space="preserve"> (בראשונים לעיל ע.) דמשום הסכנה אין מצווה למולו, והוה ספק, וכמו ערלה שלא בזמנו. [וה</w:t>
      </w:r>
      <w:r w:rsidRPr="003D7FC2">
        <w:rPr>
          <w:rFonts w:ascii="Narkisim" w:hAnsi="Narkisim" w:cs="Narkisim"/>
          <w:b/>
          <w:bCs/>
          <w:rtl/>
        </w:rPr>
        <w:t>רמב"ן</w:t>
      </w:r>
      <w:r w:rsidRPr="003D7FC2">
        <w:rPr>
          <w:rFonts w:ascii="Narkisim" w:hAnsi="Narkisim" w:cs="Narkisim"/>
          <w:rtl/>
        </w:rPr>
        <w:t xml:space="preserve"> שם הביא מסוגיין].</w:t>
      </w:r>
    </w:p>
    <w:p w14:paraId="7CC52A65" w14:textId="77777777" w:rsidR="006C4368" w:rsidRPr="003D7FC2" w:rsidRDefault="006C4368" w:rsidP="006C4368">
      <w:pPr>
        <w:pStyle w:val="aa"/>
        <w:bidi/>
        <w:rPr>
          <w:rFonts w:ascii="Narkisim" w:hAnsi="Narkisim"/>
        </w:rPr>
      </w:pPr>
      <w:r w:rsidRPr="003D7FC2">
        <w:rPr>
          <w:rFonts w:ascii="Narkisim" w:hAnsi="Narkisim"/>
          <w:rtl/>
        </w:rPr>
        <w:t>אבל ה</w:t>
      </w:r>
      <w:r w:rsidRPr="003D7FC2">
        <w:rPr>
          <w:rFonts w:ascii="Narkisim" w:hAnsi="Narkisim"/>
          <w:b/>
          <w:bCs/>
          <w:rtl/>
        </w:rPr>
        <w:t>רמב"ם</w:t>
      </w:r>
      <w:r w:rsidRPr="003D7FC2">
        <w:rPr>
          <w:rFonts w:ascii="Narkisim" w:hAnsi="Narkisim"/>
          <w:rtl/>
        </w:rPr>
        <w:t xml:space="preserve"> (תרומות יב כב) כת' דאף ערל אין משגרין לביתו. וה</w:t>
      </w:r>
      <w:r w:rsidRPr="003D7FC2">
        <w:rPr>
          <w:rFonts w:ascii="Narkisim" w:hAnsi="Narkisim"/>
          <w:b/>
          <w:bCs/>
          <w:rtl/>
        </w:rPr>
        <w:t>כס"מ</w:t>
      </w:r>
      <w:r w:rsidRPr="003D7FC2">
        <w:rPr>
          <w:rFonts w:ascii="Narkisim" w:hAnsi="Narkisim"/>
          <w:rtl/>
        </w:rPr>
        <w:t xml:space="preserve"> כת' דצ"ל שהיתה לו גירסא אחרת</w:t>
      </w:r>
      <w:r w:rsidRPr="003D7FC2">
        <w:rPr>
          <w:rStyle w:val="ac"/>
          <w:rFonts w:ascii="Narkisim" w:hAnsi="Narkisim"/>
          <w:rtl/>
        </w:rPr>
        <w:footnoteReference w:id="6481"/>
      </w:r>
      <w:r w:rsidRPr="003D7FC2">
        <w:rPr>
          <w:rFonts w:ascii="Narkisim" w:hAnsi="Narkisim"/>
          <w:rtl/>
        </w:rPr>
        <w:t>.</w:t>
      </w:r>
    </w:p>
    <w:p w14:paraId="32F8729B" w14:textId="77777777" w:rsidR="006C4368" w:rsidRPr="003D7FC2" w:rsidRDefault="006C4368" w:rsidP="006C4368">
      <w:pPr>
        <w:pStyle w:val="aa"/>
        <w:bidi/>
        <w:rPr>
          <w:rFonts w:ascii="Narkisim" w:hAnsi="Narkisim"/>
        </w:rPr>
      </w:pPr>
      <w:r w:rsidRPr="003D7FC2">
        <w:rPr>
          <w:rFonts w:ascii="Narkisim" w:hAnsi="Narkisim"/>
          <w:u w:val="single"/>
          <w:rtl/>
        </w:rPr>
        <w:t>ונושא אשה שאינה הוגנת לו וכו'</w:t>
      </w:r>
      <w:r w:rsidRPr="003D7FC2">
        <w:rPr>
          <w:rFonts w:ascii="Narkisim" w:hAnsi="Narkisim"/>
          <w:rtl/>
        </w:rPr>
        <w:t>. בפשוטו הוזכר רק דקנסו שלא לשגר לביתו, אבל רשאי לאכול תרומה</w:t>
      </w:r>
      <w:r w:rsidRPr="003D7FC2">
        <w:rPr>
          <w:rStyle w:val="ac"/>
          <w:rFonts w:ascii="Narkisim" w:hAnsi="Narkisim"/>
          <w:rtl/>
        </w:rPr>
        <w:footnoteReference w:id="6482"/>
      </w:r>
      <w:r w:rsidRPr="003D7FC2">
        <w:rPr>
          <w:rFonts w:ascii="Narkisim" w:hAnsi="Narkisim"/>
          <w:rtl/>
        </w:rPr>
        <w:t>. והא דאי' (בכורות מה:, הו' ב</w:t>
      </w:r>
      <w:r w:rsidRPr="003D7FC2">
        <w:rPr>
          <w:rFonts w:ascii="Narkisim" w:hAnsi="Narkisim"/>
          <w:b/>
          <w:bCs/>
          <w:rtl/>
        </w:rPr>
        <w:t>רש”י</w:t>
      </w:r>
      <w:r w:rsidRPr="003D7FC2">
        <w:rPr>
          <w:rFonts w:ascii="Narkisim" w:hAnsi="Narkisim"/>
          <w:rtl/>
        </w:rPr>
        <w:t xml:space="preserve"> לעיל פה.) דהנושא נשים בעבירה פסול מעבודה, הוה דוקא מעבודה [עבודת מזבח]. אבל ה</w:t>
      </w:r>
      <w:r w:rsidRPr="003D7FC2">
        <w:rPr>
          <w:rFonts w:ascii="Narkisim" w:hAnsi="Narkisim"/>
          <w:b/>
          <w:bCs/>
          <w:rtl/>
        </w:rPr>
        <w:t>ב”י</w:t>
      </w:r>
      <w:r w:rsidRPr="003D7FC2">
        <w:rPr>
          <w:rFonts w:ascii="Narkisim" w:hAnsi="Narkisim"/>
          <w:rtl/>
        </w:rPr>
        <w:t xml:space="preserve"> (או”ח קכח מ, והשו”ע שם) הביא</w:t>
      </w:r>
      <w:r w:rsidRPr="003D7FC2">
        <w:rPr>
          <w:rStyle w:val="ac"/>
          <w:rFonts w:ascii="Narkisim" w:hAnsi="Narkisim"/>
          <w:rtl/>
        </w:rPr>
        <w:footnoteReference w:id="6483"/>
      </w:r>
      <w:r w:rsidRPr="003D7FC2">
        <w:rPr>
          <w:rFonts w:ascii="Narkisim" w:hAnsi="Narkisim"/>
          <w:rtl/>
        </w:rPr>
        <w:t xml:space="preserve"> דאין נוהגין בו שום קדושה, ואינו נושא כפיו. [ולכאורה ה”ה דאינו אוכל בתרומה].</w:t>
      </w:r>
    </w:p>
    <w:p w14:paraId="00517F5A" w14:textId="77777777" w:rsidR="006C4368" w:rsidRPr="003D7FC2" w:rsidRDefault="006C4368" w:rsidP="006C4368">
      <w:pPr>
        <w:bidi/>
        <w:rPr>
          <w:rFonts w:ascii="Narkisim" w:hAnsi="Narkisim" w:cs="Narkisim"/>
        </w:rPr>
      </w:pPr>
      <w:r w:rsidRPr="003D7FC2">
        <w:rPr>
          <w:rFonts w:ascii="Narkisim" w:hAnsi="Narkisim" w:cs="Narkisim"/>
          <w:u w:val="single"/>
          <w:rtl/>
        </w:rPr>
        <w:t>תוד"ה מעשר</w:t>
      </w:r>
      <w:r w:rsidRPr="003D7FC2">
        <w:rPr>
          <w:rFonts w:ascii="Narkisim" w:hAnsi="Narkisim" w:cs="Narkisim"/>
          <w:rtl/>
        </w:rPr>
        <w:t>. ואר"ת דתרי גווני מעשר וכו' ומפסח שהוא זמן ביעור היה מניחו בגורן והיה הפקר, ולא היה בו דין חלוקה. ומוציאו מביתו משום ביעור. ו</w:t>
      </w:r>
      <w:r w:rsidRPr="003D7FC2">
        <w:rPr>
          <w:rFonts w:ascii="Narkisim" w:hAnsi="Narkisim" w:cs="Narkisim"/>
          <w:b/>
          <w:bCs/>
          <w:rtl/>
        </w:rPr>
        <w:t>תוס'</w:t>
      </w:r>
      <w:r w:rsidRPr="003D7FC2">
        <w:rPr>
          <w:rFonts w:ascii="Narkisim" w:hAnsi="Narkisim" w:cs="Narkisim"/>
          <w:rtl/>
        </w:rPr>
        <w:t xml:space="preserve"> (חולין קלא., והרמב”ן כאן) פי' [באופ"א קצת] דדרשי' ב' דיני מעשר, דעד הפסח מחלקו בתוך הבית, כיון שהוא זמן גשמים ואם מניחו בחוץ נפסד. וזה מעשר עני המתחלק בתוך הבית. מכאן ואילך, שהוא ימי הקיץ מניחו בחוץ בגרנות, ועניים באים ונוטלין אותו. [משמע דכל היכא דאפשר מניחו בחוץ, ולא משום דין ביעור].</w:t>
      </w:r>
    </w:p>
    <w:p w14:paraId="518F4768"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ר"ן</w:t>
      </w:r>
      <w:r w:rsidRPr="003D7FC2">
        <w:rPr>
          <w:rFonts w:ascii="Narkisim" w:hAnsi="Narkisim"/>
          <w:rtl/>
        </w:rPr>
        <w:t xml:space="preserve"> (נדרים פד:) הביא ד</w:t>
      </w:r>
      <w:r w:rsidRPr="003D7FC2">
        <w:rPr>
          <w:rFonts w:ascii="Narkisim" w:hAnsi="Narkisim"/>
          <w:b/>
          <w:bCs/>
          <w:rtl/>
        </w:rPr>
        <w:t>י"מ</w:t>
      </w:r>
      <w:r w:rsidRPr="003D7FC2">
        <w:rPr>
          <w:rFonts w:ascii="Narkisim" w:hAnsi="Narkisim"/>
          <w:rtl/>
        </w:rPr>
        <w:t xml:space="preserve"> [להיפך] דבימות החמה מניחו בגורן וכל הרוצה ליטול, ומה שנשאר עד ימות הגשמים מכניס לביתו</w:t>
      </w:r>
      <w:r w:rsidRPr="003D7FC2">
        <w:rPr>
          <w:rStyle w:val="ac"/>
          <w:rFonts w:ascii="Narkisim" w:hAnsi="Narkisim"/>
          <w:rtl/>
        </w:rPr>
        <w:footnoteReference w:id="6484"/>
      </w:r>
      <w:r w:rsidRPr="003D7FC2">
        <w:rPr>
          <w:rFonts w:ascii="Narkisim" w:hAnsi="Narkisim"/>
          <w:rtl/>
        </w:rPr>
        <w:t xml:space="preserve">. [מחוייב להכניס לביתו]. ועד"ז כת' </w:t>
      </w:r>
      <w:r w:rsidRPr="003D7FC2">
        <w:rPr>
          <w:rFonts w:ascii="Narkisim" w:hAnsi="Narkisim"/>
          <w:b/>
          <w:bCs/>
          <w:rtl/>
        </w:rPr>
        <w:t>התוס'</w:t>
      </w:r>
      <w:r w:rsidRPr="003D7FC2">
        <w:rPr>
          <w:rFonts w:ascii="Narkisim" w:hAnsi="Narkisim"/>
          <w:rtl/>
        </w:rPr>
        <w:t xml:space="preserve"> וה</w:t>
      </w:r>
      <w:r w:rsidRPr="003D7FC2">
        <w:rPr>
          <w:rFonts w:ascii="Narkisim" w:hAnsi="Narkisim"/>
          <w:b/>
          <w:bCs/>
          <w:rtl/>
        </w:rPr>
        <w:t>רא"ש</w:t>
      </w:r>
      <w:r w:rsidRPr="003D7FC2">
        <w:rPr>
          <w:rFonts w:ascii="Narkisim" w:hAnsi="Narkisim"/>
          <w:rtl/>
        </w:rPr>
        <w:t xml:space="preserve"> </w:t>
      </w:r>
      <w:r w:rsidRPr="003D7FC2">
        <w:rPr>
          <w:rFonts w:ascii="Narkisim" w:hAnsi="Narkisim"/>
          <w:rtl/>
        </w:rPr>
        <w:lastRenderedPageBreak/>
        <w:t>(נדרים שם). ומדברי ה</w:t>
      </w:r>
      <w:r w:rsidRPr="003D7FC2">
        <w:rPr>
          <w:rFonts w:ascii="Narkisim" w:hAnsi="Narkisim"/>
          <w:b/>
          <w:bCs/>
          <w:rtl/>
        </w:rPr>
        <w:t>רמב"ם</w:t>
      </w:r>
      <w:r w:rsidRPr="003D7FC2">
        <w:rPr>
          <w:rFonts w:ascii="Narkisim" w:hAnsi="Narkisim"/>
          <w:rtl/>
        </w:rPr>
        <w:t xml:space="preserve"> (מתנ"ע ו י, והמאירי חולין קלא:) משמע דתלי היכן נמצא המעשר, ולא בזמן.</w:t>
      </w:r>
    </w:p>
    <w:p w14:paraId="00B344F7" w14:textId="77777777" w:rsidR="006C4368" w:rsidRPr="003D7FC2" w:rsidRDefault="006C4368" w:rsidP="006C4368">
      <w:pPr>
        <w:bidi/>
        <w:rPr>
          <w:rFonts w:ascii="Narkisim" w:hAnsi="Narkisim" w:cs="Narkisim"/>
        </w:rPr>
      </w:pPr>
      <w:r w:rsidRPr="003D7FC2">
        <w:rPr>
          <w:rFonts w:ascii="Narkisim" w:hAnsi="Narkisim" w:cs="Narkisim"/>
          <w:rtl/>
        </w:rPr>
        <w:t xml:space="preserve">אבל </w:t>
      </w:r>
      <w:r w:rsidRPr="003D7FC2">
        <w:rPr>
          <w:rFonts w:ascii="Narkisim" w:hAnsi="Narkisim" w:cs="Narkisim"/>
          <w:b/>
          <w:bCs/>
          <w:rtl/>
        </w:rPr>
        <w:t>רש"י</w:t>
      </w:r>
      <w:r w:rsidRPr="003D7FC2">
        <w:rPr>
          <w:rFonts w:ascii="Narkisim" w:hAnsi="Narkisim" w:cs="Narkisim"/>
          <w:rtl/>
        </w:rPr>
        <w:t xml:space="preserve"> (כאן) כת' דמעשר עני מתחלק בבית, ומשמע דנקט דכל מעשר עני מתחלק בבית ויש טובת הנאה. וה</w:t>
      </w:r>
      <w:r w:rsidRPr="003D7FC2">
        <w:rPr>
          <w:rFonts w:ascii="Narkisim" w:hAnsi="Narkisim" w:cs="Narkisim"/>
          <w:b/>
          <w:bCs/>
          <w:rtl/>
        </w:rPr>
        <w:t>ריטב"א</w:t>
      </w:r>
      <w:r w:rsidRPr="003D7FC2">
        <w:rPr>
          <w:rFonts w:ascii="Narkisim" w:hAnsi="Narkisim" w:cs="Narkisim"/>
          <w:rtl/>
        </w:rPr>
        <w:t xml:space="preserve"> חלק ע”פ הספרי [אך ברייתא זו אינו בספרי לפנינו].</w:t>
      </w:r>
    </w:p>
    <w:p w14:paraId="786973F8" w14:textId="77777777" w:rsidR="006C4368" w:rsidRPr="003D7FC2" w:rsidRDefault="006C4368" w:rsidP="006C4368">
      <w:pPr>
        <w:pStyle w:val="aa"/>
        <w:bidi/>
        <w:rPr>
          <w:rFonts w:ascii="Narkisim" w:hAnsi="Narkisim"/>
        </w:rPr>
      </w:pPr>
      <w:r w:rsidRPr="003D7FC2">
        <w:rPr>
          <w:rFonts w:ascii="Narkisim" w:hAnsi="Narkisim"/>
          <w:u w:val="single"/>
          <w:rtl/>
        </w:rPr>
        <w:t>שיחררו, אי בעי אין וכו'</w:t>
      </w:r>
      <w:r w:rsidRPr="003D7FC2">
        <w:rPr>
          <w:rFonts w:ascii="Narkisim" w:hAnsi="Narkisim"/>
          <w:rtl/>
        </w:rPr>
        <w:t>. משמע דלס"ד הוה רשות לשחרר. וה</w:t>
      </w:r>
      <w:r w:rsidRPr="003D7FC2">
        <w:rPr>
          <w:rFonts w:ascii="Narkisim" w:hAnsi="Narkisim"/>
          <w:b/>
          <w:bCs/>
          <w:rtl/>
        </w:rPr>
        <w:t>ירושלמי</w:t>
      </w:r>
      <w:r w:rsidRPr="003D7FC2">
        <w:rPr>
          <w:rFonts w:ascii="Narkisim" w:hAnsi="Narkisim"/>
          <w:rtl/>
        </w:rPr>
        <w:t xml:space="preserve"> מק' למ”ד דהמשחרר עבדו עובר בעשה. ותי' דהכא משום תקנת הולד. [וע"ד הא דאי' גיטין לח: מצווה שאני]. אבל ה</w:t>
      </w:r>
      <w:r w:rsidRPr="003D7FC2">
        <w:rPr>
          <w:rFonts w:ascii="Narkisim" w:hAnsi="Narkisim"/>
          <w:b/>
          <w:bCs/>
          <w:rtl/>
        </w:rPr>
        <w:t>אחרונים</w:t>
      </w:r>
      <w:r w:rsidRPr="003D7FC2">
        <w:rPr>
          <w:rFonts w:ascii="Narkisim" w:hAnsi="Narkisim"/>
          <w:rtl/>
        </w:rPr>
        <w:t xml:space="preserve"> דנו דבסוגיין אינו רשאי לשעבד בו כלל מחמת הספק</w:t>
      </w:r>
      <w:r w:rsidRPr="003D7FC2">
        <w:rPr>
          <w:rStyle w:val="ac"/>
          <w:rFonts w:ascii="Narkisim" w:hAnsi="Narkisim"/>
          <w:rtl/>
        </w:rPr>
        <w:footnoteReference w:id="6485"/>
      </w:r>
      <w:r w:rsidRPr="003D7FC2">
        <w:rPr>
          <w:rFonts w:ascii="Narkisim" w:hAnsi="Narkisim"/>
          <w:rtl/>
        </w:rPr>
        <w:t>, ו</w:t>
      </w:r>
      <w:r w:rsidRPr="003D7FC2">
        <w:rPr>
          <w:rFonts w:ascii="Narkisim" w:hAnsi="Narkisim"/>
          <w:b/>
          <w:bCs/>
          <w:rtl/>
        </w:rPr>
        <w:t>תוס'</w:t>
      </w:r>
      <w:r w:rsidRPr="003D7FC2">
        <w:rPr>
          <w:rFonts w:ascii="Narkisim" w:hAnsi="Narkisim"/>
          <w:rtl/>
        </w:rPr>
        <w:t xml:space="preserve"> (גיטין לח.) כת' דהיכא דאינו רשאי לשעבד בו אינו בכלל מצוות לעולם בהם תעבודו.</w:t>
      </w:r>
    </w:p>
    <w:p w14:paraId="0092F2CD" w14:textId="77777777" w:rsidR="006C4368" w:rsidRPr="003D7FC2" w:rsidRDefault="006C4368" w:rsidP="006C4368">
      <w:pPr>
        <w:bidi/>
        <w:rPr>
          <w:rFonts w:ascii="Narkisim" w:hAnsi="Narkisim" w:cs="Narkisim"/>
        </w:rPr>
      </w:pPr>
      <w:r w:rsidRPr="003D7FC2">
        <w:rPr>
          <w:rFonts w:ascii="Narkisim" w:hAnsi="Narkisim" w:cs="Narkisim"/>
          <w:u w:val="single"/>
          <w:rtl/>
        </w:rPr>
        <w:t>ואמאי לישא שפחה אינו יכול וכו'</w:t>
      </w:r>
      <w:r w:rsidRPr="003D7FC2">
        <w:rPr>
          <w:rFonts w:ascii="Narkisim" w:hAnsi="Narkisim" w:cs="Narkisim"/>
          <w:rtl/>
        </w:rPr>
        <w:t>. ה</w:t>
      </w:r>
      <w:r w:rsidRPr="003D7FC2">
        <w:rPr>
          <w:rFonts w:ascii="Narkisim" w:hAnsi="Narkisim" w:cs="Narkisim"/>
          <w:b/>
          <w:bCs/>
          <w:rtl/>
        </w:rPr>
        <w:t>טור"א</w:t>
      </w:r>
      <w:r w:rsidRPr="003D7FC2">
        <w:rPr>
          <w:rFonts w:ascii="Narkisim" w:hAnsi="Narkisim" w:cs="Narkisim"/>
          <w:rtl/>
        </w:rPr>
        <w:t xml:space="preserve"> (חגיגה ב:, צו' בגהש"ס) הביא ד</w:t>
      </w:r>
      <w:r w:rsidRPr="003D7FC2">
        <w:rPr>
          <w:rFonts w:ascii="Narkisim" w:hAnsi="Narkisim" w:cs="Narkisim"/>
          <w:b/>
          <w:bCs/>
          <w:rtl/>
        </w:rPr>
        <w:t>תוס</w:t>
      </w:r>
      <w:r w:rsidRPr="003D7FC2">
        <w:rPr>
          <w:rFonts w:ascii="Narkisim" w:hAnsi="Narkisim" w:cs="Narkisim"/>
          <w:rtl/>
        </w:rPr>
        <w:t>' (גיטין מא. וכ"מ) הק' בחצי עבד ימכור עצמו בעבד עברי [לר”א דמוכר עצמו</w:t>
      </w:r>
      <w:r w:rsidRPr="003D7FC2">
        <w:rPr>
          <w:rStyle w:val="ac"/>
          <w:rFonts w:ascii="Narkisim" w:hAnsi="Narkisim" w:cs="Narkisim"/>
          <w:rtl/>
        </w:rPr>
        <w:footnoteReference w:id="6486"/>
      </w:r>
      <w:r w:rsidRPr="003D7FC2">
        <w:rPr>
          <w:rFonts w:ascii="Narkisim" w:hAnsi="Narkisim" w:cs="Narkisim"/>
          <w:rtl/>
        </w:rPr>
        <w:t xml:space="preserve"> מותר בשפחה</w:t>
      </w:r>
      <w:r w:rsidRPr="003D7FC2">
        <w:rPr>
          <w:rStyle w:val="ac"/>
          <w:rFonts w:ascii="Narkisim" w:hAnsi="Narkisim" w:cs="Narkisim"/>
          <w:rtl/>
        </w:rPr>
        <w:footnoteReference w:id="6487"/>
      </w:r>
      <w:r w:rsidRPr="003D7FC2">
        <w:rPr>
          <w:rFonts w:ascii="Narkisim" w:hAnsi="Narkisim" w:cs="Narkisim"/>
          <w:rtl/>
        </w:rPr>
        <w:t>], ועי”ז מותר בשפחה ממ”נ [ויקיים 'שבת']. ותי' דגר ומשוחרר אינו נמכר בעבד (כדאי' ב"מ עא.)</w:t>
      </w:r>
      <w:r w:rsidRPr="003D7FC2">
        <w:rPr>
          <w:rStyle w:val="ac"/>
          <w:rFonts w:ascii="Narkisim" w:hAnsi="Narkisim" w:cs="Narkisim"/>
          <w:rtl/>
        </w:rPr>
        <w:footnoteReference w:id="6488"/>
      </w:r>
      <w:r w:rsidRPr="003D7FC2">
        <w:rPr>
          <w:rFonts w:ascii="Narkisim" w:hAnsi="Narkisim" w:cs="Narkisim"/>
          <w:rtl/>
        </w:rPr>
        <w:t>. והטור"א הק' דבסוגיין לא איירי במשוחרר, והדרא קו' דיכול למכור עצמו. ותי' דהכא ודאי כופין משום מצוות פריה ורביה, דאם ישא שפחה אין בנו מתייחס אחריו ולא קיים פר"ו [אלא שבת כל דהו]</w:t>
      </w:r>
      <w:r w:rsidRPr="003D7FC2">
        <w:rPr>
          <w:rStyle w:val="ac"/>
          <w:rFonts w:ascii="Narkisim" w:hAnsi="Narkisim" w:cs="Narkisim"/>
          <w:rtl/>
        </w:rPr>
        <w:footnoteReference w:id="6489"/>
      </w:r>
      <w:r w:rsidRPr="003D7FC2">
        <w:rPr>
          <w:rFonts w:ascii="Narkisim" w:hAnsi="Narkisim" w:cs="Narkisim"/>
          <w:rtl/>
        </w:rPr>
        <w:t>. וכ"כ ה</w:t>
      </w:r>
      <w:r w:rsidRPr="003D7FC2">
        <w:rPr>
          <w:rFonts w:ascii="Narkisim" w:hAnsi="Narkisim" w:cs="Narkisim"/>
          <w:b/>
          <w:bCs/>
          <w:rtl/>
        </w:rPr>
        <w:t>אבנ"מ</w:t>
      </w:r>
      <w:r w:rsidRPr="003D7FC2">
        <w:rPr>
          <w:rFonts w:ascii="Narkisim" w:hAnsi="Narkisim" w:cs="Narkisim"/>
          <w:rtl/>
        </w:rPr>
        <w:t xml:space="preserve"> (א ג בסופו).</w:t>
      </w:r>
    </w:p>
    <w:p w14:paraId="20794B50" w14:textId="77777777" w:rsidR="006C4368" w:rsidRPr="003D7FC2" w:rsidRDefault="006C4368" w:rsidP="006C4368">
      <w:pPr>
        <w:pStyle w:val="a8"/>
        <w:bidi/>
        <w:rPr>
          <w:rFonts w:ascii="Narkisim" w:hAnsi="Narkisim"/>
        </w:rPr>
      </w:pPr>
      <w:r w:rsidRPr="003D7FC2">
        <w:rPr>
          <w:rFonts w:ascii="Narkisim" w:hAnsi="Narkisim"/>
          <w:rtl/>
        </w:rPr>
        <w:t>וב</w:t>
      </w:r>
      <w:r w:rsidRPr="003D7FC2">
        <w:rPr>
          <w:rFonts w:ascii="Narkisim" w:hAnsi="Narkisim"/>
          <w:b/>
          <w:bCs/>
          <w:rtl/>
        </w:rPr>
        <w:t>הג' ברוך טעם</w:t>
      </w:r>
      <w:r w:rsidRPr="003D7FC2">
        <w:rPr>
          <w:rFonts w:ascii="Narkisim" w:hAnsi="Narkisim"/>
          <w:rtl/>
        </w:rPr>
        <w:t xml:space="preserve"> כת' דהכא אף האדון מצווה בפריה ורביה [דכל א' ספק אדון, ומעוכב במצוות פריה ורביה]. ומש"ה כופין טפי. ועוד דהכא אינם רשאים להשתעבד זב"ז מחמת הספק, ומש"ה כייפינן [דאין להם הפסד בשחרור].</w:t>
      </w:r>
    </w:p>
    <w:p w14:paraId="684AEF50" w14:textId="77777777" w:rsidR="006C4368" w:rsidRPr="003D7FC2" w:rsidRDefault="006C4368" w:rsidP="006C4368">
      <w:pPr>
        <w:bidi/>
        <w:rPr>
          <w:rFonts w:ascii="Narkisim" w:hAnsi="Narkisim" w:cs="Narkisim"/>
        </w:rPr>
      </w:pPr>
      <w:r w:rsidRPr="003D7FC2">
        <w:rPr>
          <w:rFonts w:ascii="Narkisim" w:hAnsi="Narkisim" w:cs="Narkisim"/>
          <w:u w:val="single"/>
          <w:rtl/>
        </w:rPr>
        <w:t>אמר רבא אימא כופין וכו'</w:t>
      </w:r>
      <w:r w:rsidRPr="003D7FC2">
        <w:rPr>
          <w:rFonts w:ascii="Narkisim" w:hAnsi="Narkisim" w:cs="Narkisim"/>
          <w:rtl/>
        </w:rPr>
        <w:t>. מדברי ה</w:t>
      </w:r>
      <w:r w:rsidRPr="003D7FC2">
        <w:rPr>
          <w:rFonts w:ascii="Narkisim" w:hAnsi="Narkisim" w:cs="Narkisim"/>
          <w:b/>
          <w:bCs/>
          <w:rtl/>
        </w:rPr>
        <w:t>מהרש"א</w:t>
      </w:r>
      <w:r w:rsidRPr="003D7FC2">
        <w:rPr>
          <w:rFonts w:ascii="Narkisim" w:hAnsi="Narkisim" w:cs="Narkisim"/>
          <w:rtl/>
        </w:rPr>
        <w:t xml:space="preserve"> (לעיל) מבואר דמיד כשגדלו כופין לשחרר. וה</w:t>
      </w:r>
      <w:r w:rsidRPr="003D7FC2">
        <w:rPr>
          <w:rFonts w:ascii="Narkisim" w:hAnsi="Narkisim" w:cs="Narkisim"/>
          <w:b/>
          <w:bCs/>
          <w:rtl/>
        </w:rPr>
        <w:t>רש"ש</w:t>
      </w:r>
      <w:r w:rsidRPr="003D7FC2">
        <w:rPr>
          <w:rFonts w:ascii="Narkisim" w:hAnsi="Narkisim" w:cs="Narkisim"/>
          <w:rtl/>
        </w:rPr>
        <w:t xml:space="preserve"> חלק דאין כופין עד שיהיו בני כ'</w:t>
      </w:r>
      <w:r w:rsidRPr="003D7FC2">
        <w:rPr>
          <w:rStyle w:val="ac"/>
          <w:rFonts w:ascii="Narkisim" w:hAnsi="Narkisim" w:cs="Narkisim"/>
          <w:rtl/>
        </w:rPr>
        <w:footnoteReference w:id="6490"/>
      </w:r>
      <w:r w:rsidRPr="003D7FC2">
        <w:rPr>
          <w:rFonts w:ascii="Narkisim" w:hAnsi="Narkisim" w:cs="Narkisim"/>
          <w:rtl/>
        </w:rPr>
        <w:t>, כדאי' (שו"ע אה"ע א ג) דמגיל כ' כופין לישא אשה</w:t>
      </w:r>
      <w:r w:rsidRPr="003D7FC2">
        <w:rPr>
          <w:rStyle w:val="ac"/>
          <w:rFonts w:ascii="Narkisim" w:hAnsi="Narkisim" w:cs="Narkisim"/>
          <w:rtl/>
        </w:rPr>
        <w:footnoteReference w:id="6491"/>
      </w:r>
      <w:r w:rsidRPr="003D7FC2">
        <w:rPr>
          <w:rFonts w:ascii="Narkisim" w:hAnsi="Narkisim" w:cs="Narkisim"/>
          <w:rtl/>
        </w:rPr>
        <w:t>.</w:t>
      </w:r>
    </w:p>
    <w:p w14:paraId="1DCBBEB2" w14:textId="77777777" w:rsidR="006C4368" w:rsidRPr="003D7FC2" w:rsidRDefault="006C4368" w:rsidP="006C4368">
      <w:pPr>
        <w:pStyle w:val="a8"/>
        <w:bidi/>
        <w:rPr>
          <w:rFonts w:ascii="Narkisim" w:hAnsi="Narkisim"/>
        </w:rPr>
      </w:pPr>
      <w:r w:rsidRPr="003D7FC2">
        <w:rPr>
          <w:rFonts w:ascii="Narkisim" w:hAnsi="Narkisim"/>
          <w:rtl/>
        </w:rPr>
        <w:t>אך ה</w:t>
      </w:r>
      <w:r w:rsidRPr="003D7FC2">
        <w:rPr>
          <w:rFonts w:ascii="Narkisim" w:hAnsi="Narkisim"/>
          <w:b/>
          <w:bCs/>
          <w:rtl/>
        </w:rPr>
        <w:t>רש"ש</w:t>
      </w:r>
      <w:r w:rsidRPr="003D7FC2">
        <w:rPr>
          <w:rFonts w:ascii="Narkisim" w:hAnsi="Narkisim"/>
          <w:rtl/>
        </w:rPr>
        <w:t xml:space="preserve"> הק' דא"כ מה מק' הגמ' (כאן) כופין, נימא דשחררו כשעדיין לא הגיעו לכ'. ותי' דפחות מבן כ' אינו מוכר בנכסי אביו (כדאי' ב"ב קנו). וי"ל דאף עבדים כקרקעות לענין זה. וא"כ דוקא הגדילו לבן כ' יכולים לשחרר. אך הק' דלמסקנא (ב"ב שם) ה"מ מכר, אבל מהני מתנה.</w:t>
      </w:r>
    </w:p>
    <w:p w14:paraId="2C5F80BE" w14:textId="77777777" w:rsidR="006C4368" w:rsidRPr="003D7FC2" w:rsidRDefault="006C4368" w:rsidP="006C4368">
      <w:pPr>
        <w:pStyle w:val="aa"/>
        <w:bidi/>
        <w:rPr>
          <w:rFonts w:ascii="Narkisim" w:hAnsi="Narkisim"/>
        </w:rPr>
      </w:pPr>
      <w:r w:rsidRPr="003D7FC2">
        <w:rPr>
          <w:rFonts w:ascii="Narkisim" w:hAnsi="Narkisim"/>
          <w:u w:val="single"/>
          <w:rtl/>
        </w:rPr>
        <w:t>דמסיק להו לשום עצים וכר"א, דתניא ר”א אומר וכו' אבל אתה מעלה לשום עצים</w:t>
      </w:r>
      <w:r w:rsidRPr="003D7FC2">
        <w:rPr>
          <w:rStyle w:val="ac"/>
          <w:rFonts w:ascii="Narkisim" w:hAnsi="Narkisim"/>
          <w:u w:val="single"/>
          <w:rtl/>
        </w:rPr>
        <w:footnoteReference w:id="6492"/>
      </w:r>
      <w:r w:rsidRPr="003D7FC2">
        <w:rPr>
          <w:rFonts w:ascii="Narkisim" w:hAnsi="Narkisim"/>
          <w:u w:val="single"/>
          <w:rtl/>
        </w:rPr>
        <w:t xml:space="preserve"> וכו</w:t>
      </w:r>
      <w:r w:rsidRPr="003D7FC2">
        <w:rPr>
          <w:rFonts w:ascii="Narkisim" w:hAnsi="Narkisim"/>
          <w:rtl/>
        </w:rPr>
        <w:t>'. בפשוטו עושה תנאי, דאם כהן הוא ודינו בהקטרה מתכוון להקטרה. ואם זר הוא, הוה לשם עצים. [וכה"ג מצאנו בכ"מ במצוות דמתכוין שיועיל באופן המועיל. עכ”פ בתנאי לשעבר]. אך יש לדחות דאיירי בלא תנאי, ואף דמתכוין לשם עצים אינו פוסל את ההקרבה. [וה</w:t>
      </w:r>
      <w:r w:rsidRPr="003D7FC2">
        <w:rPr>
          <w:rFonts w:ascii="Narkisim" w:hAnsi="Narkisim"/>
          <w:b/>
          <w:bCs/>
          <w:rtl/>
        </w:rPr>
        <w:t>גרי”ז</w:t>
      </w:r>
      <w:r w:rsidRPr="003D7FC2">
        <w:rPr>
          <w:rFonts w:ascii="Narkisim" w:hAnsi="Narkisim"/>
          <w:rtl/>
        </w:rPr>
        <w:t xml:space="preserve"> (זבחים עז.) דן האם לשם עצים פוסל להקרבה</w:t>
      </w:r>
      <w:r w:rsidRPr="003D7FC2">
        <w:rPr>
          <w:rStyle w:val="ac"/>
          <w:rFonts w:ascii="Narkisim" w:hAnsi="Narkisim"/>
          <w:rtl/>
        </w:rPr>
        <w:footnoteReference w:id="6493"/>
      </w:r>
      <w:r w:rsidRPr="003D7FC2">
        <w:rPr>
          <w:rFonts w:ascii="Narkisim" w:hAnsi="Narkisim"/>
          <w:rtl/>
        </w:rPr>
        <w:t>].</w:t>
      </w:r>
    </w:p>
    <w:p w14:paraId="66DAB6D6" w14:textId="77777777" w:rsidR="006C4368" w:rsidRPr="003D7FC2" w:rsidRDefault="006C4368" w:rsidP="006C4368">
      <w:pPr>
        <w:pStyle w:val="a8"/>
        <w:bidi/>
        <w:rPr>
          <w:rFonts w:ascii="Narkisim" w:hAnsi="Narkisim"/>
        </w:rPr>
      </w:pPr>
      <w:r w:rsidRPr="003D7FC2">
        <w:rPr>
          <w:rFonts w:ascii="Narkisim" w:hAnsi="Narkisim"/>
          <w:rtl/>
        </w:rPr>
        <w:t>ו</w:t>
      </w:r>
      <w:r w:rsidRPr="003D7FC2">
        <w:rPr>
          <w:rFonts w:ascii="Narkisim" w:hAnsi="Narkisim"/>
          <w:b/>
          <w:bCs/>
          <w:rtl/>
        </w:rPr>
        <w:t>רש"י</w:t>
      </w:r>
      <w:r w:rsidRPr="003D7FC2">
        <w:rPr>
          <w:rFonts w:ascii="Narkisim" w:hAnsi="Narkisim"/>
          <w:rtl/>
        </w:rPr>
        <w:t xml:space="preserve"> הוסיף דמותר לעשות כן משום תקנת עולה. ומבואר דלולי תקנת קרבן לא הותר להקריב לשם עצים. ולכאורה הוה איסור דרבנן</w:t>
      </w:r>
      <w:r w:rsidRPr="003D7FC2">
        <w:rPr>
          <w:rStyle w:val="ac"/>
          <w:rFonts w:ascii="Narkisim" w:hAnsi="Narkisim"/>
          <w:rtl/>
        </w:rPr>
        <w:footnoteReference w:id="6494"/>
      </w:r>
      <w:r w:rsidRPr="003D7FC2">
        <w:rPr>
          <w:rFonts w:ascii="Narkisim" w:hAnsi="Narkisim"/>
          <w:rtl/>
        </w:rPr>
        <w:t>.</w:t>
      </w:r>
    </w:p>
    <w:p w14:paraId="6FA52A53" w14:textId="77777777" w:rsidR="006C4368" w:rsidRPr="003D7FC2" w:rsidRDefault="006C4368" w:rsidP="006C4368">
      <w:pPr>
        <w:pStyle w:val="aa"/>
        <w:bidi/>
        <w:rPr>
          <w:rFonts w:ascii="Narkisim" w:hAnsi="Narkisim"/>
        </w:rPr>
      </w:pPr>
      <w:r w:rsidRPr="003D7FC2">
        <w:rPr>
          <w:rFonts w:ascii="Narkisim" w:hAnsi="Narkisim"/>
          <w:u w:val="single"/>
          <w:rtl/>
        </w:rPr>
        <w:t>דתניא ר"א בר' שמעון אומר הקומץ קרב לעצמו, והשירים מתפזרין על בית הדשן</w:t>
      </w:r>
      <w:r w:rsidRPr="003D7FC2">
        <w:rPr>
          <w:rFonts w:ascii="Narkisim" w:hAnsi="Narkisim"/>
          <w:rtl/>
        </w:rPr>
        <w:t>. ה</w:t>
      </w:r>
      <w:r w:rsidRPr="003D7FC2">
        <w:rPr>
          <w:rFonts w:ascii="Narkisim" w:hAnsi="Narkisim"/>
          <w:b/>
          <w:bCs/>
          <w:rtl/>
        </w:rPr>
        <w:t>שיטמ"ק</w:t>
      </w:r>
      <w:r w:rsidRPr="003D7FC2">
        <w:rPr>
          <w:rFonts w:ascii="Narkisim" w:hAnsi="Narkisim"/>
          <w:rtl/>
        </w:rPr>
        <w:t xml:space="preserve"> (מנחות עד. ה) </w:t>
      </w:r>
      <w:r w:rsidRPr="003D7FC2">
        <w:rPr>
          <w:rFonts w:ascii="Narkisim" w:hAnsi="Narkisim"/>
          <w:rtl/>
        </w:rPr>
        <w:lastRenderedPageBreak/>
        <w:t>תמה מה תקנה היא זו, דהא אי הוה מנחת כהן צריך הקטרה, ואי מפזר בבית הדשן הוה מנחה שחסרה, ופסול</w:t>
      </w:r>
      <w:r w:rsidRPr="003D7FC2">
        <w:rPr>
          <w:rStyle w:val="ac"/>
          <w:rFonts w:ascii="Narkisim" w:hAnsi="Narkisim"/>
          <w:rtl/>
        </w:rPr>
        <w:footnoteReference w:id="6495"/>
      </w:r>
      <w:r w:rsidRPr="003D7FC2">
        <w:rPr>
          <w:rFonts w:ascii="Narkisim" w:hAnsi="Narkisim"/>
          <w:rtl/>
        </w:rPr>
        <w:t>. ותי' דמקטיר את הקומץ, ואין תקנה לקיום דין כליל תקטר דשאר המנחה.</w:t>
      </w:r>
    </w:p>
    <w:p w14:paraId="2E559249" w14:textId="77777777" w:rsidR="006C4368" w:rsidRPr="003D7FC2" w:rsidRDefault="006C4368" w:rsidP="006C4368">
      <w:pPr>
        <w:pStyle w:val="a8"/>
        <w:bidi/>
        <w:rPr>
          <w:rFonts w:ascii="Narkisim" w:hAnsi="Narkisim"/>
        </w:rPr>
      </w:pPr>
      <w:r w:rsidRPr="003D7FC2">
        <w:rPr>
          <w:rFonts w:ascii="Narkisim" w:hAnsi="Narkisim"/>
          <w:rtl/>
        </w:rPr>
        <w:t>אך צ"ב דאי הוה מנחת כהן א"כ אין לו דין קמיצה, והוה כמי שלא עשה כלום. ולא הקריב כלל. ולכאורה מבואר דאף במנחת כהן שייך עבודת קמיצה אם ירצה, אלא דאח”כ מחוייב לחזור ולהקטיר משום דין כליל.</w:t>
      </w:r>
    </w:p>
    <w:p w14:paraId="23D9D629" w14:textId="77777777" w:rsidR="006C4368" w:rsidRPr="003D7FC2" w:rsidRDefault="006C4368" w:rsidP="006C4368">
      <w:pPr>
        <w:pStyle w:val="a8"/>
        <w:bidi/>
        <w:rPr>
          <w:rFonts w:ascii="Narkisim" w:hAnsi="Narkisim"/>
        </w:rPr>
      </w:pPr>
      <w:r w:rsidRPr="003D7FC2">
        <w:rPr>
          <w:rFonts w:ascii="Narkisim" w:hAnsi="Narkisim"/>
          <w:rtl/>
        </w:rPr>
        <w:t>אבל ה</w:t>
      </w:r>
      <w:r w:rsidRPr="003D7FC2">
        <w:rPr>
          <w:rFonts w:ascii="Narkisim" w:hAnsi="Narkisim"/>
          <w:b/>
          <w:bCs/>
          <w:rtl/>
        </w:rPr>
        <w:t>ערול"נ</w:t>
      </w:r>
      <w:r w:rsidRPr="003D7FC2">
        <w:rPr>
          <w:rFonts w:ascii="Narkisim" w:hAnsi="Narkisim"/>
          <w:rtl/>
        </w:rPr>
        <w:t xml:space="preserve"> כת' דפיזור בבית הדשן הוה קצת קיום לדין כליל תקטר.</w:t>
      </w:r>
    </w:p>
    <w:p w14:paraId="76F99BFD" w14:textId="77777777" w:rsidR="006C4368" w:rsidRPr="003D7FC2" w:rsidRDefault="006C4368" w:rsidP="006C4368">
      <w:pPr>
        <w:pStyle w:val="aa"/>
        <w:bidi/>
        <w:rPr>
          <w:rFonts w:ascii="Narkisim" w:hAnsi="Narkisim"/>
        </w:rPr>
      </w:pPr>
      <w:r w:rsidRPr="003D7FC2">
        <w:rPr>
          <w:rFonts w:ascii="Narkisim" w:hAnsi="Narkisim"/>
          <w:rtl/>
        </w:rPr>
        <w:t>וב</w:t>
      </w:r>
      <w:r w:rsidRPr="003D7FC2">
        <w:rPr>
          <w:rFonts w:ascii="Narkisim" w:hAnsi="Narkisim"/>
          <w:b/>
          <w:bCs/>
          <w:rtl/>
        </w:rPr>
        <w:t>ירושלמי</w:t>
      </w:r>
      <w:r w:rsidRPr="003D7FC2">
        <w:rPr>
          <w:rFonts w:ascii="Narkisim" w:hAnsi="Narkisim"/>
          <w:rtl/>
        </w:rPr>
        <w:t xml:space="preserve"> אי' דאם א' נתנדב מנחה יש תקנה דאף השני ידור כנגדו ויקריבו בין שניהם בתנאי, וא' יעשו כדין מנחת כהן וא' כמנחת ישראל</w:t>
      </w:r>
      <w:r w:rsidRPr="003D7FC2">
        <w:rPr>
          <w:rStyle w:val="ac"/>
          <w:rFonts w:ascii="Narkisim" w:hAnsi="Narkisim"/>
          <w:rtl/>
        </w:rPr>
        <w:footnoteReference w:id="6496"/>
      </w:r>
      <w:r w:rsidRPr="003D7FC2">
        <w:rPr>
          <w:rFonts w:ascii="Narkisim" w:hAnsi="Narkisim"/>
          <w:rtl/>
        </w:rPr>
        <w:t>. [אך לכאורה חבירו אינו חייב לידור כנגדו. ועוד יל"ד דהיכא דא' כבר הקדיש המנחה ליכא תקנה. וכן במנחת חוטא ליכא תקנה].</w:t>
      </w:r>
    </w:p>
    <w:p w14:paraId="60E2227C" w14:textId="77777777" w:rsidR="006C4368" w:rsidRPr="003D7FC2" w:rsidRDefault="006C4368" w:rsidP="006C4368">
      <w:pPr>
        <w:pStyle w:val="aa"/>
        <w:bidi/>
        <w:rPr>
          <w:rFonts w:ascii="Narkisim" w:hAnsi="Narkisim"/>
        </w:rPr>
      </w:pPr>
      <w:r w:rsidRPr="003D7FC2">
        <w:rPr>
          <w:rFonts w:ascii="Narkisim" w:hAnsi="Narkisim"/>
          <w:u w:val="single"/>
          <w:rtl/>
        </w:rPr>
        <w:t>מי שלא שהתה וכו' ואין ידוע אם בן ט' לראשון וכו'</w:t>
      </w:r>
      <w:r w:rsidRPr="003D7FC2">
        <w:rPr>
          <w:rFonts w:ascii="Narkisim" w:hAnsi="Narkisim"/>
          <w:rtl/>
        </w:rPr>
        <w:t>. הגמ' (לעיל לז.) מק' [אמתני' דהתם] דרוב נשים לט' ילדין. ודוחה דיש ריעותא דלא הוכר עוברה. וה</w:t>
      </w:r>
      <w:r w:rsidRPr="003D7FC2">
        <w:rPr>
          <w:rFonts w:ascii="Narkisim" w:hAnsi="Narkisim"/>
          <w:b/>
          <w:bCs/>
          <w:rtl/>
        </w:rPr>
        <w:t>פתח"ת</w:t>
      </w:r>
      <w:r w:rsidRPr="003D7FC2">
        <w:rPr>
          <w:rFonts w:ascii="Narkisim" w:hAnsi="Narkisim"/>
          <w:rtl/>
        </w:rPr>
        <w:t xml:space="preserve"> (יו”ד שעד י, בשם שו"ת השיב רבי אליעזר ז לב) כת' דלפ”ז הך משנה נמי איירי דהיתה לפנינו בסוף ג' ולא הוכר עוברה. דאיתרע רובא. אבל היכא דלא היתה בפנינו עד אחר ג' חדשים דשני תלינן דנתעברה מהראשון, דרוב לט', ולענין איסורין הולכין אחר הרוב. ורק לענין ירושה ל"מ דאין הולכין בממון אחר הרוב.</w:t>
      </w:r>
    </w:p>
    <w:p w14:paraId="5E51C656" w14:textId="77777777" w:rsidR="006C4368" w:rsidRPr="003D7FC2" w:rsidRDefault="006C4368" w:rsidP="006C4368">
      <w:pPr>
        <w:pStyle w:val="3"/>
        <w:bidi/>
        <w:rPr>
          <w:rFonts w:ascii="Narkisim" w:hAnsi="Narkisim"/>
        </w:rPr>
      </w:pPr>
      <w:r w:rsidRPr="003D7FC2">
        <w:rPr>
          <w:rFonts w:ascii="Narkisim" w:hAnsi="Narkisim"/>
          <w:rtl/>
        </w:rPr>
        <w:t>דף ק:</w:t>
      </w:r>
    </w:p>
    <w:p w14:paraId="0232C28A" w14:textId="77777777" w:rsidR="006C4368" w:rsidRPr="003D7FC2" w:rsidRDefault="006C4368" w:rsidP="006C4368">
      <w:pPr>
        <w:bidi/>
        <w:rPr>
          <w:rFonts w:ascii="Narkisim" w:hAnsi="Narkisim" w:cs="Narkisim"/>
        </w:rPr>
      </w:pPr>
      <w:r w:rsidRPr="003D7FC2">
        <w:rPr>
          <w:rFonts w:ascii="Narkisim" w:hAnsi="Narkisim" w:cs="Narkisim"/>
          <w:u w:val="single"/>
          <w:rtl/>
        </w:rPr>
        <w:t>הוא אונן עליהם, והם אוננים עליו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דאסור לאכול בקדשים לחומרא. דאנינות דאורייתא. ובפשוטו משמע דשאר דיני אבילות אינם נוהגין. אבל </w:t>
      </w:r>
      <w:r w:rsidRPr="003D7FC2">
        <w:rPr>
          <w:rFonts w:ascii="Narkisim" w:hAnsi="Narkisim" w:cs="Narkisim"/>
          <w:b/>
          <w:bCs/>
          <w:rtl/>
        </w:rPr>
        <w:t>תוס'</w:t>
      </w:r>
      <w:r w:rsidRPr="003D7FC2">
        <w:rPr>
          <w:rFonts w:ascii="Narkisim" w:hAnsi="Narkisim" w:cs="Narkisim"/>
          <w:rtl/>
        </w:rPr>
        <w:t xml:space="preserve"> (לעיל לו: ד”ה הא, והרמ”א יו"ד שעד ח) כת' דמתאבלים</w:t>
      </w:r>
      <w:r w:rsidRPr="003D7FC2">
        <w:rPr>
          <w:rStyle w:val="ac"/>
          <w:rFonts w:ascii="Narkisim" w:hAnsi="Narkisim" w:cs="Narkisim"/>
          <w:rtl/>
        </w:rPr>
        <w:footnoteReference w:id="6497"/>
      </w:r>
      <w:r w:rsidRPr="003D7FC2">
        <w:rPr>
          <w:rFonts w:ascii="Narkisim" w:hAnsi="Narkisim" w:cs="Narkisim"/>
          <w:rtl/>
        </w:rPr>
        <w:t>, דגנאי הדבר ששניהם לא יתאבלו, מאחר שודאי קרוב לא'</w:t>
      </w:r>
      <w:r w:rsidRPr="003D7FC2">
        <w:rPr>
          <w:rStyle w:val="ac"/>
          <w:rFonts w:ascii="Narkisim" w:hAnsi="Narkisim" w:cs="Narkisim"/>
          <w:rtl/>
        </w:rPr>
        <w:footnoteReference w:id="6498"/>
      </w:r>
      <w:r w:rsidRPr="003D7FC2">
        <w:rPr>
          <w:rFonts w:ascii="Narkisim" w:hAnsi="Narkisim" w:cs="Narkisim"/>
          <w:rtl/>
        </w:rPr>
        <w:t>.</w:t>
      </w:r>
    </w:p>
    <w:p w14:paraId="705DCDD2"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פתח"ת</w:t>
      </w:r>
      <w:r w:rsidRPr="003D7FC2">
        <w:rPr>
          <w:rFonts w:ascii="Narkisim" w:hAnsi="Narkisim"/>
          <w:rtl/>
        </w:rPr>
        <w:t xml:space="preserve"> (שעד יא) הביא דבס' תבת גמא כת' דכ"ז כששניהם קיימים, אבל אם מת א' אין השני חייב להתאבל, דתו ל"ש גנאי, דתולין שהיה של השני ובמידי דרבנן ספיקא לקולא.</w:t>
      </w:r>
    </w:p>
    <w:p w14:paraId="59ADD924" w14:textId="77777777" w:rsidR="006C4368" w:rsidRPr="003D7FC2" w:rsidRDefault="006C4368" w:rsidP="006C4368">
      <w:pPr>
        <w:bidi/>
        <w:rPr>
          <w:rFonts w:ascii="Narkisim" w:hAnsi="Narkisim" w:cs="Narkisim"/>
        </w:rPr>
      </w:pPr>
      <w:r w:rsidRPr="003D7FC2">
        <w:rPr>
          <w:rFonts w:ascii="Narkisim" w:hAnsi="Narkisim" w:cs="Narkisim"/>
          <w:u w:val="single"/>
          <w:rtl/>
        </w:rPr>
        <w:t>הוא אינו יורש אותן</w:t>
      </w:r>
      <w:r w:rsidRPr="003D7FC2">
        <w:rPr>
          <w:rStyle w:val="ac"/>
          <w:rFonts w:ascii="Narkisim" w:hAnsi="Narkisim" w:cs="Narkisim"/>
          <w:u w:val="single"/>
          <w:rtl/>
        </w:rPr>
        <w:footnoteReference w:id="6499"/>
      </w:r>
      <w:r w:rsidRPr="003D7FC2">
        <w:rPr>
          <w:rFonts w:ascii="Narkisim" w:hAnsi="Narkisim" w:cs="Narkisim"/>
          <w:u w:val="single"/>
          <w:rtl/>
        </w:rPr>
        <w:t xml:space="preserve">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דיורשין מדחין אותו. והגמ' (לעיל לז:) מביאה משנה זו דאמרי' אין ספק מוציא מידי ודאי. [ונתברר באריכות שם]. וה</w:t>
      </w:r>
      <w:r w:rsidRPr="003D7FC2">
        <w:rPr>
          <w:rFonts w:ascii="Narkisim" w:hAnsi="Narkisim" w:cs="Narkisim"/>
          <w:b/>
          <w:bCs/>
          <w:rtl/>
        </w:rPr>
        <w:t>רא”ש</w:t>
      </w:r>
      <w:r w:rsidRPr="003D7FC2">
        <w:rPr>
          <w:rFonts w:ascii="Narkisim" w:hAnsi="Narkisim" w:cs="Narkisim"/>
          <w:rtl/>
        </w:rPr>
        <w:t xml:space="preserve"> (שם ד ח) הוסיף דהוחזקה נחלה באותו שבט.</w:t>
      </w:r>
    </w:p>
    <w:p w14:paraId="7D70218D" w14:textId="77777777" w:rsidR="006C4368" w:rsidRPr="003D7FC2" w:rsidRDefault="006C4368" w:rsidP="006C4368">
      <w:pPr>
        <w:pStyle w:val="aa"/>
        <w:bidi/>
        <w:rPr>
          <w:rFonts w:ascii="Narkisim" w:hAnsi="Narkisim"/>
        </w:rPr>
      </w:pPr>
      <w:r w:rsidRPr="003D7FC2">
        <w:rPr>
          <w:rFonts w:ascii="Narkisim" w:hAnsi="Narkisim"/>
          <w:rtl/>
        </w:rPr>
        <w:t>וה</w:t>
      </w:r>
      <w:r w:rsidRPr="003D7FC2">
        <w:rPr>
          <w:rFonts w:ascii="Narkisim" w:hAnsi="Narkisim"/>
          <w:b/>
          <w:bCs/>
          <w:rtl/>
        </w:rPr>
        <w:t>ריטב"א</w:t>
      </w:r>
      <w:r w:rsidRPr="003D7FC2">
        <w:rPr>
          <w:rFonts w:ascii="Narkisim" w:hAnsi="Narkisim"/>
          <w:rtl/>
        </w:rPr>
        <w:t xml:space="preserve"> (לעיל לז:, בשם הר”מ) כת' דה"מ היכא דיש בן אחר ודאי, אבל במקום שאר יורשים [כשאין בנים אחרים] הוה ספק וספק. דיורש מאוחר אינו יורש במקום בן. והכא דהוה ספק בן יחלוקו</w:t>
      </w:r>
      <w:r w:rsidRPr="003D7FC2">
        <w:rPr>
          <w:rStyle w:val="ac"/>
          <w:rFonts w:ascii="Narkisim" w:hAnsi="Narkisim"/>
          <w:rtl/>
        </w:rPr>
        <w:footnoteReference w:id="6500"/>
      </w:r>
      <w:r w:rsidRPr="003D7FC2">
        <w:rPr>
          <w:rFonts w:ascii="Narkisim" w:hAnsi="Narkisim"/>
          <w:rtl/>
        </w:rPr>
        <w:t>.</w:t>
      </w:r>
    </w:p>
    <w:p w14:paraId="51C41881" w14:textId="77777777" w:rsidR="006C4368" w:rsidRPr="003D7FC2" w:rsidRDefault="006C4368" w:rsidP="006C4368">
      <w:pPr>
        <w:pStyle w:val="a8"/>
        <w:bidi/>
        <w:rPr>
          <w:rFonts w:ascii="Narkisim" w:hAnsi="Narkisim"/>
        </w:rPr>
      </w:pPr>
      <w:r w:rsidRPr="003D7FC2">
        <w:rPr>
          <w:rFonts w:ascii="Narkisim" w:hAnsi="Narkisim"/>
          <w:rtl/>
        </w:rPr>
        <w:t>אבל ה</w:t>
      </w:r>
      <w:r w:rsidRPr="003D7FC2">
        <w:rPr>
          <w:rFonts w:ascii="Narkisim" w:hAnsi="Narkisim"/>
          <w:b/>
          <w:bCs/>
          <w:rtl/>
        </w:rPr>
        <w:t>רמב”ן</w:t>
      </w:r>
      <w:r w:rsidRPr="003D7FC2">
        <w:rPr>
          <w:rFonts w:ascii="Narkisim" w:hAnsi="Narkisim"/>
          <w:rtl/>
        </w:rPr>
        <w:t xml:space="preserve"> (שם) הביא דהמשנה נקטה מילתא פסיקא, אפי' היו למת אחים. ואף דאין האחים יורשים במקום בן, לא אמרי' דשמא הוה בנו ויחלוקו, ואפ"ה אמרי' הוא לא יורש אותן, מפני שהוחזקו נכסים לבני משפחה וזה בחזקת רחוק לגמרי. ואין ספק מוציא מידי ודאי.</w:t>
      </w:r>
    </w:p>
    <w:p w14:paraId="6AECF77C"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קובה"ע</w:t>
      </w:r>
      <w:r w:rsidRPr="003D7FC2">
        <w:rPr>
          <w:rFonts w:ascii="Narkisim" w:hAnsi="Narkisim"/>
          <w:rtl/>
        </w:rPr>
        <w:t xml:space="preserve"> (מ ח) הביא דנח' האם יש ליורש המאוחר 'דין יורש' במקום יורש המוקדם [עי"ש שהאריך].</w:t>
      </w:r>
    </w:p>
    <w:p w14:paraId="1FDF3C19" w14:textId="77777777" w:rsidR="006C4368" w:rsidRPr="003D7FC2" w:rsidRDefault="006C4368" w:rsidP="006C4368">
      <w:pPr>
        <w:pStyle w:val="aa"/>
        <w:bidi/>
        <w:rPr>
          <w:rFonts w:ascii="Narkisim" w:hAnsi="Narkisim"/>
        </w:rPr>
      </w:pPr>
      <w:r w:rsidRPr="003D7FC2">
        <w:rPr>
          <w:rFonts w:ascii="Narkisim" w:hAnsi="Narkisim"/>
          <w:u w:val="single"/>
          <w:rtl/>
        </w:rPr>
        <w:t>אילימא שמשתקין אותו מנכסי אביו, פשיטא מי ידעינן אבוה מנו</w:t>
      </w:r>
      <w:r w:rsidRPr="003D7FC2">
        <w:rPr>
          <w:rFonts w:ascii="Narkisim" w:hAnsi="Narkisim"/>
          <w:rtl/>
        </w:rPr>
        <w:t>. ו</w:t>
      </w:r>
      <w:r w:rsidRPr="003D7FC2">
        <w:rPr>
          <w:rFonts w:ascii="Narkisim" w:hAnsi="Narkisim"/>
          <w:b/>
          <w:bCs/>
          <w:rtl/>
        </w:rPr>
        <w:t>תוס'</w:t>
      </w:r>
      <w:r w:rsidRPr="003D7FC2">
        <w:rPr>
          <w:rFonts w:ascii="Narkisim" w:hAnsi="Narkisim"/>
          <w:rtl/>
        </w:rPr>
        <w:t xml:space="preserve"> (כתובות יג:) כת' דפשיטא דאפי' תפס ל"מ, ול"ד להא דאי' (קידושין עה.) גבי ארוס וארוסתו דיש רגליים לדבר שמארוס, ומש”ה ס”ד דמהני תפיסה בירושה.</w:t>
      </w:r>
    </w:p>
    <w:p w14:paraId="52113BDC" w14:textId="77777777" w:rsidR="006C4368" w:rsidRPr="003D7FC2" w:rsidRDefault="006C4368" w:rsidP="006C4368">
      <w:pPr>
        <w:pStyle w:val="aa"/>
        <w:bidi/>
        <w:rPr>
          <w:rFonts w:ascii="Narkisim" w:hAnsi="Narkisim"/>
        </w:rPr>
      </w:pPr>
      <w:r w:rsidRPr="003D7FC2">
        <w:rPr>
          <w:rFonts w:ascii="Narkisim" w:hAnsi="Narkisim"/>
          <w:u w:val="single"/>
          <w:rtl/>
        </w:rPr>
        <w:t>אלא שמשתקין אותו מדין כהונה וכו'</w:t>
      </w:r>
      <w:r w:rsidRPr="003D7FC2">
        <w:rPr>
          <w:rFonts w:ascii="Narkisim" w:hAnsi="Narkisim"/>
          <w:rtl/>
        </w:rPr>
        <w:t>. פ</w:t>
      </w:r>
      <w:r w:rsidRPr="003D7FC2">
        <w:rPr>
          <w:rFonts w:ascii="Narkisim" w:hAnsi="Narkisim"/>
          <w:b/>
          <w:bCs/>
          <w:rtl/>
        </w:rPr>
        <w:t>רש”י</w:t>
      </w:r>
      <w:r w:rsidRPr="003D7FC2">
        <w:rPr>
          <w:rFonts w:ascii="Narkisim" w:hAnsi="Narkisim"/>
          <w:rtl/>
        </w:rPr>
        <w:t xml:space="preserve"> מלעבוד עבודה. ו</w:t>
      </w:r>
      <w:r w:rsidRPr="003D7FC2">
        <w:rPr>
          <w:rFonts w:ascii="Narkisim" w:hAnsi="Narkisim"/>
          <w:b/>
          <w:bCs/>
          <w:rtl/>
        </w:rPr>
        <w:t>רש”י</w:t>
      </w:r>
      <w:r w:rsidRPr="003D7FC2">
        <w:rPr>
          <w:rFonts w:ascii="Narkisim" w:hAnsi="Narkisim"/>
          <w:rtl/>
        </w:rPr>
        <w:t xml:space="preserve"> (כתובות יג:) הוסיף דלא יאכל בתרומה. </w:t>
      </w:r>
      <w:r w:rsidRPr="003D7FC2">
        <w:rPr>
          <w:rFonts w:ascii="Narkisim" w:hAnsi="Narkisim"/>
          <w:rtl/>
        </w:rPr>
        <w:lastRenderedPageBreak/>
        <w:t>וה</w:t>
      </w:r>
      <w:r w:rsidRPr="003D7FC2">
        <w:rPr>
          <w:rFonts w:ascii="Narkisim" w:hAnsi="Narkisim"/>
          <w:b/>
          <w:bCs/>
          <w:rtl/>
        </w:rPr>
        <w:t>ריטב”א</w:t>
      </w:r>
      <w:r w:rsidRPr="003D7FC2">
        <w:rPr>
          <w:rFonts w:ascii="Narkisim" w:hAnsi="Narkisim"/>
          <w:rtl/>
        </w:rPr>
        <w:t xml:space="preserve"> (שם) חלק דדוקא עבודה ממש. אבל אוכל תרומה, דסוף סוף הוא בן כהן כשר</w:t>
      </w:r>
      <w:r w:rsidRPr="003D7FC2">
        <w:rPr>
          <w:rStyle w:val="ac"/>
          <w:rFonts w:ascii="Narkisim" w:hAnsi="Narkisim"/>
          <w:rtl/>
        </w:rPr>
        <w:footnoteReference w:id="6501"/>
      </w:r>
      <w:r w:rsidRPr="003D7FC2">
        <w:rPr>
          <w:rFonts w:ascii="Narkisim" w:hAnsi="Narkisim"/>
          <w:rtl/>
        </w:rPr>
        <w:t>.</w:t>
      </w:r>
    </w:p>
    <w:p w14:paraId="7A324A46" w14:textId="77777777" w:rsidR="006C4368" w:rsidRPr="003D7FC2" w:rsidRDefault="006C4368" w:rsidP="006C4368">
      <w:pPr>
        <w:bidi/>
        <w:rPr>
          <w:rFonts w:ascii="Narkisim" w:hAnsi="Narkisim" w:cs="Narkisim"/>
        </w:rPr>
      </w:pPr>
      <w:r w:rsidRPr="003D7FC2">
        <w:rPr>
          <w:rFonts w:ascii="Narkisim" w:hAnsi="Narkisim" w:cs="Narkisim"/>
          <w:u w:val="single"/>
          <w:rtl/>
        </w:rPr>
        <w:t>אלא מעתה גבי אברהם דכתיב וכו' ולזרעך אחריך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דגבי אברהם לא קאי כלפי כהונה, ול"ש פסול. וי' ישראלים שפירש א' ובעל, הולד ישראל כשר. [דאין סברא דצריך 'יחוס ישראל', שנדע מי אביו</w:t>
      </w:r>
      <w:r w:rsidRPr="003D7FC2">
        <w:rPr>
          <w:rStyle w:val="ac"/>
          <w:rFonts w:ascii="Narkisim" w:hAnsi="Narkisim" w:cs="Narkisim"/>
          <w:rtl/>
        </w:rPr>
        <w:footnoteReference w:id="6502"/>
      </w:r>
      <w:r w:rsidRPr="003D7FC2">
        <w:rPr>
          <w:rFonts w:ascii="Narkisim" w:hAnsi="Narkisim" w:cs="Narkisim"/>
          <w:rtl/>
        </w:rPr>
        <w:t>].</w:t>
      </w:r>
    </w:p>
    <w:p w14:paraId="76585A16" w14:textId="77777777" w:rsidR="006C4368" w:rsidRPr="003D7FC2" w:rsidRDefault="006C4368" w:rsidP="006C4368">
      <w:pPr>
        <w:bidi/>
        <w:rPr>
          <w:rFonts w:ascii="Narkisim" w:hAnsi="Narkisim" w:cs="Narkisim"/>
        </w:rPr>
      </w:pPr>
      <w:r w:rsidRPr="003D7FC2">
        <w:rPr>
          <w:rFonts w:ascii="Narkisim" w:hAnsi="Narkisim" w:cs="Narkisim"/>
          <w:rtl/>
        </w:rPr>
        <w:t>ובגמ' (לעיל מב.) שמואל דרש דצריך הבחנה [מדאורייתא], דכתיב להיות לך וכו' ולזרעך אחריך, להבחין בין זרעו של ראשון לזרעו של שני</w:t>
      </w:r>
      <w:r w:rsidRPr="003D7FC2">
        <w:rPr>
          <w:rStyle w:val="ac"/>
          <w:rFonts w:ascii="Narkisim" w:hAnsi="Narkisim" w:cs="Narkisim"/>
          <w:rtl/>
        </w:rPr>
        <w:footnoteReference w:id="6503"/>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שאין השכינה שורה אלא על הוודאים, שזרעו מיוחס אחריו.</w:t>
      </w:r>
    </w:p>
    <w:p w14:paraId="3684E52B" w14:textId="77777777" w:rsidR="006C4368" w:rsidRPr="003D7FC2" w:rsidRDefault="006C4368" w:rsidP="006C4368">
      <w:pPr>
        <w:pStyle w:val="a8"/>
        <w:bidi/>
        <w:rPr>
          <w:rFonts w:ascii="Narkisim" w:hAnsi="Narkisim"/>
        </w:rPr>
      </w:pPr>
      <w:r w:rsidRPr="003D7FC2">
        <w:rPr>
          <w:rFonts w:ascii="Narkisim" w:hAnsi="Narkisim"/>
          <w:rtl/>
        </w:rPr>
        <w:t>וה</w:t>
      </w:r>
      <w:r w:rsidRPr="003D7FC2">
        <w:rPr>
          <w:rFonts w:ascii="Narkisim" w:hAnsi="Narkisim"/>
          <w:b/>
          <w:bCs/>
          <w:rtl/>
        </w:rPr>
        <w:t>ריטב"א</w:t>
      </w:r>
      <w:r w:rsidRPr="003D7FC2">
        <w:rPr>
          <w:rFonts w:ascii="Narkisim" w:hAnsi="Narkisim"/>
          <w:rtl/>
        </w:rPr>
        <w:t xml:space="preserve"> הק' דהו"ל לגמ' (כאן) לומר עד"ז, לא לינסוב אתתא בתוך ג' חדשים לבעלה כדי להבחין הזרע. ותי' דלמסקנא (לעיל מב.) ל"צ</w:t>
      </w:r>
      <w:r w:rsidRPr="003D7FC2">
        <w:rPr>
          <w:rStyle w:val="ac"/>
          <w:rFonts w:ascii="Narkisim" w:hAnsi="Narkisim"/>
          <w:rtl/>
        </w:rPr>
        <w:footnoteReference w:id="6504"/>
      </w:r>
      <w:r w:rsidRPr="003D7FC2">
        <w:rPr>
          <w:rFonts w:ascii="Narkisim" w:hAnsi="Narkisim"/>
          <w:rtl/>
        </w:rPr>
        <w:t xml:space="preserve"> האי דרשא.</w:t>
      </w:r>
    </w:p>
    <w:p w14:paraId="2358811C" w14:textId="77777777" w:rsidR="006C4368" w:rsidRPr="003D7FC2" w:rsidRDefault="006C4368" w:rsidP="006C4368">
      <w:pPr>
        <w:bidi/>
        <w:rPr>
          <w:rFonts w:ascii="Narkisim" w:hAnsi="Narkisim" w:cs="Narkisim"/>
        </w:rPr>
      </w:pPr>
      <w:r w:rsidRPr="003D7FC2">
        <w:rPr>
          <w:rFonts w:ascii="Narkisim" w:hAnsi="Narkisim" w:cs="Narkisim"/>
          <w:u w:val="single"/>
          <w:rtl/>
        </w:rPr>
        <w:t>לא תנסב עכו"ם ושפחה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דישראל הבא על נכרית ושפחה וולדה כמוה. לכאורה מבואר דקודם מתן תורה היה להם דין 'ישראל', דאילו ישא נכרית [בלא לגייר אותה] הולד הולך אחריה. דאילו יש להם דין בין נח א"כ נימא דבאומות הולד הולך אחר הזכר (כדאי' לעיל עח:).</w:t>
      </w:r>
    </w:p>
    <w:p w14:paraId="155DC486" w14:textId="77777777" w:rsidR="006C4368" w:rsidRPr="003D7FC2" w:rsidRDefault="006C4368" w:rsidP="006C4368">
      <w:pPr>
        <w:pStyle w:val="aa"/>
        <w:bidi/>
        <w:rPr>
          <w:rFonts w:ascii="Narkisim" w:hAnsi="Narkisim"/>
        </w:rPr>
      </w:pPr>
      <w:r w:rsidRPr="003D7FC2">
        <w:rPr>
          <w:rFonts w:ascii="Narkisim" w:hAnsi="Narkisim"/>
          <w:rtl/>
        </w:rPr>
        <w:t>וה</w:t>
      </w:r>
      <w:r w:rsidRPr="003D7FC2">
        <w:rPr>
          <w:rFonts w:ascii="Narkisim" w:hAnsi="Narkisim"/>
          <w:b/>
          <w:bCs/>
          <w:rtl/>
        </w:rPr>
        <w:t>מהרש"א ח"א</w:t>
      </w:r>
      <w:r w:rsidRPr="003D7FC2">
        <w:rPr>
          <w:rFonts w:ascii="Narkisim" w:hAnsi="Narkisim"/>
          <w:rtl/>
        </w:rPr>
        <w:t xml:space="preserve"> כת' דלפ"ז צ"ל דהא דאברהם נשא את הגר שפחת שרה</w:t>
      </w:r>
      <w:r w:rsidRPr="003D7FC2">
        <w:rPr>
          <w:rStyle w:val="ac"/>
          <w:rFonts w:ascii="Narkisim" w:hAnsi="Narkisim"/>
          <w:rtl/>
        </w:rPr>
        <w:footnoteReference w:id="6505"/>
      </w:r>
      <w:r w:rsidRPr="003D7FC2">
        <w:rPr>
          <w:rFonts w:ascii="Narkisim" w:hAnsi="Narkisim"/>
          <w:rtl/>
        </w:rPr>
        <w:t>, משום דשחררה</w:t>
      </w:r>
      <w:r w:rsidRPr="003D7FC2">
        <w:rPr>
          <w:rStyle w:val="ac"/>
          <w:rFonts w:ascii="Narkisim" w:hAnsi="Narkisim"/>
          <w:rtl/>
        </w:rPr>
        <w:footnoteReference w:id="6506"/>
      </w:r>
      <w:r w:rsidRPr="003D7FC2">
        <w:rPr>
          <w:rFonts w:ascii="Narkisim" w:hAnsi="Narkisim"/>
          <w:rtl/>
        </w:rPr>
        <w:t>. וכן צ"ל גבי יעקב שנשא שפחת רחל ולאה. והמהרש"א הק' דאי הגר נתגיירה א"כ היתה מצרית ראשונה, ואמרי' דאברהם קיים כל התורה. ותי' דקודם שנימול לא קיים כל התורה</w:t>
      </w:r>
      <w:r w:rsidRPr="003D7FC2">
        <w:rPr>
          <w:rStyle w:val="ac"/>
          <w:rFonts w:ascii="Narkisim" w:hAnsi="Narkisim"/>
          <w:rtl/>
        </w:rPr>
        <w:footnoteReference w:id="6507"/>
      </w:r>
      <w:r w:rsidRPr="003D7FC2">
        <w:rPr>
          <w:rFonts w:ascii="Narkisim" w:hAnsi="Narkisim"/>
          <w:rtl/>
        </w:rPr>
        <w:t>. וכיון שכבר נשאה בהיתר שוב אי"צ לגרשה אף לאחר שנימול</w:t>
      </w:r>
      <w:r w:rsidRPr="003D7FC2">
        <w:rPr>
          <w:rStyle w:val="ac"/>
          <w:rFonts w:ascii="Narkisim" w:hAnsi="Narkisim"/>
          <w:rtl/>
        </w:rPr>
        <w:footnoteReference w:id="6508"/>
      </w:r>
      <w:r w:rsidRPr="003D7FC2">
        <w:rPr>
          <w:rFonts w:ascii="Narkisim" w:hAnsi="Narkisim"/>
          <w:rtl/>
        </w:rPr>
        <w:t>.</w:t>
      </w:r>
    </w:p>
    <w:p w14:paraId="494908BE" w14:textId="77777777" w:rsidR="006C4368" w:rsidRPr="003D7FC2" w:rsidRDefault="006C4368" w:rsidP="006C4368">
      <w:pPr>
        <w:pStyle w:val="aa"/>
        <w:bidi/>
        <w:rPr>
          <w:rFonts w:ascii="Narkisim" w:hAnsi="Narkisim"/>
        </w:rPr>
      </w:pPr>
      <w:r w:rsidRPr="003D7FC2">
        <w:rPr>
          <w:rFonts w:ascii="Narkisim" w:hAnsi="Narkisim"/>
          <w:u w:val="single"/>
          <w:rtl/>
        </w:rPr>
        <w:t>זרעו מיוחס אחריו דרבנן וכו' וכי גזור רבנן בזנות</w:t>
      </w:r>
      <w:r w:rsidRPr="003D7FC2">
        <w:rPr>
          <w:rFonts w:ascii="Narkisim" w:hAnsi="Narkisim"/>
          <w:rtl/>
        </w:rPr>
        <w:t>. ב</w:t>
      </w:r>
      <w:r w:rsidRPr="003D7FC2">
        <w:rPr>
          <w:rFonts w:ascii="Narkisim" w:hAnsi="Narkisim"/>
          <w:b/>
          <w:bCs/>
          <w:rtl/>
        </w:rPr>
        <w:t>שו"ת הרא"ש</w:t>
      </w:r>
      <w:r w:rsidRPr="003D7FC2">
        <w:rPr>
          <w:rFonts w:ascii="Narkisim" w:hAnsi="Narkisim"/>
          <w:rtl/>
        </w:rPr>
        <w:t xml:space="preserve"> (לב טז הו' ברמ"א ג ט) כת' דדוקא כשאין ידוע מי, אבל פנויה שזינתה, והבועל לפנינו נחשב זרעו מיוחס. דלא קי"ל כאביי (לעיל סט.) דאמרי' מדאפקרה נפשה.</w:t>
      </w:r>
    </w:p>
    <w:p w14:paraId="11E1467B" w14:textId="77777777" w:rsidR="006C4368" w:rsidRPr="003D7FC2" w:rsidRDefault="006C4368" w:rsidP="006C4368">
      <w:pPr>
        <w:pStyle w:val="aa"/>
        <w:bidi/>
        <w:rPr>
          <w:rFonts w:ascii="Narkisim" w:hAnsi="Narkisim"/>
        </w:rPr>
      </w:pPr>
      <w:r w:rsidRPr="003D7FC2">
        <w:rPr>
          <w:rFonts w:ascii="Narkisim" w:hAnsi="Narkisim"/>
          <w:rtl/>
        </w:rPr>
        <w:t>וה</w:t>
      </w:r>
      <w:r w:rsidRPr="003D7FC2">
        <w:rPr>
          <w:rFonts w:ascii="Narkisim" w:hAnsi="Narkisim"/>
          <w:b/>
          <w:bCs/>
          <w:rtl/>
        </w:rPr>
        <w:t>דרישה</w:t>
      </w:r>
      <w:r w:rsidRPr="003D7FC2">
        <w:rPr>
          <w:rFonts w:ascii="Narkisim" w:hAnsi="Narkisim"/>
          <w:rtl/>
        </w:rPr>
        <w:t xml:space="preserve"> (ג י) כת' דאף כשנולדו בזנות ואח"כ נתערבו משתקין מדין כהונה. וה</w:t>
      </w:r>
      <w:r w:rsidRPr="003D7FC2">
        <w:rPr>
          <w:rFonts w:ascii="Narkisim" w:hAnsi="Narkisim"/>
          <w:b/>
          <w:bCs/>
          <w:rtl/>
        </w:rPr>
        <w:t>ט"ז</w:t>
      </w:r>
      <w:r w:rsidRPr="003D7FC2">
        <w:rPr>
          <w:rFonts w:ascii="Narkisim" w:hAnsi="Narkisim"/>
          <w:rtl/>
        </w:rPr>
        <w:t xml:space="preserve"> (שם י, הו' ב</w:t>
      </w:r>
      <w:r w:rsidRPr="003D7FC2">
        <w:rPr>
          <w:rFonts w:ascii="Narkisim" w:hAnsi="Narkisim"/>
          <w:b/>
          <w:bCs/>
          <w:rtl/>
        </w:rPr>
        <w:t>בי”ש</w:t>
      </w:r>
      <w:r w:rsidRPr="003D7FC2">
        <w:rPr>
          <w:rFonts w:ascii="Narkisim" w:hAnsi="Narkisim"/>
          <w:rtl/>
        </w:rPr>
        <w:t xml:space="preserve"> טז) חלק דהתם הוה מיוחס בשעת לידה, ומה יזיק דאח"כ נתערבו</w:t>
      </w:r>
      <w:r w:rsidRPr="003D7FC2">
        <w:rPr>
          <w:rStyle w:val="ac"/>
          <w:rFonts w:ascii="Narkisim" w:hAnsi="Narkisim"/>
          <w:rtl/>
        </w:rPr>
        <w:footnoteReference w:id="6509"/>
      </w:r>
      <w:r w:rsidRPr="003D7FC2">
        <w:rPr>
          <w:rFonts w:ascii="Narkisim" w:hAnsi="Narkisim"/>
          <w:rtl/>
        </w:rPr>
        <w:t>. ודוקא ספק בן ט' לראשון או שלא ידעינן מי בעל לא קרינן 'ולזרעו אחריו'.</w:t>
      </w:r>
    </w:p>
    <w:p w14:paraId="0A598DEA" w14:textId="77777777" w:rsidR="006C4368" w:rsidRPr="003D7FC2" w:rsidRDefault="006C4368" w:rsidP="006C4368">
      <w:pPr>
        <w:pStyle w:val="aa"/>
        <w:bidi/>
        <w:rPr>
          <w:rFonts w:ascii="Narkisim" w:hAnsi="Narkisim"/>
        </w:rPr>
      </w:pPr>
      <w:r w:rsidRPr="003D7FC2">
        <w:rPr>
          <w:rFonts w:ascii="Narkisim" w:hAnsi="Narkisim"/>
          <w:u w:val="single"/>
          <w:rtl/>
        </w:rPr>
        <w:t>אימא סיפא הוא אין מטמא וכו'</w:t>
      </w:r>
      <w:r w:rsidRPr="003D7FC2">
        <w:rPr>
          <w:rFonts w:ascii="Narkisim" w:hAnsi="Narkisim"/>
          <w:rtl/>
        </w:rPr>
        <w:t>. מבואר דפשיט"ל לגמ' דקאי אטומאת כהנים. וה</w:t>
      </w:r>
      <w:r w:rsidRPr="003D7FC2">
        <w:rPr>
          <w:rFonts w:ascii="Narkisim" w:hAnsi="Narkisim"/>
          <w:b/>
          <w:bCs/>
          <w:rtl/>
        </w:rPr>
        <w:t xml:space="preserve">רש"ש </w:t>
      </w:r>
      <w:r w:rsidRPr="003D7FC2">
        <w:rPr>
          <w:rFonts w:ascii="Narkisim" w:hAnsi="Narkisim"/>
          <w:rtl/>
        </w:rPr>
        <w:t>הק' דנימא דקאי ברגל דאף ישראל</w:t>
      </w:r>
      <w:r w:rsidRPr="003D7FC2">
        <w:rPr>
          <w:rStyle w:val="ac"/>
          <w:rFonts w:ascii="Narkisim" w:hAnsi="Narkisim"/>
          <w:rtl/>
        </w:rPr>
        <w:footnoteReference w:id="6510"/>
      </w:r>
      <w:r w:rsidRPr="003D7FC2">
        <w:rPr>
          <w:rFonts w:ascii="Narkisim" w:hAnsi="Narkisim"/>
          <w:rtl/>
        </w:rPr>
        <w:t xml:space="preserve"> מוזהרין מהטומאה, וכמ"ש </w:t>
      </w:r>
      <w:r w:rsidRPr="003D7FC2">
        <w:rPr>
          <w:rFonts w:ascii="Narkisim" w:hAnsi="Narkisim"/>
          <w:b/>
          <w:bCs/>
          <w:rtl/>
        </w:rPr>
        <w:t>תוס</w:t>
      </w:r>
      <w:r w:rsidRPr="003D7FC2">
        <w:rPr>
          <w:rFonts w:ascii="Narkisim" w:hAnsi="Narkisim"/>
          <w:rtl/>
        </w:rPr>
        <w:t>' (לעיל כט:). וכת' די"ל דקו' הגמ' סמך אעולה במשמרתו של זה.</w:t>
      </w:r>
    </w:p>
    <w:p w14:paraId="28A60A73" w14:textId="77777777" w:rsidR="006C4368" w:rsidRPr="003D7FC2" w:rsidRDefault="006C4368" w:rsidP="006C4368">
      <w:pPr>
        <w:bidi/>
        <w:rPr>
          <w:rFonts w:ascii="Narkisim" w:hAnsi="Narkisim" w:cs="Narkisim"/>
        </w:rPr>
      </w:pPr>
      <w:r w:rsidRPr="003D7FC2">
        <w:rPr>
          <w:rFonts w:ascii="Narkisim" w:hAnsi="Narkisim" w:cs="Narkisim"/>
          <w:u w:val="single"/>
          <w:rtl/>
        </w:rPr>
        <w:t>בשלמא לשני לא ליטמי ליה</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שמא בן הראשון הוא וכהן כשר הוא. ה</w:t>
      </w:r>
      <w:r w:rsidRPr="003D7FC2">
        <w:rPr>
          <w:rFonts w:ascii="Narkisim" w:hAnsi="Narkisim" w:cs="Narkisim"/>
          <w:b/>
          <w:bCs/>
          <w:rtl/>
        </w:rPr>
        <w:t>קובה"ע</w:t>
      </w:r>
      <w:r w:rsidRPr="003D7FC2">
        <w:rPr>
          <w:rFonts w:ascii="Narkisim" w:hAnsi="Narkisim" w:cs="Narkisim"/>
          <w:rtl/>
        </w:rPr>
        <w:t xml:space="preserve"> (עב ה) העיר דמ"מ אמו אח"כ נעשית חללה בעודה מעוברת. [שלאחר שנתגרשה נשאת לכהן שני]. וכ"כ ה</w:t>
      </w:r>
      <w:r w:rsidRPr="003D7FC2">
        <w:rPr>
          <w:rFonts w:ascii="Narkisim" w:hAnsi="Narkisim" w:cs="Narkisim"/>
          <w:b/>
          <w:bCs/>
          <w:rtl/>
        </w:rPr>
        <w:t>רמב"ם</w:t>
      </w:r>
      <w:r w:rsidRPr="003D7FC2">
        <w:rPr>
          <w:rFonts w:ascii="Narkisim" w:hAnsi="Narkisim" w:cs="Narkisim"/>
          <w:rtl/>
        </w:rPr>
        <w:t xml:space="preserve"> (איסו"ב יט ז) דאף דהיא נתחללה, העובר שבמעיה לא נפסל, שהרי לא בא </w:t>
      </w:r>
      <w:r w:rsidRPr="003D7FC2">
        <w:rPr>
          <w:rFonts w:ascii="Narkisim" w:hAnsi="Narkisim" w:cs="Narkisim"/>
          <w:rtl/>
        </w:rPr>
        <w:lastRenderedPageBreak/>
        <w:t>מטיפת עבירה</w:t>
      </w:r>
      <w:r w:rsidRPr="003D7FC2">
        <w:rPr>
          <w:rStyle w:val="ac"/>
          <w:rFonts w:ascii="Narkisim" w:hAnsi="Narkisim" w:cs="Narkisim"/>
          <w:rtl/>
        </w:rPr>
        <w:footnoteReference w:id="6511"/>
      </w:r>
      <w:r w:rsidRPr="003D7FC2">
        <w:rPr>
          <w:rFonts w:ascii="Narkisim" w:hAnsi="Narkisim" w:cs="Narkisim"/>
          <w:rtl/>
        </w:rPr>
        <w:t>. והאו"ש וקובה"ע הביאו דיש מקור מסוגיין.</w:t>
      </w:r>
    </w:p>
    <w:p w14:paraId="04EB9959" w14:textId="77777777" w:rsidR="006C4368" w:rsidRPr="003D7FC2" w:rsidRDefault="006C4368" w:rsidP="006C4368">
      <w:pPr>
        <w:bidi/>
        <w:rPr>
          <w:rFonts w:ascii="Narkisim" w:hAnsi="Narkisim" w:cs="Narkisim"/>
        </w:rPr>
      </w:pPr>
      <w:r w:rsidRPr="003D7FC2">
        <w:rPr>
          <w:rFonts w:ascii="Narkisim" w:hAnsi="Narkisim" w:cs="Narkisim"/>
          <w:u w:val="single"/>
          <w:rtl/>
        </w:rPr>
        <w:t>אלא לראשון ליטמי ליה ממ"נ וכו' ואי בר בתרא הוא וכו' דחלל הוא</w:t>
      </w:r>
      <w:r w:rsidRPr="003D7FC2">
        <w:rPr>
          <w:rFonts w:ascii="Narkisim" w:hAnsi="Narkisim" w:cs="Narkisim"/>
          <w:rtl/>
        </w:rPr>
        <w:t>. ה</w:t>
      </w:r>
      <w:r w:rsidRPr="003D7FC2">
        <w:rPr>
          <w:rFonts w:ascii="Narkisim" w:hAnsi="Narkisim" w:cs="Narkisim"/>
          <w:b/>
          <w:bCs/>
          <w:rtl/>
        </w:rPr>
        <w:t>קובה"ע</w:t>
      </w:r>
      <w:r w:rsidRPr="003D7FC2">
        <w:rPr>
          <w:rFonts w:ascii="Narkisim" w:hAnsi="Narkisim" w:cs="Narkisim"/>
          <w:rtl/>
        </w:rPr>
        <w:t xml:space="preserve"> (עב ו) הק' דב</w:t>
      </w:r>
      <w:r w:rsidRPr="003D7FC2">
        <w:rPr>
          <w:rFonts w:ascii="Narkisim" w:hAnsi="Narkisim" w:cs="Narkisim"/>
          <w:b/>
          <w:bCs/>
          <w:rtl/>
        </w:rPr>
        <w:t>תו"כ</w:t>
      </w:r>
      <w:r w:rsidRPr="003D7FC2">
        <w:rPr>
          <w:rFonts w:ascii="Narkisim" w:hAnsi="Narkisim" w:cs="Narkisim"/>
          <w:rtl/>
        </w:rPr>
        <w:t xml:space="preserve"> (אמור א יג) נתמעט דאינו מטמא על הספק. א"כ ה"נ ל"ש ממ"נ, דאף על הצד שהוא כהן אינו רשאי לטמאות בתורת ודאי, כיון דאינו קורבא ודאית. אך הביא דה</w:t>
      </w:r>
      <w:r w:rsidRPr="003D7FC2">
        <w:rPr>
          <w:rFonts w:ascii="Narkisim" w:hAnsi="Narkisim" w:cs="Narkisim"/>
          <w:b/>
          <w:bCs/>
          <w:rtl/>
        </w:rPr>
        <w:t>רמב"ן</w:t>
      </w:r>
      <w:r w:rsidRPr="003D7FC2">
        <w:rPr>
          <w:rFonts w:ascii="Narkisim" w:hAnsi="Narkisim" w:cs="Narkisim"/>
          <w:rtl/>
        </w:rPr>
        <w:t xml:space="preserve"> (תוה"א) כת' דהוה אסמכתא בעלמא, ולא איצטריך למעט ספק</w:t>
      </w:r>
      <w:r w:rsidRPr="003D7FC2">
        <w:rPr>
          <w:rStyle w:val="ac"/>
          <w:rFonts w:ascii="Narkisim" w:hAnsi="Narkisim" w:cs="Narkisim"/>
          <w:rtl/>
        </w:rPr>
        <w:footnoteReference w:id="6512"/>
      </w:r>
      <w:r w:rsidRPr="003D7FC2">
        <w:rPr>
          <w:rFonts w:ascii="Narkisim" w:hAnsi="Narkisim" w:cs="Narkisim"/>
          <w:rtl/>
        </w:rPr>
        <w:t>.</w:t>
      </w:r>
    </w:p>
    <w:p w14:paraId="5D66AE51" w14:textId="77777777" w:rsidR="006C4368" w:rsidRPr="003D7FC2" w:rsidRDefault="006C4368" w:rsidP="006C4368">
      <w:pPr>
        <w:bidi/>
        <w:rPr>
          <w:rFonts w:ascii="Narkisim" w:hAnsi="Narkisim" w:cs="Narkisim"/>
        </w:rPr>
      </w:pPr>
      <w:r w:rsidRPr="003D7FC2">
        <w:rPr>
          <w:rFonts w:ascii="Narkisim" w:hAnsi="Narkisim" w:cs="Narkisim"/>
          <w:u w:val="single"/>
          <w:rtl/>
        </w:rPr>
        <w:t>אלא לאו בזנות וכו'</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ששניהם באו עליה בזנות וכו'. ה</w:t>
      </w:r>
      <w:r w:rsidRPr="003D7FC2">
        <w:rPr>
          <w:rFonts w:ascii="Narkisim" w:hAnsi="Narkisim" w:cs="Narkisim"/>
          <w:b/>
          <w:bCs/>
          <w:rtl/>
        </w:rPr>
        <w:t>מהרש"א</w:t>
      </w:r>
      <w:r w:rsidRPr="003D7FC2">
        <w:rPr>
          <w:rFonts w:ascii="Narkisim" w:hAnsi="Narkisim" w:cs="Narkisim"/>
          <w:rtl/>
        </w:rPr>
        <w:t xml:space="preserve"> כת' דלאו דוקא, די"ל דלאחר הזנות נשאת לשני</w:t>
      </w:r>
      <w:r w:rsidRPr="003D7FC2">
        <w:rPr>
          <w:rStyle w:val="ac"/>
          <w:rFonts w:ascii="Narkisim" w:hAnsi="Narkisim" w:cs="Narkisim"/>
          <w:rtl/>
        </w:rPr>
        <w:footnoteReference w:id="6513"/>
      </w:r>
      <w:r w:rsidRPr="003D7FC2">
        <w:rPr>
          <w:rFonts w:ascii="Narkisim" w:hAnsi="Narkisim" w:cs="Narkisim"/>
          <w:rtl/>
        </w:rPr>
        <w:t>. אבל ה</w:t>
      </w:r>
      <w:r w:rsidRPr="003D7FC2">
        <w:rPr>
          <w:rFonts w:ascii="Narkisim" w:hAnsi="Narkisim" w:cs="Narkisim"/>
          <w:b/>
          <w:bCs/>
          <w:rtl/>
        </w:rPr>
        <w:t>חלק"מ</w:t>
      </w:r>
      <w:r w:rsidRPr="003D7FC2">
        <w:rPr>
          <w:rFonts w:ascii="Narkisim" w:hAnsi="Narkisim" w:cs="Narkisim"/>
          <w:rtl/>
        </w:rPr>
        <w:t xml:space="preserve"> (ג יב) דייק מדברי </w:t>
      </w:r>
      <w:r w:rsidRPr="003D7FC2">
        <w:rPr>
          <w:rFonts w:ascii="Narkisim" w:hAnsi="Narkisim" w:cs="Narkisim"/>
          <w:b/>
          <w:bCs/>
          <w:rtl/>
        </w:rPr>
        <w:t>רש"י</w:t>
      </w:r>
      <w:r w:rsidRPr="003D7FC2">
        <w:rPr>
          <w:rFonts w:ascii="Narkisim" w:hAnsi="Narkisim" w:cs="Narkisim"/>
          <w:rtl/>
        </w:rPr>
        <w:t xml:space="preserve"> דהיכא דזינתה ואח"כ נשאת, תלינן את הולד בבעל. דרוב בעילות אחר הבעל, ואף היכא דידוע שזינתה תחתיו תולים בבעל</w:t>
      </w:r>
      <w:r w:rsidRPr="003D7FC2">
        <w:rPr>
          <w:rStyle w:val="ac"/>
          <w:rFonts w:ascii="Narkisim" w:hAnsi="Narkisim" w:cs="Narkisim"/>
          <w:rtl/>
        </w:rPr>
        <w:footnoteReference w:id="6514"/>
      </w:r>
      <w:r w:rsidRPr="003D7FC2">
        <w:rPr>
          <w:rFonts w:ascii="Narkisim" w:hAnsi="Narkisim" w:cs="Narkisim"/>
          <w:rtl/>
        </w:rPr>
        <w:t>. ודלא כ</w:t>
      </w:r>
      <w:r w:rsidRPr="003D7FC2">
        <w:rPr>
          <w:rFonts w:ascii="Narkisim" w:hAnsi="Narkisim" w:cs="Narkisim"/>
          <w:b/>
          <w:bCs/>
          <w:rtl/>
        </w:rPr>
        <w:t>רמ"א</w:t>
      </w:r>
      <w:r w:rsidRPr="003D7FC2">
        <w:rPr>
          <w:rFonts w:ascii="Narkisim" w:hAnsi="Narkisim" w:cs="Narkisim"/>
          <w:rtl/>
        </w:rPr>
        <w:t xml:space="preserve"> (שם)</w:t>
      </w:r>
      <w:r w:rsidRPr="003D7FC2">
        <w:rPr>
          <w:rStyle w:val="ac"/>
          <w:rFonts w:ascii="Narkisim" w:hAnsi="Narkisim" w:cs="Narkisim"/>
          <w:rtl/>
        </w:rPr>
        <w:footnoteReference w:id="6515"/>
      </w:r>
      <w:r w:rsidRPr="003D7FC2">
        <w:rPr>
          <w:rFonts w:ascii="Narkisim" w:hAnsi="Narkisim" w:cs="Narkisim"/>
          <w:rtl/>
        </w:rPr>
        <w:t>.</w:t>
      </w:r>
    </w:p>
    <w:p w14:paraId="473A421A" w14:textId="77777777" w:rsidR="006C4368" w:rsidRPr="003D7FC2" w:rsidRDefault="006C4368" w:rsidP="006C4368">
      <w:pPr>
        <w:pStyle w:val="a7"/>
        <w:bidi/>
        <w:rPr>
          <w:rFonts w:ascii="Narkisim" w:hAnsi="Narkisim"/>
        </w:rPr>
      </w:pPr>
      <w:r w:rsidRPr="003D7FC2">
        <w:rPr>
          <w:rFonts w:ascii="Narkisim" w:hAnsi="Narkisim"/>
          <w:rtl/>
        </w:rPr>
        <w:t>וה</w:t>
      </w:r>
      <w:r w:rsidRPr="003D7FC2">
        <w:rPr>
          <w:rFonts w:ascii="Narkisim" w:hAnsi="Narkisim"/>
          <w:b/>
          <w:bCs/>
          <w:rtl/>
        </w:rPr>
        <w:t>בי"ש</w:t>
      </w:r>
      <w:r w:rsidRPr="003D7FC2">
        <w:rPr>
          <w:rFonts w:ascii="Narkisim" w:hAnsi="Narkisim"/>
          <w:rtl/>
        </w:rPr>
        <w:t xml:space="preserve"> (ג טז, והו' באבנ"מ ג ט) חלק דדוקא זינתה תחת בעלה אמרי' רוב בעילות, דהבעל מצוי לה. אבל אם זינתה קודם הנשואין י"ל דכבר היתה מעוברת. וכת' דאת"ל דרש"י נקט בדוקא תרוייהו בזנות, יל"פ דנקט כן בדברי המקשן, דמנ"ל דשמואל ס”ל דאף היכא דא' זנות דנחשב אינו מיוחס. אך למסקנא אפי' א' מהם זנות נחשב אינו מיוחס</w:t>
      </w:r>
      <w:r w:rsidRPr="003D7FC2">
        <w:rPr>
          <w:rStyle w:val="ac"/>
          <w:rFonts w:ascii="Narkisim" w:hAnsi="Narkisim"/>
          <w:rtl/>
        </w:rPr>
        <w:footnoteReference w:id="6516"/>
      </w:r>
      <w:r w:rsidRPr="003D7FC2">
        <w:rPr>
          <w:rFonts w:ascii="Narkisim" w:hAnsi="Narkisim"/>
          <w:rtl/>
        </w:rPr>
        <w:t>.</w:t>
      </w:r>
    </w:p>
    <w:p w14:paraId="2106AFC5" w14:textId="77777777" w:rsidR="006C4368" w:rsidRPr="003D7FC2" w:rsidRDefault="006C4368" w:rsidP="006C4368">
      <w:pPr>
        <w:pStyle w:val="a8"/>
        <w:bidi/>
        <w:rPr>
          <w:rFonts w:ascii="Narkisim" w:hAnsi="Narkisim"/>
        </w:rPr>
      </w:pPr>
      <w:r w:rsidRPr="003D7FC2">
        <w:rPr>
          <w:rFonts w:ascii="Narkisim" w:hAnsi="Narkisim"/>
          <w:rtl/>
        </w:rPr>
        <w:t>והאבנ"מ הביא דקאי אמתני' דעולה במשמר של זה, ומבואר דנחשב מיוחס לעבודה. והיכא דראשון זנות האיך עולה למשמר של ראשון, דממ"נ אינו ראוי.</w:t>
      </w:r>
    </w:p>
    <w:p w14:paraId="1891E79E" w14:textId="77777777" w:rsidR="006C4368" w:rsidRPr="003D7FC2" w:rsidRDefault="006C4368" w:rsidP="006C4368">
      <w:pPr>
        <w:pStyle w:val="aa"/>
        <w:bidi/>
        <w:rPr>
          <w:rFonts w:ascii="Narkisim" w:hAnsi="Narkisim"/>
        </w:rPr>
      </w:pPr>
      <w:r w:rsidRPr="003D7FC2">
        <w:rPr>
          <w:rFonts w:ascii="Narkisim" w:hAnsi="Narkisim"/>
          <w:u w:val="single"/>
          <w:rtl/>
        </w:rPr>
        <w:t>משכחת לה בממאנת</w:t>
      </w:r>
      <w:r w:rsidRPr="003D7FC2">
        <w:rPr>
          <w:rFonts w:ascii="Narkisim" w:hAnsi="Narkisim"/>
          <w:rtl/>
        </w:rPr>
        <w:t>. ה</w:t>
      </w:r>
      <w:r w:rsidRPr="003D7FC2">
        <w:rPr>
          <w:rFonts w:ascii="Narkisim" w:hAnsi="Narkisim"/>
          <w:b/>
          <w:bCs/>
          <w:rtl/>
        </w:rPr>
        <w:t xml:space="preserve">ריטב"א </w:t>
      </w:r>
      <w:r w:rsidRPr="003D7FC2">
        <w:rPr>
          <w:rFonts w:ascii="Narkisim" w:hAnsi="Narkisim"/>
          <w:rtl/>
        </w:rPr>
        <w:t>כת' פי' ואע"ג דעקרתינהו לנשואי קמאי, כיון דבדרך נשואין הוה לא גזרו בה רבנן. [מבואר דהקשה דהמיאון עוקר למפרע, א”כ הוה זנות, ואין זרעו מיוחס אחריו. ובזה תי' הריטב”א דמ”מ הוה 'דרך נישואין'. וע”ע לקמן קח. בגדר עקירת מיאון].</w:t>
      </w:r>
    </w:p>
    <w:p w14:paraId="306F6414" w14:textId="77777777" w:rsidR="006C4368" w:rsidRPr="003D7FC2" w:rsidRDefault="006C4368" w:rsidP="006C4368">
      <w:pPr>
        <w:bidi/>
        <w:rPr>
          <w:rFonts w:ascii="Narkisim" w:hAnsi="Narkisim" w:cs="Narkisim"/>
        </w:rPr>
      </w:pPr>
      <w:r w:rsidRPr="003D7FC2">
        <w:rPr>
          <w:rFonts w:ascii="Narkisim" w:hAnsi="Narkisim" w:cs="Narkisim"/>
          <w:u w:val="single"/>
          <w:rtl/>
        </w:rPr>
        <w:t>ממאנת מי קא ילדה, והתני רב ביבי וכו' קטנה שמא תתעבר ותמות וכו'</w:t>
      </w:r>
      <w:r w:rsidRPr="003D7FC2">
        <w:rPr>
          <w:rFonts w:ascii="Narkisim" w:hAnsi="Narkisim" w:cs="Narkisim"/>
          <w:rtl/>
        </w:rPr>
        <w:t>. משמע דודאי תמות. וכ"ה בחד לישנא בגמ' (לעיל יב:) [והביאו דכ”ד רבה בר ליואי], אבל לאידך לישנא (שם) [לס"ד, וכן דתני רבה בר שמואל] שמא תתעבר ושמא תמות. דאיכא קטנה שיולדת, והא דלא משכח"ל חמותו ממאנת משום שכבר ילדה, והגמ' (שם) פי' דבנים כסימנים [וא"ד עדיפי מסימנים]. ולרב זביד אין בנים בלא סימנים.</w:t>
      </w:r>
    </w:p>
    <w:p w14:paraId="3C5F1846" w14:textId="77777777" w:rsidR="006C4368" w:rsidRPr="003D7FC2" w:rsidRDefault="006C4368" w:rsidP="006C4368">
      <w:pPr>
        <w:bidi/>
        <w:rPr>
          <w:rFonts w:ascii="Narkisim" w:hAnsi="Narkisim" w:cs="Narkisim"/>
        </w:rPr>
      </w:pPr>
      <w:r w:rsidRPr="003D7FC2">
        <w:rPr>
          <w:rFonts w:ascii="Narkisim" w:hAnsi="Narkisim" w:cs="Narkisim"/>
          <w:rtl/>
        </w:rPr>
        <w:t>וה</w:t>
      </w:r>
      <w:r w:rsidRPr="003D7FC2">
        <w:rPr>
          <w:rFonts w:ascii="Narkisim" w:hAnsi="Narkisim" w:cs="Narkisim"/>
          <w:b/>
          <w:bCs/>
          <w:rtl/>
        </w:rPr>
        <w:t>רמב"ן</w:t>
      </w:r>
      <w:r w:rsidRPr="003D7FC2">
        <w:rPr>
          <w:rFonts w:ascii="Narkisim" w:hAnsi="Narkisim" w:cs="Narkisim"/>
          <w:rtl/>
        </w:rPr>
        <w:t xml:space="preserve"> הק' דמ"מ משכח"ל דמיאנה ונשאת לאחר תוך ג' חדשים, והוה ספק האם נתעברה מהראשון, וכיון דילדה ולד בן קיימא תחילת העיבור הוה כסימנים, ול"מ המיאון. וכת' דסוגיין כאידך לישנא דהתם</w:t>
      </w:r>
      <w:r w:rsidRPr="003D7FC2">
        <w:rPr>
          <w:rStyle w:val="ac"/>
          <w:rFonts w:ascii="Narkisim" w:hAnsi="Narkisim" w:cs="Narkisim"/>
          <w:rtl/>
        </w:rPr>
        <w:footnoteReference w:id="6517"/>
      </w:r>
      <w:r w:rsidRPr="003D7FC2">
        <w:rPr>
          <w:rFonts w:ascii="Narkisim" w:hAnsi="Narkisim" w:cs="Narkisim"/>
          <w:rtl/>
        </w:rPr>
        <w:t>.</w:t>
      </w:r>
    </w:p>
    <w:p w14:paraId="27331A6F" w14:textId="77777777" w:rsidR="006C4368" w:rsidRPr="003D7FC2" w:rsidRDefault="006C4368" w:rsidP="006C4368">
      <w:pPr>
        <w:pStyle w:val="3"/>
        <w:bidi/>
        <w:rPr>
          <w:rFonts w:ascii="Narkisim" w:hAnsi="Narkisim"/>
        </w:rPr>
      </w:pPr>
      <w:r w:rsidRPr="003D7FC2">
        <w:rPr>
          <w:rFonts w:ascii="Narkisim" w:hAnsi="Narkisim"/>
          <w:rtl/>
        </w:rPr>
        <w:t>דף קא.</w:t>
      </w:r>
    </w:p>
    <w:p w14:paraId="6E89E877" w14:textId="77777777" w:rsidR="006C4368" w:rsidRPr="003D7FC2" w:rsidRDefault="006C4368" w:rsidP="006C4368">
      <w:pPr>
        <w:bidi/>
        <w:rPr>
          <w:rFonts w:ascii="Narkisim" w:hAnsi="Narkisim" w:cs="Narkisim"/>
        </w:rPr>
      </w:pPr>
      <w:r w:rsidRPr="003D7FC2">
        <w:rPr>
          <w:rFonts w:ascii="Narkisim" w:hAnsi="Narkisim" w:cs="Narkisim"/>
          <w:u w:val="single"/>
          <w:rtl/>
        </w:rPr>
        <w:t>בבת א'</w:t>
      </w:r>
      <w:r w:rsidRPr="003D7FC2">
        <w:rPr>
          <w:rFonts w:ascii="Narkisim" w:hAnsi="Narkisim" w:cs="Narkisim"/>
          <w:rtl/>
        </w:rPr>
        <w:t>. פ</w:t>
      </w:r>
      <w:r w:rsidRPr="003D7FC2">
        <w:rPr>
          <w:rFonts w:ascii="Narkisim" w:hAnsi="Narkisim" w:cs="Narkisim"/>
          <w:b/>
          <w:bCs/>
          <w:rtl/>
        </w:rPr>
        <w:t>רש"י</w:t>
      </w:r>
      <w:r w:rsidRPr="003D7FC2">
        <w:rPr>
          <w:rFonts w:ascii="Narkisim" w:hAnsi="Narkisim" w:cs="Narkisim"/>
          <w:rtl/>
        </w:rPr>
        <w:t xml:space="preserve"> במקל א' הכאה אחת. כ"כ </w:t>
      </w:r>
      <w:r w:rsidRPr="003D7FC2">
        <w:rPr>
          <w:rFonts w:ascii="Narkisim" w:hAnsi="Narkisim" w:cs="Narkisim"/>
          <w:b/>
          <w:bCs/>
          <w:rtl/>
        </w:rPr>
        <w:t>רש"י</w:t>
      </w:r>
      <w:r w:rsidRPr="003D7FC2">
        <w:rPr>
          <w:rFonts w:ascii="Narkisim" w:hAnsi="Narkisim" w:cs="Narkisim"/>
          <w:rtl/>
        </w:rPr>
        <w:t xml:space="preserve"> (חולין צא.)</w:t>
      </w:r>
      <w:r w:rsidRPr="003D7FC2">
        <w:rPr>
          <w:rStyle w:val="ac"/>
          <w:rFonts w:ascii="Narkisim" w:hAnsi="Narkisim" w:cs="Narkisim"/>
          <w:rtl/>
        </w:rPr>
        <w:footnoteReference w:id="6518"/>
      </w:r>
      <w:r w:rsidRPr="003D7FC2">
        <w:rPr>
          <w:rFonts w:ascii="Narkisim" w:hAnsi="Narkisim" w:cs="Narkisim"/>
          <w:rtl/>
        </w:rPr>
        <w:t>. ו</w:t>
      </w:r>
      <w:r w:rsidRPr="003D7FC2">
        <w:rPr>
          <w:rFonts w:ascii="Narkisim" w:hAnsi="Narkisim" w:cs="Narkisim"/>
          <w:b/>
          <w:bCs/>
          <w:rtl/>
        </w:rPr>
        <w:t>רש"י</w:t>
      </w:r>
      <w:r w:rsidRPr="003D7FC2">
        <w:rPr>
          <w:rFonts w:ascii="Narkisim" w:hAnsi="Narkisim" w:cs="Narkisim"/>
          <w:rtl/>
        </w:rPr>
        <w:t xml:space="preserve"> (חולין פב:) כת' דהרים ב' ידיו והכה זה באחת וזה בא'. אבל </w:t>
      </w:r>
      <w:r w:rsidRPr="003D7FC2">
        <w:rPr>
          <w:rFonts w:ascii="Narkisim" w:hAnsi="Narkisim" w:cs="Narkisim"/>
          <w:b/>
          <w:bCs/>
          <w:rtl/>
        </w:rPr>
        <w:t>רש"י</w:t>
      </w:r>
      <w:r w:rsidRPr="003D7FC2">
        <w:rPr>
          <w:rFonts w:ascii="Narkisim" w:hAnsi="Narkisim" w:cs="Narkisim"/>
          <w:rtl/>
        </w:rPr>
        <w:t xml:space="preserve"> (מכות טז.) כת' דבבת א' הוא תוך כדי דיבור בהתראה א'. </w:t>
      </w:r>
      <w:r w:rsidRPr="003D7FC2">
        <w:rPr>
          <w:rFonts w:ascii="Narkisim" w:hAnsi="Narkisim" w:cs="Narkisim"/>
          <w:szCs w:val="20"/>
          <w:rtl/>
        </w:rPr>
        <w:t>[דממ"נ מהני, כיון דההתראה הוה תוכ"ד לאיסור. ואף דכל מעשה הוא מסופק]</w:t>
      </w:r>
      <w:r w:rsidRPr="003D7FC2">
        <w:rPr>
          <w:rFonts w:ascii="Narkisim" w:hAnsi="Narkisim" w:cs="Narkisim"/>
          <w:rtl/>
        </w:rPr>
        <w:t>.</w:t>
      </w:r>
    </w:p>
    <w:p w14:paraId="3BA81CC2" w14:textId="77777777" w:rsidR="006C4368" w:rsidRPr="003D7FC2" w:rsidRDefault="006C4368" w:rsidP="006C4368">
      <w:pPr>
        <w:pStyle w:val="aa"/>
        <w:bidi/>
        <w:rPr>
          <w:rFonts w:ascii="Narkisim" w:hAnsi="Narkisim"/>
        </w:rPr>
      </w:pPr>
      <w:r w:rsidRPr="003D7FC2">
        <w:rPr>
          <w:rFonts w:ascii="Narkisim" w:hAnsi="Narkisim"/>
          <w:u w:val="single"/>
          <w:rtl/>
        </w:rPr>
        <w:lastRenderedPageBreak/>
        <w:t>אף למטה שאין בה שותפות וכו'</w:t>
      </w:r>
      <w:r w:rsidRPr="003D7FC2">
        <w:rPr>
          <w:rFonts w:ascii="Narkisim" w:hAnsi="Narkisim"/>
          <w:rtl/>
        </w:rPr>
        <w:t>. לכאורה הוה מיעוט דל"מ ב' מעשים להשלמת חיוב</w:t>
      </w:r>
      <w:r w:rsidRPr="003D7FC2">
        <w:rPr>
          <w:rStyle w:val="ac"/>
          <w:rFonts w:ascii="Narkisim" w:hAnsi="Narkisim"/>
          <w:rtl/>
        </w:rPr>
        <w:footnoteReference w:id="6519"/>
      </w:r>
      <w:r w:rsidRPr="003D7FC2">
        <w:rPr>
          <w:rFonts w:ascii="Narkisim" w:hAnsi="Narkisim"/>
          <w:rtl/>
        </w:rPr>
        <w:t>. ועוד אפשר דגדר המיעוט דאינו חייב על מי שהוא ספק שהוא אביו, אלא היכא דידוע שהוא אביו.</w:t>
      </w:r>
    </w:p>
    <w:p w14:paraId="3B641E4F" w14:textId="77777777" w:rsidR="006C4368" w:rsidRPr="003D7FC2" w:rsidRDefault="006C4368" w:rsidP="006C4368">
      <w:pPr>
        <w:pStyle w:val="aa"/>
        <w:bidi/>
        <w:rPr>
          <w:rFonts w:ascii="Narkisim" w:hAnsi="Narkisim"/>
        </w:rPr>
      </w:pPr>
      <w:r w:rsidRPr="003D7FC2">
        <w:rPr>
          <w:rFonts w:ascii="Narkisim" w:hAnsi="Narkisim"/>
          <w:u w:val="single"/>
          <w:rtl/>
        </w:rPr>
        <w:t>תוד"ה הכה</w:t>
      </w:r>
      <w:r w:rsidRPr="003D7FC2">
        <w:rPr>
          <w:rFonts w:ascii="Narkisim" w:hAnsi="Narkisim"/>
          <w:rtl/>
        </w:rPr>
        <w:t>. ודייק התם דהתראת ספק וכו' אינו יודע אי זו מין הרבה על חבירו. ואף דממ”נ יש בזה איסור, אינו יודע מאיזה שם הוה.</w:t>
      </w:r>
    </w:p>
    <w:p w14:paraId="0AEBA2C1" w14:textId="77777777" w:rsidR="006C4368" w:rsidRPr="003D7FC2" w:rsidRDefault="006C4368" w:rsidP="006C4368">
      <w:pPr>
        <w:bidi/>
        <w:rPr>
          <w:rFonts w:ascii="Narkisim" w:hAnsi="Narkisim" w:cs="Narkisim"/>
        </w:rPr>
      </w:pPr>
      <w:r w:rsidRPr="003D7FC2">
        <w:rPr>
          <w:rFonts w:ascii="Narkisim" w:hAnsi="Narkisim" w:cs="Narkisim"/>
          <w:u w:val="single"/>
          <w:rtl/>
        </w:rPr>
        <w:t>רש"י [סוף הפרק]</w:t>
      </w:r>
      <w:r w:rsidRPr="003D7FC2">
        <w:rPr>
          <w:rFonts w:ascii="Narkisim" w:hAnsi="Narkisim" w:cs="Narkisim"/>
          <w:rtl/>
        </w:rPr>
        <w:t xml:space="preserve">. כל משמר חלוק לששה בתי אבות. וכ"כ </w:t>
      </w:r>
      <w:r w:rsidRPr="003D7FC2">
        <w:rPr>
          <w:rFonts w:ascii="Narkisim" w:hAnsi="Narkisim" w:cs="Narkisim"/>
          <w:b/>
          <w:bCs/>
          <w:rtl/>
        </w:rPr>
        <w:t>רש"י</w:t>
      </w:r>
      <w:r w:rsidRPr="003D7FC2">
        <w:rPr>
          <w:rFonts w:ascii="Narkisim" w:hAnsi="Narkisim" w:cs="Narkisim"/>
          <w:rtl/>
        </w:rPr>
        <w:t xml:space="preserve"> (פסחים נז.). [דבשבת כולם שווים]. וכן מבואר בגמ' (מנחות קז:)</w:t>
      </w:r>
      <w:r w:rsidRPr="003D7FC2">
        <w:rPr>
          <w:rStyle w:val="ac"/>
          <w:rFonts w:ascii="Narkisim" w:hAnsi="Narkisim" w:cs="Narkisim"/>
          <w:rtl/>
        </w:rPr>
        <w:footnoteReference w:id="6520"/>
      </w:r>
      <w:r w:rsidRPr="003D7FC2">
        <w:rPr>
          <w:rFonts w:ascii="Narkisim" w:hAnsi="Narkisim" w:cs="Narkisim"/>
          <w:rtl/>
        </w:rPr>
        <w:t>. וה</w:t>
      </w:r>
      <w:r w:rsidRPr="003D7FC2">
        <w:rPr>
          <w:rFonts w:ascii="Narkisim" w:hAnsi="Narkisim" w:cs="Narkisim"/>
          <w:b/>
          <w:bCs/>
          <w:rtl/>
        </w:rPr>
        <w:t>רש"ש</w:t>
      </w:r>
      <w:r w:rsidRPr="003D7FC2">
        <w:rPr>
          <w:rFonts w:ascii="Narkisim" w:hAnsi="Narkisim" w:cs="Narkisim"/>
          <w:rtl/>
        </w:rPr>
        <w:t xml:space="preserve"> ציין ד</w:t>
      </w:r>
      <w:r w:rsidRPr="003D7FC2">
        <w:rPr>
          <w:rFonts w:ascii="Narkisim" w:hAnsi="Narkisim" w:cs="Narkisim"/>
          <w:b/>
          <w:bCs/>
          <w:rtl/>
        </w:rPr>
        <w:t>רש"י</w:t>
      </w:r>
      <w:r w:rsidRPr="003D7FC2">
        <w:rPr>
          <w:rFonts w:ascii="Narkisim" w:hAnsi="Narkisim" w:cs="Narkisim"/>
          <w:rtl/>
        </w:rPr>
        <w:t xml:space="preserve"> (תענית טו:) כת' ז' בתי אבות, כנגד ז' ימי השבוע. וב</w:t>
      </w:r>
      <w:r w:rsidRPr="003D7FC2">
        <w:rPr>
          <w:rFonts w:ascii="Narkisim" w:hAnsi="Narkisim" w:cs="Narkisim"/>
          <w:b/>
          <w:bCs/>
          <w:rtl/>
        </w:rPr>
        <w:t>תוספתא</w:t>
      </w:r>
      <w:r w:rsidRPr="003D7FC2">
        <w:rPr>
          <w:rFonts w:ascii="Narkisim" w:hAnsi="Narkisim" w:cs="Narkisim"/>
          <w:rtl/>
        </w:rPr>
        <w:t xml:space="preserve"> (תענית ב) מבואר דכל משמר נחלק למספר אחר של בתי אב, כפי מספר הכהנים.</w:t>
      </w:r>
    </w:p>
    <w:p w14:paraId="0CCF88BA" w14:textId="77777777" w:rsidR="006C4368" w:rsidRPr="003D7FC2" w:rsidRDefault="006C4368" w:rsidP="006C4368">
      <w:pPr>
        <w:bidi/>
        <w:rPr>
          <w:rFonts w:ascii="Narkisim" w:hAnsi="Narkisim" w:cs="Narkisim"/>
        </w:rPr>
      </w:pPr>
      <w:r w:rsidRPr="003D7FC2">
        <w:rPr>
          <w:rFonts w:ascii="Narkisim" w:hAnsi="Narkisim" w:cs="Narkisim"/>
          <w:u w:val="single"/>
          <w:rtl/>
        </w:rPr>
        <w:t>תוד"ה עולה</w:t>
      </w:r>
      <w:r w:rsidRPr="003D7FC2">
        <w:rPr>
          <w:rFonts w:ascii="Narkisim" w:hAnsi="Narkisim" w:cs="Narkisim"/>
          <w:rtl/>
        </w:rPr>
        <w:t xml:space="preserve">. דלמא בעל כרחם דבני משמרה קאי. וכמ"ש </w:t>
      </w:r>
      <w:r w:rsidRPr="003D7FC2">
        <w:rPr>
          <w:rFonts w:ascii="Narkisim" w:hAnsi="Narkisim" w:cs="Narkisim"/>
          <w:b/>
          <w:bCs/>
          <w:rtl/>
        </w:rPr>
        <w:t>רש"י</w:t>
      </w:r>
      <w:r w:rsidRPr="003D7FC2">
        <w:rPr>
          <w:rFonts w:ascii="Narkisim" w:hAnsi="Narkisim" w:cs="Narkisim"/>
          <w:rtl/>
        </w:rPr>
        <w:t xml:space="preserve"> (במשנה ק:) דעולה לעבוד, ואין בני משמר מעכבין עליו</w:t>
      </w:r>
      <w:r w:rsidRPr="003D7FC2">
        <w:rPr>
          <w:rStyle w:val="ac"/>
          <w:rFonts w:ascii="Narkisim" w:hAnsi="Narkisim" w:cs="Narkisim"/>
          <w:rtl/>
        </w:rPr>
        <w:footnoteReference w:id="6521"/>
      </w:r>
      <w:r w:rsidRPr="003D7FC2">
        <w:rPr>
          <w:rFonts w:ascii="Narkisim" w:hAnsi="Narkisim" w:cs="Narkisim"/>
          <w:rtl/>
        </w:rPr>
        <w:t>. וה</w:t>
      </w:r>
      <w:r w:rsidRPr="003D7FC2">
        <w:rPr>
          <w:rFonts w:ascii="Narkisim" w:hAnsi="Narkisim" w:cs="Narkisim"/>
          <w:b/>
          <w:bCs/>
          <w:rtl/>
        </w:rPr>
        <w:t>תוי"ט</w:t>
      </w:r>
      <w:r w:rsidRPr="003D7FC2">
        <w:rPr>
          <w:rFonts w:ascii="Narkisim" w:hAnsi="Narkisim" w:cs="Narkisim"/>
          <w:rtl/>
        </w:rPr>
        <w:t xml:space="preserve"> הק' אמאי אינם מעכבין, דודאי מעכבין על כהן שאינו מהמשמר שלהם. [דקבעו חלוקה לעבודות]. וכת' דקצת יש ליישב בזה קו' התוס', דמש"ה לא משמע בגמ' שעולה בעל כרחם של בני משמר. [ובאמת אינו רשאי לעשות עבודה בע”כ של בני משמר, אלא דהם כופים אותו לעבוד מדעתם].</w:t>
      </w:r>
    </w:p>
    <w:p w14:paraId="10BD0D68" w14:textId="77777777" w:rsidR="006C4368" w:rsidRPr="003D7FC2" w:rsidRDefault="006C4368" w:rsidP="006C4368">
      <w:pPr>
        <w:pStyle w:val="aa"/>
        <w:bidi/>
        <w:rPr>
          <w:rFonts w:ascii="Narkisim" w:hAnsi="Narkisim"/>
        </w:rPr>
      </w:pPr>
      <w:r w:rsidRPr="003D7FC2">
        <w:rPr>
          <w:rFonts w:ascii="Narkisim" w:hAnsi="Narkisim"/>
          <w:u w:val="single"/>
          <w:rtl/>
        </w:rPr>
        <w:t>משום פגם משפחה</w:t>
      </w:r>
      <w:r w:rsidRPr="003D7FC2">
        <w:rPr>
          <w:rFonts w:ascii="Narkisim" w:hAnsi="Narkisim"/>
          <w:rtl/>
        </w:rPr>
        <w:t>. ונתחדש דיש להם זכות תביעה עליו, לחייבו לעשות מעשה למנוע מהם פגם. ועד”ז אי' בגמ' (קידושין יח.) דכופין את האב לפדות את בתו לאחר שמכרה לאמה, משום פגם משפחה.</w:t>
      </w:r>
    </w:p>
    <w:p w14:paraId="3FB80D59" w14:textId="77777777" w:rsidR="006C4368" w:rsidRPr="003D7FC2" w:rsidRDefault="006C4368" w:rsidP="006C4368">
      <w:pPr>
        <w:pStyle w:val="aa"/>
        <w:bidi/>
        <w:rPr>
          <w:rFonts w:ascii="Narkisim" w:hAnsi="Narkisim"/>
        </w:rPr>
      </w:pPr>
      <w:r w:rsidRPr="003D7FC2">
        <w:rPr>
          <w:rFonts w:ascii="Narkisim" w:hAnsi="Narkisim"/>
          <w:u w:val="single"/>
          <w:rtl/>
        </w:rPr>
        <w:t>משמר א' נמי, אזיל להאי בית אב ומדחו ליה וכו'</w:t>
      </w:r>
      <w:r w:rsidRPr="003D7FC2">
        <w:rPr>
          <w:rFonts w:ascii="Narkisim" w:hAnsi="Narkisim"/>
          <w:rtl/>
        </w:rPr>
        <w:t>. מבואר דפשיטא לגמ' דחלוקת המשמרות לבתי אב הוה חלוקה גמורה, ואינו רשאי ליטול ביום של חבירו</w:t>
      </w:r>
      <w:r w:rsidRPr="003D7FC2">
        <w:rPr>
          <w:rStyle w:val="ac"/>
          <w:rFonts w:ascii="Narkisim" w:hAnsi="Narkisim"/>
          <w:rtl/>
        </w:rPr>
        <w:footnoteReference w:id="6522"/>
      </w:r>
      <w:r w:rsidRPr="003D7FC2">
        <w:rPr>
          <w:rFonts w:ascii="Narkisim" w:hAnsi="Narkisim"/>
          <w:rtl/>
        </w:rPr>
        <w:t>.</w:t>
      </w:r>
    </w:p>
    <w:p w14:paraId="12E4DC83" w14:textId="77777777" w:rsidR="006C4368" w:rsidRPr="003D7FC2" w:rsidRDefault="006C4368" w:rsidP="006C4368">
      <w:pPr>
        <w:pStyle w:val="a8"/>
        <w:bidi/>
        <w:rPr>
          <w:rFonts w:ascii="Narkisim" w:hAnsi="Narkisim"/>
        </w:rPr>
      </w:pPr>
      <w:r w:rsidRPr="003D7FC2">
        <w:rPr>
          <w:rFonts w:ascii="Narkisim" w:hAnsi="Narkisim"/>
          <w:b/>
          <w:bCs/>
          <w:i/>
          <w:iCs/>
          <w:rtl/>
        </w:rPr>
        <w:tab/>
        <w:t>הדרן עלך פרק נושאין על האנוסה</w:t>
      </w:r>
    </w:p>
    <w:p w14:paraId="2BB0CA03" w14:textId="77777777" w:rsidR="006C4368" w:rsidRPr="00D65870" w:rsidRDefault="006C4368" w:rsidP="006C4368">
      <w:pPr>
        <w:pStyle w:val="a9"/>
        <w:bidi/>
        <w:rPr>
          <w:rFonts w:ascii="Narkisim" w:hAnsi="Narkisim"/>
        </w:rPr>
      </w:pPr>
      <w:r w:rsidRPr="00D65870">
        <w:rPr>
          <w:rFonts w:ascii="Narkisim" w:hAnsi="Narkisim"/>
          <w:rtl/>
        </w:rPr>
        <w:t>בס"ד</w:t>
      </w:r>
    </w:p>
    <w:p w14:paraId="38429C46" w14:textId="77777777" w:rsidR="006C4368" w:rsidRPr="00D65870" w:rsidRDefault="006C4368" w:rsidP="006C4368">
      <w:pPr>
        <w:pStyle w:val="1"/>
        <w:bidi/>
        <w:rPr>
          <w:rFonts w:ascii="Narkisim" w:hAnsi="Narkisim"/>
        </w:rPr>
      </w:pPr>
      <w:r w:rsidRPr="00D65870">
        <w:rPr>
          <w:rFonts w:ascii="Narkisim" w:hAnsi="Narkisim"/>
          <w:rtl/>
        </w:rPr>
        <w:t>פרק מצות חליצה</w:t>
      </w:r>
    </w:p>
    <w:p w14:paraId="6E71F255" w14:textId="77777777" w:rsidR="006C4368" w:rsidRPr="00D65870" w:rsidRDefault="006C4368" w:rsidP="006C4368">
      <w:pPr>
        <w:bidi/>
        <w:rPr>
          <w:rFonts w:ascii="Narkisim" w:hAnsi="Narkisim" w:cs="Narkisim"/>
        </w:rPr>
      </w:pPr>
      <w:r w:rsidRPr="00D65870">
        <w:rPr>
          <w:rFonts w:ascii="Narkisim" w:hAnsi="Narkisim" w:cs="Narkisim"/>
          <w:u w:val="single"/>
          <w:rtl/>
        </w:rPr>
        <w:t>מצות חליצה וכו'</w:t>
      </w:r>
      <w:r w:rsidRPr="00D65870">
        <w:rPr>
          <w:rFonts w:ascii="Narkisim" w:hAnsi="Narkisim" w:cs="Narkisim"/>
          <w:rtl/>
        </w:rPr>
        <w:t>. [סדר מצוות חליצה הוה בג' דיינים</w:t>
      </w:r>
      <w:r w:rsidRPr="00D65870">
        <w:rPr>
          <w:rStyle w:val="ac"/>
          <w:rFonts w:ascii="Narkisim" w:hAnsi="Narkisim" w:cs="Narkisim"/>
          <w:rtl/>
        </w:rPr>
        <w:footnoteReference w:id="6523"/>
      </w:r>
      <w:r w:rsidRPr="00D65870">
        <w:rPr>
          <w:rFonts w:ascii="Narkisim" w:hAnsi="Narkisim" w:cs="Narkisim"/>
          <w:rtl/>
        </w:rPr>
        <w:t xml:space="preserve"> וכו']. וה</w:t>
      </w:r>
      <w:r w:rsidRPr="00D65870">
        <w:rPr>
          <w:rFonts w:ascii="Narkisim" w:hAnsi="Narkisim" w:cs="Narkisim"/>
          <w:b/>
          <w:bCs/>
          <w:rtl/>
        </w:rPr>
        <w:t>עונג יו"ט</w:t>
      </w:r>
      <w:r w:rsidRPr="00D65870">
        <w:rPr>
          <w:rFonts w:ascii="Narkisim" w:hAnsi="Narkisim" w:cs="Narkisim"/>
          <w:rtl/>
        </w:rPr>
        <w:t xml:space="preserve"> (קעו) הביא דלשון המשנה דחליצה נקראת 'מצווה'</w:t>
      </w:r>
      <w:r w:rsidRPr="00D65870">
        <w:rPr>
          <w:rStyle w:val="ac"/>
          <w:rFonts w:ascii="Narkisim" w:hAnsi="Narkisim" w:cs="Narkisim"/>
          <w:rtl/>
        </w:rPr>
        <w:footnoteReference w:id="6524"/>
      </w:r>
      <w:r w:rsidRPr="00D65870">
        <w:rPr>
          <w:rFonts w:ascii="Narkisim" w:hAnsi="Narkisim" w:cs="Narkisim"/>
          <w:rtl/>
        </w:rPr>
        <w:t>, וכן אי' (בכורות יב, הו' לעיל לט: וכ"מ) דנח' אי מצוות חליצה קודמת או מצוות יבום, וקרי לחליצה מצווה</w:t>
      </w:r>
      <w:r w:rsidRPr="00D65870">
        <w:rPr>
          <w:rStyle w:val="ac"/>
          <w:rFonts w:ascii="Narkisim" w:hAnsi="Narkisim" w:cs="Narkisim"/>
          <w:rtl/>
        </w:rPr>
        <w:footnoteReference w:id="6525"/>
      </w:r>
      <w:r w:rsidRPr="00D65870">
        <w:rPr>
          <w:rFonts w:ascii="Narkisim" w:hAnsi="Narkisim" w:cs="Narkisim"/>
          <w:rtl/>
        </w:rPr>
        <w:t>.</w:t>
      </w:r>
    </w:p>
    <w:p w14:paraId="246A9CF8"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עונג יו"ט</w:t>
      </w:r>
      <w:r w:rsidRPr="00D65870">
        <w:rPr>
          <w:rFonts w:ascii="Narkisim" w:hAnsi="Narkisim" w:cs="Narkisim"/>
          <w:rtl/>
        </w:rPr>
        <w:t xml:space="preserve"> האריך לחקור האם חליצה הוה מתיר בעלמא</w:t>
      </w:r>
      <w:r w:rsidRPr="00D65870">
        <w:rPr>
          <w:rStyle w:val="ac"/>
          <w:rFonts w:ascii="Narkisim" w:hAnsi="Narkisim" w:cs="Narkisim"/>
          <w:rtl/>
        </w:rPr>
        <w:footnoteReference w:id="6526"/>
      </w:r>
      <w:r w:rsidRPr="00D65870">
        <w:rPr>
          <w:rFonts w:ascii="Narkisim" w:hAnsi="Narkisim" w:cs="Narkisim"/>
          <w:rtl/>
        </w:rPr>
        <w:t xml:space="preserve"> או מעשה מצווה</w:t>
      </w:r>
      <w:r w:rsidRPr="00D65870">
        <w:rPr>
          <w:rStyle w:val="ac"/>
          <w:rFonts w:ascii="Narkisim" w:hAnsi="Narkisim" w:cs="Narkisim"/>
          <w:rtl/>
        </w:rPr>
        <w:footnoteReference w:id="6527"/>
      </w:r>
      <w:r w:rsidRPr="00D65870">
        <w:rPr>
          <w:rFonts w:ascii="Narkisim" w:hAnsi="Narkisim" w:cs="Narkisim"/>
          <w:rtl/>
        </w:rPr>
        <w:t xml:space="preserve"> [שהתורה </w:t>
      </w:r>
      <w:r w:rsidRPr="00D65870">
        <w:rPr>
          <w:rFonts w:ascii="Narkisim" w:hAnsi="Narkisim" w:cs="Narkisim"/>
          <w:rtl/>
        </w:rPr>
        <w:lastRenderedPageBreak/>
        <w:t>צוותה על עצם החליצה]</w:t>
      </w:r>
      <w:r w:rsidRPr="00D65870">
        <w:rPr>
          <w:rStyle w:val="ac"/>
          <w:rFonts w:ascii="Narkisim" w:hAnsi="Narkisim" w:cs="Narkisim"/>
          <w:rtl/>
        </w:rPr>
        <w:footnoteReference w:id="6528"/>
      </w:r>
      <w:r w:rsidRPr="00D65870">
        <w:rPr>
          <w:rFonts w:ascii="Narkisim" w:hAnsi="Narkisim" w:cs="Narkisim"/>
          <w:rtl/>
        </w:rPr>
        <w:t>. והביא דיש כמה דינים בפירקין שהם למצווה, ואינם מעכבין את החליצה. וקי”ל דקריאה ורקיקה אינם מעכבין</w:t>
      </w:r>
      <w:r w:rsidRPr="00D65870">
        <w:rPr>
          <w:rStyle w:val="ac"/>
          <w:rFonts w:ascii="Narkisim" w:hAnsi="Narkisim" w:cs="Narkisim"/>
          <w:rtl/>
        </w:rPr>
        <w:footnoteReference w:id="6529"/>
      </w:r>
      <w:r w:rsidRPr="00D65870">
        <w:rPr>
          <w:rFonts w:ascii="Narkisim" w:hAnsi="Narkisim" w:cs="Narkisim"/>
          <w:rtl/>
        </w:rPr>
        <w:t>, וע"כ דהוה משום המצווה, ולא הוה רק מתיר</w:t>
      </w:r>
      <w:r w:rsidRPr="00D65870">
        <w:rPr>
          <w:rStyle w:val="ac"/>
          <w:rFonts w:ascii="Narkisim" w:hAnsi="Narkisim" w:cs="Narkisim"/>
          <w:rtl/>
        </w:rPr>
        <w:footnoteReference w:id="6530"/>
      </w:r>
      <w:r w:rsidRPr="00D65870">
        <w:rPr>
          <w:rFonts w:ascii="Narkisim" w:hAnsi="Narkisim" w:cs="Narkisim"/>
          <w:rtl/>
        </w:rPr>
        <w:t>. [</w:t>
      </w:r>
      <w:r w:rsidRPr="00D65870">
        <w:rPr>
          <w:rFonts w:ascii="Narkisim" w:hAnsi="Narkisim" w:cs="Narkisim"/>
          <w:szCs w:val="20"/>
          <w:rtl/>
        </w:rPr>
        <w:t xml:space="preserve">וציין דעד”ז כת' </w:t>
      </w:r>
      <w:r w:rsidRPr="00D65870">
        <w:rPr>
          <w:rFonts w:ascii="Narkisim" w:hAnsi="Narkisim" w:cs="Narkisim"/>
          <w:b/>
          <w:bCs/>
          <w:szCs w:val="20"/>
          <w:rtl/>
        </w:rPr>
        <w:t>תוס</w:t>
      </w:r>
      <w:r w:rsidRPr="00D65870">
        <w:rPr>
          <w:rFonts w:ascii="Narkisim" w:hAnsi="Narkisim" w:cs="Narkisim"/>
          <w:szCs w:val="20"/>
          <w:rtl/>
        </w:rPr>
        <w:t>' (נדה סו:) דגבי טבילה אין סברא דלכתחילה צריך מים בבית הסתרים. ודוקא במצוות אמרי' דהוה למצווה לכתחילה, וכגון בילה במנחה, וקריאה בחליצה וביכורים דהוה מצווה. ומבואר להדיא דחליצה הוה מצווה. ויתבאר לקמן קד:</w:t>
      </w:r>
      <w:r w:rsidRPr="00D65870">
        <w:rPr>
          <w:rFonts w:ascii="Narkisim" w:hAnsi="Narkisim" w:cs="Narkisim"/>
          <w:rtl/>
        </w:rPr>
        <w:t>]. אך שוב דחה די"ל דעיקר החליצה הוה מתיר, ואילו הקריאה הוה מצווה. דהתורה צוותה דמי שעושה חליצה יקיים מצוות ויקרא</w:t>
      </w:r>
      <w:r w:rsidRPr="00D65870">
        <w:rPr>
          <w:rStyle w:val="ac"/>
          <w:rFonts w:ascii="Narkisim" w:hAnsi="Narkisim" w:cs="Narkisim"/>
          <w:rtl/>
        </w:rPr>
        <w:footnoteReference w:id="6531"/>
      </w:r>
      <w:r w:rsidRPr="00D65870">
        <w:rPr>
          <w:rFonts w:ascii="Narkisim" w:hAnsi="Narkisim" w:cs="Narkisim"/>
          <w:rtl/>
        </w:rPr>
        <w:t>.</w:t>
      </w:r>
    </w:p>
    <w:p w14:paraId="291493C3"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חכ"צ</w:t>
      </w:r>
      <w:r w:rsidRPr="00D65870">
        <w:rPr>
          <w:rFonts w:ascii="Narkisim" w:hAnsi="Narkisim" w:cs="Narkisim"/>
          <w:rtl/>
        </w:rPr>
        <w:t xml:space="preserve"> (א) נקט דמצוות החליצה הוה משום דידה, שלא לעגנה. ואם היא אינה רוצה לינשא, וגם הוא אינו מקפיד, אנן לא איכפ"ל</w:t>
      </w:r>
      <w:r w:rsidRPr="00D65870">
        <w:rPr>
          <w:rStyle w:val="ac"/>
          <w:rFonts w:ascii="Narkisim" w:hAnsi="Narkisim" w:cs="Narkisim"/>
          <w:rtl/>
        </w:rPr>
        <w:footnoteReference w:id="6532"/>
      </w:r>
      <w:r w:rsidRPr="00D65870">
        <w:rPr>
          <w:rFonts w:ascii="Narkisim" w:hAnsi="Narkisim" w:cs="Narkisim"/>
          <w:rtl/>
        </w:rPr>
        <w:t>. דאי אמרה לא בעינא מי איכא לעשה כלל</w:t>
      </w:r>
      <w:r w:rsidRPr="00D65870">
        <w:rPr>
          <w:rStyle w:val="ac"/>
          <w:rFonts w:ascii="Narkisim" w:hAnsi="Narkisim" w:cs="Narkisim"/>
          <w:rtl/>
        </w:rPr>
        <w:footnoteReference w:id="6533"/>
      </w:r>
      <w:r w:rsidRPr="00D65870">
        <w:rPr>
          <w:rFonts w:ascii="Narkisim" w:hAnsi="Narkisim" w:cs="Narkisim"/>
          <w:rtl/>
        </w:rPr>
        <w:t>. [אך מ"מ היכא דתובעת לינשא הוה מעשה מצווה</w:t>
      </w:r>
      <w:r w:rsidRPr="00D65870">
        <w:rPr>
          <w:rStyle w:val="ac"/>
          <w:rFonts w:ascii="Narkisim" w:hAnsi="Narkisim" w:cs="Narkisim"/>
          <w:rtl/>
        </w:rPr>
        <w:footnoteReference w:id="6534"/>
      </w:r>
      <w:r w:rsidRPr="00D65870">
        <w:rPr>
          <w:rFonts w:ascii="Narkisim" w:hAnsi="Narkisim" w:cs="Narkisim"/>
          <w:rtl/>
        </w:rPr>
        <w:t>].</w:t>
      </w:r>
    </w:p>
    <w:p w14:paraId="15756620"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(קסה ט) כת' דהיכא דהיבמה אינה רוצה לחלוץ ונותנת חלקו בנכסים, לא מקרי מורדת</w:t>
      </w:r>
      <w:r w:rsidRPr="00D65870">
        <w:rPr>
          <w:rStyle w:val="ac"/>
          <w:rFonts w:ascii="Narkisim" w:hAnsi="Narkisim"/>
          <w:rtl/>
        </w:rPr>
        <w:footnoteReference w:id="6535"/>
      </w:r>
      <w:r w:rsidRPr="00D65870">
        <w:rPr>
          <w:rFonts w:ascii="Narkisim" w:hAnsi="Narkisim"/>
          <w:rtl/>
        </w:rPr>
        <w:t>. והרשות בידה</w:t>
      </w:r>
      <w:r w:rsidRPr="00D65870">
        <w:rPr>
          <w:rStyle w:val="ac"/>
          <w:rFonts w:ascii="Narkisim" w:hAnsi="Narkisim"/>
          <w:rtl/>
        </w:rPr>
        <w:footnoteReference w:id="6536"/>
      </w:r>
      <w:r w:rsidRPr="00D65870">
        <w:rPr>
          <w:rFonts w:ascii="Narkisim" w:hAnsi="Narkisim"/>
          <w:rtl/>
        </w:rPr>
        <w:t>. אך הביא דב</w:t>
      </w:r>
      <w:r w:rsidRPr="00D65870">
        <w:rPr>
          <w:rFonts w:ascii="Narkisim" w:hAnsi="Narkisim"/>
          <w:b/>
          <w:bCs/>
          <w:rtl/>
        </w:rPr>
        <w:t>זוהר</w:t>
      </w:r>
      <w:r w:rsidRPr="00D65870">
        <w:rPr>
          <w:rFonts w:ascii="Narkisim" w:hAnsi="Narkisim"/>
          <w:rtl/>
        </w:rPr>
        <w:t xml:space="preserve"> משמע דהוה מצוה דוקא בחליצה</w:t>
      </w:r>
      <w:r w:rsidRPr="00D65870">
        <w:rPr>
          <w:rStyle w:val="ac"/>
          <w:rFonts w:ascii="Narkisim" w:hAnsi="Narkisim"/>
          <w:rtl/>
        </w:rPr>
        <w:footnoteReference w:id="6537"/>
      </w:r>
      <w:r w:rsidRPr="00D65870">
        <w:rPr>
          <w:rFonts w:ascii="Narkisim" w:hAnsi="Narkisim"/>
          <w:rtl/>
        </w:rPr>
        <w:t xml:space="preserve"> [וע”ע מה שהו' בסוף הפרק].</w:t>
      </w:r>
    </w:p>
    <w:p w14:paraId="53DB9BA3"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עונג יו"ט</w:t>
      </w:r>
      <w:r w:rsidRPr="00D65870">
        <w:rPr>
          <w:rFonts w:ascii="Narkisim" w:hAnsi="Narkisim"/>
          <w:rtl/>
        </w:rPr>
        <w:t xml:space="preserve"> חלק דודאי צריכין חליצה משום מצווה, ואף כשאין דעתה לינשא. והביא דחיישינן (לעיל יח.) שמא יבא לביטול מצוות יבמין, אף במקום דבין כך רק חולצת.</w:t>
      </w:r>
    </w:p>
    <w:p w14:paraId="2AEE9708" w14:textId="77777777" w:rsidR="006C4368" w:rsidRPr="00D65870" w:rsidRDefault="006C4368" w:rsidP="006C4368">
      <w:pPr>
        <w:bidi/>
        <w:rPr>
          <w:rFonts w:ascii="Narkisim" w:hAnsi="Narkisim" w:cs="Narkisim"/>
        </w:rPr>
      </w:pPr>
      <w:r w:rsidRPr="00D65870">
        <w:rPr>
          <w:rFonts w:ascii="Narkisim" w:hAnsi="Narkisim" w:cs="Narkisim"/>
          <w:rtl/>
        </w:rPr>
        <w:t>ו</w:t>
      </w:r>
      <w:r w:rsidRPr="00D65870">
        <w:rPr>
          <w:rFonts w:ascii="Narkisim" w:hAnsi="Narkisim" w:cs="Narkisim"/>
          <w:b/>
          <w:bCs/>
          <w:rtl/>
        </w:rPr>
        <w:t>רש"י</w:t>
      </w:r>
      <w:r w:rsidRPr="00D65870">
        <w:rPr>
          <w:rFonts w:ascii="Narkisim" w:hAnsi="Narkisim" w:cs="Narkisim"/>
          <w:rtl/>
        </w:rPr>
        <w:t xml:space="preserve"> (סנהדרין יט:) כת' דאשת מלך אינה חולצת משום דאסורה לינשא</w:t>
      </w:r>
      <w:r w:rsidRPr="00D65870">
        <w:rPr>
          <w:rStyle w:val="ac"/>
          <w:rFonts w:ascii="Narkisim" w:hAnsi="Narkisim" w:cs="Narkisim"/>
          <w:rtl/>
        </w:rPr>
        <w:footnoteReference w:id="6538"/>
      </w:r>
      <w:r w:rsidRPr="00D65870">
        <w:rPr>
          <w:rFonts w:ascii="Narkisim" w:hAnsi="Narkisim" w:cs="Narkisim"/>
          <w:rtl/>
        </w:rPr>
        <w:t>. [ובפשוטו משמע דחליצה הוה מתיר לינשא, והיכא דלא תנשא אין בזה מצווה</w:t>
      </w:r>
      <w:r w:rsidRPr="00D65870">
        <w:rPr>
          <w:rStyle w:val="ac"/>
          <w:rFonts w:ascii="Narkisim" w:eastAsia="Narkisim" w:hAnsi="Narkisim" w:cs="Narkisim"/>
          <w:sz w:val="12"/>
          <w:rtl/>
        </w:rPr>
        <w:footnoteReference w:id="6539"/>
      </w:r>
      <w:r w:rsidRPr="00D65870">
        <w:rPr>
          <w:rFonts w:ascii="Narkisim" w:hAnsi="Narkisim" w:cs="Narkisim"/>
          <w:rtl/>
        </w:rPr>
        <w:t>]. וה</w:t>
      </w:r>
      <w:r w:rsidRPr="00D65870">
        <w:rPr>
          <w:rFonts w:ascii="Narkisim" w:hAnsi="Narkisim" w:cs="Narkisim"/>
          <w:b/>
          <w:bCs/>
          <w:rtl/>
        </w:rPr>
        <w:t>רש”ש</w:t>
      </w:r>
      <w:r w:rsidRPr="00D65870">
        <w:rPr>
          <w:rFonts w:ascii="Narkisim" w:hAnsi="Narkisim" w:cs="Narkisim"/>
          <w:rtl/>
        </w:rPr>
        <w:t xml:space="preserve"> (סנהדרין </w:t>
      </w:r>
      <w:r w:rsidRPr="00D65870">
        <w:rPr>
          <w:rFonts w:ascii="Narkisim" w:hAnsi="Narkisim" w:cs="Narkisim"/>
          <w:rtl/>
        </w:rPr>
        <w:lastRenderedPageBreak/>
        <w:t>שם) תמה דבפשוטו הוה מצוה בפנ”ע לחלוץ</w:t>
      </w:r>
      <w:r w:rsidRPr="00D65870">
        <w:rPr>
          <w:rStyle w:val="ac"/>
          <w:rFonts w:ascii="Narkisim" w:hAnsi="Narkisim" w:cs="Narkisim"/>
          <w:rtl/>
        </w:rPr>
        <w:footnoteReference w:id="6540"/>
      </w:r>
      <w:r w:rsidRPr="00D65870">
        <w:rPr>
          <w:rFonts w:ascii="Narkisim" w:hAnsi="Narkisim" w:cs="Narkisim"/>
          <w:rtl/>
        </w:rPr>
        <w:t xml:space="preserve">. </w:t>
      </w:r>
      <w:r w:rsidRPr="00D65870">
        <w:rPr>
          <w:rFonts w:ascii="Narkisim" w:hAnsi="Narkisim" w:cs="Narkisim"/>
          <w:szCs w:val="20"/>
          <w:rtl/>
        </w:rPr>
        <w:t>והרש"ש כת' דאפשר דכוונת רש"י דמצוות חליצה קאי דוקא באשה המותרת לינשא, וכדכתיב לא תהיה אשת המת החוצה וכו', באשה שלולי זיקה ליבום היתה ניתרת לחוץ</w:t>
      </w:r>
      <w:r w:rsidRPr="00D65870">
        <w:rPr>
          <w:rStyle w:val="ac"/>
          <w:rFonts w:ascii="Narkisim" w:hAnsi="Narkisim" w:cs="Narkisim"/>
          <w:szCs w:val="20"/>
          <w:rtl/>
        </w:rPr>
        <w:footnoteReference w:id="6541"/>
      </w:r>
      <w:r w:rsidRPr="00D65870">
        <w:rPr>
          <w:rFonts w:ascii="Narkisim" w:hAnsi="Narkisim" w:cs="Narkisim"/>
          <w:szCs w:val="20"/>
          <w:rtl/>
        </w:rPr>
        <w:t>. ואשת מלך אינה בכלל מצוות חליצה</w:t>
      </w:r>
      <w:r w:rsidRPr="00D65870">
        <w:rPr>
          <w:rStyle w:val="ac"/>
          <w:rFonts w:ascii="Narkisim" w:hAnsi="Narkisim" w:cs="Narkisim"/>
          <w:szCs w:val="20"/>
          <w:rtl/>
        </w:rPr>
        <w:footnoteReference w:id="6542"/>
      </w:r>
      <w:r w:rsidRPr="00D65870">
        <w:rPr>
          <w:rFonts w:ascii="Narkisim" w:hAnsi="Narkisim" w:cs="Narkisim"/>
          <w:rtl/>
        </w:rPr>
        <w:t>.</w:t>
      </w:r>
    </w:p>
    <w:p w14:paraId="1E24C714" w14:textId="77777777" w:rsidR="006C4368" w:rsidRPr="00D65870" w:rsidRDefault="006C4368" w:rsidP="006C4368">
      <w:pPr>
        <w:pStyle w:val="aa"/>
        <w:bidi/>
        <w:rPr>
          <w:rFonts w:ascii="Narkisim" w:hAnsi="Narkisim"/>
        </w:rPr>
      </w:pPr>
      <w:r w:rsidRPr="00D65870">
        <w:rPr>
          <w:rFonts w:ascii="Narkisim" w:hAnsi="Narkisim"/>
          <w:rtl/>
        </w:rPr>
        <w:t>וב</w:t>
      </w:r>
      <w:r w:rsidRPr="00D65870">
        <w:rPr>
          <w:rFonts w:ascii="Narkisim" w:hAnsi="Narkisim"/>
          <w:b/>
          <w:bCs/>
          <w:rtl/>
        </w:rPr>
        <w:t>ס' החינוך</w:t>
      </w:r>
      <w:r w:rsidRPr="00D65870">
        <w:rPr>
          <w:rFonts w:ascii="Narkisim" w:hAnsi="Narkisim"/>
          <w:rtl/>
        </w:rPr>
        <w:t xml:space="preserve"> (תקצט) כתב דהעובר על עשה זה ואינו מייבם או חולץ ברוע לבבו</w:t>
      </w:r>
      <w:r w:rsidRPr="00D65870">
        <w:rPr>
          <w:rStyle w:val="ac"/>
          <w:rFonts w:ascii="Narkisim" w:hAnsi="Narkisim"/>
          <w:rtl/>
        </w:rPr>
        <w:footnoteReference w:id="6543"/>
      </w:r>
      <w:r w:rsidRPr="00D65870">
        <w:rPr>
          <w:rFonts w:ascii="Narkisim" w:hAnsi="Narkisim"/>
          <w:rtl/>
        </w:rPr>
        <w:t xml:space="preserve"> ביטל עשה זה.</w:t>
      </w:r>
    </w:p>
    <w:p w14:paraId="03F61473" w14:textId="77777777" w:rsidR="006C4368" w:rsidRPr="00D65870" w:rsidRDefault="006C4368" w:rsidP="006C4368">
      <w:pPr>
        <w:pStyle w:val="aa"/>
        <w:bidi/>
        <w:rPr>
          <w:rFonts w:ascii="Narkisim" w:hAnsi="Narkisim"/>
        </w:rPr>
      </w:pPr>
      <w:r w:rsidRPr="00D65870">
        <w:rPr>
          <w:rFonts w:ascii="Narkisim" w:hAnsi="Narkisim"/>
          <w:rtl/>
        </w:rPr>
        <w:t>וב</w:t>
      </w:r>
      <w:r w:rsidRPr="00D65870">
        <w:rPr>
          <w:rFonts w:ascii="Narkisim" w:hAnsi="Narkisim"/>
          <w:b/>
          <w:bCs/>
          <w:rtl/>
        </w:rPr>
        <w:t>ס' החינוך</w:t>
      </w:r>
      <w:r w:rsidRPr="00D65870">
        <w:rPr>
          <w:rFonts w:ascii="Narkisim" w:hAnsi="Narkisim"/>
          <w:rtl/>
        </w:rPr>
        <w:t xml:space="preserve"> (שם) כת' דמצווה זו נוהגת בזכרים. ומשמע דאין מצווה על היבמה</w:t>
      </w:r>
      <w:r w:rsidRPr="00D65870">
        <w:rPr>
          <w:rStyle w:val="ac"/>
          <w:rFonts w:ascii="Narkisim" w:hAnsi="Narkisim"/>
          <w:rtl/>
        </w:rPr>
        <w:footnoteReference w:id="6544"/>
      </w:r>
      <w:r w:rsidRPr="00D65870">
        <w:rPr>
          <w:rFonts w:ascii="Narkisim" w:hAnsi="Narkisim"/>
          <w:rtl/>
        </w:rPr>
        <w:t>. ולכאורה כוונתו דאין צווי על היבמה, דמ"מ היבמה עושה עיקר המעשה. [וא"ש לדברי החכ"צ]. ועוד יש שפי' דלמ"ד (לקמן קה.) דחליצה פסולה בלילה הוה מצוות עשה שהזמן גרמא</w:t>
      </w:r>
      <w:r w:rsidRPr="00D65870">
        <w:rPr>
          <w:rStyle w:val="ac"/>
          <w:rFonts w:ascii="Narkisim" w:hAnsi="Narkisim"/>
          <w:rtl/>
        </w:rPr>
        <w:footnoteReference w:id="6545"/>
      </w:r>
      <w:r w:rsidRPr="00D65870">
        <w:rPr>
          <w:rFonts w:ascii="Narkisim" w:hAnsi="Narkisim"/>
          <w:rtl/>
        </w:rPr>
        <w:t>.</w:t>
      </w:r>
    </w:p>
    <w:p w14:paraId="127B2C83"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מהרי"ט</w:t>
      </w:r>
      <w:r w:rsidRPr="00D65870">
        <w:rPr>
          <w:rFonts w:ascii="Narkisim" w:hAnsi="Narkisim"/>
          <w:rtl/>
        </w:rPr>
        <w:t xml:space="preserve"> (ב אה"ע טז) דן האם מהני חליצה כשהם אוננים, דכיון שהחליצה הוה מצוה</w:t>
      </w:r>
      <w:r w:rsidRPr="00D65870">
        <w:rPr>
          <w:rStyle w:val="ac"/>
          <w:rFonts w:ascii="Narkisim" w:hAnsi="Narkisim"/>
          <w:rtl/>
        </w:rPr>
        <w:footnoteReference w:id="6546"/>
      </w:r>
      <w:r w:rsidRPr="00D65870">
        <w:rPr>
          <w:rFonts w:ascii="Narkisim" w:hAnsi="Narkisim"/>
          <w:rtl/>
        </w:rPr>
        <w:t xml:space="preserve"> ואונן פטור מכל מצות האמורות בתורה. והמצווה שעושה כמאן דליתא</w:t>
      </w:r>
      <w:r w:rsidRPr="00D65870">
        <w:rPr>
          <w:rStyle w:val="ac"/>
          <w:rFonts w:ascii="Narkisim" w:hAnsi="Narkisim"/>
          <w:rtl/>
        </w:rPr>
        <w:footnoteReference w:id="6547"/>
      </w:r>
      <w:r w:rsidRPr="00D65870">
        <w:rPr>
          <w:rFonts w:ascii="Narkisim" w:hAnsi="Narkisim"/>
          <w:rtl/>
        </w:rPr>
        <w:t>. א"כ לא יהני חליצה של אוננים</w:t>
      </w:r>
      <w:r w:rsidRPr="00D65870">
        <w:rPr>
          <w:rStyle w:val="ac"/>
          <w:rFonts w:ascii="Narkisim" w:hAnsi="Narkisim"/>
          <w:rtl/>
        </w:rPr>
        <w:footnoteReference w:id="6548"/>
      </w:r>
      <w:r w:rsidRPr="00D65870">
        <w:rPr>
          <w:rFonts w:ascii="Narkisim" w:hAnsi="Narkisim"/>
          <w:rtl/>
        </w:rPr>
        <w:t>.</w:t>
      </w:r>
    </w:p>
    <w:p w14:paraId="1A6761ED"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חכ"צ</w:t>
      </w:r>
      <w:r w:rsidRPr="00D65870">
        <w:rPr>
          <w:rFonts w:ascii="Narkisim" w:hAnsi="Narkisim"/>
          <w:rtl/>
        </w:rPr>
        <w:t xml:space="preserve"> (א) חלק דהיתר החליצה לא תלי בקיום המצווה</w:t>
      </w:r>
      <w:r w:rsidRPr="00D65870">
        <w:rPr>
          <w:rStyle w:val="ac"/>
          <w:rFonts w:ascii="Narkisim" w:hAnsi="Narkisim"/>
          <w:rtl/>
        </w:rPr>
        <w:footnoteReference w:id="6549"/>
      </w:r>
      <w:r w:rsidRPr="00D65870">
        <w:rPr>
          <w:rFonts w:ascii="Narkisim" w:hAnsi="Narkisim"/>
          <w:rtl/>
        </w:rPr>
        <w:t>. וכי אונן שגירש לא יהיה גיטו גט</w:t>
      </w:r>
      <w:r w:rsidRPr="00D65870">
        <w:rPr>
          <w:rStyle w:val="ac"/>
          <w:rFonts w:ascii="Narkisim" w:hAnsi="Narkisim"/>
          <w:rtl/>
        </w:rPr>
        <w:footnoteReference w:id="6550"/>
      </w:r>
      <w:r w:rsidRPr="00D65870">
        <w:rPr>
          <w:rFonts w:ascii="Narkisim" w:hAnsi="Narkisim"/>
          <w:rtl/>
        </w:rPr>
        <w:t>. דהא קטנה שהגיעה לעונת הפעוטות חולצת [לר' יוסי לקמן קה:], ואף דקטנה פטורה מכל מצות האמורות בתורה, וזיקתה ודאי הוה זיקה גמורה. [וע"ע קוב"ש כתובות רמח].</w:t>
      </w:r>
    </w:p>
    <w:p w14:paraId="0B248DC1" w14:textId="77777777" w:rsidR="006C4368" w:rsidRPr="00D65870" w:rsidRDefault="006C4368" w:rsidP="006C4368">
      <w:pPr>
        <w:pStyle w:val="aa"/>
        <w:bidi/>
        <w:rPr>
          <w:rFonts w:ascii="Narkisim" w:hAnsi="Narkisim"/>
        </w:rPr>
      </w:pPr>
      <w:r w:rsidRPr="00D65870">
        <w:rPr>
          <w:rFonts w:ascii="Narkisim" w:hAnsi="Narkisim"/>
          <w:rtl/>
        </w:rPr>
        <w:t>ויש שחילקו דחליצה כשירה [במקום דאפשר לייבם</w:t>
      </w:r>
      <w:r w:rsidRPr="00D65870">
        <w:rPr>
          <w:rStyle w:val="ac"/>
          <w:rFonts w:ascii="Narkisim" w:hAnsi="Narkisim"/>
          <w:rtl/>
        </w:rPr>
        <w:footnoteReference w:id="6551"/>
      </w:r>
      <w:r w:rsidRPr="00D65870">
        <w:rPr>
          <w:rFonts w:ascii="Narkisim" w:hAnsi="Narkisim"/>
          <w:rtl/>
        </w:rPr>
        <w:t>] נחשב 'מצווה', אבל במקום דאינה ראויה ליבום החליצה הוה בגדר פטור בעלמא</w:t>
      </w:r>
      <w:r w:rsidRPr="00D65870">
        <w:rPr>
          <w:rStyle w:val="ac"/>
          <w:rFonts w:ascii="Narkisim" w:hAnsi="Narkisim"/>
          <w:rtl/>
        </w:rPr>
        <w:footnoteReference w:id="6552"/>
      </w:r>
      <w:r w:rsidRPr="00D65870">
        <w:rPr>
          <w:rFonts w:ascii="Narkisim" w:hAnsi="Narkisim"/>
          <w:rtl/>
        </w:rPr>
        <w:t>.</w:t>
      </w:r>
    </w:p>
    <w:p w14:paraId="145ED1A0" w14:textId="77777777" w:rsidR="006C4368" w:rsidRPr="00D65870" w:rsidRDefault="006C4368" w:rsidP="006C4368">
      <w:pPr>
        <w:bidi/>
        <w:rPr>
          <w:rFonts w:ascii="Narkisim" w:hAnsi="Narkisim" w:cs="Narkisim"/>
        </w:rPr>
      </w:pPr>
      <w:r w:rsidRPr="00D65870">
        <w:rPr>
          <w:rFonts w:ascii="Narkisim" w:hAnsi="Narkisim" w:cs="Narkisim"/>
          <w:u w:val="single"/>
          <w:rtl/>
        </w:rPr>
        <w:t>בג' דיינים, ואפי' ג' הדיוטות וכו'</w:t>
      </w:r>
      <w:r w:rsidRPr="00D65870">
        <w:rPr>
          <w:rFonts w:ascii="Narkisim" w:hAnsi="Narkisim" w:cs="Narkisim"/>
          <w:rtl/>
        </w:rPr>
        <w:t>. מבואר דבעינן 'דיינים' [כדילפי' בגמ'], אלא דקמ"ל דסגי בהדיוטות. ומבואר דצריך דיינים לקיום החליצה [ויל"ד אי הוה מעין עדות לקיומי. או דהתורה קבעה תנאי בחליצה שיהא במקום בי"ד, דבעינן ועלתה השערה למקום חשוב. או דילמא דנחשב שהבי"ד פועלים את ההיתר בחליצה, דהוה כעין פסק דין</w:t>
      </w:r>
      <w:r w:rsidRPr="00D65870">
        <w:rPr>
          <w:rStyle w:val="ac"/>
          <w:rFonts w:ascii="Narkisim" w:hAnsi="Narkisim" w:cs="Narkisim"/>
          <w:rtl/>
        </w:rPr>
        <w:footnoteReference w:id="6553"/>
      </w:r>
      <w:r w:rsidRPr="00D65870">
        <w:rPr>
          <w:rFonts w:ascii="Narkisim" w:hAnsi="Narkisim" w:cs="Narkisim"/>
          <w:rtl/>
        </w:rPr>
        <w:t>].</w:t>
      </w:r>
    </w:p>
    <w:p w14:paraId="149C968F" w14:textId="77777777" w:rsidR="006C4368" w:rsidRPr="00D65870" w:rsidRDefault="006C4368" w:rsidP="006C4368">
      <w:pPr>
        <w:pStyle w:val="a7"/>
        <w:bidi/>
        <w:rPr>
          <w:rFonts w:ascii="Narkisim" w:hAnsi="Narkisim"/>
        </w:rPr>
      </w:pPr>
      <w:r w:rsidRPr="00D65870">
        <w:rPr>
          <w:rFonts w:ascii="Narkisim" w:hAnsi="Narkisim"/>
          <w:rtl/>
        </w:rPr>
        <w:t>ודעת ר' עקיבא (לקמן קד: וקה:</w:t>
      </w:r>
      <w:r w:rsidRPr="00D65870">
        <w:rPr>
          <w:rStyle w:val="ac"/>
          <w:rFonts w:ascii="Narkisim" w:hAnsi="Narkisim"/>
          <w:rtl/>
        </w:rPr>
        <w:footnoteReference w:id="6554"/>
      </w:r>
      <w:r w:rsidRPr="00D65870">
        <w:rPr>
          <w:rFonts w:ascii="Narkisim" w:hAnsi="Narkisim"/>
          <w:rtl/>
        </w:rPr>
        <w:t>) דמהני חליצה בינו לבינה</w:t>
      </w:r>
      <w:r w:rsidRPr="00D65870">
        <w:rPr>
          <w:rStyle w:val="ac"/>
          <w:rFonts w:ascii="Narkisim" w:hAnsi="Narkisim"/>
          <w:rtl/>
        </w:rPr>
        <w:footnoteReference w:id="6555"/>
      </w:r>
      <w:r w:rsidRPr="00D65870">
        <w:rPr>
          <w:rFonts w:ascii="Narkisim" w:hAnsi="Narkisim"/>
          <w:rtl/>
        </w:rPr>
        <w:t xml:space="preserve"> ובי"ד אינו מעכב.</w:t>
      </w:r>
    </w:p>
    <w:p w14:paraId="56489E9A" w14:textId="77777777" w:rsidR="006C4368" w:rsidRPr="00D65870" w:rsidRDefault="006C4368" w:rsidP="006C4368">
      <w:pPr>
        <w:bidi/>
        <w:rPr>
          <w:rFonts w:ascii="Narkisim" w:hAnsi="Narkisim" w:cs="Narkisim"/>
        </w:rPr>
      </w:pPr>
      <w:r w:rsidRPr="00D65870">
        <w:rPr>
          <w:rFonts w:ascii="Narkisim" w:hAnsi="Narkisim" w:cs="Narkisim"/>
          <w:u w:val="single"/>
          <w:rtl/>
        </w:rPr>
        <w:t>שאין לו עקב</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שול"א בלע"ז. [סוליה, תחתית הנעל]. וה</w:t>
      </w:r>
      <w:r w:rsidRPr="00D65870">
        <w:rPr>
          <w:rFonts w:ascii="Narkisim" w:hAnsi="Narkisim" w:cs="Narkisim"/>
          <w:b/>
          <w:bCs/>
          <w:rtl/>
        </w:rPr>
        <w:t>תוס' מהר"ם ור"פ</w:t>
      </w:r>
      <w:r w:rsidRPr="00D65870">
        <w:rPr>
          <w:rFonts w:ascii="Narkisim" w:hAnsi="Narkisim" w:cs="Narkisim"/>
          <w:rtl/>
        </w:rPr>
        <w:t xml:space="preserve"> חלק דעקב בכל מקום הוא שלו"ן בלע"ז</w:t>
      </w:r>
      <w:r w:rsidRPr="00D65870">
        <w:rPr>
          <w:rStyle w:val="ac"/>
          <w:rFonts w:ascii="Narkisim" w:hAnsi="Narkisim" w:cs="Narkisim"/>
          <w:rtl/>
        </w:rPr>
        <w:footnoteReference w:id="6556"/>
      </w:r>
      <w:r w:rsidRPr="00D65870">
        <w:rPr>
          <w:rFonts w:ascii="Narkisim" w:hAnsi="Narkisim" w:cs="Narkisim"/>
          <w:rtl/>
        </w:rPr>
        <w:t>. [פי' עקב של הרגל</w:t>
      </w:r>
      <w:r w:rsidRPr="00D65870">
        <w:rPr>
          <w:rStyle w:val="ac"/>
          <w:rFonts w:ascii="Narkisim" w:hAnsi="Narkisim" w:cs="Narkisim"/>
          <w:rtl/>
        </w:rPr>
        <w:footnoteReference w:id="6557"/>
      </w:r>
      <w:r w:rsidRPr="00D65870">
        <w:rPr>
          <w:rFonts w:ascii="Narkisim" w:hAnsi="Narkisim" w:cs="Narkisim"/>
          <w:rtl/>
        </w:rPr>
        <w:t>]. וה</w:t>
      </w:r>
      <w:r w:rsidRPr="00D65870">
        <w:rPr>
          <w:rFonts w:ascii="Narkisim" w:hAnsi="Narkisim" w:cs="Narkisim"/>
          <w:b/>
          <w:bCs/>
          <w:rtl/>
        </w:rPr>
        <w:t>נמוק"י</w:t>
      </w:r>
      <w:r w:rsidRPr="00D65870">
        <w:rPr>
          <w:rFonts w:ascii="Narkisim" w:hAnsi="Narkisim" w:cs="Narkisim"/>
          <w:rtl/>
        </w:rPr>
        <w:t xml:space="preserve"> כת' דאף לדעת רש"י כל </w:t>
      </w:r>
      <w:r w:rsidRPr="00D65870">
        <w:rPr>
          <w:rFonts w:ascii="Narkisim" w:hAnsi="Narkisim" w:cs="Narkisim"/>
          <w:rtl/>
        </w:rPr>
        <w:lastRenderedPageBreak/>
        <w:t>דבר המעכב את הרגל בתוך המנעל נקרא עקב, וכולל שוליא ועקב ממש. שכשאין לו שוליא או עקב הרגל יוצאת מהנעל. וכת' דרש"י נקט שוליא לרבותא דאף כשיש עקב מסביב ל"מ אא"כ יש שולא מלמטה.</w:t>
      </w:r>
    </w:p>
    <w:p w14:paraId="3AF94BB1" w14:textId="77777777" w:rsidR="006C4368" w:rsidRPr="00D65870" w:rsidRDefault="006C4368" w:rsidP="006C4368">
      <w:pPr>
        <w:bidi/>
        <w:rPr>
          <w:rFonts w:ascii="Narkisim" w:hAnsi="Narkisim" w:cs="Narkisim"/>
        </w:rPr>
      </w:pPr>
      <w:r w:rsidRPr="00D65870">
        <w:rPr>
          <w:rFonts w:ascii="Narkisim" w:hAnsi="Narkisim" w:cs="Narkisim"/>
          <w:u w:val="single"/>
          <w:rtl/>
        </w:rPr>
        <w:t>ומאחר דאפי' ג' הדיוטות, דיינין למה לי וכו'</w:t>
      </w:r>
      <w:r w:rsidRPr="00D65870">
        <w:rPr>
          <w:rFonts w:ascii="Narkisim" w:hAnsi="Narkisim" w:cs="Narkisim"/>
          <w:rtl/>
        </w:rPr>
        <w:t>. ה</w:t>
      </w:r>
      <w:r w:rsidRPr="00D65870">
        <w:rPr>
          <w:rFonts w:ascii="Narkisim" w:hAnsi="Narkisim" w:cs="Narkisim"/>
          <w:b/>
          <w:bCs/>
          <w:rtl/>
        </w:rPr>
        <w:t>ריטב"א</w:t>
      </w:r>
      <w:r w:rsidRPr="00D65870">
        <w:rPr>
          <w:rFonts w:ascii="Narkisim" w:hAnsi="Narkisim" w:cs="Narkisim"/>
          <w:rtl/>
        </w:rPr>
        <w:t xml:space="preserve"> הק' ד</w:t>
      </w:r>
      <w:r w:rsidRPr="00D65870">
        <w:rPr>
          <w:rFonts w:ascii="Narkisim" w:hAnsi="Narkisim" w:cs="Narkisim"/>
          <w:b/>
          <w:bCs/>
          <w:rtl/>
        </w:rPr>
        <w:t>רש"י</w:t>
      </w:r>
      <w:r w:rsidRPr="00D65870">
        <w:rPr>
          <w:rFonts w:ascii="Narkisim" w:hAnsi="Narkisim" w:cs="Narkisim"/>
          <w:rtl/>
        </w:rPr>
        <w:t xml:space="preserve"> (במשנה) פי' הדיוטות שאינן מסנהדרי עירן</w:t>
      </w:r>
      <w:r w:rsidRPr="00D65870">
        <w:rPr>
          <w:rStyle w:val="ac"/>
          <w:rFonts w:ascii="Narkisim" w:hAnsi="Narkisim" w:cs="Narkisim"/>
          <w:rtl/>
        </w:rPr>
        <w:footnoteReference w:id="6558"/>
      </w:r>
      <w:r w:rsidRPr="00D65870">
        <w:rPr>
          <w:rFonts w:ascii="Narkisim" w:hAnsi="Narkisim" w:cs="Narkisim"/>
          <w:rtl/>
        </w:rPr>
        <w:t>. ומשמע דצריך שיהא ראוי לדון אלא דלא בעינן סמוכים. א"כ מנ"ל דסגי בהדיוטות יושבי קרנות, אף שיודעים להקרות.</w:t>
      </w:r>
    </w:p>
    <w:p w14:paraId="08D9A5AA"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ביאר דמדינא חליצה הוה דבר שבערוה (וע”ע לקמן קה:</w:t>
      </w:r>
      <w:r w:rsidRPr="00D65870">
        <w:rPr>
          <w:rStyle w:val="ac"/>
          <w:rFonts w:ascii="Narkisim" w:hAnsi="Narkisim"/>
          <w:rtl/>
        </w:rPr>
        <w:footnoteReference w:id="6559"/>
      </w:r>
      <w:r w:rsidRPr="00D65870">
        <w:rPr>
          <w:rFonts w:ascii="Narkisim" w:hAnsi="Narkisim"/>
          <w:rtl/>
        </w:rPr>
        <w:t>), אלא דהקילו בה טפי מגיטין ודיני ממונות, דהתם צריך סמוכין מדאורייתא לדון</w:t>
      </w:r>
      <w:r w:rsidRPr="00D65870">
        <w:rPr>
          <w:rStyle w:val="ac"/>
          <w:rFonts w:ascii="Narkisim" w:hAnsi="Narkisim"/>
          <w:rtl/>
        </w:rPr>
        <w:footnoteReference w:id="6560"/>
      </w:r>
      <w:r w:rsidRPr="00D65870">
        <w:rPr>
          <w:rFonts w:ascii="Narkisim" w:hAnsi="Narkisim"/>
          <w:rtl/>
        </w:rPr>
        <w:t>. [וצ"ב דכל גט ל"צ בי"ד סמוכין כלל אלא לכפיית הגט. א”כ מדוע דכל חליצה יצטרך ג'</w:t>
      </w:r>
      <w:r w:rsidRPr="00D65870">
        <w:rPr>
          <w:rStyle w:val="ac"/>
          <w:rFonts w:ascii="Narkisim" w:hAnsi="Narkisim"/>
          <w:rtl/>
        </w:rPr>
        <w:footnoteReference w:id="6561"/>
      </w:r>
      <w:r w:rsidRPr="00D65870">
        <w:rPr>
          <w:rFonts w:ascii="Narkisim" w:hAnsi="Narkisim"/>
          <w:rtl/>
        </w:rPr>
        <w:t>]. ומש”ה ס”ד דסגי אפי' בזקני השוק, דגריעי מהדיוטות. קמ”ל דצריך עכ”פ שידעו הלכות חליצה.</w:t>
      </w:r>
    </w:p>
    <w:p w14:paraId="20B50E80" w14:textId="77777777" w:rsidR="006C4368" w:rsidRPr="00D65870" w:rsidRDefault="006C4368" w:rsidP="006C4368">
      <w:pPr>
        <w:bidi/>
        <w:rPr>
          <w:rFonts w:ascii="Narkisim" w:hAnsi="Narkisim" w:cs="Narkisim"/>
        </w:rPr>
      </w:pPr>
      <w:r w:rsidRPr="00D65870">
        <w:rPr>
          <w:rFonts w:ascii="Narkisim" w:hAnsi="Narkisim" w:cs="Narkisim"/>
          <w:u w:val="single"/>
          <w:rtl/>
        </w:rPr>
        <w:t>הא קמ"ל דבעינן ג' שיודעים להקרות כעין דיינים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להקרות ליבם, בלשון הקודש (כדתנן סוטה לב.)</w:t>
      </w:r>
      <w:r w:rsidRPr="00D65870">
        <w:rPr>
          <w:rStyle w:val="ac"/>
          <w:rFonts w:ascii="Narkisim" w:hAnsi="Narkisim" w:cs="Narkisim"/>
          <w:rtl/>
        </w:rPr>
        <w:footnoteReference w:id="6562"/>
      </w:r>
      <w:r w:rsidRPr="00D65870">
        <w:rPr>
          <w:rFonts w:ascii="Narkisim" w:hAnsi="Narkisim" w:cs="Narkisim"/>
          <w:rtl/>
        </w:rPr>
        <w:t>. ו</w:t>
      </w:r>
      <w:r w:rsidRPr="00D65870">
        <w:rPr>
          <w:rFonts w:ascii="Narkisim" w:hAnsi="Narkisim" w:cs="Narkisim"/>
          <w:b/>
          <w:bCs/>
          <w:rtl/>
        </w:rPr>
        <w:t>תוס'</w:t>
      </w:r>
      <w:r w:rsidRPr="00D65870">
        <w:rPr>
          <w:rFonts w:ascii="Narkisim" w:hAnsi="Narkisim" w:cs="Narkisim"/>
          <w:rtl/>
        </w:rPr>
        <w:t xml:space="preserve"> פי' דאי"צ לדעת שאר הלכות חליצה, אלא שיוכלו לישאל על הקריאה</w:t>
      </w:r>
      <w:r w:rsidRPr="00D65870">
        <w:rPr>
          <w:rStyle w:val="ac"/>
          <w:rFonts w:ascii="Narkisim" w:hAnsi="Narkisim" w:cs="Narkisim"/>
          <w:rtl/>
        </w:rPr>
        <w:footnoteReference w:id="6563"/>
      </w:r>
      <w:r w:rsidRPr="00D65870">
        <w:rPr>
          <w:rFonts w:ascii="Narkisim" w:hAnsi="Narkisim" w:cs="Narkisim"/>
          <w:rtl/>
        </w:rPr>
        <w:t xml:space="preserve">. </w:t>
      </w:r>
      <w:r w:rsidRPr="00D65870">
        <w:rPr>
          <w:rFonts w:ascii="Narkisim" w:hAnsi="Narkisim" w:cs="Narkisim"/>
          <w:szCs w:val="20"/>
          <w:rtl/>
        </w:rPr>
        <w:t>וה</w:t>
      </w:r>
      <w:r w:rsidRPr="00D65870">
        <w:rPr>
          <w:rFonts w:ascii="Narkisim" w:hAnsi="Narkisim" w:cs="Narkisim"/>
          <w:b/>
          <w:bCs/>
          <w:szCs w:val="20"/>
          <w:rtl/>
        </w:rPr>
        <w:t>מאירי</w:t>
      </w:r>
      <w:r w:rsidRPr="00D65870">
        <w:rPr>
          <w:rFonts w:ascii="Narkisim" w:hAnsi="Narkisim" w:cs="Narkisim"/>
          <w:szCs w:val="20"/>
          <w:rtl/>
        </w:rPr>
        <w:t xml:space="preserve"> ו</w:t>
      </w:r>
      <w:r w:rsidRPr="00D65870">
        <w:rPr>
          <w:rFonts w:ascii="Narkisim" w:hAnsi="Narkisim" w:cs="Narkisim"/>
          <w:b/>
          <w:bCs/>
          <w:szCs w:val="20"/>
          <w:rtl/>
        </w:rPr>
        <w:t>ר"א מן ההר</w:t>
      </w:r>
      <w:r w:rsidRPr="00D65870">
        <w:rPr>
          <w:rFonts w:ascii="Narkisim" w:hAnsi="Narkisim" w:cs="Narkisim"/>
          <w:szCs w:val="20"/>
          <w:rtl/>
        </w:rPr>
        <w:t xml:space="preserve"> הביאו בשם הרמב"ם בפיה"מ הדיוטות אינם חכמים אלא יודעים כוונת הפסוקים</w:t>
      </w:r>
      <w:r w:rsidRPr="00D65870">
        <w:rPr>
          <w:rStyle w:val="ac"/>
          <w:rFonts w:ascii="Narkisim" w:hAnsi="Narkisim" w:cs="Narkisim"/>
          <w:szCs w:val="20"/>
          <w:rtl/>
        </w:rPr>
        <w:footnoteReference w:id="6564"/>
      </w:r>
      <w:r w:rsidRPr="00D65870">
        <w:rPr>
          <w:rFonts w:ascii="Narkisim" w:hAnsi="Narkisim" w:cs="Narkisim"/>
          <w:rtl/>
        </w:rPr>
        <w:t>.</w:t>
      </w:r>
    </w:p>
    <w:p w14:paraId="5CFA10A0" w14:textId="77777777" w:rsidR="006C4368" w:rsidRPr="00D65870" w:rsidRDefault="006C4368" w:rsidP="006C4368">
      <w:pPr>
        <w:pStyle w:val="a7"/>
        <w:bidi/>
        <w:rPr>
          <w:rFonts w:ascii="Narkisim" w:hAnsi="Narkisim"/>
        </w:rPr>
      </w:pPr>
      <w:r w:rsidRPr="00D65870">
        <w:rPr>
          <w:rFonts w:ascii="Narkisim" w:hAnsi="Narkisim"/>
          <w:rtl/>
        </w:rPr>
        <w:t>אבל ה</w:t>
      </w:r>
      <w:r w:rsidRPr="00D65870">
        <w:rPr>
          <w:rFonts w:ascii="Narkisim" w:hAnsi="Narkisim"/>
          <w:b/>
          <w:bCs/>
          <w:rtl/>
        </w:rPr>
        <w:t>ריטב"א</w:t>
      </w:r>
      <w:r w:rsidRPr="00D65870">
        <w:rPr>
          <w:rFonts w:ascii="Narkisim" w:hAnsi="Narkisim"/>
          <w:rtl/>
        </w:rPr>
        <w:t xml:space="preserve"> כת' דתי' הגמ' דבעינן שידעו כל הלכות חליצה שידעו להקרות כסדר, וכעין דיינים</w:t>
      </w:r>
      <w:r w:rsidRPr="00D65870">
        <w:rPr>
          <w:rStyle w:val="ac"/>
          <w:rFonts w:ascii="Narkisim" w:hAnsi="Narkisim"/>
          <w:rtl/>
        </w:rPr>
        <w:footnoteReference w:id="6565"/>
      </w:r>
      <w:r w:rsidRPr="00D65870">
        <w:rPr>
          <w:rFonts w:ascii="Narkisim" w:hAnsi="Narkisim"/>
          <w:rtl/>
        </w:rPr>
        <w:t>. אלא דהקילו דאי"צ סמוכין</w:t>
      </w:r>
      <w:r w:rsidRPr="00D65870">
        <w:rPr>
          <w:rStyle w:val="ac"/>
          <w:rFonts w:ascii="Narkisim" w:hAnsi="Narkisim"/>
          <w:rtl/>
        </w:rPr>
        <w:footnoteReference w:id="6566"/>
      </w:r>
      <w:r w:rsidRPr="00D65870">
        <w:rPr>
          <w:rFonts w:ascii="Narkisim" w:hAnsi="Narkisim"/>
          <w:rtl/>
        </w:rPr>
        <w:t>.</w:t>
      </w:r>
    </w:p>
    <w:p w14:paraId="005CB8F3"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רמב"ם</w:t>
      </w:r>
      <w:r w:rsidRPr="00D65870">
        <w:rPr>
          <w:rFonts w:ascii="Narkisim" w:hAnsi="Narkisim"/>
          <w:rtl/>
        </w:rPr>
        <w:t xml:space="preserve"> בפיה"מ כת' דהחליצה מותרת בהיוטות בשעת הדחק. ואילו לכתחילה צריך דיינים. וה</w:t>
      </w:r>
      <w:r w:rsidRPr="00D65870">
        <w:rPr>
          <w:rFonts w:ascii="Narkisim" w:hAnsi="Narkisim"/>
          <w:b/>
          <w:bCs/>
          <w:rtl/>
        </w:rPr>
        <w:t>פתח"ת</w:t>
      </w:r>
      <w:r w:rsidRPr="00D65870">
        <w:rPr>
          <w:rFonts w:ascii="Narkisim" w:hAnsi="Narkisim"/>
          <w:rtl/>
        </w:rPr>
        <w:t xml:space="preserve"> (קסט ב) הביא שו"ת </w:t>
      </w:r>
      <w:r w:rsidRPr="00D65870">
        <w:rPr>
          <w:rFonts w:ascii="Narkisim" w:hAnsi="Narkisim"/>
          <w:b/>
          <w:bCs/>
          <w:rtl/>
        </w:rPr>
        <w:t>שיבת ציון</w:t>
      </w:r>
      <w:r w:rsidRPr="00D65870">
        <w:rPr>
          <w:rFonts w:ascii="Narkisim" w:hAnsi="Narkisim"/>
          <w:rtl/>
        </w:rPr>
        <w:t xml:space="preserve"> (צח) דכ”מ בירושלמי, אך אנן קי"ל דמהני יודעים להקרות אפי' לכתחילה.</w:t>
      </w:r>
    </w:p>
    <w:p w14:paraId="002FE832" w14:textId="77777777" w:rsidR="006C4368" w:rsidRPr="00D65870" w:rsidRDefault="006C4368" w:rsidP="006C4368">
      <w:pPr>
        <w:bidi/>
        <w:rPr>
          <w:rFonts w:ascii="Narkisim" w:hAnsi="Narkisim" w:cs="Narkisim"/>
        </w:rPr>
      </w:pPr>
      <w:r w:rsidRPr="00D65870">
        <w:rPr>
          <w:rFonts w:ascii="Narkisim" w:hAnsi="Narkisim" w:cs="Narkisim"/>
          <w:rtl/>
        </w:rPr>
        <w:t>ו</w:t>
      </w:r>
      <w:r w:rsidRPr="00D65870">
        <w:rPr>
          <w:rFonts w:ascii="Narkisim" w:hAnsi="Narkisim" w:cs="Narkisim"/>
          <w:b/>
          <w:bCs/>
          <w:rtl/>
        </w:rPr>
        <w:t>ר"א מן ההר</w:t>
      </w:r>
      <w:r w:rsidRPr="00D65870">
        <w:rPr>
          <w:rFonts w:ascii="Narkisim" w:hAnsi="Narkisim" w:cs="Narkisim"/>
          <w:rtl/>
        </w:rPr>
        <w:t xml:space="preserve"> כת' דדוקא למצווה בעינן שיודעים להקרות, אבל אינו מעכב. דכל הנך קראי אסמכתא</w:t>
      </w:r>
      <w:r w:rsidRPr="00D65870">
        <w:rPr>
          <w:rStyle w:val="ac"/>
          <w:rFonts w:ascii="Narkisim" w:hAnsi="Narkisim" w:cs="Narkisim"/>
          <w:rtl/>
        </w:rPr>
        <w:footnoteReference w:id="6567"/>
      </w:r>
      <w:r w:rsidRPr="00D65870">
        <w:rPr>
          <w:rFonts w:ascii="Narkisim" w:hAnsi="Narkisim" w:cs="Narkisim"/>
          <w:rtl/>
        </w:rPr>
        <w:t>. (וע"ע בע"ב).</w:t>
      </w:r>
    </w:p>
    <w:p w14:paraId="48EB7632" w14:textId="77777777" w:rsidR="006C4368" w:rsidRPr="00D65870" w:rsidRDefault="006C4368" w:rsidP="006C4368">
      <w:pPr>
        <w:pStyle w:val="aa"/>
        <w:bidi/>
        <w:rPr>
          <w:rFonts w:ascii="Narkisim" w:hAnsi="Narkisim"/>
        </w:rPr>
      </w:pPr>
      <w:r w:rsidRPr="00D65870">
        <w:rPr>
          <w:rFonts w:ascii="Narkisim" w:hAnsi="Narkisim"/>
          <w:rtl/>
        </w:rPr>
        <w:lastRenderedPageBreak/>
        <w:t>וה</w:t>
      </w:r>
      <w:r w:rsidRPr="00D65870">
        <w:rPr>
          <w:rFonts w:ascii="Narkisim" w:hAnsi="Narkisim"/>
          <w:b/>
          <w:bCs/>
          <w:rtl/>
        </w:rPr>
        <w:t>מהרי"ט</w:t>
      </w:r>
      <w:r w:rsidRPr="00D65870">
        <w:rPr>
          <w:rFonts w:ascii="Narkisim" w:hAnsi="Narkisim"/>
          <w:rtl/>
        </w:rPr>
        <w:t xml:space="preserve"> (חו"מ מו) כת' דהיכא דצריך ג' לקבלת עדות ל"צ חד דגמיר, וכמו חליצה דסגי ביודעים למה שצריך</w:t>
      </w:r>
      <w:r w:rsidRPr="00D65870">
        <w:rPr>
          <w:rStyle w:val="ac"/>
          <w:rFonts w:ascii="Narkisim" w:hAnsi="Narkisim"/>
          <w:rtl/>
        </w:rPr>
        <w:footnoteReference w:id="6568"/>
      </w:r>
      <w:r w:rsidRPr="00D65870">
        <w:rPr>
          <w:rFonts w:ascii="Narkisim" w:hAnsi="Narkisim"/>
          <w:rtl/>
        </w:rPr>
        <w:t>. [ולא הוה קולא בחליצה טפי מדיני ממונות]. וה</w:t>
      </w:r>
      <w:r w:rsidRPr="00D65870">
        <w:rPr>
          <w:rFonts w:ascii="Narkisim" w:hAnsi="Narkisim"/>
          <w:b/>
          <w:bCs/>
          <w:rtl/>
        </w:rPr>
        <w:t>קצות</w:t>
      </w:r>
      <w:r w:rsidRPr="00D65870">
        <w:rPr>
          <w:rFonts w:ascii="Narkisim" w:hAnsi="Narkisim"/>
          <w:rtl/>
        </w:rPr>
        <w:t xml:space="preserve"> (עט ז) חלק דודאי גם בקיום שטרות וקבלת עדות צריך דוקא בי"ד הראוין לדון. ושאני חליצה דרבי קרא 'בישראל', דלא בעינן גמרי כלל</w:t>
      </w:r>
      <w:r w:rsidRPr="00D65870">
        <w:rPr>
          <w:rStyle w:val="ac"/>
          <w:rFonts w:ascii="Narkisim" w:hAnsi="Narkisim"/>
          <w:rtl/>
        </w:rPr>
        <w:footnoteReference w:id="6569"/>
      </w:r>
      <w:r w:rsidRPr="00D65870">
        <w:rPr>
          <w:rFonts w:ascii="Narkisim" w:hAnsi="Narkisim"/>
          <w:rtl/>
        </w:rPr>
        <w:t>.</w:t>
      </w:r>
    </w:p>
    <w:p w14:paraId="0C222E94" w14:textId="77777777" w:rsidR="006C4368" w:rsidRPr="00D65870" w:rsidRDefault="006C4368" w:rsidP="006C4368">
      <w:pPr>
        <w:pStyle w:val="aa"/>
        <w:bidi/>
        <w:rPr>
          <w:rFonts w:ascii="Narkisim" w:hAnsi="Narkisim"/>
        </w:rPr>
      </w:pPr>
      <w:r w:rsidRPr="00D65870">
        <w:rPr>
          <w:rFonts w:ascii="Narkisim" w:hAnsi="Narkisim"/>
          <w:u w:val="single"/>
          <w:rtl/>
        </w:rPr>
        <w:t>ואין בי"ד שקול וכו'</w:t>
      </w:r>
      <w:r w:rsidRPr="00D65870">
        <w:rPr>
          <w:rFonts w:ascii="Narkisim" w:hAnsi="Narkisim"/>
          <w:rtl/>
        </w:rPr>
        <w:t>. פ</w:t>
      </w:r>
      <w:r w:rsidRPr="00D65870">
        <w:rPr>
          <w:rFonts w:ascii="Narkisim" w:hAnsi="Narkisim"/>
          <w:b/>
          <w:bCs/>
          <w:rtl/>
        </w:rPr>
        <w:t>רש"י</w:t>
      </w:r>
      <w:r w:rsidRPr="00D65870">
        <w:rPr>
          <w:rFonts w:ascii="Narkisim" w:hAnsi="Narkisim"/>
          <w:rtl/>
        </w:rPr>
        <w:t xml:space="preserve"> (סנהדרין ב:) דאין עושין בי"ד זוגות, שאם יחלקו לחצאין הו"ל פלגא ופלגא. וצריך הכרעה ע"פ א'. וה</w:t>
      </w:r>
      <w:r w:rsidRPr="00D65870">
        <w:rPr>
          <w:rFonts w:ascii="Narkisim" w:hAnsi="Narkisim"/>
          <w:b/>
          <w:bCs/>
          <w:rtl/>
        </w:rPr>
        <w:t>ר”א מן ההר</w:t>
      </w:r>
      <w:r w:rsidRPr="00D65870">
        <w:rPr>
          <w:rFonts w:ascii="Narkisim" w:hAnsi="Narkisim"/>
          <w:rtl/>
        </w:rPr>
        <w:t xml:space="preserve"> ביאר דלפ”ז לשון 'שקול' היינו זה כנגד זה, דצריך שיהא ביניהם מי שיכריע דעתם. ועוד הביא </w:t>
      </w:r>
      <w:r w:rsidRPr="00D65870">
        <w:rPr>
          <w:rFonts w:ascii="Narkisim" w:hAnsi="Narkisim"/>
          <w:b/>
          <w:bCs/>
          <w:rtl/>
        </w:rPr>
        <w:t>י"מ</w:t>
      </w:r>
      <w:r w:rsidRPr="00D65870">
        <w:rPr>
          <w:rFonts w:ascii="Narkisim" w:hAnsi="Narkisim"/>
          <w:rtl/>
        </w:rPr>
        <w:t xml:space="preserve"> דצריך לשקול ולהכריע הדבר במשקולת. אבל כשהם זוגות אינם שקולים, שאין שם מי שיכריע דעתם</w:t>
      </w:r>
      <w:r w:rsidRPr="00D65870">
        <w:rPr>
          <w:rStyle w:val="ac"/>
          <w:rFonts w:ascii="Narkisim" w:hAnsi="Narkisim"/>
          <w:rtl/>
        </w:rPr>
        <w:footnoteReference w:id="6570"/>
      </w:r>
      <w:r w:rsidRPr="00D65870">
        <w:rPr>
          <w:rFonts w:ascii="Narkisim" w:hAnsi="Narkisim"/>
          <w:rtl/>
        </w:rPr>
        <w:t>.</w:t>
      </w:r>
    </w:p>
    <w:p w14:paraId="16618A22" w14:textId="77777777" w:rsidR="006C4368" w:rsidRPr="00D65870" w:rsidRDefault="006C4368" w:rsidP="006C4368">
      <w:pPr>
        <w:bidi/>
        <w:rPr>
          <w:rFonts w:ascii="Narkisim" w:hAnsi="Narkisim" w:cs="Narkisim"/>
        </w:rPr>
      </w:pPr>
      <w:r w:rsidRPr="00D65870">
        <w:rPr>
          <w:rFonts w:ascii="Narkisim" w:hAnsi="Narkisim" w:cs="Narkisim"/>
          <w:rtl/>
        </w:rPr>
        <w:t xml:space="preserve"> וב</w:t>
      </w:r>
      <w:r w:rsidRPr="00D65870">
        <w:rPr>
          <w:rFonts w:ascii="Narkisim" w:hAnsi="Narkisim" w:cs="Narkisim"/>
          <w:b/>
          <w:bCs/>
          <w:rtl/>
        </w:rPr>
        <w:t>תוס' מהר"ם ור"פ</w:t>
      </w:r>
      <w:r w:rsidRPr="00D65870">
        <w:rPr>
          <w:rFonts w:ascii="Narkisim" w:hAnsi="Narkisim" w:cs="Narkisim"/>
          <w:rtl/>
        </w:rPr>
        <w:t xml:space="preserve"> הק' מנ"ל דבעי 'בית דין'. והביא לתרץ דמשום כתובה [וכמ"ש </w:t>
      </w:r>
      <w:r w:rsidRPr="00D65870">
        <w:rPr>
          <w:rFonts w:ascii="Narkisim" w:hAnsi="Narkisim" w:cs="Narkisim"/>
          <w:b/>
          <w:bCs/>
          <w:rtl/>
        </w:rPr>
        <w:t>רש"י</w:t>
      </w:r>
      <w:r w:rsidRPr="00D65870">
        <w:rPr>
          <w:rFonts w:ascii="Narkisim" w:hAnsi="Narkisim" w:cs="Narkisim"/>
          <w:rtl/>
        </w:rPr>
        <w:t xml:space="preserve"> (לקמן קד.)]. ועוד פי' ד'זקני' משמע סנהדרין. כדכתיב אספה לי שבעים איש מזקני ישראל. [וע' תוד"ה מיבעי, וה</w:t>
      </w:r>
      <w:r w:rsidRPr="00D65870">
        <w:rPr>
          <w:rFonts w:ascii="Narkisim" w:hAnsi="Narkisim" w:cs="Narkisim"/>
          <w:b/>
          <w:bCs/>
          <w:rtl/>
        </w:rPr>
        <w:t>ריטב”א</w:t>
      </w:r>
      <w:r w:rsidRPr="00D65870">
        <w:rPr>
          <w:rFonts w:ascii="Narkisim" w:hAnsi="Narkisim" w:cs="Narkisim"/>
          <w:rtl/>
        </w:rPr>
        <w:t xml:space="preserve"> הנ"ל].</w:t>
      </w:r>
    </w:p>
    <w:p w14:paraId="36FCEDD4" w14:textId="77777777" w:rsidR="006C4368" w:rsidRPr="00D65870" w:rsidRDefault="006C4368" w:rsidP="006C4368">
      <w:pPr>
        <w:pStyle w:val="aa"/>
        <w:bidi/>
        <w:rPr>
          <w:rFonts w:ascii="Narkisim" w:hAnsi="Narkisim"/>
        </w:rPr>
      </w:pPr>
      <w:r w:rsidRPr="00D65870">
        <w:rPr>
          <w:rFonts w:ascii="Narkisim" w:hAnsi="Narkisim"/>
          <w:u w:val="single"/>
          <w:rtl/>
        </w:rPr>
        <w:t>תוד"ה ואין בי"ד</w:t>
      </w:r>
      <w:r w:rsidRPr="00D65870">
        <w:rPr>
          <w:rFonts w:ascii="Narkisim" w:hAnsi="Narkisim"/>
          <w:rtl/>
        </w:rPr>
        <w:t>. א"ש דאין בי"ד שקול וכו' דהא איכא כמה פלוגתי</w:t>
      </w:r>
      <w:r w:rsidRPr="00D65870">
        <w:rPr>
          <w:rStyle w:val="ac"/>
          <w:rFonts w:ascii="Narkisim" w:hAnsi="Narkisim"/>
          <w:rtl/>
        </w:rPr>
        <w:footnoteReference w:id="6571"/>
      </w:r>
      <w:r w:rsidRPr="00D65870">
        <w:rPr>
          <w:rFonts w:ascii="Narkisim" w:hAnsi="Narkisim"/>
          <w:rtl/>
        </w:rPr>
        <w:t xml:space="preserve"> וכו'. וה</w:t>
      </w:r>
      <w:r w:rsidRPr="00D65870">
        <w:rPr>
          <w:rFonts w:ascii="Narkisim" w:hAnsi="Narkisim"/>
          <w:b/>
          <w:bCs/>
          <w:rtl/>
        </w:rPr>
        <w:t>אחרונים</w:t>
      </w:r>
      <w:r w:rsidRPr="00D65870">
        <w:rPr>
          <w:rFonts w:ascii="Narkisim" w:hAnsi="Narkisim"/>
          <w:rtl/>
        </w:rPr>
        <w:t xml:space="preserve"> הק' ד</w:t>
      </w:r>
      <w:r w:rsidRPr="00D65870">
        <w:rPr>
          <w:rFonts w:ascii="Narkisim" w:hAnsi="Narkisim"/>
          <w:b/>
          <w:bCs/>
          <w:rtl/>
        </w:rPr>
        <w:t>תוס</w:t>
      </w:r>
      <w:r w:rsidRPr="00D65870">
        <w:rPr>
          <w:rFonts w:ascii="Narkisim" w:hAnsi="Narkisim"/>
          <w:rtl/>
        </w:rPr>
        <w:t>' (לעיל) כת' דהדיינים של חליצה אי"צ לפסוק דיני החליצה, אלא שיהיו בקיאין לישאל. וצ"ל דודאי קים להו לחז"ל דלא צריך שיוכלו להכריע את כל הספיקות שמתעוררים, אלא דמ"מ כיון דנקבע דהוה בי"ד בעינן צורה שראוי להכרעה, אם יתעורר ספק.</w:t>
      </w:r>
    </w:p>
    <w:p w14:paraId="203CAFB1" w14:textId="77777777" w:rsidR="006C4368" w:rsidRPr="00D65870" w:rsidRDefault="006C4368" w:rsidP="006C4368">
      <w:pPr>
        <w:bidi/>
        <w:rPr>
          <w:rFonts w:ascii="Narkisim" w:hAnsi="Narkisim" w:cs="Narkisim"/>
        </w:rPr>
      </w:pPr>
      <w:r w:rsidRPr="00D65870">
        <w:rPr>
          <w:rFonts w:ascii="Narkisim" w:hAnsi="Narkisim" w:cs="Narkisim"/>
          <w:u w:val="single"/>
          <w:rtl/>
        </w:rPr>
        <w:t>דאי ס"ד סנהדרין בעינן, ל"ל למעוטי סומין וכו'</w:t>
      </w:r>
      <w:r w:rsidRPr="00D65870">
        <w:rPr>
          <w:rFonts w:ascii="Narkisim" w:hAnsi="Narkisim" w:cs="Narkisim"/>
          <w:rtl/>
        </w:rPr>
        <w:t>. ה</w:t>
      </w:r>
      <w:r w:rsidRPr="00D65870">
        <w:rPr>
          <w:rFonts w:ascii="Narkisim" w:hAnsi="Narkisim" w:cs="Narkisim"/>
          <w:b/>
          <w:bCs/>
          <w:rtl/>
        </w:rPr>
        <w:t>ריטב"א</w:t>
      </w:r>
      <w:r w:rsidRPr="00D65870">
        <w:rPr>
          <w:rFonts w:ascii="Narkisim" w:hAnsi="Narkisim" w:cs="Narkisim"/>
          <w:rtl/>
        </w:rPr>
        <w:t xml:space="preserve"> הק' דבדיני ממונות בעינן סמוכין מדאורייתא, ואפ"ה מבואר (סנהדרין לד: ונדה נ.) דלחכמים סומא בעין א' כשר בדיני ממונות</w:t>
      </w:r>
      <w:r w:rsidRPr="00D65870">
        <w:rPr>
          <w:rStyle w:val="ac"/>
          <w:rFonts w:ascii="Narkisim" w:hAnsi="Narkisim" w:cs="Narkisim"/>
          <w:rtl/>
        </w:rPr>
        <w:footnoteReference w:id="6572"/>
      </w:r>
      <w:r w:rsidRPr="00D65870">
        <w:rPr>
          <w:rFonts w:ascii="Narkisim" w:hAnsi="Narkisim" w:cs="Narkisim"/>
          <w:rtl/>
        </w:rPr>
        <w:t>. [</w:t>
      </w:r>
      <w:r w:rsidRPr="00D65870">
        <w:rPr>
          <w:rFonts w:ascii="Narkisim" w:hAnsi="Narkisim" w:cs="Narkisim"/>
          <w:szCs w:val="20"/>
          <w:rtl/>
        </w:rPr>
        <w:t>ור' מאיר פליג דהוקשו לנגעים, ובעינן ראוי לראות בב' עיניו. ומבואר (שם) דלא קי”ל כר' מאיר, דקי"ל דלא הוקש גמר דין למראה נגעים</w:t>
      </w:r>
      <w:r w:rsidRPr="00D65870">
        <w:rPr>
          <w:rFonts w:ascii="Narkisim" w:hAnsi="Narkisim" w:cs="Narkisim"/>
          <w:rtl/>
        </w:rPr>
        <w:t>].</w:t>
      </w:r>
    </w:p>
    <w:p w14:paraId="532CCC53"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קצות</w:t>
      </w:r>
      <w:r w:rsidRPr="00D65870">
        <w:rPr>
          <w:rFonts w:ascii="Narkisim" w:hAnsi="Narkisim"/>
          <w:rtl/>
        </w:rPr>
        <w:t xml:space="preserve"> (ז ב) תי' דלמ”ד (סנהדרין ג:) דבדיני ממונות צריך סמוכין, א”כ כל בעל מום פסול. וכמ”ש ה</w:t>
      </w:r>
      <w:r w:rsidRPr="00D65870">
        <w:rPr>
          <w:rFonts w:ascii="Narkisim" w:hAnsi="Narkisim"/>
          <w:b/>
          <w:bCs/>
          <w:rtl/>
        </w:rPr>
        <w:t>רמב”ם</w:t>
      </w:r>
      <w:r w:rsidRPr="00D65870">
        <w:rPr>
          <w:rFonts w:ascii="Narkisim" w:hAnsi="Narkisim"/>
          <w:rtl/>
        </w:rPr>
        <w:t xml:space="preserve"> (סנהדרין ד י) דאין סומכין דיינים אא"כ ראויין לכל הדברים. ומש"ה אין סומכין חכם מופלא שהוא סומא בעין א', ואף לדון דיני ממונות</w:t>
      </w:r>
      <w:r w:rsidRPr="00D65870">
        <w:rPr>
          <w:rStyle w:val="ac"/>
          <w:rFonts w:ascii="Narkisim" w:hAnsi="Narkisim"/>
          <w:rtl/>
        </w:rPr>
        <w:footnoteReference w:id="6573"/>
      </w:r>
      <w:r w:rsidRPr="00D65870">
        <w:rPr>
          <w:rFonts w:ascii="Narkisim" w:hAnsi="Narkisim"/>
          <w:rtl/>
        </w:rPr>
        <w:t>. א"כ מדאורייתא סומא פסול לדון דיני ממונות [והתם איירי מדרבנן, או לאידך מ”ד].</w:t>
      </w:r>
    </w:p>
    <w:p w14:paraId="78A780BD" w14:textId="77777777" w:rsidR="006C4368" w:rsidRPr="00D65870" w:rsidRDefault="006C4368" w:rsidP="006C4368">
      <w:pPr>
        <w:pStyle w:val="a8"/>
        <w:bidi/>
        <w:rPr>
          <w:rFonts w:ascii="Narkisim" w:hAnsi="Narkisim"/>
        </w:rPr>
      </w:pPr>
      <w:r w:rsidRPr="00D65870">
        <w:rPr>
          <w:rFonts w:ascii="Narkisim" w:hAnsi="Narkisim"/>
          <w:rtl/>
        </w:rPr>
        <w:t>והקצות כת' למ”ד דאף מדאורייתא ל”צ סמוכין בדיני ממונות, א"כ ל"צ אפי' מומחין. וסגי בהא דגמירי. ואף בדיני חליצה צריך גמירי [לדעת הריטב"א הנ"ל]. וכת' די"ל דאף לדעת הפוסקים [והתוס'] דל"צ גמירי [אלא שיודעים להקרות], היינו לאידך מ"ד דילפי' מבישראל. והקצות תמה (על הנמוק"י הו' בסמוך, שכת' כדברי הריטב"א) דלפ"ז ליכא דין 'מומחה' בלא סמוך, וצ"ב קו' הריטב"א</w:t>
      </w:r>
      <w:r w:rsidRPr="00D65870">
        <w:rPr>
          <w:rStyle w:val="ac"/>
          <w:rFonts w:ascii="Narkisim" w:hAnsi="Narkisim"/>
          <w:rtl/>
        </w:rPr>
        <w:footnoteReference w:id="6574"/>
      </w:r>
      <w:r w:rsidRPr="00D65870">
        <w:rPr>
          <w:rFonts w:ascii="Narkisim" w:hAnsi="Narkisim"/>
          <w:rtl/>
        </w:rPr>
        <w:t>.</w:t>
      </w:r>
    </w:p>
    <w:p w14:paraId="4D02C4C7"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תי' דמ"מ סומא בב' עיניו פסול אף בדיני ממונות. והכא נתמעט סומא בב' עיניו מלעיני הזקנים [אבל סגי אפי' עין א' לכל זקן]. </w:t>
      </w:r>
      <w:r w:rsidRPr="00D65870">
        <w:rPr>
          <w:rFonts w:ascii="Narkisim" w:hAnsi="Narkisim"/>
          <w:szCs w:val="20"/>
          <w:rtl/>
        </w:rPr>
        <w:t xml:space="preserve">[אך </w:t>
      </w:r>
      <w:r w:rsidRPr="00D65870">
        <w:rPr>
          <w:rFonts w:ascii="Narkisim" w:hAnsi="Narkisim"/>
          <w:b/>
          <w:bCs/>
          <w:szCs w:val="20"/>
          <w:rtl/>
        </w:rPr>
        <w:t>ר"ת</w:t>
      </w:r>
      <w:r w:rsidRPr="00D65870">
        <w:rPr>
          <w:rFonts w:ascii="Narkisim" w:hAnsi="Narkisim"/>
          <w:szCs w:val="20"/>
          <w:rtl/>
        </w:rPr>
        <w:t xml:space="preserve"> (בתוס' בע”ב) מבואר דהכא נתמעט אף סומא בעין א', ויתבאר לקמן שם]</w:t>
      </w:r>
      <w:r w:rsidRPr="00D65870">
        <w:rPr>
          <w:rFonts w:ascii="Narkisim" w:hAnsi="Narkisim"/>
          <w:rtl/>
        </w:rPr>
        <w:t>.</w:t>
      </w:r>
    </w:p>
    <w:p w14:paraId="7E43D257"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הק' דא"כ אמאי הביאו הא דתני רב יוסף דקאי בדיני נפשות. הו"ל להביא דסומא פסול בדיני ממונות, דהא פסול אף לעדות, ותנן (נדה מט:) כל הפסול להעיד פסול לדון. וכת' דלרווחא דמילתא נקט הא דתני רב יוסף דקאי בסנהדרין גדולה, למעוטי כל מום. ואף סומא בא' מעיניו, ובדיני ממונות בב' עיניו</w:t>
      </w:r>
      <w:r w:rsidRPr="00D65870">
        <w:rPr>
          <w:rStyle w:val="ac"/>
          <w:rFonts w:ascii="Narkisim" w:hAnsi="Narkisim"/>
          <w:rtl/>
        </w:rPr>
        <w:footnoteReference w:id="6575"/>
      </w:r>
      <w:r w:rsidRPr="00D65870">
        <w:rPr>
          <w:rFonts w:ascii="Narkisim" w:hAnsi="Narkisim"/>
          <w:rtl/>
        </w:rPr>
        <w:t>. א”נ משום דדעת ר' מאיר דאף בא' מעיניו פסול לדיני ממונות.</w:t>
      </w:r>
    </w:p>
    <w:p w14:paraId="0AE961D3" w14:textId="77777777" w:rsidR="006C4368" w:rsidRPr="00D65870" w:rsidRDefault="006C4368" w:rsidP="006C4368">
      <w:pPr>
        <w:pStyle w:val="a8"/>
        <w:bidi/>
        <w:rPr>
          <w:rFonts w:ascii="Narkisim" w:hAnsi="Narkisim"/>
        </w:rPr>
      </w:pPr>
      <w:r w:rsidRPr="00D65870">
        <w:rPr>
          <w:rFonts w:ascii="Narkisim" w:hAnsi="Narkisim"/>
          <w:rtl/>
        </w:rPr>
        <w:t>ודוחק טובא, דכיון דבעל מום יש לו דין דיין כשר לדיני ממונות, א"כ תני רב יוסף אינו הוכחה כלל דל"צ דיין סמוך. ומשמע בריטב"א דמ"מ נקטו כן לרווחא דמילתא, דעכ"פ סומא גמור ודאי פסול לכל דין.</w:t>
      </w:r>
    </w:p>
    <w:p w14:paraId="365A85D7" w14:textId="77777777" w:rsidR="006C4368" w:rsidRPr="00D65870" w:rsidRDefault="006C4368" w:rsidP="006C4368">
      <w:pPr>
        <w:bidi/>
        <w:rPr>
          <w:rFonts w:ascii="Narkisim" w:hAnsi="Narkisim" w:cs="Narkisim"/>
        </w:rPr>
      </w:pPr>
      <w:r w:rsidRPr="00D65870">
        <w:rPr>
          <w:rFonts w:ascii="Narkisim" w:hAnsi="Narkisim" w:cs="Narkisim"/>
          <w:rtl/>
        </w:rPr>
        <w:lastRenderedPageBreak/>
        <w:t>וכ"ד ה</w:t>
      </w:r>
      <w:r w:rsidRPr="00D65870">
        <w:rPr>
          <w:rFonts w:ascii="Narkisim" w:hAnsi="Narkisim" w:cs="Narkisim"/>
          <w:b/>
          <w:bCs/>
          <w:rtl/>
        </w:rPr>
        <w:t>נמוק"י</w:t>
      </w:r>
      <w:r w:rsidRPr="00D65870">
        <w:rPr>
          <w:rFonts w:ascii="Narkisim" w:hAnsi="Narkisim" w:cs="Narkisim"/>
          <w:rtl/>
        </w:rPr>
        <w:t xml:space="preserve"> (סנהדרין לד: יג. בדה”ר) דסומא גמור פסול לדון, שהרי פסול להעיד</w:t>
      </w:r>
      <w:r w:rsidRPr="00D65870">
        <w:rPr>
          <w:rStyle w:val="ac"/>
          <w:rFonts w:ascii="Narkisim" w:hAnsi="Narkisim" w:cs="Narkisim"/>
          <w:rtl/>
        </w:rPr>
        <w:footnoteReference w:id="6576"/>
      </w:r>
      <w:r w:rsidRPr="00D65870">
        <w:rPr>
          <w:rFonts w:ascii="Narkisim" w:hAnsi="Narkisim" w:cs="Narkisim"/>
          <w:rtl/>
        </w:rPr>
        <w:t xml:space="preserve">. אך דעת </w:t>
      </w:r>
      <w:r w:rsidRPr="00D65870">
        <w:rPr>
          <w:rFonts w:ascii="Narkisim" w:hAnsi="Narkisim" w:cs="Narkisim"/>
          <w:b/>
          <w:bCs/>
          <w:rtl/>
        </w:rPr>
        <w:t>תוס</w:t>
      </w:r>
      <w:r w:rsidRPr="00D65870">
        <w:rPr>
          <w:rFonts w:ascii="Narkisim" w:hAnsi="Narkisim" w:cs="Narkisim"/>
          <w:rtl/>
        </w:rPr>
        <w:t>' (נדה נ. ד"ה ור' מאיר) דסומא בב' עיניו כשר</w:t>
      </w:r>
      <w:r w:rsidRPr="00D65870">
        <w:rPr>
          <w:rStyle w:val="ac"/>
          <w:rFonts w:ascii="Narkisim" w:hAnsi="Narkisim" w:cs="Narkisim"/>
          <w:rtl/>
        </w:rPr>
        <w:footnoteReference w:id="6577"/>
      </w:r>
      <w:r w:rsidRPr="00D65870">
        <w:rPr>
          <w:rFonts w:ascii="Narkisim" w:hAnsi="Narkisim" w:cs="Narkisim"/>
          <w:rtl/>
        </w:rPr>
        <w:t xml:space="preserve"> לדון בממונות</w:t>
      </w:r>
      <w:r w:rsidRPr="00D65870">
        <w:rPr>
          <w:rStyle w:val="ac"/>
          <w:rFonts w:ascii="Narkisim" w:hAnsi="Narkisim" w:cs="Narkisim"/>
          <w:rtl/>
        </w:rPr>
        <w:footnoteReference w:id="6578"/>
      </w:r>
      <w:r w:rsidRPr="00D65870">
        <w:rPr>
          <w:rFonts w:ascii="Narkisim" w:hAnsi="Narkisim" w:cs="Narkisim"/>
          <w:rtl/>
        </w:rPr>
        <w:t>.</w:t>
      </w:r>
    </w:p>
    <w:p w14:paraId="49CD46B2" w14:textId="77777777" w:rsidR="006C4368" w:rsidRPr="00D65870" w:rsidRDefault="006C4368" w:rsidP="006C4368">
      <w:pPr>
        <w:pStyle w:val="a7"/>
        <w:bidi/>
        <w:rPr>
          <w:rFonts w:ascii="Narkisim" w:hAnsi="Narkisim"/>
        </w:rPr>
      </w:pPr>
      <w:r w:rsidRPr="00D65870">
        <w:rPr>
          <w:rFonts w:ascii="Narkisim" w:hAnsi="Narkisim"/>
          <w:rtl/>
        </w:rPr>
        <w:t>והנמוק"י הביא ראיה מסוגיין, והשתא אי ס"ד סומים כשרים לדיני ממונות, א"כ היכי מוכיח דהדיוטות כשרין מדאיצטריך לעיני למיפסל סומין, דלמא עכ"פ מומחין בעי. אבל אי בדיני ממונות פסולין סומים לא איצטריך לעיני אלא למיכשר הדיוטות.</w:t>
      </w:r>
    </w:p>
    <w:p w14:paraId="631E0057"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קצות</w:t>
      </w:r>
      <w:r w:rsidRPr="00D65870">
        <w:rPr>
          <w:rFonts w:ascii="Narkisim" w:hAnsi="Narkisim"/>
          <w:rtl/>
        </w:rPr>
        <w:t xml:space="preserve"> (ז ב) הק' דהגמ' מוכיחה דל"צ סמוכין מכולך יפה, ולא הוכיחו מהא דל”צ מומחין וכדברי הנמוק”י [וכבר עמד בזה הריטב”א הנ”ל, ע' לעיל. וע"ע נתיבות (שם ב) שביאר באופ"א קצת].</w:t>
      </w:r>
    </w:p>
    <w:p w14:paraId="10FFF61B" w14:textId="77777777" w:rsidR="006C4368" w:rsidRPr="00D65870" w:rsidRDefault="006C4368" w:rsidP="006C4368">
      <w:pPr>
        <w:pStyle w:val="aa"/>
        <w:bidi/>
        <w:rPr>
          <w:rFonts w:ascii="Narkisim" w:hAnsi="Narkisim"/>
        </w:rPr>
      </w:pPr>
      <w:r w:rsidRPr="00D65870">
        <w:rPr>
          <w:rFonts w:ascii="Narkisim" w:hAnsi="Narkisim"/>
          <w:u w:val="single"/>
          <w:rtl/>
        </w:rPr>
        <w:t>כך בי”ד מנוקין מכל מום, [קא:] שנאמר כולך יפה רעיתי ומום אין בך וכו'</w:t>
      </w:r>
      <w:r w:rsidRPr="00D65870">
        <w:rPr>
          <w:rFonts w:ascii="Narkisim" w:hAnsi="Narkisim"/>
          <w:rtl/>
        </w:rPr>
        <w:t>. בגמ' דידן נתמעט מהתם בעל מום. ובגמ' (קידושין עו:) ס"ד ללמוד מהך קרא שלא יהא בהם פגם יוחסין. והגמ' דוחה אימא מומא ממש. ודרשי' עמך בדומין לך. [פרש"י מיוחסין כמותך]. ולמסקנא ילפי' מהך קרא מום ממש</w:t>
      </w:r>
      <w:r w:rsidRPr="00D65870">
        <w:rPr>
          <w:rStyle w:val="ac"/>
          <w:rFonts w:ascii="Narkisim" w:hAnsi="Narkisim"/>
          <w:rtl/>
        </w:rPr>
        <w:footnoteReference w:id="6579"/>
      </w:r>
      <w:r w:rsidRPr="00D65870">
        <w:rPr>
          <w:rFonts w:ascii="Narkisim" w:hAnsi="Narkisim"/>
          <w:rtl/>
        </w:rPr>
        <w:t>.</w:t>
      </w:r>
    </w:p>
    <w:p w14:paraId="46911DE2" w14:textId="77777777" w:rsidR="006C4368" w:rsidRPr="00D65870" w:rsidRDefault="006C4368" w:rsidP="006C4368">
      <w:pPr>
        <w:bidi/>
        <w:rPr>
          <w:rFonts w:ascii="Narkisim" w:hAnsi="Narkisim" w:cs="Narkisim"/>
        </w:rPr>
      </w:pPr>
      <w:r w:rsidRPr="00D65870">
        <w:rPr>
          <w:rFonts w:ascii="Narkisim" w:hAnsi="Narkisim" w:cs="Narkisim"/>
          <w:u w:val="single"/>
          <w:rtl/>
        </w:rPr>
        <w:t>שם. ש"מ דאפי' הדיוטות, דאי ס"ד סנהדרין וכו' כך בי"ד מנוקים מכל מום וכו'</w:t>
      </w:r>
      <w:r w:rsidRPr="00D65870">
        <w:rPr>
          <w:rFonts w:ascii="Narkisim" w:hAnsi="Narkisim" w:cs="Narkisim"/>
          <w:rtl/>
        </w:rPr>
        <w:t xml:space="preserve">. </w:t>
      </w:r>
      <w:r w:rsidRPr="00D65870">
        <w:rPr>
          <w:rFonts w:ascii="Narkisim" w:hAnsi="Narkisim" w:cs="Narkisim"/>
          <w:b/>
          <w:bCs/>
          <w:rtl/>
        </w:rPr>
        <w:t>רע"א</w:t>
      </w:r>
      <w:r w:rsidRPr="00D65870">
        <w:rPr>
          <w:rFonts w:ascii="Narkisim" w:hAnsi="Narkisim" w:cs="Narkisim"/>
          <w:rtl/>
        </w:rPr>
        <w:t xml:space="preserve"> הביא דמפורש בגמ' דבעלי מומים כשרים להיות דיינים לחליצה. אבל </w:t>
      </w:r>
      <w:r w:rsidRPr="00D65870">
        <w:rPr>
          <w:rFonts w:ascii="Narkisim" w:hAnsi="Narkisim" w:cs="Narkisim"/>
          <w:b/>
          <w:bCs/>
          <w:rtl/>
        </w:rPr>
        <w:t>מהר"ם מינץ</w:t>
      </w:r>
      <w:r w:rsidRPr="00D65870">
        <w:rPr>
          <w:rFonts w:ascii="Narkisim" w:hAnsi="Narkisim" w:cs="Narkisim"/>
          <w:rtl/>
        </w:rPr>
        <w:t xml:space="preserve"> (כט, הו' ברמ”א סדר חליצה א) החמיר בכל המומים [שלא יהיה חיגר או קיטע וכדו'] שיהא חליצה אלימתא ובלא גמגום</w:t>
      </w:r>
      <w:r w:rsidRPr="00D65870">
        <w:rPr>
          <w:rStyle w:val="ac"/>
          <w:rFonts w:ascii="Narkisim" w:hAnsi="Narkisim" w:cs="Narkisim"/>
          <w:rtl/>
        </w:rPr>
        <w:footnoteReference w:id="6580"/>
      </w:r>
      <w:r w:rsidRPr="00D65870">
        <w:rPr>
          <w:rFonts w:ascii="Narkisim" w:hAnsi="Narkisim" w:cs="Narkisim"/>
          <w:rtl/>
        </w:rPr>
        <w:t>.</w:t>
      </w:r>
    </w:p>
    <w:p w14:paraId="48344A28" w14:textId="77777777" w:rsidR="006C4368" w:rsidRPr="00D65870" w:rsidRDefault="006C4368" w:rsidP="006C4368">
      <w:pPr>
        <w:pStyle w:val="a8"/>
        <w:bidi/>
        <w:rPr>
          <w:rFonts w:ascii="Narkisim" w:hAnsi="Narkisim"/>
        </w:rPr>
      </w:pPr>
      <w:r w:rsidRPr="00D65870">
        <w:rPr>
          <w:rFonts w:ascii="Narkisim" w:hAnsi="Narkisim"/>
          <w:rtl/>
        </w:rPr>
        <w:t>ורע”א כת' דמ”מ יש לדחוק דלמסקנא [דדחינן ההיא לכדרבא הוא דאתי], א"כ אינו מפורש דמהני בעל מום. ואפשר דאף דקי"ל דמהני הדיוטות, מ"מ צריך שיהיו דומיא לדיינים ולא יהיו בעלי מומין. ודוחק. אלא דהוי חומרא בעלמא וכמ"ש הר"ם מינץ.</w:t>
      </w:r>
    </w:p>
    <w:p w14:paraId="190DBF51" w14:textId="77777777" w:rsidR="006C4368" w:rsidRPr="00D65870" w:rsidRDefault="006C4368" w:rsidP="006C4368">
      <w:pPr>
        <w:pStyle w:val="3"/>
        <w:bidi/>
        <w:rPr>
          <w:rFonts w:ascii="Narkisim" w:hAnsi="Narkisim"/>
        </w:rPr>
      </w:pPr>
      <w:r w:rsidRPr="00D65870">
        <w:rPr>
          <w:rFonts w:ascii="Narkisim" w:hAnsi="Narkisim"/>
          <w:rtl/>
        </w:rPr>
        <w:t>דף קא:</w:t>
      </w:r>
    </w:p>
    <w:p w14:paraId="3F7157A6" w14:textId="77777777" w:rsidR="006C4368" w:rsidRPr="00D65870" w:rsidRDefault="006C4368" w:rsidP="006C4368">
      <w:pPr>
        <w:pStyle w:val="aa"/>
        <w:bidi/>
        <w:rPr>
          <w:rFonts w:ascii="Narkisim" w:hAnsi="Narkisim"/>
        </w:rPr>
      </w:pPr>
      <w:r w:rsidRPr="00D65870">
        <w:rPr>
          <w:rFonts w:ascii="Narkisim" w:hAnsi="Narkisim"/>
          <w:u w:val="single"/>
          <w:rtl/>
        </w:rPr>
        <w:t>שנאמר כולך יפה רעיתי ומום אין בך</w:t>
      </w:r>
      <w:r w:rsidRPr="00D65870">
        <w:rPr>
          <w:rFonts w:ascii="Narkisim" w:hAnsi="Narkisim"/>
          <w:rtl/>
        </w:rPr>
        <w:t>. (שיר השירים ד ז). ה</w:t>
      </w:r>
      <w:r w:rsidRPr="00D65870">
        <w:rPr>
          <w:rFonts w:ascii="Narkisim" w:hAnsi="Narkisim"/>
          <w:b/>
          <w:bCs/>
          <w:rtl/>
        </w:rPr>
        <w:t>רשב”א</w:t>
      </w:r>
      <w:r w:rsidRPr="00D65870">
        <w:rPr>
          <w:rFonts w:ascii="Narkisim" w:hAnsi="Narkisim"/>
          <w:rtl/>
        </w:rPr>
        <w:t xml:space="preserve"> הק' האיך נימא דהפסוק בתורה סמך ע”פ מה שיאמר שלמה. ותי' דה"ק דכיון דשלמה גלי דסנהדרין מנוקים מכל מום בעינן, או משום דרמיזא באורייתא</w:t>
      </w:r>
      <w:r w:rsidRPr="00D65870">
        <w:rPr>
          <w:rStyle w:val="ac"/>
          <w:rFonts w:ascii="Narkisim" w:hAnsi="Narkisim"/>
          <w:rtl/>
        </w:rPr>
        <w:footnoteReference w:id="6581"/>
      </w:r>
      <w:r w:rsidRPr="00D65870">
        <w:rPr>
          <w:rFonts w:ascii="Narkisim" w:hAnsi="Narkisim"/>
          <w:rtl/>
        </w:rPr>
        <w:t xml:space="preserve"> או משום דגמרינן לה הלכתא מסיני</w:t>
      </w:r>
      <w:r w:rsidRPr="00D65870">
        <w:rPr>
          <w:rStyle w:val="ac"/>
          <w:rFonts w:ascii="Narkisim" w:hAnsi="Narkisim"/>
          <w:rtl/>
        </w:rPr>
        <w:footnoteReference w:id="6582"/>
      </w:r>
      <w:r w:rsidRPr="00D65870">
        <w:rPr>
          <w:rFonts w:ascii="Narkisim" w:hAnsi="Narkisim"/>
          <w:rtl/>
        </w:rPr>
        <w:t>. ומש"ה הגמ' מוכיחה דע"כ חליצה ל"צ סנהדרין, דא"כ לשתוק קרא, ונלמד בכלל שאר מומין. [אך בתוס' מבואר דלא כן].</w:t>
      </w:r>
    </w:p>
    <w:p w14:paraId="7A3C513F" w14:textId="77777777" w:rsidR="006C4368" w:rsidRPr="00D65870" w:rsidRDefault="006C4368" w:rsidP="006C4368">
      <w:pPr>
        <w:pStyle w:val="aa"/>
        <w:bidi/>
        <w:rPr>
          <w:rFonts w:ascii="Narkisim" w:hAnsi="Narkisim"/>
        </w:rPr>
      </w:pPr>
      <w:r w:rsidRPr="00D65870">
        <w:rPr>
          <w:rFonts w:ascii="Narkisim" w:eastAsia="Narkisim" w:hAnsi="Narkisim"/>
          <w:u w:val="single"/>
          <w:rtl/>
        </w:rPr>
        <w:t>דאמר רבא צריכי דייני למיחזי רוקא דקא נפיק וכו'</w:t>
      </w:r>
      <w:r w:rsidRPr="00D65870">
        <w:rPr>
          <w:rFonts w:ascii="Narkisim" w:eastAsia="Narkisim" w:hAnsi="Narkisim"/>
          <w:rtl/>
        </w:rPr>
        <w:t>. ה</w:t>
      </w:r>
      <w:r w:rsidRPr="00D65870">
        <w:rPr>
          <w:rFonts w:ascii="Narkisim" w:eastAsia="Narkisim" w:hAnsi="Narkisim"/>
          <w:b/>
          <w:bCs/>
          <w:rtl/>
        </w:rPr>
        <w:t>רמב"ם</w:t>
      </w:r>
      <w:r w:rsidRPr="00D65870">
        <w:rPr>
          <w:rFonts w:ascii="Narkisim" w:eastAsia="Narkisim" w:hAnsi="Narkisim"/>
          <w:rtl/>
        </w:rPr>
        <w:t xml:space="preserve"> (ד כג, והשו”ע קסט לח) פסק דאם לא ראה מהני הרקיקה בדיעבד. ו</w:t>
      </w:r>
      <w:r w:rsidRPr="00D65870">
        <w:rPr>
          <w:rFonts w:ascii="Narkisim" w:eastAsia="Narkisim" w:hAnsi="Narkisim"/>
          <w:b/>
          <w:bCs/>
          <w:rtl/>
        </w:rPr>
        <w:t>ה"ה</w:t>
      </w:r>
      <w:r w:rsidRPr="00D65870">
        <w:rPr>
          <w:rFonts w:ascii="Narkisim" w:eastAsia="Narkisim" w:hAnsi="Narkisim"/>
          <w:rtl/>
        </w:rPr>
        <w:t xml:space="preserve"> ביאר דהרמב"ם דייק דהלשון 'צריכי' דהוה לכתחילה</w:t>
      </w:r>
      <w:r w:rsidRPr="00D65870">
        <w:rPr>
          <w:rStyle w:val="ac"/>
          <w:rFonts w:ascii="Narkisim" w:eastAsia="Narkisim" w:hAnsi="Narkisim"/>
          <w:rtl/>
        </w:rPr>
        <w:footnoteReference w:id="6583"/>
      </w:r>
      <w:r w:rsidRPr="00D65870">
        <w:rPr>
          <w:rFonts w:ascii="Narkisim" w:eastAsia="Narkisim" w:hAnsi="Narkisim"/>
          <w:rtl/>
        </w:rPr>
        <w:t>.</w:t>
      </w:r>
    </w:p>
    <w:p w14:paraId="7705C4D6" w14:textId="77777777" w:rsidR="006C4368" w:rsidRPr="00D65870" w:rsidRDefault="006C4368" w:rsidP="006C4368">
      <w:pPr>
        <w:pStyle w:val="a8"/>
        <w:bidi/>
        <w:rPr>
          <w:rFonts w:ascii="Narkisim" w:hAnsi="Narkisim"/>
        </w:rPr>
      </w:pPr>
      <w:r w:rsidRPr="00D65870">
        <w:rPr>
          <w:rFonts w:ascii="Narkisim" w:eastAsia="Narkisim" w:hAnsi="Narkisim"/>
          <w:rtl/>
        </w:rPr>
        <w:t>ובפשוטו מבואר דהוה לכתחילה בדאורייתא. אבל ה</w:t>
      </w:r>
      <w:r w:rsidRPr="00D65870">
        <w:rPr>
          <w:rFonts w:ascii="Narkisim" w:eastAsia="Narkisim" w:hAnsi="Narkisim"/>
          <w:b/>
          <w:bCs/>
          <w:rtl/>
        </w:rPr>
        <w:t>בי"ש</w:t>
      </w:r>
      <w:r w:rsidRPr="00D65870">
        <w:rPr>
          <w:rFonts w:ascii="Narkisim" w:eastAsia="Narkisim" w:hAnsi="Narkisim"/>
          <w:rtl/>
        </w:rPr>
        <w:t xml:space="preserve"> (קסט לט) כת' דהוה אסמכתא, ד'וירקה' קאי א'לפניו' דיבם. ולא קאי אלעיני. והאחרונים הק' מסוגיין, דמבואר ד'לעיני' הוה דרשא גמורה.</w:t>
      </w:r>
    </w:p>
    <w:p w14:paraId="335D35C3" w14:textId="77777777" w:rsidR="006C4368" w:rsidRPr="00D65870" w:rsidRDefault="006C4368" w:rsidP="006C4368">
      <w:pPr>
        <w:pStyle w:val="aa"/>
        <w:bidi/>
        <w:rPr>
          <w:rFonts w:ascii="Narkisim" w:hAnsi="Narkisim"/>
        </w:rPr>
      </w:pPr>
      <w:r w:rsidRPr="00D65870">
        <w:rPr>
          <w:rFonts w:ascii="Narkisim" w:eastAsia="Narkisim" w:hAnsi="Narkisim"/>
          <w:rtl/>
        </w:rPr>
        <w:t>וה</w:t>
      </w:r>
      <w:r w:rsidRPr="00D65870">
        <w:rPr>
          <w:rFonts w:ascii="Narkisim" w:eastAsia="Narkisim" w:hAnsi="Narkisim"/>
          <w:b/>
          <w:bCs/>
          <w:rtl/>
        </w:rPr>
        <w:t>ב"ח</w:t>
      </w:r>
      <w:r w:rsidRPr="00D65870">
        <w:rPr>
          <w:rFonts w:ascii="Narkisim" w:eastAsia="Narkisim" w:hAnsi="Narkisim"/>
          <w:rtl/>
        </w:rPr>
        <w:t xml:space="preserve"> כת' דדעת תוס' דצריכין לראות לעיכובא. דמבואר ב</w:t>
      </w:r>
      <w:r w:rsidRPr="00D65870">
        <w:rPr>
          <w:rFonts w:ascii="Narkisim" w:eastAsia="Narkisim" w:hAnsi="Narkisim"/>
          <w:b/>
          <w:bCs/>
          <w:rtl/>
        </w:rPr>
        <w:t>תוס'</w:t>
      </w:r>
      <w:r w:rsidRPr="00D65870">
        <w:rPr>
          <w:rFonts w:ascii="Narkisim" w:eastAsia="Narkisim" w:hAnsi="Narkisim"/>
          <w:rtl/>
        </w:rPr>
        <w:t xml:space="preserve"> (קג. ד"ה והחולצת) דסומא נתמעט בדיעבד מהא דצריכי לראות. וה</w:t>
      </w:r>
      <w:r w:rsidRPr="00D65870">
        <w:rPr>
          <w:rFonts w:ascii="Narkisim" w:eastAsia="Narkisim" w:hAnsi="Narkisim"/>
          <w:b/>
          <w:bCs/>
          <w:rtl/>
        </w:rPr>
        <w:t>בי"ש</w:t>
      </w:r>
      <w:r w:rsidRPr="00D65870">
        <w:rPr>
          <w:rFonts w:ascii="Narkisim" w:eastAsia="Narkisim" w:hAnsi="Narkisim"/>
          <w:rtl/>
        </w:rPr>
        <w:t xml:space="preserve"> דחה דסומא גרע, דאינו ראוי לראות. [וכ"ה לשון </w:t>
      </w:r>
      <w:r w:rsidRPr="00D65870">
        <w:rPr>
          <w:rFonts w:ascii="Narkisim" w:eastAsia="Narkisim" w:hAnsi="Narkisim"/>
          <w:b/>
          <w:bCs/>
          <w:rtl/>
        </w:rPr>
        <w:t>תוס</w:t>
      </w:r>
      <w:r w:rsidRPr="00D65870">
        <w:rPr>
          <w:rFonts w:ascii="Narkisim" w:eastAsia="Narkisim" w:hAnsi="Narkisim"/>
          <w:rtl/>
        </w:rPr>
        <w:t>' (ד"ה ש"מ) דסגי שהדיין יכול לראות הרוק].</w:t>
      </w:r>
    </w:p>
    <w:p w14:paraId="19E44299" w14:textId="77777777" w:rsidR="006C4368" w:rsidRPr="00D65870" w:rsidRDefault="006C4368" w:rsidP="006C4368">
      <w:pPr>
        <w:pStyle w:val="aa"/>
        <w:bidi/>
        <w:rPr>
          <w:rFonts w:ascii="Narkisim" w:hAnsi="Narkisim"/>
        </w:rPr>
      </w:pPr>
      <w:r w:rsidRPr="00D65870">
        <w:rPr>
          <w:rFonts w:ascii="Narkisim" w:eastAsia="Narkisim" w:hAnsi="Narkisim"/>
          <w:u w:val="single"/>
          <w:rtl/>
        </w:rPr>
        <w:lastRenderedPageBreak/>
        <w:t xml:space="preserve">לכדתניא </w:t>
      </w:r>
      <w:r w:rsidRPr="00D65870">
        <w:rPr>
          <w:rFonts w:ascii="Narkisim" w:hAnsi="Narkisim"/>
          <w:u w:val="single"/>
          <w:rtl/>
        </w:rPr>
        <w:t>וקראו לו הן ולא שלוחן וכו</w:t>
      </w:r>
      <w:r w:rsidRPr="00D65870">
        <w:rPr>
          <w:rFonts w:ascii="Narkisim" w:hAnsi="Narkisim"/>
          <w:rtl/>
        </w:rPr>
        <w:t>'. בפשוטו משמע דבעינן שהדיינים יקראו לו לחלוץ</w:t>
      </w:r>
      <w:r w:rsidRPr="00D65870">
        <w:rPr>
          <w:rStyle w:val="ac"/>
          <w:rFonts w:ascii="Narkisim" w:hAnsi="Narkisim"/>
          <w:rtl/>
        </w:rPr>
        <w:footnoteReference w:id="6584"/>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הק' דה</w:t>
      </w:r>
      <w:r w:rsidRPr="00D65870">
        <w:rPr>
          <w:rFonts w:ascii="Narkisim" w:hAnsi="Narkisim"/>
          <w:b/>
          <w:bCs/>
          <w:rtl/>
        </w:rPr>
        <w:t>פוסקים</w:t>
      </w:r>
      <w:r w:rsidRPr="00D65870">
        <w:rPr>
          <w:rFonts w:ascii="Narkisim" w:hAnsi="Narkisim"/>
          <w:rtl/>
        </w:rPr>
        <w:t xml:space="preserve"> לא הביאו דין קריאה זה. ומבואר (לקמן קו:) דאף כשבאו היבם והיבמה בפני בי"ד בלא קריאה חולצין. אמנם ב</w:t>
      </w:r>
      <w:r w:rsidRPr="00D65870">
        <w:rPr>
          <w:rFonts w:ascii="Narkisim" w:hAnsi="Narkisim"/>
          <w:b/>
          <w:bCs/>
          <w:rtl/>
        </w:rPr>
        <w:t>פסקי הרי"ד</w:t>
      </w:r>
      <w:r w:rsidRPr="00D65870">
        <w:rPr>
          <w:rFonts w:ascii="Narkisim" w:hAnsi="Narkisim"/>
          <w:rtl/>
        </w:rPr>
        <w:t xml:space="preserve"> (לקמן קו:) כת' שיש מצוה שהבי"ד יקראוהו</w:t>
      </w:r>
      <w:r w:rsidRPr="00D65870">
        <w:rPr>
          <w:rStyle w:val="ac"/>
          <w:rFonts w:ascii="Narkisim" w:hAnsi="Narkisim"/>
          <w:rtl/>
        </w:rPr>
        <w:footnoteReference w:id="6585"/>
      </w:r>
      <w:r w:rsidRPr="00D65870">
        <w:rPr>
          <w:rFonts w:ascii="Narkisim" w:hAnsi="Narkisim"/>
          <w:rtl/>
        </w:rPr>
        <w:t>.</w:t>
      </w:r>
    </w:p>
    <w:p w14:paraId="64DBA95E"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ערול"נ</w:t>
      </w:r>
      <w:r w:rsidRPr="00D65870">
        <w:rPr>
          <w:rFonts w:ascii="Narkisim" w:hAnsi="Narkisim"/>
          <w:rtl/>
        </w:rPr>
        <w:t xml:space="preserve"> (וכן </w:t>
      </w:r>
      <w:r w:rsidRPr="00D65870">
        <w:rPr>
          <w:rFonts w:ascii="Narkisim" w:hAnsi="Narkisim"/>
          <w:b/>
          <w:bCs/>
          <w:rtl/>
        </w:rPr>
        <w:t>בי"מ</w:t>
      </w:r>
      <w:r w:rsidRPr="00D65870">
        <w:rPr>
          <w:rFonts w:ascii="Narkisim" w:hAnsi="Narkisim"/>
          <w:rtl/>
        </w:rPr>
        <w:t xml:space="preserve"> וישועת יעקב קסו א) כת' דלדעת שאר פוסקים דקאי אהמשך הברייתא</w:t>
      </w:r>
      <w:r w:rsidRPr="00D65870">
        <w:rPr>
          <w:rStyle w:val="ac"/>
          <w:rFonts w:ascii="Narkisim" w:hAnsi="Narkisim"/>
          <w:rtl/>
        </w:rPr>
        <w:footnoteReference w:id="6586"/>
      </w:r>
      <w:r w:rsidRPr="00D65870">
        <w:rPr>
          <w:rFonts w:ascii="Narkisim" w:hAnsi="Narkisim"/>
          <w:rtl/>
        </w:rPr>
        <w:t>, דעצה הוגנת. דבעינן שהדיינים עצמן ישמיעו לו את העצה.</w:t>
      </w:r>
      <w:r w:rsidRPr="00D65870">
        <w:rPr>
          <w:rFonts w:ascii="Narkisim" w:eastAsia="Narkisim" w:hAnsi="Narkisim"/>
          <w:rtl/>
        </w:rPr>
        <w:t xml:space="preserve"> [ולא ימסרו עצה ע"י שליח]</w:t>
      </w:r>
      <w:r w:rsidRPr="00D65870">
        <w:rPr>
          <w:rStyle w:val="ac"/>
          <w:rFonts w:ascii="Narkisim" w:eastAsia="Narkisim" w:hAnsi="Narkisim"/>
          <w:rtl/>
        </w:rPr>
        <w:footnoteReference w:id="6587"/>
      </w:r>
      <w:r w:rsidRPr="00D65870">
        <w:rPr>
          <w:rFonts w:ascii="Narkisim" w:eastAsia="Narkisim" w:hAnsi="Narkisim"/>
          <w:rtl/>
        </w:rPr>
        <w:t>.</w:t>
      </w:r>
    </w:p>
    <w:p w14:paraId="59FD676B" w14:textId="77777777" w:rsidR="006C4368" w:rsidRPr="00D65870" w:rsidRDefault="006C4368" w:rsidP="006C4368">
      <w:pPr>
        <w:pStyle w:val="aa"/>
        <w:bidi/>
        <w:rPr>
          <w:rFonts w:ascii="Narkisim" w:hAnsi="Narkisim"/>
        </w:rPr>
      </w:pPr>
      <w:r w:rsidRPr="00D65870">
        <w:rPr>
          <w:rFonts w:ascii="Narkisim" w:eastAsia="Narkisim" w:hAnsi="Narkisim"/>
          <w:rtl/>
        </w:rPr>
        <w:t>ובגמ' (סנהדרין לא:, שו"ע קסו א) אי' דהיבמה הולכת אחר היבם להתירה, אפי' מטבריא לצפורי</w:t>
      </w:r>
      <w:r w:rsidRPr="00D65870">
        <w:rPr>
          <w:rStyle w:val="ac"/>
          <w:rFonts w:ascii="Narkisim" w:eastAsia="Narkisim" w:hAnsi="Narkisim"/>
          <w:rtl/>
        </w:rPr>
        <w:footnoteReference w:id="6588"/>
      </w:r>
      <w:r w:rsidRPr="00D65870">
        <w:rPr>
          <w:rFonts w:ascii="Narkisim" w:eastAsia="Narkisim" w:hAnsi="Narkisim"/>
          <w:rtl/>
        </w:rPr>
        <w:t>. דכתיב וקראו לו זקני עירו</w:t>
      </w:r>
      <w:r w:rsidRPr="00D65870">
        <w:rPr>
          <w:rStyle w:val="ac"/>
          <w:rFonts w:ascii="Narkisim" w:eastAsia="Narkisim" w:hAnsi="Narkisim"/>
          <w:rtl/>
        </w:rPr>
        <w:footnoteReference w:id="6589"/>
      </w:r>
      <w:r w:rsidRPr="00D65870">
        <w:rPr>
          <w:rFonts w:ascii="Narkisim" w:eastAsia="Narkisim" w:hAnsi="Narkisim"/>
          <w:rtl/>
        </w:rPr>
        <w:t>, ולא זקני עירה. וה</w:t>
      </w:r>
      <w:r w:rsidRPr="00D65870">
        <w:rPr>
          <w:rFonts w:ascii="Narkisim" w:eastAsia="Narkisim" w:hAnsi="Narkisim"/>
          <w:b/>
          <w:bCs/>
          <w:rtl/>
        </w:rPr>
        <w:t>פוסקים</w:t>
      </w:r>
      <w:r w:rsidRPr="00D65870">
        <w:rPr>
          <w:rFonts w:ascii="Narkisim" w:eastAsia="Narkisim" w:hAnsi="Narkisim"/>
          <w:rtl/>
        </w:rPr>
        <w:t xml:space="preserve"> כת' דכ"ז בגדרי תביעה לילך</w:t>
      </w:r>
      <w:r w:rsidRPr="00D65870">
        <w:rPr>
          <w:rStyle w:val="ac"/>
          <w:rFonts w:ascii="Narkisim" w:eastAsia="Narkisim" w:hAnsi="Narkisim"/>
          <w:rtl/>
        </w:rPr>
        <w:footnoteReference w:id="6590"/>
      </w:r>
      <w:r w:rsidRPr="00D65870">
        <w:rPr>
          <w:rFonts w:ascii="Narkisim" w:eastAsia="Narkisim" w:hAnsi="Narkisim"/>
          <w:rtl/>
        </w:rPr>
        <w:t>, אבל אם נתרצו מהני חליצה בכל מקום</w:t>
      </w:r>
      <w:r w:rsidRPr="00D65870">
        <w:rPr>
          <w:rStyle w:val="ac"/>
          <w:rFonts w:ascii="Narkisim" w:eastAsia="Narkisim" w:hAnsi="Narkisim"/>
          <w:rtl/>
        </w:rPr>
        <w:footnoteReference w:id="6591"/>
      </w:r>
      <w:r w:rsidRPr="00D65870">
        <w:rPr>
          <w:rFonts w:ascii="Narkisim" w:eastAsia="Narkisim" w:hAnsi="Narkisim"/>
          <w:rtl/>
        </w:rPr>
        <w:t>. [וה</w:t>
      </w:r>
      <w:r w:rsidRPr="00D65870">
        <w:rPr>
          <w:rFonts w:ascii="Narkisim" w:eastAsia="Narkisim" w:hAnsi="Narkisim"/>
          <w:b/>
          <w:bCs/>
          <w:rtl/>
        </w:rPr>
        <w:t>משנ"ל</w:t>
      </w:r>
      <w:r w:rsidRPr="00D65870">
        <w:rPr>
          <w:rFonts w:ascii="Narkisim" w:eastAsia="Narkisim" w:hAnsi="Narkisim"/>
          <w:rtl/>
        </w:rPr>
        <w:t xml:space="preserve"> (ד א) כת' היכא דליכא בעירו בי"ד</w:t>
      </w:r>
      <w:r w:rsidRPr="00D65870">
        <w:rPr>
          <w:rStyle w:val="ac"/>
          <w:rFonts w:ascii="Narkisim" w:eastAsia="Narkisim" w:hAnsi="Narkisim"/>
          <w:rtl/>
        </w:rPr>
        <w:footnoteReference w:id="6592"/>
      </w:r>
      <w:r w:rsidRPr="00D65870">
        <w:rPr>
          <w:rFonts w:ascii="Narkisim" w:eastAsia="Narkisim" w:hAnsi="Narkisim"/>
          <w:rtl/>
        </w:rPr>
        <w:t xml:space="preserve"> ילך למקום היבמה</w:t>
      </w:r>
      <w:r w:rsidRPr="00D65870">
        <w:rPr>
          <w:rStyle w:val="ac"/>
          <w:rFonts w:ascii="Narkisim" w:eastAsia="Narkisim" w:hAnsi="Narkisim"/>
          <w:rtl/>
        </w:rPr>
        <w:footnoteReference w:id="6593"/>
      </w:r>
      <w:r w:rsidRPr="00D65870">
        <w:rPr>
          <w:rFonts w:ascii="Narkisim" w:eastAsia="Narkisim" w:hAnsi="Narkisim"/>
          <w:rtl/>
        </w:rPr>
        <w:t>].</w:t>
      </w:r>
    </w:p>
    <w:p w14:paraId="69755FC4" w14:textId="77777777" w:rsidR="006C4368" w:rsidRPr="00D65870" w:rsidRDefault="006C4368" w:rsidP="006C4368">
      <w:pPr>
        <w:bidi/>
        <w:rPr>
          <w:rFonts w:ascii="Narkisim" w:hAnsi="Narkisim" w:cs="Narkisim"/>
        </w:rPr>
      </w:pPr>
      <w:r w:rsidRPr="00D65870">
        <w:rPr>
          <w:rFonts w:ascii="Narkisim" w:hAnsi="Narkisim" w:cs="Narkisim"/>
          <w:u w:val="single"/>
          <w:rtl/>
        </w:rPr>
        <w:t>תוד"ה וקראו</w:t>
      </w:r>
      <w:r w:rsidRPr="00D65870">
        <w:rPr>
          <w:rFonts w:ascii="Narkisim" w:hAnsi="Narkisim" w:cs="Narkisim"/>
          <w:rtl/>
        </w:rPr>
        <w:t>. אדרבה נילף מהכא דאין שלוחו כמותו וכו'</w:t>
      </w:r>
      <w:r w:rsidRPr="00D65870">
        <w:rPr>
          <w:rStyle w:val="ac"/>
          <w:rFonts w:ascii="Narkisim" w:hAnsi="Narkisim" w:cs="Narkisim"/>
          <w:rtl/>
        </w:rPr>
        <w:footnoteReference w:id="6594"/>
      </w:r>
      <w:r w:rsidRPr="00D65870">
        <w:rPr>
          <w:rFonts w:ascii="Narkisim" w:hAnsi="Narkisim" w:cs="Narkisim"/>
          <w:rtl/>
        </w:rPr>
        <w:t>. וה</w:t>
      </w:r>
      <w:r w:rsidRPr="00D65870">
        <w:rPr>
          <w:rFonts w:ascii="Narkisim" w:hAnsi="Narkisim" w:cs="Narkisim"/>
          <w:b/>
          <w:bCs/>
          <w:rtl/>
        </w:rPr>
        <w:t>אחרונים</w:t>
      </w:r>
      <w:r w:rsidRPr="00D65870">
        <w:rPr>
          <w:rFonts w:ascii="Narkisim" w:hAnsi="Narkisim" w:cs="Narkisim"/>
          <w:rtl/>
        </w:rPr>
        <w:t xml:space="preserve"> דנו דהנך הוה מצווה שבגופו, ומש"ה בעינן דיינים עצמן ולא שלוחם. [וכמ"ש התוס' רי"ד קידושין מב:</w:t>
      </w:r>
      <w:r w:rsidRPr="00D65870">
        <w:rPr>
          <w:rStyle w:val="ac"/>
          <w:rFonts w:ascii="Narkisim" w:hAnsi="Narkisim" w:cs="Narkisim"/>
          <w:rtl/>
        </w:rPr>
        <w:footnoteReference w:id="6595"/>
      </w:r>
      <w:r w:rsidRPr="00D65870">
        <w:rPr>
          <w:rFonts w:ascii="Narkisim" w:hAnsi="Narkisim" w:cs="Narkisim"/>
          <w:rtl/>
        </w:rPr>
        <w:t xml:space="preserve">, עי"ש היטב]. </w:t>
      </w:r>
      <w:r w:rsidRPr="00D65870">
        <w:rPr>
          <w:rFonts w:ascii="Narkisim" w:hAnsi="Narkisim" w:cs="Narkisim"/>
          <w:szCs w:val="20"/>
          <w:rtl/>
        </w:rPr>
        <w:t>וכה"ק ה</w:t>
      </w:r>
      <w:r w:rsidRPr="00D65870">
        <w:rPr>
          <w:rFonts w:ascii="Narkisim" w:hAnsi="Narkisim" w:cs="Narkisim"/>
          <w:b/>
          <w:bCs/>
          <w:szCs w:val="20"/>
          <w:rtl/>
        </w:rPr>
        <w:t>כפות תמרים</w:t>
      </w:r>
      <w:r w:rsidRPr="00D65870">
        <w:rPr>
          <w:rFonts w:ascii="Narkisim" w:hAnsi="Narkisim" w:cs="Narkisim"/>
          <w:szCs w:val="20"/>
          <w:rtl/>
        </w:rPr>
        <w:t xml:space="preserve"> (סוכה מא:) בהא דדרשי' (שם) שתהא לקיחה ביד כל א' וא', ותיפו"ל דהוה מצוה שבגופו של אדם, ול"ש שליחות במצווה שבגופו וכמו תפילין וחליצה ושמיעת שופר</w:t>
      </w:r>
      <w:r w:rsidRPr="00D65870">
        <w:rPr>
          <w:rStyle w:val="ac"/>
          <w:rFonts w:ascii="Narkisim" w:hAnsi="Narkisim" w:cs="Narkisim"/>
          <w:szCs w:val="20"/>
          <w:rtl/>
        </w:rPr>
        <w:footnoteReference w:id="6596"/>
      </w:r>
      <w:r w:rsidRPr="00D65870">
        <w:rPr>
          <w:rFonts w:ascii="Narkisim" w:hAnsi="Narkisim" w:cs="Narkisim"/>
          <w:rtl/>
        </w:rPr>
        <w:t>. ולכאורה זה הגדר בהא דל"מ קריאת שלוחו, דהוה מצווה בגופו של דיין</w:t>
      </w:r>
      <w:r w:rsidRPr="00D65870">
        <w:rPr>
          <w:rStyle w:val="ac"/>
          <w:rFonts w:ascii="Narkisim" w:hAnsi="Narkisim" w:cs="Narkisim"/>
          <w:rtl/>
        </w:rPr>
        <w:footnoteReference w:id="6597"/>
      </w:r>
      <w:r w:rsidRPr="00D65870">
        <w:rPr>
          <w:rFonts w:ascii="Narkisim" w:hAnsi="Narkisim" w:cs="Narkisim"/>
          <w:rtl/>
        </w:rPr>
        <w:t>.</w:t>
      </w:r>
    </w:p>
    <w:p w14:paraId="56E7D19F" w14:textId="77777777" w:rsidR="006C4368" w:rsidRPr="00D65870" w:rsidRDefault="006C4368" w:rsidP="006C4368">
      <w:pPr>
        <w:pStyle w:val="aa"/>
        <w:bidi/>
        <w:rPr>
          <w:rFonts w:ascii="Narkisim" w:hAnsi="Narkisim"/>
        </w:rPr>
      </w:pPr>
      <w:r w:rsidRPr="00D65870">
        <w:rPr>
          <w:rFonts w:ascii="Narkisim" w:hAnsi="Narkisim"/>
          <w:rtl/>
        </w:rPr>
        <w:lastRenderedPageBreak/>
        <w:t>ועוד הק' ה</w:t>
      </w:r>
      <w:r w:rsidRPr="00D65870">
        <w:rPr>
          <w:rFonts w:ascii="Narkisim" w:hAnsi="Narkisim"/>
          <w:b/>
          <w:bCs/>
          <w:rtl/>
        </w:rPr>
        <w:t>אחרונים</w:t>
      </w:r>
      <w:r w:rsidRPr="00D65870">
        <w:rPr>
          <w:rFonts w:ascii="Narkisim" w:hAnsi="Narkisim"/>
          <w:rtl/>
        </w:rPr>
        <w:t xml:space="preserve"> דנימא דל"מ שליחות על הקריאה משום דמילי לא ממסרן לשליח (גיטין כט. וכ"מ). וה</w:t>
      </w:r>
      <w:r w:rsidRPr="00D65870">
        <w:rPr>
          <w:rFonts w:ascii="Narkisim" w:hAnsi="Narkisim"/>
          <w:b/>
          <w:bCs/>
          <w:rtl/>
        </w:rPr>
        <w:t>תפא”י</w:t>
      </w:r>
      <w:r w:rsidRPr="00D65870">
        <w:rPr>
          <w:rFonts w:ascii="Narkisim" w:hAnsi="Narkisim"/>
          <w:rtl/>
        </w:rPr>
        <w:t xml:space="preserve"> (גיטין ו בבועז) הביא בשם בנו דהיכא דכל הענין הוה רק מילי שפיר מימסרן לשליח. ומש"ה שבועות ונדרים [שאין בהן מעשה כלל] אין חסרון דמילי לא מימסרן לשליח. [והביא ראיה מתוס' דידן].</w:t>
      </w:r>
    </w:p>
    <w:p w14:paraId="16619E6D" w14:textId="77777777" w:rsidR="006C4368" w:rsidRPr="00D65870" w:rsidRDefault="006C4368" w:rsidP="006C4368">
      <w:pPr>
        <w:pStyle w:val="aa"/>
        <w:bidi/>
        <w:rPr>
          <w:rFonts w:ascii="Narkisim" w:hAnsi="Narkisim"/>
        </w:rPr>
      </w:pPr>
      <w:r w:rsidRPr="00D65870">
        <w:rPr>
          <w:rFonts w:ascii="Narkisim" w:hAnsi="Narkisim"/>
          <w:u w:val="single"/>
          <w:rtl/>
        </w:rPr>
        <w:t>בא"ד וי"ל דיש כמה כתובים הבאין כא' וכו' ולא שלוחן וכו'</w:t>
      </w:r>
      <w:r w:rsidRPr="00D65870">
        <w:rPr>
          <w:rFonts w:ascii="Narkisim" w:hAnsi="Narkisim"/>
          <w:rtl/>
        </w:rPr>
        <w:t>. ו</w:t>
      </w:r>
      <w:r w:rsidRPr="00D65870">
        <w:rPr>
          <w:rFonts w:ascii="Narkisim" w:hAnsi="Narkisim"/>
          <w:b/>
          <w:bCs/>
          <w:rtl/>
        </w:rPr>
        <w:t>רע”א</w:t>
      </w:r>
      <w:r w:rsidRPr="00D65870">
        <w:rPr>
          <w:rFonts w:ascii="Narkisim" w:hAnsi="Narkisim"/>
          <w:rtl/>
        </w:rPr>
        <w:t xml:space="preserve"> ציין עוד מקומות, דנח' (ב”מ צו.) בשמירה בבעלים, ובמדיחי עיר הנידחת (סנהדרין קיא:)</w:t>
      </w:r>
      <w:r w:rsidRPr="00D65870">
        <w:rPr>
          <w:rStyle w:val="ac"/>
          <w:rFonts w:ascii="Narkisim" w:hAnsi="Narkisim"/>
          <w:rtl/>
        </w:rPr>
        <w:footnoteReference w:id="6598"/>
      </w:r>
      <w:r w:rsidRPr="00D65870">
        <w:rPr>
          <w:rFonts w:ascii="Narkisim" w:hAnsi="Narkisim"/>
          <w:rtl/>
        </w:rPr>
        <w:t>, וגבי בית המנוגע נתמעט (תורת כהנים מצורע ה ז) ובא אשר לו הבית, ולא ישלח שליח. וכן נתמעט (בירושלמי קידושין ב) דל"מ תמורה ע"י שליח. וכן רציעת עבד, ורצע אדוניו את אזנו אדוניו ולא שלוחו (כדאי' במכילתא משפטים)</w:t>
      </w:r>
      <w:r w:rsidRPr="00D65870">
        <w:rPr>
          <w:rStyle w:val="ac"/>
          <w:rFonts w:ascii="Narkisim" w:hAnsi="Narkisim"/>
          <w:rtl/>
        </w:rPr>
        <w:footnoteReference w:id="6599"/>
      </w:r>
      <w:r w:rsidRPr="00D65870">
        <w:rPr>
          <w:rFonts w:ascii="Narkisim" w:hAnsi="Narkisim"/>
          <w:rtl/>
        </w:rPr>
        <w:t>.</w:t>
      </w:r>
    </w:p>
    <w:p w14:paraId="3A077106" w14:textId="77777777" w:rsidR="006C4368" w:rsidRPr="00D65870" w:rsidRDefault="006C4368" w:rsidP="006C4368">
      <w:pPr>
        <w:bidi/>
        <w:rPr>
          <w:rFonts w:ascii="Narkisim" w:hAnsi="Narkisim" w:cs="Narkisim"/>
        </w:rPr>
      </w:pPr>
      <w:r w:rsidRPr="00D65870">
        <w:rPr>
          <w:rFonts w:ascii="Narkisim" w:hAnsi="Narkisim" w:cs="Narkisim"/>
          <w:u w:val="single"/>
          <w:rtl/>
        </w:rPr>
        <w:t>תוד"ה ש"מ</w:t>
      </w:r>
      <w:r w:rsidRPr="00D65870">
        <w:rPr>
          <w:rFonts w:ascii="Narkisim" w:hAnsi="Narkisim" w:cs="Narkisim"/>
          <w:rtl/>
        </w:rPr>
        <w:t>. פסק ר"ת דסומא בא' בעיניו כשר לחליצה וכו' ויכול לראות הרוק מפי היבמה. משמע דלר' יהודה לס"ד</w:t>
      </w:r>
      <w:r w:rsidRPr="00D65870">
        <w:rPr>
          <w:rStyle w:val="ac"/>
          <w:rFonts w:ascii="Narkisim" w:hAnsi="Narkisim" w:cs="Narkisim"/>
          <w:rtl/>
        </w:rPr>
        <w:footnoteReference w:id="6600"/>
      </w:r>
      <w:r w:rsidRPr="00D65870">
        <w:rPr>
          <w:rFonts w:ascii="Narkisim" w:hAnsi="Narkisim" w:cs="Narkisim"/>
          <w:rtl/>
        </w:rPr>
        <w:t xml:space="preserve"> דממעט 'לעיני' למעוטי סומין, ואף סומא בא' מעיניו יש לו דין סומא. [אלא דר' יהודה חזר בו כרבנן דלעיני הוה ראיית הרוק, ולא מיעוט על הדיין].</w:t>
      </w:r>
    </w:p>
    <w:p w14:paraId="4A87BA36"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הק' דאף לר' יהודה דממעט סומין, מנ"ל דאף סומא בא' מעיניו פוסל. וכ"ד ה</w:t>
      </w:r>
      <w:r w:rsidRPr="00D65870">
        <w:rPr>
          <w:rFonts w:ascii="Narkisim" w:hAnsi="Narkisim"/>
          <w:b/>
          <w:bCs/>
          <w:rtl/>
        </w:rPr>
        <w:t>ריטב"א</w:t>
      </w:r>
      <w:r w:rsidRPr="00D65870">
        <w:rPr>
          <w:rFonts w:ascii="Narkisim" w:hAnsi="Narkisim"/>
          <w:rtl/>
        </w:rPr>
        <w:t xml:space="preserve"> (בע"א) דלעיני הזקנים לא נתמעט סומא בא' מעיניו, ואף דלעיני הוה לשון רבים, סגי בעין א' של כל זקן</w:t>
      </w:r>
      <w:r w:rsidRPr="00D65870">
        <w:rPr>
          <w:rStyle w:val="ac"/>
          <w:rFonts w:ascii="Narkisim" w:hAnsi="Narkisim"/>
          <w:rtl/>
        </w:rPr>
        <w:footnoteReference w:id="6601"/>
      </w:r>
      <w:r w:rsidRPr="00D65870">
        <w:rPr>
          <w:rFonts w:ascii="Narkisim" w:hAnsi="Narkisim"/>
          <w:rtl/>
        </w:rPr>
        <w:t>.</w:t>
      </w:r>
    </w:p>
    <w:p w14:paraId="53FF8AF3"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נוב"י</w:t>
      </w:r>
      <w:r w:rsidRPr="00D65870">
        <w:rPr>
          <w:rFonts w:ascii="Narkisim" w:hAnsi="Narkisim"/>
          <w:rtl/>
        </w:rPr>
        <w:t xml:space="preserve"> (ת' קנא) הק' דאי לעיני משמע כל עין ועין, א"כ אף לדרשא דצריכים לראות הרוק, נימא דצריך לראות בב' עיניהם</w:t>
      </w:r>
      <w:r w:rsidRPr="00D65870">
        <w:rPr>
          <w:rStyle w:val="ac"/>
          <w:rFonts w:ascii="Narkisim" w:hAnsi="Narkisim"/>
          <w:rtl/>
        </w:rPr>
        <w:footnoteReference w:id="6602"/>
      </w:r>
      <w:r w:rsidRPr="00D65870">
        <w:rPr>
          <w:rFonts w:ascii="Narkisim" w:hAnsi="Narkisim"/>
          <w:rtl/>
        </w:rPr>
        <w:t>.</w:t>
      </w:r>
    </w:p>
    <w:p w14:paraId="0D82643F"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אחרונים</w:t>
      </w:r>
      <w:r w:rsidRPr="00D65870">
        <w:rPr>
          <w:rFonts w:ascii="Narkisim" w:hAnsi="Narkisim" w:cs="Narkisim"/>
          <w:rtl/>
        </w:rPr>
        <w:t xml:space="preserve"> (אבנ”נ רח, וזכרון שמואל) הביאו דאיצטריך למעט סומא בב' עיניו, ומבואר דס”ד דדייני חליצה ל"צ שיראו את מעשה החליצה. ואפ”ה נחשב חליצה בפני בי”ד, אף שהדיינים לא ראו כלום</w:t>
      </w:r>
      <w:r w:rsidRPr="00D65870">
        <w:rPr>
          <w:rStyle w:val="ac"/>
          <w:rFonts w:ascii="Narkisim" w:hAnsi="Narkisim" w:cs="Narkisim"/>
          <w:rtl/>
        </w:rPr>
        <w:footnoteReference w:id="6603"/>
      </w:r>
      <w:r w:rsidRPr="00D65870">
        <w:rPr>
          <w:rFonts w:ascii="Narkisim" w:hAnsi="Narkisim" w:cs="Narkisim"/>
          <w:rtl/>
        </w:rPr>
        <w:t>.</w:t>
      </w:r>
    </w:p>
    <w:p w14:paraId="5E4C81CD" w14:textId="77777777" w:rsidR="006C4368" w:rsidRPr="00D65870" w:rsidRDefault="006C4368" w:rsidP="006C4368">
      <w:pPr>
        <w:bidi/>
        <w:rPr>
          <w:rFonts w:ascii="Narkisim" w:hAnsi="Narkisim" w:cs="Narkisim"/>
        </w:rPr>
      </w:pPr>
      <w:r w:rsidRPr="00D65870">
        <w:rPr>
          <w:rFonts w:ascii="Narkisim" w:hAnsi="Narkisim" w:cs="Narkisim"/>
          <w:u w:val="single"/>
          <w:rtl/>
        </w:rPr>
        <w:t>שם. פסק ר"ת דסומא בא' מעיניו כשר לחליצה</w:t>
      </w:r>
      <w:r w:rsidRPr="00D65870">
        <w:rPr>
          <w:rFonts w:ascii="Narkisim" w:hAnsi="Narkisim" w:cs="Narkisim"/>
          <w:rtl/>
        </w:rPr>
        <w:t>. אבל ה</w:t>
      </w:r>
      <w:r w:rsidRPr="00D65870">
        <w:rPr>
          <w:rFonts w:ascii="Narkisim" w:hAnsi="Narkisim" w:cs="Narkisim"/>
          <w:b/>
          <w:bCs/>
          <w:rtl/>
        </w:rPr>
        <w:t>רמ”א</w:t>
      </w:r>
      <w:r w:rsidRPr="00D65870">
        <w:rPr>
          <w:rFonts w:ascii="Narkisim" w:hAnsi="Narkisim" w:cs="Narkisim"/>
          <w:rtl/>
        </w:rPr>
        <w:t xml:space="preserve"> (סדר חליצה א) כת' שלא יהיו הדיינים סומין אפי' בעין א'</w:t>
      </w:r>
      <w:r w:rsidRPr="00D65870">
        <w:rPr>
          <w:rStyle w:val="ac"/>
          <w:rFonts w:ascii="Narkisim" w:hAnsi="Narkisim" w:cs="Narkisim"/>
          <w:rtl/>
        </w:rPr>
        <w:footnoteReference w:id="6604"/>
      </w:r>
      <w:r w:rsidRPr="00D65870">
        <w:rPr>
          <w:rFonts w:ascii="Narkisim" w:hAnsi="Narkisim" w:cs="Narkisim"/>
          <w:rtl/>
        </w:rPr>
        <w:t>. וכ"ד ה</w:t>
      </w:r>
      <w:r w:rsidRPr="00D65870">
        <w:rPr>
          <w:rFonts w:ascii="Narkisim" w:hAnsi="Narkisim" w:cs="Narkisim"/>
          <w:b/>
          <w:bCs/>
          <w:rtl/>
        </w:rPr>
        <w:t>יש"ש</w:t>
      </w:r>
      <w:r w:rsidRPr="00D65870">
        <w:rPr>
          <w:rFonts w:ascii="Narkisim" w:hAnsi="Narkisim" w:cs="Narkisim"/>
          <w:rtl/>
        </w:rPr>
        <w:t xml:space="preserve"> (א) ד'לעיני' ממעט סומא בא' מעיניו, דסומא משתי עיניו לא צריך קרא, דלא גרע מדיני ממונות [וע"ע מש"כ הריטב"א בע"א בזה]. וע"ע נוב"י (ת קנא).</w:t>
      </w:r>
    </w:p>
    <w:p w14:paraId="381C892A"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יש”ש</w:t>
      </w:r>
      <w:r w:rsidRPr="00D65870">
        <w:rPr>
          <w:rFonts w:ascii="Narkisim" w:hAnsi="Narkisim"/>
          <w:rtl/>
        </w:rPr>
        <w:t xml:space="preserve"> כת' דאף דהגמ' דוחה דאיצטריך לכדרבא שיראו הדיינים הרוק, מ"מ לפי האמת שפיר ממעטינן סומא, דאין מקרא יוצא מידי פשוטו. אלא דמשמע מיניה אף דרבא דשקולים הם</w:t>
      </w:r>
      <w:r w:rsidRPr="00D65870">
        <w:rPr>
          <w:rStyle w:val="ac"/>
          <w:rFonts w:ascii="Narkisim" w:hAnsi="Narkisim"/>
          <w:rtl/>
        </w:rPr>
        <w:footnoteReference w:id="6605"/>
      </w:r>
      <w:r w:rsidRPr="00D65870">
        <w:rPr>
          <w:rFonts w:ascii="Narkisim" w:hAnsi="Narkisim"/>
          <w:rtl/>
        </w:rPr>
        <w:t>. וה</w:t>
      </w:r>
      <w:r w:rsidRPr="00D65870">
        <w:rPr>
          <w:rFonts w:ascii="Narkisim" w:hAnsi="Narkisim"/>
          <w:b/>
          <w:bCs/>
          <w:rtl/>
        </w:rPr>
        <w:t>ק”נ</w:t>
      </w:r>
      <w:r w:rsidRPr="00D65870">
        <w:rPr>
          <w:rFonts w:ascii="Narkisim" w:hAnsi="Narkisim"/>
          <w:rtl/>
        </w:rPr>
        <w:t xml:space="preserve"> חלק דלא שייך בזה אין מקרא יוצא מידי פשוטו. דיש שני פרושים ב'לעיני', כדרבא לראיית הדיינין. או על העינים ממש שיהיו לדיינים, </w:t>
      </w:r>
      <w:r w:rsidRPr="00D65870">
        <w:rPr>
          <w:rFonts w:ascii="Narkisim" w:hAnsi="Narkisim"/>
          <w:rtl/>
        </w:rPr>
        <w:lastRenderedPageBreak/>
        <w:t>ולא יהיו סומין. וכיון דדרשי' לכדרבא שיראו הדיינים, לא קאי על העינים כלל</w:t>
      </w:r>
      <w:r w:rsidRPr="00D65870">
        <w:rPr>
          <w:rStyle w:val="ac"/>
          <w:rFonts w:ascii="Narkisim" w:hAnsi="Narkisim"/>
          <w:rtl/>
        </w:rPr>
        <w:footnoteReference w:id="6606"/>
      </w:r>
      <w:r w:rsidRPr="00D65870">
        <w:rPr>
          <w:rFonts w:ascii="Narkisim" w:hAnsi="Narkisim"/>
          <w:rtl/>
        </w:rPr>
        <w:t>.</w:t>
      </w:r>
    </w:p>
    <w:p w14:paraId="39C6D51E" w14:textId="77777777" w:rsidR="006C4368" w:rsidRPr="00D65870" w:rsidRDefault="006C4368" w:rsidP="006C4368">
      <w:pPr>
        <w:bidi/>
        <w:rPr>
          <w:rFonts w:ascii="Narkisim" w:hAnsi="Narkisim" w:cs="Narkisim"/>
        </w:rPr>
      </w:pPr>
      <w:r w:rsidRPr="00D65870">
        <w:rPr>
          <w:rFonts w:ascii="Narkisim" w:hAnsi="Narkisim" w:cs="Narkisim"/>
          <w:u w:val="single"/>
          <w:rtl/>
        </w:rPr>
        <w:t>אמר רבא צריכי דיינא למיקבע דוכתא</w:t>
      </w:r>
      <w:r w:rsidRPr="00D65870">
        <w:rPr>
          <w:rStyle w:val="ac"/>
          <w:rFonts w:ascii="Narkisim" w:hAnsi="Narkisim" w:cs="Narkisim"/>
          <w:u w:val="single"/>
          <w:rtl/>
        </w:rPr>
        <w:footnoteReference w:id="6607"/>
      </w:r>
      <w:r w:rsidRPr="00D65870">
        <w:rPr>
          <w:rFonts w:ascii="Narkisim" w:hAnsi="Narkisim" w:cs="Narkisim"/>
          <w:u w:val="single"/>
          <w:rtl/>
        </w:rPr>
        <w:t xml:space="preserve"> וכו'</w:t>
      </w:r>
      <w:r w:rsidRPr="00D65870">
        <w:rPr>
          <w:rFonts w:ascii="Narkisim" w:hAnsi="Narkisim" w:cs="Narkisim"/>
          <w:rtl/>
        </w:rPr>
        <w:t>. וה</w:t>
      </w:r>
      <w:r w:rsidRPr="00D65870">
        <w:rPr>
          <w:rFonts w:ascii="Narkisim" w:hAnsi="Narkisim" w:cs="Narkisim"/>
          <w:b/>
          <w:bCs/>
          <w:rtl/>
        </w:rPr>
        <w:t>יש"ש</w:t>
      </w:r>
      <w:r w:rsidRPr="00D65870">
        <w:rPr>
          <w:rFonts w:ascii="Narkisim" w:hAnsi="Narkisim" w:cs="Narkisim"/>
          <w:rtl/>
        </w:rPr>
        <w:t xml:space="preserve"> (ב, הו' בק"נ) כת' דהוה לכתחילה, אבל ברור דקביעת מקום אינו מעכב בדיעבד</w:t>
      </w:r>
      <w:r w:rsidRPr="00D65870">
        <w:rPr>
          <w:rStyle w:val="ac"/>
          <w:rFonts w:ascii="Narkisim" w:hAnsi="Narkisim" w:cs="Narkisim"/>
          <w:rtl/>
        </w:rPr>
        <w:footnoteReference w:id="6608"/>
      </w:r>
      <w:r w:rsidRPr="00D65870">
        <w:rPr>
          <w:rFonts w:ascii="Narkisim" w:hAnsi="Narkisim" w:cs="Narkisim"/>
          <w:rtl/>
        </w:rPr>
        <w:t>. וה</w:t>
      </w:r>
      <w:r w:rsidRPr="00D65870">
        <w:rPr>
          <w:rFonts w:ascii="Narkisim" w:hAnsi="Narkisim" w:cs="Narkisim"/>
          <w:b/>
          <w:bCs/>
          <w:rtl/>
        </w:rPr>
        <w:t>יש"ש</w:t>
      </w:r>
      <w:r w:rsidRPr="00D65870">
        <w:rPr>
          <w:rFonts w:ascii="Narkisim" w:hAnsi="Narkisim" w:cs="Narkisim"/>
          <w:rtl/>
        </w:rPr>
        <w:t xml:space="preserve"> דן דצריך מעשה [וכמ”ש רש”י ד”ה לזירזא דקני], ולא סגי בדיבור בעלמא.</w:t>
      </w:r>
    </w:p>
    <w:p w14:paraId="1BEAB6F8" w14:textId="77777777" w:rsidR="006C4368" w:rsidRPr="00D65870" w:rsidRDefault="006C4368" w:rsidP="006C4368">
      <w:pPr>
        <w:bidi/>
        <w:rPr>
          <w:rFonts w:ascii="Narkisim" w:hAnsi="Narkisim" w:cs="Narkisim"/>
        </w:rPr>
      </w:pPr>
      <w:r w:rsidRPr="00D65870">
        <w:rPr>
          <w:rFonts w:ascii="Narkisim" w:hAnsi="Narkisim" w:cs="Narkisim"/>
          <w:rtl/>
        </w:rPr>
        <w:t>וב</w:t>
      </w:r>
      <w:r w:rsidRPr="00D65870">
        <w:rPr>
          <w:rFonts w:ascii="Narkisim" w:hAnsi="Narkisim" w:cs="Narkisim"/>
          <w:b/>
          <w:bCs/>
          <w:rtl/>
        </w:rPr>
        <w:t>ספרי</w:t>
      </w:r>
      <w:r w:rsidRPr="00D65870">
        <w:rPr>
          <w:rFonts w:ascii="Narkisim" w:hAnsi="Narkisim" w:cs="Narkisim"/>
          <w:rtl/>
        </w:rPr>
        <w:t xml:space="preserve"> (תצא רפט) אי' דמצוה בבית דין שיהא בגבוה שבעיר, ושיהא בזקנים</w:t>
      </w:r>
      <w:r w:rsidRPr="00D65870">
        <w:rPr>
          <w:rStyle w:val="ac"/>
          <w:rFonts w:ascii="Narkisim" w:hAnsi="Narkisim" w:cs="Narkisim"/>
          <w:rtl/>
        </w:rPr>
        <w:footnoteReference w:id="6609"/>
      </w:r>
      <w:r w:rsidRPr="00D65870">
        <w:rPr>
          <w:rFonts w:ascii="Narkisim" w:hAnsi="Narkisim" w:cs="Narkisim"/>
          <w:rtl/>
        </w:rPr>
        <w:t>. וב</w:t>
      </w:r>
      <w:r w:rsidRPr="00D65870">
        <w:rPr>
          <w:rFonts w:ascii="Narkisim" w:hAnsi="Narkisim" w:cs="Narkisim"/>
          <w:b/>
          <w:bCs/>
          <w:rtl/>
        </w:rPr>
        <w:t>הג' מרדכי</w:t>
      </w:r>
      <w:r w:rsidRPr="00D65870">
        <w:rPr>
          <w:rFonts w:ascii="Narkisim" w:hAnsi="Narkisim" w:cs="Narkisim"/>
          <w:rtl/>
        </w:rPr>
        <w:t xml:space="preserve"> (קיט, והו' בשו”ע ס' חליצה ט) ביאר שיהא מקום מפורסם. אבל </w:t>
      </w:r>
      <w:r w:rsidRPr="00D65870">
        <w:rPr>
          <w:rFonts w:ascii="Narkisim" w:hAnsi="Narkisim" w:cs="Narkisim"/>
          <w:b/>
          <w:bCs/>
          <w:rtl/>
        </w:rPr>
        <w:t>ר”א מן ההר</w:t>
      </w:r>
      <w:r w:rsidRPr="00D65870">
        <w:rPr>
          <w:rFonts w:ascii="Narkisim" w:hAnsi="Narkisim" w:cs="Narkisim"/>
          <w:rtl/>
        </w:rPr>
        <w:t xml:space="preserve"> כת' דליתא לדברי הספרי, דבסוגיין מבואר דסגי בקביעות מקום.</w:t>
      </w:r>
    </w:p>
    <w:p w14:paraId="1679FE1F" w14:textId="77777777" w:rsidR="006C4368" w:rsidRPr="00D65870" w:rsidRDefault="006C4368" w:rsidP="006C4368">
      <w:pPr>
        <w:bidi/>
        <w:rPr>
          <w:rFonts w:ascii="Narkisim" w:hAnsi="Narkisim" w:cs="Narkisim"/>
        </w:rPr>
      </w:pPr>
      <w:r w:rsidRPr="00D65870">
        <w:rPr>
          <w:rFonts w:ascii="Narkisim" w:hAnsi="Narkisim" w:cs="Narkisim"/>
          <w:u w:val="single"/>
          <w:rtl/>
        </w:rPr>
        <w:t>לאיצטרופי בי חמשה</w:t>
      </w:r>
      <w:r w:rsidRPr="00D65870">
        <w:rPr>
          <w:rStyle w:val="ac"/>
          <w:rFonts w:ascii="Narkisim" w:hAnsi="Narkisim" w:cs="Narkisim"/>
          <w:u w:val="single"/>
          <w:rtl/>
        </w:rPr>
        <w:footnoteReference w:id="6610"/>
      </w:r>
      <w:r w:rsidRPr="00D65870">
        <w:rPr>
          <w:rFonts w:ascii="Narkisim" w:hAnsi="Narkisim" w:cs="Narkisim"/>
          <w:u w:val="single"/>
          <w:rtl/>
        </w:rPr>
        <w:t xml:space="preserve"> וכו' דליפרסם מילתא</w:t>
      </w:r>
      <w:r w:rsidRPr="00D65870">
        <w:rPr>
          <w:rFonts w:ascii="Narkisim" w:hAnsi="Narkisim" w:cs="Narkisim"/>
          <w:rtl/>
        </w:rPr>
        <w:t>. ה</w:t>
      </w:r>
      <w:r w:rsidRPr="00D65870">
        <w:rPr>
          <w:rFonts w:ascii="Narkisim" w:hAnsi="Narkisim" w:cs="Narkisim"/>
          <w:b/>
          <w:bCs/>
          <w:rtl/>
        </w:rPr>
        <w:t>רמב"ם</w:t>
      </w:r>
      <w:r w:rsidRPr="00D65870">
        <w:rPr>
          <w:rFonts w:ascii="Narkisim" w:hAnsi="Narkisim" w:cs="Narkisim"/>
          <w:rtl/>
        </w:rPr>
        <w:t xml:space="preserve"> (ד ה) כת' אפי' הם עמי הארץ.</w:t>
      </w:r>
    </w:p>
    <w:p w14:paraId="61169D50"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דייק [מהרמב"ם] דדוקא ע”ה, אבל ל"מ סומא ופסול, וכדאי' גבי ר' שמואל בר יהודה דל"מ גר [דהשיב אנא גר אנא]. וכ"כ כמה ראשונים. וה</w:t>
      </w:r>
      <w:r w:rsidRPr="00D65870">
        <w:rPr>
          <w:rFonts w:ascii="Narkisim" w:hAnsi="Narkisim"/>
          <w:b/>
          <w:bCs/>
          <w:rtl/>
        </w:rPr>
        <w:t>תה"ד</w:t>
      </w:r>
      <w:r w:rsidRPr="00D65870">
        <w:rPr>
          <w:rFonts w:ascii="Narkisim" w:hAnsi="Narkisim"/>
          <w:rtl/>
        </w:rPr>
        <w:t xml:space="preserve"> (רכו) ביאר דעם הארץ כשר בדיעבד להיות דיין לחליצה</w:t>
      </w:r>
      <w:r w:rsidRPr="00D65870">
        <w:rPr>
          <w:rStyle w:val="ac"/>
          <w:rFonts w:ascii="Narkisim" w:hAnsi="Narkisim"/>
          <w:rtl/>
        </w:rPr>
        <w:footnoteReference w:id="6611"/>
      </w:r>
      <w:r w:rsidRPr="00D65870">
        <w:rPr>
          <w:rFonts w:ascii="Narkisim" w:hAnsi="Narkisim"/>
          <w:rtl/>
        </w:rPr>
        <w:t>.</w:t>
      </w:r>
    </w:p>
    <w:p w14:paraId="3B9DECCA" w14:textId="77777777" w:rsidR="006C4368" w:rsidRPr="00D65870" w:rsidRDefault="006C4368" w:rsidP="006C4368">
      <w:pPr>
        <w:pStyle w:val="a8"/>
        <w:bidi/>
        <w:rPr>
          <w:rFonts w:ascii="Narkisim" w:hAnsi="Narkisim"/>
        </w:rPr>
      </w:pPr>
      <w:r w:rsidRPr="00D65870">
        <w:rPr>
          <w:rFonts w:ascii="Narkisim" w:hAnsi="Narkisim"/>
          <w:rtl/>
        </w:rPr>
        <w:t xml:space="preserve">וכמה </w:t>
      </w:r>
      <w:r w:rsidRPr="00D65870">
        <w:rPr>
          <w:rFonts w:ascii="Narkisim" w:hAnsi="Narkisim"/>
          <w:b/>
          <w:bCs/>
          <w:rtl/>
        </w:rPr>
        <w:t>פוסקים</w:t>
      </w:r>
      <w:r w:rsidRPr="00D65870">
        <w:rPr>
          <w:rFonts w:ascii="Narkisim" w:hAnsi="Narkisim"/>
          <w:rtl/>
        </w:rPr>
        <w:t xml:space="preserve"> (מגיה למשנ"ל סנהדרין טז ה, גר"א קסט יז) נקטו דהטעם דל"מ פסולים משום דעי"ז נמצא א' קרוב או פסול</w:t>
      </w:r>
      <w:r w:rsidRPr="00D65870">
        <w:rPr>
          <w:rStyle w:val="ac"/>
          <w:rFonts w:ascii="Narkisim" w:hAnsi="Narkisim"/>
          <w:rtl/>
        </w:rPr>
        <w:footnoteReference w:id="6612"/>
      </w:r>
      <w:r w:rsidRPr="00D65870">
        <w:rPr>
          <w:rFonts w:ascii="Narkisim" w:hAnsi="Narkisim"/>
          <w:rtl/>
        </w:rPr>
        <w:t xml:space="preserve">, ובטלי כל הדיינים [ואף בדיינים אמרי' כן, ע"ע לקמן קד:]. אבל </w:t>
      </w:r>
      <w:r w:rsidRPr="00D65870">
        <w:rPr>
          <w:rFonts w:ascii="Narkisim" w:hAnsi="Narkisim"/>
          <w:b/>
          <w:bCs/>
          <w:rtl/>
        </w:rPr>
        <w:t>ר"א מן ההר</w:t>
      </w:r>
      <w:r w:rsidRPr="00D65870">
        <w:rPr>
          <w:rFonts w:ascii="Narkisim" w:hAnsi="Narkisim"/>
          <w:rtl/>
        </w:rPr>
        <w:t xml:space="preserve"> כת' דלא יושיב פסולים משום גזירה, שיסברו דמהני לג' דיינים</w:t>
      </w:r>
      <w:r w:rsidRPr="00D65870">
        <w:rPr>
          <w:rStyle w:val="ac"/>
          <w:rFonts w:ascii="Narkisim" w:hAnsi="Narkisim"/>
          <w:rtl/>
        </w:rPr>
        <w:footnoteReference w:id="6613"/>
      </w:r>
      <w:r w:rsidRPr="00D65870">
        <w:rPr>
          <w:rFonts w:ascii="Narkisim" w:hAnsi="Narkisim"/>
          <w:rtl/>
        </w:rPr>
        <w:t>. ומ"מ בדיעבד כשר.</w:t>
      </w:r>
    </w:p>
    <w:p w14:paraId="3491DC59"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דחה דהיכא דהזמינו והקצו ג' לדיינים, אפשר להוסיף אפי' גרים לפרסומי</w:t>
      </w:r>
      <w:r w:rsidRPr="00D65870">
        <w:rPr>
          <w:rStyle w:val="ac"/>
          <w:rFonts w:ascii="Narkisim" w:hAnsi="Narkisim"/>
          <w:rtl/>
        </w:rPr>
        <w:footnoteReference w:id="6614"/>
      </w:r>
      <w:r w:rsidRPr="00D65870">
        <w:rPr>
          <w:rFonts w:ascii="Narkisim" w:hAnsi="Narkisim"/>
          <w:rtl/>
        </w:rPr>
        <w:t>. אבל הכא לא היו כבודו של רב שמואל ב”י להקצותו מן הדבר, אלא ייחדו ה' דיינים סתם. וכה”ג יש חסרון בגר.</w:t>
      </w:r>
    </w:p>
    <w:p w14:paraId="5ABF0970" w14:textId="77777777" w:rsidR="006C4368" w:rsidRPr="00D65870" w:rsidRDefault="006C4368" w:rsidP="006C4368">
      <w:pPr>
        <w:pStyle w:val="a7"/>
        <w:bidi/>
        <w:rPr>
          <w:rFonts w:ascii="Narkisim" w:hAnsi="Narkisim"/>
        </w:rPr>
      </w:pPr>
      <w:r w:rsidRPr="00D65870">
        <w:rPr>
          <w:rFonts w:ascii="Narkisim" w:hAnsi="Narkisim"/>
          <w:rtl/>
        </w:rPr>
        <w:t>אבל ה</w:t>
      </w:r>
      <w:r w:rsidRPr="00D65870">
        <w:rPr>
          <w:rFonts w:ascii="Narkisim" w:hAnsi="Narkisim"/>
          <w:b/>
          <w:bCs/>
          <w:rtl/>
        </w:rPr>
        <w:t>או"ז</w:t>
      </w:r>
      <w:r w:rsidRPr="00D65870">
        <w:rPr>
          <w:rFonts w:ascii="Narkisim" w:hAnsi="Narkisim"/>
          <w:rtl/>
        </w:rPr>
        <w:t xml:space="preserve"> (תרסד ב) הביא דמצרפין אף פסולים להשלים לה', והביא דרב שמואל ב"י אמר לו אנא גר אנא, והשיב לו לפרסומי מילתא. [ולכאורה גרס כן בגמ']. </w:t>
      </w:r>
      <w:r w:rsidRPr="00D65870">
        <w:rPr>
          <w:rFonts w:ascii="Narkisim" w:hAnsi="Narkisim"/>
          <w:szCs w:val="20"/>
          <w:rtl/>
        </w:rPr>
        <w:t>וה</w:t>
      </w:r>
      <w:r w:rsidRPr="00D65870">
        <w:rPr>
          <w:rFonts w:ascii="Narkisim" w:hAnsi="Narkisim"/>
          <w:b/>
          <w:bCs/>
          <w:szCs w:val="20"/>
          <w:rtl/>
        </w:rPr>
        <w:t>תה"ד</w:t>
      </w:r>
      <w:r w:rsidRPr="00D65870">
        <w:rPr>
          <w:rFonts w:ascii="Narkisim" w:hAnsi="Narkisim"/>
          <w:szCs w:val="20"/>
          <w:rtl/>
        </w:rPr>
        <w:t xml:space="preserve"> הק' דאדרבה, הפרסום הוא שיעידו שהיא חלוצה. א"כ צריכים כשרים לעדות</w:t>
      </w:r>
      <w:r w:rsidRPr="00D65870">
        <w:rPr>
          <w:rFonts w:ascii="Narkisim" w:hAnsi="Narkisim"/>
          <w:rtl/>
        </w:rPr>
        <w:t>.</w:t>
      </w:r>
    </w:p>
    <w:p w14:paraId="6DD9F5FC" w14:textId="77777777" w:rsidR="006C4368" w:rsidRPr="00D65870" w:rsidRDefault="006C4368" w:rsidP="006C4368">
      <w:pPr>
        <w:bidi/>
        <w:rPr>
          <w:rFonts w:ascii="Narkisim" w:hAnsi="Narkisim" w:cs="Narkisim"/>
        </w:rPr>
      </w:pPr>
      <w:r w:rsidRPr="00D65870">
        <w:rPr>
          <w:rFonts w:ascii="Narkisim" w:hAnsi="Narkisim" w:cs="Narkisim"/>
          <w:u w:val="single"/>
          <w:rtl/>
        </w:rPr>
        <w:t>רש"י ד"ה לפרסומי</w:t>
      </w:r>
      <w:r w:rsidRPr="00D65870">
        <w:rPr>
          <w:rFonts w:ascii="Narkisim" w:hAnsi="Narkisim" w:cs="Narkisim"/>
          <w:rtl/>
        </w:rPr>
        <w:t>. דחלוצה היא ולא לינסבא לכהן</w:t>
      </w:r>
      <w:r w:rsidRPr="00D65870">
        <w:rPr>
          <w:rStyle w:val="ac"/>
          <w:rFonts w:ascii="Narkisim" w:hAnsi="Narkisim" w:cs="Narkisim"/>
          <w:rtl/>
        </w:rPr>
        <w:footnoteReference w:id="6615"/>
      </w:r>
      <w:r w:rsidRPr="00D65870">
        <w:rPr>
          <w:rFonts w:ascii="Narkisim" w:hAnsi="Narkisim" w:cs="Narkisim"/>
          <w:rtl/>
        </w:rPr>
        <w:t>, א"נ דליתו אינשי וליקפצו עלה. וה</w:t>
      </w:r>
      <w:r w:rsidRPr="00D65870">
        <w:rPr>
          <w:rFonts w:ascii="Narkisim" w:hAnsi="Narkisim" w:cs="Narkisim"/>
          <w:b/>
          <w:bCs/>
          <w:rtl/>
        </w:rPr>
        <w:t>ט"ז</w:t>
      </w:r>
      <w:r w:rsidRPr="00D65870">
        <w:rPr>
          <w:rFonts w:ascii="Narkisim" w:hAnsi="Narkisim" w:cs="Narkisim"/>
          <w:rtl/>
        </w:rPr>
        <w:t xml:space="preserve"> (קסט ב) כת' הטעם דדרשינן 'ועלתה השערה' שיהא דבר מפורסם. ואסמכוה אקרא</w:t>
      </w:r>
      <w:r w:rsidRPr="00D65870">
        <w:rPr>
          <w:rStyle w:val="ac"/>
          <w:rFonts w:ascii="Narkisim" w:hAnsi="Narkisim" w:cs="Narkisim"/>
          <w:rtl/>
        </w:rPr>
        <w:footnoteReference w:id="6616"/>
      </w:r>
      <w:r w:rsidRPr="00D65870">
        <w:rPr>
          <w:rFonts w:ascii="Narkisim" w:hAnsi="Narkisim" w:cs="Narkisim"/>
          <w:rtl/>
        </w:rPr>
        <w:t>. וה</w:t>
      </w:r>
      <w:r w:rsidRPr="00D65870">
        <w:rPr>
          <w:rFonts w:ascii="Narkisim" w:hAnsi="Narkisim" w:cs="Narkisim"/>
          <w:b/>
          <w:bCs/>
          <w:rtl/>
        </w:rPr>
        <w:t>גר"א</w:t>
      </w:r>
      <w:r w:rsidRPr="00D65870">
        <w:rPr>
          <w:rFonts w:ascii="Narkisim" w:hAnsi="Narkisim" w:cs="Narkisim"/>
          <w:rtl/>
        </w:rPr>
        <w:t xml:space="preserve"> (סדר חליצה טו) כת' דדרשי' בספרי (הנ"ל) דבעינן גובה של עיר שיהא מקום פרסום, ואין לנו עכשיו</w:t>
      </w:r>
      <w:r w:rsidRPr="00D65870">
        <w:rPr>
          <w:rStyle w:val="ac"/>
          <w:rFonts w:ascii="Narkisim" w:hAnsi="Narkisim" w:cs="Narkisim"/>
          <w:rtl/>
        </w:rPr>
        <w:footnoteReference w:id="6617"/>
      </w:r>
      <w:r w:rsidRPr="00D65870">
        <w:rPr>
          <w:rFonts w:ascii="Narkisim" w:hAnsi="Narkisim" w:cs="Narkisim"/>
          <w:rtl/>
        </w:rPr>
        <w:t>, ומש"ה עושין בה' כדי לפרסם.</w:t>
      </w:r>
    </w:p>
    <w:p w14:paraId="5DBEBEC1"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(קסט ד) כת' דנפק"מ [בטעמי רש"י] היכא דהאשה כבר פסולה לכהונה, וכגון שהיתה גרושה מעיקרא</w:t>
      </w:r>
      <w:r w:rsidRPr="00D65870">
        <w:rPr>
          <w:rStyle w:val="ac"/>
          <w:rFonts w:ascii="Narkisim" w:hAnsi="Narkisim"/>
          <w:rtl/>
        </w:rPr>
        <w:footnoteReference w:id="6618"/>
      </w:r>
      <w:r w:rsidRPr="00D65870">
        <w:rPr>
          <w:rFonts w:ascii="Narkisim" w:hAnsi="Narkisim"/>
          <w:rtl/>
        </w:rPr>
        <w:t>. ולפי' הא' אי"צ ה', אבל לפי' הב' צריך. והב</w:t>
      </w:r>
      <w:r w:rsidRPr="00D65870">
        <w:rPr>
          <w:rFonts w:ascii="Narkisim" w:hAnsi="Narkisim"/>
          <w:b/>
          <w:bCs/>
          <w:rtl/>
        </w:rPr>
        <w:t>ית מאיר</w:t>
      </w:r>
      <w:r w:rsidRPr="00D65870">
        <w:rPr>
          <w:rFonts w:ascii="Narkisim" w:hAnsi="Narkisim"/>
          <w:rtl/>
        </w:rPr>
        <w:t xml:space="preserve"> (שם הו' בפתח"ת קסט ו) דן דלטעם הב' הוה תקנה לטובתה, ואם היא אומרת אי אפשי בתקנ"ח מהראוי </w:t>
      </w:r>
      <w:r w:rsidRPr="00D65870">
        <w:rPr>
          <w:rFonts w:ascii="Narkisim" w:hAnsi="Narkisim"/>
          <w:rtl/>
        </w:rPr>
        <w:lastRenderedPageBreak/>
        <w:t>שנשמע לה, ואי"צ ה'</w:t>
      </w:r>
      <w:r w:rsidRPr="00D65870">
        <w:rPr>
          <w:rStyle w:val="ac"/>
          <w:rFonts w:ascii="Narkisim" w:hAnsi="Narkisim"/>
          <w:rtl/>
        </w:rPr>
        <w:footnoteReference w:id="6619"/>
      </w:r>
      <w:r w:rsidRPr="00D65870">
        <w:rPr>
          <w:rFonts w:ascii="Narkisim" w:hAnsi="Narkisim"/>
          <w:rtl/>
        </w:rPr>
        <w:t>. וכת' דמ"מ אין בידינו לשנות הדינים המבוארים ע"פ הטעמים הנאמרים, כי אולי יש עוד טעם נסתר מאתנו.</w:t>
      </w:r>
    </w:p>
    <w:p w14:paraId="79A8D5D7" w14:textId="77777777" w:rsidR="006C4368" w:rsidRPr="00D65870" w:rsidRDefault="006C4368" w:rsidP="006C4368">
      <w:pPr>
        <w:bidi/>
        <w:rPr>
          <w:rFonts w:ascii="Narkisim" w:hAnsi="Narkisim" w:cs="Narkisim"/>
        </w:rPr>
      </w:pPr>
      <w:r w:rsidRPr="00D65870">
        <w:rPr>
          <w:rFonts w:ascii="Narkisim" w:hAnsi="Narkisim" w:cs="Narkisim"/>
          <w:u w:val="single"/>
          <w:rtl/>
        </w:rPr>
        <w:t>תוד"ה ואנא</w:t>
      </w:r>
      <w:r w:rsidRPr="00D65870">
        <w:rPr>
          <w:rFonts w:ascii="Narkisim" w:hAnsi="Narkisim" w:cs="Narkisim"/>
          <w:rtl/>
        </w:rPr>
        <w:t>. וא”ת לפר"ת וכו' ונתגייר הוא</w:t>
      </w:r>
      <w:r w:rsidRPr="00D65870">
        <w:rPr>
          <w:rStyle w:val="ac"/>
          <w:rFonts w:ascii="Narkisim" w:hAnsi="Narkisim" w:cs="Narkisim"/>
          <w:rtl/>
        </w:rPr>
        <w:footnoteReference w:id="6620"/>
      </w:r>
      <w:r w:rsidRPr="00D65870">
        <w:rPr>
          <w:rFonts w:ascii="Narkisim" w:hAnsi="Narkisim" w:cs="Narkisim"/>
          <w:rtl/>
        </w:rPr>
        <w:t xml:space="preserve"> ואביו</w:t>
      </w:r>
      <w:r w:rsidRPr="00D65870">
        <w:rPr>
          <w:rStyle w:val="ac"/>
          <w:rFonts w:ascii="Narkisim" w:hAnsi="Narkisim" w:cs="Narkisim"/>
          <w:rtl/>
        </w:rPr>
        <w:footnoteReference w:id="6621"/>
      </w:r>
      <w:r w:rsidRPr="00D65870">
        <w:rPr>
          <w:rFonts w:ascii="Narkisim" w:hAnsi="Narkisim" w:cs="Narkisim"/>
          <w:rtl/>
        </w:rPr>
        <w:t xml:space="preserve"> וכו' לדיני ממונות נמי מיפסל וכו'. וכדאי' (לקמן קב.) דגר דן גר חבירו [בדיני ממונות לתוס']. וכן (לעיל מה:) דרבא הכשיר את רב מרי בר רחל כיון דאמו מישראל, ומנייה בפורסי דבבל [עי"ש תוס'].</w:t>
      </w:r>
    </w:p>
    <w:p w14:paraId="5D20903D" w14:textId="77777777" w:rsidR="006C4368" w:rsidRPr="00D65870" w:rsidRDefault="006C4368" w:rsidP="006C4368">
      <w:pPr>
        <w:pStyle w:val="a8"/>
        <w:bidi/>
        <w:rPr>
          <w:rFonts w:ascii="Narkisim" w:hAnsi="Narkisim"/>
        </w:rPr>
      </w:pPr>
      <w:r w:rsidRPr="00D65870">
        <w:rPr>
          <w:rFonts w:ascii="Narkisim" w:hAnsi="Narkisim"/>
          <w:rtl/>
        </w:rPr>
        <w:t>ותוס' תי' דאיצטריך לחליצת גרים. ו</w:t>
      </w:r>
      <w:r w:rsidRPr="00D65870">
        <w:rPr>
          <w:rFonts w:ascii="Narkisim" w:hAnsi="Narkisim"/>
          <w:b/>
          <w:bCs/>
          <w:rtl/>
        </w:rPr>
        <w:t>תוס'</w:t>
      </w:r>
      <w:r w:rsidRPr="00D65870">
        <w:rPr>
          <w:rFonts w:ascii="Narkisim" w:hAnsi="Narkisim"/>
          <w:rtl/>
        </w:rPr>
        <w:t xml:space="preserve"> (כתובות מד: וסנהד' לו:) כת' חליצת בני גרים. וכ"כ ה</w:t>
      </w:r>
      <w:r w:rsidRPr="00D65870">
        <w:rPr>
          <w:rFonts w:ascii="Narkisim" w:hAnsi="Narkisim"/>
          <w:b/>
          <w:bCs/>
          <w:rtl/>
        </w:rPr>
        <w:t>רא"ש</w:t>
      </w:r>
      <w:r w:rsidRPr="00D65870">
        <w:rPr>
          <w:rFonts w:ascii="Narkisim" w:hAnsi="Narkisim"/>
          <w:rtl/>
        </w:rPr>
        <w:t xml:space="preserve"> דהורתן ולידתן בקדושה. [דבגרים עצמם ל"ש חליצה]. וכיון דהיבם והיבמה</w:t>
      </w:r>
      <w:r w:rsidRPr="00D65870">
        <w:rPr>
          <w:rStyle w:val="ac"/>
          <w:rFonts w:ascii="Narkisim" w:hAnsi="Narkisim"/>
          <w:rtl/>
        </w:rPr>
        <w:footnoteReference w:id="6622"/>
      </w:r>
      <w:r w:rsidRPr="00D65870">
        <w:rPr>
          <w:rFonts w:ascii="Narkisim" w:hAnsi="Narkisim"/>
          <w:rtl/>
        </w:rPr>
        <w:t xml:space="preserve"> הם בני גר וגיורת</w:t>
      </w:r>
      <w:r w:rsidRPr="00D65870">
        <w:rPr>
          <w:rStyle w:val="ac"/>
          <w:rFonts w:ascii="Narkisim" w:hAnsi="Narkisim"/>
          <w:rtl/>
        </w:rPr>
        <w:footnoteReference w:id="6623"/>
      </w:r>
      <w:r w:rsidRPr="00D65870">
        <w:rPr>
          <w:rFonts w:ascii="Narkisim" w:hAnsi="Narkisim"/>
          <w:rtl/>
        </w:rPr>
        <w:t xml:space="preserve"> נחשב קהל גרים, ול"צ מקרב אחיך.</w:t>
      </w:r>
    </w:p>
    <w:p w14:paraId="454A6D2B" w14:textId="77777777" w:rsidR="006C4368" w:rsidRPr="00D65870" w:rsidRDefault="006C4368" w:rsidP="006C4368">
      <w:pPr>
        <w:bidi/>
        <w:rPr>
          <w:rFonts w:ascii="Narkisim" w:hAnsi="Narkisim" w:cs="Narkisim"/>
        </w:rPr>
      </w:pPr>
      <w:r w:rsidRPr="00D65870">
        <w:rPr>
          <w:rFonts w:ascii="Narkisim" w:hAnsi="Narkisim" w:cs="Narkisim"/>
          <w:u w:val="single"/>
          <w:rtl/>
        </w:rPr>
        <w:t>בא"ד א"נ כשר הוא לד"מ לדון בלא כפייה, דלא שייכא שימה ודבר של שררה</w:t>
      </w:r>
      <w:r w:rsidRPr="00D65870">
        <w:rPr>
          <w:rFonts w:ascii="Narkisim" w:hAnsi="Narkisim" w:cs="Narkisim"/>
          <w:rtl/>
        </w:rPr>
        <w:t>. ומבואר ב</w:t>
      </w:r>
      <w:r w:rsidRPr="00D65870">
        <w:rPr>
          <w:rFonts w:ascii="Narkisim" w:hAnsi="Narkisim" w:cs="Narkisim"/>
          <w:b/>
          <w:bCs/>
          <w:rtl/>
        </w:rPr>
        <w:t>תוס'</w:t>
      </w:r>
      <w:r w:rsidRPr="00D65870">
        <w:rPr>
          <w:rFonts w:ascii="Narkisim" w:hAnsi="Narkisim" w:cs="Narkisim"/>
          <w:rtl/>
        </w:rPr>
        <w:t xml:space="preserve"> וה</w:t>
      </w:r>
      <w:r w:rsidRPr="00D65870">
        <w:rPr>
          <w:rFonts w:ascii="Narkisim" w:hAnsi="Narkisim" w:cs="Narkisim"/>
          <w:b/>
          <w:bCs/>
          <w:rtl/>
        </w:rPr>
        <w:t>רא"ש</w:t>
      </w:r>
      <w:r w:rsidRPr="00D65870">
        <w:rPr>
          <w:rFonts w:ascii="Narkisim" w:hAnsi="Narkisim" w:cs="Narkisim"/>
          <w:rtl/>
        </w:rPr>
        <w:t xml:space="preserve"> דבלא כפייה יכול לדון אפי' ישראל. אך בפשטות דעת </w:t>
      </w:r>
      <w:r w:rsidRPr="00D65870">
        <w:rPr>
          <w:rFonts w:ascii="Narkisim" w:hAnsi="Narkisim" w:cs="Narkisim"/>
          <w:b/>
          <w:bCs/>
          <w:rtl/>
        </w:rPr>
        <w:t>שא"ר</w:t>
      </w:r>
      <w:r w:rsidRPr="00D65870">
        <w:rPr>
          <w:rFonts w:ascii="Narkisim" w:hAnsi="Narkisim" w:cs="Narkisim"/>
          <w:rtl/>
        </w:rPr>
        <w:t xml:space="preserve"> (תוס' לעיל מה:, והרמ”א ז א) דלדון הוה שררה אף בלא כפייה</w:t>
      </w:r>
      <w:r w:rsidRPr="00D65870">
        <w:rPr>
          <w:rStyle w:val="ac"/>
          <w:rFonts w:ascii="Narkisim" w:hAnsi="Narkisim" w:cs="Narkisim"/>
          <w:rtl/>
        </w:rPr>
        <w:footnoteReference w:id="6624"/>
      </w:r>
      <w:r w:rsidRPr="00D65870">
        <w:rPr>
          <w:rFonts w:ascii="Narkisim" w:hAnsi="Narkisim" w:cs="Narkisim"/>
          <w:rtl/>
        </w:rPr>
        <w:t>. וב</w:t>
      </w:r>
      <w:r w:rsidRPr="00D65870">
        <w:rPr>
          <w:rFonts w:ascii="Narkisim" w:hAnsi="Narkisim" w:cs="Narkisim"/>
          <w:b/>
          <w:bCs/>
          <w:rtl/>
        </w:rPr>
        <w:t>הג' מרדכי</w:t>
      </w:r>
      <w:r w:rsidRPr="00D65870">
        <w:rPr>
          <w:rFonts w:ascii="Narkisim" w:hAnsi="Narkisim" w:cs="Narkisim"/>
          <w:rtl/>
        </w:rPr>
        <w:t xml:space="preserve"> (קיט, והו' בדרכ"מ ז ב) כת' דגר דן גר חבירו דוקא בלא כפייה.</w:t>
      </w:r>
    </w:p>
    <w:p w14:paraId="534AF1DF" w14:textId="77777777" w:rsidR="006C4368" w:rsidRPr="00D65870" w:rsidRDefault="006C4368" w:rsidP="006C4368">
      <w:pPr>
        <w:bidi/>
        <w:rPr>
          <w:rFonts w:ascii="Narkisim" w:hAnsi="Narkisim" w:cs="Narkisim"/>
        </w:rPr>
      </w:pPr>
      <w:r w:rsidRPr="00D65870">
        <w:rPr>
          <w:rFonts w:ascii="Narkisim" w:hAnsi="Narkisim" w:cs="Narkisim"/>
          <w:u w:val="single"/>
          <w:rtl/>
        </w:rPr>
        <w:t>שם. לדון בלא כפייה</w:t>
      </w:r>
      <w:r w:rsidRPr="00D65870">
        <w:rPr>
          <w:rFonts w:ascii="Narkisim" w:hAnsi="Narkisim" w:cs="Narkisim"/>
          <w:rtl/>
        </w:rPr>
        <w:t>. ו</w:t>
      </w:r>
      <w:r w:rsidRPr="00D65870">
        <w:rPr>
          <w:rFonts w:ascii="Narkisim" w:hAnsi="Narkisim" w:cs="Narkisim"/>
          <w:b/>
          <w:bCs/>
          <w:rtl/>
        </w:rPr>
        <w:t>תוס'</w:t>
      </w:r>
      <w:r w:rsidRPr="00D65870">
        <w:rPr>
          <w:rFonts w:ascii="Narkisim" w:hAnsi="Narkisim" w:cs="Narkisim"/>
          <w:rtl/>
        </w:rPr>
        <w:t xml:space="preserve"> (נדה מט:, והרא"ש כאן בתי' א') תי' דהחולץ והחולצת קיבלו עליהם, דבדיני ממונות מהני שקיבלו עליהם, ולחליצה מיפסיל. [ואיצטריך למעט חליצה ללמוד דל"מ קבלה]. וה</w:t>
      </w:r>
      <w:r w:rsidRPr="00D65870">
        <w:rPr>
          <w:rFonts w:ascii="Narkisim" w:hAnsi="Narkisim" w:cs="Narkisim"/>
          <w:b/>
          <w:bCs/>
          <w:rtl/>
        </w:rPr>
        <w:t>קובה"ע</w:t>
      </w:r>
      <w:r w:rsidRPr="00D65870">
        <w:rPr>
          <w:rFonts w:ascii="Narkisim" w:hAnsi="Narkisim" w:cs="Narkisim"/>
          <w:rtl/>
        </w:rPr>
        <w:t xml:space="preserve"> (עב ז) תמה דהא דמהני קבלה, כדתנן (סנהדרין כד.) נאמן עלי אבא, לכאורה הוא מטעם מחילה בממון או הודאה. וטעם זה ל"ש כלל בחליצה, והאיך מהני להכשיר פסולין ע"י קבלה</w:t>
      </w:r>
      <w:r w:rsidRPr="00D65870">
        <w:rPr>
          <w:rStyle w:val="ac"/>
          <w:rFonts w:ascii="Narkisim" w:hAnsi="Narkisim" w:cs="Narkisim"/>
          <w:rtl/>
        </w:rPr>
        <w:footnoteReference w:id="6625"/>
      </w:r>
      <w:r w:rsidRPr="00D65870">
        <w:rPr>
          <w:rFonts w:ascii="Narkisim" w:hAnsi="Narkisim" w:cs="Narkisim"/>
          <w:rtl/>
        </w:rPr>
        <w:t>.</w:t>
      </w:r>
    </w:p>
    <w:p w14:paraId="7D2DDD63" w14:textId="77777777" w:rsidR="006C4368" w:rsidRPr="00D65870" w:rsidRDefault="006C4368" w:rsidP="006C4368">
      <w:pPr>
        <w:pStyle w:val="a7"/>
        <w:bidi/>
        <w:rPr>
          <w:rFonts w:ascii="Narkisim" w:hAnsi="Narkisim"/>
        </w:rPr>
      </w:pPr>
      <w:r w:rsidRPr="00D65870">
        <w:rPr>
          <w:rFonts w:ascii="Narkisim" w:hAnsi="Narkisim"/>
          <w:rtl/>
        </w:rPr>
        <w:t>ומוכח [בדעת תוס'] דמהני קבלה להכשיר את הפסולין להחשב כשר, ולא מטעם מחילה</w:t>
      </w:r>
      <w:r w:rsidRPr="00D65870">
        <w:rPr>
          <w:rStyle w:val="ac"/>
          <w:rFonts w:ascii="Narkisim" w:hAnsi="Narkisim"/>
          <w:rtl/>
        </w:rPr>
        <w:footnoteReference w:id="6626"/>
      </w:r>
      <w:r w:rsidRPr="00D65870">
        <w:rPr>
          <w:rFonts w:ascii="Narkisim" w:hAnsi="Narkisim"/>
          <w:rtl/>
        </w:rPr>
        <w:t>.</w:t>
      </w:r>
    </w:p>
    <w:p w14:paraId="639315F3" w14:textId="77777777" w:rsidR="006C4368" w:rsidRPr="00D65870" w:rsidRDefault="006C4368" w:rsidP="006C4368">
      <w:pPr>
        <w:bidi/>
        <w:rPr>
          <w:rFonts w:ascii="Narkisim" w:hAnsi="Narkisim" w:cs="Narkisim"/>
        </w:rPr>
      </w:pPr>
      <w:r w:rsidRPr="00D65870">
        <w:rPr>
          <w:rFonts w:ascii="Narkisim" w:hAnsi="Narkisim" w:cs="Narkisim"/>
          <w:u w:val="single"/>
          <w:rtl/>
        </w:rPr>
        <w:t>א"ל תנינא וכו'</w:t>
      </w:r>
      <w:r w:rsidRPr="00D65870">
        <w:rPr>
          <w:rFonts w:ascii="Narkisim" w:hAnsi="Narkisim" w:cs="Narkisim"/>
          <w:rtl/>
        </w:rPr>
        <w:t>. ב</w:t>
      </w:r>
      <w:r w:rsidRPr="00D65870">
        <w:rPr>
          <w:rFonts w:ascii="Narkisim" w:hAnsi="Narkisim" w:cs="Narkisim"/>
          <w:b/>
          <w:bCs/>
          <w:rtl/>
        </w:rPr>
        <w:t>חי' ר”א מן ההר</w:t>
      </w:r>
      <w:r w:rsidRPr="00D65870">
        <w:rPr>
          <w:rFonts w:ascii="Narkisim" w:hAnsi="Narkisim" w:cs="Narkisim"/>
          <w:rtl/>
        </w:rPr>
        <w:t xml:space="preserve"> הביא לדייק דרב יהודה לא הוה ידע להאי ברייתא, וש"מ שדיין לחליצה כשר אע"פ שאינו בקי בכל דיני חליצה או גט. ואף שלכתחלה אין לו להיות דיין דלמא טעי, מיהו אם מה שעשה נעשה כדין שחליצתה כשירה. וכת' דהדין אמת, אך דחה דודאי רב יהודה ידע דגר פסול. אלא ה"ק רב שמואל ב"י דכיון דגר פסול, מש"ה לכתחילה אין להושיבו בהדי דיינין, דמאן דחזי סבר שגר כשר לדייני חליצה.</w:t>
      </w:r>
    </w:p>
    <w:p w14:paraId="1CBDF634" w14:textId="77777777" w:rsidR="006C4368" w:rsidRPr="00D65870" w:rsidRDefault="006C4368" w:rsidP="006C4368">
      <w:pPr>
        <w:pStyle w:val="aa"/>
        <w:bidi/>
        <w:rPr>
          <w:rFonts w:ascii="Narkisim" w:hAnsi="Narkisim"/>
        </w:rPr>
      </w:pPr>
      <w:r w:rsidRPr="00D65870">
        <w:rPr>
          <w:rFonts w:ascii="Narkisim" w:hAnsi="Narkisim"/>
          <w:u w:val="single"/>
          <w:rtl/>
        </w:rPr>
        <w:t>מרענא שטרא אפומיה</w:t>
      </w:r>
      <w:r w:rsidRPr="00D65870">
        <w:rPr>
          <w:rFonts w:ascii="Narkisim" w:hAnsi="Narkisim"/>
          <w:rtl/>
        </w:rPr>
        <w:t>. פ</w:t>
      </w:r>
      <w:r w:rsidRPr="00D65870">
        <w:rPr>
          <w:rFonts w:ascii="Narkisim" w:hAnsi="Narkisim"/>
          <w:b/>
          <w:bCs/>
          <w:rtl/>
        </w:rPr>
        <w:t>רש"י</w:t>
      </w:r>
      <w:r w:rsidRPr="00D65870">
        <w:rPr>
          <w:rFonts w:ascii="Narkisim" w:hAnsi="Narkisim"/>
          <w:rtl/>
        </w:rPr>
        <w:t xml:space="preserve"> דלא גובים ע"פ. דכיון שהדיין סומך על דברי העד, מהני שיקול הדעת של הדיין ואינו גובה. ו</w:t>
      </w:r>
      <w:r w:rsidRPr="00D65870">
        <w:rPr>
          <w:rFonts w:ascii="Narkisim" w:hAnsi="Narkisim"/>
          <w:b/>
          <w:bCs/>
          <w:rtl/>
        </w:rPr>
        <w:t>תוס'</w:t>
      </w:r>
      <w:r w:rsidRPr="00D65870">
        <w:rPr>
          <w:rFonts w:ascii="Narkisim" w:hAnsi="Narkisim"/>
          <w:rtl/>
        </w:rPr>
        <w:t xml:space="preserve"> חלקו דמהני רק לחייב כנגדו שבועה. לכאורה משמע דאינו רשאי להמנע מלגבות, ולשנות הדין</w:t>
      </w:r>
      <w:r w:rsidRPr="00D65870">
        <w:rPr>
          <w:rStyle w:val="ac"/>
          <w:rFonts w:ascii="Narkisim" w:hAnsi="Narkisim"/>
          <w:rtl/>
        </w:rPr>
        <w:footnoteReference w:id="6627"/>
      </w:r>
      <w:r w:rsidRPr="00D65870">
        <w:rPr>
          <w:rFonts w:ascii="Narkisim" w:hAnsi="Narkisim"/>
          <w:rtl/>
        </w:rPr>
        <w:t>. דדין מרומה הוה רק לחייבו בירור נוסף. [ואכ"מ].</w:t>
      </w:r>
    </w:p>
    <w:p w14:paraId="3E9AE416" w14:textId="77777777" w:rsidR="006C4368" w:rsidRPr="00D65870" w:rsidRDefault="006C4368" w:rsidP="006C4368">
      <w:pPr>
        <w:pStyle w:val="3"/>
        <w:bidi/>
        <w:rPr>
          <w:rFonts w:ascii="Narkisim" w:hAnsi="Narkisim"/>
        </w:rPr>
      </w:pPr>
      <w:r w:rsidRPr="00D65870">
        <w:rPr>
          <w:rFonts w:ascii="Narkisim" w:hAnsi="Narkisim"/>
          <w:rtl/>
        </w:rPr>
        <w:lastRenderedPageBreak/>
        <w:t>דף קב.</w:t>
      </w:r>
    </w:p>
    <w:p w14:paraId="572CE680" w14:textId="77777777" w:rsidR="006C4368" w:rsidRPr="00D65870" w:rsidRDefault="006C4368" w:rsidP="006C4368">
      <w:pPr>
        <w:bidi/>
        <w:rPr>
          <w:rFonts w:ascii="Narkisim" w:hAnsi="Narkisim" w:cs="Narkisim"/>
        </w:rPr>
      </w:pPr>
      <w:r w:rsidRPr="00D65870">
        <w:rPr>
          <w:rFonts w:ascii="Narkisim" w:hAnsi="Narkisim" w:cs="Narkisim"/>
          <w:u w:val="single"/>
          <w:rtl/>
        </w:rPr>
        <w:t>גר דן את חבירו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בדיני נפשות. [ודין גרים לא צריך דיינים מיוחסים]. וב</w:t>
      </w:r>
      <w:r w:rsidRPr="00D65870">
        <w:rPr>
          <w:rFonts w:ascii="Narkisim" w:hAnsi="Narkisim" w:cs="Narkisim"/>
          <w:b/>
          <w:bCs/>
          <w:rtl/>
        </w:rPr>
        <w:t>חי' הר"ן</w:t>
      </w:r>
      <w:r w:rsidRPr="00D65870">
        <w:rPr>
          <w:rFonts w:ascii="Narkisim" w:hAnsi="Narkisim" w:cs="Narkisim"/>
          <w:rtl/>
        </w:rPr>
        <w:t xml:space="preserve"> (סנהדרין לו: בשם ר' דוד) הק' על רש"י דאפי' לדין שור הנסקל בעינן בי"ד מיוחס, א"כ האיך סגי בי"ד שאינו מיוחס לדון גר</w:t>
      </w:r>
      <w:r w:rsidRPr="00D65870">
        <w:rPr>
          <w:rStyle w:val="ac"/>
          <w:rFonts w:ascii="Narkisim" w:hAnsi="Narkisim" w:cs="Narkisim"/>
          <w:rtl/>
        </w:rPr>
        <w:footnoteReference w:id="6628"/>
      </w:r>
      <w:r w:rsidRPr="00D65870">
        <w:rPr>
          <w:rFonts w:ascii="Narkisim" w:hAnsi="Narkisim" w:cs="Narkisim"/>
          <w:rtl/>
        </w:rPr>
        <w:t>.</w:t>
      </w:r>
    </w:p>
    <w:p w14:paraId="7093936A" w14:textId="77777777" w:rsidR="006C4368" w:rsidRPr="00D65870" w:rsidRDefault="006C4368" w:rsidP="006C4368">
      <w:pPr>
        <w:pStyle w:val="a8"/>
        <w:bidi/>
        <w:rPr>
          <w:rFonts w:ascii="Narkisim" w:hAnsi="Narkisim"/>
        </w:rPr>
      </w:pPr>
      <w:r w:rsidRPr="00D65870">
        <w:rPr>
          <w:rFonts w:ascii="Narkisim" w:hAnsi="Narkisim"/>
          <w:rtl/>
        </w:rPr>
        <w:t>ואפ"ה דייני חליצה בעי דוקא אביו 'בישראל'. וה</w:t>
      </w:r>
      <w:r w:rsidRPr="00D65870">
        <w:rPr>
          <w:rFonts w:ascii="Narkisim" w:hAnsi="Narkisim"/>
          <w:b/>
          <w:bCs/>
          <w:rtl/>
        </w:rPr>
        <w:t>ריטב"א</w:t>
      </w:r>
      <w:r w:rsidRPr="00D65870">
        <w:rPr>
          <w:rFonts w:ascii="Narkisim" w:hAnsi="Narkisim"/>
          <w:rtl/>
        </w:rPr>
        <w:t xml:space="preserve"> (קידושין יד., ועד"ז הרמב"ן לעיל מה:) הק' דודאי לא גריעי דיני נפשות דחמירי מחליצה</w:t>
      </w:r>
      <w:r w:rsidRPr="00D65870">
        <w:rPr>
          <w:rStyle w:val="ac"/>
          <w:rFonts w:ascii="Narkisim" w:hAnsi="Narkisim"/>
          <w:rtl/>
        </w:rPr>
        <w:footnoteReference w:id="6629"/>
      </w:r>
      <w:r w:rsidRPr="00D65870">
        <w:rPr>
          <w:rFonts w:ascii="Narkisim" w:hAnsi="Narkisim"/>
          <w:rtl/>
        </w:rPr>
        <w:t>.</w:t>
      </w:r>
    </w:p>
    <w:p w14:paraId="688B3E52"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חלקו דאיירי בדיני ממונות. [דגר אינו דן דיני ממונות משום שררה (ע' תוס' קא: ד"ה ואנא). וקמ"ל דגר רשאי לעשות שררה על גרים אחרים].</w:t>
      </w:r>
    </w:p>
    <w:p w14:paraId="40E2B086" w14:textId="77777777" w:rsidR="006C4368" w:rsidRPr="00D65870" w:rsidRDefault="006C4368" w:rsidP="006C4368">
      <w:pPr>
        <w:pStyle w:val="aa"/>
        <w:bidi/>
        <w:rPr>
          <w:rFonts w:ascii="Narkisim" w:hAnsi="Narkisim"/>
        </w:rPr>
      </w:pPr>
      <w:r w:rsidRPr="00D65870">
        <w:rPr>
          <w:rFonts w:ascii="Narkisim" w:hAnsi="Narkisim"/>
          <w:u w:val="single"/>
          <w:rtl/>
        </w:rPr>
        <w:t>שם. אמר רבא וכו' דבר תורה</w:t>
      </w:r>
      <w:r w:rsidRPr="00D65870">
        <w:rPr>
          <w:rFonts w:ascii="Narkisim" w:hAnsi="Narkisim"/>
          <w:rtl/>
        </w:rPr>
        <w:t>. ה</w:t>
      </w:r>
      <w:r w:rsidRPr="00D65870">
        <w:rPr>
          <w:rFonts w:ascii="Narkisim" w:hAnsi="Narkisim"/>
          <w:b/>
          <w:bCs/>
          <w:rtl/>
        </w:rPr>
        <w:t>קצות</w:t>
      </w:r>
      <w:r w:rsidRPr="00D65870">
        <w:rPr>
          <w:rFonts w:ascii="Narkisim" w:hAnsi="Narkisim"/>
          <w:rtl/>
        </w:rPr>
        <w:t xml:space="preserve"> (ז א) הק' דדעת רבא (סנהדרין ג.) דמדאורייתא צריך סמוכין אף בדיני ממונות. וה</w:t>
      </w:r>
      <w:r w:rsidRPr="00D65870">
        <w:rPr>
          <w:rFonts w:ascii="Narkisim" w:hAnsi="Narkisim"/>
          <w:b/>
          <w:bCs/>
          <w:rtl/>
        </w:rPr>
        <w:t>רמב"ם</w:t>
      </w:r>
      <w:r w:rsidRPr="00D65870">
        <w:rPr>
          <w:rFonts w:ascii="Narkisim" w:hAnsi="Narkisim"/>
          <w:rtl/>
        </w:rPr>
        <w:t xml:space="preserve"> (סנהדרין ד י, ע' מה שהו' לעיל קא.) כת' דל"מ סמיכה אא"כ ראוי לכל הדינים</w:t>
      </w:r>
      <w:r w:rsidRPr="00D65870">
        <w:rPr>
          <w:rStyle w:val="ac"/>
          <w:rFonts w:ascii="Narkisim" w:hAnsi="Narkisim"/>
          <w:rtl/>
        </w:rPr>
        <w:footnoteReference w:id="6630"/>
      </w:r>
      <w:r w:rsidRPr="00D65870">
        <w:rPr>
          <w:rFonts w:ascii="Narkisim" w:hAnsi="Narkisim"/>
          <w:rtl/>
        </w:rPr>
        <w:t>, וסומא בא' מעיניו אינו נעשה סמוך. א"כ ל"ש סמוכין בגר, והאיך כשר דבר תורה אפי' לדיני ממונות דגר חבירו. וכת' דצ"ל דנפק"מ לדון בלא כפייה. ודלא כ</w:t>
      </w:r>
      <w:r w:rsidRPr="00D65870">
        <w:rPr>
          <w:rFonts w:ascii="Narkisim" w:hAnsi="Narkisim"/>
          <w:b/>
          <w:bCs/>
          <w:rtl/>
        </w:rPr>
        <w:t>תוס'</w:t>
      </w:r>
      <w:r w:rsidRPr="00D65870">
        <w:rPr>
          <w:rFonts w:ascii="Narkisim" w:hAnsi="Narkisim"/>
          <w:rtl/>
        </w:rPr>
        <w:t xml:space="preserve"> (קא: ד"ה ואנא) דבלא כפייה דן אף ישראל</w:t>
      </w:r>
      <w:r w:rsidRPr="00D65870">
        <w:rPr>
          <w:rStyle w:val="ac"/>
          <w:rFonts w:ascii="Narkisim" w:hAnsi="Narkisim"/>
          <w:rtl/>
        </w:rPr>
        <w:footnoteReference w:id="6631"/>
      </w:r>
      <w:r w:rsidRPr="00D65870">
        <w:rPr>
          <w:rFonts w:ascii="Narkisim" w:hAnsi="Narkisim"/>
          <w:rtl/>
        </w:rPr>
        <w:t>.</w:t>
      </w:r>
    </w:p>
    <w:p w14:paraId="539ACB43" w14:textId="77777777" w:rsidR="006C4368" w:rsidRPr="00D65870" w:rsidRDefault="006C4368" w:rsidP="006C4368">
      <w:pPr>
        <w:pStyle w:val="aa"/>
        <w:bidi/>
        <w:rPr>
          <w:rFonts w:ascii="Narkisim" w:hAnsi="Narkisim"/>
        </w:rPr>
      </w:pPr>
      <w:r w:rsidRPr="00D65870">
        <w:rPr>
          <w:rFonts w:ascii="Narkisim" w:hAnsi="Narkisim"/>
          <w:u w:val="single"/>
          <w:rtl/>
        </w:rPr>
        <w:t>רש"י ד"ה גר</w:t>
      </w:r>
      <w:r w:rsidRPr="00D65870">
        <w:rPr>
          <w:rFonts w:ascii="Narkisim" w:hAnsi="Narkisim"/>
          <w:rtl/>
        </w:rPr>
        <w:t>. דאילו לדיני ממונות אפי' לכל ישראל, דתנן הכל כשרים לדון דיני ממונות וכו'. ודוקא למינוי שררה בעינן מקרב אחיך (כדלעיל מה:). וב</w:t>
      </w:r>
      <w:r w:rsidRPr="00D65870">
        <w:rPr>
          <w:rFonts w:ascii="Narkisim" w:hAnsi="Narkisim"/>
          <w:b/>
          <w:bCs/>
          <w:rtl/>
        </w:rPr>
        <w:t>חי' הר"ן</w:t>
      </w:r>
      <w:r w:rsidRPr="00D65870">
        <w:rPr>
          <w:rFonts w:ascii="Narkisim" w:hAnsi="Narkisim"/>
          <w:rtl/>
        </w:rPr>
        <w:t xml:space="preserve"> (סנהדרין לו:) כת' דגר דן גרים היינו למנותו דיין קבוע בדיני ממונות על הגרים. והא דאמרי' דגר כשר לדיני ממונות [של בני ישראל] היינו דוקא באקראי ובדיעבד, דאם דן דינו דין. אבל למנותו דיין קבוע לא משום דבעינן מקרב אחיך.</w:t>
      </w:r>
    </w:p>
    <w:p w14:paraId="7474A739"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הק' מי גריעי דיני ממונות דבעי' סמוכין, משאר מנויין ושררותא דמתא</w:t>
      </w:r>
      <w:r w:rsidRPr="00D65870">
        <w:rPr>
          <w:rStyle w:val="ac"/>
          <w:rFonts w:ascii="Narkisim" w:hAnsi="Narkisim"/>
          <w:rtl/>
        </w:rPr>
        <w:footnoteReference w:id="6632"/>
      </w:r>
      <w:r w:rsidRPr="00D65870">
        <w:rPr>
          <w:rFonts w:ascii="Narkisim" w:hAnsi="Narkisim"/>
          <w:rtl/>
        </w:rPr>
        <w:t>, דבעינן אמו מישראל.</w:t>
      </w:r>
    </w:p>
    <w:p w14:paraId="3A402666" w14:textId="77777777" w:rsidR="006C4368" w:rsidRPr="00D65870" w:rsidRDefault="006C4368" w:rsidP="006C4368">
      <w:pPr>
        <w:pStyle w:val="aa"/>
        <w:bidi/>
        <w:rPr>
          <w:rFonts w:ascii="Narkisim" w:hAnsi="Narkisim"/>
        </w:rPr>
      </w:pPr>
      <w:r w:rsidRPr="00D65870">
        <w:rPr>
          <w:rFonts w:ascii="Narkisim" w:hAnsi="Narkisim"/>
          <w:u w:val="single"/>
          <w:rtl/>
        </w:rPr>
        <w:t>עד שיהא אביו ואמו</w:t>
      </w:r>
      <w:r w:rsidRPr="00D65870">
        <w:rPr>
          <w:rStyle w:val="ac"/>
          <w:rFonts w:ascii="Narkisim" w:hAnsi="Narkisim"/>
          <w:u w:val="single"/>
          <w:rtl/>
        </w:rPr>
        <w:footnoteReference w:id="6633"/>
      </w:r>
      <w:r w:rsidRPr="00D65870">
        <w:rPr>
          <w:rFonts w:ascii="Narkisim" w:hAnsi="Narkisim"/>
          <w:u w:val="single"/>
          <w:rtl/>
        </w:rPr>
        <w:t xml:space="preserve"> מישראל</w:t>
      </w:r>
      <w:r w:rsidRPr="00D65870">
        <w:rPr>
          <w:rFonts w:ascii="Narkisim" w:hAnsi="Narkisim"/>
          <w:rtl/>
        </w:rPr>
        <w:t>. ה</w:t>
      </w:r>
      <w:r w:rsidRPr="00D65870">
        <w:rPr>
          <w:rFonts w:ascii="Narkisim" w:hAnsi="Narkisim"/>
          <w:b/>
          <w:bCs/>
          <w:rtl/>
        </w:rPr>
        <w:t>רמב"ם</w:t>
      </w:r>
      <w:r w:rsidRPr="00D65870">
        <w:rPr>
          <w:rFonts w:ascii="Narkisim" w:hAnsi="Narkisim"/>
          <w:rtl/>
        </w:rPr>
        <w:t xml:space="preserve"> (יבום ד ה) כת' דאפי' אביו גר ואמו ישראלית ל"מ. והפוסקים דנו אי מהני שתוקי.</w:t>
      </w:r>
    </w:p>
    <w:p w14:paraId="4A0DF816" w14:textId="77777777" w:rsidR="006C4368" w:rsidRPr="00D65870" w:rsidRDefault="006C4368" w:rsidP="006C4368">
      <w:pPr>
        <w:pStyle w:val="aa"/>
        <w:bidi/>
        <w:rPr>
          <w:rFonts w:ascii="Narkisim" w:hAnsi="Narkisim"/>
        </w:rPr>
      </w:pPr>
      <w:r w:rsidRPr="00D65870">
        <w:rPr>
          <w:rFonts w:ascii="Narkisim" w:hAnsi="Narkisim"/>
          <w:u w:val="single"/>
          <w:rtl/>
        </w:rPr>
        <w:t>שנאמר ונקרא שמו בישראל</w:t>
      </w:r>
      <w:r w:rsidRPr="00D65870">
        <w:rPr>
          <w:rFonts w:ascii="Narkisim" w:hAnsi="Narkisim"/>
          <w:rtl/>
        </w:rPr>
        <w:t>. פ</w:t>
      </w:r>
      <w:r w:rsidRPr="00D65870">
        <w:rPr>
          <w:rFonts w:ascii="Narkisim" w:hAnsi="Narkisim"/>
          <w:b/>
          <w:bCs/>
          <w:rtl/>
        </w:rPr>
        <w:t>רש"י</w:t>
      </w:r>
      <w:r w:rsidRPr="00D65870">
        <w:rPr>
          <w:rFonts w:ascii="Narkisim" w:hAnsi="Narkisim"/>
          <w:rtl/>
        </w:rPr>
        <w:t xml:space="preserve"> משמע שיהא ישראל מכל הצדדין. אבל </w:t>
      </w:r>
      <w:r w:rsidRPr="00D65870">
        <w:rPr>
          <w:rFonts w:ascii="Narkisim" w:hAnsi="Narkisim"/>
          <w:b/>
          <w:bCs/>
          <w:rtl/>
        </w:rPr>
        <w:t>ר"י</w:t>
      </w:r>
      <w:r w:rsidRPr="00D65870">
        <w:rPr>
          <w:rFonts w:ascii="Narkisim" w:hAnsi="Narkisim"/>
          <w:rtl/>
        </w:rPr>
        <w:t xml:space="preserve"> (בתוד"ה לענין, וכ"כ ה</w:t>
      </w:r>
      <w:r w:rsidRPr="00D65870">
        <w:rPr>
          <w:rFonts w:ascii="Narkisim" w:hAnsi="Narkisim"/>
          <w:b/>
          <w:bCs/>
          <w:rtl/>
        </w:rPr>
        <w:t>רמב"ן</w:t>
      </w:r>
      <w:r w:rsidRPr="00D65870">
        <w:rPr>
          <w:rFonts w:ascii="Narkisim" w:hAnsi="Narkisim"/>
          <w:rtl/>
        </w:rPr>
        <w:t>) פי' דדרשי' יתור בישראל</w:t>
      </w:r>
      <w:r w:rsidRPr="00D65870">
        <w:rPr>
          <w:rStyle w:val="ac"/>
          <w:rFonts w:ascii="Narkisim" w:hAnsi="Narkisim"/>
          <w:rtl/>
        </w:rPr>
        <w:footnoteReference w:id="6634"/>
      </w:r>
      <w:r w:rsidRPr="00D65870">
        <w:rPr>
          <w:rFonts w:ascii="Narkisim" w:hAnsi="Narkisim"/>
          <w:rtl/>
        </w:rPr>
        <w:t>, דכי איצטריך לאמו מישראל, דהא בן גר וגיורת פסול אפי' לדיני ממונות, ונתמעט מקרב אחיך. [וכקו' ה</w:t>
      </w:r>
      <w:r w:rsidRPr="00D65870">
        <w:rPr>
          <w:rFonts w:ascii="Narkisim" w:hAnsi="Narkisim"/>
          <w:b/>
          <w:bCs/>
          <w:rtl/>
        </w:rPr>
        <w:t>תוס'</w:t>
      </w:r>
      <w:r w:rsidRPr="00D65870">
        <w:rPr>
          <w:rFonts w:ascii="Narkisim" w:hAnsi="Narkisim"/>
          <w:rtl/>
        </w:rPr>
        <w:t xml:space="preserve"> (קא: ד"ה ואנא), וצ"ל דר"י פליג אתי' התוס' דלעיל, דאל"כ איצטריך לדון בלא כפייה].</w:t>
      </w:r>
    </w:p>
    <w:p w14:paraId="14F34673" w14:textId="77777777" w:rsidR="006C4368" w:rsidRPr="00D65870" w:rsidRDefault="006C4368" w:rsidP="006C4368">
      <w:pPr>
        <w:bidi/>
        <w:rPr>
          <w:rFonts w:ascii="Narkisim" w:hAnsi="Narkisim" w:cs="Narkisim"/>
        </w:rPr>
      </w:pPr>
      <w:r w:rsidRPr="00D65870">
        <w:rPr>
          <w:rFonts w:ascii="Narkisim" w:hAnsi="Narkisim" w:cs="Narkisim"/>
          <w:u w:val="single"/>
          <w:rtl/>
        </w:rPr>
        <w:t>תוד"ה לענין</w:t>
      </w:r>
      <w:r w:rsidRPr="00D65870">
        <w:rPr>
          <w:rFonts w:ascii="Narkisim" w:hAnsi="Narkisim" w:cs="Narkisim"/>
          <w:rtl/>
        </w:rPr>
        <w:t>. אבל באביו לחוד סגי וכו'. אבל בדברי רש"י משמע דצריך כל הצדדין ישראל</w:t>
      </w:r>
      <w:r w:rsidRPr="00D65870">
        <w:rPr>
          <w:rStyle w:val="ac"/>
          <w:rFonts w:ascii="Narkisim" w:hAnsi="Narkisim" w:cs="Narkisim"/>
          <w:szCs w:val="28"/>
          <w:rtl/>
        </w:rPr>
        <w:footnoteReference w:id="6635"/>
      </w:r>
      <w:r w:rsidRPr="00D65870">
        <w:rPr>
          <w:rFonts w:ascii="Narkisim" w:hAnsi="Narkisim" w:cs="Narkisim"/>
          <w:rtl/>
        </w:rPr>
        <w:t>.</w:t>
      </w:r>
    </w:p>
    <w:p w14:paraId="53E2772D" w14:textId="77777777" w:rsidR="006C4368" w:rsidRPr="00D65870" w:rsidRDefault="006C4368" w:rsidP="006C4368">
      <w:pPr>
        <w:bidi/>
        <w:rPr>
          <w:rFonts w:ascii="Narkisim" w:hAnsi="Narkisim" w:cs="Narkisim"/>
        </w:rPr>
      </w:pPr>
      <w:r w:rsidRPr="00D65870">
        <w:rPr>
          <w:rFonts w:ascii="Narkisim" w:hAnsi="Narkisim" w:cs="Narkisim"/>
          <w:u w:val="single"/>
          <w:rtl/>
        </w:rPr>
        <w:t>בא"ד דהא אפי' ליחוס כהונה סגי באביו מישראל וכו'</w:t>
      </w:r>
      <w:r w:rsidRPr="00D65870">
        <w:rPr>
          <w:rFonts w:ascii="Narkisim" w:hAnsi="Narkisim" w:cs="Narkisim"/>
          <w:rtl/>
        </w:rPr>
        <w:t>. להשיא לכהונה</w:t>
      </w:r>
      <w:r w:rsidRPr="00D65870">
        <w:rPr>
          <w:rStyle w:val="ac"/>
          <w:rFonts w:ascii="Narkisim" w:hAnsi="Narkisim" w:cs="Narkisim"/>
          <w:rtl/>
        </w:rPr>
        <w:footnoteReference w:id="6636"/>
      </w:r>
      <w:r w:rsidRPr="00D65870">
        <w:rPr>
          <w:rFonts w:ascii="Narkisim" w:hAnsi="Narkisim" w:cs="Narkisim"/>
          <w:rtl/>
        </w:rPr>
        <w:t>, וכמו שהביאו התוס' מהמשנה קידושין</w:t>
      </w:r>
      <w:r w:rsidRPr="00D65870">
        <w:rPr>
          <w:rStyle w:val="ac"/>
          <w:rFonts w:ascii="Narkisim" w:hAnsi="Narkisim" w:cs="Narkisim"/>
          <w:rtl/>
        </w:rPr>
        <w:footnoteReference w:id="6637"/>
      </w:r>
      <w:r w:rsidRPr="00D65870">
        <w:rPr>
          <w:rFonts w:ascii="Narkisim" w:hAnsi="Narkisim" w:cs="Narkisim"/>
          <w:rtl/>
        </w:rPr>
        <w:t>. [וע"פ ה</w:t>
      </w:r>
      <w:r w:rsidRPr="00D65870">
        <w:rPr>
          <w:rFonts w:ascii="Narkisim" w:hAnsi="Narkisim" w:cs="Narkisim"/>
          <w:b/>
          <w:bCs/>
          <w:rtl/>
        </w:rPr>
        <w:t>תוספתא</w:t>
      </w:r>
      <w:r w:rsidRPr="00D65870">
        <w:rPr>
          <w:rFonts w:ascii="Narkisim" w:hAnsi="Narkisim" w:cs="Narkisim"/>
          <w:rtl/>
        </w:rPr>
        <w:t xml:space="preserve"> (הו' בתוס' לעיל מה:) דאין ממנין מלך אלא מהמשיאין לכהונה].</w:t>
      </w:r>
    </w:p>
    <w:p w14:paraId="3202EB8A" w14:textId="77777777" w:rsidR="006C4368" w:rsidRPr="00D65870" w:rsidRDefault="006C4368" w:rsidP="006C4368">
      <w:pPr>
        <w:bidi/>
        <w:rPr>
          <w:rFonts w:ascii="Narkisim" w:hAnsi="Narkisim" w:cs="Narkisim"/>
        </w:rPr>
      </w:pPr>
      <w:r w:rsidRPr="00D65870">
        <w:rPr>
          <w:rFonts w:ascii="Narkisim" w:hAnsi="Narkisim" w:cs="Narkisim"/>
          <w:rtl/>
        </w:rPr>
        <w:t>ולכאורה מבואר בתוס' דאפי' מלך סגי אביו מישראל, ול"צ אמו</w:t>
      </w:r>
      <w:r w:rsidRPr="00D65870">
        <w:rPr>
          <w:rStyle w:val="ac"/>
          <w:rFonts w:ascii="Narkisim" w:hAnsi="Narkisim" w:cs="Narkisim"/>
          <w:rtl/>
        </w:rPr>
        <w:footnoteReference w:id="6638"/>
      </w:r>
      <w:r w:rsidRPr="00D65870">
        <w:rPr>
          <w:rFonts w:ascii="Narkisim" w:hAnsi="Narkisim" w:cs="Narkisim"/>
          <w:rtl/>
        </w:rPr>
        <w:t>. [וכ"כ ה</w:t>
      </w:r>
      <w:r w:rsidRPr="00D65870">
        <w:rPr>
          <w:rFonts w:ascii="Narkisim" w:hAnsi="Narkisim" w:cs="Narkisim"/>
          <w:b/>
          <w:bCs/>
          <w:rtl/>
        </w:rPr>
        <w:t>רמב"ן</w:t>
      </w:r>
      <w:r w:rsidRPr="00D65870">
        <w:rPr>
          <w:rFonts w:ascii="Narkisim" w:hAnsi="Narkisim" w:cs="Narkisim"/>
          <w:rtl/>
        </w:rPr>
        <w:t xml:space="preserve"> (לעיל </w:t>
      </w:r>
      <w:r w:rsidRPr="00D65870">
        <w:rPr>
          <w:rFonts w:ascii="Narkisim" w:hAnsi="Narkisim" w:cs="Narkisim"/>
          <w:rtl/>
        </w:rPr>
        <w:lastRenderedPageBreak/>
        <w:t xml:space="preserve">מה:, והריטב"א קידושין יד.) בשם </w:t>
      </w:r>
      <w:r w:rsidRPr="00D65870">
        <w:rPr>
          <w:rFonts w:ascii="Narkisim" w:hAnsi="Narkisim" w:cs="Narkisim"/>
          <w:b/>
          <w:bCs/>
          <w:rtl/>
        </w:rPr>
        <w:t>תוס</w:t>
      </w:r>
      <w:r w:rsidRPr="00D65870">
        <w:rPr>
          <w:rFonts w:ascii="Narkisim" w:hAnsi="Narkisim" w:cs="Narkisim"/>
          <w:rtl/>
        </w:rPr>
        <w:t>' דאמו לאו דוקא, דהכל הולך אחר הזכר</w:t>
      </w:r>
      <w:r w:rsidRPr="00D65870">
        <w:rPr>
          <w:rStyle w:val="ac"/>
          <w:rFonts w:ascii="Narkisim" w:hAnsi="Narkisim" w:cs="Narkisim"/>
          <w:rtl/>
        </w:rPr>
        <w:footnoteReference w:id="6639"/>
      </w:r>
      <w:r w:rsidRPr="00D65870">
        <w:rPr>
          <w:rFonts w:ascii="Narkisim" w:hAnsi="Narkisim" w:cs="Narkisim"/>
          <w:rtl/>
        </w:rPr>
        <w:t xml:space="preserve">]. אבל משמעות </w:t>
      </w:r>
      <w:r w:rsidRPr="00D65870">
        <w:rPr>
          <w:rFonts w:ascii="Narkisim" w:hAnsi="Narkisim" w:cs="Narkisim"/>
          <w:b/>
          <w:bCs/>
          <w:rtl/>
        </w:rPr>
        <w:t>תוס</w:t>
      </w:r>
      <w:r w:rsidRPr="00D65870">
        <w:rPr>
          <w:rFonts w:ascii="Narkisim" w:hAnsi="Narkisim" w:cs="Narkisim"/>
          <w:rtl/>
        </w:rPr>
        <w:t>' (סוטה מא:) דבעינן אביו ואמו, שיהא ממש מקרב ממוצע מאביו ואמו מישראל.</w:t>
      </w:r>
    </w:p>
    <w:p w14:paraId="3512E014" w14:textId="77777777" w:rsidR="006C4368" w:rsidRPr="00D65870" w:rsidRDefault="006C4368" w:rsidP="006C4368">
      <w:pPr>
        <w:bidi/>
        <w:rPr>
          <w:rFonts w:ascii="Narkisim" w:hAnsi="Narkisim" w:cs="Narkisim"/>
        </w:rPr>
      </w:pPr>
      <w:r w:rsidRPr="00D65870">
        <w:rPr>
          <w:rFonts w:ascii="Narkisim" w:hAnsi="Narkisim" w:cs="Narkisim"/>
          <w:u w:val="single"/>
          <w:rtl/>
        </w:rPr>
        <w:t>אמר רבה א"ר כהנא אמר רב אם יבא אליהו חולצין במנעל שומעין לו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דעד שיבא אליהו לכתחילה לא חולצין במנעל.</w:t>
      </w:r>
    </w:p>
    <w:p w14:paraId="302B3C07" w14:textId="77777777" w:rsidR="006C4368" w:rsidRPr="00D65870" w:rsidRDefault="006C4368" w:rsidP="006C4368">
      <w:pPr>
        <w:pStyle w:val="a7"/>
        <w:bidi/>
        <w:rPr>
          <w:rFonts w:ascii="Narkisim" w:hAnsi="Narkisim"/>
        </w:rPr>
      </w:pPr>
      <w:r w:rsidRPr="00D65870">
        <w:rPr>
          <w:rFonts w:ascii="Narkisim" w:hAnsi="Narkisim"/>
          <w:rtl/>
        </w:rPr>
        <w:t>ופ</w:t>
      </w:r>
      <w:r w:rsidRPr="00D65870">
        <w:rPr>
          <w:rFonts w:ascii="Narkisim" w:hAnsi="Narkisim"/>
          <w:b/>
          <w:bCs/>
          <w:rtl/>
        </w:rPr>
        <w:t>רש"י</w:t>
      </w:r>
      <w:r w:rsidRPr="00D65870">
        <w:rPr>
          <w:rFonts w:ascii="Narkisim" w:hAnsi="Narkisim"/>
          <w:rtl/>
        </w:rPr>
        <w:t xml:space="preserve"> (במשנה קא.) דמנעל הוא של עור רך. [ויש גזירה דנעל מרופט, וכדאי' בסמוך]. ועיקר חליצה דסנדל של עור קשה ומבושל</w:t>
      </w:r>
      <w:r w:rsidRPr="00D65870">
        <w:rPr>
          <w:rStyle w:val="ac"/>
          <w:rFonts w:ascii="Narkisim" w:hAnsi="Narkisim"/>
          <w:rtl/>
        </w:rPr>
        <w:footnoteReference w:id="6640"/>
      </w:r>
      <w:r w:rsidRPr="00D65870">
        <w:rPr>
          <w:rFonts w:ascii="Narkisim" w:hAnsi="Narkisim"/>
          <w:rtl/>
        </w:rPr>
        <w:t>. [ע"ע בסמוך].</w:t>
      </w:r>
    </w:p>
    <w:p w14:paraId="05AAAD71" w14:textId="77777777" w:rsidR="006C4368" w:rsidRPr="00D65870" w:rsidRDefault="006C4368" w:rsidP="006C4368">
      <w:pPr>
        <w:pStyle w:val="a8"/>
        <w:bidi/>
        <w:rPr>
          <w:rFonts w:ascii="Narkisim" w:hAnsi="Narkisim"/>
        </w:rPr>
      </w:pPr>
      <w:r w:rsidRPr="00D65870">
        <w:rPr>
          <w:rFonts w:ascii="Narkisim" w:hAnsi="Narkisim"/>
          <w:rtl/>
        </w:rPr>
        <w:t>[ורב יוסף א"ר כהנא פליג והגמ' פי' דאיכא בנייהו מנעל לכתחילה, דלרב יוסף אף קודם שיבא רשאין במנעל. ולא ס"ל גזירה זו. וע"ע בסמוך].</w:t>
      </w:r>
    </w:p>
    <w:p w14:paraId="7FCC73CE" w14:textId="77777777" w:rsidR="006C4368" w:rsidRPr="00D65870" w:rsidRDefault="006C4368" w:rsidP="006C4368">
      <w:pPr>
        <w:bidi/>
        <w:rPr>
          <w:rFonts w:ascii="Narkisim" w:hAnsi="Narkisim" w:cs="Narkisim"/>
        </w:rPr>
      </w:pPr>
      <w:r w:rsidRPr="00D65870">
        <w:rPr>
          <w:rFonts w:ascii="Narkisim" w:hAnsi="Narkisim" w:cs="Narkisim"/>
          <w:u w:val="single"/>
          <w:rtl/>
        </w:rPr>
        <w:t>אין חולצין בסנדל אין שומעין לו, דכבר נהגו העם בסנדל וכו'</w:t>
      </w:r>
      <w:r w:rsidRPr="00D65870">
        <w:rPr>
          <w:rFonts w:ascii="Narkisim" w:hAnsi="Narkisim" w:cs="Narkisim"/>
          <w:rtl/>
        </w:rPr>
        <w:t>. ואליהו אינו נאמן נגד המנהג, ומ"מ מבואר דהיכא דאינו נגד המנהג אליהו נאמן.</w:t>
      </w:r>
    </w:p>
    <w:p w14:paraId="6183A909" w14:textId="77777777" w:rsidR="006C4368" w:rsidRPr="00D65870" w:rsidRDefault="006C4368" w:rsidP="006C4368">
      <w:pPr>
        <w:pStyle w:val="a7"/>
        <w:bidi/>
        <w:rPr>
          <w:rFonts w:ascii="Narkisim" w:hAnsi="Narkisim"/>
        </w:rPr>
      </w:pPr>
      <w:r w:rsidRPr="00D65870">
        <w:rPr>
          <w:rFonts w:ascii="Narkisim" w:hAnsi="Narkisim"/>
          <w:rtl/>
        </w:rPr>
        <w:t>וב</w:t>
      </w:r>
      <w:r w:rsidRPr="00D65870">
        <w:rPr>
          <w:rFonts w:ascii="Narkisim" w:hAnsi="Narkisim"/>
          <w:b/>
          <w:bCs/>
          <w:rtl/>
        </w:rPr>
        <w:t>ירושלמי</w:t>
      </w:r>
      <w:r w:rsidRPr="00D65870">
        <w:rPr>
          <w:rFonts w:ascii="Narkisim" w:hAnsi="Narkisim"/>
          <w:rtl/>
        </w:rPr>
        <w:t xml:space="preserve"> (כאן) אי' והמנהג מבטל ההלכה. והגמ' (מנחות לב.) מביאה מסוגיין דרב אית ליה מנהגא. </w:t>
      </w:r>
      <w:r w:rsidRPr="00D65870">
        <w:rPr>
          <w:rFonts w:ascii="Narkisim" w:hAnsi="Narkisim"/>
          <w:szCs w:val="20"/>
          <w:rtl/>
        </w:rPr>
        <w:t>דנח' בגמ' (מנחות לא: לב.) אי עושים פרשיות תפילין סתומות או פתוחות, והגמ' מביאה דנהגו העם בסתומות, וע"כ רב ס"ל שיעשה סתומות, דהא רב אית ליה מנהגא, וכדבריו בסוגיין</w:t>
      </w:r>
      <w:r w:rsidRPr="00D65870">
        <w:rPr>
          <w:rFonts w:ascii="Narkisim" w:hAnsi="Narkisim"/>
          <w:rtl/>
        </w:rPr>
        <w:t>.</w:t>
      </w:r>
    </w:p>
    <w:p w14:paraId="12F89A36"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רמב"ם</w:t>
      </w:r>
      <w:r w:rsidRPr="00D65870">
        <w:rPr>
          <w:rFonts w:ascii="Narkisim" w:hAnsi="Narkisim" w:cs="Narkisim"/>
          <w:rtl/>
        </w:rPr>
        <w:t xml:space="preserve"> (בהקדמה לפיה"מ) כת' דנביא לא עדיף משאר חכמים בעיון ובדין ובחקירה בדיני התורה</w:t>
      </w:r>
      <w:r w:rsidRPr="00D65870">
        <w:rPr>
          <w:rStyle w:val="ac"/>
          <w:rFonts w:ascii="Narkisim" w:hAnsi="Narkisim" w:cs="Narkisim"/>
          <w:rtl/>
        </w:rPr>
        <w:footnoteReference w:id="6641"/>
      </w:r>
      <w:r w:rsidRPr="00D65870">
        <w:rPr>
          <w:rFonts w:ascii="Narkisim" w:hAnsi="Narkisim" w:cs="Narkisim"/>
          <w:rtl/>
        </w:rPr>
        <w:t>. והביא מסוגיין אם יבוא אליהו וכו' אין שומעין לו</w:t>
      </w:r>
      <w:r w:rsidRPr="00D65870">
        <w:rPr>
          <w:rStyle w:val="ac"/>
          <w:rFonts w:ascii="Narkisim" w:hAnsi="Narkisim" w:cs="Narkisim"/>
          <w:rtl/>
        </w:rPr>
        <w:footnoteReference w:id="6642"/>
      </w:r>
      <w:r w:rsidRPr="00D65870">
        <w:rPr>
          <w:rFonts w:ascii="Narkisim" w:hAnsi="Narkisim" w:cs="Narkisim"/>
          <w:rtl/>
        </w:rPr>
        <w:t>. שאין תוספת וגרעון בתורה מצד הנבואה בשום פנים. [וצ"ל דהיכא דאינו נגד המנהג אליהו נאמן וכמו שאר חכם].</w:t>
      </w:r>
    </w:p>
    <w:p w14:paraId="6640B838" w14:textId="77777777" w:rsidR="006C4368" w:rsidRPr="00D65870" w:rsidRDefault="006C4368" w:rsidP="006C4368">
      <w:pPr>
        <w:pStyle w:val="a7"/>
        <w:bidi/>
        <w:rPr>
          <w:rFonts w:ascii="Narkisim" w:hAnsi="Narkisim"/>
        </w:rPr>
      </w:pPr>
      <w:r w:rsidRPr="00D65870">
        <w:rPr>
          <w:rFonts w:ascii="Narkisim" w:hAnsi="Narkisim"/>
          <w:rtl/>
        </w:rPr>
        <w:t>ודעת ה</w:t>
      </w:r>
      <w:r w:rsidRPr="00D65870">
        <w:rPr>
          <w:rFonts w:ascii="Narkisim" w:hAnsi="Narkisim"/>
          <w:b/>
          <w:bCs/>
          <w:rtl/>
        </w:rPr>
        <w:t>רמב"ם</w:t>
      </w:r>
      <w:r w:rsidRPr="00D65870">
        <w:rPr>
          <w:rFonts w:ascii="Narkisim" w:hAnsi="Narkisim"/>
          <w:rtl/>
        </w:rPr>
        <w:t xml:space="preserve"> (שם, יסוה"ת ט ד) דל"מ נבואה או בת קול להכריע בהלכה כלל, משום דלא בשמים היא</w:t>
      </w:r>
      <w:r w:rsidRPr="00D65870">
        <w:rPr>
          <w:rStyle w:val="ac"/>
          <w:rFonts w:ascii="Narkisim" w:hAnsi="Narkisim"/>
          <w:rtl/>
        </w:rPr>
        <w:footnoteReference w:id="6643"/>
      </w:r>
      <w:r w:rsidRPr="00D65870">
        <w:rPr>
          <w:rFonts w:ascii="Narkisim" w:hAnsi="Narkisim"/>
          <w:rtl/>
        </w:rPr>
        <w:t xml:space="preserve">. אבל דעת </w:t>
      </w:r>
      <w:r w:rsidRPr="00D65870">
        <w:rPr>
          <w:rFonts w:ascii="Narkisim" w:hAnsi="Narkisim"/>
          <w:b/>
          <w:bCs/>
          <w:rtl/>
        </w:rPr>
        <w:t>תוס'</w:t>
      </w:r>
      <w:r w:rsidRPr="00D65870">
        <w:rPr>
          <w:rFonts w:ascii="Narkisim" w:hAnsi="Narkisim"/>
          <w:rtl/>
        </w:rPr>
        <w:t xml:space="preserve"> (לעיל יד. וכ"מ) דבמקום דאינו סותר כללי ההוראה סומכים על בת קול</w:t>
      </w:r>
      <w:r w:rsidRPr="00D65870">
        <w:rPr>
          <w:rStyle w:val="ac"/>
          <w:rFonts w:ascii="Narkisim" w:hAnsi="Narkisim"/>
          <w:rtl/>
        </w:rPr>
        <w:footnoteReference w:id="6644"/>
      </w:r>
      <w:r w:rsidRPr="00D65870">
        <w:rPr>
          <w:rFonts w:ascii="Narkisim" w:hAnsi="Narkisim"/>
          <w:rtl/>
        </w:rPr>
        <w:t>, ודוקא להכריע כדברי היחיד נגד הרוב ל"מ. דלא בשמים היא נגד דיני התורה</w:t>
      </w:r>
      <w:r w:rsidRPr="00D65870">
        <w:rPr>
          <w:rStyle w:val="ac"/>
          <w:rFonts w:ascii="Narkisim" w:hAnsi="Narkisim"/>
          <w:rtl/>
        </w:rPr>
        <w:footnoteReference w:id="6645"/>
      </w:r>
      <w:r w:rsidRPr="00D65870">
        <w:rPr>
          <w:rFonts w:ascii="Narkisim" w:hAnsi="Narkisim"/>
          <w:rtl/>
        </w:rPr>
        <w:t>. ועפ"ז צ"ל דכוונת הגמ' בסוגיין דאינו נאמן כיון דיש מנהג ישראל כן [וכמו כנגד רוב].</w:t>
      </w:r>
    </w:p>
    <w:p w14:paraId="5BE83BCC" w14:textId="77777777" w:rsidR="006C4368" w:rsidRPr="00D65870" w:rsidRDefault="006C4368" w:rsidP="006C4368">
      <w:pPr>
        <w:pStyle w:val="aa"/>
        <w:bidi/>
        <w:rPr>
          <w:rFonts w:ascii="Narkisim" w:hAnsi="Narkisim"/>
        </w:rPr>
      </w:pPr>
      <w:r w:rsidRPr="00D65870">
        <w:rPr>
          <w:rFonts w:ascii="Narkisim" w:hAnsi="Narkisim"/>
          <w:u w:val="single"/>
          <w:rtl/>
        </w:rPr>
        <w:t>שם. דכבר נהגו העם וכו'</w:t>
      </w:r>
      <w:r w:rsidRPr="00D65870">
        <w:rPr>
          <w:rFonts w:ascii="Narkisim" w:hAnsi="Narkisim"/>
          <w:rtl/>
        </w:rPr>
        <w:t>. ה</w:t>
      </w:r>
      <w:r w:rsidRPr="00D65870">
        <w:rPr>
          <w:rFonts w:ascii="Narkisim" w:hAnsi="Narkisim"/>
          <w:b/>
          <w:bCs/>
          <w:rtl/>
        </w:rPr>
        <w:t>אחרונים</w:t>
      </w:r>
      <w:r w:rsidRPr="00D65870">
        <w:rPr>
          <w:rFonts w:ascii="Narkisim" w:hAnsi="Narkisim"/>
          <w:rtl/>
        </w:rPr>
        <w:t xml:space="preserve"> ציינו ל</w:t>
      </w:r>
      <w:r w:rsidRPr="00D65870">
        <w:rPr>
          <w:rFonts w:ascii="Narkisim" w:hAnsi="Narkisim"/>
          <w:b/>
          <w:bCs/>
          <w:rtl/>
        </w:rPr>
        <w:t>מסכת סופרים</w:t>
      </w:r>
      <w:r w:rsidRPr="00D65870">
        <w:rPr>
          <w:rFonts w:ascii="Narkisim" w:hAnsi="Narkisim"/>
          <w:rtl/>
        </w:rPr>
        <w:t xml:space="preserve"> (יד טו) שאין ההלכה נקבעת עד שיהא מנהג. ובמנהג וותיקין אמרו מנהג מבטל הלכה. אבל מנהג שאין לו ראייה מן התורה, אינו אלא כטועה בשיקול הדעת. וה</w:t>
      </w:r>
      <w:r w:rsidRPr="00D65870">
        <w:rPr>
          <w:rFonts w:ascii="Narkisim" w:hAnsi="Narkisim"/>
          <w:b/>
          <w:bCs/>
          <w:rtl/>
        </w:rPr>
        <w:t>או"ז</w:t>
      </w:r>
      <w:r w:rsidRPr="00D65870">
        <w:rPr>
          <w:rFonts w:ascii="Narkisim" w:hAnsi="Narkisim"/>
          <w:rtl/>
        </w:rPr>
        <w:t xml:space="preserve"> (ב"מ רפ, הו' במרדכי שם שסו) פי' דדוקא מנהג קבוע ע"פ חכמי המקום</w:t>
      </w:r>
      <w:r w:rsidRPr="00D65870">
        <w:rPr>
          <w:rStyle w:val="ac"/>
          <w:rFonts w:ascii="Narkisim" w:hAnsi="Narkisim"/>
          <w:rtl/>
        </w:rPr>
        <w:footnoteReference w:id="6646"/>
      </w:r>
      <w:r w:rsidRPr="00D65870">
        <w:rPr>
          <w:rFonts w:ascii="Narkisim" w:hAnsi="Narkisim"/>
          <w:rtl/>
        </w:rPr>
        <w:t xml:space="preserve">, שהוא מנהג ותיקין. אבל </w:t>
      </w:r>
      <w:r w:rsidRPr="00D65870">
        <w:rPr>
          <w:rFonts w:ascii="Narkisim" w:hAnsi="Narkisim"/>
          <w:rtl/>
        </w:rPr>
        <w:lastRenderedPageBreak/>
        <w:t>מנהג שאין לו ראיה מן התורה אינו אלא כטועה בשיקול הדעת. וכמה מנהגים גרועים דלא אזלינן בתרייהו</w:t>
      </w:r>
      <w:r w:rsidRPr="00D65870">
        <w:rPr>
          <w:rStyle w:val="ac"/>
          <w:rFonts w:ascii="Narkisim" w:hAnsi="Narkisim"/>
          <w:rtl/>
        </w:rPr>
        <w:footnoteReference w:id="6647"/>
      </w:r>
      <w:r w:rsidRPr="00D65870">
        <w:rPr>
          <w:rFonts w:ascii="Narkisim" w:hAnsi="Narkisim"/>
          <w:rtl/>
        </w:rPr>
        <w:t>.</w:t>
      </w:r>
    </w:p>
    <w:p w14:paraId="774AD9D2" w14:textId="77777777" w:rsidR="006C4368" w:rsidRPr="00D65870" w:rsidRDefault="006C4368" w:rsidP="006C4368">
      <w:pPr>
        <w:bidi/>
        <w:rPr>
          <w:rFonts w:ascii="Narkisim" w:hAnsi="Narkisim" w:cs="Narkisim"/>
        </w:rPr>
      </w:pPr>
      <w:r w:rsidRPr="00D65870">
        <w:rPr>
          <w:rFonts w:ascii="Narkisim" w:hAnsi="Narkisim" w:cs="Narkisim"/>
          <w:u w:val="single"/>
          <w:rtl/>
        </w:rPr>
        <w:t>תנאי היא דתניא וכו'</w:t>
      </w:r>
      <w:r w:rsidRPr="00D65870">
        <w:rPr>
          <w:rFonts w:ascii="Narkisim" w:hAnsi="Narkisim" w:cs="Narkisim"/>
          <w:rtl/>
        </w:rPr>
        <w:t>. ה</w:t>
      </w:r>
      <w:r w:rsidRPr="00D65870">
        <w:rPr>
          <w:rFonts w:ascii="Narkisim" w:hAnsi="Narkisim" w:cs="Narkisim"/>
          <w:b/>
          <w:bCs/>
          <w:rtl/>
        </w:rPr>
        <w:t>רמב"ן</w:t>
      </w:r>
      <w:r w:rsidRPr="00D65870">
        <w:rPr>
          <w:rFonts w:ascii="Narkisim" w:hAnsi="Narkisim" w:cs="Narkisim"/>
          <w:rtl/>
        </w:rPr>
        <w:t xml:space="preserve"> ביאר דנח' בסיפא ר' מאיר ור' יעקב משמו אי חולצין במנעל לכתחילה. אבל לא החשיבו דדעת ר' יוסי לפסול בדיעבד, דלא חלק להדיא</w:t>
      </w:r>
      <w:r w:rsidRPr="00D65870">
        <w:rPr>
          <w:rStyle w:val="ac"/>
          <w:rFonts w:ascii="Narkisim" w:hAnsi="Narkisim" w:cs="Narkisim"/>
          <w:rtl/>
        </w:rPr>
        <w:footnoteReference w:id="6648"/>
      </w:r>
      <w:r w:rsidRPr="00D65870">
        <w:rPr>
          <w:rFonts w:ascii="Narkisim" w:hAnsi="Narkisim" w:cs="Narkisim"/>
          <w:rtl/>
        </w:rPr>
        <w:t>.</w:t>
      </w:r>
    </w:p>
    <w:p w14:paraId="0D934FE4" w14:textId="77777777" w:rsidR="006C4368" w:rsidRPr="00D65870" w:rsidRDefault="006C4368" w:rsidP="006C4368">
      <w:pPr>
        <w:pStyle w:val="a8"/>
        <w:bidi/>
        <w:rPr>
          <w:rFonts w:ascii="Narkisim" w:hAnsi="Narkisim"/>
        </w:rPr>
      </w:pPr>
      <w:r w:rsidRPr="00D65870">
        <w:rPr>
          <w:rFonts w:ascii="Narkisim" w:hAnsi="Narkisim"/>
          <w:rtl/>
        </w:rPr>
        <w:t>ואף שהביא שהזקן תמה וכי חולצין במנעל, דמאחר שלא ראינו מעולם שר' יהודה בן בתירא חלץ במנעל מפני דוחק שום שעה, ושמענו ממנו שאין חולצין בו, מנין לנו להכשיר בדיעבד. מ"מ לא חלק בדבר, שאין ללמוד מלכתחלה דיעבד</w:t>
      </w:r>
      <w:r w:rsidRPr="00D65870">
        <w:rPr>
          <w:rStyle w:val="ac"/>
          <w:rFonts w:ascii="Narkisim" w:hAnsi="Narkisim"/>
          <w:rtl/>
        </w:rPr>
        <w:footnoteReference w:id="6649"/>
      </w:r>
      <w:r w:rsidRPr="00D65870">
        <w:rPr>
          <w:rFonts w:ascii="Narkisim" w:hAnsi="Narkisim"/>
          <w:rtl/>
        </w:rPr>
        <w:t>. ודלמא ר' מאיר שמע ממנו או מאחרים שבדיעבד חליצתה כשירה.</w:t>
      </w:r>
    </w:p>
    <w:p w14:paraId="676CA861" w14:textId="77777777" w:rsidR="006C4368" w:rsidRPr="00D65870" w:rsidRDefault="006C4368" w:rsidP="006C4368">
      <w:pPr>
        <w:pStyle w:val="a7"/>
        <w:bidi/>
        <w:rPr>
          <w:rFonts w:ascii="Narkisim" w:hAnsi="Narkisim"/>
        </w:rPr>
      </w:pPr>
      <w:r w:rsidRPr="00D65870">
        <w:rPr>
          <w:rFonts w:ascii="Narkisim" w:hAnsi="Narkisim"/>
          <w:rtl/>
        </w:rPr>
        <w:t>ועוד פי' ה</w:t>
      </w:r>
      <w:r w:rsidRPr="00D65870">
        <w:rPr>
          <w:rFonts w:ascii="Narkisim" w:hAnsi="Narkisim"/>
          <w:b/>
          <w:bCs/>
          <w:rtl/>
        </w:rPr>
        <w:t>רמב"ן</w:t>
      </w:r>
      <w:r w:rsidRPr="00D65870">
        <w:rPr>
          <w:rFonts w:ascii="Narkisim" w:hAnsi="Narkisim"/>
          <w:rtl/>
        </w:rPr>
        <w:t xml:space="preserve"> דהוה ג' תנאי, ור' יוסי פסיל אפי' דיעבד. ומיהו אנן אמרינן תנאי אפלוגתא דאמוראי (דלעיל), דהיינו מנעל לכתחלה.</w:t>
      </w:r>
    </w:p>
    <w:p w14:paraId="4E84872D" w14:textId="77777777" w:rsidR="006C4368" w:rsidRPr="00D65870" w:rsidRDefault="006C4368" w:rsidP="006C4368">
      <w:pPr>
        <w:bidi/>
        <w:rPr>
          <w:rFonts w:ascii="Narkisim" w:hAnsi="Narkisim" w:cs="Narkisim"/>
        </w:rPr>
      </w:pPr>
      <w:r w:rsidRPr="00D65870">
        <w:rPr>
          <w:rFonts w:ascii="Narkisim" w:hAnsi="Narkisim" w:cs="Narkisim"/>
          <w:rtl/>
        </w:rPr>
        <w:t>ועוד הביא ה</w:t>
      </w:r>
      <w:r w:rsidRPr="00D65870">
        <w:rPr>
          <w:rFonts w:ascii="Narkisim" w:hAnsi="Narkisim" w:cs="Narkisim"/>
          <w:b/>
          <w:bCs/>
          <w:rtl/>
        </w:rPr>
        <w:t>רמב"ן</w:t>
      </w:r>
      <w:r w:rsidRPr="00D65870">
        <w:rPr>
          <w:rFonts w:ascii="Narkisim" w:hAnsi="Narkisim" w:cs="Narkisim"/>
          <w:rtl/>
        </w:rPr>
        <w:t xml:space="preserve"> דב</w:t>
      </w:r>
      <w:r w:rsidRPr="00D65870">
        <w:rPr>
          <w:rFonts w:ascii="Narkisim" w:hAnsi="Narkisim" w:cs="Narkisim"/>
          <w:b/>
          <w:bCs/>
          <w:rtl/>
        </w:rPr>
        <w:t>ירושלמי</w:t>
      </w:r>
      <w:r w:rsidRPr="00D65870">
        <w:rPr>
          <w:rFonts w:ascii="Narkisim" w:hAnsi="Narkisim" w:cs="Narkisim"/>
          <w:rtl/>
        </w:rPr>
        <w:t xml:space="preserve"> אי' וכי יש סנדל במקומינו. ור' יוסי השיב מה ראה ר' מאיר לומר שאין חולצין במנעל</w:t>
      </w:r>
      <w:r w:rsidRPr="00D65870">
        <w:rPr>
          <w:rStyle w:val="ac"/>
          <w:rFonts w:ascii="Narkisim" w:hAnsi="Narkisim" w:cs="Narkisim"/>
          <w:rtl/>
        </w:rPr>
        <w:footnoteReference w:id="6650"/>
      </w:r>
      <w:r w:rsidRPr="00D65870">
        <w:rPr>
          <w:rFonts w:ascii="Narkisim" w:hAnsi="Narkisim" w:cs="Narkisim"/>
          <w:rtl/>
        </w:rPr>
        <w:t>.</w:t>
      </w:r>
    </w:p>
    <w:p w14:paraId="4D429F71"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(והעיטור גט חליצה, ד: בדה"ס) כת' דהאידנא אין סנדל מצוי בינינו, לכך נהגו לחלוץ במנעל לכתחלה [והביא מהירושלמי]. וה</w:t>
      </w:r>
      <w:r w:rsidRPr="00D65870">
        <w:rPr>
          <w:rFonts w:ascii="Narkisim" w:hAnsi="Narkisim"/>
          <w:b/>
          <w:bCs/>
          <w:rtl/>
        </w:rPr>
        <w:t>רמב"ן</w:t>
      </w:r>
      <w:r w:rsidRPr="00D65870">
        <w:rPr>
          <w:rFonts w:ascii="Narkisim" w:hAnsi="Narkisim"/>
          <w:rtl/>
        </w:rPr>
        <w:t xml:space="preserve"> חלק דמבואר להיפך, שאמר שחלצו במנעל כיון שאין שם סנדל, ואעפ"כ השיבו ממנה לדברי ר' מאיר שאמר אין חולצין בו לכתחילה. משמע שאף במקום שאין סנדל לא תחלוץ לכתחילה.</w:t>
      </w:r>
    </w:p>
    <w:p w14:paraId="0FEB8094" w14:textId="77777777" w:rsidR="006C4368" w:rsidRPr="00D65870" w:rsidRDefault="006C4368" w:rsidP="006C4368">
      <w:pPr>
        <w:pStyle w:val="a8"/>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(מנחות לב.) כת' דעכשיו נוהגין לחלוץ במנעל לפי שאין אנו בקיאין בסנדל, א"נ אפשר דקי"ל כלישנא דרב יוסף דחולצין לכתחילה</w:t>
      </w:r>
      <w:r w:rsidRPr="00D65870">
        <w:rPr>
          <w:rStyle w:val="ac"/>
          <w:rFonts w:ascii="Narkisim" w:hAnsi="Narkisim"/>
          <w:rtl/>
        </w:rPr>
        <w:footnoteReference w:id="6651"/>
      </w:r>
      <w:r w:rsidRPr="00D65870">
        <w:rPr>
          <w:rFonts w:ascii="Narkisim" w:hAnsi="Narkisim"/>
          <w:rtl/>
        </w:rPr>
        <w:t>. וה</w:t>
      </w:r>
      <w:r w:rsidRPr="00D65870">
        <w:rPr>
          <w:rFonts w:ascii="Narkisim" w:hAnsi="Narkisim"/>
          <w:b/>
          <w:bCs/>
          <w:rtl/>
        </w:rPr>
        <w:t>שיטמ"ק</w:t>
      </w:r>
      <w:r w:rsidRPr="00D65870">
        <w:rPr>
          <w:rFonts w:ascii="Narkisim" w:hAnsi="Narkisim"/>
          <w:rtl/>
        </w:rPr>
        <w:t xml:space="preserve"> (מנחות שם) כת' דטוב לחזר אחר סנדל מעור עב</w:t>
      </w:r>
      <w:r w:rsidRPr="00D65870">
        <w:rPr>
          <w:rStyle w:val="ac"/>
          <w:rFonts w:ascii="Narkisim" w:hAnsi="Narkisim"/>
          <w:rtl/>
        </w:rPr>
        <w:footnoteReference w:id="6652"/>
      </w:r>
      <w:r w:rsidRPr="00D65870">
        <w:rPr>
          <w:rFonts w:ascii="Narkisim" w:hAnsi="Narkisim"/>
          <w:rtl/>
        </w:rPr>
        <w:t xml:space="preserve"> [וה</w:t>
      </w:r>
      <w:r w:rsidRPr="00D65870">
        <w:rPr>
          <w:rFonts w:ascii="Narkisim" w:hAnsi="Narkisim"/>
          <w:b/>
          <w:bCs/>
          <w:rtl/>
        </w:rPr>
        <w:t>שו"ע</w:t>
      </w:r>
      <w:r w:rsidRPr="00D65870">
        <w:rPr>
          <w:rFonts w:ascii="Narkisim" w:hAnsi="Narkisim"/>
          <w:rtl/>
        </w:rPr>
        <w:t xml:space="preserve"> (קסט טז) הביא די"א דלכתחילה יהא העור קשה קצת, שיהא דומה לסנדל</w:t>
      </w:r>
      <w:r w:rsidRPr="00D65870">
        <w:rPr>
          <w:rStyle w:val="ac"/>
          <w:rFonts w:ascii="Narkisim" w:hAnsi="Narkisim"/>
          <w:rtl/>
        </w:rPr>
        <w:footnoteReference w:id="6653"/>
      </w:r>
      <w:r w:rsidRPr="00D65870">
        <w:rPr>
          <w:rFonts w:ascii="Narkisim" w:hAnsi="Narkisim"/>
          <w:rtl/>
        </w:rPr>
        <w:t>].</w:t>
      </w:r>
    </w:p>
    <w:p w14:paraId="58B06F07" w14:textId="77777777" w:rsidR="006C4368" w:rsidRPr="00D65870" w:rsidRDefault="006C4368" w:rsidP="006C4368">
      <w:pPr>
        <w:pStyle w:val="a8"/>
        <w:bidi/>
        <w:rPr>
          <w:rFonts w:ascii="Narkisim" w:hAnsi="Narkisim"/>
        </w:rPr>
      </w:pPr>
      <w:r w:rsidRPr="00D65870">
        <w:rPr>
          <w:rFonts w:ascii="Narkisim" w:hAnsi="Narkisim"/>
          <w:rtl/>
        </w:rPr>
        <w:t>ועוד כת' ה</w:t>
      </w:r>
      <w:r w:rsidRPr="00D65870">
        <w:rPr>
          <w:rFonts w:ascii="Narkisim" w:hAnsi="Narkisim"/>
          <w:b/>
          <w:bCs/>
          <w:rtl/>
        </w:rPr>
        <w:t>ק"נ</w:t>
      </w:r>
      <w:r w:rsidRPr="00D65870">
        <w:rPr>
          <w:rFonts w:ascii="Narkisim" w:hAnsi="Narkisim"/>
          <w:rtl/>
        </w:rPr>
        <w:t xml:space="preserve"> דהאידנא ל"ש גזירה דמרופט, כיון דחולצים בסנדל של בי"ד, דאינו עומד לשאר שימושים. ודוקא בזמנם שהיו חולצים בשל יבם.</w:t>
      </w:r>
    </w:p>
    <w:p w14:paraId="03A04167" w14:textId="77777777" w:rsidR="006C4368" w:rsidRPr="00D65870" w:rsidRDefault="006C4368" w:rsidP="006C4368">
      <w:pPr>
        <w:bidi/>
        <w:rPr>
          <w:rFonts w:ascii="Narkisim" w:hAnsi="Narkisim" w:cs="Narkisim"/>
        </w:rPr>
      </w:pPr>
      <w:r w:rsidRPr="00D65870">
        <w:rPr>
          <w:rFonts w:ascii="Narkisim" w:hAnsi="Narkisim" w:cs="Narkisim"/>
          <w:u w:val="single"/>
          <w:rtl/>
        </w:rPr>
        <w:t>ר' יעקב אמר משמו חולצין במנעל לכתחילה</w:t>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הביא דב</w:t>
      </w:r>
      <w:r w:rsidRPr="00D65870">
        <w:rPr>
          <w:rFonts w:ascii="Narkisim" w:hAnsi="Narkisim" w:cs="Narkisim"/>
          <w:b/>
          <w:bCs/>
          <w:rtl/>
        </w:rPr>
        <w:t>תוספתא</w:t>
      </w:r>
      <w:r w:rsidRPr="00D65870">
        <w:rPr>
          <w:rFonts w:ascii="Narkisim" w:hAnsi="Narkisim" w:cs="Narkisim"/>
          <w:rtl/>
        </w:rPr>
        <w:t xml:space="preserve"> (יב) אי' להיפך, ר' יעקב אומר משמו מודה היה ר' מאיר שאין חולצין במנעל</w:t>
      </w:r>
      <w:r w:rsidRPr="00D65870">
        <w:rPr>
          <w:rStyle w:val="ac"/>
          <w:rFonts w:ascii="Narkisim" w:hAnsi="Narkisim" w:cs="Narkisim"/>
          <w:rtl/>
        </w:rPr>
        <w:footnoteReference w:id="6654"/>
      </w:r>
      <w:r w:rsidRPr="00D65870">
        <w:rPr>
          <w:rFonts w:ascii="Narkisim" w:hAnsi="Narkisim" w:cs="Narkisim"/>
          <w:rtl/>
        </w:rPr>
        <w:t>. [וכת' דזה הלשון יפה, אלא שאין הנוסחאות בגמרא כן].</w:t>
      </w:r>
    </w:p>
    <w:p w14:paraId="35F9C870" w14:textId="77777777" w:rsidR="006C4368" w:rsidRPr="00D65870" w:rsidRDefault="006C4368" w:rsidP="006C4368">
      <w:pPr>
        <w:bidi/>
        <w:rPr>
          <w:rFonts w:ascii="Narkisim" w:hAnsi="Narkisim" w:cs="Narkisim"/>
        </w:rPr>
      </w:pPr>
      <w:r w:rsidRPr="00D65870">
        <w:rPr>
          <w:rFonts w:ascii="Narkisim" w:hAnsi="Narkisim" w:cs="Narkisim"/>
          <w:u w:val="single"/>
          <w:rtl/>
        </w:rPr>
        <w:t>מ"ט אילימא משום דהוה פנתא מעל, וארקתא מעל דמעל וכו' א"ה אפי' דיעבד נמי לא</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דהוה כמו ב' מנעלים זה ע"ג זה. ומסקנת הגמ' דאף ב' מנעלים זה ע"ג זה מהני כשחולצת שניהם, וכדאי' בסוף העמ'. [וע"ע בסמוך].</w:t>
      </w:r>
    </w:p>
    <w:p w14:paraId="4A8B371F" w14:textId="77777777" w:rsidR="006C4368" w:rsidRPr="00D65870" w:rsidRDefault="006C4368" w:rsidP="006C4368">
      <w:pPr>
        <w:pStyle w:val="a7"/>
        <w:bidi/>
        <w:rPr>
          <w:rFonts w:ascii="Narkisim" w:hAnsi="Narkisim"/>
        </w:rPr>
      </w:pPr>
      <w:r w:rsidRPr="00D65870">
        <w:rPr>
          <w:rFonts w:ascii="Narkisim" w:hAnsi="Narkisim"/>
          <w:rtl/>
        </w:rPr>
        <w:t>אבל ה</w:t>
      </w:r>
      <w:r w:rsidRPr="00D65870">
        <w:rPr>
          <w:rFonts w:ascii="Narkisim" w:hAnsi="Narkisim"/>
          <w:b/>
          <w:bCs/>
          <w:rtl/>
        </w:rPr>
        <w:t>רמ"א</w:t>
      </w:r>
      <w:r w:rsidRPr="00D65870">
        <w:rPr>
          <w:rFonts w:ascii="Narkisim" w:hAnsi="Narkisim"/>
          <w:rtl/>
        </w:rPr>
        <w:t xml:space="preserve"> (קסט כ, בשם הג' מרדכי וכן בתוס' מהר"ם ור"פ כאן) כת' דעושין אזני המנעל קצרים, שהלולאות והקרסים לא יהיו על המנעל, אלא על הרגל [שהקשר יהיה נסמך ונוגע לבשר]. שלא יהיה מעל דמעל</w:t>
      </w:r>
      <w:r w:rsidRPr="00D65870">
        <w:rPr>
          <w:rStyle w:val="ac"/>
          <w:rFonts w:ascii="Narkisim" w:hAnsi="Narkisim"/>
          <w:rtl/>
        </w:rPr>
        <w:footnoteReference w:id="6655"/>
      </w:r>
      <w:r w:rsidRPr="00D65870">
        <w:rPr>
          <w:rFonts w:ascii="Narkisim" w:hAnsi="Narkisim"/>
          <w:rtl/>
        </w:rPr>
        <w:t>. וה</w:t>
      </w:r>
      <w:r w:rsidRPr="00D65870">
        <w:rPr>
          <w:rFonts w:ascii="Narkisim" w:hAnsi="Narkisim"/>
          <w:b/>
          <w:bCs/>
          <w:rtl/>
        </w:rPr>
        <w:t>גר"א</w:t>
      </w:r>
      <w:r w:rsidRPr="00D65870">
        <w:rPr>
          <w:rFonts w:ascii="Narkisim" w:hAnsi="Narkisim"/>
          <w:rtl/>
        </w:rPr>
        <w:t xml:space="preserve"> (שם עז) ביאר דנקטו דלמסקנא יש חסרון מעל דמעל</w:t>
      </w:r>
      <w:r w:rsidRPr="00D65870">
        <w:rPr>
          <w:rStyle w:val="ac"/>
          <w:rFonts w:ascii="Narkisim" w:hAnsi="Narkisim"/>
          <w:rtl/>
        </w:rPr>
        <w:footnoteReference w:id="6656"/>
      </w:r>
      <w:r w:rsidRPr="00D65870">
        <w:rPr>
          <w:rFonts w:ascii="Narkisim" w:hAnsi="Narkisim"/>
          <w:rtl/>
        </w:rPr>
        <w:t>. וקו' הגמ' אי הכי אפי' בדיעבד, דאם עשו בצורה זו פסול בדיעבד. וע"כ אינו באופן זה</w:t>
      </w:r>
      <w:r w:rsidRPr="00D65870">
        <w:rPr>
          <w:rStyle w:val="ac"/>
          <w:rFonts w:ascii="Narkisim" w:hAnsi="Narkisim"/>
          <w:rtl/>
        </w:rPr>
        <w:footnoteReference w:id="6657"/>
      </w:r>
      <w:r w:rsidRPr="00D65870">
        <w:rPr>
          <w:rFonts w:ascii="Narkisim" w:hAnsi="Narkisim"/>
          <w:rtl/>
        </w:rPr>
        <w:t>.</w:t>
      </w:r>
    </w:p>
    <w:p w14:paraId="59CE7035" w14:textId="77777777" w:rsidR="006C4368" w:rsidRPr="00D65870" w:rsidRDefault="006C4368" w:rsidP="006C4368">
      <w:pPr>
        <w:bidi/>
        <w:rPr>
          <w:rFonts w:ascii="Narkisim" w:hAnsi="Narkisim" w:cs="Narkisim"/>
        </w:rPr>
      </w:pPr>
      <w:r w:rsidRPr="00D65870">
        <w:rPr>
          <w:rFonts w:ascii="Narkisim" w:hAnsi="Narkisim" w:cs="Narkisim"/>
          <w:u w:val="single"/>
          <w:rtl/>
        </w:rPr>
        <w:lastRenderedPageBreak/>
        <w:t>גזירה משום מנעל מרופט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(כאן ובמשנה קא.) מבוקע וקרוע, וכיון דרכיך יכול להושיבו על רגלו אף כשהוא קרוע. ועוד הביא ה</w:t>
      </w:r>
      <w:r w:rsidRPr="00D65870">
        <w:rPr>
          <w:rFonts w:ascii="Narkisim" w:hAnsi="Narkisim" w:cs="Narkisim"/>
          <w:b/>
          <w:bCs/>
          <w:rtl/>
        </w:rPr>
        <w:t>ריטב"א</w:t>
      </w:r>
      <w:r w:rsidRPr="00D65870">
        <w:rPr>
          <w:rFonts w:ascii="Narkisim" w:hAnsi="Narkisim" w:cs="Narkisim"/>
          <w:rtl/>
        </w:rPr>
        <w:t xml:space="preserve"> (בשם מורו בשם רבותיו) דמנעל הוא משתי חתיכות או שלש כעין שלנו ויש לו פנתא ועקב, והסנדל כולו מחתיכה א'</w:t>
      </w:r>
      <w:r w:rsidRPr="00D65870">
        <w:rPr>
          <w:rStyle w:val="ac"/>
          <w:rFonts w:ascii="Narkisim" w:hAnsi="Narkisim" w:cs="Narkisim"/>
          <w:rtl/>
        </w:rPr>
        <w:footnoteReference w:id="6658"/>
      </w:r>
      <w:r w:rsidRPr="00D65870">
        <w:rPr>
          <w:rFonts w:ascii="Narkisim" w:hAnsi="Narkisim" w:cs="Narkisim"/>
          <w:rtl/>
        </w:rPr>
        <w:t>. ועוד הביא ה</w:t>
      </w:r>
      <w:r w:rsidRPr="00D65870">
        <w:rPr>
          <w:rFonts w:ascii="Narkisim" w:hAnsi="Narkisim" w:cs="Narkisim"/>
          <w:b/>
          <w:bCs/>
          <w:rtl/>
        </w:rPr>
        <w:t>ב"י</w:t>
      </w:r>
      <w:r w:rsidRPr="00D65870">
        <w:rPr>
          <w:rFonts w:ascii="Narkisim" w:hAnsi="Narkisim" w:cs="Narkisim"/>
          <w:rtl/>
        </w:rPr>
        <w:t xml:space="preserve"> (והשו"ע קסט טז) דמדברי הסמ"ג והסמ"ק מבואר דסנדל הוא תפור מבחוץ, ומנעל הוא תפור מבפנים.</w:t>
      </w:r>
    </w:p>
    <w:p w14:paraId="5FB39A30" w14:textId="77777777" w:rsidR="006C4368" w:rsidRPr="00D65870" w:rsidRDefault="006C4368" w:rsidP="006C4368">
      <w:pPr>
        <w:bidi/>
        <w:rPr>
          <w:rFonts w:ascii="Narkisim" w:hAnsi="Narkisim" w:cs="Narkisim"/>
        </w:rPr>
      </w:pPr>
      <w:r w:rsidRPr="00D65870">
        <w:rPr>
          <w:rFonts w:ascii="Narkisim" w:hAnsi="Narkisim" w:cs="Narkisim"/>
          <w:u w:val="single"/>
          <w:rtl/>
        </w:rPr>
        <w:t>קטרינן ביה מיתנא, כ"ה דתהוי חליצתה מעלייתא</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בשעת חליצה קטרינן מיתנא</w:t>
      </w:r>
      <w:r w:rsidRPr="00D65870">
        <w:rPr>
          <w:rStyle w:val="ac"/>
          <w:rFonts w:ascii="Narkisim" w:hAnsi="Narkisim" w:cs="Narkisim"/>
          <w:rtl/>
        </w:rPr>
        <w:footnoteReference w:id="6659"/>
      </w:r>
      <w:r w:rsidRPr="00D65870">
        <w:rPr>
          <w:rFonts w:ascii="Narkisim" w:hAnsi="Narkisim" w:cs="Narkisim"/>
          <w:rtl/>
        </w:rPr>
        <w:t>. שהיבמה מתירה את המיתנא ואח"כ תחלוץ, והוה חליצה מעלייתא</w:t>
      </w:r>
      <w:r w:rsidRPr="00D65870">
        <w:rPr>
          <w:rStyle w:val="ac"/>
          <w:rFonts w:ascii="Narkisim" w:hAnsi="Narkisim" w:cs="Narkisim"/>
          <w:rtl/>
        </w:rPr>
        <w:footnoteReference w:id="6660"/>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כת' דהך מיתנא הוה של עור או של שער, דהא אמרי' (לקמן) דתרסיות בעינן של שער, משום דהוא תחש]. וה</w:t>
      </w:r>
      <w:r w:rsidRPr="00D65870">
        <w:rPr>
          <w:rFonts w:ascii="Narkisim" w:hAnsi="Narkisim" w:cs="Narkisim"/>
          <w:b/>
          <w:bCs/>
          <w:rtl/>
        </w:rPr>
        <w:t>ראשונים</w:t>
      </w:r>
      <w:r w:rsidRPr="00D65870">
        <w:rPr>
          <w:rFonts w:ascii="Narkisim" w:hAnsi="Narkisim" w:cs="Narkisim"/>
          <w:rtl/>
        </w:rPr>
        <w:t xml:space="preserve"> האריכו בכמה מנהגים וחומרות בכל זה.</w:t>
      </w:r>
    </w:p>
    <w:p w14:paraId="082F03B9" w14:textId="77777777" w:rsidR="006C4368" w:rsidRPr="00D65870" w:rsidRDefault="006C4368" w:rsidP="006C4368">
      <w:pPr>
        <w:bidi/>
        <w:rPr>
          <w:rFonts w:ascii="Narkisim" w:hAnsi="Narkisim" w:cs="Narkisim"/>
        </w:rPr>
      </w:pPr>
      <w:r w:rsidRPr="00D65870">
        <w:rPr>
          <w:rFonts w:ascii="Narkisim" w:hAnsi="Narkisim" w:cs="Narkisim"/>
          <w:u w:val="single"/>
          <w:rtl/>
        </w:rPr>
        <w:t>תוד"ה ואע"ג</w:t>
      </w:r>
      <w:r w:rsidRPr="00D65870">
        <w:rPr>
          <w:rFonts w:ascii="Narkisim" w:hAnsi="Narkisim" w:cs="Narkisim"/>
          <w:rtl/>
        </w:rPr>
        <w:t>. בירושלמי וכו' עונבו וכו' ומיהו נהגו לקשור היטב בקשר גמור וכו'. [והרא"ש ביאר דקי"ל (שבת קיג:) דעניבה לא הוה קשר לענין שבת</w:t>
      </w:r>
      <w:r w:rsidRPr="00D65870">
        <w:rPr>
          <w:rStyle w:val="ac"/>
          <w:rFonts w:ascii="Narkisim" w:hAnsi="Narkisim" w:cs="Narkisim"/>
          <w:rtl/>
        </w:rPr>
        <w:footnoteReference w:id="6661"/>
      </w:r>
      <w:r w:rsidRPr="00D65870">
        <w:rPr>
          <w:rFonts w:ascii="Narkisim" w:hAnsi="Narkisim" w:cs="Narkisim"/>
          <w:rtl/>
        </w:rPr>
        <w:t>]. דדעת הירושלמי שלא יעשו קשר גמור, דא"כ היבמה צריכה ב' ידיה לפתוח, אלא יעשו עניבה.</w:t>
      </w:r>
    </w:p>
    <w:p w14:paraId="0EAE9359" w14:textId="77777777" w:rsidR="006C4368" w:rsidRPr="00D65870" w:rsidRDefault="006C4368" w:rsidP="006C4368">
      <w:pPr>
        <w:bidi/>
        <w:rPr>
          <w:rFonts w:ascii="Narkisim" w:hAnsi="Narkisim" w:cs="Narkisim"/>
        </w:rPr>
      </w:pPr>
      <w:r w:rsidRPr="00D65870">
        <w:rPr>
          <w:rFonts w:ascii="Narkisim" w:hAnsi="Narkisim" w:cs="Narkisim"/>
          <w:u w:val="single"/>
          <w:rtl/>
        </w:rPr>
        <w:t>בא"ד אבל ביד כשר לחלוץ אפי' בשמאל, ואמרי' (לקמן קה.) גידמת חולצת בשיניה, משמע דלא מיפסלא אם לא חלצה בידה הימנית</w:t>
      </w:r>
      <w:r w:rsidRPr="00D65870">
        <w:rPr>
          <w:rFonts w:ascii="Narkisim" w:hAnsi="Narkisim" w:cs="Narkisim"/>
          <w:rtl/>
        </w:rPr>
        <w:t>. וכ"כ ה</w:t>
      </w:r>
      <w:r w:rsidRPr="00D65870">
        <w:rPr>
          <w:rFonts w:ascii="Narkisim" w:hAnsi="Narkisim" w:cs="Narkisim"/>
          <w:b/>
          <w:bCs/>
          <w:rtl/>
        </w:rPr>
        <w:t>רשב"א</w:t>
      </w:r>
      <w:r w:rsidRPr="00D65870">
        <w:rPr>
          <w:rFonts w:ascii="Narkisim" w:hAnsi="Narkisim" w:cs="Narkisim"/>
          <w:rtl/>
        </w:rPr>
        <w:t xml:space="preserve"> דכיון דמהני בשניה, כ"ש ביד שמאל. ומנ"ל דבעי ימין ואפי' לכתחילה</w:t>
      </w:r>
      <w:r w:rsidRPr="00D65870">
        <w:rPr>
          <w:rStyle w:val="ac"/>
          <w:rFonts w:ascii="Narkisim" w:hAnsi="Narkisim" w:cs="Narkisim"/>
          <w:rtl/>
        </w:rPr>
        <w:footnoteReference w:id="6662"/>
      </w:r>
      <w:r w:rsidRPr="00D65870">
        <w:rPr>
          <w:rFonts w:ascii="Narkisim" w:hAnsi="Narkisim" w:cs="Narkisim"/>
          <w:rtl/>
        </w:rPr>
        <w:t>.</w:t>
      </w:r>
    </w:p>
    <w:p w14:paraId="5A576737" w14:textId="77777777" w:rsidR="006C4368" w:rsidRPr="00D65870" w:rsidRDefault="006C4368" w:rsidP="006C4368">
      <w:pPr>
        <w:pStyle w:val="a7"/>
        <w:bidi/>
        <w:rPr>
          <w:rFonts w:ascii="Narkisim" w:hAnsi="Narkisim"/>
        </w:rPr>
      </w:pPr>
      <w:r w:rsidRPr="00D65870">
        <w:rPr>
          <w:rFonts w:ascii="Narkisim" w:hAnsi="Narkisim"/>
          <w:rtl/>
        </w:rPr>
        <w:t xml:space="preserve">אבל </w:t>
      </w:r>
      <w:r w:rsidRPr="00D65870">
        <w:rPr>
          <w:rFonts w:ascii="Narkisim" w:hAnsi="Narkisim"/>
          <w:b/>
          <w:bCs/>
          <w:rtl/>
        </w:rPr>
        <w:t>תוס'</w:t>
      </w:r>
      <w:r w:rsidRPr="00D65870">
        <w:rPr>
          <w:rFonts w:ascii="Narkisim" w:hAnsi="Narkisim"/>
          <w:rtl/>
        </w:rPr>
        <w:t xml:space="preserve"> </w:t>
      </w:r>
      <w:r w:rsidRPr="00D65870">
        <w:rPr>
          <w:rFonts w:ascii="Narkisim" w:hAnsi="Narkisim"/>
          <w:szCs w:val="20"/>
          <w:rtl/>
        </w:rPr>
        <w:t>(חולין כ.)</w:t>
      </w:r>
      <w:r w:rsidRPr="00D65870">
        <w:rPr>
          <w:rFonts w:ascii="Narkisim" w:hAnsi="Narkisim"/>
          <w:rtl/>
        </w:rPr>
        <w:t xml:space="preserve"> תי' דשמאל גרע משן</w:t>
      </w:r>
      <w:r w:rsidRPr="00D65870">
        <w:rPr>
          <w:rStyle w:val="ac"/>
          <w:rFonts w:ascii="Narkisim" w:hAnsi="Narkisim"/>
          <w:rtl/>
        </w:rPr>
        <w:footnoteReference w:id="6663"/>
      </w:r>
      <w:r w:rsidRPr="00D65870">
        <w:rPr>
          <w:rFonts w:ascii="Narkisim" w:hAnsi="Narkisim"/>
          <w:rtl/>
        </w:rPr>
        <w:t>. ו</w:t>
      </w:r>
      <w:r w:rsidRPr="00D65870">
        <w:rPr>
          <w:rFonts w:ascii="Narkisim" w:hAnsi="Narkisim"/>
          <w:b/>
          <w:bCs/>
          <w:rtl/>
        </w:rPr>
        <w:t>תוס</w:t>
      </w:r>
      <w:r w:rsidRPr="00D65870">
        <w:rPr>
          <w:rFonts w:ascii="Narkisim" w:hAnsi="Narkisim"/>
          <w:rtl/>
        </w:rPr>
        <w:t>' (שם) דחו דשמא כוונת הירושלמי לכתחילה, וליכא עיכובא בימין.</w:t>
      </w:r>
    </w:p>
    <w:p w14:paraId="661F976C" w14:textId="77777777" w:rsidR="006C4368" w:rsidRPr="00D65870" w:rsidRDefault="006C4368" w:rsidP="006C4368">
      <w:pPr>
        <w:pStyle w:val="2"/>
        <w:bidi/>
        <w:rPr>
          <w:rFonts w:ascii="Narkisim" w:hAnsi="Narkisim"/>
        </w:rPr>
      </w:pPr>
      <w:r w:rsidRPr="00D65870">
        <w:rPr>
          <w:rFonts w:ascii="Narkisim" w:hAnsi="Narkisim"/>
          <w:rtl/>
        </w:rPr>
        <w:t>שמיטת העקב</w:t>
      </w:r>
    </w:p>
    <w:p w14:paraId="65010065" w14:textId="77777777" w:rsidR="006C4368" w:rsidRPr="00D65870" w:rsidRDefault="006C4368" w:rsidP="006C4368">
      <w:pPr>
        <w:bidi/>
        <w:rPr>
          <w:rFonts w:ascii="Narkisim" w:hAnsi="Narkisim" w:cs="Narkisim"/>
        </w:rPr>
      </w:pPr>
      <w:r w:rsidRPr="00D65870">
        <w:rPr>
          <w:rFonts w:ascii="Narkisim" w:hAnsi="Narkisim" w:cs="Narkisim"/>
          <w:u w:val="single"/>
          <w:rtl/>
        </w:rPr>
        <w:t>טעמא דשמט הוא, הא שמטה היא חליצתה כשרה, רוב הרגל אין רוב העקב לא</w:t>
      </w:r>
      <w:r w:rsidRPr="00D65870">
        <w:rPr>
          <w:rFonts w:ascii="Narkisim" w:hAnsi="Narkisim" w:cs="Narkisim"/>
          <w:rtl/>
        </w:rPr>
        <w:t>. ה</w:t>
      </w:r>
      <w:r w:rsidRPr="00D65870">
        <w:rPr>
          <w:rFonts w:ascii="Narkisim" w:hAnsi="Narkisim" w:cs="Narkisim"/>
          <w:b/>
          <w:bCs/>
          <w:rtl/>
        </w:rPr>
        <w:t>ריטב"א</w:t>
      </w:r>
      <w:r w:rsidRPr="00D65870">
        <w:rPr>
          <w:rFonts w:ascii="Narkisim" w:hAnsi="Narkisim" w:cs="Narkisim"/>
          <w:rtl/>
        </w:rPr>
        <w:t xml:space="preserve"> פי' דמסתמא לא פסלו במה ששומט הוא</w:t>
      </w:r>
      <w:r w:rsidRPr="00D65870">
        <w:rPr>
          <w:rStyle w:val="ac"/>
          <w:rFonts w:ascii="Narkisim" w:hAnsi="Narkisim" w:cs="Narkisim"/>
          <w:rtl/>
        </w:rPr>
        <w:footnoteReference w:id="6664"/>
      </w:r>
      <w:r w:rsidRPr="00D65870">
        <w:rPr>
          <w:rFonts w:ascii="Narkisim" w:hAnsi="Narkisim" w:cs="Narkisim"/>
          <w:rtl/>
        </w:rPr>
        <w:t>, אלא כשעושה דבר חשוב. היכא דגבי דידה חשוב מעשה.</w:t>
      </w:r>
    </w:p>
    <w:p w14:paraId="72790DB0" w14:textId="77777777" w:rsidR="006C4368" w:rsidRPr="00D65870" w:rsidRDefault="006C4368" w:rsidP="006C4368">
      <w:pPr>
        <w:bidi/>
        <w:rPr>
          <w:rFonts w:ascii="Narkisim" w:hAnsi="Narkisim" w:cs="Narkisim"/>
        </w:rPr>
      </w:pPr>
      <w:r w:rsidRPr="00D65870">
        <w:rPr>
          <w:rFonts w:ascii="Narkisim" w:hAnsi="Narkisim" w:cs="Narkisim"/>
          <w:u w:val="single"/>
          <w:rtl/>
        </w:rPr>
        <w:t>בעא מיניה ר' נחמיה מרבה ב' מנעלים זה ע"ג זה וכו' ל"צ דקרעתיה וכו</w:t>
      </w:r>
      <w:r w:rsidRPr="00D65870">
        <w:rPr>
          <w:rFonts w:ascii="Narkisim" w:hAnsi="Narkisim" w:cs="Narkisim"/>
          <w:rtl/>
        </w:rPr>
        <w:t xml:space="preserve">'. </w:t>
      </w:r>
      <w:r w:rsidRPr="00D65870">
        <w:rPr>
          <w:rFonts w:ascii="Narkisim" w:hAnsi="Narkisim" w:cs="Narkisim"/>
          <w:b/>
          <w:bCs/>
          <w:rtl/>
        </w:rPr>
        <w:t>רש"י</w:t>
      </w:r>
      <w:r w:rsidRPr="00D65870">
        <w:rPr>
          <w:rFonts w:ascii="Narkisim" w:hAnsi="Narkisim" w:cs="Narkisim"/>
          <w:rtl/>
        </w:rPr>
        <w:t xml:space="preserve"> (לעיל ד"ה א"נ) דייק דהיכא דחלצה את שניהם כשר, ולא נחשב מעל דמעל. וכ"פ ה</w:t>
      </w:r>
      <w:r w:rsidRPr="00D65870">
        <w:rPr>
          <w:rFonts w:ascii="Narkisim" w:hAnsi="Narkisim" w:cs="Narkisim"/>
          <w:b/>
          <w:bCs/>
          <w:rtl/>
        </w:rPr>
        <w:t>רא"ש</w:t>
      </w:r>
      <w:r w:rsidRPr="00D65870">
        <w:rPr>
          <w:rFonts w:ascii="Narkisim" w:hAnsi="Narkisim" w:cs="Narkisim"/>
          <w:rtl/>
        </w:rPr>
        <w:t xml:space="preserve"> (ס"ס ד, והרמ"א קסט לז).</w:t>
      </w:r>
    </w:p>
    <w:p w14:paraId="290F0177"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כת' בין היכא דחלצה בבת א' או בזה אחר זה כשירה, כיון ששניהם של עור</w:t>
      </w:r>
      <w:r w:rsidRPr="00D65870">
        <w:rPr>
          <w:rStyle w:val="ac"/>
          <w:rFonts w:ascii="Narkisim" w:hAnsi="Narkisim"/>
          <w:rtl/>
        </w:rPr>
        <w:footnoteReference w:id="6665"/>
      </w:r>
      <w:r w:rsidRPr="00D65870">
        <w:rPr>
          <w:rFonts w:ascii="Narkisim" w:hAnsi="Narkisim"/>
          <w:rtl/>
        </w:rPr>
        <w:t xml:space="preserve">. והא איכא חליצה </w:t>
      </w:r>
      <w:r w:rsidRPr="00D65870">
        <w:rPr>
          <w:rFonts w:ascii="Narkisim" w:hAnsi="Narkisim"/>
          <w:rtl/>
        </w:rPr>
        <w:lastRenderedPageBreak/>
        <w:t>וגלויי כרעא. והוסיף ונהי דלא הויא חליצת העליון חליצה, כשחזר וחלץ תחתון הוה חליצה</w:t>
      </w:r>
      <w:r w:rsidRPr="00D65870">
        <w:rPr>
          <w:rStyle w:val="ac"/>
          <w:rFonts w:ascii="Narkisim" w:hAnsi="Narkisim"/>
          <w:rtl/>
        </w:rPr>
        <w:footnoteReference w:id="6666"/>
      </w:r>
      <w:r w:rsidRPr="00D65870">
        <w:rPr>
          <w:rFonts w:ascii="Narkisim" w:hAnsi="Narkisim"/>
          <w:rtl/>
        </w:rPr>
        <w:t>. והוא שיהא מהודק יפה.</w:t>
      </w:r>
    </w:p>
    <w:p w14:paraId="3FB7F4B1"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כת' וכ"ש שאם היו ב' סנדלים כפולים תפורים ביחד מהני, וכדמבואר ב</w:t>
      </w:r>
      <w:r w:rsidRPr="00D65870">
        <w:rPr>
          <w:rFonts w:ascii="Narkisim" w:hAnsi="Narkisim"/>
          <w:b/>
          <w:bCs/>
          <w:rtl/>
        </w:rPr>
        <w:t>רש"י</w:t>
      </w:r>
      <w:r w:rsidRPr="00D65870">
        <w:rPr>
          <w:rFonts w:ascii="Narkisim" w:hAnsi="Narkisim"/>
          <w:rtl/>
        </w:rPr>
        <w:t xml:space="preserve"> (הנ"ל). אך הביא דב</w:t>
      </w:r>
      <w:r w:rsidRPr="00D65870">
        <w:rPr>
          <w:rFonts w:ascii="Narkisim" w:hAnsi="Narkisim"/>
          <w:b/>
          <w:bCs/>
          <w:rtl/>
        </w:rPr>
        <w:t>ירושלמי</w:t>
      </w:r>
      <w:r w:rsidRPr="00D65870">
        <w:rPr>
          <w:rFonts w:ascii="Narkisim" w:hAnsi="Narkisim"/>
          <w:rtl/>
        </w:rPr>
        <w:t xml:space="preserve"> (הו' בע"ב) מבואר דכה"ג ל"מ. [ודחה דברי הירושלמי ע"פ הגמ' דמחופה עור].</w:t>
      </w:r>
    </w:p>
    <w:p w14:paraId="0F330890" w14:textId="77777777" w:rsidR="006C4368" w:rsidRPr="00D65870" w:rsidRDefault="006C4368" w:rsidP="006C4368">
      <w:pPr>
        <w:bidi/>
        <w:rPr>
          <w:rFonts w:ascii="Narkisim" w:hAnsi="Narkisim" w:cs="Narkisim"/>
        </w:rPr>
      </w:pPr>
      <w:r w:rsidRPr="00D65870">
        <w:rPr>
          <w:rFonts w:ascii="Narkisim" w:hAnsi="Narkisim" w:cs="Narkisim"/>
          <w:u w:val="single"/>
          <w:rtl/>
        </w:rPr>
        <w:t>אילימא דשלפתיה לעילאי וקאי תתאי וכו' ולא מעל דמעל</w:t>
      </w:r>
      <w:r w:rsidRPr="00D65870">
        <w:rPr>
          <w:rFonts w:ascii="Narkisim" w:hAnsi="Narkisim" w:cs="Narkisim"/>
          <w:rtl/>
        </w:rPr>
        <w:t>. ה</w:t>
      </w:r>
      <w:r w:rsidRPr="00D65870">
        <w:rPr>
          <w:rFonts w:ascii="Narkisim" w:hAnsi="Narkisim" w:cs="Narkisim"/>
          <w:b/>
          <w:bCs/>
          <w:rtl/>
        </w:rPr>
        <w:t>ראשונים</w:t>
      </w:r>
      <w:r w:rsidRPr="00D65870">
        <w:rPr>
          <w:rFonts w:ascii="Narkisim" w:hAnsi="Narkisim" w:cs="Narkisim"/>
          <w:rtl/>
        </w:rPr>
        <w:t xml:space="preserve"> (תוס' חד מקמאי, ריטב"א) כת' ש"מ דל"מ לחלוץ המנעל מעל בתי שוקים, דמעל דמעל הוא.</w:t>
      </w:r>
    </w:p>
    <w:p w14:paraId="33DC431F"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(שם לז) דן דלכאורה הוה עכ"פ חליצה פסולה, ופסלה מיבום. ודן דא"כ הוה חליצה פסולה, וצריכה חיזור על כל האחים. אבל הריטב"א (הנ"ל) מבואר דמהני שחלצה העליונה ואח"כ התחתונה. ולא הזכיר דצריך חיזור לאחים.</w:t>
      </w:r>
    </w:p>
    <w:p w14:paraId="2407C8B1"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שו"ע</w:t>
      </w:r>
      <w:r w:rsidRPr="00D65870">
        <w:rPr>
          <w:rFonts w:ascii="Narkisim" w:hAnsi="Narkisim"/>
          <w:rtl/>
        </w:rPr>
        <w:t xml:space="preserve"> (שם כו) כת' דיש מדקדקים שלא יהא טיט דבוק במנעל מבפנים, ומצריכים לרחוץ רגל היבם יפה שלא יהא מעל דמעל. וה</w:t>
      </w:r>
      <w:r w:rsidRPr="00D65870">
        <w:rPr>
          <w:rFonts w:ascii="Narkisim" w:hAnsi="Narkisim"/>
          <w:b/>
          <w:bCs/>
          <w:rtl/>
        </w:rPr>
        <w:t>פוסקים</w:t>
      </w:r>
      <w:r w:rsidRPr="00D65870">
        <w:rPr>
          <w:rFonts w:ascii="Narkisim" w:hAnsi="Narkisim"/>
          <w:rtl/>
        </w:rPr>
        <w:t xml:space="preserve"> כת' דהוה חומרא בעלמא.</w:t>
      </w:r>
    </w:p>
    <w:p w14:paraId="59AAEC44" w14:textId="77777777" w:rsidR="006C4368" w:rsidRPr="00D65870" w:rsidRDefault="006C4368" w:rsidP="006C4368">
      <w:pPr>
        <w:pStyle w:val="aa"/>
        <w:bidi/>
        <w:rPr>
          <w:rFonts w:ascii="Narkisim" w:hAnsi="Narkisim"/>
        </w:rPr>
      </w:pPr>
      <w:r w:rsidRPr="00D65870">
        <w:rPr>
          <w:rFonts w:ascii="Narkisim" w:hAnsi="Narkisim"/>
          <w:u w:val="single"/>
          <w:rtl/>
        </w:rPr>
        <w:t>ל"צ דקרעתיה לעילאי ושלפתיה לתתאי וכו'</w:t>
      </w:r>
      <w:r w:rsidRPr="00D65870">
        <w:rPr>
          <w:rFonts w:ascii="Narkisim" w:hAnsi="Narkisim"/>
          <w:rtl/>
        </w:rPr>
        <w:t>. [ונשאר העליונה במקומו]. וה</w:t>
      </w:r>
      <w:r w:rsidRPr="00D65870">
        <w:rPr>
          <w:rFonts w:ascii="Narkisim" w:hAnsi="Narkisim"/>
          <w:b/>
          <w:bCs/>
          <w:rtl/>
        </w:rPr>
        <w:t>רמב"ם</w:t>
      </w:r>
      <w:r w:rsidRPr="00D65870">
        <w:rPr>
          <w:rFonts w:ascii="Narkisim" w:hAnsi="Narkisim"/>
          <w:rtl/>
        </w:rPr>
        <w:t xml:space="preserve"> (ד כא) כת' דחלצה העליון אע"פ שקרעה התחתון הוה חליצה פסולה. [וה"ה ביאר דמספק לחומרא, ופסול ופוסל]. והנו"כ כת' דכן גרס הרמב"ם, דאיירי שחלצה העליונה ובבת א' קרעה התחתונה ועי"ז יש גילוי כרעא. [והבי"ש שם לז כת' דמ"מ יש ללמוד דין זה אף לגירסא דידן].</w:t>
      </w:r>
    </w:p>
    <w:p w14:paraId="0D36CEDD" w14:textId="77777777" w:rsidR="006C4368" w:rsidRPr="00D65870" w:rsidRDefault="006C4368" w:rsidP="006C4368">
      <w:pPr>
        <w:pStyle w:val="3"/>
        <w:bidi/>
        <w:rPr>
          <w:rFonts w:ascii="Narkisim" w:hAnsi="Narkisim"/>
        </w:rPr>
      </w:pPr>
      <w:r w:rsidRPr="00D65870">
        <w:rPr>
          <w:rFonts w:ascii="Narkisim" w:hAnsi="Narkisim"/>
          <w:rtl/>
        </w:rPr>
        <w:t>דף קב:</w:t>
      </w:r>
    </w:p>
    <w:p w14:paraId="0AAAA5D1" w14:textId="77777777" w:rsidR="006C4368" w:rsidRPr="00D65870" w:rsidRDefault="006C4368" w:rsidP="006C4368">
      <w:pPr>
        <w:pStyle w:val="aa"/>
        <w:bidi/>
        <w:rPr>
          <w:rFonts w:ascii="Narkisim" w:hAnsi="Narkisim"/>
        </w:rPr>
      </w:pPr>
      <w:r w:rsidRPr="00D65870">
        <w:rPr>
          <w:rFonts w:ascii="Narkisim" w:hAnsi="Narkisim"/>
          <w:u w:val="single"/>
          <w:rtl/>
        </w:rPr>
        <w:t>ומי איכא כה"ג וכו'</w:t>
      </w:r>
      <w:r w:rsidRPr="00D65870">
        <w:rPr>
          <w:rFonts w:ascii="Narkisim" w:hAnsi="Narkisim"/>
          <w:rtl/>
        </w:rPr>
        <w:t xml:space="preserve">. </w:t>
      </w:r>
      <w:r w:rsidRPr="00D65870">
        <w:rPr>
          <w:rFonts w:ascii="Narkisim" w:hAnsi="Narkisim"/>
          <w:b/>
          <w:bCs/>
          <w:rtl/>
        </w:rPr>
        <w:t>תוס'</w:t>
      </w:r>
      <w:r w:rsidRPr="00D65870">
        <w:rPr>
          <w:rFonts w:ascii="Narkisim" w:hAnsi="Narkisim"/>
          <w:rtl/>
        </w:rPr>
        <w:t xml:space="preserve"> פי' דקו' הגמ' דכיון דאין דרך בני אדם לנעול בו לא הוי חליצה. וה</w:t>
      </w:r>
      <w:r w:rsidRPr="00D65870">
        <w:rPr>
          <w:rFonts w:ascii="Narkisim" w:hAnsi="Narkisim"/>
          <w:b/>
          <w:bCs/>
          <w:rtl/>
        </w:rPr>
        <w:t>תוס' רא"ש</w:t>
      </w:r>
      <w:r w:rsidRPr="00D65870">
        <w:rPr>
          <w:rFonts w:ascii="Narkisim" w:hAnsi="Narkisim"/>
          <w:rtl/>
        </w:rPr>
        <w:t xml:space="preserve"> הוסיף דהוה כמו מנעל שאינו ראוי להילוך בו.</w:t>
      </w:r>
    </w:p>
    <w:p w14:paraId="4FA7F8E0" w14:textId="77777777" w:rsidR="006C4368" w:rsidRPr="00D65870" w:rsidRDefault="006C4368" w:rsidP="006C4368">
      <w:pPr>
        <w:pStyle w:val="aa"/>
        <w:bidi/>
        <w:rPr>
          <w:rFonts w:ascii="Narkisim" w:hAnsi="Narkisim"/>
        </w:rPr>
      </w:pPr>
      <w:r w:rsidRPr="00D65870">
        <w:rPr>
          <w:rFonts w:ascii="Narkisim" w:hAnsi="Narkisim"/>
          <w:u w:val="single"/>
          <w:rtl/>
        </w:rPr>
        <w:t>ואין חוששין שמא חלצה סנדל לא' מהם וכו'</w:t>
      </w:r>
      <w:r w:rsidRPr="00D65870">
        <w:rPr>
          <w:rFonts w:ascii="Narkisim" w:hAnsi="Narkisim"/>
          <w:rtl/>
        </w:rPr>
        <w:t>. צ"ב מהיכי תיתי יש לנו לחשוש להכי, היכא דלא ראינו לפנינו.</w:t>
      </w:r>
    </w:p>
    <w:p w14:paraId="7A037AD2" w14:textId="77777777" w:rsidR="006C4368" w:rsidRPr="00D65870" w:rsidRDefault="006C4368" w:rsidP="006C4368">
      <w:pPr>
        <w:bidi/>
        <w:rPr>
          <w:rFonts w:ascii="Narkisim" w:hAnsi="Narkisim" w:cs="Narkisim"/>
        </w:rPr>
      </w:pPr>
      <w:r w:rsidRPr="00D65870">
        <w:rPr>
          <w:rFonts w:ascii="Narkisim" w:hAnsi="Narkisim" w:cs="Narkisim"/>
          <w:u w:val="single"/>
          <w:rtl/>
        </w:rPr>
        <w:t>והא תניא בין שנתכוון וכו' חליצתה פסולה עד שיתכוונו שניהם וכו'</w:t>
      </w:r>
      <w:r w:rsidRPr="00D65870">
        <w:rPr>
          <w:rFonts w:ascii="Narkisim" w:hAnsi="Narkisim" w:cs="Narkisim"/>
          <w:rtl/>
        </w:rPr>
        <w:t>. ובתי' הב' בגמ' דאף דפסולה לשוק, מ"מ נפסלה לאחים.</w:t>
      </w:r>
    </w:p>
    <w:p w14:paraId="728BB522"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רמב"ן</w:t>
      </w:r>
      <w:r w:rsidRPr="00D65870">
        <w:rPr>
          <w:rFonts w:ascii="Narkisim" w:hAnsi="Narkisim" w:cs="Narkisim"/>
          <w:rtl/>
        </w:rPr>
        <w:t xml:space="preserve"> תמה [על המקשן</w:t>
      </w:r>
      <w:r w:rsidRPr="00D65870">
        <w:rPr>
          <w:rStyle w:val="ac"/>
          <w:rFonts w:ascii="Narkisim" w:hAnsi="Narkisim" w:cs="Narkisim"/>
          <w:rtl/>
        </w:rPr>
        <w:footnoteReference w:id="6667"/>
      </w:r>
      <w:r w:rsidRPr="00D65870">
        <w:rPr>
          <w:rFonts w:ascii="Narkisim" w:hAnsi="Narkisim" w:cs="Narkisim"/>
          <w:rtl/>
        </w:rPr>
        <w:t>] מאי קו', הא אי' (גיטין כד: וכ"מ לקמן קד:) דכל מקום ששנינו חליצה פסולה פוסלת על האחים. וכן אי' (לקמן קד:) גבי קטן דהחליצה פסולה, ומבואר בגמ' דקאי כר' מאיר דפוסלת לאחים. והביא דה</w:t>
      </w:r>
      <w:r w:rsidRPr="00D65870">
        <w:rPr>
          <w:rFonts w:ascii="Narkisim" w:hAnsi="Narkisim" w:cs="Narkisim"/>
          <w:b/>
          <w:bCs/>
          <w:rtl/>
        </w:rPr>
        <w:t>ר"י מגאש</w:t>
      </w:r>
      <w:r w:rsidRPr="00D65870">
        <w:rPr>
          <w:rFonts w:ascii="Narkisim" w:hAnsi="Narkisim" w:cs="Narkisim"/>
          <w:rtl/>
        </w:rPr>
        <w:t xml:space="preserve"> (בתשובה) הק' עוד דאי' (לקמן קו.) דהיכא דאמר לו חלוץ לה ובכך אתה כונסה, נפסלת עליו. אף דלא היה כוונת [היתר] חליצה.</w:t>
      </w:r>
    </w:p>
    <w:p w14:paraId="74B0DA73" w14:textId="77777777" w:rsidR="006C4368" w:rsidRPr="00D65870" w:rsidRDefault="006C4368" w:rsidP="006C4368">
      <w:pPr>
        <w:pStyle w:val="a8"/>
        <w:bidi/>
        <w:rPr>
          <w:rFonts w:ascii="Narkisim" w:hAnsi="Narkisim"/>
        </w:rPr>
      </w:pPr>
      <w:r w:rsidRPr="00D65870">
        <w:rPr>
          <w:rFonts w:ascii="Narkisim" w:hAnsi="Narkisim"/>
          <w:rtl/>
        </w:rPr>
        <w:t>והביא דה</w:t>
      </w:r>
      <w:r w:rsidRPr="00D65870">
        <w:rPr>
          <w:rFonts w:ascii="Narkisim" w:hAnsi="Narkisim"/>
          <w:b/>
          <w:bCs/>
          <w:rtl/>
        </w:rPr>
        <w:t>ר"י מגאש</w:t>
      </w:r>
      <w:r w:rsidRPr="00D65870">
        <w:rPr>
          <w:rFonts w:ascii="Narkisim" w:hAnsi="Narkisim"/>
          <w:rtl/>
        </w:rPr>
        <w:t xml:space="preserve"> תי' דבגמ' (לקמן קו.) באמת לא נפסלה עליו, אלא דהטעהו שיחזור ויחלוץ לה חליצה מעליא</w:t>
      </w:r>
      <w:r w:rsidRPr="00D65870">
        <w:rPr>
          <w:rStyle w:val="ac"/>
          <w:rFonts w:ascii="Narkisim" w:hAnsi="Narkisim"/>
          <w:rtl/>
        </w:rPr>
        <w:footnoteReference w:id="6668"/>
      </w:r>
      <w:r w:rsidRPr="00D65870">
        <w:rPr>
          <w:rFonts w:ascii="Narkisim" w:hAnsi="Narkisim"/>
          <w:rtl/>
        </w:rPr>
        <w:t>. א"נ התם נפסלה משום קריאה ורקיקה. וה</w:t>
      </w:r>
      <w:r w:rsidRPr="00D65870">
        <w:rPr>
          <w:rFonts w:ascii="Narkisim" w:hAnsi="Narkisim"/>
          <w:b/>
          <w:bCs/>
          <w:rtl/>
        </w:rPr>
        <w:t>רמב"ן</w:t>
      </w:r>
      <w:r w:rsidRPr="00D65870">
        <w:rPr>
          <w:rFonts w:ascii="Narkisim" w:hAnsi="Narkisim"/>
          <w:rtl/>
        </w:rPr>
        <w:t xml:space="preserve"> דחה דמשמע (שם) דהוה משום שהטעהו. והיאך אפשר דהרקיקה פוסלת, ואילו חליצה גופה לא תפסול מאחין.</w:t>
      </w:r>
    </w:p>
    <w:p w14:paraId="3FB96CC8" w14:textId="77777777" w:rsidR="006C4368" w:rsidRPr="00D65870" w:rsidRDefault="006C4368" w:rsidP="006C4368">
      <w:pPr>
        <w:pStyle w:val="a7"/>
        <w:bidi/>
        <w:rPr>
          <w:rFonts w:ascii="Narkisim" w:hAnsi="Narkisim"/>
        </w:rPr>
      </w:pPr>
      <w:r w:rsidRPr="00D65870">
        <w:rPr>
          <w:rFonts w:ascii="Narkisim" w:hAnsi="Narkisim"/>
          <w:rtl/>
        </w:rPr>
        <w:t>ועוד תי' ה</w:t>
      </w:r>
      <w:r w:rsidRPr="00D65870">
        <w:rPr>
          <w:rFonts w:ascii="Narkisim" w:hAnsi="Narkisim"/>
          <w:b/>
          <w:bCs/>
          <w:rtl/>
        </w:rPr>
        <w:t>ר"י מגאש</w:t>
      </w:r>
      <w:r w:rsidRPr="00D65870">
        <w:rPr>
          <w:rFonts w:ascii="Narkisim" w:hAnsi="Narkisim"/>
          <w:rtl/>
        </w:rPr>
        <w:t xml:space="preserve"> דהיכא דא' מהם נתכוון פסולה מדרבנן, ובגמ' (לקמן קו.) היבמה נתכוונה. אבל היכא דשניהם לא נתכוונו אינו פוסל. וה"ק אע"ג דחזינא אין חוששין שמא א' מהם כיוון [וכ"מ ב</w:t>
      </w:r>
      <w:r w:rsidRPr="00D65870">
        <w:rPr>
          <w:rFonts w:ascii="Narkisim" w:hAnsi="Narkisim"/>
          <w:b/>
          <w:bCs/>
          <w:rtl/>
        </w:rPr>
        <w:t>רמב"ם</w:t>
      </w:r>
      <w:r w:rsidRPr="00D65870">
        <w:rPr>
          <w:rFonts w:ascii="Narkisim" w:hAnsi="Narkisim"/>
          <w:rtl/>
        </w:rPr>
        <w:t xml:space="preserve"> (ד טז) דתלי בכוונת א' מהם]. וה</w:t>
      </w:r>
      <w:r w:rsidRPr="00D65870">
        <w:rPr>
          <w:rFonts w:ascii="Narkisim" w:hAnsi="Narkisim"/>
          <w:b/>
          <w:bCs/>
          <w:rtl/>
        </w:rPr>
        <w:t>רמב"ן</w:t>
      </w:r>
      <w:r w:rsidRPr="00D65870">
        <w:rPr>
          <w:rFonts w:ascii="Narkisim" w:hAnsi="Narkisim"/>
          <w:rtl/>
        </w:rPr>
        <w:t xml:space="preserve"> חלק דאף לא נתכוונו שניהם דינו שווה לנתכוון א' מהם</w:t>
      </w:r>
      <w:r w:rsidRPr="00D65870">
        <w:rPr>
          <w:rStyle w:val="ac"/>
          <w:rFonts w:ascii="Narkisim" w:hAnsi="Narkisim"/>
          <w:rtl/>
        </w:rPr>
        <w:footnoteReference w:id="6669"/>
      </w:r>
      <w:r w:rsidRPr="00D65870">
        <w:rPr>
          <w:rFonts w:ascii="Narkisim" w:hAnsi="Narkisim"/>
          <w:rtl/>
        </w:rPr>
        <w:t>.</w:t>
      </w:r>
    </w:p>
    <w:p w14:paraId="478F0A00"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כת' דהיכא דחלצו בבי"ד בלא כוונה פסולה, כיון דחליצה בעי כוונה. מש"ה כדחליץ בבי"ד פסולה מפני מראית עין [ואפי' בחליצה לחודה בלא רקיקה וקריאה]. אבל הכא כיון דלא מיחזו כחולצין אינה חליצה אפי' לפסול. דכיון דלא הוה בבי"ד ליכא למיחש שמא יתירו חלוצה לאחין.</w:t>
      </w:r>
    </w:p>
    <w:p w14:paraId="557F7791" w14:textId="77777777" w:rsidR="006C4368" w:rsidRPr="00D65870" w:rsidRDefault="006C4368" w:rsidP="006C4368">
      <w:pPr>
        <w:pStyle w:val="a7"/>
        <w:bidi/>
        <w:rPr>
          <w:rFonts w:ascii="Narkisim" w:hAnsi="Narkisim"/>
        </w:rPr>
      </w:pPr>
      <w:r w:rsidRPr="00D65870">
        <w:rPr>
          <w:rFonts w:ascii="Narkisim" w:hAnsi="Narkisim"/>
          <w:rtl/>
        </w:rPr>
        <w:t>והביא עד"ז דרקיקה בלבד פוסלת בבי"ד (כדלקמן קד:), ואילו רקיקה שלא בבי"ד אין חוששין לה לכלום</w:t>
      </w:r>
      <w:r w:rsidRPr="00D65870">
        <w:rPr>
          <w:rStyle w:val="ac"/>
          <w:rFonts w:ascii="Narkisim" w:hAnsi="Narkisim"/>
          <w:rtl/>
        </w:rPr>
        <w:footnoteReference w:id="6670"/>
      </w:r>
      <w:r w:rsidRPr="00D65870">
        <w:rPr>
          <w:rFonts w:ascii="Narkisim" w:hAnsi="Narkisim"/>
          <w:rtl/>
        </w:rPr>
        <w:t>. שהרי אי אפשר שלא רקקה בפני א' מהם.</w:t>
      </w:r>
    </w:p>
    <w:p w14:paraId="161AE027" w14:textId="77777777" w:rsidR="006C4368" w:rsidRPr="00D65870" w:rsidRDefault="006C4368" w:rsidP="006C4368">
      <w:pPr>
        <w:bidi/>
        <w:rPr>
          <w:rFonts w:ascii="Narkisim" w:hAnsi="Narkisim" w:cs="Narkisim"/>
        </w:rPr>
      </w:pPr>
      <w:r w:rsidRPr="00D65870">
        <w:rPr>
          <w:rFonts w:ascii="Narkisim" w:hAnsi="Narkisim" w:cs="Narkisim"/>
          <w:u w:val="single"/>
          <w:rtl/>
        </w:rPr>
        <w:lastRenderedPageBreak/>
        <w:t>וא"ד וכו' אבל לאחין מפסלא</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דחיישינן שמא נתכוונו, ומיפסלא עלייהו. משמע דפוסל משום חשש. וה</w:t>
      </w:r>
      <w:r w:rsidRPr="00D65870">
        <w:rPr>
          <w:rFonts w:ascii="Narkisim" w:hAnsi="Narkisim" w:cs="Narkisim"/>
          <w:b/>
          <w:bCs/>
          <w:rtl/>
        </w:rPr>
        <w:t>רמב"ן</w:t>
      </w:r>
      <w:r w:rsidRPr="00D65870">
        <w:rPr>
          <w:rFonts w:ascii="Narkisim" w:hAnsi="Narkisim" w:cs="Narkisim"/>
          <w:rtl/>
        </w:rPr>
        <w:t xml:space="preserve"> (הנ"ל ועוד ראשונים) כת' דפוסל משום מראית העין.</w:t>
      </w:r>
    </w:p>
    <w:p w14:paraId="2015EFEB" w14:textId="77777777" w:rsidR="006C4368" w:rsidRPr="00D65870" w:rsidRDefault="006C4368" w:rsidP="006C4368">
      <w:pPr>
        <w:pStyle w:val="a8"/>
        <w:bidi/>
        <w:rPr>
          <w:rFonts w:ascii="Narkisim" w:hAnsi="Narkisim"/>
        </w:rPr>
      </w:pPr>
      <w:r w:rsidRPr="00D65870">
        <w:rPr>
          <w:rFonts w:ascii="Narkisim" w:hAnsi="Narkisim"/>
          <w:rtl/>
        </w:rPr>
        <w:t>ו</w:t>
      </w:r>
      <w:r w:rsidRPr="00D65870">
        <w:rPr>
          <w:rFonts w:ascii="Narkisim" w:hAnsi="Narkisim"/>
          <w:b/>
          <w:bCs/>
          <w:rtl/>
        </w:rPr>
        <w:t>רע"א</w:t>
      </w:r>
      <w:r w:rsidRPr="00D65870">
        <w:rPr>
          <w:rFonts w:ascii="Narkisim" w:hAnsi="Narkisim"/>
          <w:rtl/>
        </w:rPr>
        <w:t xml:space="preserve"> הביא דדעת רוב ה</w:t>
      </w:r>
      <w:r w:rsidRPr="00D65870">
        <w:rPr>
          <w:rFonts w:ascii="Narkisim" w:hAnsi="Narkisim"/>
          <w:b/>
          <w:bCs/>
          <w:rtl/>
        </w:rPr>
        <w:t>ראשונים</w:t>
      </w:r>
      <w:r w:rsidRPr="00D65870">
        <w:rPr>
          <w:rFonts w:ascii="Narkisim" w:hAnsi="Narkisim"/>
          <w:rtl/>
        </w:rPr>
        <w:t xml:space="preserve"> דהיכא דשניהם לא נתכוונו לא פסל כלל. ואף חלצה בבי"ד. [אבל לאידך תי' ברמב"ן חלצה בבי"ד גזרו].</w:t>
      </w:r>
    </w:p>
    <w:p w14:paraId="04A1C33F" w14:textId="77777777" w:rsidR="006C4368" w:rsidRPr="00D65870" w:rsidRDefault="006C4368" w:rsidP="006C4368">
      <w:pPr>
        <w:pStyle w:val="2"/>
        <w:bidi/>
        <w:rPr>
          <w:rFonts w:ascii="Narkisim" w:hAnsi="Narkisim"/>
        </w:rPr>
      </w:pPr>
      <w:r w:rsidRPr="00D65870">
        <w:rPr>
          <w:rFonts w:ascii="Narkisim" w:hAnsi="Narkisim"/>
          <w:rtl/>
        </w:rPr>
        <w:t>סנדל תפור פשתן</w:t>
      </w:r>
    </w:p>
    <w:p w14:paraId="4CCBF631" w14:textId="77777777" w:rsidR="006C4368" w:rsidRPr="00D65870" w:rsidRDefault="006C4368" w:rsidP="006C4368">
      <w:pPr>
        <w:bidi/>
        <w:rPr>
          <w:rFonts w:ascii="Narkisim" w:hAnsi="Narkisim" w:cs="Narkisim"/>
        </w:rPr>
      </w:pPr>
      <w:r w:rsidRPr="00D65870">
        <w:rPr>
          <w:rFonts w:ascii="Narkisim" w:hAnsi="Narkisim" w:cs="Narkisim"/>
          <w:u w:val="single"/>
          <w:rtl/>
        </w:rPr>
        <w:t>סנדל התפור פשתן וכו'</w:t>
      </w:r>
      <w:r w:rsidRPr="00D65870">
        <w:rPr>
          <w:rFonts w:ascii="Narkisim" w:hAnsi="Narkisim" w:cs="Narkisim"/>
          <w:rtl/>
        </w:rPr>
        <w:t xml:space="preserve">. </w:t>
      </w:r>
      <w:r w:rsidRPr="00D65870">
        <w:rPr>
          <w:rFonts w:ascii="Narkisim" w:hAnsi="Narkisim" w:cs="Narkisim"/>
          <w:b/>
          <w:bCs/>
          <w:rtl/>
        </w:rPr>
        <w:t>רש"י</w:t>
      </w:r>
      <w:r w:rsidRPr="00D65870">
        <w:rPr>
          <w:rFonts w:ascii="Narkisim" w:hAnsi="Narkisim" w:cs="Narkisim"/>
          <w:rtl/>
        </w:rPr>
        <w:t xml:space="preserve"> (בפי' הב') ורוב ה</w:t>
      </w:r>
      <w:r w:rsidRPr="00D65870">
        <w:rPr>
          <w:rFonts w:ascii="Narkisim" w:hAnsi="Narkisim" w:cs="Narkisim"/>
          <w:b/>
          <w:bCs/>
          <w:rtl/>
        </w:rPr>
        <w:t>ראשונים</w:t>
      </w:r>
      <w:r w:rsidRPr="00D65870">
        <w:rPr>
          <w:rFonts w:ascii="Narkisim" w:hAnsi="Narkisim" w:cs="Narkisim"/>
          <w:rtl/>
        </w:rPr>
        <w:t xml:space="preserve"> פי' דהיינו חוט התפירה. ופ</w:t>
      </w:r>
      <w:r w:rsidRPr="00D65870">
        <w:rPr>
          <w:rFonts w:ascii="Narkisim" w:hAnsi="Narkisim" w:cs="Narkisim"/>
          <w:b/>
          <w:bCs/>
          <w:rtl/>
        </w:rPr>
        <w:t>רש"י</w:t>
      </w:r>
      <w:r w:rsidRPr="00D65870">
        <w:rPr>
          <w:rFonts w:ascii="Narkisim" w:hAnsi="Narkisim" w:cs="Narkisim"/>
          <w:rtl/>
        </w:rPr>
        <w:t xml:space="preserve"> דבעינן כולו עור, דילפי' מתחש דבעי מעור. ועד"ז הביאו ה</w:t>
      </w:r>
      <w:r w:rsidRPr="00D65870">
        <w:rPr>
          <w:rFonts w:ascii="Narkisim" w:hAnsi="Narkisim" w:cs="Narkisim"/>
          <w:b/>
          <w:bCs/>
          <w:rtl/>
        </w:rPr>
        <w:t>ראשונים</w:t>
      </w:r>
      <w:r w:rsidRPr="00D65870">
        <w:rPr>
          <w:rFonts w:ascii="Narkisim" w:hAnsi="Narkisim" w:cs="Narkisim"/>
          <w:rtl/>
        </w:rPr>
        <w:t xml:space="preserve"> דצריך שהמיתנא יהא עור.</w:t>
      </w:r>
    </w:p>
    <w:p w14:paraId="47B09961" w14:textId="77777777" w:rsidR="006C4368" w:rsidRPr="00D65870" w:rsidRDefault="006C4368" w:rsidP="006C4368">
      <w:pPr>
        <w:bidi/>
        <w:rPr>
          <w:rFonts w:ascii="Narkisim" w:hAnsi="Narkisim" w:cs="Narkisim"/>
        </w:rPr>
      </w:pPr>
      <w:r w:rsidRPr="00D65870">
        <w:rPr>
          <w:rFonts w:ascii="Narkisim" w:hAnsi="Narkisim" w:cs="Narkisim"/>
          <w:rtl/>
        </w:rPr>
        <w:t xml:space="preserve">אבל </w:t>
      </w:r>
      <w:r w:rsidRPr="00D65870">
        <w:rPr>
          <w:rFonts w:ascii="Narkisim" w:hAnsi="Narkisim" w:cs="Narkisim"/>
          <w:b/>
          <w:bCs/>
          <w:rtl/>
        </w:rPr>
        <w:t>רש"י</w:t>
      </w:r>
      <w:r w:rsidRPr="00D65870">
        <w:rPr>
          <w:rFonts w:ascii="Narkisim" w:hAnsi="Narkisim" w:cs="Narkisim"/>
          <w:rtl/>
        </w:rPr>
        <w:t xml:space="preserve"> (בפי' הא') פי' שתפור בתוכו בגד פשתן. וה</w:t>
      </w:r>
      <w:r w:rsidRPr="00D65870">
        <w:rPr>
          <w:rFonts w:ascii="Narkisim" w:hAnsi="Narkisim" w:cs="Narkisim"/>
          <w:b/>
          <w:bCs/>
          <w:rtl/>
        </w:rPr>
        <w:t>רשב"א</w:t>
      </w:r>
      <w:r w:rsidRPr="00D65870">
        <w:rPr>
          <w:rFonts w:ascii="Narkisim" w:hAnsi="Narkisim" w:cs="Narkisim"/>
          <w:rtl/>
        </w:rPr>
        <w:t xml:space="preserve"> וה</w:t>
      </w:r>
      <w:r w:rsidRPr="00D65870">
        <w:rPr>
          <w:rFonts w:ascii="Narkisim" w:hAnsi="Narkisim" w:cs="Narkisim"/>
          <w:b/>
          <w:bCs/>
          <w:rtl/>
        </w:rPr>
        <w:t>רא"ש</w:t>
      </w:r>
      <w:r w:rsidRPr="00D65870">
        <w:rPr>
          <w:rFonts w:ascii="Narkisim" w:hAnsi="Narkisim" w:cs="Narkisim"/>
          <w:rtl/>
        </w:rPr>
        <w:t xml:space="preserve"> הק' דמבואר (לקמן קג:) דסנדל של עץ ומחופה עור חולצין בו. [והרשב"א הוסיף דמשמע אפי' לכתחילה].</w:t>
      </w:r>
    </w:p>
    <w:p w14:paraId="5CF90770"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תי' דהכא קאי לכתחילה דאין חולצין בו</w:t>
      </w:r>
      <w:r w:rsidRPr="00D65870">
        <w:rPr>
          <w:rStyle w:val="ac"/>
          <w:rFonts w:ascii="Narkisim" w:hAnsi="Narkisim"/>
          <w:rtl/>
        </w:rPr>
        <w:footnoteReference w:id="6671"/>
      </w:r>
      <w:r w:rsidRPr="00D65870">
        <w:rPr>
          <w:rFonts w:ascii="Narkisim" w:hAnsi="Narkisim"/>
          <w:rtl/>
        </w:rPr>
        <w:t>, דדרשא ד'תחש' הוה אסמכתא בעלמא. וכ"פ ה</w:t>
      </w:r>
      <w:r w:rsidRPr="00D65870">
        <w:rPr>
          <w:rFonts w:ascii="Narkisim" w:hAnsi="Narkisim"/>
          <w:b/>
          <w:bCs/>
          <w:rtl/>
        </w:rPr>
        <w:t>רמ"א</w:t>
      </w:r>
      <w:r w:rsidRPr="00D65870">
        <w:rPr>
          <w:rFonts w:ascii="Narkisim" w:hAnsi="Narkisim"/>
          <w:rtl/>
        </w:rPr>
        <w:t xml:space="preserve"> (קסט כב) דתפור בגד פשתן מבפנים כשר בדיעבד</w:t>
      </w:r>
      <w:r w:rsidRPr="00D65870">
        <w:rPr>
          <w:rStyle w:val="ac"/>
          <w:rFonts w:ascii="Narkisim" w:hAnsi="Narkisim"/>
          <w:rtl/>
        </w:rPr>
        <w:footnoteReference w:id="6672"/>
      </w:r>
      <w:r w:rsidRPr="00D65870">
        <w:rPr>
          <w:rFonts w:ascii="Narkisim" w:hAnsi="Narkisim"/>
          <w:rtl/>
        </w:rPr>
        <w:t>.</w:t>
      </w:r>
    </w:p>
    <w:p w14:paraId="589F2E6D" w14:textId="77777777" w:rsidR="006C4368" w:rsidRPr="00D65870" w:rsidRDefault="006C4368" w:rsidP="006C4368">
      <w:pPr>
        <w:pStyle w:val="a8"/>
        <w:bidi/>
        <w:rPr>
          <w:rFonts w:ascii="Narkisim" w:hAnsi="Narkisim"/>
        </w:rPr>
      </w:pPr>
      <w:r w:rsidRPr="00D65870">
        <w:rPr>
          <w:rFonts w:ascii="Narkisim" w:hAnsi="Narkisim"/>
          <w:rtl/>
        </w:rPr>
        <w:t>אבל ה</w:t>
      </w:r>
      <w:r w:rsidRPr="00D65870">
        <w:rPr>
          <w:rFonts w:ascii="Narkisim" w:hAnsi="Narkisim"/>
          <w:b/>
          <w:bCs/>
          <w:rtl/>
        </w:rPr>
        <w:t>או"ז</w:t>
      </w:r>
      <w:r w:rsidRPr="00D65870">
        <w:rPr>
          <w:rFonts w:ascii="Narkisim" w:hAnsi="Narkisim"/>
          <w:rtl/>
        </w:rPr>
        <w:t xml:space="preserve"> (תרסד) תי' דהתם איירי במחופה עור היינו מחופה מבפנים</w:t>
      </w:r>
      <w:r w:rsidRPr="00D65870">
        <w:rPr>
          <w:rStyle w:val="ac"/>
          <w:rFonts w:ascii="Narkisim" w:hAnsi="Narkisim"/>
          <w:rtl/>
        </w:rPr>
        <w:footnoteReference w:id="6673"/>
      </w:r>
      <w:r w:rsidRPr="00D65870">
        <w:rPr>
          <w:rFonts w:ascii="Narkisim" w:hAnsi="Narkisim"/>
          <w:rtl/>
        </w:rPr>
        <w:t>, אבל הכא איירי שהלבד בתוך המנעל, והעור אינו נוגע בבשר הרגל. ואין כאן חליצת נעל מע"ג הרגל.</w:t>
      </w:r>
    </w:p>
    <w:p w14:paraId="6DC4E429"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הביא דבירושלמי אי' להיפך, דאנפליא של בגד במנעל של עור חליצתה כשירה. אבל אנפליא של עור במנעל של עור פסולה. והרשב"א ביאר הטעם דשל בגד כיון דאינה ראויה לחליצה בטלה לגבי מנעל, וקרינא ביה מעל רגלו. אבל באנפליא של עור אינה בטלה והו"ל כמנעל דמנעל. ודלא כגמ' דידן (לעיל) דב' מנעלים זה על גב זה, משמע אילו שלפתינהו לתרוייהו הוה כא' חליצה מעליא, דחליצה איכא וגלויי כרעא איכא. מ"מ ש"מ דאנפלי' של בגד בשל עור חליצתה כשרה.</w:t>
      </w:r>
    </w:p>
    <w:p w14:paraId="3571ED8F" w14:textId="77777777" w:rsidR="006C4368" w:rsidRPr="00D65870" w:rsidRDefault="006C4368" w:rsidP="006C4368">
      <w:pPr>
        <w:bidi/>
        <w:rPr>
          <w:rFonts w:ascii="Narkisim" w:hAnsi="Narkisim" w:cs="Narkisim"/>
        </w:rPr>
      </w:pPr>
      <w:r w:rsidRPr="00D65870">
        <w:rPr>
          <w:rFonts w:ascii="Narkisim" w:hAnsi="Narkisim" w:cs="Narkisim"/>
          <w:u w:val="single"/>
          <w:rtl/>
        </w:rPr>
        <w:t>תוד"ה ואנעלך</w:t>
      </w:r>
      <w:r w:rsidRPr="00D65870">
        <w:rPr>
          <w:rFonts w:ascii="Narkisim" w:hAnsi="Narkisim" w:cs="Narkisim"/>
          <w:rtl/>
        </w:rPr>
        <w:t>. מכאן אור"ת וכו' מעור בהמה טהורה, דתחש כתיב. [וכדאי' במסקנא (שבת כח:) דתחש דבימי משה</w:t>
      </w:r>
      <w:r w:rsidRPr="00D65870">
        <w:rPr>
          <w:rStyle w:val="ac"/>
          <w:rFonts w:ascii="Narkisim" w:hAnsi="Narkisim" w:cs="Narkisim"/>
          <w:rtl/>
        </w:rPr>
        <w:footnoteReference w:id="6674"/>
      </w:r>
      <w:r w:rsidRPr="00D65870">
        <w:rPr>
          <w:rFonts w:ascii="Narkisim" w:hAnsi="Narkisim" w:cs="Narkisim"/>
          <w:rtl/>
        </w:rPr>
        <w:t xml:space="preserve"> היה מין טהור, ולא הכריעו אי מין חיה או מין בהמה. אבל בתחילת הסוגיה (שם כח.) הוה ספק האם היה היה טמא או טהור].</w:t>
      </w:r>
    </w:p>
    <w:p w14:paraId="6EB359BE" w14:textId="77777777" w:rsidR="006C4368" w:rsidRPr="00D65870" w:rsidRDefault="006C4368" w:rsidP="006C4368">
      <w:pPr>
        <w:pStyle w:val="aa"/>
        <w:bidi/>
        <w:rPr>
          <w:rFonts w:ascii="Narkisim" w:hAnsi="Narkisim"/>
        </w:rPr>
      </w:pPr>
      <w:r w:rsidRPr="00D65870">
        <w:rPr>
          <w:rFonts w:ascii="Narkisim" w:hAnsi="Narkisim"/>
          <w:rtl/>
        </w:rPr>
        <w:t>והגמ' (שם) מק' למאי הילכתא דצריך עור בהמה טהורה למלאכת שמים. [והגמ' תי' לרצועות התפילין]. ו</w:t>
      </w:r>
      <w:r w:rsidRPr="00D65870">
        <w:rPr>
          <w:rFonts w:ascii="Narkisim" w:hAnsi="Narkisim"/>
          <w:b/>
          <w:bCs/>
          <w:rtl/>
        </w:rPr>
        <w:t>תוס</w:t>
      </w:r>
      <w:r w:rsidRPr="00D65870">
        <w:rPr>
          <w:rFonts w:ascii="Narkisim" w:hAnsi="Narkisim"/>
          <w:rtl/>
        </w:rPr>
        <w:t>' (שם) פי' קושיית הגמ' דמשמע דבא לחדש שום צורך הוראה. וה</w:t>
      </w:r>
      <w:r w:rsidRPr="00D65870">
        <w:rPr>
          <w:rFonts w:ascii="Narkisim" w:hAnsi="Narkisim"/>
          <w:b/>
          <w:bCs/>
          <w:rtl/>
        </w:rPr>
        <w:t>שואל בנוב"י</w:t>
      </w:r>
      <w:r w:rsidRPr="00D65870">
        <w:rPr>
          <w:rFonts w:ascii="Narkisim" w:hAnsi="Narkisim"/>
          <w:rtl/>
        </w:rPr>
        <w:t xml:space="preserve"> (ת' קנב) הק' דלדברי ר"ת איצטריך לחליצה. והנוב"י תי' דתלי במח' (בסוגיה בסמוך) אי צריך סנדל של עור לחליצה. דדברי ר"ת קאי למ"ד דלר' יוסי צריך עור דוקא. ואילו הגמ' (שם) אליבא דרב יוסף (שם סו. הו' בסמוך) דס"ל דר' מאיר ור' יוסי מודו דחולצין בנעל של עץ</w:t>
      </w:r>
      <w:r w:rsidRPr="00D65870">
        <w:rPr>
          <w:rStyle w:val="ac"/>
          <w:rFonts w:ascii="Narkisim" w:hAnsi="Narkisim"/>
          <w:rtl/>
        </w:rPr>
        <w:footnoteReference w:id="6675"/>
      </w:r>
      <w:r w:rsidRPr="00D65870">
        <w:rPr>
          <w:rFonts w:ascii="Narkisim" w:hAnsi="Narkisim"/>
          <w:rtl/>
        </w:rPr>
        <w:t>.</w:t>
      </w:r>
    </w:p>
    <w:p w14:paraId="7186C335" w14:textId="77777777" w:rsidR="006C4368" w:rsidRPr="00D65870" w:rsidRDefault="006C4368" w:rsidP="006C4368">
      <w:pPr>
        <w:pStyle w:val="aa"/>
        <w:bidi/>
        <w:rPr>
          <w:rFonts w:ascii="Narkisim" w:hAnsi="Narkisim"/>
        </w:rPr>
      </w:pPr>
      <w:r w:rsidRPr="00D65870">
        <w:rPr>
          <w:rFonts w:ascii="Narkisim" w:hAnsi="Narkisim"/>
          <w:u w:val="single"/>
          <w:rtl/>
        </w:rPr>
        <w:t>יחלץ עני בעניו</w:t>
      </w:r>
      <w:r w:rsidRPr="00D65870">
        <w:rPr>
          <w:rFonts w:ascii="Narkisim" w:hAnsi="Narkisim"/>
          <w:rtl/>
        </w:rPr>
        <w:t>. פ</w:t>
      </w:r>
      <w:r w:rsidRPr="00D65870">
        <w:rPr>
          <w:rFonts w:ascii="Narkisim" w:hAnsi="Narkisim"/>
          <w:b/>
          <w:bCs/>
          <w:rtl/>
        </w:rPr>
        <w:t>רש"י</w:t>
      </w:r>
      <w:r w:rsidRPr="00D65870">
        <w:rPr>
          <w:rFonts w:ascii="Narkisim" w:hAnsi="Narkisim"/>
          <w:rtl/>
        </w:rPr>
        <w:t xml:space="preserve"> [לס"ד] כלומר יזרזנו ויתן לו כח. ובפשוטו כ"ה למסקנא ד'חלץ' משמע הכי ומשמע הכי. אך </w:t>
      </w:r>
      <w:r w:rsidRPr="00D65870">
        <w:rPr>
          <w:rFonts w:ascii="Narkisim" w:hAnsi="Narkisim"/>
          <w:b/>
          <w:bCs/>
          <w:rtl/>
        </w:rPr>
        <w:t>רש"י</w:t>
      </w:r>
      <w:r w:rsidRPr="00D65870">
        <w:rPr>
          <w:rFonts w:ascii="Narkisim" w:hAnsi="Narkisim"/>
          <w:rtl/>
        </w:rPr>
        <w:t xml:space="preserve"> (ושאר מפרשים איוב לו טו) הביא דברי הגמ' שיחלץ מדין גיהנם, בשכר עניו. [ונקטו דדחיית הגמ' כאן הוא פשטיה דקרא אף למסקנא].</w:t>
      </w:r>
    </w:p>
    <w:p w14:paraId="59FBCBC0" w14:textId="77777777" w:rsidR="006C4368" w:rsidRPr="00D65870" w:rsidRDefault="006C4368" w:rsidP="006C4368">
      <w:pPr>
        <w:pStyle w:val="a8"/>
        <w:bidi/>
        <w:rPr>
          <w:rFonts w:ascii="Narkisim" w:hAnsi="Narkisim"/>
        </w:rPr>
      </w:pPr>
      <w:r w:rsidRPr="00D65870">
        <w:rPr>
          <w:rFonts w:ascii="Narkisim" w:hAnsi="Narkisim"/>
          <w:rtl/>
        </w:rPr>
        <w:t>ובפסוק (תהילים לד ח) חונה וכו' ויחלצם, ה</w:t>
      </w:r>
      <w:r w:rsidRPr="00D65870">
        <w:rPr>
          <w:rFonts w:ascii="Narkisim" w:hAnsi="Narkisim"/>
          <w:b/>
          <w:bCs/>
          <w:rtl/>
        </w:rPr>
        <w:t>מפרשים</w:t>
      </w:r>
      <w:r w:rsidRPr="00D65870">
        <w:rPr>
          <w:rFonts w:ascii="Narkisim" w:hAnsi="Narkisim"/>
          <w:rtl/>
        </w:rPr>
        <w:t xml:space="preserve"> פי' מלשון הצלה</w:t>
      </w:r>
      <w:r w:rsidRPr="00D65870">
        <w:rPr>
          <w:rStyle w:val="ac"/>
          <w:rFonts w:ascii="Narkisim" w:hAnsi="Narkisim"/>
          <w:rtl/>
        </w:rPr>
        <w:footnoteReference w:id="6676"/>
      </w:r>
      <w:r w:rsidRPr="00D65870">
        <w:rPr>
          <w:rFonts w:ascii="Narkisim" w:hAnsi="Narkisim"/>
          <w:rtl/>
        </w:rPr>
        <w:t xml:space="preserve"> [והתרגום כת' שזיבא].</w:t>
      </w:r>
    </w:p>
    <w:p w14:paraId="2BC47C90" w14:textId="77777777" w:rsidR="006C4368" w:rsidRPr="00D65870" w:rsidRDefault="006C4368" w:rsidP="006C4368">
      <w:pPr>
        <w:bidi/>
        <w:rPr>
          <w:rFonts w:ascii="Narkisim" w:hAnsi="Narkisim" w:cs="Narkisim"/>
        </w:rPr>
      </w:pPr>
      <w:r w:rsidRPr="00D65870">
        <w:rPr>
          <w:rFonts w:ascii="Narkisim" w:hAnsi="Narkisim" w:cs="Narkisim"/>
          <w:u w:val="single"/>
          <w:rtl/>
        </w:rPr>
        <w:t>למימרא דאנפיליא לאו מנעל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(במשנה קא.) של בגד, קלצו"ן בלע"ז [גרביים או </w:t>
      </w:r>
      <w:r w:rsidRPr="00D65870">
        <w:rPr>
          <w:rFonts w:ascii="Narkisim" w:hAnsi="Narkisim" w:cs="Narkisim"/>
          <w:rtl/>
        </w:rPr>
        <w:lastRenderedPageBreak/>
        <w:t>נעל מבד</w:t>
      </w:r>
      <w:r w:rsidRPr="00D65870">
        <w:rPr>
          <w:rStyle w:val="ac"/>
          <w:rFonts w:ascii="Narkisim" w:hAnsi="Narkisim" w:cs="Narkisim"/>
          <w:rtl/>
        </w:rPr>
        <w:footnoteReference w:id="6677"/>
      </w:r>
      <w:r w:rsidRPr="00D65870">
        <w:rPr>
          <w:rFonts w:ascii="Narkisim" w:hAnsi="Narkisim" w:cs="Narkisim"/>
          <w:rtl/>
        </w:rPr>
        <w:t>. ולס"ד דהגמ' י"ל דאיירי אף בעור רך]. ופ</w:t>
      </w:r>
      <w:r w:rsidRPr="00D65870">
        <w:rPr>
          <w:rFonts w:ascii="Narkisim" w:hAnsi="Narkisim" w:cs="Narkisim"/>
          <w:b/>
          <w:bCs/>
          <w:rtl/>
        </w:rPr>
        <w:t>רש"י</w:t>
      </w:r>
      <w:r w:rsidRPr="00D65870">
        <w:rPr>
          <w:rFonts w:ascii="Narkisim" w:hAnsi="Narkisim" w:cs="Narkisim"/>
          <w:rtl/>
        </w:rPr>
        <w:t xml:space="preserve"> הטעם דבעינן מידי דמגין.</w:t>
      </w:r>
    </w:p>
    <w:p w14:paraId="2BEB64CC" w14:textId="77777777" w:rsidR="006C4368" w:rsidRPr="00D65870" w:rsidRDefault="006C4368" w:rsidP="006C4368">
      <w:pPr>
        <w:pStyle w:val="a7"/>
        <w:bidi/>
        <w:rPr>
          <w:rFonts w:ascii="Narkisim" w:hAnsi="Narkisim"/>
        </w:rPr>
      </w:pPr>
      <w:r w:rsidRPr="00D65870">
        <w:rPr>
          <w:rFonts w:ascii="Narkisim" w:hAnsi="Narkisim"/>
          <w:rtl/>
        </w:rPr>
        <w:t>והגמ' (קג. וקג:) מביאה דנח' [בקב הקיטע] דלר' מאיר לא בעינן מנעל של עור. אך בסוגיין משמע דהנידון לא הוה משום דבעינן עור, אלא משום דאינו מגין</w:t>
      </w:r>
      <w:r w:rsidRPr="00D65870">
        <w:rPr>
          <w:rStyle w:val="ac"/>
          <w:rFonts w:ascii="Narkisim" w:hAnsi="Narkisim"/>
          <w:rtl/>
        </w:rPr>
        <w:footnoteReference w:id="6678"/>
      </w:r>
      <w:r w:rsidRPr="00D65870">
        <w:rPr>
          <w:rFonts w:ascii="Narkisim" w:hAnsi="Narkisim"/>
          <w:rtl/>
        </w:rPr>
        <w:t xml:space="preserve"> [וכדאי' לקמן קג.].</w:t>
      </w:r>
    </w:p>
    <w:p w14:paraId="0086C0B4" w14:textId="77777777" w:rsidR="006C4368" w:rsidRPr="00D65870" w:rsidRDefault="006C4368" w:rsidP="006C4368">
      <w:pPr>
        <w:pStyle w:val="a8"/>
        <w:bidi/>
        <w:rPr>
          <w:rFonts w:ascii="Narkisim" w:hAnsi="Narkisim"/>
        </w:rPr>
      </w:pPr>
      <w:r w:rsidRPr="00D65870">
        <w:rPr>
          <w:rFonts w:ascii="Narkisim" w:hAnsi="Narkisim"/>
          <w:rtl/>
        </w:rPr>
        <w:t>ובסיפא דמתני' (קא.) אי' דסנדל של עץ כשירה, ושמואל (לקמן קג:) הביא דסתם משנה כר"מ דל"צ עור [ואנפיליא גרע מסנדל עץ]. ואבוה דשמואל דחה דהמשנה במחופה עור</w:t>
      </w:r>
      <w:r w:rsidRPr="00D65870">
        <w:rPr>
          <w:rStyle w:val="ac"/>
          <w:rFonts w:ascii="Narkisim" w:hAnsi="Narkisim"/>
          <w:rtl/>
        </w:rPr>
        <w:footnoteReference w:id="6679"/>
      </w:r>
      <w:r w:rsidRPr="00D65870">
        <w:rPr>
          <w:rFonts w:ascii="Narkisim" w:hAnsi="Narkisim"/>
          <w:rtl/>
        </w:rPr>
        <w:t>. [ולפ"ז י"ל דאנפיליא איירי ג"כ במחופה עור].</w:t>
      </w:r>
    </w:p>
    <w:p w14:paraId="4C9B5DA8" w14:textId="77777777" w:rsidR="006C4368" w:rsidRPr="00D65870" w:rsidRDefault="006C4368" w:rsidP="006C4368">
      <w:pPr>
        <w:pStyle w:val="aa"/>
        <w:bidi/>
        <w:rPr>
          <w:rFonts w:ascii="Narkisim" w:hAnsi="Narkisim"/>
        </w:rPr>
      </w:pPr>
      <w:r w:rsidRPr="00D65870">
        <w:rPr>
          <w:rFonts w:ascii="Narkisim" w:hAnsi="Narkisim"/>
          <w:u w:val="single"/>
          <w:rtl/>
        </w:rPr>
        <w:t>ואצ"ל במנעל וסנדל, לפי שאין נכנסין במנעל וסנדל לעזרה</w:t>
      </w:r>
      <w:r w:rsidRPr="00D65870">
        <w:rPr>
          <w:rFonts w:ascii="Narkisim" w:hAnsi="Narkisim"/>
          <w:rtl/>
        </w:rPr>
        <w:t>. פ</w:t>
      </w:r>
      <w:r w:rsidRPr="00D65870">
        <w:rPr>
          <w:rFonts w:ascii="Narkisim" w:hAnsi="Narkisim"/>
          <w:b/>
          <w:bCs/>
          <w:rtl/>
        </w:rPr>
        <w:t>רש"י</w:t>
      </w:r>
      <w:r w:rsidRPr="00D65870">
        <w:rPr>
          <w:rFonts w:ascii="Narkisim" w:hAnsi="Narkisim"/>
          <w:rtl/>
        </w:rPr>
        <w:t xml:space="preserve"> בלאו חשד אסור ליכנס במנעל לעזרה, דכתיב (ישעיה א יב) מי בקש זאת מידכם רמוס חצרי. [וכן אי' בגמ' חגיגה ד:</w:t>
      </w:r>
      <w:r w:rsidRPr="00D65870">
        <w:rPr>
          <w:rStyle w:val="ac"/>
          <w:rFonts w:ascii="Narkisim" w:hAnsi="Narkisim"/>
          <w:rtl/>
        </w:rPr>
        <w:footnoteReference w:id="6680"/>
      </w:r>
      <w:r w:rsidRPr="00D65870">
        <w:rPr>
          <w:rFonts w:ascii="Narkisim" w:hAnsi="Narkisim"/>
          <w:rtl/>
        </w:rPr>
        <w:t>]. וה</w:t>
      </w:r>
      <w:r w:rsidRPr="00D65870">
        <w:rPr>
          <w:rFonts w:ascii="Narkisim" w:hAnsi="Narkisim"/>
          <w:b/>
          <w:bCs/>
          <w:rtl/>
        </w:rPr>
        <w:t>רמב"ן</w:t>
      </w:r>
      <w:r w:rsidRPr="00D65870">
        <w:rPr>
          <w:rFonts w:ascii="Narkisim" w:hAnsi="Narkisim"/>
          <w:rtl/>
        </w:rPr>
        <w:t xml:space="preserve"> כת' דרש"י לא דייק, דפסוק זה קאי בזמן שאין ישראל עושין רצונו של מקום. [ואפי' בלא מנעל וסנדל קאמר</w:t>
      </w:r>
      <w:r w:rsidRPr="00D65870">
        <w:rPr>
          <w:rStyle w:val="ac"/>
          <w:rFonts w:ascii="Narkisim" w:hAnsi="Narkisim"/>
          <w:rtl/>
        </w:rPr>
        <w:footnoteReference w:id="6681"/>
      </w:r>
      <w:r w:rsidRPr="00D65870">
        <w:rPr>
          <w:rFonts w:ascii="Narkisim" w:hAnsi="Narkisim"/>
          <w:rtl/>
        </w:rPr>
        <w:t>]. והביא דבגמ' (ברכות סב:) ילפי'</w:t>
      </w:r>
      <w:r w:rsidRPr="00D65870">
        <w:rPr>
          <w:rStyle w:val="ac"/>
          <w:rFonts w:ascii="Narkisim" w:hAnsi="Narkisim"/>
          <w:rtl/>
        </w:rPr>
        <w:footnoteReference w:id="6682"/>
      </w:r>
      <w:r w:rsidRPr="00D65870">
        <w:rPr>
          <w:rFonts w:ascii="Narkisim" w:hAnsi="Narkisim"/>
          <w:rtl/>
        </w:rPr>
        <w:t xml:space="preserve"> מדכתיב (שמות ג ה) של נעלך מעל רגליך, כי המקום אשר אתה עומד עליו אדמת קדש הוא.</w:t>
      </w:r>
    </w:p>
    <w:p w14:paraId="7F64CC92" w14:textId="77777777" w:rsidR="006C4368" w:rsidRPr="00D65870" w:rsidRDefault="006C4368" w:rsidP="006C4368">
      <w:pPr>
        <w:pStyle w:val="aa"/>
        <w:bidi/>
        <w:rPr>
          <w:rFonts w:ascii="Narkisim" w:hAnsi="Narkisim"/>
        </w:rPr>
      </w:pPr>
      <w:r w:rsidRPr="00D65870">
        <w:rPr>
          <w:rFonts w:ascii="Narkisim" w:hAnsi="Narkisim"/>
          <w:u w:val="single"/>
          <w:rtl/>
        </w:rPr>
        <w:t>שם. שאין נכנסין במנעל וסנדל לעזרה</w:t>
      </w:r>
      <w:r w:rsidRPr="00D65870">
        <w:rPr>
          <w:rFonts w:ascii="Narkisim" w:hAnsi="Narkisim"/>
          <w:rtl/>
        </w:rPr>
        <w:t>. ה</w:t>
      </w:r>
      <w:r w:rsidRPr="00D65870">
        <w:rPr>
          <w:rFonts w:ascii="Narkisim" w:hAnsi="Narkisim"/>
          <w:b/>
          <w:bCs/>
          <w:rtl/>
        </w:rPr>
        <w:t>רש"ש</w:t>
      </w:r>
      <w:r w:rsidRPr="00D65870">
        <w:rPr>
          <w:rFonts w:ascii="Narkisim" w:hAnsi="Narkisim"/>
          <w:rtl/>
        </w:rPr>
        <w:t xml:space="preserve"> הק' דמשמע דוקא בעזרה</w:t>
      </w:r>
      <w:r w:rsidRPr="00D65870">
        <w:rPr>
          <w:rStyle w:val="ac"/>
          <w:rFonts w:ascii="Narkisim" w:hAnsi="Narkisim"/>
          <w:rtl/>
        </w:rPr>
        <w:footnoteReference w:id="6683"/>
      </w:r>
      <w:r w:rsidRPr="00D65870">
        <w:rPr>
          <w:rFonts w:ascii="Narkisim" w:hAnsi="Narkisim"/>
          <w:rtl/>
        </w:rPr>
        <w:t>, אבל בהר הבית שפיר דמי. ואילו במשנה (ברכות נד:) אי' לא יכנס להר הבית במקלו ומנעלו וכו'. וה</w:t>
      </w:r>
      <w:r w:rsidRPr="00D65870">
        <w:rPr>
          <w:rFonts w:ascii="Narkisim" w:hAnsi="Narkisim"/>
          <w:b/>
          <w:bCs/>
          <w:rtl/>
        </w:rPr>
        <w:t>רש"ש</w:t>
      </w:r>
      <w:r w:rsidRPr="00D65870">
        <w:rPr>
          <w:rFonts w:ascii="Narkisim" w:hAnsi="Narkisim"/>
          <w:rtl/>
        </w:rPr>
        <w:t xml:space="preserve"> כת' דמ"מ יש איסור נוסף בעזרה. ומש"ה רש"י נקט קרא דרמוס חצירי, דאסור מחמת על החצר, העזרות. ויש שתי' דבעזרה אסור מדאורייתא, ובהר הבית מדרבנן.</w:t>
      </w:r>
    </w:p>
    <w:p w14:paraId="590900D6" w14:textId="77777777" w:rsidR="006C4368" w:rsidRPr="00D65870" w:rsidRDefault="006C4368" w:rsidP="006C4368">
      <w:pPr>
        <w:bidi/>
        <w:rPr>
          <w:rFonts w:ascii="Narkisim" w:hAnsi="Narkisim" w:cs="Narkisim"/>
        </w:rPr>
      </w:pPr>
      <w:r w:rsidRPr="00D65870">
        <w:rPr>
          <w:rFonts w:ascii="Narkisim" w:hAnsi="Narkisim" w:cs="Narkisim"/>
          <w:u w:val="single"/>
          <w:rtl/>
        </w:rPr>
        <w:t>א"ל רבא ומשום תענוג בלא מנעל ביוה"כ מי אסירי</w:t>
      </w:r>
      <w:r w:rsidRPr="00D65870">
        <w:rPr>
          <w:rStyle w:val="ac"/>
          <w:rFonts w:ascii="Narkisim" w:hAnsi="Narkisim" w:cs="Narkisim"/>
          <w:u w:val="single"/>
          <w:rtl/>
        </w:rPr>
        <w:footnoteReference w:id="6684"/>
      </w:r>
      <w:r w:rsidRPr="00D65870">
        <w:rPr>
          <w:rFonts w:ascii="Narkisim" w:hAnsi="Narkisim" w:cs="Narkisim"/>
          <w:u w:val="single"/>
          <w:rtl/>
        </w:rPr>
        <w:t xml:space="preserve"> וכו'</w:t>
      </w:r>
      <w:r w:rsidRPr="00D65870">
        <w:rPr>
          <w:rFonts w:ascii="Narkisim" w:hAnsi="Narkisim" w:cs="Narkisim"/>
          <w:rtl/>
        </w:rPr>
        <w:t>. ה</w:t>
      </w:r>
      <w:r w:rsidRPr="00D65870">
        <w:rPr>
          <w:rFonts w:ascii="Narkisim" w:hAnsi="Narkisim" w:cs="Narkisim"/>
          <w:b/>
          <w:bCs/>
          <w:rtl/>
        </w:rPr>
        <w:t>קובה"ע</w:t>
      </w:r>
      <w:r w:rsidRPr="00D65870">
        <w:rPr>
          <w:rFonts w:ascii="Narkisim" w:hAnsi="Narkisim" w:cs="Narkisim"/>
          <w:rtl/>
        </w:rPr>
        <w:t xml:space="preserve"> (עג ג) דייק דאביי סבר דכתיתין הוה ביטול עינוי, ואסור אף כשאינו 'מנעל'. ורבא פליג דדוקא נעילת סנדל אסור.</w:t>
      </w:r>
    </w:p>
    <w:p w14:paraId="4971FF10" w14:textId="77777777" w:rsidR="006C4368" w:rsidRPr="00D65870" w:rsidRDefault="006C4368" w:rsidP="006C4368">
      <w:pPr>
        <w:pStyle w:val="a7"/>
        <w:bidi/>
        <w:rPr>
          <w:rFonts w:ascii="Narkisim" w:hAnsi="Narkisim"/>
        </w:rPr>
      </w:pPr>
      <w:r w:rsidRPr="00D65870">
        <w:rPr>
          <w:rFonts w:ascii="Narkisim" w:hAnsi="Narkisim"/>
          <w:rtl/>
        </w:rPr>
        <w:t>ובגמ' (יומא עו:) ילפי' ה' עינויים דכתיב תענו את נפשותיכם, וה</w:t>
      </w:r>
      <w:r w:rsidRPr="00D65870">
        <w:rPr>
          <w:rFonts w:ascii="Narkisim" w:hAnsi="Narkisim"/>
          <w:b/>
          <w:bCs/>
          <w:rtl/>
        </w:rPr>
        <w:t xml:space="preserve">קובה"ע </w:t>
      </w:r>
      <w:r w:rsidRPr="00D65870">
        <w:rPr>
          <w:rFonts w:ascii="Narkisim" w:hAnsi="Narkisim"/>
          <w:rtl/>
        </w:rPr>
        <w:t>חקר מהו 'גוף האיסור', האם אכילה ביוה"כ אסור מצד עצמו</w:t>
      </w:r>
      <w:r w:rsidRPr="00D65870">
        <w:rPr>
          <w:rStyle w:val="ac"/>
          <w:rFonts w:ascii="Narkisim" w:hAnsi="Narkisim"/>
          <w:rtl/>
        </w:rPr>
        <w:footnoteReference w:id="6685"/>
      </w:r>
      <w:r w:rsidRPr="00D65870">
        <w:rPr>
          <w:rFonts w:ascii="Narkisim" w:hAnsi="Narkisim"/>
          <w:rtl/>
        </w:rPr>
        <w:t>. או דהאיסור מחמת ביטול העינוי. ונפק"מ באופן דנחשב אכילה ואינו מבטל עינוי, או ביטול העינוי בלא אכילה. וכת' דלכאורה נח' בזה אביי ורבא, דלאביי כתיתין אסור משום ביטול עינוי</w:t>
      </w:r>
      <w:r w:rsidRPr="00D65870">
        <w:rPr>
          <w:rStyle w:val="ac"/>
          <w:rFonts w:ascii="Narkisim" w:hAnsi="Narkisim"/>
          <w:rtl/>
        </w:rPr>
        <w:footnoteReference w:id="6686"/>
      </w:r>
      <w:r w:rsidRPr="00D65870">
        <w:rPr>
          <w:rFonts w:ascii="Narkisim" w:hAnsi="Narkisim"/>
          <w:rtl/>
        </w:rPr>
        <w:t>, ורבא פליג.</w:t>
      </w:r>
    </w:p>
    <w:p w14:paraId="3552E32D" w14:textId="77777777" w:rsidR="006C4368" w:rsidRPr="00D65870" w:rsidRDefault="006C4368" w:rsidP="006C4368">
      <w:pPr>
        <w:pStyle w:val="a8"/>
        <w:bidi/>
        <w:rPr>
          <w:rFonts w:ascii="Narkisim" w:hAnsi="Narkisim"/>
        </w:rPr>
      </w:pPr>
      <w:r w:rsidRPr="00D65870">
        <w:rPr>
          <w:rFonts w:ascii="Narkisim" w:hAnsi="Narkisim"/>
          <w:rtl/>
        </w:rPr>
        <w:t>והקובה"ע הביא דבגמ' (לעיל מ.) הביאו ראיה לענין אכילה גסה מיוה"כ לאכילת קדשים. והק' דלדעת אביי נימא דאכילה גסה שמה אכילה בשאר דיני התורה, ואפ"ה לא הוה ביטול עינוי ביוה"כ. וע"כ דביוה"כ תלי בגדרי אכילה</w:t>
      </w:r>
      <w:r w:rsidRPr="00D65870">
        <w:rPr>
          <w:rStyle w:val="ac"/>
          <w:rFonts w:ascii="Narkisim" w:hAnsi="Narkisim"/>
          <w:rtl/>
        </w:rPr>
        <w:footnoteReference w:id="6687"/>
      </w:r>
      <w:r w:rsidRPr="00D65870">
        <w:rPr>
          <w:rFonts w:ascii="Narkisim" w:hAnsi="Narkisim"/>
          <w:rtl/>
        </w:rPr>
        <w:t>. וכת' דצ"ל דהסוגיה שם כרבא.</w:t>
      </w:r>
    </w:p>
    <w:p w14:paraId="47E2116F" w14:textId="77777777" w:rsidR="006C4368" w:rsidRPr="00D65870" w:rsidRDefault="006C4368" w:rsidP="006C4368">
      <w:pPr>
        <w:bidi/>
        <w:rPr>
          <w:rFonts w:ascii="Narkisim" w:hAnsi="Narkisim" w:cs="Narkisim"/>
        </w:rPr>
      </w:pPr>
      <w:r w:rsidRPr="00D65870">
        <w:rPr>
          <w:rFonts w:ascii="Narkisim" w:hAnsi="Narkisim" w:cs="Narkisim"/>
          <w:rtl/>
        </w:rPr>
        <w:t xml:space="preserve">והגמ' (יומא עח:) מסתפקת האם מותר ביוה"כ לצאת בסנדל של שעם. והביאו דר' יהושע </w:t>
      </w:r>
      <w:r w:rsidRPr="00D65870">
        <w:rPr>
          <w:rFonts w:ascii="Narkisim" w:hAnsi="Narkisim" w:cs="Narkisim"/>
          <w:rtl/>
        </w:rPr>
        <w:lastRenderedPageBreak/>
        <w:t>בן לוי יצא בסנדל של שעם [דנעל לענין יוה"כ</w:t>
      </w:r>
      <w:r w:rsidRPr="00D65870">
        <w:rPr>
          <w:rStyle w:val="ac"/>
          <w:rFonts w:ascii="Narkisim" w:hAnsi="Narkisim" w:cs="Narkisim"/>
          <w:rtl/>
        </w:rPr>
        <w:footnoteReference w:id="6688"/>
      </w:r>
      <w:r w:rsidRPr="00D65870">
        <w:rPr>
          <w:rFonts w:ascii="Narkisim" w:hAnsi="Narkisim" w:cs="Narkisim"/>
          <w:rtl/>
        </w:rPr>
        <w:t xml:space="preserve"> הוה דוקא משל עור</w:t>
      </w:r>
      <w:r w:rsidRPr="00D65870">
        <w:rPr>
          <w:rStyle w:val="ac"/>
          <w:rFonts w:ascii="Narkisim" w:hAnsi="Narkisim" w:cs="Narkisim"/>
          <w:rtl/>
        </w:rPr>
        <w:footnoteReference w:id="6689"/>
      </w:r>
      <w:r w:rsidRPr="00D65870">
        <w:rPr>
          <w:rFonts w:ascii="Narkisim" w:hAnsi="Narkisim" w:cs="Narkisim"/>
          <w:rtl/>
        </w:rPr>
        <w:t>. ו</w:t>
      </w:r>
      <w:r w:rsidRPr="00D65870">
        <w:rPr>
          <w:rFonts w:ascii="Narkisim" w:hAnsi="Narkisim" w:cs="Narkisim"/>
          <w:b/>
          <w:bCs/>
          <w:rtl/>
        </w:rPr>
        <w:t>תוס'</w:t>
      </w:r>
      <w:r w:rsidRPr="00D65870">
        <w:rPr>
          <w:rFonts w:ascii="Narkisim" w:hAnsi="Narkisim" w:cs="Narkisim"/>
          <w:rtl/>
        </w:rPr>
        <w:t xml:space="preserve"> (קג. סוד"ה באנפיליא) הק' דלברייתא בסמוך מבואר דמהני לחליצה. ומ"ש יוה"כ מחליצה</w:t>
      </w:r>
      <w:r w:rsidRPr="00D65870">
        <w:rPr>
          <w:rStyle w:val="ac"/>
          <w:rFonts w:ascii="Narkisim" w:hAnsi="Narkisim" w:cs="Narkisim"/>
          <w:rtl/>
        </w:rPr>
        <w:footnoteReference w:id="6690"/>
      </w:r>
      <w:r w:rsidRPr="00D65870">
        <w:rPr>
          <w:rFonts w:ascii="Narkisim" w:hAnsi="Narkisim" w:cs="Narkisim"/>
          <w:rtl/>
        </w:rPr>
        <w:t>]. ואביי סבר דאפ"ה היכא דיש כתיתין אסור משום תענוג.</w:t>
      </w:r>
    </w:p>
    <w:p w14:paraId="46C3B23B" w14:textId="77777777" w:rsidR="006C4368" w:rsidRPr="00D65870" w:rsidRDefault="006C4368" w:rsidP="006C4368">
      <w:pPr>
        <w:bidi/>
        <w:rPr>
          <w:rFonts w:ascii="Narkisim" w:hAnsi="Narkisim" w:cs="Narkisim"/>
        </w:rPr>
      </w:pPr>
      <w:r w:rsidRPr="00D65870">
        <w:rPr>
          <w:rFonts w:ascii="Narkisim" w:hAnsi="Narkisim" w:cs="Narkisim"/>
          <w:u w:val="single"/>
          <w:rtl/>
        </w:rPr>
        <w:t>כאן באנפיליא של בגד</w:t>
      </w:r>
      <w:r w:rsidRPr="00D65870">
        <w:rPr>
          <w:rFonts w:ascii="Narkisim" w:hAnsi="Narkisim" w:cs="Narkisim"/>
          <w:rtl/>
        </w:rPr>
        <w:t>. ובזה תנן חליצתה פסולה. וה</w:t>
      </w:r>
      <w:r w:rsidRPr="00D65870">
        <w:rPr>
          <w:rFonts w:ascii="Narkisim" w:hAnsi="Narkisim" w:cs="Narkisim"/>
          <w:b/>
          <w:bCs/>
          <w:rtl/>
        </w:rPr>
        <w:t>רשב"א</w:t>
      </w:r>
      <w:r w:rsidRPr="00D65870">
        <w:rPr>
          <w:rFonts w:ascii="Narkisim" w:hAnsi="Narkisim" w:cs="Narkisim"/>
          <w:rtl/>
        </w:rPr>
        <w:t xml:space="preserve"> דייק דפסולה ופוסלת מיבום</w:t>
      </w:r>
      <w:r w:rsidRPr="00D65870">
        <w:rPr>
          <w:rStyle w:val="ac"/>
          <w:rFonts w:ascii="Narkisim" w:hAnsi="Narkisim" w:cs="Narkisim"/>
          <w:rtl/>
        </w:rPr>
        <w:footnoteReference w:id="6691"/>
      </w:r>
      <w:r w:rsidRPr="00D65870">
        <w:rPr>
          <w:rFonts w:ascii="Narkisim" w:hAnsi="Narkisim" w:cs="Narkisim"/>
          <w:rtl/>
        </w:rPr>
        <w:t>. אבל ה</w:t>
      </w:r>
      <w:r w:rsidRPr="00D65870">
        <w:rPr>
          <w:rFonts w:ascii="Narkisim" w:hAnsi="Narkisim" w:cs="Narkisim"/>
          <w:b/>
          <w:bCs/>
          <w:rtl/>
        </w:rPr>
        <w:t>רמב"ם</w:t>
      </w:r>
      <w:r w:rsidRPr="00D65870">
        <w:rPr>
          <w:rFonts w:ascii="Narkisim" w:hAnsi="Narkisim" w:cs="Narkisim"/>
          <w:rtl/>
        </w:rPr>
        <w:t xml:space="preserve"> (ד יח) כתב דשל בגד אינה חליצה כלל, ושל שיער, סיב, שעם ועץ הוה חליצה פסולה. והיכא דאינו מגין ל"מ כלל, וסברא זו מהני אך לדידן. ואף דרבנן דרשי 'תחש', מ"מ מודו לסברת אינו מגין. ו</w:t>
      </w:r>
      <w:r w:rsidRPr="00D65870">
        <w:rPr>
          <w:rFonts w:ascii="Narkisim" w:hAnsi="Narkisim" w:cs="Narkisim"/>
          <w:b/>
          <w:bCs/>
          <w:rtl/>
        </w:rPr>
        <w:t>ה"ה</w:t>
      </w:r>
      <w:r w:rsidRPr="00D65870">
        <w:rPr>
          <w:rFonts w:ascii="Narkisim" w:hAnsi="Narkisim" w:cs="Narkisim"/>
          <w:rtl/>
        </w:rPr>
        <w:t xml:space="preserve"> ביאר דמעלינן ליה דרגא. וה</w:t>
      </w:r>
      <w:r w:rsidRPr="00D65870">
        <w:rPr>
          <w:rFonts w:ascii="Narkisim" w:hAnsi="Narkisim" w:cs="Narkisim"/>
          <w:b/>
          <w:bCs/>
          <w:rtl/>
        </w:rPr>
        <w:t>רשב"א</w:t>
      </w:r>
      <w:r w:rsidRPr="00D65870">
        <w:rPr>
          <w:rFonts w:ascii="Narkisim" w:hAnsi="Narkisim" w:cs="Narkisim"/>
          <w:rtl/>
        </w:rPr>
        <w:t xml:space="preserve"> חלק דהחילוק דמגין קאי למ"ד דלא דרש תחש.</w:t>
      </w:r>
    </w:p>
    <w:p w14:paraId="5C995248" w14:textId="77777777" w:rsidR="006C4368" w:rsidRPr="00D65870" w:rsidRDefault="006C4368" w:rsidP="006C4368">
      <w:pPr>
        <w:pStyle w:val="a8"/>
        <w:bidi/>
        <w:rPr>
          <w:rFonts w:ascii="Narkisim" w:hAnsi="Narkisim"/>
        </w:rPr>
      </w:pPr>
      <w:r w:rsidRPr="00D65870">
        <w:rPr>
          <w:rFonts w:ascii="Narkisim" w:hAnsi="Narkisim"/>
          <w:rtl/>
        </w:rPr>
        <w:t>ועוה"ק ה</w:t>
      </w:r>
      <w:r w:rsidRPr="00D65870">
        <w:rPr>
          <w:rFonts w:ascii="Narkisim" w:hAnsi="Narkisim"/>
          <w:b/>
          <w:bCs/>
          <w:rtl/>
        </w:rPr>
        <w:t>אחרונים</w:t>
      </w:r>
      <w:r w:rsidRPr="00D65870">
        <w:rPr>
          <w:rFonts w:ascii="Narkisim" w:hAnsi="Narkisim"/>
          <w:rtl/>
        </w:rPr>
        <w:t xml:space="preserve"> ד</w:t>
      </w:r>
      <w:r w:rsidRPr="00D65870">
        <w:rPr>
          <w:rFonts w:ascii="Narkisim" w:hAnsi="Narkisim"/>
          <w:b/>
          <w:bCs/>
          <w:rtl/>
        </w:rPr>
        <w:t>רש"י</w:t>
      </w:r>
      <w:r w:rsidRPr="00D65870">
        <w:rPr>
          <w:rFonts w:ascii="Narkisim" w:hAnsi="Narkisim"/>
          <w:rtl/>
        </w:rPr>
        <w:t xml:space="preserve"> (קא. וקג.) פי' דר"מ יליף מידי דמגין משום תחש, א"כ אין מקום לחלק משום תחש. וע"כ דעת הרמב"ם דמגין הוה סברא, דלא הוה מנעל.</w:t>
      </w:r>
    </w:p>
    <w:p w14:paraId="00F66DA0" w14:textId="77777777" w:rsidR="006C4368" w:rsidRPr="00D65870" w:rsidRDefault="006C4368" w:rsidP="006C4368">
      <w:pPr>
        <w:bidi/>
        <w:rPr>
          <w:rFonts w:ascii="Narkisim" w:hAnsi="Narkisim" w:cs="Narkisim"/>
        </w:rPr>
      </w:pPr>
      <w:r w:rsidRPr="00D65870">
        <w:rPr>
          <w:rFonts w:ascii="Narkisim" w:hAnsi="Narkisim" w:cs="Narkisim"/>
          <w:u w:val="single"/>
          <w:rtl/>
        </w:rPr>
        <w:t>אבל מטייל הוא באנפלין בתוך ביתו</w:t>
      </w:r>
      <w:r w:rsidRPr="00D65870">
        <w:rPr>
          <w:rFonts w:ascii="Narkisim" w:hAnsi="Narkisim" w:cs="Narkisim"/>
          <w:rtl/>
        </w:rPr>
        <w:t>. ה</w:t>
      </w:r>
      <w:r w:rsidRPr="00D65870">
        <w:rPr>
          <w:rFonts w:ascii="Narkisim" w:hAnsi="Narkisim" w:cs="Narkisim"/>
          <w:b/>
          <w:bCs/>
          <w:rtl/>
        </w:rPr>
        <w:t>רשב"א</w:t>
      </w:r>
      <w:r w:rsidRPr="00D65870">
        <w:rPr>
          <w:rFonts w:ascii="Narkisim" w:hAnsi="Narkisim" w:cs="Narkisim"/>
          <w:rtl/>
        </w:rPr>
        <w:t xml:space="preserve"> דייק דדוקא בתוך ביתו, אבל אסור לצאת אף בשל בגד</w:t>
      </w:r>
      <w:r w:rsidRPr="00D65870">
        <w:rPr>
          <w:rStyle w:val="ac"/>
          <w:rFonts w:ascii="Narkisim" w:hAnsi="Narkisim" w:cs="Narkisim"/>
          <w:rtl/>
        </w:rPr>
        <w:footnoteReference w:id="6692"/>
      </w:r>
      <w:r w:rsidRPr="00D65870">
        <w:rPr>
          <w:rFonts w:ascii="Narkisim" w:hAnsi="Narkisim" w:cs="Narkisim"/>
          <w:rtl/>
        </w:rPr>
        <w:t>. וה</w:t>
      </w:r>
      <w:r w:rsidRPr="00D65870">
        <w:rPr>
          <w:rFonts w:ascii="Narkisim" w:hAnsi="Narkisim" w:cs="Narkisim"/>
          <w:b/>
          <w:bCs/>
          <w:rtl/>
        </w:rPr>
        <w:t>רשב"א</w:t>
      </w:r>
      <w:r w:rsidRPr="00D65870">
        <w:rPr>
          <w:rFonts w:ascii="Narkisim" w:hAnsi="Narkisim" w:cs="Narkisim"/>
          <w:rtl/>
        </w:rPr>
        <w:t xml:space="preserve"> הק' דבגמ' יומא (הנ"ל) מבואר דמותר לצאת בסנדל של שעם, ומ"ש אנפיליא של בגד</w:t>
      </w:r>
      <w:r w:rsidRPr="00D65870">
        <w:rPr>
          <w:rStyle w:val="ac"/>
          <w:rFonts w:ascii="Narkisim" w:hAnsi="Narkisim" w:cs="Narkisim"/>
          <w:rtl/>
        </w:rPr>
        <w:footnoteReference w:id="6693"/>
      </w:r>
      <w:r w:rsidRPr="00D65870">
        <w:rPr>
          <w:rFonts w:ascii="Narkisim" w:hAnsi="Narkisim" w:cs="Narkisim"/>
          <w:rtl/>
        </w:rPr>
        <w:t>. וכת' דע"כ לאו דוקא בתוך ביתו, ואיידי דתני רישא נקט בסיפא</w:t>
      </w:r>
      <w:r w:rsidRPr="00D65870">
        <w:rPr>
          <w:rStyle w:val="ac"/>
          <w:rFonts w:ascii="Narkisim" w:hAnsi="Narkisim" w:cs="Narkisim"/>
          <w:rtl/>
        </w:rPr>
        <w:footnoteReference w:id="6694"/>
      </w:r>
      <w:r w:rsidRPr="00D65870">
        <w:rPr>
          <w:rFonts w:ascii="Narkisim" w:hAnsi="Narkisim" w:cs="Narkisim"/>
          <w:rtl/>
        </w:rPr>
        <w:t>.</w:t>
      </w:r>
    </w:p>
    <w:p w14:paraId="08D841F5" w14:textId="77777777" w:rsidR="006C4368" w:rsidRPr="00D65870" w:rsidRDefault="006C4368" w:rsidP="006C4368">
      <w:pPr>
        <w:pStyle w:val="a7"/>
        <w:bidi/>
        <w:rPr>
          <w:rFonts w:ascii="Narkisim" w:hAnsi="Narkisim"/>
        </w:rPr>
      </w:pPr>
      <w:r w:rsidRPr="00D65870">
        <w:rPr>
          <w:rFonts w:ascii="Narkisim" w:hAnsi="Narkisim"/>
          <w:rtl/>
        </w:rPr>
        <w:t>ועוד תי' ה</w:t>
      </w:r>
      <w:r w:rsidRPr="00D65870">
        <w:rPr>
          <w:rFonts w:ascii="Narkisim" w:hAnsi="Narkisim"/>
          <w:b/>
          <w:bCs/>
          <w:rtl/>
        </w:rPr>
        <w:t>רא"ה</w:t>
      </w:r>
      <w:r w:rsidRPr="00D65870">
        <w:rPr>
          <w:rFonts w:ascii="Narkisim" w:hAnsi="Narkisim"/>
          <w:rtl/>
        </w:rPr>
        <w:t xml:space="preserve"> (הו' בריטב"א) דנקט בתוך ביתו, אבל בחצר שאינה מעורבת אסור</w:t>
      </w:r>
      <w:r w:rsidRPr="00D65870">
        <w:rPr>
          <w:rStyle w:val="ac"/>
          <w:rFonts w:ascii="Narkisim" w:hAnsi="Narkisim"/>
          <w:rtl/>
        </w:rPr>
        <w:footnoteReference w:id="6695"/>
      </w:r>
      <w:r w:rsidRPr="00D65870">
        <w:rPr>
          <w:rFonts w:ascii="Narkisim" w:hAnsi="Narkisim"/>
          <w:rtl/>
        </w:rPr>
        <w:t>, דהוה משוי</w:t>
      </w:r>
      <w:r w:rsidRPr="00D65870">
        <w:rPr>
          <w:rStyle w:val="ac"/>
          <w:rFonts w:ascii="Narkisim" w:hAnsi="Narkisim"/>
          <w:rtl/>
        </w:rPr>
        <w:footnoteReference w:id="6696"/>
      </w:r>
      <w:r w:rsidRPr="00D65870">
        <w:rPr>
          <w:rFonts w:ascii="Narkisim" w:hAnsi="Narkisim"/>
          <w:rtl/>
        </w:rPr>
        <w:t>. ויש איסור הוצאה ודין עירוב ביוה"כ (וכדאי' כריתות יד.).</w:t>
      </w:r>
    </w:p>
    <w:p w14:paraId="6B671BA2"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ב"ח</w:t>
      </w:r>
      <w:r w:rsidRPr="00D65870">
        <w:rPr>
          <w:rFonts w:ascii="Narkisim" w:hAnsi="Narkisim"/>
          <w:rtl/>
        </w:rPr>
        <w:t xml:space="preserve"> (או"ח תריד) הביא דבסמ"ג וסמ"ק מבואר דאנפיליא של בגד אסור אפי' בבית</w:t>
      </w:r>
      <w:r w:rsidRPr="00D65870">
        <w:rPr>
          <w:rStyle w:val="ac"/>
          <w:rFonts w:ascii="Narkisim" w:hAnsi="Narkisim"/>
          <w:rtl/>
        </w:rPr>
        <w:footnoteReference w:id="6697"/>
      </w:r>
      <w:r w:rsidRPr="00D65870">
        <w:rPr>
          <w:rFonts w:ascii="Narkisim" w:hAnsi="Narkisim"/>
          <w:rtl/>
        </w:rPr>
        <w:t>.</w:t>
      </w:r>
    </w:p>
    <w:p w14:paraId="6D9C1411" w14:textId="77777777" w:rsidR="006C4368" w:rsidRPr="00D65870" w:rsidRDefault="006C4368" w:rsidP="006C4368">
      <w:pPr>
        <w:pStyle w:val="aa"/>
        <w:bidi/>
        <w:rPr>
          <w:rFonts w:ascii="Narkisim" w:hAnsi="Narkisim"/>
        </w:rPr>
      </w:pPr>
      <w:r w:rsidRPr="00D65870">
        <w:rPr>
          <w:rFonts w:ascii="Narkisim" w:hAnsi="Narkisim"/>
          <w:u w:val="single"/>
          <w:rtl/>
        </w:rPr>
        <w:t>תניא כוותיה דרבא חלצה במנעל הנפרם שחופה את רוב הרגל וכו'</w:t>
      </w:r>
      <w:r w:rsidRPr="00D65870">
        <w:rPr>
          <w:rFonts w:ascii="Narkisim" w:hAnsi="Narkisim"/>
          <w:rtl/>
        </w:rPr>
        <w:t>. משמע דהוה בדיעבד, ולכתחילה לא יהא נפרם כלל.</w:t>
      </w:r>
    </w:p>
    <w:p w14:paraId="17BABC4D" w14:textId="77777777" w:rsidR="006C4368" w:rsidRPr="00D65870" w:rsidRDefault="006C4368" w:rsidP="006C4368">
      <w:pPr>
        <w:pStyle w:val="3"/>
        <w:bidi/>
        <w:rPr>
          <w:rFonts w:ascii="Narkisim" w:hAnsi="Narkisim"/>
        </w:rPr>
      </w:pPr>
      <w:r w:rsidRPr="00D65870">
        <w:rPr>
          <w:rFonts w:ascii="Narkisim" w:hAnsi="Narkisim"/>
          <w:rtl/>
        </w:rPr>
        <w:t>דף קג.</w:t>
      </w:r>
    </w:p>
    <w:p w14:paraId="71D68DA4" w14:textId="77777777" w:rsidR="006C4368" w:rsidRPr="00D65870" w:rsidRDefault="006C4368" w:rsidP="006C4368">
      <w:pPr>
        <w:pStyle w:val="aa"/>
        <w:bidi/>
        <w:rPr>
          <w:rFonts w:ascii="Narkisim" w:hAnsi="Narkisim"/>
        </w:rPr>
      </w:pPr>
      <w:r w:rsidRPr="00D65870">
        <w:rPr>
          <w:rFonts w:ascii="Narkisim" w:hAnsi="Narkisim"/>
          <w:u w:val="single"/>
          <w:rtl/>
        </w:rPr>
        <w:t>במנעל הנפרם שאין חופה את רוב הרגל, בסנדל הנפחת וכו'</w:t>
      </w:r>
      <w:r w:rsidRPr="00D65870">
        <w:rPr>
          <w:rFonts w:ascii="Narkisim" w:hAnsi="Narkisim"/>
          <w:rtl/>
        </w:rPr>
        <w:t>. [וכדאי' לעיל קב.]. ו</w:t>
      </w:r>
      <w:r w:rsidRPr="00D65870">
        <w:rPr>
          <w:rFonts w:ascii="Narkisim" w:hAnsi="Narkisim"/>
          <w:b/>
          <w:bCs/>
          <w:rtl/>
        </w:rPr>
        <w:t>רש"י</w:t>
      </w:r>
      <w:r w:rsidRPr="00D65870">
        <w:rPr>
          <w:rFonts w:ascii="Narkisim" w:hAnsi="Narkisim"/>
          <w:rtl/>
        </w:rPr>
        <w:t xml:space="preserve"> (בע"ב ד"ה מוחלט) מבואר דהוה גדר 'שיעור' בנעל. ולא צורה בחליצה.</w:t>
      </w:r>
    </w:p>
    <w:p w14:paraId="4F04CB35" w14:textId="77777777" w:rsidR="006C4368" w:rsidRPr="00D65870" w:rsidRDefault="006C4368" w:rsidP="006C4368">
      <w:pPr>
        <w:bidi/>
        <w:rPr>
          <w:rFonts w:ascii="Narkisim" w:hAnsi="Narkisim" w:cs="Narkisim"/>
        </w:rPr>
      </w:pPr>
      <w:r w:rsidRPr="00D65870">
        <w:rPr>
          <w:rFonts w:ascii="Narkisim" w:hAnsi="Narkisim" w:cs="Narkisim"/>
          <w:u w:val="single"/>
          <w:rtl/>
        </w:rPr>
        <w:t>קב הקיטע מני ר"מ היא, דתנן (שבת סה:) הקיטע יוצא בקב שלו דברי ר"מ, ר' יוסי אוסר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דהך ברייתא חשיב ליה מנעל, ולא דייק אנעלך תחש. ורבנן דייקי אנעלך תחש ול"מ אא"כ מחופה עור. [ונח' אי ילפי' מתחש]. אבל </w:t>
      </w:r>
      <w:r w:rsidRPr="00D65870">
        <w:rPr>
          <w:rFonts w:ascii="Narkisim" w:hAnsi="Narkisim" w:cs="Narkisim"/>
          <w:b/>
          <w:bCs/>
          <w:rtl/>
        </w:rPr>
        <w:t>תוס</w:t>
      </w:r>
      <w:r w:rsidRPr="00D65870">
        <w:rPr>
          <w:rFonts w:ascii="Narkisim" w:hAnsi="Narkisim" w:cs="Narkisim"/>
          <w:rtl/>
        </w:rPr>
        <w:t xml:space="preserve">' העמידו דהנידון במה שאין רגילות </w:t>
      </w:r>
      <w:r w:rsidRPr="00D65870">
        <w:rPr>
          <w:rFonts w:ascii="Narkisim" w:hAnsi="Narkisim" w:cs="Narkisim"/>
          <w:rtl/>
        </w:rPr>
        <w:lastRenderedPageBreak/>
        <w:t>לעשות נעל כן</w:t>
      </w:r>
      <w:r w:rsidRPr="00D65870">
        <w:rPr>
          <w:rStyle w:val="ac"/>
          <w:rFonts w:ascii="Narkisim" w:hAnsi="Narkisim" w:cs="Narkisim"/>
          <w:rtl/>
        </w:rPr>
        <w:footnoteReference w:id="6698"/>
      </w:r>
      <w:r w:rsidRPr="00D65870">
        <w:rPr>
          <w:rFonts w:ascii="Narkisim" w:hAnsi="Narkisim" w:cs="Narkisim"/>
          <w:rtl/>
        </w:rPr>
        <w:t>. וע"ע בסמוך.</w:t>
      </w:r>
    </w:p>
    <w:p w14:paraId="05F48933" w14:textId="77777777" w:rsidR="006C4368" w:rsidRPr="00D65870" w:rsidRDefault="006C4368" w:rsidP="006C4368">
      <w:pPr>
        <w:bidi/>
        <w:rPr>
          <w:rFonts w:ascii="Narkisim" w:hAnsi="Narkisim" w:cs="Narkisim"/>
        </w:rPr>
      </w:pPr>
      <w:r w:rsidRPr="00D65870">
        <w:rPr>
          <w:rFonts w:ascii="Narkisim" w:hAnsi="Narkisim" w:cs="Narkisim"/>
          <w:u w:val="single"/>
          <w:rtl/>
        </w:rPr>
        <w:t xml:space="preserve"> שם. ר' יוסי אוסר</w:t>
      </w:r>
      <w:r w:rsidRPr="00D65870">
        <w:rPr>
          <w:rFonts w:ascii="Narkisim" w:hAnsi="Narkisim" w:cs="Narkisim"/>
          <w:rtl/>
        </w:rPr>
        <w:t>. בפשוטו משמע בסוגיין דר' יוסי סבר דלאו נעל הוא</w:t>
      </w:r>
      <w:r w:rsidRPr="00D65870">
        <w:rPr>
          <w:rStyle w:val="ac"/>
          <w:rFonts w:ascii="Narkisim" w:hAnsi="Narkisim" w:cs="Narkisim"/>
          <w:rtl/>
        </w:rPr>
        <w:footnoteReference w:id="6699"/>
      </w:r>
      <w:r w:rsidRPr="00D65870">
        <w:rPr>
          <w:rFonts w:ascii="Narkisim" w:hAnsi="Narkisim" w:cs="Narkisim"/>
          <w:rtl/>
        </w:rPr>
        <w:t>, ומש"ה אינו יוצא בו בשבת. ומטעם זה ל"מ לחליצה. ו</w:t>
      </w:r>
      <w:r w:rsidRPr="00D65870">
        <w:rPr>
          <w:rFonts w:ascii="Narkisim" w:hAnsi="Narkisim" w:cs="Narkisim"/>
          <w:b/>
          <w:bCs/>
          <w:rtl/>
        </w:rPr>
        <w:t>תוס</w:t>
      </w:r>
      <w:r w:rsidRPr="00D65870">
        <w:rPr>
          <w:rFonts w:ascii="Narkisim" w:hAnsi="Narkisim" w:cs="Narkisim"/>
          <w:rtl/>
        </w:rPr>
        <w:t>' (ד"ה באנפיליא) הק' דמסקנת הגמ' (יומא) דסברת ר' יוסי משום גזירה דמיפסק ואתי לאתויי</w:t>
      </w:r>
      <w:r w:rsidRPr="00D65870">
        <w:rPr>
          <w:rStyle w:val="ac"/>
          <w:rFonts w:ascii="Narkisim" w:hAnsi="Narkisim" w:cs="Narkisim"/>
          <w:rtl/>
        </w:rPr>
        <w:footnoteReference w:id="6700"/>
      </w:r>
      <w:r w:rsidRPr="00D65870">
        <w:rPr>
          <w:rFonts w:ascii="Narkisim" w:hAnsi="Narkisim" w:cs="Narkisim"/>
          <w:rtl/>
        </w:rPr>
        <w:t>. משמע דלכו"ע הוה נעל</w:t>
      </w:r>
      <w:r w:rsidRPr="00D65870">
        <w:rPr>
          <w:rStyle w:val="ac"/>
          <w:rFonts w:ascii="Narkisim" w:hAnsi="Narkisim" w:cs="Narkisim"/>
          <w:rtl/>
        </w:rPr>
        <w:footnoteReference w:id="6701"/>
      </w:r>
      <w:r w:rsidRPr="00D65870">
        <w:rPr>
          <w:rFonts w:ascii="Narkisim" w:hAnsi="Narkisim" w:cs="Narkisim"/>
          <w:rtl/>
        </w:rPr>
        <w:t>.</w:t>
      </w:r>
    </w:p>
    <w:p w14:paraId="11400DF2"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(שבת סה:, והתו"י כאן) כת' דאפ"ה תלי בהא, דר' יוסי סבר דאינו ראוי להלך בו, ודמי לקטן שחלץ במנעל גדול דחליצתו פסולה, דבעינן מנעל הראוי לו. וכיון דר' יוסי גזר לענין שבת, ה"נ חיישינן דילמא מיפסק.</w:t>
      </w:r>
    </w:p>
    <w:p w14:paraId="6163BB07"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ר"י</w:t>
      </w:r>
      <w:r w:rsidRPr="00D65870">
        <w:rPr>
          <w:rFonts w:ascii="Narkisim" w:hAnsi="Narkisim"/>
          <w:rtl/>
        </w:rPr>
        <w:t xml:space="preserve"> (ב</w:t>
      </w:r>
      <w:r w:rsidRPr="00D65870">
        <w:rPr>
          <w:rFonts w:ascii="Narkisim" w:hAnsi="Narkisim"/>
          <w:b/>
          <w:bCs/>
          <w:rtl/>
        </w:rPr>
        <w:t>תוס'</w:t>
      </w:r>
      <w:r w:rsidRPr="00D65870">
        <w:rPr>
          <w:rFonts w:ascii="Narkisim" w:hAnsi="Narkisim"/>
          <w:rtl/>
        </w:rPr>
        <w:t xml:space="preserve"> יומא עח:, הו' בסמוך) כת' דמ"מ ס"ד דהמקשן בסוגיין דסברת ר' יוסי דמנעל הוה דוקא של עור. [ודלא כגמ' ביומא].</w:t>
      </w:r>
    </w:p>
    <w:p w14:paraId="4A0AEBA3"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כת' דהגמ' (כאן) לא קאי לאפוקי מדר' יוסי, אלא לאפוקי מר' יוחנן בן נורי (כדאי' שבת סו.), דס"ל (כלים יז יז) דכלים של קש טהור ממדרס</w:t>
      </w:r>
      <w:r w:rsidRPr="00D65870">
        <w:rPr>
          <w:rStyle w:val="ac"/>
          <w:rFonts w:ascii="Narkisim" w:hAnsi="Narkisim"/>
          <w:rtl/>
        </w:rPr>
        <w:footnoteReference w:id="6702"/>
      </w:r>
      <w:r w:rsidRPr="00D65870">
        <w:rPr>
          <w:rFonts w:ascii="Narkisim" w:hAnsi="Narkisim"/>
          <w:rtl/>
        </w:rPr>
        <w:t xml:space="preserve"> ור"ע מטמא.</w:t>
      </w:r>
    </w:p>
    <w:p w14:paraId="1FFE9BDE" w14:textId="77777777" w:rsidR="006C4368" w:rsidRPr="00D65870" w:rsidRDefault="006C4368" w:rsidP="006C4368">
      <w:pPr>
        <w:pStyle w:val="a8"/>
        <w:bidi/>
        <w:rPr>
          <w:rFonts w:ascii="Narkisim" w:hAnsi="Narkisim"/>
        </w:rPr>
      </w:pPr>
      <w:r w:rsidRPr="00D65870">
        <w:rPr>
          <w:rFonts w:ascii="Narkisim" w:hAnsi="Narkisim"/>
          <w:rtl/>
        </w:rPr>
        <w:t>ובמשנה (עדיות ב ח, הו' שבת שם</w:t>
      </w:r>
      <w:r w:rsidRPr="00D65870">
        <w:rPr>
          <w:rStyle w:val="ac"/>
          <w:rFonts w:ascii="Narkisim" w:hAnsi="Narkisim"/>
          <w:rtl/>
        </w:rPr>
        <w:footnoteReference w:id="6703"/>
      </w:r>
      <w:r w:rsidRPr="00D65870">
        <w:rPr>
          <w:rFonts w:ascii="Narkisim" w:hAnsi="Narkisim"/>
          <w:rtl/>
        </w:rPr>
        <w:t>) אי' דלר"ע סנדל של סיידין</w:t>
      </w:r>
      <w:r w:rsidRPr="00D65870">
        <w:rPr>
          <w:rStyle w:val="ac"/>
          <w:rFonts w:ascii="Narkisim" w:hAnsi="Narkisim"/>
          <w:rtl/>
        </w:rPr>
        <w:footnoteReference w:id="6704"/>
      </w:r>
      <w:r w:rsidRPr="00D65870">
        <w:rPr>
          <w:rFonts w:ascii="Narkisim" w:hAnsi="Narkisim"/>
          <w:rtl/>
        </w:rPr>
        <w:t xml:space="preserve"> טמא מדרס ואשה חולצת בו. ולא הודו לו. ואמר רב הונא דר' יוסי לא הודה לו [דס"ל דקב קיטע אין יוצאין בו בשבת]. ורב יוסף אמר דר' יוחנן בן נורי לא הודה לו.</w:t>
      </w:r>
    </w:p>
    <w:p w14:paraId="05AE4A5A"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הביא דלא הודו לו בכולהו, וס"ל דאין חולצין בו.</w:t>
      </w:r>
    </w:p>
    <w:p w14:paraId="0A6702BD" w14:textId="77777777" w:rsidR="006C4368" w:rsidRPr="00D65870" w:rsidRDefault="006C4368" w:rsidP="006C4368">
      <w:pPr>
        <w:bidi/>
        <w:rPr>
          <w:rFonts w:ascii="Narkisim" w:hAnsi="Narkisim" w:cs="Narkisim"/>
        </w:rPr>
      </w:pPr>
      <w:r w:rsidRPr="00D65870">
        <w:rPr>
          <w:rFonts w:ascii="Narkisim" w:hAnsi="Narkisim" w:cs="Narkisim"/>
          <w:u w:val="single"/>
          <w:rtl/>
        </w:rPr>
        <w:t>באנפיליא של בגד, אתאן לרבנן</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דלרבנן בעינן דומיא דתחש. ו</w:t>
      </w:r>
      <w:r w:rsidRPr="00D65870">
        <w:rPr>
          <w:rFonts w:ascii="Narkisim" w:hAnsi="Narkisim" w:cs="Narkisim"/>
          <w:b/>
          <w:bCs/>
          <w:rtl/>
        </w:rPr>
        <w:t>תוס</w:t>
      </w:r>
      <w:r w:rsidRPr="00D65870">
        <w:rPr>
          <w:rFonts w:ascii="Narkisim" w:hAnsi="Narkisim" w:cs="Narkisim"/>
          <w:rtl/>
        </w:rPr>
        <w:t>' פי' דכיון דרבנן ס"ל דקב הקיטע לא חשיב מנעל, כיון שאין רגילות לעשות כן. א"כ אף של בגד.</w:t>
      </w:r>
    </w:p>
    <w:p w14:paraId="2CE0CE4D"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ר' שמשון</w:t>
      </w:r>
      <w:r w:rsidRPr="00D65870">
        <w:rPr>
          <w:rFonts w:ascii="Narkisim" w:hAnsi="Narkisim"/>
          <w:rtl/>
        </w:rPr>
        <w:t xml:space="preserve"> (בתוס' יומא עח:) הק' לדברי ה</w:t>
      </w:r>
      <w:r w:rsidRPr="00D65870">
        <w:rPr>
          <w:rFonts w:ascii="Narkisim" w:hAnsi="Narkisim"/>
          <w:b/>
          <w:bCs/>
          <w:rtl/>
        </w:rPr>
        <w:t>תוס'</w:t>
      </w:r>
      <w:r w:rsidRPr="00D65870">
        <w:rPr>
          <w:rFonts w:ascii="Narkisim" w:hAnsi="Narkisim"/>
          <w:rtl/>
        </w:rPr>
        <w:t xml:space="preserve"> (שבת הנ"ל) דסברת ר' יוסי בקב הקיטע משום דנופל ואין דרך לילך בו, א"כ במה שייך לחליצה באנפיליא של בגד. [</w:t>
      </w:r>
      <w:r w:rsidRPr="00D65870">
        <w:rPr>
          <w:rFonts w:ascii="Narkisim" w:hAnsi="Narkisim"/>
          <w:szCs w:val="20"/>
          <w:rtl/>
        </w:rPr>
        <w:t>והרמב"ן שבת סו. האריך בזה]</w:t>
      </w:r>
      <w:r w:rsidRPr="00D65870">
        <w:rPr>
          <w:rFonts w:ascii="Narkisim" w:hAnsi="Narkisim"/>
          <w:rtl/>
        </w:rPr>
        <w:t>. ו</w:t>
      </w:r>
      <w:r w:rsidRPr="00D65870">
        <w:rPr>
          <w:rFonts w:ascii="Narkisim" w:hAnsi="Narkisim"/>
          <w:b/>
          <w:bCs/>
          <w:rtl/>
        </w:rPr>
        <w:t>ר"י</w:t>
      </w:r>
      <w:r w:rsidRPr="00D65870">
        <w:rPr>
          <w:rFonts w:ascii="Narkisim" w:hAnsi="Narkisim"/>
          <w:rtl/>
        </w:rPr>
        <w:t xml:space="preserve"> תי' דדעת המקשן (כאן) דטעמא דר' יוסי משום דלא חשיב מנעל אלא של עור. דבענין אחר לא מיתוקמא ליה הא דקתני באנפליא של בגד חליצה פסולה.</w:t>
      </w:r>
    </w:p>
    <w:p w14:paraId="475717F2"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תו"י</w:t>
      </w:r>
      <w:r w:rsidRPr="00D65870">
        <w:rPr>
          <w:rFonts w:ascii="Narkisim" w:hAnsi="Narkisim" w:cs="Narkisim"/>
          <w:rtl/>
        </w:rPr>
        <w:t xml:space="preserve"> (יומא עח:) הביא דרב (לעיל קב:) פוסל סנדל התפור בפשתן, משום דתחש כתיב. והא בסוגיין כו"ע מכשרי סנדל של עץ לחליצה, ור' יוסי פוסל רק לפי שאין רגילות לעשותו מעץ.</w:t>
      </w:r>
    </w:p>
    <w:p w14:paraId="733E6CB0"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תו"י</w:t>
      </w:r>
      <w:r w:rsidRPr="00D65870">
        <w:rPr>
          <w:rFonts w:ascii="Narkisim" w:hAnsi="Narkisim"/>
          <w:rtl/>
        </w:rPr>
        <w:t xml:space="preserve"> תי' דרב סבר דר' יוחנן בן נורי פוסל משום דתחש כתיב. ודחה דלא משמע הכי.</w:t>
      </w:r>
    </w:p>
    <w:p w14:paraId="3CDC8A9B" w14:textId="77777777" w:rsidR="006C4368" w:rsidRPr="00D65870" w:rsidRDefault="006C4368" w:rsidP="006C4368">
      <w:pPr>
        <w:pStyle w:val="a7"/>
        <w:bidi/>
        <w:rPr>
          <w:rFonts w:ascii="Narkisim" w:hAnsi="Narkisim"/>
        </w:rPr>
      </w:pPr>
      <w:r w:rsidRPr="00D65870">
        <w:rPr>
          <w:rFonts w:ascii="Narkisim" w:hAnsi="Narkisim"/>
          <w:rtl/>
        </w:rPr>
        <w:t>ועוד פי' ה</w:t>
      </w:r>
      <w:r w:rsidRPr="00D65870">
        <w:rPr>
          <w:rFonts w:ascii="Narkisim" w:hAnsi="Narkisim"/>
          <w:b/>
          <w:bCs/>
          <w:rtl/>
        </w:rPr>
        <w:t>תו"י</w:t>
      </w:r>
      <w:r w:rsidRPr="00D65870">
        <w:rPr>
          <w:rFonts w:ascii="Narkisim" w:hAnsi="Narkisim"/>
          <w:rtl/>
        </w:rPr>
        <w:t xml:space="preserve"> [בשם רבי] די"ל דרב גזר מנעל התפור בפשתן [כעין מנעלים שלנו] אטו כולו </w:t>
      </w:r>
      <w:r w:rsidRPr="00D65870">
        <w:rPr>
          <w:rFonts w:ascii="Narkisim" w:hAnsi="Narkisim"/>
          <w:rtl/>
        </w:rPr>
        <w:lastRenderedPageBreak/>
        <w:t>מפשתן או משיער</w:t>
      </w:r>
      <w:r w:rsidRPr="00D65870">
        <w:rPr>
          <w:rStyle w:val="ac"/>
          <w:rFonts w:ascii="Narkisim" w:hAnsi="Narkisim"/>
          <w:rtl/>
        </w:rPr>
        <w:footnoteReference w:id="6705"/>
      </w:r>
      <w:r w:rsidRPr="00D65870">
        <w:rPr>
          <w:rFonts w:ascii="Narkisim" w:hAnsi="Narkisim"/>
          <w:rtl/>
        </w:rPr>
        <w:t xml:space="preserve"> דלא מגין, ופסול מדרבנן</w:t>
      </w:r>
      <w:r w:rsidRPr="00D65870">
        <w:rPr>
          <w:rStyle w:val="ac"/>
          <w:rFonts w:ascii="Narkisim" w:hAnsi="Narkisim"/>
          <w:rtl/>
        </w:rPr>
        <w:footnoteReference w:id="6706"/>
      </w:r>
      <w:r w:rsidRPr="00D65870">
        <w:rPr>
          <w:rFonts w:ascii="Narkisim" w:hAnsi="Narkisim"/>
          <w:rtl/>
        </w:rPr>
        <w:t>. [והא דקאמר תחש כתיב אסמכתא בעלמא].</w:t>
      </w:r>
    </w:p>
    <w:p w14:paraId="73BE4116"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תו"י</w:t>
      </w:r>
      <w:r w:rsidRPr="00D65870">
        <w:rPr>
          <w:rFonts w:ascii="Narkisim" w:hAnsi="Narkisim"/>
          <w:rtl/>
        </w:rPr>
        <w:t xml:space="preserve"> כת' דלפ"ז סנדל של עץ שפיר דמי. ועוד העלה צד דרב בעי עור דוקא [ופסל בשל עץ], כדי להעמיד אסמכתא שלו דתחש.</w:t>
      </w:r>
    </w:p>
    <w:p w14:paraId="64D3CE98" w14:textId="77777777" w:rsidR="006C4368" w:rsidRPr="00D65870" w:rsidRDefault="006C4368" w:rsidP="006C4368">
      <w:pPr>
        <w:pStyle w:val="a8"/>
        <w:bidi/>
        <w:rPr>
          <w:rFonts w:ascii="Narkisim" w:hAnsi="Narkisim"/>
        </w:rPr>
      </w:pPr>
      <w:r w:rsidRPr="00D65870">
        <w:rPr>
          <w:rFonts w:ascii="Narkisim" w:hAnsi="Narkisim"/>
          <w:rtl/>
        </w:rPr>
        <w:t>ועוד כת' דרב פוסל לכתחילה בתפור פשתן, אבל בדיעבד שפיר דמי. וכן בשל עץ. [ולענין לכתחילה ילפי' מתחש].</w:t>
      </w:r>
    </w:p>
    <w:p w14:paraId="2CA982C0" w14:textId="77777777" w:rsidR="006C4368" w:rsidRPr="00D65870" w:rsidRDefault="006C4368" w:rsidP="006C4368">
      <w:pPr>
        <w:bidi/>
        <w:rPr>
          <w:rFonts w:ascii="Narkisim" w:hAnsi="Narkisim" w:cs="Narkisim"/>
        </w:rPr>
      </w:pPr>
      <w:r w:rsidRPr="00D65870">
        <w:rPr>
          <w:rFonts w:ascii="Narkisim" w:hAnsi="Narkisim" w:cs="Narkisim"/>
          <w:u w:val="single"/>
          <w:rtl/>
        </w:rPr>
        <w:t>אמר אביי וכו' רישא במחופה עור</w:t>
      </w:r>
      <w:r w:rsidRPr="00D65870">
        <w:rPr>
          <w:rFonts w:ascii="Narkisim" w:hAnsi="Narkisim" w:cs="Narkisim"/>
          <w:rtl/>
        </w:rPr>
        <w:t>. [ועד"ז אמר אבוה דשמואל (לקמן בע"ב) דסנדל של עץ דמתני' איירי במחופה עור]. ובפשוטו משמע דסגי בחיפוי העור מבחוץ. ולכאורה הטעם דעי"ז נחשב 'תחש'.</w:t>
      </w:r>
    </w:p>
    <w:p w14:paraId="7E09B7F1"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(יומא עח:) הק' למש"כ דהטעם משום דילמא מיפסק, א"כ מה מהני מחופה עור. ואף ע"י חיפוי עור יש לחוש דילמא מיפסיק. וי"ל דאיירי מחופה עור בפנים, ומתוך כך הוא מתקצר ומתיישב למדת רגלו</w:t>
      </w:r>
      <w:r w:rsidRPr="00D65870">
        <w:rPr>
          <w:rStyle w:val="ac"/>
          <w:rFonts w:ascii="Narkisim" w:hAnsi="Narkisim"/>
          <w:rtl/>
        </w:rPr>
        <w:footnoteReference w:id="6707"/>
      </w:r>
      <w:r w:rsidRPr="00D65870">
        <w:rPr>
          <w:rFonts w:ascii="Narkisim" w:hAnsi="Narkisim"/>
          <w:rtl/>
        </w:rPr>
        <w:t>. א"נ ע"י שהוא מחופה הוא יכול לכופלו ולקושרו כדי שיעמוד בחוזק סביב רגלו.</w:t>
      </w:r>
    </w:p>
    <w:p w14:paraId="55E2A198" w14:textId="77777777" w:rsidR="006C4368" w:rsidRPr="00D65870" w:rsidRDefault="006C4368" w:rsidP="006C4368">
      <w:pPr>
        <w:pStyle w:val="aa"/>
        <w:bidi/>
        <w:rPr>
          <w:rFonts w:ascii="Narkisim" w:hAnsi="Narkisim"/>
        </w:rPr>
      </w:pPr>
      <w:r w:rsidRPr="00D65870">
        <w:rPr>
          <w:rFonts w:ascii="Narkisim" w:hAnsi="Narkisim"/>
          <w:u w:val="single"/>
          <w:rtl/>
        </w:rPr>
        <w:t>אלא אמר רבא וכו' סיפא נמי ר' מאיר, האי מגין וכו'</w:t>
      </w:r>
      <w:r w:rsidRPr="00D65870">
        <w:rPr>
          <w:rFonts w:ascii="Narkisim" w:hAnsi="Narkisim"/>
          <w:rtl/>
        </w:rPr>
        <w:t>. בפשוטו משמע ב</w:t>
      </w:r>
      <w:r w:rsidRPr="00D65870">
        <w:rPr>
          <w:rFonts w:ascii="Narkisim" w:hAnsi="Narkisim"/>
          <w:b/>
          <w:bCs/>
          <w:rtl/>
        </w:rPr>
        <w:t>רש"י</w:t>
      </w:r>
      <w:r w:rsidRPr="00D65870">
        <w:rPr>
          <w:rFonts w:ascii="Narkisim" w:hAnsi="Narkisim"/>
          <w:rtl/>
        </w:rPr>
        <w:t xml:space="preserve"> דהוה סברא, דהא ר' מאיר לא דרש תחש. אבל </w:t>
      </w:r>
      <w:r w:rsidRPr="00D65870">
        <w:rPr>
          <w:rFonts w:ascii="Narkisim" w:hAnsi="Narkisim"/>
          <w:b/>
          <w:bCs/>
          <w:rtl/>
        </w:rPr>
        <w:t>רש"י</w:t>
      </w:r>
      <w:r w:rsidRPr="00D65870">
        <w:rPr>
          <w:rFonts w:ascii="Narkisim" w:hAnsi="Narkisim"/>
          <w:rtl/>
        </w:rPr>
        <w:t xml:space="preserve"> (במשנה קא.) כת' דילפי' סברא זו מ'תחש'. [ואפשר דלא הוה ילפותא גמורה, דומיה דתחש. אלא גילוי מילתא דכה"ג מקרי 'נעל'].</w:t>
      </w:r>
    </w:p>
    <w:p w14:paraId="725E2699" w14:textId="77777777" w:rsidR="006C4368" w:rsidRPr="00D65870" w:rsidRDefault="006C4368" w:rsidP="006C4368">
      <w:pPr>
        <w:pStyle w:val="2"/>
        <w:bidi/>
        <w:rPr>
          <w:rFonts w:ascii="Narkisim" w:hAnsi="Narkisim"/>
        </w:rPr>
      </w:pPr>
      <w:r w:rsidRPr="00D65870">
        <w:rPr>
          <w:rFonts w:ascii="Narkisim" w:hAnsi="Narkisim"/>
          <w:rtl/>
        </w:rPr>
        <w:t>בין יושב</w:t>
      </w:r>
    </w:p>
    <w:p w14:paraId="20FBA861" w14:textId="77777777" w:rsidR="006C4368" w:rsidRPr="00D65870" w:rsidRDefault="006C4368" w:rsidP="006C4368">
      <w:pPr>
        <w:bidi/>
        <w:rPr>
          <w:rFonts w:ascii="Narkisim" w:hAnsi="Narkisim" w:cs="Narkisim"/>
        </w:rPr>
      </w:pPr>
      <w:r w:rsidRPr="00D65870">
        <w:rPr>
          <w:rFonts w:ascii="Narkisim" w:hAnsi="Narkisim" w:cs="Narkisim"/>
          <w:u w:val="single"/>
          <w:rtl/>
        </w:rPr>
        <w:t>תוד"ה בין</w:t>
      </w:r>
      <w:r w:rsidRPr="00D65870">
        <w:rPr>
          <w:rFonts w:ascii="Narkisim" w:hAnsi="Narkisim" w:cs="Narkisim"/>
          <w:rtl/>
        </w:rPr>
        <w:t>. וי"ל משום דאמר (לקמן קד.) דהו' כגמר דין וכו'. ה</w:t>
      </w:r>
      <w:r w:rsidRPr="00D65870">
        <w:rPr>
          <w:rFonts w:ascii="Narkisim" w:hAnsi="Narkisim" w:cs="Narkisim"/>
          <w:b/>
          <w:bCs/>
          <w:rtl/>
        </w:rPr>
        <w:t>אחרונים</w:t>
      </w:r>
      <w:r w:rsidRPr="00D65870">
        <w:rPr>
          <w:rFonts w:ascii="Narkisim" w:hAnsi="Narkisim" w:cs="Narkisim"/>
          <w:rtl/>
        </w:rPr>
        <w:t xml:space="preserve"> (נוב"י ק' עד, גר"א קסט מא, בית מאיר סדר חליצה מז) הק' דנח' בזה (לקמן שם) אי הוה תחילת דין או גמ"ד, וקי"ל דחליצה פסולה בלילה, דהוה כתחילת דין. ותי' דהיינו לחומרא, ומ"מ הוה ג"כ כמו גמר דין.</w:t>
      </w:r>
    </w:p>
    <w:p w14:paraId="7177612F" w14:textId="77777777" w:rsidR="006C4368" w:rsidRPr="00D65870" w:rsidRDefault="006C4368" w:rsidP="006C4368">
      <w:pPr>
        <w:bidi/>
        <w:rPr>
          <w:rFonts w:ascii="Narkisim" w:hAnsi="Narkisim" w:cs="Narkisim"/>
        </w:rPr>
      </w:pPr>
      <w:r w:rsidRPr="00D65870">
        <w:rPr>
          <w:rFonts w:ascii="Narkisim" w:hAnsi="Narkisim" w:cs="Narkisim"/>
          <w:u w:val="single"/>
          <w:rtl/>
        </w:rPr>
        <w:t>בא"ד ומה"ט בעינן (לקמן קו. לל"ב דרש"י) עמידה לכתחילה וכו'</w:t>
      </w:r>
      <w:r w:rsidRPr="00D65870">
        <w:rPr>
          <w:rFonts w:ascii="Narkisim" w:hAnsi="Narkisim" w:cs="Narkisim"/>
          <w:rtl/>
        </w:rPr>
        <w:t>. [וכן ה</w:t>
      </w:r>
      <w:r w:rsidRPr="00D65870">
        <w:rPr>
          <w:rFonts w:ascii="Narkisim" w:hAnsi="Narkisim" w:cs="Narkisim"/>
          <w:b/>
          <w:bCs/>
          <w:rtl/>
        </w:rPr>
        <w:t>גאונים</w:t>
      </w:r>
      <w:r w:rsidRPr="00D65870">
        <w:rPr>
          <w:rFonts w:ascii="Narkisim" w:hAnsi="Narkisim" w:cs="Narkisim"/>
          <w:rtl/>
        </w:rPr>
        <w:t xml:space="preserve"> בסדר החליצה הביאו דהיבם יעמוד</w:t>
      </w:r>
      <w:r w:rsidRPr="00D65870">
        <w:rPr>
          <w:rStyle w:val="ac"/>
          <w:rFonts w:ascii="Narkisim" w:hAnsi="Narkisim" w:cs="Narkisim"/>
          <w:rtl/>
        </w:rPr>
        <w:footnoteReference w:id="6708"/>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ס' הזכות ביאר דהוה לכתחילה]. אבל ה</w:t>
      </w:r>
      <w:r w:rsidRPr="00D65870">
        <w:rPr>
          <w:rFonts w:ascii="Narkisim" w:hAnsi="Narkisim" w:cs="Narkisim"/>
          <w:b/>
          <w:bCs/>
          <w:rtl/>
        </w:rPr>
        <w:t>רשב"א</w:t>
      </w:r>
      <w:r w:rsidRPr="00D65870">
        <w:rPr>
          <w:rFonts w:ascii="Narkisim" w:hAnsi="Narkisim" w:cs="Narkisim"/>
          <w:rtl/>
        </w:rPr>
        <w:t xml:space="preserve"> (בסמוך) הביא דמשמע בגמ' (בסמוך) דאף לכתחילה ל"צ עמידה. דאל"כ מה הק' מהא דצריך לדחוס רגלו, נימא דהוה לכתחילה.</w:t>
      </w:r>
    </w:p>
    <w:p w14:paraId="0BD84103" w14:textId="77777777" w:rsidR="006C4368" w:rsidRPr="00D65870" w:rsidRDefault="006C4368" w:rsidP="006C4368">
      <w:pPr>
        <w:bidi/>
        <w:rPr>
          <w:rFonts w:ascii="Narkisim" w:hAnsi="Narkisim" w:cs="Narkisim"/>
        </w:rPr>
      </w:pPr>
      <w:r w:rsidRPr="00D65870">
        <w:rPr>
          <w:rFonts w:ascii="Narkisim" w:hAnsi="Narkisim" w:cs="Narkisim"/>
          <w:u w:val="single"/>
          <w:rtl/>
        </w:rPr>
        <w:t>בא"ד אבל ועמד אינו אלא סיפור דברים בעלמא וכו' אחר ועמד כתיב המעשה וכו'</w:t>
      </w:r>
      <w:r w:rsidRPr="00D65870">
        <w:rPr>
          <w:rFonts w:ascii="Narkisim" w:hAnsi="Narkisim" w:cs="Narkisim"/>
          <w:rtl/>
        </w:rPr>
        <w:t xml:space="preserve">. [וכדאי' במו"ק כא. דיושב כשר בחליצה, דמי כתיב ויעמוד אלא ועמד]. ועד"ז כת' </w:t>
      </w:r>
      <w:r w:rsidRPr="00D65870">
        <w:rPr>
          <w:rFonts w:ascii="Narkisim" w:hAnsi="Narkisim" w:cs="Narkisim"/>
          <w:b/>
          <w:bCs/>
          <w:rtl/>
        </w:rPr>
        <w:t>תוס'</w:t>
      </w:r>
      <w:r w:rsidRPr="00D65870">
        <w:rPr>
          <w:rFonts w:ascii="Narkisim" w:hAnsi="Narkisim" w:cs="Narkisim"/>
          <w:rtl/>
        </w:rPr>
        <w:t xml:space="preserve"> בכ"מ (זבחים טז., שבועות ל.).</w:t>
      </w:r>
    </w:p>
    <w:p w14:paraId="0242CA2A"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(זבחים טז.) כת' דע"כ ה</w:t>
      </w:r>
      <w:r w:rsidRPr="00D65870">
        <w:rPr>
          <w:rFonts w:ascii="Narkisim" w:hAnsi="Narkisim"/>
          <w:b/>
          <w:bCs/>
          <w:rtl/>
        </w:rPr>
        <w:t>ספרי</w:t>
      </w:r>
      <w:r w:rsidRPr="00D65870">
        <w:rPr>
          <w:rFonts w:ascii="Narkisim" w:hAnsi="Narkisim"/>
          <w:rtl/>
        </w:rPr>
        <w:t xml:space="preserve"> (תצא רצ) הוה אסמכתא, דאי דרשינן ועמד בעמידה א"כ מעכב [דהא כתיב ככה]. ו</w:t>
      </w:r>
      <w:r w:rsidRPr="00D65870">
        <w:rPr>
          <w:rFonts w:ascii="Narkisim" w:hAnsi="Narkisim"/>
          <w:b/>
          <w:bCs/>
          <w:rtl/>
        </w:rPr>
        <w:t>תוס</w:t>
      </w:r>
      <w:r w:rsidRPr="00D65870">
        <w:rPr>
          <w:rFonts w:ascii="Narkisim" w:hAnsi="Narkisim"/>
          <w:rtl/>
        </w:rPr>
        <w:t xml:space="preserve">' </w:t>
      </w:r>
      <w:r w:rsidRPr="00D65870">
        <w:rPr>
          <w:rFonts w:ascii="Narkisim" w:hAnsi="Narkisim"/>
          <w:szCs w:val="20"/>
          <w:rtl/>
        </w:rPr>
        <w:t>(בתי' הא', ותוס' שבועות, וכ"מ ברש"י קו.)</w:t>
      </w:r>
      <w:r w:rsidRPr="00D65870">
        <w:rPr>
          <w:rFonts w:ascii="Narkisim" w:hAnsi="Narkisim"/>
          <w:rtl/>
        </w:rPr>
        <w:t xml:space="preserve"> כת' דלכתחילה צריך לעמוד משום דחליצה הוה דין, ובעלי דין בעמידה</w:t>
      </w:r>
      <w:r w:rsidRPr="00D65870">
        <w:rPr>
          <w:rStyle w:val="ac"/>
          <w:rFonts w:ascii="Narkisim" w:hAnsi="Narkisim"/>
          <w:rtl/>
        </w:rPr>
        <w:footnoteReference w:id="6709"/>
      </w:r>
      <w:r w:rsidRPr="00D65870">
        <w:rPr>
          <w:rFonts w:ascii="Narkisim" w:hAnsi="Narkisim"/>
          <w:rtl/>
        </w:rPr>
        <w:t>.</w:t>
      </w:r>
    </w:p>
    <w:p w14:paraId="575257F7" w14:textId="77777777" w:rsidR="006C4368" w:rsidRPr="00D65870" w:rsidRDefault="006C4368" w:rsidP="006C4368">
      <w:pPr>
        <w:pStyle w:val="a7"/>
        <w:bidi/>
        <w:rPr>
          <w:rFonts w:ascii="Narkisim" w:hAnsi="Narkisim"/>
        </w:rPr>
      </w:pPr>
      <w:r w:rsidRPr="00D65870">
        <w:rPr>
          <w:rFonts w:ascii="Narkisim" w:hAnsi="Narkisim"/>
          <w:rtl/>
        </w:rPr>
        <w:t xml:space="preserve">אבל תוס' הביאו בשם </w:t>
      </w:r>
      <w:r w:rsidRPr="00D65870">
        <w:rPr>
          <w:rFonts w:ascii="Narkisim" w:hAnsi="Narkisim"/>
          <w:b/>
          <w:bCs/>
          <w:rtl/>
        </w:rPr>
        <w:t>ר' יהודה</w:t>
      </w:r>
      <w:r w:rsidRPr="00D65870">
        <w:rPr>
          <w:rFonts w:ascii="Narkisim" w:hAnsi="Narkisim"/>
          <w:rtl/>
        </w:rPr>
        <w:t xml:space="preserve"> דדרשת הספרי הוה לכתחילה. [ולפ"ז הוה לכתחילה מדאורייתא]. וה</w:t>
      </w:r>
      <w:r w:rsidRPr="00D65870">
        <w:rPr>
          <w:rFonts w:ascii="Narkisim" w:hAnsi="Narkisim"/>
          <w:b/>
          <w:bCs/>
          <w:rtl/>
        </w:rPr>
        <w:t>רמב"ן</w:t>
      </w:r>
      <w:r w:rsidRPr="00D65870">
        <w:rPr>
          <w:rFonts w:ascii="Narkisim" w:hAnsi="Narkisim"/>
          <w:rtl/>
        </w:rPr>
        <w:t xml:space="preserve"> (לקמן קו:) ביאר דלפ"ז הגמ' (מו"ק) קאי אהא דקריעה בעמידה הוה לעיכובא, והיכא דקרע מיושב צריך לחזור ולקרוע. וקו' הגמ' דמי כתיב ויעמד ויאמר דמשמע עיכובא, אלא ועמד ואמר כתיב, דמשמע למצוה.</w:t>
      </w:r>
    </w:p>
    <w:p w14:paraId="0D058D1B"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כת' דדעת ה</w:t>
      </w:r>
      <w:r w:rsidRPr="00D65870">
        <w:rPr>
          <w:rFonts w:ascii="Narkisim" w:hAnsi="Narkisim"/>
          <w:b/>
          <w:bCs/>
          <w:rtl/>
        </w:rPr>
        <w:t>ספרי</w:t>
      </w:r>
      <w:r w:rsidRPr="00D65870">
        <w:rPr>
          <w:rFonts w:ascii="Narkisim" w:hAnsi="Narkisim"/>
          <w:rtl/>
        </w:rPr>
        <w:t xml:space="preserve"> דצריך לעמוד לעיכובא. ופליג אברייתא דסוגיין</w:t>
      </w:r>
      <w:r w:rsidRPr="00D65870">
        <w:rPr>
          <w:rStyle w:val="ac"/>
          <w:rFonts w:ascii="Narkisim" w:hAnsi="Narkisim"/>
          <w:rtl/>
        </w:rPr>
        <w:footnoteReference w:id="6710"/>
      </w:r>
      <w:r w:rsidRPr="00D65870">
        <w:rPr>
          <w:rFonts w:ascii="Narkisim" w:hAnsi="Narkisim"/>
          <w:rtl/>
        </w:rPr>
        <w:t>.</w:t>
      </w:r>
    </w:p>
    <w:p w14:paraId="2902FE48"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וה</w:t>
      </w:r>
      <w:r w:rsidRPr="00D65870">
        <w:rPr>
          <w:rFonts w:ascii="Narkisim" w:hAnsi="Narkisim" w:cs="Narkisim"/>
          <w:b/>
          <w:bCs/>
          <w:rtl/>
        </w:rPr>
        <w:t>רמב"ם</w:t>
      </w:r>
      <w:r w:rsidRPr="00D65870">
        <w:rPr>
          <w:rFonts w:ascii="Narkisim" w:hAnsi="Narkisim" w:cs="Narkisim"/>
          <w:rtl/>
        </w:rPr>
        <w:t xml:space="preserve"> (ד ז) כת' דבשעת חליצת הנעל ל"צ לעמוד. אבל מצוות החליצה שיהיו שניהן </w:t>
      </w:r>
      <w:r w:rsidRPr="00D65870">
        <w:rPr>
          <w:rFonts w:ascii="Narkisim" w:hAnsi="Narkisim" w:cs="Narkisim"/>
          <w:rtl/>
        </w:rPr>
        <w:lastRenderedPageBreak/>
        <w:t>עומדין בשעת קריאה ובשעת רקיקה. ו</w:t>
      </w:r>
      <w:r w:rsidRPr="00D65870">
        <w:rPr>
          <w:rFonts w:ascii="Narkisim" w:hAnsi="Narkisim" w:cs="Narkisim"/>
          <w:b/>
          <w:bCs/>
          <w:rtl/>
        </w:rPr>
        <w:t>ה"ה</w:t>
      </w:r>
      <w:r w:rsidRPr="00D65870">
        <w:rPr>
          <w:rFonts w:ascii="Narkisim" w:hAnsi="Narkisim" w:cs="Narkisim"/>
          <w:rtl/>
        </w:rPr>
        <w:t xml:space="preserve"> הביא דהספרי קאי אאמירתו, דועמד ואמר. וכן אף אמירת היבמה שווה לזה. וילפי' רקיקה מעומד, דכיון דצריכי דייני למיחזי רוקא כי נפיק מפומה (כדאי' קא: קו:), מש"ה הוה כדין. ולכתחילה צריכין לעמוד. ובסוגיין אמרי' דחליצת הנעל אפי' לכתחילה מיושב. והיבמה יושבת ואח"כ עומדת.</w:t>
      </w:r>
    </w:p>
    <w:p w14:paraId="72E1CFD8" w14:textId="77777777" w:rsidR="006C4368" w:rsidRPr="00D65870" w:rsidRDefault="006C4368" w:rsidP="006C4368">
      <w:pPr>
        <w:bidi/>
        <w:rPr>
          <w:rFonts w:ascii="Narkisim" w:hAnsi="Narkisim" w:cs="Narkisim"/>
        </w:rPr>
      </w:pPr>
      <w:r w:rsidRPr="00D65870">
        <w:rPr>
          <w:rFonts w:ascii="Narkisim" w:hAnsi="Narkisim" w:cs="Narkisim"/>
          <w:u w:val="single"/>
          <w:rtl/>
        </w:rPr>
        <w:t>תוד"ה והחולצת מן הסומא</w:t>
      </w:r>
      <w:r w:rsidRPr="00D65870">
        <w:rPr>
          <w:rFonts w:ascii="Narkisim" w:hAnsi="Narkisim" w:cs="Narkisim"/>
          <w:rtl/>
        </w:rPr>
        <w:t>. א"נ משום דכתיב וירקה בפניו וכו' קמ"ל דלא. ובפשוטו משמע בתוס' דהוה ס"ד בעלמא, ולמסקנא סומא חולץ אפי' לכתחילה [וכ"כ ה</w:t>
      </w:r>
      <w:r w:rsidRPr="00D65870">
        <w:rPr>
          <w:rFonts w:ascii="Narkisim" w:hAnsi="Narkisim" w:cs="Narkisim"/>
          <w:b/>
          <w:bCs/>
          <w:rtl/>
        </w:rPr>
        <w:t>ריטב"א</w:t>
      </w:r>
      <w:r w:rsidRPr="00D65870">
        <w:rPr>
          <w:rFonts w:ascii="Narkisim" w:hAnsi="Narkisim" w:cs="Narkisim"/>
          <w:rtl/>
        </w:rPr>
        <w:t xml:space="preserve"> (לקמן קו:) בשם רבותיו. ונקט לשון 'כשירה' אגב סיפא].</w:t>
      </w:r>
    </w:p>
    <w:p w14:paraId="5BEF7A71" w14:textId="77777777" w:rsidR="006C4368" w:rsidRPr="00D65870" w:rsidRDefault="006C4368" w:rsidP="006C4368">
      <w:pPr>
        <w:pStyle w:val="a7"/>
        <w:bidi/>
        <w:rPr>
          <w:rFonts w:ascii="Narkisim" w:hAnsi="Narkisim"/>
        </w:rPr>
      </w:pPr>
      <w:r w:rsidRPr="00D65870">
        <w:rPr>
          <w:rFonts w:ascii="Narkisim" w:hAnsi="Narkisim"/>
          <w:rtl/>
        </w:rPr>
        <w:t>אבל דעת ה</w:t>
      </w:r>
      <w:r w:rsidRPr="00D65870">
        <w:rPr>
          <w:rFonts w:ascii="Narkisim" w:hAnsi="Narkisim"/>
          <w:b/>
          <w:bCs/>
          <w:rtl/>
        </w:rPr>
        <w:t>רמב"ם</w:t>
      </w:r>
      <w:r w:rsidRPr="00D65870">
        <w:rPr>
          <w:rFonts w:ascii="Narkisim" w:hAnsi="Narkisim"/>
          <w:rtl/>
        </w:rPr>
        <w:t xml:space="preserve"> (ד ח) דהסומא אינו חולץ, שנאמר וירקה בפניו, ואין זה רואה הרוק. ו</w:t>
      </w:r>
      <w:r w:rsidRPr="00D65870">
        <w:rPr>
          <w:rFonts w:ascii="Narkisim" w:hAnsi="Narkisim"/>
          <w:b/>
          <w:bCs/>
          <w:rtl/>
        </w:rPr>
        <w:t>ה"ה</w:t>
      </w:r>
      <w:r w:rsidRPr="00D65870">
        <w:rPr>
          <w:rFonts w:ascii="Narkisim" w:hAnsi="Narkisim"/>
          <w:rtl/>
        </w:rPr>
        <w:t xml:space="preserve"> ביאר דהרמב"ם דייק מהברייתא דדוקא בדיעבד החליצה כשירה. וה</w:t>
      </w:r>
      <w:r w:rsidRPr="00D65870">
        <w:rPr>
          <w:rFonts w:ascii="Narkisim" w:hAnsi="Narkisim"/>
          <w:b/>
          <w:bCs/>
          <w:rtl/>
        </w:rPr>
        <w:t>ראב"ד</w:t>
      </w:r>
      <w:r w:rsidRPr="00D65870">
        <w:rPr>
          <w:rFonts w:ascii="Narkisim" w:hAnsi="Narkisim"/>
          <w:rtl/>
        </w:rPr>
        <w:t xml:space="preserve"> השיג דהא דסומא אינו חולץ ה"מ כשיש יבם אחר שיחלוץ</w:t>
      </w:r>
      <w:r w:rsidRPr="00D65870">
        <w:rPr>
          <w:rStyle w:val="ac"/>
          <w:rFonts w:ascii="Narkisim" w:hAnsi="Narkisim"/>
          <w:rtl/>
        </w:rPr>
        <w:footnoteReference w:id="6711"/>
      </w:r>
      <w:r w:rsidRPr="00D65870">
        <w:rPr>
          <w:rFonts w:ascii="Narkisim" w:hAnsi="Narkisim"/>
          <w:rtl/>
        </w:rPr>
        <w:t>. [וה"ה ביאר דהראב"ד סבר דהיכא דליכא אחר חשיב בדיעבד</w:t>
      </w:r>
      <w:r w:rsidRPr="00D65870">
        <w:rPr>
          <w:rStyle w:val="ac"/>
          <w:rFonts w:ascii="Narkisim" w:hAnsi="Narkisim"/>
          <w:rtl/>
        </w:rPr>
        <w:footnoteReference w:id="6712"/>
      </w:r>
      <w:r w:rsidRPr="00D65870">
        <w:rPr>
          <w:rFonts w:ascii="Narkisim" w:hAnsi="Narkisim"/>
          <w:rtl/>
        </w:rPr>
        <w:t>].</w:t>
      </w:r>
    </w:p>
    <w:p w14:paraId="0D392D53"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משנ"ל</w:t>
      </w:r>
      <w:r w:rsidRPr="00D65870">
        <w:rPr>
          <w:rFonts w:ascii="Narkisim" w:hAnsi="Narkisim" w:cs="Narkisim"/>
          <w:rtl/>
        </w:rPr>
        <w:t xml:space="preserve"> (שם) הק' דכיון דה</w:t>
      </w:r>
      <w:r w:rsidRPr="00D65870">
        <w:rPr>
          <w:rFonts w:ascii="Narkisim" w:hAnsi="Narkisim" w:cs="Narkisim"/>
          <w:b/>
          <w:bCs/>
          <w:rtl/>
        </w:rPr>
        <w:t>רמב"ם</w:t>
      </w:r>
      <w:r w:rsidRPr="00D65870">
        <w:rPr>
          <w:rFonts w:ascii="Narkisim" w:hAnsi="Narkisim" w:cs="Narkisim"/>
          <w:rtl/>
        </w:rPr>
        <w:t xml:space="preserve"> ס"ל ד'וירקה בפניו' היינו לעיניו. דמדאורייתא צריך לראות את הרוק לכתחילה, א"כ בסומא יהא פסול כיון שאינו יכול לראות הרוק, וכיון שאינו ראוי לבילה, נימא דבילה מעכבת בו. [וכדאי' לקמן קד: גבי אילם דאינו ראוי לקריאה</w:t>
      </w:r>
      <w:r w:rsidRPr="00D65870">
        <w:rPr>
          <w:rStyle w:val="ac"/>
          <w:rFonts w:ascii="Narkisim" w:hAnsi="Narkisim" w:cs="Narkisim"/>
          <w:rtl/>
        </w:rPr>
        <w:footnoteReference w:id="6713"/>
      </w:r>
      <w:r w:rsidRPr="00D65870">
        <w:rPr>
          <w:rFonts w:ascii="Narkisim" w:hAnsi="Narkisim" w:cs="Narkisim"/>
          <w:rtl/>
        </w:rPr>
        <w:t>].</w:t>
      </w:r>
    </w:p>
    <w:p w14:paraId="658C8EAF"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(קסט מח) תי' דדרשא זה דצריך לראות הרוק הוה אסמכתא בעלמא, דהא כתיב וירקה בפניו ולא כתיב 'לעיניו'. ובפניו היינו נגד פניו אף שהוא אינו רואה. [והרמב"ם קאי מדרבנן]</w:t>
      </w:r>
      <w:r w:rsidRPr="00D65870">
        <w:rPr>
          <w:rStyle w:val="ac"/>
          <w:rFonts w:ascii="Narkisim" w:hAnsi="Narkisim"/>
          <w:rtl/>
        </w:rPr>
        <w:footnoteReference w:id="6714"/>
      </w:r>
      <w:r w:rsidRPr="00D65870">
        <w:rPr>
          <w:rFonts w:ascii="Narkisim" w:hAnsi="Narkisim"/>
          <w:rtl/>
        </w:rPr>
        <w:t>.</w:t>
      </w:r>
    </w:p>
    <w:p w14:paraId="5C4ABEFE"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(או"ש שם, עונג יו"ט קעה בהג' וקעו, בית הלוי ג ב בהג') תי' דסברת אינו ראוי לבילה הוא בדבר שמצוותו בשעת המעשה</w:t>
      </w:r>
      <w:r w:rsidRPr="00D65870">
        <w:rPr>
          <w:rStyle w:val="ac"/>
          <w:rFonts w:ascii="Narkisim" w:hAnsi="Narkisim"/>
          <w:rtl/>
        </w:rPr>
        <w:footnoteReference w:id="6715"/>
      </w:r>
      <w:r w:rsidRPr="00D65870">
        <w:rPr>
          <w:rFonts w:ascii="Narkisim" w:hAnsi="Narkisim"/>
          <w:rtl/>
        </w:rPr>
        <w:t>, אבל עיקר הסדר הוא חליצה ואח"כ רקיקה. וכיון דבשעת חליצה עדיין אי"צ רקיקה, מש"ה אף כשאינו ראוי אינו מעכב.</w:t>
      </w:r>
    </w:p>
    <w:p w14:paraId="3A8DF3EF" w14:textId="77777777" w:rsidR="006C4368" w:rsidRPr="00D65870" w:rsidRDefault="006C4368" w:rsidP="006C4368">
      <w:pPr>
        <w:bidi/>
        <w:rPr>
          <w:rFonts w:ascii="Narkisim" w:hAnsi="Narkisim" w:cs="Narkisim"/>
        </w:rPr>
      </w:pPr>
      <w:r w:rsidRPr="00D65870">
        <w:rPr>
          <w:rFonts w:ascii="Narkisim" w:hAnsi="Narkisim" w:cs="Narkisim"/>
          <w:u w:val="single"/>
          <w:rtl/>
        </w:rPr>
        <w:t>אמר אמימר האי מאן דחליץ צריך למדחסיה לכרעיה</w:t>
      </w:r>
      <w:r w:rsidRPr="00D65870">
        <w:rPr>
          <w:rStyle w:val="ac"/>
          <w:rFonts w:ascii="Narkisim" w:hAnsi="Narkisim" w:cs="Narkisim"/>
          <w:u w:val="single"/>
          <w:rtl/>
        </w:rPr>
        <w:footnoteReference w:id="6716"/>
      </w:r>
      <w:r w:rsidRPr="00D65870">
        <w:rPr>
          <w:rFonts w:ascii="Narkisim" w:hAnsi="Narkisim" w:cs="Narkisim"/>
          <w:u w:val="single"/>
          <w:rtl/>
        </w:rPr>
        <w:t xml:space="preserve"> וכו'</w:t>
      </w:r>
      <w:r w:rsidRPr="00D65870">
        <w:rPr>
          <w:rFonts w:ascii="Narkisim" w:hAnsi="Narkisim" w:cs="Narkisim"/>
          <w:rtl/>
        </w:rPr>
        <w:t>. ה</w:t>
      </w:r>
      <w:r w:rsidRPr="00D65870">
        <w:rPr>
          <w:rFonts w:ascii="Narkisim" w:hAnsi="Narkisim" w:cs="Narkisim"/>
          <w:b/>
          <w:bCs/>
          <w:rtl/>
        </w:rPr>
        <w:t>ראב"ד</w:t>
      </w:r>
      <w:r w:rsidRPr="00D65870">
        <w:rPr>
          <w:rFonts w:ascii="Narkisim" w:hAnsi="Narkisim" w:cs="Narkisim"/>
          <w:rtl/>
        </w:rPr>
        <w:t xml:space="preserve"> (לרי"ף) כת' ד'צריך' לדחוס משמע רק לכתחילה. וה</w:t>
      </w:r>
      <w:r w:rsidRPr="00D65870">
        <w:rPr>
          <w:rFonts w:ascii="Narkisim" w:hAnsi="Narkisim" w:cs="Narkisim"/>
          <w:b/>
          <w:bCs/>
          <w:rtl/>
        </w:rPr>
        <w:t>רא"ש</w:t>
      </w:r>
      <w:r w:rsidRPr="00D65870">
        <w:rPr>
          <w:rFonts w:ascii="Narkisim" w:hAnsi="Narkisim" w:cs="Narkisim"/>
          <w:rtl/>
        </w:rPr>
        <w:t xml:space="preserve"> הביא דה</w:t>
      </w:r>
      <w:r w:rsidRPr="00D65870">
        <w:rPr>
          <w:rFonts w:ascii="Narkisim" w:hAnsi="Narkisim" w:cs="Narkisim"/>
          <w:b/>
          <w:bCs/>
          <w:rtl/>
        </w:rPr>
        <w:t>רמב"ן</w:t>
      </w:r>
      <w:r w:rsidRPr="00D65870">
        <w:rPr>
          <w:rFonts w:ascii="Narkisim" w:hAnsi="Narkisim" w:cs="Narkisim"/>
          <w:rtl/>
        </w:rPr>
        <w:t xml:space="preserve"> חלק דדעת ה</w:t>
      </w:r>
      <w:r w:rsidRPr="00D65870">
        <w:rPr>
          <w:rFonts w:ascii="Narkisim" w:hAnsi="Narkisim" w:cs="Narkisim"/>
          <w:b/>
          <w:bCs/>
          <w:rtl/>
        </w:rPr>
        <w:t>רי"ף</w:t>
      </w:r>
      <w:r w:rsidRPr="00D65870">
        <w:rPr>
          <w:rFonts w:ascii="Narkisim" w:hAnsi="Narkisim" w:cs="Narkisim"/>
          <w:rtl/>
        </w:rPr>
        <w:t xml:space="preserve"> דהיכא דלא דחס פוסל.</w:t>
      </w:r>
    </w:p>
    <w:p w14:paraId="72D3F39C"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כת' דנראין דברי הראב"ד דהוה לכתחילה, וביאר דבעינן שיהא ניכר שטורחת לחלוץ המנעל. דלפעמים מנעל של בי"ד הוא גדול ממידת רגלו, ונראה כיוצא מאליו אם לא שידחוק רגלו בקרקע מעט.</w:t>
      </w:r>
    </w:p>
    <w:p w14:paraId="48359511" w14:textId="77777777" w:rsidR="006C4368" w:rsidRPr="00D65870" w:rsidRDefault="006C4368" w:rsidP="006C4368">
      <w:pPr>
        <w:bidi/>
        <w:rPr>
          <w:rFonts w:ascii="Narkisim" w:hAnsi="Narkisim" w:cs="Narkisim"/>
        </w:rPr>
      </w:pPr>
      <w:r w:rsidRPr="00D65870">
        <w:rPr>
          <w:rFonts w:ascii="Narkisim" w:hAnsi="Narkisim" w:cs="Narkisim"/>
          <w:u w:val="single"/>
          <w:rtl/>
        </w:rPr>
        <w:t>והתניא בין עומד בין יושב בין מוטה, ולעולם דדחיס לכרעיה</w:t>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(ס' הזכות) הק' לדעת הראב"ד דהוה רק לכתחילה, נימא דעומד ויושב היינו בדיעבד ומה מק' הגמ'. וכן ה</w:t>
      </w:r>
      <w:r w:rsidRPr="00D65870">
        <w:rPr>
          <w:rFonts w:ascii="Narkisim" w:hAnsi="Narkisim" w:cs="Narkisim"/>
          <w:b/>
          <w:bCs/>
          <w:rtl/>
        </w:rPr>
        <w:t>רשב"א</w:t>
      </w:r>
      <w:r w:rsidRPr="00D65870">
        <w:rPr>
          <w:rFonts w:ascii="Narkisim" w:hAnsi="Narkisim" w:cs="Narkisim"/>
          <w:rtl/>
        </w:rPr>
        <w:t xml:space="preserve"> נקט דודאי הוה רק לכתחילה לדחוס. והק' מקו' הגמ', נימא דיושב ומוטה הוה בדיעבד. וכמ"ש </w:t>
      </w:r>
      <w:r w:rsidRPr="00D65870">
        <w:rPr>
          <w:rFonts w:ascii="Narkisim" w:hAnsi="Narkisim" w:cs="Narkisim"/>
          <w:b/>
          <w:bCs/>
          <w:rtl/>
        </w:rPr>
        <w:t>תוס</w:t>
      </w:r>
      <w:r w:rsidRPr="00D65870">
        <w:rPr>
          <w:rFonts w:ascii="Narkisim" w:hAnsi="Narkisim" w:cs="Narkisim"/>
          <w:rtl/>
        </w:rPr>
        <w:t>' (ד"ה בין) דהך ברייתא הוה כשר בדיעבד, ולכתחילה בעינן עמידה.</w:t>
      </w:r>
    </w:p>
    <w:p w14:paraId="4AA48E82"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הוכיח דאי"צ עמידה לכתחילה, והך ברייתא קאי אף בדיעבד. וכ"כ ה</w:t>
      </w:r>
      <w:r w:rsidRPr="00D65870">
        <w:rPr>
          <w:rFonts w:ascii="Narkisim" w:hAnsi="Narkisim"/>
          <w:b/>
          <w:bCs/>
          <w:rtl/>
        </w:rPr>
        <w:t>רמב"ן</w:t>
      </w:r>
      <w:r w:rsidRPr="00D65870">
        <w:rPr>
          <w:rFonts w:ascii="Narkisim" w:hAnsi="Narkisim"/>
          <w:rtl/>
        </w:rPr>
        <w:t xml:space="preserve"> בדעת הראב"ד</w:t>
      </w:r>
      <w:r w:rsidRPr="00D65870">
        <w:rPr>
          <w:rStyle w:val="ac"/>
          <w:rFonts w:ascii="Narkisim" w:hAnsi="Narkisim"/>
          <w:rtl/>
        </w:rPr>
        <w:footnoteReference w:id="6717"/>
      </w:r>
      <w:r w:rsidRPr="00D65870">
        <w:rPr>
          <w:rFonts w:ascii="Narkisim" w:hAnsi="Narkisim"/>
          <w:rtl/>
        </w:rPr>
        <w:t>.</w:t>
      </w:r>
    </w:p>
    <w:p w14:paraId="25FBE932" w14:textId="77777777" w:rsidR="006C4368" w:rsidRPr="00D65870" w:rsidRDefault="006C4368" w:rsidP="006C4368">
      <w:pPr>
        <w:bidi/>
        <w:rPr>
          <w:rFonts w:ascii="Narkisim" w:hAnsi="Narkisim" w:cs="Narkisim"/>
        </w:rPr>
      </w:pPr>
      <w:r w:rsidRPr="00D65870">
        <w:rPr>
          <w:rFonts w:ascii="Narkisim" w:hAnsi="Narkisim" w:cs="Narkisim"/>
          <w:u w:val="single"/>
          <w:rtl/>
        </w:rPr>
        <w:t>ואמר אמימר האי מאן דמסגי על ליחתא דכרעיה לא חליץ</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שדורס בעליונו של רגל. </w:t>
      </w:r>
      <w:r w:rsidRPr="00D65870">
        <w:rPr>
          <w:rFonts w:ascii="Narkisim" w:hAnsi="Narkisim" w:cs="Narkisim"/>
          <w:rtl/>
        </w:rPr>
        <w:lastRenderedPageBreak/>
        <w:t>משמע דהחסרון משום דצריך לדחוס רגלו, וכנ"ל. וה</w:t>
      </w:r>
      <w:r w:rsidRPr="00D65870">
        <w:rPr>
          <w:rFonts w:ascii="Narkisim" w:hAnsi="Narkisim" w:cs="Narkisim"/>
          <w:b/>
          <w:bCs/>
          <w:rtl/>
        </w:rPr>
        <w:t>ראב"ד</w:t>
      </w:r>
      <w:r w:rsidRPr="00D65870">
        <w:rPr>
          <w:rFonts w:ascii="Narkisim" w:hAnsi="Narkisim" w:cs="Narkisim"/>
          <w:rtl/>
        </w:rPr>
        <w:t xml:space="preserve"> (ס' הזכות) הק' דצריך למדחסיה הוה לכתחילה. ואילו הכא הוה אף בדיעבד חליצתו פסולה. [ולכאורה דעת רש"י דשניהם פוסלים בדיעבד, וכרא"ש הנ"ל].</w:t>
      </w:r>
    </w:p>
    <w:p w14:paraId="4C2DE015"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ראב"ד</w:t>
      </w:r>
      <w:r w:rsidRPr="00D65870">
        <w:rPr>
          <w:rFonts w:ascii="Narkisim" w:hAnsi="Narkisim"/>
          <w:rtl/>
        </w:rPr>
        <w:t xml:space="preserve"> ביאר ד'רגל' משמע גב הרגל, ותחתית הרגל מקרי כף הרגל</w:t>
      </w:r>
      <w:r w:rsidRPr="00D65870">
        <w:rPr>
          <w:rStyle w:val="ac"/>
          <w:rFonts w:ascii="Narkisim" w:hAnsi="Narkisim"/>
          <w:rtl/>
        </w:rPr>
        <w:footnoteReference w:id="6718"/>
      </w:r>
      <w:r w:rsidRPr="00D65870">
        <w:rPr>
          <w:rFonts w:ascii="Narkisim" w:hAnsi="Narkisim"/>
          <w:rtl/>
        </w:rPr>
        <w:t>. וזה שרגלו הפוכות כף הרגל שלו למעלה. דזה שרגליו הפוכות נעלו נחלצת מכף רגלו ההפוכה, ולא מעל רגלו. דכשהוא הולך נעלו הולך למטה מרגלו.</w:t>
      </w:r>
    </w:p>
    <w:p w14:paraId="16FA52F5"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(ס' הזכות) כת' דזה דלא מצי לתרוצי כרעיה ל"מ לחלוץ, דבעינן דרך הילוכו כשאר בני אדם. ואף דהוה דרך הילוך דידיה, קמ"ל דלא אזלי' בתר הילוך דידיה.</w:t>
      </w:r>
    </w:p>
    <w:p w14:paraId="1C4D45DE" w14:textId="77777777" w:rsidR="006C4368" w:rsidRPr="00D65870" w:rsidRDefault="006C4368" w:rsidP="006C4368">
      <w:pPr>
        <w:pStyle w:val="a8"/>
        <w:bidi/>
        <w:rPr>
          <w:rFonts w:ascii="Narkisim" w:hAnsi="Narkisim"/>
        </w:rPr>
      </w:pPr>
      <w:r w:rsidRPr="00D65870">
        <w:rPr>
          <w:rFonts w:ascii="Narkisim" w:hAnsi="Narkisim"/>
          <w:rtl/>
        </w:rPr>
        <w:t>והרמב"ן הוסיף דאף דעמידה אינו מעכב [א"כ אמאי בעינן דרך הילוכו], מ"מ דרך עמידה מעכב בדיעבד. וכדר' זירא דאינו ראוי לבילה מעכב.</w:t>
      </w:r>
    </w:p>
    <w:p w14:paraId="5B7E065A" w14:textId="77777777" w:rsidR="006C4368" w:rsidRPr="00D65870" w:rsidRDefault="006C4368" w:rsidP="006C4368">
      <w:pPr>
        <w:bidi/>
        <w:rPr>
          <w:rFonts w:ascii="Narkisim" w:hAnsi="Narkisim" w:cs="Narkisim"/>
        </w:rPr>
      </w:pPr>
      <w:r w:rsidRPr="00D65870">
        <w:rPr>
          <w:rFonts w:ascii="Narkisim" w:hAnsi="Narkisim" w:cs="Narkisim"/>
          <w:u w:val="single"/>
          <w:rtl/>
        </w:rPr>
        <w:t>רש"י ד"ה על</w:t>
      </w:r>
      <w:r w:rsidRPr="00D65870">
        <w:rPr>
          <w:rFonts w:ascii="Narkisim" w:hAnsi="Narkisim" w:cs="Narkisim"/>
          <w:rtl/>
        </w:rPr>
        <w:t>. ואע"ג דתנן מן הארכובה ולמטה כשרה וכו'. וה</w:t>
      </w:r>
      <w:r w:rsidRPr="00D65870">
        <w:rPr>
          <w:rFonts w:ascii="Narkisim" w:hAnsi="Narkisim" w:cs="Narkisim"/>
          <w:b/>
          <w:bCs/>
          <w:rtl/>
        </w:rPr>
        <w:t>רי"ף</w:t>
      </w:r>
      <w:r w:rsidRPr="00D65870">
        <w:rPr>
          <w:rFonts w:ascii="Narkisim" w:hAnsi="Narkisim" w:cs="Narkisim"/>
          <w:rtl/>
        </w:rPr>
        <w:t xml:space="preserve"> הביא איכא מ"ד דלית הילכתא כאמימר, דתנן מן הארכובה ולמטה חליצתה כשירה</w:t>
      </w:r>
      <w:r w:rsidRPr="00D65870">
        <w:rPr>
          <w:rStyle w:val="ac"/>
          <w:rFonts w:ascii="Narkisim" w:hAnsi="Narkisim" w:cs="Narkisim"/>
          <w:rtl/>
        </w:rPr>
        <w:footnoteReference w:id="6719"/>
      </w:r>
      <w:r w:rsidRPr="00D65870">
        <w:rPr>
          <w:rFonts w:ascii="Narkisim" w:hAnsi="Narkisim" w:cs="Narkisim"/>
          <w:rtl/>
        </w:rPr>
        <w:t>. וה</w:t>
      </w:r>
      <w:r w:rsidRPr="00D65870">
        <w:rPr>
          <w:rFonts w:ascii="Narkisim" w:hAnsi="Narkisim" w:cs="Narkisim"/>
          <w:b/>
          <w:bCs/>
          <w:rtl/>
        </w:rPr>
        <w:t>רי"ף</w:t>
      </w:r>
      <w:r w:rsidRPr="00D65870">
        <w:rPr>
          <w:rFonts w:ascii="Narkisim" w:hAnsi="Narkisim" w:cs="Narkisim"/>
          <w:rtl/>
        </w:rPr>
        <w:t xml:space="preserve"> חלק דאין לומר דאמימר פליג אמתני', וא"כ הו"ל לגמ' להק' על אמימר מהמשנה.</w:t>
      </w:r>
    </w:p>
    <w:p w14:paraId="0CC68716" w14:textId="77777777" w:rsidR="006C4368" w:rsidRPr="00D65870" w:rsidRDefault="006C4368" w:rsidP="006C4368">
      <w:pPr>
        <w:bidi/>
        <w:rPr>
          <w:rFonts w:ascii="Narkisim" w:hAnsi="Narkisim" w:cs="Narkisim"/>
        </w:rPr>
      </w:pPr>
      <w:r w:rsidRPr="00D65870">
        <w:rPr>
          <w:rFonts w:ascii="Narkisim" w:hAnsi="Narkisim" w:cs="Narkisim"/>
          <w:rtl/>
        </w:rPr>
        <w:t>ו</w:t>
      </w:r>
      <w:r w:rsidRPr="00D65870">
        <w:rPr>
          <w:rFonts w:ascii="Narkisim" w:hAnsi="Narkisim" w:cs="Narkisim"/>
          <w:b/>
          <w:bCs/>
          <w:rtl/>
        </w:rPr>
        <w:t>רש"י</w:t>
      </w:r>
      <w:r w:rsidRPr="00D65870">
        <w:rPr>
          <w:rFonts w:ascii="Narkisim" w:hAnsi="Narkisim" w:cs="Narkisim"/>
          <w:rtl/>
        </w:rPr>
        <w:t xml:space="preserve"> תי' דשוק הוה מעל רגלו, אבל האי [גב הרגל] לאו רגל הוא. ועד"ז תי' </w:t>
      </w:r>
      <w:r w:rsidRPr="00D65870">
        <w:rPr>
          <w:rFonts w:ascii="Narkisim" w:hAnsi="Narkisim" w:cs="Narkisim"/>
          <w:b/>
          <w:bCs/>
          <w:rtl/>
        </w:rPr>
        <w:t>ר"ח</w:t>
      </w:r>
      <w:r w:rsidRPr="00D65870">
        <w:rPr>
          <w:rFonts w:ascii="Narkisim" w:hAnsi="Narkisim" w:cs="Narkisim"/>
          <w:rtl/>
        </w:rPr>
        <w:t xml:space="preserve"> בתוס' דלא מצי דחיס כל רגלו. וה</w:t>
      </w:r>
      <w:r w:rsidRPr="00D65870">
        <w:rPr>
          <w:rFonts w:ascii="Narkisim" w:hAnsi="Narkisim" w:cs="Narkisim"/>
          <w:b/>
          <w:bCs/>
          <w:rtl/>
        </w:rPr>
        <w:t>רי"ף</w:t>
      </w:r>
      <w:r w:rsidRPr="00D65870">
        <w:rPr>
          <w:rFonts w:ascii="Narkisim" w:hAnsi="Narkisim" w:cs="Narkisim"/>
          <w:rtl/>
        </w:rPr>
        <w:t xml:space="preserve"> בסוגריים</w:t>
      </w:r>
      <w:r w:rsidRPr="00D65870">
        <w:rPr>
          <w:rStyle w:val="ac"/>
          <w:rFonts w:ascii="Narkisim" w:hAnsi="Narkisim" w:cs="Narkisim"/>
          <w:rtl/>
        </w:rPr>
        <w:footnoteReference w:id="6720"/>
      </w:r>
      <w:r w:rsidRPr="00D65870">
        <w:rPr>
          <w:rFonts w:ascii="Narkisim" w:hAnsi="Narkisim" w:cs="Narkisim"/>
          <w:rtl/>
        </w:rPr>
        <w:t xml:space="preserve"> כת' דהיכא דאיפסיק רגלו יכול להעמיד שאר הרגל על הקרקע וחולץ.</w:t>
      </w:r>
    </w:p>
    <w:p w14:paraId="3739090C"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רי"ף</w:t>
      </w:r>
      <w:r w:rsidRPr="00D65870">
        <w:rPr>
          <w:rFonts w:ascii="Narkisim" w:hAnsi="Narkisim"/>
          <w:rtl/>
        </w:rPr>
        <w:t xml:space="preserve"> תי' דהמשנה לא מדובר בנקטע רגלו, אלא כשקשר הרצועות מעל הארכובא. וכ</w:t>
      </w:r>
      <w:r w:rsidRPr="00D65870">
        <w:rPr>
          <w:rFonts w:ascii="Narkisim" w:hAnsi="Narkisim"/>
          <w:b/>
          <w:bCs/>
          <w:rtl/>
        </w:rPr>
        <w:t>תוס'</w:t>
      </w:r>
      <w:r w:rsidRPr="00D65870">
        <w:rPr>
          <w:rFonts w:ascii="Narkisim" w:hAnsi="Narkisim"/>
          <w:rtl/>
        </w:rPr>
        <w:t>.</w:t>
      </w:r>
    </w:p>
    <w:p w14:paraId="221CD1BA" w14:textId="77777777" w:rsidR="006C4368" w:rsidRPr="00D65870" w:rsidRDefault="006C4368" w:rsidP="006C4368">
      <w:pPr>
        <w:bidi/>
        <w:rPr>
          <w:rFonts w:ascii="Narkisim" w:hAnsi="Narkisim" w:cs="Narkisim"/>
        </w:rPr>
      </w:pPr>
      <w:r w:rsidRPr="00D65870">
        <w:rPr>
          <w:rFonts w:ascii="Narkisim" w:hAnsi="Narkisim" w:cs="Narkisim"/>
          <w:u w:val="single"/>
          <w:rtl/>
        </w:rPr>
        <w:t>תוד"ה מאן</w:t>
      </w:r>
      <w:r w:rsidRPr="00D65870">
        <w:rPr>
          <w:rFonts w:ascii="Narkisim" w:hAnsi="Narkisim" w:cs="Narkisim"/>
          <w:rtl/>
        </w:rPr>
        <w:t>. ור"ח פי' וכו' דלא מצי שפיר למדחסיה לכולי כרעיה אארעא וכו' דקיטע דחיס שפיר כוליה שוקיה אארעא. וה</w:t>
      </w:r>
      <w:r w:rsidRPr="00D65870">
        <w:rPr>
          <w:rFonts w:ascii="Narkisim" w:hAnsi="Narkisim" w:cs="Narkisim"/>
          <w:b/>
          <w:bCs/>
          <w:rtl/>
        </w:rPr>
        <w:t>רא"ש</w:t>
      </w:r>
      <w:r w:rsidRPr="00D65870">
        <w:rPr>
          <w:rFonts w:ascii="Narkisim" w:hAnsi="Narkisim" w:cs="Narkisim"/>
          <w:rtl/>
        </w:rPr>
        <w:t xml:space="preserve"> (ז) הביא בשם </w:t>
      </w:r>
      <w:r w:rsidRPr="00D65870">
        <w:rPr>
          <w:rFonts w:ascii="Narkisim" w:hAnsi="Narkisim" w:cs="Narkisim"/>
          <w:b/>
          <w:bCs/>
          <w:rtl/>
        </w:rPr>
        <w:t>ר"ח</w:t>
      </w:r>
      <w:r w:rsidRPr="00D65870">
        <w:rPr>
          <w:rFonts w:ascii="Narkisim" w:hAnsi="Narkisim" w:cs="Narkisim"/>
          <w:rtl/>
        </w:rPr>
        <w:t xml:space="preserve"> דהיכא דאיתיה לכרעיה ולא תריצא הו"ל כמו שאינו ראוי לבילה, ובילה מעכבת בו. אבל קיטע כיון דמעיקרא הוה רגלו ישר, והיה יכול לדחוס. מש"ה אף דאיפסיק חליץ, דהוי ראוי לבילה שאין בילה מעכבת בו. </w:t>
      </w:r>
      <w:r w:rsidRPr="00D65870">
        <w:rPr>
          <w:rFonts w:ascii="Narkisim" w:hAnsi="Narkisim" w:cs="Narkisim"/>
          <w:szCs w:val="20"/>
          <w:rtl/>
        </w:rPr>
        <w:t>ומשמע דאף דעכשיו אינו יכול לדחוס, נחשב ראוי לבילה משום שקודם שנקטע</w:t>
      </w:r>
      <w:r w:rsidRPr="00D65870">
        <w:rPr>
          <w:rStyle w:val="ac"/>
          <w:rFonts w:ascii="Narkisim" w:hAnsi="Narkisim" w:cs="Narkisim"/>
          <w:szCs w:val="20"/>
          <w:rtl/>
        </w:rPr>
        <w:footnoteReference w:id="6721"/>
      </w:r>
      <w:r w:rsidRPr="00D65870">
        <w:rPr>
          <w:rFonts w:ascii="Narkisim" w:hAnsi="Narkisim" w:cs="Narkisim"/>
          <w:szCs w:val="20"/>
          <w:rtl/>
        </w:rPr>
        <w:t xml:space="preserve"> היה יכול לדחוס. [וצ"ע דלא מצאנו דפיקח שנתאלם יחשב ראוי לקריאה, כיון דהיה ראוי לקרוא בקטנותו. וכה"ק ה</w:t>
      </w:r>
      <w:r w:rsidRPr="00D65870">
        <w:rPr>
          <w:rFonts w:ascii="Narkisim" w:hAnsi="Narkisim" w:cs="Narkisim"/>
          <w:b/>
          <w:bCs/>
          <w:szCs w:val="20"/>
          <w:rtl/>
        </w:rPr>
        <w:t>יש"ש</w:t>
      </w:r>
      <w:r w:rsidRPr="00D65870">
        <w:rPr>
          <w:rFonts w:ascii="Narkisim" w:hAnsi="Narkisim" w:cs="Narkisim"/>
          <w:szCs w:val="20"/>
          <w:rtl/>
        </w:rPr>
        <w:t xml:space="preserve"> (יד) וה</w:t>
      </w:r>
      <w:r w:rsidRPr="00D65870">
        <w:rPr>
          <w:rFonts w:ascii="Narkisim" w:hAnsi="Narkisim" w:cs="Narkisim"/>
          <w:b/>
          <w:bCs/>
          <w:szCs w:val="20"/>
          <w:rtl/>
        </w:rPr>
        <w:t>ק"נ</w:t>
      </w:r>
      <w:r w:rsidRPr="00D65870">
        <w:rPr>
          <w:rStyle w:val="ac"/>
          <w:rFonts w:ascii="Narkisim" w:hAnsi="Narkisim" w:cs="Narkisim"/>
          <w:szCs w:val="20"/>
          <w:rtl/>
        </w:rPr>
        <w:footnoteReference w:id="6722"/>
      </w:r>
      <w:r w:rsidRPr="00D65870">
        <w:rPr>
          <w:rFonts w:ascii="Narkisim" w:hAnsi="Narkisim" w:cs="Narkisim"/>
          <w:szCs w:val="20"/>
          <w:rtl/>
        </w:rPr>
        <w:t>].</w:t>
      </w:r>
    </w:p>
    <w:p w14:paraId="46A6812B" w14:textId="77777777" w:rsidR="006C4368" w:rsidRPr="00D65870" w:rsidRDefault="006C4368" w:rsidP="006C4368">
      <w:pPr>
        <w:pStyle w:val="aa"/>
        <w:bidi/>
        <w:rPr>
          <w:rFonts w:ascii="Narkisim" w:hAnsi="Narkisim"/>
        </w:rPr>
      </w:pPr>
      <w:r w:rsidRPr="00D65870">
        <w:rPr>
          <w:rFonts w:ascii="Narkisim" w:hAnsi="Narkisim"/>
          <w:u w:val="single"/>
          <w:rtl/>
        </w:rPr>
        <w:t>שם. דקיטע דחיס שפיר כוליה שוקיה אארעא</w:t>
      </w:r>
      <w:r w:rsidRPr="00D65870">
        <w:rPr>
          <w:rFonts w:ascii="Narkisim" w:hAnsi="Narkisim"/>
          <w:rtl/>
        </w:rPr>
        <w:t>. ו</w:t>
      </w:r>
      <w:r w:rsidRPr="00D65870">
        <w:rPr>
          <w:rFonts w:ascii="Narkisim" w:hAnsi="Narkisim"/>
          <w:b/>
          <w:bCs/>
          <w:rtl/>
        </w:rPr>
        <w:t>תוס'</w:t>
      </w:r>
      <w:r w:rsidRPr="00D65870">
        <w:rPr>
          <w:rFonts w:ascii="Narkisim" w:hAnsi="Narkisim"/>
          <w:rtl/>
        </w:rPr>
        <w:t xml:space="preserve"> (סוטה כז.) הק' אמאי לא ממעטינן גידם וחיגר מ'ועמד', וע"ד הא דאי' (שם) דסוטה חיגרת וגידמת אינה שותה, דכתיב והעמיד הכהן את האשה. ותוס' דחו די"ל דהכא אתרבי 'מעל רגלו'. ועיקר קרא דועמד ואמר כדדריש ליה בספרי (הו' בתוס' ד"ה בין) מלמד שאינו אומר דבריו אלא בעמידה</w:t>
      </w:r>
      <w:r w:rsidRPr="00D65870">
        <w:rPr>
          <w:rStyle w:val="ac"/>
          <w:rFonts w:ascii="Narkisim" w:hAnsi="Narkisim"/>
          <w:rtl/>
        </w:rPr>
        <w:footnoteReference w:id="6723"/>
      </w:r>
      <w:r w:rsidRPr="00D65870">
        <w:rPr>
          <w:rFonts w:ascii="Narkisim" w:hAnsi="Narkisim"/>
          <w:rtl/>
        </w:rPr>
        <w:t>.</w:t>
      </w:r>
    </w:p>
    <w:p w14:paraId="7CB63C17" w14:textId="77777777" w:rsidR="006C4368" w:rsidRPr="00D65870" w:rsidRDefault="006C4368" w:rsidP="006C4368">
      <w:pPr>
        <w:bidi/>
        <w:rPr>
          <w:rFonts w:ascii="Narkisim" w:hAnsi="Narkisim" w:cs="Narkisim"/>
        </w:rPr>
      </w:pPr>
      <w:r w:rsidRPr="00D65870">
        <w:rPr>
          <w:rFonts w:ascii="Narkisim" w:hAnsi="Narkisim" w:cs="Narkisim"/>
          <w:u w:val="single"/>
          <w:rtl/>
        </w:rPr>
        <w:t>בא"ד אבל אין נר' לר"י, דהא בירושלמי מפרש וכו' היינו בקושר רצועות הסנדל מארכובה ולמטה</w:t>
      </w:r>
      <w:r w:rsidRPr="00D65870">
        <w:rPr>
          <w:rFonts w:ascii="Narkisim" w:hAnsi="Narkisim" w:cs="Narkisim"/>
          <w:rtl/>
        </w:rPr>
        <w:t>. [וכ"ד ה</w:t>
      </w:r>
      <w:r w:rsidRPr="00D65870">
        <w:rPr>
          <w:rFonts w:ascii="Narkisim" w:hAnsi="Narkisim" w:cs="Narkisim"/>
          <w:b/>
          <w:bCs/>
          <w:rtl/>
        </w:rPr>
        <w:t>רי"ף</w:t>
      </w:r>
      <w:r w:rsidRPr="00D65870">
        <w:rPr>
          <w:rFonts w:ascii="Narkisim" w:hAnsi="Narkisim" w:cs="Narkisim"/>
          <w:rtl/>
        </w:rPr>
        <w:t xml:space="preserve"> וכנ"ל]. אבל ה</w:t>
      </w:r>
      <w:r w:rsidRPr="00D65870">
        <w:rPr>
          <w:rFonts w:ascii="Narkisim" w:hAnsi="Narkisim" w:cs="Narkisim"/>
          <w:b/>
          <w:bCs/>
          <w:rtl/>
        </w:rPr>
        <w:t>רא"ש</w:t>
      </w:r>
      <w:r w:rsidRPr="00D65870">
        <w:rPr>
          <w:rFonts w:ascii="Narkisim" w:hAnsi="Narkisim" w:cs="Narkisim"/>
          <w:rtl/>
        </w:rPr>
        <w:t xml:space="preserve"> כת' ומיהו תמיה לי לפסול החליצה אם נקשרו רצועות הסנדל למעלה מן הארכובה, דבעינן רק שחלצה נעלו מעל רגלו, ומאי נפק"מ היכא דנקשרו הרצועות.</w:t>
      </w:r>
    </w:p>
    <w:p w14:paraId="762C26A7"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תי' דהירושלמי איירי בסנדל שלהם שלא היה יכול לעמוד ברגל בלא קשירה</w:t>
      </w:r>
      <w:r w:rsidRPr="00D65870">
        <w:rPr>
          <w:rStyle w:val="ac"/>
          <w:rFonts w:ascii="Narkisim" w:hAnsi="Narkisim"/>
          <w:rtl/>
        </w:rPr>
        <w:footnoteReference w:id="6724"/>
      </w:r>
      <w:r w:rsidRPr="00D65870">
        <w:rPr>
          <w:rFonts w:ascii="Narkisim" w:hAnsi="Narkisim"/>
          <w:rtl/>
        </w:rPr>
        <w:t>, ומש"ה עיקר החליצה התרת הרצועות. אבל מנעל שיכול לעמוד ברגל ולהלך בו בלא קשירה, שלא נאמרו דין קשירה בתורה או מהלכה למשה מסיני.</w:t>
      </w:r>
    </w:p>
    <w:p w14:paraId="16D3CEE1" w14:textId="77777777" w:rsidR="006C4368" w:rsidRPr="00D65870" w:rsidRDefault="006C4368" w:rsidP="006C4368">
      <w:pPr>
        <w:bidi/>
        <w:rPr>
          <w:rFonts w:ascii="Narkisim" w:hAnsi="Narkisim" w:cs="Narkisim"/>
        </w:rPr>
      </w:pPr>
      <w:r w:rsidRPr="00D65870">
        <w:rPr>
          <w:rFonts w:ascii="Narkisim" w:hAnsi="Narkisim" w:cs="Narkisim"/>
          <w:u w:val="single"/>
          <w:rtl/>
        </w:rPr>
        <w:lastRenderedPageBreak/>
        <w:t>בא"ד ור"נ נמי פי' דקיטע לא חליץ, מכ"ש שרגלו הפוכה וכו'</w:t>
      </w:r>
      <w:r w:rsidRPr="00D65870">
        <w:rPr>
          <w:rFonts w:ascii="Narkisim" w:hAnsi="Narkisim" w:cs="Narkisim"/>
          <w:rtl/>
        </w:rPr>
        <w:t>. וכדברי ר"י (הנ"ל). וה</w:t>
      </w:r>
      <w:r w:rsidRPr="00D65870">
        <w:rPr>
          <w:rFonts w:ascii="Narkisim" w:hAnsi="Narkisim" w:cs="Narkisim"/>
          <w:b/>
          <w:bCs/>
          <w:rtl/>
        </w:rPr>
        <w:t>מלחמות</w:t>
      </w:r>
      <w:r w:rsidRPr="00D65870">
        <w:rPr>
          <w:rFonts w:ascii="Narkisim" w:hAnsi="Narkisim" w:cs="Narkisim"/>
          <w:rtl/>
        </w:rPr>
        <w:t xml:space="preserve"> כת' עוד דל"מ קיטע כלל [מטעם אחר], דבעינן וחלצה, חליצה מעלייתא דתריץ כרעיה בארעא. וזה דרך הילוכו אינו יכול לדחוס בקרקע. ואף דיכול לדחוס כשהוא מוטה או יושב.</w:t>
      </w:r>
    </w:p>
    <w:p w14:paraId="56B44B1A" w14:textId="77777777" w:rsidR="006C4368" w:rsidRPr="00D65870" w:rsidRDefault="006C4368" w:rsidP="006C4368">
      <w:pPr>
        <w:bidi/>
        <w:rPr>
          <w:rFonts w:ascii="Narkisim" w:hAnsi="Narkisim" w:cs="Narkisim"/>
        </w:rPr>
      </w:pPr>
      <w:r w:rsidRPr="00D65870">
        <w:rPr>
          <w:rFonts w:ascii="Narkisim" w:hAnsi="Narkisim" w:cs="Narkisim"/>
          <w:u w:val="single"/>
          <w:rtl/>
        </w:rPr>
        <w:t>ורמינהו רגלים, פרט לבעלי קבין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אלמא שוק [הרגל מתחת לארכובה {ברך}] לאו 'רגל' הוא. וכ"ה אף למסקנא, אלא דגבי חליצה דרשי' מעל רגלו, דמהני אף השוק עד הארכובה.</w:t>
      </w:r>
    </w:p>
    <w:p w14:paraId="5DB21B94" w14:textId="77777777" w:rsidR="006C4368" w:rsidRPr="00D65870" w:rsidRDefault="006C4368" w:rsidP="006C4368">
      <w:pPr>
        <w:pStyle w:val="a7"/>
        <w:bidi/>
        <w:rPr>
          <w:rFonts w:ascii="Narkisim" w:hAnsi="Narkisim"/>
        </w:rPr>
      </w:pPr>
      <w:r w:rsidRPr="00D65870">
        <w:rPr>
          <w:rFonts w:ascii="Narkisim" w:hAnsi="Narkisim"/>
          <w:rtl/>
        </w:rPr>
        <w:t>ובגמ' (ערכין יט:) אי' דה"מ בלשון תורה, אבל בלשון בני אדם רגל הוה עד הארכובה. והנודר משקל רגלי עלי הוה עד הארכובה.</w:t>
      </w:r>
    </w:p>
    <w:p w14:paraId="14D8F5A1" w14:textId="77777777" w:rsidR="006C4368" w:rsidRPr="00D65870" w:rsidRDefault="006C4368" w:rsidP="006C4368">
      <w:pPr>
        <w:bidi/>
        <w:rPr>
          <w:rFonts w:ascii="Narkisim" w:hAnsi="Narkisim" w:cs="Narkisim"/>
        </w:rPr>
      </w:pPr>
      <w:r w:rsidRPr="00D65870">
        <w:rPr>
          <w:rFonts w:ascii="Narkisim" w:hAnsi="Narkisim" w:cs="Narkisim"/>
          <w:u w:val="single"/>
          <w:rtl/>
        </w:rPr>
        <w:t>אמר רב פפא ש"מ האי אסתוירא עד ארעא נחית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קביל"א [קרסול]</w:t>
      </w:r>
      <w:r w:rsidRPr="00D65870">
        <w:rPr>
          <w:rStyle w:val="ac"/>
          <w:rFonts w:ascii="Narkisim" w:hAnsi="Narkisim" w:cs="Narkisim"/>
          <w:rtl/>
        </w:rPr>
        <w:footnoteReference w:id="6725"/>
      </w:r>
      <w:r w:rsidRPr="00D65870">
        <w:rPr>
          <w:rFonts w:ascii="Narkisim" w:hAnsi="Narkisim" w:cs="Narkisim"/>
          <w:rtl/>
        </w:rPr>
        <w:t>. ו</w:t>
      </w:r>
      <w:r w:rsidRPr="00D65870">
        <w:rPr>
          <w:rFonts w:ascii="Narkisim" w:hAnsi="Narkisim" w:cs="Narkisim"/>
          <w:b/>
          <w:bCs/>
          <w:rtl/>
        </w:rPr>
        <w:t>תוס</w:t>
      </w:r>
      <w:r w:rsidRPr="00D65870">
        <w:rPr>
          <w:rFonts w:ascii="Narkisim" w:hAnsi="Narkisim" w:cs="Narkisim"/>
          <w:rtl/>
        </w:rPr>
        <w:t xml:space="preserve">' (מנחות לג.) הביאו בשם </w:t>
      </w:r>
      <w:r w:rsidRPr="00D65870">
        <w:rPr>
          <w:rFonts w:ascii="Narkisim" w:hAnsi="Narkisim" w:cs="Narkisim"/>
          <w:b/>
          <w:bCs/>
          <w:rtl/>
        </w:rPr>
        <w:t>ר"ת</w:t>
      </w:r>
      <w:r w:rsidRPr="00D65870">
        <w:rPr>
          <w:rFonts w:ascii="Narkisim" w:hAnsi="Narkisim" w:cs="Narkisim"/>
          <w:rtl/>
        </w:rPr>
        <w:t xml:space="preserve"> דאסתוירא הוא קביליא שהוא נתון בשוק לרחבה. והק' דבסוגיין מבואר דנחית עד ארעא, והוה העצם היורד מהשוק עד הרגל, ולא קביליא.</w:t>
      </w:r>
    </w:p>
    <w:p w14:paraId="6253D470" w14:textId="77777777" w:rsidR="006C4368" w:rsidRPr="00D65870" w:rsidRDefault="006C4368" w:rsidP="006C4368">
      <w:pPr>
        <w:pStyle w:val="aa"/>
        <w:bidi/>
        <w:rPr>
          <w:rFonts w:ascii="Narkisim" w:hAnsi="Narkisim"/>
        </w:rPr>
      </w:pPr>
      <w:r w:rsidRPr="00D65870">
        <w:rPr>
          <w:rFonts w:ascii="Narkisim" w:hAnsi="Narkisim"/>
          <w:u w:val="single"/>
          <w:rtl/>
        </w:rPr>
        <w:t>ושוקא מעל דמעל</w:t>
      </w:r>
      <w:r w:rsidRPr="00D65870">
        <w:rPr>
          <w:rFonts w:ascii="Narkisim" w:hAnsi="Narkisim"/>
          <w:rtl/>
        </w:rPr>
        <w:t xml:space="preserve">. מבואר בסוגיין ד'שוק' הוא מתחת לארכובא [ברך, קניא בלשון האחרונים]. ועד"ז הוכיחו </w:t>
      </w:r>
      <w:r w:rsidRPr="00D65870">
        <w:rPr>
          <w:rFonts w:ascii="Narkisim" w:hAnsi="Narkisim"/>
          <w:b/>
          <w:bCs/>
          <w:rtl/>
        </w:rPr>
        <w:t>תוס</w:t>
      </w:r>
      <w:r w:rsidRPr="00D65870">
        <w:rPr>
          <w:rFonts w:ascii="Narkisim" w:hAnsi="Narkisim"/>
          <w:rtl/>
        </w:rPr>
        <w:t>' (מנחות לז., ותו"י יומא עא:) מהמשנה (אהלות א ח) ד'שוק' הוא עצם המחבר לרגל</w:t>
      </w:r>
      <w:r w:rsidRPr="00D65870">
        <w:rPr>
          <w:rStyle w:val="ac"/>
          <w:rFonts w:ascii="Narkisim" w:hAnsi="Narkisim"/>
          <w:rtl/>
        </w:rPr>
        <w:footnoteReference w:id="6726"/>
      </w:r>
      <w:r w:rsidRPr="00D65870">
        <w:rPr>
          <w:rFonts w:ascii="Narkisim" w:hAnsi="Narkisim"/>
          <w:rtl/>
        </w:rPr>
        <w:t>. ו</w:t>
      </w:r>
      <w:r w:rsidRPr="00D65870">
        <w:rPr>
          <w:rFonts w:ascii="Narkisim" w:hAnsi="Narkisim"/>
          <w:b/>
          <w:bCs/>
          <w:rtl/>
        </w:rPr>
        <w:t>תוס</w:t>
      </w:r>
      <w:r w:rsidRPr="00D65870">
        <w:rPr>
          <w:rFonts w:ascii="Narkisim" w:hAnsi="Narkisim"/>
          <w:rtl/>
        </w:rPr>
        <w:t>' כת' דאדם לא דמי לבהמה, דגבי שלמים (אי' בגמ' חולין קלד:) 'שוק' הוא פרק שני, מן הארכובה עד בוקי דאטמא</w:t>
      </w:r>
      <w:r w:rsidRPr="00D65870">
        <w:rPr>
          <w:rStyle w:val="ac"/>
          <w:rFonts w:ascii="Narkisim" w:hAnsi="Narkisim"/>
          <w:rtl/>
        </w:rPr>
        <w:footnoteReference w:id="6727"/>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האריכו בזה.</w:t>
      </w:r>
    </w:p>
    <w:p w14:paraId="4509BA4F" w14:textId="77777777" w:rsidR="006C4368" w:rsidRPr="00D65870" w:rsidRDefault="006C4368" w:rsidP="006C4368">
      <w:pPr>
        <w:pStyle w:val="aa"/>
        <w:bidi/>
        <w:rPr>
          <w:rFonts w:ascii="Narkisim" w:hAnsi="Narkisim"/>
        </w:rPr>
      </w:pPr>
      <w:r w:rsidRPr="00D65870">
        <w:rPr>
          <w:rFonts w:ascii="Narkisim" w:hAnsi="Narkisim"/>
          <w:u w:val="single"/>
          <w:rtl/>
        </w:rPr>
        <w:t>לא עשה רגליו</w:t>
      </w:r>
      <w:r w:rsidRPr="00D65870">
        <w:rPr>
          <w:rFonts w:ascii="Narkisim" w:hAnsi="Narkisim"/>
          <w:rtl/>
        </w:rPr>
        <w:t>. פ</w:t>
      </w:r>
      <w:r w:rsidRPr="00D65870">
        <w:rPr>
          <w:rFonts w:ascii="Narkisim" w:hAnsi="Narkisim"/>
          <w:b/>
          <w:bCs/>
          <w:rtl/>
        </w:rPr>
        <w:t>רש"י</w:t>
      </w:r>
      <w:r w:rsidRPr="00D65870">
        <w:rPr>
          <w:rFonts w:ascii="Narkisim" w:hAnsi="Narkisim"/>
          <w:rtl/>
        </w:rPr>
        <w:t xml:space="preserve"> לא הסיר זקן התחתון. ו</w:t>
      </w:r>
      <w:r w:rsidRPr="00D65870">
        <w:rPr>
          <w:rFonts w:ascii="Narkisim" w:hAnsi="Narkisim"/>
          <w:b/>
          <w:bCs/>
          <w:rtl/>
        </w:rPr>
        <w:t>תוס'</w:t>
      </w:r>
      <w:r w:rsidRPr="00D65870">
        <w:rPr>
          <w:rFonts w:ascii="Narkisim" w:hAnsi="Narkisim"/>
          <w:rtl/>
        </w:rPr>
        <w:t xml:space="preserve"> (לעיל מח.) הביאו נידון האם רשאי לגלח את שער בית הערוה, או דאסור משום לא ילבש, דהוה בכלל תיקוני הנשים [ע"פ הסוגיה נזיר נח:]. ו</w:t>
      </w:r>
      <w:r w:rsidRPr="00D65870">
        <w:rPr>
          <w:rFonts w:ascii="Narkisim" w:hAnsi="Narkisim"/>
          <w:b/>
          <w:bCs/>
          <w:rtl/>
        </w:rPr>
        <w:t>תוס</w:t>
      </w:r>
      <w:r w:rsidRPr="00D65870">
        <w:rPr>
          <w:rFonts w:ascii="Narkisim" w:hAnsi="Narkisim"/>
          <w:rtl/>
        </w:rPr>
        <w:t>' כת' דאין ראיה מסוגיין, דשמא מדרבנן אסור. וה</w:t>
      </w:r>
      <w:r w:rsidRPr="00D65870">
        <w:rPr>
          <w:rFonts w:ascii="Narkisim" w:hAnsi="Narkisim"/>
          <w:b/>
          <w:bCs/>
          <w:rtl/>
        </w:rPr>
        <w:t>רא"ש</w:t>
      </w:r>
      <w:r w:rsidRPr="00D65870">
        <w:rPr>
          <w:rFonts w:ascii="Narkisim" w:hAnsi="Narkisim"/>
          <w:rtl/>
        </w:rPr>
        <w:t xml:space="preserve"> (כאן) הוסיף דשמא באותו שעה עדיין לא נאסר.</w:t>
      </w:r>
    </w:p>
    <w:p w14:paraId="213D3893" w14:textId="77777777" w:rsidR="006C4368" w:rsidRPr="00D65870" w:rsidRDefault="006C4368" w:rsidP="006C4368">
      <w:pPr>
        <w:pStyle w:val="aa"/>
        <w:bidi/>
        <w:rPr>
          <w:rFonts w:ascii="Narkisim" w:hAnsi="Narkisim"/>
        </w:rPr>
      </w:pPr>
      <w:r w:rsidRPr="00D65870">
        <w:rPr>
          <w:rFonts w:ascii="Narkisim" w:hAnsi="Narkisim"/>
          <w:u w:val="single"/>
          <w:rtl/>
        </w:rPr>
        <w:t>תוד"ה והא</w:t>
      </w:r>
      <w:r w:rsidRPr="00D65870">
        <w:rPr>
          <w:rFonts w:ascii="Narkisim" w:hAnsi="Narkisim"/>
          <w:rtl/>
        </w:rPr>
        <w:t>. שהרי קרקע עולם היא. ואף שנהנית מהעבירה הותר משום קרקע עולם. [והותר משום הצלת ישראל]. אבל ב</w:t>
      </w:r>
      <w:r w:rsidRPr="00D65870">
        <w:rPr>
          <w:rFonts w:ascii="Narkisim" w:hAnsi="Narkisim"/>
          <w:b/>
          <w:bCs/>
          <w:rtl/>
        </w:rPr>
        <w:t>הג' ראמ"ה</w:t>
      </w:r>
      <w:r w:rsidRPr="00D65870">
        <w:rPr>
          <w:rFonts w:ascii="Narkisim" w:hAnsi="Narkisim"/>
          <w:rtl/>
        </w:rPr>
        <w:t xml:space="preserve"> כת' [לולי דברי התוס'] דאם היתה נהנית היה אסור לשדלו ולהנות מגילוי עריות, ואפי' להצלת ישראל. [ואף דגוף האיסור הוה קרקע עולם, אין לה לעשות מעשה לשדלו].</w:t>
      </w:r>
    </w:p>
    <w:p w14:paraId="44B02B01" w14:textId="77777777" w:rsidR="006C4368" w:rsidRPr="00D65870" w:rsidRDefault="006C4368" w:rsidP="006C4368">
      <w:pPr>
        <w:pStyle w:val="3"/>
        <w:bidi/>
        <w:rPr>
          <w:rFonts w:ascii="Narkisim" w:hAnsi="Narkisim"/>
        </w:rPr>
      </w:pPr>
      <w:r w:rsidRPr="00D65870">
        <w:rPr>
          <w:rFonts w:ascii="Narkisim" w:hAnsi="Narkisim"/>
          <w:rtl/>
        </w:rPr>
        <w:t>דף קג:</w:t>
      </w:r>
    </w:p>
    <w:p w14:paraId="356EA9C5" w14:textId="77777777" w:rsidR="006C4368" w:rsidRPr="00D65870" w:rsidRDefault="006C4368" w:rsidP="006C4368">
      <w:pPr>
        <w:pStyle w:val="aa"/>
        <w:bidi/>
        <w:rPr>
          <w:rFonts w:ascii="Narkisim" w:hAnsi="Narkisim"/>
        </w:rPr>
      </w:pPr>
      <w:r w:rsidRPr="00D65870">
        <w:rPr>
          <w:rFonts w:ascii="Narkisim" w:hAnsi="Narkisim"/>
          <w:u w:val="single"/>
          <w:rtl/>
        </w:rPr>
        <w:t>אלא ש"מ טובתן של רשעים רעה היא אצל צדיקים</w:t>
      </w:r>
      <w:r w:rsidRPr="00D65870">
        <w:rPr>
          <w:rFonts w:ascii="Narkisim" w:hAnsi="Narkisim"/>
          <w:rtl/>
        </w:rPr>
        <w:t>. פ</w:t>
      </w:r>
      <w:r w:rsidRPr="00D65870">
        <w:rPr>
          <w:rFonts w:ascii="Narkisim" w:hAnsi="Narkisim"/>
          <w:b/>
          <w:bCs/>
          <w:rtl/>
        </w:rPr>
        <w:t>רש"י</w:t>
      </w:r>
      <w:r w:rsidRPr="00D65870">
        <w:rPr>
          <w:rFonts w:ascii="Narkisim" w:hAnsi="Narkisim"/>
          <w:rtl/>
        </w:rPr>
        <w:t xml:space="preserve"> ששונאים את הרשעים, ונפש הצדיק קצה בהנאתן, הילכך לאו הנאה היא.</w:t>
      </w:r>
    </w:p>
    <w:p w14:paraId="7173AD53" w14:textId="77777777" w:rsidR="006C4368" w:rsidRPr="00D65870" w:rsidRDefault="006C4368" w:rsidP="006C4368">
      <w:pPr>
        <w:pStyle w:val="a8"/>
        <w:bidi/>
        <w:rPr>
          <w:rFonts w:ascii="Narkisim" w:hAnsi="Narkisim"/>
        </w:rPr>
      </w:pPr>
      <w:r w:rsidRPr="00D65870">
        <w:rPr>
          <w:rFonts w:ascii="Narkisim" w:hAnsi="Narkisim"/>
          <w:rtl/>
        </w:rPr>
        <w:t>וב</w:t>
      </w:r>
      <w:r w:rsidRPr="00D65870">
        <w:rPr>
          <w:rFonts w:ascii="Narkisim" w:hAnsi="Narkisim"/>
          <w:b/>
          <w:bCs/>
          <w:rtl/>
        </w:rPr>
        <w:t xml:space="preserve">הג' חש"ל </w:t>
      </w:r>
      <w:r w:rsidRPr="00D65870">
        <w:rPr>
          <w:rFonts w:ascii="Narkisim" w:hAnsi="Narkisim"/>
          <w:rtl/>
        </w:rPr>
        <w:t>הק' דבהמשך הגמ' מפורש טעם אחר</w:t>
      </w:r>
      <w:r w:rsidRPr="00D65870">
        <w:rPr>
          <w:rStyle w:val="ac"/>
          <w:rFonts w:ascii="Narkisim" w:hAnsi="Narkisim"/>
          <w:rtl/>
        </w:rPr>
        <w:footnoteReference w:id="6728"/>
      </w:r>
      <w:r w:rsidRPr="00D65870">
        <w:rPr>
          <w:rFonts w:ascii="Narkisim" w:hAnsi="Narkisim"/>
          <w:rtl/>
        </w:rPr>
        <w:t>, דלמא מדבר שם עכו"ם [פ</w:t>
      </w:r>
      <w:r w:rsidRPr="00D65870">
        <w:rPr>
          <w:rFonts w:ascii="Narkisim" w:hAnsi="Narkisim"/>
          <w:b/>
          <w:bCs/>
          <w:rtl/>
        </w:rPr>
        <w:t>רש"י</w:t>
      </w:r>
      <w:r w:rsidRPr="00D65870">
        <w:rPr>
          <w:rFonts w:ascii="Narkisim" w:hAnsi="Narkisim"/>
          <w:rtl/>
        </w:rPr>
        <w:t xml:space="preserve"> למה גנבת את אלהי]. וה</w:t>
      </w:r>
      <w:r w:rsidRPr="00D65870">
        <w:rPr>
          <w:rFonts w:ascii="Narkisim" w:hAnsi="Narkisim"/>
          <w:b/>
          <w:bCs/>
          <w:rtl/>
        </w:rPr>
        <w:t>מהרש"א</w:t>
      </w:r>
      <w:r w:rsidRPr="00D65870">
        <w:rPr>
          <w:rFonts w:ascii="Narkisim" w:hAnsi="Narkisim"/>
          <w:rtl/>
        </w:rPr>
        <w:t xml:space="preserve"> (ח"א הוריות י) כת' דלדברי הגמ' לבן עבר על הצווי</w:t>
      </w:r>
      <w:r w:rsidRPr="00D65870">
        <w:rPr>
          <w:rStyle w:val="ac"/>
          <w:rFonts w:ascii="Narkisim" w:hAnsi="Narkisim"/>
          <w:rtl/>
        </w:rPr>
        <w:footnoteReference w:id="6729"/>
      </w:r>
      <w:r w:rsidRPr="00D65870">
        <w:rPr>
          <w:rFonts w:ascii="Narkisim" w:hAnsi="Narkisim"/>
          <w:rtl/>
        </w:rPr>
        <w:t>. וע"ע מפרשים.</w:t>
      </w:r>
    </w:p>
    <w:p w14:paraId="7DCD4348" w14:textId="77777777" w:rsidR="006C4368" w:rsidRPr="00D65870" w:rsidRDefault="006C4368" w:rsidP="006C4368">
      <w:pPr>
        <w:pStyle w:val="aa"/>
        <w:bidi/>
        <w:rPr>
          <w:rFonts w:ascii="Narkisim" w:hAnsi="Narkisim"/>
        </w:rPr>
      </w:pPr>
      <w:r w:rsidRPr="00D65870">
        <w:rPr>
          <w:rFonts w:ascii="Narkisim" w:hAnsi="Narkisim"/>
          <w:u w:val="single"/>
          <w:rtl/>
        </w:rPr>
        <w:t>הטיל בה זוהמא וכו'</w:t>
      </w:r>
      <w:r w:rsidRPr="00D65870">
        <w:rPr>
          <w:rFonts w:ascii="Narkisim" w:hAnsi="Narkisim"/>
          <w:rtl/>
        </w:rPr>
        <w:t>. ה</w:t>
      </w:r>
      <w:r w:rsidRPr="00D65870">
        <w:rPr>
          <w:rFonts w:ascii="Narkisim" w:hAnsi="Narkisim"/>
          <w:b/>
          <w:bCs/>
          <w:rtl/>
        </w:rPr>
        <w:t>רשב"א</w:t>
      </w:r>
      <w:r w:rsidRPr="00D65870">
        <w:rPr>
          <w:rFonts w:ascii="Narkisim" w:hAnsi="Narkisim"/>
          <w:rtl/>
        </w:rPr>
        <w:t xml:space="preserve"> כת' דהוא משל לגבורת היצר. וביאר דישראל שעמדו על הר סיני פסקה זוהמתן, שנחלש ונפסק כח היצר [וכענין משכהו לבית המדרש (קידושין ל:)]. אבל עכו"ם עדיין יצרן גדול, כענין וזרמת סוסים זרמתם. והיינו דאמרי' דקא שדו בה זוהמא, וכענין כי חרפה היא לנו</w:t>
      </w:r>
      <w:r w:rsidRPr="00D65870">
        <w:rPr>
          <w:rStyle w:val="ac"/>
          <w:rFonts w:ascii="Narkisim" w:hAnsi="Narkisim"/>
          <w:rtl/>
        </w:rPr>
        <w:footnoteReference w:id="6730"/>
      </w:r>
      <w:r w:rsidRPr="00D65870">
        <w:rPr>
          <w:rFonts w:ascii="Narkisim" w:hAnsi="Narkisim"/>
          <w:rtl/>
        </w:rPr>
        <w:t xml:space="preserve"> (בראשית לד יד).</w:t>
      </w:r>
    </w:p>
    <w:p w14:paraId="469B245B" w14:textId="77777777" w:rsidR="006C4368" w:rsidRPr="00D65870" w:rsidRDefault="006C4368" w:rsidP="006C4368">
      <w:pPr>
        <w:bidi/>
        <w:rPr>
          <w:rFonts w:ascii="Narkisim" w:hAnsi="Narkisim" w:cs="Narkisim"/>
        </w:rPr>
      </w:pPr>
      <w:r w:rsidRPr="00D65870">
        <w:rPr>
          <w:rFonts w:ascii="Narkisim" w:hAnsi="Narkisim" w:cs="Narkisim"/>
          <w:u w:val="single"/>
          <w:rtl/>
        </w:rPr>
        <w:t>יהיב ליה סנדלא דשמאלא וכו' לכתחילה מי אמר וכו'</w:t>
      </w:r>
      <w:r w:rsidRPr="00D65870">
        <w:rPr>
          <w:rFonts w:ascii="Narkisim" w:hAnsi="Narkisim" w:cs="Narkisim"/>
          <w:rtl/>
        </w:rPr>
        <w:t>. צ"ב אמאי בעי סנדל של ימין לכתחילה. ואפשר דהוה גזירה מדרבנן שמא לא יהא למידת הרגל. ואפשר דבעינן שיהא מנעל של ימין בימין להחשב 'נעלו' [וע"ע בסמוך].</w:t>
      </w:r>
    </w:p>
    <w:p w14:paraId="48CE92FF" w14:textId="77777777" w:rsidR="006C4368" w:rsidRPr="00D65870" w:rsidRDefault="006C4368" w:rsidP="006C4368">
      <w:pPr>
        <w:pStyle w:val="a8"/>
        <w:bidi/>
        <w:rPr>
          <w:rFonts w:ascii="Narkisim" w:hAnsi="Narkisim"/>
        </w:rPr>
      </w:pPr>
      <w:r w:rsidRPr="00D65870">
        <w:rPr>
          <w:rFonts w:ascii="Narkisim" w:hAnsi="Narkisim"/>
          <w:rtl/>
        </w:rPr>
        <w:t>אך בסנדל של בי"ד [שנעשית רק עבור חליצה] לכאורה ליכא כל כך הבדל בין של ימין לשל שמאל. וה</w:t>
      </w:r>
      <w:r w:rsidRPr="00D65870">
        <w:rPr>
          <w:rFonts w:ascii="Narkisim" w:hAnsi="Narkisim"/>
          <w:b/>
          <w:bCs/>
          <w:rtl/>
        </w:rPr>
        <w:t>באר היטב</w:t>
      </w:r>
      <w:r w:rsidRPr="00D65870">
        <w:rPr>
          <w:rFonts w:ascii="Narkisim" w:hAnsi="Narkisim"/>
          <w:rtl/>
        </w:rPr>
        <w:t xml:space="preserve"> (קסט כב) הביא בשם ה</w:t>
      </w:r>
      <w:r w:rsidRPr="00D65870">
        <w:rPr>
          <w:rFonts w:ascii="Narkisim" w:hAnsi="Narkisim"/>
          <w:b/>
          <w:bCs/>
          <w:rtl/>
        </w:rPr>
        <w:t>שבות יעקב</w:t>
      </w:r>
      <w:r w:rsidRPr="00D65870">
        <w:rPr>
          <w:rFonts w:ascii="Narkisim" w:hAnsi="Narkisim"/>
          <w:rtl/>
        </w:rPr>
        <w:t xml:space="preserve"> (ב קכט) דעושים את ראש המנעל באלכסון</w:t>
      </w:r>
      <w:r w:rsidRPr="00D65870">
        <w:rPr>
          <w:rStyle w:val="ac"/>
          <w:rFonts w:ascii="Narkisim" w:hAnsi="Narkisim"/>
          <w:rtl/>
        </w:rPr>
        <w:footnoteReference w:id="6731"/>
      </w:r>
      <w:r w:rsidRPr="00D65870">
        <w:rPr>
          <w:rFonts w:ascii="Narkisim" w:hAnsi="Narkisim"/>
          <w:rtl/>
        </w:rPr>
        <w:t>. וה</w:t>
      </w:r>
      <w:r w:rsidRPr="00D65870">
        <w:rPr>
          <w:rFonts w:ascii="Narkisim" w:hAnsi="Narkisim"/>
          <w:b/>
          <w:bCs/>
          <w:rtl/>
        </w:rPr>
        <w:t>פתח"ת</w:t>
      </w:r>
      <w:r w:rsidRPr="00D65870">
        <w:rPr>
          <w:rFonts w:ascii="Narkisim" w:hAnsi="Narkisim"/>
          <w:rtl/>
        </w:rPr>
        <w:t xml:space="preserve"> (שם כא בשם ס' </w:t>
      </w:r>
      <w:r w:rsidRPr="00D65870">
        <w:rPr>
          <w:rFonts w:ascii="Narkisim" w:hAnsi="Narkisim"/>
          <w:rtl/>
        </w:rPr>
        <w:lastRenderedPageBreak/>
        <w:t>כרם שלמה) הביא דב</w:t>
      </w:r>
      <w:r w:rsidRPr="00D65870">
        <w:rPr>
          <w:rFonts w:ascii="Narkisim" w:hAnsi="Narkisim"/>
          <w:b/>
          <w:bCs/>
          <w:rtl/>
        </w:rPr>
        <w:t>ס' פחד יצחק</w:t>
      </w:r>
      <w:r w:rsidRPr="00D65870">
        <w:rPr>
          <w:rFonts w:ascii="Narkisim" w:hAnsi="Narkisim"/>
          <w:rtl/>
        </w:rPr>
        <w:t xml:space="preserve"> כת' דבמנעל של ימין החומרתות הם בצד שמאל והלולאות בצד ימין</w:t>
      </w:r>
      <w:r w:rsidRPr="00D65870">
        <w:rPr>
          <w:rStyle w:val="ac"/>
          <w:rFonts w:ascii="Narkisim" w:hAnsi="Narkisim"/>
          <w:rtl/>
        </w:rPr>
        <w:footnoteReference w:id="6732"/>
      </w:r>
      <w:r w:rsidRPr="00D65870">
        <w:rPr>
          <w:rFonts w:ascii="Narkisim" w:hAnsi="Narkisim"/>
          <w:rtl/>
        </w:rPr>
        <w:t>. ועוד עושים את התפירה הארוכה</w:t>
      </w:r>
      <w:r w:rsidRPr="00D65870">
        <w:rPr>
          <w:rStyle w:val="ac"/>
          <w:rFonts w:ascii="Narkisim" w:hAnsi="Narkisim"/>
          <w:rtl/>
        </w:rPr>
        <w:footnoteReference w:id="6733"/>
      </w:r>
      <w:r w:rsidRPr="00D65870">
        <w:rPr>
          <w:rFonts w:ascii="Narkisim" w:hAnsi="Narkisim"/>
          <w:rtl/>
        </w:rPr>
        <w:t xml:space="preserve"> בצד ימין</w:t>
      </w:r>
      <w:r w:rsidRPr="00D65870">
        <w:rPr>
          <w:rStyle w:val="ac"/>
          <w:rFonts w:ascii="Narkisim" w:hAnsi="Narkisim"/>
          <w:rtl/>
        </w:rPr>
        <w:footnoteReference w:id="6734"/>
      </w:r>
      <w:r w:rsidRPr="00D65870">
        <w:rPr>
          <w:rFonts w:ascii="Narkisim" w:hAnsi="Narkisim"/>
          <w:rtl/>
        </w:rPr>
        <w:t>.</w:t>
      </w:r>
    </w:p>
    <w:p w14:paraId="37EA159B" w14:textId="77777777" w:rsidR="006C4368" w:rsidRPr="00D65870" w:rsidRDefault="006C4368" w:rsidP="006C4368">
      <w:pPr>
        <w:bidi/>
        <w:rPr>
          <w:rFonts w:ascii="Narkisim" w:hAnsi="Narkisim" w:cs="Narkisim"/>
        </w:rPr>
      </w:pPr>
      <w:r w:rsidRPr="00D65870">
        <w:rPr>
          <w:rFonts w:ascii="Narkisim" w:hAnsi="Narkisim" w:cs="Narkisim"/>
          <w:u w:val="single"/>
          <w:rtl/>
        </w:rPr>
        <w:t>סנדל שאין שלו נמי וכו' לכתחילה מי אמר וכו'</w:t>
      </w:r>
      <w:r w:rsidRPr="00D65870">
        <w:rPr>
          <w:rFonts w:ascii="Narkisim" w:hAnsi="Narkisim" w:cs="Narkisim"/>
          <w:rtl/>
        </w:rPr>
        <w:t>. ה</w:t>
      </w:r>
      <w:r w:rsidRPr="00D65870">
        <w:rPr>
          <w:rFonts w:ascii="Narkisim" w:hAnsi="Narkisim" w:cs="Narkisim"/>
          <w:b/>
          <w:bCs/>
          <w:rtl/>
        </w:rPr>
        <w:t>רשב"א</w:t>
      </w:r>
      <w:r w:rsidRPr="00D65870">
        <w:rPr>
          <w:rFonts w:ascii="Narkisim" w:hAnsi="Narkisim" w:cs="Narkisim"/>
          <w:rtl/>
        </w:rPr>
        <w:t xml:space="preserve"> כת' דהוה מדרבנן, דכיון דמרבינן של כל אדם מנ"ל דלא הוה לכתחילה. והק' מ"ט גזרו רבנן. וכת' דאפשר דלכתחילה גזרו משום סנדל קטן, או גדול שאינו יכול להלך בו, או אינו חופה רוב רגלו. דכל שאינו שלו אינו עשוי כמידת רגלו ממש. וה</w:t>
      </w:r>
      <w:r w:rsidRPr="00D65870">
        <w:rPr>
          <w:rFonts w:ascii="Narkisim" w:hAnsi="Narkisim" w:cs="Narkisim"/>
          <w:b/>
          <w:bCs/>
          <w:rtl/>
        </w:rPr>
        <w:t>ריטב"א</w:t>
      </w:r>
      <w:r w:rsidRPr="00D65870">
        <w:rPr>
          <w:rFonts w:ascii="Narkisim" w:hAnsi="Narkisim" w:cs="Narkisim"/>
          <w:rtl/>
        </w:rPr>
        <w:t xml:space="preserve"> כת' דמדרבנן גזרו לקיים פשוטו של מקרא, דכתיב נעלו.</w:t>
      </w:r>
    </w:p>
    <w:p w14:paraId="2A4BB466"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ראשונים</w:t>
      </w:r>
      <w:r w:rsidRPr="00D65870">
        <w:rPr>
          <w:rFonts w:ascii="Narkisim" w:hAnsi="Narkisim" w:cs="Narkisim"/>
          <w:rtl/>
        </w:rPr>
        <w:t xml:space="preserve"> הביאו דאי' בגמ' (לקמן ריש קד.) דחולצים בסנדל של בי"ד. וכן אי' (סנהדרין ז:) דבכלל כלי הדיינים שיהא להם סנדל לחליצה</w:t>
      </w:r>
      <w:r w:rsidRPr="00D65870">
        <w:rPr>
          <w:rStyle w:val="ac"/>
          <w:rFonts w:ascii="Narkisim" w:hAnsi="Narkisim" w:cs="Narkisim"/>
          <w:rtl/>
        </w:rPr>
        <w:footnoteReference w:id="6735"/>
      </w:r>
      <w:r w:rsidRPr="00D65870">
        <w:rPr>
          <w:rFonts w:ascii="Narkisim" w:hAnsi="Narkisim" w:cs="Narkisim"/>
          <w:rtl/>
        </w:rPr>
        <w:t>. וה</w:t>
      </w:r>
      <w:r w:rsidRPr="00D65870">
        <w:rPr>
          <w:rFonts w:ascii="Narkisim" w:hAnsi="Narkisim" w:cs="Narkisim"/>
          <w:b/>
          <w:bCs/>
          <w:rtl/>
        </w:rPr>
        <w:t>עיטור</w:t>
      </w:r>
      <w:r w:rsidRPr="00D65870">
        <w:rPr>
          <w:rFonts w:ascii="Narkisim" w:hAnsi="Narkisim" w:cs="Narkisim"/>
          <w:rtl/>
        </w:rPr>
        <w:t xml:space="preserve"> (אות ג ה. בדה"ס) כת' דמקנה אותו לחולץ</w:t>
      </w:r>
      <w:r w:rsidRPr="00D65870">
        <w:rPr>
          <w:rStyle w:val="ac"/>
          <w:rFonts w:ascii="Narkisim" w:hAnsi="Narkisim" w:cs="Narkisim"/>
          <w:rtl/>
        </w:rPr>
        <w:footnoteReference w:id="6736"/>
      </w:r>
      <w:r w:rsidRPr="00D65870">
        <w:rPr>
          <w:rFonts w:ascii="Narkisim" w:hAnsi="Narkisim" w:cs="Narkisim"/>
          <w:rtl/>
        </w:rPr>
        <w:t>.</w:t>
      </w:r>
    </w:p>
    <w:p w14:paraId="355485C5"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טור</w:t>
      </w:r>
      <w:r w:rsidRPr="00D65870">
        <w:rPr>
          <w:rFonts w:ascii="Narkisim" w:hAnsi="Narkisim"/>
          <w:rtl/>
        </w:rPr>
        <w:t xml:space="preserve"> ו</w:t>
      </w:r>
      <w:r w:rsidRPr="00D65870">
        <w:rPr>
          <w:rFonts w:ascii="Narkisim" w:hAnsi="Narkisim"/>
          <w:b/>
          <w:bCs/>
          <w:rtl/>
        </w:rPr>
        <w:t>שו"ע</w:t>
      </w:r>
      <w:r w:rsidRPr="00D65870">
        <w:rPr>
          <w:rFonts w:ascii="Narkisim" w:hAnsi="Narkisim"/>
          <w:rtl/>
        </w:rPr>
        <w:t xml:space="preserve"> (קסט יד) הביא </w:t>
      </w:r>
      <w:r w:rsidRPr="00D65870">
        <w:rPr>
          <w:rFonts w:ascii="Narkisim" w:hAnsi="Narkisim"/>
          <w:b/>
          <w:bCs/>
          <w:rtl/>
        </w:rPr>
        <w:t>י"א</w:t>
      </w:r>
      <w:r w:rsidRPr="00D65870">
        <w:rPr>
          <w:rFonts w:ascii="Narkisim" w:hAnsi="Narkisim"/>
          <w:rtl/>
        </w:rPr>
        <w:t xml:space="preserve"> דהיבם יהלך בו מעט כדי שירא שהוא שלו. וה</w:t>
      </w:r>
      <w:r w:rsidRPr="00D65870">
        <w:rPr>
          <w:rFonts w:ascii="Narkisim" w:hAnsi="Narkisim"/>
          <w:b/>
          <w:bCs/>
          <w:rtl/>
        </w:rPr>
        <w:t>מרדכי</w:t>
      </w:r>
      <w:r w:rsidRPr="00D65870">
        <w:rPr>
          <w:rFonts w:ascii="Narkisim" w:hAnsi="Narkisim"/>
          <w:rtl/>
        </w:rPr>
        <w:t xml:space="preserve"> (נז) כת' דיהלך בו, שיראה שהוא שלו ושהוא מכוון לרגלו</w:t>
      </w:r>
      <w:r w:rsidRPr="00D65870">
        <w:rPr>
          <w:rStyle w:val="ac"/>
          <w:rFonts w:ascii="Narkisim" w:hAnsi="Narkisim"/>
          <w:rtl/>
        </w:rPr>
        <w:footnoteReference w:id="6737"/>
      </w:r>
      <w:r w:rsidRPr="00D65870">
        <w:rPr>
          <w:rFonts w:ascii="Narkisim" w:hAnsi="Narkisim"/>
          <w:rtl/>
        </w:rPr>
        <w:t>.</w:t>
      </w:r>
    </w:p>
    <w:p w14:paraId="069CB2CF" w14:textId="77777777" w:rsidR="006C4368" w:rsidRPr="00D65870" w:rsidRDefault="006C4368" w:rsidP="006C4368">
      <w:pPr>
        <w:bidi/>
        <w:rPr>
          <w:rFonts w:ascii="Narkisim" w:hAnsi="Narkisim" w:cs="Narkisim"/>
        </w:rPr>
      </w:pPr>
      <w:r w:rsidRPr="00D65870">
        <w:rPr>
          <w:rFonts w:ascii="Narkisim" w:hAnsi="Narkisim" w:cs="Narkisim"/>
          <w:u w:val="single"/>
          <w:rtl/>
        </w:rPr>
        <w:t>אבוה דשמואל אמר במחופה עור וד"ה</w:t>
      </w:r>
      <w:r w:rsidRPr="00D65870">
        <w:rPr>
          <w:rStyle w:val="ac"/>
          <w:rFonts w:ascii="Narkisim" w:hAnsi="Narkisim" w:cs="Narkisim"/>
          <w:rtl/>
        </w:rPr>
        <w:footnoteReference w:id="6738"/>
      </w:r>
      <w:r w:rsidRPr="00D65870">
        <w:rPr>
          <w:rFonts w:ascii="Narkisim" w:hAnsi="Narkisim" w:cs="Narkisim"/>
          <w:rtl/>
        </w:rPr>
        <w:t>. בפשוטו משמע דסגי בחיפוי עור מבחוץ. וה</w:t>
      </w:r>
      <w:r w:rsidRPr="00D65870">
        <w:rPr>
          <w:rFonts w:ascii="Narkisim" w:hAnsi="Narkisim" w:cs="Narkisim"/>
          <w:b/>
          <w:bCs/>
          <w:rtl/>
        </w:rPr>
        <w:t>רשב"א</w:t>
      </w:r>
      <w:r w:rsidRPr="00D65870">
        <w:rPr>
          <w:rFonts w:ascii="Narkisim" w:hAnsi="Narkisim" w:cs="Narkisim"/>
          <w:rtl/>
        </w:rPr>
        <w:t xml:space="preserve"> (לעיל קב:) הוכיח מכאן דכ"ש דמהני תפור פשתן [מבפנים]. אבל </w:t>
      </w:r>
      <w:r w:rsidRPr="00D65870">
        <w:rPr>
          <w:rFonts w:ascii="Narkisim" w:hAnsi="Narkisim" w:cs="Narkisim"/>
          <w:b/>
          <w:bCs/>
          <w:rtl/>
        </w:rPr>
        <w:t>תוס</w:t>
      </w:r>
      <w:r w:rsidRPr="00D65870">
        <w:rPr>
          <w:rFonts w:ascii="Narkisim" w:hAnsi="Narkisim" w:cs="Narkisim"/>
          <w:rtl/>
        </w:rPr>
        <w:t>' (יומא עח: הו' בע"א) פי' דאיירי במחופה מבפנים, ועי"ז מיהדק שפיר.</w:t>
      </w:r>
    </w:p>
    <w:p w14:paraId="44845351"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ריטב"א</w:t>
      </w:r>
      <w:r w:rsidRPr="00D65870">
        <w:rPr>
          <w:rFonts w:ascii="Narkisim" w:hAnsi="Narkisim" w:cs="Narkisim"/>
          <w:rtl/>
        </w:rPr>
        <w:t xml:space="preserve"> כת' דבמחופה עור חולצת בו אף לכתחילה וכמו לר' מאיר כשאינו מחופה עור</w:t>
      </w:r>
      <w:r w:rsidRPr="00D65870">
        <w:rPr>
          <w:rStyle w:val="ac"/>
          <w:rFonts w:ascii="Narkisim" w:hAnsi="Narkisim" w:cs="Narkisim"/>
          <w:rtl/>
        </w:rPr>
        <w:footnoteReference w:id="6739"/>
      </w:r>
      <w:r w:rsidRPr="00D65870">
        <w:rPr>
          <w:rFonts w:ascii="Narkisim" w:hAnsi="Narkisim" w:cs="Narkisim"/>
          <w:rtl/>
        </w:rPr>
        <w:t>, דכל שמחופה עור הוה מנעל גמור. ונקט לשון כשירה [דמשמע בדיעבד] אגב סיפא. וכן נקט ה</w:t>
      </w:r>
      <w:r w:rsidRPr="00D65870">
        <w:rPr>
          <w:rFonts w:ascii="Narkisim" w:hAnsi="Narkisim" w:cs="Narkisim"/>
          <w:b/>
          <w:bCs/>
          <w:rtl/>
        </w:rPr>
        <w:t>רשב"א</w:t>
      </w:r>
      <w:r w:rsidRPr="00D65870">
        <w:rPr>
          <w:rFonts w:ascii="Narkisim" w:hAnsi="Narkisim" w:cs="Narkisim"/>
          <w:rtl/>
        </w:rPr>
        <w:t xml:space="preserve"> (לעיל קב:) בפשיטות דמחופה עור חולצין לכתחילה</w:t>
      </w:r>
      <w:r w:rsidRPr="00D65870">
        <w:rPr>
          <w:rStyle w:val="ac"/>
          <w:rFonts w:ascii="Narkisim" w:hAnsi="Narkisim" w:cs="Narkisim"/>
          <w:rtl/>
        </w:rPr>
        <w:footnoteReference w:id="6740"/>
      </w:r>
      <w:r w:rsidRPr="00D65870">
        <w:rPr>
          <w:rFonts w:ascii="Narkisim" w:hAnsi="Narkisim" w:cs="Narkisim"/>
          <w:rtl/>
        </w:rPr>
        <w:t>.</w:t>
      </w:r>
    </w:p>
    <w:p w14:paraId="237D1309" w14:textId="77777777" w:rsidR="006C4368" w:rsidRPr="00D65870" w:rsidRDefault="006C4368" w:rsidP="006C4368">
      <w:pPr>
        <w:pStyle w:val="a7"/>
        <w:bidi/>
        <w:rPr>
          <w:rFonts w:ascii="Narkisim" w:hAnsi="Narkisim"/>
        </w:rPr>
      </w:pPr>
      <w:r w:rsidRPr="00D65870">
        <w:rPr>
          <w:rFonts w:ascii="Narkisim" w:hAnsi="Narkisim"/>
          <w:rtl/>
        </w:rPr>
        <w:t>אבל ה</w:t>
      </w:r>
      <w:r w:rsidRPr="00D65870">
        <w:rPr>
          <w:rFonts w:ascii="Narkisim" w:hAnsi="Narkisim"/>
          <w:b/>
          <w:bCs/>
          <w:rtl/>
        </w:rPr>
        <w:t>בי"ש</w:t>
      </w:r>
      <w:r w:rsidRPr="00D65870">
        <w:rPr>
          <w:rFonts w:ascii="Narkisim" w:hAnsi="Narkisim"/>
          <w:rtl/>
        </w:rPr>
        <w:t xml:space="preserve"> (קסט כא) דייק מדברי ה</w:t>
      </w:r>
      <w:r w:rsidRPr="00D65870">
        <w:rPr>
          <w:rFonts w:ascii="Narkisim" w:hAnsi="Narkisim"/>
          <w:b/>
          <w:bCs/>
          <w:rtl/>
        </w:rPr>
        <w:t>רמ"א</w:t>
      </w:r>
      <w:r w:rsidRPr="00D65870">
        <w:rPr>
          <w:rFonts w:ascii="Narkisim" w:hAnsi="Narkisim"/>
          <w:rtl/>
        </w:rPr>
        <w:t xml:space="preserve"> (שם) דמחופה עור הוה רק בדיעבד, וכת' דכ"מ בש"ס וברמב"ם. וכ"כ ה</w:t>
      </w:r>
      <w:r w:rsidRPr="00D65870">
        <w:rPr>
          <w:rFonts w:ascii="Narkisim" w:hAnsi="Narkisim"/>
          <w:b/>
          <w:bCs/>
          <w:rtl/>
        </w:rPr>
        <w:t>מאירי</w:t>
      </w:r>
      <w:r w:rsidRPr="00D65870">
        <w:rPr>
          <w:rFonts w:ascii="Narkisim" w:hAnsi="Narkisim"/>
          <w:rtl/>
        </w:rPr>
        <w:t xml:space="preserve"> דמחופה עור ל"מ לכתחילה, גזירה אטו אינו מחופה. [וע"ע לעיל קב: גבי תפור בפשתן].</w:t>
      </w:r>
    </w:p>
    <w:p w14:paraId="104FF420" w14:textId="77777777" w:rsidR="006C4368" w:rsidRPr="00D65870" w:rsidRDefault="006C4368" w:rsidP="006C4368">
      <w:pPr>
        <w:pStyle w:val="2"/>
        <w:bidi/>
        <w:rPr>
          <w:rFonts w:ascii="Narkisim" w:hAnsi="Narkisim"/>
        </w:rPr>
      </w:pPr>
      <w:r w:rsidRPr="00D65870">
        <w:rPr>
          <w:rFonts w:ascii="Narkisim" w:hAnsi="Narkisim"/>
          <w:rtl/>
        </w:rPr>
        <w:t>סנדל המוסגר</w:t>
      </w:r>
    </w:p>
    <w:p w14:paraId="66551769" w14:textId="77777777" w:rsidR="006C4368" w:rsidRPr="00D65870" w:rsidRDefault="006C4368" w:rsidP="006C4368">
      <w:pPr>
        <w:bidi/>
        <w:rPr>
          <w:rFonts w:ascii="Narkisim" w:hAnsi="Narkisim" w:cs="Narkisim"/>
        </w:rPr>
      </w:pPr>
      <w:r w:rsidRPr="00D65870">
        <w:rPr>
          <w:rFonts w:ascii="Narkisim" w:hAnsi="Narkisim" w:cs="Narkisim"/>
          <w:u w:val="single"/>
          <w:rtl/>
        </w:rPr>
        <w:t>סנדל המוסגר, לא תחלוץ בו ואם חלצה חליצתה כשירה</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[גזירה] דלא ליתי למיעבד במוחלט. וה</w:t>
      </w:r>
      <w:r w:rsidRPr="00D65870">
        <w:rPr>
          <w:rFonts w:ascii="Narkisim" w:hAnsi="Narkisim" w:cs="Narkisim"/>
          <w:b/>
          <w:bCs/>
          <w:rtl/>
        </w:rPr>
        <w:t>מהרש"א</w:t>
      </w:r>
      <w:r w:rsidRPr="00D65870">
        <w:rPr>
          <w:rFonts w:ascii="Narkisim" w:hAnsi="Narkisim" w:cs="Narkisim"/>
          <w:rtl/>
        </w:rPr>
        <w:t xml:space="preserve"> הק' דלרב פפא בין מוסגר ובין מוחלט לא יחלוץ לכתחילה ע"כ הוה מטעם אחר</w:t>
      </w:r>
      <w:r w:rsidRPr="00D65870">
        <w:rPr>
          <w:rStyle w:val="ac"/>
          <w:rFonts w:ascii="Narkisim" w:hAnsi="Narkisim" w:cs="Narkisim"/>
          <w:rtl/>
        </w:rPr>
        <w:footnoteReference w:id="6741"/>
      </w:r>
      <w:r w:rsidRPr="00D65870">
        <w:rPr>
          <w:rFonts w:ascii="Narkisim" w:hAnsi="Narkisim" w:cs="Narkisim"/>
          <w:rtl/>
        </w:rPr>
        <w:t>, דס"ל דבתרוייהו כשר בדיעבד.</w:t>
      </w:r>
    </w:p>
    <w:p w14:paraId="6970024A"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כת' דלכתחילה לא יחלצו בו, דאתי לאיחלופי בשאר הנשרפים, כגון סנדל של תקרובת ע"ז וכו'. וה</w:t>
      </w:r>
      <w:r w:rsidRPr="00D65870">
        <w:rPr>
          <w:rFonts w:ascii="Narkisim" w:hAnsi="Narkisim"/>
          <w:b/>
          <w:bCs/>
          <w:rtl/>
        </w:rPr>
        <w:t>ריטב"א</w:t>
      </w:r>
      <w:r w:rsidRPr="00D65870">
        <w:rPr>
          <w:rFonts w:ascii="Narkisim" w:hAnsi="Narkisim"/>
          <w:rtl/>
        </w:rPr>
        <w:t xml:space="preserve"> כת' דלכתחילה לא יחלוץ משום דמאיס [וכמ"ש הראשונים בסמוך גבי ע"ז].</w:t>
      </w:r>
    </w:p>
    <w:p w14:paraId="0914C759" w14:textId="77777777" w:rsidR="006C4368" w:rsidRPr="00D65870" w:rsidRDefault="006C4368" w:rsidP="006C4368">
      <w:pPr>
        <w:pStyle w:val="a7"/>
        <w:bidi/>
        <w:rPr>
          <w:rFonts w:ascii="Narkisim" w:hAnsi="Narkisim"/>
        </w:rPr>
      </w:pPr>
      <w:r w:rsidRPr="00D65870">
        <w:rPr>
          <w:rFonts w:ascii="Narkisim" w:hAnsi="Narkisim"/>
          <w:rtl/>
        </w:rPr>
        <w:t>ועוד דנו ה</w:t>
      </w:r>
      <w:r w:rsidRPr="00D65870">
        <w:rPr>
          <w:rFonts w:ascii="Narkisim" w:hAnsi="Narkisim"/>
          <w:b/>
          <w:bCs/>
          <w:rtl/>
        </w:rPr>
        <w:t>אחרונים</w:t>
      </w:r>
      <w:r w:rsidRPr="00D65870">
        <w:rPr>
          <w:rFonts w:ascii="Narkisim" w:hAnsi="Narkisim"/>
          <w:rtl/>
        </w:rPr>
        <w:t xml:space="preserve"> דלכתחילה לא תחלוץ משום דאסור בהנאה</w:t>
      </w:r>
      <w:r w:rsidRPr="00D65870">
        <w:rPr>
          <w:rStyle w:val="ac"/>
          <w:rFonts w:ascii="Narkisim" w:hAnsi="Narkisim"/>
          <w:rtl/>
        </w:rPr>
        <w:footnoteReference w:id="6742"/>
      </w:r>
      <w:r w:rsidRPr="00D65870">
        <w:rPr>
          <w:rFonts w:ascii="Narkisim" w:hAnsi="Narkisim"/>
          <w:rtl/>
        </w:rPr>
        <w:t>. ונהי דמצוות לאו ליהנות נינהו [ע"ע בסמוך], לכתחילה אין לחלוץ בו.</w:t>
      </w:r>
    </w:p>
    <w:p w14:paraId="7D305B79" w14:textId="77777777" w:rsidR="006C4368" w:rsidRPr="00D65870" w:rsidRDefault="006C4368" w:rsidP="006C4368">
      <w:pPr>
        <w:pStyle w:val="aa"/>
        <w:bidi/>
        <w:rPr>
          <w:rFonts w:ascii="Narkisim" w:hAnsi="Narkisim"/>
        </w:rPr>
      </w:pPr>
      <w:r w:rsidRPr="00D65870">
        <w:rPr>
          <w:rFonts w:ascii="Narkisim" w:hAnsi="Narkisim"/>
          <w:u w:val="single"/>
          <w:rtl/>
        </w:rPr>
        <w:lastRenderedPageBreak/>
        <w:t>סנדל המוחלט וכו' חליצתה פסולה</w:t>
      </w:r>
      <w:r w:rsidRPr="00D65870">
        <w:rPr>
          <w:rFonts w:ascii="Narkisim" w:hAnsi="Narkisim"/>
          <w:rtl/>
        </w:rPr>
        <w:t>. פ</w:t>
      </w:r>
      <w:r w:rsidRPr="00D65870">
        <w:rPr>
          <w:rFonts w:ascii="Narkisim" w:hAnsi="Narkisim"/>
          <w:b/>
          <w:bCs/>
          <w:rtl/>
        </w:rPr>
        <w:t>רש"י</w:t>
      </w:r>
      <w:r w:rsidRPr="00D65870">
        <w:rPr>
          <w:rFonts w:ascii="Narkisim" w:hAnsi="Narkisim"/>
          <w:rtl/>
        </w:rPr>
        <w:t xml:space="preserve"> דמיכתת שיעורא [וכדאי' בגמ' בסמוך]. ו</w:t>
      </w:r>
      <w:r w:rsidRPr="00D65870">
        <w:rPr>
          <w:rFonts w:ascii="Narkisim" w:hAnsi="Narkisim"/>
          <w:b/>
          <w:bCs/>
          <w:rtl/>
        </w:rPr>
        <w:t>רש"י</w:t>
      </w:r>
      <w:r w:rsidRPr="00D65870">
        <w:rPr>
          <w:rFonts w:ascii="Narkisim" w:hAnsi="Narkisim"/>
          <w:rtl/>
        </w:rPr>
        <w:t xml:space="preserve"> (כאן) לא פי' במה פליג רב פפא דמכשיר, אבל בסוף העמוד פ</w:t>
      </w:r>
      <w:r w:rsidRPr="00D65870">
        <w:rPr>
          <w:rFonts w:ascii="Narkisim" w:hAnsi="Narkisim"/>
          <w:b/>
          <w:bCs/>
          <w:rtl/>
        </w:rPr>
        <w:t>רש"י</w:t>
      </w:r>
      <w:r w:rsidRPr="00D65870">
        <w:rPr>
          <w:rFonts w:ascii="Narkisim" w:hAnsi="Narkisim"/>
          <w:rtl/>
        </w:rPr>
        <w:t xml:space="preserve"> דילפי' דבשעת שריפה קרוי בגד [כדאי' בגמ' לענין טומאה, וגילוי מילתא לשאר דינים].</w:t>
      </w:r>
    </w:p>
    <w:p w14:paraId="43322F5C" w14:textId="77777777" w:rsidR="006C4368" w:rsidRPr="00D65870" w:rsidRDefault="006C4368" w:rsidP="006C4368">
      <w:pPr>
        <w:pStyle w:val="aa"/>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(ערכין כ:) הביאו מסוגיין דסנדל המוחלט אסור בהנאה</w:t>
      </w:r>
      <w:r w:rsidRPr="00D65870">
        <w:rPr>
          <w:rStyle w:val="ac"/>
          <w:rFonts w:ascii="Narkisim" w:hAnsi="Narkisim"/>
          <w:rtl/>
        </w:rPr>
        <w:footnoteReference w:id="6743"/>
      </w:r>
      <w:r w:rsidRPr="00D65870">
        <w:rPr>
          <w:rFonts w:ascii="Narkisim" w:hAnsi="Narkisim"/>
          <w:rtl/>
        </w:rPr>
        <w:t>, וה"ה בית המנוגע המוחלט. ודלא כמ"ש תוס' (שם בתחילת דבריהם בשם ר"י) דמותר בהנאה, ומש"ה אומר לו הרי שלך לפניך. וע"כ אסור בהנאה, ואפ"ה כיון דהשכיר לו 'בית זה' והוא בעין, אינו חייב להעמיד לו בית אחר. אלא דאפ"ה הפסיד שכרו עי"ש.</w:t>
      </w:r>
    </w:p>
    <w:p w14:paraId="774FC6BE" w14:textId="77777777" w:rsidR="006C4368" w:rsidRPr="00D65870" w:rsidRDefault="006C4368" w:rsidP="006C4368">
      <w:pPr>
        <w:bidi/>
        <w:rPr>
          <w:rFonts w:ascii="Narkisim" w:hAnsi="Narkisim" w:cs="Narkisim"/>
        </w:rPr>
      </w:pPr>
      <w:r w:rsidRPr="00D65870">
        <w:rPr>
          <w:rFonts w:ascii="Narkisim" w:hAnsi="Narkisim" w:cs="Narkisim"/>
          <w:u w:val="single"/>
          <w:rtl/>
        </w:rPr>
        <w:t>רש"י ד"ה מוחלט</w:t>
      </w:r>
      <w:r w:rsidRPr="00D65870">
        <w:rPr>
          <w:rFonts w:ascii="Narkisim" w:hAnsi="Narkisim" w:cs="Narkisim"/>
          <w:rtl/>
        </w:rPr>
        <w:t xml:space="preserve">. שיעורא בעינן, חופה את רוב רגלו וכו'. משמע ברש"י דדוקא דין התלוי בשיעור שייך סברת 'מיכתת', ובזה תי' רש"י דחופה את רוב רגלו הוה גדר שיעור בנעל [וע"ע בסמוך]. וכ"מ ממש"כ </w:t>
      </w:r>
      <w:r w:rsidRPr="00D65870">
        <w:rPr>
          <w:rFonts w:ascii="Narkisim" w:hAnsi="Narkisim" w:cs="Narkisim"/>
          <w:b/>
          <w:bCs/>
          <w:rtl/>
        </w:rPr>
        <w:t>תוס'</w:t>
      </w:r>
      <w:r w:rsidRPr="00D65870">
        <w:rPr>
          <w:rFonts w:ascii="Narkisim" w:hAnsi="Narkisim" w:cs="Narkisim"/>
          <w:rtl/>
        </w:rPr>
        <w:t xml:space="preserve"> (ד"ה שאין) דהוה שיעור להקרא נעל, ולא משום דבעינן כן במעשה החליצה. [וע"ע במסקנת הגמ'].</w:t>
      </w:r>
    </w:p>
    <w:p w14:paraId="4A885D8F" w14:textId="77777777" w:rsidR="006C4368" w:rsidRPr="00D65870" w:rsidRDefault="006C4368" w:rsidP="006C4368">
      <w:pPr>
        <w:pStyle w:val="aa"/>
        <w:bidi/>
        <w:rPr>
          <w:rFonts w:ascii="Narkisim" w:hAnsi="Narkisim"/>
        </w:rPr>
      </w:pPr>
      <w:r w:rsidRPr="00D65870">
        <w:rPr>
          <w:rFonts w:ascii="Narkisim" w:hAnsi="Narkisim"/>
          <w:u w:val="single"/>
          <w:rtl/>
        </w:rPr>
        <w:t>מיתיבי וכו' ואי ס"ד כדמכתת דמי, והא בעינן והבא אל הבית וליכא וכו'</w:t>
      </w:r>
      <w:r w:rsidRPr="00D65870">
        <w:rPr>
          <w:rFonts w:ascii="Narkisim" w:hAnsi="Narkisim"/>
          <w:rtl/>
        </w:rPr>
        <w:t>. [דכיון דמיכתת לא נחשב 'אל הבית', דחלל הבית אין בו חשיבות בית המנוגע. ולכאורה היינו דוקא משום דגדר הטומאה משום 'בא אל הבית', ולא משום טומאת אוהל בעלמא].</w:t>
      </w:r>
    </w:p>
    <w:p w14:paraId="6C7A1E93" w14:textId="77777777" w:rsidR="006C4368" w:rsidRPr="00D65870" w:rsidRDefault="006C4368" w:rsidP="006C4368">
      <w:pPr>
        <w:bidi/>
        <w:rPr>
          <w:rFonts w:ascii="Narkisim" w:hAnsi="Narkisim" w:cs="Narkisim"/>
        </w:rPr>
      </w:pPr>
      <w:r w:rsidRPr="00D65870">
        <w:rPr>
          <w:rFonts w:ascii="Narkisim" w:hAnsi="Narkisim" w:cs="Narkisim"/>
          <w:u w:val="single"/>
          <w:rtl/>
        </w:rPr>
        <w:t>תוד"ה מטמא</w:t>
      </w:r>
      <w:r w:rsidRPr="00D65870">
        <w:rPr>
          <w:rFonts w:ascii="Narkisim" w:hAnsi="Narkisim" w:cs="Narkisim"/>
          <w:rtl/>
        </w:rPr>
        <w:t>. ומיהו מספקא לר"י אם נגע בנגע שמתוכו וכו'. [האם נגע מוסגר אינו מטמא כלל במגע, אלא בביאה</w:t>
      </w:r>
      <w:r w:rsidRPr="00D65870">
        <w:rPr>
          <w:rStyle w:val="ac"/>
          <w:rFonts w:ascii="Narkisim" w:hAnsi="Narkisim" w:cs="Narkisim"/>
          <w:rtl/>
        </w:rPr>
        <w:footnoteReference w:id="6744"/>
      </w:r>
      <w:r w:rsidRPr="00D65870">
        <w:rPr>
          <w:rFonts w:ascii="Narkisim" w:hAnsi="Narkisim" w:cs="Narkisim"/>
          <w:rtl/>
        </w:rPr>
        <w:t>. או דנתמעט רק בנוגע מאחורי הבית</w:t>
      </w:r>
      <w:r w:rsidRPr="00D65870">
        <w:rPr>
          <w:rStyle w:val="ac"/>
          <w:rFonts w:ascii="Narkisim" w:hAnsi="Narkisim" w:cs="Narkisim"/>
          <w:rtl/>
        </w:rPr>
        <w:footnoteReference w:id="6745"/>
      </w:r>
      <w:r w:rsidRPr="00D65870">
        <w:rPr>
          <w:rFonts w:ascii="Narkisim" w:hAnsi="Narkisim" w:cs="Narkisim"/>
          <w:rtl/>
        </w:rPr>
        <w:t>]. וה</w:t>
      </w:r>
      <w:r w:rsidRPr="00D65870">
        <w:rPr>
          <w:rFonts w:ascii="Narkisim" w:hAnsi="Narkisim" w:cs="Narkisim"/>
          <w:b/>
          <w:bCs/>
          <w:rtl/>
        </w:rPr>
        <w:t>ר"ש</w:t>
      </w:r>
      <w:r w:rsidRPr="00D65870">
        <w:rPr>
          <w:rFonts w:ascii="Narkisim" w:hAnsi="Narkisim" w:cs="Narkisim"/>
          <w:rtl/>
        </w:rPr>
        <w:t xml:space="preserve"> (נגעים יג ד, והרמב"ם טו"צ טז ב) הביא מה</w:t>
      </w:r>
      <w:r w:rsidRPr="00D65870">
        <w:rPr>
          <w:rFonts w:ascii="Narkisim" w:hAnsi="Narkisim" w:cs="Narkisim"/>
          <w:b/>
          <w:bCs/>
          <w:rtl/>
        </w:rPr>
        <w:t>תוספתא</w:t>
      </w:r>
      <w:r w:rsidRPr="00D65870">
        <w:rPr>
          <w:rFonts w:ascii="Narkisim" w:hAnsi="Narkisim" w:cs="Narkisim"/>
          <w:rtl/>
        </w:rPr>
        <w:t xml:space="preserve"> דדוקא שאר הבית אינו מטמא בנגע מאחוריו, אבל אבן שיש בו נגע מטמא אף מאחוריו.</w:t>
      </w:r>
    </w:p>
    <w:p w14:paraId="23F3CF43" w14:textId="77777777" w:rsidR="006C4368" w:rsidRPr="00D65870" w:rsidRDefault="006C4368" w:rsidP="006C4368">
      <w:pPr>
        <w:bidi/>
        <w:rPr>
          <w:rFonts w:ascii="Narkisim" w:hAnsi="Narkisim" w:cs="Narkisim"/>
        </w:rPr>
      </w:pPr>
      <w:r w:rsidRPr="00D65870">
        <w:rPr>
          <w:rFonts w:ascii="Narkisim" w:hAnsi="Narkisim" w:cs="Narkisim"/>
          <w:u w:val="single"/>
          <w:rtl/>
        </w:rPr>
        <w:t>ת"ש מטלית וכו' כיון שנכנס רובא וכו' טמאתהו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דשדינן מיעוטא בתר רובא. וקו' הגמ' דכיון ד'מיכתת שיעוריה' ליכא 'שיעור' רוב.</w:t>
      </w:r>
    </w:p>
    <w:p w14:paraId="5B62F982"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מהרש"א</w:t>
      </w:r>
      <w:r w:rsidRPr="00D65870">
        <w:rPr>
          <w:rFonts w:ascii="Narkisim" w:hAnsi="Narkisim"/>
          <w:rtl/>
        </w:rPr>
        <w:t xml:space="preserve"> הק' דאפי' נכנס כולו לא יטמא, דכיון דמיכתת שיעוריה ליכא בגד ג' ע"ג בבית</w:t>
      </w:r>
      <w:r w:rsidRPr="00D65870">
        <w:rPr>
          <w:rStyle w:val="ac"/>
          <w:rFonts w:ascii="Narkisim" w:hAnsi="Narkisim"/>
          <w:rtl/>
        </w:rPr>
        <w:footnoteReference w:id="6746"/>
      </w:r>
      <w:r w:rsidRPr="00D65870">
        <w:rPr>
          <w:rFonts w:ascii="Narkisim" w:hAnsi="Narkisim"/>
          <w:rtl/>
        </w:rPr>
        <w:t>. אבל ה</w:t>
      </w:r>
      <w:r w:rsidRPr="00D65870">
        <w:rPr>
          <w:rFonts w:ascii="Narkisim" w:hAnsi="Narkisim"/>
          <w:b/>
          <w:bCs/>
          <w:rtl/>
        </w:rPr>
        <w:t>קובה"ע</w:t>
      </w:r>
      <w:r w:rsidRPr="00D65870">
        <w:rPr>
          <w:rFonts w:ascii="Narkisim" w:hAnsi="Narkisim"/>
          <w:rtl/>
        </w:rPr>
        <w:t xml:space="preserve"> (עג ו) הביא דתנן (נגעים יא יב) דבגד מוחלט שקצצו ועשאו מוכין טמא, וא"כ אפי' כתותי מיכתת ג"כ טמא. [ומשמע דאף מטמא אחרים</w:t>
      </w:r>
      <w:r w:rsidRPr="00D65870">
        <w:rPr>
          <w:rStyle w:val="ac"/>
          <w:rFonts w:ascii="Narkisim" w:hAnsi="Narkisim"/>
          <w:rtl/>
        </w:rPr>
        <w:footnoteReference w:id="6747"/>
      </w:r>
      <w:r w:rsidRPr="00D65870">
        <w:rPr>
          <w:rFonts w:ascii="Narkisim" w:hAnsi="Narkisim"/>
          <w:rtl/>
        </w:rPr>
        <w:t>]. וכת' דאפשר דכוונת המהרש"א דכיון דמיכתת שיעוריה אין כאן שיעור ג' על ג'.</w:t>
      </w:r>
    </w:p>
    <w:p w14:paraId="7F0AC498" w14:textId="77777777" w:rsidR="006C4368" w:rsidRPr="00D65870" w:rsidRDefault="006C4368" w:rsidP="006C4368">
      <w:pPr>
        <w:pStyle w:val="a7"/>
        <w:bidi/>
        <w:rPr>
          <w:rFonts w:ascii="Narkisim" w:hAnsi="Narkisim"/>
        </w:rPr>
      </w:pPr>
      <w:r w:rsidRPr="00D65870">
        <w:rPr>
          <w:rFonts w:ascii="Narkisim" w:hAnsi="Narkisim"/>
          <w:rtl/>
        </w:rPr>
        <w:t>והקובה"ע כת' די"ל דדעת רש"י דמיכתת שיעוריה נחשב שנפרד לחתיכות. אך מאחר דאפי' קצצו מטמא [כשיש סך הכל כשיעור זה] י"ל דעדיין מטמא</w:t>
      </w:r>
      <w:r w:rsidRPr="00D65870">
        <w:rPr>
          <w:rStyle w:val="ac"/>
          <w:rFonts w:ascii="Narkisim" w:hAnsi="Narkisim"/>
          <w:rtl/>
        </w:rPr>
        <w:footnoteReference w:id="6748"/>
      </w:r>
      <w:r w:rsidRPr="00D65870">
        <w:rPr>
          <w:rFonts w:ascii="Narkisim" w:hAnsi="Narkisim"/>
          <w:rtl/>
        </w:rPr>
        <w:t xml:space="preserve">. </w:t>
      </w:r>
      <w:r w:rsidRPr="00D65870">
        <w:rPr>
          <w:rFonts w:ascii="Narkisim" w:hAnsi="Narkisim"/>
          <w:szCs w:val="20"/>
          <w:rtl/>
        </w:rPr>
        <w:t>ומש"ה רש"י כת' משום דלא אמרי' רובו ככולו, כיון דנחשב חתיכות נפרדות זה מזה</w:t>
      </w:r>
      <w:r w:rsidRPr="00D65870">
        <w:rPr>
          <w:rFonts w:ascii="Narkisim" w:hAnsi="Narkisim"/>
          <w:rtl/>
        </w:rPr>
        <w:t>.</w:t>
      </w:r>
    </w:p>
    <w:p w14:paraId="5B24E949"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קובה"ע</w:t>
      </w:r>
      <w:r w:rsidRPr="00D65870">
        <w:rPr>
          <w:rFonts w:ascii="Narkisim" w:hAnsi="Narkisim" w:cs="Narkisim"/>
          <w:rtl/>
        </w:rPr>
        <w:t xml:space="preserve"> (שם ח) הק' דאמאי סגי דרובו נכנס לבית, ואילו גבי כזית מבואר דצריך שיבא כל הכזית לבית [ולא סגי ברוב כזית], וכמו בכל השיעורין דבעינן כל השיעור ולא סגי ברוב השיעור. ותי' דכזית הוה שיעור בטומאה, דפחות מכזית אינו מטמא ול"ש בזה רוב. אבל שיעור ג' על ג' הוה שיעור בבגד [ולא שיעור בטומאה]. והיכא דיש בגד כל חלק ממנו מטמא</w:t>
      </w:r>
      <w:r w:rsidRPr="00D65870">
        <w:rPr>
          <w:rStyle w:val="ac"/>
          <w:rFonts w:ascii="Narkisim" w:hAnsi="Narkisim" w:cs="Narkisim"/>
          <w:rtl/>
        </w:rPr>
        <w:footnoteReference w:id="6749"/>
      </w:r>
      <w:r w:rsidRPr="00D65870">
        <w:rPr>
          <w:rFonts w:ascii="Narkisim" w:hAnsi="Narkisim" w:cs="Narkisim"/>
          <w:rtl/>
        </w:rPr>
        <w:t>, וגם בפחות משיעור הזה</w:t>
      </w:r>
      <w:r w:rsidRPr="00D65870">
        <w:rPr>
          <w:rStyle w:val="ac"/>
          <w:rFonts w:ascii="Narkisim" w:hAnsi="Narkisim" w:cs="Narkisim"/>
          <w:rtl/>
        </w:rPr>
        <w:footnoteReference w:id="6750"/>
      </w:r>
      <w:r w:rsidRPr="00D65870">
        <w:rPr>
          <w:rFonts w:ascii="Narkisim" w:hAnsi="Narkisim" w:cs="Narkisim"/>
          <w:rtl/>
        </w:rPr>
        <w:t>.</w:t>
      </w:r>
    </w:p>
    <w:p w14:paraId="32168F47" w14:textId="77777777" w:rsidR="006C4368" w:rsidRPr="00D65870" w:rsidRDefault="006C4368" w:rsidP="006C4368">
      <w:pPr>
        <w:pStyle w:val="aa"/>
        <w:bidi/>
        <w:rPr>
          <w:rFonts w:ascii="Narkisim" w:hAnsi="Narkisim"/>
        </w:rPr>
      </w:pPr>
      <w:r w:rsidRPr="00D65870">
        <w:rPr>
          <w:rFonts w:ascii="Narkisim" w:hAnsi="Narkisim"/>
          <w:u w:val="single"/>
          <w:rtl/>
        </w:rPr>
        <w:t>תוד"ה כיון</w:t>
      </w:r>
      <w:r w:rsidRPr="00D65870">
        <w:rPr>
          <w:rFonts w:ascii="Narkisim" w:hAnsi="Narkisim"/>
          <w:rtl/>
        </w:rPr>
        <w:t>. אר"י אע"פ שלא ישב שם וכו' אבל בבית דאיכא מחיצות כאילו יושב תחתיו וכו'. ו</w:t>
      </w:r>
      <w:r w:rsidRPr="00D65870">
        <w:rPr>
          <w:rFonts w:ascii="Narkisim" w:hAnsi="Narkisim"/>
          <w:b/>
          <w:bCs/>
          <w:rtl/>
        </w:rPr>
        <w:t>רע"א</w:t>
      </w:r>
      <w:r w:rsidRPr="00D65870">
        <w:rPr>
          <w:rFonts w:ascii="Narkisim" w:hAnsi="Narkisim"/>
          <w:rtl/>
        </w:rPr>
        <w:t xml:space="preserve"> ציין דמדברי ה</w:t>
      </w:r>
      <w:r w:rsidRPr="00D65870">
        <w:rPr>
          <w:rFonts w:ascii="Narkisim" w:hAnsi="Narkisim"/>
          <w:b/>
          <w:bCs/>
          <w:rtl/>
        </w:rPr>
        <w:t>ר"ש</w:t>
      </w:r>
      <w:r w:rsidRPr="00D65870">
        <w:rPr>
          <w:rFonts w:ascii="Narkisim" w:hAnsi="Narkisim"/>
          <w:rtl/>
        </w:rPr>
        <w:t xml:space="preserve"> (נגעים יג יא) מבואר דלא חילק בזה. [וכן התוי"ט שם כת' דלדברי התוס' ל"ק קו' הר"ש שם].</w:t>
      </w:r>
    </w:p>
    <w:p w14:paraId="26837701" w14:textId="77777777" w:rsidR="006C4368" w:rsidRPr="00D65870" w:rsidRDefault="006C4368" w:rsidP="006C4368">
      <w:pPr>
        <w:bidi/>
        <w:rPr>
          <w:rFonts w:ascii="Narkisim" w:hAnsi="Narkisim" w:cs="Narkisim"/>
        </w:rPr>
      </w:pPr>
      <w:r w:rsidRPr="00D65870">
        <w:rPr>
          <w:rFonts w:ascii="Narkisim" w:hAnsi="Narkisim" w:cs="Narkisim"/>
          <w:u w:val="single"/>
          <w:rtl/>
        </w:rPr>
        <w:lastRenderedPageBreak/>
        <w:t>א"ה אימא סיפא היו בה כמה זיתים</w:t>
      </w:r>
      <w:r w:rsidRPr="00D65870">
        <w:rPr>
          <w:rStyle w:val="ac"/>
          <w:rFonts w:ascii="Narkisim" w:hAnsi="Narkisim" w:cs="Narkisim"/>
          <w:u w:val="single"/>
          <w:rtl/>
        </w:rPr>
        <w:footnoteReference w:id="6751"/>
      </w:r>
      <w:r w:rsidRPr="00D65870">
        <w:rPr>
          <w:rFonts w:ascii="Narkisim" w:hAnsi="Narkisim" w:cs="Narkisim"/>
          <w:u w:val="single"/>
          <w:rtl/>
        </w:rPr>
        <w:t xml:space="preserve"> וכו' אלא אי אמרת מוסגרת, אמאי איתקש למת וכו'</w:t>
      </w:r>
      <w:r w:rsidRPr="00D65870">
        <w:rPr>
          <w:rFonts w:ascii="Narkisim" w:hAnsi="Narkisim" w:cs="Narkisim"/>
          <w:rtl/>
        </w:rPr>
        <w:t>. בפשוטו מבואר דבגד המוסגר אינו מטמא בכזית</w:t>
      </w:r>
      <w:r w:rsidRPr="00D65870">
        <w:rPr>
          <w:rStyle w:val="ac"/>
          <w:rFonts w:ascii="Narkisim" w:hAnsi="Narkisim" w:cs="Narkisim"/>
          <w:rtl/>
        </w:rPr>
        <w:footnoteReference w:id="6752"/>
      </w:r>
      <w:r w:rsidRPr="00D65870">
        <w:rPr>
          <w:rFonts w:ascii="Narkisim" w:hAnsi="Narkisim" w:cs="Narkisim"/>
          <w:rtl/>
        </w:rPr>
        <w:t>, דלא הוקש למת</w:t>
      </w:r>
      <w:r w:rsidRPr="00D65870">
        <w:rPr>
          <w:rStyle w:val="ac"/>
          <w:rFonts w:ascii="Narkisim" w:hAnsi="Narkisim" w:cs="Narkisim"/>
          <w:rtl/>
        </w:rPr>
        <w:footnoteReference w:id="6753"/>
      </w:r>
      <w:r w:rsidRPr="00D65870">
        <w:rPr>
          <w:rFonts w:ascii="Narkisim" w:hAnsi="Narkisim" w:cs="Narkisim"/>
          <w:rtl/>
        </w:rPr>
        <w:t>. אבל ה</w:t>
      </w:r>
      <w:r w:rsidRPr="00D65870">
        <w:rPr>
          <w:rFonts w:ascii="Narkisim" w:hAnsi="Narkisim" w:cs="Narkisim"/>
          <w:b/>
          <w:bCs/>
          <w:rtl/>
        </w:rPr>
        <w:t>משנ"ל</w:t>
      </w:r>
      <w:r w:rsidRPr="00D65870">
        <w:rPr>
          <w:rFonts w:ascii="Narkisim" w:hAnsi="Narkisim" w:cs="Narkisim"/>
          <w:rtl/>
        </w:rPr>
        <w:t xml:space="preserve"> (טומאת צרעת יג יד) דייק מה</w:t>
      </w:r>
      <w:r w:rsidRPr="00D65870">
        <w:rPr>
          <w:rFonts w:ascii="Narkisim" w:hAnsi="Narkisim" w:cs="Narkisim"/>
          <w:b/>
          <w:bCs/>
          <w:rtl/>
        </w:rPr>
        <w:t>רמב"ם</w:t>
      </w:r>
      <w:r w:rsidRPr="00D65870">
        <w:rPr>
          <w:rFonts w:ascii="Narkisim" w:hAnsi="Narkisim" w:cs="Narkisim"/>
          <w:rtl/>
        </w:rPr>
        <w:t xml:space="preserve"> דאף בגד מוסגר מטמא כמת. דהרמב"ם לא חילק דכל בגד מנוגע שווים בדין זה. וצ"ע. וע' מש"כ המרכה"מ.</w:t>
      </w:r>
    </w:p>
    <w:p w14:paraId="1C791D88" w14:textId="77777777" w:rsidR="006C4368" w:rsidRPr="00D65870" w:rsidRDefault="006C4368" w:rsidP="006C4368">
      <w:pPr>
        <w:pStyle w:val="aa"/>
        <w:bidi/>
        <w:rPr>
          <w:rFonts w:ascii="Narkisim" w:hAnsi="Narkisim"/>
        </w:rPr>
      </w:pPr>
      <w:r w:rsidRPr="00D65870">
        <w:rPr>
          <w:rFonts w:ascii="Narkisim" w:hAnsi="Narkisim"/>
          <w:u w:val="single"/>
          <w:rtl/>
        </w:rPr>
        <w:t>רש"י ד"ה אי אמרת</w:t>
      </w:r>
      <w:r w:rsidRPr="00D65870">
        <w:rPr>
          <w:rFonts w:ascii="Narkisim" w:hAnsi="Narkisim"/>
          <w:rtl/>
        </w:rPr>
        <w:t>. דכתיב אל נא תהי כמת, שמרים מוסגרת הואי וכו' אל נא תחלט, שלא תהא כמת. ה</w:t>
      </w:r>
      <w:r w:rsidRPr="00D65870">
        <w:rPr>
          <w:rFonts w:ascii="Narkisim" w:hAnsi="Narkisim"/>
          <w:b/>
          <w:bCs/>
          <w:rtl/>
        </w:rPr>
        <w:t>ערול"נ</w:t>
      </w:r>
      <w:r w:rsidRPr="00D65870">
        <w:rPr>
          <w:rFonts w:ascii="Narkisim" w:hAnsi="Narkisim"/>
          <w:rtl/>
        </w:rPr>
        <w:t xml:space="preserve"> ציין ד</w:t>
      </w:r>
      <w:r w:rsidRPr="00D65870">
        <w:rPr>
          <w:rFonts w:ascii="Narkisim" w:hAnsi="Narkisim"/>
          <w:b/>
          <w:bCs/>
          <w:rtl/>
        </w:rPr>
        <w:t>רש"י</w:t>
      </w:r>
      <w:r w:rsidRPr="00D65870">
        <w:rPr>
          <w:rFonts w:ascii="Narkisim" w:hAnsi="Narkisim"/>
          <w:rtl/>
        </w:rPr>
        <w:t xml:space="preserve"> (במדבר יב יב) פי' מי מסגירה ומי מטהרה. [ע"פ המדרש, וע"ע גמ' זבחים קב.]. ומבואר דהך פסוק היה קודם הסגר</w:t>
      </w:r>
      <w:r w:rsidRPr="00D65870">
        <w:rPr>
          <w:rStyle w:val="ac"/>
          <w:rFonts w:ascii="Narkisim" w:hAnsi="Narkisim"/>
          <w:rtl/>
        </w:rPr>
        <w:footnoteReference w:id="6754"/>
      </w:r>
      <w:r w:rsidRPr="00D65870">
        <w:rPr>
          <w:rFonts w:ascii="Narkisim" w:hAnsi="Narkisim"/>
          <w:rtl/>
        </w:rPr>
        <w:t>.</w:t>
      </w:r>
    </w:p>
    <w:p w14:paraId="6D6EBEC6" w14:textId="77777777" w:rsidR="006C4368" w:rsidRPr="00D65870" w:rsidRDefault="006C4368" w:rsidP="006C4368">
      <w:pPr>
        <w:bidi/>
        <w:rPr>
          <w:rFonts w:ascii="Narkisim" w:hAnsi="Narkisim" w:cs="Narkisim"/>
        </w:rPr>
      </w:pPr>
      <w:r w:rsidRPr="00D65870">
        <w:rPr>
          <w:rFonts w:ascii="Narkisim" w:hAnsi="Narkisim" w:cs="Narkisim"/>
          <w:u w:val="single"/>
          <w:rtl/>
        </w:rPr>
        <w:t>וליגמר מיניה, איסורא מטומאה לא גמרינן</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שהלכות טומאה חידוש הוא</w:t>
      </w:r>
      <w:r w:rsidRPr="00D65870">
        <w:rPr>
          <w:rStyle w:val="ac"/>
          <w:rFonts w:ascii="Narkisim" w:hAnsi="Narkisim" w:cs="Narkisim"/>
          <w:rtl/>
        </w:rPr>
        <w:footnoteReference w:id="6755"/>
      </w:r>
      <w:r w:rsidRPr="00D65870">
        <w:rPr>
          <w:rFonts w:ascii="Narkisim" w:hAnsi="Narkisim" w:cs="Narkisim"/>
          <w:rtl/>
        </w:rPr>
        <w:t>. ה</w:t>
      </w:r>
      <w:r w:rsidRPr="00D65870">
        <w:rPr>
          <w:rFonts w:ascii="Narkisim" w:hAnsi="Narkisim" w:cs="Narkisim"/>
          <w:b/>
          <w:bCs/>
          <w:rtl/>
        </w:rPr>
        <w:t>קובה"ע</w:t>
      </w:r>
      <w:r w:rsidRPr="00D65870">
        <w:rPr>
          <w:rFonts w:ascii="Narkisim" w:hAnsi="Narkisim" w:cs="Narkisim"/>
          <w:rtl/>
        </w:rPr>
        <w:t xml:space="preserve"> (עג) הק' דלא דמי לשאר מקומות דאמרי' 'חידוש' וכגון עדים זוממים, שהוא היפך דין שמצאנו במקום אחר. אבל הכא הלכות טומאה הוה דין מחודש</w:t>
      </w:r>
      <w:r w:rsidRPr="00D65870">
        <w:rPr>
          <w:rStyle w:val="ac"/>
          <w:rFonts w:ascii="Narkisim" w:hAnsi="Narkisim" w:cs="Narkisim"/>
          <w:rtl/>
        </w:rPr>
        <w:footnoteReference w:id="6756"/>
      </w:r>
      <w:r w:rsidRPr="00D65870">
        <w:rPr>
          <w:rFonts w:ascii="Narkisim" w:hAnsi="Narkisim" w:cs="Narkisim"/>
          <w:rtl/>
        </w:rPr>
        <w:t>. והק' דרוב דיני התורה אין אנו יודעין טעם הדין, ויחשב חידוש.</w:t>
      </w:r>
    </w:p>
    <w:p w14:paraId="4C99A000" w14:textId="77777777" w:rsidR="006C4368" w:rsidRPr="00D65870" w:rsidRDefault="006C4368" w:rsidP="006C4368">
      <w:pPr>
        <w:pStyle w:val="a7"/>
        <w:bidi/>
        <w:rPr>
          <w:rFonts w:ascii="Narkisim" w:hAnsi="Narkisim"/>
        </w:rPr>
      </w:pPr>
      <w:r w:rsidRPr="00D65870">
        <w:rPr>
          <w:rFonts w:ascii="Narkisim" w:hAnsi="Narkisim"/>
          <w:rtl/>
        </w:rPr>
        <w:t>אבל ה</w:t>
      </w:r>
      <w:r w:rsidRPr="00D65870">
        <w:rPr>
          <w:rFonts w:ascii="Narkisim" w:hAnsi="Narkisim"/>
          <w:b/>
          <w:bCs/>
          <w:rtl/>
        </w:rPr>
        <w:t>מצפ"א</w:t>
      </w:r>
      <w:r w:rsidRPr="00D65870">
        <w:rPr>
          <w:rFonts w:ascii="Narkisim" w:hAnsi="Narkisim"/>
          <w:rtl/>
        </w:rPr>
        <w:t xml:space="preserve"> ציין דבגמ' (מו"ק ז:) מבואר דטומאת נגעי בתים הוה חידוש, דהא בעלמא [בכל התורה] עצים ואבנים לא מטמאי, והכא אמרי' ופינה אף כלים טהורים. [ולפ"ז י"ל דכוונת הגמ' דטומאת 'ובא אל הבית' דמצורע הוה חידוש, דשאני משאר הלכות טומאה</w:t>
      </w:r>
      <w:r w:rsidRPr="00D65870">
        <w:rPr>
          <w:rStyle w:val="ac"/>
          <w:rFonts w:ascii="Narkisim" w:hAnsi="Narkisim"/>
          <w:rtl/>
        </w:rPr>
        <w:footnoteReference w:id="6757"/>
      </w:r>
      <w:r w:rsidRPr="00D65870">
        <w:rPr>
          <w:rFonts w:ascii="Narkisim" w:hAnsi="Narkisim"/>
          <w:rtl/>
        </w:rPr>
        <w:t>].</w:t>
      </w:r>
    </w:p>
    <w:p w14:paraId="3C9BF365" w14:textId="77777777" w:rsidR="006C4368" w:rsidRPr="00D65870" w:rsidRDefault="006C4368" w:rsidP="006C4368">
      <w:pPr>
        <w:pStyle w:val="aa"/>
        <w:bidi/>
        <w:rPr>
          <w:rFonts w:ascii="Narkisim" w:hAnsi="Narkisim"/>
        </w:rPr>
      </w:pPr>
      <w:r w:rsidRPr="00D65870">
        <w:rPr>
          <w:rFonts w:ascii="Narkisim" w:hAnsi="Narkisim"/>
          <w:u w:val="single"/>
          <w:rtl/>
        </w:rPr>
        <w:t>שם. איסורא מטומאה לא גמרינן</w:t>
      </w:r>
      <w:r w:rsidRPr="00D65870">
        <w:rPr>
          <w:rFonts w:ascii="Narkisim" w:hAnsi="Narkisim"/>
          <w:rtl/>
        </w:rPr>
        <w:t>. ועד"ז הביאו ה</w:t>
      </w:r>
      <w:r w:rsidRPr="00D65870">
        <w:rPr>
          <w:rFonts w:ascii="Narkisim" w:hAnsi="Narkisim"/>
          <w:b/>
          <w:bCs/>
          <w:rtl/>
        </w:rPr>
        <w:t>ראשונים</w:t>
      </w:r>
      <w:r w:rsidRPr="00D65870">
        <w:rPr>
          <w:rFonts w:ascii="Narkisim" w:hAnsi="Narkisim"/>
          <w:rtl/>
        </w:rPr>
        <w:t xml:space="preserve"> בכ"מ</w:t>
      </w:r>
      <w:r w:rsidRPr="00D65870">
        <w:rPr>
          <w:rStyle w:val="ac"/>
          <w:rFonts w:ascii="Narkisim" w:hAnsi="Narkisim"/>
          <w:rtl/>
        </w:rPr>
        <w:footnoteReference w:id="6758"/>
      </w:r>
      <w:r w:rsidRPr="00D65870">
        <w:rPr>
          <w:rFonts w:ascii="Narkisim" w:hAnsi="Narkisim"/>
          <w:rtl/>
        </w:rPr>
        <w:t xml:space="preserve"> דלא ילפי' איסור מטומאה. ו</w:t>
      </w:r>
      <w:r w:rsidRPr="00D65870">
        <w:rPr>
          <w:rFonts w:ascii="Narkisim" w:hAnsi="Narkisim"/>
          <w:b/>
          <w:bCs/>
          <w:rtl/>
        </w:rPr>
        <w:t>רש"י</w:t>
      </w:r>
      <w:r w:rsidRPr="00D65870">
        <w:rPr>
          <w:rFonts w:ascii="Narkisim" w:hAnsi="Narkisim"/>
          <w:rtl/>
        </w:rPr>
        <w:t xml:space="preserve"> (ועוד ראשונים) כת' דאידך מ"ד סבר דהוה גילוי מילתא, ומש"ה ילפי'</w:t>
      </w:r>
      <w:r w:rsidRPr="00D65870">
        <w:rPr>
          <w:rStyle w:val="ac"/>
          <w:rFonts w:ascii="Narkisim" w:hAnsi="Narkisim"/>
          <w:rtl/>
        </w:rPr>
        <w:footnoteReference w:id="6759"/>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(קהלת יעקב אלגאזי תוס' דרבנן א כ) הק' דכמה דינים ילפי' מטומאה, דדיני חזקות ילפי' מבית המנוגע, ועוד הרבה דינים. והבי"ש (ו לד) כת' דבכל מקום דאיכא סברא ילפינן איסור מטומאה</w:t>
      </w:r>
      <w:r w:rsidRPr="00D65870">
        <w:rPr>
          <w:rStyle w:val="ac"/>
          <w:rFonts w:ascii="Narkisim" w:hAnsi="Narkisim"/>
          <w:rtl/>
        </w:rPr>
        <w:footnoteReference w:id="6760"/>
      </w:r>
      <w:r w:rsidRPr="00D65870">
        <w:rPr>
          <w:rFonts w:ascii="Narkisim" w:hAnsi="Narkisim"/>
          <w:rtl/>
        </w:rPr>
        <w:t>.</w:t>
      </w:r>
    </w:p>
    <w:p w14:paraId="45D549E6" w14:textId="77777777" w:rsidR="006C4368" w:rsidRPr="00D65870" w:rsidRDefault="006C4368" w:rsidP="006C4368">
      <w:pPr>
        <w:bidi/>
        <w:rPr>
          <w:rFonts w:ascii="Narkisim" w:hAnsi="Narkisim" w:cs="Narkisim"/>
        </w:rPr>
      </w:pPr>
      <w:r w:rsidRPr="00D65870">
        <w:rPr>
          <w:rFonts w:ascii="Narkisim" w:hAnsi="Narkisim" w:cs="Narkisim"/>
          <w:u w:val="single"/>
          <w:rtl/>
        </w:rPr>
        <w:t>אמר רבא הלכתא וכו' חליצתה כשירה</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דילפי' דאפי' בשעת שריפה קרוי בגד, והוה גילוי מילתא לכל מילי [דגלי דבגד מנוגע נקרא בגד, ואף לענין איסורא]. וכ"כ שא"ר בסוגיין.</w:t>
      </w:r>
    </w:p>
    <w:p w14:paraId="2280DF16" w14:textId="77777777" w:rsidR="006C4368" w:rsidRPr="00D65870" w:rsidRDefault="006C4368" w:rsidP="006C4368">
      <w:pPr>
        <w:pStyle w:val="a7"/>
        <w:bidi/>
        <w:rPr>
          <w:rFonts w:ascii="Narkisim" w:hAnsi="Narkisim"/>
        </w:rPr>
      </w:pPr>
      <w:r w:rsidRPr="00D65870">
        <w:rPr>
          <w:rFonts w:ascii="Narkisim" w:hAnsi="Narkisim"/>
          <w:rtl/>
        </w:rPr>
        <w:t>אבל ה</w:t>
      </w:r>
      <w:r w:rsidRPr="00D65870">
        <w:rPr>
          <w:rFonts w:ascii="Narkisim" w:hAnsi="Narkisim"/>
          <w:b/>
          <w:bCs/>
          <w:rtl/>
        </w:rPr>
        <w:t>כס"מ</w:t>
      </w:r>
      <w:r w:rsidRPr="00D65870">
        <w:rPr>
          <w:rFonts w:ascii="Narkisim" w:hAnsi="Narkisim"/>
          <w:rtl/>
        </w:rPr>
        <w:t xml:space="preserve"> (לולב ח א בחד תי') כת' דסנדל חליצה לא איכפ"ל דמיכתת שיעוריה. וביאר דדוקא שופר ולולב שיש להם שיעור קצוב אמרי' דכי עומד לשריפה מיכתת שיעוריה, כלומר הוא חסר משיעורו הקצוב לו. אבל לסנדל דחליצה דלית לן שיעור קצוב אלא הגדול לפי גדלו והקטן לפי קטנו ל"ש מיכתת שיעוריה. ונהי דבעי שיהא חופה רוב רגלו, הכא אני רואה שהוא חופה, ואין לנו בו שיעור קצוב.</w:t>
      </w:r>
    </w:p>
    <w:p w14:paraId="44FB235D" w14:textId="77777777" w:rsidR="006C4368" w:rsidRPr="00D65870" w:rsidRDefault="006C4368" w:rsidP="006C4368">
      <w:pPr>
        <w:bidi/>
        <w:rPr>
          <w:rFonts w:ascii="Narkisim" w:hAnsi="Narkisim" w:cs="Narkisim"/>
        </w:rPr>
      </w:pPr>
      <w:r w:rsidRPr="00D65870">
        <w:rPr>
          <w:rFonts w:ascii="Narkisim" w:hAnsi="Narkisim" w:cs="Narkisim"/>
          <w:rtl/>
        </w:rPr>
        <w:t>ויסוד הדבר הביאו ה</w:t>
      </w:r>
      <w:r w:rsidRPr="00D65870">
        <w:rPr>
          <w:rFonts w:ascii="Narkisim" w:hAnsi="Narkisim" w:cs="Narkisim"/>
          <w:b/>
          <w:bCs/>
          <w:rtl/>
        </w:rPr>
        <w:t>ראשונים</w:t>
      </w:r>
      <w:r w:rsidRPr="00D65870">
        <w:rPr>
          <w:rFonts w:ascii="Narkisim" w:hAnsi="Narkisim" w:cs="Narkisim"/>
          <w:rtl/>
        </w:rPr>
        <w:t xml:space="preserve"> מהגמ' (עירובין פ:) דמהני לחי מאשירה. ופ</w:t>
      </w:r>
      <w:r w:rsidRPr="00D65870">
        <w:rPr>
          <w:rFonts w:ascii="Narkisim" w:hAnsi="Narkisim" w:cs="Narkisim"/>
          <w:b/>
          <w:bCs/>
          <w:rtl/>
        </w:rPr>
        <w:t>רש"י</w:t>
      </w:r>
      <w:r w:rsidRPr="00D65870">
        <w:rPr>
          <w:rFonts w:ascii="Narkisim" w:hAnsi="Narkisim" w:cs="Narkisim"/>
          <w:rtl/>
        </w:rPr>
        <w:t xml:space="preserve"> דלחי אין לו שיעור לרוחבו. והחסרון מיכתת שיעוריה שייך בדבר התלוי בשיעור</w:t>
      </w:r>
      <w:r w:rsidRPr="00D65870">
        <w:rPr>
          <w:rStyle w:val="ac"/>
          <w:rFonts w:ascii="Narkisim" w:hAnsi="Narkisim" w:cs="Narkisim"/>
          <w:rtl/>
        </w:rPr>
        <w:footnoteReference w:id="6761"/>
      </w:r>
      <w:r w:rsidRPr="00D65870">
        <w:rPr>
          <w:rFonts w:ascii="Narkisim" w:hAnsi="Narkisim" w:cs="Narkisim"/>
          <w:rtl/>
        </w:rPr>
        <w:t>. ו</w:t>
      </w:r>
      <w:r w:rsidRPr="00D65870">
        <w:rPr>
          <w:rFonts w:ascii="Narkisim" w:hAnsi="Narkisim" w:cs="Narkisim"/>
          <w:b/>
          <w:bCs/>
          <w:rtl/>
        </w:rPr>
        <w:t>ה"ר אברהם</w:t>
      </w:r>
      <w:r w:rsidRPr="00D65870">
        <w:rPr>
          <w:rFonts w:ascii="Narkisim" w:hAnsi="Narkisim" w:cs="Narkisim"/>
          <w:rtl/>
        </w:rPr>
        <w:t xml:space="preserve"> (בתוס' </w:t>
      </w:r>
      <w:r w:rsidRPr="00D65870">
        <w:rPr>
          <w:rFonts w:ascii="Narkisim" w:hAnsi="Narkisim" w:cs="Narkisim"/>
          <w:rtl/>
        </w:rPr>
        <w:lastRenderedPageBreak/>
        <w:t>עירובין) כת' הטעם דאם היה מדבק הכתיתים לכותל הוה לחי</w:t>
      </w:r>
      <w:r w:rsidRPr="00D65870">
        <w:rPr>
          <w:rStyle w:val="ac"/>
          <w:rFonts w:ascii="Narkisim" w:hAnsi="Narkisim" w:cs="Narkisim"/>
          <w:rtl/>
        </w:rPr>
        <w:footnoteReference w:id="6762"/>
      </w:r>
      <w:r w:rsidRPr="00D65870">
        <w:rPr>
          <w:rFonts w:ascii="Narkisim" w:hAnsi="Narkisim" w:cs="Narkisim"/>
          <w:rtl/>
        </w:rPr>
        <w:t xml:space="preserve">. [ואף דצריך שיהא גובה י', ל"צ שהלחי יהא שיעור זה. ואף כשהלחי טחון לפירורים מהני]. וע"ע </w:t>
      </w:r>
      <w:r w:rsidRPr="00D65870">
        <w:rPr>
          <w:rFonts w:ascii="Narkisim" w:hAnsi="Narkisim" w:cs="Narkisim"/>
          <w:b/>
          <w:bCs/>
          <w:rtl/>
        </w:rPr>
        <w:t>רמב"ם</w:t>
      </w:r>
      <w:r w:rsidRPr="00D65870">
        <w:rPr>
          <w:rFonts w:ascii="Narkisim" w:hAnsi="Narkisim" w:cs="Narkisim"/>
          <w:rtl/>
        </w:rPr>
        <w:t xml:space="preserve"> ו</w:t>
      </w:r>
      <w:r w:rsidRPr="00D65870">
        <w:rPr>
          <w:rFonts w:ascii="Narkisim" w:hAnsi="Narkisim" w:cs="Narkisim"/>
          <w:b/>
          <w:bCs/>
          <w:rtl/>
        </w:rPr>
        <w:t>ראב"ד</w:t>
      </w:r>
      <w:r w:rsidRPr="00D65870">
        <w:rPr>
          <w:rFonts w:ascii="Narkisim" w:hAnsi="Narkisim" w:cs="Narkisim"/>
          <w:rtl/>
        </w:rPr>
        <w:t xml:space="preserve"> (שבת יז יב) ו</w:t>
      </w:r>
      <w:r w:rsidRPr="00D65870">
        <w:rPr>
          <w:rFonts w:ascii="Narkisim" w:hAnsi="Narkisim" w:cs="Narkisim"/>
          <w:b/>
          <w:bCs/>
          <w:rtl/>
        </w:rPr>
        <w:t>ה"ה</w:t>
      </w:r>
      <w:r w:rsidRPr="00D65870">
        <w:rPr>
          <w:rFonts w:ascii="Narkisim" w:hAnsi="Narkisim" w:cs="Narkisim"/>
          <w:rtl/>
        </w:rPr>
        <w:t xml:space="preserve"> (שם).</w:t>
      </w:r>
    </w:p>
    <w:p w14:paraId="71886E7D"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גר"ח</w:t>
      </w:r>
      <w:r w:rsidRPr="00D65870">
        <w:rPr>
          <w:rFonts w:ascii="Narkisim" w:hAnsi="Narkisim"/>
          <w:rtl/>
        </w:rPr>
        <w:t xml:space="preserve"> (שבת שם) ביאר דהיסוד ד'מיכתת שיעוריה' הוה דבטל ממנו השיעור. ודוקא </w:t>
      </w:r>
      <w:r w:rsidRPr="00D65870">
        <w:rPr>
          <w:rFonts w:ascii="Narkisim" w:eastAsia="Narkisim" w:hAnsi="Narkisim"/>
          <w:rtl/>
        </w:rPr>
        <w:t>במידי דבעי שיעור, אבל היכא דל"צ שיעור לא אמרי' דעצם הדבר הוה 'כמי שאינו'</w:t>
      </w:r>
      <w:r w:rsidRPr="00D65870">
        <w:rPr>
          <w:rStyle w:val="ac"/>
          <w:rFonts w:ascii="Narkisim" w:eastAsia="Narkisim" w:hAnsi="Narkisim"/>
          <w:rtl/>
        </w:rPr>
        <w:footnoteReference w:id="6763"/>
      </w:r>
      <w:r w:rsidRPr="00D65870">
        <w:rPr>
          <w:rFonts w:ascii="Narkisim" w:eastAsia="Narkisim" w:hAnsi="Narkisim"/>
          <w:rtl/>
        </w:rPr>
        <w:t>.</w:t>
      </w:r>
    </w:p>
    <w:p w14:paraId="1A03AB19"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רש"י</w:t>
      </w:r>
      <w:r w:rsidRPr="00D65870">
        <w:rPr>
          <w:rFonts w:ascii="Narkisim" w:hAnsi="Narkisim"/>
          <w:rtl/>
        </w:rPr>
        <w:t xml:space="preserve"> (לעיל ד"ה מוחלט) כת' דבעינן 'שיעור' שחופה את רוב רגלו, והוה שיעור בנעל. וה</w:t>
      </w:r>
      <w:r w:rsidRPr="00D65870">
        <w:rPr>
          <w:rFonts w:ascii="Narkisim" w:hAnsi="Narkisim"/>
          <w:b/>
          <w:bCs/>
          <w:rtl/>
        </w:rPr>
        <w:t>כס"מ</w:t>
      </w:r>
      <w:r w:rsidRPr="00D65870">
        <w:rPr>
          <w:rFonts w:ascii="Narkisim" w:hAnsi="Narkisim"/>
          <w:rtl/>
        </w:rPr>
        <w:t xml:space="preserve"> נקט דלמסקנא לא הוה בגדר 'שיעור' בנעל, אלא צורה בחליצה.</w:t>
      </w:r>
    </w:p>
    <w:p w14:paraId="19C790F6" w14:textId="77777777" w:rsidR="006C4368" w:rsidRPr="00D65870" w:rsidRDefault="006C4368" w:rsidP="006C4368">
      <w:pPr>
        <w:pStyle w:val="a8"/>
        <w:bidi/>
        <w:rPr>
          <w:rFonts w:ascii="Narkisim" w:hAnsi="Narkisim"/>
        </w:rPr>
      </w:pPr>
      <w:r w:rsidRPr="00D65870">
        <w:rPr>
          <w:rFonts w:ascii="Narkisim" w:hAnsi="Narkisim"/>
          <w:rtl/>
        </w:rPr>
        <w:t>ועד"ז כת' ה</w:t>
      </w:r>
      <w:r w:rsidRPr="00D65870">
        <w:rPr>
          <w:rFonts w:ascii="Narkisim" w:hAnsi="Narkisim"/>
          <w:b/>
          <w:bCs/>
          <w:rtl/>
        </w:rPr>
        <w:t>ראשונים</w:t>
      </w:r>
      <w:r w:rsidRPr="00D65870">
        <w:rPr>
          <w:rFonts w:ascii="Narkisim" w:hAnsi="Narkisim"/>
          <w:rtl/>
        </w:rPr>
        <w:t xml:space="preserve"> (ריטב"א ור"ן גיטין כ.) דמהני גט על איסור הנאה, דאין בזה 'שיעור'. וע"ע בסמוך.</w:t>
      </w:r>
    </w:p>
    <w:p w14:paraId="1810EDA9" w14:textId="77777777" w:rsidR="006C4368" w:rsidRPr="00D65870" w:rsidRDefault="006C4368" w:rsidP="006C4368">
      <w:pPr>
        <w:bidi/>
        <w:rPr>
          <w:rFonts w:ascii="Narkisim" w:hAnsi="Narkisim" w:cs="Narkisim"/>
        </w:rPr>
      </w:pPr>
      <w:r w:rsidRPr="00D65870">
        <w:rPr>
          <w:rFonts w:ascii="Narkisim" w:hAnsi="Narkisim" w:cs="Narkisim"/>
          <w:u w:val="single"/>
          <w:rtl/>
        </w:rPr>
        <w:t>וא' סנדל של עכו"ם לא תחלוץ וכו'</w:t>
      </w:r>
      <w:r w:rsidRPr="00D65870">
        <w:rPr>
          <w:rFonts w:ascii="Narkisim" w:hAnsi="Narkisim" w:cs="Narkisim"/>
          <w:rtl/>
        </w:rPr>
        <w:t>. לפ</w:t>
      </w:r>
      <w:r w:rsidRPr="00D65870">
        <w:rPr>
          <w:rFonts w:ascii="Narkisim" w:hAnsi="Narkisim" w:cs="Narkisim"/>
          <w:b/>
          <w:bCs/>
          <w:rtl/>
        </w:rPr>
        <w:t>רש"י</w:t>
      </w:r>
      <w:r w:rsidRPr="00D65870">
        <w:rPr>
          <w:rFonts w:ascii="Narkisim" w:hAnsi="Narkisim" w:cs="Narkisim"/>
          <w:rtl/>
        </w:rPr>
        <w:t xml:space="preserve"> איירי בסנדל דאסור בהנאה, ואפ"ה מהני חליצה. אבל לפ</w:t>
      </w:r>
      <w:r w:rsidRPr="00D65870">
        <w:rPr>
          <w:rFonts w:ascii="Narkisim" w:hAnsi="Narkisim" w:cs="Narkisim"/>
          <w:b/>
          <w:bCs/>
          <w:rtl/>
        </w:rPr>
        <w:t>ר"ת</w:t>
      </w:r>
      <w:r w:rsidRPr="00D65870">
        <w:rPr>
          <w:rFonts w:ascii="Narkisim" w:hAnsi="Narkisim" w:cs="Narkisim"/>
          <w:rtl/>
        </w:rPr>
        <w:t xml:space="preserve"> איירי לאחר ביטול, ומותר בהנאה</w:t>
      </w:r>
      <w:r w:rsidRPr="00D65870">
        <w:rPr>
          <w:rStyle w:val="ac"/>
          <w:rFonts w:ascii="Narkisim" w:hAnsi="Narkisim" w:cs="Narkisim"/>
          <w:rtl/>
        </w:rPr>
        <w:footnoteReference w:id="6764"/>
      </w:r>
      <w:r w:rsidRPr="00D65870">
        <w:rPr>
          <w:rFonts w:ascii="Narkisim" w:hAnsi="Narkisim" w:cs="Narkisim"/>
          <w:rtl/>
        </w:rPr>
        <w:t>.</w:t>
      </w:r>
    </w:p>
    <w:p w14:paraId="5C7A1A06"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רמב"ן</w:t>
      </w:r>
      <w:r w:rsidRPr="00D65870">
        <w:rPr>
          <w:rFonts w:ascii="Narkisim" w:hAnsi="Narkisim" w:cs="Narkisim"/>
          <w:rtl/>
        </w:rPr>
        <w:t xml:space="preserve"> כת' דלכתחילה לא תחלוץ מפני שנראית כנהנית</w:t>
      </w:r>
      <w:r w:rsidRPr="00D65870">
        <w:rPr>
          <w:rStyle w:val="ac"/>
          <w:rFonts w:ascii="Narkisim" w:hAnsi="Narkisim" w:cs="Narkisim"/>
          <w:rtl/>
        </w:rPr>
        <w:footnoteReference w:id="6765"/>
      </w:r>
      <w:r w:rsidRPr="00D65870">
        <w:rPr>
          <w:rFonts w:ascii="Narkisim" w:hAnsi="Narkisim" w:cs="Narkisim"/>
          <w:rtl/>
        </w:rPr>
        <w:t>. ועוד דכל למצוה</w:t>
      </w:r>
      <w:r w:rsidRPr="00D65870">
        <w:rPr>
          <w:rStyle w:val="ac"/>
          <w:rFonts w:ascii="Narkisim" w:hAnsi="Narkisim" w:cs="Narkisim"/>
          <w:rtl/>
        </w:rPr>
        <w:footnoteReference w:id="6766"/>
      </w:r>
      <w:r w:rsidRPr="00D65870">
        <w:rPr>
          <w:rFonts w:ascii="Narkisim" w:hAnsi="Narkisim" w:cs="Narkisim"/>
          <w:rtl/>
        </w:rPr>
        <w:t xml:space="preserve"> מאיס. וכ"כ </w:t>
      </w:r>
      <w:r w:rsidRPr="00D65870">
        <w:rPr>
          <w:rFonts w:ascii="Narkisim" w:hAnsi="Narkisim" w:cs="Narkisim"/>
          <w:b/>
          <w:bCs/>
          <w:rtl/>
        </w:rPr>
        <w:t>תוס</w:t>
      </w:r>
      <w:r w:rsidRPr="00D65870">
        <w:rPr>
          <w:rFonts w:ascii="Narkisim" w:hAnsi="Narkisim" w:cs="Narkisim"/>
          <w:rtl/>
        </w:rPr>
        <w:t>' [בדעת ר"ת דמותר בהנאה].</w:t>
      </w:r>
    </w:p>
    <w:p w14:paraId="534549C5"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הביא </w:t>
      </w:r>
      <w:r w:rsidRPr="00D65870">
        <w:rPr>
          <w:rFonts w:ascii="Narkisim" w:hAnsi="Narkisim"/>
          <w:b/>
          <w:bCs/>
          <w:rtl/>
        </w:rPr>
        <w:t>י"מ</w:t>
      </w:r>
      <w:r w:rsidRPr="00D65870">
        <w:rPr>
          <w:rFonts w:ascii="Narkisim" w:hAnsi="Narkisim"/>
          <w:rtl/>
        </w:rPr>
        <w:t xml:space="preserve"> דלכתחילה לא תחלוץ משום דנהנית שנשאת בו, ואם חלצה חליצתה כשירה נהי דעבדה איסורא חליצתה לא מיפסלא. וה</w:t>
      </w:r>
      <w:r w:rsidRPr="00D65870">
        <w:rPr>
          <w:rFonts w:ascii="Narkisim" w:hAnsi="Narkisim"/>
          <w:b/>
          <w:bCs/>
          <w:rtl/>
        </w:rPr>
        <w:t>רמב"ן</w:t>
      </w:r>
      <w:r w:rsidRPr="00D65870">
        <w:rPr>
          <w:rFonts w:ascii="Narkisim" w:hAnsi="Narkisim"/>
          <w:rtl/>
        </w:rPr>
        <w:t xml:space="preserve"> חלק כדאי' בגמ' ר"ה (הו' בסמוך).</w:t>
      </w:r>
    </w:p>
    <w:p w14:paraId="242BF27E" w14:textId="77777777" w:rsidR="006C4368" w:rsidRPr="00D65870" w:rsidRDefault="006C4368" w:rsidP="006C4368">
      <w:pPr>
        <w:bidi/>
        <w:rPr>
          <w:rFonts w:ascii="Narkisim" w:hAnsi="Narkisim" w:cs="Narkisim"/>
        </w:rPr>
      </w:pPr>
      <w:r w:rsidRPr="00D65870">
        <w:rPr>
          <w:rFonts w:ascii="Narkisim" w:hAnsi="Narkisim" w:cs="Narkisim"/>
          <w:u w:val="single"/>
          <w:rtl/>
        </w:rPr>
        <w:t>רש"י ד"ה חליצתה כשרה</w:t>
      </w:r>
      <w:r w:rsidRPr="00D65870">
        <w:rPr>
          <w:rFonts w:ascii="Narkisim" w:hAnsi="Narkisim" w:cs="Narkisim"/>
          <w:rtl/>
        </w:rPr>
        <w:t>. ואי משום איסור הנאה</w:t>
      </w:r>
      <w:r w:rsidRPr="00D65870">
        <w:rPr>
          <w:rStyle w:val="ac"/>
          <w:rFonts w:ascii="Narkisim" w:hAnsi="Narkisim" w:cs="Narkisim"/>
          <w:rtl/>
        </w:rPr>
        <w:footnoteReference w:id="6767"/>
      </w:r>
      <w:r w:rsidRPr="00D65870">
        <w:rPr>
          <w:rFonts w:ascii="Narkisim" w:hAnsi="Narkisim" w:cs="Narkisim"/>
          <w:rtl/>
        </w:rPr>
        <w:t xml:space="preserve"> וכו'. משמע ברש"י דאי הוה איסור הנאה היתה חליצתה פסולה. וה</w:t>
      </w:r>
      <w:r w:rsidRPr="00D65870">
        <w:rPr>
          <w:rFonts w:ascii="Narkisim" w:hAnsi="Narkisim" w:cs="Narkisim"/>
          <w:b/>
          <w:bCs/>
          <w:rtl/>
        </w:rPr>
        <w:t>רמב"ן</w:t>
      </w:r>
      <w:r w:rsidRPr="00D65870">
        <w:rPr>
          <w:rFonts w:ascii="Narkisim" w:hAnsi="Narkisim" w:cs="Narkisim"/>
          <w:rtl/>
        </w:rPr>
        <w:t xml:space="preserve"> הביא דכ"מ גבי שופר (בגמ' ר"ה כח.) דלמ"ד דמצוות להנות ניתנו לא יצא יד"ח</w:t>
      </w:r>
      <w:r w:rsidRPr="00D65870">
        <w:rPr>
          <w:rStyle w:val="ac"/>
          <w:rFonts w:ascii="Narkisim" w:hAnsi="Narkisim" w:cs="Narkisim"/>
          <w:rtl/>
        </w:rPr>
        <w:footnoteReference w:id="6768"/>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(והו' ברשב"א) ביאר דכיון שאם יצא נהנה ועבד איסורא, ואי לא יצא לא עשה ולא כלום, ונמצא שלא נהנה. מש"ה אמרינן דלא יצא.</w:t>
      </w:r>
    </w:p>
    <w:p w14:paraId="4502A324" w14:textId="77777777" w:rsidR="006C4368" w:rsidRPr="00D65870" w:rsidRDefault="006C4368" w:rsidP="006C4368">
      <w:pPr>
        <w:pStyle w:val="a8"/>
        <w:bidi/>
        <w:rPr>
          <w:rFonts w:ascii="Narkisim" w:hAnsi="Narkisim"/>
        </w:rPr>
      </w:pPr>
      <w:r w:rsidRPr="00D65870">
        <w:rPr>
          <w:rFonts w:ascii="Narkisim" w:hAnsi="Narkisim"/>
          <w:rtl/>
        </w:rPr>
        <w:t>דבגמ' (ר"ה כח.) אי' דשופר של ע"ז, לרב הונא לא יצא. ורבא פליג דמצוות לאו ליהנות ניתנו ומש"ה יצא יד"ח בדיעבד. ומבואר בדברי רב הונא דכיון דיש בזה איסור, אף בדיעבד לא יצא. וה</w:t>
      </w:r>
      <w:r w:rsidRPr="00D65870">
        <w:rPr>
          <w:rFonts w:ascii="Narkisim" w:hAnsi="Narkisim"/>
          <w:b/>
          <w:bCs/>
          <w:rtl/>
        </w:rPr>
        <w:t>טור"א</w:t>
      </w:r>
      <w:r w:rsidRPr="00D65870">
        <w:rPr>
          <w:rFonts w:ascii="Narkisim" w:hAnsi="Narkisim"/>
          <w:rtl/>
        </w:rPr>
        <w:t xml:space="preserve"> (שם ד"ה שלמים, ושאג"א צח) נקט בפשוטו הטעם משום דהוה מצווה הבאה בעבירה [לצד דאף מדאורייתא לא יצא בבא בעבירה]. ועוד פי' ה</w:t>
      </w:r>
      <w:r w:rsidRPr="00D65870">
        <w:rPr>
          <w:rFonts w:ascii="Narkisim" w:hAnsi="Narkisim"/>
          <w:b/>
          <w:bCs/>
          <w:rtl/>
        </w:rPr>
        <w:t>טור"א</w:t>
      </w:r>
      <w:r w:rsidRPr="00D65870">
        <w:rPr>
          <w:rFonts w:ascii="Narkisim" w:hAnsi="Narkisim"/>
          <w:rtl/>
        </w:rPr>
        <w:t xml:space="preserve"> [לסוברים דמצווה הבב"ע הוה מדרבנן</w:t>
      </w:r>
      <w:r w:rsidRPr="00D65870">
        <w:rPr>
          <w:rStyle w:val="ac"/>
          <w:rFonts w:ascii="Narkisim" w:hAnsi="Narkisim"/>
          <w:rtl/>
        </w:rPr>
        <w:footnoteReference w:id="6769"/>
      </w:r>
      <w:r w:rsidRPr="00D65870">
        <w:rPr>
          <w:rFonts w:ascii="Narkisim" w:hAnsi="Narkisim"/>
          <w:rtl/>
        </w:rPr>
        <w:t>] דכיון דקיום המצווה גורם שיעבור איסור, דאם לא יצא אין כאן הנאה וממילא אין בו איסור. מש"ה אמרי' דלא יצא ידי חובתו. וממילא לא עבר איסור. [וב</w:t>
      </w:r>
      <w:r w:rsidRPr="00D65870">
        <w:rPr>
          <w:rFonts w:ascii="Narkisim" w:hAnsi="Narkisim"/>
          <w:b/>
          <w:bCs/>
          <w:rtl/>
        </w:rPr>
        <w:t>הג' ברוך טעם</w:t>
      </w:r>
      <w:r w:rsidRPr="00D65870">
        <w:rPr>
          <w:rFonts w:ascii="Narkisim" w:hAnsi="Narkisim"/>
          <w:rtl/>
        </w:rPr>
        <w:t xml:space="preserve"> שם ציין דכ"כ הרמב"ן ורשב"א בסוגיין]. וה</w:t>
      </w:r>
      <w:r w:rsidRPr="00D65870">
        <w:rPr>
          <w:rFonts w:ascii="Narkisim" w:hAnsi="Narkisim"/>
          <w:b/>
          <w:bCs/>
          <w:rtl/>
        </w:rPr>
        <w:t>ריטב"א</w:t>
      </w:r>
      <w:r w:rsidRPr="00D65870">
        <w:rPr>
          <w:rFonts w:ascii="Narkisim" w:hAnsi="Narkisim"/>
          <w:rtl/>
        </w:rPr>
        <w:t xml:space="preserve"> (ר"ה שם) כת' להדיא ב' תי'</w:t>
      </w:r>
      <w:r w:rsidRPr="00D65870">
        <w:rPr>
          <w:rStyle w:val="ac"/>
          <w:rFonts w:ascii="Narkisim" w:hAnsi="Narkisim"/>
          <w:rtl/>
        </w:rPr>
        <w:footnoteReference w:id="6770"/>
      </w:r>
      <w:r w:rsidRPr="00D65870">
        <w:rPr>
          <w:rFonts w:ascii="Narkisim" w:hAnsi="Narkisim"/>
          <w:rtl/>
        </w:rPr>
        <w:t>.</w:t>
      </w:r>
    </w:p>
    <w:p w14:paraId="11396DFA" w14:textId="77777777" w:rsidR="006C4368" w:rsidRPr="00D65870" w:rsidRDefault="006C4368" w:rsidP="006C4368">
      <w:pPr>
        <w:pStyle w:val="a8"/>
        <w:bidi/>
        <w:rPr>
          <w:rFonts w:ascii="Narkisim" w:hAnsi="Narkisim"/>
        </w:rPr>
      </w:pPr>
      <w:r w:rsidRPr="00D65870">
        <w:rPr>
          <w:rFonts w:ascii="Narkisim" w:hAnsi="Narkisim"/>
          <w:rtl/>
        </w:rPr>
        <w:t>והטור"א כת' דלא מבעי לדעת רבא (תמורה ד:) דאמרי' אי עבד ל"מ, אלא אף אביי מודה. דהתם נח' היכא שהאיסור לא בא ע"י המצווה, ואף אי לא יצא יד"ח מצווה מ"מ עבר איסורא</w:t>
      </w:r>
      <w:r w:rsidRPr="00D65870">
        <w:rPr>
          <w:rStyle w:val="ac"/>
          <w:rFonts w:ascii="Narkisim" w:hAnsi="Narkisim"/>
          <w:rtl/>
        </w:rPr>
        <w:footnoteReference w:id="6771"/>
      </w:r>
      <w:r w:rsidRPr="00D65870">
        <w:rPr>
          <w:rFonts w:ascii="Narkisim" w:hAnsi="Narkisim"/>
          <w:rtl/>
        </w:rPr>
        <w:t>. אבל הכא כו"ע מודים דאמרי' דלא יצא יד"ח וינוצל מהאיסור.</w:t>
      </w:r>
    </w:p>
    <w:p w14:paraId="633CD7C0"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(יא ב) כת' דדעת הי"מ ברמב"ן דגבי שופר לא יצא משום מצוה הבא בעבירה, משא"כ בחליצה נהי דנעשית בעבירה לא מהני לפסול את החליצה. ואף אי נימא דחליצה </w:t>
      </w:r>
      <w:r w:rsidRPr="00D65870">
        <w:rPr>
          <w:rFonts w:ascii="Narkisim" w:hAnsi="Narkisim"/>
          <w:rtl/>
        </w:rPr>
        <w:lastRenderedPageBreak/>
        <w:t>היא מצוה חיובית [ע' מש"כ לעיל קא.], מ"מ היתר החליצה לא תלי בקיום המצווה. ומש"ה אף אי נתנו בעבירה ל"ש לפסול משום מצווה הבאה בעבירה</w:t>
      </w:r>
      <w:r w:rsidRPr="00D65870">
        <w:rPr>
          <w:rStyle w:val="ac"/>
          <w:rFonts w:ascii="Narkisim" w:hAnsi="Narkisim"/>
          <w:rtl/>
        </w:rPr>
        <w:footnoteReference w:id="6772"/>
      </w:r>
      <w:r w:rsidRPr="00D65870">
        <w:rPr>
          <w:rFonts w:ascii="Narkisim" w:hAnsi="Narkisim"/>
          <w:rtl/>
        </w:rPr>
        <w:t xml:space="preserve">. </w:t>
      </w:r>
      <w:r w:rsidRPr="00D65870">
        <w:rPr>
          <w:rFonts w:ascii="Narkisim" w:hAnsi="Narkisim"/>
          <w:szCs w:val="20"/>
          <w:rtl/>
        </w:rPr>
        <w:t>וכמו בגט אשה שכתבו ונתנו בעבירה, או בשחיטה בעבירה, דלא אמרי' דפסול משום מצווה הבאה בעבירה דההיתר לא תלי בקיום המצווה. ואף אי אינו מקיים מצווה בשחיטתו הבהמה נתרת</w:t>
      </w:r>
      <w:r w:rsidRPr="00D65870">
        <w:rPr>
          <w:rFonts w:ascii="Narkisim" w:hAnsi="Narkisim"/>
          <w:rtl/>
        </w:rPr>
        <w:t>.</w:t>
      </w:r>
    </w:p>
    <w:p w14:paraId="302DC8FA" w14:textId="77777777" w:rsidR="006C4368" w:rsidRPr="00D65870" w:rsidRDefault="006C4368" w:rsidP="006C4368">
      <w:pPr>
        <w:pStyle w:val="aa"/>
        <w:bidi/>
        <w:rPr>
          <w:rFonts w:ascii="Narkisim" w:hAnsi="Narkisim"/>
        </w:rPr>
      </w:pPr>
      <w:r w:rsidRPr="00D65870">
        <w:rPr>
          <w:rFonts w:ascii="Narkisim" w:hAnsi="Narkisim"/>
          <w:u w:val="single"/>
          <w:rtl/>
        </w:rPr>
        <w:t>שם.</w:t>
      </w:r>
      <w:r w:rsidRPr="00D65870">
        <w:rPr>
          <w:rFonts w:ascii="Narkisim" w:hAnsi="Narkisim"/>
          <w:rtl/>
        </w:rPr>
        <w:t xml:space="preserve"> ה</w:t>
      </w:r>
      <w:r w:rsidRPr="00D65870">
        <w:rPr>
          <w:rFonts w:ascii="Narkisim" w:hAnsi="Narkisim"/>
          <w:b/>
          <w:bCs/>
          <w:rtl/>
        </w:rPr>
        <w:t>אחרונים</w:t>
      </w:r>
      <w:r w:rsidRPr="00D65870">
        <w:rPr>
          <w:rFonts w:ascii="Narkisim" w:hAnsi="Narkisim"/>
          <w:rtl/>
        </w:rPr>
        <w:t xml:space="preserve"> הק' דגבי גט קי"ל דכתבו על איסור הנאה כשר, ולא אמרי' דנהנין מהגירושין, ומש"ה לא חל היתר הגט, שינוצל מהאיסור. ו</w:t>
      </w:r>
      <w:r w:rsidRPr="00D65870">
        <w:rPr>
          <w:rFonts w:ascii="Narkisim" w:hAnsi="Narkisim"/>
          <w:b/>
          <w:bCs/>
          <w:rtl/>
        </w:rPr>
        <w:t>תוס'</w:t>
      </w:r>
      <w:r w:rsidRPr="00D65870">
        <w:rPr>
          <w:rFonts w:ascii="Narkisim" w:hAnsi="Narkisim"/>
          <w:rtl/>
        </w:rPr>
        <w:t xml:space="preserve"> (גיטין כ: ד"ה בכתובת) הביאו מהתם דאף דעוברים באיסור הנאה הגט כשר. [אך משמעות כמה </w:t>
      </w:r>
      <w:r w:rsidRPr="00D65870">
        <w:rPr>
          <w:rFonts w:ascii="Narkisim" w:hAnsi="Narkisim"/>
          <w:b/>
          <w:bCs/>
          <w:rtl/>
        </w:rPr>
        <w:t>ראשונים</w:t>
      </w:r>
      <w:r w:rsidRPr="00D65870">
        <w:rPr>
          <w:rFonts w:ascii="Narkisim" w:hAnsi="Narkisim"/>
          <w:rtl/>
        </w:rPr>
        <w:t xml:space="preserve"> דכותבין גט לכתחילה על איסור הנאה, ולא נחשב נהנה מאיסו"ה</w:t>
      </w:r>
      <w:r w:rsidRPr="00D65870">
        <w:rPr>
          <w:rStyle w:val="ac"/>
          <w:rFonts w:ascii="Narkisim" w:hAnsi="Narkisim"/>
          <w:rtl/>
        </w:rPr>
        <w:footnoteReference w:id="6773"/>
      </w:r>
      <w:r w:rsidRPr="00D65870">
        <w:rPr>
          <w:rFonts w:ascii="Narkisim" w:hAnsi="Narkisim"/>
          <w:rtl/>
        </w:rPr>
        <w:t>. ואכמ"ל].</w:t>
      </w:r>
    </w:p>
    <w:p w14:paraId="6783EBB2"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רש"ש</w:t>
      </w:r>
      <w:r w:rsidRPr="00D65870">
        <w:rPr>
          <w:rFonts w:ascii="Narkisim" w:hAnsi="Narkisim"/>
          <w:rtl/>
        </w:rPr>
        <w:t xml:space="preserve"> (גיטין כ:) כת' דאף גבי גט אמרי' מצוות לאו ליהנות ניתנו, ואף דאינו מצווה לגרש, מ"מ היכא דמגרש בגט עבד מצווה</w:t>
      </w:r>
      <w:r w:rsidRPr="00D65870">
        <w:rPr>
          <w:rStyle w:val="ac"/>
          <w:rFonts w:ascii="Narkisim" w:hAnsi="Narkisim"/>
          <w:rtl/>
        </w:rPr>
        <w:footnoteReference w:id="6774"/>
      </w:r>
      <w:r w:rsidRPr="00D65870">
        <w:rPr>
          <w:rFonts w:ascii="Narkisim" w:hAnsi="Narkisim"/>
          <w:rtl/>
        </w:rPr>
        <w:t>. [וא"כ רשאי לגרש באיסו"ה, דלאו להנות ולא עבד איסור]. וה</w:t>
      </w:r>
      <w:r w:rsidRPr="00D65870">
        <w:rPr>
          <w:rFonts w:ascii="Narkisim" w:hAnsi="Narkisim"/>
          <w:b/>
          <w:bCs/>
          <w:rtl/>
        </w:rPr>
        <w:t>עונג יו"ט</w:t>
      </w:r>
      <w:r w:rsidRPr="00D65870">
        <w:rPr>
          <w:rFonts w:ascii="Narkisim" w:hAnsi="Narkisim"/>
          <w:rtl/>
        </w:rPr>
        <w:t xml:space="preserve"> (קעו) כת' דדעת תוס' דגט הוה 'מתיר' ולא מצווה, ומש"ה ל"ש מצוות לאו ליהנות ניתנו. משא"כ חליצה דהוה מצווה, ומצוות לאו ליהנות ניתנו. [אך י"ל דתוס' ס"ל דה"ה חליצה, וכדעת הי"מ ברמב"ן].</w:t>
      </w:r>
    </w:p>
    <w:p w14:paraId="4AF5F370" w14:textId="77777777" w:rsidR="006C4368" w:rsidRPr="00D65870" w:rsidRDefault="006C4368" w:rsidP="006C4368">
      <w:pPr>
        <w:pStyle w:val="a8"/>
        <w:bidi/>
        <w:rPr>
          <w:rFonts w:ascii="Narkisim" w:hAnsi="Narkisim"/>
        </w:rPr>
      </w:pPr>
      <w:r w:rsidRPr="00D65870">
        <w:rPr>
          <w:rFonts w:ascii="Narkisim" w:hAnsi="Narkisim"/>
          <w:rtl/>
        </w:rPr>
        <w:t>ולכאורה מבואר דדעת תוס' דלא אמרי' דינוצל מהאיסור, אלא אף שהוא נהנה אינו פוסל את הגט</w:t>
      </w:r>
      <w:r w:rsidRPr="00D65870">
        <w:rPr>
          <w:rStyle w:val="ac"/>
          <w:rFonts w:ascii="Narkisim" w:hAnsi="Narkisim"/>
          <w:rtl/>
        </w:rPr>
        <w:footnoteReference w:id="6775"/>
      </w:r>
      <w:r w:rsidRPr="00D65870">
        <w:rPr>
          <w:rFonts w:ascii="Narkisim" w:hAnsi="Narkisim"/>
          <w:rtl/>
        </w:rPr>
        <w:t>.</w:t>
      </w:r>
    </w:p>
    <w:p w14:paraId="5888FF7B" w14:textId="77777777" w:rsidR="006C4368" w:rsidRPr="00D65870" w:rsidRDefault="006C4368" w:rsidP="006C4368">
      <w:pPr>
        <w:pStyle w:val="aa"/>
        <w:bidi/>
        <w:rPr>
          <w:rFonts w:ascii="Narkisim" w:hAnsi="Narkisim"/>
        </w:rPr>
      </w:pPr>
      <w:r w:rsidRPr="00D65870">
        <w:rPr>
          <w:rFonts w:ascii="Narkisim" w:hAnsi="Narkisim"/>
          <w:rtl/>
        </w:rPr>
        <w:t xml:space="preserve">ועוה"ק </w:t>
      </w:r>
      <w:r w:rsidRPr="00D65870">
        <w:rPr>
          <w:rFonts w:ascii="Narkisim" w:hAnsi="Narkisim"/>
          <w:b/>
          <w:bCs/>
          <w:rtl/>
        </w:rPr>
        <w:t>רע"א</w:t>
      </w:r>
      <w:r w:rsidRPr="00D65870">
        <w:rPr>
          <w:rFonts w:ascii="Narkisim" w:hAnsi="Narkisim"/>
          <w:rtl/>
        </w:rPr>
        <w:t xml:space="preserve"> (בשו"ע יו"ד י א) דגבי שוחט מסוכנת בסכין ע"ז מבואר בפוסקים דעבר ונהנה באיסור הנאה [ע"פ הסוגיא חולין ח.]. והק' א"כ אמאי לא אמרי' דלא מהני להתיר, ויחשב כנחור בעלמא. כיון דאי עבד ל"מ, וינוצל מהאיסור [וכסברת הטור"א הנ"ל]. וצ"ע</w:t>
      </w:r>
      <w:r w:rsidRPr="00D65870">
        <w:rPr>
          <w:rStyle w:val="ac"/>
          <w:rFonts w:ascii="Narkisim" w:hAnsi="Narkisim"/>
          <w:rtl/>
        </w:rPr>
        <w:footnoteReference w:id="6776"/>
      </w:r>
      <w:r w:rsidRPr="00D65870">
        <w:rPr>
          <w:rFonts w:ascii="Narkisim" w:hAnsi="Narkisim"/>
          <w:rtl/>
        </w:rPr>
        <w:t>.</w:t>
      </w:r>
    </w:p>
    <w:p w14:paraId="1ABDEBD3"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(עו ד) תי' דסברת אי עבד ל"מ נאמר דוקא בחלות הנפעל ע"י האדם</w:t>
      </w:r>
      <w:r w:rsidRPr="00D65870">
        <w:rPr>
          <w:rStyle w:val="ac"/>
          <w:rFonts w:ascii="Narkisim" w:hAnsi="Narkisim"/>
          <w:rtl/>
        </w:rPr>
        <w:footnoteReference w:id="6777"/>
      </w:r>
      <w:r w:rsidRPr="00D65870">
        <w:rPr>
          <w:rFonts w:ascii="Narkisim" w:hAnsi="Narkisim"/>
          <w:rtl/>
        </w:rPr>
        <w:t>. אבל הכשר שחיטה נעשית מאליו ע"י מעשה השחיטה, ול"ש בזה אי עבד ל"מ. אך בהמשך דבריו נקט דאף חליצה נחשב דהחלות נעשית מאליו, וסגי בכוונת המעשה של היבם [ע"ע לקמן קו.]. ולכאורה מבואר מדבריו דכל מצוות שבגופו [וכגון תקיעת שופר], אף דצריך 'כוונה', לא נחשב שהגברא פועל את החלות.</w:t>
      </w:r>
    </w:p>
    <w:p w14:paraId="030CC4D7" w14:textId="77777777" w:rsidR="006C4368" w:rsidRPr="00D65870" w:rsidRDefault="006C4368" w:rsidP="006C4368">
      <w:pPr>
        <w:bidi/>
        <w:rPr>
          <w:rFonts w:ascii="Narkisim" w:hAnsi="Narkisim" w:cs="Narkisim"/>
        </w:rPr>
      </w:pPr>
      <w:r w:rsidRPr="00D65870">
        <w:rPr>
          <w:rFonts w:ascii="Narkisim" w:hAnsi="Narkisim" w:cs="Narkisim"/>
          <w:u w:val="single"/>
          <w:rtl/>
        </w:rPr>
        <w:t>בא"ד חליצה לאו הנאה היא, דמצוות לאו ליהנות ניתנו</w:t>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הק' דהכא רוצה להנשא, ובלא חליצה לא תנשא. [ולא הוה הנאת מצווה לחוד, אלא הנאת היתר נישואין מכח המצווה]. והרמב"ן תי' כיון דלא מעכב בה אלא מצוה, לאו הנאה היא. [</w:t>
      </w:r>
      <w:r w:rsidRPr="00D65870">
        <w:rPr>
          <w:rFonts w:ascii="Narkisim" w:hAnsi="Narkisim" w:cs="Narkisim"/>
          <w:szCs w:val="20"/>
          <w:rtl/>
        </w:rPr>
        <w:t>ואף דע"י מעשה זו מותרת בהנאת דבר הרשות</w:t>
      </w:r>
      <w:r w:rsidRPr="00D65870">
        <w:rPr>
          <w:rStyle w:val="ac"/>
          <w:rFonts w:ascii="Narkisim" w:hAnsi="Narkisim" w:cs="Narkisim"/>
          <w:szCs w:val="20"/>
          <w:rtl/>
        </w:rPr>
        <w:footnoteReference w:id="6778"/>
      </w:r>
      <w:r w:rsidRPr="00D65870">
        <w:rPr>
          <w:rFonts w:ascii="Narkisim" w:hAnsi="Narkisim" w:cs="Narkisim"/>
          <w:szCs w:val="20"/>
          <w:rtl/>
        </w:rPr>
        <w:t>, כיון דנעשה ע"י סילוק האיסור. א"כ לא קיבל דבר הנאה מחודשת</w:t>
      </w:r>
      <w:r w:rsidRPr="00D65870">
        <w:rPr>
          <w:rStyle w:val="ac"/>
          <w:rFonts w:ascii="Narkisim" w:hAnsi="Narkisim" w:cs="Narkisim"/>
          <w:szCs w:val="20"/>
          <w:rtl/>
        </w:rPr>
        <w:footnoteReference w:id="6779"/>
      </w:r>
      <w:r w:rsidRPr="00D65870">
        <w:rPr>
          <w:rFonts w:ascii="Narkisim" w:hAnsi="Narkisim" w:cs="Narkisim"/>
          <w:szCs w:val="20"/>
          <w:rtl/>
        </w:rPr>
        <w:t>]</w:t>
      </w:r>
      <w:r w:rsidRPr="00D65870">
        <w:rPr>
          <w:rFonts w:ascii="Narkisim" w:hAnsi="Narkisim" w:cs="Narkisim"/>
          <w:rtl/>
        </w:rPr>
        <w:t>.</w:t>
      </w:r>
    </w:p>
    <w:p w14:paraId="1BE80EA6"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(ר"ה כח., ועד"ז הר"ן סוכה רפ"ג יד. בדה"ר) תי' דכיון דהך הנאה הוה לאחר זמן, לא נחשב הנאה מגוף הסנדל. אלא גרמא בעלמא</w:t>
      </w:r>
      <w:r w:rsidRPr="00D65870">
        <w:rPr>
          <w:rStyle w:val="ac"/>
          <w:rFonts w:ascii="Narkisim" w:hAnsi="Narkisim"/>
          <w:rtl/>
        </w:rPr>
        <w:footnoteReference w:id="6780"/>
      </w:r>
      <w:r w:rsidRPr="00D65870">
        <w:rPr>
          <w:rFonts w:ascii="Narkisim" w:hAnsi="Narkisim"/>
          <w:rtl/>
        </w:rPr>
        <w:t>.</w:t>
      </w:r>
    </w:p>
    <w:p w14:paraId="3086C608" w14:textId="77777777" w:rsidR="006C4368" w:rsidRPr="00D65870" w:rsidRDefault="006C4368" w:rsidP="006C4368">
      <w:pPr>
        <w:pStyle w:val="aa"/>
        <w:bidi/>
        <w:rPr>
          <w:rFonts w:ascii="Narkisim" w:hAnsi="Narkisim"/>
        </w:rPr>
      </w:pPr>
      <w:r w:rsidRPr="00D65870">
        <w:rPr>
          <w:rFonts w:ascii="Narkisim" w:hAnsi="Narkisim"/>
          <w:u w:val="single"/>
          <w:rtl/>
        </w:rPr>
        <w:lastRenderedPageBreak/>
        <w:t>שם. דמצוות לאו ליהנות ניתנו</w:t>
      </w:r>
      <w:r w:rsidRPr="00D65870">
        <w:rPr>
          <w:rFonts w:ascii="Narkisim" w:hAnsi="Narkisim"/>
          <w:rtl/>
        </w:rPr>
        <w:t>. ה</w:t>
      </w:r>
      <w:r w:rsidRPr="00D65870">
        <w:rPr>
          <w:rFonts w:ascii="Narkisim" w:hAnsi="Narkisim"/>
          <w:b/>
          <w:bCs/>
          <w:rtl/>
        </w:rPr>
        <w:t>אחרונים</w:t>
      </w:r>
      <w:r w:rsidRPr="00D65870">
        <w:rPr>
          <w:rFonts w:ascii="Narkisim" w:hAnsi="Narkisim"/>
          <w:rtl/>
        </w:rPr>
        <w:t xml:space="preserve"> הביאו דמבואר ברש"י דחליצה הוה מצווה</w:t>
      </w:r>
      <w:r w:rsidRPr="00D65870">
        <w:rPr>
          <w:rStyle w:val="ac"/>
          <w:rFonts w:ascii="Narkisim" w:hAnsi="Narkisim"/>
          <w:rtl/>
        </w:rPr>
        <w:footnoteReference w:id="6781"/>
      </w:r>
      <w:r w:rsidRPr="00D65870">
        <w:rPr>
          <w:rFonts w:ascii="Narkisim" w:hAnsi="Narkisim"/>
          <w:rtl/>
        </w:rPr>
        <w:t>. וה</w:t>
      </w:r>
      <w:r w:rsidRPr="00D65870">
        <w:rPr>
          <w:rFonts w:ascii="Narkisim" w:hAnsi="Narkisim"/>
          <w:b/>
          <w:bCs/>
          <w:rtl/>
        </w:rPr>
        <w:t>אבה"א</w:t>
      </w:r>
      <w:r w:rsidRPr="00D65870">
        <w:rPr>
          <w:rFonts w:ascii="Narkisim" w:hAnsi="Narkisim"/>
          <w:rtl/>
        </w:rPr>
        <w:t xml:space="preserve"> (ד כד בהשמטות) הק' דמ"מ האשה נהנית, ולגבי דידה ליכא מצווה</w:t>
      </w:r>
      <w:r w:rsidRPr="00D65870">
        <w:rPr>
          <w:rStyle w:val="ac"/>
          <w:rFonts w:ascii="Narkisim" w:hAnsi="Narkisim"/>
          <w:rtl/>
        </w:rPr>
        <w:footnoteReference w:id="6782"/>
      </w:r>
      <w:r w:rsidRPr="00D65870">
        <w:rPr>
          <w:rFonts w:ascii="Narkisim" w:hAnsi="Narkisim"/>
          <w:rtl/>
        </w:rPr>
        <w:t>. ולכאורה מבואר דאף במצווה קיומית אמרי' דמצוות לאו ליהנות ניתנו, דמ"מ גוף המעשה הוה מעשה מצווה.</w:t>
      </w:r>
    </w:p>
    <w:p w14:paraId="3D67F593" w14:textId="77777777" w:rsidR="006C4368" w:rsidRPr="00D65870" w:rsidRDefault="006C4368" w:rsidP="006C4368">
      <w:pPr>
        <w:bidi/>
        <w:rPr>
          <w:rFonts w:ascii="Narkisim" w:hAnsi="Narkisim" w:cs="Narkisim"/>
        </w:rPr>
      </w:pPr>
      <w:r w:rsidRPr="00D65870">
        <w:rPr>
          <w:rFonts w:ascii="Narkisim" w:hAnsi="Narkisim" w:cs="Narkisim"/>
          <w:u w:val="single"/>
          <w:rtl/>
        </w:rPr>
        <w:t>של תקרובת עכו"ם</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שהקריבו ומסרוהו לפניו לשם דורון. וה</w:t>
      </w:r>
      <w:r w:rsidRPr="00D65870">
        <w:rPr>
          <w:rFonts w:ascii="Narkisim" w:hAnsi="Narkisim" w:cs="Narkisim"/>
          <w:b/>
          <w:bCs/>
          <w:rtl/>
        </w:rPr>
        <w:t>רמב"ן</w:t>
      </w:r>
      <w:r w:rsidRPr="00D65870">
        <w:rPr>
          <w:rFonts w:ascii="Narkisim" w:hAnsi="Narkisim" w:cs="Narkisim"/>
          <w:rtl/>
        </w:rPr>
        <w:t xml:space="preserve"> דחה דמבואר (ע"ז נ:) דלא נחשב תקרובת אלא בזריקה המשתבר וכעין פנים. וה</w:t>
      </w:r>
      <w:r w:rsidRPr="00D65870">
        <w:rPr>
          <w:rFonts w:ascii="Narkisim" w:hAnsi="Narkisim" w:cs="Narkisim"/>
          <w:b/>
          <w:bCs/>
          <w:rtl/>
        </w:rPr>
        <w:t>ריטב"א</w:t>
      </w:r>
      <w:r w:rsidRPr="00D65870">
        <w:rPr>
          <w:rFonts w:ascii="Narkisim" w:hAnsi="Narkisim" w:cs="Narkisim"/>
          <w:rtl/>
        </w:rPr>
        <w:t xml:space="preserve"> הוסיף להק' דאין הקדש לע"ז</w:t>
      </w:r>
      <w:r w:rsidRPr="00D65870">
        <w:rPr>
          <w:rStyle w:val="ac"/>
          <w:rFonts w:ascii="Narkisim" w:hAnsi="Narkisim" w:cs="Narkisim"/>
          <w:rtl/>
        </w:rPr>
        <w:footnoteReference w:id="6783"/>
      </w:r>
      <w:r w:rsidRPr="00D65870">
        <w:rPr>
          <w:rFonts w:ascii="Narkisim" w:hAnsi="Narkisim" w:cs="Narkisim"/>
          <w:rtl/>
        </w:rPr>
        <w:t>.</w:t>
      </w:r>
    </w:p>
    <w:p w14:paraId="5844EBFB"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פי' כגון שזבח שור לפניה ועשה מעורו סנדל</w:t>
      </w:r>
      <w:r w:rsidRPr="00D65870">
        <w:rPr>
          <w:rStyle w:val="ac"/>
          <w:rFonts w:ascii="Narkisim" w:hAnsi="Narkisim"/>
          <w:rtl/>
        </w:rPr>
        <w:footnoteReference w:id="6784"/>
      </w:r>
      <w:r w:rsidRPr="00D65870">
        <w:rPr>
          <w:rFonts w:ascii="Narkisim" w:hAnsi="Narkisim"/>
          <w:rtl/>
        </w:rPr>
        <w:t>.</w:t>
      </w:r>
    </w:p>
    <w:p w14:paraId="671DE561"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מאירי</w:t>
      </w:r>
      <w:r w:rsidRPr="00D65870">
        <w:rPr>
          <w:rFonts w:ascii="Narkisim" w:hAnsi="Narkisim"/>
          <w:rtl/>
        </w:rPr>
        <w:t xml:space="preserve"> תי' בשקיצעו מתחילה לשם כך, דהו"ל כשחיטה [ונחשב 'משתברת']. והויא לה כעין פנים.</w:t>
      </w:r>
    </w:p>
    <w:p w14:paraId="00F5BB58"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חזו"א</w:t>
      </w:r>
      <w:r w:rsidRPr="00D65870">
        <w:rPr>
          <w:rFonts w:ascii="Narkisim" w:hAnsi="Narkisim"/>
          <w:rtl/>
        </w:rPr>
        <w:t xml:space="preserve"> (יו"ד ס כ) תי' דדעת רש"י דאף דלא הוה חומר כמו תקרובת [אא"כ יש זריקה המשתברת], מ"מ אסור משום משמשי ע"ז</w:t>
      </w:r>
      <w:r w:rsidRPr="00D65870">
        <w:rPr>
          <w:rStyle w:val="ac"/>
          <w:rFonts w:ascii="Narkisim" w:hAnsi="Narkisim"/>
          <w:rtl/>
        </w:rPr>
        <w:footnoteReference w:id="6785"/>
      </w:r>
      <w:r w:rsidRPr="00D65870">
        <w:rPr>
          <w:rFonts w:ascii="Narkisim" w:hAnsi="Narkisim"/>
          <w:rtl/>
        </w:rPr>
        <w:t>.</w:t>
      </w:r>
    </w:p>
    <w:p w14:paraId="6E20D12B" w14:textId="77777777" w:rsidR="006C4368" w:rsidRPr="00D65870" w:rsidRDefault="006C4368" w:rsidP="006C4368">
      <w:pPr>
        <w:bidi/>
        <w:rPr>
          <w:rFonts w:ascii="Narkisim" w:hAnsi="Narkisim" w:cs="Narkisim"/>
        </w:rPr>
      </w:pPr>
      <w:r w:rsidRPr="00D65870">
        <w:rPr>
          <w:rFonts w:ascii="Narkisim" w:hAnsi="Narkisim" w:cs="Narkisim"/>
          <w:u w:val="single"/>
          <w:rtl/>
        </w:rPr>
        <w:t>תוד"ה סנדל</w:t>
      </w:r>
      <w:r w:rsidRPr="00D65870">
        <w:rPr>
          <w:rFonts w:ascii="Narkisim" w:hAnsi="Narkisim" w:cs="Narkisim"/>
          <w:rtl/>
        </w:rPr>
        <w:t>. (קד.) וא"ת אי בעכו"ם של ישראל וכו' והא טעונה גניזה וכו'. ו</w:t>
      </w:r>
      <w:r w:rsidRPr="00D65870">
        <w:rPr>
          <w:rFonts w:ascii="Narkisim" w:hAnsi="Narkisim" w:cs="Narkisim"/>
          <w:b/>
          <w:bCs/>
          <w:rtl/>
        </w:rPr>
        <w:t>תוס</w:t>
      </w:r>
      <w:r w:rsidRPr="00D65870">
        <w:rPr>
          <w:rFonts w:ascii="Narkisim" w:hAnsi="Narkisim" w:cs="Narkisim"/>
          <w:rtl/>
        </w:rPr>
        <w:t xml:space="preserve">' (בקו' ובתי' הב') נקטו דדוקא משום דעומד לישרף אמרי' דמיכתת שיעורא. ועד"ז כת' כמה </w:t>
      </w:r>
      <w:r w:rsidRPr="00D65870">
        <w:rPr>
          <w:rFonts w:ascii="Narkisim" w:hAnsi="Narkisim" w:cs="Narkisim"/>
          <w:b/>
          <w:bCs/>
          <w:rtl/>
        </w:rPr>
        <w:t>ראשונים</w:t>
      </w:r>
      <w:r w:rsidRPr="00D65870">
        <w:rPr>
          <w:rFonts w:ascii="Narkisim" w:hAnsi="Narkisim" w:cs="Narkisim"/>
          <w:rtl/>
        </w:rPr>
        <w:t xml:space="preserve"> (ריטב"א סוכה כט:</w:t>
      </w:r>
      <w:r w:rsidRPr="00D65870">
        <w:rPr>
          <w:rStyle w:val="ac"/>
          <w:rFonts w:ascii="Narkisim" w:hAnsi="Narkisim" w:cs="Narkisim"/>
          <w:rtl/>
        </w:rPr>
        <w:footnoteReference w:id="6786"/>
      </w:r>
      <w:r w:rsidRPr="00D65870">
        <w:rPr>
          <w:rFonts w:ascii="Narkisim" w:hAnsi="Narkisim" w:cs="Narkisim"/>
          <w:rtl/>
        </w:rPr>
        <w:t>) דכתותי מיכתת שיעוריה משום דעומד לישרף כשרוף דמי.</w:t>
      </w:r>
    </w:p>
    <w:p w14:paraId="7C055348"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הק' דדוקא היכא דדינו לישרף עומד ליכתת. משא"כ העומד לגניזה וקבורה, דלעולם קיים שלם. ו</w:t>
      </w:r>
      <w:r w:rsidRPr="00D65870">
        <w:rPr>
          <w:rFonts w:ascii="Narkisim" w:hAnsi="Narkisim"/>
          <w:b/>
          <w:bCs/>
          <w:rtl/>
        </w:rPr>
        <w:t>תוס</w:t>
      </w:r>
      <w:r w:rsidRPr="00D65870">
        <w:rPr>
          <w:rFonts w:ascii="Narkisim" w:hAnsi="Narkisim"/>
          <w:rtl/>
        </w:rPr>
        <w:t>' (בתי' הא') דחו דאף דבר שדינו בקבורה אמרי' דשיעורו כמאן דליתא. [דכיון דאסור בהנאה אין לו חשיבות</w:t>
      </w:r>
      <w:r w:rsidRPr="00D65870">
        <w:rPr>
          <w:rStyle w:val="ac"/>
          <w:rFonts w:ascii="Narkisim" w:hAnsi="Narkisim"/>
          <w:rtl/>
        </w:rPr>
        <w:footnoteReference w:id="6787"/>
      </w:r>
      <w:r w:rsidRPr="00D65870">
        <w:rPr>
          <w:rFonts w:ascii="Narkisim" w:hAnsi="Narkisim"/>
          <w:rtl/>
        </w:rPr>
        <w:t>].</w:t>
      </w:r>
    </w:p>
    <w:p w14:paraId="7358F5DA"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w:t>
      </w:r>
      <w:r w:rsidRPr="00D65870">
        <w:rPr>
          <w:rFonts w:ascii="Narkisim" w:hAnsi="Narkisim"/>
          <w:szCs w:val="20"/>
          <w:rtl/>
        </w:rPr>
        <w:t>(סוטה כה: ד"ה לאו)</w:t>
      </w:r>
      <w:r w:rsidRPr="00D65870">
        <w:rPr>
          <w:rFonts w:ascii="Narkisim" w:hAnsi="Narkisim"/>
          <w:rtl/>
        </w:rPr>
        <w:t xml:space="preserve"> כת' דלא תלי</w:t>
      </w:r>
      <w:r w:rsidRPr="00D65870">
        <w:rPr>
          <w:rStyle w:val="ac"/>
          <w:rFonts w:ascii="Narkisim" w:hAnsi="Narkisim"/>
          <w:rtl/>
        </w:rPr>
        <w:footnoteReference w:id="6788"/>
      </w:r>
      <w:r w:rsidRPr="00D65870">
        <w:rPr>
          <w:rFonts w:ascii="Narkisim" w:hAnsi="Narkisim"/>
          <w:rtl/>
        </w:rPr>
        <w:t xml:space="preserve"> בדברי ר' שמעון (מנחות קב: וב"ק עו. וכ"מ) דעומד ליזרק כזרוק</w:t>
      </w:r>
      <w:r w:rsidRPr="00D65870">
        <w:rPr>
          <w:rStyle w:val="ac"/>
          <w:rFonts w:ascii="Narkisim" w:hAnsi="Narkisim"/>
          <w:rtl/>
        </w:rPr>
        <w:footnoteReference w:id="6789"/>
      </w:r>
      <w:r w:rsidRPr="00D65870">
        <w:rPr>
          <w:rFonts w:ascii="Narkisim" w:hAnsi="Narkisim"/>
          <w:rtl/>
        </w:rPr>
        <w:t>. דאפי' רבנן מודו דאמרי' כתותי מיכתת שיעוריה, כיון דאסור בהנאה ונחשב כעפרא דארעא בעלמא, א"כ ליכא שיעור</w:t>
      </w:r>
      <w:r w:rsidRPr="00D65870">
        <w:rPr>
          <w:rStyle w:val="ac"/>
          <w:rFonts w:ascii="Narkisim" w:hAnsi="Narkisim"/>
          <w:rtl/>
        </w:rPr>
        <w:footnoteReference w:id="6790"/>
      </w:r>
      <w:r w:rsidRPr="00D65870">
        <w:rPr>
          <w:rFonts w:ascii="Narkisim" w:hAnsi="Narkisim"/>
          <w:rtl/>
        </w:rPr>
        <w:t>.</w:t>
      </w:r>
    </w:p>
    <w:p w14:paraId="36DCA069"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(גיטין כ. ור"ן שם י. בדה"ר) [בשם הרא"ה] מבואר דמיכתת שיעורא ו'עומד לישרף' הוה ב' גדרים, דכתב דמהני גט על איסור הנאה כיון דאין שיעור בגט לא איכפ"ל דמיכתת שיעוריה. ומיהו למ"ד כל העומד לישרף כשרוף דמי (ר' שמעון הנ"ל), באיסורי הנאה העומדים לשריפה</w:t>
      </w:r>
      <w:r w:rsidRPr="00D65870">
        <w:rPr>
          <w:rStyle w:val="ac"/>
          <w:rFonts w:ascii="Narkisim" w:hAnsi="Narkisim"/>
          <w:rtl/>
        </w:rPr>
        <w:footnoteReference w:id="6791"/>
      </w:r>
      <w:r w:rsidRPr="00D65870">
        <w:rPr>
          <w:rFonts w:ascii="Narkisim" w:hAnsi="Narkisim"/>
          <w:rtl/>
        </w:rPr>
        <w:t xml:space="preserve"> ל"מ גט, שהרי כשרופים הם. וכמי </w:t>
      </w:r>
      <w:r w:rsidRPr="00D65870">
        <w:rPr>
          <w:rFonts w:ascii="Narkisim" w:hAnsi="Narkisim"/>
          <w:rtl/>
        </w:rPr>
        <w:lastRenderedPageBreak/>
        <w:t>שאין בהם ממש דמו</w:t>
      </w:r>
      <w:r w:rsidRPr="00D65870">
        <w:rPr>
          <w:rStyle w:val="ac"/>
          <w:rFonts w:ascii="Narkisim" w:hAnsi="Narkisim"/>
          <w:rtl/>
        </w:rPr>
        <w:footnoteReference w:id="6792"/>
      </w:r>
      <w:r w:rsidRPr="00D65870">
        <w:rPr>
          <w:rFonts w:ascii="Narkisim" w:hAnsi="Narkisim"/>
          <w:rtl/>
        </w:rPr>
        <w:t>. [והו' ברמ"א (קכד א)</w:t>
      </w:r>
      <w:r w:rsidRPr="00D65870">
        <w:rPr>
          <w:rStyle w:val="ac"/>
          <w:rFonts w:ascii="Narkisim" w:hAnsi="Narkisim"/>
          <w:rtl/>
        </w:rPr>
        <w:footnoteReference w:id="6793"/>
      </w:r>
      <w:r w:rsidRPr="00D65870">
        <w:rPr>
          <w:rFonts w:ascii="Narkisim" w:hAnsi="Narkisim"/>
          <w:rtl/>
        </w:rPr>
        <w:t>].</w:t>
      </w:r>
    </w:p>
    <w:p w14:paraId="4902AB7E" w14:textId="77777777" w:rsidR="006C4368" w:rsidRPr="00D65870" w:rsidRDefault="006C4368" w:rsidP="006C4368">
      <w:pPr>
        <w:bidi/>
        <w:rPr>
          <w:rFonts w:ascii="Narkisim" w:hAnsi="Narkisim" w:cs="Narkisim"/>
        </w:rPr>
      </w:pPr>
      <w:r w:rsidRPr="00D65870">
        <w:rPr>
          <w:rFonts w:ascii="Narkisim" w:hAnsi="Narkisim" w:cs="Narkisim"/>
          <w:u w:val="single"/>
          <w:rtl/>
        </w:rPr>
        <w:t>בא"ד וי"ל כגון שהגביה השופר והסנדל ע"מ שלא לקנותו וכו'</w:t>
      </w:r>
      <w:r w:rsidRPr="00D65870">
        <w:rPr>
          <w:rFonts w:ascii="Narkisim" w:hAnsi="Narkisim" w:cs="Narkisim"/>
          <w:rtl/>
        </w:rPr>
        <w:t>. וכן הביא ה</w:t>
      </w:r>
      <w:r w:rsidRPr="00D65870">
        <w:rPr>
          <w:rFonts w:ascii="Narkisim" w:hAnsi="Narkisim" w:cs="Narkisim"/>
          <w:b/>
          <w:bCs/>
          <w:rtl/>
        </w:rPr>
        <w:t>בי"ש</w:t>
      </w:r>
      <w:r w:rsidRPr="00D65870">
        <w:rPr>
          <w:rFonts w:ascii="Narkisim" w:hAnsi="Narkisim" w:cs="Narkisim"/>
          <w:rtl/>
        </w:rPr>
        <w:t xml:space="preserve"> (קסט כב) דאיירי בשל הפקר, והישראל נתכוון שלא לקנות המנעל. או ע"ז של גוי ולא הפקיר, ומש"ה לא קנה הישראל. [אך בכל אופן אינו שלו, ולפ"ז אסור לחלוץ לכתחילה מטעם שאינו שלו].</w:t>
      </w:r>
    </w:p>
    <w:p w14:paraId="0679E854" w14:textId="77777777" w:rsidR="006C4368" w:rsidRPr="00D65870" w:rsidRDefault="006C4368" w:rsidP="006C4368">
      <w:pPr>
        <w:pStyle w:val="aa"/>
        <w:bidi/>
        <w:rPr>
          <w:rFonts w:ascii="Narkisim" w:hAnsi="Narkisim"/>
        </w:rPr>
      </w:pPr>
      <w:r w:rsidRPr="00D65870">
        <w:rPr>
          <w:rFonts w:ascii="Narkisim" w:hAnsi="Narkisim"/>
          <w:u w:val="single"/>
          <w:rtl/>
        </w:rPr>
        <w:t>בא"ד ור"ת מפרש וכו' ולאחר ביטול נמי לכתחילה וכו' ולא יחלוץ, דמאיס לענין מצווה וכו'</w:t>
      </w:r>
      <w:r w:rsidRPr="00D65870">
        <w:rPr>
          <w:rFonts w:ascii="Narkisim" w:hAnsi="Narkisim"/>
          <w:rtl/>
        </w:rPr>
        <w:t>. ואף חליצה נחשב מצווה, ושייך סברת מאיס [וע"ע מש"כ לעיל קא.].</w:t>
      </w:r>
    </w:p>
    <w:p w14:paraId="0DD2930B" w14:textId="77777777" w:rsidR="006C4368" w:rsidRPr="00D65870" w:rsidRDefault="006C4368" w:rsidP="006C4368">
      <w:pPr>
        <w:bidi/>
        <w:rPr>
          <w:rFonts w:ascii="Narkisim" w:hAnsi="Narkisim" w:cs="Narkisim"/>
        </w:rPr>
      </w:pPr>
      <w:r w:rsidRPr="00D65870">
        <w:rPr>
          <w:rFonts w:ascii="Narkisim" w:hAnsi="Narkisim" w:cs="Narkisim"/>
          <w:u w:val="single"/>
          <w:rtl/>
        </w:rPr>
        <w:t>בא"ד ואפי' את"ל וכו' ל"ד כסוי לחליצה, דלענין כיסוי לא חיישינן למיאוס</w:t>
      </w:r>
      <w:r w:rsidRPr="00D65870">
        <w:rPr>
          <w:rFonts w:ascii="Narkisim" w:hAnsi="Narkisim" w:cs="Narkisim"/>
          <w:rtl/>
        </w:rPr>
        <w:t>. וה</w:t>
      </w:r>
      <w:r w:rsidRPr="00D65870">
        <w:rPr>
          <w:rFonts w:ascii="Narkisim" w:hAnsi="Narkisim" w:cs="Narkisim"/>
          <w:b/>
          <w:bCs/>
          <w:rtl/>
        </w:rPr>
        <w:t>אחרונים</w:t>
      </w:r>
      <w:r w:rsidRPr="00D65870">
        <w:rPr>
          <w:rFonts w:ascii="Narkisim" w:hAnsi="Narkisim" w:cs="Narkisim"/>
          <w:rtl/>
        </w:rPr>
        <w:t xml:space="preserve"> </w:t>
      </w:r>
      <w:r w:rsidRPr="00D65870">
        <w:rPr>
          <w:rFonts w:ascii="Narkisim" w:hAnsi="Narkisim" w:cs="Narkisim"/>
          <w:szCs w:val="20"/>
          <w:rtl/>
        </w:rPr>
        <w:t>(הג' יעב"ץ, כפות תמרים סוכה לא:)</w:t>
      </w:r>
      <w:r w:rsidRPr="00D65870">
        <w:rPr>
          <w:rFonts w:ascii="Narkisim" w:hAnsi="Narkisim" w:cs="Narkisim"/>
          <w:rtl/>
        </w:rPr>
        <w:t xml:space="preserve"> הק' דאי' (שבת כב. וחולין פז) שלא יכסה ברגלו, שלא יהיו מצוות בזויות עליו. ואף בכיסוי הדם אסור דרך בזוי, ובזיון ומיאוס הוה חדא מילתא. וה</w:t>
      </w:r>
      <w:r w:rsidRPr="00D65870">
        <w:rPr>
          <w:rFonts w:ascii="Narkisim" w:hAnsi="Narkisim" w:cs="Narkisim"/>
          <w:b/>
          <w:bCs/>
          <w:rtl/>
        </w:rPr>
        <w:t>אחרונים</w:t>
      </w:r>
      <w:r w:rsidRPr="00D65870">
        <w:rPr>
          <w:rFonts w:ascii="Narkisim" w:hAnsi="Narkisim" w:cs="Narkisim"/>
          <w:rtl/>
        </w:rPr>
        <w:t xml:space="preserve"> (ע' </w:t>
      </w:r>
      <w:r w:rsidRPr="00D65870">
        <w:rPr>
          <w:rFonts w:ascii="Narkisim" w:hAnsi="Narkisim" w:cs="Narkisim"/>
          <w:b/>
          <w:bCs/>
          <w:rtl/>
        </w:rPr>
        <w:t>ערול"נ</w:t>
      </w:r>
      <w:r w:rsidRPr="00D65870">
        <w:rPr>
          <w:rFonts w:ascii="Narkisim" w:hAnsi="Narkisim" w:cs="Narkisim"/>
          <w:rtl/>
        </w:rPr>
        <w:t xml:space="preserve"> שם, </w:t>
      </w:r>
      <w:r w:rsidRPr="00D65870">
        <w:rPr>
          <w:rFonts w:ascii="Narkisim" w:hAnsi="Narkisim" w:cs="Narkisim"/>
          <w:b/>
          <w:bCs/>
          <w:rtl/>
        </w:rPr>
        <w:t>עמק ברכה</w:t>
      </w:r>
      <w:r w:rsidRPr="00D65870">
        <w:rPr>
          <w:rFonts w:ascii="Narkisim" w:hAnsi="Narkisim" w:cs="Narkisim"/>
          <w:rtl/>
        </w:rPr>
        <w:t xml:space="preserve"> ז) תי' דכוונת התוס' דהעפר לא הוה חפצא דמצווה, ומש"ה לא איכפ"ל דהיתה של ע"ז. ולכיסוי לא חיישינן לביזוי בחפצא.</w:t>
      </w:r>
    </w:p>
    <w:p w14:paraId="625FCD22" w14:textId="77777777" w:rsidR="006C4368" w:rsidRPr="00D65870" w:rsidRDefault="006C4368" w:rsidP="006C4368">
      <w:pPr>
        <w:pStyle w:val="3"/>
        <w:bidi/>
        <w:rPr>
          <w:rFonts w:ascii="Narkisim" w:hAnsi="Narkisim"/>
        </w:rPr>
      </w:pPr>
      <w:r w:rsidRPr="00D65870">
        <w:rPr>
          <w:rFonts w:ascii="Narkisim" w:hAnsi="Narkisim"/>
          <w:rtl/>
        </w:rPr>
        <w:t>דף קד.</w:t>
      </w:r>
    </w:p>
    <w:p w14:paraId="104D7DC7" w14:textId="77777777" w:rsidR="006C4368" w:rsidRPr="00D65870" w:rsidRDefault="006C4368" w:rsidP="006C4368">
      <w:pPr>
        <w:pStyle w:val="aa"/>
        <w:bidi/>
        <w:rPr>
          <w:rFonts w:ascii="Narkisim" w:hAnsi="Narkisim"/>
        </w:rPr>
      </w:pPr>
      <w:r w:rsidRPr="00D65870">
        <w:rPr>
          <w:rFonts w:ascii="Narkisim" w:hAnsi="Narkisim"/>
          <w:u w:val="single"/>
          <w:rtl/>
        </w:rPr>
        <w:t>דמר סבר מקשינן ריבים לנגעים וכו'</w:t>
      </w:r>
      <w:r w:rsidRPr="00D65870">
        <w:rPr>
          <w:rFonts w:ascii="Narkisim" w:hAnsi="Narkisim"/>
          <w:rtl/>
        </w:rPr>
        <w:t>. דר' מאיר בברייתא (סנהדרין לד:) מקיש דינים לנגעים, דכתיב כל ריב וכל נגע</w:t>
      </w:r>
      <w:r w:rsidRPr="00D65870">
        <w:rPr>
          <w:rStyle w:val="ac"/>
          <w:rFonts w:ascii="Narkisim" w:hAnsi="Narkisim"/>
          <w:rtl/>
        </w:rPr>
        <w:footnoteReference w:id="6794"/>
      </w:r>
      <w:r w:rsidRPr="00D65870">
        <w:rPr>
          <w:rFonts w:ascii="Narkisim" w:hAnsi="Narkisim"/>
          <w:rtl/>
        </w:rPr>
        <w:t>. ולמד דל"מ לדון בלילה [אפי' גמר דין], ופוסל דיין סומא [אפי' בעין א', הו' לעיל קא.]. ועוד למד לנגעים דקרוב פסול לראיית נגעים.</w:t>
      </w:r>
    </w:p>
    <w:p w14:paraId="07DEE867" w14:textId="77777777" w:rsidR="006C4368" w:rsidRPr="00D65870" w:rsidRDefault="006C4368" w:rsidP="006C4368">
      <w:pPr>
        <w:pStyle w:val="a8"/>
        <w:bidi/>
        <w:rPr>
          <w:rFonts w:ascii="Narkisim" w:hAnsi="Narkisim"/>
        </w:rPr>
      </w:pPr>
      <w:r w:rsidRPr="00D65870">
        <w:rPr>
          <w:rFonts w:ascii="Narkisim" w:hAnsi="Narkisim"/>
          <w:rtl/>
        </w:rPr>
        <w:t>ותנא דמתני' (שם) מכשיר גמר דין בלילה, דאינו מקיש לנגעים. ודרש ביום הנחילו את בניו וכתיב ושפטו את העם בכל עת, יום לתחילת דין ולילה לגמר דין.</w:t>
      </w:r>
    </w:p>
    <w:p w14:paraId="0D86783C" w14:textId="77777777" w:rsidR="006C4368" w:rsidRPr="00D65870" w:rsidRDefault="006C4368" w:rsidP="006C4368">
      <w:pPr>
        <w:bidi/>
        <w:rPr>
          <w:rFonts w:ascii="Narkisim" w:hAnsi="Narkisim" w:cs="Narkisim"/>
        </w:rPr>
      </w:pPr>
      <w:r w:rsidRPr="00D65870">
        <w:rPr>
          <w:rFonts w:ascii="Narkisim" w:hAnsi="Narkisim" w:cs="Narkisim"/>
          <w:u w:val="single"/>
          <w:rtl/>
        </w:rPr>
        <w:t>שם. דמר סבר מקשינן ריבים וכו'</w:t>
      </w:r>
      <w:r w:rsidRPr="00D65870">
        <w:rPr>
          <w:rFonts w:ascii="Narkisim" w:hAnsi="Narkisim" w:cs="Narkisim"/>
          <w:rtl/>
        </w:rPr>
        <w:t>. צ"ב אמאי חליצה נחשב 'ריבים'. ו</w:t>
      </w:r>
      <w:r w:rsidRPr="00D65870">
        <w:rPr>
          <w:rFonts w:ascii="Narkisim" w:hAnsi="Narkisim" w:cs="Narkisim"/>
          <w:b/>
          <w:bCs/>
          <w:rtl/>
        </w:rPr>
        <w:t>רש"י</w:t>
      </w:r>
      <w:r w:rsidRPr="00D65870">
        <w:rPr>
          <w:rFonts w:ascii="Narkisim" w:hAnsi="Narkisim" w:cs="Narkisim"/>
          <w:rtl/>
        </w:rPr>
        <w:t xml:space="preserve"> פי' דחליצה דין הוא, דגובה כתובתה</w:t>
      </w:r>
      <w:r w:rsidRPr="00D65870">
        <w:rPr>
          <w:rStyle w:val="ac"/>
          <w:rFonts w:ascii="Narkisim" w:hAnsi="Narkisim" w:cs="Narkisim"/>
          <w:rtl/>
        </w:rPr>
        <w:footnoteReference w:id="6795"/>
      </w:r>
      <w:r w:rsidRPr="00D65870">
        <w:rPr>
          <w:rFonts w:ascii="Narkisim" w:hAnsi="Narkisim" w:cs="Narkisim"/>
          <w:rtl/>
        </w:rPr>
        <w:t>. וה</w:t>
      </w:r>
      <w:r w:rsidRPr="00D65870">
        <w:rPr>
          <w:rFonts w:ascii="Narkisim" w:hAnsi="Narkisim" w:cs="Narkisim"/>
          <w:b/>
          <w:bCs/>
          <w:rtl/>
        </w:rPr>
        <w:t>או"ז</w:t>
      </w:r>
      <w:r w:rsidRPr="00D65870">
        <w:rPr>
          <w:rFonts w:ascii="Narkisim" w:hAnsi="Narkisim" w:cs="Narkisim"/>
          <w:rtl/>
        </w:rPr>
        <w:t xml:space="preserve"> (שו"ת תשמה, הו' בסמוך) כת' תו נראה בעיני דהיתר היבמה נחשב 'דין', ולא משום הכתובה. ויש שדנו דהטעם לפסול בלילה דילפי' דצריך בי"ד [מדכתיב שערה וזקנים, ע' לעיל קא.], מש"ה דינו כשאר דיני בי"ד. </w:t>
      </w:r>
      <w:r w:rsidRPr="00D65870">
        <w:rPr>
          <w:rFonts w:ascii="Narkisim" w:hAnsi="Narkisim" w:cs="Narkisim"/>
          <w:szCs w:val="20"/>
          <w:rtl/>
        </w:rPr>
        <w:t>[אבל רש"י והראשונים לא פי' כן</w:t>
      </w:r>
      <w:r w:rsidRPr="00D65870">
        <w:rPr>
          <w:rStyle w:val="ac"/>
          <w:rFonts w:ascii="Narkisim" w:hAnsi="Narkisim" w:cs="Narkisim"/>
          <w:szCs w:val="20"/>
          <w:rtl/>
        </w:rPr>
        <w:footnoteReference w:id="6796"/>
      </w:r>
      <w:r w:rsidRPr="00D65870">
        <w:rPr>
          <w:rFonts w:ascii="Narkisim" w:hAnsi="Narkisim" w:cs="Narkisim"/>
          <w:szCs w:val="20"/>
          <w:rtl/>
        </w:rPr>
        <w:t>. וה</w:t>
      </w:r>
      <w:r w:rsidRPr="00D65870">
        <w:rPr>
          <w:rFonts w:ascii="Narkisim" w:hAnsi="Narkisim" w:cs="Narkisim"/>
          <w:b/>
          <w:bCs/>
          <w:szCs w:val="20"/>
          <w:rtl/>
        </w:rPr>
        <w:t>מרומי שדה</w:t>
      </w:r>
      <w:r w:rsidRPr="00D65870">
        <w:rPr>
          <w:rFonts w:ascii="Narkisim" w:hAnsi="Narkisim" w:cs="Narkisim"/>
          <w:szCs w:val="20"/>
          <w:rtl/>
        </w:rPr>
        <w:t xml:space="preserve"> (קא.) כת' דודאי ילפי' דבעי בי"ד מגזיה"כ ד'השערה', אלא אחרי דילפי' דצריך בי"ד, מפרשינן הטעם דחשבה התורה לדין משום שיש כאן כתובה</w:t>
      </w:r>
      <w:r w:rsidRPr="00D65870">
        <w:rPr>
          <w:rStyle w:val="ac"/>
          <w:rFonts w:ascii="Narkisim" w:hAnsi="Narkisim" w:cs="Narkisim"/>
          <w:szCs w:val="20"/>
          <w:rtl/>
        </w:rPr>
        <w:footnoteReference w:id="6797"/>
      </w:r>
      <w:r w:rsidRPr="00D65870">
        <w:rPr>
          <w:rFonts w:ascii="Narkisim" w:hAnsi="Narkisim" w:cs="Narkisim"/>
          <w:rtl/>
        </w:rPr>
        <w:t>].</w:t>
      </w:r>
    </w:p>
    <w:p w14:paraId="7ABF4DD7"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אחרונים</w:t>
      </w:r>
      <w:r w:rsidRPr="00D65870">
        <w:rPr>
          <w:rFonts w:ascii="Narkisim" w:hAnsi="Narkisim" w:cs="Narkisim"/>
          <w:rtl/>
        </w:rPr>
        <w:t xml:space="preserve"> (קובה"ע פ א) הק' דמשמע מפרש"י דעיקר החליצה לא נחשב 'ריבים', אלא הכתובה. וא"כ היכא דחלצה בלילה תהא מותרת לשוק, וממילא תהא גובה כתובתה. [או שתהא צריכה בי"ד אחר לגביית הכתובה</w:t>
      </w:r>
      <w:r w:rsidRPr="00D65870">
        <w:rPr>
          <w:rStyle w:val="ac"/>
          <w:rFonts w:ascii="Narkisim" w:hAnsi="Narkisim" w:cs="Narkisim"/>
          <w:rtl/>
        </w:rPr>
        <w:footnoteReference w:id="6798"/>
      </w:r>
      <w:r w:rsidRPr="00D65870">
        <w:rPr>
          <w:rFonts w:ascii="Narkisim" w:hAnsi="Narkisim" w:cs="Narkisim"/>
          <w:rtl/>
        </w:rPr>
        <w:t>]. וה</w:t>
      </w:r>
      <w:r w:rsidRPr="00D65870">
        <w:rPr>
          <w:rFonts w:ascii="Narkisim" w:hAnsi="Narkisim" w:cs="Narkisim"/>
          <w:b/>
          <w:bCs/>
          <w:rtl/>
        </w:rPr>
        <w:t>נוב"י</w:t>
      </w:r>
      <w:r w:rsidRPr="00D65870">
        <w:rPr>
          <w:rFonts w:ascii="Narkisim" w:hAnsi="Narkisim" w:cs="Narkisim"/>
          <w:rtl/>
        </w:rPr>
        <w:t xml:space="preserve"> (ת' קיד) תמה דל"צ דיינים לכתיבת הכתובה. ועוה"ק ה</w:t>
      </w:r>
      <w:r w:rsidRPr="00D65870">
        <w:rPr>
          <w:rFonts w:ascii="Narkisim" w:hAnsi="Narkisim" w:cs="Narkisim"/>
          <w:b/>
          <w:bCs/>
          <w:rtl/>
        </w:rPr>
        <w:t>נוב"י</w:t>
      </w:r>
      <w:r w:rsidRPr="00D65870">
        <w:rPr>
          <w:rFonts w:ascii="Narkisim" w:hAnsi="Narkisim" w:cs="Narkisim"/>
          <w:rtl/>
        </w:rPr>
        <w:t xml:space="preserve"> (ת' קנא) דכתובה הוה מדרבנן [עכ"פ בנשאת אלמנה], א"כ מדאורייתא יהני חליצה בלילה ובסומא</w:t>
      </w:r>
      <w:r w:rsidRPr="00D65870">
        <w:rPr>
          <w:rStyle w:val="ac"/>
          <w:rFonts w:ascii="Narkisim" w:hAnsi="Narkisim" w:cs="Narkisim"/>
          <w:rtl/>
        </w:rPr>
        <w:footnoteReference w:id="6799"/>
      </w:r>
      <w:r w:rsidRPr="00D65870">
        <w:rPr>
          <w:rFonts w:ascii="Narkisim" w:hAnsi="Narkisim" w:cs="Narkisim"/>
          <w:rtl/>
        </w:rPr>
        <w:t>.</w:t>
      </w:r>
    </w:p>
    <w:p w14:paraId="181A2C37" w14:textId="77777777" w:rsidR="006C4368" w:rsidRPr="00D65870" w:rsidRDefault="006C4368" w:rsidP="006C4368">
      <w:pPr>
        <w:bidi/>
        <w:rPr>
          <w:rFonts w:ascii="Narkisim" w:hAnsi="Narkisim" w:cs="Narkisim"/>
        </w:rPr>
      </w:pPr>
      <w:r w:rsidRPr="00D65870">
        <w:rPr>
          <w:rFonts w:ascii="Narkisim" w:hAnsi="Narkisim" w:cs="Narkisim"/>
          <w:rtl/>
        </w:rPr>
        <w:lastRenderedPageBreak/>
        <w:t>וה</w:t>
      </w:r>
      <w:r w:rsidRPr="00D65870">
        <w:rPr>
          <w:rFonts w:ascii="Narkisim" w:hAnsi="Narkisim" w:cs="Narkisim"/>
          <w:b/>
          <w:bCs/>
          <w:rtl/>
        </w:rPr>
        <w:t>או"ז</w:t>
      </w:r>
      <w:r w:rsidRPr="00D65870">
        <w:rPr>
          <w:rFonts w:ascii="Narkisim" w:hAnsi="Narkisim" w:cs="Narkisim"/>
          <w:rtl/>
        </w:rPr>
        <w:t xml:space="preserve"> (שו"ת תשמה, והו' בשו"ת הר"א מזרחי א פב) כת' דעפ"ז ל"מ נתינת גט בלילה, דהוה תחילת דין דפסול בלילה</w:t>
      </w:r>
      <w:r w:rsidRPr="00D65870">
        <w:rPr>
          <w:rStyle w:val="ac"/>
          <w:rFonts w:ascii="Narkisim" w:hAnsi="Narkisim" w:cs="Narkisim"/>
          <w:rtl/>
        </w:rPr>
        <w:footnoteReference w:id="6800"/>
      </w:r>
      <w:r w:rsidRPr="00D65870">
        <w:rPr>
          <w:rFonts w:ascii="Narkisim" w:hAnsi="Narkisim" w:cs="Narkisim"/>
          <w:rtl/>
        </w:rPr>
        <w:t>. וכמו חליצה</w:t>
      </w:r>
      <w:r w:rsidRPr="00D65870">
        <w:rPr>
          <w:rStyle w:val="ac"/>
          <w:rFonts w:ascii="Narkisim" w:hAnsi="Narkisim" w:cs="Narkisim"/>
          <w:rtl/>
        </w:rPr>
        <w:footnoteReference w:id="6801"/>
      </w:r>
      <w:r w:rsidRPr="00D65870">
        <w:rPr>
          <w:rFonts w:ascii="Narkisim" w:hAnsi="Narkisim" w:cs="Narkisim"/>
          <w:rtl/>
        </w:rPr>
        <w:t xml:space="preserve">. </w:t>
      </w:r>
      <w:r w:rsidRPr="00D65870">
        <w:rPr>
          <w:rFonts w:ascii="Narkisim" w:hAnsi="Narkisim" w:cs="Narkisim"/>
          <w:szCs w:val="20"/>
          <w:rtl/>
        </w:rPr>
        <w:t>אבל ה</w:t>
      </w:r>
      <w:r w:rsidRPr="00D65870">
        <w:rPr>
          <w:rFonts w:ascii="Narkisim" w:hAnsi="Narkisim" w:cs="Narkisim"/>
          <w:b/>
          <w:bCs/>
          <w:szCs w:val="20"/>
          <w:rtl/>
        </w:rPr>
        <w:t>ב"י</w:t>
      </w:r>
      <w:r w:rsidRPr="00D65870">
        <w:rPr>
          <w:rFonts w:ascii="Narkisim" w:hAnsi="Narkisim" w:cs="Narkisim"/>
          <w:szCs w:val="20"/>
          <w:rtl/>
        </w:rPr>
        <w:t xml:space="preserve"> (ס"ס קלו) כת' איני יודע מה ענין דין לגט, וכת' דה</w:t>
      </w:r>
      <w:r w:rsidRPr="00D65870">
        <w:rPr>
          <w:rFonts w:ascii="Narkisim" w:hAnsi="Narkisim" w:cs="Narkisim"/>
          <w:b/>
          <w:bCs/>
          <w:szCs w:val="20"/>
          <w:rtl/>
        </w:rPr>
        <w:t>פוסקים</w:t>
      </w:r>
      <w:r w:rsidRPr="00D65870">
        <w:rPr>
          <w:rFonts w:ascii="Narkisim" w:hAnsi="Narkisim" w:cs="Narkisim"/>
          <w:szCs w:val="20"/>
          <w:rtl/>
        </w:rPr>
        <w:t xml:space="preserve"> לא הביאו להקפיד בכך</w:t>
      </w:r>
      <w:r w:rsidRPr="00D65870">
        <w:rPr>
          <w:rStyle w:val="ac"/>
          <w:rFonts w:ascii="Narkisim" w:hAnsi="Narkisim" w:cs="Narkisim"/>
          <w:szCs w:val="20"/>
          <w:rtl/>
        </w:rPr>
        <w:footnoteReference w:id="6802"/>
      </w:r>
      <w:r w:rsidRPr="00D65870">
        <w:rPr>
          <w:rFonts w:ascii="Narkisim" w:hAnsi="Narkisim" w:cs="Narkisim"/>
          <w:szCs w:val="20"/>
          <w:rtl/>
        </w:rPr>
        <w:t>.</w:t>
      </w:r>
    </w:p>
    <w:p w14:paraId="3F1EFE3E"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נוב"י</w:t>
      </w:r>
      <w:r w:rsidRPr="00D65870">
        <w:rPr>
          <w:rFonts w:ascii="Narkisim" w:hAnsi="Narkisim"/>
          <w:rtl/>
        </w:rPr>
        <w:t xml:space="preserve"> (ת' קיד) הביא דמבואר מהנך פוסקים דל"מ לגרש בלילה דצריך ליתן את הגט לפני בי"ד. ודייק כן מדברי </w:t>
      </w:r>
      <w:r w:rsidRPr="00D65870">
        <w:rPr>
          <w:rFonts w:ascii="Narkisim" w:hAnsi="Narkisim"/>
          <w:b/>
          <w:bCs/>
          <w:rtl/>
        </w:rPr>
        <w:t>רש"י</w:t>
      </w:r>
      <w:r w:rsidRPr="00D65870">
        <w:rPr>
          <w:rFonts w:ascii="Narkisim" w:hAnsi="Narkisim"/>
          <w:rtl/>
        </w:rPr>
        <w:t xml:space="preserve"> (סנהדרין ב.) דמיאון בפני ג', דכעין דאורייתא תקון</w:t>
      </w:r>
      <w:r w:rsidRPr="00D65870">
        <w:rPr>
          <w:rStyle w:val="ac"/>
          <w:rFonts w:ascii="Narkisim" w:hAnsi="Narkisim"/>
          <w:rtl/>
        </w:rPr>
        <w:footnoteReference w:id="6803"/>
      </w:r>
      <w:r w:rsidRPr="00D65870">
        <w:rPr>
          <w:rFonts w:ascii="Narkisim" w:hAnsi="Narkisim"/>
          <w:rtl/>
        </w:rPr>
        <w:t>. והנוב"י הק' דמבואר בכ"מ דל"צ ג' בנתינת הגט</w:t>
      </w:r>
      <w:r w:rsidRPr="00D65870">
        <w:rPr>
          <w:rStyle w:val="ac"/>
          <w:rFonts w:ascii="Narkisim" w:hAnsi="Narkisim"/>
          <w:rtl/>
        </w:rPr>
        <w:footnoteReference w:id="6804"/>
      </w:r>
      <w:r w:rsidRPr="00D65870">
        <w:rPr>
          <w:rFonts w:ascii="Narkisim" w:hAnsi="Narkisim"/>
          <w:rtl/>
        </w:rPr>
        <w:t>. והנוב"י חילק דגט של נשואה צריכה בי"ד, משום דיני הכתובה ושאר זכויות וחיובים שיש בגט</w:t>
      </w:r>
      <w:r w:rsidRPr="00D65870">
        <w:rPr>
          <w:rStyle w:val="ac"/>
          <w:rFonts w:ascii="Narkisim" w:hAnsi="Narkisim"/>
          <w:rtl/>
        </w:rPr>
        <w:footnoteReference w:id="6805"/>
      </w:r>
      <w:r w:rsidRPr="00D65870">
        <w:rPr>
          <w:rFonts w:ascii="Narkisim" w:hAnsi="Narkisim"/>
          <w:rtl/>
        </w:rPr>
        <w:t>. אבל גט של ארוסה ל"צ בי"ד [וכשר בלילה], דליכא כתובה ותנאי כתובה, או שום זכות בנכסים או שעבוד.</w:t>
      </w:r>
    </w:p>
    <w:p w14:paraId="230C5635" w14:textId="77777777" w:rsidR="006C4368" w:rsidRPr="00D65870" w:rsidRDefault="006C4368" w:rsidP="006C4368">
      <w:pPr>
        <w:pStyle w:val="a8"/>
        <w:bidi/>
        <w:rPr>
          <w:rFonts w:ascii="Narkisim" w:hAnsi="Narkisim"/>
        </w:rPr>
      </w:pPr>
      <w:r w:rsidRPr="00D65870">
        <w:rPr>
          <w:rFonts w:ascii="Narkisim" w:hAnsi="Narkisim"/>
          <w:rtl/>
        </w:rPr>
        <w:t>ועפ"ז כת' ה</w:t>
      </w:r>
      <w:r w:rsidRPr="00D65870">
        <w:rPr>
          <w:rFonts w:ascii="Narkisim" w:hAnsi="Narkisim"/>
          <w:b/>
          <w:bCs/>
          <w:rtl/>
        </w:rPr>
        <w:t>נוב"י</w:t>
      </w:r>
      <w:r w:rsidRPr="00D65870">
        <w:rPr>
          <w:rFonts w:ascii="Narkisim" w:hAnsi="Narkisim"/>
          <w:rtl/>
        </w:rPr>
        <w:t xml:space="preserve"> (והו' בפתח"ת קסט ט) דשומרת יבם מהאירוסין, דליכא כתובה</w:t>
      </w:r>
      <w:r w:rsidRPr="00D65870">
        <w:rPr>
          <w:rStyle w:val="ac"/>
          <w:rFonts w:ascii="Narkisim" w:hAnsi="Narkisim"/>
          <w:rtl/>
        </w:rPr>
        <w:footnoteReference w:id="6806"/>
      </w:r>
      <w:r w:rsidRPr="00D65870">
        <w:rPr>
          <w:rFonts w:ascii="Narkisim" w:hAnsi="Narkisim"/>
          <w:rtl/>
        </w:rPr>
        <w:t>, יחלוץ לה בלילה</w:t>
      </w:r>
      <w:r w:rsidRPr="00D65870">
        <w:rPr>
          <w:rStyle w:val="ac"/>
          <w:rFonts w:ascii="Narkisim" w:hAnsi="Narkisim"/>
          <w:rtl/>
        </w:rPr>
        <w:footnoteReference w:id="6807"/>
      </w:r>
      <w:r w:rsidRPr="00D65870">
        <w:rPr>
          <w:rFonts w:ascii="Narkisim" w:hAnsi="Narkisim"/>
          <w:rtl/>
        </w:rPr>
        <w:t>.</w:t>
      </w:r>
    </w:p>
    <w:p w14:paraId="2B54063F" w14:textId="77777777" w:rsidR="006C4368" w:rsidRPr="00D65870" w:rsidRDefault="006C4368" w:rsidP="006C4368">
      <w:pPr>
        <w:pStyle w:val="aa"/>
        <w:bidi/>
        <w:rPr>
          <w:rFonts w:ascii="Narkisim" w:hAnsi="Narkisim"/>
        </w:rPr>
      </w:pPr>
      <w:r w:rsidRPr="00D65870">
        <w:rPr>
          <w:rFonts w:ascii="Narkisim" w:hAnsi="Narkisim"/>
          <w:u w:val="single"/>
          <w:rtl/>
        </w:rPr>
        <w:t>דאי מקשינן, אפי' גמר דין בלילה נמי לא</w:t>
      </w:r>
      <w:r w:rsidRPr="00D65870">
        <w:rPr>
          <w:rFonts w:ascii="Narkisim" w:hAnsi="Narkisim"/>
          <w:rtl/>
        </w:rPr>
        <w:t>. פ</w:t>
      </w:r>
      <w:r w:rsidRPr="00D65870">
        <w:rPr>
          <w:rFonts w:ascii="Narkisim" w:hAnsi="Narkisim"/>
          <w:b/>
          <w:bCs/>
          <w:rtl/>
        </w:rPr>
        <w:t>רש"י</w:t>
      </w:r>
      <w:r w:rsidRPr="00D65870">
        <w:rPr>
          <w:rFonts w:ascii="Narkisim" w:hAnsi="Narkisim"/>
          <w:rtl/>
        </w:rPr>
        <w:t xml:space="preserve"> ואנן תנן (סנהדרין לב.) דיני ממונות גומרים בלילה. [ודלא כר' מאיר הנ"ל דמקיש].</w:t>
      </w:r>
    </w:p>
    <w:p w14:paraId="5180744E" w14:textId="77777777" w:rsidR="006C4368" w:rsidRPr="00D65870" w:rsidRDefault="006C4368" w:rsidP="006C4368">
      <w:pPr>
        <w:pStyle w:val="a8"/>
        <w:bidi/>
        <w:rPr>
          <w:rFonts w:ascii="Narkisim" w:hAnsi="Narkisim"/>
        </w:rPr>
      </w:pPr>
      <w:r w:rsidRPr="00D65870">
        <w:rPr>
          <w:rFonts w:ascii="Narkisim" w:hAnsi="Narkisim"/>
          <w:rtl/>
        </w:rPr>
        <w:t>ומבואר בסוגיין דלדידן דגמר דין כשר בלילה לא מקשינן ריבים לנגעים. אבל ה</w:t>
      </w:r>
      <w:r w:rsidRPr="00D65870">
        <w:rPr>
          <w:rFonts w:ascii="Narkisim" w:hAnsi="Narkisim"/>
          <w:b/>
          <w:bCs/>
          <w:rtl/>
        </w:rPr>
        <w:t>רמב"ם</w:t>
      </w:r>
      <w:r w:rsidRPr="00D65870">
        <w:rPr>
          <w:rFonts w:ascii="Narkisim" w:hAnsi="Narkisim"/>
          <w:rtl/>
        </w:rPr>
        <w:t xml:space="preserve"> (סנהדרין ג ג) כת' דאין מתחילין דין בלילה, ומפי השמועה למדו שהדינים כנגעים וכו'. וה</w:t>
      </w:r>
      <w:r w:rsidRPr="00D65870">
        <w:rPr>
          <w:rFonts w:ascii="Narkisim" w:hAnsi="Narkisim"/>
          <w:b/>
          <w:bCs/>
          <w:rtl/>
        </w:rPr>
        <w:t>כס"מ</w:t>
      </w:r>
      <w:r w:rsidRPr="00D65870">
        <w:rPr>
          <w:rFonts w:ascii="Narkisim" w:hAnsi="Narkisim"/>
          <w:rtl/>
        </w:rPr>
        <w:t xml:space="preserve"> ביאר דגלי קרא ושפטו את העם בכל עת לגמר דין. ומש"ה דרשי' מנגעים רק לתחילת דין. וצ"ע מסוגיין דמבואר דלא ילפי' כלל. וה</w:t>
      </w:r>
      <w:r w:rsidRPr="00D65870">
        <w:rPr>
          <w:rFonts w:ascii="Narkisim" w:hAnsi="Narkisim"/>
          <w:b/>
          <w:bCs/>
          <w:rtl/>
        </w:rPr>
        <w:t>כס"מ</w:t>
      </w:r>
      <w:r w:rsidRPr="00D65870">
        <w:rPr>
          <w:rFonts w:ascii="Narkisim" w:hAnsi="Narkisim"/>
          <w:rtl/>
        </w:rPr>
        <w:t xml:space="preserve"> ביאר דר"מ מקיש להו לכל מילי, א"כ א"א לדרוש לצדדים. אבל רבנן לא ס"ל דהוה היקש. ומ"מ לענין תחילת דין ילפי' מנגעים. וע"ע לח"מ ושאר מפרשים.</w:t>
      </w:r>
    </w:p>
    <w:p w14:paraId="47FAB0DF" w14:textId="77777777" w:rsidR="006C4368" w:rsidRPr="00D65870" w:rsidRDefault="006C4368" w:rsidP="006C4368">
      <w:pPr>
        <w:bidi/>
        <w:rPr>
          <w:rFonts w:ascii="Narkisim" w:hAnsi="Narkisim" w:cs="Narkisim"/>
        </w:rPr>
      </w:pPr>
      <w:r w:rsidRPr="00D65870">
        <w:rPr>
          <w:rFonts w:ascii="Narkisim" w:hAnsi="Narkisim" w:cs="Narkisim"/>
          <w:u w:val="single"/>
          <w:rtl/>
        </w:rPr>
        <w:t>ומר סבר חליצה כגמר דין דמיא</w:t>
      </w:r>
      <w:r w:rsidRPr="00D65870">
        <w:rPr>
          <w:rFonts w:ascii="Narkisim" w:hAnsi="Narkisim" w:cs="Narkisim"/>
          <w:rtl/>
        </w:rPr>
        <w:t xml:space="preserve">. </w:t>
      </w:r>
      <w:r w:rsidRPr="00D65870">
        <w:rPr>
          <w:rFonts w:ascii="Narkisim" w:hAnsi="Narkisim" w:cs="Narkisim"/>
          <w:b/>
          <w:bCs/>
          <w:rtl/>
        </w:rPr>
        <w:t>ריב"ן</w:t>
      </w:r>
      <w:r w:rsidRPr="00D65870">
        <w:rPr>
          <w:rFonts w:ascii="Narkisim" w:hAnsi="Narkisim" w:cs="Narkisim"/>
          <w:rtl/>
        </w:rPr>
        <w:t xml:space="preserve"> (הו' באו"ז הנ"ל) ביאר דמ"ד חליצה כתחילת דין, דע"י חליצה קא מתחלא למתבע כתובתה. ומ"ד כגמר דין דמיא משום דע"י החליצה כתובתה כגבויה דמיא</w:t>
      </w:r>
      <w:r w:rsidRPr="00D65870">
        <w:rPr>
          <w:rStyle w:val="ac"/>
          <w:rFonts w:ascii="Narkisim" w:hAnsi="Narkisim" w:cs="Narkisim"/>
          <w:rtl/>
        </w:rPr>
        <w:footnoteReference w:id="6808"/>
      </w:r>
      <w:r w:rsidRPr="00D65870">
        <w:rPr>
          <w:rFonts w:ascii="Narkisim" w:hAnsi="Narkisim" w:cs="Narkisim"/>
          <w:rtl/>
        </w:rPr>
        <w:t>.</w:t>
      </w:r>
    </w:p>
    <w:p w14:paraId="7760415C" w14:textId="77777777" w:rsidR="006C4368" w:rsidRPr="00D65870" w:rsidRDefault="006C4368" w:rsidP="006C4368">
      <w:pPr>
        <w:pStyle w:val="a7"/>
        <w:bidi/>
        <w:rPr>
          <w:rFonts w:ascii="Narkisim" w:hAnsi="Narkisim"/>
        </w:rPr>
      </w:pPr>
      <w:r w:rsidRPr="00D65870">
        <w:rPr>
          <w:rFonts w:ascii="Narkisim" w:hAnsi="Narkisim"/>
          <w:rtl/>
        </w:rPr>
        <w:t>ועוד כת' ה</w:t>
      </w:r>
      <w:r w:rsidRPr="00D65870">
        <w:rPr>
          <w:rFonts w:ascii="Narkisim" w:hAnsi="Narkisim"/>
          <w:b/>
          <w:bCs/>
          <w:rtl/>
        </w:rPr>
        <w:t>או"ז</w:t>
      </w:r>
      <w:r w:rsidRPr="00D65870">
        <w:rPr>
          <w:rFonts w:ascii="Narkisim" w:hAnsi="Narkisim"/>
          <w:rtl/>
        </w:rPr>
        <w:t xml:space="preserve"> ['ותו נראה בעיני'] דר"א דסבר שהחליצה הוא תחילת דין</w:t>
      </w:r>
      <w:r w:rsidRPr="00D65870">
        <w:rPr>
          <w:rStyle w:val="ac"/>
          <w:rFonts w:ascii="Narkisim" w:hAnsi="Narkisim"/>
          <w:rtl/>
        </w:rPr>
        <w:footnoteReference w:id="6809"/>
      </w:r>
      <w:r w:rsidRPr="00D65870">
        <w:rPr>
          <w:rFonts w:ascii="Narkisim" w:hAnsi="Narkisim"/>
          <w:rtl/>
        </w:rPr>
        <w:t>, מפני שיבמה לשוק בלאו והשתא הוא דמתחיל להתירה. ולת"ק הוה כגמר הדין, מפני שבחיי בעלה אסורה לשוק בחיוב מיתה, וכשמת בעלה פקעה מיתה ועדיין איסור לאו מורכב עליה. וחלץ לה פקע לה איסור לאו. הלכך דמי לגמר דין</w:t>
      </w:r>
      <w:r w:rsidRPr="00D65870">
        <w:rPr>
          <w:rStyle w:val="ac"/>
          <w:rFonts w:ascii="Narkisim" w:hAnsi="Narkisim"/>
          <w:rtl/>
        </w:rPr>
        <w:footnoteReference w:id="6810"/>
      </w:r>
      <w:r w:rsidRPr="00D65870">
        <w:rPr>
          <w:rFonts w:ascii="Narkisim" w:hAnsi="Narkisim"/>
          <w:rtl/>
        </w:rPr>
        <w:t>.</w:t>
      </w:r>
    </w:p>
    <w:p w14:paraId="42B86B45" w14:textId="77777777" w:rsidR="006C4368" w:rsidRPr="00D65870" w:rsidRDefault="006C4368" w:rsidP="006C4368">
      <w:pPr>
        <w:pStyle w:val="a8"/>
        <w:bidi/>
        <w:rPr>
          <w:rFonts w:ascii="Narkisim" w:hAnsi="Narkisim"/>
        </w:rPr>
      </w:pPr>
      <w:r w:rsidRPr="00D65870">
        <w:rPr>
          <w:rFonts w:ascii="Narkisim" w:hAnsi="Narkisim"/>
          <w:rtl/>
        </w:rPr>
        <w:lastRenderedPageBreak/>
        <w:t>וה</w:t>
      </w:r>
      <w:r w:rsidRPr="00D65870">
        <w:rPr>
          <w:rFonts w:ascii="Narkisim" w:hAnsi="Narkisim"/>
          <w:b/>
          <w:bCs/>
          <w:rtl/>
        </w:rPr>
        <w:t>אתוון דאורייתא</w:t>
      </w:r>
      <w:r w:rsidRPr="00D65870">
        <w:rPr>
          <w:rFonts w:ascii="Narkisim" w:hAnsi="Narkisim"/>
          <w:rtl/>
        </w:rPr>
        <w:t xml:space="preserve"> (ח בקו"א) הביא דלפ"ז</w:t>
      </w:r>
      <w:r w:rsidRPr="00D65870">
        <w:rPr>
          <w:rStyle w:val="ac"/>
          <w:rFonts w:ascii="Narkisim" w:hAnsi="Narkisim"/>
          <w:rtl/>
        </w:rPr>
        <w:footnoteReference w:id="6811"/>
      </w:r>
      <w:r w:rsidRPr="00D65870">
        <w:rPr>
          <w:rFonts w:ascii="Narkisim" w:hAnsi="Narkisim"/>
          <w:rtl/>
        </w:rPr>
        <w:t xml:space="preserve"> נח' התנאים בחקירה (הו' לעיל יז: וכ"מ) בגדר האיסור יבמה לשוק, אי הוה איסור חדש, או דהוה קלישות דאישות המת.</w:t>
      </w:r>
    </w:p>
    <w:p w14:paraId="37F811DB" w14:textId="77777777" w:rsidR="006C4368" w:rsidRPr="00D65870" w:rsidRDefault="006C4368" w:rsidP="006C4368">
      <w:pPr>
        <w:bidi/>
        <w:rPr>
          <w:rFonts w:ascii="Narkisim" w:hAnsi="Narkisim" w:cs="Narkisim"/>
        </w:rPr>
      </w:pPr>
      <w:r w:rsidRPr="00D65870">
        <w:rPr>
          <w:rFonts w:ascii="Narkisim" w:hAnsi="Narkisim" w:cs="Narkisim"/>
          <w:u w:val="single"/>
          <w:rtl/>
        </w:rPr>
        <w:t>שם. כגמר דין דמיא</w:t>
      </w:r>
      <w:r w:rsidRPr="00D65870">
        <w:rPr>
          <w:rFonts w:ascii="Narkisim" w:hAnsi="Narkisim" w:cs="Narkisim"/>
          <w:rtl/>
        </w:rPr>
        <w:t>. ה</w:t>
      </w:r>
      <w:r w:rsidRPr="00D65870">
        <w:rPr>
          <w:rFonts w:ascii="Narkisim" w:hAnsi="Narkisim" w:cs="Narkisim"/>
          <w:b/>
          <w:bCs/>
          <w:rtl/>
        </w:rPr>
        <w:t>אחרונים</w:t>
      </w:r>
      <w:r w:rsidRPr="00D65870">
        <w:rPr>
          <w:rFonts w:ascii="Narkisim" w:hAnsi="Narkisim" w:cs="Narkisim"/>
          <w:rtl/>
        </w:rPr>
        <w:t xml:space="preserve"> </w:t>
      </w:r>
      <w:r w:rsidRPr="00D65870">
        <w:rPr>
          <w:rFonts w:ascii="Narkisim" w:hAnsi="Narkisim" w:cs="Narkisim"/>
          <w:szCs w:val="20"/>
          <w:rtl/>
        </w:rPr>
        <w:t>(ע' אבי עזרי סנהדרין ה ה)</w:t>
      </w:r>
      <w:r w:rsidRPr="00D65870">
        <w:rPr>
          <w:rFonts w:ascii="Narkisim" w:hAnsi="Narkisim" w:cs="Narkisim"/>
          <w:rtl/>
        </w:rPr>
        <w:t xml:space="preserve"> הביאו מכאן דמהני גמר דין בלילה, אף היכא דלא התחיל את הדין ביום. [וכן נקט הקצות, הו' בסמוך]. והק' דב</w:t>
      </w:r>
      <w:r w:rsidRPr="00D65870">
        <w:rPr>
          <w:rFonts w:ascii="Narkisim" w:hAnsi="Narkisim" w:cs="Narkisim"/>
          <w:b/>
          <w:bCs/>
          <w:rtl/>
        </w:rPr>
        <w:t>חי' הר"ן</w:t>
      </w:r>
      <w:r w:rsidRPr="00D65870">
        <w:rPr>
          <w:rFonts w:ascii="Narkisim" w:hAnsi="Narkisim" w:cs="Narkisim"/>
          <w:rtl/>
        </w:rPr>
        <w:t xml:space="preserve"> (ר"ה כה:) כת' דהטעם דמהני גמר דין בלילה, דכיון דהתחיל ביום, שדינן את הגמר דין בתר תחילת הדין, וכאילו נגמר ביום דמי. ולטעם זה כ"ז היכא דהתחילו ביום.</w:t>
      </w:r>
    </w:p>
    <w:p w14:paraId="42D1C597" w14:textId="77777777" w:rsidR="006C4368" w:rsidRPr="00D65870" w:rsidRDefault="006C4368" w:rsidP="006C4368">
      <w:pPr>
        <w:bidi/>
        <w:rPr>
          <w:rFonts w:ascii="Narkisim" w:hAnsi="Narkisim" w:cs="Narkisim"/>
        </w:rPr>
      </w:pPr>
      <w:r w:rsidRPr="00D65870">
        <w:rPr>
          <w:rFonts w:ascii="Narkisim" w:hAnsi="Narkisim" w:cs="Narkisim"/>
          <w:u w:val="single"/>
          <w:rtl/>
        </w:rPr>
        <w:t>תוד"ה מר</w:t>
      </w:r>
      <w:r w:rsidRPr="00D65870">
        <w:rPr>
          <w:rFonts w:ascii="Narkisim" w:hAnsi="Narkisim" w:cs="Narkisim"/>
          <w:rtl/>
        </w:rPr>
        <w:t>. לכך פסולה, ובירושלמי וכו' מנין שאם טעו ודנו בלילה שדיניהם דין וכו'. [תוס' הביאו דבפשוטו כ"ה הגירסא בירושלמי דהוה דין בדיעבד. ותוס' הגיהו</w:t>
      </w:r>
      <w:r w:rsidRPr="00D65870">
        <w:rPr>
          <w:rStyle w:val="ac"/>
          <w:rFonts w:ascii="Narkisim" w:hAnsi="Narkisim" w:cs="Narkisim"/>
          <w:rtl/>
        </w:rPr>
        <w:footnoteReference w:id="6812"/>
      </w:r>
      <w:r w:rsidRPr="00D65870">
        <w:rPr>
          <w:rFonts w:ascii="Narkisim" w:hAnsi="Narkisim" w:cs="Narkisim"/>
          <w:rtl/>
        </w:rPr>
        <w:t xml:space="preserve"> דהיינו להו"א, אבל למסקנא בלילה אין דיניהם דין].</w:t>
      </w:r>
    </w:p>
    <w:p w14:paraId="04961331" w14:textId="77777777" w:rsidR="006C4368" w:rsidRPr="00D65870" w:rsidRDefault="006C4368" w:rsidP="006C4368">
      <w:pPr>
        <w:pStyle w:val="a7"/>
        <w:bidi/>
        <w:rPr>
          <w:rFonts w:ascii="Narkisim" w:hAnsi="Narkisim"/>
        </w:rPr>
      </w:pPr>
      <w:r w:rsidRPr="00D65870">
        <w:rPr>
          <w:rFonts w:ascii="Narkisim" w:hAnsi="Narkisim"/>
          <w:rtl/>
        </w:rPr>
        <w:t>וכן ה</w:t>
      </w:r>
      <w:r w:rsidRPr="00D65870">
        <w:rPr>
          <w:rFonts w:ascii="Narkisim" w:hAnsi="Narkisim"/>
          <w:b/>
          <w:bCs/>
          <w:rtl/>
        </w:rPr>
        <w:t>רא"ש</w:t>
      </w:r>
      <w:r w:rsidRPr="00D65870">
        <w:rPr>
          <w:rFonts w:ascii="Narkisim" w:hAnsi="Narkisim"/>
          <w:rtl/>
        </w:rPr>
        <w:t xml:space="preserve"> (י) כת' דמכאן משמע שאם דנו תחילת הדין בלילה דהדין בטל</w:t>
      </w:r>
      <w:r w:rsidRPr="00D65870">
        <w:rPr>
          <w:rStyle w:val="ac"/>
          <w:rFonts w:ascii="Narkisim" w:hAnsi="Narkisim"/>
          <w:rtl/>
        </w:rPr>
        <w:footnoteReference w:id="6813"/>
      </w:r>
      <w:r w:rsidRPr="00D65870">
        <w:rPr>
          <w:rFonts w:ascii="Narkisim" w:hAnsi="Narkisim"/>
          <w:rtl/>
        </w:rPr>
        <w:t xml:space="preserve">. אבל דעת </w:t>
      </w:r>
      <w:r w:rsidRPr="00D65870">
        <w:rPr>
          <w:rFonts w:ascii="Narkisim" w:hAnsi="Narkisim"/>
          <w:b/>
          <w:bCs/>
          <w:rtl/>
        </w:rPr>
        <w:t>רשב"ם</w:t>
      </w:r>
      <w:r w:rsidRPr="00D65870">
        <w:rPr>
          <w:rFonts w:ascii="Narkisim" w:hAnsi="Narkisim"/>
          <w:rtl/>
        </w:rPr>
        <w:t xml:space="preserve"> (קיד. סוד"ה אפילו) דבדיעבד מהני קבלת עדות בלילה. </w:t>
      </w:r>
      <w:r w:rsidRPr="00D65870">
        <w:rPr>
          <w:rFonts w:ascii="Narkisim" w:hAnsi="Narkisim"/>
          <w:szCs w:val="20"/>
          <w:rtl/>
        </w:rPr>
        <w:t>והו' ב</w:t>
      </w:r>
      <w:r w:rsidRPr="00D65870">
        <w:rPr>
          <w:rFonts w:ascii="Narkisim" w:hAnsi="Narkisim"/>
          <w:b/>
          <w:bCs/>
          <w:szCs w:val="20"/>
          <w:rtl/>
        </w:rPr>
        <w:t>רמ"א</w:t>
      </w:r>
      <w:r w:rsidRPr="00D65870">
        <w:rPr>
          <w:rFonts w:ascii="Narkisim" w:hAnsi="Narkisim"/>
          <w:szCs w:val="20"/>
          <w:rtl/>
        </w:rPr>
        <w:t xml:space="preserve"> (חו"מ ה ב), והביאו דמקורו מירושלמי זו. וה</w:t>
      </w:r>
      <w:r w:rsidRPr="00D65870">
        <w:rPr>
          <w:rFonts w:ascii="Narkisim" w:hAnsi="Narkisim"/>
          <w:b/>
          <w:bCs/>
          <w:szCs w:val="20"/>
          <w:rtl/>
        </w:rPr>
        <w:t>רמב"ן</w:t>
      </w:r>
      <w:r w:rsidRPr="00D65870">
        <w:rPr>
          <w:rFonts w:ascii="Narkisim" w:hAnsi="Narkisim"/>
          <w:szCs w:val="20"/>
          <w:rtl/>
        </w:rPr>
        <w:t xml:space="preserve"> (ב"ב קיג:) כת' דמ"מ גמ' שלנו פליג</w:t>
      </w:r>
      <w:r w:rsidRPr="00D65870">
        <w:rPr>
          <w:rFonts w:ascii="Narkisim" w:hAnsi="Narkisim"/>
          <w:rtl/>
        </w:rPr>
        <w:t>.</w:t>
      </w:r>
    </w:p>
    <w:p w14:paraId="0C6AF068"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יש"ש</w:t>
      </w:r>
      <w:r w:rsidRPr="00D65870">
        <w:rPr>
          <w:rFonts w:ascii="Narkisim" w:hAnsi="Narkisim"/>
          <w:rtl/>
        </w:rPr>
        <w:t xml:space="preserve"> (כ, הו' בק"נ כ) דחה דאף דגבי דין אינו מעכב, שאני חליצה דכתיב ככה לעיכובא.</w:t>
      </w:r>
    </w:p>
    <w:p w14:paraId="7D9582B2" w14:textId="77777777" w:rsidR="006C4368" w:rsidRPr="00D65870" w:rsidRDefault="006C4368" w:rsidP="006C4368">
      <w:pPr>
        <w:pStyle w:val="aa"/>
        <w:bidi/>
        <w:rPr>
          <w:rFonts w:ascii="Narkisim" w:hAnsi="Narkisim"/>
        </w:rPr>
      </w:pPr>
      <w:r w:rsidRPr="00D65870">
        <w:rPr>
          <w:rFonts w:ascii="Narkisim" w:hAnsi="Narkisim"/>
          <w:u w:val="single"/>
          <w:rtl/>
        </w:rPr>
        <w:t>בא"ד אלא גרסינן איפכא מנין שטעו וכו' אית קרא לשעבר</w:t>
      </w:r>
      <w:r w:rsidRPr="00D65870">
        <w:rPr>
          <w:rStyle w:val="ac"/>
          <w:rFonts w:ascii="Narkisim" w:hAnsi="Narkisim"/>
          <w:u w:val="single"/>
          <w:rtl/>
        </w:rPr>
        <w:footnoteReference w:id="6814"/>
      </w:r>
      <w:r w:rsidRPr="00D65870">
        <w:rPr>
          <w:rFonts w:ascii="Narkisim" w:hAnsi="Narkisim"/>
          <w:u w:val="single"/>
          <w:rtl/>
        </w:rPr>
        <w:t xml:space="preserve"> וכו' אלא מנין שגומרין בלילה וכו'</w:t>
      </w:r>
      <w:r w:rsidRPr="00D65870">
        <w:rPr>
          <w:rFonts w:ascii="Narkisim" w:hAnsi="Narkisim"/>
          <w:rtl/>
        </w:rPr>
        <w:t>. ה</w:t>
      </w:r>
      <w:r w:rsidRPr="00D65870">
        <w:rPr>
          <w:rFonts w:ascii="Narkisim" w:hAnsi="Narkisim"/>
          <w:b/>
          <w:bCs/>
          <w:rtl/>
        </w:rPr>
        <w:t>קצות</w:t>
      </w:r>
      <w:r w:rsidRPr="00D65870">
        <w:rPr>
          <w:rFonts w:ascii="Narkisim" w:hAnsi="Narkisim"/>
          <w:rtl/>
        </w:rPr>
        <w:t xml:space="preserve"> (ה ב) הביא סיום דברי ה</w:t>
      </w:r>
      <w:r w:rsidRPr="00D65870">
        <w:rPr>
          <w:rFonts w:ascii="Narkisim" w:hAnsi="Narkisim"/>
          <w:b/>
          <w:bCs/>
          <w:rtl/>
        </w:rPr>
        <w:t>ירושלמי</w:t>
      </w:r>
      <w:r w:rsidRPr="00D65870">
        <w:rPr>
          <w:rFonts w:ascii="Narkisim" w:hAnsi="Narkisim"/>
          <w:rtl/>
        </w:rPr>
        <w:t xml:space="preserve"> 'הדא אמירה' [פי' הרא"ש כלומר זה יכול להיות</w:t>
      </w:r>
      <w:r w:rsidRPr="00D65870">
        <w:rPr>
          <w:rStyle w:val="ac"/>
          <w:rFonts w:ascii="Narkisim" w:hAnsi="Narkisim"/>
          <w:rtl/>
        </w:rPr>
        <w:footnoteReference w:id="6815"/>
      </w:r>
      <w:r w:rsidRPr="00D65870">
        <w:rPr>
          <w:rFonts w:ascii="Narkisim" w:hAnsi="Narkisim"/>
          <w:rtl/>
        </w:rPr>
        <w:t>]. ולדברי התוס' צ"ב, דהירושלמי לא חידש שום דין, אלא הביא מקור למשנה מהפסוק</w:t>
      </w:r>
      <w:r w:rsidRPr="00D65870">
        <w:rPr>
          <w:rStyle w:val="ac"/>
          <w:rFonts w:ascii="Narkisim" w:hAnsi="Narkisim"/>
          <w:rtl/>
        </w:rPr>
        <w:footnoteReference w:id="6816"/>
      </w:r>
      <w:r w:rsidRPr="00D65870">
        <w:rPr>
          <w:rFonts w:ascii="Narkisim" w:hAnsi="Narkisim"/>
          <w:rtl/>
        </w:rPr>
        <w:t>.</w:t>
      </w:r>
    </w:p>
    <w:p w14:paraId="6BC3DA5A" w14:textId="77777777" w:rsidR="006C4368" w:rsidRPr="00D65870" w:rsidRDefault="006C4368" w:rsidP="006C4368">
      <w:pPr>
        <w:pStyle w:val="a8"/>
        <w:bidi/>
        <w:rPr>
          <w:rFonts w:ascii="Narkisim" w:hAnsi="Narkisim"/>
        </w:rPr>
      </w:pPr>
      <w:r w:rsidRPr="00D65870">
        <w:rPr>
          <w:rFonts w:ascii="Narkisim" w:hAnsi="Narkisim"/>
          <w:rtl/>
        </w:rPr>
        <w:t>והקצות חידש [לדעת הרמ"א], דאף דלמסקנא ילפי' מהך קרא דמהני גמר דין בלילה, מ"מ אמר הדין אמירא, פי' זאת אומרת. מדכשר גמר דין בלילה, זאת אומרת דכשר בדיעבד. ומש"ה שפיר ילפי' דאם עברו ודנו משא ומתן בלילה דיניהן דין דהא הגמר דין בהכשר. [והמשא ומתן אינו פוסל]. אבל אם עברו וקבלו עדות בלילה ל"מ, דהוה כאילו לא קיבלו את העדים. וכן ל"מ לחליצה.</w:t>
      </w:r>
    </w:p>
    <w:p w14:paraId="539C99EB" w14:textId="77777777" w:rsidR="006C4368" w:rsidRPr="00D65870" w:rsidRDefault="006C4368" w:rsidP="006C4368">
      <w:pPr>
        <w:pStyle w:val="aa"/>
        <w:bidi/>
        <w:rPr>
          <w:rFonts w:ascii="Narkisim" w:hAnsi="Narkisim"/>
        </w:rPr>
      </w:pPr>
      <w:r w:rsidRPr="00D65870">
        <w:rPr>
          <w:rFonts w:ascii="Narkisim" w:hAnsi="Narkisim"/>
          <w:u w:val="single"/>
          <w:rtl/>
        </w:rPr>
        <w:t>תוד"ה אי</w:t>
      </w:r>
      <w:r w:rsidRPr="00D65870">
        <w:rPr>
          <w:rFonts w:ascii="Narkisim" w:hAnsi="Narkisim"/>
          <w:rtl/>
        </w:rPr>
        <w:t>. המ"ל אימור דאמרי רבנן בדיעבד וכו'. וה</w:t>
      </w:r>
      <w:r w:rsidRPr="00D65870">
        <w:rPr>
          <w:rFonts w:ascii="Narkisim" w:hAnsi="Narkisim"/>
          <w:b/>
          <w:bCs/>
          <w:rtl/>
        </w:rPr>
        <w:t>רשב"א</w:t>
      </w:r>
      <w:r w:rsidRPr="00D65870">
        <w:rPr>
          <w:rFonts w:ascii="Narkisim" w:hAnsi="Narkisim"/>
          <w:rtl/>
        </w:rPr>
        <w:t xml:space="preserve"> ו</w:t>
      </w:r>
      <w:r w:rsidRPr="00D65870">
        <w:rPr>
          <w:rFonts w:ascii="Narkisim" w:hAnsi="Narkisim"/>
          <w:b/>
          <w:bCs/>
          <w:rtl/>
        </w:rPr>
        <w:t>ריטב"א</w:t>
      </w:r>
      <w:r w:rsidRPr="00D65870">
        <w:rPr>
          <w:rFonts w:ascii="Narkisim" w:hAnsi="Narkisim"/>
          <w:rtl/>
        </w:rPr>
        <w:t xml:space="preserve"> הביאו דמבואר בסוגיין דאף לכתחילה מותר במוק [ע' מש"כ לעיל קב:] ובלילה.</w:t>
      </w:r>
    </w:p>
    <w:p w14:paraId="39C9A383" w14:textId="77777777" w:rsidR="006C4368" w:rsidRPr="00D65870" w:rsidRDefault="006C4368" w:rsidP="006C4368">
      <w:pPr>
        <w:pStyle w:val="a8"/>
        <w:bidi/>
        <w:rPr>
          <w:rFonts w:ascii="Narkisim" w:hAnsi="Narkisim"/>
        </w:rPr>
      </w:pPr>
      <w:r w:rsidRPr="00D65870">
        <w:rPr>
          <w:rFonts w:ascii="Narkisim" w:hAnsi="Narkisim"/>
          <w:rtl/>
        </w:rPr>
        <w:t xml:space="preserve">ויש שפי' דהכא היה שעת הדחק וכבדיעבד. אך א"כ אמאי תמה שמואל עליו, הא קי"ל דבשעת הדחק עבדינן כיחידאה. ע' רמ"א (חו"מ כה ב) וע"ע </w:t>
      </w:r>
      <w:r w:rsidRPr="00D65870">
        <w:rPr>
          <w:rFonts w:ascii="Narkisim" w:eastAsia="Narkisim" w:hAnsi="Narkisim"/>
          <w:b/>
          <w:bCs/>
          <w:rtl/>
        </w:rPr>
        <w:t>ש"ך</w:t>
      </w:r>
      <w:r w:rsidRPr="00D65870">
        <w:rPr>
          <w:rFonts w:ascii="Narkisim" w:eastAsia="Narkisim" w:hAnsi="Narkisim"/>
          <w:rtl/>
        </w:rPr>
        <w:t xml:space="preserve"> (הנהגת הוראות באיסור והיתר יו"ד ס"ס רמב).</w:t>
      </w:r>
    </w:p>
    <w:p w14:paraId="0792BBF3" w14:textId="77777777" w:rsidR="006C4368" w:rsidRPr="00D65870" w:rsidRDefault="006C4368" w:rsidP="006C4368">
      <w:pPr>
        <w:pStyle w:val="aa"/>
        <w:bidi/>
        <w:rPr>
          <w:rFonts w:ascii="Narkisim" w:hAnsi="Narkisim"/>
        </w:rPr>
      </w:pPr>
      <w:r w:rsidRPr="00D65870">
        <w:rPr>
          <w:rFonts w:ascii="Narkisim" w:hAnsi="Narkisim"/>
          <w:u w:val="single"/>
          <w:rtl/>
        </w:rPr>
        <w:t>ואב"א כולהו נמי יחידאה קתני להו, דתניא וכו' ר' ישמעאל בן אלישע שחלץ במוק ביחידי ובלילה</w:t>
      </w:r>
      <w:r w:rsidRPr="00D65870">
        <w:rPr>
          <w:rFonts w:ascii="Narkisim" w:hAnsi="Narkisim"/>
          <w:rtl/>
        </w:rPr>
        <w:t>. לכאורה צ"ב מה הוסיף לישנא בתרא דמצאנו ג"כ יחידאה בכולהו. הא סוף סוף מוק ויחידי הוה כחכמים דמתני'.</w:t>
      </w:r>
    </w:p>
    <w:p w14:paraId="23410736" w14:textId="77777777" w:rsidR="006C4368" w:rsidRPr="00D65870" w:rsidRDefault="006C4368" w:rsidP="006C4368">
      <w:pPr>
        <w:pStyle w:val="a8"/>
        <w:bidi/>
        <w:rPr>
          <w:rFonts w:ascii="Narkisim" w:hAnsi="Narkisim"/>
        </w:rPr>
      </w:pPr>
      <w:r w:rsidRPr="00D65870">
        <w:rPr>
          <w:rFonts w:ascii="Narkisim" w:hAnsi="Narkisim"/>
          <w:rtl/>
        </w:rPr>
        <w:t>ולדברי התוס' י"ל דלהך לישנא הביאו דר' ישמעאל עשה כן לכתחילה. ואילו במשנה הוה בדיעבד.</w:t>
      </w:r>
    </w:p>
    <w:p w14:paraId="10BE635C"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רי"ף</w:t>
      </w:r>
      <w:r w:rsidRPr="00D65870">
        <w:rPr>
          <w:rFonts w:ascii="Narkisim" w:hAnsi="Narkisim"/>
          <w:rtl/>
        </w:rPr>
        <w:t xml:space="preserve"> וה</w:t>
      </w:r>
      <w:r w:rsidRPr="00D65870">
        <w:rPr>
          <w:rFonts w:ascii="Narkisim" w:hAnsi="Narkisim"/>
          <w:b/>
          <w:bCs/>
          <w:rtl/>
        </w:rPr>
        <w:t>רא"ש</w:t>
      </w:r>
      <w:r w:rsidRPr="00D65870">
        <w:rPr>
          <w:rFonts w:ascii="Narkisim" w:hAnsi="Narkisim"/>
          <w:rtl/>
        </w:rPr>
        <w:t xml:space="preserve"> כת' למימרא דאין הלכה כוותיה. וכ"פ ה</w:t>
      </w:r>
      <w:r w:rsidRPr="00D65870">
        <w:rPr>
          <w:rFonts w:ascii="Narkisim" w:hAnsi="Narkisim"/>
          <w:b/>
          <w:bCs/>
          <w:rtl/>
        </w:rPr>
        <w:t>רמב"ם</w:t>
      </w:r>
      <w:r w:rsidRPr="00D65870">
        <w:rPr>
          <w:rFonts w:ascii="Narkisim" w:hAnsi="Narkisim"/>
          <w:rtl/>
        </w:rPr>
        <w:t xml:space="preserve"> (ד טז) דלא מהני מוק או לילה</w:t>
      </w:r>
      <w:r w:rsidRPr="00D65870">
        <w:rPr>
          <w:rStyle w:val="ac"/>
          <w:rFonts w:ascii="Narkisim" w:hAnsi="Narkisim"/>
          <w:rtl/>
        </w:rPr>
        <w:footnoteReference w:id="6817"/>
      </w:r>
      <w:r w:rsidRPr="00D65870">
        <w:rPr>
          <w:rFonts w:ascii="Narkisim" w:hAnsi="Narkisim"/>
          <w:rtl/>
        </w:rPr>
        <w:t>. וה</w:t>
      </w:r>
      <w:r w:rsidRPr="00D65870">
        <w:rPr>
          <w:rFonts w:ascii="Narkisim" w:hAnsi="Narkisim"/>
          <w:b/>
          <w:bCs/>
          <w:rtl/>
        </w:rPr>
        <w:t>ב"י</w:t>
      </w:r>
      <w:r w:rsidRPr="00D65870">
        <w:rPr>
          <w:rFonts w:ascii="Narkisim" w:hAnsi="Narkisim"/>
          <w:rtl/>
        </w:rPr>
        <w:t xml:space="preserve"> (קסט ב,ו) ביאר דכולהו יחידאה [וכלישנא בתרא]. ולפ"ז כוונת שמואל לחלוק עליו בכולהו. [אך צ"ב האיך למדו כן מהך ברייתא דר' ישמעאל</w:t>
      </w:r>
      <w:r w:rsidRPr="00D65870">
        <w:rPr>
          <w:rStyle w:val="ac"/>
          <w:rFonts w:ascii="Narkisim" w:hAnsi="Narkisim"/>
          <w:rtl/>
        </w:rPr>
        <w:footnoteReference w:id="6818"/>
      </w:r>
      <w:r w:rsidRPr="00D65870">
        <w:rPr>
          <w:rFonts w:ascii="Narkisim" w:hAnsi="Narkisim"/>
          <w:rtl/>
        </w:rPr>
        <w:t>].</w:t>
      </w:r>
    </w:p>
    <w:p w14:paraId="72F6717F" w14:textId="77777777" w:rsidR="006C4368" w:rsidRPr="00D65870" w:rsidRDefault="006C4368" w:rsidP="006C4368">
      <w:pPr>
        <w:pStyle w:val="aa"/>
        <w:bidi/>
        <w:rPr>
          <w:rFonts w:ascii="Narkisim" w:hAnsi="Narkisim"/>
        </w:rPr>
      </w:pPr>
      <w:r w:rsidRPr="00D65870">
        <w:rPr>
          <w:rFonts w:ascii="Narkisim" w:hAnsi="Narkisim"/>
          <w:u w:val="single"/>
          <w:rtl/>
        </w:rPr>
        <w:t>תוד"ה אמר</w:t>
      </w:r>
      <w:r w:rsidRPr="00D65870">
        <w:rPr>
          <w:rFonts w:ascii="Narkisim" w:hAnsi="Narkisim"/>
          <w:rtl/>
        </w:rPr>
        <w:t>. ולמאי דפי' ר"י דתרי ר' ישמעאל בן אלישע הוה וכו'. וב</w:t>
      </w:r>
      <w:r w:rsidRPr="00D65870">
        <w:rPr>
          <w:rFonts w:ascii="Narkisim" w:hAnsi="Narkisim"/>
          <w:b/>
          <w:bCs/>
          <w:rtl/>
        </w:rPr>
        <w:t>תוס' ר"י החסיד</w:t>
      </w:r>
      <w:r w:rsidRPr="00D65870">
        <w:rPr>
          <w:rFonts w:ascii="Narkisim" w:hAnsi="Narkisim"/>
          <w:rtl/>
        </w:rPr>
        <w:t xml:space="preserve"> (ברכות נז:) האריך בזה, דר' ישמעאל דכל הש"ס הוא מהולכי אושא, חבירו של ר' עקיבא. ואין זה ר' ישמעאל כהן גדול שנהרג עם רשב"ג</w:t>
      </w:r>
      <w:r w:rsidRPr="00D65870">
        <w:rPr>
          <w:rStyle w:val="ac"/>
          <w:rFonts w:ascii="Narkisim" w:hAnsi="Narkisim"/>
          <w:rtl/>
        </w:rPr>
        <w:footnoteReference w:id="6819"/>
      </w:r>
      <w:r w:rsidRPr="00D65870">
        <w:rPr>
          <w:rFonts w:ascii="Narkisim" w:hAnsi="Narkisim"/>
          <w:rtl/>
        </w:rPr>
        <w:t xml:space="preserve"> בפני הבית, קודם שהלכו לאושא. ור' ישמעאל בן אלישע השני הוא היה התינוק שפדאו ר' יהושע</w:t>
      </w:r>
      <w:r w:rsidRPr="00D65870">
        <w:rPr>
          <w:rStyle w:val="ac"/>
          <w:rFonts w:ascii="Narkisim" w:hAnsi="Narkisim"/>
          <w:rtl/>
        </w:rPr>
        <w:footnoteReference w:id="6820"/>
      </w:r>
      <w:r w:rsidRPr="00D65870">
        <w:rPr>
          <w:rFonts w:ascii="Narkisim" w:hAnsi="Narkisim"/>
          <w:rtl/>
        </w:rPr>
        <w:t xml:space="preserve"> </w:t>
      </w:r>
      <w:r w:rsidRPr="00D65870">
        <w:rPr>
          <w:rFonts w:ascii="Narkisim" w:hAnsi="Narkisim"/>
          <w:rtl/>
        </w:rPr>
        <w:lastRenderedPageBreak/>
        <w:t>(גיטין נח.) ואמר שמובטח בו שהוא מורה הוראה בישראל</w:t>
      </w:r>
      <w:r w:rsidRPr="00D65870">
        <w:rPr>
          <w:rStyle w:val="ac"/>
          <w:rFonts w:ascii="Narkisim" w:hAnsi="Narkisim"/>
          <w:rtl/>
        </w:rPr>
        <w:footnoteReference w:id="6821"/>
      </w:r>
      <w:r w:rsidRPr="00D65870">
        <w:rPr>
          <w:rFonts w:ascii="Narkisim" w:hAnsi="Narkisim"/>
          <w:rtl/>
        </w:rPr>
        <w:t>. וכת' דנראה שהוא בן בנו של ר' ישמעאל ב"א הראשון, ונקראו הוא ואביו ע"ש זקניהם.</w:t>
      </w:r>
    </w:p>
    <w:p w14:paraId="736D145D" w14:textId="77777777" w:rsidR="006C4368" w:rsidRPr="00D65870" w:rsidRDefault="006C4368" w:rsidP="006C4368">
      <w:pPr>
        <w:bidi/>
        <w:rPr>
          <w:rFonts w:ascii="Narkisim" w:hAnsi="Narkisim" w:cs="Narkisim"/>
        </w:rPr>
      </w:pPr>
      <w:r w:rsidRPr="00D65870">
        <w:rPr>
          <w:rFonts w:ascii="Narkisim" w:hAnsi="Narkisim" w:cs="Narkisim"/>
          <w:u w:val="single"/>
          <w:rtl/>
        </w:rPr>
        <w:t>מה להלן בימין אף כאן בימין</w:t>
      </w:r>
      <w:r w:rsidRPr="00D65870">
        <w:rPr>
          <w:rFonts w:ascii="Narkisim" w:hAnsi="Narkisim" w:cs="Narkisim"/>
          <w:rtl/>
        </w:rPr>
        <w:t>. ה</w:t>
      </w:r>
      <w:r w:rsidRPr="00D65870">
        <w:rPr>
          <w:rFonts w:ascii="Narkisim" w:hAnsi="Narkisim" w:cs="Narkisim"/>
          <w:b/>
          <w:bCs/>
          <w:rtl/>
        </w:rPr>
        <w:t>רמב"ן</w:t>
      </w:r>
      <w:r w:rsidRPr="00D65870">
        <w:rPr>
          <w:rFonts w:ascii="Narkisim" w:hAnsi="Narkisim" w:cs="Narkisim"/>
          <w:rtl/>
        </w:rPr>
        <w:t xml:space="preserve"> נסתפק האיטר [ברגלו</w:t>
      </w:r>
      <w:r w:rsidRPr="00D65870">
        <w:rPr>
          <w:rStyle w:val="ac"/>
          <w:rFonts w:ascii="Narkisim" w:hAnsi="Narkisim" w:cs="Narkisim"/>
          <w:rtl/>
        </w:rPr>
        <w:footnoteReference w:id="6822"/>
      </w:r>
      <w:r w:rsidRPr="00D65870">
        <w:rPr>
          <w:rFonts w:ascii="Narkisim" w:hAnsi="Narkisim" w:cs="Narkisim"/>
          <w:rtl/>
        </w:rPr>
        <w:t>] במה חולץ</w:t>
      </w:r>
      <w:r w:rsidRPr="00D65870">
        <w:rPr>
          <w:rStyle w:val="ac"/>
          <w:rFonts w:ascii="Narkisim" w:hAnsi="Narkisim" w:cs="Narkisim"/>
          <w:rtl/>
        </w:rPr>
        <w:footnoteReference w:id="6823"/>
      </w:r>
      <w:r w:rsidRPr="00D65870">
        <w:rPr>
          <w:rFonts w:ascii="Narkisim" w:hAnsi="Narkisim" w:cs="Narkisim"/>
          <w:rtl/>
        </w:rPr>
        <w:t>, אי בשמאלו שהיא ימין כל אדם, או בימינו שהיא שמאל כל אדם</w:t>
      </w:r>
      <w:r w:rsidRPr="00D65870">
        <w:rPr>
          <w:rStyle w:val="ac"/>
          <w:rFonts w:ascii="Narkisim" w:hAnsi="Narkisim" w:cs="Narkisim"/>
          <w:rtl/>
        </w:rPr>
        <w:footnoteReference w:id="6824"/>
      </w:r>
      <w:r w:rsidRPr="00D65870">
        <w:rPr>
          <w:rFonts w:ascii="Narkisim" w:hAnsi="Narkisim" w:cs="Narkisim"/>
          <w:rtl/>
        </w:rPr>
        <w:t>, או אינו חולץ כלל</w:t>
      </w:r>
      <w:r w:rsidRPr="00D65870">
        <w:rPr>
          <w:rStyle w:val="ac"/>
          <w:rFonts w:ascii="Narkisim" w:hAnsi="Narkisim" w:cs="Narkisim"/>
          <w:rtl/>
        </w:rPr>
        <w:footnoteReference w:id="6825"/>
      </w:r>
      <w:r w:rsidRPr="00D65870">
        <w:rPr>
          <w:rFonts w:ascii="Narkisim" w:hAnsi="Narkisim" w:cs="Narkisim"/>
          <w:rtl/>
        </w:rPr>
        <w:t>. [והו' מח' בטור</w:t>
      </w:r>
      <w:r w:rsidRPr="00D65870">
        <w:rPr>
          <w:rStyle w:val="ac"/>
          <w:rFonts w:ascii="Narkisim" w:hAnsi="Narkisim" w:cs="Narkisim"/>
          <w:rtl/>
        </w:rPr>
        <w:footnoteReference w:id="6826"/>
      </w:r>
      <w:r w:rsidRPr="00D65870">
        <w:rPr>
          <w:rFonts w:ascii="Narkisim" w:hAnsi="Narkisim" w:cs="Narkisim"/>
          <w:rtl/>
        </w:rPr>
        <w:t xml:space="preserve"> ושו"ע קסט כה].</w:t>
      </w:r>
    </w:p>
    <w:p w14:paraId="3AB31E1C" w14:textId="77777777" w:rsidR="006C4368" w:rsidRPr="00D65870" w:rsidRDefault="006C4368" w:rsidP="006C4368">
      <w:pPr>
        <w:pStyle w:val="a8"/>
        <w:bidi/>
        <w:rPr>
          <w:rFonts w:ascii="Narkisim" w:hAnsi="Narkisim"/>
        </w:rPr>
      </w:pPr>
      <w:r w:rsidRPr="00D65870">
        <w:rPr>
          <w:rFonts w:ascii="Narkisim" w:hAnsi="Narkisim"/>
          <w:rtl/>
        </w:rPr>
        <w:t>והביא דלענין תפילין איתא (מנחות לז.) שאיטר מניח בשמאלו, שהיא ימין כל אדם [דבתר דידיה אזלינן</w:t>
      </w:r>
      <w:r w:rsidRPr="00D65870">
        <w:rPr>
          <w:rStyle w:val="ac"/>
          <w:rFonts w:ascii="Narkisim" w:hAnsi="Narkisim"/>
          <w:rtl/>
        </w:rPr>
        <w:footnoteReference w:id="6827"/>
      </w:r>
      <w:r w:rsidRPr="00D65870">
        <w:rPr>
          <w:rFonts w:ascii="Narkisim" w:hAnsi="Narkisim"/>
          <w:rtl/>
        </w:rPr>
        <w:t>]. ואילו שולט בשתי ידיו מניח תפילין בשמאלו שהיא שמאל כל אדם</w:t>
      </w:r>
      <w:r w:rsidRPr="00D65870">
        <w:rPr>
          <w:rStyle w:val="ac"/>
          <w:rFonts w:ascii="Narkisim" w:hAnsi="Narkisim"/>
          <w:rtl/>
        </w:rPr>
        <w:footnoteReference w:id="6828"/>
      </w:r>
      <w:r w:rsidRPr="00D65870">
        <w:rPr>
          <w:rFonts w:ascii="Narkisim" w:hAnsi="Narkisim"/>
          <w:rtl/>
        </w:rPr>
        <w:t>.</w:t>
      </w:r>
    </w:p>
    <w:p w14:paraId="0496E86D"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הביא דגבי עבודה דכהן אי' (בכורות מה:) דאיטר פסול. [והשולט בב' ידיו רבי פוסל וחכמים מכשירין]. והביא ד</w:t>
      </w:r>
      <w:r w:rsidRPr="00D65870">
        <w:rPr>
          <w:rFonts w:ascii="Narkisim" w:hAnsi="Narkisim"/>
          <w:b/>
          <w:bCs/>
          <w:rtl/>
        </w:rPr>
        <w:t>רש"י</w:t>
      </w:r>
      <w:r w:rsidRPr="00D65870">
        <w:rPr>
          <w:rFonts w:ascii="Narkisim" w:hAnsi="Narkisim"/>
          <w:rtl/>
        </w:rPr>
        <w:t xml:space="preserve"> פי' הטעם דבעינן עבודה בימין, והאי לית ליה ימין</w:t>
      </w:r>
      <w:r w:rsidRPr="00D65870">
        <w:rPr>
          <w:rStyle w:val="ac"/>
          <w:rFonts w:ascii="Narkisim" w:hAnsi="Narkisim"/>
          <w:rtl/>
        </w:rPr>
        <w:footnoteReference w:id="6829"/>
      </w:r>
      <w:r w:rsidRPr="00D65870">
        <w:rPr>
          <w:rFonts w:ascii="Narkisim" w:hAnsi="Narkisim"/>
          <w:rtl/>
        </w:rPr>
        <w:t xml:space="preserve">. אבל </w:t>
      </w:r>
      <w:r w:rsidRPr="00D65870">
        <w:rPr>
          <w:rFonts w:ascii="Narkisim" w:hAnsi="Narkisim"/>
          <w:b/>
          <w:bCs/>
          <w:rtl/>
        </w:rPr>
        <w:t>י"מ</w:t>
      </w:r>
      <w:r w:rsidRPr="00D65870">
        <w:rPr>
          <w:rFonts w:ascii="Narkisim" w:hAnsi="Narkisim"/>
          <w:rtl/>
        </w:rPr>
        <w:t xml:space="preserve"> דהוה משום מום דאטר הוא כחוש בימין</w:t>
      </w:r>
      <w:r w:rsidRPr="00D65870">
        <w:rPr>
          <w:rStyle w:val="ac"/>
          <w:rFonts w:ascii="Narkisim" w:hAnsi="Narkisim"/>
          <w:rtl/>
        </w:rPr>
        <w:footnoteReference w:id="6830"/>
      </w:r>
      <w:r w:rsidRPr="00D65870">
        <w:rPr>
          <w:rFonts w:ascii="Narkisim" w:hAnsi="Narkisim"/>
          <w:rtl/>
        </w:rPr>
        <w:t>. [אבל לענין חליצה יחשב ימין]</w:t>
      </w:r>
      <w:r w:rsidRPr="00D65870">
        <w:rPr>
          <w:rStyle w:val="ac"/>
          <w:rFonts w:ascii="Narkisim" w:hAnsi="Narkisim"/>
          <w:rtl/>
        </w:rPr>
        <w:footnoteReference w:id="6831"/>
      </w:r>
      <w:r w:rsidRPr="00D65870">
        <w:rPr>
          <w:rFonts w:ascii="Narkisim" w:hAnsi="Narkisim"/>
          <w:rtl/>
        </w:rPr>
        <w:t>.</w:t>
      </w:r>
    </w:p>
    <w:p w14:paraId="2C5F3F51" w14:textId="77777777" w:rsidR="006C4368" w:rsidRPr="00D65870" w:rsidRDefault="006C4368" w:rsidP="006C4368">
      <w:pPr>
        <w:pStyle w:val="aa"/>
        <w:bidi/>
        <w:rPr>
          <w:rFonts w:ascii="Narkisim" w:hAnsi="Narkisim"/>
        </w:rPr>
      </w:pPr>
      <w:r w:rsidRPr="00D65870">
        <w:rPr>
          <w:rFonts w:ascii="Narkisim" w:hAnsi="Narkisim"/>
          <w:u w:val="single"/>
          <w:rtl/>
        </w:rPr>
        <w:t>שם.</w:t>
      </w:r>
      <w:r w:rsidRPr="00D65870">
        <w:rPr>
          <w:rFonts w:ascii="Narkisim" w:hAnsi="Narkisim"/>
          <w:rtl/>
        </w:rPr>
        <w:t xml:space="preserve"> ה</w:t>
      </w:r>
      <w:r w:rsidRPr="00D65870">
        <w:rPr>
          <w:rFonts w:ascii="Narkisim" w:hAnsi="Narkisim"/>
          <w:b/>
          <w:bCs/>
          <w:rtl/>
        </w:rPr>
        <w:t>ב"ח</w:t>
      </w:r>
      <w:r w:rsidRPr="00D65870">
        <w:rPr>
          <w:rFonts w:ascii="Narkisim" w:hAnsi="Narkisim"/>
          <w:rtl/>
        </w:rPr>
        <w:t xml:space="preserve"> כתב דהמנהג הוא באיטר לחלוץ זה אחר זה</w:t>
      </w:r>
      <w:r w:rsidRPr="00D65870">
        <w:rPr>
          <w:rStyle w:val="ac"/>
          <w:rFonts w:ascii="Narkisim" w:hAnsi="Narkisim"/>
          <w:rtl/>
        </w:rPr>
        <w:footnoteReference w:id="6832"/>
      </w:r>
      <w:r w:rsidRPr="00D65870">
        <w:rPr>
          <w:rFonts w:ascii="Narkisim" w:hAnsi="Narkisim"/>
          <w:rtl/>
        </w:rPr>
        <w:t>. [וממ"נ א' מהני, ולא חששו לרמב"ן דאין לו ימין כלל]. וה</w:t>
      </w:r>
      <w:r w:rsidRPr="00D65870">
        <w:rPr>
          <w:rFonts w:ascii="Narkisim" w:hAnsi="Narkisim"/>
          <w:b/>
          <w:bCs/>
          <w:rtl/>
        </w:rPr>
        <w:t>ב"ח</w:t>
      </w:r>
      <w:r w:rsidRPr="00D65870">
        <w:rPr>
          <w:rFonts w:ascii="Narkisim" w:hAnsi="Narkisim"/>
          <w:rtl/>
        </w:rPr>
        <w:t xml:space="preserve"> הק' דלאחר שעשה חליצה א' נפסלה עליו [כדאי' (גיטין כה.) דשמאל פוסל], והוה חליצה פסולה וצריכה חיזור על כל האחים. [לדעת ה</w:t>
      </w:r>
      <w:r w:rsidRPr="00D65870">
        <w:rPr>
          <w:rFonts w:ascii="Narkisim" w:hAnsi="Narkisim"/>
          <w:b/>
          <w:bCs/>
          <w:rtl/>
        </w:rPr>
        <w:t>ראשונים</w:t>
      </w:r>
      <w:r w:rsidRPr="00D65870">
        <w:rPr>
          <w:rFonts w:ascii="Narkisim" w:hAnsi="Narkisim"/>
          <w:rtl/>
        </w:rPr>
        <w:t xml:space="preserve"> דאמרי' כן בכל פסול, ודלא כתוס' (לעיל כו:)].</w:t>
      </w:r>
    </w:p>
    <w:p w14:paraId="5D0CD639"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ב"ח</w:t>
      </w:r>
      <w:r w:rsidRPr="00D65870">
        <w:rPr>
          <w:rFonts w:ascii="Narkisim" w:hAnsi="Narkisim"/>
          <w:rtl/>
        </w:rPr>
        <w:t xml:space="preserve"> תיקן שיכוונו היבם והיבמה דאותו רגל שאינו בדין לא יהא חליצה כלל. דהשתא אין כאן חששא דחליצה פסולה, דשניהם נתכוונו דבאותו רגל שאינו בדין לא תהא נפטרת מזיקתה כלל, וכאילו לא חלץ לה ולא פסלה על האחין בחליצה זו</w:t>
      </w:r>
      <w:r w:rsidRPr="00D65870">
        <w:rPr>
          <w:rStyle w:val="ac"/>
          <w:rFonts w:ascii="Narkisim" w:hAnsi="Narkisim"/>
          <w:rtl/>
        </w:rPr>
        <w:footnoteReference w:id="6833"/>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(גט מקושר שם, הו' בפתח"ת קסט כד) תמהו דמה תועלת בתנאי הא קי"ל (לקמן קו.) דאין תנאי בחליצה. והפתח"ת הביא דבס' ברית אברהם (טו) כת' דמהני בחליצה תנאי לשעבר. [ויתבאר לקמן קו.].</w:t>
      </w:r>
    </w:p>
    <w:p w14:paraId="508333B4" w14:textId="77777777" w:rsidR="006C4368" w:rsidRPr="00D65870" w:rsidRDefault="006C4368" w:rsidP="006C4368">
      <w:pPr>
        <w:pStyle w:val="a8"/>
        <w:bidi/>
        <w:rPr>
          <w:rFonts w:ascii="Narkisim" w:hAnsi="Narkisim"/>
        </w:rPr>
      </w:pPr>
      <w:r w:rsidRPr="00D65870">
        <w:rPr>
          <w:rFonts w:ascii="Narkisim" w:hAnsi="Narkisim"/>
          <w:rtl/>
        </w:rPr>
        <w:t>עוד כת' ה</w:t>
      </w:r>
      <w:r w:rsidRPr="00D65870">
        <w:rPr>
          <w:rFonts w:ascii="Narkisim" w:hAnsi="Narkisim"/>
          <w:b/>
          <w:bCs/>
          <w:rtl/>
        </w:rPr>
        <w:t>פתח"ת</w:t>
      </w:r>
      <w:r w:rsidRPr="00D65870">
        <w:rPr>
          <w:rFonts w:ascii="Narkisim" w:hAnsi="Narkisim"/>
          <w:rtl/>
        </w:rPr>
        <w:t xml:space="preserve"> ע"פ דברי ה</w:t>
      </w:r>
      <w:r w:rsidRPr="00D65870">
        <w:rPr>
          <w:rFonts w:ascii="Narkisim" w:hAnsi="Narkisim"/>
          <w:b/>
          <w:bCs/>
          <w:rtl/>
        </w:rPr>
        <w:t>רמב"ן</w:t>
      </w:r>
      <w:r w:rsidRPr="00D65870">
        <w:rPr>
          <w:rFonts w:ascii="Narkisim" w:hAnsi="Narkisim"/>
          <w:rtl/>
        </w:rPr>
        <w:t xml:space="preserve"> (ב"ב קכו:) דתנאי שבין אדם לעצמו אי"צ משפטי התנאים. ומש"ה ל"מ תנאי בעיקר החליצה שלא יהני להתיר, דהוה תנאי בין שניהם. אבל הכא הוי כתנאי שבינו לבין עצמו.</w:t>
      </w:r>
    </w:p>
    <w:p w14:paraId="546368EA"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פוסקים</w:t>
      </w:r>
      <w:r w:rsidRPr="00D65870">
        <w:rPr>
          <w:rFonts w:ascii="Narkisim" w:hAnsi="Narkisim"/>
          <w:rtl/>
        </w:rPr>
        <w:t xml:space="preserve"> כת' דמ"מ היכא שיש אח אחר, אפי' קטן מהאטר, חולצת מהשני.</w:t>
      </w:r>
    </w:p>
    <w:p w14:paraId="04BCC1C3" w14:textId="77777777" w:rsidR="006C4368" w:rsidRPr="00D65870" w:rsidRDefault="006C4368" w:rsidP="006C4368">
      <w:pPr>
        <w:pStyle w:val="aa"/>
        <w:bidi/>
        <w:rPr>
          <w:rFonts w:ascii="Narkisim" w:hAnsi="Narkisim"/>
        </w:rPr>
      </w:pPr>
      <w:r w:rsidRPr="00D65870">
        <w:rPr>
          <w:rFonts w:ascii="Narkisim" w:hAnsi="Narkisim"/>
          <w:u w:val="single"/>
          <w:rtl/>
        </w:rPr>
        <w:t>אר"י בר יוסף אר"י מוחלפת השיטה</w:t>
      </w:r>
      <w:r w:rsidRPr="00D65870">
        <w:rPr>
          <w:rFonts w:ascii="Narkisim" w:hAnsi="Narkisim"/>
          <w:rtl/>
        </w:rPr>
        <w:t>. ה</w:t>
      </w:r>
      <w:r w:rsidRPr="00D65870">
        <w:rPr>
          <w:rFonts w:ascii="Narkisim" w:hAnsi="Narkisim"/>
          <w:b/>
          <w:bCs/>
          <w:rtl/>
        </w:rPr>
        <w:t>צל"ח</w:t>
      </w:r>
      <w:r w:rsidRPr="00D65870">
        <w:rPr>
          <w:rFonts w:ascii="Narkisim" w:hAnsi="Narkisim"/>
          <w:rtl/>
        </w:rPr>
        <w:t xml:space="preserve"> (הו' בסמוך) כת' דמוחלפת מתני'. דלא אשכחן מ"ד דפוסל </w:t>
      </w:r>
      <w:r w:rsidRPr="00D65870">
        <w:rPr>
          <w:rFonts w:ascii="Narkisim" w:hAnsi="Narkisim"/>
          <w:rtl/>
        </w:rPr>
        <w:lastRenderedPageBreak/>
        <w:t>ברציעה. וה</w:t>
      </w:r>
      <w:r w:rsidRPr="00D65870">
        <w:rPr>
          <w:rFonts w:ascii="Narkisim" w:hAnsi="Narkisim"/>
          <w:b/>
          <w:bCs/>
          <w:rtl/>
        </w:rPr>
        <w:t>חת"ס</w:t>
      </w:r>
      <w:r w:rsidRPr="00D65870">
        <w:rPr>
          <w:rFonts w:ascii="Narkisim" w:hAnsi="Narkisim"/>
          <w:rtl/>
        </w:rPr>
        <w:t xml:space="preserve"> (ב עא) האריך לחלוק דיש להפוך את הברייתא, והביא דכן מבואר בירושלמי.</w:t>
      </w:r>
    </w:p>
    <w:p w14:paraId="586206C4" w14:textId="77777777" w:rsidR="006C4368" w:rsidRPr="00D65870" w:rsidRDefault="006C4368" w:rsidP="006C4368">
      <w:pPr>
        <w:bidi/>
        <w:rPr>
          <w:rFonts w:ascii="Narkisim" w:hAnsi="Narkisim" w:cs="Narkisim"/>
        </w:rPr>
      </w:pPr>
      <w:r w:rsidRPr="00D65870">
        <w:rPr>
          <w:rFonts w:ascii="Narkisim" w:hAnsi="Narkisim" w:cs="Narkisim"/>
          <w:u w:val="single"/>
          <w:rtl/>
        </w:rPr>
        <w:t>רגל רגל לא מופני וכו' איכא למיפרך</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ומהכא נפק"ל בכל דוכתי דר"א סבר דגזי"ש מופנה מצד א' למדים ומשיבין. [וכן ציין רש"י לעיל ע: וכ"מ</w:t>
      </w:r>
      <w:r w:rsidRPr="00D65870">
        <w:rPr>
          <w:rStyle w:val="ac"/>
          <w:rFonts w:ascii="Narkisim" w:hAnsi="Narkisim" w:cs="Narkisim"/>
          <w:rtl/>
        </w:rPr>
        <w:footnoteReference w:id="6834"/>
      </w:r>
      <w:r w:rsidRPr="00D65870">
        <w:rPr>
          <w:rFonts w:ascii="Narkisim" w:hAnsi="Narkisim" w:cs="Narkisim"/>
          <w:rtl/>
        </w:rPr>
        <w:t>].</w:t>
      </w:r>
    </w:p>
    <w:p w14:paraId="43AA7E7F" w14:textId="77777777" w:rsidR="006C4368" w:rsidRPr="00D65870" w:rsidRDefault="006C4368" w:rsidP="006C4368">
      <w:pPr>
        <w:bidi/>
        <w:rPr>
          <w:rFonts w:ascii="Narkisim" w:hAnsi="Narkisim" w:cs="Narkisim"/>
        </w:rPr>
      </w:pPr>
      <w:r w:rsidRPr="00D65870">
        <w:rPr>
          <w:rFonts w:ascii="Narkisim" w:hAnsi="Narkisim" w:cs="Narkisim"/>
          <w:rtl/>
        </w:rPr>
        <w:t>ה</w:t>
      </w:r>
      <w:r w:rsidRPr="00D65870">
        <w:rPr>
          <w:rFonts w:ascii="Narkisim" w:hAnsi="Narkisim" w:cs="Narkisim"/>
          <w:b/>
          <w:bCs/>
          <w:rtl/>
        </w:rPr>
        <w:t>ריטב"א</w:t>
      </w:r>
      <w:r w:rsidRPr="00D65870">
        <w:rPr>
          <w:rFonts w:ascii="Narkisim" w:hAnsi="Narkisim" w:cs="Narkisim"/>
          <w:rtl/>
        </w:rPr>
        <w:t xml:space="preserve"> כת' דקי"ל כת"ק דשמאל פסול. וכ"פ ה</w:t>
      </w:r>
      <w:r w:rsidRPr="00D65870">
        <w:rPr>
          <w:rFonts w:ascii="Narkisim" w:hAnsi="Narkisim" w:cs="Narkisim"/>
          <w:b/>
          <w:bCs/>
          <w:rtl/>
        </w:rPr>
        <w:t>טור</w:t>
      </w:r>
      <w:r w:rsidRPr="00D65870">
        <w:rPr>
          <w:rFonts w:ascii="Narkisim" w:hAnsi="Narkisim" w:cs="Narkisim"/>
          <w:rtl/>
        </w:rPr>
        <w:t xml:space="preserve"> ו</w:t>
      </w:r>
      <w:r w:rsidRPr="00D65870">
        <w:rPr>
          <w:rFonts w:ascii="Narkisim" w:hAnsi="Narkisim" w:cs="Narkisim"/>
          <w:b/>
          <w:bCs/>
          <w:rtl/>
        </w:rPr>
        <w:t>שו"ע</w:t>
      </w:r>
      <w:r w:rsidRPr="00D65870">
        <w:rPr>
          <w:rFonts w:ascii="Narkisim" w:hAnsi="Narkisim" w:cs="Narkisim"/>
          <w:rtl/>
        </w:rPr>
        <w:t xml:space="preserve"> (קסט כב)</w:t>
      </w:r>
      <w:r w:rsidRPr="00D65870">
        <w:rPr>
          <w:rStyle w:val="ac"/>
          <w:rFonts w:ascii="Narkisim" w:hAnsi="Narkisim" w:cs="Narkisim"/>
          <w:rtl/>
        </w:rPr>
        <w:footnoteReference w:id="6835"/>
      </w:r>
      <w:r w:rsidRPr="00D65870">
        <w:rPr>
          <w:rFonts w:ascii="Narkisim" w:hAnsi="Narkisim" w:cs="Narkisim"/>
          <w:rtl/>
        </w:rPr>
        <w:t>. וה</w:t>
      </w:r>
      <w:r w:rsidRPr="00D65870">
        <w:rPr>
          <w:rFonts w:ascii="Narkisim" w:hAnsi="Narkisim" w:cs="Narkisim"/>
          <w:b/>
          <w:bCs/>
          <w:rtl/>
        </w:rPr>
        <w:t>צל"ח</w:t>
      </w:r>
      <w:r w:rsidRPr="00D65870">
        <w:rPr>
          <w:rFonts w:ascii="Narkisim" w:hAnsi="Narkisim" w:cs="Narkisim"/>
          <w:rtl/>
        </w:rPr>
        <w:t xml:space="preserve"> (ברכות כ., ונוב"י ת' קנו) הביא דהרמב"ם השמיטו, וכת' דדעת הרמב"ם דאין הכרע להלכה</w:t>
      </w:r>
      <w:r w:rsidRPr="00D65870">
        <w:rPr>
          <w:rStyle w:val="ac"/>
          <w:rFonts w:ascii="Narkisim" w:hAnsi="Narkisim" w:cs="Narkisim"/>
          <w:rtl/>
        </w:rPr>
        <w:footnoteReference w:id="6836"/>
      </w:r>
      <w:r w:rsidRPr="00D65870">
        <w:rPr>
          <w:rFonts w:ascii="Narkisim" w:hAnsi="Narkisim" w:cs="Narkisim"/>
          <w:rtl/>
        </w:rPr>
        <w:t>, דהוה ספק אי הלכה כר' יוחנן [דהפך דחכמים מכשירים בשמאל</w:t>
      </w:r>
      <w:r w:rsidRPr="00D65870">
        <w:rPr>
          <w:rStyle w:val="ac"/>
          <w:rFonts w:ascii="Narkisim" w:hAnsi="Narkisim" w:cs="Narkisim"/>
          <w:rtl/>
        </w:rPr>
        <w:footnoteReference w:id="6837"/>
      </w:r>
      <w:r w:rsidRPr="00D65870">
        <w:rPr>
          <w:rFonts w:ascii="Narkisim" w:hAnsi="Narkisim" w:cs="Narkisim"/>
          <w:rtl/>
        </w:rPr>
        <w:t>] או כרבא</w:t>
      </w:r>
      <w:r w:rsidRPr="00D65870">
        <w:rPr>
          <w:rStyle w:val="ac"/>
          <w:rFonts w:ascii="Narkisim" w:hAnsi="Narkisim" w:cs="Narkisim"/>
          <w:rtl/>
        </w:rPr>
        <w:footnoteReference w:id="6838"/>
      </w:r>
      <w:r w:rsidRPr="00D65870">
        <w:rPr>
          <w:rFonts w:ascii="Narkisim" w:hAnsi="Narkisim" w:cs="Narkisim"/>
          <w:rtl/>
        </w:rPr>
        <w:t>. וה</w:t>
      </w:r>
      <w:r w:rsidRPr="00D65870">
        <w:rPr>
          <w:rFonts w:ascii="Narkisim" w:hAnsi="Narkisim" w:cs="Narkisim"/>
          <w:b/>
          <w:bCs/>
          <w:rtl/>
        </w:rPr>
        <w:t>חת"ס</w:t>
      </w:r>
      <w:r w:rsidRPr="00D65870">
        <w:rPr>
          <w:rFonts w:ascii="Narkisim" w:hAnsi="Narkisim" w:cs="Narkisim"/>
          <w:rtl/>
        </w:rPr>
        <w:t xml:space="preserve"> (ב עא, ושו"ת רע"א ק' קכב, הו' בפתח"ת קסט כב) האריך לחלוק.</w:t>
      </w:r>
    </w:p>
    <w:p w14:paraId="7EC39A2F" w14:textId="77777777" w:rsidR="006C4368" w:rsidRPr="00D65870" w:rsidRDefault="006C4368" w:rsidP="006C4368">
      <w:pPr>
        <w:pStyle w:val="2"/>
        <w:bidi/>
        <w:rPr>
          <w:rFonts w:ascii="Narkisim" w:hAnsi="Narkisim"/>
        </w:rPr>
      </w:pPr>
      <w:r w:rsidRPr="00D65870">
        <w:rPr>
          <w:rFonts w:ascii="Narkisim" w:hAnsi="Narkisim"/>
          <w:rtl/>
        </w:rPr>
        <w:t>קריאה אינו מעכב</w:t>
      </w:r>
    </w:p>
    <w:p w14:paraId="30FF0B4A" w14:textId="77777777" w:rsidR="006C4368" w:rsidRPr="00D65870" w:rsidRDefault="006C4368" w:rsidP="006C4368">
      <w:pPr>
        <w:bidi/>
        <w:rPr>
          <w:rFonts w:ascii="Narkisim" w:hAnsi="Narkisim" w:cs="Narkisim"/>
        </w:rPr>
      </w:pPr>
      <w:r w:rsidRPr="00D65870">
        <w:rPr>
          <w:rFonts w:ascii="Narkisim" w:hAnsi="Narkisim" w:cs="Narkisim"/>
          <w:u w:val="single"/>
          <w:rtl/>
        </w:rPr>
        <w:t>חלצה ורקקה אבל לא קראה חליצתה כשירה</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דקריאה לא מעכבא, דכתיב ככה יעשה, דדוקא מעשה מעכב. [וכדאי' בסיפא דמתני']. והקריאה הוה למצווה בעלמא [וע"ע עונג יו"ט קעו שהאריך בגדר בזה].</w:t>
      </w:r>
    </w:p>
    <w:p w14:paraId="4360E66E" w14:textId="77777777" w:rsidR="006C4368" w:rsidRPr="00D65870" w:rsidRDefault="006C4368" w:rsidP="006C4368">
      <w:pPr>
        <w:pStyle w:val="a8"/>
        <w:bidi/>
        <w:rPr>
          <w:rFonts w:ascii="Narkisim" w:hAnsi="Narkisim"/>
        </w:rPr>
      </w:pPr>
      <w:r w:rsidRPr="00D65870">
        <w:rPr>
          <w:rFonts w:ascii="Narkisim" w:hAnsi="Narkisim"/>
          <w:rtl/>
        </w:rPr>
        <w:t>ובמשנה (סוטה לב.) אי' דבעינן קריאה בלשון הקודש. ות"ק יליף דכתיב 'וענתה' ואמרה, וכתיב (דברים כז יד, בהר גריזים) וענו הלוים ואמרו, מה להלן בלשון הקודש אף כאן בלה"ק. ר' יהודה אומר וענתה ואמרה ככה עד שתאמר בלשון הזה. והגמ' (שם לג.) אי' דרבנן דרשו 'ככה' לדבר שהוא מעשה מעכב [וכדאי' במשנה כאן]. ור' יהודה דרש תרוייהו 'כה' 'ככה', ורבנן כה ככה לא משמע להו</w:t>
      </w:r>
      <w:r w:rsidRPr="00D65870">
        <w:rPr>
          <w:rStyle w:val="ac"/>
          <w:rFonts w:ascii="Narkisim" w:hAnsi="Narkisim"/>
          <w:rtl/>
        </w:rPr>
        <w:footnoteReference w:id="6839"/>
      </w:r>
      <w:r w:rsidRPr="00D65870">
        <w:rPr>
          <w:rFonts w:ascii="Narkisim" w:hAnsi="Narkisim"/>
          <w:rtl/>
        </w:rPr>
        <w:t>.</w:t>
      </w:r>
    </w:p>
    <w:p w14:paraId="7774EDEA" w14:textId="77777777" w:rsidR="006C4368" w:rsidRPr="00D65870" w:rsidRDefault="006C4368" w:rsidP="006C4368">
      <w:pPr>
        <w:pStyle w:val="aa"/>
        <w:bidi/>
        <w:rPr>
          <w:rFonts w:ascii="Narkisim" w:hAnsi="Narkisim"/>
        </w:rPr>
      </w:pPr>
      <w:r w:rsidRPr="00D65870">
        <w:rPr>
          <w:rFonts w:ascii="Narkisim" w:hAnsi="Narkisim"/>
          <w:rtl/>
        </w:rPr>
        <w:t>ובפשוטו ר' יהודה דרש 'ככה' אף על קריאת החליצה. ו</w:t>
      </w:r>
      <w:r w:rsidRPr="00D65870">
        <w:rPr>
          <w:rFonts w:ascii="Narkisim" w:hAnsi="Narkisim"/>
          <w:b/>
          <w:bCs/>
          <w:rtl/>
        </w:rPr>
        <w:t>תוס</w:t>
      </w:r>
      <w:r w:rsidRPr="00D65870">
        <w:rPr>
          <w:rFonts w:ascii="Narkisim" w:hAnsi="Narkisim"/>
          <w:rtl/>
        </w:rPr>
        <w:t>' (שם לג.) הק' דא"כ כמאן מרבותיו ס"ל, לא כר' אליעזר ולא כר' עקיבא דתרוייהו מודו דקריאה לא מעכבא. ואין לומר דר' יהודה סבר דדוקא בלשון קודש מעכב, אבל אם לא קראה כלל אינו מעכב. דסברא תמוה היא שאם לא קראה כלל אינו מעכב, ואם קראה בלשון חול מעכב.</w:t>
      </w:r>
    </w:p>
    <w:p w14:paraId="5BD80FAF" w14:textId="77777777" w:rsidR="006C4368" w:rsidRPr="00D65870" w:rsidRDefault="006C4368" w:rsidP="006C4368">
      <w:pPr>
        <w:pStyle w:val="a8"/>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כת' דר' יהודה סבר דלא נח' ר"ע ור"א בדבר זה, ופליג אתנא דמתני' דהכא. [וע"ד הא דאי' שבת קלה: ובכ"מ].</w:t>
      </w:r>
    </w:p>
    <w:p w14:paraId="0ADE9926" w14:textId="77777777" w:rsidR="006C4368" w:rsidRPr="00D65870" w:rsidRDefault="006C4368" w:rsidP="006C4368">
      <w:pPr>
        <w:pStyle w:val="a8"/>
        <w:bidi/>
        <w:rPr>
          <w:rFonts w:ascii="Narkisim" w:hAnsi="Narkisim"/>
        </w:rPr>
      </w:pPr>
      <w:r w:rsidRPr="00D65870">
        <w:rPr>
          <w:rFonts w:ascii="Narkisim" w:hAnsi="Narkisim"/>
          <w:rtl/>
        </w:rPr>
        <w:t>ותוס' ביארו דאי כתיב 'כה' לחוד ר' יהודה דרש דקריאה מעכב ובלשון הקודש, דטפי</w:t>
      </w:r>
      <w:r w:rsidRPr="00D65870">
        <w:rPr>
          <w:rStyle w:val="ac"/>
          <w:rFonts w:ascii="Narkisim" w:hAnsi="Narkisim"/>
          <w:rtl/>
        </w:rPr>
        <w:footnoteReference w:id="6840"/>
      </w:r>
      <w:r w:rsidRPr="00D65870">
        <w:rPr>
          <w:rFonts w:ascii="Narkisim" w:hAnsi="Narkisim"/>
          <w:rtl/>
        </w:rPr>
        <w:t xml:space="preserve"> יש לנו לדרוש קרא אשלפניו</w:t>
      </w:r>
      <w:r w:rsidRPr="00D65870">
        <w:rPr>
          <w:rStyle w:val="ac"/>
          <w:rFonts w:ascii="Narkisim" w:hAnsi="Narkisim"/>
          <w:rtl/>
        </w:rPr>
        <w:footnoteReference w:id="6841"/>
      </w:r>
      <w:r w:rsidRPr="00D65870">
        <w:rPr>
          <w:rFonts w:ascii="Narkisim" w:hAnsi="Narkisim"/>
          <w:rtl/>
        </w:rPr>
        <w:t>. ודרשי' 'ככה' יתירא דקאי אף אמעשה שמאחריו.</w:t>
      </w:r>
    </w:p>
    <w:p w14:paraId="18A601DA" w14:textId="77777777" w:rsidR="006C4368" w:rsidRPr="00D65870" w:rsidRDefault="006C4368" w:rsidP="006C4368">
      <w:pPr>
        <w:pStyle w:val="3"/>
        <w:bidi/>
        <w:rPr>
          <w:rFonts w:ascii="Narkisim" w:hAnsi="Narkisim"/>
        </w:rPr>
      </w:pPr>
      <w:r w:rsidRPr="00D65870">
        <w:rPr>
          <w:rFonts w:ascii="Narkisim" w:hAnsi="Narkisim"/>
          <w:rtl/>
        </w:rPr>
        <w:t>דף קד:</w:t>
      </w:r>
    </w:p>
    <w:p w14:paraId="33A1C0C4" w14:textId="77777777" w:rsidR="006C4368" w:rsidRPr="00D65870" w:rsidRDefault="006C4368" w:rsidP="006C4368">
      <w:pPr>
        <w:bidi/>
        <w:rPr>
          <w:rFonts w:ascii="Narkisim" w:hAnsi="Narkisim" w:cs="Narkisim"/>
        </w:rPr>
      </w:pPr>
      <w:r w:rsidRPr="00D65870">
        <w:rPr>
          <w:rFonts w:ascii="Narkisim" w:hAnsi="Narkisim" w:cs="Narkisim"/>
          <w:u w:val="single"/>
          <w:rtl/>
        </w:rPr>
        <w:t>כל דבר שהוא מעשה באיש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שהאשה עושה מעשה בגופו של איש. דהיבמה עושה את כל מעשה החליצה, אלא דחליצה היה מעשה על 'ב'איש.</w:t>
      </w:r>
    </w:p>
    <w:p w14:paraId="5F6CFE5C" w14:textId="77777777" w:rsidR="006C4368" w:rsidRPr="00D65870" w:rsidRDefault="006C4368" w:rsidP="006C4368">
      <w:pPr>
        <w:bidi/>
        <w:rPr>
          <w:rFonts w:ascii="Narkisim" w:hAnsi="Narkisim" w:cs="Narkisim"/>
        </w:rPr>
      </w:pPr>
      <w:r w:rsidRPr="00D65870">
        <w:rPr>
          <w:rFonts w:ascii="Narkisim" w:hAnsi="Narkisim" w:cs="Narkisim"/>
          <w:u w:val="single"/>
          <w:rtl/>
        </w:rPr>
        <w:t>החרש שנחלץ וכו'</w:t>
      </w:r>
      <w:r w:rsidRPr="00D65870">
        <w:rPr>
          <w:rFonts w:ascii="Narkisim" w:hAnsi="Narkisim" w:cs="Narkisim"/>
          <w:rtl/>
        </w:rPr>
        <w:t>. ה</w:t>
      </w:r>
      <w:r w:rsidRPr="00D65870">
        <w:rPr>
          <w:rFonts w:ascii="Narkisim" w:hAnsi="Narkisim" w:cs="Narkisim"/>
          <w:b/>
          <w:bCs/>
          <w:rtl/>
        </w:rPr>
        <w:t>רמב"ם בפיה"מ</w:t>
      </w:r>
      <w:r w:rsidRPr="00D65870">
        <w:rPr>
          <w:rFonts w:ascii="Narkisim" w:hAnsi="Narkisim" w:cs="Narkisim"/>
          <w:rtl/>
        </w:rPr>
        <w:t xml:space="preserve"> (והו' ברשב"א) כת' דגבי חרש התנא נקט 'נחלץ', שפעלו בו החליצה, ולא קתני שחלץ. דחרש אין לו דעת שלם שנייחס עליו הפעולה. ועד"ז כת' ה</w:t>
      </w:r>
      <w:r w:rsidRPr="00D65870">
        <w:rPr>
          <w:rFonts w:ascii="Narkisim" w:hAnsi="Narkisim" w:cs="Narkisim"/>
          <w:b/>
          <w:bCs/>
          <w:rtl/>
        </w:rPr>
        <w:t>נמוק"י</w:t>
      </w:r>
      <w:r w:rsidRPr="00D65870">
        <w:rPr>
          <w:rFonts w:ascii="Narkisim" w:hAnsi="Narkisim" w:cs="Narkisim"/>
          <w:rtl/>
        </w:rPr>
        <w:t xml:space="preserve"> (והו' בתוי"ט) דבכל הפרק נקטו גבי היבם 'החולץ', ואף שהוא נחלץ [ואינו עושה מעשה]. מפני שהיבם מסייע בחליצה במה שנתכוון לחלוץ (כדאי' לקמן קו.). ומש"ה חרש דלאו בר כוונה נקרא שנחלץ.</w:t>
      </w:r>
    </w:p>
    <w:p w14:paraId="7367037C" w14:textId="77777777" w:rsidR="006C4368" w:rsidRPr="00D65870" w:rsidRDefault="006C4368" w:rsidP="006C4368">
      <w:pPr>
        <w:bidi/>
        <w:rPr>
          <w:rFonts w:ascii="Narkisim" w:hAnsi="Narkisim" w:cs="Narkisim"/>
        </w:rPr>
      </w:pPr>
      <w:r w:rsidRPr="00D65870">
        <w:rPr>
          <w:rFonts w:ascii="Narkisim" w:hAnsi="Narkisim" w:cs="Narkisim"/>
          <w:u w:val="single"/>
          <w:rtl/>
        </w:rPr>
        <w:t>רש"י ד"ה החרש</w:t>
      </w:r>
      <w:r w:rsidRPr="00D65870">
        <w:rPr>
          <w:rFonts w:ascii="Narkisim" w:hAnsi="Narkisim" w:cs="Narkisim"/>
          <w:rtl/>
        </w:rPr>
        <w:t>. לפוטרה במקום אח כשר. ה</w:t>
      </w:r>
      <w:r w:rsidRPr="00D65870">
        <w:rPr>
          <w:rFonts w:ascii="Narkisim" w:hAnsi="Narkisim" w:cs="Narkisim"/>
          <w:b/>
          <w:bCs/>
          <w:rtl/>
        </w:rPr>
        <w:t>תוי"ט</w:t>
      </w:r>
      <w:r w:rsidRPr="00D65870">
        <w:rPr>
          <w:rFonts w:ascii="Narkisim" w:hAnsi="Narkisim" w:cs="Narkisim"/>
          <w:rtl/>
        </w:rPr>
        <w:t xml:space="preserve"> דייק דהיכא דליכא יבם אחר נתרת לשוק. וכת' דליתא, וכדתנן (לקמן קיב:) דצריך לייבם ול"מ חליצה. וה</w:t>
      </w:r>
      <w:r w:rsidRPr="00D65870">
        <w:rPr>
          <w:rFonts w:ascii="Narkisim" w:hAnsi="Narkisim" w:cs="Narkisim"/>
          <w:b/>
          <w:bCs/>
          <w:rtl/>
        </w:rPr>
        <w:t>רש"ש</w:t>
      </w:r>
      <w:r w:rsidRPr="00D65870">
        <w:rPr>
          <w:rFonts w:ascii="Narkisim" w:hAnsi="Narkisim" w:cs="Narkisim"/>
          <w:rtl/>
        </w:rPr>
        <w:t xml:space="preserve"> כת' דכוונת רש"י דקאי אהא דפסלה, דדוקא היכא דיש יבם אחר שיוכל לחלוץ לה</w:t>
      </w:r>
      <w:r w:rsidRPr="00D65870">
        <w:rPr>
          <w:rStyle w:val="ac"/>
          <w:rFonts w:ascii="Narkisim" w:hAnsi="Narkisim" w:cs="Narkisim"/>
          <w:rtl/>
        </w:rPr>
        <w:footnoteReference w:id="6842"/>
      </w:r>
      <w:r w:rsidRPr="00D65870">
        <w:rPr>
          <w:rFonts w:ascii="Narkisim" w:hAnsi="Narkisim" w:cs="Narkisim"/>
          <w:rtl/>
        </w:rPr>
        <w:t>. אבל היכא דאין אח אחר, כיון דאין לה תקנה רשאי לחזור ולכונסה.</w:t>
      </w:r>
    </w:p>
    <w:p w14:paraId="51FD93BF" w14:textId="77777777" w:rsidR="006C4368" w:rsidRPr="00D65870" w:rsidRDefault="006C4368" w:rsidP="006C4368">
      <w:pPr>
        <w:pStyle w:val="a7"/>
        <w:bidi/>
        <w:rPr>
          <w:rFonts w:ascii="Narkisim" w:hAnsi="Narkisim"/>
        </w:rPr>
      </w:pPr>
      <w:r w:rsidRPr="00D65870">
        <w:rPr>
          <w:rFonts w:ascii="Narkisim" w:hAnsi="Narkisim"/>
          <w:rtl/>
        </w:rPr>
        <w:lastRenderedPageBreak/>
        <w:t xml:space="preserve">ועד"ז כת' </w:t>
      </w:r>
      <w:r w:rsidRPr="00D65870">
        <w:rPr>
          <w:rFonts w:ascii="Narkisim" w:hAnsi="Narkisim"/>
          <w:b/>
          <w:bCs/>
          <w:rtl/>
        </w:rPr>
        <w:t>רע"א</w:t>
      </w:r>
      <w:r w:rsidRPr="00D65870">
        <w:rPr>
          <w:rFonts w:ascii="Narkisim" w:hAnsi="Narkisim"/>
          <w:rtl/>
        </w:rPr>
        <w:t xml:space="preserve"> (לעיל קב:) דחליצת חרש הוה בלא כוונה [היכא דאין עומדים על גביו</w:t>
      </w:r>
      <w:r w:rsidRPr="00D65870">
        <w:rPr>
          <w:rStyle w:val="ac"/>
          <w:rFonts w:ascii="Narkisim" w:hAnsi="Narkisim"/>
          <w:rtl/>
        </w:rPr>
        <w:footnoteReference w:id="6843"/>
      </w:r>
      <w:r w:rsidRPr="00D65870">
        <w:rPr>
          <w:rFonts w:ascii="Narkisim" w:hAnsi="Narkisim"/>
          <w:rtl/>
        </w:rPr>
        <w:t>, וע' בסמוך], וחליצה בלא כוונה פוסל רק משום גזירה דחיישינן שמא כיוונו (וכמ"ש רש"י לעיל קב:). ומש"ה בחרש דאי אפשר אלא ביבום לא העמידו דבריהם לעקור מצוות יבום דאורייתא [אלא היכא דמצאנו כן להדיא]. ומש"ה רש"י פי' לפסול על שאר אחים, שיכולים לחלוץ.</w:t>
      </w:r>
    </w:p>
    <w:p w14:paraId="0819EF37"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רע"א</w:t>
      </w:r>
      <w:r w:rsidRPr="00D65870">
        <w:rPr>
          <w:rFonts w:ascii="Narkisim" w:hAnsi="Narkisim"/>
          <w:rtl/>
        </w:rPr>
        <w:t xml:space="preserve"> הביא ד</w:t>
      </w:r>
      <w:r w:rsidRPr="00D65870">
        <w:rPr>
          <w:rFonts w:ascii="Narkisim" w:hAnsi="Narkisim"/>
          <w:b/>
          <w:bCs/>
          <w:rtl/>
        </w:rPr>
        <w:t>רש"י</w:t>
      </w:r>
      <w:r w:rsidRPr="00D65870">
        <w:rPr>
          <w:rFonts w:ascii="Narkisim" w:hAnsi="Narkisim"/>
          <w:rtl/>
        </w:rPr>
        <w:t xml:space="preserve"> (ד"ה וחרשת) משמע דגבי חרשת הנידון לפסול את עצמה. ואף דאין תקנה בחליצה [היכא דאין לה צרה]. וביאר דהתם קאי אף בחרשת מעיקרא, דהנישואין מדרבנן</w:t>
      </w:r>
      <w:r w:rsidRPr="00D65870">
        <w:rPr>
          <w:rStyle w:val="ac"/>
          <w:rFonts w:ascii="Narkisim" w:hAnsi="Narkisim"/>
          <w:rtl/>
        </w:rPr>
        <w:footnoteReference w:id="6844"/>
      </w:r>
      <w:r w:rsidRPr="00D65870">
        <w:rPr>
          <w:rFonts w:ascii="Narkisim" w:hAnsi="Narkisim"/>
          <w:rtl/>
        </w:rPr>
        <w:t>. א"כ אין כאן מצוות יבום דאורייתא, ומש"ה העמידו דבריהם לבטל מצוות יבום דרבנן [ואף דאין לה תקנה]</w:t>
      </w:r>
      <w:r w:rsidRPr="00D65870">
        <w:rPr>
          <w:rStyle w:val="ac"/>
          <w:rFonts w:ascii="Narkisim" w:hAnsi="Narkisim"/>
          <w:rtl/>
        </w:rPr>
        <w:footnoteReference w:id="6845"/>
      </w:r>
      <w:r w:rsidRPr="00D65870">
        <w:rPr>
          <w:rFonts w:ascii="Narkisim" w:hAnsi="Narkisim"/>
          <w:rtl/>
        </w:rPr>
        <w:t>.</w:t>
      </w:r>
    </w:p>
    <w:p w14:paraId="65FAC8E0" w14:textId="77777777" w:rsidR="006C4368" w:rsidRPr="00D65870" w:rsidRDefault="006C4368" w:rsidP="006C4368">
      <w:pPr>
        <w:bidi/>
        <w:rPr>
          <w:rFonts w:ascii="Narkisim" w:hAnsi="Narkisim" w:cs="Narkisim"/>
        </w:rPr>
      </w:pPr>
      <w:r w:rsidRPr="00D65870">
        <w:rPr>
          <w:rFonts w:ascii="Narkisim" w:hAnsi="Narkisim" w:cs="Narkisim"/>
          <w:u w:val="single"/>
          <w:rtl/>
        </w:rPr>
        <w:t>או בשלשה ונמצא א' מהם קרוב או פסול</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דהדר הו"ל שנים. ה</w:t>
      </w:r>
      <w:r w:rsidRPr="00D65870">
        <w:rPr>
          <w:rFonts w:ascii="Narkisim" w:hAnsi="Narkisim" w:cs="Narkisim"/>
          <w:b/>
          <w:bCs/>
          <w:rtl/>
        </w:rPr>
        <w:t>משנ"ל</w:t>
      </w:r>
      <w:r w:rsidRPr="00D65870">
        <w:rPr>
          <w:rFonts w:ascii="Narkisim" w:hAnsi="Narkisim" w:cs="Narkisim"/>
          <w:rtl/>
        </w:rPr>
        <w:t xml:space="preserve"> (סנהדרין טז, מדברי המגיה) דייק מרש"י דדוקא משום דהוה ב' דיינים, אבל לא אמרינן בדיינים כשנמצא א' מהם קרוב או פסול נתבטלו כולם. אבל דעת ה</w:t>
      </w:r>
      <w:r w:rsidRPr="00D65870">
        <w:rPr>
          <w:rFonts w:ascii="Narkisim" w:hAnsi="Narkisim" w:cs="Narkisim"/>
          <w:b/>
          <w:bCs/>
          <w:rtl/>
        </w:rPr>
        <w:t>מהרח"ש</w:t>
      </w:r>
      <w:r w:rsidRPr="00D65870">
        <w:rPr>
          <w:rFonts w:ascii="Narkisim" w:hAnsi="Narkisim" w:cs="Narkisim"/>
          <w:rtl/>
        </w:rPr>
        <w:t xml:space="preserve"> (שו"ת תורת חיים ד יח, יט) דאף בדיינים בטלה כל הועד</w:t>
      </w:r>
      <w:r w:rsidRPr="00D65870">
        <w:rPr>
          <w:rStyle w:val="ac"/>
          <w:rFonts w:ascii="Narkisim" w:hAnsi="Narkisim" w:cs="Narkisim"/>
          <w:rtl/>
        </w:rPr>
        <w:footnoteReference w:id="6846"/>
      </w:r>
      <w:r w:rsidRPr="00D65870">
        <w:rPr>
          <w:rFonts w:ascii="Narkisim" w:hAnsi="Narkisim" w:cs="Narkisim"/>
          <w:rtl/>
        </w:rPr>
        <w:t>. והביאו דכ"מ ב</w:t>
      </w:r>
      <w:r w:rsidRPr="00D65870">
        <w:rPr>
          <w:rFonts w:ascii="Narkisim" w:hAnsi="Narkisim" w:cs="Narkisim"/>
          <w:b/>
          <w:bCs/>
          <w:rtl/>
        </w:rPr>
        <w:t>ראב"ד</w:t>
      </w:r>
      <w:r w:rsidRPr="00D65870">
        <w:rPr>
          <w:rFonts w:ascii="Narkisim" w:hAnsi="Narkisim" w:cs="Narkisim"/>
          <w:rtl/>
        </w:rPr>
        <w:t xml:space="preserve"> (סנהדרין יא ח)</w:t>
      </w:r>
      <w:r w:rsidRPr="00D65870">
        <w:rPr>
          <w:rStyle w:val="ac"/>
          <w:rFonts w:ascii="Narkisim" w:hAnsi="Narkisim" w:cs="Narkisim"/>
          <w:rtl/>
        </w:rPr>
        <w:footnoteReference w:id="6847"/>
      </w:r>
      <w:r w:rsidRPr="00D65870">
        <w:rPr>
          <w:rFonts w:ascii="Narkisim" w:hAnsi="Narkisim" w:cs="Narkisim"/>
          <w:rtl/>
        </w:rPr>
        <w:t>.</w:t>
      </w:r>
    </w:p>
    <w:p w14:paraId="60F9268B"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גר"א</w:t>
      </w:r>
      <w:r w:rsidRPr="00D65870">
        <w:rPr>
          <w:rFonts w:ascii="Narkisim" w:hAnsi="Narkisim"/>
          <w:rtl/>
        </w:rPr>
        <w:t xml:space="preserve"> (קסט יז) וה"ה לדיינים דהא דיינים מעדות גמרינן</w:t>
      </w:r>
      <w:r w:rsidRPr="00D65870">
        <w:rPr>
          <w:rStyle w:val="ac"/>
          <w:rFonts w:ascii="Narkisim" w:hAnsi="Narkisim"/>
          <w:rtl/>
        </w:rPr>
        <w:footnoteReference w:id="6848"/>
      </w:r>
      <w:r w:rsidRPr="00D65870">
        <w:rPr>
          <w:rFonts w:ascii="Narkisim" w:hAnsi="Narkisim"/>
          <w:rtl/>
        </w:rPr>
        <w:t>.</w:t>
      </w:r>
    </w:p>
    <w:p w14:paraId="51489549"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קצות</w:t>
      </w:r>
      <w:r w:rsidRPr="00D65870">
        <w:rPr>
          <w:rFonts w:ascii="Narkisim" w:hAnsi="Narkisim" w:cs="Narkisim"/>
          <w:rtl/>
        </w:rPr>
        <w:t xml:space="preserve"> (לו ז) הביא דבגמ' (סנהדרין ג.) אי' דלמ"ד דסגי בדיין א', וגזרו דצריך ג' משום יושבי קרנות. והיכא דיש ג' ע"כ חד גמיר. ומבואר דיושבי קרנות אינם פוסלים</w:t>
      </w:r>
      <w:r w:rsidRPr="00D65870">
        <w:rPr>
          <w:rStyle w:val="ac"/>
          <w:rFonts w:ascii="Narkisim" w:hAnsi="Narkisim" w:cs="Narkisim"/>
          <w:rtl/>
        </w:rPr>
        <w:footnoteReference w:id="6849"/>
      </w:r>
      <w:r w:rsidRPr="00D65870">
        <w:rPr>
          <w:rFonts w:ascii="Narkisim" w:hAnsi="Narkisim" w:cs="Narkisim"/>
          <w:rtl/>
        </w:rPr>
        <w:t xml:space="preserve">. </w:t>
      </w:r>
      <w:r w:rsidRPr="00D65870">
        <w:rPr>
          <w:rFonts w:ascii="Narkisim" w:hAnsi="Narkisim" w:cs="Narkisim"/>
          <w:szCs w:val="20"/>
          <w:rtl/>
        </w:rPr>
        <w:t>וה</w:t>
      </w:r>
      <w:r w:rsidRPr="00D65870">
        <w:rPr>
          <w:rFonts w:ascii="Narkisim" w:hAnsi="Narkisim" w:cs="Narkisim"/>
          <w:b/>
          <w:bCs/>
          <w:szCs w:val="20"/>
          <w:rtl/>
        </w:rPr>
        <w:t>קה"י</w:t>
      </w:r>
      <w:r w:rsidRPr="00D65870">
        <w:rPr>
          <w:rFonts w:ascii="Narkisim" w:hAnsi="Narkisim" w:cs="Narkisim"/>
          <w:szCs w:val="20"/>
          <w:rtl/>
        </w:rPr>
        <w:t xml:space="preserve"> (סנהדרין ב) דחה דיושבי קרנות אין להם שם דיין כלל. ודוקא דיין פסול [כגון קרוב] פוסל השאר. ועוד דאין כאן צירוף כלל, וכמו שפשוט דעד הפסול שלא ראה את המעשה כלל אינו מצטרף לפסול, וה"נ יושבי קרנות ל"ש צירוף לדון דין תורה. שהרי אינם יודעים דין תורה, אלא להגיד העולה על פטפוטי ליבם</w:t>
      </w:r>
      <w:r w:rsidRPr="00D65870">
        <w:rPr>
          <w:rFonts w:ascii="Narkisim" w:hAnsi="Narkisim" w:cs="Narkisim"/>
          <w:rtl/>
        </w:rPr>
        <w:t>.</w:t>
      </w:r>
    </w:p>
    <w:p w14:paraId="6893F5D9" w14:textId="77777777" w:rsidR="006C4368" w:rsidRPr="00D65870" w:rsidRDefault="006C4368" w:rsidP="006C4368">
      <w:pPr>
        <w:pStyle w:val="aa"/>
        <w:bidi/>
        <w:rPr>
          <w:rFonts w:ascii="Narkisim" w:hAnsi="Narkisim"/>
        </w:rPr>
      </w:pPr>
      <w:r w:rsidRPr="00D65870">
        <w:rPr>
          <w:rFonts w:ascii="Narkisim" w:hAnsi="Narkisim"/>
          <w:rtl/>
        </w:rPr>
        <w:t>ונח' ה</w:t>
      </w:r>
      <w:r w:rsidRPr="00D65870">
        <w:rPr>
          <w:rFonts w:ascii="Narkisim" w:hAnsi="Narkisim"/>
          <w:b/>
          <w:bCs/>
          <w:rtl/>
        </w:rPr>
        <w:t>ראשונים</w:t>
      </w:r>
      <w:r w:rsidRPr="00D65870">
        <w:rPr>
          <w:rFonts w:ascii="Narkisim" w:hAnsi="Narkisim"/>
          <w:rtl/>
        </w:rPr>
        <w:t xml:space="preserve"> (לעיל קא:) בב' דיינים הנוספים להשלים לה' בחליצה, האם מהני פסולים. ודעת ה</w:t>
      </w:r>
      <w:r w:rsidRPr="00D65870">
        <w:rPr>
          <w:rFonts w:ascii="Narkisim" w:hAnsi="Narkisim"/>
          <w:b/>
          <w:bCs/>
          <w:rtl/>
        </w:rPr>
        <w:t>או"ז</w:t>
      </w:r>
      <w:r w:rsidRPr="00D65870">
        <w:rPr>
          <w:rFonts w:ascii="Narkisim" w:hAnsi="Narkisim"/>
          <w:rtl/>
        </w:rPr>
        <w:t xml:space="preserve"> (תרסד) דמהני פסולים להשלים</w:t>
      </w:r>
      <w:r w:rsidRPr="00D65870">
        <w:rPr>
          <w:rStyle w:val="ac"/>
          <w:rFonts w:ascii="Narkisim" w:hAnsi="Narkisim"/>
          <w:rtl/>
        </w:rPr>
        <w:footnoteReference w:id="6850"/>
      </w:r>
      <w:r w:rsidRPr="00D65870">
        <w:rPr>
          <w:rFonts w:ascii="Narkisim" w:hAnsi="Narkisim"/>
          <w:rtl/>
        </w:rPr>
        <w:t>. אך ה</w:t>
      </w:r>
      <w:r w:rsidRPr="00D65870">
        <w:rPr>
          <w:rFonts w:ascii="Narkisim" w:hAnsi="Narkisim"/>
          <w:b/>
          <w:bCs/>
          <w:rtl/>
        </w:rPr>
        <w:t>ב"י</w:t>
      </w:r>
      <w:r w:rsidRPr="00D65870">
        <w:rPr>
          <w:rFonts w:ascii="Narkisim" w:hAnsi="Narkisim"/>
          <w:rtl/>
        </w:rPr>
        <w:t xml:space="preserve"> (קסט) כת' דהיינו משום שיחדו ג' דיינים, ומש"ה הנוספים אינם פוסלים [וכמו בעדים שמהני לייחד עדים, ועי"ז אינם פוסלים את השאר</w:t>
      </w:r>
      <w:r w:rsidRPr="00D65870">
        <w:rPr>
          <w:rStyle w:val="ac"/>
          <w:rFonts w:ascii="Narkisim" w:hAnsi="Narkisim"/>
          <w:rtl/>
        </w:rPr>
        <w:footnoteReference w:id="6851"/>
      </w:r>
      <w:r w:rsidRPr="00D65870">
        <w:rPr>
          <w:rFonts w:ascii="Narkisim" w:hAnsi="Narkisim"/>
          <w:rtl/>
        </w:rPr>
        <w:t>]. אבל אילו נועדו כולם לשם דיינים בטל כל הועד. וה</w:t>
      </w:r>
      <w:r w:rsidRPr="00D65870">
        <w:rPr>
          <w:rFonts w:ascii="Narkisim" w:hAnsi="Narkisim"/>
          <w:b/>
          <w:bCs/>
          <w:rtl/>
        </w:rPr>
        <w:t>אחרונים</w:t>
      </w:r>
      <w:r w:rsidRPr="00D65870">
        <w:rPr>
          <w:rFonts w:ascii="Narkisim" w:hAnsi="Narkisim"/>
          <w:rtl/>
        </w:rPr>
        <w:t xml:space="preserve"> (הנ"ל) הביאו מדבריו דהוה משום נמצא א' מהם קרוב או פסול. [אבל </w:t>
      </w:r>
      <w:r w:rsidRPr="00D65870">
        <w:rPr>
          <w:rFonts w:ascii="Narkisim" w:hAnsi="Narkisim"/>
          <w:b/>
          <w:bCs/>
          <w:rtl/>
        </w:rPr>
        <w:t>ר"א מן ההר</w:t>
      </w:r>
      <w:r w:rsidRPr="00D65870">
        <w:rPr>
          <w:rFonts w:ascii="Narkisim" w:hAnsi="Narkisim"/>
          <w:rtl/>
        </w:rPr>
        <w:t xml:space="preserve"> (לעיל קא:) כת' דהתם הוה משום גזירה, דמיחזי כדיין].</w:t>
      </w:r>
    </w:p>
    <w:p w14:paraId="0F4B67FE" w14:textId="77777777" w:rsidR="006C4368" w:rsidRPr="00D65870" w:rsidRDefault="006C4368" w:rsidP="006C4368">
      <w:pPr>
        <w:pStyle w:val="aa"/>
        <w:bidi/>
        <w:rPr>
          <w:rFonts w:ascii="Narkisim" w:hAnsi="Narkisim"/>
        </w:rPr>
      </w:pPr>
      <w:r w:rsidRPr="00D65870">
        <w:rPr>
          <w:rFonts w:ascii="Narkisim" w:hAnsi="Narkisim"/>
          <w:u w:val="single"/>
          <w:rtl/>
        </w:rPr>
        <w:lastRenderedPageBreak/>
        <w:t>ר"ש ור' יוחנן הסנדלר מכשירין</w:t>
      </w:r>
      <w:r w:rsidRPr="00D65870">
        <w:rPr>
          <w:rFonts w:ascii="Narkisim" w:hAnsi="Narkisim"/>
          <w:rtl/>
        </w:rPr>
        <w:t xml:space="preserve">. </w:t>
      </w:r>
      <w:r w:rsidRPr="00D65870">
        <w:rPr>
          <w:rFonts w:ascii="Narkisim" w:hAnsi="Narkisim"/>
          <w:b/>
          <w:bCs/>
          <w:rtl/>
        </w:rPr>
        <w:t>רש"י</w:t>
      </w:r>
      <w:r w:rsidRPr="00D65870">
        <w:rPr>
          <w:rFonts w:ascii="Narkisim" w:hAnsi="Narkisim"/>
          <w:rtl/>
        </w:rPr>
        <w:t xml:space="preserve"> (ד"ה ור' שמעון) הביא גירסא 'בשנים'</w:t>
      </w:r>
      <w:r w:rsidRPr="00D65870">
        <w:rPr>
          <w:rStyle w:val="ac"/>
          <w:rFonts w:ascii="Narkisim" w:hAnsi="Narkisim"/>
          <w:rtl/>
        </w:rPr>
        <w:footnoteReference w:id="6852"/>
      </w:r>
      <w:r w:rsidRPr="00D65870">
        <w:rPr>
          <w:rFonts w:ascii="Narkisim" w:hAnsi="Narkisim"/>
          <w:rtl/>
        </w:rPr>
        <w:t>. וה</w:t>
      </w:r>
      <w:r w:rsidRPr="00D65870">
        <w:rPr>
          <w:rFonts w:ascii="Narkisim" w:hAnsi="Narkisim"/>
          <w:b/>
          <w:bCs/>
          <w:rtl/>
        </w:rPr>
        <w:t>רש"ש</w:t>
      </w:r>
      <w:r w:rsidRPr="00D65870">
        <w:rPr>
          <w:rFonts w:ascii="Narkisim" w:hAnsi="Narkisim"/>
          <w:rtl/>
        </w:rPr>
        <w:t xml:space="preserve"> פי' גירסא זו דדוקא חלצה בב' מכשירין, אבל ג' ונמצא קרוב או פסול מודו דל"מ. וביאר דלדידהו צריך שנים בתורת עדות [ע"ע לקמן קה:]. ובעדות קי"ל דאם נמצא א' מהם קרוב או פסול כולן בטלין</w:t>
      </w:r>
      <w:r w:rsidRPr="00D65870">
        <w:rPr>
          <w:rStyle w:val="ac"/>
          <w:rFonts w:ascii="Narkisim" w:hAnsi="Narkisim"/>
          <w:rtl/>
        </w:rPr>
        <w:footnoteReference w:id="6853"/>
      </w:r>
      <w:r w:rsidRPr="00D65870">
        <w:rPr>
          <w:rFonts w:ascii="Narkisim" w:hAnsi="Narkisim"/>
          <w:rtl/>
        </w:rPr>
        <w:t>. אך הביא ד</w:t>
      </w:r>
      <w:r w:rsidRPr="00D65870">
        <w:rPr>
          <w:rFonts w:ascii="Narkisim" w:hAnsi="Narkisim"/>
          <w:b/>
          <w:bCs/>
          <w:rtl/>
        </w:rPr>
        <w:t>תוס</w:t>
      </w:r>
      <w:r w:rsidRPr="00D65870">
        <w:rPr>
          <w:rFonts w:ascii="Narkisim" w:hAnsi="Narkisim"/>
          <w:rtl/>
        </w:rPr>
        <w:t>' (סנהדרין מא: ד"ה כמאן) כת' דר"ש (שם) סבר דנמצא א' מהן קרוב או פסול תתקיים העדות בשאר. [ולא סבר דהוקש ב' לג' לענין זה]</w:t>
      </w:r>
      <w:r w:rsidRPr="00D65870">
        <w:rPr>
          <w:rStyle w:val="ac"/>
          <w:rFonts w:ascii="Narkisim" w:hAnsi="Narkisim"/>
          <w:rtl/>
        </w:rPr>
        <w:footnoteReference w:id="6854"/>
      </w:r>
      <w:r w:rsidRPr="00D65870">
        <w:rPr>
          <w:rFonts w:ascii="Narkisim" w:hAnsi="Narkisim"/>
          <w:rtl/>
        </w:rPr>
        <w:t>.</w:t>
      </w:r>
    </w:p>
    <w:p w14:paraId="5AE12CCD" w14:textId="77777777" w:rsidR="006C4368" w:rsidRPr="00D65870" w:rsidRDefault="006C4368" w:rsidP="006C4368">
      <w:pPr>
        <w:bidi/>
        <w:rPr>
          <w:rFonts w:ascii="Narkisim" w:hAnsi="Narkisim" w:cs="Narkisim"/>
        </w:rPr>
      </w:pPr>
      <w:r w:rsidRPr="00D65870">
        <w:rPr>
          <w:rFonts w:ascii="Narkisim" w:hAnsi="Narkisim" w:cs="Narkisim"/>
          <w:u w:val="single"/>
          <w:rtl/>
        </w:rPr>
        <w:t>רש"י ד"ה והאמרי</w:t>
      </w:r>
      <w:r w:rsidRPr="00D65870">
        <w:rPr>
          <w:rFonts w:ascii="Narkisim" w:hAnsi="Narkisim" w:cs="Narkisim"/>
          <w:rtl/>
        </w:rPr>
        <w:t>. חרש שדברו בו חכמים בכ"מ אינו שומע ולא מדבר. [וכ"מ לצד בגמ' משום דלאו בני דעה]. לכאורה מבואר דמדבר ואינו שומע כשר לחליצה</w:t>
      </w:r>
      <w:r w:rsidRPr="00D65870">
        <w:rPr>
          <w:rStyle w:val="ac"/>
          <w:rFonts w:ascii="Narkisim" w:hAnsi="Narkisim" w:cs="Narkisim"/>
          <w:rtl/>
        </w:rPr>
        <w:footnoteReference w:id="6855"/>
      </w:r>
      <w:r w:rsidRPr="00D65870">
        <w:rPr>
          <w:rFonts w:ascii="Narkisim" w:hAnsi="Narkisim" w:cs="Narkisim"/>
          <w:rtl/>
        </w:rPr>
        <w:t>. וכ"מ ב</w:t>
      </w:r>
      <w:r w:rsidRPr="00D65870">
        <w:rPr>
          <w:rFonts w:ascii="Narkisim" w:hAnsi="Narkisim" w:cs="Narkisim"/>
          <w:b/>
          <w:bCs/>
          <w:rtl/>
        </w:rPr>
        <w:t>שו"ע</w:t>
      </w:r>
      <w:r w:rsidRPr="00D65870">
        <w:rPr>
          <w:rFonts w:ascii="Narkisim" w:hAnsi="Narkisim" w:cs="Narkisim"/>
          <w:rtl/>
        </w:rPr>
        <w:t xml:space="preserve"> (סדר חליצה טז).</w:t>
      </w:r>
    </w:p>
    <w:p w14:paraId="0B8090CA"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שאג"א</w:t>
      </w:r>
      <w:r w:rsidRPr="00D65870">
        <w:rPr>
          <w:rFonts w:ascii="Narkisim" w:hAnsi="Narkisim"/>
          <w:rtl/>
        </w:rPr>
        <w:t xml:space="preserve"> (ז) הק' דנימא דאינו ראוי להשמיע לאזניו. וקי"ל דלכתחילה צריך להשמיע לאזנו, א"כ חרש דאינו ראוי להשמיע נימא דמעכבת, וכדין כל שאינו ראוי לבילה</w:t>
      </w:r>
      <w:r w:rsidRPr="00D65870">
        <w:rPr>
          <w:rStyle w:val="ac"/>
          <w:rFonts w:ascii="Narkisim" w:hAnsi="Narkisim"/>
          <w:rtl/>
        </w:rPr>
        <w:footnoteReference w:id="6856"/>
      </w:r>
      <w:r w:rsidRPr="00D65870">
        <w:rPr>
          <w:rFonts w:ascii="Narkisim" w:hAnsi="Narkisim"/>
          <w:rtl/>
        </w:rPr>
        <w:t>.</w:t>
      </w:r>
    </w:p>
    <w:p w14:paraId="5E3F4077" w14:textId="77777777" w:rsidR="006C4368" w:rsidRPr="00D65870" w:rsidRDefault="006C4368" w:rsidP="006C4368">
      <w:pPr>
        <w:pStyle w:val="a8"/>
        <w:bidi/>
        <w:rPr>
          <w:rFonts w:ascii="Narkisim" w:hAnsi="Narkisim"/>
        </w:rPr>
      </w:pPr>
      <w:r w:rsidRPr="00D65870">
        <w:rPr>
          <w:rFonts w:ascii="Narkisim" w:hAnsi="Narkisim"/>
          <w:rtl/>
        </w:rPr>
        <w:t>והשאג"א דן דשמא לא אמרי' ב' פעמים אינו ראוי לבילה, דקריאה אינו מעכב להשמיע לאזניו, ודוקא היכא דאינו ראוי מעכב. ובחליצה היכא דראוי לקריאה קריאה אינה מעכבת כלל. א"כ אבל חרש המדבר ואינו שומע ראוי לעיקר מצות קריאה, ואף שאינו ראוי לבילה לדין להשמיע לאזניו, כל כה"ג לא אמרי' כל שאינו ראוי לבילה הבילה מעכבת בו.</w:t>
      </w:r>
    </w:p>
    <w:p w14:paraId="3B990014" w14:textId="77777777" w:rsidR="006C4368" w:rsidRPr="00D65870" w:rsidRDefault="006C4368" w:rsidP="006C4368">
      <w:pPr>
        <w:pStyle w:val="a8"/>
        <w:bidi/>
        <w:rPr>
          <w:rFonts w:ascii="Narkisim" w:hAnsi="Narkisim"/>
        </w:rPr>
      </w:pPr>
      <w:r w:rsidRPr="00D65870">
        <w:rPr>
          <w:rFonts w:ascii="Narkisim" w:hAnsi="Narkisim"/>
          <w:rtl/>
        </w:rPr>
        <w:t>אך השאג"א הביא דמדברי ה</w:t>
      </w:r>
      <w:r w:rsidRPr="00D65870">
        <w:rPr>
          <w:rFonts w:ascii="Narkisim" w:hAnsi="Narkisim"/>
          <w:b/>
          <w:bCs/>
          <w:rtl/>
        </w:rPr>
        <w:t>רי"ף</w:t>
      </w:r>
      <w:r w:rsidRPr="00D65870">
        <w:rPr>
          <w:rFonts w:ascii="Narkisim" w:hAnsi="Narkisim"/>
          <w:rtl/>
        </w:rPr>
        <w:t xml:space="preserve"> (לקמן קו:) מבואר דאף בכעי"ז מעכב היכא דהאשה אינה ראויה לקרוא בבת א' אמרי' דאינו ראוי לבילה כדר' זירא. ואף דעיקר קריאה אינה מעכבת.</w:t>
      </w:r>
    </w:p>
    <w:p w14:paraId="77A4D9DA" w14:textId="77777777" w:rsidR="006C4368" w:rsidRPr="00D65870" w:rsidRDefault="006C4368" w:rsidP="006C4368">
      <w:pPr>
        <w:pStyle w:val="a7"/>
        <w:bidi/>
        <w:rPr>
          <w:rFonts w:ascii="Narkisim" w:hAnsi="Narkisim"/>
        </w:rPr>
      </w:pPr>
      <w:r w:rsidRPr="00D65870">
        <w:rPr>
          <w:rFonts w:ascii="Narkisim" w:hAnsi="Narkisim"/>
          <w:rtl/>
        </w:rPr>
        <w:t>אבל ה</w:t>
      </w:r>
      <w:r w:rsidRPr="00D65870">
        <w:rPr>
          <w:rFonts w:ascii="Narkisim" w:hAnsi="Narkisim"/>
          <w:b/>
          <w:bCs/>
          <w:rtl/>
        </w:rPr>
        <w:t>רמב"ן</w:t>
      </w:r>
      <w:r w:rsidRPr="00D65870">
        <w:rPr>
          <w:rFonts w:ascii="Narkisim" w:hAnsi="Narkisim"/>
          <w:rtl/>
        </w:rPr>
        <w:t xml:space="preserve"> הביא דב</w:t>
      </w:r>
      <w:r w:rsidRPr="00D65870">
        <w:rPr>
          <w:rFonts w:ascii="Narkisim" w:hAnsi="Narkisim"/>
          <w:b/>
          <w:bCs/>
          <w:rtl/>
        </w:rPr>
        <w:t>ירושלמי</w:t>
      </w:r>
      <w:r w:rsidRPr="00D65870">
        <w:rPr>
          <w:rFonts w:ascii="Narkisim" w:hAnsi="Narkisim"/>
          <w:rtl/>
        </w:rPr>
        <w:t xml:space="preserve"> (תרומות א ב, וכן בר"ש שם) מבואר דמתני' דידן איירי דאינו שומע, אך מדבר. ומשום שאינו ב'ואמר ואמרה'</w:t>
      </w:r>
      <w:r w:rsidRPr="00D65870">
        <w:rPr>
          <w:rStyle w:val="ac"/>
          <w:rFonts w:ascii="Narkisim" w:hAnsi="Narkisim"/>
          <w:rtl/>
        </w:rPr>
        <w:footnoteReference w:id="6857"/>
      </w:r>
      <w:r w:rsidRPr="00D65870">
        <w:rPr>
          <w:rFonts w:ascii="Narkisim" w:hAnsi="Narkisim"/>
          <w:rtl/>
        </w:rPr>
        <w:t>. וה</w:t>
      </w:r>
      <w:r w:rsidRPr="00D65870">
        <w:rPr>
          <w:rFonts w:ascii="Narkisim" w:hAnsi="Narkisim"/>
          <w:b/>
          <w:bCs/>
          <w:rtl/>
        </w:rPr>
        <w:t>רמב"ן</w:t>
      </w:r>
      <w:r w:rsidRPr="00D65870">
        <w:rPr>
          <w:rFonts w:ascii="Narkisim" w:hAnsi="Narkisim"/>
          <w:rtl/>
        </w:rPr>
        <w:t xml:space="preserve"> ביאר שאין אנו יכולין ללמדן ולהקרותן</w:t>
      </w:r>
      <w:r w:rsidRPr="00D65870">
        <w:rPr>
          <w:rStyle w:val="ac"/>
          <w:rFonts w:ascii="Narkisim" w:hAnsi="Narkisim"/>
          <w:rtl/>
        </w:rPr>
        <w:footnoteReference w:id="6858"/>
      </w:r>
      <w:r w:rsidRPr="00D65870">
        <w:rPr>
          <w:rFonts w:ascii="Narkisim" w:hAnsi="Narkisim"/>
          <w:rtl/>
        </w:rPr>
        <w:t>. וה</w:t>
      </w:r>
      <w:r w:rsidRPr="00D65870">
        <w:rPr>
          <w:rFonts w:ascii="Narkisim" w:hAnsi="Narkisim"/>
          <w:b/>
          <w:bCs/>
          <w:rtl/>
        </w:rPr>
        <w:t>ריטב"א</w:t>
      </w:r>
      <w:r w:rsidRPr="00D65870">
        <w:rPr>
          <w:rFonts w:ascii="Narkisim" w:hAnsi="Narkisim"/>
          <w:rtl/>
        </w:rPr>
        <w:t xml:space="preserve"> ביאר דמאי מהני קריאה, כיון שאינם שומעים זה לזה</w:t>
      </w:r>
      <w:r w:rsidRPr="00D65870">
        <w:rPr>
          <w:rStyle w:val="ac"/>
          <w:rFonts w:ascii="Narkisim" w:hAnsi="Narkisim"/>
          <w:rtl/>
        </w:rPr>
        <w:footnoteReference w:id="6859"/>
      </w:r>
      <w:r w:rsidRPr="00D65870">
        <w:rPr>
          <w:rFonts w:ascii="Narkisim" w:hAnsi="Narkisim"/>
          <w:rtl/>
        </w:rPr>
        <w:t>.</w:t>
      </w:r>
    </w:p>
    <w:p w14:paraId="0A467131" w14:textId="77777777" w:rsidR="006C4368" w:rsidRPr="00D65870" w:rsidRDefault="006C4368" w:rsidP="006C4368">
      <w:pPr>
        <w:bidi/>
        <w:rPr>
          <w:rFonts w:ascii="Narkisim" w:hAnsi="Narkisim" w:cs="Narkisim"/>
        </w:rPr>
      </w:pPr>
      <w:r w:rsidRPr="00D65870">
        <w:rPr>
          <w:rFonts w:ascii="Narkisim" w:hAnsi="Narkisim" w:cs="Narkisim"/>
          <w:u w:val="single"/>
          <w:rtl/>
        </w:rPr>
        <w:t>תוד"ה והא</w:t>
      </w:r>
      <w:r w:rsidRPr="00D65870">
        <w:rPr>
          <w:rFonts w:ascii="Narkisim" w:hAnsi="Narkisim" w:cs="Narkisim"/>
          <w:rtl/>
        </w:rPr>
        <w:t>. דלמא משום דלאו בני דעה נינהו וכו'. וה</w:t>
      </w:r>
      <w:r w:rsidRPr="00D65870">
        <w:rPr>
          <w:rFonts w:ascii="Narkisim" w:hAnsi="Narkisim" w:cs="Narkisim"/>
          <w:b/>
          <w:bCs/>
          <w:rtl/>
        </w:rPr>
        <w:t>ראשונים</w:t>
      </w:r>
      <w:r w:rsidRPr="00D65870">
        <w:rPr>
          <w:rFonts w:ascii="Narkisim" w:hAnsi="Narkisim" w:cs="Narkisim"/>
          <w:rtl/>
        </w:rPr>
        <w:t xml:space="preserve"> הוסיפו דקי"ל (לקמן קו.) דל"מ חליצה עד שיתכוונו שניהם</w:t>
      </w:r>
      <w:r w:rsidRPr="00D65870">
        <w:rPr>
          <w:rStyle w:val="ac"/>
          <w:rFonts w:ascii="Narkisim" w:hAnsi="Narkisim" w:cs="Narkisim"/>
          <w:rtl/>
        </w:rPr>
        <w:footnoteReference w:id="6860"/>
      </w:r>
      <w:r w:rsidRPr="00D65870">
        <w:rPr>
          <w:rFonts w:ascii="Narkisim" w:hAnsi="Narkisim" w:cs="Narkisim"/>
          <w:rtl/>
        </w:rPr>
        <w:t>. ו</w:t>
      </w:r>
      <w:r w:rsidRPr="00D65870">
        <w:rPr>
          <w:rFonts w:ascii="Narkisim" w:hAnsi="Narkisim" w:cs="Narkisim"/>
          <w:b/>
          <w:bCs/>
          <w:rtl/>
        </w:rPr>
        <w:t>תוס</w:t>
      </w:r>
      <w:r w:rsidRPr="00D65870">
        <w:rPr>
          <w:rFonts w:ascii="Narkisim" w:hAnsi="Narkisim" w:cs="Narkisim"/>
          <w:rtl/>
        </w:rPr>
        <w:t>' בהמשך דבריהם הביאו מהתוספתא דשוטה אינו חולץ, וע"כ דהטעם משום דלאו בני דעה. [וכ"כ ה</w:t>
      </w:r>
      <w:r w:rsidRPr="00D65870">
        <w:rPr>
          <w:rFonts w:ascii="Narkisim" w:hAnsi="Narkisim" w:cs="Narkisim"/>
          <w:b/>
          <w:bCs/>
          <w:rtl/>
        </w:rPr>
        <w:t>רמב"ן</w:t>
      </w:r>
      <w:r w:rsidRPr="00D65870">
        <w:rPr>
          <w:rFonts w:ascii="Narkisim" w:hAnsi="Narkisim" w:cs="Narkisim"/>
          <w:rtl/>
        </w:rPr>
        <w:t>].</w:t>
      </w:r>
    </w:p>
    <w:p w14:paraId="4B7114FB" w14:textId="77777777" w:rsidR="006C4368" w:rsidRPr="00D65870" w:rsidRDefault="006C4368" w:rsidP="006C4368">
      <w:pPr>
        <w:bidi/>
        <w:rPr>
          <w:rFonts w:ascii="Narkisim" w:hAnsi="Narkisim" w:cs="Narkisim"/>
        </w:rPr>
      </w:pPr>
      <w:r w:rsidRPr="00D65870">
        <w:rPr>
          <w:rFonts w:ascii="Narkisim" w:hAnsi="Narkisim" w:cs="Narkisim"/>
          <w:u w:val="single"/>
          <w:rtl/>
        </w:rPr>
        <w:lastRenderedPageBreak/>
        <w:t>בא"ד וקטן נמי וכו' אי לאו דאיש כתיב בפרשה</w:t>
      </w:r>
      <w:r w:rsidRPr="00D65870">
        <w:rPr>
          <w:rStyle w:val="ac"/>
          <w:rFonts w:ascii="Narkisim" w:hAnsi="Narkisim" w:cs="Narkisim"/>
          <w:u w:val="single"/>
          <w:rtl/>
        </w:rPr>
        <w:footnoteReference w:id="6861"/>
      </w:r>
      <w:r w:rsidRPr="00D65870">
        <w:rPr>
          <w:rFonts w:ascii="Narkisim" w:hAnsi="Narkisim" w:cs="Narkisim"/>
          <w:u w:val="single"/>
          <w:rtl/>
        </w:rPr>
        <w:t xml:space="preserve"> וכו'</w:t>
      </w:r>
      <w:r w:rsidRPr="00D65870">
        <w:rPr>
          <w:rFonts w:ascii="Narkisim" w:hAnsi="Narkisim" w:cs="Narkisim"/>
          <w:rtl/>
        </w:rPr>
        <w:t>. ומבואר בתוס' דחרש אינו ממועט מ'איש'</w:t>
      </w:r>
      <w:r w:rsidRPr="00D65870">
        <w:rPr>
          <w:rStyle w:val="ac"/>
          <w:rFonts w:ascii="Narkisim" w:hAnsi="Narkisim" w:cs="Narkisim"/>
          <w:rtl/>
        </w:rPr>
        <w:footnoteReference w:id="6862"/>
      </w:r>
      <w:r w:rsidRPr="00D65870">
        <w:rPr>
          <w:rFonts w:ascii="Narkisim" w:hAnsi="Narkisim" w:cs="Narkisim"/>
          <w:rtl/>
        </w:rPr>
        <w:t>. [ומבואר בתוס' דאף החסרון בשוטה משום דאין בו דעת]. וה</w:t>
      </w:r>
      <w:r w:rsidRPr="00D65870">
        <w:rPr>
          <w:rFonts w:ascii="Narkisim" w:hAnsi="Narkisim" w:cs="Narkisim"/>
          <w:b/>
          <w:bCs/>
          <w:rtl/>
        </w:rPr>
        <w:t>קוב"ש</w:t>
      </w:r>
      <w:r w:rsidRPr="00D65870">
        <w:rPr>
          <w:rFonts w:ascii="Narkisim" w:hAnsi="Narkisim" w:cs="Narkisim"/>
          <w:rtl/>
        </w:rPr>
        <w:t xml:space="preserve"> (ח"ב גיטין טז) הביא עוד מהא דחרש קונה יבמתו מה"ת [כדמבואר לקמן קיב: וכ"מ], ואף דקטן בן ט' נתמעט אשת איש ולא אשת קטן</w:t>
      </w:r>
      <w:r w:rsidRPr="00D65870">
        <w:rPr>
          <w:rStyle w:val="ac"/>
          <w:rFonts w:ascii="Narkisim" w:hAnsi="Narkisim" w:cs="Narkisim"/>
          <w:rtl/>
        </w:rPr>
        <w:footnoteReference w:id="6863"/>
      </w:r>
      <w:r w:rsidRPr="00D65870">
        <w:rPr>
          <w:rFonts w:ascii="Narkisim" w:hAnsi="Narkisim" w:cs="Narkisim"/>
          <w:rtl/>
        </w:rPr>
        <w:t>. ולא נתמעט אשת חרש ושוטה.</w:t>
      </w:r>
    </w:p>
    <w:p w14:paraId="4C3EB328"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קוב"ש</w:t>
      </w:r>
      <w:r w:rsidRPr="00D65870">
        <w:rPr>
          <w:rFonts w:ascii="Narkisim" w:hAnsi="Narkisim"/>
          <w:rtl/>
        </w:rPr>
        <w:t xml:space="preserve"> הק' ד</w:t>
      </w:r>
      <w:r w:rsidRPr="00D65870">
        <w:rPr>
          <w:rFonts w:ascii="Narkisim" w:hAnsi="Narkisim"/>
          <w:b/>
          <w:bCs/>
          <w:rtl/>
        </w:rPr>
        <w:t>רש"י</w:t>
      </w:r>
      <w:r w:rsidRPr="00D65870">
        <w:rPr>
          <w:rFonts w:ascii="Narkisim" w:hAnsi="Narkisim"/>
          <w:rtl/>
        </w:rPr>
        <w:t xml:space="preserve"> (גיטין כג.) כת' דחש"ו לאו בני שליחות דלאו בני דעה, ופ</w:t>
      </w:r>
      <w:r w:rsidRPr="00D65870">
        <w:rPr>
          <w:rFonts w:ascii="Narkisim" w:hAnsi="Narkisim"/>
          <w:b/>
          <w:bCs/>
          <w:rtl/>
        </w:rPr>
        <w:t>רש"י</w:t>
      </w:r>
      <w:r w:rsidRPr="00D65870">
        <w:rPr>
          <w:rFonts w:ascii="Narkisim" w:hAnsi="Narkisim"/>
          <w:rtl/>
        </w:rPr>
        <w:t xml:space="preserve"> דגבי שליחות איש כתיב ולא קטן. והאיך נתמעט חרש ושוטה. וביאר דנתמעט רק קטן, אלא דהפסול משום דאינו בן דעת. ומש"ה ילפי' חרש ושוטה במה מצינו. אבל גבי יבום אי"צ דעת, וע"כ נתמעט קטן משום קטנותו, ומש"ה לא ילפי' חרש ושוטה מקטן. וכן חליצה, כיון דבגדול עומד ע"ג סגי בדעת של קטן וחרש [וכמ"ש תוס'], ע"כ דגדר המיעוט משום קטנותו.</w:t>
      </w:r>
    </w:p>
    <w:p w14:paraId="1C6BD46F"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בי"מ</w:t>
      </w:r>
      <w:r w:rsidRPr="00D65870">
        <w:rPr>
          <w:rFonts w:ascii="Narkisim" w:hAnsi="Narkisim"/>
          <w:rtl/>
        </w:rPr>
        <w:t xml:space="preserve"> (מד בסוגריים) הק' [על דברי תוס' והראשונים] דנימא דילפינן מ'איש' דצריך כוונה בחליצה [ומש"ה ל"מ חרש ושוטה דלאו בני דעה]. וציין לרש"י (הנ"ל) גבי שליחות.</w:t>
      </w:r>
    </w:p>
    <w:p w14:paraId="6FC16410"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אבל </w:t>
      </w:r>
      <w:r w:rsidRPr="00D65870">
        <w:rPr>
          <w:rFonts w:ascii="Narkisim" w:hAnsi="Narkisim" w:cs="Narkisim"/>
          <w:b/>
          <w:bCs/>
          <w:rtl/>
        </w:rPr>
        <w:t>רבינו יונה</w:t>
      </w:r>
      <w:r w:rsidRPr="00D65870">
        <w:rPr>
          <w:rFonts w:ascii="Narkisim" w:hAnsi="Narkisim" w:cs="Narkisim"/>
          <w:rtl/>
        </w:rPr>
        <w:t xml:space="preserve"> </w:t>
      </w:r>
      <w:r w:rsidRPr="00D65870">
        <w:rPr>
          <w:rFonts w:ascii="Narkisim" w:hAnsi="Narkisim" w:cs="Narkisim"/>
          <w:szCs w:val="20"/>
          <w:rtl/>
        </w:rPr>
        <w:t>(הו' ברשב"א חולין יב: ובשו"ת א כו)</w:t>
      </w:r>
      <w:r w:rsidRPr="00D65870">
        <w:rPr>
          <w:rFonts w:ascii="Narkisim" w:hAnsi="Narkisim" w:cs="Narkisim"/>
          <w:rtl/>
        </w:rPr>
        <w:t xml:space="preserve"> כת' דל"מ חליצת קטן משום דלאו בר דעת [ול"מ גדול עומד ע"ג, ע' בסמוך], וביאר דהגמ' הביאה הדרשא ד'איש' כתיב בפרשה, דאל"כ ס"ד דמהני דעת של קטן כבן ט' או י'. קמ"ל דבעי איש</w:t>
      </w:r>
      <w:r w:rsidRPr="00D65870">
        <w:rPr>
          <w:rStyle w:val="ac"/>
          <w:rFonts w:ascii="Narkisim" w:hAnsi="Narkisim" w:cs="Narkisim"/>
          <w:rtl/>
        </w:rPr>
        <w:footnoteReference w:id="6864"/>
      </w:r>
      <w:r w:rsidRPr="00D65870">
        <w:rPr>
          <w:rFonts w:ascii="Narkisim" w:hAnsi="Narkisim" w:cs="Narkisim"/>
          <w:rtl/>
        </w:rPr>
        <w:t>.</w:t>
      </w:r>
    </w:p>
    <w:p w14:paraId="6928AD6D" w14:textId="77777777" w:rsidR="006C4368" w:rsidRPr="00D65870" w:rsidRDefault="006C4368" w:rsidP="006C4368">
      <w:pPr>
        <w:bidi/>
        <w:rPr>
          <w:rFonts w:ascii="Narkisim" w:hAnsi="Narkisim" w:cs="Narkisim"/>
        </w:rPr>
      </w:pPr>
      <w:r w:rsidRPr="00D65870">
        <w:rPr>
          <w:rFonts w:ascii="Narkisim" w:hAnsi="Narkisim" w:cs="Narkisim"/>
          <w:u w:val="single"/>
          <w:rtl/>
        </w:rPr>
        <w:t>בא"ד וי"ל שבי"ד עומדים ע"ג, ומורים להם לעשות חליצה כתיקנה וכו</w:t>
      </w:r>
      <w:r w:rsidRPr="00D65870">
        <w:rPr>
          <w:rFonts w:ascii="Narkisim" w:hAnsi="Narkisim" w:cs="Narkisim"/>
          <w:rtl/>
        </w:rPr>
        <w:t>'. וה</w:t>
      </w:r>
      <w:r w:rsidRPr="00D65870">
        <w:rPr>
          <w:rFonts w:ascii="Narkisim" w:hAnsi="Narkisim" w:cs="Narkisim"/>
          <w:b/>
          <w:bCs/>
          <w:rtl/>
        </w:rPr>
        <w:t>גר"ח</w:t>
      </w:r>
      <w:r w:rsidRPr="00D65870">
        <w:rPr>
          <w:rFonts w:ascii="Narkisim" w:hAnsi="Narkisim" w:cs="Narkisim"/>
          <w:rtl/>
        </w:rPr>
        <w:t xml:space="preserve"> (יבום ד, ועד"ז עוד אחרונים) כת' דדוקא בכתיבה לשמה וחליצה מהני גדול עומד ע"ג, אבל בעיקר הגט וקידושין ל"מ עומד ע"ג</w:t>
      </w:r>
      <w:r w:rsidRPr="00D65870">
        <w:rPr>
          <w:rStyle w:val="ac"/>
          <w:rFonts w:ascii="Narkisim" w:hAnsi="Narkisim" w:cs="Narkisim"/>
          <w:rtl/>
        </w:rPr>
        <w:footnoteReference w:id="6865"/>
      </w:r>
      <w:r w:rsidRPr="00D65870">
        <w:rPr>
          <w:rFonts w:ascii="Narkisim" w:hAnsi="Narkisim" w:cs="Narkisim"/>
          <w:rtl/>
        </w:rPr>
        <w:t>.</w:t>
      </w:r>
    </w:p>
    <w:p w14:paraId="589212ED" w14:textId="77777777" w:rsidR="006C4368" w:rsidRPr="00D65870" w:rsidRDefault="006C4368" w:rsidP="006C4368">
      <w:pPr>
        <w:pStyle w:val="a7"/>
        <w:bidi/>
        <w:rPr>
          <w:rFonts w:ascii="Narkisim" w:hAnsi="Narkisim"/>
        </w:rPr>
      </w:pPr>
      <w:r w:rsidRPr="00D65870">
        <w:rPr>
          <w:rFonts w:ascii="Narkisim" w:hAnsi="Narkisim"/>
          <w:rtl/>
        </w:rPr>
        <w:t>וביאר דעיקר גירושין וקידושין הבעלים פועלים האיסור וההיתר, ומש"ה צריך 'דעת' שלהם</w:t>
      </w:r>
      <w:r w:rsidRPr="00D65870">
        <w:rPr>
          <w:rStyle w:val="ac"/>
          <w:rFonts w:ascii="Narkisim" w:hAnsi="Narkisim"/>
          <w:rtl/>
        </w:rPr>
        <w:footnoteReference w:id="6866"/>
      </w:r>
      <w:r w:rsidRPr="00D65870">
        <w:rPr>
          <w:rFonts w:ascii="Narkisim" w:hAnsi="Narkisim"/>
          <w:rtl/>
        </w:rPr>
        <w:t>. ול"ש בזה עומד ע"ג</w:t>
      </w:r>
      <w:r w:rsidRPr="00D65870">
        <w:rPr>
          <w:rStyle w:val="ac"/>
          <w:rFonts w:ascii="Narkisim" w:hAnsi="Narkisim"/>
          <w:rtl/>
        </w:rPr>
        <w:footnoteReference w:id="6867"/>
      </w:r>
      <w:r w:rsidRPr="00D65870">
        <w:rPr>
          <w:rFonts w:ascii="Narkisim" w:hAnsi="Narkisim"/>
          <w:rtl/>
        </w:rPr>
        <w:t>. אבל חליצה ל"צ דעת בעלים, אלא דין כוונה, דיתכוון למעשה החליצה. וע"י מעשה החליצה בא פטור ממילא</w:t>
      </w:r>
      <w:r w:rsidRPr="00D65870">
        <w:rPr>
          <w:rStyle w:val="ac"/>
          <w:rFonts w:ascii="Narkisim" w:hAnsi="Narkisim"/>
          <w:rtl/>
        </w:rPr>
        <w:footnoteReference w:id="6868"/>
      </w:r>
      <w:r w:rsidRPr="00D65870">
        <w:rPr>
          <w:rFonts w:ascii="Narkisim" w:hAnsi="Narkisim"/>
          <w:rtl/>
        </w:rPr>
        <w:t>, ולא נחשב דהיבם פועל את החליצה</w:t>
      </w:r>
      <w:r w:rsidRPr="00D65870">
        <w:rPr>
          <w:rStyle w:val="ac"/>
          <w:rFonts w:ascii="Narkisim" w:hAnsi="Narkisim"/>
          <w:rtl/>
        </w:rPr>
        <w:footnoteReference w:id="6869"/>
      </w:r>
      <w:r w:rsidRPr="00D65870">
        <w:rPr>
          <w:rFonts w:ascii="Narkisim" w:hAnsi="Narkisim"/>
          <w:rtl/>
        </w:rPr>
        <w:t xml:space="preserve">. [ומש"ה אי"צ דעת דידיה, אלא כוונה]. </w:t>
      </w:r>
      <w:r w:rsidRPr="00D65870">
        <w:rPr>
          <w:rFonts w:ascii="Narkisim" w:hAnsi="Narkisim"/>
          <w:szCs w:val="20"/>
          <w:rtl/>
        </w:rPr>
        <w:t>[ויסוד זה יתבאר עוד לקמן קה: וקו.]</w:t>
      </w:r>
      <w:r w:rsidRPr="00D65870">
        <w:rPr>
          <w:rFonts w:ascii="Narkisim" w:hAnsi="Narkisim"/>
          <w:rtl/>
        </w:rPr>
        <w:t>.</w:t>
      </w:r>
    </w:p>
    <w:p w14:paraId="76ECF040" w14:textId="77777777" w:rsidR="006C4368" w:rsidRPr="00D65870" w:rsidRDefault="006C4368" w:rsidP="006C4368">
      <w:pPr>
        <w:pStyle w:val="a7"/>
        <w:bidi/>
        <w:rPr>
          <w:rFonts w:ascii="Narkisim" w:hAnsi="Narkisim"/>
        </w:rPr>
      </w:pPr>
      <w:r w:rsidRPr="00D65870">
        <w:rPr>
          <w:rFonts w:ascii="Narkisim" w:hAnsi="Narkisim"/>
          <w:rtl/>
        </w:rPr>
        <w:t>ועד"ז כת' ה</w:t>
      </w:r>
      <w:r w:rsidRPr="00D65870">
        <w:rPr>
          <w:rFonts w:ascii="Narkisim" w:hAnsi="Narkisim"/>
          <w:b/>
          <w:bCs/>
          <w:rtl/>
        </w:rPr>
        <w:t>בי"מ</w:t>
      </w:r>
      <w:r w:rsidRPr="00D65870">
        <w:rPr>
          <w:rFonts w:ascii="Narkisim" w:hAnsi="Narkisim"/>
          <w:rtl/>
        </w:rPr>
        <w:t xml:space="preserve"> (קכא ו) דודאי ל"מ גדול עומד ע"ג בקנינים ובגירושין</w:t>
      </w:r>
      <w:r w:rsidRPr="00D65870">
        <w:rPr>
          <w:rStyle w:val="ac"/>
          <w:rFonts w:ascii="Narkisim" w:hAnsi="Narkisim"/>
          <w:rtl/>
        </w:rPr>
        <w:footnoteReference w:id="6870"/>
      </w:r>
      <w:r w:rsidRPr="00D65870">
        <w:rPr>
          <w:rFonts w:ascii="Narkisim" w:hAnsi="Narkisim"/>
          <w:rtl/>
        </w:rPr>
        <w:t xml:space="preserve">, דזה שאין לו דעת </w:t>
      </w:r>
      <w:r w:rsidRPr="00D65870">
        <w:rPr>
          <w:rFonts w:ascii="Narkisim" w:hAnsi="Narkisim"/>
          <w:rtl/>
        </w:rPr>
        <w:lastRenderedPageBreak/>
        <w:t>לקנות ולמכור מה יוסיף גדול עע"ג. דהוה כאילו העומד על גביו משיאו עצה לקנות ולמכור, ומידי מששא אית ביה. ולא דמי לחליצה דסגי ב'כוונה'</w:t>
      </w:r>
      <w:r w:rsidRPr="00D65870">
        <w:rPr>
          <w:rStyle w:val="ac"/>
          <w:rFonts w:ascii="Narkisim" w:hAnsi="Narkisim"/>
          <w:rtl/>
        </w:rPr>
        <w:footnoteReference w:id="6871"/>
      </w:r>
      <w:r w:rsidRPr="00D65870">
        <w:rPr>
          <w:rFonts w:ascii="Narkisim" w:hAnsi="Narkisim"/>
          <w:rtl/>
        </w:rPr>
        <w:t>.</w:t>
      </w:r>
    </w:p>
    <w:p w14:paraId="7AC9C580" w14:textId="77777777" w:rsidR="006C4368" w:rsidRPr="00D65870" w:rsidRDefault="006C4368" w:rsidP="006C4368">
      <w:pPr>
        <w:pStyle w:val="aa"/>
        <w:bidi/>
        <w:rPr>
          <w:rFonts w:ascii="Narkisim" w:hAnsi="Narkisim"/>
        </w:rPr>
      </w:pPr>
      <w:r w:rsidRPr="00D65870">
        <w:rPr>
          <w:rFonts w:ascii="Narkisim" w:hAnsi="Narkisim"/>
          <w:rtl/>
        </w:rPr>
        <w:t>אך ה</w:t>
      </w:r>
      <w:r w:rsidRPr="00D65870">
        <w:rPr>
          <w:rFonts w:ascii="Narkisim" w:hAnsi="Narkisim"/>
          <w:b/>
          <w:bCs/>
          <w:rtl/>
        </w:rPr>
        <w:t>אחרונים</w:t>
      </w:r>
      <w:r w:rsidRPr="00D65870">
        <w:rPr>
          <w:rFonts w:ascii="Narkisim" w:hAnsi="Narkisim"/>
          <w:rtl/>
        </w:rPr>
        <w:t xml:space="preserve"> הביאו דב</w:t>
      </w:r>
      <w:r w:rsidRPr="00D65870">
        <w:rPr>
          <w:rFonts w:ascii="Narkisim" w:hAnsi="Narkisim"/>
          <w:b/>
          <w:bCs/>
          <w:rtl/>
        </w:rPr>
        <w:t>ירושלמי</w:t>
      </w:r>
      <w:r w:rsidRPr="00D65870">
        <w:rPr>
          <w:rFonts w:ascii="Narkisim" w:hAnsi="Narkisim"/>
          <w:rtl/>
        </w:rPr>
        <w:t xml:space="preserve"> (תרומות א א) הו' דעת ר' ישמעאל בנו של רבי יוחנן בן ברוקה דחש"ו שקידשו, בינן לבין עצמן אין קידושיהן קידושין. בינן לבין אחרים קידושיהן קידושין. משמע דמהני גדול עומד על גביו לקדש אשה</w:t>
      </w:r>
      <w:r w:rsidRPr="00D65870">
        <w:rPr>
          <w:rStyle w:val="ac"/>
          <w:rFonts w:ascii="Narkisim" w:hAnsi="Narkisim"/>
          <w:rtl/>
        </w:rPr>
        <w:footnoteReference w:id="6872"/>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תמהו בזה, והביאו דעכ"פ מבואר בבבלי בכמה מקומות דלא משכח"ל קטן שיקדש אשה</w:t>
      </w:r>
      <w:r w:rsidRPr="00D65870">
        <w:rPr>
          <w:rStyle w:val="ac"/>
          <w:rFonts w:ascii="Narkisim" w:hAnsi="Narkisim"/>
          <w:rtl/>
        </w:rPr>
        <w:footnoteReference w:id="6873"/>
      </w:r>
      <w:r w:rsidRPr="00D65870">
        <w:rPr>
          <w:rFonts w:ascii="Narkisim" w:hAnsi="Narkisim"/>
          <w:rtl/>
        </w:rPr>
        <w:t>. אך ה</w:t>
      </w:r>
      <w:r w:rsidRPr="00D65870">
        <w:rPr>
          <w:rFonts w:ascii="Narkisim" w:hAnsi="Narkisim"/>
          <w:b/>
          <w:bCs/>
          <w:rtl/>
        </w:rPr>
        <w:t>תור"ג</w:t>
      </w:r>
      <w:r w:rsidRPr="00D65870">
        <w:rPr>
          <w:rFonts w:ascii="Narkisim" w:hAnsi="Narkisim"/>
          <w:rtl/>
        </w:rPr>
        <w:t xml:space="preserve"> (ס"ס קכא) דחה דה</w:t>
      </w:r>
      <w:r w:rsidRPr="00D65870">
        <w:rPr>
          <w:rFonts w:ascii="Narkisim" w:hAnsi="Narkisim"/>
          <w:b/>
          <w:bCs/>
          <w:rtl/>
        </w:rPr>
        <w:t>ירושלמי</w:t>
      </w:r>
      <w:r w:rsidRPr="00D65870">
        <w:rPr>
          <w:rFonts w:ascii="Narkisim" w:hAnsi="Narkisim"/>
          <w:rtl/>
        </w:rPr>
        <w:t xml:space="preserve"> קאי בקידוש מי חטאת</w:t>
      </w:r>
      <w:r w:rsidRPr="00D65870">
        <w:rPr>
          <w:rStyle w:val="ac"/>
          <w:rFonts w:ascii="Narkisim" w:hAnsi="Narkisim"/>
          <w:rtl/>
        </w:rPr>
        <w:footnoteReference w:id="6874"/>
      </w:r>
      <w:r w:rsidRPr="00D65870">
        <w:rPr>
          <w:rFonts w:ascii="Narkisim" w:hAnsi="Narkisim"/>
          <w:rtl/>
        </w:rPr>
        <w:t>, ולא בקידושי אשה.</w:t>
      </w:r>
    </w:p>
    <w:p w14:paraId="29AAC240"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ביאר דאף שחרש כשוטה הוא לענין מצות, מ"מ יש לו מקצת כוונה בשאחרים עומדים על גביו. וחליצה סגי בכוונה במקצת, שיתכוין להוציאה ממנו בחליצה זו</w:t>
      </w:r>
      <w:r w:rsidRPr="00D65870">
        <w:rPr>
          <w:rStyle w:val="ac"/>
          <w:rFonts w:ascii="Narkisim" w:hAnsi="Narkisim" w:cs="Narkisim"/>
          <w:rtl/>
        </w:rPr>
        <w:footnoteReference w:id="6875"/>
      </w:r>
      <w:r w:rsidRPr="00D65870">
        <w:rPr>
          <w:rFonts w:ascii="Narkisim" w:hAnsi="Narkisim" w:cs="Narkisim"/>
          <w:rtl/>
        </w:rPr>
        <w:t>. וחרש יכול לכוון כוונה זו ע"י רמיזה, כיון דיש לו דעתא קלישתא.</w:t>
      </w:r>
    </w:p>
    <w:p w14:paraId="16EAE9BE" w14:textId="77777777" w:rsidR="006C4368" w:rsidRPr="00D65870" w:rsidRDefault="006C4368" w:rsidP="006C4368">
      <w:pPr>
        <w:pStyle w:val="aa"/>
        <w:bidi/>
        <w:rPr>
          <w:rFonts w:ascii="Narkisim" w:hAnsi="Narkisim"/>
        </w:rPr>
      </w:pPr>
      <w:r w:rsidRPr="00D65870">
        <w:rPr>
          <w:rFonts w:ascii="Narkisim" w:hAnsi="Narkisim"/>
          <w:rtl/>
        </w:rPr>
        <w:t>וכ"כ ה</w:t>
      </w:r>
      <w:r w:rsidRPr="00D65870">
        <w:rPr>
          <w:rFonts w:ascii="Narkisim" w:hAnsi="Narkisim"/>
          <w:b/>
          <w:bCs/>
          <w:rtl/>
        </w:rPr>
        <w:t>מהרי"ט</w:t>
      </w:r>
      <w:r w:rsidRPr="00D65870">
        <w:rPr>
          <w:rFonts w:ascii="Narkisim" w:hAnsi="Narkisim"/>
          <w:rtl/>
        </w:rPr>
        <w:t xml:space="preserve"> (ב טז) כת' דיבם שנוטה אל הטפשות, ואין בו סימני שטות מהני בחליצה. ואף דדעתו קלישתא. דומיא דגדול עומד על גביו. [וה</w:t>
      </w:r>
      <w:r w:rsidRPr="00D65870">
        <w:rPr>
          <w:rFonts w:ascii="Narkisim" w:hAnsi="Narkisim"/>
          <w:b/>
          <w:bCs/>
          <w:rtl/>
        </w:rPr>
        <w:t>קצות</w:t>
      </w:r>
      <w:r w:rsidRPr="00D65870">
        <w:rPr>
          <w:rFonts w:ascii="Narkisim" w:hAnsi="Narkisim"/>
          <w:rtl/>
        </w:rPr>
        <w:t xml:space="preserve"> (ערה ד) ציין דכוונתו לדברי הרמב"ן הנ"ל]. וביאר אף דבעינן דיכוונו שניהם בחליצה, היינו שמסברו ליה וסבר שבחליצה זו נפטרת ממנו. ולאפוקי מוטעית [ע"ד לכונסה]. אבל אי"צ שיהיה בבינת לבו באותה שעה. ומהני אפי' הסיח דעתו בשעת מעשה</w:t>
      </w:r>
      <w:r w:rsidRPr="00D65870">
        <w:rPr>
          <w:rStyle w:val="ac"/>
          <w:rFonts w:ascii="Narkisim" w:hAnsi="Narkisim"/>
          <w:rtl/>
        </w:rPr>
        <w:footnoteReference w:id="6876"/>
      </w:r>
      <w:r w:rsidRPr="00D65870">
        <w:rPr>
          <w:rFonts w:ascii="Narkisim" w:hAnsi="Narkisim"/>
          <w:rtl/>
        </w:rPr>
        <w:t xml:space="preserve"> והרהר בדברים אחרים</w:t>
      </w:r>
      <w:r w:rsidRPr="00D65870">
        <w:rPr>
          <w:rStyle w:val="ac"/>
          <w:rFonts w:ascii="Narkisim" w:hAnsi="Narkisim"/>
          <w:rtl/>
        </w:rPr>
        <w:footnoteReference w:id="6877"/>
      </w:r>
      <w:r w:rsidRPr="00D65870">
        <w:rPr>
          <w:rFonts w:ascii="Narkisim" w:hAnsi="Narkisim"/>
          <w:rtl/>
        </w:rPr>
        <w:t>. וה</w:t>
      </w:r>
      <w:r w:rsidRPr="00D65870">
        <w:rPr>
          <w:rFonts w:ascii="Narkisim" w:hAnsi="Narkisim"/>
          <w:b/>
          <w:bCs/>
          <w:rtl/>
        </w:rPr>
        <w:t>חכ"צ</w:t>
      </w:r>
      <w:r w:rsidRPr="00D65870">
        <w:rPr>
          <w:rFonts w:ascii="Narkisim" w:hAnsi="Narkisim"/>
          <w:rtl/>
        </w:rPr>
        <w:t xml:space="preserve"> (א) האריך לתמוה.</w:t>
      </w:r>
    </w:p>
    <w:p w14:paraId="4D15E55B" w14:textId="77777777" w:rsidR="006C4368" w:rsidRPr="00D65870" w:rsidRDefault="006C4368" w:rsidP="006C4368">
      <w:pPr>
        <w:bidi/>
        <w:rPr>
          <w:rFonts w:ascii="Narkisim" w:hAnsi="Narkisim" w:cs="Narkisim"/>
        </w:rPr>
      </w:pPr>
      <w:r w:rsidRPr="00D65870">
        <w:rPr>
          <w:rFonts w:ascii="Narkisim" w:hAnsi="Narkisim" w:cs="Narkisim"/>
          <w:u w:val="single"/>
          <w:rtl/>
        </w:rPr>
        <w:t>שם. וי"ל שבי"ד עומדין ע"ג.</w:t>
      </w:r>
      <w:r w:rsidRPr="00D65870">
        <w:rPr>
          <w:rFonts w:ascii="Narkisim" w:hAnsi="Narkisim" w:cs="Narkisim"/>
          <w:rtl/>
        </w:rPr>
        <w:t xml:space="preserve"> אבל </w:t>
      </w:r>
      <w:r w:rsidRPr="00D65870">
        <w:rPr>
          <w:rFonts w:ascii="Narkisim" w:hAnsi="Narkisim" w:cs="Narkisim"/>
          <w:b/>
          <w:bCs/>
          <w:rtl/>
        </w:rPr>
        <w:t>רבינו יונה</w:t>
      </w:r>
      <w:r w:rsidRPr="00D65870">
        <w:rPr>
          <w:rFonts w:ascii="Narkisim" w:hAnsi="Narkisim" w:cs="Narkisim"/>
          <w:rtl/>
        </w:rPr>
        <w:t xml:space="preserve"> (הו' ברשב"א חולין יב: ובשו"ת א כו) כת' דגדול עומד על גביו מהני דוקא במידי דאפשר ע"י שליח</w:t>
      </w:r>
      <w:r w:rsidRPr="00D65870">
        <w:rPr>
          <w:rStyle w:val="ac"/>
          <w:rFonts w:ascii="Narkisim" w:hAnsi="Narkisim" w:cs="Narkisim"/>
          <w:rtl/>
        </w:rPr>
        <w:footnoteReference w:id="6878"/>
      </w:r>
      <w:r w:rsidRPr="00D65870">
        <w:rPr>
          <w:rFonts w:ascii="Narkisim" w:hAnsi="Narkisim" w:cs="Narkisim"/>
          <w:rtl/>
        </w:rPr>
        <w:t>. ול"מ גדול עומד על גביו בחליצה, דכיון דאי אפשר על ידי שליח ל"מ אף כונת העומד על גביו. ומש"ה ל"מ עומד על גביו, בין בשוטה בין בחרש בין בקטן</w:t>
      </w:r>
      <w:r w:rsidRPr="00D65870">
        <w:rPr>
          <w:rStyle w:val="ac"/>
          <w:rFonts w:ascii="Narkisim" w:hAnsi="Narkisim" w:cs="Narkisim"/>
          <w:rtl/>
        </w:rPr>
        <w:footnoteReference w:id="6879"/>
      </w:r>
      <w:r w:rsidRPr="00D65870">
        <w:rPr>
          <w:rFonts w:ascii="Narkisim" w:hAnsi="Narkisim" w:cs="Narkisim"/>
          <w:rtl/>
        </w:rPr>
        <w:t>.</w:t>
      </w:r>
    </w:p>
    <w:p w14:paraId="5C0CAAE6" w14:textId="77777777" w:rsidR="006C4368" w:rsidRPr="00D65870" w:rsidRDefault="006C4368" w:rsidP="006C4368">
      <w:pPr>
        <w:pStyle w:val="a8"/>
        <w:bidi/>
        <w:rPr>
          <w:rFonts w:ascii="Narkisim" w:hAnsi="Narkisim"/>
        </w:rPr>
      </w:pPr>
      <w:r w:rsidRPr="00D65870">
        <w:rPr>
          <w:rFonts w:ascii="Narkisim" w:hAnsi="Narkisim"/>
          <w:rtl/>
        </w:rPr>
        <w:t>וצ"ב אמאי גדול עומד ע"ג תליא בהא דאפשר ע"י שליח</w:t>
      </w:r>
      <w:r w:rsidRPr="00D65870">
        <w:rPr>
          <w:rStyle w:val="ac"/>
          <w:rFonts w:ascii="Narkisim" w:hAnsi="Narkisim"/>
          <w:rtl/>
        </w:rPr>
        <w:footnoteReference w:id="6880"/>
      </w:r>
      <w:r w:rsidRPr="00D65870">
        <w:rPr>
          <w:rFonts w:ascii="Narkisim" w:hAnsi="Narkisim"/>
          <w:rtl/>
        </w:rPr>
        <w:t>.</w:t>
      </w:r>
    </w:p>
    <w:p w14:paraId="6D052766" w14:textId="77777777" w:rsidR="006C4368" w:rsidRPr="00D65870" w:rsidRDefault="006C4368" w:rsidP="006C4368">
      <w:pPr>
        <w:bidi/>
        <w:rPr>
          <w:rFonts w:ascii="Narkisim" w:hAnsi="Narkisim" w:cs="Narkisim"/>
        </w:rPr>
      </w:pPr>
      <w:r w:rsidRPr="00D65870">
        <w:rPr>
          <w:rFonts w:ascii="Narkisim" w:hAnsi="Narkisim" w:cs="Narkisim"/>
          <w:u w:val="single"/>
          <w:rtl/>
        </w:rPr>
        <w:t>בא"ד ומיהו וכו' שוטה לא חליץ, אע"ג דבי"ד עומדין ע"ג וכו' ואין בו דעת כלל</w:t>
      </w:r>
      <w:r w:rsidRPr="00D65870">
        <w:rPr>
          <w:rStyle w:val="ac"/>
          <w:rFonts w:ascii="Narkisim" w:hAnsi="Narkisim" w:cs="Narkisim"/>
          <w:u w:val="single"/>
          <w:rtl/>
        </w:rPr>
        <w:footnoteReference w:id="6881"/>
      </w:r>
      <w:r w:rsidRPr="00D65870">
        <w:rPr>
          <w:rFonts w:ascii="Narkisim" w:hAnsi="Narkisim" w:cs="Narkisim"/>
          <w:u w:val="single"/>
          <w:rtl/>
        </w:rPr>
        <w:t xml:space="preserve"> וכו'</w:t>
      </w:r>
      <w:r w:rsidRPr="00D65870">
        <w:rPr>
          <w:rFonts w:ascii="Narkisim" w:hAnsi="Narkisim" w:cs="Narkisim"/>
          <w:rtl/>
        </w:rPr>
        <w:t>. וה</w:t>
      </w:r>
      <w:r w:rsidRPr="00D65870">
        <w:rPr>
          <w:rFonts w:ascii="Narkisim" w:hAnsi="Narkisim" w:cs="Narkisim"/>
          <w:b/>
          <w:bCs/>
          <w:rtl/>
        </w:rPr>
        <w:t>רמב"ן</w:t>
      </w:r>
      <w:r w:rsidRPr="00D65870">
        <w:rPr>
          <w:rFonts w:ascii="Narkisim" w:hAnsi="Narkisim" w:cs="Narkisim"/>
          <w:rtl/>
        </w:rPr>
        <w:t xml:space="preserve"> ביאר דכשאחרים עומדים ע"ג מהני דוקא בחרש שיש לו דעת קלישתא, ויש מקצת כוונה. אבל שוטה אין כוונתו כלום לעולם</w:t>
      </w:r>
      <w:r w:rsidRPr="00D65870">
        <w:rPr>
          <w:rStyle w:val="ac"/>
          <w:rFonts w:ascii="Narkisim" w:hAnsi="Narkisim" w:cs="Narkisim"/>
          <w:rtl/>
        </w:rPr>
        <w:footnoteReference w:id="6882"/>
      </w:r>
      <w:r w:rsidRPr="00D65870">
        <w:rPr>
          <w:rFonts w:ascii="Narkisim" w:hAnsi="Narkisim" w:cs="Narkisim"/>
          <w:rtl/>
        </w:rPr>
        <w:t>.</w:t>
      </w:r>
    </w:p>
    <w:p w14:paraId="79C558D4" w14:textId="77777777" w:rsidR="006C4368" w:rsidRPr="00D65870" w:rsidRDefault="006C4368" w:rsidP="006C4368">
      <w:pPr>
        <w:pStyle w:val="a8"/>
        <w:bidi/>
        <w:rPr>
          <w:rFonts w:ascii="Narkisim" w:hAnsi="Narkisim"/>
        </w:rPr>
      </w:pPr>
      <w:r w:rsidRPr="00D65870">
        <w:rPr>
          <w:rFonts w:ascii="Narkisim" w:hAnsi="Narkisim"/>
          <w:rtl/>
        </w:rPr>
        <w:lastRenderedPageBreak/>
        <w:t>וה</w:t>
      </w:r>
      <w:r w:rsidRPr="00D65870">
        <w:rPr>
          <w:rFonts w:ascii="Narkisim" w:hAnsi="Narkisim"/>
          <w:b/>
          <w:bCs/>
          <w:rtl/>
        </w:rPr>
        <w:t>רמב"ן</w:t>
      </w:r>
      <w:r w:rsidRPr="00D65870">
        <w:rPr>
          <w:rFonts w:ascii="Narkisim" w:hAnsi="Narkisim"/>
          <w:rtl/>
        </w:rPr>
        <w:t xml:space="preserve"> ביאר דהא דמהני בכתיבת הגט שוטה כשגדול עומד על גביו, דרב הונא סבר</w:t>
      </w:r>
      <w:r w:rsidRPr="00D65870">
        <w:rPr>
          <w:rStyle w:val="ac"/>
          <w:rFonts w:ascii="Narkisim" w:hAnsi="Narkisim"/>
          <w:rtl/>
        </w:rPr>
        <w:footnoteReference w:id="6883"/>
      </w:r>
      <w:r w:rsidRPr="00D65870">
        <w:rPr>
          <w:rFonts w:ascii="Narkisim" w:hAnsi="Narkisim"/>
          <w:rtl/>
        </w:rPr>
        <w:t xml:space="preserve"> דכתיבת גט לשמה כל דהו סגי. כלומר אי"צ שיתכוון להוציאה, אלא שיכתוב אותו ע"מ ליתן לפלונית. וע"ע ס' הזכות (גיטין שם).</w:t>
      </w:r>
    </w:p>
    <w:p w14:paraId="22EDC90F" w14:textId="77777777" w:rsidR="006C4368" w:rsidRPr="00D65870" w:rsidRDefault="006C4368" w:rsidP="006C4368">
      <w:pPr>
        <w:bidi/>
        <w:rPr>
          <w:rFonts w:ascii="Narkisim" w:hAnsi="Narkisim" w:cs="Narkisim"/>
        </w:rPr>
      </w:pPr>
      <w:r w:rsidRPr="00D65870">
        <w:rPr>
          <w:rFonts w:ascii="Narkisim" w:hAnsi="Narkisim" w:cs="Narkisim"/>
          <w:rtl/>
        </w:rPr>
        <w:t>וב</w:t>
      </w:r>
      <w:r w:rsidRPr="00D65870">
        <w:rPr>
          <w:rFonts w:ascii="Narkisim" w:hAnsi="Narkisim" w:cs="Narkisim"/>
          <w:b/>
          <w:bCs/>
          <w:rtl/>
        </w:rPr>
        <w:t>ס' הזכות</w:t>
      </w:r>
      <w:r w:rsidRPr="00D65870">
        <w:rPr>
          <w:rFonts w:ascii="Narkisim" w:hAnsi="Narkisim" w:cs="Narkisim"/>
          <w:rtl/>
        </w:rPr>
        <w:t xml:space="preserve"> (גיטין שם יא. בדה"ר) כת' דשמא ל"מ חליצה ביבם שוטה [בגדול עומד ע"ג] דמה שמלמדים אותו הוה כעשוי, שאינו עושה לדעת עצמו ולמוד אחרים כעשוי הוא אצלו, וחליצה מעושה פסול (וכדאי' לקמן קו.).</w:t>
      </w:r>
    </w:p>
    <w:p w14:paraId="17470AA9" w14:textId="77777777" w:rsidR="006C4368" w:rsidRPr="00D65870" w:rsidRDefault="006C4368" w:rsidP="006C4368">
      <w:pPr>
        <w:pStyle w:val="a7"/>
        <w:bidi/>
        <w:rPr>
          <w:rFonts w:ascii="Narkisim" w:hAnsi="Narkisim"/>
        </w:rPr>
      </w:pPr>
      <w:r w:rsidRPr="00D65870">
        <w:rPr>
          <w:rFonts w:ascii="Narkisim" w:hAnsi="Narkisim"/>
          <w:rtl/>
        </w:rPr>
        <w:t>וכת' דיבמה שוטה אינה חולצת</w:t>
      </w:r>
      <w:r w:rsidRPr="00D65870">
        <w:rPr>
          <w:rStyle w:val="ac"/>
          <w:rFonts w:ascii="Narkisim" w:hAnsi="Narkisim"/>
          <w:rtl/>
        </w:rPr>
        <w:footnoteReference w:id="6884"/>
      </w:r>
      <w:r w:rsidRPr="00D65870">
        <w:rPr>
          <w:rFonts w:ascii="Narkisim" w:hAnsi="Narkisim"/>
          <w:rtl/>
        </w:rPr>
        <w:t xml:space="preserve"> י"ל דהטעם משום דמשלחה ואינה חוזרת, וכדאי' (לקמן קיג:) דל"מ לגרש שוטה [שאינה יודעת לשמור גיטה], יצאה זו שמשלחה וחוזרת. ולמדו חליצה מן הגירושין. דכה"ג נמי כתיב בחליצה אשר לא יבנה את בית אחיו.</w:t>
      </w:r>
    </w:p>
    <w:p w14:paraId="1B70B071" w14:textId="77777777" w:rsidR="006C4368" w:rsidRPr="00D65870" w:rsidRDefault="006C4368" w:rsidP="006C4368">
      <w:pPr>
        <w:pStyle w:val="a7"/>
        <w:bidi/>
        <w:rPr>
          <w:rFonts w:ascii="Narkisim" w:hAnsi="Narkisim"/>
        </w:rPr>
      </w:pPr>
      <w:r w:rsidRPr="00D65870">
        <w:rPr>
          <w:rFonts w:ascii="Narkisim" w:hAnsi="Narkisim"/>
          <w:rtl/>
        </w:rPr>
        <w:t xml:space="preserve">ועוד כת' דשמא הוה מדבריהם, דכשם שגזרו בגירושין שלא תתגרש שלא ינהגו בה מנהג הפקר (כדלקמן קיג:), כך גזרו בחליצה שלא תחלוץ שלא ינהגו בה הפקר. </w:t>
      </w:r>
      <w:r w:rsidRPr="00D65870">
        <w:rPr>
          <w:rFonts w:ascii="Narkisim" w:hAnsi="Narkisim"/>
          <w:szCs w:val="20"/>
          <w:rtl/>
        </w:rPr>
        <w:t>וא"כ אפי' יודעת לשמור גיטה, כיון שאינה יודעת לשמור עצמה אינה חולצת ואינה מתגרשת מדבריהם</w:t>
      </w:r>
      <w:r w:rsidRPr="00D65870">
        <w:rPr>
          <w:rFonts w:ascii="Narkisim" w:hAnsi="Narkisim"/>
          <w:rtl/>
        </w:rPr>
        <w:t>.</w:t>
      </w:r>
    </w:p>
    <w:p w14:paraId="4D2D979F"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(חולין לא.) כת' דל"מ גדול עומד ע"ג בשוטה וקטן, דאין כוונתן לא לכנוס ולא לפטור. ואפי' אחרים עומדין על גבן מהני רק שיחשב כעין כוונת חתיכה בעלמא</w:t>
      </w:r>
      <w:r w:rsidRPr="00D65870">
        <w:rPr>
          <w:rStyle w:val="ac"/>
          <w:rFonts w:ascii="Narkisim" w:hAnsi="Narkisim"/>
          <w:rtl/>
        </w:rPr>
        <w:footnoteReference w:id="6885"/>
      </w:r>
      <w:r w:rsidRPr="00D65870">
        <w:rPr>
          <w:rFonts w:ascii="Narkisim" w:hAnsi="Narkisim"/>
          <w:rtl/>
        </w:rPr>
        <w:t>, ולא הוה כוונה למעשה בחיוב וכוונה לפטור. ודוקא חרש דאית ליה דעה מהני.</w:t>
      </w:r>
    </w:p>
    <w:p w14:paraId="691E8DEB" w14:textId="77777777" w:rsidR="006C4368" w:rsidRPr="00D65870" w:rsidRDefault="006C4368" w:rsidP="006C4368">
      <w:pPr>
        <w:pStyle w:val="aa"/>
        <w:bidi/>
        <w:rPr>
          <w:rFonts w:ascii="Narkisim" w:hAnsi="Narkisim"/>
        </w:rPr>
      </w:pPr>
      <w:r w:rsidRPr="00D65870">
        <w:rPr>
          <w:rFonts w:ascii="Narkisim" w:hAnsi="Narkisim"/>
          <w:u w:val="single"/>
          <w:rtl/>
        </w:rPr>
        <w:t>בא"ד והא דאמר (חולין יב:) וכו' משמע וכו' ל"מ גדול עע"ג, דהתם אחרים אין מלמדים אותו וכו</w:t>
      </w:r>
      <w:r w:rsidRPr="00D65870">
        <w:rPr>
          <w:rFonts w:ascii="Narkisim" w:hAnsi="Narkisim"/>
          <w:rtl/>
        </w:rPr>
        <w:t>'. [ומהני גדול עומד ע"ג בשחיטה. אלא דהתם לא עמד ע"ג ללמדו]. ו</w:t>
      </w:r>
      <w:r w:rsidRPr="00D65870">
        <w:rPr>
          <w:rFonts w:ascii="Narkisim" w:hAnsi="Narkisim"/>
          <w:b/>
          <w:bCs/>
          <w:rtl/>
        </w:rPr>
        <w:t>ר' יונה</w:t>
      </w:r>
      <w:r w:rsidRPr="00D65870">
        <w:rPr>
          <w:rFonts w:ascii="Narkisim" w:hAnsi="Narkisim"/>
          <w:rtl/>
        </w:rPr>
        <w:t xml:space="preserve"> (בחי' הרשב"א הנ"ל</w:t>
      </w:r>
      <w:r w:rsidRPr="00D65870">
        <w:rPr>
          <w:rStyle w:val="ac"/>
          <w:rFonts w:ascii="Narkisim" w:hAnsi="Narkisim"/>
          <w:rtl/>
        </w:rPr>
        <w:footnoteReference w:id="6886"/>
      </w:r>
      <w:r w:rsidRPr="00D65870">
        <w:rPr>
          <w:rFonts w:ascii="Narkisim" w:hAnsi="Narkisim"/>
          <w:rtl/>
        </w:rPr>
        <w:t>) כת' דל"מ עומד על גביו בשחיטה, דהכל תלוי בדעת השוחט</w:t>
      </w:r>
      <w:r w:rsidRPr="00D65870">
        <w:rPr>
          <w:rStyle w:val="ac"/>
          <w:rFonts w:ascii="Narkisim" w:hAnsi="Narkisim"/>
          <w:rtl/>
        </w:rPr>
        <w:footnoteReference w:id="6887"/>
      </w:r>
      <w:r w:rsidRPr="00D65870">
        <w:rPr>
          <w:rFonts w:ascii="Narkisim" w:hAnsi="Narkisim"/>
          <w:rtl/>
        </w:rPr>
        <w:t xml:space="preserve"> [ול"מ דעת של אדם אחר</w:t>
      </w:r>
      <w:r w:rsidRPr="00D65870">
        <w:rPr>
          <w:rStyle w:val="ac"/>
          <w:rFonts w:ascii="Narkisim" w:hAnsi="Narkisim"/>
          <w:rtl/>
        </w:rPr>
        <w:footnoteReference w:id="6888"/>
      </w:r>
      <w:r w:rsidRPr="00D65870">
        <w:rPr>
          <w:rFonts w:ascii="Narkisim" w:hAnsi="Narkisim"/>
          <w:rtl/>
        </w:rPr>
        <w:t>].</w:t>
      </w:r>
    </w:p>
    <w:p w14:paraId="5437646F" w14:textId="77777777" w:rsidR="006C4368" w:rsidRPr="00D65870" w:rsidRDefault="006C4368" w:rsidP="006C4368">
      <w:pPr>
        <w:pStyle w:val="a8"/>
        <w:bidi/>
        <w:rPr>
          <w:rFonts w:ascii="Narkisim" w:hAnsi="Narkisim"/>
        </w:rPr>
      </w:pPr>
      <w:r w:rsidRPr="00D65870">
        <w:rPr>
          <w:rFonts w:ascii="Narkisim" w:hAnsi="Narkisim"/>
          <w:rtl/>
        </w:rPr>
        <w:t>וב</w:t>
      </w:r>
      <w:r w:rsidRPr="00D65870">
        <w:rPr>
          <w:rFonts w:ascii="Narkisim" w:hAnsi="Narkisim"/>
          <w:b/>
          <w:bCs/>
          <w:rtl/>
        </w:rPr>
        <w:t>שו"ת הרשב"א</w:t>
      </w:r>
      <w:r w:rsidRPr="00D65870">
        <w:rPr>
          <w:rFonts w:ascii="Narkisim" w:hAnsi="Narkisim"/>
          <w:rtl/>
        </w:rPr>
        <w:t xml:space="preserve"> (א כו) כת' דמסתבר דהכל תלי בהוכחת המעשה, ובגט יש הוכחה גמור, ואילו בשחיטה אין הוכחה כלל שעושה ע"פ דבריו</w:t>
      </w:r>
      <w:r w:rsidRPr="00D65870">
        <w:rPr>
          <w:rStyle w:val="ac"/>
          <w:rFonts w:ascii="Narkisim" w:hAnsi="Narkisim"/>
          <w:rtl/>
        </w:rPr>
        <w:footnoteReference w:id="6889"/>
      </w:r>
      <w:r w:rsidRPr="00D65870">
        <w:rPr>
          <w:rFonts w:ascii="Narkisim" w:hAnsi="Narkisim"/>
          <w:rtl/>
        </w:rPr>
        <w:t>. ולגבי חליצה איכא הוכחה קצת, שהוא רואה האשה החולצת ורוקקת [או שהיא רואה הנחלץ] ומלמדין אותה כל אותו הענין, מש"ה חרש וקטן דאית להו דעתא קלישתא רמו אנפשיהו ומהני עומד ע"ג. אבל שוטה דלא בן דעת הוא כלל, אף שהבי"ד עומד על גביו, הא ליכא הוכח גמור, ולא רמי אנפשיה</w:t>
      </w:r>
      <w:r w:rsidRPr="00D65870">
        <w:rPr>
          <w:rStyle w:val="ac"/>
          <w:rFonts w:ascii="Narkisim" w:hAnsi="Narkisim"/>
          <w:rtl/>
        </w:rPr>
        <w:footnoteReference w:id="6890"/>
      </w:r>
      <w:r w:rsidRPr="00D65870">
        <w:rPr>
          <w:rFonts w:ascii="Narkisim" w:hAnsi="Narkisim"/>
          <w:rtl/>
        </w:rPr>
        <w:t>.</w:t>
      </w:r>
    </w:p>
    <w:p w14:paraId="6C14DE06" w14:textId="77777777" w:rsidR="006C4368" w:rsidRPr="00D65870" w:rsidRDefault="006C4368" w:rsidP="006C4368">
      <w:pPr>
        <w:bidi/>
        <w:rPr>
          <w:rFonts w:ascii="Narkisim" w:hAnsi="Narkisim" w:cs="Narkisim"/>
        </w:rPr>
      </w:pPr>
      <w:r w:rsidRPr="00D65870">
        <w:rPr>
          <w:rFonts w:ascii="Narkisim" w:hAnsi="Narkisim" w:cs="Narkisim"/>
          <w:u w:val="single"/>
          <w:rtl/>
        </w:rPr>
        <w:t>אמר רבא השתא וכו' לפיכך אלם ואלמת שחלצו חליצתן פסולה, כדר' זירא וכו'</w:t>
      </w:r>
      <w:r w:rsidRPr="00D65870">
        <w:rPr>
          <w:rFonts w:ascii="Narkisim" w:hAnsi="Narkisim" w:cs="Narkisim"/>
          <w:rtl/>
        </w:rPr>
        <w:t>. דבעינן שיהא ראוי לקריאה.</w:t>
      </w:r>
    </w:p>
    <w:p w14:paraId="77967500" w14:textId="77777777" w:rsidR="006C4368" w:rsidRPr="00D65870" w:rsidRDefault="006C4368" w:rsidP="006C4368">
      <w:pPr>
        <w:pStyle w:val="a7"/>
        <w:bidi/>
        <w:rPr>
          <w:rFonts w:ascii="Narkisim" w:hAnsi="Narkisim"/>
        </w:rPr>
      </w:pPr>
      <w:r w:rsidRPr="00D65870">
        <w:rPr>
          <w:rFonts w:ascii="Narkisim" w:hAnsi="Narkisim"/>
          <w:rtl/>
        </w:rPr>
        <w:t>ה</w:t>
      </w:r>
      <w:r w:rsidRPr="00D65870">
        <w:rPr>
          <w:rFonts w:ascii="Narkisim" w:hAnsi="Narkisim"/>
          <w:b/>
          <w:bCs/>
          <w:rtl/>
        </w:rPr>
        <w:t>רש"ש</w:t>
      </w:r>
      <w:r w:rsidRPr="00D65870">
        <w:rPr>
          <w:rFonts w:ascii="Narkisim" w:hAnsi="Narkisim"/>
          <w:rtl/>
        </w:rPr>
        <w:t xml:space="preserve"> דן היכא דבשעת מיתה היתה ראויה לקריאה, ואח"כ נעשית אלמת. האם בעינן שבשעת חליצה תהא ראויה לקריאה</w:t>
      </w:r>
      <w:r w:rsidRPr="00D65870">
        <w:rPr>
          <w:rStyle w:val="ac"/>
          <w:rFonts w:ascii="Narkisim" w:hAnsi="Narkisim"/>
          <w:rtl/>
        </w:rPr>
        <w:footnoteReference w:id="6891"/>
      </w:r>
      <w:r w:rsidRPr="00D65870">
        <w:rPr>
          <w:rFonts w:ascii="Narkisim" w:hAnsi="Narkisim"/>
          <w:rtl/>
        </w:rPr>
        <w:t>, או דסגי שהיתה ראויה בשעת נפילה</w:t>
      </w:r>
      <w:r w:rsidRPr="00D65870">
        <w:rPr>
          <w:rStyle w:val="ac"/>
          <w:rFonts w:ascii="Narkisim" w:hAnsi="Narkisim"/>
          <w:rtl/>
        </w:rPr>
        <w:footnoteReference w:id="6892"/>
      </w:r>
      <w:r w:rsidRPr="00D65870">
        <w:rPr>
          <w:rFonts w:ascii="Narkisim" w:hAnsi="Narkisim"/>
          <w:rtl/>
        </w:rPr>
        <w:t>. וכת' דנראה דתלי בשעת נפילה, דסגי שהיה לה שעת הכושר.</w:t>
      </w:r>
    </w:p>
    <w:p w14:paraId="621385B2" w14:textId="77777777" w:rsidR="006C4368" w:rsidRPr="00D65870" w:rsidRDefault="006C4368" w:rsidP="006C4368">
      <w:pPr>
        <w:pStyle w:val="a8"/>
        <w:bidi/>
        <w:rPr>
          <w:rFonts w:ascii="Narkisim" w:hAnsi="Narkisim"/>
        </w:rPr>
      </w:pPr>
      <w:r w:rsidRPr="00D65870">
        <w:rPr>
          <w:rFonts w:ascii="Narkisim" w:hAnsi="Narkisim"/>
          <w:rtl/>
        </w:rPr>
        <w:t>אך הביא דב</w:t>
      </w:r>
      <w:r w:rsidRPr="00D65870">
        <w:rPr>
          <w:rFonts w:ascii="Narkisim" w:hAnsi="Narkisim"/>
          <w:b/>
          <w:bCs/>
          <w:rtl/>
        </w:rPr>
        <w:t>רי"ף</w:t>
      </w:r>
      <w:r w:rsidRPr="00D65870">
        <w:rPr>
          <w:rFonts w:ascii="Narkisim" w:hAnsi="Narkisim"/>
          <w:rtl/>
        </w:rPr>
        <w:t xml:space="preserve"> (ע' לקמן קו:) מבואר דבשעת קריאה צריך שתהא ראויה לקרוא בבת א' לא אבה יבמי</w:t>
      </w:r>
      <w:r w:rsidRPr="00D65870">
        <w:rPr>
          <w:rStyle w:val="ac"/>
          <w:rFonts w:ascii="Narkisim" w:hAnsi="Narkisim"/>
          <w:rtl/>
        </w:rPr>
        <w:footnoteReference w:id="6893"/>
      </w:r>
      <w:r w:rsidRPr="00D65870">
        <w:rPr>
          <w:rFonts w:ascii="Narkisim" w:hAnsi="Narkisim"/>
          <w:rtl/>
        </w:rPr>
        <w:t>. א"כ בשעת נפילה לא נחשב ראויה לחליצה אא"כ למדה לקרוא.</w:t>
      </w:r>
    </w:p>
    <w:p w14:paraId="21FCF1E1"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ה</w:t>
      </w:r>
      <w:r w:rsidRPr="00D65870">
        <w:rPr>
          <w:rFonts w:ascii="Narkisim" w:hAnsi="Narkisim" w:cs="Narkisim"/>
          <w:b/>
          <w:bCs/>
          <w:rtl/>
        </w:rPr>
        <w:t>רמב"ן</w:t>
      </w:r>
      <w:r w:rsidRPr="00D65870">
        <w:rPr>
          <w:rFonts w:ascii="Narkisim" w:hAnsi="Narkisim" w:cs="Narkisim"/>
          <w:rtl/>
        </w:rPr>
        <w:t xml:space="preserve"> הק' א"כ אמאי קתני מתני' חרש וחרשת, לישמעינן אלם ואלמת וכ"ש חרש וחרשת. ותי' דרבותא קמ"ל דאפי' הנך חליצתן פסולה, שלא תאמר אינה חליצה כלל. קמ"ל. [ע' בסמוך דעת הרמב"ם].</w:t>
      </w:r>
    </w:p>
    <w:p w14:paraId="7FD81402" w14:textId="77777777" w:rsidR="006C4368" w:rsidRPr="00D65870" w:rsidRDefault="006C4368" w:rsidP="006C4368">
      <w:pPr>
        <w:bidi/>
        <w:rPr>
          <w:rFonts w:ascii="Narkisim" w:hAnsi="Narkisim" w:cs="Narkisim"/>
        </w:rPr>
      </w:pPr>
      <w:r w:rsidRPr="00D65870">
        <w:rPr>
          <w:rFonts w:ascii="Narkisim" w:hAnsi="Narkisim" w:cs="Narkisim"/>
          <w:rtl/>
        </w:rPr>
        <w:lastRenderedPageBreak/>
        <w:t>ועוד פי' ה</w:t>
      </w:r>
      <w:r w:rsidRPr="00D65870">
        <w:rPr>
          <w:rFonts w:ascii="Narkisim" w:hAnsi="Narkisim" w:cs="Narkisim"/>
          <w:b/>
          <w:bCs/>
          <w:rtl/>
        </w:rPr>
        <w:t>רמב"ן</w:t>
      </w:r>
      <w:r w:rsidRPr="00D65870">
        <w:rPr>
          <w:rFonts w:ascii="Narkisim" w:hAnsi="Narkisim" w:cs="Narkisim"/>
          <w:rtl/>
        </w:rPr>
        <w:t xml:space="preserve"> די"ל דקס"ד דחרש דמתני' איירי במדבר ואינו שומע, דהוה בר דעת [מדלא קתני שוטה]. ומש"ה הק' משום דאינן באמר ואמרה, [ואף שמדבר, הא אין אנו יכולין ללמדן ולהקרותן].</w:t>
      </w:r>
    </w:p>
    <w:p w14:paraId="1F8497AD" w14:textId="77777777" w:rsidR="006C4368" w:rsidRPr="00D65870" w:rsidRDefault="006C4368" w:rsidP="006C4368">
      <w:pPr>
        <w:pStyle w:val="a7"/>
        <w:bidi/>
        <w:rPr>
          <w:rFonts w:ascii="Narkisim" w:hAnsi="Narkisim"/>
        </w:rPr>
      </w:pPr>
      <w:r w:rsidRPr="00D65870">
        <w:rPr>
          <w:rFonts w:ascii="Narkisim" w:hAnsi="Narkisim"/>
          <w:rtl/>
        </w:rPr>
        <w:t>והגמ' דוחה משום דלאו בני דעה נינהו, ופסולים משום חרשותן בלבד. ואף דהוא מדבר הוה כפיקח לחיוב מצות, מ"מ ס"ל לגמ' דלא הוה כפקחין לכל דבריהם. וחליצה צריכה כוונה ואין להן דעת. והגמ' הק' דא"ה אלם ואלמת נמי, נימא דלאו בני דעה נינהו. כיון דבחוש א' אין להם דעת.</w:t>
      </w:r>
    </w:p>
    <w:p w14:paraId="3CBB8092" w14:textId="77777777" w:rsidR="006C4368" w:rsidRPr="00D65870" w:rsidRDefault="006C4368" w:rsidP="006C4368">
      <w:pPr>
        <w:pStyle w:val="a7"/>
        <w:bidi/>
        <w:rPr>
          <w:rFonts w:ascii="Narkisim" w:hAnsi="Narkisim"/>
        </w:rPr>
      </w:pPr>
      <w:r w:rsidRPr="00D65870">
        <w:rPr>
          <w:rFonts w:ascii="Narkisim" w:hAnsi="Narkisim"/>
          <w:rtl/>
        </w:rPr>
        <w:t>והגמ' תי' דאילם יש דעת אלא דפומייהו כאיב להו, אבל חרשות כאיבא דכוליה ראש הוא</w:t>
      </w:r>
      <w:r w:rsidRPr="00D65870">
        <w:rPr>
          <w:rStyle w:val="ac"/>
          <w:rFonts w:ascii="Narkisim" w:hAnsi="Narkisim"/>
          <w:rtl/>
        </w:rPr>
        <w:footnoteReference w:id="6894"/>
      </w:r>
      <w:r w:rsidRPr="00D65870">
        <w:rPr>
          <w:rFonts w:ascii="Narkisim" w:hAnsi="Narkisim"/>
          <w:rtl/>
        </w:rPr>
        <w:t xml:space="preserve"> ואין להן דעת.</w:t>
      </w:r>
    </w:p>
    <w:p w14:paraId="004027C7" w14:textId="77777777" w:rsidR="006C4368" w:rsidRPr="00D65870" w:rsidRDefault="006C4368" w:rsidP="006C4368">
      <w:pPr>
        <w:pStyle w:val="a7"/>
        <w:bidi/>
        <w:rPr>
          <w:rFonts w:ascii="Narkisim" w:hAnsi="Narkisim"/>
        </w:rPr>
      </w:pPr>
      <w:r w:rsidRPr="00D65870">
        <w:rPr>
          <w:rFonts w:ascii="Narkisim" w:hAnsi="Narkisim"/>
          <w:rtl/>
        </w:rPr>
        <w:t>ולמסקנא משום שאינן ב'ואמר ואמרה', ואפי' במדברין [וכנ"ל, דבעינן שיכולים ללמדם]. א"נ איירי בשאינן מדברין, וה"ק ר' ינאי דפסול אף משום האי טעמא, מלבד החסרון דעת</w:t>
      </w:r>
      <w:r w:rsidRPr="00D65870">
        <w:rPr>
          <w:rStyle w:val="ac"/>
          <w:rFonts w:ascii="Narkisim" w:hAnsi="Narkisim"/>
          <w:rtl/>
        </w:rPr>
        <w:footnoteReference w:id="6895"/>
      </w:r>
      <w:r w:rsidRPr="00D65870">
        <w:rPr>
          <w:rFonts w:ascii="Narkisim" w:hAnsi="Narkisim"/>
          <w:rtl/>
        </w:rPr>
        <w:t>. לפיכך אלם ואלמת נמי חליצתן פסולה משום קריאה, ולאו דוקא נקט חרש.</w:t>
      </w:r>
    </w:p>
    <w:p w14:paraId="38429C64"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ה</w:t>
      </w:r>
      <w:r w:rsidRPr="00D65870">
        <w:rPr>
          <w:rFonts w:ascii="Narkisim" w:hAnsi="Narkisim" w:cs="Narkisim"/>
          <w:b/>
          <w:bCs/>
          <w:rtl/>
        </w:rPr>
        <w:t>רמב"ם</w:t>
      </w:r>
      <w:r w:rsidRPr="00D65870">
        <w:rPr>
          <w:rFonts w:ascii="Narkisim" w:hAnsi="Narkisim" w:cs="Narkisim"/>
          <w:rtl/>
        </w:rPr>
        <w:t xml:space="preserve"> (ד יג) כת' דאילם ואילמת חליצתם פסולה, ואילו חרש וחרשת לא עשו כלום. מפני שאינם בני דעת. וקשה דבמשנה אי' 'פסול', ו</w:t>
      </w:r>
      <w:r w:rsidRPr="00D65870">
        <w:rPr>
          <w:rFonts w:ascii="Narkisim" w:hAnsi="Narkisim" w:cs="Narkisim"/>
          <w:b/>
          <w:bCs/>
          <w:rtl/>
        </w:rPr>
        <w:t>ה"ה</w:t>
      </w:r>
      <w:r w:rsidRPr="00D65870">
        <w:rPr>
          <w:rFonts w:ascii="Narkisim" w:hAnsi="Narkisim" w:cs="Narkisim"/>
          <w:rtl/>
        </w:rPr>
        <w:t xml:space="preserve"> כת' דהרמב"ם סמך על ה</w:t>
      </w:r>
      <w:r w:rsidRPr="00D65870">
        <w:rPr>
          <w:rFonts w:ascii="Narkisim" w:hAnsi="Narkisim" w:cs="Narkisim"/>
          <w:b/>
          <w:bCs/>
          <w:rtl/>
        </w:rPr>
        <w:t>תוספתא</w:t>
      </w:r>
      <w:r w:rsidRPr="00D65870">
        <w:rPr>
          <w:rFonts w:ascii="Narkisim" w:hAnsi="Narkisim" w:cs="Narkisim"/>
          <w:rtl/>
        </w:rPr>
        <w:t xml:space="preserve"> (יא ט)</w:t>
      </w:r>
      <w:r w:rsidRPr="00D65870">
        <w:rPr>
          <w:rStyle w:val="ac"/>
          <w:rFonts w:ascii="Narkisim" w:hAnsi="Narkisim" w:cs="Narkisim"/>
          <w:rtl/>
        </w:rPr>
        <w:footnoteReference w:id="6896"/>
      </w:r>
      <w:r w:rsidRPr="00D65870">
        <w:rPr>
          <w:rFonts w:ascii="Narkisim" w:hAnsi="Narkisim" w:cs="Narkisim"/>
          <w:rtl/>
        </w:rPr>
        <w:t xml:space="preserve">. </w:t>
      </w:r>
      <w:r w:rsidRPr="00D65870">
        <w:rPr>
          <w:rFonts w:ascii="Narkisim" w:hAnsi="Narkisim" w:cs="Narkisim"/>
          <w:szCs w:val="20"/>
          <w:rtl/>
        </w:rPr>
        <w:t>וכת' דאפשר דהמשנה נקטה פסולה אגב קטן, א"נ תלי במח' ר' מאיר ורבנן (לקמן קה:)</w:t>
      </w:r>
      <w:r w:rsidRPr="00D65870">
        <w:rPr>
          <w:rFonts w:ascii="Narkisim" w:hAnsi="Narkisim" w:cs="Narkisim"/>
          <w:rtl/>
        </w:rPr>
        <w:t>.</w:t>
      </w:r>
    </w:p>
    <w:p w14:paraId="6E766A6A" w14:textId="77777777" w:rsidR="006C4368" w:rsidRPr="00D65870" w:rsidRDefault="006C4368" w:rsidP="006C4368">
      <w:pPr>
        <w:pStyle w:val="a7"/>
        <w:bidi/>
        <w:rPr>
          <w:rFonts w:ascii="Narkisim" w:hAnsi="Narkisim"/>
        </w:rPr>
      </w:pPr>
      <w:r w:rsidRPr="00D65870">
        <w:rPr>
          <w:rFonts w:ascii="Narkisim" w:hAnsi="Narkisim"/>
          <w:rtl/>
        </w:rPr>
        <w:t xml:space="preserve">ועוה"ק </w:t>
      </w:r>
      <w:r w:rsidRPr="00D65870">
        <w:rPr>
          <w:rFonts w:ascii="Narkisim" w:hAnsi="Narkisim"/>
          <w:b/>
          <w:bCs/>
          <w:rtl/>
        </w:rPr>
        <w:t>ה"ה</w:t>
      </w:r>
      <w:r w:rsidRPr="00D65870">
        <w:rPr>
          <w:rFonts w:ascii="Narkisim" w:hAnsi="Narkisim"/>
          <w:rtl/>
        </w:rPr>
        <w:t xml:space="preserve"> דמסקנת הגמ' דטעמא דמתני' לפי שאינן באמר ואמרה, וה"ה אלם ואלמת פסול. וכת' דיש לדחוק דאף דפי' טעם המשנה משום אמירה, ואף אילם, מ"מ לא שווים בדינם.</w:t>
      </w:r>
    </w:p>
    <w:p w14:paraId="4FDD54AD" w14:textId="77777777" w:rsidR="006C4368" w:rsidRPr="00D65870" w:rsidRDefault="006C4368" w:rsidP="006C4368">
      <w:pPr>
        <w:pStyle w:val="a8"/>
        <w:bidi/>
        <w:rPr>
          <w:rFonts w:ascii="Narkisim" w:hAnsi="Narkisim"/>
        </w:rPr>
      </w:pPr>
      <w:r w:rsidRPr="00D65870">
        <w:rPr>
          <w:rFonts w:ascii="Narkisim" w:hAnsi="Narkisim"/>
          <w:rtl/>
        </w:rPr>
        <w:t>ויש שתי' דהרמב"ם ס"ל דהגמ' איירי בעומד ע"ג [וכתוס'], וכה"ג הוה חליצה פסולה, ומשום דלאו בני קריאה</w:t>
      </w:r>
      <w:r w:rsidRPr="00D65870">
        <w:rPr>
          <w:rStyle w:val="ac"/>
          <w:rFonts w:ascii="Narkisim" w:hAnsi="Narkisim"/>
          <w:rtl/>
        </w:rPr>
        <w:footnoteReference w:id="6897"/>
      </w:r>
      <w:r w:rsidRPr="00D65870">
        <w:rPr>
          <w:rFonts w:ascii="Narkisim" w:hAnsi="Narkisim"/>
          <w:rtl/>
        </w:rPr>
        <w:t>. ואילו הרמב"ם איירי בלא גדול עומד ע"ג, ומש"ה אינה חליצה כלל</w:t>
      </w:r>
      <w:r w:rsidRPr="00D65870">
        <w:rPr>
          <w:rStyle w:val="ac"/>
          <w:rFonts w:ascii="Narkisim" w:hAnsi="Narkisim"/>
          <w:rtl/>
        </w:rPr>
        <w:footnoteReference w:id="6898"/>
      </w:r>
      <w:r w:rsidRPr="00D65870">
        <w:rPr>
          <w:rFonts w:ascii="Narkisim" w:hAnsi="Narkisim"/>
          <w:rtl/>
        </w:rPr>
        <w:t>. ועוד יש שפי' דהרמב"ם ס"ל דנקטו חסרון אמירה לרבותא, וכדברי הרמב"ן (הנ"ל). א"נ דהגמ' איירי במדבר ואינו שומע דהוה בר דעת, וכאידך תי' דהרמב"ן.</w:t>
      </w:r>
    </w:p>
    <w:p w14:paraId="79064789"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עונג יו"ט</w:t>
      </w:r>
      <w:r w:rsidRPr="00D65870">
        <w:rPr>
          <w:rFonts w:ascii="Narkisim" w:hAnsi="Narkisim"/>
          <w:rtl/>
        </w:rPr>
        <w:t xml:space="preserve"> (ב) דן ליישב דבגמ' איירי אף בנישואי חרש דרבנן, דקי"ל דמוציא בגט משום כשם שכונסה ברמיזה כך מוציאה ברמיזה. וה"נ בחליצה דידיה אי"צ דעת, דאמרי' בזה כשם שכונסה ברמיזה. אך מ"מ קי"ל דלא מהני חליצה [ודלא כרבה לקמן קי.], משום דלאו בני קריאה. ומשום חסרון זה לא אמרי' כשם שכונסה ברמיזה. וכ"כ ה</w:t>
      </w:r>
      <w:r w:rsidRPr="00D65870">
        <w:rPr>
          <w:rFonts w:ascii="Narkisim" w:hAnsi="Narkisim"/>
          <w:b/>
          <w:bCs/>
          <w:rtl/>
        </w:rPr>
        <w:t>צפנת פענח</w:t>
      </w:r>
      <w:r w:rsidRPr="00D65870">
        <w:rPr>
          <w:rFonts w:ascii="Narkisim" w:hAnsi="Narkisim"/>
          <w:rtl/>
        </w:rPr>
        <w:t xml:space="preserve"> (לרמב"ם שם).</w:t>
      </w:r>
    </w:p>
    <w:p w14:paraId="00F3590C" w14:textId="77777777" w:rsidR="006C4368" w:rsidRPr="00D65870" w:rsidRDefault="006C4368" w:rsidP="006C4368">
      <w:pPr>
        <w:bidi/>
        <w:rPr>
          <w:rFonts w:ascii="Narkisim" w:hAnsi="Narkisim" w:cs="Narkisim"/>
        </w:rPr>
      </w:pPr>
      <w:r w:rsidRPr="00D65870">
        <w:rPr>
          <w:rFonts w:ascii="Narkisim" w:hAnsi="Narkisim" w:cs="Narkisim"/>
          <w:rtl/>
        </w:rPr>
        <w:t>ומ"מ מבואר ברמב"ם דחרש לאו בני דעה [וכקו' התוס' והראשונים], ומש"ה הוה כמו חליצה בלא כוונה. אך צ"ב דאף חליצה שלא נתכוון פוסל</w:t>
      </w:r>
      <w:r w:rsidRPr="00D65870">
        <w:rPr>
          <w:rStyle w:val="ac"/>
          <w:rFonts w:ascii="Narkisim" w:hAnsi="Narkisim" w:cs="Narkisim"/>
          <w:rtl/>
        </w:rPr>
        <w:footnoteReference w:id="6899"/>
      </w:r>
      <w:r w:rsidRPr="00D65870">
        <w:rPr>
          <w:rFonts w:ascii="Narkisim" w:hAnsi="Narkisim" w:cs="Narkisim"/>
          <w:rtl/>
        </w:rPr>
        <w:t>. וצ"ב במה עדיף חרש. ויש שתי' דהיכא דלא נתכוון פוסל משום גזירה [וכמ"ש הראשונים, ע' לעיל קב:], אבל חרש ל"ש גזירה, דידעינן דאין לו דעת.</w:t>
      </w:r>
    </w:p>
    <w:p w14:paraId="12ABC1A8"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עונג יו"ט</w:t>
      </w:r>
      <w:r w:rsidRPr="00D65870">
        <w:rPr>
          <w:rFonts w:ascii="Narkisim" w:hAnsi="Narkisim"/>
          <w:rtl/>
        </w:rPr>
        <w:t xml:space="preserve"> (ב) חידש שבחרש וחרשת יש חסרון נוסף, דאין בהם דעת שיבינו את ענין הקריאה. ומגדרי הקריאה בעינן ודאי שידע שמיאן ליבם וידע הפירוש</w:t>
      </w:r>
      <w:r w:rsidRPr="00D65870">
        <w:rPr>
          <w:rStyle w:val="ac"/>
          <w:rFonts w:ascii="Narkisim" w:hAnsi="Narkisim"/>
          <w:rtl/>
        </w:rPr>
        <w:footnoteReference w:id="6900"/>
      </w:r>
      <w:r w:rsidRPr="00D65870">
        <w:rPr>
          <w:rFonts w:ascii="Narkisim" w:hAnsi="Narkisim"/>
          <w:rtl/>
        </w:rPr>
        <w:t>. ומש"ה חרש שאין דעתו דעה שלימה ל"מ קריאה, וגדול עע"ג לא מהני שיהא דעת בקריאה</w:t>
      </w:r>
      <w:r w:rsidRPr="00D65870">
        <w:rPr>
          <w:rStyle w:val="ac"/>
          <w:rFonts w:ascii="Narkisim" w:hAnsi="Narkisim"/>
          <w:rtl/>
        </w:rPr>
        <w:footnoteReference w:id="6901"/>
      </w:r>
      <w:r w:rsidRPr="00D65870">
        <w:rPr>
          <w:rFonts w:ascii="Narkisim" w:hAnsi="Narkisim"/>
          <w:rtl/>
        </w:rPr>
        <w:t>. ואף דקריאה לא מעכבא מ"מ ראוי לקריאה בעינן</w:t>
      </w:r>
      <w:r w:rsidRPr="00D65870">
        <w:rPr>
          <w:rStyle w:val="ac"/>
          <w:rFonts w:ascii="Narkisim" w:hAnsi="Narkisim"/>
          <w:rtl/>
        </w:rPr>
        <w:footnoteReference w:id="6902"/>
      </w:r>
      <w:r w:rsidRPr="00D65870">
        <w:rPr>
          <w:rFonts w:ascii="Narkisim" w:hAnsi="Narkisim"/>
          <w:rtl/>
        </w:rPr>
        <w:t>.</w:t>
      </w:r>
    </w:p>
    <w:p w14:paraId="62310885" w14:textId="77777777" w:rsidR="006C4368" w:rsidRPr="00D65870" w:rsidRDefault="006C4368" w:rsidP="006C4368">
      <w:pPr>
        <w:bidi/>
        <w:rPr>
          <w:rFonts w:ascii="Narkisim" w:hAnsi="Narkisim" w:cs="Narkisim"/>
        </w:rPr>
      </w:pPr>
      <w:r w:rsidRPr="00D65870">
        <w:rPr>
          <w:rFonts w:ascii="Narkisim" w:hAnsi="Narkisim" w:cs="Narkisim"/>
          <w:u w:val="single"/>
          <w:rtl/>
        </w:rPr>
        <w:t>רש"י ד"ה חליצתה</w:t>
      </w:r>
      <w:r w:rsidRPr="00D65870">
        <w:rPr>
          <w:rFonts w:ascii="Narkisim" w:hAnsi="Narkisim" w:cs="Narkisim"/>
          <w:rtl/>
        </w:rPr>
        <w:t xml:space="preserve">. ומשני ר' זירא וכו' ושאין ראוי לבילה בילה מעכבת בו, דראוי לבילה </w:t>
      </w:r>
      <w:r w:rsidRPr="00D65870">
        <w:rPr>
          <w:rFonts w:ascii="Narkisim" w:hAnsi="Narkisim" w:cs="Narkisim"/>
          <w:rtl/>
        </w:rPr>
        <w:lastRenderedPageBreak/>
        <w:t>בעינן, דאפשר להתקיים בה מצוות מנחה וכו'. ו</w:t>
      </w:r>
      <w:r w:rsidRPr="00D65870">
        <w:rPr>
          <w:rFonts w:ascii="Narkisim" w:hAnsi="Narkisim" w:cs="Narkisim"/>
          <w:b/>
          <w:bCs/>
          <w:rtl/>
        </w:rPr>
        <w:t>רשב"ם</w:t>
      </w:r>
      <w:r w:rsidRPr="00D65870">
        <w:rPr>
          <w:rFonts w:ascii="Narkisim" w:hAnsi="Narkisim" w:cs="Narkisim"/>
          <w:rtl/>
        </w:rPr>
        <w:t xml:space="preserve"> (ב"ב פא:) פי' בילה מעכבת בו, כלומר מה שאי אפשר להבלל מעכבת בו. דכיון דכתיב ויצק עליה שמן וצוה לבלול דכתיב בלולה ש"מ שצווה הקב"ה להביא מנחה שיכול לקיים בהן מצות בלילה וכו', ומנחה כזו לא צוה להביא והרי הוא כמביא מנחה מן הקטניות</w:t>
      </w:r>
      <w:r w:rsidRPr="00D65870">
        <w:rPr>
          <w:rStyle w:val="ac"/>
          <w:rFonts w:ascii="Narkisim" w:hAnsi="Narkisim" w:cs="Narkisim"/>
          <w:rtl/>
        </w:rPr>
        <w:footnoteReference w:id="6903"/>
      </w:r>
      <w:r w:rsidRPr="00D65870">
        <w:rPr>
          <w:rFonts w:ascii="Narkisim" w:hAnsi="Narkisim" w:cs="Narkisim"/>
          <w:rtl/>
        </w:rPr>
        <w:t>.</w:t>
      </w:r>
    </w:p>
    <w:p w14:paraId="0E20CE64" w14:textId="77777777" w:rsidR="006C4368" w:rsidRPr="00D65870" w:rsidRDefault="006C4368" w:rsidP="006C4368">
      <w:pPr>
        <w:bidi/>
        <w:rPr>
          <w:rFonts w:ascii="Narkisim" w:hAnsi="Narkisim" w:cs="Narkisim"/>
        </w:rPr>
      </w:pPr>
      <w:r w:rsidRPr="00D65870">
        <w:rPr>
          <w:rFonts w:ascii="Narkisim" w:hAnsi="Narkisim" w:cs="Narkisim"/>
          <w:rtl/>
        </w:rPr>
        <w:t>ו</w:t>
      </w:r>
      <w:r w:rsidRPr="00D65870">
        <w:rPr>
          <w:rFonts w:ascii="Narkisim" w:hAnsi="Narkisim" w:cs="Narkisim"/>
          <w:b/>
          <w:bCs/>
          <w:rtl/>
        </w:rPr>
        <w:t>תוס</w:t>
      </w:r>
      <w:r w:rsidRPr="00D65870">
        <w:rPr>
          <w:rFonts w:ascii="Narkisim" w:hAnsi="Narkisim" w:cs="Narkisim"/>
          <w:rtl/>
        </w:rPr>
        <w:t>' פי' דסברא הוא דלהכי אהני דכתיב בלולה</w:t>
      </w:r>
      <w:r w:rsidRPr="00D65870">
        <w:rPr>
          <w:rStyle w:val="ac"/>
          <w:rFonts w:ascii="Narkisim" w:hAnsi="Narkisim" w:cs="Narkisim"/>
          <w:rtl/>
        </w:rPr>
        <w:footnoteReference w:id="6904"/>
      </w:r>
      <w:r w:rsidRPr="00D65870">
        <w:rPr>
          <w:rFonts w:ascii="Narkisim" w:hAnsi="Narkisim" w:cs="Narkisim"/>
          <w:rtl/>
        </w:rPr>
        <w:t>, דבעינן ראוי לבילה</w:t>
      </w:r>
      <w:r w:rsidRPr="00D65870">
        <w:rPr>
          <w:rStyle w:val="ac"/>
          <w:rFonts w:ascii="Narkisim" w:hAnsi="Narkisim" w:cs="Narkisim"/>
          <w:rtl/>
        </w:rPr>
        <w:footnoteReference w:id="6905"/>
      </w:r>
      <w:r w:rsidRPr="00D65870">
        <w:rPr>
          <w:rFonts w:ascii="Narkisim" w:hAnsi="Narkisim" w:cs="Narkisim"/>
          <w:rtl/>
        </w:rPr>
        <w:t>.</w:t>
      </w:r>
    </w:p>
    <w:p w14:paraId="1B9A9C0F" w14:textId="77777777" w:rsidR="006C4368" w:rsidRPr="00D65870" w:rsidRDefault="006C4368" w:rsidP="006C4368">
      <w:pPr>
        <w:bidi/>
        <w:rPr>
          <w:rFonts w:ascii="Narkisim" w:hAnsi="Narkisim" w:cs="Narkisim"/>
        </w:rPr>
      </w:pPr>
      <w:r w:rsidRPr="00D65870">
        <w:rPr>
          <w:rFonts w:ascii="Narkisim" w:hAnsi="Narkisim" w:cs="Narkisim"/>
          <w:rtl/>
        </w:rPr>
        <w:t>ו</w:t>
      </w:r>
      <w:r w:rsidRPr="00D65870">
        <w:rPr>
          <w:rFonts w:ascii="Narkisim" w:hAnsi="Narkisim" w:cs="Narkisim"/>
          <w:b/>
          <w:bCs/>
          <w:rtl/>
        </w:rPr>
        <w:t>תוס'</w:t>
      </w:r>
      <w:r w:rsidRPr="00D65870">
        <w:rPr>
          <w:rFonts w:ascii="Narkisim" w:hAnsi="Narkisim" w:cs="Narkisim"/>
          <w:rtl/>
        </w:rPr>
        <w:t xml:space="preserve"> (נדה סו:) כת' דסברא הוא דכיון דקפיד קרא לכתחילה לעשות המצוה בעינן שיהא ראוי לכך, אע"פ שאינו מעכב. דאם לא כן נתבטלה המצוה לגמרי שלא היה יכול לעשותה.</w:t>
      </w:r>
    </w:p>
    <w:p w14:paraId="1561BB1A" w14:textId="77777777" w:rsidR="006C4368" w:rsidRPr="00D65870" w:rsidRDefault="006C4368" w:rsidP="006C4368">
      <w:pPr>
        <w:bidi/>
        <w:rPr>
          <w:rFonts w:ascii="Narkisim" w:hAnsi="Narkisim" w:cs="Narkisim"/>
        </w:rPr>
      </w:pPr>
      <w:r w:rsidRPr="00D65870">
        <w:rPr>
          <w:rFonts w:ascii="Narkisim" w:hAnsi="Narkisim" w:cs="Narkisim"/>
          <w:rtl/>
        </w:rPr>
        <w:t>ו</w:t>
      </w:r>
      <w:r w:rsidRPr="00D65870">
        <w:rPr>
          <w:rFonts w:ascii="Narkisim" w:hAnsi="Narkisim" w:cs="Narkisim"/>
          <w:b/>
          <w:bCs/>
          <w:rtl/>
        </w:rPr>
        <w:t>תוס'</w:t>
      </w:r>
      <w:r w:rsidRPr="00D65870">
        <w:rPr>
          <w:rFonts w:ascii="Narkisim" w:hAnsi="Narkisim" w:cs="Narkisim"/>
          <w:rtl/>
        </w:rPr>
        <w:t xml:space="preserve"> (נדה סו:) הק' גבי טבילה אמאי לא בעינן ביאת מים לכתחילה בבית הסתרים, כמו בילה וקריאה דחליצה וביכורים. ותי' דגבי טבילה לא הקפידה תורה אלא שיטהר האדם, ואין סברא שיעכב. ואין לומר דלכתחילה ליבעי בית הסתרים, דכיון דבדיעבד טהור לכתחלה נמי לא בעי ותעלה לו טבילה. אבל בילה ומקרא בכורים וחליצה מצות נינהו הלכך לכתחלה ליעבד כמצוותו. [והעונג יו"ט (הנ"ל) הביא דמפורש בתוס' דחליצה הוה מצווה].</w:t>
      </w:r>
    </w:p>
    <w:p w14:paraId="61538B24" w14:textId="77777777" w:rsidR="006C4368" w:rsidRPr="00D65870" w:rsidRDefault="006C4368" w:rsidP="006C4368">
      <w:pPr>
        <w:bidi/>
        <w:rPr>
          <w:rFonts w:ascii="Narkisim" w:hAnsi="Narkisim" w:cs="Narkisim"/>
        </w:rPr>
      </w:pPr>
      <w:r w:rsidRPr="00D65870">
        <w:rPr>
          <w:rFonts w:ascii="Narkisim" w:hAnsi="Narkisim" w:cs="Narkisim"/>
          <w:u w:val="single"/>
          <w:rtl/>
        </w:rPr>
        <w:t>תוד"ה דאמר</w:t>
      </w:r>
      <w:r w:rsidRPr="00D65870">
        <w:rPr>
          <w:rFonts w:ascii="Narkisim" w:hAnsi="Narkisim" w:cs="Narkisim"/>
          <w:rtl/>
        </w:rPr>
        <w:t>. ואור"י וכו' לקרבן גדול מכוון. ו</w:t>
      </w:r>
      <w:r w:rsidRPr="00D65870">
        <w:rPr>
          <w:rFonts w:ascii="Narkisim" w:hAnsi="Narkisim" w:cs="Narkisim"/>
          <w:b/>
          <w:bCs/>
          <w:rtl/>
        </w:rPr>
        <w:t>תוס'</w:t>
      </w:r>
      <w:r w:rsidRPr="00D65870">
        <w:rPr>
          <w:rFonts w:ascii="Narkisim" w:hAnsi="Narkisim" w:cs="Narkisim"/>
          <w:rtl/>
        </w:rPr>
        <w:t xml:space="preserve"> </w:t>
      </w:r>
      <w:r w:rsidRPr="00D65870">
        <w:rPr>
          <w:rFonts w:ascii="Narkisim" w:hAnsi="Narkisim" w:cs="Narkisim"/>
          <w:szCs w:val="20"/>
          <w:rtl/>
        </w:rPr>
        <w:t>(קידושין כה:)</w:t>
      </w:r>
      <w:r w:rsidRPr="00D65870">
        <w:rPr>
          <w:rFonts w:ascii="Narkisim" w:hAnsi="Narkisim" w:cs="Narkisim"/>
          <w:rtl/>
        </w:rPr>
        <w:t xml:space="preserve"> תי' עוד דיש נפק"מ בשמן, דהמתנדב מנחה גדולה מביא לוג א' שמן</w:t>
      </w:r>
      <w:r w:rsidRPr="00D65870">
        <w:rPr>
          <w:rStyle w:val="ac"/>
          <w:rFonts w:ascii="Narkisim" w:hAnsi="Narkisim" w:cs="Narkisim"/>
          <w:rtl/>
        </w:rPr>
        <w:footnoteReference w:id="6906"/>
      </w:r>
      <w:r w:rsidRPr="00D65870">
        <w:rPr>
          <w:rFonts w:ascii="Narkisim" w:hAnsi="Narkisim" w:cs="Narkisim"/>
          <w:rtl/>
        </w:rPr>
        <w:t>. ואילו מביא בב' כלים צריך להביא ב' לוגין שמן, והוה כמו יתור שמן. שהרי לא נתנדב אלא א'</w:t>
      </w:r>
      <w:r w:rsidRPr="00D65870">
        <w:rPr>
          <w:rStyle w:val="ac"/>
          <w:rFonts w:ascii="Narkisim" w:hAnsi="Narkisim" w:cs="Narkisim"/>
          <w:rtl/>
        </w:rPr>
        <w:footnoteReference w:id="6907"/>
      </w:r>
      <w:r w:rsidRPr="00D65870">
        <w:rPr>
          <w:rFonts w:ascii="Narkisim" w:hAnsi="Narkisim" w:cs="Narkisim"/>
          <w:rtl/>
        </w:rPr>
        <w:t>.</w:t>
      </w:r>
    </w:p>
    <w:p w14:paraId="5D0DD4D8" w14:textId="77777777" w:rsidR="006C4368" w:rsidRPr="00D65870" w:rsidRDefault="006C4368" w:rsidP="006C4368">
      <w:pPr>
        <w:pStyle w:val="aa"/>
        <w:bidi/>
        <w:rPr>
          <w:rFonts w:ascii="Narkisim" w:hAnsi="Narkisim"/>
        </w:rPr>
      </w:pPr>
      <w:r w:rsidRPr="00D65870">
        <w:rPr>
          <w:rFonts w:ascii="Narkisim" w:hAnsi="Narkisim"/>
          <w:u w:val="single"/>
          <w:rtl/>
        </w:rPr>
        <w:t>בא"ד ודוקא כי אמר הרי עלי מנחה אמרי' דלקרבן גדול קמכוין</w:t>
      </w:r>
      <w:r w:rsidRPr="00D65870">
        <w:rPr>
          <w:rStyle w:val="ac"/>
          <w:rFonts w:ascii="Narkisim" w:hAnsi="Narkisim"/>
          <w:u w:val="single"/>
          <w:rtl/>
        </w:rPr>
        <w:footnoteReference w:id="6908"/>
      </w:r>
      <w:r w:rsidRPr="00D65870">
        <w:rPr>
          <w:rFonts w:ascii="Narkisim" w:hAnsi="Narkisim"/>
          <w:u w:val="single"/>
          <w:rtl/>
        </w:rPr>
        <w:t xml:space="preserve"> וכו'</w:t>
      </w:r>
      <w:r w:rsidRPr="00D65870">
        <w:rPr>
          <w:rFonts w:ascii="Narkisim" w:hAnsi="Narkisim"/>
          <w:rtl/>
        </w:rPr>
        <w:t xml:space="preserve">. אבל </w:t>
      </w:r>
      <w:r w:rsidRPr="00D65870">
        <w:rPr>
          <w:rFonts w:ascii="Narkisim" w:hAnsi="Narkisim"/>
          <w:b/>
          <w:bCs/>
          <w:rtl/>
        </w:rPr>
        <w:t>תוס'</w:t>
      </w:r>
      <w:r w:rsidRPr="00D65870">
        <w:rPr>
          <w:rFonts w:ascii="Narkisim" w:hAnsi="Narkisim"/>
          <w:rtl/>
        </w:rPr>
        <w:t xml:space="preserve"> (נדה סו:) תי' עוד דשאני מנחה של ס"א דמוכח מילתא דנתכוין לקרבן גדול</w:t>
      </w:r>
      <w:r w:rsidRPr="00D65870">
        <w:rPr>
          <w:rStyle w:val="ac"/>
          <w:rFonts w:ascii="Narkisim" w:hAnsi="Narkisim"/>
          <w:rtl/>
        </w:rPr>
        <w:footnoteReference w:id="6909"/>
      </w:r>
      <w:r w:rsidRPr="00D65870">
        <w:rPr>
          <w:rFonts w:ascii="Narkisim" w:hAnsi="Narkisim"/>
          <w:rtl/>
        </w:rPr>
        <w:t>.</w:t>
      </w:r>
    </w:p>
    <w:p w14:paraId="76AB4A77" w14:textId="77777777" w:rsidR="006C4368" w:rsidRPr="00D65870" w:rsidRDefault="006C4368" w:rsidP="006C4368">
      <w:pPr>
        <w:pStyle w:val="aa"/>
        <w:bidi/>
        <w:rPr>
          <w:rFonts w:ascii="Narkisim" w:hAnsi="Narkisim"/>
        </w:rPr>
      </w:pPr>
      <w:r w:rsidRPr="00D65870">
        <w:rPr>
          <w:rFonts w:ascii="Narkisim" w:hAnsi="Narkisim"/>
          <w:u w:val="single"/>
          <w:rtl/>
        </w:rPr>
        <w:t>בא"ד וי"ל דל"מ ליה עיכובא כיון דלא כתיב ויבלול לשון צווי וכו'</w:t>
      </w:r>
      <w:r w:rsidRPr="00D65870">
        <w:rPr>
          <w:rFonts w:ascii="Narkisim" w:hAnsi="Narkisim"/>
          <w:rtl/>
        </w:rPr>
        <w:t xml:space="preserve">. וכ"כ </w:t>
      </w:r>
      <w:r w:rsidRPr="00D65870">
        <w:rPr>
          <w:rFonts w:ascii="Narkisim" w:hAnsi="Narkisim"/>
          <w:b/>
          <w:bCs/>
          <w:rtl/>
        </w:rPr>
        <w:t>תוס'</w:t>
      </w:r>
      <w:r w:rsidRPr="00D65870">
        <w:rPr>
          <w:rFonts w:ascii="Narkisim" w:hAnsi="Narkisim"/>
          <w:rtl/>
        </w:rPr>
        <w:t xml:space="preserve"> (קידושין כה:) וז"ל דודאי שנה הכתוב בלול כמה פעמים, אבל לא כתב בלשון צווי ובלילה, משמע דאתא לאשמועינן דלא בעינן אלא ראוי.</w:t>
      </w:r>
    </w:p>
    <w:p w14:paraId="2454BBEE" w14:textId="77777777" w:rsidR="006C4368" w:rsidRPr="00D65870" w:rsidRDefault="006C4368" w:rsidP="006C4368">
      <w:pPr>
        <w:pStyle w:val="a8"/>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(נדה סו:) כת' דתנא בהו קרא דמעכב, ושמא יש שום דרשא דאינו מעכב.</w:t>
      </w:r>
    </w:p>
    <w:p w14:paraId="61BA674F" w14:textId="77777777" w:rsidR="006C4368" w:rsidRPr="00D65870" w:rsidRDefault="006C4368" w:rsidP="006C4368">
      <w:pPr>
        <w:pStyle w:val="aa"/>
        <w:bidi/>
        <w:rPr>
          <w:rFonts w:ascii="Narkisim" w:hAnsi="Narkisim"/>
        </w:rPr>
      </w:pPr>
      <w:r w:rsidRPr="00D65870">
        <w:rPr>
          <w:rFonts w:ascii="Narkisim" w:hAnsi="Narkisim"/>
          <w:u w:val="single"/>
          <w:rtl/>
        </w:rPr>
        <w:t>בא"ד וא"ת מנ"ל דמעכבא בשאין ראוי לבילה, וי"ל דסברא הוא דכתיב בלולה וכו' מסתמא להכי אהני הא דכתביה דבעינן ראוי לבילה</w:t>
      </w:r>
      <w:r w:rsidRPr="00D65870">
        <w:rPr>
          <w:rFonts w:ascii="Narkisim" w:hAnsi="Narkisim"/>
          <w:rtl/>
        </w:rPr>
        <w:t>. וילפי' מקרא דצריך 'ראוי' לבילה. ועד"ז בכל מקום דהביאו דברי ר' זירא הוא משום דיש ילפותא דצריך 'ראוי' למצוותו</w:t>
      </w:r>
      <w:r w:rsidRPr="00D65870">
        <w:rPr>
          <w:rStyle w:val="ac"/>
          <w:rFonts w:ascii="Narkisim" w:hAnsi="Narkisim"/>
          <w:rtl/>
        </w:rPr>
        <w:footnoteReference w:id="6910"/>
      </w:r>
      <w:r w:rsidRPr="00D65870">
        <w:rPr>
          <w:rFonts w:ascii="Narkisim" w:hAnsi="Narkisim"/>
          <w:rtl/>
        </w:rPr>
        <w:t>. [וע' מה שהו' לעיל בשם רשב"ם].</w:t>
      </w:r>
    </w:p>
    <w:p w14:paraId="471A3756" w14:textId="77777777" w:rsidR="006C4368" w:rsidRPr="00D65870" w:rsidRDefault="006C4368" w:rsidP="006C4368">
      <w:pPr>
        <w:pStyle w:val="aa"/>
        <w:bidi/>
        <w:rPr>
          <w:rFonts w:ascii="Narkisim" w:hAnsi="Narkisim"/>
        </w:rPr>
      </w:pPr>
      <w:r w:rsidRPr="00D65870">
        <w:rPr>
          <w:rFonts w:ascii="Narkisim" w:hAnsi="Narkisim"/>
          <w:u w:val="single"/>
          <w:rtl/>
        </w:rPr>
        <w:t>בא"ד וי"ל מדדרשינן בת"כ מזובו ולא מנגעו, ש"מ דטמא משלח קרבנות</w:t>
      </w:r>
      <w:r w:rsidRPr="00D65870">
        <w:rPr>
          <w:rFonts w:ascii="Narkisim" w:hAnsi="Narkisim"/>
          <w:rtl/>
        </w:rPr>
        <w:t>. [וכ"כ תוס' בכ"מ, גיטין כח:, מנחות סב: ועוד]. ה</w:t>
      </w:r>
      <w:r w:rsidRPr="00D65870">
        <w:rPr>
          <w:rFonts w:ascii="Narkisim" w:hAnsi="Narkisim"/>
          <w:b/>
          <w:bCs/>
          <w:rtl/>
        </w:rPr>
        <w:t>טור"א</w:t>
      </w:r>
      <w:r w:rsidRPr="00D65870">
        <w:rPr>
          <w:rFonts w:ascii="Narkisim" w:hAnsi="Narkisim"/>
          <w:rtl/>
        </w:rPr>
        <w:t xml:space="preserve"> (מגילה ח.) הק' דקרבן זב הוא ב' תורים או בני יונה, וליכא סמיכה בקרבן עוף. והרש"ש (נזיר נט:) חידש דמ"מ זב רשאי להביא עולת בהמה במקום עולת העוף. ודרשי' אף בכה"ג.</w:t>
      </w:r>
    </w:p>
    <w:p w14:paraId="53C9BED3"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רש"ש</w:t>
      </w:r>
      <w:r w:rsidRPr="00D65870">
        <w:rPr>
          <w:rFonts w:ascii="Narkisim" w:hAnsi="Narkisim"/>
          <w:rtl/>
        </w:rPr>
        <w:t xml:space="preserve"> הביא עוד דה</w:t>
      </w:r>
      <w:r w:rsidRPr="00D65870">
        <w:rPr>
          <w:rFonts w:ascii="Narkisim" w:hAnsi="Narkisim"/>
          <w:b/>
          <w:bCs/>
          <w:rtl/>
        </w:rPr>
        <w:t>נצי"ב</w:t>
      </w:r>
      <w:r w:rsidRPr="00D65870">
        <w:rPr>
          <w:rFonts w:ascii="Narkisim" w:hAnsi="Narkisim"/>
          <w:rtl/>
        </w:rPr>
        <w:t xml:space="preserve"> (מרומי שדה זבחים עה.) הגיה בתוס' מטומאתו ולא מזובו, ע"פ תו"כ (מצורע פרשתא ג יג).</w:t>
      </w:r>
    </w:p>
    <w:p w14:paraId="7DAA83A8" w14:textId="77777777" w:rsidR="006C4368" w:rsidRPr="00D65870" w:rsidRDefault="006C4368" w:rsidP="006C4368">
      <w:pPr>
        <w:pStyle w:val="2"/>
        <w:bidi/>
        <w:rPr>
          <w:rFonts w:ascii="Narkisim" w:hAnsi="Narkisim"/>
        </w:rPr>
      </w:pPr>
      <w:r w:rsidRPr="00D65870">
        <w:rPr>
          <w:rFonts w:ascii="Narkisim" w:hAnsi="Narkisim"/>
          <w:rtl/>
        </w:rPr>
        <w:lastRenderedPageBreak/>
        <w:t>ב' דברים המתירין</w:t>
      </w:r>
    </w:p>
    <w:p w14:paraId="1189D086" w14:textId="77777777" w:rsidR="006C4368" w:rsidRPr="00D65870" w:rsidRDefault="006C4368" w:rsidP="006C4368">
      <w:pPr>
        <w:bidi/>
        <w:rPr>
          <w:rFonts w:ascii="Narkisim" w:hAnsi="Narkisim" w:cs="Narkisim"/>
        </w:rPr>
      </w:pPr>
      <w:r w:rsidRPr="00D65870">
        <w:rPr>
          <w:rFonts w:ascii="Narkisim" w:hAnsi="Narkisim" w:cs="Narkisim"/>
          <w:u w:val="single"/>
          <w:rtl/>
        </w:rPr>
        <w:t>שלחו ליה לאבוה דשמואל יבמה שרקקה תחלוץ, מכלל דאפסלא לה מאחין וכו' השתא ומה במקום מצווה וכו' לא מעכבי וכו'</w:t>
      </w:r>
      <w:r w:rsidRPr="00D65870">
        <w:rPr>
          <w:rFonts w:ascii="Narkisim" w:hAnsi="Narkisim" w:cs="Narkisim"/>
          <w:rtl/>
        </w:rPr>
        <w:t>. ה</w:t>
      </w:r>
      <w:r w:rsidRPr="00D65870">
        <w:rPr>
          <w:rFonts w:ascii="Narkisim" w:hAnsi="Narkisim" w:cs="Narkisim"/>
          <w:b/>
          <w:bCs/>
          <w:rtl/>
        </w:rPr>
        <w:t>רמב"ן</w:t>
      </w:r>
      <w:r w:rsidRPr="00D65870">
        <w:rPr>
          <w:rFonts w:ascii="Narkisim" w:hAnsi="Narkisim" w:cs="Narkisim"/>
          <w:rtl/>
        </w:rPr>
        <w:t xml:space="preserve"> ביאר דהמקשן דייק דמדאורייתא אסורה, דל"ש גזירה, דלא מיחזי לאינשי כחליצה דרקיקה לאו כלום היא. וע"כ אסורה מדאורייתא ומשום ב' דברים המתירין, וכרבי. וכי היכי דהתם קדוש ואינו קדוש, ה"נ חלוצה ואינה חלוצה. אך למסקנא אף לר"ע אסורה מדרבנן, דמיחלפה ואתו למישרי חלוצה לאחים.</w:t>
      </w:r>
    </w:p>
    <w:p w14:paraId="6F116E55" w14:textId="77777777" w:rsidR="006C4368" w:rsidRPr="00D65870" w:rsidRDefault="006C4368" w:rsidP="006C4368">
      <w:pPr>
        <w:pStyle w:val="a8"/>
        <w:bidi/>
        <w:rPr>
          <w:rFonts w:ascii="Narkisim" w:hAnsi="Narkisim"/>
        </w:rPr>
      </w:pPr>
      <w:r w:rsidRPr="00D65870">
        <w:rPr>
          <w:rFonts w:ascii="Narkisim" w:hAnsi="Narkisim"/>
          <w:rtl/>
        </w:rPr>
        <w:t>וכן מצאנו בכ"מ דחליצה פסולה ואפ"ה פוסל לאחים (ע"ע לקמן קה:). ובפשוטו בכל הנך הוה מדרבנן</w:t>
      </w:r>
      <w:r w:rsidRPr="00D65870">
        <w:rPr>
          <w:rStyle w:val="ac"/>
          <w:rFonts w:ascii="Narkisim" w:hAnsi="Narkisim"/>
          <w:rtl/>
        </w:rPr>
        <w:footnoteReference w:id="6911"/>
      </w:r>
      <w:r w:rsidRPr="00D65870">
        <w:rPr>
          <w:rFonts w:ascii="Narkisim" w:hAnsi="Narkisim"/>
          <w:rtl/>
        </w:rPr>
        <w:t>.</w:t>
      </w:r>
    </w:p>
    <w:p w14:paraId="0AC2A1ED" w14:textId="77777777" w:rsidR="006C4368" w:rsidRPr="00D65870" w:rsidRDefault="006C4368" w:rsidP="006C4368">
      <w:pPr>
        <w:bidi/>
        <w:rPr>
          <w:rFonts w:ascii="Narkisim" w:hAnsi="Narkisim" w:cs="Narkisim"/>
        </w:rPr>
      </w:pPr>
      <w:r w:rsidRPr="00D65870">
        <w:rPr>
          <w:rFonts w:ascii="Narkisim" w:hAnsi="Narkisim" w:cs="Narkisim"/>
          <w:u w:val="single"/>
          <w:rtl/>
        </w:rPr>
        <w:t>מידי דהוה אאימורים וכו' וכי איתנהו מעכבי וכו'</w:t>
      </w:r>
      <w:r w:rsidRPr="00D65870">
        <w:rPr>
          <w:rFonts w:ascii="Narkisim" w:hAnsi="Narkisim" w:cs="Narkisim"/>
          <w:rtl/>
        </w:rPr>
        <w:t>. ואף דאימורים אינן מעכבין, מ"מ היכא דאפשר להקריבם אסור לכהנים לאכול בשר</w:t>
      </w:r>
      <w:r w:rsidRPr="00D65870">
        <w:rPr>
          <w:rStyle w:val="ac"/>
          <w:rFonts w:ascii="Narkisim" w:hAnsi="Narkisim" w:cs="Narkisim"/>
          <w:rtl/>
        </w:rPr>
        <w:footnoteReference w:id="6912"/>
      </w:r>
      <w:r w:rsidRPr="00D65870">
        <w:rPr>
          <w:rFonts w:ascii="Narkisim" w:hAnsi="Narkisim" w:cs="Narkisim"/>
          <w:rtl/>
        </w:rPr>
        <w:t>. ופרש"י דה"נ נימא דהואיל ואפשר לרוק ליעכב [ואף דלא הוה מעשה באיש, ולא הוה בכלל ילפותא דככה]. משמע דלהך ס"ד מסברא תהא אסורה לינשא עד שתרוק, ואף דאינו מעכב בחליצה.</w:t>
      </w:r>
    </w:p>
    <w:p w14:paraId="67CABC10"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קוב"ש</w:t>
      </w:r>
      <w:r w:rsidRPr="00D65870">
        <w:rPr>
          <w:rFonts w:ascii="Narkisim" w:hAnsi="Narkisim"/>
          <w:rtl/>
        </w:rPr>
        <w:t xml:space="preserve"> (ביצה נד) ביאר דליכא איסור לאכול את הבשר קודם הקטרת האימורים, אלא הוה מצוות קדימה להקטיר קודם אכילה</w:t>
      </w:r>
      <w:r w:rsidRPr="00D65870">
        <w:rPr>
          <w:rStyle w:val="ac"/>
          <w:rFonts w:ascii="Narkisim" w:hAnsi="Narkisim"/>
          <w:rtl/>
        </w:rPr>
        <w:footnoteReference w:id="6913"/>
      </w:r>
      <w:r w:rsidRPr="00D65870">
        <w:rPr>
          <w:rFonts w:ascii="Narkisim" w:hAnsi="Narkisim"/>
          <w:rtl/>
        </w:rPr>
        <w:t>. ומש"ה במקום אונס (וכדאי' פסחים נט:) רשאי לאכול את הבשר</w:t>
      </w:r>
      <w:r w:rsidRPr="00D65870">
        <w:rPr>
          <w:rStyle w:val="ac"/>
          <w:rFonts w:ascii="Narkisim" w:hAnsi="Narkisim"/>
          <w:rtl/>
        </w:rPr>
        <w:footnoteReference w:id="6914"/>
      </w:r>
      <w:r w:rsidRPr="00D65870">
        <w:rPr>
          <w:rFonts w:ascii="Narkisim" w:hAnsi="Narkisim"/>
          <w:rtl/>
        </w:rPr>
        <w:t>.</w:t>
      </w:r>
    </w:p>
    <w:p w14:paraId="679DB024" w14:textId="77777777" w:rsidR="006C4368" w:rsidRPr="00D65870" w:rsidRDefault="006C4368" w:rsidP="006C4368">
      <w:pPr>
        <w:bidi/>
        <w:rPr>
          <w:rFonts w:ascii="Narkisim" w:hAnsi="Narkisim" w:cs="Narkisim"/>
        </w:rPr>
      </w:pPr>
      <w:r w:rsidRPr="00D65870">
        <w:rPr>
          <w:rFonts w:ascii="Narkisim" w:hAnsi="Narkisim" w:cs="Narkisim"/>
          <w:u w:val="single"/>
          <w:rtl/>
        </w:rPr>
        <w:t>והא ב' דברים המתירין וכו' שחטן לשמן וזרק דמן שלא לשמן קדוש ואינו קדוש דברי רבי וכו'</w:t>
      </w:r>
      <w:r w:rsidRPr="00D65870">
        <w:rPr>
          <w:rFonts w:ascii="Narkisim" w:hAnsi="Narkisim" w:cs="Narkisim"/>
          <w:rtl/>
        </w:rPr>
        <w:t>. מבואר דבשחיטה והזריקה הוה ב' דברים המקדשים את הלחם. ומש"ה רבי סבר דמתיר א' פועל מקצת.</w:t>
      </w:r>
    </w:p>
    <w:p w14:paraId="277B385C" w14:textId="77777777" w:rsidR="006C4368" w:rsidRPr="00D65870" w:rsidRDefault="006C4368" w:rsidP="006C4368">
      <w:pPr>
        <w:pStyle w:val="a7"/>
        <w:bidi/>
        <w:rPr>
          <w:rFonts w:ascii="Narkisim" w:hAnsi="Narkisim"/>
        </w:rPr>
      </w:pPr>
      <w:r w:rsidRPr="00D65870">
        <w:rPr>
          <w:rFonts w:ascii="Narkisim" w:hAnsi="Narkisim"/>
          <w:rtl/>
        </w:rPr>
        <w:t>והגמ' מדמה דאף חליצה ורקיקה [לר"א] מהני במקצת. ומבואר דסברת רבי הוה בכל התורה, בכל מקום שיש ב' דברים המתירים אמרי' דכל א' פועל מקצת</w:t>
      </w:r>
      <w:r w:rsidRPr="00D65870">
        <w:rPr>
          <w:rStyle w:val="ac"/>
          <w:rFonts w:ascii="Narkisim" w:hAnsi="Narkisim"/>
          <w:rtl/>
        </w:rPr>
        <w:footnoteReference w:id="6915"/>
      </w:r>
      <w:r w:rsidRPr="00D65870">
        <w:rPr>
          <w:rFonts w:ascii="Narkisim" w:hAnsi="Narkisim"/>
          <w:rtl/>
        </w:rPr>
        <w:t>, וע"י מעשה א' חל במקצת</w:t>
      </w:r>
      <w:r w:rsidRPr="00D65870">
        <w:rPr>
          <w:rStyle w:val="ac"/>
          <w:rFonts w:ascii="Narkisim" w:hAnsi="Narkisim"/>
          <w:rtl/>
        </w:rPr>
        <w:footnoteReference w:id="6916"/>
      </w:r>
      <w:r w:rsidRPr="00D65870">
        <w:rPr>
          <w:rFonts w:ascii="Narkisim" w:hAnsi="Narkisim"/>
          <w:rtl/>
        </w:rPr>
        <w:t>.</w:t>
      </w:r>
    </w:p>
    <w:p w14:paraId="3D2DEEC0"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קובה"ע</w:t>
      </w:r>
      <w:r w:rsidRPr="00D65870">
        <w:rPr>
          <w:rFonts w:ascii="Narkisim" w:hAnsi="Narkisim" w:cs="Narkisim"/>
          <w:rtl/>
        </w:rPr>
        <w:t xml:space="preserve"> (עג יא) כת' דאף דהוה מדאורייתא, מ"מ נראה דליכא לאו גמור דלא יבנה, דלא הוה חליצה גמורה אלא מקצתה. וכת' דאפשר דה"נ תו לא הוי לאו גמור דיבמה לשוק. ונפק"מ דלמ"ד אין קידושין תופסין ביבמה לשוק, אפשר דלאחר רקיקה צריכה גט, דתופסין בה מקצת קידושין</w:t>
      </w:r>
      <w:r w:rsidRPr="00D65870">
        <w:rPr>
          <w:rStyle w:val="ac"/>
          <w:rFonts w:ascii="Narkisim" w:hAnsi="Narkisim" w:cs="Narkisim"/>
          <w:rtl/>
        </w:rPr>
        <w:footnoteReference w:id="6917"/>
      </w:r>
      <w:r w:rsidRPr="00D65870">
        <w:rPr>
          <w:rFonts w:ascii="Narkisim" w:hAnsi="Narkisim" w:cs="Narkisim"/>
          <w:rtl/>
        </w:rPr>
        <w:t>.</w:t>
      </w:r>
    </w:p>
    <w:p w14:paraId="262D009C"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או"ש</w:t>
      </w:r>
      <w:r w:rsidRPr="00D65870">
        <w:rPr>
          <w:rFonts w:ascii="Narkisim" w:hAnsi="Narkisim" w:cs="Narkisim"/>
          <w:rtl/>
        </w:rPr>
        <w:t xml:space="preserve"> (ד טז) העיר דהוה פלוגתא רחוקה, דהתם לקדש הלחם, ע"י השחיטה וזריקה נעשית אגד לחם לקרבן. ואילו חליצה הוה מסיר הזיקה ופוטרה. [ויש חילוק בין עשיית קשר לסילוק קשר]. וכת' די"ל דסוגיין קאי את"ל דר"א סבר כר"ע (לעיל מד.) דע"י חליצה הכתוב קראו ביתו. והחליצה הוא גמר ענין הזיקה [והוה אגד וקשר והיתר כא', ולא סילוק לחוד].</w:t>
      </w:r>
    </w:p>
    <w:p w14:paraId="277D37BE"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או"ש</w:t>
      </w:r>
      <w:r w:rsidRPr="00D65870">
        <w:rPr>
          <w:rFonts w:ascii="Narkisim" w:hAnsi="Narkisim"/>
          <w:rtl/>
        </w:rPr>
        <w:t xml:space="preserve"> (שם) דן האם נימא דאף התרת הרצועות והשמטת המנעל הוה ב' דברים המתירים</w:t>
      </w:r>
      <w:r w:rsidRPr="00D65870">
        <w:rPr>
          <w:rStyle w:val="ac"/>
          <w:rFonts w:ascii="Narkisim" w:hAnsi="Narkisim"/>
          <w:rtl/>
        </w:rPr>
        <w:footnoteReference w:id="6918"/>
      </w:r>
      <w:r w:rsidRPr="00D65870">
        <w:rPr>
          <w:rFonts w:ascii="Narkisim" w:hAnsi="Narkisim"/>
          <w:rtl/>
        </w:rPr>
        <w:t xml:space="preserve">. אך הביא </w:t>
      </w:r>
      <w:r w:rsidRPr="00D65870">
        <w:rPr>
          <w:rFonts w:ascii="Narkisim" w:hAnsi="Narkisim"/>
          <w:rtl/>
        </w:rPr>
        <w:lastRenderedPageBreak/>
        <w:t>דבגמ' משמע דדוקא דבר שלם המתיר, אבל חצי חליצה ל"מ כלל.</w:t>
      </w:r>
    </w:p>
    <w:p w14:paraId="09D02A0D" w14:textId="77777777" w:rsidR="006C4368" w:rsidRPr="00D65870" w:rsidRDefault="006C4368" w:rsidP="006C4368">
      <w:pPr>
        <w:pStyle w:val="3"/>
        <w:bidi/>
        <w:rPr>
          <w:rFonts w:ascii="Narkisim" w:hAnsi="Narkisim"/>
        </w:rPr>
      </w:pPr>
      <w:r w:rsidRPr="00D65870">
        <w:rPr>
          <w:rFonts w:ascii="Narkisim" w:hAnsi="Narkisim"/>
          <w:rtl/>
        </w:rPr>
        <w:t>דף קה.</w:t>
      </w:r>
    </w:p>
    <w:p w14:paraId="11E9E6C7" w14:textId="77777777" w:rsidR="006C4368" w:rsidRPr="00D65870" w:rsidRDefault="006C4368" w:rsidP="006C4368">
      <w:pPr>
        <w:bidi/>
        <w:rPr>
          <w:rFonts w:ascii="Narkisim" w:hAnsi="Narkisim" w:cs="Narkisim"/>
        </w:rPr>
      </w:pPr>
      <w:r w:rsidRPr="00D65870">
        <w:rPr>
          <w:rFonts w:ascii="Narkisim" w:hAnsi="Narkisim" w:cs="Narkisim"/>
          <w:u w:val="single"/>
          <w:rtl/>
        </w:rPr>
        <w:t>ומ"ש קריאה ומ"ש רקיקה וכו'</w:t>
      </w:r>
      <w:r w:rsidRPr="00D65870">
        <w:rPr>
          <w:rFonts w:ascii="Narkisim" w:hAnsi="Narkisim" w:cs="Narkisim"/>
          <w:rtl/>
        </w:rPr>
        <w:t>. ה</w:t>
      </w:r>
      <w:r w:rsidRPr="00D65870">
        <w:rPr>
          <w:rFonts w:ascii="Narkisim" w:hAnsi="Narkisim" w:cs="Narkisim"/>
          <w:b/>
          <w:bCs/>
          <w:rtl/>
        </w:rPr>
        <w:t>ריטב"א</w:t>
      </w:r>
      <w:r w:rsidRPr="00D65870">
        <w:rPr>
          <w:rFonts w:ascii="Narkisim" w:hAnsi="Narkisim" w:cs="Narkisim"/>
          <w:rtl/>
        </w:rPr>
        <w:t xml:space="preserve"> פי' כיון דחד מינייהו לא מעכב לר' עקיבא מדאורייתא, אמאי גזר בהא טפי מהא. [דלמסקנא הוה משום גזירה, ע' לעיל].</w:t>
      </w:r>
    </w:p>
    <w:p w14:paraId="554720A8" w14:textId="77777777" w:rsidR="006C4368" w:rsidRPr="00D65870" w:rsidRDefault="006C4368" w:rsidP="006C4368">
      <w:pPr>
        <w:bidi/>
        <w:rPr>
          <w:rFonts w:ascii="Narkisim" w:hAnsi="Narkisim" w:cs="Narkisim"/>
        </w:rPr>
      </w:pPr>
      <w:r w:rsidRPr="00D65870">
        <w:rPr>
          <w:rFonts w:ascii="Narkisim" w:hAnsi="Narkisim" w:cs="Narkisim"/>
          <w:u w:val="single"/>
          <w:rtl/>
        </w:rPr>
        <w:t>רקיקה וכו' מחלפה ליה, ואתי למישרי חלוצה לאחין</w:t>
      </w:r>
      <w:r w:rsidRPr="00D65870">
        <w:rPr>
          <w:rStyle w:val="ac"/>
          <w:rFonts w:ascii="Narkisim" w:hAnsi="Narkisim" w:cs="Narkisim"/>
          <w:rtl/>
        </w:rPr>
        <w:footnoteReference w:id="6919"/>
      </w:r>
      <w:r w:rsidRPr="00D65870">
        <w:rPr>
          <w:rFonts w:ascii="Narkisim" w:hAnsi="Narkisim" w:cs="Narkisim"/>
          <w:rtl/>
        </w:rPr>
        <w:t>. ומש"ה תקנו שרקיקה לחוד יחשב חליצה לפסול. [וע"ע בע"ב]. אבל ה</w:t>
      </w:r>
      <w:r w:rsidRPr="00D65870">
        <w:rPr>
          <w:rFonts w:ascii="Narkisim" w:hAnsi="Narkisim" w:cs="Narkisim"/>
          <w:b/>
          <w:bCs/>
          <w:rtl/>
        </w:rPr>
        <w:t>או"ש</w:t>
      </w:r>
      <w:r w:rsidRPr="00D65870">
        <w:rPr>
          <w:rFonts w:ascii="Narkisim" w:hAnsi="Narkisim" w:cs="Narkisim"/>
          <w:rtl/>
        </w:rPr>
        <w:t xml:space="preserve"> (ד טז) דייק מדברי ה</w:t>
      </w:r>
      <w:r w:rsidRPr="00D65870">
        <w:rPr>
          <w:rFonts w:ascii="Narkisim" w:hAnsi="Narkisim" w:cs="Narkisim"/>
          <w:b/>
          <w:bCs/>
          <w:rtl/>
        </w:rPr>
        <w:t>רמב"ם</w:t>
      </w:r>
      <w:r w:rsidRPr="00D65870">
        <w:rPr>
          <w:rStyle w:val="ac"/>
          <w:rFonts w:ascii="Narkisim" w:hAnsi="Narkisim" w:cs="Narkisim"/>
          <w:rtl/>
        </w:rPr>
        <w:footnoteReference w:id="6920"/>
      </w:r>
      <w:r w:rsidRPr="00D65870">
        <w:rPr>
          <w:rFonts w:ascii="Narkisim" w:hAnsi="Narkisim" w:cs="Narkisim"/>
          <w:rtl/>
        </w:rPr>
        <w:t xml:space="preserve"> דאף לר"ע הרקיקה הוה 'מתיר', ואף דר"ע סבר דהותרה להנשא בלא רקיקה, אע"פ כן החליצה מתיר והרקיקה הוה מתיר. דפשטיה דקרא ד'ככה יעשה' קאי ארקיקה נמי, ולא עקרינן קרא לגמרי מפשטיה. [ואולי לא גרס כל הגמ' כאן].</w:t>
      </w:r>
    </w:p>
    <w:p w14:paraId="24BCA7FF"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ה</w:t>
      </w:r>
      <w:r w:rsidRPr="00D65870">
        <w:rPr>
          <w:rFonts w:ascii="Narkisim" w:hAnsi="Narkisim" w:cs="Narkisim"/>
          <w:b/>
          <w:bCs/>
          <w:rtl/>
        </w:rPr>
        <w:t>מרדכי</w:t>
      </w:r>
      <w:r w:rsidRPr="00D65870">
        <w:rPr>
          <w:rFonts w:ascii="Narkisim" w:hAnsi="Narkisim" w:cs="Narkisim"/>
          <w:rtl/>
        </w:rPr>
        <w:t xml:space="preserve"> (נז) כת' מקובלני שהיבמה לא תרוק כלל לפני היבם ולפני הדיינים קודם החליצה, שהרואה סבור שרקיקה מצוה, וכבר נפסלה על האחין. וכיון שמקודם חליצה</w:t>
      </w:r>
      <w:r w:rsidRPr="00D65870">
        <w:rPr>
          <w:rStyle w:val="ac"/>
          <w:rFonts w:ascii="Narkisim" w:hAnsi="Narkisim" w:cs="Narkisim"/>
          <w:rtl/>
        </w:rPr>
        <w:footnoteReference w:id="6921"/>
      </w:r>
      <w:r w:rsidRPr="00D65870">
        <w:rPr>
          <w:rFonts w:ascii="Narkisim" w:hAnsi="Narkisim" w:cs="Narkisim"/>
          <w:rtl/>
        </w:rPr>
        <w:t xml:space="preserve"> נפסלה על האחין הו"ל חליצה פסולה, ואמרי' (לעיל כו:) דחליצה פסולה צריכה לחזור על האחין</w:t>
      </w:r>
      <w:r w:rsidRPr="00D65870">
        <w:rPr>
          <w:rStyle w:val="ac"/>
          <w:rFonts w:ascii="Narkisim" w:hAnsi="Narkisim" w:cs="Narkisim"/>
          <w:rtl/>
        </w:rPr>
        <w:footnoteReference w:id="6922"/>
      </w:r>
      <w:r w:rsidRPr="00D65870">
        <w:rPr>
          <w:rFonts w:ascii="Narkisim" w:hAnsi="Narkisim" w:cs="Narkisim"/>
          <w:rtl/>
        </w:rPr>
        <w:t>. וכת' דאע"פ שיש להשיב, טוב הדבר ליזהר. וב</w:t>
      </w:r>
      <w:r w:rsidRPr="00D65870">
        <w:rPr>
          <w:rFonts w:ascii="Narkisim" w:hAnsi="Narkisim" w:cs="Narkisim"/>
          <w:b/>
          <w:bCs/>
          <w:rtl/>
        </w:rPr>
        <w:t>שו"ת מהר"י בן לב</w:t>
      </w:r>
      <w:r w:rsidRPr="00D65870">
        <w:rPr>
          <w:rFonts w:ascii="Narkisim" w:hAnsi="Narkisim" w:cs="Narkisim"/>
          <w:rtl/>
        </w:rPr>
        <w:t xml:space="preserve"> (ב יא) תמה דאמרי' בסוגיין יבמה שרקקה תחלוץ</w:t>
      </w:r>
      <w:r w:rsidRPr="00D65870">
        <w:rPr>
          <w:rStyle w:val="ac"/>
          <w:rFonts w:ascii="Narkisim" w:hAnsi="Narkisim" w:cs="Narkisim"/>
          <w:rtl/>
        </w:rPr>
        <w:footnoteReference w:id="6923"/>
      </w:r>
      <w:r w:rsidRPr="00D65870">
        <w:rPr>
          <w:rFonts w:ascii="Narkisim" w:hAnsi="Narkisim" w:cs="Narkisim"/>
          <w:rtl/>
        </w:rPr>
        <w:t>.</w:t>
      </w:r>
    </w:p>
    <w:p w14:paraId="7485A8BE" w14:textId="77777777" w:rsidR="006C4368" w:rsidRPr="00D65870" w:rsidRDefault="006C4368" w:rsidP="006C4368">
      <w:pPr>
        <w:pStyle w:val="aa"/>
        <w:bidi/>
        <w:rPr>
          <w:rFonts w:ascii="Narkisim" w:hAnsi="Narkisim"/>
        </w:rPr>
      </w:pPr>
      <w:r w:rsidRPr="00D65870">
        <w:rPr>
          <w:rFonts w:ascii="Narkisim" w:hAnsi="Narkisim"/>
          <w:u w:val="single"/>
          <w:rtl/>
        </w:rPr>
        <w:t>תוד"ה ככה</w:t>
      </w:r>
      <w:r w:rsidRPr="00D65870">
        <w:rPr>
          <w:rFonts w:ascii="Narkisim" w:hAnsi="Narkisim"/>
          <w:rtl/>
        </w:rPr>
        <w:t>. וי"ל דמ"מ מעשה גרוע הוא יותר מרקיקה. ה</w:t>
      </w:r>
      <w:r w:rsidRPr="00D65870">
        <w:rPr>
          <w:rFonts w:ascii="Narkisim" w:hAnsi="Narkisim"/>
          <w:b/>
          <w:bCs/>
          <w:rtl/>
        </w:rPr>
        <w:t>רש"ש</w:t>
      </w:r>
      <w:r w:rsidRPr="00D65870">
        <w:rPr>
          <w:rFonts w:ascii="Narkisim" w:hAnsi="Narkisim"/>
          <w:rtl/>
        </w:rPr>
        <w:t xml:space="preserve"> ביאר דילפי' 'יעשה' מיותר, דאתי למעוטי מעשה גרוע כמו דקריאה.</w:t>
      </w:r>
    </w:p>
    <w:p w14:paraId="46A76953" w14:textId="77777777" w:rsidR="006C4368" w:rsidRPr="00D65870" w:rsidRDefault="006C4368" w:rsidP="006C4368">
      <w:pPr>
        <w:pStyle w:val="aa"/>
        <w:bidi/>
        <w:rPr>
          <w:rFonts w:ascii="Narkisim" w:hAnsi="Narkisim"/>
        </w:rPr>
      </w:pPr>
      <w:r w:rsidRPr="00D65870">
        <w:rPr>
          <w:rFonts w:ascii="Narkisim" w:hAnsi="Narkisim"/>
          <w:u w:val="single"/>
          <w:rtl/>
        </w:rPr>
        <w:t>בא"ד א"נ לא דמי למנהיג בקול שהוא מעשה גדול</w:t>
      </w:r>
      <w:r w:rsidRPr="00D65870">
        <w:rPr>
          <w:rFonts w:ascii="Narkisim" w:hAnsi="Narkisim"/>
          <w:rtl/>
        </w:rPr>
        <w:t>. וה</w:t>
      </w:r>
      <w:r w:rsidRPr="00D65870">
        <w:rPr>
          <w:rFonts w:ascii="Narkisim" w:hAnsi="Narkisim"/>
          <w:b/>
          <w:bCs/>
          <w:rtl/>
        </w:rPr>
        <w:t>תוס' הרא"ש</w:t>
      </w:r>
      <w:r w:rsidRPr="00D65870">
        <w:rPr>
          <w:rFonts w:ascii="Narkisim" w:hAnsi="Narkisim"/>
          <w:rtl/>
        </w:rPr>
        <w:t xml:space="preserve"> (קד:) ביאר דהתם בדיבורא אתעבד מעשה. ועד"ז כת' </w:t>
      </w:r>
      <w:r w:rsidRPr="00D65870">
        <w:rPr>
          <w:rFonts w:ascii="Narkisim" w:hAnsi="Narkisim"/>
          <w:b/>
          <w:bCs/>
          <w:rtl/>
        </w:rPr>
        <w:t>תוס'</w:t>
      </w:r>
      <w:r w:rsidRPr="00D65870">
        <w:rPr>
          <w:rFonts w:ascii="Narkisim" w:hAnsi="Narkisim"/>
          <w:rtl/>
        </w:rPr>
        <w:t xml:space="preserve"> (ב"מ צ: וכ"מ).</w:t>
      </w:r>
    </w:p>
    <w:p w14:paraId="1F806900" w14:textId="77777777" w:rsidR="006C4368" w:rsidRPr="00D65870" w:rsidRDefault="006C4368" w:rsidP="006C4368">
      <w:pPr>
        <w:pStyle w:val="aa"/>
        <w:bidi/>
        <w:rPr>
          <w:rFonts w:ascii="Narkisim" w:hAnsi="Narkisim"/>
        </w:rPr>
      </w:pPr>
      <w:r w:rsidRPr="00D65870">
        <w:rPr>
          <w:rFonts w:ascii="Narkisim" w:hAnsi="Narkisim"/>
          <w:u w:val="single"/>
          <w:rtl/>
        </w:rPr>
        <w:t>וא"ד הכי שלחו ליה יבמה שרקקה תחלוץ ואי"צ לרוק פעם אחרת</w:t>
      </w:r>
      <w:r w:rsidRPr="00D65870">
        <w:rPr>
          <w:rFonts w:ascii="Narkisim" w:hAnsi="Narkisim"/>
          <w:rtl/>
        </w:rPr>
        <w:t>. בפשוטו קמ"ל דהסדר אינו מעכב. אבל הרשב"א כת' דמסתברא דה"ק לא תרוק, ולישנא דאינה צריכה לאו דוקא. דחששו משום דאתו למישרי חלוצה לאחין. וכדאי' בסמוך.</w:t>
      </w:r>
    </w:p>
    <w:p w14:paraId="1C48E24B" w14:textId="77777777" w:rsidR="006C4368" w:rsidRPr="00D65870" w:rsidRDefault="006C4368" w:rsidP="006C4368">
      <w:pPr>
        <w:bidi/>
        <w:rPr>
          <w:rFonts w:ascii="Narkisim" w:hAnsi="Narkisim" w:cs="Narkisim"/>
        </w:rPr>
      </w:pPr>
      <w:r w:rsidRPr="00D65870">
        <w:rPr>
          <w:rFonts w:ascii="Narkisim" w:hAnsi="Narkisim" w:cs="Narkisim"/>
          <w:u w:val="single"/>
          <w:rtl/>
        </w:rPr>
        <w:t>והא בעינן כסדרן, כסדרן לא מעכבא וכו'</w:t>
      </w:r>
      <w:r w:rsidRPr="00D65870">
        <w:rPr>
          <w:rFonts w:ascii="Narkisim" w:hAnsi="Narkisim" w:cs="Narkisim"/>
          <w:rtl/>
        </w:rPr>
        <w:t>. [וכן אי' בגמ' לקמן קו:]. ה</w:t>
      </w:r>
      <w:r w:rsidRPr="00D65870">
        <w:rPr>
          <w:rFonts w:ascii="Narkisim" w:hAnsi="Narkisim" w:cs="Narkisim"/>
          <w:b/>
          <w:bCs/>
          <w:rtl/>
        </w:rPr>
        <w:t>ריטב"א</w:t>
      </w:r>
      <w:r w:rsidRPr="00D65870">
        <w:rPr>
          <w:rFonts w:ascii="Narkisim" w:hAnsi="Narkisim" w:cs="Narkisim"/>
          <w:rtl/>
        </w:rPr>
        <w:t xml:space="preserve"> הק' דנילף 'ככה' לעיכובא. ותי' דהכא גמירי ככה יעשה, שאין עיכוב בסדר אלא בגוף המעשה.</w:t>
      </w:r>
    </w:p>
    <w:p w14:paraId="331E210D" w14:textId="77777777" w:rsidR="006C4368" w:rsidRPr="00D65870" w:rsidRDefault="006C4368" w:rsidP="006C4368">
      <w:pPr>
        <w:pStyle w:val="a8"/>
        <w:bidi/>
        <w:rPr>
          <w:rFonts w:ascii="Narkisim" w:hAnsi="Narkisim"/>
        </w:rPr>
      </w:pPr>
      <w:r w:rsidRPr="00D65870">
        <w:rPr>
          <w:rFonts w:ascii="Narkisim" w:hAnsi="Narkisim"/>
          <w:rtl/>
        </w:rPr>
        <w:t>ויל"ד דנימא דמ"מ למצווה בעינן כסדרן, ותחזור ותרוק לקיים מצווה דכסדרן [וכקו' ר' אבא]. ואפשר דלאחר שכבר קיימה דין רקיקה ל"מ לתקן לעשות בצורה מהודרת יותר. א"נ משום גזירה שיתירו יבמה לאחים.</w:t>
      </w:r>
    </w:p>
    <w:p w14:paraId="25E6C657" w14:textId="77777777" w:rsidR="006C4368" w:rsidRPr="00D65870" w:rsidRDefault="006C4368" w:rsidP="006C4368">
      <w:pPr>
        <w:pStyle w:val="aa"/>
        <w:bidi/>
        <w:rPr>
          <w:rFonts w:ascii="Narkisim" w:hAnsi="Narkisim"/>
        </w:rPr>
      </w:pPr>
      <w:r w:rsidRPr="00D65870">
        <w:rPr>
          <w:rFonts w:ascii="Narkisim" w:hAnsi="Narkisim"/>
          <w:u w:val="single"/>
          <w:rtl/>
        </w:rPr>
        <w:t>דאתו למישרי חלוצה לאחין</w:t>
      </w:r>
      <w:r w:rsidRPr="00D65870">
        <w:rPr>
          <w:rFonts w:ascii="Narkisim" w:hAnsi="Narkisim"/>
          <w:rtl/>
        </w:rPr>
        <w:t>. בפשוטו החשש שיתירו את זה שרקקה לאחים. אבל יש שדייקו לשון הגמ' דיתירו לאחר חליצה [חליצת הנעל]. ופ</w:t>
      </w:r>
      <w:r w:rsidRPr="00D65870">
        <w:rPr>
          <w:rFonts w:ascii="Narkisim" w:hAnsi="Narkisim"/>
          <w:b/>
          <w:bCs/>
          <w:rtl/>
        </w:rPr>
        <w:t>רש"י</w:t>
      </w:r>
      <w:r w:rsidRPr="00D65870">
        <w:rPr>
          <w:rFonts w:ascii="Narkisim" w:hAnsi="Narkisim"/>
          <w:rtl/>
        </w:rPr>
        <w:t xml:space="preserve"> דאילו תתייבם יסברו שהרקיקה בתר חליצה, ויתירו חלוצה גמורה לאחים. [ואם יאמרו לרוק אחר חליצה יבא לידי מכשול דחלוצה לאחים, וכולה חדא גזירה].</w:t>
      </w:r>
    </w:p>
    <w:p w14:paraId="2153D08C" w14:textId="77777777" w:rsidR="006C4368" w:rsidRPr="00D65870" w:rsidRDefault="006C4368" w:rsidP="006C4368">
      <w:pPr>
        <w:pStyle w:val="aa"/>
        <w:bidi/>
        <w:rPr>
          <w:rFonts w:ascii="Narkisim" w:hAnsi="Narkisim"/>
        </w:rPr>
      </w:pPr>
      <w:r w:rsidRPr="00D65870">
        <w:rPr>
          <w:rFonts w:ascii="Narkisim" w:hAnsi="Narkisim"/>
          <w:u w:val="single"/>
          <w:rtl/>
        </w:rPr>
        <w:t>לוי נפק לקרייתא</w:t>
      </w:r>
      <w:r w:rsidRPr="00D65870">
        <w:rPr>
          <w:rStyle w:val="ac"/>
          <w:rFonts w:ascii="Narkisim" w:hAnsi="Narkisim"/>
          <w:u w:val="single"/>
          <w:rtl/>
        </w:rPr>
        <w:footnoteReference w:id="6924"/>
      </w:r>
      <w:r w:rsidRPr="00D65870">
        <w:rPr>
          <w:rFonts w:ascii="Narkisim" w:hAnsi="Narkisim"/>
          <w:u w:val="single"/>
          <w:rtl/>
        </w:rPr>
        <w:t xml:space="preserve"> וכו'</w:t>
      </w:r>
      <w:r w:rsidRPr="00D65870">
        <w:rPr>
          <w:rFonts w:ascii="Narkisim" w:hAnsi="Narkisim"/>
          <w:rtl/>
        </w:rPr>
        <w:t>. וב</w:t>
      </w:r>
      <w:r w:rsidRPr="00D65870">
        <w:rPr>
          <w:rFonts w:ascii="Narkisim" w:hAnsi="Narkisim"/>
          <w:b/>
          <w:bCs/>
          <w:rtl/>
        </w:rPr>
        <w:t>ירושלמי</w:t>
      </w:r>
      <w:r w:rsidRPr="00D65870">
        <w:rPr>
          <w:rFonts w:ascii="Narkisim" w:hAnsi="Narkisim"/>
          <w:rtl/>
        </w:rPr>
        <w:t xml:space="preserve"> (כאן) אי' בני סימונייא הקשו מרבי שיתן להם א' דריש דיין וחזן ספר מתניין, ועבד לן כל צורכינן. ונתן להם את לוי [בר סיסי] עשו לו בימה גדולה והשיבוהו עליה. ושאלוהו ג' שאלות אלו ולא ענה. וכשהגיע לפני רבי, לוי עצמו ענה [כדאי' בסוגיין]. ואמר שעשו לו בימה גדולה וטפח רוחו עליו. ודרשו (משלי ל לב) אם נבלת בהתנשא, ואם זמות יד לפה. מי גרם לך להתנבל בדברי תורה על שנישאתה בהן עצמך.</w:t>
      </w:r>
    </w:p>
    <w:p w14:paraId="277455A4" w14:textId="77777777" w:rsidR="006C4368" w:rsidRPr="00D65870" w:rsidRDefault="006C4368" w:rsidP="006C4368">
      <w:pPr>
        <w:bidi/>
        <w:rPr>
          <w:rFonts w:ascii="Narkisim" w:hAnsi="Narkisim" w:cs="Narkisim"/>
        </w:rPr>
      </w:pPr>
      <w:r w:rsidRPr="00D65870">
        <w:rPr>
          <w:rFonts w:ascii="Narkisim" w:hAnsi="Narkisim" w:cs="Narkisim"/>
          <w:u w:val="single"/>
          <w:rtl/>
        </w:rPr>
        <w:t>תוד"ה מי כתיב</w:t>
      </w:r>
      <w:r w:rsidRPr="00D65870">
        <w:rPr>
          <w:rFonts w:ascii="Narkisim" w:hAnsi="Narkisim" w:cs="Narkisim"/>
          <w:rtl/>
        </w:rPr>
        <w:t xml:space="preserve">. והא דקאמר בירושלמי (הו' בתוס' לעיל קה.) שחולצתו בימין למצוה בעלמא וכו'. דלעיכובא לא בעינן 'יד', ושמאל לא גרע משיניו. אבל </w:t>
      </w:r>
      <w:r w:rsidRPr="00D65870">
        <w:rPr>
          <w:rFonts w:ascii="Narkisim" w:hAnsi="Narkisim" w:cs="Narkisim"/>
          <w:b/>
          <w:bCs/>
          <w:rtl/>
        </w:rPr>
        <w:t>תוס'</w:t>
      </w:r>
      <w:r w:rsidRPr="00D65870">
        <w:rPr>
          <w:rFonts w:ascii="Narkisim" w:hAnsi="Narkisim" w:cs="Narkisim"/>
          <w:rtl/>
        </w:rPr>
        <w:t xml:space="preserve"> (חולין כ., הו' לעיל) </w:t>
      </w:r>
      <w:r w:rsidRPr="00D65870">
        <w:rPr>
          <w:rFonts w:ascii="Narkisim" w:hAnsi="Narkisim" w:cs="Narkisim"/>
          <w:rtl/>
        </w:rPr>
        <w:lastRenderedPageBreak/>
        <w:t>דחו דשמאל גרע.</w:t>
      </w:r>
    </w:p>
    <w:p w14:paraId="350632B2" w14:textId="77777777" w:rsidR="006C4368" w:rsidRPr="00D65870" w:rsidRDefault="006C4368" w:rsidP="006C4368">
      <w:pPr>
        <w:pStyle w:val="aa"/>
        <w:bidi/>
        <w:rPr>
          <w:rFonts w:ascii="Narkisim" w:hAnsi="Narkisim"/>
        </w:rPr>
      </w:pPr>
      <w:r w:rsidRPr="00D65870">
        <w:rPr>
          <w:rFonts w:ascii="Narkisim" w:hAnsi="Narkisim"/>
          <w:u w:val="single"/>
          <w:rtl/>
        </w:rPr>
        <w:t>אמר רבה בזבח ובמנחה אין מתכפר, אבל מתכפר הוא בדברי תורה, אביי אמר וכו' בגמילות חסדים</w:t>
      </w:r>
      <w:r w:rsidRPr="00D65870">
        <w:rPr>
          <w:rStyle w:val="ac"/>
          <w:rFonts w:ascii="Narkisim" w:hAnsi="Narkisim"/>
          <w:u w:val="single"/>
          <w:rtl/>
        </w:rPr>
        <w:footnoteReference w:id="6925"/>
      </w:r>
      <w:r w:rsidRPr="00D65870">
        <w:rPr>
          <w:rFonts w:ascii="Narkisim" w:hAnsi="Narkisim"/>
          <w:u w:val="single"/>
          <w:rtl/>
        </w:rPr>
        <w:t xml:space="preserve"> וכו'</w:t>
      </w:r>
      <w:r w:rsidRPr="00D65870">
        <w:rPr>
          <w:rFonts w:ascii="Narkisim" w:hAnsi="Narkisim"/>
          <w:rtl/>
        </w:rPr>
        <w:t>. ה</w:t>
      </w:r>
      <w:r w:rsidRPr="00D65870">
        <w:rPr>
          <w:rFonts w:ascii="Narkisim" w:hAnsi="Narkisim"/>
          <w:b/>
          <w:bCs/>
          <w:rtl/>
        </w:rPr>
        <w:t>מהרש"א ח"א</w:t>
      </w:r>
      <w:r w:rsidRPr="00D65870">
        <w:rPr>
          <w:rFonts w:ascii="Narkisim" w:hAnsi="Narkisim"/>
          <w:rtl/>
        </w:rPr>
        <w:t xml:space="preserve"> ביאר דאי' (אבות א ב) על ג' דברים העולם עומד, על התורה ועל העבודה ועל גמ"ח. והם חטאו בעבודה, והשבועה היתה דל"מ תיקון ע"י עבודה, דאין קטיגור נעשה סניגור. אלא מתקן ע"י ב' העמודים האחרים</w:t>
      </w:r>
      <w:r w:rsidRPr="00D65870">
        <w:rPr>
          <w:rStyle w:val="ac"/>
          <w:rFonts w:ascii="Narkisim" w:hAnsi="Narkisim"/>
          <w:rtl/>
        </w:rPr>
        <w:footnoteReference w:id="6926"/>
      </w:r>
      <w:r w:rsidRPr="00D65870">
        <w:rPr>
          <w:rFonts w:ascii="Narkisim" w:hAnsi="Narkisim"/>
          <w:rtl/>
        </w:rPr>
        <w:t>.</w:t>
      </w:r>
    </w:p>
    <w:p w14:paraId="49D3A065" w14:textId="77777777" w:rsidR="006C4368" w:rsidRPr="00D65870" w:rsidRDefault="006C4368" w:rsidP="006C4368">
      <w:pPr>
        <w:pStyle w:val="aa"/>
        <w:bidi/>
        <w:rPr>
          <w:rFonts w:ascii="Narkisim" w:hAnsi="Narkisim"/>
        </w:rPr>
      </w:pPr>
      <w:r w:rsidRPr="00D65870">
        <w:rPr>
          <w:rFonts w:ascii="Narkisim" w:hAnsi="Narkisim"/>
          <w:u w:val="single"/>
          <w:rtl/>
        </w:rPr>
        <w:t>תוד"ה רבא ואביי</w:t>
      </w:r>
      <w:r w:rsidRPr="00D65870">
        <w:rPr>
          <w:rFonts w:ascii="Narkisim" w:hAnsi="Narkisim"/>
          <w:rtl/>
        </w:rPr>
        <w:t xml:space="preserve">. רבה גרס, דרבא לא הוה כהן. כ"כ </w:t>
      </w:r>
      <w:r w:rsidRPr="00D65870">
        <w:rPr>
          <w:rFonts w:ascii="Narkisim" w:hAnsi="Narkisim"/>
          <w:b/>
          <w:bCs/>
          <w:rtl/>
        </w:rPr>
        <w:t>רש"י</w:t>
      </w:r>
      <w:r w:rsidRPr="00D65870">
        <w:rPr>
          <w:rFonts w:ascii="Narkisim" w:hAnsi="Narkisim"/>
          <w:rtl/>
        </w:rPr>
        <w:t xml:space="preserve"> (ר"ה יח.) בשם יש גורסים. אבל </w:t>
      </w:r>
      <w:r w:rsidRPr="00D65870">
        <w:rPr>
          <w:rFonts w:ascii="Narkisim" w:hAnsi="Narkisim"/>
          <w:b/>
          <w:bCs/>
          <w:rtl/>
        </w:rPr>
        <w:t>רש"י</w:t>
      </w:r>
      <w:r w:rsidRPr="00D65870">
        <w:rPr>
          <w:rFonts w:ascii="Narkisim" w:hAnsi="Narkisim"/>
          <w:rtl/>
        </w:rPr>
        <w:t xml:space="preserve"> (חולין קלג.) כת' דרבא היה כהן. עי"ש.</w:t>
      </w:r>
    </w:p>
    <w:p w14:paraId="56BD1257" w14:textId="77777777" w:rsidR="006C4368" w:rsidRPr="00D65870" w:rsidRDefault="006C4368" w:rsidP="006C4368">
      <w:pPr>
        <w:pStyle w:val="aa"/>
        <w:bidi/>
        <w:rPr>
          <w:rFonts w:ascii="Narkisim" w:hAnsi="Narkisim"/>
        </w:rPr>
      </w:pPr>
      <w:r w:rsidRPr="00D65870">
        <w:rPr>
          <w:rFonts w:ascii="Narkisim" w:hAnsi="Narkisim"/>
          <w:u w:val="single"/>
          <w:rtl/>
        </w:rPr>
        <w:t>אינו נחתם, והא כתיב כי אם תכבס בנתר ותרבי לך בורית, נכתם עוונך</w:t>
      </w:r>
      <w:r w:rsidRPr="00D65870">
        <w:rPr>
          <w:rStyle w:val="ac"/>
          <w:rFonts w:ascii="Narkisim" w:hAnsi="Narkisim"/>
          <w:u w:val="single"/>
          <w:rtl/>
        </w:rPr>
        <w:footnoteReference w:id="6927"/>
      </w:r>
      <w:r w:rsidRPr="00D65870">
        <w:rPr>
          <w:rFonts w:ascii="Narkisim" w:hAnsi="Narkisim"/>
          <w:u w:val="single"/>
          <w:rtl/>
        </w:rPr>
        <w:t xml:space="preserve"> וכו'</w:t>
      </w:r>
      <w:r w:rsidRPr="00D65870">
        <w:rPr>
          <w:rFonts w:ascii="Narkisim" w:hAnsi="Narkisim"/>
          <w:rtl/>
        </w:rPr>
        <w:t>. משמע דנכתם דרשי' נחתם. וה</w:t>
      </w:r>
      <w:r w:rsidRPr="00D65870">
        <w:rPr>
          <w:rFonts w:ascii="Narkisim" w:hAnsi="Narkisim"/>
          <w:b/>
          <w:bCs/>
          <w:rtl/>
        </w:rPr>
        <w:t>מהרש"א</w:t>
      </w:r>
      <w:r w:rsidRPr="00D65870">
        <w:rPr>
          <w:rFonts w:ascii="Narkisim" w:hAnsi="Narkisim"/>
          <w:rtl/>
        </w:rPr>
        <w:t xml:space="preserve"> (ח"א) פי' דקאי אעם כלל ישראל, אם תכבסי בנתר, פי' בגמ"ח. ותרבי לך ברית [דבקרא כתיב חסר ו'], פי' שתרבי ללמוד בתורה שנקראת ברית. עדיין נחתם עוונך לפני וגו'. והביא דה</w:t>
      </w:r>
      <w:r w:rsidRPr="00D65870">
        <w:rPr>
          <w:rFonts w:ascii="Narkisim" w:hAnsi="Narkisim"/>
          <w:b/>
          <w:bCs/>
          <w:rtl/>
        </w:rPr>
        <w:t>תרגום</w:t>
      </w:r>
      <w:r w:rsidRPr="00D65870">
        <w:rPr>
          <w:rFonts w:ascii="Narkisim" w:hAnsi="Narkisim"/>
          <w:rtl/>
        </w:rPr>
        <w:t xml:space="preserve"> פי' הא כרושם כתמא דלא דכי, כן סגיאו חוביך קדמי.</w:t>
      </w:r>
    </w:p>
    <w:p w14:paraId="2E7570AB" w14:textId="77777777" w:rsidR="006C4368" w:rsidRPr="00D65870" w:rsidRDefault="006C4368" w:rsidP="006C4368">
      <w:pPr>
        <w:pStyle w:val="aa"/>
        <w:bidi/>
        <w:rPr>
          <w:rFonts w:ascii="Narkisim" w:hAnsi="Narkisim"/>
        </w:rPr>
      </w:pPr>
      <w:r w:rsidRPr="00D65870">
        <w:rPr>
          <w:rFonts w:ascii="Narkisim" w:hAnsi="Narkisim"/>
          <w:u w:val="single"/>
          <w:rtl/>
        </w:rPr>
        <w:t>אלא מנין שאפי' נחתם מתקרע וכו' בכל קראנו אליו, והכתיב דרשו את ה' בהמצאו</w:t>
      </w:r>
      <w:r w:rsidRPr="00D65870">
        <w:rPr>
          <w:rStyle w:val="ac"/>
          <w:rFonts w:ascii="Narkisim" w:hAnsi="Narkisim"/>
          <w:u w:val="single"/>
          <w:rtl/>
        </w:rPr>
        <w:footnoteReference w:id="6928"/>
      </w:r>
      <w:r w:rsidRPr="00D65870">
        <w:rPr>
          <w:rFonts w:ascii="Narkisim" w:hAnsi="Narkisim"/>
          <w:u w:val="single"/>
          <w:rtl/>
        </w:rPr>
        <w:t xml:space="preserve"> וכו' אלו י' ימים שבין ר"ה ליוה"כ</w:t>
      </w:r>
      <w:r w:rsidRPr="00D65870">
        <w:rPr>
          <w:rStyle w:val="ac"/>
          <w:rFonts w:ascii="Narkisim" w:hAnsi="Narkisim"/>
          <w:u w:val="single"/>
          <w:rtl/>
        </w:rPr>
        <w:footnoteReference w:id="6929"/>
      </w:r>
      <w:r w:rsidRPr="00D65870">
        <w:rPr>
          <w:rFonts w:ascii="Narkisim" w:hAnsi="Narkisim"/>
          <w:rtl/>
        </w:rPr>
        <w:t>. [ע' בגמ' לעיל מט:]. צ"ב מנ"ל דאיירי לאחר שנגמר הדין. ואפשר דלשון בכל קראנו משמע בכל אופן</w:t>
      </w:r>
      <w:r w:rsidRPr="00D65870">
        <w:rPr>
          <w:rStyle w:val="ac"/>
          <w:rFonts w:ascii="Narkisim" w:hAnsi="Narkisim"/>
          <w:rtl/>
        </w:rPr>
        <w:footnoteReference w:id="6930"/>
      </w:r>
      <w:r w:rsidRPr="00D65870">
        <w:rPr>
          <w:rFonts w:ascii="Narkisim" w:hAnsi="Narkisim"/>
          <w:rtl/>
        </w:rPr>
        <w:t>.</w:t>
      </w:r>
    </w:p>
    <w:p w14:paraId="6A701A86" w14:textId="77777777" w:rsidR="006C4368" w:rsidRPr="00D65870" w:rsidRDefault="006C4368" w:rsidP="006C4368">
      <w:pPr>
        <w:bidi/>
        <w:rPr>
          <w:rFonts w:ascii="Narkisim" w:hAnsi="Narkisim" w:cs="Narkisim"/>
        </w:rPr>
      </w:pPr>
      <w:r w:rsidRPr="00D65870">
        <w:rPr>
          <w:rFonts w:ascii="Narkisim" w:hAnsi="Narkisim" w:cs="Narkisim"/>
          <w:u w:val="single"/>
          <w:rtl/>
        </w:rPr>
        <w:t>שלחו ליה לאבוה דשמואל, יבמה שרקקה דם תחלוץ, לפי שא"א בלא צחצוחי רוק</w:t>
      </w:r>
      <w:r w:rsidRPr="00D65870">
        <w:rPr>
          <w:rFonts w:ascii="Narkisim" w:hAnsi="Narkisim" w:cs="Narkisim"/>
          <w:rtl/>
        </w:rPr>
        <w:t>. משמע דדם לחוד ל"מ. ואילו (לעיל) אמרו בי מדרשא ללוי דמהני שרקקה דם, דמי כתיב ורקקה רוק. ו</w:t>
      </w:r>
      <w:r w:rsidRPr="00D65870">
        <w:rPr>
          <w:rFonts w:ascii="Narkisim" w:hAnsi="Narkisim" w:cs="Narkisim"/>
          <w:b/>
          <w:bCs/>
          <w:rtl/>
        </w:rPr>
        <w:t>רש"י</w:t>
      </w:r>
      <w:r w:rsidRPr="00D65870">
        <w:rPr>
          <w:rFonts w:ascii="Narkisim" w:hAnsi="Narkisim" w:cs="Narkisim"/>
          <w:rtl/>
        </w:rPr>
        <w:t xml:space="preserve"> (ד"ה מי כתיב) תי' ד'וירקה' משמע רוק ודבר אחר, ומש"ה סגי צחצוחי רוק</w:t>
      </w:r>
      <w:r w:rsidRPr="00D65870">
        <w:rPr>
          <w:rStyle w:val="ac"/>
          <w:rFonts w:ascii="Narkisim" w:hAnsi="Narkisim" w:cs="Narkisim"/>
          <w:rtl/>
        </w:rPr>
        <w:footnoteReference w:id="6931"/>
      </w:r>
      <w:r w:rsidRPr="00D65870">
        <w:rPr>
          <w:rFonts w:ascii="Narkisim" w:hAnsi="Narkisim" w:cs="Narkisim"/>
          <w:rtl/>
        </w:rPr>
        <w:t>. אבל אי כתיב וירקה רוק בעינן רוק לחוד.</w:t>
      </w:r>
    </w:p>
    <w:p w14:paraId="69B66EAE" w14:textId="77777777" w:rsidR="006C4368" w:rsidRPr="00D65870" w:rsidRDefault="006C4368" w:rsidP="006C4368">
      <w:pPr>
        <w:pStyle w:val="a7"/>
        <w:bidi/>
        <w:rPr>
          <w:rFonts w:ascii="Narkisim" w:hAnsi="Narkisim"/>
        </w:rPr>
      </w:pPr>
      <w:r w:rsidRPr="00D65870">
        <w:rPr>
          <w:rFonts w:ascii="Narkisim" w:hAnsi="Narkisim"/>
          <w:rtl/>
        </w:rPr>
        <w:t>אבל ה</w:t>
      </w:r>
      <w:r w:rsidRPr="00D65870">
        <w:rPr>
          <w:rFonts w:ascii="Narkisim" w:hAnsi="Narkisim"/>
          <w:b/>
          <w:bCs/>
          <w:rtl/>
        </w:rPr>
        <w:t>ראב"ד</w:t>
      </w:r>
      <w:r w:rsidRPr="00D65870">
        <w:rPr>
          <w:rFonts w:ascii="Narkisim" w:hAnsi="Narkisim"/>
          <w:rtl/>
        </w:rPr>
        <w:t xml:space="preserve"> (ס' הזכות, והו' בראשונים) נקט דלדרשת הגמ' לעיל סגי בדם לחוד. ותי' דלעיל איירי שרקקה במקום חליצה, ומהני דם לחוד. אבל הכא איירי שלא במקום חליצה, ולפסול על האחים. ודוקא משום שיש צחצוחי רוק פוסל. משום גזירה דרקיקה דאחר חליצה. אבל לא גזרו בלא צחצוחי רוק. [ולפ"ז הא דאי' צחצוחי רוק לא הוה חילוק מעיקר הדין, אלא בגזירות].</w:t>
      </w:r>
    </w:p>
    <w:p w14:paraId="16C0E78C"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בשם ה</w:t>
      </w:r>
      <w:r w:rsidRPr="00D65870">
        <w:rPr>
          <w:rFonts w:ascii="Narkisim" w:hAnsi="Narkisim"/>
          <w:b/>
          <w:bCs/>
          <w:rtl/>
        </w:rPr>
        <w:t>ראב"ד</w:t>
      </w:r>
      <w:r w:rsidRPr="00D65870">
        <w:rPr>
          <w:rFonts w:ascii="Narkisim" w:hAnsi="Narkisim"/>
          <w:rtl/>
        </w:rPr>
        <w:t xml:space="preserve"> הוסיף דגבי זב אף דכתיב וכי ירוק, ס"ד דאף רוק מטמא, אי לאו דכתיב זובו.</w:t>
      </w:r>
    </w:p>
    <w:p w14:paraId="017FB3A4"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תוס' חד מקמאי</w:t>
      </w:r>
      <w:r w:rsidRPr="00D65870">
        <w:rPr>
          <w:rFonts w:ascii="Narkisim" w:hAnsi="Narkisim"/>
          <w:rtl/>
        </w:rPr>
        <w:t xml:space="preserve"> (עה"ג) תי' דבדיעבד מהני דם לחוד. וצחצוחי רוק הוה אף לכתחילה.</w:t>
      </w:r>
    </w:p>
    <w:p w14:paraId="1B1B3C86" w14:textId="77777777" w:rsidR="006C4368" w:rsidRPr="00D65870" w:rsidRDefault="006C4368" w:rsidP="006C4368">
      <w:pPr>
        <w:bidi/>
        <w:rPr>
          <w:rFonts w:ascii="Narkisim" w:hAnsi="Narkisim" w:cs="Narkisim"/>
        </w:rPr>
      </w:pPr>
      <w:r w:rsidRPr="00D65870">
        <w:rPr>
          <w:rFonts w:ascii="Narkisim" w:hAnsi="Narkisim" w:cs="Narkisim"/>
          <w:u w:val="single"/>
          <w:rtl/>
        </w:rPr>
        <w:t>צחצוחי רוק וכו'</w:t>
      </w:r>
      <w:r w:rsidRPr="00D65870">
        <w:rPr>
          <w:rFonts w:ascii="Narkisim" w:hAnsi="Narkisim" w:cs="Narkisim"/>
          <w:rtl/>
        </w:rPr>
        <w:t>. מבואר דסגי בצחצוחין לחליצה. וכן מבואר בקו' הגמ' דצחצוחי רוק דזב מטמאין</w:t>
      </w:r>
      <w:r w:rsidRPr="00D65870">
        <w:rPr>
          <w:rStyle w:val="ac"/>
          <w:rFonts w:ascii="Narkisim" w:hAnsi="Narkisim" w:cs="Narkisim"/>
          <w:rtl/>
        </w:rPr>
        <w:footnoteReference w:id="6932"/>
      </w:r>
      <w:r w:rsidRPr="00D65870">
        <w:rPr>
          <w:rFonts w:ascii="Narkisim" w:hAnsi="Narkisim" w:cs="Narkisim"/>
          <w:rtl/>
        </w:rPr>
        <w:t>. וה</w:t>
      </w:r>
      <w:r w:rsidRPr="00D65870">
        <w:rPr>
          <w:rFonts w:ascii="Narkisim" w:hAnsi="Narkisim" w:cs="Narkisim"/>
          <w:b/>
          <w:bCs/>
          <w:rtl/>
        </w:rPr>
        <w:t>מרדכי</w:t>
      </w:r>
      <w:r w:rsidRPr="00D65870">
        <w:rPr>
          <w:rFonts w:ascii="Narkisim" w:hAnsi="Narkisim" w:cs="Narkisim"/>
          <w:rtl/>
        </w:rPr>
        <w:t xml:space="preserve"> (סוף חולין תשלז) הק' אמאי לא אמרי' שהדם יבטל את הרוק [וכמו כל תערובת לח במין בשאינו מינו</w:t>
      </w:r>
      <w:r w:rsidRPr="00D65870">
        <w:rPr>
          <w:rStyle w:val="ac"/>
          <w:rFonts w:ascii="Narkisim" w:hAnsi="Narkisim" w:cs="Narkisim"/>
          <w:rtl/>
        </w:rPr>
        <w:footnoteReference w:id="6933"/>
      </w:r>
      <w:r w:rsidRPr="00D65870">
        <w:rPr>
          <w:rFonts w:ascii="Narkisim" w:hAnsi="Narkisim" w:cs="Narkisim"/>
          <w:rtl/>
        </w:rPr>
        <w:t xml:space="preserve">]. ותי' דאיירי שצחצוחי הרוק הוה בעין וניכר, וכל דבר שהוא בעין וניכר לא בטיל. ועוד תי' דביטול ברוב שייך דוקא בדבר שהיה ניכר בפני עצמו תחילה ואח"כ נתערב. אבל דבר שתחילת ביאתו לעולם מעורב לא אמרי' ביטול ברוב. </w:t>
      </w:r>
      <w:r w:rsidRPr="00D65870">
        <w:rPr>
          <w:rFonts w:ascii="Narkisim" w:hAnsi="Narkisim" w:cs="Narkisim"/>
          <w:szCs w:val="20"/>
          <w:rtl/>
        </w:rPr>
        <w:lastRenderedPageBreak/>
        <w:t>[וה</w:t>
      </w:r>
      <w:r w:rsidRPr="00D65870">
        <w:rPr>
          <w:rFonts w:ascii="Narkisim" w:hAnsi="Narkisim" w:cs="Narkisim"/>
          <w:b/>
          <w:bCs/>
          <w:szCs w:val="20"/>
          <w:rtl/>
        </w:rPr>
        <w:t>אחרונים</w:t>
      </w:r>
      <w:r w:rsidRPr="00D65870">
        <w:rPr>
          <w:rFonts w:ascii="Narkisim" w:hAnsi="Narkisim" w:cs="Narkisim"/>
          <w:szCs w:val="20"/>
          <w:rtl/>
        </w:rPr>
        <w:t xml:space="preserve"> (ע' משנ"ל משכב ומושב א יד, מהרי"ט אלגאזי בכורות ג ל, שער"י ג ח,כג) דנו בזה מכמה סוגיות].</w:t>
      </w:r>
    </w:p>
    <w:p w14:paraId="7EED9F05" w14:textId="77777777" w:rsidR="006C4368" w:rsidRPr="00D65870" w:rsidRDefault="006C4368" w:rsidP="006C4368">
      <w:pPr>
        <w:pStyle w:val="a8"/>
        <w:bidi/>
        <w:rPr>
          <w:rFonts w:ascii="Narkisim" w:hAnsi="Narkisim"/>
        </w:rPr>
      </w:pPr>
      <w:r w:rsidRPr="00D65870">
        <w:rPr>
          <w:rFonts w:ascii="Narkisim" w:hAnsi="Narkisim"/>
          <w:rtl/>
        </w:rPr>
        <w:t>ועוה"ק ה</w:t>
      </w:r>
      <w:r w:rsidRPr="00D65870">
        <w:rPr>
          <w:rFonts w:ascii="Narkisim" w:hAnsi="Narkisim"/>
          <w:b/>
          <w:bCs/>
          <w:rtl/>
        </w:rPr>
        <w:t>שעה"מ</w:t>
      </w:r>
      <w:r w:rsidRPr="00D65870">
        <w:rPr>
          <w:rFonts w:ascii="Narkisim" w:hAnsi="Narkisim"/>
          <w:rtl/>
        </w:rPr>
        <w:t xml:space="preserve"> (יו"ט ה כ) דה</w:t>
      </w:r>
      <w:r w:rsidRPr="00D65870">
        <w:rPr>
          <w:rFonts w:ascii="Narkisim" w:hAnsi="Narkisim"/>
          <w:b/>
          <w:bCs/>
          <w:rtl/>
        </w:rPr>
        <w:t>מרדכי</w:t>
      </w:r>
      <w:r w:rsidRPr="00D65870">
        <w:rPr>
          <w:rFonts w:ascii="Narkisim" w:hAnsi="Narkisim"/>
          <w:rtl/>
        </w:rPr>
        <w:t xml:space="preserve"> (שבת רנט, הו' בפוסקים או"ח שכ ויו"ד קב ב) כת' סברא להיפך, דדבר שיש לו מתירין בטל ברוב היכא דלא ניכר האיסור בפנ"ע מתחילה. ותי' דהתם ההיתר היה בעין, והאיסור נולד בתערובת. ומש"ה בטל טפי. והמרדכי (חולין) איירי דאף ההיתר נולד בהדי האיסור.</w:t>
      </w:r>
    </w:p>
    <w:p w14:paraId="7CFA6CF3"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דנו דדוקא לענין טומאת רוק הזב שייך קו' המרדכי דביטול. אבל בסוגיין עדיף, דאף דהרוק בטל מ"מ יש כאן 'מעשה רקיקה'. [ועוד דאפשר דבטל רק לאחר שיצא מפיו]. אך יל"ד דאי' (לקמן קו:) דהיכא דהיכא ארוכה בעינן שהרוק יגיע כנגד פניו.</w:t>
      </w:r>
    </w:p>
    <w:p w14:paraId="2E329EB0" w14:textId="77777777" w:rsidR="006C4368" w:rsidRPr="00D65870" w:rsidRDefault="006C4368" w:rsidP="006C4368">
      <w:pPr>
        <w:bidi/>
        <w:rPr>
          <w:rFonts w:ascii="Narkisim" w:hAnsi="Narkisim" w:cs="Narkisim"/>
        </w:rPr>
      </w:pPr>
      <w:r w:rsidRPr="00D65870">
        <w:rPr>
          <w:rFonts w:ascii="Narkisim" w:hAnsi="Narkisim" w:cs="Narkisim"/>
          <w:u w:val="single"/>
          <w:rtl/>
        </w:rPr>
        <w:t>כאן במוצצת כאן בשותת</w:t>
      </w:r>
      <w:r w:rsidRPr="00D65870">
        <w:rPr>
          <w:rFonts w:ascii="Narkisim" w:hAnsi="Narkisim" w:cs="Narkisim"/>
          <w:rtl/>
        </w:rPr>
        <w:t>. ודם שותת אין בו צחצוחי רוק. וה</w:t>
      </w:r>
      <w:r w:rsidRPr="00D65870">
        <w:rPr>
          <w:rFonts w:ascii="Narkisim" w:hAnsi="Narkisim" w:cs="Narkisim"/>
          <w:b/>
          <w:bCs/>
          <w:rtl/>
        </w:rPr>
        <w:t>רמב"ן</w:t>
      </w:r>
      <w:r w:rsidRPr="00D65870">
        <w:rPr>
          <w:rFonts w:ascii="Narkisim" w:hAnsi="Narkisim" w:cs="Narkisim"/>
          <w:rtl/>
        </w:rPr>
        <w:t xml:space="preserve"> (ס' הזכות) תמה [לדברי הראשונים הנ"ל] האיך דם השותת מפיה יחשב רקיקה דחליצה, הא אי' (לקמן קו:) דבעינן ורקקה מעצמה</w:t>
      </w:r>
      <w:r w:rsidRPr="00D65870">
        <w:rPr>
          <w:rStyle w:val="ac"/>
          <w:rFonts w:ascii="Narkisim" w:hAnsi="Narkisim" w:cs="Narkisim"/>
          <w:rtl/>
        </w:rPr>
        <w:footnoteReference w:id="6934"/>
      </w:r>
      <w:r w:rsidRPr="00D65870">
        <w:rPr>
          <w:rFonts w:ascii="Narkisim" w:hAnsi="Narkisim" w:cs="Narkisim"/>
          <w:rtl/>
        </w:rPr>
        <w:t>. ושתיתה לא הוה רקיקה. אבל ה</w:t>
      </w:r>
      <w:r w:rsidRPr="00D65870">
        <w:rPr>
          <w:rFonts w:ascii="Narkisim" w:hAnsi="Narkisim" w:cs="Narkisim"/>
          <w:b/>
          <w:bCs/>
          <w:rtl/>
        </w:rPr>
        <w:t>רשב"א</w:t>
      </w:r>
      <w:r w:rsidRPr="00D65870">
        <w:rPr>
          <w:rFonts w:ascii="Narkisim" w:hAnsi="Narkisim" w:cs="Narkisim"/>
          <w:rtl/>
        </w:rPr>
        <w:t xml:space="preserve"> הביא דמבואר ב</w:t>
      </w:r>
      <w:r w:rsidRPr="00D65870">
        <w:rPr>
          <w:rFonts w:ascii="Narkisim" w:hAnsi="Narkisim" w:cs="Narkisim"/>
          <w:b/>
          <w:bCs/>
          <w:rtl/>
        </w:rPr>
        <w:t>רמב"ם</w:t>
      </w:r>
      <w:r w:rsidRPr="00D65870">
        <w:rPr>
          <w:rFonts w:ascii="Narkisim" w:hAnsi="Narkisim" w:cs="Narkisim"/>
          <w:rtl/>
        </w:rPr>
        <w:t xml:space="preserve"> (ד כג) דיש אופן שרקקה דם, ואינה שותתת ולא מוצצת</w:t>
      </w:r>
      <w:r w:rsidRPr="00D65870">
        <w:rPr>
          <w:rStyle w:val="ac"/>
          <w:rFonts w:ascii="Narkisim" w:hAnsi="Narkisim" w:cs="Narkisim"/>
          <w:rtl/>
        </w:rPr>
        <w:footnoteReference w:id="6935"/>
      </w:r>
      <w:r w:rsidRPr="00D65870">
        <w:rPr>
          <w:rFonts w:ascii="Narkisim" w:hAnsi="Narkisim" w:cs="Narkisim"/>
          <w:rtl/>
        </w:rPr>
        <w:t>. וכה"ג אין בזה צחצוחי רוק, ודוקא במוצצת יש בזה צחצוחי רוק</w:t>
      </w:r>
      <w:r w:rsidRPr="00D65870">
        <w:rPr>
          <w:rStyle w:val="ac"/>
          <w:rFonts w:ascii="Narkisim" w:hAnsi="Narkisim" w:cs="Narkisim"/>
          <w:rtl/>
        </w:rPr>
        <w:footnoteReference w:id="6936"/>
      </w:r>
      <w:r w:rsidRPr="00D65870">
        <w:rPr>
          <w:rFonts w:ascii="Narkisim" w:hAnsi="Narkisim" w:cs="Narkisim"/>
          <w:rtl/>
        </w:rPr>
        <w:t>. [וצ"ב א"כ אמאי אמרי' כאן בשותת].</w:t>
      </w:r>
    </w:p>
    <w:p w14:paraId="66FE9BE1" w14:textId="77777777" w:rsidR="006C4368" w:rsidRPr="00D65870" w:rsidRDefault="006C4368" w:rsidP="006C4368">
      <w:pPr>
        <w:pStyle w:val="aa"/>
        <w:bidi/>
        <w:rPr>
          <w:rFonts w:ascii="Narkisim" w:hAnsi="Narkisim"/>
        </w:rPr>
      </w:pPr>
      <w:r w:rsidRPr="00D65870">
        <w:rPr>
          <w:rFonts w:ascii="Narkisim" w:hAnsi="Narkisim"/>
          <w:u w:val="single"/>
          <w:rtl/>
        </w:rPr>
        <w:t>תוד"ה יבמה שרקקה דם תחלוץ</w:t>
      </w:r>
      <w:r w:rsidRPr="00D65870">
        <w:rPr>
          <w:rFonts w:ascii="Narkisim" w:hAnsi="Narkisim"/>
          <w:rtl/>
        </w:rPr>
        <w:t>. מעיקרא שלחו ליה ההוא דלעיל וכו'. [דכיון דאפי' ברקיקת דם תחלוץ, כ"ש ברקיקה גמורה]. לל"ק קמ"ל דאף בצחצוחי דם נפסלת מיבום</w:t>
      </w:r>
      <w:r w:rsidRPr="00D65870">
        <w:rPr>
          <w:rStyle w:val="ac"/>
          <w:rFonts w:ascii="Narkisim" w:hAnsi="Narkisim"/>
          <w:rtl/>
        </w:rPr>
        <w:footnoteReference w:id="6937"/>
      </w:r>
      <w:r w:rsidRPr="00D65870">
        <w:rPr>
          <w:rFonts w:ascii="Narkisim" w:hAnsi="Narkisim"/>
          <w:rtl/>
        </w:rPr>
        <w:t>. ולל"ב קמ"ל דאף צחצוחי רוק לא הקפידו על הסדר</w:t>
      </w:r>
      <w:r w:rsidRPr="00D65870">
        <w:rPr>
          <w:rStyle w:val="ac"/>
          <w:rFonts w:ascii="Narkisim" w:hAnsi="Narkisim"/>
          <w:rtl/>
        </w:rPr>
        <w:footnoteReference w:id="6938"/>
      </w:r>
      <w:r w:rsidRPr="00D65870">
        <w:rPr>
          <w:rFonts w:ascii="Narkisim" w:hAnsi="Narkisim"/>
          <w:rtl/>
        </w:rPr>
        <w:t>.</w:t>
      </w:r>
    </w:p>
    <w:p w14:paraId="50AEEDB0" w14:textId="77777777" w:rsidR="006C4368" w:rsidRPr="00D65870" w:rsidRDefault="006C4368" w:rsidP="006C4368">
      <w:pPr>
        <w:pStyle w:val="3"/>
        <w:bidi/>
        <w:rPr>
          <w:rFonts w:ascii="Narkisim" w:hAnsi="Narkisim"/>
        </w:rPr>
      </w:pPr>
      <w:r w:rsidRPr="00D65870">
        <w:rPr>
          <w:rFonts w:ascii="Narkisim" w:hAnsi="Narkisim"/>
          <w:rtl/>
        </w:rPr>
        <w:t>דף קה:</w:t>
      </w:r>
    </w:p>
    <w:p w14:paraId="61E168CE" w14:textId="77777777" w:rsidR="006C4368" w:rsidRPr="00D65870" w:rsidRDefault="006C4368" w:rsidP="006C4368">
      <w:pPr>
        <w:bidi/>
        <w:rPr>
          <w:rFonts w:ascii="Narkisim" w:hAnsi="Narkisim" w:cs="Narkisim"/>
        </w:rPr>
      </w:pPr>
      <w:r w:rsidRPr="00D65870">
        <w:rPr>
          <w:rFonts w:ascii="Narkisim" w:hAnsi="Narkisim" w:cs="Narkisim"/>
          <w:u w:val="single"/>
          <w:rtl/>
        </w:rPr>
        <w:t>זו דברי ר"מ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דר' מאיר (לעיל צו.) אמר דעשו חליצת בן ט' כגט בגדול. ופוסל מדרבנן, דחליצת קטן אך דהוה חליצה פסולה הוה כמו בעלת הגט. וחכמים פליגי דלא תקנו לקטן חליצה לפסול.</w:t>
      </w:r>
    </w:p>
    <w:p w14:paraId="1F7E87F2" w14:textId="77777777" w:rsidR="006C4368" w:rsidRPr="00D65870" w:rsidRDefault="006C4368" w:rsidP="006C4368">
      <w:pPr>
        <w:pStyle w:val="a7"/>
        <w:bidi/>
        <w:rPr>
          <w:rFonts w:ascii="Narkisim" w:hAnsi="Narkisim"/>
        </w:rPr>
      </w:pPr>
      <w:r w:rsidRPr="00D65870">
        <w:rPr>
          <w:rFonts w:ascii="Narkisim" w:hAnsi="Narkisim"/>
          <w:rtl/>
        </w:rPr>
        <w:t>ובגמ' (גיטין כד: הו' בתוס' בע"א ד"ה לאחין) נח' בזה, דשמואל אמר דכל מקום ששנו חכמים 'חליצה פסולה', פסולה ופוסלתה מן האחין. ובמערבא אמרי משמיה דר' אלעזר דשמאל ולילה פסולות ופוסלות, אבל קטן ואנפיליא פסולות ואין פוסלות.</w:t>
      </w:r>
    </w:p>
    <w:p w14:paraId="543211F9"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(לעיל צו. וגיטין כה.) כת' דנח' לפרש את המשנה, דשמואל דייק דפסולה משמע דפוסל, וקאי כר' מאיר. ובני מערבא פי' דפסולה משמע ואינה פוסלת ואתיא כרבנן. [אבל לכו"ע פליגי בזה ר"מ ורבנן לעיל צו.].</w:t>
      </w:r>
    </w:p>
    <w:p w14:paraId="1FE86D1A"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פ</w:t>
      </w:r>
      <w:r w:rsidRPr="00D65870">
        <w:rPr>
          <w:rFonts w:ascii="Narkisim" w:hAnsi="Narkisim" w:cs="Narkisim"/>
          <w:b/>
          <w:bCs/>
          <w:rtl/>
        </w:rPr>
        <w:t>רש"י</w:t>
      </w:r>
      <w:r w:rsidRPr="00D65870">
        <w:rPr>
          <w:rFonts w:ascii="Narkisim" w:hAnsi="Narkisim" w:cs="Narkisim"/>
          <w:rtl/>
        </w:rPr>
        <w:t xml:space="preserve"> (גיטין שם) דשמאל ולילה יש בזה 'שם חליצה', אלא שלא נעשית בהכשירה. </w:t>
      </w:r>
      <w:r w:rsidRPr="00D65870">
        <w:rPr>
          <w:rFonts w:ascii="Narkisim" w:hAnsi="Narkisim" w:cs="Narkisim"/>
          <w:szCs w:val="20"/>
          <w:rtl/>
        </w:rPr>
        <w:t>ובפשוטו פוסל מיבום מדרבנן</w:t>
      </w:r>
      <w:r w:rsidRPr="00D65870">
        <w:rPr>
          <w:rStyle w:val="ac"/>
          <w:rFonts w:ascii="Narkisim" w:hAnsi="Narkisim" w:cs="Narkisim"/>
          <w:szCs w:val="20"/>
          <w:rtl/>
        </w:rPr>
        <w:footnoteReference w:id="6939"/>
      </w:r>
      <w:r w:rsidRPr="00D65870">
        <w:rPr>
          <w:rFonts w:ascii="Narkisim" w:hAnsi="Narkisim" w:cs="Narkisim"/>
          <w:szCs w:val="20"/>
          <w:rtl/>
        </w:rPr>
        <w:t xml:space="preserve"> אך ה</w:t>
      </w:r>
      <w:r w:rsidRPr="00D65870">
        <w:rPr>
          <w:rFonts w:ascii="Narkisim" w:hAnsi="Narkisim" w:cs="Narkisim"/>
          <w:b/>
          <w:bCs/>
          <w:szCs w:val="20"/>
          <w:rtl/>
        </w:rPr>
        <w:t>נוב"י</w:t>
      </w:r>
      <w:r w:rsidRPr="00D65870">
        <w:rPr>
          <w:rFonts w:ascii="Narkisim" w:hAnsi="Narkisim" w:cs="Narkisim"/>
          <w:szCs w:val="20"/>
          <w:rtl/>
        </w:rPr>
        <w:t xml:space="preserve"> (ת' קנו ד"ה והנה הא) דייק מדברי רש"י (שם) דקאי בלא יבנה, משמע דהוה מדאורייתא משום מקצת בנין</w:t>
      </w:r>
      <w:r w:rsidRPr="00D65870">
        <w:rPr>
          <w:rFonts w:ascii="Narkisim" w:hAnsi="Narkisim" w:cs="Narkisim"/>
          <w:rtl/>
        </w:rPr>
        <w:t>.</w:t>
      </w:r>
    </w:p>
    <w:p w14:paraId="32AE4AA6"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רמב"ם</w:t>
      </w:r>
      <w:r w:rsidRPr="00D65870">
        <w:rPr>
          <w:rFonts w:ascii="Narkisim" w:hAnsi="Narkisim" w:cs="Narkisim"/>
          <w:rtl/>
        </w:rPr>
        <w:t xml:space="preserve"> (ד כו) כת' דכל מקום שאמרנו חליצתה פסולה</w:t>
      </w:r>
      <w:r w:rsidRPr="00D65870">
        <w:rPr>
          <w:rStyle w:val="ac"/>
          <w:rFonts w:ascii="Narkisim" w:hAnsi="Narkisim" w:cs="Narkisim"/>
          <w:rtl/>
        </w:rPr>
        <w:footnoteReference w:id="6940"/>
      </w:r>
      <w:r w:rsidRPr="00D65870">
        <w:rPr>
          <w:rFonts w:ascii="Narkisim" w:hAnsi="Narkisim" w:cs="Narkisim"/>
          <w:rtl/>
        </w:rPr>
        <w:t xml:space="preserve"> נאסרו עליו קרובותיה ונפסלה מן הכהונה ונאסרה על האחין ואינה מתיבמת, ואינה מותרת להנשא לזר עד שתחלוץ חליצה כשרה. וכת' (שם כז) דמ"מ אם נשאת לא תצא ותחלוץ. ובפשוטו משמע ד'פסול' רק מדרבנן, </w:t>
      </w:r>
      <w:r w:rsidRPr="00D65870">
        <w:rPr>
          <w:rFonts w:ascii="Narkisim" w:hAnsi="Narkisim" w:cs="Narkisim"/>
          <w:rtl/>
        </w:rPr>
        <w:lastRenderedPageBreak/>
        <w:t>ומדאורייתא הוה חליצה מעלייתא. וכ"מ ב</w:t>
      </w:r>
      <w:r w:rsidRPr="00D65870">
        <w:rPr>
          <w:rFonts w:ascii="Narkisim" w:hAnsi="Narkisim" w:cs="Narkisim"/>
          <w:b/>
          <w:bCs/>
          <w:rtl/>
        </w:rPr>
        <w:t>קרי"ס</w:t>
      </w:r>
      <w:r w:rsidRPr="00D65870">
        <w:rPr>
          <w:rFonts w:ascii="Narkisim" w:hAnsi="Narkisim" w:cs="Narkisim"/>
          <w:rtl/>
        </w:rPr>
        <w:t xml:space="preserve"> (יבום ד)</w:t>
      </w:r>
      <w:r w:rsidRPr="00D65870">
        <w:rPr>
          <w:rStyle w:val="ac"/>
          <w:rFonts w:ascii="Narkisim" w:hAnsi="Narkisim" w:cs="Narkisim"/>
          <w:rtl/>
        </w:rPr>
        <w:footnoteReference w:id="6941"/>
      </w:r>
      <w:r w:rsidRPr="00D65870">
        <w:rPr>
          <w:rFonts w:ascii="Narkisim" w:hAnsi="Narkisim" w:cs="Narkisim"/>
          <w:rtl/>
        </w:rPr>
        <w:t xml:space="preserve">. וכן נקטו כמה </w:t>
      </w:r>
      <w:r w:rsidRPr="00D65870">
        <w:rPr>
          <w:rFonts w:ascii="Narkisim" w:hAnsi="Narkisim" w:cs="Narkisim"/>
          <w:b/>
          <w:bCs/>
          <w:rtl/>
        </w:rPr>
        <w:t>אחרונים</w:t>
      </w:r>
      <w:r w:rsidRPr="00D65870">
        <w:rPr>
          <w:rStyle w:val="ac"/>
          <w:rFonts w:ascii="Narkisim" w:hAnsi="Narkisim" w:cs="Narkisim"/>
          <w:rtl/>
        </w:rPr>
        <w:footnoteReference w:id="6942"/>
      </w:r>
      <w:r w:rsidRPr="00D65870">
        <w:rPr>
          <w:rFonts w:ascii="Narkisim" w:hAnsi="Narkisim" w:cs="Narkisim"/>
          <w:b/>
          <w:bCs/>
          <w:rtl/>
        </w:rPr>
        <w:t>.</w:t>
      </w:r>
    </w:p>
    <w:p w14:paraId="637291BA"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ה"ה</w:t>
      </w:r>
      <w:r w:rsidRPr="00D65870">
        <w:rPr>
          <w:rFonts w:ascii="Narkisim" w:hAnsi="Narkisim"/>
          <w:rtl/>
        </w:rPr>
        <w:t xml:space="preserve"> תמה דבמקצת מקומות שהזכירו 'חליצה פסולה' מבואר בגמ' שמן התורה אינה כלום</w:t>
      </w:r>
      <w:r w:rsidRPr="00D65870">
        <w:rPr>
          <w:rStyle w:val="ac"/>
          <w:rFonts w:ascii="Narkisim" w:hAnsi="Narkisim"/>
          <w:rtl/>
        </w:rPr>
        <w:footnoteReference w:id="6943"/>
      </w:r>
      <w:r w:rsidRPr="00D65870">
        <w:rPr>
          <w:rFonts w:ascii="Narkisim" w:hAnsi="Narkisim"/>
          <w:rtl/>
        </w:rPr>
        <w:t>, וא"כ אמאי נשאת לא תצא, והיאך תעמוד עם בעלה בלא חליצה. וע"כ דכוונת הרמב"ם שמפריש אותה עד שיחלוץ לה חליצה כשרה.</w:t>
      </w:r>
    </w:p>
    <w:p w14:paraId="3D4D7B17" w14:textId="77777777" w:rsidR="006C4368" w:rsidRPr="00D65870" w:rsidRDefault="006C4368" w:rsidP="006C4368">
      <w:pPr>
        <w:pStyle w:val="a7"/>
        <w:bidi/>
        <w:rPr>
          <w:rFonts w:ascii="Narkisim" w:hAnsi="Narkisim"/>
        </w:rPr>
      </w:pPr>
      <w:r w:rsidRPr="00D65870">
        <w:rPr>
          <w:rFonts w:ascii="Narkisim" w:hAnsi="Narkisim"/>
          <w:rtl/>
        </w:rPr>
        <w:t>ולפ"ז כוונת הרמב"ם דהא דאיתא (לעיל צא: וצב:) דשומרת יבם שנשאת לשוק תצא מזה ומזה [ע"ע מש"כ בזה לעיל שם], דקנסו כמו אשה שהלך בעלה למדינת הים. אבל היכא דחלצה חליצה הפוסל מדרבנן לא גזרו.</w:t>
      </w:r>
    </w:p>
    <w:p w14:paraId="6077F81F"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גר"א</w:t>
      </w:r>
      <w:r w:rsidRPr="00D65870">
        <w:rPr>
          <w:rFonts w:ascii="Narkisim" w:hAnsi="Narkisim"/>
          <w:rtl/>
        </w:rPr>
        <w:t xml:space="preserve"> (קסט קמז) ביאר [בשם הריב"ש תפב] דהא דעברה ונשאת קנסו הואיל ואסרה עצמה איבם [וכדאי' לעיל צב: איתגורי איתגור</w:t>
      </w:r>
      <w:r w:rsidRPr="00D65870">
        <w:rPr>
          <w:rStyle w:val="ac"/>
          <w:rFonts w:ascii="Narkisim" w:hAnsi="Narkisim"/>
          <w:rtl/>
        </w:rPr>
        <w:footnoteReference w:id="6944"/>
      </w:r>
      <w:r w:rsidRPr="00D65870">
        <w:rPr>
          <w:rFonts w:ascii="Narkisim" w:hAnsi="Narkisim"/>
          <w:rtl/>
        </w:rPr>
        <w:t>], מה שאין כן כאן דבלא"ה אסורה לו.</w:t>
      </w:r>
    </w:p>
    <w:p w14:paraId="7576A423"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או"ש</w:t>
      </w:r>
      <w:r w:rsidRPr="00D65870">
        <w:rPr>
          <w:rFonts w:ascii="Narkisim" w:hAnsi="Narkisim"/>
          <w:rtl/>
        </w:rPr>
        <w:t xml:space="preserve"> (ד טז) כת' דדעת הרמב"ם דכל דבר שמפורש בפסוק מעכב לענין שאינה חליצה כלל. אבל מה שנלמד מדרשא הוה בגדר חליצה 'פסולה'.</w:t>
      </w:r>
    </w:p>
    <w:p w14:paraId="6383BB9D" w14:textId="77777777" w:rsidR="006C4368" w:rsidRPr="00D65870" w:rsidRDefault="006C4368" w:rsidP="006C4368">
      <w:pPr>
        <w:bidi/>
        <w:rPr>
          <w:rFonts w:ascii="Narkisim" w:hAnsi="Narkisim" w:cs="Narkisim"/>
        </w:rPr>
      </w:pPr>
      <w:r w:rsidRPr="00D65870">
        <w:rPr>
          <w:rFonts w:ascii="Narkisim" w:hAnsi="Narkisim" w:cs="Narkisim"/>
          <w:u w:val="single"/>
          <w:rtl/>
        </w:rPr>
        <w:t>אבל חכמים אומרים אין חליצת קטן כלום</w:t>
      </w:r>
      <w:r w:rsidRPr="00D65870">
        <w:rPr>
          <w:rFonts w:ascii="Narkisim" w:hAnsi="Narkisim" w:cs="Narkisim"/>
          <w:rtl/>
        </w:rPr>
        <w:t>. ה</w:t>
      </w:r>
      <w:r w:rsidRPr="00D65870">
        <w:rPr>
          <w:rFonts w:ascii="Narkisim" w:hAnsi="Narkisim" w:cs="Narkisim"/>
          <w:b/>
          <w:bCs/>
          <w:rtl/>
        </w:rPr>
        <w:t>רשב"א</w:t>
      </w:r>
      <w:r w:rsidRPr="00D65870">
        <w:rPr>
          <w:rFonts w:ascii="Narkisim" w:hAnsi="Narkisim" w:cs="Narkisim"/>
          <w:rtl/>
        </w:rPr>
        <w:t xml:space="preserve"> דייק דנח' דוקא בקטן, אבל חרשת לכו"ע פוסל. אבל הביא דה</w:t>
      </w:r>
      <w:r w:rsidRPr="00D65870">
        <w:rPr>
          <w:rFonts w:ascii="Narkisim" w:hAnsi="Narkisim" w:cs="Narkisim"/>
          <w:b/>
          <w:bCs/>
          <w:rtl/>
        </w:rPr>
        <w:t>רמב"ם</w:t>
      </w:r>
      <w:r w:rsidRPr="00D65870">
        <w:rPr>
          <w:rFonts w:ascii="Narkisim" w:hAnsi="Narkisim" w:cs="Narkisim"/>
          <w:rtl/>
        </w:rPr>
        <w:t xml:space="preserve"> (ד יג וטז) כת' דאף חרש וחרשת אינה חליצה כלל ואינו פוסל [לחכמים].</w:t>
      </w:r>
    </w:p>
    <w:p w14:paraId="4FC15B43" w14:textId="77777777" w:rsidR="006C4368" w:rsidRPr="00D65870" w:rsidRDefault="006C4368" w:rsidP="006C4368">
      <w:pPr>
        <w:bidi/>
        <w:rPr>
          <w:rFonts w:ascii="Narkisim" w:hAnsi="Narkisim" w:cs="Narkisim"/>
        </w:rPr>
      </w:pPr>
      <w:r w:rsidRPr="00D65870">
        <w:rPr>
          <w:rFonts w:ascii="Narkisim" w:hAnsi="Narkisim" w:cs="Narkisim"/>
          <w:u w:val="single"/>
          <w:rtl/>
        </w:rPr>
        <w:t>תוד"ה קטנה</w:t>
      </w:r>
      <w:r w:rsidRPr="00D65870">
        <w:rPr>
          <w:rFonts w:ascii="Narkisim" w:hAnsi="Narkisim" w:cs="Narkisim"/>
          <w:rtl/>
        </w:rPr>
        <w:t>. וא"ת כיון דתנא פסולה, אמאי תני תחלוץ משתגדיל וכו'. ו</w:t>
      </w:r>
      <w:r w:rsidRPr="00D65870">
        <w:rPr>
          <w:rFonts w:ascii="Narkisim" w:hAnsi="Narkisim" w:cs="Narkisim"/>
          <w:b/>
          <w:bCs/>
          <w:rtl/>
        </w:rPr>
        <w:t>תוס</w:t>
      </w:r>
      <w:r w:rsidRPr="00D65870">
        <w:rPr>
          <w:rFonts w:ascii="Narkisim" w:hAnsi="Narkisim" w:cs="Narkisim"/>
          <w:rtl/>
        </w:rPr>
        <w:t>' (בכורות) כת' דנקט תנא תחלוץ משתגדיל, לאשמועינן דדוקא למ"ד פסולה תחלוץ משתגדיל אבל למ"ד כשירה</w:t>
      </w:r>
      <w:r w:rsidRPr="00D65870">
        <w:rPr>
          <w:rStyle w:val="ac"/>
          <w:rFonts w:ascii="Narkisim" w:hAnsi="Narkisim" w:cs="Narkisim"/>
          <w:rtl/>
        </w:rPr>
        <w:footnoteReference w:id="6945"/>
      </w:r>
      <w:r w:rsidRPr="00D65870">
        <w:rPr>
          <w:rFonts w:ascii="Narkisim" w:hAnsi="Narkisim" w:cs="Narkisim"/>
          <w:rtl/>
        </w:rPr>
        <w:t xml:space="preserve"> ל"צ לחזור ולחלוץ אפי' לכתחלה. ועוד תי' דקמ"ל דפוסל על האחים, ודוקא תחלוץ ולא תתייבם. ואף למ"ד (מערבא בשם ר' אלעזר גיטין כה.) דקטן ואנפליא פסולין ואין פוסלין [דהמשנה כרבנן כאן], קמ"ל דקטנה פוסלת</w:t>
      </w:r>
      <w:r w:rsidRPr="00D65870">
        <w:rPr>
          <w:rStyle w:val="ac"/>
          <w:rFonts w:ascii="Narkisim" w:hAnsi="Narkisim" w:cs="Narkisim"/>
          <w:rtl/>
        </w:rPr>
        <w:footnoteReference w:id="6946"/>
      </w:r>
      <w:r w:rsidRPr="00D65870">
        <w:rPr>
          <w:rFonts w:ascii="Narkisim" w:hAnsi="Narkisim" w:cs="Narkisim"/>
          <w:rtl/>
        </w:rPr>
        <w:t>.</w:t>
      </w:r>
    </w:p>
    <w:p w14:paraId="47D70264" w14:textId="77777777" w:rsidR="006C4368" w:rsidRPr="00D65870" w:rsidRDefault="006C4368" w:rsidP="006C4368">
      <w:pPr>
        <w:pStyle w:val="aa"/>
        <w:bidi/>
        <w:rPr>
          <w:rFonts w:ascii="Narkisim" w:hAnsi="Narkisim"/>
        </w:rPr>
      </w:pPr>
      <w:r w:rsidRPr="00D65870">
        <w:rPr>
          <w:rFonts w:ascii="Narkisim" w:hAnsi="Narkisim"/>
          <w:u w:val="single"/>
          <w:rtl/>
        </w:rPr>
        <w:t>בא"ד יתור לשון לאשמועינן בחליצת קטנה אינה כלום, כמו חליצת קטן</w:t>
      </w:r>
      <w:r w:rsidRPr="00D65870">
        <w:rPr>
          <w:rFonts w:ascii="Narkisim" w:hAnsi="Narkisim"/>
          <w:rtl/>
        </w:rPr>
        <w:t>. משמע דמדאורייתא אינו כלום, ופוסל מדרבנן. (ע' לעיל).</w:t>
      </w:r>
    </w:p>
    <w:p w14:paraId="1E838322" w14:textId="77777777" w:rsidR="006C4368" w:rsidRPr="00D65870" w:rsidRDefault="006C4368" w:rsidP="006C4368">
      <w:pPr>
        <w:bidi/>
        <w:rPr>
          <w:rFonts w:ascii="Narkisim" w:hAnsi="Narkisim" w:cs="Narkisim"/>
        </w:rPr>
      </w:pPr>
      <w:r w:rsidRPr="00D65870">
        <w:rPr>
          <w:rFonts w:ascii="Narkisim" w:hAnsi="Narkisim" w:cs="Narkisim"/>
          <w:u w:val="single"/>
          <w:rtl/>
        </w:rPr>
        <w:t>בא"ד ומיהו בירושלמי גרסי' בסדר המשנה</w:t>
      </w:r>
      <w:r w:rsidRPr="00D65870">
        <w:rPr>
          <w:rStyle w:val="ac"/>
          <w:rFonts w:ascii="Narkisim" w:hAnsi="Narkisim" w:cs="Narkisim"/>
          <w:u w:val="single"/>
          <w:rtl/>
        </w:rPr>
        <w:footnoteReference w:id="6947"/>
      </w:r>
      <w:r w:rsidRPr="00D65870">
        <w:rPr>
          <w:rFonts w:ascii="Narkisim" w:hAnsi="Narkisim" w:cs="Narkisim"/>
          <w:u w:val="single"/>
          <w:rtl/>
        </w:rPr>
        <w:t xml:space="preserve"> וכו' חליצתה כשירה</w:t>
      </w:r>
      <w:r w:rsidRPr="00D65870">
        <w:rPr>
          <w:rFonts w:ascii="Narkisim" w:hAnsi="Narkisim" w:cs="Narkisim"/>
          <w:rtl/>
        </w:rPr>
        <w:t>. ור' מאיר סבר דמהני חליצת קטן בדיעבד</w:t>
      </w:r>
      <w:r w:rsidRPr="00D65870">
        <w:rPr>
          <w:rStyle w:val="ac"/>
          <w:rFonts w:ascii="Narkisim" w:hAnsi="Narkisim" w:cs="Narkisim"/>
          <w:rtl/>
        </w:rPr>
        <w:footnoteReference w:id="6948"/>
      </w:r>
      <w:r w:rsidRPr="00D65870">
        <w:rPr>
          <w:rFonts w:ascii="Narkisim" w:hAnsi="Narkisim" w:cs="Narkisim"/>
          <w:rtl/>
        </w:rPr>
        <w:t>, ור"מ פוסל רק מדרבנן</w:t>
      </w:r>
      <w:r w:rsidRPr="00D65870">
        <w:rPr>
          <w:rStyle w:val="ac"/>
          <w:rFonts w:ascii="Narkisim" w:hAnsi="Narkisim" w:cs="Narkisim"/>
          <w:rtl/>
        </w:rPr>
        <w:footnoteReference w:id="6949"/>
      </w:r>
      <w:r w:rsidRPr="00D65870">
        <w:rPr>
          <w:rFonts w:ascii="Narkisim" w:hAnsi="Narkisim" w:cs="Narkisim"/>
          <w:rtl/>
        </w:rPr>
        <w:t xml:space="preserve"> [וע' תוס' בכורות יט: שדנו בזה]</w:t>
      </w:r>
      <w:r w:rsidRPr="00D65870">
        <w:rPr>
          <w:rStyle w:val="ac"/>
          <w:rFonts w:ascii="Narkisim" w:hAnsi="Narkisim" w:cs="Narkisim"/>
          <w:rtl/>
        </w:rPr>
        <w:footnoteReference w:id="6950"/>
      </w:r>
      <w:r w:rsidRPr="00D65870">
        <w:rPr>
          <w:rFonts w:ascii="Narkisim" w:hAnsi="Narkisim" w:cs="Narkisim"/>
          <w:rtl/>
        </w:rPr>
        <w:t>.</w:t>
      </w:r>
    </w:p>
    <w:p w14:paraId="364A69CC" w14:textId="77777777" w:rsidR="006C4368" w:rsidRPr="00D65870" w:rsidRDefault="006C4368" w:rsidP="006C4368">
      <w:pPr>
        <w:pStyle w:val="a8"/>
        <w:bidi/>
        <w:rPr>
          <w:rFonts w:ascii="Narkisim" w:hAnsi="Narkisim"/>
        </w:rPr>
      </w:pPr>
      <w:r w:rsidRPr="00D65870">
        <w:rPr>
          <w:rFonts w:ascii="Narkisim" w:hAnsi="Narkisim"/>
          <w:rtl/>
        </w:rPr>
        <w:t>וב</w:t>
      </w:r>
      <w:r w:rsidRPr="00D65870">
        <w:rPr>
          <w:rFonts w:ascii="Narkisim" w:hAnsi="Narkisim"/>
          <w:b/>
          <w:bCs/>
          <w:rtl/>
        </w:rPr>
        <w:t>תוספתא</w:t>
      </w:r>
      <w:r w:rsidRPr="00D65870">
        <w:rPr>
          <w:rFonts w:ascii="Narkisim" w:hAnsi="Narkisim"/>
          <w:rtl/>
        </w:rPr>
        <w:t xml:space="preserve"> (יב) אי' קטנה שחלצה תחלוץ משתגדיל, אם לא חלצה חליצתה פסולה דברי ר' אליעזר וחכמים אומרים אם לא חלצה חליצתה כשירה</w:t>
      </w:r>
      <w:r w:rsidRPr="00D65870">
        <w:rPr>
          <w:rStyle w:val="ac"/>
          <w:rFonts w:ascii="Narkisim" w:hAnsi="Narkisim"/>
          <w:rtl/>
        </w:rPr>
        <w:footnoteReference w:id="6951"/>
      </w:r>
      <w:r w:rsidRPr="00D65870">
        <w:rPr>
          <w:rFonts w:ascii="Narkisim" w:hAnsi="Narkisim"/>
          <w:rtl/>
        </w:rPr>
        <w:t>.</w:t>
      </w:r>
    </w:p>
    <w:p w14:paraId="5FC984A9" w14:textId="77777777" w:rsidR="006C4368" w:rsidRPr="00D65870" w:rsidRDefault="006C4368" w:rsidP="006C4368">
      <w:pPr>
        <w:bidi/>
        <w:rPr>
          <w:rFonts w:ascii="Narkisim" w:hAnsi="Narkisim" w:cs="Narkisim"/>
        </w:rPr>
      </w:pPr>
      <w:r w:rsidRPr="00D65870">
        <w:rPr>
          <w:rFonts w:ascii="Narkisim" w:hAnsi="Narkisim" w:cs="Narkisim"/>
          <w:u w:val="single"/>
          <w:rtl/>
        </w:rPr>
        <w:lastRenderedPageBreak/>
        <w:t>המתפלל צריך שיתן עיניו למטה וכו'</w:t>
      </w:r>
      <w:r w:rsidRPr="00D65870">
        <w:rPr>
          <w:rFonts w:ascii="Narkisim" w:hAnsi="Narkisim" w:cs="Narkisim"/>
          <w:rtl/>
        </w:rPr>
        <w:t>. ב</w:t>
      </w:r>
      <w:r w:rsidRPr="00D65870">
        <w:rPr>
          <w:rFonts w:ascii="Narkisim" w:hAnsi="Narkisim" w:cs="Narkisim"/>
          <w:b/>
          <w:bCs/>
          <w:rtl/>
        </w:rPr>
        <w:t>טור</w:t>
      </w:r>
      <w:r w:rsidRPr="00D65870">
        <w:rPr>
          <w:rFonts w:ascii="Narkisim" w:hAnsi="Narkisim" w:cs="Narkisim"/>
          <w:rtl/>
        </w:rPr>
        <w:t xml:space="preserve"> ו</w:t>
      </w:r>
      <w:r w:rsidRPr="00D65870">
        <w:rPr>
          <w:rFonts w:ascii="Narkisim" w:hAnsi="Narkisim" w:cs="Narkisim"/>
          <w:b/>
          <w:bCs/>
          <w:rtl/>
        </w:rPr>
        <w:t>שו"ע</w:t>
      </w:r>
      <w:r w:rsidRPr="00D65870">
        <w:rPr>
          <w:rFonts w:ascii="Narkisim" w:hAnsi="Narkisim" w:cs="Narkisim"/>
          <w:rtl/>
        </w:rPr>
        <w:t xml:space="preserve"> (או"ח צה ב) איתא שיכוף ראשו מעט, שיהיו עיניו למטה לארץ. אבל </w:t>
      </w:r>
      <w:r w:rsidRPr="00D65870">
        <w:rPr>
          <w:rFonts w:ascii="Narkisim" w:hAnsi="Narkisim" w:cs="Narkisim"/>
          <w:b/>
          <w:bCs/>
          <w:rtl/>
        </w:rPr>
        <w:t>רש"י</w:t>
      </w:r>
      <w:r w:rsidRPr="00D65870">
        <w:rPr>
          <w:rFonts w:ascii="Narkisim" w:hAnsi="Narkisim" w:cs="Narkisim"/>
          <w:rtl/>
        </w:rPr>
        <w:t xml:space="preserve"> פי' כלפי ארץ ישראל, וכדכתיב [גבי ביהמ"ק] והיה עיני וליבי שם</w:t>
      </w:r>
      <w:r w:rsidRPr="00D65870">
        <w:rPr>
          <w:rStyle w:val="ac"/>
          <w:rFonts w:ascii="Narkisim" w:hAnsi="Narkisim" w:cs="Narkisim"/>
          <w:rtl/>
        </w:rPr>
        <w:footnoteReference w:id="6952"/>
      </w:r>
      <w:r w:rsidRPr="00D65870">
        <w:rPr>
          <w:rFonts w:ascii="Narkisim" w:hAnsi="Narkisim" w:cs="Narkisim"/>
          <w:rtl/>
        </w:rPr>
        <w:t>.</w:t>
      </w:r>
    </w:p>
    <w:p w14:paraId="50F32128" w14:textId="77777777" w:rsidR="006C4368" w:rsidRPr="00D65870" w:rsidRDefault="006C4368" w:rsidP="006C4368">
      <w:pPr>
        <w:pStyle w:val="aa"/>
        <w:bidi/>
        <w:rPr>
          <w:rFonts w:ascii="Narkisim" w:hAnsi="Narkisim"/>
        </w:rPr>
      </w:pPr>
      <w:r w:rsidRPr="00D65870">
        <w:rPr>
          <w:rFonts w:ascii="Narkisim" w:hAnsi="Narkisim"/>
          <w:u w:val="single"/>
          <w:rtl/>
        </w:rPr>
        <w:t>וחד אמר עיניו למעלה וכו' כך אמר אבא וכו' וליבו למעלה</w:t>
      </w:r>
      <w:r w:rsidRPr="00D65870">
        <w:rPr>
          <w:rFonts w:ascii="Narkisim" w:hAnsi="Narkisim"/>
          <w:rtl/>
        </w:rPr>
        <w:t>. כ"ה הגירסא לפנינו, ור' ישמעאל בר"י הביא בשם אביו פשרה, דעיניו למעלה לאו דוקא, אלא ליבו. וה</w:t>
      </w:r>
      <w:r w:rsidRPr="00D65870">
        <w:rPr>
          <w:rFonts w:ascii="Narkisim" w:hAnsi="Narkisim"/>
          <w:b/>
          <w:bCs/>
          <w:rtl/>
        </w:rPr>
        <w:t>תוס' רא"ש</w:t>
      </w:r>
      <w:r w:rsidRPr="00D65870">
        <w:rPr>
          <w:rFonts w:ascii="Narkisim" w:hAnsi="Narkisim"/>
          <w:rtl/>
        </w:rPr>
        <w:t xml:space="preserve"> גרס בתרוייהו ליבו, ור' ישמעאל בר"י ביאר דליבו למטה היינו עיניו. וה</w:t>
      </w:r>
      <w:r w:rsidRPr="00D65870">
        <w:rPr>
          <w:rFonts w:ascii="Narkisim" w:hAnsi="Narkisim"/>
          <w:b/>
          <w:bCs/>
          <w:rtl/>
        </w:rPr>
        <w:t>ב"ח</w:t>
      </w:r>
      <w:r w:rsidRPr="00D65870">
        <w:rPr>
          <w:rFonts w:ascii="Narkisim" w:hAnsi="Narkisim"/>
          <w:rtl/>
        </w:rPr>
        <w:t xml:space="preserve"> גרס כאן דצריך שיכוון את ליבו למעלה. ור' ישמעאל בר"י פי' דאין בזה סתירה.</w:t>
      </w:r>
    </w:p>
    <w:p w14:paraId="1A4BEC9A" w14:textId="77777777" w:rsidR="006C4368" w:rsidRPr="00D65870" w:rsidRDefault="006C4368" w:rsidP="006C4368">
      <w:pPr>
        <w:pStyle w:val="aa"/>
        <w:bidi/>
        <w:rPr>
          <w:rFonts w:ascii="Narkisim" w:hAnsi="Narkisim"/>
        </w:rPr>
      </w:pPr>
      <w:r w:rsidRPr="00D65870">
        <w:rPr>
          <w:rFonts w:ascii="Narkisim" w:hAnsi="Narkisim"/>
          <w:rtl/>
        </w:rPr>
        <w:t>ו</w:t>
      </w:r>
      <w:r w:rsidRPr="00D65870">
        <w:rPr>
          <w:rFonts w:ascii="Narkisim" w:hAnsi="Narkisim"/>
          <w:b/>
          <w:bCs/>
          <w:rtl/>
        </w:rPr>
        <w:t>תלמידי ר' יונה</w:t>
      </w:r>
      <w:r w:rsidRPr="00D65870">
        <w:rPr>
          <w:rFonts w:ascii="Narkisim" w:hAnsi="Narkisim"/>
          <w:rtl/>
        </w:rPr>
        <w:t xml:space="preserve"> (לרי"ף ברכות לא: כב: בדה"ר) כת' וליבו למעלה, כלומר שיחשוב בלבו כאילו עומד בשמים ויסיר מלבו כל תענוגי העולם הזה וכל הנאות הגוף</w:t>
      </w:r>
      <w:r w:rsidRPr="00D65870">
        <w:rPr>
          <w:rStyle w:val="ac"/>
          <w:rFonts w:ascii="Narkisim" w:hAnsi="Narkisim"/>
          <w:rtl/>
        </w:rPr>
        <w:footnoteReference w:id="6953"/>
      </w:r>
      <w:r w:rsidRPr="00D65870">
        <w:rPr>
          <w:rFonts w:ascii="Narkisim" w:hAnsi="Narkisim"/>
          <w:rtl/>
        </w:rPr>
        <w:t>. ולאחר שיגיע לזו המחשבה יחשוב ג"כ כאילו הוא עומד בביהמ"ק שהוא למטה, שעי"ז תהיה תפילתו רצויה יותר לפני המקום</w:t>
      </w:r>
      <w:r w:rsidRPr="00D65870">
        <w:rPr>
          <w:rStyle w:val="ac"/>
          <w:rFonts w:ascii="Narkisim" w:hAnsi="Narkisim"/>
          <w:rtl/>
        </w:rPr>
        <w:footnoteReference w:id="6954"/>
      </w:r>
      <w:r w:rsidRPr="00D65870">
        <w:rPr>
          <w:rFonts w:ascii="Narkisim" w:hAnsi="Narkisim"/>
          <w:rtl/>
        </w:rPr>
        <w:t>.</w:t>
      </w:r>
    </w:p>
    <w:p w14:paraId="6DC08717" w14:textId="77777777" w:rsidR="006C4368" w:rsidRPr="00D65870" w:rsidRDefault="006C4368" w:rsidP="006C4368">
      <w:pPr>
        <w:pStyle w:val="aa"/>
        <w:bidi/>
        <w:rPr>
          <w:rFonts w:ascii="Narkisim" w:hAnsi="Narkisim"/>
        </w:rPr>
      </w:pPr>
      <w:r w:rsidRPr="00D65870">
        <w:rPr>
          <w:rFonts w:ascii="Narkisim" w:hAnsi="Narkisim"/>
          <w:u w:val="single"/>
          <w:rtl/>
        </w:rPr>
        <w:t>שם. עיניו למטה</w:t>
      </w:r>
      <w:r w:rsidRPr="00D65870">
        <w:rPr>
          <w:rFonts w:ascii="Narkisim" w:hAnsi="Narkisim"/>
          <w:rtl/>
        </w:rPr>
        <w:t>. ה</w:t>
      </w:r>
      <w:r w:rsidRPr="00D65870">
        <w:rPr>
          <w:rFonts w:ascii="Narkisim" w:hAnsi="Narkisim"/>
          <w:b/>
          <w:bCs/>
          <w:rtl/>
        </w:rPr>
        <w:t>ב"י</w:t>
      </w:r>
      <w:r w:rsidRPr="00D65870">
        <w:rPr>
          <w:rFonts w:ascii="Narkisim" w:hAnsi="Narkisim"/>
          <w:rtl/>
        </w:rPr>
        <w:t xml:space="preserve"> (או"ח צה) הק' דאי (ברכות לד:) אל יתפלל אדם אלא בבית שיש בו חלונות, ופ</w:t>
      </w:r>
      <w:r w:rsidRPr="00D65870">
        <w:rPr>
          <w:rFonts w:ascii="Narkisim" w:hAnsi="Narkisim"/>
          <w:b/>
          <w:bCs/>
          <w:rtl/>
        </w:rPr>
        <w:t>רש"י</w:t>
      </w:r>
      <w:r w:rsidRPr="00D65870">
        <w:rPr>
          <w:rFonts w:ascii="Narkisim" w:hAnsi="Narkisim"/>
          <w:rtl/>
        </w:rPr>
        <w:t xml:space="preserve"> שגורמין לו שיכוין לבו, שהוא מסתכל כלפי שמים ולבו נכנע</w:t>
      </w:r>
      <w:r w:rsidRPr="00D65870">
        <w:rPr>
          <w:rStyle w:val="ac"/>
          <w:rFonts w:ascii="Narkisim" w:hAnsi="Narkisim"/>
          <w:rtl/>
        </w:rPr>
        <w:footnoteReference w:id="6955"/>
      </w:r>
      <w:r w:rsidRPr="00D65870">
        <w:rPr>
          <w:rFonts w:ascii="Narkisim" w:hAnsi="Narkisim"/>
          <w:rtl/>
        </w:rPr>
        <w:t>. ואילו בסוגיין מבואר שלא יעלה עיניו למעלה. וה</w:t>
      </w:r>
      <w:r w:rsidRPr="00D65870">
        <w:rPr>
          <w:rFonts w:ascii="Narkisim" w:hAnsi="Narkisim"/>
          <w:b/>
          <w:bCs/>
          <w:rtl/>
        </w:rPr>
        <w:t>ב"י</w:t>
      </w:r>
      <w:r w:rsidRPr="00D65870">
        <w:rPr>
          <w:rFonts w:ascii="Narkisim" w:hAnsi="Narkisim"/>
          <w:rtl/>
        </w:rPr>
        <w:t xml:space="preserve"> תי' דלא יהיו עיניו תלויות למעלה כל זמן התפילה, אלא שאם יסתכל כלפי שמים דרך העברה יכנע לבבו. וה</w:t>
      </w:r>
      <w:r w:rsidRPr="00D65870">
        <w:rPr>
          <w:rFonts w:ascii="Narkisim" w:hAnsi="Narkisim"/>
          <w:b/>
          <w:bCs/>
          <w:rtl/>
        </w:rPr>
        <w:t>ב"ח</w:t>
      </w:r>
      <w:r w:rsidRPr="00D65870">
        <w:rPr>
          <w:rFonts w:ascii="Narkisim" w:hAnsi="Narkisim"/>
          <w:rtl/>
        </w:rPr>
        <w:t xml:space="preserve"> כת' דלפני שיתחיל תפילתו יסתכל למעלה.</w:t>
      </w:r>
    </w:p>
    <w:p w14:paraId="0E0B7193"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יש"ש</w:t>
      </w:r>
      <w:r w:rsidRPr="00D65870">
        <w:rPr>
          <w:rFonts w:ascii="Narkisim" w:hAnsi="Narkisim"/>
          <w:rtl/>
        </w:rPr>
        <w:t xml:space="preserve"> כת' דמקצת חזנים מביטים כלפי מעלה, וקרא תגר, וכת' דראוי לגעור בהם</w:t>
      </w:r>
      <w:r w:rsidRPr="00D65870">
        <w:rPr>
          <w:rStyle w:val="ac"/>
          <w:rFonts w:ascii="Narkisim" w:hAnsi="Narkisim"/>
          <w:rtl/>
        </w:rPr>
        <w:footnoteReference w:id="6956"/>
      </w:r>
      <w:r w:rsidRPr="00D65870">
        <w:rPr>
          <w:rFonts w:ascii="Narkisim" w:hAnsi="Narkisim"/>
          <w:rtl/>
        </w:rPr>
        <w:t>.</w:t>
      </w:r>
    </w:p>
    <w:p w14:paraId="6810BD63"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יראים</w:t>
      </w:r>
      <w:r w:rsidRPr="00D65870">
        <w:rPr>
          <w:rFonts w:ascii="Narkisim" w:hAnsi="Narkisim"/>
          <w:rtl/>
        </w:rPr>
        <w:t xml:space="preserve"> (ברכות צב, והו' בטור או"ח קכה) כת' דמ"מ בשעה שעונים קדושה, ואומרים קדוש קדוש קדוש יהיו עיניהם נשואות למרום</w:t>
      </w:r>
      <w:r w:rsidRPr="00D65870">
        <w:rPr>
          <w:rStyle w:val="ac"/>
          <w:rFonts w:ascii="Narkisim" w:hAnsi="Narkisim"/>
          <w:rtl/>
        </w:rPr>
        <w:footnoteReference w:id="6957"/>
      </w:r>
      <w:r w:rsidRPr="00D65870">
        <w:rPr>
          <w:rFonts w:ascii="Narkisim" w:hAnsi="Narkisim"/>
          <w:rtl/>
        </w:rPr>
        <w:t>. [ועי"ש ב"י וב"ח ופוסקים במנהגי קדושה].</w:t>
      </w:r>
    </w:p>
    <w:p w14:paraId="653E6684" w14:textId="77777777" w:rsidR="006C4368" w:rsidRPr="00D65870" w:rsidRDefault="006C4368" w:rsidP="006C4368">
      <w:pPr>
        <w:pStyle w:val="aa"/>
        <w:bidi/>
        <w:rPr>
          <w:rFonts w:ascii="Narkisim" w:hAnsi="Narkisim"/>
        </w:rPr>
      </w:pPr>
      <w:r w:rsidRPr="00D65870">
        <w:rPr>
          <w:rFonts w:ascii="Narkisim" w:hAnsi="Narkisim"/>
          <w:u w:val="single"/>
          <w:rtl/>
        </w:rPr>
        <w:t>א"ל וכי אתה הגון וכו'</w:t>
      </w:r>
      <w:r w:rsidRPr="00D65870">
        <w:rPr>
          <w:rFonts w:ascii="Narkisim" w:hAnsi="Narkisim"/>
          <w:rtl/>
        </w:rPr>
        <w:t>. ה</w:t>
      </w:r>
      <w:r w:rsidRPr="00D65870">
        <w:rPr>
          <w:rFonts w:ascii="Narkisim" w:hAnsi="Narkisim"/>
          <w:b/>
          <w:bCs/>
          <w:rtl/>
        </w:rPr>
        <w:t>יעב"ץ</w:t>
      </w:r>
      <w:r w:rsidRPr="00D65870">
        <w:rPr>
          <w:rFonts w:ascii="Narkisim" w:hAnsi="Narkisim"/>
          <w:rtl/>
        </w:rPr>
        <w:t xml:space="preserve"> ביאר דחשדו שעשה כן מחמת גאוה, שאינו חושש לכבוד היושבים. ועבר אאזהרת זקן ויראת [דילפי' (קידושין לב:) דהזקן לא יטריח].</w:t>
      </w:r>
    </w:p>
    <w:p w14:paraId="25EFB0D8" w14:textId="77777777" w:rsidR="006C4368" w:rsidRPr="00D65870" w:rsidRDefault="006C4368" w:rsidP="006C4368">
      <w:pPr>
        <w:pStyle w:val="aa"/>
        <w:bidi/>
        <w:rPr>
          <w:rFonts w:ascii="Narkisim" w:hAnsi="Narkisim"/>
        </w:rPr>
      </w:pPr>
      <w:r w:rsidRPr="00D65870">
        <w:rPr>
          <w:rFonts w:ascii="Narkisim" w:hAnsi="Narkisim"/>
          <w:u w:val="single"/>
          <w:rtl/>
        </w:rPr>
        <w:t>א"ל רבי לאבדן</w:t>
      </w:r>
      <w:r w:rsidRPr="00D65870">
        <w:rPr>
          <w:rStyle w:val="ac"/>
          <w:rFonts w:ascii="Narkisim" w:hAnsi="Narkisim"/>
          <w:u w:val="single"/>
          <w:rtl/>
        </w:rPr>
        <w:footnoteReference w:id="6958"/>
      </w:r>
      <w:r w:rsidRPr="00D65870">
        <w:rPr>
          <w:rFonts w:ascii="Narkisim" w:hAnsi="Narkisim"/>
          <w:u w:val="single"/>
          <w:rtl/>
        </w:rPr>
        <w:t>, פוק בדקה וכו'</w:t>
      </w:r>
      <w:r w:rsidRPr="00D65870">
        <w:rPr>
          <w:rFonts w:ascii="Narkisim" w:hAnsi="Narkisim"/>
          <w:rtl/>
        </w:rPr>
        <w:t>. אך בגמ' (נדה מח:, הו' ברי"ף לקמן מ:) מבואר דכיון דהגיעו לכלל שנים, נבדקין ע"י נשים</w:t>
      </w:r>
      <w:r w:rsidRPr="00D65870">
        <w:rPr>
          <w:rStyle w:val="ac"/>
          <w:rFonts w:ascii="Narkisim" w:hAnsi="Narkisim"/>
          <w:rtl/>
        </w:rPr>
        <w:footnoteReference w:id="6959"/>
      </w:r>
      <w:r w:rsidRPr="00D65870">
        <w:rPr>
          <w:rFonts w:ascii="Narkisim" w:hAnsi="Narkisim"/>
          <w:rtl/>
        </w:rPr>
        <w:t>, וכדר' ישמעאל דמסר לאמו</w:t>
      </w:r>
      <w:r w:rsidRPr="00D65870">
        <w:rPr>
          <w:rStyle w:val="ac"/>
          <w:rFonts w:ascii="Narkisim" w:hAnsi="Narkisim"/>
          <w:rtl/>
        </w:rPr>
        <w:footnoteReference w:id="6960"/>
      </w:r>
      <w:r w:rsidRPr="00D65870">
        <w:rPr>
          <w:rFonts w:ascii="Narkisim" w:hAnsi="Narkisim"/>
          <w:rtl/>
        </w:rPr>
        <w:t>. [וצ"ל דשלח לו לבדוק ע"י נשים</w:t>
      </w:r>
      <w:r w:rsidRPr="00D65870">
        <w:rPr>
          <w:rStyle w:val="ac"/>
          <w:rFonts w:ascii="Narkisim" w:hAnsi="Narkisim"/>
          <w:rtl/>
        </w:rPr>
        <w:footnoteReference w:id="6961"/>
      </w:r>
      <w:r w:rsidRPr="00D65870">
        <w:rPr>
          <w:rFonts w:ascii="Narkisim" w:hAnsi="Narkisim"/>
          <w:rtl/>
        </w:rPr>
        <w:t>].</w:t>
      </w:r>
    </w:p>
    <w:p w14:paraId="77600E9B" w14:textId="77777777" w:rsidR="006C4368" w:rsidRPr="00D65870" w:rsidRDefault="006C4368" w:rsidP="006C4368">
      <w:pPr>
        <w:pStyle w:val="aa"/>
        <w:bidi/>
        <w:rPr>
          <w:rFonts w:ascii="Narkisim" w:hAnsi="Narkisim"/>
        </w:rPr>
      </w:pPr>
      <w:r w:rsidRPr="00D65870">
        <w:rPr>
          <w:rFonts w:ascii="Narkisim" w:hAnsi="Narkisim"/>
          <w:u w:val="single"/>
          <w:rtl/>
        </w:rPr>
        <w:t>תוד"ה מי</w:t>
      </w:r>
      <w:r w:rsidRPr="00D65870">
        <w:rPr>
          <w:rFonts w:ascii="Narkisim" w:hAnsi="Narkisim"/>
          <w:rtl/>
        </w:rPr>
        <w:t>. ובהוריות תניא וכו' יצא לצורך נכנס ויושב במקומו, פי' לצורך העם</w:t>
      </w:r>
      <w:r w:rsidRPr="00D65870">
        <w:rPr>
          <w:rStyle w:val="ac"/>
          <w:rFonts w:ascii="Narkisim" w:hAnsi="Narkisim"/>
          <w:rtl/>
        </w:rPr>
        <w:footnoteReference w:id="6962"/>
      </w:r>
      <w:r w:rsidRPr="00D65870">
        <w:rPr>
          <w:rFonts w:ascii="Narkisim" w:hAnsi="Narkisim"/>
          <w:rtl/>
        </w:rPr>
        <w:t xml:space="preserve"> וכו'. וב</w:t>
      </w:r>
      <w:r w:rsidRPr="00D65870">
        <w:rPr>
          <w:rFonts w:ascii="Narkisim" w:hAnsi="Narkisim"/>
          <w:b/>
          <w:bCs/>
          <w:rtl/>
        </w:rPr>
        <w:t>הג' הגר"א</w:t>
      </w:r>
      <w:r w:rsidRPr="00D65870">
        <w:rPr>
          <w:rFonts w:ascii="Narkisim" w:hAnsi="Narkisim"/>
          <w:rtl/>
        </w:rPr>
        <w:t xml:space="preserve"> (עה"ג) כת' צע"ג. דבגמ' (הוריות שם) מבואר דלצורך היינו לצורך נקביו</w:t>
      </w:r>
      <w:r w:rsidRPr="00D65870">
        <w:rPr>
          <w:rStyle w:val="ac"/>
          <w:rFonts w:ascii="Narkisim" w:hAnsi="Narkisim"/>
          <w:rtl/>
        </w:rPr>
        <w:footnoteReference w:id="6963"/>
      </w:r>
      <w:r w:rsidRPr="00D65870">
        <w:rPr>
          <w:rFonts w:ascii="Narkisim" w:hAnsi="Narkisim"/>
          <w:rtl/>
        </w:rPr>
        <w:t>. [וכה"ק ה</w:t>
      </w:r>
      <w:r w:rsidRPr="00D65870">
        <w:rPr>
          <w:rFonts w:ascii="Narkisim" w:hAnsi="Narkisim"/>
          <w:b/>
          <w:bCs/>
          <w:rtl/>
        </w:rPr>
        <w:t>באר שבע</w:t>
      </w:r>
      <w:r w:rsidRPr="00D65870">
        <w:rPr>
          <w:rFonts w:ascii="Narkisim" w:hAnsi="Narkisim"/>
          <w:rtl/>
        </w:rPr>
        <w:t xml:space="preserve"> הוריות שם]. ה</w:t>
      </w:r>
      <w:r w:rsidRPr="00D65870">
        <w:rPr>
          <w:rFonts w:ascii="Narkisim" w:hAnsi="Narkisim"/>
          <w:b/>
          <w:bCs/>
          <w:rtl/>
        </w:rPr>
        <w:t>מרומי שדה</w:t>
      </w:r>
      <w:r w:rsidRPr="00D65870">
        <w:rPr>
          <w:rFonts w:ascii="Narkisim" w:hAnsi="Narkisim"/>
          <w:rtl/>
        </w:rPr>
        <w:t xml:space="preserve"> (שם) כת' דתוס' נקטו דלצורך הוא בין לצורך העם ובין לצרכיו [ומש"ה נקט לצורך, ולא לצרכיו].</w:t>
      </w:r>
    </w:p>
    <w:p w14:paraId="3B1D3CBB" w14:textId="77777777" w:rsidR="006C4368" w:rsidRPr="00D65870" w:rsidRDefault="006C4368" w:rsidP="006C4368">
      <w:pPr>
        <w:bidi/>
        <w:rPr>
          <w:rFonts w:ascii="Narkisim" w:hAnsi="Narkisim" w:cs="Narkisim"/>
        </w:rPr>
      </w:pPr>
      <w:r w:rsidRPr="00D65870">
        <w:rPr>
          <w:rFonts w:ascii="Narkisim" w:hAnsi="Narkisim" w:cs="Narkisim"/>
          <w:u w:val="single"/>
          <w:rtl/>
        </w:rPr>
        <w:lastRenderedPageBreak/>
        <w:t>רבא אמר עד שתגיע לעונת נדרים</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שנה א' קודם לזמן ב' שערות. ואף לר' יוסי דל"צ 'אשה', אפ"ה צריך עונת נדרים. וה</w:t>
      </w:r>
      <w:r w:rsidRPr="00D65870">
        <w:rPr>
          <w:rFonts w:ascii="Narkisim" w:hAnsi="Narkisim" w:cs="Narkisim"/>
          <w:b/>
          <w:bCs/>
          <w:rtl/>
        </w:rPr>
        <w:t>פנ"י</w:t>
      </w:r>
      <w:r w:rsidRPr="00D65870">
        <w:rPr>
          <w:rFonts w:ascii="Narkisim" w:hAnsi="Narkisim" w:cs="Narkisim"/>
          <w:rtl/>
        </w:rPr>
        <w:t xml:space="preserve"> (גיטין סה.) ביאר בעינן בת דעת דחליצה בעי כוונה ולא מיקרי בת דעת אלא בהגיעה לעונת נדרים. והפנ"י ביאר דרבא סבר דחליצה צריך כוונת מצוות</w:t>
      </w:r>
      <w:r w:rsidRPr="00D65870">
        <w:rPr>
          <w:rStyle w:val="ac"/>
          <w:rFonts w:ascii="Narkisim" w:hAnsi="Narkisim" w:cs="Narkisim"/>
          <w:rtl/>
        </w:rPr>
        <w:footnoteReference w:id="6964"/>
      </w:r>
      <w:r w:rsidRPr="00D65870">
        <w:rPr>
          <w:rFonts w:ascii="Narkisim" w:hAnsi="Narkisim" w:cs="Narkisim"/>
          <w:rtl/>
        </w:rPr>
        <w:t>. ואידך מ"ד (ר' אמי) דחולצת בפעוטות ס"ל דסגי בקטן הראוי לכוונת קנינים</w:t>
      </w:r>
      <w:r w:rsidRPr="00D65870">
        <w:rPr>
          <w:rStyle w:val="ac"/>
          <w:rFonts w:ascii="Narkisim" w:hAnsi="Narkisim" w:cs="Narkisim"/>
          <w:rtl/>
        </w:rPr>
        <w:footnoteReference w:id="6965"/>
      </w:r>
      <w:r w:rsidRPr="00D65870">
        <w:rPr>
          <w:rFonts w:ascii="Narkisim" w:hAnsi="Narkisim" w:cs="Narkisim"/>
          <w:rtl/>
        </w:rPr>
        <w:t>.</w:t>
      </w:r>
    </w:p>
    <w:p w14:paraId="6BAFA57A"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רשב"א</w:t>
      </w:r>
      <w:r w:rsidRPr="00D65870">
        <w:rPr>
          <w:rFonts w:ascii="Narkisim" w:hAnsi="Narkisim" w:cs="Narkisim"/>
          <w:rtl/>
        </w:rPr>
        <w:t xml:space="preserve"> כת' דמדברי ה</w:t>
      </w:r>
      <w:r w:rsidRPr="00D65870">
        <w:rPr>
          <w:rFonts w:ascii="Narkisim" w:hAnsi="Narkisim" w:cs="Narkisim"/>
          <w:b/>
          <w:bCs/>
          <w:rtl/>
        </w:rPr>
        <w:t>רי"ף</w:t>
      </w:r>
      <w:r w:rsidRPr="00D65870">
        <w:rPr>
          <w:rFonts w:ascii="Narkisim" w:hAnsi="Narkisim" w:cs="Narkisim"/>
          <w:rtl/>
        </w:rPr>
        <w:t xml:space="preserve"> משמע דעונת נדרים דסוגיין היינו גדולה, דהיינו עונה שנדריה קיימין</w:t>
      </w:r>
      <w:r w:rsidRPr="00D65870">
        <w:rPr>
          <w:rStyle w:val="ac"/>
          <w:rFonts w:ascii="Narkisim" w:hAnsi="Narkisim" w:cs="Narkisim"/>
          <w:rtl/>
        </w:rPr>
        <w:footnoteReference w:id="6966"/>
      </w:r>
      <w:r w:rsidRPr="00D65870">
        <w:rPr>
          <w:rFonts w:ascii="Narkisim" w:hAnsi="Narkisim" w:cs="Narkisim"/>
          <w:rtl/>
        </w:rPr>
        <w:t>, מי"ב שנה ויום א' ולמעלה והביאה ב' שערות</w:t>
      </w:r>
      <w:r w:rsidRPr="00D65870">
        <w:rPr>
          <w:rStyle w:val="ac"/>
          <w:rFonts w:ascii="Narkisim" w:hAnsi="Narkisim" w:cs="Narkisim"/>
          <w:rtl/>
        </w:rPr>
        <w:footnoteReference w:id="6967"/>
      </w:r>
      <w:r w:rsidRPr="00D65870">
        <w:rPr>
          <w:rFonts w:ascii="Narkisim" w:hAnsi="Narkisim" w:cs="Narkisim"/>
          <w:rtl/>
        </w:rPr>
        <w:t>.</w:t>
      </w:r>
    </w:p>
    <w:p w14:paraId="4C6C2777" w14:textId="77777777" w:rsidR="006C4368" w:rsidRPr="00D65870" w:rsidRDefault="006C4368" w:rsidP="006C4368">
      <w:pPr>
        <w:bidi/>
        <w:rPr>
          <w:rFonts w:ascii="Narkisim" w:hAnsi="Narkisim" w:cs="Narkisim"/>
        </w:rPr>
      </w:pPr>
      <w:r w:rsidRPr="00D65870">
        <w:rPr>
          <w:rFonts w:ascii="Narkisim" w:hAnsi="Narkisim" w:cs="Narkisim"/>
          <w:u w:val="single"/>
          <w:rtl/>
        </w:rPr>
        <w:t>והלכתא עד שתביא ב' שערות</w:t>
      </w:r>
      <w:r w:rsidRPr="00D65870">
        <w:rPr>
          <w:rStyle w:val="ac"/>
          <w:rFonts w:ascii="Narkisim" w:hAnsi="Narkisim" w:cs="Narkisim"/>
          <w:rtl/>
        </w:rPr>
        <w:footnoteReference w:id="6968"/>
      </w:r>
      <w:r w:rsidRPr="00D65870">
        <w:rPr>
          <w:rFonts w:ascii="Narkisim" w:hAnsi="Narkisim" w:cs="Narkisim"/>
          <w:rtl/>
        </w:rPr>
        <w:t>. ובגמ' (ב"ב קנו.) אמר רב נחמן אמר שמואל דבודקים לחליצה. ולאפוקי מדר' יוסי. ומבואר דאך דידוע שהגיעו לשנים צריך בדיקה, ולא סמכינן אחזקה דרבא דהביאו סימנים</w:t>
      </w:r>
      <w:r w:rsidRPr="00D65870">
        <w:rPr>
          <w:rStyle w:val="ac"/>
          <w:rFonts w:ascii="Narkisim" w:hAnsi="Narkisim" w:cs="Narkisim"/>
          <w:rtl/>
        </w:rPr>
        <w:footnoteReference w:id="6969"/>
      </w:r>
      <w:r w:rsidRPr="00D65870">
        <w:rPr>
          <w:rFonts w:ascii="Narkisim" w:hAnsi="Narkisim" w:cs="Narkisim"/>
          <w:rtl/>
        </w:rPr>
        <w:t>.</w:t>
      </w:r>
    </w:p>
    <w:p w14:paraId="6C32DAAB"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וה</w:t>
      </w:r>
      <w:r w:rsidRPr="00D65870">
        <w:rPr>
          <w:rFonts w:ascii="Narkisim" w:hAnsi="Narkisim" w:cs="Narkisim"/>
          <w:b/>
          <w:bCs/>
          <w:rtl/>
        </w:rPr>
        <w:t>ראשונים</w:t>
      </w:r>
      <w:r w:rsidRPr="00D65870">
        <w:rPr>
          <w:rFonts w:ascii="Narkisim" w:hAnsi="Narkisim" w:cs="Narkisim"/>
          <w:rtl/>
        </w:rPr>
        <w:t xml:space="preserve"> כת' דדוקא הביאה שנים, דקי"ל דל"מ סימנים תוך הזמן.</w:t>
      </w:r>
    </w:p>
    <w:p w14:paraId="75FBB52C"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תוס'</w:t>
      </w:r>
      <w:r w:rsidRPr="00D65870">
        <w:rPr>
          <w:rFonts w:ascii="Narkisim" w:hAnsi="Narkisim"/>
          <w:rtl/>
        </w:rPr>
        <w:t xml:space="preserve"> (קידושין סג:, והרא"ש שם ג ט) דנו האם האב נאמן</w:t>
      </w:r>
      <w:r w:rsidRPr="00D65870">
        <w:rPr>
          <w:rStyle w:val="ac"/>
          <w:rFonts w:ascii="Narkisim" w:hAnsi="Narkisim"/>
          <w:rtl/>
        </w:rPr>
        <w:footnoteReference w:id="6970"/>
      </w:r>
      <w:r w:rsidRPr="00D65870">
        <w:rPr>
          <w:rFonts w:ascii="Narkisim" w:hAnsi="Narkisim"/>
          <w:rtl/>
        </w:rPr>
        <w:t xml:space="preserve"> על בנו ובתו שהגיעו לכלל שנים לחליצה. ואור"י דאי איכא ריבוי שערות או שהם גדולים בקומה תלינן שהגיעו לכלל שנים. ועוד תי' תוס'</w:t>
      </w:r>
      <w:r w:rsidRPr="00D65870">
        <w:rPr>
          <w:rStyle w:val="ac"/>
          <w:rFonts w:ascii="Narkisim" w:hAnsi="Narkisim"/>
          <w:rtl/>
        </w:rPr>
        <w:footnoteReference w:id="6971"/>
      </w:r>
      <w:r w:rsidRPr="00D65870">
        <w:rPr>
          <w:rFonts w:ascii="Narkisim" w:hAnsi="Narkisim"/>
          <w:rtl/>
        </w:rPr>
        <w:t xml:space="preserve"> דהיכא דיש סימנים תלינן שהוא גדול, ול"צ עדות על השנים.</w:t>
      </w:r>
    </w:p>
    <w:p w14:paraId="54625E48"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מרדכי</w:t>
      </w:r>
      <w:r w:rsidRPr="00D65870">
        <w:rPr>
          <w:rFonts w:ascii="Narkisim" w:hAnsi="Narkisim"/>
          <w:rtl/>
        </w:rPr>
        <w:t xml:space="preserve"> (סוף נח) הביא דצריך ב' עדים</w:t>
      </w:r>
      <w:r w:rsidRPr="00D65870">
        <w:rPr>
          <w:rStyle w:val="ac"/>
          <w:rFonts w:ascii="Narkisim" w:hAnsi="Narkisim"/>
          <w:rtl/>
        </w:rPr>
        <w:footnoteReference w:id="6972"/>
      </w:r>
      <w:r w:rsidRPr="00D65870">
        <w:rPr>
          <w:rFonts w:ascii="Narkisim" w:hAnsi="Narkisim"/>
          <w:rtl/>
        </w:rPr>
        <w:t xml:space="preserve"> שהגיעו לכלל שנים</w:t>
      </w:r>
      <w:r w:rsidRPr="00D65870">
        <w:rPr>
          <w:rStyle w:val="ac"/>
          <w:rFonts w:ascii="Narkisim" w:hAnsi="Narkisim"/>
          <w:rtl/>
        </w:rPr>
        <w:footnoteReference w:id="6973"/>
      </w:r>
      <w:r w:rsidRPr="00D65870">
        <w:rPr>
          <w:rFonts w:ascii="Narkisim" w:hAnsi="Narkisim"/>
          <w:rtl/>
        </w:rPr>
        <w:t>. וביאר דהיתר יבמה לשוק הוה דבר שבערוה, ול"מ עד א' באיסורין (ע' בסמוך).</w:t>
      </w:r>
    </w:p>
    <w:p w14:paraId="5CC7CF64" w14:textId="77777777" w:rsidR="006C4368" w:rsidRPr="00D65870" w:rsidRDefault="006C4368" w:rsidP="006C4368">
      <w:pPr>
        <w:pStyle w:val="2"/>
        <w:bidi/>
        <w:rPr>
          <w:rFonts w:ascii="Narkisim" w:hAnsi="Narkisim"/>
        </w:rPr>
      </w:pPr>
      <w:r w:rsidRPr="00D65870">
        <w:rPr>
          <w:rFonts w:ascii="Narkisim" w:hAnsi="Narkisim"/>
          <w:rtl/>
        </w:rPr>
        <w:t>חליצה בינו לבינה</w:t>
      </w:r>
    </w:p>
    <w:p w14:paraId="786C03FE" w14:textId="77777777" w:rsidR="006C4368" w:rsidRPr="00D65870" w:rsidRDefault="006C4368" w:rsidP="006C4368">
      <w:pPr>
        <w:bidi/>
        <w:rPr>
          <w:rFonts w:ascii="Narkisim" w:hAnsi="Narkisim" w:cs="Narkisim"/>
        </w:rPr>
      </w:pPr>
      <w:r w:rsidRPr="00D65870">
        <w:rPr>
          <w:rFonts w:ascii="Narkisim" w:hAnsi="Narkisim" w:cs="Narkisim"/>
          <w:u w:val="single"/>
          <w:rtl/>
        </w:rPr>
        <w:t>בינו לבינה מי ידענא, אר"י אמר שמואל ועדים רואים מבחוץ</w:t>
      </w:r>
      <w:r w:rsidRPr="00D65870">
        <w:rPr>
          <w:rFonts w:ascii="Narkisim" w:hAnsi="Narkisim" w:cs="Narkisim"/>
          <w:rtl/>
        </w:rPr>
        <w:t>. בפשוטו צריך עדות לברורי, דלא ידעינן שחלצה. [והם אינם נאמנים]. וכ"מ ב</w:t>
      </w:r>
      <w:r w:rsidRPr="00D65870">
        <w:rPr>
          <w:rFonts w:ascii="Narkisim" w:hAnsi="Narkisim" w:cs="Narkisim"/>
          <w:b/>
          <w:bCs/>
          <w:rtl/>
        </w:rPr>
        <w:t>ריטב"א</w:t>
      </w:r>
      <w:r w:rsidRPr="00D65870">
        <w:rPr>
          <w:rFonts w:ascii="Narkisim" w:hAnsi="Narkisim" w:cs="Narkisim"/>
          <w:rtl/>
        </w:rPr>
        <w:t xml:space="preserve"> בפי' הא'.</w:t>
      </w:r>
    </w:p>
    <w:p w14:paraId="62E23137" w14:textId="77777777" w:rsidR="006C4368" w:rsidRPr="00D65870" w:rsidRDefault="006C4368" w:rsidP="006C4368">
      <w:pPr>
        <w:pStyle w:val="a7"/>
        <w:bidi/>
        <w:rPr>
          <w:rFonts w:ascii="Narkisim" w:hAnsi="Narkisim"/>
        </w:rPr>
      </w:pPr>
      <w:r w:rsidRPr="00D65870">
        <w:rPr>
          <w:rFonts w:ascii="Narkisim" w:hAnsi="Narkisim"/>
          <w:rtl/>
        </w:rPr>
        <w:t>ועוד הביא ה</w:t>
      </w:r>
      <w:r w:rsidRPr="00D65870">
        <w:rPr>
          <w:rFonts w:ascii="Narkisim" w:hAnsi="Narkisim"/>
          <w:b/>
          <w:bCs/>
          <w:rtl/>
        </w:rPr>
        <w:t>ריטב"א</w:t>
      </w:r>
      <w:r w:rsidRPr="00D65870">
        <w:rPr>
          <w:rFonts w:ascii="Narkisim" w:hAnsi="Narkisim"/>
          <w:rtl/>
        </w:rPr>
        <w:t xml:space="preserve"> בשם </w:t>
      </w:r>
      <w:r w:rsidRPr="00D65870">
        <w:rPr>
          <w:rFonts w:ascii="Narkisim" w:hAnsi="Narkisim"/>
          <w:b/>
          <w:bCs/>
          <w:rtl/>
        </w:rPr>
        <w:t>י"מ</w:t>
      </w:r>
      <w:r w:rsidRPr="00D65870">
        <w:rPr>
          <w:rFonts w:ascii="Narkisim" w:hAnsi="Narkisim"/>
          <w:rtl/>
        </w:rPr>
        <w:t xml:space="preserve"> דקו' הגמ' דאין דבר שבערוה פחות מב', דהוה כאומר גרשתי או קדשתי בלא עדים, ואינו כלום</w:t>
      </w:r>
      <w:r w:rsidRPr="00D65870">
        <w:rPr>
          <w:rStyle w:val="ac"/>
          <w:rFonts w:ascii="Narkisim" w:hAnsi="Narkisim"/>
          <w:rtl/>
        </w:rPr>
        <w:footnoteReference w:id="6974"/>
      </w:r>
      <w:r w:rsidRPr="00D65870">
        <w:rPr>
          <w:rFonts w:ascii="Narkisim" w:hAnsi="Narkisim"/>
          <w:rtl/>
        </w:rPr>
        <w:t>. [וצריך עדות לקיומי]. וסיים דנכון הוא.</w:t>
      </w:r>
    </w:p>
    <w:p w14:paraId="1A86F442"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נתיבות</w:t>
      </w:r>
      <w:r w:rsidRPr="00D65870">
        <w:rPr>
          <w:rFonts w:ascii="Narkisim" w:hAnsi="Narkisim" w:cs="Narkisim"/>
          <w:rtl/>
        </w:rPr>
        <w:t xml:space="preserve"> (לו י, והו' בשו"ת רע"א ק' קכה בסופו) הביא מהגמ' כאן דחליצה ל"צ עדות לקיומי, דלר"ע מהני חליצה בינו לבינו. ולא הוי כמו גיטין וקדושין דלא מהני בלא עדים.</w:t>
      </w:r>
    </w:p>
    <w:p w14:paraId="46554352"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רע"א</w:t>
      </w:r>
      <w:r w:rsidRPr="00D65870">
        <w:rPr>
          <w:rFonts w:ascii="Narkisim" w:hAnsi="Narkisim"/>
          <w:rtl/>
        </w:rPr>
        <w:t xml:space="preserve"> דחה דנקרא בינו לבינה כיון דהוה בלא בי"ד, ולעולם איירי בעדים. דלהדיא אי' בגמ' דעדים רואים מבחוץ. והביא דה</w:t>
      </w:r>
      <w:r w:rsidRPr="00D65870">
        <w:rPr>
          <w:rFonts w:ascii="Narkisim" w:hAnsi="Narkisim"/>
          <w:b/>
          <w:bCs/>
          <w:rtl/>
        </w:rPr>
        <w:t>ריטב"א</w:t>
      </w:r>
      <w:r w:rsidRPr="00D65870">
        <w:rPr>
          <w:rFonts w:ascii="Narkisim" w:hAnsi="Narkisim"/>
          <w:rtl/>
        </w:rPr>
        <w:t xml:space="preserve"> וה</w:t>
      </w:r>
      <w:r w:rsidRPr="00D65870">
        <w:rPr>
          <w:rFonts w:ascii="Narkisim" w:hAnsi="Narkisim"/>
          <w:b/>
          <w:bCs/>
          <w:rtl/>
        </w:rPr>
        <w:t>נמוק"י</w:t>
      </w:r>
      <w:r w:rsidRPr="00D65870">
        <w:rPr>
          <w:rFonts w:ascii="Narkisim" w:hAnsi="Narkisim"/>
          <w:rtl/>
        </w:rPr>
        <w:t xml:space="preserve"> הביאו בזה ב' תי' אי הוה משום נאמנות </w:t>
      </w:r>
      <w:r w:rsidRPr="00D65870">
        <w:rPr>
          <w:rFonts w:ascii="Narkisim" w:hAnsi="Narkisim"/>
          <w:rtl/>
        </w:rPr>
        <w:lastRenderedPageBreak/>
        <w:t>או עדות לקיומי. הרי דמספק"ל האם הוא בכלל דבר שבערוה</w:t>
      </w:r>
      <w:r w:rsidRPr="00D65870">
        <w:rPr>
          <w:rStyle w:val="ac"/>
          <w:rFonts w:ascii="Narkisim" w:hAnsi="Narkisim"/>
          <w:rtl/>
        </w:rPr>
        <w:footnoteReference w:id="6975"/>
      </w:r>
      <w:r w:rsidRPr="00D65870">
        <w:rPr>
          <w:rFonts w:ascii="Narkisim" w:hAnsi="Narkisim"/>
          <w:rtl/>
        </w:rPr>
        <w:t>. ומשמע מדברי רע"א דשורש הנידון בגדר האיסור יבמה לשוק</w:t>
      </w:r>
      <w:r w:rsidRPr="00D65870">
        <w:rPr>
          <w:rStyle w:val="ac"/>
          <w:rFonts w:ascii="Narkisim" w:hAnsi="Narkisim"/>
          <w:rtl/>
        </w:rPr>
        <w:footnoteReference w:id="6976"/>
      </w:r>
      <w:r w:rsidRPr="00D65870">
        <w:rPr>
          <w:rFonts w:ascii="Narkisim" w:hAnsi="Narkisim"/>
          <w:rtl/>
        </w:rPr>
        <w:t>.</w:t>
      </w:r>
    </w:p>
    <w:p w14:paraId="5004753C" w14:textId="77777777" w:rsidR="006C4368" w:rsidRPr="00D65870" w:rsidRDefault="006C4368" w:rsidP="006C4368">
      <w:pPr>
        <w:pStyle w:val="a8"/>
        <w:bidi/>
        <w:rPr>
          <w:rFonts w:ascii="Narkisim" w:hAnsi="Narkisim"/>
        </w:rPr>
      </w:pPr>
      <w:r w:rsidRPr="00D65870">
        <w:rPr>
          <w:rFonts w:ascii="Narkisim" w:hAnsi="Narkisim"/>
          <w:rtl/>
        </w:rPr>
        <w:t>ועפ"ז כת' רע"א דראוי לייחד עדים בחליצה מלבד הבי"ד</w:t>
      </w:r>
      <w:r w:rsidRPr="00D65870">
        <w:rPr>
          <w:rStyle w:val="ac"/>
          <w:rFonts w:ascii="Narkisim" w:hAnsi="Narkisim"/>
          <w:rtl/>
        </w:rPr>
        <w:footnoteReference w:id="6977"/>
      </w:r>
      <w:r w:rsidRPr="00D65870">
        <w:rPr>
          <w:rFonts w:ascii="Narkisim" w:hAnsi="Narkisim"/>
          <w:rtl/>
        </w:rPr>
        <w:t>. [וכמו שמייחדים עדים לקידושין</w:t>
      </w:r>
      <w:r w:rsidRPr="00D65870">
        <w:rPr>
          <w:rStyle w:val="ac"/>
          <w:rFonts w:ascii="Narkisim" w:hAnsi="Narkisim"/>
          <w:rtl/>
        </w:rPr>
        <w:footnoteReference w:id="6978"/>
      </w:r>
      <w:r w:rsidRPr="00D65870">
        <w:rPr>
          <w:rFonts w:ascii="Narkisim" w:hAnsi="Narkisim"/>
          <w:rtl/>
        </w:rPr>
        <w:t>].</w:t>
      </w:r>
    </w:p>
    <w:p w14:paraId="56124D78" w14:textId="77777777" w:rsidR="006C4368" w:rsidRPr="00D65870" w:rsidRDefault="006C4368" w:rsidP="006C4368">
      <w:pPr>
        <w:bidi/>
        <w:rPr>
          <w:rFonts w:ascii="Narkisim" w:hAnsi="Narkisim" w:cs="Narkisim"/>
        </w:rPr>
      </w:pPr>
      <w:r w:rsidRPr="00D65870">
        <w:rPr>
          <w:rFonts w:ascii="Narkisim" w:hAnsi="Narkisim" w:cs="Narkisim"/>
          <w:rtl/>
        </w:rPr>
        <w:t>אבל ה</w:t>
      </w:r>
      <w:r w:rsidRPr="00D65870">
        <w:rPr>
          <w:rFonts w:ascii="Narkisim" w:hAnsi="Narkisim" w:cs="Narkisim"/>
          <w:b/>
          <w:bCs/>
          <w:rtl/>
        </w:rPr>
        <w:t>גר"ח</w:t>
      </w:r>
      <w:r w:rsidRPr="00D65870">
        <w:rPr>
          <w:rFonts w:ascii="Narkisim" w:hAnsi="Narkisim" w:cs="Narkisim"/>
          <w:rtl/>
        </w:rPr>
        <w:t xml:space="preserve"> (יבום ד) ביאר הסברא דמ"ד דחליצה ל"צ עדות לקיומי</w:t>
      </w:r>
      <w:r w:rsidRPr="00D65870">
        <w:rPr>
          <w:rStyle w:val="ac"/>
          <w:rFonts w:ascii="Narkisim" w:hAnsi="Narkisim" w:cs="Narkisim"/>
          <w:rtl/>
        </w:rPr>
        <w:footnoteReference w:id="6979"/>
      </w:r>
      <w:r w:rsidRPr="00D65870">
        <w:rPr>
          <w:rFonts w:ascii="Narkisim" w:hAnsi="Narkisim" w:cs="Narkisim"/>
          <w:rtl/>
        </w:rPr>
        <w:t>, דהוה כמו חלות שנעשית ממילא</w:t>
      </w:r>
      <w:r w:rsidRPr="00D65870">
        <w:rPr>
          <w:rStyle w:val="ac"/>
          <w:rFonts w:ascii="Narkisim" w:hAnsi="Narkisim" w:cs="Narkisim"/>
          <w:rtl/>
        </w:rPr>
        <w:footnoteReference w:id="6980"/>
      </w:r>
      <w:r w:rsidRPr="00D65870">
        <w:rPr>
          <w:rFonts w:ascii="Narkisim" w:hAnsi="Narkisim" w:cs="Narkisim"/>
          <w:rtl/>
        </w:rPr>
        <w:t>.</w:t>
      </w:r>
    </w:p>
    <w:p w14:paraId="1732EA29" w14:textId="77777777" w:rsidR="006C4368" w:rsidRPr="00D65870" w:rsidRDefault="006C4368" w:rsidP="006C4368">
      <w:pPr>
        <w:pStyle w:val="a8"/>
        <w:bidi/>
        <w:rPr>
          <w:rFonts w:ascii="Narkisim" w:hAnsi="Narkisim"/>
        </w:rPr>
      </w:pPr>
      <w:r w:rsidRPr="00D65870">
        <w:rPr>
          <w:rFonts w:ascii="Narkisim" w:hAnsi="Narkisim"/>
          <w:rtl/>
        </w:rPr>
        <w:t>וביאר דדוקא גיטין וקדושין הבעל עושה את עצם הגירושין והקידושין, ופועל האיסור וההיתר, ומש"ה צריך עדים לקיומי. אבל דין כוונה בחליצה לא הוה עשיה של בעלות, אלא כוונת המעשה. והפטור הוה ממילא משום דין התורה. ומש"ה ל"צ עדות לקיומי.</w:t>
      </w:r>
    </w:p>
    <w:p w14:paraId="174DDA26" w14:textId="77777777" w:rsidR="006C4368" w:rsidRPr="00D65870" w:rsidRDefault="006C4368" w:rsidP="006C4368">
      <w:pPr>
        <w:pStyle w:val="aa"/>
        <w:bidi/>
        <w:rPr>
          <w:rFonts w:ascii="Narkisim" w:hAnsi="Narkisim"/>
        </w:rPr>
      </w:pPr>
      <w:r w:rsidRPr="00D65870">
        <w:rPr>
          <w:rFonts w:ascii="Narkisim" w:hAnsi="Narkisim"/>
          <w:rtl/>
        </w:rPr>
        <w:t>ועוד נח' ה</w:t>
      </w:r>
      <w:r w:rsidRPr="00D65870">
        <w:rPr>
          <w:rFonts w:ascii="Narkisim" w:hAnsi="Narkisim"/>
          <w:b/>
          <w:bCs/>
          <w:rtl/>
        </w:rPr>
        <w:t>ראשונים</w:t>
      </w:r>
      <w:r w:rsidRPr="00D65870">
        <w:rPr>
          <w:rFonts w:ascii="Narkisim" w:hAnsi="Narkisim"/>
          <w:rtl/>
        </w:rPr>
        <w:t xml:space="preserve"> (הו' לעיל נב. ולקמן קיא:) האם יבום צריך עדות לקיומי</w:t>
      </w:r>
      <w:r w:rsidRPr="00D65870">
        <w:rPr>
          <w:rStyle w:val="ac"/>
          <w:rFonts w:ascii="Narkisim" w:hAnsi="Narkisim"/>
          <w:rtl/>
        </w:rPr>
        <w:footnoteReference w:id="6981"/>
      </w:r>
      <w:r w:rsidRPr="00D65870">
        <w:rPr>
          <w:rFonts w:ascii="Narkisim" w:hAnsi="Narkisim"/>
          <w:rtl/>
        </w:rPr>
        <w:t>. והגר"ח ביאר את הצד דיבום ל"צ עדות לקיומי עד"ז, דלא נחשב שהוא פועל את הקנין. אלא אשה הקנו לו מן השמים</w:t>
      </w:r>
      <w:r w:rsidRPr="00D65870">
        <w:rPr>
          <w:rStyle w:val="ac"/>
          <w:rFonts w:ascii="Narkisim" w:hAnsi="Narkisim"/>
          <w:rtl/>
        </w:rPr>
        <w:footnoteReference w:id="6982"/>
      </w:r>
      <w:r w:rsidRPr="00D65870">
        <w:rPr>
          <w:rFonts w:ascii="Narkisim" w:hAnsi="Narkisim"/>
          <w:rtl/>
        </w:rPr>
        <w:t>.</w:t>
      </w:r>
    </w:p>
    <w:p w14:paraId="20B6A093" w14:textId="77777777" w:rsidR="006C4368" w:rsidRPr="00D65870" w:rsidRDefault="006C4368" w:rsidP="006C4368">
      <w:pPr>
        <w:bidi/>
        <w:rPr>
          <w:rFonts w:ascii="Narkisim" w:hAnsi="Narkisim" w:cs="Narkisim"/>
        </w:rPr>
      </w:pPr>
      <w:r w:rsidRPr="00D65870">
        <w:rPr>
          <w:rFonts w:ascii="Narkisim" w:hAnsi="Narkisim" w:cs="Narkisim"/>
          <w:u w:val="single"/>
          <w:rtl/>
        </w:rPr>
        <w:t>שם. מי ידענא</w:t>
      </w:r>
      <w:r w:rsidRPr="00D65870">
        <w:rPr>
          <w:rFonts w:ascii="Narkisim" w:hAnsi="Narkisim" w:cs="Narkisim"/>
          <w:rtl/>
        </w:rPr>
        <w:t>. לתי' הא' בריטב"א (הנ"ל) כוונת הגמ' דצריך עדות לברר ולהתיר איסור יבמה לשוק. וה</w:t>
      </w:r>
      <w:r w:rsidRPr="00D65870">
        <w:rPr>
          <w:rFonts w:ascii="Narkisim" w:hAnsi="Narkisim" w:cs="Narkisim"/>
          <w:b/>
          <w:bCs/>
          <w:rtl/>
        </w:rPr>
        <w:t>אחרונים</w:t>
      </w:r>
      <w:r w:rsidRPr="00D65870">
        <w:rPr>
          <w:rFonts w:ascii="Narkisim" w:hAnsi="Narkisim" w:cs="Narkisim"/>
          <w:rtl/>
        </w:rPr>
        <w:t xml:space="preserve"> דייקו דלא סגי בעד א' על החליצה. ובפשוטו מבואר דאיסור יבמה לשוק נחשב דבר שבערוה. [וכמ"ש הי"מ בריטב"א לענין עדות קיומי]. </w:t>
      </w:r>
      <w:r w:rsidRPr="00D65870">
        <w:rPr>
          <w:rFonts w:ascii="Narkisim" w:hAnsi="Narkisim" w:cs="Narkisim"/>
          <w:szCs w:val="20"/>
          <w:rtl/>
        </w:rPr>
        <w:t>וה</w:t>
      </w:r>
      <w:r w:rsidRPr="00D65870">
        <w:rPr>
          <w:rFonts w:ascii="Narkisim" w:hAnsi="Narkisim" w:cs="Narkisim"/>
          <w:b/>
          <w:bCs/>
          <w:szCs w:val="20"/>
          <w:rtl/>
        </w:rPr>
        <w:t>מרדכי</w:t>
      </w:r>
      <w:r w:rsidRPr="00D65870">
        <w:rPr>
          <w:rFonts w:ascii="Narkisim" w:hAnsi="Narkisim" w:cs="Narkisim"/>
          <w:szCs w:val="20"/>
          <w:rtl/>
        </w:rPr>
        <w:t xml:space="preserve"> (נח) כת' דהיתר יבמה לשוק היא ערוה, ואין דבר שבערוה פחות מב'. כיון דלא תפסי בה קידושין</w:t>
      </w:r>
      <w:r w:rsidRPr="00D65870">
        <w:rPr>
          <w:rStyle w:val="ac"/>
          <w:rFonts w:ascii="Narkisim" w:hAnsi="Narkisim" w:cs="Narkisim"/>
          <w:szCs w:val="20"/>
          <w:rtl/>
        </w:rPr>
        <w:footnoteReference w:id="6983"/>
      </w:r>
      <w:r w:rsidRPr="00D65870">
        <w:rPr>
          <w:rFonts w:ascii="Narkisim" w:hAnsi="Narkisim" w:cs="Narkisim"/>
          <w:rtl/>
        </w:rPr>
        <w:t>.</w:t>
      </w:r>
    </w:p>
    <w:p w14:paraId="193AE6CB" w14:textId="77777777" w:rsidR="006C4368" w:rsidRPr="00D65870" w:rsidRDefault="006C4368" w:rsidP="006C4368">
      <w:pPr>
        <w:pStyle w:val="a7"/>
        <w:bidi/>
        <w:rPr>
          <w:rFonts w:ascii="Narkisim" w:hAnsi="Narkisim"/>
        </w:rPr>
      </w:pPr>
      <w:r w:rsidRPr="00D65870">
        <w:rPr>
          <w:rFonts w:ascii="Narkisim" w:hAnsi="Narkisim"/>
          <w:rtl/>
        </w:rPr>
        <w:t>אבל דעת ה</w:t>
      </w:r>
      <w:r w:rsidRPr="00D65870">
        <w:rPr>
          <w:rFonts w:ascii="Narkisim" w:hAnsi="Narkisim"/>
          <w:b/>
          <w:bCs/>
          <w:rtl/>
        </w:rPr>
        <w:t>נוב"י</w:t>
      </w:r>
      <w:r w:rsidRPr="00D65870">
        <w:rPr>
          <w:rFonts w:ascii="Narkisim" w:hAnsi="Narkisim"/>
          <w:rtl/>
        </w:rPr>
        <w:t xml:space="preserve"> (ק' נד) דאיסור יבמה לשוק הוה לאו בעלמא, ועד א' נאמן. [ו</w:t>
      </w:r>
      <w:r w:rsidRPr="00D65870">
        <w:rPr>
          <w:rFonts w:ascii="Narkisim" w:hAnsi="Narkisim"/>
          <w:b/>
          <w:bCs/>
          <w:rtl/>
        </w:rPr>
        <w:t>רע"א</w:t>
      </w:r>
      <w:r w:rsidRPr="00D65870">
        <w:rPr>
          <w:rFonts w:ascii="Narkisim" w:hAnsi="Narkisim"/>
          <w:rtl/>
        </w:rPr>
        <w:t xml:space="preserve"> (ק' קכד) הק' מהגמ' (לעיל צג:) דדנו בעד א' ביבמה. ונתבאר לעיל שם].</w:t>
      </w:r>
    </w:p>
    <w:p w14:paraId="03B4C6DA"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מנח"ח</w:t>
      </w:r>
      <w:r w:rsidRPr="00D65870">
        <w:rPr>
          <w:rFonts w:ascii="Narkisim" w:hAnsi="Narkisim"/>
          <w:rtl/>
        </w:rPr>
        <w:t xml:space="preserve"> (תקצט) כת' דסוגיין קאי לר' עקיבא, ור"ע ס"ל דאין קדושין תופסין בחייבי לאוין, ואף יבמה לשוק לא תפסי קידושין והולד ממזר, וע"כ הוי דבר שבערוה. אבל לדידן דקי"ל כשמואל (לעיל צב:) דצריכה גט מספק, א"כ הוי רק ספק דבשב"ע [וכדברי המרדכי הנ"ל].</w:t>
      </w:r>
    </w:p>
    <w:p w14:paraId="493D4926"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וה</w:t>
      </w:r>
      <w:r w:rsidRPr="00D65870">
        <w:rPr>
          <w:rFonts w:ascii="Narkisim" w:hAnsi="Narkisim" w:cs="Narkisim"/>
          <w:b/>
          <w:bCs/>
          <w:rtl/>
        </w:rPr>
        <w:t>רשב"א</w:t>
      </w:r>
      <w:r w:rsidRPr="00D65870">
        <w:rPr>
          <w:rFonts w:ascii="Narkisim" w:hAnsi="Narkisim" w:cs="Narkisim"/>
          <w:rtl/>
        </w:rPr>
        <w:t xml:space="preserve"> וה</w:t>
      </w:r>
      <w:r w:rsidRPr="00D65870">
        <w:rPr>
          <w:rFonts w:ascii="Narkisim" w:hAnsi="Narkisim" w:cs="Narkisim"/>
          <w:b/>
          <w:bCs/>
          <w:rtl/>
        </w:rPr>
        <w:t>ריטב"א</w:t>
      </w:r>
      <w:r w:rsidRPr="00D65870">
        <w:rPr>
          <w:rFonts w:ascii="Narkisim" w:hAnsi="Narkisim" w:cs="Narkisim"/>
          <w:rtl/>
        </w:rPr>
        <w:t xml:space="preserve"> הק' דהיכא דשניהם מודים יהיו נאמנים, כיון דבידו לחלוץ</w:t>
      </w:r>
      <w:r w:rsidRPr="00D65870">
        <w:rPr>
          <w:rStyle w:val="ac"/>
          <w:rFonts w:ascii="Narkisim" w:hAnsi="Narkisim" w:cs="Narkisim"/>
          <w:rtl/>
        </w:rPr>
        <w:footnoteReference w:id="6984"/>
      </w:r>
      <w:r w:rsidRPr="00D65870">
        <w:rPr>
          <w:rFonts w:ascii="Narkisim" w:hAnsi="Narkisim" w:cs="Narkisim"/>
          <w:rtl/>
        </w:rPr>
        <w:t xml:space="preserve">. </w:t>
      </w:r>
      <w:r w:rsidRPr="00D65870">
        <w:rPr>
          <w:rFonts w:ascii="Narkisim" w:hAnsi="Narkisim" w:cs="Narkisim"/>
          <w:szCs w:val="20"/>
          <w:rtl/>
        </w:rPr>
        <w:t>ומשמע בריטב"א דהק' קו' זו דוקא לתי' הא' דל"צ עדות לקיומי. אבל אי צריך עדות לקיומי ל"מ בידו</w:t>
      </w:r>
      <w:r w:rsidRPr="00D65870">
        <w:rPr>
          <w:rStyle w:val="ac"/>
          <w:rFonts w:ascii="Narkisim" w:hAnsi="Narkisim" w:cs="Narkisim"/>
          <w:szCs w:val="20"/>
          <w:rtl/>
        </w:rPr>
        <w:footnoteReference w:id="6985"/>
      </w:r>
      <w:r w:rsidRPr="00D65870">
        <w:rPr>
          <w:rFonts w:ascii="Narkisim" w:hAnsi="Narkisim" w:cs="Narkisim"/>
          <w:szCs w:val="20"/>
          <w:rtl/>
        </w:rPr>
        <w:t xml:space="preserve">. אבל כמה </w:t>
      </w:r>
      <w:r w:rsidRPr="00D65870">
        <w:rPr>
          <w:rFonts w:ascii="Narkisim" w:hAnsi="Narkisim" w:cs="Narkisim"/>
          <w:b/>
          <w:bCs/>
          <w:szCs w:val="20"/>
          <w:rtl/>
        </w:rPr>
        <w:t>אחרונים</w:t>
      </w:r>
      <w:r w:rsidRPr="00D65870">
        <w:rPr>
          <w:rFonts w:ascii="Narkisim" w:hAnsi="Narkisim" w:cs="Narkisim"/>
          <w:szCs w:val="20"/>
          <w:rtl/>
        </w:rPr>
        <w:t xml:space="preserve"> (נתיבות לו י) הביאו דמדברי ה</w:t>
      </w:r>
      <w:r w:rsidRPr="00D65870">
        <w:rPr>
          <w:rFonts w:ascii="Narkisim" w:hAnsi="Narkisim" w:cs="Narkisim"/>
          <w:b/>
          <w:bCs/>
          <w:szCs w:val="20"/>
          <w:rtl/>
        </w:rPr>
        <w:t>נמוק"י</w:t>
      </w:r>
      <w:r w:rsidRPr="00D65870">
        <w:rPr>
          <w:rFonts w:ascii="Narkisim" w:hAnsi="Narkisim" w:cs="Narkisim"/>
          <w:szCs w:val="20"/>
          <w:rtl/>
        </w:rPr>
        <w:t xml:space="preserve"> מבואר דאף לצד דצריך עדות לקיומי מהני 'בידו'. וה</w:t>
      </w:r>
      <w:r w:rsidRPr="00D65870">
        <w:rPr>
          <w:rFonts w:ascii="Narkisim" w:hAnsi="Narkisim" w:cs="Narkisim"/>
          <w:b/>
          <w:bCs/>
          <w:szCs w:val="20"/>
          <w:rtl/>
        </w:rPr>
        <w:t>נתיבות</w:t>
      </w:r>
      <w:r w:rsidRPr="00D65870">
        <w:rPr>
          <w:rFonts w:ascii="Narkisim" w:hAnsi="Narkisim" w:cs="Narkisim"/>
          <w:szCs w:val="20"/>
          <w:rtl/>
        </w:rPr>
        <w:t xml:space="preserve"> </w:t>
      </w:r>
      <w:r w:rsidRPr="00D65870">
        <w:rPr>
          <w:rFonts w:ascii="Narkisim" w:hAnsi="Narkisim" w:cs="Narkisim"/>
          <w:szCs w:val="20"/>
          <w:rtl/>
        </w:rPr>
        <w:lastRenderedPageBreak/>
        <w:t>הביא דהא דבעינן עדות לקיומי הוא כדי שיוכל לבא לידי בירור</w:t>
      </w:r>
      <w:r w:rsidRPr="00D65870">
        <w:rPr>
          <w:rStyle w:val="ac"/>
          <w:rFonts w:ascii="Narkisim" w:hAnsi="Narkisim" w:cs="Narkisim"/>
          <w:szCs w:val="20"/>
          <w:rtl/>
        </w:rPr>
        <w:footnoteReference w:id="6986"/>
      </w:r>
      <w:r w:rsidRPr="00D65870">
        <w:rPr>
          <w:rFonts w:ascii="Narkisim" w:hAnsi="Narkisim" w:cs="Narkisim"/>
          <w:szCs w:val="20"/>
          <w:rtl/>
        </w:rPr>
        <w:t>, וה"נ היבם והיבמה נאמנים משום בידו</w:t>
      </w:r>
      <w:r w:rsidRPr="00D65870">
        <w:rPr>
          <w:rStyle w:val="ac"/>
          <w:rFonts w:ascii="Narkisim" w:hAnsi="Narkisim" w:cs="Narkisim"/>
          <w:szCs w:val="20"/>
          <w:rtl/>
        </w:rPr>
        <w:footnoteReference w:id="6987"/>
      </w:r>
      <w:r w:rsidRPr="00D65870">
        <w:rPr>
          <w:rFonts w:ascii="Narkisim" w:hAnsi="Narkisim" w:cs="Narkisim"/>
          <w:szCs w:val="20"/>
          <w:rtl/>
        </w:rPr>
        <w:t>, וסגי בירור זה לקיומי</w:t>
      </w:r>
      <w:r w:rsidRPr="00D65870">
        <w:rPr>
          <w:rStyle w:val="ac"/>
          <w:rFonts w:ascii="Narkisim" w:hAnsi="Narkisim" w:cs="Narkisim"/>
          <w:szCs w:val="20"/>
          <w:rtl/>
        </w:rPr>
        <w:footnoteReference w:id="6988"/>
      </w:r>
      <w:r w:rsidRPr="00D65870">
        <w:rPr>
          <w:rFonts w:ascii="Narkisim" w:hAnsi="Narkisim" w:cs="Narkisim"/>
          <w:szCs w:val="20"/>
          <w:rtl/>
        </w:rPr>
        <w:t>. [אך ה</w:t>
      </w:r>
      <w:r w:rsidRPr="00D65870">
        <w:rPr>
          <w:rFonts w:ascii="Narkisim" w:hAnsi="Narkisim" w:cs="Narkisim"/>
          <w:b/>
          <w:bCs/>
          <w:szCs w:val="20"/>
          <w:rtl/>
        </w:rPr>
        <w:t>אחרונים</w:t>
      </w:r>
      <w:r w:rsidRPr="00D65870">
        <w:rPr>
          <w:rFonts w:ascii="Narkisim" w:hAnsi="Narkisim" w:cs="Narkisim"/>
          <w:szCs w:val="20"/>
          <w:rtl/>
        </w:rPr>
        <w:t xml:space="preserve"> בתראי דנו דצריך לתקן דברי הנמוק"י ע"פ חי' הריטב"א]</w:t>
      </w:r>
      <w:r w:rsidRPr="00D65870">
        <w:rPr>
          <w:rFonts w:ascii="Narkisim" w:hAnsi="Narkisim" w:cs="Narkisim"/>
          <w:rtl/>
        </w:rPr>
        <w:t>.</w:t>
      </w:r>
    </w:p>
    <w:p w14:paraId="4F2C1A3C"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ו</w:t>
      </w:r>
      <w:r w:rsidRPr="00D65870">
        <w:rPr>
          <w:rFonts w:ascii="Narkisim" w:hAnsi="Narkisim"/>
          <w:b/>
          <w:bCs/>
          <w:rtl/>
        </w:rPr>
        <w:t>ריטב"א</w:t>
      </w:r>
      <w:r w:rsidRPr="00D65870">
        <w:rPr>
          <w:rFonts w:ascii="Narkisim" w:hAnsi="Narkisim"/>
          <w:rtl/>
        </w:rPr>
        <w:t xml:space="preserve"> תי' דקי"ל (ב"ב קלה.) דבעל שאמר גרשתי את אשתי אינו נאמן לגמרי, דאמרי' חוש לה.</w:t>
      </w:r>
    </w:p>
    <w:p w14:paraId="69F74B0F"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אחיעזר</w:t>
      </w:r>
      <w:r w:rsidRPr="00D65870">
        <w:rPr>
          <w:rFonts w:ascii="Narkisim" w:hAnsi="Narkisim"/>
          <w:rtl/>
        </w:rPr>
        <w:t xml:space="preserve"> (ג ס"ס כט) דן דהכא איירי באיסור יבמה לשוק [ולא באיסור אשת איש], ולא מצאנו דהחמירו כמו באשת איש דחוש לה</w:t>
      </w:r>
      <w:r w:rsidRPr="00D65870">
        <w:rPr>
          <w:rStyle w:val="ac"/>
          <w:rFonts w:ascii="Narkisim" w:hAnsi="Narkisim"/>
          <w:rtl/>
        </w:rPr>
        <w:footnoteReference w:id="6989"/>
      </w:r>
      <w:r w:rsidRPr="00D65870">
        <w:rPr>
          <w:rFonts w:ascii="Narkisim" w:hAnsi="Narkisim"/>
          <w:rtl/>
        </w:rPr>
        <w:t>. ועוד דגבי אשת איש הטעם שהחמירו משום דאם איתא דגירשה קלא אית ליה, דכיון שידוע שהיה לה בעל היה קול לגירושין. אבל ביבמה ל"ש בזה קול, שאין ידוע כלל לעלמא שהיא זקוקה ליבם. וכה"ק בחי' חמד"ש דאי נימא דמהני בינו לבינה ול"צ עדים לחליצה א"כ אמאי יהא לזה קול.</w:t>
      </w:r>
    </w:p>
    <w:p w14:paraId="4F07616E" w14:textId="77777777" w:rsidR="006C4368" w:rsidRPr="00D65870" w:rsidRDefault="006C4368" w:rsidP="006C4368">
      <w:pPr>
        <w:bidi/>
        <w:rPr>
          <w:rFonts w:ascii="Narkisim" w:hAnsi="Narkisim" w:cs="Narkisim"/>
        </w:rPr>
      </w:pPr>
      <w:r w:rsidRPr="00D65870">
        <w:rPr>
          <w:rFonts w:ascii="Narkisim" w:hAnsi="Narkisim" w:cs="Narkisim"/>
          <w:u w:val="single"/>
          <w:rtl/>
        </w:rPr>
        <w:t>שם. ועדים רואים מבחוץ</w:t>
      </w:r>
      <w:r w:rsidRPr="00D65870">
        <w:rPr>
          <w:rFonts w:ascii="Narkisim" w:hAnsi="Narkisim" w:cs="Narkisim"/>
          <w:rtl/>
        </w:rPr>
        <w:t>. בפשוטו משמע דהיבם ויבמה לא ידעו שיש עדים, ואפ"ה מהני, ואף לצד בריטב"א דצריך עדות לקיומי. וה</w:t>
      </w:r>
      <w:r w:rsidRPr="00D65870">
        <w:rPr>
          <w:rFonts w:ascii="Narkisim" w:hAnsi="Narkisim" w:cs="Narkisim"/>
          <w:b/>
          <w:bCs/>
          <w:rtl/>
        </w:rPr>
        <w:t>אחרונים</w:t>
      </w:r>
      <w:r w:rsidRPr="00D65870">
        <w:rPr>
          <w:rFonts w:ascii="Narkisim" w:hAnsi="Narkisim" w:cs="Narkisim"/>
          <w:rtl/>
        </w:rPr>
        <w:t xml:space="preserve"> הק' דה</w:t>
      </w:r>
      <w:r w:rsidRPr="00D65870">
        <w:rPr>
          <w:rFonts w:ascii="Narkisim" w:hAnsi="Narkisim" w:cs="Narkisim"/>
          <w:b/>
          <w:bCs/>
          <w:rtl/>
        </w:rPr>
        <w:t>ריטב"א</w:t>
      </w:r>
      <w:r w:rsidRPr="00D65870">
        <w:rPr>
          <w:rFonts w:ascii="Narkisim" w:hAnsi="Narkisim" w:cs="Narkisim"/>
          <w:rtl/>
        </w:rPr>
        <w:t xml:space="preserve"> (קידושין מג. בחד תי') כת' דבקידושין ל"מ הטמין לה עדים אחורי הגדר, דבדבר שגוף הדבר צריך לעדות לא חשיבא עדות אחורי הגדר. ומהני דוקא בדבר שצריך עדות משום שקרא</w:t>
      </w:r>
      <w:r w:rsidRPr="00D65870">
        <w:rPr>
          <w:rStyle w:val="ac"/>
          <w:rFonts w:ascii="Narkisim" w:hAnsi="Narkisim" w:cs="Narkisim"/>
          <w:rtl/>
        </w:rPr>
        <w:footnoteReference w:id="6990"/>
      </w:r>
      <w:r w:rsidRPr="00D65870">
        <w:rPr>
          <w:rFonts w:ascii="Narkisim" w:hAnsi="Narkisim" w:cs="Narkisim"/>
          <w:rtl/>
        </w:rPr>
        <w:t>. וצ"ב טעם הדבר</w:t>
      </w:r>
      <w:r w:rsidRPr="00D65870">
        <w:rPr>
          <w:rStyle w:val="ac"/>
          <w:rFonts w:ascii="Narkisim" w:hAnsi="Narkisim" w:cs="Narkisim"/>
          <w:rtl/>
        </w:rPr>
        <w:footnoteReference w:id="6991"/>
      </w:r>
      <w:r w:rsidRPr="00D65870">
        <w:rPr>
          <w:rFonts w:ascii="Narkisim" w:hAnsi="Narkisim" w:cs="Narkisim"/>
          <w:rtl/>
        </w:rPr>
        <w:t>. ועכ"פ קשה לי"מ בריטב"א דצריך עדות לקיומי, א"כ האיך מהני דהעדים רואים מבחוץ.</w:t>
      </w:r>
    </w:p>
    <w:p w14:paraId="693190C6" w14:textId="77777777" w:rsidR="006C4368" w:rsidRPr="00D65870" w:rsidRDefault="006C4368" w:rsidP="006C4368">
      <w:pPr>
        <w:pStyle w:val="a8"/>
        <w:bidi/>
        <w:rPr>
          <w:rFonts w:ascii="Narkisim" w:hAnsi="Narkisim"/>
        </w:rPr>
      </w:pPr>
      <w:r w:rsidRPr="00D65870">
        <w:rPr>
          <w:rFonts w:ascii="Narkisim" w:hAnsi="Narkisim"/>
          <w:rtl/>
        </w:rPr>
        <w:t>אבל ה</w:t>
      </w:r>
      <w:r w:rsidRPr="00D65870">
        <w:rPr>
          <w:rFonts w:ascii="Narkisim" w:hAnsi="Narkisim"/>
          <w:b/>
          <w:bCs/>
          <w:rtl/>
        </w:rPr>
        <w:t>רשב"א</w:t>
      </w:r>
      <w:r w:rsidRPr="00D65870">
        <w:rPr>
          <w:rFonts w:ascii="Narkisim" w:hAnsi="Narkisim"/>
          <w:rtl/>
        </w:rPr>
        <w:t xml:space="preserve"> (שם, והריטב"א בתי' הב') כת' דל"מ עדות אחורי הגדר משום דמצי אמרה ששתקה וקבלה הקידושין משום דסבורה דלא היו עדים. וסבורה דהמעשה ל"מ כלל. וכ"כ ה</w:t>
      </w:r>
      <w:r w:rsidRPr="00D65870">
        <w:rPr>
          <w:rFonts w:ascii="Narkisim" w:hAnsi="Narkisim"/>
          <w:b/>
          <w:bCs/>
          <w:rtl/>
        </w:rPr>
        <w:t>רמ"א</w:t>
      </w:r>
      <w:r w:rsidRPr="00D65870">
        <w:rPr>
          <w:rFonts w:ascii="Narkisim" w:hAnsi="Narkisim"/>
          <w:rtl/>
        </w:rPr>
        <w:t xml:space="preserve"> (מב ג) בשם הריב"ש (רסו)</w:t>
      </w:r>
      <w:r w:rsidRPr="00D65870">
        <w:rPr>
          <w:rStyle w:val="ac"/>
          <w:rFonts w:ascii="Narkisim" w:hAnsi="Narkisim"/>
          <w:rtl/>
        </w:rPr>
        <w:footnoteReference w:id="6992"/>
      </w:r>
      <w:r w:rsidRPr="00D65870">
        <w:rPr>
          <w:rFonts w:ascii="Narkisim" w:hAnsi="Narkisim"/>
          <w:rtl/>
        </w:rPr>
        <w:t>. וה</w:t>
      </w:r>
      <w:r w:rsidRPr="00D65870">
        <w:rPr>
          <w:rFonts w:ascii="Narkisim" w:hAnsi="Narkisim"/>
          <w:b/>
          <w:bCs/>
          <w:rtl/>
        </w:rPr>
        <w:t>מנח"ח</w:t>
      </w:r>
      <w:r w:rsidRPr="00D65870">
        <w:rPr>
          <w:rFonts w:ascii="Narkisim" w:hAnsi="Narkisim"/>
          <w:rtl/>
        </w:rPr>
        <w:t xml:space="preserve"> (תקצט) כת' דלטעם זה אף לצד דיבום צריך עדות לקיומי, מ"מ מהני עדים מבחוץ. דאף שנתכוונו לשם שחוק וכדו' מהני ביבום</w:t>
      </w:r>
      <w:r w:rsidRPr="00D65870">
        <w:rPr>
          <w:rStyle w:val="ac"/>
          <w:rFonts w:ascii="Narkisim" w:hAnsi="Narkisim"/>
          <w:rtl/>
        </w:rPr>
        <w:footnoteReference w:id="6993"/>
      </w:r>
      <w:r w:rsidRPr="00D65870">
        <w:rPr>
          <w:rFonts w:ascii="Narkisim" w:hAnsi="Narkisim"/>
          <w:rtl/>
        </w:rPr>
        <w:t>. ועד"ז בחליצה</w:t>
      </w:r>
      <w:r w:rsidRPr="00D65870">
        <w:rPr>
          <w:rStyle w:val="ac"/>
          <w:rFonts w:ascii="Narkisim" w:hAnsi="Narkisim"/>
          <w:rtl/>
        </w:rPr>
        <w:footnoteReference w:id="6994"/>
      </w:r>
      <w:r w:rsidRPr="00D65870">
        <w:rPr>
          <w:rFonts w:ascii="Narkisim" w:hAnsi="Narkisim"/>
          <w:rtl/>
        </w:rPr>
        <w:t>. וה</w:t>
      </w:r>
      <w:r w:rsidRPr="00D65870">
        <w:rPr>
          <w:rFonts w:ascii="Narkisim" w:hAnsi="Narkisim"/>
          <w:b/>
          <w:bCs/>
          <w:rtl/>
        </w:rPr>
        <w:t>אחרונים</w:t>
      </w:r>
      <w:r w:rsidRPr="00D65870">
        <w:rPr>
          <w:rFonts w:ascii="Narkisim" w:hAnsi="Narkisim"/>
          <w:rtl/>
        </w:rPr>
        <w:t xml:space="preserve"> הק' דכ"ז לדברי הרשב"א, אבל בריטב"א מבואר דהוה סברא בעצם הדין עדות לקיומי</w:t>
      </w:r>
      <w:r w:rsidRPr="00D65870">
        <w:rPr>
          <w:rStyle w:val="ac"/>
          <w:rFonts w:ascii="Narkisim" w:hAnsi="Narkisim"/>
          <w:rtl/>
        </w:rPr>
        <w:footnoteReference w:id="6995"/>
      </w:r>
      <w:r w:rsidRPr="00D65870">
        <w:rPr>
          <w:rFonts w:ascii="Narkisim" w:hAnsi="Narkisim"/>
          <w:rtl/>
        </w:rPr>
        <w:t>.</w:t>
      </w:r>
    </w:p>
    <w:p w14:paraId="2D8BF7A3"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אחיעזר</w:t>
      </w:r>
      <w:r w:rsidRPr="00D65870">
        <w:rPr>
          <w:rFonts w:ascii="Narkisim" w:hAnsi="Narkisim"/>
          <w:rtl/>
        </w:rPr>
        <w:t xml:space="preserve"> (ג כט) תי' דה"מ בגיטין וקידושין, דע"י המעשה שלו עושה קנין הקידושין והיתר הגירושין. ומש"ה צריך שיתכוון לעדים. אבל בחליצה ההיתר נעשה ממילא ע"פ דין התורה. ומש"ה ל"צ שיתכוון לעדים אלו. </w:t>
      </w:r>
      <w:r w:rsidRPr="00D65870">
        <w:rPr>
          <w:rFonts w:ascii="Narkisim" w:hAnsi="Narkisim"/>
          <w:szCs w:val="20"/>
          <w:rtl/>
        </w:rPr>
        <w:t>ועד"ז כת' ה</w:t>
      </w:r>
      <w:r w:rsidRPr="00D65870">
        <w:rPr>
          <w:rFonts w:ascii="Narkisim" w:hAnsi="Narkisim"/>
          <w:b/>
          <w:bCs/>
          <w:szCs w:val="20"/>
          <w:rtl/>
        </w:rPr>
        <w:t>שער"י</w:t>
      </w:r>
      <w:r w:rsidRPr="00D65870">
        <w:rPr>
          <w:rFonts w:ascii="Narkisim" w:hAnsi="Narkisim"/>
          <w:szCs w:val="20"/>
          <w:rtl/>
        </w:rPr>
        <w:t xml:space="preserve"> (ז ה, וקו' השליחות כב) דאף דצריך להתכוון ל'מעשה </w:t>
      </w:r>
      <w:r w:rsidRPr="00D65870">
        <w:rPr>
          <w:rFonts w:ascii="Narkisim" w:hAnsi="Narkisim"/>
          <w:szCs w:val="20"/>
          <w:rtl/>
        </w:rPr>
        <w:lastRenderedPageBreak/>
        <w:t>חליצה', אי"צ כוונה להיתר החליצה. וענין העדות הוה על חלות הדין</w:t>
      </w:r>
      <w:r w:rsidRPr="00D65870">
        <w:rPr>
          <w:rFonts w:ascii="Narkisim" w:hAnsi="Narkisim"/>
          <w:rtl/>
        </w:rPr>
        <w:t>.</w:t>
      </w:r>
    </w:p>
    <w:p w14:paraId="6DA7FDC8"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ה</w:t>
      </w:r>
      <w:r w:rsidRPr="00D65870">
        <w:rPr>
          <w:rFonts w:ascii="Narkisim" w:hAnsi="Narkisim" w:cs="Narkisim"/>
          <w:b/>
          <w:bCs/>
          <w:rtl/>
        </w:rPr>
        <w:t>רמב"ם</w:t>
      </w:r>
      <w:r w:rsidRPr="00D65870">
        <w:rPr>
          <w:rFonts w:ascii="Narkisim" w:hAnsi="Narkisim" w:cs="Narkisim"/>
          <w:rtl/>
        </w:rPr>
        <w:t xml:space="preserve"> (ד טז) פסק דחלצה בפני יחיד, ואפי' בינו לבינה הוה חליצה פסולה [ופוסלת מיבום]. וה</w:t>
      </w:r>
      <w:r w:rsidRPr="00D65870">
        <w:rPr>
          <w:rFonts w:ascii="Narkisim" w:hAnsi="Narkisim" w:cs="Narkisim"/>
          <w:b/>
          <w:bCs/>
          <w:rtl/>
        </w:rPr>
        <w:t>לח"מ</w:t>
      </w:r>
      <w:r w:rsidRPr="00D65870">
        <w:rPr>
          <w:rFonts w:ascii="Narkisim" w:hAnsi="Narkisim" w:cs="Narkisim"/>
          <w:rtl/>
        </w:rPr>
        <w:t xml:space="preserve"> נסתפק האם כוונת הרמב"ם היכא דעדים רואים מבחוץ</w:t>
      </w:r>
      <w:r w:rsidRPr="00D65870">
        <w:rPr>
          <w:rStyle w:val="ac"/>
          <w:rFonts w:ascii="Narkisim" w:hAnsi="Narkisim" w:cs="Narkisim"/>
          <w:rtl/>
        </w:rPr>
        <w:footnoteReference w:id="6996"/>
      </w:r>
      <w:r w:rsidRPr="00D65870">
        <w:rPr>
          <w:rFonts w:ascii="Narkisim" w:hAnsi="Narkisim" w:cs="Narkisim"/>
          <w:rtl/>
        </w:rPr>
        <w:t xml:space="preserve"> [והרמב"ם סמך על המבין]. א"נ דוקא לר' עקיבא דמהני להכשיר צריך עדים להתירה לעלמא, אבל אפי' ליכא עדים החליצה פוסל.</w:t>
      </w:r>
    </w:p>
    <w:p w14:paraId="60BFCC21"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גר"ח</w:t>
      </w:r>
      <w:r w:rsidRPr="00D65870">
        <w:rPr>
          <w:rFonts w:ascii="Narkisim" w:hAnsi="Narkisim"/>
          <w:rtl/>
        </w:rPr>
        <w:t xml:space="preserve"> (שם) הביא דמבואר דפוסל בלא עדים, דחליצה ל"צ עדות לקיומי</w:t>
      </w:r>
      <w:r w:rsidRPr="00D65870">
        <w:rPr>
          <w:rStyle w:val="ac"/>
          <w:rFonts w:ascii="Narkisim" w:hAnsi="Narkisim"/>
          <w:rtl/>
        </w:rPr>
        <w:footnoteReference w:id="6997"/>
      </w:r>
      <w:r w:rsidRPr="00D65870">
        <w:rPr>
          <w:rFonts w:ascii="Narkisim" w:hAnsi="Narkisim"/>
          <w:rtl/>
        </w:rPr>
        <w:t>. והגר"ח ביאר דכיון דההיתר הוה ממילא, ולא נחשב שהוא פועל ההיתר מש"ה ל"צ עדות לקיומי. [וכנ"ל]. אלא דהוה חליצה פסולה משום דקי"ל דחליצה צריך בי"ד, ומשום חסרון בי"ד הוה חליצה פסולה [ופוסלת]. אך דן לדחות דאפשר דפסול מדרבנן.</w:t>
      </w:r>
    </w:p>
    <w:p w14:paraId="3906EC2D" w14:textId="77777777" w:rsidR="006C4368" w:rsidRPr="00D65870" w:rsidRDefault="006C4368" w:rsidP="006C4368">
      <w:pPr>
        <w:pStyle w:val="aa"/>
        <w:bidi/>
        <w:rPr>
          <w:rFonts w:ascii="Narkisim" w:hAnsi="Narkisim"/>
        </w:rPr>
      </w:pPr>
      <w:r w:rsidRPr="00D65870">
        <w:rPr>
          <w:rFonts w:ascii="Narkisim" w:hAnsi="Narkisim"/>
          <w:u w:val="single"/>
          <w:rtl/>
        </w:rPr>
        <w:t>איבע"ל מעשה שחלצו בינו לבינה אבראי וכו' או דלמא מעשה שחלצו וכו' בבית האסורין וכו'</w:t>
      </w:r>
      <w:r w:rsidRPr="00D65870">
        <w:rPr>
          <w:rFonts w:ascii="Narkisim" w:hAnsi="Narkisim"/>
          <w:rtl/>
        </w:rPr>
        <w:t>. ובפשוטו הספק רק לפרש את המשנה. וה</w:t>
      </w:r>
      <w:r w:rsidRPr="00D65870">
        <w:rPr>
          <w:rFonts w:ascii="Narkisim" w:hAnsi="Narkisim"/>
          <w:b/>
          <w:bCs/>
          <w:rtl/>
        </w:rPr>
        <w:t>אחרונים</w:t>
      </w:r>
      <w:r w:rsidRPr="00D65870">
        <w:rPr>
          <w:rFonts w:ascii="Narkisim" w:hAnsi="Narkisim"/>
          <w:rtl/>
        </w:rPr>
        <w:t xml:space="preserve"> ביארו דספק הגמ' האם ר"ע התיר אף היכא דאפשר באופ"א</w:t>
      </w:r>
      <w:r w:rsidRPr="00D65870">
        <w:rPr>
          <w:rStyle w:val="ac"/>
          <w:rFonts w:ascii="Narkisim" w:hAnsi="Narkisim"/>
          <w:rtl/>
        </w:rPr>
        <w:footnoteReference w:id="6998"/>
      </w:r>
      <w:r w:rsidRPr="00D65870">
        <w:rPr>
          <w:rFonts w:ascii="Narkisim" w:hAnsi="Narkisim"/>
          <w:rtl/>
        </w:rPr>
        <w:t>, או רק בשעת הדחק כגון בבית האסורין</w:t>
      </w:r>
      <w:r w:rsidRPr="00D65870">
        <w:rPr>
          <w:rStyle w:val="ac"/>
          <w:rFonts w:ascii="Narkisim" w:hAnsi="Narkisim"/>
          <w:rtl/>
        </w:rPr>
        <w:footnoteReference w:id="6999"/>
      </w:r>
      <w:r w:rsidRPr="00D65870">
        <w:rPr>
          <w:rFonts w:ascii="Narkisim" w:hAnsi="Narkisim"/>
          <w:rtl/>
        </w:rPr>
        <w:t>.</w:t>
      </w:r>
    </w:p>
    <w:p w14:paraId="599F3A2F"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אבנ"נ</w:t>
      </w:r>
      <w:r w:rsidRPr="00D65870">
        <w:rPr>
          <w:rFonts w:ascii="Narkisim" w:hAnsi="Narkisim"/>
          <w:rtl/>
        </w:rPr>
        <w:t xml:space="preserve"> (רכ ו) כת' דאף ר"ע מודה דדרשינן דבעי ג' דיינים לחליצה. אלא דאינו מעכב בדיעבד</w:t>
      </w:r>
      <w:r w:rsidRPr="00D65870">
        <w:rPr>
          <w:rStyle w:val="ac"/>
          <w:rFonts w:ascii="Narkisim" w:hAnsi="Narkisim"/>
          <w:rtl/>
        </w:rPr>
        <w:footnoteReference w:id="7000"/>
      </w:r>
      <w:r w:rsidRPr="00D65870">
        <w:rPr>
          <w:rFonts w:ascii="Narkisim" w:hAnsi="Narkisim"/>
          <w:rtl/>
        </w:rPr>
        <w:t>, דדרשת 'ככה' קאי דוקא על המעשים. ולא על העדים.</w:t>
      </w:r>
    </w:p>
    <w:p w14:paraId="4C8813FC"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יש"ש</w:t>
      </w:r>
      <w:r w:rsidRPr="00D65870">
        <w:rPr>
          <w:rFonts w:ascii="Narkisim" w:hAnsi="Narkisim"/>
          <w:rtl/>
        </w:rPr>
        <w:t xml:space="preserve"> (כח) כת' דקמ"ל הגמ' דמהני חליצה בבית האסורין היכא דיש שם בי"ד, ול"צ גובהה של עיר [ע' מש"כ לעיל קא:].</w:t>
      </w:r>
    </w:p>
    <w:p w14:paraId="1B738E81" w14:textId="77777777" w:rsidR="006C4368" w:rsidRPr="00D65870" w:rsidRDefault="006C4368" w:rsidP="006C4368">
      <w:pPr>
        <w:pStyle w:val="3"/>
        <w:bidi/>
        <w:rPr>
          <w:rFonts w:ascii="Narkisim" w:hAnsi="Narkisim"/>
        </w:rPr>
      </w:pPr>
      <w:r w:rsidRPr="00D65870">
        <w:rPr>
          <w:rFonts w:ascii="Narkisim" w:hAnsi="Narkisim"/>
          <w:rtl/>
        </w:rPr>
        <w:t>דף קו.</w:t>
      </w:r>
    </w:p>
    <w:p w14:paraId="3B2EAA2E" w14:textId="77777777" w:rsidR="006C4368" w:rsidRPr="00D65870" w:rsidRDefault="006C4368" w:rsidP="006C4368">
      <w:pPr>
        <w:pStyle w:val="aa"/>
        <w:bidi/>
        <w:rPr>
          <w:rFonts w:ascii="Narkisim" w:hAnsi="Narkisim"/>
        </w:rPr>
      </w:pPr>
      <w:r w:rsidRPr="00D65870">
        <w:rPr>
          <w:rFonts w:ascii="Narkisim" w:hAnsi="Narkisim"/>
          <w:u w:val="single"/>
          <w:rtl/>
        </w:rPr>
        <w:t>אמר ר"ל כל שאומרים לו חלוץ לה ובכך אתה כונסה</w:t>
      </w:r>
      <w:r w:rsidRPr="00D65870">
        <w:rPr>
          <w:rFonts w:ascii="Narkisim" w:hAnsi="Narkisim"/>
          <w:rtl/>
        </w:rPr>
        <w:t>. יל"ד אי ר"ל סבר דל"צ כוונה כלל לחליצה [וכקו' ר' יוחנן]. אך לכאורה אף ר"ל סבר דצריך שיתכוון ל'מעשה חליצה', אלא דל"צ שיתכוון להיתר האשה.</w:t>
      </w:r>
    </w:p>
    <w:p w14:paraId="08436CD9" w14:textId="77777777" w:rsidR="006C4368" w:rsidRPr="00D65870" w:rsidRDefault="006C4368" w:rsidP="006C4368">
      <w:pPr>
        <w:bidi/>
        <w:rPr>
          <w:rFonts w:ascii="Narkisim" w:hAnsi="Narkisim" w:cs="Narkisim"/>
        </w:rPr>
      </w:pPr>
      <w:r w:rsidRPr="00D65870">
        <w:rPr>
          <w:rFonts w:ascii="Narkisim" w:hAnsi="Narkisim" w:cs="Narkisim"/>
          <w:u w:val="single"/>
          <w:rtl/>
        </w:rPr>
        <w:t>א"ל ר' יוחנן וכו' בין שנתכוון הוא ולא נתכוונה היא וכו'</w:t>
      </w:r>
      <w:r w:rsidRPr="00D65870">
        <w:rPr>
          <w:rFonts w:ascii="Narkisim" w:hAnsi="Narkisim" w:cs="Narkisim"/>
          <w:rtl/>
        </w:rPr>
        <w:t>. ה</w:t>
      </w:r>
      <w:r w:rsidRPr="00D65870">
        <w:rPr>
          <w:rFonts w:ascii="Narkisim" w:hAnsi="Narkisim" w:cs="Narkisim"/>
          <w:b/>
          <w:bCs/>
          <w:rtl/>
        </w:rPr>
        <w:t>טור</w:t>
      </w:r>
      <w:r w:rsidRPr="00D65870">
        <w:rPr>
          <w:rFonts w:ascii="Narkisim" w:hAnsi="Narkisim" w:cs="Narkisim"/>
          <w:rtl/>
        </w:rPr>
        <w:t xml:space="preserve"> (ושו"ע קסט מד) כת' דצריך שהיבם והיבמה יכוונו שתהא מותרת לזר בחליצה זו.</w:t>
      </w:r>
    </w:p>
    <w:p w14:paraId="1DB374E9" w14:textId="77777777" w:rsidR="006C4368" w:rsidRPr="00D65870" w:rsidRDefault="006C4368" w:rsidP="006C4368">
      <w:pPr>
        <w:bidi/>
        <w:rPr>
          <w:rFonts w:ascii="Narkisim" w:hAnsi="Narkisim" w:cs="Narkisim"/>
        </w:rPr>
      </w:pPr>
      <w:r w:rsidRPr="00D65870">
        <w:rPr>
          <w:rFonts w:ascii="Narkisim" w:hAnsi="Narkisim" w:cs="Narkisim"/>
          <w:rtl/>
        </w:rPr>
        <w:t>ב</w:t>
      </w:r>
      <w:r w:rsidRPr="00D65870">
        <w:rPr>
          <w:rFonts w:ascii="Narkisim" w:hAnsi="Narkisim" w:cs="Narkisim"/>
          <w:b/>
          <w:bCs/>
          <w:rtl/>
        </w:rPr>
        <w:t>שו"ת חכ"צ</w:t>
      </w:r>
      <w:r w:rsidRPr="00D65870">
        <w:rPr>
          <w:rFonts w:ascii="Narkisim" w:hAnsi="Narkisim" w:cs="Narkisim"/>
          <w:rtl/>
        </w:rPr>
        <w:t xml:space="preserve"> (א, הו' בקצות ערה ד) חקר האם כוונת חליצה הוה גדר כוונת מצווה, דמצוות צריכות כוונה</w:t>
      </w:r>
      <w:r w:rsidRPr="00D65870">
        <w:rPr>
          <w:rStyle w:val="ac"/>
          <w:rFonts w:ascii="Narkisim" w:hAnsi="Narkisim" w:cs="Narkisim"/>
          <w:rtl/>
        </w:rPr>
        <w:footnoteReference w:id="7001"/>
      </w:r>
      <w:r w:rsidRPr="00D65870">
        <w:rPr>
          <w:rFonts w:ascii="Narkisim" w:hAnsi="Narkisim" w:cs="Narkisim"/>
          <w:rtl/>
        </w:rPr>
        <w:t>. או מגדרי כוונת קנינים</w:t>
      </w:r>
      <w:r w:rsidRPr="00D65870">
        <w:rPr>
          <w:rStyle w:val="ac"/>
          <w:rFonts w:ascii="Narkisim" w:hAnsi="Narkisim" w:cs="Narkisim"/>
          <w:rtl/>
        </w:rPr>
        <w:footnoteReference w:id="7002"/>
      </w:r>
      <w:r w:rsidRPr="00D65870">
        <w:rPr>
          <w:rFonts w:ascii="Narkisim" w:hAnsi="Narkisim" w:cs="Narkisim"/>
          <w:rtl/>
        </w:rPr>
        <w:t>.</w:t>
      </w:r>
    </w:p>
    <w:p w14:paraId="0898CB57"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מהרי"ט</w:t>
      </w:r>
      <w:r w:rsidRPr="00D65870">
        <w:rPr>
          <w:rFonts w:ascii="Narkisim" w:hAnsi="Narkisim"/>
          <w:rtl/>
        </w:rPr>
        <w:t xml:space="preserve"> (ב טז) כת' דמהני חליצה של מי שנוטה לטפשות, כיון דיש לו דעת קלישתא לעשות מעשה החליצה. ואף אם מסיח דעתו ואינו מתכוון ממש בשעת חליצה</w:t>
      </w:r>
      <w:r w:rsidRPr="00D65870">
        <w:rPr>
          <w:rStyle w:val="ac"/>
          <w:rFonts w:ascii="Narkisim" w:hAnsi="Narkisim"/>
          <w:rtl/>
        </w:rPr>
        <w:footnoteReference w:id="7003"/>
      </w:r>
      <w:r w:rsidRPr="00D65870">
        <w:rPr>
          <w:rFonts w:ascii="Narkisim" w:hAnsi="Narkisim"/>
          <w:rtl/>
        </w:rPr>
        <w:t>. וה</w:t>
      </w:r>
      <w:r w:rsidRPr="00D65870">
        <w:rPr>
          <w:rFonts w:ascii="Narkisim" w:hAnsi="Narkisim"/>
          <w:b/>
          <w:bCs/>
          <w:rtl/>
        </w:rPr>
        <w:t xml:space="preserve">חכ"צ </w:t>
      </w:r>
      <w:r w:rsidRPr="00D65870">
        <w:rPr>
          <w:rFonts w:ascii="Narkisim" w:hAnsi="Narkisim"/>
          <w:rtl/>
        </w:rPr>
        <w:t>תמה עליו מנ"ל הא, ובין אי הוה כוונה של מצוות או כוונת קנין צריך בשעת מעשה.</w:t>
      </w:r>
    </w:p>
    <w:p w14:paraId="68BD8106"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חכ"צ</w:t>
      </w:r>
      <w:r w:rsidRPr="00D65870">
        <w:rPr>
          <w:rFonts w:ascii="Narkisim" w:hAnsi="Narkisim"/>
          <w:rtl/>
        </w:rPr>
        <w:t xml:space="preserve"> כת' דנראה דהוה כוונת קנין, ועד"ז ביאר הא דלר' יוסי מהני חליצת קטנה בפעוטות, דדעת אחרת מקנה</w:t>
      </w:r>
      <w:r w:rsidRPr="00D65870">
        <w:rPr>
          <w:rStyle w:val="ac"/>
          <w:rFonts w:ascii="Narkisim" w:hAnsi="Narkisim"/>
          <w:rtl/>
        </w:rPr>
        <w:footnoteReference w:id="7004"/>
      </w:r>
      <w:r w:rsidRPr="00D65870">
        <w:rPr>
          <w:rFonts w:ascii="Narkisim" w:hAnsi="Narkisim"/>
          <w:rtl/>
        </w:rPr>
        <w:t xml:space="preserve">, וכמו שקטן קונה מדאורייתא כשאחרים מזכין לו (וכמ"ש </w:t>
      </w:r>
      <w:r w:rsidRPr="00D65870">
        <w:rPr>
          <w:rFonts w:ascii="Narkisim" w:hAnsi="Narkisim"/>
          <w:b/>
          <w:bCs/>
          <w:rtl/>
        </w:rPr>
        <w:t>תוס'</w:t>
      </w:r>
      <w:r w:rsidRPr="00D65870">
        <w:rPr>
          <w:rFonts w:ascii="Narkisim" w:hAnsi="Narkisim"/>
          <w:rtl/>
        </w:rPr>
        <w:t xml:space="preserve"> סנהדרין סח: וכ"מ). </w:t>
      </w:r>
      <w:r w:rsidRPr="00D65870">
        <w:rPr>
          <w:rFonts w:ascii="Narkisim" w:hAnsi="Narkisim"/>
          <w:szCs w:val="20"/>
          <w:rtl/>
        </w:rPr>
        <w:t>וה</w:t>
      </w:r>
      <w:r w:rsidRPr="00D65870">
        <w:rPr>
          <w:rFonts w:ascii="Narkisim" w:hAnsi="Narkisim"/>
          <w:b/>
          <w:bCs/>
          <w:szCs w:val="20"/>
          <w:rtl/>
        </w:rPr>
        <w:t>קצות</w:t>
      </w:r>
      <w:r w:rsidRPr="00D65870">
        <w:rPr>
          <w:rFonts w:ascii="Narkisim" w:hAnsi="Narkisim"/>
          <w:szCs w:val="20"/>
          <w:rtl/>
        </w:rPr>
        <w:t xml:space="preserve"> (ערה ד) הק' דא"כ נימא שלא יהא צריך דעת האשה כלל ביבמה, לדעת הראשונים דמהני דעת מקנה אף כשלא נתכוון לקנין כלל</w:t>
      </w:r>
      <w:r w:rsidRPr="00D65870">
        <w:rPr>
          <w:rStyle w:val="ac"/>
          <w:rFonts w:ascii="Narkisim" w:hAnsi="Narkisim"/>
          <w:szCs w:val="20"/>
          <w:rtl/>
        </w:rPr>
        <w:footnoteReference w:id="7005"/>
      </w:r>
      <w:r w:rsidRPr="00D65870">
        <w:rPr>
          <w:rFonts w:ascii="Narkisim" w:hAnsi="Narkisim"/>
          <w:szCs w:val="20"/>
          <w:rtl/>
        </w:rPr>
        <w:t>. ובסוגיין מבואר דצריך שתתכוון היא</w:t>
      </w:r>
      <w:r w:rsidRPr="00D65870">
        <w:rPr>
          <w:rStyle w:val="ac"/>
          <w:rFonts w:ascii="Narkisim" w:hAnsi="Narkisim"/>
          <w:szCs w:val="20"/>
          <w:rtl/>
        </w:rPr>
        <w:footnoteReference w:id="7006"/>
      </w:r>
      <w:r w:rsidRPr="00D65870">
        <w:rPr>
          <w:rFonts w:ascii="Narkisim" w:hAnsi="Narkisim"/>
          <w:rtl/>
        </w:rPr>
        <w:t>.</w:t>
      </w:r>
    </w:p>
    <w:p w14:paraId="490BBAC4" w14:textId="77777777" w:rsidR="006C4368" w:rsidRPr="00D65870" w:rsidRDefault="006C4368" w:rsidP="006C4368">
      <w:pPr>
        <w:pStyle w:val="a8"/>
        <w:bidi/>
        <w:rPr>
          <w:rFonts w:ascii="Narkisim" w:hAnsi="Narkisim"/>
        </w:rPr>
      </w:pPr>
      <w:r w:rsidRPr="00D65870">
        <w:rPr>
          <w:rFonts w:ascii="Narkisim" w:hAnsi="Narkisim"/>
          <w:rtl/>
        </w:rPr>
        <w:t xml:space="preserve">והחכ"צ דן לפרש עד"ז הא דאיצטריך למעט קטן החולץ [מדכתיב 'איש'], ותיפו"ל דאין לו דעת [וכקו' התוס' </w:t>
      </w:r>
      <w:r w:rsidRPr="00D65870">
        <w:rPr>
          <w:rFonts w:ascii="Narkisim" w:hAnsi="Narkisim"/>
          <w:rtl/>
        </w:rPr>
        <w:lastRenderedPageBreak/>
        <w:t>לעיל קד:</w:t>
      </w:r>
      <w:r w:rsidRPr="00D65870">
        <w:rPr>
          <w:rStyle w:val="ac"/>
          <w:rFonts w:ascii="Narkisim" w:hAnsi="Narkisim"/>
          <w:rtl/>
        </w:rPr>
        <w:footnoteReference w:id="7007"/>
      </w:r>
      <w:r w:rsidRPr="00D65870">
        <w:rPr>
          <w:rFonts w:ascii="Narkisim" w:hAnsi="Narkisim"/>
          <w:rtl/>
        </w:rPr>
        <w:t>]. ותי' דס"ד דהיבם אינו פועל את החליצה, אלא שהיבמה חולצת לו. ומש"ה יהני דעת היבמה, בלא דעת היבם. קמ"ל 'איש'</w:t>
      </w:r>
      <w:r w:rsidRPr="00D65870">
        <w:rPr>
          <w:rStyle w:val="ac"/>
          <w:rFonts w:ascii="Narkisim" w:hAnsi="Narkisim"/>
          <w:rtl/>
        </w:rPr>
        <w:footnoteReference w:id="7008"/>
      </w:r>
      <w:r w:rsidRPr="00D65870">
        <w:rPr>
          <w:rFonts w:ascii="Narkisim" w:hAnsi="Narkisim"/>
          <w:rtl/>
        </w:rPr>
        <w:t>. ועוד תי' לדעת ה</w:t>
      </w:r>
      <w:r w:rsidRPr="00D65870">
        <w:rPr>
          <w:rFonts w:ascii="Narkisim" w:hAnsi="Narkisim"/>
          <w:b/>
          <w:bCs/>
          <w:rtl/>
        </w:rPr>
        <w:t>ראשונים</w:t>
      </w:r>
      <w:r w:rsidRPr="00D65870">
        <w:rPr>
          <w:rFonts w:ascii="Narkisim" w:hAnsi="Narkisim"/>
          <w:rtl/>
        </w:rPr>
        <w:t xml:space="preserve"> דחליצה בלא כוונה פוסל</w:t>
      </w:r>
      <w:r w:rsidRPr="00D65870">
        <w:rPr>
          <w:rStyle w:val="ac"/>
          <w:rFonts w:ascii="Narkisim" w:hAnsi="Narkisim"/>
          <w:rtl/>
        </w:rPr>
        <w:footnoteReference w:id="7009"/>
      </w:r>
      <w:r w:rsidRPr="00D65870">
        <w:rPr>
          <w:rFonts w:ascii="Narkisim" w:hAnsi="Narkisim"/>
          <w:rtl/>
        </w:rPr>
        <w:t>, ואילו חליצת קטן אינו פוסל [לחכמים קה:], מש"ה איצטריך למעט קטן דאינו חליצה כלל.</w:t>
      </w:r>
    </w:p>
    <w:p w14:paraId="6208C725"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שער"י</w:t>
      </w:r>
      <w:r w:rsidRPr="00D65870">
        <w:rPr>
          <w:rFonts w:ascii="Narkisim" w:hAnsi="Narkisim"/>
          <w:rtl/>
        </w:rPr>
        <w:t xml:space="preserve"> (ז ו) כת' דל"ש בזה כוונה של קנינים [דגדר חליצה לא נחשב דהיבם הוא המקנה, ולא היבמה קונה</w:t>
      </w:r>
      <w:r w:rsidRPr="00D65870">
        <w:rPr>
          <w:rStyle w:val="ac"/>
          <w:rFonts w:ascii="Narkisim" w:hAnsi="Narkisim"/>
          <w:rtl/>
        </w:rPr>
        <w:footnoteReference w:id="7010"/>
      </w:r>
      <w:r w:rsidRPr="00D65870">
        <w:rPr>
          <w:rFonts w:ascii="Narkisim" w:hAnsi="Narkisim"/>
          <w:rtl/>
        </w:rPr>
        <w:t>], וכן ל"ש כוונת מצוות, שיתכוון לקיים מצות השם. אלא צריך שיתכוון שיחשב מעשה חליצה המתרת, ולא רק חליצת נעל בעלמא. וצריך כוונה שיחשב מעשה חליצה, ולא כוונה לחלות ההיתר</w:t>
      </w:r>
      <w:r w:rsidRPr="00D65870">
        <w:rPr>
          <w:rStyle w:val="ac"/>
          <w:rFonts w:ascii="Narkisim" w:hAnsi="Narkisim"/>
          <w:rtl/>
        </w:rPr>
        <w:footnoteReference w:id="7011"/>
      </w:r>
      <w:r w:rsidRPr="00D65870">
        <w:rPr>
          <w:rFonts w:ascii="Narkisim" w:hAnsi="Narkisim"/>
          <w:rtl/>
        </w:rPr>
        <w:t>.</w:t>
      </w:r>
    </w:p>
    <w:p w14:paraId="05CCBD66"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מנח"ח</w:t>
      </w:r>
      <w:r w:rsidRPr="00D65870">
        <w:rPr>
          <w:rFonts w:ascii="Narkisim" w:hAnsi="Narkisim"/>
          <w:rtl/>
        </w:rPr>
        <w:t xml:space="preserve"> (תקצט) כת' דמ"מ כו"ע מודו דצריך לכוין לשם מצווה, דחליצה הוה מצוות עשה וככל המצות. והחולץ צריך כוונה לצאת ידי המצוה [אבל ליכא מצווה על החולצת</w:t>
      </w:r>
      <w:r w:rsidRPr="00D65870">
        <w:rPr>
          <w:rStyle w:val="ac"/>
          <w:rFonts w:ascii="Narkisim" w:hAnsi="Narkisim"/>
          <w:rtl/>
        </w:rPr>
        <w:footnoteReference w:id="7012"/>
      </w:r>
      <w:r w:rsidRPr="00D65870">
        <w:rPr>
          <w:rFonts w:ascii="Narkisim" w:hAnsi="Narkisim"/>
          <w:rtl/>
        </w:rPr>
        <w:t>]. אך ההיתר שלה אינו תלוי בכוונה זו, דהיבמה פטורה אף היכא דהיבם לא יצא ידי המצוה</w:t>
      </w:r>
      <w:r w:rsidRPr="00D65870">
        <w:rPr>
          <w:rStyle w:val="ac"/>
          <w:rFonts w:ascii="Narkisim" w:hAnsi="Narkisim"/>
          <w:rtl/>
        </w:rPr>
        <w:footnoteReference w:id="7013"/>
      </w:r>
      <w:r w:rsidRPr="00D65870">
        <w:rPr>
          <w:rFonts w:ascii="Narkisim" w:hAnsi="Narkisim"/>
          <w:rtl/>
        </w:rPr>
        <w:t>.</w:t>
      </w:r>
    </w:p>
    <w:p w14:paraId="1A8A9533" w14:textId="77777777" w:rsidR="006C4368" w:rsidRPr="00D65870" w:rsidRDefault="006C4368" w:rsidP="006C4368">
      <w:pPr>
        <w:bidi/>
        <w:rPr>
          <w:rFonts w:ascii="Narkisim" w:hAnsi="Narkisim" w:cs="Narkisim"/>
        </w:rPr>
      </w:pPr>
      <w:r w:rsidRPr="00D65870">
        <w:rPr>
          <w:rFonts w:ascii="Narkisim" w:hAnsi="Narkisim" w:cs="Narkisim"/>
          <w:u w:val="single"/>
          <w:rtl/>
        </w:rPr>
        <w:t>חליצתה פסולה, עד שיתכוונו שניהם וכו'</w:t>
      </w:r>
      <w:r w:rsidRPr="00D65870">
        <w:rPr>
          <w:rFonts w:ascii="Narkisim" w:hAnsi="Narkisim" w:cs="Narkisim"/>
          <w:rtl/>
        </w:rPr>
        <w:t>. ה</w:t>
      </w:r>
      <w:r w:rsidRPr="00D65870">
        <w:rPr>
          <w:rFonts w:ascii="Narkisim" w:hAnsi="Narkisim" w:cs="Narkisim"/>
          <w:b/>
          <w:bCs/>
          <w:rtl/>
        </w:rPr>
        <w:t xml:space="preserve">אחרונים </w:t>
      </w:r>
      <w:r w:rsidRPr="00D65870">
        <w:rPr>
          <w:rFonts w:ascii="Narkisim" w:hAnsi="Narkisim" w:cs="Narkisim"/>
          <w:rtl/>
        </w:rPr>
        <w:t>דנו מנ"ל דבעינן כוונה בחליצה</w:t>
      </w:r>
      <w:r w:rsidRPr="00D65870">
        <w:rPr>
          <w:rStyle w:val="ac"/>
          <w:rFonts w:ascii="Narkisim" w:hAnsi="Narkisim" w:cs="Narkisim"/>
          <w:rtl/>
        </w:rPr>
        <w:footnoteReference w:id="7014"/>
      </w:r>
      <w:r w:rsidRPr="00D65870">
        <w:rPr>
          <w:rFonts w:ascii="Narkisim" w:hAnsi="Narkisim" w:cs="Narkisim"/>
          <w:rtl/>
        </w:rPr>
        <w:t>.</w:t>
      </w:r>
    </w:p>
    <w:p w14:paraId="518A8045"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שעה"מ</w:t>
      </w:r>
      <w:r w:rsidRPr="00D65870">
        <w:rPr>
          <w:rFonts w:ascii="Narkisim" w:hAnsi="Narkisim"/>
          <w:rtl/>
        </w:rPr>
        <w:t xml:space="preserve"> (אישות ו ב ד"ה ועוד נ"ל ליישב) דן דהוה רק מדרבנן, ובאומר חלוץ לה ובכך אתה כונסה חליצתה פסולה רק מדרבנן</w:t>
      </w:r>
      <w:r w:rsidRPr="00D65870">
        <w:rPr>
          <w:rStyle w:val="ac"/>
          <w:rFonts w:ascii="Narkisim" w:hAnsi="Narkisim"/>
          <w:rtl/>
        </w:rPr>
        <w:footnoteReference w:id="7015"/>
      </w:r>
      <w:r w:rsidRPr="00D65870">
        <w:rPr>
          <w:rFonts w:ascii="Narkisim" w:hAnsi="Narkisim"/>
          <w:rtl/>
        </w:rPr>
        <w:t>. ושאני חליצה משאר דיני דעלמא, דכיון דמצוה רמייא וגזירת מלך הוא כל שחלץ לה אפי' שהטעה אותו חליצתה כשרה.</w:t>
      </w:r>
    </w:p>
    <w:p w14:paraId="4967C07E" w14:textId="77777777" w:rsidR="006C4368" w:rsidRPr="00D65870" w:rsidRDefault="006C4368" w:rsidP="006C4368">
      <w:pPr>
        <w:pStyle w:val="Footnote"/>
        <w:bidi/>
        <w:rPr>
          <w:rFonts w:ascii="Narkisim" w:hAnsi="Narkisim"/>
        </w:rPr>
      </w:pPr>
      <w:r w:rsidRPr="00D65870">
        <w:rPr>
          <w:rFonts w:ascii="Narkisim" w:hAnsi="Narkisim"/>
          <w:rtl/>
        </w:rPr>
        <w:t>וה</w:t>
      </w:r>
      <w:r w:rsidRPr="00D65870">
        <w:rPr>
          <w:rFonts w:ascii="Narkisim" w:hAnsi="Narkisim"/>
          <w:b/>
          <w:bCs/>
          <w:rtl/>
        </w:rPr>
        <w:t>בית מאיר</w:t>
      </w:r>
      <w:r w:rsidRPr="00D65870">
        <w:rPr>
          <w:rFonts w:ascii="Narkisim" w:hAnsi="Narkisim"/>
          <w:rtl/>
        </w:rPr>
        <w:t xml:space="preserve"> (קסט מד) דחה דבגמ' (לעיל קד:) מבואר דחסרון דעת הוה פסול מדאורייתא.</w:t>
      </w:r>
    </w:p>
    <w:p w14:paraId="2C506B0E" w14:textId="77777777" w:rsidR="006C4368" w:rsidRPr="00D65870" w:rsidRDefault="006C4368" w:rsidP="006C4368">
      <w:pPr>
        <w:bidi/>
        <w:rPr>
          <w:rFonts w:ascii="Narkisim" w:hAnsi="Narkisim" w:cs="Narkisim"/>
        </w:rPr>
      </w:pPr>
      <w:r w:rsidRPr="00D65870">
        <w:rPr>
          <w:rFonts w:ascii="Narkisim" w:hAnsi="Narkisim" w:cs="Narkisim"/>
          <w:u w:val="single"/>
          <w:rtl/>
        </w:rPr>
        <w:t>אלא כל שאומרים לו חלוץ לה על מנת וכו'</w:t>
      </w:r>
      <w:r w:rsidRPr="00D65870">
        <w:rPr>
          <w:rFonts w:ascii="Narkisim" w:hAnsi="Narkisim" w:cs="Narkisim"/>
          <w:rtl/>
        </w:rPr>
        <w:t>. ה</w:t>
      </w:r>
      <w:r w:rsidRPr="00D65870">
        <w:rPr>
          <w:rFonts w:ascii="Narkisim" w:hAnsi="Narkisim" w:cs="Narkisim"/>
          <w:b/>
          <w:bCs/>
          <w:rtl/>
        </w:rPr>
        <w:t>רשב"א</w:t>
      </w:r>
      <w:r w:rsidRPr="00D65870">
        <w:rPr>
          <w:rFonts w:ascii="Narkisim" w:hAnsi="Narkisim" w:cs="Narkisim"/>
          <w:rtl/>
        </w:rPr>
        <w:t xml:space="preserve"> כת' דה"ה כל היכא שהוא מתכוין לחלוץ ולהתירה באותה חליצה, אף שטועה שיועיל לו בזה מצד אחר. והביא מה</w:t>
      </w:r>
      <w:r w:rsidRPr="00D65870">
        <w:rPr>
          <w:rFonts w:ascii="Narkisim" w:hAnsi="Narkisim" w:cs="Narkisim"/>
          <w:b/>
          <w:bCs/>
          <w:rtl/>
        </w:rPr>
        <w:t>ירושלמי</w:t>
      </w:r>
      <w:r w:rsidRPr="00D65870">
        <w:rPr>
          <w:rFonts w:ascii="Narkisim" w:hAnsi="Narkisim" w:cs="Narkisim"/>
          <w:rtl/>
        </w:rPr>
        <w:t xml:space="preserve"> מעשה שבא לפני ר' חייא בר הונא ואמר לו שהיבמה אינה רוצה דרך יבום, אלא חלוץ לה ועקור זיקתך ממנה, ואח"כ תנשא לך דרך נשואין. ולאחר החליצה אמר לו שאסורה עליו. [ואין זו חליצה מוטעית]</w:t>
      </w:r>
      <w:r w:rsidRPr="00D65870">
        <w:rPr>
          <w:rStyle w:val="ac"/>
          <w:rFonts w:ascii="Narkisim" w:hAnsi="Narkisim" w:cs="Narkisim"/>
          <w:rtl/>
        </w:rPr>
        <w:footnoteReference w:id="7016"/>
      </w:r>
      <w:r w:rsidRPr="00D65870">
        <w:rPr>
          <w:rFonts w:ascii="Narkisim" w:hAnsi="Narkisim" w:cs="Narkisim"/>
          <w:rtl/>
        </w:rPr>
        <w:t>. [והו' בשו"ע קסט נב]. אבל ה</w:t>
      </w:r>
      <w:r w:rsidRPr="00D65870">
        <w:rPr>
          <w:rFonts w:ascii="Narkisim" w:hAnsi="Narkisim" w:cs="Narkisim"/>
          <w:b/>
          <w:bCs/>
          <w:rtl/>
        </w:rPr>
        <w:t>או"ז</w:t>
      </w:r>
      <w:r w:rsidRPr="00D65870">
        <w:rPr>
          <w:rFonts w:ascii="Narkisim" w:hAnsi="Narkisim" w:cs="Narkisim"/>
          <w:rtl/>
        </w:rPr>
        <w:t xml:space="preserve"> (תרעג) הביא דמסקנת ה</w:t>
      </w:r>
      <w:r w:rsidRPr="00D65870">
        <w:rPr>
          <w:rFonts w:ascii="Narkisim" w:hAnsi="Narkisim" w:cs="Narkisim"/>
          <w:b/>
          <w:bCs/>
          <w:rtl/>
        </w:rPr>
        <w:t>ירושלמי</w:t>
      </w:r>
      <w:r w:rsidRPr="00D65870">
        <w:rPr>
          <w:rFonts w:ascii="Narkisim" w:hAnsi="Narkisim" w:cs="Narkisim"/>
          <w:rtl/>
        </w:rPr>
        <w:t xml:space="preserve"> דל"מ כה"ג</w:t>
      </w:r>
      <w:r w:rsidRPr="00D65870">
        <w:rPr>
          <w:rStyle w:val="ac"/>
          <w:rFonts w:ascii="Narkisim" w:hAnsi="Narkisim" w:cs="Narkisim"/>
          <w:rtl/>
        </w:rPr>
        <w:footnoteReference w:id="7017"/>
      </w:r>
      <w:r w:rsidRPr="00D65870">
        <w:rPr>
          <w:rFonts w:ascii="Narkisim" w:hAnsi="Narkisim" w:cs="Narkisim"/>
          <w:rtl/>
        </w:rPr>
        <w:t xml:space="preserve">. וכן </w:t>
      </w:r>
      <w:r w:rsidRPr="00D65870">
        <w:rPr>
          <w:rFonts w:ascii="Narkisim" w:hAnsi="Narkisim" w:cs="Narkisim"/>
          <w:b/>
          <w:bCs/>
          <w:rtl/>
        </w:rPr>
        <w:t>ה"ה</w:t>
      </w:r>
      <w:r w:rsidRPr="00D65870">
        <w:rPr>
          <w:rFonts w:ascii="Narkisim" w:hAnsi="Narkisim" w:cs="Narkisim"/>
          <w:rtl/>
        </w:rPr>
        <w:t xml:space="preserve"> (ד כד) הביא דמשמע מדברי הרמב"ם דל"מ</w:t>
      </w:r>
      <w:r w:rsidRPr="00D65870">
        <w:rPr>
          <w:rStyle w:val="ac"/>
          <w:rFonts w:ascii="Narkisim" w:hAnsi="Narkisim" w:cs="Narkisim"/>
          <w:rtl/>
        </w:rPr>
        <w:footnoteReference w:id="7018"/>
      </w:r>
      <w:r w:rsidRPr="00D65870">
        <w:rPr>
          <w:rFonts w:ascii="Narkisim" w:hAnsi="Narkisim" w:cs="Narkisim"/>
          <w:rtl/>
        </w:rPr>
        <w:t>.</w:t>
      </w:r>
    </w:p>
    <w:p w14:paraId="2427C44A" w14:textId="77777777" w:rsidR="006C4368" w:rsidRPr="00D65870" w:rsidRDefault="006C4368" w:rsidP="006C4368">
      <w:pPr>
        <w:pStyle w:val="a8"/>
        <w:bidi/>
        <w:rPr>
          <w:rFonts w:ascii="Narkisim" w:hAnsi="Narkisim"/>
        </w:rPr>
      </w:pPr>
      <w:r w:rsidRPr="00D65870">
        <w:rPr>
          <w:rFonts w:ascii="Narkisim" w:hAnsi="Narkisim"/>
          <w:rtl/>
        </w:rPr>
        <w:t>ו</w:t>
      </w:r>
      <w:r w:rsidRPr="00D65870">
        <w:rPr>
          <w:rFonts w:ascii="Narkisim" w:hAnsi="Narkisim"/>
          <w:b/>
          <w:bCs/>
          <w:rtl/>
        </w:rPr>
        <w:t>ה"ה</w:t>
      </w:r>
      <w:r w:rsidRPr="00D65870">
        <w:rPr>
          <w:rFonts w:ascii="Narkisim" w:hAnsi="Narkisim"/>
          <w:rtl/>
        </w:rPr>
        <w:t xml:space="preserve"> הוכיח כן דמה בין זה דאומר חלוץ לה והיא ניתרת לך לאחר זמן לדברי ר"ל [ובכך אתה כונסה]. וכת' ליישב [דעת הרשב"א] שכיון שפירשו לו שהוא עוקר זיקתה ממנה</w:t>
      </w:r>
      <w:r w:rsidRPr="00D65870">
        <w:rPr>
          <w:rStyle w:val="ac"/>
          <w:rFonts w:ascii="Narkisim" w:hAnsi="Narkisim"/>
          <w:rtl/>
        </w:rPr>
        <w:footnoteReference w:id="7019"/>
      </w:r>
      <w:r w:rsidRPr="00D65870">
        <w:rPr>
          <w:rFonts w:ascii="Narkisim" w:hAnsi="Narkisim"/>
          <w:rtl/>
        </w:rPr>
        <w:t>, מש"ה הוה חליצה כשרה.</w:t>
      </w:r>
    </w:p>
    <w:p w14:paraId="24A21A4F" w14:textId="77777777" w:rsidR="006C4368" w:rsidRPr="00D65870" w:rsidRDefault="006C4368" w:rsidP="006C4368">
      <w:pPr>
        <w:bidi/>
        <w:rPr>
          <w:rFonts w:ascii="Narkisim" w:hAnsi="Narkisim" w:cs="Narkisim"/>
        </w:rPr>
      </w:pPr>
      <w:r w:rsidRPr="00D65870">
        <w:rPr>
          <w:rFonts w:ascii="Narkisim" w:hAnsi="Narkisim" w:cs="Narkisim"/>
          <w:rtl/>
        </w:rPr>
        <w:lastRenderedPageBreak/>
        <w:t>וב</w:t>
      </w:r>
      <w:r w:rsidRPr="00D65870">
        <w:rPr>
          <w:rFonts w:ascii="Narkisim" w:hAnsi="Narkisim" w:cs="Narkisim"/>
          <w:b/>
          <w:bCs/>
          <w:rtl/>
        </w:rPr>
        <w:t>שו"ת הרא"ש</w:t>
      </w:r>
      <w:r w:rsidRPr="00D65870">
        <w:rPr>
          <w:rFonts w:ascii="Narkisim" w:hAnsi="Narkisim" w:cs="Narkisim"/>
          <w:rtl/>
        </w:rPr>
        <w:t xml:space="preserve"> (נב ז הו' בב"י ורמ"א קסט נ) כת' דאין תנאי בחליצה, ואפי' חלץ ע"מ שלא תנשאי לשום אדם מותרת. וה</w:t>
      </w:r>
      <w:r w:rsidRPr="00D65870">
        <w:rPr>
          <w:rFonts w:ascii="Narkisim" w:hAnsi="Narkisim" w:cs="Narkisim"/>
          <w:b/>
          <w:bCs/>
          <w:rtl/>
        </w:rPr>
        <w:t>ב"י</w:t>
      </w:r>
      <w:r w:rsidRPr="00D65870">
        <w:rPr>
          <w:rFonts w:ascii="Narkisim" w:hAnsi="Narkisim" w:cs="Narkisim"/>
          <w:rtl/>
        </w:rPr>
        <w:t xml:space="preserve"> (בה"ב שם) הק' דסוף סוף מחמת התנאי לא נתכוין להתירה לשום אדם. ותי' דהיבם סבור שהחליצה מתיר, אלא דאסורה מחמת התנאי. [ותנאי מילתא אחריתא, ולא חסר בכוונת החולץ</w:t>
      </w:r>
      <w:r w:rsidRPr="00D65870">
        <w:rPr>
          <w:rStyle w:val="ac"/>
          <w:rFonts w:ascii="Narkisim" w:hAnsi="Narkisim" w:cs="Narkisim"/>
          <w:rtl/>
        </w:rPr>
        <w:footnoteReference w:id="7020"/>
      </w:r>
      <w:r w:rsidRPr="00D65870">
        <w:rPr>
          <w:rFonts w:ascii="Narkisim" w:hAnsi="Narkisim" w:cs="Narkisim"/>
          <w:rtl/>
        </w:rPr>
        <w:t>].</w:t>
      </w:r>
    </w:p>
    <w:p w14:paraId="79D810DA"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שער"י</w:t>
      </w:r>
      <w:r w:rsidRPr="00D65870">
        <w:rPr>
          <w:rFonts w:ascii="Narkisim" w:hAnsi="Narkisim"/>
          <w:rtl/>
        </w:rPr>
        <w:t xml:space="preserve"> (ז ו, וקו' שליחות כא) כת' דכוונת הב"י להק' דהוה 'שיור', ואף דהוה בלשון תנאי</w:t>
      </w:r>
      <w:r w:rsidRPr="00D65870">
        <w:rPr>
          <w:rStyle w:val="ac"/>
          <w:rFonts w:ascii="Narkisim" w:hAnsi="Narkisim"/>
          <w:rtl/>
        </w:rPr>
        <w:footnoteReference w:id="7021"/>
      </w:r>
      <w:r w:rsidRPr="00D65870">
        <w:rPr>
          <w:rFonts w:ascii="Narkisim" w:hAnsi="Narkisim"/>
          <w:rtl/>
        </w:rPr>
        <w:t>.</w:t>
      </w:r>
    </w:p>
    <w:p w14:paraId="710B7853" w14:textId="77777777" w:rsidR="006C4368" w:rsidRPr="00D65870" w:rsidRDefault="006C4368" w:rsidP="006C4368">
      <w:pPr>
        <w:bidi/>
        <w:rPr>
          <w:rFonts w:ascii="Narkisim" w:hAnsi="Narkisim" w:cs="Narkisim"/>
        </w:rPr>
      </w:pPr>
      <w:r w:rsidRPr="00D65870">
        <w:rPr>
          <w:rFonts w:ascii="Narkisim" w:hAnsi="Narkisim" w:cs="Narkisim"/>
          <w:u w:val="single"/>
          <w:rtl/>
        </w:rPr>
        <w:t>שם. על מנת שתתן לה ר' זוז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דהוה חליצה אף כשלא נתקיים התנאי. וכמסקנת הגמ' (כתובות עד.) דכל תנאי ילפי' מתנאי בני גד ובני ראובן דאפשר לקיומיה</w:t>
      </w:r>
      <w:r w:rsidRPr="00D65870">
        <w:rPr>
          <w:rStyle w:val="ac"/>
          <w:rFonts w:ascii="Narkisim" w:hAnsi="Narkisim" w:cs="Narkisim"/>
          <w:rtl/>
        </w:rPr>
        <w:footnoteReference w:id="7022"/>
      </w:r>
      <w:r w:rsidRPr="00D65870">
        <w:rPr>
          <w:rFonts w:ascii="Narkisim" w:hAnsi="Narkisim" w:cs="Narkisim"/>
          <w:rtl/>
        </w:rPr>
        <w:t xml:space="preserve"> ע"י שליח, וילפי' דומיא דהתם דבעינן אפשר ע"י שליח. אבל ל"מ תנאי בדבר דלא אפשר לקיומיה ע"י שליח.</w:t>
      </w:r>
    </w:p>
    <w:p w14:paraId="6013EF2D" w14:textId="77777777" w:rsidR="006C4368" w:rsidRPr="00D65870" w:rsidRDefault="006C4368" w:rsidP="006C4368">
      <w:pPr>
        <w:pStyle w:val="a8"/>
        <w:bidi/>
        <w:rPr>
          <w:rFonts w:ascii="Narkisim" w:hAnsi="Narkisim"/>
        </w:rPr>
      </w:pPr>
      <w:r w:rsidRPr="00D65870">
        <w:rPr>
          <w:rFonts w:ascii="Narkisim" w:hAnsi="Narkisim"/>
          <w:rtl/>
        </w:rPr>
        <w:t>ורב אחא בריה דר' איקא (בס"ד כתובות שם) נקט דהטעם משום דכיון דעשה מעשה אחולי לתנאיה. [ואיירי שלא הזכירו את התנאי בשעת חליצה</w:t>
      </w:r>
      <w:r w:rsidRPr="00D65870">
        <w:rPr>
          <w:rStyle w:val="ac"/>
          <w:rFonts w:ascii="Narkisim" w:hAnsi="Narkisim"/>
          <w:rtl/>
        </w:rPr>
        <w:footnoteReference w:id="7023"/>
      </w:r>
      <w:r w:rsidRPr="00D65870">
        <w:rPr>
          <w:rFonts w:ascii="Narkisim" w:hAnsi="Narkisim"/>
          <w:rtl/>
        </w:rPr>
        <w:t>].</w:t>
      </w:r>
    </w:p>
    <w:p w14:paraId="77CB8841"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(כאן טו, ובתוס' רא"ש) ביאר דמן הדין אין כח בשום תנאי לבטל המעשה, וראוי להיות שהמעשה קיים אפי' לא נתקיים התנאי. אלא דילפינן מתנאי בני גד, הלכך בעינן דוקא כי התם.</w:t>
      </w:r>
    </w:p>
    <w:p w14:paraId="56372FEE" w14:textId="77777777" w:rsidR="006C4368" w:rsidRPr="00D65870" w:rsidRDefault="006C4368" w:rsidP="006C4368">
      <w:pPr>
        <w:bidi/>
        <w:rPr>
          <w:rFonts w:ascii="Narkisim" w:hAnsi="Narkisim" w:cs="Narkisim"/>
        </w:rPr>
      </w:pPr>
      <w:r w:rsidRPr="00D65870">
        <w:rPr>
          <w:rFonts w:ascii="Narkisim" w:hAnsi="Narkisim" w:cs="Narkisim"/>
          <w:rtl/>
        </w:rPr>
        <w:t>ו</w:t>
      </w:r>
      <w:r w:rsidRPr="00D65870">
        <w:rPr>
          <w:rFonts w:ascii="Narkisim" w:hAnsi="Narkisim" w:cs="Narkisim"/>
          <w:b/>
          <w:bCs/>
          <w:rtl/>
        </w:rPr>
        <w:t>תוס'</w:t>
      </w:r>
      <w:r w:rsidRPr="00D65870">
        <w:rPr>
          <w:rFonts w:ascii="Narkisim" w:hAnsi="Narkisim" w:cs="Narkisim"/>
          <w:rtl/>
        </w:rPr>
        <w:t xml:space="preserve"> (כתובות עד.) פי' דהוה סברא</w:t>
      </w:r>
      <w:r w:rsidRPr="00D65870">
        <w:rPr>
          <w:rStyle w:val="ac"/>
          <w:rFonts w:ascii="Narkisim" w:hAnsi="Narkisim" w:cs="Narkisim"/>
          <w:rtl/>
        </w:rPr>
        <w:footnoteReference w:id="7024"/>
      </w:r>
      <w:r w:rsidRPr="00D65870">
        <w:rPr>
          <w:rFonts w:ascii="Narkisim" w:hAnsi="Narkisim" w:cs="Narkisim"/>
          <w:rtl/>
        </w:rPr>
        <w:t>, דהואיל והמעשה כל כך בידו שיכול לקיימו ע"י שליח, סברא הוא שיהא כמו כן בידו לשוויי ביה תנאה. אבל חליצה שאין בידו לקיימה ע"י שליח לא הוי בידו נמי למירמי ביה תנאה. ואפי' לא יתקיים התנאי יהיה המעשה קיים.</w:t>
      </w:r>
    </w:p>
    <w:p w14:paraId="1E36A34A"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(קידושין נ.) כת' שמעשה שאינו נעשה ע"י שליח, חזק ואלים כל כך שלא יבטלנו תנאי. והוי כמפליג בדברים</w:t>
      </w:r>
      <w:r w:rsidRPr="00D65870">
        <w:rPr>
          <w:rStyle w:val="ac"/>
          <w:rFonts w:ascii="Narkisim" w:hAnsi="Narkisim"/>
          <w:rtl/>
        </w:rPr>
        <w:footnoteReference w:id="7025"/>
      </w:r>
      <w:r w:rsidRPr="00D65870">
        <w:rPr>
          <w:rFonts w:ascii="Narkisim" w:hAnsi="Narkisim"/>
          <w:rtl/>
        </w:rPr>
        <w:t>.</w:t>
      </w:r>
    </w:p>
    <w:p w14:paraId="312321F4"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אחרונים</w:t>
      </w:r>
      <w:r w:rsidRPr="00D65870">
        <w:rPr>
          <w:rFonts w:ascii="Narkisim" w:hAnsi="Narkisim" w:cs="Narkisim"/>
          <w:rtl/>
        </w:rPr>
        <w:t xml:space="preserve"> דנו האם הוה מיעוט דוקא בגדרי 'תנאי' דילפי' מבני גד ובני ראובן. ועוד יש </w:t>
      </w:r>
      <w:r w:rsidRPr="00D65870">
        <w:rPr>
          <w:rFonts w:ascii="Narkisim" w:hAnsi="Narkisim" w:cs="Narkisim"/>
          <w:b/>
          <w:bCs/>
          <w:rtl/>
        </w:rPr>
        <w:t>אחרונים</w:t>
      </w:r>
      <w:r w:rsidRPr="00D65870">
        <w:rPr>
          <w:rFonts w:ascii="Narkisim" w:hAnsi="Narkisim" w:cs="Narkisim"/>
          <w:rtl/>
        </w:rPr>
        <w:t xml:space="preserve"> שדנו דגדר הילפותא דחלות החליצה לא נחשב עשיית היבם, דהמעשה פועל מצד עצמו. ומש"ה אינו בעלים</w:t>
      </w:r>
      <w:r w:rsidRPr="00D65870">
        <w:rPr>
          <w:rStyle w:val="ac"/>
          <w:rFonts w:ascii="Narkisim" w:hAnsi="Narkisim" w:cs="Narkisim"/>
          <w:rtl/>
        </w:rPr>
        <w:footnoteReference w:id="7026"/>
      </w:r>
      <w:r w:rsidRPr="00D65870">
        <w:rPr>
          <w:rFonts w:ascii="Narkisim" w:hAnsi="Narkisim" w:cs="Narkisim"/>
          <w:rtl/>
        </w:rPr>
        <w:t xml:space="preserve"> להטיל בו תנאי</w:t>
      </w:r>
      <w:r w:rsidRPr="00D65870">
        <w:rPr>
          <w:rStyle w:val="ac"/>
          <w:rFonts w:ascii="Narkisim" w:hAnsi="Narkisim" w:cs="Narkisim"/>
          <w:rtl/>
        </w:rPr>
        <w:footnoteReference w:id="7027"/>
      </w:r>
      <w:r w:rsidRPr="00D65870">
        <w:rPr>
          <w:rFonts w:ascii="Narkisim" w:hAnsi="Narkisim" w:cs="Narkisim"/>
          <w:rtl/>
        </w:rPr>
        <w:t>. ועד"ז כת' ה</w:t>
      </w:r>
      <w:r w:rsidRPr="00D65870">
        <w:rPr>
          <w:rFonts w:ascii="Narkisim" w:hAnsi="Narkisim" w:cs="Narkisim"/>
          <w:b/>
          <w:bCs/>
          <w:rtl/>
        </w:rPr>
        <w:t>עונג יו"ט</w:t>
      </w:r>
      <w:r w:rsidRPr="00D65870">
        <w:rPr>
          <w:rFonts w:ascii="Narkisim" w:hAnsi="Narkisim" w:cs="Narkisim"/>
          <w:rtl/>
        </w:rPr>
        <w:t xml:space="preserve"> (ב)</w:t>
      </w:r>
      <w:r w:rsidRPr="00D65870">
        <w:rPr>
          <w:rStyle w:val="ac"/>
          <w:rFonts w:ascii="Narkisim" w:hAnsi="Narkisim" w:cs="Narkisim"/>
          <w:rtl/>
        </w:rPr>
        <w:footnoteReference w:id="7028"/>
      </w:r>
      <w:r w:rsidRPr="00D65870">
        <w:rPr>
          <w:rFonts w:ascii="Narkisim" w:hAnsi="Narkisim" w:cs="Narkisim"/>
          <w:rtl/>
        </w:rPr>
        <w:t>.</w:t>
      </w:r>
    </w:p>
    <w:p w14:paraId="2BDA5FD7"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כת' דעפ"ז כיון דיש כאן 'כוונה' למעשה חליצה, שוב ל"מ להתנות ולקבוע שיחול </w:t>
      </w:r>
      <w:r w:rsidRPr="00D65870">
        <w:rPr>
          <w:rFonts w:ascii="Narkisim" w:hAnsi="Narkisim"/>
          <w:rtl/>
        </w:rPr>
        <w:lastRenderedPageBreak/>
        <w:t>באופן מסויים</w:t>
      </w:r>
      <w:r w:rsidRPr="00D65870">
        <w:rPr>
          <w:rStyle w:val="ac"/>
          <w:rFonts w:ascii="Narkisim" w:hAnsi="Narkisim"/>
          <w:rtl/>
        </w:rPr>
        <w:footnoteReference w:id="7029"/>
      </w:r>
      <w:r w:rsidRPr="00D65870">
        <w:rPr>
          <w:rFonts w:ascii="Narkisim" w:hAnsi="Narkisim"/>
          <w:rtl/>
        </w:rPr>
        <w:t xml:space="preserve"> או ע"י שיור</w:t>
      </w:r>
      <w:r w:rsidRPr="00D65870">
        <w:rPr>
          <w:rStyle w:val="ac"/>
          <w:rFonts w:ascii="Narkisim" w:hAnsi="Narkisim"/>
          <w:rtl/>
        </w:rPr>
        <w:footnoteReference w:id="7030"/>
      </w:r>
      <w:r w:rsidRPr="00D65870">
        <w:rPr>
          <w:rFonts w:ascii="Narkisim" w:hAnsi="Narkisim"/>
          <w:rtl/>
        </w:rPr>
        <w:t xml:space="preserve"> [וכן ל"מ לעשות חליצה שיחול לאחר ל'</w:t>
      </w:r>
      <w:r w:rsidRPr="00D65870">
        <w:rPr>
          <w:rStyle w:val="ac"/>
          <w:rFonts w:ascii="Narkisim" w:hAnsi="Narkisim"/>
          <w:rtl/>
        </w:rPr>
        <w:footnoteReference w:id="7031"/>
      </w:r>
      <w:r w:rsidRPr="00D65870">
        <w:rPr>
          <w:rFonts w:ascii="Narkisim" w:hAnsi="Narkisim"/>
          <w:rtl/>
        </w:rPr>
        <w:t>, ואף דל"ש לפרשת תנאי דבני גד]. דהיבם אינו 'בעלים' על היתר החליצה.</w:t>
      </w:r>
    </w:p>
    <w:p w14:paraId="739B788B"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גר"ח</w:t>
      </w:r>
      <w:r w:rsidRPr="00D65870">
        <w:rPr>
          <w:rFonts w:ascii="Narkisim" w:hAnsi="Narkisim"/>
          <w:rtl/>
        </w:rPr>
        <w:t xml:space="preserve"> (סטנסל) נקט טעם זה דמש"ה ל"מ גדרי 'טעות' בחליצה. אך מ"מ מהני גדר 'תנאי' דבני גד</w:t>
      </w:r>
      <w:r w:rsidRPr="00D65870">
        <w:rPr>
          <w:rStyle w:val="ac"/>
          <w:rFonts w:ascii="Narkisim" w:hAnsi="Narkisim"/>
          <w:rtl/>
        </w:rPr>
        <w:footnoteReference w:id="7032"/>
      </w:r>
      <w:r w:rsidRPr="00D65870">
        <w:rPr>
          <w:rFonts w:ascii="Narkisim" w:hAnsi="Narkisim"/>
          <w:rtl/>
        </w:rPr>
        <w:t>, דהתנאי הוה על גוף המעשה</w:t>
      </w:r>
      <w:r w:rsidRPr="00D65870">
        <w:rPr>
          <w:rStyle w:val="ac"/>
          <w:rFonts w:ascii="Narkisim" w:hAnsi="Narkisim"/>
          <w:rtl/>
        </w:rPr>
        <w:footnoteReference w:id="7033"/>
      </w:r>
      <w:r w:rsidRPr="00D65870">
        <w:rPr>
          <w:rFonts w:ascii="Narkisim" w:hAnsi="Narkisim"/>
          <w:rtl/>
        </w:rPr>
        <w:t>.</w:t>
      </w:r>
    </w:p>
    <w:p w14:paraId="2E6C6A9A"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ה</w:t>
      </w:r>
      <w:r w:rsidRPr="00D65870">
        <w:rPr>
          <w:rFonts w:ascii="Narkisim" w:hAnsi="Narkisim" w:cs="Narkisim"/>
          <w:b/>
          <w:bCs/>
          <w:rtl/>
        </w:rPr>
        <w:t>מאירי</w:t>
      </w:r>
      <w:r w:rsidRPr="00D65870">
        <w:rPr>
          <w:rFonts w:ascii="Narkisim" w:hAnsi="Narkisim" w:cs="Narkisim"/>
          <w:rtl/>
        </w:rPr>
        <w:t xml:space="preserve"> (קידושין סא.) דן לדעת ה</w:t>
      </w:r>
      <w:r w:rsidRPr="00D65870">
        <w:rPr>
          <w:rFonts w:ascii="Narkisim" w:hAnsi="Narkisim" w:cs="Narkisim"/>
          <w:b/>
          <w:bCs/>
          <w:rtl/>
        </w:rPr>
        <w:t>גאונים</w:t>
      </w:r>
      <w:r w:rsidRPr="00D65870">
        <w:rPr>
          <w:rStyle w:val="ac"/>
          <w:rFonts w:ascii="Narkisim" w:hAnsi="Narkisim" w:cs="Narkisim"/>
          <w:rtl/>
        </w:rPr>
        <w:footnoteReference w:id="7034"/>
      </w:r>
      <w:r w:rsidRPr="00D65870">
        <w:rPr>
          <w:rFonts w:ascii="Narkisim" w:hAnsi="Narkisim" w:cs="Narkisim"/>
          <w:rtl/>
        </w:rPr>
        <w:t xml:space="preserve"> דתנאי דמעכשיו ל"צ משפטי התנאים, וע"מ כמעכשיו. א"כ ע"מ שתתן לי ר' זוז דהוה מעכשיו, אמאי בעינן שיהא איתא בשליחות [וכה"ק ה</w:t>
      </w:r>
      <w:r w:rsidRPr="00D65870">
        <w:rPr>
          <w:rFonts w:ascii="Narkisim" w:hAnsi="Narkisim" w:cs="Narkisim"/>
          <w:b/>
          <w:bCs/>
          <w:rtl/>
        </w:rPr>
        <w:t>רמב"ן</w:t>
      </w:r>
      <w:r w:rsidRPr="00D65870">
        <w:rPr>
          <w:rFonts w:ascii="Narkisim" w:hAnsi="Narkisim" w:cs="Narkisim"/>
          <w:rtl/>
        </w:rPr>
        <w:t xml:space="preserve"> גיטין עה:]. והמאירי הביא </w:t>
      </w:r>
      <w:r w:rsidRPr="00D65870">
        <w:rPr>
          <w:rFonts w:ascii="Narkisim" w:hAnsi="Narkisim" w:cs="Narkisim"/>
          <w:b/>
          <w:bCs/>
          <w:rtl/>
        </w:rPr>
        <w:t>י"א</w:t>
      </w:r>
      <w:r w:rsidRPr="00D65870">
        <w:rPr>
          <w:rFonts w:ascii="Narkisim" w:hAnsi="Narkisim" w:cs="Narkisim"/>
          <w:rtl/>
        </w:rPr>
        <w:t xml:space="preserve"> דדוקא מכמה דיני התנאי נתמעט תנאי דמעכשיו, ולעולם בעינן איתיה בשליחות. [ע"ע בסמוך בשם הגר"ח].</w:t>
      </w:r>
    </w:p>
    <w:p w14:paraId="10426466" w14:textId="77777777" w:rsidR="006C4368" w:rsidRPr="00D65870" w:rsidRDefault="006C4368" w:rsidP="006C4368">
      <w:pPr>
        <w:bidi/>
        <w:rPr>
          <w:rFonts w:ascii="Narkisim" w:hAnsi="Narkisim" w:cs="Narkisim"/>
        </w:rPr>
      </w:pPr>
      <w:r w:rsidRPr="00D65870">
        <w:rPr>
          <w:rFonts w:ascii="Narkisim" w:hAnsi="Narkisim" w:cs="Narkisim"/>
          <w:rtl/>
        </w:rPr>
        <w:t>וב</w:t>
      </w:r>
      <w:r w:rsidRPr="00D65870">
        <w:rPr>
          <w:rFonts w:ascii="Narkisim" w:hAnsi="Narkisim" w:cs="Narkisim"/>
          <w:b/>
          <w:bCs/>
          <w:rtl/>
        </w:rPr>
        <w:t>שו"ת ברית אברהם</w:t>
      </w:r>
      <w:r w:rsidRPr="00D65870">
        <w:rPr>
          <w:rFonts w:ascii="Narkisim" w:hAnsi="Narkisim" w:cs="Narkisim"/>
          <w:rtl/>
        </w:rPr>
        <w:t xml:space="preserve"> (טו, הו' בפתח"ת קסט כד) דן עד"ז ע"פ דברי ה</w:t>
      </w:r>
      <w:r w:rsidRPr="00D65870">
        <w:rPr>
          <w:rFonts w:ascii="Narkisim" w:hAnsi="Narkisim" w:cs="Narkisim"/>
          <w:b/>
          <w:bCs/>
          <w:rtl/>
        </w:rPr>
        <w:t>משנ"ל</w:t>
      </w:r>
      <w:r w:rsidRPr="00D65870">
        <w:rPr>
          <w:rFonts w:ascii="Narkisim" w:hAnsi="Narkisim" w:cs="Narkisim"/>
          <w:rtl/>
        </w:rPr>
        <w:t xml:space="preserve"> (אישות ו) דדן דתנאי לשעבר ל"צ משפטי התנאים</w:t>
      </w:r>
      <w:r w:rsidRPr="00D65870">
        <w:rPr>
          <w:rStyle w:val="ac"/>
          <w:rFonts w:ascii="Narkisim" w:hAnsi="Narkisim" w:cs="Narkisim"/>
          <w:rtl/>
        </w:rPr>
        <w:footnoteReference w:id="7035"/>
      </w:r>
      <w:r w:rsidRPr="00D65870">
        <w:rPr>
          <w:rFonts w:ascii="Narkisim" w:hAnsi="Narkisim" w:cs="Narkisim"/>
          <w:rtl/>
        </w:rPr>
        <w:t>. א"כ יהני אף בחליצה, דאף הא דבעינן מילתא דאיתא בשליחות ילפינן מתנאי בני גד. והפתח"ת כת' דלפ"ז יוצא דין חדש דבתנאי לשעבר שפיר מועיל תנאי לבטל החליצה.</w:t>
      </w:r>
    </w:p>
    <w:p w14:paraId="5E125759" w14:textId="77777777" w:rsidR="006C4368" w:rsidRPr="00D65870" w:rsidRDefault="006C4368" w:rsidP="006C4368">
      <w:pPr>
        <w:pStyle w:val="a7"/>
        <w:bidi/>
        <w:rPr>
          <w:rFonts w:ascii="Narkisim" w:hAnsi="Narkisim"/>
        </w:rPr>
      </w:pPr>
      <w:r w:rsidRPr="00D65870">
        <w:rPr>
          <w:rFonts w:ascii="Narkisim" w:hAnsi="Narkisim"/>
          <w:rtl/>
        </w:rPr>
        <w:t>אך ה</w:t>
      </w:r>
      <w:r w:rsidRPr="00D65870">
        <w:rPr>
          <w:rFonts w:ascii="Narkisim" w:hAnsi="Narkisim"/>
          <w:b/>
          <w:bCs/>
          <w:rtl/>
        </w:rPr>
        <w:t>פתח"ת</w:t>
      </w:r>
      <w:r w:rsidRPr="00D65870">
        <w:rPr>
          <w:rFonts w:ascii="Narkisim" w:hAnsi="Narkisim"/>
          <w:rtl/>
        </w:rPr>
        <w:t xml:space="preserve"> העיר דמדברי ה</w:t>
      </w:r>
      <w:r w:rsidRPr="00D65870">
        <w:rPr>
          <w:rFonts w:ascii="Narkisim" w:hAnsi="Narkisim"/>
          <w:b/>
          <w:bCs/>
          <w:rtl/>
        </w:rPr>
        <w:t>תוס</w:t>
      </w:r>
      <w:r w:rsidRPr="00D65870">
        <w:rPr>
          <w:rFonts w:ascii="Narkisim" w:hAnsi="Narkisim"/>
          <w:rtl/>
        </w:rPr>
        <w:t>' (כתובות עד. הנ"ל) מבואר דהך מלתא דבעינן שאפשר לקיימו ע"י שליח אינו תלוי בשאר משפטי התנאים. [ואף תנאי דמעכשיו ילפי' דבעי אי' בשליחות].</w:t>
      </w:r>
    </w:p>
    <w:p w14:paraId="00ADD750"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(שער"י ז ח, וע' קובה"ע עו ז,ח) ביארו דילפי' דכל מילתא דליתא בשליחות נחשב דהחלות חל ממילא. ודוקא בחלות שהאדם פועל שייך גדרי תנאים, ואפי' תנאי דמעכשיו.</w:t>
      </w:r>
    </w:p>
    <w:p w14:paraId="2829D3B5"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גר"ח</w:t>
      </w:r>
      <w:r w:rsidRPr="00D65870">
        <w:rPr>
          <w:rFonts w:ascii="Narkisim" w:hAnsi="Narkisim"/>
          <w:rtl/>
        </w:rPr>
        <w:t xml:space="preserve"> (סטנסל) כת' דתנאי דמעכשיו מהני משום גדרי גילוי דעת וטעות. וגדרי טעות הוא בעשיית ההיתר, ומש"ה בחליצה ל"ש גדרי טעות, דהאדם אינו פועל את ההיתר. וכיון שמעשה החליצה היתה בכוונה לא איכפ"ל דאין לו 'דעת'</w:t>
      </w:r>
      <w:r w:rsidRPr="00D65870">
        <w:rPr>
          <w:rStyle w:val="ac"/>
          <w:rFonts w:ascii="Narkisim" w:hAnsi="Narkisim"/>
          <w:rtl/>
        </w:rPr>
        <w:footnoteReference w:id="7036"/>
      </w:r>
      <w:r w:rsidRPr="00D65870">
        <w:rPr>
          <w:rFonts w:ascii="Narkisim" w:hAnsi="Narkisim"/>
          <w:rtl/>
        </w:rPr>
        <w:t>. [וחליצה ל"צ דעת כמו גירושין וקידושין, אלא שיתכוין לחלוץ</w:t>
      </w:r>
      <w:r w:rsidRPr="00D65870">
        <w:rPr>
          <w:rStyle w:val="ac"/>
          <w:rFonts w:ascii="Narkisim" w:hAnsi="Narkisim"/>
          <w:rtl/>
        </w:rPr>
        <w:footnoteReference w:id="7037"/>
      </w:r>
      <w:r w:rsidRPr="00D65870">
        <w:rPr>
          <w:rFonts w:ascii="Narkisim" w:hAnsi="Narkisim"/>
          <w:rtl/>
        </w:rPr>
        <w:t>].</w:t>
      </w:r>
    </w:p>
    <w:p w14:paraId="67AB90B5"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שעה"מ</w:t>
      </w:r>
      <w:r w:rsidRPr="00D65870">
        <w:rPr>
          <w:rFonts w:ascii="Narkisim" w:hAnsi="Narkisim" w:cs="Narkisim"/>
          <w:rtl/>
        </w:rPr>
        <w:t xml:space="preserve"> (הנ"ל) כת' דדעת הרמב"ם דל"מ תנאי כלל בחליצה, כיון דאפי' חליצה בטעות מהני. אלא דהוסיף הטעם דכוונה בחליצה הוה רק מדרבנן.</w:t>
      </w:r>
    </w:p>
    <w:p w14:paraId="3BDB5FCF" w14:textId="77777777" w:rsidR="006C4368" w:rsidRPr="00D65870" w:rsidRDefault="006C4368" w:rsidP="006C4368">
      <w:pPr>
        <w:bidi/>
        <w:rPr>
          <w:rFonts w:ascii="Narkisim" w:hAnsi="Narkisim" w:cs="Narkisim"/>
        </w:rPr>
      </w:pPr>
      <w:r w:rsidRPr="00D65870">
        <w:rPr>
          <w:rFonts w:ascii="Narkisim" w:hAnsi="Narkisim" w:cs="Narkisim"/>
          <w:i/>
          <w:iCs/>
          <w:szCs w:val="20"/>
          <w:rtl/>
        </w:rPr>
        <w:t>דעת הרמב"ם</w:t>
      </w:r>
      <w:r w:rsidRPr="00D65870">
        <w:rPr>
          <w:rFonts w:ascii="Narkisim" w:hAnsi="Narkisim" w:cs="Narkisim"/>
          <w:rtl/>
        </w:rPr>
        <w:t xml:space="preserve"> – ה</w:t>
      </w:r>
      <w:r w:rsidRPr="00D65870">
        <w:rPr>
          <w:rFonts w:ascii="Narkisim" w:hAnsi="Narkisim" w:cs="Narkisim"/>
          <w:b/>
          <w:bCs/>
          <w:rtl/>
        </w:rPr>
        <w:t>רמב"ם</w:t>
      </w:r>
      <w:r w:rsidRPr="00D65870">
        <w:rPr>
          <w:rFonts w:ascii="Narkisim" w:hAnsi="Narkisim" w:cs="Narkisim"/>
          <w:rtl/>
        </w:rPr>
        <w:t xml:space="preserve"> (יבום ד כד) כת' דהטעוהו ואמרו לו חלוץ לה ע"מ שתתן לך מאתים זוז או על תנאי כך וכך, אע"פ שלא נתנה ולא נתקיים התנאי חליצתה כשרה, שהרי נתכוון לחלוץ לה.</w:t>
      </w:r>
    </w:p>
    <w:p w14:paraId="69F76781"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רמב"ם</w:t>
      </w:r>
      <w:r w:rsidRPr="00D65870">
        <w:rPr>
          <w:rFonts w:ascii="Narkisim" w:hAnsi="Narkisim" w:cs="Narkisim"/>
          <w:rtl/>
        </w:rPr>
        <w:t xml:space="preserve"> (אישות ו ב) כת' דתנאי צריך ד' כללים, ולא הזכיר דבעינן דבר שאפשר לקיימו ע"י שליח.</w:t>
      </w:r>
    </w:p>
    <w:p w14:paraId="534AC1DD"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ה"ה</w:t>
      </w:r>
      <w:r w:rsidRPr="00D65870">
        <w:rPr>
          <w:rFonts w:ascii="Narkisim" w:hAnsi="Narkisim"/>
          <w:rtl/>
        </w:rPr>
        <w:t xml:space="preserve"> (אישות שם) תי' דהרמב"ם סמך אמש"כ גבי חליצה דל"מ בזה תנאי. ובהלכות אישות איירי היכא דשייך בהן תנאי, מה הן הדברים שצריך בתנאי. ומש"ה לא הביא הא דלא מהני </w:t>
      </w:r>
      <w:r w:rsidRPr="00D65870">
        <w:rPr>
          <w:rFonts w:ascii="Narkisim" w:hAnsi="Narkisim"/>
          <w:rtl/>
        </w:rPr>
        <w:lastRenderedPageBreak/>
        <w:t>תנאי בחליצה</w:t>
      </w:r>
      <w:r w:rsidRPr="00D65870">
        <w:rPr>
          <w:rStyle w:val="ac"/>
          <w:rFonts w:ascii="Narkisim" w:hAnsi="Narkisim"/>
          <w:rtl/>
        </w:rPr>
        <w:footnoteReference w:id="7038"/>
      </w:r>
      <w:r w:rsidRPr="00D65870">
        <w:rPr>
          <w:rFonts w:ascii="Narkisim" w:hAnsi="Narkisim"/>
          <w:rtl/>
        </w:rPr>
        <w:t>.</w:t>
      </w:r>
    </w:p>
    <w:p w14:paraId="75FC1ABE" w14:textId="77777777" w:rsidR="006C4368" w:rsidRPr="00D65870" w:rsidRDefault="006C4368" w:rsidP="006C4368">
      <w:pPr>
        <w:pStyle w:val="a7"/>
        <w:bidi/>
        <w:rPr>
          <w:rFonts w:ascii="Narkisim" w:hAnsi="Narkisim"/>
        </w:rPr>
      </w:pPr>
      <w:r w:rsidRPr="00D65870">
        <w:rPr>
          <w:rFonts w:ascii="Narkisim" w:hAnsi="Narkisim"/>
          <w:rtl/>
        </w:rPr>
        <w:t>אבל ה</w:t>
      </w:r>
      <w:r w:rsidRPr="00D65870">
        <w:rPr>
          <w:rFonts w:ascii="Narkisim" w:hAnsi="Narkisim"/>
          <w:b/>
          <w:bCs/>
          <w:rtl/>
        </w:rPr>
        <w:t>כס"מ</w:t>
      </w:r>
      <w:r w:rsidRPr="00D65870">
        <w:rPr>
          <w:rFonts w:ascii="Narkisim" w:hAnsi="Narkisim"/>
          <w:rtl/>
        </w:rPr>
        <w:t xml:space="preserve"> (שם) כת' דלא קי"ל דמילתא דליתא בשליחות ליתא בתנאי, כוותיה כס"ד דהגמ' כתובות, דכיון דעבד מעשה אחולי אחליה לתנאיה. וכת' דכך מטין דברי הרמב"ם (הנ"ל) שכת' הטעם בחליצה מוטעית, שהרי נתכוין לחלוץ לה. ולא כתב שהטעם מפני שא"א לקיימה ע"י שליח</w:t>
      </w:r>
      <w:r w:rsidRPr="00D65870">
        <w:rPr>
          <w:rStyle w:val="ac"/>
          <w:rFonts w:ascii="Narkisim" w:hAnsi="Narkisim"/>
          <w:rtl/>
        </w:rPr>
        <w:footnoteReference w:id="7039"/>
      </w:r>
      <w:r w:rsidRPr="00D65870">
        <w:rPr>
          <w:rFonts w:ascii="Narkisim" w:hAnsi="Narkisim"/>
          <w:rtl/>
        </w:rPr>
        <w:t>.</w:t>
      </w:r>
    </w:p>
    <w:p w14:paraId="639AD498"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שעה"מ</w:t>
      </w:r>
      <w:r w:rsidRPr="00D65870">
        <w:rPr>
          <w:rFonts w:ascii="Narkisim" w:hAnsi="Narkisim"/>
          <w:rtl/>
        </w:rPr>
        <w:t xml:space="preserve"> הק' דבסוגיין (בסמוך) מבואר דיש חילוק בין חליצה מוטעית לגט מוטעית, ואי יש סברא דעבד מעשה ומחל, א"כ אף בגט נימא הכי</w:t>
      </w:r>
      <w:r w:rsidRPr="00D65870">
        <w:rPr>
          <w:rStyle w:val="ac"/>
          <w:rFonts w:ascii="Narkisim" w:hAnsi="Narkisim"/>
          <w:rtl/>
        </w:rPr>
        <w:footnoteReference w:id="7040"/>
      </w:r>
      <w:r w:rsidRPr="00D65870">
        <w:rPr>
          <w:rFonts w:ascii="Narkisim" w:hAnsi="Narkisim"/>
          <w:rtl/>
        </w:rPr>
        <w:t>. והשעה"מ כת' דאפשר דהכס"מ נקט דדוקא בחליצה שהוא מצווה ורמי עליה אמרי' דעבד מעשה ומחל, ולא בשאר תנאי</w:t>
      </w:r>
      <w:r w:rsidRPr="00D65870">
        <w:rPr>
          <w:rStyle w:val="ac"/>
          <w:rFonts w:ascii="Narkisim" w:hAnsi="Narkisim"/>
          <w:rtl/>
        </w:rPr>
        <w:footnoteReference w:id="7041"/>
      </w:r>
      <w:r w:rsidRPr="00D65870">
        <w:rPr>
          <w:rFonts w:ascii="Narkisim" w:hAnsi="Narkisim"/>
          <w:rtl/>
        </w:rPr>
        <w:t>.</w:t>
      </w:r>
    </w:p>
    <w:p w14:paraId="45DAC8E0"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מאירי</w:t>
      </w:r>
      <w:r w:rsidRPr="00D65870">
        <w:rPr>
          <w:rFonts w:ascii="Narkisim" w:hAnsi="Narkisim" w:cs="Narkisim"/>
          <w:rtl/>
        </w:rPr>
        <w:t xml:space="preserve"> הביא </w:t>
      </w:r>
      <w:r w:rsidRPr="00D65870">
        <w:rPr>
          <w:rFonts w:ascii="Narkisim" w:hAnsi="Narkisim" w:cs="Narkisim"/>
          <w:b/>
          <w:bCs/>
          <w:rtl/>
        </w:rPr>
        <w:t>י"מ</w:t>
      </w:r>
      <w:r w:rsidRPr="00D65870">
        <w:rPr>
          <w:rFonts w:ascii="Narkisim" w:hAnsi="Narkisim" w:cs="Narkisim"/>
          <w:rtl/>
        </w:rPr>
        <w:t xml:space="preserve"> דהטעם דל"מ תנאי משום דטוענת משטה [כדאי' בסוגיא בסמוך]. ואיירי דוקא היכא שהתנה בדבר שאלמלא התנאי לא היתה חייבת בו. ועפ"ז כת' דהיכא דהתנה בדבר שאף בלא התנאי היתה חייבת בו, כגון על מנת שתחזירי לי כיסי, הוה תנאי. וכל שאינה מחזרת, אין חליצתה כלום ואין לה לטעון בה בהשטאה כלום</w:t>
      </w:r>
      <w:r w:rsidRPr="00D65870">
        <w:rPr>
          <w:rStyle w:val="ac"/>
          <w:rFonts w:ascii="Narkisim" w:hAnsi="Narkisim" w:cs="Narkisim"/>
          <w:rtl/>
        </w:rPr>
        <w:footnoteReference w:id="7042"/>
      </w:r>
      <w:r w:rsidRPr="00D65870">
        <w:rPr>
          <w:rFonts w:ascii="Narkisim" w:hAnsi="Narkisim" w:cs="Narkisim"/>
          <w:rtl/>
        </w:rPr>
        <w:t>.</w:t>
      </w:r>
    </w:p>
    <w:p w14:paraId="7559044D" w14:textId="77777777" w:rsidR="006C4368" w:rsidRPr="00D65870" w:rsidRDefault="006C4368" w:rsidP="006C4368">
      <w:pPr>
        <w:pStyle w:val="a8"/>
        <w:bidi/>
        <w:rPr>
          <w:rFonts w:ascii="Narkisim" w:hAnsi="Narkisim"/>
        </w:rPr>
      </w:pPr>
      <w:r w:rsidRPr="00D65870">
        <w:rPr>
          <w:rFonts w:ascii="Narkisim" w:hAnsi="Narkisim"/>
          <w:rtl/>
        </w:rPr>
        <w:t xml:space="preserve">ועד"ז הביא </w:t>
      </w:r>
      <w:r w:rsidRPr="00D65870">
        <w:rPr>
          <w:rFonts w:ascii="Narkisim" w:hAnsi="Narkisim"/>
          <w:b/>
          <w:bCs/>
          <w:rtl/>
        </w:rPr>
        <w:t>ר' ירוחם</w:t>
      </w:r>
      <w:r w:rsidRPr="00D65870">
        <w:rPr>
          <w:rFonts w:ascii="Narkisim" w:hAnsi="Narkisim"/>
          <w:rtl/>
        </w:rPr>
        <w:t xml:space="preserve"> (כה ב, הו' באבנ"מ לח ה) בשם ה</w:t>
      </w:r>
      <w:r w:rsidRPr="00D65870">
        <w:rPr>
          <w:rFonts w:ascii="Narkisim" w:hAnsi="Narkisim"/>
          <w:b/>
          <w:bCs/>
          <w:rtl/>
        </w:rPr>
        <w:t>רמ"ה</w:t>
      </w:r>
      <w:r w:rsidRPr="00D65870">
        <w:rPr>
          <w:rFonts w:ascii="Narkisim" w:hAnsi="Narkisim"/>
          <w:rtl/>
        </w:rPr>
        <w:t xml:space="preserve"> דכל מה שהתנה יותר מן הראוי בשכירות אינו שום דבר. אבל אם התנה בדבר הראוי ליתן או שחייבת לו, אם נתנה הוה חליצה. ואם לא נתנה לא הוה חליצה.</w:t>
      </w:r>
    </w:p>
    <w:p w14:paraId="7306F063"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או"ש</w:t>
      </w:r>
      <w:r w:rsidRPr="00D65870">
        <w:rPr>
          <w:rFonts w:ascii="Narkisim" w:hAnsi="Narkisim"/>
          <w:rtl/>
        </w:rPr>
        <w:t xml:space="preserve"> (יבום שם) כת' עוד דבסוגיין איירי שהבי"ד עשו תנאי, ולא החולץ. [עי"ש].</w:t>
      </w:r>
    </w:p>
    <w:p w14:paraId="6C40EDE3" w14:textId="77777777" w:rsidR="006C4368" w:rsidRPr="00D65870" w:rsidRDefault="006C4368" w:rsidP="006C4368">
      <w:pPr>
        <w:pStyle w:val="a8"/>
        <w:bidi/>
        <w:rPr>
          <w:rFonts w:ascii="Narkisim" w:hAnsi="Narkisim"/>
        </w:rPr>
      </w:pPr>
      <w:r w:rsidRPr="00D65870">
        <w:rPr>
          <w:rFonts w:ascii="Narkisim" w:hAnsi="Narkisim"/>
          <w:rtl/>
        </w:rPr>
        <w:t>ועוד כת' ה</w:t>
      </w:r>
      <w:r w:rsidRPr="00D65870">
        <w:rPr>
          <w:rFonts w:ascii="Narkisim" w:hAnsi="Narkisim"/>
          <w:b/>
          <w:bCs/>
          <w:rtl/>
        </w:rPr>
        <w:t>או"ש</w:t>
      </w:r>
      <w:r w:rsidRPr="00D65870">
        <w:rPr>
          <w:rFonts w:ascii="Narkisim" w:hAnsi="Narkisim"/>
          <w:rtl/>
        </w:rPr>
        <w:t xml:space="preserve"> דחליצה צריך כוונה שאינו חפץ ליבמה, דכתיב לא אבה יבמי. ולא צריך שיתכוון להתירה לינשא. ובסוגיין עשה תנאי על ההיתר נישואין, דאף חליצה בלא כוונה אוסרתו מיבום [וכדמבואר בסוגיין]. וכיון דנתכוון לעשות חליצה שתאסור ליבום סגי בכך. ולא איכפ"ל שעשה תנאי שע"ד כן אינו מתכוון להתירה.</w:t>
      </w:r>
    </w:p>
    <w:p w14:paraId="11F31B46" w14:textId="77777777" w:rsidR="006C4368" w:rsidRPr="00D65870" w:rsidRDefault="006C4368" w:rsidP="006C4368">
      <w:pPr>
        <w:pStyle w:val="aa"/>
        <w:bidi/>
        <w:rPr>
          <w:rFonts w:ascii="Narkisim" w:hAnsi="Narkisim"/>
        </w:rPr>
      </w:pPr>
      <w:r w:rsidRPr="00D65870">
        <w:rPr>
          <w:rFonts w:ascii="Narkisim" w:hAnsi="Narkisim"/>
          <w:u w:val="single"/>
          <w:rtl/>
        </w:rPr>
        <w:t>שם.</w:t>
      </w:r>
      <w:r w:rsidRPr="00D65870">
        <w:rPr>
          <w:rFonts w:ascii="Narkisim" w:hAnsi="Narkisim"/>
          <w:rtl/>
        </w:rPr>
        <w:t xml:space="preserve"> רב אשי (לעיל נג.) העמיד את המח' בברייתא בחולץ וחזר ועשה מאמר, איירי שעשה תנאי בחליצה. ונח' אי יש תנאי בחליצה. ורבינא אמר דלכו"ע יש תנאי בחליצה. ו</w:t>
      </w:r>
      <w:r w:rsidRPr="00D65870">
        <w:rPr>
          <w:rFonts w:ascii="Narkisim" w:hAnsi="Narkisim"/>
          <w:b/>
          <w:bCs/>
          <w:rtl/>
        </w:rPr>
        <w:t>רש"י</w:t>
      </w:r>
      <w:r w:rsidRPr="00D65870">
        <w:rPr>
          <w:rFonts w:ascii="Narkisim" w:hAnsi="Narkisim"/>
          <w:rtl/>
        </w:rPr>
        <w:t xml:space="preserve"> (שם) כת' דאף דקי"ל (בסוגיין) דחליצה מוטעת כשירה, הני תנאי לא ס"ל הכי [ופליגי אברייתא זו</w:t>
      </w:r>
      <w:r w:rsidRPr="00D65870">
        <w:rPr>
          <w:rStyle w:val="ac"/>
          <w:rFonts w:ascii="Narkisim" w:hAnsi="Narkisim"/>
          <w:rtl/>
        </w:rPr>
        <w:footnoteReference w:id="7043"/>
      </w:r>
      <w:r w:rsidRPr="00D65870">
        <w:rPr>
          <w:rFonts w:ascii="Narkisim" w:hAnsi="Narkisim"/>
          <w:rtl/>
        </w:rPr>
        <w:t>]. ו</w:t>
      </w:r>
      <w:r w:rsidRPr="00D65870">
        <w:rPr>
          <w:rFonts w:ascii="Narkisim" w:hAnsi="Narkisim"/>
          <w:b/>
          <w:bCs/>
          <w:rtl/>
        </w:rPr>
        <w:t>תוס'</w:t>
      </w:r>
      <w:r w:rsidRPr="00D65870">
        <w:rPr>
          <w:rFonts w:ascii="Narkisim" w:hAnsi="Narkisim"/>
          <w:rtl/>
        </w:rPr>
        <w:t xml:space="preserve"> (לעיל נג. וכתובות עד.) תי' דודאי מותרת לשוק, אף כשעשו תנאי בחליצה. אלא דאפ"ה נחשב 'חליצה פסולה', ותפס מאמר יבמין לאחר חליצה פסולה כיון דלא נפקע לזיקה לגמרי</w:t>
      </w:r>
      <w:r w:rsidRPr="00D65870">
        <w:rPr>
          <w:rStyle w:val="ac"/>
          <w:rFonts w:ascii="Narkisim" w:hAnsi="Narkisim"/>
          <w:rtl/>
        </w:rPr>
        <w:footnoteReference w:id="7044"/>
      </w:r>
      <w:r w:rsidRPr="00D65870">
        <w:rPr>
          <w:rFonts w:ascii="Narkisim" w:hAnsi="Narkisim"/>
          <w:rtl/>
        </w:rPr>
        <w:t xml:space="preserve"> [ואף שהיא מותרת לשוק].</w:t>
      </w:r>
    </w:p>
    <w:p w14:paraId="3669FF02" w14:textId="77777777" w:rsidR="006C4368" w:rsidRPr="00D65870" w:rsidRDefault="006C4368" w:rsidP="006C4368">
      <w:pPr>
        <w:bidi/>
        <w:rPr>
          <w:rFonts w:ascii="Narkisim" w:hAnsi="Narkisim" w:cs="Narkisim"/>
        </w:rPr>
      </w:pPr>
      <w:r w:rsidRPr="00D65870">
        <w:rPr>
          <w:rFonts w:ascii="Narkisim" w:hAnsi="Narkisim" w:cs="Narkisim"/>
          <w:u w:val="single"/>
          <w:rtl/>
        </w:rPr>
        <w:t>רש"י ד"ה על מנת</w:t>
      </w:r>
      <w:r w:rsidRPr="00D65870">
        <w:rPr>
          <w:rStyle w:val="ac"/>
          <w:rFonts w:ascii="Narkisim" w:hAnsi="Narkisim" w:cs="Narkisim"/>
          <w:rtl/>
        </w:rPr>
        <w:footnoteReference w:id="7045"/>
      </w:r>
      <w:r w:rsidRPr="00D65870">
        <w:rPr>
          <w:rFonts w:ascii="Narkisim" w:hAnsi="Narkisim" w:cs="Narkisim"/>
          <w:rtl/>
        </w:rPr>
        <w:t>. וכל תנאי דלא אפשר לעשות ע"י שליח, וכגון חליצה וכו'. לא נתפרש בדברי רש"י מנ"ל דל"מ שליח בחליצה.</w:t>
      </w:r>
    </w:p>
    <w:p w14:paraId="1B68BA82"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כת' דחליצה אי אפשר ע"י שליח, דבעינן וחלצה נעלו 'מעל רגלו'. ועוד כת' ה</w:t>
      </w:r>
      <w:r w:rsidRPr="00D65870">
        <w:rPr>
          <w:rFonts w:ascii="Narkisim" w:hAnsi="Narkisim"/>
          <w:b/>
          <w:bCs/>
          <w:rtl/>
        </w:rPr>
        <w:t>מהר"ח או"ז</w:t>
      </w:r>
      <w:r w:rsidRPr="00D65870">
        <w:rPr>
          <w:rFonts w:ascii="Narkisim" w:hAnsi="Narkisim"/>
          <w:rtl/>
        </w:rPr>
        <w:t xml:space="preserve"> (קכח) דשמא דבעינן חליצה דומיא דייבום</w:t>
      </w:r>
      <w:r w:rsidRPr="00D65870">
        <w:rPr>
          <w:rStyle w:val="ac"/>
          <w:rFonts w:ascii="Narkisim" w:hAnsi="Narkisim"/>
          <w:rtl/>
        </w:rPr>
        <w:footnoteReference w:id="7046"/>
      </w:r>
      <w:r w:rsidRPr="00D65870">
        <w:rPr>
          <w:rFonts w:ascii="Narkisim" w:hAnsi="Narkisim"/>
          <w:rtl/>
        </w:rPr>
        <w:t>.</w:t>
      </w:r>
    </w:p>
    <w:p w14:paraId="1BC7CB58"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מהר"ח או"ז</w:t>
      </w:r>
      <w:r w:rsidRPr="00D65870">
        <w:rPr>
          <w:rFonts w:ascii="Narkisim" w:hAnsi="Narkisim"/>
          <w:rtl/>
        </w:rPr>
        <w:t xml:space="preserve"> (חדשות ה)</w:t>
      </w:r>
      <w:r w:rsidRPr="00D65870">
        <w:rPr>
          <w:rStyle w:val="ac"/>
          <w:rFonts w:ascii="Narkisim" w:hAnsi="Narkisim"/>
          <w:rtl/>
        </w:rPr>
        <w:footnoteReference w:id="7047"/>
      </w:r>
      <w:r w:rsidRPr="00D65870">
        <w:rPr>
          <w:rFonts w:ascii="Narkisim" w:hAnsi="Narkisim"/>
          <w:rtl/>
        </w:rPr>
        <w:t xml:space="preserve"> כת' ונראה הטעם משום דבעינן שיתכוין להתיר, וזה אי אפשר ע"י שליח. ולא דמי לגט שכתבו מוכיח, וכאן אם אמר לשלוחו תתיר במקומי אי אפשר עד שיתיר בעצמו. וכיון דאי אפשר לקיימו ע"י אחר והתנאי בטל ומעשה קיים.</w:t>
      </w:r>
    </w:p>
    <w:p w14:paraId="5AD0B8B2"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(עו ז) כת' דיש ב' אופני שליחות, יש דינים דמעשה השליח הוה מעשה מצד עצמו. אבל בגט וכדו' </w:t>
      </w:r>
      <w:r w:rsidRPr="00D65870">
        <w:rPr>
          <w:rFonts w:ascii="Narkisim" w:hAnsi="Narkisim"/>
          <w:rtl/>
        </w:rPr>
        <w:lastRenderedPageBreak/>
        <w:t>צריך שיהא מעשה של הבעלים, ומהני רק ע"י גדר מסירת כח. וגדר מסירת כח מהני רק במידי דהאדם הוא פועל החלות. אבל בחליצה שהדין חל מאליו ע"י המעשה, לא שייך לומר שימסור כחו להשליח. דגם הוא בעצמו אין לו כח להתיר או לאסור</w:t>
      </w:r>
      <w:r w:rsidRPr="00D65870">
        <w:rPr>
          <w:rStyle w:val="ac"/>
          <w:rFonts w:ascii="Narkisim" w:hAnsi="Narkisim"/>
          <w:rtl/>
        </w:rPr>
        <w:footnoteReference w:id="7048"/>
      </w:r>
      <w:r w:rsidRPr="00D65870">
        <w:rPr>
          <w:rFonts w:ascii="Narkisim" w:hAnsi="Narkisim"/>
          <w:rtl/>
        </w:rPr>
        <w:t>.</w:t>
      </w:r>
    </w:p>
    <w:p w14:paraId="144A7AAE" w14:textId="77777777" w:rsidR="006C4368" w:rsidRPr="00D65870" w:rsidRDefault="006C4368" w:rsidP="006C4368">
      <w:pPr>
        <w:pStyle w:val="aa"/>
        <w:bidi/>
        <w:rPr>
          <w:rFonts w:ascii="Narkisim" w:hAnsi="Narkisim"/>
        </w:rPr>
      </w:pPr>
      <w:r w:rsidRPr="00D65870">
        <w:rPr>
          <w:rFonts w:ascii="Narkisim" w:hAnsi="Narkisim"/>
          <w:u w:val="single"/>
          <w:rtl/>
        </w:rPr>
        <w:t>תוד"ה בתי</w:t>
      </w:r>
      <w:r w:rsidRPr="00D65870">
        <w:rPr>
          <w:rFonts w:ascii="Narkisim" w:hAnsi="Narkisim"/>
          <w:rtl/>
        </w:rPr>
        <w:t>. ללשון שפ"ה עמודי וחלצי לו משמע שצריך עמידה לחלוץ וכו'. ותוס' דנו דהוה לכתחילה. וה</w:t>
      </w:r>
      <w:r w:rsidRPr="00D65870">
        <w:rPr>
          <w:rFonts w:ascii="Narkisim" w:hAnsi="Narkisim"/>
          <w:b/>
          <w:bCs/>
          <w:rtl/>
        </w:rPr>
        <w:t>רשב"א</w:t>
      </w:r>
      <w:r w:rsidRPr="00D65870">
        <w:rPr>
          <w:rFonts w:ascii="Narkisim" w:hAnsi="Narkisim"/>
          <w:rtl/>
        </w:rPr>
        <w:t xml:space="preserve"> (לעיל קג.) דחה דלא איירי בשעת חליצה, אלא קודם חליצה שבאה לפניו להתרעם או ליטול עצה, בזה הוה כמו דין.</w:t>
      </w:r>
    </w:p>
    <w:p w14:paraId="08511BEA" w14:textId="77777777" w:rsidR="006C4368" w:rsidRPr="00D65870" w:rsidRDefault="006C4368" w:rsidP="006C4368">
      <w:pPr>
        <w:bidi/>
        <w:rPr>
          <w:rFonts w:ascii="Narkisim" w:hAnsi="Narkisim" w:cs="Narkisim"/>
        </w:rPr>
      </w:pPr>
      <w:r w:rsidRPr="00D65870">
        <w:rPr>
          <w:rFonts w:ascii="Narkisim" w:hAnsi="Narkisim" w:cs="Narkisim"/>
          <w:u w:val="single"/>
          <w:rtl/>
        </w:rPr>
        <w:t>אמר לה חלוץ לה ובכך אתה כונסה וכו' השתא מינך אפסלא לה וכו'</w:t>
      </w:r>
      <w:r w:rsidRPr="00D65870">
        <w:rPr>
          <w:rFonts w:ascii="Narkisim" w:hAnsi="Narkisim" w:cs="Narkisim"/>
          <w:rtl/>
        </w:rPr>
        <w:t>. ה</w:t>
      </w:r>
      <w:r w:rsidRPr="00D65870">
        <w:rPr>
          <w:rFonts w:ascii="Narkisim" w:hAnsi="Narkisim" w:cs="Narkisim"/>
          <w:b/>
          <w:bCs/>
          <w:rtl/>
        </w:rPr>
        <w:t>ר"י מגאש</w:t>
      </w:r>
      <w:r w:rsidRPr="00D65870">
        <w:rPr>
          <w:rFonts w:ascii="Narkisim" w:hAnsi="Narkisim" w:cs="Narkisim"/>
          <w:rtl/>
        </w:rPr>
        <w:t xml:space="preserve"> (שו"ת, הו' ברמב"ן לעיל קב:) הביא דאף דלא נתכוון [להתיר], אפ"ה הוה חליצה פסולה ונאסרת עליו. [והק' מהגמ' קב:].</w:t>
      </w:r>
    </w:p>
    <w:p w14:paraId="2AA8840D"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ר"י מגאש</w:t>
      </w:r>
      <w:r w:rsidRPr="00D65870">
        <w:rPr>
          <w:rFonts w:ascii="Narkisim" w:hAnsi="Narkisim"/>
          <w:rtl/>
        </w:rPr>
        <w:t xml:space="preserve"> תי' דבאמת לא נפסלה עליו, אלא דהטעהו שיחזור ויחלוץ לה חליצה מעליא</w:t>
      </w:r>
      <w:r w:rsidRPr="00D65870">
        <w:rPr>
          <w:rStyle w:val="ac"/>
          <w:rFonts w:ascii="Narkisim" w:hAnsi="Narkisim"/>
          <w:rtl/>
        </w:rPr>
        <w:footnoteReference w:id="7049"/>
      </w:r>
      <w:r w:rsidRPr="00D65870">
        <w:rPr>
          <w:rFonts w:ascii="Narkisim" w:hAnsi="Narkisim"/>
          <w:rtl/>
        </w:rPr>
        <w:t>. א"נ נפסלה משום קריאה ורקיקה</w:t>
      </w:r>
      <w:r w:rsidRPr="00D65870">
        <w:rPr>
          <w:rStyle w:val="ac"/>
          <w:rFonts w:ascii="Narkisim" w:hAnsi="Narkisim"/>
          <w:rtl/>
        </w:rPr>
        <w:footnoteReference w:id="7050"/>
      </w:r>
      <w:r w:rsidRPr="00D65870">
        <w:rPr>
          <w:rFonts w:ascii="Narkisim" w:hAnsi="Narkisim"/>
          <w:rtl/>
        </w:rPr>
        <w:t>. וה</w:t>
      </w:r>
      <w:r w:rsidRPr="00D65870">
        <w:rPr>
          <w:rFonts w:ascii="Narkisim" w:hAnsi="Narkisim"/>
          <w:b/>
          <w:bCs/>
          <w:rtl/>
        </w:rPr>
        <w:t>רמב"ן</w:t>
      </w:r>
      <w:r w:rsidRPr="00D65870">
        <w:rPr>
          <w:rFonts w:ascii="Narkisim" w:hAnsi="Narkisim"/>
          <w:rtl/>
        </w:rPr>
        <w:t xml:space="preserve"> דחה דמשמע דנאסרת מחמת החליצה.</w:t>
      </w:r>
    </w:p>
    <w:p w14:paraId="1DDEA85D" w14:textId="77777777" w:rsidR="006C4368" w:rsidRPr="00D65870" w:rsidRDefault="006C4368" w:rsidP="006C4368">
      <w:pPr>
        <w:pStyle w:val="a7"/>
        <w:bidi/>
        <w:rPr>
          <w:rFonts w:ascii="Narkisim" w:hAnsi="Narkisim"/>
        </w:rPr>
      </w:pPr>
      <w:r w:rsidRPr="00D65870">
        <w:rPr>
          <w:rFonts w:ascii="Narkisim" w:hAnsi="Narkisim"/>
          <w:rtl/>
        </w:rPr>
        <w:t>ועוד תי' ה</w:t>
      </w:r>
      <w:r w:rsidRPr="00D65870">
        <w:rPr>
          <w:rFonts w:ascii="Narkisim" w:hAnsi="Narkisim"/>
          <w:b/>
          <w:bCs/>
          <w:rtl/>
        </w:rPr>
        <w:t>ר"י מגאש</w:t>
      </w:r>
      <w:r w:rsidRPr="00D65870">
        <w:rPr>
          <w:rFonts w:ascii="Narkisim" w:hAnsi="Narkisim"/>
          <w:rtl/>
        </w:rPr>
        <w:t xml:space="preserve"> דבסוגיין היבמה נתכוונה להיתר חליצה, והיכא דא' מהם נתכוון פסולה מדרבנן. אבל היכא דשניהם לא נתכוונו אינו פוסל</w:t>
      </w:r>
      <w:r w:rsidRPr="00D65870">
        <w:rPr>
          <w:rStyle w:val="ac"/>
          <w:rFonts w:ascii="Narkisim" w:hAnsi="Narkisim"/>
          <w:rtl/>
        </w:rPr>
        <w:footnoteReference w:id="7051"/>
      </w:r>
      <w:r w:rsidRPr="00D65870">
        <w:rPr>
          <w:rFonts w:ascii="Narkisim" w:hAnsi="Narkisim"/>
          <w:rtl/>
        </w:rPr>
        <w:t>.</w:t>
      </w:r>
    </w:p>
    <w:p w14:paraId="01EDAFC3"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(שם) תי' דכל חליצה בבי"ד פוסלת.</w:t>
      </w:r>
    </w:p>
    <w:p w14:paraId="167C7341" w14:textId="77777777" w:rsidR="006C4368" w:rsidRPr="00D65870" w:rsidRDefault="006C4368" w:rsidP="006C4368">
      <w:pPr>
        <w:bidi/>
        <w:rPr>
          <w:rFonts w:ascii="Narkisim" w:hAnsi="Narkisim" w:cs="Narkisim"/>
        </w:rPr>
      </w:pPr>
      <w:r w:rsidRPr="00D65870">
        <w:rPr>
          <w:rFonts w:ascii="Narkisim" w:hAnsi="Narkisim" w:cs="Narkisim"/>
          <w:u w:val="single"/>
          <w:rtl/>
        </w:rPr>
        <w:t>השתא מינך אפסלא לה, חלוץ לה חליצה מעלייתא כי היכי דתשתרי לעלמא</w:t>
      </w:r>
      <w:r w:rsidRPr="00D65870">
        <w:rPr>
          <w:rFonts w:ascii="Narkisim" w:hAnsi="Narkisim" w:cs="Narkisim"/>
          <w:rtl/>
        </w:rPr>
        <w:t>. ה</w:t>
      </w:r>
      <w:r w:rsidRPr="00D65870">
        <w:rPr>
          <w:rFonts w:ascii="Narkisim" w:hAnsi="Narkisim" w:cs="Narkisim"/>
          <w:b/>
          <w:bCs/>
          <w:rtl/>
        </w:rPr>
        <w:t>רשב"א</w:t>
      </w:r>
      <w:r w:rsidRPr="00D65870">
        <w:rPr>
          <w:rFonts w:ascii="Narkisim" w:hAnsi="Narkisim" w:cs="Narkisim"/>
          <w:rtl/>
        </w:rPr>
        <w:t xml:space="preserve"> כת' דכפה אותו אפי' בשוטי לחלוץ פעם שניה [וכ"פ השו"ע קסט נא]. דכיון דאסירא ליה עכ"פ מדרבנן, לא מעגנינן לה. וה</w:t>
      </w:r>
      <w:r w:rsidRPr="00D65870">
        <w:rPr>
          <w:rFonts w:ascii="Narkisim" w:hAnsi="Narkisim" w:cs="Narkisim"/>
          <w:b/>
          <w:bCs/>
          <w:rtl/>
        </w:rPr>
        <w:t>ריטב"א</w:t>
      </w:r>
      <w:r w:rsidRPr="00D65870">
        <w:rPr>
          <w:rFonts w:ascii="Narkisim" w:hAnsi="Narkisim" w:cs="Narkisim"/>
          <w:rtl/>
        </w:rPr>
        <w:t xml:space="preserve"> הביא [בשם רבותיו] דכל היכא שנפסלה לו כופין אותו לחלוץ שלא תהא עגונה. וכדאי' (במשנה לקמן קיא:</w:t>
      </w:r>
      <w:r w:rsidRPr="00D65870">
        <w:rPr>
          <w:rStyle w:val="ac"/>
          <w:rFonts w:ascii="Narkisim" w:hAnsi="Narkisim" w:cs="Narkisim"/>
          <w:rtl/>
        </w:rPr>
        <w:footnoteReference w:id="7052"/>
      </w:r>
      <w:r w:rsidRPr="00D65870">
        <w:rPr>
          <w:rFonts w:ascii="Narkisim" w:hAnsi="Narkisim" w:cs="Narkisim"/>
          <w:rtl/>
        </w:rPr>
        <w:t>).</w:t>
      </w:r>
    </w:p>
    <w:p w14:paraId="3F5E4CEC"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הוסיף דאפי' בלא באה מחמת טענה כייפינן</w:t>
      </w:r>
      <w:r w:rsidRPr="00D65870">
        <w:rPr>
          <w:rStyle w:val="ac"/>
          <w:rFonts w:ascii="Narkisim" w:hAnsi="Narkisim"/>
          <w:rtl/>
        </w:rPr>
        <w:footnoteReference w:id="7053"/>
      </w:r>
      <w:r w:rsidRPr="00D65870">
        <w:rPr>
          <w:rFonts w:ascii="Narkisim" w:hAnsi="Narkisim"/>
          <w:rtl/>
        </w:rPr>
        <w:t xml:space="preserve">, דכיון שיושבת עגונה אפילו בלא טענה כופין אותו לחלוץ.אבל דעת </w:t>
      </w:r>
      <w:r w:rsidRPr="00D65870">
        <w:rPr>
          <w:rFonts w:ascii="Narkisim" w:hAnsi="Narkisim"/>
          <w:b/>
          <w:bCs/>
          <w:rtl/>
        </w:rPr>
        <w:t>תוס</w:t>
      </w:r>
      <w:r w:rsidRPr="00D65870">
        <w:rPr>
          <w:rFonts w:ascii="Narkisim" w:hAnsi="Narkisim"/>
          <w:rtl/>
        </w:rPr>
        <w:t>' (כתובות סד.) דלא כייפינן אא"כ באה מחמת טענה. וכ"ד ה</w:t>
      </w:r>
      <w:r w:rsidRPr="00D65870">
        <w:rPr>
          <w:rFonts w:ascii="Narkisim" w:hAnsi="Narkisim"/>
          <w:b/>
          <w:bCs/>
          <w:rtl/>
        </w:rPr>
        <w:t>רמ"א</w:t>
      </w:r>
      <w:r w:rsidRPr="00D65870">
        <w:rPr>
          <w:rFonts w:ascii="Narkisim" w:hAnsi="Narkisim"/>
          <w:rtl/>
        </w:rPr>
        <w:t xml:space="preserve"> (קסה א).</w:t>
      </w:r>
    </w:p>
    <w:p w14:paraId="1FB9CF14"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חכ"צ</w:t>
      </w:r>
      <w:r w:rsidRPr="00D65870">
        <w:rPr>
          <w:rFonts w:ascii="Narkisim" w:hAnsi="Narkisim" w:cs="Narkisim"/>
          <w:rtl/>
        </w:rPr>
        <w:t xml:space="preserve"> (הנ"ל) הביא דדין כפייה בחליצה הוה דוקא משום תביעת האשה לינשא. הא לאו הכי אין כופין [משום כופין על המצוות]. אך הק' דבגמ' (לקמן </w:t>
      </w:r>
      <w:r w:rsidRPr="00D65870">
        <w:rPr>
          <w:rFonts w:ascii="Narkisim" w:eastAsia="Narkisim" w:hAnsi="Narkisim" w:cs="Narkisim"/>
          <w:rtl/>
        </w:rPr>
        <w:t>קי:) מבואר דהנודרת נטולה אני מהיהודים כופין לחלוץ, ואף דהתם אינה יכולה להנשא לאחר [מחמת הנדר], אפ"ה כופין אותו לחלוץ לה</w:t>
      </w:r>
      <w:r w:rsidRPr="00D65870">
        <w:rPr>
          <w:rStyle w:val="ac"/>
          <w:rFonts w:ascii="Narkisim" w:eastAsia="Narkisim" w:hAnsi="Narkisim" w:cs="Narkisim"/>
          <w:rtl/>
        </w:rPr>
        <w:footnoteReference w:id="7054"/>
      </w:r>
      <w:r w:rsidRPr="00D65870">
        <w:rPr>
          <w:rFonts w:ascii="Narkisim" w:eastAsia="Narkisim" w:hAnsi="Narkisim" w:cs="Narkisim"/>
          <w:rtl/>
        </w:rPr>
        <w:t>. אלא ודאי כופין משום מצוות החליצה. אך הביא ד</w:t>
      </w:r>
      <w:r w:rsidRPr="00D65870">
        <w:rPr>
          <w:rFonts w:ascii="Narkisim" w:eastAsia="Narkisim" w:hAnsi="Narkisim" w:cs="Narkisim"/>
          <w:b/>
          <w:bCs/>
          <w:rtl/>
        </w:rPr>
        <w:t>תוס'</w:t>
      </w:r>
      <w:r w:rsidRPr="00D65870">
        <w:rPr>
          <w:rFonts w:ascii="Narkisim" w:eastAsia="Narkisim" w:hAnsi="Narkisim" w:cs="Narkisim"/>
          <w:rtl/>
        </w:rPr>
        <w:t xml:space="preserve"> (כתובות סד.) וה</w:t>
      </w:r>
      <w:r w:rsidRPr="00D65870">
        <w:rPr>
          <w:rFonts w:ascii="Narkisim" w:eastAsia="Narkisim" w:hAnsi="Narkisim" w:cs="Narkisim"/>
          <w:b/>
          <w:bCs/>
          <w:rtl/>
        </w:rPr>
        <w:t>רמב"ם</w:t>
      </w:r>
      <w:r w:rsidRPr="00D65870">
        <w:rPr>
          <w:rFonts w:ascii="Narkisim" w:eastAsia="Narkisim" w:hAnsi="Narkisim" w:cs="Narkisim"/>
          <w:rtl/>
        </w:rPr>
        <w:t xml:space="preserve"> (ב טז) משמע דכופין שלא לעגן אותה. ולא משום מצווה.</w:t>
      </w:r>
    </w:p>
    <w:p w14:paraId="364A07D6"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ריב"ש</w:t>
      </w:r>
      <w:r w:rsidRPr="00D65870">
        <w:rPr>
          <w:rFonts w:ascii="Narkisim" w:hAnsi="Narkisim"/>
          <w:rtl/>
        </w:rPr>
        <w:t xml:space="preserve"> (קנט, הו' בב"י קסא ד, וגר"א שם ו) כת' דהנשבע שלא ייבם ולא יחלוץ לא חל שבועה. ואף שיבום לחוד הוה רשות, דאפשר בחליצה. וכן נשבע שלא יחלוץ לחוד חל שבועה, שהרי אפשר ביבום. אך היכא דנשבע על שניהם לא חל</w:t>
      </w:r>
      <w:r w:rsidRPr="00D65870">
        <w:rPr>
          <w:rStyle w:val="ac"/>
          <w:rFonts w:ascii="Narkisim" w:hAnsi="Narkisim"/>
          <w:rtl/>
        </w:rPr>
        <w:footnoteReference w:id="7055"/>
      </w:r>
      <w:r w:rsidRPr="00D65870">
        <w:rPr>
          <w:rFonts w:ascii="Narkisim" w:hAnsi="Narkisim"/>
          <w:rtl/>
        </w:rPr>
        <w:t>.</w:t>
      </w:r>
    </w:p>
    <w:p w14:paraId="511B60DA" w14:textId="77777777" w:rsidR="006C4368" w:rsidRPr="00D65870" w:rsidRDefault="006C4368" w:rsidP="006C4368">
      <w:pPr>
        <w:pStyle w:val="a8"/>
        <w:bidi/>
        <w:rPr>
          <w:rFonts w:ascii="Narkisim" w:hAnsi="Narkisim"/>
        </w:rPr>
      </w:pPr>
      <w:r w:rsidRPr="00D65870">
        <w:rPr>
          <w:rFonts w:ascii="Narkisim" w:hAnsi="Narkisim"/>
          <w:rtl/>
        </w:rPr>
        <w:t>ועוד כת' הריב"ש דיש עליו חיוב ליבמה לחלוץ או לייבם, ושבועה זו הוה היזק לה לעגנה, ואין שבועת בטוי חלה להרע לאחרים ולהפסיד זכותם, וכדאי' בירושלמי דל"מ נדר שלא לפרוע חובו.</w:t>
      </w:r>
    </w:p>
    <w:p w14:paraId="225F694F" w14:textId="77777777" w:rsidR="006C4368" w:rsidRPr="00D65870" w:rsidRDefault="006C4368" w:rsidP="006C4368">
      <w:pPr>
        <w:bidi/>
        <w:rPr>
          <w:rFonts w:ascii="Narkisim" w:hAnsi="Narkisim" w:cs="Narkisim"/>
        </w:rPr>
      </w:pPr>
      <w:r w:rsidRPr="00D65870">
        <w:rPr>
          <w:rFonts w:ascii="Narkisim" w:hAnsi="Narkisim" w:cs="Narkisim"/>
          <w:u w:val="single"/>
          <w:rtl/>
        </w:rPr>
        <w:lastRenderedPageBreak/>
        <w:t>נפלה לפני יבם שאין הגון לה וכו'</w:t>
      </w:r>
      <w:r w:rsidRPr="00D65870">
        <w:rPr>
          <w:rFonts w:ascii="Narkisim" w:hAnsi="Narkisim" w:cs="Narkisim"/>
          <w:rtl/>
        </w:rPr>
        <w:t xml:space="preserve">. </w:t>
      </w:r>
      <w:r w:rsidRPr="00D65870">
        <w:rPr>
          <w:rFonts w:ascii="Narkisim" w:hAnsi="Narkisim" w:cs="Narkisim"/>
          <w:b/>
          <w:bCs/>
          <w:rtl/>
        </w:rPr>
        <w:t>רש"י</w:t>
      </w:r>
      <w:r w:rsidRPr="00D65870">
        <w:rPr>
          <w:rFonts w:ascii="Narkisim" w:hAnsi="Narkisim" w:cs="Narkisim"/>
          <w:rtl/>
        </w:rPr>
        <w:t xml:space="preserve"> (לעיל לט:) כת' דכל היכא דהיבמה אינה רוצה להתייבם, ואמרה דברים ניכרים אין חוסמין אותה להתייבם. וע"ד הא דאי' (לעיל ד.) בנפלה לפני מוכה שחין, ולאו דוקא מוכה שחין, אלא כל אמתלא שתתן לדבריה. [ע' תוס' שם דחלקו, וע"ע שא"ר. ואכמ"ל].</w:t>
      </w:r>
    </w:p>
    <w:p w14:paraId="4157B492" w14:textId="77777777" w:rsidR="006C4368" w:rsidRPr="00D65870" w:rsidRDefault="006C4368" w:rsidP="006C4368">
      <w:pPr>
        <w:pStyle w:val="a7"/>
        <w:bidi/>
        <w:rPr>
          <w:rFonts w:ascii="Narkisim" w:hAnsi="Narkisim"/>
        </w:rPr>
      </w:pPr>
      <w:r w:rsidRPr="00D65870">
        <w:rPr>
          <w:rFonts w:ascii="Narkisim" w:hAnsi="Narkisim"/>
          <w:rtl/>
        </w:rPr>
        <w:t>ו</w:t>
      </w:r>
      <w:r w:rsidRPr="00D65870">
        <w:rPr>
          <w:rFonts w:ascii="Narkisim" w:hAnsi="Narkisim"/>
          <w:b/>
          <w:bCs/>
          <w:rtl/>
        </w:rPr>
        <w:t>רש"י</w:t>
      </w:r>
      <w:r w:rsidRPr="00D65870">
        <w:rPr>
          <w:rFonts w:ascii="Narkisim" w:hAnsi="Narkisim"/>
          <w:rtl/>
        </w:rPr>
        <w:t xml:space="preserve"> כת' דאי מצינא לאטעוייה לחלוץ, וכדאי' בסוגיין ע"מ שתתן ר' זוז. וכדאי' בסוגיין. ואי לא מצינא להטעותו כופין אותו לחלוץ. ו</w:t>
      </w:r>
      <w:r w:rsidRPr="00D65870">
        <w:rPr>
          <w:rFonts w:ascii="Narkisim" w:hAnsi="Narkisim"/>
          <w:b/>
          <w:bCs/>
          <w:rtl/>
        </w:rPr>
        <w:t>תוס</w:t>
      </w:r>
      <w:r w:rsidRPr="00D65870">
        <w:rPr>
          <w:rFonts w:ascii="Narkisim" w:hAnsi="Narkisim"/>
          <w:rtl/>
        </w:rPr>
        <w:t>' (שם) חלקו דאין נראה, דלמה היו טורחין (בסוגיין) להטעותו, יכפוהו לחלוץ</w:t>
      </w:r>
      <w:r w:rsidRPr="00D65870">
        <w:rPr>
          <w:rStyle w:val="ac"/>
          <w:rFonts w:ascii="Narkisim" w:hAnsi="Narkisim"/>
          <w:rtl/>
        </w:rPr>
        <w:footnoteReference w:id="7056"/>
      </w:r>
      <w:r w:rsidRPr="00D65870">
        <w:rPr>
          <w:rFonts w:ascii="Narkisim" w:hAnsi="Narkisim"/>
          <w:rtl/>
        </w:rPr>
        <w:t>. ולדעת תוס' איירי בסוגיין באופן דאין כופין לחלוץ, אף דאינו הגון לה.</w:t>
      </w:r>
    </w:p>
    <w:p w14:paraId="5CB719B5"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תי' דרב פפא לא ניח"ל לכפות דלמא לא מתרצה [דצריך שיאמר 'רוצה אני']. א"נ דגברא אלימא הוה, ולא מצו כפו ליה. א"נ כיון דאפשר ליה בלא כפיה לא בעי לאתויי נפשיה לידי כך.</w:t>
      </w:r>
    </w:p>
    <w:p w14:paraId="77621855"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(הו' בסמוך) כת' דיבם שאינו הגון לה מצוה מן התורה בחליצה, דילפי' ודברו אליו [דמשיאין לו עצה טובה (וכדאי' קא: ובע"ב)], ורמיא עליה למיחלץ. </w:t>
      </w:r>
      <w:r w:rsidRPr="00D65870">
        <w:rPr>
          <w:rFonts w:ascii="Narkisim" w:hAnsi="Narkisim"/>
          <w:szCs w:val="20"/>
          <w:rtl/>
        </w:rPr>
        <w:t>[ומשמע דמהני סברא זו שלא נחשב שמפסידין ממנו דינו. אך לא יכופו אותו]</w:t>
      </w:r>
      <w:r w:rsidRPr="00D65870">
        <w:rPr>
          <w:rFonts w:ascii="Narkisim" w:hAnsi="Narkisim"/>
          <w:rtl/>
        </w:rPr>
        <w:t>.</w:t>
      </w:r>
    </w:p>
    <w:p w14:paraId="094C5E15"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ה</w:t>
      </w:r>
      <w:r w:rsidRPr="00D65870">
        <w:rPr>
          <w:rFonts w:ascii="Narkisim" w:hAnsi="Narkisim" w:cs="Narkisim"/>
          <w:b/>
          <w:bCs/>
          <w:rtl/>
        </w:rPr>
        <w:t>ראשונים</w:t>
      </w:r>
      <w:r w:rsidRPr="00D65870">
        <w:rPr>
          <w:rFonts w:ascii="Narkisim" w:hAnsi="Narkisim" w:cs="Narkisim"/>
          <w:rtl/>
        </w:rPr>
        <w:t xml:space="preserve"> הק' דהיבמה תרוק או תחלוץ ליבם בע"כ, ואף דלא נתכוון להתיר מ"מ נאסרת עליו. וכדאי' (לעיל קב: הו' לעיל) דאפי' נתכוונה היא נאסרת על היבם.</w:t>
      </w:r>
    </w:p>
    <w:p w14:paraId="51C20001"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(שם, יא) תי' דפוסל משום דחיישינן שמא נתכוון. ואילו בסוגיין ידוע היה שלא כוון, ומש"ה לא פסל</w:t>
      </w:r>
      <w:r w:rsidRPr="00D65870">
        <w:rPr>
          <w:rStyle w:val="ac"/>
          <w:rFonts w:ascii="Narkisim" w:hAnsi="Narkisim"/>
          <w:rtl/>
        </w:rPr>
        <w:footnoteReference w:id="7057"/>
      </w:r>
      <w:r w:rsidRPr="00D65870">
        <w:rPr>
          <w:rFonts w:ascii="Narkisim" w:hAnsi="Narkisim"/>
          <w:rtl/>
        </w:rPr>
        <w:t xml:space="preserve">. </w:t>
      </w:r>
      <w:r w:rsidRPr="00D65870">
        <w:rPr>
          <w:rFonts w:ascii="Narkisim" w:hAnsi="Narkisim"/>
          <w:szCs w:val="20"/>
          <w:rtl/>
        </w:rPr>
        <w:t>וה</w:t>
      </w:r>
      <w:r w:rsidRPr="00D65870">
        <w:rPr>
          <w:rFonts w:ascii="Narkisim" w:hAnsi="Narkisim"/>
          <w:b/>
          <w:bCs/>
          <w:szCs w:val="20"/>
          <w:rtl/>
        </w:rPr>
        <w:t>ק"נ</w:t>
      </w:r>
      <w:r w:rsidRPr="00D65870">
        <w:rPr>
          <w:rFonts w:ascii="Narkisim" w:hAnsi="Narkisim"/>
          <w:szCs w:val="20"/>
          <w:rtl/>
        </w:rPr>
        <w:t xml:space="preserve"> ביאר דהטעם דחיישינן שמא כיוונו הוא משום דג"כ חפץ בחליצה. ולהכי פסלינן לאחים גזירה דשמא לפעמים יכוונו שניהם, אבל אם ידוע לנו שהוא אינו חפץ בחליצה אלא ליבם, כה"ג ודאי לא שייך גזירה</w:t>
      </w:r>
      <w:r w:rsidRPr="00D65870">
        <w:rPr>
          <w:rFonts w:ascii="Narkisim" w:hAnsi="Narkisim"/>
          <w:rtl/>
        </w:rPr>
        <w:t>.</w:t>
      </w:r>
    </w:p>
    <w:p w14:paraId="1A86FEEE"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(קסט מה) כת' דדוקא חליצה גמורה, אלא שהוא לא נתכוין אמרי' דהוי חליצה לחומרא. אבל בחליצת מנעל לבד או רקיקה לחוד [ואפי' בבי"ד] אם נתכוין א' מהם והשני בוודאי לא נתכוין לא הוי חליצה כלל ומותרת לאחים, אלא כשאין ידוע לנו חיישינן שמא כיוונו שניהם.</w:t>
      </w:r>
    </w:p>
    <w:p w14:paraId="47EEBEC3" w14:textId="77777777" w:rsidR="006C4368" w:rsidRPr="00D65870" w:rsidRDefault="006C4368" w:rsidP="006C4368">
      <w:pPr>
        <w:pStyle w:val="2"/>
        <w:bidi/>
        <w:rPr>
          <w:rFonts w:ascii="Narkisim" w:hAnsi="Narkisim"/>
        </w:rPr>
      </w:pPr>
      <w:r w:rsidRPr="00D65870">
        <w:rPr>
          <w:rFonts w:ascii="Narkisim" w:hAnsi="Narkisim"/>
          <w:rtl/>
        </w:rPr>
        <w:t>שכר חליצה – משטה אני בך</w:t>
      </w:r>
    </w:p>
    <w:p w14:paraId="2D191190" w14:textId="77777777" w:rsidR="006C4368" w:rsidRPr="00D65870" w:rsidRDefault="006C4368" w:rsidP="006C4368">
      <w:pPr>
        <w:bidi/>
        <w:rPr>
          <w:rFonts w:ascii="Narkisim" w:hAnsi="Narkisim" w:cs="Narkisim"/>
        </w:rPr>
      </w:pPr>
      <w:r w:rsidRPr="00D65870">
        <w:rPr>
          <w:rFonts w:ascii="Narkisim" w:hAnsi="Narkisim" w:cs="Narkisim"/>
          <w:u w:val="single"/>
          <w:rtl/>
        </w:rPr>
        <w:t>זיל הב ליה</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דהא קבילת עלה, ואע"ג דחליצה לא מפסלה בהכי, מ"מ הוה כשאר שכירות דמחוייב לקיים תנאו. וה</w:t>
      </w:r>
      <w:r w:rsidRPr="00D65870">
        <w:rPr>
          <w:rFonts w:ascii="Narkisim" w:hAnsi="Narkisim" w:cs="Narkisim"/>
          <w:b/>
          <w:bCs/>
          <w:rtl/>
        </w:rPr>
        <w:t>רמב"ן</w:t>
      </w:r>
      <w:r w:rsidRPr="00D65870">
        <w:rPr>
          <w:rFonts w:ascii="Narkisim" w:hAnsi="Narkisim" w:cs="Narkisim"/>
          <w:rtl/>
        </w:rPr>
        <w:t xml:space="preserve"> (והרא"ש ושא"ר) כת' דמתחייב מדיני שכירות, אבל מדיני אינה חייבת לקיים את התנאי. דהמגרש ע"מ שתתני לי ר' זוז אינה חייבת לו כלל. ואם לא תרצה לא תתן ואינה מגורשת.</w:t>
      </w:r>
    </w:p>
    <w:p w14:paraId="35C3892B"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הוסיף דדוקא הכא דאין תנאי בחליצה</w:t>
      </w:r>
      <w:r w:rsidRPr="00D65870">
        <w:rPr>
          <w:rStyle w:val="ac"/>
          <w:rFonts w:ascii="Narkisim" w:hAnsi="Narkisim"/>
          <w:rtl/>
        </w:rPr>
        <w:footnoteReference w:id="7058"/>
      </w:r>
      <w:r w:rsidRPr="00D65870">
        <w:rPr>
          <w:rFonts w:ascii="Narkisim" w:hAnsi="Narkisim"/>
          <w:rtl/>
        </w:rPr>
        <w:t xml:space="preserve"> מש"ה הוה כשכירות בעלמא, ומתחייב לשלם כדי הראוי לו ממנה. [לולי טענת משטה]. אבל בשאר תנאין דעלמא אינה מתחייבת ליתן אף כדין שכירות, אלא משום תנאי</w:t>
      </w:r>
      <w:r w:rsidRPr="00D65870">
        <w:rPr>
          <w:rStyle w:val="ac"/>
          <w:rFonts w:ascii="Narkisim" w:hAnsi="Narkisim"/>
          <w:rtl/>
        </w:rPr>
        <w:footnoteReference w:id="7059"/>
      </w:r>
      <w:r w:rsidRPr="00D65870">
        <w:rPr>
          <w:rFonts w:ascii="Narkisim" w:hAnsi="Narkisim"/>
          <w:rtl/>
        </w:rPr>
        <w:t>. ואם נתנה מתגרשת ואם לאו אינה מתגרשת. דהא לא נגמר מעשה ביניהם שתתחייב בו לשלם</w:t>
      </w:r>
      <w:r w:rsidRPr="00D65870">
        <w:rPr>
          <w:rStyle w:val="ac"/>
          <w:rFonts w:ascii="Narkisim" w:hAnsi="Narkisim"/>
          <w:rtl/>
        </w:rPr>
        <w:footnoteReference w:id="7060"/>
      </w:r>
      <w:r w:rsidRPr="00D65870">
        <w:rPr>
          <w:rFonts w:ascii="Narkisim" w:hAnsi="Narkisim"/>
          <w:rtl/>
        </w:rPr>
        <w:t>.</w:t>
      </w:r>
    </w:p>
    <w:p w14:paraId="297217E1"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קצות</w:t>
      </w:r>
      <w:r w:rsidRPr="00D65870">
        <w:rPr>
          <w:rFonts w:ascii="Narkisim" w:hAnsi="Narkisim"/>
          <w:rtl/>
        </w:rPr>
        <w:t xml:space="preserve"> (רמא ט) הביא מדברי ה</w:t>
      </w:r>
      <w:r w:rsidRPr="00D65870">
        <w:rPr>
          <w:rFonts w:ascii="Narkisim" w:hAnsi="Narkisim"/>
          <w:b/>
          <w:bCs/>
          <w:rtl/>
        </w:rPr>
        <w:t>ראשונים</w:t>
      </w:r>
      <w:r w:rsidRPr="00D65870">
        <w:rPr>
          <w:rFonts w:ascii="Narkisim" w:hAnsi="Narkisim"/>
          <w:rtl/>
        </w:rPr>
        <w:t xml:space="preserve"> דכל היכא דהתנאי לא נעשית כמשפטי התנאים </w:t>
      </w:r>
      <w:r w:rsidRPr="00D65870">
        <w:rPr>
          <w:rFonts w:ascii="Narkisim" w:hAnsi="Narkisim"/>
          <w:rtl/>
        </w:rPr>
        <w:lastRenderedPageBreak/>
        <w:t xml:space="preserve">מחוייב לשלם, וכדין קציצת שכירות. </w:t>
      </w:r>
      <w:r w:rsidRPr="00D65870">
        <w:rPr>
          <w:rFonts w:ascii="Narkisim" w:hAnsi="Narkisim"/>
          <w:szCs w:val="20"/>
          <w:rtl/>
        </w:rPr>
        <w:t>והקצות דן עד"ז דהנותן מתנה ע"מ להחזיר ולא כפל תנאו, אפ"ה מחוייב להחזיר בתורת תשלום, דנכלל בתנאי קציצת תשלום</w:t>
      </w:r>
      <w:r w:rsidRPr="00D65870">
        <w:rPr>
          <w:rFonts w:ascii="Narkisim" w:hAnsi="Narkisim"/>
          <w:rtl/>
        </w:rPr>
        <w:t>.</w:t>
      </w:r>
    </w:p>
    <w:p w14:paraId="190AE3BD"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נתיבות</w:t>
      </w:r>
      <w:r w:rsidRPr="00D65870">
        <w:rPr>
          <w:rFonts w:ascii="Narkisim" w:hAnsi="Narkisim"/>
          <w:rtl/>
        </w:rPr>
        <w:t xml:space="preserve"> (ש י, ותור"ג קמג א) חלק דדוקא הכא אמרי' כן. אבל בשאר תנאי שלא נעשה כמשפטי התנאים הוה פטומי מילי בעלמא. ואי"צ לשלם אף כדין שכירות.</w:t>
      </w:r>
    </w:p>
    <w:p w14:paraId="51CF8AB2" w14:textId="77777777" w:rsidR="006C4368" w:rsidRPr="00D65870" w:rsidRDefault="006C4368" w:rsidP="006C4368">
      <w:pPr>
        <w:bidi/>
        <w:rPr>
          <w:rFonts w:ascii="Narkisim" w:hAnsi="Narkisim" w:cs="Narkisim"/>
        </w:rPr>
      </w:pPr>
      <w:r w:rsidRPr="00D65870">
        <w:rPr>
          <w:rFonts w:ascii="Narkisim" w:hAnsi="Narkisim" w:cs="Narkisim"/>
          <w:u w:val="single"/>
          <w:rtl/>
        </w:rPr>
        <w:t>הרי שהיה בורח וכו' וא"ל טול דינר והעבירני אין לו אלא שכרו, אלמא א"ל משטה אני בך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(ד"ה אמר) [דאף גבי יבום] דכיון דעליה רמיא למיעבד, ולא בעי, מש"ה אמרה משטה אני</w:t>
      </w:r>
      <w:r w:rsidRPr="00D65870">
        <w:rPr>
          <w:rStyle w:val="ac"/>
          <w:rFonts w:ascii="Narkisim" w:hAnsi="Narkisim" w:cs="Narkisim"/>
          <w:rtl/>
        </w:rPr>
        <w:footnoteReference w:id="7061"/>
      </w:r>
      <w:r w:rsidRPr="00D65870">
        <w:rPr>
          <w:rFonts w:ascii="Narkisim" w:hAnsi="Narkisim" w:cs="Narkisim"/>
          <w:rtl/>
        </w:rPr>
        <w:t>.</w:t>
      </w:r>
    </w:p>
    <w:p w14:paraId="2208C1FB"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כת' הטעם משום דמעלה אותן יותר מדמיהן [וכמ"ש תוס']. אך הביא </w:t>
      </w:r>
      <w:r w:rsidRPr="00D65870">
        <w:rPr>
          <w:rFonts w:ascii="Narkisim" w:hAnsi="Narkisim"/>
          <w:b/>
          <w:bCs/>
          <w:rtl/>
        </w:rPr>
        <w:t>י"מ</w:t>
      </w:r>
      <w:r w:rsidRPr="00D65870">
        <w:rPr>
          <w:rFonts w:ascii="Narkisim" w:hAnsi="Narkisim"/>
          <w:rtl/>
        </w:rPr>
        <w:t xml:space="preserve"> דהטעם משום דהוא מחוייב להצילו משום השבת אבידה. ואינו רשאי ליטול שכר במה שמחוייב. [ע"ע בסמוך]. והרמב"ן חלק דמדמינן לחליצה, והכא אינו חיוב גמור לחלוץ.</w:t>
      </w:r>
    </w:p>
    <w:p w14:paraId="45068290"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ריטב"א</w:t>
      </w:r>
      <w:r w:rsidRPr="00D65870">
        <w:rPr>
          <w:rFonts w:ascii="Narkisim" w:hAnsi="Narkisim" w:cs="Narkisim"/>
          <w:rtl/>
        </w:rPr>
        <w:t xml:space="preserve"> (קידושין ח.) כת' שהמוכר חפץ לחבירו ששווה ללוקח זה ו', אף דבשוק שווה ה', אין בו אונאה. דבתר דידיה אזלינן</w:t>
      </w:r>
      <w:r w:rsidRPr="00D65870">
        <w:rPr>
          <w:rStyle w:val="ac"/>
          <w:rFonts w:ascii="Narkisim" w:hAnsi="Narkisim" w:cs="Narkisim"/>
          <w:rtl/>
        </w:rPr>
        <w:footnoteReference w:id="7062"/>
      </w:r>
      <w:r w:rsidRPr="00D65870">
        <w:rPr>
          <w:rFonts w:ascii="Narkisim" w:hAnsi="Narkisim" w:cs="Narkisim"/>
          <w:rtl/>
        </w:rPr>
        <w:t>. וכת' ומיהו דוקא כששווה לו ו', אבל באופן דאף לדידיה אינו שווה אלא מפני שהוא דחוק בדבר ל"מ. דקציצה מתוך הדחק לא שמה קציצה. ואפי' נתן לו הדמים חוזר וגובה אותם ממנו.</w:t>
      </w:r>
    </w:p>
    <w:p w14:paraId="25CBB9FD"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ביאר דאף בסוגיין הוה שכירות מרובה, שהרי יבם זה אינו הגון לה, והתורה השיאתו עצה לחלוץ כדכתיב ודברו אליו. ומש"ה נחשב קציצה מתוך הדחק, ואינה חייבת</w:t>
      </w:r>
      <w:r w:rsidRPr="00D65870">
        <w:rPr>
          <w:rStyle w:val="ac"/>
          <w:rFonts w:ascii="Narkisim" w:hAnsi="Narkisim"/>
          <w:rtl/>
        </w:rPr>
        <w:footnoteReference w:id="7063"/>
      </w:r>
      <w:r w:rsidRPr="00D65870">
        <w:rPr>
          <w:rFonts w:ascii="Narkisim" w:hAnsi="Narkisim"/>
          <w:rtl/>
        </w:rPr>
        <w:t>.</w:t>
      </w:r>
    </w:p>
    <w:p w14:paraId="13AAD310" w14:textId="77777777" w:rsidR="006C4368" w:rsidRPr="00D65870" w:rsidRDefault="006C4368" w:rsidP="006C4368">
      <w:pPr>
        <w:pStyle w:val="aa"/>
        <w:bidi/>
        <w:rPr>
          <w:rFonts w:ascii="Narkisim" w:hAnsi="Narkisim"/>
        </w:rPr>
      </w:pPr>
      <w:r w:rsidRPr="00D65870">
        <w:rPr>
          <w:rFonts w:ascii="Narkisim" w:hAnsi="Narkisim"/>
          <w:u w:val="single"/>
          <w:rtl/>
        </w:rPr>
        <w:t>שם. א"ל משטה אני בך</w:t>
      </w:r>
      <w:r w:rsidRPr="00D65870">
        <w:rPr>
          <w:rFonts w:ascii="Narkisim" w:hAnsi="Narkisim"/>
          <w:rtl/>
        </w:rPr>
        <w:t>. ה</w:t>
      </w:r>
      <w:r w:rsidRPr="00D65870">
        <w:rPr>
          <w:rFonts w:ascii="Narkisim" w:hAnsi="Narkisim"/>
          <w:b/>
          <w:bCs/>
          <w:rtl/>
        </w:rPr>
        <w:t>מרדכי</w:t>
      </w:r>
      <w:r w:rsidRPr="00D65870">
        <w:rPr>
          <w:rFonts w:ascii="Narkisim" w:hAnsi="Narkisim"/>
          <w:rtl/>
        </w:rPr>
        <w:t xml:space="preserve"> (כה) וב</w:t>
      </w:r>
      <w:r w:rsidRPr="00D65870">
        <w:rPr>
          <w:rFonts w:ascii="Narkisim" w:hAnsi="Narkisim"/>
          <w:b/>
          <w:bCs/>
          <w:rtl/>
        </w:rPr>
        <w:t>שו"ת הרשב"א</w:t>
      </w:r>
      <w:r w:rsidRPr="00D65870">
        <w:rPr>
          <w:rFonts w:ascii="Narkisim" w:hAnsi="Narkisim"/>
          <w:rtl/>
        </w:rPr>
        <w:t xml:space="preserve"> (א אלף רמ) כת' דהיכא דכבר בא לידו ל"ש לומר משטה. וב</w:t>
      </w:r>
      <w:r w:rsidRPr="00D65870">
        <w:rPr>
          <w:rFonts w:ascii="Narkisim" w:hAnsi="Narkisim"/>
          <w:b/>
          <w:bCs/>
          <w:rtl/>
        </w:rPr>
        <w:t>שו"ת הרשב"א</w:t>
      </w:r>
      <w:r w:rsidRPr="00D65870">
        <w:rPr>
          <w:rFonts w:ascii="Narkisim" w:hAnsi="Narkisim"/>
          <w:rtl/>
        </w:rPr>
        <w:t xml:space="preserve"> כת' וקרוב בעיני שאפי' חייבה עצמה בשטר ובקנין אינו מוציא מיד האשה.</w:t>
      </w:r>
    </w:p>
    <w:p w14:paraId="1B6FD07A"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קצות</w:t>
      </w:r>
      <w:r w:rsidRPr="00D65870">
        <w:rPr>
          <w:rFonts w:ascii="Narkisim" w:hAnsi="Narkisim"/>
          <w:rtl/>
        </w:rPr>
        <w:t xml:space="preserve"> (פא ד) דייק דדוקא כשטוען דהיה בלבו להשטאה</w:t>
      </w:r>
      <w:r w:rsidRPr="00D65870">
        <w:rPr>
          <w:rStyle w:val="ac"/>
          <w:rFonts w:ascii="Narkisim" w:hAnsi="Narkisim"/>
          <w:rtl/>
        </w:rPr>
        <w:footnoteReference w:id="7064"/>
      </w:r>
      <w:r w:rsidRPr="00D65870">
        <w:rPr>
          <w:rFonts w:ascii="Narkisim" w:hAnsi="Narkisim"/>
          <w:rtl/>
        </w:rPr>
        <w:t>. אבל היכא דנתכוון לשלם מחוייב</w:t>
      </w:r>
      <w:r w:rsidRPr="00D65870">
        <w:rPr>
          <w:rStyle w:val="ac"/>
          <w:rFonts w:ascii="Narkisim" w:hAnsi="Narkisim"/>
          <w:rtl/>
        </w:rPr>
        <w:footnoteReference w:id="7065"/>
      </w:r>
      <w:r w:rsidRPr="00D65870">
        <w:rPr>
          <w:rFonts w:ascii="Narkisim" w:hAnsi="Narkisim"/>
          <w:rtl/>
        </w:rPr>
        <w:t>.</w:t>
      </w:r>
    </w:p>
    <w:p w14:paraId="2B9D8C9F"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ובסיפא (ב"ק קטז.) אי' דהיכא דשולה דגים צריך ליתן שכרו משלם, דטוען דהפסידו דגים בזוז. וה</w:t>
      </w:r>
      <w:r w:rsidRPr="00D65870">
        <w:rPr>
          <w:rFonts w:ascii="Narkisim" w:hAnsi="Narkisim" w:cs="Narkisim"/>
          <w:b/>
          <w:bCs/>
          <w:rtl/>
        </w:rPr>
        <w:t>רמב"ן</w:t>
      </w:r>
      <w:r w:rsidRPr="00D65870">
        <w:rPr>
          <w:rFonts w:ascii="Narkisim" w:hAnsi="Narkisim" w:cs="Narkisim"/>
          <w:rtl/>
        </w:rPr>
        <w:t xml:space="preserve"> הק' דה"נ גבי יבם הפסידו את הירושה, ויש לו זכות בנכסים ובגופה של אשה, ואמר לה אפסדתן מיהא. וכת' דאיירי דוקא ביבם שאינו הגון לה, דרמיא עליה למיחלץ. וכדילפי' מדכתיב ודברו אליו דכה"ג מצוה מן התורה בחליצה. ולא הפסידו כלום ממה דחזי ליה. ומש"ה נחשב שהתנו יותר מן הראוי לו</w:t>
      </w:r>
      <w:r w:rsidRPr="00D65870">
        <w:rPr>
          <w:rStyle w:val="ac"/>
          <w:rFonts w:ascii="Narkisim" w:hAnsi="Narkisim" w:cs="Narkisim"/>
          <w:rtl/>
        </w:rPr>
        <w:footnoteReference w:id="7066"/>
      </w:r>
      <w:r w:rsidRPr="00D65870">
        <w:rPr>
          <w:rFonts w:ascii="Narkisim" w:hAnsi="Narkisim" w:cs="Narkisim"/>
          <w:rtl/>
        </w:rPr>
        <w:t>.</w:t>
      </w:r>
    </w:p>
    <w:p w14:paraId="5628815C"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(קסט נו) כת' במקום דהוה ספיקא דדינא האם מחוייב לחלוץ, יכול לומר קים לי [דאינו מחוייב]. וצריכה ליתן שכרו. [כיון שאינה יכולה לחייבו לחלוץ לה]. וה</w:t>
      </w:r>
      <w:r w:rsidRPr="00D65870">
        <w:rPr>
          <w:rFonts w:ascii="Narkisim" w:hAnsi="Narkisim"/>
          <w:b/>
          <w:bCs/>
          <w:rtl/>
        </w:rPr>
        <w:t>ק"נ</w:t>
      </w:r>
      <w:r w:rsidRPr="00D65870">
        <w:rPr>
          <w:rFonts w:ascii="Narkisim" w:hAnsi="Narkisim"/>
          <w:rtl/>
        </w:rPr>
        <w:t xml:space="preserve"> (ש) חלק דאדרבה היא מוחזקת בממון, ואומרת קים לי דאי"צ ליתן שכרו.</w:t>
      </w:r>
    </w:p>
    <w:p w14:paraId="6AF778D7" w14:textId="77777777" w:rsidR="006C4368" w:rsidRPr="00D65870" w:rsidRDefault="006C4368" w:rsidP="006C4368">
      <w:pPr>
        <w:bidi/>
        <w:rPr>
          <w:rFonts w:ascii="Narkisim" w:hAnsi="Narkisim" w:cs="Narkisim"/>
        </w:rPr>
      </w:pPr>
      <w:r w:rsidRPr="00D65870">
        <w:rPr>
          <w:rFonts w:ascii="Narkisim" w:hAnsi="Narkisim" w:cs="Narkisim"/>
          <w:u w:val="single"/>
          <w:rtl/>
        </w:rPr>
        <w:t>תוד"ה אין</w:t>
      </w:r>
      <w:r w:rsidRPr="00D65870">
        <w:rPr>
          <w:rFonts w:ascii="Narkisim" w:hAnsi="Narkisim" w:cs="Narkisim"/>
          <w:rtl/>
        </w:rPr>
        <w:t>. דוקא הכא ששואל דבר גדול, במקום שאין לוקחים אלא דבר מועט</w:t>
      </w:r>
      <w:r w:rsidRPr="00D65870">
        <w:rPr>
          <w:rStyle w:val="ac"/>
          <w:rFonts w:ascii="Narkisim" w:hAnsi="Narkisim" w:cs="Narkisim"/>
          <w:rtl/>
        </w:rPr>
        <w:footnoteReference w:id="7067"/>
      </w:r>
      <w:r w:rsidRPr="00D65870">
        <w:rPr>
          <w:rFonts w:ascii="Narkisim" w:hAnsi="Narkisim" w:cs="Narkisim"/>
          <w:rtl/>
        </w:rPr>
        <w:t xml:space="preserve"> וכו' אבל </w:t>
      </w:r>
      <w:r w:rsidRPr="00D65870">
        <w:rPr>
          <w:rFonts w:ascii="Narkisim" w:hAnsi="Narkisim" w:cs="Narkisim"/>
          <w:rtl/>
        </w:rPr>
        <w:lastRenderedPageBreak/>
        <w:t>היכא שלוקחים דבר גדול וכו'</w:t>
      </w:r>
      <w:r w:rsidRPr="00D65870">
        <w:rPr>
          <w:rStyle w:val="ac"/>
          <w:rFonts w:ascii="Narkisim" w:hAnsi="Narkisim" w:cs="Narkisim"/>
          <w:rtl/>
        </w:rPr>
        <w:footnoteReference w:id="7068"/>
      </w:r>
      <w:r w:rsidRPr="00D65870">
        <w:rPr>
          <w:rFonts w:ascii="Narkisim" w:hAnsi="Narkisim" w:cs="Narkisim"/>
          <w:rtl/>
        </w:rPr>
        <w:t>. וה</w:t>
      </w:r>
      <w:r w:rsidRPr="00D65870">
        <w:rPr>
          <w:rFonts w:ascii="Narkisim" w:hAnsi="Narkisim" w:cs="Narkisim"/>
          <w:b/>
          <w:bCs/>
          <w:rtl/>
        </w:rPr>
        <w:t>ראשונים</w:t>
      </w:r>
      <w:r w:rsidRPr="00D65870">
        <w:rPr>
          <w:rFonts w:ascii="Narkisim" w:hAnsi="Narkisim" w:cs="Narkisim"/>
          <w:rtl/>
        </w:rPr>
        <w:t xml:space="preserve"> (תשו' מיימוניות כב, והו' ברמ"א חו"מ רסד ז) הביאו בשם </w:t>
      </w:r>
      <w:r w:rsidRPr="00D65870">
        <w:rPr>
          <w:rFonts w:ascii="Narkisim" w:hAnsi="Narkisim" w:cs="Narkisim"/>
          <w:b/>
          <w:bCs/>
          <w:rtl/>
        </w:rPr>
        <w:t>ר"י</w:t>
      </w:r>
      <w:r w:rsidRPr="00D65870">
        <w:rPr>
          <w:rFonts w:ascii="Narkisim" w:hAnsi="Narkisim" w:cs="Narkisim"/>
          <w:rtl/>
        </w:rPr>
        <w:t xml:space="preserve"> דלרופא חייב ליתן לו כל מה שהתנה עמו, כיון דהדרך ליתן עליו הרבה</w:t>
      </w:r>
      <w:r w:rsidRPr="00D65870">
        <w:rPr>
          <w:rStyle w:val="ac"/>
          <w:rFonts w:ascii="Narkisim" w:hAnsi="Narkisim" w:cs="Narkisim"/>
          <w:rtl/>
        </w:rPr>
        <w:footnoteReference w:id="7069"/>
      </w:r>
      <w:r w:rsidRPr="00D65870">
        <w:rPr>
          <w:rFonts w:ascii="Narkisim" w:hAnsi="Narkisim" w:cs="Narkisim"/>
          <w:rtl/>
        </w:rPr>
        <w:t>. [דהכל נחשב דמי שכירות, ול"ש בזה משטה].</w:t>
      </w:r>
    </w:p>
    <w:p w14:paraId="32E3C8D1"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Style w:val="ac"/>
          <w:rFonts w:ascii="Narkisim" w:hAnsi="Narkisim"/>
          <w:rtl/>
        </w:rPr>
        <w:footnoteReference w:id="7070"/>
      </w:r>
      <w:r w:rsidRPr="00D65870">
        <w:rPr>
          <w:rFonts w:ascii="Narkisim" w:hAnsi="Narkisim"/>
          <w:rtl/>
        </w:rPr>
        <w:t xml:space="preserve"> כת' דכשהתנה הרבה בשכר הרופא, חייב ליתן שחכמתו מכר לו ואין לה דמים. אבל הרמב"ן הביא י"מ דאף הרופא חייב להצילו משום השבת אבידה, ומש"ה אף הרופא אין לו אלא שכרו כפועל בטל [דאינו רשאי ליטול שכר על מצווה שמחוייב לעשות</w:t>
      </w:r>
      <w:r w:rsidRPr="00D65870">
        <w:rPr>
          <w:rStyle w:val="ac"/>
          <w:rFonts w:ascii="Narkisim" w:hAnsi="Narkisim"/>
          <w:rtl/>
        </w:rPr>
        <w:footnoteReference w:id="7071"/>
      </w:r>
      <w:r w:rsidRPr="00D65870">
        <w:rPr>
          <w:rFonts w:ascii="Narkisim" w:hAnsi="Narkisim"/>
          <w:rtl/>
        </w:rPr>
        <w:t>].</w:t>
      </w:r>
    </w:p>
    <w:p w14:paraId="679BC560"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חלק דבסוגיין קאי לענין דינא, ולא לענין חיובא דמצווה. דהא אינו מחוייב לחלוץ לה. ואף דמחוייב שמצווה לרפאות [ואינו רשאי ליטול שכר</w:t>
      </w:r>
      <w:r w:rsidRPr="00D65870">
        <w:rPr>
          <w:rStyle w:val="ac"/>
          <w:rFonts w:ascii="Narkisim" w:hAnsi="Narkisim"/>
          <w:rtl/>
        </w:rPr>
        <w:footnoteReference w:id="7072"/>
      </w:r>
      <w:r w:rsidRPr="00D65870">
        <w:rPr>
          <w:rFonts w:ascii="Narkisim" w:hAnsi="Narkisim"/>
          <w:rtl/>
        </w:rPr>
        <w:t>], וכן בבורח יש מצווה להציל, מ"מ המצווה רמיא אכו"ע. ואף דנזדמן לזה ולא רצה לקיים אלא בממון, אין מפקיעין חיוב ממון שלו.</w:t>
      </w:r>
    </w:p>
    <w:p w14:paraId="5DEFF0B4" w14:textId="77777777" w:rsidR="006C4368" w:rsidRPr="00D65870" w:rsidRDefault="006C4368" w:rsidP="006C4368">
      <w:pPr>
        <w:pStyle w:val="aa"/>
        <w:bidi/>
        <w:rPr>
          <w:rFonts w:ascii="Narkisim" w:hAnsi="Narkisim"/>
        </w:rPr>
      </w:pPr>
      <w:r w:rsidRPr="00D65870">
        <w:rPr>
          <w:rFonts w:ascii="Narkisim" w:hAnsi="Narkisim"/>
          <w:u w:val="single"/>
          <w:rtl/>
        </w:rPr>
        <w:t>יהיב בהו עיניה וכו'</w:t>
      </w:r>
      <w:r w:rsidRPr="00D65870">
        <w:rPr>
          <w:rFonts w:ascii="Narkisim" w:hAnsi="Narkisim"/>
          <w:rtl/>
        </w:rPr>
        <w:t>. ה</w:t>
      </w:r>
      <w:r w:rsidRPr="00D65870">
        <w:rPr>
          <w:rFonts w:ascii="Narkisim" w:hAnsi="Narkisim"/>
          <w:b/>
          <w:bCs/>
          <w:rtl/>
        </w:rPr>
        <w:t>יעב"ץ</w:t>
      </w:r>
      <w:r w:rsidRPr="00D65870">
        <w:rPr>
          <w:rFonts w:ascii="Narkisim" w:hAnsi="Narkisim"/>
          <w:rtl/>
        </w:rPr>
        <w:t xml:space="preserve"> כת' דלא נתכוון להמיתם, אלא ממילא ע"י שהיה הדבר גדול בעיניו שלטה בהם עינו. והוה בכלל הא דאמרו (חגיגה ה:) דכל מקום שנתנו חכמים עיניהם וכו'.</w:t>
      </w:r>
    </w:p>
    <w:p w14:paraId="58F21AC2" w14:textId="77777777" w:rsidR="006C4368" w:rsidRPr="00D65870" w:rsidRDefault="006C4368" w:rsidP="006C4368">
      <w:pPr>
        <w:bidi/>
        <w:rPr>
          <w:rFonts w:ascii="Narkisim" w:hAnsi="Narkisim" w:cs="Narkisim"/>
        </w:rPr>
      </w:pPr>
      <w:r w:rsidRPr="00D65870">
        <w:rPr>
          <w:rFonts w:ascii="Narkisim" w:hAnsi="Narkisim" w:cs="Narkisim"/>
          <w:u w:val="single"/>
          <w:rtl/>
        </w:rPr>
        <w:t>ת"ר חליצה מעושית פסולה כשירה וכו' הא דלא אמר רוצה אני</w:t>
      </w:r>
      <w:r w:rsidRPr="00D65870">
        <w:rPr>
          <w:rFonts w:ascii="Narkisim" w:hAnsi="Narkisim" w:cs="Narkisim"/>
          <w:rtl/>
        </w:rPr>
        <w:t>. משמע דאף חליצה בעינן גדר 'רוצה אני' וכמו בגט. ה</w:t>
      </w:r>
      <w:r w:rsidRPr="00D65870">
        <w:rPr>
          <w:rFonts w:ascii="Narkisim" w:hAnsi="Narkisim" w:cs="Narkisim"/>
          <w:b/>
          <w:bCs/>
          <w:rtl/>
        </w:rPr>
        <w:t>חכ"צ</w:t>
      </w:r>
      <w:r w:rsidRPr="00D65870">
        <w:rPr>
          <w:rFonts w:ascii="Narkisim" w:hAnsi="Narkisim" w:cs="Narkisim"/>
          <w:rtl/>
        </w:rPr>
        <w:t xml:space="preserve"> (א) כת' דלכאורה יש כמה חילוקים בין גט לחליצה [בגדר הכוונה], אך כת' שנמנע לאומרה, דהא מבואר (בקו' הגמ' כאן) ה"ד אי דאמר רוצה אני אפי' חליצה נמי. משמע דליכא לפלוגי בין כונת גט לכונת חליצה.</w:t>
      </w:r>
    </w:p>
    <w:p w14:paraId="5AF9577F" w14:textId="77777777" w:rsidR="006C4368" w:rsidRPr="00D65870" w:rsidRDefault="006C4368" w:rsidP="006C4368">
      <w:pPr>
        <w:bidi/>
        <w:rPr>
          <w:rFonts w:ascii="Narkisim" w:hAnsi="Narkisim" w:cs="Narkisim"/>
        </w:rPr>
      </w:pPr>
      <w:r w:rsidRPr="00D65870">
        <w:rPr>
          <w:rFonts w:ascii="Narkisim" w:hAnsi="Narkisim" w:cs="Narkisim"/>
          <w:rtl/>
        </w:rPr>
        <w:t>וה</w:t>
      </w:r>
      <w:r w:rsidRPr="00D65870">
        <w:rPr>
          <w:rFonts w:ascii="Narkisim" w:hAnsi="Narkisim" w:cs="Narkisim"/>
          <w:b/>
          <w:bCs/>
          <w:rtl/>
        </w:rPr>
        <w:t>רמב"ם</w:t>
      </w:r>
      <w:r w:rsidRPr="00D65870">
        <w:rPr>
          <w:rFonts w:ascii="Narkisim" w:hAnsi="Narkisim" w:cs="Narkisim"/>
          <w:rtl/>
        </w:rPr>
        <w:t xml:space="preserve"> (ד כה) כת' דהמוסר מודעא על החליצה חליצתו פסולה. [לפיכך עושים ביטול מודעא]</w:t>
      </w:r>
      <w:r w:rsidRPr="00D65870">
        <w:rPr>
          <w:rStyle w:val="ac"/>
          <w:rFonts w:ascii="Narkisim" w:hAnsi="Narkisim" w:cs="Narkisim"/>
          <w:rtl/>
        </w:rPr>
        <w:footnoteReference w:id="7073"/>
      </w:r>
      <w:r w:rsidRPr="00D65870">
        <w:rPr>
          <w:rFonts w:ascii="Narkisim" w:hAnsi="Narkisim" w:cs="Narkisim"/>
          <w:rtl/>
        </w:rPr>
        <w:t>. ו</w:t>
      </w:r>
      <w:r w:rsidRPr="00D65870">
        <w:rPr>
          <w:rFonts w:ascii="Narkisim" w:hAnsi="Narkisim" w:cs="Narkisim"/>
          <w:b/>
          <w:bCs/>
          <w:rtl/>
        </w:rPr>
        <w:t>ה"ה</w:t>
      </w:r>
      <w:r w:rsidRPr="00D65870">
        <w:rPr>
          <w:rFonts w:ascii="Narkisim" w:hAnsi="Narkisim" w:cs="Narkisim"/>
          <w:rtl/>
        </w:rPr>
        <w:t xml:space="preserve"> הביא דהמקור ממה שהשוו (בסוגיין) החליצה לגט.</w:t>
      </w:r>
    </w:p>
    <w:p w14:paraId="2A9E86DE"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כס"מ</w:t>
      </w:r>
      <w:r w:rsidRPr="00D65870">
        <w:rPr>
          <w:rFonts w:ascii="Narkisim" w:hAnsi="Narkisim"/>
          <w:rtl/>
        </w:rPr>
        <w:t xml:space="preserve"> הק' מ"ש בחליצה דלאחר שמסר מודעא אפ"ה מהני החליצה לפוסלה מיבום, ואילו בגט אינו פוסל כלל. וביאר דבחליצה לא מהני מודעא אלא לגלות שהוא אנוס. והוה חליצה מעושית, וחליצה מעושית פוסל</w:t>
      </w:r>
      <w:r w:rsidRPr="00D65870">
        <w:rPr>
          <w:rStyle w:val="ac"/>
          <w:rFonts w:ascii="Narkisim" w:hAnsi="Narkisim"/>
          <w:rtl/>
        </w:rPr>
        <w:footnoteReference w:id="7074"/>
      </w:r>
      <w:r w:rsidRPr="00D65870">
        <w:rPr>
          <w:rFonts w:ascii="Narkisim" w:hAnsi="Narkisim"/>
          <w:rtl/>
        </w:rPr>
        <w:t>. ואילו בגט שייך ביטול על גוף הגט. ועוד דבחליצה ל"ש לבטל את מעשה החליצה עצמה, שתהיה כאילו לא נעשתה. אלא שהוא אומר שלא נתכוון להתירה לשוק, ומ"מ אף לדבריו הוה חליצה פסולה ופוסלת. וכדאי' (לעיל) דחליצה פסולה פוסלת.</w:t>
      </w:r>
    </w:p>
    <w:p w14:paraId="1EA8C36C"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שער"י</w:t>
      </w:r>
      <w:r w:rsidRPr="00D65870">
        <w:rPr>
          <w:rFonts w:ascii="Narkisim" w:hAnsi="Narkisim"/>
          <w:rtl/>
        </w:rPr>
        <w:t xml:space="preserve"> (ז ו) הק' מה תועיל המודעה בחליצה, הא ל"צ דעת קנין</w:t>
      </w:r>
      <w:r w:rsidRPr="00D65870">
        <w:rPr>
          <w:rStyle w:val="ac"/>
          <w:rFonts w:ascii="Narkisim" w:hAnsi="Narkisim"/>
          <w:rtl/>
        </w:rPr>
        <w:footnoteReference w:id="7075"/>
      </w:r>
      <w:r w:rsidRPr="00D65870">
        <w:rPr>
          <w:rFonts w:ascii="Narkisim" w:hAnsi="Narkisim"/>
          <w:rtl/>
        </w:rPr>
        <w:t xml:space="preserve"> [והאדם אינו פועל את ההיתר]. וכיון שאח"כ עושה החליצה בכונה כראוי ובלי אונס אמאי ל"מ להתיר. וכת' די"ל דגם בחליצה צריך רצון על המעשה [שירצה לעשות באופן המועיל], ומהני ביטול על הרצון</w:t>
      </w:r>
      <w:r w:rsidRPr="00D65870">
        <w:rPr>
          <w:rStyle w:val="ac"/>
          <w:rFonts w:ascii="Narkisim" w:hAnsi="Narkisim"/>
          <w:rtl/>
        </w:rPr>
        <w:footnoteReference w:id="7076"/>
      </w:r>
      <w:r w:rsidRPr="00D65870">
        <w:rPr>
          <w:rFonts w:ascii="Narkisim" w:hAnsi="Narkisim"/>
          <w:rtl/>
        </w:rPr>
        <w:t>.</w:t>
      </w:r>
    </w:p>
    <w:p w14:paraId="4B5DD8BB" w14:textId="77777777" w:rsidR="006C4368" w:rsidRPr="00D65870" w:rsidRDefault="006C4368" w:rsidP="006C4368">
      <w:pPr>
        <w:pStyle w:val="aa"/>
        <w:bidi/>
        <w:rPr>
          <w:rFonts w:ascii="Narkisim" w:hAnsi="Narkisim"/>
        </w:rPr>
      </w:pPr>
      <w:r w:rsidRPr="00D65870">
        <w:rPr>
          <w:rFonts w:ascii="Narkisim" w:hAnsi="Narkisim"/>
          <w:u w:val="single"/>
          <w:rtl/>
        </w:rPr>
        <w:t>שם. חליצה מעושית פסולה</w:t>
      </w:r>
      <w:r w:rsidRPr="00D65870">
        <w:rPr>
          <w:rFonts w:ascii="Narkisim" w:hAnsi="Narkisim"/>
          <w:rtl/>
        </w:rPr>
        <w:t>. בסוגיין איירי דכפו את היבם, ולא נתפרש האם מהני שכפו את היבמה. וה</w:t>
      </w:r>
      <w:r w:rsidRPr="00D65870">
        <w:rPr>
          <w:rFonts w:ascii="Narkisim" w:hAnsi="Narkisim"/>
          <w:b/>
          <w:bCs/>
          <w:rtl/>
        </w:rPr>
        <w:t>או"ש</w:t>
      </w:r>
      <w:r w:rsidRPr="00D65870">
        <w:rPr>
          <w:rFonts w:ascii="Narkisim" w:hAnsi="Narkisim"/>
          <w:rtl/>
        </w:rPr>
        <w:t xml:space="preserve"> (שם) נקט דמהני, דהא למ"ד (קה:) דקטנה חולצת, הא פיתוי קטנה נחשב אונס.</w:t>
      </w:r>
    </w:p>
    <w:p w14:paraId="6A50573F" w14:textId="77777777" w:rsidR="006C4368" w:rsidRPr="00D65870" w:rsidRDefault="006C4368" w:rsidP="006C4368">
      <w:pPr>
        <w:pStyle w:val="aa"/>
        <w:bidi/>
        <w:rPr>
          <w:rFonts w:ascii="Narkisim" w:hAnsi="Narkisim"/>
        </w:rPr>
      </w:pPr>
      <w:r w:rsidRPr="00D65870">
        <w:rPr>
          <w:rFonts w:ascii="Narkisim" w:hAnsi="Narkisim"/>
          <w:u w:val="single"/>
          <w:rtl/>
        </w:rPr>
        <w:t>וכן אתה מוצא בגיטי נשים כופין אותו עד שיאמר רוצה אני וכו'</w:t>
      </w:r>
      <w:r w:rsidRPr="00D65870">
        <w:rPr>
          <w:rFonts w:ascii="Narkisim" w:hAnsi="Narkisim"/>
          <w:rtl/>
        </w:rPr>
        <w:t xml:space="preserve">. [במקומות שהדין דכופין מחמת שמחוייב </w:t>
      </w:r>
      <w:r w:rsidRPr="00D65870">
        <w:rPr>
          <w:rFonts w:ascii="Narkisim" w:hAnsi="Narkisim"/>
          <w:rtl/>
        </w:rPr>
        <w:lastRenderedPageBreak/>
        <w:t>לגרש. אבל גט מעושה שלא כדין פסול, וכדאי' גיטין פח:]. וה</w:t>
      </w:r>
      <w:r w:rsidRPr="00D65870">
        <w:rPr>
          <w:rFonts w:ascii="Narkisim" w:hAnsi="Narkisim"/>
          <w:b/>
          <w:bCs/>
          <w:rtl/>
        </w:rPr>
        <w:t>רמב"ם</w:t>
      </w:r>
      <w:r w:rsidRPr="00D65870">
        <w:rPr>
          <w:rFonts w:ascii="Narkisim" w:hAnsi="Narkisim"/>
          <w:rtl/>
        </w:rPr>
        <w:t xml:space="preserve"> (ד כה) כת' דה"נ איירי דוקא בכפוהו כדין, אבל אם כפו שלא כדין חליצתו פסולה.</w:t>
      </w:r>
    </w:p>
    <w:p w14:paraId="272FF982"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רמב"ם</w:t>
      </w:r>
      <w:r w:rsidRPr="00D65870">
        <w:rPr>
          <w:rFonts w:ascii="Narkisim" w:hAnsi="Narkisim"/>
          <w:rtl/>
        </w:rPr>
        <w:t xml:space="preserve"> (גירושין ב כ) ביאר הא דמהני הגט באונס, דכיון דמחוייב מהדין לעשותו</w:t>
      </w:r>
      <w:r w:rsidRPr="00D65870">
        <w:rPr>
          <w:rStyle w:val="ac"/>
          <w:rFonts w:ascii="Narkisim" w:hAnsi="Narkisim"/>
          <w:rtl/>
        </w:rPr>
        <w:footnoteReference w:id="7077"/>
      </w:r>
      <w:r w:rsidRPr="00D65870">
        <w:rPr>
          <w:rFonts w:ascii="Narkisim" w:hAnsi="Narkisim"/>
          <w:rtl/>
        </w:rPr>
        <w:t>. דמי שתקפו יצרו הרע לבטל מצוה או לעשות עבירה, והוכה עד שעשה דבר שחייב לעשותו או עד שנתרחק מדבר שאסור לעשותו, אין זה אנוס ממנו אלא הוא אנס עצמו בדעתו הרעה. מאחר שהוא רוצה להיות מישראל רוצה הוא לעשות כל המצות ולהתרחק מן העבירות ויצרו הוא שתקפו וכיון שהוכה עד שתשש יצרו ואמר רוצה אני כבר גרש לרצונו.</w:t>
      </w:r>
    </w:p>
    <w:p w14:paraId="7683C019" w14:textId="77777777" w:rsidR="006C4368" w:rsidRPr="00D65870" w:rsidRDefault="006C4368" w:rsidP="006C4368">
      <w:pPr>
        <w:pStyle w:val="2"/>
        <w:bidi/>
        <w:rPr>
          <w:rFonts w:ascii="Narkisim" w:hAnsi="Narkisim"/>
        </w:rPr>
      </w:pPr>
      <w:r w:rsidRPr="00D65870">
        <w:rPr>
          <w:rFonts w:ascii="Narkisim" w:hAnsi="Narkisim"/>
          <w:rtl/>
        </w:rPr>
        <w:t>חולצין כשלא מכירים</w:t>
      </w:r>
    </w:p>
    <w:p w14:paraId="376D710C" w14:textId="77777777" w:rsidR="006C4368" w:rsidRPr="00D65870" w:rsidRDefault="006C4368" w:rsidP="006C4368">
      <w:pPr>
        <w:bidi/>
        <w:rPr>
          <w:rFonts w:ascii="Narkisim" w:hAnsi="Narkisim" w:cs="Narkisim"/>
        </w:rPr>
      </w:pPr>
      <w:r w:rsidRPr="00D65870">
        <w:rPr>
          <w:rFonts w:ascii="Narkisim" w:hAnsi="Narkisim" w:cs="Narkisim"/>
          <w:u w:val="single"/>
          <w:rtl/>
        </w:rPr>
        <w:t>ורבא דידיה אמר אין חולצין אא"כ מכירין וכו'</w:t>
      </w:r>
      <w:r w:rsidRPr="00D65870">
        <w:rPr>
          <w:rFonts w:ascii="Narkisim" w:hAnsi="Narkisim" w:cs="Narkisim"/>
          <w:rtl/>
        </w:rPr>
        <w:t>. ובגמ' (לעיל לט:) נח' רב אחא ורבינא אשתמודעינהו, חד אמר בעדים וחד אמר אפי' בקרוב ואפי' אשה. וכן הילכתא דאפי' קרוב ואשה דגילוי מילתא בעלמא הוא. וה</w:t>
      </w:r>
      <w:r w:rsidRPr="00D65870">
        <w:rPr>
          <w:rFonts w:ascii="Narkisim" w:hAnsi="Narkisim" w:cs="Narkisim"/>
          <w:b/>
          <w:bCs/>
          <w:rtl/>
        </w:rPr>
        <w:t>רי"ף</w:t>
      </w:r>
      <w:r w:rsidRPr="00D65870">
        <w:rPr>
          <w:rFonts w:ascii="Narkisim" w:hAnsi="Narkisim" w:cs="Narkisim"/>
          <w:rtl/>
        </w:rPr>
        <w:t xml:space="preserve"> (שם יג. בדה"ס) ביאר דלאו אמילתא דאיסורא קמסהדי ולאו אממונא מסהדי, אלא מילתא בעלמא מגלו דהוה איש פלוני ואשה פלונית. וכיון דמודעי ליה הכי, הרי איתחזק גביה ומהני בין לענין איסורא בין לענין ממונא. ודוקא היכא דליכא חשש חשד.</w:t>
      </w:r>
    </w:p>
    <w:p w14:paraId="7C96BDD6"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וה</w:t>
      </w:r>
      <w:r w:rsidRPr="00D65870">
        <w:rPr>
          <w:rFonts w:ascii="Narkisim" w:hAnsi="Narkisim" w:cs="Narkisim"/>
          <w:b/>
          <w:bCs/>
          <w:rtl/>
        </w:rPr>
        <w:t>רמב"ן</w:t>
      </w:r>
      <w:r w:rsidRPr="00D65870">
        <w:rPr>
          <w:rFonts w:ascii="Narkisim" w:hAnsi="Narkisim" w:cs="Narkisim"/>
          <w:rtl/>
        </w:rPr>
        <w:t xml:space="preserve"> וה</w:t>
      </w:r>
      <w:r w:rsidRPr="00D65870">
        <w:rPr>
          <w:rFonts w:ascii="Narkisim" w:hAnsi="Narkisim" w:cs="Narkisim"/>
          <w:b/>
          <w:bCs/>
          <w:rtl/>
        </w:rPr>
        <w:t>תו"י</w:t>
      </w:r>
      <w:r w:rsidRPr="00D65870">
        <w:rPr>
          <w:rFonts w:ascii="Narkisim" w:hAnsi="Narkisim" w:cs="Narkisim"/>
          <w:rtl/>
        </w:rPr>
        <w:t xml:space="preserve"> (עה"ג) הק' אמאי אינם נאמנים ע"פ עצמן, ומ"ש מהא דאי' (קדושין סג:) האומר קדשתי את בתי ואיני יודע למי, ובא א' ואמר אני קדשתיה נאמן עכ"פ ליתן גט</w:t>
      </w:r>
      <w:r w:rsidRPr="00D65870">
        <w:rPr>
          <w:rStyle w:val="ac"/>
          <w:rFonts w:ascii="Narkisim" w:hAnsi="Narkisim" w:cs="Narkisim"/>
          <w:rtl/>
        </w:rPr>
        <w:footnoteReference w:id="7078"/>
      </w:r>
      <w:r w:rsidRPr="00D65870">
        <w:rPr>
          <w:rFonts w:ascii="Narkisim" w:hAnsi="Narkisim" w:cs="Narkisim"/>
          <w:rtl/>
        </w:rPr>
        <w:t>. דאין אדם חוטא ולא לו.</w:t>
      </w:r>
    </w:p>
    <w:p w14:paraId="3DFDAAD6"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תו"י</w:t>
      </w:r>
      <w:r w:rsidRPr="00D65870">
        <w:rPr>
          <w:rFonts w:ascii="Narkisim" w:hAnsi="Narkisim"/>
          <w:rtl/>
        </w:rPr>
        <w:t xml:space="preserve"> תי' דהתם חייש שמא יסתרו דבריו ויכחישוהו. [והנאמנות בצירוף הא דעבידא לאיגלויי]. אבל הכא ליכא דמכחיש להו</w:t>
      </w:r>
      <w:r w:rsidRPr="00D65870">
        <w:rPr>
          <w:rStyle w:val="ac"/>
          <w:rFonts w:ascii="Narkisim" w:hAnsi="Narkisim"/>
          <w:rtl/>
        </w:rPr>
        <w:footnoteReference w:id="7079"/>
      </w:r>
      <w:r w:rsidRPr="00D65870">
        <w:rPr>
          <w:rFonts w:ascii="Narkisim" w:hAnsi="Narkisim"/>
          <w:rtl/>
        </w:rPr>
        <w:t>. ועוד כת' דהכא אף היבם אינו מכיר שהיא יבמתו, שבא ממדינת הים.</w:t>
      </w:r>
    </w:p>
    <w:p w14:paraId="478FA364"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רמב"ן</w:t>
      </w:r>
      <w:r w:rsidRPr="00D65870">
        <w:rPr>
          <w:rFonts w:ascii="Narkisim" w:hAnsi="Narkisim"/>
          <w:rtl/>
        </w:rPr>
        <w:t xml:space="preserve"> תי' דעכ"פ צריכים להכיר את האיש שזה שמו. וכדאי' (ב"ב קסז:) ובלבד שיהא מכיר שם האיש בגט</w:t>
      </w:r>
      <w:r w:rsidRPr="00D65870">
        <w:rPr>
          <w:rStyle w:val="ac"/>
          <w:rFonts w:ascii="Narkisim" w:hAnsi="Narkisim"/>
          <w:rtl/>
        </w:rPr>
        <w:footnoteReference w:id="7080"/>
      </w:r>
      <w:r w:rsidRPr="00D65870">
        <w:rPr>
          <w:rFonts w:ascii="Narkisim" w:hAnsi="Narkisim"/>
          <w:rtl/>
        </w:rPr>
        <w:t>, וה"ה לשם האשה. וה"נ חיישינן לתקלה שיתירו אותה לשוק כשיש שאר אחים</w:t>
      </w:r>
      <w:r w:rsidRPr="00D65870">
        <w:rPr>
          <w:rStyle w:val="ac"/>
          <w:rFonts w:ascii="Narkisim" w:hAnsi="Narkisim"/>
          <w:rtl/>
        </w:rPr>
        <w:footnoteReference w:id="7081"/>
      </w:r>
      <w:r w:rsidRPr="00D65870">
        <w:rPr>
          <w:rFonts w:ascii="Narkisim" w:hAnsi="Narkisim"/>
          <w:rtl/>
        </w:rPr>
        <w:t>. אבל התם אילו יבא אחר ויביא עדים שהוא קידשה השני נאמן. ומש"ה סמכינן עליה דהאי השתא עד שיבואו עדים, וליכא למיחש למידי שמא ישאנה במקום אחר</w:t>
      </w:r>
      <w:r w:rsidRPr="00D65870">
        <w:rPr>
          <w:rStyle w:val="ac"/>
          <w:rFonts w:ascii="Narkisim" w:hAnsi="Narkisim"/>
          <w:rtl/>
        </w:rPr>
        <w:footnoteReference w:id="7082"/>
      </w:r>
      <w:r w:rsidRPr="00D65870">
        <w:rPr>
          <w:rFonts w:ascii="Narkisim" w:hAnsi="Narkisim"/>
          <w:rtl/>
        </w:rPr>
        <w:t>.</w:t>
      </w:r>
    </w:p>
    <w:p w14:paraId="6C7C1063" w14:textId="77777777" w:rsidR="006C4368" w:rsidRPr="00D65870" w:rsidRDefault="006C4368" w:rsidP="006C4368">
      <w:pPr>
        <w:bidi/>
        <w:rPr>
          <w:rFonts w:ascii="Narkisim" w:hAnsi="Narkisim" w:cs="Narkisim"/>
        </w:rPr>
      </w:pPr>
      <w:r w:rsidRPr="00D65870">
        <w:rPr>
          <w:rFonts w:ascii="Narkisim" w:hAnsi="Narkisim" w:cs="Narkisim"/>
          <w:u w:val="single"/>
          <w:rtl/>
        </w:rPr>
        <w:t>לפיכך כותבין גט חליצה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העדים הרואים כותבים [ואף שהעדים לא הכירו]. ובפשוטו מבואר דהעדים כותבים את הגט חליצה. וה</w:t>
      </w:r>
      <w:r w:rsidRPr="00D65870">
        <w:rPr>
          <w:rFonts w:ascii="Narkisim" w:hAnsi="Narkisim" w:cs="Narkisim"/>
          <w:b/>
          <w:bCs/>
          <w:rtl/>
        </w:rPr>
        <w:t>קוב"ש</w:t>
      </w:r>
      <w:r w:rsidRPr="00D65870">
        <w:rPr>
          <w:rFonts w:ascii="Narkisim" w:hAnsi="Narkisim" w:cs="Narkisim"/>
          <w:rtl/>
        </w:rPr>
        <w:t xml:space="preserve"> (ב"ב תעא) הק' איך מהני כתיבת גט חליצה הא הוה מפי כתבם</w:t>
      </w:r>
      <w:r w:rsidRPr="00D65870">
        <w:rPr>
          <w:rStyle w:val="ac"/>
          <w:rFonts w:ascii="Narkisim" w:hAnsi="Narkisim" w:cs="Narkisim"/>
          <w:rtl/>
        </w:rPr>
        <w:footnoteReference w:id="7083"/>
      </w:r>
      <w:r w:rsidRPr="00D65870">
        <w:rPr>
          <w:rFonts w:ascii="Narkisim" w:hAnsi="Narkisim" w:cs="Narkisim"/>
          <w:rtl/>
        </w:rPr>
        <w:t>. ותי' די"ל דהוה מעשה בי"ד (וכמשמעות המשנה ב"מ כ.)</w:t>
      </w:r>
      <w:r w:rsidRPr="00D65870">
        <w:rPr>
          <w:rStyle w:val="ac"/>
          <w:rFonts w:ascii="Narkisim" w:hAnsi="Narkisim" w:cs="Narkisim"/>
          <w:rtl/>
        </w:rPr>
        <w:footnoteReference w:id="7084"/>
      </w:r>
      <w:r w:rsidRPr="00D65870">
        <w:rPr>
          <w:rFonts w:ascii="Narkisim" w:hAnsi="Narkisim" w:cs="Narkisim"/>
          <w:rtl/>
        </w:rPr>
        <w:t>. וי"ל דהבי"ד כותבים [וכ"כ ה</w:t>
      </w:r>
      <w:r w:rsidRPr="00D65870">
        <w:rPr>
          <w:rFonts w:ascii="Narkisim" w:hAnsi="Narkisim" w:cs="Narkisim"/>
          <w:b/>
          <w:bCs/>
          <w:rtl/>
        </w:rPr>
        <w:t>רמב"ם</w:t>
      </w:r>
      <w:r w:rsidRPr="00D65870">
        <w:rPr>
          <w:rFonts w:ascii="Narkisim" w:hAnsi="Narkisim" w:cs="Narkisim"/>
          <w:rtl/>
        </w:rPr>
        <w:t xml:space="preserve"> ד כט], ודלא כ</w:t>
      </w:r>
      <w:r w:rsidRPr="00D65870">
        <w:rPr>
          <w:rFonts w:ascii="Narkisim" w:hAnsi="Narkisim" w:cs="Narkisim"/>
          <w:b/>
          <w:bCs/>
          <w:rtl/>
        </w:rPr>
        <w:t>רש"י</w:t>
      </w:r>
      <w:r w:rsidRPr="00D65870">
        <w:rPr>
          <w:rFonts w:ascii="Narkisim" w:hAnsi="Narkisim" w:cs="Narkisim"/>
          <w:rtl/>
        </w:rPr>
        <w:t xml:space="preserve"> (כאן).</w:t>
      </w:r>
    </w:p>
    <w:p w14:paraId="6E8D96BB"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רמ"ה</w:t>
      </w:r>
      <w:r w:rsidRPr="00D65870">
        <w:rPr>
          <w:rFonts w:ascii="Narkisim" w:hAnsi="Narkisim"/>
          <w:rtl/>
        </w:rPr>
        <w:t xml:space="preserve"> (ב"ב קלח:, והר"א אב"ד והר"י קרקושא בשיטת הקדמונים שם) כת' דעדים שראו את החליצה באין בפני בי"ד אחרון, ובי"ד אחרון כותבין לה גט חליצה.</w:t>
      </w:r>
    </w:p>
    <w:p w14:paraId="48DC6C02" w14:textId="77777777" w:rsidR="006C4368" w:rsidRPr="00D65870" w:rsidRDefault="006C4368" w:rsidP="006C4368">
      <w:pPr>
        <w:bidi/>
        <w:rPr>
          <w:rFonts w:ascii="Narkisim" w:hAnsi="Narkisim" w:cs="Narkisim"/>
        </w:rPr>
      </w:pPr>
      <w:r w:rsidRPr="00D65870">
        <w:rPr>
          <w:rFonts w:ascii="Narkisim" w:hAnsi="Narkisim" w:cs="Narkisim"/>
          <w:u w:val="single"/>
          <w:rtl/>
        </w:rPr>
        <w:t>תוד"ה ורבא</w:t>
      </w:r>
      <w:r w:rsidRPr="00D65870">
        <w:rPr>
          <w:rFonts w:ascii="Narkisim" w:hAnsi="Narkisim" w:cs="Narkisim"/>
          <w:rtl/>
        </w:rPr>
        <w:t>. שמא טעו בי"ד הראשון ועשו בלא הכרה, כך פ"ה, וקשה דאין פירוש בי"ד טועין שווה וכו'. וה</w:t>
      </w:r>
      <w:r w:rsidRPr="00D65870">
        <w:rPr>
          <w:rFonts w:ascii="Narkisim" w:hAnsi="Narkisim" w:cs="Narkisim"/>
          <w:b/>
          <w:bCs/>
          <w:rtl/>
        </w:rPr>
        <w:t>רמב"ן</w:t>
      </w:r>
      <w:r w:rsidRPr="00D65870">
        <w:rPr>
          <w:rFonts w:ascii="Narkisim" w:hAnsi="Narkisim" w:cs="Narkisim"/>
          <w:rtl/>
        </w:rPr>
        <w:t xml:space="preserve"> הק' דבגמ' (ב"ב שם) מבואר דאף בעדות אין חוששין שמא העדים יכתבו בלא שהכירו [דכיון דקי"ל דאין כותבין אא"כ מכירין, סמכינן שהעדים עשו כדין].</w:t>
      </w:r>
    </w:p>
    <w:p w14:paraId="4B286E1B" w14:textId="77777777" w:rsidR="006C4368" w:rsidRPr="00D65870" w:rsidRDefault="006C4368" w:rsidP="006C4368">
      <w:pPr>
        <w:bidi/>
        <w:rPr>
          <w:rFonts w:ascii="Narkisim" w:hAnsi="Narkisim" w:cs="Narkisim"/>
        </w:rPr>
      </w:pPr>
      <w:r w:rsidRPr="00D65870">
        <w:rPr>
          <w:rFonts w:ascii="Narkisim" w:hAnsi="Narkisim" w:cs="Narkisim"/>
          <w:rtl/>
        </w:rPr>
        <w:t>וב</w:t>
      </w:r>
      <w:r w:rsidRPr="00D65870">
        <w:rPr>
          <w:rFonts w:ascii="Narkisim" w:hAnsi="Narkisim" w:cs="Narkisim"/>
          <w:b/>
          <w:bCs/>
          <w:rtl/>
        </w:rPr>
        <w:t>תוס' מהר"ם ור"פ</w:t>
      </w:r>
      <w:r w:rsidRPr="00D65870">
        <w:rPr>
          <w:rFonts w:ascii="Narkisim" w:hAnsi="Narkisim" w:cs="Narkisim"/>
          <w:rtl/>
        </w:rPr>
        <w:t xml:space="preserve"> פי' דקאי אבי"ד הראשון, דנזקקין לחליצה וחולצין אע"פ שאין מכירין, </w:t>
      </w:r>
      <w:r w:rsidRPr="00D65870">
        <w:rPr>
          <w:rFonts w:ascii="Narkisim" w:hAnsi="Narkisim" w:cs="Narkisim"/>
          <w:rtl/>
        </w:rPr>
        <w:lastRenderedPageBreak/>
        <w:t>ולא חיישינן שמא הבי"ד יטעו לכתוב 'ואישתמודעינוהי'. אלא כותבין בלא אשתמודעינהו, וכשתבוא האשה להנשא ותראה גט חליצה ידקדקו שבי"ד הראשון לא הכירו את היבם והיבמה. ורבא חששו שהבית דין יטעו לכתוב אישמודעינוהי אף שלא הכירוהו. ועי"ז תבוא להנשא לשוק על ידי גט חליצה זה.</w:t>
      </w:r>
    </w:p>
    <w:p w14:paraId="6914D26E" w14:textId="77777777" w:rsidR="006C4368" w:rsidRPr="00D65870" w:rsidRDefault="006C4368" w:rsidP="006C4368">
      <w:pPr>
        <w:pStyle w:val="3"/>
        <w:bidi/>
        <w:rPr>
          <w:rFonts w:ascii="Narkisim" w:hAnsi="Narkisim"/>
        </w:rPr>
      </w:pPr>
      <w:r w:rsidRPr="00D65870">
        <w:rPr>
          <w:rFonts w:ascii="Narkisim" w:hAnsi="Narkisim"/>
          <w:rtl/>
        </w:rPr>
        <w:t>דף קו:</w:t>
      </w:r>
    </w:p>
    <w:p w14:paraId="5ED9B0E2" w14:textId="77777777" w:rsidR="006C4368" w:rsidRPr="00D65870" w:rsidRDefault="006C4368" w:rsidP="006C4368">
      <w:pPr>
        <w:pStyle w:val="aa"/>
        <w:bidi/>
        <w:rPr>
          <w:rFonts w:ascii="Narkisim" w:hAnsi="Narkisim"/>
        </w:rPr>
      </w:pPr>
      <w:r w:rsidRPr="00D65870">
        <w:rPr>
          <w:rFonts w:ascii="Narkisim" w:hAnsi="Narkisim"/>
          <w:u w:val="single"/>
          <w:rtl/>
        </w:rPr>
        <w:t>והן משיאין לו עצה הוגנת לו וכו'</w:t>
      </w:r>
      <w:r w:rsidRPr="00D65870">
        <w:rPr>
          <w:rFonts w:ascii="Narkisim" w:hAnsi="Narkisim"/>
          <w:rtl/>
        </w:rPr>
        <w:t>. פ</w:t>
      </w:r>
      <w:r w:rsidRPr="00D65870">
        <w:rPr>
          <w:rFonts w:ascii="Narkisim" w:hAnsi="Narkisim"/>
          <w:b/>
          <w:bCs/>
          <w:rtl/>
        </w:rPr>
        <w:t>רש"י</w:t>
      </w:r>
      <w:r w:rsidRPr="00D65870">
        <w:rPr>
          <w:rFonts w:ascii="Narkisim" w:hAnsi="Narkisim"/>
          <w:rtl/>
        </w:rPr>
        <w:t xml:space="preserve"> כלך אצל כמותך וכו'. [וכדאי' לעיל מד. וקא:]. וה</w:t>
      </w:r>
      <w:r w:rsidRPr="00D65870">
        <w:rPr>
          <w:rFonts w:ascii="Narkisim" w:hAnsi="Narkisim"/>
          <w:b/>
          <w:bCs/>
          <w:rtl/>
        </w:rPr>
        <w:t>רמב"ן</w:t>
      </w:r>
      <w:r w:rsidRPr="00D65870">
        <w:rPr>
          <w:rFonts w:ascii="Narkisim" w:hAnsi="Narkisim"/>
          <w:rtl/>
        </w:rPr>
        <w:t xml:space="preserve"> (בע"א) כת' דיבם שאינו הגון דמצוה מן התורה בחליצה, דכתיב ודברו אליו ורמיא עליה למיחלץ. [ומבואר דלא הוה עצה בעלמא. אלא ילפי' דהיכא דאינו הגון אין ראוי שייבם, ולא נחשב 'דינו'].</w:t>
      </w:r>
    </w:p>
    <w:p w14:paraId="6063AFA8" w14:textId="77777777" w:rsidR="006C4368" w:rsidRPr="00D65870" w:rsidRDefault="006C4368" w:rsidP="006C4368">
      <w:pPr>
        <w:bidi/>
        <w:rPr>
          <w:rFonts w:ascii="Narkisim" w:hAnsi="Narkisim" w:cs="Narkisim"/>
        </w:rPr>
      </w:pPr>
      <w:r w:rsidRPr="00D65870">
        <w:rPr>
          <w:rFonts w:ascii="Narkisim" w:hAnsi="Narkisim" w:cs="Narkisim"/>
          <w:u w:val="single"/>
          <w:rtl/>
        </w:rPr>
        <w:t>והיא אומרת מאן יבמי להקים וכו'</w:t>
      </w:r>
      <w:r w:rsidRPr="00D65870">
        <w:rPr>
          <w:rFonts w:ascii="Narkisim" w:hAnsi="Narkisim" w:cs="Narkisim"/>
          <w:rtl/>
        </w:rPr>
        <w:t>. ב</w:t>
      </w:r>
      <w:r w:rsidRPr="00D65870">
        <w:rPr>
          <w:rFonts w:ascii="Narkisim" w:hAnsi="Narkisim" w:cs="Narkisim"/>
          <w:b/>
          <w:bCs/>
          <w:rtl/>
        </w:rPr>
        <w:t>שו"ת הרשב"א</w:t>
      </w:r>
      <w:r w:rsidRPr="00D65870">
        <w:rPr>
          <w:rFonts w:ascii="Narkisim" w:hAnsi="Narkisim" w:cs="Narkisim"/>
          <w:rtl/>
        </w:rPr>
        <w:t xml:space="preserve"> (א אלף קסט, ומיוחסות קכג הו' בב"י קסט) נשאל במקום שהיבם רוצה לייבם, אלא דהיבמה אינה רוצה. האיך תאמר 'מאן יבמי'. וה</w:t>
      </w:r>
      <w:r w:rsidRPr="00D65870">
        <w:rPr>
          <w:rFonts w:ascii="Narkisim" w:hAnsi="Narkisim" w:cs="Narkisim"/>
          <w:b/>
          <w:bCs/>
          <w:rtl/>
        </w:rPr>
        <w:t>רשב"א</w:t>
      </w:r>
      <w:r w:rsidRPr="00D65870">
        <w:rPr>
          <w:rFonts w:ascii="Narkisim" w:hAnsi="Narkisim" w:cs="Narkisim"/>
          <w:rtl/>
        </w:rPr>
        <w:t xml:space="preserve"> השיב דכיון שהיא אינה רוצה נותנים לו עצה הוגנת לו, והיבם שמע ומתרצה, וגמר בדעתו למאן ושלא ייבם, מש"ה היא אומרת מאן יבמי. וגזירת הכתוב הוא שכל חולצת תקרא מאן יבמי, ושיקרא הוא לא חפצתי לקחתה.</w:t>
      </w:r>
    </w:p>
    <w:p w14:paraId="6B56ACE6" w14:textId="77777777" w:rsidR="006C4368" w:rsidRPr="00D65870" w:rsidRDefault="006C4368" w:rsidP="006C4368">
      <w:pPr>
        <w:bidi/>
        <w:rPr>
          <w:rFonts w:ascii="Narkisim" w:hAnsi="Narkisim" w:cs="Narkisim"/>
        </w:rPr>
      </w:pPr>
      <w:r w:rsidRPr="00D65870">
        <w:rPr>
          <w:rFonts w:ascii="Narkisim" w:hAnsi="Narkisim" w:cs="Narkisim"/>
          <w:rtl/>
        </w:rPr>
        <w:t>ובפשוטו קאי בכל חליצה. וה</w:t>
      </w:r>
      <w:r w:rsidRPr="00D65870">
        <w:rPr>
          <w:rFonts w:ascii="Narkisim" w:hAnsi="Narkisim" w:cs="Narkisim"/>
          <w:b/>
          <w:bCs/>
          <w:rtl/>
        </w:rPr>
        <w:t>שואל בשו"ת הרא"ש</w:t>
      </w:r>
      <w:r w:rsidRPr="00D65870">
        <w:rPr>
          <w:rFonts w:ascii="Narkisim" w:hAnsi="Narkisim" w:cs="Narkisim"/>
          <w:rtl/>
        </w:rPr>
        <w:t xml:space="preserve"> (נב ב) דן בהנך דחולצות ולא מתייבמות דל"ש בהם קריאה, דלא חפצתי לקחת משמע דאי בעי היה מייבם.</w:t>
      </w:r>
    </w:p>
    <w:p w14:paraId="7733F0D5"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השיב דודאי אף בהנך מצווה בקריאה. וביאר דחייבי לאוין ושניות מדאורייתא עולין ליבום, אלא מדרבנן אינו מייבם</w:t>
      </w:r>
      <w:r w:rsidRPr="00D65870">
        <w:rPr>
          <w:rStyle w:val="ac"/>
          <w:rFonts w:ascii="Narkisim" w:hAnsi="Narkisim"/>
          <w:rtl/>
        </w:rPr>
        <w:footnoteReference w:id="7085"/>
      </w:r>
      <w:r w:rsidRPr="00D65870">
        <w:rPr>
          <w:rFonts w:ascii="Narkisim" w:hAnsi="Narkisim"/>
          <w:rtl/>
        </w:rPr>
        <w:t>. וכן ספיקות [דספק קידושין בעריות], מדאורייתא הוה בחזקת היתר ליבם (כדלעיל לא.). ולא פלוג רבנן דאף שאר החולצות ולא מתייבמות</w:t>
      </w:r>
      <w:r w:rsidRPr="00D65870">
        <w:rPr>
          <w:rStyle w:val="ac"/>
          <w:rFonts w:ascii="Narkisim" w:hAnsi="Narkisim"/>
          <w:rtl/>
        </w:rPr>
        <w:footnoteReference w:id="7086"/>
      </w:r>
      <w:r w:rsidRPr="00D65870">
        <w:rPr>
          <w:rFonts w:ascii="Narkisim" w:hAnsi="Narkisim"/>
          <w:rtl/>
        </w:rPr>
        <w:t xml:space="preserve"> צריכות קריאה. </w:t>
      </w:r>
      <w:r w:rsidRPr="00D65870">
        <w:rPr>
          <w:rFonts w:ascii="Narkisim" w:hAnsi="Narkisim"/>
          <w:szCs w:val="20"/>
          <w:rtl/>
        </w:rPr>
        <w:t>[ומבואר דמדאורייתא ל"ש קריאה בחליצת חייבי לאו ועשה</w:t>
      </w:r>
      <w:r w:rsidRPr="00D65870">
        <w:rPr>
          <w:rStyle w:val="ac"/>
          <w:rFonts w:ascii="Narkisim" w:hAnsi="Narkisim"/>
          <w:szCs w:val="20"/>
          <w:rtl/>
        </w:rPr>
        <w:footnoteReference w:id="7087"/>
      </w:r>
      <w:r w:rsidRPr="00D65870">
        <w:rPr>
          <w:rFonts w:ascii="Narkisim" w:hAnsi="Narkisim"/>
          <w:szCs w:val="20"/>
          <w:rtl/>
        </w:rPr>
        <w:t>. ויש שדנו דהרשב"א (הנ"ל) שכת' דהוה גזיה"כ בכל חליצה פליג. ואינו מוכח</w:t>
      </w:r>
      <w:r w:rsidRPr="00D65870">
        <w:rPr>
          <w:rStyle w:val="ac"/>
          <w:rFonts w:ascii="Narkisim" w:hAnsi="Narkisim"/>
          <w:szCs w:val="20"/>
          <w:rtl/>
        </w:rPr>
        <w:footnoteReference w:id="7088"/>
      </w:r>
      <w:r w:rsidRPr="00D65870">
        <w:rPr>
          <w:rFonts w:ascii="Narkisim" w:hAnsi="Narkisim"/>
          <w:szCs w:val="20"/>
          <w:rtl/>
        </w:rPr>
        <w:t>]</w:t>
      </w:r>
      <w:r w:rsidRPr="00D65870">
        <w:rPr>
          <w:rFonts w:ascii="Narkisim" w:hAnsi="Narkisim"/>
          <w:rtl/>
        </w:rPr>
        <w:t>.</w:t>
      </w:r>
    </w:p>
    <w:p w14:paraId="1EAB1032" w14:textId="77777777" w:rsidR="006C4368" w:rsidRPr="00D65870" w:rsidRDefault="006C4368" w:rsidP="006C4368">
      <w:pPr>
        <w:pStyle w:val="aa"/>
        <w:bidi/>
        <w:rPr>
          <w:rFonts w:ascii="Narkisim" w:hAnsi="Narkisim"/>
        </w:rPr>
      </w:pPr>
      <w:r w:rsidRPr="00D65870">
        <w:rPr>
          <w:rFonts w:ascii="Narkisim" w:hAnsi="Narkisim"/>
          <w:u w:val="single"/>
          <w:rtl/>
        </w:rPr>
        <w:t>ונגשה יבמתו אליו לעיני הזקנים, וחלצה נעלו מעל רגלו</w:t>
      </w:r>
      <w:r w:rsidRPr="00D65870">
        <w:rPr>
          <w:rFonts w:ascii="Narkisim" w:hAnsi="Narkisim"/>
          <w:rtl/>
        </w:rPr>
        <w:t>. [התנא העתיק לשון הפסוק, ללמד סדר החליצה].</w:t>
      </w:r>
    </w:p>
    <w:p w14:paraId="23990889"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רמב"ם</w:t>
      </w:r>
      <w:r w:rsidRPr="00D65870">
        <w:rPr>
          <w:rFonts w:ascii="Narkisim" w:hAnsi="Narkisim"/>
          <w:rtl/>
        </w:rPr>
        <w:t xml:space="preserve"> (ד ו) כת' דלאחר החליצה היא משלכת המנעל לארץ</w:t>
      </w:r>
      <w:r w:rsidRPr="00D65870">
        <w:rPr>
          <w:rStyle w:val="ac"/>
          <w:rFonts w:ascii="Narkisim" w:hAnsi="Narkisim"/>
          <w:rtl/>
        </w:rPr>
        <w:footnoteReference w:id="7089"/>
      </w:r>
      <w:r w:rsidRPr="00D65870">
        <w:rPr>
          <w:rFonts w:ascii="Narkisim" w:hAnsi="Narkisim"/>
          <w:rtl/>
        </w:rPr>
        <w:t>. וה</w:t>
      </w:r>
      <w:r w:rsidRPr="00D65870">
        <w:rPr>
          <w:rFonts w:ascii="Narkisim" w:hAnsi="Narkisim"/>
          <w:b/>
          <w:bCs/>
          <w:rtl/>
        </w:rPr>
        <w:t>טור</w:t>
      </w:r>
      <w:r w:rsidRPr="00D65870">
        <w:rPr>
          <w:rFonts w:ascii="Narkisim" w:hAnsi="Narkisim"/>
          <w:rtl/>
        </w:rPr>
        <w:t xml:space="preserve"> תמה מדוע צריך להשליכו בארץ</w:t>
      </w:r>
      <w:r w:rsidRPr="00D65870">
        <w:rPr>
          <w:rStyle w:val="ac"/>
          <w:rFonts w:ascii="Narkisim" w:hAnsi="Narkisim"/>
          <w:rtl/>
        </w:rPr>
        <w:footnoteReference w:id="7090"/>
      </w:r>
      <w:r w:rsidRPr="00D65870">
        <w:rPr>
          <w:rFonts w:ascii="Narkisim" w:hAnsi="Narkisim"/>
          <w:rtl/>
        </w:rPr>
        <w:t>. אך הביאו דכ"ה מנהג קדמונים. וב</w:t>
      </w:r>
      <w:r w:rsidRPr="00D65870">
        <w:rPr>
          <w:rFonts w:ascii="Narkisim" w:hAnsi="Narkisim"/>
          <w:b/>
          <w:bCs/>
          <w:rtl/>
        </w:rPr>
        <w:t>פי' סדר חליצה</w:t>
      </w:r>
      <w:r w:rsidRPr="00D65870">
        <w:rPr>
          <w:rFonts w:ascii="Narkisim" w:hAnsi="Narkisim"/>
          <w:rtl/>
        </w:rPr>
        <w:t xml:space="preserve"> (עד) הביא בשם </w:t>
      </w:r>
      <w:r w:rsidRPr="00D65870">
        <w:rPr>
          <w:rFonts w:ascii="Narkisim" w:hAnsi="Narkisim"/>
          <w:b/>
          <w:bCs/>
          <w:rtl/>
        </w:rPr>
        <w:t>ר' ישראל מברונ"א</w:t>
      </w:r>
      <w:r w:rsidRPr="00D65870">
        <w:rPr>
          <w:rFonts w:ascii="Narkisim" w:hAnsi="Narkisim"/>
          <w:rtl/>
        </w:rPr>
        <w:t xml:space="preserve"> דהטעם כדי לפרסם שחליצה הוה רק למצווה, שלא יאמרו שנטלה את המנעל שלה</w:t>
      </w:r>
      <w:r w:rsidRPr="00D65870">
        <w:rPr>
          <w:rStyle w:val="ac"/>
          <w:rFonts w:ascii="Narkisim" w:hAnsi="Narkisim"/>
          <w:rtl/>
        </w:rPr>
        <w:footnoteReference w:id="7091"/>
      </w:r>
      <w:r w:rsidRPr="00D65870">
        <w:rPr>
          <w:rFonts w:ascii="Narkisim" w:hAnsi="Narkisim"/>
          <w:rtl/>
        </w:rPr>
        <w:t>.</w:t>
      </w:r>
    </w:p>
    <w:p w14:paraId="40E9365A" w14:textId="77777777" w:rsidR="006C4368" w:rsidRPr="00D65870" w:rsidRDefault="006C4368" w:rsidP="006C4368">
      <w:pPr>
        <w:pStyle w:val="aa"/>
        <w:bidi/>
        <w:rPr>
          <w:rFonts w:ascii="Narkisim" w:hAnsi="Narkisim"/>
        </w:rPr>
      </w:pPr>
      <w:r w:rsidRPr="00D65870">
        <w:rPr>
          <w:rFonts w:ascii="Narkisim" w:hAnsi="Narkisim"/>
          <w:u w:val="single"/>
          <w:rtl/>
        </w:rPr>
        <w:t>הא קמ"ל מצוה הכי, ואי אפיך ל"ל בה וכו'.</w:t>
      </w:r>
      <w:r w:rsidRPr="00D65870">
        <w:rPr>
          <w:rFonts w:ascii="Narkisim" w:hAnsi="Narkisim"/>
          <w:rtl/>
        </w:rPr>
        <w:t xml:space="preserve"> [וכדאי' לעיל קה.]. הגמ' (סנהדרין מט:) מביאה מכאן דכל מקום ששנו חכמים דרך מנין אין מוקדם ומאוחר. פרש"י דאף דהמצווה כסדר המשנה, קמ"ל דלא הוה דוקא [לעכב].</w:t>
      </w:r>
    </w:p>
    <w:p w14:paraId="4DD6F894" w14:textId="77777777" w:rsidR="006C4368" w:rsidRPr="00D65870" w:rsidRDefault="006C4368" w:rsidP="006C4368">
      <w:pPr>
        <w:bidi/>
        <w:rPr>
          <w:rFonts w:ascii="Narkisim" w:hAnsi="Narkisim" w:cs="Narkisim"/>
        </w:rPr>
      </w:pPr>
      <w:r w:rsidRPr="00D65870">
        <w:rPr>
          <w:rFonts w:ascii="Narkisim" w:hAnsi="Narkisim" w:cs="Narkisim"/>
          <w:u w:val="single"/>
          <w:rtl/>
        </w:rPr>
        <w:t>ואפסוקי מילתא ל"ל בה וכו'</w:t>
      </w:r>
      <w:r w:rsidRPr="00D65870">
        <w:rPr>
          <w:rFonts w:ascii="Narkisim" w:hAnsi="Narkisim" w:cs="Narkisim"/>
          <w:rtl/>
        </w:rPr>
        <w:t>. ה</w:t>
      </w:r>
      <w:r w:rsidRPr="00D65870">
        <w:rPr>
          <w:rFonts w:ascii="Narkisim" w:hAnsi="Narkisim" w:cs="Narkisim"/>
          <w:b/>
          <w:bCs/>
          <w:rtl/>
        </w:rPr>
        <w:t>סמ"ק</w:t>
      </w:r>
      <w:r w:rsidRPr="00D65870">
        <w:rPr>
          <w:rFonts w:ascii="Narkisim" w:hAnsi="Narkisim" w:cs="Narkisim"/>
          <w:rtl/>
        </w:rPr>
        <w:t xml:space="preserve"> (הו' בשו"ע פי' סדר חליצה סו) כת' דבעינן שתאמר בנשימה א'. וה</w:t>
      </w:r>
      <w:r w:rsidRPr="00D65870">
        <w:rPr>
          <w:rFonts w:ascii="Narkisim" w:hAnsi="Narkisim" w:cs="Narkisim"/>
          <w:b/>
          <w:bCs/>
          <w:rtl/>
        </w:rPr>
        <w:t>שו"ע</w:t>
      </w:r>
      <w:r w:rsidRPr="00D65870">
        <w:rPr>
          <w:rFonts w:ascii="Narkisim" w:hAnsi="Narkisim" w:cs="Narkisim"/>
          <w:rtl/>
        </w:rPr>
        <w:t xml:space="preserve"> תמה דפסק דלא כרבא</w:t>
      </w:r>
      <w:r w:rsidRPr="00D65870">
        <w:rPr>
          <w:rStyle w:val="ac"/>
          <w:rFonts w:ascii="Narkisim" w:hAnsi="Narkisim" w:cs="Narkisim"/>
          <w:rtl/>
        </w:rPr>
        <w:footnoteReference w:id="7092"/>
      </w:r>
      <w:r w:rsidRPr="00D65870">
        <w:rPr>
          <w:rFonts w:ascii="Narkisim" w:hAnsi="Narkisim" w:cs="Narkisim"/>
          <w:rtl/>
        </w:rPr>
        <w:t>. וה</w:t>
      </w:r>
      <w:r w:rsidRPr="00D65870">
        <w:rPr>
          <w:rFonts w:ascii="Narkisim" w:hAnsi="Narkisim" w:cs="Narkisim"/>
          <w:b/>
          <w:bCs/>
          <w:rtl/>
        </w:rPr>
        <w:t>גר"א</w:t>
      </w:r>
      <w:r w:rsidRPr="00D65870">
        <w:rPr>
          <w:rFonts w:ascii="Narkisim" w:hAnsi="Narkisim" w:cs="Narkisim"/>
          <w:rtl/>
        </w:rPr>
        <w:t xml:space="preserve"> (סדר חליצה נז) ביאר דרבא מודה לענין לכתחילה. וקו' הגמ' (בסמוך) מהא דמצטער לקרוא</w:t>
      </w:r>
      <w:r w:rsidRPr="00D65870">
        <w:rPr>
          <w:rStyle w:val="ac"/>
          <w:rFonts w:ascii="Narkisim" w:hAnsi="Narkisim" w:cs="Narkisim"/>
          <w:rtl/>
        </w:rPr>
        <w:footnoteReference w:id="7093"/>
      </w:r>
      <w:r w:rsidRPr="00D65870">
        <w:rPr>
          <w:rFonts w:ascii="Narkisim" w:hAnsi="Narkisim" w:cs="Narkisim"/>
          <w:rtl/>
        </w:rPr>
        <w:t>.</w:t>
      </w:r>
    </w:p>
    <w:p w14:paraId="4B0B3675" w14:textId="77777777" w:rsidR="006C4368" w:rsidRPr="00D65870" w:rsidRDefault="006C4368" w:rsidP="006C4368">
      <w:pPr>
        <w:pStyle w:val="aa"/>
        <w:bidi/>
        <w:rPr>
          <w:rFonts w:ascii="Narkisim" w:hAnsi="Narkisim"/>
        </w:rPr>
      </w:pPr>
      <w:r w:rsidRPr="00D65870">
        <w:rPr>
          <w:rFonts w:ascii="Narkisim" w:hAnsi="Narkisim"/>
          <w:rtl/>
        </w:rPr>
        <w:t>ורב ספרא (סוכה לט. הו' בתוס') אמר דאי"צ להקפיד שלא להפסיק בין ברוך הבא לבשם ה' בהלל. וכן בקדיש בין יהא שמיה רבא ל'מברך'. דאפסוקי מילתא ל"ל בה. אבל ה</w:t>
      </w:r>
      <w:r w:rsidRPr="00D65870">
        <w:rPr>
          <w:rFonts w:ascii="Narkisim" w:hAnsi="Narkisim"/>
          <w:b/>
          <w:bCs/>
          <w:rtl/>
        </w:rPr>
        <w:t>רמ"א</w:t>
      </w:r>
      <w:r w:rsidRPr="00D65870">
        <w:rPr>
          <w:rFonts w:ascii="Narkisim" w:hAnsi="Narkisim"/>
          <w:rtl/>
        </w:rPr>
        <w:t xml:space="preserve"> (או"ח נו א) כת' דלא יפסיק בין 'רבא' ל'מברך'. וה</w:t>
      </w:r>
      <w:r w:rsidRPr="00D65870">
        <w:rPr>
          <w:rFonts w:ascii="Narkisim" w:hAnsi="Narkisim"/>
          <w:b/>
          <w:bCs/>
          <w:rtl/>
        </w:rPr>
        <w:t>מג"א</w:t>
      </w:r>
      <w:r w:rsidRPr="00D65870">
        <w:rPr>
          <w:rFonts w:ascii="Narkisim" w:hAnsi="Narkisim"/>
          <w:rtl/>
        </w:rPr>
        <w:t xml:space="preserve"> (שם ב) הביא דהש"ך תמה דהוה נגד הגמ' דאמרי' דאפסוקי מילתא ל"ל בה</w:t>
      </w:r>
      <w:r w:rsidRPr="00D65870">
        <w:rPr>
          <w:rStyle w:val="ac"/>
          <w:rFonts w:ascii="Narkisim" w:hAnsi="Narkisim"/>
          <w:rtl/>
        </w:rPr>
        <w:footnoteReference w:id="7094"/>
      </w:r>
      <w:r w:rsidRPr="00D65870">
        <w:rPr>
          <w:rFonts w:ascii="Narkisim" w:hAnsi="Narkisim"/>
          <w:rtl/>
        </w:rPr>
        <w:t xml:space="preserve">. והמג"א כת' </w:t>
      </w:r>
      <w:r w:rsidRPr="00D65870">
        <w:rPr>
          <w:rFonts w:ascii="Narkisim" w:hAnsi="Narkisim"/>
          <w:rtl/>
        </w:rPr>
        <w:lastRenderedPageBreak/>
        <w:t>דכוונת הרמ"א דקי"ל לענין חליצה דעכ"פ לכתחילה צריך לומר יחד [וכנ"ל], וה"נ לענין קדיש</w:t>
      </w:r>
      <w:r w:rsidRPr="00D65870">
        <w:rPr>
          <w:rStyle w:val="ac"/>
          <w:rFonts w:ascii="Narkisim" w:hAnsi="Narkisim"/>
          <w:rtl/>
        </w:rPr>
        <w:footnoteReference w:id="7095"/>
      </w:r>
      <w:r w:rsidRPr="00D65870">
        <w:rPr>
          <w:rFonts w:ascii="Narkisim" w:hAnsi="Narkisim"/>
          <w:rtl/>
        </w:rPr>
        <w:t>. והברכ"י (שם) כת' דכוונת הרמ"א דלחומרא בעלמא לא יפסיק.</w:t>
      </w:r>
    </w:p>
    <w:p w14:paraId="0835078A" w14:textId="77777777" w:rsidR="006C4368" w:rsidRPr="00D65870" w:rsidRDefault="006C4368" w:rsidP="006C4368">
      <w:pPr>
        <w:bidi/>
        <w:rPr>
          <w:rFonts w:ascii="Narkisim" w:hAnsi="Narkisim" w:cs="Narkisim"/>
        </w:rPr>
      </w:pPr>
      <w:r w:rsidRPr="00D65870">
        <w:rPr>
          <w:rFonts w:ascii="Narkisim" w:hAnsi="Narkisim" w:cs="Narkisim"/>
          <w:u w:val="single"/>
          <w:rtl/>
        </w:rPr>
        <w:t>מודה רבא בלא אבה וכו'</w:t>
      </w:r>
      <w:r w:rsidRPr="00D65870">
        <w:rPr>
          <w:rFonts w:ascii="Narkisim" w:hAnsi="Narkisim" w:cs="Narkisim"/>
          <w:rtl/>
        </w:rPr>
        <w:t>. גירסת ה</w:t>
      </w:r>
      <w:r w:rsidRPr="00D65870">
        <w:rPr>
          <w:rFonts w:ascii="Narkisim" w:hAnsi="Narkisim" w:cs="Narkisim"/>
          <w:b/>
          <w:bCs/>
          <w:rtl/>
        </w:rPr>
        <w:t>רי"ף</w:t>
      </w:r>
      <w:r w:rsidRPr="00D65870">
        <w:rPr>
          <w:rFonts w:ascii="Narkisim" w:hAnsi="Narkisim" w:cs="Narkisim"/>
          <w:rtl/>
        </w:rPr>
        <w:t xml:space="preserve"> כדר' זירא, דא"ר זירא כל הראוי לבילה</w:t>
      </w:r>
      <w:r w:rsidRPr="00D65870">
        <w:rPr>
          <w:rStyle w:val="ac"/>
          <w:rFonts w:ascii="Narkisim" w:hAnsi="Narkisim" w:cs="Narkisim"/>
          <w:rtl/>
        </w:rPr>
        <w:footnoteReference w:id="7096"/>
      </w:r>
      <w:r w:rsidRPr="00D65870">
        <w:rPr>
          <w:rFonts w:ascii="Narkisim" w:hAnsi="Narkisim" w:cs="Narkisim"/>
          <w:rtl/>
        </w:rPr>
        <w:t xml:space="preserve"> וכו'. [וביאר] הכא נמי אם ראוי למיקרייה בבת אחת לא מעכבא קריאתה ואי לא מעכבא. (כדלעיל קד:). וה</w:t>
      </w:r>
      <w:r w:rsidRPr="00D65870">
        <w:rPr>
          <w:rFonts w:ascii="Narkisim" w:hAnsi="Narkisim" w:cs="Narkisim"/>
          <w:b/>
          <w:bCs/>
          <w:rtl/>
        </w:rPr>
        <w:t>רשב"א</w:t>
      </w:r>
      <w:r w:rsidRPr="00D65870">
        <w:rPr>
          <w:rFonts w:ascii="Narkisim" w:hAnsi="Narkisim" w:cs="Narkisim"/>
          <w:rtl/>
        </w:rPr>
        <w:t xml:space="preserve"> (ושא"ר) פי' דצריכים ללמד את היבמה שתוכל לאומרה יחד</w:t>
      </w:r>
      <w:r w:rsidRPr="00D65870">
        <w:rPr>
          <w:rStyle w:val="ac"/>
          <w:rFonts w:ascii="Narkisim" w:hAnsi="Narkisim" w:cs="Narkisim"/>
          <w:rtl/>
        </w:rPr>
        <w:footnoteReference w:id="7097"/>
      </w:r>
      <w:r w:rsidRPr="00D65870">
        <w:rPr>
          <w:rFonts w:ascii="Narkisim" w:hAnsi="Narkisim" w:cs="Narkisim"/>
          <w:rtl/>
        </w:rPr>
        <w:t>. אבל כיון שיודעת לומר יחד אין קפידא, דכיון דראוי לבילה אינו מעכב. וכ"פ ה</w:t>
      </w:r>
      <w:r w:rsidRPr="00D65870">
        <w:rPr>
          <w:rFonts w:ascii="Narkisim" w:hAnsi="Narkisim" w:cs="Narkisim"/>
          <w:b/>
          <w:bCs/>
          <w:rtl/>
        </w:rPr>
        <w:t>רמב"ם</w:t>
      </w:r>
      <w:r w:rsidRPr="00D65870">
        <w:rPr>
          <w:rFonts w:ascii="Narkisim" w:hAnsi="Narkisim" w:cs="Narkisim"/>
          <w:rtl/>
        </w:rPr>
        <w:t xml:space="preserve"> (ד ג,ד).</w:t>
      </w:r>
    </w:p>
    <w:p w14:paraId="756EF539"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רשב"א</w:t>
      </w:r>
      <w:r w:rsidRPr="00D65870">
        <w:rPr>
          <w:rFonts w:ascii="Narkisim" w:hAnsi="Narkisim"/>
          <w:rtl/>
        </w:rPr>
        <w:t xml:space="preserve"> כת' דלפ"ז ה"ה בלא חפצתי לקחתה בעינן שהיבם יהא ראוי לומר בבת א'. אלא דסתם אנשים יודעים, והם ראוין לבילה. ומש"ה נקיט ב'לא אבה יבמי' שאומרת היבמה, דאין דרכן של נשים לידע לקרות, וכולן אינן ראויות לבילה עד שילמדום.</w:t>
      </w:r>
    </w:p>
    <w:p w14:paraId="3CC27F79" w14:textId="77777777" w:rsidR="006C4368" w:rsidRPr="00D65870" w:rsidRDefault="006C4368" w:rsidP="006C4368">
      <w:pPr>
        <w:pStyle w:val="a7"/>
        <w:bidi/>
        <w:rPr>
          <w:rFonts w:ascii="Narkisim" w:hAnsi="Narkisim"/>
        </w:rPr>
      </w:pPr>
      <w:r w:rsidRPr="00D65870">
        <w:rPr>
          <w:rFonts w:ascii="Narkisim" w:hAnsi="Narkisim"/>
          <w:rtl/>
        </w:rPr>
        <w:t>אבל ה</w:t>
      </w:r>
      <w:r w:rsidRPr="00D65870">
        <w:rPr>
          <w:rFonts w:ascii="Narkisim" w:hAnsi="Narkisim"/>
          <w:b/>
          <w:bCs/>
          <w:rtl/>
        </w:rPr>
        <w:t>רשב"א</w:t>
      </w:r>
      <w:r w:rsidRPr="00D65870">
        <w:rPr>
          <w:rFonts w:ascii="Narkisim" w:hAnsi="Narkisim"/>
          <w:rtl/>
        </w:rPr>
        <w:t xml:space="preserve"> תמה דקריאה זו בבת אחת אינה גזיה"כ אלא חששא בעלמא, כדי שלא יראה כאומרת לא מאן יבמי, א"כ מה שייך בזה דין ראוי לבילה</w:t>
      </w:r>
      <w:r w:rsidRPr="00D65870">
        <w:rPr>
          <w:rStyle w:val="ac"/>
          <w:rFonts w:ascii="Narkisim" w:hAnsi="Narkisim"/>
          <w:rtl/>
        </w:rPr>
        <w:footnoteReference w:id="7098"/>
      </w:r>
      <w:r w:rsidRPr="00D65870">
        <w:rPr>
          <w:rFonts w:ascii="Narkisim" w:hAnsi="Narkisim"/>
          <w:rtl/>
        </w:rPr>
        <w:t>.</w:t>
      </w:r>
    </w:p>
    <w:p w14:paraId="0CA110DD" w14:textId="77777777" w:rsidR="006C4368" w:rsidRPr="00D65870" w:rsidRDefault="006C4368" w:rsidP="006C4368">
      <w:pPr>
        <w:bidi/>
        <w:rPr>
          <w:rFonts w:ascii="Narkisim" w:hAnsi="Narkisim" w:cs="Narkisim"/>
        </w:rPr>
      </w:pPr>
      <w:r w:rsidRPr="00D65870">
        <w:rPr>
          <w:rFonts w:ascii="Narkisim" w:hAnsi="Narkisim" w:cs="Narkisim"/>
          <w:u w:val="single"/>
          <w:rtl/>
        </w:rPr>
        <w:t>אמר אביי האי מאן דכתב וכו' מן לא עד לקחתה וכו'</w:t>
      </w:r>
      <w:r w:rsidRPr="00D65870">
        <w:rPr>
          <w:rFonts w:ascii="Narkisim" w:hAnsi="Narkisim" w:cs="Narkisim"/>
          <w:rtl/>
        </w:rPr>
        <w:t>. מבואר שהקפיד שלא לכתוב לא חפצתי לקחתה, שלא יהיו ג' תיבות רצופות. ובגמ' (גיטין ו:) נח' בזה, דא"ר יצחק ב' כותבין, ג' אין כותבין. ובמתניתא תנא ג' כותבין ד' אין כותבין. ו</w:t>
      </w:r>
      <w:r w:rsidRPr="00D65870">
        <w:rPr>
          <w:rFonts w:ascii="Narkisim" w:hAnsi="Narkisim" w:cs="Narkisim"/>
          <w:b/>
          <w:bCs/>
          <w:rtl/>
        </w:rPr>
        <w:t>רש"י</w:t>
      </w:r>
      <w:r w:rsidRPr="00D65870">
        <w:rPr>
          <w:rFonts w:ascii="Narkisim" w:hAnsi="Narkisim" w:cs="Narkisim"/>
          <w:rtl/>
        </w:rPr>
        <w:t xml:space="preserve"> (כאן) נקט דהברייתא עיקר דמותר לכתוב ג' תיבות. אבל </w:t>
      </w:r>
      <w:r w:rsidRPr="00D65870">
        <w:rPr>
          <w:rFonts w:ascii="Narkisim" w:hAnsi="Narkisim" w:cs="Narkisim"/>
          <w:b/>
          <w:bCs/>
          <w:rtl/>
        </w:rPr>
        <w:t>תוס'</w:t>
      </w:r>
      <w:r w:rsidRPr="00D65870">
        <w:rPr>
          <w:rFonts w:ascii="Narkisim" w:hAnsi="Narkisim" w:cs="Narkisim"/>
          <w:rtl/>
        </w:rPr>
        <w:t xml:space="preserve"> (גיטין) הביאו דבה"ג פסק כר' יצחק</w:t>
      </w:r>
      <w:r w:rsidRPr="00D65870">
        <w:rPr>
          <w:rStyle w:val="ac"/>
          <w:rFonts w:ascii="Narkisim" w:hAnsi="Narkisim" w:cs="Narkisim"/>
          <w:rtl/>
        </w:rPr>
        <w:footnoteReference w:id="7099"/>
      </w:r>
      <w:r w:rsidRPr="00D65870">
        <w:rPr>
          <w:rFonts w:ascii="Narkisim" w:hAnsi="Narkisim" w:cs="Narkisim"/>
          <w:rtl/>
        </w:rPr>
        <w:t>.</w:t>
      </w:r>
    </w:p>
    <w:p w14:paraId="1A10A1D7"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רא"ש</w:t>
      </w:r>
      <w:r w:rsidRPr="00D65870">
        <w:rPr>
          <w:rFonts w:ascii="Narkisim" w:hAnsi="Narkisim"/>
          <w:rtl/>
        </w:rPr>
        <w:t xml:space="preserve"> הק' למ"ד</w:t>
      </w:r>
      <w:r w:rsidRPr="00D65870">
        <w:rPr>
          <w:rStyle w:val="ac"/>
          <w:rFonts w:ascii="Narkisim" w:hAnsi="Narkisim"/>
          <w:rtl/>
        </w:rPr>
        <w:footnoteReference w:id="7100"/>
      </w:r>
      <w:r w:rsidRPr="00D65870">
        <w:rPr>
          <w:rFonts w:ascii="Narkisim" w:hAnsi="Narkisim"/>
          <w:rtl/>
        </w:rPr>
        <w:t xml:space="preserve"> דג' כותבים, א"כ רשאי לכתוב ג' תיבות</w:t>
      </w:r>
      <w:r w:rsidRPr="00D65870">
        <w:rPr>
          <w:rStyle w:val="ac"/>
          <w:rFonts w:ascii="Narkisim" w:hAnsi="Narkisim"/>
          <w:rtl/>
        </w:rPr>
        <w:footnoteReference w:id="7101"/>
      </w:r>
      <w:r w:rsidRPr="00D65870">
        <w:rPr>
          <w:rFonts w:ascii="Narkisim" w:hAnsi="Narkisim"/>
          <w:rtl/>
        </w:rPr>
        <w:t xml:space="preserve">. </w:t>
      </w:r>
      <w:r w:rsidRPr="00D65870">
        <w:rPr>
          <w:rFonts w:ascii="Narkisim" w:hAnsi="Narkisim"/>
          <w:szCs w:val="20"/>
          <w:rtl/>
        </w:rPr>
        <w:t>[וב</w:t>
      </w:r>
      <w:r w:rsidRPr="00D65870">
        <w:rPr>
          <w:rFonts w:ascii="Narkisim" w:hAnsi="Narkisim"/>
          <w:b/>
          <w:bCs/>
          <w:szCs w:val="20"/>
          <w:rtl/>
        </w:rPr>
        <w:t>הג' מיימוניות</w:t>
      </w:r>
      <w:r w:rsidRPr="00D65870">
        <w:rPr>
          <w:rFonts w:ascii="Narkisim" w:hAnsi="Narkisim"/>
          <w:szCs w:val="20"/>
          <w:rtl/>
        </w:rPr>
        <w:t xml:space="preserve"> (יבום ד ע) הוכיח מסוגיין דקי"ל כר' יצחק</w:t>
      </w:r>
      <w:r w:rsidRPr="00D65870">
        <w:rPr>
          <w:rStyle w:val="ac"/>
          <w:rFonts w:ascii="Narkisim" w:hAnsi="Narkisim"/>
          <w:szCs w:val="20"/>
          <w:rtl/>
        </w:rPr>
        <w:footnoteReference w:id="7102"/>
      </w:r>
      <w:r w:rsidRPr="00D65870">
        <w:rPr>
          <w:rFonts w:ascii="Narkisim" w:hAnsi="Narkisim"/>
          <w:szCs w:val="20"/>
          <w:rtl/>
        </w:rPr>
        <w:t>]</w:t>
      </w:r>
      <w:r w:rsidRPr="00D65870">
        <w:rPr>
          <w:rFonts w:ascii="Narkisim" w:hAnsi="Narkisim"/>
          <w:rtl/>
        </w:rPr>
        <w:t>.</w:t>
      </w:r>
    </w:p>
    <w:p w14:paraId="0B1D6763" w14:textId="77777777" w:rsidR="006C4368" w:rsidRPr="00D65870" w:rsidRDefault="006C4368" w:rsidP="006C4368">
      <w:pPr>
        <w:bidi/>
        <w:rPr>
          <w:rFonts w:ascii="Narkisim" w:hAnsi="Narkisim" w:cs="Narkisim"/>
        </w:rPr>
      </w:pPr>
      <w:r w:rsidRPr="00D65870">
        <w:rPr>
          <w:rFonts w:ascii="Narkisim" w:hAnsi="Narkisim" w:cs="Narkisim"/>
          <w:u w:val="single"/>
          <w:rtl/>
        </w:rPr>
        <w:t>מר זוטרא משרטט וכתיב לכולא פרשה</w:t>
      </w:r>
      <w:r w:rsidRPr="00D65870">
        <w:rPr>
          <w:rStyle w:val="ac"/>
          <w:rFonts w:ascii="Narkisim" w:hAnsi="Narkisim" w:cs="Narkisim"/>
          <w:u w:val="single"/>
          <w:rtl/>
        </w:rPr>
        <w:footnoteReference w:id="7103"/>
      </w:r>
      <w:r w:rsidRPr="00D65870">
        <w:rPr>
          <w:rFonts w:ascii="Narkisim" w:hAnsi="Narkisim" w:cs="Narkisim"/>
          <w:u w:val="single"/>
          <w:rtl/>
        </w:rPr>
        <w:t xml:space="preserve"> וכו'</w:t>
      </w:r>
      <w:r w:rsidRPr="00D65870">
        <w:rPr>
          <w:rFonts w:ascii="Narkisim" w:hAnsi="Narkisim" w:cs="Narkisim"/>
          <w:rtl/>
        </w:rPr>
        <w:t>. ב</w:t>
      </w:r>
      <w:r w:rsidRPr="00D65870">
        <w:rPr>
          <w:rFonts w:ascii="Narkisim" w:hAnsi="Narkisim" w:cs="Narkisim"/>
          <w:b/>
          <w:bCs/>
          <w:rtl/>
        </w:rPr>
        <w:t>ס' ברכת הזבח</w:t>
      </w:r>
      <w:r w:rsidRPr="00D65870">
        <w:rPr>
          <w:rFonts w:ascii="Narkisim" w:hAnsi="Narkisim" w:cs="Narkisim"/>
          <w:rtl/>
        </w:rPr>
        <w:t xml:space="preserve"> (מנחות לב:, הו' במג"א לב ז) נקט דשרטט לכולה, והק' ד</w:t>
      </w:r>
      <w:r w:rsidRPr="00D65870">
        <w:rPr>
          <w:rFonts w:ascii="Narkisim" w:hAnsi="Narkisim" w:cs="Narkisim"/>
          <w:b/>
          <w:bCs/>
          <w:rtl/>
        </w:rPr>
        <w:t>תוס</w:t>
      </w:r>
      <w:r w:rsidRPr="00D65870">
        <w:rPr>
          <w:rFonts w:ascii="Narkisim" w:hAnsi="Narkisim" w:cs="Narkisim"/>
          <w:rtl/>
        </w:rPr>
        <w:t>' (גיטין ז: ומנחות שם) כת' דסגי בשרטוט א' למעלה</w:t>
      </w:r>
      <w:r w:rsidRPr="00D65870">
        <w:rPr>
          <w:rStyle w:val="ac"/>
          <w:rFonts w:ascii="Narkisim" w:hAnsi="Narkisim" w:cs="Narkisim"/>
          <w:rtl/>
        </w:rPr>
        <w:footnoteReference w:id="7104"/>
      </w:r>
      <w:r w:rsidRPr="00D65870">
        <w:rPr>
          <w:rFonts w:ascii="Narkisim" w:hAnsi="Narkisim" w:cs="Narkisim"/>
          <w:rtl/>
        </w:rPr>
        <w:t>.</w:t>
      </w:r>
    </w:p>
    <w:p w14:paraId="0213EFE0" w14:textId="77777777" w:rsidR="006C4368" w:rsidRPr="00D65870" w:rsidRDefault="006C4368" w:rsidP="006C4368">
      <w:pPr>
        <w:pStyle w:val="a7"/>
        <w:bidi/>
        <w:rPr>
          <w:rFonts w:ascii="Narkisim" w:hAnsi="Narkisim"/>
        </w:rPr>
      </w:pPr>
      <w:r w:rsidRPr="00D65870">
        <w:rPr>
          <w:rFonts w:ascii="Narkisim" w:hAnsi="Narkisim"/>
          <w:rtl/>
        </w:rPr>
        <w:t>ועוה"ק ה</w:t>
      </w:r>
      <w:r w:rsidRPr="00D65870">
        <w:rPr>
          <w:rFonts w:ascii="Narkisim" w:hAnsi="Narkisim"/>
          <w:b/>
          <w:bCs/>
          <w:rtl/>
        </w:rPr>
        <w:t>ברכת הזבח</w:t>
      </w:r>
      <w:r w:rsidRPr="00D65870">
        <w:rPr>
          <w:rFonts w:ascii="Narkisim" w:hAnsi="Narkisim"/>
          <w:rtl/>
        </w:rPr>
        <w:t xml:space="preserve"> דה</w:t>
      </w:r>
      <w:r w:rsidRPr="00D65870">
        <w:rPr>
          <w:rFonts w:ascii="Narkisim" w:hAnsi="Narkisim"/>
          <w:b/>
          <w:bCs/>
          <w:rtl/>
        </w:rPr>
        <w:t>רא"ש</w:t>
      </w:r>
      <w:r w:rsidRPr="00D65870">
        <w:rPr>
          <w:rFonts w:ascii="Narkisim" w:hAnsi="Narkisim"/>
          <w:rtl/>
        </w:rPr>
        <w:t xml:space="preserve"> (מגילה ב ב) כת' דהיכא דהשיטה עליונה נכתב ישר [אף בלא שרטוט] רשאי לכתוב שורה מתחתיו [דשיטה עליונה מכוון שיכתוב ביושר]. והק' דבמגילת חליצה כיון שכותב שיטה עליונה דברים אחרים, ואח"כ כותב את הפסוקים מתחת. א"כ </w:t>
      </w:r>
      <w:r w:rsidRPr="00D65870">
        <w:rPr>
          <w:rFonts w:ascii="Narkisim" w:hAnsi="Narkisim"/>
          <w:rtl/>
        </w:rPr>
        <w:lastRenderedPageBreak/>
        <w:t>שורה עליונה יחשב שרטוט לשאר. א"כ אמאי בעי שרטוט.</w:t>
      </w:r>
    </w:p>
    <w:p w14:paraId="51E60C9C" w14:textId="77777777" w:rsidR="006C4368" w:rsidRPr="00D65870" w:rsidRDefault="006C4368" w:rsidP="006C4368">
      <w:pPr>
        <w:pStyle w:val="aa"/>
        <w:bidi/>
        <w:rPr>
          <w:rFonts w:ascii="Narkisim" w:hAnsi="Narkisim"/>
        </w:rPr>
      </w:pPr>
      <w:r w:rsidRPr="00D65870">
        <w:rPr>
          <w:rFonts w:ascii="Narkisim" w:hAnsi="Narkisim"/>
          <w:u w:val="single"/>
          <w:rtl/>
        </w:rPr>
        <w:t>רש"י ד"ה והלכתא כמר זוטרא</w:t>
      </w:r>
      <w:r w:rsidRPr="00D65870">
        <w:rPr>
          <w:rFonts w:ascii="Narkisim" w:hAnsi="Narkisim"/>
          <w:rtl/>
        </w:rPr>
        <w:t>. דלא דמי לכותב מגילה לתינוק וכו' דהתם אדעתא דפרשתא כתיב ליה וכו', אבל האי ספירת דברים הוא, ולאו בקדושתיה הוא. לכאורה מבואר דדעת מר בר אידי דנכלל בדין אין כותבין מגילה לתינוק תרתי, א' דאסור לכתוב פסוקים בלא 'ספר'</w:t>
      </w:r>
      <w:r w:rsidRPr="00D65870">
        <w:rPr>
          <w:rStyle w:val="ac"/>
          <w:rFonts w:ascii="Narkisim" w:hAnsi="Narkisim"/>
          <w:rtl/>
        </w:rPr>
        <w:footnoteReference w:id="7105"/>
      </w:r>
      <w:r w:rsidRPr="00D65870">
        <w:rPr>
          <w:rFonts w:ascii="Narkisim" w:hAnsi="Narkisim"/>
          <w:rtl/>
        </w:rPr>
        <w:t>. ב' דבעינן 'ספר' שלם. ומסקנת הגמ' דגדר 'ספר' הוה דוקא ספר שלם. אך אין איסור בכתיבת פסוקים שלא לשם ספר</w:t>
      </w:r>
      <w:r w:rsidRPr="00D65870">
        <w:rPr>
          <w:rStyle w:val="ac"/>
          <w:rFonts w:ascii="Narkisim" w:hAnsi="Narkisim"/>
          <w:rtl/>
        </w:rPr>
        <w:footnoteReference w:id="7106"/>
      </w:r>
      <w:r w:rsidRPr="00D65870">
        <w:rPr>
          <w:rFonts w:ascii="Narkisim" w:hAnsi="Narkisim"/>
          <w:rtl/>
        </w:rPr>
        <w:t>.</w:t>
      </w:r>
    </w:p>
    <w:p w14:paraId="017EAB46" w14:textId="77777777" w:rsidR="006C4368" w:rsidRPr="00D65870" w:rsidRDefault="006C4368" w:rsidP="006C4368">
      <w:pPr>
        <w:pStyle w:val="aa"/>
        <w:bidi/>
        <w:rPr>
          <w:rFonts w:ascii="Narkisim" w:hAnsi="Narkisim"/>
        </w:rPr>
      </w:pPr>
      <w:r w:rsidRPr="00D65870">
        <w:rPr>
          <w:rFonts w:ascii="Narkisim" w:hAnsi="Narkisim"/>
          <w:u w:val="single"/>
          <w:rtl/>
        </w:rPr>
        <w:t>בא"ד דבמקום מצווה שרי</w:t>
      </w:r>
      <w:r w:rsidRPr="00D65870">
        <w:rPr>
          <w:rFonts w:ascii="Narkisim" w:hAnsi="Narkisim"/>
          <w:rtl/>
        </w:rPr>
        <w:t>. ב</w:t>
      </w:r>
      <w:r w:rsidRPr="00D65870">
        <w:rPr>
          <w:rFonts w:ascii="Narkisim" w:hAnsi="Narkisim"/>
          <w:b/>
          <w:bCs/>
          <w:rtl/>
        </w:rPr>
        <w:t>שו"ת גינת ורדים</w:t>
      </w:r>
      <w:r w:rsidRPr="00D65870">
        <w:rPr>
          <w:rFonts w:ascii="Narkisim" w:hAnsi="Narkisim"/>
          <w:rtl/>
        </w:rPr>
        <w:t xml:space="preserve"> (או"ח כלל ב כו) דן האם בעינן ב' סברות אלו, דהותר לכתוב פסוקים [שלא כדרך ספר] דוקא במקום מצווה</w:t>
      </w:r>
      <w:r w:rsidRPr="00D65870">
        <w:rPr>
          <w:rStyle w:val="ac"/>
          <w:rFonts w:ascii="Narkisim" w:hAnsi="Narkisim"/>
          <w:rtl/>
        </w:rPr>
        <w:footnoteReference w:id="7107"/>
      </w:r>
      <w:r w:rsidRPr="00D65870">
        <w:rPr>
          <w:rFonts w:ascii="Narkisim" w:hAnsi="Narkisim"/>
          <w:rtl/>
        </w:rPr>
        <w:t>. או דהוה ב' תי', ורש"י 'או' 'או' קתני</w:t>
      </w:r>
      <w:r w:rsidRPr="00D65870">
        <w:rPr>
          <w:rStyle w:val="ac"/>
          <w:rFonts w:ascii="Narkisim" w:hAnsi="Narkisim"/>
          <w:rtl/>
        </w:rPr>
        <w:footnoteReference w:id="7108"/>
      </w:r>
      <w:r w:rsidRPr="00D65870">
        <w:rPr>
          <w:rFonts w:ascii="Narkisim" w:hAnsi="Narkisim"/>
          <w:rtl/>
        </w:rPr>
        <w:t>, וכל טעם לחוד מהני להתיר. והביא דכ"מ בתוס' (גיטין ו:) בשם ר"ת דמותר לכתוב פסוקים דרך צחות באגרת שלומין, ואף בלא שירטוט</w:t>
      </w:r>
      <w:r w:rsidRPr="00D65870">
        <w:rPr>
          <w:rStyle w:val="ac"/>
          <w:rFonts w:ascii="Narkisim" w:hAnsi="Narkisim"/>
          <w:rtl/>
        </w:rPr>
        <w:footnoteReference w:id="7109"/>
      </w:r>
      <w:r w:rsidRPr="00D65870">
        <w:rPr>
          <w:rFonts w:ascii="Narkisim" w:hAnsi="Narkisim"/>
          <w:rtl/>
        </w:rPr>
        <w:t>.</w:t>
      </w:r>
    </w:p>
    <w:p w14:paraId="737D4470" w14:textId="77777777" w:rsidR="006C4368" w:rsidRPr="00D65870" w:rsidRDefault="006C4368" w:rsidP="006C4368">
      <w:pPr>
        <w:bidi/>
        <w:rPr>
          <w:rFonts w:ascii="Narkisim" w:hAnsi="Narkisim" w:cs="Narkisim"/>
        </w:rPr>
      </w:pPr>
      <w:r w:rsidRPr="00D65870">
        <w:rPr>
          <w:rFonts w:ascii="Narkisim" w:hAnsi="Narkisim" w:cs="Narkisim"/>
          <w:u w:val="single"/>
          <w:rtl/>
        </w:rPr>
        <w:t>מאי טעמא וירקה בפניו בעינן, הלכך הוא ארוך וכו' איכא בפניו וכו' עד דמטי להדי אפיה וכו'</w:t>
      </w:r>
      <w:r w:rsidRPr="00D65870">
        <w:rPr>
          <w:rFonts w:ascii="Narkisim" w:hAnsi="Narkisim" w:cs="Narkisim"/>
          <w:rtl/>
        </w:rPr>
        <w:t>. פ</w:t>
      </w:r>
      <w:r w:rsidRPr="00D65870">
        <w:rPr>
          <w:rFonts w:ascii="Narkisim" w:hAnsi="Narkisim" w:cs="Narkisim"/>
          <w:b/>
          <w:bCs/>
          <w:rtl/>
        </w:rPr>
        <w:t>רש"י</w:t>
      </w:r>
      <w:r w:rsidRPr="00D65870">
        <w:rPr>
          <w:rFonts w:ascii="Narkisim" w:hAnsi="Narkisim" w:cs="Narkisim"/>
          <w:rtl/>
        </w:rPr>
        <w:t xml:space="preserve"> לנגד בפניו, שיראהו למול פניו. [משמע דצריך לראות]. אבל ה</w:t>
      </w:r>
      <w:r w:rsidRPr="00D65870">
        <w:rPr>
          <w:rFonts w:ascii="Narkisim" w:hAnsi="Narkisim" w:cs="Narkisim"/>
          <w:b/>
          <w:bCs/>
          <w:rtl/>
        </w:rPr>
        <w:t>רשב"א</w:t>
      </w:r>
      <w:r w:rsidRPr="00D65870">
        <w:rPr>
          <w:rFonts w:ascii="Narkisim" w:hAnsi="Narkisim" w:cs="Narkisim"/>
          <w:rtl/>
        </w:rPr>
        <w:t xml:space="preserve"> כת' דמסתברא דסגי שהוא כנגד פני היבם, ואף אם הוא סומא ואינו רואה. וכדתניא (לעיל קג.) דסומא כשר, ואף לכתחילה. אך דעת הרמב"ם וראב"ד דלכתחילה ל"מ, אלא בדיעבד. (והו' לעיל קג.).</w:t>
      </w:r>
    </w:p>
    <w:p w14:paraId="27B77CBE" w14:textId="77777777" w:rsidR="006C4368" w:rsidRPr="00D65870" w:rsidRDefault="006C4368" w:rsidP="006C4368">
      <w:pPr>
        <w:bidi/>
        <w:rPr>
          <w:rFonts w:ascii="Narkisim" w:hAnsi="Narkisim" w:cs="Narkisim"/>
        </w:rPr>
      </w:pPr>
      <w:r w:rsidRPr="00D65870">
        <w:rPr>
          <w:rFonts w:ascii="Narkisim" w:hAnsi="Narkisim" w:cs="Narkisim"/>
          <w:u w:val="single"/>
          <w:rtl/>
        </w:rPr>
        <w:t>אמר אביי רקקה וקלטתו רוח לא עשתה ולא כלום וכו'</w:t>
      </w:r>
      <w:r w:rsidRPr="00D65870">
        <w:rPr>
          <w:rFonts w:ascii="Narkisim" w:hAnsi="Narkisim" w:cs="Narkisim"/>
          <w:rtl/>
        </w:rPr>
        <w:t>. ה</w:t>
      </w:r>
      <w:r w:rsidRPr="00D65870">
        <w:rPr>
          <w:rFonts w:ascii="Narkisim" w:hAnsi="Narkisim" w:cs="Narkisim"/>
          <w:b/>
          <w:bCs/>
          <w:rtl/>
        </w:rPr>
        <w:t>בי"ש</w:t>
      </w:r>
      <w:r w:rsidRPr="00D65870">
        <w:rPr>
          <w:rFonts w:ascii="Narkisim" w:hAnsi="Narkisim" w:cs="Narkisim"/>
          <w:rtl/>
        </w:rPr>
        <w:t xml:space="preserve"> (קסט מ) דייק דאינו פוסל כלל</w:t>
      </w:r>
      <w:r w:rsidRPr="00D65870">
        <w:rPr>
          <w:rStyle w:val="ac"/>
          <w:rFonts w:ascii="Narkisim" w:hAnsi="Narkisim" w:cs="Narkisim"/>
          <w:rtl/>
        </w:rPr>
        <w:footnoteReference w:id="7110"/>
      </w:r>
      <w:r w:rsidRPr="00D65870">
        <w:rPr>
          <w:rFonts w:ascii="Narkisim" w:hAnsi="Narkisim" w:cs="Narkisim"/>
          <w:rtl/>
        </w:rPr>
        <w:t>. [ודן עפ"ז באכלה תומא].</w:t>
      </w:r>
    </w:p>
    <w:p w14:paraId="4539545F" w14:textId="77777777" w:rsidR="006C4368" w:rsidRPr="00D65870" w:rsidRDefault="006C4368" w:rsidP="006C4368">
      <w:pPr>
        <w:bidi/>
        <w:rPr>
          <w:rFonts w:ascii="Narkisim" w:hAnsi="Narkisim" w:cs="Narkisim"/>
        </w:rPr>
      </w:pPr>
      <w:r w:rsidRPr="00D65870">
        <w:rPr>
          <w:rFonts w:ascii="Narkisim" w:hAnsi="Narkisim" w:cs="Narkisim"/>
          <w:u w:val="single"/>
          <w:rtl/>
        </w:rPr>
        <w:t>אמר רבא אכלה תומא ורקתה וכו' וירקה מעצמה בעינן</w:t>
      </w:r>
      <w:r w:rsidRPr="00D65870">
        <w:rPr>
          <w:rFonts w:ascii="Narkisim" w:hAnsi="Narkisim" w:cs="Narkisim"/>
          <w:rtl/>
        </w:rPr>
        <w:t>. וה</w:t>
      </w:r>
      <w:r w:rsidRPr="00D65870">
        <w:rPr>
          <w:rFonts w:ascii="Narkisim" w:hAnsi="Narkisim" w:cs="Narkisim"/>
          <w:b/>
          <w:bCs/>
          <w:rtl/>
        </w:rPr>
        <w:t>רי"ף</w:t>
      </w:r>
      <w:r w:rsidRPr="00D65870">
        <w:rPr>
          <w:rFonts w:ascii="Narkisim" w:hAnsi="Narkisim" w:cs="Narkisim"/>
          <w:rtl/>
        </w:rPr>
        <w:t xml:space="preserve"> השמיט דין זה, וה</w:t>
      </w:r>
      <w:r w:rsidRPr="00D65870">
        <w:rPr>
          <w:rFonts w:ascii="Narkisim" w:hAnsi="Narkisim" w:cs="Narkisim"/>
          <w:b/>
          <w:bCs/>
          <w:rtl/>
        </w:rPr>
        <w:t>רא"ש</w:t>
      </w:r>
      <w:r w:rsidRPr="00D65870">
        <w:rPr>
          <w:rFonts w:ascii="Narkisim" w:hAnsi="Narkisim" w:cs="Narkisim"/>
          <w:rtl/>
        </w:rPr>
        <w:t xml:space="preserve"> כת' דאולי סבר דלא גרע מרקקה דם (לעיל קה. עי"ש). וה</w:t>
      </w:r>
      <w:r w:rsidRPr="00D65870">
        <w:rPr>
          <w:rFonts w:ascii="Narkisim" w:hAnsi="Narkisim" w:cs="Narkisim"/>
          <w:b/>
          <w:bCs/>
          <w:rtl/>
        </w:rPr>
        <w:t>רא"ש</w:t>
      </w:r>
      <w:r w:rsidRPr="00D65870">
        <w:rPr>
          <w:rFonts w:ascii="Narkisim" w:hAnsi="Narkisim" w:cs="Narkisim"/>
          <w:rtl/>
        </w:rPr>
        <w:t xml:space="preserve"> דחה דלא דמי, דהכא ליכא אפי' צחצוחי הרוק מעצמה. אם לא נאמר דאי אפשר בלא ליחלוחית רוק, ואותו מעט יצא עם רוק זה. [והלחלוחית הרוק הוה מעצמה</w:t>
      </w:r>
      <w:r w:rsidRPr="00D65870">
        <w:rPr>
          <w:rStyle w:val="ac"/>
          <w:rFonts w:ascii="Narkisim" w:hAnsi="Narkisim" w:cs="Narkisim"/>
          <w:rtl/>
        </w:rPr>
        <w:footnoteReference w:id="7111"/>
      </w:r>
      <w:r w:rsidRPr="00D65870">
        <w:rPr>
          <w:rFonts w:ascii="Narkisim" w:hAnsi="Narkisim" w:cs="Narkisim"/>
          <w:rtl/>
        </w:rPr>
        <w:t>].</w:t>
      </w:r>
    </w:p>
    <w:p w14:paraId="4366A810" w14:textId="77777777" w:rsidR="006C4368" w:rsidRPr="00D65870" w:rsidRDefault="006C4368" w:rsidP="006C4368">
      <w:pPr>
        <w:pStyle w:val="aa"/>
        <w:bidi/>
        <w:rPr>
          <w:rFonts w:ascii="Narkisim" w:hAnsi="Narkisim"/>
        </w:rPr>
      </w:pPr>
      <w:r w:rsidRPr="00D65870">
        <w:rPr>
          <w:rFonts w:ascii="Narkisim" w:hAnsi="Narkisim"/>
          <w:u w:val="single"/>
          <w:rtl/>
        </w:rPr>
        <w:t>שם. אכלה תומא</w:t>
      </w:r>
      <w:r w:rsidRPr="00D65870">
        <w:rPr>
          <w:rFonts w:ascii="Narkisim" w:hAnsi="Narkisim"/>
          <w:rtl/>
        </w:rPr>
        <w:t>. ב</w:t>
      </w:r>
      <w:r w:rsidRPr="00D65870">
        <w:rPr>
          <w:rFonts w:ascii="Narkisim" w:hAnsi="Narkisim"/>
          <w:b/>
          <w:bCs/>
          <w:rtl/>
        </w:rPr>
        <w:t>ס' התרומה</w:t>
      </w:r>
      <w:r w:rsidRPr="00D65870">
        <w:rPr>
          <w:rFonts w:ascii="Narkisim" w:hAnsi="Narkisim"/>
          <w:rtl/>
        </w:rPr>
        <w:t xml:space="preserve"> (קלג) כת' דשמא יש ג"כ דברים אחרים שגורמין רוק, וכדאי' (כתובות סא:) דרמונים גורמים לרוק. ועפ"ז כת' דצריך לחלוץ קודם שתאכל האשה, פן תאכל דברים הגורמים רוק</w:t>
      </w:r>
      <w:r w:rsidRPr="00D65870">
        <w:rPr>
          <w:rStyle w:val="ac"/>
          <w:rFonts w:ascii="Narkisim" w:hAnsi="Narkisim"/>
          <w:rtl/>
        </w:rPr>
        <w:footnoteReference w:id="7112"/>
      </w:r>
      <w:r w:rsidRPr="00D65870">
        <w:rPr>
          <w:rFonts w:ascii="Narkisim" w:hAnsi="Narkisim"/>
          <w:rtl/>
        </w:rPr>
        <w:t>.</w:t>
      </w:r>
    </w:p>
    <w:p w14:paraId="544A48B3" w14:textId="77777777" w:rsidR="006C4368" w:rsidRPr="00D65870" w:rsidRDefault="006C4368" w:rsidP="006C4368">
      <w:pPr>
        <w:pStyle w:val="aa"/>
        <w:bidi/>
        <w:rPr>
          <w:rFonts w:ascii="Narkisim" w:hAnsi="Narkisim"/>
        </w:rPr>
      </w:pPr>
      <w:r w:rsidRPr="00D65870">
        <w:rPr>
          <w:rFonts w:ascii="Narkisim" w:hAnsi="Narkisim"/>
          <w:u w:val="single"/>
          <w:rtl/>
        </w:rPr>
        <w:t>תניא אר"י וכו' ענו כולכם וכו'</w:t>
      </w:r>
      <w:r w:rsidRPr="00D65870">
        <w:rPr>
          <w:rFonts w:ascii="Narkisim" w:hAnsi="Narkisim"/>
          <w:rtl/>
        </w:rPr>
        <w:t>. ור' יהודה הביא מעשה מר' טרפון דלא קאי דוקא אדיינים. וה</w:t>
      </w:r>
      <w:r w:rsidRPr="00D65870">
        <w:rPr>
          <w:rFonts w:ascii="Narkisim" w:hAnsi="Narkisim"/>
          <w:b/>
          <w:bCs/>
          <w:rtl/>
        </w:rPr>
        <w:t>ב"י</w:t>
      </w:r>
      <w:r w:rsidRPr="00D65870">
        <w:rPr>
          <w:rFonts w:ascii="Narkisim" w:hAnsi="Narkisim"/>
          <w:rtl/>
        </w:rPr>
        <w:t xml:space="preserve"> הביא [מהגאונים] דאף היבמה אומרת כן ג' פעמים. אבל ה</w:t>
      </w:r>
      <w:r w:rsidRPr="00D65870">
        <w:rPr>
          <w:rFonts w:ascii="Narkisim" w:hAnsi="Narkisim"/>
          <w:b/>
          <w:bCs/>
          <w:rtl/>
        </w:rPr>
        <w:t>יש"ש</w:t>
      </w:r>
      <w:r w:rsidRPr="00D65870">
        <w:rPr>
          <w:rFonts w:ascii="Narkisim" w:hAnsi="Narkisim"/>
          <w:rtl/>
        </w:rPr>
        <w:t xml:space="preserve"> חלק דהיבמהקוראת פעם א' מדיני קריאה.</w:t>
      </w:r>
    </w:p>
    <w:p w14:paraId="40D3E188" w14:textId="77777777" w:rsidR="006C4368" w:rsidRPr="00D65870" w:rsidRDefault="006C4368" w:rsidP="006C4368">
      <w:pPr>
        <w:bidi/>
        <w:rPr>
          <w:rFonts w:ascii="Narkisim" w:hAnsi="Narkisim" w:cs="Narkisim"/>
        </w:rPr>
      </w:pPr>
      <w:r w:rsidRPr="00D65870">
        <w:rPr>
          <w:rFonts w:ascii="Narkisim" w:hAnsi="Narkisim" w:cs="Narkisim"/>
          <w:u w:val="single"/>
          <w:rtl/>
        </w:rPr>
        <w:t>חלוץ הנעל</w:t>
      </w:r>
      <w:r w:rsidRPr="00D65870">
        <w:rPr>
          <w:rStyle w:val="ac"/>
          <w:rFonts w:ascii="Narkisim" w:hAnsi="Narkisim" w:cs="Narkisim"/>
          <w:u w:val="single"/>
          <w:rtl/>
        </w:rPr>
        <w:footnoteReference w:id="7113"/>
      </w:r>
      <w:r w:rsidRPr="00D65870">
        <w:rPr>
          <w:rFonts w:ascii="Narkisim" w:hAnsi="Narkisim" w:cs="Narkisim"/>
          <w:u w:val="single"/>
          <w:rtl/>
        </w:rPr>
        <w:t xml:space="preserve"> חלוץ הנעל חלוץ הנעל</w:t>
      </w:r>
      <w:r w:rsidRPr="00D65870">
        <w:rPr>
          <w:rFonts w:ascii="Narkisim" w:hAnsi="Narkisim" w:cs="Narkisim"/>
          <w:rtl/>
        </w:rPr>
        <w:t>. ג' פעמים, כדאי' בכ"מ שכופלים ג' פעמים לחיזוק</w:t>
      </w:r>
      <w:r w:rsidRPr="00D65870">
        <w:rPr>
          <w:rStyle w:val="ac"/>
          <w:rFonts w:ascii="Narkisim" w:hAnsi="Narkisim" w:cs="Narkisim"/>
          <w:rtl/>
        </w:rPr>
        <w:footnoteReference w:id="7114"/>
      </w:r>
      <w:r w:rsidRPr="00D65870">
        <w:rPr>
          <w:rFonts w:ascii="Narkisim" w:hAnsi="Narkisim" w:cs="Narkisim"/>
          <w:rtl/>
        </w:rPr>
        <w:t>. ו</w:t>
      </w:r>
      <w:r w:rsidRPr="00D65870">
        <w:rPr>
          <w:rFonts w:ascii="Narkisim" w:hAnsi="Narkisim" w:cs="Narkisim"/>
          <w:b/>
          <w:bCs/>
          <w:rtl/>
        </w:rPr>
        <w:t>בה"ג</w:t>
      </w:r>
      <w:r w:rsidRPr="00D65870">
        <w:rPr>
          <w:rFonts w:ascii="Narkisim" w:hAnsi="Narkisim" w:cs="Narkisim"/>
          <w:rtl/>
        </w:rPr>
        <w:t xml:space="preserve"> (הו' בהג' מיימוניות ד ט) כת' דהדיינים עונין חלוץ הנעל כאבל, חלוץ הנעל כמנודה, חלוץ הנעל כמורד במצוה</w:t>
      </w:r>
      <w:r w:rsidRPr="00D65870">
        <w:rPr>
          <w:rStyle w:val="ac"/>
          <w:rFonts w:ascii="Narkisim" w:hAnsi="Narkisim" w:cs="Narkisim"/>
          <w:rtl/>
        </w:rPr>
        <w:footnoteReference w:id="7115"/>
      </w:r>
      <w:r w:rsidRPr="00D65870">
        <w:rPr>
          <w:rFonts w:ascii="Narkisim" w:hAnsi="Narkisim" w:cs="Narkisim"/>
          <w:rtl/>
        </w:rPr>
        <w:t>.</w:t>
      </w:r>
    </w:p>
    <w:p w14:paraId="1B7FE477" w14:textId="77777777" w:rsidR="006C4368" w:rsidRPr="00D65870" w:rsidRDefault="006C4368" w:rsidP="006C4368">
      <w:pPr>
        <w:pStyle w:val="a8"/>
        <w:bidi/>
        <w:rPr>
          <w:rFonts w:ascii="Narkisim" w:hAnsi="Narkisim"/>
        </w:rPr>
      </w:pPr>
      <w:r w:rsidRPr="00D65870">
        <w:rPr>
          <w:rFonts w:ascii="Narkisim" w:hAnsi="Narkisim"/>
          <w:rtl/>
        </w:rPr>
        <w:lastRenderedPageBreak/>
        <w:t>ו</w:t>
      </w:r>
      <w:r w:rsidRPr="00D65870">
        <w:rPr>
          <w:rFonts w:ascii="Narkisim" w:hAnsi="Narkisim"/>
          <w:b/>
          <w:bCs/>
          <w:rtl/>
        </w:rPr>
        <w:t>בה"ג</w:t>
      </w:r>
      <w:r w:rsidRPr="00D65870">
        <w:rPr>
          <w:rFonts w:ascii="Narkisim" w:hAnsi="Narkisim"/>
          <w:rtl/>
        </w:rPr>
        <w:t xml:space="preserve"> פירש מפני מה חולצת נעלו, שכך אמר הקב"ה למשה, כשלא ירצה ליבם אומרים לו 'רשע'</w:t>
      </w:r>
      <w:r w:rsidRPr="00D65870">
        <w:rPr>
          <w:rStyle w:val="ac"/>
          <w:rFonts w:ascii="Narkisim" w:hAnsi="Narkisim"/>
          <w:rtl/>
        </w:rPr>
        <w:footnoteReference w:id="7116"/>
      </w:r>
      <w:r w:rsidRPr="00D65870">
        <w:rPr>
          <w:rFonts w:ascii="Narkisim" w:hAnsi="Narkisim"/>
          <w:rtl/>
        </w:rPr>
        <w:t>, בגופך היית יכול לקיים מצווה ומאנת. לפיכך תחלוץ מנעליך כאבל וכמנודה, שדרכן להיות יחפים. וגם מטיפה סרוחה שבגופך היית יכול לקיים לאחיך זרע לכך וירקה בפניו טיפה סרוחה.</w:t>
      </w:r>
    </w:p>
    <w:p w14:paraId="146C7CB4"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שו"ע</w:t>
      </w:r>
      <w:r w:rsidRPr="00D65870">
        <w:rPr>
          <w:rFonts w:ascii="Narkisim" w:hAnsi="Narkisim"/>
          <w:rtl/>
        </w:rPr>
        <w:t xml:space="preserve"> (פי' לסדר חליצה פב) הביא בשם </w:t>
      </w:r>
      <w:r w:rsidRPr="00D65870">
        <w:rPr>
          <w:rFonts w:ascii="Narkisim" w:hAnsi="Narkisim"/>
          <w:b/>
          <w:bCs/>
          <w:rtl/>
        </w:rPr>
        <w:t>רבי יחיאל מפריש</w:t>
      </w:r>
      <w:r w:rsidRPr="00D65870">
        <w:rPr>
          <w:rFonts w:ascii="Narkisim" w:hAnsi="Narkisim"/>
          <w:rtl/>
        </w:rPr>
        <w:t xml:space="preserve"> דהיבמה מקוננת בפני בי"ד שבעלה יהיה כמת בלא זרע, והיבם השיב לא חפצתי וכו' ר"ל איני חושש אם יהיה בלי זרע. ומאז חולצת נעלו לומר לו שיתאבל על אחיו, כי מעתה הרי הוא כמת וישתכח אחרי שאינו מקים לו זרע. ורוקקת לפניו כלומר לא מחמת יופיך חמדתיך. וקראה כך [בית חלוץ הנעל] להלבינו על אשר לא יבמה, וגם העומדים שם קוראין ג"כ ג"פ חלוץ הנעל לפרסם בושתו.</w:t>
      </w:r>
    </w:p>
    <w:p w14:paraId="20F8C635"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רמ"א</w:t>
      </w:r>
      <w:r w:rsidRPr="00D65870">
        <w:rPr>
          <w:rFonts w:ascii="Narkisim" w:hAnsi="Narkisim"/>
          <w:rtl/>
        </w:rPr>
        <w:t xml:space="preserve"> (ס' חליצה יד) כת' דהיבם יתעטף עצמו כאבל, וכן היבמה תתעטף. והגר"א ציין המקור מדברי בה"ג.</w:t>
      </w:r>
    </w:p>
    <w:p w14:paraId="02D8974E" w14:textId="77777777" w:rsidR="006C4368" w:rsidRPr="00D65870" w:rsidRDefault="006C4368" w:rsidP="006C4368">
      <w:pPr>
        <w:pStyle w:val="aa"/>
        <w:bidi/>
        <w:rPr>
          <w:rFonts w:ascii="Narkisim" w:hAnsi="Narkisim"/>
        </w:rPr>
      </w:pPr>
      <w:r w:rsidRPr="00D65870">
        <w:rPr>
          <w:rFonts w:ascii="Narkisim" w:hAnsi="Narkisim"/>
          <w:rtl/>
        </w:rPr>
        <w:t>וב</w:t>
      </w:r>
      <w:r w:rsidRPr="00D65870">
        <w:rPr>
          <w:rFonts w:ascii="Narkisim" w:hAnsi="Narkisim"/>
          <w:b/>
          <w:bCs/>
          <w:rtl/>
        </w:rPr>
        <w:t>ס' החינוך</w:t>
      </w:r>
      <w:r w:rsidRPr="00D65870">
        <w:rPr>
          <w:rFonts w:ascii="Narkisim" w:hAnsi="Narkisim"/>
          <w:rtl/>
        </w:rPr>
        <w:t xml:space="preserve"> (תקצט) ביאר משרשי המצוה, שהיבמה היתה ראויה לשמש האיש הזה תחת אחיו, והוא אינו רוצה בה. ומש"ה צוותה התורה שתעשה אליו מעשה שימוש זה של חליצת נעל, שהוא שימוש העבד הקנוי. ויעשה בפרסום לפני בית דין, להראות לכל שקנויה היתה לו לגמרי, וראוי היה לו ליבם אותה. וירקה בפניו להודיע שנפטרה ממנו לגמרי ואינה משועבדת לו עוד לחלוק לו כבוד בשום דבר, אבל הוא חשוב אליה כאיש זר שאין משגיחין עליו מלירוק בפניו. ומעתה תלך לה מעתה ותנשא לכל מי שתרצה.</w:t>
      </w:r>
    </w:p>
    <w:p w14:paraId="4A3139B7" w14:textId="77777777" w:rsidR="006C4368" w:rsidRPr="00D65870" w:rsidRDefault="006C4368" w:rsidP="006C4368">
      <w:pPr>
        <w:bidi/>
        <w:rPr>
          <w:rFonts w:ascii="Narkisim" w:hAnsi="Narkisim" w:cs="Narkisim"/>
        </w:rPr>
      </w:pPr>
      <w:r w:rsidRPr="00D65870">
        <w:rPr>
          <w:rFonts w:ascii="Narkisim" w:hAnsi="Narkisim" w:cs="Narkisim"/>
          <w:u w:val="single"/>
          <w:rtl/>
        </w:rPr>
        <w:t>שם.</w:t>
      </w:r>
      <w:r w:rsidRPr="00D65870">
        <w:rPr>
          <w:rFonts w:ascii="Narkisim" w:hAnsi="Narkisim" w:cs="Narkisim"/>
          <w:rtl/>
        </w:rPr>
        <w:t xml:space="preserve"> וה</w:t>
      </w:r>
      <w:r w:rsidRPr="00D65870">
        <w:rPr>
          <w:rFonts w:ascii="Narkisim" w:hAnsi="Narkisim" w:cs="Narkisim"/>
          <w:b/>
          <w:bCs/>
          <w:rtl/>
        </w:rPr>
        <w:t>פוסקים</w:t>
      </w:r>
      <w:r w:rsidRPr="00D65870">
        <w:rPr>
          <w:rFonts w:ascii="Narkisim" w:hAnsi="Narkisim" w:cs="Narkisim"/>
          <w:rtl/>
        </w:rPr>
        <w:t xml:space="preserve"> (סדר חליצה נז) הביאו (בשם סדר חליצה אשכנזי) כשיעמדו</w:t>
      </w:r>
      <w:r w:rsidRPr="00D65870">
        <w:rPr>
          <w:rStyle w:val="ac"/>
          <w:rFonts w:ascii="Narkisim" w:hAnsi="Narkisim" w:cs="Narkisim"/>
          <w:rtl/>
        </w:rPr>
        <w:footnoteReference w:id="7117"/>
      </w:r>
      <w:r w:rsidRPr="00D65870">
        <w:rPr>
          <w:rFonts w:ascii="Narkisim" w:hAnsi="Narkisim" w:cs="Narkisim"/>
          <w:rtl/>
        </w:rPr>
        <w:t xml:space="preserve"> הרב</w:t>
      </w:r>
      <w:r w:rsidRPr="00D65870">
        <w:rPr>
          <w:rStyle w:val="ac"/>
          <w:rFonts w:ascii="Narkisim" w:hAnsi="Narkisim" w:cs="Narkisim"/>
          <w:rtl/>
        </w:rPr>
        <w:footnoteReference w:id="7118"/>
      </w:r>
      <w:r w:rsidRPr="00D65870">
        <w:rPr>
          <w:rFonts w:ascii="Narkisim" w:hAnsi="Narkisim" w:cs="Narkisim"/>
          <w:rtl/>
        </w:rPr>
        <w:t xml:space="preserve"> מברך 'ברוך הוא אשר קדשנו במצותיו וחוקיו</w:t>
      </w:r>
      <w:r w:rsidRPr="00D65870">
        <w:rPr>
          <w:rStyle w:val="ac"/>
          <w:rFonts w:ascii="Narkisim" w:hAnsi="Narkisim" w:cs="Narkisim"/>
          <w:rtl/>
        </w:rPr>
        <w:footnoteReference w:id="7119"/>
      </w:r>
      <w:r w:rsidRPr="00D65870">
        <w:rPr>
          <w:rFonts w:ascii="Narkisim" w:hAnsi="Narkisim" w:cs="Narkisim"/>
          <w:rtl/>
        </w:rPr>
        <w:t xml:space="preserve"> של אברהם אבינו'</w:t>
      </w:r>
      <w:r w:rsidRPr="00D65870">
        <w:rPr>
          <w:rStyle w:val="ac"/>
          <w:rFonts w:ascii="Narkisim" w:hAnsi="Narkisim" w:cs="Narkisim"/>
          <w:rtl/>
        </w:rPr>
        <w:footnoteReference w:id="7120"/>
      </w:r>
      <w:r w:rsidRPr="00D65870">
        <w:rPr>
          <w:rFonts w:ascii="Narkisim" w:hAnsi="Narkisim" w:cs="Narkisim"/>
          <w:rtl/>
        </w:rPr>
        <w:t>. וביארו משום דאמרי' בשכר שאמר אברהם 'ועד שרוך נעל' (בראשית טו כג), זכו בניו למנעל של חליצה</w:t>
      </w:r>
      <w:r w:rsidRPr="00D65870">
        <w:rPr>
          <w:rStyle w:val="ac"/>
          <w:rFonts w:ascii="Narkisim" w:hAnsi="Narkisim" w:cs="Narkisim"/>
          <w:rtl/>
        </w:rPr>
        <w:footnoteReference w:id="7121"/>
      </w:r>
      <w:r w:rsidRPr="00D65870">
        <w:rPr>
          <w:rFonts w:ascii="Narkisim" w:hAnsi="Narkisim" w:cs="Narkisim"/>
          <w:rtl/>
        </w:rPr>
        <w:t>. וה</w:t>
      </w:r>
      <w:r w:rsidRPr="00D65870">
        <w:rPr>
          <w:rFonts w:ascii="Narkisim" w:hAnsi="Narkisim" w:cs="Narkisim"/>
          <w:b/>
          <w:bCs/>
          <w:rtl/>
        </w:rPr>
        <w:t>פוסקים</w:t>
      </w:r>
      <w:r w:rsidRPr="00D65870">
        <w:rPr>
          <w:rFonts w:ascii="Narkisim" w:hAnsi="Narkisim" w:cs="Narkisim"/>
          <w:rtl/>
        </w:rPr>
        <w:t xml:space="preserve"> כת' לאומרו בלא הזכרת שם ומלכות</w:t>
      </w:r>
      <w:r w:rsidRPr="00D65870">
        <w:rPr>
          <w:rStyle w:val="ac"/>
          <w:rFonts w:ascii="Narkisim" w:hAnsi="Narkisim" w:cs="Narkisim"/>
          <w:rtl/>
        </w:rPr>
        <w:footnoteReference w:id="7122"/>
      </w:r>
      <w:r w:rsidRPr="00D65870">
        <w:rPr>
          <w:rFonts w:ascii="Narkisim" w:hAnsi="Narkisim" w:cs="Narkisim"/>
          <w:rtl/>
        </w:rPr>
        <w:t>.</w:t>
      </w:r>
    </w:p>
    <w:p w14:paraId="5D800C08" w14:textId="77777777" w:rsidR="006C4368" w:rsidRPr="00D65870" w:rsidRDefault="006C4368" w:rsidP="006C4368">
      <w:pPr>
        <w:pStyle w:val="a7"/>
        <w:bidi/>
        <w:rPr>
          <w:rFonts w:ascii="Narkisim" w:hAnsi="Narkisim"/>
        </w:rPr>
      </w:pPr>
      <w:r w:rsidRPr="00D65870">
        <w:rPr>
          <w:rFonts w:ascii="Narkisim" w:hAnsi="Narkisim"/>
          <w:rtl/>
        </w:rPr>
        <w:t>וה</w:t>
      </w:r>
      <w:r w:rsidRPr="00D65870">
        <w:rPr>
          <w:rFonts w:ascii="Narkisim" w:hAnsi="Narkisim"/>
          <w:b/>
          <w:bCs/>
          <w:rtl/>
        </w:rPr>
        <w:t>גר"א</w:t>
      </w:r>
      <w:r w:rsidRPr="00D65870">
        <w:rPr>
          <w:rFonts w:ascii="Narkisim" w:hAnsi="Narkisim"/>
          <w:rtl/>
        </w:rPr>
        <w:t xml:space="preserve"> (שם פו) ציין ל</w:t>
      </w:r>
      <w:r w:rsidRPr="00D65870">
        <w:rPr>
          <w:rFonts w:ascii="Narkisim" w:hAnsi="Narkisim"/>
          <w:b/>
          <w:bCs/>
          <w:rtl/>
        </w:rPr>
        <w:t>תוספתא</w:t>
      </w:r>
      <w:r w:rsidRPr="00D65870">
        <w:rPr>
          <w:rFonts w:ascii="Narkisim" w:hAnsi="Narkisim"/>
          <w:rtl/>
        </w:rPr>
        <w:t xml:space="preserve"> (ברכות ו) העושה כל המצוות מברך עליהן, וכמו הרב שמסדר הקידושין שמברך</w:t>
      </w:r>
      <w:r w:rsidRPr="00D65870">
        <w:rPr>
          <w:rStyle w:val="ac"/>
          <w:rFonts w:ascii="Narkisim" w:hAnsi="Narkisim"/>
          <w:rtl/>
        </w:rPr>
        <w:footnoteReference w:id="7123"/>
      </w:r>
      <w:r w:rsidRPr="00D65870">
        <w:rPr>
          <w:rFonts w:ascii="Narkisim" w:hAnsi="Narkisim"/>
          <w:rtl/>
        </w:rPr>
        <w:t>. ומבואר מדבריו דהוה ברכת המצוות. אך העירו דמשמע טפי דהוה ברכת השבח</w:t>
      </w:r>
      <w:r w:rsidRPr="00D65870">
        <w:rPr>
          <w:rStyle w:val="ac"/>
          <w:rFonts w:ascii="Narkisim" w:hAnsi="Narkisim"/>
          <w:rtl/>
        </w:rPr>
        <w:footnoteReference w:id="7124"/>
      </w:r>
      <w:r w:rsidRPr="00D65870">
        <w:rPr>
          <w:rFonts w:ascii="Narkisim" w:hAnsi="Narkisim"/>
          <w:rtl/>
        </w:rPr>
        <w:t>, ומש"מ מברך לאחר גמר החליצה, והו"ל לברך עובר לעשייתן.</w:t>
      </w:r>
    </w:p>
    <w:p w14:paraId="145A64A1" w14:textId="77777777" w:rsidR="006C4368" w:rsidRPr="00D65870" w:rsidRDefault="006C4368" w:rsidP="006C4368">
      <w:pPr>
        <w:pStyle w:val="aa"/>
        <w:bidi/>
        <w:rPr>
          <w:rFonts w:ascii="Narkisim" w:hAnsi="Narkisim"/>
        </w:rPr>
      </w:pPr>
      <w:r w:rsidRPr="00D65870">
        <w:rPr>
          <w:rFonts w:ascii="Narkisim" w:hAnsi="Narkisim"/>
          <w:rtl/>
        </w:rPr>
        <w:t>וה</w:t>
      </w:r>
      <w:r w:rsidRPr="00D65870">
        <w:rPr>
          <w:rFonts w:ascii="Narkisim" w:hAnsi="Narkisim"/>
          <w:b/>
          <w:bCs/>
          <w:rtl/>
        </w:rPr>
        <w:t>מהרי"ל</w:t>
      </w:r>
      <w:r w:rsidRPr="00D65870">
        <w:rPr>
          <w:rFonts w:ascii="Narkisim" w:hAnsi="Narkisim"/>
          <w:rtl/>
        </w:rPr>
        <w:t xml:space="preserve"> (הל' חליצה ז) הביא ד</w:t>
      </w:r>
      <w:r w:rsidRPr="00D65870">
        <w:rPr>
          <w:rFonts w:ascii="Narkisim" w:hAnsi="Narkisim"/>
          <w:b/>
          <w:bCs/>
          <w:rtl/>
        </w:rPr>
        <w:t>מהר"י סגל</w:t>
      </w:r>
      <w:r w:rsidRPr="00D65870">
        <w:rPr>
          <w:rFonts w:ascii="Narkisim" w:hAnsi="Narkisim"/>
          <w:rtl/>
        </w:rPr>
        <w:t xml:space="preserve"> הק' דא"כ המגרש בגט יברך. וכן במצוות יבום יברך. וכת' דביבום אה"נ. אבל בגט איהו דאפסיד אנפשיה להתקוטט, שאין זווגם עולה יפה ויתפרדו. משא"כ חליצה דהוה גזירה משמים דאחיו מת וזקוקה לו. וכת' דמ"מ לא נהג בברכה זו.</w:t>
      </w:r>
    </w:p>
    <w:p w14:paraId="6AD3202B" w14:textId="77777777" w:rsidR="006C4368" w:rsidRPr="00D65870" w:rsidRDefault="006C4368" w:rsidP="006C4368">
      <w:pPr>
        <w:pStyle w:val="aa"/>
        <w:bidi/>
        <w:rPr>
          <w:rFonts w:ascii="Narkisim" w:hAnsi="Narkisim"/>
        </w:rPr>
      </w:pPr>
      <w:r w:rsidRPr="00D65870">
        <w:rPr>
          <w:rFonts w:ascii="Narkisim" w:hAnsi="Narkisim"/>
          <w:rtl/>
        </w:rPr>
        <w:t>וב</w:t>
      </w:r>
      <w:r w:rsidRPr="00D65870">
        <w:rPr>
          <w:rFonts w:ascii="Narkisim" w:hAnsi="Narkisim"/>
          <w:b/>
          <w:bCs/>
          <w:rtl/>
        </w:rPr>
        <w:t>שו"ת הרשב"א</w:t>
      </w:r>
      <w:r w:rsidRPr="00D65870">
        <w:rPr>
          <w:rFonts w:ascii="Narkisim" w:hAnsi="Narkisim"/>
          <w:rtl/>
        </w:rPr>
        <w:t xml:space="preserve"> (א יח, מדברי הר"י פלט) כת' הטעם דאין מברכין על חליצה ויבום, דעיקר המצווה משום פריה ורביה. ואין מברכין על מצוה שעיקרה אינה מצוה. והאשה אינה מצוה על פריה ורביה.</w:t>
      </w:r>
    </w:p>
    <w:p w14:paraId="40860DDA" w14:textId="77777777" w:rsidR="006C4368" w:rsidRPr="00D65870" w:rsidRDefault="006C4368" w:rsidP="006C4368">
      <w:pPr>
        <w:pStyle w:val="a8"/>
        <w:bidi/>
        <w:rPr>
          <w:rFonts w:ascii="Narkisim" w:hAnsi="Narkisim"/>
        </w:rPr>
      </w:pPr>
      <w:r w:rsidRPr="00D65870">
        <w:rPr>
          <w:rFonts w:ascii="Narkisim" w:hAnsi="Narkisim"/>
          <w:rtl/>
        </w:rPr>
        <w:t>וה</w:t>
      </w:r>
      <w:r w:rsidRPr="00D65870">
        <w:rPr>
          <w:rFonts w:ascii="Narkisim" w:hAnsi="Narkisim"/>
          <w:b/>
          <w:bCs/>
          <w:rtl/>
        </w:rPr>
        <w:t>ר"י פלט</w:t>
      </w:r>
      <w:r w:rsidRPr="00D65870">
        <w:rPr>
          <w:rFonts w:ascii="Narkisim" w:hAnsi="Narkisim"/>
          <w:rtl/>
        </w:rPr>
        <w:t xml:space="preserve"> (בשו"ת הרשב"א) כת' דאין מברכין על הגרושין, דיש מקצת גירושין שהן בעבירה, כגון שלא מצא בה דבר עברה ומגרשה ששנוי המשלח (כדאי' גיטין צ:). ואף שיש מצוה במקצתן, כגון נשא בעבירה שמצווה לגרשן, מ"מ לא פליגי רבנן שמקצת גירושין יברך, ומקצתן לא יברך.</w:t>
      </w:r>
    </w:p>
    <w:p w14:paraId="71CE4453" w14:textId="77777777" w:rsidR="006C4368" w:rsidRPr="00D65870" w:rsidRDefault="006C4368" w:rsidP="006C4368">
      <w:pPr>
        <w:pStyle w:val="a8"/>
        <w:bidi/>
        <w:rPr>
          <w:rFonts w:ascii="Narkisim" w:hAnsi="Narkisim"/>
        </w:rPr>
      </w:pPr>
      <w:r w:rsidRPr="00D65870">
        <w:rPr>
          <w:rFonts w:ascii="Narkisim" w:hAnsi="Narkisim"/>
          <w:rtl/>
        </w:rPr>
        <w:t>וכת' וכן אין מברכין על מיתות בי"ד, שהשם יתברך חס על בריותיו ואינו חפץ במיתתן של רשעים. וכענין שאמרו שאין אומרין הלל בראש השנה מפני שהוא יום הדין (כדאי' ערכין י:). ואמרי' דאין מפסיקין בקללות לפי שאין אומרין ברכה על הפורענות (כדאי' מגילה לא:, ע' מסכת סופרים יב א).</w:t>
      </w:r>
    </w:p>
    <w:p w14:paraId="11202615" w14:textId="77777777" w:rsidR="006C4368" w:rsidRPr="00D65870" w:rsidRDefault="006C4368" w:rsidP="006C4368">
      <w:pPr>
        <w:pStyle w:val="2"/>
        <w:bidi/>
        <w:rPr>
          <w:rFonts w:ascii="Narkisim" w:hAnsi="Narkisim"/>
        </w:rPr>
      </w:pPr>
      <w:r w:rsidRPr="00D65870">
        <w:rPr>
          <w:rFonts w:ascii="Narkisim" w:hAnsi="Narkisim"/>
          <w:rtl/>
        </w:rPr>
        <w:lastRenderedPageBreak/>
        <w:t>הדרן עלך פרק מצוות חליצה</w:t>
      </w:r>
    </w:p>
    <w:p w14:paraId="14D27D90" w14:textId="77777777" w:rsidR="006C4368" w:rsidRPr="003124AA" w:rsidRDefault="006C4368" w:rsidP="006C4368">
      <w:pPr>
        <w:pStyle w:val="2"/>
        <w:bidi/>
        <w:rPr>
          <w:rFonts w:ascii="Narkisim" w:hAnsi="Narkisim"/>
        </w:rPr>
      </w:pPr>
      <w:r w:rsidRPr="003124AA">
        <w:rPr>
          <w:rFonts w:ascii="Narkisim" w:hAnsi="Narkisim"/>
          <w:rtl/>
        </w:rPr>
        <w:t>בס"ד יבמות קט. - קיד:</w:t>
      </w:r>
    </w:p>
    <w:p w14:paraId="6A27CA56" w14:textId="77777777" w:rsidR="006C4368" w:rsidRPr="003124AA" w:rsidRDefault="006C4368" w:rsidP="006C4368">
      <w:pPr>
        <w:pStyle w:val="3"/>
        <w:bidi/>
        <w:rPr>
          <w:rFonts w:ascii="Narkisim" w:hAnsi="Narkisim"/>
        </w:rPr>
      </w:pPr>
      <w:r w:rsidRPr="003124AA">
        <w:rPr>
          <w:rFonts w:ascii="Narkisim" w:hAnsi="Narkisim"/>
          <w:rtl/>
        </w:rPr>
        <w:t>דף קט.</w:t>
      </w:r>
    </w:p>
    <w:p w14:paraId="138A3AF5" w14:textId="77777777" w:rsidR="006C4368" w:rsidRPr="003124AA" w:rsidRDefault="006C4368" w:rsidP="006C4368">
      <w:pPr>
        <w:bidi/>
        <w:rPr>
          <w:rFonts w:ascii="Narkisim" w:hAnsi="Narkisim" w:cs="Narkisim"/>
        </w:rPr>
      </w:pPr>
      <w:r w:rsidRPr="003124AA">
        <w:rPr>
          <w:rFonts w:ascii="Narkisim" w:hAnsi="Narkisim" w:cs="Narkisim"/>
          <w:u w:val="single"/>
          <w:rtl/>
        </w:rPr>
        <w:t>קטנה שהשיאה אביה ונתגרשה</w:t>
      </w:r>
      <w:r w:rsidRPr="003124AA">
        <w:rPr>
          <w:rStyle w:val="ac"/>
          <w:rFonts w:ascii="Narkisim" w:hAnsi="Narkisim" w:cs="Narkisim"/>
          <w:u w:val="single"/>
          <w:rtl/>
        </w:rPr>
        <w:footnoteReference w:id="7125"/>
      </w:r>
      <w:r w:rsidRPr="003124AA">
        <w:rPr>
          <w:rFonts w:ascii="Narkisim" w:hAnsi="Narkisim" w:cs="Narkisim"/>
          <w:u w:val="single"/>
          <w:rtl/>
        </w:rPr>
        <w:t xml:space="preserve"> וכו' ד"ה אסורה ליבם</w:t>
      </w:r>
      <w:r w:rsidRPr="003124AA">
        <w:rPr>
          <w:rFonts w:ascii="Narkisim" w:hAnsi="Narkisim" w:cs="Narkisim"/>
          <w:rtl/>
        </w:rPr>
        <w:t>. והברייתא (והו' ברש"י) פי' כשמת כשהיא קטנה. מפני שגירושיה גירושין גמורין ואין חזרתה חזרה גמורה.</w:t>
      </w:r>
    </w:p>
    <w:p w14:paraId="39048A31" w14:textId="77777777" w:rsidR="006C4368" w:rsidRPr="003124AA" w:rsidRDefault="006C4368" w:rsidP="006C4368">
      <w:pPr>
        <w:bidi/>
        <w:rPr>
          <w:rFonts w:ascii="Narkisim" w:hAnsi="Narkisim" w:cs="Narkisim"/>
        </w:rPr>
      </w:pPr>
      <w:r w:rsidRPr="003124AA">
        <w:rPr>
          <w:rFonts w:ascii="Narkisim" w:hAnsi="Narkisim" w:cs="Narkisim"/>
          <w:rtl/>
        </w:rPr>
        <w:t>וב</w:t>
      </w:r>
      <w:r w:rsidRPr="003124AA">
        <w:rPr>
          <w:rFonts w:ascii="Narkisim" w:hAnsi="Narkisim" w:cs="Narkisim"/>
          <w:b/>
          <w:bCs/>
          <w:rtl/>
        </w:rPr>
        <w:t>תוס' חד מקמאי</w:t>
      </w:r>
      <w:r w:rsidRPr="003124AA">
        <w:rPr>
          <w:rFonts w:ascii="Narkisim" w:hAnsi="Narkisim" w:cs="Narkisim"/>
          <w:rtl/>
        </w:rPr>
        <w:t xml:space="preserve"> כת' דלכאורה משמע דאי"צ אפי' חליצה, דהוה ערוה מדאורייתא [ומשמע דכוונתו דערות גרושת אחיו פוטר את הנפילה מדרבנן</w:t>
      </w:r>
      <w:r w:rsidRPr="003124AA">
        <w:rPr>
          <w:rStyle w:val="ac"/>
          <w:rFonts w:ascii="Narkisim" w:hAnsi="Narkisim" w:cs="Narkisim"/>
          <w:rtl/>
        </w:rPr>
        <w:footnoteReference w:id="7126"/>
      </w:r>
      <w:r w:rsidRPr="003124AA">
        <w:rPr>
          <w:rFonts w:ascii="Narkisim" w:hAnsi="Narkisim" w:cs="Narkisim"/>
          <w:rtl/>
        </w:rPr>
        <w:t>]. וה</w:t>
      </w:r>
      <w:r w:rsidRPr="003124AA">
        <w:rPr>
          <w:rFonts w:ascii="Narkisim" w:hAnsi="Narkisim" w:cs="Narkisim"/>
          <w:b/>
          <w:bCs/>
          <w:rtl/>
        </w:rPr>
        <w:t>יש"ש</w:t>
      </w:r>
      <w:r w:rsidRPr="003124AA">
        <w:rPr>
          <w:rFonts w:ascii="Narkisim" w:hAnsi="Narkisim" w:cs="Narkisim"/>
          <w:rtl/>
        </w:rPr>
        <w:t xml:space="preserve"> וה</w:t>
      </w:r>
      <w:r w:rsidRPr="003124AA">
        <w:rPr>
          <w:rFonts w:ascii="Narkisim" w:hAnsi="Narkisim" w:cs="Narkisim"/>
          <w:b/>
          <w:bCs/>
          <w:rtl/>
        </w:rPr>
        <w:t>בי"ש</w:t>
      </w:r>
      <w:r w:rsidRPr="003124AA">
        <w:rPr>
          <w:rFonts w:ascii="Narkisim" w:hAnsi="Narkisim" w:cs="Narkisim"/>
          <w:rtl/>
        </w:rPr>
        <w:t xml:space="preserve"> (קעג כב) דייקו דכן דעת הרמב"ם דאי"צ חליצה</w:t>
      </w:r>
      <w:r w:rsidRPr="003124AA">
        <w:rPr>
          <w:rStyle w:val="ac"/>
          <w:rFonts w:ascii="Narkisim" w:hAnsi="Narkisim" w:cs="Narkisim"/>
          <w:rtl/>
        </w:rPr>
        <w:footnoteReference w:id="7127"/>
      </w:r>
      <w:r w:rsidRPr="003124AA">
        <w:rPr>
          <w:rFonts w:ascii="Narkisim" w:hAnsi="Narkisim" w:cs="Narkisim"/>
          <w:rtl/>
        </w:rPr>
        <w:t>.</w:t>
      </w:r>
    </w:p>
    <w:p w14:paraId="7E3654AF" w14:textId="77777777" w:rsidR="006C4368" w:rsidRPr="003124AA" w:rsidRDefault="006C4368" w:rsidP="006C4368">
      <w:pPr>
        <w:pStyle w:val="a7"/>
        <w:bidi/>
        <w:rPr>
          <w:rFonts w:ascii="Narkisim" w:hAnsi="Narkisim"/>
        </w:rPr>
      </w:pPr>
      <w:r w:rsidRPr="003124AA">
        <w:rPr>
          <w:rFonts w:ascii="Narkisim" w:hAnsi="Narkisim"/>
          <w:rtl/>
        </w:rPr>
        <w:t>אך התו' חד מקמאי הביא דב</w:t>
      </w:r>
      <w:r w:rsidRPr="003124AA">
        <w:rPr>
          <w:rFonts w:ascii="Narkisim" w:hAnsi="Narkisim"/>
          <w:b/>
          <w:bCs/>
          <w:rtl/>
        </w:rPr>
        <w:t>ירושלמי</w:t>
      </w:r>
      <w:r w:rsidRPr="003124AA">
        <w:rPr>
          <w:rFonts w:ascii="Narkisim" w:hAnsi="Narkisim"/>
          <w:rtl/>
        </w:rPr>
        <w:t xml:space="preserve"> מבואר דצריך חליצה. וכ"כ רוב ה</w:t>
      </w:r>
      <w:r w:rsidRPr="003124AA">
        <w:rPr>
          <w:rFonts w:ascii="Narkisim" w:hAnsi="Narkisim"/>
          <w:b/>
          <w:bCs/>
          <w:rtl/>
        </w:rPr>
        <w:t>ראשונים</w:t>
      </w:r>
      <w:r w:rsidRPr="003124AA">
        <w:rPr>
          <w:rFonts w:ascii="Narkisim" w:hAnsi="Narkisim"/>
          <w:rtl/>
        </w:rPr>
        <w:t xml:space="preserve"> (ע' בסמוך) דצריכה חליצה.</w:t>
      </w:r>
    </w:p>
    <w:p w14:paraId="055BCA71" w14:textId="77777777" w:rsidR="006C4368" w:rsidRPr="003124AA" w:rsidRDefault="006C4368" w:rsidP="006C4368">
      <w:pPr>
        <w:pStyle w:val="a7"/>
        <w:bidi/>
        <w:rPr>
          <w:rFonts w:ascii="Narkisim" w:hAnsi="Narkisim"/>
        </w:rPr>
      </w:pPr>
      <w:r w:rsidRPr="003124AA">
        <w:rPr>
          <w:rFonts w:ascii="Narkisim" w:hAnsi="Narkisim"/>
          <w:rtl/>
        </w:rPr>
        <w:t>וב</w:t>
      </w:r>
      <w:r w:rsidRPr="003124AA">
        <w:rPr>
          <w:rFonts w:ascii="Narkisim" w:hAnsi="Narkisim"/>
          <w:b/>
          <w:bCs/>
          <w:rtl/>
        </w:rPr>
        <w:t>תוס' חד מקמאי</w:t>
      </w:r>
      <w:r w:rsidRPr="003124AA">
        <w:rPr>
          <w:rFonts w:ascii="Narkisim" w:hAnsi="Narkisim"/>
          <w:rtl/>
        </w:rPr>
        <w:t xml:space="preserve"> ביאר משום גזירה דאין הכל בקיאין בחזרה. וה</w:t>
      </w:r>
      <w:r w:rsidRPr="003124AA">
        <w:rPr>
          <w:rFonts w:ascii="Narkisim" w:hAnsi="Narkisim"/>
          <w:b/>
          <w:bCs/>
          <w:rtl/>
        </w:rPr>
        <w:t>מלחמות</w:t>
      </w:r>
      <w:r w:rsidRPr="003124AA">
        <w:rPr>
          <w:rFonts w:ascii="Narkisim" w:hAnsi="Narkisim"/>
          <w:rtl/>
        </w:rPr>
        <w:t xml:space="preserve"> ביאר</w:t>
      </w:r>
      <w:r w:rsidRPr="003124AA">
        <w:rPr>
          <w:rStyle w:val="ac"/>
          <w:rFonts w:ascii="Narkisim" w:hAnsi="Narkisim"/>
          <w:rtl/>
        </w:rPr>
        <w:footnoteReference w:id="7128"/>
      </w:r>
      <w:r w:rsidRPr="003124AA">
        <w:rPr>
          <w:rFonts w:ascii="Narkisim" w:hAnsi="Narkisim"/>
          <w:rtl/>
        </w:rPr>
        <w:t xml:space="preserve"> דלא מפקי' אישות דרבנן בלא כלום</w:t>
      </w:r>
      <w:r w:rsidRPr="003124AA">
        <w:rPr>
          <w:rStyle w:val="ac"/>
          <w:rFonts w:ascii="Narkisim" w:hAnsi="Narkisim"/>
          <w:rtl/>
        </w:rPr>
        <w:footnoteReference w:id="7129"/>
      </w:r>
      <w:r w:rsidRPr="003124AA">
        <w:rPr>
          <w:rFonts w:ascii="Narkisim" w:hAnsi="Narkisim"/>
          <w:rtl/>
        </w:rPr>
        <w:t>.</w:t>
      </w:r>
    </w:p>
    <w:p w14:paraId="2D72171C"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בעה"מ</w:t>
      </w:r>
      <w:r w:rsidRPr="003124AA">
        <w:rPr>
          <w:rFonts w:ascii="Narkisim" w:hAnsi="Narkisim"/>
          <w:rtl/>
        </w:rPr>
        <w:t xml:space="preserve"> (כאן לז: בדה"ר) עמד בזה אל תתמה היאך יתומה זו חולצת, והיא ערוה מן התורה. והביא דוגמתה (לעיל כט.) דלר' שמעון שתי אחיות שנפלו ליבום [ונעשו צרות זל"ז] אי"צ חליצה, ואפ"ה אי הוה איסור מצוה או איסור קדושה חולצת ולא מתיבמת</w:t>
      </w:r>
      <w:r w:rsidRPr="003124AA">
        <w:rPr>
          <w:rStyle w:val="ac"/>
          <w:rFonts w:ascii="Narkisim" w:hAnsi="Narkisim"/>
          <w:rtl/>
        </w:rPr>
        <w:footnoteReference w:id="7130"/>
      </w:r>
      <w:r w:rsidRPr="003124AA">
        <w:rPr>
          <w:rFonts w:ascii="Narkisim" w:hAnsi="Narkisim"/>
          <w:rtl/>
        </w:rPr>
        <w:t>.</w:t>
      </w:r>
    </w:p>
    <w:p w14:paraId="0CED60A5" w14:textId="77777777" w:rsidR="006C4368" w:rsidRPr="003124AA" w:rsidRDefault="006C4368" w:rsidP="006C4368">
      <w:pPr>
        <w:bidi/>
        <w:rPr>
          <w:rFonts w:ascii="Narkisim" w:hAnsi="Narkisim" w:cs="Narkisim"/>
        </w:rPr>
      </w:pPr>
      <w:r w:rsidRPr="003124AA">
        <w:rPr>
          <w:rFonts w:ascii="Narkisim" w:hAnsi="Narkisim" w:cs="Narkisim"/>
          <w:u w:val="single"/>
          <w:rtl/>
        </w:rPr>
        <w:t>רש"י ד"ה קטנה</w:t>
      </w:r>
      <w:r w:rsidRPr="003124AA">
        <w:rPr>
          <w:rFonts w:ascii="Narkisim" w:hAnsi="Narkisim" w:cs="Narkisim"/>
          <w:rtl/>
        </w:rPr>
        <w:t xml:space="preserve">. [ונתגרשה] בקטנותה, וקיבל אביה גיטה וכו'. מבואר ברש”י דאביה מקבל גיטה אף לאחר שנשאת [ויצאת מרשות אביה]. וכ"כ </w:t>
      </w:r>
      <w:r w:rsidRPr="003124AA">
        <w:rPr>
          <w:rFonts w:ascii="Narkisim" w:hAnsi="Narkisim" w:cs="Narkisim"/>
          <w:b/>
          <w:bCs/>
          <w:rtl/>
        </w:rPr>
        <w:t>רש"י</w:t>
      </w:r>
      <w:r w:rsidRPr="003124AA">
        <w:rPr>
          <w:rFonts w:ascii="Narkisim" w:hAnsi="Narkisim" w:cs="Narkisim"/>
          <w:rtl/>
        </w:rPr>
        <w:t xml:space="preserve"> (כתובות עג: וסנהדרין נה: וסט.). וה</w:t>
      </w:r>
      <w:r w:rsidRPr="003124AA">
        <w:rPr>
          <w:rFonts w:ascii="Narkisim" w:hAnsi="Narkisim" w:cs="Narkisim"/>
          <w:b/>
          <w:bCs/>
          <w:rtl/>
        </w:rPr>
        <w:t>רמב"ן</w:t>
      </w:r>
      <w:r w:rsidRPr="003124AA">
        <w:rPr>
          <w:rFonts w:ascii="Narkisim" w:hAnsi="Narkisim" w:cs="Narkisim"/>
          <w:rtl/>
        </w:rPr>
        <w:t xml:space="preserve"> (כתובות עג:) תמה ע"ד רש"י שמשהשיאה שוב אין לאביה רשות בה</w:t>
      </w:r>
      <w:r w:rsidRPr="003124AA">
        <w:rPr>
          <w:rStyle w:val="ac"/>
          <w:rFonts w:ascii="Narkisim" w:hAnsi="Narkisim" w:cs="Narkisim"/>
          <w:rtl/>
        </w:rPr>
        <w:footnoteReference w:id="7131"/>
      </w:r>
      <w:r w:rsidRPr="003124AA">
        <w:rPr>
          <w:rFonts w:ascii="Narkisim" w:hAnsi="Narkisim" w:cs="Narkisim"/>
          <w:rtl/>
        </w:rPr>
        <w:t>, וכת' דהוה טעות סופר בדבריו. וכן ה</w:t>
      </w:r>
      <w:r w:rsidRPr="003124AA">
        <w:rPr>
          <w:rFonts w:ascii="Narkisim" w:hAnsi="Narkisim" w:cs="Narkisim"/>
          <w:b/>
          <w:bCs/>
          <w:rtl/>
        </w:rPr>
        <w:t>תורי"ד</w:t>
      </w:r>
      <w:r w:rsidRPr="003124AA">
        <w:rPr>
          <w:rFonts w:ascii="Narkisim" w:hAnsi="Narkisim" w:cs="Narkisim"/>
          <w:rtl/>
        </w:rPr>
        <w:t xml:space="preserve"> (קידושין י. ובשו"ת הרי"ד מז) תמה ע"ד רש"י</w:t>
      </w:r>
      <w:r w:rsidRPr="003124AA">
        <w:rPr>
          <w:rStyle w:val="ac"/>
          <w:rFonts w:ascii="Narkisim" w:hAnsi="Narkisim" w:cs="Narkisim"/>
          <w:rtl/>
        </w:rPr>
        <w:footnoteReference w:id="7132"/>
      </w:r>
      <w:r w:rsidRPr="003124AA">
        <w:rPr>
          <w:rFonts w:ascii="Narkisim" w:hAnsi="Narkisim" w:cs="Narkisim"/>
          <w:rtl/>
        </w:rPr>
        <w:t>.</w:t>
      </w:r>
    </w:p>
    <w:p w14:paraId="09A15AC2" w14:textId="77777777" w:rsidR="006C4368" w:rsidRPr="003124AA" w:rsidRDefault="006C4368" w:rsidP="006C4368">
      <w:pPr>
        <w:pStyle w:val="a7"/>
        <w:bidi/>
        <w:rPr>
          <w:rFonts w:ascii="Narkisim" w:hAnsi="Narkisim"/>
        </w:rPr>
      </w:pPr>
      <w:r w:rsidRPr="003124AA">
        <w:rPr>
          <w:rFonts w:ascii="Narkisim" w:hAnsi="Narkisim"/>
          <w:rtl/>
        </w:rPr>
        <w:t xml:space="preserve">אבל </w:t>
      </w:r>
      <w:r w:rsidRPr="003124AA">
        <w:rPr>
          <w:rFonts w:ascii="Narkisim" w:hAnsi="Narkisim"/>
          <w:b/>
          <w:bCs/>
          <w:rtl/>
        </w:rPr>
        <w:t>רש"י</w:t>
      </w:r>
      <w:r w:rsidRPr="003124AA">
        <w:rPr>
          <w:rFonts w:ascii="Narkisim" w:hAnsi="Narkisim"/>
          <w:rtl/>
        </w:rPr>
        <w:t xml:space="preserve"> </w:t>
      </w:r>
      <w:r w:rsidRPr="003124AA">
        <w:rPr>
          <w:rFonts w:ascii="Narkisim" w:hAnsi="Narkisim"/>
          <w:szCs w:val="20"/>
          <w:rtl/>
        </w:rPr>
        <w:t>(קידושין מג: ד"ה היא, וכן כתובות מג: ומו:)</w:t>
      </w:r>
      <w:r w:rsidRPr="003124AA">
        <w:rPr>
          <w:rFonts w:ascii="Narkisim" w:hAnsi="Narkisim"/>
          <w:rtl/>
        </w:rPr>
        <w:t xml:space="preserve"> כת' דמשנשאת אין לאביה רשות בה, ואינו מקבל את גיטה. ו</w:t>
      </w:r>
      <w:r w:rsidRPr="003124AA">
        <w:rPr>
          <w:rFonts w:ascii="Narkisim" w:hAnsi="Narkisim"/>
          <w:b/>
          <w:bCs/>
          <w:rtl/>
        </w:rPr>
        <w:t>תוס</w:t>
      </w:r>
      <w:r w:rsidRPr="003124AA">
        <w:rPr>
          <w:rFonts w:ascii="Narkisim" w:hAnsi="Narkisim"/>
          <w:rtl/>
        </w:rPr>
        <w:t xml:space="preserve">' </w:t>
      </w:r>
      <w:r w:rsidRPr="003124AA">
        <w:rPr>
          <w:rFonts w:ascii="Narkisim" w:hAnsi="Narkisim"/>
          <w:szCs w:val="20"/>
          <w:rtl/>
        </w:rPr>
        <w:t>(קידושין י. ד"ה ומקבל)</w:t>
      </w:r>
      <w:r w:rsidRPr="003124AA">
        <w:rPr>
          <w:rFonts w:ascii="Narkisim" w:hAnsi="Narkisim"/>
          <w:rtl/>
        </w:rPr>
        <w:t xml:space="preserve"> נסתפקו בזה, והביאו ד</w:t>
      </w:r>
      <w:r w:rsidRPr="003124AA">
        <w:rPr>
          <w:rFonts w:ascii="Narkisim" w:hAnsi="Narkisim"/>
          <w:b/>
          <w:bCs/>
          <w:rtl/>
        </w:rPr>
        <w:t>ר”י</w:t>
      </w:r>
      <w:r w:rsidRPr="003124AA">
        <w:rPr>
          <w:rFonts w:ascii="Narkisim" w:hAnsi="Narkisim"/>
          <w:rtl/>
        </w:rPr>
        <w:t xml:space="preserve"> הכריע דאינו יכול לקבל גטה משנשאת.</w:t>
      </w:r>
    </w:p>
    <w:p w14:paraId="0E237C87" w14:textId="77777777" w:rsidR="006C4368" w:rsidRPr="003124AA" w:rsidRDefault="006C4368" w:rsidP="006C4368">
      <w:pPr>
        <w:bidi/>
        <w:rPr>
          <w:rFonts w:ascii="Narkisim" w:hAnsi="Narkisim" w:cs="Narkisim"/>
        </w:rPr>
      </w:pPr>
      <w:r w:rsidRPr="003124AA">
        <w:rPr>
          <w:rFonts w:ascii="Narkisim" w:hAnsi="Narkisim" w:cs="Narkisim"/>
          <w:rtl/>
        </w:rPr>
        <w:t>וב</w:t>
      </w:r>
      <w:r w:rsidRPr="003124AA">
        <w:rPr>
          <w:rFonts w:ascii="Narkisim" w:hAnsi="Narkisim" w:cs="Narkisim"/>
          <w:b/>
          <w:bCs/>
          <w:rtl/>
        </w:rPr>
        <w:t>שו"ת מהר"ם פדואה</w:t>
      </w:r>
      <w:r w:rsidRPr="003124AA">
        <w:rPr>
          <w:rFonts w:ascii="Narkisim" w:hAnsi="Narkisim" w:cs="Narkisim"/>
          <w:rtl/>
        </w:rPr>
        <w:t xml:space="preserve"> (טו) עמד בסתירה בדברי רש"י, ותי' דדוקא בקטנה ס"ל לרש"י (כאן) דמקבל את גיטה אף משנשאת. ואילו בשאר מקומות איירי בנערה, ובנערה כיון דיצאת </w:t>
      </w:r>
      <w:r w:rsidRPr="003124AA">
        <w:rPr>
          <w:rFonts w:ascii="Narkisim" w:hAnsi="Narkisim" w:cs="Narkisim"/>
          <w:rtl/>
        </w:rPr>
        <w:lastRenderedPageBreak/>
        <w:t>מרשות אביה אינו מקבל את גיטה.</w:t>
      </w:r>
    </w:p>
    <w:p w14:paraId="026CF56D" w14:textId="77777777" w:rsidR="006C4368" w:rsidRPr="003124AA" w:rsidRDefault="006C4368" w:rsidP="006C4368">
      <w:pPr>
        <w:pStyle w:val="a7"/>
        <w:bidi/>
        <w:rPr>
          <w:rFonts w:ascii="Narkisim" w:hAnsi="Narkisim"/>
        </w:rPr>
      </w:pPr>
      <w:r w:rsidRPr="003124AA">
        <w:rPr>
          <w:rFonts w:ascii="Narkisim" w:hAnsi="Narkisim"/>
          <w:rtl/>
        </w:rPr>
        <w:t>אבל ה</w:t>
      </w:r>
      <w:r w:rsidRPr="003124AA">
        <w:rPr>
          <w:rFonts w:ascii="Narkisim" w:hAnsi="Narkisim"/>
          <w:b/>
          <w:bCs/>
          <w:rtl/>
        </w:rPr>
        <w:t>חזו"א</w:t>
      </w:r>
      <w:r w:rsidRPr="003124AA">
        <w:rPr>
          <w:rFonts w:ascii="Narkisim" w:hAnsi="Narkisim"/>
          <w:rtl/>
        </w:rPr>
        <w:t xml:space="preserve"> </w:t>
      </w:r>
      <w:r w:rsidRPr="003124AA">
        <w:rPr>
          <w:rFonts w:ascii="Narkisim" w:hAnsi="Narkisim"/>
          <w:szCs w:val="20"/>
          <w:rtl/>
        </w:rPr>
        <w:t xml:space="preserve">(קידושין שם) </w:t>
      </w:r>
      <w:r w:rsidRPr="003124AA">
        <w:rPr>
          <w:rFonts w:ascii="Narkisim" w:hAnsi="Narkisim"/>
          <w:rtl/>
        </w:rPr>
        <w:t>כת' דנידון התוס' אף בנערה, דל"מ בזה חילוק בין נערה לקטנה. וכן הוכיח מהמשך דברי התוס'.</w:t>
      </w:r>
    </w:p>
    <w:p w14:paraId="29101AC9" w14:textId="77777777" w:rsidR="006C4368" w:rsidRPr="003124AA" w:rsidRDefault="006C4368" w:rsidP="006C4368">
      <w:pPr>
        <w:bidi/>
        <w:rPr>
          <w:rFonts w:ascii="Narkisim" w:hAnsi="Narkisim" w:cs="Narkisim"/>
        </w:rPr>
      </w:pPr>
      <w:r w:rsidRPr="003124AA">
        <w:rPr>
          <w:rFonts w:ascii="Narkisim" w:hAnsi="Narkisim" w:cs="Narkisim"/>
          <w:u w:val="single"/>
          <w:rtl/>
        </w:rPr>
        <w:t>אמר עיפה מ"ט דר"א הואיל ועמדה עליו שעה א' באיסורא וכו'</w:t>
      </w:r>
      <w:r w:rsidRPr="003124AA">
        <w:rPr>
          <w:rFonts w:ascii="Narkisim" w:hAnsi="Narkisim" w:cs="Narkisim"/>
          <w:rtl/>
        </w:rPr>
        <w:t>. והגמ' פי' דס"ל דנישואין מפילין. [ולמסקנא הוה ספק אי נישואין מפילין]. ומבואר ב</w:t>
      </w:r>
      <w:r w:rsidRPr="003124AA">
        <w:rPr>
          <w:rFonts w:ascii="Narkisim" w:hAnsi="Narkisim" w:cs="Narkisim"/>
          <w:b/>
          <w:bCs/>
          <w:rtl/>
        </w:rPr>
        <w:t>רש”י</w:t>
      </w:r>
      <w:r w:rsidRPr="003124AA">
        <w:rPr>
          <w:rFonts w:ascii="Narkisim" w:hAnsi="Narkisim" w:cs="Narkisim"/>
          <w:rtl/>
        </w:rPr>
        <w:t xml:space="preserve"> דכח נישואין הראשונים מפלת לייבום, ובשעה שגירשה עמדה שעה א' באיסור גרושת אחיו. ושוב אינה נופלת ליבום.</w:t>
      </w:r>
    </w:p>
    <w:p w14:paraId="69E04FBC" w14:textId="77777777" w:rsidR="006C4368" w:rsidRPr="003124AA" w:rsidRDefault="006C4368" w:rsidP="006C4368">
      <w:pPr>
        <w:bidi/>
        <w:rPr>
          <w:rFonts w:ascii="Narkisim" w:hAnsi="Narkisim" w:cs="Narkisim"/>
        </w:rPr>
      </w:pPr>
      <w:r w:rsidRPr="003124AA">
        <w:rPr>
          <w:rFonts w:ascii="Narkisim" w:hAnsi="Narkisim" w:cs="Narkisim"/>
          <w:rtl/>
        </w:rPr>
        <w:t>ובגמ' (לעיל מא.) מבואר דר"א סבר כיון דעמדה עליו שעה א' באיסור נאסרה עליו עולמית, והגמ' מדמה להותרה ונאסרה, דלר"א לא תחזור להתירא</w:t>
      </w:r>
      <w:r w:rsidRPr="003124AA">
        <w:rPr>
          <w:rStyle w:val="ac"/>
          <w:rFonts w:ascii="Narkisim" w:hAnsi="Narkisim" w:cs="Narkisim"/>
          <w:rtl/>
        </w:rPr>
        <w:footnoteReference w:id="7133"/>
      </w:r>
      <w:r w:rsidRPr="003124AA">
        <w:rPr>
          <w:rFonts w:ascii="Narkisim" w:hAnsi="Narkisim" w:cs="Narkisim"/>
          <w:rtl/>
        </w:rPr>
        <w:t xml:space="preserve">. </w:t>
      </w:r>
      <w:r w:rsidRPr="003124AA">
        <w:rPr>
          <w:rFonts w:ascii="Narkisim" w:hAnsi="Narkisim" w:cs="Narkisim"/>
          <w:szCs w:val="20"/>
          <w:rtl/>
        </w:rPr>
        <w:t>[ומבואר במשניות (ל. וכ"מ) דכו"ע מודו דהיכא דנאסרה בשעת נפילה שוב אינה מותרת ליבום, וכאשת אח שיש לה בנים. והגמ' מדמה המח' (אמוראים מא.) בנאסרה לאחר נפילה, לדברי ר' אלעזר דנאסרה קודם נפילה]</w:t>
      </w:r>
      <w:r w:rsidRPr="003124AA">
        <w:rPr>
          <w:rFonts w:ascii="Narkisim" w:hAnsi="Narkisim" w:cs="Narkisim"/>
          <w:rtl/>
        </w:rPr>
        <w:t>.</w:t>
      </w:r>
    </w:p>
    <w:p w14:paraId="5D5FD169" w14:textId="77777777" w:rsidR="006C4368" w:rsidRPr="003124AA" w:rsidRDefault="006C4368" w:rsidP="006C4368">
      <w:pPr>
        <w:pStyle w:val="a7"/>
        <w:bidi/>
        <w:rPr>
          <w:rFonts w:ascii="Narkisim" w:hAnsi="Narkisim"/>
        </w:rPr>
      </w:pPr>
      <w:r w:rsidRPr="003124AA">
        <w:rPr>
          <w:rFonts w:ascii="Narkisim" w:hAnsi="Narkisim"/>
          <w:rtl/>
        </w:rPr>
        <w:t>והגמ' (מא.) דוחה אימור דאמר ר"א היכא דלא חזיא בשעת נפילה, אבל היכא דחזיא בשעת נפילה שוב לא אמרי' נאסרה. אך הגמ' מביאה דמבואר בברייתא דר”א ס”ל נאסרה לאחר נפילה.</w:t>
      </w:r>
    </w:p>
    <w:p w14:paraId="3FF19B7C" w14:textId="77777777" w:rsidR="006C4368" w:rsidRPr="003124AA" w:rsidRDefault="006C4368" w:rsidP="006C4368">
      <w:pPr>
        <w:pStyle w:val="a8"/>
        <w:bidi/>
        <w:rPr>
          <w:rFonts w:ascii="Narkisim" w:hAnsi="Narkisim"/>
        </w:rPr>
      </w:pPr>
      <w:r w:rsidRPr="003124AA">
        <w:rPr>
          <w:rFonts w:ascii="Narkisim" w:hAnsi="Narkisim"/>
          <w:rtl/>
        </w:rPr>
        <w:t>והגמ' (שם) פי' דרבנן (דהכא) ס"ל דמשעת נפילה ואילך לא לא מיסתר עלייהו. ופ</w:t>
      </w:r>
      <w:r w:rsidRPr="003124AA">
        <w:rPr>
          <w:rFonts w:ascii="Narkisim" w:hAnsi="Narkisim"/>
          <w:b/>
          <w:bCs/>
          <w:rtl/>
        </w:rPr>
        <w:t>רש"י</w:t>
      </w:r>
      <w:r w:rsidRPr="003124AA">
        <w:rPr>
          <w:rFonts w:ascii="Narkisim" w:hAnsi="Narkisim"/>
          <w:rtl/>
        </w:rPr>
        <w:t xml:space="preserve"> דאיסור שבחיי אחיו ל"מ השתא, דליכא למימר אין אני קורא בה בשעת נפילה, דלאו שעת נפילה היא</w:t>
      </w:r>
      <w:r w:rsidRPr="003124AA">
        <w:rPr>
          <w:rStyle w:val="ac"/>
          <w:rFonts w:ascii="Narkisim" w:hAnsi="Narkisim"/>
          <w:rtl/>
        </w:rPr>
        <w:footnoteReference w:id="7134"/>
      </w:r>
      <w:r w:rsidRPr="003124AA">
        <w:rPr>
          <w:rFonts w:ascii="Narkisim" w:hAnsi="Narkisim"/>
          <w:rtl/>
        </w:rPr>
        <w:t>. [משא"כ היכא דנאסרה לאחר נפילה, הרי בשעת זיקת יבום אין קורא בה יבמה יבא עליה].</w:t>
      </w:r>
    </w:p>
    <w:p w14:paraId="32E6C4EE" w14:textId="77777777" w:rsidR="006C4368" w:rsidRPr="003124AA" w:rsidRDefault="006C4368" w:rsidP="006C4368">
      <w:pPr>
        <w:pStyle w:val="a7"/>
        <w:bidi/>
        <w:rPr>
          <w:rFonts w:ascii="Narkisim" w:hAnsi="Narkisim"/>
        </w:rPr>
      </w:pPr>
      <w:r w:rsidRPr="003124AA">
        <w:rPr>
          <w:rFonts w:ascii="Narkisim" w:hAnsi="Narkisim"/>
          <w:rtl/>
        </w:rPr>
        <w:t>ומשמע בגמ' דסברת עיפה [אליבא דר' אלעזר] שייך לגדרי נאסרה ודרכי נועם דכל המסכת</w:t>
      </w:r>
      <w:r w:rsidRPr="003124AA">
        <w:rPr>
          <w:rStyle w:val="ac"/>
          <w:rFonts w:ascii="Narkisim" w:hAnsi="Narkisim"/>
          <w:rtl/>
        </w:rPr>
        <w:footnoteReference w:id="7135"/>
      </w:r>
      <w:r w:rsidRPr="003124AA">
        <w:rPr>
          <w:rFonts w:ascii="Narkisim" w:hAnsi="Narkisim"/>
          <w:rtl/>
        </w:rPr>
        <w:t xml:space="preserve"> (ע' תוס' לעיל ב. וכ”מ, ובגמ' לעיל פז:).</w:t>
      </w:r>
    </w:p>
    <w:p w14:paraId="5A1DB2FB"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(ז יב) פסק דכשנפלה לפניו אחות אשתו ואח"כ מתה אשתו אסורה עולמית, הואיל ונאסרה עליו בשעת נפילה. אבל המגרש את אשתו והחזירה ומת מותרת ליבם. ואע"פ שנאסרה עליו בחיי אחיו בשעה שגירשה, הרי חזרה להתירה. וכשמת אחיו בהתירה היתה עומדת. [משום דמיתה מפלת, וכרבנן. ולאפוקי ממ”ד נישואין מפילין דאמרי' נאסרה</w:t>
      </w:r>
      <w:r w:rsidRPr="003124AA">
        <w:rPr>
          <w:rStyle w:val="ac"/>
          <w:rFonts w:ascii="Narkisim" w:hAnsi="Narkisim"/>
          <w:rtl/>
        </w:rPr>
        <w:footnoteReference w:id="7136"/>
      </w:r>
      <w:r w:rsidRPr="003124AA">
        <w:rPr>
          <w:rFonts w:ascii="Narkisim" w:hAnsi="Narkisim"/>
          <w:rtl/>
        </w:rPr>
        <w:t>].</w:t>
      </w:r>
    </w:p>
    <w:p w14:paraId="40681CD4" w14:textId="77777777" w:rsidR="006C4368" w:rsidRPr="003124AA" w:rsidRDefault="006C4368" w:rsidP="006C4368">
      <w:pPr>
        <w:bidi/>
        <w:rPr>
          <w:rFonts w:ascii="Narkisim" w:hAnsi="Narkisim" w:cs="Narkisim"/>
        </w:rPr>
      </w:pPr>
      <w:r w:rsidRPr="003124AA">
        <w:rPr>
          <w:rFonts w:ascii="Narkisim" w:hAnsi="Narkisim" w:cs="Narkisim"/>
          <w:rtl/>
        </w:rPr>
        <w:t>ובגמ' (לעיל יג. ול:) מבואר דיש מ"ד</w:t>
      </w:r>
      <w:r w:rsidRPr="003124AA">
        <w:rPr>
          <w:rStyle w:val="ac"/>
          <w:rFonts w:ascii="Narkisim" w:hAnsi="Narkisim" w:cs="Narkisim"/>
          <w:rtl/>
        </w:rPr>
        <w:footnoteReference w:id="7137"/>
      </w:r>
      <w:r w:rsidRPr="003124AA">
        <w:rPr>
          <w:rFonts w:ascii="Narkisim" w:hAnsi="Narkisim" w:cs="Narkisim"/>
          <w:rtl/>
        </w:rPr>
        <w:t xml:space="preserve"> דערוה פוטרת צרתה, אפי' שנתגרשה הערוה קודם הנפילה ליבום (ודלא כמשנה לעיל ב:), דנישואין מפילין</w:t>
      </w:r>
      <w:r w:rsidRPr="003124AA">
        <w:rPr>
          <w:rStyle w:val="ac"/>
          <w:rFonts w:ascii="Narkisim" w:hAnsi="Narkisim" w:cs="Narkisim"/>
          <w:rtl/>
        </w:rPr>
        <w:footnoteReference w:id="7138"/>
      </w:r>
      <w:r w:rsidRPr="003124AA">
        <w:rPr>
          <w:rFonts w:ascii="Narkisim" w:hAnsi="Narkisim" w:cs="Narkisim"/>
          <w:rtl/>
        </w:rPr>
        <w:t>. [</w:t>
      </w:r>
      <w:r w:rsidRPr="003124AA">
        <w:rPr>
          <w:rFonts w:ascii="Narkisim" w:hAnsi="Narkisim" w:cs="Narkisim"/>
          <w:szCs w:val="20"/>
          <w:rtl/>
        </w:rPr>
        <w:t>ו</w:t>
      </w:r>
      <w:r w:rsidRPr="003124AA">
        <w:rPr>
          <w:rFonts w:ascii="Narkisim" w:hAnsi="Narkisim" w:cs="Narkisim"/>
          <w:b/>
          <w:bCs/>
          <w:szCs w:val="20"/>
          <w:rtl/>
        </w:rPr>
        <w:t>תוס</w:t>
      </w:r>
      <w:r w:rsidRPr="003124AA">
        <w:rPr>
          <w:rFonts w:ascii="Narkisim" w:hAnsi="Narkisim" w:cs="Narkisim"/>
          <w:szCs w:val="20"/>
          <w:rtl/>
        </w:rPr>
        <w:t>' (לעיל ל. ד"ה נאסרה) כת' דמהני רק להחשב צרת ערוה. ולא אמרי' דהוה כאילו כבר נפלה מחיים. ונתבאר לעיל</w:t>
      </w:r>
      <w:r w:rsidRPr="003124AA">
        <w:rPr>
          <w:rFonts w:ascii="Narkisim" w:hAnsi="Narkisim" w:cs="Narkisim"/>
          <w:rtl/>
        </w:rPr>
        <w:t>].</w:t>
      </w:r>
    </w:p>
    <w:p w14:paraId="7526BC17"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ה</w:t>
      </w:r>
      <w:r w:rsidRPr="003124AA">
        <w:rPr>
          <w:rFonts w:ascii="Narkisim" w:hAnsi="Narkisim" w:cs="Narkisim"/>
          <w:b/>
          <w:bCs/>
          <w:rtl/>
        </w:rPr>
        <w:t>קובה"ע</w:t>
      </w:r>
      <w:r w:rsidRPr="003124AA">
        <w:rPr>
          <w:rFonts w:ascii="Narkisim" w:hAnsi="Narkisim" w:cs="Narkisim"/>
          <w:rtl/>
        </w:rPr>
        <w:t xml:space="preserve"> (ו ג) כת' דמ”מ היו לו בנים ומתו בחייו מתייבמת לכו”ע</w:t>
      </w:r>
      <w:r w:rsidRPr="003124AA">
        <w:rPr>
          <w:rStyle w:val="ac"/>
          <w:rFonts w:ascii="Narkisim" w:hAnsi="Narkisim" w:cs="Narkisim"/>
          <w:rtl/>
        </w:rPr>
        <w:footnoteReference w:id="7139"/>
      </w:r>
      <w:r w:rsidRPr="003124AA">
        <w:rPr>
          <w:rFonts w:ascii="Narkisim" w:hAnsi="Narkisim" w:cs="Narkisim"/>
          <w:rtl/>
        </w:rPr>
        <w:t>, ולא אמרי' דבשעה שהיו בנים נאסרה ליבום. וביאר דמ”ד נישואין מפילין ס”ל דהנישואין הוה סיבת הנפילה ליבום, ומחיים יש סיבת נפילה וזיקה על הבא, אילו ימות בלא בנים [ואף שמחיים היו לו בנים]. אבל ודאי כו"ע מודו דל"ש זיקה כלל מחיים, ול”ש נאסרה. אלא דמהני להחשב צרת ערוה משעת סיבת הזיקה (וכדלעיל יג.).</w:t>
      </w:r>
    </w:p>
    <w:p w14:paraId="6A0ABEB5" w14:textId="77777777" w:rsidR="006C4368" w:rsidRPr="003124AA" w:rsidRDefault="006C4368" w:rsidP="006C4368">
      <w:pPr>
        <w:pStyle w:val="a7"/>
        <w:bidi/>
        <w:rPr>
          <w:rFonts w:ascii="Narkisim" w:hAnsi="Narkisim"/>
        </w:rPr>
      </w:pPr>
      <w:r w:rsidRPr="003124AA">
        <w:rPr>
          <w:rFonts w:ascii="Narkisim" w:hAnsi="Narkisim"/>
          <w:rtl/>
        </w:rPr>
        <w:t xml:space="preserve">וביאר (שם ו) דבגירש את אשתו, ע"י הגירושין נתבטל ממנה דין הנפילה שהיתה עומדת </w:t>
      </w:r>
      <w:r w:rsidRPr="003124AA">
        <w:rPr>
          <w:rFonts w:ascii="Narkisim" w:hAnsi="Narkisim"/>
          <w:rtl/>
        </w:rPr>
        <w:lastRenderedPageBreak/>
        <w:t>ליפול ליבום</w:t>
      </w:r>
      <w:r w:rsidRPr="003124AA">
        <w:rPr>
          <w:rStyle w:val="ac"/>
          <w:rFonts w:ascii="Narkisim" w:hAnsi="Narkisim"/>
          <w:rtl/>
        </w:rPr>
        <w:footnoteReference w:id="7140"/>
      </w:r>
      <w:r w:rsidRPr="003124AA">
        <w:rPr>
          <w:rFonts w:ascii="Narkisim" w:hAnsi="Narkisim"/>
          <w:rtl/>
        </w:rPr>
        <w:t>. וע"י שנתבטל דין הנפילה ליבום שייך דין נאסרה. אבל מה שהיו לו בנים לא נדחית סיבת היבום, דאף מתחילה דין הזיקה שאם ימות בלא בנים תזקק ליבום.</w:t>
      </w:r>
    </w:p>
    <w:p w14:paraId="39430570" w14:textId="77777777" w:rsidR="006C4368" w:rsidRPr="003124AA" w:rsidRDefault="006C4368" w:rsidP="006C4368">
      <w:pPr>
        <w:bidi/>
        <w:rPr>
          <w:rFonts w:ascii="Narkisim" w:hAnsi="Narkisim" w:cs="Narkisim"/>
        </w:rPr>
      </w:pPr>
      <w:r w:rsidRPr="003124AA">
        <w:rPr>
          <w:rFonts w:ascii="Narkisim" w:hAnsi="Narkisim" w:cs="Narkisim"/>
          <w:u w:val="single"/>
          <w:rtl/>
        </w:rPr>
        <w:t>שם. שעה א' באיסורא</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דהוה גרושת אחיו שהיא בכרת. בפשוטו משמע דיש כאן איסור מחודש דגרושת אחיו. דמצוות יבום מהני להתיר רק איסור אשת אח [שמת]</w:t>
      </w:r>
      <w:r w:rsidRPr="003124AA">
        <w:rPr>
          <w:rStyle w:val="ac"/>
          <w:rFonts w:ascii="Narkisim" w:hAnsi="Narkisim" w:cs="Narkisim"/>
          <w:rtl/>
        </w:rPr>
        <w:footnoteReference w:id="7141"/>
      </w:r>
      <w:r w:rsidRPr="003124AA">
        <w:rPr>
          <w:rFonts w:ascii="Narkisim" w:hAnsi="Narkisim" w:cs="Narkisim"/>
          <w:rtl/>
        </w:rPr>
        <w:t>, ול"מ להתיר איסור גרושת אחיו. [אך צ"ע היכן מצאנו איסור זה, ועוד דא"כ ל"ש כלל לגדרי נאסרה].</w:t>
      </w:r>
    </w:p>
    <w:p w14:paraId="5B3471CD"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(קובה"ע א ג) כת' דכוונת רש"י דלמ"ד נישואין מפילין צריך דתחילת האישות גורם למצוות יבום, ועי"ז יש היתר לאיסור אשת אח. וכיון דנאסרה מחמת האישות הראשון, מש"ה קאי עליה באיסור אשת אח משום אישות הראשון [שלא נפלה מחמתו ליבום], ולא סגי דיש מצוות יבום מחמת האישות השני. אבל רבנן ס"ל דהיתר אשת אח תלי בנפילה ליבום, ועי"ז מהני להתיר את כל האישות. וע"ע חי' ר' שמעון (טו ח,ט ויט).</w:t>
      </w:r>
    </w:p>
    <w:p w14:paraId="05FEB6B1" w14:textId="77777777" w:rsidR="006C4368" w:rsidRPr="003124AA" w:rsidRDefault="006C4368" w:rsidP="006C4368">
      <w:pPr>
        <w:pStyle w:val="a8"/>
        <w:bidi/>
        <w:rPr>
          <w:rFonts w:ascii="Narkisim" w:hAnsi="Narkisim"/>
        </w:rPr>
      </w:pPr>
      <w:r w:rsidRPr="003124AA">
        <w:rPr>
          <w:rFonts w:ascii="Narkisim" w:hAnsi="Narkisim"/>
          <w:rtl/>
        </w:rPr>
        <w:t>[ומבואר דמהני איסור אשת אח [באישות הראשון] לפטור מיבום, כיון דאישות זו אינה ראויה ליבום נחשב ערוה. וע"ע תוס' לעיל לב. ד"ה לא ומש"כ שם].</w:t>
      </w:r>
    </w:p>
    <w:p w14:paraId="17B36963"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אחרונים</w:t>
      </w:r>
      <w:r w:rsidRPr="003124AA">
        <w:rPr>
          <w:rFonts w:ascii="Narkisim" w:hAnsi="Narkisim" w:cs="Narkisim"/>
          <w:rtl/>
        </w:rPr>
        <w:t xml:space="preserve"> הק' דאף אי נימא דכל רגע מהנישואין זוקק ליבום, מ"מ השעה שנתגרשה אינו זוקק ליבום. א"כ מה איכפ"ל דבשעה זו היא גרושת אחיו. </w:t>
      </w:r>
      <w:r w:rsidRPr="003124AA">
        <w:rPr>
          <w:rFonts w:ascii="Narkisim" w:hAnsi="Narkisim" w:cs="Narkisim"/>
          <w:szCs w:val="20"/>
          <w:rtl/>
        </w:rPr>
        <w:t>[ואף אי שייך נאסרה בשעת סיבת הזיקה, בשעה שנתגרשה ליכא סיבת זיקה, ולא זיקה בפועל. ומה שייך בזה נאסרה]</w:t>
      </w:r>
      <w:r w:rsidRPr="003124AA">
        <w:rPr>
          <w:rFonts w:ascii="Narkisim" w:hAnsi="Narkisim" w:cs="Narkisim"/>
          <w:rtl/>
        </w:rPr>
        <w:t>.</w:t>
      </w:r>
    </w:p>
    <w:p w14:paraId="58DEC092" w14:textId="77777777" w:rsidR="006C4368" w:rsidRPr="003124AA" w:rsidRDefault="006C4368" w:rsidP="006C4368">
      <w:pPr>
        <w:pStyle w:val="a7"/>
        <w:bidi/>
        <w:rPr>
          <w:rFonts w:ascii="Narkisim" w:hAnsi="Narkisim"/>
        </w:rPr>
      </w:pPr>
      <w:r w:rsidRPr="003124AA">
        <w:rPr>
          <w:rFonts w:ascii="Narkisim" w:hAnsi="Narkisim"/>
          <w:rtl/>
        </w:rPr>
        <w:t>ומדברי ה</w:t>
      </w:r>
      <w:r w:rsidRPr="003124AA">
        <w:rPr>
          <w:rFonts w:ascii="Narkisim" w:hAnsi="Narkisim"/>
          <w:b/>
          <w:bCs/>
          <w:rtl/>
        </w:rPr>
        <w:t>קובה"ע</w:t>
      </w:r>
      <w:r w:rsidRPr="003124AA">
        <w:rPr>
          <w:rFonts w:ascii="Narkisim" w:hAnsi="Narkisim"/>
          <w:rtl/>
        </w:rPr>
        <w:t xml:space="preserve"> (ו ג הנ"ל) משמע דמ"מ היה עליה סיבת נפילה, ונדחית ממנה, ומש”ה שוב אינו חוזר וניעור. [ואף דבשעה שנדחית ליכא צד נפילה].</w:t>
      </w:r>
    </w:p>
    <w:p w14:paraId="748E976C" w14:textId="77777777" w:rsidR="006C4368" w:rsidRPr="003124AA" w:rsidRDefault="006C4368" w:rsidP="006C4368">
      <w:pPr>
        <w:pStyle w:val="a7"/>
        <w:bidi/>
        <w:rPr>
          <w:rFonts w:ascii="Narkisim" w:hAnsi="Narkisim"/>
        </w:rPr>
      </w:pPr>
      <w:r w:rsidRPr="003124AA">
        <w:rPr>
          <w:rFonts w:ascii="Narkisim" w:hAnsi="Narkisim"/>
          <w:rtl/>
        </w:rPr>
        <w:t xml:space="preserve">אך יש </w:t>
      </w:r>
      <w:r w:rsidRPr="003124AA">
        <w:rPr>
          <w:rFonts w:ascii="Narkisim" w:hAnsi="Narkisim"/>
          <w:b/>
          <w:bCs/>
          <w:rtl/>
        </w:rPr>
        <w:t>אחרונים</w:t>
      </w:r>
      <w:r w:rsidRPr="003124AA">
        <w:rPr>
          <w:rFonts w:ascii="Narkisim" w:hAnsi="Narkisim"/>
          <w:rtl/>
        </w:rPr>
        <w:t xml:space="preserve"> שנקטו דנישואין מפילין בסוגיין הוה סברא בהיתר אשת אחר, ול"ש לגדרי 'נאסרה'. וה</w:t>
      </w:r>
      <w:r w:rsidRPr="003124AA">
        <w:rPr>
          <w:rFonts w:ascii="Narkisim" w:hAnsi="Narkisim"/>
          <w:b/>
          <w:bCs/>
          <w:rtl/>
        </w:rPr>
        <w:t>חזו"א</w:t>
      </w:r>
      <w:r w:rsidRPr="003124AA">
        <w:rPr>
          <w:rFonts w:ascii="Narkisim" w:hAnsi="Narkisim"/>
          <w:rtl/>
        </w:rPr>
        <w:t xml:space="preserve"> (קלא ז) כתב דנישואין מפילין דסוגיין לא הוה מטעם נאסרה, אלא משום דהאישות שקודם הגירושין אינה גורם לדין יבום, ולמ"ד נישואין מפילין אין היתר ליבום אא"כ כל האישות גורם להיתר. [וצ"ע מהגמ' לעיל מא.].</w:t>
      </w:r>
    </w:p>
    <w:p w14:paraId="1D540A24" w14:textId="77777777" w:rsidR="006C4368" w:rsidRPr="003124AA" w:rsidRDefault="006C4368" w:rsidP="006C4368">
      <w:pPr>
        <w:bidi/>
        <w:rPr>
          <w:rFonts w:ascii="Narkisim" w:hAnsi="Narkisim" w:cs="Narkisim"/>
        </w:rPr>
      </w:pPr>
      <w:r w:rsidRPr="003124AA">
        <w:rPr>
          <w:rFonts w:ascii="Narkisim" w:hAnsi="Narkisim" w:cs="Narkisim"/>
          <w:u w:val="single"/>
          <w:rtl/>
        </w:rPr>
        <w:t>רב אשי אמר ה”ט דר”א דגזר הני משום יתומה בחיי האב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דאמרי' במתני' דל"מ חזרתה, ועדיין היא גרושה [מדאורייתא]. ופ</w:t>
      </w:r>
      <w:r w:rsidRPr="003124AA">
        <w:rPr>
          <w:rFonts w:ascii="Narkisim" w:hAnsi="Narkisim" w:cs="Narkisim"/>
          <w:b/>
          <w:bCs/>
          <w:rtl/>
        </w:rPr>
        <w:t>רש”י</w:t>
      </w:r>
      <w:r w:rsidRPr="003124AA">
        <w:rPr>
          <w:rFonts w:ascii="Narkisim" w:hAnsi="Narkisim" w:cs="Narkisim"/>
          <w:rtl/>
        </w:rPr>
        <w:t xml:space="preserve"> במשנה אם מת בקטנותה, ואפי' רבנן מודו. [ור"א ס"ל דאפי' גדולה שנתגרשה גזרו משום קטנה, שהחזירה ומת בקטנותה]. דאילו גדלה אצלו קנאה מדאורייתא, וכדאי' בברייתא בסמוך.</w:t>
      </w:r>
    </w:p>
    <w:p w14:paraId="3C15BCF4" w14:textId="77777777" w:rsidR="006C4368" w:rsidRPr="003124AA" w:rsidRDefault="006C4368" w:rsidP="006C4368">
      <w:pPr>
        <w:pStyle w:val="a7"/>
        <w:bidi/>
        <w:rPr>
          <w:rFonts w:ascii="Narkisim" w:hAnsi="Narkisim"/>
        </w:rPr>
      </w:pPr>
      <w:r w:rsidRPr="003124AA">
        <w:rPr>
          <w:rFonts w:ascii="Narkisim" w:hAnsi="Narkisim"/>
          <w:rtl/>
        </w:rPr>
        <w:t>אבל ה</w:t>
      </w:r>
      <w:r w:rsidRPr="003124AA">
        <w:rPr>
          <w:rFonts w:ascii="Narkisim" w:hAnsi="Narkisim"/>
          <w:b/>
          <w:bCs/>
          <w:rtl/>
        </w:rPr>
        <w:t>ריטב"א</w:t>
      </w:r>
      <w:r w:rsidRPr="003124AA">
        <w:rPr>
          <w:rFonts w:ascii="Narkisim" w:hAnsi="Narkisim"/>
          <w:rtl/>
        </w:rPr>
        <w:t xml:space="preserve"> (בסמוך, והרמב"ן כתובות עד.) כת' דר' אלעזר גזר אטו היכא דהחזירה בקטנותה וגדלה אצלו. ור"א סבר דבועל ע”ד קידושין הראשונים (וכשמואל לקמן קי.), ולא הוה אשתו מדאורייתא. ומש”ה גזר אף כשהחזירה לאחר שגדלה אטו החזירה קטנה וגדלה אצלו, דהוה גזירה גדולה אטו גדולה. אבל ל"ש לגזור גדולה אטו קטנה, דידעי דקידושי קטנה ל"מ.</w:t>
      </w:r>
    </w:p>
    <w:p w14:paraId="28FEA71F" w14:textId="77777777" w:rsidR="006C4368" w:rsidRPr="003124AA" w:rsidRDefault="006C4368" w:rsidP="006C4368">
      <w:pPr>
        <w:bidi/>
        <w:rPr>
          <w:rFonts w:ascii="Narkisim" w:hAnsi="Narkisim" w:cs="Narkisim"/>
        </w:rPr>
      </w:pPr>
      <w:r w:rsidRPr="003124AA">
        <w:rPr>
          <w:rFonts w:ascii="Narkisim" w:hAnsi="Narkisim" w:cs="Narkisim"/>
          <w:u w:val="single"/>
          <w:rtl/>
        </w:rPr>
        <w:t>א"נ החזירה כשהיא קטנה וגדלה אצלו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אמרי' סתם ביאה ראשונה משגדלה אצלו הן קידושין. והגמ' (כתובות עג:) הביאה מברייתא זו דת"ק ס"ל דכל היכא דלא חלו קידושין אמרי' דנתכוון לקידושי ביאה</w:t>
      </w:r>
      <w:r w:rsidRPr="003124AA">
        <w:rPr>
          <w:rStyle w:val="ac"/>
          <w:rFonts w:ascii="Narkisim" w:hAnsi="Narkisim" w:cs="Narkisim"/>
          <w:rtl/>
        </w:rPr>
        <w:footnoteReference w:id="7142"/>
      </w:r>
      <w:r w:rsidRPr="003124AA">
        <w:rPr>
          <w:rFonts w:ascii="Narkisim" w:hAnsi="Narkisim" w:cs="Narkisim"/>
          <w:rtl/>
        </w:rPr>
        <w:t>. והגמ' דוחה דאדם יודע שאין קידושי קטנה כלום, ובעל לשם קידושין</w:t>
      </w:r>
      <w:r w:rsidRPr="003124AA">
        <w:rPr>
          <w:rStyle w:val="ac"/>
          <w:rFonts w:ascii="Narkisim" w:hAnsi="Narkisim" w:cs="Narkisim"/>
          <w:rtl/>
        </w:rPr>
        <w:footnoteReference w:id="7143"/>
      </w:r>
      <w:r w:rsidRPr="003124AA">
        <w:rPr>
          <w:rFonts w:ascii="Narkisim" w:hAnsi="Narkisim" w:cs="Narkisim"/>
          <w:rtl/>
        </w:rPr>
        <w:t>.</w:t>
      </w:r>
    </w:p>
    <w:p w14:paraId="4C5E18DE" w14:textId="77777777" w:rsidR="006C4368" w:rsidRPr="003124AA" w:rsidRDefault="006C4368" w:rsidP="006C4368">
      <w:pPr>
        <w:pStyle w:val="a7"/>
        <w:bidi/>
        <w:rPr>
          <w:rFonts w:ascii="Narkisim" w:hAnsi="Narkisim"/>
        </w:rPr>
      </w:pPr>
      <w:r w:rsidRPr="003124AA">
        <w:rPr>
          <w:rFonts w:ascii="Narkisim" w:hAnsi="Narkisim"/>
          <w:rtl/>
        </w:rPr>
        <w:t>ובגמ' (שם, ולקמן קי.) נח' רב ושמואל בכה"ג אי צריכה גט. ו</w:t>
      </w:r>
      <w:r w:rsidRPr="003124AA">
        <w:rPr>
          <w:rFonts w:ascii="Narkisim" w:hAnsi="Narkisim"/>
          <w:b/>
          <w:bCs/>
          <w:rtl/>
        </w:rPr>
        <w:t>תוס</w:t>
      </w:r>
      <w:r w:rsidRPr="003124AA">
        <w:rPr>
          <w:rFonts w:ascii="Narkisim" w:hAnsi="Narkisim"/>
          <w:rtl/>
        </w:rPr>
        <w:t>' (לקמן קי. ד”ה קסבר) כת' דשמואל ס”ל כאידך תנא [עי”ש].</w:t>
      </w:r>
    </w:p>
    <w:p w14:paraId="50ECD6DD" w14:textId="77777777" w:rsidR="006C4368" w:rsidRPr="003124AA" w:rsidRDefault="006C4368" w:rsidP="006C4368">
      <w:pPr>
        <w:bidi/>
        <w:rPr>
          <w:rFonts w:ascii="Narkisim" w:hAnsi="Narkisim" w:cs="Narkisim"/>
        </w:rPr>
      </w:pPr>
      <w:r w:rsidRPr="003124AA">
        <w:rPr>
          <w:rFonts w:ascii="Narkisim" w:hAnsi="Narkisim" w:cs="Narkisim"/>
          <w:rtl/>
        </w:rPr>
        <w:lastRenderedPageBreak/>
        <w:t>וה</w:t>
      </w:r>
      <w:r w:rsidRPr="003124AA">
        <w:rPr>
          <w:rFonts w:ascii="Narkisim" w:hAnsi="Narkisim" w:cs="Narkisim"/>
          <w:b/>
          <w:bCs/>
          <w:rtl/>
        </w:rPr>
        <w:t>ריטב"א</w:t>
      </w:r>
      <w:r w:rsidRPr="003124AA">
        <w:rPr>
          <w:rFonts w:ascii="Narkisim" w:hAnsi="Narkisim" w:cs="Narkisim"/>
          <w:rtl/>
        </w:rPr>
        <w:t xml:space="preserve"> (כאן) וה</w:t>
      </w:r>
      <w:r w:rsidRPr="003124AA">
        <w:rPr>
          <w:rFonts w:ascii="Narkisim" w:hAnsi="Narkisim" w:cs="Narkisim"/>
          <w:b/>
          <w:bCs/>
          <w:rtl/>
        </w:rPr>
        <w:t>רמב"ן</w:t>
      </w:r>
      <w:r w:rsidRPr="003124AA">
        <w:rPr>
          <w:rFonts w:ascii="Narkisim" w:hAnsi="Narkisim" w:cs="Narkisim"/>
          <w:rtl/>
        </w:rPr>
        <w:t xml:space="preserve"> (כתובות עד. הנ”ל) כת' דר"א פליג בזה, וס"ל דע"ד קידושין הראשונים בועל.</w:t>
      </w:r>
    </w:p>
    <w:p w14:paraId="28FBAA70" w14:textId="77777777" w:rsidR="006C4368" w:rsidRPr="003124AA" w:rsidRDefault="006C4368" w:rsidP="006C4368">
      <w:pPr>
        <w:pStyle w:val="a8"/>
        <w:bidi/>
        <w:rPr>
          <w:rFonts w:ascii="Narkisim" w:hAnsi="Narkisim"/>
        </w:rPr>
      </w:pPr>
      <w:r w:rsidRPr="003124AA">
        <w:rPr>
          <w:rFonts w:ascii="Narkisim" w:hAnsi="Narkisim"/>
          <w:rtl/>
        </w:rPr>
        <w:t>והגמ' (כתובות עד.) הו' ברייתא זו, והגמ' פי' דפליגי דמר סבר אדם יודע שאין קידושי קטנה כלום, ומר סבר אין אדם יודע. ו</w:t>
      </w:r>
      <w:r w:rsidRPr="003124AA">
        <w:rPr>
          <w:rFonts w:ascii="Narkisim" w:hAnsi="Narkisim"/>
          <w:b/>
          <w:bCs/>
          <w:rtl/>
        </w:rPr>
        <w:t>רש"י</w:t>
      </w:r>
      <w:r w:rsidRPr="003124AA">
        <w:rPr>
          <w:rFonts w:ascii="Narkisim" w:hAnsi="Narkisim"/>
          <w:rtl/>
        </w:rPr>
        <w:t xml:space="preserve"> (כתובות) מחק גירסא זו, דר"א פליג דגזרו אף החזירה כשהיא גדולה. ולא מצאנו דפליג כשגדלה אצלו [אי מהני מדאורייתא].</w:t>
      </w:r>
    </w:p>
    <w:p w14:paraId="59C64F78" w14:textId="77777777" w:rsidR="006C4368" w:rsidRPr="003124AA" w:rsidRDefault="006C4368" w:rsidP="006C4368">
      <w:pPr>
        <w:pStyle w:val="a8"/>
        <w:bidi/>
        <w:rPr>
          <w:rFonts w:ascii="Narkisim" w:hAnsi="Narkisim"/>
        </w:rPr>
      </w:pPr>
      <w:r w:rsidRPr="003124AA">
        <w:rPr>
          <w:rFonts w:ascii="Narkisim" w:hAnsi="Narkisim"/>
          <w:rtl/>
        </w:rPr>
        <w:t xml:space="preserve"> וה</w:t>
      </w:r>
      <w:r w:rsidRPr="003124AA">
        <w:rPr>
          <w:rFonts w:ascii="Narkisim" w:hAnsi="Narkisim"/>
          <w:b/>
          <w:bCs/>
          <w:rtl/>
        </w:rPr>
        <w:t>רמב"ן</w:t>
      </w:r>
      <w:r w:rsidRPr="003124AA">
        <w:rPr>
          <w:rFonts w:ascii="Narkisim" w:hAnsi="Narkisim"/>
          <w:rtl/>
        </w:rPr>
        <w:t xml:space="preserve"> תי' דזה שורש המח' ר"א ורבנן בסוגיין, דר"א סבר דאף כשהחזירה כשהיא קטנה וגדלה אצלו ל"ק מדאורייתא [דאינו יודע דל"מ קידושי קטנה, ואינו בועל ע"ד קידושין]. ומש"ה ר"א גזר החזירה כשהיא גדולה אטו החזירה כשהיא קטנה וגדלה אצלו. [אבל ל"ש גזירה אטו מת בעודה קטנה, דלא גזרו גדולה אטו קטנה]. והביא דכ"כ הראב"ד (וכ"ה בראב"ד כתוב שם כאן).</w:t>
      </w:r>
    </w:p>
    <w:p w14:paraId="27E3A50F" w14:textId="77777777" w:rsidR="006C4368" w:rsidRPr="003124AA" w:rsidRDefault="006C4368" w:rsidP="006C4368">
      <w:pPr>
        <w:bidi/>
        <w:rPr>
          <w:rFonts w:ascii="Narkisim" w:hAnsi="Narkisim" w:cs="Narkisim"/>
        </w:rPr>
      </w:pPr>
      <w:r w:rsidRPr="003124AA">
        <w:rPr>
          <w:rFonts w:ascii="Narkisim" w:hAnsi="Narkisim" w:cs="Narkisim"/>
          <w:u w:val="single"/>
          <w:rtl/>
        </w:rPr>
        <w:t>בעא מיניה רבא מר"נ צרתה מהו וכו' או חולצת או מתייבמת</w:t>
      </w:r>
      <w:r w:rsidRPr="003124AA">
        <w:rPr>
          <w:rFonts w:ascii="Narkisim" w:hAnsi="Narkisim" w:cs="Narkisim"/>
          <w:rtl/>
        </w:rPr>
        <w:t>. ובסוגיין קאי אליבא דר"א, דגזירה אטו יתומה בחיי האב. ועל הצרה לא גזרו.</w:t>
      </w:r>
    </w:p>
    <w:p w14:paraId="633FEA97"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ראב"ד</w:t>
      </w:r>
      <w:r w:rsidRPr="003124AA">
        <w:rPr>
          <w:rFonts w:ascii="Narkisim" w:hAnsi="Narkisim"/>
          <w:rtl/>
        </w:rPr>
        <w:t xml:space="preserve"> (ס' הזכות, וכ”ד בעה”מ) כת' דמ"מ ביתומה בחיי האב (בסיפא דמתני') היא ערוה מדאורייתא, ומש"ה אף צרתה חולצת ולא מתייבמת</w:t>
      </w:r>
      <w:r w:rsidRPr="003124AA">
        <w:rPr>
          <w:rStyle w:val="ac"/>
          <w:rFonts w:ascii="Narkisim" w:hAnsi="Narkisim"/>
          <w:rtl/>
        </w:rPr>
        <w:footnoteReference w:id="7144"/>
      </w:r>
      <w:r w:rsidRPr="003124AA">
        <w:rPr>
          <w:rFonts w:ascii="Narkisim" w:hAnsi="Narkisim"/>
          <w:rtl/>
        </w:rPr>
        <w:t>. [וספק הגמ' דוקא לר"א בגזירה אטו, דהוה גזירה לגזירה].</w:t>
      </w:r>
    </w:p>
    <w:p w14:paraId="2617A143"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ק"נ</w:t>
      </w:r>
      <w:r w:rsidRPr="003124AA">
        <w:rPr>
          <w:rFonts w:ascii="Narkisim" w:hAnsi="Narkisim"/>
          <w:rtl/>
        </w:rPr>
        <w:t xml:space="preserve"> (ס) כת' דיל"פ טענת הראב"ד מב' טעמים, משום דהוה ערוה [דגרושת אחיו] ופוטרת צרתה</w:t>
      </w:r>
      <w:r w:rsidRPr="003124AA">
        <w:rPr>
          <w:rStyle w:val="ac"/>
          <w:rFonts w:ascii="Narkisim" w:hAnsi="Narkisim"/>
          <w:rtl/>
        </w:rPr>
        <w:footnoteReference w:id="7145"/>
      </w:r>
      <w:r w:rsidRPr="003124AA">
        <w:rPr>
          <w:rFonts w:ascii="Narkisim" w:hAnsi="Narkisim"/>
          <w:rtl/>
        </w:rPr>
        <w:t>. או משום גזירה.</w:t>
      </w:r>
    </w:p>
    <w:p w14:paraId="73924B39" w14:textId="77777777" w:rsidR="006C4368" w:rsidRPr="003124AA" w:rsidRDefault="006C4368" w:rsidP="006C4368">
      <w:pPr>
        <w:bidi/>
        <w:rPr>
          <w:rFonts w:ascii="Narkisim" w:hAnsi="Narkisim" w:cs="Narkisim"/>
        </w:rPr>
      </w:pPr>
      <w:r w:rsidRPr="003124AA">
        <w:rPr>
          <w:rFonts w:ascii="Narkisim" w:hAnsi="Narkisim" w:cs="Narkisim"/>
          <w:rtl/>
        </w:rPr>
        <w:t>אבל ה</w:t>
      </w:r>
      <w:r w:rsidRPr="003124AA">
        <w:rPr>
          <w:rFonts w:ascii="Narkisim" w:hAnsi="Narkisim" w:cs="Narkisim"/>
          <w:b/>
          <w:bCs/>
          <w:rtl/>
        </w:rPr>
        <w:t>רי"ף</w:t>
      </w:r>
      <w:r w:rsidRPr="003124AA">
        <w:rPr>
          <w:rStyle w:val="ac"/>
          <w:rFonts w:ascii="Narkisim" w:hAnsi="Narkisim" w:cs="Narkisim"/>
          <w:rtl/>
        </w:rPr>
        <w:footnoteReference w:id="7146"/>
      </w:r>
      <w:r w:rsidRPr="003124AA">
        <w:rPr>
          <w:rFonts w:ascii="Narkisim" w:hAnsi="Narkisim" w:cs="Narkisim"/>
          <w:rtl/>
        </w:rPr>
        <w:t xml:space="preserve"> כת' דה"ה לצרתה של יתומה בחיי האב לרבנן, דאו חולצת או מתייבמת. והראב"ד ובעה"מ השיגו דאינה מתייבמת. וה</w:t>
      </w:r>
      <w:r w:rsidRPr="003124AA">
        <w:rPr>
          <w:rFonts w:ascii="Narkisim" w:hAnsi="Narkisim" w:cs="Narkisim"/>
          <w:b/>
          <w:bCs/>
          <w:rtl/>
        </w:rPr>
        <w:t>רמב"ן</w:t>
      </w:r>
      <w:r w:rsidRPr="003124AA">
        <w:rPr>
          <w:rFonts w:ascii="Narkisim" w:hAnsi="Narkisim" w:cs="Narkisim"/>
          <w:rtl/>
        </w:rPr>
        <w:t xml:space="preserve"> (ס' הזכות ומלחמות) ביאר דרבנן ס"ל דאדם יודע שאין קידושי קטנה כלום [וכדאי' כתובות עד.]. ומש"ה לא גזרו לצרתה. ועוד אין לחוש שכל קטנה וגדולה דרכן של מיבמין בגדולה ואין דרכן בקטנה. והביא כן מהמשנה (לקמן קיא:).</w:t>
      </w:r>
    </w:p>
    <w:p w14:paraId="4E5CB946"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רא"ש</w:t>
      </w:r>
      <w:r w:rsidRPr="003124AA">
        <w:rPr>
          <w:rFonts w:ascii="Narkisim" w:hAnsi="Narkisim"/>
          <w:rtl/>
        </w:rPr>
        <w:t xml:space="preserve"> כת' [ליישב דברי הרי"ף] דשאני ערוה זו דאי גדלה אצלה יש לה היתר</w:t>
      </w:r>
      <w:r w:rsidRPr="003124AA">
        <w:rPr>
          <w:rStyle w:val="ac"/>
          <w:rFonts w:ascii="Narkisim" w:hAnsi="Narkisim"/>
          <w:rtl/>
        </w:rPr>
        <w:footnoteReference w:id="7147"/>
      </w:r>
      <w:r w:rsidRPr="003124AA">
        <w:rPr>
          <w:rFonts w:ascii="Narkisim" w:hAnsi="Narkisim"/>
          <w:rtl/>
        </w:rPr>
        <w:t>. ולרבנן לא גזרו כשגדלה אצלו, ומש"ה כ"ש דלא גזרו בצרתה.</w:t>
      </w:r>
    </w:p>
    <w:p w14:paraId="563C9E1A" w14:textId="77777777" w:rsidR="006C4368" w:rsidRPr="003124AA" w:rsidRDefault="006C4368" w:rsidP="006C4368">
      <w:pPr>
        <w:pStyle w:val="aa"/>
        <w:bidi/>
        <w:rPr>
          <w:rFonts w:ascii="Narkisim" w:hAnsi="Narkisim"/>
        </w:rPr>
      </w:pPr>
      <w:r w:rsidRPr="003124AA">
        <w:rPr>
          <w:rFonts w:ascii="Narkisim" w:hAnsi="Narkisim"/>
          <w:rtl/>
        </w:rPr>
        <w:t>וב</w:t>
      </w:r>
      <w:r w:rsidRPr="003124AA">
        <w:rPr>
          <w:rFonts w:ascii="Narkisim" w:hAnsi="Narkisim"/>
          <w:b/>
          <w:bCs/>
          <w:rtl/>
        </w:rPr>
        <w:t>ס' הזכות</w:t>
      </w:r>
      <w:r w:rsidRPr="003124AA">
        <w:rPr>
          <w:rFonts w:ascii="Narkisim" w:hAnsi="Narkisim"/>
          <w:rtl/>
        </w:rPr>
        <w:t xml:space="preserve"> הביא דנח' בזה בירושלמי, ור' אבא בר ממל ביאר הצד דמותרת, דמה נפשך צד שקנה בה כנגדו מותר בצרה. צד שלא קנה בה כנגדו הותר בצרה. ור' שמאי השיג וכי יש מה נפשך בעריות. כל יבמה שאינה כולה לחוץ צד הקנוי בה ידון משום ערוה. והביא דבגמ' (לקמן קי:) מבואר דקידושי קטנה קנויה ואינה קנויה, ואמרי' ממ"נ בעריות</w:t>
      </w:r>
      <w:r w:rsidRPr="003124AA">
        <w:rPr>
          <w:rStyle w:val="ac"/>
          <w:rFonts w:ascii="Narkisim" w:hAnsi="Narkisim"/>
          <w:rtl/>
        </w:rPr>
        <w:footnoteReference w:id="7148"/>
      </w:r>
      <w:r w:rsidRPr="003124AA">
        <w:rPr>
          <w:rFonts w:ascii="Narkisim" w:hAnsi="Narkisim"/>
          <w:rtl/>
        </w:rPr>
        <w:t>.</w:t>
      </w:r>
    </w:p>
    <w:p w14:paraId="6E8A25F5" w14:textId="77777777" w:rsidR="006C4368" w:rsidRPr="003124AA" w:rsidRDefault="006C4368" w:rsidP="006C4368">
      <w:pPr>
        <w:pStyle w:val="2"/>
        <w:bidi/>
        <w:rPr>
          <w:rFonts w:ascii="Narkisim" w:hAnsi="Narkisim"/>
        </w:rPr>
      </w:pPr>
      <w:r w:rsidRPr="003124AA">
        <w:rPr>
          <w:rFonts w:ascii="Narkisim" w:hAnsi="Narkisim"/>
          <w:rtl/>
        </w:rPr>
        <w:t>פטור ערוה בנישואין דרבנן</w:t>
      </w:r>
    </w:p>
    <w:p w14:paraId="44DF1207" w14:textId="77777777" w:rsidR="006C4368" w:rsidRPr="003124AA" w:rsidRDefault="006C4368" w:rsidP="006C4368">
      <w:pPr>
        <w:bidi/>
        <w:rPr>
          <w:rFonts w:ascii="Narkisim" w:hAnsi="Narkisim" w:cs="Narkisim"/>
        </w:rPr>
      </w:pPr>
      <w:r w:rsidRPr="003124AA">
        <w:rPr>
          <w:rFonts w:ascii="Narkisim" w:hAnsi="Narkisim" w:cs="Narkisim"/>
          <w:u w:val="single"/>
          <w:rtl/>
        </w:rPr>
        <w:t>ב' אחים נשואין לב' אחיות קטנות וכו' תצא משום אחות אשה, וכן ב' חרשות וכו'</w:t>
      </w:r>
      <w:r w:rsidRPr="003124AA">
        <w:rPr>
          <w:rFonts w:ascii="Narkisim" w:hAnsi="Narkisim" w:cs="Narkisim"/>
          <w:rtl/>
        </w:rPr>
        <w:t>. ואף דהוה רק איסור אחות אשה דרבנן, דכיון דאישות של שניהם שווה יש בזה גדר פטור ערוה. [וע"ע לקמן קי:].</w:t>
      </w:r>
    </w:p>
    <w:p w14:paraId="3CC37148" w14:textId="77777777" w:rsidR="006C4368" w:rsidRPr="003124AA" w:rsidRDefault="006C4368" w:rsidP="006C4368">
      <w:pPr>
        <w:bidi/>
        <w:rPr>
          <w:rFonts w:ascii="Narkisim" w:hAnsi="Narkisim" w:cs="Narkisim"/>
        </w:rPr>
      </w:pPr>
      <w:r w:rsidRPr="003124AA">
        <w:rPr>
          <w:rFonts w:ascii="Narkisim" w:hAnsi="Narkisim" w:cs="Narkisim"/>
          <w:rtl/>
        </w:rPr>
        <w:t>ה</w:t>
      </w:r>
      <w:r w:rsidRPr="003124AA">
        <w:rPr>
          <w:rFonts w:ascii="Narkisim" w:hAnsi="Narkisim" w:cs="Narkisim"/>
          <w:b/>
          <w:bCs/>
          <w:rtl/>
        </w:rPr>
        <w:t>רש"ש</w:t>
      </w:r>
      <w:r w:rsidRPr="003124AA">
        <w:rPr>
          <w:rFonts w:ascii="Narkisim" w:hAnsi="Narkisim" w:cs="Narkisim"/>
          <w:rtl/>
        </w:rPr>
        <w:t xml:space="preserve"> נסתפק קטנה או חרשת שנפלה ליבום לפני איסור שניות. האם אמרי' דאתי ערוה דרבנן ומפקע זיקה דרבנן</w:t>
      </w:r>
      <w:r w:rsidRPr="003124AA">
        <w:rPr>
          <w:rStyle w:val="ac"/>
          <w:rFonts w:ascii="Narkisim" w:hAnsi="Narkisim" w:cs="Narkisim"/>
          <w:rtl/>
        </w:rPr>
        <w:footnoteReference w:id="7149"/>
      </w:r>
      <w:r w:rsidRPr="003124AA">
        <w:rPr>
          <w:rFonts w:ascii="Narkisim" w:hAnsi="Narkisim" w:cs="Narkisim"/>
          <w:rtl/>
        </w:rPr>
        <w:t xml:space="preserve"> ואי"צ חליצה. וה</w:t>
      </w:r>
      <w:r w:rsidRPr="003124AA">
        <w:rPr>
          <w:rFonts w:ascii="Narkisim" w:hAnsi="Narkisim" w:cs="Narkisim"/>
          <w:b/>
          <w:bCs/>
          <w:rtl/>
        </w:rPr>
        <w:t>רש"ש</w:t>
      </w:r>
      <w:r w:rsidRPr="003124AA">
        <w:rPr>
          <w:rFonts w:ascii="Narkisim" w:hAnsi="Narkisim" w:cs="Narkisim"/>
          <w:rtl/>
        </w:rPr>
        <w:t xml:space="preserve"> (קח:) כת' דלפ"ז בגמ' (שם) דדנו באשת </w:t>
      </w:r>
      <w:r w:rsidRPr="003124AA">
        <w:rPr>
          <w:rFonts w:ascii="Narkisim" w:hAnsi="Narkisim" w:cs="Narkisim"/>
          <w:rtl/>
        </w:rPr>
        <w:lastRenderedPageBreak/>
        <w:t>אחיו מאמו שנפלה ליבום שתמאן, לא היתה זקוקה לו כלל לולי המיאון. דשניות דרבנן מפקע נפילה דרבנן</w:t>
      </w:r>
      <w:r w:rsidRPr="003124AA">
        <w:rPr>
          <w:rStyle w:val="ac"/>
          <w:rFonts w:ascii="Narkisim" w:hAnsi="Narkisim" w:cs="Narkisim"/>
          <w:rtl/>
        </w:rPr>
        <w:footnoteReference w:id="7150"/>
      </w:r>
      <w:r w:rsidRPr="003124AA">
        <w:rPr>
          <w:rFonts w:ascii="Narkisim" w:hAnsi="Narkisim" w:cs="Narkisim"/>
          <w:rtl/>
        </w:rPr>
        <w:t>.</w:t>
      </w:r>
    </w:p>
    <w:p w14:paraId="30DDAFB9"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רש"ש</w:t>
      </w:r>
      <w:r w:rsidRPr="003124AA">
        <w:rPr>
          <w:rFonts w:ascii="Narkisim" w:hAnsi="Narkisim"/>
          <w:rtl/>
        </w:rPr>
        <w:t xml:space="preserve"> כת' דאין ראיה ממתני' דהכא דאיסור אחות אשה דרבנן מפקע אישות דרבנן, דהוה מאותו שם, ומש”ה אמרי' ממ”נ.</w:t>
      </w:r>
    </w:p>
    <w:p w14:paraId="43AB1A82" w14:textId="77777777" w:rsidR="006C4368" w:rsidRPr="003124AA" w:rsidRDefault="006C4368" w:rsidP="006C4368">
      <w:pPr>
        <w:pStyle w:val="a7"/>
        <w:bidi/>
        <w:rPr>
          <w:rFonts w:ascii="Narkisim" w:hAnsi="Narkisim"/>
        </w:rPr>
      </w:pPr>
      <w:r w:rsidRPr="003124AA">
        <w:rPr>
          <w:rFonts w:ascii="Narkisim" w:hAnsi="Narkisim"/>
          <w:rtl/>
        </w:rPr>
        <w:t>וכן נסתפק ה</w:t>
      </w:r>
      <w:r w:rsidRPr="003124AA">
        <w:rPr>
          <w:rFonts w:ascii="Narkisim" w:hAnsi="Narkisim"/>
          <w:b/>
          <w:bCs/>
          <w:rtl/>
        </w:rPr>
        <w:t>או”ש</w:t>
      </w:r>
      <w:r w:rsidRPr="003124AA">
        <w:rPr>
          <w:rFonts w:ascii="Narkisim" w:hAnsi="Narkisim"/>
          <w:rtl/>
        </w:rPr>
        <w:t xml:space="preserve"> (יבום ו ז), והאריך להביא כמה סוגיות אי אמרי' ממ"נ או לא</w:t>
      </w:r>
      <w:r w:rsidRPr="003124AA">
        <w:rPr>
          <w:rStyle w:val="ac"/>
          <w:rFonts w:ascii="Narkisim" w:hAnsi="Narkisim"/>
          <w:rtl/>
        </w:rPr>
        <w:footnoteReference w:id="7151"/>
      </w:r>
      <w:r w:rsidRPr="003124AA">
        <w:rPr>
          <w:rFonts w:ascii="Narkisim" w:hAnsi="Narkisim"/>
          <w:rtl/>
        </w:rPr>
        <w:t>. אך שוב כת' דלא מצאנו דלא תפסי קידושי קטנה בשניות. [דנימא דקידושי קטנה דרבנן, ושניות הוה כערוה מדבריהם</w:t>
      </w:r>
      <w:r w:rsidRPr="003124AA">
        <w:rPr>
          <w:rStyle w:val="ac"/>
          <w:rFonts w:ascii="Narkisim" w:hAnsi="Narkisim"/>
          <w:rtl/>
        </w:rPr>
        <w:footnoteReference w:id="7152"/>
      </w:r>
      <w:r w:rsidRPr="003124AA">
        <w:rPr>
          <w:rFonts w:ascii="Narkisim" w:hAnsi="Narkisim"/>
          <w:rtl/>
        </w:rPr>
        <w:t>].</w:t>
      </w:r>
    </w:p>
    <w:p w14:paraId="1624BFF3" w14:textId="77777777" w:rsidR="006C4368" w:rsidRPr="003124AA" w:rsidRDefault="006C4368" w:rsidP="006C4368">
      <w:pPr>
        <w:pStyle w:val="a7"/>
        <w:bidi/>
        <w:rPr>
          <w:rFonts w:ascii="Narkisim" w:hAnsi="Narkisim"/>
        </w:rPr>
      </w:pPr>
      <w:r w:rsidRPr="003124AA">
        <w:rPr>
          <w:rFonts w:ascii="Narkisim" w:hAnsi="Narkisim"/>
          <w:rtl/>
        </w:rPr>
        <w:t>וכת' דצ"ל דאיסור שניות תפסי בה קדושין</w:t>
      </w:r>
      <w:r w:rsidRPr="003124AA">
        <w:rPr>
          <w:rStyle w:val="ac"/>
          <w:rFonts w:ascii="Narkisim" w:hAnsi="Narkisim"/>
          <w:rtl/>
        </w:rPr>
        <w:footnoteReference w:id="7153"/>
      </w:r>
      <w:r w:rsidRPr="003124AA">
        <w:rPr>
          <w:rFonts w:ascii="Narkisim" w:hAnsi="Narkisim"/>
          <w:rtl/>
        </w:rPr>
        <w:t xml:space="preserve"> וצריכה גט, ומש"ה דמי לחייבי לאוין דתפסי בהו קדושין וכיו”ב</w:t>
      </w:r>
      <w:r w:rsidRPr="003124AA">
        <w:rPr>
          <w:rStyle w:val="ac"/>
          <w:rFonts w:ascii="Narkisim" w:hAnsi="Narkisim"/>
          <w:rtl/>
        </w:rPr>
        <w:footnoteReference w:id="7154"/>
      </w:r>
      <w:r w:rsidRPr="003124AA">
        <w:rPr>
          <w:rFonts w:ascii="Narkisim" w:hAnsi="Narkisim"/>
          <w:rtl/>
        </w:rPr>
        <w:t>. ואף מדרבנן לא תקנו דהוי כערוה להפקיע זיקה דרבנן</w:t>
      </w:r>
      <w:r w:rsidRPr="003124AA">
        <w:rPr>
          <w:rStyle w:val="ac"/>
          <w:rFonts w:ascii="Narkisim" w:hAnsi="Narkisim"/>
          <w:rtl/>
        </w:rPr>
        <w:footnoteReference w:id="7155"/>
      </w:r>
      <w:r w:rsidRPr="003124AA">
        <w:rPr>
          <w:rFonts w:ascii="Narkisim" w:hAnsi="Narkisim"/>
          <w:rtl/>
        </w:rPr>
        <w:t xml:space="preserve"> או לגבי קדושי דרבנן. וע"ע </w:t>
      </w:r>
      <w:r w:rsidRPr="003124AA">
        <w:rPr>
          <w:rFonts w:ascii="Narkisim" w:hAnsi="Narkisim"/>
          <w:b/>
          <w:bCs/>
          <w:rtl/>
        </w:rPr>
        <w:t>חי' ר' שמואל</w:t>
      </w:r>
      <w:r w:rsidRPr="003124AA">
        <w:rPr>
          <w:rFonts w:ascii="Narkisim" w:hAnsi="Narkisim"/>
          <w:rtl/>
        </w:rPr>
        <w:t xml:space="preserve"> (ד) שהאריך בזה.</w:t>
      </w:r>
    </w:p>
    <w:p w14:paraId="1AE49523" w14:textId="77777777" w:rsidR="006C4368" w:rsidRPr="003124AA" w:rsidRDefault="006C4368" w:rsidP="006C4368">
      <w:pPr>
        <w:bidi/>
        <w:rPr>
          <w:rFonts w:ascii="Narkisim" w:hAnsi="Narkisim" w:cs="Narkisim"/>
        </w:rPr>
      </w:pPr>
      <w:r w:rsidRPr="003124AA">
        <w:rPr>
          <w:rFonts w:ascii="Narkisim" w:hAnsi="Narkisim" w:cs="Narkisim"/>
          <w:rtl/>
        </w:rPr>
        <w:t>אך ה</w:t>
      </w:r>
      <w:r w:rsidRPr="003124AA">
        <w:rPr>
          <w:rFonts w:ascii="Narkisim" w:hAnsi="Narkisim" w:cs="Narkisim"/>
          <w:b/>
          <w:bCs/>
          <w:rtl/>
        </w:rPr>
        <w:t>דרכ"מ</w:t>
      </w:r>
      <w:r w:rsidRPr="003124AA">
        <w:rPr>
          <w:rFonts w:ascii="Narkisim" w:hAnsi="Narkisim" w:cs="Narkisim"/>
          <w:rtl/>
        </w:rPr>
        <w:t xml:space="preserve"> (טו א) העלה צד דקידש שניות לא הוה קידושין גמורים</w:t>
      </w:r>
      <w:r w:rsidRPr="003124AA">
        <w:rPr>
          <w:rStyle w:val="ac"/>
          <w:rFonts w:ascii="Narkisim" w:hAnsi="Narkisim" w:cs="Narkisim"/>
          <w:rtl/>
        </w:rPr>
        <w:footnoteReference w:id="7156"/>
      </w:r>
      <w:r w:rsidRPr="003124AA">
        <w:rPr>
          <w:rFonts w:ascii="Narkisim" w:hAnsi="Narkisim" w:cs="Narkisim"/>
          <w:rtl/>
        </w:rPr>
        <w:t>, ואם בא אחר וקידשה תפסי קידושי שני</w:t>
      </w:r>
      <w:r w:rsidRPr="003124AA">
        <w:rPr>
          <w:rStyle w:val="ac"/>
          <w:rFonts w:ascii="Narkisim" w:hAnsi="Narkisim" w:cs="Narkisim"/>
          <w:rtl/>
        </w:rPr>
        <w:footnoteReference w:id="7157"/>
      </w:r>
      <w:r w:rsidRPr="003124AA">
        <w:rPr>
          <w:rFonts w:ascii="Narkisim" w:hAnsi="Narkisim" w:cs="Narkisim"/>
          <w:rtl/>
        </w:rPr>
        <w:t xml:space="preserve"> [דבגדרי התקנ”ח לא תפסו קידושי שני</w:t>
      </w:r>
      <w:r w:rsidRPr="003124AA">
        <w:rPr>
          <w:rStyle w:val="ac"/>
          <w:rFonts w:ascii="Narkisim" w:hAnsi="Narkisim" w:cs="Narkisim"/>
          <w:rtl/>
        </w:rPr>
        <w:footnoteReference w:id="7158"/>
      </w:r>
      <w:r w:rsidRPr="003124AA">
        <w:rPr>
          <w:rFonts w:ascii="Narkisim" w:hAnsi="Narkisim" w:cs="Narkisim"/>
          <w:rtl/>
        </w:rPr>
        <w:t>]. וכת' דצ"ע דהא אפי' בחייבי לאוין קידושין תופסין. ולא מצינו דאם קידשה אחר דצריכה גט מהשני כ"ש באיסורי דרבנן</w:t>
      </w:r>
      <w:r w:rsidRPr="003124AA">
        <w:rPr>
          <w:rStyle w:val="ac"/>
          <w:rFonts w:ascii="Narkisim" w:hAnsi="Narkisim" w:cs="Narkisim"/>
          <w:rtl/>
        </w:rPr>
        <w:footnoteReference w:id="7159"/>
      </w:r>
      <w:r w:rsidRPr="003124AA">
        <w:rPr>
          <w:rFonts w:ascii="Narkisim" w:hAnsi="Narkisim" w:cs="Narkisim"/>
          <w:rtl/>
        </w:rPr>
        <w:t>. [וע"ע מש"כ בזה לעיל כא.].</w:t>
      </w:r>
    </w:p>
    <w:p w14:paraId="4E3A1A9C"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חלק"מ</w:t>
      </w:r>
      <w:r w:rsidRPr="003124AA">
        <w:rPr>
          <w:rFonts w:ascii="Narkisim" w:hAnsi="Narkisim"/>
          <w:rtl/>
        </w:rPr>
        <w:t xml:space="preserve"> (טו א) כת' דעכ"פ היכא דהראשון קידשה והוה ערוה דרבנן, ובא שני וקידשה, ואסורה אף עליו בערוה דרבנן פשיטא דאי"צ גט משני ממ”נ. וה</w:t>
      </w:r>
      <w:r w:rsidRPr="003124AA">
        <w:rPr>
          <w:rFonts w:ascii="Narkisim" w:hAnsi="Narkisim"/>
          <w:b/>
          <w:bCs/>
          <w:rtl/>
        </w:rPr>
        <w:t>בי"ש</w:t>
      </w:r>
      <w:r w:rsidRPr="003124AA">
        <w:rPr>
          <w:rFonts w:ascii="Narkisim" w:hAnsi="Narkisim"/>
          <w:rtl/>
        </w:rPr>
        <w:t xml:space="preserve"> (טו א) הק' מדברי ה</w:t>
      </w:r>
      <w:r w:rsidRPr="003124AA">
        <w:rPr>
          <w:rFonts w:ascii="Narkisim" w:hAnsi="Narkisim"/>
          <w:b/>
          <w:bCs/>
          <w:rtl/>
        </w:rPr>
        <w:t>ב"י</w:t>
      </w:r>
      <w:r w:rsidRPr="003124AA">
        <w:rPr>
          <w:rFonts w:ascii="Narkisim" w:hAnsi="Narkisim"/>
          <w:rtl/>
        </w:rPr>
        <w:t xml:space="preserve"> (מב, הו' בסמוך).</w:t>
      </w:r>
    </w:p>
    <w:p w14:paraId="261BA3AC"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רמ"א</w:t>
      </w:r>
      <w:r w:rsidRPr="003124AA">
        <w:rPr>
          <w:rFonts w:ascii="Narkisim" w:hAnsi="Narkisim" w:cs="Narkisim"/>
          <w:rtl/>
        </w:rPr>
        <w:t xml:space="preserve"> (מב ה) הביא </w:t>
      </w:r>
      <w:r w:rsidRPr="003124AA">
        <w:rPr>
          <w:rFonts w:ascii="Narkisim" w:hAnsi="Narkisim" w:cs="Narkisim"/>
          <w:b/>
          <w:bCs/>
          <w:rtl/>
        </w:rPr>
        <w:t>י"א</w:t>
      </w:r>
      <w:r w:rsidRPr="003124AA">
        <w:rPr>
          <w:rFonts w:ascii="Narkisim" w:hAnsi="Narkisim" w:cs="Narkisim"/>
          <w:rtl/>
        </w:rPr>
        <w:t xml:space="preserve"> (הב"י בשם </w:t>
      </w:r>
      <w:r w:rsidRPr="003124AA">
        <w:rPr>
          <w:rFonts w:ascii="Narkisim" w:hAnsi="Narkisim" w:cs="Narkisim"/>
          <w:b/>
          <w:bCs/>
          <w:rtl/>
        </w:rPr>
        <w:t>תשב"ץ</w:t>
      </w:r>
      <w:r w:rsidRPr="003124AA">
        <w:rPr>
          <w:rFonts w:ascii="Narkisim" w:hAnsi="Narkisim" w:cs="Narkisim"/>
          <w:rtl/>
        </w:rPr>
        <w:t xml:space="preserve"> א קנא) דהמקדש קידושין דרבנן לפני פסולי עדות דרבנן אין חוששין לקידושין כלל</w:t>
      </w:r>
      <w:r w:rsidRPr="003124AA">
        <w:rPr>
          <w:rStyle w:val="ac"/>
          <w:rFonts w:ascii="Narkisim" w:hAnsi="Narkisim" w:cs="Narkisim"/>
          <w:rtl/>
        </w:rPr>
        <w:footnoteReference w:id="7160"/>
      </w:r>
      <w:r w:rsidRPr="003124AA">
        <w:rPr>
          <w:rFonts w:ascii="Narkisim" w:hAnsi="Narkisim" w:cs="Narkisim"/>
          <w:rtl/>
        </w:rPr>
        <w:t>.</w:t>
      </w:r>
    </w:p>
    <w:p w14:paraId="0D62BE87" w14:textId="77777777" w:rsidR="006C4368" w:rsidRPr="003124AA" w:rsidRDefault="006C4368" w:rsidP="006C4368">
      <w:pPr>
        <w:pStyle w:val="a7"/>
        <w:bidi/>
        <w:rPr>
          <w:rFonts w:ascii="Narkisim" w:hAnsi="Narkisim"/>
        </w:rPr>
      </w:pPr>
      <w:r w:rsidRPr="003124AA">
        <w:rPr>
          <w:rFonts w:ascii="Narkisim" w:hAnsi="Narkisim"/>
          <w:rtl/>
        </w:rPr>
        <w:lastRenderedPageBreak/>
        <w:t>אבל ה</w:t>
      </w:r>
      <w:r w:rsidRPr="003124AA">
        <w:rPr>
          <w:rFonts w:ascii="Narkisim" w:hAnsi="Narkisim"/>
          <w:b/>
          <w:bCs/>
          <w:rtl/>
        </w:rPr>
        <w:t>ב"י</w:t>
      </w:r>
      <w:r w:rsidRPr="003124AA">
        <w:rPr>
          <w:rFonts w:ascii="Narkisim" w:hAnsi="Narkisim"/>
          <w:rtl/>
        </w:rPr>
        <w:t xml:space="preserve"> (מב) הביא </w:t>
      </w:r>
      <w:r w:rsidRPr="003124AA">
        <w:rPr>
          <w:rFonts w:ascii="Narkisim" w:hAnsi="Narkisim"/>
          <w:szCs w:val="20"/>
          <w:rtl/>
        </w:rPr>
        <w:t>(מצאתי כתוב, שו"ת זכרון יהודה פא)</w:t>
      </w:r>
      <w:r w:rsidRPr="003124AA">
        <w:rPr>
          <w:rFonts w:ascii="Narkisim" w:hAnsi="Narkisim"/>
          <w:rtl/>
        </w:rPr>
        <w:t xml:space="preserve"> מעשה באשה שנתקדשה לראובן בפני עדים קרובים דרבנן, ואח"כ נתקדשה לשמעון גם בפני עדים שקרובים דרבנן, וחכם א' (הרב החולק) הצריכה גט משניהם</w:t>
      </w:r>
      <w:r w:rsidRPr="003124AA">
        <w:rPr>
          <w:rStyle w:val="ac"/>
          <w:rFonts w:ascii="Narkisim" w:hAnsi="Narkisim"/>
          <w:rtl/>
        </w:rPr>
        <w:footnoteReference w:id="7161"/>
      </w:r>
      <w:r w:rsidRPr="003124AA">
        <w:rPr>
          <w:rFonts w:ascii="Narkisim" w:hAnsi="Narkisim"/>
          <w:rtl/>
        </w:rPr>
        <w:t xml:space="preserve"> [ולא אמרי' דממ"נ ל"מ קידושי השני</w:t>
      </w:r>
      <w:r w:rsidRPr="003124AA">
        <w:rPr>
          <w:rStyle w:val="ac"/>
          <w:rFonts w:ascii="Narkisim" w:hAnsi="Narkisim"/>
          <w:rtl/>
        </w:rPr>
        <w:footnoteReference w:id="7162"/>
      </w:r>
      <w:r w:rsidRPr="003124AA">
        <w:rPr>
          <w:rFonts w:ascii="Narkisim" w:hAnsi="Narkisim"/>
          <w:rtl/>
        </w:rPr>
        <w:t>].</w:t>
      </w:r>
    </w:p>
    <w:p w14:paraId="2033E7A2" w14:textId="77777777" w:rsidR="006C4368" w:rsidRPr="003124AA" w:rsidRDefault="006C4368" w:rsidP="006C4368">
      <w:pPr>
        <w:pStyle w:val="aa"/>
        <w:bidi/>
        <w:rPr>
          <w:rFonts w:ascii="Narkisim" w:hAnsi="Narkisim"/>
        </w:rPr>
      </w:pPr>
      <w:r w:rsidRPr="003124AA">
        <w:rPr>
          <w:rFonts w:ascii="Narkisim" w:hAnsi="Narkisim"/>
          <w:u w:val="single"/>
          <w:rtl/>
        </w:rPr>
        <w:t>מת בעלה של גדולה וכו'</w:t>
      </w:r>
      <w:r w:rsidRPr="003124AA">
        <w:rPr>
          <w:rFonts w:ascii="Narkisim" w:hAnsi="Narkisim"/>
          <w:rtl/>
        </w:rPr>
        <w:t>. פ</w:t>
      </w:r>
      <w:r w:rsidRPr="003124AA">
        <w:rPr>
          <w:rFonts w:ascii="Narkisim" w:hAnsi="Narkisim"/>
          <w:b/>
          <w:bCs/>
          <w:rtl/>
        </w:rPr>
        <w:t>רש"י</w:t>
      </w:r>
      <w:r w:rsidRPr="003124AA">
        <w:rPr>
          <w:rFonts w:ascii="Narkisim" w:hAnsi="Narkisim"/>
          <w:rtl/>
        </w:rPr>
        <w:t xml:space="preserve"> זיקתה של גדולה מן התורה, ונישואי קטנה דרבנן, ולא אלימא לאפקועי זיקה דאורייתא. ו</w:t>
      </w:r>
      <w:r w:rsidRPr="003124AA">
        <w:rPr>
          <w:rFonts w:ascii="Narkisim" w:hAnsi="Narkisim"/>
          <w:b/>
          <w:bCs/>
          <w:rtl/>
        </w:rPr>
        <w:t>רש"י</w:t>
      </w:r>
      <w:r w:rsidRPr="003124AA">
        <w:rPr>
          <w:rFonts w:ascii="Narkisim" w:hAnsi="Narkisim"/>
          <w:rtl/>
        </w:rPr>
        <w:t xml:space="preserve"> (לעיל יח.) כת' שזיקתה של זו חמורה לאסור הקטנה עליו, שנישואיה אינם גמורים שמא תמאן [וכדאי' לקמן קי: דקטנה קנויה ואינה קנויה], ולכך לא תוציא את זו משום אחות אשה</w:t>
      </w:r>
      <w:r w:rsidRPr="003124AA">
        <w:rPr>
          <w:rStyle w:val="ac"/>
          <w:rFonts w:ascii="Narkisim" w:hAnsi="Narkisim"/>
          <w:rtl/>
        </w:rPr>
        <w:footnoteReference w:id="7163"/>
      </w:r>
      <w:r w:rsidRPr="003124AA">
        <w:rPr>
          <w:rFonts w:ascii="Narkisim" w:hAnsi="Narkisim"/>
          <w:rtl/>
        </w:rPr>
        <w:t>.</w:t>
      </w:r>
    </w:p>
    <w:p w14:paraId="0249FA3D" w14:textId="77777777" w:rsidR="006C4368" w:rsidRPr="003124AA" w:rsidRDefault="006C4368" w:rsidP="006C4368">
      <w:pPr>
        <w:pStyle w:val="a8"/>
        <w:bidi/>
        <w:rPr>
          <w:rFonts w:ascii="Narkisim" w:hAnsi="Narkisim"/>
        </w:rPr>
      </w:pPr>
      <w:r w:rsidRPr="003124AA">
        <w:rPr>
          <w:rFonts w:ascii="Narkisim" w:hAnsi="Narkisim"/>
          <w:rtl/>
        </w:rPr>
        <w:t>ו</w:t>
      </w:r>
      <w:r w:rsidRPr="003124AA">
        <w:rPr>
          <w:rFonts w:ascii="Narkisim" w:hAnsi="Narkisim"/>
          <w:b/>
          <w:bCs/>
          <w:rtl/>
        </w:rPr>
        <w:t>רש"י</w:t>
      </w:r>
      <w:r w:rsidRPr="003124AA">
        <w:rPr>
          <w:rFonts w:ascii="Narkisim" w:hAnsi="Narkisim"/>
          <w:rtl/>
        </w:rPr>
        <w:t xml:space="preserve"> (כאן) הוסיף דהגדולה אוסרת את הקטנה עליו, דהו"ל אחות זקוקתו. וה</w:t>
      </w:r>
      <w:r w:rsidRPr="003124AA">
        <w:rPr>
          <w:rFonts w:ascii="Narkisim" w:hAnsi="Narkisim"/>
          <w:b/>
          <w:bCs/>
          <w:rtl/>
        </w:rPr>
        <w:t>אחרונים</w:t>
      </w:r>
      <w:r w:rsidRPr="003124AA">
        <w:rPr>
          <w:rFonts w:ascii="Narkisim" w:hAnsi="Narkisim"/>
          <w:rtl/>
        </w:rPr>
        <w:t xml:space="preserve"> (לקח טוב יג) הביאו דהגדולה אוסרת על הקטנה, ולא אמרי' דבגדרי תקנות הדרבנן הקטנה הוה אשתו, והגדולה צריכה חליצה רק מדאורייתא [ולא מדרבנן</w:t>
      </w:r>
      <w:r w:rsidRPr="003124AA">
        <w:rPr>
          <w:rStyle w:val="ac"/>
          <w:rFonts w:ascii="Narkisim" w:hAnsi="Narkisim"/>
          <w:rtl/>
        </w:rPr>
        <w:footnoteReference w:id="7164"/>
      </w:r>
      <w:r w:rsidRPr="003124AA">
        <w:rPr>
          <w:rFonts w:ascii="Narkisim" w:hAnsi="Narkisim"/>
          <w:rtl/>
        </w:rPr>
        <w:t>]. דמבואר הכא דתקנו איסור אחות זקוקתו. [וכיון דסוף סוף זקוקה מדאורייתא גזרו רבנן אחות זקוקתו</w:t>
      </w:r>
      <w:r w:rsidRPr="003124AA">
        <w:rPr>
          <w:rStyle w:val="ac"/>
          <w:rFonts w:ascii="Narkisim" w:hAnsi="Narkisim"/>
          <w:rtl/>
        </w:rPr>
        <w:footnoteReference w:id="7165"/>
      </w:r>
      <w:r w:rsidRPr="003124AA">
        <w:rPr>
          <w:rFonts w:ascii="Narkisim" w:hAnsi="Narkisim"/>
          <w:rtl/>
        </w:rPr>
        <w:t>. א"נ לא תקנו דקידושי קטנה יפטרו את הגדולה</w:t>
      </w:r>
      <w:r w:rsidRPr="003124AA">
        <w:rPr>
          <w:rStyle w:val="ac"/>
          <w:rFonts w:ascii="Narkisim" w:hAnsi="Narkisim"/>
          <w:rtl/>
        </w:rPr>
        <w:footnoteReference w:id="7166"/>
      </w:r>
      <w:r w:rsidRPr="003124AA">
        <w:rPr>
          <w:rFonts w:ascii="Narkisim" w:hAnsi="Narkisim"/>
          <w:rtl/>
        </w:rPr>
        <w:t>, ומש"ה אף בגדרי הדרבנן זקוקה לחליצה].</w:t>
      </w:r>
    </w:p>
    <w:p w14:paraId="6B11951A" w14:textId="77777777" w:rsidR="006C4368" w:rsidRPr="003124AA" w:rsidRDefault="006C4368" w:rsidP="006C4368">
      <w:pPr>
        <w:pStyle w:val="aa"/>
        <w:bidi/>
        <w:rPr>
          <w:rFonts w:ascii="Narkisim" w:hAnsi="Narkisim"/>
        </w:rPr>
      </w:pPr>
      <w:r w:rsidRPr="003124AA">
        <w:rPr>
          <w:rFonts w:ascii="Narkisim" w:hAnsi="Narkisim"/>
          <w:u w:val="single"/>
          <w:rtl/>
        </w:rPr>
        <w:t>ר' אליעזר אומר מלמדין את הקטנה שתמאן בו</w:t>
      </w:r>
      <w:r w:rsidRPr="003124AA">
        <w:rPr>
          <w:rStyle w:val="ac"/>
          <w:rFonts w:ascii="Narkisim" w:hAnsi="Narkisim"/>
          <w:rtl/>
        </w:rPr>
        <w:footnoteReference w:id="7167"/>
      </w:r>
      <w:r w:rsidRPr="003124AA">
        <w:rPr>
          <w:rFonts w:ascii="Narkisim" w:hAnsi="Narkisim"/>
          <w:rtl/>
        </w:rPr>
        <w:t>. פ</w:t>
      </w:r>
      <w:r w:rsidRPr="003124AA">
        <w:rPr>
          <w:rFonts w:ascii="Narkisim" w:hAnsi="Narkisim"/>
          <w:b/>
          <w:bCs/>
          <w:rtl/>
        </w:rPr>
        <w:t>רש"י</w:t>
      </w:r>
      <w:r w:rsidRPr="003124AA">
        <w:rPr>
          <w:rFonts w:ascii="Narkisim" w:hAnsi="Narkisim"/>
          <w:rtl/>
        </w:rPr>
        <w:t xml:space="preserve"> ותעקור נשואיה, ויהא מייבם את הגדולה. ו</w:t>
      </w:r>
      <w:r w:rsidRPr="003124AA">
        <w:rPr>
          <w:rFonts w:ascii="Narkisim" w:hAnsi="Narkisim"/>
          <w:b/>
          <w:bCs/>
          <w:rtl/>
        </w:rPr>
        <w:t>תוס</w:t>
      </w:r>
      <w:r w:rsidRPr="003124AA">
        <w:rPr>
          <w:rFonts w:ascii="Narkisim" w:hAnsi="Narkisim"/>
          <w:rtl/>
        </w:rPr>
        <w:t>' (לעיל כט. ד”ה אי כר”א) הק' דבשעת נפילה נראית כאחות אשתו. [ומ”ש מהא דגזרו (לעיל יב. יג. וקז:) לאסור בצרת בתו ממאנת משום דנראית ערוה בשעת נפילה]. ותי' דדוקא התם כשמת הבעל אין דומה כ”כ עוקרת נישואיה קמאי. אבל הכא הבעל קיים ומהני מיאון. [וכיון דנעקר למפרע ולא אמרי' שנאסרה בשעת נפילה</w:t>
      </w:r>
      <w:r w:rsidRPr="003124AA">
        <w:rPr>
          <w:rStyle w:val="ac"/>
          <w:rFonts w:ascii="Narkisim" w:hAnsi="Narkisim"/>
          <w:rtl/>
        </w:rPr>
        <w:footnoteReference w:id="7168"/>
      </w:r>
      <w:r w:rsidRPr="003124AA">
        <w:rPr>
          <w:rFonts w:ascii="Narkisim" w:hAnsi="Narkisim"/>
          <w:rtl/>
        </w:rPr>
        <w:t>].</w:t>
      </w:r>
    </w:p>
    <w:p w14:paraId="1C920754" w14:textId="77777777" w:rsidR="006C4368" w:rsidRPr="003124AA" w:rsidRDefault="006C4368" w:rsidP="006C4368">
      <w:pPr>
        <w:bidi/>
        <w:rPr>
          <w:rFonts w:ascii="Narkisim" w:hAnsi="Narkisim" w:cs="Narkisim"/>
        </w:rPr>
      </w:pPr>
      <w:r w:rsidRPr="003124AA">
        <w:rPr>
          <w:rFonts w:ascii="Narkisim" w:hAnsi="Narkisim" w:cs="Narkisim"/>
          <w:u w:val="single"/>
          <w:rtl/>
        </w:rPr>
        <w:t>שם. מלמדין</w:t>
      </w:r>
      <w:r w:rsidRPr="003124AA">
        <w:rPr>
          <w:rFonts w:ascii="Narkisim" w:hAnsi="Narkisim" w:cs="Narkisim"/>
          <w:rtl/>
        </w:rPr>
        <w:t>. וב</w:t>
      </w:r>
      <w:r w:rsidRPr="003124AA">
        <w:rPr>
          <w:rFonts w:ascii="Narkisim" w:hAnsi="Narkisim" w:cs="Narkisim"/>
          <w:b/>
          <w:bCs/>
          <w:rtl/>
        </w:rPr>
        <w:t>שו"ת הרשב"א</w:t>
      </w:r>
      <w:r w:rsidRPr="003124AA">
        <w:rPr>
          <w:rFonts w:ascii="Narkisim" w:hAnsi="Narkisim" w:cs="Narkisim"/>
          <w:rtl/>
        </w:rPr>
        <w:t xml:space="preserve"> (ו סט) הביא דעת </w:t>
      </w:r>
      <w:r w:rsidRPr="003124AA">
        <w:rPr>
          <w:rFonts w:ascii="Narkisim" w:hAnsi="Narkisim" w:cs="Narkisim"/>
          <w:b/>
          <w:bCs/>
          <w:rtl/>
        </w:rPr>
        <w:t>חכמי עכו</w:t>
      </w:r>
      <w:r w:rsidRPr="003124AA">
        <w:rPr>
          <w:rFonts w:ascii="Narkisim" w:hAnsi="Narkisim" w:cs="Narkisim"/>
          <w:rtl/>
        </w:rPr>
        <w:t xml:space="preserve"> דהיכא שהקטנה אינה רוצה למאן כופין אותה. דהא כל לימוד קטנה כפייה הוא</w:t>
      </w:r>
      <w:r w:rsidRPr="003124AA">
        <w:rPr>
          <w:rStyle w:val="ac"/>
          <w:rFonts w:ascii="Narkisim" w:hAnsi="Narkisim" w:cs="Narkisim"/>
          <w:rtl/>
        </w:rPr>
        <w:footnoteReference w:id="7169"/>
      </w:r>
      <w:r w:rsidRPr="003124AA">
        <w:rPr>
          <w:rFonts w:ascii="Narkisim" w:hAnsi="Narkisim" w:cs="Narkisim"/>
          <w:rtl/>
        </w:rPr>
        <w:t>. וה</w:t>
      </w:r>
      <w:r w:rsidRPr="003124AA">
        <w:rPr>
          <w:rFonts w:ascii="Narkisim" w:hAnsi="Narkisim" w:cs="Narkisim"/>
          <w:b/>
          <w:bCs/>
          <w:rtl/>
        </w:rPr>
        <w:t>רשב”א</w:t>
      </w:r>
      <w:r w:rsidRPr="003124AA">
        <w:rPr>
          <w:rFonts w:ascii="Narkisim" w:hAnsi="Narkisim" w:cs="Narkisim"/>
          <w:rtl/>
        </w:rPr>
        <w:t xml:space="preserve"> חלק דלא שמענו כה"ג כופין. שהרי נשאת ברצון חכמים, דהם תקנו לה נישואין. ואין לכוף אותה בשוטים שתמאן, ולמה תמות מה עשתה. ואי משום קיום מצות יבומין הא מקיימא במצות חליצה</w:t>
      </w:r>
      <w:r w:rsidRPr="003124AA">
        <w:rPr>
          <w:rStyle w:val="ac"/>
          <w:rFonts w:ascii="Narkisim" w:hAnsi="Narkisim" w:cs="Narkisim"/>
          <w:rtl/>
        </w:rPr>
        <w:footnoteReference w:id="7170"/>
      </w:r>
      <w:r w:rsidRPr="003124AA">
        <w:rPr>
          <w:rFonts w:ascii="Narkisim" w:hAnsi="Narkisim" w:cs="Narkisim"/>
          <w:rtl/>
        </w:rPr>
        <w:t>. דהיא אינה מחוייבת ביבום זו שנכוף אותה</w:t>
      </w:r>
      <w:r w:rsidRPr="003124AA">
        <w:rPr>
          <w:rStyle w:val="ac"/>
          <w:rFonts w:ascii="Narkisim" w:hAnsi="Narkisim" w:cs="Narkisim"/>
          <w:rtl/>
        </w:rPr>
        <w:footnoteReference w:id="7171"/>
      </w:r>
      <w:r w:rsidRPr="003124AA">
        <w:rPr>
          <w:rFonts w:ascii="Narkisim" w:hAnsi="Narkisim" w:cs="Narkisim"/>
          <w:rtl/>
        </w:rPr>
        <w:t>.</w:t>
      </w:r>
    </w:p>
    <w:p w14:paraId="292FD5E4" w14:textId="77777777" w:rsidR="006C4368" w:rsidRPr="003124AA" w:rsidRDefault="006C4368" w:rsidP="006C4368">
      <w:pPr>
        <w:pStyle w:val="aa"/>
        <w:bidi/>
        <w:rPr>
          <w:rFonts w:ascii="Narkisim" w:hAnsi="Narkisim"/>
        </w:rPr>
      </w:pPr>
      <w:r w:rsidRPr="003124AA">
        <w:rPr>
          <w:rFonts w:ascii="Narkisim" w:hAnsi="Narkisim"/>
          <w:u w:val="single"/>
          <w:rtl/>
        </w:rPr>
        <w:lastRenderedPageBreak/>
        <w:t>שם. מלמדין וכו'</w:t>
      </w:r>
      <w:r w:rsidRPr="003124AA">
        <w:rPr>
          <w:rFonts w:ascii="Narkisim" w:hAnsi="Narkisim"/>
          <w:rtl/>
        </w:rPr>
        <w:t>. ואידך מ"ד פליגי דאין מלמדים, אפי' במקום מצווה. וה</w:t>
      </w:r>
      <w:r w:rsidRPr="003124AA">
        <w:rPr>
          <w:rFonts w:ascii="Narkisim" w:hAnsi="Narkisim"/>
          <w:b/>
          <w:bCs/>
          <w:rtl/>
        </w:rPr>
        <w:t>פוסקים</w:t>
      </w:r>
      <w:r w:rsidRPr="003124AA">
        <w:rPr>
          <w:rFonts w:ascii="Narkisim" w:hAnsi="Narkisim"/>
          <w:rtl/>
        </w:rPr>
        <w:t xml:space="preserve"> (ע' פתח"ת קנה יד) דנו היכא דעברו ולמדוה למאן האם מהני בדיעבד.</w:t>
      </w:r>
    </w:p>
    <w:p w14:paraId="2B2D6465" w14:textId="77777777" w:rsidR="006C4368" w:rsidRPr="003124AA" w:rsidRDefault="006C4368" w:rsidP="006C4368">
      <w:pPr>
        <w:bidi/>
        <w:rPr>
          <w:rFonts w:ascii="Narkisim" w:hAnsi="Narkisim" w:cs="Narkisim"/>
        </w:rPr>
      </w:pPr>
      <w:r w:rsidRPr="003124AA">
        <w:rPr>
          <w:rFonts w:ascii="Narkisim" w:hAnsi="Narkisim" w:cs="Narkisim"/>
          <w:u w:val="single"/>
          <w:rtl/>
        </w:rPr>
        <w:t>ר"ג אומר וכו' תמתין עד שתגדיל ותצא הלזו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דר"ג ס"ל דלא אלימה זיקה, וכדאי' (לעיל נא. ויח. דר”ג ס”ל דאין זיקה).</w:t>
      </w:r>
    </w:p>
    <w:p w14:paraId="077144FF" w14:textId="77777777" w:rsidR="006C4368" w:rsidRPr="003124AA" w:rsidRDefault="006C4368" w:rsidP="006C4368">
      <w:pPr>
        <w:pStyle w:val="a7"/>
        <w:bidi/>
        <w:rPr>
          <w:rFonts w:ascii="Narkisim" w:hAnsi="Narkisim"/>
        </w:rPr>
      </w:pPr>
      <w:r w:rsidRPr="003124AA">
        <w:rPr>
          <w:rFonts w:ascii="Narkisim" w:hAnsi="Narkisim"/>
          <w:rtl/>
        </w:rPr>
        <w:t>ובגמ' (לעיל יח.) איתא דלר' מאיר אין זיקה, ואסור לישא אחות זקוקתו משום דאסור לבטל מצוות יבמין. אבל הגמ' הביאה דר"ג ס"ל דליכא כה"ג איסור לבטל מצוות יבמין</w:t>
      </w:r>
      <w:r w:rsidRPr="003124AA">
        <w:rPr>
          <w:rStyle w:val="ac"/>
          <w:rFonts w:ascii="Narkisim" w:hAnsi="Narkisim"/>
          <w:rtl/>
        </w:rPr>
        <w:footnoteReference w:id="7172"/>
      </w:r>
      <w:r w:rsidRPr="003124AA">
        <w:rPr>
          <w:rFonts w:ascii="Narkisim" w:hAnsi="Narkisim"/>
          <w:rtl/>
        </w:rPr>
        <w:t xml:space="preserve">. </w:t>
      </w:r>
      <w:r w:rsidRPr="003124AA">
        <w:rPr>
          <w:rFonts w:ascii="Narkisim" w:hAnsi="Narkisim"/>
          <w:szCs w:val="20"/>
          <w:rtl/>
        </w:rPr>
        <w:t>[ו</w:t>
      </w:r>
      <w:r w:rsidRPr="003124AA">
        <w:rPr>
          <w:rFonts w:ascii="Narkisim" w:hAnsi="Narkisim"/>
          <w:b/>
          <w:bCs/>
          <w:szCs w:val="20"/>
          <w:rtl/>
        </w:rPr>
        <w:t>תוס'</w:t>
      </w:r>
      <w:r w:rsidRPr="003124AA">
        <w:rPr>
          <w:rFonts w:ascii="Narkisim" w:hAnsi="Narkisim"/>
          <w:szCs w:val="20"/>
          <w:rtl/>
        </w:rPr>
        <w:t xml:space="preserve"> (לעיל יז: ד"ה אבל, וכט. ד"ה אי כר"ג) פי' דדוקא הכא דהיתה הקטנה נשואה אצלו. אבל ה</w:t>
      </w:r>
      <w:r w:rsidRPr="003124AA">
        <w:rPr>
          <w:rFonts w:ascii="Narkisim" w:hAnsi="Narkisim"/>
          <w:b/>
          <w:bCs/>
          <w:szCs w:val="20"/>
          <w:rtl/>
        </w:rPr>
        <w:t>רשב"א</w:t>
      </w:r>
      <w:r w:rsidRPr="003124AA">
        <w:rPr>
          <w:rFonts w:ascii="Narkisim" w:hAnsi="Narkisim"/>
          <w:szCs w:val="20"/>
          <w:rtl/>
        </w:rPr>
        <w:t xml:space="preserve"> (לעיל יז:) חלק דמשמע (בע”ב) דר”ג התיר כל מקדש אחות יבמתו, ואף כשאינה נשואה לו].</w:t>
      </w:r>
    </w:p>
    <w:p w14:paraId="1F7096FF"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ראשונים</w:t>
      </w:r>
      <w:r w:rsidRPr="003124AA">
        <w:rPr>
          <w:rFonts w:ascii="Narkisim" w:hAnsi="Narkisim"/>
          <w:rtl/>
        </w:rPr>
        <w:t xml:space="preserve"> נקטו דזה כוונת הגמ' (בע"ב, לצד א' בספק) דר"ג סבר דהמקדש אחות יבמתו נפטרה יבמה והלכה לה. [ויתבאר עוד בע"ב].</w:t>
      </w:r>
    </w:p>
    <w:p w14:paraId="3D5D7C7E" w14:textId="77777777" w:rsidR="006C4368" w:rsidRPr="003124AA" w:rsidRDefault="006C4368" w:rsidP="006C4368">
      <w:pPr>
        <w:bidi/>
        <w:rPr>
          <w:rFonts w:ascii="Narkisim" w:hAnsi="Narkisim" w:cs="Narkisim"/>
        </w:rPr>
      </w:pPr>
      <w:r w:rsidRPr="003124AA">
        <w:rPr>
          <w:rFonts w:ascii="Narkisim" w:hAnsi="Narkisim" w:cs="Narkisim"/>
          <w:u w:val="single"/>
          <w:rtl/>
        </w:rPr>
        <w:t>שם. תמתין</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תמתין קטנה אצלו עד שתגדיל. ו</w:t>
      </w:r>
      <w:r w:rsidRPr="003124AA">
        <w:rPr>
          <w:rFonts w:ascii="Narkisim" w:hAnsi="Narkisim" w:cs="Narkisim"/>
          <w:b/>
          <w:bCs/>
          <w:rtl/>
        </w:rPr>
        <w:t>רש”י</w:t>
      </w:r>
      <w:r w:rsidRPr="003124AA">
        <w:rPr>
          <w:rFonts w:ascii="Narkisim" w:hAnsi="Narkisim" w:cs="Narkisim"/>
          <w:rtl/>
        </w:rPr>
        <w:t xml:space="preserve"> (לעיל יח.) פי' דתמתין גדולה עד שתגדיל קטנה</w:t>
      </w:r>
      <w:r w:rsidRPr="003124AA">
        <w:rPr>
          <w:rStyle w:val="ac"/>
          <w:rFonts w:ascii="Narkisim" w:hAnsi="Narkisim" w:cs="Narkisim"/>
          <w:rtl/>
        </w:rPr>
        <w:footnoteReference w:id="7173"/>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xml:space="preserve"> (לעיל יח. ד”ה מיאנה) פי' תמתין הקטנה מלבעול עד שתגדיל</w:t>
      </w:r>
      <w:r w:rsidRPr="003124AA">
        <w:rPr>
          <w:rStyle w:val="ac"/>
          <w:rFonts w:ascii="Narkisim" w:hAnsi="Narkisim" w:cs="Narkisim"/>
          <w:rtl/>
        </w:rPr>
        <w:footnoteReference w:id="7174"/>
      </w:r>
      <w:r w:rsidRPr="003124AA">
        <w:rPr>
          <w:rFonts w:ascii="Narkisim" w:hAnsi="Narkisim" w:cs="Narkisim"/>
          <w:rtl/>
        </w:rPr>
        <w:t>. דאף למ”ד אין זיקה [וליכא איסור אחות זקוקתו], מ”מ מכוער הדבר כיון דבהאי ביאה לא מיפטרה גדולה.</w:t>
      </w:r>
    </w:p>
    <w:p w14:paraId="467DCF08" w14:textId="77777777" w:rsidR="006C4368" w:rsidRPr="003124AA" w:rsidRDefault="006C4368" w:rsidP="006C4368">
      <w:pPr>
        <w:bidi/>
        <w:rPr>
          <w:rFonts w:ascii="Narkisim" w:hAnsi="Narkisim" w:cs="Narkisim"/>
        </w:rPr>
      </w:pPr>
      <w:r w:rsidRPr="003124AA">
        <w:rPr>
          <w:rFonts w:ascii="Narkisim" w:hAnsi="Narkisim" w:cs="Narkisim"/>
          <w:u w:val="single"/>
          <w:rtl/>
        </w:rPr>
        <w:t>ר' יהושע אומר אי לו על אשתו וכו' מוציא את אשתו בגט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דס"ל יתרחק מן המיאונין. ואפי' במקום מצווה. ואף דהיא בלאו הכי אסורה על בעלה ותצא, אין ללמדה. [ועדיף שתצא בגט ולא במיאון</w:t>
      </w:r>
      <w:r w:rsidRPr="003124AA">
        <w:rPr>
          <w:rStyle w:val="ac"/>
          <w:rFonts w:ascii="Narkisim" w:hAnsi="Narkisim" w:cs="Narkisim"/>
          <w:rtl/>
        </w:rPr>
        <w:footnoteReference w:id="7175"/>
      </w:r>
      <w:r w:rsidRPr="003124AA">
        <w:rPr>
          <w:rFonts w:ascii="Narkisim" w:hAnsi="Narkisim" w:cs="Narkisim"/>
          <w:rtl/>
        </w:rPr>
        <w:t>].</w:t>
      </w:r>
    </w:p>
    <w:p w14:paraId="637C36E7" w14:textId="77777777" w:rsidR="006C4368" w:rsidRPr="003124AA" w:rsidRDefault="006C4368" w:rsidP="006C4368">
      <w:pPr>
        <w:pStyle w:val="a7"/>
        <w:bidi/>
        <w:rPr>
          <w:rFonts w:ascii="Narkisim" w:hAnsi="Narkisim"/>
        </w:rPr>
      </w:pPr>
      <w:r w:rsidRPr="003124AA">
        <w:rPr>
          <w:rFonts w:ascii="Narkisim" w:hAnsi="Narkisim"/>
          <w:rtl/>
        </w:rPr>
        <w:t>ו</w:t>
      </w:r>
      <w:r w:rsidRPr="003124AA">
        <w:rPr>
          <w:rFonts w:ascii="Narkisim" w:hAnsi="Narkisim"/>
          <w:b/>
          <w:bCs/>
          <w:rtl/>
        </w:rPr>
        <w:t>רע”א</w:t>
      </w:r>
      <w:r w:rsidRPr="003124AA">
        <w:rPr>
          <w:rFonts w:ascii="Narkisim" w:hAnsi="Narkisim"/>
          <w:rtl/>
        </w:rPr>
        <w:t xml:space="preserve"> הק' דבגמ' (בע”ב) מבואר דהטעם דריחוק מיאונין משום דשמא לכי גדלה מתחרטא. ואילו הכא לר' יהושע ליכא תקנה [דס"ל יש זיקה], א"כ לא שייך דמתחרטא. ובלאו המיאון אסורה לו לעולם ויוציא בגט ולמה תתחרט.  אבל ה</w:t>
      </w:r>
      <w:r w:rsidRPr="003124AA">
        <w:rPr>
          <w:rFonts w:ascii="Narkisim" w:hAnsi="Narkisim"/>
          <w:b/>
          <w:bCs/>
          <w:rtl/>
        </w:rPr>
        <w:t>חזו"א</w:t>
      </w:r>
      <w:r w:rsidRPr="003124AA">
        <w:rPr>
          <w:rFonts w:ascii="Narkisim" w:hAnsi="Narkisim"/>
          <w:rtl/>
        </w:rPr>
        <w:t xml:space="preserve"> (קכט ה) כת' דטעם זה שייך אף כשהיא אסורה עליו, דמ"מ אם תתחרט נראה הדבר כאילו הוציאו אותה בפיתוי ורמאות. וה</w:t>
      </w:r>
      <w:r w:rsidRPr="003124AA">
        <w:rPr>
          <w:rFonts w:ascii="Narkisim" w:hAnsi="Narkisim"/>
          <w:b/>
          <w:bCs/>
          <w:rtl/>
        </w:rPr>
        <w:t>ערול"נ</w:t>
      </w:r>
      <w:r w:rsidRPr="003124AA">
        <w:rPr>
          <w:rFonts w:ascii="Narkisim" w:hAnsi="Narkisim"/>
          <w:rtl/>
        </w:rPr>
        <w:t xml:space="preserve"> כת' שמא תתחרט משום כתובה. ויש שדנו דאי תמות אחותה תתחרט.</w:t>
      </w:r>
    </w:p>
    <w:p w14:paraId="2F532352"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רמ"ה</w:t>
      </w:r>
      <w:r w:rsidRPr="003124AA">
        <w:rPr>
          <w:rFonts w:ascii="Narkisim" w:hAnsi="Narkisim"/>
          <w:rtl/>
        </w:rPr>
        <w:t xml:space="preserve"> (בר' ירוחם הו' בב"י ובי"ש קעה י) כת' דאף דקי"ל כר"א, אם גדלה ולא מיאנה מוציא את אשתו בגט ואשת אחיו בחליצה. דקי"ל יש זיקה. ואפי' בא עליה משגדלה</w:t>
      </w:r>
      <w:r w:rsidRPr="003124AA">
        <w:rPr>
          <w:rStyle w:val="ac"/>
          <w:rFonts w:ascii="Narkisim" w:hAnsi="Narkisim"/>
          <w:rtl/>
        </w:rPr>
        <w:footnoteReference w:id="7176"/>
      </w:r>
      <w:r w:rsidRPr="003124AA">
        <w:rPr>
          <w:rFonts w:ascii="Narkisim" w:hAnsi="Narkisim"/>
          <w:rtl/>
        </w:rPr>
        <w:t>.</w:t>
      </w:r>
    </w:p>
    <w:p w14:paraId="237ECDBE" w14:textId="77777777" w:rsidR="006C4368" w:rsidRPr="003124AA" w:rsidRDefault="006C4368" w:rsidP="006C4368">
      <w:pPr>
        <w:bidi/>
        <w:rPr>
          <w:rFonts w:ascii="Narkisim" w:hAnsi="Narkisim" w:cs="Narkisim"/>
        </w:rPr>
      </w:pPr>
      <w:r w:rsidRPr="003124AA">
        <w:rPr>
          <w:rFonts w:ascii="Narkisim" w:hAnsi="Narkisim" w:cs="Narkisim"/>
          <w:u w:val="single"/>
          <w:rtl/>
        </w:rPr>
        <w:t>ויתרחק מג' דברים, מן המיאון וכו'</w:t>
      </w:r>
      <w:r w:rsidRPr="003124AA">
        <w:rPr>
          <w:rFonts w:ascii="Narkisim" w:hAnsi="Narkisim" w:cs="Narkisim"/>
          <w:rtl/>
        </w:rPr>
        <w:t>. ה</w:t>
      </w:r>
      <w:r w:rsidRPr="003124AA">
        <w:rPr>
          <w:rFonts w:ascii="Narkisim" w:hAnsi="Narkisim" w:cs="Narkisim"/>
          <w:b/>
          <w:bCs/>
          <w:rtl/>
        </w:rPr>
        <w:t>ראשונים</w:t>
      </w:r>
      <w:r w:rsidRPr="003124AA">
        <w:rPr>
          <w:rFonts w:ascii="Narkisim" w:hAnsi="Narkisim" w:cs="Narkisim"/>
          <w:rtl/>
        </w:rPr>
        <w:t xml:space="preserve"> (לעיל קז.) הק' דבית הלל אמרו דממאנין ארוסות ונשואות. [והלשון משמע לכתחילה]. וה</w:t>
      </w:r>
      <w:r w:rsidRPr="003124AA">
        <w:rPr>
          <w:rFonts w:ascii="Narkisim" w:hAnsi="Narkisim" w:cs="Narkisim"/>
          <w:b/>
          <w:bCs/>
          <w:rtl/>
        </w:rPr>
        <w:t>רשב"א</w:t>
      </w:r>
      <w:r w:rsidRPr="003124AA">
        <w:rPr>
          <w:rFonts w:ascii="Narkisim" w:hAnsi="Narkisim" w:cs="Narkisim"/>
          <w:rtl/>
        </w:rPr>
        <w:t xml:space="preserve"> (שם) פי' כשבאה לפנינו למאן אין נמנעין מלהזקק לה</w:t>
      </w:r>
      <w:r w:rsidRPr="003124AA">
        <w:rPr>
          <w:rStyle w:val="ac"/>
          <w:rFonts w:ascii="Narkisim" w:hAnsi="Narkisim" w:cs="Narkisim"/>
          <w:rtl/>
        </w:rPr>
        <w:footnoteReference w:id="7177"/>
      </w:r>
      <w:r w:rsidRPr="003124AA">
        <w:rPr>
          <w:rFonts w:ascii="Narkisim" w:hAnsi="Narkisim" w:cs="Narkisim"/>
          <w:rtl/>
        </w:rPr>
        <w:t>, וקו' הגמ' היכא דיושבת לבטח עם בעלה האיך מותר ללמדה למאן. [משמע דעיקר דברי בר קפרא דיש להתרחק מכל מיאון, אלא דהיכא דבאה לפנינו יש להזקק לה. וקו' הגמ' דבסוגיין אין לנו לעורר אותה וללמדה].</w:t>
      </w:r>
    </w:p>
    <w:p w14:paraId="52A7BA67" w14:textId="77777777" w:rsidR="006C4368" w:rsidRPr="003124AA" w:rsidRDefault="006C4368" w:rsidP="006C4368">
      <w:pPr>
        <w:pStyle w:val="a7"/>
        <w:bidi/>
        <w:rPr>
          <w:rFonts w:ascii="Narkisim" w:hAnsi="Narkisim"/>
        </w:rPr>
      </w:pPr>
      <w:r w:rsidRPr="003124AA">
        <w:rPr>
          <w:rFonts w:ascii="Narkisim" w:hAnsi="Narkisim"/>
          <w:rtl/>
        </w:rPr>
        <w:t>ושוב הביא דהירושלמי מק' כן, דבי”ד אינן יושבין על המיאונים, מדברי בר קפרא. ותי' דאיירי שישבו על דבר אחר ובאת לפניהם למאן.</w:t>
      </w:r>
    </w:p>
    <w:p w14:paraId="07A6ED18" w14:textId="77777777" w:rsidR="006C4368" w:rsidRPr="003124AA" w:rsidRDefault="006C4368" w:rsidP="006C4368">
      <w:pPr>
        <w:bidi/>
        <w:rPr>
          <w:rFonts w:ascii="Narkisim" w:hAnsi="Narkisim" w:cs="Narkisim"/>
        </w:rPr>
      </w:pPr>
      <w:r w:rsidRPr="003124AA">
        <w:rPr>
          <w:rFonts w:ascii="Narkisim" w:hAnsi="Narkisim" w:cs="Narkisim"/>
          <w:u w:val="single"/>
          <w:rtl/>
        </w:rPr>
        <w:lastRenderedPageBreak/>
        <w:t>מיאון דמצווה שאני</w:t>
      </w:r>
      <w:r w:rsidRPr="003124AA">
        <w:rPr>
          <w:rFonts w:ascii="Narkisim" w:hAnsi="Narkisim" w:cs="Narkisim"/>
          <w:rtl/>
        </w:rPr>
        <w:t>. ומלמדים משום מצוות יבום. [וכן בגמ' (לקמן קיא:) מבואר דסברת ר"א דמלמדים לקיים מצוות יבום</w:t>
      </w:r>
      <w:r w:rsidRPr="003124AA">
        <w:rPr>
          <w:rStyle w:val="ac"/>
          <w:rFonts w:ascii="Narkisim" w:hAnsi="Narkisim" w:cs="Narkisim"/>
          <w:rtl/>
        </w:rPr>
        <w:footnoteReference w:id="7178"/>
      </w:r>
      <w:r w:rsidRPr="003124AA">
        <w:rPr>
          <w:rFonts w:ascii="Narkisim" w:hAnsi="Narkisim" w:cs="Narkisim"/>
          <w:rtl/>
        </w:rPr>
        <w:t xml:space="preserve">]. </w:t>
      </w:r>
      <w:r w:rsidRPr="003124AA">
        <w:rPr>
          <w:rFonts w:ascii="Narkisim" w:hAnsi="Narkisim" w:cs="Narkisim"/>
          <w:szCs w:val="20"/>
          <w:rtl/>
        </w:rPr>
        <w:t>וה</w:t>
      </w:r>
      <w:r w:rsidRPr="003124AA">
        <w:rPr>
          <w:rFonts w:ascii="Narkisim" w:hAnsi="Narkisim" w:cs="Narkisim"/>
          <w:b/>
          <w:bCs/>
          <w:szCs w:val="20"/>
          <w:rtl/>
        </w:rPr>
        <w:t>מאירי</w:t>
      </w:r>
      <w:r w:rsidRPr="003124AA">
        <w:rPr>
          <w:rFonts w:ascii="Narkisim" w:hAnsi="Narkisim" w:cs="Narkisim"/>
          <w:szCs w:val="20"/>
          <w:rtl/>
        </w:rPr>
        <w:t xml:space="preserve"> (ברכות כז.) כת' דסברת ר' יהודה בן בבא [דס”ל כר”א, וכדאי' נדה ח.]. דמשתדלים בכך כדי לקיים מצות יבום, וכן כדי שלא תעמוד זו עגונה עד שתגדיל זו</w:t>
      </w:r>
      <w:r w:rsidRPr="003124AA">
        <w:rPr>
          <w:rFonts w:ascii="Narkisim" w:hAnsi="Narkisim" w:cs="Narkisim"/>
          <w:rtl/>
        </w:rPr>
        <w:t>.</w:t>
      </w:r>
    </w:p>
    <w:p w14:paraId="29E265DF" w14:textId="77777777" w:rsidR="006C4368" w:rsidRPr="003124AA" w:rsidRDefault="006C4368" w:rsidP="006C4368">
      <w:pPr>
        <w:bidi/>
        <w:rPr>
          <w:rFonts w:ascii="Narkisim" w:hAnsi="Narkisim" w:cs="Narkisim"/>
        </w:rPr>
      </w:pPr>
      <w:r w:rsidRPr="003124AA">
        <w:rPr>
          <w:rFonts w:ascii="Narkisim" w:hAnsi="Narkisim" w:cs="Narkisim"/>
          <w:rtl/>
        </w:rPr>
        <w:t>ויש שדנו דלכאורה ה"מ למ"ד דמצוות יבום קודמת, אבל לאבא שאול (ע' בסמוך) דמצוות חליצה קודמת אמאי מלמדין</w:t>
      </w:r>
      <w:r w:rsidRPr="003124AA">
        <w:rPr>
          <w:rStyle w:val="ac"/>
          <w:rFonts w:ascii="Narkisim" w:hAnsi="Narkisim" w:cs="Narkisim"/>
          <w:rtl/>
        </w:rPr>
        <w:footnoteReference w:id="7179"/>
      </w:r>
      <w:r w:rsidRPr="003124AA">
        <w:rPr>
          <w:rFonts w:ascii="Narkisim" w:hAnsi="Narkisim" w:cs="Narkisim"/>
          <w:rtl/>
        </w:rPr>
        <w:t xml:space="preserve"> (וכה”ק ה</w:t>
      </w:r>
      <w:r w:rsidRPr="003124AA">
        <w:rPr>
          <w:rFonts w:ascii="Narkisim" w:hAnsi="Narkisim" w:cs="Narkisim"/>
          <w:b/>
          <w:bCs/>
          <w:rtl/>
        </w:rPr>
        <w:t>ערול"נ</w:t>
      </w:r>
      <w:r w:rsidRPr="003124AA">
        <w:rPr>
          <w:rFonts w:ascii="Narkisim" w:hAnsi="Narkisim" w:cs="Narkisim"/>
          <w:rtl/>
        </w:rPr>
        <w:t xml:space="preserve"> וה</w:t>
      </w:r>
      <w:r w:rsidRPr="003124AA">
        <w:rPr>
          <w:rFonts w:ascii="Narkisim" w:hAnsi="Narkisim" w:cs="Narkisim"/>
          <w:b/>
          <w:bCs/>
          <w:rtl/>
        </w:rPr>
        <w:t>חזו”א</w:t>
      </w:r>
      <w:r w:rsidRPr="003124AA">
        <w:rPr>
          <w:rFonts w:ascii="Narkisim" w:hAnsi="Narkisim" w:cs="Narkisim"/>
          <w:rtl/>
        </w:rPr>
        <w:t xml:space="preserve"> קכט יד). </w:t>
      </w:r>
      <w:r w:rsidRPr="003124AA">
        <w:rPr>
          <w:rFonts w:ascii="Narkisim" w:hAnsi="Narkisim" w:cs="Narkisim"/>
          <w:szCs w:val="20"/>
          <w:rtl/>
        </w:rPr>
        <w:t>אך מבואר (בגמ' קי.) דקי"ל כר"א, ואף דדעת ר"ת</w:t>
      </w:r>
      <w:r w:rsidRPr="003124AA">
        <w:rPr>
          <w:rStyle w:val="ac"/>
          <w:rFonts w:ascii="Narkisim" w:hAnsi="Narkisim" w:cs="Narkisim"/>
          <w:szCs w:val="20"/>
          <w:rtl/>
        </w:rPr>
        <w:footnoteReference w:id="7180"/>
      </w:r>
      <w:r w:rsidRPr="003124AA">
        <w:rPr>
          <w:rFonts w:ascii="Narkisim" w:hAnsi="Narkisim" w:cs="Narkisim"/>
          <w:szCs w:val="20"/>
          <w:rtl/>
        </w:rPr>
        <w:t xml:space="preserve"> (בתוס' לעיל לט:) דקי"ל כאבא שאול</w:t>
      </w:r>
      <w:r w:rsidRPr="003124AA">
        <w:rPr>
          <w:rStyle w:val="ac"/>
          <w:rFonts w:ascii="Narkisim" w:hAnsi="Narkisim" w:cs="Narkisim"/>
          <w:szCs w:val="20"/>
          <w:rtl/>
        </w:rPr>
        <w:footnoteReference w:id="7181"/>
      </w:r>
      <w:r w:rsidRPr="003124AA">
        <w:rPr>
          <w:rFonts w:ascii="Narkisim" w:hAnsi="Narkisim" w:cs="Narkisim"/>
          <w:rtl/>
        </w:rPr>
        <w:t>.</w:t>
      </w:r>
    </w:p>
    <w:p w14:paraId="6D6ADFAB" w14:textId="77777777" w:rsidR="006C4368" w:rsidRPr="003124AA" w:rsidRDefault="006C4368" w:rsidP="006C4368">
      <w:pPr>
        <w:pStyle w:val="a7"/>
        <w:bidi/>
        <w:rPr>
          <w:rFonts w:ascii="Narkisim" w:hAnsi="Narkisim"/>
        </w:rPr>
      </w:pPr>
      <w:r w:rsidRPr="003124AA">
        <w:rPr>
          <w:rFonts w:ascii="Narkisim" w:hAnsi="Narkisim"/>
          <w:rtl/>
        </w:rPr>
        <w:t>ויש שפי' דלאבא שאול איירי במי שמתכוון לשם מצווה. ואף דבסתמא מצוות חליצה קודמת, משום דחוששין שלא יתכוון. אבל במי שידוע לנו שנתכוון לשם מצווה ודאי חליצה במקום יבום לאו מצווה הוא (וכן משמע בכמה ראשונים, וע”ע בי”ש קעד ג)</w:t>
      </w:r>
      <w:r w:rsidRPr="003124AA">
        <w:rPr>
          <w:rStyle w:val="ac"/>
          <w:rFonts w:ascii="Narkisim" w:hAnsi="Narkisim"/>
          <w:rtl/>
        </w:rPr>
        <w:footnoteReference w:id="7182"/>
      </w:r>
      <w:r w:rsidRPr="003124AA">
        <w:rPr>
          <w:rFonts w:ascii="Narkisim" w:hAnsi="Narkisim"/>
          <w:rtl/>
        </w:rPr>
        <w:t xml:space="preserve">.  </w:t>
      </w:r>
    </w:p>
    <w:p w14:paraId="3813A426"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הגמ' (לעיל יג.) מק' אהא דתנן (לעיל ב:) דהיכא דהערוה יכולה למאן צרתה חולצת, ותמאן השתא [בזיקה], ותתייבם צרתה. ו</w:t>
      </w:r>
      <w:r w:rsidRPr="003124AA">
        <w:rPr>
          <w:rFonts w:ascii="Narkisim" w:hAnsi="Narkisim" w:cs="Narkisim"/>
          <w:b/>
          <w:bCs/>
          <w:rtl/>
        </w:rPr>
        <w:t>תוס</w:t>
      </w:r>
      <w:r w:rsidRPr="003124AA">
        <w:rPr>
          <w:rFonts w:ascii="Narkisim" w:hAnsi="Narkisim" w:cs="Narkisim"/>
          <w:rtl/>
        </w:rPr>
        <w:t>' (יג. ד"ה תמאן) הק' דהיינו למ"ד (ר"א) דמלמדים למאן במקום מצווה. ו</w:t>
      </w:r>
      <w:r w:rsidRPr="003124AA">
        <w:rPr>
          <w:rFonts w:ascii="Narkisim" w:hAnsi="Narkisim" w:cs="Narkisim"/>
          <w:b/>
          <w:bCs/>
          <w:rtl/>
        </w:rPr>
        <w:t>תוס</w:t>
      </w:r>
      <w:r w:rsidRPr="003124AA">
        <w:rPr>
          <w:rFonts w:ascii="Narkisim" w:hAnsi="Narkisim" w:cs="Narkisim"/>
          <w:rtl/>
        </w:rPr>
        <w:t>' (בתי' הב') תי' דכוונת הגמ' דאם מיאנה תתייבם צרתה.</w:t>
      </w:r>
    </w:p>
    <w:p w14:paraId="648D178D" w14:textId="77777777" w:rsidR="006C4368" w:rsidRPr="003124AA" w:rsidRDefault="006C4368" w:rsidP="006C4368">
      <w:pPr>
        <w:pStyle w:val="a7"/>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xml:space="preserve">' </w:t>
      </w:r>
      <w:r w:rsidRPr="003124AA">
        <w:rPr>
          <w:rFonts w:ascii="Narkisim" w:hAnsi="Narkisim"/>
          <w:szCs w:val="20"/>
          <w:rtl/>
        </w:rPr>
        <w:t>(בתי' הא')</w:t>
      </w:r>
      <w:r w:rsidRPr="003124AA">
        <w:rPr>
          <w:rFonts w:ascii="Narkisim" w:hAnsi="Narkisim"/>
          <w:rtl/>
        </w:rPr>
        <w:t xml:space="preserve"> כת' דה"מ להוציאה מבעלה</w:t>
      </w:r>
      <w:r w:rsidRPr="003124AA">
        <w:rPr>
          <w:rStyle w:val="ac"/>
          <w:rFonts w:ascii="Narkisim" w:hAnsi="Narkisim"/>
          <w:rtl/>
        </w:rPr>
        <w:footnoteReference w:id="7183"/>
      </w:r>
      <w:r w:rsidRPr="003124AA">
        <w:rPr>
          <w:rFonts w:ascii="Narkisim" w:hAnsi="Narkisim"/>
          <w:rtl/>
        </w:rPr>
        <w:t>. אבל הכא דכבר מת בעלה כו"ע מודים דמלמדים אותה למאן</w:t>
      </w:r>
      <w:r w:rsidRPr="003124AA">
        <w:rPr>
          <w:rStyle w:val="ac"/>
          <w:rFonts w:ascii="Narkisim" w:hAnsi="Narkisim"/>
          <w:rtl/>
        </w:rPr>
        <w:footnoteReference w:id="7184"/>
      </w:r>
      <w:r w:rsidRPr="003124AA">
        <w:rPr>
          <w:rFonts w:ascii="Narkisim" w:hAnsi="Narkisim"/>
          <w:rtl/>
        </w:rPr>
        <w:t>. וה</w:t>
      </w:r>
      <w:r w:rsidRPr="003124AA">
        <w:rPr>
          <w:rFonts w:ascii="Narkisim" w:hAnsi="Narkisim"/>
          <w:b/>
          <w:bCs/>
          <w:rtl/>
        </w:rPr>
        <w:t>תוס' מהר"ם ור"פ</w:t>
      </w:r>
      <w:r w:rsidRPr="003124AA">
        <w:rPr>
          <w:rFonts w:ascii="Narkisim" w:hAnsi="Narkisim"/>
          <w:rtl/>
        </w:rPr>
        <w:t xml:space="preserve"> (לעיל יג.) הוסיף דגבי ערוה (שם) בלאו הכי הערוה אסורה, ויש לנו ללמדה למאן ותתייבם צרתה. [וע"ע לקמן קיא: בשם הרמב”ן].</w:t>
      </w:r>
    </w:p>
    <w:p w14:paraId="13CD5C95" w14:textId="77777777" w:rsidR="006C4368" w:rsidRPr="003124AA" w:rsidRDefault="006C4368" w:rsidP="006C4368">
      <w:pPr>
        <w:pStyle w:val="aa"/>
        <w:bidi/>
        <w:rPr>
          <w:rFonts w:ascii="Narkisim" w:hAnsi="Narkisim"/>
        </w:rPr>
      </w:pPr>
      <w:r w:rsidRPr="003124AA">
        <w:rPr>
          <w:rFonts w:ascii="Narkisim" w:hAnsi="Narkisim"/>
          <w:u w:val="single"/>
          <w:rtl/>
        </w:rPr>
        <w:t>תוד"ה ויתרחק</w:t>
      </w:r>
      <w:r w:rsidRPr="003124AA">
        <w:rPr>
          <w:rFonts w:ascii="Narkisim" w:hAnsi="Narkisim"/>
          <w:rtl/>
        </w:rPr>
        <w:t>. פר"ח בשם גאון דאין לקדש יתומה</w:t>
      </w:r>
      <w:r w:rsidRPr="003124AA">
        <w:rPr>
          <w:rStyle w:val="ac"/>
          <w:rFonts w:ascii="Narkisim" w:hAnsi="Narkisim"/>
          <w:rtl/>
        </w:rPr>
        <w:footnoteReference w:id="7185"/>
      </w:r>
      <w:r w:rsidRPr="003124AA">
        <w:rPr>
          <w:rFonts w:ascii="Narkisim" w:hAnsi="Narkisim"/>
          <w:rtl/>
        </w:rPr>
        <w:t xml:space="preserve"> וכו' כדי להתרחק מן המיאונים וכו'. דעת הגאון דיתרחק של יבואו כלל לידי מיאון. [ויל"ד אי הכל משום חשש שתמאן ותתחרט (וכדאי' בע”ב). או דהטעם שיאמרו דאשת איש יוצאת בלא גט].</w:t>
      </w:r>
    </w:p>
    <w:p w14:paraId="48658A3C" w14:textId="77777777" w:rsidR="006C4368" w:rsidRPr="003124AA" w:rsidRDefault="006C4368" w:rsidP="006C4368">
      <w:pPr>
        <w:bidi/>
        <w:rPr>
          <w:rFonts w:ascii="Narkisim" w:hAnsi="Narkisim" w:cs="Narkisim"/>
        </w:rPr>
      </w:pPr>
      <w:r w:rsidRPr="003124AA">
        <w:rPr>
          <w:rFonts w:ascii="Narkisim" w:hAnsi="Narkisim" w:cs="Narkisim"/>
          <w:u w:val="single"/>
          <w:rtl/>
        </w:rPr>
        <w:t>בא"ד ומיהו מהכא אין ראיה אלא שלא ילמדוה למאן</w:t>
      </w:r>
      <w:r w:rsidRPr="003124AA">
        <w:rPr>
          <w:rFonts w:ascii="Narkisim" w:hAnsi="Narkisim" w:cs="Narkisim"/>
          <w:rtl/>
        </w:rPr>
        <w:t>. וב</w:t>
      </w:r>
      <w:r w:rsidRPr="003124AA">
        <w:rPr>
          <w:rFonts w:ascii="Narkisim" w:hAnsi="Narkisim" w:cs="Narkisim"/>
          <w:b/>
          <w:bCs/>
          <w:rtl/>
        </w:rPr>
        <w:t>הג' מיימוניות</w:t>
      </w:r>
      <w:r w:rsidRPr="003124AA">
        <w:rPr>
          <w:rFonts w:ascii="Narkisim" w:hAnsi="Narkisim" w:cs="Narkisim"/>
          <w:rtl/>
        </w:rPr>
        <w:t xml:space="preserve"> (גירושין יא) הביא דכ"כ </w:t>
      </w:r>
      <w:r w:rsidRPr="003124AA">
        <w:rPr>
          <w:rFonts w:ascii="Narkisim" w:hAnsi="Narkisim" w:cs="Narkisim"/>
          <w:b/>
          <w:bCs/>
          <w:rtl/>
        </w:rPr>
        <w:t>ר"י</w:t>
      </w:r>
      <w:r w:rsidRPr="003124AA">
        <w:rPr>
          <w:rFonts w:ascii="Narkisim" w:hAnsi="Narkisim" w:cs="Narkisim"/>
          <w:rtl/>
        </w:rPr>
        <w:t xml:space="preserve"> בתשובה דאי"צ להתרחק אלא מן המיאונין עצמן, כגון להשיאה עצה שלא למאן, ושאין מלמדין את הקטנה שתמאן. דבזה איירי בסוגיין</w:t>
      </w:r>
      <w:r w:rsidRPr="003124AA">
        <w:rPr>
          <w:rStyle w:val="ac"/>
          <w:rFonts w:ascii="Narkisim" w:hAnsi="Narkisim" w:cs="Narkisim"/>
          <w:rtl/>
        </w:rPr>
        <w:footnoteReference w:id="7186"/>
      </w:r>
      <w:r w:rsidRPr="003124AA">
        <w:rPr>
          <w:rFonts w:ascii="Narkisim" w:hAnsi="Narkisim" w:cs="Narkisim"/>
          <w:rtl/>
        </w:rPr>
        <w:t>. [והתוס' רא"ש הוסיף או שאם באה למאן לפנינו לא יזדקקו לה].</w:t>
      </w:r>
    </w:p>
    <w:p w14:paraId="7A74EBEC" w14:textId="77777777" w:rsidR="006C4368" w:rsidRPr="003124AA" w:rsidRDefault="006C4368" w:rsidP="006C4368">
      <w:pPr>
        <w:pStyle w:val="a8"/>
        <w:bidi/>
        <w:rPr>
          <w:rFonts w:ascii="Narkisim" w:hAnsi="Narkisim"/>
        </w:rPr>
      </w:pPr>
      <w:r w:rsidRPr="003124AA">
        <w:rPr>
          <w:rFonts w:ascii="Narkisim" w:hAnsi="Narkisim"/>
          <w:rtl/>
        </w:rPr>
        <w:lastRenderedPageBreak/>
        <w:t>ו</w:t>
      </w:r>
      <w:r w:rsidRPr="003124AA">
        <w:rPr>
          <w:rFonts w:ascii="Narkisim" w:hAnsi="Narkisim"/>
          <w:b/>
          <w:bCs/>
          <w:rtl/>
        </w:rPr>
        <w:t>ר"י</w:t>
      </w:r>
      <w:r w:rsidRPr="003124AA">
        <w:rPr>
          <w:rFonts w:ascii="Narkisim" w:hAnsi="Narkisim"/>
          <w:rtl/>
        </w:rPr>
        <w:t xml:space="preserve"> סיים דבמקום שלא היה דומה שהיה בא לידי מיאון יש להתיר להשיא יתומה קטנה</w:t>
      </w:r>
      <w:r w:rsidRPr="003124AA">
        <w:rPr>
          <w:rStyle w:val="ac"/>
          <w:rFonts w:ascii="Narkisim" w:hAnsi="Narkisim"/>
          <w:rtl/>
        </w:rPr>
        <w:footnoteReference w:id="7187"/>
      </w:r>
      <w:r w:rsidRPr="003124AA">
        <w:rPr>
          <w:rFonts w:ascii="Narkisim" w:hAnsi="Narkisim"/>
          <w:rtl/>
        </w:rPr>
        <w:t>. אך אפ"ה במקום שקרוב לודאי שתמאן אח"כ</w:t>
      </w:r>
      <w:r w:rsidRPr="003124AA">
        <w:rPr>
          <w:rStyle w:val="ac"/>
          <w:rFonts w:ascii="Narkisim" w:hAnsi="Narkisim"/>
          <w:rtl/>
        </w:rPr>
        <w:footnoteReference w:id="7188"/>
      </w:r>
      <w:r w:rsidRPr="003124AA">
        <w:rPr>
          <w:rFonts w:ascii="Narkisim" w:hAnsi="Narkisim"/>
          <w:rtl/>
        </w:rPr>
        <w:t xml:space="preserve"> אין לעבור על דברי הגאון. דעי"ז יבא לידי קלקול גדול, ולכך טוב להמתין עד שתגדיל. וכ"פ הרמ"א (קנה א).</w:t>
      </w:r>
    </w:p>
    <w:p w14:paraId="728BAB8D"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ר' מנחם ממרזבורק</w:t>
      </w:r>
      <w:r w:rsidRPr="003124AA">
        <w:rPr>
          <w:rFonts w:ascii="Narkisim" w:hAnsi="Narkisim"/>
          <w:rtl/>
        </w:rPr>
        <w:t xml:space="preserve"> (מעיל צדק, מגדולי אשכנז לפני מהר"י וייל, והו' בשו"ת מהר”י מינץ יג וביש"ש וברמ”א קנה כב) תיקן שלא להתיר במיאון בזה"ז בלא גט</w:t>
      </w:r>
      <w:r w:rsidRPr="003124AA">
        <w:rPr>
          <w:rStyle w:val="ac"/>
          <w:rFonts w:ascii="Narkisim" w:hAnsi="Narkisim"/>
          <w:rtl/>
        </w:rPr>
        <w:footnoteReference w:id="7189"/>
      </w:r>
      <w:r w:rsidRPr="003124AA">
        <w:rPr>
          <w:rFonts w:ascii="Narkisim" w:hAnsi="Narkisim"/>
          <w:rtl/>
        </w:rPr>
        <w:t>. וה</w:t>
      </w:r>
      <w:r w:rsidRPr="003124AA">
        <w:rPr>
          <w:rFonts w:ascii="Narkisim" w:hAnsi="Narkisim"/>
          <w:b/>
          <w:bCs/>
          <w:rtl/>
        </w:rPr>
        <w:t>דרכ"מ</w:t>
      </w:r>
      <w:r w:rsidRPr="003124AA">
        <w:rPr>
          <w:rFonts w:ascii="Narkisim" w:hAnsi="Narkisim"/>
          <w:rtl/>
        </w:rPr>
        <w:t xml:space="preserve"> (קנה י) הביא ר' יעקב פולק עשה מעשה בימיו והתיר אשה שמיאנה בימיו, ובאמת שחלקו עליו גדולי אשכנז</w:t>
      </w:r>
      <w:r w:rsidRPr="003124AA">
        <w:rPr>
          <w:rStyle w:val="ac"/>
          <w:rFonts w:ascii="Narkisim" w:hAnsi="Narkisim"/>
          <w:rtl/>
        </w:rPr>
        <w:footnoteReference w:id="7190"/>
      </w:r>
      <w:r w:rsidRPr="003124AA">
        <w:rPr>
          <w:rFonts w:ascii="Narkisim" w:hAnsi="Narkisim"/>
          <w:rtl/>
        </w:rPr>
        <w:t>, אבל מ"מ לא אשגח בהו. ויצא הדבר בהיתר ונשאת לאיש אחר בלא גט</w:t>
      </w:r>
      <w:r w:rsidRPr="003124AA">
        <w:rPr>
          <w:rStyle w:val="ac"/>
          <w:rFonts w:ascii="Narkisim" w:hAnsi="Narkisim"/>
          <w:rtl/>
        </w:rPr>
        <w:footnoteReference w:id="7191"/>
      </w:r>
      <w:r w:rsidRPr="003124AA">
        <w:rPr>
          <w:rFonts w:ascii="Narkisim" w:hAnsi="Narkisim"/>
          <w:rtl/>
        </w:rPr>
        <w:t>.</w:t>
      </w:r>
    </w:p>
    <w:p w14:paraId="734132EF" w14:textId="77777777" w:rsidR="006C4368" w:rsidRPr="003124AA" w:rsidRDefault="006C4368" w:rsidP="006C4368">
      <w:pPr>
        <w:bidi/>
        <w:rPr>
          <w:rFonts w:ascii="Narkisim" w:hAnsi="Narkisim" w:cs="Narkisim"/>
        </w:rPr>
      </w:pPr>
      <w:r w:rsidRPr="003124AA">
        <w:rPr>
          <w:rFonts w:ascii="Narkisim" w:hAnsi="Narkisim" w:cs="Narkisim"/>
          <w:u w:val="single"/>
          <w:rtl/>
        </w:rPr>
        <w:t>בחליצה כאבא שאול וכו'</w:t>
      </w:r>
      <w:r w:rsidRPr="003124AA">
        <w:rPr>
          <w:rFonts w:ascii="Narkisim" w:hAnsi="Narkisim" w:cs="Narkisim"/>
          <w:rtl/>
        </w:rPr>
        <w:t>. ונח' ה</w:t>
      </w:r>
      <w:r w:rsidRPr="003124AA">
        <w:rPr>
          <w:rFonts w:ascii="Narkisim" w:hAnsi="Narkisim" w:cs="Narkisim"/>
          <w:b/>
          <w:bCs/>
          <w:rtl/>
        </w:rPr>
        <w:t>ראשונים</w:t>
      </w:r>
      <w:r w:rsidRPr="003124AA">
        <w:rPr>
          <w:rFonts w:ascii="Narkisim" w:hAnsi="Narkisim" w:cs="Narkisim"/>
          <w:rtl/>
        </w:rPr>
        <w:t xml:space="preserve"> (ע' תוס' לעיל לט:) אי קי"ל כאבא שאול, וה</w:t>
      </w:r>
      <w:r w:rsidRPr="003124AA">
        <w:rPr>
          <w:rFonts w:ascii="Narkisim" w:hAnsi="Narkisim" w:cs="Narkisim"/>
          <w:b/>
          <w:bCs/>
          <w:rtl/>
        </w:rPr>
        <w:t>רמב”ם</w:t>
      </w:r>
      <w:r w:rsidRPr="003124AA">
        <w:rPr>
          <w:rFonts w:ascii="Narkisim" w:hAnsi="Narkisim" w:cs="Narkisim"/>
          <w:rtl/>
        </w:rPr>
        <w:t xml:space="preserve"> (יבום א ב וסה"מ עשה ריז, ופיה”מ בכורות א) פסק דמצוות יבום קודמת, ודלא כאבא שאול.</w:t>
      </w:r>
    </w:p>
    <w:p w14:paraId="274BFEA0" w14:textId="77777777" w:rsidR="006C4368" w:rsidRPr="003124AA" w:rsidRDefault="006C4368" w:rsidP="006C4368">
      <w:pPr>
        <w:pStyle w:val="a7"/>
        <w:bidi/>
        <w:rPr>
          <w:rFonts w:ascii="Narkisim" w:hAnsi="Narkisim"/>
        </w:rPr>
      </w:pPr>
      <w:r w:rsidRPr="003124AA">
        <w:rPr>
          <w:rFonts w:ascii="Narkisim" w:hAnsi="Narkisim"/>
          <w:rtl/>
        </w:rPr>
        <w:t>אבל ה</w:t>
      </w:r>
      <w:r w:rsidRPr="003124AA">
        <w:rPr>
          <w:rFonts w:ascii="Narkisim" w:hAnsi="Narkisim"/>
          <w:b/>
          <w:bCs/>
          <w:rtl/>
        </w:rPr>
        <w:t>רמב"ם</w:t>
      </w:r>
      <w:r w:rsidRPr="003124AA">
        <w:rPr>
          <w:rFonts w:ascii="Narkisim" w:hAnsi="Narkisim"/>
          <w:rtl/>
        </w:rPr>
        <w:t xml:space="preserve"> (גירושין י טז) פסק דלעולם יתרחק אדם מעדות מיאון ויתקרב לחליצה. [ומבואר מדבריו דקאי על העדים]. וה</w:t>
      </w:r>
      <w:r w:rsidRPr="003124AA">
        <w:rPr>
          <w:rFonts w:ascii="Narkisim" w:hAnsi="Narkisim"/>
          <w:b/>
          <w:bCs/>
          <w:rtl/>
        </w:rPr>
        <w:t>לח"מ</w:t>
      </w:r>
      <w:r w:rsidRPr="003124AA">
        <w:rPr>
          <w:rFonts w:ascii="Narkisim" w:hAnsi="Narkisim"/>
          <w:rtl/>
        </w:rPr>
        <w:t xml:space="preserve"> תמה דכיון דפסק דלא כאבא שאול אמאי פסק להתקרב לחליצה. וה</w:t>
      </w:r>
      <w:r w:rsidRPr="003124AA">
        <w:rPr>
          <w:rFonts w:ascii="Narkisim" w:hAnsi="Narkisim"/>
          <w:b/>
          <w:bCs/>
          <w:rtl/>
        </w:rPr>
        <w:t>מרכבת המשנה</w:t>
      </w:r>
      <w:r w:rsidRPr="003124AA">
        <w:rPr>
          <w:rFonts w:ascii="Narkisim" w:hAnsi="Narkisim"/>
          <w:rtl/>
        </w:rPr>
        <w:t xml:space="preserve"> הביא בשם ר' דוד עראמה דמש"ה הרמב"ם העמיד על הדיין, דהיכא דהיבם אינו רוצה לייבם יש מצווה להיות דיין לחליצה</w:t>
      </w:r>
      <w:r w:rsidRPr="003124AA">
        <w:rPr>
          <w:rStyle w:val="ac"/>
          <w:rFonts w:ascii="Narkisim" w:hAnsi="Narkisim"/>
          <w:rtl/>
        </w:rPr>
        <w:footnoteReference w:id="7192"/>
      </w:r>
      <w:r w:rsidRPr="003124AA">
        <w:rPr>
          <w:rFonts w:ascii="Narkisim" w:hAnsi="Narkisim"/>
          <w:rtl/>
        </w:rPr>
        <w:t>.</w:t>
      </w:r>
    </w:p>
    <w:p w14:paraId="29740715" w14:textId="77777777" w:rsidR="006C4368" w:rsidRPr="003124AA" w:rsidRDefault="006C4368" w:rsidP="006C4368">
      <w:pPr>
        <w:pStyle w:val="3"/>
        <w:bidi/>
        <w:rPr>
          <w:rFonts w:ascii="Narkisim" w:hAnsi="Narkisim"/>
        </w:rPr>
      </w:pPr>
      <w:r w:rsidRPr="003124AA">
        <w:rPr>
          <w:rFonts w:ascii="Narkisim" w:hAnsi="Narkisim"/>
          <w:rtl/>
        </w:rPr>
        <w:t>דף קט:</w:t>
      </w:r>
    </w:p>
    <w:p w14:paraId="63408AFE" w14:textId="77777777" w:rsidR="006C4368" w:rsidRPr="003124AA" w:rsidRDefault="006C4368" w:rsidP="006C4368">
      <w:pPr>
        <w:pStyle w:val="aa"/>
        <w:bidi/>
        <w:rPr>
          <w:rFonts w:ascii="Narkisim" w:hAnsi="Narkisim"/>
        </w:rPr>
      </w:pPr>
      <w:r w:rsidRPr="003124AA">
        <w:rPr>
          <w:rFonts w:ascii="Narkisim" w:hAnsi="Narkisim"/>
          <w:u w:val="single"/>
          <w:rtl/>
        </w:rPr>
        <w:t>הנודר כאילו בנה במה וכו'</w:t>
      </w:r>
      <w:r w:rsidRPr="003124AA">
        <w:rPr>
          <w:rFonts w:ascii="Narkisim" w:hAnsi="Narkisim"/>
          <w:rtl/>
        </w:rPr>
        <w:t>. פ</w:t>
      </w:r>
      <w:r w:rsidRPr="003124AA">
        <w:rPr>
          <w:rFonts w:ascii="Narkisim" w:hAnsi="Narkisim"/>
          <w:b/>
          <w:bCs/>
          <w:rtl/>
        </w:rPr>
        <w:t>רש”י</w:t>
      </w:r>
      <w:r w:rsidRPr="003124AA">
        <w:rPr>
          <w:rFonts w:ascii="Narkisim" w:hAnsi="Narkisim"/>
          <w:rtl/>
        </w:rPr>
        <w:t xml:space="preserve"> (כאן ובכ"מ, והרא"ש והר"ן נדרים כב.) בשעת איסור הבמות. וקאי במקריב לגבוה בחוץ. אבל ה</w:t>
      </w:r>
      <w:r w:rsidRPr="003124AA">
        <w:rPr>
          <w:rFonts w:ascii="Narkisim" w:hAnsi="Narkisim"/>
          <w:b/>
          <w:bCs/>
          <w:rtl/>
        </w:rPr>
        <w:t>מפרש</w:t>
      </w:r>
      <w:r w:rsidRPr="003124AA">
        <w:rPr>
          <w:rFonts w:ascii="Narkisim" w:hAnsi="Narkisim"/>
          <w:rtl/>
        </w:rPr>
        <w:t xml:space="preserve"> (נדרים כב.) פי' במה לע”ז.</w:t>
      </w:r>
    </w:p>
    <w:p w14:paraId="3E210E5C"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ר"ן</w:t>
      </w:r>
      <w:r w:rsidRPr="003124AA">
        <w:rPr>
          <w:rFonts w:ascii="Narkisim" w:hAnsi="Narkisim"/>
          <w:rtl/>
        </w:rPr>
        <w:t xml:space="preserve"> (נדרים כב.) ביאר דהנודר ס"ד דמצווה קא עביד, דרחמנא אסריה במילי דאיסורא ואיהו נמי אסר אנפשיה. וקאמר דטעי דאדרבה דמי לבונה במה, דנהי דיש מצווה להקריב קרבנות בפנים, מוזהר שלא להוסיף ולבנות במה ולהקריב בחוץ. וה"נ כשמוסיף איהו לאסור נחשב פושע</w:t>
      </w:r>
      <w:r w:rsidRPr="003124AA">
        <w:rPr>
          <w:rStyle w:val="ac"/>
          <w:rFonts w:ascii="Narkisim" w:hAnsi="Narkisim"/>
          <w:rtl/>
        </w:rPr>
        <w:footnoteReference w:id="7193"/>
      </w:r>
      <w:r w:rsidRPr="003124AA">
        <w:rPr>
          <w:rFonts w:ascii="Narkisim" w:hAnsi="Narkisim"/>
          <w:rtl/>
        </w:rPr>
        <w:t>.</w:t>
      </w:r>
    </w:p>
    <w:p w14:paraId="1530C255" w14:textId="77777777" w:rsidR="006C4368" w:rsidRPr="003124AA" w:rsidRDefault="006C4368" w:rsidP="006C4368">
      <w:pPr>
        <w:pStyle w:val="aa"/>
        <w:bidi/>
        <w:rPr>
          <w:rFonts w:ascii="Narkisim" w:hAnsi="Narkisim"/>
        </w:rPr>
      </w:pPr>
      <w:r w:rsidRPr="003124AA">
        <w:rPr>
          <w:rFonts w:ascii="Narkisim" w:hAnsi="Narkisim"/>
          <w:u w:val="single"/>
          <w:rtl/>
        </w:rPr>
        <w:t>והמקיימו וכו'</w:t>
      </w:r>
      <w:r w:rsidRPr="003124AA">
        <w:rPr>
          <w:rFonts w:ascii="Narkisim" w:hAnsi="Narkisim"/>
          <w:rtl/>
        </w:rPr>
        <w:t>. פ</w:t>
      </w:r>
      <w:r w:rsidRPr="003124AA">
        <w:rPr>
          <w:rFonts w:ascii="Narkisim" w:hAnsi="Narkisim"/>
          <w:b/>
          <w:bCs/>
          <w:rtl/>
        </w:rPr>
        <w:t>רש"י</w:t>
      </w:r>
      <w:r w:rsidRPr="003124AA">
        <w:rPr>
          <w:rFonts w:ascii="Narkisim" w:hAnsi="Narkisim"/>
          <w:rtl/>
        </w:rPr>
        <w:t xml:space="preserve"> אלא ילך אצל חכם ויתירנו, שלא יהא רגיל בכך</w:t>
      </w:r>
      <w:r w:rsidRPr="003124AA">
        <w:rPr>
          <w:rStyle w:val="ac"/>
          <w:rFonts w:ascii="Narkisim" w:hAnsi="Narkisim"/>
          <w:rtl/>
        </w:rPr>
        <w:footnoteReference w:id="7194"/>
      </w:r>
      <w:r w:rsidRPr="003124AA">
        <w:rPr>
          <w:rFonts w:ascii="Narkisim" w:hAnsi="Narkisim"/>
          <w:rtl/>
        </w:rPr>
        <w:t>. וה</w:t>
      </w:r>
      <w:r w:rsidRPr="003124AA">
        <w:rPr>
          <w:rFonts w:ascii="Narkisim" w:hAnsi="Narkisim"/>
          <w:b/>
          <w:bCs/>
          <w:rtl/>
        </w:rPr>
        <w:t>רמב"ם</w:t>
      </w:r>
      <w:r w:rsidRPr="003124AA">
        <w:rPr>
          <w:rFonts w:ascii="Narkisim" w:hAnsi="Narkisim"/>
          <w:rtl/>
        </w:rPr>
        <w:t xml:space="preserve"> (נדרים יג כה) כתב דמצווה לישאל כדי שלא יכשל.</w:t>
      </w:r>
    </w:p>
    <w:p w14:paraId="0A9BE15E" w14:textId="77777777" w:rsidR="006C4368" w:rsidRPr="003124AA" w:rsidRDefault="006C4368" w:rsidP="006C4368">
      <w:pPr>
        <w:pStyle w:val="aa"/>
        <w:bidi/>
        <w:rPr>
          <w:rFonts w:ascii="Narkisim" w:hAnsi="Narkisim"/>
        </w:rPr>
      </w:pPr>
      <w:r w:rsidRPr="003124AA">
        <w:rPr>
          <w:rFonts w:ascii="Narkisim" w:hAnsi="Narkisim"/>
          <w:u w:val="single"/>
          <w:rtl/>
        </w:rPr>
        <w:t>מן המיאונין, דדלמא גדלה ומיחרטה</w:t>
      </w:r>
      <w:r w:rsidRPr="003124AA">
        <w:rPr>
          <w:rFonts w:ascii="Narkisim" w:hAnsi="Narkisim"/>
          <w:rtl/>
        </w:rPr>
        <w:t>. ה</w:t>
      </w:r>
      <w:r w:rsidRPr="003124AA">
        <w:rPr>
          <w:rFonts w:ascii="Narkisim" w:hAnsi="Narkisim"/>
          <w:b/>
          <w:bCs/>
          <w:rtl/>
        </w:rPr>
        <w:t>רמב”ן</w:t>
      </w:r>
      <w:r w:rsidRPr="003124AA">
        <w:rPr>
          <w:rFonts w:ascii="Narkisim" w:hAnsi="Narkisim"/>
          <w:rtl/>
        </w:rPr>
        <w:t xml:space="preserve"> (ס' הזכות לקמן קיא: לט. בדה”ר) כת' דלפ”ז היכא דבכל אופן אסורה עליו ויוצאת, א”כ למה תתעגן עד שתגדיל ותחלוץ ותפסל לכהונה</w:t>
      </w:r>
      <w:r w:rsidRPr="003124AA">
        <w:rPr>
          <w:rStyle w:val="ac"/>
          <w:rFonts w:ascii="Narkisim" w:hAnsi="Narkisim"/>
          <w:rtl/>
        </w:rPr>
        <w:footnoteReference w:id="7195"/>
      </w:r>
      <w:r w:rsidRPr="003124AA">
        <w:rPr>
          <w:rFonts w:ascii="Narkisim" w:hAnsi="Narkisim"/>
          <w:rtl/>
        </w:rPr>
        <w:t>. וצ"ב א"כ מה הגמ' (בע"א) מק' מי שרי, דכיון דאחותה אוסרתה ל”ש דין להתרחק מהמיאון. [וכה"ק האחרונים, הו' בע"א]. וה</w:t>
      </w:r>
      <w:r w:rsidRPr="003124AA">
        <w:rPr>
          <w:rFonts w:ascii="Narkisim" w:hAnsi="Narkisim"/>
          <w:b/>
          <w:bCs/>
          <w:rtl/>
        </w:rPr>
        <w:t>לח"מ</w:t>
      </w:r>
      <w:r w:rsidRPr="003124AA">
        <w:rPr>
          <w:rFonts w:ascii="Narkisim" w:hAnsi="Narkisim"/>
          <w:rtl/>
        </w:rPr>
        <w:t xml:space="preserve"> (ה כח) כת' דקו' הגמ' למ"ד אין זיקה [וי”ל דר”א סבר דאין זיקה</w:t>
      </w:r>
      <w:r w:rsidRPr="003124AA">
        <w:rPr>
          <w:rStyle w:val="ac"/>
          <w:rFonts w:ascii="Narkisim" w:hAnsi="Narkisim"/>
          <w:rtl/>
        </w:rPr>
        <w:footnoteReference w:id="7196"/>
      </w:r>
      <w:r w:rsidRPr="003124AA">
        <w:rPr>
          <w:rFonts w:ascii="Narkisim" w:hAnsi="Narkisim"/>
          <w:rtl/>
        </w:rPr>
        <w:t>], א"כ אף שאחותה זקוקה לא נאסרה עליו. וכ"כ ה</w:t>
      </w:r>
      <w:r w:rsidRPr="003124AA">
        <w:rPr>
          <w:rFonts w:ascii="Narkisim" w:hAnsi="Narkisim"/>
          <w:b/>
          <w:bCs/>
          <w:rtl/>
        </w:rPr>
        <w:t>גר"א</w:t>
      </w:r>
      <w:r w:rsidRPr="003124AA">
        <w:rPr>
          <w:rFonts w:ascii="Narkisim" w:hAnsi="Narkisim"/>
          <w:rtl/>
        </w:rPr>
        <w:t xml:space="preserve"> (קעא ב).</w:t>
      </w:r>
    </w:p>
    <w:p w14:paraId="19218641" w14:textId="77777777" w:rsidR="006C4368" w:rsidRPr="003124AA" w:rsidRDefault="006C4368" w:rsidP="006C4368">
      <w:pPr>
        <w:pStyle w:val="aa"/>
        <w:bidi/>
        <w:rPr>
          <w:rFonts w:ascii="Narkisim" w:hAnsi="Narkisim"/>
        </w:rPr>
      </w:pPr>
      <w:r w:rsidRPr="003124AA">
        <w:rPr>
          <w:rFonts w:ascii="Narkisim" w:hAnsi="Narkisim"/>
          <w:u w:val="single"/>
          <w:rtl/>
        </w:rPr>
        <w:t>מן הפקדונות וכו'</w:t>
      </w:r>
      <w:r w:rsidRPr="003124AA">
        <w:rPr>
          <w:rFonts w:ascii="Narkisim" w:hAnsi="Narkisim"/>
          <w:rtl/>
        </w:rPr>
        <w:t>. ה</w:t>
      </w:r>
      <w:r w:rsidRPr="003124AA">
        <w:rPr>
          <w:rFonts w:ascii="Narkisim" w:hAnsi="Narkisim"/>
          <w:b/>
          <w:bCs/>
          <w:rtl/>
        </w:rPr>
        <w:t>ש"ך</w:t>
      </w:r>
      <w:r w:rsidRPr="003124AA">
        <w:rPr>
          <w:rFonts w:ascii="Narkisim" w:hAnsi="Narkisim"/>
          <w:rtl/>
        </w:rPr>
        <w:t xml:space="preserve"> (יו"ד ריז מה) כת' דאין בכלל זה שלא ילוה על המשכון. ואף דהמשכון הוה פקדון, אינו בכלל פקדונות סתם. והנודר שלא לקבל פקדונות רשאי לקבל המשכון. ודלא כ</w:t>
      </w:r>
      <w:r w:rsidRPr="003124AA">
        <w:rPr>
          <w:rFonts w:ascii="Narkisim" w:hAnsi="Narkisim"/>
          <w:b/>
          <w:bCs/>
          <w:rtl/>
        </w:rPr>
        <w:t>רמ"א</w:t>
      </w:r>
      <w:r w:rsidRPr="003124AA">
        <w:rPr>
          <w:rFonts w:ascii="Narkisim" w:hAnsi="Narkisim"/>
          <w:rtl/>
        </w:rPr>
        <w:t xml:space="preserve"> (שם, בשם מהרי"ל) דהנודר שלא לקבל פקדון אסור להלוות על המשכון. וכת' דנראה דאזלי' בתר כוונת הנודר.</w:t>
      </w:r>
    </w:p>
    <w:p w14:paraId="36281A72" w14:textId="77777777" w:rsidR="006C4368" w:rsidRPr="003124AA" w:rsidRDefault="006C4368" w:rsidP="006C4368">
      <w:pPr>
        <w:pStyle w:val="aa"/>
        <w:bidi/>
        <w:rPr>
          <w:rFonts w:ascii="Narkisim" w:hAnsi="Narkisim"/>
        </w:rPr>
      </w:pPr>
      <w:r w:rsidRPr="003124AA">
        <w:rPr>
          <w:rFonts w:ascii="Narkisim" w:hAnsi="Narkisim"/>
          <w:u w:val="single"/>
          <w:rtl/>
        </w:rPr>
        <w:t>מן הערבון בערבי שלציון וכו' דעבדי שלוף דוץ</w:t>
      </w:r>
      <w:r w:rsidRPr="003124AA">
        <w:rPr>
          <w:rStyle w:val="ac"/>
          <w:rFonts w:ascii="Narkisim" w:hAnsi="Narkisim"/>
          <w:rtl/>
        </w:rPr>
        <w:footnoteReference w:id="7197"/>
      </w:r>
      <w:r w:rsidRPr="003124AA">
        <w:rPr>
          <w:rFonts w:ascii="Narkisim" w:hAnsi="Narkisim"/>
          <w:rtl/>
        </w:rPr>
        <w:t>. משמע דערב רגיל אין חסרון. אבל ה</w:t>
      </w:r>
      <w:r w:rsidRPr="003124AA">
        <w:rPr>
          <w:rFonts w:ascii="Narkisim" w:hAnsi="Narkisim"/>
          <w:b/>
          <w:bCs/>
          <w:rtl/>
        </w:rPr>
        <w:t>רמב"ם</w:t>
      </w:r>
      <w:r w:rsidRPr="003124AA">
        <w:rPr>
          <w:rFonts w:ascii="Narkisim" w:hAnsi="Narkisim"/>
          <w:rtl/>
        </w:rPr>
        <w:t xml:space="preserve"> (דעות ה יג) כת' דמשאו ומתנו של תלמיד חכם באמת ובאמונה וכו' ונותן דמי המקח לאלתר, ואינו נעשה לא ערב ולא קבלן</w:t>
      </w:r>
      <w:r w:rsidRPr="003124AA">
        <w:rPr>
          <w:rStyle w:val="ac"/>
          <w:rFonts w:ascii="Narkisim" w:hAnsi="Narkisim"/>
          <w:rtl/>
        </w:rPr>
        <w:footnoteReference w:id="7198"/>
      </w:r>
      <w:r w:rsidRPr="003124AA">
        <w:rPr>
          <w:rFonts w:ascii="Narkisim" w:hAnsi="Narkisim"/>
          <w:rtl/>
        </w:rPr>
        <w:t xml:space="preserve"> וכו'. וה</w:t>
      </w:r>
      <w:r w:rsidRPr="003124AA">
        <w:rPr>
          <w:rFonts w:ascii="Narkisim" w:hAnsi="Narkisim"/>
          <w:b/>
          <w:bCs/>
          <w:rtl/>
        </w:rPr>
        <w:t>אחרונים</w:t>
      </w:r>
      <w:r w:rsidRPr="003124AA">
        <w:rPr>
          <w:rFonts w:ascii="Narkisim" w:hAnsi="Narkisim"/>
          <w:rtl/>
        </w:rPr>
        <w:t xml:space="preserve"> תמהו דבסוגיין מבואר דדוקא ערב שלוף דוץ. וצ"ל דהתם הוה נידון אחר דתלמיד חכם.</w:t>
      </w:r>
    </w:p>
    <w:p w14:paraId="3B8B4F0C" w14:textId="77777777" w:rsidR="006C4368" w:rsidRPr="003124AA" w:rsidRDefault="006C4368" w:rsidP="006C4368">
      <w:pPr>
        <w:pStyle w:val="aa"/>
        <w:bidi/>
        <w:rPr>
          <w:rFonts w:ascii="Narkisim" w:hAnsi="Narkisim"/>
        </w:rPr>
      </w:pPr>
      <w:r w:rsidRPr="003124AA">
        <w:rPr>
          <w:rFonts w:ascii="Narkisim" w:hAnsi="Narkisim"/>
          <w:u w:val="single"/>
          <w:rtl/>
        </w:rPr>
        <w:lastRenderedPageBreak/>
        <w:t>קשים גרים לישראל כספחת וכו</w:t>
      </w:r>
      <w:r w:rsidRPr="003124AA">
        <w:rPr>
          <w:rFonts w:ascii="Narkisim" w:hAnsi="Narkisim"/>
          <w:rtl/>
        </w:rPr>
        <w:t xml:space="preserve">'. ע' </w:t>
      </w:r>
      <w:r w:rsidRPr="003124AA">
        <w:rPr>
          <w:rFonts w:ascii="Narkisim" w:hAnsi="Narkisim"/>
          <w:b/>
          <w:bCs/>
          <w:rtl/>
        </w:rPr>
        <w:t>רש"י</w:t>
      </w:r>
      <w:r w:rsidRPr="003124AA">
        <w:rPr>
          <w:rFonts w:ascii="Narkisim" w:hAnsi="Narkisim"/>
          <w:rtl/>
        </w:rPr>
        <w:t xml:space="preserve"> ו</w:t>
      </w:r>
      <w:r w:rsidRPr="003124AA">
        <w:rPr>
          <w:rFonts w:ascii="Narkisim" w:hAnsi="Narkisim"/>
          <w:b/>
          <w:bCs/>
          <w:rtl/>
        </w:rPr>
        <w:t>תוס'</w:t>
      </w:r>
      <w:r w:rsidRPr="003124AA">
        <w:rPr>
          <w:rFonts w:ascii="Narkisim" w:hAnsi="Narkisim"/>
          <w:rtl/>
        </w:rPr>
        <w:t xml:space="preserve"> (לעיל מז: וקידושין ע. ונדה יג:) פירושים נוספים.</w:t>
      </w:r>
    </w:p>
    <w:p w14:paraId="6A644BB6" w14:textId="77777777" w:rsidR="006C4368" w:rsidRPr="003124AA" w:rsidRDefault="006C4368" w:rsidP="006C4368">
      <w:pPr>
        <w:pStyle w:val="aa"/>
        <w:bidi/>
        <w:rPr>
          <w:rFonts w:ascii="Narkisim" w:hAnsi="Narkisim"/>
        </w:rPr>
      </w:pPr>
      <w:r w:rsidRPr="003124AA">
        <w:rPr>
          <w:rFonts w:ascii="Narkisim" w:hAnsi="Narkisim"/>
          <w:u w:val="single"/>
          <w:rtl/>
        </w:rPr>
        <w:t>תוד"ה רעה</w:t>
      </w:r>
      <w:r w:rsidRPr="003124AA">
        <w:rPr>
          <w:rFonts w:ascii="Narkisim" w:hAnsi="Narkisim"/>
          <w:rtl/>
        </w:rPr>
        <w:t xml:space="preserve">. יודע היה הלל בהן שסופם להיות גרים גמורים וכו'. ועד”ז </w:t>
      </w:r>
      <w:r w:rsidRPr="003124AA">
        <w:rPr>
          <w:rFonts w:ascii="Narkisim" w:hAnsi="Narkisim"/>
          <w:b/>
          <w:bCs/>
          <w:rtl/>
        </w:rPr>
        <w:t>תוס</w:t>
      </w:r>
      <w:r w:rsidRPr="003124AA">
        <w:rPr>
          <w:rFonts w:ascii="Narkisim" w:hAnsi="Narkisim"/>
          <w:rtl/>
        </w:rPr>
        <w:t>' (לעיל כד: ד”ה לא) הק' דאין מקבלים גרים מפני שולחן מלכים, ותי' דהלל היה בטוח שסופו לעשות לשם שמים. וה</w:t>
      </w:r>
      <w:r w:rsidRPr="003124AA">
        <w:rPr>
          <w:rFonts w:ascii="Narkisim" w:hAnsi="Narkisim"/>
          <w:b/>
          <w:bCs/>
          <w:rtl/>
        </w:rPr>
        <w:t>ב"י</w:t>
      </w:r>
      <w:r w:rsidRPr="003124AA">
        <w:rPr>
          <w:rFonts w:ascii="Narkisim" w:hAnsi="Narkisim"/>
          <w:rtl/>
        </w:rPr>
        <w:t xml:space="preserve"> (יו"ד רסח, הו' בש”ך שם כג) כת' דש ללמוד דהכל לפי ראות עיני הבי"ד.</w:t>
      </w:r>
    </w:p>
    <w:p w14:paraId="24B9627B" w14:textId="77777777" w:rsidR="006C4368" w:rsidRPr="003124AA" w:rsidRDefault="006C4368" w:rsidP="006C4368">
      <w:pPr>
        <w:pStyle w:val="aa"/>
        <w:bidi/>
        <w:rPr>
          <w:rFonts w:ascii="Narkisim" w:hAnsi="Narkisim"/>
        </w:rPr>
      </w:pPr>
      <w:r w:rsidRPr="003124AA">
        <w:rPr>
          <w:rFonts w:ascii="Narkisim" w:hAnsi="Narkisim"/>
          <w:u w:val="single"/>
          <w:rtl/>
        </w:rPr>
        <w:t>דקא מגמר לאחריני וכו'</w:t>
      </w:r>
      <w:r w:rsidRPr="003124AA">
        <w:rPr>
          <w:rFonts w:ascii="Narkisim" w:hAnsi="Narkisim"/>
          <w:rtl/>
        </w:rPr>
        <w:t>. ה</w:t>
      </w:r>
      <w:r w:rsidRPr="003124AA">
        <w:rPr>
          <w:rFonts w:ascii="Narkisim" w:hAnsi="Narkisim"/>
          <w:b/>
          <w:bCs/>
          <w:rtl/>
        </w:rPr>
        <w:t>מפרשים</w:t>
      </w:r>
      <w:r w:rsidRPr="003124AA">
        <w:rPr>
          <w:rFonts w:ascii="Narkisim" w:hAnsi="Narkisim"/>
          <w:rtl/>
        </w:rPr>
        <w:t xml:space="preserve"> הק' האיך רשאין ללמוד ממנו, הא אמרי' (מו"ק יז.) אם דומה לך הרב למלאך ה' צבאות תורה יבקשו מפיהו. וע”ע תוס' ומפרשים.</w:t>
      </w:r>
    </w:p>
    <w:p w14:paraId="7703C898" w14:textId="77777777" w:rsidR="006C4368" w:rsidRPr="003124AA" w:rsidRDefault="006C4368" w:rsidP="006C4368">
      <w:pPr>
        <w:pStyle w:val="aa"/>
        <w:bidi/>
        <w:rPr>
          <w:rFonts w:ascii="Narkisim" w:hAnsi="Narkisim"/>
        </w:rPr>
      </w:pPr>
      <w:r w:rsidRPr="003124AA">
        <w:rPr>
          <w:rFonts w:ascii="Narkisim" w:hAnsi="Narkisim"/>
          <w:u w:val="single"/>
          <w:rtl/>
        </w:rPr>
        <w:t>תוד"ה ששים</w:t>
      </w:r>
      <w:r w:rsidRPr="003124AA">
        <w:rPr>
          <w:rFonts w:ascii="Narkisim" w:hAnsi="Narkisim"/>
          <w:rtl/>
        </w:rPr>
        <w:t>. פ"ה דאלשכת הגזית קאי, וקשה דהול"ל ע' או ע"א</w:t>
      </w:r>
      <w:r w:rsidRPr="003124AA">
        <w:rPr>
          <w:rStyle w:val="ac"/>
          <w:rFonts w:ascii="Narkisim" w:hAnsi="Narkisim"/>
          <w:rtl/>
        </w:rPr>
        <w:footnoteReference w:id="7199"/>
      </w:r>
      <w:r w:rsidRPr="003124AA">
        <w:rPr>
          <w:rFonts w:ascii="Narkisim" w:hAnsi="Narkisim"/>
          <w:rtl/>
        </w:rPr>
        <w:t>. וה</w:t>
      </w:r>
      <w:r w:rsidRPr="003124AA">
        <w:rPr>
          <w:rFonts w:ascii="Narkisim" w:hAnsi="Narkisim"/>
          <w:b/>
          <w:bCs/>
          <w:rtl/>
        </w:rPr>
        <w:t>מהרש"א</w:t>
      </w:r>
      <w:r w:rsidRPr="003124AA">
        <w:rPr>
          <w:rFonts w:ascii="Narkisim" w:hAnsi="Narkisim"/>
          <w:rtl/>
        </w:rPr>
        <w:t xml:space="preserve"> (ח"א סנהדרין ז:) הביא מה</w:t>
      </w:r>
      <w:r w:rsidRPr="003124AA">
        <w:rPr>
          <w:rFonts w:ascii="Narkisim" w:hAnsi="Narkisim"/>
          <w:b/>
          <w:bCs/>
          <w:rtl/>
        </w:rPr>
        <w:t>מדרש</w:t>
      </w:r>
      <w:r w:rsidRPr="003124AA">
        <w:rPr>
          <w:rFonts w:ascii="Narkisim" w:hAnsi="Narkisim"/>
          <w:rtl/>
        </w:rPr>
        <w:t xml:space="preserve"> (רבה נשא יא ג) דדרשו עח פסוק זה ששים ע”ש ששים איש מעם הארץ (בפסוק מלכים ב כה יט, וירמיה נב כה), מגבורי ישראל להביא י"א איש [דכתיב (שם) את שריה כהן הראש, ואת צפניה כהן משנה, ואת ג' שומרי הסף, ומן העיר לקח סריס א', וה' אנשים מרואי פני המלך, סה”כ י”א], הרי ע"א. וסיים כולם אחוזי חרב מלומדי מלחמה, מלחמתה של תורה</w:t>
      </w:r>
      <w:r w:rsidRPr="003124AA">
        <w:rPr>
          <w:rStyle w:val="ac"/>
          <w:rFonts w:ascii="Narkisim" w:hAnsi="Narkisim"/>
          <w:rtl/>
        </w:rPr>
        <w:footnoteReference w:id="7200"/>
      </w:r>
      <w:r w:rsidRPr="003124AA">
        <w:rPr>
          <w:rFonts w:ascii="Narkisim" w:hAnsi="Narkisim"/>
          <w:rtl/>
        </w:rPr>
        <w:t>.</w:t>
      </w:r>
    </w:p>
    <w:p w14:paraId="67336D19" w14:textId="77777777" w:rsidR="006C4368" w:rsidRPr="003124AA" w:rsidRDefault="006C4368" w:rsidP="006C4368">
      <w:pPr>
        <w:pStyle w:val="2"/>
        <w:bidi/>
        <w:rPr>
          <w:rFonts w:ascii="Narkisim" w:hAnsi="Narkisim"/>
        </w:rPr>
      </w:pPr>
      <w:r w:rsidRPr="003124AA">
        <w:rPr>
          <w:rFonts w:ascii="Narkisim" w:hAnsi="Narkisim"/>
          <w:rtl/>
        </w:rPr>
        <w:t>גדלי בהדה</w:t>
      </w:r>
    </w:p>
    <w:p w14:paraId="3AED37EA" w14:textId="77777777" w:rsidR="006C4368" w:rsidRPr="003124AA" w:rsidRDefault="006C4368" w:rsidP="006C4368">
      <w:pPr>
        <w:bidi/>
        <w:rPr>
          <w:rFonts w:ascii="Narkisim" w:hAnsi="Narkisim" w:cs="Narkisim"/>
        </w:rPr>
      </w:pPr>
      <w:r w:rsidRPr="003124AA">
        <w:rPr>
          <w:rFonts w:ascii="Narkisim" w:hAnsi="Narkisim" w:cs="Narkisim"/>
          <w:u w:val="single"/>
          <w:rtl/>
        </w:rPr>
        <w:t>דקסבר קידושי קטנה מיתלא תלו, וכי גדלה גדלי בהדה וכו'</w:t>
      </w:r>
      <w:r w:rsidRPr="003124AA">
        <w:rPr>
          <w:rFonts w:ascii="Narkisim" w:hAnsi="Narkisim" w:cs="Narkisim"/>
          <w:rtl/>
        </w:rPr>
        <w:t>. ה</w:t>
      </w:r>
      <w:r w:rsidRPr="003124AA">
        <w:rPr>
          <w:rFonts w:ascii="Narkisim" w:hAnsi="Narkisim" w:cs="Narkisim"/>
          <w:b/>
          <w:bCs/>
          <w:rtl/>
        </w:rPr>
        <w:t>רמב"ן</w:t>
      </w:r>
      <w:r w:rsidRPr="003124AA">
        <w:rPr>
          <w:rFonts w:ascii="Narkisim" w:hAnsi="Narkisim" w:cs="Narkisim"/>
          <w:rtl/>
        </w:rPr>
        <w:t xml:space="preserve"> כת' ומקודשת מדאורייתא, ומש"ה דוחה את אחותה. ובפשוטו נקטו ה</w:t>
      </w:r>
      <w:r w:rsidRPr="003124AA">
        <w:rPr>
          <w:rFonts w:ascii="Narkisim" w:hAnsi="Narkisim" w:cs="Narkisim"/>
          <w:b/>
          <w:bCs/>
          <w:rtl/>
        </w:rPr>
        <w:t>ראשונים</w:t>
      </w:r>
      <w:r w:rsidRPr="003124AA">
        <w:rPr>
          <w:rFonts w:ascii="Narkisim" w:hAnsi="Narkisim" w:cs="Narkisim"/>
          <w:rtl/>
        </w:rPr>
        <w:t xml:space="preserve"> דלצד הזה</w:t>
      </w:r>
      <w:r w:rsidRPr="003124AA">
        <w:rPr>
          <w:rStyle w:val="ac"/>
          <w:rFonts w:ascii="Narkisim" w:hAnsi="Narkisim" w:cs="Narkisim"/>
          <w:rtl/>
        </w:rPr>
        <w:footnoteReference w:id="7201"/>
      </w:r>
      <w:r w:rsidRPr="003124AA">
        <w:rPr>
          <w:rFonts w:ascii="Narkisim" w:hAnsi="Narkisim" w:cs="Narkisim"/>
          <w:rtl/>
        </w:rPr>
        <w:t xml:space="preserve"> מתקדשת מכאן ולהבא, ע”י כסף הקידושין שקבלה בקטנותה. [והוה מעשה קידושין דאורייתא</w:t>
      </w:r>
      <w:r w:rsidRPr="003124AA">
        <w:rPr>
          <w:rStyle w:val="ac"/>
          <w:rFonts w:ascii="Narkisim" w:hAnsi="Narkisim" w:cs="Narkisim"/>
          <w:rtl/>
        </w:rPr>
        <w:footnoteReference w:id="7202"/>
      </w:r>
      <w:r w:rsidRPr="003124AA">
        <w:rPr>
          <w:rFonts w:ascii="Narkisim" w:hAnsi="Narkisim" w:cs="Narkisim"/>
          <w:rtl/>
        </w:rPr>
        <w:t xml:space="preserve"> בשעה שגדלה]. וכ"כ </w:t>
      </w:r>
      <w:r w:rsidRPr="003124AA">
        <w:rPr>
          <w:rFonts w:ascii="Narkisim" w:hAnsi="Narkisim" w:cs="Narkisim"/>
          <w:b/>
          <w:bCs/>
          <w:rtl/>
        </w:rPr>
        <w:t>תוס</w:t>
      </w:r>
      <w:r w:rsidRPr="003124AA">
        <w:rPr>
          <w:rFonts w:ascii="Narkisim" w:hAnsi="Narkisim" w:cs="Narkisim"/>
          <w:rtl/>
        </w:rPr>
        <w:t>' דהקידושין באין ממילא כשגדלה.</w:t>
      </w:r>
    </w:p>
    <w:p w14:paraId="3986F210"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ביאר דעשאום כאילו התנה</w:t>
      </w:r>
      <w:r w:rsidRPr="003124AA">
        <w:rPr>
          <w:rStyle w:val="ac"/>
          <w:rFonts w:ascii="Narkisim" w:hAnsi="Narkisim"/>
          <w:rtl/>
        </w:rPr>
        <w:footnoteReference w:id="7203"/>
      </w:r>
      <w:r w:rsidRPr="003124AA">
        <w:rPr>
          <w:rFonts w:ascii="Narkisim" w:hAnsi="Narkisim"/>
          <w:rtl/>
        </w:rPr>
        <w:t xml:space="preserve"> בשעת קדושין הרי את מקודשת לי לאחר גדלות</w:t>
      </w:r>
      <w:r w:rsidRPr="003124AA">
        <w:rPr>
          <w:rStyle w:val="ac"/>
          <w:rFonts w:ascii="Narkisim" w:hAnsi="Narkisim"/>
          <w:rtl/>
        </w:rPr>
        <w:footnoteReference w:id="7204"/>
      </w:r>
      <w:r w:rsidRPr="003124AA">
        <w:rPr>
          <w:rFonts w:ascii="Narkisim" w:hAnsi="Narkisim"/>
          <w:rtl/>
        </w:rPr>
        <w:t>. והיכא דקידשה בכסף</w:t>
      </w:r>
      <w:r w:rsidRPr="003124AA">
        <w:rPr>
          <w:rStyle w:val="ac"/>
          <w:rFonts w:ascii="Narkisim" w:hAnsi="Narkisim"/>
          <w:rtl/>
        </w:rPr>
        <w:footnoteReference w:id="7205"/>
      </w:r>
      <w:r w:rsidRPr="003124AA">
        <w:rPr>
          <w:rFonts w:ascii="Narkisim" w:hAnsi="Narkisim"/>
          <w:rtl/>
        </w:rPr>
        <w:t xml:space="preserve"> הוה קידושין לאחר ל'</w:t>
      </w:r>
      <w:r w:rsidRPr="003124AA">
        <w:rPr>
          <w:rStyle w:val="ac"/>
          <w:rFonts w:ascii="Narkisim" w:hAnsi="Narkisim"/>
          <w:rtl/>
        </w:rPr>
        <w:footnoteReference w:id="7206"/>
      </w:r>
      <w:r w:rsidRPr="003124AA">
        <w:rPr>
          <w:rFonts w:ascii="Narkisim" w:hAnsi="Narkisim"/>
          <w:rtl/>
        </w:rPr>
        <w:t>, ואף דנתעכלו המעות מקודשת (קידושין נט.). וה"נ נשאר עליה שעבוד הדינר שנתן לה בקדושיה.</w:t>
      </w:r>
    </w:p>
    <w:p w14:paraId="0901126D" w14:textId="77777777" w:rsidR="006C4368" w:rsidRPr="003124AA" w:rsidRDefault="006C4368" w:rsidP="006C4368">
      <w:pPr>
        <w:pStyle w:val="a8"/>
        <w:bidi/>
        <w:rPr>
          <w:rFonts w:ascii="Narkisim" w:hAnsi="Narkisim"/>
        </w:rPr>
      </w:pPr>
      <w:r w:rsidRPr="003124AA">
        <w:rPr>
          <w:rFonts w:ascii="Narkisim" w:hAnsi="Narkisim"/>
          <w:rtl/>
        </w:rPr>
        <w:t>אך צ"ע דנתנו את המעות לקדש בהם קידושין דרבנן בעודה קטנה. ואי נימא דשעבוד כל המעות קיים לקידושין דאורייתא לכשתגדל</w:t>
      </w:r>
      <w:r w:rsidRPr="003124AA">
        <w:rPr>
          <w:rStyle w:val="ac"/>
          <w:rFonts w:ascii="Narkisim" w:hAnsi="Narkisim"/>
          <w:rtl/>
        </w:rPr>
        <w:footnoteReference w:id="7207"/>
      </w:r>
      <w:r w:rsidRPr="003124AA">
        <w:rPr>
          <w:rFonts w:ascii="Narkisim" w:hAnsi="Narkisim"/>
          <w:rtl/>
        </w:rPr>
        <w:t>, א"כ במה תתקדש בעודה קטנה לקידושין דרבנן.</w:t>
      </w:r>
    </w:p>
    <w:p w14:paraId="092CA56F" w14:textId="77777777" w:rsidR="006C4368" w:rsidRPr="003124AA" w:rsidRDefault="006C4368" w:rsidP="006C4368">
      <w:pPr>
        <w:bidi/>
        <w:rPr>
          <w:rFonts w:ascii="Narkisim" w:hAnsi="Narkisim" w:cs="Narkisim"/>
        </w:rPr>
      </w:pPr>
      <w:r w:rsidRPr="003124AA">
        <w:rPr>
          <w:rFonts w:ascii="Narkisim" w:hAnsi="Narkisim" w:cs="Narkisim"/>
          <w:rtl/>
        </w:rPr>
        <w:t>אבל ה</w:t>
      </w:r>
      <w:r w:rsidRPr="003124AA">
        <w:rPr>
          <w:rFonts w:ascii="Narkisim" w:hAnsi="Narkisim" w:cs="Narkisim"/>
          <w:b/>
          <w:bCs/>
          <w:rtl/>
        </w:rPr>
        <w:t>רשב"א</w:t>
      </w:r>
      <w:r w:rsidRPr="003124AA">
        <w:rPr>
          <w:rFonts w:ascii="Narkisim" w:hAnsi="Narkisim" w:cs="Narkisim"/>
          <w:rtl/>
        </w:rPr>
        <w:t xml:space="preserve"> וה</w:t>
      </w:r>
      <w:r w:rsidRPr="003124AA">
        <w:rPr>
          <w:rFonts w:ascii="Narkisim" w:hAnsi="Narkisim" w:cs="Narkisim"/>
          <w:b/>
          <w:bCs/>
          <w:rtl/>
        </w:rPr>
        <w:t>תוס' רא"ש</w:t>
      </w:r>
      <w:r w:rsidRPr="003124AA">
        <w:rPr>
          <w:rFonts w:ascii="Narkisim" w:hAnsi="Narkisim" w:cs="Narkisim"/>
          <w:rtl/>
        </w:rPr>
        <w:t xml:space="preserve"> הק' דקבלה המעות בעודה קטנה, וקטנה אינה חייבת להחזיר </w:t>
      </w:r>
      <w:r w:rsidRPr="003124AA">
        <w:rPr>
          <w:rFonts w:ascii="Narkisim" w:hAnsi="Narkisim" w:cs="Narkisim"/>
          <w:rtl/>
        </w:rPr>
        <w:lastRenderedPageBreak/>
        <w:t>מה שנתנו לה ואכלה</w:t>
      </w:r>
      <w:r w:rsidRPr="003124AA">
        <w:rPr>
          <w:rStyle w:val="ac"/>
          <w:rFonts w:ascii="Narkisim" w:hAnsi="Narkisim" w:cs="Narkisim"/>
          <w:rtl/>
        </w:rPr>
        <w:footnoteReference w:id="7208"/>
      </w:r>
      <w:r w:rsidRPr="003124AA">
        <w:rPr>
          <w:rFonts w:ascii="Narkisim" w:hAnsi="Narkisim" w:cs="Narkisim"/>
          <w:rtl/>
        </w:rPr>
        <w:t>, א"כ ל"ש לומר דשעבוד המעות קיים</w:t>
      </w:r>
      <w:r w:rsidRPr="003124AA">
        <w:rPr>
          <w:rStyle w:val="ac"/>
          <w:rFonts w:ascii="Narkisim" w:hAnsi="Narkisim" w:cs="Narkisim"/>
          <w:rtl/>
        </w:rPr>
        <w:footnoteReference w:id="7209"/>
      </w:r>
      <w:r w:rsidRPr="003124AA">
        <w:rPr>
          <w:rFonts w:ascii="Narkisim" w:hAnsi="Narkisim" w:cs="Narkisim"/>
          <w:rtl/>
        </w:rPr>
        <w:t>. ותי' דמ"מ מהני תקנ"ח על הממון.</w:t>
      </w:r>
    </w:p>
    <w:p w14:paraId="10D351E4"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תורא"ש</w:t>
      </w:r>
      <w:r w:rsidRPr="003124AA">
        <w:rPr>
          <w:rFonts w:ascii="Narkisim" w:hAnsi="Narkisim"/>
          <w:rtl/>
        </w:rPr>
        <w:t xml:space="preserve"> ביאר דלענין ממון מהני הפקר בי"ד, ובי"ד חייבוה להחזיר מעות הקידושין אם לא תתקדש, ומש"ה הוה כאילו הוא בעין. ועד"ז כת' ה</w:t>
      </w:r>
      <w:r w:rsidRPr="003124AA">
        <w:rPr>
          <w:rFonts w:ascii="Narkisim" w:hAnsi="Narkisim"/>
          <w:b/>
          <w:bCs/>
          <w:rtl/>
        </w:rPr>
        <w:t>רשב"א</w:t>
      </w:r>
      <w:r w:rsidRPr="003124AA">
        <w:rPr>
          <w:rFonts w:ascii="Narkisim" w:hAnsi="Narkisim"/>
          <w:rtl/>
        </w:rPr>
        <w:t xml:space="preserve"> וה</w:t>
      </w:r>
      <w:r w:rsidRPr="003124AA">
        <w:rPr>
          <w:rFonts w:ascii="Narkisim" w:hAnsi="Narkisim"/>
          <w:b/>
          <w:bCs/>
          <w:rtl/>
        </w:rPr>
        <w:t>ריטב"א</w:t>
      </w:r>
      <w:r w:rsidRPr="003124AA">
        <w:rPr>
          <w:rFonts w:ascii="Narkisim" w:hAnsi="Narkisim"/>
          <w:rtl/>
        </w:rPr>
        <w:t xml:space="preserve"> דאע"פ שאינה משתעבדת מה"ת, חכמים שעבדו אותה כשתקנו לה נישואין</w:t>
      </w:r>
      <w:r w:rsidRPr="003124AA">
        <w:rPr>
          <w:rStyle w:val="ac"/>
          <w:rFonts w:ascii="Narkisim" w:hAnsi="Narkisim"/>
          <w:rtl/>
        </w:rPr>
        <w:footnoteReference w:id="7210"/>
      </w:r>
      <w:r w:rsidRPr="003124AA">
        <w:rPr>
          <w:rFonts w:ascii="Narkisim" w:hAnsi="Narkisim"/>
          <w:rtl/>
        </w:rPr>
        <w:t>, והפקר בי"ד הפקר.</w:t>
      </w:r>
    </w:p>
    <w:p w14:paraId="15F96502" w14:textId="77777777" w:rsidR="006C4368" w:rsidRPr="003124AA" w:rsidRDefault="006C4368" w:rsidP="006C4368">
      <w:pPr>
        <w:pStyle w:val="a8"/>
        <w:bidi/>
        <w:rPr>
          <w:rFonts w:ascii="Narkisim" w:hAnsi="Narkisim"/>
        </w:rPr>
      </w:pPr>
      <w:r w:rsidRPr="003124AA">
        <w:rPr>
          <w:rFonts w:ascii="Narkisim" w:hAnsi="Narkisim"/>
          <w:rtl/>
        </w:rPr>
        <w:t>ולפ"ז דוקא קידושי מיאון מהני גדלי בהדה. אבל ה</w:t>
      </w:r>
      <w:r w:rsidRPr="003124AA">
        <w:rPr>
          <w:rFonts w:ascii="Narkisim" w:hAnsi="Narkisim"/>
          <w:b/>
          <w:bCs/>
          <w:rtl/>
        </w:rPr>
        <w:t>מהרי"ק</w:t>
      </w:r>
      <w:r w:rsidRPr="003124AA">
        <w:rPr>
          <w:rFonts w:ascii="Narkisim" w:hAnsi="Narkisim"/>
          <w:rtl/>
        </w:rPr>
        <w:t xml:space="preserve"> (לב בדפו"י ל) הביא מסוגיין דאף לצד דלא תקנו קידושין בקטנה שהלך אביה למדינת הים, מ"מ כשגדלה אמרי' דגדלה בהדה [לצד זה בסוגיין</w:t>
      </w:r>
      <w:r w:rsidRPr="003124AA">
        <w:rPr>
          <w:rStyle w:val="ac"/>
          <w:rFonts w:ascii="Narkisim" w:hAnsi="Narkisim"/>
          <w:rtl/>
        </w:rPr>
        <w:footnoteReference w:id="7211"/>
      </w:r>
      <w:r w:rsidRPr="003124AA">
        <w:rPr>
          <w:rFonts w:ascii="Narkisim" w:hAnsi="Narkisim"/>
          <w:rtl/>
        </w:rPr>
        <w:t>] והוה קידושין משעה שגדלה. דמה תועיל תקנת חכמים לענין חלות הקדושין דאורייתא</w:t>
      </w:r>
      <w:r w:rsidRPr="003124AA">
        <w:rPr>
          <w:rStyle w:val="ac"/>
          <w:rFonts w:ascii="Narkisim" w:hAnsi="Narkisim"/>
          <w:rtl/>
        </w:rPr>
        <w:footnoteReference w:id="7212"/>
      </w:r>
      <w:r w:rsidRPr="003124AA">
        <w:rPr>
          <w:rFonts w:ascii="Narkisim" w:hAnsi="Narkisim"/>
          <w:rtl/>
        </w:rPr>
        <w:t>.</w:t>
      </w:r>
    </w:p>
    <w:p w14:paraId="1BA4B4A7"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אחרונים</w:t>
      </w:r>
      <w:r w:rsidRPr="003124AA">
        <w:rPr>
          <w:rFonts w:ascii="Narkisim" w:hAnsi="Narkisim" w:cs="Narkisim"/>
          <w:rtl/>
        </w:rPr>
        <w:t xml:space="preserve"> הק' דנח' רב ושמואל (בכורות מט:) בפודה את בנו תוך ל' יום ונתאכלו המעות, אי אמרי' דשעבוד המעות קיים. ודעת שמואל דכיון דאין בידו לפדותו מעכשיו ל"מ שעבוד המעות קיים</w:t>
      </w:r>
      <w:r w:rsidRPr="003124AA">
        <w:rPr>
          <w:rStyle w:val="ac"/>
          <w:rFonts w:ascii="Narkisim" w:hAnsi="Narkisim" w:cs="Narkisim"/>
          <w:rtl/>
        </w:rPr>
        <w:footnoteReference w:id="7213"/>
      </w:r>
      <w:r w:rsidRPr="003124AA">
        <w:rPr>
          <w:rFonts w:ascii="Narkisim" w:hAnsi="Narkisim" w:cs="Narkisim"/>
          <w:rtl/>
        </w:rPr>
        <w:t>. א"כ האיך מהני בסוגיין דנתעכלו המעות קודם שהיא בת קידושין</w:t>
      </w:r>
      <w:r w:rsidRPr="003124AA">
        <w:rPr>
          <w:rStyle w:val="ac"/>
          <w:rFonts w:ascii="Narkisim" w:hAnsi="Narkisim" w:cs="Narkisim"/>
          <w:rtl/>
        </w:rPr>
        <w:footnoteReference w:id="7214"/>
      </w:r>
      <w:r w:rsidRPr="003124AA">
        <w:rPr>
          <w:rFonts w:ascii="Narkisim" w:hAnsi="Narkisim" w:cs="Narkisim"/>
          <w:rtl/>
        </w:rPr>
        <w:t>. וה</w:t>
      </w:r>
      <w:r w:rsidRPr="003124AA">
        <w:rPr>
          <w:rFonts w:ascii="Narkisim" w:hAnsi="Narkisim" w:cs="Narkisim"/>
          <w:b/>
          <w:bCs/>
          <w:rtl/>
        </w:rPr>
        <w:t>קר"א</w:t>
      </w:r>
      <w:r w:rsidRPr="003124AA">
        <w:rPr>
          <w:rFonts w:ascii="Narkisim" w:hAnsi="Narkisim" w:cs="Narkisim"/>
          <w:rtl/>
        </w:rPr>
        <w:t xml:space="preserve"> כת' די"ל דבסוגיין רב קאי לשיטתו</w:t>
      </w:r>
      <w:r w:rsidRPr="003124AA">
        <w:rPr>
          <w:rStyle w:val="ac"/>
          <w:rFonts w:ascii="Narkisim" w:hAnsi="Narkisim" w:cs="Narkisim"/>
          <w:rtl/>
        </w:rPr>
        <w:footnoteReference w:id="7215"/>
      </w:r>
      <w:r w:rsidRPr="003124AA">
        <w:rPr>
          <w:rFonts w:ascii="Narkisim" w:hAnsi="Narkisim" w:cs="Narkisim"/>
          <w:rtl/>
        </w:rPr>
        <w:t>.</w:t>
      </w:r>
    </w:p>
    <w:p w14:paraId="18B3239E" w14:textId="77777777" w:rsidR="006C4368" w:rsidRPr="003124AA" w:rsidRDefault="006C4368" w:rsidP="006C4368">
      <w:pPr>
        <w:pStyle w:val="a7"/>
        <w:bidi/>
        <w:rPr>
          <w:rFonts w:ascii="Narkisim" w:hAnsi="Narkisim"/>
        </w:rPr>
      </w:pPr>
      <w:r w:rsidRPr="003124AA">
        <w:rPr>
          <w:rFonts w:ascii="Narkisim" w:hAnsi="Narkisim"/>
          <w:rtl/>
        </w:rPr>
        <w:t>ועוד דנו ה</w:t>
      </w:r>
      <w:r w:rsidRPr="003124AA">
        <w:rPr>
          <w:rFonts w:ascii="Narkisim" w:hAnsi="Narkisim"/>
          <w:b/>
          <w:bCs/>
          <w:rtl/>
        </w:rPr>
        <w:t>אחרונים</w:t>
      </w:r>
      <w:r w:rsidRPr="003124AA">
        <w:rPr>
          <w:rFonts w:ascii="Narkisim" w:hAnsi="Narkisim"/>
          <w:rtl/>
        </w:rPr>
        <w:t xml:space="preserve"> דקי"ל דאין אדם מקנה דבר שלא בא לעולם (ודלא כר' מאיר לעיל צג.), א"כ האיך מהני קידושין בעודה קטנה, ואינה יכולה לקדש את עצמה. וה</w:t>
      </w:r>
      <w:r w:rsidRPr="003124AA">
        <w:rPr>
          <w:rFonts w:ascii="Narkisim" w:hAnsi="Narkisim"/>
          <w:b/>
          <w:bCs/>
          <w:rtl/>
        </w:rPr>
        <w:t>אחרונים</w:t>
      </w:r>
      <w:r w:rsidRPr="003124AA">
        <w:rPr>
          <w:rFonts w:ascii="Narkisim" w:hAnsi="Narkisim"/>
          <w:rtl/>
        </w:rPr>
        <w:t xml:space="preserve"> דנו ע"פ סברת ה</w:t>
      </w:r>
      <w:r w:rsidRPr="003124AA">
        <w:rPr>
          <w:rFonts w:ascii="Narkisim" w:hAnsi="Narkisim"/>
          <w:b/>
          <w:bCs/>
          <w:rtl/>
        </w:rPr>
        <w:t>משנ"ל</w:t>
      </w:r>
      <w:r w:rsidRPr="003124AA">
        <w:rPr>
          <w:rFonts w:ascii="Narkisim" w:hAnsi="Narkisim"/>
          <w:rtl/>
        </w:rPr>
        <w:t xml:space="preserve"> (הו' בסמוך) דזמן ממילא אתי, ומחוסר זמן בעלמא לא נחשב דבר שלא בא לעולם. אך יש </w:t>
      </w:r>
      <w:r w:rsidRPr="003124AA">
        <w:rPr>
          <w:rFonts w:ascii="Narkisim" w:hAnsi="Narkisim"/>
          <w:b/>
          <w:bCs/>
          <w:rtl/>
        </w:rPr>
        <w:t>אחרונים</w:t>
      </w:r>
      <w:r w:rsidRPr="003124AA">
        <w:rPr>
          <w:rFonts w:ascii="Narkisim" w:hAnsi="Narkisim"/>
          <w:rtl/>
        </w:rPr>
        <w:t xml:space="preserve"> (ע' אבנ"מ מג א בסו"ד) שדחו דבסוגיין הוה מדברי רב, ורב (לעיל צג.) ס"ל דאדם מקנה דבר שלא בא לעולם</w:t>
      </w:r>
      <w:r w:rsidRPr="003124AA">
        <w:rPr>
          <w:rStyle w:val="ac"/>
          <w:rFonts w:ascii="Narkisim" w:hAnsi="Narkisim"/>
          <w:rtl/>
        </w:rPr>
        <w:footnoteReference w:id="7216"/>
      </w:r>
      <w:r w:rsidRPr="003124AA">
        <w:rPr>
          <w:rFonts w:ascii="Narkisim" w:hAnsi="Narkisim"/>
          <w:rtl/>
        </w:rPr>
        <w:t>. וה</w:t>
      </w:r>
      <w:r w:rsidRPr="003124AA">
        <w:rPr>
          <w:rFonts w:ascii="Narkisim" w:hAnsi="Narkisim"/>
          <w:b/>
          <w:bCs/>
          <w:rtl/>
        </w:rPr>
        <w:t>חזו"א</w:t>
      </w:r>
      <w:r w:rsidRPr="003124AA">
        <w:rPr>
          <w:rFonts w:ascii="Narkisim" w:hAnsi="Narkisim"/>
          <w:rtl/>
        </w:rPr>
        <w:t xml:space="preserve"> תי' דמהני הקידושין ע"י שתיקתם מכאן ולהבא, לאחר שגדלה.</w:t>
      </w:r>
    </w:p>
    <w:p w14:paraId="2B6A19AD" w14:textId="77777777" w:rsidR="006C4368" w:rsidRPr="003124AA" w:rsidRDefault="006C4368" w:rsidP="006C4368">
      <w:pPr>
        <w:bidi/>
        <w:rPr>
          <w:rFonts w:ascii="Narkisim" w:hAnsi="Narkisim" w:cs="Narkisim"/>
        </w:rPr>
      </w:pPr>
      <w:r w:rsidRPr="003124AA">
        <w:rPr>
          <w:rFonts w:ascii="Narkisim" w:hAnsi="Narkisim" w:cs="Narkisim"/>
          <w:rtl/>
        </w:rPr>
        <w:lastRenderedPageBreak/>
        <w:t>ולא נתבאר בדברי הראשונים היכן יש דעת האשה לקבלת קידושין אלו, ובכל קידושין לאחר ל' מהני דעת האשה בשעת המעשה וחל לאחר זמן. אבל הכא בשעת קבלת המעות היתה קטנה. וה</w:t>
      </w:r>
      <w:r w:rsidRPr="003124AA">
        <w:rPr>
          <w:rFonts w:ascii="Narkisim" w:hAnsi="Narkisim" w:cs="Narkisim"/>
          <w:b/>
          <w:bCs/>
          <w:rtl/>
        </w:rPr>
        <w:t>חזו"א</w:t>
      </w:r>
      <w:r w:rsidRPr="003124AA">
        <w:rPr>
          <w:rFonts w:ascii="Narkisim" w:hAnsi="Narkisim" w:cs="Narkisim"/>
          <w:rtl/>
        </w:rPr>
        <w:t xml:space="preserve"> כת' דבזה שיושבת תחתיו בשעה שגדלה הוה קידושין [והביא דכ”מ ברשב”א]. אבל ה</w:t>
      </w:r>
      <w:r w:rsidRPr="003124AA">
        <w:rPr>
          <w:rFonts w:ascii="Narkisim" w:hAnsi="Narkisim" w:cs="Narkisim"/>
          <w:b/>
          <w:bCs/>
          <w:rtl/>
        </w:rPr>
        <w:t>קובה"ע</w:t>
      </w:r>
      <w:r w:rsidRPr="003124AA">
        <w:rPr>
          <w:rFonts w:ascii="Narkisim" w:hAnsi="Narkisim" w:cs="Narkisim"/>
          <w:rtl/>
        </w:rPr>
        <w:t xml:space="preserve"> (כט ד) הביא מדברי הרשב"א דמהני ע"י ריצויה דמעיקרא, דחלות המעשה הוה מעיקרא בעודה קטנה</w:t>
      </w:r>
      <w:r w:rsidRPr="003124AA">
        <w:rPr>
          <w:rStyle w:val="ac"/>
          <w:rFonts w:ascii="Narkisim" w:hAnsi="Narkisim" w:cs="Narkisim"/>
          <w:rtl/>
        </w:rPr>
        <w:footnoteReference w:id="7217"/>
      </w:r>
      <w:r w:rsidRPr="003124AA">
        <w:rPr>
          <w:rFonts w:ascii="Narkisim" w:hAnsi="Narkisim" w:cs="Narkisim"/>
          <w:rtl/>
        </w:rPr>
        <w:t>.</w:t>
      </w:r>
    </w:p>
    <w:p w14:paraId="2067BAF2" w14:textId="77777777" w:rsidR="006C4368" w:rsidRPr="003124AA" w:rsidRDefault="006C4368" w:rsidP="006C4368">
      <w:pPr>
        <w:pStyle w:val="aa"/>
        <w:bidi/>
        <w:rPr>
          <w:rFonts w:ascii="Narkisim" w:hAnsi="Narkisim"/>
        </w:rPr>
      </w:pPr>
      <w:r w:rsidRPr="003124AA">
        <w:rPr>
          <w:rFonts w:ascii="Narkisim" w:hAnsi="Narkisim"/>
          <w:i/>
          <w:iCs/>
          <w:rtl/>
        </w:rPr>
        <w:t>קטן שקידש לאחר שיגדל</w:t>
      </w:r>
      <w:r w:rsidRPr="003124AA">
        <w:rPr>
          <w:rFonts w:ascii="Narkisim" w:hAnsi="Narkisim"/>
          <w:rtl/>
        </w:rPr>
        <w:t xml:space="preserve"> - ו</w:t>
      </w:r>
      <w:r w:rsidRPr="003124AA">
        <w:rPr>
          <w:rFonts w:ascii="Narkisim" w:hAnsi="Narkisim"/>
          <w:b/>
          <w:bCs/>
          <w:rtl/>
        </w:rPr>
        <w:t>רש"י</w:t>
      </w:r>
      <w:r w:rsidRPr="003124AA">
        <w:rPr>
          <w:rFonts w:ascii="Narkisim" w:hAnsi="Narkisim"/>
          <w:rtl/>
        </w:rPr>
        <w:t xml:space="preserve"> (לעיל לד.) כת' דמשכח"ל איסור אחות אשה ואשת אח ואשת איש ונדה בבת א', שמסרו קידושין יום קודם השלמת י"ג, שיחול הקידושין למחרת</w:t>
      </w:r>
      <w:r w:rsidRPr="003124AA">
        <w:rPr>
          <w:rStyle w:val="ac"/>
          <w:rFonts w:ascii="Narkisim" w:hAnsi="Narkisim"/>
          <w:rtl/>
        </w:rPr>
        <w:footnoteReference w:id="7218"/>
      </w:r>
      <w:r w:rsidRPr="003124AA">
        <w:rPr>
          <w:rFonts w:ascii="Narkisim" w:hAnsi="Narkisim"/>
          <w:rtl/>
        </w:rPr>
        <w:t xml:space="preserve"> כשהן נעשין גדולים. ובשעה שגדלו חלו כל האיסורין. ו</w:t>
      </w:r>
      <w:r w:rsidRPr="003124AA">
        <w:rPr>
          <w:rFonts w:ascii="Narkisim" w:hAnsi="Narkisim"/>
          <w:b/>
          <w:bCs/>
          <w:rtl/>
        </w:rPr>
        <w:t>תוס</w:t>
      </w:r>
      <w:r w:rsidRPr="003124AA">
        <w:rPr>
          <w:rFonts w:ascii="Narkisim" w:hAnsi="Narkisim"/>
          <w:rtl/>
        </w:rPr>
        <w:t>' דחו דאין מעשה קטן כלום, ואין יכולים לקדש או לעשות שליח עד שיגדל [ולא הוה בבת א']. וה</w:t>
      </w:r>
      <w:r w:rsidRPr="003124AA">
        <w:rPr>
          <w:rFonts w:ascii="Narkisim" w:hAnsi="Narkisim"/>
          <w:b/>
          <w:bCs/>
          <w:rtl/>
        </w:rPr>
        <w:t>תוס' רא"ש</w:t>
      </w:r>
      <w:r w:rsidRPr="003124AA">
        <w:rPr>
          <w:rFonts w:ascii="Narkisim" w:hAnsi="Narkisim"/>
          <w:rtl/>
        </w:rPr>
        <w:t xml:space="preserve"> (והרמב"ן ושא"ר שם) הק' דהוה דבר שלא בא לעולם, ומהני רק לר' מאיר.</w:t>
      </w:r>
    </w:p>
    <w:p w14:paraId="467B9920"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משנ"ל</w:t>
      </w:r>
      <w:r w:rsidRPr="003124AA">
        <w:rPr>
          <w:rFonts w:ascii="Narkisim" w:hAnsi="Narkisim"/>
          <w:rtl/>
        </w:rPr>
        <w:t xml:space="preserve"> (אישות ד ז) נסתפק בזה האם קטן יכול לעשות קידושין שיחול לאחר שיגדל. וביאר דלא הוה דבר שלא בא לעולם כיון דזמן ממילא אתי</w:t>
      </w:r>
      <w:r w:rsidRPr="003124AA">
        <w:rPr>
          <w:rStyle w:val="ac"/>
          <w:rFonts w:ascii="Narkisim" w:hAnsi="Narkisim"/>
          <w:rtl/>
        </w:rPr>
        <w:footnoteReference w:id="7219"/>
      </w:r>
      <w:r w:rsidRPr="003124AA">
        <w:rPr>
          <w:rFonts w:ascii="Narkisim" w:hAnsi="Narkisim"/>
          <w:rtl/>
        </w:rPr>
        <w:t>. וה</w:t>
      </w:r>
      <w:r w:rsidRPr="003124AA">
        <w:rPr>
          <w:rFonts w:ascii="Narkisim" w:hAnsi="Narkisim"/>
          <w:b/>
          <w:bCs/>
          <w:rtl/>
        </w:rPr>
        <w:t>משנ"ל</w:t>
      </w:r>
      <w:r w:rsidRPr="003124AA">
        <w:rPr>
          <w:rFonts w:ascii="Narkisim" w:hAnsi="Narkisim"/>
          <w:rtl/>
        </w:rPr>
        <w:t xml:space="preserve"> הביא דנח' בזה רש"י ותוס' (לד.)</w:t>
      </w:r>
      <w:r w:rsidRPr="003124AA">
        <w:rPr>
          <w:rStyle w:val="ac"/>
          <w:rFonts w:ascii="Narkisim" w:hAnsi="Narkisim"/>
          <w:rtl/>
        </w:rPr>
        <w:footnoteReference w:id="7220"/>
      </w:r>
      <w:r w:rsidRPr="003124AA">
        <w:rPr>
          <w:rFonts w:ascii="Narkisim" w:hAnsi="Narkisim"/>
          <w:rtl/>
        </w:rPr>
        <w:t>.</w:t>
      </w:r>
    </w:p>
    <w:p w14:paraId="0EAE37D8"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מגיה למשנ"ל</w:t>
      </w:r>
      <w:r w:rsidRPr="003124AA">
        <w:rPr>
          <w:rFonts w:ascii="Narkisim" w:hAnsi="Narkisim"/>
          <w:rtl/>
        </w:rPr>
        <w:t xml:space="preserve"> (שם) הביא עוד את ה</w:t>
      </w:r>
      <w:r w:rsidRPr="003124AA">
        <w:rPr>
          <w:rFonts w:ascii="Narkisim" w:hAnsi="Narkisim"/>
          <w:b/>
          <w:bCs/>
          <w:rtl/>
        </w:rPr>
        <w:t>ראשונים</w:t>
      </w:r>
      <w:r w:rsidRPr="003124AA">
        <w:rPr>
          <w:rFonts w:ascii="Narkisim" w:hAnsi="Narkisim"/>
          <w:rtl/>
        </w:rPr>
        <w:t xml:space="preserve"> בסוגיין דמהני כה"ג. והק' סתירה בדברי הרשב"א [וכן התוס' רא"ש והריטב"א] דבסוגיין ס"ל דמהני כה"ג, ואילו (לעיל שם) נקטו דיש בזה חסרון דבר שלא בא לעולם.</w:t>
      </w:r>
    </w:p>
    <w:p w14:paraId="4CA11D6E" w14:textId="77777777" w:rsidR="006C4368" w:rsidRPr="003124AA" w:rsidRDefault="006C4368" w:rsidP="006C4368">
      <w:pPr>
        <w:pStyle w:val="a8"/>
        <w:bidi/>
        <w:rPr>
          <w:rFonts w:ascii="Narkisim" w:hAnsi="Narkisim"/>
        </w:rPr>
      </w:pPr>
      <w:r w:rsidRPr="003124AA">
        <w:rPr>
          <w:rFonts w:ascii="Narkisim" w:hAnsi="Narkisim"/>
          <w:rtl/>
        </w:rPr>
        <w:t>והמגיה העלה צד דהרשב"א מחלק בין קטן לקטנה</w:t>
      </w:r>
      <w:r w:rsidRPr="003124AA">
        <w:rPr>
          <w:rStyle w:val="ac"/>
          <w:rFonts w:ascii="Narkisim" w:hAnsi="Narkisim"/>
          <w:rtl/>
        </w:rPr>
        <w:footnoteReference w:id="7221"/>
      </w:r>
      <w:r w:rsidRPr="003124AA">
        <w:rPr>
          <w:rFonts w:ascii="Narkisim" w:hAnsi="Narkisim"/>
          <w:rtl/>
        </w:rPr>
        <w:t>. וה</w:t>
      </w:r>
      <w:r w:rsidRPr="003124AA">
        <w:rPr>
          <w:rFonts w:ascii="Narkisim" w:hAnsi="Narkisim"/>
          <w:b/>
          <w:bCs/>
          <w:rtl/>
        </w:rPr>
        <w:t>נוב"י</w:t>
      </w:r>
      <w:r w:rsidRPr="003124AA">
        <w:rPr>
          <w:rFonts w:ascii="Narkisim" w:hAnsi="Narkisim"/>
          <w:rtl/>
        </w:rPr>
        <w:t xml:space="preserve"> (ת נב) כת' לא ידעתי שום סברא לחלק בין קטן לקטנה. וה</w:t>
      </w:r>
      <w:r w:rsidRPr="003124AA">
        <w:rPr>
          <w:rFonts w:ascii="Narkisim" w:hAnsi="Narkisim"/>
          <w:b/>
          <w:bCs/>
          <w:rtl/>
        </w:rPr>
        <w:t>בני אהובה</w:t>
      </w:r>
      <w:r w:rsidRPr="003124AA">
        <w:rPr>
          <w:rFonts w:ascii="Narkisim" w:hAnsi="Narkisim"/>
          <w:rtl/>
        </w:rPr>
        <w:t xml:space="preserve"> (אישות שם) ביאר דגבי קטנה שעבוד המעות קיים עליה, ואילו בקטן ל"ש שעבוד המעות</w:t>
      </w:r>
      <w:r w:rsidRPr="003124AA">
        <w:rPr>
          <w:rStyle w:val="ac"/>
          <w:rFonts w:ascii="Narkisim" w:hAnsi="Narkisim"/>
          <w:rtl/>
        </w:rPr>
        <w:footnoteReference w:id="7222"/>
      </w:r>
      <w:r w:rsidRPr="003124AA">
        <w:rPr>
          <w:rFonts w:ascii="Narkisim" w:hAnsi="Narkisim"/>
          <w:rtl/>
        </w:rPr>
        <w:t>. ועוד חילק דבקידושין צריך נתינה ואמירה הרי את מקודשת לי, ול"מ נתינת הקטן ואמירתו. ומש"ה ל"מ כשגדל. אבל הכא מהני אמירת המקדש כשנותן לקטנה</w:t>
      </w:r>
      <w:r w:rsidRPr="003124AA">
        <w:rPr>
          <w:rStyle w:val="ac"/>
          <w:rFonts w:ascii="Narkisim" w:hAnsi="Narkisim"/>
          <w:rtl/>
        </w:rPr>
        <w:footnoteReference w:id="7223"/>
      </w:r>
      <w:r w:rsidRPr="003124AA">
        <w:rPr>
          <w:rFonts w:ascii="Narkisim" w:hAnsi="Narkisim"/>
          <w:rtl/>
        </w:rPr>
        <w:t xml:space="preserve"> [ול”צ מעשה האשה אלא הסכמתה].</w:t>
      </w:r>
    </w:p>
    <w:p w14:paraId="5BF2D522"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אבנ”מ</w:t>
      </w:r>
      <w:r w:rsidRPr="003124AA">
        <w:rPr>
          <w:rFonts w:ascii="Narkisim" w:hAnsi="Narkisim"/>
          <w:rtl/>
        </w:rPr>
        <w:t xml:space="preserve"> (מג א) ביאר החילוק דבקידושי קטנה כיון דתיקנו רבנן נישואין לקטנה</w:t>
      </w:r>
      <w:r w:rsidRPr="003124AA">
        <w:rPr>
          <w:rStyle w:val="ac"/>
          <w:rFonts w:ascii="Narkisim" w:hAnsi="Narkisim"/>
          <w:rtl/>
        </w:rPr>
        <w:footnoteReference w:id="7224"/>
      </w:r>
      <w:r w:rsidRPr="003124AA">
        <w:rPr>
          <w:rFonts w:ascii="Narkisim" w:hAnsi="Narkisim"/>
          <w:rtl/>
        </w:rPr>
        <w:t xml:space="preserve"> הרי היא משתעבדת בכסף קידושין [וכמ"ש הראשונים בסוגיין, הו' לעיל]. ואילו בקטן לא תיקנו לו רבנן נשואין, ומש"ה לא שייך האי טעמא</w:t>
      </w:r>
      <w:r w:rsidRPr="003124AA">
        <w:rPr>
          <w:rStyle w:val="ac"/>
          <w:rFonts w:ascii="Narkisim" w:hAnsi="Narkisim"/>
          <w:rtl/>
        </w:rPr>
        <w:footnoteReference w:id="7225"/>
      </w:r>
      <w:r w:rsidRPr="003124AA">
        <w:rPr>
          <w:rFonts w:ascii="Narkisim" w:hAnsi="Narkisim"/>
          <w:rtl/>
        </w:rPr>
        <w:t>.</w:t>
      </w:r>
    </w:p>
    <w:p w14:paraId="0DE760D5"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אבל </w:t>
      </w:r>
      <w:r w:rsidRPr="003124AA">
        <w:rPr>
          <w:rFonts w:ascii="Narkisim" w:hAnsi="Narkisim" w:cs="Narkisim"/>
          <w:b/>
          <w:bCs/>
          <w:rtl/>
        </w:rPr>
        <w:t>רש"י</w:t>
      </w:r>
      <w:r w:rsidRPr="003124AA">
        <w:rPr>
          <w:rFonts w:ascii="Narkisim" w:hAnsi="Narkisim" w:cs="Narkisim"/>
          <w:rtl/>
        </w:rPr>
        <w:t xml:space="preserve"> כת' דמכי גדלי תפסי קידושין מעיקרא, ואיגלי מילתא למפרע דזיקה דהך לא כלום היא. וה</w:t>
      </w:r>
      <w:r w:rsidRPr="003124AA">
        <w:rPr>
          <w:rFonts w:ascii="Narkisim" w:hAnsi="Narkisim" w:cs="Narkisim"/>
          <w:b/>
          <w:bCs/>
          <w:rtl/>
        </w:rPr>
        <w:t>ריטב"א</w:t>
      </w:r>
      <w:r w:rsidRPr="003124AA">
        <w:rPr>
          <w:rFonts w:ascii="Narkisim" w:hAnsi="Narkisim" w:cs="Narkisim"/>
          <w:rtl/>
        </w:rPr>
        <w:t xml:space="preserve"> כת' דנראה מדבריו דמקודשת למפרע משעת קידושין, וקדמי קידושין לזיקה</w:t>
      </w:r>
      <w:r w:rsidRPr="003124AA">
        <w:rPr>
          <w:rStyle w:val="ac"/>
          <w:rFonts w:ascii="Narkisim" w:hAnsi="Narkisim" w:cs="Narkisim"/>
          <w:rtl/>
        </w:rPr>
        <w:footnoteReference w:id="7226"/>
      </w:r>
      <w:r w:rsidRPr="003124AA">
        <w:rPr>
          <w:rFonts w:ascii="Narkisim" w:hAnsi="Narkisim" w:cs="Narkisim"/>
          <w:rtl/>
        </w:rPr>
        <w:t>. והריטב"א תמה האיך אפשר להיות מקודשת בקטנותה כלל.</w:t>
      </w:r>
    </w:p>
    <w:p w14:paraId="007A78F1"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קר"א</w:t>
      </w:r>
      <w:r w:rsidRPr="003124AA">
        <w:rPr>
          <w:rFonts w:ascii="Narkisim" w:hAnsi="Narkisim"/>
          <w:rtl/>
        </w:rPr>
        <w:t xml:space="preserve"> ביאר דכל החסרון בקידושין דקטנה משום דאין לה דעת</w:t>
      </w:r>
      <w:r w:rsidRPr="003124AA">
        <w:rPr>
          <w:rStyle w:val="ac"/>
          <w:rFonts w:ascii="Narkisim" w:hAnsi="Narkisim"/>
          <w:rtl/>
        </w:rPr>
        <w:footnoteReference w:id="7227"/>
      </w:r>
      <w:r w:rsidRPr="003124AA">
        <w:rPr>
          <w:rFonts w:ascii="Narkisim" w:hAnsi="Narkisim"/>
          <w:rtl/>
        </w:rPr>
        <w:t xml:space="preserve">. ומש"ה היכא דכשגדלה עדיין עומדת </w:t>
      </w:r>
      <w:r w:rsidRPr="003124AA">
        <w:rPr>
          <w:rFonts w:ascii="Narkisim" w:hAnsi="Narkisim"/>
          <w:rtl/>
        </w:rPr>
        <w:lastRenderedPageBreak/>
        <w:t>בדעתה, מהני גילוי דעת למפרע</w:t>
      </w:r>
      <w:r w:rsidRPr="003124AA">
        <w:rPr>
          <w:rStyle w:val="ac"/>
          <w:rFonts w:ascii="Narkisim" w:hAnsi="Narkisim"/>
          <w:rtl/>
        </w:rPr>
        <w:footnoteReference w:id="7228"/>
      </w:r>
      <w:r w:rsidRPr="003124AA">
        <w:rPr>
          <w:rFonts w:ascii="Narkisim" w:hAnsi="Narkisim"/>
          <w:rtl/>
        </w:rPr>
        <w:t>, ועי"ז מהני מעשה הקטנה.</w:t>
      </w:r>
    </w:p>
    <w:p w14:paraId="757E5372"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אחרונים</w:t>
      </w:r>
      <w:r w:rsidRPr="003124AA">
        <w:rPr>
          <w:rFonts w:ascii="Narkisim" w:hAnsi="Narkisim" w:cs="Narkisim"/>
          <w:rtl/>
        </w:rPr>
        <w:t xml:space="preserve"> </w:t>
      </w:r>
      <w:r w:rsidRPr="003124AA">
        <w:rPr>
          <w:rFonts w:ascii="Narkisim" w:hAnsi="Narkisim" w:cs="Narkisim"/>
          <w:szCs w:val="20"/>
          <w:rtl/>
        </w:rPr>
        <w:t>(</w:t>
      </w:r>
      <w:r w:rsidRPr="003124AA">
        <w:rPr>
          <w:rFonts w:ascii="Narkisim" w:hAnsi="Narkisim" w:cs="Narkisim"/>
          <w:b/>
          <w:bCs/>
          <w:szCs w:val="20"/>
          <w:rtl/>
        </w:rPr>
        <w:t>קר"א</w:t>
      </w:r>
      <w:r w:rsidRPr="003124AA">
        <w:rPr>
          <w:rFonts w:ascii="Narkisim" w:hAnsi="Narkisim" w:cs="Narkisim"/>
          <w:szCs w:val="20"/>
          <w:rtl/>
        </w:rPr>
        <w:t xml:space="preserve">, </w:t>
      </w:r>
      <w:r w:rsidRPr="003124AA">
        <w:rPr>
          <w:rFonts w:ascii="Narkisim" w:hAnsi="Narkisim" w:cs="Narkisim"/>
          <w:b/>
          <w:bCs/>
          <w:szCs w:val="20"/>
          <w:rtl/>
        </w:rPr>
        <w:t>מצפ"א</w:t>
      </w:r>
      <w:r w:rsidRPr="003124AA">
        <w:rPr>
          <w:rFonts w:ascii="Narkisim" w:hAnsi="Narkisim" w:cs="Narkisim"/>
          <w:szCs w:val="20"/>
          <w:rtl/>
        </w:rPr>
        <w:t xml:space="preserve"> ו</w:t>
      </w:r>
      <w:r w:rsidRPr="003124AA">
        <w:rPr>
          <w:rFonts w:ascii="Narkisim" w:hAnsi="Narkisim" w:cs="Narkisim"/>
          <w:b/>
          <w:bCs/>
          <w:szCs w:val="20"/>
          <w:rtl/>
        </w:rPr>
        <w:t>עונג יו"ט</w:t>
      </w:r>
      <w:r w:rsidRPr="003124AA">
        <w:rPr>
          <w:rFonts w:ascii="Narkisim" w:hAnsi="Narkisim" w:cs="Narkisim"/>
          <w:szCs w:val="20"/>
          <w:rtl/>
        </w:rPr>
        <w:t xml:space="preserve"> קמא)</w:t>
      </w:r>
      <w:r w:rsidRPr="003124AA">
        <w:rPr>
          <w:rFonts w:ascii="Narkisim" w:hAnsi="Narkisim" w:cs="Narkisim"/>
          <w:rtl/>
        </w:rPr>
        <w:t xml:space="preserve"> הק' דבגמ' (לעיל סא:) מבואר דמהני רק מכאן ולהבא, דרב אדא בר אהבה אמר דכהן גדול אסור לישא יתומה קטנה, לאימת קני לכי גדלה</w:t>
      </w:r>
      <w:r w:rsidRPr="003124AA">
        <w:rPr>
          <w:rStyle w:val="ac"/>
          <w:rFonts w:ascii="Narkisim" w:hAnsi="Narkisim" w:cs="Narkisim"/>
          <w:rtl/>
        </w:rPr>
        <w:footnoteReference w:id="7229"/>
      </w:r>
      <w:r w:rsidRPr="003124AA">
        <w:rPr>
          <w:rFonts w:ascii="Narkisim" w:hAnsi="Narkisim" w:cs="Narkisim"/>
          <w:rtl/>
        </w:rPr>
        <w:t>, והוה כבר בעולה</w:t>
      </w:r>
      <w:r w:rsidRPr="003124AA">
        <w:rPr>
          <w:rStyle w:val="ac"/>
          <w:rFonts w:ascii="Narkisim" w:hAnsi="Narkisim" w:cs="Narkisim"/>
          <w:rtl/>
        </w:rPr>
        <w:footnoteReference w:id="7230"/>
      </w:r>
      <w:r w:rsidRPr="003124AA">
        <w:rPr>
          <w:rFonts w:ascii="Narkisim" w:hAnsi="Narkisim" w:cs="Narkisim"/>
          <w:rtl/>
        </w:rPr>
        <w:t>. [ופ</w:t>
      </w:r>
      <w:r w:rsidRPr="003124AA">
        <w:rPr>
          <w:rFonts w:ascii="Narkisim" w:hAnsi="Narkisim" w:cs="Narkisim"/>
          <w:b/>
          <w:bCs/>
          <w:rtl/>
        </w:rPr>
        <w:t>רש"י</w:t>
      </w:r>
      <w:r w:rsidRPr="003124AA">
        <w:rPr>
          <w:rFonts w:ascii="Narkisim" w:hAnsi="Narkisim" w:cs="Narkisim"/>
          <w:rtl/>
        </w:rPr>
        <w:t xml:space="preserve"> דהוה כמפותת עצמו]. ואילו קנה למפרע, א"כ יתברר שנשאה בעודה קטנה</w:t>
      </w:r>
      <w:r w:rsidRPr="003124AA">
        <w:rPr>
          <w:rStyle w:val="ac"/>
          <w:rFonts w:ascii="Narkisim" w:hAnsi="Narkisim" w:cs="Narkisim"/>
          <w:rtl/>
        </w:rPr>
        <w:footnoteReference w:id="7231"/>
      </w:r>
      <w:r w:rsidRPr="003124AA">
        <w:rPr>
          <w:rFonts w:ascii="Narkisim" w:hAnsi="Narkisim" w:cs="Narkisim"/>
          <w:rtl/>
        </w:rPr>
        <w:t>.</w:t>
      </w:r>
    </w:p>
    <w:p w14:paraId="0A542877" w14:textId="77777777" w:rsidR="006C4368" w:rsidRPr="003124AA" w:rsidRDefault="006C4368" w:rsidP="006C4368">
      <w:pPr>
        <w:pStyle w:val="a8"/>
        <w:bidi/>
        <w:rPr>
          <w:rFonts w:ascii="Narkisim" w:hAnsi="Narkisim"/>
        </w:rPr>
      </w:pPr>
      <w:r w:rsidRPr="003124AA">
        <w:rPr>
          <w:rFonts w:ascii="Narkisim" w:hAnsi="Narkisim"/>
          <w:rtl/>
        </w:rPr>
        <w:t>ויש שדנו דכוונת רש"י דמדרבנן מהני למפרע. [וסגי בדין דרבנן להחשב שקדם הזיקה].</w:t>
      </w:r>
    </w:p>
    <w:p w14:paraId="59A11966" w14:textId="77777777" w:rsidR="006C4368" w:rsidRPr="003124AA" w:rsidRDefault="006C4368" w:rsidP="006C4368">
      <w:pPr>
        <w:bidi/>
        <w:rPr>
          <w:rFonts w:ascii="Narkisim" w:hAnsi="Narkisim" w:cs="Narkisim"/>
        </w:rPr>
      </w:pPr>
      <w:r w:rsidRPr="003124AA">
        <w:rPr>
          <w:rFonts w:ascii="Narkisim" w:hAnsi="Narkisim" w:cs="Narkisim"/>
          <w:u w:val="single"/>
          <w:rtl/>
        </w:rPr>
        <w:t>תוד"ה וכי גדלה</w:t>
      </w:r>
      <w:r w:rsidRPr="003124AA">
        <w:rPr>
          <w:rFonts w:ascii="Narkisim" w:hAnsi="Narkisim" w:cs="Narkisim"/>
          <w:rtl/>
        </w:rPr>
        <w:t>. ואפי' ס"ל מקדש אחות יבמה לא נפטרה יבמה, מ"מ היכא שהקידושין היו באין ממילא נפטרה יבמה מעצמה. משמע דהיכא דעושה מעשה קידושין באחותה, לאו כל כמיניה</w:t>
      </w:r>
      <w:r w:rsidRPr="003124AA">
        <w:rPr>
          <w:rStyle w:val="ac"/>
          <w:rFonts w:ascii="Narkisim" w:hAnsi="Narkisim" w:cs="Narkisim"/>
          <w:rtl/>
        </w:rPr>
        <w:footnoteReference w:id="7232"/>
      </w:r>
      <w:r w:rsidRPr="003124AA">
        <w:rPr>
          <w:rFonts w:ascii="Narkisim" w:hAnsi="Narkisim" w:cs="Narkisim"/>
          <w:rtl/>
        </w:rPr>
        <w:t xml:space="preserve"> להפקיע את היבמה. ואילו הכא דחל קידושין ממילא ל”ש סברת לאו כל כמיניה, והוה כמו שאר ערוה דמפקיע זיקה.</w:t>
      </w:r>
    </w:p>
    <w:p w14:paraId="1458326D" w14:textId="77777777" w:rsidR="006C4368" w:rsidRPr="003124AA" w:rsidRDefault="006C4368" w:rsidP="006C4368">
      <w:pPr>
        <w:pStyle w:val="a8"/>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xml:space="preserve"> (לעיל יח: ד”ה שומרת) כת' דאף ר' יהודה בן בתירא</w:t>
      </w:r>
      <w:r w:rsidRPr="003124AA">
        <w:rPr>
          <w:rStyle w:val="ac"/>
          <w:rFonts w:ascii="Narkisim" w:hAnsi="Narkisim"/>
          <w:rtl/>
        </w:rPr>
        <w:footnoteReference w:id="7233"/>
      </w:r>
      <w:r w:rsidRPr="003124AA">
        <w:rPr>
          <w:rFonts w:ascii="Narkisim" w:hAnsi="Narkisim"/>
          <w:rtl/>
        </w:rPr>
        <w:t xml:space="preserve"> מודה דהיכא דעבר ונשא אחות יבמתו, פקע הזיקה לגמרי</w:t>
      </w:r>
      <w:r w:rsidRPr="003124AA">
        <w:rPr>
          <w:rStyle w:val="ac"/>
          <w:rFonts w:ascii="Narkisim" w:hAnsi="Narkisim"/>
          <w:rtl/>
        </w:rPr>
        <w:footnoteReference w:id="7234"/>
      </w:r>
      <w:r w:rsidRPr="003124AA">
        <w:rPr>
          <w:rFonts w:ascii="Narkisim" w:hAnsi="Narkisim"/>
          <w:rtl/>
        </w:rPr>
        <w:t>. וה</w:t>
      </w:r>
      <w:r w:rsidRPr="003124AA">
        <w:rPr>
          <w:rFonts w:ascii="Narkisim" w:hAnsi="Narkisim"/>
          <w:b/>
          <w:bCs/>
          <w:rtl/>
        </w:rPr>
        <w:t>ריטב"א</w:t>
      </w:r>
      <w:r w:rsidRPr="003124AA">
        <w:rPr>
          <w:rFonts w:ascii="Narkisim" w:hAnsi="Narkisim"/>
          <w:rtl/>
        </w:rPr>
        <w:t xml:space="preserve"> (שם, והו' בבי”ש קנט יב) פליג. וה</w:t>
      </w:r>
      <w:r w:rsidRPr="003124AA">
        <w:rPr>
          <w:rFonts w:ascii="Narkisim" w:hAnsi="Narkisim"/>
          <w:b/>
          <w:bCs/>
          <w:rtl/>
        </w:rPr>
        <w:t>בי"ש</w:t>
      </w:r>
      <w:r w:rsidRPr="003124AA">
        <w:rPr>
          <w:rFonts w:ascii="Narkisim" w:hAnsi="Narkisim"/>
          <w:rtl/>
        </w:rPr>
        <w:t xml:space="preserve"> (קעה י) הביא דה</w:t>
      </w:r>
      <w:r w:rsidRPr="003124AA">
        <w:rPr>
          <w:rFonts w:ascii="Narkisim" w:hAnsi="Narkisim"/>
          <w:b/>
          <w:bCs/>
          <w:rtl/>
        </w:rPr>
        <w:t>רמ"ה</w:t>
      </w:r>
      <w:r w:rsidRPr="003124AA">
        <w:rPr>
          <w:rFonts w:ascii="Narkisim" w:hAnsi="Narkisim"/>
          <w:rtl/>
        </w:rPr>
        <w:t xml:space="preserve"> (הו' בר' ירוחם) כת' דאם גדלה ובא עליה, יוציא את אשתו בגט ואשת אחיו בחליצה [דקי"ל דלא כר"ג]. והבי"ש ציין דס"ל דאפי' נישואין לא מפקע לזיקה [וכריטב”א].</w:t>
      </w:r>
    </w:p>
    <w:p w14:paraId="1693474F" w14:textId="77777777" w:rsidR="006C4368" w:rsidRPr="003124AA" w:rsidRDefault="006C4368" w:rsidP="006C4368">
      <w:pPr>
        <w:pStyle w:val="aa"/>
        <w:bidi/>
        <w:rPr>
          <w:rFonts w:ascii="Narkisim" w:hAnsi="Narkisim"/>
        </w:rPr>
      </w:pPr>
      <w:r w:rsidRPr="003124AA">
        <w:rPr>
          <w:rFonts w:ascii="Narkisim" w:hAnsi="Narkisim"/>
          <w:u w:val="single"/>
          <w:rtl/>
        </w:rPr>
        <w:t>שם. באין ממילא</w:t>
      </w:r>
      <w:r w:rsidRPr="003124AA">
        <w:rPr>
          <w:rFonts w:ascii="Narkisim" w:hAnsi="Narkisim"/>
          <w:rtl/>
        </w:rPr>
        <w:t>. ה</w:t>
      </w:r>
      <w:r w:rsidRPr="003124AA">
        <w:rPr>
          <w:rFonts w:ascii="Narkisim" w:hAnsi="Narkisim"/>
          <w:b/>
          <w:bCs/>
          <w:rtl/>
        </w:rPr>
        <w:t>אבנ"מ</w:t>
      </w:r>
      <w:r w:rsidRPr="003124AA">
        <w:rPr>
          <w:rFonts w:ascii="Narkisim" w:hAnsi="Narkisim"/>
          <w:rtl/>
        </w:rPr>
        <w:t xml:space="preserve"> (מ ו) דן עד"ז היכא דממילא נעשית אשת איש לאחר שנפלה ליבום, האם אמרי' דכיון דהוה ממילא פוטרתה מחליצה. [ו</w:t>
      </w:r>
      <w:r w:rsidRPr="003124AA">
        <w:rPr>
          <w:rFonts w:ascii="Narkisim" w:hAnsi="Narkisim"/>
          <w:b/>
          <w:bCs/>
          <w:rtl/>
        </w:rPr>
        <w:t>תוס</w:t>
      </w:r>
      <w:r w:rsidRPr="003124AA">
        <w:rPr>
          <w:rFonts w:ascii="Narkisim" w:hAnsi="Narkisim"/>
          <w:rtl/>
        </w:rPr>
        <w:t>' (לעיל טז.) דנו לדמות שומרת יבם שנתקדשה להיכא דקידש אחותה]. ועפ"ז כת' דהיכא דנתקדשה לראובן לאחר ל', ושמעון קידשה מעכשיו ומת תוך ל', כיון דלאחר שלשים הקידושין באין ממילא ונעשית אשת איש נפטרה מחליצה ויבום, וכמו היכא דנעשית אחות אשה ממילא.</w:t>
      </w:r>
    </w:p>
    <w:p w14:paraId="2B234EA8" w14:textId="77777777" w:rsidR="006C4368" w:rsidRPr="003124AA" w:rsidRDefault="006C4368" w:rsidP="006C4368">
      <w:pPr>
        <w:bidi/>
        <w:rPr>
          <w:rFonts w:ascii="Narkisim" w:hAnsi="Narkisim" w:cs="Narkisim"/>
        </w:rPr>
      </w:pPr>
      <w:r w:rsidRPr="003124AA">
        <w:rPr>
          <w:rFonts w:ascii="Narkisim" w:hAnsi="Narkisim" w:cs="Narkisim"/>
          <w:u w:val="single"/>
          <w:rtl/>
        </w:rPr>
        <w:t>או דילמא משום דקסבר המקדש אחות יבמתו נפטרה יבמה והלכה לה, אי בעל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דקידושין קמאי לאו כלום [מדאורייתא], אלא משעה שבעל קידש אותה</w:t>
      </w:r>
      <w:r w:rsidRPr="003124AA">
        <w:rPr>
          <w:rStyle w:val="ac"/>
          <w:rFonts w:ascii="Narkisim" w:hAnsi="Narkisim" w:cs="Narkisim"/>
          <w:rtl/>
        </w:rPr>
        <w:footnoteReference w:id="7235"/>
      </w:r>
      <w:r w:rsidRPr="003124AA">
        <w:rPr>
          <w:rFonts w:ascii="Narkisim" w:hAnsi="Narkisim" w:cs="Narkisim"/>
          <w:rtl/>
        </w:rPr>
        <w:t>. ואתי קידושין ומפקע לזיקה.</w:t>
      </w:r>
    </w:p>
    <w:p w14:paraId="048D5C46" w14:textId="77777777" w:rsidR="006C4368" w:rsidRPr="003124AA" w:rsidRDefault="006C4368" w:rsidP="006C4368">
      <w:pPr>
        <w:pStyle w:val="a8"/>
        <w:bidi/>
        <w:rPr>
          <w:rFonts w:ascii="Narkisim" w:hAnsi="Narkisim"/>
        </w:rPr>
      </w:pPr>
      <w:r w:rsidRPr="003124AA">
        <w:rPr>
          <w:rFonts w:ascii="Narkisim" w:hAnsi="Narkisim"/>
          <w:rtl/>
        </w:rPr>
        <w:t xml:space="preserve">וכ”מ בשאר </w:t>
      </w:r>
      <w:r w:rsidRPr="003124AA">
        <w:rPr>
          <w:rFonts w:ascii="Narkisim" w:hAnsi="Narkisim"/>
          <w:b/>
          <w:bCs/>
          <w:rtl/>
        </w:rPr>
        <w:t>ראשונים</w:t>
      </w:r>
      <w:r w:rsidRPr="003124AA">
        <w:rPr>
          <w:rFonts w:ascii="Narkisim" w:hAnsi="Narkisim"/>
          <w:rtl/>
        </w:rPr>
        <w:t xml:space="preserve"> דלהך מ”ד קונה בביאה משעה שבעל, והוה קידושין מכאן ולהבא</w:t>
      </w:r>
      <w:r w:rsidRPr="003124AA">
        <w:rPr>
          <w:rStyle w:val="ac"/>
          <w:rFonts w:ascii="Narkisim" w:hAnsi="Narkisim"/>
          <w:rtl/>
        </w:rPr>
        <w:footnoteReference w:id="7236"/>
      </w:r>
      <w:r w:rsidRPr="003124AA">
        <w:rPr>
          <w:rFonts w:ascii="Narkisim" w:hAnsi="Narkisim"/>
          <w:rtl/>
        </w:rPr>
        <w:t xml:space="preserve">. אבל יש </w:t>
      </w:r>
      <w:r w:rsidRPr="003124AA">
        <w:rPr>
          <w:rFonts w:ascii="Narkisim" w:hAnsi="Narkisim"/>
          <w:b/>
          <w:bCs/>
          <w:rtl/>
        </w:rPr>
        <w:t>אחרונים</w:t>
      </w:r>
      <w:r w:rsidRPr="003124AA">
        <w:rPr>
          <w:rFonts w:ascii="Narkisim" w:hAnsi="Narkisim"/>
          <w:rtl/>
        </w:rPr>
        <w:t xml:space="preserve"> </w:t>
      </w:r>
      <w:r w:rsidRPr="003124AA">
        <w:rPr>
          <w:rFonts w:ascii="Narkisim" w:hAnsi="Narkisim"/>
          <w:rtl/>
        </w:rPr>
        <w:lastRenderedPageBreak/>
        <w:t>(הו' בסמוך) שכת' [בדעת הרמב"ם] דהיכא דבעל חלו קידושין ראשונים. ה</w:t>
      </w:r>
      <w:r w:rsidRPr="003124AA">
        <w:rPr>
          <w:rFonts w:ascii="Narkisim" w:hAnsi="Narkisim"/>
          <w:b/>
          <w:bCs/>
          <w:rtl/>
        </w:rPr>
        <w:t>נוב"י</w:t>
      </w:r>
      <w:r w:rsidRPr="003124AA">
        <w:rPr>
          <w:rFonts w:ascii="Narkisim" w:hAnsi="Narkisim"/>
          <w:rtl/>
        </w:rPr>
        <w:t xml:space="preserve"> (ת נב) דן דאף להך מ"ד הוה גדר 'גדלה בהדיא', אלא דס"ל דדוקא היכא דבעל</w:t>
      </w:r>
      <w:r w:rsidRPr="003124AA">
        <w:rPr>
          <w:rStyle w:val="ac"/>
          <w:rFonts w:ascii="Narkisim" w:hAnsi="Narkisim"/>
          <w:rtl/>
        </w:rPr>
        <w:footnoteReference w:id="7237"/>
      </w:r>
      <w:r w:rsidRPr="003124AA">
        <w:rPr>
          <w:rFonts w:ascii="Narkisim" w:hAnsi="Narkisim"/>
          <w:rtl/>
        </w:rPr>
        <w:t>, וגילה דעתו דמעיקרא נתכוון לקידושין גמורים. [שהרי אין אדם בועל בעילת זנות, וע”כ נתכוון שתהא תחתיו בקידושין אלו. והיכא דגדל ובעל איגלאי מילתא דנתכוון לקדש מעכשיו ולכשיגדיל].</w:t>
      </w:r>
    </w:p>
    <w:p w14:paraId="3E19A9B8"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רמב"ן</w:t>
      </w:r>
      <w:r w:rsidRPr="003124AA">
        <w:rPr>
          <w:rFonts w:ascii="Narkisim" w:hAnsi="Narkisim" w:cs="Narkisim"/>
          <w:rtl/>
        </w:rPr>
        <w:t xml:space="preserve"> כת' דהגמ' (לעיל יח.) מביאה דר"ג סבר אין זיקה ומותר לבטל מצוות יבמין קאי אליבא דלשון זה.</w:t>
      </w:r>
    </w:p>
    <w:p w14:paraId="7990CBD6" w14:textId="77777777" w:rsidR="006C4368" w:rsidRPr="003124AA" w:rsidRDefault="006C4368" w:rsidP="006C4368">
      <w:pPr>
        <w:bidi/>
        <w:rPr>
          <w:rFonts w:ascii="Narkisim" w:hAnsi="Narkisim" w:cs="Narkisim"/>
        </w:rPr>
      </w:pPr>
      <w:r w:rsidRPr="003124AA">
        <w:rPr>
          <w:rFonts w:ascii="Narkisim" w:hAnsi="Narkisim" w:cs="Narkisim"/>
          <w:u w:val="single"/>
          <w:rtl/>
        </w:rPr>
        <w:t>אמר רב ששת וכו' קידושיה תלויין וכו' לאו כי גדלה גדלי בהדה וכו'</w:t>
      </w:r>
      <w:r w:rsidRPr="003124AA">
        <w:rPr>
          <w:rFonts w:ascii="Narkisim" w:hAnsi="Narkisim" w:cs="Narkisim"/>
          <w:rtl/>
        </w:rPr>
        <w:t>. ורבין השיב דמיתלא תלי אי בעל. וה</w:t>
      </w:r>
      <w:r w:rsidRPr="003124AA">
        <w:rPr>
          <w:rFonts w:ascii="Narkisim" w:hAnsi="Narkisim" w:cs="Narkisim"/>
          <w:b/>
          <w:bCs/>
          <w:rtl/>
        </w:rPr>
        <w:t>רשב"א</w:t>
      </w:r>
      <w:r w:rsidRPr="003124AA">
        <w:rPr>
          <w:rFonts w:ascii="Narkisim" w:hAnsi="Narkisim" w:cs="Narkisim"/>
          <w:rtl/>
        </w:rPr>
        <w:t xml:space="preserve"> הק' דנימא דמיתלא תלי [מדרבנן] האם תמאן</w:t>
      </w:r>
      <w:r w:rsidRPr="003124AA">
        <w:rPr>
          <w:rStyle w:val="ac"/>
          <w:rFonts w:ascii="Narkisim" w:hAnsi="Narkisim" w:cs="Narkisim"/>
          <w:rtl/>
        </w:rPr>
        <w:footnoteReference w:id="7238"/>
      </w:r>
      <w:r w:rsidRPr="003124AA">
        <w:rPr>
          <w:rFonts w:ascii="Narkisim" w:hAnsi="Narkisim" w:cs="Narkisim"/>
          <w:rtl/>
        </w:rPr>
        <w:t>. ולכי גדלה ל"מ מיאון [והוה קידושין ודאין מדרבנן]. ותי' דהלשון לא משמע ליה הכי, דהא דבעודה קטנה ממאנת וכשהגדילה אינה יכולה למאן לא הוה משום תלייה דקדושין</w:t>
      </w:r>
      <w:r w:rsidRPr="003124AA">
        <w:rPr>
          <w:rStyle w:val="ac"/>
          <w:rFonts w:ascii="Narkisim" w:hAnsi="Narkisim" w:cs="Narkisim"/>
          <w:rtl/>
        </w:rPr>
        <w:footnoteReference w:id="7239"/>
      </w:r>
      <w:r w:rsidRPr="003124AA">
        <w:rPr>
          <w:rFonts w:ascii="Narkisim" w:hAnsi="Narkisim" w:cs="Narkisim"/>
          <w:rtl/>
        </w:rPr>
        <w:t xml:space="preserve">, אלא דלא תקנו מיאון מכי גדלה. </w:t>
      </w:r>
      <w:r w:rsidRPr="003124AA">
        <w:rPr>
          <w:rFonts w:ascii="Narkisim" w:hAnsi="Narkisim" w:cs="Narkisim"/>
          <w:szCs w:val="20"/>
          <w:rtl/>
        </w:rPr>
        <w:t>[ועד"ז כת' ה</w:t>
      </w:r>
      <w:r w:rsidRPr="003124AA">
        <w:rPr>
          <w:rFonts w:ascii="Narkisim" w:hAnsi="Narkisim" w:cs="Narkisim"/>
          <w:b/>
          <w:bCs/>
          <w:szCs w:val="20"/>
          <w:rtl/>
        </w:rPr>
        <w:t>רמב"ן</w:t>
      </w:r>
      <w:r w:rsidRPr="003124AA">
        <w:rPr>
          <w:rFonts w:ascii="Narkisim" w:hAnsi="Narkisim" w:cs="Narkisim"/>
          <w:szCs w:val="20"/>
          <w:rtl/>
        </w:rPr>
        <w:t xml:space="preserve"> דלפ"ז לא הוה תלויין, אלא הוה כמו שהיו מתחילה]</w:t>
      </w:r>
      <w:r w:rsidRPr="003124AA">
        <w:rPr>
          <w:rFonts w:ascii="Narkisim" w:hAnsi="Narkisim" w:cs="Narkisim"/>
          <w:rtl/>
        </w:rPr>
        <w:t>.</w:t>
      </w:r>
    </w:p>
    <w:p w14:paraId="42E8C255" w14:textId="77777777" w:rsidR="006C4368" w:rsidRPr="003124AA" w:rsidRDefault="006C4368" w:rsidP="006C4368">
      <w:pPr>
        <w:pStyle w:val="a8"/>
        <w:bidi/>
        <w:rPr>
          <w:rFonts w:ascii="Narkisim" w:hAnsi="Narkisim"/>
        </w:rPr>
      </w:pPr>
      <w:r w:rsidRPr="003124AA">
        <w:rPr>
          <w:rFonts w:ascii="Narkisim" w:hAnsi="Narkisim"/>
          <w:rtl/>
        </w:rPr>
        <w:t>אך ה</w:t>
      </w:r>
      <w:r w:rsidRPr="003124AA">
        <w:rPr>
          <w:rFonts w:ascii="Narkisim" w:hAnsi="Narkisim"/>
          <w:b/>
          <w:bCs/>
          <w:rtl/>
        </w:rPr>
        <w:t>לח”מ</w:t>
      </w:r>
      <w:r w:rsidRPr="003124AA">
        <w:rPr>
          <w:rFonts w:ascii="Narkisim" w:hAnsi="Narkisim"/>
          <w:rtl/>
        </w:rPr>
        <w:t xml:space="preserve"> (אישות ד ח הו' בסמוך) כת' בדעת הרמב"ם דקו' הגמ' דלשון הברייתא משמע דתלויין מדאורייתא.</w:t>
      </w:r>
    </w:p>
    <w:p w14:paraId="76741ECD" w14:textId="77777777" w:rsidR="006C4368" w:rsidRPr="003124AA" w:rsidRDefault="006C4368" w:rsidP="006C4368">
      <w:pPr>
        <w:pStyle w:val="aa"/>
        <w:bidi/>
        <w:rPr>
          <w:rFonts w:ascii="Narkisim" w:hAnsi="Narkisim"/>
        </w:rPr>
      </w:pPr>
      <w:r w:rsidRPr="003124AA">
        <w:rPr>
          <w:rFonts w:ascii="Narkisim" w:hAnsi="Narkisim"/>
          <w:u w:val="single"/>
          <w:rtl/>
        </w:rPr>
        <w:t>רש"י ד"ה מיתלא</w:t>
      </w:r>
      <w:r w:rsidRPr="003124AA">
        <w:rPr>
          <w:rFonts w:ascii="Narkisim" w:hAnsi="Narkisim"/>
          <w:rtl/>
        </w:rPr>
        <w:t>. כל ימי הקטנות ספק יבעול משתגדיל וכו'. רש"י תלה אם יבעול, לכאורה היינו כדחיית רבין דדוקא בעל</w:t>
      </w:r>
      <w:r w:rsidRPr="003124AA">
        <w:rPr>
          <w:rStyle w:val="ac"/>
          <w:rFonts w:ascii="Narkisim" w:hAnsi="Narkisim"/>
          <w:rtl/>
        </w:rPr>
        <w:footnoteReference w:id="7240"/>
      </w:r>
      <w:r w:rsidRPr="003124AA">
        <w:rPr>
          <w:rFonts w:ascii="Narkisim" w:hAnsi="Narkisim"/>
          <w:rtl/>
        </w:rPr>
        <w:t>. ולפ"ז מבואר דאף לדברי רבין הוה למפרע. וצ"ב דבזה ודאי ל"ש לומר דקנין הבעילה משגדלה מהני למפרע. וכ"מ ברש"י (ד"ה או דלמא) דלהך מ"ד ל"מ למפרע. וצ"ל דכוונת רש"י דמדרבנן מיתלא תלי, וחכמים תלו את הקנין דרבנן דהוה ספק האם יקנה [בעתיד] קנין דאורייתא. אך צ"ב אמאי תלי האם יקנה קנין דאורייתא, והו"ל למימר דמיתלא תלי האם תמאן.</w:t>
      </w:r>
    </w:p>
    <w:p w14:paraId="5FCE9C33" w14:textId="77777777" w:rsidR="006C4368" w:rsidRPr="003124AA" w:rsidRDefault="006C4368" w:rsidP="006C4368">
      <w:pPr>
        <w:pStyle w:val="a8"/>
        <w:bidi/>
        <w:rPr>
          <w:rFonts w:ascii="Narkisim" w:hAnsi="Narkisim"/>
        </w:rPr>
      </w:pPr>
      <w:r w:rsidRPr="003124AA">
        <w:rPr>
          <w:rFonts w:ascii="Narkisim" w:hAnsi="Narkisim"/>
          <w:rtl/>
        </w:rPr>
        <w:t>ועוד צ"ב מה שהוסיף רש"י ולא סמכה דעתה</w:t>
      </w:r>
      <w:r w:rsidRPr="003124AA">
        <w:rPr>
          <w:rStyle w:val="ac"/>
          <w:rFonts w:ascii="Narkisim" w:hAnsi="Narkisim"/>
          <w:rtl/>
        </w:rPr>
        <w:footnoteReference w:id="7241"/>
      </w:r>
      <w:r w:rsidRPr="003124AA">
        <w:rPr>
          <w:rFonts w:ascii="Narkisim" w:hAnsi="Narkisim"/>
          <w:rtl/>
        </w:rPr>
        <w:t>, ומה כוונתו להוסיף</w:t>
      </w:r>
      <w:r w:rsidRPr="003124AA">
        <w:rPr>
          <w:rStyle w:val="ac"/>
          <w:rFonts w:ascii="Narkisim" w:hAnsi="Narkisim"/>
          <w:rtl/>
        </w:rPr>
        <w:footnoteReference w:id="7242"/>
      </w:r>
      <w:r w:rsidRPr="003124AA">
        <w:rPr>
          <w:rFonts w:ascii="Narkisim" w:hAnsi="Narkisim"/>
          <w:rtl/>
        </w:rPr>
        <w:t>.</w:t>
      </w:r>
    </w:p>
    <w:p w14:paraId="144B48F1" w14:textId="77777777" w:rsidR="006C4368" w:rsidRPr="003124AA" w:rsidRDefault="006C4368" w:rsidP="006C4368">
      <w:pPr>
        <w:bidi/>
        <w:rPr>
          <w:rFonts w:ascii="Narkisim" w:hAnsi="Narkisim" w:cs="Narkisim"/>
        </w:rPr>
      </w:pPr>
      <w:r w:rsidRPr="003124AA">
        <w:rPr>
          <w:rFonts w:ascii="Narkisim" w:hAnsi="Narkisim" w:cs="Narkisim"/>
          <w:u w:val="single"/>
          <w:rtl/>
        </w:rPr>
        <w:t>דאמרה הוא עדיף מינאי, ואנא עדיפנא מיניה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דכל זמן שארצה אצא במיאון על כרחו. [ובאישות זו ש לאשה עדיפות על הבעל שיוצאת בע”כ]. </w:t>
      </w:r>
      <w:r w:rsidRPr="003124AA">
        <w:rPr>
          <w:rFonts w:ascii="Narkisim" w:hAnsi="Narkisim" w:cs="Narkisim"/>
          <w:szCs w:val="20"/>
          <w:rtl/>
        </w:rPr>
        <w:t>ומבואר דקאי אסוגיין, אף לאחר שגדלה [עד שנבעלה]. ו</w:t>
      </w:r>
      <w:r w:rsidRPr="003124AA">
        <w:rPr>
          <w:rFonts w:ascii="Narkisim" w:hAnsi="Narkisim" w:cs="Narkisim"/>
          <w:b/>
          <w:bCs/>
          <w:szCs w:val="20"/>
          <w:rtl/>
        </w:rPr>
        <w:t>תוס'</w:t>
      </w:r>
      <w:r w:rsidRPr="003124AA">
        <w:rPr>
          <w:rFonts w:ascii="Narkisim" w:hAnsi="Narkisim" w:cs="Narkisim"/>
          <w:szCs w:val="20"/>
          <w:rtl/>
        </w:rPr>
        <w:t xml:space="preserve"> כת' דצ"ל דהוה מדאורייתא, אבל מדרבנן ל"מ מיאון. וצ"ב דמדאורייתא אין כאן אישות כלל</w:t>
      </w:r>
      <w:r w:rsidRPr="003124AA">
        <w:rPr>
          <w:rStyle w:val="ac"/>
          <w:rFonts w:ascii="Narkisim" w:hAnsi="Narkisim" w:cs="Narkisim"/>
          <w:szCs w:val="20"/>
          <w:rtl/>
        </w:rPr>
        <w:footnoteReference w:id="7243"/>
      </w:r>
      <w:r w:rsidRPr="003124AA">
        <w:rPr>
          <w:rFonts w:ascii="Narkisim" w:hAnsi="Narkisim" w:cs="Narkisim"/>
          <w:szCs w:val="20"/>
          <w:rtl/>
        </w:rPr>
        <w:t>.</w:t>
      </w:r>
    </w:p>
    <w:p w14:paraId="2739F50F" w14:textId="77777777" w:rsidR="006C4368" w:rsidRPr="003124AA" w:rsidRDefault="006C4368" w:rsidP="006C4368">
      <w:pPr>
        <w:pStyle w:val="a7"/>
        <w:bidi/>
        <w:rPr>
          <w:rFonts w:ascii="Narkisim" w:hAnsi="Narkisim"/>
        </w:rPr>
      </w:pPr>
      <w:r w:rsidRPr="003124AA">
        <w:rPr>
          <w:rFonts w:ascii="Narkisim" w:hAnsi="Narkisim"/>
          <w:rtl/>
        </w:rPr>
        <w:t>ו</w:t>
      </w:r>
      <w:r w:rsidRPr="003124AA">
        <w:rPr>
          <w:rFonts w:ascii="Narkisim" w:hAnsi="Narkisim"/>
          <w:b/>
          <w:bCs/>
          <w:rtl/>
        </w:rPr>
        <w:t>ר' האי גאון</w:t>
      </w:r>
      <w:r w:rsidRPr="003124AA">
        <w:rPr>
          <w:rFonts w:ascii="Narkisim" w:hAnsi="Narkisim"/>
          <w:rtl/>
        </w:rPr>
        <w:t xml:space="preserve"> (הו' ברמב"ן ושא”ר) פי' דרב ששת אמר דבר זה [על רבין בריה דרב נחמן], וה"ק אע"ג דאנא עדיפנא מיניה בברייתא, הוא עדיף מינאי בפלפולא דהא מלתא דתרצה שפיר</w:t>
      </w:r>
      <w:r w:rsidRPr="003124AA">
        <w:rPr>
          <w:rStyle w:val="ac"/>
          <w:rFonts w:ascii="Narkisim" w:hAnsi="Narkisim"/>
          <w:rtl/>
        </w:rPr>
        <w:footnoteReference w:id="7244"/>
      </w:r>
      <w:r w:rsidRPr="003124AA">
        <w:rPr>
          <w:rFonts w:ascii="Narkisim" w:hAnsi="Narkisim"/>
          <w:rtl/>
        </w:rPr>
        <w:t>.</w:t>
      </w:r>
    </w:p>
    <w:p w14:paraId="757AFA11" w14:textId="77777777" w:rsidR="006C4368" w:rsidRPr="003124AA" w:rsidRDefault="006C4368" w:rsidP="006C4368">
      <w:pPr>
        <w:bidi/>
        <w:rPr>
          <w:rFonts w:ascii="Narkisim" w:hAnsi="Narkisim" w:cs="Narkisim"/>
        </w:rPr>
      </w:pPr>
      <w:r w:rsidRPr="003124AA">
        <w:rPr>
          <w:rFonts w:ascii="Narkisim" w:hAnsi="Narkisim" w:cs="Narkisim"/>
          <w:u w:val="single"/>
          <w:rtl/>
        </w:rPr>
        <w:t>תוד"ה הוא</w:t>
      </w:r>
      <w:r w:rsidRPr="003124AA">
        <w:rPr>
          <w:rFonts w:ascii="Narkisim" w:hAnsi="Narkisim" w:cs="Narkisim"/>
          <w:rtl/>
        </w:rPr>
        <w:t>. אבל מדרבנן אין יכולה [למאן] משהביאה ב' שערות וכו' אפי' לא בעל וכו'. וכן האריך ה</w:t>
      </w:r>
      <w:r w:rsidRPr="003124AA">
        <w:rPr>
          <w:rFonts w:ascii="Narkisim" w:hAnsi="Narkisim" w:cs="Narkisim"/>
          <w:b/>
          <w:bCs/>
          <w:rtl/>
        </w:rPr>
        <w:t>רשב"א</w:t>
      </w:r>
      <w:r w:rsidRPr="003124AA">
        <w:rPr>
          <w:rFonts w:ascii="Narkisim" w:hAnsi="Narkisim" w:cs="Narkisim"/>
          <w:rtl/>
        </w:rPr>
        <w:t xml:space="preserve"> ושאר ראשונים. [וכן הביא ה</w:t>
      </w:r>
      <w:r w:rsidRPr="003124AA">
        <w:rPr>
          <w:rFonts w:ascii="Narkisim" w:hAnsi="Narkisim" w:cs="Narkisim"/>
          <w:b/>
          <w:bCs/>
          <w:rtl/>
        </w:rPr>
        <w:t>רי"ף</w:t>
      </w:r>
      <w:r w:rsidRPr="003124AA">
        <w:rPr>
          <w:rFonts w:ascii="Narkisim" w:hAnsi="Narkisim" w:cs="Narkisim"/>
          <w:rtl/>
        </w:rPr>
        <w:t xml:space="preserve"> (בסמוך)].</w:t>
      </w:r>
    </w:p>
    <w:p w14:paraId="09D8522B" w14:textId="77777777" w:rsidR="006C4368" w:rsidRPr="003124AA" w:rsidRDefault="006C4368" w:rsidP="006C4368">
      <w:pPr>
        <w:pStyle w:val="a7"/>
        <w:bidi/>
        <w:rPr>
          <w:rFonts w:ascii="Narkisim" w:hAnsi="Narkisim"/>
        </w:rPr>
      </w:pPr>
      <w:r w:rsidRPr="003124AA">
        <w:rPr>
          <w:rFonts w:ascii="Narkisim" w:hAnsi="Narkisim"/>
          <w:rtl/>
        </w:rPr>
        <w:t>אבל בעל ה</w:t>
      </w:r>
      <w:r w:rsidRPr="003124AA">
        <w:rPr>
          <w:rFonts w:ascii="Narkisim" w:hAnsi="Narkisim"/>
          <w:b/>
          <w:bCs/>
          <w:rtl/>
        </w:rPr>
        <w:t>מתיבות</w:t>
      </w:r>
      <w:r w:rsidRPr="003124AA">
        <w:rPr>
          <w:rStyle w:val="ac"/>
          <w:rFonts w:ascii="Narkisim" w:hAnsi="Narkisim"/>
          <w:rtl/>
        </w:rPr>
        <w:footnoteReference w:id="7245"/>
      </w:r>
      <w:r w:rsidRPr="003124AA">
        <w:rPr>
          <w:rFonts w:ascii="Narkisim" w:hAnsi="Narkisim"/>
          <w:rtl/>
        </w:rPr>
        <w:t xml:space="preserve"> (הו' ברמב"ן ס' הזכות וברשב"א) כת' ש"מ מסוגיין דממאנת אפי' גדלה כמה, כל זמן שלא בעל. ולמד כן מדחיית הגמ' אי בעל אין, אי לא בעל לא</w:t>
      </w:r>
      <w:r w:rsidRPr="003124AA">
        <w:rPr>
          <w:rStyle w:val="ac"/>
          <w:rFonts w:ascii="Narkisim" w:hAnsi="Narkisim"/>
          <w:rtl/>
        </w:rPr>
        <w:footnoteReference w:id="7246"/>
      </w:r>
      <w:r w:rsidRPr="003124AA">
        <w:rPr>
          <w:rFonts w:ascii="Narkisim" w:hAnsi="Narkisim"/>
          <w:rtl/>
        </w:rPr>
        <w:t>. וכן משמע מדברי הרי"ף דהוה ספק בזה, ויש צד דמהני מיאון לאחר שגדלה</w:t>
      </w:r>
      <w:r w:rsidRPr="003124AA">
        <w:rPr>
          <w:rStyle w:val="ac"/>
          <w:rFonts w:ascii="Narkisim" w:hAnsi="Narkisim"/>
          <w:rtl/>
        </w:rPr>
        <w:footnoteReference w:id="7247"/>
      </w:r>
      <w:r w:rsidRPr="003124AA">
        <w:rPr>
          <w:rFonts w:ascii="Narkisim" w:hAnsi="Narkisim"/>
          <w:rtl/>
        </w:rPr>
        <w:t>. וה</w:t>
      </w:r>
      <w:r w:rsidRPr="003124AA">
        <w:rPr>
          <w:rFonts w:ascii="Narkisim" w:hAnsi="Narkisim"/>
          <w:b/>
          <w:bCs/>
          <w:rtl/>
        </w:rPr>
        <w:t>ראשונים</w:t>
      </w:r>
      <w:r w:rsidRPr="003124AA">
        <w:rPr>
          <w:rFonts w:ascii="Narkisim" w:hAnsi="Narkisim"/>
          <w:rtl/>
        </w:rPr>
        <w:t xml:space="preserve"> </w:t>
      </w:r>
      <w:r w:rsidRPr="003124AA">
        <w:rPr>
          <w:rFonts w:ascii="Narkisim" w:hAnsi="Narkisim"/>
          <w:szCs w:val="20"/>
          <w:rtl/>
        </w:rPr>
        <w:t xml:space="preserve">(ראב"ד בס' </w:t>
      </w:r>
      <w:r w:rsidRPr="003124AA">
        <w:rPr>
          <w:rFonts w:ascii="Narkisim" w:hAnsi="Narkisim"/>
          <w:szCs w:val="20"/>
          <w:rtl/>
        </w:rPr>
        <w:lastRenderedPageBreak/>
        <w:t>הזכות, בעה"מ ועוד)</w:t>
      </w:r>
      <w:r w:rsidRPr="003124AA">
        <w:rPr>
          <w:rFonts w:ascii="Narkisim" w:hAnsi="Narkisim"/>
          <w:rtl/>
        </w:rPr>
        <w:t xml:space="preserve"> תמהו בזה, והביאו דמפורש בכ"מ דל"מ מיאון משגדלה.</w:t>
      </w:r>
    </w:p>
    <w:p w14:paraId="4AD4F5FD" w14:textId="77777777" w:rsidR="006C4368" w:rsidRPr="003124AA" w:rsidRDefault="006C4368" w:rsidP="006C4368">
      <w:pPr>
        <w:pStyle w:val="aa"/>
        <w:bidi/>
        <w:rPr>
          <w:rFonts w:ascii="Narkisim" w:hAnsi="Narkisim"/>
        </w:rPr>
      </w:pPr>
      <w:r w:rsidRPr="003124AA">
        <w:rPr>
          <w:rFonts w:ascii="Narkisim" w:hAnsi="Narkisim"/>
          <w:rtl/>
        </w:rPr>
        <w:t>ודעת ר' ישמעאל (לעיל ק: וכ"מ) דבקידושי טעות, אפי' בנה מורכב על כתיפה ממאנת והולכת לה</w:t>
      </w:r>
      <w:r w:rsidRPr="003124AA">
        <w:rPr>
          <w:rStyle w:val="ac"/>
          <w:rFonts w:ascii="Narkisim" w:hAnsi="Narkisim"/>
          <w:rtl/>
        </w:rPr>
        <w:footnoteReference w:id="7248"/>
      </w:r>
      <w:r w:rsidRPr="003124AA">
        <w:rPr>
          <w:rFonts w:ascii="Narkisim" w:hAnsi="Narkisim"/>
          <w:rtl/>
        </w:rPr>
        <w:t>. ו</w:t>
      </w:r>
      <w:r w:rsidRPr="003124AA">
        <w:rPr>
          <w:rFonts w:ascii="Narkisim" w:hAnsi="Narkisim"/>
          <w:b/>
          <w:bCs/>
          <w:rtl/>
        </w:rPr>
        <w:t>ריב"ן</w:t>
      </w:r>
      <w:r w:rsidRPr="003124AA">
        <w:rPr>
          <w:rFonts w:ascii="Narkisim" w:hAnsi="Narkisim"/>
          <w:rtl/>
        </w:rPr>
        <w:t xml:space="preserve"> (הו' בתוס' כתובות עד:, וכ”ד ה</w:t>
      </w:r>
      <w:r w:rsidRPr="003124AA">
        <w:rPr>
          <w:rFonts w:ascii="Narkisim" w:hAnsi="Narkisim"/>
          <w:b/>
          <w:bCs/>
          <w:rtl/>
        </w:rPr>
        <w:t>רשב”א</w:t>
      </w:r>
      <w:r w:rsidRPr="003124AA">
        <w:rPr>
          <w:rFonts w:ascii="Narkisim" w:hAnsi="Narkisim"/>
          <w:rtl/>
        </w:rPr>
        <w:t xml:space="preserve"> בסוגיין) כת' דר' ישמעאל איירי דוקא בקידושי טעות, אבל בקידושי קטנה מדרבנן ל"מ מיאון משגדלה</w:t>
      </w:r>
      <w:r w:rsidRPr="003124AA">
        <w:rPr>
          <w:rStyle w:val="ac"/>
          <w:rFonts w:ascii="Narkisim" w:hAnsi="Narkisim"/>
          <w:rtl/>
        </w:rPr>
        <w:footnoteReference w:id="7249"/>
      </w:r>
      <w:r w:rsidRPr="003124AA">
        <w:rPr>
          <w:rFonts w:ascii="Narkisim" w:hAnsi="Narkisim"/>
          <w:rtl/>
        </w:rPr>
        <w:t xml:space="preserve">. אבל </w:t>
      </w:r>
      <w:r w:rsidRPr="003124AA">
        <w:rPr>
          <w:rFonts w:ascii="Narkisim" w:hAnsi="Narkisim"/>
          <w:b/>
          <w:bCs/>
          <w:rtl/>
        </w:rPr>
        <w:t>תוס'</w:t>
      </w:r>
      <w:r w:rsidRPr="003124AA">
        <w:rPr>
          <w:rFonts w:ascii="Narkisim" w:hAnsi="Narkisim"/>
          <w:rtl/>
        </w:rPr>
        <w:t xml:space="preserve"> (שם ולעיל ב:) הביאו דמשמע בגמ' (נדה נב.) דס"ל דאף בקידושי קטנה ממאנת לה. [ו</w:t>
      </w:r>
      <w:r w:rsidRPr="003124AA">
        <w:rPr>
          <w:rFonts w:ascii="Narkisim" w:hAnsi="Narkisim"/>
          <w:b/>
          <w:bCs/>
          <w:rtl/>
        </w:rPr>
        <w:t>תוס</w:t>
      </w:r>
      <w:r w:rsidRPr="003124AA">
        <w:rPr>
          <w:rFonts w:ascii="Narkisim" w:hAnsi="Narkisim"/>
          <w:rtl/>
        </w:rPr>
        <w:t>' כת' דמ"מ סתם משנה (לעיל ב:) דל"מ מיאון משגדלה].</w:t>
      </w:r>
    </w:p>
    <w:p w14:paraId="66EDD7DB"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וה</w:t>
      </w:r>
      <w:r w:rsidRPr="003124AA">
        <w:rPr>
          <w:rFonts w:ascii="Narkisim" w:hAnsi="Narkisim" w:cs="Narkisim"/>
          <w:b/>
          <w:bCs/>
          <w:rtl/>
        </w:rPr>
        <w:t>רי"ף</w:t>
      </w:r>
      <w:r w:rsidRPr="003124AA">
        <w:rPr>
          <w:rFonts w:ascii="Narkisim" w:hAnsi="Narkisim" w:cs="Narkisim"/>
          <w:rtl/>
        </w:rPr>
        <w:t xml:space="preserve"> </w:t>
      </w:r>
      <w:r w:rsidRPr="003124AA">
        <w:rPr>
          <w:rFonts w:ascii="Narkisim" w:hAnsi="Narkisim" w:cs="Narkisim"/>
          <w:szCs w:val="20"/>
          <w:rtl/>
        </w:rPr>
        <w:t>(בסוגיין לח. בדה”ס)</w:t>
      </w:r>
      <w:r w:rsidRPr="003124AA">
        <w:rPr>
          <w:rFonts w:ascii="Narkisim" w:hAnsi="Narkisim" w:cs="Narkisim"/>
          <w:rtl/>
        </w:rPr>
        <w:t xml:space="preserve"> הביא </w:t>
      </w:r>
      <w:r w:rsidRPr="003124AA">
        <w:rPr>
          <w:rFonts w:ascii="Narkisim" w:hAnsi="Narkisim" w:cs="Narkisim"/>
          <w:b/>
          <w:bCs/>
          <w:rtl/>
        </w:rPr>
        <w:t>י"א</w:t>
      </w:r>
      <w:r w:rsidRPr="003124AA">
        <w:rPr>
          <w:rFonts w:ascii="Narkisim" w:hAnsi="Narkisim" w:cs="Narkisim"/>
          <w:rtl/>
        </w:rPr>
        <w:t xml:space="preserve"> דלא איפסיקא הילכתא אי אמרי' גדלי בהדה [ספק הגמ' דלעיל, דנח' בזה רב ורב ששת]. וכת' דעבדינן לחומרא</w:t>
      </w:r>
      <w:r w:rsidRPr="003124AA">
        <w:rPr>
          <w:rStyle w:val="ac"/>
          <w:rFonts w:ascii="Narkisim" w:hAnsi="Narkisim" w:cs="Narkisim"/>
          <w:rtl/>
        </w:rPr>
        <w:footnoteReference w:id="7250"/>
      </w:r>
      <w:r w:rsidRPr="003124AA">
        <w:rPr>
          <w:rFonts w:ascii="Narkisim" w:hAnsi="Narkisim" w:cs="Narkisim"/>
          <w:rtl/>
        </w:rPr>
        <w:t>, ואם נתקדשה לאחר [קודם שבעל] צריכה גט משניהם. וש"מ דקטנה שלא מיאנה והגדילה צריכה גט מדרבנן, אע"פ שלא נבעלה לאחר שגדלה אינה יוצאה במיאון. ומש"ה תפסי בה קדושי שני וצריכה גט משניהם. וה</w:t>
      </w:r>
      <w:r w:rsidRPr="003124AA">
        <w:rPr>
          <w:rFonts w:ascii="Narkisim" w:hAnsi="Narkisim" w:cs="Narkisim"/>
          <w:b/>
          <w:bCs/>
          <w:rtl/>
        </w:rPr>
        <w:t>בעה"מ</w:t>
      </w:r>
      <w:r w:rsidRPr="003124AA">
        <w:rPr>
          <w:rFonts w:ascii="Narkisim" w:hAnsi="Narkisim" w:cs="Narkisim"/>
          <w:rtl/>
        </w:rPr>
        <w:t xml:space="preserve"> השיג דדבריו מעורבבים, דהרי"ף התחיל דהוה ספק [דאורייתא] אי גדלי בהדה, וסיים דהוה ודאי דרבנן [וכדעת שא”ר].</w:t>
      </w:r>
    </w:p>
    <w:p w14:paraId="4D7ECA71"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(בס' הזכות) וה</w:t>
      </w:r>
      <w:r w:rsidRPr="003124AA">
        <w:rPr>
          <w:rFonts w:ascii="Narkisim" w:hAnsi="Narkisim"/>
          <w:b/>
          <w:bCs/>
          <w:rtl/>
        </w:rPr>
        <w:t>רשב"א</w:t>
      </w:r>
      <w:r w:rsidRPr="003124AA">
        <w:rPr>
          <w:rFonts w:ascii="Narkisim" w:hAnsi="Narkisim"/>
          <w:rtl/>
        </w:rPr>
        <w:t xml:space="preserve"> ביארו דהרי"ף בא לאפוקי מדעת בעל המתיבות דממאנת לאחר שגדלה, ובזה הביא בשם י"א דהוה עכ"פ ספק וצריכה גט. ואח"כ סתם דמדרבנן צריכה גט בתורת ודאי.</w:t>
      </w:r>
    </w:p>
    <w:p w14:paraId="142941BF" w14:textId="77777777" w:rsidR="006C4368" w:rsidRPr="003124AA" w:rsidRDefault="006C4368" w:rsidP="006C4368">
      <w:pPr>
        <w:pStyle w:val="a8"/>
        <w:bidi/>
        <w:rPr>
          <w:rFonts w:ascii="Narkisim" w:hAnsi="Narkisim"/>
        </w:rPr>
      </w:pPr>
      <w:r w:rsidRPr="003124AA">
        <w:rPr>
          <w:rFonts w:ascii="Narkisim" w:hAnsi="Narkisim"/>
          <w:rtl/>
        </w:rPr>
        <w:t>אבל ה</w:t>
      </w:r>
      <w:r w:rsidRPr="003124AA">
        <w:rPr>
          <w:rFonts w:ascii="Narkisim" w:hAnsi="Narkisim"/>
          <w:b/>
          <w:bCs/>
          <w:rtl/>
        </w:rPr>
        <w:t>מהרי"ק</w:t>
      </w:r>
      <w:r w:rsidRPr="003124AA">
        <w:rPr>
          <w:rFonts w:ascii="Narkisim" w:hAnsi="Narkisim"/>
          <w:rtl/>
        </w:rPr>
        <w:t xml:space="preserve"> (לב) הביא דדעת הרי"ף דהוה ספק דאורייתא אי גדלי בהדה, וצריכה גט מספק</w:t>
      </w:r>
      <w:r w:rsidRPr="003124AA">
        <w:rPr>
          <w:rStyle w:val="ac"/>
          <w:rFonts w:ascii="Narkisim" w:hAnsi="Narkisim"/>
          <w:rtl/>
        </w:rPr>
        <w:footnoteReference w:id="7251"/>
      </w:r>
      <w:r w:rsidRPr="003124AA">
        <w:rPr>
          <w:rFonts w:ascii="Narkisim" w:hAnsi="Narkisim"/>
          <w:rtl/>
        </w:rPr>
        <w:t>.</w:t>
      </w:r>
    </w:p>
    <w:p w14:paraId="0DCBF70F"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בית מאיר</w:t>
      </w:r>
      <w:r w:rsidRPr="003124AA">
        <w:rPr>
          <w:rFonts w:ascii="Narkisim" w:hAnsi="Narkisim"/>
          <w:rtl/>
        </w:rPr>
        <w:t xml:space="preserve"> (קנה כא, וע”ע החזו”א קיג ג) הביא דמבואר ברי"ף דמשעה שגדלה ליכא קידושין דרבנן כלל, וכל הנידון משום ספק דאורייתא. [וע"ע שם].</w:t>
      </w:r>
    </w:p>
    <w:p w14:paraId="64D1B68A" w14:textId="77777777" w:rsidR="006C4368" w:rsidRPr="003124AA" w:rsidRDefault="006C4368" w:rsidP="006C4368">
      <w:pPr>
        <w:pStyle w:val="aa"/>
        <w:bidi/>
        <w:rPr>
          <w:rFonts w:ascii="Narkisim" w:hAnsi="Narkisim"/>
        </w:rPr>
      </w:pPr>
      <w:r w:rsidRPr="003124AA">
        <w:rPr>
          <w:rFonts w:ascii="Narkisim" w:hAnsi="Narkisim"/>
          <w:u w:val="single"/>
          <w:rtl/>
        </w:rPr>
        <w:t>שם.</w:t>
      </w:r>
      <w:r w:rsidRPr="003124AA">
        <w:rPr>
          <w:rFonts w:ascii="Narkisim" w:hAnsi="Narkisim"/>
          <w:rtl/>
        </w:rPr>
        <w:t xml:space="preserve"> וכן ה</w:t>
      </w:r>
      <w:r w:rsidRPr="003124AA">
        <w:rPr>
          <w:rFonts w:ascii="Narkisim" w:hAnsi="Narkisim"/>
          <w:b/>
          <w:bCs/>
          <w:rtl/>
        </w:rPr>
        <w:t>רמב"ם</w:t>
      </w:r>
      <w:r w:rsidRPr="003124AA">
        <w:rPr>
          <w:rFonts w:ascii="Narkisim" w:hAnsi="Narkisim"/>
          <w:rtl/>
        </w:rPr>
        <w:t xml:space="preserve"> (אישות ד ח) כת' דקדושי יתומה קטנה מדרבנן, והן תלויין שאם ישבה עם בעלה עד שגדלה גמרו קידושיה, ונעשית אשת איש גמורה. ואי"צ לחזור ולקדשה אחר שגדלה. ואם לא רצת לישב צריכה למאן ותצא בלא גט. וה</w:t>
      </w:r>
      <w:r w:rsidRPr="003124AA">
        <w:rPr>
          <w:rFonts w:ascii="Narkisim" w:hAnsi="Narkisim"/>
          <w:b/>
          <w:bCs/>
          <w:rtl/>
        </w:rPr>
        <w:t>ראב"ד</w:t>
      </w:r>
      <w:r w:rsidRPr="003124AA">
        <w:rPr>
          <w:rFonts w:ascii="Narkisim" w:hAnsi="Narkisim"/>
          <w:rtl/>
        </w:rPr>
        <w:t xml:space="preserve"> השיג דאף כשגדלה אינו אלא מדרבנן, אלא דמשעה שגדלה אינה יכולה למאן.</w:t>
      </w:r>
    </w:p>
    <w:p w14:paraId="5C54BFE5" w14:textId="77777777" w:rsidR="006C4368" w:rsidRPr="003124AA" w:rsidRDefault="006C4368" w:rsidP="006C4368">
      <w:pPr>
        <w:pStyle w:val="a8"/>
        <w:bidi/>
        <w:rPr>
          <w:rFonts w:ascii="Narkisim" w:hAnsi="Narkisim"/>
        </w:rPr>
      </w:pPr>
      <w:r w:rsidRPr="003124AA">
        <w:rPr>
          <w:rFonts w:ascii="Narkisim" w:hAnsi="Narkisim"/>
          <w:rtl/>
        </w:rPr>
        <w:t>אבל ה</w:t>
      </w:r>
      <w:r w:rsidRPr="003124AA">
        <w:rPr>
          <w:rFonts w:ascii="Narkisim" w:hAnsi="Narkisim"/>
          <w:b/>
          <w:bCs/>
          <w:rtl/>
        </w:rPr>
        <w:t>רמב"ם</w:t>
      </w:r>
      <w:r w:rsidRPr="003124AA">
        <w:rPr>
          <w:rFonts w:ascii="Narkisim" w:hAnsi="Narkisim"/>
          <w:rtl/>
        </w:rPr>
        <w:t xml:space="preserve"> (גירושין יא ו) פסק להדיא דכשגדלה אינה יכולה למאן, וצריכה גט מדברי סופרים [היכא דלא בעל</w:t>
      </w:r>
      <w:r w:rsidRPr="003124AA">
        <w:rPr>
          <w:rStyle w:val="ac"/>
          <w:rFonts w:ascii="Narkisim" w:hAnsi="Narkisim"/>
          <w:rtl/>
        </w:rPr>
        <w:footnoteReference w:id="7252"/>
      </w:r>
      <w:r w:rsidRPr="003124AA">
        <w:rPr>
          <w:rFonts w:ascii="Narkisim" w:hAnsi="Narkisim"/>
          <w:rtl/>
        </w:rPr>
        <w:t>]. ואם קידשה אחר תופסים קידושין [וצריכה גט מראשון מדברי סופרים]. וה</w:t>
      </w:r>
      <w:r w:rsidRPr="003124AA">
        <w:rPr>
          <w:rFonts w:ascii="Narkisim" w:hAnsi="Narkisim"/>
          <w:b/>
          <w:bCs/>
          <w:rtl/>
        </w:rPr>
        <w:t>מהרי"ק</w:t>
      </w:r>
      <w:r w:rsidRPr="003124AA">
        <w:rPr>
          <w:rFonts w:ascii="Narkisim" w:hAnsi="Narkisim"/>
          <w:rtl/>
        </w:rPr>
        <w:t xml:space="preserve"> (לב) תמה בסתירת דברי הרמב"ם.</w:t>
      </w:r>
    </w:p>
    <w:p w14:paraId="3A52A662"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רד"ך</w:t>
      </w:r>
      <w:r w:rsidRPr="003124AA">
        <w:rPr>
          <w:rFonts w:ascii="Narkisim" w:hAnsi="Narkisim"/>
          <w:rtl/>
        </w:rPr>
        <w:t xml:space="preserve"> (בית כד, הו' בלח"מ אישות) כת' דדעת הרמב"ם דהבעילה הוא גמר הקידושין הראשונים, ולא שהם קידושין חדשים. [וצ”ב הגדר בזה]. והלח"מ הק' דהגמ' לומדת דהמקדש אחות יבמה נפטרה יבמה, דלמא במקדש לא נפטרה היבמה, ושאני הכא דכבר התחילו הקידושין, והשתא לא הוי מקדש אחות יבמה. וכת' דצ"ל דאף 'גמר' קידושין מקרי מקדש [ואף דהיה התחלה מעיקרא], כיון דקדם הזיקה לגמר הקידושין.</w:t>
      </w:r>
    </w:p>
    <w:p w14:paraId="0FC5D08D" w14:textId="77777777" w:rsidR="006C4368" w:rsidRPr="003124AA" w:rsidRDefault="006C4368" w:rsidP="006C4368">
      <w:pPr>
        <w:pStyle w:val="a8"/>
        <w:bidi/>
        <w:rPr>
          <w:rFonts w:ascii="Narkisim" w:hAnsi="Narkisim"/>
        </w:rPr>
      </w:pPr>
      <w:r w:rsidRPr="003124AA">
        <w:rPr>
          <w:rFonts w:ascii="Narkisim" w:hAnsi="Narkisim"/>
          <w:rtl/>
        </w:rPr>
        <w:t>ועוד חילקו ה</w:t>
      </w:r>
      <w:r w:rsidRPr="003124AA">
        <w:rPr>
          <w:rFonts w:ascii="Narkisim" w:hAnsi="Narkisim"/>
          <w:b/>
          <w:bCs/>
          <w:rtl/>
        </w:rPr>
        <w:t>אחרונים</w:t>
      </w:r>
      <w:r w:rsidRPr="003124AA">
        <w:rPr>
          <w:rFonts w:ascii="Narkisim" w:hAnsi="Narkisim"/>
          <w:rtl/>
        </w:rPr>
        <w:t xml:space="preserve"> (עונג יו”ט קמא ועוד) דהרמב"ם (אישות) איירי ביושבת תחתיו בשעה שגדלה</w:t>
      </w:r>
      <w:r w:rsidRPr="003124AA">
        <w:rPr>
          <w:rStyle w:val="ac"/>
          <w:rFonts w:ascii="Narkisim" w:hAnsi="Narkisim"/>
          <w:rtl/>
        </w:rPr>
        <w:footnoteReference w:id="7253"/>
      </w:r>
      <w:r w:rsidRPr="003124AA">
        <w:rPr>
          <w:rFonts w:ascii="Narkisim" w:hAnsi="Narkisim"/>
          <w:rtl/>
        </w:rPr>
        <w:t>, וכה"ג אמרי' דהוה ספק אי גדלי בהדה וגמרו הקידושין. ואילו הרמב"ם (הל' גירושין) איירי שאינה יושבת תחתיו אלא שלא מיאנה.</w:t>
      </w:r>
    </w:p>
    <w:p w14:paraId="32DE679F"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(אישות ד טז) הביא את הדין (גיטין מג:) דחצי שפחה שנתקדשה ונשתחררה, גמרי קידושי ראשון [לחד מ"ד]. והרמב"ם סיים כקידושי קטנה שגדלה, ואי"צ לקדשה קידושין אחרים. וה</w:t>
      </w:r>
      <w:r w:rsidRPr="003124AA">
        <w:rPr>
          <w:rFonts w:ascii="Narkisim" w:hAnsi="Narkisim"/>
          <w:b/>
          <w:bCs/>
          <w:rtl/>
        </w:rPr>
        <w:t>ראב"ד</w:t>
      </w:r>
      <w:r w:rsidRPr="003124AA">
        <w:rPr>
          <w:rFonts w:ascii="Narkisim" w:hAnsi="Narkisim"/>
          <w:rtl/>
        </w:rPr>
        <w:t xml:space="preserve"> השיג דלא נודע מדבריו אם קטנה שגדלה גומרין קידושיה מן התורה אם לא, ומשמע מריש דבריו דאף בקטנה גומרין מדאורייתא [והק' מהמשך דברי הרמב”ם</w:t>
      </w:r>
      <w:r w:rsidRPr="003124AA">
        <w:rPr>
          <w:rStyle w:val="ac"/>
          <w:rFonts w:ascii="Narkisim" w:hAnsi="Narkisim"/>
          <w:rtl/>
        </w:rPr>
        <w:footnoteReference w:id="7254"/>
      </w:r>
      <w:r w:rsidRPr="003124AA">
        <w:rPr>
          <w:rFonts w:ascii="Narkisim" w:hAnsi="Narkisim"/>
          <w:rtl/>
        </w:rPr>
        <w:t>]. וה</w:t>
      </w:r>
      <w:r w:rsidRPr="003124AA">
        <w:rPr>
          <w:rFonts w:ascii="Narkisim" w:hAnsi="Narkisim"/>
          <w:b/>
          <w:bCs/>
          <w:rtl/>
        </w:rPr>
        <w:t>מהרי"ק</w:t>
      </w:r>
      <w:r w:rsidRPr="003124AA">
        <w:rPr>
          <w:rFonts w:ascii="Narkisim" w:hAnsi="Narkisim"/>
          <w:rtl/>
        </w:rPr>
        <w:t xml:space="preserve"> (לב) הביא מדברי הרמב"ם דקטנה שנתגדלה הוה עכ"פ ספק אי </w:t>
      </w:r>
      <w:r w:rsidRPr="003124AA">
        <w:rPr>
          <w:rFonts w:ascii="Narkisim" w:hAnsi="Narkisim"/>
          <w:rtl/>
        </w:rPr>
        <w:lastRenderedPageBreak/>
        <w:t>גדלי בהדה. והק' דהרמב"ם (גירושין יא ו) פסק דתפסי קידושי שני [ע"פ הגמ' בסמוך]. וכה"ק ה</w:t>
      </w:r>
      <w:r w:rsidRPr="003124AA">
        <w:rPr>
          <w:rFonts w:ascii="Narkisim" w:hAnsi="Narkisim"/>
          <w:b/>
          <w:bCs/>
          <w:rtl/>
        </w:rPr>
        <w:t>ר"ן</w:t>
      </w:r>
      <w:r w:rsidRPr="003124AA">
        <w:rPr>
          <w:rFonts w:ascii="Narkisim" w:hAnsi="Narkisim"/>
          <w:rtl/>
        </w:rPr>
        <w:t xml:space="preserve"> (קידושין ז: ג. בדה”ר והו' בכס”מ) דקי"ל (בסוגיין) דקטנה שנתגדלה ל"מ קידושיה אלא כשבעל</w:t>
      </w:r>
      <w:r w:rsidRPr="003124AA">
        <w:rPr>
          <w:rStyle w:val="ac"/>
          <w:rFonts w:ascii="Narkisim" w:hAnsi="Narkisim"/>
          <w:rtl/>
        </w:rPr>
        <w:footnoteReference w:id="7255"/>
      </w:r>
      <w:r w:rsidRPr="003124AA">
        <w:rPr>
          <w:rFonts w:ascii="Narkisim" w:hAnsi="Narkisim"/>
          <w:rtl/>
        </w:rPr>
        <w:t>.</w:t>
      </w:r>
    </w:p>
    <w:p w14:paraId="193A13A8"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ר”ן</w:t>
      </w:r>
      <w:r w:rsidRPr="003124AA">
        <w:rPr>
          <w:rFonts w:ascii="Narkisim" w:hAnsi="Narkisim"/>
          <w:rtl/>
        </w:rPr>
        <w:t xml:space="preserve"> הביא צד דכוונת הרמב”ם דכשבעל קנאה. אך הק' דבגמ' (קי. וכתובות עד.) מבואר הטעם דאדם יודע שאין קידושי קטנה כלום, והיאך יליף להכא דנימא דאדם יודע.</w:t>
      </w:r>
    </w:p>
    <w:p w14:paraId="6410E627"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כס"מ</w:t>
      </w:r>
      <w:r w:rsidRPr="003124AA">
        <w:rPr>
          <w:rFonts w:ascii="Narkisim" w:hAnsi="Narkisim"/>
          <w:rtl/>
        </w:rPr>
        <w:t xml:space="preserve"> כת' דכוונת הרמב"ם דמותרת לו בלא קידושין אחרים</w:t>
      </w:r>
      <w:r w:rsidRPr="003124AA">
        <w:rPr>
          <w:rStyle w:val="ac"/>
          <w:rFonts w:ascii="Narkisim" w:hAnsi="Narkisim"/>
          <w:rtl/>
        </w:rPr>
        <w:footnoteReference w:id="7256"/>
      </w:r>
      <w:r w:rsidRPr="003124AA">
        <w:rPr>
          <w:rFonts w:ascii="Narkisim" w:hAnsi="Narkisim"/>
          <w:rtl/>
        </w:rPr>
        <w:t>, דקידושין דשפחה שיש בהן צד של תורה [דהא לא שייר בקנינו] לא גריעי מקידושי קטנה [דהוה דרבנן], וכמו קטנה שגדלה אי"צ לקדשה קידושין אחרים ה"נ שפחה</w:t>
      </w:r>
      <w:r w:rsidRPr="003124AA">
        <w:rPr>
          <w:rStyle w:val="ac"/>
          <w:rFonts w:ascii="Narkisim" w:hAnsi="Narkisim"/>
          <w:rtl/>
        </w:rPr>
        <w:footnoteReference w:id="7257"/>
      </w:r>
      <w:r w:rsidRPr="003124AA">
        <w:rPr>
          <w:rFonts w:ascii="Narkisim" w:hAnsi="Narkisim"/>
          <w:rtl/>
        </w:rPr>
        <w:t>.</w:t>
      </w:r>
    </w:p>
    <w:p w14:paraId="775A4300"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רמ”א</w:t>
      </w:r>
      <w:r w:rsidRPr="003124AA">
        <w:rPr>
          <w:rFonts w:ascii="Narkisim" w:hAnsi="Narkisim"/>
          <w:rtl/>
        </w:rPr>
        <w:t xml:space="preserve"> (לז יא) הביא מח' קטנה שנשאת מעצמה [בחיי האב] ולא שמע האב, וגדלה הבת ושתקה ולא מיחתה, דדעת ה</w:t>
      </w:r>
      <w:r w:rsidRPr="003124AA">
        <w:rPr>
          <w:rFonts w:ascii="Narkisim" w:hAnsi="Narkisim"/>
          <w:b/>
          <w:bCs/>
          <w:rtl/>
        </w:rPr>
        <w:t>מהרי"ק</w:t>
      </w:r>
      <w:r w:rsidRPr="003124AA">
        <w:rPr>
          <w:rFonts w:ascii="Narkisim" w:hAnsi="Narkisim"/>
          <w:rtl/>
        </w:rPr>
        <w:t xml:space="preserve"> (לב) דצריכה גט, ע"פ סוגיין [דספק] דגדלו הקדושין עמה. ודעת ה</w:t>
      </w:r>
      <w:r w:rsidRPr="003124AA">
        <w:rPr>
          <w:rFonts w:ascii="Narkisim" w:hAnsi="Narkisim"/>
          <w:b/>
          <w:bCs/>
          <w:rtl/>
        </w:rPr>
        <w:t>רשב"א</w:t>
      </w:r>
      <w:r w:rsidRPr="003124AA">
        <w:rPr>
          <w:rFonts w:ascii="Narkisim" w:hAnsi="Narkisim"/>
          <w:rtl/>
        </w:rPr>
        <w:t xml:space="preserve"> (א אלף ריט) דדוקא היכא שבעל אחר שנתגדלה. וה</w:t>
      </w:r>
      <w:r w:rsidRPr="003124AA">
        <w:rPr>
          <w:rFonts w:ascii="Narkisim" w:hAnsi="Narkisim"/>
          <w:b/>
          <w:bCs/>
          <w:rtl/>
        </w:rPr>
        <w:t>בי”ש</w:t>
      </w:r>
      <w:r w:rsidRPr="003124AA">
        <w:rPr>
          <w:rFonts w:ascii="Narkisim" w:hAnsi="Narkisim"/>
          <w:rtl/>
        </w:rPr>
        <w:t xml:space="preserve"> (שם כג) ביאר [דעת הרשב”א] דדוקא היכא דיש קידושין דרבנן הוה ספק [לרי"ף] אי גדלה הקדושין אף שלא בעל. אבל התם דליכא קידושין כלל בעודה קטנה, לא אמרי' גדלה בהדיא. [וכן האריך האבנ"מ שם ע”פ הראשונים בסוגיין, הו' לעיל].</w:t>
      </w:r>
    </w:p>
    <w:p w14:paraId="5CC95939" w14:textId="77777777" w:rsidR="006C4368" w:rsidRPr="003124AA" w:rsidRDefault="006C4368" w:rsidP="006C4368">
      <w:pPr>
        <w:pStyle w:val="aa"/>
        <w:bidi/>
        <w:rPr>
          <w:rFonts w:ascii="Narkisim" w:hAnsi="Narkisim"/>
        </w:rPr>
      </w:pPr>
      <w:r w:rsidRPr="003124AA">
        <w:rPr>
          <w:rFonts w:ascii="Narkisim" w:hAnsi="Narkisim"/>
          <w:u w:val="single"/>
          <w:rtl/>
        </w:rPr>
        <w:t>שם. בסוגיין</w:t>
      </w:r>
      <w:r w:rsidRPr="003124AA">
        <w:rPr>
          <w:rFonts w:ascii="Narkisim" w:hAnsi="Narkisim"/>
          <w:rtl/>
        </w:rPr>
        <w:t>. ה</w:t>
      </w:r>
      <w:r w:rsidRPr="003124AA">
        <w:rPr>
          <w:rFonts w:ascii="Narkisim" w:hAnsi="Narkisim"/>
          <w:b/>
          <w:bCs/>
          <w:rtl/>
        </w:rPr>
        <w:t>רמב"ם</w:t>
      </w:r>
      <w:r w:rsidRPr="003124AA">
        <w:rPr>
          <w:rFonts w:ascii="Narkisim" w:hAnsi="Narkisim"/>
          <w:rtl/>
        </w:rPr>
        <w:t xml:space="preserve"> (מכירה כט יז) פסק דקטן שמכר קרקע, וכשגדל [ונהיה בן כ'] לא מיחה ביד הלוקח. נתקיים המקח ביד לוקח, שהרי רצה בממכרו. ו</w:t>
      </w:r>
      <w:r w:rsidRPr="003124AA">
        <w:rPr>
          <w:rFonts w:ascii="Narkisim" w:hAnsi="Narkisim"/>
          <w:b/>
          <w:bCs/>
          <w:rtl/>
        </w:rPr>
        <w:t>ה"ה</w:t>
      </w:r>
      <w:r w:rsidRPr="003124AA">
        <w:rPr>
          <w:rFonts w:ascii="Narkisim" w:hAnsi="Narkisim"/>
          <w:rtl/>
        </w:rPr>
        <w:t xml:space="preserve"> ציין מקורו מסוגיין</w:t>
      </w:r>
      <w:r w:rsidRPr="003124AA">
        <w:rPr>
          <w:rStyle w:val="ac"/>
          <w:rFonts w:ascii="Narkisim" w:hAnsi="Narkisim"/>
          <w:rtl/>
        </w:rPr>
        <w:footnoteReference w:id="7258"/>
      </w:r>
      <w:r w:rsidRPr="003124AA">
        <w:rPr>
          <w:rFonts w:ascii="Narkisim" w:hAnsi="Narkisim"/>
          <w:rtl/>
        </w:rPr>
        <w:t>. וה</w:t>
      </w:r>
      <w:r w:rsidRPr="003124AA">
        <w:rPr>
          <w:rFonts w:ascii="Narkisim" w:hAnsi="Narkisim"/>
          <w:b/>
          <w:bCs/>
          <w:rtl/>
        </w:rPr>
        <w:t>קצות</w:t>
      </w:r>
      <w:r w:rsidRPr="003124AA">
        <w:rPr>
          <w:rFonts w:ascii="Narkisim" w:hAnsi="Narkisim"/>
          <w:rtl/>
        </w:rPr>
        <w:t xml:space="preserve"> (רלה ו) הק' דהתם הוה קידושין דרבנן כיון דלא מיאנה [ובמכירה ליכא תקנה]. וקידושין דאורייתא הוה רק משום חזקה דאינו עושה בעילת זנות [וזה ל"ש במכר]. וכת' דהרמב"ם לטעמיה דס"ל (אישות ד ח הנ”ל) דגדלי בהדה. והביא דברי המהרי"ק והרד"ך (הנ"ל). אך הק' דה</w:t>
      </w:r>
      <w:r w:rsidRPr="003124AA">
        <w:rPr>
          <w:rFonts w:ascii="Narkisim" w:hAnsi="Narkisim"/>
          <w:b/>
          <w:bCs/>
          <w:rtl/>
        </w:rPr>
        <w:t>שו”ע</w:t>
      </w:r>
      <w:r w:rsidRPr="003124AA">
        <w:rPr>
          <w:rFonts w:ascii="Narkisim" w:hAnsi="Narkisim"/>
          <w:rtl/>
        </w:rPr>
        <w:t xml:space="preserve"> (אה"ע קנה כ) לא ס"ל כן.</w:t>
      </w:r>
    </w:p>
    <w:p w14:paraId="3370D439" w14:textId="77777777" w:rsidR="006C4368" w:rsidRPr="003124AA" w:rsidRDefault="006C4368" w:rsidP="006C4368">
      <w:pPr>
        <w:pStyle w:val="a8"/>
        <w:bidi/>
        <w:rPr>
          <w:rFonts w:ascii="Narkisim" w:hAnsi="Narkisim"/>
        </w:rPr>
      </w:pPr>
      <w:r w:rsidRPr="003124AA">
        <w:rPr>
          <w:rFonts w:ascii="Narkisim" w:hAnsi="Narkisim"/>
          <w:rtl/>
        </w:rPr>
        <w:t>ועוד הביא די"ל דסברת הרמב"ם משום דנשתמש לפניו, וכדאי' (ב"מ סו:) דשמיט ואכיל הוה מחילה. [אך הק' דהפוסקים לא כתבו דדוקא לפניו].</w:t>
      </w:r>
    </w:p>
    <w:p w14:paraId="0A8A537F" w14:textId="77777777" w:rsidR="006C4368" w:rsidRPr="003124AA" w:rsidRDefault="006C4368" w:rsidP="006C4368">
      <w:pPr>
        <w:bidi/>
        <w:rPr>
          <w:rFonts w:ascii="Narkisim" w:hAnsi="Narkisim" w:cs="Narkisim"/>
        </w:rPr>
      </w:pPr>
      <w:r w:rsidRPr="003124AA">
        <w:rPr>
          <w:rFonts w:ascii="Narkisim" w:hAnsi="Narkisim" w:cs="Narkisim"/>
          <w:u w:val="single"/>
          <w:rtl/>
        </w:rPr>
        <w:t>קטנה שלא מיאנה והגדילה ועמדה ונשאת וכו' ושמואל אמר צריכה גט משני</w:t>
      </w:r>
      <w:r w:rsidRPr="003124AA">
        <w:rPr>
          <w:rFonts w:ascii="Narkisim" w:hAnsi="Narkisim" w:cs="Narkisim"/>
          <w:rtl/>
        </w:rPr>
        <w:t>. [ומסקנת הגמ' דאף רב מודה דהיכא דלא בעל צריכה גט משני]. וה</w:t>
      </w:r>
      <w:r w:rsidRPr="003124AA">
        <w:rPr>
          <w:rFonts w:ascii="Narkisim" w:hAnsi="Narkisim" w:cs="Narkisim"/>
          <w:b/>
          <w:bCs/>
          <w:rtl/>
        </w:rPr>
        <w:t>רי"ף</w:t>
      </w:r>
      <w:r w:rsidRPr="003124AA">
        <w:rPr>
          <w:rFonts w:ascii="Narkisim" w:hAnsi="Narkisim" w:cs="Narkisim"/>
          <w:rtl/>
        </w:rPr>
        <w:t xml:space="preserve"> כת' דאף אם השני גירשה אסורה לראשון, דאתו למימר דהוה מחזיר גרושתו מהאירוסין (ע”ד הא דאי' גיטין פט:).</w:t>
      </w:r>
    </w:p>
    <w:p w14:paraId="77B1D8DE"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(ס' הזכות) הביא דיש שחלקו דהכא ל”ש גזירה זו, ע”ד הא דאי' (גיטין שם) דבמקום אמתלא חוששין לאמתלא. ולא יתלו במחזיר גרושתו</w:t>
      </w:r>
      <w:r w:rsidRPr="003124AA">
        <w:rPr>
          <w:rStyle w:val="ac"/>
          <w:rFonts w:ascii="Narkisim" w:hAnsi="Narkisim"/>
          <w:rtl/>
        </w:rPr>
        <w:footnoteReference w:id="7259"/>
      </w:r>
      <w:r w:rsidRPr="003124AA">
        <w:rPr>
          <w:rFonts w:ascii="Narkisim" w:hAnsi="Narkisim"/>
          <w:rtl/>
        </w:rPr>
        <w:t>.</w:t>
      </w:r>
    </w:p>
    <w:p w14:paraId="7CD9C384" w14:textId="77777777" w:rsidR="006C4368" w:rsidRPr="003124AA" w:rsidRDefault="006C4368" w:rsidP="006C4368">
      <w:pPr>
        <w:bidi/>
        <w:rPr>
          <w:rFonts w:ascii="Narkisim" w:hAnsi="Narkisim" w:cs="Narkisim"/>
        </w:rPr>
      </w:pPr>
      <w:r w:rsidRPr="003124AA">
        <w:rPr>
          <w:rFonts w:ascii="Narkisim" w:hAnsi="Narkisim" w:cs="Narkisim"/>
          <w:rtl/>
        </w:rPr>
        <w:t>ועוד כת' ה</w:t>
      </w:r>
      <w:r w:rsidRPr="003124AA">
        <w:rPr>
          <w:rFonts w:ascii="Narkisim" w:hAnsi="Narkisim" w:cs="Narkisim"/>
          <w:b/>
          <w:bCs/>
          <w:rtl/>
        </w:rPr>
        <w:t>רי"ף</w:t>
      </w:r>
      <w:r w:rsidRPr="003124AA">
        <w:rPr>
          <w:rFonts w:ascii="Narkisim" w:hAnsi="Narkisim" w:cs="Narkisim"/>
          <w:rtl/>
        </w:rPr>
        <w:t xml:space="preserve"> דהיכא דהשני בא עליה קודם גירושי ראשון אסורה לתרוייהו, וצריכה גט מתרוייהו. וכדין אשה שהלך בעלה למדינת הים (לעיל פז: וצא:) שהיא אסורה על זה ועל זה, וצריכה גט מזה ומזה. אך כת' דלא הוה ממזר כיון דהוה נישואין דרבנן, ולאו נישואי תורה. [ולא תקנו בזה ממזר דרבנן].</w:t>
      </w:r>
    </w:p>
    <w:p w14:paraId="492E9D5B"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ראב"ד</w:t>
      </w:r>
      <w:r w:rsidRPr="003124AA">
        <w:rPr>
          <w:rFonts w:ascii="Narkisim" w:hAnsi="Narkisim"/>
          <w:rtl/>
        </w:rPr>
        <w:t xml:space="preserve"> (ס' הזכות) דן דלא מצאנו דגזרו בכה"ג גזירות דתצא מזה ומזה. דהכא ליכא איסור ערוה, ולא איסור לאו דאורייתא</w:t>
      </w:r>
      <w:r w:rsidRPr="003124AA">
        <w:rPr>
          <w:rStyle w:val="ac"/>
          <w:rFonts w:ascii="Narkisim" w:hAnsi="Narkisim"/>
          <w:rtl/>
        </w:rPr>
        <w:footnoteReference w:id="7260"/>
      </w:r>
      <w:r w:rsidRPr="003124AA">
        <w:rPr>
          <w:rFonts w:ascii="Narkisim" w:hAnsi="Narkisim"/>
          <w:rtl/>
        </w:rPr>
        <w:t>. ואפשר</w:t>
      </w:r>
      <w:r w:rsidRPr="003124AA">
        <w:rPr>
          <w:rStyle w:val="ac"/>
          <w:rFonts w:ascii="Narkisim" w:hAnsi="Narkisim"/>
          <w:rtl/>
        </w:rPr>
        <w:footnoteReference w:id="7261"/>
      </w:r>
      <w:r w:rsidRPr="003124AA">
        <w:rPr>
          <w:rFonts w:ascii="Narkisim" w:hAnsi="Narkisim"/>
          <w:rtl/>
        </w:rPr>
        <w:t xml:space="preserve"> דלא גזרו בקידושי קטנה דרבנן לאסור בזה שנשאת לאחר בטעות</w:t>
      </w:r>
      <w:r w:rsidRPr="003124AA">
        <w:rPr>
          <w:rStyle w:val="ac"/>
          <w:rFonts w:ascii="Narkisim" w:hAnsi="Narkisim"/>
          <w:rtl/>
        </w:rPr>
        <w:footnoteReference w:id="7262"/>
      </w:r>
      <w:r w:rsidRPr="003124AA">
        <w:rPr>
          <w:rFonts w:ascii="Narkisim" w:hAnsi="Narkisim"/>
          <w:rtl/>
        </w:rPr>
        <w:t>.</w:t>
      </w:r>
    </w:p>
    <w:p w14:paraId="1C579662" w14:textId="77777777" w:rsidR="006C4368" w:rsidRPr="003124AA" w:rsidRDefault="006C4368" w:rsidP="006C4368">
      <w:pPr>
        <w:pStyle w:val="a8"/>
        <w:bidi/>
        <w:rPr>
          <w:rFonts w:ascii="Narkisim" w:hAnsi="Narkisim"/>
        </w:rPr>
      </w:pPr>
      <w:r w:rsidRPr="003124AA">
        <w:rPr>
          <w:rFonts w:ascii="Narkisim" w:hAnsi="Narkisim"/>
          <w:rtl/>
        </w:rPr>
        <w:lastRenderedPageBreak/>
        <w:t>וה</w:t>
      </w:r>
      <w:r w:rsidRPr="003124AA">
        <w:rPr>
          <w:rFonts w:ascii="Narkisim" w:hAnsi="Narkisim"/>
          <w:b/>
          <w:bCs/>
          <w:rtl/>
        </w:rPr>
        <w:t>רמב"ן</w:t>
      </w:r>
      <w:r w:rsidRPr="003124AA">
        <w:rPr>
          <w:rFonts w:ascii="Narkisim" w:hAnsi="Narkisim"/>
          <w:rtl/>
        </w:rPr>
        <w:t xml:space="preserve"> (ס' הזכות) השיב דגזרו אף בפסולי גיטין מדרבנן, כגון כתב לשם מלכות שאינה הוגנת וכו' וכן קנסו בגט קרח, ואף שלא עשה לא אסור ערוה ולא אסור לאו דאורייתא, אלא פסול תקנות של דבריהם. משום שלום מלכות ומשום דמיחזי כשקרא. ואעפ"כ תצא זה ומזה וכל הדרכים האלו בהן, חוץ מן ממזר דלדעת חכמים (גיטין פ:) לא גזרו דהוה ממזר. וכ"ש בזו שיש כאן קדושין שלמים מדבריהם, שהדין שיוצאה מזה ומזה.</w:t>
      </w:r>
    </w:p>
    <w:p w14:paraId="6730FDC6"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רא"ש</w:t>
      </w:r>
      <w:r w:rsidRPr="003124AA">
        <w:rPr>
          <w:rFonts w:ascii="Narkisim" w:hAnsi="Narkisim"/>
          <w:rtl/>
        </w:rPr>
        <w:t xml:space="preserve"> (ז) דחה דהתם טבעו חכמים מטבע בגיטין, וקנסו כל המשנה מטבע שלהם. ואינו ענין לכאן, דהכא לא תקנו חכמים בדבר זה, אלא לפי שבא עליה באיסור יש לקנסו. ואין לחדש קנס זה מדעתינו אם לא שנמצא שקנסו כיו"ב</w:t>
      </w:r>
      <w:r w:rsidRPr="003124AA">
        <w:rPr>
          <w:rStyle w:val="ac"/>
          <w:rFonts w:ascii="Narkisim" w:hAnsi="Narkisim"/>
          <w:rtl/>
        </w:rPr>
        <w:footnoteReference w:id="7263"/>
      </w:r>
      <w:r w:rsidRPr="003124AA">
        <w:rPr>
          <w:rFonts w:ascii="Narkisim" w:hAnsi="Narkisim"/>
          <w:rtl/>
        </w:rPr>
        <w:t>.</w:t>
      </w:r>
    </w:p>
    <w:p w14:paraId="5D847C67" w14:textId="77777777" w:rsidR="006C4368" w:rsidRPr="003124AA" w:rsidRDefault="006C4368" w:rsidP="006C4368">
      <w:pPr>
        <w:pStyle w:val="aa"/>
        <w:bidi/>
        <w:rPr>
          <w:rFonts w:ascii="Narkisim" w:hAnsi="Narkisim"/>
        </w:rPr>
      </w:pPr>
      <w:r w:rsidRPr="003124AA">
        <w:rPr>
          <w:rFonts w:ascii="Narkisim" w:hAnsi="Narkisim"/>
          <w:u w:val="single"/>
          <w:rtl/>
        </w:rPr>
        <w:t>שם. ועמדה ונשאת</w:t>
      </w:r>
      <w:r w:rsidRPr="003124AA">
        <w:rPr>
          <w:rFonts w:ascii="Narkisim" w:hAnsi="Narkisim"/>
          <w:rtl/>
        </w:rPr>
        <w:t>. ה</w:t>
      </w:r>
      <w:r w:rsidRPr="003124AA">
        <w:rPr>
          <w:rFonts w:ascii="Narkisim" w:hAnsi="Narkisim"/>
          <w:b/>
          <w:bCs/>
          <w:rtl/>
        </w:rPr>
        <w:t>רשב"א</w:t>
      </w:r>
      <w:r w:rsidRPr="003124AA">
        <w:rPr>
          <w:rFonts w:ascii="Narkisim" w:hAnsi="Narkisim"/>
          <w:rtl/>
        </w:rPr>
        <w:t xml:space="preserve"> כת' דה"מ כשנתקדשה שלא בפני הראשון. אבל היכא דנתקדשה בפניו צריכה הימנו גט, וכדרב המנונא (לקמן קטז.) דאמר האשה שאמרה לבעלה גרשתני נאמנת, והיכא פשטה ידה וקבלה קדושין מאחר בפני בעלה כאלו אמרה לו גרשתני דמי (וכדאי' גיטין פט:). ואפשר דכה"ג מגורשת גמורה היא ומותרת לינשא, ואי"צ גט מהראשון.</w:t>
      </w:r>
    </w:p>
    <w:p w14:paraId="3EA575B4" w14:textId="77777777" w:rsidR="006C4368" w:rsidRPr="003124AA" w:rsidRDefault="006C4368" w:rsidP="006C4368">
      <w:pPr>
        <w:pStyle w:val="a8"/>
        <w:bidi/>
        <w:rPr>
          <w:rFonts w:ascii="Narkisim" w:hAnsi="Narkisim"/>
        </w:rPr>
      </w:pPr>
      <w:r w:rsidRPr="003124AA">
        <w:rPr>
          <w:rFonts w:ascii="Narkisim" w:hAnsi="Narkisim"/>
          <w:rtl/>
        </w:rPr>
        <w:t>אך ה</w:t>
      </w:r>
      <w:r w:rsidRPr="003124AA">
        <w:rPr>
          <w:rFonts w:ascii="Narkisim" w:hAnsi="Narkisim"/>
          <w:b/>
          <w:bCs/>
          <w:rtl/>
        </w:rPr>
        <w:t>ריטב"א</w:t>
      </w:r>
      <w:r w:rsidRPr="003124AA">
        <w:rPr>
          <w:rFonts w:ascii="Narkisim" w:hAnsi="Narkisim"/>
          <w:rtl/>
        </w:rPr>
        <w:t xml:space="preserve"> הביא בשם </w:t>
      </w:r>
      <w:r w:rsidRPr="003124AA">
        <w:rPr>
          <w:rFonts w:ascii="Narkisim" w:hAnsi="Narkisim"/>
          <w:b/>
          <w:bCs/>
          <w:rtl/>
        </w:rPr>
        <w:t>אחרים</w:t>
      </w:r>
      <w:r w:rsidRPr="003124AA">
        <w:rPr>
          <w:rFonts w:ascii="Narkisim" w:hAnsi="Narkisim"/>
          <w:rtl/>
        </w:rPr>
        <w:t xml:space="preserve"> דה"מ היכא דיש קידושין ודאים מראשון, אבל הכא קידושי הראשון הוה ספק מתחילתם. ומש"ה כשנתקדשה לשני אינו ראיה שנתגרשה, שהאשה סבורה דקידושין ראשונים ל"מ.</w:t>
      </w:r>
    </w:p>
    <w:p w14:paraId="6CA13EA6" w14:textId="77777777" w:rsidR="006C4368" w:rsidRPr="003124AA" w:rsidRDefault="006C4368" w:rsidP="006C4368">
      <w:pPr>
        <w:pStyle w:val="3"/>
        <w:bidi/>
        <w:rPr>
          <w:rFonts w:ascii="Narkisim" w:hAnsi="Narkisim"/>
        </w:rPr>
      </w:pPr>
      <w:r w:rsidRPr="003124AA">
        <w:rPr>
          <w:rFonts w:ascii="Narkisim" w:hAnsi="Narkisim"/>
          <w:rtl/>
        </w:rPr>
        <w:t>דף קי.</w:t>
      </w:r>
    </w:p>
    <w:p w14:paraId="00ED525B" w14:textId="77777777" w:rsidR="006C4368" w:rsidRPr="003124AA" w:rsidRDefault="006C4368" w:rsidP="006C4368">
      <w:pPr>
        <w:bidi/>
        <w:rPr>
          <w:rFonts w:ascii="Narkisim" w:hAnsi="Narkisim" w:cs="Narkisim"/>
        </w:rPr>
      </w:pPr>
      <w:r w:rsidRPr="003124AA">
        <w:rPr>
          <w:rFonts w:ascii="Narkisim" w:hAnsi="Narkisim" w:cs="Narkisim"/>
          <w:u w:val="single"/>
          <w:rtl/>
        </w:rPr>
        <w:t>לא דבעל</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סתמא נתכוון לשם קידושין, דיודע הוא שאין קידושי קטנה כלום. וה</w:t>
      </w:r>
      <w:r w:rsidRPr="003124AA">
        <w:rPr>
          <w:rFonts w:ascii="Narkisim" w:hAnsi="Narkisim" w:cs="Narkisim"/>
          <w:b/>
          <w:bCs/>
          <w:rtl/>
        </w:rPr>
        <w:t>רשב"א</w:t>
      </w:r>
      <w:r w:rsidRPr="003124AA">
        <w:rPr>
          <w:rFonts w:ascii="Narkisim" w:hAnsi="Narkisim" w:cs="Narkisim"/>
          <w:rtl/>
        </w:rPr>
        <w:t xml:space="preserve"> (כתובות עג. בסוה"ע) ביאר כשנתייחד עמה בעדים</w:t>
      </w:r>
      <w:r w:rsidRPr="003124AA">
        <w:rPr>
          <w:rStyle w:val="ac"/>
          <w:rFonts w:ascii="Narkisim" w:hAnsi="Narkisim" w:cs="Narkisim"/>
          <w:rtl/>
        </w:rPr>
        <w:footnoteReference w:id="7264"/>
      </w:r>
      <w:r w:rsidRPr="003124AA">
        <w:rPr>
          <w:rFonts w:ascii="Narkisim" w:hAnsi="Narkisim" w:cs="Narkisim"/>
          <w:rtl/>
        </w:rPr>
        <w:t>, דהן הן עידי יחוד הן הן עידי ביאה. ואע"פ שלא פירשו לשם קדושין הר"ז כמדבר עמה על עסקי גיטה וקדושיה.</w:t>
      </w:r>
    </w:p>
    <w:p w14:paraId="2B7D1DD7" w14:textId="77777777" w:rsidR="006C4368" w:rsidRPr="003124AA" w:rsidRDefault="006C4368" w:rsidP="006C4368">
      <w:pPr>
        <w:pStyle w:val="a7"/>
        <w:bidi/>
        <w:rPr>
          <w:rFonts w:ascii="Narkisim" w:hAnsi="Narkisim"/>
        </w:rPr>
      </w:pPr>
      <w:r w:rsidRPr="003124AA">
        <w:rPr>
          <w:rFonts w:ascii="Narkisim" w:hAnsi="Narkisim"/>
          <w:rtl/>
        </w:rPr>
        <w:t>אבל ה</w:t>
      </w:r>
      <w:r w:rsidRPr="003124AA">
        <w:rPr>
          <w:rFonts w:ascii="Narkisim" w:hAnsi="Narkisim"/>
          <w:b/>
          <w:bCs/>
          <w:rtl/>
        </w:rPr>
        <w:t>רא"ה</w:t>
      </w:r>
      <w:r w:rsidRPr="003124AA">
        <w:rPr>
          <w:rFonts w:ascii="Narkisim" w:hAnsi="Narkisim"/>
          <w:rtl/>
        </w:rPr>
        <w:t xml:space="preserve"> (כתובות שם) כת' דאף אי ליכא עדי יחוד, כיון דאשתו היא ועומדת עמו, כו"ע ידעי שנתייחד עמה ובא עליה</w:t>
      </w:r>
      <w:r w:rsidRPr="003124AA">
        <w:rPr>
          <w:rStyle w:val="ac"/>
          <w:rFonts w:ascii="Narkisim" w:hAnsi="Narkisim"/>
          <w:rtl/>
        </w:rPr>
        <w:footnoteReference w:id="7265"/>
      </w:r>
      <w:r w:rsidRPr="003124AA">
        <w:rPr>
          <w:rFonts w:ascii="Narkisim" w:hAnsi="Narkisim"/>
          <w:rtl/>
        </w:rPr>
        <w:t>.</w:t>
      </w:r>
    </w:p>
    <w:p w14:paraId="79EE7E18" w14:textId="77777777" w:rsidR="006C4368" w:rsidRPr="003124AA" w:rsidRDefault="006C4368" w:rsidP="006C4368">
      <w:pPr>
        <w:pStyle w:val="aa"/>
        <w:bidi/>
        <w:rPr>
          <w:rFonts w:ascii="Narkisim" w:hAnsi="Narkisim"/>
        </w:rPr>
      </w:pPr>
      <w:r w:rsidRPr="003124AA">
        <w:rPr>
          <w:rFonts w:ascii="Narkisim" w:hAnsi="Narkisim"/>
          <w:u w:val="single"/>
          <w:rtl/>
        </w:rPr>
        <w:t>אי דבעל מ"ט דשמואל, קסבר וכו' ע"ד קידושין הראשונים הוא בועל וכו'</w:t>
      </w:r>
      <w:r w:rsidRPr="003124AA">
        <w:rPr>
          <w:rFonts w:ascii="Narkisim" w:hAnsi="Narkisim"/>
          <w:rtl/>
        </w:rPr>
        <w:t>. משמע דלולי סברא זו, כיון דראינו שבעל אמרי' דנתכוון לקידושין. [וע"ד אי' (גיטין עג: ופא.) במגרש אשתו ונתייחד עמו, דנח' התנאים אי חוששין שחזר וקידש].</w:t>
      </w:r>
    </w:p>
    <w:p w14:paraId="4D6864E1"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(גירושין י יט) הביא מקצת גאונים דהיכא שיש עדים על זנות צריכה גט, חזקה שאינו עושה בעילת זנות</w:t>
      </w:r>
      <w:r w:rsidRPr="003124AA">
        <w:rPr>
          <w:rStyle w:val="ac"/>
          <w:rFonts w:ascii="Narkisim" w:hAnsi="Narkisim"/>
          <w:rtl/>
        </w:rPr>
        <w:footnoteReference w:id="7266"/>
      </w:r>
      <w:r w:rsidRPr="003124AA">
        <w:rPr>
          <w:rFonts w:ascii="Narkisim" w:hAnsi="Narkisim"/>
          <w:rtl/>
        </w:rPr>
        <w:t>. וה</w:t>
      </w:r>
      <w:r w:rsidRPr="003124AA">
        <w:rPr>
          <w:rFonts w:ascii="Narkisim" w:hAnsi="Narkisim"/>
          <w:b/>
          <w:bCs/>
          <w:rtl/>
        </w:rPr>
        <w:t>רמב"ם</w:t>
      </w:r>
      <w:r w:rsidRPr="003124AA">
        <w:rPr>
          <w:rFonts w:ascii="Narkisim" w:hAnsi="Narkisim"/>
          <w:rtl/>
        </w:rPr>
        <w:t xml:space="preserve"> חלק דחזקה זו נאמר דוקא באשתו שגירשה או במקדש על תנאי, שהרי היא אשתו. ודוקא באשתו אמרי' חזקה דאינו עושה בעילתו זנות, עד שיפרש שהוא לשם זנות או על תנאי</w:t>
      </w:r>
      <w:r w:rsidRPr="003124AA">
        <w:rPr>
          <w:rStyle w:val="ac"/>
          <w:rFonts w:ascii="Narkisim" w:hAnsi="Narkisim"/>
          <w:rtl/>
        </w:rPr>
        <w:footnoteReference w:id="7267"/>
      </w:r>
      <w:r w:rsidRPr="003124AA">
        <w:rPr>
          <w:rFonts w:ascii="Narkisim" w:hAnsi="Narkisim"/>
          <w:rtl/>
        </w:rPr>
        <w:t>.</w:t>
      </w:r>
    </w:p>
    <w:p w14:paraId="38F2DB3D"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ראב"ד</w:t>
      </w:r>
      <w:r w:rsidRPr="003124AA">
        <w:rPr>
          <w:rFonts w:ascii="Narkisim" w:hAnsi="Narkisim"/>
          <w:rtl/>
        </w:rPr>
        <w:t xml:space="preserve"> (שם) חילק דהיכא שאינם חשודים בפריצות עריות צריכה גט, דהעמד בני ישראל ובנות ישראל על חזקת כשרות שלא יתפרצו לזנות בפני עדים.</w:t>
      </w:r>
    </w:p>
    <w:p w14:paraId="57D18249" w14:textId="77777777" w:rsidR="006C4368" w:rsidRPr="003124AA" w:rsidRDefault="006C4368" w:rsidP="006C4368">
      <w:pPr>
        <w:bidi/>
        <w:rPr>
          <w:rFonts w:ascii="Narkisim" w:hAnsi="Narkisim" w:cs="Narkisim"/>
        </w:rPr>
      </w:pPr>
      <w:r w:rsidRPr="003124AA">
        <w:rPr>
          <w:rFonts w:ascii="Narkisim" w:hAnsi="Narkisim" w:cs="Narkisim"/>
          <w:u w:val="single"/>
          <w:rtl/>
        </w:rPr>
        <w:t>תוד"ה והא</w:t>
      </w:r>
      <w:r w:rsidRPr="003124AA">
        <w:rPr>
          <w:rFonts w:ascii="Narkisim" w:hAnsi="Narkisim" w:cs="Narkisim"/>
          <w:rtl/>
        </w:rPr>
        <w:t>. הו”א צריכה גט מספק וכו'. ה</w:t>
      </w:r>
      <w:r w:rsidRPr="003124AA">
        <w:rPr>
          <w:rFonts w:ascii="Narkisim" w:hAnsi="Narkisim" w:cs="Narkisim"/>
          <w:b/>
          <w:bCs/>
          <w:rtl/>
        </w:rPr>
        <w:t>קוב"ש</w:t>
      </w:r>
      <w:r w:rsidRPr="003124AA">
        <w:rPr>
          <w:rFonts w:ascii="Narkisim" w:hAnsi="Narkisim" w:cs="Narkisim"/>
          <w:rtl/>
        </w:rPr>
        <w:t xml:space="preserve"> (כתובות רמד) תמה דאי הוה ספק האיך יחשב עדות לקיומי, דאינם רואים אומדנא ברורה. והוה מקדש בלא עדים. וכת' דצ"ל דסגי דהעדים רואים שיש כאן ספק. וע"ע נוב"י (ת נג ונד).</w:t>
      </w:r>
    </w:p>
    <w:p w14:paraId="1B7FFD2B" w14:textId="77777777" w:rsidR="006C4368" w:rsidRPr="003124AA" w:rsidRDefault="006C4368" w:rsidP="006C4368">
      <w:pPr>
        <w:bidi/>
        <w:rPr>
          <w:rFonts w:ascii="Narkisim" w:hAnsi="Narkisim" w:cs="Narkisim"/>
        </w:rPr>
      </w:pPr>
      <w:r w:rsidRPr="003124AA">
        <w:rPr>
          <w:rFonts w:ascii="Narkisim" w:hAnsi="Narkisim" w:cs="Narkisim"/>
          <w:u w:val="single"/>
          <w:rtl/>
        </w:rPr>
        <w:t>תוד"ה בההיא</w:t>
      </w:r>
      <w:r w:rsidRPr="003124AA">
        <w:rPr>
          <w:rFonts w:ascii="Narkisim" w:hAnsi="Narkisim" w:cs="Narkisim"/>
          <w:rtl/>
        </w:rPr>
        <w:t>. אבל בהא דליכא בעילת זנות שהרי יש שם קידושין דרבנן וכו'. ה</w:t>
      </w:r>
      <w:r w:rsidRPr="003124AA">
        <w:rPr>
          <w:rFonts w:ascii="Narkisim" w:hAnsi="Narkisim" w:cs="Narkisim"/>
          <w:b/>
          <w:bCs/>
          <w:rtl/>
        </w:rPr>
        <w:t>אחרונים</w:t>
      </w:r>
      <w:r w:rsidRPr="003124AA">
        <w:rPr>
          <w:rFonts w:ascii="Narkisim" w:hAnsi="Narkisim" w:cs="Narkisim"/>
          <w:rtl/>
        </w:rPr>
        <w:t xml:space="preserve"> הק' מ"ט דרב דאמרי' חזקה שאינו בועל בעילת זנות, והא רבנן התירו קידושין דקטנה, ולא </w:t>
      </w:r>
      <w:r w:rsidRPr="003124AA">
        <w:rPr>
          <w:rFonts w:ascii="Narkisim" w:hAnsi="Narkisim" w:cs="Narkisim"/>
          <w:rtl/>
        </w:rPr>
        <w:lastRenderedPageBreak/>
        <w:t>חשיב בעילת זנות</w:t>
      </w:r>
      <w:r w:rsidRPr="003124AA">
        <w:rPr>
          <w:rStyle w:val="ac"/>
          <w:rFonts w:ascii="Narkisim" w:hAnsi="Narkisim" w:cs="Narkisim"/>
          <w:rtl/>
        </w:rPr>
        <w:footnoteReference w:id="7268"/>
      </w:r>
      <w:r w:rsidRPr="003124AA">
        <w:rPr>
          <w:rFonts w:ascii="Narkisim" w:hAnsi="Narkisim" w:cs="Narkisim"/>
          <w:rtl/>
        </w:rPr>
        <w:t>. [ואף לאחר שגדלה מקודשת לו מדרבנן, ול"ש מיאון]. וצ"ל דמ"מ היכא דאפשר בהיתר גמור רוצה לקנות קנין דאורייתא.</w:t>
      </w:r>
    </w:p>
    <w:p w14:paraId="18201B83"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מגיד משנה</w:t>
      </w:r>
      <w:r w:rsidRPr="003124AA">
        <w:rPr>
          <w:rFonts w:ascii="Narkisim" w:hAnsi="Narkisim"/>
          <w:rtl/>
        </w:rPr>
        <w:t xml:space="preserve"> (אישות א ד) הביא סיוע לדעת הרמב"ם דאיסור פנויה דאורייתא, מהא שאמרו (בהרבה מקומות) חזקה אין אדם עושה בעילתו בעילת זנות. ואם פנויה [שאינה מופקרת] אינה אסורה מה"ת א"כ לא היו סומכין על חזקה זו. דלאו כולהו אינשי זהירי באיסורא דרבנן. וה</w:t>
      </w:r>
      <w:r w:rsidRPr="003124AA">
        <w:rPr>
          <w:rFonts w:ascii="Narkisim" w:hAnsi="Narkisim"/>
          <w:b/>
          <w:bCs/>
          <w:rtl/>
        </w:rPr>
        <w:t>קוב"ש</w:t>
      </w:r>
      <w:r w:rsidRPr="003124AA">
        <w:rPr>
          <w:rFonts w:ascii="Narkisim" w:hAnsi="Narkisim"/>
          <w:rtl/>
        </w:rPr>
        <w:t xml:space="preserve"> (כתובות רנב) תמה דבקידושי קטנה אינו עובר באיסור פנויה דאורייתא, כיון דהוה דרך אישות. ואפ"ה אמרו בסוגיין חזקה זו, וע"כ דאף במקום שאין בזה איסור אמרי' חזקה דאינו רוצה מעשה זנות.</w:t>
      </w:r>
    </w:p>
    <w:p w14:paraId="22CC2F9B" w14:textId="77777777" w:rsidR="006C4368" w:rsidRPr="003124AA" w:rsidRDefault="006C4368" w:rsidP="006C4368">
      <w:pPr>
        <w:bidi/>
        <w:rPr>
          <w:rFonts w:ascii="Narkisim" w:hAnsi="Narkisim" w:cs="Narkisim"/>
        </w:rPr>
      </w:pPr>
      <w:r w:rsidRPr="003124AA">
        <w:rPr>
          <w:rFonts w:ascii="Narkisim" w:hAnsi="Narkisim" w:cs="Narkisim"/>
          <w:u w:val="single"/>
          <w:rtl/>
        </w:rPr>
        <w:t>ואותביה אבי כורסייא</w:t>
      </w:r>
      <w:r w:rsidRPr="003124AA">
        <w:rPr>
          <w:rStyle w:val="ac"/>
          <w:rFonts w:ascii="Narkisim" w:hAnsi="Narkisim" w:cs="Narkisim"/>
          <w:u w:val="single"/>
          <w:rtl/>
        </w:rPr>
        <w:footnoteReference w:id="7269"/>
      </w:r>
      <w:r w:rsidRPr="003124AA">
        <w:rPr>
          <w:rFonts w:ascii="Narkisim" w:hAnsi="Narkisim" w:cs="Narkisim"/>
          <w:u w:val="single"/>
          <w:rtl/>
        </w:rPr>
        <w:t>, ואתא אחרינא וחטפה מיניה וכו' ולא הצריכוה גט מבתרא</w:t>
      </w:r>
      <w:r w:rsidRPr="003124AA">
        <w:rPr>
          <w:rFonts w:ascii="Narkisim" w:hAnsi="Narkisim" w:cs="Narkisim"/>
          <w:rtl/>
        </w:rPr>
        <w:t>. [וס"ד דהטעם משום דקידושי ראשון גדלה בהדה. ורב פפא דחה דאיירי שנשאה לאחר שגדלה, ואח”כ חטפה].</w:t>
      </w:r>
    </w:p>
    <w:p w14:paraId="0E4B1DEF"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טור</w:t>
      </w:r>
      <w:r w:rsidRPr="003124AA">
        <w:rPr>
          <w:rFonts w:ascii="Narkisim" w:hAnsi="Narkisim"/>
          <w:rtl/>
        </w:rPr>
        <w:t xml:space="preserve"> (קנה) כת' אם חטפה אחר דרך אונס, וקדשה בביאה</w:t>
      </w:r>
      <w:r w:rsidRPr="003124AA">
        <w:rPr>
          <w:rStyle w:val="ac"/>
          <w:rFonts w:ascii="Narkisim" w:hAnsi="Narkisim"/>
          <w:rtl/>
        </w:rPr>
        <w:footnoteReference w:id="7270"/>
      </w:r>
      <w:r w:rsidRPr="003124AA">
        <w:rPr>
          <w:rFonts w:ascii="Narkisim" w:hAnsi="Narkisim"/>
          <w:rtl/>
        </w:rPr>
        <w:t xml:space="preserve"> אי"צ גט משני ומותרת לחזור לראשון</w:t>
      </w:r>
      <w:r w:rsidRPr="003124AA">
        <w:rPr>
          <w:rStyle w:val="ac"/>
          <w:rFonts w:ascii="Narkisim" w:hAnsi="Narkisim"/>
          <w:rtl/>
        </w:rPr>
        <w:footnoteReference w:id="7271"/>
      </w:r>
      <w:r w:rsidRPr="003124AA">
        <w:rPr>
          <w:rFonts w:ascii="Narkisim" w:hAnsi="Narkisim"/>
          <w:rtl/>
        </w:rPr>
        <w:t>. [וכרב אשי דאפקעינהו לקידושין</w:t>
      </w:r>
      <w:r w:rsidRPr="003124AA">
        <w:rPr>
          <w:rStyle w:val="ac"/>
          <w:rFonts w:ascii="Narkisim" w:hAnsi="Narkisim"/>
          <w:rtl/>
        </w:rPr>
        <w:footnoteReference w:id="7272"/>
      </w:r>
      <w:r w:rsidRPr="003124AA">
        <w:rPr>
          <w:rFonts w:ascii="Narkisim" w:hAnsi="Narkisim"/>
          <w:rtl/>
        </w:rPr>
        <w:t>]. וה</w:t>
      </w:r>
      <w:r w:rsidRPr="003124AA">
        <w:rPr>
          <w:rFonts w:ascii="Narkisim" w:hAnsi="Narkisim"/>
          <w:b/>
          <w:bCs/>
          <w:rtl/>
        </w:rPr>
        <w:t>אחרונים</w:t>
      </w:r>
      <w:r w:rsidRPr="003124AA">
        <w:rPr>
          <w:rFonts w:ascii="Narkisim" w:hAnsi="Narkisim"/>
          <w:rtl/>
        </w:rPr>
        <w:t xml:space="preserve"> הק' דהיכא החוטף בא עליה תאסר על הראשון מדין סוטה. ויש שהביאו מכאן דקידושי קטנה דרבנן</w:t>
      </w:r>
      <w:r w:rsidRPr="003124AA">
        <w:rPr>
          <w:rStyle w:val="ac"/>
          <w:rFonts w:ascii="Narkisim" w:hAnsi="Narkisim"/>
          <w:rtl/>
        </w:rPr>
        <w:footnoteReference w:id="7273"/>
      </w:r>
      <w:r w:rsidRPr="003124AA">
        <w:rPr>
          <w:rFonts w:ascii="Narkisim" w:hAnsi="Narkisim"/>
          <w:rtl/>
        </w:rPr>
        <w:t xml:space="preserve"> לא גזרו שתאסר משום סוטה. וכדמשמע ב</w:t>
      </w:r>
      <w:r w:rsidRPr="003124AA">
        <w:rPr>
          <w:rFonts w:ascii="Narkisim" w:hAnsi="Narkisim"/>
          <w:b/>
          <w:bCs/>
          <w:rtl/>
        </w:rPr>
        <w:t>רמב”ם</w:t>
      </w:r>
      <w:r w:rsidRPr="003124AA">
        <w:rPr>
          <w:rFonts w:ascii="Narkisim" w:hAnsi="Narkisim"/>
          <w:rtl/>
        </w:rPr>
        <w:t xml:space="preserve"> (איסו”ב ג ב) דקטנה בת מיאון</w:t>
      </w:r>
      <w:r w:rsidRPr="003124AA">
        <w:rPr>
          <w:rStyle w:val="ac"/>
          <w:rFonts w:ascii="Narkisim" w:hAnsi="Narkisim"/>
          <w:rtl/>
        </w:rPr>
        <w:footnoteReference w:id="7274"/>
      </w:r>
      <w:r w:rsidRPr="003124AA">
        <w:rPr>
          <w:rFonts w:ascii="Narkisim" w:hAnsi="Narkisim"/>
          <w:rtl/>
        </w:rPr>
        <w:t xml:space="preserve"> שזינתה אינה נאסרת על בעלה</w:t>
      </w:r>
      <w:r w:rsidRPr="003124AA">
        <w:rPr>
          <w:rStyle w:val="ac"/>
          <w:rFonts w:ascii="Narkisim" w:hAnsi="Narkisim"/>
          <w:rtl/>
        </w:rPr>
        <w:footnoteReference w:id="7275"/>
      </w:r>
      <w:r w:rsidRPr="003124AA">
        <w:rPr>
          <w:rFonts w:ascii="Narkisim" w:hAnsi="Narkisim"/>
          <w:rtl/>
        </w:rPr>
        <w:t>, ואפי' כהן. [ואף בסוגיין דגדלה יש עליה קידושי קטנה דרבנן</w:t>
      </w:r>
      <w:r w:rsidRPr="003124AA">
        <w:rPr>
          <w:rStyle w:val="ac"/>
          <w:rFonts w:ascii="Narkisim" w:hAnsi="Narkisim"/>
          <w:rtl/>
        </w:rPr>
        <w:footnoteReference w:id="7276"/>
      </w:r>
      <w:r w:rsidRPr="003124AA">
        <w:rPr>
          <w:rFonts w:ascii="Narkisim" w:hAnsi="Narkisim"/>
          <w:rtl/>
        </w:rPr>
        <w:t>]. וה</w:t>
      </w:r>
      <w:r w:rsidRPr="003124AA">
        <w:rPr>
          <w:rFonts w:ascii="Narkisim" w:hAnsi="Narkisim"/>
          <w:b/>
          <w:bCs/>
          <w:rtl/>
        </w:rPr>
        <w:t>בית מאיר</w:t>
      </w:r>
      <w:r w:rsidRPr="003124AA">
        <w:rPr>
          <w:rFonts w:ascii="Narkisim" w:hAnsi="Narkisim"/>
          <w:rtl/>
        </w:rPr>
        <w:t xml:space="preserve"> (קנה כא) דחה דהכא חטפה ונבעלה באונס</w:t>
      </w:r>
      <w:r w:rsidRPr="003124AA">
        <w:rPr>
          <w:rStyle w:val="ac"/>
          <w:rFonts w:ascii="Narkisim" w:hAnsi="Narkisim"/>
          <w:rtl/>
        </w:rPr>
        <w:footnoteReference w:id="7277"/>
      </w:r>
      <w:r w:rsidRPr="003124AA">
        <w:rPr>
          <w:rFonts w:ascii="Narkisim" w:hAnsi="Narkisim"/>
          <w:rtl/>
        </w:rPr>
        <w:t>.</w:t>
      </w:r>
    </w:p>
    <w:p w14:paraId="72C81E61" w14:textId="77777777" w:rsidR="006C4368" w:rsidRPr="003124AA" w:rsidRDefault="006C4368" w:rsidP="006C4368">
      <w:pPr>
        <w:pStyle w:val="a8"/>
        <w:bidi/>
        <w:rPr>
          <w:rFonts w:ascii="Narkisim" w:hAnsi="Narkisim"/>
        </w:rPr>
      </w:pPr>
      <w:r w:rsidRPr="003124AA">
        <w:rPr>
          <w:rFonts w:ascii="Narkisim" w:hAnsi="Narkisim"/>
          <w:rtl/>
        </w:rPr>
        <w:t>ו</w:t>
      </w:r>
      <w:r w:rsidRPr="003124AA">
        <w:rPr>
          <w:rFonts w:ascii="Narkisim" w:hAnsi="Narkisim"/>
          <w:b/>
          <w:bCs/>
          <w:rtl/>
        </w:rPr>
        <w:t>ה"ה</w:t>
      </w:r>
      <w:r w:rsidRPr="003124AA">
        <w:rPr>
          <w:rFonts w:ascii="Narkisim" w:hAnsi="Narkisim"/>
          <w:rtl/>
        </w:rPr>
        <w:t xml:space="preserve"> (שם) ביאר דברי הרמב"ם דאינה נאסרת דכיון שאינה אשת איש מן התורה הו"ל כפנויה שזינתה. ולא עשאה זונה. וה</w:t>
      </w:r>
      <w:r w:rsidRPr="003124AA">
        <w:rPr>
          <w:rFonts w:ascii="Narkisim" w:hAnsi="Narkisim"/>
          <w:b/>
          <w:bCs/>
          <w:rtl/>
        </w:rPr>
        <w:t>אחרונים</w:t>
      </w:r>
      <w:r w:rsidRPr="003124AA">
        <w:rPr>
          <w:rFonts w:ascii="Narkisim" w:hAnsi="Narkisim"/>
          <w:rtl/>
        </w:rPr>
        <w:t xml:space="preserve"> הק' דמ"מ יש כאן אישות דרבנן, ונימא דכעין דאורייתא תקון. וה</w:t>
      </w:r>
      <w:r w:rsidRPr="003124AA">
        <w:rPr>
          <w:rFonts w:ascii="Narkisim" w:hAnsi="Narkisim"/>
          <w:b/>
          <w:bCs/>
          <w:rtl/>
        </w:rPr>
        <w:t>ר"י באסאן</w:t>
      </w:r>
      <w:r w:rsidRPr="003124AA">
        <w:rPr>
          <w:rFonts w:ascii="Narkisim" w:hAnsi="Narkisim"/>
          <w:rtl/>
        </w:rPr>
        <w:t xml:space="preserve"> (פ, הו' במגיה למשנ"ל אישות יא ח) כת' דכיון דקי"ל אפי' יבמה לשוק שזינתה אינה נאסרת על היבם, ואף דהוה לאו דאורייתא</w:t>
      </w:r>
      <w:r w:rsidRPr="003124AA">
        <w:rPr>
          <w:rStyle w:val="ac"/>
          <w:rFonts w:ascii="Narkisim" w:hAnsi="Narkisim"/>
          <w:rtl/>
        </w:rPr>
        <w:footnoteReference w:id="7278"/>
      </w:r>
      <w:r w:rsidRPr="003124AA">
        <w:rPr>
          <w:rFonts w:ascii="Narkisim" w:hAnsi="Narkisim"/>
          <w:rtl/>
        </w:rPr>
        <w:t>. א"כ לא תהא זיקת קידושין דרבנן גדולה מזיקת קידושין דאורייתא</w:t>
      </w:r>
      <w:r w:rsidRPr="003124AA">
        <w:rPr>
          <w:rStyle w:val="ac"/>
          <w:rFonts w:ascii="Narkisim" w:hAnsi="Narkisim"/>
          <w:rtl/>
        </w:rPr>
        <w:footnoteReference w:id="7279"/>
      </w:r>
      <w:r w:rsidRPr="003124AA">
        <w:rPr>
          <w:rFonts w:ascii="Narkisim" w:hAnsi="Narkisim"/>
          <w:rtl/>
        </w:rPr>
        <w:t>.</w:t>
      </w:r>
    </w:p>
    <w:p w14:paraId="0242772A" w14:textId="77777777" w:rsidR="006C4368" w:rsidRPr="003124AA" w:rsidRDefault="006C4368" w:rsidP="006C4368">
      <w:pPr>
        <w:pStyle w:val="a8"/>
        <w:bidi/>
        <w:rPr>
          <w:rFonts w:ascii="Narkisim" w:hAnsi="Narkisim"/>
        </w:rPr>
      </w:pPr>
      <w:r w:rsidRPr="003124AA">
        <w:rPr>
          <w:rFonts w:ascii="Narkisim" w:hAnsi="Narkisim"/>
          <w:rtl/>
        </w:rPr>
        <w:lastRenderedPageBreak/>
        <w:t>ועפ"ז מהר"י באסאן האריך לדון באשת חרש שזינתה האם נאסרת, דהתם נמי הוה אישות דרבנן</w:t>
      </w:r>
      <w:r w:rsidRPr="003124AA">
        <w:rPr>
          <w:rStyle w:val="ac"/>
          <w:rFonts w:ascii="Narkisim" w:hAnsi="Narkisim"/>
          <w:rtl/>
        </w:rPr>
        <w:footnoteReference w:id="7280"/>
      </w:r>
      <w:r w:rsidRPr="003124AA">
        <w:rPr>
          <w:rFonts w:ascii="Narkisim" w:hAnsi="Narkisim"/>
          <w:rtl/>
        </w:rPr>
        <w:t>. ולא גרע מיבמה</w:t>
      </w:r>
      <w:r w:rsidRPr="003124AA">
        <w:rPr>
          <w:rStyle w:val="ac"/>
          <w:rFonts w:ascii="Narkisim" w:hAnsi="Narkisim"/>
          <w:rtl/>
        </w:rPr>
        <w:footnoteReference w:id="7281"/>
      </w:r>
      <w:r w:rsidRPr="003124AA">
        <w:rPr>
          <w:rFonts w:ascii="Narkisim" w:hAnsi="Narkisim"/>
          <w:rtl/>
        </w:rPr>
        <w:t>. אך הביא דה</w:t>
      </w:r>
      <w:r w:rsidRPr="003124AA">
        <w:rPr>
          <w:rFonts w:ascii="Narkisim" w:hAnsi="Narkisim"/>
          <w:b/>
          <w:bCs/>
          <w:rtl/>
        </w:rPr>
        <w:t>רמב"ם</w:t>
      </w:r>
      <w:r w:rsidRPr="003124AA">
        <w:rPr>
          <w:rFonts w:ascii="Narkisim" w:hAnsi="Narkisim"/>
          <w:rtl/>
        </w:rPr>
        <w:t xml:space="preserve"> (גירושין יא טו, ושו”ע י ב) פסק דחרש שגירש ונשאת לאחר, אסורה לחזור לראשון</w:t>
      </w:r>
      <w:r w:rsidRPr="003124AA">
        <w:rPr>
          <w:rStyle w:val="ac"/>
          <w:rFonts w:ascii="Narkisim" w:hAnsi="Narkisim"/>
          <w:rtl/>
        </w:rPr>
        <w:footnoteReference w:id="7282"/>
      </w:r>
      <w:r w:rsidRPr="003124AA">
        <w:rPr>
          <w:rFonts w:ascii="Narkisim" w:hAnsi="Narkisim"/>
          <w:rtl/>
        </w:rPr>
        <w:t>. [וכן מבואר (לעיל קח:) בקטנה שיוצאת בגט ונשאת לאחר אסורה לראשון]. ודחה דהתם הוי פרהסיא, ויטעו בשאר מחזיר גרושתו. אבל זנות בצינעא לא שכיחא ולא גזרו.</w:t>
      </w:r>
    </w:p>
    <w:p w14:paraId="4AE2268D"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ר"י באסאן</w:t>
      </w:r>
      <w:r w:rsidRPr="003124AA">
        <w:rPr>
          <w:rFonts w:ascii="Narkisim" w:hAnsi="Narkisim"/>
          <w:rtl/>
        </w:rPr>
        <w:t xml:space="preserve"> הביא מקטנה שלא מיאנה, ונשאת ונבעלה לשני, דנח' הרי"ף והראב"ד האם נאסרת על הראשון</w:t>
      </w:r>
      <w:r w:rsidRPr="003124AA">
        <w:rPr>
          <w:rStyle w:val="ac"/>
          <w:rFonts w:ascii="Narkisim" w:hAnsi="Narkisim"/>
          <w:rtl/>
        </w:rPr>
        <w:footnoteReference w:id="7283"/>
      </w:r>
      <w:r w:rsidRPr="003124AA">
        <w:rPr>
          <w:rFonts w:ascii="Narkisim" w:hAnsi="Narkisim"/>
          <w:rtl/>
        </w:rPr>
        <w:t>. ודעת ה</w:t>
      </w:r>
      <w:r w:rsidRPr="003124AA">
        <w:rPr>
          <w:rFonts w:ascii="Narkisim" w:hAnsi="Narkisim"/>
          <w:b/>
          <w:bCs/>
          <w:rtl/>
        </w:rPr>
        <w:t>ראב"ד</w:t>
      </w:r>
      <w:r w:rsidRPr="003124AA">
        <w:rPr>
          <w:rFonts w:ascii="Narkisim" w:hAnsi="Narkisim"/>
          <w:rtl/>
        </w:rPr>
        <w:t xml:space="preserve"> (והרא"ש)  דאינה נאסרת, כיון דלא הוה איסור ערוה או איסור דאורייתא. [ומבואר כדבריו]</w:t>
      </w:r>
      <w:r w:rsidRPr="003124AA">
        <w:rPr>
          <w:rStyle w:val="ac"/>
          <w:rFonts w:ascii="Narkisim" w:hAnsi="Narkisim"/>
          <w:rtl/>
        </w:rPr>
        <w:footnoteReference w:id="7284"/>
      </w:r>
      <w:r w:rsidRPr="003124AA">
        <w:rPr>
          <w:rFonts w:ascii="Narkisim" w:hAnsi="Narkisim"/>
          <w:rtl/>
        </w:rPr>
        <w:t>. אך דחה דהתם איירי שנשאת בטעות [דסבורה שיכולה למאן</w:t>
      </w:r>
      <w:r w:rsidRPr="003124AA">
        <w:rPr>
          <w:rStyle w:val="ac"/>
          <w:rFonts w:ascii="Narkisim" w:hAnsi="Narkisim"/>
          <w:rtl/>
        </w:rPr>
        <w:footnoteReference w:id="7285"/>
      </w:r>
      <w:r w:rsidRPr="003124AA">
        <w:rPr>
          <w:rFonts w:ascii="Narkisim" w:hAnsi="Narkisim"/>
          <w:rtl/>
        </w:rPr>
        <w:t>], וליכא איסור סוטה, אלא הנידון משום גזירת אשה שהלך בעלה.</w:t>
      </w:r>
    </w:p>
    <w:p w14:paraId="60EDD414" w14:textId="77777777" w:rsidR="006C4368" w:rsidRPr="003124AA" w:rsidRDefault="006C4368" w:rsidP="006C4368">
      <w:pPr>
        <w:bidi/>
        <w:rPr>
          <w:rFonts w:ascii="Narkisim" w:hAnsi="Narkisim" w:cs="Narkisim"/>
        </w:rPr>
      </w:pPr>
      <w:r w:rsidRPr="003124AA">
        <w:rPr>
          <w:rFonts w:ascii="Narkisim" w:hAnsi="Narkisim" w:cs="Narkisim"/>
          <w:u w:val="single"/>
          <w:rtl/>
        </w:rPr>
        <w:t>רב אשי אמר הוא עשה שלא כהוגן וכו' ואפקעינהו רבנן לקידושין מיניה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ורבנן אמרי' דהחוטף אשה מבעלה לא ניהוי קידושין.</w:t>
      </w:r>
    </w:p>
    <w:p w14:paraId="1EEDE07B" w14:textId="77777777" w:rsidR="006C4368" w:rsidRPr="003124AA" w:rsidRDefault="006C4368" w:rsidP="006C4368">
      <w:pPr>
        <w:bidi/>
        <w:rPr>
          <w:rFonts w:ascii="Narkisim" w:hAnsi="Narkisim" w:cs="Narkisim"/>
        </w:rPr>
      </w:pPr>
      <w:r w:rsidRPr="003124AA">
        <w:rPr>
          <w:rFonts w:ascii="Narkisim" w:hAnsi="Narkisim" w:cs="Narkisim"/>
          <w:rtl/>
        </w:rPr>
        <w:t>ה</w:t>
      </w:r>
      <w:r w:rsidRPr="003124AA">
        <w:rPr>
          <w:rFonts w:ascii="Narkisim" w:hAnsi="Narkisim" w:cs="Narkisim"/>
          <w:b/>
          <w:bCs/>
          <w:rtl/>
        </w:rPr>
        <w:t>רמב"ן</w:t>
      </w:r>
      <w:r w:rsidRPr="003124AA">
        <w:rPr>
          <w:rFonts w:ascii="Narkisim" w:hAnsi="Narkisim" w:cs="Narkisim"/>
          <w:rtl/>
        </w:rPr>
        <w:t xml:space="preserve"> דן אי הוה כלל בכל הנשים, שהחוטף אשה וקידשה דלא הוה קידושין. וצריך לפרש מאימתי נקרא חוטף, ומ"ש מהא דאי' (קידושין מה:) דאתא קריביה וקדשה באגרא דמקודשת</w:t>
      </w:r>
      <w:r w:rsidRPr="003124AA">
        <w:rPr>
          <w:rStyle w:val="ac"/>
          <w:rFonts w:ascii="Narkisim" w:hAnsi="Narkisim" w:cs="Narkisim"/>
          <w:rtl/>
        </w:rPr>
        <w:footnoteReference w:id="7286"/>
      </w:r>
      <w:r w:rsidRPr="003124AA">
        <w:rPr>
          <w:rFonts w:ascii="Narkisim" w:hAnsi="Narkisim" w:cs="Narkisim"/>
          <w:rtl/>
        </w:rPr>
        <w:t>. והק' דלא מצא דין זה בחבורי הגאונים.</w:t>
      </w:r>
    </w:p>
    <w:p w14:paraId="26C980AA"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כת' דכל זמן שלא חלו הקידושין ודאי רשאין לחזור בהם, ומש"ה אילו אביה חזר בו וקידשה לאחר לא נחשב חוטף. אלא דהכא היתה אשתו של ראשון מדרבנן</w:t>
      </w:r>
      <w:r w:rsidRPr="003124AA">
        <w:rPr>
          <w:rStyle w:val="ac"/>
          <w:rFonts w:ascii="Narkisim" w:hAnsi="Narkisim"/>
          <w:rtl/>
        </w:rPr>
        <w:footnoteReference w:id="7287"/>
      </w:r>
      <w:r w:rsidRPr="003124AA">
        <w:rPr>
          <w:rFonts w:ascii="Narkisim" w:hAnsi="Narkisim"/>
          <w:rtl/>
        </w:rPr>
        <w:t>, ומש"ה אם בא זה ושיבשה שתתקדש לו [ונתרצית לו] נחשב חוטף אשה מבעלה</w:t>
      </w:r>
      <w:r w:rsidRPr="003124AA">
        <w:rPr>
          <w:rStyle w:val="ac"/>
          <w:rFonts w:ascii="Narkisim" w:hAnsi="Narkisim"/>
          <w:rtl/>
        </w:rPr>
        <w:footnoteReference w:id="7288"/>
      </w:r>
      <w:r w:rsidRPr="003124AA">
        <w:rPr>
          <w:rFonts w:ascii="Narkisim" w:hAnsi="Narkisim"/>
          <w:rtl/>
        </w:rPr>
        <w:t>.</w:t>
      </w:r>
    </w:p>
    <w:p w14:paraId="1B59B328"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רמב"ן</w:t>
      </w:r>
      <w:r w:rsidRPr="003124AA">
        <w:rPr>
          <w:rFonts w:ascii="Narkisim" w:hAnsi="Narkisim" w:cs="Narkisim"/>
          <w:rtl/>
        </w:rPr>
        <w:t xml:space="preserve"> כת' די"ל דהטעם משום דחטפה על כרחה, והוה תלוה וקדיש. וכוונת הגמ' להא דאי' (מר בר רב אשי ב”ב מח:) דתלויה וקדיש אפקעינהו רבנן לקידושין</w:t>
      </w:r>
      <w:r w:rsidRPr="003124AA">
        <w:rPr>
          <w:rStyle w:val="ac"/>
          <w:rFonts w:ascii="Narkisim" w:hAnsi="Narkisim" w:cs="Narkisim"/>
          <w:rtl/>
        </w:rPr>
        <w:footnoteReference w:id="7289"/>
      </w:r>
      <w:r w:rsidRPr="003124AA">
        <w:rPr>
          <w:rFonts w:ascii="Narkisim" w:hAnsi="Narkisim" w:cs="Narkisim"/>
          <w:rtl/>
        </w:rPr>
        <w:t>.</w:t>
      </w:r>
    </w:p>
    <w:p w14:paraId="5B3ABE40"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ריטב"א</w:t>
      </w:r>
      <w:r w:rsidRPr="003124AA">
        <w:rPr>
          <w:rFonts w:ascii="Narkisim" w:hAnsi="Narkisim"/>
          <w:rtl/>
        </w:rPr>
        <w:t xml:space="preserve"> כת' דאיירי שבתחילה חטפה, אבל בסופה נתרצית לו</w:t>
      </w:r>
      <w:r w:rsidRPr="003124AA">
        <w:rPr>
          <w:rStyle w:val="ac"/>
          <w:rFonts w:ascii="Narkisim" w:hAnsi="Narkisim"/>
          <w:rtl/>
        </w:rPr>
        <w:footnoteReference w:id="7290"/>
      </w:r>
      <w:r w:rsidRPr="003124AA">
        <w:rPr>
          <w:rFonts w:ascii="Narkisim" w:hAnsi="Narkisim"/>
          <w:rtl/>
        </w:rPr>
        <w:t>. ומיהו כיון דתחילתו בחטיפה נחשב שלא כהוגן ואפקעינהו.</w:t>
      </w:r>
    </w:p>
    <w:p w14:paraId="77A18A58" w14:textId="77777777" w:rsidR="006C4368" w:rsidRPr="003124AA" w:rsidRDefault="006C4368" w:rsidP="006C4368">
      <w:pPr>
        <w:bidi/>
        <w:rPr>
          <w:rFonts w:ascii="Narkisim" w:hAnsi="Narkisim" w:cs="Narkisim"/>
        </w:rPr>
      </w:pPr>
      <w:r w:rsidRPr="003124AA">
        <w:rPr>
          <w:rFonts w:ascii="Narkisim" w:hAnsi="Narkisim" w:cs="Narkisim"/>
          <w:u w:val="single"/>
          <w:rtl/>
        </w:rPr>
        <w:t>תוד"ה לפיכך</w:t>
      </w:r>
      <w:r w:rsidRPr="003124AA">
        <w:rPr>
          <w:rFonts w:ascii="Narkisim" w:hAnsi="Narkisim" w:cs="Narkisim"/>
          <w:rtl/>
        </w:rPr>
        <w:t xml:space="preserve">. מספקא לר"י וכו' או משום דיש כח ביד חכמים לעקור דבר מה"ת וכו'. וכן </w:t>
      </w:r>
      <w:r w:rsidRPr="003124AA">
        <w:rPr>
          <w:rFonts w:ascii="Narkisim" w:hAnsi="Narkisim" w:cs="Narkisim"/>
          <w:b/>
          <w:bCs/>
          <w:rtl/>
        </w:rPr>
        <w:t>תוס'</w:t>
      </w:r>
      <w:r w:rsidRPr="003124AA">
        <w:rPr>
          <w:rFonts w:ascii="Narkisim" w:hAnsi="Narkisim" w:cs="Narkisim"/>
          <w:rtl/>
        </w:rPr>
        <w:t xml:space="preserve"> (ב"ב מח: ד”ה תינח) דייקו דבגמ' (כאן ושם) לא הוזכר דמקדש אדעתא דרבנן [וכמו </w:t>
      </w:r>
      <w:r w:rsidRPr="003124AA">
        <w:rPr>
          <w:rFonts w:ascii="Narkisim" w:hAnsi="Narkisim" w:cs="Narkisim"/>
          <w:rtl/>
        </w:rPr>
        <w:lastRenderedPageBreak/>
        <w:t>בשאר מקומות דאפקעינהו (גיטין לג., כתובות ג., לעיל צ:)]. דהכא קידש שלא כהוגן, ולא קידש אדעתא דרבנן.</w:t>
      </w:r>
    </w:p>
    <w:p w14:paraId="0B453DCB" w14:textId="77777777" w:rsidR="006C4368" w:rsidRPr="003124AA" w:rsidRDefault="006C4368" w:rsidP="006C4368">
      <w:pPr>
        <w:pStyle w:val="a7"/>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xml:space="preserve"> פי' דצ"ל דסבר דיש כח ביד חכמים לעקור דבר מה"ת [בקום ועשה]</w:t>
      </w:r>
      <w:r w:rsidRPr="003124AA">
        <w:rPr>
          <w:rStyle w:val="ac"/>
          <w:rFonts w:ascii="Narkisim" w:hAnsi="Narkisim"/>
          <w:rtl/>
        </w:rPr>
        <w:footnoteReference w:id="7291"/>
      </w:r>
      <w:r w:rsidRPr="003124AA">
        <w:rPr>
          <w:rFonts w:ascii="Narkisim" w:hAnsi="Narkisim"/>
          <w:rtl/>
        </w:rPr>
        <w:t>, והפקיעו הקידושין אף דלא קידש על דעתם.</w:t>
      </w:r>
    </w:p>
    <w:p w14:paraId="7A6056E8" w14:textId="77777777" w:rsidR="006C4368" w:rsidRPr="003124AA" w:rsidRDefault="006C4368" w:rsidP="006C4368">
      <w:pPr>
        <w:pStyle w:val="a8"/>
        <w:bidi/>
        <w:rPr>
          <w:rFonts w:ascii="Narkisim" w:hAnsi="Narkisim"/>
        </w:rPr>
      </w:pPr>
      <w:r w:rsidRPr="003124AA">
        <w:rPr>
          <w:rFonts w:ascii="Narkisim" w:hAnsi="Narkisim"/>
          <w:rtl/>
        </w:rPr>
        <w:t>ותוס' פי' לפ"ז המשך הגמ' דקדיש בכספא הפקיעו משום הפקר בי"ד [ולתת המעות מתנה לאשה], אלא דקדיש בביאה, כיון דיש עבירה בדבר האיך יש כח ביד חכמים [לעשותו בעילת זנות ועבירה]. ותי' דאה"נ, עשו בעילתו זנות [ועבירה]. (וע"ע מש"כ לעיל צ:).</w:t>
      </w:r>
    </w:p>
    <w:p w14:paraId="5CF2EB08" w14:textId="77777777" w:rsidR="006C4368" w:rsidRPr="003124AA" w:rsidRDefault="006C4368" w:rsidP="006C4368">
      <w:pPr>
        <w:pStyle w:val="aa"/>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כת' דלפ"ז הגמ' (בשאר דוכתי) פליג דאין כח לחכמים לעקור, אלא היכא דמקדש אדעתא דרבנן. ותוס' דחו דלא פליגי, אלא דהיכא דנעשו קידושין כהוגן אין לחכמים כח להפקיעם, אלא משום דקדיש אדעתא דרבנן. ואילו הכא דהקידושין לא נעשו כהוגן יש כח ביד חכמים להפקיע [ולעשותו עבירה], אף דלא תלה אדעתא דידהו.</w:t>
      </w:r>
    </w:p>
    <w:p w14:paraId="6E2F6958" w14:textId="77777777" w:rsidR="006C4368" w:rsidRPr="003124AA" w:rsidRDefault="006C4368" w:rsidP="006C4368">
      <w:pPr>
        <w:pStyle w:val="2"/>
        <w:bidi/>
        <w:rPr>
          <w:rFonts w:ascii="Narkisim" w:hAnsi="Narkisim"/>
        </w:rPr>
      </w:pPr>
      <w:r w:rsidRPr="003124AA">
        <w:rPr>
          <w:rFonts w:ascii="Narkisim" w:hAnsi="Narkisim"/>
          <w:rtl/>
        </w:rPr>
        <w:t>חרשת וקטנה</w:t>
      </w:r>
    </w:p>
    <w:p w14:paraId="2BE95433" w14:textId="77777777" w:rsidR="006C4368" w:rsidRPr="003124AA" w:rsidRDefault="006C4368" w:rsidP="006C4368">
      <w:pPr>
        <w:bidi/>
        <w:rPr>
          <w:rFonts w:ascii="Narkisim" w:hAnsi="Narkisim" w:cs="Narkisim"/>
        </w:rPr>
      </w:pPr>
      <w:r w:rsidRPr="003124AA">
        <w:rPr>
          <w:rFonts w:ascii="Narkisim" w:hAnsi="Narkisim" w:cs="Narkisim"/>
          <w:u w:val="single"/>
          <w:rtl/>
        </w:rPr>
        <w:t>מי שהיה נשוי ב' יתומות קטנות ומת ביאתה או חליצתה פוטרת וכו'</w:t>
      </w:r>
      <w:r w:rsidRPr="003124AA">
        <w:rPr>
          <w:rFonts w:ascii="Narkisim" w:hAnsi="Narkisim" w:cs="Narkisim"/>
          <w:rtl/>
        </w:rPr>
        <w:t>. ה</w:t>
      </w:r>
      <w:r w:rsidRPr="003124AA">
        <w:rPr>
          <w:rFonts w:ascii="Narkisim" w:hAnsi="Narkisim" w:cs="Narkisim"/>
          <w:b/>
          <w:bCs/>
          <w:rtl/>
        </w:rPr>
        <w:t>או"ש</w:t>
      </w:r>
      <w:r w:rsidRPr="003124AA">
        <w:rPr>
          <w:rFonts w:ascii="Narkisim" w:hAnsi="Narkisim" w:cs="Narkisim"/>
          <w:rtl/>
        </w:rPr>
        <w:t xml:space="preserve"> (ה כו) תמה דאם בא על קטנה א', ותנשא צרתה [ותגדל ותביא שערות], ואח"כ זו שנתייבמה ממאנת ותעקור נישואין קמאי. ועי"ז השניה זקוקה ליבום</w:t>
      </w:r>
      <w:r w:rsidRPr="003124AA">
        <w:rPr>
          <w:rStyle w:val="ac"/>
          <w:rFonts w:ascii="Narkisim" w:hAnsi="Narkisim" w:cs="Narkisim"/>
          <w:rtl/>
        </w:rPr>
        <w:footnoteReference w:id="7292"/>
      </w:r>
      <w:r w:rsidRPr="003124AA">
        <w:rPr>
          <w:rFonts w:ascii="Narkisim" w:hAnsi="Narkisim" w:cs="Narkisim"/>
          <w:rtl/>
        </w:rPr>
        <w:t xml:space="preserve"> וצריכה חליצה. ואין זה דרכי נועם</w:t>
      </w:r>
      <w:r w:rsidRPr="003124AA">
        <w:rPr>
          <w:rStyle w:val="ac"/>
          <w:rFonts w:ascii="Narkisim" w:hAnsi="Narkisim" w:cs="Narkisim"/>
          <w:rtl/>
        </w:rPr>
        <w:footnoteReference w:id="7293"/>
      </w:r>
      <w:r w:rsidRPr="003124AA">
        <w:rPr>
          <w:rFonts w:ascii="Narkisim" w:hAnsi="Narkisim" w:cs="Narkisim"/>
          <w:rtl/>
        </w:rPr>
        <w:t>. ואם נשאת לכהן ע"י החליצה תאסר על בעלה</w:t>
      </w:r>
      <w:r w:rsidRPr="003124AA">
        <w:rPr>
          <w:rStyle w:val="ac"/>
          <w:rFonts w:ascii="Narkisim" w:hAnsi="Narkisim" w:cs="Narkisim"/>
          <w:rtl/>
        </w:rPr>
        <w:footnoteReference w:id="7294"/>
      </w:r>
      <w:r w:rsidRPr="003124AA">
        <w:rPr>
          <w:rFonts w:ascii="Narkisim" w:hAnsi="Narkisim" w:cs="Narkisim"/>
          <w:rtl/>
        </w:rPr>
        <w:t>. והדבר צע"ג.</w:t>
      </w:r>
    </w:p>
    <w:p w14:paraId="314FEC7D" w14:textId="77777777" w:rsidR="006C4368" w:rsidRPr="003124AA" w:rsidRDefault="006C4368" w:rsidP="006C4368">
      <w:pPr>
        <w:bidi/>
        <w:rPr>
          <w:rFonts w:ascii="Narkisim" w:hAnsi="Narkisim" w:cs="Narkisim"/>
        </w:rPr>
      </w:pPr>
      <w:r w:rsidRPr="003124AA">
        <w:rPr>
          <w:rFonts w:ascii="Narkisim" w:hAnsi="Narkisim" w:cs="Narkisim"/>
          <w:u w:val="single"/>
          <w:rtl/>
        </w:rPr>
        <w:t>או חליצתה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לאחר שתגדיל. ועוד הביאו </w:t>
      </w:r>
      <w:r w:rsidRPr="003124AA">
        <w:rPr>
          <w:rFonts w:ascii="Narkisim" w:hAnsi="Narkisim" w:cs="Narkisim"/>
          <w:b/>
          <w:bCs/>
          <w:rtl/>
        </w:rPr>
        <w:t>תוס</w:t>
      </w:r>
      <w:r w:rsidRPr="003124AA">
        <w:rPr>
          <w:rFonts w:ascii="Narkisim" w:hAnsi="Narkisim" w:cs="Narkisim"/>
          <w:rtl/>
        </w:rPr>
        <w:t>' די"ל דהמשנה כר' יוסי (לעיל קה:) דמהני חליצת קטנה. ולגירסת ה</w:t>
      </w:r>
      <w:r w:rsidRPr="003124AA">
        <w:rPr>
          <w:rFonts w:ascii="Narkisim" w:hAnsi="Narkisim" w:cs="Narkisim"/>
          <w:b/>
          <w:bCs/>
          <w:rtl/>
        </w:rPr>
        <w:t>ירושלמי</w:t>
      </w:r>
      <w:r w:rsidRPr="003124AA">
        <w:rPr>
          <w:rFonts w:ascii="Narkisim" w:hAnsi="Narkisim" w:cs="Narkisim"/>
          <w:rtl/>
        </w:rPr>
        <w:t xml:space="preserve"> (במשנה קד:) כו"ע מודו דמהני בדיעבד.</w:t>
      </w:r>
    </w:p>
    <w:p w14:paraId="62304795"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תוס' הרא"ש</w:t>
      </w:r>
      <w:r w:rsidRPr="003124AA">
        <w:rPr>
          <w:rFonts w:ascii="Narkisim" w:hAnsi="Narkisim"/>
          <w:rtl/>
        </w:rPr>
        <w:t xml:space="preserve"> העלה צד דדוקא בקידושין דאורייתא ל"מ חליצת קטנה. אבל הכא איירי בקידושי קטנה דרבנן, ובזה מועיל חליצה בקטנות. ודחה דבשמעתין (סוף הע"ב) אי' גבי קטנה דנישואיה דרבנן תמתין עד שתגדיל ותחלוץ.</w:t>
      </w:r>
    </w:p>
    <w:p w14:paraId="7137069A" w14:textId="77777777" w:rsidR="006C4368" w:rsidRPr="003124AA" w:rsidRDefault="006C4368" w:rsidP="006C4368">
      <w:pPr>
        <w:pStyle w:val="aa"/>
        <w:bidi/>
        <w:rPr>
          <w:rFonts w:ascii="Narkisim" w:hAnsi="Narkisim"/>
        </w:rPr>
      </w:pPr>
      <w:r w:rsidRPr="003124AA">
        <w:rPr>
          <w:rFonts w:ascii="Narkisim" w:hAnsi="Narkisim"/>
          <w:u w:val="single"/>
          <w:rtl/>
        </w:rPr>
        <w:t>פקחת וחרשת וכו' ואין ביאת החרשת פוטרת את הפקחת וכו'</w:t>
      </w:r>
      <w:r w:rsidRPr="003124AA">
        <w:rPr>
          <w:rFonts w:ascii="Narkisim" w:hAnsi="Narkisim"/>
          <w:rtl/>
        </w:rPr>
        <w:t>. בפשוטו איירי שנפלה לו מאחיו פקח, דהפקחת הוה אישות דאורייתא. אבל אי הבעל חרש, א"כ תרוייהו הוה אישות דחרשות ופוטרת צרתה. דאין חילוק בין תרוייהו חרש או א'</w:t>
      </w:r>
      <w:r w:rsidRPr="003124AA">
        <w:rPr>
          <w:rStyle w:val="ac"/>
          <w:rFonts w:ascii="Narkisim" w:hAnsi="Narkisim"/>
          <w:rtl/>
        </w:rPr>
        <w:footnoteReference w:id="7295"/>
      </w:r>
      <w:r w:rsidRPr="003124AA">
        <w:rPr>
          <w:rFonts w:ascii="Narkisim" w:hAnsi="Narkisim"/>
          <w:rtl/>
        </w:rPr>
        <w:t>.</w:t>
      </w:r>
    </w:p>
    <w:p w14:paraId="67053C3A" w14:textId="77777777" w:rsidR="006C4368" w:rsidRPr="003124AA" w:rsidRDefault="006C4368" w:rsidP="006C4368">
      <w:pPr>
        <w:pStyle w:val="aa"/>
        <w:bidi/>
        <w:rPr>
          <w:rFonts w:ascii="Narkisim" w:hAnsi="Narkisim"/>
        </w:rPr>
      </w:pPr>
      <w:r w:rsidRPr="003124AA">
        <w:rPr>
          <w:rFonts w:ascii="Narkisim" w:hAnsi="Narkisim"/>
          <w:u w:val="single"/>
          <w:rtl/>
        </w:rPr>
        <w:t>רש"י ד"ה קטנה וחרשת</w:t>
      </w:r>
      <w:r w:rsidRPr="003124AA">
        <w:rPr>
          <w:rFonts w:ascii="Narkisim" w:hAnsi="Narkisim"/>
          <w:rtl/>
        </w:rPr>
        <w:t>. דלא ידעינן בהי ניח"ל, והאי חשיבה אשתו טפי. וכס"ד דהגמ' (בע"ב) דהטעם דאינן פוטרות זו את זו [אף דתרוייהו דרבנן], משום דלא ידעינן בהי ניח”ל. [וע”ע מש”כ בע”ב].</w:t>
      </w:r>
    </w:p>
    <w:p w14:paraId="4EE467B1" w14:textId="77777777" w:rsidR="006C4368" w:rsidRPr="003124AA" w:rsidRDefault="006C4368" w:rsidP="006C4368">
      <w:pPr>
        <w:pStyle w:val="aa"/>
        <w:bidi/>
        <w:rPr>
          <w:rFonts w:ascii="Narkisim" w:hAnsi="Narkisim"/>
        </w:rPr>
      </w:pPr>
      <w:r w:rsidRPr="003124AA">
        <w:rPr>
          <w:rFonts w:ascii="Narkisim" w:hAnsi="Narkisim"/>
          <w:u w:val="single"/>
          <w:rtl/>
        </w:rPr>
        <w:t>וחרשת בת חליצה היא וכו'</w:t>
      </w:r>
      <w:r w:rsidRPr="003124AA">
        <w:rPr>
          <w:rFonts w:ascii="Narkisim" w:hAnsi="Narkisim"/>
          <w:rtl/>
        </w:rPr>
        <w:t>. והגמ' פ' דמעכבה בה קריאה. ובגמ' (לעיל קה:) אי' דאף למ"ד דקריאה אינה מעכבת, עכ"פ בעינן ראוי לקריאה. ועוד יש (שם) צד משום דלאו בני דיעה [וע”ע לעיל שם].</w:t>
      </w:r>
    </w:p>
    <w:p w14:paraId="2B6ADD59" w14:textId="77777777" w:rsidR="006C4368" w:rsidRPr="003124AA" w:rsidRDefault="006C4368" w:rsidP="006C4368">
      <w:pPr>
        <w:pStyle w:val="a8"/>
        <w:bidi/>
        <w:rPr>
          <w:rFonts w:ascii="Narkisim" w:hAnsi="Narkisim"/>
        </w:rPr>
      </w:pPr>
      <w:r w:rsidRPr="003124AA">
        <w:rPr>
          <w:rFonts w:ascii="Narkisim" w:hAnsi="Narkisim"/>
          <w:rtl/>
        </w:rPr>
        <w:t>ואילמת [השומע ואינו מדבר, ולרשב”ג גיטין עא. אף חרש דיכול לכתוב] מהני קידושין מדאורייתא, ול"מ חליצה משום דקריאה מעכבת.</w:t>
      </w:r>
    </w:p>
    <w:p w14:paraId="3DBA7653" w14:textId="77777777" w:rsidR="006C4368" w:rsidRPr="003124AA" w:rsidRDefault="006C4368" w:rsidP="006C4368">
      <w:pPr>
        <w:bidi/>
        <w:rPr>
          <w:rFonts w:ascii="Narkisim" w:hAnsi="Narkisim" w:cs="Narkisim"/>
        </w:rPr>
      </w:pPr>
      <w:r w:rsidRPr="003124AA">
        <w:rPr>
          <w:rFonts w:ascii="Narkisim" w:hAnsi="Narkisim" w:cs="Narkisim"/>
          <w:u w:val="single"/>
          <w:rtl/>
        </w:rPr>
        <w:t>רבה אמר וכו' כאן בחרשת מעיקרא</w:t>
      </w:r>
      <w:r w:rsidRPr="003124AA">
        <w:rPr>
          <w:rStyle w:val="ac"/>
          <w:rFonts w:ascii="Narkisim" w:hAnsi="Narkisim" w:cs="Narkisim"/>
          <w:u w:val="single"/>
          <w:rtl/>
        </w:rPr>
        <w:footnoteReference w:id="7296"/>
      </w:r>
      <w:r w:rsidRPr="003124AA">
        <w:rPr>
          <w:rFonts w:ascii="Narkisim" w:hAnsi="Narkisim" w:cs="Narkisim"/>
          <w:u w:val="single"/>
          <w:rtl/>
        </w:rPr>
        <w:t xml:space="preserve"> וכו' כי היכי דעל הכי נפק וכו'</w:t>
      </w:r>
      <w:r w:rsidRPr="003124AA">
        <w:rPr>
          <w:rFonts w:ascii="Narkisim" w:hAnsi="Narkisim" w:cs="Narkisim"/>
          <w:rtl/>
        </w:rPr>
        <w:t xml:space="preserve">. [ובמסקנא קאי בתיובתא, דבחליצה לא אמרי' כי היכי]. וצ"ב האיך מהני סברת 'כי היכי' לענין קריאה, דבשלמא כלפי חסרון דעת י"ל דגדר התקנה להחשיב שיש לחרש דעת. ומש"ה מצי מגרש. </w:t>
      </w:r>
      <w:r w:rsidRPr="003124AA">
        <w:rPr>
          <w:rFonts w:ascii="Narkisim" w:hAnsi="Narkisim" w:cs="Narkisim"/>
          <w:rtl/>
        </w:rPr>
        <w:lastRenderedPageBreak/>
        <w:t>אבל בקידושין ליכא דין דיבור, א"כ מה שייך בזה 'כי היכי'</w:t>
      </w:r>
      <w:r w:rsidRPr="003124AA">
        <w:rPr>
          <w:rStyle w:val="ac"/>
          <w:rFonts w:ascii="Narkisim" w:hAnsi="Narkisim" w:cs="Narkisim"/>
          <w:rtl/>
        </w:rPr>
        <w:footnoteReference w:id="7297"/>
      </w:r>
      <w:r w:rsidRPr="003124AA">
        <w:rPr>
          <w:rFonts w:ascii="Narkisim" w:hAnsi="Narkisim" w:cs="Narkisim"/>
          <w:rtl/>
        </w:rPr>
        <w:t>. [וי”ל דזה הסברא אליבא דאמת]. וצ"ל דרבה סבר דמ"מ הוה סברא דתקנו חליצה דרבנן דמהני לאישות דרבנן זו.</w:t>
      </w:r>
    </w:p>
    <w:p w14:paraId="355A2392"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עונג יו"ט</w:t>
      </w:r>
      <w:r w:rsidRPr="003124AA">
        <w:rPr>
          <w:rFonts w:ascii="Narkisim" w:hAnsi="Narkisim" w:cs="Narkisim"/>
          <w:rtl/>
        </w:rPr>
        <w:t xml:space="preserve"> (ב) כת' דבסוגיין נקטו סברת לאו בני קריאה, דלזה ל"מ סברת 'כי היכי' [למסקנא]. דאי משום דלאו בני דיעה נינהו אף בחליצה כי היכי דעל הכא נפיק, וכמו גט</w:t>
      </w:r>
      <w:r w:rsidRPr="003124AA">
        <w:rPr>
          <w:rStyle w:val="ac"/>
          <w:rFonts w:ascii="Narkisim" w:hAnsi="Narkisim" w:cs="Narkisim"/>
          <w:rtl/>
        </w:rPr>
        <w:footnoteReference w:id="7298"/>
      </w:r>
      <w:r w:rsidRPr="003124AA">
        <w:rPr>
          <w:rFonts w:ascii="Narkisim" w:hAnsi="Narkisim" w:cs="Narkisim"/>
          <w:rtl/>
        </w:rPr>
        <w:t>.</w:t>
      </w:r>
    </w:p>
    <w:p w14:paraId="5E137493" w14:textId="77777777" w:rsidR="006C4368" w:rsidRPr="003124AA" w:rsidRDefault="006C4368" w:rsidP="006C4368">
      <w:pPr>
        <w:bidi/>
        <w:rPr>
          <w:rFonts w:ascii="Narkisim" w:hAnsi="Narkisim" w:cs="Narkisim"/>
        </w:rPr>
      </w:pPr>
      <w:r w:rsidRPr="003124AA">
        <w:rPr>
          <w:rFonts w:ascii="Narkisim" w:hAnsi="Narkisim" w:cs="Narkisim"/>
          <w:u w:val="single"/>
          <w:rtl/>
        </w:rPr>
        <w:t>רש"י ד"ה כונס</w:t>
      </w:r>
      <w:r w:rsidRPr="003124AA">
        <w:rPr>
          <w:rFonts w:ascii="Narkisim" w:hAnsi="Narkisim" w:cs="Narkisim"/>
          <w:rtl/>
        </w:rPr>
        <w:t xml:space="preserve">. ואם רצה להוציאה מוציא, שכשם שנכנסה ברמיזה וכו'. </w:t>
      </w:r>
      <w:r w:rsidRPr="003124AA">
        <w:rPr>
          <w:rFonts w:ascii="Narkisim" w:hAnsi="Narkisim" w:cs="Narkisim"/>
          <w:b/>
          <w:bCs/>
          <w:rtl/>
        </w:rPr>
        <w:t>רע"א</w:t>
      </w:r>
      <w:r w:rsidRPr="003124AA">
        <w:rPr>
          <w:rFonts w:ascii="Narkisim" w:hAnsi="Narkisim" w:cs="Narkisim"/>
          <w:rtl/>
        </w:rPr>
        <w:t xml:space="preserve"> הק' דהכא האיש פקח, ומוציאה בגט גמור. ול"ש סברת כשם שכונסה ברמיזה. [וכה"ק ה</w:t>
      </w:r>
      <w:r w:rsidRPr="003124AA">
        <w:rPr>
          <w:rFonts w:ascii="Narkisim" w:hAnsi="Narkisim" w:cs="Narkisim"/>
          <w:b/>
          <w:bCs/>
          <w:rtl/>
        </w:rPr>
        <w:t>תוס' רא"ש</w:t>
      </w:r>
      <w:r w:rsidRPr="003124AA">
        <w:rPr>
          <w:rFonts w:ascii="Narkisim" w:hAnsi="Narkisim" w:cs="Narkisim"/>
          <w:rtl/>
        </w:rPr>
        <w:t xml:space="preserve"> לקמן קיב: על רש”י במשנה שם שכת' כעי”ז]</w:t>
      </w:r>
      <w:r w:rsidRPr="003124AA">
        <w:rPr>
          <w:rStyle w:val="ac"/>
          <w:rFonts w:ascii="Narkisim" w:hAnsi="Narkisim" w:cs="Narkisim"/>
          <w:rtl/>
        </w:rPr>
        <w:footnoteReference w:id="7299"/>
      </w:r>
      <w:r w:rsidRPr="003124AA">
        <w:rPr>
          <w:rFonts w:ascii="Narkisim" w:hAnsi="Narkisim" w:cs="Narkisim"/>
          <w:rtl/>
        </w:rPr>
        <w:t>. וע"ע לקמן שם.</w:t>
      </w:r>
    </w:p>
    <w:p w14:paraId="2B6C11C2" w14:textId="77777777" w:rsidR="006C4368" w:rsidRPr="003124AA" w:rsidRDefault="006C4368" w:rsidP="006C4368">
      <w:pPr>
        <w:pStyle w:val="aa"/>
        <w:bidi/>
        <w:rPr>
          <w:rFonts w:ascii="Narkisim" w:hAnsi="Narkisim"/>
        </w:rPr>
      </w:pPr>
      <w:r w:rsidRPr="003124AA">
        <w:rPr>
          <w:rFonts w:ascii="Narkisim" w:hAnsi="Narkisim"/>
          <w:u w:val="single"/>
          <w:rtl/>
        </w:rPr>
        <w:t>בא"ד אלא כונסה וכו' ול"צ חליצה</w:t>
      </w:r>
      <w:r w:rsidRPr="003124AA">
        <w:rPr>
          <w:rFonts w:ascii="Narkisim" w:hAnsi="Narkisim"/>
          <w:rtl/>
        </w:rPr>
        <w:t>. מבואר דס"ד דרש"י דאף לאחר שהחרש ייבם, דעדיין היא זקוקה לחליצה. [וע"ד הא דס"ד (לעיל כ.) דאף לאחר יבום עדיין יבומים ראשונים וצריכה חליצה עם הגט]. אך צ"ב דכיון דהחרש קונה יבמות מה ס"ד דצריכה חליצה [ומ"ש מפקח דאמרי' (שם) דנעשית כאשתו לכל דבר, ול"צ חליצה].</w:t>
      </w:r>
    </w:p>
    <w:p w14:paraId="6BF1F798" w14:textId="77777777" w:rsidR="006C4368" w:rsidRPr="003124AA" w:rsidRDefault="006C4368" w:rsidP="006C4368">
      <w:pPr>
        <w:pStyle w:val="a8"/>
        <w:bidi/>
        <w:rPr>
          <w:rFonts w:ascii="Narkisim" w:hAnsi="Narkisim"/>
        </w:rPr>
      </w:pPr>
      <w:r w:rsidRPr="003124AA">
        <w:rPr>
          <w:rFonts w:ascii="Narkisim" w:hAnsi="Narkisim"/>
          <w:rtl/>
        </w:rPr>
        <w:t xml:space="preserve">ויש שדנו דחרש ל"ק יבמתו מדאורייתא [וכן דייק הרש"ש מדברי </w:t>
      </w:r>
      <w:r w:rsidRPr="003124AA">
        <w:rPr>
          <w:rFonts w:ascii="Narkisim" w:hAnsi="Narkisim"/>
          <w:b/>
          <w:bCs/>
          <w:rtl/>
        </w:rPr>
        <w:t>רש"י</w:t>
      </w:r>
      <w:r w:rsidRPr="003124AA">
        <w:rPr>
          <w:rFonts w:ascii="Narkisim" w:hAnsi="Narkisim"/>
          <w:rtl/>
        </w:rPr>
        <w:t xml:space="preserve"> (לקמן קיב: וגיטין עא.), ודלא כרמב”ם (יבום ו ג)], אך א"כ מהו המסקנא, מ"ט אינה צריכה חליצה.</w:t>
      </w:r>
    </w:p>
    <w:p w14:paraId="3CB4844B" w14:textId="77777777" w:rsidR="006C4368" w:rsidRPr="003124AA" w:rsidRDefault="006C4368" w:rsidP="006C4368">
      <w:pPr>
        <w:pStyle w:val="3"/>
        <w:bidi/>
        <w:rPr>
          <w:rFonts w:ascii="Narkisim" w:hAnsi="Narkisim"/>
        </w:rPr>
      </w:pPr>
      <w:r w:rsidRPr="003124AA">
        <w:rPr>
          <w:rFonts w:ascii="Narkisim" w:hAnsi="Narkisim"/>
          <w:rtl/>
        </w:rPr>
        <w:t>דף קי:</w:t>
      </w:r>
    </w:p>
    <w:p w14:paraId="744417AC" w14:textId="77777777" w:rsidR="006C4368" w:rsidRPr="003124AA" w:rsidRDefault="006C4368" w:rsidP="006C4368">
      <w:pPr>
        <w:pStyle w:val="aa"/>
        <w:bidi/>
        <w:rPr>
          <w:rFonts w:ascii="Narkisim" w:hAnsi="Narkisim"/>
        </w:rPr>
      </w:pPr>
      <w:r w:rsidRPr="003124AA">
        <w:rPr>
          <w:rFonts w:ascii="Narkisim" w:hAnsi="Narkisim"/>
          <w:u w:val="single"/>
          <w:rtl/>
        </w:rPr>
        <w:t>תוד”ה וכי</w:t>
      </w:r>
      <w:r w:rsidRPr="003124AA">
        <w:rPr>
          <w:rFonts w:ascii="Narkisim" w:hAnsi="Narkisim"/>
          <w:rtl/>
        </w:rPr>
        <w:t>. אלא לרבותא נקטיה, דאפי' היה צריך גט מי מצי לאפוקי. וה</w:t>
      </w:r>
      <w:r w:rsidRPr="003124AA">
        <w:rPr>
          <w:rFonts w:ascii="Narkisim" w:hAnsi="Narkisim"/>
          <w:b/>
          <w:bCs/>
          <w:rtl/>
        </w:rPr>
        <w:t>ריטב"א</w:t>
      </w:r>
      <w:r w:rsidRPr="003124AA">
        <w:rPr>
          <w:rFonts w:ascii="Narkisim" w:hAnsi="Narkisim"/>
          <w:rtl/>
        </w:rPr>
        <w:t xml:space="preserve"> הוסיף דאפי' תימא דגזור בה רבנן אטו קידושי חרש, מ"מ היכי מצי מפיק.</w:t>
      </w:r>
    </w:p>
    <w:p w14:paraId="734D06EF" w14:textId="77777777" w:rsidR="006C4368" w:rsidRPr="003124AA" w:rsidRDefault="006C4368" w:rsidP="006C4368">
      <w:pPr>
        <w:pStyle w:val="2"/>
        <w:bidi/>
        <w:rPr>
          <w:rFonts w:ascii="Narkisim" w:hAnsi="Narkisim"/>
        </w:rPr>
      </w:pPr>
      <w:r w:rsidRPr="003124AA">
        <w:rPr>
          <w:rFonts w:ascii="Narkisim" w:hAnsi="Narkisim"/>
          <w:rtl/>
        </w:rPr>
        <w:t>חרשת קנויה ומשויירת</w:t>
      </w:r>
    </w:p>
    <w:p w14:paraId="6D0FFCED" w14:textId="77777777" w:rsidR="006C4368" w:rsidRPr="003124AA" w:rsidRDefault="006C4368" w:rsidP="006C4368">
      <w:pPr>
        <w:bidi/>
        <w:rPr>
          <w:rFonts w:ascii="Narkisim" w:hAnsi="Narkisim" w:cs="Narkisim"/>
        </w:rPr>
      </w:pPr>
      <w:r w:rsidRPr="003124AA">
        <w:rPr>
          <w:rFonts w:ascii="Narkisim" w:hAnsi="Narkisim" w:cs="Narkisim"/>
          <w:u w:val="single"/>
          <w:rtl/>
        </w:rPr>
        <w:t>דלא ידעי' אי בקטנה ניח"ל או בחרשת ניח"ל</w:t>
      </w:r>
      <w:r w:rsidRPr="003124AA">
        <w:rPr>
          <w:rStyle w:val="ac"/>
          <w:rFonts w:ascii="Narkisim" w:hAnsi="Narkisim" w:cs="Narkisim"/>
          <w:u w:val="single"/>
          <w:rtl/>
        </w:rPr>
        <w:footnoteReference w:id="7300"/>
      </w:r>
      <w:r w:rsidRPr="003124AA">
        <w:rPr>
          <w:rFonts w:ascii="Narkisim" w:hAnsi="Narkisim" w:cs="Narkisim"/>
          <w:u w:val="single"/>
          <w:rtl/>
        </w:rPr>
        <w:t xml:space="preserve"> וכו'</w:t>
      </w:r>
      <w:r w:rsidRPr="003124AA">
        <w:rPr>
          <w:rFonts w:ascii="Narkisim" w:hAnsi="Narkisim" w:cs="Narkisim"/>
          <w:rtl/>
        </w:rPr>
        <w:t>. בפשוטו משמע דתלי בניחותא דידיה, וצ"ב דלכאורה הנידון בעיקר התקנה. ועוד דאי תלי בדידיה א”כ מי שנשא ב' חרשות וגילה דעתו שניחא ליה בא' מהם, וכי חברתה לא תפטור אותה.</w:t>
      </w:r>
    </w:p>
    <w:p w14:paraId="196704EA"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חזו"א</w:t>
      </w:r>
      <w:r w:rsidRPr="003124AA">
        <w:rPr>
          <w:rFonts w:ascii="Narkisim" w:hAnsi="Narkisim"/>
          <w:rtl/>
        </w:rPr>
        <w:t xml:space="preserve"> (קכט ט) כת' דספק הגמ' בעיקר תקנת חרש בחרשת, די"ל דכיון דשניהם שווים תקנו שתהא קנויה לגמרי ומדרבנן הוה קידושין גמורים [בלא שיור]. ואילו קטנה ספק אינה קנויה אצלו.</w:t>
      </w:r>
    </w:p>
    <w:p w14:paraId="20343F61" w14:textId="77777777" w:rsidR="006C4368" w:rsidRPr="003124AA" w:rsidRDefault="006C4368" w:rsidP="006C4368">
      <w:pPr>
        <w:bidi/>
        <w:rPr>
          <w:rFonts w:ascii="Narkisim" w:hAnsi="Narkisim" w:cs="Narkisim"/>
        </w:rPr>
      </w:pPr>
      <w:r w:rsidRPr="003124AA">
        <w:rPr>
          <w:rFonts w:ascii="Narkisim" w:hAnsi="Narkisim" w:cs="Narkisim"/>
          <w:u w:val="single"/>
          <w:rtl/>
        </w:rPr>
        <w:t>אבל נפלה מאחיו חרש, ודאי בחרשת ניח"ל וכו'.</w:t>
      </w:r>
      <w:r w:rsidRPr="003124AA">
        <w:rPr>
          <w:rFonts w:ascii="Narkisim" w:hAnsi="Narkisim" w:cs="Narkisim"/>
          <w:rtl/>
        </w:rPr>
        <w:t xml:space="preserve"> ה</w:t>
      </w:r>
      <w:r w:rsidRPr="003124AA">
        <w:rPr>
          <w:rFonts w:ascii="Narkisim" w:hAnsi="Narkisim" w:cs="Narkisim"/>
          <w:b/>
          <w:bCs/>
          <w:rtl/>
        </w:rPr>
        <w:t>שואל בשו"ת הרשב"א</w:t>
      </w:r>
      <w:r w:rsidRPr="003124AA">
        <w:rPr>
          <w:rFonts w:ascii="Narkisim" w:hAnsi="Narkisim" w:cs="Narkisim"/>
          <w:rtl/>
        </w:rPr>
        <w:t xml:space="preserve"> (א אלף קצו) הק' דמבואר במשנה (לקמן קיב:) דפקחת וחרשת שקולין היכא דתרוייהו קידושי חרשות, דתנן ב' אחים חרשין שנשאו ב' אחיות א' פקחת וא' חרשת, ומת בעל הפקחת יוצאת משום אחות אשתו. דאחותה שהיא חרשת לחרש פוטרתה. [ואף דהוה פעמיים חרשות].</w:t>
      </w:r>
    </w:p>
    <w:p w14:paraId="0F7032D3" w14:textId="77777777" w:rsidR="006C4368" w:rsidRPr="003124AA" w:rsidRDefault="006C4368" w:rsidP="006C4368">
      <w:pPr>
        <w:pStyle w:val="a8"/>
        <w:bidi/>
        <w:rPr>
          <w:rFonts w:ascii="Narkisim" w:hAnsi="Narkisim"/>
        </w:rPr>
      </w:pPr>
      <w:r w:rsidRPr="003124AA">
        <w:rPr>
          <w:rFonts w:ascii="Narkisim" w:hAnsi="Narkisim"/>
          <w:rtl/>
        </w:rPr>
        <w:t>ועד"ז הק' ה</w:t>
      </w:r>
      <w:r w:rsidRPr="003124AA">
        <w:rPr>
          <w:rFonts w:ascii="Narkisim" w:hAnsi="Narkisim"/>
          <w:b/>
          <w:bCs/>
          <w:rtl/>
        </w:rPr>
        <w:t>חזו"א</w:t>
      </w:r>
      <w:r w:rsidRPr="003124AA">
        <w:rPr>
          <w:rFonts w:ascii="Narkisim" w:hAnsi="Narkisim"/>
          <w:rtl/>
        </w:rPr>
        <w:t xml:space="preserve"> (שם) מהבבא (לקמן קיב:) דב' אחין א' פקח וא' חרש נשואין ב' אחיות חרשות, הא זה קנויה [חרשת לחרש] וזה משויירת. והאיך פוטרות זו את זו.</w:t>
      </w:r>
    </w:p>
    <w:p w14:paraId="5E5A802C"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חילק דהתם אחותה כבר היתה כנוסה אצלו, וכיון דנשואי שניהם דרבנן פוטרת. אבל הכא איירי דנפלו מבית א', ובזה מהני סברת לא ידעינן איזה ניח"ל לאחוז. ומש"ה אינה פוטרת צרתה</w:t>
      </w:r>
      <w:r w:rsidRPr="003124AA">
        <w:rPr>
          <w:rStyle w:val="ac"/>
          <w:rFonts w:ascii="Narkisim" w:hAnsi="Narkisim"/>
          <w:rtl/>
        </w:rPr>
        <w:footnoteReference w:id="7301"/>
      </w:r>
      <w:r w:rsidRPr="003124AA">
        <w:rPr>
          <w:rFonts w:ascii="Narkisim" w:hAnsi="Narkisim"/>
          <w:rtl/>
        </w:rPr>
        <w:t>.</w:t>
      </w:r>
    </w:p>
    <w:p w14:paraId="50F408AD" w14:textId="77777777" w:rsidR="006C4368" w:rsidRPr="003124AA" w:rsidRDefault="006C4368" w:rsidP="006C4368">
      <w:pPr>
        <w:pStyle w:val="a8"/>
        <w:bidi/>
        <w:rPr>
          <w:rFonts w:ascii="Narkisim" w:hAnsi="Narkisim"/>
        </w:rPr>
      </w:pPr>
      <w:r w:rsidRPr="003124AA">
        <w:rPr>
          <w:rFonts w:ascii="Narkisim" w:hAnsi="Narkisim"/>
          <w:rtl/>
        </w:rPr>
        <w:t>אך שוב הק' הרשב"א דבברייתא (קיא.) מבואר דב' אחין נשואים קטנה וחרשת, אמרי' דאחות אשתו אסורתה, אף דאסורה מדרבנן, ולא אמרי' שזו היתה כבר כנוסה אצלו. [ודלא כסברא הנ"ל]. וכת' די"ל דרב אדא בר אהבה לא ידע ברייתא זו.</w:t>
      </w:r>
    </w:p>
    <w:p w14:paraId="3CFDB5E1"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חזו"א</w:t>
      </w:r>
      <w:r w:rsidRPr="003124AA">
        <w:rPr>
          <w:rFonts w:ascii="Narkisim" w:hAnsi="Narkisim"/>
          <w:rtl/>
        </w:rPr>
        <w:t xml:space="preserve"> כת' הילכך נראה דקאי דוקא ב' נשים אצל איש א', דתקנו שייבם את זה</w:t>
      </w:r>
      <w:r w:rsidRPr="003124AA">
        <w:rPr>
          <w:rStyle w:val="ac"/>
          <w:rFonts w:ascii="Narkisim" w:hAnsi="Narkisim"/>
          <w:rtl/>
        </w:rPr>
        <w:footnoteReference w:id="7302"/>
      </w:r>
      <w:r w:rsidRPr="003124AA">
        <w:rPr>
          <w:rFonts w:ascii="Narkisim" w:hAnsi="Narkisim"/>
          <w:rtl/>
        </w:rPr>
        <w:t xml:space="preserve">. אלא </w:t>
      </w:r>
      <w:r w:rsidRPr="003124AA">
        <w:rPr>
          <w:rFonts w:ascii="Narkisim" w:hAnsi="Narkisim"/>
          <w:rtl/>
        </w:rPr>
        <w:lastRenderedPageBreak/>
        <w:t>משום שהדבר בלתי מוכרע, ותרוייהו שווין ואזלי' בתר קנינם שתקנו חכמים</w:t>
      </w:r>
      <w:r w:rsidRPr="003124AA">
        <w:rPr>
          <w:rStyle w:val="ac"/>
          <w:rFonts w:ascii="Narkisim" w:hAnsi="Narkisim"/>
          <w:rtl/>
        </w:rPr>
        <w:footnoteReference w:id="7303"/>
      </w:r>
      <w:r w:rsidRPr="003124AA">
        <w:rPr>
          <w:rFonts w:ascii="Narkisim" w:hAnsi="Narkisim"/>
          <w:rtl/>
        </w:rPr>
        <w:t>.</w:t>
      </w:r>
    </w:p>
    <w:p w14:paraId="6C375B31"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חזו"א</w:t>
      </w:r>
      <w:r w:rsidRPr="003124AA">
        <w:rPr>
          <w:rFonts w:ascii="Narkisim" w:hAnsi="Narkisim"/>
          <w:rtl/>
        </w:rPr>
        <w:t xml:space="preserve"> נסתפק חרש שנשא חרשת ופקחת, האם הפקחת פוטרת החרשת, האם אף בזה אמרי' דפקחת עדיף. וכן גדולה וקטנה שנפלו לפני חרש.</w:t>
      </w:r>
    </w:p>
    <w:p w14:paraId="22B25A91" w14:textId="77777777" w:rsidR="006C4368" w:rsidRPr="003124AA" w:rsidRDefault="006C4368" w:rsidP="006C4368">
      <w:pPr>
        <w:bidi/>
        <w:rPr>
          <w:rFonts w:ascii="Narkisim" w:hAnsi="Narkisim" w:cs="Narkisim"/>
        </w:rPr>
      </w:pPr>
      <w:r w:rsidRPr="003124AA">
        <w:rPr>
          <w:rFonts w:ascii="Narkisim" w:hAnsi="Narkisim" w:cs="Narkisim"/>
          <w:u w:val="single"/>
          <w:rtl/>
        </w:rPr>
        <w:t>ואמינא להו אנא אפי' נפלה ליה מאחיו חרש מספק"ל וכו'</w:t>
      </w:r>
      <w:r w:rsidRPr="003124AA">
        <w:rPr>
          <w:rFonts w:ascii="Narkisim" w:hAnsi="Narkisim" w:cs="Narkisim"/>
          <w:rtl/>
        </w:rPr>
        <w:t>. ה</w:t>
      </w:r>
      <w:r w:rsidRPr="003124AA">
        <w:rPr>
          <w:rFonts w:ascii="Narkisim" w:hAnsi="Narkisim" w:cs="Narkisim"/>
          <w:b/>
          <w:bCs/>
          <w:rtl/>
        </w:rPr>
        <w:t>מאירי</w:t>
      </w:r>
      <w:r w:rsidRPr="003124AA">
        <w:rPr>
          <w:rFonts w:ascii="Narkisim" w:hAnsi="Narkisim" w:cs="Narkisim"/>
          <w:rtl/>
        </w:rPr>
        <w:t xml:space="preserve"> כת' אלא בין נפלו מאחיו פקח או חרש אינן פוטרות, דהחרשת קנויה ומשויירת וקטנה קנויה ואינה קנויה</w:t>
      </w:r>
      <w:r w:rsidRPr="003124AA">
        <w:rPr>
          <w:rStyle w:val="ac"/>
          <w:rFonts w:ascii="Narkisim" w:hAnsi="Narkisim" w:cs="Narkisim"/>
          <w:rtl/>
        </w:rPr>
        <w:footnoteReference w:id="7304"/>
      </w:r>
      <w:r w:rsidRPr="003124AA">
        <w:rPr>
          <w:rFonts w:ascii="Narkisim" w:hAnsi="Narkisim" w:cs="Narkisim"/>
          <w:rtl/>
        </w:rPr>
        <w:t xml:space="preserve"> [וכדבסמוך]. וכ"כ ה</w:t>
      </w:r>
      <w:r w:rsidRPr="003124AA">
        <w:rPr>
          <w:rFonts w:ascii="Narkisim" w:hAnsi="Narkisim" w:cs="Narkisim"/>
          <w:b/>
          <w:bCs/>
          <w:rtl/>
        </w:rPr>
        <w:t>ריא"ז</w:t>
      </w:r>
      <w:r w:rsidRPr="003124AA">
        <w:rPr>
          <w:rFonts w:ascii="Narkisim" w:hAnsi="Narkisim" w:cs="Narkisim"/>
          <w:rtl/>
        </w:rPr>
        <w:t xml:space="preserve"> בשלט"ג וה</w:t>
      </w:r>
      <w:r w:rsidRPr="003124AA">
        <w:rPr>
          <w:rFonts w:ascii="Narkisim" w:hAnsi="Narkisim" w:cs="Narkisim"/>
          <w:b/>
          <w:bCs/>
          <w:rtl/>
        </w:rPr>
        <w:t>בי"ש</w:t>
      </w:r>
      <w:r w:rsidRPr="003124AA">
        <w:rPr>
          <w:rFonts w:ascii="Narkisim" w:hAnsi="Narkisim" w:cs="Narkisim"/>
          <w:rtl/>
        </w:rPr>
        <w:t xml:space="preserve"> (קעא א)</w:t>
      </w:r>
      <w:r w:rsidRPr="003124AA">
        <w:rPr>
          <w:rStyle w:val="ac"/>
          <w:rFonts w:ascii="Narkisim" w:hAnsi="Narkisim" w:cs="Narkisim"/>
          <w:rtl/>
        </w:rPr>
        <w:footnoteReference w:id="7305"/>
      </w:r>
      <w:r w:rsidRPr="003124AA">
        <w:rPr>
          <w:rFonts w:ascii="Narkisim" w:hAnsi="Narkisim" w:cs="Narkisim"/>
          <w:rtl/>
        </w:rPr>
        <w:t>. אבל ב</w:t>
      </w:r>
      <w:r w:rsidRPr="003124AA">
        <w:rPr>
          <w:rFonts w:ascii="Narkisim" w:hAnsi="Narkisim" w:cs="Narkisim"/>
          <w:b/>
          <w:bCs/>
          <w:rtl/>
        </w:rPr>
        <w:t>שו"ת הרשב"א</w:t>
      </w:r>
      <w:r w:rsidRPr="003124AA">
        <w:rPr>
          <w:rFonts w:ascii="Narkisim" w:hAnsi="Narkisim" w:cs="Narkisim"/>
          <w:rtl/>
        </w:rPr>
        <w:t xml:space="preserve"> (א אלף קצו) הביא דברי רב נחמן דוקא בנפלו מאחיו פקח. [ואפשר דגרס כן בסוגיין]. וביאר דפשיטא דאחיו חרש בחרשת ניח"ל, ופוטרת את הקטנה. דדוקא כשנפלו מאחיו פקח הוה ספק איזה ניח”ל.</w:t>
      </w:r>
    </w:p>
    <w:p w14:paraId="2F493894" w14:textId="77777777" w:rsidR="006C4368" w:rsidRPr="003124AA" w:rsidRDefault="006C4368" w:rsidP="006C4368">
      <w:pPr>
        <w:bidi/>
        <w:rPr>
          <w:rFonts w:ascii="Narkisim" w:hAnsi="Narkisim" w:cs="Narkisim"/>
        </w:rPr>
      </w:pPr>
      <w:r w:rsidRPr="003124AA">
        <w:rPr>
          <w:rFonts w:ascii="Narkisim" w:hAnsi="Narkisim" w:cs="Narkisim"/>
          <w:u w:val="single"/>
          <w:rtl/>
        </w:rPr>
        <w:t>כיצד תקנתן וכו' וקטנה תמתין עד שתגדיל ותחלוץ</w:t>
      </w:r>
      <w:r w:rsidRPr="003124AA">
        <w:rPr>
          <w:rFonts w:ascii="Narkisim" w:hAnsi="Narkisim" w:cs="Narkisim"/>
          <w:rtl/>
        </w:rPr>
        <w:t>. ה</w:t>
      </w:r>
      <w:r w:rsidRPr="003124AA">
        <w:rPr>
          <w:rFonts w:ascii="Narkisim" w:hAnsi="Narkisim" w:cs="Narkisim"/>
          <w:b/>
          <w:bCs/>
          <w:rtl/>
        </w:rPr>
        <w:t>רי"ף</w:t>
      </w:r>
      <w:r w:rsidRPr="003124AA">
        <w:rPr>
          <w:rFonts w:ascii="Narkisim" w:hAnsi="Narkisim" w:cs="Narkisim"/>
          <w:rtl/>
        </w:rPr>
        <w:t xml:space="preserve"> כת' דלר' אליעזר (לעיל קט.) מלמדין את הקטנה שתמאן בו ומיבם לה לחרשת. וכן הלכתא. וה</w:t>
      </w:r>
      <w:r w:rsidRPr="003124AA">
        <w:rPr>
          <w:rFonts w:ascii="Narkisim" w:hAnsi="Narkisim" w:cs="Narkisim"/>
          <w:b/>
          <w:bCs/>
          <w:rtl/>
        </w:rPr>
        <w:t>ראב"ד</w:t>
      </w:r>
      <w:r w:rsidRPr="003124AA">
        <w:rPr>
          <w:rFonts w:ascii="Narkisim" w:hAnsi="Narkisim" w:cs="Narkisim"/>
          <w:rtl/>
        </w:rPr>
        <w:t xml:space="preserve"> (ס' הזכות) השיג דלא אר"א מלמדין למאן אלא כדי לקיים בחברתה מצות יבום דאורייתא</w:t>
      </w:r>
      <w:r w:rsidRPr="003124AA">
        <w:rPr>
          <w:rStyle w:val="ac"/>
          <w:rFonts w:ascii="Narkisim" w:hAnsi="Narkisim" w:cs="Narkisim"/>
          <w:rtl/>
        </w:rPr>
        <w:footnoteReference w:id="7306"/>
      </w:r>
      <w:r w:rsidRPr="003124AA">
        <w:rPr>
          <w:rFonts w:ascii="Narkisim" w:hAnsi="Narkisim" w:cs="Narkisim"/>
          <w:rtl/>
        </w:rPr>
        <w:t>. אבל הכא יבום דחרשת הוה מדרבנן</w:t>
      </w:r>
      <w:r w:rsidRPr="003124AA">
        <w:rPr>
          <w:rStyle w:val="ac"/>
          <w:rFonts w:ascii="Narkisim" w:hAnsi="Narkisim" w:cs="Narkisim"/>
          <w:rtl/>
        </w:rPr>
        <w:footnoteReference w:id="7307"/>
      </w:r>
      <w:r w:rsidRPr="003124AA">
        <w:rPr>
          <w:rFonts w:ascii="Narkisim" w:hAnsi="Narkisim" w:cs="Narkisim"/>
          <w:rtl/>
        </w:rPr>
        <w:t>, ומש"ה יתרחק מהמיאון כדתני בר קפרא (לעיל קט.). והראב"ד הוסיף דבנוסחא דידן במשנה (לקמן קיא:)</w:t>
      </w:r>
      <w:r w:rsidRPr="003124AA">
        <w:rPr>
          <w:rStyle w:val="ac"/>
          <w:rFonts w:ascii="Narkisim" w:hAnsi="Narkisim" w:cs="Narkisim"/>
          <w:rtl/>
        </w:rPr>
        <w:footnoteReference w:id="7308"/>
      </w:r>
      <w:r w:rsidRPr="003124AA">
        <w:rPr>
          <w:rFonts w:ascii="Narkisim" w:hAnsi="Narkisim" w:cs="Narkisim"/>
          <w:rtl/>
        </w:rPr>
        <w:t xml:space="preserve"> לא גרסי' 'בכולן' [ויתבאר לקמן שם].</w:t>
      </w:r>
    </w:p>
    <w:p w14:paraId="270C5FAE"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(ס' הזכות, והו' ברא”ש) תי' דלמה לא תמאן, ולמה תתעגן עד שתגדיל ותחלוץ ותפסל לכהונה</w:t>
      </w:r>
      <w:r w:rsidRPr="003124AA">
        <w:rPr>
          <w:rStyle w:val="ac"/>
          <w:rFonts w:ascii="Narkisim" w:hAnsi="Narkisim"/>
          <w:rtl/>
        </w:rPr>
        <w:footnoteReference w:id="7309"/>
      </w:r>
      <w:r w:rsidRPr="003124AA">
        <w:rPr>
          <w:rFonts w:ascii="Narkisim" w:hAnsi="Narkisim"/>
          <w:rtl/>
        </w:rPr>
        <w:t>. והא דיתרחק מהמיאונין משום דילמא גדלה ומתחרטה, אבל הכא בלאו הכי אין לה תקנה ואסורה ליבם</w:t>
      </w:r>
      <w:r w:rsidRPr="003124AA">
        <w:rPr>
          <w:rStyle w:val="ac"/>
          <w:rFonts w:ascii="Narkisim" w:hAnsi="Narkisim"/>
          <w:rtl/>
        </w:rPr>
        <w:footnoteReference w:id="7310"/>
      </w:r>
      <w:r w:rsidRPr="003124AA">
        <w:rPr>
          <w:rFonts w:ascii="Narkisim" w:hAnsi="Narkisim"/>
          <w:rtl/>
        </w:rPr>
        <w:t xml:space="preserve"> [וביאר דל”ד למשנה (לקמן קיא:) דהתם עבר ובא על השניה, ובפשיעה אסרה על עצמו. וע"ע לקמן קיא:].</w:t>
      </w:r>
    </w:p>
    <w:p w14:paraId="20BF6EDA" w14:textId="77777777" w:rsidR="006C4368" w:rsidRPr="003124AA" w:rsidRDefault="006C4368" w:rsidP="006C4368">
      <w:pPr>
        <w:pStyle w:val="aa"/>
        <w:bidi/>
        <w:rPr>
          <w:rFonts w:ascii="Narkisim" w:hAnsi="Narkisim"/>
        </w:rPr>
      </w:pPr>
      <w:r w:rsidRPr="003124AA">
        <w:rPr>
          <w:rFonts w:ascii="Narkisim" w:hAnsi="Narkisim"/>
          <w:rtl/>
        </w:rPr>
        <w:t>וכן ה</w:t>
      </w:r>
      <w:r w:rsidRPr="003124AA">
        <w:rPr>
          <w:rFonts w:ascii="Narkisim" w:hAnsi="Narkisim"/>
          <w:b/>
          <w:bCs/>
          <w:rtl/>
        </w:rPr>
        <w:t>רמב”ם</w:t>
      </w:r>
      <w:r w:rsidRPr="003124AA">
        <w:rPr>
          <w:rFonts w:ascii="Narkisim" w:hAnsi="Narkisim"/>
          <w:rtl/>
        </w:rPr>
        <w:t xml:space="preserve"> (יבום ה כד) פסק [כרי"ף] דמלמדין את הקטנה שתמאן וכונס את החרשת, ואם רצה לגרשה לאחר שיבא עליה כותב לה גט, ותותר לזר. וה</w:t>
      </w:r>
      <w:r w:rsidRPr="003124AA">
        <w:rPr>
          <w:rFonts w:ascii="Narkisim" w:hAnsi="Narkisim"/>
          <w:b/>
          <w:bCs/>
          <w:rtl/>
        </w:rPr>
        <w:t>ראב"ד</w:t>
      </w:r>
      <w:r w:rsidRPr="003124AA">
        <w:rPr>
          <w:rFonts w:ascii="Narkisim" w:hAnsi="Narkisim"/>
          <w:rtl/>
        </w:rPr>
        <w:t xml:space="preserve"> השיג דזה המחבר עושה גמ' מדעתו, דבסוגיין אמרו תמתין עד שתגדיל ותחלוץ ולא התירו למאן ביבם. ואף בבעל לא התירו אלא כדי לקיים מצות יבום של תורה</w:t>
      </w:r>
      <w:r w:rsidRPr="003124AA">
        <w:rPr>
          <w:rStyle w:val="ac"/>
          <w:rFonts w:ascii="Narkisim" w:hAnsi="Narkisim"/>
          <w:rtl/>
        </w:rPr>
        <w:footnoteReference w:id="7311"/>
      </w:r>
      <w:r w:rsidRPr="003124AA">
        <w:rPr>
          <w:rFonts w:ascii="Narkisim" w:hAnsi="Narkisim"/>
          <w:rtl/>
        </w:rPr>
        <w:t>.</w:t>
      </w:r>
    </w:p>
    <w:p w14:paraId="6B0C7676" w14:textId="77777777" w:rsidR="006C4368" w:rsidRPr="003124AA" w:rsidRDefault="006C4368" w:rsidP="006C4368">
      <w:pPr>
        <w:pStyle w:val="aa"/>
        <w:bidi/>
        <w:rPr>
          <w:rFonts w:ascii="Narkisim" w:hAnsi="Narkisim"/>
        </w:rPr>
      </w:pPr>
      <w:r w:rsidRPr="003124AA">
        <w:rPr>
          <w:rFonts w:ascii="Narkisim" w:hAnsi="Narkisim"/>
          <w:u w:val="single"/>
          <w:rtl/>
        </w:rPr>
        <w:t>כונס החרשת ומוציאה בגט, וקטנה תמתין עד שתגדיל ותחלוץ</w:t>
      </w:r>
      <w:r w:rsidRPr="003124AA">
        <w:rPr>
          <w:rFonts w:ascii="Narkisim" w:hAnsi="Narkisim"/>
          <w:rtl/>
        </w:rPr>
        <w:t>. פ</w:t>
      </w:r>
      <w:r w:rsidRPr="003124AA">
        <w:rPr>
          <w:rFonts w:ascii="Narkisim" w:hAnsi="Narkisim"/>
          <w:b/>
          <w:bCs/>
          <w:rtl/>
        </w:rPr>
        <w:t>רש"י</w:t>
      </w:r>
      <w:r w:rsidRPr="003124AA">
        <w:rPr>
          <w:rFonts w:ascii="Narkisim" w:hAnsi="Narkisim"/>
          <w:rtl/>
        </w:rPr>
        <w:t xml:space="preserve"> דכשיחלוץ לקטנה, תפסל החרשת עליו. וה</w:t>
      </w:r>
      <w:r w:rsidRPr="003124AA">
        <w:rPr>
          <w:rFonts w:ascii="Narkisim" w:hAnsi="Narkisim"/>
          <w:b/>
          <w:bCs/>
          <w:rtl/>
        </w:rPr>
        <w:t>מאירי</w:t>
      </w:r>
      <w:r w:rsidRPr="003124AA">
        <w:rPr>
          <w:rFonts w:ascii="Narkisim" w:hAnsi="Narkisim"/>
          <w:rtl/>
        </w:rPr>
        <w:t xml:space="preserve"> כת' דאי"צ להוציא את החרשת מיד, עד שיחלוץ לקטנה</w:t>
      </w:r>
      <w:r w:rsidRPr="003124AA">
        <w:rPr>
          <w:rStyle w:val="ac"/>
          <w:rFonts w:ascii="Narkisim" w:hAnsi="Narkisim"/>
          <w:rtl/>
        </w:rPr>
        <w:footnoteReference w:id="7312"/>
      </w:r>
      <w:r w:rsidRPr="003124AA">
        <w:rPr>
          <w:rFonts w:ascii="Narkisim" w:hAnsi="Narkisim"/>
          <w:rtl/>
        </w:rPr>
        <w:t>. וה</w:t>
      </w:r>
      <w:r w:rsidRPr="003124AA">
        <w:rPr>
          <w:rFonts w:ascii="Narkisim" w:hAnsi="Narkisim"/>
          <w:b/>
          <w:bCs/>
          <w:rtl/>
        </w:rPr>
        <w:t>מאירי</w:t>
      </w:r>
      <w:r w:rsidRPr="003124AA">
        <w:rPr>
          <w:rFonts w:ascii="Narkisim" w:hAnsi="Narkisim"/>
          <w:rtl/>
        </w:rPr>
        <w:t xml:space="preserve"> הביא </w:t>
      </w:r>
      <w:r w:rsidRPr="003124AA">
        <w:rPr>
          <w:rFonts w:ascii="Narkisim" w:hAnsi="Narkisim"/>
          <w:b/>
          <w:bCs/>
          <w:rtl/>
        </w:rPr>
        <w:t>יש גוזרין</w:t>
      </w:r>
      <w:r w:rsidRPr="003124AA">
        <w:rPr>
          <w:rFonts w:ascii="Narkisim" w:hAnsi="Narkisim"/>
          <w:rtl/>
        </w:rPr>
        <w:t xml:space="preserve"> להוציאה </w:t>
      </w:r>
      <w:r w:rsidRPr="003124AA">
        <w:rPr>
          <w:rFonts w:ascii="Narkisim" w:hAnsi="Narkisim"/>
          <w:rtl/>
        </w:rPr>
        <w:lastRenderedPageBreak/>
        <w:t>לאלתר [אחר ביאה ראשונה] שהחליצה פוסלת למפרע</w:t>
      </w:r>
      <w:r w:rsidRPr="003124AA">
        <w:rPr>
          <w:rStyle w:val="ac"/>
          <w:rFonts w:ascii="Narkisim" w:hAnsi="Narkisim"/>
          <w:rtl/>
        </w:rPr>
        <w:footnoteReference w:id="7313"/>
      </w:r>
      <w:r w:rsidRPr="003124AA">
        <w:rPr>
          <w:rFonts w:ascii="Narkisim" w:hAnsi="Narkisim"/>
          <w:rtl/>
        </w:rPr>
        <w:t>, ונמצאו כל ביאותיו באיסור.</w:t>
      </w:r>
    </w:p>
    <w:p w14:paraId="582981D4" w14:textId="77777777" w:rsidR="006C4368" w:rsidRPr="003124AA" w:rsidRDefault="006C4368" w:rsidP="006C4368">
      <w:pPr>
        <w:bidi/>
        <w:rPr>
          <w:rFonts w:ascii="Narkisim" w:hAnsi="Narkisim" w:cs="Narkisim"/>
        </w:rPr>
      </w:pPr>
      <w:r w:rsidRPr="003124AA">
        <w:rPr>
          <w:rFonts w:ascii="Narkisim" w:hAnsi="Narkisim" w:cs="Narkisim"/>
          <w:u w:val="single"/>
          <w:rtl/>
        </w:rPr>
        <w:t>ש"מ קסבר רב חרשת קנויה ומשויירת</w:t>
      </w:r>
      <w:r w:rsidRPr="003124AA">
        <w:rPr>
          <w:rStyle w:val="ac"/>
          <w:rFonts w:ascii="Narkisim" w:hAnsi="Narkisim" w:cs="Narkisim"/>
          <w:u w:val="single"/>
          <w:rtl/>
        </w:rPr>
        <w:footnoteReference w:id="7314"/>
      </w:r>
      <w:r w:rsidRPr="003124AA">
        <w:rPr>
          <w:rFonts w:ascii="Narkisim" w:hAnsi="Narkisim" w:cs="Narkisim"/>
          <w:u w:val="single"/>
          <w:rtl/>
        </w:rPr>
        <w:t xml:space="preserve"> וכו'</w:t>
      </w:r>
      <w:r w:rsidRPr="003124AA">
        <w:rPr>
          <w:rFonts w:ascii="Narkisim" w:hAnsi="Narkisim" w:cs="Narkisim"/>
          <w:rtl/>
        </w:rPr>
        <w:t>. ה</w:t>
      </w:r>
      <w:r w:rsidRPr="003124AA">
        <w:rPr>
          <w:rFonts w:ascii="Narkisim" w:hAnsi="Narkisim" w:cs="Narkisim"/>
          <w:b/>
          <w:bCs/>
          <w:rtl/>
        </w:rPr>
        <w:t>ריטב"א</w:t>
      </w:r>
      <w:r w:rsidRPr="003124AA">
        <w:rPr>
          <w:rFonts w:ascii="Narkisim" w:hAnsi="Narkisim" w:cs="Narkisim"/>
          <w:rtl/>
        </w:rPr>
        <w:t xml:space="preserve"> פי' דיש בה כח קנין שאינו גומר</w:t>
      </w:r>
      <w:r w:rsidRPr="003124AA">
        <w:rPr>
          <w:rStyle w:val="ac"/>
          <w:rFonts w:ascii="Narkisim" w:hAnsi="Narkisim" w:cs="Narkisim"/>
          <w:rtl/>
        </w:rPr>
        <w:footnoteReference w:id="7315"/>
      </w:r>
      <w:r w:rsidRPr="003124AA">
        <w:rPr>
          <w:rFonts w:ascii="Narkisim" w:hAnsi="Narkisim" w:cs="Narkisim"/>
          <w:rtl/>
        </w:rPr>
        <w:t>. וה</w:t>
      </w:r>
      <w:r w:rsidRPr="003124AA">
        <w:rPr>
          <w:rFonts w:ascii="Narkisim" w:hAnsi="Narkisim" w:cs="Narkisim"/>
          <w:b/>
          <w:bCs/>
          <w:rtl/>
        </w:rPr>
        <w:t>אבנ"נ</w:t>
      </w:r>
      <w:r w:rsidRPr="003124AA">
        <w:rPr>
          <w:rFonts w:ascii="Narkisim" w:hAnsi="Narkisim" w:cs="Narkisim"/>
          <w:rtl/>
        </w:rPr>
        <w:t xml:space="preserve"> (רלו ז) חקר האם משויירת חצי אשה</w:t>
      </w:r>
      <w:r w:rsidRPr="003124AA">
        <w:rPr>
          <w:rStyle w:val="ac"/>
          <w:rFonts w:ascii="Narkisim" w:hAnsi="Narkisim" w:cs="Narkisim"/>
          <w:rtl/>
        </w:rPr>
        <w:footnoteReference w:id="7316"/>
      </w:r>
      <w:r w:rsidRPr="003124AA">
        <w:rPr>
          <w:rFonts w:ascii="Narkisim" w:hAnsi="Narkisim" w:cs="Narkisim"/>
          <w:rtl/>
        </w:rPr>
        <w:t xml:space="preserve">, או דהוה שיור בקנין, שאינו קנין גמור וכל האשה קנוי' במקצת. </w:t>
      </w:r>
      <w:r w:rsidRPr="003124AA">
        <w:rPr>
          <w:rFonts w:ascii="Narkisim" w:hAnsi="Narkisim" w:cs="Narkisim"/>
          <w:szCs w:val="20"/>
          <w:rtl/>
        </w:rPr>
        <w:t>[וכענין שחילק ה</w:t>
      </w:r>
      <w:r w:rsidRPr="003124AA">
        <w:rPr>
          <w:rFonts w:ascii="Narkisim" w:hAnsi="Narkisim" w:cs="Narkisim"/>
          <w:b/>
          <w:bCs/>
          <w:szCs w:val="20"/>
          <w:rtl/>
        </w:rPr>
        <w:t>רשב"א</w:t>
      </w:r>
      <w:r w:rsidRPr="003124AA">
        <w:rPr>
          <w:rFonts w:ascii="Narkisim" w:hAnsi="Narkisim" w:cs="Narkisim"/>
          <w:szCs w:val="20"/>
          <w:rtl/>
        </w:rPr>
        <w:t xml:space="preserve"> (קידושין ס.) דלר' יוחנן מהיום ולאחר ל' הוה שיור ותפסי בה אפי' ק', ולא הוה חצי אשה, דכולה מיקדשה ליה, אלא חצי קנין]</w:t>
      </w:r>
      <w:r w:rsidRPr="003124AA">
        <w:rPr>
          <w:rFonts w:ascii="Narkisim" w:hAnsi="Narkisim" w:cs="Narkisim"/>
          <w:rtl/>
        </w:rPr>
        <w:t>.</w:t>
      </w:r>
    </w:p>
    <w:p w14:paraId="4B6690AF"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חזו"א</w:t>
      </w:r>
      <w:r w:rsidRPr="003124AA">
        <w:rPr>
          <w:rFonts w:ascii="Narkisim" w:hAnsi="Narkisim"/>
          <w:rtl/>
        </w:rPr>
        <w:t xml:space="preserve"> (קלד י. ח) דן האם כוונת הגמ' גדר 'שיור', על דרך קידושין חוץ מפלוני</w:t>
      </w:r>
      <w:r w:rsidRPr="003124AA">
        <w:rPr>
          <w:rStyle w:val="ac"/>
          <w:rFonts w:ascii="Narkisim" w:hAnsi="Narkisim"/>
          <w:rtl/>
        </w:rPr>
        <w:footnoteReference w:id="7317"/>
      </w:r>
      <w:r w:rsidRPr="003124AA">
        <w:rPr>
          <w:rFonts w:ascii="Narkisim" w:hAnsi="Narkisim"/>
          <w:rtl/>
        </w:rPr>
        <w:t xml:space="preserve"> (גיטין פב:, וע' תוס' לעיל י.)</w:t>
      </w:r>
      <w:r w:rsidRPr="003124AA">
        <w:rPr>
          <w:rStyle w:val="ac"/>
          <w:rFonts w:ascii="Narkisim" w:hAnsi="Narkisim"/>
          <w:rtl/>
        </w:rPr>
        <w:footnoteReference w:id="7318"/>
      </w:r>
      <w:r w:rsidRPr="003124AA">
        <w:rPr>
          <w:rFonts w:ascii="Narkisim" w:hAnsi="Narkisim"/>
          <w:rtl/>
        </w:rPr>
        <w:t>. וכת' דכוונת הגמ' (כאן) דמשויירת דלא תפשה בה כל כל קידושין דעלמא. וקידושי חרשת הוה פחות מקידושין פקחת. ומש"ה קטנה וחרשת, על הצד דקטנה קנויה קידושין דחרשת הוה פחות, ומש”ה אינו פוטר. דאינה בת מינה</w:t>
      </w:r>
      <w:r w:rsidRPr="003124AA">
        <w:rPr>
          <w:rStyle w:val="ac"/>
          <w:rFonts w:ascii="Narkisim" w:hAnsi="Narkisim"/>
          <w:rtl/>
        </w:rPr>
        <w:footnoteReference w:id="7319"/>
      </w:r>
      <w:r w:rsidRPr="003124AA">
        <w:rPr>
          <w:rFonts w:ascii="Narkisim" w:hAnsi="Narkisim"/>
          <w:rtl/>
        </w:rPr>
        <w:t>.</w:t>
      </w:r>
    </w:p>
    <w:p w14:paraId="38C96E47"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חזו"א</w:t>
      </w:r>
      <w:r w:rsidRPr="003124AA">
        <w:rPr>
          <w:rFonts w:ascii="Narkisim" w:hAnsi="Narkisim" w:cs="Narkisim"/>
          <w:rtl/>
        </w:rPr>
        <w:t xml:space="preserve"> הק' דמ"מ ע"י שנשא החרשת נעשית הקטנה אחות אשתו, ונאסרת ליבום. א"כ אמאי לא פטרה. וכיון דיש 'צד ערוה' תהא פטורה לגמרי</w:t>
      </w:r>
      <w:r w:rsidRPr="003124AA">
        <w:rPr>
          <w:rStyle w:val="ac"/>
          <w:rFonts w:ascii="Narkisim" w:hAnsi="Narkisim" w:cs="Narkisim"/>
          <w:rtl/>
        </w:rPr>
        <w:footnoteReference w:id="7320"/>
      </w:r>
      <w:r w:rsidRPr="003124AA">
        <w:rPr>
          <w:rFonts w:ascii="Narkisim" w:hAnsi="Narkisim" w:cs="Narkisim"/>
          <w:rtl/>
        </w:rPr>
        <w:t>. ותי' דהוה חומרא מדרבנן במקום שיור שלא תצא בכדי.</w:t>
      </w:r>
    </w:p>
    <w:p w14:paraId="2298786E"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אבנ"נ</w:t>
      </w:r>
      <w:r w:rsidRPr="003124AA">
        <w:rPr>
          <w:rFonts w:ascii="Narkisim" w:hAnsi="Narkisim"/>
          <w:rtl/>
        </w:rPr>
        <w:t xml:space="preserve"> (רלו ו) דן דקידושי חרש יש בהם שיור, ומש"ה גרע משפחה חרופה [דאין בה מיתה וכרת אלא קרבן, כיון דהוה רק חצי אשה]. ועד"ז אשת חרש לא נחשב מדרבנן כחייבי כריתות, דאין כאן אישות גמורה</w:t>
      </w:r>
      <w:r w:rsidRPr="003124AA">
        <w:rPr>
          <w:rStyle w:val="ac"/>
          <w:rFonts w:ascii="Narkisim" w:hAnsi="Narkisim"/>
          <w:rtl/>
        </w:rPr>
        <w:footnoteReference w:id="7321"/>
      </w:r>
      <w:r w:rsidRPr="003124AA">
        <w:rPr>
          <w:rFonts w:ascii="Narkisim" w:hAnsi="Narkisim"/>
          <w:rtl/>
        </w:rPr>
        <w:t>.</w:t>
      </w:r>
    </w:p>
    <w:p w14:paraId="4E50D73F" w14:textId="77777777" w:rsidR="006C4368" w:rsidRPr="003124AA" w:rsidRDefault="006C4368" w:rsidP="006C4368">
      <w:pPr>
        <w:bidi/>
        <w:rPr>
          <w:rFonts w:ascii="Narkisim" w:hAnsi="Narkisim" w:cs="Narkisim"/>
        </w:rPr>
      </w:pPr>
      <w:r w:rsidRPr="003124AA">
        <w:rPr>
          <w:rFonts w:ascii="Narkisim" w:hAnsi="Narkisim" w:cs="Narkisim"/>
          <w:u w:val="single"/>
          <w:rtl/>
        </w:rPr>
        <w:t>קטנה קנויה ואינה קנויה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ספק קנויה כולה, ספק אינה קנויה כלל. [וכיון דהוה גדר 'ספק' אמרי' ממ"נ]. ובפשוטו משמע דהוה ספק לדידן מה תקנו חכמים, ושמא לא תקנו כלל אישות לקטנה</w:t>
      </w:r>
      <w:r w:rsidRPr="003124AA">
        <w:rPr>
          <w:rStyle w:val="ac"/>
          <w:rFonts w:ascii="Narkisim" w:hAnsi="Narkisim" w:cs="Narkisim"/>
          <w:rtl/>
        </w:rPr>
        <w:footnoteReference w:id="7322"/>
      </w:r>
      <w:r w:rsidRPr="003124AA">
        <w:rPr>
          <w:rFonts w:ascii="Narkisim" w:hAnsi="Narkisim" w:cs="Narkisim"/>
          <w:rtl/>
        </w:rPr>
        <w:t>.</w:t>
      </w:r>
    </w:p>
    <w:p w14:paraId="0E5E6A13" w14:textId="77777777" w:rsidR="006C4368" w:rsidRPr="003124AA" w:rsidRDefault="006C4368" w:rsidP="006C4368">
      <w:pPr>
        <w:pStyle w:val="a7"/>
        <w:bidi/>
        <w:rPr>
          <w:rFonts w:ascii="Narkisim" w:hAnsi="Narkisim"/>
        </w:rPr>
      </w:pPr>
      <w:r w:rsidRPr="003124AA">
        <w:rPr>
          <w:rFonts w:ascii="Narkisim" w:hAnsi="Narkisim"/>
          <w:rtl/>
        </w:rPr>
        <w:t xml:space="preserve">אבל </w:t>
      </w:r>
      <w:r w:rsidRPr="003124AA">
        <w:rPr>
          <w:rFonts w:ascii="Narkisim" w:hAnsi="Narkisim"/>
          <w:b/>
          <w:bCs/>
          <w:rtl/>
        </w:rPr>
        <w:t>רש"י</w:t>
      </w:r>
      <w:r w:rsidRPr="003124AA">
        <w:rPr>
          <w:rFonts w:ascii="Narkisim" w:hAnsi="Narkisim"/>
          <w:rtl/>
        </w:rPr>
        <w:t xml:space="preserve"> בכמה מקומות</w:t>
      </w:r>
      <w:r w:rsidRPr="003124AA">
        <w:rPr>
          <w:rStyle w:val="ac"/>
          <w:rFonts w:ascii="Narkisim" w:hAnsi="Narkisim"/>
          <w:rtl/>
        </w:rPr>
        <w:footnoteReference w:id="7323"/>
      </w:r>
      <w:r w:rsidRPr="003124AA">
        <w:rPr>
          <w:rFonts w:ascii="Narkisim" w:hAnsi="Narkisim"/>
          <w:rtl/>
        </w:rPr>
        <w:t xml:space="preserve"> כת' דקידושין קטנה דנחשב ספק, שמא תמאן</w:t>
      </w:r>
      <w:r w:rsidRPr="003124AA">
        <w:rPr>
          <w:rStyle w:val="ac"/>
          <w:rFonts w:ascii="Narkisim" w:hAnsi="Narkisim"/>
          <w:rtl/>
        </w:rPr>
        <w:footnoteReference w:id="7324"/>
      </w:r>
      <w:r w:rsidRPr="003124AA">
        <w:rPr>
          <w:rFonts w:ascii="Narkisim" w:hAnsi="Narkisim"/>
          <w:rtl/>
        </w:rPr>
        <w:t xml:space="preserve">. אך ילה"ק א"כ </w:t>
      </w:r>
      <w:r w:rsidRPr="003124AA">
        <w:rPr>
          <w:rFonts w:ascii="Narkisim" w:hAnsi="Narkisim"/>
          <w:rtl/>
        </w:rPr>
        <w:lastRenderedPageBreak/>
        <w:t>הנושא ב' קטנות האיך סגי בביאת א' מהם (כדתנן קי.), נימא שמא זו עומדת למיאון וזו לא תמאן. וצ"ל דהוה טעם בעיקר התקנה, שתקנו גדר כאילו הוה ספק. כיון דאישות זו תלי בעתיד, אי עומדת למאן</w:t>
      </w:r>
      <w:r w:rsidRPr="003124AA">
        <w:rPr>
          <w:rStyle w:val="ac"/>
          <w:rFonts w:ascii="Narkisim" w:hAnsi="Narkisim"/>
          <w:rtl/>
        </w:rPr>
        <w:footnoteReference w:id="7325"/>
      </w:r>
      <w:r w:rsidRPr="003124AA">
        <w:rPr>
          <w:rFonts w:ascii="Narkisim" w:hAnsi="Narkisim"/>
          <w:rtl/>
        </w:rPr>
        <w:t>.</w:t>
      </w:r>
    </w:p>
    <w:p w14:paraId="57181ABD" w14:textId="77777777" w:rsidR="006C4368" w:rsidRPr="003124AA" w:rsidRDefault="006C4368" w:rsidP="006C4368">
      <w:pPr>
        <w:bidi/>
        <w:rPr>
          <w:rFonts w:ascii="Narkisim" w:hAnsi="Narkisim" w:cs="Narkisim"/>
        </w:rPr>
      </w:pPr>
      <w:r w:rsidRPr="003124AA">
        <w:rPr>
          <w:rFonts w:ascii="Narkisim" w:hAnsi="Narkisim" w:cs="Narkisim"/>
          <w:u w:val="single"/>
          <w:rtl/>
        </w:rPr>
        <w:t>שם. ש"מ קסבר רב חרשת קנויה ומשויירת, קטנה קנויה ואינה קנויה וכו'</w:t>
      </w:r>
      <w:r w:rsidRPr="003124AA">
        <w:rPr>
          <w:rFonts w:ascii="Narkisim" w:hAnsi="Narkisim" w:cs="Narkisim"/>
          <w:rtl/>
        </w:rPr>
        <w:t>. עולה מפרש"י מבואר במשניות דגדר אישות דחרש וקטנה אינו פוטר זה את זה</w:t>
      </w:r>
      <w:r w:rsidRPr="003124AA">
        <w:rPr>
          <w:rStyle w:val="ac"/>
          <w:rFonts w:ascii="Narkisim" w:hAnsi="Narkisim" w:cs="Narkisim"/>
          <w:rtl/>
        </w:rPr>
        <w:footnoteReference w:id="7326"/>
      </w:r>
      <w:r w:rsidRPr="003124AA">
        <w:rPr>
          <w:rFonts w:ascii="Narkisim" w:hAnsi="Narkisim" w:cs="Narkisim"/>
          <w:rtl/>
        </w:rPr>
        <w:t xml:space="preserve">, וע"כ דתקנו חכמים גדר שונה </w:t>
      </w:r>
      <w:r w:rsidRPr="003124AA">
        <w:rPr>
          <w:rFonts w:ascii="Narkisim" w:hAnsi="Narkisim" w:cs="Narkisim"/>
          <w:szCs w:val="20"/>
          <w:rtl/>
        </w:rPr>
        <w:t>[ולא תקנו אישות גמורה מדרבנן, דא”כ דרבנן היה פוטר דרבנן]</w:t>
      </w:r>
      <w:r w:rsidRPr="003124AA">
        <w:rPr>
          <w:rFonts w:ascii="Narkisim" w:hAnsi="Narkisim" w:cs="Narkisim"/>
          <w:rtl/>
        </w:rPr>
        <w:t>.</w:t>
      </w:r>
    </w:p>
    <w:p w14:paraId="52C6BB92" w14:textId="77777777" w:rsidR="006C4368" w:rsidRPr="003124AA" w:rsidRDefault="006C4368" w:rsidP="006C4368">
      <w:pPr>
        <w:pStyle w:val="a7"/>
        <w:bidi/>
        <w:rPr>
          <w:rFonts w:ascii="Narkisim" w:hAnsi="Narkisim"/>
        </w:rPr>
      </w:pPr>
      <w:r w:rsidRPr="003124AA">
        <w:rPr>
          <w:rFonts w:ascii="Narkisim" w:hAnsi="Narkisim"/>
          <w:rtl/>
        </w:rPr>
        <w:t>ומבואר בגמ' דע"כ הוה גדר 'שיור'</w:t>
      </w:r>
      <w:r w:rsidRPr="003124AA">
        <w:rPr>
          <w:rStyle w:val="ac"/>
          <w:rFonts w:ascii="Narkisim" w:hAnsi="Narkisim"/>
          <w:rtl/>
        </w:rPr>
        <w:footnoteReference w:id="7327"/>
      </w:r>
      <w:r w:rsidRPr="003124AA">
        <w:rPr>
          <w:rFonts w:ascii="Narkisim" w:hAnsi="Narkisim"/>
          <w:rtl/>
        </w:rPr>
        <w:t xml:space="preserve"> או ספק. [ונפק"מ דבגדר ספק אמרי' ממ"נ. ואילו גדר 'שיור' ל"ש ממ"נ.</w:t>
      </w:r>
    </w:p>
    <w:p w14:paraId="2D16B3FF"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(ה כג) כת' דחרשת וקטנה הוה ב' מיני קדושין, אף דקידושי שניהם מדברי סופרים</w:t>
      </w:r>
      <w:r w:rsidRPr="003124AA">
        <w:rPr>
          <w:rStyle w:val="ac"/>
          <w:rFonts w:ascii="Narkisim" w:hAnsi="Narkisim"/>
          <w:rtl/>
        </w:rPr>
        <w:footnoteReference w:id="7328"/>
      </w:r>
      <w:r w:rsidRPr="003124AA">
        <w:rPr>
          <w:rFonts w:ascii="Narkisim" w:hAnsi="Narkisim"/>
          <w:rtl/>
        </w:rPr>
        <w:t>. דקטנה קידושיה תלויין עד שתגדל</w:t>
      </w:r>
      <w:r w:rsidRPr="003124AA">
        <w:rPr>
          <w:rStyle w:val="ac"/>
          <w:rFonts w:ascii="Narkisim" w:hAnsi="Narkisim"/>
          <w:rtl/>
        </w:rPr>
        <w:footnoteReference w:id="7329"/>
      </w:r>
      <w:r w:rsidRPr="003124AA">
        <w:rPr>
          <w:rFonts w:ascii="Narkisim" w:hAnsi="Narkisim"/>
          <w:rtl/>
        </w:rPr>
        <w:t>. אך לא הזכיר דחרשת קנויה ומשויירת</w:t>
      </w:r>
      <w:r w:rsidRPr="003124AA">
        <w:rPr>
          <w:rStyle w:val="ac"/>
          <w:rFonts w:ascii="Narkisim" w:hAnsi="Narkisim"/>
          <w:rtl/>
        </w:rPr>
        <w:footnoteReference w:id="7330"/>
      </w:r>
      <w:r w:rsidRPr="003124AA">
        <w:rPr>
          <w:rFonts w:ascii="Narkisim" w:hAnsi="Narkisim"/>
          <w:rtl/>
        </w:rPr>
        <w:t>.</w:t>
      </w:r>
    </w:p>
    <w:p w14:paraId="5B03FCF3"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מאירי</w:t>
      </w:r>
      <w:r w:rsidRPr="003124AA">
        <w:rPr>
          <w:rFonts w:ascii="Narkisim" w:hAnsi="Narkisim"/>
          <w:rtl/>
        </w:rPr>
        <w:t xml:space="preserve"> ביאר דברי הגמ' (כאן) דחרשת משויירת בקנינה מצד שאין לה דעת כלל לאקנויי נפשה. אבל הקטנה ספק קנויה לגמרי מדרבנן הואיל ויש לה דעת כל שהו לאקנויי נפשה, וספק אינה קנויה כלל הואיל ויכולה למאן ולעקור את הקדושין למפרע.</w:t>
      </w:r>
    </w:p>
    <w:p w14:paraId="430BE2C6" w14:textId="77777777" w:rsidR="006C4368" w:rsidRPr="003124AA" w:rsidRDefault="006C4368" w:rsidP="006C4368">
      <w:pPr>
        <w:pStyle w:val="aa"/>
        <w:bidi/>
        <w:rPr>
          <w:rFonts w:ascii="Narkisim" w:hAnsi="Narkisim"/>
        </w:rPr>
      </w:pPr>
      <w:r w:rsidRPr="003124AA">
        <w:rPr>
          <w:rFonts w:ascii="Narkisim" w:hAnsi="Narkisim"/>
          <w:u w:val="single"/>
          <w:rtl/>
        </w:rPr>
        <w:t>דאי ס"ד חרשת קנויה ואינה קנויה, קטנה קנויה ומשויירת וכו'</w:t>
      </w:r>
      <w:r w:rsidRPr="003124AA">
        <w:rPr>
          <w:rFonts w:ascii="Narkisim" w:hAnsi="Narkisim"/>
          <w:rtl/>
        </w:rPr>
        <w:t>. [דס"ד דרב חסדא דהוה להיפך, דחרשת ספק</w:t>
      </w:r>
      <w:r w:rsidRPr="003124AA">
        <w:rPr>
          <w:rStyle w:val="ac"/>
          <w:rFonts w:ascii="Narkisim" w:hAnsi="Narkisim"/>
          <w:rtl/>
        </w:rPr>
        <w:footnoteReference w:id="7331"/>
      </w:r>
      <w:r w:rsidRPr="003124AA">
        <w:rPr>
          <w:rFonts w:ascii="Narkisim" w:hAnsi="Narkisim"/>
          <w:rtl/>
        </w:rPr>
        <w:t xml:space="preserve"> וקטנה שיור]. אך לגירסא במשניות במשנה (קיא:) מוכח במשנה דקטנה הוה ספק, וחרשת משויירת. ויתבאר לקמן.</w:t>
      </w:r>
    </w:p>
    <w:p w14:paraId="3A07A05E" w14:textId="77777777" w:rsidR="006C4368" w:rsidRPr="003124AA" w:rsidRDefault="006C4368" w:rsidP="006C4368">
      <w:pPr>
        <w:pStyle w:val="3"/>
        <w:bidi/>
        <w:rPr>
          <w:rFonts w:ascii="Narkisim" w:hAnsi="Narkisim"/>
        </w:rPr>
      </w:pPr>
      <w:r w:rsidRPr="003124AA">
        <w:rPr>
          <w:rFonts w:ascii="Narkisim" w:hAnsi="Narkisim"/>
          <w:rtl/>
        </w:rPr>
        <w:t>דף קיא.</w:t>
      </w:r>
    </w:p>
    <w:p w14:paraId="51A01934" w14:textId="77777777" w:rsidR="006C4368" w:rsidRPr="003124AA" w:rsidRDefault="006C4368" w:rsidP="006C4368">
      <w:pPr>
        <w:pStyle w:val="aa"/>
        <w:bidi/>
        <w:rPr>
          <w:rFonts w:ascii="Narkisim" w:hAnsi="Narkisim"/>
        </w:rPr>
      </w:pPr>
      <w:r w:rsidRPr="003124AA">
        <w:rPr>
          <w:rFonts w:ascii="Narkisim" w:hAnsi="Narkisim"/>
          <w:u w:val="single"/>
          <w:rtl/>
        </w:rPr>
        <w:t>א"כ חרשת במה תיפוק</w:t>
      </w:r>
      <w:r w:rsidRPr="003124AA">
        <w:rPr>
          <w:rFonts w:ascii="Narkisim" w:hAnsi="Narkisim"/>
          <w:rtl/>
        </w:rPr>
        <w:t>. פ</w:t>
      </w:r>
      <w:r w:rsidRPr="003124AA">
        <w:rPr>
          <w:rFonts w:ascii="Narkisim" w:hAnsi="Narkisim"/>
          <w:b/>
          <w:bCs/>
          <w:rtl/>
        </w:rPr>
        <w:t>רש"י</w:t>
      </w:r>
      <w:r w:rsidRPr="003124AA">
        <w:rPr>
          <w:rFonts w:ascii="Narkisim" w:hAnsi="Narkisim"/>
          <w:rtl/>
        </w:rPr>
        <w:t xml:space="preserve"> דקתני תקנתא לתרוייהו. [אך לכאורה אילו החרשת אינה רוצה לינשא, רשאי לייבם הקטנה בממ"נ].</w:t>
      </w:r>
    </w:p>
    <w:p w14:paraId="05F3BEAE" w14:textId="77777777" w:rsidR="006C4368" w:rsidRPr="003124AA" w:rsidRDefault="006C4368" w:rsidP="006C4368">
      <w:pPr>
        <w:pStyle w:val="aa"/>
        <w:bidi/>
        <w:rPr>
          <w:rFonts w:ascii="Narkisim" w:hAnsi="Narkisim"/>
        </w:rPr>
      </w:pPr>
      <w:r w:rsidRPr="003124AA">
        <w:rPr>
          <w:rFonts w:ascii="Narkisim" w:hAnsi="Narkisim"/>
          <w:u w:val="single"/>
          <w:rtl/>
        </w:rPr>
        <w:t>נשואין שתי אחיות יתומות</w:t>
      </w:r>
      <w:r w:rsidRPr="003124AA">
        <w:rPr>
          <w:rStyle w:val="ac"/>
          <w:rFonts w:ascii="Narkisim" w:hAnsi="Narkisim"/>
          <w:u w:val="single"/>
          <w:rtl/>
        </w:rPr>
        <w:footnoteReference w:id="7332"/>
      </w:r>
      <w:r w:rsidRPr="003124AA">
        <w:rPr>
          <w:rFonts w:ascii="Narkisim" w:hAnsi="Narkisim"/>
          <w:u w:val="single"/>
          <w:rtl/>
        </w:rPr>
        <w:t>, קטנה וחרשת וכו'</w:t>
      </w:r>
      <w:r w:rsidRPr="003124AA">
        <w:rPr>
          <w:rFonts w:ascii="Narkisim" w:hAnsi="Narkisim"/>
          <w:rtl/>
        </w:rPr>
        <w:t>. ה</w:t>
      </w:r>
      <w:r w:rsidRPr="003124AA">
        <w:rPr>
          <w:rFonts w:ascii="Narkisim" w:hAnsi="Narkisim"/>
          <w:b/>
          <w:bCs/>
          <w:rtl/>
        </w:rPr>
        <w:t>ב"ח</w:t>
      </w:r>
      <w:r w:rsidRPr="003124AA">
        <w:rPr>
          <w:rFonts w:ascii="Narkisim" w:hAnsi="Narkisim"/>
          <w:rtl/>
        </w:rPr>
        <w:t xml:space="preserve"> מחק המילה יתומות, דלכאורה איירי שהחרשת היא גדולה, וקידשה את עצמה. [ובגדולה אין משמעות בזה שהיא יתומה]. דהיכא דהחרשת הוה ג"כ יתומה קטנה לכאורה גרע, דהוה גם ספק וגם שיור.</w:t>
      </w:r>
    </w:p>
    <w:p w14:paraId="72E6C411" w14:textId="77777777" w:rsidR="006C4368" w:rsidRPr="003124AA" w:rsidRDefault="006C4368" w:rsidP="006C4368">
      <w:pPr>
        <w:pStyle w:val="aa"/>
        <w:bidi/>
        <w:rPr>
          <w:rFonts w:ascii="Narkisim" w:hAnsi="Narkisim"/>
        </w:rPr>
      </w:pPr>
      <w:r w:rsidRPr="003124AA">
        <w:rPr>
          <w:rFonts w:ascii="Narkisim" w:hAnsi="Narkisim"/>
          <w:u w:val="single"/>
          <w:rtl/>
        </w:rPr>
        <w:t>מת בעלה של קטנה חרשת יוצאה בגט</w:t>
      </w:r>
      <w:r w:rsidRPr="003124AA">
        <w:rPr>
          <w:rFonts w:ascii="Narkisim" w:hAnsi="Narkisim"/>
          <w:rtl/>
        </w:rPr>
        <w:t>. פ</w:t>
      </w:r>
      <w:r w:rsidRPr="003124AA">
        <w:rPr>
          <w:rFonts w:ascii="Narkisim" w:hAnsi="Narkisim"/>
          <w:b/>
          <w:bCs/>
          <w:rtl/>
        </w:rPr>
        <w:t>רש"י</w:t>
      </w:r>
      <w:r w:rsidRPr="003124AA">
        <w:rPr>
          <w:rFonts w:ascii="Narkisim" w:hAnsi="Narkisim"/>
          <w:rtl/>
        </w:rPr>
        <w:t xml:space="preserve"> דהחרשת הוה אחות זקוקתו, דזיקת קטנה אוסרתה כיון דהחרשת קנויה ומשויירת. [והקטנה נופלת ליבום מחמת צד השיור, ועי"ז החרשת הוה מדרבנן אחות זקוקתו].</w:t>
      </w:r>
    </w:p>
    <w:p w14:paraId="19FCBC7C" w14:textId="77777777" w:rsidR="006C4368" w:rsidRPr="003124AA" w:rsidRDefault="006C4368" w:rsidP="006C4368">
      <w:pPr>
        <w:pStyle w:val="a8"/>
        <w:bidi/>
        <w:rPr>
          <w:rFonts w:ascii="Narkisim" w:hAnsi="Narkisim"/>
        </w:rPr>
      </w:pPr>
      <w:r w:rsidRPr="003124AA">
        <w:rPr>
          <w:rFonts w:ascii="Narkisim" w:hAnsi="Narkisim"/>
          <w:rtl/>
        </w:rPr>
        <w:t>ולכאורה לפ"ז הברייתא כמ"ד דיש זיקה, דלמ"ד אין זיקה אחות זקוקתו מותרת [אלא דאסור לישא משום ביטול מצוות יבמין.</w:t>
      </w:r>
    </w:p>
    <w:p w14:paraId="0FD7A1B7" w14:textId="77777777" w:rsidR="006C4368" w:rsidRPr="003124AA" w:rsidRDefault="006C4368" w:rsidP="006C4368">
      <w:pPr>
        <w:bidi/>
        <w:rPr>
          <w:rFonts w:ascii="Narkisim" w:hAnsi="Narkisim" w:cs="Narkisim"/>
        </w:rPr>
      </w:pPr>
      <w:r w:rsidRPr="003124AA">
        <w:rPr>
          <w:rFonts w:ascii="Narkisim" w:hAnsi="Narkisim" w:cs="Narkisim"/>
          <w:u w:val="single"/>
          <w:rtl/>
        </w:rPr>
        <w:t>מה בעלה של חרשת קטנה יוצאת בגט, וחרשת אסורה לעולם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דשמא הוה אחות גרושתו, ובשעת נפילה החרשת נאסרה מדרבנן, ומש"ה אפי' מתה</w:t>
      </w:r>
      <w:r w:rsidRPr="003124AA">
        <w:rPr>
          <w:rStyle w:val="ac"/>
          <w:rFonts w:ascii="Narkisim" w:hAnsi="Narkisim" w:cs="Narkisim"/>
          <w:rtl/>
        </w:rPr>
        <w:footnoteReference w:id="7333"/>
      </w:r>
      <w:r w:rsidRPr="003124AA">
        <w:rPr>
          <w:rFonts w:ascii="Narkisim" w:hAnsi="Narkisim" w:cs="Narkisim"/>
          <w:rtl/>
        </w:rPr>
        <w:t xml:space="preserve"> הקטנה נאסרה </w:t>
      </w:r>
      <w:r w:rsidRPr="003124AA">
        <w:rPr>
          <w:rFonts w:ascii="Narkisim" w:hAnsi="Narkisim" w:cs="Narkisim"/>
          <w:rtl/>
        </w:rPr>
        <w:lastRenderedPageBreak/>
        <w:t>לעולם</w:t>
      </w:r>
      <w:r w:rsidRPr="003124AA">
        <w:rPr>
          <w:rStyle w:val="ac"/>
          <w:rFonts w:ascii="Narkisim" w:hAnsi="Narkisim" w:cs="Narkisim"/>
          <w:rtl/>
        </w:rPr>
        <w:footnoteReference w:id="7334"/>
      </w:r>
      <w:r w:rsidRPr="003124AA">
        <w:rPr>
          <w:rFonts w:ascii="Narkisim" w:hAnsi="Narkisim" w:cs="Narkisim"/>
          <w:rtl/>
        </w:rPr>
        <w:t>. דכל יבמה שאין אני קורא בה בשעת נפילה וכו'.</w:t>
      </w:r>
    </w:p>
    <w:p w14:paraId="5E639397" w14:textId="77777777" w:rsidR="006C4368" w:rsidRPr="003124AA" w:rsidRDefault="006C4368" w:rsidP="006C4368">
      <w:pPr>
        <w:pStyle w:val="a8"/>
        <w:bidi/>
        <w:rPr>
          <w:rFonts w:ascii="Narkisim" w:hAnsi="Narkisim"/>
        </w:rPr>
      </w:pPr>
      <w:r w:rsidRPr="003124AA">
        <w:rPr>
          <w:rFonts w:ascii="Narkisim" w:hAnsi="Narkisim"/>
          <w:rtl/>
        </w:rPr>
        <w:t>אך ה</w:t>
      </w:r>
      <w:r w:rsidRPr="003124AA">
        <w:rPr>
          <w:rFonts w:ascii="Narkisim" w:hAnsi="Narkisim"/>
          <w:b/>
          <w:bCs/>
          <w:rtl/>
        </w:rPr>
        <w:t>מאירי</w:t>
      </w:r>
      <w:r w:rsidRPr="003124AA">
        <w:rPr>
          <w:rFonts w:ascii="Narkisim" w:hAnsi="Narkisim"/>
          <w:rtl/>
        </w:rPr>
        <w:t xml:space="preserve"> הביא ד</w:t>
      </w:r>
      <w:r w:rsidRPr="003124AA">
        <w:rPr>
          <w:rFonts w:ascii="Narkisim" w:hAnsi="Narkisim"/>
          <w:b/>
          <w:bCs/>
          <w:rtl/>
        </w:rPr>
        <w:t>יש חולקים</w:t>
      </w:r>
      <w:r w:rsidRPr="003124AA">
        <w:rPr>
          <w:rFonts w:ascii="Narkisim" w:hAnsi="Narkisim"/>
          <w:rtl/>
        </w:rPr>
        <w:t xml:space="preserve"> דבאיסור דרבנן לא אמרי' דנאסרה לעולם</w:t>
      </w:r>
      <w:r w:rsidRPr="003124AA">
        <w:rPr>
          <w:rStyle w:val="ac"/>
          <w:rFonts w:ascii="Narkisim" w:hAnsi="Narkisim"/>
          <w:rtl/>
        </w:rPr>
        <w:footnoteReference w:id="7335"/>
      </w:r>
      <w:r w:rsidRPr="003124AA">
        <w:rPr>
          <w:rFonts w:ascii="Narkisim" w:hAnsi="Narkisim"/>
          <w:rtl/>
        </w:rPr>
        <w:t>, ומש”ה כשמתה הקטנה מותרת</w:t>
      </w:r>
      <w:r w:rsidRPr="003124AA">
        <w:rPr>
          <w:rStyle w:val="ac"/>
          <w:rFonts w:ascii="Narkisim" w:hAnsi="Narkisim"/>
          <w:rtl/>
        </w:rPr>
        <w:footnoteReference w:id="7336"/>
      </w:r>
      <w:r w:rsidRPr="003124AA">
        <w:rPr>
          <w:rFonts w:ascii="Narkisim" w:hAnsi="Narkisim"/>
          <w:rtl/>
        </w:rPr>
        <w:t>. אך כת' דאפשר שבזו אף דהוה מדרבנן אסורה לעולם, דיש בה איסור אחות אשה של סופרים שהוא חמור הרבה.</w:t>
      </w:r>
    </w:p>
    <w:p w14:paraId="2D21E4D8" w14:textId="77777777" w:rsidR="006C4368" w:rsidRPr="003124AA" w:rsidRDefault="006C4368" w:rsidP="006C4368">
      <w:pPr>
        <w:bidi/>
        <w:rPr>
          <w:rFonts w:ascii="Narkisim" w:hAnsi="Narkisim" w:cs="Narkisim"/>
        </w:rPr>
      </w:pPr>
      <w:r w:rsidRPr="003124AA">
        <w:rPr>
          <w:rFonts w:ascii="Narkisim" w:hAnsi="Narkisim" w:cs="Narkisim"/>
          <w:u w:val="single"/>
          <w:rtl/>
        </w:rPr>
        <w:t>אלא אי אמרת וכו' קטנה קנויה ומשויירת, כי בא על חרשת וכו' הו"ל ביאה פסולה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(ד"ה אמאי) דביאת קטנה הוה ביאה פסולה, כיון דהוה אחות אשה במקצת. דגדר קנויה ומשויירת עושה ביאה פסולה [והגמ' דוחה כר' נחמיה דאף ביאה פסולה פוטר].</w:t>
      </w:r>
    </w:p>
    <w:p w14:paraId="0854F5E8" w14:textId="77777777" w:rsidR="006C4368" w:rsidRPr="003124AA" w:rsidRDefault="006C4368" w:rsidP="006C4368">
      <w:pPr>
        <w:bidi/>
        <w:rPr>
          <w:rFonts w:ascii="Narkisim" w:hAnsi="Narkisim" w:cs="Narkisim"/>
        </w:rPr>
      </w:pPr>
      <w:r w:rsidRPr="003124AA">
        <w:rPr>
          <w:rFonts w:ascii="Narkisim" w:hAnsi="Narkisim" w:cs="Narkisim"/>
          <w:u w:val="single"/>
          <w:rtl/>
        </w:rPr>
        <w:t>אימא סיפא וכו' תמתין עד שתגדיל ותחלוץ דדלמא קדים ובעיל חרשת ברישא וכו'</w:t>
      </w:r>
      <w:r w:rsidRPr="003124AA">
        <w:rPr>
          <w:rFonts w:ascii="Narkisim" w:hAnsi="Narkisim" w:cs="Narkisim"/>
          <w:rtl/>
        </w:rPr>
        <w:t xml:space="preserve">. [וכן הביא </w:t>
      </w:r>
      <w:r w:rsidRPr="003124AA">
        <w:rPr>
          <w:rFonts w:ascii="Narkisim" w:hAnsi="Narkisim" w:cs="Narkisim"/>
          <w:b/>
          <w:bCs/>
          <w:rtl/>
        </w:rPr>
        <w:t>רש"י</w:t>
      </w:r>
      <w:r w:rsidRPr="003124AA">
        <w:rPr>
          <w:rFonts w:ascii="Narkisim" w:hAnsi="Narkisim" w:cs="Narkisim"/>
          <w:rtl/>
        </w:rPr>
        <w:t xml:space="preserve"> (לעיל ד"ה חרשת במאי, ובע”ב ד”ה פסל) דבמשנה (בע"ב) גזרו דילמא אתי למיבעל חרשת ברישא]. אבל הגירסא במשנה שבמשניות (בע"ב) דבא על הקטנה ואח”כ בא על החרשת לא פסלה. וכ"פ הרמב"ם (ה כז). ויתבאר לקמן.</w:t>
      </w:r>
    </w:p>
    <w:p w14:paraId="3E6A8B0A"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חזו"א</w:t>
      </w:r>
      <w:r w:rsidRPr="003124AA">
        <w:rPr>
          <w:rFonts w:ascii="Narkisim" w:hAnsi="Narkisim" w:cs="Narkisim"/>
          <w:rtl/>
        </w:rPr>
        <w:t xml:space="preserve"> (קכט ח) כת' די"ל דטעם הגזירה, דאי בעל קטנה ברישא יוצאת וחרשת ברישא אינה יוצאת, שמא יאמרו דקטנה עיקר ואף חרשת ואח"כ קטנה יקיים את הקטנה. ומשום הך גזירה השוו קטנה ברישא לקטנה לבסוף. [ועפ"ז תי' קו' תוס' ד"ה תיתיב]. וכת' דצ"ע למה הראשונים לא ניח"ל לפרש עד”ז.</w:t>
      </w:r>
    </w:p>
    <w:p w14:paraId="1864DC98" w14:textId="77777777" w:rsidR="006C4368" w:rsidRPr="003124AA" w:rsidRDefault="006C4368" w:rsidP="006C4368">
      <w:pPr>
        <w:bidi/>
        <w:rPr>
          <w:rFonts w:ascii="Narkisim" w:hAnsi="Narkisim" w:cs="Narkisim"/>
        </w:rPr>
      </w:pPr>
      <w:r w:rsidRPr="003124AA">
        <w:rPr>
          <w:rFonts w:ascii="Narkisim" w:hAnsi="Narkisim" w:cs="Narkisim"/>
          <w:u w:val="single"/>
          <w:rtl/>
        </w:rPr>
        <w:t>אלא אי אמרת ר' נחמיה, הא אמר ביאה פסולה פטרה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בבא על הקטנה ואח"כ על החרשת הוה ביאה כשירה ותיסגי ליה בגט, אף א"נ חשיב ליה ביאה פסולה. וה</w:t>
      </w:r>
      <w:r w:rsidRPr="003124AA">
        <w:rPr>
          <w:rFonts w:ascii="Narkisim" w:hAnsi="Narkisim" w:cs="Narkisim"/>
          <w:b/>
          <w:bCs/>
          <w:rtl/>
        </w:rPr>
        <w:t>או"ש</w:t>
      </w:r>
      <w:r w:rsidRPr="003124AA">
        <w:rPr>
          <w:rFonts w:ascii="Narkisim" w:hAnsi="Narkisim" w:cs="Narkisim"/>
          <w:rtl/>
        </w:rPr>
        <w:t xml:space="preserve"> (קו' זיקה כז) הביא דפשטיות הגמ' דחשיב ביאה פסולה</w:t>
      </w:r>
      <w:r w:rsidRPr="003124AA">
        <w:rPr>
          <w:rStyle w:val="ac"/>
          <w:rFonts w:ascii="Narkisim" w:hAnsi="Narkisim" w:cs="Narkisim"/>
          <w:rtl/>
        </w:rPr>
        <w:footnoteReference w:id="7337"/>
      </w:r>
      <w:r w:rsidRPr="003124AA">
        <w:rPr>
          <w:rFonts w:ascii="Narkisim" w:hAnsi="Narkisim" w:cs="Narkisim"/>
          <w:rtl/>
        </w:rPr>
        <w:t>, ותמה מה הצד דהקטנה תחשב ביאה פסולה</w:t>
      </w:r>
      <w:r w:rsidRPr="003124AA">
        <w:rPr>
          <w:rStyle w:val="ac"/>
          <w:rFonts w:ascii="Narkisim" w:hAnsi="Narkisim" w:cs="Narkisim"/>
          <w:rtl/>
        </w:rPr>
        <w:footnoteReference w:id="7338"/>
      </w:r>
      <w:r w:rsidRPr="003124AA">
        <w:rPr>
          <w:rFonts w:ascii="Narkisim" w:hAnsi="Narkisim" w:cs="Narkisim"/>
          <w:rtl/>
        </w:rPr>
        <w:t>.</w:t>
      </w:r>
    </w:p>
    <w:p w14:paraId="706F8483"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או"ש</w:t>
      </w:r>
      <w:r w:rsidRPr="003124AA">
        <w:rPr>
          <w:rFonts w:ascii="Narkisim" w:hAnsi="Narkisim"/>
          <w:rtl/>
        </w:rPr>
        <w:t xml:space="preserve"> העלה צד דכיון דזיקת חברתה רמי עליה נחשב ביאה פסולה [דכיון דאינה פוטרת צרתה, צרתה אוסרת עלה דהוה צרת זקוקתו</w:t>
      </w:r>
      <w:r w:rsidRPr="003124AA">
        <w:rPr>
          <w:rStyle w:val="ac"/>
          <w:rFonts w:ascii="Narkisim" w:hAnsi="Narkisim"/>
          <w:rtl/>
        </w:rPr>
        <w:footnoteReference w:id="7339"/>
      </w:r>
      <w:r w:rsidRPr="003124AA">
        <w:rPr>
          <w:rFonts w:ascii="Narkisim" w:hAnsi="Narkisim"/>
          <w:rtl/>
        </w:rPr>
        <w:t>]. אך כת' דסברא רחוקה היא, ודוחק ליחס סברא זו אף לס"ד</w:t>
      </w:r>
      <w:r w:rsidRPr="003124AA">
        <w:rPr>
          <w:rStyle w:val="ac"/>
          <w:rFonts w:ascii="Narkisim" w:hAnsi="Narkisim"/>
          <w:rtl/>
        </w:rPr>
        <w:footnoteReference w:id="7340"/>
      </w:r>
      <w:r w:rsidRPr="003124AA">
        <w:rPr>
          <w:rFonts w:ascii="Narkisim" w:hAnsi="Narkisim"/>
          <w:rtl/>
        </w:rPr>
        <w:t xml:space="preserve">. והביא דלפי האמת אינו ביאה פסולה. </w:t>
      </w:r>
      <w:r w:rsidRPr="003124AA">
        <w:rPr>
          <w:rFonts w:ascii="Narkisim" w:hAnsi="Narkisim"/>
          <w:szCs w:val="20"/>
          <w:rtl/>
        </w:rPr>
        <w:t>דלמסקנא חרשת קנויה ומשוירת וקטנה קנויה ואינה קנויה, ואפ"ה לכתחילה אמריק דכונס את החרשת תחילה  ומוציאה בגט</w:t>
      </w:r>
      <w:r w:rsidRPr="003124AA">
        <w:rPr>
          <w:rFonts w:ascii="Narkisim" w:hAnsi="Narkisim"/>
          <w:rtl/>
        </w:rPr>
        <w:t>.</w:t>
      </w:r>
    </w:p>
    <w:p w14:paraId="013B98DE" w14:textId="77777777" w:rsidR="006C4368" w:rsidRPr="003124AA" w:rsidRDefault="006C4368" w:rsidP="006C4368">
      <w:pPr>
        <w:pStyle w:val="a7"/>
        <w:bidi/>
        <w:rPr>
          <w:rFonts w:ascii="Narkisim" w:hAnsi="Narkisim"/>
        </w:rPr>
      </w:pPr>
      <w:r w:rsidRPr="003124AA">
        <w:rPr>
          <w:rFonts w:ascii="Narkisim" w:hAnsi="Narkisim"/>
          <w:rtl/>
        </w:rPr>
        <w:t xml:space="preserve">והאו"ש פי' דקאי משום גזירה שיבא על החרשת ואח"כ על הקטנה, וכה"ג הקטנה הוה ביאה </w:t>
      </w:r>
      <w:r w:rsidRPr="003124AA">
        <w:rPr>
          <w:rFonts w:ascii="Narkisim" w:hAnsi="Narkisim"/>
          <w:rtl/>
        </w:rPr>
        <w:lastRenderedPageBreak/>
        <w:t>פסולה</w:t>
      </w:r>
      <w:r w:rsidRPr="003124AA">
        <w:rPr>
          <w:rStyle w:val="ac"/>
          <w:rFonts w:ascii="Narkisim" w:hAnsi="Narkisim"/>
          <w:rtl/>
        </w:rPr>
        <w:footnoteReference w:id="7341"/>
      </w:r>
      <w:r w:rsidRPr="003124AA">
        <w:rPr>
          <w:rFonts w:ascii="Narkisim" w:hAnsi="Narkisim"/>
          <w:rtl/>
        </w:rPr>
        <w:t>. אך האו"ש הק' דקו' הגמ' לצד דחרשת הוה קנויה ואינה קנויה, א"כ אף אי קדם ובעל חרשת ברישא ממ"נ ביאת הקטנה לא הוה ביאה פסולה. [ויש לדחות דהגמ' נקטה ביאה פסולה משום המסקנא דהוה קנויה ומשויירת].</w:t>
      </w:r>
    </w:p>
    <w:p w14:paraId="6664391D" w14:textId="77777777" w:rsidR="006C4368" w:rsidRPr="003124AA" w:rsidRDefault="006C4368" w:rsidP="006C4368">
      <w:pPr>
        <w:pStyle w:val="a7"/>
        <w:bidi/>
        <w:rPr>
          <w:rFonts w:ascii="Narkisim" w:hAnsi="Narkisim"/>
        </w:rPr>
      </w:pPr>
      <w:r w:rsidRPr="003124AA">
        <w:rPr>
          <w:rFonts w:ascii="Narkisim" w:hAnsi="Narkisim"/>
          <w:rtl/>
        </w:rPr>
        <w:t>והאו"ש הביא דלכאורה מבואר דאף היכא דקנויה ואינה קנויה, ואסורה מחמת הספק, הוה ביאה פסולה [כיון דסוף סוף אסורה עליו].</w:t>
      </w:r>
    </w:p>
    <w:p w14:paraId="2DEFFDC8" w14:textId="77777777" w:rsidR="006C4368" w:rsidRPr="003124AA" w:rsidRDefault="006C4368" w:rsidP="006C4368">
      <w:pPr>
        <w:pStyle w:val="a8"/>
        <w:bidi/>
        <w:rPr>
          <w:rFonts w:ascii="Narkisim" w:hAnsi="Narkisim"/>
        </w:rPr>
      </w:pPr>
      <w:r w:rsidRPr="003124AA">
        <w:rPr>
          <w:rFonts w:ascii="Narkisim" w:hAnsi="Narkisim"/>
          <w:rtl/>
        </w:rPr>
        <w:t>והאו"ש הביא דעד"ז דעת ה</w:t>
      </w:r>
      <w:r w:rsidRPr="003124AA">
        <w:rPr>
          <w:rFonts w:ascii="Narkisim" w:hAnsi="Narkisim"/>
          <w:b/>
          <w:bCs/>
          <w:rtl/>
        </w:rPr>
        <w:t>מהרשד"ם</w:t>
      </w:r>
      <w:r w:rsidRPr="003124AA">
        <w:rPr>
          <w:rFonts w:ascii="Narkisim" w:hAnsi="Narkisim"/>
          <w:rtl/>
        </w:rPr>
        <w:t xml:space="preserve"> (קנח) דבמקום שאינו יכול לייבם מחמת הספק נחשב חליצה פסולה וצריך חיזור. אבל ה</w:t>
      </w:r>
      <w:r w:rsidRPr="003124AA">
        <w:rPr>
          <w:rFonts w:ascii="Narkisim" w:hAnsi="Narkisim"/>
          <w:b/>
          <w:bCs/>
          <w:rtl/>
        </w:rPr>
        <w:t>חכ”צ</w:t>
      </w:r>
      <w:r w:rsidRPr="003124AA">
        <w:rPr>
          <w:rFonts w:ascii="Narkisim" w:hAnsi="Narkisim"/>
          <w:rtl/>
        </w:rPr>
        <w:t xml:space="preserve"> (קח) וה</w:t>
      </w:r>
      <w:r w:rsidRPr="003124AA">
        <w:rPr>
          <w:rFonts w:ascii="Narkisim" w:hAnsi="Narkisim"/>
          <w:b/>
          <w:bCs/>
          <w:rtl/>
        </w:rPr>
        <w:t>בי”ש</w:t>
      </w:r>
      <w:r w:rsidRPr="003124AA">
        <w:rPr>
          <w:rFonts w:ascii="Narkisim" w:hAnsi="Narkisim"/>
          <w:rtl/>
        </w:rPr>
        <w:t xml:space="preserve"> (קנו ג) חלקו דלא נחשב חליצה פסולה מחמת הספק, דעל הצד שאסורה אינה זקוקה לחליצה כלל</w:t>
      </w:r>
      <w:r w:rsidRPr="003124AA">
        <w:rPr>
          <w:rStyle w:val="ac"/>
          <w:rFonts w:ascii="Narkisim" w:hAnsi="Narkisim"/>
          <w:rtl/>
        </w:rPr>
        <w:footnoteReference w:id="7342"/>
      </w:r>
      <w:r w:rsidRPr="003124AA">
        <w:rPr>
          <w:rFonts w:ascii="Narkisim" w:hAnsi="Narkisim"/>
          <w:rtl/>
        </w:rPr>
        <w:t>.</w:t>
      </w:r>
    </w:p>
    <w:p w14:paraId="6AE7A457" w14:textId="77777777" w:rsidR="006C4368" w:rsidRPr="003124AA" w:rsidRDefault="006C4368" w:rsidP="006C4368">
      <w:pPr>
        <w:pStyle w:val="a8"/>
        <w:bidi/>
        <w:rPr>
          <w:rFonts w:ascii="Narkisim" w:hAnsi="Narkisim"/>
        </w:rPr>
      </w:pPr>
      <w:r w:rsidRPr="003124AA">
        <w:rPr>
          <w:rFonts w:ascii="Narkisim" w:hAnsi="Narkisim"/>
          <w:rtl/>
        </w:rPr>
        <w:t>והאו"ש נקט דלמ"ד דהוה חליצה פסולה הוה ג"כ ביאה פסולה. אבל ה</w:t>
      </w:r>
      <w:r w:rsidRPr="003124AA">
        <w:rPr>
          <w:rFonts w:ascii="Narkisim" w:hAnsi="Narkisim"/>
          <w:b/>
          <w:bCs/>
          <w:rtl/>
        </w:rPr>
        <w:t>חזו"א</w:t>
      </w:r>
      <w:r w:rsidRPr="003124AA">
        <w:rPr>
          <w:rFonts w:ascii="Narkisim" w:hAnsi="Narkisim"/>
          <w:rtl/>
        </w:rPr>
        <w:t xml:space="preserve"> (קכז ו) חלק דגדר ביאה פסולה לא תלי בחליצה פסולה, וכדמבואר ב</w:t>
      </w:r>
      <w:r w:rsidRPr="003124AA">
        <w:rPr>
          <w:rFonts w:ascii="Narkisim" w:hAnsi="Narkisim"/>
          <w:b/>
          <w:bCs/>
          <w:rtl/>
        </w:rPr>
        <w:t>תוס</w:t>
      </w:r>
      <w:r w:rsidRPr="003124AA">
        <w:rPr>
          <w:rFonts w:ascii="Narkisim" w:hAnsi="Narkisim"/>
          <w:rtl/>
        </w:rPr>
        <w:t>' (כאן ד”ה הויא) דביאה פסולה הוה גזירה בפנ"ע.</w:t>
      </w:r>
    </w:p>
    <w:p w14:paraId="539890C5" w14:textId="77777777" w:rsidR="006C4368" w:rsidRPr="003124AA" w:rsidRDefault="006C4368" w:rsidP="006C4368">
      <w:pPr>
        <w:pStyle w:val="a7"/>
        <w:bidi/>
        <w:rPr>
          <w:rFonts w:ascii="Narkisim" w:hAnsi="Narkisim"/>
        </w:rPr>
      </w:pPr>
      <w:r w:rsidRPr="003124AA">
        <w:rPr>
          <w:rFonts w:ascii="Narkisim" w:hAnsi="Narkisim"/>
          <w:rtl/>
        </w:rPr>
        <w:t>והאו"ש כת' דכ"ז הוה רק הו"א. אבל אליבא דאמת חרשת שנפלה לפני בעל הקטנה [אחותה], אם בא על החרשת הותרה, וכדאי' בגמ' (לעיל) ברישא דברייתא [לסייע לרב חסדא], דכיון דקטנה קנויה ואינה קנויה אמרי' ממ”נ דקנאה. ולא אמרי' דהוה ביאה פסולה מחמת הספק</w:t>
      </w:r>
      <w:r w:rsidRPr="003124AA">
        <w:rPr>
          <w:rStyle w:val="ac"/>
          <w:rFonts w:ascii="Narkisim" w:hAnsi="Narkisim"/>
          <w:rtl/>
        </w:rPr>
        <w:footnoteReference w:id="7343"/>
      </w:r>
      <w:r w:rsidRPr="003124AA">
        <w:rPr>
          <w:rFonts w:ascii="Narkisim" w:hAnsi="Narkisim"/>
          <w:rtl/>
        </w:rPr>
        <w:t>. והביא דמוכח דלא כמהרשד”ם</w:t>
      </w:r>
      <w:r w:rsidRPr="003124AA">
        <w:rPr>
          <w:rStyle w:val="ac"/>
          <w:rFonts w:ascii="Narkisim" w:hAnsi="Narkisim"/>
          <w:rtl/>
        </w:rPr>
        <w:footnoteReference w:id="7344"/>
      </w:r>
      <w:r w:rsidRPr="003124AA">
        <w:rPr>
          <w:rFonts w:ascii="Narkisim" w:hAnsi="Narkisim"/>
          <w:rtl/>
        </w:rPr>
        <w:t>, אך ס”ד דהגמ' כמהרשד”ם.</w:t>
      </w:r>
    </w:p>
    <w:p w14:paraId="1EF6B673" w14:textId="77777777" w:rsidR="006C4368" w:rsidRPr="003124AA" w:rsidRDefault="006C4368" w:rsidP="006C4368">
      <w:pPr>
        <w:pStyle w:val="3"/>
        <w:bidi/>
        <w:rPr>
          <w:rFonts w:ascii="Narkisim" w:hAnsi="Narkisim"/>
        </w:rPr>
      </w:pPr>
      <w:r w:rsidRPr="003124AA">
        <w:rPr>
          <w:rFonts w:ascii="Narkisim" w:hAnsi="Narkisim"/>
          <w:rtl/>
        </w:rPr>
        <w:t>דף קיא:</w:t>
      </w:r>
    </w:p>
    <w:p w14:paraId="79C22E4B" w14:textId="77777777" w:rsidR="006C4368" w:rsidRPr="003124AA" w:rsidRDefault="006C4368" w:rsidP="006C4368">
      <w:pPr>
        <w:bidi/>
        <w:rPr>
          <w:rFonts w:ascii="Narkisim" w:hAnsi="Narkisim" w:cs="Narkisim"/>
        </w:rPr>
      </w:pPr>
      <w:r w:rsidRPr="003124AA">
        <w:rPr>
          <w:rFonts w:ascii="Narkisim" w:hAnsi="Narkisim" w:cs="Narkisim"/>
          <w:u w:val="single"/>
          <w:rtl/>
        </w:rPr>
        <w:t>קטנה וחרשת בא יבם על הקטנה וחזר ובא וכו' פסל את הקטנה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(כאן, ובע"א ד"ה חרשת במאי) משום גזירה דלמא קדים ובעיל חרשת ברישא [וכדאי' בגמ' (בע”א) לפרש את הברייתא]. ומדינא בקטנה אמרי' ממ"נ, דאי קנויה היא הוה קנין גמור והחרשת אינה פוסלת. ואי לאו קנויה היא הוה נכרית בעלמא.</w:t>
      </w:r>
    </w:p>
    <w:p w14:paraId="2976EF41" w14:textId="77777777" w:rsidR="006C4368" w:rsidRPr="003124AA" w:rsidRDefault="006C4368" w:rsidP="006C4368">
      <w:pPr>
        <w:pStyle w:val="a7"/>
        <w:bidi/>
        <w:rPr>
          <w:rFonts w:ascii="Narkisim" w:hAnsi="Narkisim"/>
        </w:rPr>
      </w:pPr>
      <w:r w:rsidRPr="003124AA">
        <w:rPr>
          <w:rFonts w:ascii="Narkisim" w:hAnsi="Narkisim"/>
          <w:rtl/>
        </w:rPr>
        <w:t>אבל הגירסא ב</w:t>
      </w:r>
      <w:r w:rsidRPr="003124AA">
        <w:rPr>
          <w:rFonts w:ascii="Narkisim" w:hAnsi="Narkisim"/>
          <w:b/>
          <w:bCs/>
          <w:rtl/>
        </w:rPr>
        <w:t>משניות</w:t>
      </w:r>
      <w:r w:rsidRPr="003124AA">
        <w:rPr>
          <w:rFonts w:ascii="Narkisim" w:hAnsi="Narkisim"/>
          <w:rtl/>
        </w:rPr>
        <w:t xml:space="preserve"> 'לא פסל', וה</w:t>
      </w:r>
      <w:r w:rsidRPr="003124AA">
        <w:rPr>
          <w:rFonts w:ascii="Narkisim" w:hAnsi="Narkisim"/>
          <w:b/>
          <w:bCs/>
          <w:rtl/>
        </w:rPr>
        <w:t>ראשונים</w:t>
      </w:r>
      <w:r w:rsidRPr="003124AA">
        <w:rPr>
          <w:rFonts w:ascii="Narkisim" w:hAnsi="Narkisim"/>
          <w:rtl/>
        </w:rPr>
        <w:t xml:space="preserve"> הביאו דכ"ג ה</w:t>
      </w:r>
      <w:r w:rsidRPr="003124AA">
        <w:rPr>
          <w:rFonts w:ascii="Narkisim" w:hAnsi="Narkisim"/>
          <w:b/>
          <w:bCs/>
          <w:rtl/>
        </w:rPr>
        <w:t>רי"ף</w:t>
      </w:r>
      <w:r w:rsidRPr="003124AA">
        <w:rPr>
          <w:rStyle w:val="ac"/>
          <w:rFonts w:ascii="Narkisim" w:hAnsi="Narkisim"/>
          <w:rtl/>
        </w:rPr>
        <w:footnoteReference w:id="7345"/>
      </w:r>
      <w:r w:rsidRPr="003124AA">
        <w:rPr>
          <w:rFonts w:ascii="Narkisim" w:hAnsi="Narkisim"/>
          <w:rtl/>
        </w:rPr>
        <w:t>. וכ"פ ה</w:t>
      </w:r>
      <w:r w:rsidRPr="003124AA">
        <w:rPr>
          <w:rFonts w:ascii="Narkisim" w:hAnsi="Narkisim"/>
          <w:b/>
          <w:bCs/>
          <w:rtl/>
        </w:rPr>
        <w:t>רמב"ם</w:t>
      </w:r>
      <w:r w:rsidRPr="003124AA">
        <w:rPr>
          <w:rFonts w:ascii="Narkisim" w:hAnsi="Narkisim"/>
          <w:rtl/>
        </w:rPr>
        <w:t xml:space="preserve"> (ה כז) לא פסל את הקטנה</w:t>
      </w:r>
      <w:r w:rsidRPr="003124AA">
        <w:rPr>
          <w:rStyle w:val="ac"/>
          <w:rFonts w:ascii="Narkisim" w:hAnsi="Narkisim"/>
          <w:rtl/>
        </w:rPr>
        <w:footnoteReference w:id="7346"/>
      </w:r>
      <w:r w:rsidRPr="003124AA">
        <w:rPr>
          <w:rFonts w:ascii="Narkisim" w:hAnsi="Narkisim"/>
          <w:rtl/>
        </w:rPr>
        <w:t xml:space="preserve"> והחרשת צריכה גט. וביאר שביאת הקטנה מעולה מביאת החרשת, שהקטנה ראויה לאחר זמן</w:t>
      </w:r>
      <w:r w:rsidRPr="003124AA">
        <w:rPr>
          <w:rStyle w:val="ac"/>
          <w:rFonts w:ascii="Narkisim" w:hAnsi="Narkisim"/>
          <w:rtl/>
        </w:rPr>
        <w:footnoteReference w:id="7347"/>
      </w:r>
      <w:r w:rsidRPr="003124AA">
        <w:rPr>
          <w:rFonts w:ascii="Narkisim" w:hAnsi="Narkisim"/>
          <w:rtl/>
        </w:rPr>
        <w:t>. לפיכך יקיים הקטנה שנבעלה תחלה. ו</w:t>
      </w:r>
      <w:r w:rsidRPr="003124AA">
        <w:rPr>
          <w:rFonts w:ascii="Narkisim" w:hAnsi="Narkisim"/>
          <w:b/>
          <w:bCs/>
          <w:rtl/>
        </w:rPr>
        <w:t>ה"ה</w:t>
      </w:r>
      <w:r w:rsidRPr="003124AA">
        <w:rPr>
          <w:rFonts w:ascii="Narkisim" w:hAnsi="Narkisim"/>
          <w:rtl/>
        </w:rPr>
        <w:t xml:space="preserve"> כת' דלגירסת הרמב"ם הברייתא פליגא אמתני', והלכה כסתם משנה.</w:t>
      </w:r>
    </w:p>
    <w:p w14:paraId="52C55BC4"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לח"מ</w:t>
      </w:r>
      <w:r w:rsidRPr="003124AA">
        <w:rPr>
          <w:rFonts w:ascii="Narkisim" w:hAnsi="Narkisim" w:cs="Narkisim"/>
          <w:rtl/>
        </w:rPr>
        <w:t xml:space="preserve"> הק' דרב חסדא (סוף קי:) נסתפק בזה קטנה וחרשת איזה קנויה ואינה קנויה ואיזה משויירת, והו"ל להביא משנה מפורשת דבא על הקטנה פסל את החרשת, ובא על החרשת לא פסל את הקטנה. וכן תמה המאירי (קי.)</w:t>
      </w:r>
      <w:r w:rsidRPr="003124AA">
        <w:rPr>
          <w:rStyle w:val="ac"/>
          <w:rFonts w:ascii="Narkisim" w:hAnsi="Narkisim" w:cs="Narkisim"/>
          <w:rtl/>
        </w:rPr>
        <w:footnoteReference w:id="7348"/>
      </w:r>
      <w:r w:rsidRPr="003124AA">
        <w:rPr>
          <w:rFonts w:ascii="Narkisim" w:hAnsi="Narkisim" w:cs="Narkisim"/>
          <w:rtl/>
        </w:rPr>
        <w:t>.</w:t>
      </w:r>
    </w:p>
    <w:p w14:paraId="785E4F28"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לח"מ</w:t>
      </w:r>
      <w:r w:rsidRPr="003124AA">
        <w:rPr>
          <w:rFonts w:ascii="Narkisim" w:hAnsi="Narkisim"/>
          <w:rtl/>
        </w:rPr>
        <w:t xml:space="preserve"> כת' דנ"ל על צד הדוחק גדול דרב חסדא נסתפק בגירסא במשנה, שהיה יודע דבמתניתין בחד גרסינן פסל וחד לא פסל, והיה מסופק אי גרסינן בקמייתא לא פסל ובבתרייתא פסל או איפכא. לכך אמר דשמעינן מדרב דבקמייתא גרסינן לא פסל ובבתרייתא פסל.</w:t>
      </w:r>
    </w:p>
    <w:p w14:paraId="550FB362" w14:textId="77777777" w:rsidR="006C4368" w:rsidRPr="003124AA" w:rsidRDefault="006C4368" w:rsidP="006C4368">
      <w:pPr>
        <w:bidi/>
        <w:rPr>
          <w:rFonts w:ascii="Narkisim" w:hAnsi="Narkisim" w:cs="Narkisim"/>
        </w:rPr>
      </w:pPr>
      <w:r w:rsidRPr="003124AA">
        <w:rPr>
          <w:rFonts w:ascii="Narkisim" w:hAnsi="Narkisim" w:cs="Narkisim"/>
          <w:u w:val="single"/>
          <w:rtl/>
        </w:rPr>
        <w:t>בא יבם על החרשת, וחזר ובא על הקטנה וכו' פסל את החרשת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דקנין החרשת משויירת, והקטנה הוה ספק קנויה כולה]. וה</w:t>
      </w:r>
      <w:r w:rsidRPr="003124AA">
        <w:rPr>
          <w:rFonts w:ascii="Narkisim" w:hAnsi="Narkisim" w:cs="Narkisim"/>
          <w:b/>
          <w:bCs/>
          <w:rtl/>
        </w:rPr>
        <w:t>ירושלמי</w:t>
      </w:r>
      <w:r w:rsidRPr="003124AA">
        <w:rPr>
          <w:rFonts w:ascii="Narkisim" w:hAnsi="Narkisim" w:cs="Narkisim"/>
          <w:rtl/>
        </w:rPr>
        <w:t xml:space="preserve"> (הו' בבעה"מ וראשונים) מקשה דאפי' </w:t>
      </w:r>
      <w:r w:rsidRPr="003124AA">
        <w:rPr>
          <w:rFonts w:ascii="Narkisim" w:hAnsi="Narkisim" w:cs="Narkisim"/>
          <w:rtl/>
        </w:rPr>
        <w:lastRenderedPageBreak/>
        <w:t>לא בא על הקטנה החרשת פסולה. וכדאי' (לעיל קי:) דכונס את החרשת ומוציאה בגט</w:t>
      </w:r>
      <w:r w:rsidRPr="003124AA">
        <w:rPr>
          <w:rStyle w:val="ac"/>
          <w:rFonts w:ascii="Narkisim" w:hAnsi="Narkisim" w:cs="Narkisim"/>
          <w:rtl/>
        </w:rPr>
        <w:footnoteReference w:id="7349"/>
      </w:r>
      <w:r w:rsidRPr="003124AA">
        <w:rPr>
          <w:rFonts w:ascii="Narkisim" w:hAnsi="Narkisim" w:cs="Narkisim"/>
          <w:rtl/>
        </w:rPr>
        <w:t>. והירושלמי תי' דאילו לא בא על הקטנה ומתה היה מותר בחרשת ועכשיו פסלה לעולם. ועד"ז הירושלמי מק' בקטנה וגדולה (בסיפא), ותי' עד"ז.</w:t>
      </w:r>
    </w:p>
    <w:p w14:paraId="56618833" w14:textId="77777777" w:rsidR="006C4368" w:rsidRPr="003124AA" w:rsidRDefault="006C4368" w:rsidP="006C4368">
      <w:pPr>
        <w:bidi/>
        <w:rPr>
          <w:rFonts w:ascii="Narkisim" w:hAnsi="Narkisim" w:cs="Narkisim"/>
        </w:rPr>
      </w:pPr>
      <w:r w:rsidRPr="003124AA">
        <w:rPr>
          <w:rFonts w:ascii="Narkisim" w:hAnsi="Narkisim" w:cs="Narkisim"/>
          <w:u w:val="single"/>
          <w:rtl/>
        </w:rPr>
        <w:t>שם. פסל את החרשת</w:t>
      </w:r>
      <w:r w:rsidRPr="003124AA">
        <w:rPr>
          <w:rFonts w:ascii="Narkisim" w:hAnsi="Narkisim" w:cs="Narkisim"/>
          <w:rtl/>
        </w:rPr>
        <w:t>. וה</w:t>
      </w:r>
      <w:r w:rsidRPr="003124AA">
        <w:rPr>
          <w:rFonts w:ascii="Narkisim" w:hAnsi="Narkisim" w:cs="Narkisim"/>
          <w:b/>
          <w:bCs/>
          <w:rtl/>
        </w:rPr>
        <w:t>רמב"ם</w:t>
      </w:r>
      <w:r w:rsidRPr="003124AA">
        <w:rPr>
          <w:rFonts w:ascii="Narkisim" w:hAnsi="Narkisim" w:cs="Narkisim"/>
          <w:rtl/>
        </w:rPr>
        <w:t xml:space="preserve"> (ה כח) כת' ומלמדים את הקטנה שתמאן, והחרשת יוצאת בגט. וכ”ד ה</w:t>
      </w:r>
      <w:r w:rsidRPr="003124AA">
        <w:rPr>
          <w:rFonts w:ascii="Narkisim" w:hAnsi="Narkisim" w:cs="Narkisim"/>
          <w:b/>
          <w:bCs/>
          <w:rtl/>
        </w:rPr>
        <w:t>רי”ף</w:t>
      </w:r>
      <w:r w:rsidRPr="003124AA">
        <w:rPr>
          <w:rFonts w:ascii="Narkisim" w:hAnsi="Narkisim" w:cs="Narkisim"/>
          <w:rtl/>
        </w:rPr>
        <w:t xml:space="preserve"> דמלמדים את הקטנה שתמאן [ויתבאר בסמוך]. אלא ש</w:t>
      </w:r>
      <w:r w:rsidRPr="003124AA">
        <w:rPr>
          <w:rFonts w:ascii="Narkisim" w:hAnsi="Narkisim" w:cs="Narkisim"/>
          <w:b/>
          <w:bCs/>
          <w:rtl/>
        </w:rPr>
        <w:t>הרמב"ן</w:t>
      </w:r>
      <w:r w:rsidRPr="003124AA">
        <w:rPr>
          <w:rFonts w:ascii="Narkisim" w:hAnsi="Narkisim" w:cs="Narkisim"/>
          <w:rtl/>
        </w:rPr>
        <w:t xml:space="preserve"> (ס' הזכות) ביאר דמהני מיאון להתיר את החרשת. ובחי' ה</w:t>
      </w:r>
      <w:r w:rsidRPr="003124AA">
        <w:rPr>
          <w:rFonts w:ascii="Narkisim" w:hAnsi="Narkisim" w:cs="Narkisim"/>
          <w:b/>
          <w:bCs/>
          <w:rtl/>
        </w:rPr>
        <w:t>רמב"ן</w:t>
      </w:r>
      <w:r w:rsidRPr="003124AA">
        <w:rPr>
          <w:rFonts w:ascii="Narkisim" w:hAnsi="Narkisim" w:cs="Narkisim"/>
          <w:rtl/>
        </w:rPr>
        <w:t xml:space="preserve"> תמה על ה</w:t>
      </w:r>
      <w:r w:rsidRPr="003124AA">
        <w:rPr>
          <w:rFonts w:ascii="Narkisim" w:hAnsi="Narkisim" w:cs="Narkisim"/>
          <w:b/>
          <w:bCs/>
          <w:rtl/>
        </w:rPr>
        <w:t>רמב"ם</w:t>
      </w:r>
      <w:r w:rsidRPr="003124AA">
        <w:rPr>
          <w:rFonts w:ascii="Narkisim" w:hAnsi="Narkisim" w:cs="Narkisim"/>
          <w:rtl/>
        </w:rPr>
        <w:t xml:space="preserve"> למה מוציא, דהא מיאנה בביאה ובזיקה. [וצ"ב אמאי לא הותרה לחרשת ע"י מיאון הקטנה]</w:t>
      </w:r>
      <w:r w:rsidRPr="003124AA">
        <w:rPr>
          <w:rStyle w:val="ac"/>
          <w:rFonts w:ascii="Narkisim" w:hAnsi="Narkisim" w:cs="Narkisim"/>
          <w:rtl/>
        </w:rPr>
        <w:footnoteReference w:id="7350"/>
      </w:r>
      <w:r w:rsidRPr="003124AA">
        <w:rPr>
          <w:rFonts w:ascii="Narkisim" w:hAnsi="Narkisim" w:cs="Narkisim"/>
          <w:rtl/>
        </w:rPr>
        <w:t>. וכיון שכנס את החרשת ראשונה אמאי אסורה עליו</w:t>
      </w:r>
      <w:r w:rsidRPr="003124AA">
        <w:rPr>
          <w:rStyle w:val="ac"/>
          <w:rFonts w:ascii="Narkisim" w:hAnsi="Narkisim" w:cs="Narkisim"/>
          <w:rtl/>
        </w:rPr>
        <w:footnoteReference w:id="7351"/>
      </w:r>
      <w:r w:rsidRPr="003124AA">
        <w:rPr>
          <w:rFonts w:ascii="Narkisim" w:hAnsi="Narkisim" w:cs="Narkisim"/>
          <w:rtl/>
        </w:rPr>
        <w:t>.</w:t>
      </w:r>
    </w:p>
    <w:p w14:paraId="76B2DEF2" w14:textId="77777777" w:rsidR="006C4368" w:rsidRPr="003124AA" w:rsidRDefault="006C4368" w:rsidP="006C4368">
      <w:pPr>
        <w:pStyle w:val="a7"/>
        <w:bidi/>
        <w:rPr>
          <w:rFonts w:ascii="Narkisim" w:hAnsi="Narkisim"/>
        </w:rPr>
      </w:pPr>
      <w:r w:rsidRPr="003124AA">
        <w:rPr>
          <w:rFonts w:ascii="Narkisim" w:hAnsi="Narkisim"/>
          <w:rtl/>
        </w:rPr>
        <w:t>ולכאורה הרמב"ם נקט דמשום גזירה פסל את החרשת, ואין תקנה לפסול זה</w:t>
      </w:r>
      <w:r w:rsidRPr="003124AA">
        <w:rPr>
          <w:rStyle w:val="ac"/>
          <w:rFonts w:ascii="Narkisim" w:hAnsi="Narkisim"/>
          <w:rtl/>
        </w:rPr>
        <w:footnoteReference w:id="7352"/>
      </w:r>
      <w:r w:rsidRPr="003124AA">
        <w:rPr>
          <w:rFonts w:ascii="Narkisim" w:hAnsi="Narkisim"/>
          <w:rtl/>
        </w:rPr>
        <w:t>. וה</w:t>
      </w:r>
      <w:r w:rsidRPr="003124AA">
        <w:rPr>
          <w:rFonts w:ascii="Narkisim" w:hAnsi="Narkisim"/>
          <w:b/>
          <w:bCs/>
          <w:rtl/>
        </w:rPr>
        <w:t>יש”ש</w:t>
      </w:r>
      <w:r w:rsidRPr="003124AA">
        <w:rPr>
          <w:rFonts w:ascii="Narkisim" w:hAnsi="Narkisim"/>
          <w:rtl/>
        </w:rPr>
        <w:t xml:space="preserve"> ביאר דאם יקיים את החרשת נחשב שבונה ב' בתים. וה</w:t>
      </w:r>
      <w:r w:rsidRPr="003124AA">
        <w:rPr>
          <w:rFonts w:ascii="Narkisim" w:hAnsi="Narkisim"/>
          <w:b/>
          <w:bCs/>
          <w:rtl/>
        </w:rPr>
        <w:t>אחרונים</w:t>
      </w:r>
      <w:r w:rsidRPr="003124AA">
        <w:rPr>
          <w:rFonts w:ascii="Narkisim" w:hAnsi="Narkisim"/>
          <w:rtl/>
        </w:rPr>
        <w:t xml:space="preserve"> הק' דגבי בא על הקטנה ואח"כ על הגדולה וכן בב' קטנות</w:t>
      </w:r>
      <w:r w:rsidRPr="003124AA">
        <w:rPr>
          <w:rStyle w:val="ac"/>
          <w:rFonts w:ascii="Narkisim" w:hAnsi="Narkisim"/>
          <w:rtl/>
        </w:rPr>
        <w:footnoteReference w:id="7353"/>
      </w:r>
      <w:r w:rsidRPr="003124AA">
        <w:rPr>
          <w:rFonts w:ascii="Narkisim" w:hAnsi="Narkisim"/>
          <w:rtl/>
        </w:rPr>
        <w:t xml:space="preserve"> מבואר (במשנה, וברמב”ם הלכה כו ול) דע”י מיאון מקיים את זו, ולא אמרי' דכבר נאסרת עליו</w:t>
      </w:r>
      <w:r w:rsidRPr="003124AA">
        <w:rPr>
          <w:rStyle w:val="ac"/>
          <w:rFonts w:ascii="Narkisim" w:hAnsi="Narkisim"/>
          <w:rtl/>
        </w:rPr>
        <w:footnoteReference w:id="7354"/>
      </w:r>
      <w:r w:rsidRPr="003124AA">
        <w:rPr>
          <w:rFonts w:ascii="Narkisim" w:hAnsi="Narkisim"/>
          <w:rtl/>
        </w:rPr>
        <w:t>.</w:t>
      </w:r>
    </w:p>
    <w:p w14:paraId="471FE2A0" w14:textId="77777777" w:rsidR="006C4368" w:rsidRPr="003124AA" w:rsidRDefault="006C4368" w:rsidP="006C4368">
      <w:pPr>
        <w:bidi/>
        <w:rPr>
          <w:rFonts w:ascii="Narkisim" w:hAnsi="Narkisim" w:cs="Narkisim"/>
        </w:rPr>
      </w:pPr>
      <w:r w:rsidRPr="003124AA">
        <w:rPr>
          <w:rFonts w:ascii="Narkisim" w:hAnsi="Narkisim" w:cs="Narkisim"/>
          <w:rtl/>
        </w:rPr>
        <w:t>ועוה”ק ה</w:t>
      </w:r>
      <w:r w:rsidRPr="003124AA">
        <w:rPr>
          <w:rFonts w:ascii="Narkisim" w:hAnsi="Narkisim" w:cs="Narkisim"/>
          <w:b/>
          <w:bCs/>
          <w:rtl/>
        </w:rPr>
        <w:t>לח"מ</w:t>
      </w:r>
      <w:r w:rsidRPr="003124AA">
        <w:rPr>
          <w:rFonts w:ascii="Narkisim" w:hAnsi="Narkisim" w:cs="Narkisim"/>
          <w:rtl/>
        </w:rPr>
        <w:t xml:space="preserve"> א"כ אמאי מלמדים את הקטנה למאן, דהא מ"מ לא מהני מידי לחרשת</w:t>
      </w:r>
      <w:r w:rsidRPr="003124AA">
        <w:rPr>
          <w:rStyle w:val="ac"/>
          <w:rFonts w:ascii="Narkisim" w:hAnsi="Narkisim" w:cs="Narkisim"/>
          <w:rtl/>
        </w:rPr>
        <w:footnoteReference w:id="7355"/>
      </w:r>
      <w:r w:rsidRPr="003124AA">
        <w:rPr>
          <w:rFonts w:ascii="Narkisim" w:hAnsi="Narkisim" w:cs="Narkisim"/>
          <w:rtl/>
        </w:rPr>
        <w:t>. וה</w:t>
      </w:r>
      <w:r w:rsidRPr="003124AA">
        <w:rPr>
          <w:rFonts w:ascii="Narkisim" w:hAnsi="Narkisim" w:cs="Narkisim"/>
          <w:b/>
          <w:bCs/>
          <w:rtl/>
        </w:rPr>
        <w:t>פרישה</w:t>
      </w:r>
      <w:r w:rsidRPr="003124AA">
        <w:rPr>
          <w:rFonts w:ascii="Narkisim" w:hAnsi="Narkisim" w:cs="Narkisim"/>
          <w:rtl/>
        </w:rPr>
        <w:t xml:space="preserve"> (קעא כז) תי' דמלמדין למאן כדי שלא לפסלה לכהונה. וה</w:t>
      </w:r>
      <w:r w:rsidRPr="003124AA">
        <w:rPr>
          <w:rFonts w:ascii="Narkisim" w:hAnsi="Narkisim" w:cs="Narkisim"/>
          <w:b/>
          <w:bCs/>
          <w:rtl/>
        </w:rPr>
        <w:t>גר"א</w:t>
      </w:r>
      <w:r w:rsidRPr="003124AA">
        <w:rPr>
          <w:rFonts w:ascii="Narkisim" w:hAnsi="Narkisim" w:cs="Narkisim"/>
          <w:rtl/>
        </w:rPr>
        <w:t xml:space="preserve"> (קעא ח) דחה דאין אנו אחראין לזה שלא תפסל לכהונה, והא דמלמדים שייך דוקא להתיר את השניה.</w:t>
      </w:r>
    </w:p>
    <w:p w14:paraId="2D45DF94" w14:textId="77777777" w:rsidR="006C4368" w:rsidRPr="003124AA" w:rsidRDefault="006C4368" w:rsidP="006C4368">
      <w:pPr>
        <w:pStyle w:val="aa"/>
        <w:bidi/>
        <w:rPr>
          <w:rFonts w:ascii="Narkisim" w:hAnsi="Narkisim"/>
        </w:rPr>
      </w:pPr>
      <w:r w:rsidRPr="003124AA">
        <w:rPr>
          <w:rFonts w:ascii="Narkisim" w:hAnsi="Narkisim"/>
          <w:u w:val="single"/>
          <w:rtl/>
        </w:rPr>
        <w:t>בא יבם על הפקחת, וחזר ובא על החרשת וכו' לא פסל וכו</w:t>
      </w:r>
      <w:r w:rsidRPr="003124AA">
        <w:rPr>
          <w:rFonts w:ascii="Narkisim" w:hAnsi="Narkisim"/>
          <w:rtl/>
        </w:rPr>
        <w:t>'. ה</w:t>
      </w:r>
      <w:r w:rsidRPr="003124AA">
        <w:rPr>
          <w:rFonts w:ascii="Narkisim" w:hAnsi="Narkisim"/>
          <w:b/>
          <w:bCs/>
          <w:rtl/>
        </w:rPr>
        <w:t>רמב"ם</w:t>
      </w:r>
      <w:r w:rsidRPr="003124AA">
        <w:rPr>
          <w:rFonts w:ascii="Narkisim" w:hAnsi="Narkisim"/>
          <w:rtl/>
        </w:rPr>
        <w:t xml:space="preserve"> (ה כט) כת' דמ"מ החרשת צריכה גט. ו</w:t>
      </w:r>
      <w:r w:rsidRPr="003124AA">
        <w:rPr>
          <w:rFonts w:ascii="Narkisim" w:hAnsi="Narkisim"/>
          <w:b/>
          <w:bCs/>
          <w:rtl/>
        </w:rPr>
        <w:t>ה"ה</w:t>
      </w:r>
      <w:r w:rsidRPr="003124AA">
        <w:rPr>
          <w:rFonts w:ascii="Narkisim" w:hAnsi="Narkisim"/>
          <w:rtl/>
        </w:rPr>
        <w:t xml:space="preserve"> ביאר דדעת ה</w:t>
      </w:r>
      <w:r w:rsidRPr="003124AA">
        <w:rPr>
          <w:rFonts w:ascii="Narkisim" w:hAnsi="Narkisim"/>
          <w:b/>
          <w:bCs/>
          <w:rtl/>
        </w:rPr>
        <w:t>רמב"ם</w:t>
      </w:r>
      <w:r w:rsidRPr="003124AA">
        <w:rPr>
          <w:rFonts w:ascii="Narkisim" w:hAnsi="Narkisim"/>
          <w:rtl/>
        </w:rPr>
        <w:t xml:space="preserve"> (שם יג) דכל יבמה שנבעלה ליבם אפי' ביאה פסולה צריכה גט, דנעשית אשת איש בביאתו</w:t>
      </w:r>
      <w:r w:rsidRPr="003124AA">
        <w:rPr>
          <w:rStyle w:val="ac"/>
          <w:rFonts w:ascii="Narkisim" w:hAnsi="Narkisim"/>
          <w:rtl/>
        </w:rPr>
        <w:footnoteReference w:id="7356"/>
      </w:r>
      <w:r w:rsidRPr="003124AA">
        <w:rPr>
          <w:rFonts w:ascii="Narkisim" w:hAnsi="Narkisim"/>
          <w:rtl/>
        </w:rPr>
        <w:t>. וקידושין תופסים בחייבי לאוין. [וע"ע תוס' לעיל נ.].</w:t>
      </w:r>
    </w:p>
    <w:p w14:paraId="6C9F073B" w14:textId="77777777" w:rsidR="006C4368" w:rsidRPr="003124AA" w:rsidRDefault="006C4368" w:rsidP="006C4368">
      <w:pPr>
        <w:bidi/>
        <w:rPr>
          <w:rFonts w:ascii="Narkisim" w:hAnsi="Narkisim" w:cs="Narkisim"/>
        </w:rPr>
      </w:pPr>
      <w:r w:rsidRPr="003124AA">
        <w:rPr>
          <w:rFonts w:ascii="Narkisim" w:hAnsi="Narkisim" w:cs="Narkisim"/>
          <w:u w:val="single"/>
          <w:rtl/>
        </w:rPr>
        <w:t>בא יבם על הקטנה וחזר ובא על הגדולה וכו' ר' אלעזר אומר מלמדין הקטנה שתמאן בו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ותעקור נישואיה ויקיים את הגדולה.</w:t>
      </w:r>
    </w:p>
    <w:p w14:paraId="2BE553CD" w14:textId="77777777" w:rsidR="006C4368" w:rsidRPr="003124AA" w:rsidRDefault="006C4368" w:rsidP="006C4368">
      <w:pPr>
        <w:pStyle w:val="a8"/>
        <w:bidi/>
        <w:rPr>
          <w:rFonts w:ascii="Narkisim" w:hAnsi="Narkisim"/>
        </w:rPr>
      </w:pPr>
      <w:r w:rsidRPr="003124AA">
        <w:rPr>
          <w:rFonts w:ascii="Narkisim" w:hAnsi="Narkisim"/>
          <w:rtl/>
        </w:rPr>
        <w:t>ו</w:t>
      </w:r>
      <w:r w:rsidRPr="003124AA">
        <w:rPr>
          <w:rFonts w:ascii="Narkisim" w:hAnsi="Narkisim"/>
          <w:b/>
          <w:bCs/>
          <w:rtl/>
        </w:rPr>
        <w:t>רש"י</w:t>
      </w:r>
      <w:r w:rsidRPr="003124AA">
        <w:rPr>
          <w:rFonts w:ascii="Narkisim" w:hAnsi="Narkisim"/>
          <w:rtl/>
        </w:rPr>
        <w:t xml:space="preserve"> כת' דהכא גרסי' ר' אלעזר [בבא על ב' הצרות], ואילו (לעיל קט.) ר' אליעזר אמר מלמדים את הקטנה שתמאן [כדי לקיים מצוות יבום באחותה הגדולה]. וכדאי' בגמ' (נדה ח.) דקאי ר' אלעזר</w:t>
      </w:r>
      <w:r w:rsidRPr="003124AA">
        <w:rPr>
          <w:rStyle w:val="ac"/>
          <w:rFonts w:ascii="Narkisim" w:hAnsi="Narkisim"/>
          <w:rtl/>
        </w:rPr>
        <w:footnoteReference w:id="7357"/>
      </w:r>
      <w:r w:rsidRPr="003124AA">
        <w:rPr>
          <w:rFonts w:ascii="Narkisim" w:hAnsi="Narkisim"/>
          <w:rtl/>
        </w:rPr>
        <w:t xml:space="preserve"> כוותיה דר' אליעזר</w:t>
      </w:r>
      <w:r w:rsidRPr="003124AA">
        <w:rPr>
          <w:rStyle w:val="ac"/>
          <w:rFonts w:ascii="Narkisim" w:hAnsi="Narkisim"/>
          <w:rtl/>
        </w:rPr>
        <w:footnoteReference w:id="7358"/>
      </w:r>
      <w:r w:rsidRPr="003124AA">
        <w:rPr>
          <w:rFonts w:ascii="Narkisim" w:hAnsi="Narkisim"/>
          <w:rtl/>
        </w:rPr>
        <w:t>, אלא דאיצטריך להו [בצריכותא דהגמ' בסמוך</w:t>
      </w:r>
      <w:r w:rsidRPr="003124AA">
        <w:rPr>
          <w:rStyle w:val="ac"/>
          <w:rFonts w:ascii="Narkisim" w:hAnsi="Narkisim"/>
          <w:rtl/>
        </w:rPr>
        <w:footnoteReference w:id="7359"/>
      </w:r>
      <w:r w:rsidRPr="003124AA">
        <w:rPr>
          <w:rFonts w:ascii="Narkisim" w:hAnsi="Narkisim"/>
          <w:rtl/>
        </w:rPr>
        <w:t>].</w:t>
      </w:r>
    </w:p>
    <w:p w14:paraId="17CCB292"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רשב"א</w:t>
      </w:r>
      <w:r w:rsidRPr="003124AA">
        <w:rPr>
          <w:rFonts w:ascii="Narkisim" w:hAnsi="Narkisim" w:cs="Narkisim"/>
          <w:rtl/>
        </w:rPr>
        <w:t xml:space="preserve"> ו</w:t>
      </w:r>
      <w:r w:rsidRPr="003124AA">
        <w:rPr>
          <w:rFonts w:ascii="Narkisim" w:hAnsi="Narkisim" w:cs="Narkisim"/>
          <w:b/>
          <w:bCs/>
          <w:rtl/>
        </w:rPr>
        <w:t>ריטב"א</w:t>
      </w:r>
      <w:r w:rsidRPr="003124AA">
        <w:rPr>
          <w:rFonts w:ascii="Narkisim" w:hAnsi="Narkisim" w:cs="Narkisim"/>
          <w:rtl/>
        </w:rPr>
        <w:t xml:space="preserve"> (וכ"מ הרמב"ן) פי' דלדעת עולא (לעיל קז:) מהני מיאון בזיקתה, ועי"ז תצא בלא חליצה</w:t>
      </w:r>
      <w:r w:rsidRPr="003124AA">
        <w:rPr>
          <w:rStyle w:val="ac"/>
          <w:rFonts w:ascii="Narkisim" w:hAnsi="Narkisim" w:cs="Narkisim"/>
          <w:rtl/>
        </w:rPr>
        <w:footnoteReference w:id="7360"/>
      </w:r>
      <w:r w:rsidRPr="003124AA">
        <w:rPr>
          <w:rFonts w:ascii="Narkisim" w:hAnsi="Narkisim" w:cs="Narkisim"/>
          <w:rtl/>
        </w:rPr>
        <w:t xml:space="preserve">. והשניה עומדת אצלו. אבל לר' אושעיא (קז.) אינה ממאנת לזיקתו, א"כ </w:t>
      </w:r>
      <w:r w:rsidRPr="003124AA">
        <w:rPr>
          <w:rFonts w:ascii="Narkisim" w:hAnsi="Narkisim" w:cs="Narkisim"/>
          <w:rtl/>
        </w:rPr>
        <w:lastRenderedPageBreak/>
        <w:t>אף שתמאן אכתי הקטנה צריכה חליצה.</w:t>
      </w:r>
    </w:p>
    <w:p w14:paraId="22EB4F60"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(הו' לעיל קז:) הביאו דמבואר דפשיט"ל דאף לאחר שנתייבמה, היכא דממאנת לביאתו חוזרת להזקק לחליצה. ואילו מדברי ה</w:t>
      </w:r>
      <w:r w:rsidRPr="003124AA">
        <w:rPr>
          <w:rFonts w:ascii="Narkisim" w:hAnsi="Narkisim"/>
          <w:b/>
          <w:bCs/>
          <w:rtl/>
        </w:rPr>
        <w:t>תוס'</w:t>
      </w:r>
      <w:r w:rsidRPr="003124AA">
        <w:rPr>
          <w:rFonts w:ascii="Narkisim" w:hAnsi="Narkisim"/>
          <w:rtl/>
        </w:rPr>
        <w:t xml:space="preserve"> (לעיל יג. בסוה"ע) מבואר דלאחר שנתייבמה מהני המיאון לעקור, ומותרת לשוק. ועפ”ז אף בסוגיין ע”י המיאון מותרת לשוק.</w:t>
      </w:r>
    </w:p>
    <w:p w14:paraId="3850E287" w14:textId="77777777" w:rsidR="006C4368" w:rsidRPr="003124AA" w:rsidRDefault="006C4368" w:rsidP="006C4368">
      <w:pPr>
        <w:pStyle w:val="a7"/>
        <w:bidi/>
        <w:rPr>
          <w:rFonts w:ascii="Narkisim" w:hAnsi="Narkisim"/>
        </w:rPr>
      </w:pPr>
      <w:r w:rsidRPr="003124AA">
        <w:rPr>
          <w:rFonts w:ascii="Narkisim" w:hAnsi="Narkisim"/>
          <w:rtl/>
        </w:rPr>
        <w:t>וכת' דמ"מ מהני מיאון להפקיע את ביאת הקטנה</w:t>
      </w:r>
      <w:r w:rsidRPr="003124AA">
        <w:rPr>
          <w:rStyle w:val="ac"/>
          <w:rFonts w:ascii="Narkisim" w:hAnsi="Narkisim"/>
          <w:rtl/>
        </w:rPr>
        <w:footnoteReference w:id="7361"/>
      </w:r>
      <w:r w:rsidRPr="003124AA">
        <w:rPr>
          <w:rFonts w:ascii="Narkisim" w:hAnsi="Narkisim"/>
          <w:rtl/>
        </w:rPr>
        <w:t>, ועי”ז ביאת הקטנה אינה אוסרת את הגדולה, והקטנה נפטרת בביאת הגדולה.</w:t>
      </w:r>
    </w:p>
    <w:p w14:paraId="120F27EB"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ראשונים</w:t>
      </w:r>
      <w:r w:rsidRPr="003124AA">
        <w:rPr>
          <w:rFonts w:ascii="Narkisim" w:hAnsi="Narkisim"/>
          <w:rtl/>
        </w:rPr>
        <w:t xml:space="preserve"> כת' דלפ"ז קאי דוקא אסיפא. אבל גבי קטנה וחרשת ל"מ המיאון. דעדיין צריך להוציא את החרשת בגט כיון דהקטנה זקוקה לחליצה</w:t>
      </w:r>
      <w:r w:rsidRPr="003124AA">
        <w:rPr>
          <w:rStyle w:val="ac"/>
          <w:rFonts w:ascii="Narkisim" w:hAnsi="Narkisim"/>
          <w:rtl/>
        </w:rPr>
        <w:footnoteReference w:id="7362"/>
      </w:r>
      <w:r w:rsidRPr="003124AA">
        <w:rPr>
          <w:rFonts w:ascii="Narkisim" w:hAnsi="Narkisim"/>
          <w:rtl/>
        </w:rPr>
        <w:t>.</w:t>
      </w:r>
    </w:p>
    <w:p w14:paraId="6A7B11CC" w14:textId="77777777" w:rsidR="006C4368" w:rsidRPr="003124AA" w:rsidRDefault="006C4368" w:rsidP="006C4368">
      <w:pPr>
        <w:bidi/>
        <w:rPr>
          <w:rFonts w:ascii="Narkisim" w:hAnsi="Narkisim" w:cs="Narkisim"/>
        </w:rPr>
      </w:pPr>
      <w:r w:rsidRPr="003124AA">
        <w:rPr>
          <w:rFonts w:ascii="Narkisim" w:hAnsi="Narkisim" w:cs="Narkisim"/>
          <w:u w:val="single"/>
          <w:rtl/>
        </w:rPr>
        <w:t>שם. מלמדין וכו'</w:t>
      </w:r>
      <w:r w:rsidRPr="003124AA">
        <w:rPr>
          <w:rFonts w:ascii="Narkisim" w:hAnsi="Narkisim" w:cs="Narkisim"/>
          <w:rtl/>
        </w:rPr>
        <w:t>. גירסת ה</w:t>
      </w:r>
      <w:r w:rsidRPr="003124AA">
        <w:rPr>
          <w:rFonts w:ascii="Narkisim" w:hAnsi="Narkisim" w:cs="Narkisim"/>
          <w:b/>
          <w:bCs/>
          <w:rtl/>
        </w:rPr>
        <w:t>רי"ף</w:t>
      </w:r>
      <w:r w:rsidRPr="003124AA">
        <w:rPr>
          <w:rFonts w:ascii="Narkisim" w:hAnsi="Narkisim" w:cs="Narkisim"/>
          <w:rtl/>
        </w:rPr>
        <w:t xml:space="preserve"> בכולן מלמדין וכו'. (וכ”ה בתוספתא). ועפ”ז קאי אף בבאות דלעיל. וה</w:t>
      </w:r>
      <w:r w:rsidRPr="003124AA">
        <w:rPr>
          <w:rFonts w:ascii="Narkisim" w:hAnsi="Narkisim" w:cs="Narkisim"/>
          <w:b/>
          <w:bCs/>
          <w:rtl/>
        </w:rPr>
        <w:t>ראב"ד</w:t>
      </w:r>
      <w:r w:rsidRPr="003124AA">
        <w:rPr>
          <w:rFonts w:ascii="Narkisim" w:hAnsi="Narkisim" w:cs="Narkisim"/>
          <w:rtl/>
        </w:rPr>
        <w:t xml:space="preserve"> (הו' לעיל קי:) חלק דל"ג בכולן, דדוקא בסיפא דיש מצוות יבום דאורייתא מלמדין. אבל משום חרשת אין מלמדים</w:t>
      </w:r>
      <w:r w:rsidRPr="003124AA">
        <w:rPr>
          <w:rStyle w:val="ac"/>
          <w:rFonts w:ascii="Narkisim" w:hAnsi="Narkisim" w:cs="Narkisim"/>
          <w:rtl/>
        </w:rPr>
        <w:footnoteReference w:id="7363"/>
      </w:r>
      <w:r w:rsidRPr="003124AA">
        <w:rPr>
          <w:rFonts w:ascii="Narkisim" w:hAnsi="Narkisim" w:cs="Narkisim"/>
          <w:rtl/>
        </w:rPr>
        <w:t>.</w:t>
      </w:r>
    </w:p>
    <w:p w14:paraId="0E66BE7E"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(ס' הזכות) תי' דמ"מ היכא דבא על חרשת ואח"כ על הקטנה, הקטנה בלאו הכי אסורה עליו. ולמה לא תמאן שלא תתעגן עד שתגדל ותחלוץ ותפסל לכהונה, ותאסור את החרשת על בעלה שכנסה בהיתר. ועדיף שתמאן הקטנה [ותצא בלא חליצה</w:t>
      </w:r>
      <w:r w:rsidRPr="003124AA">
        <w:rPr>
          <w:rStyle w:val="ac"/>
          <w:rFonts w:ascii="Narkisim" w:hAnsi="Narkisim"/>
          <w:rtl/>
        </w:rPr>
        <w:footnoteReference w:id="7364"/>
      </w:r>
      <w:r w:rsidRPr="003124AA">
        <w:rPr>
          <w:rFonts w:ascii="Narkisim" w:hAnsi="Narkisim"/>
          <w:rtl/>
        </w:rPr>
        <w:t>], ועי”ז החרשת מותרת לבעלה. ובהך בבא מלמדים למאן שלא מחמת מצוות יבום.</w:t>
      </w:r>
    </w:p>
    <w:p w14:paraId="16A69329" w14:textId="77777777" w:rsidR="006C4368" w:rsidRPr="003124AA" w:rsidRDefault="006C4368" w:rsidP="006C4368">
      <w:pPr>
        <w:pStyle w:val="a7"/>
        <w:bidi/>
        <w:rPr>
          <w:rFonts w:ascii="Narkisim" w:hAnsi="Narkisim"/>
        </w:rPr>
      </w:pPr>
      <w:r w:rsidRPr="003124AA">
        <w:rPr>
          <w:rFonts w:ascii="Narkisim" w:hAnsi="Narkisim"/>
          <w:rtl/>
        </w:rPr>
        <w:t>אך הק' דבצריכותא דהגמ' (בסמוך) מבואר דמלמדים משום מצוות יבום, דגדולה רמי קמיה. ואמאי לא אמרי' דתמאן שתהא מותרת [כיון דממ"נ אסורה]</w:t>
      </w:r>
      <w:r w:rsidRPr="003124AA">
        <w:rPr>
          <w:rStyle w:val="ac"/>
          <w:rFonts w:ascii="Narkisim" w:hAnsi="Narkisim"/>
          <w:rtl/>
        </w:rPr>
        <w:footnoteReference w:id="7365"/>
      </w:r>
      <w:r w:rsidRPr="003124AA">
        <w:rPr>
          <w:rFonts w:ascii="Narkisim" w:hAnsi="Narkisim"/>
          <w:rtl/>
        </w:rPr>
        <w:t>. ותי' דבסיפא בא על הקטנה קודם, וכבר קיים מצות יבום. והוא פסלן על עצמו בפשיעה לפיכך היה ראוי שלא לחזור להתיר לו כלום</w:t>
      </w:r>
      <w:r w:rsidRPr="003124AA">
        <w:rPr>
          <w:rStyle w:val="ac"/>
          <w:rFonts w:ascii="Narkisim" w:hAnsi="Narkisim"/>
          <w:rtl/>
        </w:rPr>
        <w:footnoteReference w:id="7366"/>
      </w:r>
      <w:r w:rsidRPr="003124AA">
        <w:rPr>
          <w:rFonts w:ascii="Narkisim" w:hAnsi="Narkisim"/>
          <w:rtl/>
        </w:rPr>
        <w:t>.</w:t>
      </w:r>
    </w:p>
    <w:p w14:paraId="0F6845E4"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גר"א</w:t>
      </w:r>
      <w:r w:rsidRPr="003124AA">
        <w:rPr>
          <w:rFonts w:ascii="Narkisim" w:hAnsi="Narkisim"/>
          <w:rtl/>
        </w:rPr>
        <w:t xml:space="preserve"> (קעא ג) הק' דלגירסת </w:t>
      </w:r>
      <w:r w:rsidRPr="003124AA">
        <w:rPr>
          <w:rFonts w:ascii="Narkisim" w:hAnsi="Narkisim"/>
          <w:b/>
          <w:bCs/>
          <w:rtl/>
        </w:rPr>
        <w:t>רש"י</w:t>
      </w:r>
      <w:r w:rsidRPr="003124AA">
        <w:rPr>
          <w:rFonts w:ascii="Narkisim" w:hAnsi="Narkisim"/>
          <w:rtl/>
        </w:rPr>
        <w:t xml:space="preserve"> (וכ"ה לפנינו) בבא דבא על הקטנה ואח"כ על החרשת פסל, א"כ אף בזה קאי גירסת 'וכולן' מלמדים. והתם בא על הקטנה בהיתר, וליכא הנך טעמי</w:t>
      </w:r>
      <w:r w:rsidRPr="003124AA">
        <w:rPr>
          <w:rStyle w:val="ac"/>
          <w:rFonts w:ascii="Narkisim" w:hAnsi="Narkisim"/>
          <w:rtl/>
        </w:rPr>
        <w:footnoteReference w:id="7367"/>
      </w:r>
      <w:r w:rsidRPr="003124AA">
        <w:rPr>
          <w:rFonts w:ascii="Narkisim" w:hAnsi="Narkisim"/>
          <w:rtl/>
        </w:rPr>
        <w:t>.</w:t>
      </w:r>
    </w:p>
    <w:p w14:paraId="2E4E05EF"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ה</w:t>
      </w:r>
      <w:r w:rsidRPr="003124AA">
        <w:rPr>
          <w:rFonts w:ascii="Narkisim" w:hAnsi="Narkisim" w:cs="Narkisim"/>
          <w:b/>
          <w:bCs/>
          <w:rtl/>
        </w:rPr>
        <w:t>רמב"ם</w:t>
      </w:r>
      <w:r w:rsidRPr="003124AA">
        <w:rPr>
          <w:rFonts w:ascii="Narkisim" w:hAnsi="Narkisim" w:cs="Narkisim"/>
          <w:rtl/>
        </w:rPr>
        <w:t xml:space="preserve"> (שם ל, והשו"ע קעא י) פסק דאף בא על הגדולה, וחזר ובא על הקטנה [דתנן לא פסל את הגדולה], מלמדין הקטנה שתמאן בו.</w:t>
      </w:r>
    </w:p>
    <w:p w14:paraId="02466DF5" w14:textId="77777777" w:rsidR="006C4368" w:rsidRPr="003124AA" w:rsidRDefault="006C4368" w:rsidP="006C4368">
      <w:pPr>
        <w:pStyle w:val="a7"/>
        <w:bidi/>
        <w:rPr>
          <w:rFonts w:ascii="Narkisim" w:hAnsi="Narkisim"/>
        </w:rPr>
      </w:pPr>
      <w:r w:rsidRPr="003124AA">
        <w:rPr>
          <w:rFonts w:ascii="Narkisim" w:hAnsi="Narkisim"/>
          <w:rtl/>
        </w:rPr>
        <w:t>וכן פסק (שם כו) בב' קטנות שבא על שניהם, לא פסל את הראשונה [ברישא דמתני'], אבל מלמדין את השנייה שתמאן ויקיים זו שנבעלה תחילה. דס"ל ד'בכולן' קאי אכולהו בבות דמתני'.</w:t>
      </w:r>
    </w:p>
    <w:p w14:paraId="62F4F218"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תמהו אמאי צריכה למאן, הא השניה אינה אוסרת כלל את הראשונה</w:t>
      </w:r>
      <w:r w:rsidRPr="003124AA">
        <w:rPr>
          <w:rStyle w:val="ac"/>
          <w:rFonts w:ascii="Narkisim" w:hAnsi="Narkisim"/>
          <w:rtl/>
        </w:rPr>
        <w:footnoteReference w:id="7368"/>
      </w:r>
      <w:r w:rsidRPr="003124AA">
        <w:rPr>
          <w:rFonts w:ascii="Narkisim" w:hAnsi="Narkisim"/>
          <w:rtl/>
        </w:rPr>
        <w:t xml:space="preserve">, והשניה </w:t>
      </w:r>
      <w:r w:rsidRPr="003124AA">
        <w:rPr>
          <w:rFonts w:ascii="Narkisim" w:hAnsi="Narkisim"/>
          <w:rtl/>
        </w:rPr>
        <w:lastRenderedPageBreak/>
        <w:t>מותרת.</w:t>
      </w:r>
    </w:p>
    <w:p w14:paraId="69F8755C" w14:textId="77777777" w:rsidR="006C4368" w:rsidRPr="003124AA" w:rsidRDefault="006C4368" w:rsidP="006C4368">
      <w:pPr>
        <w:pStyle w:val="aa"/>
        <w:bidi/>
        <w:rPr>
          <w:rFonts w:ascii="Narkisim" w:hAnsi="Narkisim"/>
        </w:rPr>
      </w:pPr>
      <w:r w:rsidRPr="003124AA">
        <w:rPr>
          <w:rFonts w:ascii="Narkisim" w:hAnsi="Narkisim"/>
          <w:u w:val="single"/>
          <w:rtl/>
        </w:rPr>
        <w:t>שם. וחזר ובא על הגדולה וכו' ר”א אומר מלמדים</w:t>
      </w:r>
      <w:r w:rsidRPr="003124AA">
        <w:rPr>
          <w:rFonts w:ascii="Narkisim" w:hAnsi="Narkisim"/>
          <w:rtl/>
        </w:rPr>
        <w:t>. ה</w:t>
      </w:r>
      <w:r w:rsidRPr="003124AA">
        <w:rPr>
          <w:rFonts w:ascii="Narkisim" w:hAnsi="Narkisim"/>
          <w:b/>
          <w:bCs/>
          <w:rtl/>
        </w:rPr>
        <w:t>גר"א</w:t>
      </w:r>
      <w:r w:rsidRPr="003124AA">
        <w:rPr>
          <w:rFonts w:ascii="Narkisim" w:hAnsi="Narkisim"/>
          <w:rtl/>
        </w:rPr>
        <w:t xml:space="preserve"> (קעא ח) הק' דדברי ר"א דמלמדים את הקטנה הוה אף אי לא בא על הגדולה, דהאיך תצא הגדולה. וע"כ צריכה חליצה, ועי"ז יפסול את הקטנה עליו [אף מדאורייתא]</w:t>
      </w:r>
      <w:r w:rsidRPr="003124AA">
        <w:rPr>
          <w:rStyle w:val="ac"/>
          <w:rFonts w:ascii="Narkisim" w:hAnsi="Narkisim"/>
          <w:rtl/>
        </w:rPr>
        <w:footnoteReference w:id="7369"/>
      </w:r>
      <w:r w:rsidRPr="003124AA">
        <w:rPr>
          <w:rFonts w:ascii="Narkisim" w:hAnsi="Narkisim"/>
          <w:rtl/>
        </w:rPr>
        <w:t>. ולר”א ילמדו את הקטנה שתמאן [דממ"נ אסורה עליו, ועי”ז תתייבם אחותה]. ע"כ דאין אנו אחראין לזה, ואין מלמדים אלא להתיר את השניה. [והכא יש היתר לגדולה ע"י חליצה].</w:t>
      </w:r>
    </w:p>
    <w:p w14:paraId="7BBB37D0" w14:textId="77777777" w:rsidR="006C4368" w:rsidRPr="003124AA" w:rsidRDefault="006C4368" w:rsidP="006C4368">
      <w:pPr>
        <w:bidi/>
        <w:rPr>
          <w:rFonts w:ascii="Narkisim" w:hAnsi="Narkisim" w:cs="Narkisim"/>
        </w:rPr>
      </w:pPr>
      <w:r w:rsidRPr="003124AA">
        <w:rPr>
          <w:rFonts w:ascii="Narkisim" w:hAnsi="Narkisim" w:cs="Narkisim"/>
          <w:u w:val="single"/>
          <w:rtl/>
        </w:rPr>
        <w:t>וצריכא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לשמואל ולר"א בן פדת [האמורא] לומר דהלכה דמלמדים. וה</w:t>
      </w:r>
      <w:r w:rsidRPr="003124AA">
        <w:rPr>
          <w:rFonts w:ascii="Narkisim" w:hAnsi="Narkisim" w:cs="Narkisim"/>
          <w:b/>
          <w:bCs/>
          <w:rtl/>
        </w:rPr>
        <w:t>רמב"ן</w:t>
      </w:r>
      <w:r w:rsidRPr="003124AA">
        <w:rPr>
          <w:rFonts w:ascii="Narkisim" w:hAnsi="Narkisim" w:cs="Narkisim"/>
          <w:rtl/>
        </w:rPr>
        <w:t xml:space="preserve"> (הנ"ל) כת' דדוקא הנך ב' עשו צריכותא, דמלמדים משום מצווה. אבל באידך בבות, דהקטנה אסורה בכל אופן והוא לא פשע לא הוה בכלל הצריכותא.</w:t>
      </w:r>
    </w:p>
    <w:p w14:paraId="58592E42"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גר"א</w:t>
      </w:r>
      <w:r w:rsidRPr="003124AA">
        <w:rPr>
          <w:rFonts w:ascii="Narkisim" w:hAnsi="Narkisim"/>
          <w:rtl/>
        </w:rPr>
        <w:t xml:space="preserve"> (קעא ח) הביא בשם הרמב"ן דהגמ' (כאן) קאי למ"ד אין זיקה [ומש"ה (לעיל קט.) אינה אוסרת את אחותה], ואפ”ה מלמדים למאן לקיים מצוות יבום [וע”ע מש”כ לעיל קט:]. והגר"א דחה דהצריכותא הוא אליבא דשמואל, ושמואל (לעיל יח:) סבר יש זיקה</w:t>
      </w:r>
      <w:r w:rsidRPr="003124AA">
        <w:rPr>
          <w:rStyle w:val="ac"/>
          <w:rFonts w:ascii="Narkisim" w:hAnsi="Narkisim"/>
          <w:rtl/>
        </w:rPr>
        <w:footnoteReference w:id="7370"/>
      </w:r>
      <w:r w:rsidRPr="003124AA">
        <w:rPr>
          <w:rFonts w:ascii="Narkisim" w:hAnsi="Narkisim"/>
          <w:rtl/>
        </w:rPr>
        <w:t>.</w:t>
      </w:r>
    </w:p>
    <w:p w14:paraId="70507204" w14:textId="77777777" w:rsidR="006C4368" w:rsidRPr="003124AA" w:rsidRDefault="006C4368" w:rsidP="006C4368">
      <w:pPr>
        <w:bidi/>
        <w:rPr>
          <w:rFonts w:ascii="Narkisim" w:hAnsi="Narkisim" w:cs="Narkisim"/>
        </w:rPr>
      </w:pPr>
      <w:r w:rsidRPr="003124AA">
        <w:rPr>
          <w:rFonts w:ascii="Narkisim" w:hAnsi="Narkisim" w:cs="Narkisim"/>
          <w:u w:val="single"/>
          <w:rtl/>
        </w:rPr>
        <w:t>אבל בהא דאיקיים מצוות יבום אימא תרוייהו ליפקו בגט</w:t>
      </w:r>
      <w:r w:rsidRPr="003124AA">
        <w:rPr>
          <w:rFonts w:ascii="Narkisim" w:hAnsi="Narkisim" w:cs="Narkisim"/>
          <w:rtl/>
        </w:rPr>
        <w:t>. דכיון דכבר קיים מצוות יבום [אף בגדולה], א"כ שוב אין כאן מקום מצווה, ואמאי מלמדין את הקטנה למאן. קמ"ל דאף בזה מלמדים, וצ”ע מדוע. וה</w:t>
      </w:r>
      <w:r w:rsidRPr="003124AA">
        <w:rPr>
          <w:rFonts w:ascii="Narkisim" w:hAnsi="Narkisim" w:cs="Narkisim"/>
          <w:b/>
          <w:bCs/>
          <w:rtl/>
        </w:rPr>
        <w:t>ערול"נ</w:t>
      </w:r>
      <w:r w:rsidRPr="003124AA">
        <w:rPr>
          <w:rFonts w:ascii="Narkisim" w:hAnsi="Narkisim" w:cs="Narkisim"/>
          <w:rtl/>
        </w:rPr>
        <w:t xml:space="preserve"> תי' דביאת הגדולה הוה קצת ביאה פסולה, וע"י המיאון למפרע נחשב ביאה מעולה.</w:t>
      </w:r>
    </w:p>
    <w:p w14:paraId="5932EDB3"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ישרש יעקב</w:t>
      </w:r>
      <w:r w:rsidRPr="003124AA">
        <w:rPr>
          <w:rFonts w:ascii="Narkisim" w:hAnsi="Narkisim"/>
          <w:rtl/>
        </w:rPr>
        <w:t xml:space="preserve"> וה</w:t>
      </w:r>
      <w:r w:rsidRPr="003124AA">
        <w:rPr>
          <w:rFonts w:ascii="Narkisim" w:hAnsi="Narkisim"/>
          <w:b/>
          <w:bCs/>
          <w:rtl/>
        </w:rPr>
        <w:t>חזו"א</w:t>
      </w:r>
      <w:r w:rsidRPr="003124AA">
        <w:rPr>
          <w:rFonts w:ascii="Narkisim" w:hAnsi="Narkisim"/>
          <w:rtl/>
        </w:rPr>
        <w:t xml:space="preserve"> (קכט ה) הביאו דהמשך אישות היבום ג"כ נחשב מקום מצווה.</w:t>
      </w:r>
    </w:p>
    <w:p w14:paraId="11D5DBC0" w14:textId="77777777" w:rsidR="006C4368" w:rsidRPr="003124AA" w:rsidRDefault="006C4368" w:rsidP="006C4368">
      <w:pPr>
        <w:pStyle w:val="2"/>
        <w:bidi/>
        <w:rPr>
          <w:rFonts w:ascii="Narkisim" w:hAnsi="Narkisim"/>
        </w:rPr>
      </w:pPr>
      <w:r w:rsidRPr="003124AA">
        <w:rPr>
          <w:rFonts w:ascii="Narkisim" w:hAnsi="Narkisim"/>
          <w:rtl/>
        </w:rPr>
        <w:t>קטן הבא על הגדולה</w:t>
      </w:r>
    </w:p>
    <w:p w14:paraId="545C018E" w14:textId="77777777" w:rsidR="006C4368" w:rsidRPr="003124AA" w:rsidRDefault="006C4368" w:rsidP="006C4368">
      <w:pPr>
        <w:bidi/>
        <w:rPr>
          <w:rFonts w:ascii="Narkisim" w:hAnsi="Narkisim" w:cs="Narkisim"/>
        </w:rPr>
      </w:pPr>
      <w:r w:rsidRPr="003124AA">
        <w:rPr>
          <w:rFonts w:ascii="Narkisim" w:hAnsi="Narkisim" w:cs="Narkisim"/>
          <w:u w:val="single"/>
          <w:rtl/>
        </w:rPr>
        <w:t>יגדלו זה עם זה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דאינו יכול לגרשה עד שיגדיל</w:t>
      </w:r>
      <w:r w:rsidRPr="003124AA">
        <w:rPr>
          <w:rStyle w:val="ac"/>
          <w:rFonts w:ascii="Narkisim" w:hAnsi="Narkisim" w:cs="Narkisim"/>
          <w:rtl/>
        </w:rPr>
        <w:footnoteReference w:id="7371"/>
      </w:r>
      <w:r w:rsidRPr="003124AA">
        <w:rPr>
          <w:rFonts w:ascii="Narkisim" w:hAnsi="Narkisim" w:cs="Narkisim"/>
          <w:rtl/>
        </w:rPr>
        <w:t>. וצ"ב תיפו"ל דביאת בן ט' הוה רק כמאמר, וצריכה יבום או חליצה. [אך מ"מ יהני גט וחליצה כשיגדלו]. והבעה"מ כת' שאין ביאת בן תשע פוטרת, ואינו נותן גט עד שיגדיל ויבעול.</w:t>
      </w:r>
    </w:p>
    <w:p w14:paraId="68B49640"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בעה"מ</w:t>
      </w:r>
      <w:r w:rsidRPr="003124AA">
        <w:rPr>
          <w:rFonts w:ascii="Narkisim" w:hAnsi="Narkisim" w:cs="Narkisim"/>
          <w:rtl/>
        </w:rPr>
        <w:t xml:space="preserve"> דייק דמשמע דאף היא צריכה לגדול</w:t>
      </w:r>
      <w:r w:rsidRPr="003124AA">
        <w:rPr>
          <w:rStyle w:val="ac"/>
          <w:rFonts w:ascii="Narkisim" w:hAnsi="Narkisim" w:cs="Narkisim"/>
          <w:rtl/>
        </w:rPr>
        <w:footnoteReference w:id="7372"/>
      </w:r>
      <w:r w:rsidRPr="003124AA">
        <w:rPr>
          <w:rFonts w:ascii="Narkisim" w:hAnsi="Narkisim" w:cs="Narkisim"/>
          <w:rtl/>
        </w:rPr>
        <w:t>, והק' אמאי לא יוכל לגרשה בעודה קטנה. ותי' בפחות מבת ג' שאין ביאתה ביאה צריכה שתגדיל עד שתהא בת ביאה</w:t>
      </w:r>
      <w:r w:rsidRPr="003124AA">
        <w:rPr>
          <w:rStyle w:val="ac"/>
          <w:rFonts w:ascii="Narkisim" w:hAnsi="Narkisim" w:cs="Narkisim"/>
          <w:rtl/>
        </w:rPr>
        <w:footnoteReference w:id="7373"/>
      </w:r>
      <w:r w:rsidRPr="003124AA">
        <w:rPr>
          <w:rFonts w:ascii="Narkisim" w:hAnsi="Narkisim" w:cs="Narkisim"/>
          <w:rtl/>
        </w:rPr>
        <w:t>. א"נ בשגדל הוא ולא בעל צריכה אף היא שתגדיל כדי שיתן גט למאמרו וחליצה לזיקתו [וכמשנה (לעיל קד:) דל"מ חליצת קטנה]. וה</w:t>
      </w:r>
      <w:r w:rsidRPr="003124AA">
        <w:rPr>
          <w:rFonts w:ascii="Narkisim" w:hAnsi="Narkisim" w:cs="Narkisim"/>
          <w:b/>
          <w:bCs/>
          <w:rtl/>
        </w:rPr>
        <w:t>ריטב"א</w:t>
      </w:r>
      <w:r w:rsidRPr="003124AA">
        <w:rPr>
          <w:rFonts w:ascii="Narkisim" w:hAnsi="Narkisim" w:cs="Narkisim"/>
          <w:rtl/>
        </w:rPr>
        <w:t xml:space="preserve"> תי' דאינו יכול לגרשה עד שתהא יודעת לשמור את גיטה (כדלקמן קיג:).</w:t>
      </w:r>
    </w:p>
    <w:p w14:paraId="72F50424" w14:textId="77777777" w:rsidR="006C4368" w:rsidRPr="003124AA" w:rsidRDefault="006C4368" w:rsidP="006C4368">
      <w:pPr>
        <w:pStyle w:val="a7"/>
        <w:bidi/>
        <w:rPr>
          <w:rFonts w:ascii="Narkisim" w:hAnsi="Narkisim"/>
        </w:rPr>
      </w:pPr>
      <w:r w:rsidRPr="003124AA">
        <w:rPr>
          <w:rFonts w:ascii="Narkisim" w:hAnsi="Narkisim"/>
          <w:u w:val="double"/>
          <w:rtl/>
        </w:rPr>
        <w:t>וה</w:t>
      </w:r>
      <w:r w:rsidRPr="003124AA">
        <w:rPr>
          <w:rFonts w:ascii="Narkisim" w:hAnsi="Narkisim"/>
          <w:b/>
          <w:bCs/>
          <w:u w:val="double"/>
          <w:rtl/>
        </w:rPr>
        <w:t>ראב"ד</w:t>
      </w:r>
      <w:r w:rsidRPr="003124AA">
        <w:rPr>
          <w:rFonts w:ascii="Narkisim" w:hAnsi="Narkisim"/>
          <w:rtl/>
        </w:rPr>
        <w:t xml:space="preserve"> (כתוב שם) כת' דעיקר המשנה בא רק להתיר את הביאה, ודלא כר' מאיר (וכדאי' בגמ'). א"נ לאפוקי מקו' הגמ' דהאי לאו בר הכי, וה”ק יגדלו זה עם זה, כלומר אתי לידי הקמת שם. [וצ"ב דהא מהני ביאת יבום בעודה קטנה, ואף דאינה בת הקמת שם. כיון דאתי לידי הקמת שם].</w:t>
      </w:r>
    </w:p>
    <w:p w14:paraId="3CACD2B0" w14:textId="77777777" w:rsidR="006C4368" w:rsidRPr="003124AA" w:rsidRDefault="006C4368" w:rsidP="006C4368">
      <w:pPr>
        <w:bidi/>
        <w:rPr>
          <w:rFonts w:ascii="Narkisim" w:hAnsi="Narkisim" w:cs="Narkisim"/>
        </w:rPr>
      </w:pPr>
      <w:r w:rsidRPr="003124AA">
        <w:rPr>
          <w:rFonts w:ascii="Narkisim" w:hAnsi="Narkisim" w:cs="Narkisim"/>
          <w:u w:val="single"/>
          <w:rtl/>
        </w:rPr>
        <w:t>בא על יבמה גדולה תגדלנו</w:t>
      </w:r>
      <w:r w:rsidRPr="003124AA">
        <w:rPr>
          <w:rFonts w:ascii="Narkisim" w:hAnsi="Narkisim" w:cs="Narkisim"/>
          <w:rtl/>
        </w:rPr>
        <w:t>. ומבואר בגמ' דמותר לבא עליה עוד עד שיגדל</w:t>
      </w:r>
      <w:r w:rsidRPr="003124AA">
        <w:rPr>
          <w:rStyle w:val="ac"/>
          <w:rFonts w:ascii="Narkisim" w:hAnsi="Narkisim" w:cs="Narkisim"/>
          <w:rtl/>
        </w:rPr>
        <w:footnoteReference w:id="7374"/>
      </w:r>
      <w:r w:rsidRPr="003124AA">
        <w:rPr>
          <w:rFonts w:ascii="Narkisim" w:hAnsi="Narkisim" w:cs="Narkisim"/>
          <w:rtl/>
        </w:rPr>
        <w:t xml:space="preserve"> [ואף שהיבמה גדולה</w:t>
      </w:r>
      <w:r w:rsidRPr="003124AA">
        <w:rPr>
          <w:rStyle w:val="ac"/>
          <w:rFonts w:ascii="Narkisim" w:hAnsi="Narkisim" w:cs="Narkisim"/>
          <w:rtl/>
        </w:rPr>
        <w:footnoteReference w:id="7375"/>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xml:space="preserve"> (לעיל לה: ד”ה תגלי) הביאו מכאן דאף דל"ק בביאתו</w:t>
      </w:r>
      <w:r w:rsidRPr="003124AA">
        <w:rPr>
          <w:rStyle w:val="ac"/>
          <w:rFonts w:ascii="Narkisim" w:hAnsi="Narkisim" w:cs="Narkisim"/>
          <w:rtl/>
        </w:rPr>
        <w:footnoteReference w:id="7376"/>
      </w:r>
      <w:r w:rsidRPr="003124AA">
        <w:rPr>
          <w:rFonts w:ascii="Narkisim" w:hAnsi="Narkisim" w:cs="Narkisim"/>
          <w:rtl/>
        </w:rPr>
        <w:t>, אפ"ה לא מחייב משום אשת אח. [ולא אמרי' דאיסור אשת אח הותר רק לביאת היבום</w:t>
      </w:r>
      <w:r w:rsidRPr="003124AA">
        <w:rPr>
          <w:rStyle w:val="ac"/>
          <w:rFonts w:ascii="Narkisim" w:hAnsi="Narkisim" w:cs="Narkisim"/>
          <w:rtl/>
        </w:rPr>
        <w:footnoteReference w:id="7377"/>
      </w:r>
      <w:r w:rsidRPr="003124AA">
        <w:rPr>
          <w:rFonts w:ascii="Narkisim" w:hAnsi="Narkisim" w:cs="Narkisim"/>
          <w:rtl/>
        </w:rPr>
        <w:t>].</w:t>
      </w:r>
    </w:p>
    <w:p w14:paraId="4D1B7C49" w14:textId="77777777" w:rsidR="006C4368" w:rsidRPr="003124AA" w:rsidRDefault="006C4368" w:rsidP="006C4368">
      <w:pPr>
        <w:pStyle w:val="a7"/>
        <w:bidi/>
        <w:rPr>
          <w:rFonts w:ascii="Narkisim" w:hAnsi="Narkisim"/>
        </w:rPr>
      </w:pPr>
      <w:r w:rsidRPr="003124AA">
        <w:rPr>
          <w:rFonts w:ascii="Narkisim" w:hAnsi="Narkisim"/>
          <w:rtl/>
        </w:rPr>
        <w:lastRenderedPageBreak/>
        <w:t>וה</w:t>
      </w:r>
      <w:r w:rsidRPr="003124AA">
        <w:rPr>
          <w:rFonts w:ascii="Narkisim" w:hAnsi="Narkisim"/>
          <w:b/>
          <w:bCs/>
          <w:rtl/>
        </w:rPr>
        <w:t>אחרונים</w:t>
      </w:r>
      <w:r w:rsidRPr="003124AA">
        <w:rPr>
          <w:rFonts w:ascii="Narkisim" w:hAnsi="Narkisim"/>
          <w:rtl/>
        </w:rPr>
        <w:t xml:space="preserve"> הביאו דמבואר בזה דאיסור אשת אח 'הותרה' במקום זיקת יבום, ומש"ה הותר אף קודם שקיים המצווה</w:t>
      </w:r>
      <w:r w:rsidRPr="003124AA">
        <w:rPr>
          <w:rStyle w:val="ac"/>
          <w:rFonts w:ascii="Narkisim" w:hAnsi="Narkisim"/>
          <w:rtl/>
        </w:rPr>
        <w:footnoteReference w:id="7378"/>
      </w:r>
      <w:r w:rsidRPr="003124AA">
        <w:rPr>
          <w:rFonts w:ascii="Narkisim" w:hAnsi="Narkisim"/>
          <w:rtl/>
        </w:rPr>
        <w:t>. [וע' מה שהו' בזה לעיל ג: ולה: וכ”מ]. דאי הוה דחויה, א"כ רק מה שנצרך למצווה הוה בכלל ההיתר.</w:t>
      </w:r>
    </w:p>
    <w:p w14:paraId="327BC7E6" w14:textId="77777777" w:rsidR="006C4368" w:rsidRPr="003124AA" w:rsidRDefault="006C4368" w:rsidP="006C4368">
      <w:pPr>
        <w:bidi/>
        <w:rPr>
          <w:rFonts w:ascii="Narkisim" w:hAnsi="Narkisim" w:cs="Narkisim"/>
        </w:rPr>
      </w:pPr>
      <w:r w:rsidRPr="003124AA">
        <w:rPr>
          <w:rFonts w:ascii="Narkisim" w:eastAsia="Narkisim" w:hAnsi="Narkisim" w:cs="Narkisim"/>
          <w:rtl/>
        </w:rPr>
        <w:t>וה</w:t>
      </w:r>
      <w:r w:rsidRPr="003124AA">
        <w:rPr>
          <w:rFonts w:ascii="Narkisim" w:eastAsia="Narkisim" w:hAnsi="Narkisim" w:cs="Narkisim"/>
          <w:b/>
          <w:bCs/>
          <w:rtl/>
        </w:rPr>
        <w:t>אחרונים</w:t>
      </w:r>
      <w:r w:rsidRPr="003124AA">
        <w:rPr>
          <w:rFonts w:ascii="Narkisim" w:eastAsia="Narkisim" w:hAnsi="Narkisim" w:cs="Narkisim"/>
          <w:rtl/>
        </w:rPr>
        <w:t xml:space="preserve"> דנו האם אף אבא שאול מודה בזה, דהא אבא שאול סבר דאף במקום מצווה ממש, היכא דנתכוון שלא לשם מצווה עובר באיסור אשת אח. וע"ע גרנ"ט. [וע' מה שהו' לעיל לט:].</w:t>
      </w:r>
    </w:p>
    <w:p w14:paraId="51B0920E" w14:textId="77777777" w:rsidR="006C4368" w:rsidRPr="003124AA" w:rsidRDefault="006C4368" w:rsidP="006C4368">
      <w:pPr>
        <w:bidi/>
        <w:rPr>
          <w:rFonts w:ascii="Narkisim" w:hAnsi="Narkisim" w:cs="Narkisim"/>
        </w:rPr>
      </w:pPr>
      <w:r w:rsidRPr="003124AA">
        <w:rPr>
          <w:rFonts w:ascii="Narkisim" w:hAnsi="Narkisim" w:cs="Narkisim"/>
          <w:u w:val="single"/>
          <w:rtl/>
        </w:rPr>
        <w:t>לאחר ל' מבקשין הימנו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דהיא אינה נאמנת, אלא דשויתה לנפשה חתיכה דאיסורא דאסורה לשוק בלא חליצה, ומש"ה מבקשין ממנו לחלוץ</w:t>
      </w:r>
      <w:r w:rsidRPr="003124AA">
        <w:rPr>
          <w:rStyle w:val="ac"/>
          <w:rFonts w:ascii="Narkisim" w:hAnsi="Narkisim" w:cs="Narkisim"/>
          <w:rtl/>
        </w:rPr>
        <w:footnoteReference w:id="7379"/>
      </w:r>
      <w:r w:rsidRPr="003124AA">
        <w:rPr>
          <w:rFonts w:ascii="Narkisim" w:hAnsi="Narkisim" w:cs="Narkisim"/>
          <w:rtl/>
        </w:rPr>
        <w:t>.</w:t>
      </w:r>
    </w:p>
    <w:p w14:paraId="7DDFF235" w14:textId="77777777" w:rsidR="006C4368" w:rsidRPr="003124AA" w:rsidRDefault="006C4368" w:rsidP="006C4368">
      <w:pPr>
        <w:bidi/>
        <w:rPr>
          <w:rFonts w:ascii="Narkisim" w:hAnsi="Narkisim" w:cs="Narkisim"/>
        </w:rPr>
      </w:pPr>
      <w:r w:rsidRPr="003124AA">
        <w:rPr>
          <w:rFonts w:ascii="Narkisim" w:hAnsi="Narkisim" w:cs="Narkisim"/>
          <w:rtl/>
        </w:rPr>
        <w:t>ו</w:t>
      </w:r>
      <w:r w:rsidRPr="003124AA">
        <w:rPr>
          <w:rFonts w:ascii="Narkisim" w:hAnsi="Narkisim" w:cs="Narkisim"/>
          <w:b/>
          <w:bCs/>
          <w:rtl/>
        </w:rPr>
        <w:t>תוס</w:t>
      </w:r>
      <w:r w:rsidRPr="003124AA">
        <w:rPr>
          <w:rFonts w:ascii="Narkisim" w:hAnsi="Narkisim" w:cs="Narkisim"/>
          <w:rtl/>
        </w:rPr>
        <w:t>' (ב"ב ה:) הק' דאילו טענה אינו יכול לבא עלי נאמנת (כדאי' נדרים צא. דחזקה אינה מעיזה פניה). א"כ תהא נאמנת במיגו דאי בעיא אמרה אינו יכול לבא עלי</w:t>
      </w:r>
      <w:r w:rsidRPr="003124AA">
        <w:rPr>
          <w:rStyle w:val="ac"/>
          <w:rFonts w:ascii="Narkisim" w:hAnsi="Narkisim" w:cs="Narkisim"/>
          <w:rtl/>
        </w:rPr>
        <w:footnoteReference w:id="7380"/>
      </w:r>
      <w:r w:rsidRPr="003124AA">
        <w:rPr>
          <w:rFonts w:ascii="Narkisim" w:hAnsi="Narkisim" w:cs="Narkisim"/>
          <w:rtl/>
        </w:rPr>
        <w:t>. ודנו דתלי בנידון מיגו במקום חזקה</w:t>
      </w:r>
      <w:r w:rsidRPr="003124AA">
        <w:rPr>
          <w:rStyle w:val="ac"/>
          <w:rFonts w:ascii="Narkisim" w:hAnsi="Narkisim" w:cs="Narkisim"/>
          <w:rtl/>
        </w:rPr>
        <w:footnoteReference w:id="7381"/>
      </w:r>
      <w:r w:rsidRPr="003124AA">
        <w:rPr>
          <w:rFonts w:ascii="Narkisim" w:hAnsi="Narkisim" w:cs="Narkisim"/>
          <w:rtl/>
        </w:rPr>
        <w:t>.</w:t>
      </w:r>
    </w:p>
    <w:p w14:paraId="135BD444"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מהרי"ט</w:t>
      </w:r>
      <w:r w:rsidRPr="003124AA">
        <w:rPr>
          <w:rFonts w:ascii="Narkisim" w:hAnsi="Narkisim"/>
          <w:rtl/>
        </w:rPr>
        <w:t xml:space="preserve"> (אה"ע כח, הו' בכנה"ג כללי מיגו ז) תי' דל"מ מיגו להוציא. ולחייב חליצה נחשב 'להוציא'. וה</w:t>
      </w:r>
      <w:r w:rsidRPr="003124AA">
        <w:rPr>
          <w:rFonts w:ascii="Narkisim" w:hAnsi="Narkisim"/>
          <w:b/>
          <w:bCs/>
          <w:rtl/>
        </w:rPr>
        <w:t>תומים</w:t>
      </w:r>
      <w:r w:rsidRPr="003124AA">
        <w:rPr>
          <w:rFonts w:ascii="Narkisim" w:hAnsi="Narkisim"/>
          <w:rtl/>
        </w:rPr>
        <w:t xml:space="preserve"> (כללי מיגו ז) חלק דדוקא משום דאלים חזקת ממון נחשב מיגו להוציא. אבל הכא לא נחשב מיגו להוציא</w:t>
      </w:r>
      <w:r w:rsidRPr="003124AA">
        <w:rPr>
          <w:rStyle w:val="ac"/>
          <w:rFonts w:ascii="Narkisim" w:hAnsi="Narkisim"/>
          <w:rtl/>
        </w:rPr>
        <w:footnoteReference w:id="7382"/>
      </w:r>
      <w:r w:rsidRPr="003124AA">
        <w:rPr>
          <w:rFonts w:ascii="Narkisim" w:hAnsi="Narkisim"/>
          <w:rtl/>
        </w:rPr>
        <w:t>.</w:t>
      </w:r>
    </w:p>
    <w:p w14:paraId="44EAF5AA"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ש"ך</w:t>
      </w:r>
      <w:r w:rsidRPr="003124AA">
        <w:rPr>
          <w:rFonts w:ascii="Narkisim" w:hAnsi="Narkisim"/>
          <w:rtl/>
        </w:rPr>
        <w:t xml:space="preserve"> (פב כללי מיגו י) תי' [קו' התוס'] דנאמנת כשטוענת דא"י לבא, היינו מכח חזקה דאין האשה מעיזה פניה נגד בעלה. ומש"ה ל"מ נאמנות זו במקום דיש כנגדה חזקה אחרת. ומש"ה ל"מ חזקה דא"י לבא שתהא היבמה נאמנת לומר לא נבעלתי, דאיכא חזקה אחרינה כנגדה דלא מוקי איניש אנפשיה</w:t>
      </w:r>
      <w:r w:rsidRPr="003124AA">
        <w:rPr>
          <w:rStyle w:val="ac"/>
          <w:rFonts w:ascii="Narkisim" w:hAnsi="Narkisim"/>
          <w:rtl/>
        </w:rPr>
        <w:footnoteReference w:id="7383"/>
      </w:r>
      <w:r w:rsidRPr="003124AA">
        <w:rPr>
          <w:rFonts w:ascii="Narkisim" w:hAnsi="Narkisim"/>
          <w:rtl/>
        </w:rPr>
        <w:t xml:space="preserve">. </w:t>
      </w:r>
      <w:r w:rsidRPr="003124AA">
        <w:rPr>
          <w:rFonts w:ascii="Narkisim" w:hAnsi="Narkisim"/>
          <w:szCs w:val="20"/>
          <w:rtl/>
        </w:rPr>
        <w:t>וה</w:t>
      </w:r>
      <w:r w:rsidRPr="003124AA">
        <w:rPr>
          <w:rFonts w:ascii="Narkisim" w:hAnsi="Narkisim"/>
          <w:b/>
          <w:bCs/>
          <w:szCs w:val="20"/>
          <w:rtl/>
        </w:rPr>
        <w:t>אחרונים</w:t>
      </w:r>
      <w:r w:rsidRPr="003124AA">
        <w:rPr>
          <w:rFonts w:ascii="Narkisim" w:hAnsi="Narkisim"/>
          <w:szCs w:val="20"/>
          <w:rtl/>
        </w:rPr>
        <w:t xml:space="preserve"> תמהו דב' חזקות אלו אינם סותרים זה את זה, דטענת א"י לבא אינו כנגד חזקה דלא מוקי אנפשיה. וטענת לא נבעלתי נאמנת מכח 'מיגו', אף דאין לה חזקה דלא חציף. וה</w:t>
      </w:r>
      <w:r w:rsidRPr="003124AA">
        <w:rPr>
          <w:rFonts w:ascii="Narkisim" w:hAnsi="Narkisim"/>
          <w:b/>
          <w:bCs/>
          <w:szCs w:val="20"/>
          <w:rtl/>
        </w:rPr>
        <w:t>קוב"ש</w:t>
      </w:r>
      <w:r w:rsidRPr="003124AA">
        <w:rPr>
          <w:rFonts w:ascii="Narkisim" w:hAnsi="Narkisim"/>
          <w:szCs w:val="20"/>
          <w:rtl/>
        </w:rPr>
        <w:t xml:space="preserve"> (ח"ב ג א הב') הביא בשם חמיו ה</w:t>
      </w:r>
      <w:r w:rsidRPr="003124AA">
        <w:rPr>
          <w:rFonts w:ascii="Narkisim" w:hAnsi="Narkisim"/>
          <w:b/>
          <w:bCs/>
          <w:szCs w:val="20"/>
          <w:rtl/>
        </w:rPr>
        <w:t>גר"מ אטלס</w:t>
      </w:r>
      <w:r w:rsidRPr="003124AA">
        <w:rPr>
          <w:rFonts w:ascii="Narkisim" w:hAnsi="Narkisim"/>
          <w:szCs w:val="20"/>
          <w:rtl/>
        </w:rPr>
        <w:t xml:space="preserve"> דמוכח מדברי הש"ך דס"ל דמיגו מהני מגדרי כח הנאמנות של הטענה השניה. ומש"ה כיון דטענת אינו יכול לבא ל"מ כנגד חזקה, אף המיגו שבא מכחו ל"מ במקום חזקה אחרת</w:t>
      </w:r>
      <w:r w:rsidRPr="003124AA">
        <w:rPr>
          <w:rStyle w:val="ac"/>
          <w:rFonts w:ascii="Narkisim" w:hAnsi="Narkisim"/>
          <w:szCs w:val="20"/>
          <w:rtl/>
        </w:rPr>
        <w:footnoteReference w:id="7384"/>
      </w:r>
      <w:r w:rsidRPr="003124AA">
        <w:rPr>
          <w:rFonts w:ascii="Narkisim" w:hAnsi="Narkisim"/>
          <w:rtl/>
        </w:rPr>
        <w:t>.</w:t>
      </w:r>
    </w:p>
    <w:p w14:paraId="04DF671C" w14:textId="77777777" w:rsidR="006C4368" w:rsidRPr="003124AA" w:rsidRDefault="006C4368" w:rsidP="006C4368">
      <w:pPr>
        <w:bidi/>
        <w:rPr>
          <w:rFonts w:ascii="Narkisim" w:hAnsi="Narkisim" w:cs="Narkisim"/>
        </w:rPr>
      </w:pPr>
      <w:r w:rsidRPr="003124AA">
        <w:rPr>
          <w:rFonts w:ascii="Narkisim" w:hAnsi="Narkisim" w:cs="Narkisim"/>
          <w:rtl/>
        </w:rPr>
        <w:t>ו</w:t>
      </w:r>
      <w:r w:rsidRPr="003124AA">
        <w:rPr>
          <w:rFonts w:ascii="Narkisim" w:hAnsi="Narkisim" w:cs="Narkisim"/>
          <w:b/>
          <w:bCs/>
          <w:rtl/>
        </w:rPr>
        <w:t>רע"א</w:t>
      </w:r>
      <w:r w:rsidRPr="003124AA">
        <w:rPr>
          <w:rFonts w:ascii="Narkisim" w:hAnsi="Narkisim" w:cs="Narkisim"/>
          <w:rtl/>
        </w:rPr>
        <w:t xml:space="preserve"> דן דבסוגיין ל"ק עיקר קו' התוס', דהגמ' (קיב.) העמידה בגיטה יוצא מתח"י. א"כ שוב ל"ש חזקה דאין אשה מעיזה פניה בפני בעלה, דלפי דברי בעלה שבא עליה כיון דנתן לה גט אינו בעלה, וליכא חזקה דאינה מעיזה.</w:t>
      </w:r>
    </w:p>
    <w:p w14:paraId="09834350" w14:textId="77777777" w:rsidR="006C4368" w:rsidRPr="003124AA" w:rsidRDefault="006C4368" w:rsidP="006C4368">
      <w:pPr>
        <w:pStyle w:val="aa"/>
        <w:bidi/>
        <w:rPr>
          <w:rFonts w:ascii="Narkisim" w:hAnsi="Narkisim"/>
        </w:rPr>
      </w:pPr>
      <w:r w:rsidRPr="003124AA">
        <w:rPr>
          <w:rFonts w:ascii="Narkisim" w:hAnsi="Narkisim"/>
          <w:u w:val="single"/>
          <w:rtl/>
        </w:rPr>
        <w:t>תוד"ה לאחר שלשים</w:t>
      </w:r>
      <w:r w:rsidRPr="003124AA">
        <w:rPr>
          <w:rFonts w:ascii="Narkisim" w:hAnsi="Narkisim"/>
          <w:rtl/>
        </w:rPr>
        <w:t>. וא"ת מה הוא מפסיד</w:t>
      </w:r>
      <w:r w:rsidRPr="003124AA">
        <w:rPr>
          <w:rStyle w:val="ac"/>
          <w:rFonts w:ascii="Narkisim" w:hAnsi="Narkisim"/>
          <w:rtl/>
        </w:rPr>
        <w:footnoteReference w:id="7385"/>
      </w:r>
      <w:r w:rsidRPr="003124AA">
        <w:rPr>
          <w:rFonts w:ascii="Narkisim" w:hAnsi="Narkisim"/>
          <w:rtl/>
        </w:rPr>
        <w:t xml:space="preserve"> וכו'. [וה</w:t>
      </w:r>
      <w:r w:rsidRPr="003124AA">
        <w:rPr>
          <w:rFonts w:ascii="Narkisim" w:hAnsi="Narkisim"/>
          <w:b/>
          <w:bCs/>
          <w:rtl/>
        </w:rPr>
        <w:t>ריטב"א</w:t>
      </w:r>
      <w:r w:rsidRPr="003124AA">
        <w:rPr>
          <w:rFonts w:ascii="Narkisim" w:hAnsi="Narkisim"/>
          <w:rtl/>
        </w:rPr>
        <w:t xml:space="preserve"> (קיב.) הוסיף מאחר שנתן לה גט ופטורה ממנו]. ה</w:t>
      </w:r>
      <w:r w:rsidRPr="003124AA">
        <w:rPr>
          <w:rFonts w:ascii="Narkisim" w:hAnsi="Narkisim"/>
          <w:b/>
          <w:bCs/>
          <w:rtl/>
        </w:rPr>
        <w:t>תוס' רא"ש</w:t>
      </w:r>
      <w:r w:rsidRPr="003124AA">
        <w:rPr>
          <w:rFonts w:ascii="Narkisim" w:hAnsi="Narkisim"/>
          <w:rtl/>
        </w:rPr>
        <w:t xml:space="preserve"> הוסיף דכופין על מידת סדום</w:t>
      </w:r>
      <w:r w:rsidRPr="003124AA">
        <w:rPr>
          <w:rStyle w:val="ac"/>
          <w:rFonts w:ascii="Narkisim" w:hAnsi="Narkisim"/>
          <w:rtl/>
        </w:rPr>
        <w:footnoteReference w:id="7386"/>
      </w:r>
      <w:r w:rsidRPr="003124AA">
        <w:rPr>
          <w:rFonts w:ascii="Narkisim" w:hAnsi="Narkisim"/>
          <w:rtl/>
        </w:rPr>
        <w:t>. אלא כיון שהוא מתבייש אין בזה משום מידת סדום.</w:t>
      </w:r>
    </w:p>
    <w:p w14:paraId="0BBA1900" w14:textId="77777777" w:rsidR="006C4368" w:rsidRPr="003124AA" w:rsidRDefault="006C4368" w:rsidP="006C4368">
      <w:pPr>
        <w:pStyle w:val="aa"/>
        <w:bidi/>
        <w:rPr>
          <w:rFonts w:ascii="Narkisim" w:hAnsi="Narkisim"/>
        </w:rPr>
      </w:pPr>
      <w:r w:rsidRPr="003124AA">
        <w:rPr>
          <w:rFonts w:ascii="Narkisim" w:hAnsi="Narkisim"/>
          <w:rtl/>
        </w:rPr>
        <w:lastRenderedPageBreak/>
        <w:t>וה</w:t>
      </w:r>
      <w:r w:rsidRPr="003124AA">
        <w:rPr>
          <w:rFonts w:ascii="Narkisim" w:hAnsi="Narkisim"/>
          <w:b/>
          <w:bCs/>
          <w:rtl/>
        </w:rPr>
        <w:t>ריטב"א</w:t>
      </w:r>
      <w:r w:rsidRPr="003124AA">
        <w:rPr>
          <w:rFonts w:ascii="Narkisim" w:hAnsi="Narkisim"/>
          <w:rtl/>
        </w:rPr>
        <w:t xml:space="preserve"> (ונמוק"י) תי' דיכול לטעון שרוצה להחזירה, אולי תתפייס ותחזור לו. [ולשיטתו דאיירי בגט גמור, ולא בגט לזיקתו]. ו</w:t>
      </w:r>
      <w:r w:rsidRPr="003124AA">
        <w:rPr>
          <w:rFonts w:ascii="Narkisim" w:hAnsi="Narkisim"/>
          <w:b/>
          <w:bCs/>
          <w:rtl/>
        </w:rPr>
        <w:t>רע”א</w:t>
      </w:r>
      <w:r w:rsidRPr="003124AA">
        <w:rPr>
          <w:rFonts w:ascii="Narkisim" w:hAnsi="Narkisim"/>
          <w:rtl/>
        </w:rPr>
        <w:t xml:space="preserve"> תמה דלדבריה היא אסורה עליו לעולם, ושוויה אנפשה חתיכה דאיסורא, וא"א לה להתפייס ולחזור לו. דלדבריה דלא נבעלה הגט פסלה ואסורה לו. וכת' דאולי י"ל דס"ל כשיטת הפוסקים</w:t>
      </w:r>
      <w:r w:rsidRPr="003124AA">
        <w:rPr>
          <w:rStyle w:val="ac"/>
          <w:rFonts w:ascii="Narkisim" w:hAnsi="Narkisim"/>
          <w:rtl/>
        </w:rPr>
        <w:footnoteReference w:id="7387"/>
      </w:r>
      <w:r w:rsidRPr="003124AA">
        <w:rPr>
          <w:rFonts w:ascii="Narkisim" w:hAnsi="Narkisim"/>
          <w:rtl/>
        </w:rPr>
        <w:t xml:space="preserve"> דבאיסור דרבנן ל"א שוויה אנפשה חד"א. ועוד תי' ה</w:t>
      </w:r>
      <w:r w:rsidRPr="003124AA">
        <w:rPr>
          <w:rFonts w:ascii="Narkisim" w:hAnsi="Narkisim"/>
          <w:b/>
          <w:bCs/>
          <w:rtl/>
        </w:rPr>
        <w:t>אחרונים</w:t>
      </w:r>
      <w:r w:rsidRPr="003124AA">
        <w:rPr>
          <w:rFonts w:ascii="Narkisim" w:hAnsi="Narkisim"/>
          <w:rtl/>
        </w:rPr>
        <w:t xml:space="preserve"> דיכולה לחזור בה ע"י אמתלא.</w:t>
      </w:r>
    </w:p>
    <w:p w14:paraId="7D5DCCAB" w14:textId="77777777" w:rsidR="006C4368" w:rsidRPr="003124AA" w:rsidRDefault="006C4368" w:rsidP="006C4368">
      <w:pPr>
        <w:bidi/>
        <w:rPr>
          <w:rFonts w:ascii="Narkisim" w:hAnsi="Narkisim" w:cs="Narkisim"/>
        </w:rPr>
      </w:pPr>
      <w:r w:rsidRPr="003124AA">
        <w:rPr>
          <w:rFonts w:ascii="Narkisim" w:hAnsi="Narkisim" w:cs="Narkisim"/>
          <w:u w:val="single"/>
          <w:rtl/>
        </w:rPr>
        <w:t>הנודרת הנאה מיבמה וכו'</w:t>
      </w:r>
      <w:r w:rsidRPr="003124AA">
        <w:rPr>
          <w:rFonts w:ascii="Narkisim" w:hAnsi="Narkisim" w:cs="Narkisim"/>
          <w:rtl/>
        </w:rPr>
        <w:t>. ה</w:t>
      </w:r>
      <w:r w:rsidRPr="003124AA">
        <w:rPr>
          <w:rFonts w:ascii="Narkisim" w:hAnsi="Narkisim" w:cs="Narkisim"/>
          <w:b/>
          <w:bCs/>
          <w:rtl/>
        </w:rPr>
        <w:t>רשב"א</w:t>
      </w:r>
      <w:r w:rsidRPr="003124AA">
        <w:rPr>
          <w:rFonts w:ascii="Narkisim" w:hAnsi="Narkisim" w:cs="Narkisim"/>
          <w:rtl/>
        </w:rPr>
        <w:t xml:space="preserve"> (לעיל ב.) כת' דאינה עולה ליבום מדאורייתא, דעשה דיבום אינו דוחה ל"ת ועשה דנדר. ונחשב דדבר אחר גורם לה שתאסר, ומש"ה עולה לחליצה</w:t>
      </w:r>
      <w:r w:rsidRPr="003124AA">
        <w:rPr>
          <w:rStyle w:val="ac"/>
          <w:rFonts w:ascii="Narkisim" w:hAnsi="Narkisim" w:cs="Narkisim"/>
          <w:rtl/>
        </w:rPr>
        <w:footnoteReference w:id="7388"/>
      </w:r>
      <w:r w:rsidRPr="003124AA">
        <w:rPr>
          <w:rFonts w:ascii="Narkisim" w:hAnsi="Narkisim" w:cs="Narkisim"/>
          <w:rtl/>
        </w:rPr>
        <w:t>. [ודימה לזה בעלת התנאי, דדבר אחר גורם לה איסור</w:t>
      </w:r>
      <w:r w:rsidRPr="003124AA">
        <w:rPr>
          <w:rStyle w:val="ac"/>
          <w:rFonts w:ascii="Narkisim" w:hAnsi="Narkisim" w:cs="Narkisim"/>
          <w:rtl/>
        </w:rPr>
        <w:footnoteReference w:id="7389"/>
      </w:r>
      <w:r w:rsidRPr="003124AA">
        <w:rPr>
          <w:rFonts w:ascii="Narkisim" w:hAnsi="Narkisim" w:cs="Narkisim"/>
          <w:rtl/>
        </w:rPr>
        <w:t xml:space="preserve"> וצריכה חליצה מדאורייתא]. </w:t>
      </w:r>
      <w:r w:rsidRPr="003124AA">
        <w:rPr>
          <w:rFonts w:ascii="Narkisim" w:hAnsi="Narkisim" w:cs="Narkisim"/>
          <w:szCs w:val="20"/>
          <w:rtl/>
        </w:rPr>
        <w:t>וה</w:t>
      </w:r>
      <w:r w:rsidRPr="003124AA">
        <w:rPr>
          <w:rFonts w:ascii="Narkisim" w:hAnsi="Narkisim" w:cs="Narkisim"/>
          <w:b/>
          <w:bCs/>
          <w:szCs w:val="20"/>
          <w:rtl/>
        </w:rPr>
        <w:t>שעה"מ</w:t>
      </w:r>
      <w:r w:rsidRPr="003124AA">
        <w:rPr>
          <w:rFonts w:ascii="Narkisim" w:hAnsi="Narkisim" w:cs="Narkisim"/>
          <w:szCs w:val="20"/>
          <w:rtl/>
        </w:rPr>
        <w:t xml:space="preserve"> (ו יא) הק' דנודרת הוה כמו כל חייבי לאו ועשה דחולצת (וכדלעיל כא.), ואי"צ לטעם דדבר אחר גורם לה שתאסר</w:t>
      </w:r>
      <w:r w:rsidRPr="003124AA">
        <w:rPr>
          <w:rStyle w:val="ac"/>
          <w:rFonts w:ascii="Narkisim" w:hAnsi="Narkisim" w:cs="Narkisim"/>
          <w:szCs w:val="20"/>
          <w:rtl/>
        </w:rPr>
        <w:footnoteReference w:id="7390"/>
      </w:r>
      <w:r w:rsidRPr="003124AA">
        <w:rPr>
          <w:rFonts w:ascii="Narkisim" w:hAnsi="Narkisim" w:cs="Narkisim"/>
          <w:szCs w:val="20"/>
          <w:rtl/>
        </w:rPr>
        <w:t>. והאחרונים האריכו בזה [וע' מה שהו' לעיל י.].</w:t>
      </w:r>
    </w:p>
    <w:p w14:paraId="1281BAC1" w14:textId="77777777" w:rsidR="006C4368" w:rsidRPr="003124AA" w:rsidRDefault="006C4368" w:rsidP="006C4368">
      <w:pPr>
        <w:pStyle w:val="aa"/>
        <w:bidi/>
        <w:rPr>
          <w:rFonts w:ascii="Narkisim" w:hAnsi="Narkisim"/>
        </w:rPr>
      </w:pPr>
      <w:r w:rsidRPr="003124AA">
        <w:rPr>
          <w:rFonts w:ascii="Narkisim" w:hAnsi="Narkisim"/>
          <w:rtl/>
        </w:rPr>
        <w:t>וב</w:t>
      </w:r>
      <w:r w:rsidRPr="003124AA">
        <w:rPr>
          <w:rFonts w:ascii="Narkisim" w:hAnsi="Narkisim"/>
          <w:b/>
          <w:bCs/>
          <w:rtl/>
        </w:rPr>
        <w:t>שו"ת מהר"ם חלאווה</w:t>
      </w:r>
      <w:r w:rsidRPr="003124AA">
        <w:rPr>
          <w:rFonts w:ascii="Narkisim" w:hAnsi="Narkisim"/>
          <w:rtl/>
        </w:rPr>
        <w:t xml:space="preserve"> (קלו) כת' דאם נשאלה על נדרה מתייבמת. והק' דנימא דנאסרה בשעת נפילה ושוב אינה ראויה</w:t>
      </w:r>
      <w:r w:rsidRPr="003124AA">
        <w:rPr>
          <w:rStyle w:val="ac"/>
          <w:rFonts w:ascii="Narkisim" w:hAnsi="Narkisim"/>
          <w:rtl/>
        </w:rPr>
        <w:footnoteReference w:id="7391"/>
      </w:r>
      <w:r w:rsidRPr="003124AA">
        <w:rPr>
          <w:rFonts w:ascii="Narkisim" w:hAnsi="Narkisim"/>
          <w:rtl/>
        </w:rPr>
        <w:t>. ותי' דכיון דהאיסור מתבטל מצד עצמו ונתגלה הדבר דבשעת נפילה איננו לא אמרי' דנאסרה בשעת נפילה</w:t>
      </w:r>
      <w:r w:rsidRPr="003124AA">
        <w:rPr>
          <w:rStyle w:val="ac"/>
          <w:rFonts w:ascii="Narkisim" w:hAnsi="Narkisim"/>
          <w:rtl/>
        </w:rPr>
        <w:footnoteReference w:id="7392"/>
      </w:r>
      <w:r w:rsidRPr="003124AA">
        <w:rPr>
          <w:rFonts w:ascii="Narkisim" w:hAnsi="Narkisim"/>
          <w:rtl/>
        </w:rPr>
        <w:t>.</w:t>
      </w:r>
    </w:p>
    <w:p w14:paraId="15E630B1"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מהר"ם חלאווה</w:t>
      </w:r>
      <w:r w:rsidRPr="003124AA">
        <w:rPr>
          <w:rFonts w:ascii="Narkisim" w:hAnsi="Narkisim"/>
          <w:rtl/>
        </w:rPr>
        <w:t xml:space="preserve"> הק' דמדברי </w:t>
      </w:r>
      <w:r w:rsidRPr="003124AA">
        <w:rPr>
          <w:rFonts w:ascii="Narkisim" w:hAnsi="Narkisim"/>
          <w:b/>
          <w:bCs/>
          <w:rtl/>
        </w:rPr>
        <w:t>ר"ח</w:t>
      </w:r>
      <w:r w:rsidRPr="003124AA">
        <w:rPr>
          <w:rFonts w:ascii="Narkisim" w:hAnsi="Narkisim"/>
          <w:rtl/>
        </w:rPr>
        <w:t xml:space="preserve"> (הו' ברשב"א, לפרש קו' הגמ' בסמוך) מבואר דאף כה"ג אמרי' נאסרה. ותי' דאפ"ה שאני נדר דליתא כלל דלמפרע, דחכם עקר הנדר מעיקרו</w:t>
      </w:r>
      <w:r w:rsidRPr="003124AA">
        <w:rPr>
          <w:rStyle w:val="ac"/>
          <w:rFonts w:ascii="Narkisim" w:hAnsi="Narkisim"/>
          <w:rtl/>
        </w:rPr>
        <w:footnoteReference w:id="7393"/>
      </w:r>
      <w:r w:rsidRPr="003124AA">
        <w:rPr>
          <w:rFonts w:ascii="Narkisim" w:hAnsi="Narkisim"/>
          <w:rtl/>
        </w:rPr>
        <w:t>, ואי' (כתובות עד:) דהמקדש את האשה ע"מ שאין עליה נדרים, והלכה אצל חכם והתירה לנדרה הר"ז מקודשת</w:t>
      </w:r>
      <w:r w:rsidRPr="003124AA">
        <w:rPr>
          <w:rStyle w:val="ac"/>
          <w:rFonts w:ascii="Narkisim" w:hAnsi="Narkisim"/>
          <w:rtl/>
        </w:rPr>
        <w:footnoteReference w:id="7394"/>
      </w:r>
      <w:r w:rsidRPr="003124AA">
        <w:rPr>
          <w:rFonts w:ascii="Narkisim" w:hAnsi="Narkisim"/>
          <w:rtl/>
        </w:rPr>
        <w:t>. ועוד דשאני נדר דעביד ובטיל, ומצוה נמי לאיתשולי עליה מדר' נתן (לעיל קט: וע' נדרים נט.) דהנודר כאלו בנה במה והמקיימו כאלו הקריב עליה קרבן, הילכך נדר יש לו התר. ואם הותר יבמה זו מתיבמת.</w:t>
      </w:r>
    </w:p>
    <w:p w14:paraId="3AE6C114" w14:textId="77777777" w:rsidR="006C4368" w:rsidRPr="003124AA" w:rsidRDefault="006C4368" w:rsidP="006C4368">
      <w:pPr>
        <w:pStyle w:val="a8"/>
        <w:bidi/>
        <w:rPr>
          <w:rFonts w:ascii="Narkisim" w:hAnsi="Narkisim"/>
        </w:rPr>
      </w:pPr>
      <w:r w:rsidRPr="003124AA">
        <w:rPr>
          <w:rFonts w:ascii="Narkisim" w:hAnsi="Narkisim"/>
          <w:rtl/>
        </w:rPr>
        <w:t>וכ"כ ה</w:t>
      </w:r>
      <w:r w:rsidRPr="003124AA">
        <w:rPr>
          <w:rFonts w:ascii="Narkisim" w:hAnsi="Narkisim"/>
          <w:b/>
          <w:bCs/>
          <w:rtl/>
        </w:rPr>
        <w:t>תשב"ץ</w:t>
      </w:r>
      <w:r w:rsidRPr="003124AA">
        <w:rPr>
          <w:rFonts w:ascii="Narkisim" w:hAnsi="Narkisim"/>
          <w:rtl/>
        </w:rPr>
        <w:t xml:space="preserve"> (ב רס הו' בב"י קסה בשם הרשב"ש) דאי נשאלה על נדרה מתייבמת</w:t>
      </w:r>
      <w:r w:rsidRPr="003124AA">
        <w:rPr>
          <w:rStyle w:val="ac"/>
          <w:rFonts w:ascii="Narkisim" w:hAnsi="Narkisim"/>
          <w:rtl/>
        </w:rPr>
        <w:footnoteReference w:id="7395"/>
      </w:r>
      <w:r w:rsidRPr="003124AA">
        <w:rPr>
          <w:rFonts w:ascii="Narkisim" w:hAnsi="Narkisim"/>
          <w:rtl/>
        </w:rPr>
        <w:t>. והביא [עד"ז] דברי ה</w:t>
      </w:r>
      <w:r w:rsidRPr="003124AA">
        <w:rPr>
          <w:rFonts w:ascii="Narkisim" w:hAnsi="Narkisim"/>
          <w:b/>
          <w:bCs/>
          <w:rtl/>
        </w:rPr>
        <w:t>תוס</w:t>
      </w:r>
      <w:r w:rsidRPr="003124AA">
        <w:rPr>
          <w:rFonts w:ascii="Narkisim" w:hAnsi="Narkisim"/>
          <w:rtl/>
        </w:rPr>
        <w:t>' (לעיל ב.) גבי נדה, וכת' העולה מדבריהם שנדה אינה דומה לאחות אשה [דאסורה משום קורבה דעריות]. וק"ו לנודרת הנאה</w:t>
      </w:r>
      <w:r w:rsidRPr="003124AA">
        <w:rPr>
          <w:rStyle w:val="ac"/>
          <w:rFonts w:ascii="Narkisim" w:hAnsi="Narkisim"/>
          <w:rtl/>
        </w:rPr>
        <w:footnoteReference w:id="7396"/>
      </w:r>
      <w:r w:rsidRPr="003124AA">
        <w:rPr>
          <w:rFonts w:ascii="Narkisim" w:hAnsi="Narkisim"/>
          <w:rtl/>
        </w:rPr>
        <w:t>. [וה</w:t>
      </w:r>
      <w:r w:rsidRPr="003124AA">
        <w:rPr>
          <w:rFonts w:ascii="Narkisim" w:hAnsi="Narkisim"/>
          <w:b/>
          <w:bCs/>
          <w:rtl/>
        </w:rPr>
        <w:t>קובה"ע</w:t>
      </w:r>
      <w:r w:rsidRPr="003124AA">
        <w:rPr>
          <w:rFonts w:ascii="Narkisim" w:hAnsi="Narkisim"/>
          <w:rtl/>
        </w:rPr>
        <w:t xml:space="preserve"> (ה יג) הביא מדבריו דכל היכא דיש תקנה לאיסורו לא אמרי' נאסרה].</w:t>
      </w:r>
    </w:p>
    <w:p w14:paraId="418A00BF" w14:textId="77777777" w:rsidR="006C4368" w:rsidRPr="003124AA" w:rsidRDefault="006C4368" w:rsidP="006C4368">
      <w:pPr>
        <w:pStyle w:val="a8"/>
        <w:bidi/>
        <w:rPr>
          <w:rFonts w:ascii="Narkisim" w:hAnsi="Narkisim"/>
        </w:rPr>
      </w:pPr>
      <w:r w:rsidRPr="003124AA">
        <w:rPr>
          <w:rFonts w:ascii="Narkisim" w:hAnsi="Narkisim"/>
          <w:rtl/>
        </w:rPr>
        <w:lastRenderedPageBreak/>
        <w:t>וה</w:t>
      </w:r>
      <w:r w:rsidRPr="003124AA">
        <w:rPr>
          <w:rFonts w:ascii="Narkisim" w:hAnsi="Narkisim"/>
          <w:b/>
          <w:bCs/>
          <w:rtl/>
        </w:rPr>
        <w:t>קובה"ע</w:t>
      </w:r>
      <w:r w:rsidRPr="003124AA">
        <w:rPr>
          <w:rFonts w:ascii="Narkisim" w:hAnsi="Narkisim"/>
          <w:rtl/>
        </w:rPr>
        <w:t xml:space="preserve"> (ה יג) תמה על התשב”ץ תיפו”ל דחכם עוקר את הנדר למפרע, וכיון דנעקר לא שייך לומר נאסרה שעה א'. וראיה לזה מהא דמלמדין את הקטנה שתמאן (לעיל קט. ובתחילת העמ') וע"י המיאון תתייבם אחותה, ולא אמרי' דנאסרה שעה א' קודם המיאון כיון דהמיאון עוקר למפרע. א”כ צ"ע אמאי קשה ליה בנדר. [והמהר"ם חלאוה הנ"ל תי' כן בחד תי'].</w:t>
      </w:r>
    </w:p>
    <w:p w14:paraId="664B691D" w14:textId="77777777" w:rsidR="006C4368" w:rsidRPr="003124AA" w:rsidRDefault="006C4368" w:rsidP="006C4368">
      <w:pPr>
        <w:bidi/>
        <w:rPr>
          <w:rFonts w:ascii="Narkisim" w:hAnsi="Narkisim" w:cs="Narkisim"/>
        </w:rPr>
      </w:pPr>
      <w:r w:rsidRPr="003124AA">
        <w:rPr>
          <w:rFonts w:ascii="Narkisim" w:hAnsi="Narkisim" w:cs="Narkisim"/>
          <w:u w:val="single"/>
          <w:rtl/>
        </w:rPr>
        <w:t>כופין אותו לחלוץ</w:t>
      </w:r>
      <w:r w:rsidRPr="003124AA">
        <w:rPr>
          <w:rFonts w:ascii="Narkisim" w:hAnsi="Narkisim" w:cs="Narkisim"/>
          <w:rtl/>
        </w:rPr>
        <w:t>. ה</w:t>
      </w:r>
      <w:r w:rsidRPr="003124AA">
        <w:rPr>
          <w:rFonts w:ascii="Narkisim" w:hAnsi="Narkisim" w:cs="Narkisim"/>
          <w:b/>
          <w:bCs/>
          <w:rtl/>
        </w:rPr>
        <w:t xml:space="preserve">ריטב"א </w:t>
      </w:r>
      <w:r w:rsidRPr="003124AA">
        <w:rPr>
          <w:rFonts w:ascii="Narkisim" w:hAnsi="Narkisim" w:cs="Narkisim"/>
          <w:rtl/>
        </w:rPr>
        <w:t>ביאר דכל היכא דיבמה לא חזיא ליבם מחמת איסור</w:t>
      </w:r>
      <w:r w:rsidRPr="003124AA">
        <w:rPr>
          <w:rStyle w:val="ac"/>
          <w:rFonts w:ascii="Narkisim" w:hAnsi="Narkisim" w:cs="Narkisim"/>
          <w:rtl/>
        </w:rPr>
        <w:footnoteReference w:id="7397"/>
      </w:r>
      <w:r w:rsidRPr="003124AA">
        <w:rPr>
          <w:rFonts w:ascii="Narkisim" w:hAnsi="Narkisim" w:cs="Narkisim"/>
          <w:rtl/>
        </w:rPr>
        <w:t xml:space="preserve"> כופין אותו לחלוץ. [וכן ברישא לאחר ל', כשנתן גט, וכדאי' בגמ'</w:t>
      </w:r>
      <w:r w:rsidRPr="003124AA">
        <w:rPr>
          <w:rStyle w:val="ac"/>
          <w:rFonts w:ascii="Narkisim" w:hAnsi="Narkisim" w:cs="Narkisim"/>
          <w:rtl/>
        </w:rPr>
        <w:footnoteReference w:id="7398"/>
      </w:r>
      <w:r w:rsidRPr="003124AA">
        <w:rPr>
          <w:rFonts w:ascii="Narkisim" w:hAnsi="Narkisim" w:cs="Narkisim"/>
          <w:rtl/>
        </w:rPr>
        <w:t xml:space="preserve">]. [וע"ע לעיל קו.]. </w:t>
      </w:r>
      <w:r w:rsidRPr="003124AA">
        <w:rPr>
          <w:rFonts w:ascii="Narkisim" w:hAnsi="Narkisim" w:cs="Narkisim"/>
          <w:szCs w:val="20"/>
          <w:rtl/>
        </w:rPr>
        <w:t>וה</w:t>
      </w:r>
      <w:r w:rsidRPr="003124AA">
        <w:rPr>
          <w:rFonts w:ascii="Narkisim" w:hAnsi="Narkisim" w:cs="Narkisim"/>
          <w:b/>
          <w:bCs/>
          <w:szCs w:val="20"/>
          <w:rtl/>
        </w:rPr>
        <w:t>אחרונים</w:t>
      </w:r>
      <w:r w:rsidRPr="003124AA">
        <w:rPr>
          <w:rFonts w:ascii="Narkisim" w:hAnsi="Narkisim" w:cs="Narkisim"/>
          <w:szCs w:val="20"/>
          <w:rtl/>
        </w:rPr>
        <w:t xml:space="preserve"> דנו האם כופין משום 'מצוות החליצה', או משום תביעת האשה שלא לעגן אותה. [וע"ע מש"כ לעיל לט: וקו.].</w:t>
      </w:r>
    </w:p>
    <w:p w14:paraId="760C738B"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ריטב"א</w:t>
      </w:r>
      <w:r w:rsidRPr="003124AA">
        <w:rPr>
          <w:rFonts w:ascii="Narkisim" w:hAnsi="Narkisim"/>
          <w:rtl/>
        </w:rPr>
        <w:t xml:space="preserve"> כת' אך היכא שהיא גרמה האיסור במתכוין אין כופין, ותהא עגונה כל ימיה, וכדקתני סיפא מבקשים ממנו לחלוץ, כלומר מפייסין אותו שלא יעגן אותה. אבל אין כופין אותו.</w:t>
      </w:r>
    </w:p>
    <w:p w14:paraId="56B99EEB" w14:textId="77777777" w:rsidR="006C4368" w:rsidRPr="003124AA" w:rsidRDefault="006C4368" w:rsidP="006C4368">
      <w:pPr>
        <w:pStyle w:val="aa"/>
        <w:bidi/>
        <w:rPr>
          <w:rFonts w:ascii="Narkisim" w:hAnsi="Narkisim"/>
        </w:rPr>
      </w:pPr>
      <w:r w:rsidRPr="003124AA">
        <w:rPr>
          <w:rFonts w:ascii="Narkisim" w:hAnsi="Narkisim"/>
          <w:u w:val="single"/>
          <w:rtl/>
        </w:rPr>
        <w:t>ואם נתכוונה לכך, אפי' בחיי בעלה מבקשין הימנו וכו'</w:t>
      </w:r>
      <w:r w:rsidRPr="003124AA">
        <w:rPr>
          <w:rFonts w:ascii="Narkisim" w:hAnsi="Narkisim"/>
          <w:rtl/>
        </w:rPr>
        <w:t xml:space="preserve">. משמע דוקא דידעינן שנתכוונה לכך. אבל </w:t>
      </w:r>
      <w:r w:rsidRPr="003124AA">
        <w:rPr>
          <w:rFonts w:ascii="Narkisim" w:hAnsi="Narkisim"/>
          <w:b/>
          <w:bCs/>
          <w:rtl/>
        </w:rPr>
        <w:t>ה"ה</w:t>
      </w:r>
      <w:r w:rsidRPr="003124AA">
        <w:rPr>
          <w:rFonts w:ascii="Narkisim" w:hAnsi="Narkisim"/>
          <w:rtl/>
        </w:rPr>
        <w:t xml:space="preserve"> (ב טו) הביא מדברי רש"י דכל שהיה להם כעס זה עם זה חיישינן שמא נתכוונה לאסור עצמה. וה</w:t>
      </w:r>
      <w:r w:rsidRPr="003124AA">
        <w:rPr>
          <w:rFonts w:ascii="Narkisim" w:hAnsi="Narkisim"/>
          <w:b/>
          <w:bCs/>
          <w:rtl/>
        </w:rPr>
        <w:t>תוי"ט</w:t>
      </w:r>
      <w:r w:rsidRPr="003124AA">
        <w:rPr>
          <w:rFonts w:ascii="Narkisim" w:hAnsi="Narkisim"/>
          <w:rtl/>
        </w:rPr>
        <w:t xml:space="preserve"> וה</w:t>
      </w:r>
      <w:r w:rsidRPr="003124AA">
        <w:rPr>
          <w:rFonts w:ascii="Narkisim" w:hAnsi="Narkisim"/>
          <w:b/>
          <w:bCs/>
          <w:rtl/>
        </w:rPr>
        <w:t>משנ"ל</w:t>
      </w:r>
      <w:r w:rsidRPr="003124AA">
        <w:rPr>
          <w:rFonts w:ascii="Narkisim" w:hAnsi="Narkisim"/>
          <w:rtl/>
        </w:rPr>
        <w:t xml:space="preserve"> חלקו דבפרש"י לפנינו קאי אבבא דלעיל. דמתמת כעס לא נחשב שנתכוונה לאסור עצמה.</w:t>
      </w:r>
    </w:p>
    <w:p w14:paraId="2A128E4A" w14:textId="77777777" w:rsidR="006C4368" w:rsidRPr="003124AA" w:rsidRDefault="006C4368" w:rsidP="006C4368">
      <w:pPr>
        <w:pStyle w:val="aa"/>
        <w:bidi/>
        <w:rPr>
          <w:rFonts w:ascii="Narkisim" w:hAnsi="Narkisim"/>
        </w:rPr>
      </w:pPr>
      <w:r w:rsidRPr="003124AA">
        <w:rPr>
          <w:rFonts w:ascii="Narkisim" w:hAnsi="Narkisim"/>
          <w:u w:val="single"/>
          <w:rtl/>
        </w:rPr>
        <w:t>אבל קטן הבא על הקטנה דתרוייהו כי הדדי נינהו וכו'</w:t>
      </w:r>
      <w:r w:rsidRPr="003124AA">
        <w:rPr>
          <w:rFonts w:ascii="Narkisim" w:hAnsi="Narkisim"/>
          <w:rtl/>
        </w:rPr>
        <w:t>. ואי' (לקמן קיד:) דלמ"ד קטן אוכל נבילות ואין בי"ד מצווין להפרישו כל הנידון משום גזירה דהיתר יבמה. [ולא שייך בזה משום חיישינן למיעוטא</w:t>
      </w:r>
      <w:r w:rsidRPr="003124AA">
        <w:rPr>
          <w:rStyle w:val="ac"/>
          <w:rFonts w:ascii="Narkisim" w:hAnsi="Narkisim"/>
          <w:rtl/>
        </w:rPr>
        <w:footnoteReference w:id="7399"/>
      </w:r>
      <w:r w:rsidRPr="003124AA">
        <w:rPr>
          <w:rFonts w:ascii="Narkisim" w:hAnsi="Narkisim"/>
          <w:rtl/>
        </w:rPr>
        <w:t>].</w:t>
      </w:r>
    </w:p>
    <w:p w14:paraId="24E97C75" w14:textId="77777777" w:rsidR="006C4368" w:rsidRPr="003124AA" w:rsidRDefault="006C4368" w:rsidP="006C4368">
      <w:pPr>
        <w:bidi/>
        <w:rPr>
          <w:rFonts w:ascii="Narkisim" w:hAnsi="Narkisim" w:cs="Narkisim"/>
        </w:rPr>
      </w:pPr>
      <w:r w:rsidRPr="003124AA">
        <w:rPr>
          <w:rFonts w:ascii="Narkisim" w:hAnsi="Narkisim" w:cs="Narkisim"/>
          <w:u w:val="single"/>
          <w:rtl/>
        </w:rPr>
        <w:t>קרי כאן</w:t>
      </w:r>
      <w:r w:rsidRPr="003124AA">
        <w:rPr>
          <w:rStyle w:val="ac"/>
          <w:rFonts w:ascii="Narkisim" w:hAnsi="Narkisim" w:cs="Narkisim"/>
          <w:u w:val="single"/>
          <w:rtl/>
        </w:rPr>
        <w:footnoteReference w:id="7400"/>
      </w:r>
      <w:r w:rsidRPr="003124AA">
        <w:rPr>
          <w:rFonts w:ascii="Narkisim" w:hAnsi="Narkisim" w:cs="Narkisim"/>
          <w:u w:val="single"/>
          <w:rtl/>
        </w:rPr>
        <w:t xml:space="preserve"> להקים לאחיו שם, והאי לאו בר הכי הוא וכו'</w:t>
      </w:r>
      <w:r w:rsidRPr="003124AA">
        <w:rPr>
          <w:rFonts w:ascii="Narkisim" w:hAnsi="Narkisim" w:cs="Narkisim"/>
          <w:rtl/>
        </w:rPr>
        <w:t xml:space="preserve">. </w:t>
      </w:r>
      <w:r w:rsidRPr="003124AA">
        <w:rPr>
          <w:rFonts w:ascii="Narkisim" w:hAnsi="Narkisim" w:cs="Narkisim"/>
          <w:b/>
          <w:bCs/>
          <w:rtl/>
        </w:rPr>
        <w:t>תוס'</w:t>
      </w:r>
      <w:r w:rsidRPr="003124AA">
        <w:rPr>
          <w:rFonts w:ascii="Narkisim" w:hAnsi="Narkisim" w:cs="Narkisim"/>
          <w:rtl/>
        </w:rPr>
        <w:t xml:space="preserve"> פי' דקו' הגמ' דבעודו קטן דינו כסריס. וה</w:t>
      </w:r>
      <w:r w:rsidRPr="003124AA">
        <w:rPr>
          <w:rFonts w:ascii="Narkisim" w:hAnsi="Narkisim" w:cs="Narkisim"/>
          <w:b/>
          <w:bCs/>
          <w:rtl/>
        </w:rPr>
        <w:t>ריטב"א</w:t>
      </w:r>
      <w:r w:rsidRPr="003124AA">
        <w:rPr>
          <w:rFonts w:ascii="Narkisim" w:hAnsi="Narkisim" w:cs="Narkisim"/>
          <w:rtl/>
        </w:rPr>
        <w:t xml:space="preserve"> הוסיף דכיון דבעודו קטן אינו בר הקמה, א"כ הו"ל אשת אח שלא במקום מצוה.</w:t>
      </w:r>
    </w:p>
    <w:p w14:paraId="2C586A99" w14:textId="77777777" w:rsidR="006C4368" w:rsidRPr="003124AA" w:rsidRDefault="006C4368" w:rsidP="006C4368">
      <w:pPr>
        <w:pStyle w:val="a8"/>
        <w:bidi/>
        <w:rPr>
          <w:rFonts w:ascii="Narkisim" w:hAnsi="Narkisim"/>
        </w:rPr>
      </w:pPr>
      <w:r w:rsidRPr="003124AA">
        <w:rPr>
          <w:rFonts w:ascii="Narkisim" w:hAnsi="Narkisim"/>
          <w:rtl/>
        </w:rPr>
        <w:t>ומשמע דהמקשן סבר דזקוקה לו [ואסורה לשוק], כיון דעומד לגדול. אלא דהשתא אינו ראוי ליבום. ויל"ד אי הוה חסרון במעשה היבום, דביאת קטן לא שייך כלל להקמת שם [והא דהתירו 'תגדלנו' הוה דוקא במעשה שראוי ליבום]. או דהוה חסרון בגברא, דבעודו קטן אין עליו שם 'יבם' [וזקוקה לו כלפי העתיד, שעומד לגדול]. וע"ע בסמוך.</w:t>
      </w:r>
    </w:p>
    <w:p w14:paraId="56FE3E1B" w14:textId="77777777" w:rsidR="006C4368" w:rsidRPr="003124AA" w:rsidRDefault="006C4368" w:rsidP="006C4368">
      <w:pPr>
        <w:bidi/>
        <w:rPr>
          <w:rFonts w:ascii="Narkisim" w:hAnsi="Narkisim" w:cs="Narkisim"/>
        </w:rPr>
      </w:pPr>
      <w:r w:rsidRPr="003124AA">
        <w:rPr>
          <w:rFonts w:ascii="Narkisim" w:hAnsi="Narkisim" w:cs="Narkisim"/>
          <w:rtl/>
        </w:rPr>
        <w:t>אבל ה</w:t>
      </w:r>
      <w:r w:rsidRPr="003124AA">
        <w:rPr>
          <w:rFonts w:ascii="Narkisim" w:hAnsi="Narkisim" w:cs="Narkisim"/>
          <w:b/>
          <w:bCs/>
          <w:rtl/>
        </w:rPr>
        <w:t>רשב"א</w:t>
      </w:r>
      <w:r w:rsidRPr="003124AA">
        <w:rPr>
          <w:rFonts w:ascii="Narkisim" w:hAnsi="Narkisim" w:cs="Narkisim"/>
          <w:rtl/>
        </w:rPr>
        <w:t xml:space="preserve"> הביא מבואר בדברי </w:t>
      </w:r>
      <w:r w:rsidRPr="003124AA">
        <w:rPr>
          <w:rFonts w:ascii="Narkisim" w:hAnsi="Narkisim" w:cs="Narkisim"/>
          <w:b/>
          <w:bCs/>
          <w:rtl/>
        </w:rPr>
        <w:t>ר"ח</w:t>
      </w:r>
      <w:r w:rsidRPr="003124AA">
        <w:rPr>
          <w:rFonts w:ascii="Narkisim" w:hAnsi="Narkisim" w:cs="Narkisim"/>
          <w:rtl/>
        </w:rPr>
        <w:t xml:space="preserve"> שפי' דקו' הגמ' 'קרי כאן' הוה סייעתא לר' מאיר</w:t>
      </w:r>
      <w:r w:rsidRPr="003124AA">
        <w:rPr>
          <w:rStyle w:val="ac"/>
          <w:rFonts w:ascii="Narkisim" w:hAnsi="Narkisim" w:cs="Narkisim"/>
          <w:rtl/>
        </w:rPr>
        <w:footnoteReference w:id="7401"/>
      </w:r>
      <w:r w:rsidRPr="003124AA">
        <w:rPr>
          <w:rFonts w:ascii="Narkisim" w:hAnsi="Narkisim" w:cs="Narkisim"/>
          <w:rtl/>
        </w:rPr>
        <w:t>. וקו' רבא מי איכא מידי וכו' הוה קו' על ר' מאיר</w:t>
      </w:r>
      <w:r w:rsidRPr="003124AA">
        <w:rPr>
          <w:rStyle w:val="ac"/>
          <w:rFonts w:ascii="Narkisim" w:hAnsi="Narkisim" w:cs="Narkisim"/>
          <w:rtl/>
        </w:rPr>
        <w:footnoteReference w:id="7402"/>
      </w:r>
      <w:r w:rsidRPr="003124AA">
        <w:rPr>
          <w:rFonts w:ascii="Narkisim" w:hAnsi="Narkisim" w:cs="Narkisim"/>
          <w:rtl/>
        </w:rPr>
        <w:t>. [וע”ע בסמוך].</w:t>
      </w:r>
    </w:p>
    <w:p w14:paraId="72A1796F" w14:textId="77777777" w:rsidR="006C4368" w:rsidRPr="003124AA" w:rsidRDefault="006C4368" w:rsidP="006C4368">
      <w:pPr>
        <w:bidi/>
        <w:rPr>
          <w:rFonts w:ascii="Narkisim" w:hAnsi="Narkisim" w:cs="Narkisim"/>
        </w:rPr>
      </w:pPr>
      <w:r w:rsidRPr="003124AA">
        <w:rPr>
          <w:rFonts w:ascii="Narkisim" w:hAnsi="Narkisim" w:cs="Narkisim"/>
          <w:u w:val="single"/>
          <w:rtl/>
        </w:rPr>
        <w:t>אמר אביי א"ק יבמה יבא עליה כל דהו וכו</w:t>
      </w:r>
      <w:r w:rsidRPr="003124AA">
        <w:rPr>
          <w:rFonts w:ascii="Narkisim" w:hAnsi="Narkisim" w:cs="Narkisim"/>
          <w:rtl/>
        </w:rPr>
        <w:t xml:space="preserve">'. </w:t>
      </w:r>
      <w:r w:rsidRPr="003124AA">
        <w:rPr>
          <w:rFonts w:ascii="Narkisim" w:hAnsi="Narkisim" w:cs="Narkisim"/>
          <w:b/>
          <w:bCs/>
          <w:rtl/>
        </w:rPr>
        <w:t>תוס'</w:t>
      </w:r>
      <w:r w:rsidRPr="003124AA">
        <w:rPr>
          <w:rFonts w:ascii="Narkisim" w:hAnsi="Narkisim" w:cs="Narkisim"/>
          <w:rtl/>
        </w:rPr>
        <w:t xml:space="preserve"> פי' דקטן עומד להגיע לכלל גדלות, ומש"ה לא דמי לסריס [דאין רפואתו ברורה]. ומשמע דמש”ה נחשב מעכשיו 'בר הקמת שם'.</w:t>
      </w:r>
    </w:p>
    <w:p w14:paraId="37BC792E" w14:textId="77777777" w:rsidR="006C4368" w:rsidRPr="003124AA" w:rsidRDefault="006C4368" w:rsidP="006C4368">
      <w:pPr>
        <w:pStyle w:val="a7"/>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(לעיל כ.) כת' דמהני ביאת יבום אף שאינו ראוי להקמת שם</w:t>
      </w:r>
      <w:r w:rsidRPr="003124AA">
        <w:rPr>
          <w:rStyle w:val="ac"/>
          <w:rFonts w:ascii="Narkisim" w:hAnsi="Narkisim"/>
          <w:rtl/>
        </w:rPr>
        <w:footnoteReference w:id="7403"/>
      </w:r>
      <w:r w:rsidRPr="003124AA">
        <w:rPr>
          <w:rFonts w:ascii="Narkisim" w:hAnsi="Narkisim"/>
          <w:rtl/>
        </w:rPr>
        <w:t>, ובעינן דוקא שהיבם והיבמה יהיו ראויין להקמת שם. ונתמעט דוקא סריס ואילונית. ותוס' הוכיחו כן מהא דקטנה מתייבמת, אף דאינה ראויה להוליד עד שתגדל</w:t>
      </w:r>
      <w:r w:rsidRPr="003124AA">
        <w:rPr>
          <w:rStyle w:val="ac"/>
          <w:rFonts w:ascii="Narkisim" w:hAnsi="Narkisim"/>
          <w:rtl/>
        </w:rPr>
        <w:footnoteReference w:id="7404"/>
      </w:r>
      <w:r w:rsidRPr="003124AA">
        <w:rPr>
          <w:rFonts w:ascii="Narkisim" w:hAnsi="Narkisim"/>
          <w:rtl/>
        </w:rPr>
        <w:t xml:space="preserve"> (וכדאי' לעיל יב: וכ”מ). ועוד הביאו תוס' </w:t>
      </w:r>
      <w:r w:rsidRPr="003124AA">
        <w:rPr>
          <w:rFonts w:ascii="Narkisim" w:hAnsi="Narkisim"/>
          <w:rtl/>
        </w:rPr>
        <w:lastRenderedPageBreak/>
        <w:t>מסוגיין, דקטן הבא על הגדולה תגדלנו</w:t>
      </w:r>
      <w:r w:rsidRPr="003124AA">
        <w:rPr>
          <w:rStyle w:val="ac"/>
          <w:rFonts w:ascii="Narkisim" w:hAnsi="Narkisim"/>
          <w:rtl/>
        </w:rPr>
        <w:footnoteReference w:id="7405"/>
      </w:r>
      <w:r w:rsidRPr="003124AA">
        <w:rPr>
          <w:rFonts w:ascii="Narkisim" w:hAnsi="Narkisim"/>
          <w:rtl/>
        </w:rPr>
        <w:t>. [</w:t>
      </w:r>
      <w:r w:rsidRPr="003124AA">
        <w:rPr>
          <w:rFonts w:ascii="Narkisim" w:hAnsi="Narkisim"/>
          <w:szCs w:val="20"/>
          <w:rtl/>
        </w:rPr>
        <w:t>אך לא משמע בתוס' דזה מה שנתחדש בסוגיין, אלא דס"ד דהגמ' דקטן דינו כסריס, דהגברא אינו ראוי. קמ”ל דנחשב שהגברא ראוי, כיון דעומד לכך</w:t>
      </w:r>
      <w:r w:rsidRPr="003124AA">
        <w:rPr>
          <w:rFonts w:ascii="Narkisim" w:hAnsi="Narkisim"/>
          <w:rtl/>
        </w:rPr>
        <w:t>].</w:t>
      </w:r>
    </w:p>
    <w:p w14:paraId="5481BC3E" w14:textId="77777777" w:rsidR="006C4368" w:rsidRPr="003124AA" w:rsidRDefault="006C4368" w:rsidP="006C4368">
      <w:pPr>
        <w:bidi/>
        <w:rPr>
          <w:rFonts w:ascii="Narkisim" w:hAnsi="Narkisim" w:cs="Narkisim"/>
        </w:rPr>
      </w:pPr>
      <w:r w:rsidRPr="003124AA">
        <w:rPr>
          <w:rFonts w:ascii="Narkisim" w:hAnsi="Narkisim" w:cs="Narkisim"/>
          <w:u w:val="single"/>
          <w:rtl/>
        </w:rPr>
        <w:t>רבא אמר וכו' מי איכא מידי דהשתא אסירא ליה ולבתר שעתא שריא וכו' שאין אני קורא בשעת נפילה וכו'</w:t>
      </w:r>
      <w:r w:rsidRPr="003124AA">
        <w:rPr>
          <w:rFonts w:ascii="Narkisim" w:hAnsi="Narkisim" w:cs="Narkisim"/>
          <w:rtl/>
        </w:rPr>
        <w:t xml:space="preserve">. </w:t>
      </w:r>
      <w:r w:rsidRPr="003124AA">
        <w:rPr>
          <w:rFonts w:ascii="Narkisim" w:hAnsi="Narkisim" w:cs="Narkisim"/>
          <w:szCs w:val="20"/>
          <w:rtl/>
        </w:rPr>
        <w:t>[לכאורה מוכח דלהך ס"ד החסרון בגברא, דס”ד דקטן נחשב סריס לזמן. דאי הוה חסרון במעשה היבום לכאורה ל”ש נאסרה משום שהוא בדרך רחוקה]</w:t>
      </w:r>
      <w:r w:rsidRPr="003124AA">
        <w:rPr>
          <w:rFonts w:ascii="Narkisim" w:hAnsi="Narkisim" w:cs="Narkisim"/>
          <w:rtl/>
        </w:rPr>
        <w:t>.</w:t>
      </w:r>
    </w:p>
    <w:p w14:paraId="101F6AE5" w14:textId="77777777" w:rsidR="006C4368" w:rsidRPr="003124AA" w:rsidRDefault="006C4368" w:rsidP="006C4368">
      <w:pPr>
        <w:pStyle w:val="a8"/>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(לעיל ב. ד"ה ואחות) בתחילת דבריהם נקטו דכלל זו דיבמה שנאסרה בשעת נפילה אסורה לעולם הוה סברא שנדחית מיבום. ולכאורה מבואר בגמ' (כאן) דאף היכא דהאיסור יעבור ממילא</w:t>
      </w:r>
      <w:r w:rsidRPr="003124AA">
        <w:rPr>
          <w:rStyle w:val="ac"/>
          <w:rFonts w:ascii="Narkisim" w:hAnsi="Narkisim"/>
          <w:rtl/>
        </w:rPr>
        <w:footnoteReference w:id="7406"/>
      </w:r>
      <w:r w:rsidRPr="003124AA">
        <w:rPr>
          <w:rFonts w:ascii="Narkisim" w:hAnsi="Narkisim"/>
          <w:rtl/>
        </w:rPr>
        <w:t>, מ"מ בשעת נפילה לא היה ראוי.</w:t>
      </w:r>
    </w:p>
    <w:p w14:paraId="20549AE6" w14:textId="77777777" w:rsidR="006C4368" w:rsidRPr="003124AA" w:rsidRDefault="006C4368" w:rsidP="006C4368">
      <w:pPr>
        <w:pStyle w:val="a8"/>
        <w:bidi/>
        <w:rPr>
          <w:rFonts w:ascii="Narkisim" w:hAnsi="Narkisim"/>
        </w:rPr>
      </w:pPr>
      <w:r w:rsidRPr="003124AA">
        <w:rPr>
          <w:rFonts w:ascii="Narkisim" w:hAnsi="Narkisim"/>
          <w:rtl/>
        </w:rPr>
        <w:t>ועוד תי' התוס' דהך כלל הוה משום דאינו דרכי נועם (וע"פ הגמ' לעיל פז:). ותוס' הק' מסוגיין, דבכל אופן צריכה להמתין עד שהיבם יגדל. א"כ מה לי אם בינתיים היבם ראוי או דאינו ראוי להקמת שם. ותוס' תי' דמה שממתנת מחמת שהוא קטן ואינו ראוי לביאה הוי שפיר דרכי נועם. וכאילו הלך יבם למדינת הים [וכ”כ התוס' רא”ש כאן]. אלא דקו' רבא דאילו הוה מחמת איסורא אין זה דרכי נועם.</w:t>
      </w:r>
    </w:p>
    <w:p w14:paraId="68C73CDF"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רשב"א</w:t>
      </w:r>
      <w:r w:rsidRPr="003124AA">
        <w:rPr>
          <w:rFonts w:ascii="Narkisim" w:hAnsi="Narkisim" w:cs="Narkisim"/>
          <w:rtl/>
        </w:rPr>
        <w:t xml:space="preserve"> הביא מדברי </w:t>
      </w:r>
      <w:r w:rsidRPr="003124AA">
        <w:rPr>
          <w:rFonts w:ascii="Narkisim" w:hAnsi="Narkisim" w:cs="Narkisim"/>
          <w:b/>
          <w:bCs/>
          <w:rtl/>
        </w:rPr>
        <w:t>ר”ח</w:t>
      </w:r>
      <w:r w:rsidRPr="003124AA">
        <w:rPr>
          <w:rFonts w:ascii="Narkisim" w:hAnsi="Narkisim" w:cs="Narkisim"/>
          <w:rtl/>
        </w:rPr>
        <w:t xml:space="preserve"> (הנ”ל) דרבא בא לאפוקי מסברת ר' מאיר דחיישינן למיעוטא. דכיון דקי"ל כרב דאמרי' נאסרה, כיון דאסירא ליה השתא, אסירא ליה כשתגדל</w:t>
      </w:r>
      <w:r w:rsidRPr="003124AA">
        <w:rPr>
          <w:rStyle w:val="ac"/>
          <w:rFonts w:ascii="Narkisim" w:hAnsi="Narkisim" w:cs="Narkisim"/>
          <w:rtl/>
        </w:rPr>
        <w:footnoteReference w:id="7407"/>
      </w:r>
      <w:r w:rsidRPr="003124AA">
        <w:rPr>
          <w:rFonts w:ascii="Narkisim" w:hAnsi="Narkisim" w:cs="Narkisim"/>
          <w:rtl/>
        </w:rPr>
        <w:t>. וה</w:t>
      </w:r>
      <w:r w:rsidRPr="003124AA">
        <w:rPr>
          <w:rFonts w:ascii="Narkisim" w:hAnsi="Narkisim" w:cs="Narkisim"/>
          <w:b/>
          <w:bCs/>
          <w:rtl/>
        </w:rPr>
        <w:t>רשב”א</w:t>
      </w:r>
      <w:r w:rsidRPr="003124AA">
        <w:rPr>
          <w:rFonts w:ascii="Narkisim" w:hAnsi="Narkisim" w:cs="Narkisim"/>
          <w:rtl/>
        </w:rPr>
        <w:t xml:space="preserve"> תמה דטעמא דר"מ משום שמא ימצא סריס, ואם יבא אליהו ויאמר דלאו סריס הוא מותרת</w:t>
      </w:r>
      <w:r w:rsidRPr="003124AA">
        <w:rPr>
          <w:rStyle w:val="ac"/>
          <w:rFonts w:ascii="Narkisim" w:hAnsi="Narkisim" w:cs="Narkisim"/>
          <w:rtl/>
        </w:rPr>
        <w:footnoteReference w:id="7408"/>
      </w:r>
      <w:r w:rsidRPr="003124AA">
        <w:rPr>
          <w:rFonts w:ascii="Narkisim" w:hAnsi="Narkisim" w:cs="Narkisim"/>
          <w:rtl/>
        </w:rPr>
        <w:t>. א"כ השתא נמי איגלאי מלתא למפרע דלאו סריס הוא וראוי ליבום.</w:t>
      </w:r>
    </w:p>
    <w:p w14:paraId="3E77369D"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הק' דנימא דכל הנשים אסורות להתייבם עד שיעברו עליהם ג' חדשים, שמא מעוברות הן. ואפ"ה קרינא בה יבמה יבא עליה</w:t>
      </w:r>
      <w:r w:rsidRPr="003124AA">
        <w:rPr>
          <w:rStyle w:val="ac"/>
          <w:rFonts w:ascii="Narkisim" w:hAnsi="Narkisim"/>
          <w:rtl/>
        </w:rPr>
        <w:footnoteReference w:id="7409"/>
      </w:r>
      <w:r w:rsidRPr="003124AA">
        <w:rPr>
          <w:rFonts w:ascii="Narkisim" w:hAnsi="Narkisim"/>
          <w:rtl/>
        </w:rPr>
        <w:t>. וטעמא כדאמרן דאיגלאי מלתא למפרע דראויה להתייבם.</w:t>
      </w:r>
    </w:p>
    <w:p w14:paraId="7E770BAF" w14:textId="77777777" w:rsidR="006C4368" w:rsidRPr="003124AA" w:rsidRDefault="006C4368" w:rsidP="006C4368">
      <w:pPr>
        <w:pStyle w:val="a8"/>
        <w:bidi/>
        <w:rPr>
          <w:rFonts w:ascii="Narkisim" w:hAnsi="Narkisim"/>
        </w:rPr>
      </w:pPr>
      <w:r w:rsidRPr="003124AA">
        <w:rPr>
          <w:rFonts w:ascii="Narkisim" w:hAnsi="Narkisim"/>
          <w:rtl/>
        </w:rPr>
        <w:t>והרשב”א הוסיף דאף דאי' (לעיל מא:) דאף אי יבא אליהו אינה רשאית להתייבם תוך ג' חדשים, דתקנו לא פלוג משום הבחנה, ואפי' אילו יבא אליהו [וכדאי' גמ' (לעיל מא:)</w:t>
      </w:r>
      <w:r w:rsidRPr="003124AA">
        <w:rPr>
          <w:rStyle w:val="ac"/>
          <w:rFonts w:ascii="Narkisim" w:hAnsi="Narkisim"/>
          <w:rtl/>
        </w:rPr>
        <w:footnoteReference w:id="7410"/>
      </w:r>
      <w:r w:rsidRPr="003124AA">
        <w:rPr>
          <w:rFonts w:ascii="Narkisim" w:hAnsi="Narkisim"/>
          <w:rtl/>
        </w:rPr>
        <w:t>]. מ"מ הוה גזירה בעלמא</w:t>
      </w:r>
      <w:r w:rsidRPr="003124AA">
        <w:rPr>
          <w:rStyle w:val="ac"/>
          <w:rFonts w:ascii="Narkisim" w:hAnsi="Narkisim"/>
          <w:rtl/>
        </w:rPr>
        <w:footnoteReference w:id="7411"/>
      </w:r>
      <w:r w:rsidRPr="003124AA">
        <w:rPr>
          <w:rFonts w:ascii="Narkisim" w:hAnsi="Narkisim"/>
          <w:rtl/>
        </w:rPr>
        <w:t>, וכ"ש בסוגיין דאם יבא אליהו מותרת.</w:t>
      </w:r>
    </w:p>
    <w:p w14:paraId="380832EF" w14:textId="77777777" w:rsidR="006C4368" w:rsidRPr="003124AA" w:rsidRDefault="006C4368" w:rsidP="006C4368">
      <w:pPr>
        <w:pStyle w:val="a8"/>
        <w:bidi/>
        <w:rPr>
          <w:rFonts w:ascii="Narkisim" w:hAnsi="Narkisim"/>
        </w:rPr>
      </w:pPr>
      <w:r w:rsidRPr="003124AA">
        <w:rPr>
          <w:rFonts w:ascii="Narkisim" w:hAnsi="Narkisim"/>
          <w:rtl/>
        </w:rPr>
        <w:t>והרשב"א הביא דגדולה מזו אמר ר"ל (לעיל לה:) גבי מעוברת, דדרשי' אין לו עיין עליו, ואפ"ה בשהפילה חולצת או מתיבמת, ולא קרינא ביה כל יבמה שאין אני קורא בה בשעת נפילה יבמה יבא עליה. וטעמא דמלתא משום דלא אמר רחמנא אלא שיעיין עליה אם תלד בן קיימא. ואף דלא אמרי' התם איגלאי מילתא למפרע [דהא ל"מ החליצה בעודה מעוברת].</w:t>
      </w:r>
    </w:p>
    <w:p w14:paraId="2D96C621" w14:textId="77777777" w:rsidR="006C4368" w:rsidRPr="003124AA" w:rsidRDefault="006C4368" w:rsidP="006C4368">
      <w:pPr>
        <w:pStyle w:val="a8"/>
        <w:bidi/>
        <w:rPr>
          <w:rFonts w:ascii="Narkisim" w:hAnsi="Narkisim"/>
        </w:rPr>
      </w:pPr>
      <w:r w:rsidRPr="003124AA">
        <w:rPr>
          <w:rFonts w:ascii="Narkisim" w:hAnsi="Narkisim"/>
          <w:rtl/>
        </w:rPr>
        <w:t>וצ"ב כוונת הרשב"א, דכיון דהוה מכאן ולהבא מ"ט לא אמרי' נאסרה. וה</w:t>
      </w:r>
      <w:r w:rsidRPr="003124AA">
        <w:rPr>
          <w:rFonts w:ascii="Narkisim" w:hAnsi="Narkisim"/>
          <w:b/>
          <w:bCs/>
          <w:rtl/>
        </w:rPr>
        <w:t>קה"י</w:t>
      </w:r>
      <w:r w:rsidRPr="003124AA">
        <w:rPr>
          <w:rFonts w:ascii="Narkisim" w:hAnsi="Narkisim"/>
          <w:rtl/>
        </w:rPr>
        <w:t xml:space="preserve"> (יח) ביאר דגדר 'עיין עליו' [דמעוברת] דידיעת הדבר [שאינו בן קיימא] מתיר ליבום. ומש"ה משעה שנודע דאינו בן קיימא מתייבמת [משעה ראשונה], ולא נעשית איזה שינוי וחלות על הזמן שעבר.</w:t>
      </w:r>
    </w:p>
    <w:p w14:paraId="0C3BA886"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קה"י</w:t>
      </w:r>
      <w:r w:rsidRPr="003124AA">
        <w:rPr>
          <w:rFonts w:ascii="Narkisim" w:hAnsi="Narkisim"/>
          <w:rtl/>
        </w:rPr>
        <w:t xml:space="preserve"> דן דהיכא דזקוקה לכמה יבמים, ע"י יבום וחליצה של א' מהם נעקר למפרע הזיקה מהאחים. </w:t>
      </w:r>
      <w:r w:rsidRPr="003124AA">
        <w:rPr>
          <w:rFonts w:ascii="Narkisim" w:hAnsi="Narkisim"/>
          <w:rtl/>
        </w:rPr>
        <w:lastRenderedPageBreak/>
        <w:t>[וה</w:t>
      </w:r>
      <w:r w:rsidRPr="003124AA">
        <w:rPr>
          <w:rFonts w:ascii="Narkisim" w:hAnsi="Narkisim"/>
          <w:b/>
          <w:bCs/>
          <w:rtl/>
        </w:rPr>
        <w:t>אחרונים</w:t>
      </w:r>
      <w:r w:rsidRPr="003124AA">
        <w:rPr>
          <w:rFonts w:ascii="Narkisim" w:hAnsi="Narkisim"/>
          <w:rtl/>
        </w:rPr>
        <w:t xml:space="preserve"> האריכו בגדר זה אי הוה למפרע. וע' מש"כ לעיל יח. וכ"מ]. והקה"י הק' דאי נעקר למפרע, ולמפרע הותר האיסור זקוקתו. א"כ אמאי מבואר (לעיל כז:) דיש בזה נאסרה. והקה"י הוכיח מהתם דאמרי' נאסרה אף היכא ד'נעקר' למפרע ע”י סיבה שנתחדש</w:t>
      </w:r>
      <w:r w:rsidRPr="003124AA">
        <w:rPr>
          <w:rStyle w:val="ac"/>
          <w:rFonts w:ascii="Narkisim" w:hAnsi="Narkisim"/>
          <w:rtl/>
        </w:rPr>
        <w:footnoteReference w:id="7412"/>
      </w:r>
      <w:r w:rsidRPr="003124AA">
        <w:rPr>
          <w:rFonts w:ascii="Narkisim" w:hAnsi="Narkisim"/>
          <w:rtl/>
        </w:rPr>
        <w:t>. וכמו שחכם עוקר את הנדר למפרע, דלא אמרי' דנתברר שלא היה איסור מעולם. ואילו הרשב"א (הנ"ל) איירי שנתברר שלא היה אסורה, ולא נעקר ע"י מעשה. וע"י הבירור נתברר שלא היתה אסורה מעולם.</w:t>
      </w:r>
    </w:p>
    <w:p w14:paraId="67BCC98F" w14:textId="77777777" w:rsidR="006C4368" w:rsidRPr="003124AA" w:rsidRDefault="006C4368" w:rsidP="006C4368">
      <w:pPr>
        <w:pStyle w:val="a8"/>
        <w:bidi/>
        <w:rPr>
          <w:rFonts w:ascii="Narkisim" w:hAnsi="Narkisim"/>
        </w:rPr>
      </w:pPr>
      <w:r w:rsidRPr="003124AA">
        <w:rPr>
          <w:rFonts w:ascii="Narkisim" w:hAnsi="Narkisim"/>
          <w:rtl/>
        </w:rPr>
        <w:t>אך הקה”י הביא דמבואר במשנה (לעיל קט.) גבי ממאנת, דמהני שהקטנה ממאנת שהגדולה מתייבמת. ולא אמרי' דמעיקרא אסירא ליה השתא נמי אסירה. וכת' דצ”ל דע"י מיאון נתברר למפרע, ולא הוה בגדר עקירה למפרע. [וצ"ע מדברי הראשונים והפוסקים בכ"מ דמבואר דנעקר למפרע, וכמו התרת נדרים. וע"ע מש"כ לעיל קח.].</w:t>
      </w:r>
    </w:p>
    <w:p w14:paraId="508D6B95" w14:textId="77777777" w:rsidR="006C4368" w:rsidRPr="003124AA" w:rsidRDefault="006C4368" w:rsidP="006C4368">
      <w:pPr>
        <w:pStyle w:val="aa"/>
        <w:bidi/>
        <w:rPr>
          <w:rFonts w:ascii="Narkisim" w:hAnsi="Narkisim"/>
        </w:rPr>
      </w:pPr>
      <w:r w:rsidRPr="003124AA">
        <w:rPr>
          <w:rFonts w:ascii="Narkisim" w:hAnsi="Narkisim"/>
          <w:rtl/>
        </w:rPr>
        <w:t>ור"ח נקט דאף היכא דנתברר למפרע אמרי' נאסרה</w:t>
      </w:r>
      <w:r w:rsidRPr="003124AA">
        <w:rPr>
          <w:rStyle w:val="ac"/>
          <w:rFonts w:ascii="Narkisim" w:hAnsi="Narkisim"/>
          <w:rtl/>
        </w:rPr>
        <w:footnoteReference w:id="7413"/>
      </w:r>
      <w:r w:rsidRPr="003124AA">
        <w:rPr>
          <w:rFonts w:ascii="Narkisim" w:hAnsi="Narkisim"/>
          <w:rtl/>
        </w:rPr>
        <w:t>, וצ"ע מכל הנך. והקה"י פי' דבכל הנך זמנו קבוע והדבר עומד להתברר בודאי, ומש”ה לא אמרי' נאסרה. [דבסוף ג' חדשים ידעו האם מעוברת. וכן מעוברת בסוף ירחי לידה ידעו]. אבל סריס ואילונית, אילו הוא סריס לא יביא סימנים כשיבא לכלל שנים. ואף עד רוב שנותיו אפשר דנשרו סימניו. וכיון דאינו עומד להתברר לגמרי אמרי' נאסרה</w:t>
      </w:r>
      <w:r w:rsidRPr="003124AA">
        <w:rPr>
          <w:rStyle w:val="ac"/>
          <w:rFonts w:ascii="Narkisim" w:hAnsi="Narkisim"/>
          <w:rtl/>
        </w:rPr>
        <w:footnoteReference w:id="7414"/>
      </w:r>
      <w:r w:rsidRPr="003124AA">
        <w:rPr>
          <w:rFonts w:ascii="Narkisim" w:hAnsi="Narkisim"/>
          <w:rtl/>
        </w:rPr>
        <w:t>.</w:t>
      </w:r>
    </w:p>
    <w:p w14:paraId="5C651DE6" w14:textId="77777777" w:rsidR="006C4368" w:rsidRPr="003124AA" w:rsidRDefault="006C4368" w:rsidP="006C4368">
      <w:pPr>
        <w:pStyle w:val="aa"/>
        <w:bidi/>
        <w:rPr>
          <w:rFonts w:ascii="Narkisim" w:hAnsi="Narkisim"/>
        </w:rPr>
      </w:pPr>
      <w:r w:rsidRPr="003124AA">
        <w:rPr>
          <w:rFonts w:ascii="Narkisim" w:hAnsi="Narkisim"/>
          <w:u w:val="single"/>
          <w:rtl/>
        </w:rPr>
        <w:t>תוד"ה יבמה</w:t>
      </w:r>
      <w:r w:rsidRPr="003124AA">
        <w:rPr>
          <w:rFonts w:ascii="Narkisim" w:hAnsi="Narkisim"/>
          <w:rtl/>
        </w:rPr>
        <w:t>. מדלא כתיב אחי המת. וה</w:t>
      </w:r>
      <w:r w:rsidRPr="003124AA">
        <w:rPr>
          <w:rFonts w:ascii="Narkisim" w:hAnsi="Narkisim"/>
          <w:b/>
          <w:bCs/>
          <w:rtl/>
        </w:rPr>
        <w:t>תוס' רא"ש</w:t>
      </w:r>
      <w:r w:rsidRPr="003124AA">
        <w:rPr>
          <w:rFonts w:ascii="Narkisim" w:hAnsi="Narkisim"/>
          <w:rtl/>
        </w:rPr>
        <w:t xml:space="preserve"> ביאר דאח המת הוה משמע אח שהוא גדול, וכמו המת.</w:t>
      </w:r>
    </w:p>
    <w:p w14:paraId="2E38FA8A" w14:textId="77777777" w:rsidR="006C4368" w:rsidRPr="003124AA" w:rsidRDefault="006C4368" w:rsidP="006C4368">
      <w:pPr>
        <w:pStyle w:val="2"/>
        <w:bidi/>
        <w:rPr>
          <w:rFonts w:ascii="Narkisim" w:hAnsi="Narkisim"/>
        </w:rPr>
      </w:pPr>
      <w:r w:rsidRPr="003124AA">
        <w:rPr>
          <w:rFonts w:ascii="Narkisim" w:hAnsi="Narkisim"/>
          <w:rtl/>
        </w:rPr>
        <w:t>היבמה שאמרה לא נבעלתי</w:t>
      </w:r>
    </w:p>
    <w:p w14:paraId="5AF04EE2" w14:textId="77777777" w:rsidR="006C4368" w:rsidRPr="003124AA" w:rsidRDefault="006C4368" w:rsidP="006C4368">
      <w:pPr>
        <w:bidi/>
        <w:rPr>
          <w:rFonts w:ascii="Narkisim" w:hAnsi="Narkisim" w:cs="Narkisim"/>
        </w:rPr>
      </w:pPr>
      <w:r w:rsidRPr="003124AA">
        <w:rPr>
          <w:rFonts w:ascii="Narkisim" w:hAnsi="Narkisim" w:cs="Narkisim"/>
          <w:u w:val="single"/>
          <w:rtl/>
        </w:rPr>
        <w:t>היבמה שאמרה בתוך ל'</w:t>
      </w:r>
      <w:r w:rsidRPr="003124AA">
        <w:rPr>
          <w:rFonts w:ascii="Narkisim" w:hAnsi="Narkisim" w:cs="Narkisim"/>
          <w:rtl/>
        </w:rPr>
        <w:t>. [במשנה]. פ</w:t>
      </w:r>
      <w:r w:rsidRPr="003124AA">
        <w:rPr>
          <w:rFonts w:ascii="Narkisim" w:hAnsi="Narkisim" w:cs="Narkisim"/>
          <w:b/>
          <w:bCs/>
          <w:rtl/>
        </w:rPr>
        <w:t>רש"י</w:t>
      </w:r>
      <w:r w:rsidRPr="003124AA">
        <w:rPr>
          <w:rFonts w:ascii="Narkisim" w:hAnsi="Narkisim" w:cs="Narkisim"/>
          <w:rtl/>
        </w:rPr>
        <w:t xml:space="preserve"> שכנסה היבם. ה</w:t>
      </w:r>
      <w:r w:rsidRPr="003124AA">
        <w:rPr>
          <w:rFonts w:ascii="Narkisim" w:hAnsi="Narkisim" w:cs="Narkisim"/>
          <w:b/>
          <w:bCs/>
          <w:rtl/>
        </w:rPr>
        <w:t>ריא"ז</w:t>
      </w:r>
      <w:r w:rsidRPr="003124AA">
        <w:rPr>
          <w:rFonts w:ascii="Narkisim" w:hAnsi="Narkisim" w:cs="Narkisim"/>
          <w:rtl/>
        </w:rPr>
        <w:t xml:space="preserve"> (כאן יא, הו' בקיצור בשלט”ג לח: בדה”ר ובדרכ”מ ורמ”א קסו) כת' דאיירי שכנסה ונתייחד עמה בעדים. דאי לא כנסה, ולא נתייחד עמה בעדים אפי' שניהם מודים שבעל אינה נקנית לו באותו ביאה בלא עדים. [דיבום צריך עדות לקיומי].</w:t>
      </w:r>
    </w:p>
    <w:p w14:paraId="500F0A45"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משנ"ל</w:t>
      </w:r>
      <w:r w:rsidRPr="003124AA">
        <w:rPr>
          <w:rFonts w:ascii="Narkisim" w:hAnsi="Narkisim"/>
          <w:rtl/>
        </w:rPr>
        <w:t xml:space="preserve"> (ב ד) נסתפק בזה האם יבום צריך עדות לקיומי [והביא דברי הריא"ז, וכ”כ כמה ראשונים</w:t>
      </w:r>
      <w:r w:rsidRPr="003124AA">
        <w:rPr>
          <w:rStyle w:val="ac"/>
          <w:rFonts w:ascii="Narkisim" w:hAnsi="Narkisim"/>
          <w:rtl/>
        </w:rPr>
        <w:footnoteReference w:id="7415"/>
      </w:r>
      <w:r w:rsidRPr="003124AA">
        <w:rPr>
          <w:rFonts w:ascii="Narkisim" w:hAnsi="Narkisim"/>
          <w:rtl/>
        </w:rPr>
        <w:t>], או דילמא כי היכי דקנה אפי' שניהם שוגגין (לעיל נג:), ה"נ אפי' ליכא עדים קנה. וכ”כ ב</w:t>
      </w:r>
      <w:r w:rsidRPr="003124AA">
        <w:rPr>
          <w:rFonts w:ascii="Narkisim" w:hAnsi="Narkisim"/>
          <w:b/>
          <w:bCs/>
          <w:rtl/>
        </w:rPr>
        <w:t>שו"ת הרשב”א</w:t>
      </w:r>
      <w:r w:rsidRPr="003124AA">
        <w:rPr>
          <w:rFonts w:ascii="Narkisim" w:hAnsi="Narkisim"/>
          <w:rtl/>
        </w:rPr>
        <w:t xml:space="preserve"> (ד שכח) דאשה הקנו לו מן השמים</w:t>
      </w:r>
      <w:r w:rsidRPr="003124AA">
        <w:rPr>
          <w:rStyle w:val="ac"/>
          <w:rFonts w:ascii="Narkisim" w:hAnsi="Narkisim"/>
          <w:rtl/>
        </w:rPr>
        <w:footnoteReference w:id="7416"/>
      </w:r>
      <w:r w:rsidRPr="003124AA">
        <w:rPr>
          <w:rFonts w:ascii="Narkisim" w:hAnsi="Narkisim"/>
          <w:rtl/>
        </w:rPr>
        <w:t>.</w:t>
      </w:r>
    </w:p>
    <w:p w14:paraId="6C09CE8F" w14:textId="77777777" w:rsidR="006C4368" w:rsidRPr="003124AA" w:rsidRDefault="006C4368" w:rsidP="006C4368">
      <w:pPr>
        <w:pStyle w:val="a7"/>
        <w:bidi/>
        <w:rPr>
          <w:rFonts w:ascii="Narkisim" w:hAnsi="Narkisim"/>
        </w:rPr>
      </w:pPr>
      <w:r w:rsidRPr="003124AA">
        <w:rPr>
          <w:rFonts w:ascii="Narkisim" w:hAnsi="Narkisim"/>
          <w:rtl/>
        </w:rPr>
        <w:t>וב</w:t>
      </w:r>
      <w:r w:rsidRPr="003124AA">
        <w:rPr>
          <w:rFonts w:ascii="Narkisim" w:hAnsi="Narkisim"/>
          <w:b/>
          <w:bCs/>
          <w:rtl/>
        </w:rPr>
        <w:t>שו"ת הרשב"א</w:t>
      </w:r>
      <w:r w:rsidRPr="003124AA">
        <w:rPr>
          <w:rFonts w:ascii="Narkisim" w:hAnsi="Narkisim"/>
          <w:rtl/>
        </w:rPr>
        <w:t xml:space="preserve"> הביא דבמשנה דידן (והגמ') דאומרת לא נבעלתי מוכח דאי"צ עדים</w:t>
      </w:r>
      <w:r w:rsidRPr="003124AA">
        <w:rPr>
          <w:rStyle w:val="ac"/>
          <w:rFonts w:ascii="Narkisim" w:hAnsi="Narkisim"/>
          <w:rtl/>
        </w:rPr>
        <w:footnoteReference w:id="7417"/>
      </w:r>
      <w:r w:rsidRPr="003124AA">
        <w:rPr>
          <w:rFonts w:ascii="Narkisim" w:hAnsi="Narkisim"/>
          <w:rtl/>
        </w:rPr>
        <w:t>. [דאי יש עדי יחוד, יש עדות דנבעלה]. ואילו ה</w:t>
      </w:r>
      <w:r w:rsidRPr="003124AA">
        <w:rPr>
          <w:rFonts w:ascii="Narkisim" w:hAnsi="Narkisim"/>
          <w:b/>
          <w:bCs/>
          <w:rtl/>
        </w:rPr>
        <w:t>ריא"ז</w:t>
      </w:r>
      <w:r w:rsidRPr="003124AA">
        <w:rPr>
          <w:rFonts w:ascii="Narkisim" w:hAnsi="Narkisim"/>
          <w:rtl/>
        </w:rPr>
        <w:t xml:space="preserve"> כת' דאף דנתייחד בפני עדים היכא דשניהם מודים</w:t>
      </w:r>
      <w:r w:rsidRPr="003124AA">
        <w:rPr>
          <w:rStyle w:val="ac"/>
          <w:rFonts w:ascii="Narkisim" w:hAnsi="Narkisim"/>
          <w:rtl/>
        </w:rPr>
        <w:footnoteReference w:id="7418"/>
      </w:r>
      <w:r w:rsidRPr="003124AA">
        <w:rPr>
          <w:rFonts w:ascii="Narkisim" w:hAnsi="Narkisim"/>
          <w:rtl/>
        </w:rPr>
        <w:t xml:space="preserve"> שלא נבעלה נאמנים, ואי”צ גט אלא חליצה</w:t>
      </w:r>
      <w:r w:rsidRPr="003124AA">
        <w:rPr>
          <w:rStyle w:val="ac"/>
          <w:rFonts w:ascii="Narkisim" w:hAnsi="Narkisim"/>
          <w:rtl/>
        </w:rPr>
        <w:footnoteReference w:id="7419"/>
      </w:r>
      <w:r w:rsidRPr="003124AA">
        <w:rPr>
          <w:rFonts w:ascii="Narkisim" w:hAnsi="Narkisim"/>
          <w:rtl/>
        </w:rPr>
        <w:t>.</w:t>
      </w:r>
    </w:p>
    <w:p w14:paraId="4F462774" w14:textId="77777777" w:rsidR="006C4368" w:rsidRPr="003124AA" w:rsidRDefault="006C4368" w:rsidP="006C4368">
      <w:pPr>
        <w:pStyle w:val="a7"/>
        <w:bidi/>
        <w:rPr>
          <w:rFonts w:ascii="Narkisim" w:hAnsi="Narkisim"/>
        </w:rPr>
      </w:pPr>
      <w:r w:rsidRPr="003124AA">
        <w:rPr>
          <w:rFonts w:ascii="Narkisim" w:hAnsi="Narkisim"/>
          <w:rtl/>
        </w:rPr>
        <w:lastRenderedPageBreak/>
        <w:t>ועוד יש שפי' דבסוגיין איירי דהכניסה לביתו דרך נישואין, אך ליכא עדי יחוד להדיא. והנידון כאן ע"פ סברת ה</w:t>
      </w:r>
      <w:r w:rsidRPr="003124AA">
        <w:rPr>
          <w:rFonts w:ascii="Narkisim" w:hAnsi="Narkisim"/>
          <w:b/>
          <w:bCs/>
          <w:rtl/>
        </w:rPr>
        <w:t>רא"ה</w:t>
      </w:r>
      <w:r w:rsidRPr="003124AA">
        <w:rPr>
          <w:rFonts w:ascii="Narkisim" w:hAnsi="Narkisim"/>
          <w:rtl/>
        </w:rPr>
        <w:t xml:space="preserve"> (הו' לעיל קי.) דסגי שדרים כאיש ואשתו, ומהני להחשב עדות לקיומי</w:t>
      </w:r>
      <w:r w:rsidRPr="003124AA">
        <w:rPr>
          <w:rStyle w:val="ac"/>
          <w:rFonts w:ascii="Narkisim" w:hAnsi="Narkisim"/>
          <w:rtl/>
        </w:rPr>
        <w:footnoteReference w:id="7420"/>
      </w:r>
      <w:r w:rsidRPr="003124AA">
        <w:rPr>
          <w:rFonts w:ascii="Narkisim" w:hAnsi="Narkisim"/>
          <w:rtl/>
        </w:rPr>
        <w:t xml:space="preserve">. ואי"צ עדות יחוד. </w:t>
      </w:r>
      <w:r w:rsidRPr="003124AA">
        <w:rPr>
          <w:rFonts w:ascii="Narkisim" w:hAnsi="Narkisim"/>
          <w:szCs w:val="20"/>
          <w:rtl/>
        </w:rPr>
        <w:t>וב</w:t>
      </w:r>
      <w:r w:rsidRPr="003124AA">
        <w:rPr>
          <w:rFonts w:ascii="Narkisim" w:hAnsi="Narkisim"/>
          <w:b/>
          <w:bCs/>
          <w:szCs w:val="20"/>
          <w:rtl/>
        </w:rPr>
        <w:t>הג' חש"ל</w:t>
      </w:r>
      <w:r w:rsidRPr="003124AA">
        <w:rPr>
          <w:rFonts w:ascii="Narkisim" w:hAnsi="Narkisim"/>
          <w:szCs w:val="20"/>
          <w:rtl/>
        </w:rPr>
        <w:t xml:space="preserve"> נקט דמה שהיתה בביתו ל' יום נחשב כעדי קיום</w:t>
      </w:r>
      <w:r w:rsidRPr="003124AA">
        <w:rPr>
          <w:rFonts w:ascii="Narkisim" w:hAnsi="Narkisim"/>
          <w:rtl/>
        </w:rPr>
        <w:t>.</w:t>
      </w:r>
    </w:p>
    <w:p w14:paraId="51646F5F"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תוס' הרא”ש</w:t>
      </w:r>
      <w:r w:rsidRPr="003124AA">
        <w:rPr>
          <w:rFonts w:ascii="Narkisim" w:hAnsi="Narkisim"/>
          <w:rtl/>
        </w:rPr>
        <w:t xml:space="preserve"> (קידושין סה:) כת' נראה דמקדש בביאה לכו"ע הן הן עדי יחוד הן הן עדי ביאה, כיון דידוע דאדעתא דביאה נתייחדו</w:t>
      </w:r>
      <w:r w:rsidRPr="003124AA">
        <w:rPr>
          <w:rStyle w:val="ac"/>
          <w:rFonts w:ascii="Narkisim" w:hAnsi="Narkisim"/>
          <w:rtl/>
        </w:rPr>
        <w:footnoteReference w:id="7421"/>
      </w:r>
      <w:r w:rsidRPr="003124AA">
        <w:rPr>
          <w:rFonts w:ascii="Narkisim" w:hAnsi="Narkisim"/>
          <w:rtl/>
        </w:rPr>
        <w:t>. ו</w:t>
      </w:r>
      <w:r w:rsidRPr="003124AA">
        <w:rPr>
          <w:rFonts w:ascii="Narkisim" w:hAnsi="Narkisim"/>
          <w:b/>
          <w:bCs/>
          <w:rtl/>
        </w:rPr>
        <w:t>ה"ה</w:t>
      </w:r>
      <w:r w:rsidRPr="003124AA">
        <w:rPr>
          <w:rFonts w:ascii="Narkisim" w:hAnsi="Narkisim"/>
          <w:rtl/>
        </w:rPr>
        <w:t xml:space="preserve"> (אישות ג ה) ביאר הא דהמייחד עדים לקדש בביאה מקודשת, דפשוט הוא שכל האומר בפני עדים שמתייחד עמה על דעת לקדשה, אמרי' הן הן עידי ביאה</w:t>
      </w:r>
      <w:r w:rsidRPr="003124AA">
        <w:rPr>
          <w:rStyle w:val="ac"/>
          <w:rFonts w:ascii="Narkisim" w:hAnsi="Narkisim"/>
          <w:rtl/>
        </w:rPr>
        <w:footnoteReference w:id="7422"/>
      </w:r>
      <w:r w:rsidRPr="003124AA">
        <w:rPr>
          <w:rFonts w:ascii="Narkisim" w:hAnsi="Narkisim"/>
          <w:rtl/>
        </w:rPr>
        <w:t>. ומשמע דהך אומדנא</w:t>
      </w:r>
      <w:r w:rsidRPr="003124AA">
        <w:rPr>
          <w:rStyle w:val="ac"/>
          <w:rFonts w:ascii="Narkisim" w:hAnsi="Narkisim"/>
          <w:rtl/>
        </w:rPr>
        <w:footnoteReference w:id="7423"/>
      </w:r>
      <w:r w:rsidRPr="003124AA">
        <w:rPr>
          <w:rFonts w:ascii="Narkisim" w:hAnsi="Narkisim"/>
          <w:rtl/>
        </w:rPr>
        <w:t xml:space="preserve"> משום דאמרו לעדים שנתייחדו ע"ד ביאה</w:t>
      </w:r>
      <w:r w:rsidRPr="003124AA">
        <w:rPr>
          <w:rStyle w:val="ac"/>
          <w:rFonts w:ascii="Narkisim" w:hAnsi="Narkisim"/>
          <w:rtl/>
        </w:rPr>
        <w:footnoteReference w:id="7424"/>
      </w:r>
      <w:r w:rsidRPr="003124AA">
        <w:rPr>
          <w:rFonts w:ascii="Narkisim" w:hAnsi="Narkisim"/>
          <w:rtl/>
        </w:rPr>
        <w:t>. ועפ"ז י"ל דהכא איירי דיש עדי יחוד ונישואין, אך לא ייחדו עדים לנישואין</w:t>
      </w:r>
      <w:r w:rsidRPr="003124AA">
        <w:rPr>
          <w:rStyle w:val="ac"/>
          <w:rFonts w:ascii="Narkisim" w:hAnsi="Narkisim"/>
          <w:rtl/>
        </w:rPr>
        <w:footnoteReference w:id="7425"/>
      </w:r>
      <w:r w:rsidRPr="003124AA">
        <w:rPr>
          <w:rFonts w:ascii="Narkisim" w:hAnsi="Narkisim"/>
          <w:rtl/>
        </w:rPr>
        <w:t>.</w:t>
      </w:r>
    </w:p>
    <w:p w14:paraId="15116E60" w14:textId="77777777" w:rsidR="006C4368" w:rsidRPr="003124AA" w:rsidRDefault="006C4368" w:rsidP="006C4368">
      <w:pPr>
        <w:bidi/>
        <w:rPr>
          <w:rFonts w:ascii="Narkisim" w:hAnsi="Narkisim" w:cs="Narkisim"/>
        </w:rPr>
      </w:pPr>
      <w:r w:rsidRPr="003124AA">
        <w:rPr>
          <w:rFonts w:ascii="Narkisim" w:hAnsi="Narkisim" w:cs="Narkisim"/>
          <w:u w:val="single"/>
          <w:rtl/>
        </w:rPr>
        <w:t>דתניא טענת בתולים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להפסידה כתובתה. ה</w:t>
      </w:r>
      <w:r w:rsidRPr="003124AA">
        <w:rPr>
          <w:rFonts w:ascii="Narkisim" w:hAnsi="Narkisim" w:cs="Narkisim"/>
          <w:b/>
          <w:bCs/>
          <w:rtl/>
        </w:rPr>
        <w:t>ריטב"א</w:t>
      </w:r>
      <w:r w:rsidRPr="003124AA">
        <w:rPr>
          <w:rFonts w:ascii="Narkisim" w:hAnsi="Narkisim" w:cs="Narkisim"/>
          <w:rtl/>
        </w:rPr>
        <w:t xml:space="preserve"> פי' דאילו לאוסרה לעולם נאמן, דשויא אנפשיה חתיכה דאיסורא. וכדאי' (כתובות ט:) דאפי' ביהודה [דהיה מתייחד עמה] ודאי נאסרת משום שויא אנפשיה.</w:t>
      </w:r>
    </w:p>
    <w:p w14:paraId="58C40AB3" w14:textId="77777777" w:rsidR="006C4368" w:rsidRPr="003124AA" w:rsidRDefault="006C4368" w:rsidP="006C4368">
      <w:pPr>
        <w:pStyle w:val="aa"/>
        <w:bidi/>
        <w:rPr>
          <w:rFonts w:ascii="Narkisim" w:hAnsi="Narkisim"/>
        </w:rPr>
      </w:pPr>
      <w:r w:rsidRPr="003124AA">
        <w:rPr>
          <w:rFonts w:ascii="Narkisim" w:hAnsi="Narkisim"/>
          <w:u w:val="single"/>
          <w:rtl/>
        </w:rPr>
        <w:t>כל ל' יום דברי ר"מ, ר' יוסי אומר נסתרה לאלתר</w:t>
      </w:r>
      <w:r w:rsidRPr="003124AA">
        <w:rPr>
          <w:rFonts w:ascii="Narkisim" w:hAnsi="Narkisim"/>
          <w:rtl/>
        </w:rPr>
        <w:t>. פ</w:t>
      </w:r>
      <w:r w:rsidRPr="003124AA">
        <w:rPr>
          <w:rFonts w:ascii="Narkisim" w:hAnsi="Narkisim"/>
          <w:b/>
          <w:bCs/>
          <w:rtl/>
        </w:rPr>
        <w:t>רש"י</w:t>
      </w:r>
      <w:r w:rsidRPr="003124AA">
        <w:rPr>
          <w:rFonts w:ascii="Narkisim" w:hAnsi="Narkisim"/>
          <w:rtl/>
        </w:rPr>
        <w:t xml:space="preserve"> דלר"מ יכול לטעון לא בעלתי עד ל' [אפי' נתייחד עמה, וטוען שלא בעל]. ולר' יוסי דוקא טוען מיד אחרי שנתייחד עמה. דאינו נאמן לאחר זמן, דאמרי' דהשתא הוא דרתח עלה. אבל ה</w:t>
      </w:r>
      <w:r w:rsidRPr="003124AA">
        <w:rPr>
          <w:rFonts w:ascii="Narkisim" w:hAnsi="Narkisim"/>
          <w:b/>
          <w:bCs/>
          <w:rtl/>
        </w:rPr>
        <w:t>תוס' רא"ש</w:t>
      </w:r>
      <w:r w:rsidRPr="003124AA">
        <w:rPr>
          <w:rFonts w:ascii="Narkisim" w:hAnsi="Narkisim"/>
          <w:rtl/>
        </w:rPr>
        <w:t xml:space="preserve"> ביאר דברי ר' יוסי דהיכא דטען שבעל לאלתר, א"כ יכול לטעון טענת בתולים אף לאחר זמן. דלא גילה עד יום הכניסה שמצא בי"ד. אבל אם כשבא לבי"ד ביום כניסה אמר שבעל רק עכשיו אינו נאמן, דודאי שקורי משקר. דלא מוקי איניש אנפשיה, אלא בעל ומצא בתולים ומרתח קא רתח עלה</w:t>
      </w:r>
      <w:r w:rsidRPr="003124AA">
        <w:rPr>
          <w:rStyle w:val="ac"/>
          <w:rFonts w:ascii="Narkisim" w:hAnsi="Narkisim"/>
          <w:rtl/>
        </w:rPr>
        <w:footnoteReference w:id="7426"/>
      </w:r>
      <w:r w:rsidRPr="003124AA">
        <w:rPr>
          <w:rFonts w:ascii="Narkisim" w:hAnsi="Narkisim"/>
          <w:rtl/>
        </w:rPr>
        <w:t>.</w:t>
      </w:r>
    </w:p>
    <w:p w14:paraId="73DB6D36" w14:textId="77777777" w:rsidR="006C4368" w:rsidRPr="003124AA" w:rsidRDefault="006C4368" w:rsidP="006C4368">
      <w:pPr>
        <w:pStyle w:val="3"/>
        <w:bidi/>
        <w:rPr>
          <w:rFonts w:ascii="Narkisim" w:hAnsi="Narkisim"/>
        </w:rPr>
      </w:pPr>
      <w:r w:rsidRPr="003124AA">
        <w:rPr>
          <w:rFonts w:ascii="Narkisim" w:hAnsi="Narkisim"/>
          <w:rtl/>
        </w:rPr>
        <w:t>דף קיב.</w:t>
      </w:r>
    </w:p>
    <w:p w14:paraId="43F997F2" w14:textId="77777777" w:rsidR="006C4368" w:rsidRPr="003124AA" w:rsidRDefault="006C4368" w:rsidP="006C4368">
      <w:pPr>
        <w:bidi/>
        <w:rPr>
          <w:rFonts w:ascii="Narkisim" w:hAnsi="Narkisim" w:cs="Narkisim"/>
        </w:rPr>
      </w:pPr>
      <w:r w:rsidRPr="003124AA">
        <w:rPr>
          <w:rFonts w:ascii="Narkisim" w:hAnsi="Narkisim" w:cs="Narkisim"/>
          <w:u w:val="single"/>
          <w:rtl/>
        </w:rPr>
        <w:t>עד שכופין אותו לחלוץ, ניכפנו לייבם</w:t>
      </w:r>
      <w:r w:rsidRPr="003124AA">
        <w:rPr>
          <w:rFonts w:ascii="Narkisim" w:hAnsi="Narkisim" w:cs="Narkisim"/>
          <w:rtl/>
        </w:rPr>
        <w:t>. לשון הגמ' משמע דכופין ליבום</w:t>
      </w:r>
      <w:r w:rsidRPr="003124AA">
        <w:rPr>
          <w:rStyle w:val="ac"/>
          <w:rFonts w:ascii="Narkisim" w:hAnsi="Narkisim" w:cs="Narkisim"/>
          <w:rtl/>
        </w:rPr>
        <w:footnoteReference w:id="7427"/>
      </w:r>
      <w:r w:rsidRPr="003124AA">
        <w:rPr>
          <w:rFonts w:ascii="Narkisim" w:hAnsi="Narkisim" w:cs="Narkisim"/>
          <w:rtl/>
        </w:rPr>
        <w:t>, וצ”ב דהיבם רשאי לחלוץ. וה</w:t>
      </w:r>
      <w:r w:rsidRPr="003124AA">
        <w:rPr>
          <w:rFonts w:ascii="Narkisim" w:hAnsi="Narkisim" w:cs="Narkisim"/>
          <w:b/>
          <w:bCs/>
          <w:rtl/>
        </w:rPr>
        <w:t>יש"ש</w:t>
      </w:r>
      <w:r w:rsidRPr="003124AA">
        <w:rPr>
          <w:rFonts w:ascii="Narkisim" w:hAnsi="Narkisim" w:cs="Narkisim"/>
          <w:rtl/>
        </w:rPr>
        <w:t xml:space="preserve"> (כה) כת' דאף דבעלמא אין כופין את היבם, הכא דכבר כנסה ורמי עליו מצוות יבום</w:t>
      </w:r>
      <w:r w:rsidRPr="003124AA">
        <w:rPr>
          <w:rStyle w:val="ac"/>
          <w:rFonts w:ascii="Narkisim" w:hAnsi="Narkisim" w:cs="Narkisim"/>
          <w:rtl/>
        </w:rPr>
        <w:footnoteReference w:id="7428"/>
      </w:r>
      <w:r w:rsidRPr="003124AA">
        <w:rPr>
          <w:rFonts w:ascii="Narkisim" w:hAnsi="Narkisim" w:cs="Narkisim"/>
          <w:rtl/>
        </w:rPr>
        <w:t>, ומש"ה כופין לייבם</w:t>
      </w:r>
      <w:r w:rsidRPr="003124AA">
        <w:rPr>
          <w:rStyle w:val="ac"/>
          <w:rFonts w:ascii="Narkisim" w:hAnsi="Narkisim" w:cs="Narkisim"/>
          <w:rtl/>
        </w:rPr>
        <w:footnoteReference w:id="7429"/>
      </w:r>
      <w:r w:rsidRPr="003124AA">
        <w:rPr>
          <w:rFonts w:ascii="Narkisim" w:hAnsi="Narkisim" w:cs="Narkisim"/>
          <w:rtl/>
        </w:rPr>
        <w:t>. אך הביא דה</w:t>
      </w:r>
      <w:r w:rsidRPr="003124AA">
        <w:rPr>
          <w:rFonts w:ascii="Narkisim" w:hAnsi="Narkisim" w:cs="Narkisim"/>
          <w:b/>
          <w:bCs/>
          <w:rtl/>
        </w:rPr>
        <w:t>רמב"ם</w:t>
      </w:r>
      <w:r w:rsidRPr="003124AA">
        <w:rPr>
          <w:rFonts w:ascii="Narkisim" w:hAnsi="Narkisim" w:cs="Narkisim"/>
          <w:rtl/>
        </w:rPr>
        <w:t xml:space="preserve"> (ב ה, וה</w:t>
      </w:r>
      <w:r w:rsidRPr="003124AA">
        <w:rPr>
          <w:rFonts w:ascii="Narkisim" w:hAnsi="Narkisim" w:cs="Narkisim"/>
          <w:b/>
          <w:bCs/>
          <w:rtl/>
        </w:rPr>
        <w:t>שו"ע</w:t>
      </w:r>
      <w:r w:rsidRPr="003124AA">
        <w:rPr>
          <w:rFonts w:ascii="Narkisim" w:hAnsi="Narkisim" w:cs="Narkisim"/>
          <w:rtl/>
        </w:rPr>
        <w:t xml:space="preserve"> קסז ו) כת' דכופין לייבם או יחלוץ.</w:t>
      </w:r>
    </w:p>
    <w:p w14:paraId="5946E4F9" w14:textId="77777777" w:rsidR="006C4368" w:rsidRPr="003124AA" w:rsidRDefault="006C4368" w:rsidP="006C4368">
      <w:pPr>
        <w:bidi/>
        <w:rPr>
          <w:rFonts w:ascii="Narkisim" w:hAnsi="Narkisim" w:cs="Narkisim"/>
        </w:rPr>
      </w:pPr>
      <w:r w:rsidRPr="003124AA">
        <w:rPr>
          <w:rFonts w:ascii="Narkisim" w:hAnsi="Narkisim" w:cs="Narkisim"/>
          <w:u w:val="single"/>
          <w:rtl/>
        </w:rPr>
        <w:t>אמר רב בשגיטה יוצא מתח"י</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דס”ד דאיירי בגט גמור. ורב אשי בסמוך תי' בגט לזיקתו]. וה</w:t>
      </w:r>
      <w:r w:rsidRPr="003124AA">
        <w:rPr>
          <w:rFonts w:ascii="Narkisim" w:hAnsi="Narkisim" w:cs="Narkisim"/>
          <w:b/>
          <w:bCs/>
          <w:rtl/>
        </w:rPr>
        <w:t>רמב”ן</w:t>
      </w:r>
      <w:r w:rsidRPr="003124AA">
        <w:rPr>
          <w:rFonts w:ascii="Narkisim" w:hAnsi="Narkisim" w:cs="Narkisim"/>
          <w:rtl/>
        </w:rPr>
        <w:t xml:space="preserve"> הביא מדברי </w:t>
      </w:r>
      <w:r w:rsidRPr="003124AA">
        <w:rPr>
          <w:rFonts w:ascii="Narkisim" w:hAnsi="Narkisim" w:cs="Narkisim"/>
          <w:b/>
          <w:bCs/>
          <w:rtl/>
        </w:rPr>
        <w:t>רש"י</w:t>
      </w:r>
      <w:r w:rsidRPr="003124AA">
        <w:rPr>
          <w:rFonts w:ascii="Narkisim" w:hAnsi="Narkisim" w:cs="Narkisim"/>
          <w:rtl/>
        </w:rPr>
        <w:t xml:space="preserve"> (ד"ה רב אשי) דטוען שבעל אחר הגט</w:t>
      </w:r>
      <w:r w:rsidRPr="003124AA">
        <w:rPr>
          <w:rStyle w:val="ac"/>
          <w:rFonts w:ascii="Narkisim" w:hAnsi="Narkisim" w:cs="Narkisim"/>
          <w:rtl/>
        </w:rPr>
        <w:footnoteReference w:id="7430"/>
      </w:r>
      <w:r w:rsidRPr="003124AA">
        <w:rPr>
          <w:rFonts w:ascii="Narkisim" w:hAnsi="Narkisim" w:cs="Narkisim"/>
          <w:rtl/>
        </w:rPr>
        <w:t xml:space="preserve">. ותמה דלא שייך חזקה שבעל [באיסור] לאחר שנתן גט. ועוד אי בעל לאחר גט הוה ביאה פסולה. וכת' </w:t>
      </w:r>
      <w:r w:rsidRPr="003124AA">
        <w:rPr>
          <w:rFonts w:ascii="Narkisim" w:hAnsi="Narkisim" w:cs="Narkisim"/>
          <w:rtl/>
        </w:rPr>
        <w:lastRenderedPageBreak/>
        <w:t>דע”כ איירי שנתן לה גט בסוף הל'</w:t>
      </w:r>
      <w:r w:rsidRPr="003124AA">
        <w:rPr>
          <w:rStyle w:val="ac"/>
          <w:rFonts w:ascii="Narkisim" w:hAnsi="Narkisim" w:cs="Narkisim"/>
          <w:rtl/>
        </w:rPr>
        <w:footnoteReference w:id="7431"/>
      </w:r>
      <w:r w:rsidRPr="003124AA">
        <w:rPr>
          <w:rFonts w:ascii="Narkisim" w:hAnsi="Narkisim" w:cs="Narkisim"/>
          <w:rtl/>
        </w:rPr>
        <w:t>. וה</w:t>
      </w:r>
      <w:r w:rsidRPr="003124AA">
        <w:rPr>
          <w:rFonts w:ascii="Narkisim" w:hAnsi="Narkisim" w:cs="Narkisim"/>
          <w:b/>
          <w:bCs/>
          <w:rtl/>
        </w:rPr>
        <w:t>בי"ש</w:t>
      </w:r>
      <w:r w:rsidRPr="003124AA">
        <w:rPr>
          <w:rFonts w:ascii="Narkisim" w:hAnsi="Narkisim" w:cs="Narkisim"/>
          <w:rtl/>
        </w:rPr>
        <w:t xml:space="preserve"> (קסז ו) כת' דלפרש"י איירי שכנסה לאחר שנתן את הגט. [וגילה שדעתו לייבם, ולא חש לאיסור או לא ידע דיש איסור</w:t>
      </w:r>
      <w:r w:rsidRPr="003124AA">
        <w:rPr>
          <w:rStyle w:val="ac"/>
          <w:rFonts w:ascii="Narkisim" w:hAnsi="Narkisim" w:cs="Narkisim"/>
          <w:rtl/>
        </w:rPr>
        <w:footnoteReference w:id="7432"/>
      </w:r>
      <w:r w:rsidRPr="003124AA">
        <w:rPr>
          <w:rFonts w:ascii="Narkisim" w:hAnsi="Narkisim" w:cs="Narkisim"/>
          <w:rtl/>
        </w:rPr>
        <w:t>].</w:t>
      </w:r>
    </w:p>
    <w:p w14:paraId="0FCAF7EE"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ביאר דהוא טוען שבעלה, ונתן גט גמור ומגורשת גמורה, היא אומרת לא נבעלתי ואין הגט מועיל אלא לפסול. ועוד פי'</w:t>
      </w:r>
      <w:r w:rsidRPr="003124AA">
        <w:rPr>
          <w:rStyle w:val="ac"/>
          <w:rFonts w:ascii="Narkisim" w:hAnsi="Narkisim"/>
          <w:rtl/>
        </w:rPr>
        <w:footnoteReference w:id="7433"/>
      </w:r>
      <w:r w:rsidRPr="003124AA">
        <w:rPr>
          <w:rFonts w:ascii="Narkisim" w:hAnsi="Narkisim"/>
          <w:rtl/>
        </w:rPr>
        <w:t xml:space="preserve"> דאיירי שכתב לה גט לזיקתו, והיא אומרת לא נבעלתי ומש"ה נתן לי גט לזיקה, והוא אומר בעלתי וגט זה אינו מועיל כלום שטעיתי בו.</w:t>
      </w:r>
    </w:p>
    <w:p w14:paraId="78962645" w14:textId="77777777" w:rsidR="006C4368" w:rsidRPr="003124AA" w:rsidRDefault="006C4368" w:rsidP="006C4368">
      <w:pPr>
        <w:pStyle w:val="aa"/>
        <w:bidi/>
        <w:rPr>
          <w:rFonts w:ascii="Narkisim" w:hAnsi="Narkisim"/>
        </w:rPr>
      </w:pPr>
      <w:r w:rsidRPr="003124AA">
        <w:rPr>
          <w:rFonts w:ascii="Narkisim" w:hAnsi="Narkisim"/>
          <w:u w:val="single"/>
          <w:rtl/>
        </w:rPr>
        <w:t>רש"י ד"ה אמר ר' אמי</w:t>
      </w:r>
      <w:r w:rsidRPr="003124AA">
        <w:rPr>
          <w:rFonts w:ascii="Narkisim" w:hAnsi="Narkisim"/>
          <w:rtl/>
        </w:rPr>
        <w:t>. וה"ק צריכה חליצה וכו' אע"פ שחזר ואמר לא בעלתי וכו' אפ"ה אין כופין וכו' דסמכינן אדיבורא קמא הואיל ולאחר ל' הוא. ה</w:t>
      </w:r>
      <w:r w:rsidRPr="003124AA">
        <w:rPr>
          <w:rFonts w:ascii="Narkisim" w:hAnsi="Narkisim"/>
          <w:b/>
          <w:bCs/>
          <w:rtl/>
        </w:rPr>
        <w:t>תוס' הרא"ש</w:t>
      </w:r>
      <w:r w:rsidRPr="003124AA">
        <w:rPr>
          <w:rFonts w:ascii="Narkisim" w:hAnsi="Narkisim"/>
          <w:rtl/>
        </w:rPr>
        <w:t xml:space="preserve"> תמה דהא הודה שלא בעל, ואמאי אין כופין אותו לחלוץ. וכיון דכל הנידון בין כפיה לבקשה, והוא הודה שהיא צריכה חליצה, יש לכופו ע"פ הודאתו. דלא שייך הכא למימר סמכינן אדיבוריה קמא כיון דאין איסור והיתר בדבר.</w:t>
      </w:r>
    </w:p>
    <w:p w14:paraId="334729D7" w14:textId="77777777" w:rsidR="006C4368" w:rsidRPr="003124AA" w:rsidRDefault="006C4368" w:rsidP="006C4368">
      <w:pPr>
        <w:bidi/>
        <w:rPr>
          <w:rFonts w:ascii="Narkisim" w:hAnsi="Narkisim" w:cs="Narkisim"/>
        </w:rPr>
      </w:pPr>
      <w:r w:rsidRPr="003124AA">
        <w:rPr>
          <w:rFonts w:ascii="Narkisim" w:hAnsi="Narkisim" w:cs="Narkisim"/>
          <w:u w:val="single"/>
          <w:rtl/>
        </w:rPr>
        <w:t>הנהו שניהם מודים וכו' א"ל רבא חלוצו לה</w:t>
      </w:r>
      <w:r w:rsidRPr="003124AA">
        <w:rPr>
          <w:rStyle w:val="ac"/>
          <w:rFonts w:ascii="Narkisim" w:hAnsi="Narkisim" w:cs="Narkisim"/>
          <w:u w:val="single"/>
          <w:rtl/>
        </w:rPr>
        <w:footnoteReference w:id="7434"/>
      </w:r>
      <w:r w:rsidRPr="003124AA">
        <w:rPr>
          <w:rFonts w:ascii="Narkisim" w:hAnsi="Narkisim" w:cs="Narkisim"/>
          <w:u w:val="single"/>
          <w:rtl/>
        </w:rPr>
        <w:t xml:space="preserve"> וכו' א"ל רב שרביא לרבא והתניא צריכה גט וחליצה וכו', א"ל אי תניא תניא</w:t>
      </w:r>
      <w:r w:rsidRPr="003124AA">
        <w:rPr>
          <w:rFonts w:ascii="Narkisim" w:hAnsi="Narkisim" w:cs="Narkisim"/>
          <w:rtl/>
        </w:rPr>
        <w:t xml:space="preserve">. </w:t>
      </w:r>
      <w:r w:rsidRPr="003124AA">
        <w:rPr>
          <w:rFonts w:ascii="Narkisim" w:hAnsi="Narkisim" w:cs="Narkisim"/>
          <w:b/>
          <w:bCs/>
          <w:rtl/>
        </w:rPr>
        <w:t>רש"י</w:t>
      </w:r>
      <w:r w:rsidRPr="003124AA">
        <w:rPr>
          <w:rFonts w:ascii="Narkisim" w:hAnsi="Narkisim" w:cs="Narkisim"/>
          <w:rtl/>
        </w:rPr>
        <w:t xml:space="preserve"> פי' דהנידון משום שאמר מתחילה בעלתי [והביאו מהברייתא דלעיל], הא לאו הכי אי"צ גט [ע"ע בסמוך]. וכ"כ </w:t>
      </w:r>
      <w:r w:rsidRPr="003124AA">
        <w:rPr>
          <w:rFonts w:ascii="Narkisim" w:hAnsi="Narkisim" w:cs="Narkisim"/>
          <w:b/>
          <w:bCs/>
          <w:rtl/>
        </w:rPr>
        <w:t>תוס</w:t>
      </w:r>
      <w:r w:rsidRPr="003124AA">
        <w:rPr>
          <w:rFonts w:ascii="Narkisim" w:hAnsi="Narkisim" w:cs="Narkisim"/>
          <w:rtl/>
        </w:rPr>
        <w:t>' (בפי' הא') דתוך ל' אי"צ גט [אא”כ מתחילה אמר שבעל]. אבל לאחר ל' ודאי צריכה גט</w:t>
      </w:r>
      <w:r w:rsidRPr="003124AA">
        <w:rPr>
          <w:rStyle w:val="ac"/>
          <w:rFonts w:ascii="Narkisim" w:hAnsi="Narkisim" w:cs="Narkisim"/>
          <w:rtl/>
        </w:rPr>
        <w:footnoteReference w:id="7435"/>
      </w:r>
      <w:r w:rsidRPr="003124AA">
        <w:rPr>
          <w:rFonts w:ascii="Narkisim" w:hAnsi="Narkisim" w:cs="Narkisim"/>
          <w:rtl/>
        </w:rPr>
        <w:t>.</w:t>
      </w:r>
    </w:p>
    <w:p w14:paraId="4C1CF1D9" w14:textId="77777777" w:rsidR="006C4368" w:rsidRPr="003124AA" w:rsidRDefault="006C4368" w:rsidP="006C4368">
      <w:pPr>
        <w:pStyle w:val="a7"/>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כת' עוד ['ומיהו י"ל', וכן בשם ר”ח] דצריכה גט אף בלאו הכי, דכיון דכנסה צריכה גט</w:t>
      </w:r>
      <w:r w:rsidRPr="003124AA">
        <w:rPr>
          <w:rStyle w:val="ac"/>
          <w:rFonts w:ascii="Narkisim" w:hAnsi="Narkisim"/>
          <w:rtl/>
        </w:rPr>
        <w:footnoteReference w:id="7436"/>
      </w:r>
      <w:r w:rsidRPr="003124AA">
        <w:rPr>
          <w:rFonts w:ascii="Narkisim" w:hAnsi="Narkisim"/>
          <w:rtl/>
        </w:rPr>
        <w:t>. [ואף תוך ל'].</w:t>
      </w:r>
    </w:p>
    <w:p w14:paraId="0D76FC62" w14:textId="77777777" w:rsidR="006C4368" w:rsidRPr="003124AA" w:rsidRDefault="006C4368" w:rsidP="006C4368">
      <w:pPr>
        <w:bidi/>
        <w:rPr>
          <w:rFonts w:ascii="Narkisim" w:hAnsi="Narkisim" w:cs="Narkisim"/>
        </w:rPr>
      </w:pPr>
      <w:r w:rsidRPr="003124AA">
        <w:rPr>
          <w:rFonts w:ascii="Narkisim" w:hAnsi="Narkisim" w:cs="Narkisim"/>
          <w:u w:val="single"/>
          <w:rtl/>
        </w:rPr>
        <w:t>בעא מיניה וכו' צרתה מהו וכו'</w:t>
      </w:r>
      <w:r w:rsidRPr="003124AA">
        <w:rPr>
          <w:rFonts w:ascii="Narkisim" w:hAnsi="Narkisim" w:cs="Narkisim"/>
          <w:rtl/>
        </w:rPr>
        <w:t>. ולמסקנא מותרת. פ</w:t>
      </w:r>
      <w:r w:rsidRPr="003124AA">
        <w:rPr>
          <w:rFonts w:ascii="Narkisim" w:hAnsi="Narkisim" w:cs="Narkisim"/>
          <w:b/>
          <w:bCs/>
          <w:rtl/>
        </w:rPr>
        <w:t>רש"י</w:t>
      </w:r>
      <w:r w:rsidRPr="003124AA">
        <w:rPr>
          <w:rFonts w:ascii="Narkisim" w:hAnsi="Narkisim" w:cs="Narkisim"/>
          <w:rtl/>
        </w:rPr>
        <w:t xml:space="preserve"> דחזקה הכונס את האשה בועל לאלתר. ולא מהני דיבור דידה לאסור צרתה. ובפשוטו משמע דהצרה מותרת לאלתר [כיון שהכניסה לביתו לשם יבום. ובפסקי הריא"ז ביאר משום עדי יחוד</w:t>
      </w:r>
      <w:r w:rsidRPr="003124AA">
        <w:rPr>
          <w:rStyle w:val="ac"/>
          <w:rFonts w:ascii="Narkisim" w:hAnsi="Narkisim" w:cs="Narkisim"/>
          <w:rtl/>
        </w:rPr>
        <w:footnoteReference w:id="7437"/>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xml:space="preserve"> הביאו בזה ב' פי'</w:t>
      </w:r>
      <w:r w:rsidRPr="003124AA">
        <w:rPr>
          <w:rStyle w:val="ac"/>
          <w:rFonts w:ascii="Narkisim" w:hAnsi="Narkisim" w:cs="Narkisim"/>
          <w:rtl/>
        </w:rPr>
        <w:footnoteReference w:id="7438"/>
      </w:r>
      <w:r w:rsidRPr="003124AA">
        <w:rPr>
          <w:rFonts w:ascii="Narkisim" w:hAnsi="Narkisim" w:cs="Narkisim"/>
          <w:rtl/>
        </w:rPr>
        <w:t>.</w:t>
      </w:r>
    </w:p>
    <w:p w14:paraId="28BCFA51" w14:textId="77777777" w:rsidR="006C4368" w:rsidRPr="003124AA" w:rsidRDefault="006C4368" w:rsidP="006C4368">
      <w:pPr>
        <w:pStyle w:val="a7"/>
        <w:bidi/>
        <w:rPr>
          <w:rFonts w:ascii="Narkisim" w:hAnsi="Narkisim"/>
        </w:rPr>
      </w:pPr>
      <w:r w:rsidRPr="003124AA">
        <w:rPr>
          <w:rFonts w:ascii="Narkisim" w:hAnsi="Narkisim"/>
          <w:rtl/>
        </w:rPr>
        <w:t xml:space="preserve">אך </w:t>
      </w:r>
      <w:r w:rsidRPr="003124AA">
        <w:rPr>
          <w:rFonts w:ascii="Narkisim" w:hAnsi="Narkisim"/>
          <w:b/>
          <w:bCs/>
          <w:rtl/>
        </w:rPr>
        <w:t>רש"י</w:t>
      </w:r>
      <w:r w:rsidRPr="003124AA">
        <w:rPr>
          <w:rFonts w:ascii="Narkisim" w:hAnsi="Narkisim"/>
          <w:rtl/>
        </w:rPr>
        <w:t xml:space="preserve"> (לעיל) כת' דדוקא לאחר ל' יוציא בגט [כשטוענת נבעלתי], הא תוך ל' אינה נאמנת להתיר עצמה</w:t>
      </w:r>
      <w:r w:rsidRPr="003124AA">
        <w:rPr>
          <w:rStyle w:val="ac"/>
          <w:rFonts w:ascii="Narkisim" w:hAnsi="Narkisim"/>
          <w:rtl/>
        </w:rPr>
        <w:footnoteReference w:id="7439"/>
      </w:r>
      <w:r w:rsidRPr="003124AA">
        <w:rPr>
          <w:rFonts w:ascii="Narkisim" w:hAnsi="Narkisim"/>
          <w:rtl/>
        </w:rPr>
        <w:t>. וכ"ש הצרה שאינה יודעת. [וכה"ק התוס']. וה</w:t>
      </w:r>
      <w:r w:rsidRPr="003124AA">
        <w:rPr>
          <w:rFonts w:ascii="Narkisim" w:hAnsi="Narkisim"/>
          <w:b/>
          <w:bCs/>
          <w:rtl/>
        </w:rPr>
        <w:t>רא"ש</w:t>
      </w:r>
      <w:r w:rsidRPr="003124AA">
        <w:rPr>
          <w:rFonts w:ascii="Narkisim" w:hAnsi="Narkisim"/>
          <w:rtl/>
        </w:rPr>
        <w:t xml:space="preserve"> כת' דצ"ל דרש"י (כאן) </w:t>
      </w:r>
      <w:r w:rsidRPr="003124AA">
        <w:rPr>
          <w:rFonts w:ascii="Narkisim" w:hAnsi="Narkisim"/>
          <w:rtl/>
        </w:rPr>
        <w:lastRenderedPageBreak/>
        <w:t>קאי אמבקשים לאחר ל'.</w:t>
      </w:r>
    </w:p>
    <w:p w14:paraId="74DBD089"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ריא"ז</w:t>
      </w:r>
      <w:r w:rsidRPr="003124AA">
        <w:rPr>
          <w:rFonts w:ascii="Narkisim" w:hAnsi="Narkisim"/>
          <w:rtl/>
        </w:rPr>
        <w:t xml:space="preserve"> כת' דדוקא היכא דא' מהם טוען שלא בעל אינם נאמנים, והצרה מותרת</w:t>
      </w:r>
      <w:r w:rsidRPr="003124AA">
        <w:rPr>
          <w:rStyle w:val="ac"/>
          <w:rFonts w:ascii="Narkisim" w:hAnsi="Narkisim"/>
          <w:rtl/>
        </w:rPr>
        <w:footnoteReference w:id="7440"/>
      </w:r>
      <w:r w:rsidRPr="003124AA">
        <w:rPr>
          <w:rFonts w:ascii="Narkisim" w:hAnsi="Narkisim"/>
          <w:rtl/>
        </w:rPr>
        <w:t>. אבל היכא דשניהם מודים שלא בעל, הצרה לא הותרה.</w:t>
      </w:r>
    </w:p>
    <w:p w14:paraId="2FDC132E"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בי"ש</w:t>
      </w:r>
      <w:r w:rsidRPr="003124AA">
        <w:rPr>
          <w:rFonts w:ascii="Narkisim" w:hAnsi="Narkisim" w:cs="Narkisim"/>
          <w:rtl/>
        </w:rPr>
        <w:t xml:space="preserve"> (קסז ה) העמיד דשורש המח' האם אף ביבמה אמרי' חזקה דבועל אותה מיד כשנסתר. [והביא דכ"כ ה"ה, הו' בסמוך]. ומש"ה צריכה גט מחמת החזקה.</w:t>
      </w:r>
    </w:p>
    <w:p w14:paraId="28D8857B" w14:textId="77777777" w:rsidR="006C4368" w:rsidRPr="003124AA" w:rsidRDefault="006C4368" w:rsidP="006C4368">
      <w:pPr>
        <w:pStyle w:val="a8"/>
        <w:bidi/>
        <w:rPr>
          <w:rFonts w:ascii="Narkisim" w:hAnsi="Narkisim"/>
        </w:rPr>
      </w:pPr>
      <w:r w:rsidRPr="003124AA">
        <w:rPr>
          <w:rFonts w:ascii="Narkisim" w:hAnsi="Narkisim"/>
          <w:rtl/>
        </w:rPr>
        <w:t>וצ"ל לפ"ז דהא דאי' (בראש העמוד) דיבמתו מיבזז מהני רק לענין לכוף לחליצה.</w:t>
      </w:r>
    </w:p>
    <w:p w14:paraId="15859B40" w14:textId="77777777" w:rsidR="006C4368" w:rsidRPr="003124AA" w:rsidRDefault="006C4368" w:rsidP="006C4368">
      <w:pPr>
        <w:bidi/>
        <w:rPr>
          <w:rFonts w:ascii="Narkisim" w:hAnsi="Narkisim" w:cs="Narkisim"/>
        </w:rPr>
      </w:pPr>
      <w:r w:rsidRPr="003124AA">
        <w:rPr>
          <w:rFonts w:ascii="Narkisim" w:hAnsi="Narkisim" w:cs="Narkisim"/>
          <w:u w:val="single"/>
          <w:rtl/>
        </w:rPr>
        <w:t>תוד"ה היא</w:t>
      </w:r>
      <w:r w:rsidRPr="003124AA">
        <w:rPr>
          <w:rFonts w:ascii="Narkisim" w:hAnsi="Narkisim" w:cs="Narkisim"/>
          <w:rtl/>
        </w:rPr>
        <w:t>. ולא יתכן שתהא מותרת הצרה וכו' ולהחזיקה כודאי בעולה, כיון דאיהי לא בעיא גט. וה</w:t>
      </w:r>
      <w:r w:rsidRPr="003124AA">
        <w:rPr>
          <w:rFonts w:ascii="Narkisim" w:hAnsi="Narkisim" w:cs="Narkisim"/>
          <w:b/>
          <w:bCs/>
          <w:rtl/>
        </w:rPr>
        <w:t>מגיד משנה</w:t>
      </w:r>
      <w:r w:rsidRPr="003124AA">
        <w:rPr>
          <w:rFonts w:ascii="Narkisim" w:hAnsi="Narkisim" w:cs="Narkisim"/>
          <w:rtl/>
        </w:rPr>
        <w:t xml:space="preserve"> (ב ה) הוכיח מקו' זו להיפך, דגבי צרתה דאפי' לקולא אמרי' חזקה על כנוסה שנבעלה. א”כ האיך תהא מותרת בלא גט. והוכיח דאף תוך ל' צריכה גט, וכתי' האחרון בתוס'.</w:t>
      </w:r>
    </w:p>
    <w:p w14:paraId="41A19861" w14:textId="77777777" w:rsidR="006C4368" w:rsidRPr="003124AA" w:rsidRDefault="006C4368" w:rsidP="006C4368">
      <w:pPr>
        <w:pStyle w:val="a8"/>
        <w:bidi/>
        <w:rPr>
          <w:rFonts w:ascii="Narkisim" w:hAnsi="Narkisim"/>
        </w:rPr>
      </w:pPr>
      <w:r w:rsidRPr="003124AA">
        <w:rPr>
          <w:rFonts w:ascii="Narkisim" w:hAnsi="Narkisim"/>
          <w:rtl/>
        </w:rPr>
        <w:t>אך בפשוטו לדעת רש”י צרתה מותרת [לאלתר, ודלא כרא”ש] ואפ”ה ל"צ גט</w:t>
      </w:r>
      <w:r w:rsidRPr="003124AA">
        <w:rPr>
          <w:rStyle w:val="ac"/>
          <w:rFonts w:ascii="Narkisim" w:hAnsi="Narkisim"/>
          <w:rtl/>
        </w:rPr>
        <w:footnoteReference w:id="7441"/>
      </w:r>
      <w:r w:rsidRPr="003124AA">
        <w:rPr>
          <w:rFonts w:ascii="Narkisim" w:hAnsi="Narkisim"/>
          <w:rtl/>
        </w:rPr>
        <w:t>. ולכאורה הטעם דכלפי העולם סגי שנתייחדה. אבל כלפיה ל"מ עדות היחוד, שהיא יודעת האמת</w:t>
      </w:r>
      <w:r w:rsidRPr="003124AA">
        <w:rPr>
          <w:rStyle w:val="ac"/>
          <w:rFonts w:ascii="Narkisim" w:hAnsi="Narkisim"/>
          <w:rtl/>
        </w:rPr>
        <w:footnoteReference w:id="7442"/>
      </w:r>
      <w:r w:rsidRPr="003124AA">
        <w:rPr>
          <w:rFonts w:ascii="Narkisim" w:hAnsi="Narkisim"/>
          <w:rtl/>
        </w:rPr>
        <w:t>. [וע”ד הא דאי' דאין אוסרין על היחוד]. אך מ"מ צ"ע האיך מותרת לינשא לשוק, והבעל יסמוך על דבריה שלא נבעלה.</w:t>
      </w:r>
    </w:p>
    <w:p w14:paraId="6F5F8891"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גר"ח מואלזין</w:t>
      </w:r>
      <w:r w:rsidRPr="003124AA">
        <w:rPr>
          <w:rFonts w:ascii="Narkisim" w:hAnsi="Narkisim"/>
          <w:rtl/>
        </w:rPr>
        <w:t xml:space="preserve"> (בס' חוט המשולש א י בסופו) הביא מדברי רש"י דהאשה נאמנת על עצמה</w:t>
      </w:r>
      <w:r w:rsidRPr="003124AA">
        <w:rPr>
          <w:rStyle w:val="ac"/>
          <w:rFonts w:ascii="Narkisim" w:hAnsi="Narkisim"/>
          <w:rtl/>
        </w:rPr>
        <w:footnoteReference w:id="7443"/>
      </w:r>
      <w:r w:rsidRPr="003124AA">
        <w:rPr>
          <w:rFonts w:ascii="Narkisim" w:hAnsi="Narkisim"/>
          <w:rtl/>
        </w:rPr>
        <w:t>. דל"מ חזקות היכא דהבעל דבר יודע את האמת שאין הענין כמו שמחזיקים אותו. והבעל דבר נאמן על עצמו, אף כלפי כל העולם. [והגר"ח חידש דאמרי' כן אף במקום תרי ותרי</w:t>
      </w:r>
      <w:r w:rsidRPr="003124AA">
        <w:rPr>
          <w:rStyle w:val="ac"/>
          <w:rFonts w:ascii="Narkisim" w:hAnsi="Narkisim"/>
          <w:rtl/>
        </w:rPr>
        <w:footnoteReference w:id="7444"/>
      </w:r>
      <w:r w:rsidRPr="003124AA">
        <w:rPr>
          <w:rFonts w:ascii="Narkisim" w:hAnsi="Narkisim"/>
          <w:rtl/>
        </w:rPr>
        <w:t>].</w:t>
      </w:r>
    </w:p>
    <w:p w14:paraId="3F071FE2" w14:textId="77777777" w:rsidR="006C4368" w:rsidRPr="003124AA" w:rsidRDefault="006C4368" w:rsidP="006C4368">
      <w:pPr>
        <w:pStyle w:val="a8"/>
        <w:bidi/>
        <w:rPr>
          <w:rFonts w:ascii="Narkisim" w:hAnsi="Narkisim"/>
        </w:rPr>
      </w:pPr>
      <w:r w:rsidRPr="003124AA">
        <w:rPr>
          <w:rFonts w:ascii="Narkisim" w:hAnsi="Narkisim"/>
          <w:rtl/>
        </w:rPr>
        <w:t>והגר"ח הק' מ"ש דאינה נאמנת לגבי צרתה, ולגבי בעלה האחרון נאמנת [וסומך אדבורא דידה נגד החזקה]. ותי' דצרה גופא אחריתי היא, אבל היא עצמה, כיון דנאמנת לגבי נפשה [נגד החזקה] הרי היא כחתיכה דהתירא דשריא לכו"ע.</w:t>
      </w:r>
    </w:p>
    <w:p w14:paraId="0F5EE8A9" w14:textId="77777777" w:rsidR="006C4368" w:rsidRPr="003124AA" w:rsidRDefault="006C4368" w:rsidP="006C4368">
      <w:pPr>
        <w:bidi/>
        <w:rPr>
          <w:rFonts w:ascii="Narkisim" w:hAnsi="Narkisim" w:cs="Narkisim"/>
        </w:rPr>
      </w:pPr>
      <w:r w:rsidRPr="003124AA">
        <w:rPr>
          <w:rFonts w:ascii="Narkisim" w:hAnsi="Narkisim" w:cs="Narkisim"/>
          <w:u w:val="single"/>
          <w:rtl/>
        </w:rPr>
        <w:t>בא"ד (בסו"ד) נראה שאסור הצרה עד לאחר ל' יום, אם לא יודו שניהם שבעל</w:t>
      </w:r>
      <w:r w:rsidRPr="003124AA">
        <w:rPr>
          <w:rFonts w:ascii="Narkisim" w:hAnsi="Narkisim" w:cs="Narkisim"/>
          <w:rtl/>
        </w:rPr>
        <w:t>. אבל ה</w:t>
      </w:r>
      <w:r w:rsidRPr="003124AA">
        <w:rPr>
          <w:rFonts w:ascii="Narkisim" w:hAnsi="Narkisim" w:cs="Narkisim"/>
          <w:b/>
          <w:bCs/>
          <w:rtl/>
        </w:rPr>
        <w:t>ב”י</w:t>
      </w:r>
      <w:r w:rsidRPr="003124AA">
        <w:rPr>
          <w:rFonts w:ascii="Narkisim" w:hAnsi="Narkisim" w:cs="Narkisim"/>
          <w:rtl/>
        </w:rPr>
        <w:t xml:space="preserve"> (ס”ס קסז) העתיק דברי התוס' לאסור הצרה אף אם יודו שניהם שבעל. וה</w:t>
      </w:r>
      <w:r w:rsidRPr="003124AA">
        <w:rPr>
          <w:rFonts w:ascii="Narkisim" w:hAnsi="Narkisim" w:cs="Narkisim"/>
          <w:b/>
          <w:bCs/>
          <w:rtl/>
        </w:rPr>
        <w:t>בי"ש</w:t>
      </w:r>
      <w:r w:rsidRPr="003124AA">
        <w:rPr>
          <w:rFonts w:ascii="Narkisim" w:hAnsi="Narkisim" w:cs="Narkisim"/>
          <w:rtl/>
        </w:rPr>
        <w:t xml:space="preserve"> (קסז ט) הסכים לגירסא לפנינו, דהא תוס' למדו כן [מפי' הא'] דהברייתא הוא אמר לא בעלתי והיא אומרת נבעלתי תוך ל' צריכה חליצה. ואילו אף הוא מודה אי"צ חליצה. וה"ה צרתה. ומנ"ל להחמיר טפי.</w:t>
      </w:r>
    </w:p>
    <w:p w14:paraId="471060C7" w14:textId="77777777" w:rsidR="006C4368" w:rsidRPr="003124AA" w:rsidRDefault="006C4368" w:rsidP="006C4368">
      <w:pPr>
        <w:bidi/>
        <w:rPr>
          <w:rFonts w:ascii="Narkisim" w:hAnsi="Narkisim" w:cs="Narkisim"/>
        </w:rPr>
      </w:pPr>
      <w:r w:rsidRPr="003124AA">
        <w:rPr>
          <w:rFonts w:ascii="Narkisim" w:hAnsi="Narkisim" w:cs="Narkisim"/>
          <w:u w:val="single"/>
          <w:rtl/>
        </w:rPr>
        <w:t>השמים ביני ובינך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שאינך נזקק לי כדרך בני אדם. בפשוטו משמע דאינו נזקק כלל</w:t>
      </w:r>
      <w:r w:rsidRPr="003124AA">
        <w:rPr>
          <w:rStyle w:val="ac"/>
          <w:rFonts w:ascii="Narkisim" w:hAnsi="Narkisim" w:cs="Narkisim"/>
          <w:rtl/>
        </w:rPr>
        <w:footnoteReference w:id="7445"/>
      </w:r>
      <w:r w:rsidRPr="003124AA">
        <w:rPr>
          <w:rFonts w:ascii="Narkisim" w:hAnsi="Narkisim" w:cs="Narkisim"/>
          <w:rtl/>
        </w:rPr>
        <w:t xml:space="preserve"> [וכן נקטו תוס' בכוונת רש”י</w:t>
      </w:r>
      <w:r w:rsidRPr="003124AA">
        <w:rPr>
          <w:rStyle w:val="ac"/>
          <w:rFonts w:ascii="Narkisim" w:hAnsi="Narkisim" w:cs="Narkisim"/>
          <w:rtl/>
        </w:rPr>
        <w:footnoteReference w:id="7446"/>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חלקו דבגמ' (נדרים צא.) מבואר דטוענת שאינו יכול להוליד.</w:t>
      </w:r>
    </w:p>
    <w:p w14:paraId="5A5D93C6" w14:textId="77777777" w:rsidR="006C4368" w:rsidRPr="003124AA" w:rsidRDefault="006C4368" w:rsidP="006C4368">
      <w:pPr>
        <w:pStyle w:val="a8"/>
        <w:bidi/>
        <w:rPr>
          <w:rFonts w:ascii="Narkisim" w:hAnsi="Narkisim"/>
        </w:rPr>
      </w:pPr>
      <w:r w:rsidRPr="003124AA">
        <w:rPr>
          <w:rFonts w:ascii="Narkisim" w:hAnsi="Narkisim"/>
          <w:rtl/>
        </w:rPr>
        <w:t xml:space="preserve">דהגמ' פי' דלמשנה ראשונה נאמנת משום שיש כיסופא בטענה זו, ורבא פי' דכיון שצריכה לומר דאין יורה כחץ, אי לא איתא כדקאמרה לא אמרה. והגמ' פי' דמשנה אחרונה ס"ל דאינה נאמנת דהיא משקרת משום דאמרה </w:t>
      </w:r>
      <w:r w:rsidRPr="003124AA">
        <w:rPr>
          <w:rFonts w:ascii="Narkisim" w:hAnsi="Narkisim"/>
          <w:rtl/>
        </w:rPr>
        <w:lastRenderedPageBreak/>
        <w:t>נהי דבביאה ידע, ביורה כחץ מי ידע</w:t>
      </w:r>
      <w:r w:rsidRPr="003124AA">
        <w:rPr>
          <w:rStyle w:val="ac"/>
          <w:rFonts w:ascii="Narkisim" w:hAnsi="Narkisim"/>
          <w:rtl/>
        </w:rPr>
        <w:footnoteReference w:id="7447"/>
      </w:r>
      <w:r w:rsidRPr="003124AA">
        <w:rPr>
          <w:rFonts w:ascii="Narkisim" w:hAnsi="Narkisim"/>
          <w:rtl/>
        </w:rPr>
        <w:t>. [ולא הוה טענת העזה כיון שסבורה שאינו מכיר בשקרה, ומש"ה חיישינן שעיניה נתנה באחר].</w:t>
      </w:r>
    </w:p>
    <w:p w14:paraId="52FAF8D5"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כת' דמשמע שהיא טוענת סתם השמים ביני לבינך, שהשמים יודעים שאינו ראוי לה. ולא פירשה דבריה. ובי”ד חוקרים אותה דכוונתה דאינו יורה כחץ. </w:t>
      </w:r>
      <w:r w:rsidRPr="003124AA">
        <w:rPr>
          <w:rFonts w:ascii="Narkisim" w:hAnsi="Narkisim"/>
          <w:szCs w:val="20"/>
          <w:rtl/>
        </w:rPr>
        <w:t>והגמ' פי' דאף כשהיא אומרת סתם אין בזה כיסופא, כיון שהיא יודעת דצריכה לפרש דבריה ולומר שאינו יורה כחץ, וזה דבר שבערוה. ומש"ה מיכספא ונאמנת למשנה ראשונה</w:t>
      </w:r>
      <w:r w:rsidRPr="003124AA">
        <w:rPr>
          <w:rStyle w:val="ac"/>
          <w:rFonts w:ascii="Narkisim" w:hAnsi="Narkisim"/>
          <w:szCs w:val="20"/>
          <w:rtl/>
        </w:rPr>
        <w:footnoteReference w:id="7448"/>
      </w:r>
      <w:r w:rsidRPr="003124AA">
        <w:rPr>
          <w:rFonts w:ascii="Narkisim" w:hAnsi="Narkisim"/>
          <w:rtl/>
        </w:rPr>
        <w:t>.</w:t>
      </w:r>
    </w:p>
    <w:p w14:paraId="0128DE6C" w14:textId="77777777" w:rsidR="006C4368" w:rsidRPr="003124AA" w:rsidRDefault="006C4368" w:rsidP="006C4368">
      <w:pPr>
        <w:bidi/>
        <w:rPr>
          <w:rFonts w:ascii="Narkisim" w:hAnsi="Narkisim" w:cs="Narkisim"/>
        </w:rPr>
      </w:pPr>
      <w:r w:rsidRPr="003124AA">
        <w:rPr>
          <w:rFonts w:ascii="Narkisim" w:hAnsi="Narkisim" w:cs="Narkisim"/>
          <w:u w:val="single"/>
          <w:rtl/>
        </w:rPr>
        <w:t>נטולה אני מהיהודים</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שנדרה היא שלא תבעל</w:t>
      </w:r>
      <w:r w:rsidRPr="003124AA">
        <w:rPr>
          <w:rStyle w:val="ac"/>
          <w:rFonts w:ascii="Narkisim" w:hAnsi="Narkisim" w:cs="Narkisim"/>
          <w:rtl/>
        </w:rPr>
        <w:footnoteReference w:id="7449"/>
      </w:r>
      <w:r w:rsidRPr="003124AA">
        <w:rPr>
          <w:rFonts w:ascii="Narkisim" w:hAnsi="Narkisim" w:cs="Narkisim"/>
          <w:rtl/>
        </w:rPr>
        <w:t>. ופ</w:t>
      </w:r>
      <w:r w:rsidRPr="003124AA">
        <w:rPr>
          <w:rFonts w:ascii="Narkisim" w:hAnsi="Narkisim" w:cs="Narkisim"/>
          <w:b/>
          <w:bCs/>
          <w:rtl/>
        </w:rPr>
        <w:t>רש"י</w:t>
      </w:r>
      <w:r w:rsidRPr="003124AA">
        <w:rPr>
          <w:rFonts w:ascii="Narkisim" w:hAnsi="Narkisim" w:cs="Narkisim"/>
          <w:rtl/>
        </w:rPr>
        <w:t xml:space="preserve"> ש"מ תשמיש קשה לה ואנוסה היא, לפיכך נוטלת כתובתה. יל”ד האם משנה ראשונה סברו דל"מ הפרה</w:t>
      </w:r>
      <w:r w:rsidRPr="003124AA">
        <w:rPr>
          <w:rStyle w:val="ac"/>
          <w:rFonts w:ascii="Narkisim" w:hAnsi="Narkisim" w:cs="Narkisim"/>
          <w:rtl/>
        </w:rPr>
        <w:footnoteReference w:id="7450"/>
      </w:r>
      <w:r w:rsidRPr="003124AA">
        <w:rPr>
          <w:rFonts w:ascii="Narkisim" w:hAnsi="Narkisim" w:cs="Narkisim"/>
          <w:rtl/>
        </w:rPr>
        <w:t>. או דאף דמהני הפרה, כיון שגילתה דעתה דתשמיש קשה לה יוציא</w:t>
      </w:r>
      <w:r w:rsidRPr="003124AA">
        <w:rPr>
          <w:rStyle w:val="ac"/>
          <w:rFonts w:ascii="Narkisim" w:hAnsi="Narkisim" w:cs="Narkisim"/>
          <w:rtl/>
        </w:rPr>
        <w:footnoteReference w:id="7451"/>
      </w:r>
      <w:r w:rsidRPr="003124AA">
        <w:rPr>
          <w:rFonts w:ascii="Narkisim" w:hAnsi="Narkisim" w:cs="Narkisim"/>
          <w:rtl/>
        </w:rPr>
        <w:t>.</w:t>
      </w:r>
    </w:p>
    <w:p w14:paraId="17E97CF3" w14:textId="77777777" w:rsidR="006C4368" w:rsidRPr="003124AA" w:rsidRDefault="006C4368" w:rsidP="006C4368">
      <w:pPr>
        <w:bidi/>
        <w:rPr>
          <w:rFonts w:ascii="Narkisim" w:hAnsi="Narkisim" w:cs="Narkisim"/>
        </w:rPr>
      </w:pPr>
      <w:r w:rsidRPr="003124AA">
        <w:rPr>
          <w:rFonts w:ascii="Narkisim" w:hAnsi="Narkisim" w:cs="Narkisim"/>
          <w:u w:val="single"/>
          <w:rtl/>
        </w:rPr>
        <w:t>נטולה אני מן היהודים יפר חלקו ומשמשתו, ותהא נטולה מהיהודים</w:t>
      </w:r>
      <w:r w:rsidRPr="003124AA">
        <w:rPr>
          <w:rStyle w:val="ac"/>
          <w:rFonts w:ascii="Narkisim" w:hAnsi="Narkisim" w:cs="Narkisim"/>
          <w:rtl/>
        </w:rPr>
        <w:footnoteReference w:id="7452"/>
      </w:r>
      <w:r w:rsidRPr="003124AA">
        <w:rPr>
          <w:rFonts w:ascii="Narkisim" w:hAnsi="Narkisim" w:cs="Narkisim"/>
          <w:rtl/>
        </w:rPr>
        <w:t>. ול"מ הפרת הבעל להתיר כלפי האחרים, והגמ' (נדרים פב.) פי' דהוה דברים שבינו לבינה [וקאי כר' יוסי, עי"ש]. וכדאי' (שם עט:) דבדברים שבינו לבינה לא מהני הפרת הבעל כלפי אחרים</w:t>
      </w:r>
      <w:r w:rsidRPr="003124AA">
        <w:rPr>
          <w:rStyle w:val="ac"/>
          <w:rFonts w:ascii="Narkisim" w:hAnsi="Narkisim" w:cs="Narkisim"/>
          <w:rtl/>
        </w:rPr>
        <w:footnoteReference w:id="7453"/>
      </w:r>
      <w:r w:rsidRPr="003124AA">
        <w:rPr>
          <w:rFonts w:ascii="Narkisim" w:hAnsi="Narkisim" w:cs="Narkisim"/>
          <w:rtl/>
        </w:rPr>
        <w:t>.</w:t>
      </w:r>
    </w:p>
    <w:p w14:paraId="736B3417" w14:textId="77777777" w:rsidR="006C4368" w:rsidRPr="003124AA" w:rsidRDefault="006C4368" w:rsidP="006C4368">
      <w:pPr>
        <w:bidi/>
        <w:rPr>
          <w:rFonts w:ascii="Narkisim" w:hAnsi="Narkisim" w:cs="Narkisim"/>
        </w:rPr>
      </w:pPr>
      <w:r w:rsidRPr="003124AA">
        <w:rPr>
          <w:rFonts w:ascii="Narkisim" w:hAnsi="Narkisim" w:cs="Narkisim"/>
          <w:u w:val="single"/>
          <w:rtl/>
        </w:rPr>
        <w:t>איבע"ל נטולה אני מן היהודים ליבם מהו, מי מסקא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דהספק האם נכלל בנדר. האם אמרי' דלא נתכוונה לאסור עצמה על היבם. דנתכוונה דוקא לאסור עצמה על הבעל, וכן על כל מי שמותרת ע"פ גירושי בעלה.</w:t>
      </w:r>
    </w:p>
    <w:p w14:paraId="72BA5C70" w14:textId="77777777" w:rsidR="006C4368" w:rsidRPr="003124AA" w:rsidRDefault="006C4368" w:rsidP="006C4368">
      <w:pPr>
        <w:pStyle w:val="a7"/>
        <w:bidi/>
        <w:rPr>
          <w:rFonts w:ascii="Narkisim" w:hAnsi="Narkisim"/>
        </w:rPr>
      </w:pPr>
      <w:r w:rsidRPr="003124AA">
        <w:rPr>
          <w:rFonts w:ascii="Narkisim" w:hAnsi="Narkisim"/>
          <w:rtl/>
        </w:rPr>
        <w:t xml:space="preserve">והגמ' פושטת מהא דכופין לחלוץ, וע"כ דלא מסקה אדעתה. [והגמ' מדמה דכיון דלענין כפייה לא תלינן דמסקה אדעתיה, ה”ה ללשונות הנדר]. אבל </w:t>
      </w:r>
      <w:r w:rsidRPr="003124AA">
        <w:rPr>
          <w:rFonts w:ascii="Narkisim" w:hAnsi="Narkisim"/>
          <w:b/>
          <w:bCs/>
          <w:rtl/>
        </w:rPr>
        <w:t>תוס</w:t>
      </w:r>
      <w:r w:rsidRPr="003124AA">
        <w:rPr>
          <w:rFonts w:ascii="Narkisim" w:hAnsi="Narkisim"/>
          <w:rtl/>
        </w:rPr>
        <w:t>' כת' דספק הגמ' רק בזה, האם נחשב שהיא גורמת, דנתכוונה לאסור עצמה [ומש”ה אין כופין].</w:t>
      </w:r>
    </w:p>
    <w:p w14:paraId="72792381"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(ס' הזכות) הוסיף דהנידון ע"ד המשנה ראשונה ומשנה אחרונה, האם ביבם אמרי' דלא מסקה אדעתה, א"כ ודאי דתשמיש קשה לה</w:t>
      </w:r>
      <w:r w:rsidRPr="003124AA">
        <w:rPr>
          <w:rStyle w:val="ac"/>
          <w:rFonts w:ascii="Narkisim" w:hAnsi="Narkisim"/>
          <w:rtl/>
        </w:rPr>
        <w:footnoteReference w:id="7454"/>
      </w:r>
      <w:r w:rsidRPr="003124AA">
        <w:rPr>
          <w:rFonts w:ascii="Narkisim" w:hAnsi="Narkisim"/>
          <w:rtl/>
        </w:rPr>
        <w:t xml:space="preserve"> [ודינה ליטול כתובתה]. או דאף ביבם חיישינן דעיניה נתנה באחר.</w:t>
      </w:r>
    </w:p>
    <w:p w14:paraId="2C53FE94"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הק' דבאופן שנדרה הנאה מכל העולם ובלאו הכי אסורה לינשא, א"כ אמאי כופין לחלוץ. וה</w:t>
      </w:r>
      <w:r w:rsidRPr="003124AA">
        <w:rPr>
          <w:rFonts w:ascii="Narkisim" w:hAnsi="Narkisim"/>
          <w:b/>
          <w:bCs/>
          <w:rtl/>
        </w:rPr>
        <w:t>עונג יו"ט</w:t>
      </w:r>
      <w:r w:rsidRPr="003124AA">
        <w:rPr>
          <w:rFonts w:ascii="Narkisim" w:hAnsi="Narkisim"/>
          <w:rtl/>
        </w:rPr>
        <w:t xml:space="preserve"> (קעו ד"ה ועוד) הק' מכאן לדברי ה</w:t>
      </w:r>
      <w:r w:rsidRPr="003124AA">
        <w:rPr>
          <w:rFonts w:ascii="Narkisim" w:hAnsi="Narkisim"/>
          <w:b/>
          <w:bCs/>
          <w:rtl/>
        </w:rPr>
        <w:t>חכ"צ</w:t>
      </w:r>
      <w:r w:rsidRPr="003124AA">
        <w:rPr>
          <w:rFonts w:ascii="Narkisim" w:hAnsi="Narkisim"/>
          <w:rtl/>
        </w:rPr>
        <w:t xml:space="preserve"> (א הו' לעיל לט:) דהיכא דאינה רוצה לינשא אין כופין לחלוץ. [דאין כופין משום המצווה, אלא משום שחוסם אותה]. והוכיח דכופין משום מצוות החליצה, דהחליצה הוה מצווה.</w:t>
      </w:r>
    </w:p>
    <w:p w14:paraId="2D5A5134" w14:textId="77777777" w:rsidR="006C4368" w:rsidRPr="003124AA" w:rsidRDefault="006C4368" w:rsidP="006C4368">
      <w:pPr>
        <w:pStyle w:val="a8"/>
        <w:bidi/>
        <w:rPr>
          <w:rFonts w:ascii="Narkisim" w:hAnsi="Narkisim"/>
        </w:rPr>
      </w:pPr>
      <w:r w:rsidRPr="003124AA">
        <w:rPr>
          <w:rFonts w:ascii="Narkisim" w:hAnsi="Narkisim"/>
          <w:rtl/>
        </w:rPr>
        <w:t>והעונג יו"ט כת' דאין לומר דשמא תמצא פתח לנדרה, דא"כ מותרת ליבם. ואמאי כופין לחלוץ.</w:t>
      </w:r>
    </w:p>
    <w:p w14:paraId="7CE9FEC5" w14:textId="77777777" w:rsidR="006C4368" w:rsidRPr="003124AA" w:rsidRDefault="006C4368" w:rsidP="006C4368">
      <w:pPr>
        <w:bidi/>
        <w:rPr>
          <w:rFonts w:ascii="Narkisim" w:hAnsi="Narkisim" w:cs="Narkisim"/>
        </w:rPr>
      </w:pPr>
      <w:r w:rsidRPr="003124AA">
        <w:rPr>
          <w:rFonts w:ascii="Narkisim" w:hAnsi="Narkisim" w:cs="Narkisim"/>
          <w:u w:val="single"/>
          <w:rtl/>
        </w:rPr>
        <w:t>תוד"ה איבעיא</w:t>
      </w:r>
      <w:r w:rsidRPr="003124AA">
        <w:rPr>
          <w:rFonts w:ascii="Narkisim" w:hAnsi="Narkisim" w:cs="Narkisim"/>
          <w:rtl/>
        </w:rPr>
        <w:t>. וקשה לר"י דפשיטא דאסרה נפשה אכל היהודים וכו'. וכה”ק ה</w:t>
      </w:r>
      <w:r w:rsidRPr="003124AA">
        <w:rPr>
          <w:rFonts w:ascii="Narkisim" w:hAnsi="Narkisim" w:cs="Narkisim"/>
          <w:b/>
          <w:bCs/>
          <w:rtl/>
        </w:rPr>
        <w:t>רמב”ן</w:t>
      </w:r>
      <w:r w:rsidRPr="003124AA">
        <w:rPr>
          <w:rFonts w:ascii="Narkisim" w:hAnsi="Narkisim" w:cs="Narkisim"/>
          <w:rtl/>
        </w:rPr>
        <w:t xml:space="preserve"> </w:t>
      </w:r>
      <w:r w:rsidRPr="003124AA">
        <w:rPr>
          <w:rFonts w:ascii="Narkisim" w:hAnsi="Narkisim" w:cs="Narkisim"/>
          <w:rtl/>
        </w:rPr>
        <w:lastRenderedPageBreak/>
        <w:t>דנדרה אכולי עלמא, וחל נדרה אפי' שלא מדעתה. ועוד ליבעי נמי לבעל אחותה מאי</w:t>
      </w:r>
      <w:r w:rsidRPr="003124AA">
        <w:rPr>
          <w:rStyle w:val="ac"/>
          <w:rFonts w:ascii="Narkisim" w:hAnsi="Narkisim" w:cs="Narkisim"/>
          <w:rtl/>
        </w:rPr>
        <w:footnoteReference w:id="7455"/>
      </w:r>
      <w:r w:rsidRPr="003124AA">
        <w:rPr>
          <w:rFonts w:ascii="Narkisim" w:hAnsi="Narkisim" w:cs="Narkisim"/>
          <w:rtl/>
        </w:rPr>
        <w:t>. וכן הנודר מכל הנשים וכי מותר באשת איש שנתאלמנה או נתגרשה</w:t>
      </w:r>
      <w:r w:rsidRPr="003124AA">
        <w:rPr>
          <w:rStyle w:val="ac"/>
          <w:rFonts w:ascii="Narkisim" w:hAnsi="Narkisim" w:cs="Narkisim"/>
          <w:rtl/>
        </w:rPr>
        <w:footnoteReference w:id="7456"/>
      </w:r>
      <w:r w:rsidRPr="003124AA">
        <w:rPr>
          <w:rFonts w:ascii="Narkisim" w:hAnsi="Narkisim" w:cs="Narkisim"/>
          <w:rtl/>
        </w:rPr>
        <w:t>. ועוד הביא ד</w:t>
      </w:r>
      <w:r w:rsidRPr="003124AA">
        <w:rPr>
          <w:rFonts w:ascii="Narkisim" w:hAnsi="Narkisim" w:cs="Narkisim"/>
          <w:b/>
          <w:bCs/>
          <w:rtl/>
        </w:rPr>
        <w:t>רש"י</w:t>
      </w:r>
      <w:r w:rsidRPr="003124AA">
        <w:rPr>
          <w:rFonts w:ascii="Narkisim" w:hAnsi="Narkisim" w:cs="Narkisim"/>
          <w:rtl/>
        </w:rPr>
        <w:t xml:space="preserve"> (ע' שבועות כג:)  נקט דהנשבע שלא אוכל ואכל אוכלין אסורין נבילות וטריפות חייב, אלמא כל שהיא אכילה בכלל.</w:t>
      </w:r>
    </w:p>
    <w:p w14:paraId="37DFC553" w14:textId="77777777" w:rsidR="006C4368" w:rsidRPr="003124AA" w:rsidRDefault="006C4368" w:rsidP="006C4368">
      <w:pPr>
        <w:bidi/>
        <w:rPr>
          <w:rFonts w:ascii="Narkisim" w:hAnsi="Narkisim" w:cs="Narkisim"/>
        </w:rPr>
      </w:pPr>
      <w:r w:rsidRPr="003124AA">
        <w:rPr>
          <w:rFonts w:ascii="Narkisim" w:hAnsi="Narkisim" w:cs="Narkisim"/>
          <w:u w:val="single"/>
          <w:rtl/>
        </w:rPr>
        <w:t>בא"ד ועוד מאי קאמר ש"מ כופין כרב, והלא היא מותרת לו וכו'</w:t>
      </w:r>
      <w:r w:rsidRPr="003124AA">
        <w:rPr>
          <w:rFonts w:ascii="Narkisim" w:hAnsi="Narkisim" w:cs="Narkisim"/>
          <w:rtl/>
        </w:rPr>
        <w:t>. וה</w:t>
      </w:r>
      <w:r w:rsidRPr="003124AA">
        <w:rPr>
          <w:rFonts w:ascii="Narkisim" w:hAnsi="Narkisim" w:cs="Narkisim"/>
          <w:b/>
          <w:bCs/>
          <w:rtl/>
        </w:rPr>
        <w:t>ראשונים</w:t>
      </w:r>
      <w:r w:rsidRPr="003124AA">
        <w:rPr>
          <w:rFonts w:ascii="Narkisim" w:hAnsi="Narkisim" w:cs="Narkisim"/>
          <w:rtl/>
        </w:rPr>
        <w:t xml:space="preserve"> הביאו בשם ה</w:t>
      </w:r>
      <w:r w:rsidRPr="003124AA">
        <w:rPr>
          <w:rFonts w:ascii="Narkisim" w:hAnsi="Narkisim" w:cs="Narkisim"/>
          <w:b/>
          <w:bCs/>
          <w:rtl/>
        </w:rPr>
        <w:t>ראב"ד</w:t>
      </w:r>
      <w:r w:rsidRPr="003124AA">
        <w:rPr>
          <w:rStyle w:val="ac"/>
          <w:rFonts w:ascii="Narkisim" w:hAnsi="Narkisim" w:cs="Narkisim"/>
          <w:rtl/>
        </w:rPr>
        <w:footnoteReference w:id="7457"/>
      </w:r>
      <w:r w:rsidRPr="003124AA">
        <w:rPr>
          <w:rFonts w:ascii="Narkisim" w:hAnsi="Narkisim" w:cs="Narkisim"/>
          <w:rtl/>
        </w:rPr>
        <w:t xml:space="preserve"> דמותרת לו בתשמיש, אך אסורה בשאר הנאות. וכופין משום שאין אדם דר עם האסורה עליו בכל הנאות שבעולם. וה</w:t>
      </w:r>
      <w:r w:rsidRPr="003124AA">
        <w:rPr>
          <w:rFonts w:ascii="Narkisim" w:hAnsi="Narkisim" w:cs="Narkisim"/>
          <w:b/>
          <w:bCs/>
          <w:rtl/>
        </w:rPr>
        <w:t>ריטב"א</w:t>
      </w:r>
      <w:r w:rsidRPr="003124AA">
        <w:rPr>
          <w:rFonts w:ascii="Narkisim" w:hAnsi="Narkisim" w:cs="Narkisim"/>
          <w:rtl/>
        </w:rPr>
        <w:t xml:space="preserve"> הק' דמ"מ יהא מייבם משום מצווה, ואח"כ יגרש. וכה"ק ה</w:t>
      </w:r>
      <w:r w:rsidRPr="003124AA">
        <w:rPr>
          <w:rFonts w:ascii="Narkisim" w:hAnsi="Narkisim" w:cs="Narkisim"/>
          <w:b/>
          <w:bCs/>
          <w:rtl/>
        </w:rPr>
        <w:t>מלחמות</w:t>
      </w:r>
      <w:r w:rsidRPr="003124AA">
        <w:rPr>
          <w:rFonts w:ascii="Narkisim" w:hAnsi="Narkisim" w:cs="Narkisim"/>
          <w:rtl/>
        </w:rPr>
        <w:t>.</w:t>
      </w:r>
    </w:p>
    <w:p w14:paraId="1EA1E170" w14:textId="77777777" w:rsidR="006C4368" w:rsidRPr="003124AA" w:rsidRDefault="006C4368" w:rsidP="006C4368">
      <w:pPr>
        <w:bidi/>
        <w:rPr>
          <w:rFonts w:ascii="Narkisim" w:hAnsi="Narkisim" w:cs="Narkisim"/>
        </w:rPr>
      </w:pPr>
      <w:r w:rsidRPr="003124AA">
        <w:rPr>
          <w:rFonts w:ascii="Narkisim" w:hAnsi="Narkisim" w:cs="Narkisim"/>
          <w:u w:val="single"/>
          <w:rtl/>
        </w:rPr>
        <w:t>כופין אותו שיחלוץ, ואם אי' דמסקה אדעתה וכו'</w:t>
      </w:r>
      <w:r w:rsidRPr="003124AA">
        <w:rPr>
          <w:rFonts w:ascii="Narkisim" w:hAnsi="Narkisim" w:cs="Narkisim"/>
          <w:rtl/>
        </w:rPr>
        <w:t>. ה</w:t>
      </w:r>
      <w:r w:rsidRPr="003124AA">
        <w:rPr>
          <w:rFonts w:ascii="Narkisim" w:hAnsi="Narkisim" w:cs="Narkisim"/>
          <w:b/>
          <w:bCs/>
          <w:rtl/>
        </w:rPr>
        <w:t>רי"ף</w:t>
      </w:r>
      <w:r w:rsidRPr="003124AA">
        <w:rPr>
          <w:rFonts w:ascii="Narkisim" w:hAnsi="Narkisim" w:cs="Narkisim"/>
          <w:rtl/>
        </w:rPr>
        <w:t xml:space="preserve"> כת' דנפק"מ דלא הוה מורדת. נדרה מחיים לא מסקה דמת הבעל, ואין לה דיני מורדת. ואילו נדרה לאחר מיתת הבעל הוה מורדת. וסיים ש"מ דלא כשמואל (כתובות סד.) דאין כותבין אגרת מרד לשומרת יבם</w:t>
      </w:r>
      <w:r w:rsidRPr="003124AA">
        <w:rPr>
          <w:rStyle w:val="ac"/>
          <w:rFonts w:ascii="Narkisim" w:hAnsi="Narkisim" w:cs="Narkisim"/>
          <w:rtl/>
        </w:rPr>
        <w:footnoteReference w:id="7458"/>
      </w:r>
      <w:r w:rsidRPr="003124AA">
        <w:rPr>
          <w:rFonts w:ascii="Narkisim" w:hAnsi="Narkisim" w:cs="Narkisim"/>
          <w:rtl/>
        </w:rPr>
        <w:t>. וה</w:t>
      </w:r>
      <w:r w:rsidRPr="003124AA">
        <w:rPr>
          <w:rFonts w:ascii="Narkisim" w:hAnsi="Narkisim" w:cs="Narkisim"/>
          <w:b/>
          <w:bCs/>
          <w:rtl/>
        </w:rPr>
        <w:t>ראב"ד</w:t>
      </w:r>
      <w:r w:rsidRPr="003124AA">
        <w:rPr>
          <w:rFonts w:ascii="Narkisim" w:hAnsi="Narkisim" w:cs="Narkisim"/>
          <w:rtl/>
        </w:rPr>
        <w:t xml:space="preserve"> (ס' הזכות) חלק דהיכא דאינה רוצה להתייבם מבקשין, ואין ראיה שהיא מורדת. דאי דינה כמורדת יש לנו לקונסה ותשב עיגונא. ולא מקשין שיחלוץ לה. והרמב"ן הביא דר' אפרים השיג עד"ז</w:t>
      </w:r>
      <w:r w:rsidRPr="003124AA">
        <w:rPr>
          <w:rStyle w:val="ac"/>
          <w:rFonts w:ascii="Narkisim" w:hAnsi="Narkisim" w:cs="Narkisim"/>
          <w:rtl/>
        </w:rPr>
        <w:footnoteReference w:id="7459"/>
      </w:r>
      <w:r w:rsidRPr="003124AA">
        <w:rPr>
          <w:rFonts w:ascii="Narkisim" w:hAnsi="Narkisim" w:cs="Narkisim"/>
          <w:rtl/>
        </w:rPr>
        <w:t>.</w:t>
      </w:r>
    </w:p>
    <w:p w14:paraId="435248D3"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ב</w:t>
      </w:r>
      <w:r w:rsidRPr="003124AA">
        <w:rPr>
          <w:rFonts w:ascii="Narkisim" w:hAnsi="Narkisim"/>
          <w:b/>
          <w:bCs/>
          <w:rtl/>
        </w:rPr>
        <w:t>ס' הזכות</w:t>
      </w:r>
      <w:r w:rsidRPr="003124AA">
        <w:rPr>
          <w:rFonts w:ascii="Narkisim" w:hAnsi="Narkisim"/>
          <w:rtl/>
        </w:rPr>
        <w:t xml:space="preserve"> ביאר דכוונת הרי"ף דבסוגיין הנידון האם חיישי' דעיניה נתנה באחר (וכמשנה אחרונה) ונתכוונה לאסור עצמה. ובזה הק' הרי"ף דאת"ל דיבמה מורדת אינה מפסדת כלל, א”כ אי"צ נדר כשתתן עיניה לאחר</w:t>
      </w:r>
      <w:r w:rsidRPr="003124AA">
        <w:rPr>
          <w:rStyle w:val="ac"/>
          <w:rFonts w:ascii="Narkisim" w:hAnsi="Narkisim"/>
          <w:rtl/>
        </w:rPr>
        <w:footnoteReference w:id="7460"/>
      </w:r>
      <w:r w:rsidRPr="003124AA">
        <w:rPr>
          <w:rFonts w:ascii="Narkisim" w:hAnsi="Narkisim"/>
          <w:rtl/>
        </w:rPr>
        <w:t>. וא”כ אמאי יש לנו לחושדה שעיניה נתנה ולמנוע ממנה אפי' כפייה</w:t>
      </w:r>
      <w:r w:rsidRPr="003124AA">
        <w:rPr>
          <w:rStyle w:val="ac"/>
          <w:rFonts w:ascii="Narkisim" w:hAnsi="Narkisim"/>
          <w:rtl/>
        </w:rPr>
        <w:footnoteReference w:id="7461"/>
      </w:r>
      <w:r w:rsidRPr="003124AA">
        <w:rPr>
          <w:rFonts w:ascii="Narkisim" w:hAnsi="Narkisim"/>
          <w:rtl/>
        </w:rPr>
        <w:t>. וע"כ דיש דין מורדת בשומרת יבם, ומש"ה תלינן דעיניה נתנה באחר.</w:t>
      </w:r>
    </w:p>
    <w:p w14:paraId="46C096E7" w14:textId="77777777" w:rsidR="006C4368" w:rsidRPr="003124AA" w:rsidRDefault="006C4368" w:rsidP="006C4368">
      <w:pPr>
        <w:pStyle w:val="3"/>
        <w:bidi/>
        <w:rPr>
          <w:rFonts w:ascii="Narkisim" w:hAnsi="Narkisim"/>
        </w:rPr>
      </w:pPr>
      <w:r w:rsidRPr="003124AA">
        <w:rPr>
          <w:rFonts w:ascii="Narkisim" w:hAnsi="Narkisim"/>
          <w:rtl/>
        </w:rPr>
        <w:t>דף קיב:</w:t>
      </w:r>
    </w:p>
    <w:p w14:paraId="6569E3FF" w14:textId="77777777" w:rsidR="006C4368" w:rsidRPr="003124AA" w:rsidRDefault="006C4368" w:rsidP="006C4368">
      <w:pPr>
        <w:pStyle w:val="aa"/>
        <w:bidi/>
        <w:rPr>
          <w:rFonts w:ascii="Narkisim" w:hAnsi="Narkisim"/>
        </w:rPr>
      </w:pPr>
      <w:r w:rsidRPr="003124AA">
        <w:rPr>
          <w:rFonts w:ascii="Narkisim" w:hAnsi="Narkisim"/>
          <w:u w:val="single"/>
          <w:rtl/>
        </w:rPr>
        <w:t>הב”ע באשה שיש לה בנים, דכולי האי לא מסקא אדעתא</w:t>
      </w:r>
      <w:r w:rsidRPr="003124AA">
        <w:rPr>
          <w:rFonts w:ascii="Narkisim" w:hAnsi="Narkisim"/>
          <w:rtl/>
        </w:rPr>
        <w:t>. אך מבואר (לקמן קיז.) דיבמתה אינה נאמנת להעיד, אף כשיש בנים. דלענין עדות חששו דמסקה אדעתא (ע”ע בי”ש יז יד).</w:t>
      </w:r>
    </w:p>
    <w:p w14:paraId="2A5CA3CD" w14:textId="77777777" w:rsidR="006C4368" w:rsidRPr="003124AA" w:rsidRDefault="006C4368" w:rsidP="006C4368">
      <w:pPr>
        <w:pStyle w:val="2"/>
        <w:bidi/>
        <w:rPr>
          <w:rFonts w:ascii="Narkisim" w:hAnsi="Narkisim"/>
        </w:rPr>
      </w:pPr>
      <w:r w:rsidRPr="003124AA">
        <w:rPr>
          <w:rFonts w:ascii="Narkisim" w:hAnsi="Narkisim"/>
          <w:rtl/>
        </w:rPr>
        <w:t>הדרן עלך פרק בית שמאי</w:t>
      </w:r>
    </w:p>
    <w:p w14:paraId="3F04B41B" w14:textId="77777777" w:rsidR="006C4368" w:rsidRPr="003124AA" w:rsidRDefault="006C4368" w:rsidP="006C4368">
      <w:pPr>
        <w:pStyle w:val="Text"/>
        <w:bidi/>
        <w:rPr>
          <w:rFonts w:ascii="Narkisim" w:hAnsi="Narkisim"/>
        </w:rPr>
      </w:pPr>
    </w:p>
    <w:p w14:paraId="327E5856" w14:textId="77777777" w:rsidR="006C4368" w:rsidRPr="003124AA" w:rsidRDefault="006C4368" w:rsidP="006C4368">
      <w:pPr>
        <w:pStyle w:val="2"/>
        <w:pageBreakBefore/>
        <w:bidi/>
        <w:rPr>
          <w:rFonts w:ascii="Narkisim" w:hAnsi="Narkisim"/>
        </w:rPr>
      </w:pPr>
      <w:r w:rsidRPr="003124AA">
        <w:rPr>
          <w:rFonts w:ascii="Narkisim" w:hAnsi="Narkisim"/>
          <w:rtl/>
        </w:rPr>
        <w:lastRenderedPageBreak/>
        <w:t>בס”ד</w:t>
      </w:r>
    </w:p>
    <w:p w14:paraId="340F9DA1" w14:textId="77777777" w:rsidR="006C4368" w:rsidRPr="003124AA" w:rsidRDefault="006C4368" w:rsidP="006C4368">
      <w:pPr>
        <w:pStyle w:val="1"/>
        <w:bidi/>
        <w:rPr>
          <w:rFonts w:ascii="Narkisim" w:hAnsi="Narkisim"/>
        </w:rPr>
      </w:pPr>
      <w:r w:rsidRPr="003124AA">
        <w:rPr>
          <w:rFonts w:ascii="Narkisim" w:hAnsi="Narkisim"/>
          <w:rtl/>
        </w:rPr>
        <w:t>פרק חרש</w:t>
      </w:r>
    </w:p>
    <w:p w14:paraId="561F00C7" w14:textId="77777777" w:rsidR="006C4368" w:rsidRPr="003124AA" w:rsidRDefault="006C4368" w:rsidP="006C4368">
      <w:pPr>
        <w:bidi/>
        <w:rPr>
          <w:rFonts w:ascii="Narkisim" w:hAnsi="Narkisim" w:cs="Narkisim"/>
        </w:rPr>
      </w:pPr>
      <w:r w:rsidRPr="003124AA">
        <w:rPr>
          <w:rFonts w:ascii="Narkisim" w:hAnsi="Narkisim" w:cs="Narkisim"/>
          <w:u w:val="single"/>
          <w:rtl/>
        </w:rPr>
        <w:t>חרש שנשא וכו' אם רצה להוציא יוציא וכו' כשם שהוא כונסה ברמיזה וכו'</w:t>
      </w:r>
      <w:r w:rsidRPr="003124AA">
        <w:rPr>
          <w:rFonts w:ascii="Narkisim" w:hAnsi="Narkisim" w:cs="Narkisim"/>
          <w:rtl/>
        </w:rPr>
        <w:t>. ה</w:t>
      </w:r>
      <w:r w:rsidRPr="003124AA">
        <w:rPr>
          <w:rFonts w:ascii="Narkisim" w:hAnsi="Narkisim" w:cs="Narkisim"/>
          <w:b/>
          <w:bCs/>
          <w:rtl/>
        </w:rPr>
        <w:t>רשב"א</w:t>
      </w:r>
      <w:r w:rsidRPr="003124AA">
        <w:rPr>
          <w:rFonts w:ascii="Narkisim" w:hAnsi="Narkisim" w:cs="Narkisim"/>
          <w:rtl/>
        </w:rPr>
        <w:t xml:space="preserve"> הביא בשם ה</w:t>
      </w:r>
      <w:r w:rsidRPr="003124AA">
        <w:rPr>
          <w:rFonts w:ascii="Narkisim" w:hAnsi="Narkisim" w:cs="Narkisim"/>
          <w:b/>
          <w:bCs/>
          <w:rtl/>
        </w:rPr>
        <w:t>ירושלמי</w:t>
      </w:r>
      <w:r w:rsidRPr="003124AA">
        <w:rPr>
          <w:rFonts w:ascii="Narkisim" w:hAnsi="Narkisim" w:cs="Narkisim"/>
          <w:rtl/>
        </w:rPr>
        <w:t xml:space="preserve"> דה"מ בשקידשה בכסף, אבל אם קדשה בבעילה קדושיו מעשה וגירושיו אינן מעשה [וע”ע בסמוך]. [ומשמע ברשב"א נקטינן כן</w:t>
      </w:r>
      <w:r w:rsidRPr="003124AA">
        <w:rPr>
          <w:rStyle w:val="ac"/>
          <w:rFonts w:ascii="Narkisim" w:hAnsi="Narkisim" w:cs="Narkisim"/>
          <w:rtl/>
        </w:rPr>
        <w:footnoteReference w:id="7462"/>
      </w:r>
      <w:r w:rsidRPr="003124AA">
        <w:rPr>
          <w:rFonts w:ascii="Narkisim" w:hAnsi="Narkisim" w:cs="Narkisim"/>
          <w:rtl/>
        </w:rPr>
        <w:t>]. אבל ה</w:t>
      </w:r>
      <w:r w:rsidRPr="003124AA">
        <w:rPr>
          <w:rFonts w:ascii="Narkisim" w:hAnsi="Narkisim" w:cs="Narkisim"/>
          <w:b/>
          <w:bCs/>
          <w:rtl/>
        </w:rPr>
        <w:t>מאירי</w:t>
      </w:r>
      <w:r w:rsidRPr="003124AA">
        <w:rPr>
          <w:rFonts w:ascii="Narkisim" w:hAnsi="Narkisim" w:cs="Narkisim"/>
          <w:rtl/>
        </w:rPr>
        <w:t xml:space="preserve"> כת' דבתלמוד שלנו אינו מחלק בזה</w:t>
      </w:r>
      <w:r w:rsidRPr="003124AA">
        <w:rPr>
          <w:rStyle w:val="ac"/>
          <w:rFonts w:ascii="Narkisim" w:hAnsi="Narkisim" w:cs="Narkisim"/>
          <w:rtl/>
        </w:rPr>
        <w:footnoteReference w:id="7463"/>
      </w:r>
      <w:r w:rsidRPr="003124AA">
        <w:rPr>
          <w:rFonts w:ascii="Narkisim" w:hAnsi="Narkisim" w:cs="Narkisim"/>
          <w:rtl/>
        </w:rPr>
        <w:t>. וכ"כ ה</w:t>
      </w:r>
      <w:r w:rsidRPr="003124AA">
        <w:rPr>
          <w:rFonts w:ascii="Narkisim" w:hAnsi="Narkisim" w:cs="Narkisim"/>
          <w:b/>
          <w:bCs/>
          <w:rtl/>
        </w:rPr>
        <w:t>ב"י</w:t>
      </w:r>
      <w:r w:rsidRPr="003124AA">
        <w:rPr>
          <w:rFonts w:ascii="Narkisim" w:hAnsi="Narkisim" w:cs="Narkisim"/>
          <w:rtl/>
        </w:rPr>
        <w:t xml:space="preserve"> (קכא) דלא ראה א' מהפוסקים שחילקו כן.</w:t>
      </w:r>
    </w:p>
    <w:p w14:paraId="7E6DC395" w14:textId="77777777" w:rsidR="006C4368" w:rsidRPr="003124AA" w:rsidRDefault="006C4368" w:rsidP="006C4368">
      <w:pPr>
        <w:pStyle w:val="aa"/>
        <w:bidi/>
        <w:rPr>
          <w:rFonts w:ascii="Narkisim" w:hAnsi="Narkisim"/>
        </w:rPr>
      </w:pPr>
      <w:r w:rsidRPr="003124AA">
        <w:rPr>
          <w:rFonts w:ascii="Narkisim" w:hAnsi="Narkisim"/>
          <w:rtl/>
        </w:rPr>
        <w:t xml:space="preserve">ויש </w:t>
      </w:r>
      <w:r w:rsidRPr="003124AA">
        <w:rPr>
          <w:rFonts w:ascii="Narkisim" w:hAnsi="Narkisim"/>
          <w:b/>
          <w:bCs/>
          <w:rtl/>
        </w:rPr>
        <w:t>אחרונים</w:t>
      </w:r>
      <w:r w:rsidRPr="003124AA">
        <w:rPr>
          <w:rFonts w:ascii="Narkisim" w:hAnsi="Narkisim"/>
          <w:rtl/>
        </w:rPr>
        <w:t xml:space="preserve"> שהביאו דדעת ה</w:t>
      </w:r>
      <w:r w:rsidRPr="003124AA">
        <w:rPr>
          <w:rFonts w:ascii="Narkisim" w:hAnsi="Narkisim"/>
          <w:b/>
          <w:bCs/>
          <w:rtl/>
        </w:rPr>
        <w:t>ירושלמי</w:t>
      </w:r>
      <w:r w:rsidRPr="003124AA">
        <w:rPr>
          <w:rFonts w:ascii="Narkisim" w:hAnsi="Narkisim"/>
          <w:rtl/>
        </w:rPr>
        <w:t xml:space="preserve"> דמהני קידושי ביאה של חרש מדאורייתא</w:t>
      </w:r>
      <w:r w:rsidRPr="003124AA">
        <w:rPr>
          <w:rStyle w:val="ac"/>
          <w:rFonts w:ascii="Narkisim" w:hAnsi="Narkisim"/>
          <w:rtl/>
        </w:rPr>
        <w:footnoteReference w:id="7464"/>
      </w:r>
      <w:r w:rsidRPr="003124AA">
        <w:rPr>
          <w:rFonts w:ascii="Narkisim" w:hAnsi="Narkisim"/>
          <w:rtl/>
        </w:rPr>
        <w:t>. [אך מבואר בגמ' (קידושין יט.) דפשיטא דקטן אין לו קידושין, אפי' קידושי ביאה</w:t>
      </w:r>
      <w:r w:rsidRPr="003124AA">
        <w:rPr>
          <w:rStyle w:val="ac"/>
          <w:rFonts w:ascii="Narkisim" w:hAnsi="Narkisim"/>
          <w:rtl/>
        </w:rPr>
        <w:footnoteReference w:id="7465"/>
      </w:r>
      <w:r w:rsidRPr="003124AA">
        <w:rPr>
          <w:rFonts w:ascii="Narkisim" w:hAnsi="Narkisim"/>
          <w:rtl/>
        </w:rPr>
        <w:t xml:space="preserve">]. אבל כמה </w:t>
      </w:r>
      <w:r w:rsidRPr="003124AA">
        <w:rPr>
          <w:rFonts w:ascii="Narkisim" w:hAnsi="Narkisim"/>
          <w:b/>
          <w:bCs/>
          <w:rtl/>
        </w:rPr>
        <w:t>אחרונים</w:t>
      </w:r>
      <w:r w:rsidRPr="003124AA">
        <w:rPr>
          <w:rFonts w:ascii="Narkisim" w:hAnsi="Narkisim"/>
          <w:rtl/>
        </w:rPr>
        <w:t xml:space="preserve"> כת' דלעולם [אף לירושלמי] ביאת חרש הוה מדרבנן כיון דאין לו דעת, אלא דל"מ לגרש. דסברת 'כשם שכונסה ברמיזה' שייך דוקא במעשה קידושין דרמיזה</w:t>
      </w:r>
      <w:r w:rsidRPr="003124AA">
        <w:rPr>
          <w:rStyle w:val="ac"/>
          <w:rFonts w:ascii="Narkisim" w:hAnsi="Narkisim"/>
          <w:rtl/>
        </w:rPr>
        <w:footnoteReference w:id="7466"/>
      </w:r>
      <w:r w:rsidRPr="003124AA">
        <w:rPr>
          <w:rFonts w:ascii="Narkisim" w:hAnsi="Narkisim"/>
          <w:rtl/>
        </w:rPr>
        <w:t>. [וכ”ה מסקנת הדברי חיים].</w:t>
      </w:r>
    </w:p>
    <w:p w14:paraId="53F51D8B"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דנו דאף כשקידש בכסף ואח"כ בא עליה, נימא דקנאה מדאורייתא. דחזקה שנתכוון לקדש בביאה [וכדברי רב לעיל קי.]</w:t>
      </w:r>
      <w:r w:rsidRPr="003124AA">
        <w:rPr>
          <w:rStyle w:val="ac"/>
          <w:rFonts w:ascii="Narkisim" w:hAnsi="Narkisim"/>
          <w:rtl/>
        </w:rPr>
        <w:footnoteReference w:id="7467"/>
      </w:r>
      <w:r w:rsidRPr="003124AA">
        <w:rPr>
          <w:rFonts w:ascii="Narkisim" w:hAnsi="Narkisim"/>
          <w:rtl/>
        </w:rPr>
        <w:t>.</w:t>
      </w:r>
    </w:p>
    <w:p w14:paraId="7D7B456B"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מגיה למשנ"ל</w:t>
      </w:r>
      <w:r w:rsidRPr="003124AA">
        <w:rPr>
          <w:rFonts w:ascii="Narkisim" w:hAnsi="Narkisim" w:cs="Narkisim"/>
          <w:rtl/>
        </w:rPr>
        <w:t xml:space="preserve"> (גירושין ב יז) הביא להק' [ע"ד הירושלמי] דבמשנה מבואר דבב' אחים חרשים, היבם רשאי לגרשה. דכיון דהראשון כנסה ברמיזה אף היבם מוציא ברמיזה (וכדאי' בגמ' גיטין עא.). ואע"ג דהיבם כנסה בביאה [דהוה מעשה], מוציא ברמיזה. וה</w:t>
      </w:r>
      <w:r w:rsidRPr="003124AA">
        <w:rPr>
          <w:rFonts w:ascii="Narkisim" w:hAnsi="Narkisim" w:cs="Narkisim"/>
          <w:b/>
          <w:bCs/>
          <w:rtl/>
        </w:rPr>
        <w:t>אחרונים</w:t>
      </w:r>
      <w:r w:rsidRPr="003124AA">
        <w:rPr>
          <w:rFonts w:ascii="Narkisim" w:hAnsi="Narkisim" w:cs="Narkisim"/>
          <w:rtl/>
        </w:rPr>
        <w:t xml:space="preserve"> (מראה הפנים לירושלמי) דחו דביאת היבם הוה ע"ד קידושי אחיו, והראשון קנה ברמיזה.</w:t>
      </w:r>
    </w:p>
    <w:p w14:paraId="7D231799" w14:textId="77777777" w:rsidR="006C4368" w:rsidRPr="003124AA" w:rsidRDefault="006C4368" w:rsidP="006C4368">
      <w:pPr>
        <w:bidi/>
        <w:rPr>
          <w:rFonts w:ascii="Narkisim" w:hAnsi="Narkisim" w:cs="Narkisim"/>
        </w:rPr>
      </w:pPr>
      <w:r w:rsidRPr="003124AA">
        <w:rPr>
          <w:rFonts w:ascii="Narkisim" w:hAnsi="Narkisim" w:cs="Narkisim"/>
          <w:u w:val="single"/>
          <w:rtl/>
        </w:rPr>
        <w:t>כך הוא מוציא ברמיזה</w:t>
      </w:r>
      <w:r w:rsidRPr="003124AA">
        <w:rPr>
          <w:rFonts w:ascii="Narkisim" w:hAnsi="Narkisim" w:cs="Narkisim"/>
          <w:rtl/>
        </w:rPr>
        <w:t>. לשון המשנה משמע דהחידוש דרומזים לו, וסומכים על כוונתו ברמיזותיו</w:t>
      </w:r>
      <w:r w:rsidRPr="003124AA">
        <w:rPr>
          <w:rStyle w:val="ac"/>
          <w:rFonts w:ascii="Narkisim" w:hAnsi="Narkisim" w:cs="Narkisim"/>
          <w:rtl/>
        </w:rPr>
        <w:footnoteReference w:id="7468"/>
      </w:r>
      <w:r w:rsidRPr="003124AA">
        <w:rPr>
          <w:rFonts w:ascii="Narkisim" w:hAnsi="Narkisim" w:cs="Narkisim"/>
          <w:rtl/>
        </w:rPr>
        <w:t>. אך עיקר החידוש הוא אף שאין לו דעת לגירושין</w:t>
      </w:r>
      <w:r w:rsidRPr="003124AA">
        <w:rPr>
          <w:rStyle w:val="ac"/>
          <w:rFonts w:ascii="Narkisim" w:hAnsi="Narkisim" w:cs="Narkisim"/>
          <w:rtl/>
        </w:rPr>
        <w:footnoteReference w:id="7469"/>
      </w:r>
      <w:r w:rsidRPr="003124AA">
        <w:rPr>
          <w:rFonts w:ascii="Narkisim" w:hAnsi="Narkisim" w:cs="Narkisim"/>
          <w:rtl/>
        </w:rPr>
        <w:t>. ועוד דמשמע דאף אחרים כותבים</w:t>
      </w:r>
      <w:r w:rsidRPr="003124AA">
        <w:rPr>
          <w:rStyle w:val="ac"/>
          <w:rFonts w:ascii="Narkisim" w:hAnsi="Narkisim" w:cs="Narkisim"/>
          <w:rtl/>
        </w:rPr>
        <w:footnoteReference w:id="7470"/>
      </w:r>
      <w:r w:rsidRPr="003124AA">
        <w:rPr>
          <w:rFonts w:ascii="Narkisim" w:hAnsi="Narkisim" w:cs="Narkisim"/>
          <w:rtl/>
        </w:rPr>
        <w:t xml:space="preserve"> ונותנים עבורו, ואף דאין שליחות לחש"ו. וה</w:t>
      </w:r>
      <w:r w:rsidRPr="003124AA">
        <w:rPr>
          <w:rFonts w:ascii="Narkisim" w:hAnsi="Narkisim" w:cs="Narkisim"/>
          <w:b/>
          <w:bCs/>
          <w:rtl/>
        </w:rPr>
        <w:t>בי”ש</w:t>
      </w:r>
      <w:r w:rsidRPr="003124AA">
        <w:rPr>
          <w:rFonts w:ascii="Narkisim" w:hAnsi="Narkisim" w:cs="Narkisim"/>
          <w:rtl/>
        </w:rPr>
        <w:t xml:space="preserve"> (קכא ט) כת' דהקילו בחרש דקידושיו לאו קידושין.</w:t>
      </w:r>
    </w:p>
    <w:p w14:paraId="464D40FE" w14:textId="77777777" w:rsidR="006C4368" w:rsidRPr="003124AA" w:rsidRDefault="006C4368" w:rsidP="006C4368">
      <w:pPr>
        <w:pStyle w:val="a8"/>
        <w:bidi/>
        <w:rPr>
          <w:rFonts w:ascii="Narkisim" w:hAnsi="Narkisim"/>
        </w:rPr>
      </w:pPr>
      <w:r w:rsidRPr="003124AA">
        <w:rPr>
          <w:rFonts w:ascii="Narkisim" w:hAnsi="Narkisim"/>
          <w:rtl/>
        </w:rPr>
        <w:t>ונח' ב' לשונות בגמ' (גיטין נט.) אליבא דבן בתירא האם סגי להוציאה בקפיצה</w:t>
      </w:r>
      <w:r w:rsidRPr="003124AA">
        <w:rPr>
          <w:rStyle w:val="ac"/>
          <w:rFonts w:ascii="Narkisim" w:hAnsi="Narkisim"/>
          <w:rtl/>
        </w:rPr>
        <w:footnoteReference w:id="7471"/>
      </w:r>
      <w:r w:rsidRPr="003124AA">
        <w:rPr>
          <w:rFonts w:ascii="Narkisim" w:hAnsi="Narkisim"/>
          <w:rtl/>
        </w:rPr>
        <w:t xml:space="preserve"> [פ</w:t>
      </w:r>
      <w:r w:rsidRPr="003124AA">
        <w:rPr>
          <w:rFonts w:ascii="Narkisim" w:hAnsi="Narkisim"/>
          <w:b/>
          <w:bCs/>
          <w:rtl/>
        </w:rPr>
        <w:t>רש"י</w:t>
      </w:r>
      <w:r w:rsidRPr="003124AA">
        <w:rPr>
          <w:rFonts w:ascii="Narkisim" w:hAnsi="Narkisim"/>
          <w:rtl/>
        </w:rPr>
        <w:t xml:space="preserve"> עקימת פיו, דאינו סימן ניכר כל כך], או דצריך דוקא רמיזה</w:t>
      </w:r>
      <w:r w:rsidRPr="003124AA">
        <w:rPr>
          <w:rStyle w:val="ac"/>
          <w:rFonts w:ascii="Narkisim" w:hAnsi="Narkisim"/>
          <w:rtl/>
        </w:rPr>
        <w:footnoteReference w:id="7472"/>
      </w:r>
      <w:r w:rsidRPr="003124AA">
        <w:rPr>
          <w:rFonts w:ascii="Narkisim" w:hAnsi="Narkisim"/>
          <w:rtl/>
        </w:rPr>
        <w:t>. וה</w:t>
      </w:r>
      <w:r w:rsidRPr="003124AA">
        <w:rPr>
          <w:rFonts w:ascii="Narkisim" w:hAnsi="Narkisim"/>
          <w:b/>
          <w:bCs/>
          <w:rtl/>
        </w:rPr>
        <w:t>בי"ש</w:t>
      </w:r>
      <w:r w:rsidRPr="003124AA">
        <w:rPr>
          <w:rFonts w:ascii="Narkisim" w:hAnsi="Narkisim"/>
          <w:rtl/>
        </w:rPr>
        <w:t xml:space="preserve"> (הנ"ל) כת' דהיכא דכנס ע"י קפיצה, ודאי מגרש ע"י קפיצה. </w:t>
      </w:r>
      <w:r w:rsidRPr="003124AA">
        <w:rPr>
          <w:rFonts w:ascii="Narkisim" w:hAnsi="Narkisim"/>
          <w:rtl/>
        </w:rPr>
        <w:lastRenderedPageBreak/>
        <w:t>וה</w:t>
      </w:r>
      <w:r w:rsidRPr="003124AA">
        <w:rPr>
          <w:rFonts w:ascii="Narkisim" w:hAnsi="Narkisim"/>
          <w:b/>
          <w:bCs/>
          <w:rtl/>
        </w:rPr>
        <w:t>תור"ג</w:t>
      </w:r>
      <w:r w:rsidRPr="003124AA">
        <w:rPr>
          <w:rFonts w:ascii="Narkisim" w:hAnsi="Narkisim"/>
          <w:rtl/>
        </w:rPr>
        <w:t xml:space="preserve"> (בפתח"ת שם) חלק.</w:t>
      </w:r>
    </w:p>
    <w:p w14:paraId="1CC32638" w14:textId="77777777" w:rsidR="006C4368" w:rsidRPr="003124AA" w:rsidRDefault="006C4368" w:rsidP="006C4368">
      <w:pPr>
        <w:bidi/>
        <w:rPr>
          <w:rFonts w:ascii="Narkisim" w:hAnsi="Narkisim" w:cs="Narkisim"/>
        </w:rPr>
      </w:pPr>
      <w:r w:rsidRPr="003124AA">
        <w:rPr>
          <w:rFonts w:ascii="Narkisim" w:hAnsi="Narkisim" w:cs="Narkisim"/>
          <w:u w:val="single"/>
          <w:rtl/>
        </w:rPr>
        <w:t>רש"י ד"ה כשם שכונסה</w:t>
      </w:r>
      <w:r w:rsidRPr="003124AA">
        <w:rPr>
          <w:rFonts w:ascii="Narkisim" w:hAnsi="Narkisim" w:cs="Narkisim"/>
          <w:rtl/>
        </w:rPr>
        <w:t>. וכן פקח בחרשת ברמיזה וכו'. [ועד"ז כת' רש"י לעיל קי.]. ה</w:t>
      </w:r>
      <w:r w:rsidRPr="003124AA">
        <w:rPr>
          <w:rFonts w:ascii="Narkisim" w:hAnsi="Narkisim" w:cs="Narkisim"/>
          <w:b/>
          <w:bCs/>
          <w:rtl/>
        </w:rPr>
        <w:t>תוס' רא"ש</w:t>
      </w:r>
      <w:r w:rsidRPr="003124AA">
        <w:rPr>
          <w:rFonts w:ascii="Narkisim" w:hAnsi="Narkisim" w:cs="Narkisim"/>
          <w:rtl/>
        </w:rPr>
        <w:t xml:space="preserve"> כת' שלא היה צריך לזה, דאפי' פקחת שנתחרשה יכולה להתגרש. וכה”ק </w:t>
      </w:r>
      <w:r w:rsidRPr="003124AA">
        <w:rPr>
          <w:rFonts w:ascii="Narkisim" w:hAnsi="Narkisim" w:cs="Narkisim"/>
          <w:b/>
          <w:bCs/>
          <w:rtl/>
        </w:rPr>
        <w:t>רע"א</w:t>
      </w:r>
      <w:r w:rsidRPr="003124AA">
        <w:rPr>
          <w:rFonts w:ascii="Narkisim" w:hAnsi="Narkisim" w:cs="Narkisim"/>
          <w:rtl/>
        </w:rPr>
        <w:t xml:space="preserve"> וה</w:t>
      </w:r>
      <w:r w:rsidRPr="003124AA">
        <w:rPr>
          <w:rFonts w:ascii="Narkisim" w:hAnsi="Narkisim" w:cs="Narkisim"/>
          <w:b/>
          <w:bCs/>
          <w:rtl/>
        </w:rPr>
        <w:t>רש”ש</w:t>
      </w:r>
      <w:r w:rsidRPr="003124AA">
        <w:rPr>
          <w:rFonts w:ascii="Narkisim" w:hAnsi="Narkisim" w:cs="Narkisim"/>
          <w:rtl/>
        </w:rPr>
        <w:t>.</w:t>
      </w:r>
    </w:p>
    <w:p w14:paraId="059DF2F0"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(ערול"נ, ישרש יעקב, וכן שבות יעקב א קכג) תי' דרש"י נקט כן משום דעת ר' יוחנן בן נורי (בסמוך, ע"פ הגמ' קיג:) דפליג דנשתטית אינה מתגרשת.</w:t>
      </w:r>
    </w:p>
    <w:p w14:paraId="177D8455" w14:textId="77777777" w:rsidR="006C4368" w:rsidRPr="003124AA" w:rsidRDefault="006C4368" w:rsidP="006C4368">
      <w:pPr>
        <w:pStyle w:val="aa"/>
        <w:bidi/>
        <w:rPr>
          <w:rFonts w:ascii="Narkisim" w:hAnsi="Narkisim"/>
        </w:rPr>
      </w:pPr>
      <w:r w:rsidRPr="003124AA">
        <w:rPr>
          <w:rFonts w:ascii="Narkisim" w:hAnsi="Narkisim"/>
          <w:u w:val="single"/>
          <w:rtl/>
        </w:rPr>
        <w:t>רש"י ד"ה שהשיאה אביה</w:t>
      </w:r>
      <w:r w:rsidRPr="003124AA">
        <w:rPr>
          <w:rFonts w:ascii="Narkisim" w:hAnsi="Narkisim"/>
          <w:rtl/>
        </w:rPr>
        <w:t>. שיוצאה בגט, אפי' משגדלה ופקע כח אב. ה</w:t>
      </w:r>
      <w:r w:rsidRPr="003124AA">
        <w:rPr>
          <w:rFonts w:ascii="Narkisim" w:hAnsi="Narkisim"/>
          <w:b/>
          <w:bCs/>
          <w:rtl/>
        </w:rPr>
        <w:t>רש"ש</w:t>
      </w:r>
      <w:r w:rsidRPr="003124AA">
        <w:rPr>
          <w:rFonts w:ascii="Narkisim" w:hAnsi="Narkisim"/>
          <w:rtl/>
        </w:rPr>
        <w:t xml:space="preserve"> כת' דרש"י הוצרך לזה לשיטתו (לעיל קט.) דבעודה קטנה אביה מקבל את גיטה, אפי' שנשאת.</w:t>
      </w:r>
    </w:p>
    <w:p w14:paraId="454A6B9F" w14:textId="77777777" w:rsidR="006C4368" w:rsidRPr="003124AA" w:rsidRDefault="006C4368" w:rsidP="006C4368">
      <w:pPr>
        <w:bidi/>
        <w:rPr>
          <w:rFonts w:ascii="Narkisim" w:hAnsi="Narkisim" w:cs="Narkisim"/>
        </w:rPr>
      </w:pPr>
      <w:r w:rsidRPr="003124AA">
        <w:rPr>
          <w:rFonts w:ascii="Narkisim" w:hAnsi="Narkisim" w:cs="Narkisim"/>
          <w:u w:val="single"/>
          <w:rtl/>
        </w:rPr>
        <w:t>ב' אחין א' חרש וכו' מת פקח בעל הפקחת, מה יעשה חרש וכו' כונס וכו'</w:t>
      </w:r>
      <w:r w:rsidRPr="003124AA">
        <w:rPr>
          <w:rFonts w:ascii="Narkisim" w:hAnsi="Narkisim" w:cs="Narkisim"/>
          <w:rtl/>
        </w:rPr>
        <w:t>. בפשוטו מבואר דחרש קונה את יבמתו מה"ת. דיבום ל"צ 'דעת קנין' (וכדאי' לעיל נג:). וכ"פ ה</w:t>
      </w:r>
      <w:r w:rsidRPr="003124AA">
        <w:rPr>
          <w:rFonts w:ascii="Narkisim" w:hAnsi="Narkisim" w:cs="Narkisim"/>
          <w:b/>
          <w:bCs/>
          <w:rtl/>
        </w:rPr>
        <w:t>רמב"ם</w:t>
      </w:r>
      <w:r w:rsidRPr="003124AA">
        <w:rPr>
          <w:rFonts w:ascii="Narkisim" w:hAnsi="Narkisim" w:cs="Narkisim"/>
          <w:rtl/>
        </w:rPr>
        <w:t xml:space="preserve"> (יבום ו ג) דבביאתו עושה אותה כאשת איש גמורה. אבל ה</w:t>
      </w:r>
      <w:r w:rsidRPr="003124AA">
        <w:rPr>
          <w:rFonts w:ascii="Narkisim" w:hAnsi="Narkisim" w:cs="Narkisim"/>
          <w:b/>
          <w:bCs/>
          <w:rtl/>
        </w:rPr>
        <w:t xml:space="preserve">מאירי </w:t>
      </w:r>
      <w:r w:rsidRPr="003124AA">
        <w:rPr>
          <w:rFonts w:ascii="Narkisim" w:hAnsi="Narkisim" w:cs="Narkisim"/>
          <w:rtl/>
        </w:rPr>
        <w:t>(גיטין עא.) הביא בזה מח'. דהביא יש שואלין דחרש שייבם ומת אינה מתייבמת לאחיו, דהוה אשת שני מתים, דכניסת הראשון אינה כניסה מעליא לאפוקה מזיקה ולעשותה אשת איש לגמרי, וזיקת שני יבמים עליה. וכעין מאמר, וכדאי' (לעיל צו:) גבי קטן בן ט'.</w:t>
      </w:r>
    </w:p>
    <w:p w14:paraId="530F9C2F" w14:textId="77777777" w:rsidR="006C4368" w:rsidRPr="003124AA" w:rsidRDefault="006C4368" w:rsidP="006C4368">
      <w:pPr>
        <w:pStyle w:val="a7"/>
        <w:bidi/>
        <w:rPr>
          <w:rFonts w:ascii="Narkisim" w:hAnsi="Narkisim"/>
        </w:rPr>
      </w:pPr>
      <w:r w:rsidRPr="003124AA">
        <w:rPr>
          <w:rFonts w:ascii="Narkisim" w:hAnsi="Narkisim"/>
          <w:rtl/>
        </w:rPr>
        <w:t xml:space="preserve">והביא </w:t>
      </w:r>
      <w:r w:rsidRPr="003124AA">
        <w:rPr>
          <w:rFonts w:ascii="Narkisim" w:hAnsi="Narkisim"/>
          <w:b/>
          <w:bCs/>
          <w:rtl/>
        </w:rPr>
        <w:t>יש חולקין</w:t>
      </w:r>
      <w:r w:rsidRPr="003124AA">
        <w:rPr>
          <w:rFonts w:ascii="Narkisim" w:hAnsi="Narkisim"/>
          <w:rtl/>
        </w:rPr>
        <w:t xml:space="preserve"> דמדאוריתא נפלה קמיה וכשייבם פקעה לה זיקה לגמרי. ול"ד ליבם בן תשע</w:t>
      </w:r>
      <w:r w:rsidRPr="003124AA">
        <w:rPr>
          <w:rStyle w:val="ac"/>
          <w:rFonts w:ascii="Narkisim" w:hAnsi="Narkisim"/>
          <w:rtl/>
        </w:rPr>
        <w:footnoteReference w:id="7473"/>
      </w:r>
      <w:r w:rsidRPr="003124AA">
        <w:rPr>
          <w:rFonts w:ascii="Narkisim" w:hAnsi="Narkisim"/>
          <w:rtl/>
        </w:rPr>
        <w:t>, התם ביאת קטן ל"ק לגמרי. אבל חרש הוא גדול, וביאתו מפקעת הזיקה לגמרי</w:t>
      </w:r>
      <w:r w:rsidRPr="003124AA">
        <w:rPr>
          <w:rStyle w:val="ac"/>
          <w:rFonts w:ascii="Narkisim" w:hAnsi="Narkisim"/>
          <w:rtl/>
        </w:rPr>
        <w:footnoteReference w:id="7474"/>
      </w:r>
      <w:r w:rsidRPr="003124AA">
        <w:rPr>
          <w:rFonts w:ascii="Narkisim" w:hAnsi="Narkisim"/>
          <w:rtl/>
        </w:rPr>
        <w:t>. ומתיבמת לשלישי. בין חרש ובין פקח. [והביא דכ"כ גדולי הדורות].</w:t>
      </w:r>
    </w:p>
    <w:p w14:paraId="18E7A6B8" w14:textId="77777777" w:rsidR="006C4368" w:rsidRPr="003124AA" w:rsidRDefault="006C4368" w:rsidP="006C4368">
      <w:pPr>
        <w:pStyle w:val="aa"/>
        <w:bidi/>
        <w:rPr>
          <w:rFonts w:ascii="Narkisim" w:hAnsi="Narkisim"/>
        </w:rPr>
      </w:pPr>
      <w:r w:rsidRPr="003124AA">
        <w:rPr>
          <w:rFonts w:ascii="Narkisim" w:hAnsi="Narkisim"/>
          <w:u w:val="single"/>
          <w:rtl/>
        </w:rPr>
        <w:t>שם.</w:t>
      </w:r>
      <w:r w:rsidRPr="003124AA">
        <w:rPr>
          <w:rFonts w:ascii="Narkisim" w:hAnsi="Narkisim"/>
          <w:rtl/>
        </w:rPr>
        <w:t xml:space="preserve"> </w:t>
      </w:r>
      <w:r w:rsidRPr="003124AA">
        <w:rPr>
          <w:rFonts w:ascii="Narkisim" w:hAnsi="Narkisim"/>
          <w:b/>
          <w:bCs/>
          <w:rtl/>
        </w:rPr>
        <w:t>תוס'</w:t>
      </w:r>
      <w:r w:rsidRPr="003124AA">
        <w:rPr>
          <w:rFonts w:ascii="Narkisim" w:hAnsi="Narkisim"/>
          <w:rtl/>
        </w:rPr>
        <w:t xml:space="preserve"> (לעיל מד.) הק' האיך חרש וחרשת עולין ליבום, הא אין עולין לחליצה. וכל שאינו עולה לחליצה אינו עולה ליבום</w:t>
      </w:r>
      <w:r w:rsidRPr="003124AA">
        <w:rPr>
          <w:rStyle w:val="ac"/>
          <w:rFonts w:ascii="Narkisim" w:hAnsi="Narkisim"/>
          <w:rtl/>
        </w:rPr>
        <w:footnoteReference w:id="7475"/>
      </w:r>
      <w:r w:rsidRPr="003124AA">
        <w:rPr>
          <w:rFonts w:ascii="Narkisim" w:hAnsi="Narkisim"/>
          <w:rtl/>
        </w:rPr>
        <w:t>. ותי' דעולה לחליצה, אלא דפומייהו כאיב להו. [וע"ע מש"כ בזה שם].</w:t>
      </w:r>
    </w:p>
    <w:p w14:paraId="09F3AD0D" w14:textId="77777777" w:rsidR="006C4368" w:rsidRPr="003124AA" w:rsidRDefault="006C4368" w:rsidP="006C4368">
      <w:pPr>
        <w:pStyle w:val="aa"/>
        <w:bidi/>
        <w:rPr>
          <w:rFonts w:ascii="Narkisim" w:hAnsi="Narkisim"/>
        </w:rPr>
      </w:pPr>
      <w:r w:rsidRPr="003124AA">
        <w:rPr>
          <w:rFonts w:ascii="Narkisim" w:hAnsi="Narkisim"/>
          <w:rtl/>
        </w:rPr>
        <w:t>ומבואר ב</w:t>
      </w:r>
      <w:r w:rsidRPr="003124AA">
        <w:rPr>
          <w:rFonts w:ascii="Narkisim" w:hAnsi="Narkisim"/>
          <w:b/>
          <w:bCs/>
          <w:rtl/>
        </w:rPr>
        <w:t>תוס</w:t>
      </w:r>
      <w:r w:rsidRPr="003124AA">
        <w:rPr>
          <w:rFonts w:ascii="Narkisim" w:hAnsi="Narkisim"/>
          <w:rtl/>
        </w:rPr>
        <w:t>' (לעיל לט.) דחרש רשאי לייבם אף כשיש יבם פקח [אלא דאין חוסמין אותה].</w:t>
      </w:r>
    </w:p>
    <w:p w14:paraId="644274C8"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נוב"י</w:t>
      </w:r>
      <w:r w:rsidRPr="003124AA">
        <w:rPr>
          <w:rFonts w:ascii="Narkisim" w:hAnsi="Narkisim"/>
          <w:rtl/>
        </w:rPr>
        <w:t xml:space="preserve"> (ק נד, הו' בפתח"ת קסה ב) כת' דאף לדעת אבא שאול (לעיל לט: וכ”מ) דיבום צריך כוונה למצווה מהני יבום דחרש. ולא אמרי' דחרש לאו בר כוונה הוא</w:t>
      </w:r>
      <w:r w:rsidRPr="003124AA">
        <w:rPr>
          <w:rStyle w:val="ac"/>
          <w:rFonts w:ascii="Narkisim" w:hAnsi="Narkisim"/>
          <w:rtl/>
        </w:rPr>
        <w:footnoteReference w:id="7476"/>
      </w:r>
      <w:r w:rsidRPr="003124AA">
        <w:rPr>
          <w:rFonts w:ascii="Narkisim" w:hAnsi="Narkisim"/>
          <w:rtl/>
        </w:rPr>
        <w:t>. ותי' דאף לאבא שאול לא בעינן שיכוון בפירוש לשם מצוה, רק שלא יכוין ההיפוך [לשם זנות או נוי</w:t>
      </w:r>
      <w:r w:rsidRPr="003124AA">
        <w:rPr>
          <w:rStyle w:val="ac"/>
          <w:rFonts w:ascii="Narkisim" w:hAnsi="Narkisim"/>
          <w:rtl/>
        </w:rPr>
        <w:footnoteReference w:id="7477"/>
      </w:r>
      <w:r w:rsidRPr="003124AA">
        <w:rPr>
          <w:rFonts w:ascii="Narkisim" w:hAnsi="Narkisim"/>
          <w:rtl/>
        </w:rPr>
        <w:t>], אבל סתמא מהני.</w:t>
      </w:r>
    </w:p>
    <w:p w14:paraId="64870B2C" w14:textId="77777777" w:rsidR="006C4368" w:rsidRPr="003124AA" w:rsidRDefault="006C4368" w:rsidP="006C4368">
      <w:pPr>
        <w:pStyle w:val="aa"/>
        <w:bidi/>
        <w:rPr>
          <w:rFonts w:ascii="Narkisim" w:hAnsi="Narkisim"/>
        </w:rPr>
      </w:pPr>
      <w:r w:rsidRPr="003124AA">
        <w:rPr>
          <w:rFonts w:ascii="Narkisim" w:hAnsi="Narkisim"/>
          <w:rtl/>
        </w:rPr>
        <w:t>ובגמ' (לעיל נו.) מבואר דפקח שנשא פקחת ומת ונתייבמה לאחיו חרש אוכלת בתרומה. דיפה כח היבם מכח הבעל</w:t>
      </w:r>
      <w:r w:rsidRPr="003124AA">
        <w:rPr>
          <w:rStyle w:val="ac"/>
          <w:rFonts w:ascii="Narkisim" w:hAnsi="Narkisim"/>
          <w:rtl/>
        </w:rPr>
        <w:footnoteReference w:id="7478"/>
      </w:r>
      <w:r w:rsidRPr="003124AA">
        <w:rPr>
          <w:rFonts w:ascii="Narkisim" w:hAnsi="Narkisim"/>
          <w:rtl/>
        </w:rPr>
        <w:t>.</w:t>
      </w:r>
    </w:p>
    <w:p w14:paraId="2BC4941E" w14:textId="77777777" w:rsidR="006C4368" w:rsidRPr="003124AA" w:rsidRDefault="006C4368" w:rsidP="006C4368">
      <w:pPr>
        <w:bidi/>
        <w:rPr>
          <w:rFonts w:ascii="Narkisim" w:hAnsi="Narkisim" w:cs="Narkisim"/>
        </w:rPr>
      </w:pPr>
      <w:r w:rsidRPr="003124AA">
        <w:rPr>
          <w:rFonts w:ascii="Narkisim" w:hAnsi="Narkisim" w:cs="Narkisim"/>
          <w:u w:val="single"/>
          <w:rtl/>
        </w:rPr>
        <w:t>רש"י ד"ה כונס</w:t>
      </w:r>
      <w:r w:rsidRPr="003124AA">
        <w:rPr>
          <w:rFonts w:ascii="Narkisim" w:hAnsi="Narkisim" w:cs="Narkisim"/>
          <w:rtl/>
        </w:rPr>
        <w:t>. דלא אתי גיטא דידיה ומפקע זיקת יבומי אחיו הראשון. וה</w:t>
      </w:r>
      <w:r w:rsidRPr="003124AA">
        <w:rPr>
          <w:rFonts w:ascii="Narkisim" w:hAnsi="Narkisim" w:cs="Narkisim"/>
          <w:b/>
          <w:bCs/>
          <w:rtl/>
        </w:rPr>
        <w:t>אחרונים</w:t>
      </w:r>
      <w:r w:rsidRPr="003124AA">
        <w:rPr>
          <w:rFonts w:ascii="Narkisim" w:hAnsi="Narkisim" w:cs="Narkisim"/>
          <w:rtl/>
        </w:rPr>
        <w:t xml:space="preserve"> (רע"א גיטין עא.) תמהו דאיירי שכבר ייבם, א"כ תו ליכא זיקה. אלא דאסורה לעולם משום שהיא אשתו של שני</w:t>
      </w:r>
      <w:r w:rsidRPr="003124AA">
        <w:rPr>
          <w:rStyle w:val="ac"/>
          <w:rFonts w:ascii="Narkisim" w:hAnsi="Narkisim" w:cs="Narkisim"/>
          <w:rtl/>
        </w:rPr>
        <w:footnoteReference w:id="7479"/>
      </w:r>
      <w:r w:rsidRPr="003124AA">
        <w:rPr>
          <w:rFonts w:ascii="Narkisim" w:hAnsi="Narkisim" w:cs="Narkisim"/>
          <w:rtl/>
        </w:rPr>
        <w:t>. והו"ל לרש"י לומר דלא אתי גיטה דחרש ומפקע קנין יבום הבא מחמת אחיו הפקח. וה</w:t>
      </w:r>
      <w:r w:rsidRPr="003124AA">
        <w:rPr>
          <w:rFonts w:ascii="Narkisim" w:hAnsi="Narkisim" w:cs="Narkisim"/>
          <w:b/>
          <w:bCs/>
          <w:rtl/>
        </w:rPr>
        <w:t>תוי"ט</w:t>
      </w:r>
      <w:r w:rsidRPr="003124AA">
        <w:rPr>
          <w:rFonts w:ascii="Narkisim" w:hAnsi="Narkisim" w:cs="Narkisim"/>
          <w:rtl/>
        </w:rPr>
        <w:t xml:space="preserve"> כת' ר"ל דלא מפקע נשואיו, שהיו מכח זיקת יבומי אחיו.</w:t>
      </w:r>
    </w:p>
    <w:p w14:paraId="2F73036A" w14:textId="77777777" w:rsidR="006C4368" w:rsidRPr="003124AA" w:rsidRDefault="006C4368" w:rsidP="006C4368">
      <w:pPr>
        <w:pStyle w:val="a7"/>
        <w:bidi/>
        <w:rPr>
          <w:rFonts w:ascii="Narkisim" w:hAnsi="Narkisim"/>
        </w:rPr>
      </w:pPr>
      <w:r w:rsidRPr="003124AA">
        <w:rPr>
          <w:rFonts w:ascii="Narkisim" w:hAnsi="Narkisim"/>
          <w:rtl/>
        </w:rPr>
        <w:t>ו</w:t>
      </w:r>
      <w:r w:rsidRPr="003124AA">
        <w:rPr>
          <w:rFonts w:ascii="Narkisim" w:hAnsi="Narkisim"/>
          <w:b/>
          <w:bCs/>
          <w:rtl/>
        </w:rPr>
        <w:t>רש"י</w:t>
      </w:r>
      <w:r w:rsidRPr="003124AA">
        <w:rPr>
          <w:rFonts w:ascii="Narkisim" w:hAnsi="Narkisim"/>
          <w:rtl/>
        </w:rPr>
        <w:t xml:space="preserve"> (גיטין עא. ד"ה ביבמתו) כת' דהוא אינו יכול לחלוץ וכו' וגט דידיה לא מפקע זיקה דאורייתא. [ואף התם משמע דהנידון משום הזיקה הדאורייתא. וצריך לדחוק כדברי התוי”ט]. ו</w:t>
      </w:r>
      <w:r w:rsidRPr="003124AA">
        <w:rPr>
          <w:rFonts w:ascii="Narkisim" w:hAnsi="Narkisim"/>
          <w:b/>
          <w:bCs/>
          <w:rtl/>
        </w:rPr>
        <w:t>רע”א</w:t>
      </w:r>
      <w:r w:rsidRPr="003124AA">
        <w:rPr>
          <w:rFonts w:ascii="Narkisim" w:hAnsi="Narkisim"/>
          <w:rtl/>
        </w:rPr>
        <w:t xml:space="preserve"> (גיטין) הק' אמאי נקט רש"י דאינו יכול לחלוץ [ומשמע אילו מהני חליצה יוכל </w:t>
      </w:r>
      <w:r w:rsidRPr="003124AA">
        <w:rPr>
          <w:rFonts w:ascii="Narkisim" w:hAnsi="Narkisim"/>
          <w:rtl/>
        </w:rPr>
        <w:lastRenderedPageBreak/>
        <w:t>להוציא], הא איירי שכבר ייבם, ותו ל”מ חליצה להתירה.</w:t>
      </w:r>
    </w:p>
    <w:p w14:paraId="6A56BC0B" w14:textId="77777777" w:rsidR="006C4368" w:rsidRPr="003124AA" w:rsidRDefault="006C4368" w:rsidP="006C4368">
      <w:pPr>
        <w:pStyle w:val="a7"/>
        <w:bidi/>
        <w:rPr>
          <w:rFonts w:ascii="Narkisim" w:hAnsi="Narkisim"/>
        </w:rPr>
      </w:pPr>
      <w:r w:rsidRPr="003124AA">
        <w:rPr>
          <w:rFonts w:ascii="Narkisim" w:hAnsi="Narkisim"/>
          <w:rtl/>
        </w:rPr>
        <w:t>אך ע"פ הצד ב</w:t>
      </w:r>
      <w:r w:rsidRPr="003124AA">
        <w:rPr>
          <w:rFonts w:ascii="Narkisim" w:hAnsi="Narkisim"/>
          <w:b/>
          <w:bCs/>
          <w:rtl/>
        </w:rPr>
        <w:t>מאירי</w:t>
      </w:r>
      <w:r w:rsidRPr="003124AA">
        <w:rPr>
          <w:rFonts w:ascii="Narkisim" w:hAnsi="Narkisim"/>
          <w:rtl/>
        </w:rPr>
        <w:t xml:space="preserve"> (הנ"ל) א"ש דביאת חרש הוה כמו מאמר. ומש”ה אף אילו יגרשנה</w:t>
      </w:r>
      <w:r w:rsidRPr="003124AA">
        <w:rPr>
          <w:rStyle w:val="ac"/>
          <w:rFonts w:ascii="Narkisim" w:hAnsi="Narkisim"/>
          <w:rtl/>
        </w:rPr>
        <w:footnoteReference w:id="7480"/>
      </w:r>
      <w:r w:rsidRPr="003124AA">
        <w:rPr>
          <w:rFonts w:ascii="Narkisim" w:hAnsi="Narkisim"/>
          <w:rtl/>
        </w:rPr>
        <w:t xml:space="preserve"> צריכה חליצה להפקיע את הזיקה. וכ"כ ה</w:t>
      </w:r>
      <w:r w:rsidRPr="003124AA">
        <w:rPr>
          <w:rFonts w:ascii="Narkisim" w:hAnsi="Narkisim"/>
          <w:b/>
          <w:bCs/>
          <w:rtl/>
        </w:rPr>
        <w:t>רש"ש</w:t>
      </w:r>
      <w:r w:rsidRPr="003124AA">
        <w:rPr>
          <w:rFonts w:ascii="Narkisim" w:hAnsi="Narkisim"/>
          <w:rtl/>
        </w:rPr>
        <w:t xml:space="preserve"> [בדעת רש"י] דאף דאי' במשנה דחרש כונס, מ"מ לא נעשית כא"א גמורה ע"י יבום דחרש. וביאר דחרש לאו בר כוונה הוא כלל, וצריך כוונה לשם ביאה ביבום (וכדאי' לעיל נד.). ולפ"ז היה סגי בגט של חרש לנישואיו [דביאתו הוה כמאמר, וכשם שכנס ברמיזה כך מוציא], אלא דעדיין נשאר עליה זיקת יבמין כיון דלא קנאה לגמרי בביאתו.</w:t>
      </w:r>
    </w:p>
    <w:p w14:paraId="1C78D73A" w14:textId="77777777" w:rsidR="006C4368" w:rsidRPr="003124AA" w:rsidRDefault="006C4368" w:rsidP="006C4368">
      <w:pPr>
        <w:pStyle w:val="3"/>
        <w:bidi/>
        <w:rPr>
          <w:rFonts w:ascii="Narkisim" w:hAnsi="Narkisim"/>
        </w:rPr>
      </w:pPr>
      <w:r w:rsidRPr="003124AA">
        <w:rPr>
          <w:rFonts w:ascii="Narkisim" w:hAnsi="Narkisim"/>
          <w:rtl/>
        </w:rPr>
        <w:t>דף קיג.</w:t>
      </w:r>
    </w:p>
    <w:p w14:paraId="62E58EC1" w14:textId="77777777" w:rsidR="006C4368" w:rsidRPr="003124AA" w:rsidRDefault="006C4368" w:rsidP="006C4368">
      <w:pPr>
        <w:bidi/>
        <w:rPr>
          <w:rFonts w:ascii="Narkisim" w:hAnsi="Narkisim" w:cs="Narkisim"/>
        </w:rPr>
      </w:pPr>
      <w:r w:rsidRPr="003124AA">
        <w:rPr>
          <w:rFonts w:ascii="Narkisim" w:hAnsi="Narkisim" w:cs="Narkisim"/>
          <w:u w:val="single"/>
          <w:rtl/>
        </w:rPr>
        <w:t>דא"כ מימנעי ולא נסבי לה</w:t>
      </w:r>
      <w:r w:rsidRPr="003124AA">
        <w:rPr>
          <w:rStyle w:val="ac"/>
          <w:rFonts w:ascii="Narkisim" w:hAnsi="Narkisim" w:cs="Narkisim"/>
          <w:rtl/>
        </w:rPr>
        <w:footnoteReference w:id="7481"/>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דחרשת לעולם לא תבא לידי נישואין גמורין. [אבל קטנה לא מימנעי, דלאחכ זמן יבא לידי אישות גמורה]. וה</w:t>
      </w:r>
      <w:r w:rsidRPr="003124AA">
        <w:rPr>
          <w:rFonts w:ascii="Narkisim" w:hAnsi="Narkisim" w:cs="Narkisim"/>
          <w:b/>
          <w:bCs/>
          <w:rtl/>
        </w:rPr>
        <w:t>רשב"א</w:t>
      </w:r>
      <w:r w:rsidRPr="003124AA">
        <w:rPr>
          <w:rFonts w:ascii="Narkisim" w:hAnsi="Narkisim" w:cs="Narkisim"/>
          <w:rtl/>
        </w:rPr>
        <w:t xml:space="preserve"> פי' עוד דחרשת שהיא פגומה, אם אתה מתקן לה מיאון אף הוא נמנע מלישא פגומה, ועוד שתוכל למאן ולצאת. וכענין זה לא תקנו לה כתובה כלל, אע"פ שתקנו לקטנה. שאמרו דמכיון שהיא פגומה אם אתה בא לתקן לה כתובה אף הוא ימנע ולא ישאנה.</w:t>
      </w:r>
    </w:p>
    <w:p w14:paraId="1BA27548" w14:textId="77777777" w:rsidR="006C4368" w:rsidRPr="003124AA" w:rsidRDefault="006C4368" w:rsidP="006C4368">
      <w:pPr>
        <w:bidi/>
        <w:rPr>
          <w:rFonts w:ascii="Narkisim" w:hAnsi="Narkisim" w:cs="Narkisim"/>
        </w:rPr>
      </w:pPr>
      <w:r w:rsidRPr="003124AA">
        <w:rPr>
          <w:rFonts w:ascii="Narkisim" w:hAnsi="Narkisim" w:cs="Narkisim"/>
          <w:u w:val="single"/>
          <w:rtl/>
        </w:rPr>
        <w:t>ועל קטנה בת ישראל שאוכלת בתרומה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תרומה דרבנן (כדלעיל צ.). [וכ"כ תוס' ד"ה דלמא]. אבל ה</w:t>
      </w:r>
      <w:r w:rsidRPr="003124AA">
        <w:rPr>
          <w:rFonts w:ascii="Narkisim" w:hAnsi="Narkisim" w:cs="Narkisim"/>
          <w:b/>
          <w:bCs/>
          <w:rtl/>
        </w:rPr>
        <w:t>רשב"א</w:t>
      </w:r>
      <w:r w:rsidRPr="003124AA">
        <w:rPr>
          <w:rFonts w:ascii="Narkisim" w:hAnsi="Narkisim" w:cs="Narkisim"/>
          <w:rtl/>
        </w:rPr>
        <w:t xml:space="preserve"> (כאו וגיטין נה.) כת' דמסתברא דלמ"ד קטן אוכל נבלות אין ב"ד מצווין להפרישו אוכלת אפילו בתרומה דאורייתא. והביא דמש"ה הביאו (לקמן קיד.) את הנידון האם בי"ד מצווין להפרישו, על משנה זו</w:t>
      </w:r>
      <w:r w:rsidRPr="003124AA">
        <w:rPr>
          <w:rStyle w:val="ac"/>
          <w:rFonts w:ascii="Narkisim" w:hAnsi="Narkisim" w:cs="Narkisim"/>
          <w:rtl/>
        </w:rPr>
        <w:footnoteReference w:id="7482"/>
      </w:r>
      <w:r w:rsidRPr="003124AA">
        <w:rPr>
          <w:rFonts w:ascii="Narkisim" w:hAnsi="Narkisim" w:cs="Narkisim"/>
          <w:rtl/>
        </w:rPr>
        <w:t>. והגמ' (לעיל צ.) קאי למ"ד דבי"ד מצווין להפריש קטן כשאוכל נבילות. והמ"ל דאין בי"ד מצווין להפרישו</w:t>
      </w:r>
      <w:r w:rsidRPr="003124AA">
        <w:rPr>
          <w:rStyle w:val="ac"/>
          <w:rFonts w:ascii="Narkisim" w:hAnsi="Narkisim" w:cs="Narkisim"/>
          <w:rtl/>
        </w:rPr>
        <w:footnoteReference w:id="7483"/>
      </w:r>
      <w:r w:rsidRPr="003124AA">
        <w:rPr>
          <w:rFonts w:ascii="Narkisim" w:hAnsi="Narkisim" w:cs="Narkisim"/>
          <w:rtl/>
        </w:rPr>
        <w:t>.</w:t>
      </w:r>
    </w:p>
    <w:p w14:paraId="427A059A" w14:textId="77777777" w:rsidR="006C4368" w:rsidRPr="003124AA" w:rsidRDefault="006C4368" w:rsidP="006C4368">
      <w:pPr>
        <w:bidi/>
        <w:rPr>
          <w:rFonts w:ascii="Narkisim" w:hAnsi="Narkisim" w:cs="Narkisim"/>
        </w:rPr>
      </w:pPr>
      <w:r w:rsidRPr="003124AA">
        <w:rPr>
          <w:rFonts w:ascii="Narkisim" w:hAnsi="Narkisim" w:cs="Narkisim"/>
          <w:rtl/>
        </w:rPr>
        <w:t xml:space="preserve">אך </w:t>
      </w:r>
      <w:r w:rsidRPr="003124AA">
        <w:rPr>
          <w:rFonts w:ascii="Narkisim" w:hAnsi="Narkisim" w:cs="Narkisim"/>
          <w:b/>
          <w:bCs/>
          <w:rtl/>
        </w:rPr>
        <w:t>תוס'</w:t>
      </w:r>
      <w:r w:rsidRPr="003124AA">
        <w:rPr>
          <w:rFonts w:ascii="Narkisim" w:hAnsi="Narkisim" w:cs="Narkisim"/>
          <w:rtl/>
        </w:rPr>
        <w:t xml:space="preserve"> (לעיל צ. וגיטין נה. בחד תי') כת' דהגמ' לא תי' דאוכלת מחמת דקטן אוכל נבילות, דמשמע דאף לאחר שגדלה אוכלת מחמתו [אף קודם שבעל]. ומש”ה הגמ' העמידה בתרומה דרבנן</w:t>
      </w:r>
      <w:r w:rsidRPr="003124AA">
        <w:rPr>
          <w:rStyle w:val="ac"/>
          <w:rFonts w:ascii="Narkisim" w:hAnsi="Narkisim" w:cs="Narkisim"/>
          <w:rtl/>
        </w:rPr>
        <w:footnoteReference w:id="7484"/>
      </w:r>
      <w:r w:rsidRPr="003124AA">
        <w:rPr>
          <w:rFonts w:ascii="Narkisim" w:hAnsi="Narkisim" w:cs="Narkisim"/>
          <w:rtl/>
        </w:rPr>
        <w:t>.</w:t>
      </w:r>
    </w:p>
    <w:p w14:paraId="5E35B27F" w14:textId="77777777" w:rsidR="006C4368" w:rsidRPr="003124AA" w:rsidRDefault="006C4368" w:rsidP="006C4368">
      <w:pPr>
        <w:pStyle w:val="a7"/>
        <w:bidi/>
        <w:rPr>
          <w:rFonts w:ascii="Narkisim" w:hAnsi="Narkisim"/>
        </w:rPr>
      </w:pPr>
      <w:r w:rsidRPr="003124AA">
        <w:rPr>
          <w:rFonts w:ascii="Narkisim" w:hAnsi="Narkisim"/>
          <w:rtl/>
        </w:rPr>
        <w:t>ועוד כת' ה</w:t>
      </w:r>
      <w:r w:rsidRPr="003124AA">
        <w:rPr>
          <w:rFonts w:ascii="Narkisim" w:hAnsi="Narkisim"/>
          <w:b/>
          <w:bCs/>
          <w:rtl/>
        </w:rPr>
        <w:t>רשב"א</w:t>
      </w:r>
      <w:r w:rsidRPr="003124AA">
        <w:rPr>
          <w:rFonts w:ascii="Narkisim" w:hAnsi="Narkisim"/>
          <w:rtl/>
        </w:rPr>
        <w:t xml:space="preserve"> דאפשר דמשמע דהתירו לומר לה לאכול, א"נ אף להאכיל לה בידים</w:t>
      </w:r>
      <w:r w:rsidRPr="003124AA">
        <w:rPr>
          <w:rStyle w:val="ac"/>
          <w:rFonts w:ascii="Narkisim" w:hAnsi="Narkisim"/>
          <w:rtl/>
        </w:rPr>
        <w:footnoteReference w:id="7485"/>
      </w:r>
      <w:r w:rsidRPr="003124AA">
        <w:rPr>
          <w:rFonts w:ascii="Narkisim" w:hAnsi="Narkisim"/>
          <w:rtl/>
        </w:rPr>
        <w:t>, ובזה לא הותר משום דקטן אוכל נבילות. ומש"ה העמידו בתרומה דרבנן. באיסור דרבנן מותר להאכיל קטן בידים (וכשיטתו לקמן קיד.), ועוד דאתו נישואין דרבנן ומאכילין בתרומה דרבנן.</w:t>
      </w:r>
    </w:p>
    <w:p w14:paraId="4D0D8BE6"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ריטב"א</w:t>
      </w:r>
      <w:r w:rsidRPr="003124AA">
        <w:rPr>
          <w:rFonts w:ascii="Narkisim" w:hAnsi="Narkisim"/>
          <w:rtl/>
        </w:rPr>
        <w:t xml:space="preserve"> כת' (עד"ז) דהא דהביאו בסוגיין הא דקטן אוכל נבילות, דכיון דהקילו חכמים בנשואי קטנה להאכילה בידים תרומה דרבנן, הביאו דאף בדאורייתא אין בי"ד מצווין להפריש.</w:t>
      </w:r>
    </w:p>
    <w:p w14:paraId="1BBCE7A0"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ה</w:t>
      </w:r>
      <w:r w:rsidRPr="003124AA">
        <w:rPr>
          <w:rFonts w:ascii="Narkisim" w:hAnsi="Narkisim" w:cs="Narkisim"/>
          <w:b/>
          <w:bCs/>
          <w:rtl/>
        </w:rPr>
        <w:t>אחרונים</w:t>
      </w:r>
      <w:r w:rsidRPr="003124AA">
        <w:rPr>
          <w:rFonts w:ascii="Narkisim" w:hAnsi="Narkisim" w:cs="Narkisim"/>
          <w:rtl/>
        </w:rPr>
        <w:t xml:space="preserve"> (ע' עונג יו"ט צו) הק' דאף למ"ד קטן אוכל נבילות, האיך מניחים אותה לאכול בתרומה, הא מצווה משום משמרת תרומתי, שלא לאבד תרומה. ולכאורה נכלל בזה אף שלא יאכל שלא כדיני מצוותו</w:t>
      </w:r>
      <w:r w:rsidRPr="003124AA">
        <w:rPr>
          <w:rStyle w:val="ac"/>
          <w:rFonts w:ascii="Narkisim" w:hAnsi="Narkisim" w:cs="Narkisim"/>
          <w:rtl/>
        </w:rPr>
        <w:footnoteReference w:id="7486"/>
      </w:r>
      <w:r w:rsidRPr="003124AA">
        <w:rPr>
          <w:rFonts w:ascii="Narkisim" w:hAnsi="Narkisim" w:cs="Narkisim"/>
          <w:rtl/>
        </w:rPr>
        <w:t>.</w:t>
      </w:r>
    </w:p>
    <w:p w14:paraId="390E9C46"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עונג יו"ט</w:t>
      </w:r>
      <w:r w:rsidRPr="003124AA">
        <w:rPr>
          <w:rFonts w:ascii="Narkisim" w:hAnsi="Narkisim"/>
          <w:rtl/>
        </w:rPr>
        <w:t xml:space="preserve"> תי' [בגמ' לעיל צ.] דיש כח ביד חכמים לעקור מצוות משמרת, דמצוות עשה דמשמרת נחשב איסור בשב ואל תעשה</w:t>
      </w:r>
      <w:r w:rsidRPr="003124AA">
        <w:rPr>
          <w:rStyle w:val="ac"/>
          <w:rFonts w:ascii="Narkisim" w:hAnsi="Narkisim"/>
          <w:rtl/>
        </w:rPr>
        <w:footnoteReference w:id="7487"/>
      </w:r>
      <w:r w:rsidRPr="003124AA">
        <w:rPr>
          <w:rFonts w:ascii="Narkisim" w:hAnsi="Narkisim"/>
          <w:rtl/>
        </w:rPr>
        <w:t>. וה</w:t>
      </w:r>
      <w:r w:rsidRPr="003124AA">
        <w:rPr>
          <w:rFonts w:ascii="Narkisim" w:hAnsi="Narkisim"/>
          <w:b/>
          <w:bCs/>
          <w:rtl/>
        </w:rPr>
        <w:t>אבנ"נ</w:t>
      </w:r>
      <w:r w:rsidRPr="003124AA">
        <w:rPr>
          <w:rFonts w:ascii="Narkisim" w:hAnsi="Narkisim"/>
          <w:rtl/>
        </w:rPr>
        <w:t xml:space="preserve"> (אה"ע רה ז) כת' דכיון דקטן אוכל נבילות, א"כ לא הוה אכילת איסור. וכל היכא דאינו עובר על דיני אכילתו לא נחשב ביטול </w:t>
      </w:r>
      <w:r w:rsidRPr="003124AA">
        <w:rPr>
          <w:rFonts w:ascii="Narkisim" w:hAnsi="Narkisim"/>
          <w:rtl/>
        </w:rPr>
        <w:lastRenderedPageBreak/>
        <w:t>משמרת. ודוקא זר האוכל תרומה באיסור, דחללו, הוה בכלל איסור משמרת</w:t>
      </w:r>
      <w:r w:rsidRPr="003124AA">
        <w:rPr>
          <w:rStyle w:val="ac"/>
          <w:rFonts w:ascii="Narkisim" w:hAnsi="Narkisim"/>
          <w:rtl/>
        </w:rPr>
        <w:footnoteReference w:id="7488"/>
      </w:r>
      <w:r w:rsidRPr="003124AA">
        <w:rPr>
          <w:rFonts w:ascii="Narkisim" w:hAnsi="Narkisim"/>
          <w:rtl/>
        </w:rPr>
        <w:t>. [ועוד דנו בזה האחרונים].</w:t>
      </w:r>
    </w:p>
    <w:p w14:paraId="008DF749" w14:textId="77777777" w:rsidR="006C4368" w:rsidRPr="003124AA" w:rsidRDefault="006C4368" w:rsidP="006C4368">
      <w:pPr>
        <w:bidi/>
        <w:rPr>
          <w:rFonts w:ascii="Narkisim" w:hAnsi="Narkisim" w:cs="Narkisim"/>
        </w:rPr>
      </w:pPr>
      <w:r w:rsidRPr="003124AA">
        <w:rPr>
          <w:rFonts w:ascii="Narkisim" w:hAnsi="Narkisim" w:cs="Narkisim"/>
          <w:u w:val="single"/>
          <w:rtl/>
        </w:rPr>
        <w:t>ואילו חרשת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שנישאת מעצמה. אבל חרשת קטנה שהשיאה אביה אוכלת בתרומה, דיש לה נישואין גמורים. אבל ה</w:t>
      </w:r>
      <w:r w:rsidRPr="003124AA">
        <w:rPr>
          <w:rFonts w:ascii="Narkisim" w:hAnsi="Narkisim" w:cs="Narkisim"/>
          <w:b/>
          <w:bCs/>
          <w:rtl/>
        </w:rPr>
        <w:t>רמב"ם</w:t>
      </w:r>
      <w:r w:rsidRPr="003124AA">
        <w:rPr>
          <w:rFonts w:ascii="Narkisim" w:hAnsi="Narkisim" w:cs="Narkisim"/>
          <w:rtl/>
        </w:rPr>
        <w:t xml:space="preserve"> (תרומות ו ד) פסק דאף חרשת ושוטה</w:t>
      </w:r>
      <w:r w:rsidRPr="003124AA">
        <w:rPr>
          <w:rStyle w:val="ac"/>
          <w:rFonts w:ascii="Narkisim" w:hAnsi="Narkisim" w:cs="Narkisim"/>
          <w:rtl/>
        </w:rPr>
        <w:footnoteReference w:id="7489"/>
      </w:r>
      <w:r w:rsidRPr="003124AA">
        <w:rPr>
          <w:rFonts w:ascii="Narkisim" w:hAnsi="Narkisim" w:cs="Narkisim"/>
          <w:rtl/>
        </w:rPr>
        <w:t xml:space="preserve"> שהשיאה אביה אינה אוכלת בתרומה, דגזרו אטו חרש כהן שישא</w:t>
      </w:r>
      <w:r w:rsidRPr="003124AA">
        <w:rPr>
          <w:rStyle w:val="ac"/>
          <w:rFonts w:ascii="Narkisim" w:hAnsi="Narkisim" w:cs="Narkisim"/>
          <w:rtl/>
        </w:rPr>
        <w:footnoteReference w:id="7490"/>
      </w:r>
      <w:r w:rsidRPr="003124AA">
        <w:rPr>
          <w:rFonts w:ascii="Narkisim" w:hAnsi="Narkisim" w:cs="Narkisim"/>
          <w:rtl/>
        </w:rPr>
        <w:t>.</w:t>
      </w:r>
    </w:p>
    <w:p w14:paraId="6154546E" w14:textId="77777777" w:rsidR="006C4368" w:rsidRPr="003124AA" w:rsidRDefault="006C4368" w:rsidP="006C4368">
      <w:pPr>
        <w:pStyle w:val="aa"/>
        <w:bidi/>
        <w:rPr>
          <w:rFonts w:ascii="Narkisim" w:hAnsi="Narkisim"/>
        </w:rPr>
      </w:pPr>
      <w:r w:rsidRPr="003124AA">
        <w:rPr>
          <w:rFonts w:ascii="Narkisim" w:hAnsi="Narkisim"/>
          <w:u w:val="single"/>
          <w:rtl/>
        </w:rPr>
        <w:t>גזירה שמא יאכיל חרש בחרשת וכו' שמא יאכיל חרש בפקחת</w:t>
      </w:r>
      <w:r w:rsidRPr="003124AA">
        <w:rPr>
          <w:rFonts w:ascii="Narkisim" w:hAnsi="Narkisim"/>
          <w:rtl/>
        </w:rPr>
        <w:t xml:space="preserve">. </w:t>
      </w:r>
      <w:r w:rsidRPr="003124AA">
        <w:rPr>
          <w:rFonts w:ascii="Narkisim" w:hAnsi="Narkisim"/>
          <w:b/>
          <w:bCs/>
          <w:rtl/>
        </w:rPr>
        <w:t>פרש"י</w:t>
      </w:r>
      <w:r w:rsidRPr="003124AA">
        <w:rPr>
          <w:rFonts w:ascii="Narkisim" w:hAnsi="Narkisim"/>
          <w:rtl/>
        </w:rPr>
        <w:t xml:space="preserve"> דל"ש גזירה חרשת אטו פקחת</w:t>
      </w:r>
      <w:r w:rsidRPr="003124AA">
        <w:rPr>
          <w:rStyle w:val="ac"/>
          <w:rFonts w:ascii="Narkisim" w:hAnsi="Narkisim"/>
          <w:rtl/>
        </w:rPr>
        <w:footnoteReference w:id="7491"/>
      </w:r>
      <w:r w:rsidRPr="003124AA">
        <w:rPr>
          <w:rFonts w:ascii="Narkisim" w:hAnsi="Narkisim"/>
          <w:rtl/>
        </w:rPr>
        <w:t>. אלא פקח בחרשת מיחליף בחרש בחרשת, וחרש בחרשת מיחלף בחרש בפקחת. [וה</w:t>
      </w:r>
      <w:r w:rsidRPr="003124AA">
        <w:rPr>
          <w:rFonts w:ascii="Narkisim" w:hAnsi="Narkisim"/>
          <w:b/>
          <w:bCs/>
          <w:rtl/>
        </w:rPr>
        <w:t>רשב"א</w:t>
      </w:r>
      <w:r w:rsidRPr="003124AA">
        <w:rPr>
          <w:rFonts w:ascii="Narkisim" w:hAnsi="Narkisim"/>
          <w:rtl/>
        </w:rPr>
        <w:t xml:space="preserve"> ביאר דכיון דאיכא חרש שהוא מאכיל תו לא דייקי בין חרש לחרשת ויאכילו גם חרש בפקחת. וכל הנך גזירות קשורות זו בזו, וכולהו משום פקחת לחרש. וכ"כ הבעה"מ].</w:t>
      </w:r>
    </w:p>
    <w:p w14:paraId="7B37E08B" w14:textId="77777777" w:rsidR="006C4368" w:rsidRPr="003124AA" w:rsidRDefault="006C4368" w:rsidP="006C4368">
      <w:pPr>
        <w:pStyle w:val="aa"/>
        <w:bidi/>
        <w:rPr>
          <w:rFonts w:ascii="Narkisim" w:hAnsi="Narkisim"/>
        </w:rPr>
      </w:pPr>
      <w:r w:rsidRPr="003124AA">
        <w:rPr>
          <w:rFonts w:ascii="Narkisim" w:hAnsi="Narkisim"/>
          <w:u w:val="single"/>
          <w:rtl/>
        </w:rPr>
        <w:t>גזירה דילמא אתי לאוכלה בתרומה דאורייתא</w:t>
      </w:r>
      <w:r w:rsidRPr="003124AA">
        <w:rPr>
          <w:rFonts w:ascii="Narkisim" w:hAnsi="Narkisim"/>
          <w:rtl/>
        </w:rPr>
        <w:t>. ה</w:t>
      </w:r>
      <w:r w:rsidRPr="003124AA">
        <w:rPr>
          <w:rFonts w:ascii="Narkisim" w:hAnsi="Narkisim"/>
          <w:b/>
          <w:bCs/>
          <w:rtl/>
        </w:rPr>
        <w:t>ריטב"א</w:t>
      </w:r>
      <w:r w:rsidRPr="003124AA">
        <w:rPr>
          <w:rFonts w:ascii="Narkisim" w:hAnsi="Narkisim"/>
          <w:rtl/>
        </w:rPr>
        <w:t xml:space="preserve"> פי' דאף דדמיא כגזירה לגזירה, מ"מ כולה חדא גזירה היא.</w:t>
      </w:r>
    </w:p>
    <w:p w14:paraId="29AE1EF9" w14:textId="77777777" w:rsidR="006C4368" w:rsidRPr="003124AA" w:rsidRDefault="006C4368" w:rsidP="006C4368">
      <w:pPr>
        <w:bidi/>
        <w:rPr>
          <w:rFonts w:ascii="Narkisim" w:hAnsi="Narkisim" w:cs="Narkisim"/>
        </w:rPr>
      </w:pPr>
      <w:r w:rsidRPr="003124AA">
        <w:rPr>
          <w:rFonts w:ascii="Narkisim" w:hAnsi="Narkisim" w:cs="Narkisim"/>
          <w:u w:val="single"/>
          <w:rtl/>
        </w:rPr>
        <w:t>תוד"ה דלמא</w:t>
      </w:r>
      <w:r w:rsidRPr="003124AA">
        <w:rPr>
          <w:rFonts w:ascii="Narkisim" w:hAnsi="Narkisim" w:cs="Narkisim"/>
          <w:rtl/>
        </w:rPr>
        <w:t>. לא גזרו, כיון שתגיע לכלל גדלות</w:t>
      </w:r>
      <w:r w:rsidRPr="003124AA">
        <w:rPr>
          <w:rStyle w:val="ac"/>
          <w:rFonts w:ascii="Narkisim" w:hAnsi="Narkisim" w:cs="Narkisim"/>
          <w:rtl/>
        </w:rPr>
        <w:footnoteReference w:id="7492"/>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xml:space="preserve"> (גיטין נה.) תי' דבקטנה לא גזרו תרומה דרבנן אטו דאורייתא, דהא קטנה היא [ואי"צ לגזור שלא יאכל נבילות]. וה</w:t>
      </w:r>
      <w:r w:rsidRPr="003124AA">
        <w:rPr>
          <w:rFonts w:ascii="Narkisim" w:hAnsi="Narkisim" w:cs="Narkisim"/>
          <w:b/>
          <w:bCs/>
          <w:rtl/>
        </w:rPr>
        <w:t>ריטב"א</w:t>
      </w:r>
      <w:r w:rsidRPr="003124AA">
        <w:rPr>
          <w:rFonts w:ascii="Narkisim" w:hAnsi="Narkisim" w:cs="Narkisim"/>
          <w:rtl/>
        </w:rPr>
        <w:t xml:space="preserve"> הוסיף דאף למ"ד דבי"ד מצווין להפרישו, הכא משום תקנה מחתינן נפשן לספק זו [שמא תאכל תרומה דאורייתא].</w:t>
      </w:r>
    </w:p>
    <w:p w14:paraId="17E6EE48" w14:textId="77777777" w:rsidR="006C4368" w:rsidRPr="003124AA" w:rsidRDefault="006C4368" w:rsidP="006C4368">
      <w:pPr>
        <w:pStyle w:val="aa"/>
        <w:bidi/>
        <w:rPr>
          <w:rFonts w:ascii="Narkisim" w:hAnsi="Narkisim"/>
        </w:rPr>
      </w:pPr>
      <w:r w:rsidRPr="003124AA">
        <w:rPr>
          <w:rFonts w:ascii="Narkisim" w:hAnsi="Narkisim"/>
          <w:u w:val="single"/>
          <w:rtl/>
        </w:rPr>
        <w:t>וקטנה מנ”ל דאית לה כתובה, דתנן וכו' אבל יוצאה בגט קטנה יש לה כתובה</w:t>
      </w:r>
      <w:r w:rsidRPr="003124AA">
        <w:rPr>
          <w:rStyle w:val="ac"/>
          <w:rFonts w:ascii="Narkisim" w:hAnsi="Narkisim"/>
          <w:u w:val="single"/>
          <w:rtl/>
        </w:rPr>
        <w:footnoteReference w:id="7493"/>
      </w:r>
      <w:r w:rsidRPr="003124AA">
        <w:rPr>
          <w:rFonts w:ascii="Narkisim" w:hAnsi="Narkisim"/>
          <w:u w:val="single"/>
          <w:rtl/>
        </w:rPr>
        <w:t xml:space="preserve"> וכו'</w:t>
      </w:r>
      <w:r w:rsidRPr="003124AA">
        <w:rPr>
          <w:rFonts w:ascii="Narkisim" w:hAnsi="Narkisim"/>
          <w:rtl/>
        </w:rPr>
        <w:t>. כ”ד שמואל (כתובות ק:), אבל רב תני [תוס' פי' דפני הכי במשנה שם] דיוצאה בגט אין לה כתובה.</w:t>
      </w:r>
    </w:p>
    <w:p w14:paraId="11500000" w14:textId="77777777" w:rsidR="006C4368" w:rsidRPr="003124AA" w:rsidRDefault="006C4368" w:rsidP="006C4368">
      <w:pPr>
        <w:pStyle w:val="aa"/>
        <w:bidi/>
        <w:rPr>
          <w:rFonts w:ascii="Narkisim" w:hAnsi="Narkisim"/>
        </w:rPr>
      </w:pPr>
      <w:r w:rsidRPr="003124AA">
        <w:rPr>
          <w:rFonts w:ascii="Narkisim" w:hAnsi="Narkisim"/>
          <w:u w:val="single"/>
          <w:rtl/>
        </w:rPr>
        <w:t>רש"י ד"ה ממאנת</w:t>
      </w:r>
      <w:r w:rsidRPr="003124AA">
        <w:rPr>
          <w:rFonts w:ascii="Narkisim" w:hAnsi="Narkisim"/>
          <w:rtl/>
        </w:rPr>
        <w:t xml:space="preserve">. ל"ל כתובה, דהא בע"כ נפקא. ועד"ז כת' </w:t>
      </w:r>
      <w:r w:rsidRPr="003124AA">
        <w:rPr>
          <w:rFonts w:ascii="Narkisim" w:hAnsi="Narkisim"/>
          <w:b/>
          <w:bCs/>
          <w:rtl/>
        </w:rPr>
        <w:t>רש"י</w:t>
      </w:r>
      <w:r w:rsidRPr="003124AA">
        <w:rPr>
          <w:rFonts w:ascii="Narkisim" w:hAnsi="Narkisim"/>
          <w:rtl/>
        </w:rPr>
        <w:t xml:space="preserve"> (כתובות ק:). אבל </w:t>
      </w:r>
      <w:r w:rsidRPr="003124AA">
        <w:rPr>
          <w:rFonts w:ascii="Narkisim" w:hAnsi="Narkisim"/>
          <w:b/>
          <w:bCs/>
          <w:rtl/>
        </w:rPr>
        <w:t>תוס'</w:t>
      </w:r>
      <w:r w:rsidRPr="003124AA">
        <w:rPr>
          <w:rFonts w:ascii="Narkisim" w:hAnsi="Narkisim"/>
          <w:rtl/>
        </w:rPr>
        <w:t xml:space="preserve"> (לעיל סה:) כת' הטעם דאיגלאי מילתא דלא נתקדשה מעולם. (וע”ע מש”כ לעיל קח.).</w:t>
      </w:r>
    </w:p>
    <w:p w14:paraId="451CAA2F" w14:textId="77777777" w:rsidR="006C4368" w:rsidRPr="003124AA" w:rsidRDefault="006C4368" w:rsidP="006C4368">
      <w:pPr>
        <w:bidi/>
        <w:rPr>
          <w:rFonts w:ascii="Narkisim" w:hAnsi="Narkisim" w:cs="Narkisim"/>
        </w:rPr>
      </w:pPr>
      <w:r w:rsidRPr="003124AA">
        <w:rPr>
          <w:rFonts w:ascii="Narkisim" w:hAnsi="Narkisim" w:cs="Narkisim"/>
          <w:u w:val="single"/>
          <w:rtl/>
        </w:rPr>
        <w:t>ופקח שנשא חרשת או שוטה וכו' שרוצה ליזוק מנכסיו</w:t>
      </w:r>
      <w:r w:rsidRPr="003124AA">
        <w:rPr>
          <w:rFonts w:ascii="Narkisim" w:hAnsi="Narkisim" w:cs="Narkisim"/>
          <w:rtl/>
        </w:rPr>
        <w:t>. ה</w:t>
      </w:r>
      <w:r w:rsidRPr="003124AA">
        <w:rPr>
          <w:rFonts w:ascii="Narkisim" w:hAnsi="Narkisim" w:cs="Narkisim"/>
          <w:b/>
          <w:bCs/>
          <w:rtl/>
        </w:rPr>
        <w:t>ריטב"א</w:t>
      </w:r>
      <w:r w:rsidRPr="003124AA">
        <w:rPr>
          <w:rFonts w:ascii="Narkisim" w:hAnsi="Narkisim" w:cs="Narkisim"/>
          <w:rtl/>
        </w:rPr>
        <w:t xml:space="preserve"> כת' דהבעל אינו יכול לטעון דכתב לה בטעות, דסבור שיש קידושין דרבנן בשוטה.</w:t>
      </w:r>
    </w:p>
    <w:p w14:paraId="77B9B107" w14:textId="77777777" w:rsidR="006C4368" w:rsidRPr="003124AA" w:rsidRDefault="006C4368" w:rsidP="006C4368">
      <w:pPr>
        <w:pStyle w:val="a7"/>
        <w:bidi/>
        <w:rPr>
          <w:rFonts w:ascii="Narkisim" w:hAnsi="Narkisim"/>
        </w:rPr>
      </w:pPr>
      <w:r w:rsidRPr="003124AA">
        <w:rPr>
          <w:rFonts w:ascii="Narkisim" w:hAnsi="Narkisim"/>
          <w:b/>
          <w:bCs/>
          <w:rtl/>
        </w:rPr>
        <w:t>ה"ה</w:t>
      </w:r>
      <w:r w:rsidRPr="003124AA">
        <w:rPr>
          <w:rFonts w:ascii="Narkisim" w:hAnsi="Narkisim"/>
          <w:rtl/>
        </w:rPr>
        <w:t xml:space="preserve"> (זכיה ד ז) הביא מסוגיין מקור למש"כ ה</w:t>
      </w:r>
      <w:r w:rsidRPr="003124AA">
        <w:rPr>
          <w:rFonts w:ascii="Narkisim" w:hAnsi="Narkisim"/>
          <w:b/>
          <w:bCs/>
          <w:rtl/>
        </w:rPr>
        <w:t>רמב"ם</w:t>
      </w:r>
      <w:r w:rsidRPr="003124AA">
        <w:rPr>
          <w:rFonts w:ascii="Narkisim" w:hAnsi="Narkisim"/>
          <w:rtl/>
        </w:rPr>
        <w:t xml:space="preserve"> (שם) דמהני לזכות לשוטה ע"י בן דעת</w:t>
      </w:r>
      <w:r w:rsidRPr="003124AA">
        <w:rPr>
          <w:rStyle w:val="ac"/>
          <w:rFonts w:ascii="Narkisim" w:hAnsi="Narkisim"/>
          <w:rtl/>
        </w:rPr>
        <w:footnoteReference w:id="7494"/>
      </w:r>
      <w:r w:rsidRPr="003124AA">
        <w:rPr>
          <w:rFonts w:ascii="Narkisim" w:hAnsi="Narkisim"/>
          <w:rtl/>
        </w:rPr>
        <w:t>. אבל ה</w:t>
      </w:r>
      <w:r w:rsidRPr="003124AA">
        <w:rPr>
          <w:rFonts w:ascii="Narkisim" w:hAnsi="Narkisim"/>
          <w:b/>
          <w:bCs/>
          <w:rtl/>
        </w:rPr>
        <w:t>מחנ"א</w:t>
      </w:r>
      <w:r w:rsidRPr="003124AA">
        <w:rPr>
          <w:rFonts w:ascii="Narkisim" w:hAnsi="Narkisim"/>
          <w:rtl/>
        </w:rPr>
        <w:t xml:space="preserve"> (שם וזכיה לב) וה</w:t>
      </w:r>
      <w:r w:rsidRPr="003124AA">
        <w:rPr>
          <w:rFonts w:ascii="Narkisim" w:hAnsi="Narkisim"/>
          <w:b/>
          <w:bCs/>
          <w:rtl/>
        </w:rPr>
        <w:t>קצות</w:t>
      </w:r>
      <w:r w:rsidRPr="003124AA">
        <w:rPr>
          <w:rFonts w:ascii="Narkisim" w:hAnsi="Narkisim"/>
          <w:rtl/>
        </w:rPr>
        <w:t xml:space="preserve"> (רמג ו) הביאו דמבואר מדברי ה</w:t>
      </w:r>
      <w:r w:rsidRPr="003124AA">
        <w:rPr>
          <w:rFonts w:ascii="Narkisim" w:hAnsi="Narkisim"/>
          <w:b/>
          <w:bCs/>
          <w:rtl/>
        </w:rPr>
        <w:t>רא"ש</w:t>
      </w:r>
      <w:r w:rsidRPr="003124AA">
        <w:rPr>
          <w:rFonts w:ascii="Narkisim" w:hAnsi="Narkisim"/>
          <w:rtl/>
        </w:rPr>
        <w:t xml:space="preserve"> (כתובות כ. ב יד בשם הרמ”ה) דאין זכיה ע"י אחר לשוטה, ודוקא עיתים חלים מהני זכיה, דאתי לכלל דעת</w:t>
      </w:r>
      <w:r w:rsidRPr="003124AA">
        <w:rPr>
          <w:rStyle w:val="ac"/>
          <w:rFonts w:ascii="Narkisim" w:hAnsi="Narkisim"/>
          <w:rtl/>
        </w:rPr>
        <w:footnoteReference w:id="7495"/>
      </w:r>
      <w:r w:rsidRPr="003124AA">
        <w:rPr>
          <w:rFonts w:ascii="Narkisim" w:hAnsi="Narkisim"/>
          <w:rtl/>
        </w:rPr>
        <w:t>.</w:t>
      </w:r>
    </w:p>
    <w:p w14:paraId="29C93F39"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מחנ"א</w:t>
      </w:r>
      <w:r w:rsidRPr="003124AA">
        <w:rPr>
          <w:rFonts w:ascii="Narkisim" w:hAnsi="Narkisim"/>
          <w:rtl/>
        </w:rPr>
        <w:t xml:space="preserve"> תי' דבסוגיין הוה גדר התחייבות, שמתחייב עצמו, ואי"צ גדר זכין. וכמו שמתחייב לעובר. והקצות תי' דהכא נתחייב כתובה תמורת הנישואין, והוה כמו שכר מלאכה. ואף חרש ושוטה זוכים בשכר מלאכתם, וכמ"ש </w:t>
      </w:r>
      <w:r w:rsidRPr="003124AA">
        <w:rPr>
          <w:rFonts w:ascii="Narkisim" w:hAnsi="Narkisim"/>
          <w:b/>
          <w:bCs/>
          <w:rtl/>
        </w:rPr>
        <w:t>תוס'</w:t>
      </w:r>
      <w:r w:rsidRPr="003124AA">
        <w:rPr>
          <w:rFonts w:ascii="Narkisim" w:hAnsi="Narkisim"/>
          <w:rtl/>
        </w:rPr>
        <w:t xml:space="preserve"> (סנהדרין סח:) דאף לצד דל"מ דעת אחרת מקנה מדאורייתא, הקטן זוכה מדאורייתא בשכר מלאכתו</w:t>
      </w:r>
      <w:r w:rsidRPr="003124AA">
        <w:rPr>
          <w:rStyle w:val="ac"/>
          <w:rFonts w:ascii="Narkisim" w:hAnsi="Narkisim"/>
          <w:rtl/>
        </w:rPr>
        <w:footnoteReference w:id="7496"/>
      </w:r>
      <w:r w:rsidRPr="003124AA">
        <w:rPr>
          <w:rFonts w:ascii="Narkisim" w:hAnsi="Narkisim"/>
          <w:rtl/>
        </w:rPr>
        <w:t>.</w:t>
      </w:r>
    </w:p>
    <w:p w14:paraId="288B33EB" w14:textId="77777777" w:rsidR="006C4368" w:rsidRPr="003124AA" w:rsidRDefault="006C4368" w:rsidP="006C4368">
      <w:pPr>
        <w:bidi/>
        <w:rPr>
          <w:rFonts w:ascii="Narkisim" w:hAnsi="Narkisim" w:cs="Narkisim"/>
        </w:rPr>
      </w:pPr>
      <w:r w:rsidRPr="003124AA">
        <w:rPr>
          <w:rFonts w:ascii="Narkisim" w:hAnsi="Narkisim" w:cs="Narkisim"/>
          <w:rtl/>
        </w:rPr>
        <w:lastRenderedPageBreak/>
        <w:t>וה</w:t>
      </w:r>
      <w:r w:rsidRPr="003124AA">
        <w:rPr>
          <w:rFonts w:ascii="Narkisim" w:hAnsi="Narkisim" w:cs="Narkisim"/>
          <w:b/>
          <w:bCs/>
          <w:rtl/>
        </w:rPr>
        <w:t>חכמת שלמה</w:t>
      </w:r>
      <w:r w:rsidRPr="003124AA">
        <w:rPr>
          <w:rFonts w:ascii="Narkisim" w:hAnsi="Narkisim" w:cs="Narkisim"/>
          <w:rtl/>
        </w:rPr>
        <w:t xml:space="preserve"> (ע"ג השו"ע סז ט) כת' דהתחייבות כתובה הוה דברים הנקנים באמירה (כתובות קב:), וקונה בדיבור בעלמא. וקמ"ל דמהני אף בחרשת ושוטה</w:t>
      </w:r>
      <w:r w:rsidRPr="003124AA">
        <w:rPr>
          <w:rStyle w:val="ac"/>
          <w:rFonts w:ascii="Narkisim" w:hAnsi="Narkisim" w:cs="Narkisim"/>
          <w:rtl/>
        </w:rPr>
        <w:footnoteReference w:id="7497"/>
      </w:r>
      <w:r w:rsidRPr="003124AA">
        <w:rPr>
          <w:rFonts w:ascii="Narkisim" w:hAnsi="Narkisim" w:cs="Narkisim"/>
          <w:rtl/>
        </w:rPr>
        <w:t>.</w:t>
      </w:r>
    </w:p>
    <w:p w14:paraId="7F537969" w14:textId="77777777" w:rsidR="006C4368" w:rsidRPr="003124AA" w:rsidRDefault="006C4368" w:rsidP="006C4368">
      <w:pPr>
        <w:bidi/>
        <w:rPr>
          <w:rFonts w:ascii="Narkisim" w:hAnsi="Narkisim" w:cs="Narkisim"/>
        </w:rPr>
      </w:pPr>
      <w:r w:rsidRPr="003124AA">
        <w:rPr>
          <w:rFonts w:ascii="Narkisim" w:hAnsi="Narkisim" w:cs="Narkisim"/>
          <w:u w:val="single"/>
          <w:rtl/>
        </w:rPr>
        <w:t>א"ה פקחת לחרש ליתקין לה כתובה וכו' ותר ממה שהאיש רוצה לישא אשה רוצה לינשא וכו'</w:t>
      </w:r>
      <w:r w:rsidRPr="003124AA">
        <w:rPr>
          <w:rFonts w:ascii="Narkisim" w:hAnsi="Narkisim" w:cs="Narkisim"/>
          <w:rtl/>
        </w:rPr>
        <w:t>. ה</w:t>
      </w:r>
      <w:r w:rsidRPr="003124AA">
        <w:rPr>
          <w:rFonts w:ascii="Narkisim" w:hAnsi="Narkisim" w:cs="Narkisim"/>
          <w:b/>
          <w:bCs/>
          <w:rtl/>
        </w:rPr>
        <w:t>ריטב”א</w:t>
      </w:r>
      <w:r w:rsidRPr="003124AA">
        <w:rPr>
          <w:rFonts w:ascii="Narkisim" w:hAnsi="Narkisim" w:cs="Narkisim"/>
          <w:rtl/>
        </w:rPr>
        <w:t xml:space="preserve"> פי' דרוצה להנשא אפי' בלא כתובה</w:t>
      </w:r>
      <w:r w:rsidRPr="003124AA">
        <w:rPr>
          <w:rStyle w:val="ac"/>
          <w:rFonts w:ascii="Narkisim" w:hAnsi="Narkisim" w:cs="Narkisim"/>
          <w:rtl/>
        </w:rPr>
        <w:footnoteReference w:id="7498"/>
      </w:r>
      <w:r w:rsidRPr="003124AA">
        <w:rPr>
          <w:rFonts w:ascii="Narkisim" w:hAnsi="Narkisim" w:cs="Narkisim"/>
          <w:rtl/>
        </w:rPr>
        <w:t>.</w:t>
      </w:r>
    </w:p>
    <w:p w14:paraId="4065B671" w14:textId="77777777" w:rsidR="006C4368" w:rsidRPr="003124AA" w:rsidRDefault="006C4368" w:rsidP="006C4368">
      <w:pPr>
        <w:bidi/>
        <w:rPr>
          <w:rFonts w:ascii="Narkisim" w:hAnsi="Narkisim" w:cs="Narkisim"/>
        </w:rPr>
      </w:pPr>
      <w:r w:rsidRPr="003124AA">
        <w:rPr>
          <w:rFonts w:ascii="Narkisim" w:hAnsi="Narkisim" w:cs="Narkisim"/>
          <w:rtl/>
        </w:rPr>
        <w:t>ו</w:t>
      </w:r>
      <w:r w:rsidRPr="003124AA">
        <w:rPr>
          <w:rFonts w:ascii="Narkisim" w:hAnsi="Narkisim" w:cs="Narkisim"/>
          <w:b/>
          <w:bCs/>
          <w:rtl/>
        </w:rPr>
        <w:t>תוס'</w:t>
      </w:r>
      <w:r w:rsidRPr="003124AA">
        <w:rPr>
          <w:rFonts w:ascii="Narkisim" w:hAnsi="Narkisim" w:cs="Narkisim"/>
          <w:rtl/>
        </w:rPr>
        <w:t xml:space="preserve"> פי' דלא חשו חכמים שלא תהא קלה בעיניו להוציאה. בפשוטו כוונתם דדוקא היכא דתקנו כתובה חששו דתהא קלה בעיניו, אבל הכא לא תקנו כתובה כלל. וה</w:t>
      </w:r>
      <w:r w:rsidRPr="003124AA">
        <w:rPr>
          <w:rFonts w:ascii="Narkisim" w:hAnsi="Narkisim" w:cs="Narkisim"/>
          <w:b/>
          <w:bCs/>
          <w:rtl/>
        </w:rPr>
        <w:t>רשב"א</w:t>
      </w:r>
      <w:r w:rsidRPr="003124AA">
        <w:rPr>
          <w:rFonts w:ascii="Narkisim" w:hAnsi="Narkisim" w:cs="Narkisim"/>
          <w:rtl/>
        </w:rPr>
        <w:t xml:space="preserve"> כת' דדוקא בבן דעת אמרו שאסור לשהות עם אשתו בלא כתובה, דכיון דשאר בעלי דעת כותבין לנשותיהן</w:t>
      </w:r>
      <w:r w:rsidRPr="003124AA">
        <w:rPr>
          <w:rStyle w:val="ac"/>
          <w:rFonts w:ascii="Narkisim" w:hAnsi="Narkisim" w:cs="Narkisim"/>
          <w:rtl/>
        </w:rPr>
        <w:footnoteReference w:id="7499"/>
      </w:r>
      <w:r w:rsidRPr="003124AA">
        <w:rPr>
          <w:rFonts w:ascii="Narkisim" w:hAnsi="Narkisim" w:cs="Narkisim"/>
          <w:rtl/>
        </w:rPr>
        <w:t>, אף היא לבה נוקפה ואומרת למחר הוא מגרשה לפי שהיא קלה בעיניו להוציאה, ועושה בעילתה בעילת זנות.</w:t>
      </w:r>
    </w:p>
    <w:p w14:paraId="1914EC4A" w14:textId="77777777" w:rsidR="006C4368" w:rsidRPr="003124AA" w:rsidRDefault="006C4368" w:rsidP="006C4368">
      <w:pPr>
        <w:pStyle w:val="a7"/>
        <w:bidi/>
        <w:rPr>
          <w:rFonts w:ascii="Narkisim" w:hAnsi="Narkisim"/>
        </w:rPr>
      </w:pPr>
      <w:r w:rsidRPr="003124AA">
        <w:rPr>
          <w:rFonts w:ascii="Narkisim" w:hAnsi="Narkisim"/>
          <w:rtl/>
        </w:rPr>
        <w:t>אבל חרש אינו עשוי לגרש, כיון דלאו בן דעת הוא, ורובן אינן מבחינין לגרש</w:t>
      </w:r>
      <w:r w:rsidRPr="003124AA">
        <w:rPr>
          <w:rStyle w:val="ac"/>
          <w:rFonts w:ascii="Narkisim" w:hAnsi="Narkisim"/>
          <w:rtl/>
        </w:rPr>
        <w:footnoteReference w:id="7500"/>
      </w:r>
      <w:r w:rsidRPr="003124AA">
        <w:rPr>
          <w:rFonts w:ascii="Narkisim" w:hAnsi="Narkisim"/>
          <w:rtl/>
        </w:rPr>
        <w:t>, ואף היא אינה עושה בעילתה בעילת זנות שאינה מעלה בדעתה שיגרשנה.</w:t>
      </w:r>
    </w:p>
    <w:p w14:paraId="52B98130" w14:textId="77777777" w:rsidR="006C4368" w:rsidRPr="003124AA" w:rsidRDefault="006C4368" w:rsidP="006C4368">
      <w:pPr>
        <w:bidi/>
        <w:rPr>
          <w:rFonts w:ascii="Narkisim" w:hAnsi="Narkisim" w:cs="Narkisim"/>
        </w:rPr>
      </w:pPr>
      <w:r w:rsidRPr="003124AA">
        <w:rPr>
          <w:rFonts w:ascii="Narkisim" w:hAnsi="Narkisim" w:cs="Narkisim"/>
          <w:u w:val="single"/>
          <w:rtl/>
        </w:rPr>
        <w:t>תוד"ה מאן</w:t>
      </w:r>
      <w:r w:rsidRPr="003124AA">
        <w:rPr>
          <w:rFonts w:ascii="Narkisim" w:hAnsi="Narkisim" w:cs="Narkisim"/>
          <w:rtl/>
        </w:rPr>
        <w:t>. וגם זכין לאדם שלא בפניו. [והביאו דמבואר דזכין מאדם, ודלא כמ"ש ה</w:t>
      </w:r>
      <w:r w:rsidRPr="003124AA">
        <w:rPr>
          <w:rFonts w:ascii="Narkisim" w:hAnsi="Narkisim" w:cs="Narkisim"/>
          <w:b/>
          <w:bCs/>
          <w:rtl/>
        </w:rPr>
        <w:t>קצות</w:t>
      </w:r>
      <w:r w:rsidRPr="003124AA">
        <w:rPr>
          <w:rFonts w:ascii="Narkisim" w:hAnsi="Narkisim" w:cs="Narkisim"/>
          <w:rtl/>
        </w:rPr>
        <w:t xml:space="preserve"> (רמג ח) דל”ש זכין אלא היכא דהמקבל זוכה באיזה דבר [ול”מ לזכות ממנו לאחר. ואכמ"ל]. ויש שדחו דהוה דרך תשלום מקח, וזוכה באשה כנגד התחייבות זו]. וה</w:t>
      </w:r>
      <w:r w:rsidRPr="003124AA">
        <w:rPr>
          <w:rFonts w:ascii="Narkisim" w:hAnsi="Narkisim" w:cs="Narkisim"/>
          <w:b/>
          <w:bCs/>
          <w:rtl/>
        </w:rPr>
        <w:t>ריטב”א</w:t>
      </w:r>
      <w:r w:rsidRPr="003124AA">
        <w:rPr>
          <w:rFonts w:ascii="Narkisim" w:hAnsi="Narkisim" w:cs="Narkisim"/>
          <w:rtl/>
        </w:rPr>
        <w:t xml:space="preserve"> כת' דבי”ד</w:t>
      </w:r>
      <w:r w:rsidRPr="003124AA">
        <w:rPr>
          <w:rStyle w:val="ac"/>
          <w:rFonts w:ascii="Narkisim" w:hAnsi="Narkisim" w:cs="Narkisim"/>
          <w:rtl/>
        </w:rPr>
        <w:footnoteReference w:id="7501"/>
      </w:r>
      <w:r w:rsidRPr="003124AA">
        <w:rPr>
          <w:rFonts w:ascii="Narkisim" w:hAnsi="Narkisim" w:cs="Narkisim"/>
          <w:rtl/>
        </w:rPr>
        <w:t xml:space="preserve"> אביהן של חרשים, והם רשאים לחייבו.</w:t>
      </w:r>
    </w:p>
    <w:p w14:paraId="319DF205" w14:textId="77777777" w:rsidR="006C4368" w:rsidRPr="003124AA" w:rsidRDefault="006C4368" w:rsidP="006C4368">
      <w:pPr>
        <w:pStyle w:val="aa"/>
        <w:bidi/>
        <w:rPr>
          <w:rFonts w:ascii="Narkisim" w:hAnsi="Narkisim"/>
        </w:rPr>
      </w:pPr>
      <w:r w:rsidRPr="003124AA">
        <w:rPr>
          <w:rFonts w:ascii="Narkisim" w:hAnsi="Narkisim"/>
          <w:u w:val="single"/>
          <w:rtl/>
        </w:rPr>
        <w:t>הוא דאמר כר"א וכו' מפני שהוא ספק וכו'</w:t>
      </w:r>
      <w:r w:rsidRPr="003124AA">
        <w:rPr>
          <w:rFonts w:ascii="Narkisim" w:hAnsi="Narkisim"/>
          <w:rtl/>
        </w:rPr>
        <w:t>. ושמואל קמ"ל דאף לר"א אינו חייב אשם תלוי. פ</w:t>
      </w:r>
      <w:r w:rsidRPr="003124AA">
        <w:rPr>
          <w:rFonts w:ascii="Narkisim" w:hAnsi="Narkisim"/>
          <w:b/>
          <w:bCs/>
          <w:rtl/>
        </w:rPr>
        <w:t>רש"י</w:t>
      </w:r>
      <w:r w:rsidRPr="003124AA">
        <w:rPr>
          <w:rFonts w:ascii="Narkisim" w:hAnsi="Narkisim"/>
          <w:rtl/>
        </w:rPr>
        <w:t xml:space="preserve"> כלומר מהא לא תסייע וכו'. וה</w:t>
      </w:r>
      <w:r w:rsidRPr="003124AA">
        <w:rPr>
          <w:rFonts w:ascii="Narkisim" w:hAnsi="Narkisim"/>
          <w:b/>
          <w:bCs/>
          <w:rtl/>
        </w:rPr>
        <w:t>ריטב”א</w:t>
      </w:r>
      <w:r w:rsidRPr="003124AA">
        <w:rPr>
          <w:rFonts w:ascii="Narkisim" w:hAnsi="Narkisim"/>
          <w:rtl/>
        </w:rPr>
        <w:t xml:space="preserve"> כת' דבעלמא לשון 'הוא דאמר' הוה תי'</w:t>
      </w:r>
      <w:r w:rsidRPr="003124AA">
        <w:rPr>
          <w:rStyle w:val="ac"/>
          <w:rFonts w:ascii="Narkisim" w:hAnsi="Narkisim"/>
          <w:rtl/>
        </w:rPr>
        <w:footnoteReference w:id="7502"/>
      </w:r>
      <w:r w:rsidRPr="003124AA">
        <w:rPr>
          <w:rFonts w:ascii="Narkisim" w:hAnsi="Narkisim"/>
          <w:rtl/>
        </w:rPr>
        <w:t>, ואילו הכא אמרי' דדילמא האי תנא לא מסייע ליה, דאיהו קאי בשיטתא דאידך תנא אזיל. וזה מן הלשונות שמתחלף ענינם בתלמוד.</w:t>
      </w:r>
    </w:p>
    <w:p w14:paraId="135A6CA8" w14:textId="77777777" w:rsidR="006C4368" w:rsidRPr="003124AA" w:rsidRDefault="006C4368" w:rsidP="006C4368">
      <w:pPr>
        <w:bidi/>
        <w:rPr>
          <w:rFonts w:ascii="Narkisim" w:hAnsi="Narkisim" w:cs="Narkisim"/>
        </w:rPr>
      </w:pPr>
      <w:r w:rsidRPr="003124AA">
        <w:rPr>
          <w:rFonts w:ascii="Narkisim" w:hAnsi="Narkisim" w:cs="Narkisim"/>
          <w:u w:val="single"/>
          <w:rtl/>
        </w:rPr>
        <w:t>וא"ד וכו' אשת חרש חייבין עליה אשם תלוי וכו' סבר לה כר"א וכו'</w:t>
      </w:r>
      <w:r w:rsidRPr="003124AA">
        <w:rPr>
          <w:rFonts w:ascii="Narkisim" w:hAnsi="Narkisim" w:cs="Narkisim"/>
          <w:rtl/>
        </w:rPr>
        <w:t>. ה</w:t>
      </w:r>
      <w:r w:rsidRPr="003124AA">
        <w:rPr>
          <w:rFonts w:ascii="Narkisim" w:hAnsi="Narkisim" w:cs="Narkisim"/>
          <w:b/>
          <w:bCs/>
          <w:rtl/>
        </w:rPr>
        <w:t>אחרונים</w:t>
      </w:r>
      <w:r w:rsidRPr="003124AA">
        <w:rPr>
          <w:rFonts w:ascii="Narkisim" w:hAnsi="Narkisim" w:cs="Narkisim"/>
          <w:rtl/>
        </w:rPr>
        <w:t xml:space="preserve"> הק' דיש להעמידה על חזקת פנויה, א”כ לא יתחייב אשם תלוי.</w:t>
      </w:r>
    </w:p>
    <w:p w14:paraId="0F071D69"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פנ"י</w:t>
      </w:r>
      <w:r w:rsidRPr="003124AA">
        <w:rPr>
          <w:rFonts w:ascii="Narkisim" w:hAnsi="Narkisim"/>
          <w:rtl/>
        </w:rPr>
        <w:t xml:space="preserve"> (גיטין כח.) הביא מכאן דכיון דיש 'מעשה קידושין' מגרעין החזקה הראשונה. וה”ה כל היכא שיש ספק בגט או קידושין עצמן איתרע חזקת היתר שלה ע"י הגט שלפנינו, וע"ד מש"כ </w:t>
      </w:r>
      <w:r w:rsidRPr="003124AA">
        <w:rPr>
          <w:rFonts w:ascii="Narkisim" w:hAnsi="Narkisim"/>
          <w:b/>
          <w:bCs/>
          <w:rtl/>
        </w:rPr>
        <w:t>תוס</w:t>
      </w:r>
      <w:r w:rsidRPr="003124AA">
        <w:rPr>
          <w:rFonts w:ascii="Narkisim" w:hAnsi="Narkisim"/>
          <w:rtl/>
        </w:rPr>
        <w:t>' (כתובות כג.)</w:t>
      </w:r>
      <w:r w:rsidRPr="003124AA">
        <w:rPr>
          <w:rStyle w:val="ac"/>
          <w:rFonts w:ascii="Narkisim" w:hAnsi="Narkisim"/>
          <w:rtl/>
        </w:rPr>
        <w:footnoteReference w:id="7503"/>
      </w:r>
      <w:r w:rsidRPr="003124AA">
        <w:rPr>
          <w:rFonts w:ascii="Narkisim" w:hAnsi="Narkisim"/>
          <w:rtl/>
        </w:rPr>
        <w:t>. והביא דבסוגיין מבואר דהוה סברא מדאורייתא, דמש”ה מביא אשם תלוי</w:t>
      </w:r>
      <w:r w:rsidRPr="003124AA">
        <w:rPr>
          <w:rStyle w:val="ac"/>
          <w:rFonts w:ascii="Narkisim" w:hAnsi="Narkisim"/>
          <w:rtl/>
        </w:rPr>
        <w:footnoteReference w:id="7504"/>
      </w:r>
      <w:r w:rsidRPr="003124AA">
        <w:rPr>
          <w:rFonts w:ascii="Narkisim" w:hAnsi="Narkisim"/>
          <w:rtl/>
        </w:rPr>
        <w:t>].</w:t>
      </w:r>
    </w:p>
    <w:p w14:paraId="1EFFF759" w14:textId="77777777" w:rsidR="006C4368" w:rsidRPr="003124AA" w:rsidRDefault="006C4368" w:rsidP="006C4368">
      <w:pPr>
        <w:pStyle w:val="a8"/>
        <w:bidi/>
        <w:rPr>
          <w:rFonts w:ascii="Narkisim" w:hAnsi="Narkisim"/>
        </w:rPr>
      </w:pPr>
      <w:r w:rsidRPr="003124AA">
        <w:rPr>
          <w:rFonts w:ascii="Narkisim" w:hAnsi="Narkisim"/>
          <w:rtl/>
        </w:rPr>
        <w:t>וב</w:t>
      </w:r>
      <w:r w:rsidRPr="003124AA">
        <w:rPr>
          <w:rFonts w:ascii="Narkisim" w:hAnsi="Narkisim"/>
          <w:b/>
          <w:bCs/>
          <w:rtl/>
        </w:rPr>
        <w:t>שו"ת תורת חסד</w:t>
      </w:r>
      <w:r w:rsidRPr="003124AA">
        <w:rPr>
          <w:rFonts w:ascii="Narkisim" w:hAnsi="Narkisim"/>
          <w:rtl/>
        </w:rPr>
        <w:t xml:space="preserve"> (אה”ע כג) דחה דל”ד לזורק גט או קידושין ספק קרוב לה, דהתם מתחילה היה באפשרי שיוגמר באופן ודאי, שיגיעו למקום שבודאי קרוב לה. ומש"ה איתרע חזקת פנויה, כיון שנעשה בה מעשה שאפשר שתהיה מקודשת בודאי. אבל בחרש ל"ש שיקדש ודאי, ומש"ה לא איתרע החזקה כלל מחמת הספק</w:t>
      </w:r>
      <w:r w:rsidRPr="003124AA">
        <w:rPr>
          <w:rStyle w:val="ac"/>
          <w:rFonts w:ascii="Narkisim" w:hAnsi="Narkisim"/>
          <w:rtl/>
        </w:rPr>
        <w:footnoteReference w:id="7505"/>
      </w:r>
      <w:r w:rsidRPr="003124AA">
        <w:rPr>
          <w:rFonts w:ascii="Narkisim" w:hAnsi="Narkisim"/>
          <w:rtl/>
        </w:rPr>
        <w:t>.</w:t>
      </w:r>
    </w:p>
    <w:p w14:paraId="5CC0DFA1" w14:textId="77777777" w:rsidR="006C4368" w:rsidRPr="003124AA" w:rsidRDefault="006C4368" w:rsidP="006C4368">
      <w:pPr>
        <w:pStyle w:val="a7"/>
        <w:bidi/>
        <w:rPr>
          <w:rFonts w:ascii="Narkisim" w:hAnsi="Narkisim"/>
        </w:rPr>
      </w:pPr>
      <w:r w:rsidRPr="003124AA">
        <w:rPr>
          <w:rFonts w:ascii="Narkisim" w:hAnsi="Narkisim"/>
          <w:rtl/>
        </w:rPr>
        <w:lastRenderedPageBreak/>
        <w:t>ועוד תי' ה</w:t>
      </w:r>
      <w:r w:rsidRPr="003124AA">
        <w:rPr>
          <w:rFonts w:ascii="Narkisim" w:hAnsi="Narkisim"/>
          <w:b/>
          <w:bCs/>
          <w:rtl/>
        </w:rPr>
        <w:t>שער"י</w:t>
      </w:r>
      <w:r w:rsidRPr="003124AA">
        <w:rPr>
          <w:rFonts w:ascii="Narkisim" w:hAnsi="Narkisim"/>
          <w:rtl/>
        </w:rPr>
        <w:t xml:space="preserve"> (ב ט, ובחי' ר"ש סוף קידושין, ועד"ז הגרש ירחים גיטין כח.) דבסוגיין שורש הנידון על החרש עצמו, וכיון דהוא ספק בן דעת לפנינו [ול"ש ע"ז חזקה], א"כ אף האשה כמוהו, ולא מהני חזקה דידה</w:t>
      </w:r>
      <w:r w:rsidRPr="003124AA">
        <w:rPr>
          <w:rStyle w:val="ac"/>
          <w:rFonts w:ascii="Narkisim" w:hAnsi="Narkisim"/>
          <w:rtl/>
        </w:rPr>
        <w:footnoteReference w:id="7506"/>
      </w:r>
      <w:r w:rsidRPr="003124AA">
        <w:rPr>
          <w:rFonts w:ascii="Narkisim" w:hAnsi="Narkisim"/>
          <w:rtl/>
        </w:rPr>
        <w:t>.</w:t>
      </w:r>
    </w:p>
    <w:p w14:paraId="6E501C92" w14:textId="77777777" w:rsidR="006C4368" w:rsidRPr="003124AA" w:rsidRDefault="006C4368" w:rsidP="006C4368">
      <w:pPr>
        <w:pStyle w:val="a8"/>
        <w:bidi/>
        <w:rPr>
          <w:rFonts w:ascii="Narkisim" w:hAnsi="Narkisim"/>
        </w:rPr>
      </w:pPr>
      <w:r w:rsidRPr="003124AA">
        <w:rPr>
          <w:rFonts w:ascii="Narkisim" w:hAnsi="Narkisim"/>
          <w:rtl/>
        </w:rPr>
        <w:t>אך ה</w:t>
      </w:r>
      <w:r w:rsidRPr="003124AA">
        <w:rPr>
          <w:rFonts w:ascii="Narkisim" w:hAnsi="Narkisim"/>
          <w:b/>
          <w:bCs/>
          <w:rtl/>
        </w:rPr>
        <w:t>אחרונים</w:t>
      </w:r>
      <w:r w:rsidRPr="003124AA">
        <w:rPr>
          <w:rFonts w:ascii="Narkisim" w:hAnsi="Narkisim"/>
          <w:rtl/>
        </w:rPr>
        <w:t xml:space="preserve"> דנו דתלי בספק של רב אשי בסמוך, ולצד דחרש עיתים חלים, א"כ הוה ספק רק על זמן שקידש, והדרא קו'</w:t>
      </w:r>
      <w:r w:rsidRPr="003124AA">
        <w:rPr>
          <w:rStyle w:val="ac"/>
          <w:rFonts w:ascii="Narkisim" w:hAnsi="Narkisim"/>
          <w:rtl/>
        </w:rPr>
        <w:footnoteReference w:id="7507"/>
      </w:r>
      <w:r w:rsidRPr="003124AA">
        <w:rPr>
          <w:rFonts w:ascii="Narkisim" w:hAnsi="Narkisim"/>
          <w:rtl/>
        </w:rPr>
        <w:t>.</w:t>
      </w:r>
    </w:p>
    <w:p w14:paraId="1264FB43" w14:textId="77777777" w:rsidR="006C4368" w:rsidRPr="003124AA" w:rsidRDefault="006C4368" w:rsidP="006C4368">
      <w:pPr>
        <w:pStyle w:val="3"/>
        <w:bidi/>
        <w:rPr>
          <w:rFonts w:ascii="Narkisim" w:hAnsi="Narkisim"/>
        </w:rPr>
      </w:pPr>
      <w:r w:rsidRPr="003124AA">
        <w:rPr>
          <w:rFonts w:ascii="Narkisim" w:hAnsi="Narkisim"/>
          <w:rtl/>
        </w:rPr>
        <w:t>דף קיג:</w:t>
      </w:r>
    </w:p>
    <w:p w14:paraId="4707F44F" w14:textId="77777777" w:rsidR="006C4368" w:rsidRPr="003124AA" w:rsidRDefault="006C4368" w:rsidP="006C4368">
      <w:pPr>
        <w:pStyle w:val="aa"/>
        <w:bidi/>
        <w:rPr>
          <w:rFonts w:ascii="Narkisim" w:hAnsi="Narkisim"/>
        </w:rPr>
      </w:pPr>
      <w:r w:rsidRPr="003124AA">
        <w:rPr>
          <w:rFonts w:ascii="Narkisim" w:hAnsi="Narkisim"/>
          <w:u w:val="single"/>
          <w:rtl/>
        </w:rPr>
        <w:t>והכא ה"ט דעתים חלים ועתים שוטה וכו'</w:t>
      </w:r>
      <w:r w:rsidRPr="003124AA">
        <w:rPr>
          <w:rFonts w:ascii="Narkisim" w:hAnsi="Narkisim"/>
          <w:rtl/>
        </w:rPr>
        <w:t>. ה</w:t>
      </w:r>
      <w:r w:rsidRPr="003124AA">
        <w:rPr>
          <w:rFonts w:ascii="Narkisim" w:hAnsi="Narkisim"/>
          <w:b/>
          <w:bCs/>
          <w:rtl/>
        </w:rPr>
        <w:t>בי"ש</w:t>
      </w:r>
      <w:r w:rsidRPr="003124AA">
        <w:rPr>
          <w:rFonts w:ascii="Narkisim" w:hAnsi="Narkisim"/>
          <w:rtl/>
        </w:rPr>
        <w:t xml:space="preserve"> (קיט יג) הביא דמשמע דעתים שוטה ועתים חלים מותרת להשהותה, ולא אמרי' דכל פעם דחלים מתעורר החימוד וצריך ז' נקיים.</w:t>
      </w:r>
    </w:p>
    <w:p w14:paraId="173452AB" w14:textId="77777777" w:rsidR="006C4368" w:rsidRPr="003124AA" w:rsidRDefault="006C4368" w:rsidP="006C4368">
      <w:pPr>
        <w:bidi/>
        <w:rPr>
          <w:rFonts w:ascii="Narkisim" w:hAnsi="Narkisim" w:cs="Narkisim"/>
        </w:rPr>
      </w:pPr>
      <w:r w:rsidRPr="003124AA">
        <w:rPr>
          <w:rFonts w:ascii="Narkisim" w:hAnsi="Narkisim" w:cs="Narkisim"/>
          <w:u w:val="single"/>
          <w:rtl/>
        </w:rPr>
        <w:t>למאי נפק"מ להוציא בגט וכו' ואי אמרת עתים חלים ועתים שוטה, קדושי מצי מקדש גרושי לא מצי מגרש וכו'.</w:t>
      </w:r>
      <w:r w:rsidRPr="003124AA">
        <w:rPr>
          <w:rFonts w:ascii="Narkisim" w:hAnsi="Narkisim" w:cs="Narkisim"/>
          <w:rtl/>
        </w:rPr>
        <w:t xml:space="preserve"> </w:t>
      </w:r>
      <w:r w:rsidRPr="003124AA">
        <w:rPr>
          <w:rFonts w:ascii="Narkisim" w:hAnsi="Narkisim" w:cs="Narkisim"/>
          <w:b/>
          <w:bCs/>
          <w:rtl/>
        </w:rPr>
        <w:t>רע"א</w:t>
      </w:r>
      <w:r w:rsidRPr="003124AA">
        <w:rPr>
          <w:rFonts w:ascii="Narkisim" w:hAnsi="Narkisim" w:cs="Narkisim"/>
          <w:rtl/>
        </w:rPr>
        <w:t xml:space="preserve"> (ועוד אחרונים) הק' תתגרש מטעם ספק ספיקא, ספק שהיתה שוטה בשעת קידושין, ואת"ל היתה חלים [ותפסי קידושין], דלמא גם בשעת הגט היא חלומה. ורע"א תי' דכל ספק ספיקא צריך שיהיו ב' הספיקות נולדים יחד. והביא מכאן ראיה לדין זה.</w:t>
      </w:r>
    </w:p>
    <w:p w14:paraId="4D54270A" w14:textId="77777777" w:rsidR="006C4368" w:rsidRPr="003124AA" w:rsidRDefault="006C4368" w:rsidP="006C4368">
      <w:pPr>
        <w:bidi/>
        <w:rPr>
          <w:rFonts w:ascii="Narkisim" w:hAnsi="Narkisim" w:cs="Narkisim"/>
        </w:rPr>
      </w:pPr>
      <w:r w:rsidRPr="003124AA">
        <w:rPr>
          <w:rFonts w:ascii="Narkisim" w:hAnsi="Narkisim" w:cs="Narkisim"/>
          <w:u w:val="single"/>
          <w:rtl/>
        </w:rPr>
        <w:t>ומה טעם אמרו אינה מתגרשת, שלא ינהגו בה מנהג הפקר וכו</w:t>
      </w:r>
      <w:r w:rsidRPr="003124AA">
        <w:rPr>
          <w:rFonts w:ascii="Narkisim" w:hAnsi="Narkisim" w:cs="Narkisim"/>
          <w:rtl/>
        </w:rPr>
        <w:t>'. וה</w:t>
      </w:r>
      <w:r w:rsidRPr="003124AA">
        <w:rPr>
          <w:rFonts w:ascii="Narkisim" w:hAnsi="Narkisim" w:cs="Narkisim"/>
          <w:b/>
          <w:bCs/>
          <w:rtl/>
        </w:rPr>
        <w:t>רמב"ם</w:t>
      </w:r>
      <w:r w:rsidRPr="003124AA">
        <w:rPr>
          <w:rFonts w:ascii="Narkisim" w:hAnsi="Narkisim" w:cs="Narkisim"/>
          <w:rtl/>
        </w:rPr>
        <w:t xml:space="preserve"> (גירושין י כג) כת' דאפ"ה אין כח בבן דעת לדור עם השוטים בבית א', ואין מחייבים אותו בשאר כסות ועונה. אלא מניחה ונושא אחרת, ומאכילה ומשקה משלה. אבל ה</w:t>
      </w:r>
      <w:r w:rsidRPr="003124AA">
        <w:rPr>
          <w:rFonts w:ascii="Narkisim" w:hAnsi="Narkisim" w:cs="Narkisim"/>
          <w:b/>
          <w:bCs/>
          <w:rtl/>
        </w:rPr>
        <w:t>מאירי</w:t>
      </w:r>
      <w:r w:rsidRPr="003124AA">
        <w:rPr>
          <w:rFonts w:ascii="Narkisim" w:hAnsi="Narkisim" w:cs="Narkisim"/>
          <w:rtl/>
        </w:rPr>
        <w:t xml:space="preserve"> וה</w:t>
      </w:r>
      <w:r w:rsidRPr="003124AA">
        <w:rPr>
          <w:rFonts w:ascii="Narkisim" w:hAnsi="Narkisim" w:cs="Narkisim"/>
          <w:b/>
          <w:bCs/>
          <w:rtl/>
        </w:rPr>
        <w:t>רמ"ה</w:t>
      </w:r>
      <w:r w:rsidRPr="003124AA">
        <w:rPr>
          <w:rFonts w:ascii="Narkisim" w:hAnsi="Narkisim" w:cs="Narkisim"/>
          <w:rtl/>
        </w:rPr>
        <w:t xml:space="preserve"> (הו' בטור קיז ו) כת' נקטו דחייב במזונותיה. וכת' דאפי' עבר וגירש עדיין מחייבין אותו בכל תנאי כתובה. דאל"כ מה הועילו חכמים בתקנתם [דהרבה בני אדם יעברו על התקנה כדי שלא להתחייב במזונות כל ימי חייה].</w:t>
      </w:r>
    </w:p>
    <w:p w14:paraId="306A77F6"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הג' אשר"י</w:t>
      </w:r>
      <w:r w:rsidRPr="003124AA">
        <w:rPr>
          <w:rFonts w:ascii="Narkisim" w:hAnsi="Narkisim"/>
          <w:rtl/>
        </w:rPr>
        <w:t xml:space="preserve"> כת' דאף במקום שנהגו חכם דרבינו גרשם שלא ישא ב' נשים, בשוטה כל רבותינו התירו ע"י ק' ת"ח ויבטיחו מזונותיה. וע"ע רמ"א (א י).</w:t>
      </w:r>
    </w:p>
    <w:p w14:paraId="7F88DD39" w14:textId="77777777" w:rsidR="006C4368" w:rsidRPr="003124AA" w:rsidRDefault="006C4368" w:rsidP="006C4368">
      <w:pPr>
        <w:pStyle w:val="aa"/>
        <w:bidi/>
        <w:rPr>
          <w:rFonts w:ascii="Narkisim" w:hAnsi="Narkisim"/>
        </w:rPr>
      </w:pPr>
      <w:r w:rsidRPr="003124AA">
        <w:rPr>
          <w:rFonts w:ascii="Narkisim" w:hAnsi="Narkisim"/>
          <w:u w:val="single"/>
          <w:rtl/>
        </w:rPr>
        <w:t>תוד"ה יצתה</w:t>
      </w:r>
      <w:r w:rsidRPr="003124AA">
        <w:rPr>
          <w:rFonts w:ascii="Narkisim" w:hAnsi="Narkisim"/>
          <w:rtl/>
        </w:rPr>
        <w:t>. אור"ת דהיינו דוקא באין לה אב</w:t>
      </w:r>
      <w:r w:rsidRPr="003124AA">
        <w:rPr>
          <w:rStyle w:val="ac"/>
          <w:rFonts w:ascii="Narkisim" w:hAnsi="Narkisim"/>
          <w:rtl/>
        </w:rPr>
        <w:footnoteReference w:id="7508"/>
      </w:r>
      <w:r w:rsidRPr="003124AA">
        <w:rPr>
          <w:rFonts w:ascii="Narkisim" w:hAnsi="Narkisim"/>
          <w:rtl/>
        </w:rPr>
        <w:t xml:space="preserve"> וכו'. ו</w:t>
      </w:r>
      <w:r w:rsidRPr="003124AA">
        <w:rPr>
          <w:rFonts w:ascii="Narkisim" w:hAnsi="Narkisim"/>
          <w:b/>
          <w:bCs/>
          <w:rtl/>
        </w:rPr>
        <w:t>תוס'</w:t>
      </w:r>
      <w:r w:rsidRPr="003124AA">
        <w:rPr>
          <w:rFonts w:ascii="Narkisim" w:hAnsi="Narkisim"/>
          <w:rtl/>
        </w:rPr>
        <w:t xml:space="preserve"> פי' דמתגרשת ע”י אביה. ולפ”ז קאי דוקא בקטנה שלא נשאת, אבל נשאת אביה אינו מקבל את גיטה [וכ”ה ברא”ש].</w:t>
      </w:r>
    </w:p>
    <w:p w14:paraId="409BD123" w14:textId="77777777" w:rsidR="006C4368" w:rsidRPr="003124AA" w:rsidRDefault="006C4368" w:rsidP="006C4368">
      <w:pPr>
        <w:pStyle w:val="aa"/>
        <w:bidi/>
        <w:rPr>
          <w:rFonts w:ascii="Narkisim" w:hAnsi="Narkisim"/>
        </w:rPr>
      </w:pPr>
      <w:r w:rsidRPr="003124AA">
        <w:rPr>
          <w:rFonts w:ascii="Narkisim" w:hAnsi="Narkisim"/>
          <w:u w:val="single"/>
          <w:rtl/>
        </w:rPr>
        <w:t>בא"ד ובפ' התקבל (גיטין סד:, וכן קידושין מג:) וכו' קטנה שאינה יכולה לשמור את גיטה אינה יכולה להתגרש</w:t>
      </w:r>
      <w:r w:rsidRPr="003124AA">
        <w:rPr>
          <w:rFonts w:ascii="Narkisim" w:hAnsi="Narkisim"/>
          <w:rtl/>
        </w:rPr>
        <w:t>. ומשמע בתוס' דקטנה הוה אותו דין כמו שוטה דסוגיין, דהיכא דאינה יודעת לשמור את גיטה ל"מ הגירושין [מדאורייתא].</w:t>
      </w:r>
    </w:p>
    <w:p w14:paraId="34B30841" w14:textId="77777777" w:rsidR="006C4368" w:rsidRPr="003124AA" w:rsidRDefault="006C4368" w:rsidP="006C4368">
      <w:pPr>
        <w:pStyle w:val="aa"/>
        <w:bidi/>
        <w:rPr>
          <w:rFonts w:ascii="Narkisim" w:hAnsi="Narkisim"/>
        </w:rPr>
      </w:pPr>
      <w:r w:rsidRPr="003124AA">
        <w:rPr>
          <w:rFonts w:ascii="Narkisim" w:hAnsi="Narkisim"/>
          <w:rtl/>
        </w:rPr>
        <w:t>ורבא (גיטין סה. הו' לעיל קז:) לגירסת ה</w:t>
      </w:r>
      <w:r w:rsidRPr="003124AA">
        <w:rPr>
          <w:rFonts w:ascii="Narkisim" w:hAnsi="Narkisim"/>
          <w:b/>
          <w:bCs/>
          <w:rtl/>
        </w:rPr>
        <w:t>גאונים</w:t>
      </w:r>
      <w:r w:rsidRPr="003124AA">
        <w:rPr>
          <w:rFonts w:ascii="Narkisim" w:hAnsi="Narkisim"/>
          <w:rtl/>
        </w:rPr>
        <w:t xml:space="preserve"> וה</w:t>
      </w:r>
      <w:r w:rsidRPr="003124AA">
        <w:rPr>
          <w:rFonts w:ascii="Narkisim" w:hAnsi="Narkisim"/>
          <w:b/>
          <w:bCs/>
          <w:rtl/>
        </w:rPr>
        <w:t>רי"ף</w:t>
      </w:r>
      <w:r w:rsidRPr="003124AA">
        <w:rPr>
          <w:rFonts w:ascii="Narkisim" w:hAnsi="Narkisim"/>
          <w:rtl/>
        </w:rPr>
        <w:t xml:space="preserve"> אמר דהשיעור צרור לזורקו, מתגרשת בקידושי אביה. אבל גירסת </w:t>
      </w:r>
      <w:r w:rsidRPr="003124AA">
        <w:rPr>
          <w:rFonts w:ascii="Narkisim" w:hAnsi="Narkisim"/>
          <w:b/>
          <w:bCs/>
          <w:rtl/>
        </w:rPr>
        <w:t>רש"י</w:t>
      </w:r>
      <w:r w:rsidRPr="003124AA">
        <w:rPr>
          <w:rFonts w:ascii="Narkisim" w:hAnsi="Narkisim"/>
          <w:rtl/>
        </w:rPr>
        <w:t xml:space="preserve"> דוקא הגיע לעונת הפעוטות.</w:t>
      </w:r>
    </w:p>
    <w:p w14:paraId="5350659A" w14:textId="77777777" w:rsidR="006C4368" w:rsidRPr="003124AA" w:rsidRDefault="006C4368" w:rsidP="006C4368">
      <w:pPr>
        <w:pStyle w:val="a8"/>
        <w:bidi/>
        <w:rPr>
          <w:rFonts w:ascii="Narkisim" w:hAnsi="Narkisim"/>
        </w:rPr>
      </w:pPr>
      <w:r w:rsidRPr="003124AA">
        <w:rPr>
          <w:rFonts w:ascii="Narkisim" w:hAnsi="Narkisim"/>
          <w:rtl/>
        </w:rPr>
        <w:t>ולכאורה קשה מסברא על פרש"י אמאי צריך עונת הפעוטות לשמור גיטה. ו</w:t>
      </w:r>
      <w:r w:rsidRPr="003124AA">
        <w:rPr>
          <w:rFonts w:ascii="Narkisim" w:hAnsi="Narkisim"/>
          <w:b/>
          <w:bCs/>
          <w:rtl/>
        </w:rPr>
        <w:t>ראבי”ה</w:t>
      </w:r>
      <w:r w:rsidRPr="003124AA">
        <w:rPr>
          <w:rFonts w:ascii="Narkisim" w:hAnsi="Narkisim"/>
          <w:rtl/>
        </w:rPr>
        <w:t xml:space="preserve"> (תתקכא) כת' דקטנה צריכה דעת טפי משוטה. דכיון דהגיע לכלל שנותיה לא בעינן דעתה צילותא כולי האי</w:t>
      </w:r>
      <w:r w:rsidRPr="003124AA">
        <w:rPr>
          <w:rStyle w:val="ac"/>
          <w:rFonts w:ascii="Narkisim" w:hAnsi="Narkisim"/>
          <w:rtl/>
        </w:rPr>
        <w:footnoteReference w:id="7509"/>
      </w:r>
      <w:r w:rsidRPr="003124AA">
        <w:rPr>
          <w:rFonts w:ascii="Narkisim" w:hAnsi="Narkisim"/>
          <w:rtl/>
        </w:rPr>
        <w:t>. וכת' דנראה דגדולה שיש לה דעת פעוטות הרי היא כפיקחת לכל דבריה, אפילו לקבל קידושיה תולה</w:t>
      </w:r>
      <w:r w:rsidRPr="003124AA">
        <w:rPr>
          <w:rStyle w:val="ac"/>
          <w:rFonts w:ascii="Narkisim" w:hAnsi="Narkisim"/>
          <w:rtl/>
        </w:rPr>
        <w:footnoteReference w:id="7510"/>
      </w:r>
      <w:r w:rsidRPr="003124AA">
        <w:rPr>
          <w:rFonts w:ascii="Narkisim" w:hAnsi="Narkisim"/>
          <w:rtl/>
        </w:rPr>
        <w:t>.</w:t>
      </w:r>
    </w:p>
    <w:p w14:paraId="4E56A36E" w14:textId="77777777" w:rsidR="006C4368" w:rsidRPr="003124AA" w:rsidRDefault="006C4368" w:rsidP="006C4368">
      <w:pPr>
        <w:pStyle w:val="a8"/>
        <w:bidi/>
        <w:rPr>
          <w:rFonts w:ascii="Narkisim" w:hAnsi="Narkisim"/>
        </w:rPr>
      </w:pPr>
      <w:r w:rsidRPr="003124AA">
        <w:rPr>
          <w:rFonts w:ascii="Narkisim" w:hAnsi="Narkisim"/>
          <w:rtl/>
        </w:rPr>
        <w:t>אבל ה</w:t>
      </w:r>
      <w:r w:rsidRPr="003124AA">
        <w:rPr>
          <w:rFonts w:ascii="Narkisim" w:hAnsi="Narkisim"/>
          <w:b/>
          <w:bCs/>
          <w:rtl/>
        </w:rPr>
        <w:t>בעה"מ</w:t>
      </w:r>
      <w:r w:rsidRPr="003124AA">
        <w:rPr>
          <w:rFonts w:ascii="Narkisim" w:hAnsi="Narkisim"/>
          <w:rtl/>
        </w:rPr>
        <w:t xml:space="preserve"> (לעיל קז: לו: בדה"ר) ביאר לשיטת רש"י דיש ב' שיעורים, דבמשנה (סד:) איירי דאינה יודעת לשמור גיטה ול"מ גירושין כלל. ואילו רבא אמר דלכתחילה ל"מ לגרש עד פעוטות, וע"ד הא דאי' בסוגיין בשוטה ששומרת גיטה דמדאורייתא מהני, אבל מדרבנן אסור לגרש אא"כ שומרת את עצמה. [ואף בקטנה חילקו ב' שלבים אלו].</w:t>
      </w:r>
    </w:p>
    <w:p w14:paraId="6CC88EAC" w14:textId="77777777" w:rsidR="006C4368" w:rsidRPr="003124AA" w:rsidRDefault="006C4368" w:rsidP="006C4368">
      <w:pPr>
        <w:pStyle w:val="aa"/>
        <w:bidi/>
        <w:rPr>
          <w:rFonts w:ascii="Narkisim" w:hAnsi="Narkisim"/>
        </w:rPr>
      </w:pPr>
      <w:r w:rsidRPr="003124AA">
        <w:rPr>
          <w:rFonts w:ascii="Narkisim" w:hAnsi="Narkisim"/>
          <w:u w:val="single"/>
          <w:rtl/>
        </w:rPr>
        <w:t>בא"ד פ"ה אפי' ע"י אביה, ואין נראה לר"ת דהא ר' ינאי מפיק וכו' מי שיש לה יד וכו' ור' ישמעאל נמי דדריש מושלחה משמע דלא פליג וכו</w:t>
      </w:r>
      <w:r w:rsidRPr="003124AA">
        <w:rPr>
          <w:rFonts w:ascii="Narkisim" w:hAnsi="Narkisim"/>
          <w:rtl/>
        </w:rPr>
        <w:t xml:space="preserve">'. לדעת ר' ינאי נתמעט דלא הוה 'יד' לקבלת הגט. ובפשוטו תנא דבי ר' ישמעאל </w:t>
      </w:r>
      <w:r w:rsidRPr="003124AA">
        <w:rPr>
          <w:rFonts w:ascii="Narkisim" w:hAnsi="Narkisim"/>
          <w:rtl/>
        </w:rPr>
        <w:lastRenderedPageBreak/>
        <w:t>פליג דנתמעט דאשה זו אינה מתגרשת. ויל"ד האם כוונת התוס' דמ"מ לא פליג בעיקר הדין האם מהני ע"י אביה. או דכוונתם דאף החסרון דמשלחה ואינה חוזרת שייך למעשה הגירושין</w:t>
      </w:r>
      <w:r w:rsidRPr="003124AA">
        <w:rPr>
          <w:rStyle w:val="ac"/>
          <w:rFonts w:ascii="Narkisim" w:hAnsi="Narkisim"/>
          <w:rtl/>
        </w:rPr>
        <w:footnoteReference w:id="7511"/>
      </w:r>
      <w:r w:rsidRPr="003124AA">
        <w:rPr>
          <w:rFonts w:ascii="Narkisim" w:hAnsi="Narkisim"/>
          <w:rtl/>
        </w:rPr>
        <w:t>.</w:t>
      </w:r>
    </w:p>
    <w:p w14:paraId="651642E9"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תוס' רי"ד</w:t>
      </w:r>
      <w:r w:rsidRPr="003124AA">
        <w:rPr>
          <w:rFonts w:ascii="Narkisim" w:hAnsi="Narkisim"/>
          <w:rtl/>
        </w:rPr>
        <w:t xml:space="preserve"> (גיטין סד:) חלק על רש"י דהחסרון משלחה ואינה חוזרת הוא דלא תיהוי לה יד לקבל גיטה. וביאר דאף דלא בעינן דעת אשה בגט, יד מיהא בעינן. אבל אביה לא נתמעט שלא יקבל את גיטה.</w:t>
      </w:r>
    </w:p>
    <w:p w14:paraId="2211CA2D" w14:textId="77777777" w:rsidR="006C4368" w:rsidRPr="003124AA" w:rsidRDefault="006C4368" w:rsidP="006C4368">
      <w:pPr>
        <w:pStyle w:val="a8"/>
        <w:bidi/>
        <w:rPr>
          <w:rFonts w:ascii="Narkisim" w:hAnsi="Narkisim"/>
        </w:rPr>
      </w:pPr>
      <w:r w:rsidRPr="003124AA">
        <w:rPr>
          <w:rFonts w:ascii="Narkisim" w:hAnsi="Narkisim"/>
          <w:rtl/>
        </w:rPr>
        <w:t>ועד"ז כת' ה</w:t>
      </w:r>
      <w:r w:rsidRPr="003124AA">
        <w:rPr>
          <w:rFonts w:ascii="Narkisim" w:hAnsi="Narkisim"/>
          <w:b/>
          <w:bCs/>
          <w:rtl/>
        </w:rPr>
        <w:t>רמב"ן</w:t>
      </w:r>
      <w:r w:rsidRPr="003124AA">
        <w:rPr>
          <w:rFonts w:ascii="Narkisim" w:hAnsi="Narkisim"/>
          <w:rtl/>
        </w:rPr>
        <w:t xml:space="preserve"> (קידושין מג:) דתלי בשמירת הגט, ולא בשמירת עצמה. וכיון דהאב מקבל את הגט אי"צ שמירתה.</w:t>
      </w:r>
    </w:p>
    <w:p w14:paraId="1F85D88C" w14:textId="77777777" w:rsidR="006C4368" w:rsidRPr="003124AA" w:rsidRDefault="006C4368" w:rsidP="006C4368">
      <w:pPr>
        <w:pStyle w:val="aa"/>
        <w:bidi/>
        <w:rPr>
          <w:rFonts w:ascii="Narkisim" w:hAnsi="Narkisim"/>
        </w:rPr>
      </w:pPr>
      <w:r w:rsidRPr="003124AA">
        <w:rPr>
          <w:rFonts w:ascii="Narkisim" w:hAnsi="Narkisim"/>
          <w:u w:val="single"/>
          <w:rtl/>
        </w:rPr>
        <w:t>בא"ד מירושלמי וכו' תלתא מילי א"ב וכו' ועוד א"ב יש לה אב ופעמים שוטה וכו'</w:t>
      </w:r>
      <w:r w:rsidRPr="003124AA">
        <w:rPr>
          <w:rFonts w:ascii="Narkisim" w:hAnsi="Narkisim"/>
          <w:rtl/>
        </w:rPr>
        <w:t>. בפשוטו משמע בירושלמי דנח' הני מ"ד, ומ"ד דאף בדיעבד שוטה אינה מתגרשת, א"כ בהני מהני אף לכתחילה. אבל ה</w:t>
      </w:r>
      <w:r w:rsidRPr="003124AA">
        <w:rPr>
          <w:rFonts w:ascii="Narkisim" w:hAnsi="Narkisim"/>
          <w:b/>
          <w:bCs/>
          <w:rtl/>
        </w:rPr>
        <w:t>ראשונים</w:t>
      </w:r>
      <w:r w:rsidRPr="003124AA">
        <w:rPr>
          <w:rFonts w:ascii="Narkisim" w:hAnsi="Narkisim"/>
          <w:rtl/>
        </w:rPr>
        <w:t xml:space="preserve"> דנו דתרוייהו איתנהו.</w:t>
      </w:r>
    </w:p>
    <w:p w14:paraId="6CD12F2D" w14:textId="77777777" w:rsidR="006C4368" w:rsidRPr="003124AA" w:rsidRDefault="006C4368" w:rsidP="006C4368">
      <w:pPr>
        <w:pStyle w:val="aa"/>
        <w:bidi/>
        <w:rPr>
          <w:rFonts w:ascii="Narkisim" w:hAnsi="Narkisim"/>
        </w:rPr>
      </w:pPr>
      <w:r w:rsidRPr="003124AA">
        <w:rPr>
          <w:rFonts w:ascii="Narkisim" w:hAnsi="Narkisim"/>
          <w:u w:val="single"/>
          <w:rtl/>
        </w:rPr>
        <w:t>בא"ד ופעמים שוטה וכו'</w:t>
      </w:r>
      <w:r w:rsidRPr="003124AA">
        <w:rPr>
          <w:rFonts w:ascii="Narkisim" w:hAnsi="Narkisim"/>
          <w:rtl/>
        </w:rPr>
        <w:t>. ה</w:t>
      </w:r>
      <w:r w:rsidRPr="003124AA">
        <w:rPr>
          <w:rFonts w:ascii="Narkisim" w:hAnsi="Narkisim"/>
          <w:b/>
          <w:bCs/>
          <w:rtl/>
        </w:rPr>
        <w:t xml:space="preserve">הג' אשר"י </w:t>
      </w:r>
      <w:r w:rsidRPr="003124AA">
        <w:rPr>
          <w:rFonts w:ascii="Narkisim" w:hAnsi="Narkisim"/>
          <w:rtl/>
        </w:rPr>
        <w:t>כת' דדוקא קבוע. אבל באקראי בעלמא, דנשטית ונתרפאית, נשטית ונתרפאת אין לנו לחוש שתחזור לשטותה מחמת ב' פעמים. וכה”ג לא מקרי עתים שוטה. הואיל ואית לה וסת.</w:t>
      </w:r>
    </w:p>
    <w:p w14:paraId="300BB3A8" w14:textId="77777777" w:rsidR="006C4368" w:rsidRPr="003124AA" w:rsidRDefault="006C4368" w:rsidP="006C4368">
      <w:pPr>
        <w:pStyle w:val="aa"/>
        <w:bidi/>
        <w:rPr>
          <w:rFonts w:ascii="Narkisim" w:hAnsi="Narkisim"/>
        </w:rPr>
      </w:pPr>
      <w:r w:rsidRPr="003124AA">
        <w:rPr>
          <w:rFonts w:ascii="Narkisim" w:hAnsi="Narkisim"/>
          <w:u w:val="single"/>
          <w:rtl/>
        </w:rPr>
        <w:t>אמר אביי דיקא נמי וכו' לא יוציא עולמית</w:t>
      </w:r>
      <w:r w:rsidRPr="003124AA">
        <w:rPr>
          <w:rStyle w:val="ac"/>
          <w:rFonts w:ascii="Narkisim" w:hAnsi="Narkisim"/>
          <w:rtl/>
        </w:rPr>
        <w:footnoteReference w:id="7512"/>
      </w:r>
      <w:r w:rsidRPr="003124AA">
        <w:rPr>
          <w:rFonts w:ascii="Narkisim" w:hAnsi="Narkisim"/>
          <w:rtl/>
        </w:rPr>
        <w:t>. ה</w:t>
      </w:r>
      <w:r w:rsidRPr="003124AA">
        <w:rPr>
          <w:rFonts w:ascii="Narkisim" w:hAnsi="Narkisim"/>
          <w:b/>
          <w:bCs/>
          <w:rtl/>
        </w:rPr>
        <w:t>ריטב"א</w:t>
      </w:r>
      <w:r w:rsidRPr="003124AA">
        <w:rPr>
          <w:rFonts w:ascii="Narkisim" w:hAnsi="Narkisim"/>
          <w:rtl/>
        </w:rPr>
        <w:t xml:space="preserve"> פי' דמשום שאין גירושיו כלום מן התורה קתני לשון עולמית, שאין לגרושיו תקנתא עולמית. שאפי' נשאת בגט זה ויש לה כמה בנים תצא, משא"כ באשה שוטה בדיעבד אם נשאת לא תצא. ואפשר שאפי' נתגרשה תנשא לכתחילה.</w:t>
      </w:r>
    </w:p>
    <w:p w14:paraId="4BF7F37F" w14:textId="77777777" w:rsidR="006C4368" w:rsidRPr="003124AA" w:rsidRDefault="006C4368" w:rsidP="006C4368">
      <w:pPr>
        <w:bidi/>
        <w:rPr>
          <w:rFonts w:ascii="Narkisim" w:hAnsi="Narkisim" w:cs="Narkisim"/>
        </w:rPr>
      </w:pPr>
      <w:r w:rsidRPr="003124AA">
        <w:rPr>
          <w:rFonts w:ascii="Narkisim" w:hAnsi="Narkisim" w:cs="Narkisim"/>
          <w:u w:val="single"/>
          <w:rtl/>
        </w:rPr>
        <w:t>איבע"ל ר"י בן נורי וכו' או דלמא אשה פשיט"ל ואיש קמיבעיא ליה</w:t>
      </w:r>
      <w:r w:rsidRPr="003124AA">
        <w:rPr>
          <w:rFonts w:ascii="Narkisim" w:hAnsi="Narkisim" w:cs="Narkisim"/>
          <w:rtl/>
        </w:rPr>
        <w:t>. ולצד זה ס"ד דנתחרש יש לו דעת לגרש [והק' מ"ט שהאיש שנתחרש אינו מוציא, ומ”ש מהאשה שנתחרשה. ובזה השיבו לו</w:t>
      </w:r>
      <w:r w:rsidRPr="003124AA">
        <w:rPr>
          <w:rStyle w:val="ac"/>
          <w:rFonts w:ascii="Narkisim" w:hAnsi="Narkisim" w:cs="Narkisim"/>
          <w:rtl/>
        </w:rPr>
        <w:footnoteReference w:id="7513"/>
      </w:r>
      <w:r w:rsidRPr="003124AA">
        <w:rPr>
          <w:rFonts w:ascii="Narkisim" w:hAnsi="Narkisim" w:cs="Narkisim"/>
          <w:rtl/>
        </w:rPr>
        <w:t xml:space="preserve"> דאיש אינו מוציא אלא לרצונו]. [אך לפ"ז צריך ליישב המשך המשנה דהביאו עדות דר' יוחנן בן גודגדא].</w:t>
      </w:r>
    </w:p>
    <w:p w14:paraId="02452336" w14:textId="77777777" w:rsidR="006C4368" w:rsidRPr="003124AA" w:rsidRDefault="006C4368" w:rsidP="006C4368">
      <w:pPr>
        <w:bidi/>
        <w:rPr>
          <w:rFonts w:ascii="Narkisim" w:hAnsi="Narkisim" w:cs="Narkisim"/>
        </w:rPr>
      </w:pPr>
      <w:r w:rsidRPr="003124AA">
        <w:rPr>
          <w:rFonts w:ascii="Narkisim" w:hAnsi="Narkisim" w:cs="Narkisim"/>
          <w:u w:val="single"/>
          <w:rtl/>
        </w:rPr>
        <w:t>לדבריהם קאמר להו, לדידי כי היכי דאיש לא מצי מגרש, אשה נמי ל"מ מיגרשה וכו'</w:t>
      </w:r>
      <w:r w:rsidRPr="003124AA">
        <w:rPr>
          <w:rFonts w:ascii="Narkisim" w:hAnsi="Narkisim" w:cs="Narkisim"/>
          <w:rtl/>
        </w:rPr>
        <w:t xml:space="preserve">. </w:t>
      </w:r>
      <w:r w:rsidRPr="003124AA">
        <w:rPr>
          <w:rFonts w:ascii="Narkisim" w:hAnsi="Narkisim" w:cs="Narkisim"/>
          <w:b/>
          <w:bCs/>
          <w:rtl/>
        </w:rPr>
        <w:t>תוס'</w:t>
      </w:r>
      <w:r w:rsidRPr="003124AA">
        <w:rPr>
          <w:rFonts w:ascii="Narkisim" w:hAnsi="Narkisim" w:cs="Narkisim"/>
          <w:rtl/>
        </w:rPr>
        <w:t xml:space="preserve"> (קיב: ד"ה העיד) כת' דסברת ר"י בן נורי דבשעת נתינת הגט אינה מבינה, ומשלחה וחוזרת. [והוה תנאי בגירושין שיהא משלחה ואינה חוזרת]. וק"ק דאף לדבריו לא דמי לאיש, דבעינן דעת לחלות הגירושין.</w:t>
      </w:r>
    </w:p>
    <w:p w14:paraId="31647A74" w14:textId="77777777" w:rsidR="006C4368" w:rsidRPr="003124AA" w:rsidRDefault="006C4368" w:rsidP="006C4368">
      <w:pPr>
        <w:bidi/>
        <w:rPr>
          <w:rFonts w:ascii="Narkisim" w:hAnsi="Narkisim" w:cs="Narkisim"/>
        </w:rPr>
      </w:pPr>
      <w:r w:rsidRPr="003124AA">
        <w:rPr>
          <w:rFonts w:ascii="Narkisim" w:hAnsi="Narkisim" w:cs="Narkisim"/>
          <w:u w:val="single"/>
          <w:rtl/>
        </w:rPr>
        <w:t>אמר רבא וכו' אמר לעדים ראו גט זה שאני נותן, ואמר לה כנסי שט"ח זה, הר"ז מגורשת</w:t>
      </w:r>
      <w:r w:rsidRPr="003124AA">
        <w:rPr>
          <w:rFonts w:ascii="Narkisim" w:hAnsi="Narkisim" w:cs="Narkisim"/>
          <w:rtl/>
        </w:rPr>
        <w:t>. ב</w:t>
      </w:r>
      <w:r w:rsidRPr="003124AA">
        <w:rPr>
          <w:rFonts w:ascii="Narkisim" w:hAnsi="Narkisim" w:cs="Narkisim"/>
          <w:b/>
          <w:bCs/>
          <w:rtl/>
        </w:rPr>
        <w:t>תוס' חד מקמאי</w:t>
      </w:r>
      <w:r w:rsidRPr="003124AA">
        <w:rPr>
          <w:rFonts w:ascii="Narkisim" w:hAnsi="Narkisim" w:cs="Narkisim"/>
          <w:rtl/>
        </w:rPr>
        <w:t xml:space="preserve"> כת' דדוקא שאמר לעדים ראו גט זה, דאל"כ אינה מגורשת, וכד</w:t>
      </w:r>
      <w:r w:rsidRPr="003124AA">
        <w:rPr>
          <w:rFonts w:ascii="Narkisim" w:hAnsi="Narkisim" w:cs="Narkisim"/>
          <w:b/>
          <w:bCs/>
          <w:rtl/>
        </w:rPr>
        <w:t>תנן</w:t>
      </w:r>
      <w:r w:rsidRPr="003124AA">
        <w:rPr>
          <w:rFonts w:ascii="Narkisim" w:hAnsi="Narkisim" w:cs="Narkisim"/>
          <w:rtl/>
        </w:rPr>
        <w:t xml:space="preserve"> (גיטין עח.) דאם נתן לה ואמר לה כנסי שט"ח זה אינה מגורשת עד שיאמר הא גיטך.</w:t>
      </w:r>
    </w:p>
    <w:p w14:paraId="76BA7195" w14:textId="77777777" w:rsidR="006C4368" w:rsidRPr="003124AA" w:rsidRDefault="006C4368" w:rsidP="006C4368">
      <w:pPr>
        <w:pStyle w:val="a7"/>
        <w:bidi/>
        <w:rPr>
          <w:rFonts w:ascii="Narkisim" w:hAnsi="Narkisim"/>
        </w:rPr>
      </w:pPr>
      <w:r w:rsidRPr="003124AA">
        <w:rPr>
          <w:rFonts w:ascii="Narkisim" w:hAnsi="Narkisim"/>
          <w:rtl/>
        </w:rPr>
        <w:t>ו</w:t>
      </w:r>
      <w:r w:rsidRPr="003124AA">
        <w:rPr>
          <w:rFonts w:ascii="Narkisim" w:hAnsi="Narkisim"/>
          <w:b/>
          <w:bCs/>
          <w:rtl/>
        </w:rPr>
        <w:t>תוס</w:t>
      </w:r>
      <w:r w:rsidRPr="003124AA">
        <w:rPr>
          <w:rFonts w:ascii="Narkisim" w:hAnsi="Narkisim"/>
          <w:rtl/>
        </w:rPr>
        <w:t>' (שם) פי' דבעינן שיאמר הא גיטך והרי את מותרת, שתדע שהיא מגורשת ולא תהא חוזרת. דבעינן שיהא משלחה ואינה חוזרת (וכדלעיל). ו</w:t>
      </w:r>
      <w:r w:rsidRPr="003124AA">
        <w:rPr>
          <w:rFonts w:ascii="Narkisim" w:hAnsi="Narkisim"/>
          <w:b/>
          <w:bCs/>
          <w:rtl/>
        </w:rPr>
        <w:t>תוס'</w:t>
      </w:r>
      <w:r w:rsidRPr="003124AA">
        <w:rPr>
          <w:rFonts w:ascii="Narkisim" w:hAnsi="Narkisim"/>
          <w:rtl/>
        </w:rPr>
        <w:t xml:space="preserve"> פי' דבסוגיין העדים יגידו לה אח"כ</w:t>
      </w:r>
      <w:r w:rsidRPr="003124AA">
        <w:rPr>
          <w:rStyle w:val="ac"/>
          <w:rFonts w:ascii="Narkisim" w:hAnsi="Narkisim"/>
          <w:rtl/>
        </w:rPr>
        <w:footnoteReference w:id="7514"/>
      </w:r>
      <w:r w:rsidRPr="003124AA">
        <w:rPr>
          <w:rFonts w:ascii="Narkisim" w:hAnsi="Narkisim"/>
          <w:rtl/>
        </w:rPr>
        <w:t>, ומש”ה משלחה ואינה חוזרת</w:t>
      </w:r>
      <w:r w:rsidRPr="003124AA">
        <w:rPr>
          <w:rStyle w:val="ac"/>
          <w:rFonts w:ascii="Narkisim" w:hAnsi="Narkisim"/>
          <w:rtl/>
        </w:rPr>
        <w:footnoteReference w:id="7515"/>
      </w:r>
      <w:r w:rsidRPr="003124AA">
        <w:rPr>
          <w:rFonts w:ascii="Narkisim" w:hAnsi="Narkisim"/>
          <w:rtl/>
        </w:rPr>
        <w:t>.</w:t>
      </w:r>
    </w:p>
    <w:p w14:paraId="69A44FDF" w14:textId="77777777" w:rsidR="006C4368" w:rsidRPr="003124AA" w:rsidRDefault="006C4368" w:rsidP="006C4368">
      <w:pPr>
        <w:pStyle w:val="a7"/>
        <w:bidi/>
        <w:rPr>
          <w:rFonts w:ascii="Narkisim" w:hAnsi="Narkisim"/>
        </w:rPr>
      </w:pPr>
      <w:r w:rsidRPr="003124AA">
        <w:rPr>
          <w:rFonts w:ascii="Narkisim" w:hAnsi="Narkisim"/>
          <w:rtl/>
        </w:rPr>
        <w:t xml:space="preserve">ושאר </w:t>
      </w:r>
      <w:r w:rsidRPr="003124AA">
        <w:rPr>
          <w:rFonts w:ascii="Narkisim" w:hAnsi="Narkisim"/>
          <w:b/>
          <w:bCs/>
          <w:rtl/>
        </w:rPr>
        <w:t>ראשונים</w:t>
      </w:r>
      <w:r w:rsidRPr="003124AA">
        <w:rPr>
          <w:rFonts w:ascii="Narkisim" w:hAnsi="Narkisim"/>
          <w:rtl/>
        </w:rPr>
        <w:t xml:space="preserve"> (גיטין שם) ביארו דהחסרון כשאמר כנסי שטר חוב משום שהבעל לא נתכוון לנתינת הגט</w:t>
      </w:r>
      <w:r w:rsidRPr="003124AA">
        <w:rPr>
          <w:rStyle w:val="ac"/>
          <w:rFonts w:ascii="Narkisim" w:hAnsi="Narkisim"/>
          <w:rtl/>
        </w:rPr>
        <w:footnoteReference w:id="7516"/>
      </w:r>
      <w:r w:rsidRPr="003124AA">
        <w:rPr>
          <w:rFonts w:ascii="Narkisim" w:hAnsi="Narkisim"/>
          <w:rtl/>
        </w:rPr>
        <w:t>. וב</w:t>
      </w:r>
      <w:r w:rsidRPr="003124AA">
        <w:rPr>
          <w:rFonts w:ascii="Narkisim" w:hAnsi="Narkisim"/>
          <w:b/>
          <w:bCs/>
          <w:rtl/>
        </w:rPr>
        <w:t>תוס' חד מקמאי</w:t>
      </w:r>
      <w:r w:rsidRPr="003124AA">
        <w:rPr>
          <w:rFonts w:ascii="Narkisim" w:hAnsi="Narkisim"/>
          <w:rtl/>
        </w:rPr>
        <w:t xml:space="preserve"> פי' דבמשנה (שם) כיון שאמר כנסי שטר חוב אמרי' דבטולי בטלי. [וכס"ד דהגמ' בסמוך. קמ"ל דהיכא דאמר לעדים לא אמרי' דבטליה]. ועוד כת' דהיכא נתן לה סתם ולא היו עסוקים באותו הענין חיישינן שהבעל לא נתכוון לשם נתינת </w:t>
      </w:r>
      <w:r w:rsidRPr="003124AA">
        <w:rPr>
          <w:rFonts w:ascii="Narkisim" w:hAnsi="Narkisim"/>
          <w:rtl/>
        </w:rPr>
        <w:lastRenderedPageBreak/>
        <w:t>הגט</w:t>
      </w:r>
      <w:r w:rsidRPr="003124AA">
        <w:rPr>
          <w:rStyle w:val="ac"/>
          <w:rFonts w:ascii="Narkisim" w:hAnsi="Narkisim"/>
          <w:rtl/>
        </w:rPr>
        <w:footnoteReference w:id="7517"/>
      </w:r>
      <w:r w:rsidRPr="003124AA">
        <w:rPr>
          <w:rFonts w:ascii="Narkisim" w:hAnsi="Narkisim"/>
          <w:rtl/>
        </w:rPr>
        <w:t>. וה</w:t>
      </w:r>
      <w:r w:rsidRPr="003124AA">
        <w:rPr>
          <w:rFonts w:ascii="Narkisim" w:hAnsi="Narkisim"/>
          <w:b/>
          <w:bCs/>
          <w:rtl/>
        </w:rPr>
        <w:t>רשב"א</w:t>
      </w:r>
      <w:r w:rsidRPr="003124AA">
        <w:rPr>
          <w:rFonts w:ascii="Narkisim" w:hAnsi="Narkisim"/>
          <w:rtl/>
        </w:rPr>
        <w:t xml:space="preserve"> (כאן) כת' דבעינן שיאמר לעדים [או עסוקין באותו הענין], כדאי' (קידושין ו. ותניא בתוספתא) דבגיטין</w:t>
      </w:r>
      <w:r w:rsidRPr="003124AA">
        <w:rPr>
          <w:rStyle w:val="ac"/>
          <w:rFonts w:ascii="Narkisim" w:hAnsi="Narkisim"/>
          <w:rtl/>
        </w:rPr>
        <w:footnoteReference w:id="7518"/>
      </w:r>
      <w:r w:rsidRPr="003124AA">
        <w:rPr>
          <w:rFonts w:ascii="Narkisim" w:hAnsi="Narkisim"/>
          <w:rtl/>
        </w:rPr>
        <w:t xml:space="preserve"> וקידושין בעינן עסוקין באותו הענין</w:t>
      </w:r>
      <w:r w:rsidRPr="003124AA">
        <w:rPr>
          <w:rStyle w:val="ac"/>
          <w:rFonts w:ascii="Narkisim" w:hAnsi="Narkisim"/>
          <w:rtl/>
        </w:rPr>
        <w:footnoteReference w:id="7519"/>
      </w:r>
      <w:r w:rsidRPr="003124AA">
        <w:rPr>
          <w:rFonts w:ascii="Narkisim" w:hAnsi="Narkisim"/>
          <w:rtl/>
        </w:rPr>
        <w:t xml:space="preserve"> או שיפרש</w:t>
      </w:r>
      <w:r w:rsidRPr="003124AA">
        <w:rPr>
          <w:rStyle w:val="ac"/>
          <w:rFonts w:ascii="Narkisim" w:hAnsi="Narkisim"/>
          <w:rtl/>
        </w:rPr>
        <w:footnoteReference w:id="7520"/>
      </w:r>
      <w:r w:rsidRPr="003124AA">
        <w:rPr>
          <w:rFonts w:ascii="Narkisim" w:hAnsi="Narkisim"/>
          <w:rtl/>
        </w:rPr>
        <w:t>.</w:t>
      </w:r>
    </w:p>
    <w:p w14:paraId="5F9909D5"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בעה"מ</w:t>
      </w:r>
      <w:r w:rsidRPr="003124AA">
        <w:rPr>
          <w:rFonts w:ascii="Narkisim" w:hAnsi="Narkisim"/>
          <w:rtl/>
        </w:rPr>
        <w:t xml:space="preserve"> (גיטין שם מ. בדה”ר) ביאר דבעינן שיוציא הבעל השילוחין מפיו אחרי הכתיבה, בענין שיתבונן הדבר לעדים או לאשה. וקמ"ל בסוגיין דסגי שפירש הדבר לעדים, ואי"צ דעת האשה. וכן בחרשת [אע"פ שאינה שומעת דבריו] די לנו בשמיעת העדים</w:t>
      </w:r>
      <w:r w:rsidRPr="003124AA">
        <w:rPr>
          <w:rStyle w:val="ac"/>
          <w:rFonts w:ascii="Narkisim" w:hAnsi="Narkisim"/>
          <w:rtl/>
        </w:rPr>
        <w:footnoteReference w:id="7521"/>
      </w:r>
      <w:r w:rsidRPr="003124AA">
        <w:rPr>
          <w:rFonts w:ascii="Narkisim" w:hAnsi="Narkisim"/>
          <w:rtl/>
        </w:rPr>
        <w:t>.</w:t>
      </w:r>
    </w:p>
    <w:p w14:paraId="0D1B18D5" w14:textId="77777777" w:rsidR="006C4368" w:rsidRPr="003124AA" w:rsidRDefault="006C4368" w:rsidP="006C4368">
      <w:pPr>
        <w:bidi/>
        <w:rPr>
          <w:rFonts w:ascii="Narkisim" w:hAnsi="Narkisim" w:cs="Narkisim"/>
        </w:rPr>
      </w:pPr>
      <w:r w:rsidRPr="003124AA">
        <w:rPr>
          <w:rFonts w:ascii="Narkisim" w:hAnsi="Narkisim" w:cs="Narkisim"/>
          <w:u w:val="single"/>
          <w:rtl/>
        </w:rPr>
        <w:t>מהד"ת מדא”ל כנסי שט"ח זה בטולי בטליה וכו'</w:t>
      </w:r>
      <w:r w:rsidRPr="003124AA">
        <w:rPr>
          <w:rFonts w:ascii="Narkisim" w:hAnsi="Narkisim" w:cs="Narkisim"/>
          <w:rtl/>
        </w:rPr>
        <w:t>. בפשוטו משמע שביטל את הגט [ולכאורה תלי במח' (גיטין לב:) אי חוזר ומגרש בו. אך קשה דבמשנה (שם עח:) מבואר דכשאמר כנסי שטר חוב מהני שאומר אח"כ הא גיטך</w:t>
      </w:r>
      <w:r w:rsidRPr="003124AA">
        <w:rPr>
          <w:rStyle w:val="ac"/>
          <w:rFonts w:ascii="Narkisim" w:hAnsi="Narkisim" w:cs="Narkisim"/>
          <w:rtl/>
        </w:rPr>
        <w:footnoteReference w:id="7522"/>
      </w:r>
      <w:r w:rsidRPr="003124AA">
        <w:rPr>
          <w:rFonts w:ascii="Narkisim" w:hAnsi="Narkisim" w:cs="Narkisim"/>
          <w:rtl/>
        </w:rPr>
        <w:t>. וה</w:t>
      </w:r>
      <w:r w:rsidRPr="003124AA">
        <w:rPr>
          <w:rFonts w:ascii="Narkisim" w:hAnsi="Narkisim" w:cs="Narkisim"/>
          <w:b/>
          <w:bCs/>
          <w:rtl/>
        </w:rPr>
        <w:t>ראשונים</w:t>
      </w:r>
      <w:r w:rsidRPr="003124AA">
        <w:rPr>
          <w:rFonts w:ascii="Narkisim" w:hAnsi="Narkisim" w:cs="Narkisim"/>
          <w:rtl/>
        </w:rPr>
        <w:t xml:space="preserve"> (רמב”ן ושא”ר גיטין שם, ועד”ז משמע ברמב”ם שם א ט) ביארו דאמרי' דבטולי בטליה לנתינה זו, שלא תהא נתינת גט, אלא למשחק. ולא ביטל את גוף הגט.</w:t>
      </w:r>
    </w:p>
    <w:p w14:paraId="63945ECC" w14:textId="77777777" w:rsidR="006C4368" w:rsidRPr="003124AA" w:rsidRDefault="006C4368" w:rsidP="006C4368">
      <w:pPr>
        <w:pStyle w:val="aa"/>
        <w:bidi/>
        <w:rPr>
          <w:rFonts w:ascii="Narkisim" w:hAnsi="Narkisim"/>
        </w:rPr>
      </w:pPr>
      <w:r w:rsidRPr="003124AA">
        <w:rPr>
          <w:rFonts w:ascii="Narkisim" w:hAnsi="Narkisim"/>
          <w:u w:val="single"/>
          <w:rtl/>
        </w:rPr>
        <w:t>תוד"ה אמר רבא</w:t>
      </w:r>
      <w:r w:rsidRPr="003124AA">
        <w:rPr>
          <w:rFonts w:ascii="Narkisim" w:hAnsi="Narkisim"/>
          <w:rtl/>
        </w:rPr>
        <w:t>. ועוד משום דכל עדות הלכה היא. יש שציינו דכוונת התוס' להא דאי' (קידושין נד: וכ"מ) דהלכה כחד תנא, הואיל ותנן בבחירתא (מסכת עדיות) כוותיה</w:t>
      </w:r>
      <w:r w:rsidRPr="003124AA">
        <w:rPr>
          <w:rStyle w:val="ac"/>
          <w:rFonts w:ascii="Narkisim" w:hAnsi="Narkisim"/>
          <w:rtl/>
        </w:rPr>
        <w:footnoteReference w:id="7523"/>
      </w:r>
      <w:r w:rsidRPr="003124AA">
        <w:rPr>
          <w:rFonts w:ascii="Narkisim" w:hAnsi="Narkisim"/>
          <w:rtl/>
        </w:rPr>
        <w:t>. ואף משנה זו תנן (עדיות ז ט). אך משמעות התוס' דכל היכא דהוזכר בש"ס בלשון עדות קי"ל כוותיה</w:t>
      </w:r>
      <w:r w:rsidRPr="003124AA">
        <w:rPr>
          <w:rStyle w:val="ac"/>
          <w:rFonts w:ascii="Narkisim" w:hAnsi="Narkisim"/>
          <w:rtl/>
        </w:rPr>
        <w:footnoteReference w:id="7524"/>
      </w:r>
      <w:r w:rsidRPr="003124AA">
        <w:rPr>
          <w:rFonts w:ascii="Narkisim" w:hAnsi="Narkisim"/>
          <w:rtl/>
        </w:rPr>
        <w:t>.</w:t>
      </w:r>
    </w:p>
    <w:p w14:paraId="4E059385" w14:textId="77777777" w:rsidR="006C4368" w:rsidRPr="003124AA" w:rsidRDefault="006C4368" w:rsidP="006C4368">
      <w:pPr>
        <w:pStyle w:val="3"/>
        <w:bidi/>
        <w:rPr>
          <w:rFonts w:ascii="Narkisim" w:hAnsi="Narkisim"/>
        </w:rPr>
      </w:pPr>
      <w:r w:rsidRPr="003124AA">
        <w:rPr>
          <w:rFonts w:ascii="Narkisim" w:hAnsi="Narkisim"/>
          <w:rtl/>
        </w:rPr>
        <w:t>דף קיד.</w:t>
      </w:r>
    </w:p>
    <w:p w14:paraId="46F9463C" w14:textId="77777777" w:rsidR="006C4368" w:rsidRPr="003124AA" w:rsidRDefault="006C4368" w:rsidP="006C4368">
      <w:pPr>
        <w:pStyle w:val="2"/>
        <w:bidi/>
        <w:rPr>
          <w:rFonts w:ascii="Narkisim" w:hAnsi="Narkisim"/>
        </w:rPr>
      </w:pPr>
      <w:r w:rsidRPr="003124AA">
        <w:rPr>
          <w:rFonts w:ascii="Narkisim" w:hAnsi="Narkisim"/>
          <w:rtl/>
        </w:rPr>
        <w:t>קטן אוכל נבילות</w:t>
      </w:r>
    </w:p>
    <w:p w14:paraId="64083B5E" w14:textId="77777777" w:rsidR="006C4368" w:rsidRPr="003124AA" w:rsidRDefault="006C4368" w:rsidP="006C4368">
      <w:pPr>
        <w:pStyle w:val="aa"/>
        <w:bidi/>
        <w:rPr>
          <w:rFonts w:ascii="Narkisim" w:hAnsi="Narkisim"/>
        </w:rPr>
      </w:pPr>
      <w:r w:rsidRPr="003124AA">
        <w:rPr>
          <w:rFonts w:ascii="Narkisim" w:hAnsi="Narkisim"/>
          <w:u w:val="single"/>
          <w:rtl/>
        </w:rPr>
        <w:t>דבר טלי וטליא וכו'</w:t>
      </w:r>
      <w:r w:rsidRPr="003124AA">
        <w:rPr>
          <w:rFonts w:ascii="Narkisim" w:hAnsi="Narkisim"/>
          <w:rtl/>
        </w:rPr>
        <w:t>. ה</w:t>
      </w:r>
      <w:r w:rsidRPr="003124AA">
        <w:rPr>
          <w:rFonts w:ascii="Narkisim" w:hAnsi="Narkisim"/>
          <w:b/>
          <w:bCs/>
          <w:rtl/>
        </w:rPr>
        <w:t>שבלי הלקט</w:t>
      </w:r>
      <w:r w:rsidRPr="003124AA">
        <w:rPr>
          <w:rFonts w:ascii="Narkisim" w:hAnsi="Narkisim"/>
          <w:rtl/>
        </w:rPr>
        <w:t xml:space="preserve"> (הו' בב"י ורמ"א שסב ז) כת' דעדיף להוליך שם תינוקות שיביאו הדבר, מלעשות מחיצה של בני אדם (ע"ד הא דאי' עירובין מג:) ושיביאנו גדול.</w:t>
      </w:r>
    </w:p>
    <w:p w14:paraId="2ADA819B" w14:textId="77777777" w:rsidR="006C4368" w:rsidRPr="003124AA" w:rsidRDefault="006C4368" w:rsidP="006C4368">
      <w:pPr>
        <w:bidi/>
        <w:rPr>
          <w:rFonts w:ascii="Narkisim" w:hAnsi="Narkisim" w:cs="Narkisim"/>
        </w:rPr>
      </w:pPr>
      <w:r w:rsidRPr="003124AA">
        <w:rPr>
          <w:rFonts w:ascii="Narkisim" w:hAnsi="Narkisim" w:cs="Narkisim"/>
          <w:u w:val="single"/>
          <w:rtl/>
        </w:rPr>
        <w:t>אלמא קסבר קטן אוכל נבלות, אין בי"ד</w:t>
      </w:r>
      <w:r w:rsidRPr="003124AA">
        <w:rPr>
          <w:rStyle w:val="ac"/>
          <w:rFonts w:ascii="Narkisim" w:hAnsi="Narkisim" w:cs="Narkisim"/>
          <w:u w:val="single"/>
          <w:rtl/>
        </w:rPr>
        <w:footnoteReference w:id="7525"/>
      </w:r>
      <w:r w:rsidRPr="003124AA">
        <w:rPr>
          <w:rFonts w:ascii="Narkisim" w:hAnsi="Narkisim" w:cs="Narkisim"/>
          <w:u w:val="single"/>
          <w:rtl/>
        </w:rPr>
        <w:t xml:space="preserve"> מצווין להפרישו וכו'</w:t>
      </w:r>
      <w:r w:rsidRPr="003124AA">
        <w:rPr>
          <w:rFonts w:ascii="Narkisim" w:hAnsi="Narkisim" w:cs="Narkisim"/>
          <w:rtl/>
        </w:rPr>
        <w:t>. ה</w:t>
      </w:r>
      <w:r w:rsidRPr="003124AA">
        <w:rPr>
          <w:rFonts w:ascii="Narkisim" w:hAnsi="Narkisim" w:cs="Narkisim"/>
          <w:b/>
          <w:bCs/>
          <w:rtl/>
        </w:rPr>
        <w:t>תה”ד</w:t>
      </w:r>
      <w:r w:rsidRPr="003124AA">
        <w:rPr>
          <w:rFonts w:ascii="Narkisim" w:hAnsi="Narkisim" w:cs="Narkisim"/>
          <w:rtl/>
        </w:rPr>
        <w:t xml:space="preserve"> (ב סב) הוכיח מסוגיין דאין שום עונש על מה שעשה בקטנותו</w:t>
      </w:r>
      <w:r w:rsidRPr="003124AA">
        <w:rPr>
          <w:rStyle w:val="ac"/>
          <w:rFonts w:ascii="Narkisim" w:hAnsi="Narkisim" w:cs="Narkisim"/>
          <w:rtl/>
        </w:rPr>
        <w:footnoteReference w:id="7526"/>
      </w:r>
      <w:r w:rsidRPr="003124AA">
        <w:rPr>
          <w:rFonts w:ascii="Narkisim" w:hAnsi="Narkisim" w:cs="Narkisim"/>
          <w:rtl/>
        </w:rPr>
        <w:t xml:space="preserve">. דאי יש בזה עונש, מ”ט אי"צ להפרישו מהעונש. </w:t>
      </w:r>
      <w:r w:rsidRPr="003124AA">
        <w:rPr>
          <w:rFonts w:ascii="Narkisim" w:hAnsi="Narkisim" w:cs="Narkisim"/>
          <w:szCs w:val="20"/>
          <w:rtl/>
        </w:rPr>
        <w:t>והביא דבגמ' (לעיל לג.) מבואר דחל האיסור [לענין אין איסור חל על איסור] בשעה שהביא שערות, ואין שום עונש ואזהרה עליו אפי' שעה א' קודם שהביא שערות</w:t>
      </w:r>
      <w:r w:rsidRPr="003124AA">
        <w:rPr>
          <w:rStyle w:val="ac"/>
          <w:rFonts w:ascii="Narkisim" w:hAnsi="Narkisim" w:cs="Narkisim"/>
          <w:szCs w:val="20"/>
          <w:rtl/>
        </w:rPr>
        <w:footnoteReference w:id="7527"/>
      </w:r>
      <w:r w:rsidRPr="003124AA">
        <w:rPr>
          <w:rFonts w:ascii="Narkisim" w:hAnsi="Narkisim" w:cs="Narkisim"/>
          <w:szCs w:val="20"/>
          <w:rtl/>
        </w:rPr>
        <w:t xml:space="preserve">. </w:t>
      </w:r>
      <w:r w:rsidRPr="003124AA">
        <w:rPr>
          <w:rFonts w:ascii="Narkisim" w:hAnsi="Narkisim" w:cs="Narkisim"/>
          <w:rtl/>
        </w:rPr>
        <w:t>אך כת' דמ"מ משמע בכמה דוכתי דהוה סימן רע לקטן שיוצא מכשולות מתחת ידו.</w:t>
      </w:r>
    </w:p>
    <w:p w14:paraId="1BAAE5D6" w14:textId="77777777" w:rsidR="006C4368" w:rsidRPr="003124AA" w:rsidRDefault="006C4368" w:rsidP="006C4368">
      <w:pPr>
        <w:pStyle w:val="aa"/>
        <w:bidi/>
        <w:rPr>
          <w:rFonts w:ascii="Narkisim" w:hAnsi="Narkisim"/>
        </w:rPr>
      </w:pPr>
      <w:r w:rsidRPr="003124AA">
        <w:rPr>
          <w:rFonts w:ascii="Narkisim" w:hAnsi="Narkisim"/>
          <w:rtl/>
        </w:rPr>
        <w:lastRenderedPageBreak/>
        <w:t>וה</w:t>
      </w:r>
      <w:r w:rsidRPr="003124AA">
        <w:rPr>
          <w:rFonts w:ascii="Narkisim" w:hAnsi="Narkisim"/>
          <w:b/>
          <w:bCs/>
          <w:rtl/>
        </w:rPr>
        <w:t>אחרונים</w:t>
      </w:r>
      <w:r w:rsidRPr="003124AA">
        <w:rPr>
          <w:rFonts w:ascii="Narkisim" w:hAnsi="Narkisim"/>
          <w:rtl/>
        </w:rPr>
        <w:t xml:space="preserve"> הביאו דבגמ' (סנהדרין נה:) מבואר דקטן נחשב תקלה וקלון, אלא דרחמנא חס עליה. [ע' קה”י לא].</w:t>
      </w:r>
    </w:p>
    <w:p w14:paraId="06400402" w14:textId="77777777" w:rsidR="006C4368" w:rsidRPr="003124AA" w:rsidRDefault="006C4368" w:rsidP="006C4368">
      <w:pPr>
        <w:bidi/>
        <w:rPr>
          <w:rFonts w:ascii="Narkisim" w:hAnsi="Narkisim" w:cs="Narkisim"/>
        </w:rPr>
      </w:pPr>
      <w:r w:rsidRPr="003124AA">
        <w:rPr>
          <w:rFonts w:ascii="Narkisim" w:hAnsi="Narkisim" w:cs="Narkisim"/>
          <w:rtl/>
        </w:rPr>
        <w:t>וב</w:t>
      </w:r>
      <w:r w:rsidRPr="003124AA">
        <w:rPr>
          <w:rFonts w:ascii="Narkisim" w:hAnsi="Narkisim" w:cs="Narkisim"/>
          <w:b/>
          <w:bCs/>
          <w:rtl/>
        </w:rPr>
        <w:t>גמ'</w:t>
      </w:r>
      <w:r w:rsidRPr="003124AA">
        <w:rPr>
          <w:rFonts w:ascii="Narkisim" w:hAnsi="Narkisim" w:cs="Narkisim"/>
          <w:rtl/>
        </w:rPr>
        <w:t xml:space="preserve"> (בסוה"ע) משמע דהצד דמצווין להפרישו הוא משום דילפי' מ'לא תאכילום'. ואילו מסברא היה מותר אף להאכילו בידים. וה</w:t>
      </w:r>
      <w:r w:rsidRPr="003124AA">
        <w:rPr>
          <w:rFonts w:ascii="Narkisim" w:hAnsi="Narkisim" w:cs="Narkisim"/>
          <w:b/>
          <w:bCs/>
          <w:rtl/>
        </w:rPr>
        <w:t>תה"ד</w:t>
      </w:r>
      <w:r w:rsidRPr="003124AA">
        <w:rPr>
          <w:rFonts w:ascii="Narkisim" w:hAnsi="Narkisim" w:cs="Narkisim"/>
          <w:rtl/>
        </w:rPr>
        <w:t xml:space="preserve"> (שם) כת' דהטעם</w:t>
      </w:r>
      <w:r w:rsidRPr="003124AA">
        <w:rPr>
          <w:rStyle w:val="ac"/>
          <w:rFonts w:ascii="Narkisim" w:hAnsi="Narkisim" w:cs="Narkisim"/>
          <w:rtl/>
        </w:rPr>
        <w:footnoteReference w:id="7528"/>
      </w:r>
      <w:r w:rsidRPr="003124AA">
        <w:rPr>
          <w:rFonts w:ascii="Narkisim" w:hAnsi="Narkisim" w:cs="Narkisim"/>
          <w:rtl/>
        </w:rPr>
        <w:t xml:space="preserve"> דאין מאכילים בידים משום דקפיד רחמנא שלא ירגיל אותו לעבור עבירות, וכשיגדל יבקש לימודו</w:t>
      </w:r>
      <w:r w:rsidRPr="003124AA">
        <w:rPr>
          <w:rStyle w:val="ac"/>
          <w:rFonts w:ascii="Narkisim" w:hAnsi="Narkisim" w:cs="Narkisim"/>
          <w:rtl/>
        </w:rPr>
        <w:footnoteReference w:id="7529"/>
      </w:r>
      <w:r w:rsidRPr="003124AA">
        <w:rPr>
          <w:rFonts w:ascii="Narkisim" w:hAnsi="Narkisim" w:cs="Narkisim"/>
          <w:rtl/>
        </w:rPr>
        <w:t>. וה</w:t>
      </w:r>
      <w:r w:rsidRPr="003124AA">
        <w:rPr>
          <w:rFonts w:ascii="Narkisim" w:hAnsi="Narkisim" w:cs="Narkisim"/>
          <w:b/>
          <w:bCs/>
          <w:rtl/>
        </w:rPr>
        <w:t>חת"ס</w:t>
      </w:r>
      <w:r w:rsidRPr="003124AA">
        <w:rPr>
          <w:rFonts w:ascii="Narkisim" w:hAnsi="Narkisim" w:cs="Narkisim"/>
          <w:rtl/>
        </w:rPr>
        <w:t xml:space="preserve"> (או”ח פג) הק' דלפ"ז בחרש יהא מותר להאכיל בידים, דל”צ לחוש לכשיגדיל. והביא דודאי אסור להאכיל להם בידים מגזיה”כ.</w:t>
      </w:r>
    </w:p>
    <w:p w14:paraId="60E67C38"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קובה"ע</w:t>
      </w:r>
      <w:r w:rsidRPr="003124AA">
        <w:rPr>
          <w:rFonts w:ascii="Narkisim" w:hAnsi="Narkisim" w:cs="Narkisim"/>
          <w:rtl/>
        </w:rPr>
        <w:t xml:space="preserve"> (עה א) הק' אמאי בזה משום לפני עוור</w:t>
      </w:r>
      <w:r w:rsidRPr="003124AA">
        <w:rPr>
          <w:rStyle w:val="ac"/>
          <w:rFonts w:ascii="Narkisim" w:hAnsi="Narkisim" w:cs="Narkisim"/>
          <w:rtl/>
        </w:rPr>
        <w:footnoteReference w:id="7530"/>
      </w:r>
      <w:r w:rsidRPr="003124AA">
        <w:rPr>
          <w:rFonts w:ascii="Narkisim" w:hAnsi="Narkisim" w:cs="Narkisim"/>
          <w:rtl/>
        </w:rPr>
        <w:t>. והביא דמבואר דעבירה של קטן לא נחשב 'מכשול'</w:t>
      </w:r>
      <w:r w:rsidRPr="003124AA">
        <w:rPr>
          <w:rStyle w:val="ac"/>
          <w:rFonts w:ascii="Narkisim" w:hAnsi="Narkisim" w:cs="Narkisim"/>
          <w:rtl/>
        </w:rPr>
        <w:footnoteReference w:id="7531"/>
      </w:r>
      <w:r w:rsidRPr="003124AA">
        <w:rPr>
          <w:rFonts w:ascii="Narkisim" w:hAnsi="Narkisim" w:cs="Narkisim"/>
          <w:rtl/>
        </w:rPr>
        <w:t>. וה</w:t>
      </w:r>
      <w:r w:rsidRPr="003124AA">
        <w:rPr>
          <w:rFonts w:ascii="Narkisim" w:hAnsi="Narkisim" w:cs="Narkisim"/>
          <w:b/>
          <w:bCs/>
          <w:rtl/>
        </w:rPr>
        <w:t>קובה”ע</w:t>
      </w:r>
      <w:r w:rsidRPr="003124AA">
        <w:rPr>
          <w:rFonts w:ascii="Narkisim" w:hAnsi="Narkisim" w:cs="Narkisim"/>
          <w:rtl/>
        </w:rPr>
        <w:t xml:space="preserve"> (שם ד) ביאר דקטן אינו מוזהר</w:t>
      </w:r>
      <w:r w:rsidRPr="003124AA">
        <w:rPr>
          <w:rStyle w:val="ac"/>
          <w:rFonts w:ascii="Narkisim" w:hAnsi="Narkisim" w:cs="Narkisim"/>
          <w:rtl/>
        </w:rPr>
        <w:footnoteReference w:id="7532"/>
      </w:r>
      <w:r w:rsidRPr="003124AA">
        <w:rPr>
          <w:rFonts w:ascii="Narkisim" w:hAnsi="Narkisim" w:cs="Narkisim"/>
          <w:rtl/>
        </w:rPr>
        <w:t>, מ"מ יש סיבת האיסור אצלו</w:t>
      </w:r>
      <w:r w:rsidRPr="003124AA">
        <w:rPr>
          <w:rStyle w:val="ac"/>
          <w:rFonts w:ascii="Narkisim" w:hAnsi="Narkisim" w:cs="Narkisim"/>
          <w:rtl/>
        </w:rPr>
        <w:footnoteReference w:id="7533"/>
      </w:r>
      <w:r w:rsidRPr="003124AA">
        <w:rPr>
          <w:rFonts w:ascii="Narkisim" w:hAnsi="Narkisim" w:cs="Narkisim"/>
          <w:rtl/>
        </w:rPr>
        <w:t xml:space="preserve">. </w:t>
      </w:r>
      <w:r w:rsidRPr="003124AA">
        <w:rPr>
          <w:rFonts w:ascii="Narkisim" w:hAnsi="Narkisim" w:cs="Narkisim"/>
          <w:szCs w:val="20"/>
          <w:rtl/>
        </w:rPr>
        <w:t>וכת' דיש לפרש דזהו ספק של הגמ', הא דמחוייבין להפריש מאיסורין</w:t>
      </w:r>
      <w:r w:rsidRPr="003124AA">
        <w:rPr>
          <w:rStyle w:val="ac"/>
          <w:rFonts w:ascii="Narkisim" w:hAnsi="Narkisim" w:cs="Narkisim"/>
          <w:szCs w:val="20"/>
          <w:rtl/>
        </w:rPr>
        <w:footnoteReference w:id="7534"/>
      </w:r>
      <w:r w:rsidRPr="003124AA">
        <w:rPr>
          <w:rFonts w:ascii="Narkisim" w:hAnsi="Narkisim" w:cs="Narkisim"/>
          <w:szCs w:val="20"/>
          <w:rtl/>
        </w:rPr>
        <w:t xml:space="preserve"> האם תלוי באזהרה או בסיבת האיסור גרידא</w:t>
      </w:r>
      <w:r w:rsidRPr="003124AA">
        <w:rPr>
          <w:rFonts w:ascii="Narkisim" w:hAnsi="Narkisim" w:cs="Narkisim"/>
          <w:rtl/>
        </w:rPr>
        <w:t>.</w:t>
      </w:r>
    </w:p>
    <w:p w14:paraId="053852BA" w14:textId="77777777" w:rsidR="006C4368" w:rsidRPr="003124AA" w:rsidRDefault="006C4368" w:rsidP="006C4368">
      <w:pPr>
        <w:pStyle w:val="aa"/>
        <w:bidi/>
        <w:rPr>
          <w:rFonts w:ascii="Narkisim" w:hAnsi="Narkisim"/>
        </w:rPr>
      </w:pPr>
      <w:r w:rsidRPr="003124AA">
        <w:rPr>
          <w:rFonts w:ascii="Narkisim" w:hAnsi="Narkisim"/>
          <w:rtl/>
        </w:rPr>
        <w:t>ועוד הביאו ה</w:t>
      </w:r>
      <w:r w:rsidRPr="003124AA">
        <w:rPr>
          <w:rFonts w:ascii="Narkisim" w:hAnsi="Narkisim"/>
          <w:b/>
          <w:bCs/>
          <w:rtl/>
        </w:rPr>
        <w:t>אחרונים</w:t>
      </w:r>
      <w:r w:rsidRPr="003124AA">
        <w:rPr>
          <w:rFonts w:ascii="Narkisim" w:hAnsi="Narkisim"/>
          <w:rtl/>
        </w:rPr>
        <w:t xml:space="preserve"> דשחיטת קטן כשרה (חולין יב:) דמיקרי בר זביחה</w:t>
      </w:r>
      <w:r w:rsidRPr="003124AA">
        <w:rPr>
          <w:rStyle w:val="ac"/>
          <w:rFonts w:ascii="Narkisim" w:hAnsi="Narkisim"/>
          <w:rtl/>
        </w:rPr>
        <w:footnoteReference w:id="7535"/>
      </w:r>
      <w:r w:rsidRPr="003124AA">
        <w:rPr>
          <w:rFonts w:ascii="Narkisim" w:hAnsi="Narkisim"/>
          <w:rtl/>
        </w:rPr>
        <w:t>, ואף דאי"צ להפרישו</w:t>
      </w:r>
      <w:r w:rsidRPr="003124AA">
        <w:rPr>
          <w:rStyle w:val="ac"/>
          <w:rFonts w:ascii="Narkisim" w:hAnsi="Narkisim"/>
          <w:rtl/>
        </w:rPr>
        <w:footnoteReference w:id="7536"/>
      </w:r>
      <w:r w:rsidRPr="003124AA">
        <w:rPr>
          <w:rFonts w:ascii="Narkisim" w:hAnsi="Narkisim"/>
          <w:rtl/>
        </w:rPr>
        <w:t xml:space="preserve"> מלאכול נבילה</w:t>
      </w:r>
      <w:r w:rsidRPr="003124AA">
        <w:rPr>
          <w:rStyle w:val="ac"/>
          <w:rFonts w:ascii="Narkisim" w:hAnsi="Narkisim"/>
          <w:rtl/>
        </w:rPr>
        <w:footnoteReference w:id="7537"/>
      </w:r>
      <w:r w:rsidRPr="003124AA">
        <w:rPr>
          <w:rFonts w:ascii="Narkisim" w:hAnsi="Narkisim"/>
          <w:rtl/>
        </w:rPr>
        <w:t>. וה</w:t>
      </w:r>
      <w:r w:rsidRPr="003124AA">
        <w:rPr>
          <w:rFonts w:ascii="Narkisim" w:hAnsi="Narkisim"/>
          <w:b/>
          <w:bCs/>
          <w:rtl/>
        </w:rPr>
        <w:t>קובה"ע</w:t>
      </w:r>
      <w:r w:rsidRPr="003124AA">
        <w:rPr>
          <w:rFonts w:ascii="Narkisim" w:hAnsi="Narkisim"/>
          <w:rtl/>
        </w:rPr>
        <w:t xml:space="preserve"> (שם) תי' דמ"מ אהני השחיטה לתקן את סיבת האיסור אף כלפי הקטן. ולא דמי לעכו"ם דהשחיטה אינו מתקן כלל, ומש"ה לא הוי בר זביחה</w:t>
      </w:r>
      <w:r w:rsidRPr="003124AA">
        <w:rPr>
          <w:rStyle w:val="ac"/>
          <w:rFonts w:ascii="Narkisim" w:hAnsi="Narkisim"/>
          <w:rtl/>
        </w:rPr>
        <w:footnoteReference w:id="7538"/>
      </w:r>
      <w:r w:rsidRPr="003124AA">
        <w:rPr>
          <w:rFonts w:ascii="Narkisim" w:hAnsi="Narkisim"/>
          <w:rtl/>
        </w:rPr>
        <w:t>.</w:t>
      </w:r>
    </w:p>
    <w:p w14:paraId="5CCA7000"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מאירי</w:t>
      </w:r>
      <w:r w:rsidRPr="003124AA">
        <w:rPr>
          <w:rFonts w:ascii="Narkisim" w:hAnsi="Narkisim" w:cs="Narkisim"/>
          <w:rtl/>
        </w:rPr>
        <w:t xml:space="preserve"> (שבת קכא.) כת' מ"מ ראוי שלא להרגילו בכך, ולגעור בו שלא יהא רגיל בכך</w:t>
      </w:r>
      <w:r w:rsidRPr="003124AA">
        <w:rPr>
          <w:rStyle w:val="ac"/>
          <w:rFonts w:ascii="Narkisim" w:hAnsi="Narkisim" w:cs="Narkisim"/>
          <w:rtl/>
        </w:rPr>
        <w:footnoteReference w:id="7539"/>
      </w:r>
      <w:r w:rsidRPr="003124AA">
        <w:rPr>
          <w:rFonts w:ascii="Narkisim" w:hAnsi="Narkisim" w:cs="Narkisim"/>
          <w:rtl/>
        </w:rPr>
        <w:t xml:space="preserve">. </w:t>
      </w:r>
      <w:r w:rsidRPr="003124AA">
        <w:rPr>
          <w:rFonts w:ascii="Narkisim" w:hAnsi="Narkisim" w:cs="Narkisim"/>
          <w:rtl/>
        </w:rPr>
        <w:lastRenderedPageBreak/>
        <w:t>בין האב בין שאר בני אדם הרואים. [וע"ע בסמוך].</w:t>
      </w:r>
    </w:p>
    <w:p w14:paraId="5D37A64F"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(גניבה א י) כת' דראוי לבי"ד להכות לקטנים על הגניבה</w:t>
      </w:r>
      <w:r w:rsidRPr="003124AA">
        <w:rPr>
          <w:rStyle w:val="ac"/>
          <w:rFonts w:ascii="Narkisim" w:hAnsi="Narkisim"/>
          <w:rtl/>
        </w:rPr>
        <w:footnoteReference w:id="7540"/>
      </w:r>
      <w:r w:rsidRPr="003124AA">
        <w:rPr>
          <w:rFonts w:ascii="Narkisim" w:hAnsi="Narkisim"/>
          <w:rtl/>
        </w:rPr>
        <w:t xml:space="preserve"> ושאר נזיקין כדי שלא יהיו רגילין בה. וה</w:t>
      </w:r>
      <w:r w:rsidRPr="003124AA">
        <w:rPr>
          <w:rFonts w:ascii="Narkisim" w:hAnsi="Narkisim"/>
          <w:b/>
          <w:bCs/>
          <w:rtl/>
        </w:rPr>
        <w:t>משנ"ל</w:t>
      </w:r>
      <w:r w:rsidRPr="003124AA">
        <w:rPr>
          <w:rFonts w:ascii="Narkisim" w:hAnsi="Narkisim"/>
          <w:rtl/>
        </w:rPr>
        <w:t xml:space="preserve"> (שם) כת' דלא מצא דין זה מבואר, אלא נראה פשוט. ודוקא בעבירות שבין אדם למקום אין בי"ד מצווין להפרישו, אבל בעבירות שבין אדם לחבירו ודאי מפרישין אותו. כדי שלא יארע תקלה על ידו. [יל"ד אי כוונתו משום תביעת הניזק. או מטעם עצם התקלה].</w:t>
      </w:r>
    </w:p>
    <w:p w14:paraId="3AF41DA2"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רא"ש</w:t>
      </w:r>
      <w:r w:rsidRPr="003124AA">
        <w:rPr>
          <w:rFonts w:ascii="Narkisim" w:hAnsi="Narkisim"/>
          <w:rtl/>
        </w:rPr>
        <w:t xml:space="preserve"> (שבת א א) כת' דאסור ליתן ביד ישראל ויוציא בשבת. ואפי' היכא דהיה יכול ליטול לבד דאין בזה משום לפני עוור [וכדאי' (ע"ז ו:) דלפני עוור הוה בתרי עברי דנהרא], אפ"ה יש איסור דרבנן. דהא אפי' קטן אוכל נבילות בי"ד מצווין להפרישו, וכ"ש גדול שלא יסייע לו</w:t>
      </w:r>
      <w:r w:rsidRPr="003124AA">
        <w:rPr>
          <w:rStyle w:val="ac"/>
          <w:rFonts w:ascii="Narkisim" w:hAnsi="Narkisim"/>
          <w:rtl/>
        </w:rPr>
        <w:footnoteReference w:id="7541"/>
      </w:r>
      <w:r w:rsidRPr="003124AA">
        <w:rPr>
          <w:rFonts w:ascii="Narkisim" w:hAnsi="Narkisim"/>
          <w:rtl/>
        </w:rPr>
        <w:t>. ויל"ד אי כוונתו דקי"ל דמצווין להפריש קטן, או דהביא כ"ש לגדול [ומ"ד דקטן אין מצווין הוא משום דאינו מצווה כלל].</w:t>
      </w:r>
    </w:p>
    <w:p w14:paraId="4221B022" w14:textId="77777777" w:rsidR="006C4368" w:rsidRPr="003124AA" w:rsidRDefault="006C4368" w:rsidP="006C4368">
      <w:pPr>
        <w:bidi/>
        <w:rPr>
          <w:rFonts w:ascii="Narkisim" w:hAnsi="Narkisim" w:cs="Narkisim"/>
        </w:rPr>
      </w:pPr>
      <w:r w:rsidRPr="003124AA">
        <w:rPr>
          <w:rFonts w:ascii="Narkisim" w:hAnsi="Narkisim" w:cs="Narkisim"/>
          <w:u w:val="single"/>
          <w:rtl/>
        </w:rPr>
        <w:t>שם. קטן</w:t>
      </w:r>
      <w:r w:rsidRPr="003124AA">
        <w:rPr>
          <w:rFonts w:ascii="Narkisim" w:hAnsi="Narkisim" w:cs="Narkisim"/>
          <w:rtl/>
        </w:rPr>
        <w:t xml:space="preserve">. </w:t>
      </w:r>
      <w:r w:rsidRPr="003124AA">
        <w:rPr>
          <w:rFonts w:ascii="Narkisim" w:hAnsi="Narkisim" w:cs="Narkisim"/>
          <w:b/>
          <w:bCs/>
          <w:rtl/>
        </w:rPr>
        <w:t>תוס'</w:t>
      </w:r>
      <w:r w:rsidRPr="003124AA">
        <w:rPr>
          <w:rFonts w:ascii="Narkisim" w:hAnsi="Narkisim" w:cs="Narkisim"/>
          <w:rtl/>
        </w:rPr>
        <w:t xml:space="preserve"> (שבת קכא.) כת' דנראה דמיירי בקטן שלא הגיע לחינוך, דקטן שהגיע לחינוך חייבין לחנכו, וכ"ש דצריך להפרישו שלא יעשה עבירה. </w:t>
      </w:r>
      <w:r w:rsidRPr="003124AA">
        <w:rPr>
          <w:rFonts w:ascii="Narkisim" w:hAnsi="Narkisim" w:cs="Narkisim"/>
          <w:szCs w:val="20"/>
          <w:rtl/>
        </w:rPr>
        <w:t>וכת' דבכל הנהו דפריך (בסוגיין) הו"מ לשנויי כשהגיע לחינוך, אלא דניח"ל לאוקמי בכל ענין</w:t>
      </w:r>
      <w:r w:rsidRPr="003124AA">
        <w:rPr>
          <w:rStyle w:val="ac"/>
          <w:rFonts w:ascii="Narkisim" w:hAnsi="Narkisim" w:cs="Narkisim"/>
          <w:szCs w:val="20"/>
          <w:rtl/>
        </w:rPr>
        <w:footnoteReference w:id="7542"/>
      </w:r>
      <w:r w:rsidRPr="003124AA">
        <w:rPr>
          <w:rFonts w:ascii="Narkisim" w:hAnsi="Narkisim" w:cs="Narkisim"/>
          <w:rtl/>
        </w:rPr>
        <w:t>.</w:t>
      </w:r>
    </w:p>
    <w:p w14:paraId="216EF1DA"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ראשונים</w:t>
      </w:r>
      <w:r w:rsidRPr="003124AA">
        <w:rPr>
          <w:rFonts w:ascii="Narkisim" w:hAnsi="Narkisim"/>
          <w:rtl/>
        </w:rPr>
        <w:t xml:space="preserve"> (ריטב"א) הק' דבגמ' (נדה מו:) אמרי' אף במופלא הסמוך לאיש דקטן אוכל נבילות</w:t>
      </w:r>
      <w:r w:rsidRPr="003124AA">
        <w:rPr>
          <w:rStyle w:val="ac"/>
          <w:rFonts w:ascii="Narkisim" w:hAnsi="Narkisim"/>
          <w:rtl/>
        </w:rPr>
        <w:footnoteReference w:id="7543"/>
      </w:r>
      <w:r w:rsidRPr="003124AA">
        <w:rPr>
          <w:rFonts w:ascii="Narkisim" w:hAnsi="Narkisim"/>
          <w:rtl/>
        </w:rPr>
        <w:t xml:space="preserve"> [אך דחה דלמסקנא לא קאי התם</w:t>
      </w:r>
      <w:r w:rsidRPr="003124AA">
        <w:rPr>
          <w:rStyle w:val="ac"/>
          <w:rFonts w:ascii="Narkisim" w:hAnsi="Narkisim"/>
          <w:rtl/>
        </w:rPr>
        <w:footnoteReference w:id="7544"/>
      </w:r>
      <w:r w:rsidRPr="003124AA">
        <w:rPr>
          <w:rFonts w:ascii="Narkisim" w:hAnsi="Narkisim"/>
          <w:rtl/>
        </w:rPr>
        <w:t>].</w:t>
      </w:r>
    </w:p>
    <w:p w14:paraId="38410872" w14:textId="77777777" w:rsidR="006C4368" w:rsidRPr="003124AA" w:rsidRDefault="006C4368" w:rsidP="006C4368">
      <w:pPr>
        <w:bidi/>
        <w:rPr>
          <w:rFonts w:ascii="Narkisim" w:hAnsi="Narkisim" w:cs="Narkisim"/>
        </w:rPr>
      </w:pPr>
      <w:r w:rsidRPr="003124AA">
        <w:rPr>
          <w:rFonts w:ascii="Narkisim" w:hAnsi="Narkisim" w:cs="Narkisim"/>
          <w:rtl/>
        </w:rPr>
        <w:t xml:space="preserve">אבל </w:t>
      </w:r>
      <w:r w:rsidRPr="003124AA">
        <w:rPr>
          <w:rFonts w:ascii="Narkisim" w:hAnsi="Narkisim" w:cs="Narkisim"/>
          <w:b/>
          <w:bCs/>
          <w:rtl/>
        </w:rPr>
        <w:t>תוס'</w:t>
      </w:r>
      <w:r w:rsidRPr="003124AA">
        <w:rPr>
          <w:rFonts w:ascii="Narkisim" w:hAnsi="Narkisim" w:cs="Narkisim"/>
          <w:rtl/>
        </w:rPr>
        <w:t xml:space="preserve"> (נזיר כח:, והתו"י יומא פב. בשם הרא”מ) תי' דחינוך הוה דוקא בקיום מצוות [עשה], ולא נכלל בחינוך להזהירו מלעבור</w:t>
      </w:r>
      <w:r w:rsidRPr="003124AA">
        <w:rPr>
          <w:rStyle w:val="ac"/>
          <w:rFonts w:ascii="Narkisim" w:hAnsi="Narkisim" w:cs="Narkisim"/>
          <w:rtl/>
        </w:rPr>
        <w:footnoteReference w:id="7545"/>
      </w:r>
      <w:r w:rsidRPr="003124AA">
        <w:rPr>
          <w:rFonts w:ascii="Narkisim" w:hAnsi="Narkisim" w:cs="Narkisim"/>
          <w:rtl/>
        </w:rPr>
        <w:t xml:space="preserve">. </w:t>
      </w:r>
      <w:r w:rsidRPr="003124AA">
        <w:rPr>
          <w:rFonts w:ascii="Narkisim" w:hAnsi="Narkisim" w:cs="Narkisim"/>
          <w:szCs w:val="20"/>
          <w:rtl/>
        </w:rPr>
        <w:t>וה</w:t>
      </w:r>
      <w:r w:rsidRPr="003124AA">
        <w:rPr>
          <w:rFonts w:ascii="Narkisim" w:hAnsi="Narkisim" w:cs="Narkisim"/>
          <w:b/>
          <w:bCs/>
          <w:szCs w:val="20"/>
          <w:rtl/>
        </w:rPr>
        <w:t>ריטב"א</w:t>
      </w:r>
      <w:r w:rsidRPr="003124AA">
        <w:rPr>
          <w:rFonts w:ascii="Narkisim" w:hAnsi="Narkisim" w:cs="Narkisim"/>
          <w:szCs w:val="20"/>
          <w:rtl/>
        </w:rPr>
        <w:t xml:space="preserve"> (כאן) תמה בזה דהיאך יחנכנו במצות עשה, ויניחנו לאכול נבלות וטרפות.</w:t>
      </w:r>
    </w:p>
    <w:p w14:paraId="31EDC57F"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גרי"ז</w:t>
      </w:r>
      <w:r w:rsidRPr="003124AA">
        <w:rPr>
          <w:rFonts w:ascii="Narkisim" w:hAnsi="Narkisim"/>
          <w:rtl/>
        </w:rPr>
        <w:t xml:space="preserve"> (נזיר כח:) הק' דבסוגיין מבואר דאף באיסור שבת אי"צ להפרישו [למ"ד דקטן אוכל נבילות], והא יש מצוות עשה של שביתה</w:t>
      </w:r>
      <w:r w:rsidRPr="003124AA">
        <w:rPr>
          <w:rStyle w:val="ac"/>
          <w:rFonts w:ascii="Narkisim" w:hAnsi="Narkisim"/>
          <w:rtl/>
        </w:rPr>
        <w:footnoteReference w:id="7546"/>
      </w:r>
      <w:r w:rsidRPr="003124AA">
        <w:rPr>
          <w:rFonts w:ascii="Narkisim" w:hAnsi="Narkisim"/>
          <w:rtl/>
        </w:rPr>
        <w:t>. ויתחייב משום חינוך על מצוות שביתה</w:t>
      </w:r>
      <w:r w:rsidRPr="003124AA">
        <w:rPr>
          <w:rStyle w:val="ac"/>
          <w:rFonts w:ascii="Narkisim" w:hAnsi="Narkisim"/>
          <w:rtl/>
        </w:rPr>
        <w:footnoteReference w:id="7547"/>
      </w:r>
      <w:r w:rsidRPr="003124AA">
        <w:rPr>
          <w:rFonts w:ascii="Narkisim" w:hAnsi="Narkisim"/>
          <w:rtl/>
        </w:rPr>
        <w:t>. וצ”ע. ויש שתי' דהנך הוה לאו הבא מכלל עשה, ודוקא עשה בקום ועשה נכלל במצוות חינוך</w:t>
      </w:r>
      <w:r w:rsidRPr="003124AA">
        <w:rPr>
          <w:rStyle w:val="ac"/>
          <w:rFonts w:ascii="Narkisim" w:hAnsi="Narkisim"/>
          <w:rtl/>
        </w:rPr>
        <w:footnoteReference w:id="7548"/>
      </w:r>
      <w:r w:rsidRPr="003124AA">
        <w:rPr>
          <w:rFonts w:ascii="Narkisim" w:hAnsi="Narkisim"/>
          <w:rtl/>
        </w:rPr>
        <w:t>.</w:t>
      </w:r>
    </w:p>
    <w:p w14:paraId="09BE68F0" w14:textId="77777777" w:rsidR="006C4368" w:rsidRPr="003124AA" w:rsidRDefault="006C4368" w:rsidP="006C4368">
      <w:pPr>
        <w:bidi/>
        <w:rPr>
          <w:rFonts w:ascii="Narkisim" w:hAnsi="Narkisim" w:cs="Narkisim"/>
        </w:rPr>
      </w:pPr>
      <w:r w:rsidRPr="003124AA">
        <w:rPr>
          <w:rFonts w:ascii="Narkisim" w:hAnsi="Narkisim" w:cs="Narkisim"/>
          <w:rtl/>
        </w:rPr>
        <w:t>ועוד תי' ה</w:t>
      </w:r>
      <w:r w:rsidRPr="003124AA">
        <w:rPr>
          <w:rFonts w:ascii="Narkisim" w:hAnsi="Narkisim" w:cs="Narkisim"/>
          <w:b/>
          <w:bCs/>
          <w:rtl/>
        </w:rPr>
        <w:t>תוס'</w:t>
      </w:r>
      <w:r w:rsidRPr="003124AA">
        <w:rPr>
          <w:rFonts w:ascii="Narkisim" w:hAnsi="Narkisim" w:cs="Narkisim"/>
          <w:rtl/>
        </w:rPr>
        <w:t xml:space="preserve"> </w:t>
      </w:r>
      <w:r w:rsidRPr="003124AA">
        <w:rPr>
          <w:rFonts w:ascii="Narkisim" w:hAnsi="Narkisim" w:cs="Narkisim"/>
          <w:szCs w:val="20"/>
          <w:rtl/>
        </w:rPr>
        <w:t>(ר"י בתוס' נזיר, ועי"ל בתו”י יומא)</w:t>
      </w:r>
      <w:r w:rsidRPr="003124AA">
        <w:rPr>
          <w:rFonts w:ascii="Narkisim" w:hAnsi="Narkisim" w:cs="Narkisim"/>
          <w:rtl/>
        </w:rPr>
        <w:t xml:space="preserve"> דדוקא האב מצווה בחינוך</w:t>
      </w:r>
      <w:r w:rsidRPr="003124AA">
        <w:rPr>
          <w:rStyle w:val="ac"/>
          <w:rFonts w:ascii="Narkisim" w:hAnsi="Narkisim" w:cs="Narkisim"/>
          <w:rtl/>
        </w:rPr>
        <w:footnoteReference w:id="7549"/>
      </w:r>
      <w:r w:rsidRPr="003124AA">
        <w:rPr>
          <w:rFonts w:ascii="Narkisim" w:hAnsi="Narkisim" w:cs="Narkisim"/>
          <w:rtl/>
        </w:rPr>
        <w:t>, ואילו הכא איירי באיניש אחרינא</w:t>
      </w:r>
      <w:r w:rsidRPr="003124AA">
        <w:rPr>
          <w:rStyle w:val="ac"/>
          <w:rFonts w:ascii="Narkisim" w:hAnsi="Narkisim" w:cs="Narkisim"/>
          <w:rtl/>
        </w:rPr>
        <w:footnoteReference w:id="7550"/>
      </w:r>
      <w:r w:rsidRPr="003124AA">
        <w:rPr>
          <w:rFonts w:ascii="Narkisim" w:hAnsi="Narkisim" w:cs="Narkisim"/>
          <w:rtl/>
        </w:rPr>
        <w:t xml:space="preserve"> [דלשון הגמ' בי"ד מצווין להפרישו</w:t>
      </w:r>
      <w:r w:rsidRPr="003124AA">
        <w:rPr>
          <w:rStyle w:val="ac"/>
          <w:rFonts w:ascii="Narkisim" w:hAnsi="Narkisim" w:cs="Narkisim"/>
          <w:rtl/>
        </w:rPr>
        <w:footnoteReference w:id="7551"/>
      </w:r>
      <w:r w:rsidRPr="003124AA">
        <w:rPr>
          <w:rFonts w:ascii="Narkisim" w:hAnsi="Narkisim" w:cs="Narkisim"/>
          <w:rtl/>
        </w:rPr>
        <w:t>].</w:t>
      </w:r>
    </w:p>
    <w:p w14:paraId="68CC83D2"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רמב"ם</w:t>
      </w:r>
      <w:r w:rsidRPr="003124AA">
        <w:rPr>
          <w:rFonts w:ascii="Narkisim" w:hAnsi="Narkisim"/>
          <w:rtl/>
        </w:rPr>
        <w:t xml:space="preserve"> </w:t>
      </w:r>
      <w:r w:rsidRPr="003124AA">
        <w:rPr>
          <w:rFonts w:ascii="Narkisim" w:hAnsi="Narkisim"/>
          <w:szCs w:val="20"/>
          <w:rtl/>
        </w:rPr>
        <w:t>(מאכ"א יז כח)</w:t>
      </w:r>
      <w:r w:rsidRPr="003124AA">
        <w:rPr>
          <w:rFonts w:ascii="Narkisim" w:hAnsi="Narkisim"/>
          <w:rtl/>
        </w:rPr>
        <w:t xml:space="preserve"> כת' דאע"פ שבי"ד אין מצווין להפריש את הקטן, מצוה על אביו לגעור בו ולהפרישו כדי לחנכו בקדושה שנאמר חנוך לנער ע"פ דרכו וגו'</w:t>
      </w:r>
      <w:r w:rsidRPr="003124AA">
        <w:rPr>
          <w:rStyle w:val="ac"/>
          <w:rFonts w:ascii="Narkisim" w:hAnsi="Narkisim"/>
          <w:rtl/>
        </w:rPr>
        <w:footnoteReference w:id="7552"/>
      </w:r>
      <w:r w:rsidRPr="003124AA">
        <w:rPr>
          <w:rFonts w:ascii="Narkisim" w:hAnsi="Narkisim"/>
          <w:rtl/>
        </w:rPr>
        <w:t>. [</w:t>
      </w:r>
      <w:r w:rsidRPr="003124AA">
        <w:rPr>
          <w:rFonts w:ascii="Narkisim" w:hAnsi="Narkisim"/>
          <w:szCs w:val="20"/>
          <w:rtl/>
        </w:rPr>
        <w:t>וה</w:t>
      </w:r>
      <w:r w:rsidRPr="003124AA">
        <w:rPr>
          <w:rFonts w:ascii="Narkisim" w:hAnsi="Narkisim"/>
          <w:b/>
          <w:bCs/>
          <w:szCs w:val="20"/>
          <w:rtl/>
        </w:rPr>
        <w:t>אחרונים</w:t>
      </w:r>
      <w:r w:rsidRPr="003124AA">
        <w:rPr>
          <w:rFonts w:ascii="Narkisim" w:hAnsi="Narkisim"/>
          <w:szCs w:val="20"/>
          <w:rtl/>
        </w:rPr>
        <w:t xml:space="preserve"> דנו אי כוונת הרמב"ם משום מצוות חינוך. אך ה</w:t>
      </w:r>
      <w:r w:rsidRPr="003124AA">
        <w:rPr>
          <w:rFonts w:ascii="Narkisim" w:hAnsi="Narkisim"/>
          <w:b/>
          <w:bCs/>
          <w:szCs w:val="20"/>
          <w:rtl/>
        </w:rPr>
        <w:t>לח”מ</w:t>
      </w:r>
      <w:r w:rsidRPr="003124AA">
        <w:rPr>
          <w:rFonts w:ascii="Narkisim" w:hAnsi="Narkisim"/>
          <w:szCs w:val="20"/>
          <w:rtl/>
        </w:rPr>
        <w:t xml:space="preserve"> (שם) כת' דהוה סברא בעלמא</w:t>
      </w:r>
      <w:r w:rsidRPr="003124AA">
        <w:rPr>
          <w:rFonts w:ascii="Narkisim" w:hAnsi="Narkisim"/>
          <w:rtl/>
        </w:rPr>
        <w:t>].</w:t>
      </w:r>
    </w:p>
    <w:p w14:paraId="08E9F7D1" w14:textId="77777777" w:rsidR="006C4368" w:rsidRPr="003124AA" w:rsidRDefault="006C4368" w:rsidP="006C4368">
      <w:pPr>
        <w:pStyle w:val="a7"/>
        <w:bidi/>
        <w:rPr>
          <w:rFonts w:ascii="Narkisim" w:hAnsi="Narkisim"/>
        </w:rPr>
      </w:pPr>
      <w:r w:rsidRPr="003124AA">
        <w:rPr>
          <w:rFonts w:ascii="Narkisim" w:hAnsi="Narkisim"/>
          <w:rtl/>
        </w:rPr>
        <w:t>אך ה</w:t>
      </w:r>
      <w:r w:rsidRPr="003124AA">
        <w:rPr>
          <w:rFonts w:ascii="Narkisim" w:hAnsi="Narkisim"/>
          <w:b/>
          <w:bCs/>
          <w:rtl/>
        </w:rPr>
        <w:t>רמב"ם</w:t>
      </w:r>
      <w:r w:rsidRPr="003124AA">
        <w:rPr>
          <w:rFonts w:ascii="Narkisim" w:hAnsi="Narkisim"/>
          <w:rtl/>
        </w:rPr>
        <w:t xml:space="preserve"> (שבת כד יא) דבאיסור דרבנן אפי' אם הניחו אביו אין ממחין בידו. וכ"כ ה</w:t>
      </w:r>
      <w:r w:rsidRPr="003124AA">
        <w:rPr>
          <w:rFonts w:ascii="Narkisim" w:hAnsi="Narkisim"/>
          <w:b/>
          <w:bCs/>
          <w:rtl/>
        </w:rPr>
        <w:t>רמ"א</w:t>
      </w:r>
      <w:r w:rsidRPr="003124AA">
        <w:rPr>
          <w:rFonts w:ascii="Narkisim" w:hAnsi="Narkisim"/>
          <w:rtl/>
        </w:rPr>
        <w:t xml:space="preserve"> </w:t>
      </w:r>
      <w:r w:rsidRPr="003124AA">
        <w:rPr>
          <w:rFonts w:ascii="Narkisim" w:hAnsi="Narkisim"/>
          <w:rtl/>
        </w:rPr>
        <w:lastRenderedPageBreak/>
        <w:t xml:space="preserve">(שמג) דדוקא באיסור דאורייתא אביו מצווה לגעור בו ולהפרישו. </w:t>
      </w:r>
      <w:r w:rsidRPr="003124AA">
        <w:rPr>
          <w:rFonts w:ascii="Narkisim" w:hAnsi="Narkisim"/>
          <w:szCs w:val="20"/>
          <w:rtl/>
        </w:rPr>
        <w:t>וה</w:t>
      </w:r>
      <w:r w:rsidRPr="003124AA">
        <w:rPr>
          <w:rFonts w:ascii="Narkisim" w:hAnsi="Narkisim"/>
          <w:b/>
          <w:bCs/>
          <w:szCs w:val="20"/>
          <w:rtl/>
        </w:rPr>
        <w:t>מג”א</w:t>
      </w:r>
      <w:r w:rsidRPr="003124AA">
        <w:rPr>
          <w:rFonts w:ascii="Narkisim" w:hAnsi="Narkisim"/>
          <w:szCs w:val="20"/>
          <w:rtl/>
        </w:rPr>
        <w:t xml:space="preserve"> (שם ב) הק' דבכמה דוכתי מבואר דאביו מחוייב לחנכו אפי' באיסור דרבנן</w:t>
      </w:r>
      <w:r w:rsidRPr="003124AA">
        <w:rPr>
          <w:rStyle w:val="ac"/>
          <w:rFonts w:ascii="Narkisim" w:hAnsi="Narkisim"/>
          <w:szCs w:val="20"/>
          <w:rtl/>
        </w:rPr>
        <w:footnoteReference w:id="7553"/>
      </w:r>
      <w:r w:rsidRPr="003124AA">
        <w:rPr>
          <w:rFonts w:ascii="Narkisim" w:hAnsi="Narkisim"/>
          <w:szCs w:val="20"/>
          <w:rtl/>
        </w:rPr>
        <w:t>. וכת' דמ"מ אם לא הפרישוהו אין בי"ד מוחין בידו. אבל באיסור דאורייתא בי"ד מוחין ביד האב להפרישו</w:t>
      </w:r>
      <w:r w:rsidRPr="003124AA">
        <w:rPr>
          <w:rFonts w:ascii="Narkisim" w:hAnsi="Narkisim"/>
          <w:rtl/>
        </w:rPr>
        <w:t>.</w:t>
      </w:r>
    </w:p>
    <w:p w14:paraId="12D4CF51" w14:textId="77777777" w:rsidR="006C4368" w:rsidRPr="003124AA" w:rsidRDefault="006C4368" w:rsidP="006C4368">
      <w:pPr>
        <w:bidi/>
        <w:rPr>
          <w:rFonts w:ascii="Narkisim" w:hAnsi="Narkisim" w:cs="Narkisim"/>
        </w:rPr>
      </w:pPr>
      <w:r w:rsidRPr="003124AA">
        <w:rPr>
          <w:rFonts w:ascii="Narkisim" w:hAnsi="Narkisim" w:cs="Narkisim"/>
          <w:rtl/>
        </w:rPr>
        <w:t>אבל ה</w:t>
      </w:r>
      <w:r w:rsidRPr="003124AA">
        <w:rPr>
          <w:rFonts w:ascii="Narkisim" w:hAnsi="Narkisim" w:cs="Narkisim"/>
          <w:b/>
          <w:bCs/>
          <w:rtl/>
        </w:rPr>
        <w:t>ריטב"א</w:t>
      </w:r>
      <w:r w:rsidRPr="003124AA">
        <w:rPr>
          <w:rFonts w:ascii="Narkisim" w:hAnsi="Narkisim" w:cs="Narkisim"/>
          <w:rtl/>
        </w:rPr>
        <w:t xml:space="preserve"> הביא דבסוגיין דמדמינן אביו לבי”ד [בהא דעושה ע"ד אביו (בסמוך)]. וכן ה</w:t>
      </w:r>
      <w:r w:rsidRPr="003124AA">
        <w:rPr>
          <w:rFonts w:ascii="Narkisim" w:hAnsi="Narkisim" w:cs="Narkisim"/>
          <w:b/>
          <w:bCs/>
          <w:rtl/>
        </w:rPr>
        <w:t>תה”ד</w:t>
      </w:r>
      <w:r w:rsidRPr="003124AA">
        <w:rPr>
          <w:rFonts w:ascii="Narkisim" w:hAnsi="Narkisim" w:cs="Narkisim"/>
          <w:rtl/>
        </w:rPr>
        <w:t xml:space="preserve"> (שם) דייק דשאר התוס' ס"ל דאין חילוק בין האב לבי"ד.</w:t>
      </w:r>
    </w:p>
    <w:p w14:paraId="0922075C" w14:textId="77777777" w:rsidR="006C4368" w:rsidRPr="003124AA" w:rsidRDefault="006C4368" w:rsidP="006C4368">
      <w:pPr>
        <w:bidi/>
        <w:rPr>
          <w:rFonts w:ascii="Narkisim" w:hAnsi="Narkisim" w:cs="Narkisim"/>
        </w:rPr>
      </w:pPr>
      <w:r w:rsidRPr="003124AA">
        <w:rPr>
          <w:rFonts w:ascii="Narkisim" w:hAnsi="Narkisim" w:cs="Narkisim"/>
          <w:u w:val="single"/>
          <w:rtl/>
        </w:rPr>
        <w:t>לא יאמר אדם לתינוק הבא לי וכו' אלא מניחו תולש מניחו זורק וכו'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הבא דרך רה"ר בשבת.</w:t>
      </w:r>
    </w:p>
    <w:p w14:paraId="7980F8FC"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הק' דהו"ל למיתני בדידה</w:t>
      </w:r>
      <w:r w:rsidRPr="003124AA">
        <w:rPr>
          <w:rStyle w:val="ac"/>
          <w:rFonts w:ascii="Narkisim" w:hAnsi="Narkisim"/>
          <w:rtl/>
        </w:rPr>
        <w:footnoteReference w:id="7554"/>
      </w:r>
      <w:r w:rsidRPr="003124AA">
        <w:rPr>
          <w:rFonts w:ascii="Narkisim" w:hAnsi="Narkisim"/>
          <w:rtl/>
        </w:rPr>
        <w:t>. והול"ל לא יאמר הבא, אלא מניחו מביא. ותי' דנקט הבא לרבותא ברישא, דאסור לומר לו להביא ואף שאינו אומר לו לעבור ממש אדאורייתא, דאפשר להביא לו פחות פחות מד' אמות</w:t>
      </w:r>
      <w:r w:rsidRPr="003124AA">
        <w:rPr>
          <w:rStyle w:val="ac"/>
          <w:rFonts w:ascii="Narkisim" w:hAnsi="Narkisim"/>
          <w:rtl/>
        </w:rPr>
        <w:footnoteReference w:id="7555"/>
      </w:r>
      <w:r w:rsidRPr="003124AA">
        <w:rPr>
          <w:rFonts w:ascii="Narkisim" w:hAnsi="Narkisim"/>
          <w:rtl/>
        </w:rPr>
        <w:t>.  ואפי' יכניס מרה"ר לרה"י אפשר שיעקור שלא על דעת כן</w:t>
      </w:r>
      <w:r w:rsidRPr="003124AA">
        <w:rPr>
          <w:rStyle w:val="ac"/>
          <w:rFonts w:ascii="Narkisim" w:hAnsi="Narkisim"/>
          <w:rtl/>
        </w:rPr>
        <w:footnoteReference w:id="7556"/>
      </w:r>
      <w:r w:rsidRPr="003124AA">
        <w:rPr>
          <w:rFonts w:ascii="Narkisim" w:hAnsi="Narkisim"/>
          <w:rtl/>
        </w:rPr>
        <w:t>, דלא הוה איסור דאורייתא. קמ"ל דאף בכה"ג לא יאמר לו. וכ"ש שלא יאמר לו תלוש.</w:t>
      </w:r>
    </w:p>
    <w:p w14:paraId="63DCCDF6" w14:textId="77777777" w:rsidR="006C4368" w:rsidRPr="003124AA" w:rsidRDefault="006C4368" w:rsidP="006C4368">
      <w:pPr>
        <w:pStyle w:val="a8"/>
        <w:bidi/>
        <w:rPr>
          <w:rFonts w:ascii="Narkisim" w:hAnsi="Narkisim"/>
        </w:rPr>
      </w:pPr>
      <w:r w:rsidRPr="003124AA">
        <w:rPr>
          <w:rFonts w:ascii="Narkisim" w:hAnsi="Narkisim"/>
          <w:rtl/>
        </w:rPr>
        <w:t>ובסיפא קמ"ל דמניחו תולש, ונקט אפי' תולש דעובר מיד ממש אדאורייתא, לרבותא דאפ"ה אינו זקוק להפרישו</w:t>
      </w:r>
      <w:r w:rsidRPr="003124AA">
        <w:rPr>
          <w:rStyle w:val="ac"/>
          <w:rFonts w:ascii="Narkisim" w:hAnsi="Narkisim"/>
          <w:rtl/>
        </w:rPr>
        <w:footnoteReference w:id="7557"/>
      </w:r>
      <w:r w:rsidRPr="003124AA">
        <w:rPr>
          <w:rFonts w:ascii="Narkisim" w:hAnsi="Narkisim"/>
          <w:rtl/>
        </w:rPr>
        <w:t>.</w:t>
      </w:r>
    </w:p>
    <w:p w14:paraId="28D63E4B"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ה</w:t>
      </w:r>
      <w:r w:rsidRPr="003124AA">
        <w:rPr>
          <w:rFonts w:ascii="Narkisim" w:hAnsi="Narkisim" w:cs="Narkisim"/>
          <w:b/>
          <w:bCs/>
          <w:rtl/>
        </w:rPr>
        <w:t>אחרונים</w:t>
      </w:r>
      <w:r w:rsidRPr="003124AA">
        <w:rPr>
          <w:rFonts w:ascii="Narkisim" w:hAnsi="Narkisim" w:cs="Narkisim"/>
          <w:rtl/>
        </w:rPr>
        <w:t xml:space="preserve"> הק' דקטן אין לו מחשבה (וכדאי' חולין יב:), ודינו כמתעסק בעלמא (וכמ”ש תוס' חולין שם). א"כ קטן שעושה מלאכה בשבת אין בזה צד איסור דאורייתא. </w:t>
      </w:r>
      <w:r w:rsidRPr="003124AA">
        <w:rPr>
          <w:rFonts w:ascii="Narkisim" w:hAnsi="Narkisim" w:cs="Narkisim"/>
          <w:szCs w:val="20"/>
          <w:rtl/>
        </w:rPr>
        <w:t>ונהי דבי"ד מצווין להפרישו היכא דעושה איסור, וכגון באיסורי אכילה דהוה איסור דאורייתא [אצל גדול] אף בלא כוונה, דמתעסק בחלבים ועריות חייב משום שנהנה. אבל גבי איסור שבת אף אם גדול היה עושה מעשה זה בלא מחשבה לא היה איסור כלל מה"ת</w:t>
      </w:r>
      <w:r w:rsidRPr="003124AA">
        <w:rPr>
          <w:rFonts w:ascii="Narkisim" w:hAnsi="Narkisim" w:cs="Narkisim"/>
          <w:rtl/>
        </w:rPr>
        <w:t>.</w:t>
      </w:r>
    </w:p>
    <w:p w14:paraId="3E209A9D" w14:textId="77777777" w:rsidR="006C4368" w:rsidRPr="003124AA" w:rsidRDefault="006C4368" w:rsidP="006C4368">
      <w:pPr>
        <w:pStyle w:val="a8"/>
        <w:bidi/>
        <w:rPr>
          <w:rFonts w:ascii="Narkisim" w:hAnsi="Narkisim"/>
        </w:rPr>
      </w:pPr>
      <w:r w:rsidRPr="003124AA">
        <w:rPr>
          <w:rFonts w:ascii="Narkisim" w:hAnsi="Narkisim"/>
          <w:rtl/>
        </w:rPr>
        <w:t>וב</w:t>
      </w:r>
      <w:r w:rsidRPr="003124AA">
        <w:rPr>
          <w:rFonts w:ascii="Narkisim" w:hAnsi="Narkisim"/>
          <w:b/>
          <w:bCs/>
          <w:rtl/>
        </w:rPr>
        <w:t>שו"ת חידושי הרי"מ</w:t>
      </w:r>
      <w:r w:rsidRPr="003124AA">
        <w:rPr>
          <w:rFonts w:ascii="Narkisim" w:hAnsi="Narkisim"/>
          <w:rtl/>
        </w:rPr>
        <w:t xml:space="preserve"> (או"ח ג) הוסיף דברוב מלאכות י"ל דמחשבתו ניכרת מתוך מעשיו [ונחשב מחשבה מדרבנן, עי"ש]. אבל אינו בהוצאה אא"כ הגביה עקירה ראשונה ע"מ להוציא, ומעשה ההגבהה אינו מוכח דדעתו להוציא, ואין כאן אפי' מחשבה הניכרת בתוך המעשה</w:t>
      </w:r>
      <w:r w:rsidRPr="003124AA">
        <w:rPr>
          <w:rStyle w:val="ac"/>
          <w:rFonts w:ascii="Narkisim" w:hAnsi="Narkisim"/>
          <w:rtl/>
        </w:rPr>
        <w:footnoteReference w:id="7558"/>
      </w:r>
      <w:r w:rsidRPr="003124AA">
        <w:rPr>
          <w:rFonts w:ascii="Narkisim" w:hAnsi="Narkisim"/>
          <w:rtl/>
        </w:rPr>
        <w:t>.</w:t>
      </w:r>
    </w:p>
    <w:p w14:paraId="03D84AF0"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אמרי בינה</w:t>
      </w:r>
      <w:r w:rsidRPr="003124AA">
        <w:rPr>
          <w:rFonts w:ascii="Narkisim" w:hAnsi="Narkisim"/>
          <w:rtl/>
        </w:rPr>
        <w:t xml:space="preserve"> (שבת ז) כת' דמ"מ אף מתעסק אסור מדאורייתא, למש"כ </w:t>
      </w:r>
      <w:r w:rsidRPr="003124AA">
        <w:rPr>
          <w:rFonts w:ascii="Narkisim" w:hAnsi="Narkisim"/>
          <w:b/>
          <w:bCs/>
          <w:rtl/>
        </w:rPr>
        <w:t>רע"א</w:t>
      </w:r>
      <w:r w:rsidRPr="003124AA">
        <w:rPr>
          <w:rFonts w:ascii="Narkisim" w:hAnsi="Narkisim"/>
          <w:rtl/>
        </w:rPr>
        <w:t xml:space="preserve"> (שו"ת ק ח) דנתמעט רק מחיוב חטאת</w:t>
      </w:r>
      <w:r w:rsidRPr="003124AA">
        <w:rPr>
          <w:rStyle w:val="ac"/>
          <w:rFonts w:ascii="Narkisim" w:hAnsi="Narkisim"/>
          <w:rtl/>
        </w:rPr>
        <w:footnoteReference w:id="7559"/>
      </w:r>
      <w:r w:rsidRPr="003124AA">
        <w:rPr>
          <w:rFonts w:ascii="Narkisim" w:hAnsi="Narkisim"/>
          <w:rtl/>
        </w:rPr>
        <w:t>. וכת' דמש"ה איצטריך דרשת המכילתא (הו' בסוף העמ') גבי מלאכת שבת להזהיר גדולים על הקטנים, דל"ש במלאכת שבת דין ספייה והא דבי"ד מפרישין בכל איסורי התורה</w:t>
      </w:r>
      <w:r w:rsidRPr="003124AA">
        <w:rPr>
          <w:rStyle w:val="ac"/>
          <w:rFonts w:ascii="Narkisim" w:hAnsi="Narkisim"/>
          <w:rtl/>
        </w:rPr>
        <w:footnoteReference w:id="7560"/>
      </w:r>
      <w:r w:rsidRPr="003124AA">
        <w:rPr>
          <w:rFonts w:ascii="Narkisim" w:hAnsi="Narkisim"/>
          <w:rtl/>
        </w:rPr>
        <w:t xml:space="preserve"> [דהוה מתעסק].</w:t>
      </w:r>
    </w:p>
    <w:p w14:paraId="1BBF7AC2" w14:textId="77777777" w:rsidR="006C4368" w:rsidRPr="003124AA" w:rsidRDefault="006C4368" w:rsidP="006C4368">
      <w:pPr>
        <w:pStyle w:val="a8"/>
        <w:bidi/>
        <w:rPr>
          <w:rFonts w:ascii="Narkisim" w:hAnsi="Narkisim"/>
        </w:rPr>
      </w:pPr>
      <w:r w:rsidRPr="003124AA">
        <w:rPr>
          <w:rFonts w:ascii="Narkisim" w:hAnsi="Narkisim"/>
          <w:rtl/>
        </w:rPr>
        <w:t>ועוד כת' האמרי בינה דאף לולי דברי רע"א מדרבנן מוטל על אביו לחנכו, שלא ירגיל כשיגדל</w:t>
      </w:r>
      <w:r w:rsidRPr="003124AA">
        <w:rPr>
          <w:rStyle w:val="ac"/>
          <w:rFonts w:ascii="Narkisim" w:hAnsi="Narkisim"/>
          <w:rtl/>
        </w:rPr>
        <w:footnoteReference w:id="7561"/>
      </w:r>
      <w:r w:rsidRPr="003124AA">
        <w:rPr>
          <w:rFonts w:ascii="Narkisim" w:hAnsi="Narkisim"/>
          <w:rtl/>
        </w:rPr>
        <w:t>.</w:t>
      </w:r>
    </w:p>
    <w:p w14:paraId="1BD52657"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אחיעזר</w:t>
      </w:r>
      <w:r w:rsidRPr="003124AA">
        <w:rPr>
          <w:rFonts w:ascii="Narkisim" w:hAnsi="Narkisim"/>
          <w:rtl/>
        </w:rPr>
        <w:t xml:space="preserve"> (ג פא כג) חלק דודאי יש לקטן מחשבה במילי דעלמא, דרצונו לכבות או להוצאה, והוה בכלל מלאכת מחשבת דאסרה תורה. ומתעסק נתמעט באופן דטעה במעשה, שהתכוון לתחוך את זה או שלא הכיר בה. אבל קטן נתכוון למלאכה. ונהי דקטן אין לו מחשבה בדבר שצריך מחשבה לעשיית כלי וכדו' (וכדאי' בחולין שם), אבל בשבת לא בעינן 'מחשבה', רק שלא תהי' טעות בכונתו</w:t>
      </w:r>
      <w:r w:rsidRPr="003124AA">
        <w:rPr>
          <w:rStyle w:val="ac"/>
          <w:rFonts w:ascii="Narkisim" w:hAnsi="Narkisim"/>
          <w:rtl/>
        </w:rPr>
        <w:footnoteReference w:id="7562"/>
      </w:r>
      <w:r w:rsidRPr="003124AA">
        <w:rPr>
          <w:rFonts w:ascii="Narkisim" w:hAnsi="Narkisim"/>
          <w:rtl/>
        </w:rPr>
        <w:t>. וקטן מכוון למעשה שעושה, ול"ש לגדר מתעסק דשבת.</w:t>
      </w:r>
    </w:p>
    <w:p w14:paraId="5B2CA47B" w14:textId="77777777" w:rsidR="006C4368" w:rsidRPr="003124AA" w:rsidRDefault="006C4368" w:rsidP="006C4368">
      <w:pPr>
        <w:bidi/>
        <w:rPr>
          <w:rFonts w:ascii="Narkisim" w:hAnsi="Narkisim" w:cs="Narkisim"/>
        </w:rPr>
      </w:pPr>
      <w:r w:rsidRPr="003124AA">
        <w:rPr>
          <w:rFonts w:ascii="Narkisim" w:hAnsi="Narkisim" w:cs="Narkisim"/>
          <w:u w:val="single"/>
          <w:rtl/>
        </w:rPr>
        <w:t>קטן הבא לכבות וכו'</w:t>
      </w:r>
      <w:r w:rsidRPr="003124AA">
        <w:rPr>
          <w:rFonts w:ascii="Narkisim" w:hAnsi="Narkisim" w:cs="Narkisim"/>
          <w:rtl/>
        </w:rPr>
        <w:t>. וס"ד דהגמ' דהוה משום דבי"ד מצווין להפרישו. ו</w:t>
      </w:r>
      <w:r w:rsidRPr="003124AA">
        <w:rPr>
          <w:rFonts w:ascii="Narkisim" w:hAnsi="Narkisim" w:cs="Narkisim"/>
          <w:b/>
          <w:bCs/>
          <w:rtl/>
        </w:rPr>
        <w:t>תוס'</w:t>
      </w:r>
      <w:r w:rsidRPr="003124AA">
        <w:rPr>
          <w:rFonts w:ascii="Narkisim" w:hAnsi="Narkisim" w:cs="Narkisim"/>
          <w:rtl/>
        </w:rPr>
        <w:t xml:space="preserve"> (שבת קכא.) הק' דכיבוי הוה מלאכה שאי"צ לגופא, ובמלאכה דרבנן דחה אביי דודאי אינו מחוייב להפרישו. וצ"ל דמוקי מתניתין כר' יהודה דחייבין על מלאכה שאי"צ לגופה. א"נ קאי כר"ש </w:t>
      </w:r>
      <w:r w:rsidRPr="003124AA">
        <w:rPr>
          <w:rFonts w:ascii="Narkisim" w:hAnsi="Narkisim" w:cs="Narkisim"/>
          <w:rtl/>
        </w:rPr>
        <w:lastRenderedPageBreak/>
        <w:t>וכשצריך לאותו כיבוי, כגון לעשות פחמין.</w:t>
      </w:r>
    </w:p>
    <w:p w14:paraId="5AAEEA75"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(כאן) דייק דאיירי באיסור דאורייתא מדנקט ששביתתו עליהם, ואין שביתתו עליהם.</w:t>
      </w:r>
    </w:p>
    <w:p w14:paraId="03657A4D" w14:textId="77777777" w:rsidR="006C4368" w:rsidRPr="003124AA" w:rsidRDefault="006C4368" w:rsidP="006C4368">
      <w:pPr>
        <w:pStyle w:val="a8"/>
        <w:bidi/>
        <w:rPr>
          <w:rFonts w:ascii="Narkisim" w:hAnsi="Narkisim"/>
        </w:rPr>
      </w:pPr>
      <w:r w:rsidRPr="003124AA">
        <w:rPr>
          <w:rFonts w:ascii="Narkisim" w:hAnsi="Narkisim"/>
          <w:rtl/>
        </w:rPr>
        <w:t>אבל ה</w:t>
      </w:r>
      <w:r w:rsidRPr="003124AA">
        <w:rPr>
          <w:rFonts w:ascii="Narkisim" w:hAnsi="Narkisim"/>
          <w:b/>
          <w:bCs/>
          <w:rtl/>
        </w:rPr>
        <w:t>רשב"א</w:t>
      </w:r>
      <w:r w:rsidRPr="003124AA">
        <w:rPr>
          <w:rFonts w:ascii="Narkisim" w:hAnsi="Narkisim"/>
          <w:rtl/>
        </w:rPr>
        <w:t xml:space="preserve"> (שבת שם) כת' דקו' הגמ' (שם) בתמיה, וכי בי"ד מצווין להפרישו אף במלאכה דרבנן.</w:t>
      </w:r>
    </w:p>
    <w:p w14:paraId="67118FBF" w14:textId="77777777" w:rsidR="006C4368" w:rsidRPr="003124AA" w:rsidRDefault="006C4368" w:rsidP="006C4368">
      <w:pPr>
        <w:bidi/>
        <w:rPr>
          <w:rFonts w:ascii="Narkisim" w:hAnsi="Narkisim" w:cs="Narkisim"/>
        </w:rPr>
      </w:pPr>
      <w:r w:rsidRPr="003124AA">
        <w:rPr>
          <w:rFonts w:ascii="Narkisim" w:hAnsi="Narkisim" w:cs="Narkisim"/>
          <w:u w:val="single"/>
          <w:rtl/>
        </w:rPr>
        <w:t>א"ר יוחנן בעושה ע"ד אביו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שהתינוק צופה באביו, ורואה שנוח לו בכך וכו' כאילו מצווהו לעשות. ואילו במפתחות לא הכירו בדעתו שנוח לו. וה</w:t>
      </w:r>
      <w:r w:rsidRPr="003124AA">
        <w:rPr>
          <w:rFonts w:ascii="Narkisim" w:hAnsi="Narkisim" w:cs="Narkisim"/>
          <w:b/>
          <w:bCs/>
          <w:rtl/>
        </w:rPr>
        <w:t>ב"י</w:t>
      </w:r>
      <w:r w:rsidRPr="003124AA">
        <w:rPr>
          <w:rFonts w:ascii="Narkisim" w:hAnsi="Narkisim" w:cs="Narkisim"/>
          <w:rtl/>
        </w:rPr>
        <w:t xml:space="preserve"> (או"ח שלד כה) דייק שאם אביו אינו מראה שנוח לו בכך, ואינו עומד עליו לא נחשב ע”ד אביו. ואף כשיש בו דעת להבחין, דשוב אינו כמצווהו</w:t>
      </w:r>
      <w:r w:rsidRPr="003124AA">
        <w:rPr>
          <w:rStyle w:val="ac"/>
          <w:rFonts w:ascii="Narkisim" w:hAnsi="Narkisim" w:cs="Narkisim"/>
          <w:rtl/>
        </w:rPr>
        <w:footnoteReference w:id="7563"/>
      </w:r>
      <w:r w:rsidRPr="003124AA">
        <w:rPr>
          <w:rFonts w:ascii="Narkisim" w:hAnsi="Narkisim" w:cs="Narkisim"/>
          <w:rtl/>
        </w:rPr>
        <w:t>.</w:t>
      </w:r>
    </w:p>
    <w:p w14:paraId="27C47FEF" w14:textId="77777777" w:rsidR="006C4368" w:rsidRPr="003124AA" w:rsidRDefault="006C4368" w:rsidP="006C4368">
      <w:pPr>
        <w:pStyle w:val="a7"/>
        <w:bidi/>
        <w:rPr>
          <w:rFonts w:ascii="Narkisim" w:hAnsi="Narkisim"/>
        </w:rPr>
      </w:pPr>
      <w:r w:rsidRPr="003124AA">
        <w:rPr>
          <w:rFonts w:ascii="Narkisim" w:hAnsi="Narkisim"/>
          <w:rtl/>
        </w:rPr>
        <w:t xml:space="preserve">אבל </w:t>
      </w:r>
      <w:r w:rsidRPr="003124AA">
        <w:rPr>
          <w:rFonts w:ascii="Narkisim" w:hAnsi="Narkisim"/>
          <w:b/>
          <w:bCs/>
          <w:rtl/>
        </w:rPr>
        <w:t>רש"י</w:t>
      </w:r>
      <w:r w:rsidRPr="003124AA">
        <w:rPr>
          <w:rFonts w:ascii="Narkisim" w:hAnsi="Narkisim"/>
          <w:rtl/>
        </w:rPr>
        <w:t xml:space="preserve"> (שבת קכא.) פי' ע"ד אביו, בקטן שידע להבחין שהכבוי זה נוח לאביו</w:t>
      </w:r>
      <w:r w:rsidRPr="003124AA">
        <w:rPr>
          <w:rStyle w:val="ac"/>
          <w:rFonts w:ascii="Narkisim" w:hAnsi="Narkisim"/>
          <w:rtl/>
        </w:rPr>
        <w:footnoteReference w:id="7564"/>
      </w:r>
      <w:r w:rsidRPr="003124AA">
        <w:rPr>
          <w:rFonts w:ascii="Narkisim" w:hAnsi="Narkisim"/>
          <w:rtl/>
        </w:rPr>
        <w:t>, ועושה בשבילו</w:t>
      </w:r>
      <w:r w:rsidRPr="003124AA">
        <w:rPr>
          <w:rStyle w:val="ac"/>
          <w:rFonts w:ascii="Narkisim" w:hAnsi="Narkisim"/>
          <w:rtl/>
        </w:rPr>
        <w:footnoteReference w:id="7565"/>
      </w:r>
      <w:r w:rsidRPr="003124AA">
        <w:rPr>
          <w:rFonts w:ascii="Narkisim" w:hAnsi="Narkisim"/>
          <w:rtl/>
        </w:rPr>
        <w:t>.</w:t>
      </w:r>
    </w:p>
    <w:p w14:paraId="386CBCBB"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ב"י</w:t>
      </w:r>
      <w:r w:rsidRPr="003124AA">
        <w:rPr>
          <w:rFonts w:ascii="Narkisim" w:hAnsi="Narkisim"/>
          <w:rtl/>
        </w:rPr>
        <w:t xml:space="preserve"> כת' דיותר נכון לומר [אף בכוונת רש"י דידן] דבדליקה מסתמא מרגיש הקטן שבכיבוי עושה נחת רוח לאביו, כיון דההפסד נראה לעינים. ומסתמא הוא עושה לעשות נחת רוח לאביו אע"פ שלא הראה לו אביו דניח"ל. משא"כ באבידת המפתחות אינו נראה לעינים. </w:t>
      </w:r>
      <w:r w:rsidRPr="003124AA">
        <w:rPr>
          <w:rFonts w:ascii="Narkisim" w:hAnsi="Narkisim"/>
          <w:szCs w:val="20"/>
          <w:rtl/>
        </w:rPr>
        <w:t>וה</w:t>
      </w:r>
      <w:r w:rsidRPr="003124AA">
        <w:rPr>
          <w:rFonts w:ascii="Narkisim" w:hAnsi="Narkisim"/>
          <w:b/>
          <w:bCs/>
          <w:szCs w:val="20"/>
          <w:rtl/>
        </w:rPr>
        <w:t>ב"י</w:t>
      </w:r>
      <w:r w:rsidRPr="003124AA">
        <w:rPr>
          <w:rFonts w:ascii="Narkisim" w:hAnsi="Narkisim"/>
          <w:szCs w:val="20"/>
          <w:rtl/>
        </w:rPr>
        <w:t xml:space="preserve"> הביא דכ"מ מהשמטת הרי"ף והרמב"ם, דבכל אופן בכיבוי אסור, שהקטן יודע דניח”ל. וכ”כ ה</w:t>
      </w:r>
      <w:r w:rsidRPr="003124AA">
        <w:rPr>
          <w:rFonts w:ascii="Narkisim" w:hAnsi="Narkisim"/>
          <w:b/>
          <w:bCs/>
          <w:szCs w:val="20"/>
          <w:rtl/>
        </w:rPr>
        <w:t>מג"א</w:t>
      </w:r>
      <w:r w:rsidRPr="003124AA">
        <w:rPr>
          <w:rFonts w:ascii="Narkisim" w:hAnsi="Narkisim"/>
          <w:szCs w:val="20"/>
          <w:rtl/>
        </w:rPr>
        <w:t xml:space="preserve"> (שלד כט)</w:t>
      </w:r>
      <w:r w:rsidRPr="003124AA">
        <w:rPr>
          <w:rFonts w:ascii="Narkisim" w:hAnsi="Narkisim"/>
          <w:rtl/>
        </w:rPr>
        <w:t>.</w:t>
      </w:r>
    </w:p>
    <w:p w14:paraId="3E9121A8" w14:textId="77777777" w:rsidR="006C4368" w:rsidRPr="003124AA" w:rsidRDefault="006C4368" w:rsidP="006C4368">
      <w:pPr>
        <w:bidi/>
        <w:rPr>
          <w:rFonts w:ascii="Narkisim" w:hAnsi="Narkisim" w:cs="Narkisim"/>
        </w:rPr>
      </w:pPr>
      <w:r w:rsidRPr="003124AA">
        <w:rPr>
          <w:rFonts w:ascii="Narkisim" w:hAnsi="Narkisim" w:cs="Narkisim"/>
          <w:u w:val="single"/>
          <w:rtl/>
        </w:rPr>
        <w:t>שם. ע"ד אביו</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דהוה כאילו מצווהו לעשות. וה</w:t>
      </w:r>
      <w:r w:rsidRPr="003124AA">
        <w:rPr>
          <w:rFonts w:ascii="Narkisim" w:hAnsi="Narkisim" w:cs="Narkisim"/>
          <w:b/>
          <w:bCs/>
          <w:rtl/>
        </w:rPr>
        <w:t>ריטב"א</w:t>
      </w:r>
      <w:r w:rsidRPr="003124AA">
        <w:rPr>
          <w:rFonts w:ascii="Narkisim" w:hAnsi="Narkisim" w:cs="Narkisim"/>
          <w:rtl/>
        </w:rPr>
        <w:t xml:space="preserve"> ביאר דהרי הוא כאומר קום עשה, וכאילו הוא מאכילו בידים שהוא אסור. וה</w:t>
      </w:r>
      <w:r w:rsidRPr="003124AA">
        <w:rPr>
          <w:rFonts w:ascii="Narkisim" w:hAnsi="Narkisim" w:cs="Narkisim"/>
          <w:b/>
          <w:bCs/>
          <w:rtl/>
        </w:rPr>
        <w:t>רשב"א</w:t>
      </w:r>
      <w:r w:rsidRPr="003124AA">
        <w:rPr>
          <w:rFonts w:ascii="Narkisim" w:hAnsi="Narkisim" w:cs="Narkisim"/>
          <w:rtl/>
        </w:rPr>
        <w:t xml:space="preserve"> (שבת קכא.) הוסיף דהוה דכיון דהוה לצורך אביו [ולא לצרכו] גרע מספייה. </w:t>
      </w:r>
      <w:r w:rsidRPr="003124AA">
        <w:rPr>
          <w:rFonts w:ascii="Narkisim" w:hAnsi="Narkisim" w:cs="Narkisim"/>
          <w:szCs w:val="20"/>
          <w:rtl/>
        </w:rPr>
        <w:t>[וה</w:t>
      </w:r>
      <w:r w:rsidRPr="003124AA">
        <w:rPr>
          <w:rFonts w:ascii="Narkisim" w:hAnsi="Narkisim" w:cs="Narkisim"/>
          <w:b/>
          <w:bCs/>
          <w:szCs w:val="20"/>
          <w:rtl/>
        </w:rPr>
        <w:t>ב"י</w:t>
      </w:r>
      <w:r w:rsidRPr="003124AA">
        <w:rPr>
          <w:rFonts w:ascii="Narkisim" w:hAnsi="Narkisim" w:cs="Narkisim"/>
          <w:szCs w:val="20"/>
          <w:rtl/>
        </w:rPr>
        <w:t xml:space="preserve"> (שם) דייק דכל קטן העושה ע"ד גדול, ולאו דוקא  ע"ד אביו</w:t>
      </w:r>
      <w:r w:rsidRPr="003124AA">
        <w:rPr>
          <w:rFonts w:ascii="Narkisim" w:hAnsi="Narkisim" w:cs="Narkisim"/>
          <w:rtl/>
        </w:rPr>
        <w:t>].</w:t>
      </w:r>
    </w:p>
    <w:p w14:paraId="60C50E0F"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(שבת קנג: בסוה”ע) כת' דקטן העושה על דעת אביו, כלומר ועובר בזה משום (שמות כ י) לא תעשה כל מלאכה, אתה ובנך</w:t>
      </w:r>
      <w:r w:rsidRPr="003124AA">
        <w:rPr>
          <w:rStyle w:val="ac"/>
          <w:rFonts w:ascii="Narkisim" w:hAnsi="Narkisim"/>
          <w:rtl/>
        </w:rPr>
        <w:footnoteReference w:id="7566"/>
      </w:r>
      <w:r w:rsidRPr="003124AA">
        <w:rPr>
          <w:rFonts w:ascii="Narkisim" w:hAnsi="Narkisim"/>
          <w:rtl/>
        </w:rPr>
        <w:t>. [וה</w:t>
      </w:r>
      <w:r w:rsidRPr="003124AA">
        <w:rPr>
          <w:rFonts w:ascii="Narkisim" w:hAnsi="Narkisim"/>
          <w:b/>
          <w:bCs/>
          <w:rtl/>
        </w:rPr>
        <w:t>אחרונים</w:t>
      </w:r>
      <w:r w:rsidRPr="003124AA">
        <w:rPr>
          <w:rFonts w:ascii="Narkisim" w:hAnsi="Narkisim"/>
          <w:rtl/>
        </w:rPr>
        <w:t xml:space="preserve"> דנו בגדר האיסור 'בנך', ואי הוה מגדרי איסור ספייה. וע”ע בסוף העמ']. </w:t>
      </w:r>
      <w:r w:rsidRPr="003124AA">
        <w:rPr>
          <w:rFonts w:ascii="Narkisim" w:hAnsi="Narkisim"/>
          <w:szCs w:val="20"/>
          <w:rtl/>
        </w:rPr>
        <w:t>[אך ה</w:t>
      </w:r>
      <w:r w:rsidRPr="003124AA">
        <w:rPr>
          <w:rFonts w:ascii="Narkisim" w:hAnsi="Narkisim"/>
          <w:b/>
          <w:bCs/>
          <w:szCs w:val="20"/>
          <w:rtl/>
        </w:rPr>
        <w:t>רשב"א</w:t>
      </w:r>
      <w:r w:rsidRPr="003124AA">
        <w:rPr>
          <w:rFonts w:ascii="Narkisim" w:hAnsi="Narkisim"/>
          <w:szCs w:val="20"/>
          <w:rtl/>
        </w:rPr>
        <w:t xml:space="preserve"> (קנג: בתחילת הסוגיה) כת' דאסור ליתן לו בידים, דדרשי' לא תאכילום. והאחרונים הק' בסתירת דבריו]</w:t>
      </w:r>
      <w:r w:rsidRPr="003124AA">
        <w:rPr>
          <w:rFonts w:ascii="Narkisim" w:hAnsi="Narkisim"/>
          <w:rtl/>
        </w:rPr>
        <w:t>.</w:t>
      </w:r>
    </w:p>
    <w:p w14:paraId="02B94219"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משנ”ב</w:t>
      </w:r>
      <w:r w:rsidRPr="003124AA">
        <w:rPr>
          <w:rFonts w:ascii="Narkisim" w:hAnsi="Narkisim"/>
          <w:rtl/>
        </w:rPr>
        <w:t xml:space="preserve"> (שלד שעה"צ נד) חילק עד”ז דבדליקת אביו, האב מחוייב מן התורה למחות בידו, שלא יעבור משום לא תעשה וגו' ובנך ובתך. כיון שהוא עושה לדעתו. ואילו בדליקת אחרים מחוייב למחות מדרבנן, כיון דקטן לא הוה אדעתא דנפשיה</w:t>
      </w:r>
      <w:r w:rsidRPr="003124AA">
        <w:rPr>
          <w:rStyle w:val="ac"/>
          <w:rFonts w:ascii="Narkisim" w:hAnsi="Narkisim"/>
          <w:rtl/>
        </w:rPr>
        <w:footnoteReference w:id="7567"/>
      </w:r>
      <w:r w:rsidRPr="003124AA">
        <w:rPr>
          <w:rFonts w:ascii="Narkisim" w:hAnsi="Narkisim"/>
          <w:rtl/>
        </w:rPr>
        <w:t xml:space="preserve"> [ודוקא עכו”ם אדעתא דנפשיה התירו].</w:t>
      </w:r>
    </w:p>
    <w:p w14:paraId="18297B19"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שפ"א</w:t>
      </w:r>
      <w:r w:rsidRPr="003124AA">
        <w:rPr>
          <w:rFonts w:ascii="Narkisim" w:hAnsi="Narkisim"/>
          <w:rtl/>
        </w:rPr>
        <w:t xml:space="preserve"> (שבת קכא.) העלה צד דקטן שעושה מלאכת אביו צריך להפרישו משום הך קרא. ואף לולי דגילה דעתו דניח"ל. וכת' די"ל דבסוגיין דבר טלי וטליא לא איירי בבנו ובתו. אך הביא (בסוגיין) דבפוסקים (או"ח שמג) מבואר דאף בבנו אי"צ להפרישו, אלא מדרבנן משום חינוך כמו בשאר איסורין.</w:t>
      </w:r>
    </w:p>
    <w:p w14:paraId="0A64228A"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וה</w:t>
      </w:r>
      <w:r w:rsidRPr="003124AA">
        <w:rPr>
          <w:rFonts w:ascii="Narkisim" w:hAnsi="Narkisim" w:cs="Narkisim"/>
          <w:b/>
          <w:bCs/>
          <w:rtl/>
        </w:rPr>
        <w:t>ריטב"א</w:t>
      </w:r>
      <w:r w:rsidRPr="003124AA">
        <w:rPr>
          <w:rFonts w:ascii="Narkisim" w:hAnsi="Narkisim" w:cs="Narkisim"/>
          <w:rtl/>
        </w:rPr>
        <w:t xml:space="preserve"> כת' עפ"ז דדוקא כשהקטן אוכל מעצמו אי"צ להפרישו, דאין האב מגלה לו </w:t>
      </w:r>
      <w:r w:rsidRPr="003124AA">
        <w:rPr>
          <w:rFonts w:ascii="Narkisim" w:hAnsi="Narkisim" w:cs="Narkisim"/>
          <w:rtl/>
        </w:rPr>
        <w:lastRenderedPageBreak/>
        <w:t>פנים דניח"ל, וכ"ש שלא יאמר לו קום אכול</w:t>
      </w:r>
      <w:r w:rsidRPr="003124AA">
        <w:rPr>
          <w:rStyle w:val="ac"/>
          <w:rFonts w:ascii="Narkisim" w:hAnsi="Narkisim" w:cs="Narkisim"/>
          <w:rtl/>
        </w:rPr>
        <w:footnoteReference w:id="7568"/>
      </w:r>
      <w:r w:rsidRPr="003124AA">
        <w:rPr>
          <w:rFonts w:ascii="Narkisim" w:hAnsi="Narkisim" w:cs="Narkisim"/>
          <w:rtl/>
        </w:rPr>
        <w:t>.</w:t>
      </w:r>
    </w:p>
    <w:p w14:paraId="3E8DB1F1" w14:textId="77777777" w:rsidR="006C4368" w:rsidRPr="003124AA" w:rsidRDefault="006C4368" w:rsidP="006C4368">
      <w:pPr>
        <w:pStyle w:val="a7"/>
        <w:bidi/>
        <w:rPr>
          <w:rFonts w:ascii="Narkisim" w:hAnsi="Narkisim"/>
        </w:rPr>
      </w:pPr>
      <w:r w:rsidRPr="003124AA">
        <w:rPr>
          <w:rFonts w:ascii="Narkisim" w:hAnsi="Narkisim"/>
          <w:rtl/>
        </w:rPr>
        <w:t>אבל ה</w:t>
      </w:r>
      <w:r w:rsidRPr="003124AA">
        <w:rPr>
          <w:rFonts w:ascii="Narkisim" w:hAnsi="Narkisim"/>
          <w:b/>
          <w:bCs/>
          <w:rtl/>
        </w:rPr>
        <w:t>ריטב"א</w:t>
      </w:r>
      <w:r w:rsidRPr="003124AA">
        <w:rPr>
          <w:rFonts w:ascii="Narkisim" w:hAnsi="Narkisim"/>
          <w:rtl/>
        </w:rPr>
        <w:t xml:space="preserve"> (נדה מו:) הביא (מקו' הגמ' שם, הו' בסמוך) דמותר לומר לקטן שיש לו רשות לאכול, ולומר לו אם תרצה תאכל. ולא חשיב כמאכיל בידים [וכאומר הבא לי מפתח] דהא לא כפי לה דתיכול.</w:t>
      </w:r>
    </w:p>
    <w:p w14:paraId="5CF05206" w14:textId="77777777" w:rsidR="006C4368" w:rsidRPr="003124AA" w:rsidRDefault="006C4368" w:rsidP="006C4368">
      <w:pPr>
        <w:pStyle w:val="aa"/>
        <w:bidi/>
        <w:rPr>
          <w:rFonts w:ascii="Narkisim" w:hAnsi="Narkisim"/>
        </w:rPr>
      </w:pPr>
      <w:r w:rsidRPr="003124AA">
        <w:rPr>
          <w:rFonts w:ascii="Narkisim" w:hAnsi="Narkisim"/>
          <w:u w:val="single"/>
          <w:rtl/>
        </w:rPr>
        <w:t>בן חבר שרגיל אצל אבי אמו ע"ה, אין חוששין שמא יאכילנו דברים שאינם מתוקנים וכו'</w:t>
      </w:r>
      <w:r w:rsidRPr="003124AA">
        <w:rPr>
          <w:rFonts w:ascii="Narkisim" w:hAnsi="Narkisim"/>
          <w:rtl/>
        </w:rPr>
        <w:t>. ה</w:t>
      </w:r>
      <w:r w:rsidRPr="003124AA">
        <w:rPr>
          <w:rFonts w:ascii="Narkisim" w:hAnsi="Narkisim"/>
          <w:b/>
          <w:bCs/>
          <w:rtl/>
        </w:rPr>
        <w:t>מצפ"א</w:t>
      </w:r>
      <w:r w:rsidRPr="003124AA">
        <w:rPr>
          <w:rFonts w:ascii="Narkisim" w:hAnsi="Narkisim"/>
          <w:rtl/>
        </w:rPr>
        <w:t xml:space="preserve"> ציין לגמ' (נדרים כ.) אל תהי רגיל אצל עם הארץ, שסופך להאכילך טבלים. ואל תהי רגיל אצל כהן עם הארץ שסופך להאכילך תרומה.</w:t>
      </w:r>
    </w:p>
    <w:p w14:paraId="0A87AA77" w14:textId="77777777" w:rsidR="006C4368" w:rsidRPr="003124AA" w:rsidRDefault="006C4368" w:rsidP="006C4368">
      <w:pPr>
        <w:bidi/>
        <w:rPr>
          <w:rFonts w:ascii="Narkisim" w:hAnsi="Narkisim" w:cs="Narkisim"/>
        </w:rPr>
      </w:pPr>
      <w:r w:rsidRPr="003124AA">
        <w:rPr>
          <w:rFonts w:ascii="Narkisim" w:hAnsi="Narkisim" w:cs="Narkisim"/>
          <w:u w:val="single"/>
          <w:rtl/>
        </w:rPr>
        <w:t>תוד"ה אמר</w:t>
      </w:r>
      <w:r w:rsidRPr="003124AA">
        <w:rPr>
          <w:rFonts w:ascii="Narkisim" w:hAnsi="Narkisim" w:cs="Narkisim"/>
          <w:rtl/>
        </w:rPr>
        <w:t>. א"נ כיון שיש לחוש לספק טבל דהוה דאורייתא החמירו וכו'. ה</w:t>
      </w:r>
      <w:r w:rsidRPr="003124AA">
        <w:rPr>
          <w:rFonts w:ascii="Narkisim" w:hAnsi="Narkisim" w:cs="Narkisim"/>
          <w:b/>
          <w:bCs/>
          <w:rtl/>
        </w:rPr>
        <w:t>קובה"ע</w:t>
      </w:r>
      <w:r w:rsidRPr="003124AA">
        <w:rPr>
          <w:rFonts w:ascii="Narkisim" w:hAnsi="Narkisim" w:cs="Narkisim"/>
          <w:rtl/>
        </w:rPr>
        <w:t xml:space="preserve"> (עה ו) חקר בגדר האיסור דמאי, האם תקנו לחשוש לצד דאינו מעושר. או דתקנו דהוה ודאי טבל דרבנן. [עי"ש שהביא מכמה סוגיות, וע"ע אתוון דאורייתא ו וקה"י זרעים ד].</w:t>
      </w:r>
    </w:p>
    <w:p w14:paraId="11A35B7E" w14:textId="77777777" w:rsidR="006C4368" w:rsidRPr="003124AA" w:rsidRDefault="006C4368" w:rsidP="006C4368">
      <w:pPr>
        <w:pStyle w:val="a7"/>
        <w:bidi/>
        <w:rPr>
          <w:rFonts w:ascii="Narkisim" w:hAnsi="Narkisim"/>
        </w:rPr>
      </w:pPr>
      <w:r w:rsidRPr="003124AA">
        <w:rPr>
          <w:rFonts w:ascii="Narkisim" w:hAnsi="Narkisim"/>
          <w:rtl/>
        </w:rPr>
        <w:t>והביא דבזה נח' תי' התוס', דלתי' הב' גדר התקנה לחוש למיעוט שאינן מעשרין דהוה טבל דאורייתא, ומדרבנן צריך לחוש משום איסור דאורייתא, ואם היה ידוע שהוא טבל דאורייתא היה צריך מדאורייתא להפריש את הקטן.</w:t>
      </w:r>
    </w:p>
    <w:p w14:paraId="42F9B675"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סיום ה</w:t>
      </w:r>
      <w:r w:rsidRPr="003124AA">
        <w:rPr>
          <w:rFonts w:ascii="Narkisim" w:hAnsi="Narkisim" w:cs="Narkisim"/>
          <w:b/>
          <w:bCs/>
          <w:rtl/>
        </w:rPr>
        <w:t>תוספתא</w:t>
      </w:r>
      <w:r w:rsidRPr="003124AA">
        <w:rPr>
          <w:rFonts w:ascii="Narkisim" w:hAnsi="Narkisim" w:cs="Narkisim"/>
          <w:rtl/>
        </w:rPr>
        <w:t xml:space="preserve"> (דמאי ג) ואם אמר לו האכילני, מעשר ומאכילו. [דלא הותר להאכיל בידים. ואף דמאי]. וה</w:t>
      </w:r>
      <w:r w:rsidRPr="003124AA">
        <w:rPr>
          <w:rFonts w:ascii="Narkisim" w:hAnsi="Narkisim" w:cs="Narkisim"/>
          <w:b/>
          <w:bCs/>
          <w:rtl/>
        </w:rPr>
        <w:t>אחרונים</w:t>
      </w:r>
      <w:r w:rsidRPr="003124AA">
        <w:rPr>
          <w:rFonts w:ascii="Narkisim" w:hAnsi="Narkisim" w:cs="Narkisim"/>
          <w:rtl/>
        </w:rPr>
        <w:t xml:space="preserve"> הביאו דאף למ"ד דאין בי"ד מצווין להפרישו, מ"מ אין מאכילין אותו בידים, ואפי' איסור דמאי דרבנן.</w:t>
      </w:r>
    </w:p>
    <w:p w14:paraId="00D97D80"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בית הלוי</w:t>
      </w:r>
      <w:r w:rsidRPr="003124AA">
        <w:rPr>
          <w:rFonts w:ascii="Narkisim" w:hAnsi="Narkisim"/>
          <w:rtl/>
        </w:rPr>
        <w:t xml:space="preserve"> (ג נה) הק' לדעת הרשב”א (הו' בסמוך) דלמ”ד אין בי”ד מצווין להפרישו, מותר אף להאכיל בידים איסור דרבנן. והק' דמבואר כאן דבדמאי אסור להאכיל בידים. וכת' דע”כ דהרשב”א ס”ל כתי' הב' בתוס' דשאני דמאי דחששו משום דאורייתא.</w:t>
      </w:r>
    </w:p>
    <w:p w14:paraId="32B0468E" w14:textId="77777777" w:rsidR="006C4368" w:rsidRPr="003124AA" w:rsidRDefault="006C4368" w:rsidP="006C4368">
      <w:pPr>
        <w:pStyle w:val="a7"/>
        <w:bidi/>
        <w:rPr>
          <w:rFonts w:ascii="Narkisim" w:hAnsi="Narkisim"/>
        </w:rPr>
      </w:pPr>
      <w:r w:rsidRPr="003124AA">
        <w:rPr>
          <w:rFonts w:ascii="Narkisim" w:hAnsi="Narkisim"/>
          <w:rtl/>
        </w:rPr>
        <w:t xml:space="preserve">אך דן לדחות דאסור להאכיל קטן דמאי משום דאסור בהנאת כילוי של טבל, וכמ"ש </w:t>
      </w:r>
      <w:r w:rsidRPr="003124AA">
        <w:rPr>
          <w:rFonts w:ascii="Narkisim" w:hAnsi="Narkisim"/>
          <w:b/>
          <w:bCs/>
          <w:rtl/>
        </w:rPr>
        <w:t>תוס'</w:t>
      </w:r>
      <w:r w:rsidRPr="003124AA">
        <w:rPr>
          <w:rFonts w:ascii="Narkisim" w:hAnsi="Narkisim"/>
          <w:rtl/>
        </w:rPr>
        <w:t xml:space="preserve"> (לעיל סו: ד”ה לא)</w:t>
      </w:r>
      <w:r w:rsidRPr="003124AA">
        <w:rPr>
          <w:rStyle w:val="ac"/>
          <w:rFonts w:ascii="Narkisim" w:hAnsi="Narkisim"/>
          <w:rtl/>
        </w:rPr>
        <w:footnoteReference w:id="7569"/>
      </w:r>
      <w:r w:rsidRPr="003124AA">
        <w:rPr>
          <w:rFonts w:ascii="Narkisim" w:hAnsi="Narkisim"/>
          <w:rtl/>
        </w:rPr>
        <w:t xml:space="preserve">. וכשמאכיל לקטן לא גרע ממאכיל לבהמה. </w:t>
      </w:r>
      <w:r w:rsidRPr="003124AA">
        <w:rPr>
          <w:rFonts w:ascii="Narkisim" w:hAnsi="Narkisim"/>
          <w:szCs w:val="20"/>
          <w:rtl/>
        </w:rPr>
        <w:t>אבל כשהקטן אוכל מעצמו אין לאוסרו משום הנאה של כילוי. דהא אף בבהמה שאוכלת טבל גמור מעצמה לא מצינו שיהיו הבעלים מצוין להפרישה. וע"כ הצד לאסור בקטן משום דאסור שהקטן יאכל דבר האסור לו. ומשו"ה מדאין זקוק לו מדייק הגמ' דאין מצוין להפרישו.</w:t>
      </w:r>
    </w:p>
    <w:p w14:paraId="2F8F9220" w14:textId="77777777" w:rsidR="006C4368" w:rsidRPr="003124AA" w:rsidRDefault="006C4368" w:rsidP="006C4368">
      <w:pPr>
        <w:bidi/>
        <w:rPr>
          <w:rFonts w:ascii="Narkisim" w:hAnsi="Narkisim" w:cs="Narkisim"/>
        </w:rPr>
      </w:pPr>
      <w:r w:rsidRPr="003124AA">
        <w:rPr>
          <w:rFonts w:ascii="Narkisim" w:hAnsi="Narkisim" w:cs="Narkisim"/>
          <w:u w:val="single"/>
          <w:rtl/>
        </w:rPr>
        <w:t>תוד"ה אלא</w:t>
      </w:r>
      <w:r w:rsidRPr="003124AA">
        <w:rPr>
          <w:rFonts w:ascii="Narkisim" w:hAnsi="Narkisim" w:cs="Narkisim"/>
          <w:rtl/>
        </w:rPr>
        <w:t>. והא דקאמר (נדה מו:) אליבא דר' יוחנן דאמר מופלא הסמוך לאיש דאורייתא וכו'. דהגמ' מק' האיך מהני ביתומה קטנה שהבעל מיפר נדריה (וכר' יהושע לעיל קח., וע"ע לעיל פט:) למ"ד מופלא הסמוך לאיש דאורייתא. ובשלמא למ"ד דנדרי מופלא הוה מדרבנן, אתי נישואין דרבנן ומבטלי נדרי דרבנן.</w:t>
      </w:r>
    </w:p>
    <w:p w14:paraId="31E5A11E" w14:textId="77777777" w:rsidR="006C4368" w:rsidRPr="003124AA" w:rsidRDefault="006C4368" w:rsidP="006C4368">
      <w:pPr>
        <w:pStyle w:val="a7"/>
        <w:bidi/>
        <w:rPr>
          <w:rFonts w:ascii="Narkisim" w:hAnsi="Narkisim"/>
        </w:rPr>
      </w:pPr>
      <w:r w:rsidRPr="003124AA">
        <w:rPr>
          <w:rFonts w:ascii="Narkisim" w:hAnsi="Narkisim"/>
          <w:rtl/>
        </w:rPr>
        <w:t>ורב יהודה אמר שמואל דחה דקטן אוכל נבילות ואין בי"ד מצווין להפרישו. והגמ' מק' דכי גדלה אכלה בהפרה קמייתא. ומסקנת הגמ' דכל הנודרת ע"ד בעלה נודרת</w:t>
      </w:r>
      <w:r w:rsidRPr="003124AA">
        <w:rPr>
          <w:rStyle w:val="ac"/>
          <w:rFonts w:ascii="Narkisim" w:hAnsi="Narkisim"/>
          <w:rtl/>
        </w:rPr>
        <w:footnoteReference w:id="7570"/>
      </w:r>
      <w:r w:rsidRPr="003124AA">
        <w:rPr>
          <w:rFonts w:ascii="Narkisim" w:hAnsi="Narkisim"/>
          <w:rtl/>
        </w:rPr>
        <w:t>.</w:t>
      </w:r>
    </w:p>
    <w:p w14:paraId="5162C2AB" w14:textId="77777777" w:rsidR="006C4368" w:rsidRPr="003124AA" w:rsidRDefault="006C4368" w:rsidP="006C4368">
      <w:pPr>
        <w:pStyle w:val="a7"/>
        <w:bidi/>
        <w:rPr>
          <w:rFonts w:ascii="Narkisim" w:hAnsi="Narkisim"/>
        </w:rPr>
      </w:pPr>
      <w:r w:rsidRPr="003124AA">
        <w:rPr>
          <w:rFonts w:ascii="Narkisim" w:hAnsi="Narkisim"/>
          <w:rtl/>
        </w:rPr>
        <w:t>ותוס' הק' האיך מהני התי' דקטן אוכל נבילות אליבא דר' יוחנן, שנסתפק בזה בסוגיין. ועוה"ק ה</w:t>
      </w:r>
      <w:r w:rsidRPr="003124AA">
        <w:rPr>
          <w:rFonts w:ascii="Narkisim" w:hAnsi="Narkisim"/>
          <w:b/>
          <w:bCs/>
          <w:rtl/>
        </w:rPr>
        <w:t>רשב"א</w:t>
      </w:r>
      <w:r w:rsidRPr="003124AA">
        <w:rPr>
          <w:rFonts w:ascii="Narkisim" w:hAnsi="Narkisim"/>
          <w:rtl/>
        </w:rPr>
        <w:t xml:space="preserve"> דאמרי' בסוגיין לא יאמר הבא לי מפתח, ואפי' בעושה ע"ד אביו אסור. והתם כיון דמפר לה בעל הר"ז כאילו אמר לה קומי אכולי. אבל ה</w:t>
      </w:r>
      <w:r w:rsidRPr="003124AA">
        <w:rPr>
          <w:rFonts w:ascii="Narkisim" w:hAnsi="Narkisim"/>
          <w:b/>
          <w:bCs/>
          <w:rtl/>
        </w:rPr>
        <w:t>ריטב"א</w:t>
      </w:r>
      <w:r w:rsidRPr="003124AA">
        <w:rPr>
          <w:rFonts w:ascii="Narkisim" w:hAnsi="Narkisim"/>
          <w:rtl/>
        </w:rPr>
        <w:t xml:space="preserve"> (נדה שם הנ”ל) כת' דכיון דאינו כופה אותה לאכול לא נחשב שמאכיל בידים. ומותר לומר לקטן שיש לו רשות לאכול, ולומר לו אם תרצה תאכל. [וכמו שאומר הבא לי מפתח, וגורם לו לאכול].</w:t>
      </w:r>
    </w:p>
    <w:p w14:paraId="54D2F63F"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משנ"ל</w:t>
      </w:r>
      <w:r w:rsidRPr="003124AA">
        <w:rPr>
          <w:rFonts w:ascii="Narkisim" w:hAnsi="Narkisim"/>
          <w:rtl/>
        </w:rPr>
        <w:t xml:space="preserve"> (מאכ"א יז) נסתפק בזה להטעות קטן ולומר לו על דבר איסור שהוא מותר, וכת' דנראה פשיטא דאסור דהוי מאכילו בידים</w:t>
      </w:r>
      <w:r w:rsidRPr="003124AA">
        <w:rPr>
          <w:rStyle w:val="ac"/>
          <w:rFonts w:ascii="Narkisim" w:hAnsi="Narkisim"/>
          <w:rtl/>
        </w:rPr>
        <w:footnoteReference w:id="7571"/>
      </w:r>
      <w:r w:rsidRPr="003124AA">
        <w:rPr>
          <w:rFonts w:ascii="Narkisim" w:hAnsi="Narkisim"/>
          <w:rtl/>
        </w:rPr>
        <w:t>. אך הק' מהגמ' (נדה הנ"ל). [ונח' בזה הראשונים הנ"ל].</w:t>
      </w:r>
    </w:p>
    <w:p w14:paraId="3C3DA20F" w14:textId="77777777" w:rsidR="006C4368" w:rsidRPr="003124AA" w:rsidRDefault="006C4368" w:rsidP="006C4368">
      <w:pPr>
        <w:pStyle w:val="aa"/>
        <w:bidi/>
        <w:rPr>
          <w:rFonts w:ascii="Narkisim" w:hAnsi="Narkisim"/>
        </w:rPr>
      </w:pPr>
      <w:r w:rsidRPr="003124AA">
        <w:rPr>
          <w:rFonts w:ascii="Narkisim" w:hAnsi="Narkisim"/>
          <w:rtl/>
        </w:rPr>
        <w:lastRenderedPageBreak/>
        <w:t>וה</w:t>
      </w:r>
      <w:r w:rsidRPr="003124AA">
        <w:rPr>
          <w:rFonts w:ascii="Narkisim" w:hAnsi="Narkisim"/>
          <w:b/>
          <w:bCs/>
          <w:rtl/>
        </w:rPr>
        <w:t>משנ"ב</w:t>
      </w:r>
      <w:r w:rsidRPr="003124AA">
        <w:rPr>
          <w:rFonts w:ascii="Narkisim" w:hAnsi="Narkisim"/>
          <w:rtl/>
        </w:rPr>
        <w:t xml:space="preserve"> (שמג ה) כת' דאסור לומר לנכרי שיתן לתינוק דבר האסור, דאמירה לנכרי אסור</w:t>
      </w:r>
      <w:r w:rsidRPr="003124AA">
        <w:rPr>
          <w:rStyle w:val="ac"/>
          <w:rFonts w:ascii="Narkisim" w:hAnsi="Narkisim"/>
          <w:rtl/>
        </w:rPr>
        <w:footnoteReference w:id="7572"/>
      </w:r>
      <w:r w:rsidRPr="003124AA">
        <w:rPr>
          <w:rFonts w:ascii="Narkisim" w:hAnsi="Narkisim"/>
          <w:rtl/>
        </w:rPr>
        <w:t>. [והוה אמירה לנכרי על איסור ספייה]. והמשנ"ב הוסיף דכ"ש דאסור לומר לתינוק בעצמו שיאכל</w:t>
      </w:r>
      <w:r w:rsidRPr="003124AA">
        <w:rPr>
          <w:rStyle w:val="ac"/>
          <w:rFonts w:ascii="Narkisim" w:hAnsi="Narkisim"/>
          <w:rtl/>
        </w:rPr>
        <w:footnoteReference w:id="7573"/>
      </w:r>
      <w:r w:rsidRPr="003124AA">
        <w:rPr>
          <w:rFonts w:ascii="Narkisim" w:hAnsi="Narkisim"/>
          <w:rtl/>
        </w:rPr>
        <w:t>.</w:t>
      </w:r>
    </w:p>
    <w:p w14:paraId="237EE4C1" w14:textId="77777777" w:rsidR="006C4368" w:rsidRPr="003124AA" w:rsidRDefault="006C4368" w:rsidP="006C4368">
      <w:pPr>
        <w:bidi/>
        <w:rPr>
          <w:rFonts w:ascii="Narkisim" w:hAnsi="Narkisim" w:cs="Narkisim"/>
        </w:rPr>
      </w:pPr>
      <w:r w:rsidRPr="003124AA">
        <w:rPr>
          <w:rFonts w:ascii="Narkisim" w:hAnsi="Narkisim" w:cs="Narkisim"/>
          <w:u w:val="single"/>
          <w:rtl/>
        </w:rPr>
        <w:t>והאמר ר' יוחנן בעושה ע"ד אביו, אלא ר' יוחנן ספוקי מספק"ל וכו'</w:t>
      </w:r>
      <w:r w:rsidRPr="003124AA">
        <w:rPr>
          <w:rFonts w:ascii="Narkisim" w:hAnsi="Narkisim" w:cs="Narkisim"/>
          <w:rtl/>
        </w:rPr>
        <w:t xml:space="preserve">. </w:t>
      </w:r>
      <w:r w:rsidRPr="003124AA">
        <w:rPr>
          <w:rFonts w:ascii="Narkisim" w:hAnsi="Narkisim" w:cs="Narkisim"/>
          <w:b/>
          <w:bCs/>
          <w:rtl/>
        </w:rPr>
        <w:t>רע"א</w:t>
      </w:r>
      <w:r w:rsidRPr="003124AA">
        <w:rPr>
          <w:rFonts w:ascii="Narkisim" w:hAnsi="Narkisim" w:cs="Narkisim"/>
          <w:rtl/>
        </w:rPr>
        <w:t xml:space="preserve"> הק' דנימא ר' יוחנן העמיד בעושה ע"ד אביו משום שרצה להעמיד את המשנה (שבת קכב.) כר' שמעון דכיבוי אי"צ לגופה, ובאיסור דרבנן אי"צ להפרישו אא"כ עושה ע"ד אביו.</w:t>
      </w:r>
    </w:p>
    <w:p w14:paraId="561A88A5" w14:textId="77777777" w:rsidR="006C4368" w:rsidRPr="003124AA" w:rsidRDefault="006C4368" w:rsidP="006C4368">
      <w:pPr>
        <w:bidi/>
        <w:rPr>
          <w:rFonts w:ascii="Narkisim" w:hAnsi="Narkisim" w:cs="Narkisim"/>
        </w:rPr>
      </w:pPr>
      <w:r w:rsidRPr="003124AA">
        <w:rPr>
          <w:rFonts w:ascii="Narkisim" w:hAnsi="Narkisim" w:cs="Narkisim"/>
          <w:u w:val="single"/>
          <w:rtl/>
        </w:rPr>
        <w:t>שם. ר' יוחנן ספוקי מספק"ל</w:t>
      </w:r>
      <w:r w:rsidRPr="003124AA">
        <w:rPr>
          <w:rFonts w:ascii="Narkisim" w:hAnsi="Narkisim" w:cs="Narkisim"/>
          <w:rtl/>
        </w:rPr>
        <w:t>. ה</w:t>
      </w:r>
      <w:r w:rsidRPr="003124AA">
        <w:rPr>
          <w:rFonts w:ascii="Narkisim" w:hAnsi="Narkisim" w:cs="Narkisim"/>
          <w:b/>
          <w:bCs/>
          <w:rtl/>
        </w:rPr>
        <w:t>רשב"א</w:t>
      </w:r>
      <w:r w:rsidRPr="003124AA">
        <w:rPr>
          <w:rFonts w:ascii="Narkisim" w:hAnsi="Narkisim" w:cs="Narkisim"/>
          <w:rtl/>
        </w:rPr>
        <w:t xml:space="preserve"> כת' דאף דר' יוחנן מספק"ל, מ”מ כיון דר' פדת לר' יצחק בר ביסנא עבדו עובדא נקטינן הכי</w:t>
      </w:r>
      <w:r w:rsidRPr="003124AA">
        <w:rPr>
          <w:rStyle w:val="ac"/>
          <w:rFonts w:ascii="Narkisim" w:hAnsi="Narkisim" w:cs="Narkisim"/>
          <w:rtl/>
        </w:rPr>
        <w:footnoteReference w:id="7574"/>
      </w:r>
      <w:r w:rsidRPr="003124AA">
        <w:rPr>
          <w:rFonts w:ascii="Narkisim" w:hAnsi="Narkisim" w:cs="Narkisim"/>
          <w:rtl/>
        </w:rPr>
        <w:t>. וכן בכמה סוגיות אמרי' דקטן אוכל נבילות ואין בי"ד מצווין להפרישו.</w:t>
      </w:r>
    </w:p>
    <w:p w14:paraId="52F8F530" w14:textId="77777777" w:rsidR="006C4368" w:rsidRPr="003124AA" w:rsidRDefault="006C4368" w:rsidP="006C4368">
      <w:pPr>
        <w:pStyle w:val="a7"/>
        <w:bidi/>
        <w:rPr>
          <w:rFonts w:ascii="Narkisim" w:hAnsi="Narkisim"/>
        </w:rPr>
      </w:pPr>
      <w:r w:rsidRPr="003124AA">
        <w:rPr>
          <w:rFonts w:ascii="Narkisim" w:hAnsi="Narkisim"/>
          <w:rtl/>
        </w:rPr>
        <w:t>אבל הביאו ד</w:t>
      </w:r>
      <w:r w:rsidRPr="003124AA">
        <w:rPr>
          <w:rFonts w:ascii="Narkisim" w:hAnsi="Narkisim"/>
          <w:b/>
          <w:bCs/>
          <w:rtl/>
        </w:rPr>
        <w:t>תוס</w:t>
      </w:r>
      <w:r w:rsidRPr="003124AA">
        <w:rPr>
          <w:rFonts w:ascii="Narkisim" w:hAnsi="Narkisim"/>
          <w:rtl/>
        </w:rPr>
        <w:t>' (בכ"מ, ע' ר”ה לג.) משמע דלא איפשיט אי בי"ד מצווין להפרישו.</w:t>
      </w:r>
    </w:p>
    <w:p w14:paraId="33E304B6"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רמב"ם</w:t>
      </w:r>
      <w:r w:rsidRPr="003124AA">
        <w:rPr>
          <w:rFonts w:ascii="Narkisim" w:hAnsi="Narkisim" w:cs="Narkisim"/>
          <w:rtl/>
        </w:rPr>
        <w:t xml:space="preserve"> (שבת יב ז, ואיסו"ב יז כז) פסק דאין בי”ד מצווין להפרישו. אבל ה</w:t>
      </w:r>
      <w:r w:rsidRPr="003124AA">
        <w:rPr>
          <w:rFonts w:ascii="Narkisim" w:hAnsi="Narkisim" w:cs="Narkisim"/>
          <w:b/>
          <w:bCs/>
          <w:rtl/>
        </w:rPr>
        <w:t>רמב"ם</w:t>
      </w:r>
      <w:r w:rsidRPr="003124AA">
        <w:rPr>
          <w:rFonts w:ascii="Narkisim" w:hAnsi="Narkisim" w:cs="Narkisim"/>
          <w:rtl/>
        </w:rPr>
        <w:t xml:space="preserve"> (שבת כד יא) כת' דקטן העושה דבר האסור משום שבות</w:t>
      </w:r>
      <w:r w:rsidRPr="003124AA">
        <w:rPr>
          <w:rStyle w:val="ac"/>
          <w:rFonts w:ascii="Narkisim" w:hAnsi="Narkisim" w:cs="Narkisim"/>
          <w:rtl/>
        </w:rPr>
        <w:footnoteReference w:id="7575"/>
      </w:r>
      <w:r w:rsidRPr="003124AA">
        <w:rPr>
          <w:rFonts w:ascii="Narkisim" w:hAnsi="Narkisim" w:cs="Narkisim"/>
          <w:rtl/>
        </w:rPr>
        <w:t xml:space="preserve"> אין בי"ד מצווין להפרישו, וכן אם אביו הניחו אין ממחין בידו. ו</w:t>
      </w:r>
      <w:r w:rsidRPr="003124AA">
        <w:rPr>
          <w:rFonts w:ascii="Narkisim" w:hAnsi="Narkisim" w:cs="Narkisim"/>
          <w:b/>
          <w:bCs/>
          <w:rtl/>
        </w:rPr>
        <w:t>ה"ה</w:t>
      </w:r>
      <w:r w:rsidRPr="003124AA">
        <w:rPr>
          <w:rFonts w:ascii="Narkisim" w:hAnsi="Narkisim" w:cs="Narkisim"/>
          <w:rtl/>
        </w:rPr>
        <w:t xml:space="preserve"> וה</w:t>
      </w:r>
      <w:r w:rsidRPr="003124AA">
        <w:rPr>
          <w:rFonts w:ascii="Narkisim" w:hAnsi="Narkisim" w:cs="Narkisim"/>
          <w:b/>
          <w:bCs/>
          <w:rtl/>
        </w:rPr>
        <w:t>טור</w:t>
      </w:r>
      <w:r w:rsidRPr="003124AA">
        <w:rPr>
          <w:rFonts w:ascii="Narkisim" w:hAnsi="Narkisim" w:cs="Narkisim"/>
          <w:rtl/>
        </w:rPr>
        <w:t xml:space="preserve"> (שמג) תמהו דהרמב"ם (הנ"ל) פסק דאף בדאורייתא אין מצווין להפריש. וה</w:t>
      </w:r>
      <w:r w:rsidRPr="003124AA">
        <w:rPr>
          <w:rFonts w:ascii="Narkisim" w:hAnsi="Narkisim" w:cs="Narkisim"/>
          <w:b/>
          <w:bCs/>
          <w:rtl/>
        </w:rPr>
        <w:t>ב"י</w:t>
      </w:r>
      <w:r w:rsidRPr="003124AA">
        <w:rPr>
          <w:rFonts w:ascii="Narkisim" w:hAnsi="Narkisim" w:cs="Narkisim"/>
          <w:rtl/>
        </w:rPr>
        <w:t xml:space="preserve"> הביא בשם ה</w:t>
      </w:r>
      <w:r w:rsidRPr="003124AA">
        <w:rPr>
          <w:rFonts w:ascii="Narkisim" w:hAnsi="Narkisim" w:cs="Narkisim"/>
          <w:b/>
          <w:bCs/>
          <w:rtl/>
        </w:rPr>
        <w:t>ר"י פאסי</w:t>
      </w:r>
      <w:r w:rsidRPr="003124AA">
        <w:rPr>
          <w:rFonts w:ascii="Narkisim" w:hAnsi="Narkisim" w:cs="Narkisim"/>
          <w:rtl/>
        </w:rPr>
        <w:t xml:space="preserve"> דהרמב"ם נקט שבות משום סיפא, דאין ממחין ביד אביו. אבל באיסור דאורייתא מוטל על אביו לחנכו ולהפרישו [ובי"ד כופין את אביו].</w:t>
      </w:r>
    </w:p>
    <w:p w14:paraId="27387E87" w14:textId="77777777" w:rsidR="006C4368" w:rsidRPr="003124AA" w:rsidRDefault="006C4368" w:rsidP="006C4368">
      <w:pPr>
        <w:bidi/>
        <w:rPr>
          <w:rFonts w:ascii="Narkisim" w:hAnsi="Narkisim" w:cs="Narkisim"/>
        </w:rPr>
      </w:pPr>
      <w:r w:rsidRPr="003124AA">
        <w:rPr>
          <w:rFonts w:ascii="Narkisim" w:hAnsi="Narkisim" w:cs="Narkisim"/>
          <w:u w:val="single"/>
          <w:rtl/>
        </w:rPr>
        <w:t>מעובדת כוכבים</w:t>
      </w:r>
      <w:r w:rsidRPr="003124AA">
        <w:rPr>
          <w:rFonts w:ascii="Narkisim" w:hAnsi="Narkisim" w:cs="Narkisim"/>
          <w:rtl/>
        </w:rPr>
        <w:t>. ה</w:t>
      </w:r>
      <w:r w:rsidRPr="003124AA">
        <w:rPr>
          <w:rFonts w:ascii="Narkisim" w:hAnsi="Narkisim" w:cs="Narkisim"/>
          <w:b/>
          <w:bCs/>
          <w:rtl/>
        </w:rPr>
        <w:t>רשב"א</w:t>
      </w:r>
      <w:r w:rsidRPr="003124AA">
        <w:rPr>
          <w:rFonts w:ascii="Narkisim" w:hAnsi="Narkisim" w:cs="Narkisim"/>
          <w:rtl/>
        </w:rPr>
        <w:t xml:space="preserve"> הביא ד</w:t>
      </w:r>
      <w:r w:rsidRPr="003124AA">
        <w:rPr>
          <w:rFonts w:ascii="Narkisim" w:hAnsi="Narkisim" w:cs="Narkisim"/>
          <w:b/>
          <w:bCs/>
          <w:rtl/>
        </w:rPr>
        <w:t>ר"ח</w:t>
      </w:r>
      <w:r w:rsidRPr="003124AA">
        <w:rPr>
          <w:rFonts w:ascii="Narkisim" w:hAnsi="Narkisim" w:cs="Narkisim"/>
          <w:rtl/>
        </w:rPr>
        <w:t xml:space="preserve"> כת' דמהא שמעינן דאסור לתת לתינוק להניק מן הכותית, אלא דהתירו במקום סכנה. דומיה דבהמה טמאה. וה</w:t>
      </w:r>
      <w:r w:rsidRPr="003124AA">
        <w:rPr>
          <w:rFonts w:ascii="Narkisim" w:hAnsi="Narkisim" w:cs="Narkisim"/>
          <w:b/>
          <w:bCs/>
          <w:rtl/>
        </w:rPr>
        <w:t>ראשונים</w:t>
      </w:r>
      <w:r w:rsidRPr="003124AA">
        <w:rPr>
          <w:rFonts w:ascii="Narkisim" w:hAnsi="Narkisim" w:cs="Narkisim"/>
          <w:rtl/>
        </w:rPr>
        <w:t xml:space="preserve"> הק' דבמשנה (ע”ז כו.) מבואר דמדינא מותר</w:t>
      </w:r>
      <w:r w:rsidRPr="003124AA">
        <w:rPr>
          <w:rStyle w:val="ac"/>
          <w:rFonts w:ascii="Narkisim" w:hAnsi="Narkisim" w:cs="Narkisim"/>
          <w:rtl/>
        </w:rPr>
        <w:footnoteReference w:id="7576"/>
      </w:r>
      <w:r w:rsidRPr="003124AA">
        <w:rPr>
          <w:rFonts w:ascii="Narkisim" w:hAnsi="Narkisim" w:cs="Narkisim"/>
          <w:rtl/>
        </w:rPr>
        <w:t>. ועוד תמה ה</w:t>
      </w:r>
      <w:r w:rsidRPr="003124AA">
        <w:rPr>
          <w:rFonts w:ascii="Narkisim" w:hAnsi="Narkisim" w:cs="Narkisim"/>
          <w:b/>
          <w:bCs/>
          <w:rtl/>
        </w:rPr>
        <w:t>רשב”א</w:t>
      </w:r>
      <w:r w:rsidRPr="003124AA">
        <w:rPr>
          <w:rFonts w:ascii="Narkisim" w:hAnsi="Narkisim" w:cs="Narkisim"/>
          <w:rtl/>
        </w:rPr>
        <w:t xml:space="preserve"> דמ"ש שיהא איסור בחלב הנכרית יותר מחלב בת ישראל</w:t>
      </w:r>
      <w:r w:rsidRPr="003124AA">
        <w:rPr>
          <w:rStyle w:val="ac"/>
          <w:rFonts w:ascii="Narkisim" w:hAnsi="Narkisim" w:cs="Narkisim"/>
          <w:rtl/>
        </w:rPr>
        <w:footnoteReference w:id="7577"/>
      </w:r>
      <w:r w:rsidRPr="003124AA">
        <w:rPr>
          <w:rFonts w:ascii="Narkisim" w:hAnsi="Narkisim" w:cs="Narkisim"/>
          <w:rtl/>
        </w:rPr>
        <w:t>, דדא ודא מהלכי שתים הן (דדרשי' כתובות ס. דחלב מהלכי ב' מותר</w:t>
      </w:r>
      <w:r w:rsidRPr="003124AA">
        <w:rPr>
          <w:rStyle w:val="ac"/>
          <w:rFonts w:ascii="Narkisim" w:hAnsi="Narkisim" w:cs="Narkisim"/>
          <w:rtl/>
        </w:rPr>
        <w:footnoteReference w:id="7578"/>
      </w:r>
      <w:r w:rsidRPr="003124AA">
        <w:rPr>
          <w:rFonts w:ascii="Narkisim" w:hAnsi="Narkisim" w:cs="Narkisim"/>
          <w:rtl/>
        </w:rPr>
        <w:t>).</w:t>
      </w:r>
    </w:p>
    <w:p w14:paraId="3D5AD4AA"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תוס' רא"ש</w:t>
      </w:r>
      <w:r w:rsidRPr="003124AA">
        <w:rPr>
          <w:rFonts w:ascii="Narkisim" w:hAnsi="Narkisim"/>
          <w:rtl/>
        </w:rPr>
        <w:t xml:space="preserve"> כת' דלאו דוקא נקטו, אלא דיש בזה מנהג פריצות כיון שאוכלת דברים טמאים. וה</w:t>
      </w:r>
      <w:r w:rsidRPr="003124AA">
        <w:rPr>
          <w:rFonts w:ascii="Narkisim" w:hAnsi="Narkisim"/>
          <w:b/>
          <w:bCs/>
          <w:rtl/>
        </w:rPr>
        <w:t>ראשונים</w:t>
      </w:r>
      <w:r w:rsidRPr="003124AA">
        <w:rPr>
          <w:rFonts w:ascii="Narkisim" w:hAnsi="Narkisim"/>
          <w:rtl/>
        </w:rPr>
        <w:t xml:space="preserve"> הביאו מה</w:t>
      </w:r>
      <w:r w:rsidRPr="003124AA">
        <w:rPr>
          <w:rFonts w:ascii="Narkisim" w:hAnsi="Narkisim"/>
          <w:b/>
          <w:bCs/>
          <w:rtl/>
        </w:rPr>
        <w:t>מדרש</w:t>
      </w:r>
      <w:r w:rsidRPr="003124AA">
        <w:rPr>
          <w:rFonts w:ascii="Narkisim" w:hAnsi="Narkisim"/>
          <w:rtl/>
        </w:rPr>
        <w:t xml:space="preserve"> (עה"ת שמות ב ז) דמשה רבינו לא רצה להניק מהנכרית</w:t>
      </w:r>
      <w:r w:rsidRPr="003124AA">
        <w:rPr>
          <w:rStyle w:val="ac"/>
          <w:rFonts w:ascii="Narkisim" w:hAnsi="Narkisim"/>
          <w:rtl/>
        </w:rPr>
        <w:footnoteReference w:id="7579"/>
      </w:r>
      <w:r w:rsidRPr="003124AA">
        <w:rPr>
          <w:rFonts w:ascii="Narkisim" w:hAnsi="Narkisim"/>
          <w:rtl/>
        </w:rPr>
        <w:t>. וה</w:t>
      </w:r>
      <w:r w:rsidRPr="003124AA">
        <w:rPr>
          <w:rFonts w:ascii="Narkisim" w:hAnsi="Narkisim"/>
          <w:b/>
          <w:bCs/>
          <w:rtl/>
        </w:rPr>
        <w:t>רשב"א</w:t>
      </w:r>
      <w:r w:rsidRPr="003124AA">
        <w:rPr>
          <w:rFonts w:ascii="Narkisim" w:hAnsi="Narkisim"/>
          <w:rtl/>
        </w:rPr>
        <w:t xml:space="preserve"> כת' דמותר אפי' לכתחילה לינק מהנכרית, ואפי' כשיש חלב ישראלית. אלא דיש בזה מידת חסידות וזריזות שלא להניקו מנכרית.</w:t>
      </w:r>
    </w:p>
    <w:p w14:paraId="609D4C81"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ראשונים</w:t>
      </w:r>
      <w:r w:rsidRPr="003124AA">
        <w:rPr>
          <w:rFonts w:ascii="Narkisim" w:hAnsi="Narkisim"/>
          <w:rtl/>
        </w:rPr>
        <w:t xml:space="preserve"> ביארו שטבען של ישראל נח יותר משום דדיגי במצוות, והם רחמנים וביישנים בטבע. אף חלבן מגדל טבע כיוצא בהן</w:t>
      </w:r>
      <w:r w:rsidRPr="003124AA">
        <w:rPr>
          <w:rStyle w:val="ac"/>
          <w:rFonts w:ascii="Narkisim" w:hAnsi="Narkisim"/>
          <w:rtl/>
        </w:rPr>
        <w:footnoteReference w:id="7580"/>
      </w:r>
      <w:r w:rsidRPr="003124AA">
        <w:rPr>
          <w:rFonts w:ascii="Narkisim" w:hAnsi="Narkisim"/>
          <w:rtl/>
        </w:rPr>
        <w:t>. ואילו חלב של עכו"ם בא מנבילות שקצים ורמשים, ומגדל אכזריות ביונק וטבע רע ומש"ה הרחיקו אותו.</w:t>
      </w:r>
    </w:p>
    <w:p w14:paraId="0D8CED66" w14:textId="77777777" w:rsidR="006C4368" w:rsidRPr="003124AA" w:rsidRDefault="006C4368" w:rsidP="006C4368">
      <w:pPr>
        <w:pStyle w:val="a7"/>
        <w:bidi/>
        <w:rPr>
          <w:rFonts w:ascii="Narkisim" w:hAnsi="Narkisim"/>
        </w:rPr>
      </w:pPr>
      <w:r w:rsidRPr="003124AA">
        <w:rPr>
          <w:rFonts w:ascii="Narkisim" w:hAnsi="Narkisim"/>
          <w:rtl/>
        </w:rPr>
        <w:lastRenderedPageBreak/>
        <w:t>וה</w:t>
      </w:r>
      <w:r w:rsidRPr="003124AA">
        <w:rPr>
          <w:rFonts w:ascii="Narkisim" w:hAnsi="Narkisim"/>
          <w:b/>
          <w:bCs/>
          <w:rtl/>
        </w:rPr>
        <w:t>רשב"א</w:t>
      </w:r>
      <w:r w:rsidRPr="003124AA">
        <w:rPr>
          <w:rFonts w:ascii="Narkisim" w:hAnsi="Narkisim"/>
          <w:rtl/>
        </w:rPr>
        <w:t xml:space="preserve"> כת' דדעת </w:t>
      </w:r>
      <w:r w:rsidRPr="003124AA">
        <w:rPr>
          <w:rFonts w:ascii="Narkisim" w:hAnsi="Narkisim"/>
          <w:b/>
          <w:bCs/>
          <w:rtl/>
        </w:rPr>
        <w:t>ר"ח</w:t>
      </w:r>
      <w:r w:rsidRPr="003124AA">
        <w:rPr>
          <w:rFonts w:ascii="Narkisim" w:hAnsi="Narkisim"/>
          <w:rtl/>
        </w:rPr>
        <w:t xml:space="preserve"> דהיכא דיש מניקת ישראלית אסרו בנכרית</w:t>
      </w:r>
      <w:r w:rsidRPr="003124AA">
        <w:rPr>
          <w:rStyle w:val="ac"/>
          <w:rFonts w:ascii="Narkisim" w:hAnsi="Narkisim"/>
          <w:rtl/>
        </w:rPr>
        <w:footnoteReference w:id="7581"/>
      </w:r>
      <w:r w:rsidRPr="003124AA">
        <w:rPr>
          <w:rFonts w:ascii="Narkisim" w:hAnsi="Narkisim"/>
          <w:rtl/>
        </w:rPr>
        <w:t>. ובמשנה (ע"ז) איירי דליכא ישראלית מוכנת שם</w:t>
      </w:r>
      <w:r w:rsidRPr="003124AA">
        <w:rPr>
          <w:rStyle w:val="ac"/>
          <w:rFonts w:ascii="Narkisim" w:hAnsi="Narkisim"/>
          <w:rtl/>
        </w:rPr>
        <w:footnoteReference w:id="7582"/>
      </w:r>
      <w:r w:rsidRPr="003124AA">
        <w:rPr>
          <w:rFonts w:ascii="Narkisim" w:hAnsi="Narkisim"/>
          <w:rtl/>
        </w:rPr>
        <w:t>. [וכ"ד ה</w:t>
      </w:r>
      <w:r w:rsidRPr="003124AA">
        <w:rPr>
          <w:rFonts w:ascii="Narkisim" w:hAnsi="Narkisim"/>
          <w:b/>
          <w:bCs/>
          <w:rtl/>
        </w:rPr>
        <w:t>ריטב"א</w:t>
      </w:r>
      <w:r w:rsidRPr="003124AA">
        <w:rPr>
          <w:rFonts w:ascii="Narkisim" w:hAnsi="Narkisim"/>
          <w:rtl/>
        </w:rPr>
        <w:t xml:space="preserve"> (כאן) דאסור מדרבנן. וה</w:t>
      </w:r>
      <w:r w:rsidRPr="003124AA">
        <w:rPr>
          <w:rFonts w:ascii="Narkisim" w:hAnsi="Narkisim"/>
          <w:b/>
          <w:bCs/>
          <w:rtl/>
        </w:rPr>
        <w:t>ר"ן</w:t>
      </w:r>
      <w:r w:rsidRPr="003124AA">
        <w:rPr>
          <w:rFonts w:ascii="Narkisim" w:hAnsi="Narkisim"/>
          <w:rtl/>
        </w:rPr>
        <w:t xml:space="preserve"> (ע"ז שם ז: בדה"ר) הביא בזה מח', ע' רמ”א (יו”ד פא ז)].</w:t>
      </w:r>
    </w:p>
    <w:p w14:paraId="727C112F"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וה</w:t>
      </w:r>
      <w:r w:rsidRPr="003124AA">
        <w:rPr>
          <w:rFonts w:ascii="Narkisim" w:hAnsi="Narkisim" w:cs="Narkisim"/>
          <w:b/>
          <w:bCs/>
          <w:rtl/>
        </w:rPr>
        <w:t>רמ"א</w:t>
      </w:r>
      <w:r w:rsidRPr="003124AA">
        <w:rPr>
          <w:rFonts w:ascii="Narkisim" w:hAnsi="Narkisim" w:cs="Narkisim"/>
          <w:rtl/>
        </w:rPr>
        <w:t xml:space="preserve"> (פא ז) כת' דאף מינקת ישראלית לא תאכל</w:t>
      </w:r>
      <w:r w:rsidRPr="003124AA">
        <w:rPr>
          <w:rStyle w:val="ac"/>
          <w:rFonts w:ascii="Narkisim" w:hAnsi="Narkisim" w:cs="Narkisim"/>
          <w:rtl/>
        </w:rPr>
        <w:footnoteReference w:id="7583"/>
      </w:r>
      <w:r w:rsidRPr="003124AA">
        <w:rPr>
          <w:rFonts w:ascii="Narkisim" w:hAnsi="Narkisim" w:cs="Narkisim"/>
          <w:rtl/>
        </w:rPr>
        <w:t xml:space="preserve"> דברים אסורים</w:t>
      </w:r>
      <w:r w:rsidRPr="003124AA">
        <w:rPr>
          <w:rStyle w:val="ac"/>
          <w:rFonts w:ascii="Narkisim" w:hAnsi="Narkisim" w:cs="Narkisim"/>
          <w:rtl/>
        </w:rPr>
        <w:footnoteReference w:id="7584"/>
      </w:r>
      <w:r w:rsidRPr="003124AA">
        <w:rPr>
          <w:rFonts w:ascii="Narkisim" w:hAnsi="Narkisim" w:cs="Narkisim"/>
          <w:rtl/>
        </w:rPr>
        <w:t>, וכן התינוק עצמו. מפני שמזיק לו בזקנותו. [ואף דמדינא אין בי"ד מצווין להפרישו, מ”מ יש לאב להפרישו מפני שמטמטם הלב</w:t>
      </w:r>
      <w:r w:rsidRPr="003124AA">
        <w:rPr>
          <w:rStyle w:val="ac"/>
          <w:rFonts w:ascii="Narkisim" w:hAnsi="Narkisim" w:cs="Narkisim"/>
          <w:rtl/>
        </w:rPr>
        <w:footnoteReference w:id="7585"/>
      </w:r>
      <w:r w:rsidRPr="003124AA">
        <w:rPr>
          <w:rFonts w:ascii="Narkisim" w:hAnsi="Narkisim" w:cs="Narkisim"/>
          <w:rtl/>
        </w:rPr>
        <w:t>].</w:t>
      </w:r>
    </w:p>
    <w:p w14:paraId="1CAC1B95"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ש"ך</w:t>
      </w:r>
      <w:r w:rsidRPr="003124AA">
        <w:rPr>
          <w:rFonts w:ascii="Narkisim" w:hAnsi="Narkisim"/>
          <w:rtl/>
        </w:rPr>
        <w:t xml:space="preserve"> (שם כו) כת' דאף איסור דרבנן מטמטם</w:t>
      </w:r>
      <w:r w:rsidRPr="003124AA">
        <w:rPr>
          <w:rStyle w:val="ac"/>
          <w:rFonts w:ascii="Narkisim" w:hAnsi="Narkisim"/>
          <w:rtl/>
        </w:rPr>
        <w:footnoteReference w:id="7586"/>
      </w:r>
      <w:r w:rsidRPr="003124AA">
        <w:rPr>
          <w:rFonts w:ascii="Narkisim" w:hAnsi="Narkisim"/>
          <w:rtl/>
        </w:rPr>
        <w:t>.</w:t>
      </w:r>
    </w:p>
    <w:p w14:paraId="11AADF00"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אחיעזר</w:t>
      </w:r>
      <w:r w:rsidRPr="003124AA">
        <w:rPr>
          <w:rFonts w:ascii="Narkisim" w:hAnsi="Narkisim"/>
          <w:rtl/>
        </w:rPr>
        <w:t xml:space="preserve"> (ג פא יא) נסתפק מי שמכר דבר איסור דאורייתא לקטן, והאכילהו. ואף דקי"ל (שו"ע חו"מ רלד) דבאיסור אכילה דאורייתא צריך להחזיר הדמים, משום דנפשו של אדם חותה מן האיסור. אבל גבי קטן דליכא איסור, אלא המוכר עבר בלא תאכילום. ועוד דבקטן לא צריך כפרה לכשיגדיל, כיון דליכא סרך איסור עליו [וכמ"ש התה"ד ב סב, והו' ברמ"א או"ח שמ"ג, והו' לעיל]. וכת' דנראה עפ"ז דהמוכר אי"צ להחזיר לו הדמים, והקטן צריך לשלם הנאתו אם עדין לא שילם.</w:t>
      </w:r>
    </w:p>
    <w:p w14:paraId="6339BB7E" w14:textId="77777777" w:rsidR="006C4368" w:rsidRPr="003124AA" w:rsidRDefault="006C4368" w:rsidP="006C4368">
      <w:pPr>
        <w:pStyle w:val="aa"/>
        <w:bidi/>
        <w:rPr>
          <w:rFonts w:ascii="Narkisim" w:hAnsi="Narkisim"/>
        </w:rPr>
      </w:pPr>
      <w:r w:rsidRPr="003124AA">
        <w:rPr>
          <w:rFonts w:ascii="Narkisim" w:hAnsi="Narkisim"/>
          <w:u w:val="single"/>
          <w:rtl/>
        </w:rPr>
        <w:t>סתם תינוק</w:t>
      </w:r>
      <w:r w:rsidRPr="003124AA">
        <w:rPr>
          <w:rStyle w:val="ac"/>
          <w:rFonts w:ascii="Narkisim" w:hAnsi="Narkisim"/>
          <w:u w:val="single"/>
          <w:rtl/>
        </w:rPr>
        <w:footnoteReference w:id="7587"/>
      </w:r>
      <w:r w:rsidRPr="003124AA">
        <w:rPr>
          <w:rFonts w:ascii="Narkisim" w:hAnsi="Narkisim"/>
          <w:u w:val="single"/>
          <w:rtl/>
        </w:rPr>
        <w:t xml:space="preserve"> מסוכן הוא אצל חלב</w:t>
      </w:r>
      <w:r w:rsidRPr="003124AA">
        <w:rPr>
          <w:rFonts w:ascii="Narkisim" w:hAnsi="Narkisim"/>
          <w:rtl/>
        </w:rPr>
        <w:t>. ה</w:t>
      </w:r>
      <w:r w:rsidRPr="003124AA">
        <w:rPr>
          <w:rFonts w:ascii="Narkisim" w:hAnsi="Narkisim"/>
          <w:b/>
          <w:bCs/>
          <w:rtl/>
        </w:rPr>
        <w:t>חזו"א</w:t>
      </w:r>
      <w:r w:rsidRPr="003124AA">
        <w:rPr>
          <w:rFonts w:ascii="Narkisim" w:hAnsi="Narkisim"/>
          <w:rtl/>
        </w:rPr>
        <w:t xml:space="preserve"> (קלד) כת' דאיירי שיש לו דברים להאכילו, אבל אין לו חלב טהור. ואמרי' דחסרון חלב הוא סכנה לו שיבוא לידי חולי, וחולי הוא ספק סכנה. ומש”ה רשאי להאכילו חלב טמא. דאי איירי דאין לו כלל להאכילו, א”כ יאכילנו אף נבילות וטריפות. ובברייתא משמע דדוקא חלב. אך הביא ד</w:t>
      </w:r>
      <w:r w:rsidRPr="003124AA">
        <w:rPr>
          <w:rFonts w:ascii="Narkisim" w:hAnsi="Narkisim"/>
          <w:b/>
          <w:bCs/>
          <w:rtl/>
        </w:rPr>
        <w:t>רש"י</w:t>
      </w:r>
      <w:r w:rsidRPr="003124AA">
        <w:rPr>
          <w:rFonts w:ascii="Narkisim" w:hAnsi="Narkisim"/>
          <w:rtl/>
        </w:rPr>
        <w:t xml:space="preserve"> כת' דאיירי שהוא צמא. ומשמע דאין דבר אחר להאכילו. וצ”ע א”כ אמאי תלי דודקא משום דמסוכן אצל חלב.</w:t>
      </w:r>
    </w:p>
    <w:p w14:paraId="38DACF54" w14:textId="77777777" w:rsidR="006C4368" w:rsidRPr="003124AA" w:rsidRDefault="006C4368" w:rsidP="006C4368">
      <w:pPr>
        <w:bidi/>
        <w:rPr>
          <w:rFonts w:ascii="Narkisim" w:hAnsi="Narkisim" w:cs="Narkisim"/>
        </w:rPr>
      </w:pPr>
      <w:r w:rsidRPr="003124AA">
        <w:rPr>
          <w:rFonts w:ascii="Narkisim" w:hAnsi="Narkisim" w:cs="Narkisim"/>
          <w:u w:val="single"/>
          <w:rtl/>
        </w:rPr>
        <w:t>ואי דליכא סכנה, אפי' ביו"ט אסור וכו'</w:t>
      </w:r>
      <w:r w:rsidRPr="003124AA">
        <w:rPr>
          <w:rFonts w:ascii="Narkisim" w:hAnsi="Narkisim" w:cs="Narkisim"/>
          <w:rtl/>
        </w:rPr>
        <w:t>. ה</w:t>
      </w:r>
      <w:r w:rsidRPr="003124AA">
        <w:rPr>
          <w:rFonts w:ascii="Narkisim" w:hAnsi="Narkisim" w:cs="Narkisim"/>
          <w:b/>
          <w:bCs/>
          <w:rtl/>
        </w:rPr>
        <w:t>ראשונים</w:t>
      </w:r>
      <w:r w:rsidRPr="003124AA">
        <w:rPr>
          <w:rFonts w:ascii="Narkisim" w:hAnsi="Narkisim" w:cs="Narkisim"/>
          <w:rtl/>
        </w:rPr>
        <w:t xml:space="preserve"> הק' דנימא דהותר משום מלאכת אוכל נפש ביו"ט. ובפשוטו מבואר דמלאכת דש</w:t>
      </w:r>
      <w:r w:rsidRPr="003124AA">
        <w:rPr>
          <w:rStyle w:val="ac"/>
          <w:rFonts w:ascii="Narkisim" w:hAnsi="Narkisim" w:cs="Narkisim"/>
          <w:rtl/>
        </w:rPr>
        <w:footnoteReference w:id="7588"/>
      </w:r>
      <w:r w:rsidRPr="003124AA">
        <w:rPr>
          <w:rFonts w:ascii="Narkisim" w:hAnsi="Narkisim" w:cs="Narkisim"/>
          <w:rtl/>
        </w:rPr>
        <w:t xml:space="preserve"> לא הותר ביו"ט, ואסור מדאורייתא. ודעת </w:t>
      </w:r>
      <w:r w:rsidRPr="003124AA">
        <w:rPr>
          <w:rFonts w:ascii="Narkisim" w:hAnsi="Narkisim" w:cs="Narkisim"/>
          <w:b/>
          <w:bCs/>
          <w:rtl/>
        </w:rPr>
        <w:t>תוס'</w:t>
      </w:r>
      <w:r w:rsidRPr="003124AA">
        <w:rPr>
          <w:rFonts w:ascii="Narkisim" w:hAnsi="Narkisim" w:cs="Narkisim"/>
          <w:rtl/>
        </w:rPr>
        <w:t xml:space="preserve"> (ביצה ג. וכג:) דאסור מדאורייתא. אבל ה</w:t>
      </w:r>
      <w:r w:rsidRPr="003124AA">
        <w:rPr>
          <w:rFonts w:ascii="Narkisim" w:hAnsi="Narkisim" w:cs="Narkisim"/>
          <w:b/>
          <w:bCs/>
          <w:rtl/>
        </w:rPr>
        <w:t>רא"ש</w:t>
      </w:r>
      <w:r w:rsidRPr="003124AA">
        <w:rPr>
          <w:rFonts w:ascii="Narkisim" w:hAnsi="Narkisim" w:cs="Narkisim"/>
          <w:rtl/>
        </w:rPr>
        <w:t xml:space="preserve"> (ביצה ג א) כת' דדישה ביו"ט אסור מדרבנן</w:t>
      </w:r>
      <w:r w:rsidRPr="003124AA">
        <w:rPr>
          <w:rStyle w:val="ac"/>
          <w:rFonts w:ascii="Narkisim" w:hAnsi="Narkisim" w:cs="Narkisim"/>
          <w:rtl/>
        </w:rPr>
        <w:footnoteReference w:id="7589"/>
      </w:r>
      <w:r w:rsidRPr="003124AA">
        <w:rPr>
          <w:rFonts w:ascii="Narkisim" w:hAnsi="Narkisim" w:cs="Narkisim"/>
          <w:rtl/>
        </w:rPr>
        <w:t xml:space="preserve">. </w:t>
      </w:r>
      <w:r w:rsidRPr="003124AA">
        <w:rPr>
          <w:rFonts w:ascii="Narkisim" w:hAnsi="Narkisim" w:cs="Narkisim"/>
          <w:rtl/>
        </w:rPr>
        <w:lastRenderedPageBreak/>
        <w:t>וכ"פ ה</w:t>
      </w:r>
      <w:r w:rsidRPr="003124AA">
        <w:rPr>
          <w:rFonts w:ascii="Narkisim" w:hAnsi="Narkisim" w:cs="Narkisim"/>
          <w:b/>
          <w:bCs/>
          <w:rtl/>
        </w:rPr>
        <w:t>שו"ע</w:t>
      </w:r>
      <w:r w:rsidRPr="003124AA">
        <w:rPr>
          <w:rFonts w:ascii="Narkisim" w:hAnsi="Narkisim" w:cs="Narkisim"/>
          <w:rtl/>
        </w:rPr>
        <w:t xml:space="preserve"> (או"ח תצה ב). ו</w:t>
      </w:r>
      <w:r w:rsidRPr="003124AA">
        <w:rPr>
          <w:rFonts w:ascii="Narkisim" w:hAnsi="Narkisim" w:cs="Narkisim"/>
          <w:b/>
          <w:bCs/>
          <w:rtl/>
        </w:rPr>
        <w:t>רע"א</w:t>
      </w:r>
      <w:r w:rsidRPr="003124AA">
        <w:rPr>
          <w:rFonts w:ascii="Narkisim" w:hAnsi="Narkisim" w:cs="Narkisim"/>
          <w:rtl/>
        </w:rPr>
        <w:t xml:space="preserve"> הק' דא"כ הו"ל לגמ' לומר דביו"ט מה"ת דישה מותרת לאוכל נפש, ורבנן לא גזרו במקום צער</w:t>
      </w:r>
      <w:r w:rsidRPr="003124AA">
        <w:rPr>
          <w:rStyle w:val="ac"/>
          <w:rFonts w:ascii="Narkisim" w:hAnsi="Narkisim" w:cs="Narkisim"/>
          <w:rtl/>
        </w:rPr>
        <w:footnoteReference w:id="7590"/>
      </w:r>
      <w:r w:rsidRPr="003124AA">
        <w:rPr>
          <w:rFonts w:ascii="Narkisim" w:hAnsi="Narkisim" w:cs="Narkisim"/>
          <w:rtl/>
        </w:rPr>
        <w:t xml:space="preserve">. וצ"ע.  </w:t>
      </w:r>
    </w:p>
    <w:p w14:paraId="3D509B56" w14:textId="77777777" w:rsidR="006C4368" w:rsidRPr="003124AA" w:rsidRDefault="006C4368" w:rsidP="006C4368">
      <w:pPr>
        <w:pStyle w:val="aa"/>
        <w:bidi/>
        <w:rPr>
          <w:rFonts w:ascii="Narkisim" w:hAnsi="Narkisim"/>
        </w:rPr>
      </w:pPr>
      <w:r w:rsidRPr="003124AA">
        <w:rPr>
          <w:rFonts w:ascii="Narkisim" w:hAnsi="Narkisim"/>
          <w:u w:val="single"/>
          <w:rtl/>
        </w:rPr>
        <w:t>יו"ט דאיסור לאו לא גזרו ביה רבנן</w:t>
      </w:r>
      <w:r w:rsidRPr="003124AA">
        <w:rPr>
          <w:rFonts w:ascii="Narkisim" w:hAnsi="Narkisim"/>
          <w:rtl/>
        </w:rPr>
        <w:t>. ה</w:t>
      </w:r>
      <w:r w:rsidRPr="003124AA">
        <w:rPr>
          <w:rFonts w:ascii="Narkisim" w:hAnsi="Narkisim"/>
          <w:b/>
          <w:bCs/>
          <w:rtl/>
        </w:rPr>
        <w:t>אחרונים</w:t>
      </w:r>
      <w:r w:rsidRPr="003124AA">
        <w:rPr>
          <w:rFonts w:ascii="Narkisim" w:hAnsi="Narkisim"/>
          <w:rtl/>
        </w:rPr>
        <w:t xml:space="preserve"> הק' דבגמ' (לקמן קיט.) אמרי' דכל בדאורייתא אין חילוק בין איסור לאו לאיסור כרת. [ויתבאר לקמן שם].</w:t>
      </w:r>
    </w:p>
    <w:p w14:paraId="58641991" w14:textId="77777777" w:rsidR="006C4368" w:rsidRPr="003124AA" w:rsidRDefault="006C4368" w:rsidP="006C4368">
      <w:pPr>
        <w:pStyle w:val="aa"/>
        <w:bidi/>
        <w:rPr>
          <w:rFonts w:ascii="Narkisim" w:hAnsi="Narkisim"/>
        </w:rPr>
      </w:pPr>
      <w:r w:rsidRPr="003124AA">
        <w:rPr>
          <w:rFonts w:ascii="Narkisim" w:hAnsi="Narkisim"/>
          <w:u w:val="single"/>
          <w:rtl/>
        </w:rPr>
        <w:t>תוד"ה שבת</w:t>
      </w:r>
      <w:r w:rsidRPr="003124AA">
        <w:rPr>
          <w:rFonts w:ascii="Narkisim" w:hAnsi="Narkisim"/>
          <w:rtl/>
        </w:rPr>
        <w:t>. גונח יונק חלב בשבת וכו' ואר"ת דהתם מחמת חולי. ה</w:t>
      </w:r>
      <w:r w:rsidRPr="003124AA">
        <w:rPr>
          <w:rFonts w:ascii="Narkisim" w:hAnsi="Narkisim"/>
          <w:b/>
          <w:bCs/>
          <w:rtl/>
        </w:rPr>
        <w:t>ר"ן</w:t>
      </w:r>
      <w:r w:rsidRPr="003124AA">
        <w:rPr>
          <w:rFonts w:ascii="Narkisim" w:hAnsi="Narkisim"/>
          <w:rtl/>
        </w:rPr>
        <w:t xml:space="preserve"> (שבת קמד: סא: בדה"ר, ושא”ר שם] הק' אמאי לא אמרי' שיחלוב ע"י נכרי, דכל צרכי חולה נעשין ע”י נכרי. ותי' דרפואת גונח הוה ע"י חלב רותח</w:t>
      </w:r>
      <w:r w:rsidRPr="003124AA">
        <w:rPr>
          <w:rStyle w:val="ac"/>
          <w:rFonts w:ascii="Narkisim" w:hAnsi="Narkisim"/>
          <w:rtl/>
        </w:rPr>
        <w:footnoteReference w:id="7591"/>
      </w:r>
      <w:r w:rsidRPr="003124AA">
        <w:rPr>
          <w:rFonts w:ascii="Narkisim" w:hAnsi="Narkisim"/>
          <w:rtl/>
        </w:rPr>
        <w:t xml:space="preserve"> [וצריך שהחולה עצמו יינק].</w:t>
      </w:r>
    </w:p>
    <w:p w14:paraId="1335BC06"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רמב"ן</w:t>
      </w:r>
      <w:r w:rsidRPr="003124AA">
        <w:rPr>
          <w:rFonts w:ascii="Narkisim" w:hAnsi="Narkisim"/>
          <w:rtl/>
        </w:rPr>
        <w:t xml:space="preserve"> (תוה"א הו' בר"ן שם) ביאר דאף דבעלמא לא התירו שבות ע"י ישראל לצורך חולה, הכא התירו שבות ע"י שינוי, שנעשה שלא כדרך מלאכות.</w:t>
      </w:r>
    </w:p>
    <w:p w14:paraId="0F7AFEAF" w14:textId="77777777" w:rsidR="006C4368" w:rsidRPr="003124AA" w:rsidRDefault="006C4368" w:rsidP="006C4368">
      <w:pPr>
        <w:pStyle w:val="aa"/>
        <w:bidi/>
        <w:rPr>
          <w:rFonts w:ascii="Narkisim" w:hAnsi="Narkisim"/>
        </w:rPr>
      </w:pPr>
      <w:r w:rsidRPr="003124AA">
        <w:rPr>
          <w:rFonts w:ascii="Narkisim" w:hAnsi="Narkisim"/>
          <w:u w:val="single"/>
          <w:rtl/>
        </w:rPr>
        <w:t>שם.</w:t>
      </w:r>
      <w:r w:rsidRPr="003124AA">
        <w:rPr>
          <w:rFonts w:ascii="Narkisim" w:hAnsi="Narkisim"/>
          <w:rtl/>
        </w:rPr>
        <w:t xml:space="preserve"> </w:t>
      </w:r>
      <w:r w:rsidRPr="003124AA">
        <w:rPr>
          <w:rFonts w:ascii="Narkisim" w:hAnsi="Narkisim"/>
          <w:b/>
          <w:bCs/>
          <w:rtl/>
        </w:rPr>
        <w:t>רע”א</w:t>
      </w:r>
      <w:r w:rsidRPr="003124AA">
        <w:rPr>
          <w:rFonts w:ascii="Narkisim" w:hAnsi="Narkisim"/>
          <w:rtl/>
        </w:rPr>
        <w:t xml:space="preserve"> וה</w:t>
      </w:r>
      <w:r w:rsidRPr="003124AA">
        <w:rPr>
          <w:rFonts w:ascii="Narkisim" w:hAnsi="Narkisim"/>
          <w:b/>
          <w:bCs/>
          <w:rtl/>
        </w:rPr>
        <w:t xml:space="preserve">בית יעקב </w:t>
      </w:r>
      <w:r w:rsidRPr="003124AA">
        <w:rPr>
          <w:rFonts w:ascii="Narkisim" w:hAnsi="Narkisim"/>
          <w:rtl/>
        </w:rPr>
        <w:t>(כתובות ס.) הק' דמ"מ החלב מוקצה [ועוד דהוה בכלל גזירת משקין שזבו], והאיך התירו איסור מוקצה דרבנן לחולה שאין בו סכנה. [ועע"ש].</w:t>
      </w:r>
    </w:p>
    <w:p w14:paraId="7C894481" w14:textId="77777777" w:rsidR="006C4368" w:rsidRPr="003124AA" w:rsidRDefault="006C4368" w:rsidP="006C4368">
      <w:pPr>
        <w:pStyle w:val="aa"/>
        <w:bidi/>
        <w:rPr>
          <w:rFonts w:ascii="Narkisim" w:hAnsi="Narkisim"/>
        </w:rPr>
      </w:pPr>
      <w:r w:rsidRPr="003124AA">
        <w:rPr>
          <w:rFonts w:ascii="Narkisim" w:hAnsi="Narkisim"/>
          <w:u w:val="single"/>
          <w:rtl/>
        </w:rPr>
        <w:t>בא"ד והכא מחמת רעב</w:t>
      </w:r>
      <w:r w:rsidRPr="003124AA">
        <w:rPr>
          <w:rFonts w:ascii="Narkisim" w:hAnsi="Narkisim"/>
          <w:rtl/>
        </w:rPr>
        <w:t>. ועד"ז כת' ה</w:t>
      </w:r>
      <w:r w:rsidRPr="003124AA">
        <w:rPr>
          <w:rFonts w:ascii="Narkisim" w:hAnsi="Narkisim"/>
          <w:b/>
          <w:bCs/>
          <w:rtl/>
        </w:rPr>
        <w:t>בעה"מ</w:t>
      </w:r>
      <w:r w:rsidRPr="003124AA">
        <w:rPr>
          <w:rFonts w:ascii="Narkisim" w:hAnsi="Narkisim"/>
          <w:rtl/>
        </w:rPr>
        <w:t xml:space="preserve"> (שבת סא. בדה"ר) דלא איירי בצער חולי, אלא שתאוותו מושלת עליו [והביא מהגמ' שבועות כו:, ותלי בפי' הראשונים שם]. וה</w:t>
      </w:r>
      <w:r w:rsidRPr="003124AA">
        <w:rPr>
          <w:rFonts w:ascii="Narkisim" w:hAnsi="Narkisim"/>
          <w:b/>
          <w:bCs/>
          <w:rtl/>
        </w:rPr>
        <w:t>מלחמות</w:t>
      </w:r>
      <w:r w:rsidRPr="003124AA">
        <w:rPr>
          <w:rFonts w:ascii="Narkisim" w:hAnsi="Narkisim"/>
          <w:rtl/>
        </w:rPr>
        <w:t xml:space="preserve"> חלק דחכמים לא היו מתירין איסור שבות, דהוא קרוב לאיסור תורה משום תאוות בעלי התאוות. וכת' דמ"מ י"ל דתרוייהו איירי בחולה, והיו יונקים בשביל צער חולי בלא סכנה. ואילו גונח, אף שאין בו סכנה אם לא ישתה היום, מ"מ מסתכן הוא לעתים רחוקים.</w:t>
      </w:r>
    </w:p>
    <w:p w14:paraId="39160D43" w14:textId="77777777" w:rsidR="006C4368" w:rsidRPr="003124AA" w:rsidRDefault="006C4368" w:rsidP="006C4368">
      <w:pPr>
        <w:pStyle w:val="aa"/>
        <w:bidi/>
        <w:rPr>
          <w:rFonts w:ascii="Narkisim" w:hAnsi="Narkisim"/>
        </w:rPr>
      </w:pPr>
      <w:r w:rsidRPr="003124AA">
        <w:rPr>
          <w:rFonts w:ascii="Narkisim" w:hAnsi="Narkisim"/>
          <w:u w:val="single"/>
          <w:rtl/>
        </w:rPr>
        <w:t>בא”ד ור"י תי' דהך דהכא פליגי</w:t>
      </w:r>
      <w:r w:rsidRPr="003124AA">
        <w:rPr>
          <w:rFonts w:ascii="Narkisim" w:hAnsi="Narkisim"/>
          <w:rtl/>
        </w:rPr>
        <w:t>. וכ"כ ה</w:t>
      </w:r>
      <w:r w:rsidRPr="003124AA">
        <w:rPr>
          <w:rFonts w:ascii="Narkisim" w:hAnsi="Narkisim"/>
          <w:b/>
          <w:bCs/>
          <w:rtl/>
        </w:rPr>
        <w:t>רי"ף</w:t>
      </w:r>
      <w:r w:rsidRPr="003124AA">
        <w:rPr>
          <w:rFonts w:ascii="Narkisim" w:hAnsi="Narkisim"/>
          <w:rtl/>
        </w:rPr>
        <w:t xml:space="preserve"> (שבת סא. בדה"ס) דלא קי”ל כאבא שאול, אלא אף בשבת מותר. והו' ב' דעות ב</w:t>
      </w:r>
      <w:r w:rsidRPr="003124AA">
        <w:rPr>
          <w:rFonts w:ascii="Narkisim" w:hAnsi="Narkisim"/>
          <w:b/>
          <w:bCs/>
          <w:rtl/>
        </w:rPr>
        <w:t>שו"ע</w:t>
      </w:r>
      <w:r w:rsidRPr="003124AA">
        <w:rPr>
          <w:rFonts w:ascii="Narkisim" w:hAnsi="Narkisim"/>
          <w:rtl/>
        </w:rPr>
        <w:t xml:space="preserve"> (או"ח שכח לג)</w:t>
      </w:r>
      <w:r w:rsidRPr="003124AA">
        <w:rPr>
          <w:rStyle w:val="ac"/>
          <w:rFonts w:ascii="Narkisim" w:hAnsi="Narkisim"/>
          <w:rtl/>
        </w:rPr>
        <w:footnoteReference w:id="7592"/>
      </w:r>
      <w:r w:rsidRPr="003124AA">
        <w:rPr>
          <w:rFonts w:ascii="Narkisim" w:hAnsi="Narkisim"/>
          <w:rtl/>
        </w:rPr>
        <w:t>.</w:t>
      </w:r>
    </w:p>
    <w:p w14:paraId="1E079BAF" w14:textId="77777777" w:rsidR="006C4368" w:rsidRPr="003124AA" w:rsidRDefault="006C4368" w:rsidP="006C4368">
      <w:pPr>
        <w:pStyle w:val="2"/>
        <w:bidi/>
        <w:rPr>
          <w:rFonts w:ascii="Narkisim" w:hAnsi="Narkisim"/>
        </w:rPr>
      </w:pPr>
      <w:r w:rsidRPr="003124AA">
        <w:rPr>
          <w:rFonts w:ascii="Narkisim" w:hAnsi="Narkisim"/>
          <w:rtl/>
        </w:rPr>
        <w:t>לא תאכילום</w:t>
      </w:r>
    </w:p>
    <w:p w14:paraId="24EC41F9" w14:textId="77777777" w:rsidR="006C4368" w:rsidRPr="003124AA" w:rsidRDefault="006C4368" w:rsidP="006C4368">
      <w:pPr>
        <w:bidi/>
        <w:rPr>
          <w:rFonts w:ascii="Narkisim" w:hAnsi="Narkisim" w:cs="Narkisim"/>
        </w:rPr>
      </w:pPr>
      <w:r w:rsidRPr="003124AA">
        <w:rPr>
          <w:rFonts w:ascii="Narkisim" w:hAnsi="Narkisim" w:cs="Narkisim"/>
          <w:u w:val="single"/>
          <w:rtl/>
        </w:rPr>
        <w:t>ת"ש לא תאכלום וכו' לא תאכילום להזהיר גדולים על הקטנים</w:t>
      </w:r>
      <w:r w:rsidRPr="003124AA">
        <w:rPr>
          <w:rStyle w:val="ac"/>
          <w:rFonts w:ascii="Narkisim" w:hAnsi="Narkisim" w:cs="Narkisim"/>
          <w:u w:val="single"/>
          <w:rtl/>
        </w:rPr>
        <w:footnoteReference w:id="7593"/>
      </w:r>
      <w:r w:rsidRPr="003124AA">
        <w:rPr>
          <w:rFonts w:ascii="Narkisim" w:hAnsi="Narkisim" w:cs="Narkisim"/>
          <w:u w:val="single"/>
          <w:rtl/>
        </w:rPr>
        <w:t xml:space="preserve"> וכו'</w:t>
      </w:r>
      <w:r w:rsidRPr="003124AA">
        <w:rPr>
          <w:rFonts w:ascii="Narkisim" w:hAnsi="Narkisim" w:cs="Narkisim"/>
          <w:rtl/>
        </w:rPr>
        <w:t xml:space="preserve">. </w:t>
      </w:r>
      <w:r w:rsidRPr="003124AA">
        <w:rPr>
          <w:rFonts w:ascii="Narkisim" w:hAnsi="Narkisim" w:cs="Narkisim"/>
          <w:szCs w:val="20"/>
          <w:rtl/>
        </w:rPr>
        <w:t>פ</w:t>
      </w:r>
      <w:r w:rsidRPr="003124AA">
        <w:rPr>
          <w:rFonts w:ascii="Narkisim" w:hAnsi="Narkisim" w:cs="Narkisim"/>
          <w:b/>
          <w:bCs/>
          <w:szCs w:val="20"/>
          <w:rtl/>
        </w:rPr>
        <w:t>רש"י</w:t>
      </w:r>
      <w:r w:rsidRPr="003124AA">
        <w:rPr>
          <w:rFonts w:ascii="Narkisim" w:hAnsi="Narkisim" w:cs="Narkisim"/>
          <w:szCs w:val="20"/>
          <w:rtl/>
        </w:rPr>
        <w:t xml:space="preserve"> קרא יתירא הוא, ואם אינו ענין לאיסור אכילה תנהו ענין שמוזהר לקטן</w:t>
      </w:r>
      <w:r w:rsidRPr="003124AA">
        <w:rPr>
          <w:rFonts w:ascii="Narkisim" w:hAnsi="Narkisim" w:cs="Narkisim"/>
          <w:rtl/>
        </w:rPr>
        <w:t>. ולס”ד דהגמ' ילפי' מהכא דמצווין להפרישו, ולמסקנא ילפי' דאסור להאכילם.</w:t>
      </w:r>
    </w:p>
    <w:p w14:paraId="16ABA62E"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פרמ"ג</w:t>
      </w:r>
      <w:r w:rsidRPr="003124AA">
        <w:rPr>
          <w:rFonts w:ascii="Narkisim" w:hAnsi="Narkisim"/>
          <w:rtl/>
        </w:rPr>
        <w:t xml:space="preserve"> (שמג מ"ז א) כת' דלפ"ז הוה לאו גמור, ומי שמאכיל קטן בידים לוקה ופסול לעדות.</w:t>
      </w:r>
    </w:p>
    <w:p w14:paraId="5212F971"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פרמ"ג</w:t>
      </w:r>
      <w:r w:rsidRPr="003124AA">
        <w:rPr>
          <w:rFonts w:ascii="Narkisim" w:hAnsi="Narkisim"/>
          <w:rtl/>
        </w:rPr>
        <w:t xml:space="preserve"> נסתפק האם לאו זה קאי אף במאכיל גדול, כגון שאנס גדול שיאכל נבילה</w:t>
      </w:r>
      <w:r w:rsidRPr="003124AA">
        <w:rPr>
          <w:rStyle w:val="ac"/>
          <w:rFonts w:ascii="Narkisim" w:hAnsi="Narkisim"/>
          <w:rtl/>
        </w:rPr>
        <w:footnoteReference w:id="7594"/>
      </w:r>
      <w:r w:rsidRPr="003124AA">
        <w:rPr>
          <w:rFonts w:ascii="Narkisim" w:hAnsi="Narkisim"/>
          <w:rtl/>
        </w:rPr>
        <w:t xml:space="preserve"> וכדו', דהמאנס ילקה [וודאי עבר משום לפני עוור, אך אינו לוקה]. דמ"ש שמוזהר על קטנים דוקא. או דילמא דדוקא בקטן הזהירה תורה, שאם יאכילום בידים ירגיל הקטן עצמו שיאכל תמיד כשיגדל, מה שאין כן כשאנס לגדול.</w:t>
      </w:r>
    </w:p>
    <w:p w14:paraId="3CF84FE0" w14:textId="77777777" w:rsidR="006C4368" w:rsidRPr="003124AA" w:rsidRDefault="006C4368" w:rsidP="006C4368">
      <w:pPr>
        <w:bidi/>
        <w:rPr>
          <w:rFonts w:ascii="Narkisim" w:hAnsi="Narkisim" w:cs="Narkisim"/>
        </w:rPr>
      </w:pPr>
      <w:r w:rsidRPr="003124AA">
        <w:rPr>
          <w:rFonts w:ascii="Narkisim" w:hAnsi="Narkisim" w:cs="Narkisim"/>
          <w:u w:val="single"/>
          <w:rtl/>
        </w:rPr>
        <w:t>לא, דלא ליספו להו בידים</w:t>
      </w:r>
      <w:r w:rsidRPr="003124AA">
        <w:rPr>
          <w:rFonts w:ascii="Narkisim" w:hAnsi="Narkisim" w:cs="Narkisim"/>
          <w:rtl/>
        </w:rPr>
        <w:t>. ה</w:t>
      </w:r>
      <w:r w:rsidRPr="003124AA">
        <w:rPr>
          <w:rFonts w:ascii="Narkisim" w:hAnsi="Narkisim" w:cs="Narkisim"/>
          <w:b/>
          <w:bCs/>
          <w:rtl/>
        </w:rPr>
        <w:t>רשב”א</w:t>
      </w:r>
      <w:r w:rsidRPr="003124AA">
        <w:rPr>
          <w:rFonts w:ascii="Narkisim" w:hAnsi="Narkisim" w:cs="Narkisim"/>
          <w:rtl/>
        </w:rPr>
        <w:t xml:space="preserve"> חידש דכ”ז באיסור דאורייתא, אבל איסור דרבנן רשאי אף להאכילו בידים. דהא למ”ד דבי”ד מצווין להפרישו מאיסור דאורייתא, מ”מ באיסור דרבנן אי"צ להפרישו</w:t>
      </w:r>
      <w:r w:rsidRPr="003124AA">
        <w:rPr>
          <w:rStyle w:val="ac"/>
          <w:rFonts w:ascii="Narkisim" w:hAnsi="Narkisim" w:cs="Narkisim"/>
          <w:rtl/>
        </w:rPr>
        <w:footnoteReference w:id="7595"/>
      </w:r>
      <w:r w:rsidRPr="003124AA">
        <w:rPr>
          <w:rFonts w:ascii="Narkisim" w:hAnsi="Narkisim" w:cs="Narkisim"/>
          <w:rtl/>
        </w:rPr>
        <w:t>. ואף לדידן דאי"צ להפרישו, אלא דאסור ליתן בידים מחתינן דרגא</w:t>
      </w:r>
      <w:r w:rsidRPr="003124AA">
        <w:rPr>
          <w:rStyle w:val="ac"/>
          <w:rFonts w:ascii="Narkisim" w:hAnsi="Narkisim" w:cs="Narkisim"/>
          <w:rtl/>
        </w:rPr>
        <w:footnoteReference w:id="7596"/>
      </w:r>
      <w:r w:rsidRPr="003124AA">
        <w:rPr>
          <w:rFonts w:ascii="Narkisim" w:hAnsi="Narkisim" w:cs="Narkisim"/>
          <w:rtl/>
        </w:rPr>
        <w:t>, ובאיסור דרבנן רשאי אפי' לומר לו לאכול</w:t>
      </w:r>
      <w:r w:rsidRPr="003124AA">
        <w:rPr>
          <w:rStyle w:val="ac"/>
          <w:rFonts w:ascii="Narkisim" w:hAnsi="Narkisim" w:cs="Narkisim"/>
          <w:rtl/>
        </w:rPr>
        <w:footnoteReference w:id="7597"/>
      </w:r>
      <w:r w:rsidRPr="003124AA">
        <w:rPr>
          <w:rFonts w:ascii="Narkisim" w:hAnsi="Narkisim" w:cs="Narkisim"/>
          <w:rtl/>
        </w:rPr>
        <w:t>. דלא העמידו דבריהם</w:t>
      </w:r>
      <w:r w:rsidRPr="003124AA">
        <w:rPr>
          <w:rStyle w:val="ac"/>
          <w:rFonts w:ascii="Narkisim" w:hAnsi="Narkisim" w:cs="Narkisim"/>
          <w:rtl/>
        </w:rPr>
        <w:footnoteReference w:id="7598"/>
      </w:r>
      <w:r w:rsidRPr="003124AA">
        <w:rPr>
          <w:rFonts w:ascii="Narkisim" w:hAnsi="Narkisim" w:cs="Narkisim"/>
          <w:rtl/>
        </w:rPr>
        <w:t xml:space="preserve"> אלא אצל </w:t>
      </w:r>
      <w:r w:rsidRPr="003124AA">
        <w:rPr>
          <w:rFonts w:ascii="Narkisim" w:hAnsi="Narkisim" w:cs="Narkisim"/>
          <w:rtl/>
        </w:rPr>
        <w:lastRenderedPageBreak/>
        <w:t>גדולים שבישראל, ולא אצל קטניהם.</w:t>
      </w:r>
    </w:p>
    <w:p w14:paraId="1D1D0677"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הביא כן מהא (נדה מו: הו' בתוד"ה אלא) דלמ"ד מופלא הסמוך לאיש דרבנן, אתי אישות דרבנן ומיפר נדריה</w:t>
      </w:r>
      <w:r w:rsidRPr="003124AA">
        <w:rPr>
          <w:rStyle w:val="ac"/>
          <w:rFonts w:ascii="Narkisim" w:hAnsi="Narkisim"/>
          <w:rtl/>
        </w:rPr>
        <w:footnoteReference w:id="7599"/>
      </w:r>
      <w:r w:rsidRPr="003124AA">
        <w:rPr>
          <w:rFonts w:ascii="Narkisim" w:hAnsi="Narkisim"/>
          <w:rtl/>
        </w:rPr>
        <w:t>. וכן (לעיל קיג. וגיטין נה.) מבואר דמאכיל בתרומה דרבנן. ומשמע דרשאי אף להאכיל בידים דבר האסור מדרבנן. וה</w:t>
      </w:r>
      <w:r w:rsidRPr="003124AA">
        <w:rPr>
          <w:rFonts w:ascii="Narkisim" w:hAnsi="Narkisim"/>
          <w:b/>
          <w:bCs/>
          <w:rtl/>
        </w:rPr>
        <w:t>אחרונים</w:t>
      </w:r>
      <w:r w:rsidRPr="003124AA">
        <w:rPr>
          <w:rFonts w:ascii="Narkisim" w:hAnsi="Narkisim"/>
          <w:rtl/>
        </w:rPr>
        <w:t xml:space="preserve"> דחו דהתם מבואר דדוקא משום נישואין דרבנן התירו</w:t>
      </w:r>
      <w:r w:rsidRPr="003124AA">
        <w:rPr>
          <w:rStyle w:val="ac"/>
          <w:rFonts w:ascii="Narkisim" w:hAnsi="Narkisim"/>
          <w:rtl/>
        </w:rPr>
        <w:footnoteReference w:id="7600"/>
      </w:r>
      <w:r w:rsidRPr="003124AA">
        <w:rPr>
          <w:rFonts w:ascii="Narkisim" w:hAnsi="Narkisim"/>
          <w:rtl/>
        </w:rPr>
        <w:t xml:space="preserve"> [והתירו איסור דרבנן משום אישות דרבנן].</w:t>
      </w:r>
    </w:p>
    <w:p w14:paraId="7D8DBEA5" w14:textId="77777777" w:rsidR="006C4368" w:rsidRPr="003124AA" w:rsidRDefault="006C4368" w:rsidP="006C4368">
      <w:pPr>
        <w:pStyle w:val="a7"/>
        <w:bidi/>
        <w:rPr>
          <w:rFonts w:ascii="Narkisim" w:hAnsi="Narkisim"/>
        </w:rPr>
      </w:pPr>
      <w:r w:rsidRPr="003124AA">
        <w:rPr>
          <w:rFonts w:ascii="Narkisim" w:hAnsi="Narkisim"/>
          <w:rtl/>
        </w:rPr>
        <w:t>אך הביא ד</w:t>
      </w:r>
      <w:r w:rsidRPr="003124AA">
        <w:rPr>
          <w:rFonts w:ascii="Narkisim" w:hAnsi="Narkisim"/>
          <w:b/>
          <w:bCs/>
          <w:rtl/>
        </w:rPr>
        <w:t>הרמב"ם</w:t>
      </w:r>
      <w:r w:rsidRPr="003124AA">
        <w:rPr>
          <w:rFonts w:ascii="Narkisim" w:hAnsi="Narkisim"/>
          <w:rtl/>
        </w:rPr>
        <w:t xml:space="preserve"> (מאכ"א יז כז) כת' להדיא דאף דברים שהם משום שבות אסור להאכילו בידים. וכ"פ ה</w:t>
      </w:r>
      <w:r w:rsidRPr="003124AA">
        <w:rPr>
          <w:rFonts w:ascii="Narkisim" w:hAnsi="Narkisim"/>
          <w:b/>
          <w:bCs/>
          <w:rtl/>
        </w:rPr>
        <w:t>שו"ע</w:t>
      </w:r>
      <w:r w:rsidRPr="003124AA">
        <w:rPr>
          <w:rFonts w:ascii="Narkisim" w:hAnsi="Narkisim"/>
          <w:rtl/>
        </w:rPr>
        <w:t xml:space="preserve"> (או"ח שמג), וכן הכריע ה</w:t>
      </w:r>
      <w:r w:rsidRPr="003124AA">
        <w:rPr>
          <w:rFonts w:ascii="Narkisim" w:hAnsi="Narkisim"/>
          <w:b/>
          <w:bCs/>
          <w:rtl/>
        </w:rPr>
        <w:t>ריטב"א</w:t>
      </w:r>
      <w:r w:rsidRPr="003124AA">
        <w:rPr>
          <w:rFonts w:ascii="Narkisim" w:hAnsi="Narkisim"/>
          <w:rtl/>
        </w:rPr>
        <w:t xml:space="preserve"> (בסוגיין)</w:t>
      </w:r>
      <w:r w:rsidRPr="003124AA">
        <w:rPr>
          <w:rStyle w:val="ac"/>
          <w:rFonts w:ascii="Narkisim" w:hAnsi="Narkisim"/>
          <w:rtl/>
        </w:rPr>
        <w:footnoteReference w:id="7601"/>
      </w:r>
      <w:r w:rsidRPr="003124AA">
        <w:rPr>
          <w:rFonts w:ascii="Narkisim" w:hAnsi="Narkisim"/>
          <w:rtl/>
        </w:rPr>
        <w:t>.</w:t>
      </w:r>
    </w:p>
    <w:p w14:paraId="41D7C1B8" w14:textId="77777777" w:rsidR="006C4368" w:rsidRPr="003124AA" w:rsidRDefault="006C4368" w:rsidP="006C4368">
      <w:pPr>
        <w:bidi/>
        <w:rPr>
          <w:rFonts w:ascii="Narkisim" w:hAnsi="Narkisim" w:cs="Narkisim"/>
        </w:rPr>
      </w:pPr>
      <w:r w:rsidRPr="003124AA">
        <w:rPr>
          <w:rFonts w:ascii="Narkisim" w:hAnsi="Narkisim" w:cs="Narkisim"/>
          <w:rtl/>
        </w:rPr>
        <w:t>וה</w:t>
      </w:r>
      <w:r w:rsidRPr="003124AA">
        <w:rPr>
          <w:rFonts w:ascii="Narkisim" w:hAnsi="Narkisim" w:cs="Narkisim"/>
          <w:b/>
          <w:bCs/>
          <w:rtl/>
        </w:rPr>
        <w:t>רשב"א</w:t>
      </w:r>
      <w:r w:rsidRPr="003124AA">
        <w:rPr>
          <w:rFonts w:ascii="Narkisim" w:hAnsi="Narkisim" w:cs="Narkisim"/>
          <w:rtl/>
        </w:rPr>
        <w:t xml:space="preserve"> הביא דבגמ' (שבת קלט., וע”ע עירובין מ:) יש טעם נוסף שלא לתת לקטן איסור [אפי' איסור דרבנן], משום דאתי למיסרך. והרשב"א כת' דה"מ בדבר שעושה לצורך הגדול, ואינו לצורך התינוק. אבל כל דבר שהוא לצורכו של קטן לא הוה בכלל אתי למיסרך</w:t>
      </w:r>
      <w:r w:rsidRPr="003124AA">
        <w:rPr>
          <w:rStyle w:val="ac"/>
          <w:rFonts w:ascii="Narkisim" w:hAnsi="Narkisim" w:cs="Narkisim"/>
          <w:rtl/>
        </w:rPr>
        <w:footnoteReference w:id="7602"/>
      </w:r>
      <w:r w:rsidRPr="003124AA">
        <w:rPr>
          <w:rFonts w:ascii="Narkisim" w:hAnsi="Narkisim" w:cs="Narkisim"/>
          <w:rtl/>
        </w:rPr>
        <w:t>. וכדאי' (יומא עז:) דמאכילין תינוק ביוה"כ.</w:t>
      </w:r>
    </w:p>
    <w:p w14:paraId="0D2F7A67" w14:textId="77777777" w:rsidR="006C4368" w:rsidRPr="003124AA" w:rsidRDefault="006C4368" w:rsidP="006C4368">
      <w:pPr>
        <w:bidi/>
        <w:rPr>
          <w:rFonts w:ascii="Narkisim" w:hAnsi="Narkisim" w:cs="Narkisim"/>
        </w:rPr>
      </w:pPr>
      <w:r w:rsidRPr="003124AA">
        <w:rPr>
          <w:rFonts w:ascii="Narkisim" w:hAnsi="Narkisim" w:cs="Narkisim"/>
          <w:rtl/>
        </w:rPr>
        <w:t xml:space="preserve"> </w:t>
      </w:r>
      <w:r w:rsidRPr="003124AA">
        <w:rPr>
          <w:rFonts w:ascii="Narkisim" w:hAnsi="Narkisim" w:cs="Narkisim"/>
          <w:szCs w:val="20"/>
          <w:rtl/>
        </w:rPr>
        <w:t>וב</w:t>
      </w:r>
      <w:r w:rsidRPr="003124AA">
        <w:rPr>
          <w:rFonts w:ascii="Narkisim" w:hAnsi="Narkisim" w:cs="Narkisim"/>
          <w:b/>
          <w:bCs/>
          <w:szCs w:val="20"/>
          <w:rtl/>
        </w:rPr>
        <w:t>גמ'</w:t>
      </w:r>
      <w:r w:rsidRPr="003124AA">
        <w:rPr>
          <w:rFonts w:ascii="Narkisim" w:hAnsi="Narkisim" w:cs="Narkisim"/>
          <w:szCs w:val="20"/>
          <w:rtl/>
        </w:rPr>
        <w:t xml:space="preserve"> (שבת קנג:) אי' דההולך בדרך וחשכה לו, ימסור ביד חרש שוטה וקטן</w:t>
      </w:r>
      <w:r w:rsidRPr="003124AA">
        <w:rPr>
          <w:rStyle w:val="ac"/>
          <w:rFonts w:ascii="Narkisim" w:hAnsi="Narkisim" w:cs="Narkisim"/>
          <w:szCs w:val="20"/>
          <w:rtl/>
        </w:rPr>
        <w:footnoteReference w:id="7603"/>
      </w:r>
      <w:r w:rsidRPr="003124AA">
        <w:rPr>
          <w:rFonts w:ascii="Narkisim" w:hAnsi="Narkisim" w:cs="Narkisim"/>
          <w:szCs w:val="20"/>
          <w:rtl/>
        </w:rPr>
        <w:t>. ומניחה עליו כשהוא מהלך, באופן שלא יהא עקירה והנחה באיסור. וה</w:t>
      </w:r>
      <w:r w:rsidRPr="003124AA">
        <w:rPr>
          <w:rFonts w:ascii="Narkisim" w:hAnsi="Narkisim" w:cs="Narkisim"/>
          <w:b/>
          <w:bCs/>
          <w:szCs w:val="20"/>
          <w:rtl/>
        </w:rPr>
        <w:t>רשב"א</w:t>
      </w:r>
      <w:r w:rsidRPr="003124AA">
        <w:rPr>
          <w:rFonts w:ascii="Narkisim" w:hAnsi="Narkisim" w:cs="Narkisim"/>
          <w:szCs w:val="20"/>
          <w:rtl/>
        </w:rPr>
        <w:t xml:space="preserve"> (שם) ביאר דעושה באופן דהוה רק איסור דרבנן. ובאיסור דרבנן ספינן ליה אפי' לכתחילה</w:t>
      </w:r>
      <w:r w:rsidRPr="003124AA">
        <w:rPr>
          <w:rStyle w:val="ac"/>
          <w:rFonts w:ascii="Narkisim" w:hAnsi="Narkisim" w:cs="Narkisim"/>
          <w:szCs w:val="20"/>
          <w:rtl/>
        </w:rPr>
        <w:footnoteReference w:id="7604"/>
      </w:r>
      <w:r w:rsidRPr="003124AA">
        <w:rPr>
          <w:rFonts w:ascii="Narkisim" w:hAnsi="Narkisim" w:cs="Narkisim"/>
          <w:szCs w:val="20"/>
          <w:rtl/>
        </w:rPr>
        <w:t>. [וכת' ומכאן ראיה לדברי].</w:t>
      </w:r>
    </w:p>
    <w:p w14:paraId="71776AA0" w14:textId="77777777" w:rsidR="006C4368" w:rsidRPr="003124AA" w:rsidRDefault="006C4368" w:rsidP="006C4368">
      <w:pPr>
        <w:bidi/>
        <w:rPr>
          <w:rFonts w:ascii="Narkisim" w:hAnsi="Narkisim" w:cs="Narkisim"/>
        </w:rPr>
      </w:pPr>
      <w:r w:rsidRPr="003124AA">
        <w:rPr>
          <w:rFonts w:ascii="Narkisim" w:hAnsi="Narkisim" w:cs="Narkisim"/>
          <w:szCs w:val="20"/>
          <w:rtl/>
        </w:rPr>
        <w:t>וה</w:t>
      </w:r>
      <w:r w:rsidRPr="003124AA">
        <w:rPr>
          <w:rFonts w:ascii="Narkisim" w:hAnsi="Narkisim" w:cs="Narkisim"/>
          <w:b/>
          <w:bCs/>
          <w:szCs w:val="20"/>
          <w:rtl/>
        </w:rPr>
        <w:t>רשב"א</w:t>
      </w:r>
      <w:r w:rsidRPr="003124AA">
        <w:rPr>
          <w:rFonts w:ascii="Narkisim" w:hAnsi="Narkisim" w:cs="Narkisim"/>
          <w:szCs w:val="20"/>
          <w:rtl/>
        </w:rPr>
        <w:t xml:space="preserve"> כת' דע"פ שיטתו מותר להאכיל קטן טבל הטבול מדרבנן</w:t>
      </w:r>
      <w:r w:rsidRPr="003124AA">
        <w:rPr>
          <w:rStyle w:val="ac"/>
          <w:rFonts w:ascii="Narkisim" w:hAnsi="Narkisim" w:cs="Narkisim"/>
          <w:szCs w:val="20"/>
          <w:rtl/>
        </w:rPr>
        <w:footnoteReference w:id="7605"/>
      </w:r>
      <w:r w:rsidRPr="003124AA">
        <w:rPr>
          <w:rFonts w:ascii="Narkisim" w:hAnsi="Narkisim" w:cs="Narkisim"/>
          <w:szCs w:val="20"/>
          <w:rtl/>
        </w:rPr>
        <w:t>. והק' דבגמ' (עירובין לא:) מבואר דאין מערבין בטבל דרבנן, תיפו"ל דראוי להאכיל לקטן [ואפי' להאכילו בידים]</w:t>
      </w:r>
      <w:r w:rsidRPr="003124AA">
        <w:rPr>
          <w:rStyle w:val="ac"/>
          <w:rFonts w:ascii="Narkisim" w:hAnsi="Narkisim" w:cs="Narkisim"/>
          <w:szCs w:val="20"/>
          <w:rtl/>
        </w:rPr>
        <w:footnoteReference w:id="7606"/>
      </w:r>
      <w:r w:rsidRPr="003124AA">
        <w:rPr>
          <w:rFonts w:ascii="Narkisim" w:hAnsi="Narkisim" w:cs="Narkisim"/>
          <w:szCs w:val="20"/>
          <w:rtl/>
        </w:rPr>
        <w:t>.</w:t>
      </w:r>
    </w:p>
    <w:p w14:paraId="0D427896" w14:textId="77777777" w:rsidR="006C4368" w:rsidRPr="003124AA" w:rsidRDefault="006C4368" w:rsidP="006C4368">
      <w:pPr>
        <w:bidi/>
        <w:rPr>
          <w:rFonts w:ascii="Narkisim" w:hAnsi="Narkisim" w:cs="Narkisim"/>
        </w:rPr>
      </w:pPr>
      <w:r w:rsidRPr="003124AA">
        <w:rPr>
          <w:rFonts w:ascii="Narkisim" w:hAnsi="Narkisim" w:cs="Narkisim"/>
          <w:rtl/>
        </w:rPr>
        <w:t>ובגמ' (ר"ה לג.) אי' דאין מעכבין את התינוקות שתוקעין בראש השנה שחל בשבת. ומתעסקין עמהם שילמדו</w:t>
      </w:r>
      <w:r w:rsidRPr="003124AA">
        <w:rPr>
          <w:rStyle w:val="ac"/>
          <w:rFonts w:ascii="Narkisim" w:hAnsi="Narkisim" w:cs="Narkisim"/>
          <w:rtl/>
        </w:rPr>
        <w:footnoteReference w:id="7607"/>
      </w:r>
      <w:r w:rsidRPr="003124AA">
        <w:rPr>
          <w:rFonts w:ascii="Narkisim" w:hAnsi="Narkisim" w:cs="Narkisim"/>
          <w:rtl/>
        </w:rPr>
        <w:t>. ו</w:t>
      </w:r>
      <w:r w:rsidRPr="003124AA">
        <w:rPr>
          <w:rFonts w:ascii="Narkisim" w:hAnsi="Narkisim" w:cs="Narkisim"/>
          <w:b/>
          <w:bCs/>
          <w:rtl/>
        </w:rPr>
        <w:t>תוס</w:t>
      </w:r>
      <w:r w:rsidRPr="003124AA">
        <w:rPr>
          <w:rFonts w:ascii="Narkisim" w:hAnsi="Narkisim" w:cs="Narkisim"/>
          <w:rtl/>
        </w:rPr>
        <w:t>' (שם ד"ה תניא) כת' דאף דבעלמא לא ספינן להו בידים, אפי' איסור דרבנן</w:t>
      </w:r>
      <w:r w:rsidRPr="003124AA">
        <w:rPr>
          <w:rStyle w:val="ac"/>
          <w:rFonts w:ascii="Narkisim" w:hAnsi="Narkisim" w:cs="Narkisim"/>
          <w:rtl/>
        </w:rPr>
        <w:footnoteReference w:id="7608"/>
      </w:r>
      <w:r w:rsidRPr="003124AA">
        <w:rPr>
          <w:rFonts w:ascii="Narkisim" w:hAnsi="Narkisim" w:cs="Narkisim"/>
          <w:rtl/>
        </w:rPr>
        <w:t xml:space="preserve">. בר"ה שחל בשבת כיון דזימנין יש בזה מצווה בתקיעה מותר ללמדו. </w:t>
      </w:r>
      <w:r w:rsidRPr="003124AA">
        <w:rPr>
          <w:rFonts w:ascii="Narkisim" w:hAnsi="Narkisim" w:cs="Narkisim"/>
          <w:rtl/>
        </w:rPr>
        <w:lastRenderedPageBreak/>
        <w:t>ול"ד לשאר איסורין.</w:t>
      </w:r>
    </w:p>
    <w:p w14:paraId="4A18BABA"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(ר"ה שם) הק' [ע"פ שיטתו] דמאכילין אותו בידים איסורא דרבנן</w:t>
      </w:r>
      <w:r w:rsidRPr="003124AA">
        <w:rPr>
          <w:rStyle w:val="ac"/>
          <w:rFonts w:ascii="Narkisim" w:hAnsi="Narkisim"/>
          <w:rtl/>
        </w:rPr>
        <w:footnoteReference w:id="7609"/>
      </w:r>
      <w:r w:rsidRPr="003124AA">
        <w:rPr>
          <w:rFonts w:ascii="Narkisim" w:hAnsi="Narkisim"/>
          <w:rtl/>
        </w:rPr>
        <w:t xml:space="preserve"> [א”כ פשיטא דאין מעכבין</w:t>
      </w:r>
      <w:r w:rsidRPr="003124AA">
        <w:rPr>
          <w:rStyle w:val="ac"/>
          <w:rFonts w:ascii="Narkisim" w:hAnsi="Narkisim"/>
          <w:rtl/>
        </w:rPr>
        <w:footnoteReference w:id="7610"/>
      </w:r>
      <w:r w:rsidRPr="003124AA">
        <w:rPr>
          <w:rFonts w:ascii="Narkisim" w:hAnsi="Narkisim"/>
          <w:rtl/>
        </w:rPr>
        <w:t>]. וכת'  ומיהו איפשר דהתם לא הוה ממש צורך של התינוק. ודוקא דבר שהוא צריך לו ממש ספינן להו בידים</w:t>
      </w:r>
      <w:r w:rsidRPr="003124AA">
        <w:rPr>
          <w:rStyle w:val="ac"/>
          <w:rFonts w:ascii="Narkisim" w:hAnsi="Narkisim"/>
          <w:rtl/>
        </w:rPr>
        <w:footnoteReference w:id="7611"/>
      </w:r>
      <w:r w:rsidRPr="003124AA">
        <w:rPr>
          <w:rFonts w:ascii="Narkisim" w:hAnsi="Narkisim"/>
          <w:rtl/>
        </w:rPr>
        <w:t xml:space="preserve">. </w:t>
      </w:r>
      <w:r w:rsidRPr="003124AA">
        <w:rPr>
          <w:rFonts w:ascii="Narkisim" w:hAnsi="Narkisim"/>
          <w:szCs w:val="20"/>
          <w:rtl/>
        </w:rPr>
        <w:t>וכ"כ ב</w:t>
      </w:r>
      <w:r w:rsidRPr="003124AA">
        <w:rPr>
          <w:rFonts w:ascii="Narkisim" w:hAnsi="Narkisim"/>
          <w:b/>
          <w:bCs/>
          <w:szCs w:val="20"/>
          <w:rtl/>
        </w:rPr>
        <w:t>שו"ת הרשב"א</w:t>
      </w:r>
      <w:r w:rsidRPr="003124AA">
        <w:rPr>
          <w:rFonts w:ascii="Narkisim" w:hAnsi="Narkisim"/>
          <w:szCs w:val="20"/>
          <w:rtl/>
        </w:rPr>
        <w:t xml:space="preserve"> (א צב) דדוקא לצורך התינוק התירו. ולא עלה על דעת שנתיר איסורין דרבנן בכדי, ושלא לצרכו של תינוק. וכל שהוא לצרכנו ולא לצרכו ממש של תינוק גזרינן דילמא אתי למסרך</w:t>
      </w:r>
      <w:r w:rsidRPr="003124AA">
        <w:rPr>
          <w:rStyle w:val="ac"/>
          <w:rFonts w:ascii="Narkisim" w:hAnsi="Narkisim"/>
          <w:szCs w:val="20"/>
          <w:rtl/>
        </w:rPr>
        <w:footnoteReference w:id="7612"/>
      </w:r>
      <w:r w:rsidRPr="003124AA">
        <w:rPr>
          <w:rFonts w:ascii="Narkisim" w:hAnsi="Narkisim"/>
          <w:rtl/>
        </w:rPr>
        <w:t>.</w:t>
      </w:r>
    </w:p>
    <w:p w14:paraId="31C0602A"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רשב"א</w:t>
      </w:r>
      <w:r w:rsidRPr="003124AA">
        <w:rPr>
          <w:rFonts w:ascii="Narkisim" w:hAnsi="Narkisim"/>
          <w:rtl/>
        </w:rPr>
        <w:t xml:space="preserve"> (ר"ה) הביא עוד מהגמ' (נזיר כט.) דאי' דלר' יוסי בר' חנינא האב מדיר את בנו בנזיר כדי לחנכן במצות. והא דמגלח משום דקסבר הקפת כל הראש דרבנן, ואתי חינוך דרבנן דחי הקפה דרבנן. והרשב"א הק' תיפו"ל דהקפת כל הראש דרבנן ורשאי להאכילו בידים, ואמאי צריך להוסיף דחינוך דחי ליה. אלא דהקפה זו לא הוה לצורך התינוק. הילכך אי לאו מצוה לא דחינן הקפה דרבנן בידים. וא"נ אפשר דלא אמרינן הכי בשהגיע לחינוך.</w:t>
      </w:r>
    </w:p>
    <w:p w14:paraId="3C3608FE"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ובגמ' (שבת צ:) אי'</w:t>
      </w:r>
      <w:r w:rsidRPr="003124AA">
        <w:rPr>
          <w:rStyle w:val="ac"/>
          <w:rFonts w:ascii="Narkisim" w:hAnsi="Narkisim" w:cs="Narkisim"/>
          <w:rtl/>
        </w:rPr>
        <w:footnoteReference w:id="7613"/>
      </w:r>
      <w:r w:rsidRPr="003124AA">
        <w:rPr>
          <w:rFonts w:ascii="Narkisim" w:hAnsi="Narkisim" w:cs="Narkisim"/>
          <w:rtl/>
        </w:rPr>
        <w:t xml:space="preserve"> דאסור ליתן חגב טמא לתינוק לשחק דלמא אכל ליה. ופ</w:t>
      </w:r>
      <w:r w:rsidRPr="003124AA">
        <w:rPr>
          <w:rFonts w:ascii="Narkisim" w:hAnsi="Narkisim" w:cs="Narkisim"/>
          <w:b/>
          <w:bCs/>
          <w:rtl/>
        </w:rPr>
        <w:t>רש"י</w:t>
      </w:r>
      <w:r w:rsidRPr="003124AA">
        <w:rPr>
          <w:rFonts w:ascii="Narkisim" w:hAnsi="Narkisim" w:cs="Narkisim"/>
          <w:rtl/>
        </w:rPr>
        <w:t xml:space="preserve"> דאפי' למ"ד קטן אוכל נבילות, מודה הוא דלא יהבי' ליה בידים</w:t>
      </w:r>
      <w:r w:rsidRPr="003124AA">
        <w:rPr>
          <w:rStyle w:val="ac"/>
          <w:rFonts w:ascii="Narkisim" w:hAnsi="Narkisim" w:cs="Narkisim"/>
          <w:rtl/>
        </w:rPr>
        <w:footnoteReference w:id="7614"/>
      </w:r>
      <w:r w:rsidRPr="003124AA">
        <w:rPr>
          <w:rFonts w:ascii="Narkisim" w:hAnsi="Narkisim" w:cs="Narkisim"/>
          <w:rtl/>
        </w:rPr>
        <w:t>. והגמ' דנה דא"כ אף חגב טהור חי יש בזה משום בל תשקצו. [וה</w:t>
      </w:r>
      <w:r w:rsidRPr="003124AA">
        <w:rPr>
          <w:rFonts w:ascii="Narkisim" w:hAnsi="Narkisim" w:cs="Narkisim"/>
          <w:b/>
          <w:bCs/>
          <w:rtl/>
        </w:rPr>
        <w:t>הג' אשר"י</w:t>
      </w:r>
      <w:r w:rsidRPr="003124AA">
        <w:rPr>
          <w:rFonts w:ascii="Narkisim" w:hAnsi="Narkisim" w:cs="Narkisim"/>
          <w:rtl/>
        </w:rPr>
        <w:t xml:space="preserve"> (שם ט ב) הביא את המסקנא דלא חיישינן שיאכלנו בעודו חי]. וה</w:t>
      </w:r>
      <w:r w:rsidRPr="003124AA">
        <w:rPr>
          <w:rFonts w:ascii="Narkisim" w:hAnsi="Narkisim" w:cs="Narkisim"/>
          <w:b/>
          <w:bCs/>
          <w:rtl/>
        </w:rPr>
        <w:t>מג"א</w:t>
      </w:r>
      <w:r w:rsidRPr="003124AA">
        <w:rPr>
          <w:rFonts w:ascii="Narkisim" w:hAnsi="Narkisim" w:cs="Narkisim"/>
          <w:rtl/>
        </w:rPr>
        <w:t xml:space="preserve"> (שמג ג) הביא דמבואר דאף דבר שאסור רק משום בל תשקצו אסור ליתן לידו, דהוי כמאן דמאכילו בידים.</w:t>
      </w:r>
    </w:p>
    <w:p w14:paraId="0003DB08" w14:textId="77777777" w:rsidR="006C4368" w:rsidRPr="003124AA" w:rsidRDefault="006C4368" w:rsidP="006C4368">
      <w:pPr>
        <w:pStyle w:val="a8"/>
        <w:bidi/>
        <w:rPr>
          <w:rFonts w:ascii="Narkisim" w:hAnsi="Narkisim"/>
        </w:rPr>
      </w:pPr>
      <w:r w:rsidRPr="003124AA">
        <w:rPr>
          <w:rFonts w:ascii="Narkisim" w:hAnsi="Narkisim"/>
          <w:rtl/>
        </w:rPr>
        <w:t>וכן הביא ה</w:t>
      </w:r>
      <w:r w:rsidRPr="003124AA">
        <w:rPr>
          <w:rFonts w:ascii="Narkisim" w:hAnsi="Narkisim"/>
          <w:b/>
          <w:bCs/>
          <w:rtl/>
        </w:rPr>
        <w:t>משנ"ל</w:t>
      </w:r>
      <w:r w:rsidRPr="003124AA">
        <w:rPr>
          <w:rFonts w:ascii="Narkisim" w:hAnsi="Narkisim"/>
          <w:rtl/>
        </w:rPr>
        <w:t xml:space="preserve"> (מאכ"א יז כז) דמבואר מדברי </w:t>
      </w:r>
      <w:r w:rsidRPr="003124AA">
        <w:rPr>
          <w:rFonts w:ascii="Narkisim" w:hAnsi="Narkisim"/>
          <w:b/>
          <w:bCs/>
          <w:rtl/>
        </w:rPr>
        <w:t>רש"י</w:t>
      </w:r>
      <w:r w:rsidRPr="003124AA">
        <w:rPr>
          <w:rFonts w:ascii="Narkisim" w:hAnsi="Narkisim"/>
          <w:rtl/>
        </w:rPr>
        <w:t xml:space="preserve"> (שבת) דסבר</w:t>
      </w:r>
      <w:r w:rsidRPr="003124AA">
        <w:rPr>
          <w:rStyle w:val="ac"/>
          <w:rFonts w:ascii="Narkisim" w:hAnsi="Narkisim"/>
          <w:rtl/>
        </w:rPr>
        <w:footnoteReference w:id="7615"/>
      </w:r>
      <w:r w:rsidRPr="003124AA">
        <w:rPr>
          <w:rFonts w:ascii="Narkisim" w:hAnsi="Narkisim"/>
          <w:rtl/>
        </w:rPr>
        <w:t xml:space="preserve"> דאף באיסור דרבנן אסור להאכיל בידים</w:t>
      </w:r>
      <w:r w:rsidRPr="003124AA">
        <w:rPr>
          <w:rStyle w:val="ac"/>
          <w:rFonts w:ascii="Narkisim" w:hAnsi="Narkisim"/>
          <w:rtl/>
        </w:rPr>
        <w:footnoteReference w:id="7616"/>
      </w:r>
      <w:r w:rsidRPr="003124AA">
        <w:rPr>
          <w:rFonts w:ascii="Narkisim" w:hAnsi="Narkisim"/>
          <w:rtl/>
        </w:rPr>
        <w:t>.</w:t>
      </w:r>
    </w:p>
    <w:p w14:paraId="2EF684D2"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משנ"ל</w:t>
      </w:r>
      <w:r w:rsidRPr="003124AA">
        <w:rPr>
          <w:rFonts w:ascii="Narkisim" w:hAnsi="Narkisim"/>
          <w:rtl/>
        </w:rPr>
        <w:t xml:space="preserve"> (שם) הביא עוד מהגמ' (לעיל עא.) קטן ערל האם רשאי לסוכו בשמן תרומה, ואף דסיכה כשתייה הוה מדרבנן [לדעת הרבה ראשונים], אפ”ה אסור לתת לתינוק בן יומו. ומבואר דאין מאכילים לקטן איסור דרבנן</w:t>
      </w:r>
      <w:r w:rsidRPr="003124AA">
        <w:rPr>
          <w:rStyle w:val="ac"/>
          <w:rFonts w:ascii="Narkisim" w:hAnsi="Narkisim"/>
          <w:rtl/>
        </w:rPr>
        <w:footnoteReference w:id="7617"/>
      </w:r>
      <w:r w:rsidRPr="003124AA">
        <w:rPr>
          <w:rFonts w:ascii="Narkisim" w:hAnsi="Narkisim"/>
          <w:rtl/>
        </w:rPr>
        <w:t>.</w:t>
      </w:r>
    </w:p>
    <w:p w14:paraId="425227A2"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אמר"מ</w:t>
      </w:r>
      <w:r w:rsidRPr="003124AA">
        <w:rPr>
          <w:rFonts w:ascii="Narkisim" w:hAnsi="Narkisim"/>
          <w:rtl/>
        </w:rPr>
        <w:t xml:space="preserve"> (יג א) ו</w:t>
      </w:r>
      <w:r w:rsidRPr="003124AA">
        <w:rPr>
          <w:rFonts w:ascii="Narkisim" w:hAnsi="Narkisim"/>
          <w:b/>
          <w:bCs/>
          <w:rtl/>
        </w:rPr>
        <w:t>דבר"י</w:t>
      </w:r>
      <w:r w:rsidRPr="003124AA">
        <w:rPr>
          <w:rFonts w:ascii="Narkisim" w:hAnsi="Narkisim"/>
          <w:rtl/>
        </w:rPr>
        <w:t xml:space="preserve"> (טו) דחו דאסור לסוך תרומה משום דין 'משמרת' [אף לולי איסור סיכה]. ועוד יש </w:t>
      </w:r>
      <w:r w:rsidRPr="003124AA">
        <w:rPr>
          <w:rFonts w:ascii="Narkisim" w:hAnsi="Narkisim"/>
          <w:b/>
          <w:bCs/>
          <w:rtl/>
        </w:rPr>
        <w:t>אחרונים</w:t>
      </w:r>
      <w:r w:rsidRPr="003124AA">
        <w:rPr>
          <w:rFonts w:ascii="Narkisim" w:hAnsi="Narkisim"/>
          <w:rtl/>
        </w:rPr>
        <w:t xml:space="preserve"> שדנו משום הנאת כילוי, וה</w:t>
      </w:r>
      <w:r w:rsidRPr="003124AA">
        <w:rPr>
          <w:rFonts w:ascii="Narkisim" w:hAnsi="Narkisim"/>
          <w:b/>
          <w:bCs/>
          <w:rtl/>
        </w:rPr>
        <w:t>אחיעזר</w:t>
      </w:r>
      <w:r w:rsidRPr="003124AA">
        <w:rPr>
          <w:rFonts w:ascii="Narkisim" w:hAnsi="Narkisim"/>
          <w:rtl/>
        </w:rPr>
        <w:t xml:space="preserve"> (ג פא יט) דחה דה"מ בזר, אבל ליכא איסור הנאת כילוי בכהן ערל. וכ"כ ה</w:t>
      </w:r>
      <w:r w:rsidRPr="003124AA">
        <w:rPr>
          <w:rFonts w:ascii="Narkisim" w:hAnsi="Narkisim"/>
          <w:b/>
          <w:bCs/>
          <w:rtl/>
        </w:rPr>
        <w:t>מנח"ח</w:t>
      </w:r>
      <w:r w:rsidRPr="003124AA">
        <w:rPr>
          <w:rFonts w:ascii="Narkisim" w:hAnsi="Narkisim"/>
          <w:rtl/>
        </w:rPr>
        <w:t xml:space="preserve"> (רפב י, הו' לעיל ע.).</w:t>
      </w:r>
    </w:p>
    <w:p w14:paraId="64C7541E" w14:textId="77777777" w:rsidR="006C4368" w:rsidRPr="003124AA" w:rsidRDefault="006C4368" w:rsidP="006C4368">
      <w:pPr>
        <w:bidi/>
        <w:rPr>
          <w:rFonts w:ascii="Narkisim" w:hAnsi="Narkisim" w:cs="Narkisim"/>
        </w:rPr>
      </w:pPr>
      <w:r w:rsidRPr="003124AA">
        <w:rPr>
          <w:rFonts w:ascii="Narkisim" w:hAnsi="Narkisim" w:cs="Narkisim"/>
          <w:u w:val="single"/>
          <w:rtl/>
        </w:rPr>
        <w:t>ת"ש אמור ואמרת, להזהיר גדולים על הקטנים וכו'</w:t>
      </w:r>
      <w:r w:rsidRPr="003124AA">
        <w:rPr>
          <w:rFonts w:ascii="Narkisim" w:hAnsi="Narkisim" w:cs="Narkisim"/>
          <w:rtl/>
        </w:rPr>
        <w:t>. ולמסקנא אף בזה אמרי' דאי"צ להפריש קטן [למ"ד קטן אוכל נבילות]. וכ"פ ה</w:t>
      </w:r>
      <w:r w:rsidRPr="003124AA">
        <w:rPr>
          <w:rFonts w:ascii="Narkisim" w:hAnsi="Narkisim" w:cs="Narkisim"/>
          <w:b/>
          <w:bCs/>
          <w:rtl/>
        </w:rPr>
        <w:t>רמב"ם</w:t>
      </w:r>
      <w:r w:rsidRPr="003124AA">
        <w:rPr>
          <w:rFonts w:ascii="Narkisim" w:hAnsi="Narkisim" w:cs="Narkisim"/>
          <w:rtl/>
        </w:rPr>
        <w:t xml:space="preserve"> (אבל ג יב) דאם בא להטמא מעצמו אין בי"ד מצווין עליו להפרישו, אבל אביו צריך לחנכו בקדושה. [משום מצוות חינוך</w:t>
      </w:r>
      <w:r w:rsidRPr="003124AA">
        <w:rPr>
          <w:rStyle w:val="ac"/>
          <w:rFonts w:ascii="Narkisim" w:hAnsi="Narkisim" w:cs="Narkisim"/>
          <w:rtl/>
        </w:rPr>
        <w:footnoteReference w:id="7618"/>
      </w:r>
      <w:r w:rsidRPr="003124AA">
        <w:rPr>
          <w:rFonts w:ascii="Narkisim" w:hAnsi="Narkisim" w:cs="Narkisim"/>
          <w:rtl/>
        </w:rPr>
        <w:t>].</w:t>
      </w:r>
    </w:p>
    <w:p w14:paraId="4DF2F863" w14:textId="77777777" w:rsidR="006C4368" w:rsidRPr="003124AA" w:rsidRDefault="006C4368" w:rsidP="006C4368">
      <w:pPr>
        <w:pStyle w:val="a7"/>
        <w:bidi/>
        <w:rPr>
          <w:rFonts w:ascii="Narkisim" w:hAnsi="Narkisim"/>
        </w:rPr>
      </w:pPr>
      <w:r w:rsidRPr="003124AA">
        <w:rPr>
          <w:rFonts w:ascii="Narkisim" w:hAnsi="Narkisim"/>
          <w:rtl/>
        </w:rPr>
        <w:lastRenderedPageBreak/>
        <w:t>אבל ה</w:t>
      </w:r>
      <w:r w:rsidRPr="003124AA">
        <w:rPr>
          <w:rFonts w:ascii="Narkisim" w:hAnsi="Narkisim"/>
          <w:b/>
          <w:bCs/>
          <w:rtl/>
        </w:rPr>
        <w:t>טור</w:t>
      </w:r>
      <w:r w:rsidRPr="003124AA">
        <w:rPr>
          <w:rFonts w:ascii="Narkisim" w:hAnsi="Narkisim"/>
          <w:rtl/>
        </w:rPr>
        <w:t xml:space="preserve"> (יו"ד שעג) חלק דחייבין להפרישו, דכן משמע הדרשא 'להזהיר'</w:t>
      </w:r>
      <w:r w:rsidRPr="003124AA">
        <w:rPr>
          <w:rStyle w:val="ac"/>
          <w:rFonts w:ascii="Narkisim" w:hAnsi="Narkisim"/>
          <w:rtl/>
        </w:rPr>
        <w:footnoteReference w:id="7619"/>
      </w:r>
      <w:r w:rsidRPr="003124AA">
        <w:rPr>
          <w:rFonts w:ascii="Narkisim" w:hAnsi="Narkisim"/>
          <w:rtl/>
        </w:rPr>
        <w:t xml:space="preserve">. וכ"כ </w:t>
      </w:r>
      <w:r w:rsidRPr="003124AA">
        <w:rPr>
          <w:rFonts w:ascii="Narkisim" w:hAnsi="Narkisim"/>
          <w:b/>
          <w:bCs/>
          <w:rtl/>
        </w:rPr>
        <w:t>רבינו יונתן</w:t>
      </w:r>
      <w:r w:rsidRPr="003124AA">
        <w:rPr>
          <w:rFonts w:ascii="Narkisim" w:hAnsi="Narkisim"/>
          <w:rtl/>
        </w:rPr>
        <w:t xml:space="preserve"> ([הודפס בשם הנמוק"י] לרי"ף הלק"ט הלכות טומאה) דאף דבשאר איסורין האב אינו מוזהר על בנו</w:t>
      </w:r>
      <w:r w:rsidRPr="003124AA">
        <w:rPr>
          <w:rStyle w:val="ac"/>
          <w:rFonts w:ascii="Narkisim" w:hAnsi="Narkisim"/>
          <w:rtl/>
        </w:rPr>
        <w:footnoteReference w:id="7620"/>
      </w:r>
      <w:r w:rsidRPr="003124AA">
        <w:rPr>
          <w:rFonts w:ascii="Narkisim" w:hAnsi="Narkisim"/>
          <w:rtl/>
        </w:rPr>
        <w:t>, אבל בטומאה מוזהר מריבוי דקרא</w:t>
      </w:r>
      <w:r w:rsidRPr="003124AA">
        <w:rPr>
          <w:rStyle w:val="ac"/>
          <w:rFonts w:ascii="Narkisim" w:hAnsi="Narkisim"/>
          <w:rtl/>
        </w:rPr>
        <w:footnoteReference w:id="7621"/>
      </w:r>
      <w:r w:rsidRPr="003124AA">
        <w:rPr>
          <w:rFonts w:ascii="Narkisim" w:hAnsi="Narkisim"/>
          <w:rtl/>
        </w:rPr>
        <w:t xml:space="preserve">.  </w:t>
      </w:r>
    </w:p>
    <w:p w14:paraId="7D2FC09B"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רמ"א</w:t>
      </w:r>
      <w:r w:rsidRPr="003124AA">
        <w:rPr>
          <w:rFonts w:ascii="Narkisim" w:hAnsi="Narkisim"/>
          <w:rtl/>
        </w:rPr>
        <w:t xml:space="preserve"> (יו"ד שעג א) כת' דהא דהגדולים מוזהרין על הקטנים, היינו שלא לטמאותו בידים. אבל היכא דהקטנים מטמאים מעצמן, ע' או"ח שמג אי מצווין להפרישו. והפוסקים ביארו דכוונתו להקל, וכמו שאר איסורין</w:t>
      </w:r>
      <w:r w:rsidRPr="003124AA">
        <w:rPr>
          <w:rStyle w:val="ac"/>
          <w:rFonts w:ascii="Narkisim" w:hAnsi="Narkisim"/>
          <w:rtl/>
        </w:rPr>
        <w:footnoteReference w:id="7622"/>
      </w:r>
      <w:r w:rsidRPr="003124AA">
        <w:rPr>
          <w:rFonts w:ascii="Narkisim" w:hAnsi="Narkisim"/>
          <w:rtl/>
        </w:rPr>
        <w:t>.</w:t>
      </w:r>
    </w:p>
    <w:p w14:paraId="2BFD07ED"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ב"י</w:t>
      </w:r>
      <w:r w:rsidRPr="003124AA">
        <w:rPr>
          <w:rFonts w:ascii="Narkisim" w:hAnsi="Narkisim"/>
          <w:rtl/>
        </w:rPr>
        <w:t xml:space="preserve"> (או"ח שמג) ביאר דעת הטור דלמסקנא בהנך ג' [שרצים, דם וטומאת כהנים] נתחדש דמצווין להפרישו, ולא דמי לכל התורה דאין מצווין להפרישו</w:t>
      </w:r>
      <w:r w:rsidRPr="003124AA">
        <w:rPr>
          <w:rStyle w:val="ac"/>
          <w:rFonts w:ascii="Narkisim" w:hAnsi="Narkisim"/>
          <w:rtl/>
        </w:rPr>
        <w:footnoteReference w:id="7623"/>
      </w:r>
      <w:r w:rsidRPr="003124AA">
        <w:rPr>
          <w:rFonts w:ascii="Narkisim" w:hAnsi="Narkisim"/>
          <w:rtl/>
        </w:rPr>
        <w:t>. דלאחר שנתגלה דהוה ג' כתובים הבאין כא', אין מלמדין</w:t>
      </w:r>
      <w:r w:rsidRPr="003124AA">
        <w:rPr>
          <w:rStyle w:val="ac"/>
          <w:rFonts w:ascii="Narkisim" w:hAnsi="Narkisim"/>
          <w:rtl/>
        </w:rPr>
        <w:footnoteReference w:id="7624"/>
      </w:r>
      <w:r w:rsidRPr="003124AA">
        <w:rPr>
          <w:rFonts w:ascii="Narkisim" w:hAnsi="Narkisim"/>
          <w:rtl/>
        </w:rPr>
        <w:t>.</w:t>
      </w:r>
    </w:p>
    <w:p w14:paraId="2525CE44"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אחרונים</w:t>
      </w:r>
      <w:r w:rsidRPr="003124AA">
        <w:rPr>
          <w:rFonts w:ascii="Narkisim" w:hAnsi="Narkisim"/>
          <w:rtl/>
        </w:rPr>
        <w:t xml:space="preserve"> (נוב"י ת או"ח א, פרמ”ג שם מ”ז א) דנו דלפ"ז מנ"ל דאסור להאכיל בידים. והפרמ"ג כת' דאפשר דהוה רק מדרבנן. אבל הנוב"י כת' דודאי אסור מדאורייתא מסברא.</w:t>
      </w:r>
    </w:p>
    <w:p w14:paraId="3666BEE6"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ר"א מזרחי</w:t>
      </w:r>
      <w:r w:rsidRPr="003124AA">
        <w:rPr>
          <w:rFonts w:ascii="Narkisim" w:hAnsi="Narkisim"/>
          <w:rtl/>
        </w:rPr>
        <w:t xml:space="preserve"> (שו"ת עא, ועה"ת ויקרא כא א, והו' בב”י) כת' דהטור קאי דוקא בטומאת כהנים, דפשטיה דדרשא אמור ואמרת הוא להפרישם, והא דאי' בגמ' שלא יטמא בידים הוי דרך דחיה. אבל אליבא דאמת שאני התם משום דכהנים ריבה בהן הכתוב מצות יתירות</w:t>
      </w:r>
      <w:r w:rsidRPr="003124AA">
        <w:rPr>
          <w:rStyle w:val="ac"/>
          <w:rFonts w:ascii="Narkisim" w:hAnsi="Narkisim"/>
          <w:rtl/>
        </w:rPr>
        <w:footnoteReference w:id="7625"/>
      </w:r>
      <w:r w:rsidRPr="003124AA">
        <w:rPr>
          <w:rFonts w:ascii="Narkisim" w:hAnsi="Narkisim"/>
          <w:rtl/>
        </w:rPr>
        <w:t>. [וכדאי' בע"ב].</w:t>
      </w:r>
    </w:p>
    <w:p w14:paraId="1EB6603D" w14:textId="77777777" w:rsidR="006C4368" w:rsidRPr="003124AA" w:rsidRDefault="006C4368" w:rsidP="006C4368">
      <w:pPr>
        <w:bidi/>
        <w:rPr>
          <w:rFonts w:ascii="Narkisim" w:hAnsi="Narkisim" w:cs="Narkisim"/>
        </w:rPr>
      </w:pPr>
      <w:r w:rsidRPr="003124AA">
        <w:rPr>
          <w:rFonts w:ascii="Narkisim" w:hAnsi="Narkisim" w:cs="Narkisim"/>
          <w:u w:val="single"/>
          <w:rtl/>
        </w:rPr>
        <w:t>שם</w:t>
      </w:r>
      <w:r w:rsidRPr="003124AA">
        <w:rPr>
          <w:rFonts w:ascii="Narkisim" w:hAnsi="Narkisim" w:cs="Narkisim"/>
          <w:rtl/>
        </w:rPr>
        <w:t xml:space="preserve">. </w:t>
      </w:r>
      <w:r w:rsidRPr="003124AA">
        <w:rPr>
          <w:rFonts w:ascii="Narkisim" w:hAnsi="Narkisim" w:cs="Narkisim"/>
          <w:b/>
          <w:bCs/>
          <w:rtl/>
        </w:rPr>
        <w:t>תוס</w:t>
      </w:r>
      <w:r w:rsidRPr="003124AA">
        <w:rPr>
          <w:rFonts w:ascii="Narkisim" w:hAnsi="Narkisim" w:cs="Narkisim"/>
          <w:rtl/>
        </w:rPr>
        <w:t>' (פסחים פח. ד”ה שה) הק' בהא דאי' דקטן אי”צ מינוי לפסח</w:t>
      </w:r>
      <w:r w:rsidRPr="003124AA">
        <w:rPr>
          <w:rStyle w:val="ac"/>
          <w:rFonts w:ascii="Narkisim" w:hAnsi="Narkisim" w:cs="Narkisim"/>
          <w:rtl/>
        </w:rPr>
        <w:footnoteReference w:id="7626"/>
      </w:r>
      <w:r w:rsidRPr="003124AA">
        <w:rPr>
          <w:rFonts w:ascii="Narkisim" w:hAnsi="Narkisim" w:cs="Narkisim"/>
          <w:rtl/>
        </w:rPr>
        <w:t>, היאך מאכיל את הפסח שלא למנויו. ואסור לספות לו איסור בידים</w:t>
      </w:r>
      <w:r w:rsidRPr="003124AA">
        <w:rPr>
          <w:rStyle w:val="ac"/>
          <w:rFonts w:ascii="Narkisim" w:hAnsi="Narkisim" w:cs="Narkisim"/>
          <w:rtl/>
        </w:rPr>
        <w:footnoteReference w:id="7627"/>
      </w:r>
      <w:r w:rsidRPr="003124AA">
        <w:rPr>
          <w:rFonts w:ascii="Narkisim" w:hAnsi="Narkisim" w:cs="Narkisim"/>
          <w:rtl/>
        </w:rPr>
        <w:t>. ו</w:t>
      </w:r>
      <w:r w:rsidRPr="003124AA">
        <w:rPr>
          <w:rFonts w:ascii="Narkisim" w:hAnsi="Narkisim" w:cs="Narkisim"/>
          <w:b/>
          <w:bCs/>
          <w:rtl/>
        </w:rPr>
        <w:t>ר"י</w:t>
      </w:r>
      <w:r w:rsidRPr="003124AA">
        <w:rPr>
          <w:rFonts w:ascii="Narkisim" w:hAnsi="Narkisim" w:cs="Narkisim"/>
          <w:rtl/>
        </w:rPr>
        <w:t xml:space="preserve"> תי' דילפינן דאסור לספות בידים מלא תאכלום, ולא אסור אלא דומיא דשרצים ונבילות, אבל כה"ג דאיכא חנוך מצוה שרי. [תוס' פתחו דלא דמי לשרצים, וסיימו דהותר משום חינוך מצווה]. וה</w:t>
      </w:r>
      <w:r w:rsidRPr="003124AA">
        <w:rPr>
          <w:rFonts w:ascii="Narkisim" w:hAnsi="Narkisim" w:cs="Narkisim"/>
          <w:b/>
          <w:bCs/>
          <w:rtl/>
        </w:rPr>
        <w:t>אחרונים</w:t>
      </w:r>
      <w:r w:rsidRPr="003124AA">
        <w:rPr>
          <w:rFonts w:ascii="Narkisim" w:hAnsi="Narkisim" w:cs="Narkisim"/>
          <w:rtl/>
        </w:rPr>
        <w:t xml:space="preserve"> הק' האיך הותר איסור דאורייתא דלא תאכילום משום חינוך דרבנן.</w:t>
      </w:r>
    </w:p>
    <w:p w14:paraId="5596C01A"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מג"א</w:t>
      </w:r>
      <w:r w:rsidRPr="003124AA">
        <w:rPr>
          <w:rFonts w:ascii="Narkisim" w:hAnsi="Narkisim"/>
          <w:rtl/>
        </w:rPr>
        <w:t xml:space="preserve"> (שמג ג) הביא בשם התוס' דכיון שהוא חינוך מצוה מותר. והביא בשם רבינו ירוחם דכל דבר שהוא משום מצווה ספינן ליה בידים. והביא הא שמחנכין אותו לתקוע בשופר בשבת</w:t>
      </w:r>
      <w:r w:rsidRPr="003124AA">
        <w:rPr>
          <w:rStyle w:val="ac"/>
          <w:rFonts w:ascii="Narkisim" w:hAnsi="Narkisim"/>
          <w:rtl/>
        </w:rPr>
        <w:footnoteReference w:id="7628"/>
      </w:r>
      <w:r w:rsidRPr="003124AA">
        <w:rPr>
          <w:rFonts w:ascii="Narkisim" w:hAnsi="Narkisim"/>
          <w:rtl/>
        </w:rPr>
        <w:t xml:space="preserve"> (ר"ה לג., הו' לעיל). ו</w:t>
      </w:r>
      <w:r w:rsidRPr="003124AA">
        <w:rPr>
          <w:rFonts w:ascii="Narkisim" w:hAnsi="Narkisim"/>
          <w:b/>
          <w:bCs/>
          <w:rtl/>
        </w:rPr>
        <w:t>רע"א</w:t>
      </w:r>
      <w:r w:rsidRPr="003124AA">
        <w:rPr>
          <w:rFonts w:ascii="Narkisim" w:hAnsi="Narkisim"/>
          <w:rtl/>
        </w:rPr>
        <w:t xml:space="preserve"> (פסחים פט.) הק' דבשלמא תקיעת שופר הוה רק דרבנן, אבל שלא למנויו אסור מדאורייתא</w:t>
      </w:r>
      <w:r w:rsidRPr="003124AA">
        <w:rPr>
          <w:rStyle w:val="ac"/>
          <w:rFonts w:ascii="Narkisim" w:hAnsi="Narkisim"/>
          <w:rtl/>
        </w:rPr>
        <w:footnoteReference w:id="7629"/>
      </w:r>
      <w:r w:rsidRPr="003124AA">
        <w:rPr>
          <w:rFonts w:ascii="Narkisim" w:hAnsi="Narkisim"/>
          <w:rtl/>
        </w:rPr>
        <w:t>.</w:t>
      </w:r>
    </w:p>
    <w:p w14:paraId="13548B47" w14:textId="77777777" w:rsidR="006C4368" w:rsidRPr="003124AA" w:rsidRDefault="006C4368" w:rsidP="006C4368">
      <w:pPr>
        <w:bidi/>
        <w:rPr>
          <w:rFonts w:ascii="Narkisim" w:hAnsi="Narkisim" w:cs="Narkisim"/>
        </w:rPr>
      </w:pPr>
      <w:r w:rsidRPr="003124AA">
        <w:rPr>
          <w:rFonts w:ascii="Narkisim" w:hAnsi="Narkisim" w:cs="Narkisim"/>
          <w:u w:val="single"/>
          <w:rtl/>
        </w:rPr>
        <w:lastRenderedPageBreak/>
        <w:t>וצריכי וכו'</w:t>
      </w:r>
      <w:r w:rsidRPr="003124AA">
        <w:rPr>
          <w:rFonts w:ascii="Narkisim" w:hAnsi="Narkisim" w:cs="Narkisim"/>
          <w:rtl/>
        </w:rPr>
        <w:t>. ובפשוטו למסקנא ילפי' מהנך ג' קראי לשאר איסורי התורה דאסור להאכיל בידים. [וע' לעיל].</w:t>
      </w:r>
    </w:p>
    <w:p w14:paraId="2D6FD080" w14:textId="77777777" w:rsidR="006C4368" w:rsidRPr="003124AA" w:rsidRDefault="006C4368" w:rsidP="006C4368">
      <w:pPr>
        <w:pStyle w:val="a7"/>
        <w:bidi/>
        <w:rPr>
          <w:rFonts w:ascii="Narkisim" w:hAnsi="Narkisim"/>
        </w:rPr>
      </w:pPr>
      <w:r w:rsidRPr="003124AA">
        <w:rPr>
          <w:rFonts w:ascii="Narkisim" w:hAnsi="Narkisim"/>
          <w:rtl/>
        </w:rPr>
        <w:t>ו</w:t>
      </w:r>
      <w:r w:rsidRPr="003124AA">
        <w:rPr>
          <w:rFonts w:ascii="Narkisim" w:hAnsi="Narkisim"/>
          <w:b/>
          <w:bCs/>
          <w:rtl/>
        </w:rPr>
        <w:t>רע"א</w:t>
      </w:r>
      <w:r w:rsidRPr="003124AA">
        <w:rPr>
          <w:rFonts w:ascii="Narkisim" w:hAnsi="Narkisim"/>
          <w:rtl/>
        </w:rPr>
        <w:t xml:space="preserve"> הק' דהנך ג' הוה חייבי לאוין, ולוקין עליהם. א"כ האיך ילפי' לאיסורי התורה דאין לוקין עליו. והק' דהגמ' הביאה לעיל מחלב טמאה, ואף דהוה איסור בעלמא [יוצא מהטמא], ואין לוקין עליו</w:t>
      </w:r>
      <w:r w:rsidRPr="003124AA">
        <w:rPr>
          <w:rStyle w:val="ac"/>
          <w:rFonts w:ascii="Narkisim" w:hAnsi="Narkisim"/>
          <w:rtl/>
        </w:rPr>
        <w:footnoteReference w:id="7630"/>
      </w:r>
      <w:r w:rsidRPr="003124AA">
        <w:rPr>
          <w:rFonts w:ascii="Narkisim" w:hAnsi="Narkisim"/>
          <w:rtl/>
        </w:rPr>
        <w:t xml:space="preserve"> (וכמ”ש הרמב”ם מאכ”א ג ו).</w:t>
      </w:r>
    </w:p>
    <w:p w14:paraId="359E90B3"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תה"ד</w:t>
      </w:r>
      <w:r w:rsidRPr="003124AA">
        <w:rPr>
          <w:rFonts w:ascii="Narkisim" w:hAnsi="Narkisim"/>
          <w:rtl/>
        </w:rPr>
        <w:t xml:space="preserve"> (קכה) הביא דמצווין להפריש אף מאיסור לאו הבא מכלל עשה, ולא ילפי' מהנך פסוקים דוקא חייבי לאוין. והוכיח מהגמ' (לעיל) שמא יאכילנו תרומה טמאה, דלמ"ד דמצווין להפריש צריך לחוש בכהן קטן שאוכל תרומה טמאה, ואף דתרומה טמאה הוה איסור עשה [כדפרש"י ד"ה תרומה].</w:t>
      </w:r>
    </w:p>
    <w:p w14:paraId="1F21E079" w14:textId="77777777" w:rsidR="006C4368" w:rsidRPr="003124AA" w:rsidRDefault="006C4368" w:rsidP="006C4368">
      <w:pPr>
        <w:pStyle w:val="a7"/>
        <w:bidi/>
        <w:rPr>
          <w:rFonts w:ascii="Narkisim" w:hAnsi="Narkisim"/>
        </w:rPr>
      </w:pPr>
      <w:r w:rsidRPr="003124AA">
        <w:rPr>
          <w:rFonts w:ascii="Narkisim" w:hAnsi="Narkisim"/>
          <w:rtl/>
        </w:rPr>
        <w:t>אך התה"ד הביא בשם ה</w:t>
      </w:r>
      <w:r w:rsidRPr="003124AA">
        <w:rPr>
          <w:rFonts w:ascii="Narkisim" w:hAnsi="Narkisim"/>
          <w:b/>
          <w:bCs/>
          <w:rtl/>
        </w:rPr>
        <w:t>מהר"ם</w:t>
      </w:r>
      <w:r w:rsidRPr="003124AA">
        <w:rPr>
          <w:rFonts w:ascii="Narkisim" w:hAnsi="Narkisim"/>
          <w:rtl/>
        </w:rPr>
        <w:t xml:space="preserve"> (הג' מיימוני שבת כט מ) דמותר להאכיל קטן לפני קידוש, דהוה ביטול מצוות עשה בעלמא</w:t>
      </w:r>
      <w:r w:rsidRPr="003124AA">
        <w:rPr>
          <w:rStyle w:val="ac"/>
          <w:rFonts w:ascii="Narkisim" w:hAnsi="Narkisim"/>
          <w:rtl/>
        </w:rPr>
        <w:footnoteReference w:id="7631"/>
      </w:r>
      <w:r w:rsidRPr="003124AA">
        <w:rPr>
          <w:rFonts w:ascii="Narkisim" w:hAnsi="Narkisim"/>
          <w:rtl/>
        </w:rPr>
        <w:t>. דילפי' מהנך פסוקים דוקא איסורין, ולא ביטול עשה. והתה"ד ביאר דאף דילפי' [תרומה טמאה] איסור הבא מכלל עשה. אבל ביטול מצות עשה לא ילפי', ומותר להאכיל בידים.</w:t>
      </w:r>
    </w:p>
    <w:p w14:paraId="71AD3355" w14:textId="77777777" w:rsidR="006C4368" w:rsidRPr="003124AA" w:rsidRDefault="006C4368" w:rsidP="006C4368">
      <w:pPr>
        <w:pStyle w:val="a8"/>
        <w:bidi/>
        <w:rPr>
          <w:rFonts w:ascii="Narkisim" w:hAnsi="Narkisim"/>
        </w:rPr>
      </w:pPr>
      <w:r w:rsidRPr="003124AA">
        <w:rPr>
          <w:rFonts w:ascii="Narkisim" w:hAnsi="Narkisim"/>
          <w:rtl/>
        </w:rPr>
        <w:t>וכן הביא ה</w:t>
      </w:r>
      <w:r w:rsidRPr="003124AA">
        <w:rPr>
          <w:rFonts w:ascii="Narkisim" w:hAnsi="Narkisim"/>
          <w:b/>
          <w:bCs/>
          <w:rtl/>
        </w:rPr>
        <w:t>קובה”ע</w:t>
      </w:r>
      <w:r w:rsidRPr="003124AA">
        <w:rPr>
          <w:rFonts w:ascii="Narkisim" w:hAnsi="Narkisim"/>
          <w:rtl/>
        </w:rPr>
        <w:t xml:space="preserve"> (עה ה) דאף לצד (בסוגיין) דבי"ד מצווין להפרישו, ה"מ לאפרושי מאיסורא. אבל אין כופין אותו לקיים מצוות עשה. דבכל דוכתי אמרי' דמצוות חינוך הוה מדרבנן</w:t>
      </w:r>
      <w:r w:rsidRPr="003124AA">
        <w:rPr>
          <w:rStyle w:val="ac"/>
          <w:rFonts w:ascii="Narkisim" w:hAnsi="Narkisim"/>
          <w:rtl/>
        </w:rPr>
        <w:footnoteReference w:id="7632"/>
      </w:r>
      <w:r w:rsidRPr="003124AA">
        <w:rPr>
          <w:rFonts w:ascii="Narkisim" w:hAnsi="Narkisim"/>
          <w:rtl/>
        </w:rPr>
        <w:t>.</w:t>
      </w:r>
    </w:p>
    <w:p w14:paraId="1C97389F"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מג"א</w:t>
      </w:r>
      <w:r w:rsidRPr="003124AA">
        <w:rPr>
          <w:rFonts w:ascii="Narkisim" w:hAnsi="Narkisim"/>
          <w:rtl/>
        </w:rPr>
        <w:t xml:space="preserve"> (שמג ג) כת' דכ"ז בנידון דלהאכילו בידים [ליתן לו לשתות קודם קידוש], אבל הא פשיטא דמ"מ מחויב לחנכם במצות עשה, כגון לעשות להם קידוש וכיו"ב. והביא דכ"מ בדברי התה"ד.</w:t>
      </w:r>
    </w:p>
    <w:p w14:paraId="7063DF3C" w14:textId="77777777" w:rsidR="006C4368" w:rsidRPr="003124AA" w:rsidRDefault="006C4368" w:rsidP="006C4368">
      <w:pPr>
        <w:pStyle w:val="aa"/>
        <w:bidi/>
        <w:rPr>
          <w:rFonts w:ascii="Narkisim" w:hAnsi="Narkisim"/>
        </w:rPr>
      </w:pPr>
      <w:r w:rsidRPr="003124AA">
        <w:rPr>
          <w:rFonts w:ascii="Narkisim" w:hAnsi="Narkisim"/>
          <w:rtl/>
        </w:rPr>
        <w:t>וה</w:t>
      </w:r>
      <w:r w:rsidRPr="003124AA">
        <w:rPr>
          <w:rFonts w:ascii="Narkisim" w:hAnsi="Narkisim"/>
          <w:b/>
          <w:bCs/>
          <w:rtl/>
        </w:rPr>
        <w:t>מג”א</w:t>
      </w:r>
      <w:r w:rsidRPr="003124AA">
        <w:rPr>
          <w:rFonts w:ascii="Narkisim" w:hAnsi="Narkisim"/>
          <w:rtl/>
        </w:rPr>
        <w:t xml:space="preserve"> (רסט א) הביא דברי ה</w:t>
      </w:r>
      <w:r w:rsidRPr="003124AA">
        <w:rPr>
          <w:rFonts w:ascii="Narkisim" w:hAnsi="Narkisim"/>
          <w:b/>
          <w:bCs/>
          <w:rtl/>
        </w:rPr>
        <w:t>מהר”ם</w:t>
      </w:r>
      <w:r w:rsidRPr="003124AA">
        <w:rPr>
          <w:rFonts w:ascii="Narkisim" w:hAnsi="Narkisim"/>
          <w:rtl/>
        </w:rPr>
        <w:t xml:space="preserve"> (הנ"ל) שנותנים לקטן את כוס קידוש בביהכ”נ, ואף דלא יצא יד”ח בקידוש [שלא במקום סעודה], דאכילה לפני קידוש הוה עשה. והא דאסור להאכיל בידים לקטן היינו בדבר שיש בו לאו. אך ציין דמבואר ב</w:t>
      </w:r>
      <w:r w:rsidRPr="003124AA">
        <w:rPr>
          <w:rFonts w:ascii="Narkisim" w:hAnsi="Narkisim"/>
          <w:b/>
          <w:bCs/>
          <w:rtl/>
        </w:rPr>
        <w:t>שו"ע</w:t>
      </w:r>
      <w:r w:rsidRPr="003124AA">
        <w:rPr>
          <w:rFonts w:ascii="Narkisim" w:hAnsi="Narkisim"/>
          <w:rtl/>
        </w:rPr>
        <w:t xml:space="preserve"> (שמג) דאפי' איסור דרבנן לא ספי ליה בידים</w:t>
      </w:r>
      <w:r w:rsidRPr="003124AA">
        <w:rPr>
          <w:rStyle w:val="ac"/>
          <w:rFonts w:ascii="Narkisim" w:hAnsi="Narkisim"/>
          <w:rtl/>
        </w:rPr>
        <w:footnoteReference w:id="7633"/>
      </w:r>
      <w:r w:rsidRPr="003124AA">
        <w:rPr>
          <w:rFonts w:ascii="Narkisim" w:hAnsi="Narkisim"/>
          <w:rtl/>
        </w:rPr>
        <w:t xml:space="preserve"> [וכ”ש איסור עשה</w:t>
      </w:r>
      <w:r w:rsidRPr="003124AA">
        <w:rPr>
          <w:rStyle w:val="ac"/>
          <w:rFonts w:ascii="Narkisim" w:hAnsi="Narkisim"/>
          <w:rtl/>
        </w:rPr>
        <w:footnoteReference w:id="7634"/>
      </w:r>
      <w:r w:rsidRPr="003124AA">
        <w:rPr>
          <w:rFonts w:ascii="Narkisim" w:hAnsi="Narkisim"/>
          <w:rtl/>
        </w:rPr>
        <w:t>].</w:t>
      </w:r>
    </w:p>
    <w:p w14:paraId="4277F8D5"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מג"א</w:t>
      </w:r>
      <w:r w:rsidRPr="003124AA">
        <w:rPr>
          <w:rFonts w:ascii="Narkisim" w:hAnsi="Narkisim"/>
          <w:rtl/>
        </w:rPr>
        <w:t xml:space="preserve"> תי' [ע"פ הב"י שם] דיש סוברים דאפי' גדול מותר לשתות, דיוצא בקידוש זה. ואע"ג דלא קי"ל הכי, מ"מ לקטנים שרי. א"נ כיון דא"א בענין אחר שרי [דכיון דבירך עליו צריך שישתו]. והביא דה</w:t>
      </w:r>
      <w:r w:rsidRPr="003124AA">
        <w:rPr>
          <w:rFonts w:ascii="Narkisim" w:hAnsi="Narkisim"/>
          <w:b/>
          <w:bCs/>
          <w:rtl/>
        </w:rPr>
        <w:t>ב"ח</w:t>
      </w:r>
      <w:r w:rsidRPr="003124AA">
        <w:rPr>
          <w:rFonts w:ascii="Narkisim" w:hAnsi="Narkisim"/>
          <w:rtl/>
        </w:rPr>
        <w:t xml:space="preserve"> כת' שיתנו דוקא לקטנים שלא הגיעו לחינוך.</w:t>
      </w:r>
    </w:p>
    <w:p w14:paraId="0F91DCEC" w14:textId="77777777" w:rsidR="006C4368" w:rsidRPr="003124AA" w:rsidRDefault="006C4368" w:rsidP="006C4368">
      <w:pPr>
        <w:pStyle w:val="a8"/>
        <w:bidi/>
        <w:rPr>
          <w:rFonts w:ascii="Narkisim" w:hAnsi="Narkisim"/>
        </w:rPr>
      </w:pPr>
      <w:r w:rsidRPr="003124AA">
        <w:rPr>
          <w:rFonts w:ascii="Narkisim" w:hAnsi="Narkisim"/>
          <w:rtl/>
        </w:rPr>
        <w:t xml:space="preserve">ועוד תי' המג”א דכל מידי דהוא רביתא דתינוק, כגון אכילה ושתיה מותר להאכילו בידים, ולא גזרו בו חכמים. דהא אפי' ביה"כ מצוה להאכילו. וכ"ש דלא גזרו שיהא אסור להאכילו קודם קידוש. והמג"א הוסיף דיש חילוק בין אכילת איסור לאכילת היתר בזמן האסור, וכמ"ש </w:t>
      </w:r>
      <w:r w:rsidRPr="003124AA">
        <w:rPr>
          <w:rFonts w:ascii="Narkisim" w:hAnsi="Narkisim"/>
          <w:b/>
          <w:bCs/>
          <w:rtl/>
        </w:rPr>
        <w:t>תוס'</w:t>
      </w:r>
      <w:r w:rsidRPr="003124AA">
        <w:rPr>
          <w:rFonts w:ascii="Narkisim" w:hAnsi="Narkisim"/>
          <w:rtl/>
        </w:rPr>
        <w:t xml:space="preserve"> (פסחים קו: וכ"מ)</w:t>
      </w:r>
      <w:r w:rsidRPr="003124AA">
        <w:rPr>
          <w:rStyle w:val="ac"/>
          <w:rFonts w:ascii="Narkisim" w:hAnsi="Narkisim"/>
          <w:rtl/>
        </w:rPr>
        <w:footnoteReference w:id="7635"/>
      </w:r>
      <w:r w:rsidRPr="003124AA">
        <w:rPr>
          <w:rFonts w:ascii="Narkisim" w:hAnsi="Narkisim"/>
          <w:rtl/>
        </w:rPr>
        <w:t>.</w:t>
      </w:r>
    </w:p>
    <w:p w14:paraId="69D4FF88"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מג"א</w:t>
      </w:r>
      <w:r w:rsidRPr="003124AA">
        <w:rPr>
          <w:rFonts w:ascii="Narkisim" w:hAnsi="Narkisim"/>
          <w:rtl/>
        </w:rPr>
        <w:t xml:space="preserve"> (תרטז ב) דן האם רשאי לתת לקטנים אוכל ביוה"כ, או דהוה כמאכילו נבילות בידים. וכת' דל"ד לסוכה שרשאים ליתן לו לאכול חוץ לסוכה (דתו"י יומא פב. מבואר דלא נחשב ספינן איסור בידים, אלא משום מצוות חינוך) דהתם אין איסור באוכל שהוא נותנה לו, ויכול לאוכלו בסוכה. [ורק משום מצוות חינוך צריך להכניסו לסוכה]. משא"כ ביוה"כ דהאכילה בעצמה אסור, והוי כנותנת לו נבילה. אלא כשאוכל א"צ להפרישו. ועוד חילק המג"א דאכילה בסוכה הוי מצות עשה ומש"ה ליכא איסור להאכילו בידים, ע”פ דעת המהר”ם (הנ"ל) [וציין למש"כ רסט].</w:t>
      </w:r>
    </w:p>
    <w:p w14:paraId="2B5BEE48" w14:textId="77777777" w:rsidR="006C4368" w:rsidRPr="003124AA" w:rsidRDefault="006C4368" w:rsidP="006C4368">
      <w:pPr>
        <w:pStyle w:val="a8"/>
        <w:bidi/>
        <w:rPr>
          <w:rFonts w:ascii="Narkisim" w:hAnsi="Narkisim"/>
        </w:rPr>
      </w:pPr>
      <w:r w:rsidRPr="003124AA">
        <w:rPr>
          <w:rFonts w:ascii="Narkisim" w:hAnsi="Narkisim"/>
          <w:rtl/>
        </w:rPr>
        <w:t>אבל ה</w:t>
      </w:r>
      <w:r w:rsidRPr="003124AA">
        <w:rPr>
          <w:rFonts w:ascii="Narkisim" w:hAnsi="Narkisim"/>
          <w:b/>
          <w:bCs/>
          <w:rtl/>
        </w:rPr>
        <w:t>מג"א</w:t>
      </w:r>
      <w:r w:rsidRPr="003124AA">
        <w:rPr>
          <w:rFonts w:ascii="Narkisim" w:hAnsi="Narkisim"/>
          <w:rtl/>
        </w:rPr>
        <w:t xml:space="preserve"> (תרמ ג) הביא [אף גבי סוכה] דמשמע דאסור להאכילו בידים מחוץ לסוכה [אפי' אדם אחר דאינו חייב בחינוך]. והפרמ"ג כת' דלכאורה צ"ל דמותר להאכיל בידים, דהמאכל היתר, אלא הזמן אסור [וכמ"ש המג"א רסט א הנ"ל].</w:t>
      </w:r>
    </w:p>
    <w:p w14:paraId="00D10CE3" w14:textId="77777777" w:rsidR="006C4368" w:rsidRPr="003124AA" w:rsidRDefault="006C4368" w:rsidP="006C4368">
      <w:pPr>
        <w:bidi/>
        <w:rPr>
          <w:rFonts w:ascii="Narkisim" w:hAnsi="Narkisim" w:cs="Narkisim"/>
        </w:rPr>
      </w:pPr>
      <w:r w:rsidRPr="003124AA">
        <w:rPr>
          <w:rFonts w:ascii="Narkisim" w:hAnsi="Narkisim" w:cs="Narkisim"/>
          <w:u w:val="single"/>
          <w:rtl/>
        </w:rPr>
        <w:lastRenderedPageBreak/>
        <w:t>שם.</w:t>
      </w:r>
      <w:r w:rsidRPr="003124AA">
        <w:rPr>
          <w:rFonts w:ascii="Narkisim" w:hAnsi="Narkisim" w:cs="Narkisim"/>
          <w:rtl/>
        </w:rPr>
        <w:t xml:space="preserve"> ב</w:t>
      </w:r>
      <w:r w:rsidRPr="003124AA">
        <w:rPr>
          <w:rFonts w:ascii="Narkisim" w:hAnsi="Narkisim" w:cs="Narkisim"/>
          <w:b/>
          <w:bCs/>
          <w:rtl/>
        </w:rPr>
        <w:t>שו"ת מוצל מאש</w:t>
      </w:r>
      <w:r w:rsidRPr="003124AA">
        <w:rPr>
          <w:rFonts w:ascii="Narkisim" w:hAnsi="Narkisim" w:cs="Narkisim"/>
          <w:rtl/>
        </w:rPr>
        <w:t xml:space="preserve"> (הר”י אלפנדרי ד, ציינו הגהש"ס) הק' דב</w:t>
      </w:r>
      <w:r w:rsidRPr="003124AA">
        <w:rPr>
          <w:rFonts w:ascii="Narkisim" w:hAnsi="Narkisim" w:cs="Narkisim"/>
          <w:b/>
          <w:bCs/>
          <w:rtl/>
        </w:rPr>
        <w:t>מכילתא</w:t>
      </w:r>
      <w:r w:rsidRPr="003124AA">
        <w:rPr>
          <w:rFonts w:ascii="Narkisim" w:hAnsi="Narkisim" w:cs="Narkisim"/>
          <w:rtl/>
        </w:rPr>
        <w:t xml:space="preserve"> אי' עוד קרא דכתיב (שמות כ י) לא תעשה כל מלאכה, אתה ובנך ובתך. ובמכילתא (הו' ברש"י שם) ילפי' להזהיר גדולים על הקטנים</w:t>
      </w:r>
      <w:r w:rsidRPr="003124AA">
        <w:rPr>
          <w:rStyle w:val="ac"/>
          <w:rFonts w:ascii="Narkisim" w:hAnsi="Narkisim" w:cs="Narkisim"/>
          <w:rtl/>
        </w:rPr>
        <w:footnoteReference w:id="7636"/>
      </w:r>
      <w:r w:rsidRPr="003124AA">
        <w:rPr>
          <w:rFonts w:ascii="Narkisim" w:hAnsi="Narkisim" w:cs="Narkisim"/>
          <w:rtl/>
        </w:rPr>
        <w:t>. [וה</w:t>
      </w:r>
      <w:r w:rsidRPr="003124AA">
        <w:rPr>
          <w:rFonts w:ascii="Narkisim" w:hAnsi="Narkisim" w:cs="Narkisim"/>
          <w:b/>
          <w:bCs/>
          <w:rtl/>
        </w:rPr>
        <w:t>ראשונים</w:t>
      </w:r>
      <w:r w:rsidRPr="003124AA">
        <w:rPr>
          <w:rFonts w:ascii="Narkisim" w:hAnsi="Narkisim" w:cs="Narkisim"/>
          <w:rtl/>
        </w:rPr>
        <w:t xml:space="preserve"> (הו' לעיל) כת' דהיינו דוקא כשעושה ע"ד אביו</w:t>
      </w:r>
      <w:r w:rsidRPr="003124AA">
        <w:rPr>
          <w:rStyle w:val="ac"/>
          <w:rFonts w:ascii="Narkisim" w:hAnsi="Narkisim" w:cs="Narkisim"/>
          <w:rtl/>
        </w:rPr>
        <w:footnoteReference w:id="7637"/>
      </w:r>
      <w:r w:rsidRPr="003124AA">
        <w:rPr>
          <w:rFonts w:ascii="Narkisim" w:hAnsi="Narkisim" w:cs="Narkisim"/>
          <w:rtl/>
        </w:rPr>
        <w:t>]. והמוצל מאש תמה דהגמ' לא הזכירוהו כלל. וצ"ע.</w:t>
      </w:r>
    </w:p>
    <w:p w14:paraId="6EE813F0" w14:textId="77777777" w:rsidR="006C4368" w:rsidRPr="003124AA" w:rsidRDefault="006C4368" w:rsidP="006C4368">
      <w:pPr>
        <w:pStyle w:val="a7"/>
        <w:bidi/>
        <w:rPr>
          <w:rFonts w:ascii="Narkisim" w:hAnsi="Narkisim"/>
        </w:rPr>
      </w:pPr>
      <w:r w:rsidRPr="003124AA">
        <w:rPr>
          <w:rFonts w:ascii="Narkisim" w:hAnsi="Narkisim"/>
          <w:rtl/>
        </w:rPr>
        <w:t>והמוצל מאש משמע דאף ילפותא זו הוה גילוי דאסור להאכילו איסור לקטנים</w:t>
      </w:r>
      <w:r w:rsidRPr="003124AA">
        <w:rPr>
          <w:rStyle w:val="ac"/>
          <w:rFonts w:ascii="Narkisim" w:hAnsi="Narkisim"/>
          <w:rtl/>
        </w:rPr>
        <w:footnoteReference w:id="7638"/>
      </w:r>
      <w:r w:rsidRPr="003124AA">
        <w:rPr>
          <w:rFonts w:ascii="Narkisim" w:hAnsi="Narkisim"/>
          <w:rtl/>
        </w:rPr>
        <w:t>. אבל ה</w:t>
      </w:r>
      <w:r w:rsidRPr="003124AA">
        <w:rPr>
          <w:rFonts w:ascii="Narkisim" w:hAnsi="Narkisim"/>
          <w:b/>
          <w:bCs/>
          <w:rtl/>
        </w:rPr>
        <w:t>אחרונים</w:t>
      </w:r>
      <w:r w:rsidRPr="003124AA">
        <w:rPr>
          <w:rFonts w:ascii="Narkisim" w:hAnsi="Narkisim"/>
          <w:rtl/>
        </w:rPr>
        <w:t xml:space="preserve"> דנו דהך קרא הוה גדר איסור שונה, ומוזהר משום הלכות שבת</w:t>
      </w:r>
      <w:r w:rsidRPr="003124AA">
        <w:rPr>
          <w:rStyle w:val="ac"/>
          <w:rFonts w:ascii="Narkisim" w:hAnsi="Narkisim"/>
          <w:rtl/>
        </w:rPr>
        <w:footnoteReference w:id="7639"/>
      </w:r>
      <w:r w:rsidRPr="003124AA">
        <w:rPr>
          <w:rFonts w:ascii="Narkisim" w:hAnsi="Narkisim"/>
          <w:rtl/>
        </w:rPr>
        <w:t>. וכעין איסור מחמר [דילפי' מהך קרא 'ובהמתך']</w:t>
      </w:r>
      <w:r w:rsidRPr="003124AA">
        <w:rPr>
          <w:rStyle w:val="ac"/>
          <w:rFonts w:ascii="Narkisim" w:hAnsi="Narkisim"/>
          <w:rtl/>
        </w:rPr>
        <w:footnoteReference w:id="7640"/>
      </w:r>
      <w:r w:rsidRPr="003124AA">
        <w:rPr>
          <w:rFonts w:ascii="Narkisim" w:hAnsi="Narkisim"/>
          <w:rtl/>
        </w:rPr>
        <w:t>. [</w:t>
      </w:r>
      <w:r w:rsidRPr="003124AA">
        <w:rPr>
          <w:rFonts w:ascii="Narkisim" w:hAnsi="Narkisim"/>
          <w:szCs w:val="20"/>
          <w:rtl/>
        </w:rPr>
        <w:t>ועוד יש שהוסיפו דגדר האיסור 'לא תאכילום' הוא על פעולת ההאכלה, ולא משום שמתייחס עלי אכילת הקטן. אבל איסור 'בנך' בשבת הוא מצד המלאכה שנעשית בשבת על דעתו</w:t>
      </w:r>
      <w:r w:rsidRPr="003124AA">
        <w:rPr>
          <w:rFonts w:ascii="Narkisim" w:hAnsi="Narkisim"/>
          <w:rtl/>
        </w:rPr>
        <w:t>]. אך מ"מ ה</w:t>
      </w:r>
      <w:r w:rsidRPr="003124AA">
        <w:rPr>
          <w:rFonts w:ascii="Narkisim" w:hAnsi="Narkisim"/>
          <w:b/>
          <w:bCs/>
          <w:rtl/>
        </w:rPr>
        <w:t>אחרונים</w:t>
      </w:r>
      <w:r w:rsidRPr="003124AA">
        <w:rPr>
          <w:rFonts w:ascii="Narkisim" w:hAnsi="Narkisim"/>
          <w:rtl/>
        </w:rPr>
        <w:t xml:space="preserve"> הק' דכיון דכבר מצווה משום לא תאכילום דכל התורה, מאי נפק"מ באזהרת 'שביתת בנך'</w:t>
      </w:r>
      <w:r w:rsidRPr="003124AA">
        <w:rPr>
          <w:rStyle w:val="ac"/>
          <w:rFonts w:ascii="Narkisim" w:hAnsi="Narkisim"/>
          <w:rtl/>
        </w:rPr>
        <w:footnoteReference w:id="7641"/>
      </w:r>
      <w:r w:rsidRPr="003124AA">
        <w:rPr>
          <w:rFonts w:ascii="Narkisim" w:hAnsi="Narkisim"/>
          <w:rtl/>
        </w:rPr>
        <w:t>.</w:t>
      </w:r>
    </w:p>
    <w:p w14:paraId="5851D639" w14:textId="77777777" w:rsidR="006C4368" w:rsidRPr="003124AA" w:rsidRDefault="006C4368" w:rsidP="006C4368">
      <w:pPr>
        <w:pStyle w:val="a7"/>
        <w:bidi/>
        <w:rPr>
          <w:rFonts w:ascii="Narkisim" w:hAnsi="Narkisim"/>
        </w:rPr>
      </w:pPr>
      <w:r w:rsidRPr="003124AA">
        <w:rPr>
          <w:rFonts w:ascii="Narkisim" w:hAnsi="Narkisim"/>
          <w:rtl/>
        </w:rPr>
        <w:t>וה</w:t>
      </w:r>
      <w:r w:rsidRPr="003124AA">
        <w:rPr>
          <w:rFonts w:ascii="Narkisim" w:hAnsi="Narkisim"/>
          <w:b/>
          <w:bCs/>
          <w:rtl/>
        </w:rPr>
        <w:t>אחיעזר</w:t>
      </w:r>
      <w:r w:rsidRPr="003124AA">
        <w:rPr>
          <w:rFonts w:ascii="Narkisim" w:hAnsi="Narkisim"/>
          <w:rtl/>
        </w:rPr>
        <w:t xml:space="preserve"> (ג פא כג) תי' דבכל התורה דוקא דוקא כשהוא מאכיל עובר. אבל בשביתת בנו נתחדש דאפי' אם אינו אומר לו שיעשה, אלא דהקטן עושה בעצמו ע"ד אביו</w:t>
      </w:r>
      <w:r w:rsidRPr="003124AA">
        <w:rPr>
          <w:rStyle w:val="ac"/>
          <w:rFonts w:ascii="Narkisim" w:hAnsi="Narkisim"/>
          <w:rtl/>
        </w:rPr>
        <w:footnoteReference w:id="7642"/>
      </w:r>
      <w:r w:rsidRPr="003124AA">
        <w:rPr>
          <w:rFonts w:ascii="Narkisim" w:hAnsi="Narkisim"/>
          <w:rtl/>
        </w:rPr>
        <w:t>, אפ"ה עובר על לאו דשביתה</w:t>
      </w:r>
      <w:r w:rsidRPr="003124AA">
        <w:rPr>
          <w:rStyle w:val="ac"/>
          <w:rFonts w:ascii="Narkisim" w:hAnsi="Narkisim"/>
          <w:rtl/>
        </w:rPr>
        <w:footnoteReference w:id="7643"/>
      </w:r>
      <w:r w:rsidRPr="003124AA">
        <w:rPr>
          <w:rFonts w:ascii="Narkisim" w:hAnsi="Narkisim"/>
          <w:rtl/>
        </w:rPr>
        <w:t>. [וע' מה שהו' לעיל מהשעה"צ].</w:t>
      </w:r>
    </w:p>
    <w:p w14:paraId="56942DA2" w14:textId="77777777" w:rsidR="006C4368" w:rsidRPr="003124AA" w:rsidRDefault="006C4368" w:rsidP="006C4368">
      <w:pPr>
        <w:pStyle w:val="a7"/>
        <w:bidi/>
        <w:rPr>
          <w:rFonts w:ascii="Narkisim" w:hAnsi="Narkisim"/>
        </w:rPr>
      </w:pPr>
      <w:r w:rsidRPr="003124AA">
        <w:rPr>
          <w:rFonts w:ascii="Narkisim" w:hAnsi="Narkisim"/>
          <w:rtl/>
        </w:rPr>
        <w:t>והביא בשם ה</w:t>
      </w:r>
      <w:r w:rsidRPr="003124AA">
        <w:rPr>
          <w:rFonts w:ascii="Narkisim" w:hAnsi="Narkisim"/>
          <w:b/>
          <w:bCs/>
          <w:rtl/>
        </w:rPr>
        <w:t>גר"ח</w:t>
      </w:r>
      <w:r w:rsidRPr="003124AA">
        <w:rPr>
          <w:rFonts w:ascii="Narkisim" w:hAnsi="Narkisim"/>
          <w:rtl/>
        </w:rPr>
        <w:t xml:space="preserve"> דאיסור 'לא תאכילום' הוי איסור בעלמא כשאר איסורים, ואילו 'לא תעשה כל מלאכה וגו' ובנך', הוי איסור דשבת דחמיר. וכדאי' (לעיל ו.) דלאוי דשבת חמירי. ופ</w:t>
      </w:r>
      <w:r w:rsidRPr="003124AA">
        <w:rPr>
          <w:rFonts w:ascii="Narkisim" w:hAnsi="Narkisim"/>
          <w:b/>
          <w:bCs/>
          <w:rtl/>
        </w:rPr>
        <w:t>רש"י</w:t>
      </w:r>
      <w:r w:rsidRPr="003124AA">
        <w:rPr>
          <w:rFonts w:ascii="Narkisim" w:hAnsi="Narkisim"/>
          <w:rtl/>
        </w:rPr>
        <w:t xml:space="preserve"> דקי"ל מחלל שבת כעובד ע"ז</w:t>
      </w:r>
      <w:r w:rsidRPr="003124AA">
        <w:rPr>
          <w:rStyle w:val="ac"/>
          <w:rFonts w:ascii="Narkisim" w:hAnsi="Narkisim"/>
          <w:rtl/>
        </w:rPr>
        <w:footnoteReference w:id="7644"/>
      </w:r>
      <w:r w:rsidRPr="003124AA">
        <w:rPr>
          <w:rFonts w:ascii="Narkisim" w:hAnsi="Narkisim"/>
          <w:rtl/>
        </w:rPr>
        <w:t>.</w:t>
      </w:r>
    </w:p>
    <w:p w14:paraId="0DA79365" w14:textId="77777777" w:rsidR="006C4368" w:rsidRPr="003124AA" w:rsidRDefault="006C4368" w:rsidP="006C4368">
      <w:pPr>
        <w:pStyle w:val="3"/>
        <w:bidi/>
        <w:rPr>
          <w:rFonts w:ascii="Narkisim" w:hAnsi="Narkisim"/>
        </w:rPr>
      </w:pPr>
      <w:r w:rsidRPr="003124AA">
        <w:rPr>
          <w:rFonts w:ascii="Narkisim" w:hAnsi="Narkisim"/>
          <w:rtl/>
        </w:rPr>
        <w:t>דף קיד:</w:t>
      </w:r>
    </w:p>
    <w:p w14:paraId="70CE409C" w14:textId="77777777" w:rsidR="006C4368" w:rsidRPr="003124AA" w:rsidRDefault="006C4368" w:rsidP="006C4368">
      <w:pPr>
        <w:bidi/>
        <w:rPr>
          <w:rFonts w:ascii="Narkisim" w:hAnsi="Narkisim" w:cs="Narkisim"/>
        </w:rPr>
      </w:pPr>
      <w:r w:rsidRPr="003124AA">
        <w:rPr>
          <w:rFonts w:ascii="Narkisim" w:hAnsi="Narkisim" w:cs="Narkisim"/>
          <w:u w:val="single"/>
          <w:rtl/>
        </w:rPr>
        <w:t>תוד"ה משום</w:t>
      </w:r>
      <w:r w:rsidRPr="003124AA">
        <w:rPr>
          <w:rFonts w:ascii="Narkisim" w:hAnsi="Narkisim" w:cs="Narkisim"/>
          <w:rtl/>
        </w:rPr>
        <w:t xml:space="preserve">. ולא דק דבהדיא וכו' דשרצים לוקין עליהם בכזית וכו'. </w:t>
      </w:r>
      <w:r w:rsidRPr="003124AA">
        <w:rPr>
          <w:rFonts w:ascii="Narkisim" w:hAnsi="Narkisim" w:cs="Narkisim"/>
          <w:b/>
          <w:bCs/>
          <w:rtl/>
        </w:rPr>
        <w:t>תוס'</w:t>
      </w:r>
      <w:r w:rsidRPr="003124AA">
        <w:rPr>
          <w:rFonts w:ascii="Narkisim" w:hAnsi="Narkisim" w:cs="Narkisim"/>
          <w:rtl/>
        </w:rPr>
        <w:t xml:space="preserve"> (כאן) משמע דבכל השרצים השיעור כזית. ונקטו דבמסקנת הגמ' (מעילה טז:) נדחה מ"ד דשיעור אכילתן כשיעור טומאתן. אבל </w:t>
      </w:r>
      <w:r w:rsidRPr="003124AA">
        <w:rPr>
          <w:rFonts w:ascii="Narkisim" w:hAnsi="Narkisim" w:cs="Narkisim"/>
          <w:b/>
          <w:bCs/>
          <w:rtl/>
        </w:rPr>
        <w:t>תוס'</w:t>
      </w:r>
      <w:r w:rsidRPr="003124AA">
        <w:rPr>
          <w:rFonts w:ascii="Narkisim" w:hAnsi="Narkisim" w:cs="Narkisim"/>
          <w:rtl/>
        </w:rPr>
        <w:t xml:space="preserve"> (זבחים קו: ד”ה מה) הביאו דמסקנת הגמ' (מעילה) לחלק דדוקא ח' שרצים המטמאים אף שיעור אכילתו בכעדשה</w:t>
      </w:r>
      <w:r w:rsidRPr="003124AA">
        <w:rPr>
          <w:rStyle w:val="ac"/>
          <w:rFonts w:ascii="Narkisim" w:hAnsi="Narkisim" w:cs="Narkisim"/>
          <w:rtl/>
        </w:rPr>
        <w:footnoteReference w:id="7645"/>
      </w:r>
      <w:r w:rsidRPr="003124AA">
        <w:rPr>
          <w:rFonts w:ascii="Narkisim" w:hAnsi="Narkisim" w:cs="Narkisim"/>
          <w:rtl/>
        </w:rPr>
        <w:t>, ושאר שרצים הטהורין לוקה בכזית. [וכדאי' גבי נמלה]. [וכ"פ ה</w:t>
      </w:r>
      <w:r w:rsidRPr="003124AA">
        <w:rPr>
          <w:rFonts w:ascii="Narkisim" w:hAnsi="Narkisim" w:cs="Narkisim"/>
          <w:b/>
          <w:bCs/>
          <w:rtl/>
        </w:rPr>
        <w:t>רמב"ם</w:t>
      </w:r>
      <w:r w:rsidRPr="003124AA">
        <w:rPr>
          <w:rFonts w:ascii="Narkisim" w:hAnsi="Narkisim" w:cs="Narkisim"/>
          <w:rtl/>
        </w:rPr>
        <w:t xml:space="preserve"> מאכ"א ב ז].</w:t>
      </w:r>
    </w:p>
    <w:p w14:paraId="3391A658" w14:textId="77777777" w:rsidR="006C4368" w:rsidRPr="003124AA" w:rsidRDefault="006C4368" w:rsidP="006C4368">
      <w:pPr>
        <w:pStyle w:val="a7"/>
        <w:bidi/>
        <w:rPr>
          <w:rFonts w:ascii="Narkisim" w:hAnsi="Narkisim"/>
        </w:rPr>
      </w:pPr>
      <w:r w:rsidRPr="003124AA">
        <w:rPr>
          <w:rFonts w:ascii="Narkisim" w:hAnsi="Narkisim"/>
          <w:rtl/>
        </w:rPr>
        <w:t xml:space="preserve">ודעת </w:t>
      </w:r>
      <w:r w:rsidRPr="003124AA">
        <w:rPr>
          <w:rFonts w:ascii="Narkisim" w:hAnsi="Narkisim"/>
          <w:b/>
          <w:bCs/>
          <w:rtl/>
        </w:rPr>
        <w:t>רש"י</w:t>
      </w:r>
      <w:r w:rsidRPr="003124AA">
        <w:rPr>
          <w:rFonts w:ascii="Narkisim" w:hAnsi="Narkisim"/>
          <w:rtl/>
        </w:rPr>
        <w:t xml:space="preserve"> (זבחים שם, וע"ז סט.) דאף שרצים טהורים בכעדשה. וה</w:t>
      </w:r>
      <w:r w:rsidRPr="003124AA">
        <w:rPr>
          <w:rFonts w:ascii="Narkisim" w:hAnsi="Narkisim"/>
          <w:b/>
          <w:bCs/>
          <w:rtl/>
        </w:rPr>
        <w:t>אחרונים</w:t>
      </w:r>
      <w:r w:rsidRPr="003124AA">
        <w:rPr>
          <w:rFonts w:ascii="Narkisim" w:hAnsi="Narkisim"/>
          <w:rtl/>
        </w:rPr>
        <w:t xml:space="preserve"> ביארו דס"ל </w:t>
      </w:r>
      <w:r w:rsidRPr="003124AA">
        <w:rPr>
          <w:rFonts w:ascii="Narkisim" w:hAnsi="Narkisim"/>
          <w:rtl/>
        </w:rPr>
        <w:lastRenderedPageBreak/>
        <w:t>דהוה מח' אמוראים</w:t>
      </w:r>
      <w:r w:rsidRPr="003124AA">
        <w:rPr>
          <w:rStyle w:val="ac"/>
          <w:rFonts w:ascii="Narkisim" w:hAnsi="Narkisim"/>
          <w:rtl/>
        </w:rPr>
        <w:footnoteReference w:id="7646"/>
      </w:r>
      <w:r w:rsidRPr="003124AA">
        <w:rPr>
          <w:rFonts w:ascii="Narkisim" w:hAnsi="Narkisim"/>
          <w:rtl/>
        </w:rPr>
        <w:t>.</w:t>
      </w:r>
    </w:p>
    <w:p w14:paraId="75A7599A" w14:textId="77777777" w:rsidR="006C4368" w:rsidRPr="003124AA" w:rsidRDefault="006C4368" w:rsidP="006C4368">
      <w:pPr>
        <w:pStyle w:val="aa"/>
        <w:bidi/>
        <w:rPr>
          <w:rFonts w:ascii="Narkisim" w:hAnsi="Narkisim"/>
        </w:rPr>
      </w:pPr>
      <w:r w:rsidRPr="003124AA">
        <w:rPr>
          <w:rFonts w:ascii="Narkisim" w:hAnsi="Narkisim"/>
          <w:u w:val="single"/>
          <w:rtl/>
        </w:rPr>
        <w:t>בא"ד אלא יל"פ דאיסורין במשהו, דלוקה על נמלה משום דהוי בריה</w:t>
      </w:r>
      <w:r w:rsidRPr="003124AA">
        <w:rPr>
          <w:rFonts w:ascii="Narkisim" w:hAnsi="Narkisim"/>
          <w:rtl/>
        </w:rPr>
        <w:t>. ואילו דם לא הוה בריה. אבל אף נבילה ושאר איסורי התורה חייבין עליהם בבריה. [ולא הוה חידוש בשרצים].</w:t>
      </w:r>
    </w:p>
    <w:p w14:paraId="30256EC5" w14:textId="77777777" w:rsidR="006C4368" w:rsidRPr="003124AA" w:rsidRDefault="006C4368" w:rsidP="006C4368">
      <w:pPr>
        <w:bidi/>
        <w:rPr>
          <w:rFonts w:ascii="Narkisim" w:hAnsi="Narkisim" w:cs="Narkisim"/>
        </w:rPr>
      </w:pPr>
      <w:r w:rsidRPr="003124AA">
        <w:rPr>
          <w:rFonts w:ascii="Narkisim" w:hAnsi="Narkisim" w:cs="Narkisim"/>
          <w:u w:val="single"/>
          <w:rtl/>
        </w:rPr>
        <w:t>אבל דם דעד דאיכא רביעית</w:t>
      </w:r>
      <w:r w:rsidRPr="003124AA">
        <w:rPr>
          <w:rFonts w:ascii="Narkisim" w:hAnsi="Narkisim" w:cs="Narkisim"/>
          <w:rtl/>
        </w:rPr>
        <w:t>. ה</w:t>
      </w:r>
      <w:r w:rsidRPr="003124AA">
        <w:rPr>
          <w:rFonts w:ascii="Narkisim" w:hAnsi="Narkisim" w:cs="Narkisim"/>
          <w:b/>
          <w:bCs/>
          <w:rtl/>
        </w:rPr>
        <w:t>רש"ש</w:t>
      </w:r>
      <w:r w:rsidRPr="003124AA">
        <w:rPr>
          <w:rFonts w:ascii="Narkisim" w:hAnsi="Narkisim" w:cs="Narkisim"/>
          <w:rtl/>
        </w:rPr>
        <w:t xml:space="preserve"> הק' דבכ"מ</w:t>
      </w:r>
      <w:r w:rsidRPr="003124AA">
        <w:rPr>
          <w:rStyle w:val="ac"/>
          <w:rFonts w:ascii="Narkisim" w:hAnsi="Narkisim" w:cs="Narkisim"/>
          <w:rtl/>
        </w:rPr>
        <w:footnoteReference w:id="7647"/>
      </w:r>
      <w:r w:rsidRPr="003124AA">
        <w:rPr>
          <w:rFonts w:ascii="Narkisim" w:hAnsi="Narkisim" w:cs="Narkisim"/>
          <w:rtl/>
        </w:rPr>
        <w:t xml:space="preserve"> מבואר דשיעור דם בכזית, כיון דהאיסור נאמר בלשון אכילה</w:t>
      </w:r>
      <w:r w:rsidRPr="003124AA">
        <w:rPr>
          <w:rStyle w:val="ac"/>
          <w:rFonts w:ascii="Narkisim" w:hAnsi="Narkisim" w:cs="Narkisim"/>
          <w:rtl/>
        </w:rPr>
        <w:footnoteReference w:id="7648"/>
      </w:r>
      <w:r w:rsidRPr="003124AA">
        <w:rPr>
          <w:rFonts w:ascii="Narkisim" w:hAnsi="Narkisim" w:cs="Narkisim"/>
          <w:rtl/>
        </w:rPr>
        <w:t>. אך הביא ד</w:t>
      </w:r>
      <w:r w:rsidRPr="003124AA">
        <w:rPr>
          <w:rFonts w:ascii="Narkisim" w:hAnsi="Narkisim" w:cs="Narkisim"/>
          <w:b/>
          <w:bCs/>
          <w:rtl/>
        </w:rPr>
        <w:t>תוס</w:t>
      </w:r>
      <w:r w:rsidRPr="003124AA">
        <w:rPr>
          <w:rFonts w:ascii="Narkisim" w:hAnsi="Narkisim" w:cs="Narkisim"/>
          <w:rtl/>
        </w:rPr>
        <w:t>' (זבחים קט. סוד”ה עולה) חילקו [גבי יין] דשיעורו בשתייה הוה רביעית, אבל דרך אכילה שיעורו בכזית, וכגון ששרה פיתו ביין</w:t>
      </w:r>
      <w:r w:rsidRPr="003124AA">
        <w:rPr>
          <w:rStyle w:val="ac"/>
          <w:rFonts w:ascii="Narkisim" w:hAnsi="Narkisim" w:cs="Narkisim"/>
          <w:rtl/>
        </w:rPr>
        <w:footnoteReference w:id="7649"/>
      </w:r>
      <w:r w:rsidRPr="003124AA">
        <w:rPr>
          <w:rFonts w:ascii="Narkisim" w:hAnsi="Narkisim" w:cs="Narkisim"/>
          <w:rtl/>
        </w:rPr>
        <w:t xml:space="preserve">. </w:t>
      </w:r>
      <w:r w:rsidRPr="003124AA">
        <w:rPr>
          <w:rFonts w:ascii="Narkisim" w:hAnsi="Narkisim" w:cs="Narkisim"/>
          <w:szCs w:val="20"/>
          <w:rtl/>
        </w:rPr>
        <w:t>אך כת' דלולי דברי התוס' כיון דהפת הוה היתר ל”מ לשנות את שיעור האיסור של היין</w:t>
      </w:r>
      <w:r w:rsidRPr="003124AA">
        <w:rPr>
          <w:rFonts w:ascii="Narkisim" w:hAnsi="Narkisim" w:cs="Narkisim"/>
          <w:rtl/>
        </w:rPr>
        <w:t>.</w:t>
      </w:r>
    </w:p>
    <w:p w14:paraId="27173EEE" w14:textId="77777777" w:rsidR="006C4368" w:rsidRPr="003124AA" w:rsidRDefault="006C4368" w:rsidP="006C4368">
      <w:pPr>
        <w:pStyle w:val="a8"/>
        <w:bidi/>
        <w:rPr>
          <w:rFonts w:ascii="Narkisim" w:hAnsi="Narkisim"/>
        </w:rPr>
      </w:pPr>
      <w:r w:rsidRPr="003124AA">
        <w:rPr>
          <w:rFonts w:ascii="Narkisim" w:hAnsi="Narkisim"/>
          <w:rtl/>
        </w:rPr>
        <w:t>ועוד הביא ה</w:t>
      </w:r>
      <w:r w:rsidRPr="003124AA">
        <w:rPr>
          <w:rFonts w:ascii="Narkisim" w:hAnsi="Narkisim"/>
          <w:b/>
          <w:bCs/>
          <w:rtl/>
        </w:rPr>
        <w:t>רש"ש</w:t>
      </w:r>
      <w:r w:rsidRPr="003124AA">
        <w:rPr>
          <w:rFonts w:ascii="Narkisim" w:hAnsi="Narkisim"/>
          <w:rtl/>
        </w:rPr>
        <w:t xml:space="preserve"> דמבואר (שבת עז. ומנחות קד) דרביעית דם אם יקרש יעמוד על כזית. א"כ אידי ואידי חד שיעורא והא בקרוש והא בצלול.</w:t>
      </w:r>
    </w:p>
    <w:p w14:paraId="41D5EF40" w14:textId="77777777" w:rsidR="006C4368" w:rsidRPr="003124AA" w:rsidRDefault="006C4368" w:rsidP="006C4368">
      <w:pPr>
        <w:bidi/>
        <w:rPr>
          <w:rFonts w:ascii="Narkisim" w:hAnsi="Narkisim" w:cs="Narkisim"/>
        </w:rPr>
      </w:pPr>
      <w:r w:rsidRPr="003124AA">
        <w:rPr>
          <w:rFonts w:ascii="Narkisim" w:hAnsi="Narkisim" w:cs="Narkisim"/>
          <w:u w:val="single"/>
          <w:rtl/>
        </w:rPr>
        <w:t>אמאי מוציא את אשתו בגט, תיתיב גביה דקטן אוכל נבילות וכו'</w:t>
      </w:r>
      <w:r w:rsidRPr="003124AA">
        <w:rPr>
          <w:rFonts w:ascii="Narkisim" w:hAnsi="Narkisim" w:cs="Narkisim"/>
          <w:rtl/>
        </w:rPr>
        <w:t>. מבואר דפשיט"ל לגמ' דאף בחרש תלי במח' אי מצווין להפרישו. וה</w:t>
      </w:r>
      <w:r w:rsidRPr="003124AA">
        <w:rPr>
          <w:rFonts w:ascii="Narkisim" w:hAnsi="Narkisim" w:cs="Narkisim"/>
          <w:b/>
          <w:bCs/>
          <w:rtl/>
        </w:rPr>
        <w:t>פרמ"ג</w:t>
      </w:r>
      <w:r w:rsidRPr="003124AA">
        <w:rPr>
          <w:rFonts w:ascii="Narkisim" w:hAnsi="Narkisim" w:cs="Narkisim"/>
          <w:rtl/>
        </w:rPr>
        <w:t xml:space="preserve"> (שמג מ"ז א) הביא דמבואר דחרש שוטה וקטן יש להם דין א'</w:t>
      </w:r>
      <w:r w:rsidRPr="003124AA">
        <w:rPr>
          <w:rStyle w:val="ac"/>
          <w:rFonts w:ascii="Narkisim" w:hAnsi="Narkisim" w:cs="Narkisim"/>
          <w:rtl/>
        </w:rPr>
        <w:footnoteReference w:id="7650"/>
      </w:r>
      <w:r w:rsidRPr="003124AA">
        <w:rPr>
          <w:rFonts w:ascii="Narkisim" w:hAnsi="Narkisim" w:cs="Narkisim"/>
          <w:rtl/>
        </w:rPr>
        <w:t>. וה</w:t>
      </w:r>
      <w:r w:rsidRPr="003124AA">
        <w:rPr>
          <w:rFonts w:ascii="Narkisim" w:hAnsi="Narkisim" w:cs="Narkisim"/>
          <w:b/>
          <w:bCs/>
          <w:rtl/>
        </w:rPr>
        <w:t>חת"ס</w:t>
      </w:r>
      <w:r w:rsidRPr="003124AA">
        <w:rPr>
          <w:rFonts w:ascii="Narkisim" w:hAnsi="Narkisim" w:cs="Narkisim"/>
          <w:rtl/>
        </w:rPr>
        <w:t xml:space="preserve"> (או"ח פג) העיר למש”כ ה</w:t>
      </w:r>
      <w:r w:rsidRPr="003124AA">
        <w:rPr>
          <w:rFonts w:ascii="Narkisim" w:hAnsi="Narkisim" w:cs="Narkisim"/>
          <w:b/>
          <w:bCs/>
          <w:rtl/>
        </w:rPr>
        <w:t>תה”ד</w:t>
      </w:r>
      <w:r w:rsidRPr="003124AA">
        <w:rPr>
          <w:rFonts w:ascii="Narkisim" w:hAnsi="Narkisim" w:cs="Narkisim"/>
          <w:rtl/>
        </w:rPr>
        <w:t xml:space="preserve"> (סב) דטעם האיסור להאכיל הוה שלא ירגילו אף כשהם גדולים</w:t>
      </w:r>
      <w:r w:rsidRPr="003124AA">
        <w:rPr>
          <w:rStyle w:val="ac"/>
          <w:rFonts w:ascii="Narkisim" w:hAnsi="Narkisim" w:cs="Narkisim"/>
          <w:rtl/>
        </w:rPr>
        <w:footnoteReference w:id="7651"/>
      </w:r>
      <w:r w:rsidRPr="003124AA">
        <w:rPr>
          <w:rFonts w:ascii="Narkisim" w:hAnsi="Narkisim" w:cs="Narkisim"/>
          <w:rtl/>
        </w:rPr>
        <w:t>, א”כ בחרש ושוטה ל”ש טעם זה.</w:t>
      </w:r>
    </w:p>
    <w:p w14:paraId="47484C55" w14:textId="77777777" w:rsidR="006C4368" w:rsidRPr="003124AA" w:rsidRDefault="006C4368" w:rsidP="006C4368">
      <w:pPr>
        <w:bidi/>
        <w:rPr>
          <w:rFonts w:ascii="Narkisim" w:hAnsi="Narkisim" w:cs="Narkisim"/>
        </w:rPr>
      </w:pPr>
      <w:r w:rsidRPr="003124AA">
        <w:rPr>
          <w:rFonts w:ascii="Narkisim" w:hAnsi="Narkisim" w:cs="Narkisim"/>
          <w:rtl/>
        </w:rPr>
        <w:t>ו</w:t>
      </w:r>
      <w:r w:rsidRPr="003124AA">
        <w:rPr>
          <w:rFonts w:ascii="Narkisim" w:hAnsi="Narkisim" w:cs="Narkisim"/>
          <w:b/>
          <w:bCs/>
          <w:rtl/>
        </w:rPr>
        <w:t>רע"א</w:t>
      </w:r>
      <w:r w:rsidRPr="003124AA">
        <w:rPr>
          <w:rFonts w:ascii="Narkisim" w:hAnsi="Narkisim" w:cs="Narkisim"/>
          <w:rtl/>
        </w:rPr>
        <w:t xml:space="preserve"> הק' דבכל הנך הוה רק איסור דרבנן [דאיסור אחות זקוקתו], ו</w:t>
      </w:r>
      <w:r w:rsidRPr="003124AA">
        <w:rPr>
          <w:rFonts w:ascii="Narkisim" w:hAnsi="Narkisim" w:cs="Narkisim"/>
          <w:b/>
          <w:bCs/>
          <w:rtl/>
        </w:rPr>
        <w:t>תוס'</w:t>
      </w:r>
      <w:r w:rsidRPr="003124AA">
        <w:rPr>
          <w:rFonts w:ascii="Narkisim" w:hAnsi="Narkisim" w:cs="Narkisim"/>
          <w:rtl/>
        </w:rPr>
        <w:t xml:space="preserve"> (בע"א ד”ה אמר) נקטו דבאיסור דרבנן לכו"ע אין מצווין להפרישו</w:t>
      </w:r>
      <w:r w:rsidRPr="003124AA">
        <w:rPr>
          <w:rStyle w:val="ac"/>
          <w:rFonts w:ascii="Narkisim" w:hAnsi="Narkisim" w:cs="Narkisim"/>
          <w:rtl/>
        </w:rPr>
        <w:footnoteReference w:id="7652"/>
      </w:r>
      <w:r w:rsidRPr="003124AA">
        <w:rPr>
          <w:rFonts w:ascii="Narkisim" w:hAnsi="Narkisim" w:cs="Narkisim"/>
          <w:rtl/>
        </w:rPr>
        <w:t>, וצ"ע.</w:t>
      </w:r>
    </w:p>
    <w:p w14:paraId="3BA529CD" w14:textId="77777777" w:rsidR="006C4368" w:rsidRPr="003124AA" w:rsidRDefault="006C4368" w:rsidP="006C4368">
      <w:pPr>
        <w:bidi/>
        <w:rPr>
          <w:rFonts w:ascii="Narkisim" w:hAnsi="Narkisim" w:cs="Narkisim"/>
        </w:rPr>
      </w:pPr>
      <w:r w:rsidRPr="003124AA">
        <w:rPr>
          <w:rFonts w:ascii="Narkisim" w:hAnsi="Narkisim" w:cs="Narkisim"/>
          <w:u w:val="single"/>
          <w:rtl/>
        </w:rPr>
        <w:t>משום איסורא דידה</w:t>
      </w:r>
      <w:r w:rsidRPr="003124AA">
        <w:rPr>
          <w:rFonts w:ascii="Narkisim" w:hAnsi="Narkisim" w:cs="Narkisim"/>
          <w:rtl/>
        </w:rPr>
        <w:t>. פ</w:t>
      </w:r>
      <w:r w:rsidRPr="003124AA">
        <w:rPr>
          <w:rFonts w:ascii="Narkisim" w:hAnsi="Narkisim" w:cs="Narkisim"/>
          <w:b/>
          <w:bCs/>
          <w:rtl/>
        </w:rPr>
        <w:t>רש"י</w:t>
      </w:r>
      <w:r w:rsidRPr="003124AA">
        <w:rPr>
          <w:rFonts w:ascii="Narkisim" w:hAnsi="Narkisim" w:cs="Narkisim"/>
          <w:rtl/>
        </w:rPr>
        <w:t xml:space="preserve"> שהיא פקחת, ובת עונשין. וה</w:t>
      </w:r>
      <w:r w:rsidRPr="003124AA">
        <w:rPr>
          <w:rFonts w:ascii="Narkisim" w:hAnsi="Narkisim" w:cs="Narkisim"/>
          <w:b/>
          <w:bCs/>
          <w:rtl/>
        </w:rPr>
        <w:t>אחרונים</w:t>
      </w:r>
      <w:r w:rsidRPr="003124AA">
        <w:rPr>
          <w:rFonts w:ascii="Narkisim" w:hAnsi="Narkisim" w:cs="Narkisim"/>
          <w:rtl/>
        </w:rPr>
        <w:t xml:space="preserve"> (</w:t>
      </w:r>
      <w:r w:rsidRPr="003124AA">
        <w:rPr>
          <w:rFonts w:ascii="Narkisim" w:hAnsi="Narkisim" w:cs="Narkisim"/>
          <w:b/>
          <w:bCs/>
          <w:rtl/>
        </w:rPr>
        <w:t>חת"ס</w:t>
      </w:r>
      <w:r w:rsidRPr="003124AA">
        <w:rPr>
          <w:rFonts w:ascii="Narkisim" w:hAnsi="Narkisim" w:cs="Narkisim"/>
          <w:rtl/>
        </w:rPr>
        <w:t xml:space="preserve"> או"ח פג) תמהו מה ס”ד דהמקשן דמשום שא' מהן פטור מכל המצות נישבוק לאידך למיעבד איסורא. ודקארי לה מאי קארי לה. ויש שפי' דס"ד דהאיסור של האשה תלי באיסור של הבעל [וע"ד מש"כ המנח"ח (א טו, הו' לעיל ג:)].</w:t>
      </w:r>
    </w:p>
    <w:p w14:paraId="4A417DE8" w14:textId="77777777" w:rsidR="006C4368" w:rsidRPr="003124AA" w:rsidRDefault="006C4368" w:rsidP="006C4368">
      <w:pPr>
        <w:pStyle w:val="a8"/>
        <w:bidi/>
        <w:rPr>
          <w:rFonts w:ascii="Narkisim" w:hAnsi="Narkisim"/>
        </w:rPr>
      </w:pPr>
      <w:r w:rsidRPr="003124AA">
        <w:rPr>
          <w:rFonts w:ascii="Narkisim" w:hAnsi="Narkisim"/>
          <w:rtl/>
        </w:rPr>
        <w:t>וה</w:t>
      </w:r>
      <w:r w:rsidRPr="003124AA">
        <w:rPr>
          <w:rFonts w:ascii="Narkisim" w:hAnsi="Narkisim"/>
          <w:b/>
          <w:bCs/>
          <w:rtl/>
        </w:rPr>
        <w:t>חת”ס</w:t>
      </w:r>
      <w:r w:rsidRPr="003124AA">
        <w:rPr>
          <w:rFonts w:ascii="Narkisim" w:hAnsi="Narkisim"/>
          <w:rtl/>
        </w:rPr>
        <w:t xml:space="preserve"> תי' דבמשנה מבואר דכופין אותו לגרש, ודן גבי חרש בפקחת דיש עליה איסור והוא אינו מצווה, האם כופין אותו לגרש. [עי"ש].</w:t>
      </w:r>
    </w:p>
    <w:p w14:paraId="4D87FE5A" w14:textId="77777777" w:rsidR="006C4368" w:rsidRPr="003124AA" w:rsidRDefault="006C4368" w:rsidP="006C4368">
      <w:pPr>
        <w:pStyle w:val="2"/>
        <w:bidi/>
        <w:rPr>
          <w:rFonts w:ascii="Narkisim" w:hAnsi="Narkisim"/>
        </w:rPr>
      </w:pPr>
      <w:r w:rsidRPr="003124AA">
        <w:rPr>
          <w:rFonts w:ascii="Narkisim" w:hAnsi="Narkisim"/>
          <w:rtl/>
        </w:rPr>
        <w:t>הדרן עלך פרק חרש</w:t>
      </w:r>
    </w:p>
    <w:p w14:paraId="75A1A525" w14:textId="77777777" w:rsidR="006C4368" w:rsidRPr="007119D6" w:rsidRDefault="006C4368" w:rsidP="006C4368">
      <w:pPr>
        <w:pStyle w:val="2"/>
        <w:bidi/>
        <w:rPr>
          <w:rFonts w:ascii="Narkisim" w:hAnsi="Narkisim"/>
        </w:rPr>
      </w:pPr>
      <w:r w:rsidRPr="007119D6">
        <w:rPr>
          <w:rFonts w:ascii="Narkisim" w:hAnsi="Narkisim"/>
          <w:rtl/>
        </w:rPr>
        <w:t>בס"ד יבמות קיד: - קכב:</w:t>
      </w:r>
    </w:p>
    <w:p w14:paraId="5549718E" w14:textId="77777777" w:rsidR="006C4368" w:rsidRPr="007119D6" w:rsidRDefault="006C4368" w:rsidP="006C4368">
      <w:pPr>
        <w:pStyle w:val="1"/>
        <w:bidi/>
        <w:rPr>
          <w:rFonts w:ascii="Narkisim" w:hAnsi="Narkisim"/>
        </w:rPr>
      </w:pPr>
      <w:r w:rsidRPr="007119D6">
        <w:rPr>
          <w:rFonts w:ascii="Narkisim" w:hAnsi="Narkisim"/>
          <w:rtl/>
        </w:rPr>
        <w:t>פרק האשה שלום</w:t>
      </w:r>
    </w:p>
    <w:p w14:paraId="7D962AD3" w14:textId="77777777" w:rsidR="006C4368" w:rsidRPr="007119D6" w:rsidRDefault="006C4368" w:rsidP="006C4368">
      <w:pPr>
        <w:bidi/>
        <w:rPr>
          <w:rFonts w:ascii="Narkisim" w:hAnsi="Narkisim" w:cs="Narkisim"/>
        </w:rPr>
      </w:pPr>
      <w:r w:rsidRPr="007119D6">
        <w:rPr>
          <w:rFonts w:ascii="Narkisim" w:hAnsi="Narkisim" w:cs="Narkisim"/>
          <w:u w:val="single"/>
          <w:rtl/>
        </w:rPr>
        <w:t>מת בעלי תנשא</w:t>
      </w:r>
      <w:r w:rsidRPr="007119D6">
        <w:rPr>
          <w:rFonts w:ascii="Narkisim" w:hAnsi="Narkisim" w:cs="Narkisim"/>
          <w:rtl/>
        </w:rPr>
        <w:t>. ובפשוטו אשה עצמה נאמנת כשאר עד א', דהגמ' (לעיל פח.) פי' דמשום חומרא שהחמרת בסופה הקילו בתחילתה, והקילו משום עיגונא. וה</w:t>
      </w:r>
      <w:r w:rsidRPr="007119D6">
        <w:rPr>
          <w:rFonts w:ascii="Narkisim" w:hAnsi="Narkisim" w:cs="Narkisim"/>
          <w:b/>
          <w:bCs/>
          <w:rtl/>
        </w:rPr>
        <w:t>ראשונים</w:t>
      </w:r>
      <w:r w:rsidRPr="007119D6">
        <w:rPr>
          <w:rFonts w:ascii="Narkisim" w:hAnsi="Narkisim" w:cs="Narkisim"/>
          <w:rtl/>
        </w:rPr>
        <w:t xml:space="preserve"> (הו' שם) נח' אי הוה מדרבנן, או דמהני מדאורייתא.</w:t>
      </w:r>
    </w:p>
    <w:p w14:paraId="04F5E37B" w14:textId="77777777" w:rsidR="006C4368" w:rsidRPr="007119D6" w:rsidRDefault="006C4368" w:rsidP="006C4368">
      <w:pPr>
        <w:pStyle w:val="a8"/>
        <w:bidi/>
        <w:rPr>
          <w:rFonts w:ascii="Narkisim" w:hAnsi="Narkisim"/>
        </w:rPr>
      </w:pPr>
      <w:r w:rsidRPr="007119D6">
        <w:rPr>
          <w:rFonts w:ascii="Narkisim" w:hAnsi="Narkisim"/>
          <w:rtl/>
        </w:rPr>
        <w:t>והגמ' (צג: ולקמן קטו. וקטז:) מסתפקת אי הוה משום מילתא דעבידא לאיגלויי או משום דדייקא ומינסבא.</w:t>
      </w:r>
    </w:p>
    <w:p w14:paraId="68249EDA" w14:textId="77777777" w:rsidR="006C4368" w:rsidRPr="007119D6" w:rsidRDefault="006C4368" w:rsidP="006C4368">
      <w:pPr>
        <w:pStyle w:val="a7"/>
        <w:bidi/>
        <w:rPr>
          <w:rFonts w:ascii="Narkisim" w:hAnsi="Narkisim"/>
        </w:rPr>
      </w:pPr>
      <w:r w:rsidRPr="007119D6">
        <w:rPr>
          <w:rFonts w:ascii="Narkisim" w:hAnsi="Narkisim"/>
          <w:rtl/>
        </w:rPr>
        <w:t>ולכאורה אף אשה עצמה נאמנת מטעם זו. אבל ה</w:t>
      </w:r>
      <w:r w:rsidRPr="007119D6">
        <w:rPr>
          <w:rFonts w:ascii="Narkisim" w:hAnsi="Narkisim"/>
          <w:b/>
          <w:bCs/>
          <w:rtl/>
        </w:rPr>
        <w:t>תשב"ץ</w:t>
      </w:r>
      <w:r w:rsidRPr="007119D6">
        <w:rPr>
          <w:rFonts w:ascii="Narkisim" w:hAnsi="Narkisim"/>
          <w:rtl/>
        </w:rPr>
        <w:t xml:space="preserve"> (א פב) כת' דעד א' נאמן מדאורייתא כיון דעבידא לאיגלויי. אבל האשה עצמה אינה נאמנת מדאורייתא, שהרי בחזקת אשת איש </w:t>
      </w:r>
      <w:r w:rsidRPr="007119D6">
        <w:rPr>
          <w:rFonts w:ascii="Narkisim" w:hAnsi="Narkisim"/>
          <w:rtl/>
        </w:rPr>
        <w:lastRenderedPageBreak/>
        <w:t>היא לפנינו. אלא דחז"ל הקילו בדבר זה בתחלתה והחמירו בסופה משום עגונה</w:t>
      </w:r>
      <w:r w:rsidRPr="007119D6">
        <w:rPr>
          <w:rStyle w:val="ac"/>
          <w:rFonts w:ascii="Narkisim" w:hAnsi="Narkisim"/>
          <w:rtl/>
        </w:rPr>
        <w:footnoteReference w:id="7653"/>
      </w:r>
      <w:r w:rsidRPr="007119D6">
        <w:rPr>
          <w:rFonts w:ascii="Narkisim" w:hAnsi="Narkisim"/>
          <w:rtl/>
        </w:rPr>
        <w:t xml:space="preserve">. </w:t>
      </w:r>
      <w:r w:rsidRPr="007119D6">
        <w:rPr>
          <w:rFonts w:ascii="Narkisim" w:hAnsi="Narkisim"/>
          <w:szCs w:val="20"/>
          <w:rtl/>
        </w:rPr>
        <w:t>[ולכאורה כוונתו דאין תורת 'עד' לאשה עצמה</w:t>
      </w:r>
      <w:r w:rsidRPr="007119D6">
        <w:rPr>
          <w:rStyle w:val="ac"/>
          <w:rFonts w:ascii="Narkisim" w:hAnsi="Narkisim"/>
          <w:szCs w:val="20"/>
          <w:rtl/>
        </w:rPr>
        <w:footnoteReference w:id="7654"/>
      </w:r>
      <w:r w:rsidRPr="007119D6">
        <w:rPr>
          <w:rFonts w:ascii="Narkisim" w:hAnsi="Narkisim"/>
          <w:szCs w:val="20"/>
          <w:rtl/>
        </w:rPr>
        <w:t>. ויש שביארו דהאשה הוה בעל דבר]</w:t>
      </w:r>
      <w:r w:rsidRPr="007119D6">
        <w:rPr>
          <w:rFonts w:ascii="Narkisim" w:hAnsi="Narkisim"/>
          <w:rtl/>
        </w:rPr>
        <w:t>.</w:t>
      </w:r>
    </w:p>
    <w:p w14:paraId="5FEF01BC"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(הו' ברשב"א)</w:t>
      </w:r>
      <w:r w:rsidRPr="007119D6">
        <w:rPr>
          <w:rStyle w:val="ac"/>
          <w:rFonts w:ascii="Narkisim" w:hAnsi="Narkisim"/>
          <w:rtl/>
        </w:rPr>
        <w:footnoteReference w:id="7655"/>
      </w:r>
      <w:r w:rsidRPr="007119D6">
        <w:rPr>
          <w:rFonts w:ascii="Narkisim" w:hAnsi="Narkisim"/>
          <w:rtl/>
        </w:rPr>
        <w:t xml:space="preserve"> פי' הטעם דנאמנת, שאילו בא הוא מכחיש</w:t>
      </w:r>
      <w:r w:rsidRPr="007119D6">
        <w:rPr>
          <w:rStyle w:val="ac"/>
          <w:rFonts w:ascii="Narkisim" w:hAnsi="Narkisim"/>
          <w:rtl/>
        </w:rPr>
        <w:footnoteReference w:id="7656"/>
      </w:r>
      <w:r w:rsidRPr="007119D6">
        <w:rPr>
          <w:rFonts w:ascii="Narkisim" w:hAnsi="Narkisim"/>
          <w:rtl/>
        </w:rPr>
        <w:t>. וב</w:t>
      </w:r>
      <w:r w:rsidRPr="007119D6">
        <w:rPr>
          <w:rFonts w:ascii="Narkisim" w:hAnsi="Narkisim"/>
          <w:b/>
          <w:bCs/>
          <w:rtl/>
        </w:rPr>
        <w:t>ירושלמי</w:t>
      </w:r>
      <w:r w:rsidRPr="007119D6">
        <w:rPr>
          <w:rFonts w:ascii="Narkisim" w:hAnsi="Narkisim"/>
          <w:rtl/>
        </w:rPr>
        <w:t xml:space="preserve"> אי' דאפי' משנה ראשונה (לקמן קכב., הו' קטו.) דאין משיאין אשה ע"פ עד א', אפי' הכי האשה עצמה מותרת לינשא ע"פ עצמה</w:t>
      </w:r>
      <w:r w:rsidRPr="007119D6">
        <w:rPr>
          <w:rStyle w:val="ac"/>
          <w:rFonts w:ascii="Narkisim" w:hAnsi="Narkisim"/>
          <w:rtl/>
        </w:rPr>
        <w:footnoteReference w:id="7657"/>
      </w:r>
      <w:r w:rsidRPr="007119D6">
        <w:rPr>
          <w:rFonts w:ascii="Narkisim" w:hAnsi="Narkisim"/>
          <w:rtl/>
        </w:rPr>
        <w:t>. דעד א' חשוד לקלקלה, והיא אינה חשודה לקלקל את עצמה.</w:t>
      </w:r>
    </w:p>
    <w:p w14:paraId="6F2282C1" w14:textId="77777777" w:rsidR="006C4368" w:rsidRPr="007119D6" w:rsidRDefault="006C4368" w:rsidP="006C4368">
      <w:pPr>
        <w:pStyle w:val="a8"/>
        <w:bidi/>
        <w:rPr>
          <w:rFonts w:ascii="Narkisim" w:hAnsi="Narkisim"/>
        </w:rPr>
      </w:pPr>
      <w:r w:rsidRPr="007119D6">
        <w:rPr>
          <w:rFonts w:ascii="Narkisim" w:hAnsi="Narkisim"/>
          <w:rtl/>
        </w:rPr>
        <w:t>ויש שהביאו [דאף למסקנא] דהאשה עצמה הוה גדר היתר בפנ"ע, ולא משום גדר עדות דעד א'</w:t>
      </w:r>
      <w:r w:rsidRPr="007119D6">
        <w:rPr>
          <w:rStyle w:val="ac"/>
          <w:rFonts w:ascii="Narkisim" w:hAnsi="Narkisim"/>
          <w:rtl/>
        </w:rPr>
        <w:footnoteReference w:id="7658"/>
      </w:r>
      <w:r w:rsidRPr="007119D6">
        <w:rPr>
          <w:rFonts w:ascii="Narkisim" w:hAnsi="Narkisim"/>
          <w:rtl/>
        </w:rPr>
        <w:t xml:space="preserve">. ואפשר דבאשה עצמה שייך לגדרי טענת ברי באיסורין.  </w:t>
      </w:r>
    </w:p>
    <w:p w14:paraId="19FF10D0" w14:textId="77777777" w:rsidR="006C4368" w:rsidRPr="007119D6" w:rsidRDefault="006C4368" w:rsidP="006C4368">
      <w:pPr>
        <w:pStyle w:val="aa"/>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(לשו"ע יז מג) ציין ל</w:t>
      </w:r>
      <w:r w:rsidRPr="007119D6">
        <w:rPr>
          <w:rFonts w:ascii="Narkisim" w:hAnsi="Narkisim"/>
          <w:b/>
          <w:bCs/>
          <w:rtl/>
        </w:rPr>
        <w:t>שו"ת מוצל מאש</w:t>
      </w:r>
      <w:r w:rsidRPr="007119D6">
        <w:rPr>
          <w:rFonts w:ascii="Narkisim" w:hAnsi="Narkisim"/>
          <w:rtl/>
        </w:rPr>
        <w:t xml:space="preserve"> (נג) שדן אי אף קטנה</w:t>
      </w:r>
      <w:r w:rsidRPr="007119D6">
        <w:rPr>
          <w:rStyle w:val="ac"/>
          <w:rFonts w:ascii="Narkisim" w:hAnsi="Narkisim"/>
          <w:rtl/>
        </w:rPr>
        <w:footnoteReference w:id="7659"/>
      </w:r>
      <w:r w:rsidRPr="007119D6">
        <w:rPr>
          <w:rFonts w:ascii="Narkisim" w:hAnsi="Narkisim"/>
          <w:rtl/>
        </w:rPr>
        <w:t xml:space="preserve"> נאמנת לומר שמת בעלה.  </w:t>
      </w:r>
    </w:p>
    <w:p w14:paraId="6934C836" w14:textId="77777777" w:rsidR="006C4368" w:rsidRPr="007119D6" w:rsidRDefault="006C4368" w:rsidP="006C4368">
      <w:pPr>
        <w:pStyle w:val="aa"/>
        <w:bidi/>
        <w:rPr>
          <w:rFonts w:ascii="Narkisim" w:hAnsi="Narkisim"/>
        </w:rPr>
      </w:pPr>
      <w:r w:rsidRPr="007119D6">
        <w:rPr>
          <w:rFonts w:ascii="Narkisim" w:hAnsi="Narkisim"/>
          <w:u w:val="single"/>
          <w:rtl/>
        </w:rPr>
        <w:t>מת בעלי תתייבם</w:t>
      </w:r>
      <w:r w:rsidRPr="007119D6">
        <w:rPr>
          <w:rFonts w:ascii="Narkisim" w:hAnsi="Narkisim"/>
          <w:rtl/>
        </w:rPr>
        <w:t xml:space="preserve">. </w:t>
      </w:r>
      <w:r w:rsidRPr="007119D6">
        <w:rPr>
          <w:rFonts w:ascii="Narkisim" w:hAnsi="Narkisim"/>
          <w:b/>
          <w:bCs/>
          <w:rtl/>
        </w:rPr>
        <w:t>תוס'</w:t>
      </w:r>
      <w:r w:rsidRPr="007119D6">
        <w:rPr>
          <w:rFonts w:ascii="Narkisim" w:hAnsi="Narkisim"/>
          <w:rtl/>
        </w:rPr>
        <w:t xml:space="preserve"> (לעיל צג: סוד”ה עד) הק'</w:t>
      </w:r>
      <w:r w:rsidRPr="007119D6">
        <w:rPr>
          <w:rStyle w:val="ac"/>
          <w:rFonts w:ascii="Narkisim" w:hAnsi="Narkisim"/>
          <w:rtl/>
        </w:rPr>
        <w:footnoteReference w:id="7660"/>
      </w:r>
      <w:r w:rsidRPr="007119D6">
        <w:rPr>
          <w:rFonts w:ascii="Narkisim" w:hAnsi="Narkisim"/>
          <w:rtl/>
        </w:rPr>
        <w:t xml:space="preserve"> האיך נאמנת להתייבם, הא ליכא חומר בסופה. שהרי כשבא בעלה מותרת לחזור לו (כדאי' לעיל צד: וצה:, וע”ע תוס' לקמן קיז.). ותי' דחוששת שמא יחלוץ לה ותנשא לשוק, ואיכא חומר. ומש”ה דייקא. ועוד תי' דכיון דשאר נשים יש חומר בסופה, אף יבמה רגילה לדייק. [וע"ע לעיל שם].</w:t>
      </w:r>
    </w:p>
    <w:p w14:paraId="28F1B8DA" w14:textId="77777777" w:rsidR="006C4368" w:rsidRPr="007119D6" w:rsidRDefault="006C4368" w:rsidP="006C4368">
      <w:pPr>
        <w:bidi/>
        <w:rPr>
          <w:rFonts w:ascii="Narkisim" w:hAnsi="Narkisim" w:cs="Narkisim"/>
        </w:rPr>
      </w:pPr>
      <w:r w:rsidRPr="007119D6">
        <w:rPr>
          <w:rFonts w:ascii="Narkisim" w:hAnsi="Narkisim" w:cs="Narkisim"/>
          <w:u w:val="single"/>
          <w:rtl/>
        </w:rPr>
        <w:t>ומלחמה בעולם</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דכיון דפירש הימנה חודש או חודשיים אומרת בדדמי, מאומד ליבה אומרת דודאי הרגוהו ליסטים. ועוד מבואר בגמ' דאמרי' זימנין דמחו ליה בגירא או רומחא, וסברא דודאי מת משום בדדמי. [וב</w:t>
      </w:r>
      <w:r w:rsidRPr="007119D6">
        <w:rPr>
          <w:rFonts w:ascii="Narkisim" w:hAnsi="Narkisim" w:cs="Narkisim"/>
          <w:b/>
          <w:bCs/>
          <w:rtl/>
        </w:rPr>
        <w:t>פסקי הרי"ד</w:t>
      </w:r>
      <w:r w:rsidRPr="007119D6">
        <w:rPr>
          <w:rFonts w:ascii="Narkisim" w:hAnsi="Narkisim" w:cs="Narkisim"/>
          <w:rtl/>
        </w:rPr>
        <w:t xml:space="preserve"> פי' דאפי' את"ל שראתו, ולא פרשה ממנו וכו']. </w:t>
      </w:r>
      <w:r w:rsidRPr="007119D6">
        <w:rPr>
          <w:rFonts w:ascii="Narkisim" w:hAnsi="Narkisim" w:cs="Narkisim"/>
          <w:szCs w:val="20"/>
          <w:rtl/>
        </w:rPr>
        <w:t>ומשמע דיש ב' אופני בדדמי, באופן כללי שסבורה שמסתבר שמת. ועוד יש אופנים שרואה מצב ובטוחה שראתה מיתתו</w:t>
      </w:r>
      <w:r w:rsidRPr="007119D6">
        <w:rPr>
          <w:rStyle w:val="ac"/>
          <w:rFonts w:ascii="Narkisim" w:hAnsi="Narkisim" w:cs="Narkisim"/>
          <w:szCs w:val="20"/>
          <w:rtl/>
        </w:rPr>
        <w:footnoteReference w:id="7661"/>
      </w:r>
      <w:r w:rsidRPr="007119D6">
        <w:rPr>
          <w:rFonts w:ascii="Narkisim" w:hAnsi="Narkisim" w:cs="Narkisim"/>
          <w:rtl/>
        </w:rPr>
        <w:t>.</w:t>
      </w:r>
    </w:p>
    <w:p w14:paraId="5C4D58FD"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רמב"ם</w:t>
      </w:r>
      <w:r w:rsidRPr="007119D6">
        <w:rPr>
          <w:rFonts w:ascii="Narkisim" w:hAnsi="Narkisim" w:cs="Narkisim"/>
          <w:rtl/>
        </w:rPr>
        <w:t xml:space="preserve"> (גירושין יג ב) כת' שמא תסמוך דעתה על דברים שרובן למיתה ותאמר מת, כגון שנהרגו הראשונים והאחרונים שהיה בעלה באמצען. שהיא סבורה מאחר שנהרגו אלו ואלו, אף הוא נהרג בכללן</w:t>
      </w:r>
      <w:r w:rsidRPr="007119D6">
        <w:rPr>
          <w:rStyle w:val="ac"/>
          <w:rFonts w:ascii="Narkisim" w:hAnsi="Narkisim" w:cs="Narkisim"/>
          <w:rtl/>
        </w:rPr>
        <w:footnoteReference w:id="7662"/>
      </w:r>
      <w:r w:rsidRPr="007119D6">
        <w:rPr>
          <w:rFonts w:ascii="Narkisim" w:hAnsi="Narkisim" w:cs="Narkisim"/>
          <w:rtl/>
        </w:rPr>
        <w:t>.</w:t>
      </w:r>
    </w:p>
    <w:p w14:paraId="1E5BBAED" w14:textId="77777777" w:rsidR="006C4368" w:rsidRPr="007119D6" w:rsidRDefault="006C4368" w:rsidP="006C4368">
      <w:pPr>
        <w:bidi/>
        <w:rPr>
          <w:rFonts w:ascii="Narkisim" w:hAnsi="Narkisim" w:cs="Narkisim"/>
        </w:rPr>
      </w:pPr>
      <w:r w:rsidRPr="007119D6">
        <w:rPr>
          <w:rFonts w:ascii="Narkisim" w:hAnsi="Narkisim" w:cs="Narkisim"/>
          <w:rtl/>
        </w:rPr>
        <w:t>וב</w:t>
      </w:r>
      <w:r w:rsidRPr="007119D6">
        <w:rPr>
          <w:rFonts w:ascii="Narkisim" w:hAnsi="Narkisim" w:cs="Narkisim"/>
          <w:b/>
          <w:bCs/>
          <w:rtl/>
        </w:rPr>
        <w:t>שו"ת חת"ס</w:t>
      </w:r>
      <w:r w:rsidRPr="007119D6">
        <w:rPr>
          <w:rFonts w:ascii="Narkisim" w:hAnsi="Narkisim" w:cs="Narkisim"/>
          <w:rtl/>
        </w:rPr>
        <w:t xml:space="preserve"> (נח) נקט דחשש בדדמי הוה ספק דאורייתא. וה</w:t>
      </w:r>
      <w:r w:rsidRPr="007119D6">
        <w:rPr>
          <w:rFonts w:ascii="Narkisim" w:hAnsi="Narkisim" w:cs="Narkisim"/>
          <w:b/>
          <w:bCs/>
          <w:rtl/>
        </w:rPr>
        <w:t>פתח”ת</w:t>
      </w:r>
      <w:r w:rsidRPr="007119D6">
        <w:rPr>
          <w:rFonts w:ascii="Narkisim" w:hAnsi="Narkisim" w:cs="Narkisim"/>
          <w:rtl/>
        </w:rPr>
        <w:t xml:space="preserve"> (יז קלח) חלק דכל עיקר חשש בדדמי הוא חומרא דרבנן</w:t>
      </w:r>
      <w:r w:rsidRPr="007119D6">
        <w:rPr>
          <w:rStyle w:val="ac"/>
          <w:rFonts w:ascii="Narkisim" w:hAnsi="Narkisim" w:cs="Narkisim"/>
          <w:rtl/>
        </w:rPr>
        <w:footnoteReference w:id="7663"/>
      </w:r>
      <w:r w:rsidRPr="007119D6">
        <w:rPr>
          <w:rFonts w:ascii="Narkisim" w:hAnsi="Narkisim" w:cs="Narkisim"/>
          <w:rtl/>
        </w:rPr>
        <w:t>.</w:t>
      </w:r>
    </w:p>
    <w:p w14:paraId="401EE7D8" w14:textId="77777777" w:rsidR="006C4368" w:rsidRPr="007119D6" w:rsidRDefault="006C4368" w:rsidP="006C4368">
      <w:pPr>
        <w:pStyle w:val="aa"/>
        <w:bidi/>
        <w:rPr>
          <w:rFonts w:ascii="Narkisim" w:hAnsi="Narkisim"/>
        </w:rPr>
      </w:pPr>
      <w:r w:rsidRPr="007119D6">
        <w:rPr>
          <w:rFonts w:ascii="Narkisim" w:hAnsi="Narkisim"/>
          <w:u w:val="single"/>
          <w:rtl/>
        </w:rPr>
        <w:t>רש"י ד"ה קטטה</w:t>
      </w:r>
      <w:r w:rsidRPr="007119D6">
        <w:rPr>
          <w:rFonts w:ascii="Narkisim" w:hAnsi="Narkisim"/>
          <w:rtl/>
        </w:rPr>
        <w:t>. י"ל מתוך ששונאתו רוצה לאסור עצמה עליו. יתבאר לקמן קטז.</w:t>
      </w:r>
    </w:p>
    <w:p w14:paraId="7CB129D3" w14:textId="77777777" w:rsidR="006C4368" w:rsidRPr="007119D6" w:rsidRDefault="006C4368" w:rsidP="006C4368">
      <w:pPr>
        <w:bidi/>
        <w:rPr>
          <w:rFonts w:ascii="Narkisim" w:hAnsi="Narkisim" w:cs="Narkisim"/>
        </w:rPr>
      </w:pPr>
      <w:r w:rsidRPr="007119D6">
        <w:rPr>
          <w:rFonts w:ascii="Narkisim" w:hAnsi="Narkisim" w:cs="Narkisim"/>
          <w:u w:val="single"/>
          <w:rtl/>
        </w:rPr>
        <w:t xml:space="preserve">תנא שלום בינו לבינה משום דקבעי למיתני קטטה בינו לבינה, תנא שלום בעולם משום </w:t>
      </w:r>
      <w:r w:rsidRPr="007119D6">
        <w:rPr>
          <w:rFonts w:ascii="Narkisim" w:hAnsi="Narkisim" w:cs="Narkisim"/>
          <w:u w:val="single"/>
          <w:rtl/>
        </w:rPr>
        <w:lastRenderedPageBreak/>
        <w:t>דקבעי למיתני מלחמה בעולם</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כת' כלומר דלאו דוקא שנתברר שיש שלום, אלא בסתמא תלינן</w:t>
      </w:r>
      <w:r w:rsidRPr="007119D6">
        <w:rPr>
          <w:rStyle w:val="ac"/>
          <w:rFonts w:ascii="Narkisim" w:hAnsi="Narkisim" w:cs="Narkisim"/>
          <w:rtl/>
        </w:rPr>
        <w:footnoteReference w:id="7664"/>
      </w:r>
      <w:r w:rsidRPr="007119D6">
        <w:rPr>
          <w:rFonts w:ascii="Narkisim" w:hAnsi="Narkisim" w:cs="Narkisim"/>
          <w:rtl/>
        </w:rPr>
        <w:t xml:space="preserve"> בשלום</w:t>
      </w:r>
      <w:r w:rsidRPr="007119D6">
        <w:rPr>
          <w:rStyle w:val="ac"/>
          <w:rFonts w:ascii="Narkisim" w:hAnsi="Narkisim" w:cs="Narkisim"/>
          <w:rtl/>
        </w:rPr>
        <w:footnoteReference w:id="7665"/>
      </w:r>
      <w:r w:rsidRPr="007119D6">
        <w:rPr>
          <w:rFonts w:ascii="Narkisim" w:hAnsi="Narkisim" w:cs="Narkisim"/>
          <w:rtl/>
        </w:rPr>
        <w:t xml:space="preserve">. [וכמ"ש </w:t>
      </w:r>
      <w:r w:rsidRPr="007119D6">
        <w:rPr>
          <w:rFonts w:ascii="Narkisim" w:hAnsi="Narkisim" w:cs="Narkisim"/>
          <w:b/>
          <w:bCs/>
          <w:rtl/>
        </w:rPr>
        <w:t>תוס</w:t>
      </w:r>
      <w:r w:rsidRPr="007119D6">
        <w:rPr>
          <w:rFonts w:ascii="Narkisim" w:hAnsi="Narkisim" w:cs="Narkisim"/>
          <w:rtl/>
        </w:rPr>
        <w:t xml:space="preserve">' ד"ה תנא, וכן </w:t>
      </w:r>
      <w:r w:rsidRPr="007119D6">
        <w:rPr>
          <w:rFonts w:ascii="Narkisim" w:hAnsi="Narkisim" w:cs="Narkisim"/>
          <w:b/>
          <w:bCs/>
          <w:rtl/>
        </w:rPr>
        <w:t>רש”י</w:t>
      </w:r>
      <w:r w:rsidRPr="007119D6">
        <w:rPr>
          <w:rFonts w:ascii="Narkisim" w:hAnsi="Narkisim" w:cs="Narkisim"/>
          <w:rtl/>
        </w:rPr>
        <w:t xml:space="preserve"> (קטו. ד”ה דאי)].</w:t>
      </w:r>
    </w:p>
    <w:p w14:paraId="339E741F" w14:textId="77777777" w:rsidR="006C4368" w:rsidRPr="007119D6" w:rsidRDefault="006C4368" w:rsidP="006C4368">
      <w:pPr>
        <w:pStyle w:val="aa"/>
        <w:bidi/>
        <w:rPr>
          <w:rFonts w:ascii="Narkisim" w:hAnsi="Narkisim"/>
        </w:rPr>
      </w:pPr>
      <w:r w:rsidRPr="007119D6">
        <w:rPr>
          <w:rFonts w:ascii="Narkisim" w:hAnsi="Narkisim"/>
          <w:u w:val="single"/>
          <w:rtl/>
        </w:rPr>
        <w:t>את"ל כיון דשלום בינו לבינה נטרא עד דחזיא וכו'</w:t>
      </w:r>
      <w:r w:rsidRPr="007119D6">
        <w:rPr>
          <w:rFonts w:ascii="Narkisim" w:hAnsi="Narkisim"/>
          <w:rtl/>
        </w:rPr>
        <w:t>. [משמע דהיכא דיש קטטה ביניהם לא תמתין, ואומרת בדדמי. ואף היכא דאינה מתכוונת לשקר. ולכאורה היינו כרב שימי ב"א (לקמן קטז.) דבקטטה אומרת בדדמי. ע"ע שם].</w:t>
      </w:r>
    </w:p>
    <w:p w14:paraId="60D99576" w14:textId="77777777" w:rsidR="006C4368" w:rsidRPr="007119D6" w:rsidRDefault="006C4368" w:rsidP="006C4368">
      <w:pPr>
        <w:pStyle w:val="aa"/>
        <w:bidi/>
        <w:rPr>
          <w:rFonts w:ascii="Narkisim" w:hAnsi="Narkisim"/>
        </w:rPr>
      </w:pPr>
      <w:r w:rsidRPr="007119D6">
        <w:rPr>
          <w:rFonts w:ascii="Narkisim" w:hAnsi="Narkisim"/>
          <w:u w:val="single"/>
          <w:rtl/>
        </w:rPr>
        <w:t>זימנין דמחו ליה בגירא או ברומחא וסברא ודאי מת וכו'</w:t>
      </w:r>
      <w:r w:rsidRPr="007119D6">
        <w:rPr>
          <w:rFonts w:ascii="Narkisim" w:hAnsi="Narkisim"/>
          <w:rtl/>
        </w:rPr>
        <w:t xml:space="preserve">. בפשוטו משמע שברור לה שמת במכת גירא. ואינה יודעת דשייך בזה רפואה. [וה”ה ליסטים שהיכו ברומח]. אבל </w:t>
      </w:r>
      <w:r w:rsidRPr="007119D6">
        <w:rPr>
          <w:rFonts w:ascii="Narkisim" w:hAnsi="Narkisim"/>
          <w:b/>
          <w:bCs/>
          <w:rtl/>
        </w:rPr>
        <w:t>תוס'</w:t>
      </w:r>
      <w:r w:rsidRPr="007119D6">
        <w:rPr>
          <w:rFonts w:ascii="Narkisim" w:hAnsi="Narkisim"/>
          <w:rtl/>
        </w:rPr>
        <w:t xml:space="preserve"> (ד"ה זימנין) כת' דמסקנת הגמ' דיראה לעמוד שם במלחמה</w:t>
      </w:r>
      <w:r w:rsidRPr="007119D6">
        <w:rPr>
          <w:rStyle w:val="ac"/>
          <w:rFonts w:ascii="Narkisim" w:hAnsi="Narkisim"/>
          <w:rtl/>
        </w:rPr>
        <w:footnoteReference w:id="7666"/>
      </w:r>
      <w:r w:rsidRPr="007119D6">
        <w:rPr>
          <w:rFonts w:ascii="Narkisim" w:hAnsi="Narkisim"/>
          <w:rtl/>
        </w:rPr>
        <w:t>. ועד"ז נח' ה</w:t>
      </w:r>
      <w:r w:rsidRPr="007119D6">
        <w:rPr>
          <w:rFonts w:ascii="Narkisim" w:hAnsi="Narkisim"/>
          <w:b/>
          <w:bCs/>
          <w:rtl/>
        </w:rPr>
        <w:t>רשב"א</w:t>
      </w:r>
      <w:r w:rsidRPr="007119D6">
        <w:rPr>
          <w:rFonts w:ascii="Narkisim" w:hAnsi="Narkisim"/>
          <w:rtl/>
        </w:rPr>
        <w:t xml:space="preserve"> וה</w:t>
      </w:r>
      <w:r w:rsidRPr="007119D6">
        <w:rPr>
          <w:rFonts w:ascii="Narkisim" w:hAnsi="Narkisim"/>
          <w:b/>
          <w:bCs/>
          <w:rtl/>
        </w:rPr>
        <w:t>רמב"ם</w:t>
      </w:r>
      <w:r w:rsidRPr="007119D6">
        <w:rPr>
          <w:rFonts w:ascii="Narkisim" w:hAnsi="Narkisim"/>
          <w:rtl/>
        </w:rPr>
        <w:t xml:space="preserve"> בחזר מהמלחמה ומת על מיטתו.</w:t>
      </w:r>
    </w:p>
    <w:p w14:paraId="1647C5A8" w14:textId="77777777" w:rsidR="006C4368" w:rsidRPr="007119D6" w:rsidRDefault="006C4368" w:rsidP="006C4368">
      <w:pPr>
        <w:bidi/>
        <w:rPr>
          <w:rFonts w:ascii="Narkisim" w:hAnsi="Narkisim" w:cs="Narkisim"/>
        </w:rPr>
      </w:pPr>
      <w:r w:rsidRPr="007119D6">
        <w:rPr>
          <w:rFonts w:ascii="Narkisim" w:hAnsi="Narkisim" w:cs="Narkisim"/>
          <w:u w:val="single"/>
          <w:rtl/>
        </w:rPr>
        <w:t>סבר רבא וכו' הדר אמר רבא רעבון גריעה ממלחמה</w:t>
      </w:r>
      <w:r w:rsidRPr="007119D6">
        <w:rPr>
          <w:rStyle w:val="ac"/>
          <w:rFonts w:ascii="Narkisim" w:hAnsi="Narkisim" w:cs="Narkisim"/>
          <w:u w:val="single"/>
          <w:rtl/>
        </w:rPr>
        <w:footnoteReference w:id="7667"/>
      </w:r>
      <w:r w:rsidRPr="007119D6">
        <w:rPr>
          <w:rFonts w:ascii="Narkisim" w:hAnsi="Narkisim" w:cs="Narkisim"/>
          <w:u w:val="single"/>
          <w:rtl/>
        </w:rPr>
        <w:t xml:space="preserve"> וכו' ואילו גבי רעבון וכו'</w:t>
      </w:r>
      <w:r w:rsidRPr="007119D6">
        <w:rPr>
          <w:rFonts w:ascii="Narkisim" w:hAnsi="Narkisim" w:cs="Narkisim"/>
          <w:rtl/>
        </w:rPr>
        <w:t>. דברעבון אף מת על מיטתו אינה נאמנת, דאף כשהניחתו בבית שייך בדדמי, דסבורה שמת. ופ</w:t>
      </w:r>
      <w:r w:rsidRPr="007119D6">
        <w:rPr>
          <w:rFonts w:ascii="Narkisim" w:hAnsi="Narkisim" w:cs="Narkisim"/>
          <w:b/>
          <w:bCs/>
          <w:rtl/>
        </w:rPr>
        <w:t>רש”י</w:t>
      </w:r>
      <w:r w:rsidRPr="007119D6">
        <w:rPr>
          <w:rFonts w:ascii="Narkisim" w:hAnsi="Narkisim" w:cs="Narkisim"/>
          <w:rtl/>
        </w:rPr>
        <w:t xml:space="preserve"> דסבורה איך יחיה, ולא סברה שמא ברח וניצל.</w:t>
      </w:r>
    </w:p>
    <w:p w14:paraId="5A768630" w14:textId="77777777" w:rsidR="006C4368" w:rsidRPr="007119D6" w:rsidRDefault="006C4368" w:rsidP="006C4368">
      <w:pPr>
        <w:pStyle w:val="a7"/>
        <w:bidi/>
        <w:rPr>
          <w:rFonts w:ascii="Narkisim" w:hAnsi="Narkisim"/>
        </w:rPr>
      </w:pPr>
      <w:r w:rsidRPr="007119D6">
        <w:rPr>
          <w:rFonts w:ascii="Narkisim" w:hAnsi="Narkisim"/>
          <w:rtl/>
        </w:rPr>
        <w:t>ובפשוטו איירי שאומרת במת על מיטתו מחמת רעבון. [וכ"כ ה</w:t>
      </w:r>
      <w:r w:rsidRPr="007119D6">
        <w:rPr>
          <w:rFonts w:ascii="Narkisim" w:hAnsi="Narkisim"/>
          <w:b/>
          <w:bCs/>
          <w:rtl/>
        </w:rPr>
        <w:t>ריטב"א</w:t>
      </w:r>
      <w:r w:rsidRPr="007119D6">
        <w:rPr>
          <w:rFonts w:ascii="Narkisim" w:hAnsi="Narkisim"/>
          <w:rtl/>
        </w:rPr>
        <w:t>]. אבל ה</w:t>
      </w:r>
      <w:r w:rsidRPr="007119D6">
        <w:rPr>
          <w:rFonts w:ascii="Narkisim" w:hAnsi="Narkisim"/>
          <w:b/>
          <w:bCs/>
          <w:rtl/>
        </w:rPr>
        <w:t>אחרונים</w:t>
      </w:r>
      <w:r w:rsidRPr="007119D6">
        <w:rPr>
          <w:rFonts w:ascii="Narkisim" w:hAnsi="Narkisim"/>
          <w:rtl/>
        </w:rPr>
        <w:t xml:space="preserve"> דייקו מדברי רש"י דאיירי שמת בלא רעבון</w:t>
      </w:r>
      <w:r w:rsidRPr="007119D6">
        <w:rPr>
          <w:rStyle w:val="ac"/>
          <w:rFonts w:ascii="Narkisim" w:hAnsi="Narkisim"/>
          <w:rtl/>
        </w:rPr>
        <w:footnoteReference w:id="7668"/>
      </w:r>
      <w:r w:rsidRPr="007119D6">
        <w:rPr>
          <w:rFonts w:ascii="Narkisim" w:hAnsi="Narkisim"/>
          <w:rtl/>
        </w:rPr>
        <w:t>. וה</w:t>
      </w:r>
      <w:r w:rsidRPr="007119D6">
        <w:rPr>
          <w:rFonts w:ascii="Narkisim" w:hAnsi="Narkisim"/>
          <w:b/>
          <w:bCs/>
          <w:rtl/>
        </w:rPr>
        <w:t>מהרש”ל</w:t>
      </w:r>
      <w:r w:rsidRPr="007119D6">
        <w:rPr>
          <w:rFonts w:ascii="Narkisim" w:hAnsi="Narkisim"/>
          <w:rtl/>
        </w:rPr>
        <w:t xml:space="preserve"> (חכמת שלמה) ביאר דכיון דסברה שא"א בעולם שיהא המלטה שלא ימות, ומש"ה אמרי' שמא משקרת לומר אף מת על מטתו בלא רעב. וביאר דאפ"ה נאמנת לומר קברתיו, שאינו תלוי בעדות מיתה. וכולי האי לא אמרי' דמשקרת.</w:t>
      </w:r>
    </w:p>
    <w:p w14:paraId="1006B635" w14:textId="77777777" w:rsidR="006C4368" w:rsidRPr="007119D6" w:rsidRDefault="006C4368" w:rsidP="006C4368">
      <w:pPr>
        <w:bidi/>
        <w:rPr>
          <w:rFonts w:ascii="Narkisim" w:hAnsi="Narkisim" w:cs="Narkisim"/>
        </w:rPr>
      </w:pPr>
      <w:r w:rsidRPr="007119D6">
        <w:rPr>
          <w:rFonts w:ascii="Narkisim" w:hAnsi="Narkisim" w:cs="Narkisim"/>
          <w:u w:val="single"/>
          <w:rtl/>
        </w:rPr>
        <w:t>דאילו במלחמה וכו' הא מת על מטתו מהימנא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(והריטב"א בפי' הב') פי' דאפי' אמרה ירד במלחמה והוכה ושב ומת על מטתו, אפי' הכי נאמנת. דכיון דאמרה מת על מטתו לא חיישינן דמשקרא</w:t>
      </w:r>
      <w:r w:rsidRPr="007119D6">
        <w:rPr>
          <w:rStyle w:val="ac"/>
          <w:rFonts w:ascii="Narkisim" w:hAnsi="Narkisim" w:cs="Narkisim"/>
          <w:rtl/>
        </w:rPr>
        <w:footnoteReference w:id="7669"/>
      </w:r>
      <w:r w:rsidRPr="007119D6">
        <w:rPr>
          <w:rFonts w:ascii="Narkisim" w:hAnsi="Narkisim" w:cs="Narkisim"/>
          <w:rtl/>
        </w:rPr>
        <w:t xml:space="preserve">. ודוקא בתוך המלחמה חיישינן שתברח מחמת הפחד (וכמ”ש </w:t>
      </w:r>
      <w:r w:rsidRPr="007119D6">
        <w:rPr>
          <w:rFonts w:ascii="Narkisim" w:hAnsi="Narkisim" w:cs="Narkisim"/>
          <w:b/>
          <w:bCs/>
          <w:rtl/>
        </w:rPr>
        <w:t>תוס'</w:t>
      </w:r>
      <w:r w:rsidRPr="007119D6">
        <w:rPr>
          <w:rFonts w:ascii="Narkisim" w:hAnsi="Narkisim" w:cs="Narkisim"/>
          <w:rtl/>
        </w:rPr>
        <w:t xml:space="preserve"> ד”ה זימנין).</w:t>
      </w:r>
    </w:p>
    <w:p w14:paraId="6C88CFC4"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ריטב"א</w:t>
      </w:r>
      <w:r w:rsidRPr="007119D6">
        <w:rPr>
          <w:rFonts w:ascii="Narkisim" w:hAnsi="Narkisim"/>
          <w:rtl/>
        </w:rPr>
        <w:t xml:space="preserve"> הביא </w:t>
      </w:r>
      <w:r w:rsidRPr="007119D6">
        <w:rPr>
          <w:rFonts w:ascii="Narkisim" w:hAnsi="Narkisim"/>
          <w:b/>
          <w:bCs/>
          <w:rtl/>
        </w:rPr>
        <w:t>י"מ</w:t>
      </w:r>
      <w:r w:rsidRPr="007119D6">
        <w:rPr>
          <w:rFonts w:ascii="Narkisim" w:hAnsi="Narkisim"/>
          <w:rtl/>
        </w:rPr>
        <w:t xml:space="preserve"> דדוקא כשאומרת חלה על מיטתו ומת נאמנת. אבל כשירד למלחמה והוכה שם וחזר ומת על מיטתו אינה נאמנת. דכיון דחזי דמחיוהו ברומחא מכה רבה אמרה לא חיי [וכגמ' לעיל]. וה</w:t>
      </w:r>
      <w:r w:rsidRPr="007119D6">
        <w:rPr>
          <w:rFonts w:ascii="Narkisim" w:hAnsi="Narkisim"/>
          <w:b/>
          <w:bCs/>
          <w:rtl/>
        </w:rPr>
        <w:t>רשב"א</w:t>
      </w:r>
      <w:r w:rsidRPr="007119D6">
        <w:rPr>
          <w:rFonts w:ascii="Narkisim" w:hAnsi="Narkisim"/>
          <w:rtl/>
        </w:rPr>
        <w:t xml:space="preserve"> דחה דדוקא בתוך המלחמה חיישינן שתברח מחמת פחד. אבל בכל גוסס אינה עוזבת אותו, וכדאי' גבי ליסטים.</w:t>
      </w:r>
    </w:p>
    <w:p w14:paraId="57977B1A" w14:textId="77777777" w:rsidR="006C4368" w:rsidRPr="007119D6" w:rsidRDefault="006C4368" w:rsidP="006C4368">
      <w:pPr>
        <w:bidi/>
        <w:rPr>
          <w:rFonts w:ascii="Narkisim" w:hAnsi="Narkisim" w:cs="Narkisim"/>
        </w:rPr>
      </w:pPr>
      <w:r w:rsidRPr="007119D6">
        <w:rPr>
          <w:rFonts w:ascii="Narkisim" w:hAnsi="Narkisim" w:cs="Narkisim"/>
          <w:u w:val="single"/>
          <w:rtl/>
        </w:rPr>
        <w:t>ואילו גבי רעבון עד דאמרה מת וקברתיו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דייק דכ"ש במלחמה נאמנת דמת וקברתיו. דבקבורה ל"ש בדדמי. אבל הביא דה</w:t>
      </w:r>
      <w:r w:rsidRPr="007119D6">
        <w:rPr>
          <w:rFonts w:ascii="Narkisim" w:hAnsi="Narkisim" w:cs="Narkisim"/>
          <w:b/>
          <w:bCs/>
          <w:rtl/>
        </w:rPr>
        <w:t>רמב"ם</w:t>
      </w:r>
      <w:r w:rsidRPr="007119D6">
        <w:rPr>
          <w:rFonts w:ascii="Narkisim" w:hAnsi="Narkisim" w:cs="Narkisim"/>
          <w:rtl/>
        </w:rPr>
        <w:t xml:space="preserve"> (יג ב) כת' דאפי' אומרת מת במלחמה וקברתיו אינה נאמנת</w:t>
      </w:r>
      <w:r w:rsidRPr="007119D6">
        <w:rPr>
          <w:rStyle w:val="ac"/>
          <w:rFonts w:ascii="Narkisim" w:hAnsi="Narkisim" w:cs="Narkisim"/>
          <w:rtl/>
        </w:rPr>
        <w:footnoteReference w:id="7670"/>
      </w:r>
      <w:r w:rsidRPr="007119D6">
        <w:rPr>
          <w:rFonts w:ascii="Narkisim" w:hAnsi="Narkisim" w:cs="Narkisim"/>
          <w:rtl/>
        </w:rPr>
        <w:t>. וה</w:t>
      </w:r>
      <w:r w:rsidRPr="007119D6">
        <w:rPr>
          <w:rFonts w:ascii="Narkisim" w:hAnsi="Narkisim" w:cs="Narkisim"/>
          <w:b/>
          <w:bCs/>
          <w:rtl/>
        </w:rPr>
        <w:t>רשב”א</w:t>
      </w:r>
      <w:r w:rsidRPr="007119D6">
        <w:rPr>
          <w:rFonts w:ascii="Narkisim" w:hAnsi="Narkisim" w:cs="Narkisim"/>
          <w:rtl/>
        </w:rPr>
        <w:t xml:space="preserve"> חלק ע"פ הנ"ל, דלא חיישינן שמשקר אלא בדדמי. א"כ כשאומר בדדמי אין חשש.</w:t>
      </w:r>
    </w:p>
    <w:p w14:paraId="695A79AC"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לבוש</w:t>
      </w:r>
      <w:r w:rsidRPr="007119D6">
        <w:rPr>
          <w:rFonts w:ascii="Narkisim" w:hAnsi="Narkisim"/>
          <w:rtl/>
        </w:rPr>
        <w:t xml:space="preserve"> (יז מח והו' בבי"ש יז קנ) כת' דדעת הרמב"ם דבמלחמה אף כשקברה שייך בדדמי, </w:t>
      </w:r>
      <w:r w:rsidRPr="007119D6">
        <w:rPr>
          <w:rFonts w:ascii="Narkisim" w:hAnsi="Narkisim"/>
          <w:rtl/>
        </w:rPr>
        <w:lastRenderedPageBreak/>
        <w:t>דשמא מחמת שהיא בהולה לברוח קברה איש אחר</w:t>
      </w:r>
      <w:r w:rsidRPr="007119D6">
        <w:rPr>
          <w:rStyle w:val="ac"/>
          <w:rFonts w:ascii="Narkisim" w:hAnsi="Narkisim"/>
          <w:rtl/>
        </w:rPr>
        <w:footnoteReference w:id="7671"/>
      </w:r>
      <w:r w:rsidRPr="007119D6">
        <w:rPr>
          <w:rFonts w:ascii="Narkisim" w:hAnsi="Narkisim"/>
          <w:rtl/>
        </w:rPr>
        <w:t>. ועד"ז כת' ה</w:t>
      </w:r>
      <w:r w:rsidRPr="007119D6">
        <w:rPr>
          <w:rFonts w:ascii="Narkisim" w:hAnsi="Narkisim"/>
          <w:b/>
          <w:bCs/>
          <w:rtl/>
        </w:rPr>
        <w:t>ריא"ז</w:t>
      </w:r>
      <w:r w:rsidRPr="007119D6">
        <w:rPr>
          <w:rFonts w:ascii="Narkisim" w:hAnsi="Narkisim"/>
          <w:rtl/>
        </w:rPr>
        <w:t xml:space="preserve"> (בשלט"ג)</w:t>
      </w:r>
      <w:r w:rsidRPr="007119D6">
        <w:rPr>
          <w:rStyle w:val="ac"/>
          <w:rFonts w:ascii="Narkisim" w:hAnsi="Narkisim"/>
          <w:rtl/>
        </w:rPr>
        <w:footnoteReference w:id="7672"/>
      </w:r>
      <w:r w:rsidRPr="007119D6">
        <w:rPr>
          <w:rFonts w:ascii="Narkisim" w:hAnsi="Narkisim"/>
          <w:rtl/>
        </w:rPr>
        <w:t>.</w:t>
      </w:r>
    </w:p>
    <w:p w14:paraId="4EFAA489"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מהר"י בן לב</w:t>
      </w:r>
      <w:r w:rsidRPr="007119D6">
        <w:rPr>
          <w:rFonts w:ascii="Narkisim" w:hAnsi="Narkisim"/>
          <w:rtl/>
        </w:rPr>
        <w:t xml:space="preserve"> (ב טז, הו' בכס"מ יג א) תי' דהחשש דכיון דחושבת ע"פ האומדנא דודאי מת חיישינן דילמא משקרא ואמרה קברתיו כדי שלא יחשבו שע"פ האומדנא אמרה שמת</w:t>
      </w:r>
      <w:r w:rsidRPr="007119D6">
        <w:rPr>
          <w:rStyle w:val="ac"/>
          <w:rFonts w:ascii="Narkisim" w:hAnsi="Narkisim"/>
          <w:rtl/>
        </w:rPr>
        <w:footnoteReference w:id="7673"/>
      </w:r>
      <w:r w:rsidRPr="007119D6">
        <w:rPr>
          <w:rFonts w:ascii="Narkisim" w:hAnsi="Narkisim"/>
          <w:rtl/>
        </w:rPr>
        <w:t xml:space="preserve">. ועד"ז הביאו בשם </w:t>
      </w:r>
      <w:r w:rsidRPr="007119D6">
        <w:rPr>
          <w:rFonts w:ascii="Narkisim" w:hAnsi="Narkisim"/>
          <w:b/>
          <w:bCs/>
          <w:rtl/>
        </w:rPr>
        <w:t>שו"ת הרמ"ה</w:t>
      </w:r>
      <w:r w:rsidRPr="007119D6">
        <w:rPr>
          <w:rFonts w:ascii="Narkisim" w:hAnsi="Narkisim"/>
          <w:rtl/>
        </w:rPr>
        <w:t xml:space="preserve"> דשמא משקרת שקברה שנקבל דבריה.</w:t>
      </w:r>
    </w:p>
    <w:p w14:paraId="0086E893" w14:textId="77777777" w:rsidR="006C4368" w:rsidRPr="007119D6" w:rsidRDefault="006C4368" w:rsidP="006C4368">
      <w:pPr>
        <w:pStyle w:val="a8"/>
        <w:bidi/>
        <w:rPr>
          <w:rFonts w:ascii="Narkisim" w:hAnsi="Narkisim"/>
        </w:rPr>
      </w:pPr>
      <w:r w:rsidRPr="007119D6">
        <w:rPr>
          <w:rFonts w:ascii="Narkisim" w:hAnsi="Narkisim"/>
          <w:rtl/>
        </w:rPr>
        <w:t>וביארו דכיון שהיא סבורה דודאי מת מש"ה אינה יראה שבעלה יחזור, ומש"ה משקרת [ועד"ז כת' המהרש"ל הנ"ל, וכן בחי' אנשי שם (על הרי"ף) לדעת רש"י.</w:t>
      </w:r>
    </w:p>
    <w:p w14:paraId="529509D8"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ר"א מזרחי</w:t>
      </w:r>
      <w:r w:rsidRPr="007119D6">
        <w:rPr>
          <w:rFonts w:ascii="Narkisim" w:hAnsi="Narkisim"/>
          <w:rtl/>
        </w:rPr>
        <w:t xml:space="preserve"> (א כ ד”ה ומה שטענת, הו' בכס"מ שם) כת' דהטעם דאינה נאמנת שקברו כיון דאין דרך לאשה להתעסק לקבור את בעלה במלחמה, שהרי היא בהולה לברוח מפני פחד המלחמה. ומש"ה מחזקינן שהיא משקרת</w:t>
      </w:r>
      <w:r w:rsidRPr="007119D6">
        <w:rPr>
          <w:rStyle w:val="ac"/>
          <w:rFonts w:ascii="Narkisim" w:hAnsi="Narkisim"/>
          <w:rtl/>
        </w:rPr>
        <w:footnoteReference w:id="7674"/>
      </w:r>
      <w:r w:rsidRPr="007119D6">
        <w:rPr>
          <w:rFonts w:ascii="Narkisim" w:hAnsi="Narkisim"/>
          <w:rtl/>
        </w:rPr>
        <w:t>. [וע"ע בית הלוי ג ח שהאריך בסוגיה זו].</w:t>
      </w:r>
    </w:p>
    <w:p w14:paraId="3AA79762" w14:textId="77777777" w:rsidR="006C4368" w:rsidRPr="007119D6" w:rsidRDefault="006C4368" w:rsidP="006C4368">
      <w:pPr>
        <w:bidi/>
        <w:rPr>
          <w:rFonts w:ascii="Narkisim" w:hAnsi="Narkisim" w:cs="Narkisim"/>
        </w:rPr>
      </w:pPr>
      <w:r w:rsidRPr="007119D6">
        <w:rPr>
          <w:rFonts w:ascii="Narkisim" w:hAnsi="Narkisim" w:cs="Narkisim"/>
          <w:u w:val="single"/>
          <w:rtl/>
        </w:rPr>
        <w:t>דבר וכו' ואמרי לה אינה כמלחמה, דסמכי אדאמרי אינשי וכו'</w:t>
      </w:r>
      <w:r w:rsidRPr="007119D6">
        <w:rPr>
          <w:rFonts w:ascii="Narkisim" w:hAnsi="Narkisim" w:cs="Narkisim"/>
          <w:rtl/>
        </w:rPr>
        <w:t>. ה</w:t>
      </w:r>
      <w:r w:rsidRPr="007119D6">
        <w:rPr>
          <w:rFonts w:ascii="Narkisim" w:hAnsi="Narkisim" w:cs="Narkisim"/>
          <w:b/>
          <w:bCs/>
          <w:rtl/>
        </w:rPr>
        <w:t>רמב"ם</w:t>
      </w:r>
      <w:r w:rsidRPr="007119D6">
        <w:rPr>
          <w:rFonts w:ascii="Narkisim" w:hAnsi="Narkisim" w:cs="Narkisim"/>
          <w:rtl/>
        </w:rPr>
        <w:t xml:space="preserve"> (יג ז) פסק דנאמנת, וכל"ב. אבל ב</w:t>
      </w:r>
      <w:r w:rsidRPr="007119D6">
        <w:rPr>
          <w:rFonts w:ascii="Narkisim" w:hAnsi="Narkisim" w:cs="Narkisim"/>
          <w:b/>
          <w:bCs/>
          <w:rtl/>
        </w:rPr>
        <w:t>שו"ת הר"ן</w:t>
      </w:r>
      <w:r w:rsidRPr="007119D6">
        <w:rPr>
          <w:rFonts w:ascii="Narkisim" w:hAnsi="Narkisim" w:cs="Narkisim"/>
          <w:rtl/>
        </w:rPr>
        <w:t xml:space="preserve"> (ג) גרס בדברי הרמב”ם דאינה נאמנת</w:t>
      </w:r>
      <w:r w:rsidRPr="007119D6">
        <w:rPr>
          <w:rStyle w:val="ac"/>
          <w:rFonts w:ascii="Narkisim" w:hAnsi="Narkisim" w:cs="Narkisim"/>
          <w:rtl/>
        </w:rPr>
        <w:footnoteReference w:id="7675"/>
      </w:r>
      <w:r w:rsidRPr="007119D6">
        <w:rPr>
          <w:rFonts w:ascii="Narkisim" w:hAnsi="Narkisim" w:cs="Narkisim"/>
          <w:rtl/>
        </w:rPr>
        <w:t>.</w:t>
      </w:r>
    </w:p>
    <w:p w14:paraId="4A676FD4"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(שם קס) דייק דאף נשאת תצא. ודן דעד"ז כל מח' הפוסקים בעגונות יש להחמיר</w:t>
      </w:r>
      <w:r w:rsidRPr="007119D6">
        <w:rPr>
          <w:rStyle w:val="ac"/>
          <w:rFonts w:ascii="Narkisim" w:hAnsi="Narkisim"/>
          <w:rtl/>
        </w:rPr>
        <w:footnoteReference w:id="7676"/>
      </w:r>
      <w:r w:rsidRPr="007119D6">
        <w:rPr>
          <w:rFonts w:ascii="Narkisim" w:hAnsi="Narkisim"/>
          <w:rtl/>
        </w:rPr>
        <w:t>, דמדאורייתא עד א' אינו נאמן כלל. ומש"ה היכא דהוה מח' האם חכמים האמינו יש להחמיר.</w:t>
      </w:r>
    </w:p>
    <w:p w14:paraId="7D3A0110"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בי"ש</w:t>
      </w:r>
      <w:r w:rsidRPr="007119D6">
        <w:rPr>
          <w:rFonts w:ascii="Narkisim" w:hAnsi="Narkisim" w:cs="Narkisim"/>
          <w:rtl/>
        </w:rPr>
        <w:t xml:space="preserve"> (יז קמד) העיר דבספיקות הגמ' פסק ה</w:t>
      </w:r>
      <w:r w:rsidRPr="007119D6">
        <w:rPr>
          <w:rFonts w:ascii="Narkisim" w:hAnsi="Narkisim" w:cs="Narkisim"/>
          <w:b/>
          <w:bCs/>
          <w:rtl/>
        </w:rPr>
        <w:t>רמב"ם</w:t>
      </w:r>
      <w:r w:rsidRPr="007119D6">
        <w:rPr>
          <w:rFonts w:ascii="Narkisim" w:hAnsi="Narkisim" w:cs="Narkisim"/>
          <w:rtl/>
        </w:rPr>
        <w:t xml:space="preserve"> (יג ג) גבי החזיקה היא מלחמה (בסמוך), דנשאת לא תצא</w:t>
      </w:r>
      <w:r w:rsidRPr="007119D6">
        <w:rPr>
          <w:rStyle w:val="ac"/>
          <w:rFonts w:ascii="Narkisim" w:hAnsi="Narkisim" w:cs="Narkisim"/>
          <w:rtl/>
        </w:rPr>
        <w:footnoteReference w:id="7677"/>
      </w:r>
      <w:r w:rsidRPr="007119D6">
        <w:rPr>
          <w:rFonts w:ascii="Narkisim" w:hAnsi="Narkisim" w:cs="Narkisim"/>
          <w:rtl/>
        </w:rPr>
        <w:t>. וה</w:t>
      </w:r>
      <w:r w:rsidRPr="007119D6">
        <w:rPr>
          <w:rFonts w:ascii="Narkisim" w:hAnsi="Narkisim" w:cs="Narkisim"/>
          <w:b/>
          <w:bCs/>
          <w:rtl/>
        </w:rPr>
        <w:t>כס"מ</w:t>
      </w:r>
      <w:r w:rsidRPr="007119D6">
        <w:rPr>
          <w:rFonts w:ascii="Narkisim" w:hAnsi="Narkisim" w:cs="Narkisim"/>
          <w:rtl/>
        </w:rPr>
        <w:t xml:space="preserve"> ביאר דמדינא האשה נאמנת</w:t>
      </w:r>
      <w:r w:rsidRPr="007119D6">
        <w:rPr>
          <w:rStyle w:val="ac"/>
          <w:rFonts w:ascii="Narkisim" w:hAnsi="Narkisim" w:cs="Narkisim"/>
          <w:rtl/>
        </w:rPr>
        <w:footnoteReference w:id="7678"/>
      </w:r>
      <w:r w:rsidRPr="007119D6">
        <w:rPr>
          <w:rFonts w:ascii="Narkisim" w:hAnsi="Narkisim" w:cs="Narkisim"/>
          <w:rtl/>
        </w:rPr>
        <w:t>, אלא דהנך ספיקות הוה בדרבנן, ומש"ה נקטינן בהם לקולא לענין אם נשאת לא תצא.</w:t>
      </w:r>
    </w:p>
    <w:p w14:paraId="3547B5FA" w14:textId="77777777" w:rsidR="006C4368" w:rsidRPr="007119D6" w:rsidRDefault="006C4368" w:rsidP="006C4368">
      <w:pPr>
        <w:pStyle w:val="2"/>
        <w:bidi/>
        <w:rPr>
          <w:rFonts w:ascii="Narkisim" w:hAnsi="Narkisim"/>
        </w:rPr>
      </w:pPr>
      <w:r w:rsidRPr="007119D6">
        <w:rPr>
          <w:rFonts w:ascii="Narkisim" w:hAnsi="Narkisim"/>
          <w:rtl/>
        </w:rPr>
        <w:t>החזיקה היא מלחמה</w:t>
      </w:r>
    </w:p>
    <w:p w14:paraId="1B1D18B5" w14:textId="77777777" w:rsidR="006C4368" w:rsidRPr="007119D6" w:rsidRDefault="006C4368" w:rsidP="006C4368">
      <w:pPr>
        <w:bidi/>
        <w:rPr>
          <w:rFonts w:ascii="Narkisim" w:hAnsi="Narkisim" w:cs="Narkisim"/>
        </w:rPr>
      </w:pPr>
      <w:r w:rsidRPr="007119D6">
        <w:rPr>
          <w:rFonts w:ascii="Narkisim" w:hAnsi="Narkisim" w:cs="Narkisim"/>
          <w:u w:val="single"/>
          <w:rtl/>
        </w:rPr>
        <w:t>איבע"ל החזיקה היא מלחמה בעולם מהו, מי אמרי' מה לה לשקר וכו</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וה</w:t>
      </w:r>
      <w:r w:rsidRPr="007119D6">
        <w:rPr>
          <w:rFonts w:ascii="Narkisim" w:hAnsi="Narkisim" w:cs="Narkisim"/>
          <w:b/>
          <w:bCs/>
          <w:rtl/>
        </w:rPr>
        <w:t>ראשונים</w:t>
      </w:r>
      <w:r w:rsidRPr="007119D6">
        <w:rPr>
          <w:rFonts w:ascii="Narkisim" w:hAnsi="Narkisim" w:cs="Narkisim"/>
          <w:rtl/>
        </w:rPr>
        <w:t xml:space="preserve"> תמהו מה שייך בזה מיגו, דאין כאן חשש שנתכוון לשקר, אלא דתלינן בדדמי. וכן פ</w:t>
      </w:r>
      <w:r w:rsidRPr="007119D6">
        <w:rPr>
          <w:rFonts w:ascii="Narkisim" w:hAnsi="Narkisim" w:cs="Narkisim"/>
          <w:b/>
          <w:bCs/>
          <w:rtl/>
        </w:rPr>
        <w:t>רש"י</w:t>
      </w:r>
      <w:r w:rsidRPr="007119D6">
        <w:rPr>
          <w:rFonts w:ascii="Narkisim" w:hAnsi="Narkisim" w:cs="Narkisim"/>
          <w:rtl/>
        </w:rPr>
        <w:t xml:space="preserve"> (קטו. ד”ה דאי) הצד דל"מ מיגו בסוגיין. </w:t>
      </w:r>
      <w:r w:rsidRPr="007119D6">
        <w:rPr>
          <w:rFonts w:ascii="Narkisim" w:hAnsi="Narkisim" w:cs="Narkisim"/>
          <w:szCs w:val="20"/>
          <w:rtl/>
        </w:rPr>
        <w:t>ו</w:t>
      </w:r>
      <w:r w:rsidRPr="007119D6">
        <w:rPr>
          <w:rFonts w:ascii="Narkisim" w:hAnsi="Narkisim" w:cs="Narkisim"/>
          <w:b/>
          <w:bCs/>
          <w:szCs w:val="20"/>
          <w:rtl/>
        </w:rPr>
        <w:t>רש"י</w:t>
      </w:r>
      <w:r w:rsidRPr="007119D6">
        <w:rPr>
          <w:rFonts w:ascii="Narkisim" w:hAnsi="Narkisim" w:cs="Narkisim"/>
          <w:szCs w:val="20"/>
          <w:rtl/>
        </w:rPr>
        <w:t xml:space="preserve"> (בהמשך ד"ה שאני) פי' את הצד דמהני מיגו, דאיכא למימר דאי לא חזיתיה לא אמרה, כיון דיש לה מיגו דאי בעי לשקורי אומרת דליכא מלחמה. משמע דנאמנת שראתה בבירור, ולא בדדמי (וע”ד מש”כ תוס' גבי בעה”ב ופועלים</w:t>
      </w:r>
      <w:r w:rsidRPr="007119D6">
        <w:rPr>
          <w:rStyle w:val="ac"/>
          <w:rFonts w:ascii="Narkisim" w:hAnsi="Narkisim" w:cs="Narkisim"/>
          <w:szCs w:val="20"/>
          <w:rtl/>
        </w:rPr>
        <w:footnoteReference w:id="7679"/>
      </w:r>
      <w:r w:rsidRPr="007119D6">
        <w:rPr>
          <w:rFonts w:ascii="Narkisim" w:hAnsi="Narkisim" w:cs="Narkisim"/>
          <w:szCs w:val="20"/>
          <w:rtl/>
        </w:rPr>
        <w:t>)</w:t>
      </w:r>
      <w:r w:rsidRPr="007119D6">
        <w:rPr>
          <w:rFonts w:ascii="Narkisim" w:hAnsi="Narkisim" w:cs="Narkisim"/>
          <w:rtl/>
        </w:rPr>
        <w:t>.</w:t>
      </w:r>
    </w:p>
    <w:p w14:paraId="464985E9"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תי' דדייקא כולי האי להחזיק מלחמה</w:t>
      </w:r>
      <w:r w:rsidRPr="007119D6">
        <w:rPr>
          <w:rStyle w:val="ac"/>
          <w:rFonts w:ascii="Narkisim" w:hAnsi="Narkisim"/>
          <w:rtl/>
        </w:rPr>
        <w:footnoteReference w:id="7680"/>
      </w:r>
      <w:r w:rsidRPr="007119D6">
        <w:rPr>
          <w:rFonts w:ascii="Narkisim" w:hAnsi="Narkisim"/>
          <w:rtl/>
        </w:rPr>
        <w:t xml:space="preserve">, ומש"ה אמרי' דודאי לא אמרה בדדמי. בפשוטו משמע דלא הוה 'מיגו' [דאי בעי היה משקר] כמיגו דעלמא, אלא אומדנא דאשה זו </w:t>
      </w:r>
      <w:r w:rsidRPr="007119D6">
        <w:rPr>
          <w:rFonts w:ascii="Narkisim" w:hAnsi="Narkisim"/>
          <w:rtl/>
        </w:rPr>
        <w:lastRenderedPageBreak/>
        <w:t>מדייקת</w:t>
      </w:r>
      <w:r w:rsidRPr="007119D6">
        <w:rPr>
          <w:rStyle w:val="ac"/>
          <w:rFonts w:ascii="Narkisim" w:hAnsi="Narkisim"/>
          <w:rtl/>
        </w:rPr>
        <w:footnoteReference w:id="7681"/>
      </w:r>
      <w:r w:rsidRPr="007119D6">
        <w:rPr>
          <w:rFonts w:ascii="Narkisim" w:hAnsi="Narkisim"/>
          <w:rtl/>
        </w:rPr>
        <w:t>. וה</w:t>
      </w:r>
      <w:r w:rsidRPr="007119D6">
        <w:rPr>
          <w:rFonts w:ascii="Narkisim" w:hAnsi="Narkisim"/>
          <w:b/>
          <w:bCs/>
          <w:rtl/>
        </w:rPr>
        <w:t>תוס' רא"ש</w:t>
      </w:r>
      <w:r w:rsidRPr="007119D6">
        <w:rPr>
          <w:rFonts w:ascii="Narkisim" w:hAnsi="Narkisim"/>
          <w:rtl/>
        </w:rPr>
        <w:t xml:space="preserve"> הוסיף דמיגו דאי בעי שתיק, ומש”ה אמרי' דדייקא כולי האי.</w:t>
      </w:r>
    </w:p>
    <w:p w14:paraId="0DA3114A"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כת' דלאו מגו ממש קאמר, אלא כעין מגו היא</w:t>
      </w:r>
      <w:r w:rsidRPr="007119D6">
        <w:rPr>
          <w:rStyle w:val="ac"/>
          <w:rFonts w:ascii="Narkisim" w:hAnsi="Narkisim"/>
          <w:rtl/>
        </w:rPr>
        <w:footnoteReference w:id="7682"/>
      </w:r>
      <w:r w:rsidRPr="007119D6">
        <w:rPr>
          <w:rFonts w:ascii="Narkisim" w:hAnsi="Narkisim"/>
          <w:rtl/>
        </w:rPr>
        <w:t>. דאילו אמרה מת סתם ולא הזכירה מלחמה נאמנת. ולא חיישינן דלמא איכא מלחמה ואומרת בדדמי. דכיון דלא הוחזק מלחמה בעולם לא חיישינן לה. וה"נ להימנה ולא ליחוש לדדמי מגו דאי בעיא שתקה ואמרה מת סתם, או דלמא כיון דאיכא מלחמה וחזקה אמרה בדדמי לא שייך הכא מגו דמ"מ הא איכא מלחמה.</w:t>
      </w:r>
    </w:p>
    <w:p w14:paraId="43DB0EF6" w14:textId="77777777" w:rsidR="006C4368" w:rsidRPr="007119D6" w:rsidRDefault="006C4368" w:rsidP="006C4368">
      <w:pPr>
        <w:pStyle w:val="a7"/>
        <w:bidi/>
        <w:rPr>
          <w:rFonts w:ascii="Narkisim" w:hAnsi="Narkisim"/>
        </w:rPr>
      </w:pPr>
      <w:r w:rsidRPr="007119D6">
        <w:rPr>
          <w:rFonts w:ascii="Narkisim" w:hAnsi="Narkisim"/>
          <w:rtl/>
        </w:rPr>
        <w:t>ועוד כת' ה</w:t>
      </w:r>
      <w:r w:rsidRPr="007119D6">
        <w:rPr>
          <w:rFonts w:ascii="Narkisim" w:hAnsi="Narkisim"/>
          <w:b/>
          <w:bCs/>
          <w:rtl/>
        </w:rPr>
        <w:t>ריטב"א</w:t>
      </w:r>
      <w:r w:rsidRPr="007119D6">
        <w:rPr>
          <w:rFonts w:ascii="Narkisim" w:hAnsi="Narkisim"/>
          <w:rtl/>
        </w:rPr>
        <w:t xml:space="preserve"> (בסו"ד) דהיכא דהוחזקה ודאי מלחמה קים לן דודאי אמרה בדדמי, אבל הכא שהיא החזיקה המלחמה אין לנו לתלות כ"כ דאמרה בדדמי</w:t>
      </w:r>
      <w:r w:rsidRPr="007119D6">
        <w:rPr>
          <w:rStyle w:val="ac"/>
          <w:rFonts w:ascii="Narkisim" w:hAnsi="Narkisim"/>
          <w:rtl/>
        </w:rPr>
        <w:footnoteReference w:id="7683"/>
      </w:r>
      <w:r w:rsidRPr="007119D6">
        <w:rPr>
          <w:rFonts w:ascii="Narkisim" w:hAnsi="Narkisim"/>
          <w:rtl/>
        </w:rPr>
        <w:t>.</w:t>
      </w:r>
    </w:p>
    <w:p w14:paraId="45D9CD5B"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הוסיף דאפשר לפרש דברים כפשוטן דכשהחזיקה היא מלחמה בעולם נראה דבר של שקר, דמלחמה קלא אית לה. ויש לחוש שמשקרת לומר כן מפני שהיא סבורה שנאמין לה יותר כשתאמר שמת במלחמה כי הרבה מתים הן במלחמה. ולהכי אמרינן מי אמרי' מה לי לשקר אי בעיא אמרה וכו'.</w:t>
      </w:r>
    </w:p>
    <w:p w14:paraId="4FA7FBAB" w14:textId="77777777" w:rsidR="006C4368" w:rsidRPr="007119D6" w:rsidRDefault="006C4368" w:rsidP="006C4368">
      <w:pPr>
        <w:bidi/>
        <w:rPr>
          <w:rFonts w:ascii="Narkisim" w:hAnsi="Narkisim" w:cs="Narkisim"/>
        </w:rPr>
      </w:pPr>
      <w:r w:rsidRPr="007119D6">
        <w:rPr>
          <w:rFonts w:ascii="Narkisim" w:hAnsi="Narkisim" w:cs="Narkisim"/>
          <w:u w:val="single"/>
          <w:rtl/>
        </w:rPr>
        <w:t>תוד"ה מי</w:t>
      </w:r>
      <w:r w:rsidRPr="007119D6">
        <w:rPr>
          <w:rFonts w:ascii="Narkisim" w:hAnsi="Narkisim" w:cs="Narkisim"/>
          <w:rtl/>
        </w:rPr>
        <w:t xml:space="preserve">. תימה לר"י דע"כ ל"ש מיגו כיון דאמרה בדדמי וכו'. ועד"ז הק' </w:t>
      </w:r>
      <w:r w:rsidRPr="007119D6">
        <w:rPr>
          <w:rFonts w:ascii="Narkisim" w:hAnsi="Narkisim" w:cs="Narkisim"/>
          <w:b/>
          <w:bCs/>
          <w:rtl/>
        </w:rPr>
        <w:t>תוס</w:t>
      </w:r>
      <w:r w:rsidRPr="007119D6">
        <w:rPr>
          <w:rFonts w:ascii="Narkisim" w:hAnsi="Narkisim" w:cs="Narkisim"/>
          <w:rtl/>
        </w:rPr>
        <w:t>' (בסוה"ע, על בעה”ב ופועלים) מה מיגו הוא זה, דאינו חשוד לשקר</w:t>
      </w:r>
      <w:r w:rsidRPr="007119D6">
        <w:rPr>
          <w:rStyle w:val="ac"/>
          <w:rFonts w:ascii="Narkisim" w:hAnsi="Narkisim" w:cs="Narkisim"/>
          <w:rtl/>
        </w:rPr>
        <w:footnoteReference w:id="7684"/>
      </w:r>
      <w:r w:rsidRPr="007119D6">
        <w:rPr>
          <w:rFonts w:ascii="Narkisim" w:hAnsi="Narkisim" w:cs="Narkisim"/>
          <w:rtl/>
        </w:rPr>
        <w:t xml:space="preserve"> וכו'. וכה"ק </w:t>
      </w:r>
      <w:r w:rsidRPr="007119D6">
        <w:rPr>
          <w:rFonts w:ascii="Narkisim" w:hAnsi="Narkisim" w:cs="Narkisim"/>
          <w:b/>
          <w:bCs/>
          <w:rtl/>
        </w:rPr>
        <w:t>תוס'</w:t>
      </w:r>
      <w:r w:rsidRPr="007119D6">
        <w:rPr>
          <w:rFonts w:ascii="Narkisim" w:hAnsi="Narkisim" w:cs="Narkisim"/>
          <w:rtl/>
        </w:rPr>
        <w:t xml:space="preserve"> בכ"מ.</w:t>
      </w:r>
    </w:p>
    <w:p w14:paraId="7A6EA044"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ש”ך</w:t>
      </w:r>
      <w:r w:rsidRPr="007119D6">
        <w:rPr>
          <w:rFonts w:ascii="Narkisim" w:hAnsi="Narkisim"/>
          <w:rtl/>
        </w:rPr>
        <w:t xml:space="preserve"> </w:t>
      </w:r>
      <w:r w:rsidRPr="007119D6">
        <w:rPr>
          <w:rFonts w:ascii="Narkisim" w:hAnsi="Narkisim"/>
          <w:szCs w:val="20"/>
          <w:rtl/>
        </w:rPr>
        <w:t>(חו"מ פב כללי מיגו י)</w:t>
      </w:r>
      <w:r w:rsidRPr="007119D6">
        <w:rPr>
          <w:rFonts w:ascii="Narkisim" w:hAnsi="Narkisim"/>
          <w:rtl/>
        </w:rPr>
        <w:t xml:space="preserve"> כת' דהיכא דסבור שאומר אמת, אלא דלא דייק ל”מ מיגו [והביא כן מהספק בסוגיין]. וה</w:t>
      </w:r>
      <w:r w:rsidRPr="007119D6">
        <w:rPr>
          <w:rFonts w:ascii="Narkisim" w:hAnsi="Narkisim"/>
          <w:b/>
          <w:bCs/>
          <w:rtl/>
        </w:rPr>
        <w:t>תומים</w:t>
      </w:r>
      <w:r w:rsidRPr="007119D6">
        <w:rPr>
          <w:rFonts w:ascii="Narkisim" w:hAnsi="Narkisim"/>
          <w:rtl/>
        </w:rPr>
        <w:t xml:space="preserve"> (כללי מיגו נט) כת' דמיגו דאי בעי שתיק מהני אפי' היכא דאמר בדדמי</w:t>
      </w:r>
      <w:r w:rsidRPr="007119D6">
        <w:rPr>
          <w:rStyle w:val="ac"/>
          <w:rFonts w:ascii="Narkisim" w:hAnsi="Narkisim"/>
          <w:rtl/>
        </w:rPr>
        <w:footnoteReference w:id="7685"/>
      </w:r>
      <w:r w:rsidRPr="007119D6">
        <w:rPr>
          <w:rFonts w:ascii="Narkisim" w:hAnsi="Narkisim"/>
          <w:rtl/>
        </w:rPr>
        <w:t>. [וכ"כ הרמב"ן בתי' הא'</w:t>
      </w:r>
      <w:r w:rsidRPr="007119D6">
        <w:rPr>
          <w:rStyle w:val="ac"/>
          <w:rFonts w:ascii="Narkisim" w:hAnsi="Narkisim"/>
          <w:rtl/>
        </w:rPr>
        <w:footnoteReference w:id="7686"/>
      </w:r>
      <w:r w:rsidRPr="007119D6">
        <w:rPr>
          <w:rFonts w:ascii="Narkisim" w:hAnsi="Narkisim"/>
          <w:rtl/>
        </w:rPr>
        <w:t>]. וה</w:t>
      </w:r>
      <w:r w:rsidRPr="007119D6">
        <w:rPr>
          <w:rFonts w:ascii="Narkisim" w:hAnsi="Narkisim"/>
          <w:b/>
          <w:bCs/>
          <w:rtl/>
        </w:rPr>
        <w:t>נתיבות</w:t>
      </w:r>
      <w:r w:rsidRPr="007119D6">
        <w:rPr>
          <w:rFonts w:ascii="Narkisim" w:hAnsi="Narkisim"/>
          <w:rtl/>
        </w:rPr>
        <w:t xml:space="preserve"> (כללי מיגו יז) חלק.</w:t>
      </w:r>
    </w:p>
    <w:p w14:paraId="0107460C" w14:textId="77777777" w:rsidR="006C4368" w:rsidRPr="007119D6" w:rsidRDefault="006C4368" w:rsidP="006C4368">
      <w:pPr>
        <w:pStyle w:val="aa"/>
        <w:bidi/>
        <w:rPr>
          <w:rFonts w:ascii="Narkisim" w:hAnsi="Narkisim"/>
        </w:rPr>
      </w:pPr>
      <w:r w:rsidRPr="007119D6">
        <w:rPr>
          <w:rFonts w:ascii="Narkisim" w:hAnsi="Narkisim"/>
          <w:u w:val="single"/>
          <w:rtl/>
        </w:rPr>
        <w:t>בא"ד א"כ במלחמה בעולם אמאי לא מהימנא במיגו וכו' מת על מטתו וכו'</w:t>
      </w:r>
      <w:r w:rsidRPr="007119D6">
        <w:rPr>
          <w:rFonts w:ascii="Narkisim" w:hAnsi="Narkisim"/>
          <w:rtl/>
        </w:rPr>
        <w:t xml:space="preserve">. וכן הביאו </w:t>
      </w:r>
      <w:r w:rsidRPr="007119D6">
        <w:rPr>
          <w:rFonts w:ascii="Narkisim" w:hAnsi="Narkisim"/>
          <w:b/>
          <w:bCs/>
          <w:rtl/>
        </w:rPr>
        <w:t>תוס'</w:t>
      </w:r>
      <w:r w:rsidRPr="007119D6">
        <w:rPr>
          <w:rFonts w:ascii="Narkisim" w:hAnsi="Narkisim"/>
          <w:rtl/>
        </w:rPr>
        <w:t xml:space="preserve"> (כתובות פז: ושבועות מה: תוס' ראש שם וב"מ קיב: וכ"מ).</w:t>
      </w:r>
    </w:p>
    <w:p w14:paraId="0F16D8DC" w14:textId="77777777" w:rsidR="006C4368" w:rsidRPr="007119D6" w:rsidRDefault="006C4368" w:rsidP="006C4368">
      <w:pPr>
        <w:bidi/>
        <w:rPr>
          <w:rFonts w:ascii="Narkisim" w:hAnsi="Narkisim" w:cs="Narkisim"/>
        </w:rPr>
      </w:pPr>
      <w:r w:rsidRPr="007119D6">
        <w:rPr>
          <w:rFonts w:ascii="Narkisim" w:hAnsi="Narkisim" w:cs="Narkisim"/>
          <w:u w:val="single"/>
          <w:rtl/>
        </w:rPr>
        <w:t>בא"ד אבל כי לא החזיקה</w:t>
      </w:r>
      <w:r w:rsidRPr="007119D6">
        <w:rPr>
          <w:rStyle w:val="ac"/>
          <w:rFonts w:ascii="Narkisim" w:hAnsi="Narkisim" w:cs="Narkisim"/>
          <w:u w:val="single"/>
          <w:rtl/>
        </w:rPr>
        <w:footnoteReference w:id="7687"/>
      </w:r>
      <w:r w:rsidRPr="007119D6">
        <w:rPr>
          <w:rFonts w:ascii="Narkisim" w:hAnsi="Narkisim" w:cs="Narkisim"/>
          <w:u w:val="single"/>
          <w:rtl/>
        </w:rPr>
        <w:t xml:space="preserve"> וכו' מתוך שיכולה לומר מת על מיטתו, דאין זה מיגו כיון שידוע לעולם וכו' וידוע שהיא משקרת</w:t>
      </w:r>
      <w:r w:rsidRPr="007119D6">
        <w:rPr>
          <w:rStyle w:val="ac"/>
          <w:rFonts w:ascii="Narkisim" w:hAnsi="Narkisim" w:cs="Narkisim"/>
          <w:rtl/>
        </w:rPr>
        <w:footnoteReference w:id="7688"/>
      </w:r>
      <w:r w:rsidRPr="007119D6">
        <w:rPr>
          <w:rFonts w:ascii="Narkisim" w:hAnsi="Narkisim" w:cs="Narkisim"/>
          <w:rtl/>
        </w:rPr>
        <w:t>. ה</w:t>
      </w:r>
      <w:r w:rsidRPr="007119D6">
        <w:rPr>
          <w:rFonts w:ascii="Narkisim" w:hAnsi="Narkisim" w:cs="Narkisim"/>
          <w:b/>
          <w:bCs/>
          <w:rtl/>
        </w:rPr>
        <w:t>תומים</w:t>
      </w:r>
      <w:r w:rsidRPr="007119D6">
        <w:rPr>
          <w:rFonts w:ascii="Narkisim" w:hAnsi="Narkisim" w:cs="Narkisim"/>
          <w:rtl/>
        </w:rPr>
        <w:t xml:space="preserve"> (כללי מיגו מא) דייק דאף שיראה יש כאן מיגו. אלא דחיישינן לבדדמי, דהסברא שיראה לשקר מהני דלא הוה בגדר 'דייקא כולי האי'. וע"ע בית מאיר (יז ס"ס מח).</w:t>
      </w:r>
    </w:p>
    <w:p w14:paraId="7A8A20A0" w14:textId="77777777" w:rsidR="006C4368" w:rsidRPr="007119D6" w:rsidRDefault="006C4368" w:rsidP="006C4368">
      <w:pPr>
        <w:pStyle w:val="aa"/>
        <w:bidi/>
        <w:rPr>
          <w:rFonts w:ascii="Narkisim" w:hAnsi="Narkisim"/>
        </w:rPr>
      </w:pPr>
      <w:r w:rsidRPr="007119D6">
        <w:rPr>
          <w:rFonts w:ascii="Narkisim" w:hAnsi="Narkisim"/>
          <w:rtl/>
        </w:rPr>
        <w:t>וב</w:t>
      </w:r>
      <w:r w:rsidRPr="007119D6">
        <w:rPr>
          <w:rFonts w:ascii="Narkisim" w:hAnsi="Narkisim"/>
          <w:b/>
          <w:bCs/>
          <w:rtl/>
        </w:rPr>
        <w:t>הג' מים חיים</w:t>
      </w:r>
      <w:r w:rsidRPr="007119D6">
        <w:rPr>
          <w:rFonts w:ascii="Narkisim" w:hAnsi="Narkisim"/>
          <w:rtl/>
        </w:rPr>
        <w:t xml:space="preserve"> הק' דעדיין קשה שתהא נאמנת במיגו דמת במלחמה וקברתיו, דמשמע דנאמנת [וכדעת הרשב”א</w:t>
      </w:r>
      <w:r w:rsidRPr="007119D6">
        <w:rPr>
          <w:rStyle w:val="ac"/>
          <w:rFonts w:ascii="Narkisim" w:hAnsi="Narkisim"/>
          <w:rtl/>
        </w:rPr>
        <w:footnoteReference w:id="7689"/>
      </w:r>
      <w:r w:rsidRPr="007119D6">
        <w:rPr>
          <w:rFonts w:ascii="Narkisim" w:hAnsi="Narkisim"/>
          <w:rtl/>
        </w:rPr>
        <w:t>]. וע"כ דעיקר התי' דתוס' דדוקא בהחזיקה היא מלחמה אמרי' דדייקא כולי האי. ול”מ שאר מיגו.</w:t>
      </w:r>
    </w:p>
    <w:p w14:paraId="20128204" w14:textId="77777777" w:rsidR="006C4368" w:rsidRPr="007119D6" w:rsidRDefault="006C4368" w:rsidP="006C4368">
      <w:pPr>
        <w:pStyle w:val="aa"/>
        <w:bidi/>
        <w:rPr>
          <w:rFonts w:ascii="Narkisim" w:hAnsi="Narkisim"/>
        </w:rPr>
      </w:pPr>
      <w:r w:rsidRPr="007119D6">
        <w:rPr>
          <w:rFonts w:ascii="Narkisim" w:hAnsi="Narkisim"/>
          <w:u w:val="single"/>
          <w:rtl/>
        </w:rPr>
        <w:t>בא"ד ומיהו קשה לר"י גבי שכיר (שבועות מה:) וכו' מתוך שיכול לומר לא שכרתיך מעולם וכו' ומה מיגו הוא זה, והלא אינו חשוד לשקר</w:t>
      </w:r>
      <w:r w:rsidRPr="007119D6">
        <w:rPr>
          <w:rStyle w:val="ac"/>
          <w:rFonts w:ascii="Narkisim" w:hAnsi="Narkisim"/>
          <w:u w:val="single"/>
          <w:rtl/>
        </w:rPr>
        <w:footnoteReference w:id="7690"/>
      </w:r>
      <w:r w:rsidRPr="007119D6">
        <w:rPr>
          <w:rFonts w:ascii="Narkisim" w:hAnsi="Narkisim"/>
          <w:u w:val="single"/>
          <w:rtl/>
        </w:rPr>
        <w:t xml:space="preserve"> וכו' (קטו.) ומה"ט מבעי ליה הכא וכו'</w:t>
      </w:r>
      <w:r w:rsidRPr="007119D6">
        <w:rPr>
          <w:rFonts w:ascii="Narkisim" w:hAnsi="Narkisim"/>
          <w:rtl/>
        </w:rPr>
        <w:t xml:space="preserve">. משמע דקו' התוס' לצד דבסוגיין ל"מ מיגו, מ"ש התם דמהני. אבל לצד דבסוגיין דאמרי' דדייק כולי האי, אף התם אמרי' כן. אבל </w:t>
      </w:r>
      <w:r w:rsidRPr="007119D6">
        <w:rPr>
          <w:rFonts w:ascii="Narkisim" w:hAnsi="Narkisim"/>
          <w:b/>
          <w:bCs/>
          <w:rtl/>
        </w:rPr>
        <w:t>תוס'</w:t>
      </w:r>
      <w:r w:rsidRPr="007119D6">
        <w:rPr>
          <w:rFonts w:ascii="Narkisim" w:hAnsi="Narkisim"/>
          <w:rtl/>
        </w:rPr>
        <w:t xml:space="preserve"> (שבועות מה:) </w:t>
      </w:r>
      <w:r w:rsidRPr="007119D6">
        <w:rPr>
          <w:rFonts w:ascii="Narkisim" w:hAnsi="Narkisim"/>
          <w:rtl/>
        </w:rPr>
        <w:lastRenderedPageBreak/>
        <w:t>כת' דהתם (בסוגיין) דוקא מיבעיא לן כיון דדייקא כולי האי שמחזקת מלחמה. [ואילו התם הפועל תובעו].</w:t>
      </w:r>
    </w:p>
    <w:p w14:paraId="01129445" w14:textId="77777777" w:rsidR="006C4368" w:rsidRPr="007119D6" w:rsidRDefault="006C4368" w:rsidP="006C4368">
      <w:pPr>
        <w:bidi/>
        <w:rPr>
          <w:rFonts w:ascii="Narkisim" w:hAnsi="Narkisim" w:cs="Narkisim"/>
        </w:rPr>
      </w:pPr>
      <w:r w:rsidRPr="007119D6">
        <w:rPr>
          <w:rFonts w:ascii="Narkisim" w:hAnsi="Narkisim" w:cs="Narkisim"/>
          <w:u w:val="single"/>
          <w:rtl/>
        </w:rPr>
        <w:t>בא"ד (קטו.) וי"ל וכו' מ"מ נחשב קצת שקרן במה שטוען דרך ודאי שפרעו וכו'</w:t>
      </w:r>
      <w:r w:rsidRPr="007119D6">
        <w:rPr>
          <w:rStyle w:val="ac"/>
          <w:rFonts w:ascii="Narkisim" w:hAnsi="Narkisim" w:cs="Narkisim"/>
          <w:rtl/>
        </w:rPr>
        <w:footnoteReference w:id="7691"/>
      </w:r>
      <w:r w:rsidRPr="007119D6">
        <w:rPr>
          <w:rFonts w:ascii="Narkisim" w:hAnsi="Narkisim" w:cs="Narkisim"/>
          <w:rtl/>
        </w:rPr>
        <w:t>. וע"י מיגו נאמן שיודע ודאי, ואינו אומר בדדמי</w:t>
      </w:r>
      <w:r w:rsidRPr="007119D6">
        <w:rPr>
          <w:rStyle w:val="ac"/>
          <w:rFonts w:ascii="Narkisim" w:hAnsi="Narkisim" w:cs="Narkisim"/>
          <w:rtl/>
        </w:rPr>
        <w:footnoteReference w:id="7692"/>
      </w:r>
      <w:r w:rsidRPr="007119D6">
        <w:rPr>
          <w:rFonts w:ascii="Narkisim" w:hAnsi="Narkisim" w:cs="Narkisim"/>
          <w:rtl/>
        </w:rPr>
        <w:t>.</w:t>
      </w:r>
    </w:p>
    <w:p w14:paraId="40CED31D" w14:textId="77777777" w:rsidR="006C4368" w:rsidRPr="007119D6" w:rsidRDefault="006C4368" w:rsidP="006C4368">
      <w:pPr>
        <w:pStyle w:val="a7"/>
        <w:bidi/>
        <w:rPr>
          <w:rFonts w:ascii="Narkisim" w:hAnsi="Narkisim"/>
        </w:rPr>
      </w:pPr>
      <w:r w:rsidRPr="007119D6">
        <w:rPr>
          <w:rFonts w:ascii="Narkisim" w:hAnsi="Narkisim"/>
          <w:rtl/>
        </w:rPr>
        <w:t>ומשמע בתוס' דבסוגיין ל"ש סברא זו. ויל"פ דאשה הטוענת בדדמי אינה סבורה שיש בזה צד שקר כלל.</w:t>
      </w:r>
    </w:p>
    <w:p w14:paraId="5985D447" w14:textId="77777777" w:rsidR="006C4368" w:rsidRPr="007119D6" w:rsidRDefault="006C4368" w:rsidP="006C4368">
      <w:pPr>
        <w:pStyle w:val="3"/>
        <w:bidi/>
        <w:rPr>
          <w:rFonts w:ascii="Narkisim" w:hAnsi="Narkisim"/>
        </w:rPr>
      </w:pPr>
      <w:r w:rsidRPr="007119D6">
        <w:rPr>
          <w:rFonts w:ascii="Narkisim" w:hAnsi="Narkisim"/>
          <w:rtl/>
        </w:rPr>
        <w:t>דף קטו.</w:t>
      </w:r>
    </w:p>
    <w:p w14:paraId="7E2D9DCD" w14:textId="77777777" w:rsidR="006C4368" w:rsidRPr="007119D6" w:rsidRDefault="006C4368" w:rsidP="006C4368">
      <w:pPr>
        <w:bidi/>
        <w:rPr>
          <w:rFonts w:ascii="Narkisim" w:hAnsi="Narkisim" w:cs="Narkisim"/>
        </w:rPr>
      </w:pPr>
      <w:r w:rsidRPr="007119D6">
        <w:rPr>
          <w:rFonts w:ascii="Narkisim" w:hAnsi="Narkisim" w:cs="Narkisim"/>
          <w:u w:val="single"/>
          <w:rtl/>
        </w:rPr>
        <w:t>רשי ד"ה דאי בעיא</w:t>
      </w:r>
      <w:r w:rsidRPr="007119D6">
        <w:rPr>
          <w:rFonts w:ascii="Narkisim" w:hAnsi="Narkisim" w:cs="Narkisim"/>
          <w:rtl/>
        </w:rPr>
        <w:t>. אע”ג דלא אמרה על מיטתו בהדיא, מסתמא מת על מיטתו קאמרה, ובזמן שיש מלחמה וכו'. משמע דלא שואלים אותה באיזה צורה מת. וה</w:t>
      </w:r>
      <w:r w:rsidRPr="007119D6">
        <w:rPr>
          <w:rFonts w:ascii="Narkisim" w:hAnsi="Narkisim" w:cs="Narkisim"/>
          <w:b/>
          <w:bCs/>
          <w:rtl/>
        </w:rPr>
        <w:t>פסקי הרי"ד</w:t>
      </w:r>
      <w:r w:rsidRPr="007119D6">
        <w:rPr>
          <w:rFonts w:ascii="Narkisim" w:hAnsi="Narkisim" w:cs="Narkisim"/>
          <w:rtl/>
        </w:rPr>
        <w:t xml:space="preserve"> חלק אמאי שרינן לה, נחקור אותה דילמא מת במלחמה קאמרה</w:t>
      </w:r>
      <w:r w:rsidRPr="007119D6">
        <w:rPr>
          <w:rStyle w:val="ac"/>
          <w:rFonts w:ascii="Narkisim" w:hAnsi="Narkisim" w:cs="Narkisim"/>
          <w:rtl/>
        </w:rPr>
        <w:footnoteReference w:id="7693"/>
      </w:r>
      <w:r w:rsidRPr="007119D6">
        <w:rPr>
          <w:rFonts w:ascii="Narkisim" w:hAnsi="Narkisim" w:cs="Narkisim"/>
          <w:rtl/>
        </w:rPr>
        <w:t>, וכי בשופטני עסקינן שאין חוקרין הדבר ומבררין יפה היאך מת כיון שיש חילוק בדבר.</w:t>
      </w:r>
    </w:p>
    <w:p w14:paraId="370BC4E6" w14:textId="77777777" w:rsidR="006C4368" w:rsidRPr="007119D6" w:rsidRDefault="006C4368" w:rsidP="006C4368">
      <w:pPr>
        <w:pStyle w:val="a7"/>
        <w:bidi/>
        <w:rPr>
          <w:rFonts w:ascii="Narkisim" w:hAnsi="Narkisim"/>
        </w:rPr>
      </w:pPr>
      <w:r w:rsidRPr="007119D6">
        <w:rPr>
          <w:rFonts w:ascii="Narkisim" w:hAnsi="Narkisim"/>
          <w:rtl/>
        </w:rPr>
        <w:t>וכן ה</w:t>
      </w:r>
      <w:r w:rsidRPr="007119D6">
        <w:rPr>
          <w:rFonts w:ascii="Narkisim" w:hAnsi="Narkisim"/>
          <w:b/>
          <w:bCs/>
          <w:rtl/>
        </w:rPr>
        <w:t>רמב"ם</w:t>
      </w:r>
      <w:r w:rsidRPr="007119D6">
        <w:rPr>
          <w:rFonts w:ascii="Narkisim" w:hAnsi="Narkisim"/>
          <w:rtl/>
        </w:rPr>
        <w:t xml:space="preserve"> (יג טו, ושו”ע יז ה) כת' דעד א' שהעיד שואלין אותו</w:t>
      </w:r>
      <w:r w:rsidRPr="007119D6">
        <w:rPr>
          <w:rStyle w:val="ac"/>
          <w:rFonts w:ascii="Narkisim" w:hAnsi="Narkisim"/>
          <w:rtl/>
        </w:rPr>
        <w:footnoteReference w:id="7694"/>
      </w:r>
      <w:r w:rsidRPr="007119D6">
        <w:rPr>
          <w:rFonts w:ascii="Narkisim" w:hAnsi="Narkisim"/>
          <w:rtl/>
        </w:rPr>
        <w:t xml:space="preserve"> היאך ראית ובמה ידעת שמת וכו'</w:t>
      </w:r>
      <w:r w:rsidRPr="007119D6">
        <w:rPr>
          <w:rStyle w:val="ac"/>
          <w:rFonts w:ascii="Narkisim" w:hAnsi="Narkisim"/>
          <w:rtl/>
        </w:rPr>
        <w:footnoteReference w:id="7695"/>
      </w:r>
      <w:r w:rsidRPr="007119D6">
        <w:rPr>
          <w:rFonts w:ascii="Narkisim" w:hAnsi="Narkisim"/>
          <w:rtl/>
        </w:rPr>
        <w:t xml:space="preserve">. </w:t>
      </w:r>
      <w:r w:rsidRPr="007119D6">
        <w:rPr>
          <w:rFonts w:ascii="Narkisim" w:hAnsi="Narkisim"/>
          <w:szCs w:val="20"/>
          <w:rtl/>
        </w:rPr>
        <w:t>ו</w:t>
      </w:r>
      <w:r w:rsidRPr="007119D6">
        <w:rPr>
          <w:rFonts w:ascii="Narkisim" w:hAnsi="Narkisim"/>
          <w:b/>
          <w:bCs/>
          <w:szCs w:val="20"/>
          <w:rtl/>
        </w:rPr>
        <w:t>ה"ה</w:t>
      </w:r>
      <w:r w:rsidRPr="007119D6">
        <w:rPr>
          <w:rFonts w:ascii="Narkisim" w:hAnsi="Narkisim"/>
          <w:szCs w:val="20"/>
          <w:rtl/>
        </w:rPr>
        <w:t xml:space="preserve"> ביאר דאף דקי"ל (לקמן קכב:) דאין בודקים עדות אשה בדרישה וחקירה, מ"מ שואלים 'כיצד'</w:t>
      </w:r>
      <w:r w:rsidRPr="007119D6">
        <w:rPr>
          <w:rStyle w:val="ac"/>
          <w:rFonts w:ascii="Narkisim" w:hAnsi="Narkisim"/>
          <w:szCs w:val="20"/>
          <w:rtl/>
        </w:rPr>
        <w:footnoteReference w:id="7696"/>
      </w:r>
      <w:r w:rsidRPr="007119D6">
        <w:rPr>
          <w:rFonts w:ascii="Narkisim" w:hAnsi="Narkisim"/>
          <w:szCs w:val="20"/>
          <w:rtl/>
        </w:rPr>
        <w:t>. דאפשר שהעד טועה בדברים שחכמים אמרו שאין דנין אותם כמת, והם סבורים שמת</w:t>
      </w:r>
      <w:r w:rsidRPr="007119D6">
        <w:rPr>
          <w:rFonts w:ascii="Narkisim" w:hAnsi="Narkisim"/>
          <w:rtl/>
        </w:rPr>
        <w:t>.</w:t>
      </w:r>
    </w:p>
    <w:p w14:paraId="598D761B"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בית מאיר</w:t>
      </w:r>
      <w:r w:rsidRPr="007119D6">
        <w:rPr>
          <w:rFonts w:ascii="Narkisim" w:hAnsi="Narkisim"/>
          <w:rtl/>
        </w:rPr>
        <w:t xml:space="preserve"> (הו' בפתח"ת יז לד) דייק מסדר דברי הרמב"ם והשו"ע דדוקא עד א' שואלים אותו האיך הוא יודע, אבל האשה עצמה [בשעת שלום] אי"צ לשואלה</w:t>
      </w:r>
      <w:r w:rsidRPr="007119D6">
        <w:rPr>
          <w:rStyle w:val="ac"/>
          <w:rFonts w:ascii="Narkisim" w:hAnsi="Narkisim"/>
          <w:rtl/>
        </w:rPr>
        <w:footnoteReference w:id="7697"/>
      </w:r>
      <w:r w:rsidRPr="007119D6">
        <w:rPr>
          <w:rFonts w:ascii="Narkisim" w:hAnsi="Narkisim"/>
          <w:rtl/>
        </w:rPr>
        <w:t xml:space="preserve"> סבת המיתה</w:t>
      </w:r>
      <w:r w:rsidRPr="007119D6">
        <w:rPr>
          <w:rStyle w:val="ac"/>
          <w:rFonts w:ascii="Narkisim" w:hAnsi="Narkisim"/>
          <w:rtl/>
        </w:rPr>
        <w:footnoteReference w:id="7698"/>
      </w:r>
      <w:r w:rsidRPr="007119D6">
        <w:rPr>
          <w:rFonts w:ascii="Narkisim" w:hAnsi="Narkisim"/>
          <w:rtl/>
        </w:rPr>
        <w:t>. [ועפ"ז אין סתירה מהרמב"ם לרש"י]. אך ציין דה</w:t>
      </w:r>
      <w:r w:rsidRPr="007119D6">
        <w:rPr>
          <w:rFonts w:ascii="Narkisim" w:hAnsi="Narkisim"/>
          <w:b/>
          <w:bCs/>
          <w:rtl/>
        </w:rPr>
        <w:t>חלק"מ</w:t>
      </w:r>
      <w:r w:rsidRPr="007119D6">
        <w:rPr>
          <w:rFonts w:ascii="Narkisim" w:hAnsi="Narkisim"/>
          <w:rtl/>
        </w:rPr>
        <w:t xml:space="preserve"> (שם צז) כת' דאף אשה עצמה שואלים.</w:t>
      </w:r>
    </w:p>
    <w:p w14:paraId="22F8DFBF" w14:textId="77777777" w:rsidR="006C4368" w:rsidRPr="007119D6" w:rsidRDefault="006C4368" w:rsidP="006C4368">
      <w:pPr>
        <w:bidi/>
        <w:rPr>
          <w:rFonts w:ascii="Narkisim" w:hAnsi="Narkisim" w:cs="Narkisim"/>
        </w:rPr>
      </w:pPr>
      <w:r w:rsidRPr="007119D6">
        <w:rPr>
          <w:rFonts w:ascii="Narkisim" w:hAnsi="Narkisim" w:cs="Narkisim"/>
          <w:u w:val="single"/>
          <w:rtl/>
        </w:rPr>
        <w:t>בא”ד ובזמן שיש מלחמה בעולם, מסתמא מת במלחמה קאמרה</w:t>
      </w:r>
      <w:r w:rsidRPr="007119D6">
        <w:rPr>
          <w:rStyle w:val="ac"/>
          <w:rFonts w:ascii="Narkisim" w:hAnsi="Narkisim" w:cs="Narkisim"/>
          <w:u w:val="single"/>
          <w:rtl/>
        </w:rPr>
        <w:footnoteReference w:id="7699"/>
      </w:r>
      <w:r w:rsidRPr="007119D6">
        <w:rPr>
          <w:rFonts w:ascii="Narkisim" w:hAnsi="Narkisim" w:cs="Narkisim"/>
          <w:u w:val="single"/>
          <w:rtl/>
        </w:rPr>
        <w:t xml:space="preserve"> וכו'</w:t>
      </w:r>
      <w:r w:rsidRPr="007119D6">
        <w:rPr>
          <w:rFonts w:ascii="Narkisim" w:hAnsi="Narkisim" w:cs="Narkisim"/>
          <w:rtl/>
        </w:rPr>
        <w:t>. וה</w:t>
      </w:r>
      <w:r w:rsidRPr="007119D6">
        <w:rPr>
          <w:rFonts w:ascii="Narkisim" w:hAnsi="Narkisim" w:cs="Narkisim"/>
          <w:b/>
          <w:bCs/>
          <w:rtl/>
        </w:rPr>
        <w:t>פסקי הרי"ד</w:t>
      </w:r>
      <w:r w:rsidRPr="007119D6">
        <w:rPr>
          <w:rFonts w:ascii="Narkisim" w:hAnsi="Narkisim" w:cs="Narkisim"/>
          <w:rtl/>
        </w:rPr>
        <w:t xml:space="preserve"> חלק אף בזה דכיון דאילו אמרה מת על מטתו מהימנא, א"כ אף כשאומרת מת סתם ניבדקה ונחקור אותה היאך מת [להקל], ואמאי אסרינן מיד.</w:t>
      </w:r>
    </w:p>
    <w:p w14:paraId="40AC787B" w14:textId="77777777" w:rsidR="006C4368" w:rsidRPr="007119D6" w:rsidRDefault="006C4368" w:rsidP="006C4368">
      <w:pPr>
        <w:bidi/>
        <w:rPr>
          <w:rFonts w:ascii="Narkisim" w:hAnsi="Narkisim" w:cs="Narkisim"/>
        </w:rPr>
      </w:pPr>
      <w:r w:rsidRPr="007119D6">
        <w:rPr>
          <w:rFonts w:ascii="Narkisim" w:hAnsi="Narkisim" w:cs="Narkisim"/>
          <w:u w:val="single"/>
          <w:rtl/>
        </w:rPr>
        <w:t>תוד"ה דאי בעיא</w:t>
      </w:r>
      <w:r w:rsidRPr="007119D6">
        <w:rPr>
          <w:rFonts w:ascii="Narkisim" w:hAnsi="Narkisim" w:cs="Narkisim"/>
          <w:rtl/>
        </w:rPr>
        <w:t>. וא”ת אמאי לא קאמר מיגו דמת על מיטתו</w:t>
      </w:r>
      <w:r w:rsidRPr="007119D6">
        <w:rPr>
          <w:rStyle w:val="ac"/>
          <w:rFonts w:ascii="Narkisim" w:hAnsi="Narkisim" w:cs="Narkisim"/>
          <w:rtl/>
        </w:rPr>
        <w:footnoteReference w:id="7700"/>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הק' דכה”ק תוס' (לעיל), ותי' דיראה לומר שמת על מיטתו, שידוע שמשקרת. א"כ מה חזרו והק' כאן</w:t>
      </w:r>
      <w:r w:rsidRPr="007119D6">
        <w:rPr>
          <w:rStyle w:val="ac"/>
          <w:rFonts w:ascii="Narkisim" w:hAnsi="Narkisim" w:cs="Narkisim"/>
          <w:rtl/>
        </w:rPr>
        <w:footnoteReference w:id="7701"/>
      </w:r>
      <w:r w:rsidRPr="007119D6">
        <w:rPr>
          <w:rFonts w:ascii="Narkisim" w:hAnsi="Narkisim" w:cs="Narkisim"/>
          <w:rtl/>
        </w:rPr>
        <w:t>. וה</w:t>
      </w:r>
      <w:r w:rsidRPr="007119D6">
        <w:rPr>
          <w:rFonts w:ascii="Narkisim" w:hAnsi="Narkisim" w:cs="Narkisim"/>
          <w:b/>
          <w:bCs/>
          <w:rtl/>
        </w:rPr>
        <w:t>תומים</w:t>
      </w:r>
      <w:r w:rsidRPr="007119D6">
        <w:rPr>
          <w:rFonts w:ascii="Narkisim" w:hAnsi="Narkisim" w:cs="Narkisim"/>
          <w:rtl/>
        </w:rPr>
        <w:t xml:space="preserve"> (מיגו מא) ביאר דכוונת התוס' דעכ"פ באופן דלא הוחזק מלחמה בעולם, א"כ אינה יראה לומר מת על מיטתו. א"כ אמאי הגמ' נוקטת מיגו דליכא מלחמה, הא איכא ג"כ מיגו </w:t>
      </w:r>
      <w:r w:rsidRPr="007119D6">
        <w:rPr>
          <w:rFonts w:ascii="Narkisim" w:hAnsi="Narkisim" w:cs="Narkisim"/>
          <w:rtl/>
        </w:rPr>
        <w:lastRenderedPageBreak/>
        <w:t>דמת על מיטתו.</w:t>
      </w:r>
    </w:p>
    <w:p w14:paraId="3396D536" w14:textId="77777777" w:rsidR="006C4368" w:rsidRPr="007119D6" w:rsidRDefault="006C4368" w:rsidP="006C4368">
      <w:pPr>
        <w:bidi/>
        <w:rPr>
          <w:rFonts w:ascii="Narkisim" w:hAnsi="Narkisim" w:cs="Narkisim"/>
        </w:rPr>
      </w:pPr>
      <w:r w:rsidRPr="007119D6">
        <w:rPr>
          <w:rFonts w:ascii="Narkisim" w:hAnsi="Narkisim" w:cs="Narkisim"/>
          <w:u w:val="single"/>
          <w:rtl/>
        </w:rPr>
        <w:t>תוד"ה או דלמא</w:t>
      </w:r>
      <w:r w:rsidRPr="007119D6">
        <w:rPr>
          <w:rFonts w:ascii="Narkisim" w:hAnsi="Narkisim" w:cs="Narkisim"/>
          <w:rtl/>
        </w:rPr>
        <w:t>. אר”י דל”ד וכו' אי אתי מה לי לשקר ומרע לה לחזקה</w:t>
      </w:r>
      <w:r w:rsidRPr="007119D6">
        <w:rPr>
          <w:rStyle w:val="ac"/>
          <w:rFonts w:ascii="Narkisim" w:hAnsi="Narkisim" w:cs="Narkisim"/>
          <w:rtl/>
        </w:rPr>
        <w:footnoteReference w:id="7702"/>
      </w:r>
      <w:r w:rsidRPr="007119D6">
        <w:rPr>
          <w:rFonts w:ascii="Narkisim" w:hAnsi="Narkisim" w:cs="Narkisim"/>
          <w:rtl/>
        </w:rPr>
        <w:t xml:space="preserve"> וכו' דהכא לא מרע לה, כיון דאמרה בדדמי. ועד”ז כת' ה</w:t>
      </w:r>
      <w:r w:rsidRPr="007119D6">
        <w:rPr>
          <w:rFonts w:ascii="Narkisim" w:hAnsi="Narkisim" w:cs="Narkisim"/>
          <w:b/>
          <w:bCs/>
          <w:rtl/>
        </w:rPr>
        <w:t>רשב"א</w:t>
      </w:r>
      <w:r w:rsidRPr="007119D6">
        <w:rPr>
          <w:rFonts w:ascii="Narkisim" w:hAnsi="Narkisim" w:cs="Narkisim"/>
          <w:rtl/>
        </w:rPr>
        <w:t xml:space="preserve"> דבסוגיין לא הוה מיגו גמור (ע' לעיל)</w:t>
      </w:r>
      <w:r w:rsidRPr="007119D6">
        <w:rPr>
          <w:rStyle w:val="ac"/>
          <w:rFonts w:ascii="Narkisim" w:hAnsi="Narkisim" w:cs="Narkisim"/>
          <w:rtl/>
        </w:rPr>
        <w:footnoteReference w:id="7703"/>
      </w:r>
      <w:r w:rsidRPr="007119D6">
        <w:rPr>
          <w:rFonts w:ascii="Narkisim" w:hAnsi="Narkisim" w:cs="Narkisim"/>
          <w:rtl/>
        </w:rPr>
        <w:t>.</w:t>
      </w:r>
    </w:p>
    <w:p w14:paraId="3C7E39E1" w14:textId="77777777" w:rsidR="006C4368" w:rsidRPr="007119D6" w:rsidRDefault="006C4368" w:rsidP="006C4368">
      <w:pPr>
        <w:pStyle w:val="aa"/>
        <w:bidi/>
        <w:rPr>
          <w:rFonts w:ascii="Narkisim" w:hAnsi="Narkisim"/>
        </w:rPr>
      </w:pPr>
      <w:r w:rsidRPr="007119D6">
        <w:rPr>
          <w:rFonts w:ascii="Narkisim" w:hAnsi="Narkisim"/>
          <w:rtl/>
        </w:rPr>
        <w:t>ועוה"ק ה</w:t>
      </w:r>
      <w:r w:rsidRPr="007119D6">
        <w:rPr>
          <w:rFonts w:ascii="Narkisim" w:hAnsi="Narkisim"/>
          <w:b/>
          <w:bCs/>
          <w:rtl/>
        </w:rPr>
        <w:t>ראשונים</w:t>
      </w:r>
      <w:r w:rsidRPr="007119D6">
        <w:rPr>
          <w:rFonts w:ascii="Narkisim" w:hAnsi="Narkisim"/>
          <w:rtl/>
        </w:rPr>
        <w:t xml:space="preserve"> (רמב"ן ועוד) דהגמ' (כתובות כז:) מסתפקת האם מהני מיגו בשבויה [ובגמ' משמע דהוה נידון מיגו במקום עדים, והראשונים גרסו מיגו במקום חזקה]. וה</w:t>
      </w:r>
      <w:r w:rsidRPr="007119D6">
        <w:rPr>
          <w:rFonts w:ascii="Narkisim" w:hAnsi="Narkisim"/>
          <w:b/>
          <w:bCs/>
          <w:rtl/>
        </w:rPr>
        <w:t>ריטב"א</w:t>
      </w:r>
      <w:r w:rsidRPr="007119D6">
        <w:rPr>
          <w:rFonts w:ascii="Narkisim" w:hAnsi="Narkisim"/>
          <w:rtl/>
        </w:rPr>
        <w:t xml:space="preserve"> הביא יש מתרצין דאין כל החזקות שוות, וחזקה דהתם קלישא. ועוד תי' דהכא איירי בחזקת אשת איש, אף דהקילו משום עיגונא, כל היכא דאיכא ריעותא וחזקה שלא להאמינה אינה נאמנת.</w:t>
      </w:r>
    </w:p>
    <w:p w14:paraId="517F4E98"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דחה דלא דמי דהתם ידעא וקאמרה, אבל הכא אמרי' בדדמי, ואף כל מילי דאית לה. ועוד דהכא בהכי ניח"ל משום בדדמי. ועד"ז דחו ה</w:t>
      </w:r>
      <w:r w:rsidRPr="007119D6">
        <w:rPr>
          <w:rFonts w:ascii="Narkisim" w:hAnsi="Narkisim"/>
          <w:b/>
          <w:bCs/>
          <w:rtl/>
        </w:rPr>
        <w:t>רשב"א</w:t>
      </w:r>
      <w:r w:rsidRPr="007119D6">
        <w:rPr>
          <w:rFonts w:ascii="Narkisim" w:hAnsi="Narkisim"/>
          <w:rtl/>
        </w:rPr>
        <w:t xml:space="preserve"> וה</w:t>
      </w:r>
      <w:r w:rsidRPr="007119D6">
        <w:rPr>
          <w:rFonts w:ascii="Narkisim" w:hAnsi="Narkisim"/>
          <w:b/>
          <w:bCs/>
          <w:rtl/>
        </w:rPr>
        <w:t>ריטב"א</w:t>
      </w:r>
      <w:r w:rsidRPr="007119D6">
        <w:rPr>
          <w:rFonts w:ascii="Narkisim" w:hAnsi="Narkisim"/>
          <w:rtl/>
        </w:rPr>
        <w:t xml:space="preserve"> (בהמשך דבריו) דהספק בסוגיין באופ”א.</w:t>
      </w:r>
    </w:p>
    <w:p w14:paraId="1BF6FF9A" w14:textId="77777777" w:rsidR="006C4368" w:rsidRPr="007119D6" w:rsidRDefault="006C4368" w:rsidP="006C4368">
      <w:pPr>
        <w:bidi/>
        <w:rPr>
          <w:rFonts w:ascii="Narkisim" w:hAnsi="Narkisim" w:cs="Narkisim"/>
        </w:rPr>
      </w:pPr>
      <w:r w:rsidRPr="007119D6">
        <w:rPr>
          <w:rFonts w:ascii="Narkisim" w:hAnsi="Narkisim" w:cs="Narkisim"/>
          <w:u w:val="single"/>
          <w:rtl/>
        </w:rPr>
        <w:t>שאני התם דאמר לה כי היכי דלדידך איתרחיש ניסא, לדידיה נמי איתרחיש ניסא</w:t>
      </w:r>
      <w:r w:rsidRPr="007119D6">
        <w:rPr>
          <w:rFonts w:ascii="Narkisim" w:hAnsi="Narkisim" w:cs="Narkisim"/>
          <w:rtl/>
        </w:rPr>
        <w:t>. ה</w:t>
      </w:r>
      <w:r w:rsidRPr="007119D6">
        <w:rPr>
          <w:rFonts w:ascii="Narkisim" w:hAnsi="Narkisim" w:cs="Narkisim"/>
          <w:b/>
          <w:bCs/>
          <w:rtl/>
        </w:rPr>
        <w:t>ריטב"א</w:t>
      </w:r>
      <w:r w:rsidRPr="007119D6">
        <w:rPr>
          <w:rFonts w:ascii="Narkisim" w:hAnsi="Narkisim" w:cs="Narkisim"/>
          <w:rtl/>
        </w:rPr>
        <w:t xml:space="preserve"> הק' דמ"מ היה לה מגו גמור דאי בעיא שתקה, ואפ"ה מבואר דחיישינן דאמרה בדדמי ולא סמכינן על מגו דידה ושפיר תפשוט בעיין.</w:t>
      </w:r>
    </w:p>
    <w:p w14:paraId="6DB87D60"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רש"י</w:t>
      </w:r>
      <w:r w:rsidRPr="007119D6">
        <w:rPr>
          <w:rFonts w:ascii="Narkisim" w:hAnsi="Narkisim"/>
          <w:rtl/>
        </w:rPr>
        <w:t xml:space="preserve"> פי' דה"ק דלא המתינה עד שתראהו מת. וה</w:t>
      </w:r>
      <w:r w:rsidRPr="007119D6">
        <w:rPr>
          <w:rFonts w:ascii="Narkisim" w:hAnsi="Narkisim"/>
          <w:b/>
          <w:bCs/>
          <w:rtl/>
        </w:rPr>
        <w:t>ריטב"א</w:t>
      </w:r>
      <w:r w:rsidRPr="007119D6">
        <w:rPr>
          <w:rFonts w:ascii="Narkisim" w:hAnsi="Narkisim"/>
          <w:rtl/>
        </w:rPr>
        <w:t xml:space="preserve"> ביאר דמתוך דבריה למדו דאומרת בדדמי</w:t>
      </w:r>
      <w:r w:rsidRPr="007119D6">
        <w:rPr>
          <w:rStyle w:val="ac"/>
          <w:rFonts w:ascii="Narkisim" w:hAnsi="Narkisim"/>
          <w:rtl/>
        </w:rPr>
        <w:footnoteReference w:id="7704"/>
      </w:r>
      <w:r w:rsidRPr="007119D6">
        <w:rPr>
          <w:rFonts w:ascii="Narkisim" w:hAnsi="Narkisim"/>
          <w:rtl/>
        </w:rPr>
        <w:t>. וכן ב</w:t>
      </w:r>
      <w:r w:rsidRPr="007119D6">
        <w:rPr>
          <w:rFonts w:ascii="Narkisim" w:hAnsi="Narkisim"/>
          <w:b/>
          <w:bCs/>
          <w:rtl/>
        </w:rPr>
        <w:t>תוס' חד מקמאי</w:t>
      </w:r>
      <w:r w:rsidRPr="007119D6">
        <w:rPr>
          <w:rFonts w:ascii="Narkisim" w:hAnsi="Narkisim"/>
          <w:rtl/>
        </w:rPr>
        <w:t xml:space="preserve"> פי' דמעיקרא קס"ד דאמרה הוא מת קודם שיצאתי. והגמ' דוחה דאמרה שהוא נשאר שם, ואי אפשר שלא מת [ואמרי' דאפשר דאיתרחש ניסא]. אבל אילו אמרה שמת קודם שיצאתי נאמנת במיגו [לצד דמהני מיגו].</w:t>
      </w:r>
    </w:p>
    <w:p w14:paraId="59AEC22F" w14:textId="77777777" w:rsidR="006C4368" w:rsidRPr="007119D6" w:rsidRDefault="006C4368" w:rsidP="006C4368">
      <w:pPr>
        <w:pStyle w:val="a7"/>
        <w:bidi/>
        <w:rPr>
          <w:rFonts w:ascii="Narkisim" w:hAnsi="Narkisim"/>
        </w:rPr>
      </w:pPr>
      <w:r w:rsidRPr="007119D6">
        <w:rPr>
          <w:rFonts w:ascii="Narkisim" w:hAnsi="Narkisim"/>
          <w:rtl/>
        </w:rPr>
        <w:t>ועוד כת' ה</w:t>
      </w:r>
      <w:r w:rsidRPr="007119D6">
        <w:rPr>
          <w:rFonts w:ascii="Narkisim" w:hAnsi="Narkisim"/>
          <w:b/>
          <w:bCs/>
          <w:rtl/>
        </w:rPr>
        <w:t>תוס' חד מקמאי</w:t>
      </w:r>
      <w:r w:rsidRPr="007119D6">
        <w:rPr>
          <w:rFonts w:ascii="Narkisim" w:hAnsi="Narkisim"/>
          <w:rtl/>
        </w:rPr>
        <w:t xml:space="preserve"> דאפשר דאף אי אמרה ששמרה סמוך לפתחי המערה וראה שלא ברח אמרי' דודאי משקרת, דבודאי עושה הכל להציל נפשה [ותתרחק, ולא תשמור פתחי המערה].</w:t>
      </w:r>
    </w:p>
    <w:p w14:paraId="205C7E16"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ריטב"א</w:t>
      </w:r>
      <w:r w:rsidRPr="007119D6">
        <w:rPr>
          <w:rFonts w:ascii="Narkisim" w:hAnsi="Narkisim" w:cs="Narkisim"/>
          <w:rtl/>
        </w:rPr>
        <w:t xml:space="preserve"> הביא ד</w:t>
      </w:r>
      <w:r w:rsidRPr="007119D6">
        <w:rPr>
          <w:rFonts w:ascii="Narkisim" w:hAnsi="Narkisim" w:cs="Narkisim"/>
          <w:b/>
          <w:bCs/>
          <w:rtl/>
        </w:rPr>
        <w:t>רבו</w:t>
      </w:r>
      <w:r w:rsidRPr="007119D6">
        <w:rPr>
          <w:rFonts w:ascii="Narkisim" w:hAnsi="Narkisim" w:cs="Narkisim"/>
          <w:rtl/>
        </w:rPr>
        <w:t xml:space="preserve"> פי' דשאני הכא דהנזק בא על שניהם לבדם. ודוקא כשטוענת בנזק שבא על הרבים ומתו רבים ומת עמהם שייך להימנה ודלא אמרה בדדמי. אבל כשטוענת נזק שבא על שניהם לבדם רגלים לדבר שלא להאמינה ודאמרה בדדמי כי למה תנצל היא יותר ממנו כיון שראוי לבא עליה הנזק כמו עליו. ועפ"ז כת' דת"ש דליסטים קאי כה"ג, ולא בא לפשוט עיקר הספק.</w:t>
      </w:r>
    </w:p>
    <w:p w14:paraId="175DD2E2" w14:textId="77777777" w:rsidR="006C4368" w:rsidRPr="007119D6" w:rsidRDefault="006C4368" w:rsidP="006C4368">
      <w:pPr>
        <w:pStyle w:val="aa"/>
        <w:bidi/>
        <w:rPr>
          <w:rFonts w:ascii="Narkisim" w:hAnsi="Narkisim"/>
        </w:rPr>
      </w:pPr>
      <w:r w:rsidRPr="007119D6">
        <w:rPr>
          <w:rFonts w:ascii="Narkisim" w:hAnsi="Narkisim"/>
          <w:u w:val="single"/>
          <w:rtl/>
        </w:rPr>
        <w:t>ת"ש נפלו עלינו עכו"ם וכו' ליסטים וכו' נאמנת, התם כדרב אידי</w:t>
      </w:r>
      <w:r w:rsidRPr="007119D6">
        <w:rPr>
          <w:rStyle w:val="ac"/>
          <w:rFonts w:ascii="Narkisim" w:hAnsi="Narkisim"/>
          <w:u w:val="single"/>
          <w:rtl/>
        </w:rPr>
        <w:footnoteReference w:id="7705"/>
      </w:r>
      <w:r w:rsidRPr="007119D6">
        <w:rPr>
          <w:rFonts w:ascii="Narkisim" w:hAnsi="Narkisim"/>
          <w:u w:val="single"/>
          <w:rtl/>
        </w:rPr>
        <w:t xml:space="preserve">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כלומר כיון דמלחמה קטנה היא, אינה יראה, ונטרה וחזיא ליה דמית. ולא אמרה בדדמי. וע"ע </w:t>
      </w:r>
      <w:r w:rsidRPr="007119D6">
        <w:rPr>
          <w:rFonts w:ascii="Narkisim" w:hAnsi="Narkisim"/>
          <w:b/>
          <w:bCs/>
          <w:rtl/>
        </w:rPr>
        <w:t>תוס'</w:t>
      </w:r>
      <w:r w:rsidRPr="007119D6">
        <w:rPr>
          <w:rFonts w:ascii="Narkisim" w:hAnsi="Narkisim"/>
          <w:rtl/>
        </w:rPr>
        <w:t xml:space="preserve"> (לעיל קיד: ד”ה זימנין).</w:t>
      </w:r>
    </w:p>
    <w:p w14:paraId="056FE71F" w14:textId="77777777" w:rsidR="006C4368" w:rsidRPr="007119D6" w:rsidRDefault="006C4368" w:rsidP="006C4368">
      <w:pPr>
        <w:pStyle w:val="a8"/>
        <w:bidi/>
        <w:rPr>
          <w:rFonts w:ascii="Narkisim" w:hAnsi="Narkisim"/>
        </w:rPr>
      </w:pPr>
      <w:r w:rsidRPr="007119D6">
        <w:rPr>
          <w:rFonts w:ascii="Narkisim" w:hAnsi="Narkisim"/>
          <w:rtl/>
        </w:rPr>
        <w:t>וב</w:t>
      </w:r>
      <w:r w:rsidRPr="007119D6">
        <w:rPr>
          <w:rFonts w:ascii="Narkisim" w:hAnsi="Narkisim"/>
          <w:b/>
          <w:bCs/>
          <w:rtl/>
        </w:rPr>
        <w:t>שו"ת הרשב"א</w:t>
      </w:r>
      <w:r w:rsidRPr="007119D6">
        <w:rPr>
          <w:rFonts w:ascii="Narkisim" w:hAnsi="Narkisim"/>
          <w:rtl/>
        </w:rPr>
        <w:t xml:space="preserve"> (ב לב הו' בפתח"ת יז קלח) כת' דאיירי באשתו, שאינה נפרדת ממנו כל שאינה יראה מן הלסטים. אבל איניש דעלמא מה לו להמתין לראות אם ימות אם יחיה, וחיישינן. [אלא דהרשב"א כת' דבעד א' לעולם אינו אומר בדדמי, וכדברי הרמב”ן ע' בסמוך].</w:t>
      </w:r>
    </w:p>
    <w:p w14:paraId="31023A86"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(יג ו והשו"ע יז נד) שאין דרכן להרוג הנשים, כדי שנאמר כשם שניצלה היא כך ניצל הוא. וה</w:t>
      </w:r>
      <w:r w:rsidRPr="007119D6">
        <w:rPr>
          <w:rFonts w:ascii="Narkisim" w:hAnsi="Narkisim"/>
          <w:b/>
          <w:bCs/>
          <w:rtl/>
        </w:rPr>
        <w:t>אחרונים</w:t>
      </w:r>
      <w:r w:rsidRPr="007119D6">
        <w:rPr>
          <w:rFonts w:ascii="Narkisim" w:hAnsi="Narkisim"/>
          <w:rtl/>
        </w:rPr>
        <w:t xml:space="preserve"> (קר"א) דייקו דהיה נידון משום סברא דכי היכי דלדידך איתרחש ניסא, והתי' דכיון דכלי זיין עליה לא הוה ניסא. [וביאר ע"פ דברי הרא"ה הנ"ל].</w:t>
      </w:r>
    </w:p>
    <w:p w14:paraId="3D8BEB3D" w14:textId="77777777" w:rsidR="006C4368" w:rsidRPr="007119D6" w:rsidRDefault="006C4368" w:rsidP="006C4368">
      <w:pPr>
        <w:pStyle w:val="aa"/>
        <w:bidi/>
        <w:rPr>
          <w:rFonts w:ascii="Narkisim" w:hAnsi="Narkisim"/>
        </w:rPr>
      </w:pPr>
      <w:r w:rsidRPr="007119D6">
        <w:rPr>
          <w:rFonts w:ascii="Narkisim" w:hAnsi="Narkisim"/>
          <w:u w:val="single"/>
          <w:rtl/>
        </w:rPr>
        <w:t>דא"ר אידי אשה כלי זיינא עליה</w:t>
      </w:r>
      <w:r w:rsidRPr="007119D6">
        <w:rPr>
          <w:rFonts w:ascii="Narkisim" w:hAnsi="Narkisim"/>
          <w:rtl/>
        </w:rPr>
        <w:t>. פ</w:t>
      </w:r>
      <w:r w:rsidRPr="007119D6">
        <w:rPr>
          <w:rFonts w:ascii="Narkisim" w:hAnsi="Narkisim"/>
          <w:b/>
          <w:bCs/>
          <w:rtl/>
        </w:rPr>
        <w:t>רש"י</w:t>
      </w:r>
      <w:r w:rsidRPr="007119D6">
        <w:rPr>
          <w:rFonts w:ascii="Narkisim" w:hAnsi="Narkisim"/>
          <w:rtl/>
        </w:rPr>
        <w:t xml:space="preserve"> (ע"ז כה:) דעכו"ם אינו הורגה, אלא בא עליה. ו</w:t>
      </w:r>
      <w:r w:rsidRPr="007119D6">
        <w:rPr>
          <w:rFonts w:ascii="Narkisim" w:hAnsi="Narkisim"/>
          <w:b/>
          <w:bCs/>
          <w:rtl/>
        </w:rPr>
        <w:t>תוס'</w:t>
      </w:r>
      <w:r w:rsidRPr="007119D6">
        <w:rPr>
          <w:rFonts w:ascii="Narkisim" w:hAnsi="Narkisim"/>
          <w:rtl/>
        </w:rPr>
        <w:t xml:space="preserve"> (שם) פי' דמרחמים עליה מפני שאינה בעלת מלחמות ומריבות כאיש</w:t>
      </w:r>
      <w:r w:rsidRPr="007119D6">
        <w:rPr>
          <w:rStyle w:val="ac"/>
          <w:rFonts w:ascii="Narkisim" w:hAnsi="Narkisim"/>
          <w:rtl/>
        </w:rPr>
        <w:footnoteReference w:id="7706"/>
      </w:r>
      <w:r w:rsidRPr="007119D6">
        <w:rPr>
          <w:rFonts w:ascii="Narkisim" w:hAnsi="Narkisim"/>
          <w:rtl/>
        </w:rPr>
        <w:t>.</w:t>
      </w:r>
    </w:p>
    <w:p w14:paraId="3BCC64B8" w14:textId="77777777" w:rsidR="006C4368" w:rsidRPr="007119D6" w:rsidRDefault="006C4368" w:rsidP="006C4368">
      <w:pPr>
        <w:pStyle w:val="2"/>
        <w:bidi/>
        <w:rPr>
          <w:rFonts w:ascii="Narkisim" w:hAnsi="Narkisim"/>
        </w:rPr>
      </w:pPr>
      <w:r w:rsidRPr="007119D6">
        <w:rPr>
          <w:rFonts w:ascii="Narkisim" w:hAnsi="Narkisim"/>
          <w:rtl/>
        </w:rPr>
        <w:t>גברא חרוכא ופסתא דידא</w:t>
      </w:r>
    </w:p>
    <w:p w14:paraId="2B40AD5A" w14:textId="77777777" w:rsidR="006C4368" w:rsidRPr="007119D6" w:rsidRDefault="006C4368" w:rsidP="006C4368">
      <w:pPr>
        <w:bidi/>
        <w:rPr>
          <w:rFonts w:ascii="Narkisim" w:hAnsi="Narkisim" w:cs="Narkisim"/>
        </w:rPr>
      </w:pPr>
      <w:r w:rsidRPr="007119D6">
        <w:rPr>
          <w:rFonts w:ascii="Narkisim" w:hAnsi="Narkisim" w:cs="Narkisim"/>
          <w:u w:val="single"/>
          <w:rtl/>
        </w:rPr>
        <w:t>ופסתא דידא דשדיא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מאיש אחר, הבא להצילו. ה</w:t>
      </w:r>
      <w:r w:rsidRPr="007119D6">
        <w:rPr>
          <w:rFonts w:ascii="Narkisim" w:hAnsi="Narkisim" w:cs="Narkisim"/>
          <w:b/>
          <w:bCs/>
          <w:rtl/>
        </w:rPr>
        <w:t>מאירי</w:t>
      </w:r>
      <w:r w:rsidRPr="007119D6">
        <w:rPr>
          <w:rFonts w:ascii="Narkisim" w:hAnsi="Narkisim" w:cs="Narkisim"/>
          <w:rtl/>
        </w:rPr>
        <w:t xml:space="preserve"> (הו' בסמוך) ביאר דהגוף </w:t>
      </w:r>
      <w:r w:rsidRPr="007119D6">
        <w:rPr>
          <w:rFonts w:ascii="Narkisim" w:hAnsi="Narkisim" w:cs="Narkisim"/>
          <w:rtl/>
        </w:rPr>
        <w:lastRenderedPageBreak/>
        <w:t>החרוך יש לו ב' ידים, וע"כ דהיד מאיש אחר</w:t>
      </w:r>
      <w:r w:rsidRPr="007119D6">
        <w:rPr>
          <w:rStyle w:val="ac"/>
          <w:rFonts w:ascii="Narkisim" w:hAnsi="Narkisim" w:cs="Narkisim"/>
          <w:rtl/>
        </w:rPr>
        <w:footnoteReference w:id="7707"/>
      </w:r>
      <w:r w:rsidRPr="007119D6">
        <w:rPr>
          <w:rFonts w:ascii="Narkisim" w:hAnsi="Narkisim" w:cs="Narkisim"/>
          <w:rtl/>
        </w:rPr>
        <w:t>. אבל ה</w:t>
      </w:r>
      <w:r w:rsidRPr="007119D6">
        <w:rPr>
          <w:rFonts w:ascii="Narkisim" w:hAnsi="Narkisim" w:cs="Narkisim"/>
          <w:b/>
          <w:bCs/>
          <w:rtl/>
        </w:rPr>
        <w:t>תוס' רא"ש</w:t>
      </w:r>
      <w:r w:rsidRPr="007119D6">
        <w:rPr>
          <w:rFonts w:ascii="Narkisim" w:hAnsi="Narkisim" w:cs="Narkisim"/>
          <w:rtl/>
        </w:rPr>
        <w:t xml:space="preserve"> כת' דכוונת רש"י דהיד לא היה של בעלה, דאי משלה בו האור כל כך עד שנפסקה ידו מחמת האש, אי אפשר לו לחיות</w:t>
      </w:r>
      <w:r w:rsidRPr="007119D6">
        <w:rPr>
          <w:rStyle w:val="ac"/>
          <w:rFonts w:ascii="Narkisim" w:hAnsi="Narkisim" w:cs="Narkisim"/>
          <w:rtl/>
        </w:rPr>
        <w:footnoteReference w:id="7708"/>
      </w:r>
      <w:r w:rsidRPr="007119D6">
        <w:rPr>
          <w:rFonts w:ascii="Narkisim" w:hAnsi="Narkisim" w:cs="Narkisim"/>
          <w:rtl/>
        </w:rPr>
        <w:t>. [ולפ"ז צ"ל דיתכן שהיד הוא של הגברא חרוכא</w:t>
      </w:r>
      <w:r w:rsidRPr="007119D6">
        <w:rPr>
          <w:rStyle w:val="ac"/>
          <w:rFonts w:ascii="Narkisim" w:hAnsi="Narkisim" w:cs="Narkisim"/>
          <w:rtl/>
        </w:rPr>
        <w:footnoteReference w:id="7709"/>
      </w:r>
      <w:r w:rsidRPr="007119D6">
        <w:rPr>
          <w:rFonts w:ascii="Narkisim" w:hAnsi="Narkisim" w:cs="Narkisim"/>
          <w:rtl/>
        </w:rPr>
        <w:t>, דאל”כ מוכח ששניהם מתו].</w:t>
      </w:r>
    </w:p>
    <w:p w14:paraId="6B472C9C"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ריטב"א</w:t>
      </w:r>
      <w:r w:rsidRPr="007119D6">
        <w:rPr>
          <w:rFonts w:ascii="Narkisim" w:hAnsi="Narkisim"/>
          <w:rtl/>
        </w:rPr>
        <w:t xml:space="preserve"> פי' דאיירי שהכירה יפה שהיד היה של בעלה</w:t>
      </w:r>
      <w:r w:rsidRPr="007119D6">
        <w:rPr>
          <w:rStyle w:val="ac"/>
          <w:rFonts w:ascii="Narkisim" w:hAnsi="Narkisim"/>
          <w:rtl/>
        </w:rPr>
        <w:footnoteReference w:id="7710"/>
      </w:r>
      <w:r w:rsidRPr="007119D6">
        <w:rPr>
          <w:rFonts w:ascii="Narkisim" w:hAnsi="Narkisim"/>
          <w:rtl/>
        </w:rPr>
        <w:t>. ומש"ה אמרו דהיה גברא אחרינא, ולא אמרו דפסתא דידה דאחרינא. [וע"כ הגברא חרוכא לא מצאו שיש לו ב' ידים]. וכ"כ ה</w:t>
      </w:r>
      <w:r w:rsidRPr="007119D6">
        <w:rPr>
          <w:rFonts w:ascii="Narkisim" w:hAnsi="Narkisim"/>
          <w:b/>
          <w:bCs/>
          <w:rtl/>
        </w:rPr>
        <w:t>תוס' רא"ש</w:t>
      </w:r>
      <w:r w:rsidRPr="007119D6">
        <w:rPr>
          <w:rFonts w:ascii="Narkisim" w:hAnsi="Narkisim"/>
          <w:rtl/>
        </w:rPr>
        <w:t xml:space="preserve"> בשם </w:t>
      </w:r>
      <w:r w:rsidRPr="007119D6">
        <w:rPr>
          <w:rFonts w:ascii="Narkisim" w:hAnsi="Narkisim"/>
          <w:b/>
          <w:bCs/>
          <w:rtl/>
        </w:rPr>
        <w:t>ריב"ן</w:t>
      </w:r>
      <w:r w:rsidRPr="007119D6">
        <w:rPr>
          <w:rFonts w:ascii="Narkisim" w:hAnsi="Narkisim"/>
          <w:rtl/>
        </w:rPr>
        <w:t xml:space="preserve"> דהיד היה מאותו האיש, והיינו מום שנתילד בה. וע"ע שו"ת הב"ח (נה) ובית הלוי (ג יד) במח' דסוגיין. וע"ע חזו"א שהאריך באופ"א.</w:t>
      </w:r>
    </w:p>
    <w:p w14:paraId="2487517D" w14:textId="77777777" w:rsidR="006C4368" w:rsidRPr="007119D6" w:rsidRDefault="006C4368" w:rsidP="006C4368">
      <w:pPr>
        <w:pStyle w:val="aa"/>
        <w:bidi/>
        <w:rPr>
          <w:rFonts w:ascii="Narkisim" w:hAnsi="Narkisim"/>
        </w:rPr>
      </w:pPr>
      <w:r w:rsidRPr="007119D6">
        <w:rPr>
          <w:rFonts w:ascii="Narkisim" w:hAnsi="Narkisim"/>
          <w:u w:val="single"/>
          <w:rtl/>
        </w:rPr>
        <w:t>אמר רבא וכו' חזו גבראי, ועוד גברא חרוכא דשדי וכו'</w:t>
      </w:r>
      <w:r w:rsidRPr="007119D6">
        <w:rPr>
          <w:rFonts w:ascii="Narkisim" w:hAnsi="Narkisim"/>
          <w:rtl/>
        </w:rPr>
        <w:t>. יל”ד אי הוה ב' טעמים, וכל טעם מהני לבד</w:t>
      </w:r>
      <w:r w:rsidRPr="007119D6">
        <w:rPr>
          <w:rStyle w:val="ac"/>
          <w:rFonts w:ascii="Narkisim" w:hAnsi="Narkisim"/>
          <w:rtl/>
        </w:rPr>
        <w:footnoteReference w:id="7711"/>
      </w:r>
      <w:r w:rsidRPr="007119D6">
        <w:rPr>
          <w:rFonts w:ascii="Narkisim" w:hAnsi="Narkisim"/>
          <w:rtl/>
        </w:rPr>
        <w:t>. ויל"פ דכשאומרת חזו גבראי נחשב עדות שראתה שהבעל מת, ועדיף מעשינו עלינו בית [שלא ראתה שמת]. ועוד דנמצא הגוף השרוף [ותולים שהוא בעלה, דכאן נמצא כאן היה]. או דחזו גבראי הוה בצירוף מה שנמצא גוף השרוף.</w:t>
      </w:r>
    </w:p>
    <w:p w14:paraId="764DE2C7" w14:textId="77777777" w:rsidR="006C4368" w:rsidRPr="007119D6" w:rsidRDefault="006C4368" w:rsidP="006C4368">
      <w:pPr>
        <w:bidi/>
        <w:rPr>
          <w:rFonts w:ascii="Narkisim" w:hAnsi="Narkisim" w:cs="Narkisim"/>
        </w:rPr>
      </w:pPr>
      <w:r w:rsidRPr="007119D6">
        <w:rPr>
          <w:rFonts w:ascii="Narkisim" w:hAnsi="Narkisim" w:cs="Narkisim"/>
          <w:u w:val="single"/>
          <w:rtl/>
        </w:rPr>
        <w:t>ורב חייא ב"א וכו' אימא איניש אחרינא אתא לאצולי ואכילתיה נורא וכו'</w:t>
      </w:r>
      <w:r w:rsidRPr="007119D6">
        <w:rPr>
          <w:rFonts w:ascii="Narkisim" w:hAnsi="Narkisim" w:cs="Narkisim"/>
          <w:rtl/>
        </w:rPr>
        <w:t>. ה</w:t>
      </w:r>
      <w:r w:rsidRPr="007119D6">
        <w:rPr>
          <w:rFonts w:ascii="Narkisim" w:hAnsi="Narkisim" w:cs="Narkisim"/>
          <w:b/>
          <w:bCs/>
          <w:rtl/>
        </w:rPr>
        <w:t>מאירי</w:t>
      </w:r>
      <w:r w:rsidRPr="007119D6">
        <w:rPr>
          <w:rFonts w:ascii="Narkisim" w:hAnsi="Narkisim" w:cs="Narkisim"/>
          <w:rtl/>
        </w:rPr>
        <w:t xml:space="preserve"> (בשם גאוני ספרד, וכן ר' ירוחם כג ג בשם ה</w:t>
      </w:r>
      <w:r w:rsidRPr="007119D6">
        <w:rPr>
          <w:rFonts w:ascii="Narkisim" w:hAnsi="Narkisim" w:cs="Narkisim"/>
          <w:b/>
          <w:bCs/>
          <w:rtl/>
        </w:rPr>
        <w:t>רמ"ה</w:t>
      </w:r>
      <w:r w:rsidRPr="007119D6">
        <w:rPr>
          <w:rFonts w:ascii="Narkisim" w:hAnsi="Narkisim" w:cs="Narkisim"/>
          <w:rtl/>
        </w:rPr>
        <w:t xml:space="preserve"> הו' בפוסקים) כת' דדוקא שראו החרוך שלם, ועוד פיסת יד של אדם אחר [וכפ</w:t>
      </w:r>
      <w:r w:rsidRPr="007119D6">
        <w:rPr>
          <w:rFonts w:ascii="Narkisim" w:hAnsi="Narkisim" w:cs="Narkisim"/>
          <w:b/>
          <w:bCs/>
          <w:rtl/>
        </w:rPr>
        <w:t>רש"י</w:t>
      </w:r>
      <w:r w:rsidRPr="007119D6">
        <w:rPr>
          <w:rFonts w:ascii="Narkisim" w:hAnsi="Narkisim" w:cs="Narkisim"/>
          <w:rtl/>
        </w:rPr>
        <w:t xml:space="preserve"> שהיה של אדם אחר]. דמוכח שהיה שם אדם אחר, ומש"ה יש לתלות דאותו פס יד הוא של הבעל</w:t>
      </w:r>
      <w:r w:rsidRPr="007119D6">
        <w:rPr>
          <w:rStyle w:val="ac"/>
          <w:rFonts w:ascii="Narkisim" w:hAnsi="Narkisim" w:cs="Narkisim"/>
          <w:rtl/>
        </w:rPr>
        <w:footnoteReference w:id="7712"/>
      </w:r>
      <w:r w:rsidRPr="007119D6">
        <w:rPr>
          <w:rFonts w:ascii="Narkisim" w:hAnsi="Narkisim" w:cs="Narkisim"/>
          <w:rtl/>
        </w:rPr>
        <w:t>.</w:t>
      </w:r>
    </w:p>
    <w:p w14:paraId="2501D93E" w14:textId="77777777" w:rsidR="006C4368" w:rsidRPr="007119D6" w:rsidRDefault="006C4368" w:rsidP="006C4368">
      <w:pPr>
        <w:pStyle w:val="a7"/>
        <w:bidi/>
        <w:rPr>
          <w:rFonts w:ascii="Narkisim" w:hAnsi="Narkisim"/>
        </w:rPr>
      </w:pPr>
      <w:r w:rsidRPr="007119D6">
        <w:rPr>
          <w:rFonts w:ascii="Narkisim" w:hAnsi="Narkisim"/>
          <w:rtl/>
        </w:rPr>
        <w:t>אבל כל שלא נמצא פס ידא אלא גברא חריכא, או שנמצא שם גברא חריכא וחסר פס ידא ונמצאת פס ידא סמוכה לו נאמנת. דאין שום דבר שמוכיח שהיה שם אדם אחר.</w:t>
      </w:r>
    </w:p>
    <w:p w14:paraId="52F7D732" w14:textId="77777777" w:rsidR="006C4368" w:rsidRPr="007119D6" w:rsidRDefault="006C4368" w:rsidP="006C4368">
      <w:pPr>
        <w:pStyle w:val="a7"/>
        <w:bidi/>
        <w:rPr>
          <w:rFonts w:ascii="Narkisim" w:hAnsi="Narkisim"/>
        </w:rPr>
      </w:pPr>
      <w:r w:rsidRPr="007119D6">
        <w:rPr>
          <w:rFonts w:ascii="Narkisim" w:hAnsi="Narkisim"/>
          <w:rtl/>
        </w:rPr>
        <w:t>אבל מדברי ה</w:t>
      </w:r>
      <w:r w:rsidRPr="007119D6">
        <w:rPr>
          <w:rFonts w:ascii="Narkisim" w:hAnsi="Narkisim"/>
          <w:b/>
          <w:bCs/>
          <w:rtl/>
        </w:rPr>
        <w:t>ריטב"א</w:t>
      </w:r>
      <w:r w:rsidRPr="007119D6">
        <w:rPr>
          <w:rFonts w:ascii="Narkisim" w:hAnsi="Narkisim"/>
          <w:rtl/>
        </w:rPr>
        <w:t xml:space="preserve"> (הנ"ל) מבואר דאף שיתכן שהיד והגברא חרוכא של בעלה, אפ"ה חיישינן שמא הוא אדם אחר</w:t>
      </w:r>
      <w:r w:rsidRPr="007119D6">
        <w:rPr>
          <w:rStyle w:val="ac"/>
          <w:rFonts w:ascii="Narkisim" w:hAnsi="Narkisim"/>
          <w:rtl/>
        </w:rPr>
        <w:footnoteReference w:id="7713"/>
      </w:r>
      <w:r w:rsidRPr="007119D6">
        <w:rPr>
          <w:rFonts w:ascii="Narkisim" w:hAnsi="Narkisim"/>
          <w:rtl/>
        </w:rPr>
        <w:t>.</w:t>
      </w:r>
    </w:p>
    <w:p w14:paraId="0907716F" w14:textId="77777777" w:rsidR="006C4368" w:rsidRPr="007119D6" w:rsidRDefault="006C4368" w:rsidP="006C4368">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רשב"א</w:t>
      </w:r>
      <w:r w:rsidRPr="007119D6">
        <w:rPr>
          <w:rFonts w:ascii="Narkisim" w:hAnsi="Narkisim"/>
          <w:rtl/>
        </w:rPr>
        <w:t xml:space="preserve"> כת' דלכאורה הלכה כרבא, דלשון הגמ' דסבר רב חייא בר אבין, משמע דהוה הו”א. אבל הביא דה</w:t>
      </w:r>
      <w:r w:rsidRPr="007119D6">
        <w:rPr>
          <w:rFonts w:ascii="Narkisim" w:hAnsi="Narkisim"/>
          <w:b/>
          <w:bCs/>
          <w:rtl/>
        </w:rPr>
        <w:t>רי"ף</w:t>
      </w:r>
      <w:r w:rsidRPr="007119D6">
        <w:rPr>
          <w:rFonts w:ascii="Narkisim" w:hAnsi="Narkisim"/>
          <w:rtl/>
        </w:rPr>
        <w:t xml:space="preserve"> פסק כרב חייא ב”א, שאף הוא השיב לדברי רבא. והרמב"ם השמיט לסוגיין.</w:t>
      </w:r>
    </w:p>
    <w:p w14:paraId="7D9761BF" w14:textId="77777777" w:rsidR="006C4368" w:rsidRPr="007119D6" w:rsidRDefault="006C4368" w:rsidP="006C4368">
      <w:pPr>
        <w:pStyle w:val="2"/>
        <w:bidi/>
        <w:rPr>
          <w:rFonts w:ascii="Narkisim" w:hAnsi="Narkisim"/>
        </w:rPr>
      </w:pPr>
      <w:r w:rsidRPr="007119D6">
        <w:rPr>
          <w:rFonts w:ascii="Narkisim" w:hAnsi="Narkisim"/>
          <w:rtl/>
        </w:rPr>
        <w:t>עד א' במלחמה</w:t>
      </w:r>
    </w:p>
    <w:p w14:paraId="338DE5F5" w14:textId="77777777" w:rsidR="006C4368" w:rsidRPr="007119D6" w:rsidRDefault="006C4368" w:rsidP="006C4368">
      <w:pPr>
        <w:bidi/>
        <w:rPr>
          <w:rFonts w:ascii="Narkisim" w:hAnsi="Narkisim" w:cs="Narkisim"/>
        </w:rPr>
      </w:pPr>
      <w:r w:rsidRPr="007119D6">
        <w:rPr>
          <w:rFonts w:ascii="Narkisim" w:hAnsi="Narkisim" w:cs="Narkisim"/>
          <w:u w:val="single"/>
          <w:rtl/>
        </w:rPr>
        <w:t>איבע”ל עד א' במלחמה וכו' או דילמא טעמא דעד א' משום דהיא גופא דייקא ומינסבא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דתרוייהו [האשה והעד</w:t>
      </w:r>
      <w:r w:rsidRPr="007119D6">
        <w:rPr>
          <w:rStyle w:val="ac"/>
          <w:rFonts w:ascii="Narkisim" w:hAnsi="Narkisim" w:cs="Narkisim"/>
          <w:rtl/>
        </w:rPr>
        <w:footnoteReference w:id="7714"/>
      </w:r>
      <w:r w:rsidRPr="007119D6">
        <w:rPr>
          <w:rFonts w:ascii="Narkisim" w:hAnsi="Narkisim" w:cs="Narkisim"/>
          <w:rtl/>
        </w:rPr>
        <w:t xml:space="preserve">] אמרי בדדמי. אבל </w:t>
      </w:r>
      <w:r w:rsidRPr="007119D6">
        <w:rPr>
          <w:rFonts w:ascii="Narkisim" w:hAnsi="Narkisim" w:cs="Narkisim"/>
          <w:b/>
          <w:bCs/>
          <w:rtl/>
        </w:rPr>
        <w:t>תוס</w:t>
      </w:r>
      <w:r w:rsidRPr="007119D6">
        <w:rPr>
          <w:rFonts w:ascii="Narkisim" w:hAnsi="Narkisim" w:cs="Narkisim"/>
          <w:rtl/>
        </w:rPr>
        <w:t>' (ד"ה טעמא) כת' דלא תלינן שהעד אומר בדדמי, דהוה מילתא דעבידא לאיגלויי. אלא דאמרי' דהאשה לא דייקא, והאשה תולה בדדמי שמת. [כיון דיש רגליים לדבר]</w:t>
      </w:r>
      <w:r w:rsidRPr="007119D6">
        <w:rPr>
          <w:rStyle w:val="ac"/>
          <w:rFonts w:ascii="Narkisim" w:hAnsi="Narkisim" w:cs="Narkisim"/>
          <w:rtl/>
        </w:rPr>
        <w:footnoteReference w:id="7715"/>
      </w:r>
      <w:r w:rsidRPr="007119D6">
        <w:rPr>
          <w:rFonts w:ascii="Narkisim" w:hAnsi="Narkisim" w:cs="Narkisim"/>
          <w:rtl/>
        </w:rPr>
        <w:t>.</w:t>
      </w:r>
    </w:p>
    <w:p w14:paraId="65BBAE5C"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דגבי אשה חיישינן בדדמי, כיון דדמי לה דודאי מת סברה לא תיעגן. אבל העד לא היה מעיד אא"כ ודאי ראה שמת.</w:t>
      </w:r>
    </w:p>
    <w:p w14:paraId="6C1CEEC3" w14:textId="77777777" w:rsidR="006C4368" w:rsidRPr="007119D6" w:rsidRDefault="006C4368" w:rsidP="006C4368">
      <w:pPr>
        <w:bidi/>
        <w:rPr>
          <w:rFonts w:ascii="Narkisim" w:hAnsi="Narkisim" w:cs="Narkisim"/>
        </w:rPr>
      </w:pPr>
      <w:r w:rsidRPr="007119D6">
        <w:rPr>
          <w:rFonts w:ascii="Narkisim" w:hAnsi="Narkisim" w:cs="Narkisim"/>
          <w:u w:val="single"/>
          <w:rtl/>
        </w:rPr>
        <w:t>שם. עד א' במלחמה</w:t>
      </w:r>
      <w:r w:rsidRPr="007119D6">
        <w:rPr>
          <w:rFonts w:ascii="Narkisim" w:hAnsi="Narkisim" w:cs="Narkisim"/>
          <w:rtl/>
        </w:rPr>
        <w:t>. ה</w:t>
      </w:r>
      <w:r w:rsidRPr="007119D6">
        <w:rPr>
          <w:rFonts w:ascii="Narkisim" w:hAnsi="Narkisim" w:cs="Narkisim"/>
          <w:b/>
          <w:bCs/>
          <w:rtl/>
        </w:rPr>
        <w:t>רי"ף</w:t>
      </w:r>
      <w:r w:rsidRPr="007119D6">
        <w:rPr>
          <w:rFonts w:ascii="Narkisim" w:hAnsi="Narkisim" w:cs="Narkisim"/>
          <w:rtl/>
        </w:rPr>
        <w:t xml:space="preserve"> כת' דדוקא היכא דאמר מת </w:t>
      </w:r>
      <w:r w:rsidRPr="007119D6">
        <w:rPr>
          <w:rFonts w:ascii="Narkisim" w:hAnsi="Narkisim" w:cs="Narkisim"/>
          <w:i/>
          <w:iCs/>
          <w:rtl/>
        </w:rPr>
        <w:t>וקברתיו.</w:t>
      </w:r>
      <w:r w:rsidRPr="007119D6">
        <w:rPr>
          <w:rFonts w:ascii="Narkisim" w:hAnsi="Narkisim" w:cs="Narkisim"/>
          <w:rtl/>
        </w:rPr>
        <w:t xml:space="preserve"> אבל אל"כ אפי' ב' עדים שאמרו שמת לא סמכינן עלייהו, דילמא מעיד אאומד דעתו. וכ"ש עד א' או אשה. וה</w:t>
      </w:r>
      <w:r w:rsidRPr="007119D6">
        <w:rPr>
          <w:rFonts w:ascii="Narkisim" w:hAnsi="Narkisim" w:cs="Narkisim"/>
          <w:b/>
          <w:bCs/>
          <w:rtl/>
        </w:rPr>
        <w:t>ראשונים</w:t>
      </w:r>
      <w:r w:rsidRPr="007119D6">
        <w:rPr>
          <w:rFonts w:ascii="Narkisim" w:hAnsi="Narkisim" w:cs="Narkisim"/>
          <w:rtl/>
        </w:rPr>
        <w:t xml:space="preserve"> פי' דברי הרי"ף</w:t>
      </w:r>
      <w:r w:rsidRPr="007119D6">
        <w:rPr>
          <w:rStyle w:val="ac"/>
          <w:rFonts w:ascii="Narkisim" w:hAnsi="Narkisim" w:cs="Narkisim"/>
          <w:rtl/>
        </w:rPr>
        <w:footnoteReference w:id="7716"/>
      </w:r>
      <w:r w:rsidRPr="007119D6">
        <w:rPr>
          <w:rFonts w:ascii="Narkisim" w:hAnsi="Narkisim" w:cs="Narkisim"/>
          <w:rtl/>
        </w:rPr>
        <w:t xml:space="preserve"> דספק הגמ' באומר קברתיו, ואף דאין חשש על העד שאומר בדדמי, חששו </w:t>
      </w:r>
      <w:r w:rsidRPr="007119D6">
        <w:rPr>
          <w:rFonts w:ascii="Narkisim" w:hAnsi="Narkisim" w:cs="Narkisim"/>
          <w:rtl/>
        </w:rPr>
        <w:lastRenderedPageBreak/>
        <w:t>שהאשה לא דייקא. אבל באופן דיש לחוש שהעד אומר בדדמי, אף ב' עדים חיישינן</w:t>
      </w:r>
      <w:r w:rsidRPr="007119D6">
        <w:rPr>
          <w:rStyle w:val="ac"/>
          <w:rFonts w:ascii="Narkisim" w:hAnsi="Narkisim" w:cs="Narkisim"/>
          <w:rtl/>
        </w:rPr>
        <w:footnoteReference w:id="7717"/>
      </w:r>
      <w:r w:rsidRPr="007119D6">
        <w:rPr>
          <w:rFonts w:ascii="Narkisim" w:hAnsi="Narkisim" w:cs="Narkisim"/>
          <w:rtl/>
        </w:rPr>
        <w:t>. אך לא הוה מחמת סוגיין</w:t>
      </w:r>
      <w:r w:rsidRPr="007119D6">
        <w:rPr>
          <w:rStyle w:val="ac"/>
          <w:rFonts w:ascii="Narkisim" w:hAnsi="Narkisim" w:cs="Narkisim"/>
          <w:rtl/>
        </w:rPr>
        <w:footnoteReference w:id="7718"/>
      </w:r>
      <w:r w:rsidRPr="007119D6">
        <w:rPr>
          <w:rFonts w:ascii="Narkisim" w:hAnsi="Narkisim" w:cs="Narkisim"/>
          <w:rtl/>
        </w:rPr>
        <w:t>.</w:t>
      </w:r>
    </w:p>
    <w:p w14:paraId="2D00ABE6"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חלק דאי אמר מת וקברתיו פשיטא דנאמן, דאף האשה עצמה נאמנת לומר קברתיו. [ועד"ז הק' ה</w:t>
      </w:r>
      <w:r w:rsidRPr="007119D6">
        <w:rPr>
          <w:rFonts w:ascii="Narkisim" w:hAnsi="Narkisim"/>
          <w:b/>
          <w:bCs/>
          <w:rtl/>
        </w:rPr>
        <w:t>רשב"א</w:t>
      </w:r>
      <w:r w:rsidRPr="007119D6">
        <w:rPr>
          <w:rFonts w:ascii="Narkisim" w:hAnsi="Narkisim"/>
          <w:rtl/>
        </w:rPr>
        <w:t xml:space="preserve"> דלעולם עד א' נאמן טפי ממנה</w:t>
      </w:r>
      <w:r w:rsidRPr="007119D6">
        <w:rPr>
          <w:rStyle w:val="ac"/>
          <w:rFonts w:ascii="Narkisim" w:hAnsi="Narkisim"/>
          <w:rtl/>
        </w:rPr>
        <w:footnoteReference w:id="7719"/>
      </w:r>
      <w:r w:rsidRPr="007119D6">
        <w:rPr>
          <w:rFonts w:ascii="Narkisim" w:hAnsi="Narkisim"/>
          <w:rtl/>
        </w:rPr>
        <w:t>, והיא נאמנת במת וקברתיו].</w:t>
      </w:r>
    </w:p>
    <w:p w14:paraId="0DCF502E"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כת' דהספק היכא דלא אמר קברתיו [ע”ע בסוף העמ']. אבל היכא דהעד אמר קברתיו ודאי נשאת.</w:t>
      </w:r>
    </w:p>
    <w:p w14:paraId="65439BF9"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הוסיף דב' עדים פשיטא דנאמנים בכל ענין. ובב' עדים לא תלינן בדדמי. וכן ה</w:t>
      </w:r>
      <w:r w:rsidRPr="007119D6">
        <w:rPr>
          <w:rFonts w:ascii="Narkisim" w:hAnsi="Narkisim"/>
          <w:b/>
          <w:bCs/>
          <w:rtl/>
        </w:rPr>
        <w:t>רא"ש</w:t>
      </w:r>
      <w:r w:rsidRPr="007119D6">
        <w:rPr>
          <w:rFonts w:ascii="Narkisim" w:hAnsi="Narkisim"/>
          <w:rtl/>
        </w:rPr>
        <w:t xml:space="preserve"> ו</w:t>
      </w:r>
      <w:r w:rsidRPr="007119D6">
        <w:rPr>
          <w:rFonts w:ascii="Narkisim" w:hAnsi="Narkisim"/>
          <w:b/>
          <w:bCs/>
          <w:rtl/>
        </w:rPr>
        <w:t>שאר ראשונים</w:t>
      </w:r>
      <w:r w:rsidRPr="007119D6">
        <w:rPr>
          <w:rFonts w:ascii="Narkisim" w:hAnsi="Narkisim"/>
          <w:rtl/>
        </w:rPr>
        <w:t xml:space="preserve"> חלקו על הרי"ף דלא דייקינן בתר סהדותא דב' עדים</w:t>
      </w:r>
      <w:r w:rsidRPr="007119D6">
        <w:rPr>
          <w:rStyle w:val="ac"/>
          <w:rFonts w:ascii="Narkisim" w:hAnsi="Narkisim"/>
          <w:rtl/>
        </w:rPr>
        <w:footnoteReference w:id="7720"/>
      </w:r>
      <w:r w:rsidRPr="007119D6">
        <w:rPr>
          <w:rFonts w:ascii="Narkisim" w:hAnsi="Narkisim"/>
          <w:rtl/>
        </w:rPr>
        <w:t>. [והמלחמות ביאר סברת הרי”ף משום דרישות וחקירות</w:t>
      </w:r>
      <w:r w:rsidRPr="007119D6">
        <w:rPr>
          <w:rStyle w:val="ac"/>
          <w:rFonts w:ascii="Narkisim" w:hAnsi="Narkisim"/>
          <w:rtl/>
        </w:rPr>
        <w:footnoteReference w:id="7721"/>
      </w:r>
      <w:r w:rsidRPr="007119D6">
        <w:rPr>
          <w:rFonts w:ascii="Narkisim" w:hAnsi="Narkisim"/>
          <w:rtl/>
        </w:rPr>
        <w:t>, ואפי' מ”ד (לקמן קכב:) דאין בודקין עדות אשה בדרישות וחקירות, במידי דשכיחי חיישינן</w:t>
      </w:r>
      <w:r w:rsidRPr="007119D6">
        <w:rPr>
          <w:rStyle w:val="ac"/>
          <w:rFonts w:ascii="Narkisim" w:hAnsi="Narkisim"/>
          <w:rtl/>
        </w:rPr>
        <w:footnoteReference w:id="7722"/>
      </w:r>
      <w:r w:rsidRPr="007119D6">
        <w:rPr>
          <w:rFonts w:ascii="Narkisim" w:hAnsi="Narkisim"/>
          <w:rtl/>
        </w:rPr>
        <w:t>].</w:t>
      </w:r>
    </w:p>
    <w:p w14:paraId="6DC38030"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(בחי' ומלחמות) ו</w:t>
      </w:r>
      <w:r w:rsidRPr="007119D6">
        <w:rPr>
          <w:rFonts w:ascii="Narkisim" w:hAnsi="Narkisim"/>
          <w:b/>
          <w:bCs/>
          <w:rtl/>
        </w:rPr>
        <w:t>רשב"א</w:t>
      </w:r>
      <w:r w:rsidRPr="007119D6">
        <w:rPr>
          <w:rFonts w:ascii="Narkisim" w:hAnsi="Narkisim"/>
          <w:rtl/>
        </w:rPr>
        <w:t xml:space="preserve"> כת' דהספק של הגמ' איירי בין היכא שהעד אומר מת וקברתיו או שאינו אומר קברתיו. דהנידון משום שהאשה לא דייקא</w:t>
      </w:r>
      <w:r w:rsidRPr="007119D6">
        <w:rPr>
          <w:rStyle w:val="ac"/>
          <w:rFonts w:ascii="Narkisim" w:hAnsi="Narkisim"/>
          <w:rtl/>
        </w:rPr>
        <w:footnoteReference w:id="7723"/>
      </w:r>
      <w:r w:rsidRPr="007119D6">
        <w:rPr>
          <w:rFonts w:ascii="Narkisim" w:hAnsi="Narkisim"/>
          <w:rtl/>
        </w:rPr>
        <w:t>, ולא משום נאמנות העד [וכמ”ש תוס']. ולא מהני בזה דהעד מדייק.</w:t>
      </w:r>
    </w:p>
    <w:p w14:paraId="00199E63"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רמב"ם</w:t>
      </w:r>
      <w:r w:rsidRPr="007119D6">
        <w:rPr>
          <w:rFonts w:ascii="Narkisim" w:hAnsi="Narkisim" w:cs="Narkisim"/>
          <w:rtl/>
        </w:rPr>
        <w:t xml:space="preserve"> (יג יט) כת' דעד א' במלחמה ואמר קברתיו נאמן. אבל היכא דלא אמר קברתיו לא תנשא, ואם נשאת לא תצא. וה</w:t>
      </w:r>
      <w:r w:rsidRPr="007119D6">
        <w:rPr>
          <w:rFonts w:ascii="Narkisim" w:hAnsi="Narkisim" w:cs="Narkisim"/>
          <w:b/>
          <w:bCs/>
          <w:rtl/>
        </w:rPr>
        <w:t>מפרשים</w:t>
      </w:r>
      <w:r w:rsidRPr="007119D6">
        <w:rPr>
          <w:rFonts w:ascii="Narkisim" w:hAnsi="Narkisim" w:cs="Narkisim"/>
          <w:rtl/>
        </w:rPr>
        <w:t xml:space="preserve"> דנו האם כוונת הרמב”ם דהספק בקברתיו [ונפשט שעד א' נאמן]. או דהספק בלא קברתיו [ולא נפשט], אבל היכא דהעד אומר קברתיו פשיטא דנאמן</w:t>
      </w:r>
      <w:r w:rsidRPr="007119D6">
        <w:rPr>
          <w:rStyle w:val="ac"/>
          <w:rFonts w:ascii="Narkisim" w:hAnsi="Narkisim" w:cs="Narkisim"/>
          <w:rtl/>
        </w:rPr>
        <w:footnoteReference w:id="7724"/>
      </w:r>
      <w:r w:rsidRPr="007119D6">
        <w:rPr>
          <w:rFonts w:ascii="Narkisim" w:hAnsi="Narkisim" w:cs="Narkisim"/>
          <w:rtl/>
        </w:rPr>
        <w:t>. או דהספק בתרוייהו, ואיפשיט דמהני עכ”פ כשאומר קברתיו</w:t>
      </w:r>
      <w:r w:rsidRPr="007119D6">
        <w:rPr>
          <w:rStyle w:val="ac"/>
          <w:rFonts w:ascii="Narkisim" w:hAnsi="Narkisim" w:cs="Narkisim"/>
          <w:rtl/>
        </w:rPr>
        <w:footnoteReference w:id="7725"/>
      </w:r>
      <w:r w:rsidRPr="007119D6">
        <w:rPr>
          <w:rFonts w:ascii="Narkisim" w:hAnsi="Narkisim" w:cs="Narkisim"/>
          <w:rtl/>
        </w:rPr>
        <w:t>.</w:t>
      </w:r>
    </w:p>
    <w:p w14:paraId="71DDF3A2" w14:textId="77777777" w:rsidR="006C4368" w:rsidRPr="007119D6" w:rsidRDefault="006C4368" w:rsidP="006C4368">
      <w:pPr>
        <w:bidi/>
        <w:rPr>
          <w:rFonts w:ascii="Narkisim" w:hAnsi="Narkisim" w:cs="Narkisim"/>
        </w:rPr>
      </w:pPr>
      <w:r w:rsidRPr="007119D6">
        <w:rPr>
          <w:rFonts w:ascii="Narkisim" w:hAnsi="Narkisim" w:cs="Narkisim"/>
          <w:u w:val="single"/>
          <w:rtl/>
        </w:rPr>
        <w:t>שם. טעמא דעד א' מהימן משום מילתא דעבידא לאיגלויי לא משקר וכו'</w:t>
      </w:r>
      <w:r w:rsidRPr="007119D6">
        <w:rPr>
          <w:rFonts w:ascii="Narkisim" w:hAnsi="Narkisim" w:cs="Narkisim"/>
          <w:rtl/>
        </w:rPr>
        <w:t>. ב</w:t>
      </w:r>
      <w:r w:rsidRPr="007119D6">
        <w:rPr>
          <w:rFonts w:ascii="Narkisim" w:hAnsi="Narkisim" w:cs="Narkisim"/>
          <w:b/>
          <w:bCs/>
          <w:rtl/>
        </w:rPr>
        <w:t>פסקי הרי"ד</w:t>
      </w:r>
      <w:r w:rsidRPr="007119D6">
        <w:rPr>
          <w:rFonts w:ascii="Narkisim" w:hAnsi="Narkisim" w:cs="Narkisim"/>
          <w:rtl/>
        </w:rPr>
        <w:t xml:space="preserve"> פי' דאי משום מילתא דעבידא לאיגלויי לא משקר, א"כ העד נאמן כשנים, וכי היכי דבעדות שלימה לא אמרינן דאמרי דבדדמי</w:t>
      </w:r>
      <w:r w:rsidRPr="007119D6">
        <w:rPr>
          <w:rStyle w:val="ac"/>
          <w:rFonts w:ascii="Narkisim" w:hAnsi="Narkisim" w:cs="Narkisim"/>
          <w:rtl/>
        </w:rPr>
        <w:footnoteReference w:id="7726"/>
      </w:r>
      <w:r w:rsidRPr="007119D6">
        <w:rPr>
          <w:rFonts w:ascii="Narkisim" w:hAnsi="Narkisim" w:cs="Narkisim"/>
          <w:rtl/>
        </w:rPr>
        <w:t>, ה"נ בעד אחד. דעד א' בעדות אשה כשנים דמי</w:t>
      </w:r>
      <w:r w:rsidRPr="007119D6">
        <w:rPr>
          <w:rStyle w:val="ac"/>
          <w:rFonts w:ascii="Narkisim" w:hAnsi="Narkisim" w:cs="Narkisim"/>
          <w:rtl/>
        </w:rPr>
        <w:footnoteReference w:id="7727"/>
      </w:r>
      <w:r w:rsidRPr="007119D6">
        <w:rPr>
          <w:rFonts w:ascii="Narkisim" w:hAnsi="Narkisim" w:cs="Narkisim"/>
          <w:rtl/>
        </w:rPr>
        <w:t>. או דילמא ל"מ עד א' אלא משום דהאשה דייקא.</w:t>
      </w:r>
    </w:p>
    <w:p w14:paraId="6AD88C7B" w14:textId="77777777" w:rsidR="006C4368" w:rsidRPr="007119D6" w:rsidRDefault="006C4368" w:rsidP="006C4368">
      <w:pPr>
        <w:pStyle w:val="aa"/>
        <w:bidi/>
        <w:rPr>
          <w:rFonts w:ascii="Narkisim" w:hAnsi="Narkisim"/>
        </w:rPr>
      </w:pPr>
      <w:r w:rsidRPr="007119D6">
        <w:rPr>
          <w:rFonts w:ascii="Narkisim" w:hAnsi="Narkisim"/>
          <w:u w:val="single"/>
          <w:rtl/>
        </w:rPr>
        <w:t>שם. טעמא דעד א' וכו' מילתא דעבידא לאיגלויי וכו' או דילמא וכו' דהיא גופא דייקא ומינסבא</w:t>
      </w:r>
      <w:r w:rsidRPr="007119D6">
        <w:rPr>
          <w:rFonts w:ascii="Narkisim" w:hAnsi="Narkisim"/>
          <w:rtl/>
        </w:rPr>
        <w:t>. [ולא בעינן דהאשה דייקא ומינסבא]. ועד"ז הגמ' (לעיל צג:) מסתפקת בעד א' ביבמה. וכן הגמ' (לקמן קטז:) בעד א' בקטטה. ו</w:t>
      </w:r>
      <w:r w:rsidRPr="007119D6">
        <w:rPr>
          <w:rFonts w:ascii="Narkisim" w:hAnsi="Narkisim"/>
          <w:b/>
          <w:bCs/>
          <w:rtl/>
        </w:rPr>
        <w:t>תוס</w:t>
      </w:r>
      <w:r w:rsidRPr="007119D6">
        <w:rPr>
          <w:rFonts w:ascii="Narkisim" w:hAnsi="Narkisim"/>
          <w:rtl/>
        </w:rPr>
        <w:t>' (לעיל צג:) ביארו דודאי בעינן ב' טעמים, דעבידא לאיגלויי וכן דדייקא ומינסבא. והספק בגמ' איזה טעם עיקר, האם מהני אף היכא דיש דייקא זוטא.</w:t>
      </w:r>
    </w:p>
    <w:p w14:paraId="10923143" w14:textId="77777777" w:rsidR="006C4368" w:rsidRPr="007119D6" w:rsidRDefault="006C4368" w:rsidP="006C4368">
      <w:pPr>
        <w:pStyle w:val="a8"/>
        <w:bidi/>
        <w:rPr>
          <w:rFonts w:ascii="Narkisim" w:hAnsi="Narkisim"/>
        </w:rPr>
      </w:pPr>
      <w:r w:rsidRPr="007119D6">
        <w:rPr>
          <w:rFonts w:ascii="Narkisim" w:hAnsi="Narkisim"/>
          <w:rtl/>
        </w:rPr>
        <w:lastRenderedPageBreak/>
        <w:t>אבל ה</w:t>
      </w:r>
      <w:r w:rsidRPr="007119D6">
        <w:rPr>
          <w:rFonts w:ascii="Narkisim" w:hAnsi="Narkisim"/>
          <w:b/>
          <w:bCs/>
          <w:rtl/>
        </w:rPr>
        <w:t>גר"א</w:t>
      </w:r>
      <w:r w:rsidRPr="007119D6">
        <w:rPr>
          <w:rFonts w:ascii="Narkisim" w:hAnsi="Narkisim"/>
          <w:rtl/>
        </w:rPr>
        <w:t xml:space="preserve"> (יז קז וכ"מ) נקט דלדעת הרמב"ם איפשט דעד א' נאמן משום מילתא דעבידא לאיגלויי לחוד</w:t>
      </w:r>
      <w:r w:rsidRPr="007119D6">
        <w:rPr>
          <w:rStyle w:val="ac"/>
          <w:rFonts w:ascii="Narkisim" w:hAnsi="Narkisim"/>
          <w:rtl/>
        </w:rPr>
        <w:footnoteReference w:id="7728"/>
      </w:r>
      <w:r w:rsidRPr="007119D6">
        <w:rPr>
          <w:rFonts w:ascii="Narkisim" w:hAnsi="Narkisim"/>
          <w:rtl/>
        </w:rPr>
        <w:t>. [ולא בעינן דייקא דידה]. [וע"ע לקמן קטז:].</w:t>
      </w:r>
    </w:p>
    <w:p w14:paraId="5378A471" w14:textId="77777777" w:rsidR="006C4368" w:rsidRPr="007119D6" w:rsidRDefault="006C4368" w:rsidP="006C4368">
      <w:pPr>
        <w:pStyle w:val="aa"/>
        <w:bidi/>
        <w:rPr>
          <w:rFonts w:ascii="Narkisim" w:hAnsi="Narkisim"/>
        </w:rPr>
      </w:pPr>
      <w:r w:rsidRPr="007119D6">
        <w:rPr>
          <w:rFonts w:ascii="Narkisim" w:hAnsi="Narkisim"/>
          <w:u w:val="single"/>
          <w:rtl/>
        </w:rPr>
        <w:t>והכא [זימנין דסניא ליה] לא דייקא</w:t>
      </w:r>
      <w:r w:rsidRPr="007119D6">
        <w:rPr>
          <w:rFonts w:ascii="Narkisim" w:hAnsi="Narkisim"/>
          <w:rtl/>
        </w:rPr>
        <w:t>. ה</w:t>
      </w:r>
      <w:r w:rsidRPr="007119D6">
        <w:rPr>
          <w:rFonts w:ascii="Narkisim" w:hAnsi="Narkisim"/>
          <w:b/>
          <w:bCs/>
          <w:rtl/>
        </w:rPr>
        <w:t>רשב"א</w:t>
      </w:r>
      <w:r w:rsidRPr="007119D6">
        <w:rPr>
          <w:rFonts w:ascii="Narkisim" w:hAnsi="Narkisim"/>
          <w:rtl/>
        </w:rPr>
        <w:t xml:space="preserve"> הביא דכ"ה גירסת הספרים, והרשב"א הק' אמאי ניחוש לשנאה, כל היכא דליכא קטטה ממש (כדלקמן קטז:). וה"נ לולי מלחמה מותרת לינשא, ולא חיישינן דסניא ליה. ומדברי ה</w:t>
      </w:r>
      <w:r w:rsidRPr="007119D6">
        <w:rPr>
          <w:rFonts w:ascii="Narkisim" w:hAnsi="Narkisim"/>
          <w:b/>
          <w:bCs/>
          <w:rtl/>
        </w:rPr>
        <w:t>מלחמות</w:t>
      </w:r>
      <w:r w:rsidRPr="007119D6">
        <w:rPr>
          <w:rFonts w:ascii="Narkisim" w:hAnsi="Narkisim"/>
          <w:rtl/>
        </w:rPr>
        <w:t xml:space="preserve"> מבואר דפי' דכוונת הגמ' דסניא ליה קצת, ומש"ה סומכת בדדמי</w:t>
      </w:r>
      <w:r w:rsidRPr="007119D6">
        <w:rPr>
          <w:rStyle w:val="ac"/>
          <w:rFonts w:ascii="Narkisim" w:hAnsi="Narkisim"/>
          <w:rtl/>
        </w:rPr>
        <w:footnoteReference w:id="7729"/>
      </w:r>
      <w:r w:rsidRPr="007119D6">
        <w:rPr>
          <w:rFonts w:ascii="Narkisim" w:hAnsi="Narkisim"/>
          <w:rtl/>
        </w:rPr>
        <w:t>. אף שאינה שונאת אותו כל כך, ולא תנשא היכא דליכא בדדמי. והרשב"א חלק דאינו מחוור.</w:t>
      </w:r>
    </w:p>
    <w:p w14:paraId="5649595E"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הביא ד</w:t>
      </w:r>
      <w:r w:rsidRPr="007119D6">
        <w:rPr>
          <w:rFonts w:ascii="Narkisim" w:hAnsi="Narkisim"/>
          <w:b/>
          <w:bCs/>
          <w:rtl/>
        </w:rPr>
        <w:t>רש"י</w:t>
      </w:r>
      <w:r w:rsidRPr="007119D6">
        <w:rPr>
          <w:rFonts w:ascii="Narkisim" w:hAnsi="Narkisim"/>
          <w:rtl/>
        </w:rPr>
        <w:t xml:space="preserve"> ל"ג דזימנין דסניא ליה. וכן ה</w:t>
      </w:r>
      <w:r w:rsidRPr="007119D6">
        <w:rPr>
          <w:rFonts w:ascii="Narkisim" w:hAnsi="Narkisim"/>
          <w:b/>
          <w:bCs/>
          <w:rtl/>
        </w:rPr>
        <w:t>מהרש”ל</w:t>
      </w:r>
      <w:r w:rsidRPr="007119D6">
        <w:rPr>
          <w:rFonts w:ascii="Narkisim" w:hAnsi="Narkisim"/>
          <w:rtl/>
        </w:rPr>
        <w:t xml:space="preserve"> וה</w:t>
      </w:r>
      <w:r w:rsidRPr="007119D6">
        <w:rPr>
          <w:rFonts w:ascii="Narkisim" w:hAnsi="Narkisim"/>
          <w:b/>
          <w:bCs/>
          <w:rtl/>
        </w:rPr>
        <w:t>גר”א</w:t>
      </w:r>
      <w:r w:rsidRPr="007119D6">
        <w:rPr>
          <w:rFonts w:ascii="Narkisim" w:hAnsi="Narkisim"/>
          <w:rtl/>
        </w:rPr>
        <w:t xml:space="preserve"> מחקו</w:t>
      </w:r>
      <w:r w:rsidRPr="007119D6">
        <w:rPr>
          <w:rStyle w:val="ac"/>
          <w:rFonts w:ascii="Narkisim" w:hAnsi="Narkisim"/>
          <w:rtl/>
        </w:rPr>
        <w:footnoteReference w:id="7730"/>
      </w:r>
      <w:r w:rsidRPr="007119D6">
        <w:rPr>
          <w:rFonts w:ascii="Narkisim" w:hAnsi="Narkisim"/>
          <w:rtl/>
        </w:rPr>
        <w:t>.</w:t>
      </w:r>
    </w:p>
    <w:p w14:paraId="56F64E94" w14:textId="77777777" w:rsidR="006C4368" w:rsidRPr="007119D6" w:rsidRDefault="006C4368" w:rsidP="006C4368">
      <w:pPr>
        <w:pStyle w:val="a8"/>
        <w:bidi/>
        <w:rPr>
          <w:rFonts w:ascii="Narkisim" w:hAnsi="Narkisim"/>
        </w:rPr>
      </w:pPr>
      <w:r w:rsidRPr="007119D6">
        <w:rPr>
          <w:rFonts w:ascii="Narkisim" w:hAnsi="Narkisim"/>
          <w:rtl/>
        </w:rPr>
        <w:t>וב</w:t>
      </w:r>
      <w:r w:rsidRPr="007119D6">
        <w:rPr>
          <w:rFonts w:ascii="Narkisim" w:hAnsi="Narkisim"/>
          <w:b/>
          <w:bCs/>
          <w:rtl/>
        </w:rPr>
        <w:t>תוס' חד מקמאי</w:t>
      </w:r>
      <w:r w:rsidRPr="007119D6">
        <w:rPr>
          <w:rFonts w:ascii="Narkisim" w:hAnsi="Narkisim"/>
          <w:rtl/>
        </w:rPr>
        <w:t xml:space="preserve"> גרס הכא כיון דאמרה בדדמי לא אמרי' דדייקא ומינסבא. ועד"ז גרס ה</w:t>
      </w:r>
      <w:r w:rsidRPr="007119D6">
        <w:rPr>
          <w:rFonts w:ascii="Narkisim" w:hAnsi="Narkisim"/>
          <w:b/>
          <w:bCs/>
          <w:rtl/>
        </w:rPr>
        <w:t>מהרש"ל</w:t>
      </w:r>
      <w:r w:rsidRPr="007119D6">
        <w:rPr>
          <w:rFonts w:ascii="Narkisim" w:hAnsi="Narkisim"/>
          <w:rtl/>
        </w:rPr>
        <w:t>.</w:t>
      </w:r>
    </w:p>
    <w:p w14:paraId="42315F07"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הגמ' מביאה ממעשה דב' ת"ח, דהיכא דטבע ואשה או עד א' מעידים עליהם, דתלי בספק הגמ' דכיון דטבע לא דייקא ומינסבא. והגמ' דוחה דהמעשה (לקמן) היה באופן אחר, ובעיין לא איפשיטא. ודעת </w:t>
      </w:r>
      <w:r w:rsidRPr="007119D6">
        <w:rPr>
          <w:rFonts w:ascii="Narkisim" w:hAnsi="Narkisim" w:cs="Narkisim"/>
          <w:b/>
          <w:bCs/>
          <w:rtl/>
        </w:rPr>
        <w:t>ר"ח</w:t>
      </w:r>
      <w:r w:rsidRPr="007119D6">
        <w:rPr>
          <w:rFonts w:ascii="Narkisim" w:hAnsi="Narkisim" w:cs="Narkisim"/>
          <w:rtl/>
        </w:rPr>
        <w:t xml:space="preserve"> (הו' בתוס' בע"ב ד"ה וקאמרי ושא”ר) דהוה ספק אי מהני עד א'. ולא איפשיטא</w:t>
      </w:r>
      <w:r w:rsidRPr="007119D6">
        <w:rPr>
          <w:rStyle w:val="ac"/>
          <w:rFonts w:ascii="Narkisim" w:hAnsi="Narkisim" w:cs="Narkisim"/>
          <w:rtl/>
        </w:rPr>
        <w:footnoteReference w:id="7731"/>
      </w:r>
      <w:r w:rsidRPr="007119D6">
        <w:rPr>
          <w:rFonts w:ascii="Narkisim" w:hAnsi="Narkisim" w:cs="Narkisim"/>
          <w:rtl/>
        </w:rPr>
        <w:t>.</w:t>
      </w:r>
    </w:p>
    <w:p w14:paraId="7B177285"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רי"ף</w:t>
      </w:r>
      <w:r w:rsidRPr="007119D6">
        <w:rPr>
          <w:rFonts w:ascii="Narkisim" w:hAnsi="Narkisim"/>
          <w:rtl/>
        </w:rPr>
        <w:t xml:space="preserve"> כת' ומיהו יש לפשוט הספק מהגמ' (לקמן קכא.) דטבע בדיגלת, והתירו ע"פ שושבינא. ומבואר דמהני עד א'</w:t>
      </w:r>
      <w:r w:rsidRPr="007119D6">
        <w:rPr>
          <w:rStyle w:val="ac"/>
          <w:rFonts w:ascii="Narkisim" w:hAnsi="Narkisim"/>
          <w:rtl/>
        </w:rPr>
        <w:footnoteReference w:id="7732"/>
      </w:r>
      <w:r w:rsidRPr="007119D6">
        <w:rPr>
          <w:rFonts w:ascii="Narkisim" w:hAnsi="Narkisim"/>
          <w:rtl/>
        </w:rPr>
        <w:t>.</w:t>
      </w:r>
    </w:p>
    <w:p w14:paraId="4D91567F"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(בחי' ומלחמות) הביא דבגמ' (לקמן קכא:) מבואר גבי חסא דעד א' נאמן שטבע. [ואילו היה מים שיש להן סוף היו מתירין אותה</w:t>
      </w:r>
      <w:r w:rsidRPr="007119D6">
        <w:rPr>
          <w:rStyle w:val="ac"/>
          <w:rFonts w:ascii="Narkisim" w:hAnsi="Narkisim"/>
          <w:rtl/>
        </w:rPr>
        <w:footnoteReference w:id="7733"/>
      </w:r>
      <w:r w:rsidRPr="007119D6">
        <w:rPr>
          <w:rFonts w:ascii="Narkisim" w:hAnsi="Narkisim"/>
          <w:rtl/>
        </w:rPr>
        <w:t>]. ועוד בברייתא (לקמן קכב.) דס' בני אדם שהיו מהלכין לכרקום ביתר. וע"כ שעת מלחמה לישראל היה</w:t>
      </w:r>
      <w:r w:rsidRPr="007119D6">
        <w:rPr>
          <w:rStyle w:val="ac"/>
          <w:rFonts w:ascii="Narkisim" w:hAnsi="Narkisim"/>
          <w:rtl/>
        </w:rPr>
        <w:footnoteReference w:id="7734"/>
      </w:r>
      <w:r w:rsidRPr="007119D6">
        <w:rPr>
          <w:rFonts w:ascii="Narkisim" w:hAnsi="Narkisim"/>
          <w:rtl/>
        </w:rPr>
        <w:t>, ומת סתם במלחמה משמע, ואפ"ה התירו נשותיהן ע"פ גוי מסיח לפי תומו, וכ"ש ע"פ עד א'</w:t>
      </w:r>
      <w:r w:rsidRPr="007119D6">
        <w:rPr>
          <w:rStyle w:val="ac"/>
          <w:rFonts w:ascii="Narkisim" w:hAnsi="Narkisim"/>
          <w:rtl/>
        </w:rPr>
        <w:footnoteReference w:id="7735"/>
      </w:r>
      <w:r w:rsidRPr="007119D6">
        <w:rPr>
          <w:rFonts w:ascii="Narkisim" w:hAnsi="Narkisim"/>
          <w:rtl/>
        </w:rPr>
        <w:t>.</w:t>
      </w:r>
    </w:p>
    <w:p w14:paraId="5BB01B7B"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קז) כת' דכ"ז איירי דאמרי קברתיו, אבל לשיטת הבעה"מ ספק הגמ' בלא קברתיו, א"כ אין ראיה משם כלל</w:t>
      </w:r>
      <w:r w:rsidRPr="007119D6">
        <w:rPr>
          <w:rStyle w:val="ac"/>
          <w:rFonts w:ascii="Narkisim" w:hAnsi="Narkisim"/>
          <w:rtl/>
        </w:rPr>
        <w:footnoteReference w:id="7736"/>
      </w:r>
      <w:r w:rsidRPr="007119D6">
        <w:rPr>
          <w:rFonts w:ascii="Narkisim" w:hAnsi="Narkisim"/>
          <w:rtl/>
        </w:rPr>
        <w:t>.</w:t>
      </w:r>
    </w:p>
    <w:p w14:paraId="0E1B1341" w14:textId="77777777" w:rsidR="006C4368" w:rsidRPr="007119D6" w:rsidRDefault="006C4368" w:rsidP="006C4368">
      <w:pPr>
        <w:pStyle w:val="a7"/>
        <w:bidi/>
        <w:rPr>
          <w:rFonts w:ascii="Narkisim" w:hAnsi="Narkisim"/>
        </w:rPr>
      </w:pPr>
      <w:r w:rsidRPr="007119D6">
        <w:rPr>
          <w:rFonts w:ascii="Narkisim" w:hAnsi="Narkisim"/>
          <w:rtl/>
        </w:rPr>
        <w:t>ועוד הביא ה</w:t>
      </w:r>
      <w:r w:rsidRPr="007119D6">
        <w:rPr>
          <w:rFonts w:ascii="Narkisim" w:hAnsi="Narkisim"/>
          <w:b/>
          <w:bCs/>
          <w:rtl/>
        </w:rPr>
        <w:t>רמב”ן</w:t>
      </w:r>
      <w:r w:rsidRPr="007119D6">
        <w:rPr>
          <w:rFonts w:ascii="Narkisim" w:hAnsi="Narkisim"/>
          <w:rtl/>
        </w:rPr>
        <w:t xml:space="preserve"> דרבוותא נקטו דהוכרע (לעיל צד.) דעד א' ביבמה לשוק נאמן. ואף דליכא למסמך עלה דדייקא, דהא היא לא מהימנא [דזימנין סני]. הא איפשיטא דטעמא דעד א' נאמן משום דבמילתא דעבידא לאיגלויי לא משקר, הילכך אף עד א' במלחמה נאמן</w:t>
      </w:r>
      <w:r w:rsidRPr="007119D6">
        <w:rPr>
          <w:rStyle w:val="ac"/>
          <w:rFonts w:ascii="Narkisim" w:hAnsi="Narkisim"/>
          <w:rtl/>
        </w:rPr>
        <w:footnoteReference w:id="7737"/>
      </w:r>
      <w:r w:rsidRPr="007119D6">
        <w:rPr>
          <w:rFonts w:ascii="Narkisim" w:hAnsi="Narkisim"/>
          <w:rtl/>
        </w:rPr>
        <w:t>.</w:t>
      </w:r>
    </w:p>
    <w:p w14:paraId="3FBE68B9"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כת' דלדעת הרמב"ם הספק כאן משום בדדמי, ואף דנפשט (לעיל צד.) דעד א' משום דדייקא ומינסבא, מ"מ הספק כאן משום בדדמי, דהעד לא דייק. וכפרש"י דהנידון משום דהעד אומר בדדמי</w:t>
      </w:r>
      <w:r w:rsidRPr="007119D6">
        <w:rPr>
          <w:rStyle w:val="ac"/>
          <w:rFonts w:ascii="Narkisim" w:hAnsi="Narkisim"/>
          <w:rtl/>
        </w:rPr>
        <w:footnoteReference w:id="7738"/>
      </w:r>
      <w:r w:rsidRPr="007119D6">
        <w:rPr>
          <w:rFonts w:ascii="Narkisim" w:hAnsi="Narkisim"/>
          <w:rtl/>
        </w:rPr>
        <w:t>.</w:t>
      </w:r>
    </w:p>
    <w:p w14:paraId="06C45F52" w14:textId="77777777" w:rsidR="006C4368" w:rsidRPr="007119D6" w:rsidRDefault="006C4368" w:rsidP="006C4368">
      <w:pPr>
        <w:bidi/>
        <w:rPr>
          <w:rFonts w:ascii="Narkisim" w:hAnsi="Narkisim" w:cs="Narkisim"/>
        </w:rPr>
      </w:pPr>
      <w:r w:rsidRPr="007119D6">
        <w:rPr>
          <w:rFonts w:ascii="Narkisim" w:hAnsi="Narkisim" w:cs="Narkisim"/>
          <w:rtl/>
        </w:rPr>
        <w:t>אך ה</w:t>
      </w:r>
      <w:r w:rsidRPr="007119D6">
        <w:rPr>
          <w:rFonts w:ascii="Narkisim" w:hAnsi="Narkisim" w:cs="Narkisim"/>
          <w:b/>
          <w:bCs/>
          <w:rtl/>
        </w:rPr>
        <w:t>רמב"ן</w:t>
      </w:r>
      <w:r w:rsidRPr="007119D6">
        <w:rPr>
          <w:rFonts w:ascii="Narkisim" w:hAnsi="Narkisim" w:cs="Narkisim"/>
          <w:rtl/>
        </w:rPr>
        <w:t xml:space="preserve"> הביא דב</w:t>
      </w:r>
      <w:r w:rsidRPr="007119D6">
        <w:rPr>
          <w:rFonts w:ascii="Narkisim" w:hAnsi="Narkisim" w:cs="Narkisim"/>
          <w:b/>
          <w:bCs/>
          <w:rtl/>
        </w:rPr>
        <w:t>ירושלמי</w:t>
      </w:r>
      <w:r w:rsidRPr="007119D6">
        <w:rPr>
          <w:rFonts w:ascii="Narkisim" w:hAnsi="Narkisim" w:cs="Narkisim"/>
          <w:rtl/>
        </w:rPr>
        <w:t xml:space="preserve"> מבואר דעד א' במלחמה לא תנשא, ואם נשאת לא תצא. וה</w:t>
      </w:r>
      <w:r w:rsidRPr="007119D6">
        <w:rPr>
          <w:rFonts w:ascii="Narkisim" w:hAnsi="Narkisim" w:cs="Narkisim"/>
          <w:b/>
          <w:bCs/>
          <w:rtl/>
        </w:rPr>
        <w:t>גר"א</w:t>
      </w:r>
      <w:r w:rsidRPr="007119D6">
        <w:rPr>
          <w:rFonts w:ascii="Narkisim" w:hAnsi="Narkisim" w:cs="Narkisim"/>
          <w:rtl/>
        </w:rPr>
        <w:t xml:space="preserve"> (יז קח) ציין דמבואר בירושלמי דעכ"פ נשאת לא תצא, ואף דלא אמר קברתיו. וה</w:t>
      </w:r>
      <w:r w:rsidRPr="007119D6">
        <w:rPr>
          <w:rFonts w:ascii="Narkisim" w:hAnsi="Narkisim" w:cs="Narkisim"/>
          <w:b/>
          <w:bCs/>
          <w:rtl/>
        </w:rPr>
        <w:t>גר"א</w:t>
      </w:r>
      <w:r w:rsidRPr="007119D6">
        <w:rPr>
          <w:rFonts w:ascii="Narkisim" w:hAnsi="Narkisim" w:cs="Narkisim"/>
          <w:rtl/>
        </w:rPr>
        <w:t xml:space="preserve"> כת' דכל הספיקות לא תצא [וכדברי ה”ה הנ”ל], דומיה מים שאין להם סוף [וע' מש”כ לעיל </w:t>
      </w:r>
      <w:r w:rsidRPr="007119D6">
        <w:rPr>
          <w:rFonts w:ascii="Narkisim" w:hAnsi="Narkisim" w:cs="Narkisim"/>
          <w:rtl/>
        </w:rPr>
        <w:lastRenderedPageBreak/>
        <w:t>קיד:].</w:t>
      </w:r>
    </w:p>
    <w:p w14:paraId="368985A9"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קז בליקוט) סידר באריכות ה' שיטות הראשונים בהעמדת הספק בגמ' [בקברתיו או בלא קברתיו], והאם נפשט.</w:t>
      </w:r>
    </w:p>
    <w:p w14:paraId="54D97910" w14:textId="77777777" w:rsidR="006C4368" w:rsidRPr="007119D6" w:rsidRDefault="006C4368" w:rsidP="006C4368">
      <w:pPr>
        <w:pStyle w:val="aa"/>
        <w:bidi/>
        <w:rPr>
          <w:rFonts w:ascii="Narkisim" w:hAnsi="Narkisim"/>
        </w:rPr>
      </w:pPr>
      <w:r w:rsidRPr="007119D6">
        <w:rPr>
          <w:rFonts w:ascii="Narkisim" w:hAnsi="Narkisim"/>
          <w:u w:val="single"/>
          <w:rtl/>
        </w:rPr>
        <w:t>תוד"ה טעמא</w:t>
      </w:r>
      <w:r w:rsidRPr="007119D6">
        <w:rPr>
          <w:rFonts w:ascii="Narkisim" w:hAnsi="Narkisim"/>
          <w:rtl/>
        </w:rPr>
        <w:t>. אבל אין לפרש או דלמא טעמא דעד א' משום דדייקא, ואפי' אמר בדדמי. [וסברת דייקא מהני להקל, דאף דהעד לא דייק, האשה תדייק]. ותוס' דחו דל"ש שהיא תדייק יותר מעדות העד, והעד אמר בדדמי.</w:t>
      </w:r>
    </w:p>
    <w:p w14:paraId="36063E65" w14:textId="77777777" w:rsidR="006C4368" w:rsidRPr="007119D6" w:rsidRDefault="006C4368" w:rsidP="006C4368">
      <w:pPr>
        <w:pStyle w:val="aa"/>
        <w:bidi/>
        <w:rPr>
          <w:rFonts w:ascii="Narkisim" w:hAnsi="Narkisim"/>
        </w:rPr>
      </w:pPr>
      <w:r w:rsidRPr="007119D6">
        <w:rPr>
          <w:rFonts w:ascii="Narkisim" w:hAnsi="Narkisim"/>
          <w:u w:val="single"/>
          <w:rtl/>
        </w:rPr>
        <w:t>תוד"ה אמר ר"ע</w:t>
      </w:r>
      <w:r w:rsidRPr="007119D6">
        <w:rPr>
          <w:rFonts w:ascii="Narkisim" w:hAnsi="Narkisim"/>
          <w:rtl/>
        </w:rPr>
        <w:t>. אמרי' (ברכות סג.) דר"ע לא הניח כמותו באר"י וכו'. ה</w:t>
      </w:r>
      <w:r w:rsidRPr="007119D6">
        <w:rPr>
          <w:rFonts w:ascii="Narkisim" w:hAnsi="Narkisim"/>
          <w:b/>
          <w:bCs/>
          <w:rtl/>
        </w:rPr>
        <w:t>רש"ש</w:t>
      </w:r>
      <w:r w:rsidRPr="007119D6">
        <w:rPr>
          <w:rFonts w:ascii="Narkisim" w:hAnsi="Narkisim"/>
          <w:rtl/>
        </w:rPr>
        <w:t xml:space="preserve"> הביא דה</w:t>
      </w:r>
      <w:r w:rsidRPr="007119D6">
        <w:rPr>
          <w:rFonts w:ascii="Narkisim" w:hAnsi="Narkisim"/>
          <w:b/>
          <w:bCs/>
          <w:rtl/>
        </w:rPr>
        <w:t>תו"ח</w:t>
      </w:r>
      <w:r w:rsidRPr="007119D6">
        <w:rPr>
          <w:rFonts w:ascii="Narkisim" w:hAnsi="Narkisim"/>
          <w:rtl/>
        </w:rPr>
        <w:t xml:space="preserve"> הק' דמבואר (לקמן קכב. ועדיות ו א) דמעשה זה היה בימי רבותיו של ר"ע, ר”ג ר”א ר' יהושע ור"א בן עזריה. וצ"ל דבאותו העת הנך חכמים לא היו באר"י.  </w:t>
      </w:r>
    </w:p>
    <w:p w14:paraId="28946B87" w14:textId="77777777" w:rsidR="006C4368" w:rsidRPr="007119D6" w:rsidRDefault="006C4368" w:rsidP="006C4368">
      <w:pPr>
        <w:pStyle w:val="aa"/>
        <w:bidi/>
        <w:rPr>
          <w:rFonts w:ascii="Narkisim" w:hAnsi="Narkisim"/>
        </w:rPr>
      </w:pPr>
      <w:r w:rsidRPr="007119D6">
        <w:rPr>
          <w:rFonts w:ascii="Narkisim" w:hAnsi="Narkisim"/>
          <w:u w:val="single"/>
          <w:rtl/>
        </w:rPr>
        <w:t>בא"ד ומיהו קשיא לר"י (סנהד' כו.) וכו' ושם היה ר' יוחנן שהיה גדול מהם וכו</w:t>
      </w:r>
      <w:r w:rsidRPr="007119D6">
        <w:rPr>
          <w:rFonts w:ascii="Narkisim" w:hAnsi="Narkisim"/>
          <w:rtl/>
        </w:rPr>
        <w:t>'. וה</w:t>
      </w:r>
      <w:r w:rsidRPr="007119D6">
        <w:rPr>
          <w:rFonts w:ascii="Narkisim" w:hAnsi="Narkisim"/>
          <w:b/>
          <w:bCs/>
          <w:rtl/>
        </w:rPr>
        <w:t>או”ש</w:t>
      </w:r>
      <w:r w:rsidRPr="007119D6">
        <w:rPr>
          <w:rFonts w:ascii="Narkisim" w:hAnsi="Narkisim"/>
          <w:rtl/>
        </w:rPr>
        <w:t xml:space="preserve"> (קדה”ח) תי' דנהי דר' יוחנן היה גדול בתורה מהם, לא היה יודע חישוב החשבונות של האצטגנינים</w:t>
      </w:r>
      <w:r w:rsidRPr="007119D6">
        <w:rPr>
          <w:rStyle w:val="ac"/>
          <w:rFonts w:ascii="Narkisim" w:hAnsi="Narkisim"/>
          <w:rtl/>
        </w:rPr>
        <w:footnoteReference w:id="7739"/>
      </w:r>
      <w:r w:rsidRPr="007119D6">
        <w:rPr>
          <w:rFonts w:ascii="Narkisim" w:hAnsi="Narkisim"/>
          <w:rtl/>
        </w:rPr>
        <w:t>.</w:t>
      </w:r>
    </w:p>
    <w:p w14:paraId="60EDF4C8" w14:textId="77777777" w:rsidR="006C4368" w:rsidRPr="007119D6" w:rsidRDefault="006C4368" w:rsidP="006C4368">
      <w:pPr>
        <w:pStyle w:val="a8"/>
        <w:bidi/>
        <w:rPr>
          <w:rFonts w:ascii="Narkisim" w:hAnsi="Narkisim"/>
        </w:rPr>
      </w:pPr>
      <w:r w:rsidRPr="007119D6">
        <w:rPr>
          <w:rFonts w:ascii="Narkisim" w:hAnsi="Narkisim"/>
          <w:rtl/>
        </w:rPr>
        <w:t>וב</w:t>
      </w:r>
      <w:r w:rsidRPr="007119D6">
        <w:rPr>
          <w:rFonts w:ascii="Narkisim" w:hAnsi="Narkisim"/>
          <w:b/>
          <w:bCs/>
          <w:rtl/>
        </w:rPr>
        <w:t>תשובות הגאונים</w:t>
      </w:r>
      <w:r w:rsidRPr="007119D6">
        <w:rPr>
          <w:rFonts w:ascii="Narkisim" w:hAnsi="Narkisim"/>
          <w:rtl/>
        </w:rPr>
        <w:t xml:space="preserve"> (ליק א, וחדשות קטז) הביא (מרב האי גאון) כת' שהעיבור שיש בה שינוי מן המסורת אינו כשר אלא באר"י ובארץ יהודה בלבד</w:t>
      </w:r>
      <w:r w:rsidRPr="007119D6">
        <w:rPr>
          <w:rStyle w:val="ac"/>
          <w:rFonts w:ascii="Narkisim" w:hAnsi="Narkisim"/>
          <w:rtl/>
        </w:rPr>
        <w:footnoteReference w:id="7740"/>
      </w:r>
      <w:r w:rsidRPr="007119D6">
        <w:rPr>
          <w:rFonts w:ascii="Narkisim" w:hAnsi="Narkisim"/>
          <w:rtl/>
        </w:rPr>
        <w:t>. משמע מדבריו דעיבור שהוא ע"פ המסורת אפשר אף בחו"ל. ודוקא באופן של שינוי מהמסורת בעינן שכנו של מקום</w:t>
      </w:r>
      <w:r w:rsidRPr="007119D6">
        <w:rPr>
          <w:rStyle w:val="ac"/>
          <w:rFonts w:ascii="Narkisim" w:hAnsi="Narkisim"/>
          <w:rtl/>
        </w:rPr>
        <w:footnoteReference w:id="7741"/>
      </w:r>
      <w:r w:rsidRPr="007119D6">
        <w:rPr>
          <w:rFonts w:ascii="Narkisim" w:hAnsi="Narkisim"/>
          <w:rtl/>
        </w:rPr>
        <w:t>. [אבל הראשונים נקטו דלא עושים חשבון העיבור כלל].</w:t>
      </w:r>
    </w:p>
    <w:p w14:paraId="23D47539" w14:textId="77777777" w:rsidR="006C4368" w:rsidRPr="007119D6" w:rsidRDefault="006C4368" w:rsidP="006C4368">
      <w:pPr>
        <w:pStyle w:val="aa"/>
        <w:bidi/>
        <w:rPr>
          <w:rFonts w:ascii="Narkisim" w:hAnsi="Narkisim"/>
        </w:rPr>
      </w:pPr>
      <w:r w:rsidRPr="007119D6">
        <w:rPr>
          <w:rFonts w:ascii="Narkisim" w:hAnsi="Narkisim"/>
          <w:u w:val="single"/>
          <w:rtl/>
        </w:rPr>
        <w:t>בא"ד דהא שנת שביעית היתה וכו' דאין מעברין שנה שביעית</w:t>
      </w:r>
      <w:r w:rsidRPr="007119D6">
        <w:rPr>
          <w:rFonts w:ascii="Narkisim" w:hAnsi="Narkisim"/>
          <w:rtl/>
        </w:rPr>
        <w:t>. אבל ה</w:t>
      </w:r>
      <w:r w:rsidRPr="007119D6">
        <w:rPr>
          <w:rFonts w:ascii="Narkisim" w:hAnsi="Narkisim"/>
          <w:b/>
          <w:bCs/>
          <w:rtl/>
        </w:rPr>
        <w:t>רמב"ם</w:t>
      </w:r>
      <w:r w:rsidRPr="007119D6">
        <w:rPr>
          <w:rFonts w:ascii="Narkisim" w:hAnsi="Narkisim"/>
          <w:rtl/>
        </w:rPr>
        <w:t xml:space="preserve"> (קדה"ח ד טז) כת' יראה דה"מ כשמעברים מפני צורך הדרכים והגשרים. אבל אם היתה השנה ראויה להתעבר מפני התקופה או מפני האביב ופירות האילן מעברין לעולם בכל זמן</w:t>
      </w:r>
      <w:r w:rsidRPr="007119D6">
        <w:rPr>
          <w:rStyle w:val="ac"/>
          <w:rFonts w:ascii="Narkisim" w:hAnsi="Narkisim"/>
          <w:rtl/>
        </w:rPr>
        <w:footnoteReference w:id="7742"/>
      </w:r>
      <w:r w:rsidRPr="007119D6">
        <w:rPr>
          <w:rFonts w:ascii="Narkisim" w:hAnsi="Narkisim"/>
          <w:rtl/>
        </w:rPr>
        <w:t>.</w:t>
      </w:r>
    </w:p>
    <w:p w14:paraId="28A1DA02" w14:textId="77777777" w:rsidR="006C4368" w:rsidRPr="007119D6" w:rsidRDefault="006C4368" w:rsidP="006C4368">
      <w:pPr>
        <w:bidi/>
        <w:rPr>
          <w:rFonts w:ascii="Narkisim" w:hAnsi="Narkisim" w:cs="Narkisim"/>
        </w:rPr>
      </w:pPr>
      <w:r w:rsidRPr="007119D6">
        <w:rPr>
          <w:rFonts w:ascii="Narkisim" w:hAnsi="Narkisim" w:cs="Narkisim"/>
          <w:u w:val="single"/>
          <w:rtl/>
        </w:rPr>
        <w:t>ת"ש מעשה בב' ת"ח וכו' והשיא רבי נשותיהן ע"פ נשים, והא מים כמלחמה וכו' ותסברא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דאיכא למימר בדדמי. ו</w:t>
      </w:r>
      <w:r w:rsidRPr="007119D6">
        <w:rPr>
          <w:rFonts w:ascii="Narkisim" w:hAnsi="Narkisim" w:cs="Narkisim"/>
          <w:b/>
          <w:bCs/>
          <w:rtl/>
        </w:rPr>
        <w:t>תוס</w:t>
      </w:r>
      <w:r w:rsidRPr="007119D6">
        <w:rPr>
          <w:rFonts w:ascii="Narkisim" w:hAnsi="Narkisim" w:cs="Narkisim"/>
          <w:rtl/>
        </w:rPr>
        <w:t>' (ד"ה והא, ובע"ב) פי' דמי שרואה את הטביעה תולה בדבר מועט, ואומר בדדמי.</w:t>
      </w:r>
    </w:p>
    <w:p w14:paraId="64355172"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(לעיל) הביא דלהך ס"ד מבואר דעד א' נאמן במלחמה, אף בלא קברתיו</w:t>
      </w:r>
      <w:r w:rsidRPr="007119D6">
        <w:rPr>
          <w:rStyle w:val="ac"/>
          <w:rFonts w:ascii="Narkisim" w:hAnsi="Narkisim"/>
          <w:rtl/>
        </w:rPr>
        <w:footnoteReference w:id="7743"/>
      </w:r>
      <w:r w:rsidRPr="007119D6">
        <w:rPr>
          <w:rFonts w:ascii="Narkisim" w:hAnsi="Narkisim"/>
          <w:rtl/>
        </w:rPr>
        <w:t>. ודלא כרי"ף. ותי' דכוונת הגמ' בכ”ש, דכיון דרבי השיא במלחמה סתם, כ”ש במת וקברתיו. [אבל למסקנא אין ראיה מהכא]</w:t>
      </w:r>
      <w:r w:rsidRPr="007119D6">
        <w:rPr>
          <w:rStyle w:val="ac"/>
          <w:rFonts w:ascii="Narkisim" w:hAnsi="Narkisim"/>
          <w:rtl/>
        </w:rPr>
        <w:footnoteReference w:id="7744"/>
      </w:r>
      <w:r w:rsidRPr="007119D6">
        <w:rPr>
          <w:rFonts w:ascii="Narkisim" w:hAnsi="Narkisim"/>
          <w:rtl/>
        </w:rPr>
        <w:t>.</w:t>
      </w:r>
    </w:p>
    <w:p w14:paraId="6C8270A2"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ראב"ד</w:t>
      </w:r>
      <w:r w:rsidRPr="007119D6">
        <w:rPr>
          <w:rFonts w:ascii="Narkisim" w:hAnsi="Narkisim"/>
          <w:rtl/>
        </w:rPr>
        <w:t xml:space="preserve"> כת' דהא דהרי"ף כת' דבעינן קברתיו משום דילפי' ממים שאין להם סוף. א"כ זהו קו' הגמ' ותסברא.</w:t>
      </w:r>
    </w:p>
    <w:p w14:paraId="6327D81B" w14:textId="77777777" w:rsidR="006C4368" w:rsidRPr="007119D6" w:rsidRDefault="006C4368" w:rsidP="006C4368">
      <w:pPr>
        <w:bidi/>
        <w:rPr>
          <w:rFonts w:ascii="Narkisim" w:hAnsi="Narkisim" w:cs="Narkisim"/>
        </w:rPr>
      </w:pPr>
      <w:r w:rsidRPr="007119D6">
        <w:rPr>
          <w:rFonts w:ascii="Narkisim" w:hAnsi="Narkisim" w:cs="Narkisim"/>
          <w:u w:val="single"/>
          <w:rtl/>
        </w:rPr>
        <w:t>תוד"ה והא</w:t>
      </w:r>
      <w:r w:rsidRPr="007119D6">
        <w:rPr>
          <w:rFonts w:ascii="Narkisim" w:hAnsi="Narkisim" w:cs="Narkisim"/>
          <w:rtl/>
        </w:rPr>
        <w:t>. השתא ס"ד שראו הנשים שטבעו וכו'. וכ"כ ה</w:t>
      </w:r>
      <w:r w:rsidRPr="007119D6">
        <w:rPr>
          <w:rFonts w:ascii="Narkisim" w:hAnsi="Narkisim" w:cs="Narkisim"/>
          <w:b/>
          <w:bCs/>
          <w:rtl/>
        </w:rPr>
        <w:t>בעה"מ</w:t>
      </w:r>
      <w:r w:rsidRPr="007119D6">
        <w:rPr>
          <w:rFonts w:ascii="Narkisim" w:hAnsi="Narkisim" w:cs="Narkisim"/>
          <w:rtl/>
        </w:rPr>
        <w:t xml:space="preserve"> וה</w:t>
      </w:r>
      <w:r w:rsidRPr="007119D6">
        <w:rPr>
          <w:rFonts w:ascii="Narkisim" w:hAnsi="Narkisim" w:cs="Narkisim"/>
          <w:b/>
          <w:bCs/>
          <w:rtl/>
        </w:rPr>
        <w:t>רא"ש</w:t>
      </w:r>
      <w:r w:rsidRPr="007119D6">
        <w:rPr>
          <w:rFonts w:ascii="Narkisim" w:hAnsi="Narkisim" w:cs="Narkisim"/>
          <w:rtl/>
        </w:rPr>
        <w:t xml:space="preserve"> דהא דאמרי' דמים כמלחמה דמו, ה"מ כשראו הטביעה, ומש"ה אמרו בדדמי אבל היכא שלא ראו הטביעה, אלא שראוהו לאחר שהעלוהו מן המים עד א' נאמן. [וכדחיית הגמ'].</w:t>
      </w:r>
    </w:p>
    <w:p w14:paraId="0A9A7B53" w14:textId="77777777" w:rsidR="006C4368" w:rsidRPr="007119D6" w:rsidRDefault="006C4368" w:rsidP="006C4368">
      <w:pPr>
        <w:bidi/>
        <w:rPr>
          <w:rFonts w:ascii="Narkisim" w:hAnsi="Narkisim" w:cs="Narkisim"/>
        </w:rPr>
      </w:pPr>
      <w:r w:rsidRPr="007119D6">
        <w:rPr>
          <w:rFonts w:ascii="Narkisim" w:hAnsi="Narkisim" w:cs="Narkisim"/>
          <w:u w:val="single"/>
          <w:rtl/>
        </w:rPr>
        <w:t>בא"ד ולכך אמרו בדדמי</w:t>
      </w:r>
      <w:r w:rsidRPr="007119D6">
        <w:rPr>
          <w:rFonts w:ascii="Narkisim" w:hAnsi="Narkisim" w:cs="Narkisim"/>
          <w:rtl/>
        </w:rPr>
        <w:t>. בפשוטו תוס' קאי אעדות הנשים, דהעדים אמרי בדדמי. וה</w:t>
      </w:r>
      <w:r w:rsidRPr="007119D6">
        <w:rPr>
          <w:rFonts w:ascii="Narkisim" w:hAnsi="Narkisim" w:cs="Narkisim"/>
          <w:b/>
          <w:bCs/>
          <w:rtl/>
        </w:rPr>
        <w:t>אחרונים</w:t>
      </w:r>
      <w:r w:rsidRPr="007119D6">
        <w:rPr>
          <w:rFonts w:ascii="Narkisim" w:hAnsi="Narkisim" w:cs="Narkisim"/>
          <w:rtl/>
        </w:rPr>
        <w:t xml:space="preserve"> (ע' בית הלוי ג ט ד שהאריך) הק' ד</w:t>
      </w:r>
      <w:r w:rsidRPr="007119D6">
        <w:rPr>
          <w:rFonts w:ascii="Narkisim" w:hAnsi="Narkisim" w:cs="Narkisim"/>
          <w:b/>
          <w:bCs/>
          <w:rtl/>
        </w:rPr>
        <w:t>תוס</w:t>
      </w:r>
      <w:r w:rsidRPr="007119D6">
        <w:rPr>
          <w:rFonts w:ascii="Narkisim" w:hAnsi="Narkisim" w:cs="Narkisim"/>
          <w:rtl/>
        </w:rPr>
        <w:t>' (ד"ה טעמא) כת' דלא חיישינן לבדדמי דהעד א', כיון דעבידא לאיגלויי</w:t>
      </w:r>
      <w:r w:rsidRPr="007119D6">
        <w:rPr>
          <w:rStyle w:val="ac"/>
          <w:rFonts w:ascii="Narkisim" w:hAnsi="Narkisim" w:cs="Narkisim"/>
          <w:rtl/>
        </w:rPr>
        <w:footnoteReference w:id="7745"/>
      </w:r>
      <w:r w:rsidRPr="007119D6">
        <w:rPr>
          <w:rFonts w:ascii="Narkisim" w:hAnsi="Narkisim" w:cs="Narkisim"/>
          <w:rtl/>
        </w:rPr>
        <w:t>. אלא שהאשה לא דייקא ומינסבא משום בדדמי. וה</w:t>
      </w:r>
      <w:r w:rsidRPr="007119D6">
        <w:rPr>
          <w:rFonts w:ascii="Narkisim" w:hAnsi="Narkisim" w:cs="Narkisim"/>
          <w:b/>
          <w:bCs/>
          <w:rtl/>
        </w:rPr>
        <w:t>אחרונים</w:t>
      </w:r>
      <w:r w:rsidRPr="007119D6">
        <w:rPr>
          <w:rFonts w:ascii="Narkisim" w:hAnsi="Narkisim" w:cs="Narkisim"/>
          <w:rtl/>
        </w:rPr>
        <w:t xml:space="preserve"> (ישרש יעקב) דנו דבטביעה חששו טפי לבדדמי.</w:t>
      </w:r>
    </w:p>
    <w:p w14:paraId="6379C7C3"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חידש דיש ב' אופני בדדמי, דבאשה חוששין דסבורה דודאי ימות, ומספרת דבר שלא ראתה מחמת </w:t>
      </w:r>
      <w:r w:rsidRPr="007119D6">
        <w:rPr>
          <w:rFonts w:ascii="Narkisim" w:hAnsi="Narkisim"/>
          <w:rtl/>
        </w:rPr>
        <w:lastRenderedPageBreak/>
        <w:t>כן</w:t>
      </w:r>
      <w:r w:rsidRPr="007119D6">
        <w:rPr>
          <w:rStyle w:val="ac"/>
          <w:rFonts w:ascii="Narkisim" w:hAnsi="Narkisim"/>
          <w:rtl/>
        </w:rPr>
        <w:footnoteReference w:id="7746"/>
      </w:r>
      <w:r w:rsidRPr="007119D6">
        <w:rPr>
          <w:rFonts w:ascii="Narkisim" w:hAnsi="Narkisim"/>
          <w:rtl/>
        </w:rPr>
        <w:t xml:space="preserve">. ובזה דוקא באשה חששו, ולא חששו שעד ישקר. אבל יש אופן בדדמי שטעה בראייתו, שראהו נתעלף וסבור שמת. וכן בסוגיין דסבור שמכיר בטביעות עינא. וכה"ג אף בעד תלינן בדדמי.  </w:t>
      </w:r>
    </w:p>
    <w:p w14:paraId="51F16EE9" w14:textId="77777777" w:rsidR="006C4368" w:rsidRPr="007119D6" w:rsidRDefault="006C4368" w:rsidP="006C4368">
      <w:pPr>
        <w:pStyle w:val="a7"/>
        <w:bidi/>
        <w:rPr>
          <w:rFonts w:ascii="Narkisim" w:hAnsi="Narkisim"/>
        </w:rPr>
      </w:pPr>
      <w:r w:rsidRPr="007119D6">
        <w:rPr>
          <w:rFonts w:ascii="Narkisim" w:hAnsi="Narkisim"/>
          <w:rtl/>
        </w:rPr>
        <w:t xml:space="preserve">ויש </w:t>
      </w:r>
      <w:r w:rsidRPr="007119D6">
        <w:rPr>
          <w:rFonts w:ascii="Narkisim" w:hAnsi="Narkisim"/>
          <w:b/>
          <w:bCs/>
          <w:rtl/>
        </w:rPr>
        <w:t>אחרונים</w:t>
      </w:r>
      <w:r w:rsidRPr="007119D6">
        <w:rPr>
          <w:rFonts w:ascii="Narkisim" w:hAnsi="Narkisim"/>
          <w:rtl/>
        </w:rPr>
        <w:t xml:space="preserve"> (הבית הלוי הביא כן מס' ושב הכהן, וכ"מ בלח"מ</w:t>
      </w:r>
      <w:r w:rsidRPr="007119D6">
        <w:rPr>
          <w:rStyle w:val="ac"/>
          <w:rFonts w:ascii="Narkisim" w:hAnsi="Narkisim"/>
          <w:rtl/>
        </w:rPr>
        <w:footnoteReference w:id="7747"/>
      </w:r>
      <w:r w:rsidRPr="007119D6">
        <w:rPr>
          <w:rFonts w:ascii="Narkisim" w:hAnsi="Narkisim"/>
          <w:rtl/>
        </w:rPr>
        <w:t>) שהגיהו בתוס' דאמרה בדדמי</w:t>
      </w:r>
      <w:r w:rsidRPr="007119D6">
        <w:rPr>
          <w:rStyle w:val="ac"/>
          <w:rFonts w:ascii="Narkisim" w:hAnsi="Narkisim"/>
          <w:rtl/>
        </w:rPr>
        <w:footnoteReference w:id="7748"/>
      </w:r>
      <w:r w:rsidRPr="007119D6">
        <w:rPr>
          <w:rFonts w:ascii="Narkisim" w:hAnsi="Narkisim"/>
          <w:rtl/>
        </w:rPr>
        <w:t>. וכן ה</w:t>
      </w:r>
      <w:r w:rsidRPr="007119D6">
        <w:rPr>
          <w:rFonts w:ascii="Narkisim" w:hAnsi="Narkisim"/>
          <w:b/>
          <w:bCs/>
          <w:rtl/>
        </w:rPr>
        <w:t>תוס' רא"ש</w:t>
      </w:r>
      <w:r w:rsidRPr="007119D6">
        <w:rPr>
          <w:rFonts w:ascii="Narkisim" w:hAnsi="Narkisim"/>
          <w:rtl/>
        </w:rPr>
        <w:t xml:space="preserve"> כת' דלכך אמרה האשה בדדמי, וסומכת על העד ולא דייקא.</w:t>
      </w:r>
    </w:p>
    <w:p w14:paraId="3638D024" w14:textId="77777777" w:rsidR="006C4368" w:rsidRPr="007119D6" w:rsidRDefault="006C4368" w:rsidP="006C4368">
      <w:pPr>
        <w:bidi/>
        <w:rPr>
          <w:rFonts w:ascii="Narkisim" w:hAnsi="Narkisim" w:cs="Narkisim"/>
        </w:rPr>
      </w:pPr>
      <w:r w:rsidRPr="007119D6">
        <w:rPr>
          <w:rFonts w:ascii="Narkisim" w:hAnsi="Narkisim" w:cs="Narkisim"/>
          <w:u w:val="single"/>
          <w:rtl/>
        </w:rPr>
        <w:t>אלא ה"ד דאמרי אסקינהו קמן וכו'</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(בע"א) מבואר דכיון דהוה ע"י סימנים ל"ש בדדמי. ו</w:t>
      </w:r>
      <w:r w:rsidRPr="007119D6">
        <w:rPr>
          <w:rFonts w:ascii="Narkisim" w:hAnsi="Narkisim" w:cs="Narkisim"/>
          <w:b/>
          <w:bCs/>
          <w:rtl/>
        </w:rPr>
        <w:t>ה"ה</w:t>
      </w:r>
      <w:r w:rsidRPr="007119D6">
        <w:rPr>
          <w:rFonts w:ascii="Narkisim" w:hAnsi="Narkisim" w:cs="Narkisim"/>
          <w:rtl/>
        </w:rPr>
        <w:t xml:space="preserve"> (יג יט, הו' לעיל) הוכיח דעד א' במלחמה, ואמר קברתיו נאמן.</w:t>
      </w:r>
    </w:p>
    <w:p w14:paraId="3C95B358"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מלחמות</w:t>
      </w:r>
      <w:r w:rsidRPr="007119D6">
        <w:rPr>
          <w:rFonts w:ascii="Narkisim" w:hAnsi="Narkisim"/>
          <w:rtl/>
        </w:rPr>
        <w:t xml:space="preserve"> הק' דסוף סוף שייך בדדמי מצד האשה, ולא דייקא</w:t>
      </w:r>
      <w:r w:rsidRPr="007119D6">
        <w:rPr>
          <w:rStyle w:val="ac"/>
          <w:rFonts w:ascii="Narkisim" w:hAnsi="Narkisim"/>
          <w:rtl/>
        </w:rPr>
        <w:footnoteReference w:id="7749"/>
      </w:r>
      <w:r w:rsidRPr="007119D6">
        <w:rPr>
          <w:rFonts w:ascii="Narkisim" w:hAnsi="Narkisim"/>
          <w:rtl/>
        </w:rPr>
        <w:t>. וה</w:t>
      </w:r>
      <w:r w:rsidRPr="007119D6">
        <w:rPr>
          <w:rFonts w:ascii="Narkisim" w:hAnsi="Narkisim"/>
          <w:b/>
          <w:bCs/>
          <w:rtl/>
        </w:rPr>
        <w:t>רמב"ן</w:t>
      </w:r>
      <w:r w:rsidRPr="007119D6">
        <w:rPr>
          <w:rFonts w:ascii="Narkisim" w:hAnsi="Narkisim"/>
          <w:rtl/>
        </w:rPr>
        <w:t xml:space="preserve"> (בחי' ומלחמות) פי' דאיירי שבדקום ע”פ סימנים שבסתר, וע”י שידעו את הסימנים ניכר שאינו רמאי. וע”ד הא שמחזירין אבידה וגט בסימנין, דדרשהו אם רמאי הוא אם לאו ע"י סימנים.</w:t>
      </w:r>
    </w:p>
    <w:p w14:paraId="560E0EA2" w14:textId="77777777" w:rsidR="006C4368" w:rsidRPr="007119D6" w:rsidRDefault="006C4368" w:rsidP="006C4368">
      <w:pPr>
        <w:pStyle w:val="3"/>
        <w:bidi/>
        <w:rPr>
          <w:rFonts w:ascii="Narkisim" w:hAnsi="Narkisim"/>
        </w:rPr>
      </w:pPr>
      <w:r w:rsidRPr="007119D6">
        <w:rPr>
          <w:rFonts w:ascii="Narkisim" w:hAnsi="Narkisim"/>
          <w:rtl/>
        </w:rPr>
        <w:t>דף קטו:</w:t>
      </w:r>
    </w:p>
    <w:p w14:paraId="74544A9E" w14:textId="77777777" w:rsidR="006C4368" w:rsidRPr="007119D6" w:rsidRDefault="006C4368" w:rsidP="006C4368">
      <w:pPr>
        <w:pStyle w:val="aa"/>
        <w:bidi/>
        <w:rPr>
          <w:rFonts w:ascii="Narkisim" w:hAnsi="Narkisim"/>
        </w:rPr>
      </w:pPr>
      <w:r w:rsidRPr="007119D6">
        <w:rPr>
          <w:rFonts w:ascii="Narkisim" w:hAnsi="Narkisim"/>
          <w:u w:val="single"/>
          <w:rtl/>
        </w:rPr>
        <w:t>תוד"ה וחזינהו לאלתר</w:t>
      </w:r>
      <w:r w:rsidRPr="007119D6">
        <w:rPr>
          <w:rFonts w:ascii="Narkisim" w:hAnsi="Narkisim"/>
          <w:rtl/>
        </w:rPr>
        <w:t>. אבל כששוהה אחר העלאה מיתפח וכו'. (ע"ע בסוגיה לקמן קכא.).</w:t>
      </w:r>
    </w:p>
    <w:p w14:paraId="60BF9392" w14:textId="77777777" w:rsidR="006C4368" w:rsidRPr="007119D6" w:rsidRDefault="006C4368" w:rsidP="006C4368">
      <w:pPr>
        <w:bidi/>
        <w:rPr>
          <w:rFonts w:ascii="Narkisim" w:hAnsi="Narkisim" w:cs="Narkisim"/>
        </w:rPr>
      </w:pPr>
      <w:r w:rsidRPr="007119D6">
        <w:rPr>
          <w:rFonts w:ascii="Narkisim" w:hAnsi="Narkisim" w:cs="Narkisim"/>
          <w:u w:val="single"/>
          <w:rtl/>
        </w:rPr>
        <w:t>וקאמרי סימנים</w:t>
      </w:r>
      <w:r w:rsidRPr="007119D6">
        <w:rPr>
          <w:rFonts w:ascii="Narkisim" w:hAnsi="Narkisim" w:cs="Narkisim"/>
          <w:rtl/>
        </w:rPr>
        <w:t>. ול"מ הכרה דטביעות עין, אלא ע"פ סימנים. ופ</w:t>
      </w:r>
      <w:r w:rsidRPr="007119D6">
        <w:rPr>
          <w:rFonts w:ascii="Narkisim" w:hAnsi="Narkisim" w:cs="Narkisim"/>
          <w:b/>
          <w:bCs/>
          <w:rtl/>
        </w:rPr>
        <w:t>רש"י</w:t>
      </w:r>
      <w:r w:rsidRPr="007119D6">
        <w:rPr>
          <w:rFonts w:ascii="Narkisim" w:hAnsi="Narkisim" w:cs="Narkisim"/>
          <w:rtl/>
        </w:rPr>
        <w:t xml:space="preserve"> דהמים משנים צורת הפנים. [ותוס' חלקו]. ו</w:t>
      </w:r>
      <w:r w:rsidRPr="007119D6">
        <w:rPr>
          <w:rFonts w:ascii="Narkisim" w:hAnsi="Narkisim" w:cs="Narkisim"/>
          <w:b/>
          <w:bCs/>
          <w:rtl/>
        </w:rPr>
        <w:t>תוס</w:t>
      </w:r>
      <w:r w:rsidRPr="007119D6">
        <w:rPr>
          <w:rFonts w:ascii="Narkisim" w:hAnsi="Narkisim" w:cs="Narkisim"/>
          <w:rtl/>
        </w:rPr>
        <w:t>' פי' דאי משום טביעות עינא חיישינן לבדדמי. אבל ה</w:t>
      </w:r>
      <w:r w:rsidRPr="007119D6">
        <w:rPr>
          <w:rFonts w:ascii="Narkisim" w:hAnsi="Narkisim" w:cs="Narkisim"/>
          <w:b/>
          <w:bCs/>
          <w:rtl/>
        </w:rPr>
        <w:t>מרדכי</w:t>
      </w:r>
      <w:r w:rsidRPr="007119D6">
        <w:rPr>
          <w:rFonts w:ascii="Narkisim" w:hAnsi="Narkisim" w:cs="Narkisim"/>
          <w:rtl/>
        </w:rPr>
        <w:t xml:space="preserve"> (ס"ס עז, הו' בהג' הגר"א) כת' דמהני טביעות עין או סימנים</w:t>
      </w:r>
      <w:r w:rsidRPr="007119D6">
        <w:rPr>
          <w:rStyle w:val="ac"/>
          <w:rFonts w:ascii="Narkisim" w:hAnsi="Narkisim" w:cs="Narkisim"/>
          <w:rtl/>
        </w:rPr>
        <w:footnoteReference w:id="7750"/>
      </w:r>
      <w:r w:rsidRPr="007119D6">
        <w:rPr>
          <w:rFonts w:ascii="Narkisim" w:hAnsi="Narkisim" w:cs="Narkisim"/>
          <w:rtl/>
        </w:rPr>
        <w:t>. [ועד"ז כת' ה</w:t>
      </w:r>
      <w:r w:rsidRPr="007119D6">
        <w:rPr>
          <w:rFonts w:ascii="Narkisim" w:hAnsi="Narkisim" w:cs="Narkisim"/>
          <w:b/>
          <w:bCs/>
          <w:rtl/>
        </w:rPr>
        <w:t>רמב"ן</w:t>
      </w:r>
      <w:r w:rsidRPr="007119D6">
        <w:rPr>
          <w:rFonts w:ascii="Narkisim" w:hAnsi="Narkisim" w:cs="Narkisim"/>
          <w:rtl/>
        </w:rPr>
        <w:t xml:space="preserve"> דכ"ש דמהני טביעת עין, אלא דלא הכירו</w:t>
      </w:r>
      <w:r w:rsidRPr="007119D6">
        <w:rPr>
          <w:rStyle w:val="ac"/>
          <w:rFonts w:ascii="Narkisim" w:hAnsi="Narkisim" w:cs="Narkisim"/>
          <w:rtl/>
        </w:rPr>
        <w:footnoteReference w:id="7751"/>
      </w:r>
      <w:r w:rsidRPr="007119D6">
        <w:rPr>
          <w:rFonts w:ascii="Narkisim" w:hAnsi="Narkisim" w:cs="Narkisim"/>
          <w:rtl/>
        </w:rPr>
        <w:t>].</w:t>
      </w:r>
    </w:p>
    <w:p w14:paraId="308D31C4"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(הנ"ל) ביאר דהכא קאמרי סימן מובהק במקום המוצנע, דלא הוה אפשר להו לדעת אותם, אי לאו דחזו השתא. ומש"ה לא חיישינן שהעד [והנשים] משקר.</w:t>
      </w:r>
    </w:p>
    <w:p w14:paraId="33BAEAFE"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ביאר דכיון דמיירי דאסוקינהו, מש"ה צריך סימן מובהק כדרך שנותנין באבידה. וכגון דאמרי סימן שיש להן במקום המוצנע שמחזירין אבדה בכענין זה הוא דסמכינן עלייהו דודאי תו ליכא למיחש לשקרא</w:t>
      </w:r>
      <w:r w:rsidRPr="007119D6">
        <w:rPr>
          <w:rStyle w:val="ac"/>
          <w:rFonts w:ascii="Narkisim" w:hAnsi="Narkisim"/>
          <w:rtl/>
        </w:rPr>
        <w:footnoteReference w:id="7752"/>
      </w:r>
      <w:r w:rsidRPr="007119D6">
        <w:rPr>
          <w:rFonts w:ascii="Narkisim" w:hAnsi="Narkisim"/>
          <w:rtl/>
        </w:rPr>
        <w:t>.</w:t>
      </w:r>
    </w:p>
    <w:p w14:paraId="24D5F45B"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ביאר דאפשר נמי דאנן שפיר ידעינן ע"פ עדים שנפלו ב' אנשים אלו במים, אלא דלא ידעינן אם מתו או ניצולו. וכיון דהני נשי אמרין לן סימן מובהק שבגופם תו לית לן למיחש למידי.</w:t>
      </w:r>
    </w:p>
    <w:p w14:paraId="3F0C17FB" w14:textId="77777777" w:rsidR="006C4368" w:rsidRPr="007119D6" w:rsidRDefault="006C4368" w:rsidP="006C4368">
      <w:pPr>
        <w:bidi/>
        <w:rPr>
          <w:rFonts w:ascii="Narkisim" w:hAnsi="Narkisim" w:cs="Narkisim"/>
        </w:rPr>
      </w:pPr>
      <w:r w:rsidRPr="007119D6">
        <w:rPr>
          <w:rFonts w:ascii="Narkisim" w:hAnsi="Narkisim" w:cs="Narkisim"/>
          <w:u w:val="single"/>
          <w:rtl/>
        </w:rPr>
        <w:t>שם. וקאמרי סימנים</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הביאו ספק הגמ' (לקמן קכ. וב"מ כז:) אי סימנים דאורייתא</w:t>
      </w:r>
      <w:r w:rsidRPr="007119D6">
        <w:rPr>
          <w:rStyle w:val="ac"/>
          <w:rFonts w:ascii="Narkisim" w:hAnsi="Narkisim" w:cs="Narkisim"/>
          <w:rtl/>
        </w:rPr>
        <w:footnoteReference w:id="7753"/>
      </w:r>
      <w:r w:rsidRPr="007119D6">
        <w:rPr>
          <w:rFonts w:ascii="Narkisim" w:hAnsi="Narkisim" w:cs="Narkisim"/>
          <w:rtl/>
        </w:rPr>
        <w:t xml:space="preserve"> [ומשיאין אשה ע"פ סימנים] או דסימנים [בינונים</w:t>
      </w:r>
      <w:r w:rsidRPr="007119D6">
        <w:rPr>
          <w:rStyle w:val="ac"/>
          <w:rFonts w:ascii="Narkisim" w:hAnsi="Narkisim" w:cs="Narkisim"/>
          <w:rtl/>
        </w:rPr>
        <w:footnoteReference w:id="7754"/>
      </w:r>
      <w:r w:rsidRPr="007119D6">
        <w:rPr>
          <w:rFonts w:ascii="Narkisim" w:hAnsi="Narkisim" w:cs="Narkisim"/>
          <w:rtl/>
        </w:rPr>
        <w:t>] לאו דאורייתא, ואין משיאין אשה אלא בסימנים מובהקים, וכגון שומא.</w:t>
      </w:r>
    </w:p>
    <w:p w14:paraId="4E00D89E"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כת' דלצד סימנים לא"ד במעשה זו איירי בסימן מובהק.</w:t>
      </w:r>
    </w:p>
    <w:p w14:paraId="1182F679"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אחרונים</w:t>
      </w:r>
      <w:r w:rsidRPr="007119D6">
        <w:rPr>
          <w:rFonts w:ascii="Narkisim" w:hAnsi="Narkisim" w:cs="Narkisim"/>
          <w:rtl/>
        </w:rPr>
        <w:t xml:space="preserve"> דנו דבסוגיין איירי בטבע במים שאין להם סוף, דהוה חשש דרבנן. ונימא דסמכינן אסימנים דרבנן באיסור דרבנן (ע”ע לקמן קכ.). ע”ע שמעתתא (ז כג) ושו"ת רע"א (ק קז) ובית הלוי (ג יב)</w:t>
      </w:r>
      <w:r w:rsidRPr="007119D6">
        <w:rPr>
          <w:rStyle w:val="ac"/>
          <w:rFonts w:ascii="Narkisim" w:hAnsi="Narkisim" w:cs="Narkisim"/>
          <w:rtl/>
        </w:rPr>
        <w:footnoteReference w:id="7755"/>
      </w:r>
      <w:r w:rsidRPr="007119D6">
        <w:rPr>
          <w:rFonts w:ascii="Narkisim" w:hAnsi="Narkisim" w:cs="Narkisim"/>
          <w:rtl/>
        </w:rPr>
        <w:t>. וה</w:t>
      </w:r>
      <w:r w:rsidRPr="007119D6">
        <w:rPr>
          <w:rFonts w:ascii="Narkisim" w:hAnsi="Narkisim" w:cs="Narkisim"/>
          <w:b/>
          <w:bCs/>
          <w:rtl/>
        </w:rPr>
        <w:t>אחרונים</w:t>
      </w:r>
      <w:r w:rsidRPr="007119D6">
        <w:rPr>
          <w:rFonts w:ascii="Narkisim" w:hAnsi="Narkisim" w:cs="Narkisim"/>
          <w:rtl/>
        </w:rPr>
        <w:t xml:space="preserve"> (אחיעזר א יג) דחו די"ל דלמסקנא לא איירי שראו שטבע, ורק ע”י שמצאו והכירו ע”י סימנים ידעינן שמת.</w:t>
      </w:r>
    </w:p>
    <w:p w14:paraId="683647F6" w14:textId="77777777" w:rsidR="006C4368" w:rsidRPr="007119D6" w:rsidRDefault="006C4368" w:rsidP="006C4368">
      <w:pPr>
        <w:bidi/>
        <w:rPr>
          <w:rFonts w:ascii="Narkisim" w:hAnsi="Narkisim" w:cs="Narkisim"/>
        </w:rPr>
      </w:pPr>
      <w:r w:rsidRPr="007119D6">
        <w:rPr>
          <w:rFonts w:ascii="Narkisim" w:hAnsi="Narkisim" w:cs="Narkisim"/>
          <w:u w:val="single"/>
          <w:rtl/>
        </w:rPr>
        <w:t>תוד"ה וקאמרי [הא']</w:t>
      </w:r>
      <w:r w:rsidRPr="007119D6">
        <w:rPr>
          <w:rFonts w:ascii="Narkisim" w:hAnsi="Narkisim" w:cs="Narkisim"/>
          <w:rtl/>
        </w:rPr>
        <w:t>. דאמרי בדדמי, ובדבר מועט יאמרו שאלו בעליהן של אלו. וה</w:t>
      </w:r>
      <w:r w:rsidRPr="007119D6">
        <w:rPr>
          <w:rFonts w:ascii="Narkisim" w:hAnsi="Narkisim" w:cs="Narkisim"/>
          <w:b/>
          <w:bCs/>
          <w:rtl/>
        </w:rPr>
        <w:t>אחרונים</w:t>
      </w:r>
      <w:r w:rsidRPr="007119D6">
        <w:rPr>
          <w:rFonts w:ascii="Narkisim" w:hAnsi="Narkisim" w:cs="Narkisim"/>
          <w:rtl/>
        </w:rPr>
        <w:t xml:space="preserve"> העירו דמשמע בתוס' דהעדים יאמרו בדדמי, ואילו </w:t>
      </w:r>
      <w:r w:rsidRPr="007119D6">
        <w:rPr>
          <w:rFonts w:ascii="Narkisim" w:hAnsi="Narkisim" w:cs="Narkisim"/>
          <w:b/>
          <w:bCs/>
          <w:rtl/>
        </w:rPr>
        <w:t>תוס'</w:t>
      </w:r>
      <w:r w:rsidRPr="007119D6">
        <w:rPr>
          <w:rFonts w:ascii="Narkisim" w:hAnsi="Narkisim" w:cs="Narkisim"/>
          <w:rtl/>
        </w:rPr>
        <w:t xml:space="preserve"> (בע"א ד”ה טעמא) העמידו את הסוגיה משום בדדמי דהאשה. [וע”ע מש”כ בע”א].</w:t>
      </w:r>
    </w:p>
    <w:p w14:paraId="05739791" w14:textId="77777777" w:rsidR="006C4368" w:rsidRPr="007119D6" w:rsidRDefault="006C4368" w:rsidP="006C4368">
      <w:pPr>
        <w:bidi/>
        <w:rPr>
          <w:rFonts w:ascii="Narkisim" w:hAnsi="Narkisim" w:cs="Narkisim"/>
        </w:rPr>
      </w:pPr>
      <w:r w:rsidRPr="007119D6">
        <w:rPr>
          <w:rFonts w:ascii="Narkisim" w:hAnsi="Narkisim" w:cs="Narkisim"/>
          <w:u w:val="single"/>
          <w:rtl/>
        </w:rPr>
        <w:t>בא"ד א"נ מהני ע"פ טביעות עינא</w:t>
      </w:r>
      <w:r w:rsidRPr="007119D6">
        <w:rPr>
          <w:rFonts w:ascii="Narkisim" w:hAnsi="Narkisim" w:cs="Narkisim"/>
          <w:rtl/>
        </w:rPr>
        <w:t>. וה</w:t>
      </w:r>
      <w:r w:rsidRPr="007119D6">
        <w:rPr>
          <w:rFonts w:ascii="Narkisim" w:hAnsi="Narkisim" w:cs="Narkisim"/>
          <w:b/>
          <w:bCs/>
          <w:rtl/>
        </w:rPr>
        <w:t>תוס' רא"ש</w:t>
      </w:r>
      <w:r w:rsidRPr="007119D6">
        <w:rPr>
          <w:rFonts w:ascii="Narkisim" w:hAnsi="Narkisim" w:cs="Narkisim"/>
          <w:rtl/>
        </w:rPr>
        <w:t xml:space="preserve"> ביאר דמהני סימנין עם טביעות העין. אבל יש </w:t>
      </w:r>
      <w:r w:rsidRPr="007119D6">
        <w:rPr>
          <w:rFonts w:ascii="Narkisim" w:hAnsi="Narkisim" w:cs="Narkisim"/>
          <w:b/>
          <w:bCs/>
          <w:rtl/>
        </w:rPr>
        <w:t>אחרונים</w:t>
      </w:r>
      <w:r w:rsidRPr="007119D6">
        <w:rPr>
          <w:rFonts w:ascii="Narkisim" w:hAnsi="Narkisim" w:cs="Narkisim"/>
          <w:rtl/>
        </w:rPr>
        <w:t xml:space="preserve"> (ע' אחיעזר א יג) שביארו דמדאורייתא סמכי' אטביעות עינא. אלא דמדרבנן </w:t>
      </w:r>
      <w:r w:rsidRPr="007119D6">
        <w:rPr>
          <w:rFonts w:ascii="Narkisim" w:hAnsi="Narkisim" w:cs="Narkisim"/>
          <w:rtl/>
        </w:rPr>
        <w:lastRenderedPageBreak/>
        <w:t>חששו דבדדמי, ובחשש דרבנן מהני סימנים.</w:t>
      </w:r>
    </w:p>
    <w:p w14:paraId="3E8A3811" w14:textId="77777777" w:rsidR="006C4368" w:rsidRPr="007119D6" w:rsidRDefault="006C4368" w:rsidP="006C4368">
      <w:pPr>
        <w:bidi/>
        <w:rPr>
          <w:rFonts w:ascii="Narkisim" w:hAnsi="Narkisim" w:cs="Narkisim"/>
        </w:rPr>
      </w:pPr>
      <w:r w:rsidRPr="007119D6">
        <w:rPr>
          <w:rFonts w:ascii="Narkisim" w:hAnsi="Narkisim" w:cs="Narkisim"/>
          <w:u w:val="single"/>
          <w:rtl/>
        </w:rPr>
        <w:t>תוד"ה וקאמרי [הב']</w:t>
      </w:r>
      <w:r w:rsidRPr="007119D6">
        <w:rPr>
          <w:rFonts w:ascii="Narkisim" w:hAnsi="Narkisim" w:cs="Narkisim"/>
          <w:rtl/>
        </w:rPr>
        <w:t>. פר"ח ש"מ דאשה ועד א' בספינה שטבעה ואמרו מת ל"מ וכו'. לכאורה כוונת התוס' דאף דאמרו ודאי מת [דאסקינהו קמן] אינם נאמנים, דהוה עד א' במלחמה.</w:t>
      </w:r>
    </w:p>
    <w:p w14:paraId="5795CC53" w14:textId="77777777" w:rsidR="006C4368" w:rsidRPr="007119D6" w:rsidRDefault="006C4368" w:rsidP="006C4368">
      <w:pPr>
        <w:pStyle w:val="aa"/>
        <w:bidi/>
        <w:rPr>
          <w:rFonts w:ascii="Narkisim" w:hAnsi="Narkisim"/>
        </w:rPr>
      </w:pPr>
      <w:r w:rsidRPr="007119D6">
        <w:rPr>
          <w:rFonts w:ascii="Narkisim" w:hAnsi="Narkisim"/>
          <w:u w:val="single"/>
          <w:rtl/>
        </w:rPr>
        <w:t>בא"ד ותימה דהאיך משיאין נשי בנ"א שטבעו ע"י טביעות עין וכו'</w:t>
      </w:r>
      <w:r w:rsidRPr="007119D6">
        <w:rPr>
          <w:rFonts w:ascii="Narkisim" w:hAnsi="Narkisim"/>
          <w:rtl/>
        </w:rPr>
        <w:t>. [ועד"ז דן הרא"ש]. ה</w:t>
      </w:r>
      <w:r w:rsidRPr="007119D6">
        <w:rPr>
          <w:rFonts w:ascii="Narkisim" w:hAnsi="Narkisim"/>
          <w:b/>
          <w:bCs/>
          <w:rtl/>
        </w:rPr>
        <w:t>גר"א</w:t>
      </w:r>
      <w:r w:rsidRPr="007119D6">
        <w:rPr>
          <w:rFonts w:ascii="Narkisim" w:hAnsi="Narkisim"/>
          <w:rtl/>
        </w:rPr>
        <w:t xml:space="preserve"> (יז קז בליקוט) דייק דתוס' לא הזכירו עד א'. דחשש בדדמי היכא דטבע שייך אף בעדים, ומש"ה צריך סימנים. ודלא כ</w:t>
      </w:r>
      <w:r w:rsidRPr="007119D6">
        <w:rPr>
          <w:rFonts w:ascii="Narkisim" w:hAnsi="Narkisim"/>
          <w:b/>
          <w:bCs/>
          <w:rtl/>
        </w:rPr>
        <w:t>ר"ח</w:t>
      </w:r>
      <w:r w:rsidRPr="007119D6">
        <w:rPr>
          <w:rFonts w:ascii="Narkisim" w:hAnsi="Narkisim"/>
          <w:rtl/>
        </w:rPr>
        <w:t xml:space="preserve"> (בתחילת התוס') דדוקא בעד א' חששו לבדדמי.</w:t>
      </w:r>
    </w:p>
    <w:p w14:paraId="28CC786D" w14:textId="77777777" w:rsidR="006C4368" w:rsidRPr="007119D6" w:rsidRDefault="006C4368" w:rsidP="006C4368">
      <w:pPr>
        <w:pStyle w:val="aa"/>
        <w:bidi/>
        <w:rPr>
          <w:rFonts w:ascii="Narkisim" w:hAnsi="Narkisim"/>
        </w:rPr>
      </w:pPr>
      <w:r w:rsidRPr="007119D6">
        <w:rPr>
          <w:rFonts w:ascii="Narkisim" w:hAnsi="Narkisim"/>
          <w:u w:val="single"/>
          <w:rtl/>
        </w:rPr>
        <w:t>בא"ד וכן מפרש ר"ת וכו' שכנשחתה צורת הפנים מיירי וכו'</w:t>
      </w:r>
      <w:r w:rsidRPr="007119D6">
        <w:rPr>
          <w:rFonts w:ascii="Narkisim" w:hAnsi="Narkisim"/>
          <w:rtl/>
        </w:rPr>
        <w:t>. (בעזה"י יתבאר לקמן קכ. תוד”ה אין). וה</w:t>
      </w:r>
      <w:r w:rsidRPr="007119D6">
        <w:rPr>
          <w:rFonts w:ascii="Narkisim" w:hAnsi="Narkisim"/>
          <w:b/>
          <w:bCs/>
          <w:rtl/>
        </w:rPr>
        <w:t>תו"י</w:t>
      </w:r>
      <w:r w:rsidRPr="007119D6">
        <w:rPr>
          <w:rFonts w:ascii="Narkisim" w:hAnsi="Narkisim"/>
          <w:rtl/>
        </w:rPr>
        <w:t xml:space="preserve"> כת' דהתם איירי דוקא בנהרג, אבל במת מהני הכרה לאחר ג' ימים.</w:t>
      </w:r>
    </w:p>
    <w:p w14:paraId="4734B322" w14:textId="77777777" w:rsidR="006C4368" w:rsidRPr="007119D6" w:rsidRDefault="006C4368" w:rsidP="006C4368">
      <w:pPr>
        <w:pStyle w:val="2"/>
        <w:bidi/>
        <w:rPr>
          <w:rFonts w:ascii="Narkisim" w:hAnsi="Narkisim"/>
        </w:rPr>
      </w:pPr>
      <w:r w:rsidRPr="007119D6">
        <w:rPr>
          <w:rFonts w:ascii="Narkisim" w:hAnsi="Narkisim"/>
          <w:rtl/>
        </w:rPr>
        <w:t>סוגיית שומשמי - סימנין</w:t>
      </w:r>
    </w:p>
    <w:p w14:paraId="4BC8E868" w14:textId="77777777" w:rsidR="006C4368" w:rsidRPr="007119D6" w:rsidRDefault="006C4368" w:rsidP="006C4368">
      <w:pPr>
        <w:bidi/>
        <w:rPr>
          <w:rFonts w:ascii="Narkisim" w:hAnsi="Narkisim" w:cs="Narkisim"/>
        </w:rPr>
      </w:pPr>
      <w:r w:rsidRPr="007119D6">
        <w:rPr>
          <w:rFonts w:ascii="Narkisim" w:hAnsi="Narkisim" w:cs="Narkisim"/>
          <w:u w:val="single"/>
          <w:rtl/>
        </w:rPr>
        <w:t>סבר רב חסדא למימר היינו ב' ת"ח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ותרצינן דאמרי סימנים, ולא אמרי' דהוה אחרינא ואיתרמי הסימנים. </w:t>
      </w:r>
      <w:r w:rsidRPr="007119D6">
        <w:rPr>
          <w:rFonts w:ascii="Narkisim" w:hAnsi="Narkisim" w:cs="Narkisim"/>
          <w:szCs w:val="20"/>
          <w:rtl/>
        </w:rPr>
        <w:t>[ומבואר ברש"י דרב חסדא נקט דאף מנין הוה סימן, ורבא חלק דאימר חושבנא איתרמי, בשיעור שרגילים להצניע]</w:t>
      </w:r>
      <w:r w:rsidRPr="007119D6">
        <w:rPr>
          <w:rFonts w:ascii="Narkisim" w:hAnsi="Narkisim" w:cs="Narkisim"/>
          <w:rtl/>
        </w:rPr>
        <w:t>.</w:t>
      </w:r>
    </w:p>
    <w:p w14:paraId="7588BB70"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קצות</w:t>
      </w:r>
      <w:r w:rsidRPr="007119D6">
        <w:rPr>
          <w:rFonts w:ascii="Narkisim" w:hAnsi="Narkisim" w:cs="Narkisim"/>
          <w:rtl/>
        </w:rPr>
        <w:t xml:space="preserve"> (רנט ב) הביא דלכאורה מבואר בסוגיין דמהני סימנים להוציא ממון. וכן ה</w:t>
      </w:r>
      <w:r w:rsidRPr="007119D6">
        <w:rPr>
          <w:rFonts w:ascii="Narkisim" w:hAnsi="Narkisim" w:cs="Narkisim"/>
          <w:b/>
          <w:bCs/>
          <w:rtl/>
        </w:rPr>
        <w:t>ש"ך</w:t>
      </w:r>
      <w:r w:rsidRPr="007119D6">
        <w:rPr>
          <w:rFonts w:ascii="Narkisim" w:hAnsi="Narkisim" w:cs="Narkisim"/>
          <w:rtl/>
        </w:rPr>
        <w:t xml:space="preserve"> (חו"מ רצז א) האריך להביא מכמה </w:t>
      </w:r>
      <w:r w:rsidRPr="007119D6">
        <w:rPr>
          <w:rFonts w:ascii="Narkisim" w:hAnsi="Narkisim" w:cs="Narkisim"/>
          <w:b/>
          <w:bCs/>
          <w:rtl/>
        </w:rPr>
        <w:t>ראשונים</w:t>
      </w:r>
      <w:r w:rsidRPr="007119D6">
        <w:rPr>
          <w:rFonts w:ascii="Narkisim" w:hAnsi="Narkisim" w:cs="Narkisim"/>
          <w:rtl/>
        </w:rPr>
        <w:t xml:space="preserve"> דמהני סימנים להוציא ממון.</w:t>
      </w:r>
    </w:p>
    <w:p w14:paraId="198BB9D7" w14:textId="77777777" w:rsidR="006C4368" w:rsidRPr="007119D6" w:rsidRDefault="006C4368" w:rsidP="006C4368">
      <w:pPr>
        <w:pStyle w:val="a7"/>
        <w:bidi/>
        <w:rPr>
          <w:rFonts w:ascii="Narkisim" w:hAnsi="Narkisim"/>
        </w:rPr>
      </w:pPr>
      <w:r w:rsidRPr="007119D6">
        <w:rPr>
          <w:rFonts w:ascii="Narkisim" w:hAnsi="Narkisim"/>
          <w:rtl/>
        </w:rPr>
        <w:t xml:space="preserve">וכ"כ </w:t>
      </w:r>
      <w:r w:rsidRPr="007119D6">
        <w:rPr>
          <w:rFonts w:ascii="Narkisim" w:hAnsi="Narkisim"/>
          <w:b/>
          <w:bCs/>
          <w:rtl/>
        </w:rPr>
        <w:t>רבינו יונה</w:t>
      </w:r>
      <w:r w:rsidRPr="007119D6">
        <w:rPr>
          <w:rFonts w:ascii="Narkisim" w:hAnsi="Narkisim"/>
          <w:rtl/>
        </w:rPr>
        <w:t xml:space="preserve"> (ב"ב קכח.) דמוציאין ממון ע"פ סימנים</w:t>
      </w:r>
      <w:r w:rsidRPr="007119D6">
        <w:rPr>
          <w:rStyle w:val="ac"/>
          <w:rFonts w:ascii="Narkisim" w:hAnsi="Narkisim"/>
          <w:rtl/>
        </w:rPr>
        <w:footnoteReference w:id="7756"/>
      </w:r>
      <w:r w:rsidRPr="007119D6">
        <w:rPr>
          <w:rFonts w:ascii="Narkisim" w:hAnsi="Narkisim"/>
          <w:rtl/>
        </w:rPr>
        <w:t>, למ"ד דסימנים דאורייתא</w:t>
      </w:r>
      <w:r w:rsidRPr="007119D6">
        <w:rPr>
          <w:rStyle w:val="ac"/>
          <w:rFonts w:ascii="Narkisim" w:hAnsi="Narkisim"/>
          <w:rtl/>
        </w:rPr>
        <w:footnoteReference w:id="7757"/>
      </w:r>
      <w:r w:rsidRPr="007119D6">
        <w:rPr>
          <w:rFonts w:ascii="Narkisim" w:hAnsi="Narkisim"/>
          <w:rtl/>
        </w:rPr>
        <w:t>. וכדמוכח בגמ' (שם, לחד מ"ד) דעד סומא יכול להעיד ויכוין את המשקל</w:t>
      </w:r>
      <w:r w:rsidRPr="007119D6">
        <w:rPr>
          <w:rStyle w:val="ac"/>
          <w:rFonts w:ascii="Narkisim" w:hAnsi="Narkisim"/>
          <w:rtl/>
        </w:rPr>
        <w:footnoteReference w:id="7758"/>
      </w:r>
      <w:r w:rsidRPr="007119D6">
        <w:rPr>
          <w:rFonts w:ascii="Narkisim" w:hAnsi="Narkisim"/>
          <w:rtl/>
        </w:rPr>
        <w:t>. [</w:t>
      </w:r>
      <w:r w:rsidRPr="007119D6">
        <w:rPr>
          <w:rFonts w:ascii="Narkisim" w:hAnsi="Narkisim"/>
          <w:szCs w:val="20"/>
          <w:rtl/>
        </w:rPr>
        <w:t>ובהמשך דבריו רבינו יונה חזר בו, ודן דשמא ל"מ אא"כ יש עדים שהפקיד כזה. ע"ע בסמוך</w:t>
      </w:r>
      <w:r w:rsidRPr="007119D6">
        <w:rPr>
          <w:rFonts w:ascii="Narkisim" w:hAnsi="Narkisim"/>
          <w:rtl/>
        </w:rPr>
        <w:t>].</w:t>
      </w:r>
    </w:p>
    <w:p w14:paraId="20653437" w14:textId="77777777" w:rsidR="006C4368" w:rsidRPr="007119D6" w:rsidRDefault="006C4368" w:rsidP="006C4368">
      <w:pPr>
        <w:pStyle w:val="a7"/>
        <w:bidi/>
        <w:rPr>
          <w:rFonts w:ascii="Narkisim" w:hAnsi="Narkisim"/>
        </w:rPr>
      </w:pPr>
      <w:r w:rsidRPr="007119D6">
        <w:rPr>
          <w:rFonts w:ascii="Narkisim" w:hAnsi="Narkisim"/>
          <w:rtl/>
        </w:rPr>
        <w:t>אך הקצות הביא עוד ד</w:t>
      </w:r>
      <w:r w:rsidRPr="007119D6">
        <w:rPr>
          <w:rFonts w:ascii="Narkisim" w:hAnsi="Narkisim"/>
          <w:b/>
          <w:bCs/>
          <w:rtl/>
        </w:rPr>
        <w:t>תוס</w:t>
      </w:r>
      <w:r w:rsidRPr="007119D6">
        <w:rPr>
          <w:rFonts w:ascii="Narkisim" w:hAnsi="Narkisim"/>
          <w:rtl/>
        </w:rPr>
        <w:t>' (חולין צו., ויתבאר לקמן קכ.) מבואר דל"מ סימנים להוציא ממון.</w:t>
      </w:r>
    </w:p>
    <w:p w14:paraId="6590E3EA"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קצות</w:t>
      </w:r>
      <w:r w:rsidRPr="007119D6">
        <w:rPr>
          <w:rFonts w:ascii="Narkisim" w:hAnsi="Narkisim"/>
          <w:rtl/>
        </w:rPr>
        <w:t xml:space="preserve"> כת' דבסוגיין איירי שיש עדי פקדון (וכמ"ש תוס' ושאר ראשונים), וכיון דעדים ראו שהפקיד חפץ בסימן זה, וראו נמי זה הסימן עתה בידו אמרי' דהוא אותו חפץ שהפקידו. ואינו נאמן לומר החזרתיו וזה חפץ אחר בסימן כזה, דמסתברא יותר שהוא אותו הפקדון אשר הופקד בידו בסימן כזה.</w:t>
      </w:r>
    </w:p>
    <w:p w14:paraId="02848238" w14:textId="77777777" w:rsidR="006C4368" w:rsidRPr="007119D6" w:rsidRDefault="006C4368" w:rsidP="006C4368">
      <w:pPr>
        <w:pStyle w:val="a7"/>
        <w:bidi/>
        <w:rPr>
          <w:rFonts w:ascii="Narkisim" w:hAnsi="Narkisim"/>
        </w:rPr>
      </w:pPr>
      <w:r w:rsidRPr="007119D6">
        <w:rPr>
          <w:rFonts w:ascii="Narkisim" w:hAnsi="Narkisim"/>
          <w:rtl/>
        </w:rPr>
        <w:t>אבל כל היכא דליכא עדי פקדון, אף שראו עדים עתה ביד שמעון חפץ, ואמרו שחפץ בסימנים אלו הוא של ראובן, יכול לטעון לא היו דברים מעולם</w:t>
      </w:r>
      <w:r w:rsidRPr="007119D6">
        <w:rPr>
          <w:rStyle w:val="ac"/>
          <w:rFonts w:ascii="Narkisim" w:hAnsi="Narkisim"/>
          <w:rtl/>
        </w:rPr>
        <w:footnoteReference w:id="7759"/>
      </w:r>
      <w:r w:rsidRPr="007119D6">
        <w:rPr>
          <w:rFonts w:ascii="Narkisim" w:hAnsi="Narkisim"/>
          <w:rtl/>
        </w:rPr>
        <w:t>. ולא מהני סימן כלל להוציא ממון, אלא אמרינן אתרמי סימנא כסימנא.</w:t>
      </w:r>
    </w:p>
    <w:p w14:paraId="30845BA3" w14:textId="77777777" w:rsidR="006C4368" w:rsidRPr="007119D6" w:rsidRDefault="006C4368" w:rsidP="006C4368">
      <w:pPr>
        <w:bidi/>
        <w:rPr>
          <w:rFonts w:ascii="Narkisim" w:hAnsi="Narkisim" w:cs="Narkisim"/>
        </w:rPr>
      </w:pPr>
      <w:r w:rsidRPr="007119D6">
        <w:rPr>
          <w:rFonts w:ascii="Narkisim" w:hAnsi="Narkisim" w:cs="Narkisim"/>
          <w:rtl/>
        </w:rPr>
        <w:t>וכ"כ ה</w:t>
      </w:r>
      <w:r w:rsidRPr="007119D6">
        <w:rPr>
          <w:rFonts w:ascii="Narkisim" w:hAnsi="Narkisim" w:cs="Narkisim"/>
          <w:b/>
          <w:bCs/>
          <w:rtl/>
        </w:rPr>
        <w:t>ריטב"א</w:t>
      </w:r>
      <w:r w:rsidRPr="007119D6">
        <w:rPr>
          <w:rFonts w:ascii="Narkisim" w:hAnsi="Narkisim" w:cs="Narkisim"/>
          <w:rtl/>
        </w:rPr>
        <w:t xml:space="preserve"> (כתובות פה:) דלא אשכחן דמהני סימנין להוציא ממון מרשות המוחזק. דלא הוזכרו סימנים אלא דוקא גבי מציאה שהתופס אין לו בו שום זכיה. והריטב"א תי' דדוקא ע"י עדי פקדון מהני להוציא</w:t>
      </w:r>
      <w:r w:rsidRPr="007119D6">
        <w:rPr>
          <w:rStyle w:val="ac"/>
          <w:rFonts w:ascii="Narkisim" w:hAnsi="Narkisim" w:cs="Narkisim"/>
          <w:rtl/>
        </w:rPr>
        <w:footnoteReference w:id="7760"/>
      </w:r>
      <w:r w:rsidRPr="007119D6">
        <w:rPr>
          <w:rFonts w:ascii="Narkisim" w:hAnsi="Narkisim" w:cs="Narkisim"/>
          <w:rtl/>
        </w:rPr>
        <w:t xml:space="preserve">. </w:t>
      </w:r>
      <w:r w:rsidRPr="007119D6">
        <w:rPr>
          <w:rFonts w:ascii="Narkisim" w:hAnsi="Narkisim" w:cs="Narkisim"/>
          <w:szCs w:val="20"/>
          <w:rtl/>
        </w:rPr>
        <w:t>[ומשמע דכה"ג לא נחשב שמוציאין ממון ע"י סימנים, אלא ע"י עדות הפקדון. כיון דע"י סימנים הוחזקו שהוא חפץ שהופקד. וכדברי הקצות</w:t>
      </w:r>
      <w:r w:rsidRPr="007119D6">
        <w:rPr>
          <w:rFonts w:ascii="Narkisim" w:hAnsi="Narkisim" w:cs="Narkisim"/>
          <w:rtl/>
        </w:rPr>
        <w:t>].</w:t>
      </w:r>
    </w:p>
    <w:p w14:paraId="60BC4605" w14:textId="77777777" w:rsidR="006C4368" w:rsidRPr="007119D6" w:rsidRDefault="006C4368" w:rsidP="006C4368">
      <w:pPr>
        <w:bidi/>
        <w:rPr>
          <w:rFonts w:ascii="Narkisim" w:hAnsi="Narkisim" w:cs="Narkisim"/>
        </w:rPr>
      </w:pPr>
      <w:r w:rsidRPr="007119D6">
        <w:rPr>
          <w:rFonts w:ascii="Narkisim" w:hAnsi="Narkisim" w:cs="Narkisim"/>
          <w:u w:val="single"/>
          <w:rtl/>
        </w:rPr>
        <w:t>א"ל רבא מי דמי התם קאמרי סימנים</w:t>
      </w:r>
      <w:r w:rsidRPr="007119D6">
        <w:rPr>
          <w:rFonts w:ascii="Narkisim" w:hAnsi="Narkisim" w:cs="Narkisim"/>
          <w:rtl/>
        </w:rPr>
        <w:t>. ה</w:t>
      </w:r>
      <w:r w:rsidRPr="007119D6">
        <w:rPr>
          <w:rFonts w:ascii="Narkisim" w:hAnsi="Narkisim" w:cs="Narkisim"/>
          <w:b/>
          <w:bCs/>
          <w:rtl/>
        </w:rPr>
        <w:t>קצות</w:t>
      </w:r>
      <w:r w:rsidRPr="007119D6">
        <w:rPr>
          <w:rFonts w:ascii="Narkisim" w:hAnsi="Narkisim" w:cs="Narkisim"/>
          <w:rtl/>
        </w:rPr>
        <w:t xml:space="preserve"> (רנט ב) העמיד דיש ב' נידונים האם לסמוך אסימנים, האם חיישינן שמא איתרמי חפץ אחר עם סימן זה. ועוד יש חשש משקר, האם מהני מה שכוון סימניה. או דחיישינן דמיחזי חזי או כסומא בארובה. </w:t>
      </w:r>
      <w:r w:rsidRPr="007119D6">
        <w:rPr>
          <w:rFonts w:ascii="Narkisim" w:hAnsi="Narkisim" w:cs="Narkisim"/>
          <w:szCs w:val="20"/>
          <w:rtl/>
        </w:rPr>
        <w:t>[ונפק"מ היכא דהעדים מעידים על חפץ עם סימן כזה. וכן נפק”מ בסימן מובהק, דלא חיישינן דאיתרמי חפץ אחר, אך יש חשש מיחזי חזי או כסומא בארובה. וע”ע לקמן קכ.]</w:t>
      </w:r>
      <w:r w:rsidRPr="007119D6">
        <w:rPr>
          <w:rFonts w:ascii="Narkisim" w:hAnsi="Narkisim" w:cs="Narkisim"/>
          <w:rtl/>
        </w:rPr>
        <w:t>.</w:t>
      </w:r>
    </w:p>
    <w:p w14:paraId="31D71B70" w14:textId="77777777" w:rsidR="006C4368" w:rsidRPr="007119D6" w:rsidRDefault="006C4368" w:rsidP="006C4368">
      <w:pPr>
        <w:pStyle w:val="aa"/>
        <w:bidi/>
        <w:rPr>
          <w:rFonts w:ascii="Narkisim" w:hAnsi="Narkisim"/>
        </w:rPr>
      </w:pPr>
      <w:r w:rsidRPr="007119D6">
        <w:rPr>
          <w:rFonts w:ascii="Narkisim" w:hAnsi="Narkisim"/>
          <w:u w:val="single"/>
          <w:rtl/>
        </w:rPr>
        <w:t>והא וכן וכן הויין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ובדוק ותמצא כחשבוני וכו'. ה</w:t>
      </w:r>
      <w:r w:rsidRPr="007119D6">
        <w:rPr>
          <w:rFonts w:ascii="Narkisim" w:hAnsi="Narkisim"/>
          <w:b/>
          <w:bCs/>
          <w:rtl/>
        </w:rPr>
        <w:t>רמב"ן</w:t>
      </w:r>
      <w:r w:rsidRPr="007119D6">
        <w:rPr>
          <w:rFonts w:ascii="Narkisim" w:hAnsi="Narkisim"/>
          <w:rtl/>
        </w:rPr>
        <w:t xml:space="preserve"> דייק דמחוייב לבדוק כדבריו. וחלק דאי' (ב"ב מו. גבי רמאי דפומבדיתא) דאי"צ להוציא ולבדוק את הסימנין. אלא דאיירי שעדים ראו שכך וכך יש בחבית. וה</w:t>
      </w:r>
      <w:r w:rsidRPr="007119D6">
        <w:rPr>
          <w:rFonts w:ascii="Narkisim" w:hAnsi="Narkisim"/>
          <w:b/>
          <w:bCs/>
          <w:rtl/>
        </w:rPr>
        <w:t>רשב"א</w:t>
      </w:r>
      <w:r w:rsidRPr="007119D6">
        <w:rPr>
          <w:rFonts w:ascii="Narkisim" w:hAnsi="Narkisim"/>
          <w:rtl/>
        </w:rPr>
        <w:t xml:space="preserve"> כת' דהכי הוה עובדא שבדקו.</w:t>
      </w:r>
    </w:p>
    <w:p w14:paraId="24446790" w14:textId="77777777" w:rsidR="006C4368" w:rsidRPr="007119D6" w:rsidRDefault="006C4368" w:rsidP="006C4368">
      <w:pPr>
        <w:bidi/>
        <w:rPr>
          <w:rFonts w:ascii="Narkisim" w:hAnsi="Narkisim" w:cs="Narkisim"/>
        </w:rPr>
      </w:pPr>
      <w:r w:rsidRPr="007119D6">
        <w:rPr>
          <w:rFonts w:ascii="Narkisim" w:hAnsi="Narkisim" w:cs="Narkisim"/>
          <w:u w:val="single"/>
          <w:rtl/>
        </w:rPr>
        <w:lastRenderedPageBreak/>
        <w:t>תוד"ה וכן</w:t>
      </w:r>
      <w:r w:rsidRPr="007119D6">
        <w:rPr>
          <w:rFonts w:ascii="Narkisim" w:hAnsi="Narkisim" w:cs="Narkisim"/>
          <w:rtl/>
        </w:rPr>
        <w:t>. ואור"י דהפקיד אצלו בעדים</w:t>
      </w:r>
      <w:r w:rsidRPr="007119D6">
        <w:rPr>
          <w:rStyle w:val="ac"/>
          <w:rFonts w:ascii="Narkisim" w:hAnsi="Narkisim" w:cs="Narkisim"/>
          <w:rtl/>
        </w:rPr>
        <w:footnoteReference w:id="7761"/>
      </w:r>
      <w:r w:rsidRPr="007119D6">
        <w:rPr>
          <w:rFonts w:ascii="Narkisim" w:hAnsi="Narkisim" w:cs="Narkisim"/>
          <w:rtl/>
        </w:rPr>
        <w:t xml:space="preserve"> וכו' דאי ליכא עדים מה מועיל הסימן, יכול לומר לקוחין הן בידי וכו'. אבל </w:t>
      </w:r>
      <w:r w:rsidRPr="007119D6">
        <w:rPr>
          <w:rFonts w:ascii="Narkisim" w:hAnsi="Narkisim" w:cs="Narkisim"/>
          <w:b/>
          <w:bCs/>
          <w:rtl/>
        </w:rPr>
        <w:t>תוס'</w:t>
      </w:r>
      <w:r w:rsidRPr="007119D6">
        <w:rPr>
          <w:rFonts w:ascii="Narkisim" w:hAnsi="Narkisim" w:cs="Narkisim"/>
          <w:rtl/>
        </w:rPr>
        <w:t xml:space="preserve"> (ב"מ ע.) כת' דהכא לא היה טוען לקוחין, אלא שאומר כמו שאירע הסימן בשלך כן אירע בשלי. ומש”ה אינו נאמן נגד הסימנים. אבל היכא שהנפקד טוען לקוחין הן בידי, או שלי היו מעולם ובני ביתי הגידו לך הסימן ל"מ סימנים.</w:t>
      </w:r>
    </w:p>
    <w:p w14:paraId="6F45CAEA"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כת' דהכא אינו נאמן נגד הסימן, ואף דיש לו מיגו [דלקוחין] ל"מ, דהוי מגו במקום עדים.</w:t>
      </w:r>
    </w:p>
    <w:p w14:paraId="63865769"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ש”ך</w:t>
      </w:r>
      <w:r w:rsidRPr="007119D6">
        <w:rPr>
          <w:rFonts w:ascii="Narkisim" w:hAnsi="Narkisim"/>
          <w:rtl/>
        </w:rPr>
        <w:t xml:space="preserve"> (חו"מ רצז) הביא דברי התוס' (שם) דאינו נאמן במיגו נגד סימן מובהק</w:t>
      </w:r>
      <w:r w:rsidRPr="007119D6">
        <w:rPr>
          <w:rStyle w:val="ac"/>
          <w:rFonts w:ascii="Narkisim" w:hAnsi="Narkisim"/>
          <w:rtl/>
        </w:rPr>
        <w:footnoteReference w:id="7762"/>
      </w:r>
      <w:r w:rsidRPr="007119D6">
        <w:rPr>
          <w:rFonts w:ascii="Narkisim" w:hAnsi="Narkisim"/>
          <w:rtl/>
        </w:rPr>
        <w:t>.</w:t>
      </w:r>
    </w:p>
    <w:p w14:paraId="33D44045"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ריטב"א</w:t>
      </w:r>
      <w:r w:rsidRPr="007119D6">
        <w:rPr>
          <w:rFonts w:ascii="Narkisim" w:hAnsi="Narkisim" w:cs="Narkisim"/>
          <w:rtl/>
        </w:rPr>
        <w:t xml:space="preserve"> (והו' בנמוק"י, וכן בש"ך שם) כת' דה"ה בלא עדי פקדון, כיון שהוא מודה בפקדון, וזה נותן סימן מובהק, ויש עדים שיש ברשות הנפקד חפץ בסימן זה. אינו נאמן לומר שקלתיה, ואפי' שיש לו מיגו</w:t>
      </w:r>
      <w:r w:rsidRPr="007119D6">
        <w:rPr>
          <w:rStyle w:val="ac"/>
          <w:rFonts w:ascii="Narkisim" w:hAnsi="Narkisim" w:cs="Narkisim"/>
          <w:rtl/>
        </w:rPr>
        <w:footnoteReference w:id="7763"/>
      </w:r>
      <w:r w:rsidRPr="007119D6">
        <w:rPr>
          <w:rFonts w:ascii="Narkisim" w:hAnsi="Narkisim" w:cs="Narkisim"/>
          <w:rtl/>
        </w:rPr>
        <w:t>. [דל"מ מיגו במקום סימנים]. וה</w:t>
      </w:r>
      <w:r w:rsidRPr="007119D6">
        <w:rPr>
          <w:rFonts w:ascii="Narkisim" w:hAnsi="Narkisim" w:cs="Narkisim"/>
          <w:b/>
          <w:bCs/>
          <w:rtl/>
        </w:rPr>
        <w:t>נמוק"י</w:t>
      </w:r>
      <w:r w:rsidRPr="007119D6">
        <w:rPr>
          <w:rFonts w:ascii="Narkisim" w:hAnsi="Narkisim" w:cs="Narkisim"/>
          <w:rtl/>
        </w:rPr>
        <w:t xml:space="preserve"> כת' דכ"נ דעת הרשב"א דכל היכא דאיכא עדי פקדון לא בעי סימן מובהק.</w:t>
      </w:r>
    </w:p>
    <w:p w14:paraId="70B26AD5" w14:textId="77777777" w:rsidR="006C4368" w:rsidRPr="007119D6" w:rsidRDefault="006C4368" w:rsidP="006C4368">
      <w:pPr>
        <w:pStyle w:val="aa"/>
        <w:bidi/>
        <w:rPr>
          <w:rFonts w:ascii="Narkisim" w:hAnsi="Narkisim"/>
        </w:rPr>
      </w:pPr>
      <w:r w:rsidRPr="007119D6">
        <w:rPr>
          <w:rFonts w:ascii="Narkisim" w:hAnsi="Narkisim"/>
          <w:u w:val="single"/>
          <w:rtl/>
        </w:rPr>
        <w:t>בא"ד וכן הא דאמר (ב"מ ע.) וכו' אבל כלים לא, דלמא אפקדינהו גביה ויהיב סימנא ושקיל ליה</w:t>
      </w:r>
      <w:r w:rsidRPr="007119D6">
        <w:rPr>
          <w:rStyle w:val="ac"/>
          <w:rFonts w:ascii="Narkisim" w:hAnsi="Narkisim"/>
          <w:u w:val="single"/>
          <w:rtl/>
        </w:rPr>
        <w:footnoteReference w:id="7764"/>
      </w:r>
      <w:r w:rsidRPr="007119D6">
        <w:rPr>
          <w:rFonts w:ascii="Narkisim" w:hAnsi="Narkisim"/>
          <w:u w:val="single"/>
          <w:rtl/>
        </w:rPr>
        <w:t xml:space="preserve"> וכו'</w:t>
      </w:r>
      <w:r w:rsidRPr="007119D6">
        <w:rPr>
          <w:rFonts w:ascii="Narkisim" w:hAnsi="Narkisim"/>
          <w:rtl/>
        </w:rPr>
        <w:t xml:space="preserve">. אבל </w:t>
      </w:r>
      <w:r w:rsidRPr="007119D6">
        <w:rPr>
          <w:rFonts w:ascii="Narkisim" w:hAnsi="Narkisim"/>
          <w:b/>
          <w:bCs/>
          <w:rtl/>
        </w:rPr>
        <w:t>תוס'</w:t>
      </w:r>
      <w:r w:rsidRPr="007119D6">
        <w:rPr>
          <w:rFonts w:ascii="Narkisim" w:hAnsi="Narkisim"/>
          <w:rtl/>
        </w:rPr>
        <w:t xml:space="preserve"> (ב"מ שם) דחו דחיישינן שמא יבא לאחר מיתת הנפקד, וכיון דלא אמיד יוציאו מידו. (וע"פ הגמ' כתובות הו' בסמוך). אך </w:t>
      </w:r>
      <w:r w:rsidRPr="007119D6">
        <w:rPr>
          <w:rFonts w:ascii="Narkisim" w:hAnsi="Narkisim"/>
          <w:b/>
          <w:bCs/>
          <w:rtl/>
        </w:rPr>
        <w:t>תוס'</w:t>
      </w:r>
      <w:r w:rsidRPr="007119D6">
        <w:rPr>
          <w:rFonts w:ascii="Narkisim" w:hAnsi="Narkisim"/>
          <w:rtl/>
        </w:rPr>
        <w:t xml:space="preserve"> דחו דא"כ סגי שהנפקד אומר בפני בי"ד שהוא שלו.</w:t>
      </w:r>
    </w:p>
    <w:p w14:paraId="07B9706F" w14:textId="77777777" w:rsidR="006C4368" w:rsidRPr="007119D6" w:rsidRDefault="006C4368" w:rsidP="006C4368">
      <w:pPr>
        <w:pStyle w:val="a8"/>
        <w:bidi/>
        <w:rPr>
          <w:rFonts w:ascii="Narkisim" w:hAnsi="Narkisim"/>
        </w:rPr>
      </w:pPr>
      <w:r w:rsidRPr="007119D6">
        <w:rPr>
          <w:rFonts w:ascii="Narkisim" w:hAnsi="Narkisim"/>
          <w:rtl/>
        </w:rPr>
        <w:t>ועוד כת' דהתם ע"י שיבאו עדים שהפקיד בידו חפץ שיש בו סימן זה, וע"י הסימנים</w:t>
      </w:r>
      <w:r w:rsidRPr="007119D6">
        <w:rPr>
          <w:rStyle w:val="ac"/>
          <w:rFonts w:ascii="Narkisim" w:hAnsi="Narkisim"/>
          <w:rtl/>
        </w:rPr>
        <w:footnoteReference w:id="7765"/>
      </w:r>
      <w:r w:rsidRPr="007119D6">
        <w:rPr>
          <w:rFonts w:ascii="Narkisim" w:hAnsi="Narkisim"/>
          <w:rtl/>
        </w:rPr>
        <w:t xml:space="preserve"> יוציאו את החפץ ושמא יכירו את זה.</w:t>
      </w:r>
    </w:p>
    <w:p w14:paraId="701AF9F5" w14:textId="77777777" w:rsidR="006C4368" w:rsidRPr="007119D6" w:rsidRDefault="006C4368" w:rsidP="006C4368">
      <w:pPr>
        <w:pStyle w:val="aa"/>
        <w:bidi/>
        <w:rPr>
          <w:rFonts w:ascii="Narkisim" w:hAnsi="Narkisim"/>
        </w:rPr>
      </w:pPr>
      <w:r w:rsidRPr="007119D6">
        <w:rPr>
          <w:rFonts w:ascii="Narkisim" w:hAnsi="Narkisim"/>
          <w:u w:val="single"/>
          <w:rtl/>
        </w:rPr>
        <w:t>בא"ד וי"ל ששני טעמים מצריך, דלא אמיד וקא יהיב סימנא</w:t>
      </w:r>
      <w:r w:rsidRPr="007119D6">
        <w:rPr>
          <w:rFonts w:ascii="Narkisim" w:hAnsi="Narkisim"/>
          <w:rtl/>
        </w:rPr>
        <w:t>. ו</w:t>
      </w:r>
      <w:r w:rsidRPr="007119D6">
        <w:rPr>
          <w:rFonts w:ascii="Narkisim" w:hAnsi="Narkisim"/>
          <w:b/>
          <w:bCs/>
          <w:rtl/>
        </w:rPr>
        <w:t>תוס'</w:t>
      </w:r>
      <w:r w:rsidRPr="007119D6">
        <w:rPr>
          <w:rFonts w:ascii="Narkisim" w:hAnsi="Narkisim"/>
          <w:rtl/>
        </w:rPr>
        <w:t xml:space="preserve"> (ב"מ ע:) תי' דעיקר הטעם משום דלא אמיד</w:t>
      </w:r>
      <w:r w:rsidRPr="007119D6">
        <w:rPr>
          <w:rStyle w:val="ac"/>
          <w:rFonts w:ascii="Narkisim" w:hAnsi="Narkisim"/>
          <w:rtl/>
        </w:rPr>
        <w:footnoteReference w:id="7766"/>
      </w:r>
      <w:r w:rsidRPr="007119D6">
        <w:rPr>
          <w:rFonts w:ascii="Narkisim" w:hAnsi="Narkisim"/>
          <w:rtl/>
        </w:rPr>
        <w:t>. וה"ק דאפי' ל"מ טעם דלא אמיד לחוד, יהני צירוף הטעמים.</w:t>
      </w:r>
    </w:p>
    <w:p w14:paraId="55F42F94" w14:textId="77777777" w:rsidR="006C4368" w:rsidRPr="007119D6" w:rsidRDefault="006C4368" w:rsidP="006C4368">
      <w:pPr>
        <w:bidi/>
        <w:rPr>
          <w:rFonts w:ascii="Narkisim" w:hAnsi="Narkisim" w:cs="Narkisim"/>
        </w:rPr>
      </w:pPr>
      <w:r w:rsidRPr="007119D6">
        <w:rPr>
          <w:rFonts w:ascii="Narkisim" w:hAnsi="Narkisim" w:cs="Narkisim"/>
          <w:u w:val="single"/>
          <w:rtl/>
        </w:rPr>
        <w:t>תוד"ה אתרמויי</w:t>
      </w:r>
      <w:r w:rsidRPr="007119D6">
        <w:rPr>
          <w:rFonts w:ascii="Narkisim" w:hAnsi="Narkisim" w:cs="Narkisim"/>
          <w:rtl/>
        </w:rPr>
        <w:t>. מדמשקל הוה סימן, מדה ומנין נמי הוי סימן וכו'. וה</w:t>
      </w:r>
      <w:r w:rsidRPr="007119D6">
        <w:rPr>
          <w:rFonts w:ascii="Narkisim" w:hAnsi="Narkisim" w:cs="Narkisim"/>
          <w:b/>
          <w:bCs/>
          <w:rtl/>
        </w:rPr>
        <w:t>תוס' הרא"ש</w:t>
      </w:r>
      <w:r w:rsidRPr="007119D6">
        <w:rPr>
          <w:rFonts w:ascii="Narkisim" w:hAnsi="Narkisim" w:cs="Narkisim"/>
          <w:rtl/>
        </w:rPr>
        <w:t xml:space="preserve"> תי' דאין לדמות סימן דהשבת אבידה לסימן שעל ידו מוציאין דבר מחזקת בעליו. וכ"כ ה</w:t>
      </w:r>
      <w:r w:rsidRPr="007119D6">
        <w:rPr>
          <w:rFonts w:ascii="Narkisim" w:hAnsi="Narkisim" w:cs="Narkisim"/>
          <w:b/>
          <w:bCs/>
          <w:rtl/>
        </w:rPr>
        <w:t>ריטב"א</w:t>
      </w:r>
      <w:r w:rsidRPr="007119D6">
        <w:rPr>
          <w:rFonts w:ascii="Narkisim" w:hAnsi="Narkisim" w:cs="Narkisim"/>
          <w:rtl/>
        </w:rPr>
        <w:t xml:space="preserve"> דאף למ"ד דמנין ומקום הוי סימן, ה"מ גבי מציאה, אבל לא להוציא ממון מחזקתו</w:t>
      </w:r>
      <w:r w:rsidRPr="007119D6">
        <w:rPr>
          <w:rStyle w:val="ac"/>
          <w:rFonts w:ascii="Narkisim" w:hAnsi="Narkisim" w:cs="Narkisim"/>
          <w:rtl/>
        </w:rPr>
        <w:footnoteReference w:id="7767"/>
      </w:r>
      <w:r w:rsidRPr="007119D6">
        <w:rPr>
          <w:rFonts w:ascii="Narkisim" w:hAnsi="Narkisim" w:cs="Narkisim"/>
          <w:rtl/>
        </w:rPr>
        <w:t>.</w:t>
      </w:r>
    </w:p>
    <w:p w14:paraId="13D2191C" w14:textId="77777777" w:rsidR="006C4368" w:rsidRPr="007119D6" w:rsidRDefault="006C4368" w:rsidP="006C4368">
      <w:pPr>
        <w:pStyle w:val="a7"/>
        <w:bidi/>
        <w:rPr>
          <w:rFonts w:ascii="Narkisim" w:hAnsi="Narkisim"/>
        </w:rPr>
      </w:pPr>
      <w:r w:rsidRPr="007119D6">
        <w:rPr>
          <w:rFonts w:ascii="Narkisim" w:hAnsi="Narkisim"/>
          <w:rtl/>
        </w:rPr>
        <w:t>וב</w:t>
      </w:r>
      <w:r w:rsidRPr="007119D6">
        <w:rPr>
          <w:rFonts w:ascii="Narkisim" w:hAnsi="Narkisim"/>
          <w:b/>
          <w:bCs/>
          <w:rtl/>
        </w:rPr>
        <w:t>הג' מים חיים</w:t>
      </w:r>
      <w:r w:rsidRPr="007119D6">
        <w:rPr>
          <w:rFonts w:ascii="Narkisim" w:hAnsi="Narkisim"/>
          <w:rtl/>
        </w:rPr>
        <w:t xml:space="preserve"> דן דהתם אין אדם מכחישו, אבל הכא הנפקד מכחישו. ומש"ה לא מהני סימן גרוע.</w:t>
      </w:r>
    </w:p>
    <w:p w14:paraId="7E1A0090"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w:t>
      </w:r>
      <w:r w:rsidRPr="007119D6">
        <w:rPr>
          <w:rFonts w:ascii="Narkisim" w:hAnsi="Narkisim" w:cs="Narkisim"/>
          <w:b/>
          <w:bCs/>
          <w:rtl/>
        </w:rPr>
        <w:t>ה"ה</w:t>
      </w:r>
      <w:r w:rsidRPr="007119D6">
        <w:rPr>
          <w:rFonts w:ascii="Narkisim" w:hAnsi="Narkisim" w:cs="Narkisim"/>
          <w:rtl/>
        </w:rPr>
        <w:t xml:space="preserve"> (שאלה ו ד) כת' והטעם [דאין מוציאין ע"פ המדה] לפי שאין מנין סימן מובהק לגמרי.</w:t>
      </w:r>
    </w:p>
    <w:p w14:paraId="469499C2" w14:textId="77777777" w:rsidR="006C4368" w:rsidRPr="007119D6" w:rsidRDefault="006C4368" w:rsidP="006C4368">
      <w:pPr>
        <w:bidi/>
        <w:rPr>
          <w:rFonts w:ascii="Narkisim" w:hAnsi="Narkisim" w:cs="Narkisim"/>
        </w:rPr>
      </w:pPr>
      <w:r w:rsidRPr="007119D6">
        <w:rPr>
          <w:rFonts w:ascii="Narkisim" w:hAnsi="Narkisim" w:cs="Narkisim"/>
          <w:u w:val="single"/>
          <w:rtl/>
        </w:rPr>
        <w:t>ומי חיישינן שמא פינן, והתנן מצא כלי וכתוב עליו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היכא דסימנא קמא איתא קמן. [משמע דהוה צירוף בין סימנים לחזקת כאן נמצא כאן היה]. ואף הסימן שרשום על הכלי נחשב 'סימן'</w:t>
      </w:r>
      <w:r w:rsidRPr="007119D6">
        <w:rPr>
          <w:rStyle w:val="ac"/>
          <w:rFonts w:ascii="Narkisim" w:hAnsi="Narkisim" w:cs="Narkisim"/>
          <w:rtl/>
        </w:rPr>
        <w:footnoteReference w:id="7768"/>
      </w:r>
      <w:r w:rsidRPr="007119D6">
        <w:rPr>
          <w:rFonts w:ascii="Narkisim" w:hAnsi="Narkisim" w:cs="Narkisim"/>
          <w:rtl/>
        </w:rPr>
        <w:t>.</w:t>
      </w:r>
    </w:p>
    <w:p w14:paraId="4DDB94A6"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(ד"ה ומי) וה</w:t>
      </w:r>
      <w:r w:rsidRPr="007119D6">
        <w:rPr>
          <w:rFonts w:ascii="Narkisim" w:hAnsi="Narkisim" w:cs="Narkisim"/>
          <w:b/>
          <w:bCs/>
          <w:rtl/>
        </w:rPr>
        <w:t>תו"י</w:t>
      </w:r>
      <w:r w:rsidRPr="007119D6">
        <w:rPr>
          <w:rFonts w:ascii="Narkisim" w:hAnsi="Narkisim" w:cs="Narkisim"/>
          <w:rtl/>
        </w:rPr>
        <w:t xml:space="preserve"> הק' דבסוגיין חיישינן מספק שמא פינן, דאין להוציא ממון. אבל התם חיישינן לחומרא דהוה תרומה. ו</w:t>
      </w:r>
      <w:r w:rsidRPr="007119D6">
        <w:rPr>
          <w:rFonts w:ascii="Narkisim" w:hAnsi="Narkisim" w:cs="Narkisim"/>
          <w:b/>
          <w:bCs/>
          <w:rtl/>
        </w:rPr>
        <w:t>תוס'</w:t>
      </w:r>
      <w:r w:rsidRPr="007119D6">
        <w:rPr>
          <w:rFonts w:ascii="Narkisim" w:hAnsi="Narkisim" w:cs="Narkisim"/>
          <w:rtl/>
        </w:rPr>
        <w:t xml:space="preserve"> כת' דהתם יש חשש טפי, ומש"ה מדמה להו. וה</w:t>
      </w:r>
      <w:r w:rsidRPr="007119D6">
        <w:rPr>
          <w:rFonts w:ascii="Narkisim" w:hAnsi="Narkisim" w:cs="Narkisim"/>
          <w:b/>
          <w:bCs/>
          <w:rtl/>
        </w:rPr>
        <w:t>תו"י</w:t>
      </w:r>
      <w:r w:rsidRPr="007119D6">
        <w:rPr>
          <w:rFonts w:ascii="Narkisim" w:hAnsi="Narkisim" w:cs="Narkisim"/>
          <w:rtl/>
        </w:rPr>
        <w:t xml:space="preserve"> תי' דמשמע דהתם [ע"י אות ט'] הוה טבל בתורת ודאי, ומעשר ממנו על טבל ודאי במקום אחר.</w:t>
      </w:r>
    </w:p>
    <w:p w14:paraId="7BE270BA" w14:textId="77777777" w:rsidR="006C4368" w:rsidRPr="007119D6" w:rsidRDefault="006C4368" w:rsidP="006C4368">
      <w:pPr>
        <w:bidi/>
        <w:rPr>
          <w:rFonts w:ascii="Narkisim" w:hAnsi="Narkisim" w:cs="Narkisim"/>
        </w:rPr>
      </w:pPr>
      <w:r w:rsidRPr="007119D6">
        <w:rPr>
          <w:rFonts w:ascii="Narkisim" w:hAnsi="Narkisim" w:cs="Narkisim"/>
          <w:u w:val="single"/>
          <w:rtl/>
        </w:rPr>
        <w:t>אימא סיפא ר' יוסי אומר וכו' הרי אלו חולין</w:t>
      </w:r>
      <w:r w:rsidRPr="007119D6">
        <w:rPr>
          <w:rStyle w:val="ac"/>
          <w:rFonts w:ascii="Narkisim" w:hAnsi="Narkisim" w:cs="Narkisim"/>
          <w:u w:val="single"/>
          <w:rtl/>
        </w:rPr>
        <w:footnoteReference w:id="7769"/>
      </w:r>
      <w:r w:rsidRPr="007119D6">
        <w:rPr>
          <w:rFonts w:ascii="Narkisim" w:hAnsi="Narkisim" w:cs="Narkisim"/>
          <w:u w:val="single"/>
          <w:rtl/>
        </w:rPr>
        <w:t xml:space="preserve">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דאזלי' בתר רוב. [דהרוב חולין].</w:t>
      </w:r>
    </w:p>
    <w:p w14:paraId="390B9A43" w14:textId="77777777" w:rsidR="006C4368" w:rsidRPr="007119D6" w:rsidRDefault="006C4368" w:rsidP="006C4368">
      <w:pPr>
        <w:pStyle w:val="a8"/>
        <w:bidi/>
        <w:rPr>
          <w:rFonts w:ascii="Narkisim" w:hAnsi="Narkisim"/>
        </w:rPr>
      </w:pPr>
      <w:r w:rsidRPr="007119D6">
        <w:rPr>
          <w:rFonts w:ascii="Narkisim" w:hAnsi="Narkisim"/>
          <w:rtl/>
        </w:rPr>
        <w:lastRenderedPageBreak/>
        <w:t>וה</w:t>
      </w:r>
      <w:r w:rsidRPr="007119D6">
        <w:rPr>
          <w:rFonts w:ascii="Narkisim" w:hAnsi="Narkisim"/>
          <w:b/>
          <w:bCs/>
          <w:rtl/>
        </w:rPr>
        <w:t>מצפ"א</w:t>
      </w:r>
      <w:r w:rsidRPr="007119D6">
        <w:rPr>
          <w:rFonts w:ascii="Narkisim" w:hAnsi="Narkisim"/>
          <w:rtl/>
        </w:rPr>
        <w:t xml:space="preserve"> כת' דאף למ"ד דבעלמא חיישינן למיעוטא (ע' לקמן קיט.), ה"מ היכא דהמיעוט מצוי</w:t>
      </w:r>
      <w:r w:rsidRPr="007119D6">
        <w:rPr>
          <w:rStyle w:val="ac"/>
          <w:rFonts w:ascii="Narkisim" w:hAnsi="Narkisim"/>
          <w:rtl/>
        </w:rPr>
        <w:footnoteReference w:id="7770"/>
      </w:r>
      <w:r w:rsidRPr="007119D6">
        <w:rPr>
          <w:rFonts w:ascii="Narkisim" w:hAnsi="Narkisim"/>
          <w:rtl/>
        </w:rPr>
        <w:t>. אבל הכא נחשב מיעוט שאינו מצוי.</w:t>
      </w:r>
    </w:p>
    <w:p w14:paraId="0D29DE93"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(לעיל פב: בשם רבינו שמואל) הק' דבסוגיין ר' יוסי סבר 'שאני אומר' שפינן, ואילו בסוגיה (לעיל פב:) אי' דבתרומה דאורייתא לא אמרי' שאני אומר. ותי' דלא דמי כלל, ואטו כל שאני אומר בחדא מחתא מחתינהו. דבודאי תלינן דאשתקד היתה מלאה ופינה, ואף רבנן פליגי רק משום שהכתב מוכיח. דאזלינן בתר רוב פירות ורוב תשמישו של הכלי פירות חולין. ור' יוסי ס"ל דהוה כאילו אין כתב.</w:t>
      </w:r>
    </w:p>
    <w:p w14:paraId="1A4C65E7" w14:textId="77777777" w:rsidR="006C4368" w:rsidRPr="007119D6" w:rsidRDefault="006C4368" w:rsidP="006C4368">
      <w:pPr>
        <w:pStyle w:val="aa"/>
        <w:bidi/>
        <w:rPr>
          <w:rFonts w:ascii="Narkisim" w:hAnsi="Narkisim"/>
        </w:rPr>
      </w:pPr>
      <w:r w:rsidRPr="007119D6">
        <w:rPr>
          <w:rFonts w:ascii="Narkisim" w:hAnsi="Narkisim"/>
          <w:u w:val="single"/>
          <w:rtl/>
        </w:rPr>
        <w:t>תוד"ה אימור</w:t>
      </w:r>
      <w:r w:rsidRPr="007119D6">
        <w:rPr>
          <w:rFonts w:ascii="Narkisim" w:hAnsi="Narkisim"/>
          <w:rtl/>
        </w:rPr>
        <w:t>. פר"ח בירושלמי וכו' א"ל אשתקד הוה דידיה, והשתא דידי</w:t>
      </w:r>
      <w:r w:rsidRPr="007119D6">
        <w:rPr>
          <w:rStyle w:val="ac"/>
          <w:rFonts w:ascii="Narkisim" w:hAnsi="Narkisim"/>
          <w:rtl/>
        </w:rPr>
        <w:footnoteReference w:id="7771"/>
      </w:r>
      <w:r w:rsidRPr="007119D6">
        <w:rPr>
          <w:rFonts w:ascii="Narkisim" w:hAnsi="Narkisim"/>
          <w:rtl/>
        </w:rPr>
        <w:t>. וכמסקנא דחיישינן שמא פינן. וצ"ב דבזה ל"ש לפנחיא שבקיה, ולכאורה תלי בתי' הגמ' אי הוה מח' ת"ק ור' יוסי.</w:t>
      </w:r>
    </w:p>
    <w:p w14:paraId="7FEE00BE" w14:textId="77777777" w:rsidR="006C4368" w:rsidRPr="007119D6" w:rsidRDefault="006C4368" w:rsidP="006C4368">
      <w:pPr>
        <w:pStyle w:val="2"/>
        <w:bidi/>
        <w:rPr>
          <w:rFonts w:ascii="Narkisim" w:hAnsi="Narkisim"/>
        </w:rPr>
      </w:pPr>
      <w:r w:rsidRPr="007119D6">
        <w:rPr>
          <w:rFonts w:ascii="Narkisim" w:hAnsi="Narkisim"/>
          <w:rtl/>
        </w:rPr>
        <w:t>תרי יצחק</w:t>
      </w:r>
    </w:p>
    <w:p w14:paraId="689F7135" w14:textId="77777777" w:rsidR="006C4368" w:rsidRPr="007119D6" w:rsidRDefault="006C4368" w:rsidP="006C4368">
      <w:pPr>
        <w:bidi/>
        <w:rPr>
          <w:rFonts w:ascii="Narkisim" w:hAnsi="Narkisim" w:cs="Narkisim"/>
        </w:rPr>
      </w:pPr>
      <w:r w:rsidRPr="007119D6">
        <w:rPr>
          <w:rFonts w:ascii="Narkisim" w:hAnsi="Narkisim" w:cs="Narkisim"/>
          <w:u w:val="single"/>
          <w:rtl/>
        </w:rPr>
        <w:t>יצחק ריש גלותא וכו' מי חיישינן</w:t>
      </w:r>
      <w:r w:rsidRPr="007119D6">
        <w:rPr>
          <w:rStyle w:val="ac"/>
          <w:rFonts w:ascii="Narkisim" w:hAnsi="Narkisim" w:cs="Narkisim"/>
          <w:u w:val="single"/>
          <w:rtl/>
        </w:rPr>
        <w:footnoteReference w:id="7772"/>
      </w:r>
      <w:r w:rsidRPr="007119D6">
        <w:rPr>
          <w:rFonts w:ascii="Narkisim" w:hAnsi="Narkisim" w:cs="Narkisim"/>
          <w:u w:val="single"/>
          <w:rtl/>
        </w:rPr>
        <w:t xml:space="preserve"> לתרי יצחק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היכא דלא הוחזקו ב' יוסף בן שמעון בעיר. ו</w:t>
      </w:r>
      <w:r w:rsidRPr="007119D6">
        <w:rPr>
          <w:rFonts w:ascii="Narkisim" w:hAnsi="Narkisim" w:cs="Narkisim"/>
          <w:b/>
          <w:bCs/>
          <w:rtl/>
        </w:rPr>
        <w:t>תוס'</w:t>
      </w:r>
      <w:r w:rsidRPr="007119D6">
        <w:rPr>
          <w:rFonts w:ascii="Narkisim" w:hAnsi="Narkisim" w:cs="Narkisim"/>
          <w:rtl/>
        </w:rPr>
        <w:t xml:space="preserve"> (ושא"ר) הוסיפו דאיירי במקום שהשיירות מצויות. ומבואר ב</w:t>
      </w:r>
      <w:r w:rsidRPr="007119D6">
        <w:rPr>
          <w:rFonts w:ascii="Narkisim" w:hAnsi="Narkisim" w:cs="Narkisim"/>
          <w:b/>
          <w:bCs/>
          <w:rtl/>
        </w:rPr>
        <w:t>תוס'</w:t>
      </w:r>
      <w:r w:rsidRPr="007119D6">
        <w:rPr>
          <w:rFonts w:ascii="Narkisim" w:hAnsi="Narkisim" w:cs="Narkisim"/>
          <w:rtl/>
        </w:rPr>
        <w:t xml:space="preserve"> וה</w:t>
      </w:r>
      <w:r w:rsidRPr="007119D6">
        <w:rPr>
          <w:rFonts w:ascii="Narkisim" w:hAnsi="Narkisim" w:cs="Narkisim"/>
          <w:b/>
          <w:bCs/>
          <w:rtl/>
        </w:rPr>
        <w:t>ראשונים</w:t>
      </w:r>
      <w:r w:rsidRPr="007119D6">
        <w:rPr>
          <w:rFonts w:ascii="Narkisim" w:hAnsi="Narkisim" w:cs="Narkisim"/>
          <w:rtl/>
        </w:rPr>
        <w:t xml:space="preserve"> (ע"ע בסמוך) דתלי במח' (גיטין כז: וב”מ יח:) במצא גט במקום שהשיירות מצויות ולא הוחזקו ב' יוסף בן שמעון, האם חיישינן לאחר</w:t>
      </w:r>
      <w:r w:rsidRPr="007119D6">
        <w:rPr>
          <w:rStyle w:val="ac"/>
          <w:rFonts w:ascii="Narkisim" w:hAnsi="Narkisim" w:cs="Narkisim"/>
          <w:rtl/>
        </w:rPr>
        <w:footnoteReference w:id="7773"/>
      </w:r>
      <w:r w:rsidRPr="007119D6">
        <w:rPr>
          <w:rFonts w:ascii="Narkisim" w:hAnsi="Narkisim" w:cs="Narkisim"/>
          <w:rtl/>
        </w:rPr>
        <w:t xml:space="preserve">. </w:t>
      </w:r>
      <w:r w:rsidRPr="007119D6">
        <w:rPr>
          <w:rFonts w:ascii="Narkisim" w:hAnsi="Narkisim" w:cs="Narkisim"/>
          <w:szCs w:val="20"/>
          <w:rtl/>
        </w:rPr>
        <w:t>דלדעת רבה לא חיישינן אא"כ הוחזקו ושיירות מצויות. ולחד לישנא לר' זירא אף דלא הוחזקו חיישינן, במקום שהשיירות מצויות. [וה</w:t>
      </w:r>
      <w:r w:rsidRPr="007119D6">
        <w:rPr>
          <w:rFonts w:ascii="Narkisim" w:hAnsi="Narkisim" w:cs="Narkisim"/>
          <w:b/>
          <w:bCs/>
          <w:szCs w:val="20"/>
          <w:rtl/>
        </w:rPr>
        <w:t>ראשונים</w:t>
      </w:r>
      <w:r w:rsidRPr="007119D6">
        <w:rPr>
          <w:rFonts w:ascii="Narkisim" w:hAnsi="Narkisim" w:cs="Narkisim"/>
          <w:szCs w:val="20"/>
          <w:rtl/>
        </w:rPr>
        <w:t xml:space="preserve"> (שם) דייקו דכ"ד ר' ירמיה ורב אשי</w:t>
      </w:r>
      <w:r w:rsidRPr="007119D6">
        <w:rPr>
          <w:rStyle w:val="ac"/>
          <w:rFonts w:ascii="Narkisim" w:hAnsi="Narkisim" w:cs="Narkisim"/>
          <w:szCs w:val="20"/>
          <w:rtl/>
        </w:rPr>
        <w:footnoteReference w:id="7774"/>
      </w:r>
      <w:r w:rsidRPr="007119D6">
        <w:rPr>
          <w:rFonts w:ascii="Narkisim" w:hAnsi="Narkisim" w:cs="Narkisim"/>
          <w:szCs w:val="20"/>
          <w:rtl/>
        </w:rPr>
        <w:t>].</w:t>
      </w:r>
    </w:p>
    <w:p w14:paraId="47C6E594" w14:textId="77777777" w:rsidR="006C4368" w:rsidRPr="007119D6" w:rsidRDefault="006C4368" w:rsidP="006C4368">
      <w:pPr>
        <w:bidi/>
        <w:rPr>
          <w:rFonts w:ascii="Narkisim" w:hAnsi="Narkisim" w:cs="Narkisim"/>
        </w:rPr>
      </w:pPr>
      <w:r w:rsidRPr="007119D6">
        <w:rPr>
          <w:rFonts w:ascii="Narkisim" w:hAnsi="Narkisim" w:cs="Narkisim"/>
          <w:rtl/>
        </w:rPr>
        <w:t>אבל ה</w:t>
      </w:r>
      <w:r w:rsidRPr="007119D6">
        <w:rPr>
          <w:rFonts w:ascii="Narkisim" w:hAnsi="Narkisim" w:cs="Narkisim"/>
          <w:b/>
          <w:bCs/>
          <w:rtl/>
        </w:rPr>
        <w:t>רמב"ן</w:t>
      </w:r>
      <w:r w:rsidRPr="007119D6">
        <w:rPr>
          <w:rFonts w:ascii="Narkisim" w:hAnsi="Narkisim" w:cs="Narkisim"/>
          <w:rtl/>
        </w:rPr>
        <w:t xml:space="preserve"> (בחי' ומלחמות, והו' בריטב”א) כת' דהנידון בסוגיין משום כאן נמצא כאן היה, ושייך לסוגיה דשומשמי (דלעיל). וביאר דאביי ורבא מודו דהיכא דשיירות מצויות ראוי לחשוש לב' יוסף בן שמעון, ומש"ה אביי חשש לב' יב"ש. אלא דרבא סבר כיון שהעדים שראו בו שמת העידו שהיה הולך מקורטובא לאספמיא, הוחזק אותו יצחק שם. ומש"ה אמרי' כאן נמצא וכאן היה, ואין חוששין שמא באה אחר לכאן ממקום אחר, ואותו יצחק שהוא מכאן הלך לו למקום אחר. אלא תולין שזה הנמצא כאן שראו אותו עכשיו בקורטובא הוא הידוע שהיה דר בעיר קורטובא. דומיא דעובדא דשני ת"ח לרב חסדא דלא אמרינן הני אזול לעלמא והני אחריני נינהו.</w:t>
      </w:r>
    </w:p>
    <w:p w14:paraId="34624B1D"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ביאר דסלקא שמעתתין כרבא דאמרי' כאן נמצא כאן היה, ומש"ה חוזר מאי הוי עלה דשומשמי. ואפסיקא הלכתא חיישינן שמא פינן, דמילתא דשכיחא היא ולא מפקינן ממונא באומדן דעתיה דכדי.</w:t>
      </w:r>
    </w:p>
    <w:p w14:paraId="39E8640A"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(וריטב"א ונמוק"י) כת' דעפ"ז רבא קאי לטעמיה (כתובות עה:, ולפנינו שם רבה) דאמרי' כאן נמצא כאן היה. [ואין מחזיקין ריעותא מרשות לרשות]. אך הק' דהתם המסקנא כרב אשי דל"ל כלל כאן נמצא כאן היה. [וכן קי"ל, ואילו בסוגיין קי"ל כרבא]. וה</w:t>
      </w:r>
      <w:r w:rsidRPr="007119D6">
        <w:rPr>
          <w:rFonts w:ascii="Narkisim" w:hAnsi="Narkisim"/>
          <w:b/>
          <w:bCs/>
          <w:rtl/>
        </w:rPr>
        <w:t>רשב"א</w:t>
      </w:r>
      <w:r w:rsidRPr="007119D6">
        <w:rPr>
          <w:rFonts w:ascii="Narkisim" w:hAnsi="Narkisim"/>
          <w:rtl/>
        </w:rPr>
        <w:t xml:space="preserve"> תי' דאף דבממון</w:t>
      </w:r>
      <w:r w:rsidRPr="007119D6">
        <w:rPr>
          <w:rStyle w:val="ac"/>
          <w:rFonts w:ascii="Narkisim" w:hAnsi="Narkisim"/>
          <w:rtl/>
        </w:rPr>
        <w:footnoteReference w:id="7775"/>
      </w:r>
      <w:r w:rsidRPr="007119D6">
        <w:rPr>
          <w:rFonts w:ascii="Narkisim" w:hAnsi="Narkisim"/>
          <w:rtl/>
        </w:rPr>
        <w:t xml:space="preserve"> קי"ל דלא אמרי' 'כאן נמצא כאן היה', אך קי"ל (נדה ד.) דמחזיקין טומאות במקום מציאתן וכשעת מציאתן</w:t>
      </w:r>
      <w:r w:rsidRPr="007119D6">
        <w:rPr>
          <w:rStyle w:val="ac"/>
          <w:rFonts w:ascii="Narkisim" w:hAnsi="Narkisim"/>
          <w:rtl/>
        </w:rPr>
        <w:footnoteReference w:id="7776"/>
      </w:r>
      <w:r w:rsidRPr="007119D6">
        <w:rPr>
          <w:rFonts w:ascii="Narkisim" w:hAnsi="Narkisim"/>
          <w:rtl/>
        </w:rPr>
        <w:t>. ומשום עיגונא הקילו</w:t>
      </w:r>
      <w:r w:rsidRPr="007119D6">
        <w:rPr>
          <w:rStyle w:val="ac"/>
          <w:rFonts w:ascii="Narkisim" w:hAnsi="Narkisim"/>
          <w:rtl/>
        </w:rPr>
        <w:footnoteReference w:id="7777"/>
      </w:r>
      <w:r w:rsidRPr="007119D6">
        <w:rPr>
          <w:rFonts w:ascii="Narkisim" w:hAnsi="Narkisim"/>
          <w:rtl/>
        </w:rPr>
        <w:t xml:space="preserve"> כאן לומר כאן נמצאו וכאן היו</w:t>
      </w:r>
      <w:r w:rsidRPr="007119D6">
        <w:rPr>
          <w:rStyle w:val="ac"/>
          <w:rFonts w:ascii="Narkisim" w:hAnsi="Narkisim"/>
          <w:rtl/>
        </w:rPr>
        <w:footnoteReference w:id="7778"/>
      </w:r>
      <w:r w:rsidRPr="007119D6">
        <w:rPr>
          <w:rFonts w:ascii="Narkisim" w:hAnsi="Narkisim"/>
          <w:rtl/>
        </w:rPr>
        <w:t>. [וה</w:t>
      </w:r>
      <w:r w:rsidRPr="007119D6">
        <w:rPr>
          <w:rFonts w:ascii="Narkisim" w:hAnsi="Narkisim"/>
          <w:b/>
          <w:bCs/>
          <w:rtl/>
        </w:rPr>
        <w:t>קהלת יעקב</w:t>
      </w:r>
      <w:r w:rsidRPr="007119D6">
        <w:rPr>
          <w:rFonts w:ascii="Narkisim" w:hAnsi="Narkisim"/>
          <w:rtl/>
        </w:rPr>
        <w:t xml:space="preserve"> (יז יח) ציין דכ"כ ה</w:t>
      </w:r>
      <w:r w:rsidRPr="007119D6">
        <w:rPr>
          <w:rFonts w:ascii="Narkisim" w:hAnsi="Narkisim"/>
          <w:b/>
          <w:bCs/>
          <w:rtl/>
        </w:rPr>
        <w:t>מלחמות</w:t>
      </w:r>
      <w:r w:rsidRPr="007119D6">
        <w:rPr>
          <w:rFonts w:ascii="Narkisim" w:hAnsi="Narkisim"/>
          <w:rtl/>
        </w:rPr>
        <w:t xml:space="preserve"> (בסו"ד, הנ"ל)</w:t>
      </w:r>
      <w:r w:rsidRPr="007119D6">
        <w:rPr>
          <w:rStyle w:val="ac"/>
          <w:rFonts w:ascii="Narkisim" w:hAnsi="Narkisim"/>
          <w:rtl/>
        </w:rPr>
        <w:footnoteReference w:id="7779"/>
      </w:r>
      <w:r w:rsidRPr="007119D6">
        <w:rPr>
          <w:rFonts w:ascii="Narkisim" w:hAnsi="Narkisim"/>
          <w:rtl/>
        </w:rPr>
        <w:t xml:space="preserve"> דלא מפקינן ממונא באומדן דעתא</w:t>
      </w:r>
      <w:r w:rsidRPr="007119D6">
        <w:rPr>
          <w:rStyle w:val="ac"/>
          <w:rFonts w:ascii="Narkisim" w:hAnsi="Narkisim"/>
          <w:rtl/>
        </w:rPr>
        <w:footnoteReference w:id="7780"/>
      </w:r>
      <w:r w:rsidRPr="007119D6">
        <w:rPr>
          <w:rFonts w:ascii="Narkisim" w:hAnsi="Narkisim"/>
          <w:rtl/>
        </w:rPr>
        <w:t>].</w:t>
      </w:r>
    </w:p>
    <w:p w14:paraId="23529892" w14:textId="77777777" w:rsidR="006C4368" w:rsidRPr="007119D6" w:rsidRDefault="006C4368" w:rsidP="006C4368">
      <w:pPr>
        <w:pStyle w:val="a8"/>
        <w:bidi/>
        <w:rPr>
          <w:rFonts w:ascii="Narkisim" w:hAnsi="Narkisim"/>
        </w:rPr>
      </w:pPr>
      <w:r w:rsidRPr="007119D6">
        <w:rPr>
          <w:rFonts w:ascii="Narkisim" w:hAnsi="Narkisim"/>
          <w:rtl/>
        </w:rPr>
        <w:lastRenderedPageBreak/>
        <w:t>אבל ה</w:t>
      </w:r>
      <w:r w:rsidRPr="007119D6">
        <w:rPr>
          <w:rFonts w:ascii="Narkisim" w:hAnsi="Narkisim"/>
          <w:b/>
          <w:bCs/>
          <w:rtl/>
        </w:rPr>
        <w:t>ש"ש</w:t>
      </w:r>
      <w:r w:rsidRPr="007119D6">
        <w:rPr>
          <w:rFonts w:ascii="Narkisim" w:hAnsi="Narkisim"/>
          <w:rtl/>
        </w:rPr>
        <w:t xml:space="preserve"> (ז יח) כת' [לולי דברי הראשונים] דכאן נמצא כאן היה בסוגיין [לדברי הרמב"ן] הוה מטעם אחר, דהוה במקומו ממש. והביא דה</w:t>
      </w:r>
      <w:r w:rsidRPr="007119D6">
        <w:rPr>
          <w:rFonts w:ascii="Narkisim" w:hAnsi="Narkisim"/>
          <w:b/>
          <w:bCs/>
          <w:rtl/>
        </w:rPr>
        <w:t>רמב"ן</w:t>
      </w:r>
      <w:r w:rsidRPr="007119D6">
        <w:rPr>
          <w:rFonts w:ascii="Narkisim" w:hAnsi="Narkisim"/>
          <w:rtl/>
        </w:rPr>
        <w:t xml:space="preserve"> (ב"ב כד.) כת' דכשנמצא בתוך השדה, דהוה במקומו ממש, וחזקה דכאן נמצא כאן היו. ולא הוה קרוב לחוד</w:t>
      </w:r>
      <w:r w:rsidRPr="007119D6">
        <w:rPr>
          <w:rStyle w:val="ac"/>
          <w:rFonts w:ascii="Narkisim" w:hAnsi="Narkisim"/>
          <w:rtl/>
        </w:rPr>
        <w:footnoteReference w:id="7781"/>
      </w:r>
      <w:r w:rsidRPr="007119D6">
        <w:rPr>
          <w:rFonts w:ascii="Narkisim" w:hAnsi="Narkisim"/>
          <w:rtl/>
        </w:rPr>
        <w:t>. והש"ש כת' דאף בסוגיין יצחק שהלך מקורטובא הוה מסברא זו</w:t>
      </w:r>
      <w:r w:rsidRPr="007119D6">
        <w:rPr>
          <w:rStyle w:val="ac"/>
          <w:rFonts w:ascii="Narkisim" w:hAnsi="Narkisim"/>
          <w:rtl/>
        </w:rPr>
        <w:footnoteReference w:id="7782"/>
      </w:r>
      <w:r w:rsidRPr="007119D6">
        <w:rPr>
          <w:rFonts w:ascii="Narkisim" w:hAnsi="Narkisim"/>
          <w:rtl/>
        </w:rPr>
        <w:t>, כיון שהוא במקומו ממש הו"ל קרוב שהוא מקומו</w:t>
      </w:r>
      <w:r w:rsidRPr="007119D6">
        <w:rPr>
          <w:rStyle w:val="ac"/>
          <w:rFonts w:ascii="Narkisim" w:hAnsi="Narkisim"/>
          <w:rtl/>
        </w:rPr>
        <w:footnoteReference w:id="7783"/>
      </w:r>
      <w:r w:rsidRPr="007119D6">
        <w:rPr>
          <w:rFonts w:ascii="Narkisim" w:hAnsi="Narkisim"/>
          <w:rtl/>
        </w:rPr>
        <w:t>. וה</w:t>
      </w:r>
      <w:r w:rsidRPr="007119D6">
        <w:rPr>
          <w:rFonts w:ascii="Narkisim" w:hAnsi="Narkisim"/>
          <w:b/>
          <w:bCs/>
          <w:rtl/>
        </w:rPr>
        <w:t>קהלת יעקב</w:t>
      </w:r>
      <w:r w:rsidRPr="007119D6">
        <w:rPr>
          <w:rFonts w:ascii="Narkisim" w:hAnsi="Narkisim"/>
          <w:rtl/>
        </w:rPr>
        <w:t xml:space="preserve"> (שם) דחה דהרמב"ן (ב"ב) איירי בדבר שזהו מקומו, והוא קרוב ומצוי. ואילו בשומשמי דסוגיין אין סברא דמשום שפעם היה שם שומשמי יחשב 'מקומו'.</w:t>
      </w:r>
    </w:p>
    <w:p w14:paraId="32B3D0B6" w14:textId="77777777" w:rsidR="006C4368" w:rsidRPr="007119D6" w:rsidRDefault="006C4368" w:rsidP="006C4368">
      <w:pPr>
        <w:bidi/>
        <w:rPr>
          <w:rFonts w:ascii="Narkisim" w:hAnsi="Narkisim" w:cs="Narkisim"/>
        </w:rPr>
      </w:pPr>
      <w:r w:rsidRPr="007119D6">
        <w:rPr>
          <w:rFonts w:ascii="Narkisim" w:hAnsi="Narkisim" w:cs="Narkisim"/>
          <w:u w:val="single"/>
          <w:rtl/>
        </w:rPr>
        <w:t>שם. יצחק ריש גלותא וכו'</w:t>
      </w:r>
      <w:r w:rsidRPr="007119D6">
        <w:rPr>
          <w:rFonts w:ascii="Narkisim" w:hAnsi="Narkisim" w:cs="Narkisim"/>
          <w:rtl/>
        </w:rPr>
        <w:t xml:space="preserve">. מדברי </w:t>
      </w:r>
      <w:r w:rsidRPr="007119D6">
        <w:rPr>
          <w:rFonts w:ascii="Narkisim" w:hAnsi="Narkisim" w:cs="Narkisim"/>
          <w:b/>
          <w:bCs/>
          <w:rtl/>
        </w:rPr>
        <w:t>רש"י</w:t>
      </w:r>
      <w:r w:rsidRPr="007119D6">
        <w:rPr>
          <w:rFonts w:ascii="Narkisim" w:hAnsi="Narkisim" w:cs="Narkisim"/>
          <w:rtl/>
        </w:rPr>
        <w:t xml:space="preserve"> ו</w:t>
      </w:r>
      <w:r w:rsidRPr="007119D6">
        <w:rPr>
          <w:rFonts w:ascii="Narkisim" w:hAnsi="Narkisim" w:cs="Narkisim"/>
          <w:b/>
          <w:bCs/>
          <w:rtl/>
        </w:rPr>
        <w:t>תוס</w:t>
      </w:r>
      <w:r w:rsidRPr="007119D6">
        <w:rPr>
          <w:rFonts w:ascii="Narkisim" w:hAnsi="Narkisim" w:cs="Narkisim"/>
          <w:rtl/>
        </w:rPr>
        <w:t>' משמע דהנידון בכל שם, יוסף בן שמעון, האם חיישינן שיש אדם אחר דשמו כשמו. אבל ה</w:t>
      </w:r>
      <w:r w:rsidRPr="007119D6">
        <w:rPr>
          <w:rFonts w:ascii="Narkisim" w:hAnsi="Narkisim" w:cs="Narkisim"/>
          <w:b/>
          <w:bCs/>
          <w:rtl/>
        </w:rPr>
        <w:t>ראב”ד</w:t>
      </w:r>
      <w:r w:rsidRPr="007119D6">
        <w:rPr>
          <w:rFonts w:ascii="Narkisim" w:hAnsi="Narkisim" w:cs="Narkisim"/>
          <w:rtl/>
        </w:rPr>
        <w:t xml:space="preserve"> (כתוב שם גיטין, הו' בסמוך) כת' מצויות, אלא דאיירי ב'יצחק ריש גלותא', ושם ריש גלותא אינו אלא בבבל</w:t>
      </w:r>
      <w:r w:rsidRPr="007119D6">
        <w:rPr>
          <w:rStyle w:val="ac"/>
          <w:rFonts w:ascii="Narkisim" w:hAnsi="Narkisim" w:cs="Narkisim"/>
          <w:rtl/>
        </w:rPr>
        <w:footnoteReference w:id="7784"/>
      </w:r>
      <w:r w:rsidRPr="007119D6">
        <w:rPr>
          <w:rFonts w:ascii="Narkisim" w:hAnsi="Narkisim" w:cs="Narkisim"/>
          <w:rtl/>
        </w:rPr>
        <w:t>. ואם לא הוחזקו בבבל שני 'יצחק ריש גלותא' לא חיישינן</w:t>
      </w:r>
      <w:r w:rsidRPr="007119D6">
        <w:rPr>
          <w:rStyle w:val="ac"/>
          <w:rFonts w:ascii="Narkisim" w:hAnsi="Narkisim" w:cs="Narkisim"/>
          <w:rtl/>
        </w:rPr>
        <w:footnoteReference w:id="7785"/>
      </w:r>
      <w:r w:rsidRPr="007119D6">
        <w:rPr>
          <w:rFonts w:ascii="Narkisim" w:hAnsi="Narkisim" w:cs="Narkisim"/>
          <w:rtl/>
        </w:rPr>
        <w:t xml:space="preserve">. </w:t>
      </w:r>
      <w:r w:rsidRPr="007119D6">
        <w:rPr>
          <w:rFonts w:ascii="Narkisim" w:hAnsi="Narkisim" w:cs="Narkisim"/>
          <w:szCs w:val="20"/>
          <w:rtl/>
        </w:rPr>
        <w:t>אבל שאר שמות חיישינן שבא מעיר רחוקה</w:t>
      </w:r>
      <w:r w:rsidRPr="007119D6">
        <w:rPr>
          <w:rStyle w:val="ac"/>
          <w:rFonts w:ascii="Narkisim" w:hAnsi="Narkisim" w:cs="Narkisim"/>
          <w:szCs w:val="20"/>
          <w:rtl/>
        </w:rPr>
        <w:footnoteReference w:id="7786"/>
      </w:r>
      <w:r w:rsidRPr="007119D6">
        <w:rPr>
          <w:rFonts w:ascii="Narkisim" w:hAnsi="Narkisim" w:cs="Narkisim"/>
          <w:rtl/>
        </w:rPr>
        <w:t>.</w:t>
      </w:r>
    </w:p>
    <w:p w14:paraId="375AAE62"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ראשונים</w:t>
      </w:r>
      <w:r w:rsidRPr="007119D6">
        <w:rPr>
          <w:rFonts w:ascii="Narkisim" w:hAnsi="Narkisim"/>
          <w:rtl/>
        </w:rPr>
        <w:t xml:space="preserve"> הק' א"כ האיך דימו (בסמוך) לאנדרולנאי, דלא היה ריש גלותא.</w:t>
      </w:r>
    </w:p>
    <w:p w14:paraId="2CE0BE65" w14:textId="77777777" w:rsidR="006C4368" w:rsidRPr="007119D6" w:rsidRDefault="006C4368" w:rsidP="006C4368">
      <w:pPr>
        <w:pStyle w:val="a7"/>
        <w:bidi/>
        <w:rPr>
          <w:rFonts w:ascii="Narkisim" w:hAnsi="Narkisim"/>
        </w:rPr>
      </w:pPr>
      <w:r w:rsidRPr="007119D6">
        <w:rPr>
          <w:rFonts w:ascii="Narkisim" w:hAnsi="Narkisim"/>
          <w:rtl/>
        </w:rPr>
        <w:t>וב</w:t>
      </w:r>
      <w:r w:rsidRPr="007119D6">
        <w:rPr>
          <w:rFonts w:ascii="Narkisim" w:hAnsi="Narkisim"/>
          <w:b/>
          <w:bCs/>
          <w:rtl/>
        </w:rPr>
        <w:t>שו"ת הרא"ש</w:t>
      </w:r>
      <w:r w:rsidRPr="007119D6">
        <w:rPr>
          <w:rFonts w:ascii="Narkisim" w:hAnsi="Narkisim"/>
          <w:rtl/>
        </w:rPr>
        <w:t xml:space="preserve"> (נא ב) חלק דריש גלותא היה שם כינוי או שם המשפחה</w:t>
      </w:r>
      <w:r w:rsidRPr="007119D6">
        <w:rPr>
          <w:rStyle w:val="ac"/>
          <w:rFonts w:ascii="Narkisim" w:hAnsi="Narkisim"/>
          <w:rtl/>
        </w:rPr>
        <w:footnoteReference w:id="7787"/>
      </w:r>
      <w:r w:rsidRPr="007119D6">
        <w:rPr>
          <w:rFonts w:ascii="Narkisim" w:hAnsi="Narkisim"/>
          <w:rtl/>
        </w:rPr>
        <w:t>.</w:t>
      </w:r>
    </w:p>
    <w:p w14:paraId="44F4E589" w14:textId="77777777" w:rsidR="006C4368" w:rsidRPr="007119D6" w:rsidRDefault="006C4368" w:rsidP="006C4368">
      <w:pPr>
        <w:pStyle w:val="aa"/>
        <w:bidi/>
        <w:rPr>
          <w:rFonts w:ascii="Narkisim" w:hAnsi="Narkisim"/>
        </w:rPr>
      </w:pPr>
      <w:r w:rsidRPr="007119D6">
        <w:rPr>
          <w:rFonts w:ascii="Narkisim" w:hAnsi="Narkisim"/>
          <w:u w:val="single"/>
          <w:rtl/>
        </w:rPr>
        <w:t>שם. שלחו מהתם יצחק ריש גלותא בר אחתיה דרב ביבי הוה קאזיל וכו</w:t>
      </w:r>
      <w:r w:rsidRPr="007119D6">
        <w:rPr>
          <w:rFonts w:ascii="Narkisim" w:hAnsi="Narkisim"/>
          <w:rtl/>
        </w:rPr>
        <w:t>'. בפשוטו משמע דשלחו כל הסימנים האלו, וכן מבואר ב</w:t>
      </w:r>
      <w:r w:rsidRPr="007119D6">
        <w:rPr>
          <w:rFonts w:ascii="Narkisim" w:hAnsi="Narkisim"/>
          <w:b/>
          <w:bCs/>
          <w:rtl/>
        </w:rPr>
        <w:t>מאירי</w:t>
      </w:r>
      <w:r w:rsidRPr="007119D6">
        <w:rPr>
          <w:rFonts w:ascii="Narkisim" w:hAnsi="Narkisim"/>
          <w:rtl/>
        </w:rPr>
        <w:t xml:space="preserve"> (גיטין שם). וה</w:t>
      </w:r>
      <w:r w:rsidRPr="007119D6">
        <w:rPr>
          <w:rFonts w:ascii="Narkisim" w:hAnsi="Narkisim"/>
          <w:b/>
          <w:bCs/>
          <w:rtl/>
        </w:rPr>
        <w:t>אחרונים</w:t>
      </w:r>
      <w:r w:rsidRPr="007119D6">
        <w:rPr>
          <w:rFonts w:ascii="Narkisim" w:hAnsi="Narkisim"/>
          <w:rtl/>
        </w:rPr>
        <w:t xml:space="preserve"> (מהרי"ט ב ל שו"ת מהר"ם אלשיך קכו) הק' אי נתנו כמה סימנים האיך נחוש לאדם אחר משולש כן בשמותיו</w:t>
      </w:r>
      <w:r w:rsidRPr="007119D6">
        <w:rPr>
          <w:rStyle w:val="ac"/>
          <w:rFonts w:ascii="Narkisim" w:hAnsi="Narkisim"/>
          <w:rtl/>
        </w:rPr>
        <w:footnoteReference w:id="7788"/>
      </w:r>
      <w:r w:rsidRPr="007119D6">
        <w:rPr>
          <w:rFonts w:ascii="Narkisim" w:hAnsi="Narkisim"/>
          <w:rtl/>
        </w:rPr>
        <w:t>. וב</w:t>
      </w:r>
      <w:r w:rsidRPr="007119D6">
        <w:rPr>
          <w:rFonts w:ascii="Narkisim" w:hAnsi="Narkisim"/>
          <w:b/>
          <w:bCs/>
          <w:rtl/>
        </w:rPr>
        <w:t>ריטב"א</w:t>
      </w:r>
      <w:r w:rsidRPr="007119D6">
        <w:rPr>
          <w:rFonts w:ascii="Narkisim" w:hAnsi="Narkisim"/>
          <w:rtl/>
        </w:rPr>
        <w:t xml:space="preserve"> משמע דשלחו רק יצחק ריש גלותא.</w:t>
      </w:r>
    </w:p>
    <w:p w14:paraId="02167F22" w14:textId="77777777" w:rsidR="006C4368" w:rsidRPr="007119D6" w:rsidRDefault="006C4368" w:rsidP="006C4368">
      <w:pPr>
        <w:bidi/>
        <w:rPr>
          <w:rFonts w:ascii="Narkisim" w:hAnsi="Narkisim" w:cs="Narkisim"/>
        </w:rPr>
      </w:pPr>
      <w:r w:rsidRPr="007119D6">
        <w:rPr>
          <w:rFonts w:ascii="Narkisim" w:hAnsi="Narkisim" w:cs="Narkisim"/>
          <w:u w:val="single"/>
          <w:rtl/>
        </w:rPr>
        <w:t>תוד"ה יצחק</w:t>
      </w:r>
      <w:r w:rsidRPr="007119D6">
        <w:rPr>
          <w:rFonts w:ascii="Narkisim" w:hAnsi="Narkisim" w:cs="Narkisim"/>
          <w:rtl/>
        </w:rPr>
        <w:t>. איירי דלא הוחזקו תרי יצחק, ובשכיחי שיירתא וכו'. וה</w:t>
      </w:r>
      <w:r w:rsidRPr="007119D6">
        <w:rPr>
          <w:rFonts w:ascii="Narkisim" w:hAnsi="Narkisim" w:cs="Narkisim"/>
          <w:b/>
          <w:bCs/>
          <w:rtl/>
        </w:rPr>
        <w:t>בעה"מ</w:t>
      </w:r>
      <w:r w:rsidRPr="007119D6">
        <w:rPr>
          <w:rFonts w:ascii="Narkisim" w:hAnsi="Narkisim" w:cs="Narkisim"/>
          <w:rtl/>
        </w:rPr>
        <w:t xml:space="preserve"> כת' דלפ"ז תלי במח' (הנ"ל) אי חיישינן לב' יוסף בן שמעון בלא הוחזקו.</w:t>
      </w:r>
    </w:p>
    <w:p w14:paraId="3417DDF8"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הק' דה</w:t>
      </w:r>
      <w:r w:rsidRPr="007119D6">
        <w:rPr>
          <w:rFonts w:ascii="Narkisim" w:hAnsi="Narkisim"/>
          <w:b/>
          <w:bCs/>
          <w:rtl/>
        </w:rPr>
        <w:t>רי"ף</w:t>
      </w:r>
      <w:r w:rsidRPr="007119D6">
        <w:rPr>
          <w:rFonts w:ascii="Narkisim" w:hAnsi="Narkisim"/>
          <w:rtl/>
        </w:rPr>
        <w:t xml:space="preserve"> (ב"מ שם י: בדה”ס) פסק לחומרא דחיישינן אף דלא הוחזקו</w:t>
      </w:r>
      <w:r w:rsidRPr="007119D6">
        <w:rPr>
          <w:rStyle w:val="ac"/>
          <w:rFonts w:ascii="Narkisim" w:hAnsi="Narkisim"/>
          <w:rtl/>
        </w:rPr>
        <w:footnoteReference w:id="7789"/>
      </w:r>
      <w:r w:rsidRPr="007119D6">
        <w:rPr>
          <w:rFonts w:ascii="Narkisim" w:hAnsi="Narkisim"/>
          <w:rtl/>
        </w:rPr>
        <w:t>. ואילו הרי"ף בסוגיין פסק כרבא. וכה"ק ה</w:t>
      </w:r>
      <w:r w:rsidRPr="007119D6">
        <w:rPr>
          <w:rFonts w:ascii="Narkisim" w:hAnsi="Narkisim"/>
          <w:b/>
          <w:bCs/>
          <w:rtl/>
        </w:rPr>
        <w:t>ראב"ד</w:t>
      </w:r>
      <w:r w:rsidRPr="007119D6">
        <w:rPr>
          <w:rFonts w:ascii="Narkisim" w:hAnsi="Narkisim"/>
          <w:rtl/>
        </w:rPr>
        <w:t xml:space="preserve"> </w:t>
      </w:r>
      <w:r w:rsidRPr="007119D6">
        <w:rPr>
          <w:rFonts w:ascii="Narkisim" w:hAnsi="Narkisim"/>
          <w:szCs w:val="20"/>
          <w:rtl/>
        </w:rPr>
        <w:t>(כתוב שם גיטין שם, יד. בדה"ר).</w:t>
      </w:r>
      <w:r w:rsidRPr="007119D6">
        <w:rPr>
          <w:rFonts w:ascii="Narkisim" w:hAnsi="Narkisim"/>
          <w:rtl/>
        </w:rPr>
        <w:t xml:space="preserve"> והראב"ד תי' דרבא בסוגיין קאי דוקא בשם ריש גלותא [וכנ"ל].</w:t>
      </w:r>
    </w:p>
    <w:p w14:paraId="12AB49CB"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תי' דשאני מיתה דדייקא ומינסבא, והקילו מתוך חומר שהחמרת עליה בסופה</w:t>
      </w:r>
      <w:r w:rsidRPr="007119D6">
        <w:rPr>
          <w:rStyle w:val="ac"/>
          <w:rFonts w:ascii="Narkisim" w:hAnsi="Narkisim"/>
          <w:rtl/>
        </w:rPr>
        <w:footnoteReference w:id="7790"/>
      </w:r>
      <w:r w:rsidRPr="007119D6">
        <w:rPr>
          <w:rFonts w:ascii="Narkisim" w:hAnsi="Narkisim"/>
          <w:rtl/>
        </w:rPr>
        <w:t>. אבל התם גבי גט יכולה להכחישו, ומש”ה חיישינן.</w:t>
      </w:r>
    </w:p>
    <w:p w14:paraId="503A9AEE"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רא"ש</w:t>
      </w:r>
      <w:r w:rsidRPr="007119D6">
        <w:rPr>
          <w:rFonts w:ascii="Narkisim" w:hAnsi="Narkisim"/>
          <w:rtl/>
        </w:rPr>
        <w:t xml:space="preserve"> (גיטין ג ג בסופו) תי' דהרי"ף החמיר בגט דהוה מילתא דאיסורא, ואפשר שיכתוב גט אחר. אבל בסוגיין אי חיישינן לתרי יצחק צריכה להתעגן כל ימיה, ומש"ה פסק לקולא. וכמו שמצינו שהקילו הרבה קולות בעדות אשה, שהתירו עד מפי עד ואשה מפי אשה מפי עבד</w:t>
      </w:r>
      <w:r w:rsidRPr="007119D6">
        <w:rPr>
          <w:rStyle w:val="ac"/>
          <w:rFonts w:ascii="Narkisim" w:hAnsi="Narkisim"/>
          <w:rtl/>
        </w:rPr>
        <w:footnoteReference w:id="7791"/>
      </w:r>
      <w:r w:rsidRPr="007119D6">
        <w:rPr>
          <w:rFonts w:ascii="Narkisim" w:hAnsi="Narkisim"/>
          <w:rtl/>
        </w:rPr>
        <w:t>.</w:t>
      </w:r>
    </w:p>
    <w:p w14:paraId="7356806A" w14:textId="77777777" w:rsidR="006C4368" w:rsidRPr="007119D6" w:rsidRDefault="006C4368" w:rsidP="006C4368">
      <w:pPr>
        <w:pStyle w:val="a7"/>
        <w:bidi/>
        <w:rPr>
          <w:rFonts w:ascii="Narkisim" w:hAnsi="Narkisim"/>
        </w:rPr>
      </w:pPr>
      <w:r w:rsidRPr="007119D6">
        <w:rPr>
          <w:rFonts w:ascii="Narkisim" w:hAnsi="Narkisim"/>
          <w:rtl/>
        </w:rPr>
        <w:lastRenderedPageBreak/>
        <w:t>וה</w:t>
      </w:r>
      <w:r w:rsidRPr="007119D6">
        <w:rPr>
          <w:rFonts w:ascii="Narkisim" w:hAnsi="Narkisim"/>
          <w:b/>
          <w:bCs/>
          <w:rtl/>
        </w:rPr>
        <w:t>מלחמות</w:t>
      </w:r>
      <w:r w:rsidRPr="007119D6">
        <w:rPr>
          <w:rFonts w:ascii="Narkisim" w:hAnsi="Narkisim"/>
          <w:rtl/>
        </w:rPr>
        <w:t xml:space="preserve"> פי' דבסוגיין הנידון משום כאן נמצא כאן היה, ומש"ה מהני טפי מהתם.</w:t>
      </w:r>
    </w:p>
    <w:p w14:paraId="5889482F" w14:textId="77777777" w:rsidR="006C4368" w:rsidRPr="007119D6" w:rsidRDefault="006C4368" w:rsidP="006C4368">
      <w:pPr>
        <w:bidi/>
        <w:rPr>
          <w:rFonts w:ascii="Narkisim" w:hAnsi="Narkisim" w:cs="Narkisim"/>
        </w:rPr>
      </w:pPr>
      <w:r w:rsidRPr="007119D6">
        <w:rPr>
          <w:rFonts w:ascii="Narkisim" w:hAnsi="Narkisim" w:cs="Narkisim"/>
          <w:u w:val="single"/>
          <w:rtl/>
        </w:rPr>
        <w:t>בא"ד דאי לא שכיחי שיירתא ולא הוחזקו התנן (ב"מ כ.) דכל מעשה בי"ד הר”ז יחזיר וכו'</w:t>
      </w:r>
      <w:r w:rsidRPr="007119D6">
        <w:rPr>
          <w:rFonts w:ascii="Narkisim" w:hAnsi="Narkisim" w:cs="Narkisim"/>
          <w:rtl/>
        </w:rPr>
        <w:t>. כוונת התוס' לדברי רבה (ב"מ כ: ויח. וגיטין כז.) דפשט מהתם דמחזירים גט ולא חיישינן לב' יוסף בן שמעון.</w:t>
      </w:r>
    </w:p>
    <w:p w14:paraId="25A31FA6" w14:textId="77777777" w:rsidR="006C4368" w:rsidRPr="007119D6" w:rsidRDefault="006C4368" w:rsidP="006C4368">
      <w:pPr>
        <w:pStyle w:val="a8"/>
        <w:bidi/>
        <w:rPr>
          <w:rFonts w:ascii="Narkisim" w:hAnsi="Narkisim"/>
        </w:rPr>
      </w:pPr>
      <w:r w:rsidRPr="007119D6">
        <w:rPr>
          <w:rFonts w:ascii="Narkisim" w:hAnsi="Narkisim"/>
          <w:rtl/>
        </w:rPr>
        <w:t>ורבה דייק דאיירי שמצאו בבי"ד ואף דשיירות מצויות, ולא חיישינן אא”כ הוחזקו. והגמ' דוחה [לדעת ר' זירא] דאיירי שמצאו חוץ לבי"ד, שאין שיירות מצויות. ו</w:t>
      </w:r>
      <w:r w:rsidRPr="007119D6">
        <w:rPr>
          <w:rFonts w:ascii="Narkisim" w:hAnsi="Narkisim"/>
          <w:b/>
          <w:bCs/>
          <w:rtl/>
        </w:rPr>
        <w:t>תוס'</w:t>
      </w:r>
      <w:r w:rsidRPr="007119D6">
        <w:rPr>
          <w:rFonts w:ascii="Narkisim" w:hAnsi="Narkisim"/>
          <w:rtl/>
        </w:rPr>
        <w:t xml:space="preserve"> (כאן, וב"מ שם בתי' הא') כת' דכ"ד אביי.</w:t>
      </w:r>
    </w:p>
    <w:p w14:paraId="7E01DE58"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(ב"מ יח:) תי' עוד דאביי מודה התם. דכיון דהאיש הזה תובע את הגט, ואין לנו לחוש שכמו כן אחר איבד גט כזה. אבל בסוגיין אין אנו יודעים איזה יצחק מת. [ועפ"ז י"ל דאביי ס"ל התם כרבה].</w:t>
      </w:r>
    </w:p>
    <w:p w14:paraId="28BBDB45" w14:textId="77777777" w:rsidR="006C4368" w:rsidRPr="007119D6" w:rsidRDefault="006C4368" w:rsidP="006C4368">
      <w:pPr>
        <w:pStyle w:val="aa"/>
        <w:bidi/>
        <w:rPr>
          <w:rFonts w:ascii="Narkisim" w:hAnsi="Narkisim"/>
        </w:rPr>
      </w:pPr>
      <w:r w:rsidRPr="007119D6">
        <w:rPr>
          <w:rFonts w:ascii="Narkisim" w:hAnsi="Narkisim"/>
          <w:u w:val="single"/>
          <w:rtl/>
        </w:rPr>
        <w:t>קלוניא מתא.</w:t>
      </w:r>
      <w:r w:rsidRPr="007119D6">
        <w:rPr>
          <w:rFonts w:ascii="Narkisim" w:hAnsi="Narkisim"/>
          <w:rtl/>
        </w:rPr>
        <w:t xml:space="preserve"> פ</w:t>
      </w:r>
      <w:r w:rsidRPr="007119D6">
        <w:rPr>
          <w:rFonts w:ascii="Narkisim" w:hAnsi="Narkisim"/>
          <w:b/>
          <w:bCs/>
          <w:rtl/>
        </w:rPr>
        <w:t>רש"י</w:t>
      </w:r>
      <w:r w:rsidRPr="007119D6">
        <w:rPr>
          <w:rFonts w:ascii="Narkisim" w:hAnsi="Narkisim"/>
          <w:rtl/>
        </w:rPr>
        <w:t xml:space="preserve"> שם העיר. וה</w:t>
      </w:r>
      <w:r w:rsidRPr="007119D6">
        <w:rPr>
          <w:rFonts w:ascii="Narkisim" w:hAnsi="Narkisim"/>
          <w:b/>
          <w:bCs/>
          <w:rtl/>
        </w:rPr>
        <w:t>רמב"ן</w:t>
      </w:r>
      <w:r w:rsidRPr="007119D6">
        <w:rPr>
          <w:rFonts w:ascii="Narkisim" w:hAnsi="Narkisim"/>
          <w:rtl/>
        </w:rPr>
        <w:t xml:space="preserve"> (ושא"ר) כת' הוא מקום בן חורין שהי' בעיר נהרדעא.</w:t>
      </w:r>
    </w:p>
    <w:p w14:paraId="49D79EF0" w14:textId="77777777" w:rsidR="006C4368" w:rsidRPr="007119D6" w:rsidRDefault="006C4368" w:rsidP="006C4368">
      <w:pPr>
        <w:pStyle w:val="aa"/>
        <w:bidi/>
        <w:rPr>
          <w:rFonts w:ascii="Narkisim" w:hAnsi="Narkisim"/>
        </w:rPr>
      </w:pPr>
      <w:r w:rsidRPr="007119D6">
        <w:rPr>
          <w:rFonts w:ascii="Narkisim" w:hAnsi="Narkisim"/>
          <w:u w:val="single"/>
          <w:rtl/>
        </w:rPr>
        <w:t>תיבדק נהרדעא כולה</w:t>
      </w:r>
      <w:r w:rsidRPr="007119D6">
        <w:rPr>
          <w:rStyle w:val="ac"/>
          <w:rFonts w:ascii="Narkisim" w:hAnsi="Narkisim"/>
          <w:u w:val="single"/>
          <w:rtl/>
        </w:rPr>
        <w:footnoteReference w:id="7792"/>
      </w:r>
      <w:r w:rsidRPr="007119D6">
        <w:rPr>
          <w:rFonts w:ascii="Narkisim" w:hAnsi="Narkisim"/>
          <w:u w:val="single"/>
          <w:rtl/>
        </w:rPr>
        <w:t>, ורבא אמר אם אי' יבדק כל העולם וכו'</w:t>
      </w:r>
      <w:r w:rsidRPr="007119D6">
        <w:rPr>
          <w:rFonts w:ascii="Narkisim" w:hAnsi="Narkisim"/>
          <w:rtl/>
        </w:rPr>
        <w:t>. אך לדעת אביי סגי לבדוק בנהרדעא, דדוקא במקום שהשיירות מצויות חיישינן לב' יוסף בן שמעון. וה</w:t>
      </w:r>
      <w:r w:rsidRPr="007119D6">
        <w:rPr>
          <w:rFonts w:ascii="Narkisim" w:hAnsi="Narkisim"/>
          <w:b/>
          <w:bCs/>
          <w:rtl/>
        </w:rPr>
        <w:t>רמב"ן</w:t>
      </w:r>
      <w:r w:rsidRPr="007119D6">
        <w:rPr>
          <w:rFonts w:ascii="Narkisim" w:hAnsi="Narkisim"/>
          <w:rtl/>
        </w:rPr>
        <w:t xml:space="preserve"> ביאר קו' רבא דצריך לבדוק כל העולם, שהרי שיירות מצויות בארץ נהרדעא ממקומות רחוקים הרבה</w:t>
      </w:r>
      <w:r w:rsidRPr="007119D6">
        <w:rPr>
          <w:rStyle w:val="ac"/>
          <w:rFonts w:ascii="Narkisim" w:hAnsi="Narkisim"/>
          <w:rtl/>
        </w:rPr>
        <w:footnoteReference w:id="7793"/>
      </w:r>
      <w:r w:rsidRPr="007119D6">
        <w:rPr>
          <w:rFonts w:ascii="Narkisim" w:hAnsi="Narkisim"/>
          <w:rtl/>
        </w:rPr>
        <w:t>.</w:t>
      </w:r>
    </w:p>
    <w:p w14:paraId="6FF931DB" w14:textId="77777777" w:rsidR="006C4368" w:rsidRPr="007119D6" w:rsidRDefault="006C4368" w:rsidP="006C4368">
      <w:pPr>
        <w:bidi/>
        <w:rPr>
          <w:rFonts w:ascii="Narkisim" w:hAnsi="Narkisim" w:cs="Narkisim"/>
        </w:rPr>
      </w:pPr>
      <w:r w:rsidRPr="007119D6">
        <w:rPr>
          <w:rFonts w:ascii="Narkisim" w:hAnsi="Narkisim" w:cs="Narkisim"/>
          <w:u w:val="single"/>
          <w:rtl/>
        </w:rPr>
        <w:t>אמר רבא מנא אמינא לה דהנהו תרי שטרי וכו' והא חבי בר ננאי וננאי בר חבי במחוזא שכיחי טובא</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דכיון דלענין ממון לא חיישינן אף היכא דהוחזקו, א”כ לענין איסורא לא ניחוש, עכ”פ בלא הוחזקו. ועד"ז כת' </w:t>
      </w:r>
      <w:r w:rsidRPr="007119D6">
        <w:rPr>
          <w:rFonts w:ascii="Narkisim" w:hAnsi="Narkisim" w:cs="Narkisim"/>
          <w:b/>
          <w:bCs/>
          <w:rtl/>
        </w:rPr>
        <w:t>תוס'</w:t>
      </w:r>
      <w:r w:rsidRPr="007119D6">
        <w:rPr>
          <w:rFonts w:ascii="Narkisim" w:hAnsi="Narkisim" w:cs="Narkisim"/>
          <w:rtl/>
        </w:rPr>
        <w:t xml:space="preserve"> דמדמה ממונא היכא דהוחזקו, לאיסורא דלא הוחזקו. וצ"ב הדימוי. וה</w:t>
      </w:r>
      <w:r w:rsidRPr="007119D6">
        <w:rPr>
          <w:rFonts w:ascii="Narkisim" w:hAnsi="Narkisim" w:cs="Narkisim"/>
          <w:b/>
          <w:bCs/>
          <w:rtl/>
        </w:rPr>
        <w:t>בעה”מ</w:t>
      </w:r>
      <w:r w:rsidRPr="007119D6">
        <w:rPr>
          <w:rFonts w:ascii="Narkisim" w:hAnsi="Narkisim" w:cs="Narkisim"/>
          <w:rtl/>
        </w:rPr>
        <w:t xml:space="preserve"> ביאר דהתם כיון דנקיט שטרא בידיה דמי להיכא דלא הוחזקו. [ואביי דחה דהתם כיון דהוה בידו ל"ש חשש כלל].</w:t>
      </w:r>
    </w:p>
    <w:p w14:paraId="45FA8223" w14:textId="77777777" w:rsidR="006C4368" w:rsidRPr="007119D6" w:rsidRDefault="006C4368" w:rsidP="006C4368">
      <w:pPr>
        <w:pStyle w:val="3"/>
        <w:bidi/>
        <w:rPr>
          <w:rFonts w:ascii="Narkisim" w:hAnsi="Narkisim"/>
        </w:rPr>
      </w:pPr>
      <w:r w:rsidRPr="007119D6">
        <w:rPr>
          <w:rFonts w:ascii="Narkisim" w:hAnsi="Narkisim"/>
          <w:rtl/>
        </w:rPr>
        <w:t>דף קטז.</w:t>
      </w:r>
    </w:p>
    <w:p w14:paraId="365F61FD" w14:textId="77777777" w:rsidR="006C4368" w:rsidRPr="007119D6" w:rsidRDefault="006C4368" w:rsidP="006C4368">
      <w:pPr>
        <w:pStyle w:val="aa"/>
        <w:bidi/>
        <w:rPr>
          <w:rFonts w:ascii="Narkisim" w:hAnsi="Narkisim"/>
        </w:rPr>
      </w:pPr>
      <w:r w:rsidRPr="007119D6">
        <w:rPr>
          <w:rFonts w:ascii="Narkisim" w:hAnsi="Narkisim"/>
          <w:u w:val="single"/>
          <w:rtl/>
        </w:rPr>
        <w:t>אי לנפילה מזהר זהיר ביה וכו' מאי אמרת דלמא מסר ליה, אותיות נקנות במסירה</w:t>
      </w:r>
      <w:r w:rsidRPr="007119D6">
        <w:rPr>
          <w:rFonts w:ascii="Narkisim" w:hAnsi="Narkisim"/>
          <w:rtl/>
        </w:rPr>
        <w:t xml:space="preserve">. </w:t>
      </w:r>
      <w:r w:rsidRPr="007119D6">
        <w:rPr>
          <w:rFonts w:ascii="Narkisim" w:hAnsi="Narkisim"/>
          <w:b/>
          <w:bCs/>
          <w:rtl/>
        </w:rPr>
        <w:t>תוס</w:t>
      </w:r>
      <w:r w:rsidRPr="007119D6">
        <w:rPr>
          <w:rFonts w:ascii="Narkisim" w:hAnsi="Narkisim"/>
          <w:rtl/>
        </w:rPr>
        <w:t>' (ד"ה מאי) הביאו דאף רבא חשש רק דילמא מסר ליה, דס"ל אין אותיות נקנות במסירה</w:t>
      </w:r>
      <w:r w:rsidRPr="007119D6">
        <w:rPr>
          <w:rStyle w:val="ac"/>
          <w:rFonts w:ascii="Narkisim" w:hAnsi="Narkisim"/>
          <w:rtl/>
        </w:rPr>
        <w:footnoteReference w:id="7794"/>
      </w:r>
      <w:r w:rsidRPr="007119D6">
        <w:rPr>
          <w:rFonts w:ascii="Narkisim" w:hAnsi="Narkisim"/>
          <w:rtl/>
        </w:rPr>
        <w:t>. אבל למ"ד נקנות במסירה רבא ס"ל (ב"ב קעג.) אי"צ להביא ראיה</w:t>
      </w:r>
      <w:r w:rsidRPr="007119D6">
        <w:rPr>
          <w:rStyle w:val="ac"/>
          <w:rFonts w:ascii="Narkisim" w:hAnsi="Narkisim"/>
          <w:rtl/>
        </w:rPr>
        <w:footnoteReference w:id="7795"/>
      </w:r>
      <w:r w:rsidRPr="007119D6">
        <w:rPr>
          <w:rFonts w:ascii="Narkisim" w:hAnsi="Narkisim"/>
          <w:rtl/>
        </w:rPr>
        <w:t>.</w:t>
      </w:r>
    </w:p>
    <w:p w14:paraId="043F089F" w14:textId="77777777" w:rsidR="006C4368" w:rsidRPr="007119D6" w:rsidRDefault="006C4368" w:rsidP="006C4368">
      <w:pPr>
        <w:pStyle w:val="a8"/>
        <w:bidi/>
        <w:rPr>
          <w:rFonts w:ascii="Narkisim" w:hAnsi="Narkisim"/>
        </w:rPr>
      </w:pPr>
      <w:r w:rsidRPr="007119D6">
        <w:rPr>
          <w:rFonts w:ascii="Narkisim" w:hAnsi="Narkisim"/>
          <w:rtl/>
        </w:rPr>
        <w:t>אבל ה</w:t>
      </w:r>
      <w:r w:rsidRPr="007119D6">
        <w:rPr>
          <w:rFonts w:ascii="Narkisim" w:hAnsi="Narkisim"/>
          <w:b/>
          <w:bCs/>
          <w:rtl/>
        </w:rPr>
        <w:t>רמב"ן</w:t>
      </w:r>
      <w:r w:rsidRPr="007119D6">
        <w:rPr>
          <w:rFonts w:ascii="Narkisim" w:hAnsi="Narkisim"/>
          <w:rtl/>
        </w:rPr>
        <w:t xml:space="preserve"> (גיטין כד:) כת' החשש דילמא מסר לקנות לא עדיף מהחשש פקדון. ורבא חשש לכל הנך חששות.</w:t>
      </w:r>
    </w:p>
    <w:p w14:paraId="013A69D9" w14:textId="77777777" w:rsidR="006C4368" w:rsidRPr="007119D6" w:rsidRDefault="006C4368" w:rsidP="006C4368">
      <w:pPr>
        <w:pStyle w:val="aa"/>
        <w:bidi/>
        <w:rPr>
          <w:rFonts w:ascii="Narkisim" w:hAnsi="Narkisim"/>
        </w:rPr>
      </w:pPr>
      <w:r w:rsidRPr="007119D6">
        <w:rPr>
          <w:rFonts w:ascii="Narkisim" w:hAnsi="Narkisim"/>
          <w:u w:val="single"/>
          <w:rtl/>
        </w:rPr>
        <w:t>תוד"ה למאי</w:t>
      </w:r>
      <w:r w:rsidRPr="007119D6">
        <w:rPr>
          <w:rFonts w:ascii="Narkisim" w:hAnsi="Narkisim"/>
          <w:rtl/>
        </w:rPr>
        <w:t>. וי"ל דהתם לנפילה דרבים וכו' וה”נ מפליג (ב”ב קעב:) וכו'. [ע' היטב בסוגיה ב"ב שם, ואכמ"ל]. וב</w:t>
      </w:r>
      <w:r w:rsidRPr="007119D6">
        <w:rPr>
          <w:rFonts w:ascii="Narkisim" w:hAnsi="Narkisim"/>
          <w:b/>
          <w:bCs/>
          <w:rtl/>
        </w:rPr>
        <w:t>תוס' חד מקמאי</w:t>
      </w:r>
      <w:r w:rsidRPr="007119D6">
        <w:rPr>
          <w:rFonts w:ascii="Narkisim" w:hAnsi="Narkisim"/>
          <w:rtl/>
        </w:rPr>
        <w:t xml:space="preserve"> (והתורא"ש בשם ר"ת) תי' דהתם איירי שטוען ברי שהפקיד אצלו או שנפל, ומש"ה צריך להביא ראיה. והכא איירי בלא טענה. ועוד אפשר דהכא אביי השיב לדבריו דרבא, דאפשר דרבה בר אבוה ס"ל בדעת רבא (שם) דאי"צ להביא ראיה.</w:t>
      </w:r>
    </w:p>
    <w:p w14:paraId="38FB5225" w14:textId="77777777" w:rsidR="006C4368" w:rsidRPr="007119D6" w:rsidRDefault="006C4368" w:rsidP="006C4368">
      <w:pPr>
        <w:bidi/>
        <w:rPr>
          <w:rFonts w:ascii="Narkisim" w:hAnsi="Narkisim" w:cs="Narkisim"/>
        </w:rPr>
      </w:pPr>
      <w:r w:rsidRPr="007119D6">
        <w:rPr>
          <w:rFonts w:ascii="Narkisim" w:hAnsi="Narkisim" w:cs="Narkisim"/>
          <w:u w:val="single"/>
          <w:rtl/>
        </w:rPr>
        <w:t>תוד"ה אותיות</w:t>
      </w:r>
      <w:r w:rsidRPr="007119D6">
        <w:rPr>
          <w:rFonts w:ascii="Narkisim" w:hAnsi="Narkisim" w:cs="Narkisim"/>
          <w:rtl/>
        </w:rPr>
        <w:t>. ותימה מ"ש בדברים שאין עשויין להשאיל ולהשכיר, שהמוחזק בו נאמן לומר שהוא שלו וכו'. [וחזקה מה שתחת ידו שהוא שלו</w:t>
      </w:r>
      <w:r w:rsidRPr="007119D6">
        <w:rPr>
          <w:rStyle w:val="ac"/>
          <w:rFonts w:ascii="Narkisim" w:hAnsi="Narkisim" w:cs="Narkisim"/>
          <w:rtl/>
        </w:rPr>
        <w:footnoteReference w:id="7796"/>
      </w:r>
      <w:r w:rsidRPr="007119D6">
        <w:rPr>
          <w:rFonts w:ascii="Narkisim" w:hAnsi="Narkisim" w:cs="Narkisim"/>
          <w:rtl/>
        </w:rPr>
        <w:t>. ועד”ז הק' בהשג' ה</w:t>
      </w:r>
      <w:r w:rsidRPr="007119D6">
        <w:rPr>
          <w:rFonts w:ascii="Narkisim" w:hAnsi="Narkisim" w:cs="Narkisim"/>
          <w:b/>
          <w:bCs/>
          <w:rtl/>
        </w:rPr>
        <w:t>ראב”ד</w:t>
      </w:r>
      <w:r w:rsidRPr="007119D6">
        <w:rPr>
          <w:rFonts w:ascii="Narkisim" w:hAnsi="Narkisim" w:cs="Narkisim"/>
          <w:rtl/>
        </w:rPr>
        <w:t xml:space="preserve"> לרי”ף כתובות פה. מג. בדה”ר]. ולכאורה עיקר קו' התוס' הוה על המ”ד (ב"ב קעב: הו' בתוס' לעיל) דצריך להביא ראיה באותיות.</w:t>
      </w:r>
    </w:p>
    <w:p w14:paraId="1C8B24A5" w14:textId="77777777" w:rsidR="006C4368" w:rsidRPr="007119D6" w:rsidRDefault="006C4368" w:rsidP="006C4368">
      <w:pPr>
        <w:pStyle w:val="aa"/>
        <w:bidi/>
        <w:rPr>
          <w:rFonts w:ascii="Narkisim" w:hAnsi="Narkisim"/>
        </w:rPr>
      </w:pPr>
      <w:r w:rsidRPr="007119D6">
        <w:rPr>
          <w:rFonts w:ascii="Narkisim" w:hAnsi="Narkisim"/>
          <w:u w:val="single"/>
          <w:rtl/>
        </w:rPr>
        <w:t>בא"ד וכ"ת וכו' דצריך שטר, ואין לו שטר חיישינן דאינן שלו וכו'</w:t>
      </w:r>
      <w:r w:rsidRPr="007119D6">
        <w:rPr>
          <w:rFonts w:ascii="Narkisim" w:hAnsi="Narkisim"/>
          <w:rtl/>
        </w:rPr>
        <w:t>. לכאורה כוונת התוס' דאף דיש חזקת מטלטלין, כנגד זה יש ריעותא דאחוי שטרך. [ועד"ז דנו ה</w:t>
      </w:r>
      <w:r w:rsidRPr="007119D6">
        <w:rPr>
          <w:rFonts w:ascii="Narkisim" w:hAnsi="Narkisim"/>
          <w:b/>
          <w:bCs/>
          <w:rtl/>
        </w:rPr>
        <w:t>ראשונים</w:t>
      </w:r>
      <w:r w:rsidRPr="007119D6">
        <w:rPr>
          <w:rFonts w:ascii="Narkisim" w:hAnsi="Narkisim"/>
          <w:rtl/>
        </w:rPr>
        <w:t xml:space="preserve"> וה</w:t>
      </w:r>
      <w:r w:rsidRPr="007119D6">
        <w:rPr>
          <w:rFonts w:ascii="Narkisim" w:hAnsi="Narkisim"/>
          <w:b/>
          <w:bCs/>
          <w:rtl/>
        </w:rPr>
        <w:t>אחרונים</w:t>
      </w:r>
      <w:r w:rsidRPr="007119D6">
        <w:rPr>
          <w:rFonts w:ascii="Narkisim" w:hAnsi="Narkisim"/>
          <w:rtl/>
        </w:rPr>
        <w:t xml:space="preserve"> (ב"ב כח. ולו.) האם יש ריעותא דאחוי שטרך כנגד חזקת מטלטלין בעבד קטן. ואכמ"ל].</w:t>
      </w:r>
    </w:p>
    <w:p w14:paraId="21098CA9" w14:textId="77777777" w:rsidR="006C4368" w:rsidRPr="007119D6" w:rsidRDefault="006C4368" w:rsidP="006C4368">
      <w:pPr>
        <w:pStyle w:val="aa"/>
        <w:bidi/>
        <w:rPr>
          <w:rFonts w:ascii="Narkisim" w:hAnsi="Narkisim"/>
        </w:rPr>
      </w:pPr>
      <w:r w:rsidRPr="007119D6">
        <w:rPr>
          <w:rFonts w:ascii="Narkisim" w:hAnsi="Narkisim"/>
          <w:u w:val="single"/>
          <w:rtl/>
        </w:rPr>
        <w:t>בא"ד מ"מ ליחוש שמא הקנה לו אגב קרקע וכו'</w:t>
      </w:r>
      <w:r w:rsidRPr="007119D6">
        <w:rPr>
          <w:rFonts w:ascii="Narkisim" w:hAnsi="Narkisim"/>
          <w:rtl/>
        </w:rPr>
        <w:t>. ומש"ה אין לו שטר. אבל ה</w:t>
      </w:r>
      <w:r w:rsidRPr="007119D6">
        <w:rPr>
          <w:rFonts w:ascii="Narkisim" w:hAnsi="Narkisim"/>
          <w:b/>
          <w:bCs/>
          <w:rtl/>
        </w:rPr>
        <w:t>ראב"ד</w:t>
      </w:r>
      <w:r w:rsidRPr="007119D6">
        <w:rPr>
          <w:rFonts w:ascii="Narkisim" w:hAnsi="Narkisim"/>
          <w:rtl/>
        </w:rPr>
        <w:t xml:space="preserve"> (כתובות מג. בדה"ר) כת' דא"כ צריך להביא ראיה על קניית הקרקע</w:t>
      </w:r>
      <w:r w:rsidRPr="007119D6">
        <w:rPr>
          <w:rStyle w:val="ac"/>
          <w:rFonts w:ascii="Narkisim" w:hAnsi="Narkisim"/>
          <w:rtl/>
        </w:rPr>
        <w:footnoteReference w:id="7797"/>
      </w:r>
      <w:r w:rsidRPr="007119D6">
        <w:rPr>
          <w:rFonts w:ascii="Narkisim" w:hAnsi="Narkisim"/>
          <w:rtl/>
        </w:rPr>
        <w:t>.</w:t>
      </w:r>
    </w:p>
    <w:p w14:paraId="0665E426" w14:textId="77777777" w:rsidR="006C4368" w:rsidRPr="007119D6" w:rsidRDefault="006C4368" w:rsidP="006C4368">
      <w:pPr>
        <w:pStyle w:val="aa"/>
        <w:bidi/>
        <w:rPr>
          <w:rFonts w:ascii="Narkisim" w:hAnsi="Narkisim"/>
        </w:rPr>
      </w:pPr>
      <w:r w:rsidRPr="007119D6">
        <w:rPr>
          <w:rFonts w:ascii="Narkisim" w:hAnsi="Narkisim"/>
          <w:u w:val="single"/>
          <w:rtl/>
        </w:rPr>
        <w:t>בא"ד א"נ ל"מ קנין אגב קרקע אלא בשטר של אותה קרקע וכו' אבל שט"ח בעלמא אין נקנה אגב קרקע</w:t>
      </w:r>
      <w:r w:rsidRPr="007119D6">
        <w:rPr>
          <w:rFonts w:ascii="Narkisim" w:hAnsi="Narkisim"/>
          <w:rtl/>
        </w:rPr>
        <w:t xml:space="preserve">. אבל </w:t>
      </w:r>
      <w:r w:rsidRPr="007119D6">
        <w:rPr>
          <w:rFonts w:ascii="Narkisim" w:hAnsi="Narkisim"/>
          <w:rtl/>
        </w:rPr>
        <w:lastRenderedPageBreak/>
        <w:t>ה</w:t>
      </w:r>
      <w:r w:rsidRPr="007119D6">
        <w:rPr>
          <w:rFonts w:ascii="Narkisim" w:hAnsi="Narkisim"/>
          <w:b/>
          <w:bCs/>
          <w:rtl/>
        </w:rPr>
        <w:t>ראשונים</w:t>
      </w:r>
      <w:r w:rsidRPr="007119D6">
        <w:rPr>
          <w:rFonts w:ascii="Narkisim" w:hAnsi="Narkisim"/>
          <w:rtl/>
        </w:rPr>
        <w:t xml:space="preserve"> הביאו דבגמ' (ב"ב עז:) מבואר דמלוה בשטר נקנה אגב קרקע</w:t>
      </w:r>
      <w:r w:rsidRPr="007119D6">
        <w:rPr>
          <w:rStyle w:val="ac"/>
          <w:rFonts w:ascii="Narkisim" w:hAnsi="Narkisim"/>
          <w:rtl/>
        </w:rPr>
        <w:footnoteReference w:id="7798"/>
      </w:r>
      <w:r w:rsidRPr="007119D6">
        <w:rPr>
          <w:rFonts w:ascii="Narkisim" w:hAnsi="Narkisim"/>
          <w:rtl/>
        </w:rPr>
        <w:t>.</w:t>
      </w:r>
    </w:p>
    <w:p w14:paraId="0DEE347D" w14:textId="77777777" w:rsidR="006C4368" w:rsidRPr="007119D6" w:rsidRDefault="006C4368" w:rsidP="006C4368">
      <w:pPr>
        <w:pStyle w:val="aa"/>
        <w:bidi/>
        <w:rPr>
          <w:rFonts w:ascii="Narkisim" w:hAnsi="Narkisim"/>
        </w:rPr>
      </w:pPr>
      <w:r w:rsidRPr="007119D6">
        <w:rPr>
          <w:rFonts w:ascii="Narkisim" w:hAnsi="Narkisim"/>
          <w:u w:val="single"/>
          <w:rtl/>
        </w:rPr>
        <w:t>בא"ד כדאמרי' וכו' דשטר אפסרא דארעא הוא וכו'</w:t>
      </w:r>
      <w:r w:rsidRPr="007119D6">
        <w:rPr>
          <w:rFonts w:ascii="Narkisim" w:hAnsi="Narkisim"/>
          <w:rtl/>
        </w:rPr>
        <w:t>. [וכדחיית הגמ' קידושין כז. דבשטר של אותו שדה מהני קנין אגב אף כשאינן צבורין, דשאני שטר דאפסירא דארעא הוא</w:t>
      </w:r>
      <w:r w:rsidRPr="007119D6">
        <w:rPr>
          <w:rStyle w:val="ac"/>
          <w:rFonts w:ascii="Narkisim" w:hAnsi="Narkisim"/>
          <w:rtl/>
        </w:rPr>
        <w:footnoteReference w:id="7799"/>
      </w:r>
      <w:r w:rsidRPr="007119D6">
        <w:rPr>
          <w:rFonts w:ascii="Narkisim" w:hAnsi="Narkisim"/>
          <w:rtl/>
        </w:rPr>
        <w:t>]. ו</w:t>
      </w:r>
      <w:r w:rsidRPr="007119D6">
        <w:rPr>
          <w:rFonts w:ascii="Narkisim" w:hAnsi="Narkisim"/>
          <w:b/>
          <w:bCs/>
          <w:rtl/>
        </w:rPr>
        <w:t>רע"א</w:t>
      </w:r>
      <w:r w:rsidRPr="007119D6">
        <w:rPr>
          <w:rFonts w:ascii="Narkisim" w:hAnsi="Narkisim"/>
          <w:rtl/>
        </w:rPr>
        <w:t xml:space="preserve"> כת' דלכאורה כאן ל"צ לזה, דאיירי בשטר שנכתב בשמו של לוקח, והו"ל לתוס' לומר דכיון דמהני מסירה לחוד מש"ה מהני קנין אגב</w:t>
      </w:r>
      <w:r w:rsidRPr="007119D6">
        <w:rPr>
          <w:rStyle w:val="ac"/>
          <w:rFonts w:ascii="Narkisim" w:hAnsi="Narkisim"/>
          <w:rtl/>
        </w:rPr>
        <w:footnoteReference w:id="7800"/>
      </w:r>
      <w:r w:rsidRPr="007119D6">
        <w:rPr>
          <w:rFonts w:ascii="Narkisim" w:hAnsi="Narkisim"/>
          <w:rtl/>
        </w:rPr>
        <w:t>. [משא"כ להקנות שטר חוב דאחרים למ"ד דצריך כתיבה ומסירה, א"כ האיך יהני 'אגב' לקנות השעבוד]. וליכא שום ראיה מהגמ' (ב"ב הנ"ל) דמהני לקנות שטר חוב דאחרים</w:t>
      </w:r>
      <w:r w:rsidRPr="007119D6">
        <w:rPr>
          <w:rStyle w:val="ac"/>
          <w:rFonts w:ascii="Narkisim" w:hAnsi="Narkisim"/>
          <w:rtl/>
        </w:rPr>
        <w:footnoteReference w:id="7801"/>
      </w:r>
      <w:r w:rsidRPr="007119D6">
        <w:rPr>
          <w:rFonts w:ascii="Narkisim" w:hAnsi="Narkisim"/>
          <w:rtl/>
        </w:rPr>
        <w:t>. וצע"ג.</w:t>
      </w:r>
    </w:p>
    <w:p w14:paraId="0660591C" w14:textId="77777777" w:rsidR="006C4368" w:rsidRPr="007119D6" w:rsidRDefault="006C4368" w:rsidP="006C4368">
      <w:pPr>
        <w:pStyle w:val="aa"/>
        <w:bidi/>
        <w:rPr>
          <w:rFonts w:ascii="Narkisim" w:hAnsi="Narkisim"/>
        </w:rPr>
      </w:pPr>
      <w:r w:rsidRPr="007119D6">
        <w:rPr>
          <w:rFonts w:ascii="Narkisim" w:hAnsi="Narkisim"/>
          <w:rtl/>
        </w:rPr>
        <w:t>ואף דה</w:t>
      </w:r>
      <w:r w:rsidRPr="007119D6">
        <w:rPr>
          <w:rFonts w:ascii="Narkisim" w:hAnsi="Narkisim"/>
          <w:b/>
          <w:bCs/>
          <w:rtl/>
        </w:rPr>
        <w:t>פוסקים</w:t>
      </w:r>
      <w:r w:rsidRPr="007119D6">
        <w:rPr>
          <w:rFonts w:ascii="Narkisim" w:hAnsi="Narkisim"/>
          <w:rtl/>
        </w:rPr>
        <w:t xml:space="preserve"> נקטו דמהני אגב בכל השטרות, דסתימת דחיית הגמ' (ב"ב שם) דמהני בכל שטר. אך מאחר דתוס' נדחקו דלא קאי אשטר חוב דאחרים, ומהני רק בשטר מכירה דהתם. א"כ י"ל דמהני משום דלא גרע ממסירה בשטר שנכתב בשמו. ואמאי הוצרכו להוסיף סברת אפסרא.</w:t>
      </w:r>
    </w:p>
    <w:p w14:paraId="39473567" w14:textId="77777777" w:rsidR="006C4368" w:rsidRPr="007119D6" w:rsidRDefault="006C4368" w:rsidP="006C4368">
      <w:pPr>
        <w:bidi/>
        <w:rPr>
          <w:rFonts w:ascii="Narkisim" w:hAnsi="Narkisim" w:cs="Narkisim"/>
        </w:rPr>
      </w:pPr>
      <w:r w:rsidRPr="007119D6">
        <w:rPr>
          <w:rFonts w:ascii="Narkisim" w:hAnsi="Narkisim" w:cs="Narkisim"/>
          <w:u w:val="single"/>
          <w:rtl/>
        </w:rPr>
        <w:t>בא"ד ושוב פר"י דודאי הקלף יכול לעכב שלא יפסיד חזקתו וכו' אבל החוב לא יוכל להוציא וכו'</w:t>
      </w:r>
      <w:r w:rsidRPr="007119D6">
        <w:rPr>
          <w:rFonts w:ascii="Narkisim" w:hAnsi="Narkisim" w:cs="Narkisim"/>
          <w:rtl/>
        </w:rPr>
        <w:t>. ואף דיש חזקה על גוף השטר, ל"מ כנגד חזקת ממון דהנתבע</w:t>
      </w:r>
      <w:r w:rsidRPr="007119D6">
        <w:rPr>
          <w:rStyle w:val="ac"/>
          <w:rFonts w:ascii="Narkisim" w:hAnsi="Narkisim" w:cs="Narkisim"/>
          <w:rtl/>
        </w:rPr>
        <w:footnoteReference w:id="7802"/>
      </w:r>
      <w:r w:rsidRPr="007119D6">
        <w:rPr>
          <w:rFonts w:ascii="Narkisim" w:hAnsi="Narkisim" w:cs="Narkisim"/>
          <w:rtl/>
        </w:rPr>
        <w:t>.</w:t>
      </w:r>
    </w:p>
    <w:p w14:paraId="7BD88D07"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רמב”ן</w:t>
      </w:r>
      <w:r w:rsidRPr="007119D6">
        <w:rPr>
          <w:rFonts w:ascii="Narkisim" w:hAnsi="Narkisim" w:cs="Narkisim"/>
          <w:rtl/>
        </w:rPr>
        <w:t xml:space="preserve"> (ס' הזכות כתובות פה. מג: בדה”ר) דהמח' אביי ורבא אי צריך להביא ראיה הוה אליבא דמ”ד אותיות נקנות במסירה. אבל למ"ד דאין אותיות נקנות במסירה אינו נאמן שקנה באופן המועיל.</w:t>
      </w:r>
    </w:p>
    <w:p w14:paraId="3DA732DD"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דבמטלטלין דתפיסתו עצמה שהוא תופס בהן הוא קונה לו, ומש"ה נאמן לטעון לקוח, ולא מפקינן מחזקתו. אבל בשטרות למ”ד דאין אותיות נקנות במסירה שאין תפיסתו קנין</w:t>
      </w:r>
      <w:r w:rsidRPr="007119D6">
        <w:rPr>
          <w:rStyle w:val="ac"/>
          <w:rFonts w:ascii="Narkisim" w:hAnsi="Narkisim"/>
          <w:rtl/>
        </w:rPr>
        <w:footnoteReference w:id="7803"/>
      </w:r>
      <w:r w:rsidRPr="007119D6">
        <w:rPr>
          <w:rFonts w:ascii="Narkisim" w:hAnsi="Narkisim"/>
          <w:rtl/>
        </w:rPr>
        <w:t>, ואינו מוחזק כלל אלא בנייר שלו. ואי טען שקנה את השעבוד, עליו להביא ראיה</w:t>
      </w:r>
      <w:r w:rsidRPr="007119D6">
        <w:rPr>
          <w:rStyle w:val="ac"/>
          <w:rFonts w:ascii="Narkisim" w:hAnsi="Narkisim"/>
          <w:rtl/>
        </w:rPr>
        <w:footnoteReference w:id="7804"/>
      </w:r>
      <w:r w:rsidRPr="007119D6">
        <w:rPr>
          <w:rFonts w:ascii="Narkisim" w:hAnsi="Narkisim"/>
          <w:rtl/>
        </w:rPr>
        <w:t>.</w:t>
      </w:r>
    </w:p>
    <w:p w14:paraId="525722B9" w14:textId="77777777" w:rsidR="006C4368" w:rsidRPr="007119D6" w:rsidRDefault="006C4368" w:rsidP="006C4368">
      <w:pPr>
        <w:pStyle w:val="a7"/>
        <w:bidi/>
        <w:rPr>
          <w:rFonts w:ascii="Narkisim" w:hAnsi="Narkisim"/>
        </w:rPr>
      </w:pPr>
      <w:r w:rsidRPr="007119D6">
        <w:rPr>
          <w:rFonts w:ascii="Narkisim" w:hAnsi="Narkisim"/>
          <w:rtl/>
        </w:rPr>
        <w:t>ורבא ס"ל דלמ"ד אותיות נקנות במסירה, א"כ תפיסתו הוה קנין, ועשאוהו כשאר מטלטלין שנאמן. ואביי סבר דאפ"ה אינו נאמן כיון שאין גובין ממון, ואין חזקתו אלא בנייר.</w:t>
      </w:r>
    </w:p>
    <w:p w14:paraId="73DBF642" w14:textId="77777777" w:rsidR="006C4368" w:rsidRPr="007119D6" w:rsidRDefault="006C4368" w:rsidP="006C4368">
      <w:pPr>
        <w:bidi/>
        <w:rPr>
          <w:rFonts w:ascii="Narkisim" w:hAnsi="Narkisim" w:cs="Narkisim"/>
        </w:rPr>
      </w:pPr>
      <w:r w:rsidRPr="007119D6">
        <w:rPr>
          <w:rFonts w:ascii="Narkisim" w:hAnsi="Narkisim" w:cs="Narkisim"/>
          <w:u w:val="single"/>
          <w:rtl/>
        </w:rPr>
        <w:t>ההוא גיטא וכו' אנא ענן בר חייא נהרדעא וכו' ובדקו רבנן וכו' לבר לענן בר חייא מחגרא וכו'</w:t>
      </w:r>
      <w:r w:rsidRPr="007119D6">
        <w:rPr>
          <w:rFonts w:ascii="Narkisim" w:hAnsi="Narkisim" w:cs="Narkisim"/>
          <w:rtl/>
        </w:rPr>
        <w:t>. ה</w:t>
      </w:r>
      <w:r w:rsidRPr="007119D6">
        <w:rPr>
          <w:rFonts w:ascii="Narkisim" w:hAnsi="Narkisim" w:cs="Narkisim"/>
          <w:b/>
          <w:bCs/>
          <w:rtl/>
        </w:rPr>
        <w:t>רמב"ן</w:t>
      </w:r>
      <w:r w:rsidRPr="007119D6">
        <w:rPr>
          <w:rFonts w:ascii="Narkisim" w:hAnsi="Narkisim" w:cs="Narkisim"/>
          <w:rtl/>
        </w:rPr>
        <w:t xml:space="preserve"> (בחי' ומלחמות, וכן הראב"ד בס' הזכות) כת' דמצאו במקום שאין השיירות מצויות, ומש"ה לא חיישינן לב' יב"ש [ואי"צ לבדוק כל העולם], אלא דהוחזקו ב' יב"ש</w:t>
      </w:r>
      <w:r w:rsidRPr="007119D6">
        <w:rPr>
          <w:rStyle w:val="ac"/>
          <w:rFonts w:ascii="Narkisim" w:hAnsi="Narkisim" w:cs="Narkisim"/>
          <w:rtl/>
        </w:rPr>
        <w:footnoteReference w:id="7805"/>
      </w:r>
      <w:r w:rsidRPr="007119D6">
        <w:rPr>
          <w:rFonts w:ascii="Narkisim" w:hAnsi="Narkisim" w:cs="Narkisim"/>
          <w:rtl/>
        </w:rPr>
        <w:t>.</w:t>
      </w:r>
    </w:p>
    <w:p w14:paraId="5883471F" w14:textId="77777777" w:rsidR="006C4368" w:rsidRPr="007119D6" w:rsidRDefault="006C4368" w:rsidP="006C4368">
      <w:pPr>
        <w:bidi/>
        <w:rPr>
          <w:rFonts w:ascii="Narkisim" w:hAnsi="Narkisim" w:cs="Narkisim"/>
        </w:rPr>
      </w:pPr>
      <w:r w:rsidRPr="007119D6">
        <w:rPr>
          <w:rFonts w:ascii="Narkisim" w:hAnsi="Narkisim" w:cs="Narkisim"/>
          <w:u w:val="single"/>
          <w:rtl/>
        </w:rPr>
        <w:t>תוד"ה הכא</w:t>
      </w:r>
      <w:r w:rsidRPr="007119D6">
        <w:rPr>
          <w:rFonts w:ascii="Narkisim" w:hAnsi="Narkisim" w:cs="Narkisim"/>
          <w:rtl/>
        </w:rPr>
        <w:t>. וא"ת (מכות ה.) וכו' מהד"ת ניחוש לגמלא פרחא, קמ"ל. [קמ"ל דאפי' בנפשות לא חיישינן</w:t>
      </w:r>
      <w:r w:rsidRPr="007119D6">
        <w:rPr>
          <w:rStyle w:val="ac"/>
          <w:rFonts w:ascii="Narkisim" w:hAnsi="Narkisim" w:cs="Narkisim"/>
          <w:rtl/>
        </w:rPr>
        <w:footnoteReference w:id="7806"/>
      </w:r>
      <w:r w:rsidRPr="007119D6">
        <w:rPr>
          <w:rFonts w:ascii="Narkisim" w:hAnsi="Narkisim" w:cs="Narkisim"/>
          <w:rtl/>
        </w:rPr>
        <w:t>. ואילו בסוגיין חיישינן</w:t>
      </w:r>
      <w:r w:rsidRPr="007119D6">
        <w:rPr>
          <w:rStyle w:val="ac"/>
          <w:rFonts w:ascii="Narkisim" w:hAnsi="Narkisim" w:cs="Narkisim"/>
          <w:rtl/>
        </w:rPr>
        <w:footnoteReference w:id="7807"/>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(כאן ובמכות, וכן שא"ר, וכן ציין בהג' הגר"א) הביא בשם ה</w:t>
      </w:r>
      <w:r w:rsidRPr="007119D6">
        <w:rPr>
          <w:rFonts w:ascii="Narkisim" w:hAnsi="Narkisim" w:cs="Narkisim"/>
          <w:b/>
          <w:bCs/>
          <w:rtl/>
        </w:rPr>
        <w:t>רב אב"ד</w:t>
      </w:r>
      <w:r w:rsidRPr="007119D6">
        <w:rPr>
          <w:rFonts w:ascii="Narkisim" w:hAnsi="Narkisim" w:cs="Narkisim"/>
          <w:rtl/>
        </w:rPr>
        <w:t xml:space="preserve"> דבסוגיין הטעם האחרון [דמילי מסר] עיקר, ושנים הראשונים הוה סניפין לו.</w:t>
      </w:r>
    </w:p>
    <w:p w14:paraId="3F4C67EC" w14:textId="77777777" w:rsidR="006C4368" w:rsidRPr="007119D6" w:rsidRDefault="006C4368" w:rsidP="006C4368">
      <w:pPr>
        <w:bidi/>
        <w:rPr>
          <w:rFonts w:ascii="Narkisim" w:hAnsi="Narkisim" w:cs="Narkisim"/>
        </w:rPr>
      </w:pPr>
      <w:r w:rsidRPr="007119D6">
        <w:rPr>
          <w:rFonts w:ascii="Narkisim" w:hAnsi="Narkisim" w:cs="Narkisim"/>
          <w:u w:val="single"/>
          <w:rtl/>
        </w:rPr>
        <w:t>בא”ד וה”ר מנחם פי' וכו' היה להן לטעון כן, ומדלא אמרו הכי ש”מ דשקר הם מעידים</w:t>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(מכות שם) </w:t>
      </w:r>
      <w:r w:rsidRPr="007119D6">
        <w:rPr>
          <w:rFonts w:ascii="Narkisim" w:eastAsia="Narkisim" w:hAnsi="Narkisim" w:cs="Narkisim"/>
          <w:rtl/>
        </w:rPr>
        <w:t>חלק דכתיב 'והצילו העדה', וניחוש דלא טען מחמת בעיתותא, א"נ משום דסבר לא מהימני לי.</w:t>
      </w:r>
    </w:p>
    <w:p w14:paraId="713BA5A5" w14:textId="77777777" w:rsidR="006C4368" w:rsidRPr="007119D6" w:rsidRDefault="006C4368" w:rsidP="006C4368">
      <w:pPr>
        <w:pStyle w:val="aa"/>
        <w:bidi/>
        <w:rPr>
          <w:rFonts w:ascii="Narkisim" w:hAnsi="Narkisim"/>
        </w:rPr>
      </w:pPr>
      <w:r w:rsidRPr="007119D6">
        <w:rPr>
          <w:rFonts w:ascii="Narkisim" w:hAnsi="Narkisim"/>
          <w:u w:val="single"/>
          <w:rtl/>
        </w:rPr>
        <w:lastRenderedPageBreak/>
        <w:t>וכן אמר להו רב הונא לספרי כי איתנכו בשילי וכו'</w:t>
      </w:r>
      <w:r w:rsidRPr="007119D6">
        <w:rPr>
          <w:rFonts w:ascii="Narkisim" w:hAnsi="Narkisim"/>
          <w:rtl/>
        </w:rPr>
        <w:t>. דיש להקפיד לכתוב את מקום הכתיבה המדוייק. [ו</w:t>
      </w:r>
      <w:r w:rsidRPr="007119D6">
        <w:rPr>
          <w:rFonts w:ascii="Narkisim" w:hAnsi="Narkisim"/>
          <w:b/>
          <w:bCs/>
          <w:rtl/>
        </w:rPr>
        <w:t>תוס</w:t>
      </w:r>
      <w:r w:rsidRPr="007119D6">
        <w:rPr>
          <w:rFonts w:ascii="Narkisim" w:hAnsi="Narkisim"/>
          <w:rtl/>
        </w:rPr>
        <w:t xml:space="preserve">' (גיטין פ.) הוסיפו אף דלא מיחזי כשיקרא כל כך, שהרי יכולים לבא באותו יום. וע”ע </w:t>
      </w:r>
      <w:r w:rsidRPr="007119D6">
        <w:rPr>
          <w:rFonts w:ascii="Narkisim" w:hAnsi="Narkisim"/>
          <w:b/>
          <w:bCs/>
          <w:rtl/>
        </w:rPr>
        <w:t>תוס</w:t>
      </w:r>
      <w:r w:rsidRPr="007119D6">
        <w:rPr>
          <w:rFonts w:ascii="Narkisim" w:hAnsi="Narkisim"/>
          <w:rtl/>
        </w:rPr>
        <w:t>' (שם ולעיל צא:) כששינה מקום הכתיבה האם פוסל את הגט].</w:t>
      </w:r>
    </w:p>
    <w:p w14:paraId="184E8DC6" w14:textId="77777777" w:rsidR="006C4368" w:rsidRPr="007119D6" w:rsidRDefault="006C4368" w:rsidP="006C4368">
      <w:pPr>
        <w:pStyle w:val="2"/>
        <w:bidi/>
        <w:rPr>
          <w:rFonts w:ascii="Narkisim" w:hAnsi="Narkisim"/>
        </w:rPr>
      </w:pPr>
      <w:r w:rsidRPr="007119D6">
        <w:rPr>
          <w:rFonts w:ascii="Narkisim" w:hAnsi="Narkisim"/>
          <w:rtl/>
        </w:rPr>
        <w:t>סוגיית קטטה</w:t>
      </w:r>
    </w:p>
    <w:p w14:paraId="18A1AEE3" w14:textId="77777777" w:rsidR="006C4368" w:rsidRPr="007119D6" w:rsidRDefault="006C4368" w:rsidP="006C4368">
      <w:pPr>
        <w:bidi/>
        <w:rPr>
          <w:rFonts w:ascii="Narkisim" w:hAnsi="Narkisim" w:cs="Narkisim"/>
        </w:rPr>
      </w:pPr>
      <w:r w:rsidRPr="007119D6">
        <w:rPr>
          <w:rFonts w:ascii="Narkisim" w:hAnsi="Narkisim" w:cs="Narkisim"/>
          <w:u w:val="single"/>
          <w:rtl/>
        </w:rPr>
        <w:t>היכי דמי קטטה וכו' באומרת לבעלה גרשיני וכו' באומרת לבעלה גירשתני בפני פלוני ופלוני, ושאילנא ואמרו להד"מ</w:t>
      </w:r>
      <w:r w:rsidRPr="007119D6">
        <w:rPr>
          <w:rFonts w:ascii="Narkisim" w:hAnsi="Narkisim" w:cs="Narkisim"/>
          <w:rtl/>
        </w:rPr>
        <w:t>. בפשוטו הטעם של קטטה משום דסני ליה</w:t>
      </w:r>
      <w:r w:rsidRPr="007119D6">
        <w:rPr>
          <w:rStyle w:val="ac"/>
          <w:rFonts w:ascii="Narkisim" w:hAnsi="Narkisim" w:cs="Narkisim"/>
          <w:rtl/>
        </w:rPr>
        <w:footnoteReference w:id="7808"/>
      </w:r>
      <w:r w:rsidRPr="007119D6">
        <w:rPr>
          <w:rFonts w:ascii="Narkisim" w:hAnsi="Narkisim" w:cs="Narkisim"/>
          <w:rtl/>
        </w:rPr>
        <w:t>. ונידון הגמ' מתי ידעינן דיש קטטה דנחוש דסני ליה. אבל ה</w:t>
      </w:r>
      <w:r w:rsidRPr="007119D6">
        <w:rPr>
          <w:rFonts w:ascii="Narkisim" w:hAnsi="Narkisim" w:cs="Narkisim"/>
          <w:b/>
          <w:bCs/>
          <w:rtl/>
        </w:rPr>
        <w:t>רמב”ם</w:t>
      </w:r>
      <w:r w:rsidRPr="007119D6">
        <w:rPr>
          <w:rFonts w:ascii="Narkisim" w:hAnsi="Narkisim" w:cs="Narkisim"/>
          <w:rtl/>
        </w:rPr>
        <w:t xml:space="preserve"> (גירושין יג א) כת' דהטעם בקטטה, שזו הוחזקה שקרנית ורוצה להשמט מתחת בעלה. [משמע דלא הוה רק משום שנאה, אלא שהוחזקה שקרנית].</w:t>
      </w:r>
    </w:p>
    <w:p w14:paraId="0DBEF8A9" w14:textId="77777777" w:rsidR="006C4368" w:rsidRPr="007119D6" w:rsidRDefault="006C4368" w:rsidP="006C4368">
      <w:pPr>
        <w:pStyle w:val="a7"/>
        <w:bidi/>
        <w:rPr>
          <w:rFonts w:ascii="Narkisim" w:hAnsi="Narkisim"/>
        </w:rPr>
      </w:pPr>
      <w:r w:rsidRPr="007119D6">
        <w:rPr>
          <w:rFonts w:ascii="Narkisim" w:hAnsi="Narkisim"/>
          <w:rtl/>
        </w:rPr>
        <w:t>וכ"כ ה</w:t>
      </w:r>
      <w:r w:rsidRPr="007119D6">
        <w:rPr>
          <w:rFonts w:ascii="Narkisim" w:hAnsi="Narkisim"/>
          <w:b/>
          <w:bCs/>
          <w:rtl/>
        </w:rPr>
        <w:t>חלק"מ</w:t>
      </w:r>
      <w:r w:rsidRPr="007119D6">
        <w:rPr>
          <w:rFonts w:ascii="Narkisim" w:hAnsi="Narkisim"/>
          <w:rtl/>
        </w:rPr>
        <w:t xml:space="preserve"> (יז צד) דלמסקנא מבואר דדוקא היכא דחזינן בה ריעותא אינה נאמנת [בקטטה], שאמרה גרשני בפני עדים ואשתכח שיקרא, דאז הוחזקה לשקר. אבל דאל"כ לא הוחזקה לעבור על איסור</w:t>
      </w:r>
      <w:r w:rsidRPr="007119D6">
        <w:rPr>
          <w:rStyle w:val="ac"/>
          <w:rFonts w:ascii="Narkisim" w:hAnsi="Narkisim"/>
          <w:rtl/>
        </w:rPr>
        <w:footnoteReference w:id="7809"/>
      </w:r>
      <w:r w:rsidRPr="007119D6">
        <w:rPr>
          <w:rFonts w:ascii="Narkisim" w:hAnsi="Narkisim"/>
          <w:rtl/>
        </w:rPr>
        <w:t>. וע"ע בע"ב.</w:t>
      </w:r>
    </w:p>
    <w:p w14:paraId="725615BA" w14:textId="77777777" w:rsidR="006C4368" w:rsidRPr="007119D6" w:rsidRDefault="006C4368" w:rsidP="006C4368">
      <w:pPr>
        <w:bidi/>
        <w:rPr>
          <w:rFonts w:ascii="Narkisim" w:hAnsi="Narkisim" w:cs="Narkisim"/>
        </w:rPr>
      </w:pPr>
      <w:r w:rsidRPr="007119D6">
        <w:rPr>
          <w:rFonts w:ascii="Narkisim" w:hAnsi="Narkisim" w:cs="Narkisim"/>
          <w:rtl/>
        </w:rPr>
        <w:t>וב</w:t>
      </w:r>
      <w:r w:rsidRPr="007119D6">
        <w:rPr>
          <w:rFonts w:ascii="Narkisim" w:hAnsi="Narkisim" w:cs="Narkisim"/>
          <w:b/>
          <w:bCs/>
          <w:rtl/>
        </w:rPr>
        <w:t>פסקי הרי"ד</w:t>
      </w:r>
      <w:r w:rsidRPr="007119D6">
        <w:rPr>
          <w:rFonts w:ascii="Narkisim" w:hAnsi="Narkisim" w:cs="Narkisim"/>
          <w:rtl/>
        </w:rPr>
        <w:t xml:space="preserve"> ביאר דמשום מריבה בעלמא לא חשדינן. שדרך איש ואשתו לכעוס זה על זה, ומפני כך אין האשה שונאה את בעלה</w:t>
      </w:r>
      <w:r w:rsidRPr="007119D6">
        <w:rPr>
          <w:rStyle w:val="ac"/>
          <w:rFonts w:ascii="Narkisim" w:hAnsi="Narkisim" w:cs="Narkisim"/>
          <w:rtl/>
        </w:rPr>
        <w:footnoteReference w:id="7810"/>
      </w:r>
      <w:r w:rsidRPr="007119D6">
        <w:rPr>
          <w:rFonts w:ascii="Narkisim" w:hAnsi="Narkisim" w:cs="Narkisim"/>
          <w:rtl/>
        </w:rPr>
        <w:t>. ודוקא כשיש קטטה של גירושין ביניהן מוכחא מילתא שהיא שונאתו.</w:t>
      </w:r>
    </w:p>
    <w:p w14:paraId="6B8C7275" w14:textId="77777777" w:rsidR="006C4368" w:rsidRPr="007119D6" w:rsidRDefault="006C4368" w:rsidP="006C4368">
      <w:pPr>
        <w:pStyle w:val="aa"/>
        <w:bidi/>
        <w:rPr>
          <w:rFonts w:ascii="Narkisim" w:hAnsi="Narkisim"/>
        </w:rPr>
      </w:pPr>
      <w:r w:rsidRPr="007119D6">
        <w:rPr>
          <w:rFonts w:ascii="Narkisim" w:hAnsi="Narkisim"/>
          <w:rtl/>
        </w:rPr>
        <w:t>אבל גמ' (לקמן קיח:) דנו אי מזכין גט במקום קטטה, וע"כ התם איירי דהוחזקו מתקוטטים בעלמא.</w:t>
      </w:r>
    </w:p>
    <w:p w14:paraId="060FF64E" w14:textId="77777777" w:rsidR="006C4368" w:rsidRPr="007119D6" w:rsidRDefault="006C4368" w:rsidP="006C4368">
      <w:pPr>
        <w:bidi/>
        <w:rPr>
          <w:rFonts w:ascii="Narkisim" w:hAnsi="Narkisim" w:cs="Narkisim"/>
        </w:rPr>
      </w:pPr>
      <w:r w:rsidRPr="007119D6">
        <w:rPr>
          <w:rFonts w:ascii="Narkisim" w:hAnsi="Narkisim" w:cs="Narkisim"/>
          <w:u w:val="single"/>
          <w:rtl/>
        </w:rPr>
        <w:t>דאמר רב המנונא אשה שאמרה לבעלה גירשתני נאמנת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(וכן התו"י לקמן קיז.) הביא דמבואר בסוגיין דנאמנת לינשא לכתחילה משום חזקה זו</w:t>
      </w:r>
      <w:r w:rsidRPr="007119D6">
        <w:rPr>
          <w:rStyle w:val="ac"/>
          <w:rFonts w:ascii="Narkisim" w:hAnsi="Narkisim" w:cs="Narkisim"/>
          <w:rtl/>
        </w:rPr>
        <w:footnoteReference w:id="7811"/>
      </w:r>
      <w:r w:rsidRPr="007119D6">
        <w:rPr>
          <w:rFonts w:ascii="Narkisim" w:hAnsi="Narkisim" w:cs="Narkisim"/>
          <w:rtl/>
        </w:rPr>
        <w:t>. [וכ”ד רוב ה</w:t>
      </w:r>
      <w:r w:rsidRPr="007119D6">
        <w:rPr>
          <w:rFonts w:ascii="Narkisim" w:hAnsi="Narkisim" w:cs="Narkisim"/>
          <w:b/>
          <w:bCs/>
          <w:rtl/>
        </w:rPr>
        <w:t>ראשונים</w:t>
      </w:r>
      <w:r w:rsidRPr="007119D6">
        <w:rPr>
          <w:rStyle w:val="ac"/>
          <w:rFonts w:ascii="Narkisim" w:hAnsi="Narkisim" w:cs="Narkisim"/>
          <w:rtl/>
        </w:rPr>
        <w:footnoteReference w:id="7812"/>
      </w:r>
      <w:r w:rsidRPr="007119D6">
        <w:rPr>
          <w:rFonts w:ascii="Narkisim" w:hAnsi="Narkisim" w:cs="Narkisim"/>
          <w:rtl/>
        </w:rPr>
        <w:t>], דבמשנה איירי להאמינה לינשא, ונימא דאיצטריך נאמנות שמת בעלה לינשא לכתחילה.</w:t>
      </w:r>
    </w:p>
    <w:p w14:paraId="2D68D54B" w14:textId="77777777" w:rsidR="006C4368" w:rsidRPr="007119D6" w:rsidRDefault="006C4368" w:rsidP="006C4368">
      <w:pPr>
        <w:pStyle w:val="a7"/>
        <w:bidi/>
        <w:rPr>
          <w:rFonts w:ascii="Narkisim" w:hAnsi="Narkisim"/>
        </w:rPr>
      </w:pPr>
      <w:r w:rsidRPr="007119D6">
        <w:rPr>
          <w:rFonts w:ascii="Narkisim" w:hAnsi="Narkisim"/>
          <w:rtl/>
        </w:rPr>
        <w:t>אבל דעת ה</w:t>
      </w:r>
      <w:r w:rsidRPr="007119D6">
        <w:rPr>
          <w:rFonts w:ascii="Narkisim" w:hAnsi="Narkisim"/>
          <w:b/>
          <w:bCs/>
          <w:rtl/>
        </w:rPr>
        <w:t>ראב"ד</w:t>
      </w:r>
      <w:r w:rsidRPr="007119D6">
        <w:rPr>
          <w:rFonts w:ascii="Narkisim" w:hAnsi="Narkisim"/>
          <w:rtl/>
        </w:rPr>
        <w:t xml:space="preserve"> (</w:t>
      </w:r>
      <w:r w:rsidRPr="007119D6">
        <w:rPr>
          <w:rFonts w:ascii="Narkisim" w:eastAsia="Narkisim" w:hAnsi="Narkisim"/>
          <w:rtl/>
        </w:rPr>
        <w:t>אישות ד יג, טז כו) דלא נאמרו דברי רב המנונא לינשא לכתחילה, אלא לענין דתופסים בה קידושין, ושמא אם נשאת לא תצא</w:t>
      </w:r>
      <w:r w:rsidRPr="007119D6">
        <w:rPr>
          <w:rStyle w:val="ac"/>
          <w:rFonts w:ascii="Narkisim" w:eastAsia="Narkisim" w:hAnsi="Narkisim"/>
          <w:rtl/>
        </w:rPr>
        <w:footnoteReference w:id="7813"/>
      </w:r>
      <w:r w:rsidRPr="007119D6">
        <w:rPr>
          <w:rFonts w:ascii="Narkisim" w:eastAsia="Narkisim" w:hAnsi="Narkisim"/>
          <w:rtl/>
        </w:rPr>
        <w:t>. דאל"כ לא הנחת אשה יושבת תחת בעלה</w:t>
      </w:r>
      <w:r w:rsidRPr="007119D6">
        <w:rPr>
          <w:rStyle w:val="ac"/>
          <w:rFonts w:ascii="Narkisim" w:eastAsia="Narkisim" w:hAnsi="Narkisim"/>
          <w:rtl/>
        </w:rPr>
        <w:footnoteReference w:id="7814"/>
      </w:r>
      <w:r w:rsidRPr="007119D6">
        <w:rPr>
          <w:rFonts w:ascii="Narkisim" w:eastAsia="Narkisim" w:hAnsi="Narkisim"/>
          <w:rtl/>
        </w:rPr>
        <w:t>.</w:t>
      </w:r>
    </w:p>
    <w:p w14:paraId="29CB789C" w14:textId="77777777" w:rsidR="006C4368" w:rsidRPr="007119D6" w:rsidRDefault="006C4368" w:rsidP="006C4368">
      <w:pPr>
        <w:pStyle w:val="a7"/>
        <w:bidi/>
        <w:rPr>
          <w:rFonts w:ascii="Narkisim" w:hAnsi="Narkisim"/>
        </w:rPr>
      </w:pPr>
      <w:r w:rsidRPr="007119D6">
        <w:rPr>
          <w:rFonts w:ascii="Narkisim" w:eastAsia="Narkisim" w:hAnsi="Narkisim"/>
          <w:rtl/>
        </w:rPr>
        <w:lastRenderedPageBreak/>
        <w:t>וה</w:t>
      </w:r>
      <w:r w:rsidRPr="007119D6">
        <w:rPr>
          <w:rFonts w:ascii="Narkisim" w:eastAsia="Narkisim" w:hAnsi="Narkisim"/>
          <w:b/>
          <w:bCs/>
          <w:rtl/>
        </w:rPr>
        <w:t>ריטב"א</w:t>
      </w:r>
      <w:r w:rsidRPr="007119D6">
        <w:rPr>
          <w:rFonts w:ascii="Narkisim" w:eastAsia="Narkisim" w:hAnsi="Narkisim"/>
          <w:rtl/>
        </w:rPr>
        <w:t xml:space="preserve"> כת' דיש לדחות דקו' הגמ' דמשמע דאינה נאמנת כלל, ואפי' פשטה ידה וקיבלה קידושין אין חוששין לקידושין</w:t>
      </w:r>
      <w:r w:rsidRPr="007119D6">
        <w:rPr>
          <w:rStyle w:val="ac"/>
          <w:rFonts w:ascii="Narkisim" w:eastAsia="Narkisim" w:hAnsi="Narkisim"/>
          <w:rtl/>
        </w:rPr>
        <w:footnoteReference w:id="7815"/>
      </w:r>
      <w:r w:rsidRPr="007119D6">
        <w:rPr>
          <w:rFonts w:ascii="Narkisim" w:eastAsia="Narkisim" w:hAnsi="Narkisim"/>
          <w:rtl/>
        </w:rPr>
        <w:t>.</w:t>
      </w:r>
    </w:p>
    <w:p w14:paraId="7DDED4C1" w14:textId="77777777" w:rsidR="006C4368" w:rsidRPr="007119D6" w:rsidRDefault="006C4368" w:rsidP="006C4368">
      <w:pPr>
        <w:pStyle w:val="a8"/>
        <w:bidi/>
        <w:rPr>
          <w:rFonts w:ascii="Narkisim" w:hAnsi="Narkisim"/>
        </w:rPr>
      </w:pPr>
      <w:r w:rsidRPr="007119D6">
        <w:rPr>
          <w:rFonts w:ascii="Narkisim" w:hAnsi="Narkisim"/>
          <w:rtl/>
        </w:rPr>
        <w:t>ונתחדש בדברי הריטב"א דעד א' בקטטה אין חוששין לדבריו כלל ואף לחומרא [ולא תפסי קידושין דשני]. וצ”ע. וע' בדברי המגיה.</w:t>
      </w:r>
    </w:p>
    <w:p w14:paraId="6894F961"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(ג י ב) תי' לדעת הראב"ד, דהראב"ד מודה דנאמנת מדאורייתא משום דאינה מעיזה, דהא כת' דנשאת לא תצא. וא"כ לא הוחזק איסור אשת איש. והיכא דלא הוחזק איסור אשת איש נאמנת מדינא על מיתת הבעל</w:t>
      </w:r>
      <w:r w:rsidRPr="007119D6">
        <w:rPr>
          <w:rStyle w:val="ac"/>
          <w:rFonts w:ascii="Narkisim" w:hAnsi="Narkisim"/>
          <w:rtl/>
        </w:rPr>
        <w:footnoteReference w:id="7816"/>
      </w:r>
      <w:r w:rsidRPr="007119D6">
        <w:rPr>
          <w:rFonts w:ascii="Narkisim" w:hAnsi="Narkisim"/>
          <w:rtl/>
        </w:rPr>
        <w:t>.</w:t>
      </w:r>
    </w:p>
    <w:p w14:paraId="362FF573"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ב</w:t>
      </w:r>
      <w:r w:rsidRPr="007119D6">
        <w:rPr>
          <w:rFonts w:ascii="Narkisim" w:hAnsi="Narkisim" w:cs="Narkisim"/>
          <w:b/>
          <w:bCs/>
          <w:rtl/>
        </w:rPr>
        <w:t>גמ'</w:t>
      </w:r>
      <w:r w:rsidRPr="007119D6">
        <w:rPr>
          <w:rFonts w:ascii="Narkisim" w:hAnsi="Narkisim" w:cs="Narkisim"/>
          <w:rtl/>
        </w:rPr>
        <w:t xml:space="preserve"> (גיטין פט:, וכתובות כג. עכ”פ לחד מ”ד) אי' דרב המנונא איירי דוקא בפניו. אבל שלא בפניו מעיזה.</w:t>
      </w:r>
    </w:p>
    <w:p w14:paraId="68E8163D"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רמ"ה</w:t>
      </w:r>
      <w:r w:rsidRPr="007119D6">
        <w:rPr>
          <w:rFonts w:ascii="Narkisim" w:hAnsi="Narkisim"/>
          <w:rtl/>
        </w:rPr>
        <w:t xml:space="preserve"> (הו' בארחות חיים קיד' יג, הו' בב"י ורמ"א יז ב) דמסתברא דהך חזקה הוה דוקא בדורות הראשונים אבל האידנא דנפישי חוצפא ופריצותא בעלמא איתרע חזקה דרב המנונא, ונאמנת רק לחומרא</w:t>
      </w:r>
      <w:r w:rsidRPr="007119D6">
        <w:rPr>
          <w:rStyle w:val="ac"/>
          <w:rFonts w:ascii="Narkisim" w:hAnsi="Narkisim"/>
          <w:rtl/>
        </w:rPr>
        <w:footnoteReference w:id="7817"/>
      </w:r>
      <w:r w:rsidRPr="007119D6">
        <w:rPr>
          <w:rFonts w:ascii="Narkisim" w:hAnsi="Narkisim"/>
          <w:rtl/>
        </w:rPr>
        <w:t>.</w:t>
      </w:r>
    </w:p>
    <w:p w14:paraId="2AAA1DB8"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(כאן בסו"ד) כת' דהיכא דתובעת כתובתה אינה נאמנת. ו</w:t>
      </w:r>
      <w:r w:rsidRPr="007119D6">
        <w:rPr>
          <w:rFonts w:ascii="Narkisim" w:hAnsi="Narkisim"/>
          <w:b/>
          <w:bCs/>
          <w:rtl/>
        </w:rPr>
        <w:t>תוס</w:t>
      </w:r>
      <w:r w:rsidRPr="007119D6">
        <w:rPr>
          <w:rFonts w:ascii="Narkisim" w:hAnsi="Narkisim"/>
          <w:rtl/>
        </w:rPr>
        <w:t>' (ב"מ יז:, והרא"ש כאן, והשו”ע יז ב) כת' דבמקום קטטה</w:t>
      </w:r>
      <w:r w:rsidRPr="007119D6">
        <w:rPr>
          <w:rStyle w:val="ac"/>
          <w:rFonts w:ascii="Narkisim" w:hAnsi="Narkisim"/>
          <w:rtl/>
        </w:rPr>
        <w:footnoteReference w:id="7818"/>
      </w:r>
      <w:r w:rsidRPr="007119D6">
        <w:rPr>
          <w:rFonts w:ascii="Narkisim" w:hAnsi="Narkisim"/>
          <w:rtl/>
        </w:rPr>
        <w:t xml:space="preserve"> אינה נאמנת לומר שנתגרשה. </w:t>
      </w:r>
      <w:r w:rsidRPr="007119D6">
        <w:rPr>
          <w:rFonts w:ascii="Narkisim" w:hAnsi="Narkisim"/>
          <w:szCs w:val="20"/>
          <w:rtl/>
        </w:rPr>
        <w:t>[וה</w:t>
      </w:r>
      <w:r w:rsidRPr="007119D6">
        <w:rPr>
          <w:rFonts w:ascii="Narkisim" w:hAnsi="Narkisim"/>
          <w:b/>
          <w:bCs/>
          <w:szCs w:val="20"/>
          <w:rtl/>
        </w:rPr>
        <w:t>בית מאיר</w:t>
      </w:r>
      <w:r w:rsidRPr="007119D6">
        <w:rPr>
          <w:rFonts w:ascii="Narkisim" w:hAnsi="Narkisim"/>
          <w:szCs w:val="20"/>
          <w:rtl/>
        </w:rPr>
        <w:t xml:space="preserve"> (יז ב) וה</w:t>
      </w:r>
      <w:r w:rsidRPr="007119D6">
        <w:rPr>
          <w:rFonts w:ascii="Narkisim" w:hAnsi="Narkisim"/>
          <w:b/>
          <w:bCs/>
          <w:szCs w:val="20"/>
          <w:rtl/>
        </w:rPr>
        <w:t>מראות צובאות</w:t>
      </w:r>
      <w:r w:rsidRPr="007119D6">
        <w:rPr>
          <w:rFonts w:ascii="Narkisim" w:hAnsi="Narkisim"/>
          <w:szCs w:val="20"/>
          <w:rtl/>
        </w:rPr>
        <w:t xml:space="preserve"> (יז י, והו' בפתח”ת שם) כת' דכוונתם קטטה בעלמא, ולא באומרת גרשתני. דאי אמרה גרשתני ואשתכח שיקרא והוחזקה מעיזה, פשיטא דשוב אינה נאמנת לומר גרשתני. וצ"ל דנקטו לישנא בעלמא דקטטה].</w:t>
      </w:r>
    </w:p>
    <w:p w14:paraId="5B42E379"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תו"י</w:t>
      </w:r>
      <w:r w:rsidRPr="007119D6">
        <w:rPr>
          <w:rFonts w:ascii="Narkisim" w:hAnsi="Narkisim" w:cs="Narkisim"/>
          <w:rtl/>
        </w:rPr>
        <w:t xml:space="preserve"> (לקמן קיז.) הק' א"כ הו"ל לגמ' להעמיד את המשנה דקטטה באומרת גרשתני ותובעת כתובתה. ועד"ז הק' ה</w:t>
      </w:r>
      <w:r w:rsidRPr="007119D6">
        <w:rPr>
          <w:rFonts w:ascii="Narkisim" w:hAnsi="Narkisim" w:cs="Narkisim"/>
          <w:b/>
          <w:bCs/>
          <w:rtl/>
        </w:rPr>
        <w:t>מהרי"ק</w:t>
      </w:r>
      <w:r w:rsidRPr="007119D6">
        <w:rPr>
          <w:rFonts w:ascii="Narkisim" w:hAnsi="Narkisim" w:cs="Narkisim"/>
          <w:rtl/>
        </w:rPr>
        <w:t xml:space="preserve"> (עב) וה</w:t>
      </w:r>
      <w:r w:rsidRPr="007119D6">
        <w:rPr>
          <w:rFonts w:ascii="Narkisim" w:hAnsi="Narkisim" w:cs="Narkisim"/>
          <w:b/>
          <w:bCs/>
          <w:rtl/>
        </w:rPr>
        <w:t>אחרונים</w:t>
      </w:r>
      <w:r w:rsidRPr="007119D6">
        <w:rPr>
          <w:rFonts w:ascii="Narkisim" w:hAnsi="Narkisim" w:cs="Narkisim"/>
          <w:rtl/>
        </w:rPr>
        <w:t xml:space="preserve"> דהו"ל לגמ' להעמיד דנחשב קטטה כשאמרה שנתגרשה שלא בפניו. </w:t>
      </w:r>
      <w:r w:rsidRPr="007119D6">
        <w:rPr>
          <w:rFonts w:ascii="Narkisim" w:hAnsi="Narkisim" w:cs="Narkisim"/>
          <w:szCs w:val="20"/>
          <w:rtl/>
        </w:rPr>
        <w:t>ודוחק לומר דכולהו אמרי הכי, ולא נחשב קטטה. ועוד כת' המהרי”ק דדוחק לומר דלשון המשנה קטטה בינו לבינה משמע שהיתה לפניו בשעת קטטה</w:t>
      </w:r>
      <w:r w:rsidRPr="007119D6">
        <w:rPr>
          <w:rStyle w:val="ac"/>
          <w:rFonts w:ascii="Narkisim" w:hAnsi="Narkisim" w:cs="Narkisim"/>
          <w:szCs w:val="20"/>
          <w:rtl/>
        </w:rPr>
        <w:footnoteReference w:id="7819"/>
      </w:r>
      <w:r w:rsidRPr="007119D6">
        <w:rPr>
          <w:rFonts w:ascii="Narkisim" w:hAnsi="Narkisim" w:cs="Narkisim"/>
          <w:szCs w:val="20"/>
          <w:rtl/>
        </w:rPr>
        <w:t>.</w:t>
      </w:r>
    </w:p>
    <w:p w14:paraId="301D8BAC"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חידש דהיכא דאמרה שנתגרשה שלא בפניו [ולא הוכחשה], איתרע חזקת אשת איש. ועי"ז תהא נאמנת שמת בעלה [אף במקום קטטה]. וביאר דהקילו להתיר אשה לינשא משום דדייקא ומינסבא (וכדאי' בגמ' בע"ב), אך היכא דיש חשש 'קטטה' א"כ חיישינן דל"ש דייקא, ואינה נאמנת כנגד חזקת אשת איש. אך קו' הגמ' דכיון דאמרה גרשתני [אף שלא בפניו], עי"ז איתרע חזקת אשת איש</w:t>
      </w:r>
      <w:r w:rsidRPr="007119D6">
        <w:rPr>
          <w:rStyle w:val="ac"/>
          <w:rFonts w:ascii="Narkisim" w:hAnsi="Narkisim"/>
          <w:rtl/>
        </w:rPr>
        <w:footnoteReference w:id="7820"/>
      </w:r>
      <w:r w:rsidRPr="007119D6">
        <w:rPr>
          <w:rFonts w:ascii="Narkisim" w:hAnsi="Narkisim"/>
          <w:rtl/>
        </w:rPr>
        <w:t>. ומש"ה תהא נאמנת משום תקנת עיגון ע"י דייקא. [ואף במקום חשש סניא ליה].</w:t>
      </w:r>
    </w:p>
    <w:p w14:paraId="788422D8" w14:textId="77777777" w:rsidR="006C4368" w:rsidRPr="007119D6" w:rsidRDefault="006C4368" w:rsidP="006C4368">
      <w:pPr>
        <w:pStyle w:val="a8"/>
        <w:bidi/>
        <w:rPr>
          <w:rFonts w:ascii="Narkisim" w:hAnsi="Narkisim"/>
        </w:rPr>
      </w:pPr>
      <w:r w:rsidRPr="007119D6">
        <w:rPr>
          <w:rFonts w:ascii="Narkisim" w:hAnsi="Narkisim"/>
          <w:rtl/>
        </w:rPr>
        <w:t>ו</w:t>
      </w:r>
      <w:r w:rsidRPr="007119D6">
        <w:rPr>
          <w:rFonts w:ascii="Narkisim" w:hAnsi="Narkisim"/>
          <w:b/>
          <w:bCs/>
          <w:rtl/>
        </w:rPr>
        <w:t xml:space="preserve">רע"א </w:t>
      </w:r>
      <w:r w:rsidRPr="007119D6">
        <w:rPr>
          <w:rFonts w:ascii="Narkisim" w:hAnsi="Narkisim"/>
          <w:rtl/>
        </w:rPr>
        <w:t>תי' דסתמא קתני אף באשת כהן. וי"ל דאשת כהן נאסרת על בעלה כשאמרה גרשתני אפי' שלא בפניו</w:t>
      </w:r>
      <w:r w:rsidRPr="007119D6">
        <w:rPr>
          <w:rStyle w:val="ac"/>
          <w:rFonts w:ascii="Narkisim" w:hAnsi="Narkisim"/>
          <w:rtl/>
        </w:rPr>
        <w:footnoteReference w:id="7821"/>
      </w:r>
      <w:r w:rsidRPr="007119D6">
        <w:rPr>
          <w:rFonts w:ascii="Narkisim" w:hAnsi="Narkisim"/>
          <w:rtl/>
        </w:rPr>
        <w:t>. א"כ ליכא חשש שמשקרת מחמת שנאה להשמיט עצמה מבעלה, הא כבר היא משומטת ממנו משעה שאמרה גרשני</w:t>
      </w:r>
      <w:r w:rsidRPr="007119D6">
        <w:rPr>
          <w:rStyle w:val="ac"/>
          <w:rFonts w:ascii="Narkisim" w:hAnsi="Narkisim"/>
          <w:rtl/>
        </w:rPr>
        <w:footnoteReference w:id="7822"/>
      </w:r>
      <w:r w:rsidRPr="007119D6">
        <w:rPr>
          <w:rFonts w:ascii="Narkisim" w:hAnsi="Narkisim"/>
          <w:rtl/>
        </w:rPr>
        <w:t>. [ואפ"ה הגמ' תי' דאיירי כשהוכחשה ע"י עדים, ואף אשת כהן מותרת לחזור כשהוכחשה ע”י עדים</w:t>
      </w:r>
      <w:r w:rsidRPr="007119D6">
        <w:rPr>
          <w:rStyle w:val="ac"/>
          <w:rFonts w:ascii="Narkisim" w:hAnsi="Narkisim"/>
          <w:rtl/>
        </w:rPr>
        <w:footnoteReference w:id="7823"/>
      </w:r>
      <w:r w:rsidRPr="007119D6">
        <w:rPr>
          <w:rFonts w:ascii="Narkisim" w:hAnsi="Narkisim"/>
          <w:rtl/>
        </w:rPr>
        <w:t>].</w:t>
      </w:r>
    </w:p>
    <w:p w14:paraId="00399EC0" w14:textId="77777777" w:rsidR="006C4368" w:rsidRPr="007119D6" w:rsidRDefault="006C4368" w:rsidP="006C4368">
      <w:pPr>
        <w:bidi/>
        <w:rPr>
          <w:rFonts w:ascii="Narkisim" w:hAnsi="Narkisim" w:cs="Narkisim"/>
        </w:rPr>
      </w:pPr>
      <w:r w:rsidRPr="007119D6">
        <w:rPr>
          <w:rFonts w:ascii="Narkisim" w:hAnsi="Narkisim" w:cs="Narkisim"/>
          <w:rtl/>
        </w:rPr>
        <w:lastRenderedPageBreak/>
        <w:t>אבל ה</w:t>
      </w:r>
      <w:r w:rsidRPr="007119D6">
        <w:rPr>
          <w:rFonts w:ascii="Narkisim" w:hAnsi="Narkisim" w:cs="Narkisim"/>
          <w:b/>
          <w:bCs/>
          <w:rtl/>
        </w:rPr>
        <w:t>בי"ש</w:t>
      </w:r>
      <w:r w:rsidRPr="007119D6">
        <w:rPr>
          <w:rFonts w:ascii="Narkisim" w:hAnsi="Narkisim" w:cs="Narkisim"/>
          <w:rtl/>
        </w:rPr>
        <w:t xml:space="preserve"> (שם קמ) כת' [ע"ד הרמ"ה דאינה נאמנת בזה”ז] דאפ"ה [היכא דלא הוכחשה ע"י עדים</w:t>
      </w:r>
      <w:r w:rsidRPr="007119D6">
        <w:rPr>
          <w:rStyle w:val="ac"/>
          <w:rFonts w:ascii="Narkisim" w:hAnsi="Narkisim" w:cs="Narkisim"/>
          <w:rtl/>
        </w:rPr>
        <w:footnoteReference w:id="7824"/>
      </w:r>
      <w:r w:rsidRPr="007119D6">
        <w:rPr>
          <w:rFonts w:ascii="Narkisim" w:hAnsi="Narkisim" w:cs="Narkisim"/>
          <w:rtl/>
        </w:rPr>
        <w:t>] נאמנת אח"כ לומר שמת בעלה</w:t>
      </w:r>
      <w:r w:rsidRPr="007119D6">
        <w:rPr>
          <w:rStyle w:val="ac"/>
          <w:rFonts w:ascii="Narkisim" w:hAnsi="Narkisim" w:cs="Narkisim"/>
          <w:rtl/>
        </w:rPr>
        <w:footnoteReference w:id="7825"/>
      </w:r>
      <w:r w:rsidRPr="007119D6">
        <w:rPr>
          <w:rFonts w:ascii="Narkisim" w:hAnsi="Narkisim" w:cs="Narkisim"/>
          <w:rtl/>
        </w:rPr>
        <w:t>. וה</w:t>
      </w:r>
      <w:r w:rsidRPr="007119D6">
        <w:rPr>
          <w:rFonts w:ascii="Narkisim" w:hAnsi="Narkisim" w:cs="Narkisim"/>
          <w:b/>
          <w:bCs/>
          <w:rtl/>
        </w:rPr>
        <w:t>בית מאיר</w:t>
      </w:r>
      <w:r w:rsidRPr="007119D6">
        <w:rPr>
          <w:rFonts w:ascii="Narkisim" w:hAnsi="Narkisim" w:cs="Narkisim"/>
          <w:rtl/>
        </w:rPr>
        <w:t xml:space="preserve"> (שם מח) וב</w:t>
      </w:r>
      <w:r w:rsidRPr="007119D6">
        <w:rPr>
          <w:rFonts w:ascii="Narkisim" w:hAnsi="Narkisim" w:cs="Narkisim"/>
          <w:b/>
          <w:bCs/>
          <w:rtl/>
        </w:rPr>
        <w:t>שו"ת רע”א</w:t>
      </w:r>
      <w:r w:rsidRPr="007119D6">
        <w:rPr>
          <w:rFonts w:ascii="Narkisim" w:hAnsi="Narkisim" w:cs="Narkisim"/>
          <w:rtl/>
        </w:rPr>
        <w:t xml:space="preserve"> (ק קל ובחי', הובאו בפתח"ת שם קסז) חלקו דמבואר בהו”א דסוגיין דנחשב קטטה, ואף היכא דאינה נאמנת.</w:t>
      </w:r>
    </w:p>
    <w:p w14:paraId="3D8BDCFA" w14:textId="77777777" w:rsidR="006C4368" w:rsidRPr="007119D6" w:rsidRDefault="006C4368" w:rsidP="006C4368">
      <w:pPr>
        <w:bidi/>
        <w:rPr>
          <w:rFonts w:ascii="Narkisim" w:hAnsi="Narkisim" w:cs="Narkisim"/>
        </w:rPr>
      </w:pPr>
      <w:r w:rsidRPr="007119D6">
        <w:rPr>
          <w:rFonts w:ascii="Narkisim" w:hAnsi="Narkisim" w:cs="Narkisim"/>
          <w:u w:val="single"/>
          <w:rtl/>
        </w:rPr>
        <w:t>תוד"ה ולהימניה</w:t>
      </w:r>
      <w:r w:rsidRPr="007119D6">
        <w:rPr>
          <w:rFonts w:ascii="Narkisim" w:hAnsi="Narkisim" w:cs="Narkisim"/>
          <w:rtl/>
        </w:rPr>
        <w:t>. וא"ת (כתובות פט.) וכו' דמיגו דיכול לומר לא גרשתיה וכו'. ותוס' הק' דהאשה נאמנת מדרב המנונא. אבל ב</w:t>
      </w:r>
      <w:r w:rsidRPr="007119D6">
        <w:rPr>
          <w:rFonts w:ascii="Narkisim" w:hAnsi="Narkisim" w:cs="Narkisim"/>
          <w:b/>
          <w:bCs/>
          <w:rtl/>
        </w:rPr>
        <w:t>הג' מיימוניות</w:t>
      </w:r>
      <w:r w:rsidRPr="007119D6">
        <w:rPr>
          <w:rFonts w:ascii="Narkisim" w:hAnsi="Narkisim" w:cs="Narkisim"/>
          <w:rtl/>
        </w:rPr>
        <w:t xml:space="preserve"> </w:t>
      </w:r>
      <w:r w:rsidRPr="007119D6">
        <w:rPr>
          <w:rFonts w:ascii="Narkisim" w:hAnsi="Narkisim" w:cs="Narkisim"/>
          <w:szCs w:val="20"/>
          <w:rtl/>
        </w:rPr>
        <w:t>(יב א, והו' בדרכ”מ יז ג)</w:t>
      </w:r>
      <w:r w:rsidRPr="007119D6">
        <w:rPr>
          <w:rFonts w:ascii="Narkisim" w:hAnsi="Narkisim" w:cs="Narkisim"/>
          <w:rtl/>
        </w:rPr>
        <w:t xml:space="preserve"> הביא בשם </w:t>
      </w:r>
      <w:r w:rsidRPr="007119D6">
        <w:rPr>
          <w:rFonts w:ascii="Narkisim" w:hAnsi="Narkisim" w:cs="Narkisim"/>
          <w:b/>
          <w:bCs/>
          <w:rtl/>
        </w:rPr>
        <w:t>ר"י</w:t>
      </w:r>
      <w:r w:rsidRPr="007119D6">
        <w:rPr>
          <w:rFonts w:ascii="Narkisim" w:hAnsi="Narkisim" w:cs="Narkisim"/>
          <w:rtl/>
        </w:rPr>
        <w:t xml:space="preserve"> דנהי דמותרת לינשא, אבל אינה גובה כתובתה</w:t>
      </w:r>
      <w:r w:rsidRPr="007119D6">
        <w:rPr>
          <w:rStyle w:val="ac"/>
          <w:rFonts w:ascii="Narkisim" w:hAnsi="Narkisim" w:cs="Narkisim"/>
          <w:rtl/>
        </w:rPr>
        <w:footnoteReference w:id="7826"/>
      </w:r>
      <w:r w:rsidRPr="007119D6">
        <w:rPr>
          <w:rFonts w:ascii="Narkisim" w:hAnsi="Narkisim" w:cs="Narkisim"/>
          <w:rtl/>
        </w:rPr>
        <w:t>.</w:t>
      </w:r>
    </w:p>
    <w:p w14:paraId="39A949A0"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(כתובות שם) כת' דאינה גובה תוספת הכתובה. וכלפי התוספת הבעל נאמן שלא גירש.</w:t>
      </w:r>
    </w:p>
    <w:p w14:paraId="2E7A4915"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(שם) הביא דכ"ד ה</w:t>
      </w:r>
      <w:r w:rsidRPr="007119D6">
        <w:rPr>
          <w:rFonts w:ascii="Narkisim" w:hAnsi="Narkisim"/>
          <w:b/>
          <w:bCs/>
          <w:rtl/>
        </w:rPr>
        <w:t>רמב"ם</w:t>
      </w:r>
      <w:r w:rsidRPr="007119D6">
        <w:rPr>
          <w:rFonts w:ascii="Narkisim" w:hAnsi="Narkisim"/>
          <w:rtl/>
        </w:rPr>
        <w:t xml:space="preserve"> (אישות טז כו) דהאשה שטוענת גרשתני גובה עיקר כתובתה, אבל אינה גובה את תוספת הכתובה, עד שתביא ראיה שנתגרשה</w:t>
      </w:r>
      <w:r w:rsidRPr="007119D6">
        <w:rPr>
          <w:rStyle w:val="ac"/>
          <w:rFonts w:ascii="Narkisim" w:hAnsi="Narkisim"/>
          <w:rtl/>
        </w:rPr>
        <w:footnoteReference w:id="7827"/>
      </w:r>
      <w:r w:rsidRPr="007119D6">
        <w:rPr>
          <w:rFonts w:ascii="Narkisim" w:hAnsi="Narkisim"/>
          <w:rtl/>
        </w:rPr>
        <w:t>. וה</w:t>
      </w:r>
      <w:r w:rsidRPr="007119D6">
        <w:rPr>
          <w:rFonts w:ascii="Narkisim" w:hAnsi="Narkisim"/>
          <w:b/>
          <w:bCs/>
          <w:rtl/>
        </w:rPr>
        <w:t>רמב"ן</w:t>
      </w:r>
      <w:r w:rsidRPr="007119D6">
        <w:rPr>
          <w:rFonts w:ascii="Narkisim" w:hAnsi="Narkisim"/>
          <w:rtl/>
        </w:rPr>
        <w:t xml:space="preserve"> (והו' בה"ה) ביאר דכיון שמותרת לינשא גובה עיקר הכתובה [ע"ד הא דאי' לקמן קיז.], אבל אין מדרש כתובה לתוספת</w:t>
      </w:r>
      <w:r w:rsidRPr="007119D6">
        <w:rPr>
          <w:rStyle w:val="ac"/>
          <w:rFonts w:ascii="Narkisim" w:hAnsi="Narkisim"/>
          <w:rtl/>
        </w:rPr>
        <w:footnoteReference w:id="7828"/>
      </w:r>
      <w:r w:rsidRPr="007119D6">
        <w:rPr>
          <w:rFonts w:ascii="Narkisim" w:hAnsi="Narkisim"/>
          <w:rtl/>
        </w:rPr>
        <w:t>. [ויתבאר עוד לקמן קיז.].</w:t>
      </w:r>
    </w:p>
    <w:p w14:paraId="245268D2" w14:textId="77777777" w:rsidR="006C4368" w:rsidRPr="007119D6" w:rsidRDefault="006C4368" w:rsidP="006C4368">
      <w:pPr>
        <w:pStyle w:val="a8"/>
        <w:bidi/>
        <w:rPr>
          <w:rFonts w:ascii="Narkisim" w:hAnsi="Narkisim"/>
        </w:rPr>
      </w:pPr>
      <w:r w:rsidRPr="007119D6">
        <w:rPr>
          <w:rFonts w:ascii="Narkisim" w:hAnsi="Narkisim"/>
          <w:rtl/>
        </w:rPr>
        <w:t>אך ה</w:t>
      </w:r>
      <w:r w:rsidRPr="007119D6">
        <w:rPr>
          <w:rFonts w:ascii="Narkisim" w:hAnsi="Narkisim"/>
          <w:b/>
          <w:bCs/>
          <w:rtl/>
        </w:rPr>
        <w:t>מהרי"ק</w:t>
      </w:r>
      <w:r w:rsidRPr="007119D6">
        <w:rPr>
          <w:rFonts w:ascii="Narkisim" w:hAnsi="Narkisim"/>
          <w:rtl/>
        </w:rPr>
        <w:t xml:space="preserve"> (עב) הק' אמאי אינה גובה את התוספת ע"י חזקה דאין האשה מעיזה פניה.</w:t>
      </w:r>
    </w:p>
    <w:p w14:paraId="088C10FE" w14:textId="77777777" w:rsidR="006C4368" w:rsidRPr="007119D6" w:rsidRDefault="006C4368" w:rsidP="006C4368">
      <w:pPr>
        <w:pStyle w:val="a8"/>
        <w:bidi/>
        <w:rPr>
          <w:rFonts w:ascii="Narkisim" w:hAnsi="Narkisim"/>
        </w:rPr>
      </w:pPr>
      <w:r w:rsidRPr="007119D6">
        <w:rPr>
          <w:rFonts w:ascii="Narkisim" w:hAnsi="Narkisim"/>
          <w:rtl/>
        </w:rPr>
        <w:t>והמהרי"ק הביא דה</w:t>
      </w:r>
      <w:r w:rsidRPr="007119D6">
        <w:rPr>
          <w:rFonts w:ascii="Narkisim" w:hAnsi="Narkisim"/>
          <w:b/>
          <w:bCs/>
          <w:rtl/>
        </w:rPr>
        <w:t>שואל</w:t>
      </w:r>
      <w:r w:rsidRPr="007119D6">
        <w:rPr>
          <w:rFonts w:ascii="Narkisim" w:hAnsi="Narkisim"/>
          <w:rtl/>
        </w:rPr>
        <w:t xml:space="preserve"> תי' דהוה חזקה כנגד חזקה, דיש לנו חזקה דאוקי ממונא בחזקת מריה נגד חזקה דרב המנונא. וה</w:t>
      </w:r>
      <w:r w:rsidRPr="007119D6">
        <w:rPr>
          <w:rFonts w:ascii="Narkisim" w:hAnsi="Narkisim"/>
          <w:b/>
          <w:bCs/>
          <w:rtl/>
        </w:rPr>
        <w:t>מהרי"ק</w:t>
      </w:r>
      <w:r w:rsidRPr="007119D6">
        <w:rPr>
          <w:rFonts w:ascii="Narkisim" w:hAnsi="Narkisim"/>
          <w:rtl/>
        </w:rPr>
        <w:t xml:space="preserve"> השיב דידוע שיש כמה חזקות בתלמוד דמהני להוציא ממון</w:t>
      </w:r>
      <w:r w:rsidRPr="007119D6">
        <w:rPr>
          <w:rStyle w:val="ac"/>
          <w:rFonts w:ascii="Narkisim" w:hAnsi="Narkisim"/>
          <w:rtl/>
        </w:rPr>
        <w:footnoteReference w:id="7829"/>
      </w:r>
      <w:r w:rsidRPr="007119D6">
        <w:rPr>
          <w:rFonts w:ascii="Narkisim" w:hAnsi="Narkisim"/>
          <w:rtl/>
        </w:rPr>
        <w:t>. וכת' הטעם נכון למבין דדוקא כנגד חזקה דאתיא ממילא [כגון חזקת הגוף] אמרי' אוקי ממונא בחזקת מריה, אבל חזקה הבאה מחמת טעם [חזקת אומדנא], כגון חזקה דאין אדם פורע בתוך זמנו, פשיטא שאין חזקת ממון עומדת כנגדו. שהרי בהיות החזקה ההיא אמיתית אין חזקת ממון כלום</w:t>
      </w:r>
      <w:r w:rsidRPr="007119D6">
        <w:rPr>
          <w:rStyle w:val="ac"/>
          <w:rFonts w:ascii="Narkisim" w:hAnsi="Narkisim"/>
          <w:rtl/>
        </w:rPr>
        <w:footnoteReference w:id="7830"/>
      </w:r>
      <w:r w:rsidRPr="007119D6">
        <w:rPr>
          <w:rFonts w:ascii="Narkisim" w:hAnsi="Narkisim"/>
          <w:rtl/>
        </w:rPr>
        <w:t>.</w:t>
      </w:r>
    </w:p>
    <w:p w14:paraId="00748571"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תי' דמהדין האשה נאמנת משום חזקה דרב המנונא. אך כיון דהבעל מכחיש לה, ומש"ה מהדין לא קרינן בה לכשתנשאי לאחר</w:t>
      </w:r>
      <w:r w:rsidRPr="007119D6">
        <w:rPr>
          <w:rStyle w:val="ac"/>
          <w:rFonts w:ascii="Narkisim" w:hAnsi="Narkisim"/>
          <w:rtl/>
        </w:rPr>
        <w:footnoteReference w:id="7831"/>
      </w:r>
      <w:r w:rsidRPr="007119D6">
        <w:rPr>
          <w:rFonts w:ascii="Narkisim" w:hAnsi="Narkisim"/>
          <w:rtl/>
        </w:rPr>
        <w:t>. ומש"ה תוספת כתובה שהוא כתב לה מדעתו [ולא מתנאי ב"ד, אלא מתנה בעלמא יהיב לה] הוה כאילו התנה שלא כתב לה הך תוספות בענין שתוכל לגבות אא"כ הוא מודה שגירשה, או ע"פ עדות ברורה</w:t>
      </w:r>
      <w:r w:rsidRPr="007119D6">
        <w:rPr>
          <w:rStyle w:val="ac"/>
          <w:rFonts w:ascii="Narkisim" w:hAnsi="Narkisim"/>
          <w:rtl/>
        </w:rPr>
        <w:footnoteReference w:id="7832"/>
      </w:r>
      <w:r w:rsidRPr="007119D6">
        <w:rPr>
          <w:rFonts w:ascii="Narkisim" w:hAnsi="Narkisim"/>
          <w:rtl/>
        </w:rPr>
        <w:t>.</w:t>
      </w:r>
    </w:p>
    <w:p w14:paraId="112FF720"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שער"י</w:t>
      </w:r>
      <w:r w:rsidRPr="007119D6">
        <w:rPr>
          <w:rFonts w:ascii="Narkisim" w:hAnsi="Narkisim"/>
          <w:rtl/>
        </w:rPr>
        <w:t xml:space="preserve"> (ג ג בסופו) כת' הטעם דחזקה דאין האשה מעיזה פניה הוה ע”ד הרוב, שהרי יש מיעוט שמעיזה. ומהני רוב לענין איסור, להתיר אשת איש. אבל רוב ל”מ להוציא ממון. ומש”ה לתוספת כתובה אמרי' דאין הולכין בממון אחר הרוב. אבל בעיקר הכתובה כיון דנשאת ע”פ היתר בי”ד דרשי' מדרש כתובה, וקרינן לכשתנשאי לאחר וגובה כתובתה.</w:t>
      </w:r>
    </w:p>
    <w:p w14:paraId="78284D81" w14:textId="77777777" w:rsidR="006C4368" w:rsidRPr="007119D6" w:rsidRDefault="006C4368" w:rsidP="006C4368">
      <w:pPr>
        <w:bidi/>
        <w:rPr>
          <w:rFonts w:ascii="Narkisim" w:hAnsi="Narkisim" w:cs="Narkisim"/>
        </w:rPr>
      </w:pPr>
      <w:r w:rsidRPr="007119D6">
        <w:rPr>
          <w:rFonts w:ascii="Narkisim" w:hAnsi="Narkisim" w:cs="Narkisim"/>
          <w:u w:val="single"/>
          <w:rtl/>
        </w:rPr>
        <w:t>בא"ד וי"ל דכשתובעת כתובתה אינה נאמנת אלא דוקא לענין נישואין</w:t>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xml:space="preserve"> (כתובות פט:, </w:t>
      </w:r>
      <w:r w:rsidRPr="007119D6">
        <w:rPr>
          <w:rFonts w:ascii="Narkisim" w:hAnsi="Narkisim" w:cs="Narkisim"/>
          <w:rtl/>
        </w:rPr>
        <w:lastRenderedPageBreak/>
        <w:t>וב”מ יז:, והתו”י לקמן קיז.) כת' דהיכא דתובעת כתובתה אינה נאמנת כלל, וע”ד הא דאי' (לקמן קיז.) דהיכא דאומרת מת בעלי תנו לי כתובתי אין מתירין לה לינשא</w:t>
      </w:r>
      <w:r w:rsidRPr="007119D6">
        <w:rPr>
          <w:rStyle w:val="ac"/>
          <w:rFonts w:ascii="Narkisim" w:hAnsi="Narkisim" w:cs="Narkisim"/>
          <w:rtl/>
        </w:rPr>
        <w:footnoteReference w:id="7833"/>
      </w:r>
      <w:r w:rsidRPr="007119D6">
        <w:rPr>
          <w:rFonts w:ascii="Narkisim" w:hAnsi="Narkisim" w:cs="Narkisim"/>
          <w:rtl/>
        </w:rPr>
        <w:t>.</w:t>
      </w:r>
    </w:p>
    <w:p w14:paraId="3D325320" w14:textId="77777777" w:rsidR="006C4368" w:rsidRPr="007119D6" w:rsidRDefault="006C4368" w:rsidP="006C4368">
      <w:pPr>
        <w:pStyle w:val="a7"/>
        <w:bidi/>
        <w:rPr>
          <w:rFonts w:ascii="Narkisim" w:hAnsi="Narkisim"/>
        </w:rPr>
      </w:pPr>
      <w:r w:rsidRPr="007119D6">
        <w:rPr>
          <w:rFonts w:ascii="Narkisim" w:hAnsi="Narkisim"/>
          <w:rtl/>
        </w:rPr>
        <w:t xml:space="preserve">אך </w:t>
      </w:r>
      <w:r w:rsidRPr="007119D6">
        <w:rPr>
          <w:rFonts w:ascii="Narkisim" w:hAnsi="Narkisim"/>
          <w:b/>
          <w:bCs/>
          <w:rtl/>
        </w:rPr>
        <w:t>תוס'</w:t>
      </w:r>
      <w:r w:rsidRPr="007119D6">
        <w:rPr>
          <w:rFonts w:ascii="Narkisim" w:hAnsi="Narkisim"/>
          <w:rtl/>
        </w:rPr>
        <w:t xml:space="preserve"> דידן משמע דאף היכא דתובעת כתובתה נאמנת לינשא, אלא דכה”ג אינה מקבלת כתובתה. וכן דייק ה</w:t>
      </w:r>
      <w:r w:rsidRPr="007119D6">
        <w:rPr>
          <w:rFonts w:ascii="Narkisim" w:hAnsi="Narkisim"/>
          <w:b/>
          <w:bCs/>
          <w:rtl/>
        </w:rPr>
        <w:t>מהרי"ק</w:t>
      </w:r>
      <w:r w:rsidRPr="007119D6">
        <w:rPr>
          <w:rFonts w:ascii="Narkisim" w:hAnsi="Narkisim"/>
          <w:rtl/>
        </w:rPr>
        <w:t xml:space="preserve"> (עב, והו' בדרכ”מ יז ג) מדברי תוס' דידן</w:t>
      </w:r>
      <w:r w:rsidRPr="007119D6">
        <w:rPr>
          <w:rStyle w:val="ac"/>
          <w:rFonts w:ascii="Narkisim" w:hAnsi="Narkisim"/>
          <w:rtl/>
        </w:rPr>
        <w:footnoteReference w:id="7834"/>
      </w:r>
      <w:r w:rsidRPr="007119D6">
        <w:rPr>
          <w:rFonts w:ascii="Narkisim" w:hAnsi="Narkisim"/>
          <w:rtl/>
        </w:rPr>
        <w:t>. [אך בתחילת דבריו שם נקט דכוונת התוס' דאינה נאמנת לינשא].</w:t>
      </w:r>
    </w:p>
    <w:p w14:paraId="4EABBB3B"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(כתובות פט.) חלק דדוקא במת בעלה אמרי' כן, דההיתר מתוך חומר שהחמרת בסופה, הילכך כשרואים שלא באה ע"ד לינשא, אלא ע"ד כתובתה, א"כ אין בירור [ועד”ז כת' הריטב”א לקמן קיז.]. אבל בדרב המנונא יש חזקה דאינה מעיזה, ואף כשתובעת כתובתה אמרי' כן.</w:t>
      </w:r>
    </w:p>
    <w:p w14:paraId="2D3AA0A6" w14:textId="77777777" w:rsidR="006C4368" w:rsidRPr="007119D6" w:rsidRDefault="006C4368" w:rsidP="006C4368">
      <w:pPr>
        <w:pStyle w:val="a7"/>
        <w:bidi/>
        <w:rPr>
          <w:rFonts w:ascii="Narkisim" w:hAnsi="Narkisim"/>
        </w:rPr>
      </w:pPr>
      <w:r w:rsidRPr="007119D6">
        <w:rPr>
          <w:rFonts w:ascii="Narkisim" w:hAnsi="Narkisim"/>
          <w:rtl/>
        </w:rPr>
        <w:t>ועוד כתב דבסוגיין (שם) איירי שהבעל מודה שגירשה, א"כ כל הנידון לענין כתובה. ואין נידון כלפי היתר נישואין.</w:t>
      </w:r>
    </w:p>
    <w:p w14:paraId="3D31CE75" w14:textId="77777777" w:rsidR="006C4368" w:rsidRPr="007119D6" w:rsidRDefault="006C4368" w:rsidP="006C4368">
      <w:pPr>
        <w:pStyle w:val="aa"/>
        <w:bidi/>
        <w:rPr>
          <w:rFonts w:ascii="Narkisim" w:hAnsi="Narkisim"/>
        </w:rPr>
      </w:pPr>
      <w:r w:rsidRPr="007119D6">
        <w:rPr>
          <w:rFonts w:ascii="Narkisim" w:hAnsi="Narkisim"/>
          <w:u w:val="single"/>
          <w:rtl/>
        </w:rPr>
        <w:t>מ"ט דקטטה, רב חנינא אמר משום דמשקרא</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דמתכוונת לאסור עצמה עליו מרוב שנאה. וה</w:t>
      </w:r>
      <w:r w:rsidRPr="007119D6">
        <w:rPr>
          <w:rFonts w:ascii="Narkisim" w:hAnsi="Narkisim"/>
          <w:b/>
          <w:bCs/>
          <w:rtl/>
        </w:rPr>
        <w:t>רמב"ם</w:t>
      </w:r>
      <w:r w:rsidRPr="007119D6">
        <w:rPr>
          <w:rFonts w:ascii="Narkisim" w:hAnsi="Narkisim"/>
          <w:rtl/>
        </w:rPr>
        <w:t xml:space="preserve"> (גירושין יג א) כת' שזו הוחזקה שקרנית ורוצה להשמט מתחת בעלה. [ודוקא משום דהוחזקה שקרנית, ע' לעיל]. וה</w:t>
      </w:r>
      <w:r w:rsidRPr="007119D6">
        <w:rPr>
          <w:rFonts w:ascii="Narkisim" w:hAnsi="Narkisim"/>
          <w:b/>
          <w:bCs/>
          <w:rtl/>
        </w:rPr>
        <w:t>אחרונים</w:t>
      </w:r>
      <w:r w:rsidRPr="007119D6">
        <w:rPr>
          <w:rFonts w:ascii="Narkisim" w:hAnsi="Narkisim"/>
          <w:rtl/>
        </w:rPr>
        <w:t xml:space="preserve"> (ע' מה שהו' לעיל, ובסמוך) דנו דלכאורה משמע דעיקר הטעם דהוחזקה דרוצה להשמט מתחת בעלה, א”כ האיך תהא נאמנת על מיתת הבעל</w:t>
      </w:r>
      <w:r w:rsidRPr="007119D6">
        <w:rPr>
          <w:rStyle w:val="ac"/>
          <w:rFonts w:ascii="Narkisim" w:hAnsi="Narkisim"/>
          <w:rtl/>
        </w:rPr>
        <w:footnoteReference w:id="7835"/>
      </w:r>
      <w:r w:rsidRPr="007119D6">
        <w:rPr>
          <w:rFonts w:ascii="Narkisim" w:hAnsi="Narkisim"/>
          <w:rtl/>
        </w:rPr>
        <w:t>. ואילו בגמ' משמע דעיקר הטעם משום קטטה ושנאה.</w:t>
      </w:r>
    </w:p>
    <w:p w14:paraId="3ACA234A" w14:textId="77777777" w:rsidR="006C4368" w:rsidRPr="007119D6" w:rsidRDefault="006C4368" w:rsidP="006C4368">
      <w:pPr>
        <w:pStyle w:val="aa"/>
        <w:bidi/>
        <w:rPr>
          <w:rFonts w:ascii="Narkisim" w:hAnsi="Narkisim"/>
        </w:rPr>
      </w:pPr>
      <w:r w:rsidRPr="007119D6">
        <w:rPr>
          <w:rFonts w:ascii="Narkisim" w:hAnsi="Narkisim"/>
          <w:u w:val="single"/>
          <w:rtl/>
        </w:rPr>
        <w:t>רש"י ד"ה דמשקרא</w:t>
      </w:r>
      <w:r w:rsidRPr="007119D6">
        <w:rPr>
          <w:rFonts w:ascii="Narkisim" w:hAnsi="Narkisim"/>
          <w:rtl/>
        </w:rPr>
        <w:t xml:space="preserve">. מתכוונת לאסור עצמה עליו. </w:t>
      </w:r>
      <w:r w:rsidRPr="007119D6">
        <w:rPr>
          <w:rFonts w:ascii="Narkisim" w:hAnsi="Narkisim"/>
          <w:b/>
          <w:bCs/>
          <w:rtl/>
        </w:rPr>
        <w:t>רע"א</w:t>
      </w:r>
      <w:r w:rsidRPr="007119D6">
        <w:rPr>
          <w:rFonts w:ascii="Narkisim" w:hAnsi="Narkisim"/>
          <w:rtl/>
        </w:rPr>
        <w:t xml:space="preserve"> הק' תיפו”ל דרוצה לאסור עצמה, א”כ ליכא חומר בסופה. והוכיח דאפ"ה יש חומר מחמת שתאסר על השני.</w:t>
      </w:r>
    </w:p>
    <w:p w14:paraId="77B89DFA" w14:textId="77777777" w:rsidR="006C4368" w:rsidRPr="007119D6" w:rsidRDefault="006C4368" w:rsidP="006C4368">
      <w:pPr>
        <w:pStyle w:val="aa"/>
        <w:bidi/>
        <w:rPr>
          <w:rFonts w:ascii="Narkisim" w:hAnsi="Narkisim"/>
        </w:rPr>
      </w:pPr>
      <w:r w:rsidRPr="007119D6">
        <w:rPr>
          <w:rFonts w:ascii="Narkisim" w:hAnsi="Narkisim"/>
          <w:u w:val="single"/>
          <w:rtl/>
        </w:rPr>
        <w:t>רב שימי ב"א אמר משום דאמרה בדדמי</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דהואיל וסניא ליה לא דייקא כולי האי, כל מקום שראתה סכנה.</w:t>
      </w:r>
    </w:p>
    <w:p w14:paraId="009186B2" w14:textId="77777777" w:rsidR="006C4368" w:rsidRPr="007119D6" w:rsidRDefault="006C4368" w:rsidP="006C4368">
      <w:pPr>
        <w:pStyle w:val="a8"/>
        <w:bidi/>
        <w:rPr>
          <w:rFonts w:ascii="Narkisim" w:hAnsi="Narkisim"/>
        </w:rPr>
      </w:pPr>
      <w:r w:rsidRPr="007119D6">
        <w:rPr>
          <w:rFonts w:ascii="Narkisim" w:hAnsi="Narkisim"/>
          <w:rtl/>
        </w:rPr>
        <w:t>ויל"ד אי כ"ש דרב חנינא חייש לבדדמי</w:t>
      </w:r>
      <w:r w:rsidRPr="007119D6">
        <w:rPr>
          <w:rStyle w:val="ac"/>
          <w:rFonts w:ascii="Narkisim" w:hAnsi="Narkisim"/>
          <w:rtl/>
        </w:rPr>
        <w:footnoteReference w:id="7836"/>
      </w:r>
      <w:r w:rsidRPr="007119D6">
        <w:rPr>
          <w:rFonts w:ascii="Narkisim" w:hAnsi="Narkisim"/>
          <w:rtl/>
        </w:rPr>
        <w:t>, או דבמקום דליכא חשש שקר מותרת. וע"ע בסמוך.</w:t>
      </w:r>
    </w:p>
    <w:p w14:paraId="69E90C57" w14:textId="77777777" w:rsidR="006C4368" w:rsidRPr="007119D6" w:rsidRDefault="006C4368" w:rsidP="006C4368">
      <w:pPr>
        <w:bidi/>
        <w:rPr>
          <w:rFonts w:ascii="Narkisim" w:hAnsi="Narkisim" w:cs="Narkisim"/>
        </w:rPr>
      </w:pPr>
      <w:r w:rsidRPr="007119D6">
        <w:rPr>
          <w:rFonts w:ascii="Narkisim" w:hAnsi="Narkisim" w:cs="Narkisim"/>
          <w:u w:val="single"/>
          <w:rtl/>
        </w:rPr>
        <w:t>מאי בינייהו וכו'</w:t>
      </w:r>
      <w:r w:rsidRPr="007119D6">
        <w:rPr>
          <w:rFonts w:ascii="Narkisim" w:hAnsi="Narkisim" w:cs="Narkisim"/>
          <w:rtl/>
        </w:rPr>
        <w:t>. ה</w:t>
      </w:r>
      <w:r w:rsidRPr="007119D6">
        <w:rPr>
          <w:rFonts w:ascii="Narkisim" w:hAnsi="Narkisim" w:cs="Narkisim"/>
          <w:b/>
          <w:bCs/>
          <w:rtl/>
        </w:rPr>
        <w:t>תוס' רא"ש</w:t>
      </w:r>
      <w:r w:rsidRPr="007119D6">
        <w:rPr>
          <w:rFonts w:ascii="Narkisim" w:hAnsi="Narkisim" w:cs="Narkisim"/>
          <w:rtl/>
        </w:rPr>
        <w:t xml:space="preserve"> הביא בשם </w:t>
      </w:r>
      <w:r w:rsidRPr="007119D6">
        <w:rPr>
          <w:rFonts w:ascii="Narkisim" w:hAnsi="Narkisim" w:cs="Narkisim"/>
          <w:b/>
          <w:bCs/>
          <w:rtl/>
        </w:rPr>
        <w:t>ר"ח</w:t>
      </w:r>
      <w:r w:rsidRPr="007119D6">
        <w:rPr>
          <w:rFonts w:ascii="Narkisim" w:hAnsi="Narkisim" w:cs="Narkisim"/>
          <w:rtl/>
        </w:rPr>
        <w:t xml:space="preserve"> דלמ"ד משקרא אפי' אומרת מת וקברתיו אינה נאמנת. ואילו למ"ד בדדמי, היכא דאומרת קברתיו נאמנת. וה</w:t>
      </w:r>
      <w:r w:rsidRPr="007119D6">
        <w:rPr>
          <w:rFonts w:ascii="Narkisim" w:hAnsi="Narkisim" w:cs="Narkisim"/>
          <w:b/>
          <w:bCs/>
          <w:rtl/>
        </w:rPr>
        <w:t>תוס' רא"ש</w:t>
      </w:r>
      <w:r w:rsidRPr="007119D6">
        <w:rPr>
          <w:rFonts w:ascii="Narkisim" w:hAnsi="Narkisim" w:cs="Narkisim"/>
          <w:rtl/>
        </w:rPr>
        <w:t xml:space="preserve"> וה</w:t>
      </w:r>
      <w:r w:rsidRPr="007119D6">
        <w:rPr>
          <w:rFonts w:ascii="Narkisim" w:hAnsi="Narkisim" w:cs="Narkisim"/>
          <w:b/>
          <w:bCs/>
          <w:rtl/>
        </w:rPr>
        <w:t>רשב"א</w:t>
      </w:r>
      <w:r w:rsidRPr="007119D6">
        <w:rPr>
          <w:rFonts w:ascii="Narkisim" w:hAnsi="Narkisim" w:cs="Narkisim"/>
          <w:rtl/>
        </w:rPr>
        <w:t xml:space="preserve"> הק' דא"כ הו"ל לגמ' לומר איכא בנייהו מת וקברתיו.</w:t>
      </w:r>
    </w:p>
    <w:p w14:paraId="2C8B4FDB"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כת' דלפ"ז נמצאו ג' חלוקים בדבר. דבמלחמה בעולם מת סתם אינה נאמנת, מת על מטתו וכ"ש מת וקברתיו</w:t>
      </w:r>
      <w:r w:rsidRPr="007119D6">
        <w:rPr>
          <w:rStyle w:val="ac"/>
          <w:rFonts w:ascii="Narkisim" w:hAnsi="Narkisim"/>
          <w:rtl/>
        </w:rPr>
        <w:footnoteReference w:id="7837"/>
      </w:r>
      <w:r w:rsidRPr="007119D6">
        <w:rPr>
          <w:rFonts w:ascii="Narkisim" w:hAnsi="Narkisim"/>
          <w:rtl/>
        </w:rPr>
        <w:t xml:space="preserve"> נאמנת. ברעבון מת על מטתו אינה נאמנת, מת וקברתיו נאמנת (כמסקנת רבא קיד:). קטטה בינו לבינה אפי' מת וקברתיו אינה נאמנת (דחיישינן למ"ד דמשקרא).</w:t>
      </w:r>
    </w:p>
    <w:p w14:paraId="77835939"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 xml:space="preserve">מהרש"א </w:t>
      </w:r>
      <w:r w:rsidRPr="007119D6">
        <w:rPr>
          <w:rFonts w:ascii="Narkisim" w:hAnsi="Narkisim"/>
          <w:rtl/>
        </w:rPr>
        <w:t>הביא דה</w:t>
      </w:r>
      <w:r w:rsidRPr="007119D6">
        <w:rPr>
          <w:rFonts w:ascii="Narkisim" w:hAnsi="Narkisim"/>
          <w:b/>
          <w:bCs/>
          <w:rtl/>
        </w:rPr>
        <w:t>ר"א מזרחי</w:t>
      </w:r>
      <w:r w:rsidRPr="007119D6">
        <w:rPr>
          <w:rFonts w:ascii="Narkisim" w:hAnsi="Narkisim"/>
          <w:rtl/>
        </w:rPr>
        <w:t xml:space="preserve"> (א כ, הו' בכס"מ יג א) הוכיח מקו' זו דאף כשאומרת קברתיו חיישינן לבדדמי. דלמא משקרא ואמרה וקברתיו כדי להוציא הספק מלב השומעים שלא יחשבו שע"פ האומדנא אמרה שמת</w:t>
      </w:r>
      <w:r w:rsidRPr="007119D6">
        <w:rPr>
          <w:rStyle w:val="ac"/>
          <w:rFonts w:ascii="Narkisim" w:hAnsi="Narkisim"/>
          <w:rtl/>
        </w:rPr>
        <w:footnoteReference w:id="7838"/>
      </w:r>
      <w:r w:rsidRPr="007119D6">
        <w:rPr>
          <w:rFonts w:ascii="Narkisim" w:hAnsi="Narkisim"/>
          <w:rtl/>
        </w:rPr>
        <w:t>. וכדעת הרמב"ם (יג ב, הו' לעיל קיד:) דבמלחמה אינה נאמנת לומר קברתיו, דחיישינן לבדדמי</w:t>
      </w:r>
      <w:r w:rsidRPr="007119D6">
        <w:rPr>
          <w:rStyle w:val="ac"/>
          <w:rFonts w:ascii="Narkisim" w:hAnsi="Narkisim"/>
          <w:rtl/>
        </w:rPr>
        <w:footnoteReference w:id="7839"/>
      </w:r>
      <w:r w:rsidRPr="007119D6">
        <w:rPr>
          <w:rFonts w:ascii="Narkisim" w:hAnsi="Narkisim"/>
          <w:szCs w:val="20"/>
          <w:rtl/>
        </w:rPr>
        <w:t>.</w:t>
      </w:r>
    </w:p>
    <w:p w14:paraId="0502E9A7" w14:textId="77777777" w:rsidR="006C4368" w:rsidRPr="007119D6" w:rsidRDefault="006C4368" w:rsidP="006C4368">
      <w:pPr>
        <w:pStyle w:val="3"/>
        <w:bidi/>
        <w:rPr>
          <w:rFonts w:ascii="Narkisim" w:hAnsi="Narkisim"/>
        </w:rPr>
      </w:pPr>
      <w:r w:rsidRPr="007119D6">
        <w:rPr>
          <w:rFonts w:ascii="Narkisim" w:hAnsi="Narkisim"/>
          <w:rtl/>
        </w:rPr>
        <w:t>דף קטז:</w:t>
      </w:r>
    </w:p>
    <w:p w14:paraId="5BCA6E94" w14:textId="77777777" w:rsidR="006C4368" w:rsidRPr="007119D6" w:rsidRDefault="006C4368" w:rsidP="006C4368">
      <w:pPr>
        <w:bidi/>
        <w:rPr>
          <w:rFonts w:ascii="Narkisim" w:hAnsi="Narkisim" w:cs="Narkisim"/>
        </w:rPr>
      </w:pPr>
      <w:r w:rsidRPr="007119D6">
        <w:rPr>
          <w:rFonts w:ascii="Narkisim" w:hAnsi="Narkisim" w:cs="Narkisim"/>
          <w:u w:val="single"/>
          <w:rtl/>
        </w:rPr>
        <w:t>א"ב דארגיל הוא קטטה</w:t>
      </w:r>
      <w:r w:rsidRPr="007119D6">
        <w:rPr>
          <w:rFonts w:ascii="Narkisim" w:hAnsi="Narkisim" w:cs="Narkisim"/>
          <w:rtl/>
        </w:rPr>
        <w:t>. ה</w:t>
      </w:r>
      <w:r w:rsidRPr="007119D6">
        <w:rPr>
          <w:rFonts w:ascii="Narkisim" w:hAnsi="Narkisim" w:cs="Narkisim"/>
          <w:b/>
          <w:bCs/>
          <w:rtl/>
        </w:rPr>
        <w:t>מהרש"ל</w:t>
      </w:r>
      <w:r w:rsidRPr="007119D6">
        <w:rPr>
          <w:rFonts w:ascii="Narkisim" w:hAnsi="Narkisim" w:cs="Narkisim"/>
          <w:rtl/>
        </w:rPr>
        <w:t xml:space="preserve"> (חכמ"ש) ו</w:t>
      </w:r>
      <w:r w:rsidRPr="007119D6">
        <w:rPr>
          <w:rFonts w:ascii="Narkisim" w:hAnsi="Narkisim" w:cs="Narkisim"/>
          <w:b/>
          <w:bCs/>
          <w:rtl/>
        </w:rPr>
        <w:t>מהר"ם</w:t>
      </w:r>
      <w:r w:rsidRPr="007119D6">
        <w:rPr>
          <w:rFonts w:ascii="Narkisim" w:hAnsi="Narkisim" w:cs="Narkisim"/>
          <w:rtl/>
        </w:rPr>
        <w:t xml:space="preserve"> כת' דמבואר בתוס' דאיירי שהוא נתקוטט עמה, ועי"ז היא אמרה גרשתני בפני פלוני ופלוני, ואשתכח שיקרא</w:t>
      </w:r>
      <w:r w:rsidRPr="007119D6">
        <w:rPr>
          <w:rStyle w:val="ac"/>
          <w:rFonts w:ascii="Narkisim" w:hAnsi="Narkisim" w:cs="Narkisim"/>
          <w:rtl/>
        </w:rPr>
        <w:footnoteReference w:id="7840"/>
      </w:r>
      <w:r w:rsidRPr="007119D6">
        <w:rPr>
          <w:rFonts w:ascii="Narkisim" w:hAnsi="Narkisim" w:cs="Narkisim"/>
          <w:rtl/>
        </w:rPr>
        <w:t xml:space="preserve">. ואפ”ה כיון </w:t>
      </w:r>
      <w:r w:rsidRPr="007119D6">
        <w:rPr>
          <w:rFonts w:ascii="Narkisim" w:hAnsi="Narkisim" w:cs="Narkisim"/>
          <w:rtl/>
        </w:rPr>
        <w:lastRenderedPageBreak/>
        <w:t>שהתחיל ממנו לא סניא ליה</w:t>
      </w:r>
      <w:r w:rsidRPr="007119D6">
        <w:rPr>
          <w:rStyle w:val="ac"/>
          <w:rFonts w:ascii="Narkisim" w:hAnsi="Narkisim" w:cs="Narkisim"/>
          <w:rtl/>
        </w:rPr>
        <w:footnoteReference w:id="7841"/>
      </w:r>
      <w:r w:rsidRPr="007119D6">
        <w:rPr>
          <w:rFonts w:ascii="Narkisim" w:hAnsi="Narkisim" w:cs="Narkisim"/>
          <w:rtl/>
        </w:rPr>
        <w:t>.</w:t>
      </w:r>
    </w:p>
    <w:p w14:paraId="0001057A" w14:textId="77777777" w:rsidR="006C4368" w:rsidRPr="007119D6" w:rsidRDefault="006C4368" w:rsidP="006C4368">
      <w:pPr>
        <w:bidi/>
        <w:rPr>
          <w:rFonts w:ascii="Narkisim" w:hAnsi="Narkisim" w:cs="Narkisim"/>
        </w:rPr>
      </w:pPr>
      <w:r w:rsidRPr="007119D6">
        <w:rPr>
          <w:rFonts w:ascii="Narkisim" w:hAnsi="Narkisim" w:cs="Narkisim"/>
          <w:u w:val="single"/>
          <w:rtl/>
        </w:rPr>
        <w:t>שם. דארגיל הוא</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פי' דכיון דרחמא ליה לא חיישינן שתשקר, ומ"מ למ"ד בדדמי כיון דיש קטטה, בדבר מועט אומרת בדדמי. וה</w:t>
      </w:r>
      <w:r w:rsidRPr="007119D6">
        <w:rPr>
          <w:rFonts w:ascii="Narkisim" w:hAnsi="Narkisim" w:cs="Narkisim"/>
          <w:b/>
          <w:bCs/>
          <w:rtl/>
        </w:rPr>
        <w:t>פוסקים</w:t>
      </w:r>
      <w:r w:rsidRPr="007119D6">
        <w:rPr>
          <w:rFonts w:ascii="Narkisim" w:hAnsi="Narkisim" w:cs="Narkisim"/>
          <w:rtl/>
        </w:rPr>
        <w:t xml:space="preserve"> העירו דה</w:t>
      </w:r>
      <w:r w:rsidRPr="007119D6">
        <w:rPr>
          <w:rFonts w:ascii="Narkisim" w:hAnsi="Narkisim" w:cs="Narkisim"/>
          <w:b/>
          <w:bCs/>
          <w:rtl/>
        </w:rPr>
        <w:t>רמב"ם</w:t>
      </w:r>
      <w:r w:rsidRPr="007119D6">
        <w:rPr>
          <w:rFonts w:ascii="Narkisim" w:hAnsi="Narkisim" w:cs="Narkisim"/>
          <w:rtl/>
        </w:rPr>
        <w:t xml:space="preserve"> השמיט ארגיל הוא קטטה</w:t>
      </w:r>
      <w:r w:rsidRPr="007119D6">
        <w:rPr>
          <w:rStyle w:val="ac"/>
          <w:rFonts w:ascii="Narkisim" w:hAnsi="Narkisim" w:cs="Narkisim"/>
          <w:rtl/>
        </w:rPr>
        <w:footnoteReference w:id="7842"/>
      </w:r>
      <w:r w:rsidRPr="007119D6">
        <w:rPr>
          <w:rFonts w:ascii="Narkisim" w:hAnsi="Narkisim" w:cs="Narkisim"/>
          <w:rtl/>
        </w:rPr>
        <w:t>. [וע"ע נוב"י ק מב, מראות צובאות קעג, חזו"א ל א ועוד].</w:t>
      </w:r>
    </w:p>
    <w:p w14:paraId="423BC767"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ר"א מזרחי</w:t>
      </w:r>
      <w:r w:rsidRPr="007119D6">
        <w:rPr>
          <w:rFonts w:ascii="Narkisim" w:hAnsi="Narkisim"/>
          <w:rtl/>
        </w:rPr>
        <w:t xml:space="preserve"> (א כ, הו' בכס"מ יג א) כת' דהרמב"ם פי' להיפך, דלרב חנינא דחיישינן דמשקרא חמיר, ולא תלי מי גרם לקטטה. ודוקא למ"ד בדדמי אמרי' דהיכא דארגיל איהו לקטטה אכתי רחמא ליה ואינה שונאתו כל כך</w:t>
      </w:r>
      <w:r w:rsidRPr="007119D6">
        <w:rPr>
          <w:rStyle w:val="ac"/>
          <w:rFonts w:ascii="Narkisim" w:hAnsi="Narkisim"/>
          <w:rtl/>
        </w:rPr>
        <w:footnoteReference w:id="7843"/>
      </w:r>
      <w:r w:rsidRPr="007119D6">
        <w:rPr>
          <w:rFonts w:ascii="Narkisim" w:hAnsi="Narkisim"/>
          <w:rtl/>
        </w:rPr>
        <w:t>, ולא חיישי' לבדדמי</w:t>
      </w:r>
      <w:r w:rsidRPr="007119D6">
        <w:rPr>
          <w:rStyle w:val="ac"/>
          <w:rFonts w:ascii="Narkisim" w:hAnsi="Narkisim"/>
          <w:rtl/>
        </w:rPr>
        <w:footnoteReference w:id="7844"/>
      </w:r>
      <w:r w:rsidRPr="007119D6">
        <w:rPr>
          <w:rFonts w:ascii="Narkisim" w:hAnsi="Narkisim"/>
          <w:rtl/>
        </w:rPr>
        <w:t>. דבשעת הסכנה ודאי דייקא לתת לבה לראות שמא לא מת. והרמב"ם פסק כרב חנינא לחומרא.</w:t>
      </w:r>
    </w:p>
    <w:p w14:paraId="0A5D8919"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רא"ש</w:t>
      </w:r>
      <w:r w:rsidRPr="007119D6">
        <w:rPr>
          <w:rFonts w:ascii="Narkisim" w:hAnsi="Narkisim" w:cs="Narkisim"/>
          <w:rtl/>
        </w:rPr>
        <w:t xml:space="preserve"> כת' דעבדינן לחומרא</w:t>
      </w:r>
      <w:r w:rsidRPr="007119D6">
        <w:rPr>
          <w:rStyle w:val="ac"/>
          <w:rFonts w:ascii="Narkisim" w:hAnsi="Narkisim" w:cs="Narkisim"/>
          <w:rtl/>
        </w:rPr>
        <w:footnoteReference w:id="7845"/>
      </w:r>
      <w:r w:rsidRPr="007119D6">
        <w:rPr>
          <w:rFonts w:ascii="Narkisim" w:hAnsi="Narkisim" w:cs="Narkisim"/>
          <w:rtl/>
        </w:rPr>
        <w:t>, משום הטעם דמשקרא והטעם דבדדמי. וב</w:t>
      </w:r>
      <w:r w:rsidRPr="007119D6">
        <w:rPr>
          <w:rFonts w:ascii="Narkisim" w:hAnsi="Narkisim" w:cs="Narkisim"/>
          <w:b/>
          <w:bCs/>
          <w:rtl/>
        </w:rPr>
        <w:t>פסקי הריא"ז</w:t>
      </w:r>
      <w:r w:rsidRPr="007119D6">
        <w:rPr>
          <w:rFonts w:ascii="Narkisim" w:hAnsi="Narkisim" w:cs="Narkisim"/>
          <w:rtl/>
        </w:rPr>
        <w:t xml:space="preserve"> (כאן יב הו' בשלט”ג) כת' דהיכא דארגיל איהו קטטה אסורה לינשא בדבר דשייך בדדמי [כדעת תוס'], אבל היכא דאמרה מת וקברתיו מותרת. [ובזה ל"ש ב' הטעמים</w:t>
      </w:r>
      <w:r w:rsidRPr="007119D6">
        <w:rPr>
          <w:rStyle w:val="ac"/>
          <w:rFonts w:ascii="Narkisim" w:hAnsi="Narkisim" w:cs="Narkisim"/>
          <w:rtl/>
        </w:rPr>
        <w:footnoteReference w:id="7846"/>
      </w:r>
      <w:r w:rsidRPr="007119D6">
        <w:rPr>
          <w:rFonts w:ascii="Narkisim" w:hAnsi="Narkisim" w:cs="Narkisim"/>
          <w:rtl/>
        </w:rPr>
        <w:t>].</w:t>
      </w:r>
    </w:p>
    <w:p w14:paraId="41613AC8" w14:textId="77777777" w:rsidR="006C4368" w:rsidRPr="007119D6" w:rsidRDefault="006C4368" w:rsidP="006C4368">
      <w:pPr>
        <w:bidi/>
        <w:rPr>
          <w:rFonts w:ascii="Narkisim" w:hAnsi="Narkisim" w:cs="Narkisim"/>
        </w:rPr>
      </w:pPr>
      <w:r w:rsidRPr="007119D6">
        <w:rPr>
          <w:rFonts w:ascii="Narkisim" w:hAnsi="Narkisim" w:cs="Narkisim"/>
          <w:rtl/>
        </w:rPr>
        <w:t>וב</w:t>
      </w:r>
      <w:r w:rsidRPr="007119D6">
        <w:rPr>
          <w:rFonts w:ascii="Narkisim" w:hAnsi="Narkisim" w:cs="Narkisim"/>
          <w:b/>
          <w:bCs/>
          <w:rtl/>
        </w:rPr>
        <w:t>שו"ת הרי"ד</w:t>
      </w:r>
      <w:r w:rsidRPr="007119D6">
        <w:rPr>
          <w:rFonts w:ascii="Narkisim" w:hAnsi="Narkisim" w:cs="Narkisim"/>
          <w:rtl/>
        </w:rPr>
        <w:t xml:space="preserve"> (נז, הו' ברמ”א יז מח) כת' במעשה שהבעל נשתמד והניחה עגונה כמה שנים, שוב עד א' אינו נאמן להתירה. דהוה כעד א' בקטטה (ספק הגמ' בסמוך) דל"ש דייקא ומינסבא, דודאי סני ליה</w:t>
      </w:r>
      <w:r w:rsidRPr="007119D6">
        <w:rPr>
          <w:rStyle w:val="ac"/>
          <w:rFonts w:ascii="Narkisim" w:hAnsi="Narkisim" w:cs="Narkisim"/>
          <w:rtl/>
        </w:rPr>
        <w:footnoteReference w:id="7847"/>
      </w:r>
      <w:r w:rsidRPr="007119D6">
        <w:rPr>
          <w:rFonts w:ascii="Narkisim" w:hAnsi="Narkisim" w:cs="Narkisim"/>
          <w:rtl/>
        </w:rPr>
        <w:t xml:space="preserve"> ולא תדקדק אחר דברי העד, ומיד תלך ותנשא. וב</w:t>
      </w:r>
      <w:r w:rsidRPr="007119D6">
        <w:rPr>
          <w:rFonts w:ascii="Narkisim" w:hAnsi="Narkisim" w:cs="Narkisim"/>
          <w:b/>
          <w:bCs/>
          <w:rtl/>
        </w:rPr>
        <w:t>פסקי הריא"ז</w:t>
      </w:r>
      <w:r w:rsidRPr="007119D6">
        <w:rPr>
          <w:rFonts w:ascii="Narkisim" w:hAnsi="Narkisim" w:cs="Narkisim"/>
          <w:rtl/>
        </w:rPr>
        <w:t xml:space="preserve"> (כאן, והו' בשלט”ג ובבי”ש שם קמא וגר”א שם קמו) חלק דדוקא הרגילה היא קטטה של גירושין אמרי' גילתה דעתה שאינה חפיצה בו. אבל במה שהבעל נשתמד ומרד בה, והוחזק ליסטים</w:t>
      </w:r>
      <w:r w:rsidRPr="007119D6">
        <w:rPr>
          <w:rStyle w:val="ac"/>
          <w:rFonts w:ascii="Narkisim" w:hAnsi="Narkisim" w:cs="Narkisim"/>
          <w:rtl/>
        </w:rPr>
        <w:footnoteReference w:id="7848"/>
      </w:r>
      <w:r w:rsidRPr="007119D6">
        <w:rPr>
          <w:rFonts w:ascii="Narkisim" w:hAnsi="Narkisim" w:cs="Narkisim"/>
          <w:rtl/>
        </w:rPr>
        <w:t xml:space="preserve"> וכופר בעיקר, אין מחזיקין אותה כמשקרת. והיא נאמנת עליו.</w:t>
      </w:r>
    </w:p>
    <w:p w14:paraId="4A18D50F"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קמו) דייק דהריא"ז הק' ב' קו', א' דקטטה הוה דוקא ע"י טענת גירושין, דגילתה דעתה דאינה חפיצה בו. אבל נשתמד שמא חפיצה בו</w:t>
      </w:r>
      <w:r w:rsidRPr="007119D6">
        <w:rPr>
          <w:rStyle w:val="ac"/>
          <w:rFonts w:ascii="Narkisim" w:hAnsi="Narkisim"/>
          <w:rtl/>
        </w:rPr>
        <w:footnoteReference w:id="7849"/>
      </w:r>
      <w:r w:rsidRPr="007119D6">
        <w:rPr>
          <w:rFonts w:ascii="Narkisim" w:hAnsi="Narkisim"/>
          <w:rtl/>
        </w:rPr>
        <w:t>. ב' דכאן ארגיל הוא הקטטה, ומש”ה יש לחוש. ותלי במח' הרמב"ם ושא"ר בארגיל הוא קטטה</w:t>
      </w:r>
      <w:r w:rsidRPr="007119D6">
        <w:rPr>
          <w:rStyle w:val="ac"/>
          <w:rFonts w:ascii="Narkisim" w:hAnsi="Narkisim"/>
          <w:rtl/>
        </w:rPr>
        <w:footnoteReference w:id="7850"/>
      </w:r>
      <w:r w:rsidRPr="007119D6">
        <w:rPr>
          <w:rFonts w:ascii="Narkisim" w:hAnsi="Narkisim"/>
          <w:rtl/>
        </w:rPr>
        <w:t>. וכן ה</w:t>
      </w:r>
      <w:r w:rsidRPr="007119D6">
        <w:rPr>
          <w:rFonts w:ascii="Narkisim" w:hAnsi="Narkisim"/>
          <w:b/>
          <w:bCs/>
          <w:rtl/>
        </w:rPr>
        <w:t>בי"ש</w:t>
      </w:r>
      <w:r w:rsidRPr="007119D6">
        <w:rPr>
          <w:rFonts w:ascii="Narkisim" w:hAnsi="Narkisim"/>
          <w:rtl/>
        </w:rPr>
        <w:t xml:space="preserve"> (שם קמא) כת' דמח' הרי"ד והריא"ז תלי במח' הרמב"ם ושא"ר (הנ"ל) האם חיישינן שמשקרת בארגיל הוא קטטה</w:t>
      </w:r>
      <w:r w:rsidRPr="007119D6">
        <w:rPr>
          <w:rStyle w:val="ac"/>
          <w:rFonts w:ascii="Narkisim" w:hAnsi="Narkisim"/>
          <w:rtl/>
        </w:rPr>
        <w:footnoteReference w:id="7851"/>
      </w:r>
      <w:r w:rsidRPr="007119D6">
        <w:rPr>
          <w:rFonts w:ascii="Narkisim" w:hAnsi="Narkisim"/>
          <w:rtl/>
        </w:rPr>
        <w:t>.</w:t>
      </w:r>
    </w:p>
    <w:p w14:paraId="35B28873"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אחרונים</w:t>
      </w:r>
      <w:r w:rsidRPr="007119D6">
        <w:rPr>
          <w:rFonts w:ascii="Narkisim" w:hAnsi="Narkisim" w:cs="Narkisim"/>
          <w:rtl/>
        </w:rPr>
        <w:t xml:space="preserve"> (נוב"י ק מב, רע"א ק קל, הו' בפתח"ת שם קסח ד”ה וכתב) דנו דהיכא דהבעל נשתמד לא תהא נאמנת מטעם אחר, דליכא חומר בסופה. דהא דדייקא ומינסבא הוא מתוך חומר של בעלה הראשון שנאסרת עליו, ויוצאת בלא כתובה וכל י"ג דרכים בה. ובעוזב דעת בלאו הכי אינה יכולה לדור עמו.</w:t>
      </w:r>
    </w:p>
    <w:p w14:paraId="1D29821D" w14:textId="77777777" w:rsidR="006C4368" w:rsidRPr="007119D6" w:rsidRDefault="006C4368" w:rsidP="006C4368">
      <w:pPr>
        <w:pStyle w:val="a8"/>
        <w:bidi/>
        <w:rPr>
          <w:rFonts w:ascii="Narkisim" w:hAnsi="Narkisim"/>
        </w:rPr>
      </w:pPr>
      <w:r w:rsidRPr="007119D6">
        <w:rPr>
          <w:rFonts w:ascii="Narkisim" w:hAnsi="Narkisim"/>
          <w:rtl/>
        </w:rPr>
        <w:t>וכת' דאף דיש חומר במה שנאסרת על בעלה השני, שרצונה להנשא לו. ודחה דלא מקרי חומר שהרי גם עתה אין לה בעל שני. וציין דכ"כ ה</w:t>
      </w:r>
      <w:r w:rsidRPr="007119D6">
        <w:rPr>
          <w:rFonts w:ascii="Narkisim" w:hAnsi="Narkisim"/>
          <w:b/>
          <w:bCs/>
          <w:rtl/>
        </w:rPr>
        <w:t>בעה"מ</w:t>
      </w:r>
      <w:r w:rsidRPr="007119D6">
        <w:rPr>
          <w:rFonts w:ascii="Narkisim" w:hAnsi="Narkisim"/>
          <w:rtl/>
        </w:rPr>
        <w:t xml:space="preserve"> (צד. כט: בדה"ר בסופו) גבי עד א' ביבמה, דדוקא משום בעלה הראשון </w:t>
      </w:r>
      <w:r w:rsidRPr="007119D6">
        <w:rPr>
          <w:rFonts w:ascii="Narkisim" w:hAnsi="Narkisim"/>
          <w:rtl/>
        </w:rPr>
        <w:lastRenderedPageBreak/>
        <w:t>שייך חומר בסופה. ו</w:t>
      </w:r>
      <w:r w:rsidRPr="007119D6">
        <w:rPr>
          <w:rFonts w:ascii="Narkisim" w:hAnsi="Narkisim"/>
          <w:b/>
          <w:bCs/>
          <w:rtl/>
        </w:rPr>
        <w:t>רע"א</w:t>
      </w:r>
      <w:r w:rsidRPr="007119D6">
        <w:rPr>
          <w:rFonts w:ascii="Narkisim" w:hAnsi="Narkisim"/>
          <w:rtl/>
        </w:rPr>
        <w:t xml:space="preserve"> (ועד"ז הנוב"י) דחה דשאני יבם שעושה תחבולה להשמט ממנו, אבל עוזב דת בלאו הכי מופרדת ממנו</w:t>
      </w:r>
      <w:r w:rsidRPr="007119D6">
        <w:rPr>
          <w:rStyle w:val="ac"/>
          <w:rFonts w:ascii="Narkisim" w:hAnsi="Narkisim"/>
          <w:rtl/>
        </w:rPr>
        <w:footnoteReference w:id="7852"/>
      </w:r>
      <w:r w:rsidRPr="007119D6">
        <w:rPr>
          <w:rFonts w:ascii="Narkisim" w:hAnsi="Narkisim"/>
          <w:rtl/>
        </w:rPr>
        <w:t xml:space="preserve">.  </w:t>
      </w:r>
    </w:p>
    <w:p w14:paraId="5C71604F" w14:textId="77777777" w:rsidR="006C4368" w:rsidRPr="007119D6" w:rsidRDefault="006C4368" w:rsidP="006C4368">
      <w:pPr>
        <w:bidi/>
        <w:rPr>
          <w:rFonts w:ascii="Narkisim" w:hAnsi="Narkisim" w:cs="Narkisim"/>
        </w:rPr>
      </w:pPr>
      <w:r w:rsidRPr="007119D6">
        <w:rPr>
          <w:rFonts w:ascii="Narkisim" w:hAnsi="Narkisim" w:cs="Narkisim"/>
          <w:u w:val="single"/>
          <w:rtl/>
        </w:rPr>
        <w:t>איבע"ל עד א' בקטטה מהו, מ"ט דעד א'</w:t>
      </w:r>
      <w:r w:rsidRPr="007119D6">
        <w:rPr>
          <w:rStyle w:val="ac"/>
          <w:rFonts w:ascii="Narkisim" w:hAnsi="Narkisim" w:cs="Narkisim"/>
          <w:u w:val="single"/>
          <w:rtl/>
        </w:rPr>
        <w:footnoteReference w:id="7853"/>
      </w:r>
      <w:r w:rsidRPr="007119D6">
        <w:rPr>
          <w:rFonts w:ascii="Narkisim" w:hAnsi="Narkisim" w:cs="Narkisim"/>
          <w:u w:val="single"/>
          <w:rtl/>
        </w:rPr>
        <w:t xml:space="preserve"> וכו' או דילמא וכו' כיון דאית ליה קטטה לא דייקא ומינסבא וכו'</w:t>
      </w:r>
      <w:r w:rsidRPr="007119D6">
        <w:rPr>
          <w:rFonts w:ascii="Narkisim" w:hAnsi="Narkisim" w:cs="Narkisim"/>
          <w:rtl/>
        </w:rPr>
        <w:t>. ולרב שימי בקטטה אמרה בדדמי, ומש"ה לא דייקא. ולכאורה קאי אף לרב חנינא דהנידון דהאשה משקרא, וכ"ש דלא איכפת לה לדייק אחר דברי העד. [ואף דהעד אינו חשוד לשקר, מ"מ בעינן תוספת דייקא דידה].</w:t>
      </w:r>
    </w:p>
    <w:p w14:paraId="0488A55F" w14:textId="77777777" w:rsidR="006C4368" w:rsidRPr="007119D6" w:rsidRDefault="006C4368" w:rsidP="006C4368">
      <w:pPr>
        <w:bidi/>
        <w:rPr>
          <w:rFonts w:ascii="Narkisim" w:hAnsi="Narkisim" w:cs="Narkisim"/>
        </w:rPr>
      </w:pPr>
      <w:r w:rsidRPr="007119D6">
        <w:rPr>
          <w:rFonts w:ascii="Narkisim" w:hAnsi="Narkisim" w:cs="Narkisim"/>
          <w:u w:val="single"/>
          <w:rtl/>
        </w:rPr>
        <w:t>שם. מ"ט דעד א' מהימן משום מילתא דעבידא לאיגלויי לא משקר</w:t>
      </w:r>
      <w:r w:rsidRPr="007119D6">
        <w:rPr>
          <w:rStyle w:val="ac"/>
          <w:rFonts w:ascii="Narkisim" w:hAnsi="Narkisim" w:cs="Narkisim"/>
          <w:u w:val="single"/>
          <w:rtl/>
        </w:rPr>
        <w:footnoteReference w:id="7854"/>
      </w:r>
      <w:r w:rsidRPr="007119D6">
        <w:rPr>
          <w:rFonts w:ascii="Narkisim" w:hAnsi="Narkisim" w:cs="Narkisim"/>
          <w:u w:val="single"/>
          <w:rtl/>
        </w:rPr>
        <w:t xml:space="preserve"> וכו' או דילמא וכו' דהיא דייקא ומינסבא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הביא דהוה אותו ספק דעד א' במלחמה (לעיל קטו.). ועד"ז הספק של הגמ' (לעיל צג:) בעד א' ביבמה.</w:t>
      </w:r>
    </w:p>
    <w:p w14:paraId="093CEBDB"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רי"ף</w:t>
      </w:r>
      <w:r w:rsidRPr="007119D6">
        <w:rPr>
          <w:rFonts w:ascii="Narkisim" w:hAnsi="Narkisim" w:cs="Narkisim"/>
          <w:rtl/>
        </w:rPr>
        <w:t xml:space="preserve"> כת' דעד א' בקטטה לא איפשיטא. וה</w:t>
      </w:r>
      <w:r w:rsidRPr="007119D6">
        <w:rPr>
          <w:rFonts w:ascii="Narkisim" w:hAnsi="Narkisim" w:cs="Narkisim"/>
          <w:b/>
          <w:bCs/>
          <w:rtl/>
        </w:rPr>
        <w:t>רשב"א</w:t>
      </w:r>
      <w:r w:rsidRPr="007119D6">
        <w:rPr>
          <w:rFonts w:ascii="Narkisim" w:hAnsi="Narkisim" w:cs="Narkisim"/>
          <w:rtl/>
        </w:rPr>
        <w:t xml:space="preserve"> הק' דבעד א' במלחמה ה</w:t>
      </w:r>
      <w:r w:rsidRPr="007119D6">
        <w:rPr>
          <w:rFonts w:ascii="Narkisim" w:hAnsi="Narkisim" w:cs="Narkisim"/>
          <w:b/>
          <w:bCs/>
          <w:rtl/>
        </w:rPr>
        <w:t>רי"ף</w:t>
      </w:r>
      <w:r w:rsidRPr="007119D6">
        <w:rPr>
          <w:rFonts w:ascii="Narkisim" w:hAnsi="Narkisim" w:cs="Narkisim"/>
          <w:rtl/>
        </w:rPr>
        <w:t xml:space="preserve"> פסק דנאמן (הו' לעיל שם)</w:t>
      </w:r>
      <w:r w:rsidRPr="007119D6">
        <w:rPr>
          <w:rStyle w:val="ac"/>
          <w:rFonts w:ascii="Narkisim" w:hAnsi="Narkisim" w:cs="Narkisim"/>
          <w:rtl/>
        </w:rPr>
        <w:footnoteReference w:id="7855"/>
      </w:r>
      <w:r w:rsidRPr="007119D6">
        <w:rPr>
          <w:rFonts w:ascii="Narkisim" w:hAnsi="Narkisim" w:cs="Narkisim"/>
          <w:rtl/>
        </w:rPr>
        <w:t>. וכן למסקנא (צד.) לרבא עד א' נאמן ביבמה</w:t>
      </w:r>
      <w:r w:rsidRPr="007119D6">
        <w:rPr>
          <w:rStyle w:val="ac"/>
          <w:rFonts w:ascii="Narkisim" w:hAnsi="Narkisim" w:cs="Narkisim"/>
          <w:rtl/>
        </w:rPr>
        <w:footnoteReference w:id="7856"/>
      </w:r>
      <w:r w:rsidRPr="007119D6">
        <w:rPr>
          <w:rFonts w:ascii="Narkisim" w:hAnsi="Narkisim" w:cs="Narkisim"/>
          <w:rtl/>
        </w:rPr>
        <w:t>. א"כ מ"ש גבי קטטה לא נפשט. וצריך תלמוד. ועד"ז כת' ה</w:t>
      </w:r>
      <w:r w:rsidRPr="007119D6">
        <w:rPr>
          <w:rFonts w:ascii="Narkisim" w:hAnsi="Narkisim" w:cs="Narkisim"/>
          <w:b/>
          <w:bCs/>
          <w:rtl/>
        </w:rPr>
        <w:t>ריטב"א</w:t>
      </w:r>
      <w:r w:rsidRPr="007119D6">
        <w:rPr>
          <w:rFonts w:ascii="Narkisim" w:hAnsi="Narkisim" w:cs="Narkisim"/>
          <w:rtl/>
        </w:rPr>
        <w:t xml:space="preserve"> דכיון דקי"ל דעד א' נאמן במלחמה, משום דלא משקר. ממילא איפשיט אף בעיין דעד א' בקטטה</w:t>
      </w:r>
      <w:r w:rsidRPr="007119D6">
        <w:rPr>
          <w:rStyle w:val="ac"/>
          <w:rFonts w:ascii="Narkisim" w:hAnsi="Narkisim" w:cs="Narkisim"/>
          <w:rtl/>
        </w:rPr>
        <w:footnoteReference w:id="7857"/>
      </w:r>
      <w:r w:rsidRPr="007119D6">
        <w:rPr>
          <w:rFonts w:ascii="Narkisim" w:hAnsi="Narkisim" w:cs="Narkisim"/>
          <w:rtl/>
        </w:rPr>
        <w:t>. [</w:t>
      </w:r>
      <w:r w:rsidRPr="007119D6">
        <w:rPr>
          <w:rFonts w:ascii="Narkisim" w:hAnsi="Narkisim" w:cs="Narkisim"/>
          <w:szCs w:val="20"/>
          <w:rtl/>
        </w:rPr>
        <w:t>והק' על הרי"ף</w:t>
      </w:r>
      <w:r w:rsidRPr="007119D6">
        <w:rPr>
          <w:rFonts w:ascii="Narkisim" w:hAnsi="Narkisim" w:cs="Narkisim"/>
          <w:rtl/>
        </w:rPr>
        <w:t>].</w:t>
      </w:r>
    </w:p>
    <w:p w14:paraId="0130E8D5"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כת' דאע"פ שפסקו בעד א' ביבמה (לעיל צד.) שנאמן, דטעמא דעד א' נאמן משום דמילתא דעבידא לאיגלויי הוא, התם משום דלא ידעינן דסניא ליה. אבל זו דודאי סניא ליה דנין אותה להחמיר.</w:t>
      </w:r>
    </w:p>
    <w:p w14:paraId="4C60F6AA" w14:textId="77777777" w:rsidR="006C4368" w:rsidRPr="007119D6" w:rsidRDefault="006C4368" w:rsidP="006C4368">
      <w:pPr>
        <w:pStyle w:val="aa"/>
        <w:bidi/>
        <w:rPr>
          <w:rFonts w:ascii="Narkisim" w:hAnsi="Narkisim"/>
        </w:rPr>
      </w:pPr>
      <w:r w:rsidRPr="007119D6">
        <w:rPr>
          <w:rFonts w:ascii="Narkisim" w:hAnsi="Narkisim"/>
          <w:rtl/>
        </w:rPr>
        <w:t xml:space="preserve">ועוה"ק </w:t>
      </w:r>
      <w:r w:rsidRPr="007119D6">
        <w:rPr>
          <w:rFonts w:ascii="Narkisim" w:hAnsi="Narkisim"/>
          <w:b/>
          <w:bCs/>
          <w:rtl/>
        </w:rPr>
        <w:t>ה"ה</w:t>
      </w:r>
      <w:r w:rsidRPr="007119D6">
        <w:rPr>
          <w:rFonts w:ascii="Narkisim" w:hAnsi="Narkisim"/>
          <w:rtl/>
        </w:rPr>
        <w:t xml:space="preserve"> (יג א) על ה</w:t>
      </w:r>
      <w:r w:rsidRPr="007119D6">
        <w:rPr>
          <w:rFonts w:ascii="Narkisim" w:hAnsi="Narkisim"/>
          <w:b/>
          <w:bCs/>
          <w:rtl/>
        </w:rPr>
        <w:t>רמב"ם</w:t>
      </w:r>
      <w:r w:rsidRPr="007119D6">
        <w:rPr>
          <w:rFonts w:ascii="Narkisim" w:hAnsi="Narkisim"/>
          <w:rtl/>
        </w:rPr>
        <w:t xml:space="preserve"> דפסק דהוה ספק, ואף דהרמב"ם בכמה מקומות (ס"ה גירושין יג כט) פסק דעד א' משום דעבידא לאיגלויי</w:t>
      </w:r>
      <w:r w:rsidRPr="007119D6">
        <w:rPr>
          <w:rStyle w:val="ac"/>
          <w:rFonts w:ascii="Narkisim" w:hAnsi="Narkisim"/>
          <w:rtl/>
        </w:rPr>
        <w:footnoteReference w:id="7858"/>
      </w:r>
      <w:r w:rsidRPr="007119D6">
        <w:rPr>
          <w:rFonts w:ascii="Narkisim" w:hAnsi="Narkisim"/>
          <w:rtl/>
        </w:rPr>
        <w:t>, א"כ מ"ש הכא דלא איפשיטא. ו</w:t>
      </w:r>
      <w:r w:rsidRPr="007119D6">
        <w:rPr>
          <w:rFonts w:ascii="Narkisim" w:hAnsi="Narkisim"/>
          <w:b/>
          <w:bCs/>
          <w:rtl/>
        </w:rPr>
        <w:t>ה"ה</w:t>
      </w:r>
      <w:r w:rsidRPr="007119D6">
        <w:rPr>
          <w:rFonts w:ascii="Narkisim" w:hAnsi="Narkisim"/>
          <w:rtl/>
        </w:rPr>
        <w:t xml:space="preserve"> כת' דשמא לא סמכינן על טעם זה היכא דנפק"מ לענין דינא, כיון דבגמרא לא איפשיטא.</w:t>
      </w:r>
    </w:p>
    <w:p w14:paraId="3EE3B5F2"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קמז) כת' דהרמב”ם גרס (בסוגיין ולעיל קטו.) דהספק מטעם אחר</w:t>
      </w:r>
      <w:r w:rsidRPr="007119D6">
        <w:rPr>
          <w:rStyle w:val="ac"/>
          <w:rFonts w:ascii="Narkisim" w:hAnsi="Narkisim"/>
          <w:rtl/>
        </w:rPr>
        <w:footnoteReference w:id="7859"/>
      </w:r>
      <w:r w:rsidRPr="007119D6">
        <w:rPr>
          <w:rFonts w:ascii="Narkisim" w:hAnsi="Narkisim"/>
          <w:rtl/>
        </w:rPr>
        <w:t>. דהרמב”ם ביאר דהספק דע"א בקטטה (בסוגיין, ע' בסמוך) שמא שכרתו. והספק בע"א במלחמה או דילמא [אף העד] זימנין דאמר בדדמי.</w:t>
      </w:r>
    </w:p>
    <w:p w14:paraId="40C7D038"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מהר"י בן לב</w:t>
      </w:r>
      <w:r w:rsidRPr="007119D6">
        <w:rPr>
          <w:rFonts w:ascii="Narkisim" w:hAnsi="Narkisim"/>
          <w:rtl/>
        </w:rPr>
        <w:t xml:space="preserve"> (טז, הו' בכס"מ יג א ד"ה ועוד חשבתי) וה</w:t>
      </w:r>
      <w:r w:rsidRPr="007119D6">
        <w:rPr>
          <w:rFonts w:ascii="Narkisim" w:hAnsi="Narkisim"/>
          <w:b/>
          <w:bCs/>
          <w:rtl/>
        </w:rPr>
        <w:t>ט"ז</w:t>
      </w:r>
      <w:r w:rsidRPr="007119D6">
        <w:rPr>
          <w:rFonts w:ascii="Narkisim" w:hAnsi="Narkisim"/>
          <w:rtl/>
        </w:rPr>
        <w:t xml:space="preserve"> (יז סג) תי' דודאי ההיתר הוה משום מילתא דעבידא לאיגלויי בצירוף דייקא ומינסבא (וכמ”ש </w:t>
      </w:r>
      <w:r w:rsidRPr="007119D6">
        <w:rPr>
          <w:rFonts w:ascii="Narkisim" w:hAnsi="Narkisim"/>
          <w:b/>
          <w:bCs/>
          <w:rtl/>
        </w:rPr>
        <w:t>תוס</w:t>
      </w:r>
      <w:r w:rsidRPr="007119D6">
        <w:rPr>
          <w:rFonts w:ascii="Narkisim" w:hAnsi="Narkisim"/>
          <w:rtl/>
        </w:rPr>
        <w:t>' לעיל צג:). והספיקות בגמ' האם הך טעם אלים כל כך להתיר בצירוף קצת דייקא. ומש"ה אין הוכחה מספק א' על אידך</w:t>
      </w:r>
      <w:r w:rsidRPr="007119D6">
        <w:rPr>
          <w:rStyle w:val="ac"/>
          <w:rFonts w:ascii="Narkisim" w:hAnsi="Narkisim"/>
          <w:rtl/>
        </w:rPr>
        <w:footnoteReference w:id="7860"/>
      </w:r>
      <w:r w:rsidRPr="007119D6">
        <w:rPr>
          <w:rFonts w:ascii="Narkisim" w:hAnsi="Narkisim"/>
          <w:rtl/>
        </w:rPr>
        <w:t>.</w:t>
      </w:r>
    </w:p>
    <w:p w14:paraId="4C8BBCE0"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ה</w:t>
      </w:r>
      <w:r w:rsidRPr="007119D6">
        <w:rPr>
          <w:rFonts w:ascii="Narkisim" w:hAnsi="Narkisim" w:cs="Narkisim"/>
          <w:b/>
          <w:bCs/>
          <w:rtl/>
        </w:rPr>
        <w:t>רמב"ם</w:t>
      </w:r>
      <w:r w:rsidRPr="007119D6">
        <w:rPr>
          <w:rFonts w:ascii="Narkisim" w:hAnsi="Narkisim" w:cs="Narkisim"/>
          <w:rtl/>
        </w:rPr>
        <w:t xml:space="preserve"> (גירושין יג א, ושו”ע יז מח) כת' דעד א' בקטטה לא תנשא, שמא היא שכרה אותו, ואם נשאת לא תצא</w:t>
      </w:r>
      <w:r w:rsidRPr="007119D6">
        <w:rPr>
          <w:rStyle w:val="ac"/>
          <w:rFonts w:ascii="Narkisim" w:hAnsi="Narkisim" w:cs="Narkisim"/>
          <w:rtl/>
        </w:rPr>
        <w:footnoteReference w:id="7861"/>
      </w:r>
      <w:r w:rsidRPr="007119D6">
        <w:rPr>
          <w:rFonts w:ascii="Narkisim" w:hAnsi="Narkisim" w:cs="Narkisim"/>
          <w:rtl/>
        </w:rPr>
        <w:t>, שהרי יש לה עד. וה</w:t>
      </w:r>
      <w:r w:rsidRPr="007119D6">
        <w:rPr>
          <w:rFonts w:ascii="Narkisim" w:hAnsi="Narkisim" w:cs="Narkisim"/>
          <w:b/>
          <w:bCs/>
          <w:rtl/>
        </w:rPr>
        <w:t>רשב"א</w:t>
      </w:r>
      <w:r w:rsidRPr="007119D6">
        <w:rPr>
          <w:rFonts w:ascii="Narkisim" w:hAnsi="Narkisim" w:cs="Narkisim"/>
          <w:rtl/>
        </w:rPr>
        <w:t xml:space="preserve"> ו</w:t>
      </w:r>
      <w:r w:rsidRPr="007119D6">
        <w:rPr>
          <w:rFonts w:ascii="Narkisim" w:hAnsi="Narkisim" w:cs="Narkisim"/>
          <w:b/>
          <w:bCs/>
          <w:rtl/>
        </w:rPr>
        <w:t>ה"ה</w:t>
      </w:r>
      <w:r w:rsidRPr="007119D6">
        <w:rPr>
          <w:rFonts w:ascii="Narkisim" w:hAnsi="Narkisim" w:cs="Narkisim"/>
          <w:rtl/>
        </w:rPr>
        <w:t xml:space="preserve"> (שם) תמהו אמאי ניחוש שתשכור עדים, שאם היא הוחזקה כל ישראל מי הוחזקו (כדאי' מכות ה:, כתובות לו:). ובגמ' לא הוזכר חשש זה, ומהיכן למד כן</w:t>
      </w:r>
      <w:r w:rsidRPr="007119D6">
        <w:rPr>
          <w:rStyle w:val="ac"/>
          <w:rFonts w:ascii="Narkisim" w:hAnsi="Narkisim" w:cs="Narkisim"/>
          <w:rtl/>
        </w:rPr>
        <w:footnoteReference w:id="7862"/>
      </w:r>
      <w:r w:rsidRPr="007119D6">
        <w:rPr>
          <w:rFonts w:ascii="Narkisim" w:hAnsi="Narkisim" w:cs="Narkisim"/>
          <w:rtl/>
        </w:rPr>
        <w:t>.</w:t>
      </w:r>
    </w:p>
    <w:p w14:paraId="27D9B09F" w14:textId="77777777" w:rsidR="006C4368" w:rsidRPr="007119D6" w:rsidRDefault="006C4368" w:rsidP="006C4368">
      <w:pPr>
        <w:pStyle w:val="a7"/>
        <w:bidi/>
        <w:rPr>
          <w:rFonts w:ascii="Narkisim" w:hAnsi="Narkisim"/>
        </w:rPr>
      </w:pPr>
      <w:r w:rsidRPr="007119D6">
        <w:rPr>
          <w:rFonts w:ascii="Narkisim" w:hAnsi="Narkisim"/>
          <w:rtl/>
        </w:rPr>
        <w:lastRenderedPageBreak/>
        <w:t>וה</w:t>
      </w:r>
      <w:r w:rsidRPr="007119D6">
        <w:rPr>
          <w:rFonts w:ascii="Narkisim" w:hAnsi="Narkisim"/>
          <w:b/>
          <w:bCs/>
          <w:rtl/>
        </w:rPr>
        <w:t>ר"א מזרחי</w:t>
      </w:r>
      <w:r w:rsidRPr="007119D6">
        <w:rPr>
          <w:rFonts w:ascii="Narkisim" w:hAnsi="Narkisim"/>
          <w:rtl/>
        </w:rPr>
        <w:t xml:space="preserve"> (א כ, הו' בכס"מ שם) השיב דדעת הרמב"ם דעד א' נאמן משום דמילתא דעבידא לאיגלויי לא משקר, אך ה”מ בעלמא כשמעיד מעצמו, אך הכא האשה הוחזקה להיות מחזרת להשמט מבעלה ע”י תחבולת שקר. ויש לחוש שמא שכרה העדים. וע”י פיתוי ושכירות יש לחוש שישקר אף במקום דעבידא לאיגלויי.</w:t>
      </w:r>
    </w:p>
    <w:p w14:paraId="65599608" w14:textId="77777777" w:rsidR="006C4368" w:rsidRPr="007119D6" w:rsidRDefault="006C4368" w:rsidP="006C4368">
      <w:pPr>
        <w:pStyle w:val="a8"/>
        <w:bidi/>
        <w:rPr>
          <w:rFonts w:ascii="Narkisim" w:hAnsi="Narkisim"/>
        </w:rPr>
      </w:pPr>
      <w:r w:rsidRPr="007119D6">
        <w:rPr>
          <w:rFonts w:ascii="Narkisim" w:hAnsi="Narkisim"/>
          <w:rtl/>
        </w:rPr>
        <w:t>ודייק מדברי הטור דהרמב"ם איירי דוקא היכא דאף האשה אומרת שמת בעלה [ואינה נאמנת משום הקטטה], ושוב הביאה עד א' לסייע לה.</w:t>
      </w:r>
    </w:p>
    <w:p w14:paraId="38DD9BAE" w14:textId="77777777" w:rsidR="006C4368" w:rsidRPr="007119D6" w:rsidRDefault="006C4368" w:rsidP="006C4368">
      <w:pPr>
        <w:bidi/>
        <w:rPr>
          <w:rFonts w:ascii="Narkisim" w:hAnsi="Narkisim" w:cs="Narkisim"/>
        </w:rPr>
      </w:pPr>
      <w:r w:rsidRPr="007119D6">
        <w:rPr>
          <w:rFonts w:ascii="Narkisim" w:hAnsi="Narkisim" w:cs="Narkisim"/>
          <w:u w:val="single"/>
          <w:rtl/>
        </w:rPr>
        <w:t>שוטה לא תנשא</w:t>
      </w:r>
      <w:r w:rsidRPr="007119D6">
        <w:rPr>
          <w:rFonts w:ascii="Narkisim" w:hAnsi="Narkisim" w:cs="Narkisim"/>
          <w:rtl/>
        </w:rPr>
        <w:t>. בפשוטו הוכיחו דאף שוטה שאין בגדיה קרועים תנשא. אבל ה</w:t>
      </w:r>
      <w:r w:rsidRPr="007119D6">
        <w:rPr>
          <w:rFonts w:ascii="Narkisim" w:hAnsi="Narkisim" w:cs="Narkisim"/>
          <w:b/>
          <w:bCs/>
          <w:rtl/>
        </w:rPr>
        <w:t>מאירי</w:t>
      </w:r>
      <w:r w:rsidRPr="007119D6">
        <w:rPr>
          <w:rFonts w:ascii="Narkisim" w:hAnsi="Narkisim" w:cs="Narkisim"/>
          <w:rtl/>
        </w:rPr>
        <w:t xml:space="preserve"> ביאר [דהוכחת רבנן] דהשוטה דרכה לבכות ולהיות בגדיה קרועים מאליה ובלא סיבה, ואפ"ה נאמנת לומר מת בעלי. [ולא בעינן תוספת אומדנא מחמת שבגדיה קרועים</w:t>
      </w:r>
      <w:r w:rsidRPr="007119D6">
        <w:rPr>
          <w:rStyle w:val="ac"/>
          <w:rFonts w:ascii="Narkisim" w:hAnsi="Narkisim" w:cs="Narkisim"/>
          <w:rtl/>
        </w:rPr>
        <w:footnoteReference w:id="7863"/>
      </w:r>
      <w:r w:rsidRPr="007119D6">
        <w:rPr>
          <w:rFonts w:ascii="Narkisim" w:hAnsi="Narkisim" w:cs="Narkisim"/>
          <w:rtl/>
        </w:rPr>
        <w:t>. ועוד יש שפי' דאשה (דבסמוך) שלמדוה לקרוע בגדיה לא גרע משוטה].</w:t>
      </w:r>
    </w:p>
    <w:p w14:paraId="28AA35D5"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שיטמ"ק</w:t>
      </w:r>
      <w:r w:rsidRPr="007119D6">
        <w:rPr>
          <w:rFonts w:ascii="Narkisim" w:hAnsi="Narkisim" w:cs="Narkisim"/>
          <w:rtl/>
        </w:rPr>
        <w:t xml:space="preserve"> (כתובות כב: בשם הר"מ המעילי בשם הרמ"ה) כת' ש"מ מסוגיין דשוטה נאמנת לומר שמת בעלה. ודוקא שיודעת בטיב נשואין ואלמנות</w:t>
      </w:r>
      <w:r w:rsidRPr="007119D6">
        <w:rPr>
          <w:rStyle w:val="ac"/>
          <w:rFonts w:ascii="Narkisim" w:hAnsi="Narkisim" w:cs="Narkisim"/>
          <w:rtl/>
        </w:rPr>
        <w:footnoteReference w:id="7864"/>
      </w:r>
      <w:r w:rsidRPr="007119D6">
        <w:rPr>
          <w:rFonts w:ascii="Narkisim" w:hAnsi="Narkisim" w:cs="Narkisim"/>
          <w:rtl/>
        </w:rPr>
        <w:t>. וכ"פ ה</w:t>
      </w:r>
      <w:r w:rsidRPr="007119D6">
        <w:rPr>
          <w:rFonts w:ascii="Narkisim" w:hAnsi="Narkisim" w:cs="Narkisim"/>
          <w:b/>
          <w:bCs/>
          <w:rtl/>
        </w:rPr>
        <w:t>רמ"א</w:t>
      </w:r>
      <w:r w:rsidRPr="007119D6">
        <w:rPr>
          <w:rFonts w:ascii="Narkisim" w:hAnsi="Narkisim" w:cs="Narkisim"/>
          <w:rtl/>
        </w:rPr>
        <w:t xml:space="preserve"> (יז מג בשם ר' ירוחם כג ג).</w:t>
      </w:r>
    </w:p>
    <w:p w14:paraId="24DFFB21"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שיטמ"ק</w:t>
      </w:r>
      <w:r w:rsidRPr="007119D6">
        <w:rPr>
          <w:rFonts w:ascii="Narkisim" w:hAnsi="Narkisim"/>
          <w:rtl/>
        </w:rPr>
        <w:t xml:space="preserve"> (שם) הביא ד</w:t>
      </w:r>
      <w:r w:rsidRPr="007119D6">
        <w:rPr>
          <w:rFonts w:ascii="Narkisim" w:hAnsi="Narkisim"/>
          <w:b/>
          <w:bCs/>
          <w:rtl/>
        </w:rPr>
        <w:t>ר' שמואל בר דוד</w:t>
      </w:r>
      <w:r w:rsidRPr="007119D6">
        <w:rPr>
          <w:rFonts w:ascii="Narkisim" w:hAnsi="Narkisim"/>
          <w:rtl/>
        </w:rPr>
        <w:t xml:space="preserve"> דחה דאיירי בשוטה מעיקרא, דכקידושין כך גירושין, וככניסתה כך יציאתה. ומש"ה הקילו שנאמנת לומר שמת בעלה. ומשמע דאיירי בנישואין דרבנן</w:t>
      </w:r>
      <w:r w:rsidRPr="007119D6">
        <w:rPr>
          <w:rStyle w:val="ac"/>
          <w:rFonts w:ascii="Narkisim" w:hAnsi="Narkisim"/>
          <w:rtl/>
        </w:rPr>
        <w:footnoteReference w:id="7865"/>
      </w:r>
      <w:r w:rsidRPr="007119D6">
        <w:rPr>
          <w:rFonts w:ascii="Narkisim" w:hAnsi="Narkisim"/>
          <w:rtl/>
        </w:rPr>
        <w:t>. וה</w:t>
      </w:r>
      <w:r w:rsidRPr="007119D6">
        <w:rPr>
          <w:rFonts w:ascii="Narkisim" w:hAnsi="Narkisim"/>
          <w:b/>
          <w:bCs/>
          <w:rtl/>
        </w:rPr>
        <w:t>קובה"ע</w:t>
      </w:r>
      <w:r w:rsidRPr="007119D6">
        <w:rPr>
          <w:rFonts w:ascii="Narkisim" w:hAnsi="Narkisim"/>
          <w:rtl/>
        </w:rPr>
        <w:t xml:space="preserve"> (ס"ס עז) תמה דאי' (לעיל קיב:) דלא תקנו כלל נישואין לשוטה</w:t>
      </w:r>
      <w:r w:rsidRPr="007119D6">
        <w:rPr>
          <w:rStyle w:val="ac"/>
          <w:rFonts w:ascii="Narkisim" w:hAnsi="Narkisim"/>
          <w:rtl/>
        </w:rPr>
        <w:footnoteReference w:id="7866"/>
      </w:r>
      <w:r w:rsidRPr="007119D6">
        <w:rPr>
          <w:rFonts w:ascii="Narkisim" w:hAnsi="Narkisim"/>
          <w:rtl/>
        </w:rPr>
        <w:t xml:space="preserve"> [וכשתתפקח אף אם לא מת בעלה מותרת לינשא].</w:t>
      </w:r>
    </w:p>
    <w:p w14:paraId="3FB1F728"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בעה"מ</w:t>
      </w:r>
      <w:r w:rsidRPr="007119D6">
        <w:rPr>
          <w:rFonts w:ascii="Narkisim" w:hAnsi="Narkisim"/>
          <w:rtl/>
        </w:rPr>
        <w:t xml:space="preserve"> בס' הצבא כת' דשוטה (בסוגיין) לא הוה כמו שוטה דעלמא, דקי"ל (לעיל קיב:) דלא תקנו נישואין לשוטה</w:t>
      </w:r>
      <w:r w:rsidRPr="007119D6">
        <w:rPr>
          <w:rStyle w:val="ac"/>
          <w:rFonts w:ascii="Narkisim" w:hAnsi="Narkisim"/>
          <w:rtl/>
        </w:rPr>
        <w:footnoteReference w:id="7867"/>
      </w:r>
      <w:r w:rsidRPr="007119D6">
        <w:rPr>
          <w:rFonts w:ascii="Narkisim" w:hAnsi="Narkisim"/>
          <w:rtl/>
        </w:rPr>
        <w:t>. אלא הכא איירי בשוטה שאינה בקיאה בדרך ארץ</w:t>
      </w:r>
      <w:r w:rsidRPr="007119D6">
        <w:rPr>
          <w:rStyle w:val="ac"/>
          <w:rFonts w:ascii="Narkisim" w:hAnsi="Narkisim"/>
          <w:rtl/>
        </w:rPr>
        <w:footnoteReference w:id="7868"/>
      </w:r>
      <w:r w:rsidRPr="007119D6">
        <w:rPr>
          <w:rFonts w:ascii="Narkisim" w:hAnsi="Narkisim"/>
          <w:rtl/>
        </w:rPr>
        <w:t xml:space="preserve"> שלא באה בוכה ובגדיה קרועים.</w:t>
      </w:r>
    </w:p>
    <w:p w14:paraId="29638F07" w14:textId="77777777" w:rsidR="006C4368" w:rsidRPr="007119D6" w:rsidRDefault="006C4368" w:rsidP="006C4368">
      <w:pPr>
        <w:pStyle w:val="aa"/>
        <w:bidi/>
        <w:rPr>
          <w:rFonts w:ascii="Narkisim" w:hAnsi="Narkisim"/>
        </w:rPr>
      </w:pPr>
      <w:r w:rsidRPr="007119D6">
        <w:rPr>
          <w:rFonts w:ascii="Narkisim" w:hAnsi="Narkisim"/>
          <w:u w:val="single"/>
          <w:rtl/>
        </w:rPr>
        <w:t>קרעי בגדיך, סתרי מזייך</w:t>
      </w:r>
      <w:r w:rsidRPr="007119D6">
        <w:rPr>
          <w:rFonts w:ascii="Narkisim" w:hAnsi="Narkisim"/>
          <w:rtl/>
        </w:rPr>
        <w:t xml:space="preserve">. </w:t>
      </w:r>
      <w:r w:rsidRPr="007119D6">
        <w:rPr>
          <w:rFonts w:ascii="Narkisim" w:hAnsi="Narkisim"/>
          <w:b/>
          <w:bCs/>
          <w:rtl/>
        </w:rPr>
        <w:t>ראב"ן</w:t>
      </w:r>
      <w:r w:rsidRPr="007119D6">
        <w:rPr>
          <w:rFonts w:ascii="Narkisim" w:hAnsi="Narkisim"/>
          <w:rtl/>
        </w:rPr>
        <w:t xml:space="preserve"> (שו"ת צה ז) הק' דמבואר (סוטה ז.) דהוה פריצות כה"ג, ור' יהודה (שם) חייש להרהורא. ותי' דהתם מגלה לבה ומגלה שערה לגמרי עד שנראה שערה ובשרה. ואילו הכא קרעו רק בגדיה העליונים, ואין בשרה ניכר. ועוד תי' דהתם באשת איש חייש ר' יהודה להרהורא, והכא בפנויה. [וצ”ע דקי”ל (כא ב) דאף אלמנה פנויה לא תילך בראשה פרוע].</w:t>
      </w:r>
    </w:p>
    <w:p w14:paraId="6B72BCAF" w14:textId="77777777" w:rsidR="006C4368" w:rsidRPr="007119D6" w:rsidRDefault="006C4368" w:rsidP="006C4368">
      <w:pPr>
        <w:pStyle w:val="aa"/>
        <w:bidi/>
        <w:rPr>
          <w:rFonts w:ascii="Narkisim" w:hAnsi="Narkisim"/>
        </w:rPr>
      </w:pPr>
      <w:r w:rsidRPr="007119D6">
        <w:rPr>
          <w:rFonts w:ascii="Narkisim" w:hAnsi="Narkisim"/>
          <w:u w:val="single"/>
          <w:rtl/>
        </w:rPr>
        <w:t>אלפוה שיקרא, אינהו כרבנן ס”ל וכו</w:t>
      </w:r>
      <w:r w:rsidRPr="007119D6">
        <w:rPr>
          <w:rFonts w:ascii="Narkisim" w:hAnsi="Narkisim"/>
          <w:rtl/>
        </w:rPr>
        <w:t>'. ה</w:t>
      </w:r>
      <w:r w:rsidRPr="007119D6">
        <w:rPr>
          <w:rFonts w:ascii="Narkisim" w:hAnsi="Narkisim"/>
          <w:b/>
          <w:bCs/>
          <w:rtl/>
        </w:rPr>
        <w:t>מאירי</w:t>
      </w:r>
      <w:r w:rsidRPr="007119D6">
        <w:rPr>
          <w:rFonts w:ascii="Narkisim" w:hAnsi="Narkisim"/>
          <w:rtl/>
        </w:rPr>
        <w:t xml:space="preserve"> הביא דמבואר דמותר ללחוש שתבא לפני הבי"ד ע"פ אותו תנאי שהך בי"ד מזקיקו, ואין כאן מיחזי כשיקרא מכיון שבית דין אחר המובהק מתירו בלא שום תנאי</w:t>
      </w:r>
      <w:r w:rsidRPr="007119D6">
        <w:rPr>
          <w:rStyle w:val="ac"/>
          <w:rFonts w:ascii="Narkisim" w:hAnsi="Narkisim"/>
          <w:rtl/>
        </w:rPr>
        <w:footnoteReference w:id="7869"/>
      </w:r>
      <w:r w:rsidRPr="007119D6">
        <w:rPr>
          <w:rFonts w:ascii="Narkisim" w:hAnsi="Narkisim"/>
          <w:rtl/>
        </w:rPr>
        <w:t>. ואין כאן משום הרחקת כיעור או משום מיחזי כשיקרא כלל.</w:t>
      </w:r>
    </w:p>
    <w:p w14:paraId="2BBD67CF" w14:textId="77777777" w:rsidR="006C4368" w:rsidRPr="007119D6" w:rsidRDefault="006C4368" w:rsidP="006C4368">
      <w:pPr>
        <w:pStyle w:val="a8"/>
        <w:bidi/>
        <w:rPr>
          <w:rFonts w:ascii="Narkisim" w:hAnsi="Narkisim"/>
        </w:rPr>
      </w:pPr>
      <w:r w:rsidRPr="007119D6">
        <w:rPr>
          <w:rFonts w:ascii="Narkisim" w:hAnsi="Narkisim"/>
          <w:rtl/>
        </w:rPr>
        <w:t>וצ"ב האיך הותר להם להטעות את הבי"ד של ר' יהודה, דלדעת ר' יהודה אסור להתירה. וה</w:t>
      </w:r>
      <w:r w:rsidRPr="007119D6">
        <w:rPr>
          <w:rFonts w:ascii="Narkisim" w:hAnsi="Narkisim"/>
          <w:b/>
          <w:bCs/>
          <w:rtl/>
        </w:rPr>
        <w:t>ערול"נ</w:t>
      </w:r>
      <w:r w:rsidRPr="007119D6">
        <w:rPr>
          <w:rFonts w:ascii="Narkisim" w:hAnsi="Narkisim"/>
          <w:rtl/>
        </w:rPr>
        <w:t xml:space="preserve"> הק' מ"ש מהא דאי' (חולין קיא:, והו' בריטב”א לעיל יד: וסוכה י:) דשמואל לא היה רשאי להאכיל לרב דבר שאסור לפי דעתו. ותי' דשאני התם דהוה מידי דאכילה, דגנאי הוא לצדיק (וכמ”ש תוס' לעיל צט: וכ”מ). ועוד תי' דהכא הוה רבים כנגד ר' יהודה, והלכה כרבים</w:t>
      </w:r>
      <w:r w:rsidRPr="007119D6">
        <w:rPr>
          <w:rStyle w:val="ac"/>
          <w:rFonts w:ascii="Narkisim" w:hAnsi="Narkisim"/>
          <w:rtl/>
        </w:rPr>
        <w:footnoteReference w:id="7870"/>
      </w:r>
      <w:r w:rsidRPr="007119D6">
        <w:rPr>
          <w:rFonts w:ascii="Narkisim" w:hAnsi="Narkisim"/>
          <w:rtl/>
        </w:rPr>
        <w:t>.</w:t>
      </w:r>
    </w:p>
    <w:p w14:paraId="1C4428C6" w14:textId="77777777" w:rsidR="006C4368" w:rsidRPr="007119D6" w:rsidRDefault="006C4368" w:rsidP="006C4368">
      <w:pPr>
        <w:pStyle w:val="aa"/>
        <w:bidi/>
        <w:rPr>
          <w:rFonts w:ascii="Narkisim" w:hAnsi="Narkisim"/>
        </w:rPr>
      </w:pPr>
      <w:r w:rsidRPr="007119D6">
        <w:rPr>
          <w:rFonts w:ascii="Narkisim" w:hAnsi="Narkisim"/>
          <w:u w:val="single"/>
          <w:rtl/>
        </w:rPr>
        <w:t>בית הלל אומרים לא שמענו וכו'</w:t>
      </w:r>
      <w:r w:rsidRPr="007119D6">
        <w:rPr>
          <w:rFonts w:ascii="Narkisim" w:hAnsi="Narkisim"/>
          <w:rtl/>
        </w:rPr>
        <w:t>. ובמשנה (עדיות א יב) מבואר דקאי אאשה האומרת מת בעלי</w:t>
      </w:r>
      <w:r w:rsidRPr="007119D6">
        <w:rPr>
          <w:rStyle w:val="ac"/>
          <w:rFonts w:ascii="Narkisim" w:hAnsi="Narkisim"/>
          <w:rtl/>
        </w:rPr>
        <w:footnoteReference w:id="7871"/>
      </w:r>
      <w:r w:rsidRPr="007119D6">
        <w:rPr>
          <w:rFonts w:ascii="Narkisim" w:hAnsi="Narkisim"/>
          <w:rtl/>
        </w:rPr>
        <w:t xml:space="preserve"> לינשא או </w:t>
      </w:r>
      <w:r w:rsidRPr="007119D6">
        <w:rPr>
          <w:rFonts w:ascii="Narkisim" w:hAnsi="Narkisim"/>
          <w:rtl/>
        </w:rPr>
        <w:lastRenderedPageBreak/>
        <w:t>להתייבם, דל”ש אלא בבאה מהקציר</w:t>
      </w:r>
      <w:r w:rsidRPr="007119D6">
        <w:rPr>
          <w:rStyle w:val="ac"/>
          <w:rFonts w:ascii="Narkisim" w:hAnsi="Narkisim"/>
          <w:rtl/>
        </w:rPr>
        <w:footnoteReference w:id="7872"/>
      </w:r>
      <w:r w:rsidRPr="007119D6">
        <w:rPr>
          <w:rFonts w:ascii="Narkisim" w:hAnsi="Narkisim"/>
          <w:rtl/>
        </w:rPr>
        <w:t>.</w:t>
      </w:r>
    </w:p>
    <w:p w14:paraId="7DDCECB9" w14:textId="77777777" w:rsidR="006C4368" w:rsidRPr="007119D6" w:rsidRDefault="006C4368" w:rsidP="006C4368">
      <w:pPr>
        <w:bidi/>
        <w:rPr>
          <w:rFonts w:ascii="Narkisim" w:hAnsi="Narkisim" w:cs="Narkisim"/>
        </w:rPr>
      </w:pPr>
      <w:r w:rsidRPr="007119D6">
        <w:rPr>
          <w:rFonts w:ascii="Narkisim" w:hAnsi="Narkisim" w:cs="Narkisim"/>
          <w:u w:val="single"/>
          <w:rtl/>
        </w:rPr>
        <w:t>תניא אמרו להם בי"ש לבי"ה לדבריכם וכו' קציר שעורים וכו' בוצר מוסק גודר עודר מנין וכו'</w:t>
      </w:r>
      <w:r w:rsidRPr="007119D6">
        <w:rPr>
          <w:rFonts w:ascii="Narkisim" w:hAnsi="Narkisim" w:cs="Narkisim"/>
          <w:rtl/>
        </w:rPr>
        <w:t>. משמע דבי"ש הק' דאתם מודים דקציר חטים לאו דוקא, וה"ה בכל מילי. א"כ ה"ה ממדינה אחרת. וה</w:t>
      </w:r>
      <w:r w:rsidRPr="007119D6">
        <w:rPr>
          <w:rFonts w:ascii="Narkisim" w:hAnsi="Narkisim" w:cs="Narkisim"/>
          <w:b/>
          <w:bCs/>
          <w:rtl/>
        </w:rPr>
        <w:t>תוי"ט</w:t>
      </w:r>
      <w:r w:rsidRPr="007119D6">
        <w:rPr>
          <w:rFonts w:ascii="Narkisim" w:hAnsi="Narkisim" w:cs="Narkisim"/>
          <w:rtl/>
        </w:rPr>
        <w:t xml:space="preserve"> דייק דבי"ה פליגי דוקא במדינה אחרת, ובאה מהקציר לאו דוקא. והביא דאף </w:t>
      </w:r>
      <w:r w:rsidRPr="007119D6">
        <w:rPr>
          <w:rFonts w:ascii="Narkisim" w:hAnsi="Narkisim" w:cs="Narkisim"/>
          <w:b/>
          <w:bCs/>
          <w:rtl/>
        </w:rPr>
        <w:t>רש"י</w:t>
      </w:r>
      <w:r w:rsidRPr="007119D6">
        <w:rPr>
          <w:rFonts w:ascii="Narkisim" w:hAnsi="Narkisim" w:cs="Narkisim"/>
          <w:rtl/>
        </w:rPr>
        <w:t xml:space="preserve"> במשנה הזכיר רק דבמדינה אחרת אינה נאמנת.</w:t>
      </w:r>
    </w:p>
    <w:p w14:paraId="1F726946" w14:textId="77777777" w:rsidR="006C4368" w:rsidRPr="007119D6" w:rsidRDefault="006C4368" w:rsidP="006C4368">
      <w:pPr>
        <w:pStyle w:val="a7"/>
        <w:bidi/>
        <w:rPr>
          <w:rFonts w:ascii="Narkisim" w:hAnsi="Narkisim"/>
        </w:rPr>
      </w:pPr>
      <w:r w:rsidRPr="007119D6">
        <w:rPr>
          <w:rFonts w:ascii="Narkisim" w:hAnsi="Narkisim"/>
          <w:rtl/>
        </w:rPr>
        <w:t>אך ה</w:t>
      </w:r>
      <w:r w:rsidRPr="007119D6">
        <w:rPr>
          <w:rFonts w:ascii="Narkisim" w:hAnsi="Narkisim"/>
          <w:b/>
          <w:bCs/>
          <w:rtl/>
        </w:rPr>
        <w:t>תוי"ט</w:t>
      </w:r>
      <w:r w:rsidRPr="007119D6">
        <w:rPr>
          <w:rFonts w:ascii="Narkisim" w:hAnsi="Narkisim"/>
          <w:rtl/>
        </w:rPr>
        <w:t xml:space="preserve"> הק' דמשמע במשנה דקציר דוקא</w:t>
      </w:r>
      <w:r w:rsidRPr="007119D6">
        <w:rPr>
          <w:rStyle w:val="ac"/>
          <w:rFonts w:ascii="Narkisim" w:hAnsi="Narkisim"/>
          <w:rtl/>
        </w:rPr>
        <w:footnoteReference w:id="7873"/>
      </w:r>
      <w:r w:rsidRPr="007119D6">
        <w:rPr>
          <w:rFonts w:ascii="Narkisim" w:hAnsi="Narkisim"/>
          <w:rtl/>
        </w:rPr>
        <w:t>. [וע"ע בגמ' בסמוך]. וביאר ד'קציר' היינו שדות שסביב אותה העיר</w:t>
      </w:r>
      <w:r w:rsidRPr="007119D6">
        <w:rPr>
          <w:rStyle w:val="ac"/>
          <w:rFonts w:ascii="Narkisim" w:hAnsi="Narkisim"/>
          <w:rtl/>
        </w:rPr>
        <w:footnoteReference w:id="7874"/>
      </w:r>
      <w:r w:rsidRPr="007119D6">
        <w:rPr>
          <w:rFonts w:ascii="Narkisim" w:hAnsi="Narkisim"/>
          <w:rtl/>
        </w:rPr>
        <w:t>.</w:t>
      </w:r>
    </w:p>
    <w:p w14:paraId="033D63D9" w14:textId="77777777" w:rsidR="006C4368" w:rsidRPr="007119D6" w:rsidRDefault="006C4368" w:rsidP="006C4368">
      <w:pPr>
        <w:pStyle w:val="a7"/>
        <w:bidi/>
        <w:rPr>
          <w:rFonts w:ascii="Narkisim" w:hAnsi="Narkisim"/>
        </w:rPr>
      </w:pPr>
      <w:r w:rsidRPr="007119D6">
        <w:rPr>
          <w:rFonts w:ascii="Narkisim" w:hAnsi="Narkisim"/>
          <w:rtl/>
        </w:rPr>
        <w:t>והביא ד</w:t>
      </w:r>
      <w:r w:rsidRPr="007119D6">
        <w:rPr>
          <w:rFonts w:ascii="Narkisim" w:hAnsi="Narkisim"/>
          <w:b/>
          <w:bCs/>
          <w:rtl/>
        </w:rPr>
        <w:t xml:space="preserve">תוס' </w:t>
      </w:r>
      <w:r w:rsidRPr="007119D6">
        <w:rPr>
          <w:rFonts w:ascii="Narkisim" w:hAnsi="Narkisim"/>
          <w:rtl/>
        </w:rPr>
        <w:t>(ד"ה לא דברו</w:t>
      </w:r>
      <w:r w:rsidRPr="007119D6">
        <w:rPr>
          <w:rStyle w:val="ac"/>
          <w:rFonts w:ascii="Narkisim" w:hAnsi="Narkisim"/>
          <w:rtl/>
        </w:rPr>
        <w:footnoteReference w:id="7875"/>
      </w:r>
      <w:r w:rsidRPr="007119D6">
        <w:rPr>
          <w:rFonts w:ascii="Narkisim" w:hAnsi="Narkisim"/>
          <w:rtl/>
        </w:rPr>
        <w:t>) הביאו מה</w:t>
      </w:r>
      <w:r w:rsidRPr="007119D6">
        <w:rPr>
          <w:rFonts w:ascii="Narkisim" w:hAnsi="Narkisim"/>
          <w:b/>
          <w:bCs/>
          <w:rtl/>
        </w:rPr>
        <w:t>ירושלמי</w:t>
      </w:r>
      <w:r w:rsidRPr="007119D6">
        <w:rPr>
          <w:rFonts w:ascii="Narkisim" w:hAnsi="Narkisim"/>
          <w:rtl/>
        </w:rPr>
        <w:t xml:space="preserve"> דנקט קציר משום דאונס שכיח. וכת' דעפ"ז כוונת בי"ש דאף בוצר מוסק וכדו' דמי לקציר</w:t>
      </w:r>
      <w:r w:rsidRPr="007119D6">
        <w:rPr>
          <w:rStyle w:val="ac"/>
          <w:rFonts w:ascii="Narkisim" w:hAnsi="Narkisim"/>
          <w:rtl/>
        </w:rPr>
        <w:footnoteReference w:id="7876"/>
      </w:r>
      <w:r w:rsidRPr="007119D6">
        <w:rPr>
          <w:rFonts w:ascii="Narkisim" w:hAnsi="Narkisim"/>
          <w:rtl/>
        </w:rPr>
        <w:t>, ואונס שכיח. ולאפוקי מקום דלא שכיח אונס.</w:t>
      </w:r>
    </w:p>
    <w:p w14:paraId="652C1EE6" w14:textId="77777777" w:rsidR="006C4368" w:rsidRPr="007119D6" w:rsidRDefault="006C4368" w:rsidP="006C4368">
      <w:pPr>
        <w:pStyle w:val="a8"/>
        <w:bidi/>
        <w:rPr>
          <w:rFonts w:ascii="Narkisim" w:hAnsi="Narkisim"/>
        </w:rPr>
      </w:pPr>
      <w:r w:rsidRPr="007119D6">
        <w:rPr>
          <w:rFonts w:ascii="Narkisim" w:hAnsi="Narkisim"/>
          <w:rtl/>
        </w:rPr>
        <w:t>ועוד כת' ה</w:t>
      </w:r>
      <w:r w:rsidRPr="007119D6">
        <w:rPr>
          <w:rFonts w:ascii="Narkisim" w:hAnsi="Narkisim"/>
          <w:b/>
          <w:bCs/>
          <w:rtl/>
        </w:rPr>
        <w:t>ערול"נ</w:t>
      </w:r>
      <w:r w:rsidRPr="007119D6">
        <w:rPr>
          <w:rFonts w:ascii="Narkisim" w:hAnsi="Narkisim"/>
          <w:rtl/>
        </w:rPr>
        <w:t xml:space="preserve"> דכוונת בי"ש דפשיטא דאין לחלק בין קציר לקציר, ואף בוצר ומוסק הוה בכלל התקנה אף אי משכח”ל אופן דיש פחות סכנה.</w:t>
      </w:r>
    </w:p>
    <w:p w14:paraId="68AA37B2" w14:textId="77777777" w:rsidR="006C4368" w:rsidRPr="007119D6" w:rsidRDefault="006C4368" w:rsidP="006C4368">
      <w:pPr>
        <w:bidi/>
        <w:rPr>
          <w:rFonts w:ascii="Narkisim" w:hAnsi="Narkisim" w:cs="Narkisim"/>
        </w:rPr>
      </w:pPr>
      <w:r w:rsidRPr="007119D6">
        <w:rPr>
          <w:rFonts w:ascii="Narkisim" w:hAnsi="Narkisim" w:cs="Narkisim"/>
          <w:u w:val="single"/>
          <w:rtl/>
        </w:rPr>
        <w:t>תוד"ה באותה</w:t>
      </w:r>
      <w:r w:rsidRPr="007119D6">
        <w:rPr>
          <w:rFonts w:ascii="Narkisim" w:hAnsi="Narkisim" w:cs="Narkisim"/>
          <w:rtl/>
        </w:rPr>
        <w:t>. למ"ד (כתובות כג.) דאיתמר דרב המנונא אפי' שלא בפניו. ה</w:t>
      </w:r>
      <w:r w:rsidRPr="007119D6">
        <w:rPr>
          <w:rFonts w:ascii="Narkisim" w:hAnsi="Narkisim" w:cs="Narkisim"/>
          <w:b/>
          <w:bCs/>
          <w:rtl/>
        </w:rPr>
        <w:t>אחרונים</w:t>
      </w:r>
      <w:r w:rsidRPr="007119D6">
        <w:rPr>
          <w:rFonts w:ascii="Narkisim" w:hAnsi="Narkisim" w:cs="Narkisim"/>
          <w:rtl/>
        </w:rPr>
        <w:t xml:space="preserve"> (הג' מים חיים) העירו ד</w:t>
      </w:r>
      <w:r w:rsidRPr="007119D6">
        <w:rPr>
          <w:rFonts w:ascii="Narkisim" w:hAnsi="Narkisim" w:cs="Narkisim"/>
          <w:b/>
          <w:bCs/>
          <w:rtl/>
        </w:rPr>
        <w:t>תוס'</w:t>
      </w:r>
      <w:r w:rsidRPr="007119D6">
        <w:rPr>
          <w:rFonts w:ascii="Narkisim" w:hAnsi="Narkisim" w:cs="Narkisim"/>
          <w:rtl/>
        </w:rPr>
        <w:t xml:space="preserve"> (כתובות שם) כת' דאף מ"ד דנאמנת שלא בפניו</w:t>
      </w:r>
      <w:r w:rsidRPr="007119D6">
        <w:rPr>
          <w:rStyle w:val="ac"/>
          <w:rFonts w:ascii="Narkisim" w:hAnsi="Narkisim" w:cs="Narkisim"/>
          <w:rtl/>
        </w:rPr>
        <w:footnoteReference w:id="7877"/>
      </w:r>
      <w:r w:rsidRPr="007119D6">
        <w:rPr>
          <w:rFonts w:ascii="Narkisim" w:hAnsi="Narkisim" w:cs="Narkisim"/>
          <w:rtl/>
        </w:rPr>
        <w:t xml:space="preserve"> הוה רק לענין דאם נשאת לא תצא, ול”מ שתהא נאמנת לינשא</w:t>
      </w:r>
      <w:r w:rsidRPr="007119D6">
        <w:rPr>
          <w:rStyle w:val="ac"/>
          <w:rFonts w:ascii="Narkisim" w:hAnsi="Narkisim" w:cs="Narkisim"/>
          <w:rtl/>
        </w:rPr>
        <w:footnoteReference w:id="7878"/>
      </w:r>
      <w:r w:rsidRPr="007119D6">
        <w:rPr>
          <w:rFonts w:ascii="Narkisim" w:hAnsi="Narkisim" w:cs="Narkisim"/>
          <w:rtl/>
        </w:rPr>
        <w:t>.</w:t>
      </w:r>
    </w:p>
    <w:p w14:paraId="652785D9"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(עב) עמד בזה, ותי' דתוס' נקטו דקודם תקנה אם נשאת תצא. ותוס' הק' דה”נ תהא נאמנת עכ”פ לענין אם נשאת לא תצא.</w:t>
      </w:r>
    </w:p>
    <w:p w14:paraId="3846BC09" w14:textId="77777777" w:rsidR="006C4368" w:rsidRPr="007119D6" w:rsidRDefault="006C4368" w:rsidP="006C4368">
      <w:pPr>
        <w:bidi/>
        <w:rPr>
          <w:rFonts w:ascii="Narkisim" w:hAnsi="Narkisim" w:cs="Narkisim"/>
        </w:rPr>
      </w:pPr>
      <w:r w:rsidRPr="007119D6">
        <w:rPr>
          <w:rFonts w:ascii="Narkisim" w:hAnsi="Narkisim" w:cs="Narkisim"/>
          <w:u w:val="single"/>
          <w:rtl/>
        </w:rPr>
        <w:t>שם. במיגו שהיתה יכולה לומר גרשתני למ"ד וכו'</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(נמוקי הגרי"ב) הק' דהא דנאמנת לומר גרשתני הוה משום אומדנא דלא חציפא, א”כ האיך מהני עי"ז מיגו, להיות נאמנת בטענה דלא הוה חוצפה. דבזה ליכא ראיה כלל</w:t>
      </w:r>
      <w:r w:rsidRPr="007119D6">
        <w:rPr>
          <w:rStyle w:val="ac"/>
          <w:rFonts w:ascii="Narkisim" w:hAnsi="Narkisim" w:cs="Narkisim"/>
          <w:rtl/>
        </w:rPr>
        <w:footnoteReference w:id="7879"/>
      </w:r>
      <w:r w:rsidRPr="007119D6">
        <w:rPr>
          <w:rFonts w:ascii="Narkisim" w:hAnsi="Narkisim" w:cs="Narkisim"/>
          <w:rtl/>
        </w:rPr>
        <w:t>. ועד"ז הק' ה</w:t>
      </w:r>
      <w:r w:rsidRPr="007119D6">
        <w:rPr>
          <w:rFonts w:ascii="Narkisim" w:hAnsi="Narkisim" w:cs="Narkisim"/>
          <w:b/>
          <w:bCs/>
          <w:rtl/>
        </w:rPr>
        <w:t>מהרש"א</w:t>
      </w:r>
      <w:r w:rsidRPr="007119D6">
        <w:rPr>
          <w:rFonts w:ascii="Narkisim" w:hAnsi="Narkisim" w:cs="Narkisim"/>
          <w:rtl/>
        </w:rPr>
        <w:t xml:space="preserve"> דהוה מיגו דהעזה, ולא אמרי' מיגו דהעזה</w:t>
      </w:r>
      <w:r w:rsidRPr="007119D6">
        <w:rPr>
          <w:rStyle w:val="ac"/>
          <w:rFonts w:ascii="Narkisim" w:hAnsi="Narkisim" w:cs="Narkisim"/>
          <w:rtl/>
        </w:rPr>
        <w:footnoteReference w:id="7880"/>
      </w:r>
      <w:r w:rsidRPr="007119D6">
        <w:rPr>
          <w:rFonts w:ascii="Narkisim" w:hAnsi="Narkisim" w:cs="Narkisim"/>
          <w:rtl/>
        </w:rPr>
        <w:t>.</w:t>
      </w:r>
    </w:p>
    <w:p w14:paraId="0CA875D2" w14:textId="77777777" w:rsidR="006C4368" w:rsidRPr="007119D6" w:rsidRDefault="006C4368" w:rsidP="006C4368">
      <w:pPr>
        <w:pStyle w:val="a7"/>
        <w:bidi/>
        <w:rPr>
          <w:rFonts w:ascii="Narkisim" w:hAnsi="Narkisim"/>
        </w:rPr>
      </w:pPr>
      <w:r w:rsidRPr="007119D6">
        <w:rPr>
          <w:rFonts w:ascii="Narkisim" w:hAnsi="Narkisim"/>
          <w:rtl/>
        </w:rPr>
        <w:t>וצ"ל דאף טענת 'מת בעלי' הוה העזה</w:t>
      </w:r>
      <w:r w:rsidRPr="007119D6">
        <w:rPr>
          <w:rStyle w:val="ac"/>
          <w:rFonts w:ascii="Narkisim" w:hAnsi="Narkisim"/>
          <w:rtl/>
        </w:rPr>
        <w:footnoteReference w:id="7881"/>
      </w:r>
      <w:r w:rsidRPr="007119D6">
        <w:rPr>
          <w:rFonts w:ascii="Narkisim" w:hAnsi="Narkisim"/>
          <w:rtl/>
        </w:rPr>
        <w:t>. אך ה</w:t>
      </w:r>
      <w:r w:rsidRPr="007119D6">
        <w:rPr>
          <w:rFonts w:ascii="Narkisim" w:hAnsi="Narkisim"/>
          <w:b/>
          <w:bCs/>
          <w:rtl/>
        </w:rPr>
        <w:t>מהרש”א</w:t>
      </w:r>
      <w:r w:rsidRPr="007119D6">
        <w:rPr>
          <w:rFonts w:ascii="Narkisim" w:hAnsi="Narkisim"/>
          <w:rtl/>
        </w:rPr>
        <w:t xml:space="preserve"> הק' דא”כ הו"ל לתוס' להק' מ”ש דאינה נאמנת לומר מת בעלי, כיון דאף טענה זו הוה העזה. ומ”ש מגירושין למ”ד דנאמנת </w:t>
      </w:r>
      <w:r w:rsidRPr="007119D6">
        <w:rPr>
          <w:rFonts w:ascii="Narkisim" w:hAnsi="Narkisim"/>
          <w:rtl/>
        </w:rPr>
        <w:lastRenderedPageBreak/>
        <w:t>שלא בפניו. וצ”ע.</w:t>
      </w:r>
    </w:p>
    <w:p w14:paraId="35BCB6E2" w14:textId="77777777" w:rsidR="006C4368" w:rsidRPr="007119D6" w:rsidRDefault="006C4368" w:rsidP="006C4368">
      <w:pPr>
        <w:bidi/>
        <w:rPr>
          <w:rFonts w:ascii="Narkisim" w:hAnsi="Narkisim" w:cs="Narkisim"/>
        </w:rPr>
      </w:pPr>
      <w:r w:rsidRPr="007119D6">
        <w:rPr>
          <w:rFonts w:ascii="Narkisim" w:hAnsi="Narkisim" w:cs="Narkisim"/>
          <w:u w:val="single"/>
          <w:rtl/>
        </w:rPr>
        <w:t>שם. במיגו שהיתה יכולה לומר גרשתני</w:t>
      </w:r>
      <w:r w:rsidRPr="007119D6">
        <w:rPr>
          <w:rFonts w:ascii="Narkisim" w:hAnsi="Narkisim" w:cs="Narkisim"/>
          <w:rtl/>
        </w:rPr>
        <w:t>. ה</w:t>
      </w:r>
      <w:r w:rsidRPr="007119D6">
        <w:rPr>
          <w:rFonts w:ascii="Narkisim" w:hAnsi="Narkisim" w:cs="Narkisim"/>
          <w:b/>
          <w:bCs/>
          <w:rtl/>
        </w:rPr>
        <w:t>מהרש"א</w:t>
      </w:r>
      <w:r w:rsidRPr="007119D6">
        <w:rPr>
          <w:rFonts w:ascii="Narkisim" w:hAnsi="Narkisim" w:cs="Narkisim"/>
          <w:rtl/>
        </w:rPr>
        <w:t xml:space="preserve"> נקט דבטענת גרשתני אינה נוטלת כתובתה. והק' א"כ ל"ש מיגו. ותי' דקו' התוס' לדברי בי"ה (במשנה הבא) קודם שחזרו בהם, שאינה נוטלת כתובה. וה</w:t>
      </w:r>
      <w:r w:rsidRPr="007119D6">
        <w:rPr>
          <w:rFonts w:ascii="Narkisim" w:hAnsi="Narkisim" w:cs="Narkisim"/>
          <w:b/>
          <w:bCs/>
          <w:rtl/>
        </w:rPr>
        <w:t>קרנ"ר</w:t>
      </w:r>
      <w:r w:rsidRPr="007119D6">
        <w:rPr>
          <w:rFonts w:ascii="Narkisim" w:hAnsi="Narkisim" w:cs="Narkisim"/>
          <w:rtl/>
        </w:rPr>
        <w:t xml:space="preserve"> ושאר </w:t>
      </w:r>
      <w:r w:rsidRPr="007119D6">
        <w:rPr>
          <w:rFonts w:ascii="Narkisim" w:hAnsi="Narkisim" w:cs="Narkisim"/>
          <w:b/>
          <w:bCs/>
          <w:rtl/>
        </w:rPr>
        <w:t>אחרונים</w:t>
      </w:r>
      <w:r w:rsidRPr="007119D6">
        <w:rPr>
          <w:rFonts w:ascii="Narkisim" w:hAnsi="Narkisim" w:cs="Narkisim"/>
          <w:rtl/>
        </w:rPr>
        <w:t xml:space="preserve"> חלקו דלדעת רוב ה</w:t>
      </w:r>
      <w:r w:rsidRPr="007119D6">
        <w:rPr>
          <w:rFonts w:ascii="Narkisim" w:hAnsi="Narkisim" w:cs="Narkisim"/>
          <w:b/>
          <w:bCs/>
          <w:rtl/>
        </w:rPr>
        <w:t>ראשונים</w:t>
      </w:r>
      <w:r w:rsidRPr="007119D6">
        <w:rPr>
          <w:rFonts w:ascii="Narkisim" w:hAnsi="Narkisim" w:cs="Narkisim"/>
          <w:rtl/>
        </w:rPr>
        <w:t xml:space="preserve"> אף כשאומרת גרשתני נוטלת כתובתה</w:t>
      </w:r>
      <w:r w:rsidRPr="007119D6">
        <w:rPr>
          <w:rStyle w:val="ac"/>
          <w:rFonts w:ascii="Narkisim" w:hAnsi="Narkisim" w:cs="Narkisim"/>
          <w:rtl/>
        </w:rPr>
        <w:footnoteReference w:id="7882"/>
      </w:r>
      <w:r w:rsidRPr="007119D6">
        <w:rPr>
          <w:rFonts w:ascii="Narkisim" w:hAnsi="Narkisim" w:cs="Narkisim"/>
          <w:rtl/>
        </w:rPr>
        <w:t xml:space="preserve">. </w:t>
      </w:r>
      <w:r w:rsidRPr="007119D6">
        <w:rPr>
          <w:rFonts w:ascii="Narkisim" w:hAnsi="Narkisim" w:cs="Narkisim"/>
          <w:szCs w:val="20"/>
          <w:rtl/>
        </w:rPr>
        <w:t xml:space="preserve">וכן </w:t>
      </w:r>
      <w:r w:rsidRPr="007119D6">
        <w:rPr>
          <w:rFonts w:ascii="Narkisim" w:hAnsi="Narkisim" w:cs="Narkisim"/>
          <w:b/>
          <w:bCs/>
          <w:szCs w:val="20"/>
          <w:rtl/>
        </w:rPr>
        <w:t>תוס'</w:t>
      </w:r>
      <w:r w:rsidRPr="007119D6">
        <w:rPr>
          <w:rFonts w:ascii="Narkisim" w:hAnsi="Narkisim" w:cs="Narkisim"/>
          <w:szCs w:val="20"/>
          <w:rtl/>
        </w:rPr>
        <w:t xml:space="preserve"> (בע"א) כת' דהיכא דתובעת כתובתה אינה נוטלת כתובה, אבל היכא דתובעת לינשא מותרת לינשא, ואף נוטלת כתובתה</w:t>
      </w:r>
      <w:r w:rsidRPr="007119D6">
        <w:rPr>
          <w:rFonts w:ascii="Narkisim" w:hAnsi="Narkisim" w:cs="Narkisim"/>
          <w:rtl/>
        </w:rPr>
        <w:t>.</w:t>
      </w:r>
    </w:p>
    <w:p w14:paraId="23C0BB6B" w14:textId="77777777" w:rsidR="006C4368" w:rsidRPr="007119D6" w:rsidRDefault="006C4368" w:rsidP="006C4368">
      <w:pPr>
        <w:bidi/>
        <w:rPr>
          <w:rFonts w:ascii="Narkisim" w:hAnsi="Narkisim" w:cs="Narkisim"/>
        </w:rPr>
      </w:pPr>
      <w:r w:rsidRPr="007119D6">
        <w:rPr>
          <w:rFonts w:ascii="Narkisim" w:hAnsi="Narkisim" w:cs="Narkisim"/>
          <w:u w:val="single"/>
          <w:rtl/>
        </w:rPr>
        <w:t>בא"ד וי"ל דאין זה מיגו וכו' אומרת כמה פעמים בדדמי, ולכך אין להאמינה</w:t>
      </w:r>
      <w:r w:rsidRPr="007119D6">
        <w:rPr>
          <w:rFonts w:ascii="Narkisim" w:hAnsi="Narkisim" w:cs="Narkisim"/>
          <w:rtl/>
        </w:rPr>
        <w:t>. בפשוטו כוונת התוס' דל”מ מיגו במקום דבדדמי. ודוקא בהחזיקה היא מלחמה שייך אומדנא דדייקא כולי האי, אבל במה שהיתה יכולה לטעון טענת שקר מצד אחר ל”מ.</w:t>
      </w:r>
    </w:p>
    <w:p w14:paraId="33E2BE01" w14:textId="77777777" w:rsidR="006C4368" w:rsidRPr="007119D6" w:rsidRDefault="006C4368" w:rsidP="006C4368">
      <w:pPr>
        <w:bidi/>
        <w:rPr>
          <w:rFonts w:ascii="Narkisim" w:hAnsi="Narkisim" w:cs="Narkisim"/>
        </w:rPr>
      </w:pPr>
      <w:r w:rsidRPr="007119D6">
        <w:rPr>
          <w:rFonts w:ascii="Narkisim" w:hAnsi="Narkisim" w:cs="Narkisim"/>
          <w:u w:val="single"/>
          <w:rtl/>
        </w:rPr>
        <w:t>בא"ד ועי"ל דההוא אמורא וכו' דוקא אמתני' דהתם וכו' מטעם דהפה שאסר וכו'</w:t>
      </w:r>
      <w:r w:rsidRPr="007119D6">
        <w:rPr>
          <w:rFonts w:ascii="Narkisim" w:hAnsi="Narkisim" w:cs="Narkisim"/>
          <w:rtl/>
        </w:rPr>
        <w:t>. צ"ב דלאחר שבאו עדים נעקר הפה שאסר, דנתברר ע”פ עדים שהיתה אשת איש. והאיך מצטרף הסברא דשלא בפניו אינה מעיזה, בהדי מה שהיה מעיקרא הפה שאסר.</w:t>
      </w:r>
    </w:p>
    <w:p w14:paraId="1CA006CE"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(עב) תי' דכיון דקבלנו את דברי האשה בשעה שאינו סותר לחזקת אשת איש</w:t>
      </w:r>
      <w:r w:rsidRPr="007119D6">
        <w:rPr>
          <w:rStyle w:val="ac"/>
          <w:rFonts w:ascii="Narkisim" w:hAnsi="Narkisim"/>
          <w:rtl/>
        </w:rPr>
        <w:footnoteReference w:id="7883"/>
      </w:r>
      <w:r w:rsidRPr="007119D6">
        <w:rPr>
          <w:rFonts w:ascii="Narkisim" w:hAnsi="Narkisim"/>
          <w:rtl/>
        </w:rPr>
        <w:t>, והאריך דעד א' נאמן אף בדבר שבערוה היכא שאינו כנגד חזקה</w:t>
      </w:r>
      <w:r w:rsidRPr="007119D6">
        <w:rPr>
          <w:rStyle w:val="ac"/>
          <w:rFonts w:ascii="Narkisim" w:hAnsi="Narkisim"/>
          <w:rtl/>
        </w:rPr>
        <w:footnoteReference w:id="7884"/>
      </w:r>
      <w:r w:rsidRPr="007119D6">
        <w:rPr>
          <w:rFonts w:ascii="Narkisim" w:hAnsi="Narkisim"/>
          <w:rtl/>
        </w:rPr>
        <w:t xml:space="preserve"> (ע”ע לעיל פח.). וכיון דנתקבל עדותה מהני</w:t>
      </w:r>
      <w:r w:rsidRPr="007119D6">
        <w:rPr>
          <w:rStyle w:val="ac"/>
          <w:rFonts w:ascii="Narkisim" w:hAnsi="Narkisim"/>
          <w:rtl/>
        </w:rPr>
        <w:footnoteReference w:id="7885"/>
      </w:r>
      <w:r w:rsidRPr="007119D6">
        <w:rPr>
          <w:rFonts w:ascii="Narkisim" w:hAnsi="Narkisim"/>
          <w:rtl/>
        </w:rPr>
        <w:t>. ועד"ז כת' ה</w:t>
      </w:r>
      <w:r w:rsidRPr="007119D6">
        <w:rPr>
          <w:rFonts w:ascii="Narkisim" w:hAnsi="Narkisim"/>
          <w:b/>
          <w:bCs/>
          <w:rtl/>
        </w:rPr>
        <w:t>מאירי</w:t>
      </w:r>
      <w:r w:rsidRPr="007119D6">
        <w:rPr>
          <w:rFonts w:ascii="Narkisim" w:hAnsi="Narkisim"/>
          <w:rtl/>
        </w:rPr>
        <w:t xml:space="preserve"> (כתובות כג.)</w:t>
      </w:r>
      <w:r w:rsidRPr="007119D6">
        <w:rPr>
          <w:rStyle w:val="ac"/>
          <w:rFonts w:ascii="Narkisim" w:hAnsi="Narkisim"/>
          <w:rtl/>
        </w:rPr>
        <w:footnoteReference w:id="7886"/>
      </w:r>
      <w:r w:rsidRPr="007119D6">
        <w:rPr>
          <w:rFonts w:ascii="Narkisim" w:hAnsi="Narkisim"/>
          <w:rtl/>
        </w:rPr>
        <w:t xml:space="preserve"> וה</w:t>
      </w:r>
      <w:r w:rsidRPr="007119D6">
        <w:rPr>
          <w:rFonts w:ascii="Narkisim" w:hAnsi="Narkisim"/>
          <w:b/>
          <w:bCs/>
          <w:rtl/>
        </w:rPr>
        <w:t>בית יעקב</w:t>
      </w:r>
      <w:r w:rsidRPr="007119D6">
        <w:rPr>
          <w:rFonts w:ascii="Narkisim" w:hAnsi="Narkisim"/>
          <w:rtl/>
        </w:rPr>
        <w:t xml:space="preserve"> (שם).</w:t>
      </w:r>
    </w:p>
    <w:p w14:paraId="4231C987"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קוב"ש</w:t>
      </w:r>
      <w:r w:rsidRPr="007119D6">
        <w:rPr>
          <w:rFonts w:ascii="Narkisim" w:hAnsi="Narkisim"/>
          <w:rtl/>
        </w:rPr>
        <w:t xml:space="preserve"> (כתובות סג) תי' דמ"מ בשעה ראשונה היה לה מיגו, ויש ראיה דמה לה לשקר. ואף דאח”כ באו עדים, ועכשיו ליכא הפה שאסר, ול”מ אומדנא 'מה לי לשקר' לחוד להתירה ולהוציאה מחזקת אשת איש. מ"מ מהני לגרע לחזקת אשת איש. וכיון דאיתרע חזקת א"א מהני חזקה דאין אשה מעיזה אף שלא בפני בעלה</w:t>
      </w:r>
      <w:r w:rsidRPr="007119D6">
        <w:rPr>
          <w:rStyle w:val="ac"/>
          <w:rFonts w:ascii="Narkisim" w:hAnsi="Narkisim"/>
          <w:rtl/>
        </w:rPr>
        <w:footnoteReference w:id="7887"/>
      </w:r>
      <w:r w:rsidRPr="007119D6">
        <w:rPr>
          <w:rFonts w:ascii="Narkisim" w:hAnsi="Narkisim"/>
          <w:rtl/>
        </w:rPr>
        <w:t>.</w:t>
      </w:r>
    </w:p>
    <w:p w14:paraId="0B0D1ED5"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רמב"ן</w:t>
      </w:r>
      <w:r w:rsidRPr="007119D6">
        <w:rPr>
          <w:rFonts w:ascii="Narkisim" w:hAnsi="Narkisim" w:cs="Narkisim"/>
          <w:rtl/>
        </w:rPr>
        <w:t xml:space="preserve"> (כתובות שם) כת' דהך מ"ד ס"ל דהוה ספק אי יש חזקה דאינה מעיזה אף שלא בפניו</w:t>
      </w:r>
      <w:r w:rsidRPr="007119D6">
        <w:rPr>
          <w:rStyle w:val="ac"/>
          <w:rFonts w:ascii="Narkisim" w:hAnsi="Narkisim" w:cs="Narkisim"/>
          <w:rtl/>
        </w:rPr>
        <w:footnoteReference w:id="7888"/>
      </w:r>
      <w:r w:rsidRPr="007119D6">
        <w:rPr>
          <w:rFonts w:ascii="Narkisim" w:hAnsi="Narkisim" w:cs="Narkisim"/>
          <w:rtl/>
        </w:rPr>
        <w:t>. ודוקא היכא דנשאת כבר לא תצא</w:t>
      </w:r>
      <w:r w:rsidRPr="007119D6">
        <w:rPr>
          <w:rStyle w:val="ac"/>
          <w:rFonts w:ascii="Narkisim" w:hAnsi="Narkisim" w:cs="Narkisim"/>
          <w:rtl/>
        </w:rPr>
        <w:footnoteReference w:id="7889"/>
      </w:r>
      <w:r w:rsidRPr="007119D6">
        <w:rPr>
          <w:rFonts w:ascii="Narkisim" w:hAnsi="Narkisim" w:cs="Narkisim"/>
          <w:rtl/>
        </w:rPr>
        <w:t>.</w:t>
      </w:r>
    </w:p>
    <w:p w14:paraId="11647C3E" w14:textId="77777777" w:rsidR="006C4368" w:rsidRPr="007119D6" w:rsidRDefault="006C4368" w:rsidP="006C4368">
      <w:pPr>
        <w:bidi/>
        <w:rPr>
          <w:rFonts w:ascii="Narkisim" w:hAnsi="Narkisim" w:cs="Narkisim"/>
        </w:rPr>
      </w:pPr>
      <w:r w:rsidRPr="007119D6">
        <w:rPr>
          <w:rFonts w:ascii="Narkisim" w:hAnsi="Narkisim" w:cs="Narkisim"/>
          <w:u w:val="single"/>
          <w:rtl/>
        </w:rPr>
        <w:t>ובאת אשתו והודיעה לבי"ד, ושלחו ומצאו כדבריה, באותה שעה אמרו וכו'</w:t>
      </w:r>
      <w:r w:rsidRPr="007119D6">
        <w:rPr>
          <w:rFonts w:ascii="Narkisim" w:hAnsi="Narkisim" w:cs="Narkisim"/>
          <w:rtl/>
        </w:rPr>
        <w:t>. בפשוטו משמע דמצאו כדבריה, שבאמת מת. וה</w:t>
      </w:r>
      <w:r w:rsidRPr="007119D6">
        <w:rPr>
          <w:rFonts w:ascii="Narkisim" w:hAnsi="Narkisim" w:cs="Narkisim"/>
          <w:b/>
          <w:bCs/>
          <w:rtl/>
        </w:rPr>
        <w:t>מהרי"ק</w:t>
      </w:r>
      <w:r w:rsidRPr="007119D6">
        <w:rPr>
          <w:rFonts w:ascii="Narkisim" w:hAnsi="Narkisim" w:cs="Narkisim"/>
          <w:rtl/>
        </w:rPr>
        <w:t xml:space="preserve"> (עב) תמה דאינו טעם להאמין לכל הנשים</w:t>
      </w:r>
      <w:r w:rsidRPr="007119D6">
        <w:rPr>
          <w:rStyle w:val="ac"/>
          <w:rFonts w:ascii="Narkisim" w:hAnsi="Narkisim" w:cs="Narkisim"/>
          <w:rtl/>
        </w:rPr>
        <w:footnoteReference w:id="7890"/>
      </w:r>
      <w:r w:rsidRPr="007119D6">
        <w:rPr>
          <w:rFonts w:ascii="Narkisim" w:hAnsi="Narkisim" w:cs="Narkisim"/>
          <w:rtl/>
        </w:rPr>
        <w:t>, וכי קודם מעשה היו סבורים חכמים שלא תהא אשה אחת מאלף אומרת אמת כשאומרת מת בעלי. ו</w:t>
      </w:r>
      <w:r w:rsidRPr="007119D6">
        <w:rPr>
          <w:rFonts w:ascii="Narkisim" w:hAnsi="Narkisim" w:cs="Narkisim"/>
          <w:b/>
          <w:bCs/>
          <w:rtl/>
        </w:rPr>
        <w:t>תוס</w:t>
      </w:r>
      <w:r w:rsidRPr="007119D6">
        <w:rPr>
          <w:rFonts w:ascii="Narkisim" w:hAnsi="Narkisim" w:cs="Narkisim"/>
          <w:rtl/>
        </w:rPr>
        <w:t>' פי' דחזו דאיכא עיגונא טפי אם לא היו מאמינים לה.</w:t>
      </w:r>
    </w:p>
    <w:p w14:paraId="56FF061A"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ביאר דקודם המעשה היו סבורים שבהיות הדבר אמת תוכל האשה בקל להביא עדים בדבר, דמסתמא כאשר ראתה מיתתו גם אחרים ראו וידעו ויעידו בדבר. אבל אחר מעשה שהיה שהלכו שמה עשרה בני אדם והיו רבים מצויים שם, וגם היה המקום קרוב. ואפי' הכי לא היו עדים בדבר ולא ראו בני אדם במיתתו כי אם בשלוח ב"ד אחריו ומצאהו מת והכירהו בפרצוף פנים. עי"ז ידעו חכמים דאיכא עיגונא טפי במה שלא היו מאמינין אותה ושהרבה פעמים יארע שימות הבעל ולא תוכל האשה להביא ראייה בדבר ומשום עיגונא אקילו בה רבנן.</w:t>
      </w:r>
    </w:p>
    <w:p w14:paraId="1099FA66" w14:textId="77777777" w:rsidR="006C4368" w:rsidRPr="007119D6" w:rsidRDefault="006C4368" w:rsidP="006C4368">
      <w:pPr>
        <w:pStyle w:val="aa"/>
        <w:bidi/>
        <w:rPr>
          <w:rFonts w:ascii="Narkisim" w:hAnsi="Narkisim"/>
        </w:rPr>
      </w:pPr>
      <w:r w:rsidRPr="007119D6">
        <w:rPr>
          <w:rFonts w:ascii="Narkisim" w:hAnsi="Narkisim"/>
          <w:u w:val="single"/>
          <w:rtl/>
        </w:rPr>
        <w:t>נימא ר' חנינא בן עקיבא ורבנן בפלוגתא דבי"ש ובי"ה וכו' וכמעשה שהיה וכו'</w:t>
      </w:r>
      <w:r w:rsidRPr="007119D6">
        <w:rPr>
          <w:rFonts w:ascii="Narkisim" w:hAnsi="Narkisim"/>
          <w:rtl/>
        </w:rPr>
        <w:t>. ופ</w:t>
      </w:r>
      <w:r w:rsidRPr="007119D6">
        <w:rPr>
          <w:rFonts w:ascii="Narkisim" w:hAnsi="Narkisim"/>
          <w:b/>
          <w:bCs/>
          <w:rtl/>
        </w:rPr>
        <w:t>רש"י</w:t>
      </w:r>
      <w:r w:rsidRPr="007119D6">
        <w:rPr>
          <w:rFonts w:ascii="Narkisim" w:hAnsi="Narkisim"/>
          <w:rtl/>
        </w:rPr>
        <w:t xml:space="preserve"> (חגיגה כג.) דר' חנניה בן עקביא אמר כל מקום שגזרו חכמים על דבר על מעשה שהיה, לא גזרו אלא כדוגמת המעשה, וכאותו דבר</w:t>
      </w:r>
      <w:r w:rsidRPr="007119D6">
        <w:rPr>
          <w:rStyle w:val="ac"/>
          <w:rFonts w:ascii="Narkisim" w:hAnsi="Narkisim"/>
          <w:rtl/>
        </w:rPr>
        <w:footnoteReference w:id="7891"/>
      </w:r>
      <w:r w:rsidRPr="007119D6">
        <w:rPr>
          <w:rFonts w:ascii="Narkisim" w:hAnsi="Narkisim"/>
          <w:rtl/>
        </w:rPr>
        <w:t>.</w:t>
      </w:r>
    </w:p>
    <w:p w14:paraId="7E27E48E" w14:textId="77777777" w:rsidR="006C4368" w:rsidRPr="007119D6" w:rsidRDefault="006C4368" w:rsidP="006C4368">
      <w:pPr>
        <w:pStyle w:val="a8"/>
        <w:bidi/>
        <w:rPr>
          <w:rFonts w:ascii="Narkisim" w:hAnsi="Narkisim"/>
        </w:rPr>
      </w:pPr>
      <w:r w:rsidRPr="007119D6">
        <w:rPr>
          <w:rFonts w:ascii="Narkisim" w:hAnsi="Narkisim"/>
          <w:rtl/>
        </w:rPr>
        <w:lastRenderedPageBreak/>
        <w:t>וה"נ ס"ד דמח' בי"ש ובי"ה האם תקנו דוקא כעין מעשה שהיה. והגמ' דוחה דנח' הכא בסברות אחרות.</w:t>
      </w:r>
    </w:p>
    <w:p w14:paraId="5B78230E" w14:textId="77777777" w:rsidR="006C4368" w:rsidRPr="007119D6" w:rsidRDefault="006C4368" w:rsidP="006C4368">
      <w:pPr>
        <w:bidi/>
        <w:rPr>
          <w:rFonts w:ascii="Narkisim" w:hAnsi="Narkisim" w:cs="Narkisim"/>
        </w:rPr>
      </w:pPr>
      <w:r w:rsidRPr="007119D6">
        <w:rPr>
          <w:rFonts w:ascii="Narkisim" w:hAnsi="Narkisim" w:cs="Narkisim"/>
          <w:u w:val="single"/>
          <w:rtl/>
        </w:rPr>
        <w:t>ומצאו מת תחוב</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והאהיל הכלי של מי חטאת, ונטמאו. ו</w:t>
      </w:r>
      <w:r w:rsidRPr="007119D6">
        <w:rPr>
          <w:rFonts w:ascii="Narkisim" w:hAnsi="Narkisim" w:cs="Narkisim"/>
          <w:b/>
          <w:bCs/>
          <w:rtl/>
        </w:rPr>
        <w:t>תוס'</w:t>
      </w:r>
      <w:r w:rsidRPr="007119D6">
        <w:rPr>
          <w:rFonts w:ascii="Narkisim" w:hAnsi="Narkisim" w:cs="Narkisim"/>
          <w:rtl/>
        </w:rPr>
        <w:t xml:space="preserve"> (חגיגה כג. וזבחים צג.) דאי' (זבחים צג.) דמי חטאת שנטמאו מטהרין</w:t>
      </w:r>
      <w:r w:rsidRPr="007119D6">
        <w:rPr>
          <w:rStyle w:val="ac"/>
          <w:rFonts w:ascii="Narkisim" w:hAnsi="Narkisim" w:cs="Narkisim"/>
          <w:rtl/>
        </w:rPr>
        <w:footnoteReference w:id="7892"/>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(חגיגה) תי' דה"מ בשאר טומאות, אבל טומאת מת פוסלתן</w:t>
      </w:r>
      <w:r w:rsidRPr="007119D6">
        <w:rPr>
          <w:rStyle w:val="ac"/>
          <w:rFonts w:ascii="Narkisim" w:hAnsi="Narkisim" w:cs="Narkisim"/>
          <w:rtl/>
        </w:rPr>
        <w:footnoteReference w:id="7893"/>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xml:space="preserve"> (זבחים) תי' דה"מ לאחר קידוש, וקודם קידוש נפסלו</w:t>
      </w:r>
      <w:r w:rsidRPr="007119D6">
        <w:rPr>
          <w:rStyle w:val="ac"/>
          <w:rFonts w:ascii="Narkisim" w:hAnsi="Narkisim" w:cs="Narkisim"/>
          <w:rtl/>
        </w:rPr>
        <w:footnoteReference w:id="7894"/>
      </w:r>
      <w:r w:rsidRPr="007119D6">
        <w:rPr>
          <w:rFonts w:ascii="Narkisim" w:hAnsi="Narkisim" w:cs="Narkisim"/>
          <w:rtl/>
        </w:rPr>
        <w:t>. ועוד דנו ה</w:t>
      </w:r>
      <w:r w:rsidRPr="007119D6">
        <w:rPr>
          <w:rFonts w:ascii="Narkisim" w:hAnsi="Narkisim" w:cs="Narkisim"/>
          <w:b/>
          <w:bCs/>
          <w:rtl/>
        </w:rPr>
        <w:t>אחרונים</w:t>
      </w:r>
      <w:r w:rsidRPr="007119D6">
        <w:rPr>
          <w:rFonts w:ascii="Narkisim" w:hAnsi="Narkisim" w:cs="Narkisim"/>
          <w:rtl/>
        </w:rPr>
        <w:t xml:space="preserve"> די"ל דנפסלו משום דבעינן והניחו במקום טהור, ע"ד הא דתנן (פרה י ג ועדיות ז ה). [ולא משום שנטמא האפר</w:t>
      </w:r>
      <w:r w:rsidRPr="007119D6">
        <w:rPr>
          <w:rStyle w:val="ac"/>
          <w:rFonts w:ascii="Narkisim" w:hAnsi="Narkisim" w:cs="Narkisim"/>
          <w:rtl/>
        </w:rPr>
        <w:footnoteReference w:id="7895"/>
      </w:r>
      <w:r w:rsidRPr="007119D6">
        <w:rPr>
          <w:rFonts w:ascii="Narkisim" w:hAnsi="Narkisim" w:cs="Narkisim"/>
          <w:rtl/>
        </w:rPr>
        <w:t xml:space="preserve"> והמי חטאת].</w:t>
      </w:r>
    </w:p>
    <w:p w14:paraId="2AE5B983" w14:textId="77777777" w:rsidR="006C4368" w:rsidRPr="007119D6" w:rsidRDefault="006C4368" w:rsidP="006C4368">
      <w:pPr>
        <w:pStyle w:val="2"/>
        <w:bidi/>
        <w:rPr>
          <w:rFonts w:ascii="Narkisim" w:hAnsi="Narkisim"/>
        </w:rPr>
      </w:pPr>
      <w:r w:rsidRPr="007119D6">
        <w:rPr>
          <w:rFonts w:ascii="Narkisim" w:hAnsi="Narkisim"/>
          <w:rtl/>
        </w:rPr>
        <w:t>מדרש כתובה</w:t>
      </w:r>
    </w:p>
    <w:p w14:paraId="4A0A9FDF" w14:textId="77777777" w:rsidR="006C4368" w:rsidRPr="007119D6" w:rsidRDefault="006C4368" w:rsidP="006C4368">
      <w:pPr>
        <w:bidi/>
        <w:rPr>
          <w:rFonts w:ascii="Narkisim" w:hAnsi="Narkisim" w:cs="Narkisim"/>
        </w:rPr>
      </w:pPr>
      <w:r w:rsidRPr="007119D6">
        <w:rPr>
          <w:rFonts w:ascii="Narkisim" w:hAnsi="Narkisim" w:cs="Narkisim"/>
          <w:u w:val="single"/>
          <w:rtl/>
        </w:rPr>
        <w:t>בי"ש אומרים תנשא ותטול כתובתה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על פיה</w:t>
      </w:r>
      <w:r w:rsidRPr="007119D6">
        <w:rPr>
          <w:rStyle w:val="ac"/>
          <w:rFonts w:ascii="Narkisim" w:hAnsi="Narkisim" w:cs="Narkisim"/>
          <w:rtl/>
        </w:rPr>
        <w:footnoteReference w:id="7896"/>
      </w:r>
      <w:r w:rsidRPr="007119D6">
        <w:rPr>
          <w:rFonts w:ascii="Narkisim" w:hAnsi="Narkisim" w:cs="Narkisim"/>
          <w:rtl/>
        </w:rPr>
        <w:t>. מבואר דאיירי באשה עצמה</w:t>
      </w:r>
      <w:r w:rsidRPr="007119D6">
        <w:rPr>
          <w:rStyle w:val="ac"/>
          <w:rFonts w:ascii="Narkisim" w:hAnsi="Narkisim" w:cs="Narkisim"/>
          <w:rtl/>
        </w:rPr>
        <w:footnoteReference w:id="7897"/>
      </w:r>
      <w:r w:rsidRPr="007119D6">
        <w:rPr>
          <w:rFonts w:ascii="Narkisim" w:hAnsi="Narkisim" w:cs="Narkisim"/>
          <w:rtl/>
        </w:rPr>
        <w:t>. וה</w:t>
      </w:r>
      <w:r w:rsidRPr="007119D6">
        <w:rPr>
          <w:rFonts w:ascii="Narkisim" w:hAnsi="Narkisim" w:cs="Narkisim"/>
          <w:b/>
          <w:bCs/>
          <w:rtl/>
        </w:rPr>
        <w:t>ראשונים</w:t>
      </w:r>
      <w:r w:rsidRPr="007119D6">
        <w:rPr>
          <w:rFonts w:ascii="Narkisim" w:hAnsi="Narkisim" w:cs="Narkisim"/>
          <w:rtl/>
        </w:rPr>
        <w:t xml:space="preserve"> נקטו דה”ה שאר עד א' ועכו"ם מסיח לפי תומו</w:t>
      </w:r>
      <w:r w:rsidRPr="007119D6">
        <w:rPr>
          <w:rStyle w:val="ac"/>
          <w:rFonts w:ascii="Narkisim" w:hAnsi="Narkisim" w:cs="Narkisim"/>
          <w:rtl/>
        </w:rPr>
        <w:footnoteReference w:id="7898"/>
      </w:r>
      <w:r w:rsidRPr="007119D6">
        <w:rPr>
          <w:rFonts w:ascii="Narkisim" w:hAnsi="Narkisim" w:cs="Narkisim"/>
          <w:rtl/>
        </w:rPr>
        <w:t>.</w:t>
      </w:r>
    </w:p>
    <w:p w14:paraId="14A3FA37" w14:textId="77777777" w:rsidR="006C4368" w:rsidRPr="007119D6" w:rsidRDefault="006C4368" w:rsidP="006C4368">
      <w:pPr>
        <w:pStyle w:val="a8"/>
        <w:bidi/>
        <w:rPr>
          <w:rFonts w:ascii="Narkisim" w:hAnsi="Narkisim"/>
        </w:rPr>
      </w:pPr>
      <w:r w:rsidRPr="007119D6">
        <w:rPr>
          <w:rFonts w:ascii="Narkisim" w:hAnsi="Narkisim"/>
          <w:rtl/>
        </w:rPr>
        <w:t>ולכאורה האשה עצמה הוה חידוש טפי, דבשלמא עד א' י"ל דהוה תורת עדות. אבל נאמנת דאשה עצמה לכאורה לא הוה גדר עדות כלל</w:t>
      </w:r>
      <w:r w:rsidRPr="007119D6">
        <w:rPr>
          <w:rStyle w:val="ac"/>
          <w:rFonts w:ascii="Narkisim" w:hAnsi="Narkisim"/>
          <w:rtl/>
        </w:rPr>
        <w:footnoteReference w:id="7899"/>
      </w:r>
      <w:r w:rsidRPr="007119D6">
        <w:rPr>
          <w:rFonts w:ascii="Narkisim" w:hAnsi="Narkisim"/>
          <w:rtl/>
        </w:rPr>
        <w:t>.</w:t>
      </w:r>
    </w:p>
    <w:p w14:paraId="71C2DF67" w14:textId="77777777" w:rsidR="006C4368" w:rsidRPr="007119D6" w:rsidRDefault="006C4368" w:rsidP="006C4368">
      <w:pPr>
        <w:bidi/>
        <w:rPr>
          <w:rFonts w:ascii="Narkisim" w:hAnsi="Narkisim" w:cs="Narkisim"/>
        </w:rPr>
      </w:pPr>
      <w:r w:rsidRPr="007119D6">
        <w:rPr>
          <w:rFonts w:ascii="Narkisim" w:hAnsi="Narkisim" w:cs="Narkisim"/>
          <w:u w:val="single"/>
          <w:rtl/>
        </w:rPr>
        <w:t>בי"ה אומרים תנשא ולא תטול כתובתה וכו'</w:t>
      </w:r>
      <w:r w:rsidRPr="007119D6">
        <w:rPr>
          <w:rFonts w:ascii="Narkisim" w:hAnsi="Narkisim" w:cs="Narkisim"/>
          <w:rtl/>
        </w:rPr>
        <w:t>. דהכתובה הוה ממון, וליכא עדות לענין ממון. ועד"ז בכ"מ בש"ס דעדות מהני לדבר א' ול"מ לדבר אחר</w:t>
      </w:r>
      <w:r w:rsidRPr="007119D6">
        <w:rPr>
          <w:rStyle w:val="ac"/>
          <w:rFonts w:ascii="Narkisim" w:hAnsi="Narkisim" w:cs="Narkisim"/>
          <w:rtl/>
        </w:rPr>
        <w:footnoteReference w:id="7900"/>
      </w:r>
      <w:r w:rsidRPr="007119D6">
        <w:rPr>
          <w:rFonts w:ascii="Narkisim" w:hAnsi="Narkisim" w:cs="Narkisim"/>
          <w:rtl/>
        </w:rPr>
        <w:t>. וה</w:t>
      </w:r>
      <w:r w:rsidRPr="007119D6">
        <w:rPr>
          <w:rFonts w:ascii="Narkisim" w:hAnsi="Narkisim" w:cs="Narkisim"/>
          <w:b/>
          <w:bCs/>
          <w:rtl/>
        </w:rPr>
        <w:t>קובה"ע</w:t>
      </w:r>
      <w:r w:rsidRPr="007119D6">
        <w:rPr>
          <w:rFonts w:ascii="Narkisim" w:hAnsi="Narkisim" w:cs="Narkisim"/>
          <w:rtl/>
        </w:rPr>
        <w:t xml:space="preserve"> (כא ו) ביאר דהוה גדר 'פלגינן נאמנות', והיינו דמה שנוגע לממון אין ע"א נאמן, ומחזקינן שלא מת הבעל. [וביאר דאף דנח' בגמ' בכ”מ אי פלגינן דיבורא, כו”ע מודו דפלגינן נאמנות]. אבל יש </w:t>
      </w:r>
      <w:r w:rsidRPr="007119D6">
        <w:rPr>
          <w:rFonts w:ascii="Narkisim" w:hAnsi="Narkisim" w:cs="Narkisim"/>
          <w:b/>
          <w:bCs/>
          <w:rtl/>
        </w:rPr>
        <w:t>אחרונים</w:t>
      </w:r>
      <w:r w:rsidRPr="007119D6">
        <w:rPr>
          <w:rFonts w:ascii="Narkisim" w:hAnsi="Narkisim" w:cs="Narkisim"/>
          <w:rtl/>
        </w:rPr>
        <w:t xml:space="preserve"> שדחו דל”צ בזה גדר 'פלגינן', אלא דלא סגי בעדות עד א' לענין ממון</w:t>
      </w:r>
      <w:r w:rsidRPr="007119D6">
        <w:rPr>
          <w:rStyle w:val="ac"/>
          <w:rFonts w:ascii="Narkisim" w:hAnsi="Narkisim" w:cs="Narkisim"/>
          <w:rtl/>
        </w:rPr>
        <w:footnoteReference w:id="7901"/>
      </w:r>
      <w:r w:rsidRPr="007119D6">
        <w:rPr>
          <w:rFonts w:ascii="Narkisim" w:hAnsi="Narkisim" w:cs="Narkisim"/>
          <w:rtl/>
        </w:rPr>
        <w:t>.</w:t>
      </w:r>
    </w:p>
    <w:p w14:paraId="5C0160F0" w14:textId="77777777" w:rsidR="006C4368" w:rsidRPr="007119D6" w:rsidRDefault="006C4368" w:rsidP="006C4368">
      <w:pPr>
        <w:bidi/>
        <w:rPr>
          <w:rFonts w:ascii="Narkisim" w:hAnsi="Narkisim" w:cs="Narkisim"/>
        </w:rPr>
      </w:pPr>
      <w:r w:rsidRPr="007119D6">
        <w:rPr>
          <w:rFonts w:ascii="Narkisim" w:hAnsi="Narkisim" w:cs="Narkisim"/>
          <w:u w:val="single"/>
          <w:rtl/>
        </w:rPr>
        <w:t>א"ל בי"ש התרתם ערוה החמורה, ולא נתיר ממון הקל</w:t>
      </w:r>
      <w:r w:rsidRPr="007119D6">
        <w:rPr>
          <w:rStyle w:val="ac"/>
          <w:rFonts w:ascii="Narkisim" w:hAnsi="Narkisim" w:cs="Narkisim"/>
          <w:u w:val="single"/>
          <w:rtl/>
        </w:rPr>
        <w:footnoteReference w:id="7902"/>
      </w:r>
      <w:r w:rsidRPr="007119D6">
        <w:rPr>
          <w:rFonts w:ascii="Narkisim" w:hAnsi="Narkisim" w:cs="Narkisim"/>
          <w:u w:val="single"/>
          <w:rtl/>
        </w:rPr>
        <w:t xml:space="preserve"> וכו'</w:t>
      </w:r>
      <w:r w:rsidRPr="007119D6">
        <w:rPr>
          <w:rFonts w:ascii="Narkisim" w:hAnsi="Narkisim" w:cs="Narkisim"/>
          <w:rtl/>
        </w:rPr>
        <w:t>. [ובפשוטו בי"ה לא ילפי הך ק"ו</w:t>
      </w:r>
      <w:r w:rsidRPr="007119D6">
        <w:rPr>
          <w:rStyle w:val="ac"/>
          <w:rFonts w:ascii="Narkisim" w:hAnsi="Narkisim" w:cs="Narkisim"/>
          <w:rtl/>
        </w:rPr>
        <w:footnoteReference w:id="7903"/>
      </w:r>
      <w:r w:rsidRPr="007119D6">
        <w:rPr>
          <w:rFonts w:ascii="Narkisim" w:hAnsi="Narkisim" w:cs="Narkisim"/>
          <w:rtl/>
        </w:rPr>
        <w:t>. אך לחד תי' בתוס' (ד"ה וחזרו) בי"ה הודו לק"ו זה]. ה</w:t>
      </w:r>
      <w:r w:rsidRPr="007119D6">
        <w:rPr>
          <w:rFonts w:ascii="Narkisim" w:hAnsi="Narkisim" w:cs="Narkisim"/>
          <w:b/>
          <w:bCs/>
          <w:rtl/>
        </w:rPr>
        <w:t>רא"ש</w:t>
      </w:r>
      <w:r w:rsidRPr="007119D6">
        <w:rPr>
          <w:rFonts w:ascii="Narkisim" w:hAnsi="Narkisim" w:cs="Narkisim"/>
          <w:rtl/>
        </w:rPr>
        <w:t xml:space="preserve"> </w:t>
      </w:r>
      <w:r w:rsidRPr="007119D6">
        <w:rPr>
          <w:rFonts w:ascii="Narkisim" w:hAnsi="Narkisim" w:cs="Narkisim"/>
          <w:szCs w:val="20"/>
          <w:rtl/>
        </w:rPr>
        <w:t>(מו"ק ג לב, והמרדכי מו"ק תתקכה, והגר”א יו”ד שצז א</w:t>
      </w:r>
      <w:r w:rsidRPr="007119D6">
        <w:rPr>
          <w:rFonts w:ascii="Narkisim" w:hAnsi="Narkisim" w:cs="Narkisim"/>
          <w:rtl/>
        </w:rPr>
        <w:t>) הביא בשם ה</w:t>
      </w:r>
      <w:r w:rsidRPr="007119D6">
        <w:rPr>
          <w:rFonts w:ascii="Narkisim" w:hAnsi="Narkisim" w:cs="Narkisim"/>
          <w:b/>
          <w:bCs/>
          <w:rtl/>
        </w:rPr>
        <w:t>מהר"ם</w:t>
      </w:r>
      <w:r w:rsidRPr="007119D6">
        <w:rPr>
          <w:rFonts w:ascii="Narkisim" w:hAnsi="Narkisim" w:cs="Narkisim"/>
          <w:rtl/>
        </w:rPr>
        <w:t xml:space="preserve"> (הל' שמחות קכ) דאף לענין אבילות, כששמעו </w:t>
      </w:r>
      <w:r w:rsidRPr="007119D6">
        <w:rPr>
          <w:rFonts w:ascii="Narkisim" w:hAnsi="Narkisim" w:cs="Narkisim"/>
          <w:rtl/>
        </w:rPr>
        <w:lastRenderedPageBreak/>
        <w:t>שמת ע"פ עד א' או עכו"ם מסיח לפי תומו</w:t>
      </w:r>
      <w:r w:rsidRPr="007119D6">
        <w:rPr>
          <w:rStyle w:val="ac"/>
          <w:rFonts w:ascii="Narkisim" w:hAnsi="Narkisim" w:cs="Narkisim"/>
          <w:rtl/>
        </w:rPr>
        <w:footnoteReference w:id="7904"/>
      </w:r>
      <w:r w:rsidRPr="007119D6">
        <w:rPr>
          <w:rFonts w:ascii="Narkisim" w:hAnsi="Narkisim" w:cs="Narkisim"/>
          <w:rtl/>
        </w:rPr>
        <w:t xml:space="preserve"> יש לאשה להתאבל ע”פ</w:t>
      </w:r>
      <w:r w:rsidRPr="007119D6">
        <w:rPr>
          <w:rStyle w:val="ac"/>
          <w:rFonts w:ascii="Narkisim" w:hAnsi="Narkisim" w:cs="Narkisim"/>
          <w:rtl/>
        </w:rPr>
        <w:footnoteReference w:id="7905"/>
      </w:r>
      <w:r w:rsidRPr="007119D6">
        <w:rPr>
          <w:rFonts w:ascii="Narkisim" w:hAnsi="Narkisim" w:cs="Narkisim"/>
          <w:rtl/>
        </w:rPr>
        <w:t>. וכדאמרי' ק"ו בסוגיין התרתם ערוה חמורה וכו', וכ”ש דנאמן לאבילות הקל. ואף חזרו בי”ה לדברי בי”ש. וה</w:t>
      </w:r>
      <w:r w:rsidRPr="007119D6">
        <w:rPr>
          <w:rFonts w:ascii="Narkisim" w:hAnsi="Narkisim" w:cs="Narkisim"/>
          <w:b/>
          <w:bCs/>
          <w:rtl/>
        </w:rPr>
        <w:t>קובה"ע</w:t>
      </w:r>
      <w:r w:rsidRPr="007119D6">
        <w:rPr>
          <w:rFonts w:ascii="Narkisim" w:hAnsi="Narkisim" w:cs="Narkisim"/>
          <w:rtl/>
        </w:rPr>
        <w:t xml:space="preserve"> (לט ח) הק' דבי"ה חזרו בהם משום מדרש כתובה.</w:t>
      </w:r>
    </w:p>
    <w:p w14:paraId="3BF0AE08" w14:textId="77777777" w:rsidR="006C4368" w:rsidRPr="007119D6" w:rsidRDefault="006C4368" w:rsidP="006C4368">
      <w:pPr>
        <w:bidi/>
        <w:rPr>
          <w:rFonts w:ascii="Narkisim" w:hAnsi="Narkisim" w:cs="Narkisim"/>
        </w:rPr>
      </w:pPr>
      <w:r w:rsidRPr="007119D6">
        <w:rPr>
          <w:rFonts w:ascii="Narkisim" w:hAnsi="Narkisim" w:cs="Narkisim"/>
          <w:u w:val="single"/>
          <w:rtl/>
        </w:rPr>
        <w:t>תוד"ה שאין</w:t>
      </w:r>
      <w:r w:rsidRPr="007119D6">
        <w:rPr>
          <w:rFonts w:ascii="Narkisim" w:hAnsi="Narkisim" w:cs="Narkisim"/>
          <w:rtl/>
        </w:rPr>
        <w:t>. [שייך לקיז.]. בשלא שמעו בו וכו' אלא בעד א', דאי לא שמעו בו כלל פשיטא דאין מורידין. [וכן פשיט"ל לתוס' בסמוך דאי לא שמעו כלל אין מורידין, וע' מש”כ בסמוך].</w:t>
      </w:r>
    </w:p>
    <w:p w14:paraId="1B513064" w14:textId="77777777" w:rsidR="006C4368" w:rsidRPr="007119D6" w:rsidRDefault="006C4368" w:rsidP="006C4368">
      <w:pPr>
        <w:pStyle w:val="aa"/>
        <w:bidi/>
        <w:rPr>
          <w:rFonts w:ascii="Narkisim" w:hAnsi="Narkisim"/>
        </w:rPr>
      </w:pPr>
      <w:r w:rsidRPr="007119D6">
        <w:rPr>
          <w:rFonts w:ascii="Narkisim" w:hAnsi="Narkisim"/>
          <w:rtl/>
        </w:rPr>
        <w:t>ובגמ' (ב"מ לח:) הביאו ברייתא דר' אליעזר דרש (שמות כב כג) וחרה אפי והרגתי אתכם בחרב והיו נשיכם אלמנות ובניכם יתומים,  מלמד שנשותיהם מבקשות לינשא ואין מניחין אותן, ובניהן רוצים לירד לנכסי אביהן ואין מניחין אותן. והגמ' מק' למ"ד דמורידין קרוב לנכסיו. ותי' דאיירי לירד ולמכור.</w:t>
      </w:r>
    </w:p>
    <w:p w14:paraId="14BA2ABF"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הק' לדברי התוס' דידן מה מק' הגמ', דבפשוטו י"ל דקרא איירי דלא שמעו כלל שמת, ולדעת תוס' דידן כה"ג אין מורידין כלל. ויש שפי' דמשמע בברייתא דידוע שמת</w:t>
      </w:r>
      <w:r w:rsidRPr="007119D6">
        <w:rPr>
          <w:rStyle w:val="ac"/>
          <w:rFonts w:ascii="Narkisim" w:hAnsi="Narkisim"/>
          <w:rtl/>
        </w:rPr>
        <w:footnoteReference w:id="7906"/>
      </w:r>
      <w:r w:rsidRPr="007119D6">
        <w:rPr>
          <w:rFonts w:ascii="Narkisim" w:hAnsi="Narkisim"/>
          <w:rtl/>
        </w:rPr>
        <w:t>, ואפ"ה אין מורידים</w:t>
      </w:r>
      <w:r w:rsidRPr="007119D6">
        <w:rPr>
          <w:rStyle w:val="ac"/>
          <w:rFonts w:ascii="Narkisim" w:hAnsi="Narkisim"/>
          <w:rtl/>
        </w:rPr>
        <w:footnoteReference w:id="7907"/>
      </w:r>
      <w:r w:rsidRPr="007119D6">
        <w:rPr>
          <w:rFonts w:ascii="Narkisim" w:hAnsi="Narkisim"/>
          <w:rtl/>
        </w:rPr>
        <w:t>.</w:t>
      </w:r>
    </w:p>
    <w:p w14:paraId="4506A0A0" w14:textId="77777777" w:rsidR="006C4368" w:rsidRPr="007119D6" w:rsidRDefault="006C4368" w:rsidP="006C4368">
      <w:pPr>
        <w:bidi/>
        <w:rPr>
          <w:rFonts w:ascii="Narkisim" w:hAnsi="Narkisim" w:cs="Narkisim"/>
        </w:rPr>
      </w:pPr>
      <w:r w:rsidRPr="007119D6">
        <w:rPr>
          <w:rFonts w:ascii="Narkisim" w:hAnsi="Narkisim" w:cs="Narkisim"/>
          <w:u w:val="single"/>
          <w:rtl/>
        </w:rPr>
        <w:t>בא"ד וי"ל דהכא מיירי לירד ולמכור וכו'</w:t>
      </w:r>
      <w:r w:rsidRPr="007119D6">
        <w:rPr>
          <w:rFonts w:ascii="Narkisim" w:hAnsi="Narkisim" w:cs="Narkisim"/>
          <w:rtl/>
        </w:rPr>
        <w:t>. וכדאי' (ב"מ לח:) דבניהם רוצים לירד לנכסי אביהם ואין מניחים אותם איירי לירד ולמכור</w:t>
      </w:r>
      <w:r w:rsidRPr="007119D6">
        <w:rPr>
          <w:rStyle w:val="ac"/>
          <w:rFonts w:ascii="Narkisim" w:hAnsi="Narkisim" w:cs="Narkisim"/>
          <w:rtl/>
        </w:rPr>
        <w:footnoteReference w:id="7908"/>
      </w:r>
      <w:r w:rsidRPr="007119D6">
        <w:rPr>
          <w:rFonts w:ascii="Narkisim" w:hAnsi="Narkisim" w:cs="Narkisim"/>
          <w:rtl/>
        </w:rPr>
        <w:t>.</w:t>
      </w:r>
    </w:p>
    <w:p w14:paraId="2A4CFFA8" w14:textId="77777777" w:rsidR="006C4368" w:rsidRPr="007119D6" w:rsidRDefault="006C4368" w:rsidP="006C4368">
      <w:pPr>
        <w:pStyle w:val="a7"/>
        <w:bidi/>
        <w:rPr>
          <w:rFonts w:ascii="Narkisim" w:hAnsi="Narkisim"/>
        </w:rPr>
      </w:pPr>
      <w:r w:rsidRPr="007119D6">
        <w:rPr>
          <w:rFonts w:ascii="Narkisim" w:hAnsi="Narkisim"/>
          <w:rtl/>
        </w:rPr>
        <w:t xml:space="preserve">אבל </w:t>
      </w:r>
      <w:r w:rsidRPr="007119D6">
        <w:rPr>
          <w:rFonts w:ascii="Narkisim" w:hAnsi="Narkisim"/>
          <w:b/>
          <w:bCs/>
          <w:rtl/>
        </w:rPr>
        <w:t>ה"ה</w:t>
      </w:r>
      <w:r w:rsidRPr="007119D6">
        <w:rPr>
          <w:rFonts w:ascii="Narkisim" w:hAnsi="Narkisim"/>
          <w:rtl/>
        </w:rPr>
        <w:t xml:space="preserve"> (נחלות ז ד) כת' דדעת הרמב"ם בשבוי דשמעו בו שמת וירדו הקרובים וחלקו ביניהם לירד ולמכור, אין מוציאין אותו מידם. ודוקא לכתחילה אין מורידים אותם לנכסים. [ובמשנה כאן איירי להוריד לכתחילה</w:t>
      </w:r>
      <w:r w:rsidRPr="007119D6">
        <w:rPr>
          <w:rStyle w:val="ac"/>
          <w:rFonts w:ascii="Narkisim" w:hAnsi="Narkisim"/>
          <w:rtl/>
        </w:rPr>
        <w:footnoteReference w:id="7909"/>
      </w:r>
      <w:r w:rsidRPr="007119D6">
        <w:rPr>
          <w:rFonts w:ascii="Narkisim" w:hAnsi="Narkisim"/>
          <w:rtl/>
        </w:rPr>
        <w:t>].</w:t>
      </w:r>
    </w:p>
    <w:p w14:paraId="66F8883A"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אבה"א</w:t>
      </w:r>
      <w:r w:rsidRPr="007119D6">
        <w:rPr>
          <w:rFonts w:ascii="Narkisim" w:hAnsi="Narkisim"/>
          <w:rtl/>
        </w:rPr>
        <w:t xml:space="preserve"> (שם) ביאר הטעם דאין מוציאין מידו, דכיון דנשבה הוה בגדר ריעותא שמא מת</w:t>
      </w:r>
      <w:r w:rsidRPr="007119D6">
        <w:rPr>
          <w:rStyle w:val="ac"/>
          <w:rFonts w:ascii="Narkisim" w:hAnsi="Narkisim"/>
          <w:rtl/>
        </w:rPr>
        <w:footnoteReference w:id="7910"/>
      </w:r>
      <w:r w:rsidRPr="007119D6">
        <w:rPr>
          <w:rFonts w:ascii="Narkisim" w:hAnsi="Narkisim"/>
          <w:rtl/>
        </w:rPr>
        <w:t>, ועי”ז מהני עד א'. וביאר ואף דבעלמא עד א' אינו נאמן בממון, ואף לפטור [ולסייע למוחזק] דכתיב לא יקום עד אחד באיש. היינו דהוה כמו הוצאה מהתובע. אבל הכא דהוא אינו לפנינו, וליכא תובע ולא הוי הוצאה מהבעלים</w:t>
      </w:r>
      <w:r w:rsidRPr="007119D6">
        <w:rPr>
          <w:rStyle w:val="ac"/>
          <w:rFonts w:ascii="Narkisim" w:hAnsi="Narkisim"/>
          <w:rtl/>
        </w:rPr>
        <w:footnoteReference w:id="7911"/>
      </w:r>
      <w:r w:rsidRPr="007119D6">
        <w:rPr>
          <w:rFonts w:ascii="Narkisim" w:hAnsi="Narkisim"/>
          <w:rtl/>
        </w:rPr>
        <w:t>. וע"פ האומד מסתבר דהעד אומר אמת. ומש"ה הבי"ד נמנעין מלעשות מעשה ולהוציא מהיורד.</w:t>
      </w:r>
    </w:p>
    <w:p w14:paraId="678EFBC0" w14:textId="77777777" w:rsidR="006C4368" w:rsidRPr="007119D6" w:rsidRDefault="006C4368" w:rsidP="006C4368">
      <w:pPr>
        <w:pStyle w:val="aa"/>
        <w:bidi/>
        <w:rPr>
          <w:rFonts w:ascii="Narkisim" w:hAnsi="Narkisim"/>
        </w:rPr>
      </w:pPr>
      <w:r w:rsidRPr="007119D6">
        <w:rPr>
          <w:rFonts w:ascii="Narkisim" w:hAnsi="Narkisim"/>
          <w:u w:val="single"/>
          <w:rtl/>
        </w:rPr>
        <w:t>בא"ד ולפ"ז יל"פ ששמעו בו שמת היינו בעד א'</w:t>
      </w:r>
      <w:r w:rsidRPr="007119D6">
        <w:rPr>
          <w:rStyle w:val="ac"/>
          <w:rFonts w:ascii="Narkisim" w:hAnsi="Narkisim"/>
          <w:u w:val="single"/>
          <w:rtl/>
        </w:rPr>
        <w:footnoteReference w:id="7912"/>
      </w:r>
      <w:r w:rsidRPr="007119D6">
        <w:rPr>
          <w:rFonts w:ascii="Narkisim" w:hAnsi="Narkisim"/>
          <w:u w:val="single"/>
          <w:rtl/>
        </w:rPr>
        <w:t>, ולאכול וכו'</w:t>
      </w:r>
      <w:r w:rsidRPr="007119D6">
        <w:rPr>
          <w:rFonts w:ascii="Narkisim" w:hAnsi="Narkisim"/>
          <w:rtl/>
        </w:rPr>
        <w:t>. ומהני עד א' להוריד בתורת אריסות, לענין דלא חיישינן שיפסידנו.</w:t>
      </w:r>
    </w:p>
    <w:p w14:paraId="735CD70E" w14:textId="77777777" w:rsidR="006C4368" w:rsidRPr="007119D6" w:rsidRDefault="006C4368" w:rsidP="006C4368">
      <w:pPr>
        <w:pStyle w:val="aa"/>
        <w:bidi/>
        <w:rPr>
          <w:rFonts w:ascii="Narkisim" w:hAnsi="Narkisim"/>
        </w:rPr>
      </w:pPr>
      <w:r w:rsidRPr="007119D6">
        <w:rPr>
          <w:rFonts w:ascii="Narkisim" w:hAnsi="Narkisim"/>
          <w:u w:val="single"/>
          <w:rtl/>
        </w:rPr>
        <w:t>בא"ד וא"ת א"כ היכי פליגי בלא שמעו בו שמת שמורידין וכו'</w:t>
      </w:r>
      <w:r w:rsidRPr="007119D6">
        <w:rPr>
          <w:rFonts w:ascii="Narkisim" w:hAnsi="Narkisim"/>
          <w:rtl/>
        </w:rPr>
        <w:t>. [ועד"ז נקטו תוס' לעיל דלא שמעו שמת, עכ"פ איירי דשמעו בעד א']. וצ"ב קו' התוס' דמורידין לאכול פירות, כדי שיטפל בקרקע לשבוי</w:t>
      </w:r>
      <w:r w:rsidRPr="007119D6">
        <w:rPr>
          <w:rStyle w:val="ac"/>
          <w:rFonts w:ascii="Narkisim" w:hAnsi="Narkisim"/>
          <w:rtl/>
        </w:rPr>
        <w:footnoteReference w:id="7913"/>
      </w:r>
      <w:r w:rsidRPr="007119D6">
        <w:rPr>
          <w:rFonts w:ascii="Narkisim" w:hAnsi="Narkisim"/>
          <w:rtl/>
        </w:rPr>
        <w:t>. דבגמ' (ב"מ שם) משמע דמורידין קרוב לטובת השבוי, ולכאורה אף אילו ודאי חי. [וע"ע רמב"ן ב"מ שם]. ומבואר דדעת התוס' דאין מורידין אלא משום דתלינן שמת.</w:t>
      </w:r>
    </w:p>
    <w:p w14:paraId="4BB319EA" w14:textId="77777777" w:rsidR="006C4368" w:rsidRPr="007119D6" w:rsidRDefault="006C4368" w:rsidP="006C4368">
      <w:pPr>
        <w:pStyle w:val="aa"/>
        <w:bidi/>
        <w:rPr>
          <w:rFonts w:ascii="Narkisim" w:hAnsi="Narkisim"/>
        </w:rPr>
      </w:pPr>
      <w:r w:rsidRPr="007119D6">
        <w:rPr>
          <w:rFonts w:ascii="Narkisim" w:hAnsi="Narkisim"/>
          <w:u w:val="single"/>
          <w:rtl/>
        </w:rPr>
        <w:t>בא"ד ומצינו למימר נמי הכא שיצא לדעת וכו'</w:t>
      </w:r>
      <w:r w:rsidRPr="007119D6">
        <w:rPr>
          <w:rFonts w:ascii="Narkisim" w:hAnsi="Narkisim"/>
          <w:rtl/>
        </w:rPr>
        <w:t>. ומש"ה אין מורידין קרוב לנכסיו, אפי' כאריס. וכדאי' (ב"מ שם) דבנכסי רטושים מוציאין אותו מידו, ופרש"י שעזבום בעלים מדעתם והלכו להם, והיה לו לצוות ולא צווה, ש"מ לא ניח"ל שירדו בה</w:t>
      </w:r>
      <w:r w:rsidRPr="007119D6">
        <w:rPr>
          <w:rStyle w:val="ac"/>
          <w:rFonts w:ascii="Narkisim" w:hAnsi="Narkisim"/>
          <w:rtl/>
        </w:rPr>
        <w:footnoteReference w:id="7914"/>
      </w:r>
      <w:r w:rsidRPr="007119D6">
        <w:rPr>
          <w:rFonts w:ascii="Narkisim" w:hAnsi="Narkisim"/>
          <w:rtl/>
        </w:rPr>
        <w:t>. [ודוקא היכא דנשבה, שהלך בע"כ מורידין לנכסיו].</w:t>
      </w:r>
    </w:p>
    <w:p w14:paraId="30F5FA27" w14:textId="77777777" w:rsidR="006C4368" w:rsidRPr="007119D6" w:rsidRDefault="006C4368" w:rsidP="006C4368">
      <w:pPr>
        <w:pStyle w:val="a8"/>
        <w:bidi/>
        <w:rPr>
          <w:rFonts w:ascii="Narkisim" w:hAnsi="Narkisim"/>
        </w:rPr>
      </w:pPr>
      <w:r w:rsidRPr="007119D6">
        <w:rPr>
          <w:rFonts w:ascii="Narkisim" w:hAnsi="Narkisim"/>
          <w:rtl/>
        </w:rPr>
        <w:t>ומבואר בתוס' (דידן) דאף כששמעו בו שמת אמרי' הכי. וה</w:t>
      </w:r>
      <w:r w:rsidRPr="007119D6">
        <w:rPr>
          <w:rFonts w:ascii="Narkisim" w:hAnsi="Narkisim"/>
          <w:b/>
          <w:bCs/>
          <w:rtl/>
        </w:rPr>
        <w:t>רמב"ן</w:t>
      </w:r>
      <w:r w:rsidRPr="007119D6">
        <w:rPr>
          <w:rFonts w:ascii="Narkisim" w:hAnsi="Narkisim"/>
          <w:rtl/>
        </w:rPr>
        <w:t xml:space="preserve"> (ב"מ שם) ביאר שאין הקרובים נכנסים לנחלה אלא בעדות גמורה</w:t>
      </w:r>
      <w:r w:rsidRPr="007119D6">
        <w:rPr>
          <w:rStyle w:val="ac"/>
          <w:rFonts w:ascii="Narkisim" w:hAnsi="Narkisim"/>
          <w:rtl/>
        </w:rPr>
        <w:footnoteReference w:id="7915"/>
      </w:r>
      <w:r w:rsidRPr="007119D6">
        <w:rPr>
          <w:rFonts w:ascii="Narkisim" w:hAnsi="Narkisim"/>
          <w:rtl/>
        </w:rPr>
        <w:t>. אבל ה</w:t>
      </w:r>
      <w:r w:rsidRPr="007119D6">
        <w:rPr>
          <w:rFonts w:ascii="Narkisim" w:hAnsi="Narkisim"/>
          <w:b/>
          <w:bCs/>
          <w:rtl/>
        </w:rPr>
        <w:t>תוס' הרא"ש</w:t>
      </w:r>
      <w:r w:rsidRPr="007119D6">
        <w:rPr>
          <w:rFonts w:ascii="Narkisim" w:hAnsi="Narkisim"/>
          <w:rtl/>
        </w:rPr>
        <w:t xml:space="preserve"> (שם) כת' דנר' דבשמעו בו שמת אף מורידין לנכסי רטושין.</w:t>
      </w:r>
    </w:p>
    <w:p w14:paraId="678A8355" w14:textId="77777777" w:rsidR="006C4368" w:rsidRPr="007119D6" w:rsidRDefault="006C4368" w:rsidP="006C4368">
      <w:pPr>
        <w:pStyle w:val="3"/>
        <w:bidi/>
        <w:rPr>
          <w:rFonts w:ascii="Narkisim" w:hAnsi="Narkisim"/>
        </w:rPr>
      </w:pPr>
      <w:r w:rsidRPr="007119D6">
        <w:rPr>
          <w:rFonts w:ascii="Narkisim" w:hAnsi="Narkisim"/>
          <w:rtl/>
        </w:rPr>
        <w:lastRenderedPageBreak/>
        <w:t>דף קיז.</w:t>
      </w:r>
    </w:p>
    <w:p w14:paraId="47DD3390" w14:textId="77777777" w:rsidR="006C4368" w:rsidRPr="007119D6" w:rsidRDefault="006C4368" w:rsidP="006C4368">
      <w:pPr>
        <w:bidi/>
        <w:rPr>
          <w:rFonts w:ascii="Narkisim" w:hAnsi="Narkisim" w:cs="Narkisim"/>
        </w:rPr>
      </w:pPr>
      <w:r w:rsidRPr="007119D6">
        <w:rPr>
          <w:rFonts w:ascii="Narkisim" w:hAnsi="Narkisim" w:cs="Narkisim"/>
          <w:u w:val="single"/>
          <w:rtl/>
        </w:rPr>
        <w:t>שאין האחין</w:t>
      </w:r>
      <w:r w:rsidRPr="007119D6">
        <w:rPr>
          <w:rStyle w:val="ac"/>
          <w:rFonts w:ascii="Narkisim" w:hAnsi="Narkisim" w:cs="Narkisim"/>
          <w:u w:val="single"/>
          <w:rtl/>
        </w:rPr>
        <w:footnoteReference w:id="7916"/>
      </w:r>
      <w:r w:rsidRPr="007119D6">
        <w:rPr>
          <w:rFonts w:ascii="Narkisim" w:hAnsi="Narkisim" w:cs="Narkisim"/>
          <w:u w:val="single"/>
          <w:rtl/>
        </w:rPr>
        <w:t xml:space="preserve"> נכנסין לנחלה</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הק' מאי איריא אחים, דאי אין לו בן או בת א"כ זקוקה ליבום. וב</w:t>
      </w:r>
      <w:r w:rsidRPr="007119D6">
        <w:rPr>
          <w:rFonts w:ascii="Narkisim" w:hAnsi="Narkisim" w:cs="Narkisim"/>
          <w:b/>
          <w:bCs/>
          <w:rtl/>
        </w:rPr>
        <w:t>חי' בית מאיר</w:t>
      </w:r>
      <w:r w:rsidRPr="007119D6">
        <w:rPr>
          <w:rFonts w:ascii="Narkisim" w:hAnsi="Narkisim" w:cs="Narkisim"/>
          <w:rtl/>
        </w:rPr>
        <w:t xml:space="preserve"> תי' דמשכח"ל שהלך בעלה ובנה למדיה"י, ובאת ואמרה מת בעלי ואח"כ מת בני</w:t>
      </w:r>
      <w:r w:rsidRPr="007119D6">
        <w:rPr>
          <w:rStyle w:val="ac"/>
          <w:rFonts w:ascii="Narkisim" w:hAnsi="Narkisim" w:cs="Narkisim"/>
          <w:rtl/>
        </w:rPr>
        <w:footnoteReference w:id="7917"/>
      </w:r>
      <w:r w:rsidRPr="007119D6">
        <w:rPr>
          <w:rFonts w:ascii="Narkisim" w:hAnsi="Narkisim" w:cs="Narkisim"/>
          <w:rtl/>
        </w:rPr>
        <w:t>.</w:t>
      </w:r>
    </w:p>
    <w:p w14:paraId="0C0FF36F"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בפשוטו מבואר דעד א' אינו נאמן בממון, אף דהוה מילתא דעבידא לאיגלויי. אבל דעת ה</w:t>
      </w:r>
      <w:r w:rsidRPr="007119D6">
        <w:rPr>
          <w:rFonts w:ascii="Narkisim" w:hAnsi="Narkisim" w:cs="Narkisim"/>
          <w:b/>
          <w:bCs/>
          <w:rtl/>
        </w:rPr>
        <w:t>תשב"ץ</w:t>
      </w:r>
      <w:r w:rsidRPr="007119D6">
        <w:rPr>
          <w:rFonts w:ascii="Narkisim" w:hAnsi="Narkisim" w:cs="Narkisim"/>
          <w:rtl/>
        </w:rPr>
        <w:t xml:space="preserve"> (א עג -פג, וציינו רע"א חו"מ רפד) דעד א' מוריד לנחלה דהוה מילתא דעבידא לאיגלויי. וכשיטתו [דלדעת הרמב"ם] עד א' נאמן להתיר את האשה מדאורייתא משום מילתא דעבידא לאיגלויי. וה</w:t>
      </w:r>
      <w:r w:rsidRPr="007119D6">
        <w:rPr>
          <w:rFonts w:ascii="Narkisim" w:hAnsi="Narkisim" w:cs="Narkisim"/>
          <w:b/>
          <w:bCs/>
          <w:rtl/>
        </w:rPr>
        <w:t>תשב"ץ</w:t>
      </w:r>
      <w:r w:rsidRPr="007119D6">
        <w:rPr>
          <w:rFonts w:ascii="Narkisim" w:hAnsi="Narkisim" w:cs="Narkisim"/>
          <w:rtl/>
        </w:rPr>
        <w:t xml:space="preserve"> (שם פב) תי' דהמשנה קאי בנשאת ע"פ עצמה, דמדאורייתא אינה נאמנת על עצמה. שהרי ל"מ עדות עצמה להוציאה מחזקת אשת איש. אלא דחז"ל הקילו בדבר זה בתחלתה והחמירו בסופה משום עגונה, ול”מ להוריד האחים לנחלה</w:t>
      </w:r>
      <w:r w:rsidRPr="007119D6">
        <w:rPr>
          <w:rStyle w:val="ac"/>
          <w:rFonts w:ascii="Narkisim" w:hAnsi="Narkisim" w:cs="Narkisim"/>
          <w:rtl/>
        </w:rPr>
        <w:footnoteReference w:id="7918"/>
      </w:r>
      <w:r w:rsidRPr="007119D6">
        <w:rPr>
          <w:rFonts w:ascii="Narkisim" w:hAnsi="Narkisim" w:cs="Narkisim"/>
          <w:rtl/>
        </w:rPr>
        <w:t>. וכן עד מפי עד אין מורידין לנחלה.</w:t>
      </w:r>
    </w:p>
    <w:p w14:paraId="5AFA8DD0" w14:textId="77777777" w:rsidR="006C4368" w:rsidRPr="007119D6" w:rsidRDefault="006C4368" w:rsidP="006C4368">
      <w:pPr>
        <w:pStyle w:val="a8"/>
        <w:bidi/>
        <w:rPr>
          <w:rFonts w:ascii="Narkisim" w:hAnsi="Narkisim"/>
        </w:rPr>
      </w:pPr>
      <w:r w:rsidRPr="007119D6">
        <w:rPr>
          <w:rFonts w:ascii="Narkisim" w:hAnsi="Narkisim"/>
          <w:rtl/>
        </w:rPr>
        <w:t>אבל בשאר עדים מתירין את האשה דבר תורה, וכ"ש להכניס האחין לנחלה, וכן בשאר דיני ממונות. דבמילתא דעבידא לאגלויי לא הקפידה תורה בדקדוקי עדות בשום מקום.</w:t>
      </w:r>
    </w:p>
    <w:p w14:paraId="591F5002"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ריב"ש</w:t>
      </w:r>
      <w:r w:rsidRPr="007119D6">
        <w:rPr>
          <w:rFonts w:ascii="Narkisim" w:hAnsi="Narkisim"/>
          <w:rtl/>
        </w:rPr>
        <w:t xml:space="preserve"> (קנה וקפא, והו' ברמ”א חו”מ ל יד) האריך דל"מ מילתא דעבידא לאיגלויי מדאורייתא. וכן </w:t>
      </w:r>
      <w:r w:rsidRPr="007119D6">
        <w:rPr>
          <w:rFonts w:ascii="Narkisim" w:hAnsi="Narkisim"/>
          <w:b/>
          <w:bCs/>
          <w:rtl/>
        </w:rPr>
        <w:t>רע"א</w:t>
      </w:r>
      <w:r w:rsidRPr="007119D6">
        <w:rPr>
          <w:rFonts w:ascii="Narkisim" w:hAnsi="Narkisim"/>
          <w:rtl/>
        </w:rPr>
        <w:t xml:space="preserve"> כת' מ"מ להלכה משמע מכל הפוסקים דבכל ענין אין מורידים לנחלה ע”פ עד א'.</w:t>
      </w:r>
    </w:p>
    <w:p w14:paraId="214D48B3" w14:textId="77777777" w:rsidR="006C4368" w:rsidRPr="007119D6" w:rsidRDefault="006C4368" w:rsidP="006C4368">
      <w:pPr>
        <w:bidi/>
        <w:rPr>
          <w:rFonts w:ascii="Narkisim" w:hAnsi="Narkisim" w:cs="Narkisim"/>
        </w:rPr>
      </w:pPr>
      <w:r w:rsidRPr="007119D6">
        <w:rPr>
          <w:rFonts w:ascii="Narkisim" w:hAnsi="Narkisim" w:cs="Narkisim"/>
          <w:rtl/>
        </w:rPr>
        <w:t>וכ"כ ה</w:t>
      </w:r>
      <w:r w:rsidRPr="007119D6">
        <w:rPr>
          <w:rFonts w:ascii="Narkisim" w:hAnsi="Narkisim" w:cs="Narkisim"/>
          <w:b/>
          <w:bCs/>
          <w:rtl/>
        </w:rPr>
        <w:t>רמב"ם</w:t>
      </w:r>
      <w:r w:rsidRPr="007119D6">
        <w:rPr>
          <w:rFonts w:ascii="Narkisim" w:hAnsi="Narkisim" w:cs="Narkisim"/>
          <w:rtl/>
        </w:rPr>
        <w:t xml:space="preserve"> (נחלות ז א) דעכו"ם מסיח לפי תומו, אף דמשיאין את האשה ע”פ (כדאי' לקמן קכא: וקכב:, ב”ק קיד:) ונוטלת כתובתה [כדאי' במשנה], אין היורשין נוחלין על פיהם</w:t>
      </w:r>
      <w:r w:rsidRPr="007119D6">
        <w:rPr>
          <w:rStyle w:val="ac"/>
          <w:rFonts w:ascii="Narkisim" w:hAnsi="Narkisim" w:cs="Narkisim"/>
          <w:rtl/>
        </w:rPr>
        <w:footnoteReference w:id="7919"/>
      </w:r>
      <w:r w:rsidRPr="007119D6">
        <w:rPr>
          <w:rFonts w:ascii="Narkisim" w:hAnsi="Narkisim" w:cs="Narkisim"/>
          <w:rtl/>
        </w:rPr>
        <w:t xml:space="preserve">.    </w:t>
      </w:r>
    </w:p>
    <w:p w14:paraId="2CEACB0D" w14:textId="77777777" w:rsidR="006C4368" w:rsidRPr="007119D6" w:rsidRDefault="006C4368" w:rsidP="006C4368">
      <w:pPr>
        <w:bidi/>
        <w:rPr>
          <w:rFonts w:ascii="Narkisim" w:hAnsi="Narkisim" w:cs="Narkisim"/>
        </w:rPr>
      </w:pPr>
      <w:r w:rsidRPr="007119D6">
        <w:rPr>
          <w:rFonts w:ascii="Narkisim" w:hAnsi="Narkisim" w:cs="Narkisim"/>
          <w:rtl/>
        </w:rPr>
        <w:t>אך גבי מים שאין להם סוף הוה להיפך, דה</w:t>
      </w:r>
      <w:r w:rsidRPr="007119D6">
        <w:rPr>
          <w:rFonts w:ascii="Narkisim" w:hAnsi="Narkisim" w:cs="Narkisim"/>
          <w:b/>
          <w:bCs/>
          <w:rtl/>
        </w:rPr>
        <w:t>רמב"ם</w:t>
      </w:r>
      <w:r w:rsidRPr="007119D6">
        <w:rPr>
          <w:rFonts w:ascii="Narkisim" w:hAnsi="Narkisim" w:cs="Narkisim"/>
          <w:rtl/>
        </w:rPr>
        <w:t xml:space="preserve"> (נחלות ז ג) כת' דאע"פ שאין משיאין את אשתו (וכדאי' לקמן קכא:), היורשים נוחלין</w:t>
      </w:r>
      <w:r w:rsidRPr="007119D6">
        <w:rPr>
          <w:rStyle w:val="ac"/>
          <w:rFonts w:ascii="Narkisim" w:hAnsi="Narkisim" w:cs="Narkisim"/>
          <w:rtl/>
        </w:rPr>
        <w:footnoteReference w:id="7920"/>
      </w:r>
      <w:r w:rsidRPr="007119D6">
        <w:rPr>
          <w:rFonts w:ascii="Narkisim" w:hAnsi="Narkisim" w:cs="Narkisim"/>
          <w:rtl/>
        </w:rPr>
        <w:t>. [וע"ע תוס' ב"מ כ:, ויתבאר לקמן שם]. ועוד כת' ה</w:t>
      </w:r>
      <w:r w:rsidRPr="007119D6">
        <w:rPr>
          <w:rFonts w:ascii="Narkisim" w:hAnsi="Narkisim" w:cs="Narkisim"/>
          <w:b/>
          <w:bCs/>
          <w:rtl/>
        </w:rPr>
        <w:t>רמב"ם</w:t>
      </w:r>
      <w:r w:rsidRPr="007119D6">
        <w:rPr>
          <w:rFonts w:ascii="Narkisim" w:hAnsi="Narkisim" w:cs="Narkisim"/>
          <w:rtl/>
        </w:rPr>
        <w:t xml:space="preserve"> דהיכא דהכירו שמת ע"פ סימנים מורידין לנחלה</w:t>
      </w:r>
      <w:r w:rsidRPr="007119D6">
        <w:rPr>
          <w:rStyle w:val="ac"/>
          <w:rFonts w:ascii="Narkisim" w:hAnsi="Narkisim" w:cs="Narkisim"/>
          <w:rtl/>
        </w:rPr>
        <w:footnoteReference w:id="7921"/>
      </w:r>
      <w:r w:rsidRPr="007119D6">
        <w:rPr>
          <w:rFonts w:ascii="Narkisim" w:hAnsi="Narkisim" w:cs="Narkisim"/>
          <w:rtl/>
        </w:rPr>
        <w:t>, אף שאין משיאין את אשתו. שלא החמירו בדברים אלו אלא מפני איסור כרת, אבל לענין ממון כיון שהעידו שחזקתו שמת, מורידין מנחלה</w:t>
      </w:r>
      <w:r w:rsidRPr="007119D6">
        <w:rPr>
          <w:rStyle w:val="ac"/>
          <w:rFonts w:ascii="Narkisim" w:hAnsi="Narkisim" w:cs="Narkisim"/>
          <w:rtl/>
        </w:rPr>
        <w:footnoteReference w:id="7922"/>
      </w:r>
      <w:r w:rsidRPr="007119D6">
        <w:rPr>
          <w:rFonts w:ascii="Narkisim" w:hAnsi="Narkisim" w:cs="Narkisim"/>
          <w:rtl/>
        </w:rPr>
        <w:t>.</w:t>
      </w:r>
    </w:p>
    <w:p w14:paraId="467C8B43"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ראב"ד</w:t>
      </w:r>
      <w:r w:rsidRPr="007119D6">
        <w:rPr>
          <w:rFonts w:ascii="Narkisim" w:hAnsi="Narkisim" w:cs="Narkisim"/>
          <w:rtl/>
        </w:rPr>
        <w:t xml:space="preserve"> (נחלות ז ג) הביא י"א דבמים שאין להם סוף אף היא אינה נוטלת כתובתה, שאין אני קורא בה כשתנשאי לאחר תטלי מה שכתוב ליכי. אבל ה</w:t>
      </w:r>
      <w:r w:rsidRPr="007119D6">
        <w:rPr>
          <w:rFonts w:ascii="Narkisim" w:hAnsi="Narkisim" w:cs="Narkisim"/>
          <w:b/>
          <w:bCs/>
          <w:rtl/>
        </w:rPr>
        <w:t>שו"ע</w:t>
      </w:r>
      <w:r w:rsidRPr="007119D6">
        <w:rPr>
          <w:rFonts w:ascii="Narkisim" w:hAnsi="Narkisim" w:cs="Narkisim"/>
          <w:rtl/>
        </w:rPr>
        <w:t xml:space="preserve"> (יז לה) הביא </w:t>
      </w:r>
      <w:r w:rsidRPr="007119D6">
        <w:rPr>
          <w:rFonts w:ascii="Narkisim" w:hAnsi="Narkisim" w:cs="Narkisim"/>
          <w:b/>
          <w:bCs/>
          <w:rtl/>
        </w:rPr>
        <w:t>י"א</w:t>
      </w:r>
      <w:r w:rsidRPr="007119D6">
        <w:rPr>
          <w:rFonts w:ascii="Narkisim" w:hAnsi="Narkisim" w:cs="Narkisim"/>
          <w:rtl/>
        </w:rPr>
        <w:t xml:space="preserve"> (הג' מרדכי כתובות שח) שגובה כתובתה</w:t>
      </w:r>
      <w:r w:rsidRPr="007119D6">
        <w:rPr>
          <w:rStyle w:val="ac"/>
          <w:rFonts w:ascii="Narkisim" w:hAnsi="Narkisim" w:cs="Narkisim"/>
          <w:rtl/>
        </w:rPr>
        <w:footnoteReference w:id="7923"/>
      </w:r>
      <w:r w:rsidRPr="007119D6">
        <w:rPr>
          <w:rFonts w:ascii="Narkisim" w:hAnsi="Narkisim" w:cs="Narkisim"/>
          <w:rtl/>
        </w:rPr>
        <w:t>. וה</w:t>
      </w:r>
      <w:r w:rsidRPr="007119D6">
        <w:rPr>
          <w:rFonts w:ascii="Narkisim" w:hAnsi="Narkisim" w:cs="Narkisim"/>
          <w:b/>
          <w:bCs/>
          <w:rtl/>
        </w:rPr>
        <w:t>חלק"מ</w:t>
      </w:r>
      <w:r w:rsidRPr="007119D6">
        <w:rPr>
          <w:rFonts w:ascii="Narkisim" w:hAnsi="Narkisim" w:cs="Narkisim"/>
          <w:rtl/>
        </w:rPr>
        <w:t xml:space="preserve"> (יז סה, ובי”ש קז) כת' דה"מ ע"פ ב' עדים, </w:t>
      </w:r>
      <w:r w:rsidRPr="007119D6">
        <w:rPr>
          <w:rFonts w:ascii="Narkisim" w:hAnsi="Narkisim" w:cs="Narkisim"/>
          <w:rtl/>
        </w:rPr>
        <w:lastRenderedPageBreak/>
        <w:t>אבל עד א' במים שאין להם סוף אינה גובה כתובתה. והבי"ש ביאר דע"פ הדין אסורה לינשא ע"פ עד א', אלא בעגונה הקילו חז"ל ונתנו נאמנות לעד א'. ובמים שאל"ס לא הקילו, א"כ ליא הכתובה.</w:t>
      </w:r>
    </w:p>
    <w:p w14:paraId="32F76581" w14:textId="77777777" w:rsidR="006C4368" w:rsidRPr="007119D6" w:rsidRDefault="006C4368" w:rsidP="006C4368">
      <w:pPr>
        <w:bidi/>
        <w:rPr>
          <w:rFonts w:ascii="Narkisim" w:hAnsi="Narkisim" w:cs="Narkisim"/>
        </w:rPr>
      </w:pPr>
      <w:r w:rsidRPr="007119D6">
        <w:rPr>
          <w:rFonts w:ascii="Narkisim" w:hAnsi="Narkisim" w:cs="Narkisim"/>
          <w:u w:val="single"/>
          <w:rtl/>
        </w:rPr>
        <w:t>והלא מספר כתובה נלמוד שהוא כותב לה לכשתנשאי לאחר תטלי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והרי נשאת. צ"ב גדר הדבר, ובפשוטו נקטו האחרונים דהוה גדר תנאי. [דאף אי בעלה לא מת, כיון דמותרת לינשא יש לה כתובה].</w:t>
      </w:r>
    </w:p>
    <w:p w14:paraId="57FDC95F" w14:textId="77777777" w:rsidR="006C4368" w:rsidRPr="007119D6" w:rsidRDefault="006C4368" w:rsidP="006C4368">
      <w:pPr>
        <w:pStyle w:val="a7"/>
        <w:bidi/>
        <w:rPr>
          <w:rFonts w:ascii="Narkisim" w:hAnsi="Narkisim"/>
        </w:rPr>
      </w:pPr>
      <w:r w:rsidRPr="007119D6">
        <w:rPr>
          <w:rFonts w:ascii="Narkisim" w:hAnsi="Narkisim"/>
          <w:rtl/>
        </w:rPr>
        <w:t>אך ה</w:t>
      </w:r>
      <w:r w:rsidRPr="007119D6">
        <w:rPr>
          <w:rFonts w:ascii="Narkisim" w:hAnsi="Narkisim"/>
          <w:b/>
          <w:bCs/>
          <w:rtl/>
        </w:rPr>
        <w:t>קובה"ע</w:t>
      </w:r>
      <w:r w:rsidRPr="007119D6">
        <w:rPr>
          <w:rFonts w:ascii="Narkisim" w:hAnsi="Narkisim"/>
          <w:rtl/>
        </w:rPr>
        <w:t xml:space="preserve"> (כא ו,ז) הק' דעל הצד שלא מת, א"כ לא הוה נישואין כלל. ובגדרי הממון אין בירור שמת, ולא נתקיים התנאי. א"כ אמאי תגבה כתובה.</w:t>
      </w:r>
    </w:p>
    <w:p w14:paraId="3E23349A" w14:textId="77777777" w:rsidR="006C4368" w:rsidRPr="007119D6" w:rsidRDefault="006C4368" w:rsidP="006C4368">
      <w:pPr>
        <w:pStyle w:val="a8"/>
        <w:bidi/>
        <w:rPr>
          <w:rFonts w:ascii="Narkisim" w:hAnsi="Narkisim"/>
        </w:rPr>
      </w:pPr>
      <w:r w:rsidRPr="007119D6">
        <w:rPr>
          <w:rFonts w:ascii="Narkisim" w:hAnsi="Narkisim"/>
          <w:rtl/>
        </w:rPr>
        <w:t>ועוד הביא להק' דבגמ' (שבועות לב:) מבואר דיש חיוב שבועת העדות בעד א' דעדות אשה, משום חיוב כתובה</w:t>
      </w:r>
      <w:r w:rsidRPr="007119D6">
        <w:rPr>
          <w:rStyle w:val="ac"/>
          <w:rFonts w:ascii="Narkisim" w:hAnsi="Narkisim"/>
          <w:rtl/>
        </w:rPr>
        <w:footnoteReference w:id="7924"/>
      </w:r>
      <w:r w:rsidRPr="007119D6">
        <w:rPr>
          <w:rFonts w:ascii="Narkisim" w:hAnsi="Narkisim"/>
          <w:rtl/>
        </w:rPr>
        <w:t>. ואי הוה תנאי בעלמא לחיוב הכתובה ל"ש קרבן שבועת העדות</w:t>
      </w:r>
      <w:r w:rsidRPr="007119D6">
        <w:rPr>
          <w:rStyle w:val="ac"/>
          <w:rFonts w:ascii="Narkisim" w:hAnsi="Narkisim"/>
          <w:rtl/>
        </w:rPr>
        <w:footnoteReference w:id="7925"/>
      </w:r>
      <w:r w:rsidRPr="007119D6">
        <w:rPr>
          <w:rFonts w:ascii="Narkisim" w:hAnsi="Narkisim"/>
          <w:rtl/>
        </w:rPr>
        <w:t>. [ושמעתי ליישב דיש תנאי בכתובה לתלות בסיבת היתר הנישואין. דגדרי הנאמנות דמהני לינשא מהני לכתובה. אך עכ”פ הוה מגדרי נאמנות].</w:t>
      </w:r>
    </w:p>
    <w:p w14:paraId="67A5D1C8"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ביאר דהוה מגדרי פלגינן נאמנות, דעד נאמן לענין להתירה אבל לא לנחלה. אף ששני הדינים תלויים בדבר א', במיתת הבעל. מ"מ כך דין נאמנותו שיהא נאמן לזה ולא לזה, אף דהוה תרתי דסתרי</w:t>
      </w:r>
      <w:r w:rsidRPr="007119D6">
        <w:rPr>
          <w:rStyle w:val="ac"/>
          <w:rFonts w:ascii="Narkisim" w:hAnsi="Narkisim"/>
          <w:rtl/>
        </w:rPr>
        <w:footnoteReference w:id="7926"/>
      </w:r>
      <w:r w:rsidRPr="007119D6">
        <w:rPr>
          <w:rFonts w:ascii="Narkisim" w:hAnsi="Narkisim"/>
          <w:rtl/>
        </w:rPr>
        <w:t>. אך ה"מ כששני הדינים אינן בתולדה אחד מחבירו, אלא תרוייהו תלויין במיתת הבעל</w:t>
      </w:r>
      <w:r w:rsidRPr="007119D6">
        <w:rPr>
          <w:rStyle w:val="ac"/>
          <w:rFonts w:ascii="Narkisim" w:hAnsi="Narkisim"/>
          <w:rtl/>
        </w:rPr>
        <w:footnoteReference w:id="7927"/>
      </w:r>
      <w:r w:rsidRPr="007119D6">
        <w:rPr>
          <w:rFonts w:ascii="Narkisim" w:hAnsi="Narkisim"/>
          <w:rtl/>
        </w:rPr>
        <w:t>. אבל גבי כתובה, חיוב הכתובה תלוי בהיתר נישואין, ואינו תלוי כלל במיתת הבעל</w:t>
      </w:r>
      <w:r w:rsidRPr="007119D6">
        <w:rPr>
          <w:rStyle w:val="ac"/>
          <w:rFonts w:ascii="Narkisim" w:hAnsi="Narkisim"/>
          <w:rtl/>
        </w:rPr>
        <w:footnoteReference w:id="7928"/>
      </w:r>
      <w:r w:rsidRPr="007119D6">
        <w:rPr>
          <w:rFonts w:ascii="Narkisim" w:hAnsi="Narkisim"/>
          <w:rtl/>
        </w:rPr>
        <w:t>. וכיון דהוה תולדה מהיתר נישואין, בזה לא אמרי' פלגינן נאמנות, שיהא נאמן להתירה ולא לכתובה, דא"א להפריד בין שני הדינין האלו</w:t>
      </w:r>
      <w:r w:rsidRPr="007119D6">
        <w:rPr>
          <w:rStyle w:val="ac"/>
          <w:rFonts w:ascii="Narkisim" w:hAnsi="Narkisim"/>
          <w:rtl/>
        </w:rPr>
        <w:footnoteReference w:id="7929"/>
      </w:r>
      <w:r w:rsidRPr="007119D6">
        <w:rPr>
          <w:rFonts w:ascii="Narkisim" w:hAnsi="Narkisim"/>
          <w:rtl/>
        </w:rPr>
        <w:t>.</w:t>
      </w:r>
    </w:p>
    <w:p w14:paraId="5F6DDDB1" w14:textId="77777777" w:rsidR="006C4368" w:rsidRPr="007119D6" w:rsidRDefault="006C4368" w:rsidP="006C4368">
      <w:pPr>
        <w:bidi/>
        <w:rPr>
          <w:rFonts w:ascii="Narkisim" w:hAnsi="Narkisim" w:cs="Narkisim"/>
        </w:rPr>
      </w:pPr>
      <w:r w:rsidRPr="007119D6">
        <w:rPr>
          <w:rFonts w:ascii="Narkisim" w:hAnsi="Narkisim" w:cs="Narkisim"/>
          <w:u w:val="single"/>
          <w:rtl/>
        </w:rPr>
        <w:t>שם. מספר כתובה</w:t>
      </w:r>
      <w:r w:rsidRPr="007119D6">
        <w:rPr>
          <w:rFonts w:ascii="Narkisim" w:hAnsi="Narkisim" w:cs="Narkisim"/>
          <w:rtl/>
        </w:rPr>
        <w:t>. ה</w:t>
      </w:r>
      <w:r w:rsidRPr="007119D6">
        <w:rPr>
          <w:rFonts w:ascii="Narkisim" w:hAnsi="Narkisim" w:cs="Narkisim"/>
          <w:b/>
          <w:bCs/>
          <w:rtl/>
        </w:rPr>
        <w:t>ריטב"א</w:t>
      </w:r>
      <w:r w:rsidRPr="007119D6">
        <w:rPr>
          <w:rFonts w:ascii="Narkisim" w:hAnsi="Narkisim" w:cs="Narkisim"/>
          <w:rtl/>
        </w:rPr>
        <w:t xml:space="preserve"> (וכן נמוק"י, בשם הרא"ה) כת' דהיינו מנה ומאתיים, אבל אינה נוטלת תוספת כתובה. וכ"ש נכסי צאן ברזל</w:t>
      </w:r>
      <w:r w:rsidRPr="007119D6">
        <w:rPr>
          <w:rStyle w:val="ac"/>
          <w:rFonts w:ascii="Narkisim" w:hAnsi="Narkisim" w:cs="Narkisim"/>
          <w:rtl/>
        </w:rPr>
        <w:footnoteReference w:id="7930"/>
      </w:r>
      <w:r w:rsidRPr="007119D6">
        <w:rPr>
          <w:rFonts w:ascii="Narkisim" w:hAnsi="Narkisim" w:cs="Narkisim"/>
          <w:rtl/>
        </w:rPr>
        <w:t>. וכ”פ ה</w:t>
      </w:r>
      <w:r w:rsidRPr="007119D6">
        <w:rPr>
          <w:rFonts w:ascii="Narkisim" w:hAnsi="Narkisim" w:cs="Narkisim"/>
          <w:b/>
          <w:bCs/>
          <w:rtl/>
        </w:rPr>
        <w:t>שו”ע</w:t>
      </w:r>
      <w:r w:rsidRPr="007119D6">
        <w:rPr>
          <w:rFonts w:ascii="Narkisim" w:hAnsi="Narkisim" w:cs="Narkisim"/>
          <w:rtl/>
        </w:rPr>
        <w:t xml:space="preserve"> (יז מג) דנוטלת [רק] עיקר כתובתה. וכדעת ה</w:t>
      </w:r>
      <w:r w:rsidRPr="007119D6">
        <w:rPr>
          <w:rFonts w:ascii="Narkisim" w:hAnsi="Narkisim" w:cs="Narkisim"/>
          <w:b/>
          <w:bCs/>
          <w:rtl/>
        </w:rPr>
        <w:t>רמב"ם</w:t>
      </w:r>
      <w:r w:rsidRPr="007119D6">
        <w:rPr>
          <w:rFonts w:ascii="Narkisim" w:hAnsi="Narkisim" w:cs="Narkisim"/>
          <w:rtl/>
        </w:rPr>
        <w:t xml:space="preserve"> </w:t>
      </w:r>
      <w:r w:rsidRPr="007119D6">
        <w:rPr>
          <w:rFonts w:ascii="Narkisim" w:hAnsi="Narkisim" w:cs="Narkisim"/>
          <w:szCs w:val="20"/>
          <w:rtl/>
        </w:rPr>
        <w:t>(אישות טז כו, הו' לעיל קטז., והרמב”ן כתובות פט.</w:t>
      </w:r>
      <w:r w:rsidRPr="007119D6">
        <w:rPr>
          <w:rFonts w:ascii="Narkisim" w:hAnsi="Narkisim" w:cs="Narkisim"/>
          <w:rtl/>
        </w:rPr>
        <w:t>) דדרשי' מדרש כתובה רק בעיקר הכתובה.</w:t>
      </w:r>
    </w:p>
    <w:p w14:paraId="14DEA8B1"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(יז קכט) הביא מה</w:t>
      </w:r>
      <w:r w:rsidRPr="007119D6">
        <w:rPr>
          <w:rFonts w:ascii="Narkisim" w:hAnsi="Narkisim"/>
          <w:b/>
          <w:bCs/>
          <w:rtl/>
        </w:rPr>
        <w:t>אחרונים</w:t>
      </w:r>
      <w:r w:rsidRPr="007119D6">
        <w:rPr>
          <w:rFonts w:ascii="Narkisim" w:hAnsi="Narkisim"/>
          <w:rtl/>
        </w:rPr>
        <w:t xml:space="preserve"> (רשד"ם רנג, ר"י מבית הלוי יז) דתלי בב' הטעמים דחזרו בי"ה [ע' תוס'], דכ"ז לטעם מדרש כתובה. אבל אי חזרו בהם משום ק"ו, א"כ מ"ש עיקר כתובה ממדרש כתובה.</w:t>
      </w:r>
    </w:p>
    <w:p w14:paraId="3CFA5C87"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גר"א</w:t>
      </w:r>
      <w:r w:rsidRPr="007119D6">
        <w:rPr>
          <w:rFonts w:ascii="Narkisim" w:hAnsi="Narkisim"/>
          <w:rtl/>
        </w:rPr>
        <w:t xml:space="preserve"> (שם קלו) ציין ד</w:t>
      </w:r>
      <w:r w:rsidRPr="007119D6">
        <w:rPr>
          <w:rFonts w:ascii="Narkisim" w:hAnsi="Narkisim"/>
          <w:b/>
          <w:bCs/>
          <w:rtl/>
        </w:rPr>
        <w:t>תוס'</w:t>
      </w:r>
      <w:r w:rsidRPr="007119D6">
        <w:rPr>
          <w:rFonts w:ascii="Narkisim" w:hAnsi="Narkisim"/>
          <w:rtl/>
        </w:rPr>
        <w:t xml:space="preserve"> בכ"מ (לעיל קטז. בסוה"ע ועוד) מבואר דנוטלת אף תוספת כתובה</w:t>
      </w:r>
      <w:r w:rsidRPr="007119D6">
        <w:rPr>
          <w:rStyle w:val="ac"/>
          <w:rFonts w:ascii="Narkisim" w:hAnsi="Narkisim"/>
          <w:rtl/>
        </w:rPr>
        <w:footnoteReference w:id="7931"/>
      </w:r>
      <w:r w:rsidRPr="007119D6">
        <w:rPr>
          <w:rFonts w:ascii="Narkisim" w:hAnsi="Narkisim"/>
          <w:rtl/>
        </w:rPr>
        <w:t>.</w:t>
      </w:r>
    </w:p>
    <w:p w14:paraId="6BBC72CB"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(כאן) מסתפקת האם הבנות נזונות מהנכסים ע"י עד א'</w:t>
      </w:r>
      <w:r w:rsidRPr="007119D6">
        <w:rPr>
          <w:rStyle w:val="ac"/>
          <w:rFonts w:ascii="Narkisim" w:hAnsi="Narkisim"/>
          <w:rtl/>
        </w:rPr>
        <w:footnoteReference w:id="7932"/>
      </w:r>
      <w:r w:rsidRPr="007119D6">
        <w:rPr>
          <w:rFonts w:ascii="Narkisim" w:hAnsi="Narkisim"/>
          <w:rtl/>
        </w:rPr>
        <w:t>. וה</w:t>
      </w:r>
      <w:r w:rsidRPr="007119D6">
        <w:rPr>
          <w:rFonts w:ascii="Narkisim" w:hAnsi="Narkisim"/>
          <w:b/>
          <w:bCs/>
          <w:rtl/>
        </w:rPr>
        <w:t>מפרשים</w:t>
      </w:r>
      <w:r w:rsidRPr="007119D6">
        <w:rPr>
          <w:rFonts w:ascii="Narkisim" w:hAnsi="Narkisim"/>
          <w:rtl/>
        </w:rPr>
        <w:t xml:space="preserve"> ביארו דהספק אי אף </w:t>
      </w:r>
      <w:r w:rsidRPr="007119D6">
        <w:rPr>
          <w:rFonts w:ascii="Narkisim" w:hAnsi="Narkisim"/>
          <w:rtl/>
        </w:rPr>
        <w:lastRenderedPageBreak/>
        <w:t>במזונות הבנות אמרי' תנאי כתובה ככתובה (ע' כתובות נג:)</w:t>
      </w:r>
      <w:r w:rsidRPr="007119D6">
        <w:rPr>
          <w:rStyle w:val="ac"/>
          <w:rFonts w:ascii="Narkisim" w:hAnsi="Narkisim"/>
          <w:rtl/>
        </w:rPr>
        <w:footnoteReference w:id="7933"/>
      </w:r>
      <w:r w:rsidRPr="007119D6">
        <w:rPr>
          <w:rFonts w:ascii="Narkisim" w:hAnsi="Narkisim"/>
          <w:rtl/>
        </w:rPr>
        <w:t>. וה</w:t>
      </w:r>
      <w:r w:rsidRPr="007119D6">
        <w:rPr>
          <w:rFonts w:ascii="Narkisim" w:hAnsi="Narkisim"/>
          <w:b/>
          <w:bCs/>
          <w:rtl/>
        </w:rPr>
        <w:t>פוסקים</w:t>
      </w:r>
      <w:r w:rsidRPr="007119D6">
        <w:rPr>
          <w:rFonts w:ascii="Narkisim" w:hAnsi="Narkisim"/>
          <w:rtl/>
        </w:rPr>
        <w:t xml:space="preserve"> השמיטו ספק זו</w:t>
      </w:r>
      <w:r w:rsidRPr="007119D6">
        <w:rPr>
          <w:rStyle w:val="ac"/>
          <w:rFonts w:ascii="Narkisim" w:hAnsi="Narkisim"/>
          <w:rtl/>
        </w:rPr>
        <w:footnoteReference w:id="7934"/>
      </w:r>
      <w:r w:rsidRPr="007119D6">
        <w:rPr>
          <w:rFonts w:ascii="Narkisim" w:hAnsi="Narkisim"/>
          <w:rtl/>
        </w:rPr>
        <w:t>.</w:t>
      </w:r>
    </w:p>
    <w:p w14:paraId="378CC816" w14:textId="77777777" w:rsidR="006C4368" w:rsidRPr="007119D6" w:rsidRDefault="006C4368" w:rsidP="006C4368">
      <w:pPr>
        <w:bidi/>
        <w:rPr>
          <w:rFonts w:ascii="Narkisim" w:hAnsi="Narkisim" w:cs="Narkisim"/>
        </w:rPr>
      </w:pPr>
      <w:r w:rsidRPr="007119D6">
        <w:rPr>
          <w:rFonts w:ascii="Narkisim" w:hAnsi="Narkisim" w:cs="Narkisim"/>
          <w:rtl/>
        </w:rPr>
        <w:t>וב</w:t>
      </w:r>
      <w:r w:rsidRPr="007119D6">
        <w:rPr>
          <w:rFonts w:ascii="Narkisim" w:hAnsi="Narkisim" w:cs="Narkisim"/>
          <w:b/>
          <w:bCs/>
          <w:rtl/>
        </w:rPr>
        <w:t>שו"ת הרשב"א</w:t>
      </w:r>
      <w:r w:rsidRPr="007119D6">
        <w:rPr>
          <w:rFonts w:ascii="Narkisim" w:hAnsi="Narkisim" w:cs="Narkisim"/>
          <w:rtl/>
        </w:rPr>
        <w:t xml:space="preserve"> (א אלף קעא, הו' בפתח”ת יז קס) כת' שהאומרת מת בעלי גובה</w:t>
      </w:r>
      <w:r w:rsidRPr="007119D6">
        <w:rPr>
          <w:rStyle w:val="ac"/>
          <w:rFonts w:ascii="Narkisim" w:hAnsi="Narkisim" w:cs="Narkisim"/>
          <w:rtl/>
        </w:rPr>
        <w:footnoteReference w:id="7935"/>
      </w:r>
      <w:r w:rsidRPr="007119D6">
        <w:rPr>
          <w:rFonts w:ascii="Narkisim" w:hAnsi="Narkisim" w:cs="Narkisim"/>
          <w:rtl/>
        </w:rPr>
        <w:t xml:space="preserve"> אף מלקוחות</w:t>
      </w:r>
      <w:r w:rsidRPr="007119D6">
        <w:rPr>
          <w:rStyle w:val="ac"/>
          <w:rFonts w:ascii="Narkisim" w:hAnsi="Narkisim" w:cs="Narkisim"/>
          <w:rtl/>
        </w:rPr>
        <w:footnoteReference w:id="7936"/>
      </w:r>
      <w:r w:rsidRPr="007119D6">
        <w:rPr>
          <w:rFonts w:ascii="Narkisim" w:hAnsi="Narkisim" w:cs="Narkisim"/>
          <w:rtl/>
        </w:rPr>
        <w:t>.</w:t>
      </w:r>
    </w:p>
    <w:p w14:paraId="2EE4D507" w14:textId="77777777" w:rsidR="006C4368" w:rsidRPr="007119D6" w:rsidRDefault="006C4368" w:rsidP="006C4368">
      <w:pPr>
        <w:pStyle w:val="aa"/>
        <w:bidi/>
        <w:rPr>
          <w:rFonts w:ascii="Narkisim" w:hAnsi="Narkisim"/>
        </w:rPr>
      </w:pPr>
      <w:r w:rsidRPr="007119D6">
        <w:rPr>
          <w:rFonts w:ascii="Narkisim" w:hAnsi="Narkisim"/>
          <w:u w:val="single"/>
          <w:rtl/>
        </w:rPr>
        <w:t>תוד"ה וחזרו</w:t>
      </w:r>
      <w:r w:rsidRPr="007119D6">
        <w:rPr>
          <w:rFonts w:ascii="Narkisim" w:hAnsi="Narkisim"/>
          <w:rtl/>
        </w:rPr>
        <w:t>. ואי משום כתובה, לא ניתנה כתובה ליגבות מחיים. פ</w:t>
      </w:r>
      <w:r w:rsidRPr="007119D6">
        <w:rPr>
          <w:rFonts w:ascii="Narkisim" w:hAnsi="Narkisim"/>
          <w:b/>
          <w:bCs/>
          <w:rtl/>
        </w:rPr>
        <w:t>רש"י</w:t>
      </w:r>
      <w:r w:rsidRPr="007119D6">
        <w:rPr>
          <w:rFonts w:ascii="Narkisim" w:hAnsi="Narkisim"/>
          <w:rtl/>
        </w:rPr>
        <w:t xml:space="preserve"> (כתובות פא.) דאף היבם עומד, והייתי מצפה לכונסה. ובי”ש דרשי מדרש כתובה, ושומרת יבם אינה מותרת לינשא לאחר, ומש”ה אין לה כתובתה</w:t>
      </w:r>
      <w:r w:rsidRPr="007119D6">
        <w:rPr>
          <w:rStyle w:val="ac"/>
          <w:rFonts w:ascii="Narkisim" w:hAnsi="Narkisim"/>
          <w:rtl/>
        </w:rPr>
        <w:footnoteReference w:id="7937"/>
      </w:r>
      <w:r w:rsidRPr="007119D6">
        <w:rPr>
          <w:rFonts w:ascii="Narkisim" w:hAnsi="Narkisim"/>
          <w:rtl/>
        </w:rPr>
        <w:t>.</w:t>
      </w:r>
    </w:p>
    <w:p w14:paraId="1BCD29A3" w14:textId="77777777" w:rsidR="006C4368" w:rsidRPr="007119D6" w:rsidRDefault="006C4368" w:rsidP="006C4368">
      <w:pPr>
        <w:pStyle w:val="a8"/>
        <w:bidi/>
        <w:rPr>
          <w:rFonts w:ascii="Narkisim" w:hAnsi="Narkisim"/>
        </w:rPr>
      </w:pPr>
      <w:r w:rsidRPr="007119D6">
        <w:rPr>
          <w:rFonts w:ascii="Narkisim" w:hAnsi="Narkisim"/>
          <w:rtl/>
        </w:rPr>
        <w:t>ועד"ז דנו ה</w:t>
      </w:r>
      <w:r w:rsidRPr="007119D6">
        <w:rPr>
          <w:rFonts w:ascii="Narkisim" w:hAnsi="Narkisim"/>
          <w:b/>
          <w:bCs/>
          <w:rtl/>
        </w:rPr>
        <w:t>ראשונים</w:t>
      </w:r>
      <w:r w:rsidRPr="007119D6">
        <w:rPr>
          <w:rFonts w:ascii="Narkisim" w:hAnsi="Narkisim"/>
          <w:rtl/>
        </w:rPr>
        <w:t xml:space="preserve"> (רמב”ן ושא”ר לעיל סה., והרא”ש כתובות ד ג) דקטלנית אינה גובה כתובתה, דאסורה לינשא לאחר</w:t>
      </w:r>
      <w:r w:rsidRPr="007119D6">
        <w:rPr>
          <w:rStyle w:val="ac"/>
          <w:rFonts w:ascii="Narkisim" w:hAnsi="Narkisim"/>
          <w:rtl/>
        </w:rPr>
        <w:footnoteReference w:id="7938"/>
      </w:r>
      <w:r w:rsidRPr="007119D6">
        <w:rPr>
          <w:rFonts w:ascii="Narkisim" w:hAnsi="Narkisim"/>
          <w:rtl/>
        </w:rPr>
        <w:t xml:space="preserve"> [ואף דודאי מת בעלה והסתיים האישות. דמ”מ אינה רשאית לינשא לאחר].</w:t>
      </w:r>
    </w:p>
    <w:p w14:paraId="28C31F9E" w14:textId="77777777" w:rsidR="006C4368" w:rsidRPr="007119D6" w:rsidRDefault="006C4368" w:rsidP="006C4368">
      <w:pPr>
        <w:bidi/>
        <w:rPr>
          <w:rFonts w:ascii="Narkisim" w:hAnsi="Narkisim" w:cs="Narkisim"/>
        </w:rPr>
      </w:pPr>
      <w:r w:rsidRPr="007119D6">
        <w:rPr>
          <w:rFonts w:ascii="Narkisim" w:hAnsi="Narkisim" w:cs="Narkisim"/>
          <w:u w:val="single"/>
          <w:rtl/>
        </w:rPr>
        <w:t>בא"ד וי”ל דבי”ה לא חזרו מטעם מדרש כתובה אלא מטעם ק”ו</w:t>
      </w:r>
      <w:r w:rsidRPr="007119D6">
        <w:rPr>
          <w:rFonts w:ascii="Narkisim" w:hAnsi="Narkisim" w:cs="Narkisim"/>
          <w:rtl/>
        </w:rPr>
        <w:t xml:space="preserve">. להך תי' אף למסקנא לא ילפי' מדרש כתובה. אך </w:t>
      </w:r>
      <w:r w:rsidRPr="007119D6">
        <w:rPr>
          <w:rFonts w:ascii="Narkisim" w:hAnsi="Narkisim" w:cs="Narkisim"/>
          <w:b/>
          <w:bCs/>
          <w:rtl/>
        </w:rPr>
        <w:t>תוס'</w:t>
      </w:r>
      <w:r w:rsidRPr="007119D6">
        <w:rPr>
          <w:rFonts w:ascii="Narkisim" w:hAnsi="Narkisim" w:cs="Narkisim"/>
          <w:rtl/>
        </w:rPr>
        <w:t xml:space="preserve"> (כתובות נג.) הק' מכמה סוגיות דאזלי' בתר לשונות השטר, וכי כל הנך דלא כבי"ה, דבי"ש במקום בי"ה אינו משנה. ותוס' כת' דצ"ל דהלכה כבי"ש בהא דדרשי' מדרש כתובה</w:t>
      </w:r>
      <w:r w:rsidRPr="007119D6">
        <w:rPr>
          <w:rStyle w:val="ac"/>
          <w:rFonts w:ascii="Narkisim" w:hAnsi="Narkisim" w:cs="Narkisim"/>
          <w:rtl/>
        </w:rPr>
        <w:footnoteReference w:id="7939"/>
      </w:r>
      <w:r w:rsidRPr="007119D6">
        <w:rPr>
          <w:rFonts w:ascii="Narkisim" w:hAnsi="Narkisim" w:cs="Narkisim"/>
          <w:rtl/>
        </w:rPr>
        <w:t>.</w:t>
      </w:r>
    </w:p>
    <w:p w14:paraId="60A0BC39"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(כתובות נג.) תי' עוד א"נ בי"ה ל"ל מדרש כתובה לגרע כחה, אך לייפות כחה מודו</w:t>
      </w:r>
      <w:r w:rsidRPr="007119D6">
        <w:rPr>
          <w:rStyle w:val="ac"/>
          <w:rFonts w:ascii="Narkisim" w:hAnsi="Narkisim"/>
          <w:rtl/>
        </w:rPr>
        <w:footnoteReference w:id="7940"/>
      </w:r>
      <w:r w:rsidRPr="007119D6">
        <w:rPr>
          <w:rFonts w:ascii="Narkisim" w:hAnsi="Narkisim"/>
          <w:rtl/>
        </w:rPr>
        <w:t>. ולהכי חזרו בי"ה להודות לבי"ש, דהכא הוה ליפות כחו. ומיהו בי"ש ס"ל מדרש כתובה אף לגרע כחה</w:t>
      </w:r>
      <w:r w:rsidRPr="007119D6">
        <w:rPr>
          <w:rStyle w:val="ac"/>
          <w:rFonts w:ascii="Narkisim" w:hAnsi="Narkisim"/>
          <w:rtl/>
        </w:rPr>
        <w:footnoteReference w:id="7941"/>
      </w:r>
      <w:r w:rsidRPr="007119D6">
        <w:rPr>
          <w:rFonts w:ascii="Narkisim" w:hAnsi="Narkisim"/>
          <w:rtl/>
        </w:rPr>
        <w:t xml:space="preserve">. </w:t>
      </w:r>
      <w:r w:rsidRPr="007119D6">
        <w:rPr>
          <w:rFonts w:ascii="Narkisim" w:hAnsi="Narkisim"/>
          <w:szCs w:val="20"/>
          <w:rtl/>
        </w:rPr>
        <w:t>אך ה</w:t>
      </w:r>
      <w:r w:rsidRPr="007119D6">
        <w:rPr>
          <w:rFonts w:ascii="Narkisim" w:hAnsi="Narkisim"/>
          <w:b/>
          <w:bCs/>
          <w:szCs w:val="20"/>
          <w:rtl/>
        </w:rPr>
        <w:t>תוס' רא"ש</w:t>
      </w:r>
      <w:r w:rsidRPr="007119D6">
        <w:rPr>
          <w:rFonts w:ascii="Narkisim" w:hAnsi="Narkisim"/>
          <w:szCs w:val="20"/>
          <w:rtl/>
        </w:rPr>
        <w:t xml:space="preserve"> דחה דמנ"ל לתלמודא דבי"ש אית להו מדרש כתובה אף להרע כחה, דדברי בי"ש אשכחן רק הכא דהוי יפוי כחה. [וכקו' התוס' דידן בסו"ד]</w:t>
      </w:r>
      <w:r w:rsidRPr="007119D6">
        <w:rPr>
          <w:rFonts w:ascii="Narkisim" w:hAnsi="Narkisim"/>
          <w:rtl/>
        </w:rPr>
        <w:t>.</w:t>
      </w:r>
    </w:p>
    <w:p w14:paraId="1161D005" w14:textId="77777777" w:rsidR="006C4368" w:rsidRPr="007119D6" w:rsidRDefault="006C4368" w:rsidP="006C4368">
      <w:pPr>
        <w:pStyle w:val="aa"/>
        <w:bidi/>
        <w:rPr>
          <w:rFonts w:ascii="Narkisim" w:hAnsi="Narkisim"/>
        </w:rPr>
      </w:pPr>
      <w:r w:rsidRPr="007119D6">
        <w:rPr>
          <w:rFonts w:ascii="Narkisim" w:hAnsi="Narkisim"/>
          <w:u w:val="single"/>
          <w:rtl/>
        </w:rPr>
        <w:t>בא”ד א”נ התם דחויא בעלמא וכו' ולמסקנא וכו'</w:t>
      </w:r>
      <w:r w:rsidRPr="007119D6">
        <w:rPr>
          <w:rFonts w:ascii="Narkisim" w:hAnsi="Narkisim"/>
          <w:rtl/>
        </w:rPr>
        <w:t xml:space="preserve">. וכ”כ </w:t>
      </w:r>
      <w:r w:rsidRPr="007119D6">
        <w:rPr>
          <w:rFonts w:ascii="Narkisim" w:hAnsi="Narkisim"/>
          <w:b/>
          <w:bCs/>
          <w:rtl/>
        </w:rPr>
        <w:t>תוס'</w:t>
      </w:r>
      <w:r w:rsidRPr="007119D6">
        <w:rPr>
          <w:rFonts w:ascii="Narkisim" w:hAnsi="Narkisim"/>
          <w:rtl/>
        </w:rPr>
        <w:t xml:space="preserve"> (כתובות פא.) דלמסקנא שם אין ראיה. [ואף דלא מצאנו דהגמ' חזרה בה בזה].</w:t>
      </w:r>
    </w:p>
    <w:p w14:paraId="70760636" w14:textId="77777777" w:rsidR="006C4368" w:rsidRPr="007119D6" w:rsidRDefault="006C4368" w:rsidP="006C4368">
      <w:pPr>
        <w:pStyle w:val="aa"/>
        <w:bidi/>
        <w:rPr>
          <w:rFonts w:ascii="Narkisim" w:hAnsi="Narkisim"/>
        </w:rPr>
      </w:pPr>
      <w:r w:rsidRPr="007119D6">
        <w:rPr>
          <w:rFonts w:ascii="Narkisim" w:hAnsi="Narkisim"/>
          <w:u w:val="single"/>
          <w:rtl/>
        </w:rPr>
        <w:t>בא"ד וי"מ וכו'</w:t>
      </w:r>
      <w:r w:rsidRPr="007119D6">
        <w:rPr>
          <w:rFonts w:ascii="Narkisim" w:hAnsi="Narkisim"/>
          <w:rtl/>
        </w:rPr>
        <w:t>. ועד"ז כת' ה</w:t>
      </w:r>
      <w:r w:rsidRPr="007119D6">
        <w:rPr>
          <w:rFonts w:ascii="Narkisim" w:hAnsi="Narkisim"/>
          <w:b/>
          <w:bCs/>
          <w:rtl/>
        </w:rPr>
        <w:t>רשב"א</w:t>
      </w:r>
      <w:r w:rsidRPr="007119D6">
        <w:rPr>
          <w:rFonts w:ascii="Narkisim" w:hAnsi="Narkisim"/>
          <w:rtl/>
        </w:rPr>
        <w:t xml:space="preserve"> (כתובות פא.) בשם ר"ת דבסוגיין מכתב כתיבה בהדיא, שכך כתב לה לכשתנשאי לאחר תטלי מה שכתוב ליכי. דכל דשרינן לה לאינסובי יהבינן לה כתובה, ולאו משום מדרש כתובה. אבל שאר מילי דלא כתב לה בפירוש עדיין הוא מחלוקת, דבי"ש דרשי ליה ובי"ה לא דרשי ליה</w:t>
      </w:r>
      <w:r w:rsidRPr="007119D6">
        <w:rPr>
          <w:rStyle w:val="ac"/>
          <w:rFonts w:ascii="Narkisim" w:hAnsi="Narkisim"/>
          <w:rtl/>
        </w:rPr>
        <w:footnoteReference w:id="7942"/>
      </w:r>
      <w:r w:rsidRPr="007119D6">
        <w:rPr>
          <w:rFonts w:ascii="Narkisim" w:hAnsi="Narkisim"/>
          <w:rtl/>
        </w:rPr>
        <w:t>.</w:t>
      </w:r>
    </w:p>
    <w:p w14:paraId="7AD940DF" w14:textId="77777777" w:rsidR="006C4368" w:rsidRPr="007119D6" w:rsidRDefault="006C4368" w:rsidP="006C4368">
      <w:pPr>
        <w:bidi/>
        <w:rPr>
          <w:rFonts w:ascii="Narkisim" w:hAnsi="Narkisim" w:cs="Narkisim"/>
        </w:rPr>
      </w:pPr>
      <w:r w:rsidRPr="007119D6">
        <w:rPr>
          <w:rFonts w:ascii="Narkisim" w:hAnsi="Narkisim" w:cs="Narkisim"/>
          <w:u w:val="single"/>
          <w:rtl/>
        </w:rPr>
        <w:t>תוד"ה בית הלל</w:t>
      </w:r>
      <w:r w:rsidRPr="007119D6">
        <w:rPr>
          <w:rFonts w:ascii="Narkisim" w:hAnsi="Narkisim" w:cs="Narkisim"/>
          <w:rtl/>
        </w:rPr>
        <w:t>. ותימה וכי נחלקו בי"ה על הלל רבן</w:t>
      </w:r>
      <w:r w:rsidRPr="007119D6">
        <w:rPr>
          <w:rStyle w:val="ac"/>
          <w:rFonts w:ascii="Narkisim" w:hAnsi="Narkisim" w:cs="Narkisim"/>
          <w:rtl/>
        </w:rPr>
        <w:footnoteReference w:id="7943"/>
      </w:r>
      <w:r w:rsidRPr="007119D6">
        <w:rPr>
          <w:rFonts w:ascii="Narkisim" w:hAnsi="Narkisim" w:cs="Narkisim"/>
          <w:rtl/>
        </w:rPr>
        <w:t xml:space="preserve"> שדורש מדרש כתובה דקאמר (ב"מ קד.) הלל היה דורש לשון הדיוט וכו'</w:t>
      </w:r>
      <w:r w:rsidRPr="007119D6">
        <w:rPr>
          <w:rStyle w:val="ac"/>
          <w:rFonts w:ascii="Narkisim" w:hAnsi="Narkisim" w:cs="Narkisim"/>
          <w:rtl/>
        </w:rPr>
        <w:footnoteReference w:id="7944"/>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(כתובות נג.) כת' דלצד דבי"ה חזרו בהם ניחא</w:t>
      </w:r>
      <w:r w:rsidRPr="007119D6">
        <w:rPr>
          <w:rStyle w:val="ac"/>
          <w:rFonts w:ascii="Narkisim" w:hAnsi="Narkisim" w:cs="Narkisim"/>
          <w:rtl/>
        </w:rPr>
        <w:footnoteReference w:id="7945"/>
      </w:r>
      <w:r w:rsidRPr="007119D6">
        <w:rPr>
          <w:rFonts w:ascii="Narkisim" w:hAnsi="Narkisim" w:cs="Narkisim"/>
          <w:rtl/>
        </w:rPr>
        <w:t>.</w:t>
      </w:r>
    </w:p>
    <w:p w14:paraId="7B9AA391" w14:textId="77777777" w:rsidR="006C4368" w:rsidRPr="007119D6" w:rsidRDefault="006C4368" w:rsidP="006C4368">
      <w:pPr>
        <w:pStyle w:val="a7"/>
        <w:bidi/>
        <w:rPr>
          <w:rFonts w:ascii="Narkisim" w:hAnsi="Narkisim"/>
        </w:rPr>
      </w:pPr>
      <w:r w:rsidRPr="007119D6">
        <w:rPr>
          <w:rFonts w:ascii="Narkisim" w:hAnsi="Narkisim"/>
          <w:rtl/>
        </w:rPr>
        <w:lastRenderedPageBreak/>
        <w:t>ו</w:t>
      </w:r>
      <w:r w:rsidRPr="007119D6">
        <w:rPr>
          <w:rFonts w:ascii="Narkisim" w:hAnsi="Narkisim"/>
          <w:b/>
          <w:bCs/>
          <w:rtl/>
        </w:rPr>
        <w:t>תוס</w:t>
      </w:r>
      <w:r w:rsidRPr="007119D6">
        <w:rPr>
          <w:rFonts w:ascii="Narkisim" w:hAnsi="Narkisim"/>
          <w:rtl/>
        </w:rPr>
        <w:t>' (שם בע"ב) כת' דשמא אע”ג דבית הלל הוה תלמידי הלל פליגי עלה. א”נ כי לית להו מדרש כתובה לגרע כחו, אלא לייפות כחו</w:t>
      </w:r>
      <w:r w:rsidRPr="007119D6">
        <w:rPr>
          <w:rStyle w:val="ac"/>
          <w:rFonts w:ascii="Narkisim" w:hAnsi="Narkisim"/>
          <w:rtl/>
        </w:rPr>
        <w:footnoteReference w:id="7946"/>
      </w:r>
      <w:r w:rsidRPr="007119D6">
        <w:rPr>
          <w:rFonts w:ascii="Narkisim" w:hAnsi="Narkisim"/>
          <w:rtl/>
        </w:rPr>
        <w:t>.</w:t>
      </w:r>
    </w:p>
    <w:p w14:paraId="7681FBEA" w14:textId="77777777" w:rsidR="006C4368" w:rsidRPr="007119D6" w:rsidRDefault="006C4368" w:rsidP="006C4368">
      <w:pPr>
        <w:bidi/>
        <w:rPr>
          <w:rFonts w:ascii="Narkisim" w:hAnsi="Narkisim" w:cs="Narkisim"/>
        </w:rPr>
      </w:pPr>
      <w:r w:rsidRPr="007119D6">
        <w:rPr>
          <w:rFonts w:ascii="Narkisim" w:hAnsi="Narkisim" w:cs="Narkisim"/>
          <w:u w:val="single"/>
          <w:rtl/>
        </w:rPr>
        <w:t>אמר רב חסדא נתייבמה</w:t>
      </w:r>
      <w:r w:rsidRPr="007119D6">
        <w:rPr>
          <w:rStyle w:val="ac"/>
          <w:rFonts w:ascii="Narkisim" w:hAnsi="Narkisim" w:cs="Narkisim"/>
          <w:u w:val="single"/>
          <w:rtl/>
        </w:rPr>
        <w:footnoteReference w:id="7947"/>
      </w:r>
      <w:r w:rsidRPr="007119D6">
        <w:rPr>
          <w:rFonts w:ascii="Narkisim" w:hAnsi="Narkisim" w:cs="Narkisim"/>
          <w:u w:val="single"/>
          <w:rtl/>
        </w:rPr>
        <w:t xml:space="preserve"> יבמה נכנס לנחלה וכו' מדרש תורה, יקום ע”ש אחיו אמר רחמנא</w:t>
      </w:r>
      <w:r w:rsidRPr="007119D6">
        <w:rPr>
          <w:rStyle w:val="ac"/>
          <w:rFonts w:ascii="Narkisim" w:hAnsi="Narkisim" w:cs="Narkisim"/>
          <w:u w:val="single"/>
          <w:rtl/>
        </w:rPr>
        <w:footnoteReference w:id="7948"/>
      </w:r>
      <w:r w:rsidRPr="007119D6">
        <w:rPr>
          <w:rFonts w:ascii="Narkisim" w:hAnsi="Narkisim" w:cs="Narkisim"/>
          <w:u w:val="single"/>
          <w:rtl/>
        </w:rPr>
        <w:t xml:space="preserve"> והרי קם</w:t>
      </w:r>
      <w:r w:rsidRPr="007119D6">
        <w:rPr>
          <w:rFonts w:ascii="Narkisim" w:hAnsi="Narkisim" w:cs="Narkisim"/>
          <w:rtl/>
        </w:rPr>
        <w:t>. לכאורה ל"ש בזה גדר 'תנאי', וכקו' הקובה"ע, דאילו הבעל עדיין קיים לא הוה יבום כלל. וע"פ דברי הקובה"ע ניחא דהוה מגדרי נאמנות, דירושת היבם הוה תולדה מהיבום.</w:t>
      </w:r>
    </w:p>
    <w:p w14:paraId="73AA4527" w14:textId="77777777" w:rsidR="006C4368" w:rsidRPr="007119D6" w:rsidRDefault="006C4368" w:rsidP="006C4368">
      <w:pPr>
        <w:pStyle w:val="a7"/>
        <w:bidi/>
        <w:rPr>
          <w:rFonts w:ascii="Narkisim" w:hAnsi="Narkisim"/>
        </w:rPr>
      </w:pPr>
      <w:r w:rsidRPr="007119D6">
        <w:rPr>
          <w:rFonts w:ascii="Narkisim" w:hAnsi="Narkisim"/>
          <w:rtl/>
        </w:rPr>
        <w:t>ועוד שמעתי לפרש דילפי' מקרא דכל נאמנות דמהני ליבום, נאמנות זו מהני לנכסים.</w:t>
      </w:r>
    </w:p>
    <w:p w14:paraId="662BE0D4"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שיירי קרבן</w:t>
      </w:r>
      <w:r w:rsidRPr="007119D6">
        <w:rPr>
          <w:rFonts w:ascii="Narkisim" w:hAnsi="Narkisim" w:cs="Narkisim"/>
          <w:rtl/>
        </w:rPr>
        <w:t xml:space="preserve"> (לירושלמי כאן) הק' לצד דהיתר עד א' הוה משום אפקעינהו לקידושין [ע' מש"כ לעיל פח.], א”כ האיך יירש היבם עפ”ז. ובשלמא גובה כתובתה משום מדרש כתובה, דאיהו חייב עצמו לתת לה כתובתה כשתנשא לאחר, וכיון דחכמים מתירין לה להנשא אף היא נוטלת כתובה דכל תנאי שבממון קיים. אבל ירושת היבם [ואף דממ"נ מותרת לו, דאם מת שפיר קמייבם ואם לא מת הא אפקעינהו לקידושין], אבל אילו אפקעינהו לקידושין אין ליבם זכות בנכסים כלל.  </w:t>
      </w:r>
    </w:p>
    <w:p w14:paraId="3C5D0201"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שיירי קרבן</w:t>
      </w:r>
      <w:r w:rsidRPr="007119D6">
        <w:rPr>
          <w:rFonts w:ascii="Narkisim" w:hAnsi="Narkisim"/>
          <w:rtl/>
        </w:rPr>
        <w:t xml:space="preserve"> תי' [ע"פ הצד] דעיקר הנאמנות משום דדייקא ומינסבא, ויש כח ביד חכמים לעקור דבר מן התורה בדבר הדומה שהגון להאמין</w:t>
      </w:r>
      <w:r w:rsidRPr="007119D6">
        <w:rPr>
          <w:rStyle w:val="ac"/>
          <w:rFonts w:ascii="Narkisim" w:hAnsi="Narkisim"/>
          <w:rtl/>
        </w:rPr>
        <w:footnoteReference w:id="7949"/>
      </w:r>
      <w:r w:rsidRPr="007119D6">
        <w:rPr>
          <w:rFonts w:ascii="Narkisim" w:hAnsi="Narkisim"/>
          <w:rtl/>
        </w:rPr>
        <w:t xml:space="preserve"> כמ"ש </w:t>
      </w:r>
      <w:r w:rsidRPr="007119D6">
        <w:rPr>
          <w:rFonts w:ascii="Narkisim" w:hAnsi="Narkisim"/>
          <w:b/>
          <w:bCs/>
          <w:rtl/>
        </w:rPr>
        <w:t>תוס'</w:t>
      </w:r>
      <w:r w:rsidRPr="007119D6">
        <w:rPr>
          <w:rFonts w:ascii="Narkisim" w:hAnsi="Narkisim"/>
          <w:rtl/>
        </w:rPr>
        <w:t xml:space="preserve"> (לעיל פח. ד"ה מתוך). וצ"ע לדעת הראשונים דהוה משום אפקעינהו</w:t>
      </w:r>
      <w:r w:rsidRPr="007119D6">
        <w:rPr>
          <w:rStyle w:val="ac"/>
          <w:rFonts w:ascii="Narkisim" w:hAnsi="Narkisim"/>
          <w:rtl/>
        </w:rPr>
        <w:footnoteReference w:id="7950"/>
      </w:r>
      <w:r w:rsidRPr="007119D6">
        <w:rPr>
          <w:rFonts w:ascii="Narkisim" w:hAnsi="Narkisim"/>
          <w:rtl/>
        </w:rPr>
        <w:t>. ויש שדנו דכוונת רב חסדא דמדרבנן זוכה בנכסים, כיון דדין ירושת יבם מדאורייתא תלי בדיני היבום</w:t>
      </w:r>
      <w:r w:rsidRPr="007119D6">
        <w:rPr>
          <w:rStyle w:val="ac"/>
          <w:rFonts w:ascii="Narkisim" w:hAnsi="Narkisim"/>
          <w:rtl/>
        </w:rPr>
        <w:footnoteReference w:id="7951"/>
      </w:r>
      <w:r w:rsidRPr="007119D6">
        <w:rPr>
          <w:rFonts w:ascii="Narkisim" w:hAnsi="Narkisim"/>
          <w:rtl/>
        </w:rPr>
        <w:t>. וכיון דחכמים תקנו שמתייבמת, ממילא זוכה בנכסים</w:t>
      </w:r>
      <w:r w:rsidRPr="007119D6">
        <w:rPr>
          <w:rStyle w:val="ac"/>
          <w:rFonts w:ascii="Narkisim" w:hAnsi="Narkisim"/>
          <w:rtl/>
        </w:rPr>
        <w:footnoteReference w:id="7952"/>
      </w:r>
      <w:r w:rsidRPr="007119D6">
        <w:rPr>
          <w:rFonts w:ascii="Narkisim" w:hAnsi="Narkisim"/>
          <w:rtl/>
        </w:rPr>
        <w:t>.</w:t>
      </w:r>
    </w:p>
    <w:p w14:paraId="5722A3CC" w14:textId="77777777" w:rsidR="006C4368" w:rsidRPr="007119D6" w:rsidRDefault="006C4368" w:rsidP="006C4368">
      <w:pPr>
        <w:bidi/>
        <w:rPr>
          <w:rFonts w:ascii="Narkisim" w:hAnsi="Narkisim" w:cs="Narkisim"/>
        </w:rPr>
      </w:pPr>
      <w:r w:rsidRPr="007119D6">
        <w:rPr>
          <w:rFonts w:ascii="Narkisim" w:hAnsi="Narkisim" w:cs="Narkisim"/>
          <w:u w:val="single"/>
          <w:rtl/>
        </w:rPr>
        <w:t>אמר רב נחמן וכו' תנו לי כתובתי, אף להנשא אין מתירין אותה, מ"ט אדעתא דכתובה אתאי</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דאפוקי ממון צריך עדים. וצ"ב דלנשא ל"צ עדות, ואמאי הוה טעם שלא להתירה לינשא.</w:t>
      </w:r>
    </w:p>
    <w:p w14:paraId="66F2B53B"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(מהרח"ש קו' עגונות) כת' דבפשוטו הטעם דהיכא דתובעת כתובתה מיחזי שמשקרת מחמת חימוד ממון</w:t>
      </w:r>
      <w:r w:rsidRPr="007119D6">
        <w:rPr>
          <w:rStyle w:val="ac"/>
          <w:rFonts w:ascii="Narkisim" w:hAnsi="Narkisim"/>
          <w:rtl/>
        </w:rPr>
        <w:footnoteReference w:id="7953"/>
      </w:r>
      <w:r w:rsidRPr="007119D6">
        <w:rPr>
          <w:rFonts w:ascii="Narkisim" w:hAnsi="Narkisim"/>
          <w:rtl/>
        </w:rPr>
        <w:t>. ולא הקילו באשה עצמה היכא דיש צד נוגע וחשש משקר [ע”ע בסמוך].</w:t>
      </w:r>
    </w:p>
    <w:p w14:paraId="081F7666"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(אישות טז לא, ושו”ע יז מג) דכיון שבאה על עסק כתובה הר”ז בחזקת שלא מת. ואין דעתה להנשא</w:t>
      </w:r>
      <w:r w:rsidRPr="007119D6">
        <w:rPr>
          <w:rStyle w:val="ac"/>
          <w:rFonts w:ascii="Narkisim" w:hAnsi="Narkisim"/>
          <w:rtl/>
        </w:rPr>
        <w:footnoteReference w:id="7954"/>
      </w:r>
      <w:r w:rsidRPr="007119D6">
        <w:rPr>
          <w:rFonts w:ascii="Narkisim" w:hAnsi="Narkisim"/>
          <w:rtl/>
        </w:rPr>
        <w:t xml:space="preserve"> אלא ליטול כתובה מחיים בלבד.</w:t>
      </w:r>
    </w:p>
    <w:p w14:paraId="3A0DD1FD"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ביאר [הטעם דאסורה לינשא] דהא דנאמנת לינשא משום עיגונא, היינו היכא </w:t>
      </w:r>
      <w:r w:rsidRPr="007119D6">
        <w:rPr>
          <w:rFonts w:ascii="Narkisim" w:hAnsi="Narkisim"/>
          <w:rtl/>
        </w:rPr>
        <w:lastRenderedPageBreak/>
        <w:t>דעיקר דעתא משום נישואין, וממילא גובה כתובתה משום מדרש כתובה. אבל בבאה משום כתובה, ליכא עיגונא בעיקר עדות</w:t>
      </w:r>
      <w:r w:rsidRPr="007119D6">
        <w:rPr>
          <w:rStyle w:val="ac"/>
          <w:rFonts w:ascii="Narkisim" w:hAnsi="Narkisim"/>
          <w:rtl/>
        </w:rPr>
        <w:footnoteReference w:id="7955"/>
      </w:r>
      <w:r w:rsidRPr="007119D6">
        <w:rPr>
          <w:rFonts w:ascii="Narkisim" w:hAnsi="Narkisim"/>
          <w:rtl/>
        </w:rPr>
        <w:t>. ועוד פי' דעיקר הנאמנות משום חומרא דהחמרת בסופה, אבל זו שעיקר כוונתה משום כתובה, אולי לא תנשא ולא מקלקלה.</w:t>
      </w:r>
    </w:p>
    <w:p w14:paraId="3F3DB3D2"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ז) כת' דמשמע מדברי רש"י דהיכא שעיקר העדות היא להתיר, אז ממילא נותנין לה כתובתה</w:t>
      </w:r>
      <w:r w:rsidRPr="007119D6">
        <w:rPr>
          <w:rStyle w:val="ac"/>
          <w:rFonts w:ascii="Narkisim" w:hAnsi="Narkisim"/>
          <w:rtl/>
        </w:rPr>
        <w:footnoteReference w:id="7956"/>
      </w:r>
      <w:r w:rsidRPr="007119D6">
        <w:rPr>
          <w:rFonts w:ascii="Narkisim" w:hAnsi="Narkisim"/>
          <w:rtl/>
        </w:rPr>
        <w:t>. אבל כשאומרת תנו לי כתובתי, הו"ל כעיקר העדות לממון. ובממון בעי סהדי דע"פ שנים עדים יקום דבר.</w:t>
      </w:r>
    </w:p>
    <w:p w14:paraId="3D28621F" w14:textId="77777777" w:rsidR="006C4368" w:rsidRPr="007119D6" w:rsidRDefault="006C4368" w:rsidP="006C4368">
      <w:pPr>
        <w:pStyle w:val="a8"/>
        <w:bidi/>
        <w:rPr>
          <w:rFonts w:ascii="Narkisim" w:hAnsi="Narkisim"/>
        </w:rPr>
      </w:pPr>
      <w:r w:rsidRPr="007119D6">
        <w:rPr>
          <w:rFonts w:ascii="Narkisim" w:hAnsi="Narkisim"/>
          <w:rtl/>
        </w:rPr>
        <w:t>והש”ש כת' עד”ז היכא דהיורש מעיד על מיתת הבעל, תלי איך בא לפנינו. דהיכא שבא לבי”ד ואומר מת אבי ותנו לי ירושתי הוי נמי עיקרו לממון, ובעי העדה ע"פ שנים עדים. אבל היכא דמעיד על המיתה סתם נאמן</w:t>
      </w:r>
      <w:r w:rsidRPr="007119D6">
        <w:rPr>
          <w:rStyle w:val="ac"/>
          <w:rFonts w:ascii="Narkisim" w:hAnsi="Narkisim"/>
          <w:rtl/>
        </w:rPr>
        <w:footnoteReference w:id="7957"/>
      </w:r>
      <w:r w:rsidRPr="007119D6">
        <w:rPr>
          <w:rFonts w:ascii="Narkisim" w:hAnsi="Narkisim"/>
          <w:rtl/>
        </w:rPr>
        <w:t xml:space="preserve"> [ע”ע בסמוך]. משא"כ הנוטל שכר להעיד [שדנו הפוסקים] אף כשאומר שיתנו לו שכרו, מ"מ עדותו לא הוה על ממון כלל. ולפרש"י לא חיישינן שמשקר אפי' היכא דהזכיר את הממון.</w:t>
      </w:r>
    </w:p>
    <w:p w14:paraId="51490924"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ה</w:t>
      </w:r>
      <w:r w:rsidRPr="007119D6">
        <w:rPr>
          <w:rFonts w:ascii="Narkisim" w:hAnsi="Narkisim" w:cs="Narkisim"/>
          <w:b/>
          <w:bCs/>
          <w:rtl/>
        </w:rPr>
        <w:t>ריטב"א</w:t>
      </w:r>
      <w:r w:rsidRPr="007119D6">
        <w:rPr>
          <w:rFonts w:ascii="Narkisim" w:hAnsi="Narkisim" w:cs="Narkisim"/>
          <w:rtl/>
        </w:rPr>
        <w:t xml:space="preserve"> (והו' בנמוק"י וב"י ורמ"א יז מג) כת' מסתברא דאף כשהביאה עד א' לבי"ד</w:t>
      </w:r>
      <w:r w:rsidRPr="007119D6">
        <w:rPr>
          <w:rStyle w:val="ac"/>
          <w:rFonts w:ascii="Narkisim" w:hAnsi="Narkisim" w:cs="Narkisim"/>
          <w:rtl/>
        </w:rPr>
        <w:footnoteReference w:id="7958"/>
      </w:r>
      <w:r w:rsidRPr="007119D6">
        <w:rPr>
          <w:rFonts w:ascii="Narkisim" w:hAnsi="Narkisim" w:cs="Narkisim"/>
          <w:rtl/>
        </w:rPr>
        <w:t xml:space="preserve"> ותובעת כתובתה אמרי' דאדעתא דכתובה אתאי ולא מתירין אותה. וה</w:t>
      </w:r>
      <w:r w:rsidRPr="007119D6">
        <w:rPr>
          <w:rFonts w:ascii="Narkisim" w:hAnsi="Narkisim" w:cs="Narkisim"/>
          <w:b/>
          <w:bCs/>
          <w:rtl/>
        </w:rPr>
        <w:t>ב"י</w:t>
      </w:r>
      <w:r w:rsidRPr="007119D6">
        <w:rPr>
          <w:rFonts w:ascii="Narkisim" w:hAnsi="Narkisim" w:cs="Narkisim"/>
          <w:rtl/>
        </w:rPr>
        <w:t xml:space="preserve"> (שם) כת' דאינו נראה.</w:t>
      </w:r>
    </w:p>
    <w:p w14:paraId="79F087A9"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(יז קלב) כת' דלכאורה מקור הריטב"א משום דדמי לספק דעד א' בקטטה [דלא דייקא מחמת הקטטה], ולא אפשט. וה"נ לא דייקא מחמת חימוד ממון שתובעת כתובתה. ועפ”ז כת' דמ”מ אם נשאת לא תצא. וכן אם העד אמר קברתיו יהא נאמן [לדעת הפוסקים דמהני קברתיו בקטטה]. וכן ה</w:t>
      </w:r>
      <w:r w:rsidRPr="007119D6">
        <w:rPr>
          <w:rFonts w:ascii="Narkisim" w:hAnsi="Narkisim"/>
          <w:b/>
          <w:bCs/>
          <w:rtl/>
        </w:rPr>
        <w:t>גר”א</w:t>
      </w:r>
      <w:r w:rsidRPr="007119D6">
        <w:rPr>
          <w:rFonts w:ascii="Narkisim" w:hAnsi="Narkisim"/>
          <w:rtl/>
        </w:rPr>
        <w:t xml:space="preserve"> (שם קלט) כת' דתלי בספק הגמ' אי עד א' משום עבידא לאיגלויי או דדייקא ומינסבא. וכיון דאינה רוצה לינשא ליכא דייקא</w:t>
      </w:r>
      <w:r w:rsidRPr="007119D6">
        <w:rPr>
          <w:rStyle w:val="ac"/>
          <w:rFonts w:ascii="Narkisim" w:hAnsi="Narkisim"/>
          <w:rtl/>
        </w:rPr>
        <w:footnoteReference w:id="7959"/>
      </w:r>
      <w:r w:rsidRPr="007119D6">
        <w:rPr>
          <w:rFonts w:ascii="Narkisim" w:hAnsi="Narkisim"/>
          <w:rtl/>
        </w:rPr>
        <w:t>. אך ציין לדעות ה</w:t>
      </w:r>
      <w:r w:rsidRPr="007119D6">
        <w:rPr>
          <w:rFonts w:ascii="Narkisim" w:hAnsi="Narkisim"/>
          <w:b/>
          <w:bCs/>
          <w:rtl/>
        </w:rPr>
        <w:t>ראשונים</w:t>
      </w:r>
      <w:r w:rsidRPr="007119D6">
        <w:rPr>
          <w:rStyle w:val="ac"/>
          <w:rFonts w:ascii="Narkisim" w:hAnsi="Narkisim"/>
          <w:rtl/>
        </w:rPr>
        <w:footnoteReference w:id="7960"/>
      </w:r>
      <w:r w:rsidRPr="007119D6">
        <w:rPr>
          <w:rFonts w:ascii="Narkisim" w:hAnsi="Narkisim"/>
          <w:rtl/>
        </w:rPr>
        <w:t xml:space="preserve"> דאיפשיט דמשום דעבידא לאיגלויי. ועוד יש </w:t>
      </w:r>
      <w:r w:rsidRPr="007119D6">
        <w:rPr>
          <w:rFonts w:ascii="Narkisim" w:hAnsi="Narkisim"/>
          <w:b/>
          <w:bCs/>
          <w:rtl/>
        </w:rPr>
        <w:t>אחרונים</w:t>
      </w:r>
      <w:r w:rsidRPr="007119D6">
        <w:rPr>
          <w:rFonts w:ascii="Narkisim" w:hAnsi="Narkisim"/>
          <w:rtl/>
        </w:rPr>
        <w:t xml:space="preserve"> שדנו דכוונת הריטב"א כמ"ש תוס' (צג:) דעכ"פ צריך ג"כ דייקא זוטא.</w:t>
      </w:r>
    </w:p>
    <w:p w14:paraId="1B915994" w14:textId="77777777" w:rsidR="006C4368" w:rsidRPr="007119D6" w:rsidRDefault="006C4368" w:rsidP="006C4368">
      <w:pPr>
        <w:pStyle w:val="a8"/>
        <w:bidi/>
        <w:rPr>
          <w:rFonts w:ascii="Narkisim" w:hAnsi="Narkisim"/>
        </w:rPr>
      </w:pPr>
      <w:r w:rsidRPr="007119D6">
        <w:rPr>
          <w:rFonts w:ascii="Narkisim" w:hAnsi="Narkisim"/>
          <w:rtl/>
        </w:rPr>
        <w:t>אך משמע בריטב"א דכוונתו מטעם אחר, דכה"ג לא הקילו משום עיגונא, ואוקמא אדינא דצריך ב' עדים בדבר שבערוה</w:t>
      </w:r>
      <w:r w:rsidRPr="007119D6">
        <w:rPr>
          <w:rStyle w:val="ac"/>
          <w:rFonts w:ascii="Narkisim" w:hAnsi="Narkisim"/>
          <w:rtl/>
        </w:rPr>
        <w:footnoteReference w:id="7961"/>
      </w:r>
      <w:r w:rsidRPr="007119D6">
        <w:rPr>
          <w:rFonts w:ascii="Narkisim" w:hAnsi="Narkisim"/>
          <w:rtl/>
        </w:rPr>
        <w:t>. וכמ"ש הטעם הא' בסוגיין.</w:t>
      </w:r>
    </w:p>
    <w:p w14:paraId="32264DEB" w14:textId="77777777" w:rsidR="006C4368" w:rsidRPr="007119D6" w:rsidRDefault="006C4368" w:rsidP="006C4368">
      <w:pPr>
        <w:pStyle w:val="aa"/>
        <w:bidi/>
        <w:rPr>
          <w:rFonts w:ascii="Narkisim" w:hAnsi="Narkisim"/>
        </w:rPr>
      </w:pPr>
      <w:r w:rsidRPr="007119D6">
        <w:rPr>
          <w:rFonts w:ascii="Narkisim" w:hAnsi="Narkisim"/>
          <w:u w:val="single"/>
          <w:rtl/>
        </w:rPr>
        <w:t>איבע"ל התירוני לינשא ותנו לי כתובתי מהו וכו' או דילמא כל מילי דאית ליה לאיניש א"ל לבי"ד, ואת"ל וכו'</w:t>
      </w:r>
      <w:r w:rsidRPr="007119D6">
        <w:rPr>
          <w:rFonts w:ascii="Narkisim" w:hAnsi="Narkisim"/>
          <w:rtl/>
        </w:rPr>
        <w:t>. ה</w:t>
      </w:r>
      <w:r w:rsidRPr="007119D6">
        <w:rPr>
          <w:rFonts w:ascii="Narkisim" w:hAnsi="Narkisim"/>
          <w:b/>
          <w:bCs/>
          <w:rtl/>
        </w:rPr>
        <w:t>רמב"ם</w:t>
      </w:r>
      <w:r w:rsidRPr="007119D6">
        <w:rPr>
          <w:rFonts w:ascii="Narkisim" w:hAnsi="Narkisim"/>
          <w:rtl/>
        </w:rPr>
        <w:t xml:space="preserve"> (אישות טז לא) נקט דבעי זו איפשיטא, דס"ל דאת"ל הוה פשיטות. אבל ה</w:t>
      </w:r>
      <w:r w:rsidRPr="007119D6">
        <w:rPr>
          <w:rFonts w:ascii="Narkisim" w:hAnsi="Narkisim"/>
          <w:b/>
          <w:bCs/>
          <w:rtl/>
        </w:rPr>
        <w:t>רא"ש</w:t>
      </w:r>
      <w:r w:rsidRPr="007119D6">
        <w:rPr>
          <w:rFonts w:ascii="Narkisim" w:hAnsi="Narkisim"/>
          <w:rtl/>
        </w:rPr>
        <w:t xml:space="preserve"> נקט דנשאר ספק. [והו' י"א בשו"ע יז מד]. וה</w:t>
      </w:r>
      <w:r w:rsidRPr="007119D6">
        <w:rPr>
          <w:rFonts w:ascii="Narkisim" w:hAnsi="Narkisim"/>
          <w:b/>
          <w:bCs/>
          <w:rtl/>
        </w:rPr>
        <w:t>פוסקים</w:t>
      </w:r>
      <w:r w:rsidRPr="007119D6">
        <w:rPr>
          <w:rFonts w:ascii="Narkisim" w:hAnsi="Narkisim"/>
          <w:rtl/>
        </w:rPr>
        <w:t xml:space="preserve"> כת' דל"ג את"ל. או דס"ל דאת"ל לא הוה פשיטות.</w:t>
      </w:r>
    </w:p>
    <w:p w14:paraId="02881155" w14:textId="77777777" w:rsidR="006C4368" w:rsidRPr="007119D6" w:rsidRDefault="006C4368" w:rsidP="006C4368">
      <w:pPr>
        <w:pStyle w:val="aa"/>
        <w:bidi/>
        <w:rPr>
          <w:rFonts w:ascii="Narkisim" w:hAnsi="Narkisim"/>
        </w:rPr>
      </w:pPr>
      <w:r w:rsidRPr="007119D6">
        <w:rPr>
          <w:rFonts w:ascii="Narkisim" w:hAnsi="Narkisim"/>
          <w:u w:val="single"/>
          <w:rtl/>
        </w:rPr>
        <w:t>או דילמא הואיל דלא ידעה במאי משתריא</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דגלי דעתא שבאה להתירה. והזכירה כתובתה, כסבורה היא שזו היא התרתה. ה</w:t>
      </w:r>
      <w:r w:rsidRPr="007119D6">
        <w:rPr>
          <w:rFonts w:ascii="Narkisim" w:hAnsi="Narkisim"/>
          <w:b/>
          <w:bCs/>
          <w:rtl/>
        </w:rPr>
        <w:t>ריטב"א</w:t>
      </w:r>
      <w:r w:rsidRPr="007119D6">
        <w:rPr>
          <w:rFonts w:ascii="Narkisim" w:hAnsi="Narkisim"/>
          <w:rtl/>
        </w:rPr>
        <w:t xml:space="preserve"> תמה היאך אפשר שתטעה שום אשה בזה [שתהא מותרת מחמת הכתובה]. וביאר דשמא האשה סבורה דכ"ש דשרו לה טפי כשאינה מדקדקת בנישואין, והיא מגלה דעתה שאין עיקר כוונתה להתירה לשוק.</w:t>
      </w:r>
    </w:p>
    <w:p w14:paraId="390D9F01" w14:textId="77777777" w:rsidR="006C4368" w:rsidRPr="007119D6" w:rsidRDefault="006C4368" w:rsidP="006C4368">
      <w:pPr>
        <w:bidi/>
        <w:rPr>
          <w:rFonts w:ascii="Narkisim" w:hAnsi="Narkisim" w:cs="Narkisim"/>
        </w:rPr>
      </w:pPr>
      <w:r w:rsidRPr="007119D6">
        <w:rPr>
          <w:rFonts w:ascii="Narkisim" w:hAnsi="Narkisim" w:cs="Narkisim"/>
          <w:u w:val="single"/>
          <w:rtl/>
        </w:rPr>
        <w:t>תיקו.</w:t>
      </w:r>
      <w:r w:rsidRPr="007119D6">
        <w:rPr>
          <w:rFonts w:ascii="Narkisim" w:hAnsi="Narkisim" w:cs="Narkisim"/>
          <w:rtl/>
        </w:rPr>
        <w:t xml:space="preserve"> ה</w:t>
      </w:r>
      <w:r w:rsidRPr="007119D6">
        <w:rPr>
          <w:rFonts w:ascii="Narkisim" w:hAnsi="Narkisim" w:cs="Narkisim"/>
          <w:b/>
          <w:bCs/>
          <w:rtl/>
        </w:rPr>
        <w:t>רמב"ם</w:t>
      </w:r>
      <w:r w:rsidRPr="007119D6">
        <w:rPr>
          <w:rFonts w:ascii="Narkisim" w:hAnsi="Narkisim" w:cs="Narkisim"/>
          <w:rtl/>
        </w:rPr>
        <w:t xml:space="preserve"> (אישות טז לא) פסק דאם אמרה תנו לי כתובתי והתירוני להנשא, מתירין אותה ואין נותנין לה כתובה. ואם תפשה אין מוציאין מידה</w:t>
      </w:r>
      <w:r w:rsidRPr="007119D6">
        <w:rPr>
          <w:rStyle w:val="ac"/>
          <w:rFonts w:ascii="Narkisim" w:hAnsi="Narkisim" w:cs="Narkisim"/>
          <w:rtl/>
        </w:rPr>
        <w:footnoteReference w:id="7962"/>
      </w:r>
      <w:r w:rsidRPr="007119D6">
        <w:rPr>
          <w:rFonts w:ascii="Narkisim" w:hAnsi="Narkisim" w:cs="Narkisim"/>
          <w:rtl/>
        </w:rPr>
        <w:t>. וה</w:t>
      </w:r>
      <w:r w:rsidRPr="007119D6">
        <w:rPr>
          <w:rFonts w:ascii="Narkisim" w:hAnsi="Narkisim" w:cs="Narkisim"/>
          <w:b/>
          <w:bCs/>
          <w:rtl/>
        </w:rPr>
        <w:t>הג"מ</w:t>
      </w:r>
      <w:r w:rsidRPr="007119D6">
        <w:rPr>
          <w:rFonts w:ascii="Narkisim" w:hAnsi="Narkisim" w:cs="Narkisim"/>
          <w:rtl/>
        </w:rPr>
        <w:t xml:space="preserve"> ציין דה</w:t>
      </w:r>
      <w:r w:rsidRPr="007119D6">
        <w:rPr>
          <w:rFonts w:ascii="Narkisim" w:hAnsi="Narkisim" w:cs="Narkisim"/>
          <w:b/>
          <w:bCs/>
          <w:rtl/>
        </w:rPr>
        <w:t>טור</w:t>
      </w:r>
      <w:r w:rsidRPr="007119D6">
        <w:rPr>
          <w:rFonts w:ascii="Narkisim" w:hAnsi="Narkisim" w:cs="Narkisim"/>
          <w:rtl/>
        </w:rPr>
        <w:t xml:space="preserve"> (יז וכן ק) כת' דהוה ספק אף בהיתר לינשא.</w:t>
      </w:r>
    </w:p>
    <w:p w14:paraId="5A99BAE3" w14:textId="77777777" w:rsidR="006C4368" w:rsidRPr="007119D6" w:rsidRDefault="006C4368" w:rsidP="006C4368">
      <w:pPr>
        <w:pStyle w:val="a7"/>
        <w:bidi/>
        <w:rPr>
          <w:rFonts w:ascii="Narkisim" w:hAnsi="Narkisim"/>
        </w:rPr>
      </w:pPr>
      <w:r w:rsidRPr="007119D6">
        <w:rPr>
          <w:rFonts w:ascii="Narkisim" w:hAnsi="Narkisim"/>
          <w:rtl/>
        </w:rPr>
        <w:lastRenderedPageBreak/>
        <w:t>וה</w:t>
      </w:r>
      <w:r w:rsidRPr="007119D6">
        <w:rPr>
          <w:rFonts w:ascii="Narkisim" w:hAnsi="Narkisim"/>
          <w:b/>
          <w:bCs/>
          <w:rtl/>
        </w:rPr>
        <w:t>כס"מ</w:t>
      </w:r>
      <w:r w:rsidRPr="007119D6">
        <w:rPr>
          <w:rFonts w:ascii="Narkisim" w:hAnsi="Narkisim"/>
          <w:rtl/>
        </w:rPr>
        <w:t xml:space="preserve"> כת' דדעת הרמב"ם דסלקא בתיקו והוה ספיקא דרבנן ולקולא</w:t>
      </w:r>
      <w:r w:rsidRPr="007119D6">
        <w:rPr>
          <w:rStyle w:val="ac"/>
          <w:rFonts w:ascii="Narkisim" w:hAnsi="Narkisim"/>
          <w:rtl/>
        </w:rPr>
        <w:footnoteReference w:id="7963"/>
      </w:r>
      <w:r w:rsidRPr="007119D6">
        <w:rPr>
          <w:rFonts w:ascii="Narkisim" w:hAnsi="Narkisim"/>
          <w:rtl/>
        </w:rPr>
        <w:t>. וה</w:t>
      </w:r>
      <w:r w:rsidRPr="007119D6">
        <w:rPr>
          <w:rFonts w:ascii="Narkisim" w:hAnsi="Narkisim"/>
          <w:b/>
          <w:bCs/>
          <w:rtl/>
        </w:rPr>
        <w:t>אחרונים</w:t>
      </w:r>
      <w:r w:rsidRPr="007119D6">
        <w:rPr>
          <w:rFonts w:ascii="Narkisim" w:hAnsi="Narkisim"/>
          <w:rtl/>
        </w:rPr>
        <w:t xml:space="preserve"> תמהו מנ"ל דהוה ספק דרבנן.  וה</w:t>
      </w:r>
      <w:r w:rsidRPr="007119D6">
        <w:rPr>
          <w:rFonts w:ascii="Narkisim" w:hAnsi="Narkisim"/>
          <w:b/>
          <w:bCs/>
          <w:rtl/>
        </w:rPr>
        <w:t>מהר"י בן לב</w:t>
      </w:r>
      <w:r w:rsidRPr="007119D6">
        <w:rPr>
          <w:rFonts w:ascii="Narkisim" w:hAnsi="Narkisim"/>
          <w:rtl/>
        </w:rPr>
        <w:t xml:space="preserve"> (א ג, ובי"ש יז קלא, הו' במראות הצובאות יז קסז) כת' דהרמב"ם ס"ל דספק הגמ' הוה רק לענין כתובה. ופשוט דמותרת לינשא כיון דהזכירה כתובתה. </w:t>
      </w:r>
      <w:r w:rsidRPr="007119D6">
        <w:rPr>
          <w:rFonts w:ascii="Narkisim" w:hAnsi="Narkisim"/>
          <w:szCs w:val="20"/>
          <w:rtl/>
        </w:rPr>
        <w:t>וה</w:t>
      </w:r>
      <w:r w:rsidRPr="007119D6">
        <w:rPr>
          <w:rFonts w:ascii="Narkisim" w:hAnsi="Narkisim"/>
          <w:b/>
          <w:bCs/>
          <w:szCs w:val="20"/>
          <w:rtl/>
        </w:rPr>
        <w:t>מראות הצובאות</w:t>
      </w:r>
      <w:r w:rsidRPr="007119D6">
        <w:rPr>
          <w:rFonts w:ascii="Narkisim" w:hAnsi="Narkisim"/>
          <w:szCs w:val="20"/>
          <w:rtl/>
        </w:rPr>
        <w:t xml:space="preserve"> ביאר דאם באה לינשא גובה כתובתה. אלא דחיישינן שמא לא נתכוונה לינשא כלל, ומש"ה אין לה כתובה.</w:t>
      </w:r>
    </w:p>
    <w:p w14:paraId="56A378EB"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קמ) כת' דטעות סופר הוא [בדברי הרמב"ם והשו"ע] וצ"ל דאין מתירין אותה לינשא</w:t>
      </w:r>
      <w:r w:rsidRPr="007119D6">
        <w:rPr>
          <w:rStyle w:val="ac"/>
          <w:rFonts w:ascii="Narkisim" w:hAnsi="Narkisim"/>
          <w:rtl/>
        </w:rPr>
        <w:footnoteReference w:id="7964"/>
      </w:r>
      <w:r w:rsidRPr="007119D6">
        <w:rPr>
          <w:rFonts w:ascii="Narkisim" w:hAnsi="Narkisim"/>
          <w:rtl/>
        </w:rPr>
        <w:t>. דאי מתירין לינשא, א”כ תטול כתובתה משום מדרש כתובה.</w:t>
      </w:r>
    </w:p>
    <w:p w14:paraId="5862C322" w14:textId="77777777" w:rsidR="006C4368" w:rsidRPr="007119D6" w:rsidRDefault="006C4368" w:rsidP="006C4368">
      <w:pPr>
        <w:bidi/>
        <w:rPr>
          <w:rFonts w:ascii="Narkisim" w:hAnsi="Narkisim" w:cs="Narkisim"/>
        </w:rPr>
      </w:pPr>
      <w:r w:rsidRPr="007119D6">
        <w:rPr>
          <w:rFonts w:ascii="Narkisim" w:hAnsi="Narkisim" w:cs="Narkisim"/>
          <w:i/>
          <w:iCs/>
          <w:szCs w:val="20"/>
          <w:rtl/>
        </w:rPr>
        <w:t>בסוגיין</w:t>
      </w:r>
      <w:r w:rsidRPr="007119D6">
        <w:rPr>
          <w:rFonts w:ascii="Narkisim" w:hAnsi="Narkisim" w:cs="Narkisim"/>
          <w:rtl/>
        </w:rPr>
        <w:t xml:space="preserve"> – ה</w:t>
      </w:r>
      <w:r w:rsidRPr="007119D6">
        <w:rPr>
          <w:rFonts w:ascii="Narkisim" w:hAnsi="Narkisim" w:cs="Narkisim"/>
          <w:b/>
          <w:bCs/>
          <w:rtl/>
        </w:rPr>
        <w:t>רמב"ם</w:t>
      </w:r>
      <w:r w:rsidRPr="007119D6">
        <w:rPr>
          <w:rFonts w:ascii="Narkisim" w:hAnsi="Narkisim" w:cs="Narkisim"/>
          <w:rtl/>
        </w:rPr>
        <w:t xml:space="preserve"> (אישות טז לא) כת' דהאשה שאומרת מת בעלי והתירוני לינשא</w:t>
      </w:r>
      <w:r w:rsidRPr="007119D6">
        <w:rPr>
          <w:rStyle w:val="ac"/>
          <w:rFonts w:ascii="Narkisim" w:hAnsi="Narkisim" w:cs="Narkisim"/>
          <w:rtl/>
        </w:rPr>
        <w:footnoteReference w:id="7965"/>
      </w:r>
      <w:r w:rsidRPr="007119D6">
        <w:rPr>
          <w:rFonts w:ascii="Narkisim" w:hAnsi="Narkisim" w:cs="Narkisim"/>
          <w:rtl/>
        </w:rPr>
        <w:t>, מתירין אותה להנשא ומשביעין אותה ונותנין לה כתובתה. [משום מדרש כתובה]. וה</w:t>
      </w:r>
      <w:r w:rsidRPr="007119D6">
        <w:rPr>
          <w:rFonts w:ascii="Narkisim" w:hAnsi="Narkisim" w:cs="Narkisim"/>
          <w:b/>
          <w:bCs/>
          <w:rtl/>
        </w:rPr>
        <w:t>טור</w:t>
      </w:r>
      <w:r w:rsidRPr="007119D6">
        <w:rPr>
          <w:rFonts w:ascii="Narkisim" w:hAnsi="Narkisim" w:cs="Narkisim"/>
          <w:rtl/>
        </w:rPr>
        <w:t xml:space="preserve"> (אה"ע ק) הביא בשם הרמב"ם שצריכה לישבע שמת. וה</w:t>
      </w:r>
      <w:r w:rsidRPr="007119D6">
        <w:rPr>
          <w:rFonts w:ascii="Narkisim" w:hAnsi="Narkisim" w:cs="Narkisim"/>
          <w:b/>
          <w:bCs/>
          <w:rtl/>
        </w:rPr>
        <w:t>כס"מ</w:t>
      </w:r>
      <w:r w:rsidRPr="007119D6">
        <w:rPr>
          <w:rFonts w:ascii="Narkisim" w:hAnsi="Narkisim" w:cs="Narkisim"/>
          <w:rtl/>
        </w:rPr>
        <w:t xml:space="preserve"> (שם, ובבדק הבית בב"י, ודרישה לד) תמה דמאחר שמתירין לינשא, א"כ אמאי צריכה שבועה. וכת' דכוונת הרמב"ם שנשבעת שלא גבתה כתובתה, וכשבועת אלמנה בעלמא</w:t>
      </w:r>
      <w:r w:rsidRPr="007119D6">
        <w:rPr>
          <w:rStyle w:val="ac"/>
          <w:rFonts w:ascii="Narkisim" w:hAnsi="Narkisim" w:cs="Narkisim"/>
          <w:rtl/>
        </w:rPr>
        <w:footnoteReference w:id="7966"/>
      </w:r>
      <w:r w:rsidRPr="007119D6">
        <w:rPr>
          <w:rFonts w:ascii="Narkisim" w:hAnsi="Narkisim" w:cs="Narkisim"/>
          <w:rtl/>
        </w:rPr>
        <w:t>.</w:t>
      </w:r>
    </w:p>
    <w:p w14:paraId="5FE4E18A" w14:textId="77777777" w:rsidR="006C4368" w:rsidRPr="007119D6" w:rsidRDefault="006C4368" w:rsidP="006C4368">
      <w:pPr>
        <w:pStyle w:val="2"/>
        <w:bidi/>
        <w:rPr>
          <w:rFonts w:ascii="Narkisim" w:hAnsi="Narkisim"/>
        </w:rPr>
      </w:pPr>
      <w:r w:rsidRPr="007119D6">
        <w:rPr>
          <w:rFonts w:ascii="Narkisim" w:hAnsi="Narkisim"/>
          <w:rtl/>
        </w:rPr>
        <w:t>ה' נשים</w:t>
      </w:r>
    </w:p>
    <w:p w14:paraId="6AAD6470" w14:textId="77777777" w:rsidR="006C4368" w:rsidRPr="007119D6" w:rsidRDefault="006C4368" w:rsidP="006C4368">
      <w:pPr>
        <w:bidi/>
        <w:rPr>
          <w:rFonts w:ascii="Narkisim" w:hAnsi="Narkisim" w:cs="Narkisim"/>
        </w:rPr>
      </w:pPr>
      <w:r w:rsidRPr="007119D6">
        <w:rPr>
          <w:rFonts w:ascii="Narkisim" w:hAnsi="Narkisim" w:cs="Narkisim"/>
          <w:u w:val="single"/>
          <w:rtl/>
        </w:rPr>
        <w:t>חוץ מחמותה ובת חמותה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משום ששונאת אותה, ומתכוונת לקלקלה. בשו"ת כנסת יחזקאל (ס"ס פג, הו' בפתח"ת יז כה, ע' מראות הצובאות שם טז) הק' א"כ אף עד א' שהוא שונא לא יהא נאמן. כיון דמדינא עד א' אינו נאמן</w:t>
      </w:r>
      <w:r w:rsidRPr="007119D6">
        <w:rPr>
          <w:rStyle w:val="ac"/>
          <w:rFonts w:ascii="Narkisim" w:hAnsi="Narkisim" w:cs="Narkisim"/>
          <w:rtl/>
        </w:rPr>
        <w:footnoteReference w:id="7967"/>
      </w:r>
      <w:r w:rsidRPr="007119D6">
        <w:rPr>
          <w:rFonts w:ascii="Narkisim" w:hAnsi="Narkisim" w:cs="Narkisim"/>
          <w:rtl/>
        </w:rPr>
        <w:t>, נימא דלא הקילו בשונא. ותי' דעד בעלמא מתיירא פן יבא הבעל חי, ומקלקל את עצמו להיות פסול לעדות ולשבועה</w:t>
      </w:r>
      <w:r w:rsidRPr="007119D6">
        <w:rPr>
          <w:rStyle w:val="ac"/>
          <w:rFonts w:ascii="Narkisim" w:hAnsi="Narkisim" w:cs="Narkisim"/>
          <w:rtl/>
        </w:rPr>
        <w:footnoteReference w:id="7968"/>
      </w:r>
      <w:r w:rsidRPr="007119D6">
        <w:rPr>
          <w:rFonts w:ascii="Narkisim" w:hAnsi="Narkisim" w:cs="Narkisim"/>
          <w:rtl/>
        </w:rPr>
        <w:t>. וה</w:t>
      </w:r>
      <w:r w:rsidRPr="007119D6">
        <w:rPr>
          <w:rFonts w:ascii="Narkisim" w:hAnsi="Narkisim" w:cs="Narkisim"/>
          <w:b/>
          <w:bCs/>
          <w:rtl/>
        </w:rPr>
        <w:t>קרבן העדה</w:t>
      </w:r>
      <w:r w:rsidRPr="007119D6">
        <w:rPr>
          <w:rFonts w:ascii="Narkisim" w:hAnsi="Narkisim" w:cs="Narkisim"/>
          <w:rtl/>
        </w:rPr>
        <w:t xml:space="preserve"> (לירושלמי) כת' דדוקא נשים דדעתן קלות חששו דילמא משקרי בשביל השנאה, אבל לא באנשים</w:t>
      </w:r>
      <w:r w:rsidRPr="007119D6">
        <w:rPr>
          <w:rStyle w:val="ac"/>
          <w:rFonts w:ascii="Narkisim" w:hAnsi="Narkisim" w:cs="Narkisim"/>
          <w:rtl/>
        </w:rPr>
        <w:footnoteReference w:id="7969"/>
      </w:r>
      <w:r w:rsidRPr="007119D6">
        <w:rPr>
          <w:rFonts w:ascii="Narkisim" w:hAnsi="Narkisim" w:cs="Narkisim"/>
          <w:rtl/>
        </w:rPr>
        <w:t>.</w:t>
      </w:r>
    </w:p>
    <w:p w14:paraId="18F31FD1" w14:textId="77777777" w:rsidR="006C4368" w:rsidRPr="007119D6" w:rsidRDefault="006C4368" w:rsidP="006C4368">
      <w:pPr>
        <w:pStyle w:val="a7"/>
        <w:bidi/>
        <w:rPr>
          <w:rFonts w:ascii="Narkisim" w:hAnsi="Narkisim"/>
        </w:rPr>
      </w:pPr>
      <w:r w:rsidRPr="007119D6">
        <w:rPr>
          <w:rFonts w:ascii="Narkisim" w:hAnsi="Narkisim"/>
          <w:rtl/>
        </w:rPr>
        <w:t>ה</w:t>
      </w:r>
      <w:r w:rsidRPr="007119D6">
        <w:rPr>
          <w:rFonts w:ascii="Narkisim" w:hAnsi="Narkisim"/>
          <w:b/>
          <w:bCs/>
          <w:rtl/>
        </w:rPr>
        <w:t>חת"ס</w:t>
      </w:r>
      <w:r w:rsidRPr="007119D6">
        <w:rPr>
          <w:rFonts w:ascii="Narkisim" w:hAnsi="Narkisim"/>
          <w:rtl/>
        </w:rPr>
        <w:t xml:space="preserve"> (אה"ע ב נב) כת' דהני ה' נשים מתוך שנאתם דינם כנוגע בעדותו. ולא הקילו עדות אשה בנוגע בדבר. ועד"ז כת' בשו"ת פנ"י (ב לד).</w:t>
      </w:r>
    </w:p>
    <w:p w14:paraId="42184375" w14:textId="77777777" w:rsidR="006C4368" w:rsidRPr="007119D6" w:rsidRDefault="006C4368" w:rsidP="006C4368">
      <w:pPr>
        <w:bidi/>
        <w:rPr>
          <w:rFonts w:ascii="Narkisim" w:hAnsi="Narkisim" w:cs="Narkisim"/>
        </w:rPr>
      </w:pPr>
      <w:r w:rsidRPr="007119D6">
        <w:rPr>
          <w:rFonts w:ascii="Narkisim" w:hAnsi="Narkisim" w:cs="Narkisim"/>
          <w:rtl/>
        </w:rPr>
        <w:t>וב</w:t>
      </w:r>
      <w:r w:rsidRPr="007119D6">
        <w:rPr>
          <w:rFonts w:ascii="Narkisim" w:hAnsi="Narkisim" w:cs="Narkisim"/>
          <w:b/>
          <w:bCs/>
          <w:rtl/>
        </w:rPr>
        <w:t>פסקי הרי"ד</w:t>
      </w:r>
      <w:r w:rsidRPr="007119D6">
        <w:rPr>
          <w:rFonts w:ascii="Narkisim" w:hAnsi="Narkisim" w:cs="Narkisim"/>
          <w:rtl/>
        </w:rPr>
        <w:t xml:space="preserve"> (הו' בשלט"ג ובדרכ”מ יז כו ובי”ש שם יד) כת' שהזכרים הדומים לנשים אלו, כגון חמיה ובן חמיה ובן בעלה</w:t>
      </w:r>
      <w:r w:rsidRPr="007119D6">
        <w:rPr>
          <w:rStyle w:val="ac"/>
          <w:rFonts w:ascii="Narkisim" w:hAnsi="Narkisim" w:cs="Narkisim"/>
          <w:rtl/>
        </w:rPr>
        <w:footnoteReference w:id="7970"/>
      </w:r>
      <w:r w:rsidRPr="007119D6">
        <w:rPr>
          <w:rFonts w:ascii="Narkisim" w:hAnsi="Narkisim" w:cs="Narkisim"/>
          <w:rtl/>
        </w:rPr>
        <w:t xml:space="preserve"> נאמנים להעידה.</w:t>
      </w:r>
    </w:p>
    <w:p w14:paraId="37E0B1A0"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כז) הביא דאף נוגע בדבר כשר לעדות אשה</w:t>
      </w:r>
      <w:r w:rsidRPr="007119D6">
        <w:rPr>
          <w:rStyle w:val="ac"/>
          <w:rFonts w:ascii="Narkisim" w:hAnsi="Narkisim"/>
          <w:rtl/>
        </w:rPr>
        <w:footnoteReference w:id="7971"/>
      </w:r>
      <w:r w:rsidRPr="007119D6">
        <w:rPr>
          <w:rFonts w:ascii="Narkisim" w:hAnsi="Narkisim"/>
          <w:rtl/>
        </w:rPr>
        <w:t>. [ואף דע"י מיתת אביו יזכה בירושה</w:t>
      </w:r>
      <w:r w:rsidRPr="007119D6">
        <w:rPr>
          <w:rStyle w:val="ac"/>
          <w:rFonts w:ascii="Narkisim" w:hAnsi="Narkisim"/>
          <w:rtl/>
        </w:rPr>
        <w:footnoteReference w:id="7972"/>
      </w:r>
      <w:r w:rsidRPr="007119D6">
        <w:rPr>
          <w:rFonts w:ascii="Narkisim" w:hAnsi="Narkisim"/>
          <w:rtl/>
        </w:rPr>
        <w:t>]. וה</w:t>
      </w:r>
      <w:r w:rsidRPr="007119D6">
        <w:rPr>
          <w:rFonts w:ascii="Narkisim" w:hAnsi="Narkisim"/>
          <w:b/>
          <w:bCs/>
          <w:rtl/>
        </w:rPr>
        <w:t>ש"ש</w:t>
      </w:r>
      <w:r w:rsidRPr="007119D6">
        <w:rPr>
          <w:rFonts w:ascii="Narkisim" w:hAnsi="Narkisim"/>
          <w:rtl/>
        </w:rPr>
        <w:t xml:space="preserve"> (ז ז) כת' דנוגע בעדות על צד רחוק אף דפסול לשאר עדות, כשר לעדות אשה. ודוקא היכא דנראה שבא להעיד מחמת הנגיעות חשדו. [ועי"ש שדנו האם עד הנוטל שכר להעיד כשר].</w:t>
      </w:r>
    </w:p>
    <w:p w14:paraId="420B23F6"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משנ"ל</w:t>
      </w:r>
      <w:r w:rsidRPr="007119D6">
        <w:rPr>
          <w:rFonts w:ascii="Narkisim" w:hAnsi="Narkisim" w:cs="Narkisim"/>
          <w:rtl/>
        </w:rPr>
        <w:t xml:space="preserve"> (יב א ד"ה נסתפקתי) דן האם בה' נשים האם אינם נאמנות כלל, וקאי בחזקת אשת איש. או דלמא הוה רק ספק שמא העידו מתוך שנאה, ומהני לחומרא דמידי ספיקא לא נפקא. ונפק"מ דאם בא אחר וקידש חוששין לקידושין לאסור בקרובותיה.</w:t>
      </w:r>
    </w:p>
    <w:p w14:paraId="406F703B" w14:textId="77777777" w:rsidR="006C4368" w:rsidRPr="007119D6" w:rsidRDefault="006C4368" w:rsidP="006C4368">
      <w:pPr>
        <w:pStyle w:val="a7"/>
        <w:bidi/>
        <w:rPr>
          <w:rFonts w:ascii="Narkisim" w:hAnsi="Narkisim"/>
        </w:rPr>
      </w:pPr>
      <w:r w:rsidRPr="007119D6">
        <w:rPr>
          <w:rFonts w:ascii="Narkisim" w:hAnsi="Narkisim"/>
          <w:rtl/>
        </w:rPr>
        <w:t xml:space="preserve">והמשנ"ל תלה במח' ר"ע ור' טרפון </w:t>
      </w:r>
      <w:r w:rsidRPr="007119D6">
        <w:rPr>
          <w:rFonts w:ascii="Narkisim" w:hAnsi="Narkisim"/>
          <w:szCs w:val="20"/>
          <w:rtl/>
        </w:rPr>
        <w:t>(לקמן קיח., ולהלכה נח' בזה הרמב”ם והראב”ד תרומות ט ד)</w:t>
      </w:r>
      <w:r w:rsidRPr="007119D6">
        <w:rPr>
          <w:rFonts w:ascii="Narkisim" w:hAnsi="Narkisim"/>
          <w:rtl/>
        </w:rPr>
        <w:t xml:space="preserve"> האם אוכלת בתרומה. והמשנ"ל כת' דדעת ר"ע [והראב"ד] דחוששין לדברי הצרה, ונאמנת בספק. אבל ה</w:t>
      </w:r>
      <w:r w:rsidRPr="007119D6">
        <w:rPr>
          <w:rFonts w:ascii="Narkisim" w:hAnsi="Narkisim"/>
          <w:b/>
          <w:bCs/>
          <w:rtl/>
        </w:rPr>
        <w:t>תוס' רא"ש</w:t>
      </w:r>
      <w:r w:rsidRPr="007119D6">
        <w:rPr>
          <w:rFonts w:ascii="Narkisim" w:hAnsi="Narkisim"/>
          <w:rtl/>
        </w:rPr>
        <w:t xml:space="preserve"> (קיח.) כת' דאף ר' עקיבא מודה דהוה אשת איש גמורה ואם זינתה חייבת חנק, אלא דלענין תרומה הוה תרתי דסתרי. ע"ע לקמן שם.</w:t>
      </w:r>
    </w:p>
    <w:p w14:paraId="0E315570" w14:textId="77777777" w:rsidR="006C4368" w:rsidRPr="007119D6" w:rsidRDefault="006C4368" w:rsidP="006C4368">
      <w:pPr>
        <w:pStyle w:val="a7"/>
        <w:bidi/>
        <w:rPr>
          <w:rFonts w:ascii="Narkisim" w:hAnsi="Narkisim"/>
        </w:rPr>
      </w:pPr>
      <w:r w:rsidRPr="007119D6">
        <w:rPr>
          <w:rFonts w:ascii="Narkisim" w:hAnsi="Narkisim"/>
          <w:rtl/>
        </w:rPr>
        <w:lastRenderedPageBreak/>
        <w:t>וה</w:t>
      </w:r>
      <w:r w:rsidRPr="007119D6">
        <w:rPr>
          <w:rFonts w:ascii="Narkisim" w:hAnsi="Narkisim"/>
          <w:b/>
          <w:bCs/>
          <w:rtl/>
        </w:rPr>
        <w:t>ש"ש</w:t>
      </w:r>
      <w:r w:rsidRPr="007119D6">
        <w:rPr>
          <w:rFonts w:ascii="Narkisim" w:hAnsi="Narkisim"/>
          <w:rtl/>
        </w:rPr>
        <w:t xml:space="preserve"> (ז ד) כת' דלא תפסי קידושין כלל. דמדינא ל"מ עד א' כלל בדבר שבערוה, אלא דראו חכמים להאמין משום עיגונא (</w:t>
      </w:r>
      <w:r w:rsidRPr="007119D6">
        <w:rPr>
          <w:rFonts w:ascii="Narkisim" w:hAnsi="Narkisim"/>
          <w:szCs w:val="20"/>
          <w:rtl/>
        </w:rPr>
        <w:t>כדלעיל פח.</w:t>
      </w:r>
      <w:r w:rsidRPr="007119D6">
        <w:rPr>
          <w:rFonts w:ascii="Narkisim" w:hAnsi="Narkisim"/>
          <w:rtl/>
        </w:rPr>
        <w:t>)</w:t>
      </w:r>
      <w:r w:rsidRPr="007119D6">
        <w:rPr>
          <w:rStyle w:val="ac"/>
          <w:rFonts w:ascii="Narkisim" w:hAnsi="Narkisim"/>
          <w:rtl/>
        </w:rPr>
        <w:footnoteReference w:id="7973"/>
      </w:r>
      <w:r w:rsidRPr="007119D6">
        <w:rPr>
          <w:rFonts w:ascii="Narkisim" w:hAnsi="Narkisim"/>
          <w:rtl/>
        </w:rPr>
        <w:t>. א"כ בה' נשים אלו דאינם נאמנות ול"ש בזה עיגונא. א"כ הדר דינא דאין דבר שבערוה פחות מב'</w:t>
      </w:r>
      <w:r w:rsidRPr="007119D6">
        <w:rPr>
          <w:rStyle w:val="ac"/>
          <w:rFonts w:ascii="Narkisim" w:hAnsi="Narkisim"/>
          <w:rtl/>
        </w:rPr>
        <w:footnoteReference w:id="7974"/>
      </w:r>
      <w:r w:rsidRPr="007119D6">
        <w:rPr>
          <w:rFonts w:ascii="Narkisim" w:hAnsi="Narkisim"/>
          <w:rtl/>
        </w:rPr>
        <w:t>.</w:t>
      </w:r>
    </w:p>
    <w:p w14:paraId="15A7608A" w14:textId="77777777" w:rsidR="006C4368" w:rsidRPr="007119D6" w:rsidRDefault="006C4368" w:rsidP="006C4368">
      <w:pPr>
        <w:pStyle w:val="aa"/>
        <w:bidi/>
        <w:rPr>
          <w:rFonts w:ascii="Narkisim" w:hAnsi="Narkisim"/>
        </w:rPr>
      </w:pPr>
      <w:r w:rsidRPr="007119D6">
        <w:rPr>
          <w:rFonts w:ascii="Narkisim" w:hAnsi="Narkisim"/>
          <w:rtl/>
        </w:rPr>
        <w:t>והמשנ"ל דן כשהעידו כשרים שטבע במים שאין להם סוף [דמדרבנן לא תנשא כדלקמן קכא:], ואח"כ העידו א' מאלו, האם נאמנת במידי דרבנן</w:t>
      </w:r>
      <w:r w:rsidRPr="007119D6">
        <w:rPr>
          <w:rStyle w:val="ac"/>
          <w:rFonts w:ascii="Narkisim" w:hAnsi="Narkisim"/>
          <w:rtl/>
        </w:rPr>
        <w:footnoteReference w:id="7975"/>
      </w:r>
      <w:r w:rsidRPr="007119D6">
        <w:rPr>
          <w:rFonts w:ascii="Narkisim" w:hAnsi="Narkisim"/>
          <w:rtl/>
        </w:rPr>
        <w:t>. ועוד דכה"ג אם נשאת [בלא עדות זו] לא תצא, א"כ לא מצי מקלקלה</w:t>
      </w:r>
      <w:r w:rsidRPr="007119D6">
        <w:rPr>
          <w:rStyle w:val="ac"/>
          <w:rFonts w:ascii="Narkisim" w:hAnsi="Narkisim"/>
          <w:rtl/>
        </w:rPr>
        <w:footnoteReference w:id="7976"/>
      </w:r>
      <w:r w:rsidRPr="007119D6">
        <w:rPr>
          <w:rFonts w:ascii="Narkisim" w:hAnsi="Narkisim"/>
          <w:rtl/>
        </w:rPr>
        <w:t>.</w:t>
      </w:r>
    </w:p>
    <w:p w14:paraId="512F401C"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(ע' בי"ש יז יג, ומשנ"ל שם) דנו אי צרה אינה נאמנת אפי' במסיח לפי תומו.</w:t>
      </w:r>
    </w:p>
    <w:p w14:paraId="1CBB51EF" w14:textId="77777777" w:rsidR="006C4368" w:rsidRPr="007119D6" w:rsidRDefault="006C4368" w:rsidP="006C4368">
      <w:pPr>
        <w:bidi/>
        <w:rPr>
          <w:rFonts w:ascii="Narkisim" w:hAnsi="Narkisim" w:cs="Narkisim"/>
        </w:rPr>
      </w:pPr>
      <w:r w:rsidRPr="007119D6">
        <w:rPr>
          <w:rFonts w:ascii="Narkisim" w:hAnsi="Narkisim" w:cs="Narkisim"/>
          <w:u w:val="single"/>
          <w:rtl/>
        </w:rPr>
        <w:t>ויבמתה.</w:t>
      </w:r>
      <w:r w:rsidRPr="007119D6">
        <w:rPr>
          <w:rFonts w:ascii="Narkisim" w:hAnsi="Narkisim" w:cs="Narkisim"/>
          <w:rtl/>
        </w:rPr>
        <w:t xml:space="preserve"> פ</w:t>
      </w:r>
      <w:r w:rsidRPr="007119D6">
        <w:rPr>
          <w:rFonts w:ascii="Narkisim" w:hAnsi="Narkisim" w:cs="Narkisim"/>
          <w:b/>
          <w:bCs/>
          <w:rtl/>
        </w:rPr>
        <w:t>רש"י</w:t>
      </w:r>
      <w:r w:rsidRPr="007119D6">
        <w:rPr>
          <w:rFonts w:ascii="Narkisim" w:hAnsi="Narkisim" w:cs="Narkisim"/>
          <w:rtl/>
        </w:rPr>
        <w:t xml:space="preserve"> שיראה שסופה להיות צרתה. וה</w:t>
      </w:r>
      <w:r w:rsidRPr="007119D6">
        <w:rPr>
          <w:rFonts w:ascii="Narkisim" w:hAnsi="Narkisim" w:cs="Narkisim"/>
          <w:b/>
          <w:bCs/>
          <w:rtl/>
        </w:rPr>
        <w:t>משנ”ל</w:t>
      </w:r>
      <w:r w:rsidRPr="007119D6">
        <w:rPr>
          <w:rFonts w:ascii="Narkisim" w:hAnsi="Narkisim" w:cs="Narkisim"/>
          <w:rtl/>
        </w:rPr>
        <w:t xml:space="preserve"> (גירושין יב טז) האריך לדון האם אף כשיש להם כמה בנים. וכת' דצ"ל דמ"מ חיישינן שמא ימותו בניה ואח"כ ימות בעלה ותיפול ליבום. א"נ משום לא פלוג.</w:t>
      </w:r>
    </w:p>
    <w:p w14:paraId="5942F68B" w14:textId="77777777" w:rsidR="006C4368" w:rsidRPr="007119D6" w:rsidRDefault="006C4368" w:rsidP="006C4368">
      <w:pPr>
        <w:pStyle w:val="aa"/>
        <w:bidi/>
        <w:rPr>
          <w:rFonts w:ascii="Narkisim" w:hAnsi="Narkisim"/>
        </w:rPr>
      </w:pPr>
      <w:r w:rsidRPr="007119D6">
        <w:rPr>
          <w:rFonts w:ascii="Narkisim" w:hAnsi="Narkisim"/>
          <w:rtl/>
        </w:rPr>
        <w:t>וב</w:t>
      </w:r>
      <w:r w:rsidRPr="007119D6">
        <w:rPr>
          <w:rFonts w:ascii="Narkisim" w:hAnsi="Narkisim"/>
          <w:b/>
          <w:bCs/>
          <w:rtl/>
        </w:rPr>
        <w:t>הג' מים חיים</w:t>
      </w:r>
      <w:r w:rsidRPr="007119D6">
        <w:rPr>
          <w:rFonts w:ascii="Narkisim" w:hAnsi="Narkisim"/>
          <w:rtl/>
        </w:rPr>
        <w:t xml:space="preserve"> הק' דאמרי' (לעיל קיא:) דיבמתה לא אסקה דעתה שימות בעלה. ואילו הכא אמרי' דמסקה אדעתה. ויש ליישב.</w:t>
      </w:r>
    </w:p>
    <w:p w14:paraId="78F91F97"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רמב"ם</w:t>
      </w:r>
      <w:r w:rsidRPr="007119D6">
        <w:rPr>
          <w:rFonts w:ascii="Narkisim" w:hAnsi="Narkisim" w:cs="Narkisim"/>
          <w:rtl/>
        </w:rPr>
        <w:t xml:space="preserve"> (גירושין ז ג) הוסיף יבמתה אפי' היתה אחותה. ואפי' לא תיפול ליבום להיות צרתה (ע"פ הירושלמי). ו</w:t>
      </w:r>
      <w:r w:rsidRPr="007119D6">
        <w:rPr>
          <w:rFonts w:ascii="Narkisim" w:hAnsi="Narkisim" w:cs="Narkisim"/>
          <w:b/>
          <w:bCs/>
          <w:rtl/>
        </w:rPr>
        <w:t>ה"ה</w:t>
      </w:r>
      <w:r w:rsidRPr="007119D6">
        <w:rPr>
          <w:rFonts w:ascii="Narkisim" w:hAnsi="Narkisim" w:cs="Narkisim"/>
          <w:rtl/>
        </w:rPr>
        <w:t xml:space="preserve"> כת' דמ"מ לא פלוג בין יבמה ליבמה.</w:t>
      </w:r>
    </w:p>
    <w:p w14:paraId="083DCFAE" w14:textId="77777777" w:rsidR="006C4368" w:rsidRPr="007119D6" w:rsidRDefault="006C4368" w:rsidP="006C4368">
      <w:pPr>
        <w:pStyle w:val="aa"/>
        <w:bidi/>
        <w:rPr>
          <w:rFonts w:ascii="Narkisim" w:hAnsi="Narkisim"/>
        </w:rPr>
      </w:pPr>
      <w:r w:rsidRPr="007119D6">
        <w:rPr>
          <w:rFonts w:ascii="Narkisim" w:hAnsi="Narkisim"/>
          <w:u w:val="single"/>
          <w:rtl/>
        </w:rPr>
        <w:t>תוד"ה חוץ</w:t>
      </w:r>
      <w:r w:rsidRPr="007119D6">
        <w:rPr>
          <w:rFonts w:ascii="Narkisim" w:hAnsi="Narkisim"/>
          <w:rtl/>
        </w:rPr>
        <w:t>. ואפי' לשמואל (לעיל צו.) דיבמה אינה כאשת איש, א"כ כשיבא היבם תהא מותרת לחזור. וכדאי' (לעיל צד: וצה: וע”ע מש”כ שם ופט.) דביבם ל"ש שיאמרו גירש זה ונשא זה</w:t>
      </w:r>
      <w:r w:rsidRPr="007119D6">
        <w:rPr>
          <w:rStyle w:val="ac"/>
          <w:rFonts w:ascii="Narkisim" w:hAnsi="Narkisim"/>
          <w:rtl/>
        </w:rPr>
        <w:footnoteReference w:id="7977"/>
      </w:r>
      <w:r w:rsidRPr="007119D6">
        <w:rPr>
          <w:rFonts w:ascii="Narkisim" w:hAnsi="Narkisim"/>
          <w:rtl/>
        </w:rPr>
        <w:t xml:space="preserve">. </w:t>
      </w:r>
      <w:r w:rsidRPr="007119D6">
        <w:rPr>
          <w:rFonts w:ascii="Narkisim" w:hAnsi="Narkisim"/>
          <w:b/>
          <w:bCs/>
          <w:rtl/>
        </w:rPr>
        <w:t>רע"א</w:t>
      </w:r>
      <w:r w:rsidRPr="007119D6">
        <w:rPr>
          <w:rFonts w:ascii="Narkisim" w:hAnsi="Narkisim"/>
          <w:rtl/>
        </w:rPr>
        <w:t xml:space="preserve"> הביא דמבואר בתוס' דמש"ה אינה אסורה אף לבעל שני.</w:t>
      </w:r>
    </w:p>
    <w:p w14:paraId="4655085F" w14:textId="77777777" w:rsidR="006C4368" w:rsidRPr="007119D6" w:rsidRDefault="006C4368" w:rsidP="006C4368">
      <w:pPr>
        <w:pStyle w:val="a8"/>
        <w:bidi/>
        <w:rPr>
          <w:rFonts w:ascii="Narkisim" w:hAnsi="Narkisim"/>
        </w:rPr>
      </w:pPr>
      <w:r w:rsidRPr="007119D6">
        <w:rPr>
          <w:rFonts w:ascii="Narkisim" w:hAnsi="Narkisim"/>
          <w:rtl/>
        </w:rPr>
        <w:t>ד</w:t>
      </w:r>
      <w:r w:rsidRPr="007119D6">
        <w:rPr>
          <w:rFonts w:ascii="Narkisim" w:hAnsi="Narkisim"/>
          <w:b/>
          <w:bCs/>
          <w:rtl/>
        </w:rPr>
        <w:t>רע"א</w:t>
      </w:r>
      <w:r w:rsidRPr="007119D6">
        <w:rPr>
          <w:rFonts w:ascii="Narkisim" w:hAnsi="Narkisim"/>
          <w:rtl/>
        </w:rPr>
        <w:t xml:space="preserve"> העלה צד דהטעם דאסורה לשני משום קנס, והנידון (שם) במה אסורה לראשון. ועפ”ז י"ל דאף למ"ד דיבמה אינה כאשת איש, ומותרת לחזור לבעלה הראשון. מ”מ אסורה על היבם לאחר שימות הראשון [משום קנס, וכדין סוטה לבועל</w:t>
      </w:r>
      <w:r w:rsidRPr="007119D6">
        <w:rPr>
          <w:rStyle w:val="ac"/>
          <w:rFonts w:ascii="Narkisim" w:hAnsi="Narkisim"/>
          <w:rtl/>
        </w:rPr>
        <w:footnoteReference w:id="7978"/>
      </w:r>
      <w:r w:rsidRPr="007119D6">
        <w:rPr>
          <w:rFonts w:ascii="Narkisim" w:hAnsi="Narkisim"/>
          <w:rtl/>
        </w:rPr>
        <w:t>]. א"כ מרווחת שיבמתה לא תתייבם עוד לבעלה. ואילו מדברי התוס' מבואר דמבואר מדברי שמואל דאינה נאסרת אף לשני</w:t>
      </w:r>
      <w:r w:rsidRPr="007119D6">
        <w:rPr>
          <w:rStyle w:val="ac"/>
          <w:rFonts w:ascii="Narkisim" w:hAnsi="Narkisim"/>
          <w:rtl/>
        </w:rPr>
        <w:footnoteReference w:id="7979"/>
      </w:r>
      <w:r w:rsidRPr="007119D6">
        <w:rPr>
          <w:rFonts w:ascii="Narkisim" w:hAnsi="Narkisim"/>
          <w:rtl/>
        </w:rPr>
        <w:t>.</w:t>
      </w:r>
    </w:p>
    <w:p w14:paraId="472F0D43" w14:textId="77777777" w:rsidR="006C4368" w:rsidRPr="007119D6" w:rsidRDefault="006C4368" w:rsidP="006C4368">
      <w:pPr>
        <w:bidi/>
        <w:rPr>
          <w:rFonts w:ascii="Narkisim" w:hAnsi="Narkisim" w:cs="Narkisim"/>
        </w:rPr>
      </w:pPr>
      <w:r w:rsidRPr="007119D6">
        <w:rPr>
          <w:rFonts w:ascii="Narkisim" w:hAnsi="Narkisim" w:cs="Narkisim"/>
          <w:u w:val="single"/>
          <w:rtl/>
        </w:rPr>
        <w:t>בא"ד וא"ת והלא כשמעידה על יבמה שמת, שמא ייבמנה בעלה וכו'</w:t>
      </w:r>
      <w:r w:rsidRPr="007119D6">
        <w:rPr>
          <w:rFonts w:ascii="Narkisim" w:hAnsi="Narkisim" w:cs="Narkisim"/>
          <w:rtl/>
        </w:rPr>
        <w:t>. מבואר בתוס' דאיירי להעיד שמת לא בנים, שתתייבם</w:t>
      </w:r>
      <w:r w:rsidRPr="007119D6">
        <w:rPr>
          <w:rStyle w:val="ac"/>
          <w:rFonts w:ascii="Narkisim" w:hAnsi="Narkisim" w:cs="Narkisim"/>
          <w:rtl/>
        </w:rPr>
        <w:footnoteReference w:id="7980"/>
      </w:r>
      <w:r w:rsidRPr="007119D6">
        <w:rPr>
          <w:rFonts w:ascii="Narkisim" w:hAnsi="Narkisim" w:cs="Narkisim"/>
          <w:rtl/>
        </w:rPr>
        <w:t>. וה</w:t>
      </w:r>
      <w:r w:rsidRPr="007119D6">
        <w:rPr>
          <w:rFonts w:ascii="Narkisim" w:hAnsi="Narkisim" w:cs="Narkisim"/>
          <w:b/>
          <w:bCs/>
          <w:rtl/>
        </w:rPr>
        <w:t>משנ"ל</w:t>
      </w:r>
      <w:r w:rsidRPr="007119D6">
        <w:rPr>
          <w:rFonts w:ascii="Narkisim" w:hAnsi="Narkisim" w:cs="Narkisim"/>
          <w:rtl/>
        </w:rPr>
        <w:t xml:space="preserve"> (יב טז) הק' דמ"מ היכא דיש לזה [שמעידים שמת] בנים, א"כ העדות להתיר לעלמא.</w:t>
      </w:r>
    </w:p>
    <w:p w14:paraId="731C9AA1" w14:textId="77777777" w:rsidR="006C4368" w:rsidRPr="007119D6" w:rsidRDefault="006C4368" w:rsidP="006C4368">
      <w:pPr>
        <w:pStyle w:val="a8"/>
        <w:bidi/>
        <w:rPr>
          <w:rFonts w:ascii="Narkisim" w:hAnsi="Narkisim"/>
        </w:rPr>
      </w:pPr>
      <w:r w:rsidRPr="007119D6">
        <w:rPr>
          <w:rFonts w:ascii="Narkisim" w:hAnsi="Narkisim"/>
          <w:rtl/>
        </w:rPr>
        <w:t>והמשנ"ל כת' דמ"מ יבמתה אסורה משום דאין לה בנים [לבעלה של זו שמעידה] וחוששת שתמות בעלה ותתייבם לבעלה של זו [אף שיש לו בנים]. וכ"ש אי נימא דאף היכא דיש לה בנים פסלו חכמים כל יבמתה.</w:t>
      </w:r>
    </w:p>
    <w:p w14:paraId="2B6503C8"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משנ"ל</w:t>
      </w:r>
      <w:r w:rsidRPr="007119D6">
        <w:rPr>
          <w:rFonts w:ascii="Narkisim" w:hAnsi="Narkisim"/>
          <w:rtl/>
        </w:rPr>
        <w:t xml:space="preserve"> כת' דצ"ל דקו' התוס' דסתמא דמתני' מיירי בכל אופן, אף כשאין לזו בנים. [ועי"ש דהאריך טובא].</w:t>
      </w:r>
    </w:p>
    <w:p w14:paraId="5D4EDBB5"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כת' דאף בזה י"ל דעיקר התקנה היכא דיש לה בנים</w:t>
      </w:r>
      <w:r w:rsidRPr="007119D6">
        <w:rPr>
          <w:rStyle w:val="ac"/>
          <w:rFonts w:ascii="Narkisim" w:hAnsi="Narkisim"/>
          <w:rtl/>
        </w:rPr>
        <w:footnoteReference w:id="7981"/>
      </w:r>
      <w:r w:rsidRPr="007119D6">
        <w:rPr>
          <w:rFonts w:ascii="Narkisim" w:hAnsi="Narkisim"/>
          <w:rtl/>
        </w:rPr>
        <w:t xml:space="preserve">, ומעידה כדי שתנשא לאחר ותהא מקולקלת לבעלה. ועי"ז תקנו אף כשאין לה בנים משום לא פלוג. וע"ע רע"א שפלפל </w:t>
      </w:r>
      <w:r w:rsidRPr="007119D6">
        <w:rPr>
          <w:rFonts w:ascii="Narkisim" w:hAnsi="Narkisim"/>
          <w:rtl/>
        </w:rPr>
        <w:lastRenderedPageBreak/>
        <w:t>בסוגיין.</w:t>
      </w:r>
    </w:p>
    <w:p w14:paraId="354F969B" w14:textId="77777777" w:rsidR="006C4368" w:rsidRPr="007119D6" w:rsidRDefault="006C4368" w:rsidP="006C4368">
      <w:pPr>
        <w:pStyle w:val="aa"/>
        <w:bidi/>
        <w:rPr>
          <w:rFonts w:ascii="Narkisim" w:hAnsi="Narkisim"/>
        </w:rPr>
      </w:pPr>
      <w:r w:rsidRPr="007119D6">
        <w:rPr>
          <w:rFonts w:ascii="Narkisim" w:hAnsi="Narkisim"/>
          <w:u w:val="single"/>
          <w:rtl/>
        </w:rPr>
        <w:t>בא"ד וי"ל שאינה חוששת בכך, כיון שיודעת שהבעלה חי ויחזור, ולבסוף יקלקלנה</w:t>
      </w:r>
      <w:r w:rsidRPr="007119D6">
        <w:rPr>
          <w:rFonts w:ascii="Narkisim" w:hAnsi="Narkisim"/>
          <w:rtl/>
        </w:rPr>
        <w:t xml:space="preserve">. </w:t>
      </w:r>
      <w:r w:rsidRPr="007119D6">
        <w:rPr>
          <w:rFonts w:ascii="Narkisim" w:hAnsi="Narkisim"/>
          <w:b/>
          <w:bCs/>
          <w:rtl/>
        </w:rPr>
        <w:t>רע"א</w:t>
      </w:r>
      <w:r w:rsidRPr="007119D6">
        <w:rPr>
          <w:rFonts w:ascii="Narkisim" w:hAnsi="Narkisim"/>
          <w:rtl/>
        </w:rPr>
        <w:t xml:space="preserve"> הק' דתוס' (בתחילת דבריהם) כת' דלשמואל אינה כאשת איש, ואינה נאסרת עליו. אלא דמתכוונת לביישה. א"כ עתה מגרעת עצמה, דלאלתר הוה צרתה, ולבסוף כשיבא בעלה לא תרויח לסלקה מהיות צרתה.</w:t>
      </w:r>
    </w:p>
    <w:p w14:paraId="495188B5" w14:textId="77777777" w:rsidR="006C4368" w:rsidRPr="007119D6" w:rsidRDefault="006C4368" w:rsidP="006C4368">
      <w:pPr>
        <w:bidi/>
        <w:rPr>
          <w:rFonts w:ascii="Narkisim" w:hAnsi="Narkisim" w:cs="Narkisim"/>
        </w:rPr>
      </w:pPr>
      <w:r w:rsidRPr="007119D6">
        <w:rPr>
          <w:rFonts w:ascii="Narkisim" w:hAnsi="Narkisim" w:cs="Narkisim"/>
          <w:u w:val="single"/>
          <w:rtl/>
        </w:rPr>
        <w:t>מה בין גט למיתה שהכתב מוכיח</w:t>
      </w:r>
      <w:r w:rsidRPr="007119D6">
        <w:rPr>
          <w:rFonts w:ascii="Narkisim" w:hAnsi="Narkisim" w:cs="Narkisim"/>
          <w:rtl/>
        </w:rPr>
        <w:t>. ובברייתא (גיטין כג:) אי' דאין נאמנות להביא גיטה. ורב יוסף חילק דנאמנת להביא גט באר”י, דל”צ אמירת בפני נכתב [וכדאי' במשנה דהכתב מוכיח</w:t>
      </w:r>
      <w:r w:rsidRPr="007119D6">
        <w:rPr>
          <w:rStyle w:val="ac"/>
          <w:rFonts w:ascii="Narkisim" w:hAnsi="Narkisim" w:cs="Narkisim"/>
          <w:rtl/>
        </w:rPr>
        <w:footnoteReference w:id="7982"/>
      </w:r>
      <w:r w:rsidRPr="007119D6">
        <w:rPr>
          <w:rFonts w:ascii="Narkisim" w:hAnsi="Narkisim" w:cs="Narkisim"/>
          <w:rtl/>
        </w:rPr>
        <w:t>]. אבל מחו”ל אינה נאמנת להביא ולומר ב”נ</w:t>
      </w:r>
      <w:r w:rsidRPr="007119D6">
        <w:rPr>
          <w:rStyle w:val="ac"/>
          <w:rFonts w:ascii="Narkisim" w:hAnsi="Narkisim" w:cs="Narkisim"/>
          <w:rtl/>
        </w:rPr>
        <w:footnoteReference w:id="7983"/>
      </w:r>
      <w:r w:rsidRPr="007119D6">
        <w:rPr>
          <w:rFonts w:ascii="Narkisim" w:hAnsi="Narkisim" w:cs="Narkisim"/>
          <w:rtl/>
        </w:rPr>
        <w:t>. ואביי אמר להיפך, דאינה נאמנת להביא מאר"י דאי אתי בעל מערער מקלקלה, ויש לחוש דלקלקולא מכוונה. אבל נאמנת להביא מחו"ל דאי בעל מערער לא משגחינן ביה</w:t>
      </w:r>
      <w:r w:rsidRPr="007119D6">
        <w:rPr>
          <w:rStyle w:val="ac"/>
          <w:rFonts w:ascii="Narkisim" w:hAnsi="Narkisim" w:cs="Narkisim"/>
          <w:rtl/>
        </w:rPr>
        <w:footnoteReference w:id="7984"/>
      </w:r>
      <w:r w:rsidRPr="007119D6">
        <w:rPr>
          <w:rFonts w:ascii="Narkisim" w:hAnsi="Narkisim" w:cs="Narkisim"/>
          <w:rtl/>
        </w:rPr>
        <w:t>.</w:t>
      </w:r>
    </w:p>
    <w:p w14:paraId="57F65DC5"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(גיטין) הקשה דמ"מ קא מפקא ליה מבעלה, ושמא כוונת הצרה להוציא מתחת בעלה</w:t>
      </w:r>
      <w:r w:rsidRPr="007119D6">
        <w:rPr>
          <w:rStyle w:val="ac"/>
          <w:rFonts w:ascii="Narkisim" w:hAnsi="Narkisim"/>
          <w:rtl/>
        </w:rPr>
        <w:footnoteReference w:id="7985"/>
      </w:r>
      <w:r w:rsidRPr="007119D6">
        <w:rPr>
          <w:rFonts w:ascii="Narkisim" w:hAnsi="Narkisim"/>
          <w:rtl/>
        </w:rPr>
        <w:t>. ותי' דאינן חוששות משום כך, דסבורה שישא אחרת במקומה. וחששו רק שבא לקלקלה ולשמוח לאיד.</w:t>
      </w:r>
    </w:p>
    <w:p w14:paraId="21783C7D" w14:textId="77777777" w:rsidR="006C4368" w:rsidRPr="007119D6" w:rsidRDefault="006C4368" w:rsidP="006C4368">
      <w:pPr>
        <w:bidi/>
        <w:rPr>
          <w:rFonts w:ascii="Narkisim" w:hAnsi="Narkisim" w:cs="Narkisim"/>
        </w:rPr>
      </w:pPr>
      <w:r w:rsidRPr="007119D6">
        <w:rPr>
          <w:rFonts w:ascii="Narkisim" w:hAnsi="Narkisim" w:cs="Narkisim"/>
          <w:u w:val="single"/>
          <w:rtl/>
        </w:rPr>
        <w:t>או דלמא טעמא דבת חמותה דאמרה אכלה לגירסנא דאימא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יגיע אמי, שהביאה לאבי מבית אביה. ה</w:t>
      </w:r>
      <w:r w:rsidRPr="007119D6">
        <w:rPr>
          <w:rFonts w:ascii="Narkisim" w:hAnsi="Narkisim" w:cs="Narkisim"/>
          <w:b/>
          <w:bCs/>
          <w:rtl/>
        </w:rPr>
        <w:t>משנ"ל</w:t>
      </w:r>
      <w:r w:rsidRPr="007119D6">
        <w:rPr>
          <w:rFonts w:ascii="Narkisim" w:hAnsi="Narkisim" w:cs="Narkisim"/>
          <w:rtl/>
        </w:rPr>
        <w:t xml:space="preserve"> (יב טו ד”ה גרסינן) הק' דטעם זה שייך בבת חמיה וחמותה, ואילו בגמ' משמע דקאי אף בבת חמותה מאיש אחר</w:t>
      </w:r>
      <w:r w:rsidRPr="007119D6">
        <w:rPr>
          <w:rStyle w:val="ac"/>
          <w:rFonts w:ascii="Narkisim" w:hAnsi="Narkisim" w:cs="Narkisim"/>
          <w:rtl/>
        </w:rPr>
        <w:footnoteReference w:id="7986"/>
      </w:r>
      <w:r w:rsidRPr="007119D6">
        <w:rPr>
          <w:rFonts w:ascii="Narkisim" w:hAnsi="Narkisim" w:cs="Narkisim"/>
          <w:rtl/>
        </w:rPr>
        <w:t>. עי"ש שהאריך בזה. ע"ע מראות הצובאות (שם יז).</w:t>
      </w:r>
    </w:p>
    <w:p w14:paraId="1CB54CCC" w14:textId="77777777" w:rsidR="006C4368" w:rsidRPr="007119D6" w:rsidRDefault="006C4368" w:rsidP="006C4368">
      <w:pPr>
        <w:bidi/>
        <w:rPr>
          <w:rFonts w:ascii="Narkisim" w:hAnsi="Narkisim" w:cs="Narkisim"/>
        </w:rPr>
      </w:pPr>
      <w:r w:rsidRPr="007119D6">
        <w:rPr>
          <w:rFonts w:ascii="Narkisim" w:hAnsi="Narkisim" w:cs="Narkisim"/>
          <w:u w:val="single"/>
          <w:rtl/>
        </w:rPr>
        <w:t>ורבנן כמים הפנים לפנים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כיון דחמותה סניא לה, אף הכלה שונאת את חמותה. ול"צ טעם נוסף. ומבואר דחיישינן משום שנאה לבד תעיד לקלקלה, ואף שאינה מרוויחה מזה כלל.</w:t>
      </w:r>
    </w:p>
    <w:p w14:paraId="724FE93A"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כת' דלדעת רבנן אף אשת אח פסולה על בת חמותה, דכמים הפנים לפנים. ואילו לר' יהודה נאמנת להעידה דהא ליכא טעמא דאכלה לגירסנא ולא טעמא דתמלל מילי עלה. ואף דלא הוזכר בברייתא, למדנו דנח' בזה מתוך הטעמים.</w:t>
      </w:r>
    </w:p>
    <w:p w14:paraId="7EB33BF8" w14:textId="77777777" w:rsidR="006C4368" w:rsidRPr="007119D6" w:rsidRDefault="006C4368" w:rsidP="006C4368">
      <w:pPr>
        <w:bidi/>
        <w:rPr>
          <w:rFonts w:ascii="Narkisim" w:hAnsi="Narkisim" w:cs="Narkisim"/>
        </w:rPr>
      </w:pPr>
      <w:r w:rsidRPr="007119D6">
        <w:rPr>
          <w:rFonts w:ascii="Narkisim" w:hAnsi="Narkisim" w:cs="Narkisim"/>
          <w:u w:val="single"/>
          <w:rtl/>
        </w:rPr>
        <w:t>אמר רב אחא בר עויא בעי במערבא חמותה הבאה לאחר מיכן מהו, מי מסיק אדעתה דמית בעל ונפלה קמי יבם וכו</w:t>
      </w:r>
      <w:r w:rsidRPr="007119D6">
        <w:rPr>
          <w:rFonts w:ascii="Narkisim" w:hAnsi="Narkisim" w:cs="Narkisim"/>
          <w:rtl/>
        </w:rPr>
        <w:t>'. ה</w:t>
      </w:r>
      <w:r w:rsidRPr="007119D6">
        <w:rPr>
          <w:rFonts w:ascii="Narkisim" w:hAnsi="Narkisim" w:cs="Narkisim"/>
          <w:b/>
          <w:bCs/>
          <w:rtl/>
        </w:rPr>
        <w:t>חלק"מ</w:t>
      </w:r>
      <w:r w:rsidRPr="007119D6">
        <w:rPr>
          <w:rFonts w:ascii="Narkisim" w:hAnsi="Narkisim" w:cs="Narkisim"/>
          <w:rtl/>
        </w:rPr>
        <w:t xml:space="preserve"> (יז יא) כת' דכ"ז היכא דעומדת ליפול לפני בנה. אבל היכא דהוה ערוה וכדו' מעידה עליה. [ודוקא ביבמתה אמרו לא פלוג. אבל בחמותה שלאחר מיכן, כה"ג לא תהא חמותה].</w:t>
      </w:r>
    </w:p>
    <w:p w14:paraId="3D109A7F" w14:textId="77777777" w:rsidR="006C4368" w:rsidRPr="007119D6" w:rsidRDefault="006C4368" w:rsidP="006C4368">
      <w:pPr>
        <w:pStyle w:val="a7"/>
        <w:bidi/>
        <w:rPr>
          <w:rFonts w:ascii="Narkisim" w:hAnsi="Narkisim"/>
        </w:rPr>
      </w:pPr>
      <w:r w:rsidRPr="007119D6">
        <w:rPr>
          <w:rFonts w:ascii="Narkisim" w:hAnsi="Narkisim"/>
          <w:rtl/>
        </w:rPr>
        <w:t>ועד"ז דן החלק"מ במדינות שאין נוהגין לייבם</w:t>
      </w:r>
      <w:r w:rsidRPr="007119D6">
        <w:rPr>
          <w:rStyle w:val="ac"/>
          <w:rFonts w:ascii="Narkisim" w:hAnsi="Narkisim"/>
          <w:rtl/>
        </w:rPr>
        <w:footnoteReference w:id="7987"/>
      </w:r>
      <w:r w:rsidRPr="007119D6">
        <w:rPr>
          <w:rFonts w:ascii="Narkisim" w:hAnsi="Narkisim"/>
          <w:rtl/>
        </w:rPr>
        <w:t>, דאין סופה להתייבם ואינה פסולה אאם היבם</w:t>
      </w:r>
      <w:r w:rsidRPr="007119D6">
        <w:rPr>
          <w:rStyle w:val="ac"/>
          <w:rFonts w:ascii="Narkisim" w:hAnsi="Narkisim"/>
          <w:rtl/>
        </w:rPr>
        <w:footnoteReference w:id="7988"/>
      </w:r>
      <w:r w:rsidRPr="007119D6">
        <w:rPr>
          <w:rFonts w:ascii="Narkisim" w:hAnsi="Narkisim"/>
          <w:rtl/>
        </w:rPr>
        <w:t xml:space="preserve">.  </w:t>
      </w:r>
    </w:p>
    <w:p w14:paraId="4103C84A"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פתח"ת</w:t>
      </w:r>
      <w:r w:rsidRPr="007119D6">
        <w:rPr>
          <w:rFonts w:ascii="Narkisim" w:hAnsi="Narkisim"/>
          <w:rtl/>
        </w:rPr>
        <w:t xml:space="preserve"> (יז כז) הביא דה</w:t>
      </w:r>
      <w:r w:rsidRPr="007119D6">
        <w:rPr>
          <w:rFonts w:ascii="Narkisim" w:hAnsi="Narkisim"/>
          <w:b/>
          <w:bCs/>
          <w:rtl/>
        </w:rPr>
        <w:t>עבודת הגרשוני</w:t>
      </w:r>
      <w:r w:rsidRPr="007119D6">
        <w:rPr>
          <w:rFonts w:ascii="Narkisim" w:hAnsi="Narkisim"/>
          <w:rtl/>
        </w:rPr>
        <w:t xml:space="preserve"> (סז) כת' דספק זה שייך אף בבת אחי בעלה, דאם תתייבם הוה בת בעלה</w:t>
      </w:r>
      <w:r w:rsidRPr="007119D6">
        <w:rPr>
          <w:rStyle w:val="ac"/>
          <w:rFonts w:ascii="Narkisim" w:hAnsi="Narkisim"/>
          <w:rtl/>
        </w:rPr>
        <w:footnoteReference w:id="7989"/>
      </w:r>
      <w:r w:rsidRPr="007119D6">
        <w:rPr>
          <w:rFonts w:ascii="Narkisim" w:hAnsi="Narkisim"/>
          <w:rtl/>
        </w:rPr>
        <w:t>. [והביא דכ"כ ה</w:t>
      </w:r>
      <w:r w:rsidRPr="007119D6">
        <w:rPr>
          <w:rFonts w:ascii="Narkisim" w:hAnsi="Narkisim"/>
          <w:b/>
          <w:bCs/>
          <w:rtl/>
        </w:rPr>
        <w:t>בי"ש</w:t>
      </w:r>
      <w:r w:rsidRPr="007119D6">
        <w:rPr>
          <w:rFonts w:ascii="Narkisim" w:hAnsi="Narkisim"/>
          <w:rtl/>
        </w:rPr>
        <w:t xml:space="preserve"> (קנח ג בשם הצמח צדק פח) דבת יבמה הוה בכלל בת בעלה</w:t>
      </w:r>
      <w:r w:rsidRPr="007119D6">
        <w:rPr>
          <w:rStyle w:val="ac"/>
          <w:rFonts w:ascii="Narkisim" w:hAnsi="Narkisim"/>
          <w:rtl/>
        </w:rPr>
        <w:footnoteReference w:id="7990"/>
      </w:r>
      <w:r w:rsidRPr="007119D6">
        <w:rPr>
          <w:rFonts w:ascii="Narkisim" w:hAnsi="Narkisim"/>
          <w:rtl/>
        </w:rPr>
        <w:t xml:space="preserve">]. והפתח"ת הביא </w:t>
      </w:r>
      <w:r w:rsidRPr="007119D6">
        <w:rPr>
          <w:rFonts w:ascii="Narkisim" w:hAnsi="Narkisim"/>
          <w:rtl/>
        </w:rPr>
        <w:lastRenderedPageBreak/>
        <w:t>דהמהרח"ש ובית מאיר צידדו להקל.</w:t>
      </w:r>
    </w:p>
    <w:p w14:paraId="492783AB" w14:textId="77777777" w:rsidR="006C4368" w:rsidRPr="007119D6" w:rsidRDefault="006C4368" w:rsidP="006C4368">
      <w:pPr>
        <w:pStyle w:val="aa"/>
        <w:bidi/>
        <w:rPr>
          <w:rFonts w:ascii="Narkisim" w:hAnsi="Narkisim"/>
        </w:rPr>
      </w:pPr>
      <w:r w:rsidRPr="007119D6">
        <w:rPr>
          <w:rFonts w:ascii="Narkisim" w:hAnsi="Narkisim"/>
          <w:rtl/>
        </w:rPr>
        <w:t>ובעיין לא איפשיטא, וה</w:t>
      </w:r>
      <w:r w:rsidRPr="007119D6">
        <w:rPr>
          <w:rFonts w:ascii="Narkisim" w:hAnsi="Narkisim"/>
          <w:b/>
          <w:bCs/>
          <w:rtl/>
        </w:rPr>
        <w:t>טור</w:t>
      </w:r>
      <w:r w:rsidRPr="007119D6">
        <w:rPr>
          <w:rFonts w:ascii="Narkisim" w:hAnsi="Narkisim"/>
          <w:rtl/>
        </w:rPr>
        <w:t xml:space="preserve"> (והרמ"א יז ד) כת' להחמיר. וה</w:t>
      </w:r>
      <w:r w:rsidRPr="007119D6">
        <w:rPr>
          <w:rFonts w:ascii="Narkisim" w:hAnsi="Narkisim"/>
          <w:b/>
          <w:bCs/>
          <w:rtl/>
        </w:rPr>
        <w:t>רי”ף</w:t>
      </w:r>
      <w:r w:rsidRPr="007119D6">
        <w:rPr>
          <w:rFonts w:ascii="Narkisim" w:hAnsi="Narkisim"/>
          <w:rtl/>
        </w:rPr>
        <w:t xml:space="preserve"> וה</w:t>
      </w:r>
      <w:r w:rsidRPr="007119D6">
        <w:rPr>
          <w:rFonts w:ascii="Narkisim" w:hAnsi="Narkisim"/>
          <w:b/>
          <w:bCs/>
          <w:rtl/>
        </w:rPr>
        <w:t>רמב”ם</w:t>
      </w:r>
      <w:r w:rsidRPr="007119D6">
        <w:rPr>
          <w:rFonts w:ascii="Narkisim" w:hAnsi="Narkisim"/>
          <w:rtl/>
        </w:rPr>
        <w:t xml:space="preserve"> השמיטו הספק, ו</w:t>
      </w:r>
      <w:r w:rsidRPr="007119D6">
        <w:rPr>
          <w:rFonts w:ascii="Narkisim" w:hAnsi="Narkisim"/>
          <w:b/>
          <w:bCs/>
          <w:rtl/>
        </w:rPr>
        <w:t>ה”ה</w:t>
      </w:r>
      <w:r w:rsidRPr="007119D6">
        <w:rPr>
          <w:rFonts w:ascii="Narkisim" w:hAnsi="Narkisim"/>
          <w:rtl/>
        </w:rPr>
        <w:t xml:space="preserve"> (יב טז) תמה בזה. וה</w:t>
      </w:r>
      <w:r w:rsidRPr="007119D6">
        <w:rPr>
          <w:rFonts w:ascii="Narkisim" w:hAnsi="Narkisim"/>
          <w:b/>
          <w:bCs/>
          <w:rtl/>
        </w:rPr>
        <w:t>ב”י</w:t>
      </w:r>
      <w:r w:rsidRPr="007119D6">
        <w:rPr>
          <w:rFonts w:ascii="Narkisim" w:hAnsi="Narkisim"/>
          <w:rtl/>
        </w:rPr>
        <w:t xml:space="preserve"> כת' דכיון דלא איפשיטא הוה לקולא, דרבנן מהדרי להקל בעדות אשה בכמה דברים, והא נמי הוה חששא בעלמא שמא תקלקלנה במילתא דעבידא לאיגלויי, ומש”ה נקטינן לקולא.</w:t>
      </w:r>
    </w:p>
    <w:p w14:paraId="0BF30739" w14:textId="77777777" w:rsidR="006C4368" w:rsidRPr="007119D6" w:rsidRDefault="006C4368" w:rsidP="006C4368">
      <w:pPr>
        <w:pStyle w:val="a8"/>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תמה דה' נשים אינם נאמנות אפי' לחומרא, כדמבואר (במשנה קיח.) דאוכלת בתרומה, וע"כ דאף מדאורייתא אינה נאמנת דמחזקינן לה כמשקרת ודאי, וקיימא בחזקת אשת איש. א"כ האיך אפשר להקל בספיקא.</w:t>
      </w:r>
    </w:p>
    <w:p w14:paraId="0568CFDB" w14:textId="77777777" w:rsidR="006C4368" w:rsidRPr="007119D6" w:rsidRDefault="006C4368" w:rsidP="006C4368">
      <w:pPr>
        <w:pStyle w:val="3"/>
        <w:bidi/>
        <w:rPr>
          <w:rFonts w:ascii="Narkisim" w:hAnsi="Narkisim"/>
        </w:rPr>
      </w:pPr>
      <w:r w:rsidRPr="007119D6">
        <w:rPr>
          <w:rFonts w:ascii="Narkisim" w:hAnsi="Narkisim"/>
          <w:rtl/>
        </w:rPr>
        <w:t>דף קיז:</w:t>
      </w:r>
    </w:p>
    <w:p w14:paraId="20FAB63D" w14:textId="77777777" w:rsidR="006C4368" w:rsidRPr="007119D6" w:rsidRDefault="006C4368" w:rsidP="006C4368">
      <w:pPr>
        <w:bidi/>
        <w:rPr>
          <w:rFonts w:ascii="Narkisim" w:hAnsi="Narkisim" w:cs="Narkisim"/>
        </w:rPr>
      </w:pPr>
      <w:r w:rsidRPr="007119D6">
        <w:rPr>
          <w:rFonts w:ascii="Narkisim" w:hAnsi="Narkisim" w:cs="Narkisim"/>
          <w:u w:val="single"/>
          <w:rtl/>
        </w:rPr>
        <w:t>לאו משום דאמרי' לא בעלה מיית ולא חמיה מיית וכו' סברה לבתר שעתא לה תיתי תצטערן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דהשתא הבן במדינת הים [ואינו מדבר עליה], וחוששת שמא יחזור. וה"ה חמותה לאחר מיכן [ע"י יבום]</w:t>
      </w:r>
      <w:r w:rsidRPr="007119D6">
        <w:rPr>
          <w:rStyle w:val="ac"/>
          <w:rFonts w:ascii="Narkisim" w:hAnsi="Narkisim" w:cs="Narkisim"/>
          <w:rtl/>
        </w:rPr>
        <w:footnoteReference w:id="7991"/>
      </w:r>
      <w:r w:rsidRPr="007119D6">
        <w:rPr>
          <w:rFonts w:ascii="Narkisim" w:hAnsi="Narkisim" w:cs="Narkisim"/>
          <w:rtl/>
        </w:rPr>
        <w:t>.</w:t>
      </w:r>
    </w:p>
    <w:p w14:paraId="4D2E060B"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משנ"ל</w:t>
      </w:r>
      <w:r w:rsidRPr="007119D6">
        <w:rPr>
          <w:rFonts w:ascii="Narkisim" w:hAnsi="Narkisim"/>
          <w:rtl/>
        </w:rPr>
        <w:t xml:space="preserve"> (יב טז) כת' דקו' זו שייך אליבא דר' יהודה, שהנידון משום דמדבר עליה. דאילו לסברת רבנן חמותה פסולה דאכלה לגרסנא, וזה שייך אף בעודה במדינת הים. והכלה פסולה משום כמים לפנים. וביאר (בשם המהרח"ש) דכוונת הגמ' להוכיח מדברי ר' יהודה דחיישי' לצער של אח"כ. ומדר' יהודה נשמע לרבנן.</w:t>
      </w:r>
    </w:p>
    <w:p w14:paraId="79AAC390" w14:textId="77777777" w:rsidR="006C4368" w:rsidRPr="007119D6" w:rsidRDefault="006C4368" w:rsidP="006C4368">
      <w:pPr>
        <w:pStyle w:val="aa"/>
        <w:bidi/>
        <w:rPr>
          <w:rFonts w:ascii="Narkisim" w:hAnsi="Narkisim"/>
        </w:rPr>
      </w:pPr>
      <w:r w:rsidRPr="007119D6">
        <w:rPr>
          <w:rFonts w:ascii="Narkisim" w:hAnsi="Narkisim"/>
          <w:rtl/>
        </w:rPr>
        <w:t>ופ</w:t>
      </w:r>
      <w:r w:rsidRPr="007119D6">
        <w:rPr>
          <w:rFonts w:ascii="Narkisim" w:hAnsi="Narkisim"/>
          <w:b/>
          <w:bCs/>
          <w:rtl/>
        </w:rPr>
        <w:t>רש"י</w:t>
      </w:r>
      <w:r w:rsidRPr="007119D6">
        <w:rPr>
          <w:rFonts w:ascii="Narkisim" w:hAnsi="Narkisim"/>
          <w:rtl/>
        </w:rPr>
        <w:t xml:space="preserve"> מסקא כלה אדעתה לקלקלה מעכשיו כי היכי דלבתר שעתא כשישוב בעלי ובעלה תדחה לחרפות ולא תיתי לטרדן. </w:t>
      </w:r>
      <w:r w:rsidRPr="007119D6">
        <w:rPr>
          <w:rFonts w:ascii="Narkisim" w:hAnsi="Narkisim"/>
          <w:b/>
          <w:bCs/>
          <w:rtl/>
        </w:rPr>
        <w:t>רע"א</w:t>
      </w:r>
      <w:r w:rsidRPr="007119D6">
        <w:rPr>
          <w:rFonts w:ascii="Narkisim" w:hAnsi="Narkisim"/>
          <w:rtl/>
        </w:rPr>
        <w:t xml:space="preserve"> דייק מדברי רש"י דלא חששו שתעיד מחמת שנאה, אא"כ יש לה תועלת מזה, דתדחה לחרפות. שיהא פירוד בינה לבעלה של זו. אף היכא דאינה מקלקלה ליאסר על בעלה.</w:t>
      </w:r>
    </w:p>
    <w:p w14:paraId="271D56E9" w14:textId="77777777" w:rsidR="006C4368" w:rsidRPr="007119D6" w:rsidRDefault="006C4368" w:rsidP="006C4368">
      <w:pPr>
        <w:bidi/>
        <w:rPr>
          <w:rFonts w:ascii="Narkisim" w:hAnsi="Narkisim" w:cs="Narkisim"/>
        </w:rPr>
      </w:pPr>
      <w:r w:rsidRPr="007119D6">
        <w:rPr>
          <w:rFonts w:ascii="Narkisim" w:hAnsi="Narkisim" w:cs="Narkisim"/>
          <w:u w:val="single"/>
          <w:rtl/>
        </w:rPr>
        <w:t>תוד"ה לאו</w:t>
      </w:r>
      <w:r w:rsidRPr="007119D6">
        <w:rPr>
          <w:rFonts w:ascii="Narkisim" w:hAnsi="Narkisim" w:cs="Narkisim"/>
          <w:rtl/>
        </w:rPr>
        <w:t>. וא"ת מה יש לחוש מ"מ נתיר לחמותה כשנשאת הכלה וכו'. מבואר דפשיט”ל לתוס' דדוקא היכא דעדיין ראויה להיות חמותה אינה נאמנת.</w:t>
      </w:r>
    </w:p>
    <w:p w14:paraId="2B9BFC31"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אחרונים</w:t>
      </w:r>
      <w:r w:rsidRPr="007119D6">
        <w:rPr>
          <w:rFonts w:ascii="Narkisim" w:hAnsi="Narkisim" w:cs="Narkisim"/>
          <w:rtl/>
        </w:rPr>
        <w:t xml:space="preserve"> הביאו דה</w:t>
      </w:r>
      <w:r w:rsidRPr="007119D6">
        <w:rPr>
          <w:rFonts w:ascii="Narkisim" w:hAnsi="Narkisim" w:cs="Narkisim"/>
          <w:b/>
          <w:bCs/>
          <w:rtl/>
        </w:rPr>
        <w:t>רמב"ם</w:t>
      </w:r>
      <w:r w:rsidRPr="007119D6">
        <w:rPr>
          <w:rFonts w:ascii="Narkisim" w:hAnsi="Narkisim" w:cs="Narkisim"/>
          <w:rtl/>
        </w:rPr>
        <w:t xml:space="preserve"> (גירושין ז ג) כת' דאפי' היתה צרתה נשואה לאחר אינה נאמנת. ו</w:t>
      </w:r>
      <w:r w:rsidRPr="007119D6">
        <w:rPr>
          <w:rFonts w:ascii="Narkisim" w:hAnsi="Narkisim" w:cs="Narkisim"/>
          <w:b/>
          <w:bCs/>
          <w:rtl/>
        </w:rPr>
        <w:t>ה"ה</w:t>
      </w:r>
      <w:r w:rsidRPr="007119D6">
        <w:rPr>
          <w:rFonts w:ascii="Narkisim" w:hAnsi="Narkisim" w:cs="Narkisim"/>
          <w:rtl/>
        </w:rPr>
        <w:t xml:space="preserve"> (שם ב) הביא דכ"מ בגמ' (לקמן קכ.) דאף היכא דהצרה נשאת לאחר [וממ"נ נאסרת על בעלה הראשון</w:t>
      </w:r>
      <w:r w:rsidRPr="007119D6">
        <w:rPr>
          <w:rStyle w:val="ac"/>
          <w:rFonts w:ascii="Narkisim" w:hAnsi="Narkisim" w:cs="Narkisim"/>
          <w:rtl/>
        </w:rPr>
        <w:footnoteReference w:id="7992"/>
      </w:r>
      <w:r w:rsidRPr="007119D6">
        <w:rPr>
          <w:rFonts w:ascii="Narkisim" w:hAnsi="Narkisim" w:cs="Narkisim"/>
          <w:rtl/>
        </w:rPr>
        <w:t>], חיישינן שמכוונת לקלקל לצרתה</w:t>
      </w:r>
      <w:r w:rsidRPr="007119D6">
        <w:rPr>
          <w:rStyle w:val="ac"/>
          <w:rFonts w:ascii="Narkisim" w:hAnsi="Narkisim" w:cs="Narkisim"/>
          <w:rtl/>
        </w:rPr>
        <w:footnoteReference w:id="7993"/>
      </w:r>
      <w:r w:rsidRPr="007119D6">
        <w:rPr>
          <w:rFonts w:ascii="Narkisim" w:hAnsi="Narkisim" w:cs="Narkisim"/>
          <w:rtl/>
        </w:rPr>
        <w:t>. ו</w:t>
      </w:r>
      <w:r w:rsidRPr="007119D6">
        <w:rPr>
          <w:rFonts w:ascii="Narkisim" w:hAnsi="Narkisim" w:cs="Narkisim"/>
          <w:b/>
          <w:bCs/>
          <w:rtl/>
        </w:rPr>
        <w:t>רע"א</w:t>
      </w:r>
      <w:r w:rsidRPr="007119D6">
        <w:rPr>
          <w:rFonts w:ascii="Narkisim" w:hAnsi="Narkisim" w:cs="Narkisim"/>
          <w:rtl/>
        </w:rPr>
        <w:t xml:space="preserve"> הביא עוד מהגמ' (לקמן קכ.) דאף אי הצרה אתי בגט אינה נאמנת</w:t>
      </w:r>
      <w:r w:rsidRPr="007119D6">
        <w:rPr>
          <w:rStyle w:val="ac"/>
          <w:rFonts w:ascii="Narkisim" w:hAnsi="Narkisim" w:cs="Narkisim"/>
          <w:rtl/>
        </w:rPr>
        <w:footnoteReference w:id="7994"/>
      </w:r>
      <w:r w:rsidRPr="007119D6">
        <w:rPr>
          <w:rFonts w:ascii="Narkisim" w:hAnsi="Narkisim" w:cs="Narkisim"/>
          <w:rtl/>
        </w:rPr>
        <w:t>. וע"כ דהטעם משום שנאה שהיה לה מעיקרא.</w:t>
      </w:r>
    </w:p>
    <w:p w14:paraId="1A26AB96"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מהרש"א</w:t>
      </w:r>
      <w:r w:rsidRPr="007119D6">
        <w:rPr>
          <w:rFonts w:ascii="Narkisim" w:hAnsi="Narkisim"/>
          <w:rtl/>
        </w:rPr>
        <w:t xml:space="preserve"> (לקמן קיט:) כת' דדוקא בצרתה חיישינן [אף אילו באה עם הגט], משום דהיה עמה צער הגוף. ומש"ה מחמת שנאה דמעיקרא חיישינן לעולם. אבל בחמותה לא חיישינן אא"כ תחזור להיות כלתה, וכדמבואר בסוגיין דלא חששו אלא משום דלא תיתי תצטערן. וביאר דבחמותה הוה צער דמילי דעלמא, ומשום חשש זה לא מקלקלא אא"כ כשתחזור להיות כלתה.</w:t>
      </w:r>
    </w:p>
    <w:p w14:paraId="58914D6B" w14:textId="77777777" w:rsidR="006C4368" w:rsidRPr="007119D6" w:rsidRDefault="006C4368" w:rsidP="006C4368">
      <w:pPr>
        <w:bidi/>
        <w:rPr>
          <w:rFonts w:ascii="Narkisim" w:hAnsi="Narkisim" w:cs="Narkisim"/>
        </w:rPr>
      </w:pPr>
      <w:r w:rsidRPr="007119D6">
        <w:rPr>
          <w:rFonts w:ascii="Narkisim" w:hAnsi="Narkisim" w:cs="Narkisim"/>
          <w:u w:val="single"/>
          <w:rtl/>
        </w:rPr>
        <w:t>שאני התם דרגיש לה צערא</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כבר הרגישה בצער. </w:t>
      </w:r>
      <w:r w:rsidRPr="007119D6">
        <w:rPr>
          <w:rFonts w:ascii="Narkisim" w:hAnsi="Narkisim" w:cs="Narkisim"/>
          <w:szCs w:val="20"/>
          <w:rtl/>
        </w:rPr>
        <w:t>וה</w:t>
      </w:r>
      <w:r w:rsidRPr="007119D6">
        <w:rPr>
          <w:rFonts w:ascii="Narkisim" w:hAnsi="Narkisim" w:cs="Narkisim"/>
          <w:b/>
          <w:bCs/>
          <w:szCs w:val="20"/>
          <w:rtl/>
        </w:rPr>
        <w:t>ריטב"א</w:t>
      </w:r>
      <w:r w:rsidRPr="007119D6">
        <w:rPr>
          <w:rFonts w:ascii="Narkisim" w:hAnsi="Narkisim" w:cs="Narkisim"/>
          <w:szCs w:val="20"/>
          <w:rtl/>
        </w:rPr>
        <w:t xml:space="preserve"> כת' דלפ"ז הגמ' כאן קאי כר' יהודה דהטעם לפסול כלה הוה משום צער, שמדברת עליה [וכן </w:t>
      </w:r>
      <w:r w:rsidRPr="007119D6">
        <w:rPr>
          <w:rFonts w:ascii="Narkisim" w:hAnsi="Narkisim" w:cs="Narkisim"/>
          <w:b/>
          <w:bCs/>
          <w:szCs w:val="20"/>
          <w:rtl/>
        </w:rPr>
        <w:t>רש"י</w:t>
      </w:r>
      <w:r w:rsidRPr="007119D6">
        <w:rPr>
          <w:rFonts w:ascii="Narkisim" w:hAnsi="Narkisim" w:cs="Narkisim"/>
          <w:szCs w:val="20"/>
          <w:rtl/>
        </w:rPr>
        <w:t xml:space="preserve"> (ד"ה אמרה) ביאר ע”ד סברת ר' יהודה]. דאילו לרבנן חמותה פסולה משום דאכלה לגרסנה</w:t>
      </w:r>
      <w:r w:rsidRPr="007119D6">
        <w:rPr>
          <w:rStyle w:val="ac"/>
          <w:rFonts w:ascii="Narkisim" w:hAnsi="Narkisim" w:cs="Narkisim"/>
          <w:szCs w:val="20"/>
          <w:rtl/>
        </w:rPr>
        <w:footnoteReference w:id="7995"/>
      </w:r>
      <w:r w:rsidRPr="007119D6">
        <w:rPr>
          <w:rFonts w:ascii="Narkisim" w:hAnsi="Narkisim" w:cs="Narkisim"/>
          <w:szCs w:val="20"/>
          <w:rtl/>
        </w:rPr>
        <w:t>. והכלה פסולה משום כמים הפנים אל הפנים. ול"ש בזה סברת רגיש צערה</w:t>
      </w:r>
      <w:r w:rsidRPr="007119D6">
        <w:rPr>
          <w:rFonts w:ascii="Narkisim" w:hAnsi="Narkisim" w:cs="Narkisim"/>
          <w:rtl/>
        </w:rPr>
        <w:t>. אבל ה</w:t>
      </w:r>
      <w:r w:rsidRPr="007119D6">
        <w:rPr>
          <w:rFonts w:ascii="Narkisim" w:hAnsi="Narkisim" w:cs="Narkisim"/>
          <w:b/>
          <w:bCs/>
          <w:rtl/>
        </w:rPr>
        <w:t>בעה"מ</w:t>
      </w:r>
      <w:r w:rsidRPr="007119D6">
        <w:rPr>
          <w:rFonts w:ascii="Narkisim" w:hAnsi="Narkisim" w:cs="Narkisim"/>
          <w:rtl/>
        </w:rPr>
        <w:t xml:space="preserve"> גרס 'דגיש ליה צערא', כלומר זה הצער ממשמש ובא [מלשון ספינה גוששת], שחושבת היא למחר יבא בעלה ממדינת הים ותצערנה. אבל למיתה לא חיישא דלא שכיחא כולי האי ולא מסקא אדעתא. ועד"ז כת' הריטב"א אף לגירסא דידן.</w:t>
      </w:r>
    </w:p>
    <w:p w14:paraId="5953D6FD" w14:textId="77777777" w:rsidR="006C4368" w:rsidRPr="007119D6" w:rsidRDefault="006C4368" w:rsidP="006C4368">
      <w:pPr>
        <w:bidi/>
        <w:rPr>
          <w:rFonts w:ascii="Narkisim" w:hAnsi="Narkisim" w:cs="Narkisim"/>
        </w:rPr>
      </w:pPr>
      <w:r w:rsidRPr="007119D6">
        <w:rPr>
          <w:rFonts w:ascii="Narkisim" w:hAnsi="Narkisim" w:cs="Narkisim"/>
          <w:u w:val="single"/>
          <w:rtl/>
        </w:rPr>
        <w:lastRenderedPageBreak/>
        <w:t>שם</w:t>
      </w:r>
      <w:r w:rsidRPr="007119D6">
        <w:rPr>
          <w:rFonts w:ascii="Narkisim" w:hAnsi="Narkisim" w:cs="Narkisim"/>
          <w:rtl/>
        </w:rPr>
        <w:t>. וה</w:t>
      </w:r>
      <w:r w:rsidRPr="007119D6">
        <w:rPr>
          <w:rFonts w:ascii="Narkisim" w:hAnsi="Narkisim" w:cs="Narkisim"/>
          <w:b/>
          <w:bCs/>
          <w:rtl/>
        </w:rPr>
        <w:t>משנ"ל</w:t>
      </w:r>
      <w:r w:rsidRPr="007119D6">
        <w:rPr>
          <w:rFonts w:ascii="Narkisim" w:hAnsi="Narkisim" w:cs="Narkisim"/>
          <w:rtl/>
        </w:rPr>
        <w:t xml:space="preserve"> (יב טז ד”ה ואני) נסתפק לפרש"י האם רגיש צערא לחוד מהני, ואף דעכשיו נגמר השנאה פסולה. או דעיקר הטעם דחוששת לעתיד, אלא דכיון דכבר הרגישה חוששת טפי. [ומש"ה חמיר מחמותה הבאה לאחר מכן].</w:t>
      </w:r>
    </w:p>
    <w:p w14:paraId="006B8EF1" w14:textId="77777777" w:rsidR="006C4368" w:rsidRPr="007119D6" w:rsidRDefault="006C4368" w:rsidP="006C4368">
      <w:pPr>
        <w:pStyle w:val="a7"/>
        <w:bidi/>
        <w:rPr>
          <w:rFonts w:ascii="Narkisim" w:hAnsi="Narkisim"/>
        </w:rPr>
      </w:pPr>
      <w:r w:rsidRPr="007119D6">
        <w:rPr>
          <w:rFonts w:ascii="Narkisim" w:hAnsi="Narkisim"/>
          <w:rtl/>
        </w:rPr>
        <w:t>וכת' דנפק"מ טובא לאחר שנתברר שמת בעלה של הכלה, ואח"כ באה להעיד על בעל חמותה. האם חיישינן שמעידה מחמת שנאה הראשונה דרגיל בה. או כיון דכבר לא תהא חמותה ונתפרדה החבילה ולא חיישינן לשנאה הקדומה.</w:t>
      </w:r>
    </w:p>
    <w:p w14:paraId="39575DA9"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מהרשד"מ</w:t>
      </w:r>
      <w:r w:rsidRPr="007119D6">
        <w:rPr>
          <w:rFonts w:ascii="Narkisim" w:hAnsi="Narkisim"/>
          <w:rtl/>
        </w:rPr>
        <w:t xml:space="preserve"> (הו' בפתח"ת שם כד) חלק דדוקא בצרתה חיישינן שתעיד משום שנאה קדומה. אבל בחמותה לא חיישינן להכי, וכדברי המהרש"א (הנ"ל).</w:t>
      </w:r>
    </w:p>
    <w:p w14:paraId="67B0F961" w14:textId="77777777" w:rsidR="006C4368" w:rsidRPr="007119D6" w:rsidRDefault="006C4368" w:rsidP="006C4368">
      <w:pPr>
        <w:pStyle w:val="2"/>
        <w:bidi/>
        <w:rPr>
          <w:rFonts w:ascii="Narkisim" w:hAnsi="Narkisim"/>
        </w:rPr>
      </w:pPr>
      <w:r w:rsidRPr="007119D6">
        <w:rPr>
          <w:rFonts w:ascii="Narkisim" w:hAnsi="Narkisim"/>
          <w:rtl/>
        </w:rPr>
        <w:t>כל מקום שהאמינה תורה עד א' הרי כאן שנים</w:t>
      </w:r>
    </w:p>
    <w:p w14:paraId="0B5BF381" w14:textId="77777777" w:rsidR="006C4368" w:rsidRPr="007119D6" w:rsidRDefault="006C4368" w:rsidP="006C4368">
      <w:pPr>
        <w:bidi/>
        <w:rPr>
          <w:rFonts w:ascii="Narkisim" w:hAnsi="Narkisim" w:cs="Narkisim"/>
        </w:rPr>
      </w:pPr>
      <w:r w:rsidRPr="007119D6">
        <w:rPr>
          <w:rFonts w:ascii="Narkisim" w:hAnsi="Narkisim" w:cs="Narkisim"/>
          <w:u w:val="single"/>
          <w:rtl/>
        </w:rPr>
        <w:t>עד אומר מת ונשאת, ובא א' ואמר לא מת הר"ז לא תצא וכו'</w:t>
      </w:r>
      <w:r w:rsidRPr="007119D6">
        <w:rPr>
          <w:rFonts w:ascii="Narkisim" w:hAnsi="Narkisim" w:cs="Narkisim"/>
          <w:rtl/>
        </w:rPr>
        <w:t>. ובפשוטו הטעם כדעולא, דכל מקום שהאמינה תורה עד א' כב'. ולפ”ז הו"ל לגמ' להביא דתנן כוותיה דעולא. אלא דעולא חידש דאף התירוה לינשא, ואילו במשנה משמע דדוקא נשאת.</w:t>
      </w:r>
    </w:p>
    <w:p w14:paraId="6199599A"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קר"א</w:t>
      </w:r>
      <w:r w:rsidRPr="007119D6">
        <w:rPr>
          <w:rFonts w:ascii="Narkisim" w:hAnsi="Narkisim"/>
          <w:rtl/>
        </w:rPr>
        <w:t xml:space="preserve"> כת' דיל"פ דבמשנה כיון דנשאת לא תצא [לס”ד דנשאת דוקא], אף דהוה ספק. [ולכאורה דוקא בטוענת ברי, ונשאת לעדיה. וכדאי' לעיל פח:</w:t>
      </w:r>
      <w:r w:rsidRPr="007119D6">
        <w:rPr>
          <w:rStyle w:val="ac"/>
          <w:rFonts w:ascii="Narkisim" w:hAnsi="Narkisim"/>
          <w:rtl/>
        </w:rPr>
        <w:footnoteReference w:id="7996"/>
      </w:r>
      <w:r w:rsidRPr="007119D6">
        <w:rPr>
          <w:rFonts w:ascii="Narkisim" w:hAnsi="Narkisim"/>
          <w:rtl/>
        </w:rPr>
        <w:t>]. וכת' דכ"ז לדעת ה</w:t>
      </w:r>
      <w:r w:rsidRPr="007119D6">
        <w:rPr>
          <w:rFonts w:ascii="Narkisim" w:hAnsi="Narkisim"/>
          <w:b/>
          <w:bCs/>
          <w:rtl/>
        </w:rPr>
        <w:t>רמב"ם</w:t>
      </w:r>
      <w:r w:rsidRPr="007119D6">
        <w:rPr>
          <w:rFonts w:ascii="Narkisim" w:hAnsi="Narkisim"/>
          <w:rtl/>
        </w:rPr>
        <w:t xml:space="preserve"> (יב יט הו' בסוף העמ') דאף בעד א' בהכחשה אם נשאת לא תצא. אבל לדעת ה</w:t>
      </w:r>
      <w:r w:rsidRPr="007119D6">
        <w:rPr>
          <w:rFonts w:ascii="Narkisim" w:hAnsi="Narkisim"/>
          <w:b/>
          <w:bCs/>
          <w:rtl/>
        </w:rPr>
        <w:t>רמב"ן</w:t>
      </w:r>
      <w:r w:rsidRPr="007119D6">
        <w:rPr>
          <w:rFonts w:ascii="Narkisim" w:hAnsi="Narkisim"/>
          <w:rtl/>
        </w:rPr>
        <w:t xml:space="preserve"> דחד בחד תצא, א”כ מה ס”ד דלא תצא</w:t>
      </w:r>
      <w:r w:rsidRPr="007119D6">
        <w:rPr>
          <w:rStyle w:val="ac"/>
          <w:rFonts w:ascii="Narkisim" w:hAnsi="Narkisim"/>
          <w:rtl/>
        </w:rPr>
        <w:footnoteReference w:id="7997"/>
      </w:r>
      <w:r w:rsidRPr="007119D6">
        <w:rPr>
          <w:rFonts w:ascii="Narkisim" w:hAnsi="Narkisim"/>
          <w:rtl/>
        </w:rPr>
        <w:t>.</w:t>
      </w:r>
    </w:p>
    <w:p w14:paraId="530F5C8F"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קר"א</w:t>
      </w:r>
      <w:r w:rsidRPr="007119D6">
        <w:rPr>
          <w:rFonts w:ascii="Narkisim" w:hAnsi="Narkisim"/>
          <w:rtl/>
        </w:rPr>
        <w:t xml:space="preserve"> כת' עוד די"ל דכיון דנשאת, ל"מ עד א' להוציאה מתחת בעלה.</w:t>
      </w:r>
    </w:p>
    <w:p w14:paraId="0F5EBE35" w14:textId="77777777" w:rsidR="006C4368" w:rsidRPr="007119D6" w:rsidRDefault="006C4368" w:rsidP="006C4368">
      <w:pPr>
        <w:pStyle w:val="aa"/>
        <w:bidi/>
        <w:rPr>
          <w:rFonts w:ascii="Narkisim" w:hAnsi="Narkisim"/>
        </w:rPr>
      </w:pPr>
      <w:r w:rsidRPr="007119D6">
        <w:rPr>
          <w:rFonts w:ascii="Narkisim" w:hAnsi="Narkisim"/>
          <w:u w:val="single"/>
          <w:rtl/>
        </w:rPr>
        <w:t>הא לא נשאת לא תנשא וכו'</w:t>
      </w:r>
      <w:r w:rsidRPr="007119D6">
        <w:rPr>
          <w:rFonts w:ascii="Narkisim" w:hAnsi="Narkisim"/>
          <w:rtl/>
        </w:rPr>
        <w:t>. דעד א' בהכחשה [עכ"פ בבת א'] אסורה, וכדתנן בסוף העמוד. [ע' בסמוך בתוס'].</w:t>
      </w:r>
    </w:p>
    <w:p w14:paraId="40B3AC14" w14:textId="77777777" w:rsidR="006C4368" w:rsidRPr="007119D6" w:rsidRDefault="006C4368" w:rsidP="006C4368">
      <w:pPr>
        <w:pStyle w:val="a7"/>
        <w:bidi/>
        <w:rPr>
          <w:rFonts w:ascii="Narkisim" w:hAnsi="Narkisim"/>
        </w:rPr>
      </w:pPr>
      <w:r w:rsidRPr="007119D6">
        <w:rPr>
          <w:rFonts w:ascii="Narkisim" w:hAnsi="Narkisim"/>
          <w:rtl/>
        </w:rPr>
        <w:t>לכאורה צ"ב דחכמים האמינו לעד א' שמת בעלה. ואילו לעד האומר 'לא מת</w:t>
      </w:r>
      <w:r w:rsidRPr="007119D6">
        <w:rPr>
          <w:rStyle w:val="ac"/>
          <w:rFonts w:ascii="Narkisim" w:hAnsi="Narkisim"/>
          <w:rtl/>
        </w:rPr>
        <w:footnoteReference w:id="7998"/>
      </w:r>
      <w:r w:rsidRPr="007119D6">
        <w:rPr>
          <w:rFonts w:ascii="Narkisim" w:hAnsi="Narkisim"/>
          <w:rtl/>
        </w:rPr>
        <w:t>' מנ"ל דנתחדש נאמנות</w:t>
      </w:r>
      <w:r w:rsidRPr="007119D6">
        <w:rPr>
          <w:rStyle w:val="ac"/>
          <w:rFonts w:ascii="Narkisim" w:hAnsi="Narkisim"/>
          <w:rtl/>
        </w:rPr>
        <w:footnoteReference w:id="7999"/>
      </w:r>
      <w:r w:rsidRPr="007119D6">
        <w:rPr>
          <w:rFonts w:ascii="Narkisim" w:hAnsi="Narkisim"/>
          <w:rtl/>
        </w:rPr>
        <w:t>. וב</w:t>
      </w:r>
      <w:r w:rsidRPr="007119D6">
        <w:rPr>
          <w:rFonts w:ascii="Narkisim" w:hAnsi="Narkisim"/>
          <w:b/>
          <w:bCs/>
          <w:rtl/>
        </w:rPr>
        <w:t>חי' הר"ן</w:t>
      </w:r>
      <w:r w:rsidRPr="007119D6">
        <w:rPr>
          <w:rFonts w:ascii="Narkisim" w:hAnsi="Narkisim"/>
          <w:rtl/>
        </w:rPr>
        <w:t xml:space="preserve"> </w:t>
      </w:r>
      <w:r w:rsidRPr="007119D6">
        <w:rPr>
          <w:rFonts w:ascii="Narkisim" w:hAnsi="Narkisim"/>
          <w:szCs w:val="20"/>
          <w:rtl/>
        </w:rPr>
        <w:t>(ב"מ ב:, הו' בנמוק”י שם א: בדה"ר)</w:t>
      </w:r>
      <w:r w:rsidRPr="007119D6">
        <w:rPr>
          <w:rFonts w:ascii="Narkisim" w:hAnsi="Narkisim"/>
          <w:rtl/>
        </w:rPr>
        <w:t xml:space="preserve"> ביאר דעד א' שהאמינתו התורה היינו היכא דליכא הכחשה</w:t>
      </w:r>
      <w:r w:rsidRPr="007119D6">
        <w:rPr>
          <w:rStyle w:val="ac"/>
          <w:rFonts w:ascii="Narkisim" w:hAnsi="Narkisim"/>
          <w:rtl/>
        </w:rPr>
        <w:footnoteReference w:id="8000"/>
      </w:r>
      <w:r w:rsidRPr="007119D6">
        <w:rPr>
          <w:rFonts w:ascii="Narkisim" w:hAnsi="Narkisim"/>
          <w:rtl/>
        </w:rPr>
        <w:t>. ואע"פ שהאמינה תורה עד א', כל היכי דמכחיש ליה סהדא אחרינא בבת אחת אינו נאמן</w:t>
      </w:r>
      <w:r w:rsidRPr="007119D6">
        <w:rPr>
          <w:rStyle w:val="ac"/>
          <w:rFonts w:ascii="Narkisim" w:hAnsi="Narkisim"/>
          <w:rtl/>
        </w:rPr>
        <w:footnoteReference w:id="8001"/>
      </w:r>
      <w:r w:rsidRPr="007119D6">
        <w:rPr>
          <w:rFonts w:ascii="Narkisim" w:hAnsi="Narkisim"/>
          <w:rtl/>
        </w:rPr>
        <w:t>. [דבמקום הכחשה לא האמינתו תורה]. ועד"ז כת' ה</w:t>
      </w:r>
      <w:r w:rsidRPr="007119D6">
        <w:rPr>
          <w:rFonts w:ascii="Narkisim" w:hAnsi="Narkisim"/>
          <w:b/>
          <w:bCs/>
          <w:rtl/>
        </w:rPr>
        <w:t>גר"ח</w:t>
      </w:r>
      <w:r w:rsidRPr="007119D6">
        <w:rPr>
          <w:rFonts w:ascii="Narkisim" w:hAnsi="Narkisim"/>
          <w:rtl/>
        </w:rPr>
        <w:t xml:space="preserve"> (רוצח ט יד ד”ה ולפ”ז צ”ע) דאף דלא נתחדש נאמנות דלא מת, אפ"ה העד נאמן להכחיש</w:t>
      </w:r>
      <w:r w:rsidRPr="007119D6">
        <w:rPr>
          <w:rStyle w:val="ac"/>
          <w:rFonts w:ascii="Narkisim" w:hAnsi="Narkisim"/>
          <w:rtl/>
        </w:rPr>
        <w:footnoteReference w:id="8002"/>
      </w:r>
      <w:r w:rsidRPr="007119D6">
        <w:rPr>
          <w:rFonts w:ascii="Narkisim" w:hAnsi="Narkisim"/>
          <w:rtl/>
        </w:rPr>
        <w:t>.</w:t>
      </w:r>
    </w:p>
    <w:p w14:paraId="47DD5747" w14:textId="77777777" w:rsidR="006C4368" w:rsidRPr="007119D6" w:rsidRDefault="006C4368" w:rsidP="006C4368">
      <w:pPr>
        <w:bidi/>
        <w:rPr>
          <w:rFonts w:ascii="Narkisim" w:hAnsi="Narkisim" w:cs="Narkisim"/>
        </w:rPr>
      </w:pPr>
      <w:r w:rsidRPr="007119D6">
        <w:rPr>
          <w:rFonts w:ascii="Narkisim" w:hAnsi="Narkisim" w:cs="Narkisim"/>
          <w:u w:val="single"/>
          <w:rtl/>
        </w:rPr>
        <w:t>והאמר עולא כ"מ שהאמינה תורה עד א' הרי כאן ב', ואין דבריו של א' במקום ב'</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הרי הוא חשוב כב']. ב</w:t>
      </w:r>
      <w:r w:rsidRPr="007119D6">
        <w:rPr>
          <w:rFonts w:ascii="Narkisim" w:hAnsi="Narkisim" w:cs="Narkisim"/>
          <w:b/>
          <w:bCs/>
          <w:rtl/>
        </w:rPr>
        <w:t>חי' הר"ן</w:t>
      </w:r>
      <w:r w:rsidRPr="007119D6">
        <w:rPr>
          <w:rFonts w:ascii="Narkisim" w:hAnsi="Narkisim" w:cs="Narkisim"/>
          <w:rtl/>
        </w:rPr>
        <w:t xml:space="preserve"> (הנ"ל) כת' [ע"פ דבריו] דבזה קאמר עולא דלאחר שכבר נעשה מעשה ע"פ עד הראשון, כגון שהתירוה להנשא וזכתה בעצמה</w:t>
      </w:r>
      <w:r w:rsidRPr="007119D6">
        <w:rPr>
          <w:rStyle w:val="ac"/>
          <w:rFonts w:ascii="Narkisim" w:hAnsi="Narkisim" w:cs="Narkisim"/>
          <w:rtl/>
        </w:rPr>
        <w:footnoteReference w:id="8003"/>
      </w:r>
      <w:r w:rsidRPr="007119D6">
        <w:rPr>
          <w:rFonts w:ascii="Narkisim" w:hAnsi="Narkisim" w:cs="Narkisim"/>
          <w:rtl/>
        </w:rPr>
        <w:t xml:space="preserve"> [שאין הדבר מחוסר מעשה]</w:t>
      </w:r>
      <w:r w:rsidRPr="007119D6">
        <w:rPr>
          <w:rStyle w:val="ac"/>
          <w:rFonts w:ascii="Narkisim" w:hAnsi="Narkisim" w:cs="Narkisim"/>
          <w:rtl/>
        </w:rPr>
        <w:footnoteReference w:id="8004"/>
      </w:r>
      <w:r w:rsidRPr="007119D6">
        <w:rPr>
          <w:rFonts w:ascii="Narkisim" w:hAnsi="Narkisim" w:cs="Narkisim"/>
          <w:rtl/>
        </w:rPr>
        <w:t>. עד א' כשנים, ול"מ להכחישו.</w:t>
      </w:r>
    </w:p>
    <w:p w14:paraId="116A1ABC"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גר”ח</w:t>
      </w:r>
      <w:r w:rsidRPr="007119D6">
        <w:rPr>
          <w:rFonts w:ascii="Narkisim" w:hAnsi="Narkisim"/>
          <w:rtl/>
        </w:rPr>
        <w:t xml:space="preserve"> (שם) כת' דלפ"ז נתחדש בדברי עולא דעד א' כשנים לענין שאינו מוכחש מעד א' </w:t>
      </w:r>
      <w:r w:rsidRPr="007119D6">
        <w:rPr>
          <w:rFonts w:ascii="Narkisim" w:hAnsi="Narkisim"/>
          <w:rtl/>
        </w:rPr>
        <w:lastRenderedPageBreak/>
        <w:t>חבירו</w:t>
      </w:r>
      <w:r w:rsidRPr="007119D6">
        <w:rPr>
          <w:rStyle w:val="ac"/>
          <w:rFonts w:ascii="Narkisim" w:hAnsi="Narkisim"/>
          <w:rtl/>
        </w:rPr>
        <w:footnoteReference w:id="8005"/>
      </w:r>
      <w:r w:rsidRPr="007119D6">
        <w:rPr>
          <w:rFonts w:ascii="Narkisim" w:hAnsi="Narkisim"/>
          <w:rtl/>
        </w:rPr>
        <w:t>. [ולא נתחדש דעד הראשון יש לו תוספת נאמנות, וכתרי</w:t>
      </w:r>
      <w:r w:rsidRPr="007119D6">
        <w:rPr>
          <w:rStyle w:val="ac"/>
          <w:rFonts w:ascii="Narkisim" w:hAnsi="Narkisim"/>
          <w:rtl/>
        </w:rPr>
        <w:footnoteReference w:id="8006"/>
      </w:r>
      <w:r w:rsidRPr="007119D6">
        <w:rPr>
          <w:rFonts w:ascii="Narkisim" w:hAnsi="Narkisim"/>
          <w:rtl/>
        </w:rPr>
        <w:t>. אלא דנתחדש דל"מ להכחישו].</w:t>
      </w:r>
    </w:p>
    <w:p w14:paraId="2E904CE7" w14:textId="77777777" w:rsidR="006C4368" w:rsidRPr="007119D6" w:rsidRDefault="006C4368" w:rsidP="006C4368">
      <w:pPr>
        <w:pStyle w:val="aa"/>
        <w:bidi/>
        <w:rPr>
          <w:rFonts w:ascii="Narkisim" w:hAnsi="Narkisim"/>
        </w:rPr>
      </w:pPr>
      <w:r w:rsidRPr="007119D6">
        <w:rPr>
          <w:rFonts w:ascii="Narkisim" w:hAnsi="Narkisim"/>
          <w:rtl/>
        </w:rPr>
        <w:t>ובגמ' הו' דברי עולא גבי עד א' בעדות אשה, וכן גבי עד א' דסוטה [אחרי קינוי וסתירה], ועד א' דעגלה ערופה. וה</w:t>
      </w:r>
      <w:r w:rsidRPr="007119D6">
        <w:rPr>
          <w:rFonts w:ascii="Narkisim" w:hAnsi="Narkisim"/>
          <w:b/>
          <w:bCs/>
          <w:rtl/>
        </w:rPr>
        <w:t>ריטב"א</w:t>
      </w:r>
      <w:r w:rsidRPr="007119D6">
        <w:rPr>
          <w:rFonts w:ascii="Narkisim" w:hAnsi="Narkisim"/>
          <w:rtl/>
        </w:rPr>
        <w:t xml:space="preserve"> (לעיל פח:) כת' דבעד א' באיסורין לא אמרי' דהוה כב'. וה</w:t>
      </w:r>
      <w:r w:rsidRPr="007119D6">
        <w:rPr>
          <w:rFonts w:ascii="Narkisim" w:hAnsi="Narkisim"/>
          <w:b/>
          <w:bCs/>
          <w:rtl/>
        </w:rPr>
        <w:t>ש"ך</w:t>
      </w:r>
      <w:r w:rsidRPr="007119D6">
        <w:rPr>
          <w:rFonts w:ascii="Narkisim" w:hAnsi="Narkisim"/>
          <w:rtl/>
        </w:rPr>
        <w:t xml:space="preserve"> (יו"ד קכז יד) דייק מכמה </w:t>
      </w:r>
      <w:r w:rsidRPr="007119D6">
        <w:rPr>
          <w:rFonts w:ascii="Narkisim" w:hAnsi="Narkisim"/>
          <w:b/>
          <w:bCs/>
          <w:rtl/>
        </w:rPr>
        <w:t>ראשונים</w:t>
      </w:r>
      <w:r w:rsidRPr="007119D6">
        <w:rPr>
          <w:rFonts w:ascii="Narkisim" w:hAnsi="Narkisim"/>
          <w:rtl/>
        </w:rPr>
        <w:t xml:space="preserve"> דאף עד א' באיסורין אמרי' דהוה כב'. [וע' מה שהו' לעיל פח:].</w:t>
      </w:r>
    </w:p>
    <w:p w14:paraId="70E31301" w14:textId="77777777" w:rsidR="006C4368" w:rsidRPr="007119D6" w:rsidRDefault="006C4368" w:rsidP="006C4368">
      <w:pPr>
        <w:pStyle w:val="aa"/>
        <w:bidi/>
        <w:rPr>
          <w:rFonts w:ascii="Narkisim" w:hAnsi="Narkisim"/>
        </w:rPr>
      </w:pPr>
      <w:r w:rsidRPr="007119D6">
        <w:rPr>
          <w:rFonts w:ascii="Narkisim" w:hAnsi="Narkisim"/>
          <w:u w:val="single"/>
          <w:rtl/>
        </w:rPr>
        <w:t>ה"ק עד א' אומר מת והתירוה להנשא וכו' לא תצא מהיתירה הראשון</w:t>
      </w:r>
      <w:r w:rsidRPr="007119D6">
        <w:rPr>
          <w:rFonts w:ascii="Narkisim" w:hAnsi="Narkisim"/>
          <w:rtl/>
        </w:rPr>
        <w:t>. ובמשנה (בסוף העמ') אי' עד אומר מת ועד אומר לא מת הר"ז לא תנשא. ו</w:t>
      </w:r>
      <w:r w:rsidRPr="007119D6">
        <w:rPr>
          <w:rFonts w:ascii="Narkisim" w:hAnsi="Narkisim"/>
          <w:b/>
          <w:bCs/>
          <w:rtl/>
        </w:rPr>
        <w:t>תוס</w:t>
      </w:r>
      <w:r w:rsidRPr="007119D6">
        <w:rPr>
          <w:rFonts w:ascii="Narkisim" w:hAnsi="Narkisim"/>
          <w:rtl/>
        </w:rPr>
        <w:t>' (ד"ה הא) כת' דמשמע דהתם איירי בבת א'.</w:t>
      </w:r>
    </w:p>
    <w:p w14:paraId="525D0C71" w14:textId="77777777" w:rsidR="006C4368" w:rsidRPr="007119D6" w:rsidRDefault="006C4368" w:rsidP="006C4368">
      <w:pPr>
        <w:pStyle w:val="aa"/>
        <w:bidi/>
        <w:rPr>
          <w:rFonts w:ascii="Narkisim" w:hAnsi="Narkisim"/>
        </w:rPr>
      </w:pPr>
      <w:r w:rsidRPr="007119D6">
        <w:rPr>
          <w:rFonts w:ascii="Narkisim" w:hAnsi="Narkisim"/>
          <w:rtl/>
        </w:rPr>
        <w:t>ופ</w:t>
      </w:r>
      <w:r w:rsidRPr="007119D6">
        <w:rPr>
          <w:rFonts w:ascii="Narkisim" w:hAnsi="Narkisim"/>
          <w:b/>
          <w:bCs/>
          <w:rtl/>
        </w:rPr>
        <w:t>רש"י</w:t>
      </w:r>
      <w:r w:rsidRPr="007119D6">
        <w:rPr>
          <w:rFonts w:ascii="Narkisim" w:hAnsi="Narkisim"/>
          <w:rtl/>
        </w:rPr>
        <w:t xml:space="preserve"> דבבת א' אכתי לא אחשביניה כתרי. ומהני עד א' להכחישו בשעה זו, דהוה הכחשה חד בחד.</w:t>
      </w:r>
    </w:p>
    <w:p w14:paraId="56B32749" w14:textId="77777777" w:rsidR="006C4368" w:rsidRPr="007119D6" w:rsidRDefault="006C4368" w:rsidP="006C4368">
      <w:pPr>
        <w:bidi/>
        <w:rPr>
          <w:rFonts w:ascii="Narkisim" w:hAnsi="Narkisim" w:cs="Narkisim"/>
        </w:rPr>
      </w:pPr>
      <w:r w:rsidRPr="007119D6">
        <w:rPr>
          <w:rFonts w:ascii="Narkisim" w:hAnsi="Narkisim" w:cs="Narkisim"/>
          <w:u w:val="single"/>
          <w:rtl/>
        </w:rPr>
        <w:t>תוד"ה הא</w:t>
      </w:r>
      <w:r w:rsidRPr="007119D6">
        <w:rPr>
          <w:rFonts w:ascii="Narkisim" w:hAnsi="Narkisim" w:cs="Narkisim"/>
          <w:rtl/>
        </w:rPr>
        <w:t>. משמע דמילתיה דעולא איירי בדיעבד, אבל לכתחילה מודה דלא תנשא משום דרב אסי וכו'. וכ"פ ה</w:t>
      </w:r>
      <w:r w:rsidRPr="007119D6">
        <w:rPr>
          <w:rFonts w:ascii="Narkisim" w:hAnsi="Narkisim" w:cs="Narkisim"/>
          <w:b/>
          <w:bCs/>
          <w:rtl/>
        </w:rPr>
        <w:t>רמ"א</w:t>
      </w:r>
      <w:r w:rsidRPr="007119D6">
        <w:rPr>
          <w:rFonts w:ascii="Narkisim" w:hAnsi="Narkisim" w:cs="Narkisim"/>
          <w:rtl/>
        </w:rPr>
        <w:t xml:space="preserve"> (יז לז) דלא תנשא משום לזות שפתיים</w:t>
      </w:r>
      <w:r w:rsidRPr="007119D6">
        <w:rPr>
          <w:rStyle w:val="ac"/>
          <w:rFonts w:ascii="Narkisim" w:hAnsi="Narkisim" w:cs="Narkisim"/>
          <w:rtl/>
        </w:rPr>
        <w:footnoteReference w:id="8007"/>
      </w:r>
      <w:r w:rsidRPr="007119D6">
        <w:rPr>
          <w:rFonts w:ascii="Narkisim" w:hAnsi="Narkisim" w:cs="Narkisim"/>
          <w:rtl/>
        </w:rPr>
        <w:t>. [וה</w:t>
      </w:r>
      <w:r w:rsidRPr="007119D6">
        <w:rPr>
          <w:rFonts w:ascii="Narkisim" w:hAnsi="Narkisim" w:cs="Narkisim"/>
          <w:b/>
          <w:bCs/>
          <w:rtl/>
        </w:rPr>
        <w:t>רמב"ם</w:t>
      </w:r>
      <w:r w:rsidRPr="007119D6">
        <w:rPr>
          <w:rFonts w:ascii="Narkisim" w:hAnsi="Narkisim" w:cs="Narkisim"/>
          <w:rtl/>
        </w:rPr>
        <w:t xml:space="preserve"> השמיט דין זה, וה</w:t>
      </w:r>
      <w:r w:rsidRPr="007119D6">
        <w:rPr>
          <w:rFonts w:ascii="Narkisim" w:hAnsi="Narkisim" w:cs="Narkisim"/>
          <w:b/>
          <w:bCs/>
          <w:rtl/>
        </w:rPr>
        <w:t>פוסקים</w:t>
      </w:r>
      <w:r w:rsidRPr="007119D6">
        <w:rPr>
          <w:rFonts w:ascii="Narkisim" w:hAnsi="Narkisim" w:cs="Narkisim"/>
          <w:rtl/>
        </w:rPr>
        <w:t xml:space="preserve"> כת' דס"ל דלא קי"ל כהך אוקימתא דאביי בכתובות</w:t>
      </w:r>
      <w:r w:rsidRPr="007119D6">
        <w:rPr>
          <w:rStyle w:val="ac"/>
          <w:rFonts w:ascii="Narkisim" w:hAnsi="Narkisim" w:cs="Narkisim"/>
          <w:rtl/>
        </w:rPr>
        <w:footnoteReference w:id="8008"/>
      </w:r>
      <w:r w:rsidRPr="007119D6">
        <w:rPr>
          <w:rFonts w:ascii="Narkisim" w:hAnsi="Narkisim" w:cs="Narkisim"/>
          <w:rtl/>
        </w:rPr>
        <w:t>].</w:t>
      </w:r>
    </w:p>
    <w:p w14:paraId="31F70C5D" w14:textId="77777777" w:rsidR="006C4368" w:rsidRPr="007119D6" w:rsidRDefault="006C4368" w:rsidP="006C4368">
      <w:pPr>
        <w:bidi/>
        <w:rPr>
          <w:rFonts w:ascii="Narkisim" w:hAnsi="Narkisim" w:cs="Narkisim"/>
        </w:rPr>
      </w:pPr>
      <w:r w:rsidRPr="007119D6">
        <w:rPr>
          <w:rFonts w:ascii="Narkisim" w:hAnsi="Narkisim" w:cs="Narkisim"/>
          <w:rtl/>
        </w:rPr>
        <w:t xml:space="preserve">אבל </w:t>
      </w:r>
      <w:r w:rsidRPr="007119D6">
        <w:rPr>
          <w:rFonts w:ascii="Narkisim" w:hAnsi="Narkisim" w:cs="Narkisim"/>
          <w:b/>
          <w:bCs/>
          <w:rtl/>
        </w:rPr>
        <w:t>רע"א</w:t>
      </w:r>
      <w:r w:rsidRPr="007119D6">
        <w:rPr>
          <w:rFonts w:ascii="Narkisim" w:hAnsi="Narkisim" w:cs="Narkisim"/>
          <w:rtl/>
        </w:rPr>
        <w:t xml:space="preserve"> (כתובות כב:) דן דאפשר דדוקא בבת א' חשו ללזות שפתיים. אבל לאחר שהתירוה כבר לא אסרינן [משום לזות], דחשו לזילותא לבי”ד. ותנשא לכתחילה.</w:t>
      </w:r>
    </w:p>
    <w:p w14:paraId="6DA21463" w14:textId="77777777" w:rsidR="006C4368" w:rsidRPr="007119D6" w:rsidRDefault="006C4368" w:rsidP="006C4368">
      <w:pPr>
        <w:pStyle w:val="a7"/>
        <w:bidi/>
        <w:rPr>
          <w:rFonts w:ascii="Narkisim" w:hAnsi="Narkisim"/>
        </w:rPr>
      </w:pPr>
      <w:r w:rsidRPr="007119D6">
        <w:rPr>
          <w:rFonts w:ascii="Narkisim" w:hAnsi="Narkisim"/>
          <w:rtl/>
        </w:rPr>
        <w:t>וכת' דעפ"ז י"ל דהמשנה בסוף העמ' דהוכחשו בבת א' לא תנשא, י"ל דהוה משום לזות שפתיים</w:t>
      </w:r>
      <w:r w:rsidRPr="007119D6">
        <w:rPr>
          <w:rStyle w:val="ac"/>
          <w:rFonts w:ascii="Narkisim" w:hAnsi="Narkisim"/>
          <w:rtl/>
        </w:rPr>
        <w:footnoteReference w:id="8009"/>
      </w:r>
      <w:r w:rsidRPr="007119D6">
        <w:rPr>
          <w:rFonts w:ascii="Narkisim" w:hAnsi="Narkisim"/>
          <w:rtl/>
        </w:rPr>
        <w:t>. [ואי"צ לדוחק דהתוס' דבעדות אשה כו”ע מודו דבבת א' מהני הכחשה].</w:t>
      </w:r>
    </w:p>
    <w:p w14:paraId="7DF51A8A" w14:textId="77777777" w:rsidR="006C4368" w:rsidRPr="007119D6" w:rsidRDefault="006C4368" w:rsidP="006C4368">
      <w:pPr>
        <w:pStyle w:val="aa"/>
        <w:bidi/>
        <w:rPr>
          <w:rFonts w:ascii="Narkisim" w:hAnsi="Narkisim"/>
        </w:rPr>
      </w:pPr>
      <w:r w:rsidRPr="007119D6">
        <w:rPr>
          <w:rFonts w:ascii="Narkisim" w:hAnsi="Narkisim"/>
          <w:u w:val="single"/>
          <w:rtl/>
        </w:rPr>
        <w:t>שם. משום דרב אסי הסר ממנו עקשות פה</w:t>
      </w:r>
      <w:r w:rsidRPr="007119D6">
        <w:rPr>
          <w:rFonts w:ascii="Narkisim" w:hAnsi="Narkisim"/>
          <w:rtl/>
        </w:rPr>
        <w:t xml:space="preserve">. </w:t>
      </w:r>
      <w:r w:rsidRPr="007119D6">
        <w:rPr>
          <w:rFonts w:ascii="Narkisim" w:hAnsi="Narkisim"/>
          <w:b/>
          <w:bCs/>
          <w:rtl/>
        </w:rPr>
        <w:t>רע"א</w:t>
      </w:r>
      <w:r w:rsidRPr="007119D6">
        <w:rPr>
          <w:rFonts w:ascii="Narkisim" w:hAnsi="Narkisim"/>
          <w:rtl/>
        </w:rPr>
        <w:t xml:space="preserve"> (שו"ע יז לז) כת' דלפ"ז הוחזק לנו שמת בעלה, אלא דאסורה לינשא משום לעז. וכת' דמ"מ גובה כתובתה, ול"ד לעד א' במים שאין להם סוף דהפוסקים (הו' בע"א) נקטו דאין לה כתובה כיון דאסורה לינשא. דהתם מחזקינן שהבעל קיים. אבל הכא הוה איסור לעז בעלמא. וציין דהש"ש (ז ג) נקט דאין לה כתובה.</w:t>
      </w:r>
    </w:p>
    <w:p w14:paraId="3F0814A6" w14:textId="77777777" w:rsidR="006C4368" w:rsidRPr="007119D6" w:rsidRDefault="006C4368" w:rsidP="006C4368">
      <w:pPr>
        <w:pStyle w:val="aa"/>
        <w:bidi/>
        <w:rPr>
          <w:rFonts w:ascii="Narkisim" w:hAnsi="Narkisim"/>
        </w:rPr>
      </w:pPr>
      <w:r w:rsidRPr="007119D6">
        <w:rPr>
          <w:rFonts w:ascii="Narkisim" w:hAnsi="Narkisim"/>
          <w:u w:val="single"/>
          <w:rtl/>
        </w:rPr>
        <w:t>בא"ד ור"י אומר דפריך וכו' מדקאמר תצא, ולא קתני הולד ממזר</w:t>
      </w:r>
      <w:r w:rsidRPr="007119D6">
        <w:rPr>
          <w:rFonts w:ascii="Narkisim" w:hAnsi="Narkisim"/>
          <w:rtl/>
        </w:rPr>
        <w:t>. ה</w:t>
      </w:r>
      <w:r w:rsidRPr="007119D6">
        <w:rPr>
          <w:rFonts w:ascii="Narkisim" w:hAnsi="Narkisim"/>
          <w:b/>
          <w:bCs/>
          <w:rtl/>
        </w:rPr>
        <w:t>מפרשים</w:t>
      </w:r>
      <w:r w:rsidRPr="007119D6">
        <w:rPr>
          <w:rFonts w:ascii="Narkisim" w:hAnsi="Narkisim"/>
          <w:rtl/>
        </w:rPr>
        <w:t xml:space="preserve"> תמהו בכוונת התוס', ע' המהרש"א ומהר"ם ושאר אחרונים. וצ”ע. והמהרש”א העביר קטע זו לסו”ד התוס', וגם זה צ”ע. וע”ע אחרונים]. וה</w:t>
      </w:r>
      <w:r w:rsidRPr="007119D6">
        <w:rPr>
          <w:rFonts w:ascii="Narkisim" w:hAnsi="Narkisim"/>
          <w:b/>
          <w:bCs/>
          <w:rtl/>
        </w:rPr>
        <w:t>קר"א</w:t>
      </w:r>
      <w:r w:rsidRPr="007119D6">
        <w:rPr>
          <w:rFonts w:ascii="Narkisim" w:hAnsi="Narkisim"/>
          <w:rtl/>
        </w:rPr>
        <w:t xml:space="preserve"> ביאר דכוונת התוס' דאת"ל דברישא משום דרבנן בעלמא משום לעז, א"כ בסיפא הו"ל להדגיש דהולד ממזר, דאסור מדאורייתא. דאל"כ ס"ד דהוה מדרבנן בעלמא.</w:t>
      </w:r>
    </w:p>
    <w:p w14:paraId="340CE92A" w14:textId="77777777" w:rsidR="006C4368" w:rsidRPr="007119D6" w:rsidRDefault="006C4368" w:rsidP="006C4368">
      <w:pPr>
        <w:pStyle w:val="aa"/>
        <w:bidi/>
        <w:rPr>
          <w:rFonts w:ascii="Narkisim" w:hAnsi="Narkisim"/>
        </w:rPr>
      </w:pPr>
      <w:r w:rsidRPr="007119D6">
        <w:rPr>
          <w:rFonts w:ascii="Narkisim" w:hAnsi="Narkisim"/>
          <w:u w:val="single"/>
          <w:rtl/>
        </w:rPr>
        <w:t>בא"ד ועוד מדקתני סיפא (בסוף העמ') וכו' לא תנשא וכו'</w:t>
      </w:r>
      <w:r w:rsidRPr="007119D6">
        <w:rPr>
          <w:rFonts w:ascii="Narkisim" w:hAnsi="Narkisim"/>
          <w:rtl/>
        </w:rPr>
        <w:t>. כוונת התוס' דהתם לא תנשא ואם נשאת תצא, דאייריי דבאו בבת א'. [אבל רע"א כת' די"ל דהתם לא תנשא משום לזות שפתיים].</w:t>
      </w:r>
    </w:p>
    <w:p w14:paraId="6E59C752" w14:textId="77777777" w:rsidR="006C4368" w:rsidRPr="007119D6" w:rsidRDefault="006C4368" w:rsidP="006C4368">
      <w:pPr>
        <w:bidi/>
        <w:rPr>
          <w:rFonts w:ascii="Narkisim" w:hAnsi="Narkisim" w:cs="Narkisim"/>
        </w:rPr>
      </w:pPr>
      <w:r w:rsidRPr="007119D6">
        <w:rPr>
          <w:rFonts w:ascii="Narkisim" w:hAnsi="Narkisim" w:cs="Narkisim"/>
          <w:u w:val="single"/>
          <w:rtl/>
        </w:rPr>
        <w:t>בא"ד ולר' חייא וכו' ל"ק כאן בבת א' כאן בזא"ז וכו</w:t>
      </w:r>
      <w:r w:rsidRPr="007119D6">
        <w:rPr>
          <w:rFonts w:ascii="Narkisim" w:hAnsi="Narkisim" w:cs="Narkisim"/>
          <w:rtl/>
        </w:rPr>
        <w:t>'. (וכדאי' סוטה לא: ומז:) ו</w:t>
      </w:r>
      <w:r w:rsidRPr="007119D6">
        <w:rPr>
          <w:rFonts w:ascii="Narkisim" w:hAnsi="Narkisim" w:cs="Narkisim"/>
          <w:b/>
          <w:bCs/>
          <w:rtl/>
        </w:rPr>
        <w:t>תוס</w:t>
      </w:r>
      <w:r w:rsidRPr="007119D6">
        <w:rPr>
          <w:rFonts w:ascii="Narkisim" w:hAnsi="Narkisim" w:cs="Narkisim"/>
          <w:rtl/>
        </w:rPr>
        <w:t>' נקטו דבזה אחר זה היינו שהתירוה לינשא</w:t>
      </w:r>
      <w:r w:rsidRPr="007119D6">
        <w:rPr>
          <w:rStyle w:val="ac"/>
          <w:rFonts w:ascii="Narkisim" w:hAnsi="Narkisim" w:cs="Narkisim"/>
          <w:rtl/>
        </w:rPr>
        <w:footnoteReference w:id="8010"/>
      </w:r>
      <w:r w:rsidRPr="007119D6">
        <w:rPr>
          <w:rFonts w:ascii="Narkisim" w:hAnsi="Narkisim" w:cs="Narkisim"/>
          <w:rtl/>
        </w:rPr>
        <w:t xml:space="preserve">. ובבת א' הוה קודם שהתירו לינשא. אבל </w:t>
      </w:r>
      <w:r w:rsidRPr="007119D6">
        <w:rPr>
          <w:rFonts w:ascii="Narkisim" w:hAnsi="Narkisim" w:cs="Narkisim"/>
          <w:b/>
          <w:bCs/>
          <w:rtl/>
        </w:rPr>
        <w:t>רש"י</w:t>
      </w:r>
      <w:r w:rsidRPr="007119D6">
        <w:rPr>
          <w:rFonts w:ascii="Narkisim" w:hAnsi="Narkisim" w:cs="Narkisim"/>
          <w:rtl/>
        </w:rPr>
        <w:t xml:space="preserve"> (סוטה שם) פי' בבת א' תוך כדי דיבור, דהוכחשו דבריהם מיד ולא נתקבל עדותן בבי"ד. אבל לאחר שנתקבל בבי"ד [אף דלא עשו ע”י עדותן שום מעשה או הוראה, והבי"ד לא התירו להנשא] אמרי' דעד א' כשנים, כדעולא. </w:t>
      </w:r>
      <w:r w:rsidRPr="007119D6">
        <w:rPr>
          <w:rFonts w:ascii="Narkisim" w:hAnsi="Narkisim" w:cs="Narkisim"/>
          <w:szCs w:val="20"/>
          <w:rtl/>
        </w:rPr>
        <w:t>[ותוס' סוטה לא: ד"ה כאן האריכו בזה].</w:t>
      </w:r>
    </w:p>
    <w:p w14:paraId="0540978B" w14:textId="77777777" w:rsidR="006C4368" w:rsidRPr="007119D6" w:rsidRDefault="006C4368" w:rsidP="006C4368">
      <w:pPr>
        <w:pStyle w:val="aa"/>
        <w:bidi/>
        <w:rPr>
          <w:rFonts w:ascii="Narkisim" w:hAnsi="Narkisim"/>
        </w:rPr>
      </w:pPr>
      <w:r w:rsidRPr="007119D6">
        <w:rPr>
          <w:rFonts w:ascii="Narkisim" w:hAnsi="Narkisim"/>
          <w:rtl/>
        </w:rPr>
        <w:t>ונח' ב' תי' ה</w:t>
      </w:r>
      <w:r w:rsidRPr="007119D6">
        <w:rPr>
          <w:rFonts w:ascii="Narkisim" w:hAnsi="Narkisim"/>
          <w:b/>
          <w:bCs/>
          <w:rtl/>
        </w:rPr>
        <w:t>תוס</w:t>
      </w:r>
      <w:r w:rsidRPr="007119D6">
        <w:rPr>
          <w:rFonts w:ascii="Narkisim" w:hAnsi="Narkisim"/>
          <w:rtl/>
        </w:rPr>
        <w:t>' (כאן, וכתובות כב:, ותוס' שאנץ סוטה שם) האם עולא פליג אף בבת א' [בעדות סוטה דאורייתא], או דנח' רק באוקימתא דמתני', ואילו בדין בין בבת א' ובין בזא"ז מהני.</w:t>
      </w:r>
    </w:p>
    <w:p w14:paraId="1A0261A0" w14:textId="77777777" w:rsidR="006C4368" w:rsidRPr="007119D6" w:rsidRDefault="006C4368" w:rsidP="006C4368">
      <w:pPr>
        <w:bidi/>
        <w:rPr>
          <w:rFonts w:ascii="Narkisim" w:hAnsi="Narkisim" w:cs="Narkisim"/>
        </w:rPr>
      </w:pPr>
      <w:r w:rsidRPr="007119D6">
        <w:rPr>
          <w:rFonts w:ascii="Narkisim" w:hAnsi="Narkisim" w:cs="Narkisim"/>
          <w:rtl/>
        </w:rPr>
        <w:t>ובפשוטו לצד דעולא קאי אף בבת א' הטעם דהתורה האמינה לעד שנטמאת [בסוטה] ושראה את ההורג [בעגלה ערופה], ולא נתחדש נאמנות לעד המכחיש. ודלא כסברת הר"ן והגר"ח (הנ"ל) דאף במקום דליכא תורת נאמנות לעד, עכ"פ מהני להכחיש</w:t>
      </w:r>
      <w:r w:rsidRPr="007119D6">
        <w:rPr>
          <w:rStyle w:val="ac"/>
          <w:rFonts w:ascii="Narkisim" w:hAnsi="Narkisim" w:cs="Narkisim"/>
          <w:rtl/>
        </w:rPr>
        <w:footnoteReference w:id="8011"/>
      </w:r>
      <w:r w:rsidRPr="007119D6">
        <w:rPr>
          <w:rFonts w:ascii="Narkisim" w:hAnsi="Narkisim" w:cs="Narkisim"/>
          <w:rtl/>
        </w:rPr>
        <w:t>. וה</w:t>
      </w:r>
      <w:r w:rsidRPr="007119D6">
        <w:rPr>
          <w:rFonts w:ascii="Narkisim" w:hAnsi="Narkisim" w:cs="Narkisim"/>
          <w:b/>
          <w:bCs/>
          <w:rtl/>
        </w:rPr>
        <w:t>גר"ח</w:t>
      </w:r>
      <w:r w:rsidRPr="007119D6">
        <w:rPr>
          <w:rFonts w:ascii="Narkisim" w:hAnsi="Narkisim" w:cs="Narkisim"/>
          <w:rtl/>
        </w:rPr>
        <w:t xml:space="preserve"> (שם) כת' דהך מ"ד ס"ל דנתחדש בדברי עולא דכיון דהאמינה התורה לעד א', לעולם אינו מתכחש </w:t>
      </w:r>
      <w:r w:rsidRPr="007119D6">
        <w:rPr>
          <w:rFonts w:ascii="Narkisim" w:hAnsi="Narkisim" w:cs="Narkisim"/>
          <w:rtl/>
        </w:rPr>
        <w:lastRenderedPageBreak/>
        <w:t>מעד א' חבירו</w:t>
      </w:r>
      <w:r w:rsidRPr="007119D6">
        <w:rPr>
          <w:rStyle w:val="ac"/>
          <w:rFonts w:ascii="Narkisim" w:hAnsi="Narkisim" w:cs="Narkisim"/>
          <w:rtl/>
        </w:rPr>
        <w:footnoteReference w:id="8012"/>
      </w:r>
      <w:r w:rsidRPr="007119D6">
        <w:rPr>
          <w:rFonts w:ascii="Narkisim" w:hAnsi="Narkisim" w:cs="Narkisim"/>
          <w:rtl/>
        </w:rPr>
        <w:t>.</w:t>
      </w:r>
    </w:p>
    <w:p w14:paraId="6867FE74" w14:textId="77777777" w:rsidR="006C4368" w:rsidRPr="007119D6" w:rsidRDefault="006C4368" w:rsidP="006C4368">
      <w:pPr>
        <w:bidi/>
        <w:rPr>
          <w:rFonts w:ascii="Narkisim" w:hAnsi="Narkisim" w:cs="Narkisim"/>
        </w:rPr>
      </w:pPr>
      <w:r w:rsidRPr="007119D6">
        <w:rPr>
          <w:rFonts w:ascii="Narkisim" w:hAnsi="Narkisim" w:cs="Narkisim"/>
          <w:u w:val="single"/>
          <w:rtl/>
        </w:rPr>
        <w:t>בא"ד ועוד אמר ר"י וכו' אבל הכא גבי אשה דלא מהימן אלא מדרבנן</w:t>
      </w:r>
      <w:r w:rsidRPr="007119D6">
        <w:rPr>
          <w:rStyle w:val="ac"/>
          <w:rFonts w:ascii="Narkisim" w:hAnsi="Narkisim" w:cs="Narkisim"/>
          <w:u w:val="single"/>
          <w:rtl/>
        </w:rPr>
        <w:footnoteReference w:id="8013"/>
      </w:r>
      <w:r w:rsidRPr="007119D6">
        <w:rPr>
          <w:rFonts w:ascii="Narkisim" w:hAnsi="Narkisim" w:cs="Narkisim"/>
          <w:u w:val="single"/>
          <w:rtl/>
        </w:rPr>
        <w:t>, לא חשיב כב' אלא בזא"ז וכו</w:t>
      </w:r>
      <w:r w:rsidRPr="007119D6">
        <w:rPr>
          <w:rFonts w:ascii="Narkisim" w:hAnsi="Narkisim" w:cs="Narkisim"/>
          <w:rtl/>
        </w:rPr>
        <w:t>'. אך ק"ק דאפ"ה מבואר בסוגיין דעולא קאי אף בעדות אשה דרבנן, ובמה דמי עדות אשה בזה אחר זה לעד א' בסוטה בבת א'</w:t>
      </w:r>
      <w:r w:rsidRPr="007119D6">
        <w:rPr>
          <w:rStyle w:val="ac"/>
          <w:rFonts w:ascii="Narkisim" w:hAnsi="Narkisim" w:cs="Narkisim"/>
          <w:rtl/>
        </w:rPr>
        <w:footnoteReference w:id="8014"/>
      </w:r>
      <w:r w:rsidRPr="007119D6">
        <w:rPr>
          <w:rFonts w:ascii="Narkisim" w:hAnsi="Narkisim" w:cs="Narkisim"/>
          <w:rtl/>
        </w:rPr>
        <w:t>.</w:t>
      </w:r>
    </w:p>
    <w:p w14:paraId="7899A558" w14:textId="77777777" w:rsidR="006C4368" w:rsidRPr="007119D6" w:rsidRDefault="006C4368" w:rsidP="006C4368">
      <w:pPr>
        <w:pStyle w:val="a8"/>
        <w:bidi/>
        <w:rPr>
          <w:rFonts w:ascii="Narkisim" w:hAnsi="Narkisim"/>
        </w:rPr>
      </w:pPr>
      <w:r w:rsidRPr="007119D6">
        <w:rPr>
          <w:rFonts w:ascii="Narkisim" w:hAnsi="Narkisim"/>
          <w:rtl/>
        </w:rPr>
        <w:t>ויש שפי' דעד א' בעדות אשה נאמן רק בצירוף הא דדייקא ומינסבא (וכדאי' לעיל פח.), ודוקא בשעה שבי"ד קבלו את העדות והתירוה לינשא נקבע דדייקא</w:t>
      </w:r>
      <w:r w:rsidRPr="007119D6">
        <w:rPr>
          <w:rStyle w:val="ac"/>
          <w:rFonts w:ascii="Narkisim" w:hAnsi="Narkisim"/>
          <w:rtl/>
        </w:rPr>
        <w:footnoteReference w:id="8015"/>
      </w:r>
      <w:r w:rsidRPr="007119D6">
        <w:rPr>
          <w:rFonts w:ascii="Narkisim" w:hAnsi="Narkisim"/>
          <w:rtl/>
        </w:rPr>
        <w:t>. אבל כל זמן שבי"ד לא קבעו את הדין ע"פ העדות, עדיין חסר בבירור של העדים</w:t>
      </w:r>
      <w:r w:rsidRPr="007119D6">
        <w:rPr>
          <w:rStyle w:val="ac"/>
          <w:rFonts w:ascii="Narkisim" w:hAnsi="Narkisim"/>
          <w:rtl/>
        </w:rPr>
        <w:footnoteReference w:id="8016"/>
      </w:r>
      <w:r w:rsidRPr="007119D6">
        <w:rPr>
          <w:rFonts w:ascii="Narkisim" w:hAnsi="Narkisim"/>
          <w:rtl/>
        </w:rPr>
        <w:t>. ועדיין לא הוה עדותם כשנים.</w:t>
      </w:r>
    </w:p>
    <w:p w14:paraId="39690ED0" w14:textId="77777777" w:rsidR="006C4368" w:rsidRPr="007119D6" w:rsidRDefault="006C4368" w:rsidP="006C4368">
      <w:pPr>
        <w:bidi/>
        <w:rPr>
          <w:rFonts w:ascii="Narkisim" w:hAnsi="Narkisim" w:cs="Narkisim"/>
        </w:rPr>
      </w:pPr>
      <w:r w:rsidRPr="007119D6">
        <w:rPr>
          <w:rFonts w:ascii="Narkisim" w:hAnsi="Narkisim" w:cs="Narkisim"/>
          <w:rtl/>
        </w:rPr>
        <w:t>ו</w:t>
      </w:r>
      <w:r w:rsidRPr="007119D6">
        <w:rPr>
          <w:rFonts w:ascii="Narkisim" w:hAnsi="Narkisim" w:cs="Narkisim"/>
          <w:b/>
          <w:bCs/>
          <w:rtl/>
        </w:rPr>
        <w:t>רע"א</w:t>
      </w:r>
      <w:r w:rsidRPr="007119D6">
        <w:rPr>
          <w:rFonts w:ascii="Narkisim" w:hAnsi="Narkisim" w:cs="Narkisim"/>
          <w:rtl/>
        </w:rPr>
        <w:t xml:space="preserve"> (כתובות שם ד"ה עוד) כת' לפרש עוד דמדינא עולא איירי אף בבת א'. אלא דעד א' בעדות אשה נאמן משום דדייקא ומינסבא, ויש חומר בסופה. א"כ י"ל היכא דלכתחילה לא תנשא [משום לזות שפתיים], א"כ אין בזה קולא דמשום עיגונא.</w:t>
      </w:r>
    </w:p>
    <w:p w14:paraId="0E6A267F" w14:textId="77777777" w:rsidR="006C4368" w:rsidRPr="007119D6" w:rsidRDefault="006C4368" w:rsidP="006C4368">
      <w:pPr>
        <w:pStyle w:val="a8"/>
        <w:bidi/>
        <w:rPr>
          <w:rFonts w:ascii="Narkisim" w:hAnsi="Narkisim"/>
        </w:rPr>
      </w:pPr>
      <w:r w:rsidRPr="007119D6">
        <w:rPr>
          <w:rFonts w:ascii="Narkisim" w:hAnsi="Narkisim"/>
          <w:rtl/>
        </w:rPr>
        <w:t xml:space="preserve">אך </w:t>
      </w:r>
      <w:r w:rsidRPr="007119D6">
        <w:rPr>
          <w:rFonts w:ascii="Narkisim" w:hAnsi="Narkisim"/>
          <w:b/>
          <w:bCs/>
          <w:rtl/>
        </w:rPr>
        <w:t>רע"א</w:t>
      </w:r>
      <w:r w:rsidRPr="007119D6">
        <w:rPr>
          <w:rFonts w:ascii="Narkisim" w:hAnsi="Narkisim"/>
          <w:rtl/>
        </w:rPr>
        <w:t xml:space="preserve"> הק' דא"כ נימא דעד א' שטבע במים שאין להם סוף, נימא דעד א' אינו נאמן. ואילו ה</w:t>
      </w:r>
      <w:r w:rsidRPr="007119D6">
        <w:rPr>
          <w:rFonts w:ascii="Narkisim" w:hAnsi="Narkisim"/>
          <w:b/>
          <w:bCs/>
          <w:rtl/>
        </w:rPr>
        <w:t>רמב"ם</w:t>
      </w:r>
      <w:r w:rsidRPr="007119D6">
        <w:rPr>
          <w:rFonts w:ascii="Narkisim" w:hAnsi="Narkisim"/>
          <w:rtl/>
        </w:rPr>
        <w:t xml:space="preserve"> (יג כ והשו"ע יז לד) פסק דאם נשאת לא תצא. ורע”א חילק דהכא יש ריעותא בהכחשה דגוף העדות.</w:t>
      </w:r>
    </w:p>
    <w:p w14:paraId="19537CF4" w14:textId="77777777" w:rsidR="006C4368" w:rsidRPr="007119D6" w:rsidRDefault="006C4368" w:rsidP="006C4368">
      <w:pPr>
        <w:bidi/>
        <w:rPr>
          <w:rFonts w:ascii="Narkisim" w:hAnsi="Narkisim" w:cs="Narkisim"/>
        </w:rPr>
      </w:pPr>
      <w:r w:rsidRPr="007119D6">
        <w:rPr>
          <w:rFonts w:ascii="Narkisim" w:hAnsi="Narkisim" w:cs="Narkisim"/>
          <w:u w:val="single"/>
          <w:rtl/>
        </w:rPr>
        <w:t>פשיטא, דאין דבריו של א' במקום ב'</w:t>
      </w:r>
      <w:r w:rsidRPr="007119D6">
        <w:rPr>
          <w:rFonts w:ascii="Narkisim" w:hAnsi="Narkisim" w:cs="Narkisim"/>
          <w:rtl/>
        </w:rPr>
        <w:t xml:space="preserve">. ואף לדברי עולא דעד א' כשנים, מ"מ פשיטא דבמקום עדות גמור ל"ה כשנים. וכ"כ </w:t>
      </w:r>
      <w:r w:rsidRPr="007119D6">
        <w:rPr>
          <w:rFonts w:ascii="Narkisim" w:hAnsi="Narkisim" w:cs="Narkisim"/>
          <w:b/>
          <w:bCs/>
          <w:rtl/>
        </w:rPr>
        <w:t>רש"י</w:t>
      </w:r>
      <w:r w:rsidRPr="007119D6">
        <w:rPr>
          <w:rFonts w:ascii="Narkisim" w:hAnsi="Narkisim" w:cs="Narkisim"/>
          <w:rtl/>
        </w:rPr>
        <w:t xml:space="preserve">. אבל </w:t>
      </w:r>
      <w:r w:rsidRPr="007119D6">
        <w:rPr>
          <w:rFonts w:ascii="Narkisim" w:hAnsi="Narkisim" w:cs="Narkisim"/>
          <w:b/>
          <w:bCs/>
          <w:rtl/>
        </w:rPr>
        <w:t>תוס'</w:t>
      </w:r>
      <w:r w:rsidRPr="007119D6">
        <w:rPr>
          <w:rFonts w:ascii="Narkisim" w:hAnsi="Narkisim" w:cs="Narkisim"/>
          <w:rtl/>
        </w:rPr>
        <w:t xml:space="preserve"> (ריש קיח.) הביאו הו"א דנחשב תרי ותרי</w:t>
      </w:r>
      <w:r w:rsidRPr="007119D6">
        <w:rPr>
          <w:rStyle w:val="ac"/>
          <w:rFonts w:ascii="Narkisim" w:hAnsi="Narkisim" w:cs="Narkisim"/>
          <w:rtl/>
        </w:rPr>
        <w:footnoteReference w:id="8017"/>
      </w:r>
      <w:r w:rsidRPr="007119D6">
        <w:rPr>
          <w:rFonts w:ascii="Narkisim" w:hAnsi="Narkisim" w:cs="Narkisim"/>
          <w:rtl/>
        </w:rPr>
        <w:t>. [וע"ע בסמוך].</w:t>
      </w:r>
    </w:p>
    <w:p w14:paraId="32ED5390" w14:textId="77777777" w:rsidR="006C4368" w:rsidRPr="007119D6" w:rsidRDefault="006C4368" w:rsidP="006C4368">
      <w:pPr>
        <w:bidi/>
        <w:rPr>
          <w:rFonts w:ascii="Narkisim" w:hAnsi="Narkisim" w:cs="Narkisim"/>
        </w:rPr>
      </w:pPr>
      <w:r w:rsidRPr="007119D6">
        <w:rPr>
          <w:rFonts w:ascii="Narkisim" w:hAnsi="Narkisim" w:cs="Narkisim"/>
          <w:u w:val="single"/>
          <w:rtl/>
        </w:rPr>
        <w:t>ל"צ בפסולי עדות</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כת' דאף הרישא, דעד אומר מת והתירו לינשא איירי בפסולי עדות. ואף בפסולי עדות אמרי' דעד א' כב', וכדעולא</w:t>
      </w:r>
      <w:r w:rsidRPr="007119D6">
        <w:rPr>
          <w:rStyle w:val="ac"/>
          <w:rFonts w:ascii="Narkisim" w:hAnsi="Narkisim" w:cs="Narkisim"/>
          <w:rtl/>
        </w:rPr>
        <w:footnoteReference w:id="8018"/>
      </w:r>
      <w:r w:rsidRPr="007119D6">
        <w:rPr>
          <w:rFonts w:ascii="Narkisim" w:hAnsi="Narkisim" w:cs="Narkisim"/>
          <w:rtl/>
        </w:rPr>
        <w:t>. אבל ה</w:t>
      </w:r>
      <w:r w:rsidRPr="007119D6">
        <w:rPr>
          <w:rFonts w:ascii="Narkisim" w:hAnsi="Narkisim" w:cs="Narkisim"/>
          <w:b/>
          <w:bCs/>
          <w:rtl/>
        </w:rPr>
        <w:t>רמב"ם</w:t>
      </w:r>
      <w:r w:rsidRPr="007119D6">
        <w:rPr>
          <w:rFonts w:ascii="Narkisim" w:hAnsi="Narkisim" w:cs="Narkisim"/>
          <w:rtl/>
        </w:rPr>
        <w:t xml:space="preserve"> (גירושין יב כא) כת' אשה אומרת מת או היא שאמרה מת בעלי ואח"כ בא עד כשר ואמר לא מת הר"ז תצא. וכן דעת ה</w:t>
      </w:r>
      <w:r w:rsidRPr="007119D6">
        <w:rPr>
          <w:rFonts w:ascii="Narkisim" w:hAnsi="Narkisim" w:cs="Narkisim"/>
          <w:b/>
          <w:bCs/>
          <w:rtl/>
        </w:rPr>
        <w:t>רמב”ם</w:t>
      </w:r>
      <w:r w:rsidRPr="007119D6">
        <w:rPr>
          <w:rFonts w:ascii="Narkisim" w:hAnsi="Narkisim" w:cs="Narkisim"/>
          <w:rtl/>
        </w:rPr>
        <w:t xml:space="preserve"> (רוצח ט יד) דבפסולים לא אמרי' כל מקום שהאמינה תורה לעד א' הרי הוא כב'. ובעד פסול מהני להכחישו אף בזה אחר זה</w:t>
      </w:r>
      <w:r w:rsidRPr="007119D6">
        <w:rPr>
          <w:rStyle w:val="ac"/>
          <w:rFonts w:ascii="Narkisim" w:hAnsi="Narkisim" w:cs="Narkisim"/>
          <w:rtl/>
        </w:rPr>
        <w:footnoteReference w:id="8019"/>
      </w:r>
      <w:r w:rsidRPr="007119D6">
        <w:rPr>
          <w:rFonts w:ascii="Narkisim" w:hAnsi="Narkisim" w:cs="Narkisim"/>
          <w:rtl/>
        </w:rPr>
        <w:t>.</w:t>
      </w:r>
    </w:p>
    <w:p w14:paraId="55AB9A9F"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גר"ח</w:t>
      </w:r>
      <w:r w:rsidRPr="007119D6">
        <w:rPr>
          <w:rFonts w:ascii="Narkisim" w:hAnsi="Narkisim"/>
          <w:rtl/>
        </w:rPr>
        <w:t xml:space="preserve"> (שם) הביא דמבואר בדברי הרמב"ם דכה"ג סומכים על העד, אף דלא הוה כשנים. והביא דה</w:t>
      </w:r>
      <w:r w:rsidRPr="007119D6">
        <w:rPr>
          <w:rFonts w:ascii="Narkisim" w:hAnsi="Narkisim"/>
          <w:b/>
          <w:bCs/>
          <w:rtl/>
        </w:rPr>
        <w:t>ריטב"א</w:t>
      </w:r>
      <w:r w:rsidRPr="007119D6">
        <w:rPr>
          <w:rFonts w:ascii="Narkisim" w:hAnsi="Narkisim"/>
          <w:rtl/>
        </w:rPr>
        <w:t xml:space="preserve"> (לעיל פח:) כת' דילפי' דין עד א' כשנים מהא דחזינן דהאמינתו תורה כב'</w:t>
      </w:r>
      <w:r w:rsidRPr="007119D6">
        <w:rPr>
          <w:rStyle w:val="ac"/>
          <w:rFonts w:ascii="Narkisim" w:hAnsi="Narkisim"/>
          <w:rtl/>
        </w:rPr>
        <w:footnoteReference w:id="8020"/>
      </w:r>
      <w:r w:rsidRPr="007119D6">
        <w:rPr>
          <w:rFonts w:ascii="Narkisim" w:hAnsi="Narkisim"/>
          <w:rtl/>
        </w:rPr>
        <w:t>. אך מדברי הרמב"ם צ"ל דעד פסול נאמן אף דלא הוה כב'. ואפ"ה בעד כשר אמרי' דהוה כב'</w:t>
      </w:r>
      <w:r w:rsidRPr="007119D6">
        <w:rPr>
          <w:rStyle w:val="ac"/>
          <w:rFonts w:ascii="Narkisim" w:hAnsi="Narkisim"/>
          <w:rtl/>
        </w:rPr>
        <w:footnoteReference w:id="8021"/>
      </w:r>
      <w:r w:rsidRPr="007119D6">
        <w:rPr>
          <w:rFonts w:ascii="Narkisim" w:hAnsi="Narkisim"/>
          <w:rtl/>
        </w:rPr>
        <w:t>.</w:t>
      </w:r>
    </w:p>
    <w:p w14:paraId="3357A166" w14:textId="77777777" w:rsidR="006C4368" w:rsidRPr="007119D6" w:rsidRDefault="006C4368" w:rsidP="006C4368">
      <w:pPr>
        <w:pStyle w:val="a8"/>
        <w:bidi/>
        <w:rPr>
          <w:rFonts w:ascii="Narkisim" w:hAnsi="Narkisim"/>
        </w:rPr>
      </w:pPr>
      <w:r w:rsidRPr="007119D6">
        <w:rPr>
          <w:rFonts w:ascii="Narkisim" w:hAnsi="Narkisim"/>
          <w:rtl/>
        </w:rPr>
        <w:t xml:space="preserve">והגר"ח כת' דיסוד ד'הרי הוא כשנים' מהני רק שלא יחשב הכחשה בגוף העדות [דעד מוכחש אינו נאמן כלל, ע' </w:t>
      </w:r>
      <w:r w:rsidRPr="007119D6">
        <w:rPr>
          <w:rFonts w:ascii="Narkisim" w:hAnsi="Narkisim"/>
          <w:rtl/>
        </w:rPr>
        <w:lastRenderedPageBreak/>
        <w:t>לעיל]. אבל היכא דיש גם לעד השני נאמנות, בזה ל"מ כלל הך דינא דהרי הוא כשנים לבטל עדותו של השני.</w:t>
      </w:r>
    </w:p>
    <w:p w14:paraId="43D7A583"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וה</w:t>
      </w:r>
      <w:r w:rsidRPr="007119D6">
        <w:rPr>
          <w:rFonts w:ascii="Narkisim" w:hAnsi="Narkisim" w:cs="Narkisim"/>
          <w:b/>
          <w:bCs/>
          <w:rtl/>
        </w:rPr>
        <w:t>רמב"ן</w:t>
      </w:r>
      <w:r w:rsidRPr="007119D6">
        <w:rPr>
          <w:rFonts w:ascii="Narkisim" w:hAnsi="Narkisim" w:cs="Narkisim"/>
          <w:rtl/>
        </w:rPr>
        <w:t xml:space="preserve"> חילק דבאשה ופסולי עדות אמרי' דעד א' כב', אבל האשה עצמה שאמרה מת בעלי, ואח"כ עד א' מכחישה תצא. וה</w:t>
      </w:r>
      <w:r w:rsidRPr="007119D6">
        <w:rPr>
          <w:rFonts w:ascii="Narkisim" w:hAnsi="Narkisim" w:cs="Narkisim"/>
          <w:b/>
          <w:bCs/>
          <w:rtl/>
        </w:rPr>
        <w:t>ריטב"א</w:t>
      </w:r>
      <w:r w:rsidRPr="007119D6">
        <w:rPr>
          <w:rFonts w:ascii="Narkisim" w:hAnsi="Narkisim" w:cs="Narkisim"/>
          <w:rtl/>
        </w:rPr>
        <w:t xml:space="preserve"> ביאר דאמירה דידה לאו עדות הוא, ולא האמינוה במקום הכחשה.</w:t>
      </w:r>
    </w:p>
    <w:p w14:paraId="42F57C2A"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ריא"ז</w:t>
      </w:r>
      <w:r w:rsidRPr="007119D6">
        <w:rPr>
          <w:rFonts w:ascii="Narkisim" w:hAnsi="Narkisim"/>
          <w:rtl/>
        </w:rPr>
        <w:t xml:space="preserve"> (ב ט הו' בשלט"ג) כת' דהאשה שהתירה עצמה, וב' נשים [ופסולים] מכחישים, אינן נאמנות להוציאה. [וע"ד מש"כ רש"י לעיל פח:].</w:t>
      </w:r>
    </w:p>
    <w:p w14:paraId="5EA92E79" w14:textId="77777777" w:rsidR="006C4368" w:rsidRPr="007119D6" w:rsidRDefault="006C4368" w:rsidP="006C4368">
      <w:pPr>
        <w:bidi/>
        <w:rPr>
          <w:rFonts w:ascii="Narkisim" w:hAnsi="Narkisim" w:cs="Narkisim"/>
        </w:rPr>
      </w:pPr>
      <w:r w:rsidRPr="007119D6">
        <w:rPr>
          <w:rFonts w:ascii="Narkisim" w:hAnsi="Narkisim" w:cs="Narkisim"/>
          <w:u w:val="single"/>
          <w:rtl/>
        </w:rPr>
        <w:t>תוד"ה לא צריכא</w:t>
      </w:r>
      <w:r w:rsidRPr="007119D6">
        <w:rPr>
          <w:rFonts w:ascii="Narkisim" w:hAnsi="Narkisim" w:cs="Narkisim"/>
          <w:rtl/>
        </w:rPr>
        <w:t xml:space="preserve">. הא חד וחד אינה שותה, תיובתא דר"ח וכו'. [דהעד שאומר שנטמאת נאמן, וכעולא דאף בבת א' העד שאומר לא נטמאת הוה כב']. מבואר דלר' חייא העדים מכחשי, והיתה שותה. </w:t>
      </w:r>
      <w:r w:rsidRPr="007119D6">
        <w:rPr>
          <w:rFonts w:ascii="Narkisim" w:hAnsi="Narkisim" w:cs="Narkisim"/>
          <w:szCs w:val="20"/>
          <w:rtl/>
        </w:rPr>
        <w:t>וה</w:t>
      </w:r>
      <w:r w:rsidRPr="007119D6">
        <w:rPr>
          <w:rFonts w:ascii="Narkisim" w:hAnsi="Narkisim" w:cs="Narkisim"/>
          <w:b/>
          <w:bCs/>
          <w:szCs w:val="20"/>
          <w:rtl/>
        </w:rPr>
        <w:t>תרה"כ</w:t>
      </w:r>
      <w:r w:rsidRPr="007119D6">
        <w:rPr>
          <w:rFonts w:ascii="Narkisim" w:hAnsi="Narkisim" w:cs="Narkisim"/>
          <w:szCs w:val="20"/>
          <w:rtl/>
        </w:rPr>
        <w:t xml:space="preserve"> (לא) הק' דלדעת ה</w:t>
      </w:r>
      <w:r w:rsidRPr="007119D6">
        <w:rPr>
          <w:rFonts w:ascii="Narkisim" w:hAnsi="Narkisim" w:cs="Narkisim"/>
          <w:b/>
          <w:bCs/>
          <w:szCs w:val="20"/>
          <w:rtl/>
        </w:rPr>
        <w:t>רמב"ם</w:t>
      </w:r>
      <w:r w:rsidRPr="007119D6">
        <w:rPr>
          <w:rFonts w:ascii="Narkisim" w:hAnsi="Narkisim" w:cs="Narkisim"/>
          <w:szCs w:val="20"/>
          <w:rtl/>
        </w:rPr>
        <w:t xml:space="preserve"> (הו' בסמוך) עד א' בהכחשה כמאן דאיתא, א"כ אמאי שותה. ומ"ש מתרי ותרי. [דמבואר בסו"ד התוס' דאינה שותה]. אך שוב הביא דיש ראשונים דאף תרי ותרי היתה שותה, וי"ל דכ"ד הרמב"ם].</w:t>
      </w:r>
    </w:p>
    <w:p w14:paraId="1B68C248" w14:textId="77777777" w:rsidR="006C4368" w:rsidRPr="007119D6" w:rsidRDefault="006C4368" w:rsidP="006C4368">
      <w:pPr>
        <w:pStyle w:val="aa"/>
        <w:bidi/>
        <w:rPr>
          <w:rFonts w:ascii="Narkisim" w:hAnsi="Narkisim"/>
        </w:rPr>
      </w:pPr>
      <w:r w:rsidRPr="007119D6">
        <w:rPr>
          <w:rFonts w:ascii="Narkisim" w:hAnsi="Narkisim"/>
          <w:u w:val="single"/>
          <w:rtl/>
        </w:rPr>
        <w:t>בא"ד (קיח.) א"נ דרישא דהתם כיון דעד א' נאמן מה"ת הוי כתרי ותרי, ואי מכחשי אהדדי לא היתה שותה</w:t>
      </w:r>
      <w:r w:rsidRPr="007119D6">
        <w:rPr>
          <w:rFonts w:ascii="Narkisim" w:hAnsi="Narkisim"/>
          <w:rtl/>
        </w:rPr>
        <w:t>. [ולא אמרי' אין דבריו של א' במקום ב']. ה</w:t>
      </w:r>
      <w:r w:rsidRPr="007119D6">
        <w:rPr>
          <w:rFonts w:ascii="Narkisim" w:hAnsi="Narkisim"/>
          <w:b/>
          <w:bCs/>
          <w:rtl/>
        </w:rPr>
        <w:t>אחרונים</w:t>
      </w:r>
      <w:r w:rsidRPr="007119D6">
        <w:rPr>
          <w:rFonts w:ascii="Narkisim" w:hAnsi="Narkisim"/>
          <w:rtl/>
        </w:rPr>
        <w:t xml:space="preserve"> כת' די"ל דהוה הו"א בעלמא, אבל למסקנא אין דבריו של א' במקום ב'. אבל ה</w:t>
      </w:r>
      <w:r w:rsidRPr="007119D6">
        <w:rPr>
          <w:rFonts w:ascii="Narkisim" w:hAnsi="Narkisim"/>
          <w:b/>
          <w:bCs/>
          <w:rtl/>
        </w:rPr>
        <w:t>גר"ח</w:t>
      </w:r>
      <w:r w:rsidRPr="007119D6">
        <w:rPr>
          <w:rFonts w:ascii="Narkisim" w:hAnsi="Narkisim"/>
          <w:rtl/>
        </w:rPr>
        <w:t xml:space="preserve"> (הל' רוצח) ציין דתוס' ס"ל דהוה כתרי ותרי</w:t>
      </w:r>
      <w:r w:rsidRPr="007119D6">
        <w:rPr>
          <w:rStyle w:val="ac"/>
          <w:rFonts w:ascii="Narkisim" w:hAnsi="Narkisim"/>
          <w:rtl/>
        </w:rPr>
        <w:footnoteReference w:id="8022"/>
      </w:r>
      <w:r w:rsidRPr="007119D6">
        <w:rPr>
          <w:rFonts w:ascii="Narkisim" w:hAnsi="Narkisim"/>
          <w:rtl/>
        </w:rPr>
        <w:t>. ותמה בזה. [ומשמע דנקט דקאי הכי אף למסקנא. וצ”ע].</w:t>
      </w:r>
    </w:p>
    <w:p w14:paraId="1CF21455" w14:textId="77777777" w:rsidR="006C4368" w:rsidRPr="007119D6" w:rsidRDefault="006C4368" w:rsidP="006C4368">
      <w:pPr>
        <w:bidi/>
        <w:rPr>
          <w:rFonts w:ascii="Narkisim" w:hAnsi="Narkisim" w:cs="Narkisim"/>
        </w:rPr>
      </w:pPr>
      <w:r w:rsidRPr="007119D6">
        <w:rPr>
          <w:rFonts w:ascii="Narkisim" w:hAnsi="Narkisim" w:cs="Narkisim"/>
          <w:u w:val="single"/>
          <w:rtl/>
        </w:rPr>
        <w:t>בא"ד (שם) הוי כתרי ותרי וכו' לא היתה שותה</w:t>
      </w:r>
      <w:r w:rsidRPr="007119D6">
        <w:rPr>
          <w:rFonts w:ascii="Narkisim" w:hAnsi="Narkisim" w:cs="Narkisim"/>
          <w:rtl/>
        </w:rPr>
        <w:t>. מבואר דפשיט"ל לתוס' דבסוטה ויש תרי ותרי אינה שותה. אבל ה</w:t>
      </w:r>
      <w:r w:rsidRPr="007119D6">
        <w:rPr>
          <w:rFonts w:ascii="Narkisim" w:hAnsi="Narkisim" w:cs="Narkisim"/>
          <w:b/>
          <w:bCs/>
          <w:rtl/>
        </w:rPr>
        <w:t>בעה"מ</w:t>
      </w:r>
      <w:r w:rsidRPr="007119D6">
        <w:rPr>
          <w:rFonts w:ascii="Narkisim" w:hAnsi="Narkisim" w:cs="Narkisim"/>
          <w:rtl/>
        </w:rPr>
        <w:t xml:space="preserve"> (סוטה) כת' דתרי ותרי היתה שותה</w:t>
      </w:r>
      <w:r w:rsidRPr="007119D6">
        <w:rPr>
          <w:rStyle w:val="ac"/>
          <w:rFonts w:ascii="Narkisim" w:hAnsi="Narkisim" w:cs="Narkisim"/>
          <w:rtl/>
        </w:rPr>
        <w:footnoteReference w:id="8023"/>
      </w:r>
      <w:r w:rsidRPr="007119D6">
        <w:rPr>
          <w:rFonts w:ascii="Narkisim" w:hAnsi="Narkisim" w:cs="Narkisim"/>
          <w:rtl/>
        </w:rPr>
        <w:t>. וכ"כ ה</w:t>
      </w:r>
      <w:r w:rsidRPr="007119D6">
        <w:rPr>
          <w:rFonts w:ascii="Narkisim" w:hAnsi="Narkisim" w:cs="Narkisim"/>
          <w:b/>
          <w:bCs/>
          <w:rtl/>
        </w:rPr>
        <w:t>רש"ש</w:t>
      </w:r>
      <w:r w:rsidRPr="007119D6">
        <w:rPr>
          <w:rFonts w:ascii="Narkisim" w:hAnsi="Narkisim" w:cs="Narkisim"/>
          <w:rtl/>
        </w:rPr>
        <w:t xml:space="preserve"> מסברא, דכיון דמכחשי אהדדי דל עדותם, והיכא דליכא עדות שותה.</w:t>
      </w:r>
    </w:p>
    <w:p w14:paraId="0E02C1FF" w14:textId="77777777" w:rsidR="006C4368" w:rsidRPr="007119D6" w:rsidRDefault="006C4368" w:rsidP="006C4368">
      <w:pPr>
        <w:pStyle w:val="a7"/>
        <w:bidi/>
        <w:rPr>
          <w:rFonts w:ascii="Narkisim" w:hAnsi="Narkisim"/>
        </w:rPr>
      </w:pPr>
      <w:r w:rsidRPr="007119D6">
        <w:rPr>
          <w:rFonts w:ascii="Narkisim" w:hAnsi="Narkisim"/>
          <w:rtl/>
        </w:rPr>
        <w:t>וכן ה</w:t>
      </w:r>
      <w:r w:rsidRPr="007119D6">
        <w:rPr>
          <w:rFonts w:ascii="Narkisim" w:hAnsi="Narkisim"/>
          <w:b/>
          <w:bCs/>
          <w:rtl/>
        </w:rPr>
        <w:t>ב"י</w:t>
      </w:r>
      <w:r w:rsidRPr="007119D6">
        <w:rPr>
          <w:rFonts w:ascii="Narkisim" w:hAnsi="Narkisim"/>
          <w:rtl/>
        </w:rPr>
        <w:t xml:space="preserve"> (קעח) כת' דעד אומר נטמאת וב' אומרים לא נטמאת הר"ז שותה, משום דהוה כתו"ת</w:t>
      </w:r>
      <w:r w:rsidRPr="007119D6">
        <w:rPr>
          <w:rStyle w:val="ac"/>
          <w:rFonts w:ascii="Narkisim" w:hAnsi="Narkisim"/>
          <w:rtl/>
        </w:rPr>
        <w:footnoteReference w:id="8024"/>
      </w:r>
      <w:r w:rsidRPr="007119D6">
        <w:rPr>
          <w:rFonts w:ascii="Narkisim" w:hAnsi="Narkisim"/>
          <w:rtl/>
        </w:rPr>
        <w:t>. וה</w:t>
      </w:r>
      <w:r w:rsidRPr="007119D6">
        <w:rPr>
          <w:rFonts w:ascii="Narkisim" w:hAnsi="Narkisim"/>
          <w:b/>
          <w:bCs/>
          <w:rtl/>
        </w:rPr>
        <w:t>תרה"כ</w:t>
      </w:r>
      <w:r w:rsidRPr="007119D6">
        <w:rPr>
          <w:rFonts w:ascii="Narkisim" w:hAnsi="Narkisim"/>
          <w:rtl/>
        </w:rPr>
        <w:t xml:space="preserve"> (לא) הביא דמבואר מדבריו דתרי ותרי היתה שותה</w:t>
      </w:r>
      <w:r w:rsidRPr="007119D6">
        <w:rPr>
          <w:rStyle w:val="ac"/>
          <w:rFonts w:ascii="Narkisim" w:hAnsi="Narkisim"/>
          <w:rtl/>
        </w:rPr>
        <w:footnoteReference w:id="8025"/>
      </w:r>
      <w:r w:rsidRPr="007119D6">
        <w:rPr>
          <w:rFonts w:ascii="Narkisim" w:hAnsi="Narkisim"/>
          <w:rtl/>
        </w:rPr>
        <w:t xml:space="preserve"> [דהא לא נתברר שנטמאה</w:t>
      </w:r>
      <w:r w:rsidRPr="007119D6">
        <w:rPr>
          <w:rStyle w:val="ac"/>
          <w:rFonts w:ascii="Narkisim" w:hAnsi="Narkisim"/>
          <w:rtl/>
        </w:rPr>
        <w:footnoteReference w:id="8026"/>
      </w:r>
      <w:r w:rsidRPr="007119D6">
        <w:rPr>
          <w:rFonts w:ascii="Narkisim" w:hAnsi="Narkisim"/>
          <w:rtl/>
        </w:rPr>
        <w:t>].</w:t>
      </w:r>
    </w:p>
    <w:p w14:paraId="1AD90132" w14:textId="77777777" w:rsidR="006C4368" w:rsidRPr="007119D6" w:rsidRDefault="006C4368" w:rsidP="006C4368">
      <w:pPr>
        <w:pStyle w:val="a8"/>
        <w:bidi/>
        <w:rPr>
          <w:rFonts w:ascii="Narkisim" w:hAnsi="Narkisim"/>
        </w:rPr>
      </w:pPr>
      <w:r w:rsidRPr="007119D6">
        <w:rPr>
          <w:rFonts w:ascii="Narkisim" w:hAnsi="Narkisim"/>
          <w:rtl/>
        </w:rPr>
        <w:t>ועד"ז כת' ה</w:t>
      </w:r>
      <w:r w:rsidRPr="007119D6">
        <w:rPr>
          <w:rFonts w:ascii="Narkisim" w:hAnsi="Narkisim"/>
          <w:b/>
          <w:bCs/>
          <w:rtl/>
        </w:rPr>
        <w:t>רמב"ם</w:t>
      </w:r>
      <w:r w:rsidRPr="007119D6">
        <w:rPr>
          <w:rFonts w:ascii="Narkisim" w:hAnsi="Narkisim"/>
          <w:rtl/>
        </w:rPr>
        <w:t xml:space="preserve"> (רוצח ט יד) גבי עגלה ערופה, דעד א' העיד על הרוצח ואח"כ באו ב' והכחישוהו שלא ראה, הרי הן כשתי עדיות המכחישות זו את זו ועורפין. [ולשונו משמע דאף בתרי ותרי עורפין]. וע"ע אחיעזר (א ו ז).</w:t>
      </w:r>
    </w:p>
    <w:p w14:paraId="120F9F6D" w14:textId="77777777" w:rsidR="006C4368" w:rsidRPr="007119D6" w:rsidRDefault="006C4368" w:rsidP="006C4368">
      <w:pPr>
        <w:bidi/>
        <w:rPr>
          <w:rFonts w:ascii="Narkisim" w:hAnsi="Narkisim" w:cs="Narkisim"/>
        </w:rPr>
      </w:pPr>
      <w:r w:rsidRPr="007119D6">
        <w:rPr>
          <w:rFonts w:ascii="Narkisim" w:hAnsi="Narkisim" w:cs="Narkisim"/>
          <w:u w:val="single"/>
          <w:rtl/>
        </w:rPr>
        <w:t>ועשו ב' נשים באיש א' כב' אנשים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דכיון דעד א' נאמן, אפי' עד פסול דאין תורת עדות. ואין עליך לבדוק עם כשרים או פסולים. [דלל"ק עד כשר שווה לעד פסול].</w:t>
      </w:r>
    </w:p>
    <w:p w14:paraId="7C63DE47" w14:textId="77777777" w:rsidR="006C4368" w:rsidRPr="007119D6" w:rsidRDefault="006C4368" w:rsidP="006C4368">
      <w:pPr>
        <w:pStyle w:val="a7"/>
        <w:bidi/>
        <w:rPr>
          <w:rFonts w:ascii="Narkisim" w:hAnsi="Narkisim"/>
        </w:rPr>
      </w:pPr>
      <w:r w:rsidRPr="007119D6">
        <w:rPr>
          <w:rFonts w:ascii="Narkisim" w:hAnsi="Narkisim"/>
          <w:rtl/>
        </w:rPr>
        <w:t>ולישנא בתרא (בסמוך, וכן לעיל פח:) פליג דעד כשר עדיף.</w:t>
      </w:r>
    </w:p>
    <w:p w14:paraId="1E534726"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גר"ח</w:t>
      </w:r>
      <w:r w:rsidRPr="007119D6">
        <w:rPr>
          <w:rFonts w:ascii="Narkisim" w:hAnsi="Narkisim"/>
          <w:rtl/>
        </w:rPr>
        <w:t xml:space="preserve"> (גירושין יב כא) ביאר דהל"ב סבר דעד כשר מהני בתורת עדות</w:t>
      </w:r>
      <w:r w:rsidRPr="007119D6">
        <w:rPr>
          <w:rStyle w:val="ac"/>
          <w:rFonts w:ascii="Narkisim" w:hAnsi="Narkisim"/>
          <w:rtl/>
        </w:rPr>
        <w:footnoteReference w:id="8027"/>
      </w:r>
      <w:r w:rsidRPr="007119D6">
        <w:rPr>
          <w:rFonts w:ascii="Narkisim" w:hAnsi="Narkisim"/>
          <w:rtl/>
        </w:rPr>
        <w:t>, ובעדות ל"ש בזה כלל תורת רוב [אבל עד פסול הוה תורת נאמנות מחודשת, וכמ”ש הש”ש ז א]. אבל לל"ק אמרי' דכיון דהכשירה תורה פסולים, א"כ אף עד כשר [בעדות מיתה וסוטה] לא הוה תורת עדות, אלא נאמנות בעלמא</w:t>
      </w:r>
      <w:r w:rsidRPr="007119D6">
        <w:rPr>
          <w:rStyle w:val="ac"/>
          <w:rFonts w:ascii="Narkisim" w:hAnsi="Narkisim"/>
          <w:rtl/>
        </w:rPr>
        <w:footnoteReference w:id="8028"/>
      </w:r>
      <w:r w:rsidRPr="007119D6">
        <w:rPr>
          <w:rFonts w:ascii="Narkisim" w:hAnsi="Narkisim"/>
          <w:rtl/>
        </w:rPr>
        <w:t>. ובגדרי נאמנות אזלי' בתר רוב דעות, ומשום דינא דאחרי רבים להטות.</w:t>
      </w:r>
    </w:p>
    <w:p w14:paraId="7BDD524B" w14:textId="77777777" w:rsidR="006C4368" w:rsidRPr="007119D6" w:rsidRDefault="006C4368" w:rsidP="006C4368">
      <w:pPr>
        <w:pStyle w:val="aa"/>
        <w:bidi/>
        <w:rPr>
          <w:rFonts w:ascii="Narkisim" w:hAnsi="Narkisim"/>
        </w:rPr>
      </w:pPr>
      <w:r w:rsidRPr="007119D6">
        <w:rPr>
          <w:rFonts w:ascii="Narkisim" w:hAnsi="Narkisim"/>
          <w:u w:val="single"/>
          <w:rtl/>
        </w:rPr>
        <w:t>רש"י ד"ה ועשו</w:t>
      </w:r>
      <w:r w:rsidRPr="007119D6">
        <w:rPr>
          <w:rFonts w:ascii="Narkisim" w:hAnsi="Narkisim"/>
          <w:rtl/>
        </w:rPr>
        <w:t xml:space="preserve">. ואפי' ניסת תצא. ועדים פסולים מוציאין אותה מבעלה. אבל </w:t>
      </w:r>
      <w:r w:rsidRPr="007119D6">
        <w:rPr>
          <w:rFonts w:ascii="Narkisim" w:hAnsi="Narkisim"/>
          <w:b/>
          <w:bCs/>
          <w:rtl/>
        </w:rPr>
        <w:t>רש”י</w:t>
      </w:r>
      <w:r w:rsidRPr="007119D6">
        <w:rPr>
          <w:rFonts w:ascii="Narkisim" w:hAnsi="Narkisim"/>
          <w:rtl/>
        </w:rPr>
        <w:t xml:space="preserve"> (לעיל פח:) כת' דהיכא דהאשה עצמה אומרת ברי ל"מ פסולי עדות להוציאה מבעלה. [וי”ל דרש”י כאן איירי כשאינה טוענת ברי].</w:t>
      </w:r>
    </w:p>
    <w:p w14:paraId="74AB111C" w14:textId="77777777" w:rsidR="006C4368" w:rsidRPr="007119D6" w:rsidRDefault="006C4368" w:rsidP="006C4368">
      <w:pPr>
        <w:pStyle w:val="aa"/>
        <w:bidi/>
        <w:rPr>
          <w:rFonts w:ascii="Narkisim" w:hAnsi="Narkisim"/>
        </w:rPr>
      </w:pPr>
      <w:r w:rsidRPr="007119D6">
        <w:rPr>
          <w:rFonts w:ascii="Narkisim" w:hAnsi="Narkisim"/>
          <w:u w:val="single"/>
          <w:rtl/>
        </w:rPr>
        <w:t>ואיבע"א וכו' אפי' ק' נשים כעד א' דמי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דאמרי' דעד הראשון כשנים, ול"מ ק' נשים לאסור. [וכ"כ רש"י לעיל פח:]. ומשמע דהיכא דבאו בבת א' שקולים הם. וה</w:t>
      </w:r>
      <w:r w:rsidRPr="007119D6">
        <w:rPr>
          <w:rFonts w:ascii="Narkisim" w:hAnsi="Narkisim"/>
          <w:b/>
          <w:bCs/>
          <w:rtl/>
        </w:rPr>
        <w:t>רמב"ם</w:t>
      </w:r>
      <w:r w:rsidRPr="007119D6">
        <w:rPr>
          <w:rFonts w:ascii="Narkisim" w:hAnsi="Narkisim"/>
          <w:rtl/>
        </w:rPr>
        <w:t xml:space="preserve"> (יב כ) כת' דעד כשר אומר שמת, ונשים או פסולין אומרים לא מת הוה כמחצה למחצה, ואסורה, אא"כ נשאת לא' מעדיה ואומרת ברי. וה</w:t>
      </w:r>
      <w:r w:rsidRPr="007119D6">
        <w:rPr>
          <w:rFonts w:ascii="Narkisim" w:hAnsi="Narkisim"/>
          <w:b/>
          <w:bCs/>
          <w:rtl/>
        </w:rPr>
        <w:t>רמב"ן</w:t>
      </w:r>
      <w:r w:rsidRPr="007119D6">
        <w:rPr>
          <w:rFonts w:ascii="Narkisim" w:hAnsi="Narkisim"/>
          <w:rtl/>
        </w:rPr>
        <w:t xml:space="preserve"> ו</w:t>
      </w:r>
      <w:r w:rsidRPr="007119D6">
        <w:rPr>
          <w:rFonts w:ascii="Narkisim" w:hAnsi="Narkisim"/>
          <w:b/>
          <w:bCs/>
          <w:rtl/>
        </w:rPr>
        <w:t>רשב"א</w:t>
      </w:r>
      <w:r w:rsidRPr="007119D6">
        <w:rPr>
          <w:rFonts w:ascii="Narkisim" w:hAnsi="Narkisim"/>
          <w:rtl/>
        </w:rPr>
        <w:t xml:space="preserve"> </w:t>
      </w:r>
      <w:r w:rsidRPr="007119D6">
        <w:rPr>
          <w:rFonts w:ascii="Narkisim" w:hAnsi="Narkisim"/>
          <w:rtl/>
        </w:rPr>
        <w:lastRenderedPageBreak/>
        <w:t xml:space="preserve">(לעיל פח:) דייקו דאף בזה אחר זה מהני נשים רבות לאוסרה, דהוה כמחצה. [ול"מ דהעד הראשון הוה כשנים]. אבל </w:t>
      </w:r>
      <w:r w:rsidRPr="007119D6">
        <w:rPr>
          <w:rFonts w:ascii="Narkisim" w:hAnsi="Narkisim"/>
          <w:b/>
          <w:bCs/>
          <w:rtl/>
        </w:rPr>
        <w:t>ה"ה</w:t>
      </w:r>
      <w:r w:rsidRPr="007119D6">
        <w:rPr>
          <w:rFonts w:ascii="Narkisim" w:hAnsi="Narkisim"/>
          <w:rtl/>
        </w:rPr>
        <w:t xml:space="preserve"> נסתפק דאפשר דכוונת הרמב"ם דדוקא בבת א'</w:t>
      </w:r>
      <w:r w:rsidRPr="007119D6">
        <w:rPr>
          <w:rStyle w:val="ac"/>
          <w:rFonts w:ascii="Narkisim" w:hAnsi="Narkisim"/>
          <w:rtl/>
        </w:rPr>
        <w:footnoteReference w:id="8029"/>
      </w:r>
      <w:r w:rsidRPr="007119D6">
        <w:rPr>
          <w:rFonts w:ascii="Narkisim" w:hAnsi="Narkisim"/>
          <w:rtl/>
        </w:rPr>
        <w:t>.</w:t>
      </w:r>
    </w:p>
    <w:p w14:paraId="61BC67C4"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(שם כא) פסק דאשה או פסול אמרו מת, ואח"כ בא עד כשר שלא מת, אפי' נשאת תצא</w:t>
      </w:r>
      <w:r w:rsidRPr="007119D6">
        <w:rPr>
          <w:rStyle w:val="ac"/>
          <w:rFonts w:ascii="Narkisim" w:hAnsi="Narkisim"/>
          <w:rtl/>
        </w:rPr>
        <w:footnoteReference w:id="8030"/>
      </w:r>
      <w:r w:rsidRPr="007119D6">
        <w:rPr>
          <w:rFonts w:ascii="Narkisim" w:hAnsi="Narkisim"/>
          <w:rtl/>
        </w:rPr>
        <w:t>. ומשמע דאפי' טוענת ברי [ונשאת לא' מעדיה]. ו</w:t>
      </w:r>
      <w:r w:rsidRPr="007119D6">
        <w:rPr>
          <w:rFonts w:ascii="Narkisim" w:hAnsi="Narkisim"/>
          <w:b/>
          <w:bCs/>
          <w:rtl/>
        </w:rPr>
        <w:t>ה"ה</w:t>
      </w:r>
      <w:r w:rsidRPr="007119D6">
        <w:rPr>
          <w:rFonts w:ascii="Narkisim" w:hAnsi="Narkisim"/>
          <w:rtl/>
        </w:rPr>
        <w:t xml:space="preserve"> כת' דהמקור של הרמב"ם מסוגיין, דלל"ב מבואר דהורע כח האשה מעד כשר. [והגר"ח (שם) תמה דמצאנו בסוגיין דעד כשר שווה לרוב נשים. אך לא מצאנו דעדיפא מאשה. עי”ש].</w:t>
      </w:r>
    </w:p>
    <w:p w14:paraId="13E5A924"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(עח ז) כת' דלכאורה סברת הרמב"ם דאשה אינה נאמנת בתורת עדות [אלא נאמנות בעלמא, וכמ”ש הש”ש (ז א)], ואילו עד כשר נאמן בתורת עדות</w:t>
      </w:r>
      <w:r w:rsidRPr="007119D6">
        <w:rPr>
          <w:rStyle w:val="ac"/>
          <w:rFonts w:ascii="Narkisim" w:hAnsi="Narkisim"/>
          <w:rtl/>
        </w:rPr>
        <w:footnoteReference w:id="8031"/>
      </w:r>
      <w:r w:rsidRPr="007119D6">
        <w:rPr>
          <w:rFonts w:ascii="Narkisim" w:hAnsi="Narkisim"/>
          <w:rtl/>
        </w:rPr>
        <w:t>. והק' א"כ אמאי תלי בל"ב.</w:t>
      </w:r>
    </w:p>
    <w:p w14:paraId="6C9682DF" w14:textId="77777777" w:rsidR="006C4368" w:rsidRPr="007119D6" w:rsidRDefault="006C4368" w:rsidP="006C4368">
      <w:pPr>
        <w:pStyle w:val="aa"/>
        <w:bidi/>
        <w:rPr>
          <w:rFonts w:ascii="Narkisim" w:hAnsi="Narkisim"/>
        </w:rPr>
      </w:pPr>
      <w:r w:rsidRPr="007119D6">
        <w:rPr>
          <w:rFonts w:ascii="Narkisim" w:hAnsi="Narkisim"/>
          <w:rtl/>
        </w:rPr>
        <w:t>ו</w:t>
      </w:r>
      <w:r w:rsidRPr="007119D6">
        <w:rPr>
          <w:rFonts w:ascii="Narkisim" w:hAnsi="Narkisim"/>
          <w:b/>
          <w:bCs/>
          <w:rtl/>
        </w:rPr>
        <w:t>ה"ה</w:t>
      </w:r>
      <w:r w:rsidRPr="007119D6">
        <w:rPr>
          <w:rFonts w:ascii="Narkisim" w:hAnsi="Narkisim"/>
          <w:rtl/>
        </w:rPr>
        <w:t xml:space="preserve"> (ורמ"א יז לח וגר"א קכח) דייק מהרמב"ם דדוקא אשה א', אבל אילו בתחילה באו ב' נשים, ואח"כ בא עד כשר לא תצא</w:t>
      </w:r>
      <w:r w:rsidRPr="007119D6">
        <w:rPr>
          <w:rStyle w:val="ac"/>
          <w:rFonts w:ascii="Narkisim" w:hAnsi="Narkisim"/>
          <w:rtl/>
        </w:rPr>
        <w:footnoteReference w:id="8032"/>
      </w:r>
      <w:r w:rsidRPr="007119D6">
        <w:rPr>
          <w:rFonts w:ascii="Narkisim" w:hAnsi="Narkisim"/>
          <w:rtl/>
        </w:rPr>
        <w:t>. וה</w:t>
      </w:r>
      <w:r w:rsidRPr="007119D6">
        <w:rPr>
          <w:rFonts w:ascii="Narkisim" w:hAnsi="Narkisim"/>
          <w:b/>
          <w:bCs/>
          <w:rtl/>
        </w:rPr>
        <w:t>מראות צובאות</w:t>
      </w:r>
      <w:r w:rsidRPr="007119D6">
        <w:rPr>
          <w:rFonts w:ascii="Narkisim" w:hAnsi="Narkisim"/>
          <w:rtl/>
        </w:rPr>
        <w:t xml:space="preserve"> (קנו) הביא דמשמע מדברי ה</w:t>
      </w:r>
      <w:r w:rsidRPr="007119D6">
        <w:rPr>
          <w:rFonts w:ascii="Narkisim" w:hAnsi="Narkisim"/>
          <w:b/>
          <w:bCs/>
          <w:rtl/>
        </w:rPr>
        <w:t>מרדכי</w:t>
      </w:r>
      <w:r w:rsidRPr="007119D6">
        <w:rPr>
          <w:rFonts w:ascii="Narkisim" w:hAnsi="Narkisim"/>
          <w:rtl/>
        </w:rPr>
        <w:t xml:space="preserve"> (פא) דלל”ב עד כשר הוה ספק</w:t>
      </w:r>
      <w:r w:rsidRPr="007119D6">
        <w:rPr>
          <w:rStyle w:val="ac"/>
          <w:rFonts w:ascii="Narkisim" w:hAnsi="Narkisim"/>
          <w:rtl/>
        </w:rPr>
        <w:footnoteReference w:id="8033"/>
      </w:r>
      <w:r w:rsidRPr="007119D6">
        <w:rPr>
          <w:rFonts w:ascii="Narkisim" w:hAnsi="Narkisim"/>
          <w:rtl/>
        </w:rPr>
        <w:t>. [ואפי' נשאת תצא].</w:t>
      </w:r>
    </w:p>
    <w:p w14:paraId="65279913" w14:textId="77777777" w:rsidR="006C4368" w:rsidRPr="007119D6" w:rsidRDefault="006C4368" w:rsidP="006C4368">
      <w:pPr>
        <w:pStyle w:val="2"/>
        <w:bidi/>
        <w:rPr>
          <w:rFonts w:ascii="Narkisim" w:hAnsi="Narkisim"/>
        </w:rPr>
      </w:pPr>
      <w:r w:rsidRPr="007119D6">
        <w:rPr>
          <w:rFonts w:ascii="Narkisim" w:hAnsi="Narkisim"/>
          <w:rtl/>
        </w:rPr>
        <w:t>צרות מכחישות</w:t>
      </w:r>
    </w:p>
    <w:p w14:paraId="3B2855AE" w14:textId="77777777" w:rsidR="006C4368" w:rsidRPr="007119D6" w:rsidRDefault="006C4368" w:rsidP="006C4368">
      <w:pPr>
        <w:bidi/>
        <w:rPr>
          <w:rFonts w:ascii="Narkisim" w:hAnsi="Narkisim" w:cs="Narkisim"/>
        </w:rPr>
      </w:pPr>
      <w:r w:rsidRPr="007119D6">
        <w:rPr>
          <w:rFonts w:ascii="Narkisim" w:hAnsi="Narkisim" w:cs="Narkisim"/>
          <w:u w:val="single"/>
          <w:rtl/>
        </w:rPr>
        <w:t>אחת אומרת מת, ואחת אומרת לא מת וכו'</w:t>
      </w:r>
      <w:r w:rsidRPr="007119D6">
        <w:rPr>
          <w:rFonts w:ascii="Narkisim" w:hAnsi="Narkisim" w:cs="Narkisim"/>
          <w:rtl/>
        </w:rPr>
        <w:t>. בב' צרות. ונח' בגמ' האם ר' מאיר פליג אף בזה, דצרה נאמנת לאסור. או דר' מאיר מודה בזה, דכל לא מת לאו הכחשה. [ויתבאר לקמן].</w:t>
      </w:r>
    </w:p>
    <w:p w14:paraId="156BBDA5"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ד) הוכיח ממתני' דצרה אינה נאמנת בתורת ודאי, דאי כצד שנסתפק ה</w:t>
      </w:r>
      <w:r w:rsidRPr="007119D6">
        <w:rPr>
          <w:rFonts w:ascii="Narkisim" w:hAnsi="Narkisim"/>
          <w:b/>
          <w:bCs/>
          <w:rtl/>
        </w:rPr>
        <w:t>משנ"ל</w:t>
      </w:r>
      <w:r w:rsidRPr="007119D6">
        <w:rPr>
          <w:rFonts w:ascii="Narkisim" w:hAnsi="Narkisim"/>
          <w:rtl/>
        </w:rPr>
        <w:t xml:space="preserve"> (יב טז, הו' בע"א) דעדות צרה הוה ספק [וחוששין לקידושי שני]</w:t>
      </w:r>
      <w:r w:rsidRPr="007119D6">
        <w:rPr>
          <w:rStyle w:val="ac"/>
          <w:rFonts w:ascii="Narkisim" w:hAnsi="Narkisim"/>
          <w:rtl/>
        </w:rPr>
        <w:footnoteReference w:id="8034"/>
      </w:r>
      <w:r w:rsidRPr="007119D6">
        <w:rPr>
          <w:rFonts w:ascii="Narkisim" w:hAnsi="Narkisim"/>
          <w:rtl/>
        </w:rPr>
        <w:t>, א”כ יש לחוש לדבריה להכחיש, דשמא האמת כדבריה. ע"כ דאין נאמנות כלל לצרה</w:t>
      </w:r>
      <w:r w:rsidRPr="007119D6">
        <w:rPr>
          <w:rStyle w:val="ac"/>
          <w:rFonts w:ascii="Narkisim" w:hAnsi="Narkisim"/>
          <w:rtl/>
        </w:rPr>
        <w:footnoteReference w:id="8035"/>
      </w:r>
      <w:r w:rsidRPr="007119D6">
        <w:rPr>
          <w:rFonts w:ascii="Narkisim" w:hAnsi="Narkisim"/>
          <w:rtl/>
        </w:rPr>
        <w:t>. וה</w:t>
      </w:r>
      <w:r w:rsidRPr="007119D6">
        <w:rPr>
          <w:rFonts w:ascii="Narkisim" w:hAnsi="Narkisim"/>
          <w:b/>
          <w:bCs/>
          <w:rtl/>
        </w:rPr>
        <w:t>אחרונים</w:t>
      </w:r>
      <w:r w:rsidRPr="007119D6">
        <w:rPr>
          <w:rFonts w:ascii="Narkisim" w:hAnsi="Narkisim"/>
          <w:rtl/>
        </w:rPr>
        <w:t xml:space="preserve"> תי' די"ל דל"מ עד שהוא ספק במקום שיש עדות כשירה, וכמ"ש ה</w:t>
      </w:r>
      <w:r w:rsidRPr="007119D6">
        <w:rPr>
          <w:rFonts w:ascii="Narkisim" w:hAnsi="Narkisim"/>
          <w:b/>
          <w:bCs/>
          <w:rtl/>
        </w:rPr>
        <w:t>שער משפט</w:t>
      </w:r>
      <w:r w:rsidRPr="007119D6">
        <w:rPr>
          <w:rFonts w:ascii="Narkisim" w:hAnsi="Narkisim"/>
          <w:rtl/>
        </w:rPr>
        <w:t xml:space="preserve"> (לד טו). דאין ספק מוציא מידי הנאמנות הודאית</w:t>
      </w:r>
      <w:r w:rsidRPr="007119D6">
        <w:rPr>
          <w:rStyle w:val="ac"/>
          <w:rFonts w:ascii="Narkisim" w:hAnsi="Narkisim"/>
          <w:rtl/>
        </w:rPr>
        <w:footnoteReference w:id="8036"/>
      </w:r>
      <w:r w:rsidRPr="007119D6">
        <w:rPr>
          <w:rFonts w:ascii="Narkisim" w:hAnsi="Narkisim"/>
          <w:rtl/>
        </w:rPr>
        <w:t>.</w:t>
      </w:r>
    </w:p>
    <w:p w14:paraId="615716B7"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נוב"י</w:t>
      </w:r>
      <w:r w:rsidRPr="007119D6">
        <w:rPr>
          <w:rFonts w:ascii="Narkisim" w:hAnsi="Narkisim" w:cs="Narkisim"/>
          <w:rtl/>
        </w:rPr>
        <w:t xml:space="preserve"> </w:t>
      </w:r>
      <w:r w:rsidRPr="007119D6">
        <w:rPr>
          <w:rFonts w:ascii="Narkisim" w:hAnsi="Narkisim" w:cs="Narkisim"/>
          <w:szCs w:val="20"/>
          <w:rtl/>
        </w:rPr>
        <w:t>(ת סד, הו' בפתח"ת יז קסד)</w:t>
      </w:r>
      <w:r w:rsidRPr="007119D6">
        <w:rPr>
          <w:rFonts w:ascii="Narkisim" w:hAnsi="Narkisim" w:cs="Narkisim"/>
          <w:rtl/>
        </w:rPr>
        <w:t xml:space="preserve"> חידש דכל זה דוקא במה שיש הכחשה. אבל היכא דהנך נשים העידו על סימנים של בעלה</w:t>
      </w:r>
      <w:r w:rsidRPr="007119D6">
        <w:rPr>
          <w:rStyle w:val="ac"/>
          <w:rFonts w:ascii="Narkisim" w:hAnsi="Narkisim" w:cs="Narkisim"/>
          <w:rtl/>
        </w:rPr>
        <w:footnoteReference w:id="8037"/>
      </w:r>
      <w:r w:rsidRPr="007119D6">
        <w:rPr>
          <w:rFonts w:ascii="Narkisim" w:hAnsi="Narkisim" w:cs="Narkisim"/>
          <w:rtl/>
        </w:rPr>
        <w:t>, ואין אדם שמכחישה בזה</w:t>
      </w:r>
      <w:r w:rsidRPr="007119D6">
        <w:rPr>
          <w:rStyle w:val="ac"/>
          <w:rFonts w:ascii="Narkisim" w:hAnsi="Narkisim" w:cs="Narkisim"/>
          <w:rtl/>
        </w:rPr>
        <w:footnoteReference w:id="8038"/>
      </w:r>
      <w:r w:rsidRPr="007119D6">
        <w:rPr>
          <w:rFonts w:ascii="Narkisim" w:hAnsi="Narkisim" w:cs="Narkisim"/>
          <w:rtl/>
        </w:rPr>
        <w:t>. [וצ"ע].</w:t>
      </w:r>
    </w:p>
    <w:p w14:paraId="650F5806" w14:textId="77777777" w:rsidR="006C4368" w:rsidRPr="007119D6" w:rsidRDefault="006C4368" w:rsidP="006C4368">
      <w:pPr>
        <w:bidi/>
        <w:rPr>
          <w:rFonts w:ascii="Narkisim" w:hAnsi="Narkisim" w:cs="Narkisim"/>
        </w:rPr>
      </w:pPr>
      <w:r w:rsidRPr="007119D6">
        <w:rPr>
          <w:rFonts w:ascii="Narkisim" w:hAnsi="Narkisim" w:cs="Narkisim"/>
          <w:u w:val="single"/>
          <w:rtl/>
        </w:rPr>
        <w:t>א' אומרת מת וא' אומרת נהרג, ר"מ אומר הואיל ומכחישות זא"ז הרי אלו לא ינשאו</w:t>
      </w:r>
      <w:r w:rsidRPr="007119D6">
        <w:rPr>
          <w:rStyle w:val="ac"/>
          <w:rFonts w:ascii="Narkisim" w:hAnsi="Narkisim" w:cs="Narkisim"/>
          <w:u w:val="single"/>
          <w:rtl/>
        </w:rPr>
        <w:footnoteReference w:id="8039"/>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(קיח. ד"ה ומכחישות) ביאר דודאי א' מהן שקרנית, ואולי שתיהם אומרות שקר. ו</w:t>
      </w:r>
      <w:r w:rsidRPr="007119D6">
        <w:rPr>
          <w:rFonts w:ascii="Narkisim" w:hAnsi="Narkisim" w:cs="Narkisim"/>
          <w:b/>
          <w:bCs/>
          <w:rtl/>
        </w:rPr>
        <w:t>ר' יואל</w:t>
      </w:r>
      <w:r w:rsidRPr="007119D6">
        <w:rPr>
          <w:rFonts w:ascii="Narkisim" w:hAnsi="Narkisim" w:cs="Narkisim"/>
          <w:rtl/>
        </w:rPr>
        <w:t xml:space="preserve"> ב</w:t>
      </w:r>
      <w:r w:rsidRPr="007119D6">
        <w:rPr>
          <w:rFonts w:ascii="Narkisim" w:hAnsi="Narkisim" w:cs="Narkisim"/>
          <w:b/>
          <w:bCs/>
          <w:rtl/>
        </w:rPr>
        <w:t>תוס</w:t>
      </w:r>
      <w:r w:rsidRPr="007119D6">
        <w:rPr>
          <w:rFonts w:ascii="Narkisim" w:hAnsi="Narkisim" w:cs="Narkisim"/>
          <w:rtl/>
        </w:rPr>
        <w:t>' (קיח. ד"ה דכל) ביאר דכיון דאינן מכוונות דבריהם אמרי' דהוה בדדמי, ואינן יודעות אמיתת הדברים.</w:t>
      </w:r>
    </w:p>
    <w:p w14:paraId="18B0CD73" w14:textId="77777777" w:rsidR="006C4368" w:rsidRPr="007119D6" w:rsidRDefault="006C4368" w:rsidP="006C4368">
      <w:pPr>
        <w:bidi/>
        <w:rPr>
          <w:rFonts w:ascii="Narkisim" w:hAnsi="Narkisim" w:cs="Narkisim"/>
        </w:rPr>
      </w:pPr>
      <w:r w:rsidRPr="007119D6">
        <w:rPr>
          <w:rFonts w:ascii="Narkisim" w:hAnsi="Narkisim" w:cs="Narkisim"/>
          <w:u w:val="single"/>
          <w:rtl/>
        </w:rPr>
        <w:t>ר' יהודה ור' שמעון אומרים הואיל וזו”ז מודות שאין קיים ינשאו</w:t>
      </w:r>
      <w:r w:rsidRPr="007119D6">
        <w:rPr>
          <w:rFonts w:ascii="Narkisim" w:hAnsi="Narkisim" w:cs="Narkisim"/>
          <w:rtl/>
        </w:rPr>
        <w:t>. ב</w:t>
      </w:r>
      <w:r w:rsidRPr="007119D6">
        <w:rPr>
          <w:rFonts w:ascii="Narkisim" w:hAnsi="Narkisim" w:cs="Narkisim"/>
          <w:b/>
          <w:bCs/>
          <w:rtl/>
        </w:rPr>
        <w:t>פסקי הרי"ד</w:t>
      </w:r>
      <w:r w:rsidRPr="007119D6">
        <w:rPr>
          <w:rFonts w:ascii="Narkisim" w:hAnsi="Narkisim" w:cs="Narkisim"/>
          <w:rtl/>
        </w:rPr>
        <w:t xml:space="preserve"> ביאר דס"ל דהכחשת הצרה לא הויא הכחשה [ע' בגמ']. ועפ"ז כת' דדוקא צרות אינן מכחישות זו את זו. אבל בעדים, דעד א' אומר מת ועד א' אומ' נהרג הוה עדות מוכחשת. ואף ששניהן מודים </w:t>
      </w:r>
      <w:r w:rsidRPr="007119D6">
        <w:rPr>
          <w:rFonts w:ascii="Narkisim" w:hAnsi="Narkisim" w:cs="Narkisim"/>
          <w:rtl/>
        </w:rPr>
        <w:lastRenderedPageBreak/>
        <w:t>שאינו קיים לא תינשא. והביא דכ”ה ב</w:t>
      </w:r>
      <w:r w:rsidRPr="007119D6">
        <w:rPr>
          <w:rFonts w:ascii="Narkisim" w:hAnsi="Narkisim" w:cs="Narkisim"/>
          <w:b/>
          <w:bCs/>
          <w:rtl/>
        </w:rPr>
        <w:t>ירושלמי</w:t>
      </w:r>
      <w:r w:rsidRPr="007119D6">
        <w:rPr>
          <w:rFonts w:ascii="Narkisim" w:hAnsi="Narkisim" w:cs="Narkisim"/>
          <w:rtl/>
        </w:rPr>
        <w:t xml:space="preserve"> אמר ר' אלעזר מודו ר' יהודה ור"ש בעדים</w:t>
      </w:r>
      <w:r w:rsidRPr="007119D6">
        <w:rPr>
          <w:rStyle w:val="ac"/>
          <w:rFonts w:ascii="Narkisim" w:hAnsi="Narkisim" w:cs="Narkisim"/>
          <w:rtl/>
        </w:rPr>
        <w:footnoteReference w:id="8040"/>
      </w:r>
      <w:r w:rsidRPr="007119D6">
        <w:rPr>
          <w:rFonts w:ascii="Narkisim" w:hAnsi="Narkisim" w:cs="Narkisim"/>
          <w:rtl/>
        </w:rPr>
        <w:t>.</w:t>
      </w:r>
    </w:p>
    <w:p w14:paraId="51C68480" w14:textId="77777777" w:rsidR="006C4368" w:rsidRPr="007119D6" w:rsidRDefault="006C4368" w:rsidP="006C4368">
      <w:pPr>
        <w:pStyle w:val="a7"/>
        <w:bidi/>
        <w:rPr>
          <w:rFonts w:ascii="Narkisim" w:hAnsi="Narkisim"/>
        </w:rPr>
      </w:pPr>
      <w:r w:rsidRPr="007119D6">
        <w:rPr>
          <w:rFonts w:ascii="Narkisim" w:hAnsi="Narkisim"/>
          <w:rtl/>
        </w:rPr>
        <w:t>ועפ"ז כת' ב</w:t>
      </w:r>
      <w:r w:rsidRPr="007119D6">
        <w:rPr>
          <w:rFonts w:ascii="Narkisim" w:hAnsi="Narkisim"/>
          <w:b/>
          <w:bCs/>
          <w:rtl/>
        </w:rPr>
        <w:t>פסקי רי"ד</w:t>
      </w:r>
      <w:r w:rsidRPr="007119D6">
        <w:rPr>
          <w:rFonts w:ascii="Narkisim" w:hAnsi="Narkisim"/>
          <w:rtl/>
        </w:rPr>
        <w:t xml:space="preserve"> (וכן הריא"ז טו ב י) דדין עדות אשה כדיני נפשות, וכדאי' (סנהדרין מא.) בדיני נפשות דעד א' אומר בסיף הרגו, וא' אומר בארירן הרגו אינו מצטרף. ואף דקי"ל (סנהדרין ל:) דבדיני ממונות מצטרף אף כשיש הכחשה בבדיקות</w:t>
      </w:r>
      <w:r w:rsidRPr="007119D6">
        <w:rPr>
          <w:rStyle w:val="ac"/>
          <w:rFonts w:ascii="Narkisim" w:hAnsi="Narkisim"/>
          <w:rtl/>
        </w:rPr>
        <w:footnoteReference w:id="8041"/>
      </w:r>
      <w:r w:rsidRPr="007119D6">
        <w:rPr>
          <w:rFonts w:ascii="Narkisim" w:hAnsi="Narkisim"/>
          <w:rtl/>
        </w:rPr>
        <w:t>. עדות אשה דינו כדיני נפשות שבטלה העדות, ולא הקילו בזה.</w:t>
      </w:r>
    </w:p>
    <w:p w14:paraId="47D60687"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טור</w:t>
      </w:r>
      <w:r w:rsidRPr="007119D6">
        <w:rPr>
          <w:rFonts w:ascii="Narkisim" w:hAnsi="Narkisim"/>
          <w:rtl/>
        </w:rPr>
        <w:t xml:space="preserve"> (ושו"ע יז ט) הביא בשם </w:t>
      </w:r>
      <w:r w:rsidRPr="007119D6">
        <w:rPr>
          <w:rFonts w:ascii="Narkisim" w:hAnsi="Narkisim"/>
          <w:b/>
          <w:bCs/>
          <w:rtl/>
        </w:rPr>
        <w:t>שו"ת הרא”ש</w:t>
      </w:r>
      <w:r w:rsidRPr="007119D6">
        <w:rPr>
          <w:rFonts w:ascii="Narkisim" w:hAnsi="Narkisim"/>
          <w:rtl/>
        </w:rPr>
        <w:t xml:space="preserve"> (נא ד) דעד אומר מת ועד אומר נהרג, אע"פ שמכחישין, כיון דשניהם מודים שאינו קיים הר"ז תנשא</w:t>
      </w:r>
      <w:r w:rsidRPr="007119D6">
        <w:rPr>
          <w:rStyle w:val="ac"/>
          <w:rFonts w:ascii="Narkisim" w:hAnsi="Narkisim"/>
          <w:rtl/>
        </w:rPr>
        <w:footnoteReference w:id="8042"/>
      </w:r>
      <w:r w:rsidRPr="007119D6">
        <w:rPr>
          <w:rFonts w:ascii="Narkisim" w:hAnsi="Narkisim"/>
          <w:rtl/>
        </w:rPr>
        <w:t>. וה</w:t>
      </w:r>
      <w:r w:rsidRPr="007119D6">
        <w:rPr>
          <w:rFonts w:ascii="Narkisim" w:hAnsi="Narkisim"/>
          <w:b/>
          <w:bCs/>
          <w:rtl/>
        </w:rPr>
        <w:t>ב"י</w:t>
      </w:r>
      <w:r w:rsidRPr="007119D6">
        <w:rPr>
          <w:rFonts w:ascii="Narkisim" w:hAnsi="Narkisim"/>
          <w:rtl/>
        </w:rPr>
        <w:t xml:space="preserve"> העיר דהוה משנה מפורשת (כאן), דהלכה כר"י ור"ש</w:t>
      </w:r>
      <w:r w:rsidRPr="007119D6">
        <w:rPr>
          <w:rStyle w:val="ac"/>
          <w:rFonts w:ascii="Narkisim" w:hAnsi="Narkisim"/>
          <w:rtl/>
        </w:rPr>
        <w:footnoteReference w:id="8043"/>
      </w:r>
      <w:r w:rsidRPr="007119D6">
        <w:rPr>
          <w:rFonts w:ascii="Narkisim" w:hAnsi="Narkisim"/>
          <w:rtl/>
        </w:rPr>
        <w:t>. וה</w:t>
      </w:r>
      <w:r w:rsidRPr="007119D6">
        <w:rPr>
          <w:rFonts w:ascii="Narkisim" w:hAnsi="Narkisim"/>
          <w:b/>
          <w:bCs/>
          <w:rtl/>
        </w:rPr>
        <w:t>גר"א</w:t>
      </w:r>
      <w:r w:rsidRPr="007119D6">
        <w:rPr>
          <w:rFonts w:ascii="Narkisim" w:hAnsi="Narkisim"/>
          <w:rtl/>
        </w:rPr>
        <w:t xml:space="preserve"> (יז מ) השיג דשגגה הוא, וטעות גדולה הוא. דבמשנה איירי דוקא בעדות צרה, וטעמא דר”י ור”ש דצרה אינה נאמנת על חברתה</w:t>
      </w:r>
      <w:r w:rsidRPr="007119D6">
        <w:rPr>
          <w:rStyle w:val="ac"/>
          <w:rFonts w:ascii="Narkisim" w:hAnsi="Narkisim"/>
          <w:rtl/>
        </w:rPr>
        <w:footnoteReference w:id="8044"/>
      </w:r>
      <w:r w:rsidRPr="007119D6">
        <w:rPr>
          <w:rFonts w:ascii="Narkisim" w:hAnsi="Narkisim"/>
          <w:rtl/>
        </w:rPr>
        <w:t>. וכן ה</w:t>
      </w:r>
      <w:r w:rsidRPr="007119D6">
        <w:rPr>
          <w:rFonts w:ascii="Narkisim" w:hAnsi="Narkisim"/>
          <w:b/>
          <w:bCs/>
          <w:rtl/>
        </w:rPr>
        <w:t>חלק”מ</w:t>
      </w:r>
      <w:r w:rsidRPr="007119D6">
        <w:rPr>
          <w:rFonts w:ascii="Narkisim" w:hAnsi="Narkisim"/>
          <w:rtl/>
        </w:rPr>
        <w:t xml:space="preserve"> (שם יט) ציין לדברי הרי"ד. [ועד"ז כת' ה</w:t>
      </w:r>
      <w:r w:rsidRPr="007119D6">
        <w:rPr>
          <w:rFonts w:ascii="Narkisim" w:hAnsi="Narkisim"/>
          <w:b/>
          <w:bCs/>
          <w:rtl/>
        </w:rPr>
        <w:t>בי"ש</w:t>
      </w:r>
      <w:r w:rsidRPr="007119D6">
        <w:rPr>
          <w:rFonts w:ascii="Narkisim" w:hAnsi="Narkisim"/>
          <w:rtl/>
        </w:rPr>
        <w:t xml:space="preserve"> (שם כה) דהטור הביא דבריו מהרא"ש, דאי מהמשנה י"ל דאיירי דוקא בצרה].</w:t>
      </w:r>
    </w:p>
    <w:p w14:paraId="78C555B0"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(חלק"מ, גר"א ועוד) תמהו דאף בעדות ממון קי"ל (שו"ע חו"מ ל ב) דהכחשה בדרישות [ובגוף המעשה</w:t>
      </w:r>
      <w:r w:rsidRPr="007119D6">
        <w:rPr>
          <w:rStyle w:val="ac"/>
          <w:rFonts w:ascii="Narkisim" w:hAnsi="Narkisim"/>
          <w:rtl/>
        </w:rPr>
        <w:footnoteReference w:id="8045"/>
      </w:r>
      <w:r w:rsidRPr="007119D6">
        <w:rPr>
          <w:rFonts w:ascii="Narkisim" w:hAnsi="Narkisim"/>
          <w:rtl/>
        </w:rPr>
        <w:t>] אינו מצטרף</w:t>
      </w:r>
      <w:r w:rsidRPr="007119D6">
        <w:rPr>
          <w:rStyle w:val="ac"/>
          <w:rFonts w:ascii="Narkisim" w:hAnsi="Narkisim"/>
          <w:rtl/>
        </w:rPr>
        <w:footnoteReference w:id="8046"/>
      </w:r>
      <w:r w:rsidRPr="007119D6">
        <w:rPr>
          <w:rFonts w:ascii="Narkisim" w:hAnsi="Narkisim"/>
          <w:rtl/>
        </w:rPr>
        <w:t>. [וע"ע פתח"ת באריכות].</w:t>
      </w:r>
    </w:p>
    <w:p w14:paraId="45752950"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(שם) כת' דצ"ל דה"נ לא נחשב הכחשה בגוף העדות</w:t>
      </w:r>
      <w:r w:rsidRPr="007119D6">
        <w:rPr>
          <w:rStyle w:val="ac"/>
          <w:rFonts w:ascii="Narkisim" w:hAnsi="Narkisim"/>
          <w:rtl/>
        </w:rPr>
        <w:footnoteReference w:id="8047"/>
      </w:r>
      <w:r w:rsidRPr="007119D6">
        <w:rPr>
          <w:rFonts w:ascii="Narkisim" w:hAnsi="Narkisim"/>
          <w:rtl/>
        </w:rPr>
        <w:t>, וביאר כיון שראה דאינו חי אינו מדקדק כ"כ בסיבת מה מת</w:t>
      </w:r>
      <w:r w:rsidRPr="007119D6">
        <w:rPr>
          <w:rStyle w:val="ac"/>
          <w:rFonts w:ascii="Narkisim" w:hAnsi="Narkisim"/>
          <w:rtl/>
        </w:rPr>
        <w:footnoteReference w:id="8048"/>
      </w:r>
      <w:r w:rsidRPr="007119D6">
        <w:rPr>
          <w:rFonts w:ascii="Narkisim" w:hAnsi="Narkisim"/>
          <w:rtl/>
        </w:rPr>
        <w:t>. ועוד תי' הבי"ש דגבי ממון בעינן ב' עדים, וכיון דמכחישים אינו מצטרף. אבל הכא סגי בעד א' מתוכם, ושניהם מודים שאינו חי</w:t>
      </w:r>
      <w:r w:rsidRPr="007119D6">
        <w:rPr>
          <w:rStyle w:val="ac"/>
          <w:rFonts w:ascii="Narkisim" w:hAnsi="Narkisim"/>
          <w:rtl/>
        </w:rPr>
        <w:footnoteReference w:id="8049"/>
      </w:r>
      <w:r w:rsidRPr="007119D6">
        <w:rPr>
          <w:rFonts w:ascii="Narkisim" w:hAnsi="Narkisim"/>
          <w:rtl/>
        </w:rPr>
        <w:t>.</w:t>
      </w:r>
    </w:p>
    <w:p w14:paraId="3ABEBCF3"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שואל</w:t>
      </w:r>
      <w:r w:rsidRPr="007119D6">
        <w:rPr>
          <w:rFonts w:ascii="Narkisim" w:hAnsi="Narkisim"/>
          <w:rtl/>
        </w:rPr>
        <w:t xml:space="preserve"> (בנוב"י ת נו, הו' בפתח"ת שם מח) דן דכיון דהוה עדות א' ומכחישין זה את זה, נימא עדות שבטלה מקצתה בטלה כולה. וה</w:t>
      </w:r>
      <w:r w:rsidRPr="007119D6">
        <w:rPr>
          <w:rFonts w:ascii="Narkisim" w:hAnsi="Narkisim"/>
          <w:b/>
          <w:bCs/>
          <w:rtl/>
        </w:rPr>
        <w:t>פתח"ת</w:t>
      </w:r>
      <w:r w:rsidRPr="007119D6">
        <w:rPr>
          <w:rFonts w:ascii="Narkisim" w:hAnsi="Narkisim"/>
          <w:rtl/>
        </w:rPr>
        <w:t xml:space="preserve"> (שם כ) ציין דה</w:t>
      </w:r>
      <w:r w:rsidRPr="007119D6">
        <w:rPr>
          <w:rFonts w:ascii="Narkisim" w:hAnsi="Narkisim"/>
          <w:b/>
          <w:bCs/>
          <w:rtl/>
        </w:rPr>
        <w:t>אחרונים</w:t>
      </w:r>
      <w:r w:rsidRPr="007119D6">
        <w:rPr>
          <w:rFonts w:ascii="Narkisim" w:hAnsi="Narkisim"/>
          <w:rtl/>
        </w:rPr>
        <w:t xml:space="preserve"> (הנוב"י ורע"א ועוד, עי"ש) דנו אי בעדות אשה יש פסול עדות שבטלה מקצתה.</w:t>
      </w:r>
    </w:p>
    <w:p w14:paraId="42639CC8" w14:textId="77777777" w:rsidR="006C4368" w:rsidRPr="007119D6" w:rsidRDefault="006C4368" w:rsidP="006C4368">
      <w:pPr>
        <w:bidi/>
        <w:rPr>
          <w:rFonts w:ascii="Narkisim" w:hAnsi="Narkisim" w:cs="Narkisim"/>
        </w:rPr>
      </w:pPr>
      <w:r w:rsidRPr="007119D6">
        <w:rPr>
          <w:rFonts w:ascii="Narkisim" w:hAnsi="Narkisim" w:cs="Narkisim"/>
          <w:u w:val="single"/>
          <w:rtl/>
        </w:rPr>
        <w:t>עד אומר מת ועד אומר לא מת וכו' הר”ז לא תנשא</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(קיח.) ו</w:t>
      </w:r>
      <w:r w:rsidRPr="007119D6">
        <w:rPr>
          <w:rFonts w:ascii="Narkisim" w:hAnsi="Narkisim" w:cs="Narkisim"/>
          <w:b/>
          <w:bCs/>
          <w:rtl/>
        </w:rPr>
        <w:t>תוס'</w:t>
      </w:r>
      <w:r w:rsidRPr="007119D6">
        <w:rPr>
          <w:rFonts w:ascii="Narkisim" w:hAnsi="Narkisim" w:cs="Narkisim"/>
          <w:rtl/>
        </w:rPr>
        <w:t xml:space="preserve"> (ד”ה הא) פי' דהטעם משום דבאו קודם שתנשא. דהוה הכחשה בבת א' [ומש”כ אף נשאת תצא].</w:t>
      </w:r>
    </w:p>
    <w:p w14:paraId="02826AB8" w14:textId="77777777" w:rsidR="006C4368" w:rsidRPr="007119D6" w:rsidRDefault="006C4368" w:rsidP="006C4368">
      <w:pPr>
        <w:pStyle w:val="a7"/>
        <w:bidi/>
        <w:rPr>
          <w:rFonts w:ascii="Narkisim" w:hAnsi="Narkisim"/>
        </w:rPr>
      </w:pPr>
      <w:r w:rsidRPr="007119D6">
        <w:rPr>
          <w:rFonts w:ascii="Narkisim" w:hAnsi="Narkisim"/>
          <w:rtl/>
        </w:rPr>
        <w:t>ודעת ה</w:t>
      </w:r>
      <w:r w:rsidRPr="007119D6">
        <w:rPr>
          <w:rFonts w:ascii="Narkisim" w:hAnsi="Narkisim"/>
          <w:b/>
          <w:bCs/>
          <w:rtl/>
        </w:rPr>
        <w:t>רמב"ם</w:t>
      </w:r>
      <w:r w:rsidRPr="007119D6">
        <w:rPr>
          <w:rFonts w:ascii="Narkisim" w:hAnsi="Narkisim"/>
          <w:rtl/>
        </w:rPr>
        <w:t xml:space="preserve"> (גירושין יב יט) דאם נשאת לא' מעדיה לא תצא, וכדין תרי ותרי (כדלעיל פח:)</w:t>
      </w:r>
      <w:r w:rsidRPr="007119D6">
        <w:rPr>
          <w:rStyle w:val="ac"/>
          <w:rFonts w:ascii="Narkisim" w:hAnsi="Narkisim"/>
          <w:rtl/>
        </w:rPr>
        <w:footnoteReference w:id="8050"/>
      </w:r>
      <w:r w:rsidRPr="007119D6">
        <w:rPr>
          <w:rFonts w:ascii="Narkisim" w:hAnsi="Narkisim"/>
          <w:rtl/>
        </w:rPr>
        <w:t>. וה</w:t>
      </w:r>
      <w:r w:rsidRPr="007119D6">
        <w:rPr>
          <w:rFonts w:ascii="Narkisim" w:hAnsi="Narkisim"/>
          <w:b/>
          <w:bCs/>
          <w:rtl/>
        </w:rPr>
        <w:t>רמב"ן</w:t>
      </w:r>
      <w:r w:rsidRPr="007119D6">
        <w:rPr>
          <w:rFonts w:ascii="Narkisim" w:hAnsi="Narkisim"/>
          <w:rtl/>
        </w:rPr>
        <w:t xml:space="preserve"> חלק דעד א' בהכחשה לאו כלום הוא (והו' ב' דעות בשו”ע יז לז). וה</w:t>
      </w:r>
      <w:r w:rsidRPr="007119D6">
        <w:rPr>
          <w:rFonts w:ascii="Narkisim" w:hAnsi="Narkisim"/>
          <w:b/>
          <w:bCs/>
          <w:rtl/>
        </w:rPr>
        <w:t>ריטב"א</w:t>
      </w:r>
      <w:r w:rsidRPr="007119D6">
        <w:rPr>
          <w:rFonts w:ascii="Narkisim" w:hAnsi="Narkisim"/>
          <w:rtl/>
        </w:rPr>
        <w:t xml:space="preserve"> </w:t>
      </w:r>
      <w:r w:rsidRPr="007119D6">
        <w:rPr>
          <w:rFonts w:ascii="Narkisim" w:hAnsi="Narkisim"/>
          <w:rtl/>
        </w:rPr>
        <w:lastRenderedPageBreak/>
        <w:t>הביא ראיה לזה מדברי אביי (כתובות כב:). [והראשונים כתובות שם האריכו בזה].</w:t>
      </w:r>
    </w:p>
    <w:p w14:paraId="6044C1F3"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ראשונים</w:t>
      </w:r>
      <w:r w:rsidRPr="007119D6">
        <w:rPr>
          <w:rFonts w:ascii="Narkisim" w:hAnsi="Narkisim"/>
          <w:rtl/>
        </w:rPr>
        <w:t xml:space="preserve"> הביאו את הגירסא בגמ' (קידושין סה:) עד א' בהכחשה מי מהימן</w:t>
      </w:r>
      <w:r w:rsidRPr="007119D6">
        <w:rPr>
          <w:rStyle w:val="ac"/>
          <w:rFonts w:ascii="Narkisim" w:hAnsi="Narkisim"/>
          <w:rtl/>
        </w:rPr>
        <w:footnoteReference w:id="8051"/>
      </w:r>
      <w:r w:rsidRPr="007119D6">
        <w:rPr>
          <w:rFonts w:ascii="Narkisim" w:hAnsi="Narkisim"/>
          <w:rtl/>
        </w:rPr>
        <w:t xml:space="preserve"> [לענין חיוב שבועה בממון].</w:t>
      </w:r>
    </w:p>
    <w:p w14:paraId="48D16E75"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(שגגות ח ג) כת' היכא דעד א' אומר שמת בעלה, ועד א' אומר שלא מת, הבא עליה חייב אשם תלוי. [היכא דאינו אומר ברי לי]. ומבואר דעד א' בהכחשה משוי ספיקא, ומש"ה מביא אשם תלוי. ואילו לדעת הרמב"ן לכאורה חייב חטאת, דאין כאן ספק כלל.</w:t>
      </w:r>
    </w:p>
    <w:p w14:paraId="25874D8E"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תרומת הכרי</w:t>
      </w:r>
      <w:r w:rsidRPr="007119D6">
        <w:rPr>
          <w:rFonts w:ascii="Narkisim" w:hAnsi="Narkisim" w:cs="Narkisim"/>
          <w:rtl/>
        </w:rPr>
        <w:t xml:space="preserve"> (לא) האריך דדעת הרמב"ם דחד וחד משוי ספיקא. ועי"ז מהני ברי דידה</w:t>
      </w:r>
      <w:r w:rsidRPr="007119D6">
        <w:rPr>
          <w:rStyle w:val="ac"/>
          <w:rFonts w:ascii="Narkisim" w:hAnsi="Narkisim" w:cs="Narkisim"/>
          <w:rtl/>
        </w:rPr>
        <w:footnoteReference w:id="8052"/>
      </w:r>
      <w:r w:rsidRPr="007119D6">
        <w:rPr>
          <w:rFonts w:ascii="Narkisim" w:hAnsi="Narkisim" w:cs="Narkisim"/>
          <w:rtl/>
        </w:rPr>
        <w:t>, כמו דמהני במקום תרי ותרי</w:t>
      </w:r>
      <w:r w:rsidRPr="007119D6">
        <w:rPr>
          <w:rStyle w:val="ac"/>
          <w:rFonts w:ascii="Narkisim" w:hAnsi="Narkisim" w:cs="Narkisim"/>
          <w:rtl/>
        </w:rPr>
        <w:footnoteReference w:id="8053"/>
      </w:r>
      <w:r w:rsidRPr="007119D6">
        <w:rPr>
          <w:rFonts w:ascii="Narkisim" w:hAnsi="Narkisim" w:cs="Narkisim"/>
          <w:rtl/>
        </w:rPr>
        <w:t>. אבל הרמב"ן סובר דחד וחד לא הוה ספק, דעד א' בהכחשה לאו כלום הוא</w:t>
      </w:r>
      <w:r w:rsidRPr="007119D6">
        <w:rPr>
          <w:rStyle w:val="ac"/>
          <w:rFonts w:ascii="Narkisim" w:hAnsi="Narkisim" w:cs="Narkisim"/>
          <w:rtl/>
        </w:rPr>
        <w:footnoteReference w:id="8054"/>
      </w:r>
      <w:r w:rsidRPr="007119D6">
        <w:rPr>
          <w:rFonts w:ascii="Narkisim" w:hAnsi="Narkisim" w:cs="Narkisim"/>
          <w:rtl/>
        </w:rPr>
        <w:t>.</w:t>
      </w:r>
    </w:p>
    <w:p w14:paraId="52B70C43"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מחנ"א</w:t>
      </w:r>
      <w:r w:rsidRPr="007119D6">
        <w:rPr>
          <w:rFonts w:ascii="Narkisim" w:hAnsi="Narkisim"/>
          <w:rtl/>
        </w:rPr>
        <w:t xml:space="preserve"> (עדות ח) העמיד דנח' הרמב”ם והרמב”ן אף בהכחשת עד א' באיסורין, כשעד א' מתירו ועד א' אוסר</w:t>
      </w:r>
      <w:r w:rsidRPr="007119D6">
        <w:rPr>
          <w:rStyle w:val="ac"/>
          <w:rFonts w:ascii="Narkisim" w:hAnsi="Narkisim"/>
          <w:rtl/>
        </w:rPr>
        <w:footnoteReference w:id="8055"/>
      </w:r>
      <w:r w:rsidRPr="007119D6">
        <w:rPr>
          <w:rFonts w:ascii="Narkisim" w:hAnsi="Narkisim"/>
          <w:rtl/>
        </w:rPr>
        <w:t xml:space="preserve">. וע"ע ש"ך (יו"ד קכז יד). </w:t>
      </w:r>
      <w:r w:rsidRPr="007119D6">
        <w:rPr>
          <w:rFonts w:ascii="Narkisim" w:eastAsia="Narkisim" w:hAnsi="Narkisim"/>
          <w:rtl/>
        </w:rPr>
        <w:t>אבל ה</w:t>
      </w:r>
      <w:r w:rsidRPr="007119D6">
        <w:rPr>
          <w:rFonts w:ascii="Narkisim" w:eastAsia="Narkisim" w:hAnsi="Narkisim"/>
          <w:b/>
          <w:bCs/>
          <w:rtl/>
        </w:rPr>
        <w:t>אחרונים</w:t>
      </w:r>
      <w:r w:rsidRPr="007119D6">
        <w:rPr>
          <w:rFonts w:ascii="Narkisim" w:eastAsia="Narkisim" w:hAnsi="Narkisim"/>
          <w:rtl/>
        </w:rPr>
        <w:t xml:space="preserve"> (ע' קה"י כתובות כה, זכרון שמואל מא) דנו די"ל דהרמב"ן פליג רק במקום דבעי נאמנות כ'שנים', וכיון דיש הכחשה ליכא עדות. אבל באיסורין כל עד נאמן והוה ספק. </w:t>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האריכו בזה טובא. ואכמ"ל.</w:t>
      </w:r>
    </w:p>
    <w:p w14:paraId="535E51B6"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(תרומות ט ג) כת' היכא דעד א' אומר שמת בעלה, ועד אומר שלא מת לא תאכל בתרומה</w:t>
      </w:r>
      <w:r w:rsidRPr="007119D6">
        <w:rPr>
          <w:rStyle w:val="ac"/>
          <w:rFonts w:ascii="Narkisim" w:hAnsi="Narkisim"/>
          <w:rtl/>
        </w:rPr>
        <w:footnoteReference w:id="8056"/>
      </w:r>
      <w:r w:rsidRPr="007119D6">
        <w:rPr>
          <w:rFonts w:ascii="Narkisim" w:hAnsi="Narkisim"/>
          <w:rtl/>
        </w:rPr>
        <w:t>. [ולשיטתו דחד וחד הוה ספק</w:t>
      </w:r>
      <w:r w:rsidRPr="007119D6">
        <w:rPr>
          <w:rStyle w:val="ac"/>
          <w:rFonts w:ascii="Narkisim" w:hAnsi="Narkisim"/>
          <w:rtl/>
        </w:rPr>
        <w:footnoteReference w:id="8057"/>
      </w:r>
      <w:r w:rsidRPr="007119D6">
        <w:rPr>
          <w:rFonts w:ascii="Narkisim" w:hAnsi="Narkisim"/>
          <w:rtl/>
        </w:rPr>
        <w:t>].</w:t>
      </w:r>
    </w:p>
    <w:p w14:paraId="6471981E" w14:textId="77777777" w:rsidR="006C4368" w:rsidRPr="007119D6" w:rsidRDefault="006C4368" w:rsidP="006C4368">
      <w:pPr>
        <w:pStyle w:val="3"/>
        <w:bidi/>
        <w:rPr>
          <w:rFonts w:ascii="Narkisim" w:hAnsi="Narkisim"/>
        </w:rPr>
      </w:pPr>
      <w:r w:rsidRPr="007119D6">
        <w:rPr>
          <w:rFonts w:ascii="Narkisim" w:hAnsi="Narkisim"/>
          <w:rtl/>
        </w:rPr>
        <w:t>דף קיח.</w:t>
      </w:r>
    </w:p>
    <w:p w14:paraId="74E5B167" w14:textId="77777777" w:rsidR="006C4368" w:rsidRPr="007119D6" w:rsidRDefault="006C4368" w:rsidP="006C4368">
      <w:pPr>
        <w:pStyle w:val="aa"/>
        <w:bidi/>
        <w:rPr>
          <w:rFonts w:ascii="Narkisim" w:hAnsi="Narkisim"/>
        </w:rPr>
      </w:pPr>
      <w:r w:rsidRPr="007119D6">
        <w:rPr>
          <w:rFonts w:ascii="Narkisim" w:hAnsi="Narkisim"/>
          <w:u w:val="single"/>
          <w:rtl/>
        </w:rPr>
        <w:t>סד"א וכו' ותמות נפשה עם פלשתים קאמרה וכו'.</w:t>
      </w:r>
      <w:r w:rsidRPr="007119D6">
        <w:rPr>
          <w:rFonts w:ascii="Narkisim" w:hAnsi="Narkisim"/>
          <w:rtl/>
        </w:rPr>
        <w:t xml:space="preserve"> [ועד"ז חיישינן (לקמן קכ.) ויתבאר עוד שם].</w:t>
      </w:r>
    </w:p>
    <w:p w14:paraId="2AD3BBF3"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(הלכה ז, והו' במגיד משנה יב כד</w:t>
      </w:r>
      <w:r w:rsidRPr="007119D6">
        <w:rPr>
          <w:rStyle w:val="ac"/>
          <w:rFonts w:ascii="Narkisim" w:hAnsi="Narkisim"/>
          <w:rtl/>
        </w:rPr>
        <w:footnoteReference w:id="8058"/>
      </w:r>
      <w:r w:rsidRPr="007119D6">
        <w:rPr>
          <w:rFonts w:ascii="Narkisim" w:hAnsi="Narkisim"/>
          <w:rtl/>
        </w:rPr>
        <w:t>) פי' חשודה היא לקלקל עצמה כדי לקלקל צרתה</w:t>
      </w:r>
      <w:r w:rsidRPr="007119D6">
        <w:rPr>
          <w:rStyle w:val="ac"/>
          <w:rFonts w:ascii="Narkisim" w:hAnsi="Narkisim"/>
          <w:rtl/>
        </w:rPr>
        <w:footnoteReference w:id="8059"/>
      </w:r>
      <w:r w:rsidRPr="007119D6">
        <w:rPr>
          <w:rFonts w:ascii="Narkisim" w:hAnsi="Narkisim"/>
          <w:rtl/>
        </w:rPr>
        <w:t>. והק' מעתה אפילו על עצמה לא תהא נאמנת</w:t>
      </w:r>
      <w:r w:rsidRPr="007119D6">
        <w:rPr>
          <w:rStyle w:val="ac"/>
          <w:rFonts w:ascii="Narkisim" w:hAnsi="Narkisim"/>
          <w:rtl/>
        </w:rPr>
        <w:footnoteReference w:id="8060"/>
      </w:r>
      <w:r w:rsidRPr="007119D6">
        <w:rPr>
          <w:rFonts w:ascii="Narkisim" w:hAnsi="Narkisim"/>
          <w:rtl/>
        </w:rPr>
        <w:t xml:space="preserve">. ותי' מתוך שהיא יודעת שדבריה </w:t>
      </w:r>
      <w:r w:rsidRPr="007119D6">
        <w:rPr>
          <w:rFonts w:ascii="Narkisim" w:hAnsi="Narkisim"/>
          <w:rtl/>
        </w:rPr>
        <w:lastRenderedPageBreak/>
        <w:t>לא עשו כלום אצל חבירתה, אף היא אומרת אמת</w:t>
      </w:r>
      <w:r w:rsidRPr="007119D6">
        <w:rPr>
          <w:rStyle w:val="ac"/>
          <w:rFonts w:ascii="Narkisim" w:hAnsi="Narkisim"/>
          <w:rtl/>
        </w:rPr>
        <w:footnoteReference w:id="8061"/>
      </w:r>
      <w:r w:rsidRPr="007119D6">
        <w:rPr>
          <w:rFonts w:ascii="Narkisim" w:hAnsi="Narkisim"/>
          <w:rtl/>
        </w:rPr>
        <w:t xml:space="preserve">. ומק' מעתה אפי' על צרתה תהא נאמנת. אמר ר' הילא חוזר לקילקול הראשון, חשודה היא לקלקל עצמה כדי לקלקל צרתה. </w:t>
      </w:r>
      <w:r w:rsidRPr="007119D6">
        <w:rPr>
          <w:rFonts w:ascii="Narkisim" w:hAnsi="Narkisim"/>
          <w:szCs w:val="20"/>
          <w:rtl/>
        </w:rPr>
        <w:t>[ולכאורה לפ"ז ידעינן שדוברת אמת, ומת הבעל. אבל אי אפשר לקבל דבריה ולדון על פיו, דא"כ יתבטל הנאמנות</w:t>
      </w:r>
      <w:r w:rsidRPr="007119D6">
        <w:rPr>
          <w:rStyle w:val="ac"/>
          <w:rFonts w:ascii="Narkisim" w:hAnsi="Narkisim"/>
          <w:szCs w:val="20"/>
          <w:rtl/>
        </w:rPr>
        <w:footnoteReference w:id="8062"/>
      </w:r>
      <w:r w:rsidRPr="007119D6">
        <w:rPr>
          <w:rFonts w:ascii="Narkisim" w:hAnsi="Narkisim"/>
          <w:szCs w:val="20"/>
          <w:rtl/>
        </w:rPr>
        <w:t>]</w:t>
      </w:r>
      <w:r w:rsidRPr="007119D6">
        <w:rPr>
          <w:rFonts w:ascii="Narkisim" w:hAnsi="Narkisim"/>
          <w:rtl/>
        </w:rPr>
        <w:t>. [וע”ע בסמוך מש"כ הש"ש].</w:t>
      </w:r>
    </w:p>
    <w:p w14:paraId="17DE12C0" w14:textId="77777777" w:rsidR="006C4368" w:rsidRPr="007119D6" w:rsidRDefault="006C4368" w:rsidP="006C4368">
      <w:pPr>
        <w:bidi/>
        <w:rPr>
          <w:rFonts w:ascii="Narkisim" w:hAnsi="Narkisim" w:cs="Narkisim"/>
        </w:rPr>
      </w:pPr>
      <w:r w:rsidRPr="007119D6">
        <w:rPr>
          <w:rFonts w:ascii="Narkisim" w:hAnsi="Narkisim" w:cs="Narkisim"/>
          <w:u w:val="single"/>
          <w:rtl/>
        </w:rPr>
        <w:t>תוד”ה סד"א</w:t>
      </w:r>
      <w:r w:rsidRPr="007119D6">
        <w:rPr>
          <w:rFonts w:ascii="Narkisim" w:hAnsi="Narkisim" w:cs="Narkisim"/>
          <w:rtl/>
        </w:rPr>
        <w:t>. וי”ל אפי' מודה, ונתנה אמתלא לדבריה וכו'</w:t>
      </w:r>
      <w:r w:rsidRPr="007119D6">
        <w:rPr>
          <w:rStyle w:val="ac"/>
          <w:rFonts w:ascii="Narkisim" w:hAnsi="Narkisim" w:cs="Narkisim"/>
          <w:rtl/>
        </w:rPr>
        <w:footnoteReference w:id="8063"/>
      </w:r>
      <w:r w:rsidRPr="007119D6">
        <w:rPr>
          <w:rFonts w:ascii="Narkisim" w:hAnsi="Narkisim" w:cs="Narkisim"/>
          <w:rtl/>
        </w:rPr>
        <w:t>. וה</w:t>
      </w:r>
      <w:r w:rsidRPr="007119D6">
        <w:rPr>
          <w:rFonts w:ascii="Narkisim" w:hAnsi="Narkisim" w:cs="Narkisim"/>
          <w:b/>
          <w:bCs/>
          <w:rtl/>
        </w:rPr>
        <w:t>מאירי</w:t>
      </w:r>
      <w:r w:rsidRPr="007119D6">
        <w:rPr>
          <w:rFonts w:ascii="Narkisim" w:hAnsi="Narkisim" w:cs="Narkisim"/>
          <w:rtl/>
        </w:rPr>
        <w:t xml:space="preserve"> כת' מהו דתימא דלקלקולא עבדא הוה אמתלא</w:t>
      </w:r>
      <w:r w:rsidRPr="007119D6">
        <w:rPr>
          <w:rStyle w:val="ac"/>
          <w:rFonts w:ascii="Narkisim" w:hAnsi="Narkisim" w:cs="Narkisim"/>
          <w:rtl/>
        </w:rPr>
        <w:footnoteReference w:id="8064"/>
      </w:r>
      <w:r w:rsidRPr="007119D6">
        <w:rPr>
          <w:rFonts w:ascii="Narkisim" w:hAnsi="Narkisim" w:cs="Narkisim"/>
          <w:rtl/>
        </w:rPr>
        <w:t>. [ומה שמתכוונת לקלקל נחשב אמתלא</w:t>
      </w:r>
      <w:r w:rsidRPr="007119D6">
        <w:rPr>
          <w:rStyle w:val="ac"/>
          <w:rFonts w:ascii="Narkisim" w:hAnsi="Narkisim" w:cs="Narkisim"/>
          <w:rtl/>
        </w:rPr>
        <w:footnoteReference w:id="8065"/>
      </w:r>
      <w:r w:rsidRPr="007119D6">
        <w:rPr>
          <w:rFonts w:ascii="Narkisim" w:hAnsi="Narkisim" w:cs="Narkisim"/>
          <w:rtl/>
        </w:rPr>
        <w:t xml:space="preserve">]. </w:t>
      </w:r>
      <w:r w:rsidRPr="007119D6">
        <w:rPr>
          <w:rFonts w:ascii="Narkisim" w:eastAsia="Narkisim" w:hAnsi="Narkisim" w:cs="Narkisim"/>
          <w:sz w:val="20"/>
          <w:szCs w:val="20"/>
          <w:rtl/>
        </w:rPr>
        <w:t>וה</w:t>
      </w:r>
      <w:r w:rsidRPr="007119D6">
        <w:rPr>
          <w:rFonts w:ascii="Narkisim" w:eastAsia="Narkisim" w:hAnsi="Narkisim" w:cs="Narkisim"/>
          <w:b/>
          <w:bCs/>
          <w:sz w:val="20"/>
          <w:szCs w:val="20"/>
          <w:rtl/>
        </w:rPr>
        <w:t>יש”ש</w:t>
      </w:r>
      <w:r w:rsidRPr="007119D6">
        <w:rPr>
          <w:rFonts w:ascii="Narkisim" w:eastAsia="Narkisim" w:hAnsi="Narkisim" w:cs="Narkisim"/>
          <w:sz w:val="20"/>
          <w:szCs w:val="20"/>
          <w:rtl/>
        </w:rPr>
        <w:t xml:space="preserve"> (כתובות ב לח) כת' קמ"ל דלא נחשב אמתלא כיון דמשימה עצמה רשע.</w:t>
      </w:r>
    </w:p>
    <w:p w14:paraId="3D820F71" w14:textId="77777777" w:rsidR="006C4368" w:rsidRPr="007119D6" w:rsidRDefault="006C4368" w:rsidP="006C4368">
      <w:pPr>
        <w:pStyle w:val="aa"/>
        <w:bidi/>
        <w:rPr>
          <w:rFonts w:ascii="Narkisim" w:hAnsi="Narkisim"/>
        </w:rPr>
      </w:pPr>
      <w:r w:rsidRPr="007119D6">
        <w:rPr>
          <w:rFonts w:ascii="Narkisim" w:hAnsi="Narkisim"/>
          <w:u w:val="single"/>
          <w:rtl/>
        </w:rPr>
        <w:t>אר”א במחלוקת שנוייה, ור"י ור"ש היא</w:t>
      </w:r>
      <w:r w:rsidRPr="007119D6">
        <w:rPr>
          <w:rFonts w:ascii="Narkisim" w:hAnsi="Narkisim"/>
          <w:rtl/>
        </w:rPr>
        <w:t>. דלר' מאיר צרה מכחשת, ואחת מהם משקרת</w:t>
      </w:r>
      <w:r w:rsidRPr="007119D6">
        <w:rPr>
          <w:rStyle w:val="ac"/>
          <w:rFonts w:ascii="Narkisim" w:hAnsi="Narkisim"/>
          <w:rtl/>
        </w:rPr>
        <w:footnoteReference w:id="8066"/>
      </w:r>
      <w:r w:rsidRPr="007119D6">
        <w:rPr>
          <w:rFonts w:ascii="Narkisim" w:hAnsi="Narkisim"/>
          <w:rtl/>
        </w:rPr>
        <w:t>. ה</w:t>
      </w:r>
      <w:r w:rsidRPr="007119D6">
        <w:rPr>
          <w:rFonts w:ascii="Narkisim" w:hAnsi="Narkisim"/>
          <w:b/>
          <w:bCs/>
          <w:rtl/>
        </w:rPr>
        <w:t>תוס' רא"ש</w:t>
      </w:r>
      <w:r w:rsidRPr="007119D6">
        <w:rPr>
          <w:rFonts w:ascii="Narkisim" w:hAnsi="Narkisim"/>
          <w:rtl/>
        </w:rPr>
        <w:t xml:space="preserve"> כת' דהא דלא פליג ר"מ ברישא, דא"כ משמע דבסיפא מודה. ומש"ה נקט פלוגתייהו בסיפא, וכ"ש ברישא.</w:t>
      </w:r>
    </w:p>
    <w:p w14:paraId="419724AA" w14:textId="77777777" w:rsidR="006C4368" w:rsidRPr="007119D6" w:rsidRDefault="006C4368" w:rsidP="006C4368">
      <w:pPr>
        <w:bidi/>
        <w:rPr>
          <w:rFonts w:ascii="Narkisim" w:hAnsi="Narkisim" w:cs="Narkisim"/>
        </w:rPr>
      </w:pPr>
      <w:r w:rsidRPr="007119D6">
        <w:rPr>
          <w:rFonts w:ascii="Narkisim" w:hAnsi="Narkisim" w:cs="Narkisim"/>
          <w:u w:val="single"/>
          <w:rtl/>
        </w:rPr>
        <w:t>ור' יוחנן אמר וכו' בהא אפי' ר"מ מודה, דכל לא מת בעדות אשה לאו הכחשה היא</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דרבנן הימנוה לקמא. משמע דלר' יוחנן עד אומר מת ועד אומר לא מת תנשא, דלאו הכחשה הוא. וכן מבואר בראב"ן (כאן, הו' בסמוך). אבל ה</w:t>
      </w:r>
      <w:r w:rsidRPr="007119D6">
        <w:rPr>
          <w:rFonts w:ascii="Narkisim" w:hAnsi="Narkisim" w:cs="Narkisim"/>
          <w:b/>
          <w:bCs/>
          <w:rtl/>
        </w:rPr>
        <w:t>ריטב”א</w:t>
      </w:r>
      <w:r w:rsidRPr="007119D6">
        <w:rPr>
          <w:rFonts w:ascii="Narkisim" w:hAnsi="Narkisim" w:cs="Narkisim"/>
          <w:rtl/>
        </w:rPr>
        <w:t xml:space="preserve"> כת' דרש”י קאי דוקא כשבאו בזה אחר זה, ומש”ה ל"מ להכחיש. אך שוב דחה דברי רש”י, דבמשנה איירי בבת א'.</w:t>
      </w:r>
    </w:p>
    <w:p w14:paraId="5E665397"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ר' יואל</w:t>
      </w:r>
      <w:r w:rsidRPr="007119D6">
        <w:rPr>
          <w:rFonts w:ascii="Narkisim" w:hAnsi="Narkisim"/>
          <w:rtl/>
        </w:rPr>
        <w:t xml:space="preserve"> (בתוס') וה</w:t>
      </w:r>
      <w:r w:rsidRPr="007119D6">
        <w:rPr>
          <w:rFonts w:ascii="Narkisim" w:hAnsi="Narkisim"/>
          <w:b/>
          <w:bCs/>
          <w:rtl/>
        </w:rPr>
        <w:t>רמב"ן</w:t>
      </w:r>
      <w:r w:rsidRPr="007119D6">
        <w:rPr>
          <w:rFonts w:ascii="Narkisim" w:hAnsi="Narkisim"/>
          <w:rtl/>
        </w:rPr>
        <w:t xml:space="preserve"> ושא"ר חלקו דקאי דוקא בצרות, אפי' בבת א'. דאילו עד א' מהני להכחיש בבת א' (וכדלעיל)</w:t>
      </w:r>
      <w:r w:rsidRPr="007119D6">
        <w:rPr>
          <w:rStyle w:val="ac"/>
          <w:rFonts w:ascii="Narkisim" w:hAnsi="Narkisim"/>
          <w:rtl/>
        </w:rPr>
        <w:footnoteReference w:id="8067"/>
      </w:r>
      <w:r w:rsidRPr="007119D6">
        <w:rPr>
          <w:rFonts w:ascii="Narkisim" w:hAnsi="Narkisim"/>
          <w:rtl/>
        </w:rPr>
        <w:t>. דאף דלא נתחדש נאמנות לעד א' להעיד שלא מת, אפ"ה נאמן להכחיש. [וע' מש”כ לעיל קיז: בשם הגר"ח].</w:t>
      </w:r>
    </w:p>
    <w:p w14:paraId="16A1ACC9" w14:textId="77777777" w:rsidR="006C4368" w:rsidRPr="007119D6" w:rsidRDefault="006C4368" w:rsidP="006C4368">
      <w:pPr>
        <w:bidi/>
        <w:rPr>
          <w:rFonts w:ascii="Narkisim" w:hAnsi="Narkisim" w:cs="Narkisim"/>
        </w:rPr>
      </w:pPr>
      <w:r w:rsidRPr="007119D6">
        <w:rPr>
          <w:rFonts w:ascii="Narkisim" w:hAnsi="Narkisim" w:cs="Narkisim"/>
          <w:u w:val="single"/>
          <w:rtl/>
        </w:rPr>
        <w:t>תנן עד אומר מת ועד אומר לא מת, אשה אומרת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ו</w:t>
      </w:r>
      <w:r w:rsidRPr="007119D6">
        <w:rPr>
          <w:rFonts w:ascii="Narkisim" w:hAnsi="Narkisim" w:cs="Narkisim"/>
          <w:b/>
          <w:bCs/>
          <w:rtl/>
        </w:rPr>
        <w:t>תוס'</w:t>
      </w:r>
      <w:r w:rsidRPr="007119D6">
        <w:rPr>
          <w:rFonts w:ascii="Narkisim" w:hAnsi="Narkisim" w:cs="Narkisim"/>
          <w:rtl/>
        </w:rPr>
        <w:t xml:space="preserve"> (ושא"ר) דמשמע אפי'</w:t>
      </w:r>
      <w:r w:rsidRPr="007119D6">
        <w:rPr>
          <w:rStyle w:val="ac"/>
          <w:rFonts w:ascii="Narkisim" w:hAnsi="Narkisim" w:cs="Narkisim"/>
          <w:rtl/>
        </w:rPr>
        <w:footnoteReference w:id="8068"/>
      </w:r>
      <w:r w:rsidRPr="007119D6">
        <w:rPr>
          <w:rFonts w:ascii="Narkisim" w:hAnsi="Narkisim" w:cs="Narkisim"/>
          <w:rtl/>
        </w:rPr>
        <w:t xml:space="preserve"> צרתה</w:t>
      </w:r>
      <w:r w:rsidRPr="007119D6">
        <w:rPr>
          <w:rStyle w:val="ac"/>
          <w:rFonts w:ascii="Narkisim" w:hAnsi="Narkisim" w:cs="Narkisim"/>
          <w:rtl/>
        </w:rPr>
        <w:footnoteReference w:id="8069"/>
      </w:r>
      <w:r w:rsidRPr="007119D6">
        <w:rPr>
          <w:rFonts w:ascii="Narkisim" w:hAnsi="Narkisim" w:cs="Narkisim"/>
          <w:rtl/>
        </w:rPr>
        <w:t xml:space="preserve">. אבל </w:t>
      </w:r>
      <w:r w:rsidRPr="007119D6">
        <w:rPr>
          <w:rFonts w:ascii="Narkisim" w:hAnsi="Narkisim" w:cs="Narkisim"/>
          <w:b/>
          <w:bCs/>
          <w:rtl/>
        </w:rPr>
        <w:t>ראב"ן</w:t>
      </w:r>
      <w:r w:rsidRPr="007119D6">
        <w:rPr>
          <w:rFonts w:ascii="Narkisim" w:hAnsi="Narkisim" w:cs="Narkisim"/>
          <w:rtl/>
        </w:rPr>
        <w:t xml:space="preserve"> הביא מקו' הגמ' דלר' יוחנן בכל עד א', ואפי' בבת א', כל לא מת לא הוה הכחשה. דכיון דהימנוה רבנן לומר מת הו"ל כשנים, והאומר לא מת אחד ואין דבריו של אחד במקום שנים. [ודלא ככל הראשונים הנ"ל].</w:t>
      </w:r>
    </w:p>
    <w:p w14:paraId="536E6832" w14:textId="77777777" w:rsidR="006C4368" w:rsidRPr="007119D6" w:rsidRDefault="006C4368" w:rsidP="006C4368">
      <w:pPr>
        <w:bidi/>
        <w:rPr>
          <w:rFonts w:ascii="Narkisim" w:hAnsi="Narkisim" w:cs="Narkisim"/>
        </w:rPr>
      </w:pPr>
      <w:r w:rsidRPr="007119D6">
        <w:rPr>
          <w:rFonts w:ascii="Narkisim" w:hAnsi="Narkisim" w:cs="Narkisim"/>
          <w:u w:val="single"/>
          <w:rtl/>
        </w:rPr>
        <w:t>היתה בת ישראל לכהן תאכל בתרומה דברי ר”ט</w:t>
      </w:r>
      <w:r w:rsidRPr="007119D6">
        <w:rPr>
          <w:rFonts w:ascii="Narkisim" w:hAnsi="Narkisim" w:cs="Narkisim"/>
          <w:rtl/>
        </w:rPr>
        <w:t>. ה</w:t>
      </w:r>
      <w:r w:rsidRPr="007119D6">
        <w:rPr>
          <w:rFonts w:ascii="Narkisim" w:hAnsi="Narkisim" w:cs="Narkisim"/>
          <w:b/>
          <w:bCs/>
          <w:rtl/>
        </w:rPr>
        <w:t>משנ"ל</w:t>
      </w:r>
      <w:r w:rsidRPr="007119D6">
        <w:rPr>
          <w:rFonts w:ascii="Narkisim" w:hAnsi="Narkisim" w:cs="Narkisim"/>
          <w:rtl/>
        </w:rPr>
        <w:t xml:space="preserve"> (גירושין יב טז, הו' לעיל קיז.) הביא דלדעת ר' טרפון ה' נשים אינם נאמנות אפי' להחמיר. [ונקט דבזה פליג ר"ע, ע' בסמוך].</w:t>
      </w:r>
    </w:p>
    <w:p w14:paraId="4DA02373"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ש"ש</w:t>
      </w:r>
      <w:r w:rsidRPr="007119D6">
        <w:rPr>
          <w:rFonts w:ascii="Narkisim" w:hAnsi="Narkisim" w:cs="Narkisim"/>
          <w:rtl/>
        </w:rPr>
        <w:t xml:space="preserve"> (ז ד ד”ה ועוד נראה) הק' דעכ"פ תהא נאמנת לענין תרומה, דעד א' נאמן באיסורין</w:t>
      </w:r>
      <w:r w:rsidRPr="007119D6">
        <w:rPr>
          <w:rStyle w:val="ac"/>
          <w:rFonts w:ascii="Narkisim" w:hAnsi="Narkisim" w:cs="Narkisim"/>
          <w:rtl/>
        </w:rPr>
        <w:footnoteReference w:id="8070"/>
      </w:r>
      <w:r w:rsidRPr="007119D6">
        <w:rPr>
          <w:rFonts w:ascii="Narkisim" w:hAnsi="Narkisim" w:cs="Narkisim"/>
          <w:rtl/>
        </w:rPr>
        <w:t>. ותרומה הוה איסורין</w:t>
      </w:r>
      <w:r w:rsidRPr="007119D6">
        <w:rPr>
          <w:rStyle w:val="ac"/>
          <w:rFonts w:ascii="Narkisim" w:hAnsi="Narkisim" w:cs="Narkisim"/>
          <w:rtl/>
        </w:rPr>
        <w:footnoteReference w:id="8071"/>
      </w:r>
      <w:r w:rsidRPr="007119D6">
        <w:rPr>
          <w:rFonts w:ascii="Narkisim" w:hAnsi="Narkisim" w:cs="Narkisim"/>
          <w:rtl/>
        </w:rPr>
        <w:t>. וה</w:t>
      </w:r>
      <w:r w:rsidRPr="007119D6">
        <w:rPr>
          <w:rFonts w:ascii="Narkisim" w:hAnsi="Narkisim" w:cs="Narkisim"/>
          <w:b/>
          <w:bCs/>
          <w:rtl/>
        </w:rPr>
        <w:t>ש"ש</w:t>
      </w:r>
      <w:r w:rsidRPr="007119D6">
        <w:rPr>
          <w:rFonts w:ascii="Narkisim" w:hAnsi="Narkisim" w:cs="Narkisim"/>
          <w:rtl/>
        </w:rPr>
        <w:t xml:space="preserve"> תי' דכיון דעיקר העדות הוה דבר שבערוה, דדינו כממון דצריך ב' עדים. מש"ה אינו נאמן אף לאיסור שבו, דהיינו אכילת תרומה. </w:t>
      </w:r>
      <w:r w:rsidRPr="007119D6">
        <w:rPr>
          <w:rFonts w:ascii="Narkisim" w:hAnsi="Narkisim" w:cs="Narkisim"/>
          <w:szCs w:val="20"/>
          <w:rtl/>
        </w:rPr>
        <w:t>[והש"ש הביא דכעי"ז כת' ב</w:t>
      </w:r>
      <w:r w:rsidRPr="007119D6">
        <w:rPr>
          <w:rFonts w:ascii="Narkisim" w:hAnsi="Narkisim" w:cs="Narkisim"/>
          <w:b/>
          <w:bCs/>
          <w:szCs w:val="20"/>
          <w:rtl/>
        </w:rPr>
        <w:t>חי' הר"ן</w:t>
      </w:r>
      <w:r w:rsidRPr="007119D6">
        <w:rPr>
          <w:rFonts w:ascii="Narkisim" w:hAnsi="Narkisim" w:cs="Narkisim"/>
          <w:szCs w:val="20"/>
          <w:rtl/>
        </w:rPr>
        <w:t xml:space="preserve"> (סנהדרין ל.) דעד א' אינו נאמן להעיד על מעות שהם מעש"ש, דיש בו דין ממון לצד דמעש"ש ממון גבוה. ומש"ה אינו נאמן אף באיסורין שבזה].</w:t>
      </w:r>
    </w:p>
    <w:p w14:paraId="137CD217"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שער"י</w:t>
      </w:r>
      <w:r w:rsidRPr="007119D6">
        <w:rPr>
          <w:rFonts w:ascii="Narkisim" w:hAnsi="Narkisim"/>
          <w:rtl/>
        </w:rPr>
        <w:t xml:space="preserve"> (ו י)</w:t>
      </w:r>
      <w:r w:rsidRPr="007119D6">
        <w:rPr>
          <w:rStyle w:val="ac"/>
          <w:rFonts w:ascii="Narkisim" w:hAnsi="Narkisim"/>
          <w:rtl/>
        </w:rPr>
        <w:footnoteReference w:id="8072"/>
      </w:r>
      <w:r w:rsidRPr="007119D6">
        <w:rPr>
          <w:rFonts w:ascii="Narkisim" w:hAnsi="Narkisim"/>
          <w:rtl/>
        </w:rPr>
        <w:t xml:space="preserve"> כת' דהטעם דאכילת תרומה הוה בכלל דיני האישות, ומש"ה עד א' אינו נאמן להעיד לפוסלה לתרומה, דהוה בכלל דבר שבערוה [עי”ש].</w:t>
      </w:r>
    </w:p>
    <w:p w14:paraId="369471A1" w14:textId="77777777" w:rsidR="006C4368" w:rsidRPr="007119D6" w:rsidRDefault="006C4368" w:rsidP="006C4368">
      <w:pPr>
        <w:bidi/>
        <w:rPr>
          <w:rFonts w:ascii="Narkisim" w:hAnsi="Narkisim" w:cs="Narkisim"/>
        </w:rPr>
      </w:pPr>
      <w:r w:rsidRPr="007119D6">
        <w:rPr>
          <w:rFonts w:ascii="Narkisim" w:hAnsi="Narkisim" w:cs="Narkisim"/>
          <w:u w:val="single"/>
          <w:rtl/>
        </w:rPr>
        <w:t>ר"ע אומר אין זו דרך מוציאתו מידי עבירה</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(ד”ה לדבריה) כת' [דלמא] סברת ר' עקיבא </w:t>
      </w:r>
      <w:r w:rsidRPr="007119D6">
        <w:rPr>
          <w:rFonts w:ascii="Narkisim" w:hAnsi="Narkisim" w:cs="Narkisim"/>
          <w:rtl/>
        </w:rPr>
        <w:lastRenderedPageBreak/>
        <w:t>משום דאיכא איסור ודאי. אבל במקום דליכא ממ”נ מודה ר”ע דלא חיישינן לדברי הצרה אף לחומרא. וכ"כ ה</w:t>
      </w:r>
      <w:r w:rsidRPr="007119D6">
        <w:rPr>
          <w:rFonts w:ascii="Narkisim" w:hAnsi="Narkisim" w:cs="Narkisim"/>
          <w:b/>
          <w:bCs/>
          <w:rtl/>
        </w:rPr>
        <w:t>תו”י</w:t>
      </w:r>
      <w:r w:rsidRPr="007119D6">
        <w:rPr>
          <w:rFonts w:ascii="Narkisim" w:hAnsi="Narkisim" w:cs="Narkisim"/>
          <w:rtl/>
        </w:rPr>
        <w:t>.</w:t>
      </w:r>
    </w:p>
    <w:p w14:paraId="77D80CF2"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ביאר דטעמא דר"ע דאסורה לאכול בתרומה, דאיכא חדא דעבדא איסורא ממ"נ. וע"ד הא דאי' (נזיר נז.) דלא ילפינן מסוטה דבר שממ”נ יש איסור. והתורא"ש כת' דר"ע מודה שאם זינתה שהיא בחנק, דמוקמינן לה בחזקת אשת איש. [וצ"ב מ"ש גבי תרומה דאסורה ממ"נ, ואילו זינתה הוה ודאי. ומשמע מדבריו דלענין בדיעבד ודאי מהני חזקה, וחייבת חנק. אבל ל"ש להתיר דבר זה לכתחילה. דאיכא חד דעבד איסורא ממ"נ].</w:t>
      </w:r>
    </w:p>
    <w:p w14:paraId="3675897D" w14:textId="77777777" w:rsidR="006C4368" w:rsidRPr="007119D6" w:rsidRDefault="006C4368" w:rsidP="006C4368">
      <w:pPr>
        <w:bidi/>
        <w:rPr>
          <w:rFonts w:ascii="Narkisim" w:hAnsi="Narkisim" w:cs="Narkisim"/>
        </w:rPr>
      </w:pPr>
      <w:r w:rsidRPr="007119D6">
        <w:rPr>
          <w:rFonts w:ascii="Narkisim" w:hAnsi="Narkisim" w:cs="Narkisim"/>
          <w:rtl/>
        </w:rPr>
        <w:t>אבל ה</w:t>
      </w:r>
      <w:r w:rsidRPr="007119D6">
        <w:rPr>
          <w:rFonts w:ascii="Narkisim" w:hAnsi="Narkisim" w:cs="Narkisim"/>
          <w:b/>
          <w:bCs/>
          <w:rtl/>
        </w:rPr>
        <w:t>משנ"ל</w:t>
      </w:r>
      <w:r w:rsidRPr="007119D6">
        <w:rPr>
          <w:rFonts w:ascii="Narkisim" w:hAnsi="Narkisim" w:cs="Narkisim"/>
          <w:rtl/>
        </w:rPr>
        <w:t xml:space="preserve"> (הנ”ל) הביא דדעת ר”ע</w:t>
      </w:r>
      <w:r w:rsidRPr="007119D6">
        <w:rPr>
          <w:rStyle w:val="ac"/>
          <w:rFonts w:ascii="Narkisim" w:hAnsi="Narkisim" w:cs="Narkisim"/>
          <w:rtl/>
        </w:rPr>
        <w:footnoteReference w:id="8073"/>
      </w:r>
      <w:r w:rsidRPr="007119D6">
        <w:rPr>
          <w:rFonts w:ascii="Narkisim" w:hAnsi="Narkisim" w:cs="Narkisim"/>
          <w:rtl/>
        </w:rPr>
        <w:t xml:space="preserve"> דעדות ה' נשים מהני להחמיר, ומש”ה אסורה לאכול בתרומה</w:t>
      </w:r>
      <w:r w:rsidRPr="007119D6">
        <w:rPr>
          <w:rStyle w:val="ac"/>
          <w:rFonts w:ascii="Narkisim" w:hAnsi="Narkisim" w:cs="Narkisim"/>
          <w:rtl/>
        </w:rPr>
        <w:footnoteReference w:id="8074"/>
      </w:r>
      <w:r w:rsidRPr="007119D6">
        <w:rPr>
          <w:rFonts w:ascii="Narkisim" w:hAnsi="Narkisim" w:cs="Narkisim"/>
          <w:rtl/>
        </w:rPr>
        <w:t>. [ונתקבל דברי הצרה להחמיר, ואף במקום דליכא ממ”נ].</w:t>
      </w:r>
    </w:p>
    <w:p w14:paraId="562857B3" w14:textId="77777777" w:rsidR="006C4368" w:rsidRPr="007119D6" w:rsidRDefault="006C4368" w:rsidP="006C4368">
      <w:pPr>
        <w:pStyle w:val="a7"/>
        <w:bidi/>
        <w:rPr>
          <w:rFonts w:ascii="Narkisim" w:hAnsi="Narkisim"/>
        </w:rPr>
      </w:pPr>
      <w:r w:rsidRPr="007119D6">
        <w:rPr>
          <w:rFonts w:ascii="Narkisim" w:hAnsi="Narkisim"/>
          <w:rtl/>
        </w:rPr>
        <w:t>ועוד כת' ה</w:t>
      </w:r>
      <w:r w:rsidRPr="007119D6">
        <w:rPr>
          <w:rFonts w:ascii="Narkisim" w:hAnsi="Narkisim"/>
          <w:b/>
          <w:bCs/>
          <w:rtl/>
        </w:rPr>
        <w:t>ש"ש</w:t>
      </w:r>
      <w:r w:rsidRPr="007119D6">
        <w:rPr>
          <w:rFonts w:ascii="Narkisim" w:hAnsi="Narkisim"/>
          <w:rtl/>
        </w:rPr>
        <w:t xml:space="preserve"> (ז ד) די"ל דר"ע ס"ל דעד א' נאמן באיסורין, ומש"ה נאמנת לאוסרה בתרומה. ואילו לדעת ר' טרפון כיון דעיקר העדות בדבר שבערוה ל"מ [וע”ע מש”כ לעיל].</w:t>
      </w:r>
    </w:p>
    <w:p w14:paraId="64B95F51" w14:textId="77777777" w:rsidR="006C4368" w:rsidRPr="007119D6" w:rsidRDefault="006C4368" w:rsidP="006C4368">
      <w:pPr>
        <w:pStyle w:val="a7"/>
        <w:bidi/>
        <w:rPr>
          <w:rFonts w:ascii="Narkisim" w:hAnsi="Narkisim"/>
        </w:rPr>
      </w:pPr>
      <w:r w:rsidRPr="007119D6">
        <w:rPr>
          <w:rFonts w:ascii="Narkisim" w:hAnsi="Narkisim"/>
          <w:rtl/>
        </w:rPr>
        <w:t>והש"ש כת' עוד דיל"פ סברת ר"ע ע"פ דברי ה</w:t>
      </w:r>
      <w:r w:rsidRPr="007119D6">
        <w:rPr>
          <w:rFonts w:ascii="Narkisim" w:hAnsi="Narkisim"/>
          <w:b/>
          <w:bCs/>
          <w:rtl/>
        </w:rPr>
        <w:t>ירושלמי</w:t>
      </w:r>
      <w:r w:rsidRPr="007119D6">
        <w:rPr>
          <w:rFonts w:ascii="Narkisim" w:hAnsi="Narkisim"/>
          <w:rtl/>
        </w:rPr>
        <w:t xml:space="preserve"> (הנ"ל) דכיון דנאמנת על עצמה ראוי להאמינה על הצרה</w:t>
      </w:r>
      <w:r w:rsidRPr="007119D6">
        <w:rPr>
          <w:rStyle w:val="ac"/>
          <w:rFonts w:ascii="Narkisim" w:hAnsi="Narkisim"/>
          <w:rtl/>
        </w:rPr>
        <w:footnoteReference w:id="8075"/>
      </w:r>
      <w:r w:rsidRPr="007119D6">
        <w:rPr>
          <w:rFonts w:ascii="Narkisim" w:hAnsi="Narkisim"/>
          <w:rtl/>
        </w:rPr>
        <w:t>, וכיון דהשתא דבריה לא עשו רושם אצל הצרה [ומש"ה לא חיישינן דמשקרת], א"כ תלינן שאומרת אמת. ומהני לפסול את הצרה מתרומה. [ולא אמרינן דרוצה לקלקל את הצרה שלא תאכל בתרומה, ומש"ה מקלקלת עצמה. דלא מצינו בש"ס קלקול כזה].</w:t>
      </w:r>
    </w:p>
    <w:p w14:paraId="368A98D8"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ש"ש</w:t>
      </w:r>
      <w:r w:rsidRPr="007119D6">
        <w:rPr>
          <w:rFonts w:ascii="Narkisim" w:hAnsi="Narkisim" w:cs="Narkisim"/>
          <w:rtl/>
        </w:rPr>
        <w:t xml:space="preserve"> (ז ב) הק' מ"ט דר' טרפון האיך תאכל בתרומה, והא יש ראיה על זו, דחזקה דדייקא ומנסבא, א"כ יהני לאסור את הצרה. [והביא דברי הירושלמי דלא עשו רושם, א”כ אמאי ל”מ]. וכת' דמ"מ לא הוה בירור ודאי, דהא אין האחין יורדין לנחלה על פיה. ומשום הכי לא אסרינן לה לצרה לאכילת תרומה מחמת חזקה דייקא ומנסבא. ואע"ג דמתירין לינשא ע"י חזקה זו, אבל אינו ברור בודאי. והיא גופה אינו אלא להקל משום עגונא.</w:t>
      </w:r>
    </w:p>
    <w:p w14:paraId="7E1657F4" w14:textId="77777777" w:rsidR="006C4368" w:rsidRPr="007119D6" w:rsidRDefault="006C4368" w:rsidP="006C4368">
      <w:pPr>
        <w:bidi/>
        <w:rPr>
          <w:rFonts w:ascii="Narkisim" w:hAnsi="Narkisim" w:cs="Narkisim"/>
        </w:rPr>
      </w:pPr>
      <w:r w:rsidRPr="007119D6">
        <w:rPr>
          <w:rFonts w:ascii="Narkisim" w:hAnsi="Narkisim" w:cs="Narkisim"/>
          <w:u w:val="single"/>
          <w:rtl/>
        </w:rPr>
        <w:t>תוד"ה בת ישראל</w:t>
      </w:r>
      <w:r w:rsidRPr="007119D6">
        <w:rPr>
          <w:rFonts w:ascii="Narkisim" w:hAnsi="Narkisim" w:cs="Narkisim"/>
          <w:rtl/>
        </w:rPr>
        <w:t>. מספקא לר”י אי דוקא בתרומה דרבנן וכו'. [ובתרומה דאורייתא חיישינן לממ”נ]. וה</w:t>
      </w:r>
      <w:r w:rsidRPr="007119D6">
        <w:rPr>
          <w:rFonts w:ascii="Narkisim" w:hAnsi="Narkisim" w:cs="Narkisim"/>
          <w:b/>
          <w:bCs/>
          <w:rtl/>
        </w:rPr>
        <w:t>ש”ש</w:t>
      </w:r>
      <w:r w:rsidRPr="007119D6">
        <w:rPr>
          <w:rFonts w:ascii="Narkisim" w:hAnsi="Narkisim" w:cs="Narkisim"/>
          <w:rtl/>
        </w:rPr>
        <w:t xml:space="preserve"> (ז ב) ציין דמסתימת ה</w:t>
      </w:r>
      <w:r w:rsidRPr="007119D6">
        <w:rPr>
          <w:rFonts w:ascii="Narkisim" w:hAnsi="Narkisim" w:cs="Narkisim"/>
          <w:b/>
          <w:bCs/>
          <w:rtl/>
        </w:rPr>
        <w:t>רמב”ם</w:t>
      </w:r>
      <w:r w:rsidRPr="007119D6">
        <w:rPr>
          <w:rFonts w:ascii="Narkisim" w:hAnsi="Narkisim" w:cs="Narkisim"/>
          <w:rtl/>
        </w:rPr>
        <w:t xml:space="preserve"> (תרומות ט ד) משמע דאוכלת אף תרומה דאורייתא.</w:t>
      </w:r>
    </w:p>
    <w:p w14:paraId="3A392267"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 xml:space="preserve">רש"ש </w:t>
      </w:r>
      <w:r w:rsidRPr="007119D6">
        <w:rPr>
          <w:rFonts w:ascii="Narkisim" w:hAnsi="Narkisim"/>
          <w:rtl/>
        </w:rPr>
        <w:t>הביא מדברי אביי (בסמוך) דדייק מהא דחוששין לדבריה [ולא לדברי הצרה, ע' תוד”ה לדבריה] כדברי ר"ט. ואף דהתם איירי באיסור דאורייתא אשת אח שיש לו בנים והוא בכרת אפ"ה אין חוששין לדברי צרה.</w:t>
      </w:r>
    </w:p>
    <w:p w14:paraId="3CE99F83" w14:textId="77777777" w:rsidR="006C4368" w:rsidRPr="007119D6" w:rsidRDefault="006C4368" w:rsidP="006C4368">
      <w:pPr>
        <w:bidi/>
        <w:rPr>
          <w:rFonts w:ascii="Narkisim" w:hAnsi="Narkisim" w:cs="Narkisim"/>
        </w:rPr>
      </w:pPr>
      <w:r w:rsidRPr="007119D6">
        <w:rPr>
          <w:rFonts w:ascii="Narkisim" w:hAnsi="Narkisim" w:cs="Narkisim"/>
          <w:u w:val="single"/>
          <w:rtl/>
        </w:rPr>
        <w:t>בא"ד מידי דהוה אב' שבילין, מיהו איכא הכא חדא דעביד איסורא</w:t>
      </w:r>
      <w:r w:rsidRPr="007119D6">
        <w:rPr>
          <w:rFonts w:ascii="Narkisim" w:hAnsi="Narkisim" w:cs="Narkisim"/>
          <w:rtl/>
        </w:rPr>
        <w:t>. בפשוטו התוס' חוזר לפרש הצד דאינה אוכלת בתרומה דאורייתא, דחיישינן שלא יבא לאיסור ממ”נ</w:t>
      </w:r>
      <w:r w:rsidRPr="007119D6">
        <w:rPr>
          <w:rStyle w:val="ac"/>
          <w:rFonts w:ascii="Narkisim" w:hAnsi="Narkisim" w:cs="Narkisim"/>
          <w:rtl/>
        </w:rPr>
        <w:footnoteReference w:id="8076"/>
      </w:r>
      <w:r w:rsidRPr="007119D6">
        <w:rPr>
          <w:rFonts w:ascii="Narkisim" w:hAnsi="Narkisim" w:cs="Narkisim"/>
          <w:rtl/>
        </w:rPr>
        <w:t>. וה</w:t>
      </w:r>
      <w:r w:rsidRPr="007119D6">
        <w:rPr>
          <w:rFonts w:ascii="Narkisim" w:hAnsi="Narkisim" w:cs="Narkisim"/>
          <w:b/>
          <w:bCs/>
          <w:rtl/>
        </w:rPr>
        <w:t>אחרונים</w:t>
      </w:r>
      <w:r w:rsidRPr="007119D6">
        <w:rPr>
          <w:rFonts w:ascii="Narkisim" w:hAnsi="Narkisim" w:cs="Narkisim"/>
          <w:rtl/>
        </w:rPr>
        <w:t xml:space="preserve"> תמהו דאף בב' שבילים, דא' הולך בזה ועושה טהרות, וא' הולך בזה. ואף דעבדי איסורא ממ”נ</w:t>
      </w:r>
      <w:r w:rsidRPr="007119D6">
        <w:rPr>
          <w:rStyle w:val="ac"/>
          <w:rFonts w:ascii="Narkisim" w:hAnsi="Narkisim" w:cs="Narkisim"/>
          <w:rtl/>
        </w:rPr>
        <w:footnoteReference w:id="8077"/>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(נזיר נז. וכ"מ) כת' דוקא בספק טומאה דלא אמרי' דהוה טהור בתורת ודאי משום ממ"נ.</w:t>
      </w:r>
    </w:p>
    <w:p w14:paraId="6999331D"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ב) ביאר דהכא הוה גדר הוראה להתירה בתרומה, כל היכא דאנו מורין הוראה ודאית אי אפשר להורות הוראה ודאית בדבר דסתרי אהדדי. ודוקא בחזקת טהרה דב' שבילין, דגדר חזקה דאין להוציא דבר מחזקתו</w:t>
      </w:r>
      <w:r w:rsidRPr="007119D6">
        <w:rPr>
          <w:rStyle w:val="ac"/>
          <w:rFonts w:ascii="Narkisim" w:hAnsi="Narkisim"/>
          <w:rtl/>
        </w:rPr>
        <w:footnoteReference w:id="8078"/>
      </w:r>
      <w:r w:rsidRPr="007119D6">
        <w:rPr>
          <w:rFonts w:ascii="Narkisim" w:hAnsi="Narkisim"/>
          <w:rtl/>
        </w:rPr>
        <w:t>.</w:t>
      </w:r>
    </w:p>
    <w:p w14:paraId="354AC729" w14:textId="77777777" w:rsidR="006C4368" w:rsidRPr="007119D6" w:rsidRDefault="006C4368" w:rsidP="006C4368">
      <w:pPr>
        <w:pStyle w:val="a7"/>
        <w:bidi/>
        <w:rPr>
          <w:rFonts w:ascii="Narkisim" w:hAnsi="Narkisim"/>
        </w:rPr>
      </w:pPr>
      <w:r w:rsidRPr="007119D6">
        <w:rPr>
          <w:rFonts w:ascii="Narkisim" w:hAnsi="Narkisim"/>
          <w:rtl/>
        </w:rPr>
        <w:t xml:space="preserve">אבל </w:t>
      </w:r>
      <w:r w:rsidRPr="007119D6">
        <w:rPr>
          <w:rFonts w:ascii="Narkisim" w:hAnsi="Narkisim"/>
          <w:b/>
          <w:bCs/>
          <w:rtl/>
        </w:rPr>
        <w:t>רע"א</w:t>
      </w:r>
      <w:r w:rsidRPr="007119D6">
        <w:rPr>
          <w:rFonts w:ascii="Narkisim" w:hAnsi="Narkisim"/>
          <w:rtl/>
        </w:rPr>
        <w:t xml:space="preserve"> כת' להגיה ולמחוק 'מיהו', וביאר דכוונת התוס' להוכיח דבב' שבילין הוה משום חזקה דמעיקרא, ולא משום ספק טומאה ברה"ר. דהא איכא חדא דעבדא איסורא, ול"מ דין ספק טומאה היכא דיש תרתי דסתרי. וע"כ דהוה משום חזקה, וה"נ יהני חזקה.</w:t>
      </w:r>
    </w:p>
    <w:p w14:paraId="10C751C1" w14:textId="77777777" w:rsidR="006C4368" w:rsidRPr="007119D6" w:rsidRDefault="006C4368" w:rsidP="006C4368">
      <w:pPr>
        <w:pStyle w:val="aa"/>
        <w:bidi/>
        <w:rPr>
          <w:rFonts w:ascii="Narkisim" w:hAnsi="Narkisim"/>
        </w:rPr>
      </w:pPr>
      <w:r w:rsidRPr="007119D6">
        <w:rPr>
          <w:rFonts w:ascii="Narkisim" w:hAnsi="Narkisim"/>
          <w:rtl/>
        </w:rPr>
        <w:lastRenderedPageBreak/>
        <w:t>וה</w:t>
      </w:r>
      <w:r w:rsidRPr="007119D6">
        <w:rPr>
          <w:rFonts w:ascii="Narkisim" w:hAnsi="Narkisim"/>
          <w:b/>
          <w:bCs/>
          <w:rtl/>
        </w:rPr>
        <w:t>עונג יו"ט</w:t>
      </w:r>
      <w:r w:rsidRPr="007119D6">
        <w:rPr>
          <w:rFonts w:ascii="Narkisim" w:hAnsi="Narkisim"/>
          <w:rtl/>
        </w:rPr>
        <w:t xml:space="preserve"> (קלא ד"ה ובמה) כת' דלדעת רש"י (שבת קמה. ע' מה שהו' לעיל פח.) דהיתר עגונא</w:t>
      </w:r>
      <w:r w:rsidRPr="007119D6">
        <w:rPr>
          <w:rStyle w:val="ac"/>
          <w:rFonts w:ascii="Narkisim" w:hAnsi="Narkisim"/>
          <w:rtl/>
        </w:rPr>
        <w:footnoteReference w:id="8079"/>
      </w:r>
      <w:r w:rsidRPr="007119D6">
        <w:rPr>
          <w:rFonts w:ascii="Narkisim" w:hAnsi="Narkisim"/>
          <w:rtl/>
        </w:rPr>
        <w:t xml:space="preserve"> הוה משום [דאף אילו הוא חי] חכמים אפקעינהו לקידושין, א"כ ל"ש ממ"נ</w:t>
      </w:r>
      <w:r w:rsidRPr="007119D6">
        <w:rPr>
          <w:rStyle w:val="ac"/>
          <w:rFonts w:ascii="Narkisim" w:hAnsi="Narkisim"/>
          <w:rtl/>
        </w:rPr>
        <w:footnoteReference w:id="8080"/>
      </w:r>
      <w:r w:rsidRPr="007119D6">
        <w:rPr>
          <w:rFonts w:ascii="Narkisim" w:hAnsi="Narkisim"/>
          <w:rtl/>
        </w:rPr>
        <w:t>. ואין כאן תרתי דסתרי, דאפשר שהוא חי ומ"מ מותרת להנשא משום הפקעת קידושין והשניה תאכל בתרומה [דאצלה ל"מ העדות, דקידושין שלה לא הפקיעו].</w:t>
      </w:r>
    </w:p>
    <w:p w14:paraId="49981521" w14:textId="77777777" w:rsidR="006C4368" w:rsidRPr="007119D6" w:rsidRDefault="006C4368" w:rsidP="006C4368">
      <w:pPr>
        <w:bidi/>
        <w:rPr>
          <w:rFonts w:ascii="Narkisim" w:hAnsi="Narkisim" w:cs="Narkisim"/>
        </w:rPr>
      </w:pPr>
      <w:r w:rsidRPr="007119D6">
        <w:rPr>
          <w:rFonts w:ascii="Narkisim" w:hAnsi="Narkisim" w:cs="Narkisim"/>
          <w:u w:val="single"/>
          <w:rtl/>
        </w:rPr>
        <w:t>אמרה מת בעלי ואח"כ מת חמי וכו' וחמותה אסורה וכו' ר"ע אומר אין זו דרך מוציאתה וכו'</w:t>
      </w:r>
      <w:r w:rsidRPr="007119D6">
        <w:rPr>
          <w:rFonts w:ascii="Narkisim" w:hAnsi="Narkisim" w:cs="Narkisim"/>
          <w:rtl/>
        </w:rPr>
        <w:t>. ה</w:t>
      </w:r>
      <w:r w:rsidRPr="007119D6">
        <w:rPr>
          <w:rFonts w:ascii="Narkisim" w:hAnsi="Narkisim" w:cs="Narkisim"/>
          <w:b/>
          <w:bCs/>
          <w:rtl/>
        </w:rPr>
        <w:t>תוס' רא"ש</w:t>
      </w:r>
      <w:r w:rsidRPr="007119D6">
        <w:rPr>
          <w:rFonts w:ascii="Narkisim" w:hAnsi="Narkisim" w:cs="Narkisim"/>
          <w:rtl/>
        </w:rPr>
        <w:t xml:space="preserve"> תמה דהכא ל"ש ממ"נ [ואמאי קאמר ר' עקיבא אסורה לאכול בתרומה], דמיתת הבעל ומיתת חמיה הוה ב' עדיות, ולא תלי בהדדי כלל</w:t>
      </w:r>
      <w:r w:rsidRPr="007119D6">
        <w:rPr>
          <w:rStyle w:val="ac"/>
          <w:rFonts w:ascii="Narkisim" w:hAnsi="Narkisim" w:cs="Narkisim"/>
          <w:rtl/>
        </w:rPr>
        <w:footnoteReference w:id="8081"/>
      </w:r>
      <w:r w:rsidRPr="007119D6">
        <w:rPr>
          <w:rFonts w:ascii="Narkisim" w:hAnsi="Narkisim" w:cs="Narkisim"/>
          <w:rtl/>
        </w:rPr>
        <w:t>. ותי' דכיון דמהימנינן לה על עצמה ומותרת להנשא, הרי קבלנו עדותה שאינה חמותה, הלכך נאמנת להחמיר עליה. [ור"ט פליג בסברא זו].</w:t>
      </w:r>
    </w:p>
    <w:p w14:paraId="6A6F7FC8" w14:textId="77777777" w:rsidR="006C4368" w:rsidRPr="007119D6" w:rsidRDefault="006C4368" w:rsidP="006C4368">
      <w:pPr>
        <w:pStyle w:val="aa"/>
        <w:bidi/>
        <w:rPr>
          <w:rFonts w:ascii="Narkisim" w:hAnsi="Narkisim"/>
        </w:rPr>
      </w:pPr>
      <w:r w:rsidRPr="007119D6">
        <w:rPr>
          <w:rFonts w:ascii="Narkisim" w:hAnsi="Narkisim"/>
          <w:rtl/>
        </w:rPr>
        <w:t>ויל"ד לצד בתוס' דאף ר"ט אוסר מדאורייתא, משום דממ"נ עבדא איסורא. אבל הכא ליכא ממ"נ, א”כ בסיפא יהא מותר מדאורייתא</w:t>
      </w:r>
      <w:r w:rsidRPr="007119D6">
        <w:rPr>
          <w:rStyle w:val="ac"/>
          <w:rFonts w:ascii="Narkisim" w:hAnsi="Narkisim"/>
          <w:rtl/>
        </w:rPr>
        <w:footnoteReference w:id="8082"/>
      </w:r>
      <w:r w:rsidRPr="007119D6">
        <w:rPr>
          <w:rFonts w:ascii="Narkisim" w:hAnsi="Narkisim"/>
          <w:rtl/>
        </w:rPr>
        <w:t xml:space="preserve"> [וי”ל דזה בכלל קו' התוס' רא”ש].</w:t>
      </w:r>
    </w:p>
    <w:p w14:paraId="528611F8" w14:textId="77777777" w:rsidR="006C4368" w:rsidRPr="007119D6" w:rsidRDefault="006C4368" w:rsidP="006C4368">
      <w:pPr>
        <w:bidi/>
        <w:rPr>
          <w:rFonts w:ascii="Narkisim" w:hAnsi="Narkisim" w:cs="Narkisim"/>
        </w:rPr>
      </w:pPr>
      <w:r w:rsidRPr="007119D6">
        <w:rPr>
          <w:rFonts w:ascii="Narkisim" w:hAnsi="Narkisim" w:cs="Narkisim"/>
          <w:u w:val="single"/>
          <w:rtl/>
        </w:rPr>
        <w:t>א"ר יהודה אמר שמואל הלכה כר"ט</w:t>
      </w:r>
      <w:r w:rsidRPr="007119D6">
        <w:rPr>
          <w:rFonts w:ascii="Narkisim" w:hAnsi="Narkisim" w:cs="Narkisim"/>
          <w:rtl/>
        </w:rPr>
        <w:t>. וכ"פ ה</w:t>
      </w:r>
      <w:r w:rsidRPr="007119D6">
        <w:rPr>
          <w:rFonts w:ascii="Narkisim" w:hAnsi="Narkisim" w:cs="Narkisim"/>
          <w:b/>
          <w:bCs/>
          <w:rtl/>
        </w:rPr>
        <w:t>רי"ף</w:t>
      </w:r>
      <w:r w:rsidRPr="007119D6">
        <w:rPr>
          <w:rFonts w:ascii="Narkisim" w:hAnsi="Narkisim" w:cs="Narkisim"/>
          <w:rtl/>
        </w:rPr>
        <w:t xml:space="preserve"> וה</w:t>
      </w:r>
      <w:r w:rsidRPr="007119D6">
        <w:rPr>
          <w:rFonts w:ascii="Narkisim" w:hAnsi="Narkisim" w:cs="Narkisim"/>
          <w:b/>
          <w:bCs/>
          <w:rtl/>
        </w:rPr>
        <w:t>רמב"ם</w:t>
      </w:r>
      <w:r w:rsidRPr="007119D6">
        <w:rPr>
          <w:rFonts w:ascii="Narkisim" w:hAnsi="Narkisim" w:cs="Narkisim"/>
          <w:rtl/>
        </w:rPr>
        <w:t xml:space="preserve"> (תרומות ט ד) ורוב הפוסקים. וב</w:t>
      </w:r>
      <w:r w:rsidRPr="007119D6">
        <w:rPr>
          <w:rFonts w:ascii="Narkisim" w:hAnsi="Narkisim" w:cs="Narkisim"/>
          <w:b/>
          <w:bCs/>
          <w:rtl/>
        </w:rPr>
        <w:t>הג' מיימוניות</w:t>
      </w:r>
      <w:r w:rsidRPr="007119D6">
        <w:rPr>
          <w:rFonts w:ascii="Narkisim" w:hAnsi="Narkisim" w:cs="Narkisim"/>
          <w:rtl/>
        </w:rPr>
        <w:t xml:space="preserve"> (אישות ט כא) כת' דעפ”ז אף במח' ר”ע ור”ט (בע”ב) הלכה כר' טרפון, ודלא כ</w:t>
      </w:r>
      <w:r w:rsidRPr="007119D6">
        <w:rPr>
          <w:rFonts w:ascii="Narkisim" w:hAnsi="Narkisim" w:cs="Narkisim"/>
          <w:b/>
          <w:bCs/>
          <w:rtl/>
        </w:rPr>
        <w:t>ראשונים</w:t>
      </w:r>
      <w:r w:rsidRPr="007119D6">
        <w:rPr>
          <w:rFonts w:ascii="Narkisim" w:hAnsi="Narkisim" w:cs="Narkisim"/>
          <w:rtl/>
        </w:rPr>
        <w:t xml:space="preserve"> דפסקו בהנך כר”ע [וע”פ הגמ' ב”ק קג:].</w:t>
      </w:r>
    </w:p>
    <w:p w14:paraId="7C6C29A9"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ראב"ד</w:t>
      </w:r>
      <w:r w:rsidRPr="007119D6">
        <w:rPr>
          <w:rFonts w:ascii="Narkisim" w:hAnsi="Narkisim"/>
          <w:rtl/>
        </w:rPr>
        <w:t xml:space="preserve"> (תרומות שם) פסק כר”ע דאסורה לינשא ואסורה לאכול בתרומה. וה</w:t>
      </w:r>
      <w:r w:rsidRPr="007119D6">
        <w:rPr>
          <w:rFonts w:ascii="Narkisim" w:hAnsi="Narkisim"/>
          <w:b/>
          <w:bCs/>
          <w:rtl/>
        </w:rPr>
        <w:t>כס”מ</w:t>
      </w:r>
      <w:r w:rsidRPr="007119D6">
        <w:rPr>
          <w:rFonts w:ascii="Narkisim" w:hAnsi="Narkisim"/>
          <w:rtl/>
        </w:rPr>
        <w:t xml:space="preserve"> כת' דלא היה בגירסת הראב”ד דהלכה כר”ט. וה</w:t>
      </w:r>
      <w:r w:rsidRPr="007119D6">
        <w:rPr>
          <w:rFonts w:ascii="Narkisim" w:hAnsi="Narkisim"/>
          <w:b/>
          <w:bCs/>
          <w:rtl/>
        </w:rPr>
        <w:t>דרך אמונה</w:t>
      </w:r>
      <w:r w:rsidRPr="007119D6">
        <w:rPr>
          <w:rFonts w:ascii="Narkisim" w:hAnsi="Narkisim"/>
          <w:rtl/>
        </w:rPr>
        <w:t xml:space="preserve"> (בביאוה"ה שם) כת' די"ל דהראב"ד ס"ל דהמח' ר”ע ור”ט לשיטתייהו (בע”ב) [כדברי ההג' מיימוני הנ”ל</w:t>
      </w:r>
      <w:r w:rsidRPr="007119D6">
        <w:rPr>
          <w:rStyle w:val="ac"/>
          <w:rFonts w:ascii="Narkisim" w:hAnsi="Narkisim"/>
          <w:rtl/>
        </w:rPr>
        <w:footnoteReference w:id="8083"/>
      </w:r>
      <w:r w:rsidRPr="007119D6">
        <w:rPr>
          <w:rFonts w:ascii="Narkisim" w:hAnsi="Narkisim"/>
          <w:rtl/>
        </w:rPr>
        <w:t>]. וכיון דאיפסיק התם כר"ע, ממילא אף בסוגיין. [והראב"ד דחה פסק הלכה דשמואל משום סוגיה דהתם].</w:t>
      </w:r>
    </w:p>
    <w:p w14:paraId="5C873F0A" w14:textId="77777777" w:rsidR="006C4368" w:rsidRPr="007119D6" w:rsidRDefault="006C4368" w:rsidP="006C4368">
      <w:pPr>
        <w:pStyle w:val="3"/>
        <w:bidi/>
        <w:rPr>
          <w:rFonts w:ascii="Narkisim" w:hAnsi="Narkisim"/>
        </w:rPr>
      </w:pPr>
      <w:r w:rsidRPr="007119D6">
        <w:rPr>
          <w:rFonts w:ascii="Narkisim" w:hAnsi="Narkisim"/>
          <w:rtl/>
        </w:rPr>
        <w:t>דף קיח:</w:t>
      </w:r>
    </w:p>
    <w:p w14:paraId="4B8A4C35" w14:textId="77777777" w:rsidR="006C4368" w:rsidRPr="007119D6" w:rsidRDefault="006C4368" w:rsidP="006C4368">
      <w:pPr>
        <w:bidi/>
        <w:rPr>
          <w:rFonts w:ascii="Narkisim" w:hAnsi="Narkisim" w:cs="Narkisim"/>
        </w:rPr>
      </w:pPr>
      <w:r w:rsidRPr="007119D6">
        <w:rPr>
          <w:rFonts w:ascii="Narkisim" w:hAnsi="Narkisim" w:cs="Narkisim"/>
          <w:u w:val="single"/>
          <w:rtl/>
        </w:rPr>
        <w:t>קידש א' מה' נשים</w:t>
      </w:r>
      <w:r w:rsidRPr="007119D6">
        <w:rPr>
          <w:rStyle w:val="ac"/>
          <w:rFonts w:ascii="Narkisim" w:hAnsi="Narkisim" w:cs="Narkisim"/>
          <w:u w:val="single"/>
          <w:rtl/>
        </w:rPr>
        <w:footnoteReference w:id="8084"/>
      </w:r>
      <w:r w:rsidRPr="007119D6">
        <w:rPr>
          <w:rFonts w:ascii="Narkisim" w:hAnsi="Narkisim" w:cs="Narkisim"/>
          <w:u w:val="single"/>
          <w:rtl/>
        </w:rPr>
        <w:t xml:space="preserve"> וכו' מניח כתובה ביניהן ומסתלק וכו'</w:t>
      </w:r>
      <w:r w:rsidRPr="007119D6">
        <w:rPr>
          <w:rFonts w:ascii="Narkisim" w:hAnsi="Narkisim" w:cs="Narkisim"/>
          <w:rtl/>
        </w:rPr>
        <w:t>. ה</w:t>
      </w:r>
      <w:r w:rsidRPr="007119D6">
        <w:rPr>
          <w:rFonts w:ascii="Narkisim" w:hAnsi="Narkisim" w:cs="Narkisim"/>
          <w:b/>
          <w:bCs/>
          <w:rtl/>
        </w:rPr>
        <w:t>ראשונים</w:t>
      </w:r>
      <w:r w:rsidRPr="007119D6">
        <w:rPr>
          <w:rFonts w:ascii="Narkisim" w:hAnsi="Narkisim" w:cs="Narkisim"/>
          <w:rtl/>
        </w:rPr>
        <w:t xml:space="preserve"> הביאו דבפשוטו מבואר במשנה דיש כתובה לארוסה, ובפשוטו הו' ספק בגמ' (ב”מ יז: וכתובות פט:)</w:t>
      </w:r>
      <w:r w:rsidRPr="007119D6">
        <w:rPr>
          <w:rStyle w:val="ac"/>
          <w:rFonts w:ascii="Narkisim" w:hAnsi="Narkisim" w:cs="Narkisim"/>
          <w:rtl/>
        </w:rPr>
        <w:footnoteReference w:id="8085"/>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כת' דלדעת ה</w:t>
      </w:r>
      <w:r w:rsidRPr="007119D6">
        <w:rPr>
          <w:rFonts w:ascii="Narkisim" w:hAnsi="Narkisim" w:cs="Narkisim"/>
          <w:b/>
          <w:bCs/>
          <w:rtl/>
        </w:rPr>
        <w:t>גאונים</w:t>
      </w:r>
      <w:r w:rsidRPr="007119D6">
        <w:rPr>
          <w:rFonts w:ascii="Narkisim" w:hAnsi="Narkisim" w:cs="Narkisim"/>
          <w:rtl/>
        </w:rPr>
        <w:t xml:space="preserve"> (והרמב"ם אישות י יא) דאין כתובה לארוסה צ"ל שכתב לה כתובה</w:t>
      </w:r>
      <w:r w:rsidRPr="007119D6">
        <w:rPr>
          <w:rStyle w:val="ac"/>
          <w:rFonts w:ascii="Narkisim" w:hAnsi="Narkisim" w:cs="Narkisim"/>
          <w:rtl/>
        </w:rPr>
        <w:footnoteReference w:id="8086"/>
      </w:r>
      <w:r w:rsidRPr="007119D6">
        <w:rPr>
          <w:rFonts w:ascii="Narkisim" w:hAnsi="Narkisim" w:cs="Narkisim"/>
          <w:rtl/>
        </w:rPr>
        <w:t>. וביאר כגון שכתב סתם כתובה לארוסה [ולא כתב שם האשה], או שהיו שמותיהם שווים, או שקנו מידו להתחייב כתובה [והעדים הלכו למדינת הים]. וה</w:t>
      </w:r>
      <w:r w:rsidRPr="007119D6">
        <w:rPr>
          <w:rFonts w:ascii="Narkisim" w:hAnsi="Narkisim" w:cs="Narkisim"/>
          <w:b/>
          <w:bCs/>
          <w:rtl/>
        </w:rPr>
        <w:t>רשב"א</w:t>
      </w:r>
      <w:r w:rsidRPr="007119D6">
        <w:rPr>
          <w:rFonts w:ascii="Narkisim" w:hAnsi="Narkisim" w:cs="Narkisim"/>
          <w:rtl/>
        </w:rPr>
        <w:t xml:space="preserve"> הוסיף א"נ שמודה שכתב ואינו יודע למי.</w:t>
      </w:r>
    </w:p>
    <w:p w14:paraId="139A6479"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 xml:space="preserve">פוסקים </w:t>
      </w:r>
      <w:r w:rsidRPr="007119D6">
        <w:rPr>
          <w:rFonts w:ascii="Narkisim" w:hAnsi="Narkisim"/>
          <w:rtl/>
        </w:rPr>
        <w:t>דנו האם יש חיוב שבועה. ע' ק"נ.</w:t>
      </w:r>
    </w:p>
    <w:p w14:paraId="250D39EB" w14:textId="77777777" w:rsidR="006C4368" w:rsidRPr="007119D6" w:rsidRDefault="006C4368" w:rsidP="006C4368">
      <w:pPr>
        <w:bidi/>
        <w:rPr>
          <w:rFonts w:ascii="Narkisim" w:hAnsi="Narkisim" w:cs="Narkisim"/>
        </w:rPr>
      </w:pPr>
      <w:r w:rsidRPr="007119D6">
        <w:rPr>
          <w:rFonts w:ascii="Narkisim" w:hAnsi="Narkisim" w:cs="Narkisim"/>
          <w:u w:val="single"/>
          <w:rtl/>
        </w:rPr>
        <w:lastRenderedPageBreak/>
        <w:t>גזל א' מה' וכו' כל א' אומר אותי גזל</w:t>
      </w:r>
      <w:r w:rsidRPr="007119D6">
        <w:rPr>
          <w:rStyle w:val="ac"/>
          <w:rFonts w:ascii="Narkisim" w:hAnsi="Narkisim" w:cs="Narkisim"/>
          <w:u w:val="single"/>
          <w:rtl/>
        </w:rPr>
        <w:footnoteReference w:id="8087"/>
      </w:r>
      <w:r w:rsidRPr="007119D6">
        <w:rPr>
          <w:rFonts w:ascii="Narkisim" w:hAnsi="Narkisim" w:cs="Narkisim"/>
          <w:u w:val="single"/>
          <w:rtl/>
        </w:rPr>
        <w:t>, מניח גזילה ביניהם ומסתלק דברי ר”ט</w:t>
      </w:r>
      <w:r w:rsidRPr="007119D6">
        <w:rPr>
          <w:rFonts w:ascii="Narkisim" w:hAnsi="Narkisim" w:cs="Narkisim"/>
          <w:rtl/>
        </w:rPr>
        <w:t>. רב ספרא (ב"מ לז:) פי' ויניח</w:t>
      </w:r>
      <w:r w:rsidRPr="007119D6">
        <w:rPr>
          <w:rStyle w:val="ac"/>
          <w:rFonts w:ascii="Narkisim" w:hAnsi="Narkisim" w:cs="Narkisim"/>
          <w:rtl/>
        </w:rPr>
        <w:footnoteReference w:id="8088"/>
      </w:r>
      <w:r w:rsidRPr="007119D6">
        <w:rPr>
          <w:rFonts w:ascii="Narkisim" w:hAnsi="Narkisim" w:cs="Narkisim"/>
          <w:rtl/>
        </w:rPr>
        <w:t>. וכדין ספק הינוח דאם נטל לא יחזיר.</w:t>
      </w:r>
    </w:p>
    <w:p w14:paraId="0773BC8C" w14:textId="77777777" w:rsidR="006C4368" w:rsidRPr="007119D6" w:rsidRDefault="006C4368" w:rsidP="006C4368">
      <w:pPr>
        <w:bidi/>
        <w:rPr>
          <w:rFonts w:ascii="Narkisim" w:hAnsi="Narkisim" w:cs="Narkisim"/>
        </w:rPr>
      </w:pPr>
      <w:r w:rsidRPr="007119D6">
        <w:rPr>
          <w:rFonts w:ascii="Narkisim" w:hAnsi="Narkisim" w:cs="Narkisim"/>
          <w:rtl/>
        </w:rPr>
        <w:t>ובגמ' (ב"מ לז.) אי' דמ"מ חייב לצאת ידי שמים</w:t>
      </w:r>
      <w:r w:rsidRPr="007119D6">
        <w:rPr>
          <w:rStyle w:val="ac"/>
          <w:rFonts w:ascii="Narkisim" w:hAnsi="Narkisim" w:cs="Narkisim"/>
          <w:rtl/>
        </w:rPr>
        <w:footnoteReference w:id="8089"/>
      </w:r>
      <w:r w:rsidRPr="007119D6">
        <w:rPr>
          <w:rFonts w:ascii="Narkisim" w:hAnsi="Narkisim" w:cs="Narkisim"/>
          <w:rtl/>
        </w:rPr>
        <w:t xml:space="preserve">. וכדתנן (שם) שנותן לזה מנה ולזה מנה, שהודה מפי עצמו. [ובברייתא מבואר דקאי אף כר' טרפון]. </w:t>
      </w:r>
      <w:r w:rsidRPr="007119D6">
        <w:rPr>
          <w:rFonts w:ascii="Narkisim" w:hAnsi="Narkisim" w:cs="Narkisim"/>
          <w:szCs w:val="20"/>
          <w:rtl/>
        </w:rPr>
        <w:t>ו</w:t>
      </w:r>
      <w:r w:rsidRPr="007119D6">
        <w:rPr>
          <w:rFonts w:ascii="Narkisim" w:hAnsi="Narkisim" w:cs="Narkisim"/>
          <w:b/>
          <w:bCs/>
          <w:szCs w:val="20"/>
          <w:rtl/>
        </w:rPr>
        <w:t>תוס</w:t>
      </w:r>
      <w:r w:rsidRPr="007119D6">
        <w:rPr>
          <w:rFonts w:ascii="Narkisim" w:hAnsi="Narkisim" w:cs="Narkisim"/>
          <w:szCs w:val="20"/>
          <w:rtl/>
        </w:rPr>
        <w:t>' (שם) פי' דדוקא היכא דהו"ל למידק חייב בידי שמים, אבל בכרך א' דלא הו"ל למידק אינו חייב אף בידי שמים</w:t>
      </w:r>
      <w:r w:rsidRPr="007119D6">
        <w:rPr>
          <w:rFonts w:ascii="Narkisim" w:hAnsi="Narkisim" w:cs="Narkisim"/>
          <w:rtl/>
        </w:rPr>
        <w:t>.</w:t>
      </w:r>
    </w:p>
    <w:p w14:paraId="7E1507F8" w14:textId="77777777" w:rsidR="006C4368" w:rsidRPr="007119D6" w:rsidRDefault="006C4368" w:rsidP="006C4368">
      <w:pPr>
        <w:bidi/>
        <w:rPr>
          <w:rFonts w:ascii="Narkisim" w:hAnsi="Narkisim" w:cs="Narkisim"/>
        </w:rPr>
      </w:pPr>
      <w:r w:rsidRPr="007119D6">
        <w:rPr>
          <w:rFonts w:ascii="Narkisim" w:hAnsi="Narkisim" w:cs="Narkisim"/>
          <w:rtl/>
        </w:rPr>
        <w:t>ו</w:t>
      </w:r>
      <w:r w:rsidRPr="007119D6">
        <w:rPr>
          <w:rFonts w:ascii="Narkisim" w:hAnsi="Narkisim" w:cs="Narkisim"/>
          <w:b/>
          <w:bCs/>
          <w:rtl/>
        </w:rPr>
        <w:t>תוס'</w:t>
      </w:r>
      <w:r w:rsidRPr="007119D6">
        <w:rPr>
          <w:rFonts w:ascii="Narkisim" w:hAnsi="Narkisim" w:cs="Narkisim"/>
          <w:rtl/>
        </w:rPr>
        <w:t xml:space="preserve"> (ב"ק קד. ד"ה שכבר, בתי' הב') כת' דהיינו דוקא בגזל. אבל בפקדון אין חיוב לצאת ידי שמים.</w:t>
      </w:r>
    </w:p>
    <w:p w14:paraId="07DFAF61" w14:textId="77777777" w:rsidR="006C4368" w:rsidRPr="007119D6" w:rsidRDefault="006C4368" w:rsidP="006C4368">
      <w:pPr>
        <w:pStyle w:val="aa"/>
        <w:bidi/>
        <w:rPr>
          <w:rFonts w:ascii="Narkisim" w:hAnsi="Narkisim"/>
        </w:rPr>
      </w:pPr>
      <w:r w:rsidRPr="007119D6">
        <w:rPr>
          <w:rFonts w:ascii="Narkisim" w:hAnsi="Narkisim"/>
          <w:u w:val="single"/>
          <w:rtl/>
        </w:rPr>
        <w:t>ר"ע אומר אין זו דרך מוציא מידי עבירה, עד שישלם לכל א' וא'</w:t>
      </w:r>
      <w:r w:rsidRPr="007119D6">
        <w:rPr>
          <w:rFonts w:ascii="Narkisim" w:hAnsi="Narkisim"/>
          <w:rtl/>
        </w:rPr>
        <w:t>. ב</w:t>
      </w:r>
      <w:r w:rsidRPr="007119D6">
        <w:rPr>
          <w:rFonts w:ascii="Narkisim" w:hAnsi="Narkisim"/>
          <w:b/>
          <w:bCs/>
          <w:rtl/>
        </w:rPr>
        <w:t>ראב"ד</w:t>
      </w:r>
      <w:r w:rsidRPr="007119D6">
        <w:rPr>
          <w:rFonts w:ascii="Narkisim" w:hAnsi="Narkisim"/>
          <w:rtl/>
        </w:rPr>
        <w:t xml:space="preserve"> ו</w:t>
      </w:r>
      <w:r w:rsidRPr="007119D6">
        <w:rPr>
          <w:rFonts w:ascii="Narkisim" w:hAnsi="Narkisim"/>
          <w:b/>
          <w:bCs/>
          <w:rtl/>
        </w:rPr>
        <w:t>הג' מיימוני</w:t>
      </w:r>
      <w:r w:rsidRPr="007119D6">
        <w:rPr>
          <w:rFonts w:ascii="Narkisim" w:hAnsi="Narkisim"/>
          <w:rtl/>
        </w:rPr>
        <w:t xml:space="preserve"> (הו' בע"א) מבואר דר"ע לשיטתו במשנה דלעיל, אבל לדעת שאר ראשונים הוה לישנא בעלמא. דבגמ' (ב"ק קג:) אי' דהלכה כר"ע דמשנתינו, ואילו במשנה דלעיל הלכה כר"ט.</w:t>
      </w:r>
    </w:p>
    <w:p w14:paraId="2B57E080"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רי"ף</w:t>
      </w:r>
      <w:r w:rsidRPr="007119D6">
        <w:rPr>
          <w:rFonts w:ascii="Narkisim" w:hAnsi="Narkisim"/>
          <w:rtl/>
        </w:rPr>
        <w:t xml:space="preserve"> (ב"מ שם כ: בדה"ס) ושא"ר כת' דכל א' ישבע</w:t>
      </w:r>
      <w:r w:rsidRPr="007119D6">
        <w:rPr>
          <w:rStyle w:val="ac"/>
          <w:rFonts w:ascii="Narkisim" w:hAnsi="Narkisim"/>
          <w:rtl/>
        </w:rPr>
        <w:footnoteReference w:id="8090"/>
      </w:r>
      <w:r w:rsidRPr="007119D6">
        <w:rPr>
          <w:rFonts w:ascii="Narkisim" w:hAnsi="Narkisim"/>
          <w:rtl/>
        </w:rPr>
        <w:t>, ואח"כ ישלם לכל א'</w:t>
      </w:r>
      <w:r w:rsidRPr="007119D6">
        <w:rPr>
          <w:rStyle w:val="ac"/>
          <w:rFonts w:ascii="Narkisim" w:hAnsi="Narkisim"/>
          <w:rtl/>
        </w:rPr>
        <w:footnoteReference w:id="8091"/>
      </w:r>
      <w:r w:rsidRPr="007119D6">
        <w:rPr>
          <w:rFonts w:ascii="Narkisim" w:hAnsi="Narkisim"/>
          <w:rtl/>
        </w:rPr>
        <w:t>.</w:t>
      </w:r>
    </w:p>
    <w:p w14:paraId="654C542E"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(מט ב) הק' דגבי קידושין לא הוזכר בפוסקים דצריכה לישבע. ואף דהגמ' מדמה אותם. וה</w:t>
      </w:r>
      <w:r w:rsidRPr="007119D6">
        <w:rPr>
          <w:rFonts w:ascii="Narkisim" w:hAnsi="Narkisim"/>
          <w:b/>
          <w:bCs/>
          <w:rtl/>
        </w:rPr>
        <w:t>ק"נ</w:t>
      </w:r>
      <w:r w:rsidRPr="007119D6">
        <w:rPr>
          <w:rFonts w:ascii="Narkisim" w:hAnsi="Narkisim"/>
          <w:rtl/>
        </w:rPr>
        <w:t xml:space="preserve"> תי' דהתם הוה בכלל תקנת נגזל</w:t>
      </w:r>
      <w:r w:rsidRPr="007119D6">
        <w:rPr>
          <w:rStyle w:val="ac"/>
          <w:rFonts w:ascii="Narkisim" w:hAnsi="Narkisim"/>
          <w:rtl/>
        </w:rPr>
        <w:footnoteReference w:id="8092"/>
      </w:r>
      <w:r w:rsidRPr="007119D6">
        <w:rPr>
          <w:rFonts w:ascii="Narkisim" w:hAnsi="Narkisim"/>
          <w:rtl/>
        </w:rPr>
        <w:t xml:space="preserve"> (במשנה שבועות מה:). אבל גבי כתובה לא הוה בכלל הך תקנה.</w:t>
      </w:r>
    </w:p>
    <w:p w14:paraId="3C466611" w14:textId="77777777" w:rsidR="006C4368" w:rsidRPr="007119D6" w:rsidRDefault="006C4368" w:rsidP="006C4368">
      <w:pPr>
        <w:bidi/>
        <w:rPr>
          <w:rFonts w:ascii="Narkisim" w:hAnsi="Narkisim" w:cs="Narkisim"/>
        </w:rPr>
      </w:pPr>
      <w:r w:rsidRPr="007119D6">
        <w:rPr>
          <w:rFonts w:ascii="Narkisim" w:hAnsi="Narkisim" w:cs="Narkisim"/>
          <w:u w:val="single"/>
          <w:rtl/>
        </w:rPr>
        <w:t>דתניא רשב"א אומר לא נחלקו ר"ט ור"ע על שקידש וכו' על שלקח מקח מה' בני אדם, שמניח דמי מקח ביניהם ומסתלק, לא נחלקו אלא שגזל וכו'</w:t>
      </w:r>
      <w:r w:rsidRPr="007119D6">
        <w:rPr>
          <w:rFonts w:ascii="Narkisim" w:hAnsi="Narkisim" w:cs="Narkisim"/>
          <w:rtl/>
        </w:rPr>
        <w:t>. [ומשום קנס כדבסמוך]. ואילו ת"ק ס"ל דנח' בכל קידושין ובמקח, ונח' בגדרי הממון.</w:t>
      </w:r>
    </w:p>
    <w:p w14:paraId="73C66F97" w14:textId="77777777" w:rsidR="006C4368" w:rsidRPr="007119D6" w:rsidRDefault="006C4368" w:rsidP="006C4368">
      <w:pPr>
        <w:pStyle w:val="a7"/>
        <w:bidi/>
        <w:rPr>
          <w:rFonts w:ascii="Narkisim" w:hAnsi="Narkisim"/>
        </w:rPr>
      </w:pPr>
      <w:r w:rsidRPr="007119D6">
        <w:rPr>
          <w:rFonts w:ascii="Narkisim" w:hAnsi="Narkisim"/>
          <w:rtl/>
        </w:rPr>
        <w:t>והגמ' (ב"מ לז:) מק' דמבואר דמספיקא מפקינן ממונא. ודחו דאיירי בברי ושמא. שהם תבעוה בטענת ברי.</w:t>
      </w:r>
    </w:p>
    <w:p w14:paraId="1EB3F6C2" w14:textId="77777777" w:rsidR="006C4368" w:rsidRPr="007119D6" w:rsidRDefault="006C4368" w:rsidP="006C4368">
      <w:pPr>
        <w:bidi/>
        <w:rPr>
          <w:rFonts w:ascii="Narkisim" w:hAnsi="Narkisim" w:cs="Narkisim"/>
        </w:rPr>
      </w:pPr>
      <w:r w:rsidRPr="007119D6">
        <w:rPr>
          <w:rFonts w:ascii="Narkisim" w:hAnsi="Narkisim" w:cs="Narkisim"/>
          <w:rtl/>
        </w:rPr>
        <w:t>ו</w:t>
      </w:r>
      <w:r w:rsidRPr="007119D6">
        <w:rPr>
          <w:rFonts w:ascii="Narkisim" w:hAnsi="Narkisim" w:cs="Narkisim"/>
          <w:b/>
          <w:bCs/>
          <w:rtl/>
        </w:rPr>
        <w:t>תוס'</w:t>
      </w:r>
      <w:r w:rsidRPr="007119D6">
        <w:rPr>
          <w:rFonts w:ascii="Narkisim" w:hAnsi="Narkisim" w:cs="Narkisim"/>
          <w:rtl/>
        </w:rPr>
        <w:t xml:space="preserve"> (ב"מ לז. ד”ה גזל) הק' דלפ"ז נח' ר"ע ור"ט במח' דר' יוחנן ורב הונא בברי ושמא. ותי' דשמא סברת ר' טרפון משום שיודע בודאי שלא גזל לכולם</w:t>
      </w:r>
      <w:r w:rsidRPr="007119D6">
        <w:rPr>
          <w:rStyle w:val="ac"/>
          <w:rFonts w:ascii="Narkisim" w:hAnsi="Narkisim" w:cs="Narkisim"/>
          <w:rtl/>
        </w:rPr>
        <w:footnoteReference w:id="8093"/>
      </w:r>
      <w:r w:rsidRPr="007119D6">
        <w:rPr>
          <w:rFonts w:ascii="Narkisim" w:hAnsi="Narkisim" w:cs="Narkisim"/>
          <w:rtl/>
        </w:rPr>
        <w:t>. אבל ברי ושמא י"ל דמודה לרב הונא דברי עדיף</w:t>
      </w:r>
      <w:r w:rsidRPr="007119D6">
        <w:rPr>
          <w:rStyle w:val="ac"/>
          <w:rFonts w:ascii="Narkisim" w:hAnsi="Narkisim" w:cs="Narkisim"/>
          <w:rtl/>
        </w:rPr>
        <w:footnoteReference w:id="8094"/>
      </w:r>
      <w:r w:rsidRPr="007119D6">
        <w:rPr>
          <w:rFonts w:ascii="Narkisim" w:hAnsi="Narkisim" w:cs="Narkisim"/>
          <w:rtl/>
        </w:rPr>
        <w:t>.</w:t>
      </w:r>
    </w:p>
    <w:p w14:paraId="790E3089" w14:textId="77777777" w:rsidR="006C4368" w:rsidRPr="007119D6" w:rsidRDefault="006C4368" w:rsidP="006C4368">
      <w:pPr>
        <w:bidi/>
        <w:rPr>
          <w:rFonts w:ascii="Narkisim" w:hAnsi="Narkisim" w:cs="Narkisim"/>
        </w:rPr>
      </w:pPr>
      <w:r w:rsidRPr="007119D6">
        <w:rPr>
          <w:rFonts w:ascii="Narkisim" w:hAnsi="Narkisim" w:cs="Narkisim"/>
          <w:rtl/>
        </w:rPr>
        <w:t>ו</w:t>
      </w:r>
      <w:r w:rsidRPr="007119D6">
        <w:rPr>
          <w:rFonts w:ascii="Narkisim" w:hAnsi="Narkisim" w:cs="Narkisim"/>
          <w:b/>
          <w:bCs/>
          <w:rtl/>
        </w:rPr>
        <w:t>תוס</w:t>
      </w:r>
      <w:r w:rsidRPr="007119D6">
        <w:rPr>
          <w:rFonts w:ascii="Narkisim" w:hAnsi="Narkisim" w:cs="Narkisim"/>
          <w:rtl/>
        </w:rPr>
        <w:t>' כת' דשמא אפי' ר"ע ס"ל דישלם לכל א' וא' משום שיודע בודאי דחייב לא' מהם</w:t>
      </w:r>
      <w:r w:rsidRPr="007119D6">
        <w:rPr>
          <w:rStyle w:val="ac"/>
          <w:rFonts w:ascii="Narkisim" w:hAnsi="Narkisim" w:cs="Narkisim"/>
          <w:rtl/>
        </w:rPr>
        <w:footnoteReference w:id="8095"/>
      </w:r>
      <w:r w:rsidRPr="007119D6">
        <w:rPr>
          <w:rFonts w:ascii="Narkisim" w:hAnsi="Narkisim" w:cs="Narkisim"/>
          <w:rtl/>
        </w:rPr>
        <w:t>. אבל בברי ושמא י"ל דמודה דפטור, שאינו יודע שחייב כלל.</w:t>
      </w:r>
    </w:p>
    <w:p w14:paraId="30690396"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רי"ף</w:t>
      </w:r>
      <w:r w:rsidRPr="007119D6">
        <w:rPr>
          <w:rFonts w:ascii="Narkisim" w:hAnsi="Narkisim"/>
          <w:rtl/>
        </w:rPr>
        <w:t xml:space="preserve"> (ב"מ שם) הק' דקי"ל דמספיקא לא מפקי' ממונא, וכרב נחמן ור' יוחנן דל"מ ברי </w:t>
      </w:r>
      <w:r w:rsidRPr="007119D6">
        <w:rPr>
          <w:rFonts w:ascii="Narkisim" w:hAnsi="Narkisim"/>
          <w:rtl/>
        </w:rPr>
        <w:lastRenderedPageBreak/>
        <w:t>ושמא להוציא ממון. א"כ האיך קי"ל כר"ע. והרי"ף תי' דבגזל קנסוהו</w:t>
      </w:r>
      <w:r w:rsidRPr="007119D6">
        <w:rPr>
          <w:rStyle w:val="ac"/>
          <w:rFonts w:ascii="Narkisim" w:hAnsi="Narkisim"/>
          <w:rtl/>
        </w:rPr>
        <w:footnoteReference w:id="8096"/>
      </w:r>
      <w:r w:rsidRPr="007119D6">
        <w:rPr>
          <w:rFonts w:ascii="Narkisim" w:hAnsi="Narkisim"/>
          <w:rtl/>
        </w:rPr>
        <w:t>.</w:t>
      </w:r>
    </w:p>
    <w:p w14:paraId="47BB693C"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וה</w:t>
      </w:r>
      <w:r w:rsidRPr="007119D6">
        <w:rPr>
          <w:rFonts w:ascii="Narkisim" w:hAnsi="Narkisim"/>
          <w:b/>
          <w:bCs/>
          <w:rtl/>
        </w:rPr>
        <w:t>רא"ש</w:t>
      </w:r>
      <w:r w:rsidRPr="007119D6">
        <w:rPr>
          <w:rFonts w:ascii="Narkisim" w:hAnsi="Narkisim"/>
          <w:rtl/>
        </w:rPr>
        <w:t xml:space="preserve"> (שם) כת' דהיינו כברייתא ר"ש ב"א, דאילו לת"ק בדעת ר"ע חייב מדינא</w:t>
      </w:r>
      <w:r w:rsidRPr="007119D6">
        <w:rPr>
          <w:rStyle w:val="ac"/>
          <w:rFonts w:ascii="Narkisim" w:hAnsi="Narkisim"/>
          <w:rtl/>
        </w:rPr>
        <w:footnoteReference w:id="8097"/>
      </w:r>
      <w:r w:rsidRPr="007119D6">
        <w:rPr>
          <w:rFonts w:ascii="Narkisim" w:hAnsi="Narkisim"/>
          <w:rtl/>
        </w:rPr>
        <w:t>.</w:t>
      </w:r>
    </w:p>
    <w:p w14:paraId="7BC0F12B" w14:textId="77777777" w:rsidR="006C4368" w:rsidRPr="007119D6" w:rsidRDefault="006C4368" w:rsidP="006C4368">
      <w:pPr>
        <w:bidi/>
        <w:rPr>
          <w:rFonts w:ascii="Narkisim" w:hAnsi="Narkisim" w:cs="Narkisim"/>
        </w:rPr>
      </w:pPr>
      <w:r w:rsidRPr="007119D6">
        <w:rPr>
          <w:rFonts w:ascii="Narkisim" w:hAnsi="Narkisim" w:cs="Narkisim"/>
          <w:rtl/>
        </w:rPr>
        <w:t>ה</w:t>
      </w:r>
      <w:r w:rsidRPr="007119D6">
        <w:rPr>
          <w:rFonts w:ascii="Narkisim" w:hAnsi="Narkisim" w:cs="Narkisim"/>
          <w:b/>
          <w:bCs/>
          <w:rtl/>
        </w:rPr>
        <w:t>ראב”ד</w:t>
      </w:r>
      <w:r w:rsidRPr="007119D6">
        <w:rPr>
          <w:rFonts w:ascii="Narkisim" w:hAnsi="Narkisim" w:cs="Narkisim"/>
          <w:rtl/>
        </w:rPr>
        <w:t xml:space="preserve"> (חי' ב”ק קד., והו' בס' הזכות כאן) כת' דהוה משום קנס, ובזה"ז אין דנים דיני קנסות. ואפי' תפס מפקינן. וה</w:t>
      </w:r>
      <w:r w:rsidRPr="007119D6">
        <w:rPr>
          <w:rFonts w:ascii="Narkisim" w:hAnsi="Narkisim" w:cs="Narkisim"/>
          <w:b/>
          <w:bCs/>
          <w:rtl/>
        </w:rPr>
        <w:t>רמב"ן</w:t>
      </w:r>
      <w:r w:rsidRPr="007119D6">
        <w:rPr>
          <w:rFonts w:ascii="Narkisim" w:hAnsi="Narkisim" w:cs="Narkisim"/>
          <w:rtl/>
        </w:rPr>
        <w:t xml:space="preserve"> (ס' הזכות) חלק דהרבה קנסות דרבנן דנים בזה"ז</w:t>
      </w:r>
      <w:r w:rsidRPr="007119D6">
        <w:rPr>
          <w:rStyle w:val="ac"/>
          <w:rFonts w:ascii="Narkisim" w:hAnsi="Narkisim" w:cs="Narkisim"/>
          <w:rtl/>
        </w:rPr>
        <w:footnoteReference w:id="8098"/>
      </w:r>
      <w:r w:rsidRPr="007119D6">
        <w:rPr>
          <w:rFonts w:ascii="Narkisim" w:hAnsi="Narkisim" w:cs="Narkisim"/>
          <w:rtl/>
        </w:rPr>
        <w:t>.</w:t>
      </w:r>
    </w:p>
    <w:p w14:paraId="33F0FEAD" w14:textId="77777777" w:rsidR="006C4368" w:rsidRPr="007119D6" w:rsidRDefault="006C4368" w:rsidP="006C4368">
      <w:pPr>
        <w:bidi/>
        <w:rPr>
          <w:rFonts w:ascii="Narkisim" w:hAnsi="Narkisim" w:cs="Narkisim"/>
        </w:rPr>
      </w:pPr>
      <w:r w:rsidRPr="007119D6">
        <w:rPr>
          <w:rFonts w:ascii="Narkisim" w:hAnsi="Narkisim" w:cs="Narkisim"/>
          <w:u w:val="single"/>
          <w:rtl/>
        </w:rPr>
        <w:t>מת בעלי ואח"כ מת בני</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דהפה שאסר הוא הפה שהתיר. דאילו אמרה מת בעלי לחוד מותרת לינשא בחזקת שהבן קיים. ומש"ה אף דהשתא נתעורר ספק [דהבן אינו קיים], דשמא הבן מת קודם, האשה נאמנת להתיר</w:t>
      </w:r>
      <w:r w:rsidRPr="007119D6">
        <w:rPr>
          <w:rStyle w:val="ac"/>
          <w:rFonts w:ascii="Narkisim" w:hAnsi="Narkisim" w:cs="Narkisim"/>
          <w:rtl/>
        </w:rPr>
        <w:footnoteReference w:id="8099"/>
      </w:r>
      <w:r w:rsidRPr="007119D6">
        <w:rPr>
          <w:rFonts w:ascii="Narkisim" w:hAnsi="Narkisim" w:cs="Narkisim"/>
          <w:rtl/>
        </w:rPr>
        <w:t>. (וע”ע תוס' לעיל צד.).</w:t>
      </w:r>
    </w:p>
    <w:p w14:paraId="3F66F6A8" w14:textId="77777777" w:rsidR="006C4368" w:rsidRPr="007119D6" w:rsidRDefault="006C4368" w:rsidP="006C4368">
      <w:pPr>
        <w:bidi/>
        <w:rPr>
          <w:rFonts w:ascii="Narkisim" w:hAnsi="Narkisim" w:cs="Narkisim"/>
        </w:rPr>
      </w:pPr>
      <w:r w:rsidRPr="007119D6">
        <w:rPr>
          <w:rFonts w:ascii="Narkisim" w:hAnsi="Narkisim" w:cs="Narkisim"/>
          <w:u w:val="single"/>
          <w:rtl/>
        </w:rPr>
        <w:t>ניתן לי בן וכו' מת בעלי ואח"כ מת בני אינה נאמנת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דהיא הלכה בחזקת עתידה לייבם.</w:t>
      </w:r>
    </w:p>
    <w:p w14:paraId="6C1173A1" w14:textId="77777777" w:rsidR="006C4368" w:rsidRPr="007119D6" w:rsidRDefault="006C4368" w:rsidP="006C4368">
      <w:pPr>
        <w:pStyle w:val="aa"/>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(קיט. ד"ה אמאי) וה</w:t>
      </w:r>
      <w:r w:rsidRPr="007119D6">
        <w:rPr>
          <w:rFonts w:ascii="Narkisim" w:hAnsi="Narkisim"/>
          <w:b/>
          <w:bCs/>
          <w:rtl/>
        </w:rPr>
        <w:t>ראשונים</w:t>
      </w:r>
      <w:r w:rsidRPr="007119D6">
        <w:rPr>
          <w:rFonts w:ascii="Narkisim" w:hAnsi="Narkisim"/>
          <w:rtl/>
        </w:rPr>
        <w:t xml:space="preserve"> הק' אמאי לא תלינן שנולד לה בן משום דרוב נשים מתעברות ויולדות</w:t>
      </w:r>
      <w:r w:rsidRPr="007119D6">
        <w:rPr>
          <w:rStyle w:val="ac"/>
          <w:rFonts w:ascii="Narkisim" w:hAnsi="Narkisim"/>
          <w:rtl/>
        </w:rPr>
        <w:footnoteReference w:id="8100"/>
      </w:r>
      <w:r w:rsidRPr="007119D6">
        <w:rPr>
          <w:rFonts w:ascii="Narkisim" w:hAnsi="Narkisim"/>
          <w:rtl/>
        </w:rPr>
        <w:t>. (ויתבאר לקמן קיט.).</w:t>
      </w:r>
    </w:p>
    <w:p w14:paraId="748DD734" w14:textId="77777777" w:rsidR="006C4368" w:rsidRPr="007119D6" w:rsidRDefault="006C4368" w:rsidP="006C4368">
      <w:pPr>
        <w:pStyle w:val="aa"/>
        <w:bidi/>
        <w:rPr>
          <w:rFonts w:ascii="Narkisim" w:hAnsi="Narkisim"/>
        </w:rPr>
      </w:pPr>
      <w:r w:rsidRPr="007119D6">
        <w:rPr>
          <w:rFonts w:ascii="Narkisim" w:hAnsi="Narkisim"/>
          <w:u w:val="single"/>
          <w:rtl/>
        </w:rPr>
        <w:t>שאין האשה נאמנת לומר מת יבמי שתנשא</w:t>
      </w:r>
      <w:r w:rsidRPr="007119D6">
        <w:rPr>
          <w:rFonts w:ascii="Narkisim" w:hAnsi="Narkisim"/>
          <w:rtl/>
        </w:rPr>
        <w:t>. ה</w:t>
      </w:r>
      <w:r w:rsidRPr="007119D6">
        <w:rPr>
          <w:rFonts w:ascii="Narkisim" w:hAnsi="Narkisim"/>
          <w:b/>
          <w:bCs/>
          <w:rtl/>
        </w:rPr>
        <w:t>מאירי</w:t>
      </w:r>
      <w:r w:rsidRPr="007119D6">
        <w:rPr>
          <w:rFonts w:ascii="Narkisim" w:hAnsi="Narkisim"/>
          <w:rtl/>
        </w:rPr>
        <w:t xml:space="preserve"> כת' דאע"ג דאיכא עיגונא, ושייך סברת עשוי להגלות, מסתמא סניא ליה [וכדאי' בגמ', וכן לעיל צג:] והויא לה כקטטה בינו לבינה.</w:t>
      </w:r>
    </w:p>
    <w:p w14:paraId="0085DF81" w14:textId="77777777" w:rsidR="006C4368" w:rsidRPr="007119D6" w:rsidRDefault="006C4368" w:rsidP="006C4368">
      <w:pPr>
        <w:pStyle w:val="aa"/>
        <w:bidi/>
        <w:rPr>
          <w:rFonts w:ascii="Narkisim" w:hAnsi="Narkisim"/>
        </w:rPr>
      </w:pPr>
      <w:r w:rsidRPr="007119D6">
        <w:rPr>
          <w:rFonts w:ascii="Narkisim" w:hAnsi="Narkisim"/>
          <w:u w:val="single"/>
          <w:rtl/>
        </w:rPr>
        <w:t>ולא מתה אחותה שתכנס לביתה</w:t>
      </w:r>
      <w:r w:rsidRPr="007119D6">
        <w:rPr>
          <w:rFonts w:ascii="Narkisim" w:hAnsi="Narkisim"/>
          <w:rtl/>
        </w:rPr>
        <w:t>. [ע"ע לקמן צה]. ה</w:t>
      </w:r>
      <w:r w:rsidRPr="007119D6">
        <w:rPr>
          <w:rFonts w:ascii="Narkisim" w:hAnsi="Narkisim"/>
          <w:b/>
          <w:bCs/>
          <w:rtl/>
        </w:rPr>
        <w:t>מאירי</w:t>
      </w:r>
      <w:r w:rsidRPr="007119D6">
        <w:rPr>
          <w:rFonts w:ascii="Narkisim" w:hAnsi="Narkisim"/>
          <w:rtl/>
        </w:rPr>
        <w:t xml:space="preserve"> ביאר שלא האמינוה אלא במקום עיגונא, וזו הרי איפשר לה לינשא לאחר. וכן באיש אין כאן טעם עגון, דבדידיה ליכא עיגונא.</w:t>
      </w:r>
    </w:p>
    <w:p w14:paraId="2ADC03D9" w14:textId="77777777" w:rsidR="006C4368" w:rsidRPr="007119D6" w:rsidRDefault="006C4368" w:rsidP="006C4368">
      <w:pPr>
        <w:bidi/>
        <w:rPr>
          <w:rFonts w:ascii="Narkisim" w:hAnsi="Narkisim" w:cs="Narkisim"/>
        </w:rPr>
      </w:pPr>
      <w:r w:rsidRPr="007119D6">
        <w:rPr>
          <w:rFonts w:ascii="Narkisim" w:hAnsi="Narkisim" w:cs="Narkisim"/>
          <w:u w:val="single"/>
          <w:rtl/>
        </w:rPr>
        <w:t>בעא מיניה רבא מרב נחמן המזכה גט לאשתו במקום יבם וכו'</w:t>
      </w:r>
      <w:r w:rsidRPr="007119D6">
        <w:rPr>
          <w:rFonts w:ascii="Narkisim" w:hAnsi="Narkisim" w:cs="Narkisim"/>
          <w:rtl/>
        </w:rPr>
        <w:t>. [הראשונים העמידו בשכיב מרע]. ומבואר דאילו הוה זכות גמור פשיטא דזכין אף בגט</w:t>
      </w:r>
      <w:r w:rsidRPr="007119D6">
        <w:rPr>
          <w:rStyle w:val="ac"/>
          <w:rFonts w:ascii="Narkisim" w:hAnsi="Narkisim" w:cs="Narkisim"/>
          <w:rtl/>
        </w:rPr>
        <w:footnoteReference w:id="8101"/>
      </w:r>
      <w:r w:rsidRPr="007119D6">
        <w:rPr>
          <w:rFonts w:ascii="Narkisim" w:hAnsi="Narkisim" w:cs="Narkisim"/>
          <w:rtl/>
        </w:rPr>
        <w:t>. אלא דהספק אי הוה זכות.</w:t>
      </w:r>
    </w:p>
    <w:p w14:paraId="558C6736" w14:textId="77777777" w:rsidR="006C4368" w:rsidRPr="007119D6" w:rsidRDefault="006C4368" w:rsidP="006C4368">
      <w:pPr>
        <w:pStyle w:val="aa"/>
        <w:bidi/>
        <w:rPr>
          <w:rFonts w:ascii="Narkisim" w:hAnsi="Narkisim"/>
        </w:rPr>
      </w:pPr>
      <w:r w:rsidRPr="007119D6">
        <w:rPr>
          <w:rFonts w:ascii="Narkisim" w:hAnsi="Narkisim"/>
          <w:rtl/>
        </w:rPr>
        <w:t>ופ</w:t>
      </w:r>
      <w:r w:rsidRPr="007119D6">
        <w:rPr>
          <w:rFonts w:ascii="Narkisim" w:hAnsi="Narkisim"/>
          <w:b/>
          <w:bCs/>
          <w:rtl/>
        </w:rPr>
        <w:t>רש"י</w:t>
      </w:r>
      <w:r w:rsidRPr="007119D6">
        <w:rPr>
          <w:rFonts w:ascii="Narkisim" w:hAnsi="Narkisim"/>
          <w:rtl/>
        </w:rPr>
        <w:t xml:space="preserve"> שתתגרש מעכשיו. אבל ה</w:t>
      </w:r>
      <w:r w:rsidRPr="007119D6">
        <w:rPr>
          <w:rFonts w:ascii="Narkisim" w:hAnsi="Narkisim"/>
          <w:b/>
          <w:bCs/>
          <w:rtl/>
        </w:rPr>
        <w:t>ב"י</w:t>
      </w:r>
      <w:r w:rsidRPr="007119D6">
        <w:rPr>
          <w:rFonts w:ascii="Narkisim" w:hAnsi="Narkisim"/>
          <w:rtl/>
        </w:rPr>
        <w:t xml:space="preserve"> (קמ ה) הביא דמשמע בדברי ה</w:t>
      </w:r>
      <w:r w:rsidRPr="007119D6">
        <w:rPr>
          <w:rFonts w:ascii="Narkisim" w:hAnsi="Narkisim"/>
          <w:b/>
          <w:bCs/>
          <w:rtl/>
        </w:rPr>
        <w:t>מהרי"ק</w:t>
      </w:r>
      <w:r w:rsidRPr="007119D6">
        <w:rPr>
          <w:rFonts w:ascii="Narkisim" w:hAnsi="Narkisim"/>
          <w:rtl/>
        </w:rPr>
        <w:t xml:space="preserve"> (קמא) דמהני זכין שלא יוכל לחזור בו, אך מ"מ בעינן שהגט יגיע לידה [בחיי הבעל]. וע"ד דעת ה</w:t>
      </w:r>
      <w:r w:rsidRPr="007119D6">
        <w:rPr>
          <w:rFonts w:ascii="Narkisim" w:hAnsi="Narkisim"/>
          <w:b/>
          <w:bCs/>
          <w:rtl/>
        </w:rPr>
        <w:t>רי"ף</w:t>
      </w:r>
      <w:r w:rsidRPr="007119D6">
        <w:rPr>
          <w:rFonts w:ascii="Narkisim" w:hAnsi="Narkisim"/>
          <w:rtl/>
        </w:rPr>
        <w:t xml:space="preserve"> (גיטין יד., ה. בדה”ס, לסוגיה שם יא:) דמהני זכין [בשטר שחרור] לענין שלא יוכל לחזור בו, אבל ל"ק עד שיגיע ליד העבד.</w:t>
      </w:r>
    </w:p>
    <w:p w14:paraId="06605D9F" w14:textId="77777777" w:rsidR="006C4368" w:rsidRPr="007119D6" w:rsidRDefault="006C4368" w:rsidP="006C4368">
      <w:pPr>
        <w:pStyle w:val="aa"/>
        <w:bidi/>
        <w:rPr>
          <w:rFonts w:ascii="Narkisim" w:hAnsi="Narkisim"/>
        </w:rPr>
      </w:pPr>
      <w:r w:rsidRPr="007119D6">
        <w:rPr>
          <w:rFonts w:ascii="Narkisim" w:hAnsi="Narkisim"/>
          <w:u w:val="single"/>
          <w:rtl/>
        </w:rPr>
        <w:t>או דילמא כיון דזימנין דרחמא ליה חוב הוא לה</w:t>
      </w:r>
      <w:r w:rsidRPr="007119D6">
        <w:rPr>
          <w:rFonts w:ascii="Narkisim" w:hAnsi="Narkisim"/>
          <w:rtl/>
        </w:rPr>
        <w:t>. וה</w:t>
      </w:r>
      <w:r w:rsidRPr="007119D6">
        <w:rPr>
          <w:rFonts w:ascii="Narkisim" w:hAnsi="Narkisim"/>
          <w:b/>
          <w:bCs/>
          <w:rtl/>
        </w:rPr>
        <w:t>תו"י</w:t>
      </w:r>
      <w:r w:rsidRPr="007119D6">
        <w:rPr>
          <w:rFonts w:ascii="Narkisim" w:hAnsi="Narkisim"/>
          <w:rtl/>
        </w:rPr>
        <w:t xml:space="preserve"> הביא בשם </w:t>
      </w:r>
      <w:r w:rsidRPr="007119D6">
        <w:rPr>
          <w:rFonts w:ascii="Narkisim" w:hAnsi="Narkisim"/>
          <w:b/>
          <w:bCs/>
          <w:rtl/>
        </w:rPr>
        <w:t>ר"ת</w:t>
      </w:r>
      <w:r w:rsidRPr="007119D6">
        <w:rPr>
          <w:rFonts w:ascii="Narkisim" w:hAnsi="Narkisim"/>
          <w:rtl/>
        </w:rPr>
        <w:t xml:space="preserve"> דמ"מ זכין היכא דהיבם קטן</w:t>
      </w:r>
      <w:r w:rsidRPr="007119D6">
        <w:rPr>
          <w:rStyle w:val="ac"/>
          <w:rFonts w:ascii="Narkisim" w:hAnsi="Narkisim"/>
          <w:rtl/>
        </w:rPr>
        <w:footnoteReference w:id="8102"/>
      </w:r>
      <w:r w:rsidRPr="007119D6">
        <w:rPr>
          <w:rFonts w:ascii="Narkisim" w:hAnsi="Narkisim"/>
          <w:rtl/>
        </w:rPr>
        <w:t xml:space="preserve"> או מומר, דודאי לא שייך סברת רחמא ליה.</w:t>
      </w:r>
    </w:p>
    <w:p w14:paraId="39F45436" w14:textId="77777777" w:rsidR="006C4368" w:rsidRPr="007119D6" w:rsidRDefault="006C4368" w:rsidP="006C4368">
      <w:pPr>
        <w:pStyle w:val="a8"/>
        <w:bidi/>
        <w:rPr>
          <w:rFonts w:ascii="Narkisim" w:hAnsi="Narkisim"/>
        </w:rPr>
      </w:pPr>
      <w:r w:rsidRPr="007119D6">
        <w:rPr>
          <w:rFonts w:ascii="Narkisim" w:hAnsi="Narkisim"/>
          <w:rtl/>
        </w:rPr>
        <w:t>וכן ה</w:t>
      </w:r>
      <w:r w:rsidRPr="007119D6">
        <w:rPr>
          <w:rFonts w:ascii="Narkisim" w:hAnsi="Narkisim"/>
          <w:b/>
          <w:bCs/>
          <w:rtl/>
        </w:rPr>
        <w:t>ב"י</w:t>
      </w:r>
      <w:r w:rsidRPr="007119D6">
        <w:rPr>
          <w:rFonts w:ascii="Narkisim" w:hAnsi="Narkisim"/>
          <w:rtl/>
        </w:rPr>
        <w:t xml:space="preserve"> (קמ) הביא צד לזכות גט לאשת שכיב מרע היכא דהיבם מומר</w:t>
      </w:r>
      <w:r w:rsidRPr="007119D6">
        <w:rPr>
          <w:rStyle w:val="ac"/>
          <w:rFonts w:ascii="Narkisim" w:hAnsi="Narkisim"/>
          <w:rtl/>
        </w:rPr>
        <w:footnoteReference w:id="8103"/>
      </w:r>
      <w:r w:rsidRPr="007119D6">
        <w:rPr>
          <w:rFonts w:ascii="Narkisim" w:hAnsi="Narkisim"/>
          <w:rtl/>
        </w:rPr>
        <w:t>. וה</w:t>
      </w:r>
      <w:r w:rsidRPr="007119D6">
        <w:rPr>
          <w:rFonts w:ascii="Narkisim" w:hAnsi="Narkisim"/>
          <w:b/>
          <w:bCs/>
          <w:rtl/>
        </w:rPr>
        <w:t>ב"י</w:t>
      </w:r>
      <w:r w:rsidRPr="007119D6">
        <w:rPr>
          <w:rFonts w:ascii="Narkisim" w:hAnsi="Narkisim"/>
          <w:rtl/>
        </w:rPr>
        <w:t xml:space="preserve"> נסתפק אי איגלאי מילתא דבשעת זיכוי הגט כבר שבו בתשובה האם מהני</w:t>
      </w:r>
      <w:r w:rsidRPr="007119D6">
        <w:rPr>
          <w:rStyle w:val="ac"/>
          <w:rFonts w:ascii="Narkisim" w:eastAsia="Narkisim" w:hAnsi="Narkisim"/>
          <w:rtl/>
        </w:rPr>
        <w:footnoteReference w:id="8104"/>
      </w:r>
      <w:r w:rsidRPr="007119D6">
        <w:rPr>
          <w:rFonts w:ascii="Narkisim" w:hAnsi="Narkisim"/>
          <w:rtl/>
        </w:rPr>
        <w:t>.</w:t>
      </w:r>
    </w:p>
    <w:p w14:paraId="6D4F5EFA"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מהרש"ל</w:t>
      </w:r>
      <w:r w:rsidRPr="007119D6">
        <w:rPr>
          <w:rFonts w:ascii="Narkisim" w:hAnsi="Narkisim" w:cs="Narkisim"/>
          <w:rtl/>
        </w:rPr>
        <w:t xml:space="preserve"> (שו"ת כא, הו' בק"נ) כת' דהיכא שהיבם נשוי במקום שנהגו חרם דרבינו גרשם, א"כ עומדת לחליצה א"כ יהני לזכות גט. [אך לא הקיל למעשה].</w:t>
      </w:r>
    </w:p>
    <w:p w14:paraId="18FB81FA" w14:textId="77777777" w:rsidR="006C4368" w:rsidRPr="007119D6" w:rsidRDefault="006C4368" w:rsidP="006C4368">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ק"נ</w:t>
      </w:r>
      <w:r w:rsidRPr="007119D6">
        <w:rPr>
          <w:rFonts w:ascii="Narkisim" w:hAnsi="Narkisim"/>
          <w:rtl/>
        </w:rPr>
        <w:t xml:space="preserve"> הק' דיחשב חובה דע"י הגט פוסלה לכהונה, ואף דע"י חליצה ג"כ נפסלת, הא שמא ימות היבם. וכת' דהיא אינה מצפה לכך.</w:t>
      </w:r>
    </w:p>
    <w:p w14:paraId="03B60FB1" w14:textId="77777777" w:rsidR="006C4368" w:rsidRPr="007119D6" w:rsidRDefault="006C4368" w:rsidP="006C4368">
      <w:pPr>
        <w:pStyle w:val="aa"/>
        <w:bidi/>
        <w:rPr>
          <w:rFonts w:ascii="Narkisim" w:hAnsi="Narkisim"/>
        </w:rPr>
      </w:pPr>
      <w:r w:rsidRPr="007119D6">
        <w:rPr>
          <w:rFonts w:ascii="Narkisim" w:hAnsi="Narkisim"/>
          <w:u w:val="single"/>
          <w:rtl/>
        </w:rPr>
        <w:t>א"ל תנינא וחוששין לדבריה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אלמא מספק"ל דזימנין דסניא ליה וזימנין דרחמא. ומש"ה נאמנת לאסור. [וע' תו"י]. ותוס' הק' תיפו"ל משום שויא אנפשא.</w:t>
      </w:r>
    </w:p>
    <w:p w14:paraId="7A84B1CB" w14:textId="77777777" w:rsidR="006C4368" w:rsidRPr="007119D6" w:rsidRDefault="006C4368" w:rsidP="006C4368">
      <w:pPr>
        <w:pStyle w:val="a8"/>
        <w:bidi/>
        <w:rPr>
          <w:rFonts w:ascii="Narkisim" w:hAnsi="Narkisim"/>
        </w:rPr>
      </w:pPr>
      <w:r w:rsidRPr="007119D6">
        <w:rPr>
          <w:rFonts w:ascii="Narkisim" w:hAnsi="Narkisim"/>
          <w:rtl/>
        </w:rPr>
        <w:lastRenderedPageBreak/>
        <w:t>וה</w:t>
      </w:r>
      <w:r w:rsidRPr="007119D6">
        <w:rPr>
          <w:rFonts w:ascii="Narkisim" w:hAnsi="Narkisim"/>
          <w:b/>
          <w:bCs/>
          <w:rtl/>
        </w:rPr>
        <w:t>עונג יו"ט</w:t>
      </w:r>
      <w:r w:rsidRPr="007119D6">
        <w:rPr>
          <w:rFonts w:ascii="Narkisim" w:hAnsi="Narkisim"/>
          <w:rtl/>
        </w:rPr>
        <w:t xml:space="preserve"> (קעז ד"ה ובזה יתיישב) דן דבאופן שע”פ דין חייבת יבום</w:t>
      </w:r>
      <w:r w:rsidRPr="007119D6">
        <w:rPr>
          <w:rStyle w:val="ac"/>
          <w:rFonts w:ascii="Narkisim" w:hAnsi="Narkisim"/>
          <w:rtl/>
        </w:rPr>
        <w:footnoteReference w:id="8105"/>
      </w:r>
      <w:r w:rsidRPr="007119D6">
        <w:rPr>
          <w:rFonts w:ascii="Narkisim" w:hAnsi="Narkisim"/>
          <w:rtl/>
        </w:rPr>
        <w:t>, אלא דשויא אנפשא חתיכה דאיסורא. א”כ נימא דכל שאינו עולה ליבום אינו עולה לחליצה</w:t>
      </w:r>
      <w:r w:rsidRPr="007119D6">
        <w:rPr>
          <w:rStyle w:val="ac"/>
          <w:rFonts w:ascii="Narkisim" w:hAnsi="Narkisim"/>
          <w:rtl/>
        </w:rPr>
        <w:footnoteReference w:id="8106"/>
      </w:r>
      <w:r w:rsidRPr="007119D6">
        <w:rPr>
          <w:rFonts w:ascii="Narkisim" w:hAnsi="Narkisim"/>
          <w:rtl/>
        </w:rPr>
        <w:t>, א"כ לא מהני חליצה כלל.</w:t>
      </w:r>
    </w:p>
    <w:p w14:paraId="4FA5B74D" w14:textId="77777777" w:rsidR="006C4368" w:rsidRPr="007119D6" w:rsidRDefault="006C4368" w:rsidP="006C4368">
      <w:pPr>
        <w:pStyle w:val="a8"/>
        <w:bidi/>
        <w:rPr>
          <w:rFonts w:ascii="Narkisim" w:hAnsi="Narkisim"/>
        </w:rPr>
      </w:pPr>
      <w:r w:rsidRPr="007119D6">
        <w:rPr>
          <w:rFonts w:ascii="Narkisim" w:hAnsi="Narkisim"/>
          <w:rtl/>
        </w:rPr>
        <w:t>וכת' דמש"ה ע”כ איירי שאח”כ נתנה אמתלא לדבריה, ומש"ה אין איסור משום שויא אנפשה. והא דלא מתייבמת הוא משום דמסתפק לן באמת.</w:t>
      </w:r>
    </w:p>
    <w:p w14:paraId="2375D6DF" w14:textId="77777777" w:rsidR="006C4368" w:rsidRPr="007119D6" w:rsidRDefault="006C4368" w:rsidP="006C4368">
      <w:pPr>
        <w:bidi/>
        <w:rPr>
          <w:rFonts w:ascii="Narkisim" w:hAnsi="Narkisim" w:cs="Narkisim"/>
        </w:rPr>
      </w:pPr>
      <w:r w:rsidRPr="007119D6">
        <w:rPr>
          <w:rFonts w:ascii="Narkisim" w:hAnsi="Narkisim" w:cs="Narkisim"/>
          <w:u w:val="single"/>
          <w:rtl/>
        </w:rPr>
        <w:t>תוד"ה אמר</w:t>
      </w:r>
      <w:r w:rsidRPr="007119D6">
        <w:rPr>
          <w:rFonts w:ascii="Narkisim" w:hAnsi="Narkisim" w:cs="Narkisim"/>
          <w:rtl/>
        </w:rPr>
        <w:t>. משום דשויתה לנפשה חתיכה דאיסורה. וה</w:t>
      </w:r>
      <w:r w:rsidRPr="007119D6">
        <w:rPr>
          <w:rFonts w:ascii="Narkisim" w:hAnsi="Narkisim" w:cs="Narkisim"/>
          <w:b/>
          <w:bCs/>
          <w:rtl/>
        </w:rPr>
        <w:t>שמעתתא</w:t>
      </w:r>
      <w:r w:rsidRPr="007119D6">
        <w:rPr>
          <w:rFonts w:ascii="Narkisim" w:hAnsi="Narkisim" w:cs="Narkisim"/>
          <w:rtl/>
        </w:rPr>
        <w:t xml:space="preserve"> (ו ט) כת' ליישב דכיון דמשועבדת ליבם לא מצית למשוי אנפשה חתיכה דאיסורא, וכמ"ש ה</w:t>
      </w:r>
      <w:r w:rsidRPr="007119D6">
        <w:rPr>
          <w:rFonts w:ascii="Narkisim" w:hAnsi="Narkisim" w:cs="Narkisim"/>
          <w:b/>
          <w:bCs/>
          <w:rtl/>
        </w:rPr>
        <w:t>ר"ן</w:t>
      </w:r>
      <w:r w:rsidRPr="007119D6">
        <w:rPr>
          <w:rFonts w:ascii="Narkisim" w:hAnsi="Narkisim" w:cs="Narkisim"/>
          <w:rtl/>
        </w:rPr>
        <w:t xml:space="preserve"> (סוף נדרים דף צ:) דל"מ שויא אנפשה חתיכה דאיסורא כיון דמשועבדת לבעל. וה"נ במקום יבם, היכא דהוה בחזקת זקוקה ליבם ואינה נאמנת בתורת 'עד', מש”ה לא מצית לאפקועי עצמה מיבם.</w:t>
      </w:r>
    </w:p>
    <w:p w14:paraId="7AC0F0F1" w14:textId="77777777" w:rsidR="006C4368" w:rsidRPr="007119D6" w:rsidRDefault="006C4368" w:rsidP="006C4368">
      <w:pPr>
        <w:pStyle w:val="a8"/>
        <w:bidi/>
        <w:rPr>
          <w:rFonts w:ascii="Narkisim" w:hAnsi="Narkisim"/>
        </w:rPr>
      </w:pPr>
      <w:r w:rsidRPr="007119D6">
        <w:rPr>
          <w:rFonts w:ascii="Narkisim" w:hAnsi="Narkisim"/>
          <w:rtl/>
        </w:rPr>
        <w:t>אך הביא דדעת ה</w:t>
      </w:r>
      <w:r w:rsidRPr="007119D6">
        <w:rPr>
          <w:rFonts w:ascii="Narkisim" w:hAnsi="Narkisim"/>
          <w:b/>
          <w:bCs/>
          <w:rtl/>
        </w:rPr>
        <w:t>תוס' רי"ד</w:t>
      </w:r>
      <w:r w:rsidRPr="007119D6">
        <w:rPr>
          <w:rFonts w:ascii="Narkisim" w:hAnsi="Narkisim"/>
          <w:rtl/>
        </w:rPr>
        <w:t xml:space="preserve"> (קידו' יב:) דארוסה נאמנת לאסור עצמה. א"כ כ"ש יבמה. וכת' די"ל דכן היא דעת התוס' דהק'. אלא דה</w:t>
      </w:r>
      <w:r w:rsidRPr="007119D6">
        <w:rPr>
          <w:rFonts w:ascii="Narkisim" w:hAnsi="Narkisim"/>
          <w:b/>
          <w:bCs/>
          <w:rtl/>
        </w:rPr>
        <w:t>מהרי"ט</w:t>
      </w:r>
      <w:r w:rsidRPr="007119D6">
        <w:rPr>
          <w:rFonts w:ascii="Narkisim" w:hAnsi="Narkisim"/>
          <w:rtl/>
        </w:rPr>
        <w:t xml:space="preserve"> (א צב) כבר השיג דאף ארוסה לאו כ"כ לאסור עצמה.</w:t>
      </w:r>
    </w:p>
    <w:p w14:paraId="56E835C6" w14:textId="77777777" w:rsidR="006C4368" w:rsidRPr="007119D6" w:rsidRDefault="006C4368" w:rsidP="006C4368">
      <w:pPr>
        <w:bidi/>
        <w:rPr>
          <w:rFonts w:ascii="Narkisim" w:hAnsi="Narkisim" w:cs="Narkisim"/>
        </w:rPr>
      </w:pPr>
      <w:r w:rsidRPr="007119D6">
        <w:rPr>
          <w:rFonts w:ascii="Narkisim" w:hAnsi="Narkisim" w:cs="Narkisim"/>
          <w:u w:val="single"/>
          <w:rtl/>
        </w:rPr>
        <w:t>בא”ד א”נ משמע דחולצת אפי' נתנה אמתלא לדבריה</w:t>
      </w:r>
      <w:r w:rsidRPr="007119D6">
        <w:rPr>
          <w:rFonts w:ascii="Narkisim" w:hAnsi="Narkisim" w:cs="Narkisim"/>
          <w:rtl/>
        </w:rPr>
        <w:t>. וצ"ב דאף אי שייך בזה נאמנות, אמאי ל"מ אמתלא. וה</w:t>
      </w:r>
      <w:r w:rsidRPr="007119D6">
        <w:rPr>
          <w:rFonts w:ascii="Narkisim" w:hAnsi="Narkisim" w:cs="Narkisim"/>
          <w:b/>
          <w:bCs/>
          <w:rtl/>
        </w:rPr>
        <w:t>ש"ש</w:t>
      </w:r>
      <w:r w:rsidRPr="007119D6">
        <w:rPr>
          <w:rFonts w:ascii="Narkisim" w:hAnsi="Narkisim" w:cs="Narkisim"/>
          <w:rtl/>
        </w:rPr>
        <w:t xml:space="preserve"> (ו ט) כת' דמבואר בתוס' דהיכא דנאמנת מדינא [בגדרי עדות] ל"מ אמתלא</w:t>
      </w:r>
      <w:r w:rsidRPr="007119D6">
        <w:rPr>
          <w:rStyle w:val="ac"/>
          <w:rFonts w:ascii="Narkisim" w:hAnsi="Narkisim" w:cs="Narkisim"/>
          <w:rtl/>
        </w:rPr>
        <w:footnoteReference w:id="8107"/>
      </w:r>
      <w:r w:rsidRPr="007119D6">
        <w:rPr>
          <w:rFonts w:ascii="Narkisim" w:hAnsi="Narkisim" w:cs="Narkisim"/>
          <w:rtl/>
        </w:rPr>
        <w:t>.</w:t>
      </w:r>
    </w:p>
    <w:p w14:paraId="2563E03F"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(עח א) הק' דעדות פסולים בעדות אשה לא הוה בגדר 'עדות' [ע' מש"כ בזה לעיל פח.], א"כ אמאי אינו חוזר ומגיד</w:t>
      </w:r>
      <w:r w:rsidRPr="007119D6">
        <w:rPr>
          <w:rStyle w:val="ac"/>
          <w:rFonts w:ascii="Narkisim" w:hAnsi="Narkisim"/>
          <w:rtl/>
        </w:rPr>
        <w:footnoteReference w:id="8108"/>
      </w:r>
      <w:r w:rsidRPr="007119D6">
        <w:rPr>
          <w:rFonts w:ascii="Narkisim" w:hAnsi="Narkisim"/>
          <w:rtl/>
        </w:rPr>
        <w:t>.</w:t>
      </w:r>
    </w:p>
    <w:p w14:paraId="039E9945" w14:textId="77777777" w:rsidR="006C4368" w:rsidRPr="007119D6" w:rsidRDefault="006C4368" w:rsidP="006C4368">
      <w:pPr>
        <w:bidi/>
        <w:rPr>
          <w:rFonts w:ascii="Narkisim" w:hAnsi="Narkisim" w:cs="Narkisim"/>
        </w:rPr>
      </w:pPr>
      <w:r w:rsidRPr="007119D6">
        <w:rPr>
          <w:rFonts w:ascii="Narkisim" w:hAnsi="Narkisim" w:cs="Narkisim"/>
          <w:u w:val="single"/>
          <w:rtl/>
        </w:rPr>
        <w:t>א"ל רבינא לרבא המזכה גט לאשתו במקום קטטה וכו'</w:t>
      </w:r>
      <w:r w:rsidRPr="007119D6">
        <w:rPr>
          <w:rFonts w:ascii="Narkisim" w:hAnsi="Narkisim" w:cs="Narkisim"/>
          <w:rtl/>
        </w:rPr>
        <w:t>. וה</w:t>
      </w:r>
      <w:r w:rsidRPr="007119D6">
        <w:rPr>
          <w:rFonts w:ascii="Narkisim" w:hAnsi="Narkisim" w:cs="Narkisim"/>
          <w:b/>
          <w:bCs/>
          <w:rtl/>
        </w:rPr>
        <w:t>ירושלמי</w:t>
      </w:r>
      <w:r w:rsidRPr="007119D6">
        <w:rPr>
          <w:rFonts w:ascii="Narkisim" w:hAnsi="Narkisim" w:cs="Narkisim"/>
          <w:rtl/>
        </w:rPr>
        <w:t xml:space="preserve"> (גיטין א ה, הו' בתוס' גיטין יא:) מקשה הגע עצמך אשתו של מוכה שחין, הרי זכות הוא לה</w:t>
      </w:r>
      <w:r w:rsidRPr="007119D6">
        <w:rPr>
          <w:rStyle w:val="ac"/>
          <w:rFonts w:ascii="Narkisim" w:hAnsi="Narkisim" w:cs="Narkisim"/>
          <w:rtl/>
        </w:rPr>
        <w:footnoteReference w:id="8109"/>
      </w:r>
      <w:r w:rsidRPr="007119D6">
        <w:rPr>
          <w:rFonts w:ascii="Narkisim" w:hAnsi="Narkisim" w:cs="Narkisim"/>
          <w:rtl/>
        </w:rPr>
        <w:t>. והירושלמי לא תי' אמאי אשת מוכת שחין לא חשיב זכות. וה</w:t>
      </w:r>
      <w:r w:rsidRPr="007119D6">
        <w:rPr>
          <w:rFonts w:ascii="Narkisim" w:hAnsi="Narkisim" w:cs="Narkisim"/>
          <w:b/>
          <w:bCs/>
          <w:rtl/>
        </w:rPr>
        <w:t>תוס' רא"ש</w:t>
      </w:r>
      <w:r w:rsidRPr="007119D6">
        <w:rPr>
          <w:rFonts w:ascii="Narkisim" w:hAnsi="Narkisim" w:cs="Narkisim"/>
          <w:rtl/>
        </w:rPr>
        <w:t xml:space="preserve"> (גיטין יא:) כת' דסמך אטעם דטב למיתב טן דו [ואף במוכה שחין]. וכן ה</w:t>
      </w:r>
      <w:r w:rsidRPr="007119D6">
        <w:rPr>
          <w:rFonts w:ascii="Narkisim" w:hAnsi="Narkisim" w:cs="Narkisim"/>
          <w:b/>
          <w:bCs/>
          <w:rtl/>
        </w:rPr>
        <w:t>רשב"א</w:t>
      </w:r>
      <w:r w:rsidRPr="007119D6">
        <w:rPr>
          <w:rFonts w:ascii="Narkisim" w:hAnsi="Narkisim" w:cs="Narkisim"/>
          <w:rtl/>
        </w:rPr>
        <w:t xml:space="preserve"> (כאן) הביא דמסקנת הירושלמי דלא [הוה זכות]</w:t>
      </w:r>
      <w:r w:rsidRPr="007119D6">
        <w:rPr>
          <w:rStyle w:val="ac"/>
          <w:rFonts w:ascii="Narkisim" w:hAnsi="Narkisim" w:cs="Narkisim"/>
          <w:rtl/>
        </w:rPr>
        <w:footnoteReference w:id="8110"/>
      </w:r>
      <w:r w:rsidRPr="007119D6">
        <w:rPr>
          <w:rFonts w:ascii="Narkisim" w:hAnsi="Narkisim" w:cs="Narkisim"/>
          <w:rtl/>
        </w:rPr>
        <w:t>. אבל ה</w:t>
      </w:r>
      <w:r w:rsidRPr="007119D6">
        <w:rPr>
          <w:rFonts w:ascii="Narkisim" w:hAnsi="Narkisim" w:cs="Narkisim"/>
          <w:b/>
          <w:bCs/>
          <w:rtl/>
        </w:rPr>
        <w:t>מהרש"א</w:t>
      </w:r>
      <w:r w:rsidRPr="007119D6">
        <w:rPr>
          <w:rFonts w:ascii="Narkisim" w:hAnsi="Narkisim" w:cs="Narkisim"/>
          <w:rtl/>
        </w:rPr>
        <w:t xml:space="preserve"> (שם) כת' דכוונת הירושלמי לתרץ דכיון דא"א להוציא אשה בע"כ כלל</w:t>
      </w:r>
      <w:r w:rsidRPr="007119D6">
        <w:rPr>
          <w:rStyle w:val="ac"/>
          <w:rFonts w:ascii="Narkisim" w:hAnsi="Narkisim" w:cs="Narkisim"/>
          <w:rtl/>
        </w:rPr>
        <w:footnoteReference w:id="8111"/>
      </w:r>
      <w:r w:rsidRPr="007119D6">
        <w:rPr>
          <w:rFonts w:ascii="Narkisim" w:hAnsi="Narkisim" w:cs="Narkisim"/>
          <w:rtl/>
        </w:rPr>
        <w:t>, מש"ה נחשב דעדיין היא ברשותו</w:t>
      </w:r>
      <w:r w:rsidRPr="007119D6">
        <w:rPr>
          <w:rStyle w:val="ac"/>
          <w:rFonts w:ascii="Narkisim" w:hAnsi="Narkisim" w:cs="Narkisim"/>
          <w:rtl/>
        </w:rPr>
        <w:footnoteReference w:id="8112"/>
      </w:r>
      <w:r w:rsidRPr="007119D6">
        <w:rPr>
          <w:rFonts w:ascii="Narkisim" w:hAnsi="Narkisim" w:cs="Narkisim"/>
          <w:rtl/>
        </w:rPr>
        <w:t>. ומש"ה ל"מ זכין</w:t>
      </w:r>
      <w:r w:rsidRPr="007119D6">
        <w:rPr>
          <w:rStyle w:val="ac"/>
          <w:rFonts w:ascii="Narkisim" w:hAnsi="Narkisim" w:cs="Narkisim"/>
          <w:rtl/>
        </w:rPr>
        <w:footnoteReference w:id="8113"/>
      </w:r>
      <w:r w:rsidRPr="007119D6">
        <w:rPr>
          <w:rFonts w:ascii="Narkisim" w:hAnsi="Narkisim" w:cs="Narkisim"/>
          <w:rtl/>
        </w:rPr>
        <w:t>. [</w:t>
      </w:r>
      <w:r w:rsidRPr="007119D6">
        <w:rPr>
          <w:rFonts w:ascii="Narkisim" w:hAnsi="Narkisim" w:cs="Narkisim"/>
          <w:szCs w:val="20"/>
          <w:rtl/>
        </w:rPr>
        <w:t>וצ”ע דבסוגיין מבואר דאילו הוה זכות מהני מדין זכין. ויל”פ דזכות גמור מהני. אלא כיון דלא הוה זכות גמור ל"מ</w:t>
      </w:r>
      <w:r w:rsidRPr="007119D6">
        <w:rPr>
          <w:rFonts w:ascii="Narkisim" w:hAnsi="Narkisim" w:cs="Narkisim"/>
          <w:rtl/>
        </w:rPr>
        <w:t>].</w:t>
      </w:r>
    </w:p>
    <w:p w14:paraId="766AB15F" w14:textId="77777777" w:rsidR="006C4368" w:rsidRPr="007119D6" w:rsidRDefault="006C4368" w:rsidP="006C4368">
      <w:pPr>
        <w:bidi/>
        <w:rPr>
          <w:rFonts w:ascii="Narkisim" w:hAnsi="Narkisim" w:cs="Narkisim"/>
        </w:rPr>
      </w:pPr>
      <w:r w:rsidRPr="007119D6">
        <w:rPr>
          <w:rFonts w:ascii="Narkisim" w:hAnsi="Narkisim" w:cs="Narkisim"/>
          <w:u w:val="single"/>
          <w:rtl/>
        </w:rPr>
        <w:t>או דלמא ניחא דגופא עדיף לה וכו'</w:t>
      </w:r>
      <w:r w:rsidRPr="007119D6">
        <w:rPr>
          <w:rFonts w:ascii="Narkisim" w:hAnsi="Narkisim" w:cs="Narkisim"/>
          <w:rtl/>
        </w:rPr>
        <w:t>. [דשמא ניחא דגופה ניח"ל, ומש"ה לא ידעינן דהוה זכות לו]. וה</w:t>
      </w:r>
      <w:r w:rsidRPr="007119D6">
        <w:rPr>
          <w:rFonts w:ascii="Narkisim" w:hAnsi="Narkisim" w:cs="Narkisim"/>
          <w:b/>
          <w:bCs/>
          <w:rtl/>
        </w:rPr>
        <w:t>ריטב"א</w:t>
      </w:r>
      <w:r w:rsidRPr="007119D6">
        <w:rPr>
          <w:rFonts w:ascii="Narkisim" w:hAnsi="Narkisim" w:cs="Narkisim"/>
          <w:rtl/>
        </w:rPr>
        <w:t xml:space="preserve"> הביא בשם ה</w:t>
      </w:r>
      <w:r w:rsidRPr="007119D6">
        <w:rPr>
          <w:rFonts w:ascii="Narkisim" w:hAnsi="Narkisim" w:cs="Narkisim"/>
          <w:b/>
          <w:bCs/>
          <w:rtl/>
        </w:rPr>
        <w:t>רא"ה</w:t>
      </w:r>
      <w:r w:rsidRPr="007119D6">
        <w:rPr>
          <w:rFonts w:ascii="Narkisim" w:hAnsi="Narkisim" w:cs="Narkisim"/>
          <w:rtl/>
        </w:rPr>
        <w:t xml:space="preserve"> (ע"ע ריטב"א קידושין כב:) דל"מ אפי' שאח"כ גילתה דעתה דניח"ל. דבמילתא שהוא חוב ל"מ זכין למפרע, אף דלכי ידעה אמרה דניחא לה. [ועד"ז כת' הרמב"ן חולין לט:, והו' בה"ה זכיה ד ב]</w:t>
      </w:r>
      <w:r w:rsidRPr="007119D6">
        <w:rPr>
          <w:rStyle w:val="ac"/>
          <w:rFonts w:ascii="Narkisim" w:hAnsi="Narkisim" w:cs="Narkisim"/>
          <w:rtl/>
        </w:rPr>
        <w:footnoteReference w:id="8114"/>
      </w:r>
      <w:r w:rsidRPr="007119D6">
        <w:rPr>
          <w:rFonts w:ascii="Narkisim" w:hAnsi="Narkisim" w:cs="Narkisim"/>
          <w:rtl/>
        </w:rPr>
        <w:t>.</w:t>
      </w:r>
    </w:p>
    <w:p w14:paraId="76238A63" w14:textId="77777777" w:rsidR="006C4368" w:rsidRPr="007119D6" w:rsidRDefault="006C4368" w:rsidP="006C4368">
      <w:pPr>
        <w:bidi/>
        <w:rPr>
          <w:rFonts w:ascii="Narkisim" w:hAnsi="Narkisim" w:cs="Narkisim"/>
        </w:rPr>
      </w:pPr>
      <w:r w:rsidRPr="007119D6">
        <w:rPr>
          <w:rFonts w:ascii="Narkisim" w:hAnsi="Narkisim" w:cs="Narkisim"/>
          <w:u w:val="single"/>
          <w:rtl/>
        </w:rPr>
        <w:t>ת"ש דאר"ל טב למיתב טן דו וכו'</w:t>
      </w:r>
      <w:r w:rsidRPr="007119D6">
        <w:rPr>
          <w:rFonts w:ascii="Narkisim" w:hAnsi="Narkisim" w:cs="Narkisim"/>
          <w:rtl/>
        </w:rPr>
        <w:t>. משמע דכ"ה למסקנא דלא מהני זכין [וכ"כ ה</w:t>
      </w:r>
      <w:r w:rsidRPr="007119D6">
        <w:rPr>
          <w:rFonts w:ascii="Narkisim" w:hAnsi="Narkisim" w:cs="Narkisim"/>
          <w:b/>
          <w:bCs/>
          <w:rtl/>
        </w:rPr>
        <w:t>רשב"א</w:t>
      </w:r>
      <w:r w:rsidRPr="007119D6">
        <w:rPr>
          <w:rFonts w:ascii="Narkisim" w:hAnsi="Narkisim" w:cs="Narkisim"/>
          <w:rtl/>
        </w:rPr>
        <w:t xml:space="preserve"> וה</w:t>
      </w:r>
      <w:r w:rsidRPr="007119D6">
        <w:rPr>
          <w:rFonts w:ascii="Narkisim" w:hAnsi="Narkisim" w:cs="Narkisim"/>
          <w:b/>
          <w:bCs/>
          <w:rtl/>
        </w:rPr>
        <w:t>נמוק"י</w:t>
      </w:r>
      <w:r w:rsidRPr="007119D6">
        <w:rPr>
          <w:rFonts w:ascii="Narkisim" w:hAnsi="Narkisim" w:cs="Narkisim"/>
          <w:rtl/>
        </w:rPr>
        <w:t>]. אבל ה</w:t>
      </w:r>
      <w:r w:rsidRPr="007119D6">
        <w:rPr>
          <w:rFonts w:ascii="Narkisim" w:hAnsi="Narkisim" w:cs="Narkisim"/>
          <w:b/>
          <w:bCs/>
          <w:rtl/>
        </w:rPr>
        <w:t>ר”ן</w:t>
      </w:r>
      <w:r w:rsidRPr="007119D6">
        <w:rPr>
          <w:rFonts w:ascii="Narkisim" w:hAnsi="Narkisim" w:cs="Narkisim"/>
          <w:rtl/>
        </w:rPr>
        <w:t xml:space="preserve"> (גיטין סב: כח. בדה”ר) הביא דלא איפשיט בעיין</w:t>
      </w:r>
      <w:r w:rsidRPr="007119D6">
        <w:rPr>
          <w:rStyle w:val="ac"/>
          <w:rFonts w:ascii="Narkisim" w:hAnsi="Narkisim" w:cs="Narkisim"/>
          <w:rtl/>
        </w:rPr>
        <w:footnoteReference w:id="8115"/>
      </w:r>
      <w:r w:rsidRPr="007119D6">
        <w:rPr>
          <w:rFonts w:ascii="Narkisim" w:hAnsi="Narkisim" w:cs="Narkisim"/>
          <w:rtl/>
        </w:rPr>
        <w:t>. וה</w:t>
      </w:r>
      <w:r w:rsidRPr="007119D6">
        <w:rPr>
          <w:rFonts w:ascii="Narkisim" w:hAnsi="Narkisim" w:cs="Narkisim"/>
          <w:b/>
          <w:bCs/>
          <w:rtl/>
        </w:rPr>
        <w:t>ב”י</w:t>
      </w:r>
      <w:r w:rsidRPr="007119D6">
        <w:rPr>
          <w:rFonts w:ascii="Narkisim" w:hAnsi="Narkisim" w:cs="Narkisim"/>
          <w:rtl/>
        </w:rPr>
        <w:t xml:space="preserve"> (קמ ה) כת' דאפשר שהר"ן מפרש הת"ש לומר דאף כשיש קטטה אכתי מספקא לן דהוה חוב</w:t>
      </w:r>
      <w:r w:rsidRPr="007119D6">
        <w:rPr>
          <w:rStyle w:val="ac"/>
          <w:rFonts w:ascii="Narkisim" w:hAnsi="Narkisim" w:cs="Narkisim"/>
          <w:rtl/>
        </w:rPr>
        <w:footnoteReference w:id="8116"/>
      </w:r>
      <w:r w:rsidRPr="007119D6">
        <w:rPr>
          <w:rFonts w:ascii="Narkisim" w:hAnsi="Narkisim" w:cs="Narkisim"/>
          <w:rtl/>
        </w:rPr>
        <w:t>.</w:t>
      </w:r>
    </w:p>
    <w:p w14:paraId="4C80E1FD"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וה</w:t>
      </w:r>
      <w:r w:rsidRPr="007119D6">
        <w:rPr>
          <w:rFonts w:ascii="Narkisim" w:hAnsi="Narkisim" w:cs="Narkisim"/>
          <w:b/>
          <w:bCs/>
          <w:rtl/>
        </w:rPr>
        <w:t>ירושלמי</w:t>
      </w:r>
      <w:r w:rsidRPr="007119D6">
        <w:rPr>
          <w:rFonts w:ascii="Narkisim" w:hAnsi="Narkisim" w:cs="Narkisim"/>
          <w:rtl/>
        </w:rPr>
        <w:t xml:space="preserve"> (גיטין ו א, הו' ברשב”א כאן) דנה היכא דהאשה צווחת להתגרש נימא </w:t>
      </w:r>
      <w:r w:rsidRPr="007119D6">
        <w:rPr>
          <w:rFonts w:ascii="Narkisim" w:hAnsi="Narkisim" w:cs="Narkisim"/>
          <w:rtl/>
        </w:rPr>
        <w:lastRenderedPageBreak/>
        <w:t>דמהני זכין, ותי' דאפ"ה אמרי' שמא חזרה בה</w:t>
      </w:r>
      <w:r w:rsidRPr="007119D6">
        <w:rPr>
          <w:rStyle w:val="ac"/>
          <w:rFonts w:ascii="Narkisim" w:hAnsi="Narkisim" w:cs="Narkisim"/>
          <w:rtl/>
        </w:rPr>
        <w:footnoteReference w:id="8117"/>
      </w:r>
      <w:r w:rsidRPr="007119D6">
        <w:rPr>
          <w:rFonts w:ascii="Narkisim" w:hAnsi="Narkisim" w:cs="Narkisim"/>
          <w:rtl/>
        </w:rPr>
        <w:t>. אבל ה</w:t>
      </w:r>
      <w:r w:rsidRPr="007119D6">
        <w:rPr>
          <w:rFonts w:ascii="Narkisim" w:hAnsi="Narkisim" w:cs="Narkisim"/>
          <w:b/>
          <w:bCs/>
          <w:rtl/>
        </w:rPr>
        <w:t>טור</w:t>
      </w:r>
      <w:r w:rsidRPr="007119D6">
        <w:rPr>
          <w:rFonts w:ascii="Narkisim" w:hAnsi="Narkisim" w:cs="Narkisim"/>
          <w:rtl/>
        </w:rPr>
        <w:t xml:space="preserve"> (קמ ו) הביא בשם ה</w:t>
      </w:r>
      <w:r w:rsidRPr="007119D6">
        <w:rPr>
          <w:rFonts w:ascii="Narkisim" w:hAnsi="Narkisim" w:cs="Narkisim"/>
          <w:b/>
          <w:bCs/>
          <w:rtl/>
        </w:rPr>
        <w:t>עיטור</w:t>
      </w:r>
      <w:r w:rsidRPr="007119D6">
        <w:rPr>
          <w:rFonts w:ascii="Narkisim" w:hAnsi="Narkisim" w:cs="Narkisim"/>
          <w:rtl/>
        </w:rPr>
        <w:t xml:space="preserve"> שאם גילתה דעתא שרוצה גט יכולה לזכות לה</w:t>
      </w:r>
      <w:r w:rsidRPr="007119D6">
        <w:rPr>
          <w:rStyle w:val="ac"/>
          <w:rFonts w:ascii="Narkisim" w:hAnsi="Narkisim" w:cs="Narkisim"/>
          <w:rtl/>
        </w:rPr>
        <w:footnoteReference w:id="8118"/>
      </w:r>
      <w:r w:rsidRPr="007119D6">
        <w:rPr>
          <w:rFonts w:ascii="Narkisim" w:hAnsi="Narkisim" w:cs="Narkisim"/>
          <w:rtl/>
        </w:rPr>
        <w:t>. והטור חלק</w:t>
      </w:r>
      <w:r w:rsidRPr="007119D6">
        <w:rPr>
          <w:rStyle w:val="ac"/>
          <w:rFonts w:ascii="Narkisim" w:hAnsi="Narkisim" w:cs="Narkisim"/>
          <w:rtl/>
        </w:rPr>
        <w:footnoteReference w:id="8119"/>
      </w:r>
      <w:r w:rsidRPr="007119D6">
        <w:rPr>
          <w:rFonts w:ascii="Narkisim" w:hAnsi="Narkisim" w:cs="Narkisim"/>
          <w:rtl/>
        </w:rPr>
        <w:t>.</w:t>
      </w:r>
    </w:p>
    <w:p w14:paraId="076A81A7"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(גיטין עז:) כת' דהא דמבואר (שם) דגט חוב הוא לה, ול"מ חצר בתורת שליחות [כשאינו סמוך לה]. היינו אף שגילתה דעתה שרוצה להתגרש. כיון דעיקר הגירושין הוה חובה, ואע"פ שמחזרת להתגרש שמא חזרה בה (והביא את דברי הירושלמי הנ”ל). אך הרשב"א כת' היכא דלאחר שנתן את הגט בחצירה, והיא אמרה תזכי לי חצירי מהני [כיון שאמרה בשעת מעשה]. וכה"ג חצר </w:t>
      </w:r>
      <w:r w:rsidRPr="007119D6">
        <w:rPr>
          <w:rFonts w:ascii="Narkisim" w:eastAsia="Narkisim" w:hAnsi="Narkisim"/>
          <w:rtl/>
        </w:rPr>
        <w:t>לא גרע משליחות. ועוד דאפי' אמרה לזרוק לחצר ותזכי לי מהני [וכעין שליח לקבלה].</w:t>
      </w:r>
    </w:p>
    <w:p w14:paraId="1BFC95DF"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ב</w:t>
      </w:r>
      <w:r w:rsidRPr="007119D6">
        <w:rPr>
          <w:rFonts w:ascii="Narkisim" w:hAnsi="Narkisim" w:cs="Narkisim"/>
          <w:b/>
          <w:bCs/>
          <w:rtl/>
        </w:rPr>
        <w:t>הג' מרדכי</w:t>
      </w:r>
      <w:r w:rsidRPr="007119D6">
        <w:rPr>
          <w:rFonts w:ascii="Narkisim" w:hAnsi="Narkisim" w:cs="Narkisim"/>
          <w:rtl/>
        </w:rPr>
        <w:t xml:space="preserve"> (גיטין ס"ס תסז) הביא ד</w:t>
      </w:r>
      <w:r w:rsidRPr="007119D6">
        <w:rPr>
          <w:rFonts w:ascii="Narkisim" w:hAnsi="Narkisim" w:cs="Narkisim"/>
          <w:b/>
          <w:bCs/>
          <w:rtl/>
        </w:rPr>
        <w:t>רש"י</w:t>
      </w:r>
      <w:r w:rsidRPr="007119D6">
        <w:rPr>
          <w:rFonts w:ascii="Narkisim" w:hAnsi="Narkisim" w:cs="Narkisim"/>
          <w:rtl/>
        </w:rPr>
        <w:t xml:space="preserve"> הורה דבמומר זכין גט לאשתו שלא מדעתה. וה</w:t>
      </w:r>
      <w:r w:rsidRPr="007119D6">
        <w:rPr>
          <w:rFonts w:ascii="Narkisim" w:hAnsi="Narkisim" w:cs="Narkisim"/>
          <w:b/>
          <w:bCs/>
          <w:rtl/>
        </w:rPr>
        <w:t>ר"י מלונדרוש</w:t>
      </w:r>
      <w:r w:rsidRPr="007119D6">
        <w:rPr>
          <w:rFonts w:ascii="Narkisim" w:hAnsi="Narkisim" w:cs="Narkisim"/>
          <w:rtl/>
        </w:rPr>
        <w:t xml:space="preserve"> ביאר דהיכא שאנו יודעין בודאי שזכות לאשה, אדם א' יכול לקבל גיטה בלא מדעתה</w:t>
      </w:r>
      <w:r w:rsidRPr="007119D6">
        <w:rPr>
          <w:rStyle w:val="ac"/>
          <w:rFonts w:ascii="Narkisim" w:hAnsi="Narkisim" w:cs="Narkisim"/>
          <w:rtl/>
        </w:rPr>
        <w:footnoteReference w:id="8120"/>
      </w:r>
      <w:r w:rsidRPr="007119D6">
        <w:rPr>
          <w:rFonts w:ascii="Narkisim" w:hAnsi="Narkisim" w:cs="Narkisim"/>
          <w:rtl/>
        </w:rPr>
        <w:t xml:space="preserve">. [וע”ע </w:t>
      </w:r>
      <w:r w:rsidRPr="007119D6">
        <w:rPr>
          <w:rFonts w:ascii="Narkisim" w:hAnsi="Narkisim" w:cs="Narkisim"/>
          <w:b/>
          <w:bCs/>
          <w:rtl/>
        </w:rPr>
        <w:t>מאירי</w:t>
      </w:r>
      <w:r w:rsidRPr="007119D6">
        <w:rPr>
          <w:rFonts w:ascii="Narkisim" w:hAnsi="Narkisim" w:cs="Narkisim"/>
          <w:rtl/>
        </w:rPr>
        <w:t xml:space="preserve"> בסוגיין]. ועד"ז פסק ה</w:t>
      </w:r>
      <w:r w:rsidRPr="007119D6">
        <w:rPr>
          <w:rFonts w:ascii="Narkisim" w:hAnsi="Narkisim" w:cs="Narkisim"/>
          <w:b/>
          <w:bCs/>
          <w:rtl/>
        </w:rPr>
        <w:t>רמ"א</w:t>
      </w:r>
      <w:r w:rsidRPr="007119D6">
        <w:rPr>
          <w:rFonts w:ascii="Narkisim" w:hAnsi="Narkisim" w:cs="Narkisim"/>
          <w:rtl/>
        </w:rPr>
        <w:t xml:space="preserve"> (קמ ה) דבאשת מומר היכא דידעינן שמחזרת אחר גט, דמהני זכין. והביא דיש מחמירים</w:t>
      </w:r>
      <w:r w:rsidRPr="007119D6">
        <w:rPr>
          <w:rStyle w:val="ac"/>
          <w:rFonts w:ascii="Narkisim" w:hAnsi="Narkisim" w:cs="Narkisim"/>
          <w:rtl/>
        </w:rPr>
        <w:footnoteReference w:id="8121"/>
      </w:r>
      <w:r w:rsidRPr="007119D6">
        <w:rPr>
          <w:rFonts w:ascii="Narkisim" w:hAnsi="Narkisim" w:cs="Narkisim"/>
          <w:rtl/>
        </w:rPr>
        <w:t>.</w:t>
      </w:r>
    </w:p>
    <w:p w14:paraId="440E5A50" w14:textId="77777777" w:rsidR="006C4368" w:rsidRPr="007119D6" w:rsidRDefault="006C4368" w:rsidP="006C4368">
      <w:pPr>
        <w:bidi/>
        <w:rPr>
          <w:rFonts w:ascii="Narkisim" w:hAnsi="Narkisim" w:cs="Narkisim"/>
        </w:rPr>
      </w:pPr>
      <w:r w:rsidRPr="007119D6">
        <w:rPr>
          <w:rFonts w:ascii="Narkisim" w:hAnsi="Narkisim" w:cs="Narkisim"/>
          <w:rtl/>
        </w:rPr>
        <w:t>ועוד פסק ה</w:t>
      </w:r>
      <w:r w:rsidRPr="007119D6">
        <w:rPr>
          <w:rFonts w:ascii="Narkisim" w:hAnsi="Narkisim" w:cs="Narkisim"/>
          <w:b/>
          <w:bCs/>
          <w:rtl/>
        </w:rPr>
        <w:t>רמ"א</w:t>
      </w:r>
      <w:r w:rsidRPr="007119D6">
        <w:rPr>
          <w:rFonts w:ascii="Narkisim" w:hAnsi="Narkisim" w:cs="Narkisim"/>
          <w:rtl/>
        </w:rPr>
        <w:t xml:space="preserve"> (קמ ה, בשם האו”ז גיטין תשו, הו' בהג' אשר”י גיטין א יג) בדאשה שנאסרת על בעלה אפשר לזכות גט</w:t>
      </w:r>
      <w:r w:rsidRPr="007119D6">
        <w:rPr>
          <w:rStyle w:val="ac"/>
          <w:rFonts w:ascii="Narkisim" w:hAnsi="Narkisim" w:cs="Narkisim"/>
          <w:rtl/>
        </w:rPr>
        <w:footnoteReference w:id="8122"/>
      </w:r>
      <w:r w:rsidRPr="007119D6">
        <w:rPr>
          <w:rFonts w:ascii="Narkisim" w:hAnsi="Narkisim" w:cs="Narkisim"/>
          <w:rtl/>
        </w:rPr>
        <w:t>, ויש מחמירים [ועי”ש בבי”ש].</w:t>
      </w:r>
    </w:p>
    <w:p w14:paraId="75AB81C8" w14:textId="77777777" w:rsidR="006C4368" w:rsidRPr="007119D6" w:rsidRDefault="006C4368" w:rsidP="006C4368">
      <w:pPr>
        <w:pStyle w:val="Standard"/>
        <w:autoSpaceDE w:val="0"/>
        <w:bidi/>
        <w:jc w:val="left"/>
        <w:rPr>
          <w:rFonts w:ascii="Narkisim" w:eastAsia="Narkisim" w:hAnsi="Narkisim"/>
          <w:sz w:val="12"/>
          <w:szCs w:val="12"/>
        </w:rPr>
      </w:pPr>
    </w:p>
    <w:p w14:paraId="4F9EC3E0" w14:textId="77777777" w:rsidR="006C4368" w:rsidRPr="007119D6" w:rsidRDefault="006C4368" w:rsidP="006C4368">
      <w:pPr>
        <w:pStyle w:val="2"/>
        <w:bidi/>
        <w:rPr>
          <w:rFonts w:ascii="Narkisim" w:hAnsi="Narkisim"/>
        </w:rPr>
      </w:pPr>
      <w:r w:rsidRPr="007119D6">
        <w:rPr>
          <w:rFonts w:ascii="Narkisim" w:hAnsi="Narkisim"/>
          <w:rtl/>
        </w:rPr>
        <w:t>הדרן עלך פרק האשה שלום</w:t>
      </w:r>
    </w:p>
    <w:p w14:paraId="18CD49B6" w14:textId="77777777" w:rsidR="006C4368" w:rsidRPr="007119D6" w:rsidRDefault="006C4368" w:rsidP="006C4368">
      <w:pPr>
        <w:pStyle w:val="2"/>
        <w:pageBreakBefore/>
        <w:bidi/>
        <w:rPr>
          <w:rFonts w:ascii="Narkisim" w:hAnsi="Narkisim"/>
        </w:rPr>
      </w:pPr>
      <w:r w:rsidRPr="007119D6">
        <w:rPr>
          <w:rFonts w:ascii="Narkisim" w:hAnsi="Narkisim"/>
          <w:rtl/>
        </w:rPr>
        <w:lastRenderedPageBreak/>
        <w:t>בס"ד</w:t>
      </w:r>
    </w:p>
    <w:p w14:paraId="16917CB9" w14:textId="77777777" w:rsidR="006C4368" w:rsidRPr="007119D6" w:rsidRDefault="006C4368" w:rsidP="006C4368">
      <w:pPr>
        <w:pStyle w:val="3"/>
        <w:bidi/>
        <w:rPr>
          <w:rFonts w:ascii="Narkisim" w:hAnsi="Narkisim"/>
        </w:rPr>
      </w:pPr>
      <w:r w:rsidRPr="007119D6">
        <w:rPr>
          <w:rFonts w:ascii="Narkisim" w:hAnsi="Narkisim"/>
          <w:rtl/>
        </w:rPr>
        <w:t>דף קיט.</w:t>
      </w:r>
    </w:p>
    <w:p w14:paraId="666A821F" w14:textId="77777777" w:rsidR="006C4368" w:rsidRPr="007119D6" w:rsidRDefault="006C4368" w:rsidP="006C4368">
      <w:pPr>
        <w:pStyle w:val="1"/>
        <w:bidi/>
        <w:rPr>
          <w:rFonts w:ascii="Narkisim" w:hAnsi="Narkisim"/>
        </w:rPr>
      </w:pPr>
      <w:r w:rsidRPr="007119D6">
        <w:rPr>
          <w:rFonts w:ascii="Narkisim" w:hAnsi="Narkisim"/>
          <w:rtl/>
        </w:rPr>
        <w:t>פרק האשה בתרא</w:t>
      </w:r>
    </w:p>
    <w:p w14:paraId="1F0ED2F4" w14:textId="77777777" w:rsidR="006C4368" w:rsidRPr="007119D6" w:rsidRDefault="006C4368" w:rsidP="006C4368">
      <w:pPr>
        <w:bidi/>
        <w:rPr>
          <w:rFonts w:ascii="Narkisim" w:hAnsi="Narkisim" w:cs="Narkisim"/>
        </w:rPr>
      </w:pPr>
      <w:r w:rsidRPr="007119D6">
        <w:rPr>
          <w:rFonts w:ascii="Narkisim" w:hAnsi="Narkisim" w:cs="Narkisim"/>
          <w:u w:val="single"/>
          <w:rtl/>
        </w:rPr>
        <w:t>האשה שהלך בעלה וצרתה וכו' שמא מעוברת היא צרתה</w:t>
      </w:r>
      <w:r w:rsidRPr="007119D6">
        <w:rPr>
          <w:rFonts w:ascii="Narkisim" w:hAnsi="Narkisim" w:cs="Narkisim"/>
          <w:rtl/>
        </w:rPr>
        <w:t>. ה</w:t>
      </w:r>
      <w:r w:rsidRPr="007119D6">
        <w:rPr>
          <w:rFonts w:ascii="Narkisim" w:hAnsi="Narkisim" w:cs="Narkisim"/>
          <w:b/>
          <w:bCs/>
          <w:rtl/>
        </w:rPr>
        <w:t>רמב"ם</w:t>
      </w:r>
      <w:r w:rsidRPr="007119D6">
        <w:rPr>
          <w:rFonts w:ascii="Narkisim" w:hAnsi="Narkisim" w:cs="Narkisim"/>
          <w:rtl/>
        </w:rPr>
        <w:t xml:space="preserve"> (יבום ג טז) כת' דדוקא כשהלכה צרתה עם בעלה, אבל זו שהיתה עם בעלה, אי"צ לחשוש לצרתה שבמדינה האחרת, הואיל ולא היתה בעלה עמה במדינה.</w:t>
      </w:r>
    </w:p>
    <w:p w14:paraId="16BF9F81"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תוי"ט</w:t>
      </w:r>
      <w:r w:rsidRPr="007119D6">
        <w:rPr>
          <w:rFonts w:ascii="Narkisim" w:hAnsi="Narkisim"/>
          <w:rtl/>
        </w:rPr>
        <w:t xml:space="preserve"> כת' דפי' כן בתחילת הגמ', דלצרה אחריתי לא חיישינן</w:t>
      </w:r>
      <w:r w:rsidRPr="007119D6">
        <w:rPr>
          <w:rStyle w:val="ac"/>
          <w:rFonts w:ascii="Narkisim" w:hAnsi="Narkisim"/>
          <w:rtl/>
        </w:rPr>
        <w:footnoteReference w:id="8123"/>
      </w:r>
      <w:r w:rsidRPr="007119D6">
        <w:rPr>
          <w:rFonts w:ascii="Narkisim" w:hAnsi="Narkisim"/>
          <w:rtl/>
        </w:rPr>
        <w:t>. וה</w:t>
      </w:r>
      <w:r w:rsidRPr="007119D6">
        <w:rPr>
          <w:rFonts w:ascii="Narkisim" w:hAnsi="Narkisim"/>
          <w:b/>
          <w:bCs/>
          <w:rtl/>
        </w:rPr>
        <w:t>לח"מ</w:t>
      </w:r>
      <w:r w:rsidRPr="007119D6">
        <w:rPr>
          <w:rFonts w:ascii="Narkisim" w:hAnsi="Narkisim"/>
          <w:rtl/>
        </w:rPr>
        <w:t xml:space="preserve"> כת' דהרמב"ם למד כן בדברי זעירי (בע"ב) לעצמה ג' חדשים לחבירתה ט'. והרמב"ם פי' דלעצמה היינו הצרה שבמדינת הים ולחבירתה היינו שבכאן. ורש"י ז"ל לא פירש כן.</w:t>
      </w:r>
    </w:p>
    <w:p w14:paraId="5056C891"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הק' דמ"מ ניחוש שמא נתעברה קודם שהלך הבעל, וכשהלך עדיין לא היה עוברה ניכר. וה</w:t>
      </w:r>
      <w:r w:rsidRPr="007119D6">
        <w:rPr>
          <w:rFonts w:ascii="Narkisim" w:hAnsi="Narkisim"/>
          <w:b/>
          <w:bCs/>
          <w:rtl/>
        </w:rPr>
        <w:t>או"ש</w:t>
      </w:r>
      <w:r w:rsidRPr="007119D6">
        <w:rPr>
          <w:rFonts w:ascii="Narkisim" w:hAnsi="Narkisim"/>
          <w:rtl/>
        </w:rPr>
        <w:t xml:space="preserve"> (שם) תי' דבזמן מועט לא אמרי' רוב נשים מתעברות ויולדות. דדוקא אשה העומדת עם בעלה זמן רב אמרינן דרוב נשים מתעברות ויולדות. [ולא נתפרש שיעור הזמן].</w:t>
      </w:r>
    </w:p>
    <w:p w14:paraId="2C593F10" w14:textId="77777777" w:rsidR="006C4368" w:rsidRPr="007119D6" w:rsidRDefault="006C4368" w:rsidP="006C4368">
      <w:pPr>
        <w:bidi/>
        <w:rPr>
          <w:rFonts w:ascii="Narkisim" w:hAnsi="Narkisim" w:cs="Narkisim"/>
        </w:rPr>
      </w:pPr>
      <w:r w:rsidRPr="007119D6">
        <w:rPr>
          <w:rFonts w:ascii="Narkisim" w:hAnsi="Narkisim" w:cs="Narkisim"/>
          <w:u w:val="single"/>
          <w:rtl/>
        </w:rPr>
        <w:t>הלך אחר רוב נשים, ורוב נשים מתעברות ויולדות</w:t>
      </w:r>
      <w:r w:rsidRPr="007119D6">
        <w:rPr>
          <w:rStyle w:val="ac"/>
          <w:rFonts w:ascii="Narkisim" w:hAnsi="Narkisim" w:cs="Narkisim"/>
          <w:u w:val="single"/>
          <w:rtl/>
        </w:rPr>
        <w:footnoteReference w:id="8124"/>
      </w:r>
      <w:r w:rsidRPr="007119D6">
        <w:rPr>
          <w:rFonts w:ascii="Narkisim" w:hAnsi="Narkisim" w:cs="Narkisim"/>
          <w:u w:val="single"/>
          <w:rtl/>
        </w:rPr>
        <w:t xml:space="preserve"> וכו</w:t>
      </w:r>
      <w:r w:rsidRPr="007119D6">
        <w:rPr>
          <w:rFonts w:ascii="Narkisim" w:hAnsi="Narkisim" w:cs="Narkisim"/>
          <w:rtl/>
        </w:rPr>
        <w:t>'. ה</w:t>
      </w:r>
      <w:r w:rsidRPr="007119D6">
        <w:rPr>
          <w:rFonts w:ascii="Narkisim" w:hAnsi="Narkisim" w:cs="Narkisim"/>
          <w:b/>
          <w:bCs/>
          <w:rtl/>
        </w:rPr>
        <w:t>או”ש</w:t>
      </w:r>
      <w:r w:rsidRPr="007119D6">
        <w:rPr>
          <w:rFonts w:ascii="Narkisim" w:hAnsi="Narkisim" w:cs="Narkisim"/>
          <w:rtl/>
        </w:rPr>
        <w:t xml:space="preserve"> (הנ”ל) ביאר דאשה העומדת עם בעלה זמן רב</w:t>
      </w:r>
      <w:r w:rsidRPr="007119D6">
        <w:rPr>
          <w:rStyle w:val="ac"/>
          <w:rFonts w:ascii="Narkisim" w:hAnsi="Narkisim" w:cs="Narkisim"/>
          <w:rtl/>
        </w:rPr>
        <w:footnoteReference w:id="8125"/>
      </w:r>
      <w:r w:rsidRPr="007119D6">
        <w:rPr>
          <w:rFonts w:ascii="Narkisim" w:hAnsi="Narkisim" w:cs="Narkisim"/>
          <w:rtl/>
        </w:rPr>
        <w:t>, ואנן לא ידעי מה היה במשך זמן הזה אם ילדו בנים או לא, כה”ג אמרי' דרוב מתעברות ויולדות.</w:t>
      </w:r>
    </w:p>
    <w:p w14:paraId="76D5213A" w14:textId="77777777" w:rsidR="006C4368" w:rsidRPr="007119D6" w:rsidRDefault="006C4368" w:rsidP="006C4368">
      <w:pPr>
        <w:bidi/>
        <w:rPr>
          <w:rFonts w:ascii="Narkisim" w:hAnsi="Narkisim" w:cs="Narkisim"/>
        </w:rPr>
      </w:pPr>
      <w:r w:rsidRPr="007119D6">
        <w:rPr>
          <w:rFonts w:ascii="Narkisim" w:hAnsi="Narkisim" w:cs="Narkisim"/>
          <w:rtl/>
        </w:rPr>
        <w:t xml:space="preserve">אבל </w:t>
      </w:r>
      <w:r w:rsidRPr="007119D6">
        <w:rPr>
          <w:rFonts w:ascii="Narkisim" w:hAnsi="Narkisim" w:cs="Narkisim"/>
          <w:b/>
          <w:bCs/>
          <w:rtl/>
        </w:rPr>
        <w:t>תוס'</w:t>
      </w:r>
      <w:r w:rsidRPr="007119D6">
        <w:rPr>
          <w:rFonts w:ascii="Narkisim" w:hAnsi="Narkisim" w:cs="Narkisim"/>
          <w:rtl/>
        </w:rPr>
        <w:t xml:space="preserve"> (לעיל לז.) כת' דבנשים ששהו עם בעליהן כמה שנים ולא עיברו ומתו בעליהם, אין סברא כלל לומר  דאפ"ה רוב מעוברות. ודוקא בסוגיין אמרי' כן.</w:t>
      </w:r>
    </w:p>
    <w:p w14:paraId="696894CB"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סט ד"ה ומעתה) כת' דלא מצאנו שיעור לזה, ונתת דבריך לשיעורין. אלא כל שלא שהו י' שנים עדיין דנים דרוב מתעברות.</w:t>
      </w:r>
    </w:p>
    <w:p w14:paraId="6C213125"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דנו האם המיעוט דאינם יולדות הוה מיעוט דשכיח</w:t>
      </w:r>
      <w:r w:rsidRPr="007119D6">
        <w:rPr>
          <w:rStyle w:val="ac"/>
          <w:rFonts w:ascii="Narkisim" w:hAnsi="Narkisim"/>
          <w:rtl/>
        </w:rPr>
        <w:footnoteReference w:id="8126"/>
      </w:r>
      <w:r w:rsidRPr="007119D6">
        <w:rPr>
          <w:rFonts w:ascii="Narkisim" w:hAnsi="Narkisim"/>
          <w:rtl/>
        </w:rPr>
        <w:t>. וה</w:t>
      </w:r>
      <w:r w:rsidRPr="007119D6">
        <w:rPr>
          <w:rFonts w:ascii="Narkisim" w:hAnsi="Narkisim"/>
          <w:b/>
          <w:bCs/>
          <w:rtl/>
        </w:rPr>
        <w:t>מהר"י בן לב</w:t>
      </w:r>
      <w:r w:rsidRPr="007119D6">
        <w:rPr>
          <w:rFonts w:ascii="Narkisim" w:hAnsi="Narkisim"/>
          <w:rtl/>
        </w:rPr>
        <w:t xml:space="preserve"> כת' דהוה מיעוט דשכיח. וה</w:t>
      </w:r>
      <w:r w:rsidRPr="007119D6">
        <w:rPr>
          <w:rFonts w:ascii="Narkisim" w:hAnsi="Narkisim"/>
          <w:b/>
          <w:bCs/>
          <w:rtl/>
        </w:rPr>
        <w:t>חכ"צ</w:t>
      </w:r>
      <w:r w:rsidRPr="007119D6">
        <w:rPr>
          <w:rFonts w:ascii="Narkisim" w:hAnsi="Narkisim"/>
          <w:rtl/>
        </w:rPr>
        <w:t xml:space="preserve"> (מא) חלק דבסוגיין מדמינן ליה למיעוט דסריס ואילונית.</w:t>
      </w:r>
    </w:p>
    <w:p w14:paraId="50674CE1" w14:textId="77777777" w:rsidR="006C4368" w:rsidRPr="007119D6" w:rsidRDefault="006C4368" w:rsidP="006C4368">
      <w:pPr>
        <w:bidi/>
        <w:rPr>
          <w:rFonts w:ascii="Narkisim" w:hAnsi="Narkisim" w:cs="Narkisim"/>
        </w:rPr>
      </w:pPr>
      <w:r w:rsidRPr="007119D6">
        <w:rPr>
          <w:rFonts w:ascii="Narkisim" w:hAnsi="Narkisim" w:cs="Narkisim"/>
          <w:u w:val="single"/>
          <w:rtl/>
        </w:rPr>
        <w:t>הרי קטן וקטנה דרובא דליתא קמן, ואזלי רבנן בתר רובא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הביא דמבואר בגמ' דאזלי' בתר רובא [ועבדינן עובדא בין להקל בין להחמיר] ואפי' במקום דאפשר למיקם אמילתא, ולא נטרינן עד שיתברר הדבר. ואפי' במקום ערוה אזלי' בתר רוב</w:t>
      </w:r>
      <w:r w:rsidRPr="007119D6">
        <w:rPr>
          <w:rStyle w:val="ac"/>
          <w:rFonts w:ascii="Narkisim" w:hAnsi="Narkisim" w:cs="Narkisim"/>
          <w:rtl/>
        </w:rPr>
        <w:footnoteReference w:id="8127"/>
      </w:r>
      <w:r w:rsidRPr="007119D6">
        <w:rPr>
          <w:rFonts w:ascii="Narkisim" w:hAnsi="Narkisim" w:cs="Narkisim"/>
          <w:rtl/>
        </w:rPr>
        <w:t>, דקטן וקטנה הוה במקום ערוה.</w:t>
      </w:r>
    </w:p>
    <w:p w14:paraId="25FD3812" w14:textId="77777777" w:rsidR="006C4368" w:rsidRPr="007119D6" w:rsidRDefault="006C4368" w:rsidP="006C4368">
      <w:pPr>
        <w:pStyle w:val="a8"/>
        <w:bidi/>
        <w:rPr>
          <w:rFonts w:ascii="Narkisim" w:hAnsi="Narkisim"/>
        </w:rPr>
      </w:pPr>
      <w:r w:rsidRPr="007119D6">
        <w:rPr>
          <w:rFonts w:ascii="Narkisim" w:hAnsi="Narkisim"/>
          <w:rtl/>
        </w:rPr>
        <w:t>והביא דאף טריפות דאפשר לברורי אי"צ לבדוק אחריו</w:t>
      </w:r>
      <w:r w:rsidRPr="007119D6">
        <w:rPr>
          <w:rStyle w:val="ac"/>
          <w:rFonts w:ascii="Narkisim" w:hAnsi="Narkisim"/>
          <w:rtl/>
        </w:rPr>
        <w:footnoteReference w:id="8128"/>
      </w:r>
      <w:r w:rsidRPr="007119D6">
        <w:rPr>
          <w:rFonts w:ascii="Narkisim" w:hAnsi="Narkisim"/>
          <w:rtl/>
        </w:rPr>
        <w:t>. אלא בטריפות דשכיחי.</w:t>
      </w:r>
    </w:p>
    <w:p w14:paraId="7E5CC654"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הק' א"כ נימא דיבמה מעוברת מותרת לשוק, ומדאורייתא אי"צ להמתין עד שתדע אם בן קיימא הוא</w:t>
      </w:r>
      <w:r w:rsidRPr="007119D6">
        <w:rPr>
          <w:rStyle w:val="ac"/>
          <w:rFonts w:ascii="Narkisim" w:hAnsi="Narkisim"/>
          <w:rtl/>
        </w:rPr>
        <w:footnoteReference w:id="8129"/>
      </w:r>
      <w:r w:rsidRPr="007119D6">
        <w:rPr>
          <w:rFonts w:ascii="Narkisim" w:hAnsi="Narkisim"/>
          <w:rtl/>
        </w:rPr>
        <w:t>. דזיל בתר רוב מעוברות ורובן יולדות ולד מעליא. והרשב"א כת' דודאי מדאורייתא צריכה להמתין עד שיוולד</w:t>
      </w:r>
      <w:r w:rsidRPr="007119D6">
        <w:rPr>
          <w:rStyle w:val="ac"/>
          <w:rFonts w:ascii="Narkisim" w:hAnsi="Narkisim"/>
          <w:rtl/>
        </w:rPr>
        <w:footnoteReference w:id="8130"/>
      </w:r>
      <w:r w:rsidRPr="007119D6">
        <w:rPr>
          <w:rFonts w:ascii="Narkisim" w:hAnsi="Narkisim"/>
          <w:rtl/>
        </w:rPr>
        <w:t>, והביא דדרשי' (לעיל לה:) בן אין לו עיין עליו</w:t>
      </w:r>
      <w:r w:rsidRPr="007119D6">
        <w:rPr>
          <w:rStyle w:val="ac"/>
          <w:rFonts w:ascii="Narkisim" w:hAnsi="Narkisim"/>
          <w:rtl/>
        </w:rPr>
        <w:footnoteReference w:id="8131"/>
      </w:r>
      <w:r w:rsidRPr="007119D6">
        <w:rPr>
          <w:rFonts w:ascii="Narkisim" w:hAnsi="Narkisim"/>
          <w:rtl/>
        </w:rPr>
        <w:t>. ועוד דאי מותרת לשוק, א"כ אף כשהפילה נימא דרכיה דרכי נועם (וכדאי' לעיל פז:) ותהא מותרת</w:t>
      </w:r>
      <w:r w:rsidRPr="007119D6">
        <w:rPr>
          <w:rStyle w:val="ac"/>
          <w:rFonts w:ascii="Narkisim" w:hAnsi="Narkisim"/>
          <w:rtl/>
        </w:rPr>
        <w:footnoteReference w:id="8132"/>
      </w:r>
      <w:r w:rsidRPr="007119D6">
        <w:rPr>
          <w:rFonts w:ascii="Narkisim" w:hAnsi="Narkisim"/>
          <w:rtl/>
        </w:rPr>
        <w:t xml:space="preserve">. אלא ודאי צריכה להמתין דאורייתא, ולא סמכינן ארובא היכא דאיכא למיקם </w:t>
      </w:r>
      <w:r w:rsidRPr="007119D6">
        <w:rPr>
          <w:rFonts w:ascii="Narkisim" w:hAnsi="Narkisim"/>
          <w:rtl/>
        </w:rPr>
        <w:lastRenderedPageBreak/>
        <w:t>אמילתא.</w:t>
      </w:r>
    </w:p>
    <w:p w14:paraId="483182C5" w14:textId="77777777" w:rsidR="006C4368" w:rsidRPr="007119D6" w:rsidRDefault="006C4368" w:rsidP="006C4368">
      <w:pPr>
        <w:pStyle w:val="a7"/>
        <w:bidi/>
        <w:rPr>
          <w:rFonts w:ascii="Narkisim" w:hAnsi="Narkisim"/>
        </w:rPr>
      </w:pPr>
      <w:r w:rsidRPr="007119D6">
        <w:rPr>
          <w:rFonts w:ascii="Narkisim" w:hAnsi="Narkisim"/>
          <w:rtl/>
        </w:rPr>
        <w:t>וכת' די"ל דהתם היבמה עומדת בחזקת יבום, ומש"ה אמרי' סמוך מיעוט מפילות לחזקה והוה כפלגא. [וע”ד הא דאי' בע”ב]. אך דן דהעיבור מוציאתה מחזקת יבום [וכדמבואר בסיפא דמתני'. וע"ע בע"ב]. וכת' דמ"מ לא הוציאה מחזקתה לגמרי</w:t>
      </w:r>
      <w:r w:rsidRPr="007119D6">
        <w:rPr>
          <w:rStyle w:val="ac"/>
          <w:rFonts w:ascii="Narkisim" w:hAnsi="Narkisim"/>
          <w:rtl/>
        </w:rPr>
        <w:footnoteReference w:id="8133"/>
      </w:r>
      <w:r w:rsidRPr="007119D6">
        <w:rPr>
          <w:rFonts w:ascii="Narkisim" w:hAnsi="Narkisim"/>
          <w:rtl/>
        </w:rPr>
        <w:t>.</w:t>
      </w:r>
    </w:p>
    <w:p w14:paraId="2E729BF4" w14:textId="77777777" w:rsidR="006C4368" w:rsidRPr="007119D6" w:rsidRDefault="006C4368" w:rsidP="006C4368">
      <w:pPr>
        <w:pStyle w:val="aa"/>
        <w:bidi/>
        <w:rPr>
          <w:rFonts w:ascii="Narkisim" w:hAnsi="Narkisim"/>
        </w:rPr>
      </w:pPr>
      <w:r w:rsidRPr="007119D6">
        <w:rPr>
          <w:rFonts w:ascii="Narkisim" w:hAnsi="Narkisim"/>
          <w:rtl/>
        </w:rPr>
        <w:t>ובהג' ה</w:t>
      </w:r>
      <w:r w:rsidRPr="007119D6">
        <w:rPr>
          <w:rFonts w:ascii="Narkisim" w:hAnsi="Narkisim"/>
          <w:b/>
          <w:bCs/>
          <w:rtl/>
        </w:rPr>
        <w:t>מהרש"ם</w:t>
      </w:r>
      <w:r w:rsidRPr="007119D6">
        <w:rPr>
          <w:rFonts w:ascii="Narkisim" w:hAnsi="Narkisim"/>
          <w:rtl/>
        </w:rPr>
        <w:t xml:space="preserve"> דן דהוה דבר שיש לו מתירין להמתין עד שיגדל הקטן</w:t>
      </w:r>
      <w:r w:rsidRPr="007119D6">
        <w:rPr>
          <w:rStyle w:val="ac"/>
          <w:rFonts w:ascii="Narkisim" w:hAnsi="Narkisim"/>
          <w:rtl/>
        </w:rPr>
        <w:footnoteReference w:id="8134"/>
      </w:r>
      <w:r w:rsidRPr="007119D6">
        <w:rPr>
          <w:rFonts w:ascii="Narkisim" w:hAnsi="Narkisim"/>
          <w:rtl/>
        </w:rPr>
        <w:t>. ותי' דשהוי מצווה לא משהינן</w:t>
      </w:r>
      <w:r w:rsidRPr="007119D6">
        <w:rPr>
          <w:rStyle w:val="ac"/>
          <w:rFonts w:ascii="Narkisim" w:hAnsi="Narkisim"/>
          <w:rtl/>
        </w:rPr>
        <w:footnoteReference w:id="8135"/>
      </w:r>
      <w:r w:rsidRPr="007119D6">
        <w:rPr>
          <w:rFonts w:ascii="Narkisim" w:hAnsi="Narkisim"/>
          <w:rtl/>
        </w:rPr>
        <w:t xml:space="preserve"> [ומש”ה לא נחשב יש לו מתירין].</w:t>
      </w:r>
    </w:p>
    <w:p w14:paraId="7DD5B80D" w14:textId="77777777" w:rsidR="006C4368" w:rsidRPr="007119D6" w:rsidRDefault="006C4368" w:rsidP="006C4368">
      <w:pPr>
        <w:bidi/>
        <w:rPr>
          <w:rFonts w:ascii="Narkisim" w:hAnsi="Narkisim" w:cs="Narkisim"/>
        </w:rPr>
      </w:pPr>
      <w:r w:rsidRPr="007119D6">
        <w:rPr>
          <w:rFonts w:ascii="Narkisim" w:hAnsi="Narkisim" w:cs="Narkisim"/>
          <w:u w:val="single"/>
          <w:rtl/>
        </w:rPr>
        <w:t>תוד"ה ואמאי</w:t>
      </w:r>
      <w:r w:rsidRPr="007119D6">
        <w:rPr>
          <w:rFonts w:ascii="Narkisim" w:hAnsi="Narkisim" w:cs="Narkisim"/>
          <w:rtl/>
        </w:rPr>
        <w:t>. וא"ת וכו' במיגו שעדיין בני קיים, וסמכינן ארוב נשים מתעברות ויולדות. דכל אשה שלא ידעינן אי יש לה בנים תהא מותרת לינשא ע"פ הך רוב. [ועי"ז אף כשאומרת מת בני תהא נאמנת במיגו</w:t>
      </w:r>
      <w:r w:rsidRPr="007119D6">
        <w:rPr>
          <w:rStyle w:val="ac"/>
          <w:rFonts w:ascii="Narkisim" w:hAnsi="Narkisim" w:cs="Narkisim"/>
          <w:rtl/>
        </w:rPr>
        <w:footnoteReference w:id="8136"/>
      </w:r>
      <w:r w:rsidRPr="007119D6">
        <w:rPr>
          <w:rFonts w:ascii="Narkisim" w:hAnsi="Narkisim" w:cs="Narkisim"/>
          <w:rtl/>
        </w:rPr>
        <w:t>].</w:t>
      </w:r>
    </w:p>
    <w:p w14:paraId="0B02D7D1"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רמב”ן</w:t>
      </w:r>
      <w:r w:rsidRPr="007119D6">
        <w:rPr>
          <w:rFonts w:ascii="Narkisim" w:hAnsi="Narkisim" w:cs="Narkisim"/>
          <w:rtl/>
        </w:rPr>
        <w:t xml:space="preserve"> תי' דכיון שהיא באה, ולא בא בנה עמה, ולא שמענו שיש לה בן עדיין חזקתה עמה שלא היו לה בנים. דכיון דתחלתה וסופה בלא בנים היא לפנינו אין מוציאין אותה מחזקתם של יבום.</w:t>
      </w:r>
    </w:p>
    <w:p w14:paraId="071E219B" w14:textId="77777777" w:rsidR="006C4368" w:rsidRPr="007119D6" w:rsidRDefault="006C4368" w:rsidP="006C4368">
      <w:pPr>
        <w:pStyle w:val="aa"/>
        <w:bidi/>
        <w:rPr>
          <w:rFonts w:ascii="Narkisim" w:hAnsi="Narkisim"/>
        </w:rPr>
      </w:pPr>
      <w:r w:rsidRPr="007119D6">
        <w:rPr>
          <w:rFonts w:ascii="Narkisim" w:hAnsi="Narkisim"/>
          <w:rtl/>
        </w:rPr>
        <w:t>וב</w:t>
      </w:r>
      <w:r w:rsidRPr="007119D6">
        <w:rPr>
          <w:rFonts w:ascii="Narkisim" w:hAnsi="Narkisim"/>
          <w:b/>
          <w:bCs/>
          <w:rtl/>
        </w:rPr>
        <w:t>פסקי הרי"ד</w:t>
      </w:r>
      <w:r w:rsidRPr="007119D6">
        <w:rPr>
          <w:rFonts w:ascii="Narkisim" w:hAnsi="Narkisim"/>
          <w:rtl/>
        </w:rPr>
        <w:t xml:space="preserve"> תי' דדוקא הכא דההיתר תלי בצרתה מהני רוב נשים נתעברות ויולדות. דל"מ חזקת הגוף אצל צרתה. אבל כשאומרת ניתן לי בן במדינת הים, שהיא עצמה ילדה מוקמינן לה אחזקה דאיסורא [ולא אזלי' בתר רובא], דכיון דההיתר תלי בגופה [לומר שנתעברה וילדה] לא אתי רובא ומרע לחזקה דגופה, אלא אמרי' העמד הגוף על חזקתו. שהרי גופה יצא בחזקת שאין לה בן וגם באה לפנינו בלא בן.</w:t>
      </w:r>
    </w:p>
    <w:p w14:paraId="29FBDF06" w14:textId="77777777" w:rsidR="006C4368" w:rsidRPr="007119D6" w:rsidRDefault="006C4368" w:rsidP="006C4368">
      <w:pPr>
        <w:pStyle w:val="aa"/>
        <w:bidi/>
        <w:rPr>
          <w:rFonts w:ascii="Narkisim" w:hAnsi="Narkisim"/>
        </w:rPr>
      </w:pPr>
      <w:r w:rsidRPr="007119D6">
        <w:rPr>
          <w:rFonts w:ascii="Narkisim" w:hAnsi="Narkisim"/>
          <w:u w:val="single"/>
          <w:rtl/>
        </w:rPr>
        <w:t>בא”ד וי”ל דמיירי כגון שיש ב' עדים שאומרים ששניהם מתו</w:t>
      </w:r>
      <w:r w:rsidRPr="007119D6">
        <w:rPr>
          <w:rStyle w:val="ac"/>
          <w:rFonts w:ascii="Narkisim" w:hAnsi="Narkisim"/>
          <w:rtl/>
        </w:rPr>
        <w:footnoteReference w:id="8137"/>
      </w:r>
      <w:r w:rsidRPr="007119D6">
        <w:rPr>
          <w:rFonts w:ascii="Narkisim" w:hAnsi="Narkisim"/>
          <w:rtl/>
        </w:rPr>
        <w:t>. וה</w:t>
      </w:r>
      <w:r w:rsidRPr="007119D6">
        <w:rPr>
          <w:rFonts w:ascii="Narkisim" w:hAnsi="Narkisim"/>
          <w:b/>
          <w:bCs/>
          <w:rtl/>
        </w:rPr>
        <w:t>מהרש"א</w:t>
      </w:r>
      <w:r w:rsidRPr="007119D6">
        <w:rPr>
          <w:rFonts w:ascii="Narkisim" w:hAnsi="Narkisim"/>
          <w:rtl/>
        </w:rPr>
        <w:t xml:space="preserve"> תמה דאי יש עדים שמת הבן האיך נאמנת שמת הבעל קודם</w:t>
      </w:r>
      <w:r w:rsidRPr="007119D6">
        <w:rPr>
          <w:rStyle w:val="ac"/>
          <w:rFonts w:ascii="Narkisim" w:hAnsi="Narkisim"/>
          <w:rtl/>
        </w:rPr>
        <w:footnoteReference w:id="8138"/>
      </w:r>
      <w:r w:rsidRPr="007119D6">
        <w:rPr>
          <w:rFonts w:ascii="Narkisim" w:hAnsi="Narkisim"/>
          <w:rtl/>
        </w:rPr>
        <w:t>. ובשלמא היכא דתלינן שהבן עדיין קיים, היא נאמנת משום הפה שאסר</w:t>
      </w:r>
      <w:r w:rsidRPr="007119D6">
        <w:rPr>
          <w:rStyle w:val="ac"/>
          <w:rFonts w:ascii="Narkisim" w:hAnsi="Narkisim"/>
          <w:rtl/>
        </w:rPr>
        <w:footnoteReference w:id="8139"/>
      </w:r>
      <w:r w:rsidRPr="007119D6">
        <w:rPr>
          <w:rFonts w:ascii="Narkisim" w:hAnsi="Narkisim"/>
          <w:rtl/>
        </w:rPr>
        <w:t>. אבל הכא ליכא הפה שאסר. וצ”ע.</w:t>
      </w:r>
    </w:p>
    <w:p w14:paraId="3EA7A6FF" w14:textId="77777777" w:rsidR="006C4368" w:rsidRPr="007119D6" w:rsidRDefault="006C4368" w:rsidP="006C4368">
      <w:pPr>
        <w:bidi/>
        <w:rPr>
          <w:rFonts w:ascii="Narkisim" w:hAnsi="Narkisim" w:cs="Narkisim"/>
        </w:rPr>
      </w:pPr>
      <w:r w:rsidRPr="007119D6">
        <w:rPr>
          <w:rFonts w:ascii="Narkisim" w:hAnsi="Narkisim" w:cs="Narkisim"/>
          <w:u w:val="single"/>
          <w:rtl/>
        </w:rPr>
        <w:t>לימא ר' מאיר היא דחייש למיעוטא</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(בסוד"ה מחוורתא ובכ”מ) דנו אי ר' מאיר חייש למיעוטא מה"ת או מדרבנן. [ויתבאר שם].</w:t>
      </w:r>
    </w:p>
    <w:p w14:paraId="40BE58DB" w14:textId="77777777" w:rsidR="006C4368" w:rsidRPr="007119D6" w:rsidRDefault="006C4368" w:rsidP="006C4368">
      <w:pPr>
        <w:bidi/>
        <w:rPr>
          <w:rFonts w:ascii="Narkisim" w:hAnsi="Narkisim" w:cs="Narkisim"/>
        </w:rPr>
      </w:pPr>
      <w:r w:rsidRPr="007119D6">
        <w:rPr>
          <w:rFonts w:ascii="Narkisim" w:hAnsi="Narkisim" w:cs="Narkisim"/>
          <w:u w:val="single"/>
          <w:rtl/>
        </w:rPr>
        <w:t>תוד"ה ר' מאיר</w:t>
      </w:r>
      <w:r w:rsidRPr="007119D6">
        <w:rPr>
          <w:rFonts w:ascii="Narkisim" w:hAnsi="Narkisim" w:cs="Narkisim"/>
          <w:rtl/>
        </w:rPr>
        <w:t>. אבל דתלי במעשה לא אזלי' בתר רובא וכו' א"נ אין חשוב תלי במעשה</w:t>
      </w:r>
      <w:r w:rsidRPr="007119D6">
        <w:rPr>
          <w:rStyle w:val="ac"/>
          <w:rFonts w:ascii="Narkisim" w:hAnsi="Narkisim" w:cs="Narkisim"/>
          <w:rtl/>
        </w:rPr>
        <w:footnoteReference w:id="8140"/>
      </w:r>
      <w:r w:rsidRPr="007119D6">
        <w:rPr>
          <w:rFonts w:ascii="Narkisim" w:hAnsi="Narkisim" w:cs="Narkisim"/>
          <w:rtl/>
        </w:rPr>
        <w:t xml:space="preserve"> וכו'. </w:t>
      </w:r>
      <w:r w:rsidRPr="007119D6">
        <w:rPr>
          <w:rFonts w:ascii="Narkisim" w:hAnsi="Narkisim" w:cs="Narkisim"/>
          <w:szCs w:val="20"/>
          <w:rtl/>
        </w:rPr>
        <w:t>[בפשוטו משמע בתוס' דל"מ כיון דלא הוה רוב בטבע. ועוד הביאו דה</w:t>
      </w:r>
      <w:r w:rsidRPr="007119D6">
        <w:rPr>
          <w:rFonts w:ascii="Narkisim" w:hAnsi="Narkisim" w:cs="Narkisim"/>
          <w:b/>
          <w:bCs/>
          <w:szCs w:val="20"/>
          <w:rtl/>
        </w:rPr>
        <w:t>רשב"א</w:t>
      </w:r>
      <w:r w:rsidRPr="007119D6">
        <w:rPr>
          <w:rFonts w:ascii="Narkisim" w:hAnsi="Narkisim" w:cs="Narkisim"/>
          <w:szCs w:val="20"/>
          <w:rtl/>
        </w:rPr>
        <w:t xml:space="preserve"> (חולין יב.) כת' הטעם דהמיעוט אלים דאינו תלוי במעשה, ואילו הרוב תלוי במעשה]</w:t>
      </w:r>
      <w:r w:rsidRPr="007119D6">
        <w:rPr>
          <w:rFonts w:ascii="Narkisim" w:hAnsi="Narkisim" w:cs="Narkisim"/>
          <w:rtl/>
        </w:rPr>
        <w:t>.</w:t>
      </w:r>
    </w:p>
    <w:p w14:paraId="6163A9B1"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בינת אדם</w:t>
      </w:r>
      <w:r w:rsidRPr="007119D6">
        <w:rPr>
          <w:rFonts w:ascii="Narkisim" w:hAnsi="Narkisim"/>
          <w:rtl/>
        </w:rPr>
        <w:t xml:space="preserve"> (שער רוב וקבוע ד) חקר האם סברת רוב התלוי במעשה הוה מדאורייתא</w:t>
      </w:r>
      <w:r w:rsidRPr="007119D6">
        <w:rPr>
          <w:rStyle w:val="ac"/>
          <w:rFonts w:ascii="Narkisim" w:hAnsi="Narkisim"/>
          <w:rtl/>
        </w:rPr>
        <w:footnoteReference w:id="8141"/>
      </w:r>
      <w:r w:rsidRPr="007119D6">
        <w:rPr>
          <w:rFonts w:ascii="Narkisim" w:hAnsi="Narkisim"/>
          <w:rtl/>
        </w:rPr>
        <w:t xml:space="preserve"> או מדרבנן [והחמירו שלא לסמוך על הרוב</w:t>
      </w:r>
      <w:r w:rsidRPr="007119D6">
        <w:rPr>
          <w:rStyle w:val="ac"/>
          <w:rFonts w:ascii="Narkisim" w:hAnsi="Narkisim"/>
          <w:rtl/>
        </w:rPr>
        <w:footnoteReference w:id="8142"/>
      </w:r>
      <w:r w:rsidRPr="007119D6">
        <w:rPr>
          <w:rFonts w:ascii="Narkisim" w:hAnsi="Narkisim"/>
          <w:rtl/>
        </w:rPr>
        <w:t>]. וצ"ע. ועוד דן דשמא דוקא כנגד חזקה ל"מ רוב התלוי במעשה.</w:t>
      </w:r>
    </w:p>
    <w:p w14:paraId="4771C6DD"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בינת אדם</w:t>
      </w:r>
      <w:r w:rsidRPr="007119D6">
        <w:rPr>
          <w:rFonts w:ascii="Narkisim" w:hAnsi="Narkisim"/>
          <w:rtl/>
        </w:rPr>
        <w:t xml:space="preserve"> (שם ו) הק' האיך מהני רוב דמצויין אצל שחיטה מומחים</w:t>
      </w:r>
      <w:r w:rsidRPr="007119D6">
        <w:rPr>
          <w:rStyle w:val="ac"/>
          <w:rFonts w:ascii="Narkisim" w:hAnsi="Narkisim"/>
          <w:rtl/>
        </w:rPr>
        <w:footnoteReference w:id="8143"/>
      </w:r>
      <w:r w:rsidRPr="007119D6">
        <w:rPr>
          <w:rFonts w:ascii="Narkisim" w:hAnsi="Narkisim"/>
          <w:rtl/>
        </w:rPr>
        <w:t xml:space="preserve">, הא תלוי במעשה. ותי' דהוה </w:t>
      </w:r>
      <w:r w:rsidRPr="007119D6">
        <w:rPr>
          <w:rFonts w:ascii="Narkisim" w:hAnsi="Narkisim"/>
          <w:rtl/>
        </w:rPr>
        <w:lastRenderedPageBreak/>
        <w:t>אומדנא ודבר טבעי שאין אדם מתעסק בשחיטה אלא אם כן הוא מומחה, ומש"ה לא נחשב תלוי במעשה. ויש שתי' דהתם המיעוט ג"כ תלוי במעשה [דאדם שאינו מומחה ששחט הוה ג”כ מעשה].</w:t>
      </w:r>
    </w:p>
    <w:p w14:paraId="72E6E4C6" w14:textId="77777777" w:rsidR="006C4368" w:rsidRPr="007119D6" w:rsidRDefault="006C4368" w:rsidP="006C4368">
      <w:pPr>
        <w:bidi/>
        <w:rPr>
          <w:rFonts w:ascii="Narkisim" w:hAnsi="Narkisim" w:cs="Narkisim"/>
        </w:rPr>
      </w:pPr>
      <w:r w:rsidRPr="007119D6">
        <w:rPr>
          <w:rFonts w:ascii="Narkisim" w:hAnsi="Narkisim" w:cs="Narkisim"/>
          <w:u w:val="single"/>
          <w:rtl/>
        </w:rPr>
        <w:t>בא"ד וי"ל דהכא כרבא דל"ל ההוא שנויא</w:t>
      </w:r>
      <w:r w:rsidRPr="007119D6">
        <w:rPr>
          <w:rFonts w:ascii="Narkisim" w:hAnsi="Narkisim" w:cs="Narkisim"/>
          <w:rtl/>
        </w:rPr>
        <w:t>. ועד"ז כת' ה</w:t>
      </w:r>
      <w:r w:rsidRPr="007119D6">
        <w:rPr>
          <w:rFonts w:ascii="Narkisim" w:hAnsi="Narkisim" w:cs="Narkisim"/>
          <w:b/>
          <w:bCs/>
          <w:rtl/>
        </w:rPr>
        <w:t>רמב"ן</w:t>
      </w:r>
      <w:r w:rsidRPr="007119D6">
        <w:rPr>
          <w:rFonts w:ascii="Narkisim" w:hAnsi="Narkisim" w:cs="Narkisim"/>
          <w:rtl/>
        </w:rPr>
        <w:t xml:space="preserve"> (בתי' הא') דאף דבסוגיין מבואר דמתני' כר' מאיר, וקי"ל דלא חיישינן למיעוטא. אפ"ה ה</w:t>
      </w:r>
      <w:r w:rsidRPr="007119D6">
        <w:rPr>
          <w:rFonts w:ascii="Narkisim" w:hAnsi="Narkisim" w:cs="Narkisim"/>
          <w:b/>
          <w:bCs/>
          <w:rtl/>
        </w:rPr>
        <w:t>רי"ף</w:t>
      </w:r>
      <w:r w:rsidRPr="007119D6">
        <w:rPr>
          <w:rFonts w:ascii="Narkisim" w:hAnsi="Narkisim" w:cs="Narkisim"/>
          <w:rtl/>
        </w:rPr>
        <w:t xml:space="preserve"> וה</w:t>
      </w:r>
      <w:r w:rsidRPr="007119D6">
        <w:rPr>
          <w:rFonts w:ascii="Narkisim" w:hAnsi="Narkisim" w:cs="Narkisim"/>
          <w:b/>
          <w:bCs/>
          <w:rtl/>
        </w:rPr>
        <w:t>פוסקים</w:t>
      </w:r>
      <w:r w:rsidRPr="007119D6">
        <w:rPr>
          <w:rFonts w:ascii="Narkisim" w:hAnsi="Narkisim" w:cs="Narkisim"/>
          <w:rtl/>
        </w:rPr>
        <w:t xml:space="preserve"> פסקו כמתני', דקי"ל כתי' דרבינא בבכורות. ול"מ הך רוב דתלי במעשה</w:t>
      </w:r>
      <w:r w:rsidRPr="007119D6">
        <w:rPr>
          <w:rStyle w:val="ac"/>
          <w:rFonts w:ascii="Narkisim" w:hAnsi="Narkisim" w:cs="Narkisim"/>
          <w:rtl/>
        </w:rPr>
        <w:footnoteReference w:id="8144"/>
      </w:r>
      <w:r w:rsidRPr="007119D6">
        <w:rPr>
          <w:rFonts w:ascii="Narkisim" w:hAnsi="Narkisim" w:cs="Narkisim"/>
          <w:rtl/>
        </w:rPr>
        <w:t>. [ועוד הביא הרמב”ן בשם רב האי גאון, ע”ע בע”ב].</w:t>
      </w:r>
    </w:p>
    <w:p w14:paraId="1EE36DA1" w14:textId="77777777" w:rsidR="006C4368" w:rsidRPr="007119D6" w:rsidRDefault="006C4368" w:rsidP="006C4368">
      <w:pPr>
        <w:pStyle w:val="aa"/>
        <w:bidi/>
        <w:rPr>
          <w:rFonts w:ascii="Narkisim" w:hAnsi="Narkisim"/>
        </w:rPr>
      </w:pPr>
      <w:r w:rsidRPr="007119D6">
        <w:rPr>
          <w:rFonts w:ascii="Narkisim" w:hAnsi="Narkisim"/>
          <w:u w:val="single"/>
          <w:rtl/>
        </w:rPr>
        <w:t>כגון ט' חנויות וסנהדרי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די”ב מזכין וי”א מחייבין</w:t>
      </w:r>
      <w:r w:rsidRPr="007119D6">
        <w:rPr>
          <w:rStyle w:val="ac"/>
          <w:rFonts w:ascii="Narkisim" w:hAnsi="Narkisim"/>
          <w:rtl/>
        </w:rPr>
        <w:footnoteReference w:id="8145"/>
      </w:r>
      <w:r w:rsidRPr="007119D6">
        <w:rPr>
          <w:rFonts w:ascii="Narkisim" w:hAnsi="Narkisim"/>
          <w:rtl/>
        </w:rPr>
        <w:t xml:space="preserve"> וכו' דרוב מזכין קמן הוא. [מבואר ברש”י דרוב דסנהדרין נחשב איתא קמן, דהדיינים לפנינו</w:t>
      </w:r>
      <w:r w:rsidRPr="007119D6">
        <w:rPr>
          <w:rStyle w:val="ac"/>
          <w:rFonts w:ascii="Narkisim" w:hAnsi="Narkisim"/>
          <w:rtl/>
        </w:rPr>
        <w:footnoteReference w:id="8146"/>
      </w:r>
      <w:r w:rsidRPr="007119D6">
        <w:rPr>
          <w:rFonts w:ascii="Narkisim" w:hAnsi="Narkisim"/>
          <w:rtl/>
        </w:rPr>
        <w:t xml:space="preserve">. וע”ע </w:t>
      </w:r>
      <w:r w:rsidRPr="007119D6">
        <w:rPr>
          <w:rFonts w:ascii="Narkisim" w:hAnsi="Narkisim"/>
          <w:b/>
          <w:bCs/>
          <w:rtl/>
        </w:rPr>
        <w:t>תוס'</w:t>
      </w:r>
      <w:r w:rsidRPr="007119D6">
        <w:rPr>
          <w:rFonts w:ascii="Narkisim" w:hAnsi="Narkisim"/>
          <w:rtl/>
        </w:rPr>
        <w:t xml:space="preserve"> ב”ק כז:, וה</w:t>
      </w:r>
      <w:r w:rsidRPr="007119D6">
        <w:rPr>
          <w:rFonts w:ascii="Narkisim" w:hAnsi="Narkisim"/>
          <w:b/>
          <w:bCs/>
          <w:rtl/>
        </w:rPr>
        <w:t>אחרונים</w:t>
      </w:r>
      <w:r w:rsidRPr="007119D6">
        <w:rPr>
          <w:rFonts w:ascii="Narkisim" w:hAnsi="Narkisim"/>
          <w:rtl/>
        </w:rPr>
        <w:t xml:space="preserve"> האריכו בכוונתו דבריהם].</w:t>
      </w:r>
    </w:p>
    <w:p w14:paraId="15F169F8" w14:textId="77777777" w:rsidR="006C4368" w:rsidRPr="007119D6" w:rsidRDefault="006C4368" w:rsidP="006C4368">
      <w:pPr>
        <w:bidi/>
        <w:rPr>
          <w:rFonts w:ascii="Narkisim" w:hAnsi="Narkisim" w:cs="Narkisim"/>
        </w:rPr>
      </w:pPr>
      <w:r w:rsidRPr="007119D6">
        <w:rPr>
          <w:rFonts w:ascii="Narkisim" w:hAnsi="Narkisim" w:cs="Narkisim"/>
          <w:u w:val="single"/>
          <w:rtl/>
        </w:rPr>
        <w:t>תוד"ה כגון</w:t>
      </w:r>
      <w:r w:rsidRPr="007119D6">
        <w:rPr>
          <w:rFonts w:ascii="Narkisim" w:hAnsi="Narkisim" w:cs="Narkisim"/>
          <w:rtl/>
        </w:rPr>
        <w:t xml:space="preserve">. תימה היכי פליג ר"מ הא כתיב אחרי רבים להטות וכו'. לכאורה משמע דר' מאיר חייש למיעוטא מדאורייתא. אבל </w:t>
      </w:r>
      <w:r w:rsidRPr="007119D6">
        <w:rPr>
          <w:rFonts w:ascii="Narkisim" w:hAnsi="Narkisim" w:cs="Narkisim"/>
          <w:b/>
          <w:bCs/>
          <w:rtl/>
        </w:rPr>
        <w:t>תוס'</w:t>
      </w:r>
      <w:r w:rsidRPr="007119D6">
        <w:rPr>
          <w:rFonts w:ascii="Narkisim" w:hAnsi="Narkisim" w:cs="Narkisim"/>
          <w:rtl/>
        </w:rPr>
        <w:t xml:space="preserve"> (בסוה”ע) כת' דחיישי' למיעוטא מדרבנן. וצ"ל דכוונת התוס' דלא מצאנו דר' מאיר מחמיר בזה [כיון דאי' להדיא להיפך].</w:t>
      </w:r>
    </w:p>
    <w:p w14:paraId="697B1693" w14:textId="77777777" w:rsidR="006C4368" w:rsidRPr="007119D6" w:rsidRDefault="006C4368" w:rsidP="006C4368">
      <w:pPr>
        <w:bidi/>
        <w:rPr>
          <w:rFonts w:ascii="Narkisim" w:hAnsi="Narkisim" w:cs="Narkisim"/>
        </w:rPr>
      </w:pPr>
      <w:r w:rsidRPr="007119D6">
        <w:rPr>
          <w:rFonts w:ascii="Narkisim" w:hAnsi="Narkisim" w:cs="Narkisim"/>
          <w:u w:val="single"/>
          <w:rtl/>
        </w:rPr>
        <w:t>בא"ד ועוד היכא אשכחן דפליג ר"מ ורבנן בט' חנויות וכו' ושמא לאו דוקא</w:t>
      </w:r>
      <w:r w:rsidRPr="007119D6">
        <w:rPr>
          <w:rStyle w:val="ac"/>
          <w:rFonts w:ascii="Narkisim" w:hAnsi="Narkisim" w:cs="Narkisim"/>
          <w:u w:val="single"/>
          <w:rtl/>
        </w:rPr>
        <w:footnoteReference w:id="8147"/>
      </w:r>
      <w:r w:rsidRPr="007119D6">
        <w:rPr>
          <w:rFonts w:ascii="Narkisim" w:hAnsi="Narkisim" w:cs="Narkisim"/>
          <w:u w:val="single"/>
          <w:rtl/>
        </w:rPr>
        <w:t xml:space="preserve"> וכו'</w:t>
      </w:r>
      <w:r w:rsidRPr="007119D6">
        <w:rPr>
          <w:rFonts w:ascii="Narkisim" w:hAnsi="Narkisim" w:cs="Narkisim"/>
          <w:rtl/>
        </w:rPr>
        <w:t>. ור' מאיר מודה דמהני רובא דאיתא קמן</w:t>
      </w:r>
      <w:r w:rsidRPr="007119D6">
        <w:rPr>
          <w:rStyle w:val="ac"/>
          <w:rFonts w:ascii="Narkisim" w:hAnsi="Narkisim" w:cs="Narkisim"/>
          <w:rtl/>
        </w:rPr>
        <w:footnoteReference w:id="8148"/>
      </w:r>
      <w:r w:rsidRPr="007119D6">
        <w:rPr>
          <w:rFonts w:ascii="Narkisim" w:hAnsi="Narkisim" w:cs="Narkisim"/>
          <w:rtl/>
        </w:rPr>
        <w:t>. וה</w:t>
      </w:r>
      <w:r w:rsidRPr="007119D6">
        <w:rPr>
          <w:rFonts w:ascii="Narkisim" w:hAnsi="Narkisim" w:cs="Narkisim"/>
          <w:b/>
          <w:bCs/>
          <w:rtl/>
        </w:rPr>
        <w:t>ר"ן</w:t>
      </w:r>
      <w:r w:rsidRPr="007119D6">
        <w:rPr>
          <w:rFonts w:ascii="Narkisim" w:hAnsi="Narkisim" w:cs="Narkisim"/>
          <w:rtl/>
        </w:rPr>
        <w:t xml:space="preserve"> (ע"ז מ: יז: בדה"ר) ביאר</w:t>
      </w:r>
      <w:r w:rsidRPr="007119D6">
        <w:rPr>
          <w:rStyle w:val="ac"/>
          <w:rFonts w:ascii="Narkisim" w:hAnsi="Narkisim" w:cs="Narkisim"/>
          <w:rtl/>
        </w:rPr>
        <w:footnoteReference w:id="8149"/>
      </w:r>
      <w:r w:rsidRPr="007119D6">
        <w:rPr>
          <w:rFonts w:ascii="Narkisim" w:hAnsi="Narkisim" w:cs="Narkisim"/>
          <w:rtl/>
        </w:rPr>
        <w:t xml:space="preserve"> דטעמא דמילתא שכיון שהוא רוב וידוע לפנינו הרי הוא חשוב לבטל את המיעוט ולעשותו כמי שאינו.</w:t>
      </w:r>
    </w:p>
    <w:p w14:paraId="321DEA2F" w14:textId="77777777" w:rsidR="006C4368" w:rsidRPr="007119D6" w:rsidRDefault="006C4368" w:rsidP="006C4368">
      <w:pPr>
        <w:pStyle w:val="a8"/>
        <w:bidi/>
        <w:rPr>
          <w:rFonts w:ascii="Narkisim" w:hAnsi="Narkisim"/>
        </w:rPr>
      </w:pPr>
      <w:r w:rsidRPr="007119D6">
        <w:rPr>
          <w:rFonts w:ascii="Narkisim" w:hAnsi="Narkisim"/>
          <w:rtl/>
        </w:rPr>
        <w:t>וב</w:t>
      </w:r>
      <w:r w:rsidRPr="007119D6">
        <w:rPr>
          <w:rFonts w:ascii="Narkisim" w:hAnsi="Narkisim"/>
          <w:b/>
          <w:bCs/>
          <w:rtl/>
        </w:rPr>
        <w:t>שו"ת רע"א</w:t>
      </w:r>
      <w:r w:rsidRPr="007119D6">
        <w:rPr>
          <w:rFonts w:ascii="Narkisim" w:hAnsi="Narkisim"/>
          <w:rtl/>
        </w:rPr>
        <w:t xml:space="preserve"> (ק קו) דן האם אמרי' סמוך מיעוטא לחזקה ברובא דאיתא קמן, או דילמא מיעוטא כמאן דליתא דמי</w:t>
      </w:r>
      <w:r w:rsidRPr="007119D6">
        <w:rPr>
          <w:rStyle w:val="ac"/>
          <w:rFonts w:ascii="Narkisim" w:hAnsi="Narkisim"/>
          <w:rtl/>
        </w:rPr>
        <w:footnoteReference w:id="8150"/>
      </w:r>
      <w:r w:rsidRPr="007119D6">
        <w:rPr>
          <w:rFonts w:ascii="Narkisim" w:hAnsi="Narkisim"/>
          <w:rtl/>
        </w:rPr>
        <w:t>. וכמ”ש הר"ן</w:t>
      </w:r>
      <w:r w:rsidRPr="007119D6">
        <w:rPr>
          <w:rStyle w:val="ac"/>
          <w:rFonts w:ascii="Narkisim" w:hAnsi="Narkisim"/>
          <w:rtl/>
        </w:rPr>
        <w:footnoteReference w:id="8151"/>
      </w:r>
      <w:r w:rsidRPr="007119D6">
        <w:rPr>
          <w:rFonts w:ascii="Narkisim" w:hAnsi="Narkisim"/>
          <w:rtl/>
        </w:rPr>
        <w:t xml:space="preserve">.  </w:t>
      </w:r>
    </w:p>
    <w:p w14:paraId="40ADCC50" w14:textId="77777777" w:rsidR="006C4368" w:rsidRPr="007119D6" w:rsidRDefault="006C4368" w:rsidP="006C4368">
      <w:pPr>
        <w:bidi/>
        <w:rPr>
          <w:rFonts w:ascii="Narkisim" w:hAnsi="Narkisim" w:cs="Narkisim"/>
        </w:rPr>
      </w:pPr>
      <w:r w:rsidRPr="007119D6">
        <w:rPr>
          <w:rFonts w:ascii="Narkisim" w:hAnsi="Narkisim" w:cs="Narkisim"/>
          <w:rtl/>
        </w:rPr>
        <w:t>ולפ"ז מבואר דרובא דאיתא קמן אלים מרובא דליתא קמן</w:t>
      </w:r>
      <w:r w:rsidRPr="007119D6">
        <w:rPr>
          <w:rStyle w:val="ac"/>
          <w:rFonts w:ascii="Narkisim" w:hAnsi="Narkisim" w:cs="Narkisim"/>
          <w:rtl/>
        </w:rPr>
        <w:footnoteReference w:id="8152"/>
      </w:r>
      <w:r w:rsidRPr="007119D6">
        <w:rPr>
          <w:rFonts w:ascii="Narkisim" w:hAnsi="Narkisim" w:cs="Narkisim"/>
          <w:rtl/>
        </w:rPr>
        <w:t xml:space="preserve">. אך </w:t>
      </w:r>
      <w:r w:rsidRPr="007119D6">
        <w:rPr>
          <w:rFonts w:ascii="Narkisim" w:hAnsi="Narkisim" w:cs="Narkisim"/>
          <w:b/>
          <w:bCs/>
          <w:rtl/>
        </w:rPr>
        <w:t>ש"ש</w:t>
      </w:r>
      <w:r w:rsidRPr="007119D6">
        <w:rPr>
          <w:rFonts w:ascii="Narkisim" w:hAnsi="Narkisim" w:cs="Narkisim"/>
          <w:rtl/>
        </w:rPr>
        <w:t xml:space="preserve"> (ב טו) כת' דרובא דליתא קמן נחשב 'ודאי'. ואף למש"כ ה</w:t>
      </w:r>
      <w:r w:rsidRPr="007119D6">
        <w:rPr>
          <w:rFonts w:ascii="Narkisim" w:hAnsi="Narkisim" w:cs="Narkisim"/>
          <w:b/>
          <w:bCs/>
          <w:rtl/>
        </w:rPr>
        <w:t>תוס' רא"ש</w:t>
      </w:r>
      <w:r w:rsidRPr="007119D6">
        <w:rPr>
          <w:rFonts w:ascii="Narkisim" w:hAnsi="Narkisim" w:cs="Narkisim"/>
          <w:rtl/>
        </w:rPr>
        <w:t xml:space="preserve"> (בשיטמ"ק ב"מ ו:) דרובא דאיתא קמן לא נחשב ודאי, רובא דליתא קמן הוה משום סברא, ומש”ה נחשב ודאי. וה</w:t>
      </w:r>
      <w:r w:rsidRPr="007119D6">
        <w:rPr>
          <w:rFonts w:ascii="Narkisim" w:hAnsi="Narkisim" w:cs="Narkisim"/>
          <w:b/>
          <w:bCs/>
          <w:rtl/>
        </w:rPr>
        <w:t>אחרונים</w:t>
      </w:r>
      <w:r w:rsidRPr="007119D6">
        <w:rPr>
          <w:rFonts w:ascii="Narkisim" w:hAnsi="Narkisim" w:cs="Narkisim"/>
          <w:rtl/>
        </w:rPr>
        <w:t xml:space="preserve"> תי' דרובא דליתא קמן הוה בירור עדיף. אלא דאפ"ה יש מקום לחוש למיעוט. אבל רובא דאיתא קמן הוה גזיה"כ, ובזה ל"ש לחוש למיעוט נגד הגזיה"כ</w:t>
      </w:r>
      <w:r w:rsidRPr="007119D6">
        <w:rPr>
          <w:rStyle w:val="ac"/>
          <w:rFonts w:ascii="Narkisim" w:hAnsi="Narkisim" w:cs="Narkisim"/>
          <w:rtl/>
        </w:rPr>
        <w:footnoteReference w:id="8153"/>
      </w:r>
      <w:r w:rsidRPr="007119D6">
        <w:rPr>
          <w:rFonts w:ascii="Narkisim" w:hAnsi="Narkisim" w:cs="Narkisim"/>
          <w:rtl/>
        </w:rPr>
        <w:t>.</w:t>
      </w:r>
    </w:p>
    <w:p w14:paraId="6683FE97" w14:textId="77777777" w:rsidR="006C4368" w:rsidRPr="007119D6" w:rsidRDefault="006C4368" w:rsidP="006C4368">
      <w:pPr>
        <w:pStyle w:val="aa"/>
        <w:bidi/>
        <w:rPr>
          <w:rFonts w:ascii="Narkisim" w:hAnsi="Narkisim"/>
        </w:rPr>
      </w:pPr>
      <w:r w:rsidRPr="007119D6">
        <w:rPr>
          <w:rFonts w:ascii="Narkisim" w:hAnsi="Narkisim"/>
          <w:u w:val="single"/>
          <w:rtl/>
        </w:rPr>
        <w:t>דתניא קטן וקטנה וכו' אמרו לו וכו' אלא מה טעם אין מייבמין</w:t>
      </w:r>
      <w:r w:rsidRPr="007119D6">
        <w:rPr>
          <w:rFonts w:ascii="Narkisim" w:hAnsi="Narkisim"/>
          <w:rtl/>
        </w:rPr>
        <w:t>. בפשוטו משמע דלרבנן קטן [בן ט'] מייבם לכתחילה. ואף דביאת קטן דינו כמאמר (כדאי' לעיל צו.), אף לכתחילה מותר. אבל ב</w:t>
      </w:r>
      <w:r w:rsidRPr="007119D6">
        <w:rPr>
          <w:rFonts w:ascii="Narkisim" w:hAnsi="Narkisim"/>
          <w:b/>
          <w:bCs/>
          <w:rtl/>
        </w:rPr>
        <w:t>הג' יעב"ץ</w:t>
      </w:r>
      <w:r w:rsidRPr="007119D6">
        <w:rPr>
          <w:rFonts w:ascii="Narkisim" w:hAnsi="Narkisim"/>
          <w:rtl/>
        </w:rPr>
        <w:t xml:space="preserve"> כת' דלא תקנו </w:t>
      </w:r>
      <w:r w:rsidRPr="007119D6">
        <w:rPr>
          <w:rFonts w:ascii="Narkisim" w:hAnsi="Narkisim"/>
          <w:rtl/>
        </w:rPr>
        <w:lastRenderedPageBreak/>
        <w:t>נישואין לקטן</w:t>
      </w:r>
      <w:r w:rsidRPr="007119D6">
        <w:rPr>
          <w:rStyle w:val="ac"/>
          <w:rFonts w:ascii="Narkisim" w:hAnsi="Narkisim"/>
          <w:rtl/>
        </w:rPr>
        <w:footnoteReference w:id="8154"/>
      </w:r>
      <w:r w:rsidRPr="007119D6">
        <w:rPr>
          <w:rFonts w:ascii="Narkisim" w:hAnsi="Narkisim"/>
          <w:rtl/>
        </w:rPr>
        <w:t>, ואינו רשאי לכתחילה לייבם</w:t>
      </w:r>
      <w:r w:rsidRPr="007119D6">
        <w:rPr>
          <w:rStyle w:val="ac"/>
          <w:rFonts w:ascii="Narkisim" w:hAnsi="Narkisim"/>
          <w:rtl/>
        </w:rPr>
        <w:footnoteReference w:id="8155"/>
      </w:r>
      <w:r w:rsidRPr="007119D6">
        <w:rPr>
          <w:rFonts w:ascii="Narkisim" w:hAnsi="Narkisim"/>
          <w:rtl/>
        </w:rPr>
        <w:t>. וע"כ דאיירי בדיעבד. אך הק' דאף לר' מאיר מהני כמאמר בדיעבד.</w:t>
      </w:r>
    </w:p>
    <w:p w14:paraId="70CAC56A" w14:textId="77777777" w:rsidR="006C4368" w:rsidRPr="007119D6" w:rsidRDefault="006C4368" w:rsidP="006C4368">
      <w:pPr>
        <w:pStyle w:val="a8"/>
        <w:bidi/>
        <w:rPr>
          <w:rFonts w:ascii="Narkisim" w:hAnsi="Narkisim"/>
        </w:rPr>
      </w:pPr>
      <w:r w:rsidRPr="007119D6">
        <w:rPr>
          <w:rFonts w:ascii="Narkisim" w:hAnsi="Narkisim"/>
          <w:rtl/>
        </w:rPr>
        <w:t>וכת' דאפשר דע"פ מש"כ ה</w:t>
      </w:r>
      <w:r w:rsidRPr="007119D6">
        <w:rPr>
          <w:rFonts w:ascii="Narkisim" w:hAnsi="Narkisim"/>
          <w:b/>
          <w:bCs/>
          <w:rtl/>
        </w:rPr>
        <w:t>תוס'</w:t>
      </w:r>
      <w:r w:rsidRPr="007119D6">
        <w:rPr>
          <w:rFonts w:ascii="Narkisim" w:hAnsi="Narkisim"/>
          <w:rtl/>
        </w:rPr>
        <w:t xml:space="preserve"> (לעיל סב:) דמותר להשיא בנו סמוך לפרקו, ואף דלא תקנו נישואין לקטן, מ"מ תקנו שלא יחשב בעילת זנות.</w:t>
      </w:r>
    </w:p>
    <w:p w14:paraId="2E045631" w14:textId="77777777" w:rsidR="006C4368" w:rsidRPr="007119D6" w:rsidRDefault="006C4368" w:rsidP="006C4368">
      <w:pPr>
        <w:bidi/>
        <w:rPr>
          <w:rFonts w:ascii="Narkisim" w:hAnsi="Narkisim" w:cs="Narkisim"/>
        </w:rPr>
      </w:pPr>
      <w:r w:rsidRPr="007119D6">
        <w:rPr>
          <w:rFonts w:ascii="Narkisim" w:hAnsi="Narkisim" w:cs="Narkisim"/>
          <w:u w:val="single"/>
          <w:rtl/>
        </w:rPr>
        <w:t>אלא מחוורתא מתני' ר' מאיר היא</w:t>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xml:space="preserve"> כת' דלא קי"ל כר"מ, א"כ לא קי"ל כסתם משנה. אבל הרי”ף והרמב”ם פסקו את המשנה. וה</w:t>
      </w:r>
      <w:r w:rsidRPr="007119D6">
        <w:rPr>
          <w:rFonts w:ascii="Narkisim" w:hAnsi="Narkisim" w:cs="Narkisim"/>
          <w:b/>
          <w:bCs/>
          <w:rtl/>
        </w:rPr>
        <w:t>רמב”ן</w:t>
      </w:r>
      <w:r w:rsidRPr="007119D6">
        <w:rPr>
          <w:rFonts w:ascii="Narkisim" w:hAnsi="Narkisim" w:cs="Narkisim"/>
          <w:rtl/>
        </w:rPr>
        <w:t xml:space="preserve"> כת' די"ל דס”ל כמ”ד (בכורות כא.) דל"מ רוב התלוי במעשה. וסוגיין ס"ל דאף רוב התלוי במעשה הוה רוב. ועוד הביא בשם </w:t>
      </w:r>
      <w:r w:rsidRPr="007119D6">
        <w:rPr>
          <w:rFonts w:ascii="Narkisim" w:hAnsi="Narkisim" w:cs="Narkisim"/>
          <w:b/>
          <w:bCs/>
          <w:rtl/>
        </w:rPr>
        <w:t>רב האי גאון</w:t>
      </w:r>
      <w:r w:rsidRPr="007119D6">
        <w:rPr>
          <w:rFonts w:ascii="Narkisim" w:hAnsi="Narkisim" w:cs="Narkisim"/>
          <w:rtl/>
        </w:rPr>
        <w:t xml:space="preserve"> דרבא (בע”ב) חזר דהמשנה אליבא דכו”ע, משום סמוך מיעוט לחזקה.</w:t>
      </w:r>
    </w:p>
    <w:p w14:paraId="776B51D1" w14:textId="77777777" w:rsidR="006C4368" w:rsidRPr="007119D6" w:rsidRDefault="006C4368" w:rsidP="006C4368">
      <w:pPr>
        <w:bidi/>
        <w:rPr>
          <w:rFonts w:ascii="Narkisim" w:hAnsi="Narkisim" w:cs="Narkisim"/>
        </w:rPr>
      </w:pPr>
      <w:r w:rsidRPr="007119D6">
        <w:rPr>
          <w:rFonts w:ascii="Narkisim" w:hAnsi="Narkisim" w:cs="Narkisim"/>
          <w:u w:val="single"/>
          <w:rtl/>
        </w:rPr>
        <w:t>תוד"ה מחוורתא</w:t>
      </w:r>
      <w:r w:rsidRPr="007119D6">
        <w:rPr>
          <w:rFonts w:ascii="Narkisim" w:hAnsi="Narkisim" w:cs="Narkisim"/>
          <w:rtl/>
        </w:rPr>
        <w:t xml:space="preserve">. מיהו אנן לא קי"ל כר' מאיר, אע"ג דאתי סתמא דמתני' כר"מ וכו' משמע דאנן שפיר אכלינן וכו'. אבל </w:t>
      </w:r>
      <w:r w:rsidRPr="007119D6">
        <w:rPr>
          <w:rFonts w:ascii="Narkisim" w:hAnsi="Narkisim" w:cs="Narkisim"/>
          <w:b/>
          <w:bCs/>
          <w:rtl/>
        </w:rPr>
        <w:t>ר”ת</w:t>
      </w:r>
      <w:r w:rsidRPr="007119D6">
        <w:rPr>
          <w:rFonts w:ascii="Narkisim" w:hAnsi="Narkisim" w:cs="Narkisim"/>
          <w:rtl/>
        </w:rPr>
        <w:t xml:space="preserve"> (בתוס' בכורות כ:) פסק כר' מאיר</w:t>
      </w:r>
      <w:r w:rsidRPr="007119D6">
        <w:rPr>
          <w:rStyle w:val="ac"/>
          <w:rFonts w:ascii="Narkisim" w:hAnsi="Narkisim" w:cs="Narkisim"/>
          <w:rtl/>
        </w:rPr>
        <w:footnoteReference w:id="8156"/>
      </w:r>
      <w:r w:rsidRPr="007119D6">
        <w:rPr>
          <w:rFonts w:ascii="Narkisim" w:hAnsi="Narkisim" w:cs="Narkisim"/>
          <w:rtl/>
        </w:rPr>
        <w:t xml:space="preserve"> היכא דחזקה מסייע למוחזק</w:t>
      </w:r>
      <w:r w:rsidRPr="007119D6">
        <w:rPr>
          <w:rStyle w:val="ac"/>
          <w:rFonts w:ascii="Narkisim" w:hAnsi="Narkisim" w:cs="Narkisim"/>
          <w:rtl/>
        </w:rPr>
        <w:footnoteReference w:id="8157"/>
      </w:r>
      <w:r w:rsidRPr="007119D6">
        <w:rPr>
          <w:rFonts w:ascii="Narkisim" w:hAnsi="Narkisim" w:cs="Narkisim"/>
          <w:rtl/>
        </w:rPr>
        <w:t>. ודוקא היכא דליכא חזקה לא חיישינן למיעוטא</w:t>
      </w:r>
      <w:r w:rsidRPr="007119D6">
        <w:rPr>
          <w:rStyle w:val="ac"/>
          <w:rFonts w:ascii="Narkisim" w:hAnsi="Narkisim" w:cs="Narkisim"/>
          <w:rtl/>
        </w:rPr>
        <w:footnoteReference w:id="8158"/>
      </w:r>
      <w:r w:rsidRPr="007119D6">
        <w:rPr>
          <w:rFonts w:ascii="Narkisim" w:hAnsi="Narkisim" w:cs="Narkisim"/>
          <w:rtl/>
        </w:rPr>
        <w:t>.</w:t>
      </w:r>
    </w:p>
    <w:p w14:paraId="6B2EABB8" w14:textId="77777777" w:rsidR="006C4368" w:rsidRPr="007119D6" w:rsidRDefault="006C4368" w:rsidP="006C4368">
      <w:pPr>
        <w:pStyle w:val="aa"/>
        <w:bidi/>
        <w:rPr>
          <w:rFonts w:ascii="Narkisim" w:hAnsi="Narkisim"/>
        </w:rPr>
      </w:pPr>
      <w:r w:rsidRPr="007119D6">
        <w:rPr>
          <w:rFonts w:ascii="Narkisim" w:hAnsi="Narkisim"/>
          <w:u w:val="single"/>
          <w:rtl/>
        </w:rPr>
        <w:t>בא"ד אע”ג דרוב בהמות אין חולבות אא”כ יולדות, אלמא חיישינן למיעוט אע"ג דליכא חזקה בהדי מיעוטא</w:t>
      </w:r>
      <w:r w:rsidRPr="007119D6">
        <w:rPr>
          <w:rFonts w:ascii="Narkisim" w:hAnsi="Narkisim"/>
          <w:rtl/>
        </w:rPr>
        <w:t>. ה</w:t>
      </w:r>
      <w:r w:rsidRPr="007119D6">
        <w:rPr>
          <w:rFonts w:ascii="Narkisim" w:hAnsi="Narkisim"/>
          <w:b/>
          <w:bCs/>
          <w:rtl/>
        </w:rPr>
        <w:t>ערול"נ</w:t>
      </w:r>
      <w:r w:rsidRPr="007119D6">
        <w:rPr>
          <w:rFonts w:ascii="Narkisim" w:hAnsi="Narkisim"/>
          <w:rtl/>
        </w:rPr>
        <w:t xml:space="preserve"> הק' אמאי תוס' נקטו חזקה, דלדעת תוס' (בע"ב) חזקה בהדי המיעוט קאי רק לר' מאיר. ורבנן אפי' איכא חזקה לא חיישי</w:t>
      </w:r>
      <w:r w:rsidRPr="007119D6">
        <w:rPr>
          <w:rStyle w:val="ac"/>
          <w:rFonts w:ascii="Narkisim" w:hAnsi="Narkisim"/>
          <w:rtl/>
        </w:rPr>
        <w:footnoteReference w:id="8159"/>
      </w:r>
      <w:r w:rsidRPr="007119D6">
        <w:rPr>
          <w:rFonts w:ascii="Narkisim" w:hAnsi="Narkisim"/>
          <w:rtl/>
        </w:rPr>
        <w:t>. וערול"נ כת' דמ"מ י"ל דס"ל כסתם משנה דהכא [וכר' מאיר], דהיכא דיש חזקה חיישינן למיעוטי.</w:t>
      </w:r>
    </w:p>
    <w:p w14:paraId="787EA827" w14:textId="77777777" w:rsidR="006C4368" w:rsidRPr="007119D6" w:rsidRDefault="006C4368" w:rsidP="006C4368">
      <w:pPr>
        <w:bidi/>
        <w:rPr>
          <w:rFonts w:ascii="Narkisim" w:hAnsi="Narkisim" w:cs="Narkisim"/>
        </w:rPr>
      </w:pPr>
      <w:r w:rsidRPr="007119D6">
        <w:rPr>
          <w:rFonts w:ascii="Narkisim" w:hAnsi="Narkisim" w:cs="Narkisim"/>
          <w:u w:val="single"/>
          <w:rtl/>
        </w:rPr>
        <w:t>בא"ד אדרבה העמד הולד בחזקת שאין קדוש בבכורה שהיה חולין במעי אמו</w:t>
      </w:r>
      <w:r w:rsidRPr="007119D6">
        <w:rPr>
          <w:rFonts w:ascii="Narkisim" w:hAnsi="Narkisim" w:cs="Narkisim"/>
          <w:rtl/>
        </w:rPr>
        <w:t xml:space="preserve">. אבל </w:t>
      </w:r>
      <w:r w:rsidRPr="007119D6">
        <w:rPr>
          <w:rFonts w:ascii="Narkisim" w:hAnsi="Narkisim" w:cs="Narkisim"/>
          <w:b/>
          <w:bCs/>
          <w:rtl/>
        </w:rPr>
        <w:t>תוס'</w:t>
      </w:r>
      <w:r w:rsidRPr="007119D6">
        <w:rPr>
          <w:rFonts w:ascii="Narkisim" w:hAnsi="Narkisim" w:cs="Narkisim"/>
          <w:rtl/>
        </w:rPr>
        <w:t xml:space="preserve"> (בכורות כ: ד"ה חלב) נסתפקו דיש חזקה דהוה בכור, דהיא בחזקת שלא ילדה. ותוס' דחו דיש לולד חזקה שאינו קדוש בבכורה</w:t>
      </w:r>
      <w:r w:rsidRPr="007119D6">
        <w:rPr>
          <w:rStyle w:val="ac"/>
          <w:rFonts w:ascii="Narkisim" w:hAnsi="Narkisim" w:cs="Narkisim"/>
          <w:rtl/>
        </w:rPr>
        <w:footnoteReference w:id="8160"/>
      </w:r>
      <w:r w:rsidRPr="007119D6">
        <w:rPr>
          <w:rFonts w:ascii="Narkisim" w:hAnsi="Narkisim" w:cs="Narkisim"/>
          <w:rtl/>
        </w:rPr>
        <w:t>. וע"ע תו"י.</w:t>
      </w:r>
    </w:p>
    <w:p w14:paraId="2E05D92E"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שער המלך</w:t>
      </w:r>
      <w:r w:rsidRPr="007119D6">
        <w:rPr>
          <w:rFonts w:ascii="Narkisim" w:hAnsi="Narkisim"/>
          <w:rtl/>
        </w:rPr>
        <w:t xml:space="preserve"> (טומאת מת ט יב, הו' בערול”נ) הק' דילפינן רוב מפרה אדומה [שאינה טריפה], ונימא אוקי אחזקה שבמעי אמו לא היתה טרפה [וע”כ דל"מ חזקה אמו].</w:t>
      </w:r>
    </w:p>
    <w:p w14:paraId="31697AAD" w14:textId="77777777" w:rsidR="006C4368" w:rsidRPr="007119D6" w:rsidRDefault="006C4368" w:rsidP="006C4368">
      <w:pPr>
        <w:pStyle w:val="aa"/>
        <w:bidi/>
        <w:rPr>
          <w:rFonts w:ascii="Narkisim" w:hAnsi="Narkisim"/>
        </w:rPr>
      </w:pPr>
      <w:r w:rsidRPr="007119D6">
        <w:rPr>
          <w:rFonts w:ascii="Narkisim" w:hAnsi="Narkisim"/>
          <w:u w:val="single"/>
          <w:rtl/>
        </w:rPr>
        <w:t>בא"ד אבל מטעמא דחלב לא מיפטרא, אע"ג דרוב וכו' וי"ל דר' יוחנן לא פסיק כוותיה אלא בהא דלא מרחמא וכו' ואפשר דרשב"ג סבר חלב פוטר וכו</w:t>
      </w:r>
      <w:r w:rsidRPr="007119D6">
        <w:rPr>
          <w:rFonts w:ascii="Narkisim" w:hAnsi="Narkisim"/>
          <w:rtl/>
        </w:rPr>
        <w:t>'. תוס' הק' דמבואר מדברי רשב"ג דבחולבת לא סמכי' ארוב. ותי' דר' יוחנן קאי כוותיה בחדא, לענין דאף בנה כרוך מהני. אבל לענין חלב פוטר פסק דחלב פוטר. ועוד כת' דאפשר דאף רשב"ג קאי דוקא להוסיף דמהני ג"כ בנה כרוך. ולעולם ס"ל דחלב פוטר.</w:t>
      </w:r>
    </w:p>
    <w:p w14:paraId="369404D5" w14:textId="77777777" w:rsidR="006C4368" w:rsidRPr="007119D6" w:rsidRDefault="006C4368" w:rsidP="006C4368">
      <w:pPr>
        <w:pStyle w:val="aa"/>
        <w:bidi/>
        <w:rPr>
          <w:rFonts w:ascii="Narkisim" w:hAnsi="Narkisim"/>
        </w:rPr>
      </w:pPr>
      <w:r w:rsidRPr="007119D6">
        <w:rPr>
          <w:rFonts w:ascii="Narkisim" w:hAnsi="Narkisim"/>
          <w:u w:val="single"/>
          <w:rtl/>
        </w:rPr>
        <w:t>בא"ד ור' יוחנן נמי אכיל משחיטת כותים, ומיהו מכותים אין להביא ראיה, דמשום דא' רשע אין להחזיק כולם רשעים</w:t>
      </w:r>
      <w:r w:rsidRPr="007119D6">
        <w:rPr>
          <w:rFonts w:ascii="Narkisim" w:hAnsi="Narkisim"/>
          <w:rtl/>
        </w:rPr>
        <w:t>. וע"ע בית הלוי (ב ג) דהוה מדין חזקת כשרות</w:t>
      </w:r>
      <w:r w:rsidRPr="007119D6">
        <w:rPr>
          <w:rStyle w:val="ac"/>
          <w:rFonts w:ascii="Narkisim" w:hAnsi="Narkisim"/>
          <w:rtl/>
        </w:rPr>
        <w:footnoteReference w:id="8161"/>
      </w:r>
      <w:r w:rsidRPr="007119D6">
        <w:rPr>
          <w:rFonts w:ascii="Narkisim" w:hAnsi="Narkisim"/>
          <w:rtl/>
        </w:rPr>
        <w:t>.</w:t>
      </w:r>
    </w:p>
    <w:p w14:paraId="678A2BE1" w14:textId="77777777" w:rsidR="006C4368" w:rsidRPr="007119D6" w:rsidRDefault="006C4368" w:rsidP="006C4368">
      <w:pPr>
        <w:pStyle w:val="a8"/>
        <w:bidi/>
        <w:rPr>
          <w:rFonts w:ascii="Narkisim" w:hAnsi="Narkisim"/>
        </w:rPr>
      </w:pPr>
      <w:r w:rsidRPr="007119D6">
        <w:rPr>
          <w:rFonts w:ascii="Narkisim" w:hAnsi="Narkisim"/>
          <w:rtl/>
        </w:rPr>
        <w:t>ואף דדעת ר' מאיר (חולין ו.) לאסור כותים משום המיעוט, תוס' פי' דהוה גזירה. [וכיון דס”ל בעלמא דחיישינן למיעוטא אף הכא גזרו].</w:t>
      </w:r>
    </w:p>
    <w:p w14:paraId="3AC24209" w14:textId="77777777" w:rsidR="006C4368" w:rsidRPr="007119D6" w:rsidRDefault="006C4368" w:rsidP="006C4368">
      <w:pPr>
        <w:pStyle w:val="aa"/>
        <w:bidi/>
        <w:rPr>
          <w:rFonts w:ascii="Narkisim" w:hAnsi="Narkisim"/>
        </w:rPr>
      </w:pPr>
      <w:r w:rsidRPr="007119D6">
        <w:rPr>
          <w:rFonts w:ascii="Narkisim" w:hAnsi="Narkisim"/>
          <w:u w:val="single"/>
          <w:rtl/>
        </w:rPr>
        <w:t>בא"ד וא"ת לר' מאיר דחייש למיעוט היכי משכח"ל דמאי, כיון דאיכא מיעוט ע"ה שאין מעשרין וכו'</w:t>
      </w:r>
      <w:r w:rsidRPr="007119D6">
        <w:rPr>
          <w:rFonts w:ascii="Narkisim" w:hAnsi="Narkisim"/>
          <w:rtl/>
        </w:rPr>
        <w:t>. [תוס' הק' דאי' בכ"מ דבדמאי הקילו, משום דרוב ע"ה מעשרין. ויל”ד דתוס' נקטו דר' מאיר חייש רק מדרבנן, וי”ל דאף תקנת דמאי הוה משום דחששו למיעוט].</w:t>
      </w:r>
    </w:p>
    <w:p w14:paraId="496C314E" w14:textId="77777777" w:rsidR="006C4368" w:rsidRPr="007119D6" w:rsidRDefault="006C4368" w:rsidP="006C4368">
      <w:pPr>
        <w:pStyle w:val="aa"/>
        <w:bidi/>
        <w:rPr>
          <w:rFonts w:ascii="Narkisim" w:hAnsi="Narkisim"/>
        </w:rPr>
      </w:pPr>
      <w:r w:rsidRPr="007119D6">
        <w:rPr>
          <w:rFonts w:ascii="Narkisim" w:hAnsi="Narkisim"/>
          <w:u w:val="single"/>
          <w:rtl/>
        </w:rPr>
        <w:t>בא"ד ועוד דאיכא חזקה דטבל</w:t>
      </w:r>
      <w:r w:rsidRPr="007119D6">
        <w:rPr>
          <w:rFonts w:ascii="Narkisim" w:hAnsi="Narkisim"/>
          <w:rtl/>
        </w:rPr>
        <w:t xml:space="preserve">. אבל </w:t>
      </w:r>
      <w:r w:rsidRPr="007119D6">
        <w:rPr>
          <w:rFonts w:ascii="Narkisim" w:hAnsi="Narkisim"/>
          <w:b/>
          <w:bCs/>
          <w:rtl/>
        </w:rPr>
        <w:t>תוס'</w:t>
      </w:r>
      <w:r w:rsidRPr="007119D6">
        <w:rPr>
          <w:rFonts w:ascii="Narkisim" w:hAnsi="Narkisim"/>
          <w:rtl/>
        </w:rPr>
        <w:t xml:space="preserve"> (בבכורות כ.) כת' דאין זה חזקה, דדלמא הכניסה במוץ כר' </w:t>
      </w:r>
      <w:r w:rsidRPr="007119D6">
        <w:rPr>
          <w:rFonts w:ascii="Narkisim" w:hAnsi="Narkisim"/>
          <w:rtl/>
        </w:rPr>
        <w:lastRenderedPageBreak/>
        <w:t>אושעיא</w:t>
      </w:r>
      <w:r w:rsidRPr="007119D6">
        <w:rPr>
          <w:rStyle w:val="ac"/>
          <w:rFonts w:ascii="Narkisim" w:hAnsi="Narkisim"/>
          <w:rtl/>
        </w:rPr>
        <w:footnoteReference w:id="8162"/>
      </w:r>
      <w:r w:rsidRPr="007119D6">
        <w:rPr>
          <w:rFonts w:ascii="Narkisim" w:hAnsi="Narkisim"/>
          <w:rtl/>
        </w:rPr>
        <w:t xml:space="preserve"> (ברכות לא. וכ”מ).</w:t>
      </w:r>
    </w:p>
    <w:p w14:paraId="56AC559A" w14:textId="77777777" w:rsidR="006C4368" w:rsidRPr="007119D6" w:rsidRDefault="006C4368" w:rsidP="006C4368">
      <w:pPr>
        <w:pStyle w:val="aa"/>
        <w:bidi/>
        <w:rPr>
          <w:rFonts w:ascii="Narkisim" w:hAnsi="Narkisim"/>
        </w:rPr>
      </w:pPr>
      <w:r w:rsidRPr="007119D6">
        <w:rPr>
          <w:rFonts w:ascii="Narkisim" w:hAnsi="Narkisim"/>
          <w:u w:val="single"/>
          <w:rtl/>
        </w:rPr>
        <w:t>בא"ד והא דאמר רשב"ג וכו' הא לא שהה ספיקא וכו' אע"ג דרוב אינם נפלים וכו' התם משום שלא יבא להקל בערוה וכו'</w:t>
      </w:r>
      <w:r w:rsidRPr="007119D6">
        <w:rPr>
          <w:rFonts w:ascii="Narkisim" w:hAnsi="Narkisim"/>
          <w:rtl/>
        </w:rPr>
        <w:t>. ו</w:t>
      </w:r>
      <w:r w:rsidRPr="007119D6">
        <w:rPr>
          <w:rFonts w:ascii="Narkisim" w:hAnsi="Narkisim"/>
          <w:b/>
          <w:bCs/>
          <w:rtl/>
        </w:rPr>
        <w:t>תוס</w:t>
      </w:r>
      <w:r w:rsidRPr="007119D6">
        <w:rPr>
          <w:rFonts w:ascii="Narkisim" w:hAnsi="Narkisim"/>
          <w:rtl/>
        </w:rPr>
        <w:t>' (בכורות כ:) ביאר דמדרבנן החמירו ביבמה הואיל ומת תוך ל', ויבא לידי לעז וקלקול ולכך עשאוהו כספק. וגם לענין אבילות שלא יבא להקל בעדות אשה.</w:t>
      </w:r>
    </w:p>
    <w:p w14:paraId="2C5CCDBD" w14:textId="77777777" w:rsidR="006C4368" w:rsidRPr="007119D6" w:rsidRDefault="006C4368" w:rsidP="006C4368">
      <w:pPr>
        <w:bidi/>
        <w:rPr>
          <w:rFonts w:ascii="Narkisim" w:hAnsi="Narkisim" w:cs="Narkisim"/>
        </w:rPr>
      </w:pPr>
      <w:r w:rsidRPr="007119D6">
        <w:rPr>
          <w:rFonts w:ascii="Narkisim" w:hAnsi="Narkisim" w:cs="Narkisim"/>
          <w:u w:val="single"/>
          <w:rtl/>
        </w:rPr>
        <w:t>בא"ד ומיהו אי לא חייש ר”מ למיעוט מה”ת אפי' היכא דאיכא חזקה בהדיא וכו'</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(חולין יב. ד”ה פסח) כת' דהא דר' מאיר חייש למיעוטא הוה מדרבנן</w:t>
      </w:r>
      <w:r w:rsidRPr="007119D6">
        <w:rPr>
          <w:rStyle w:val="ac"/>
          <w:rFonts w:ascii="Narkisim" w:hAnsi="Narkisim" w:cs="Narkisim"/>
          <w:rtl/>
        </w:rPr>
        <w:footnoteReference w:id="8163"/>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(חולין פו: ובכורות כ.) כת' דמ"מ</w:t>
      </w:r>
      <w:r w:rsidRPr="007119D6">
        <w:rPr>
          <w:rStyle w:val="ac"/>
          <w:rFonts w:ascii="Narkisim" w:hAnsi="Narkisim" w:cs="Narkisim"/>
          <w:rtl/>
        </w:rPr>
        <w:footnoteReference w:id="8164"/>
      </w:r>
      <w:r w:rsidRPr="007119D6">
        <w:rPr>
          <w:rFonts w:ascii="Narkisim" w:hAnsi="Narkisim" w:cs="Narkisim"/>
          <w:rtl/>
        </w:rPr>
        <w:t xml:space="preserve"> היכא דיש חזקה עם המיעוט חיישינן מדאורייתא [דסמוך מיעוטא לחזקה, וכדאי' שם ולקמן בע"ב].</w:t>
      </w:r>
    </w:p>
    <w:p w14:paraId="7F4D8880"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מרדכי</w:t>
      </w:r>
      <w:r w:rsidRPr="007119D6">
        <w:rPr>
          <w:rFonts w:ascii="Narkisim" w:hAnsi="Narkisim"/>
          <w:rtl/>
        </w:rPr>
        <w:t xml:space="preserve"> (חולין תשלז) נקט דר' מאיר חייש למיעוטא מדאורייתא</w:t>
      </w:r>
      <w:r w:rsidRPr="007119D6">
        <w:rPr>
          <w:rStyle w:val="ac"/>
          <w:rFonts w:ascii="Narkisim" w:hAnsi="Narkisim"/>
          <w:rtl/>
        </w:rPr>
        <w:footnoteReference w:id="8165"/>
      </w:r>
      <w:r w:rsidRPr="007119D6">
        <w:rPr>
          <w:rFonts w:ascii="Narkisim" w:hAnsi="Narkisim"/>
          <w:rtl/>
        </w:rPr>
        <w:t xml:space="preserve">. </w:t>
      </w:r>
      <w:r w:rsidRPr="007119D6">
        <w:rPr>
          <w:rFonts w:ascii="Narkisim" w:hAnsi="Narkisim"/>
          <w:szCs w:val="20"/>
          <w:rtl/>
        </w:rPr>
        <w:t>והוכיח כן מהגמ' (חולין יב.) דהק' ר"מ היכי אכיל בישרא, וכן האיך אכל קדשים</w:t>
      </w:r>
      <w:r w:rsidRPr="007119D6">
        <w:rPr>
          <w:rStyle w:val="ac"/>
          <w:rFonts w:ascii="Narkisim" w:hAnsi="Narkisim"/>
          <w:szCs w:val="20"/>
          <w:rtl/>
        </w:rPr>
        <w:footnoteReference w:id="8166"/>
      </w:r>
      <w:r w:rsidRPr="007119D6">
        <w:rPr>
          <w:rFonts w:ascii="Narkisim" w:hAnsi="Narkisim"/>
          <w:szCs w:val="20"/>
          <w:rtl/>
        </w:rPr>
        <w:t xml:space="preserve"> [והגמ' מוכיחה דהיכא דלא אפשר סמכינן ארוב, ואף מדאורייתא</w:t>
      </w:r>
      <w:r w:rsidRPr="007119D6">
        <w:rPr>
          <w:rStyle w:val="ac"/>
          <w:rFonts w:ascii="Narkisim" w:hAnsi="Narkisim"/>
          <w:szCs w:val="20"/>
          <w:rtl/>
        </w:rPr>
        <w:footnoteReference w:id="8167"/>
      </w:r>
      <w:r w:rsidRPr="007119D6">
        <w:rPr>
          <w:rFonts w:ascii="Narkisim" w:hAnsi="Narkisim"/>
          <w:szCs w:val="20"/>
          <w:rtl/>
        </w:rPr>
        <w:t>].</w:t>
      </w:r>
    </w:p>
    <w:p w14:paraId="5C7A8338" w14:textId="77777777" w:rsidR="006C4368" w:rsidRPr="007119D6" w:rsidRDefault="006C4368" w:rsidP="006C4368">
      <w:pPr>
        <w:bidi/>
        <w:rPr>
          <w:rFonts w:ascii="Narkisim" w:hAnsi="Narkisim" w:cs="Narkisim"/>
        </w:rPr>
      </w:pPr>
      <w:r w:rsidRPr="007119D6">
        <w:rPr>
          <w:rFonts w:ascii="Narkisim" w:hAnsi="Narkisim" w:cs="Narkisim"/>
          <w:rtl/>
        </w:rPr>
        <w:t>ותוס' דידן נסתפקו דאף היכא דאיכא חזקה בהדיא חיישינן רק מדרבנן</w:t>
      </w:r>
      <w:r w:rsidRPr="007119D6">
        <w:rPr>
          <w:rStyle w:val="ac"/>
          <w:rFonts w:ascii="Narkisim" w:hAnsi="Narkisim" w:cs="Narkisim"/>
          <w:rtl/>
        </w:rPr>
        <w:footnoteReference w:id="8168"/>
      </w:r>
      <w:r w:rsidRPr="007119D6">
        <w:rPr>
          <w:rFonts w:ascii="Narkisim" w:hAnsi="Narkisim" w:cs="Narkisim"/>
          <w:rtl/>
        </w:rPr>
        <w:t xml:space="preserve"> [ודלא כתוס' חולין פו: ובכורות כ. הנ”ל]. ו</w:t>
      </w:r>
      <w:r w:rsidRPr="007119D6">
        <w:rPr>
          <w:rFonts w:ascii="Narkisim" w:hAnsi="Narkisim" w:cs="Narkisim"/>
          <w:b/>
          <w:bCs/>
          <w:rtl/>
        </w:rPr>
        <w:t>רע"א</w:t>
      </w:r>
      <w:r w:rsidRPr="007119D6">
        <w:rPr>
          <w:rFonts w:ascii="Narkisim" w:hAnsi="Narkisim" w:cs="Narkisim"/>
          <w:rtl/>
        </w:rPr>
        <w:t xml:space="preserve"> תמה דמבואר בגמ' (קידושין פ., הו' בתוס' בע”ב) דמהני סמוך מיעוטא לחזקה להקל, ולטהר [עכ"פ מדין ספק טומאה ברה"ר]. וע"כ דמהני מדאורייתא</w:t>
      </w:r>
      <w:r w:rsidRPr="007119D6">
        <w:rPr>
          <w:rStyle w:val="ac"/>
          <w:rFonts w:ascii="Narkisim" w:hAnsi="Narkisim" w:cs="Narkisim"/>
          <w:rtl/>
        </w:rPr>
        <w:footnoteReference w:id="8169"/>
      </w:r>
      <w:r w:rsidRPr="007119D6">
        <w:rPr>
          <w:rFonts w:ascii="Narkisim" w:hAnsi="Narkisim" w:cs="Narkisim"/>
          <w:rtl/>
        </w:rPr>
        <w:t>.</w:t>
      </w:r>
    </w:p>
    <w:p w14:paraId="6308EAC3" w14:textId="77777777" w:rsidR="006C4368" w:rsidRPr="007119D6" w:rsidRDefault="006C4368" w:rsidP="006C4368">
      <w:pPr>
        <w:bidi/>
        <w:rPr>
          <w:rFonts w:ascii="Narkisim" w:hAnsi="Narkisim" w:cs="Narkisim"/>
        </w:rPr>
      </w:pPr>
      <w:r w:rsidRPr="007119D6">
        <w:rPr>
          <w:rFonts w:ascii="Narkisim" w:hAnsi="Narkisim" w:cs="Narkisim"/>
          <w:u w:val="single"/>
          <w:rtl/>
        </w:rPr>
        <w:t>במאי אוקימתא כר"מ, אימא סיפא וכו'</w:t>
      </w:r>
      <w:r w:rsidRPr="007119D6">
        <w:rPr>
          <w:rFonts w:ascii="Narkisim" w:hAnsi="Narkisim" w:cs="Narkisim"/>
          <w:rtl/>
        </w:rPr>
        <w:t>. צ"ב דכ"ש לרבנן ניזל בתר רוב מתעברות ויולדות. ופ</w:t>
      </w:r>
      <w:r w:rsidRPr="007119D6">
        <w:rPr>
          <w:rFonts w:ascii="Narkisim" w:hAnsi="Narkisim" w:cs="Narkisim"/>
          <w:b/>
          <w:bCs/>
          <w:rtl/>
        </w:rPr>
        <w:t>רש”י</w:t>
      </w:r>
      <w:r w:rsidRPr="007119D6">
        <w:rPr>
          <w:rFonts w:ascii="Narkisim" w:hAnsi="Narkisim" w:cs="Narkisim"/>
          <w:rtl/>
        </w:rPr>
        <w:t xml:space="preserve"> דכוונת הגמ' דלרבנן זכרים מיעוטא [דמיעוט נקיבות ומיעוט מפילות]. וקו' הגמ' דלר"מ נהי דיש רוב, מ"מ ר' מאיר חייש למיעוטא [כיון דלא הוה מיעוטא דמיעוטא].</w:t>
      </w:r>
    </w:p>
    <w:p w14:paraId="68231880" w14:textId="77777777" w:rsidR="006C4368" w:rsidRPr="007119D6" w:rsidRDefault="006C4368" w:rsidP="006C4368">
      <w:pPr>
        <w:bidi/>
        <w:rPr>
          <w:rFonts w:ascii="Narkisim" w:hAnsi="Narkisim" w:cs="Narkisim"/>
        </w:rPr>
      </w:pPr>
      <w:r w:rsidRPr="007119D6">
        <w:rPr>
          <w:rFonts w:ascii="Narkisim" w:hAnsi="Narkisim" w:cs="Narkisim"/>
          <w:u w:val="single"/>
          <w:rtl/>
        </w:rPr>
        <w:t>היתה לה חמות אינה חוששת, אמאי הלך אחר רוב נשים, ורוב נשים מתעברות ויולדות וכו' מחצה זכרים וכו</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הק' דהיכא דשהתה זמן רב במדינת הים, א"כ משום הך רוב נימא דמסתמא ילדה כמה בנים, ואף דבכל לידה הוה מחצה זכרים ומחצה נקיבות, רוב יולדות גם בן זכר במשך הזמן.</w:t>
      </w:r>
    </w:p>
    <w:p w14:paraId="256FC24A"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(ת קמה) כת' דהיה אפשר לומר דהנידון כאן על זמן מסויים שהיה במדינת הים, וזמן הספק הוה על ולד א'. אבל היכא שיש ספק שיש לו זרע רב, י"ל דתליין דמסתמא יש לו עכ"פ בן א'. אך הביא דכל הפוסקים סתמו בזה, ומשמע דאף באופן שהחמות היתה לעולם במדינת הים אמרי' מחצה נקיבות.</w:t>
      </w:r>
    </w:p>
    <w:p w14:paraId="4B7D57EA"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או"ש</w:t>
      </w:r>
      <w:r w:rsidRPr="007119D6">
        <w:rPr>
          <w:rFonts w:ascii="Narkisim" w:hAnsi="Narkisim"/>
          <w:rtl/>
        </w:rPr>
        <w:t xml:space="preserve"> (ג טז) תי'</w:t>
      </w:r>
      <w:r w:rsidRPr="007119D6">
        <w:rPr>
          <w:rStyle w:val="ac"/>
          <w:rFonts w:ascii="Narkisim" w:hAnsi="Narkisim"/>
          <w:rtl/>
        </w:rPr>
        <w:footnoteReference w:id="8170"/>
      </w:r>
      <w:r w:rsidRPr="007119D6">
        <w:rPr>
          <w:rFonts w:ascii="Narkisim" w:hAnsi="Narkisim"/>
          <w:rtl/>
        </w:rPr>
        <w:t xml:space="preserve"> דהרוב אינו על כל שיעור עיבור, אלא על זמן רב</w:t>
      </w:r>
      <w:r w:rsidRPr="007119D6">
        <w:rPr>
          <w:rStyle w:val="ac"/>
          <w:rFonts w:ascii="Narkisim" w:hAnsi="Narkisim"/>
          <w:rtl/>
        </w:rPr>
        <w:footnoteReference w:id="8171"/>
      </w:r>
      <w:r w:rsidRPr="007119D6">
        <w:rPr>
          <w:rFonts w:ascii="Narkisim" w:hAnsi="Narkisim"/>
          <w:rtl/>
        </w:rPr>
        <w:t>.</w:t>
      </w:r>
    </w:p>
    <w:p w14:paraId="22A28D57" w14:textId="77777777" w:rsidR="006C4368" w:rsidRPr="007119D6" w:rsidRDefault="006C4368" w:rsidP="006C4368">
      <w:pPr>
        <w:bidi/>
        <w:rPr>
          <w:rFonts w:ascii="Narkisim" w:hAnsi="Narkisim" w:cs="Narkisim"/>
        </w:rPr>
      </w:pPr>
      <w:r w:rsidRPr="007119D6">
        <w:rPr>
          <w:rFonts w:ascii="Narkisim" w:hAnsi="Narkisim" w:cs="Narkisim"/>
          <w:u w:val="single"/>
          <w:rtl/>
        </w:rPr>
        <w:t>וכל היולדות מחצה זכרים ומחצה נקיבות, סמוך מיעוט דמפילות</w:t>
      </w:r>
      <w:r w:rsidRPr="007119D6">
        <w:rPr>
          <w:rStyle w:val="ac"/>
          <w:rFonts w:ascii="Narkisim" w:hAnsi="Narkisim" w:cs="Narkisim"/>
          <w:u w:val="single"/>
          <w:rtl/>
        </w:rPr>
        <w:footnoteReference w:id="8172"/>
      </w:r>
      <w:r w:rsidRPr="007119D6">
        <w:rPr>
          <w:rFonts w:ascii="Narkisim" w:hAnsi="Narkisim" w:cs="Narkisim"/>
          <w:u w:val="single"/>
          <w:rtl/>
        </w:rPr>
        <w:t xml:space="preserve"> וכו'</w:t>
      </w:r>
      <w:r w:rsidRPr="007119D6">
        <w:rPr>
          <w:rFonts w:ascii="Narkisim" w:hAnsi="Narkisim" w:cs="Narkisim"/>
          <w:rtl/>
        </w:rPr>
        <w:t xml:space="preserve">. [וכן מיעוט דאינן </w:t>
      </w:r>
      <w:r w:rsidRPr="007119D6">
        <w:rPr>
          <w:rFonts w:ascii="Narkisim" w:hAnsi="Narkisim" w:cs="Narkisim"/>
          <w:rtl/>
        </w:rPr>
        <w:lastRenderedPageBreak/>
        <w:t>מתעברות כלל</w:t>
      </w:r>
      <w:r w:rsidRPr="007119D6">
        <w:rPr>
          <w:rStyle w:val="ac"/>
          <w:rFonts w:ascii="Narkisim" w:hAnsi="Narkisim" w:cs="Narkisim"/>
          <w:rtl/>
        </w:rPr>
        <w:footnoteReference w:id="8173"/>
      </w:r>
      <w:r w:rsidRPr="007119D6">
        <w:rPr>
          <w:rFonts w:ascii="Narkisim" w:hAnsi="Narkisim" w:cs="Narkisim"/>
          <w:rtl/>
        </w:rPr>
        <w:t>].</w:t>
      </w:r>
    </w:p>
    <w:p w14:paraId="51151A92" w14:textId="77777777" w:rsidR="006C4368" w:rsidRPr="007119D6" w:rsidRDefault="006C4368" w:rsidP="006C4368">
      <w:pPr>
        <w:bidi/>
        <w:rPr>
          <w:rFonts w:ascii="Narkisim" w:hAnsi="Narkisim" w:cs="Narkisim"/>
        </w:rPr>
      </w:pPr>
      <w:r w:rsidRPr="007119D6">
        <w:rPr>
          <w:rFonts w:ascii="Narkisim" w:hAnsi="Narkisim" w:cs="Narkisim"/>
          <w:rtl/>
        </w:rPr>
        <w:t>ובפשוטו משמע דכל מקום שיש ספק אפשר לצרף מיעוט, ועי"ז נחשב רוב. וכעין ספק ספיקא</w:t>
      </w:r>
      <w:r w:rsidRPr="007119D6">
        <w:rPr>
          <w:rStyle w:val="ac"/>
          <w:rFonts w:ascii="Narkisim" w:hAnsi="Narkisim" w:cs="Narkisim"/>
          <w:rtl/>
        </w:rPr>
        <w:footnoteReference w:id="8174"/>
      </w:r>
      <w:r w:rsidRPr="007119D6">
        <w:rPr>
          <w:rFonts w:ascii="Narkisim" w:hAnsi="Narkisim" w:cs="Narkisim"/>
          <w:rtl/>
        </w:rPr>
        <w:t>. אבל ה</w:t>
      </w:r>
      <w:r w:rsidRPr="007119D6">
        <w:rPr>
          <w:rFonts w:ascii="Narkisim" w:hAnsi="Narkisim" w:cs="Narkisim"/>
          <w:b/>
          <w:bCs/>
          <w:rtl/>
        </w:rPr>
        <w:t>ריב”ש</w:t>
      </w:r>
      <w:r w:rsidRPr="007119D6">
        <w:rPr>
          <w:rFonts w:ascii="Narkisim" w:hAnsi="Narkisim" w:cs="Narkisim"/>
          <w:rtl/>
        </w:rPr>
        <w:t xml:space="preserve"> (שעב, הו' בש”ש א יח) כת' דבכל ספק ספיקא ל"מ ספק א' שאינו שקול, ושאני הכא דטבע העולם דמחצה נקיבות, והוה ודאי והכרח דהוה מחצה ומחצה, כי כן יסד מלכו של עולם</w:t>
      </w:r>
      <w:r w:rsidRPr="007119D6">
        <w:rPr>
          <w:rStyle w:val="ac"/>
          <w:rFonts w:ascii="Narkisim" w:hAnsi="Narkisim" w:cs="Narkisim"/>
          <w:rtl/>
        </w:rPr>
        <w:footnoteReference w:id="8175"/>
      </w:r>
      <w:r w:rsidRPr="007119D6">
        <w:rPr>
          <w:rFonts w:ascii="Narkisim" w:hAnsi="Narkisim" w:cs="Narkisim"/>
          <w:rtl/>
        </w:rPr>
        <w:t>. ומש"ה כשמוסיפים המפילות הוה זכרים הנולדים מיעוט.</w:t>
      </w:r>
    </w:p>
    <w:p w14:paraId="31A93652" w14:textId="77777777" w:rsidR="006C4368" w:rsidRPr="007119D6" w:rsidRDefault="006C4368" w:rsidP="006C4368">
      <w:pPr>
        <w:pStyle w:val="aa"/>
        <w:bidi/>
        <w:rPr>
          <w:rFonts w:ascii="Narkisim" w:hAnsi="Narkisim"/>
        </w:rPr>
      </w:pPr>
      <w:r w:rsidRPr="007119D6">
        <w:rPr>
          <w:rFonts w:ascii="Narkisim" w:hAnsi="Narkisim"/>
          <w:u w:val="single"/>
          <w:rtl/>
        </w:rPr>
        <w:t>רישא דאיתחזק לייבום תייבם</w:t>
      </w:r>
      <w:r w:rsidRPr="007119D6">
        <w:rPr>
          <w:rFonts w:ascii="Narkisim" w:hAnsi="Narkisim"/>
          <w:rtl/>
        </w:rPr>
        <w:t>. המקשן ס"ל דחזקה ליבום עדיף מרוב מתעברות ויולדות. [ורבא (בע"ב) דחה דל"מ חזקה כנגד הרוב].</w:t>
      </w:r>
    </w:p>
    <w:p w14:paraId="4395B51D" w14:textId="77777777" w:rsidR="006C4368" w:rsidRPr="007119D6" w:rsidRDefault="006C4368" w:rsidP="006C4368">
      <w:pPr>
        <w:pStyle w:val="aa"/>
        <w:bidi/>
        <w:rPr>
          <w:rFonts w:ascii="Narkisim" w:hAnsi="Narkisim"/>
        </w:rPr>
      </w:pPr>
      <w:r w:rsidRPr="007119D6">
        <w:rPr>
          <w:rFonts w:ascii="Narkisim" w:hAnsi="Narkisim"/>
          <w:u w:val="single"/>
          <w:rtl/>
        </w:rPr>
        <w:t>אמר רב נחמן אמר רבה בר אבוה וכו' סיפא דאיסור לאו לא חששו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ואוקמא אחזקה. ולא חששו שמא נתעברה חמותה. וה</w:t>
      </w:r>
      <w:r w:rsidRPr="007119D6">
        <w:rPr>
          <w:rFonts w:ascii="Narkisim" w:hAnsi="Narkisim"/>
          <w:b/>
          <w:bCs/>
          <w:rtl/>
        </w:rPr>
        <w:t>ראשונים</w:t>
      </w:r>
      <w:r w:rsidRPr="007119D6">
        <w:rPr>
          <w:rFonts w:ascii="Narkisim" w:hAnsi="Narkisim"/>
          <w:rtl/>
        </w:rPr>
        <w:t xml:space="preserve"> כת' דלפ"ז ל"ג 'אלא אמר ר"נ', דקאי אתי' דלעיל דמשום חזקה. אבל ה</w:t>
      </w:r>
      <w:r w:rsidRPr="007119D6">
        <w:rPr>
          <w:rFonts w:ascii="Narkisim" w:hAnsi="Narkisim"/>
          <w:b/>
          <w:bCs/>
          <w:rtl/>
        </w:rPr>
        <w:t>רשב"א</w:t>
      </w:r>
      <w:r w:rsidRPr="007119D6">
        <w:rPr>
          <w:rFonts w:ascii="Narkisim" w:hAnsi="Narkisim"/>
          <w:rtl/>
        </w:rPr>
        <w:t xml:space="preserve"> ו</w:t>
      </w:r>
      <w:r w:rsidRPr="007119D6">
        <w:rPr>
          <w:rFonts w:ascii="Narkisim" w:hAnsi="Narkisim"/>
          <w:b/>
          <w:bCs/>
          <w:rtl/>
        </w:rPr>
        <w:t>ריטב"א</w:t>
      </w:r>
      <w:r w:rsidRPr="007119D6">
        <w:rPr>
          <w:rFonts w:ascii="Narkisim" w:hAnsi="Narkisim"/>
          <w:rtl/>
        </w:rPr>
        <w:t xml:space="preserve"> הביאו די"ג 'אלא', ולפ"ז לא קאי אתי' דלעיל. ורב נחמן ס"ל דל"מ חזקה. ותמהו דאי ליכא חזקה, א"כ אדרבה ברישא ניזיל בתר רוב, ונתיר לשוק [דהוה רק איסור לאו דיבמה לשוק].</w:t>
      </w:r>
    </w:p>
    <w:p w14:paraId="615204C1" w14:textId="77777777" w:rsidR="006C4368" w:rsidRPr="007119D6" w:rsidRDefault="006C4368" w:rsidP="006C4368">
      <w:pPr>
        <w:bidi/>
        <w:rPr>
          <w:rFonts w:ascii="Narkisim" w:hAnsi="Narkisim" w:cs="Narkisim"/>
        </w:rPr>
      </w:pPr>
      <w:r w:rsidRPr="007119D6">
        <w:rPr>
          <w:rFonts w:ascii="Narkisim" w:hAnsi="Narkisim" w:cs="Narkisim"/>
          <w:u w:val="single"/>
          <w:rtl/>
        </w:rPr>
        <w:t>אמר רבא מכדי הא דאורייתא והא דאורייתא, מה לי איסור כרת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דספיקא לאו הרחקה דרבנן הוא בדבר המותר. דשמא איסור דאורייתא ממש קעביד, א"כ יש לחוש לספק איסור אף במקום איסור לאו. ומבואר ברש"י דהיכא דהוה הרחקה בעלמא ניחא, דבכ”מ תקנו גדרים טפי לאיסור חמור</w:t>
      </w:r>
      <w:r w:rsidRPr="007119D6">
        <w:rPr>
          <w:rStyle w:val="ac"/>
          <w:rFonts w:ascii="Narkisim" w:hAnsi="Narkisim" w:cs="Narkisim"/>
          <w:rtl/>
        </w:rPr>
        <w:footnoteReference w:id="8176"/>
      </w:r>
      <w:r w:rsidRPr="007119D6">
        <w:rPr>
          <w:rFonts w:ascii="Narkisim" w:hAnsi="Narkisim" w:cs="Narkisim"/>
          <w:rtl/>
        </w:rPr>
        <w:t>.</w:t>
      </w:r>
    </w:p>
    <w:p w14:paraId="228D5D8C" w14:textId="77777777" w:rsidR="006C4368" w:rsidRPr="007119D6" w:rsidRDefault="006C4368" w:rsidP="006C4368">
      <w:pPr>
        <w:bidi/>
        <w:rPr>
          <w:rFonts w:ascii="Narkisim" w:hAnsi="Narkisim" w:cs="Narkisim"/>
        </w:rPr>
      </w:pPr>
      <w:r w:rsidRPr="007119D6">
        <w:rPr>
          <w:rFonts w:ascii="Narkisim" w:hAnsi="Narkisim" w:cs="Narkisim"/>
          <w:rtl/>
        </w:rPr>
        <w:t>ובגמ' (לעיל פב.) מביאה דרבה אמר כל בדאורייתא ל"ש איסור לאו ולא שנא איסור כרת</w:t>
      </w:r>
      <w:r w:rsidRPr="007119D6">
        <w:rPr>
          <w:rStyle w:val="ac"/>
          <w:rFonts w:ascii="Narkisim" w:hAnsi="Narkisim" w:cs="Narkisim"/>
          <w:rtl/>
        </w:rPr>
        <w:footnoteReference w:id="8177"/>
      </w:r>
      <w:r w:rsidRPr="007119D6">
        <w:rPr>
          <w:rFonts w:ascii="Narkisim" w:hAnsi="Narkisim" w:cs="Narkisim"/>
          <w:rtl/>
        </w:rPr>
        <w:t>. ופ</w:t>
      </w:r>
      <w:r w:rsidRPr="007119D6">
        <w:rPr>
          <w:rFonts w:ascii="Narkisim" w:hAnsi="Narkisim" w:cs="Narkisim"/>
          <w:b/>
          <w:bCs/>
          <w:rtl/>
        </w:rPr>
        <w:t>רש"י</w:t>
      </w:r>
      <w:r w:rsidRPr="007119D6">
        <w:rPr>
          <w:rFonts w:ascii="Narkisim" w:hAnsi="Narkisim" w:cs="Narkisim"/>
          <w:rtl/>
        </w:rPr>
        <w:t xml:space="preserve"> דכוונת הגמ' לסוגיין [וגרסי' בסוגיין רבה. או דגרסי' התם רבא]. ופ</w:t>
      </w:r>
      <w:r w:rsidRPr="007119D6">
        <w:rPr>
          <w:rFonts w:ascii="Narkisim" w:hAnsi="Narkisim" w:cs="Narkisim"/>
          <w:b/>
          <w:bCs/>
          <w:rtl/>
        </w:rPr>
        <w:t>רש"י</w:t>
      </w:r>
      <w:r w:rsidRPr="007119D6">
        <w:rPr>
          <w:rFonts w:ascii="Narkisim" w:hAnsi="Narkisim" w:cs="Narkisim"/>
          <w:rtl/>
        </w:rPr>
        <w:t xml:space="preserve"> (לעיל שם) דאם חשו רבנן לכרת חשו נמי ללאו, ועבוד תקנתא. וה</w:t>
      </w:r>
      <w:r w:rsidRPr="007119D6">
        <w:rPr>
          <w:rFonts w:ascii="Narkisim" w:hAnsi="Narkisim" w:cs="Narkisim"/>
          <w:b/>
          <w:bCs/>
          <w:rtl/>
        </w:rPr>
        <w:t>תה"ד</w:t>
      </w:r>
      <w:r w:rsidRPr="007119D6">
        <w:rPr>
          <w:rFonts w:ascii="Narkisim" w:hAnsi="Narkisim" w:cs="Narkisim"/>
          <w:rtl/>
        </w:rPr>
        <w:t xml:space="preserve"> (א רנ) העיר דסותר למש"כ רש"י כאן, ד</w:t>
      </w:r>
      <w:r w:rsidRPr="007119D6">
        <w:rPr>
          <w:rFonts w:ascii="Narkisim" w:hAnsi="Narkisim" w:cs="Narkisim"/>
          <w:b/>
          <w:bCs/>
          <w:rtl/>
        </w:rPr>
        <w:t>רש"י</w:t>
      </w:r>
      <w:r w:rsidRPr="007119D6">
        <w:rPr>
          <w:rFonts w:ascii="Narkisim" w:hAnsi="Narkisim" w:cs="Narkisim"/>
          <w:rtl/>
        </w:rPr>
        <w:t xml:space="preserve"> (בסוגין) כת' דבתקנתא דרבנן יש מקום לעשות הרחקה. וכן הביאו ה</w:t>
      </w:r>
      <w:r w:rsidRPr="007119D6">
        <w:rPr>
          <w:rFonts w:ascii="Narkisim" w:hAnsi="Narkisim" w:cs="Narkisim"/>
          <w:b/>
          <w:bCs/>
          <w:rtl/>
        </w:rPr>
        <w:t>אחרונים</w:t>
      </w:r>
      <w:r w:rsidRPr="007119D6">
        <w:rPr>
          <w:rFonts w:ascii="Narkisim" w:hAnsi="Narkisim" w:cs="Narkisim"/>
          <w:rtl/>
        </w:rPr>
        <w:t xml:space="preserve"> (משנ"ל יו"ט א יז) דבכ"מ (ע' לעיל קיד.</w:t>
      </w:r>
      <w:r w:rsidRPr="007119D6">
        <w:rPr>
          <w:rStyle w:val="ac"/>
          <w:rFonts w:ascii="Narkisim" w:hAnsi="Narkisim" w:cs="Narkisim"/>
          <w:rtl/>
        </w:rPr>
        <w:footnoteReference w:id="8178"/>
      </w:r>
      <w:r w:rsidRPr="007119D6">
        <w:rPr>
          <w:rFonts w:ascii="Narkisim" w:hAnsi="Narkisim" w:cs="Narkisim"/>
          <w:rtl/>
        </w:rPr>
        <w:t>) החמירו טפי במלאכת שבת [דהוה איסור סקילה] ממלאכת יו"ט, כיון דהוה לאו בעלמא</w:t>
      </w:r>
      <w:r w:rsidRPr="007119D6">
        <w:rPr>
          <w:rStyle w:val="ac"/>
          <w:rFonts w:ascii="Narkisim" w:hAnsi="Narkisim" w:cs="Narkisim"/>
          <w:rtl/>
        </w:rPr>
        <w:footnoteReference w:id="8179"/>
      </w:r>
      <w:r w:rsidRPr="007119D6">
        <w:rPr>
          <w:rFonts w:ascii="Narkisim" w:hAnsi="Narkisim" w:cs="Narkisim"/>
          <w:rtl/>
        </w:rPr>
        <w:t>. [ולדברי רש"י כאן ניחא, אך דברי רש"י כאן צ"ע מהגמ' לעיל פב.].</w:t>
      </w:r>
    </w:p>
    <w:p w14:paraId="244A79E2" w14:textId="77777777" w:rsidR="006C4368" w:rsidRPr="007119D6" w:rsidRDefault="006C4368" w:rsidP="006C4368">
      <w:pPr>
        <w:pStyle w:val="a8"/>
        <w:bidi/>
        <w:rPr>
          <w:rFonts w:ascii="Narkisim" w:hAnsi="Narkisim"/>
        </w:rPr>
      </w:pPr>
      <w:r w:rsidRPr="007119D6">
        <w:rPr>
          <w:rFonts w:ascii="Narkisim" w:hAnsi="Narkisim"/>
          <w:rtl/>
        </w:rPr>
        <w:t>ויש שפי' דלעולם חכמים תקנו טפי באיסור כרת, אלא במקום שהתקנה שייך גם באיסור לאו וגם באיסור כרת לא היה להם לחלק בזה, והחמירו אף באיסור לאו.</w:t>
      </w:r>
    </w:p>
    <w:p w14:paraId="5832AB84" w14:textId="77777777" w:rsidR="006C4368" w:rsidRPr="007119D6" w:rsidRDefault="006C4368" w:rsidP="006C4368">
      <w:pPr>
        <w:pStyle w:val="aa"/>
        <w:bidi/>
        <w:rPr>
          <w:rFonts w:ascii="Narkisim" w:hAnsi="Narkisim"/>
        </w:rPr>
      </w:pPr>
      <w:r w:rsidRPr="007119D6">
        <w:rPr>
          <w:rFonts w:ascii="Narkisim" w:hAnsi="Narkisim"/>
          <w:u w:val="single"/>
          <w:rtl/>
        </w:rPr>
        <w:t>רש”י ד”ה מה לי</w:t>
      </w:r>
      <w:r w:rsidRPr="007119D6">
        <w:rPr>
          <w:rFonts w:ascii="Narkisim" w:hAnsi="Narkisim"/>
          <w:rtl/>
        </w:rPr>
        <w:t>. מידי ספיקא לאו הרחקה דרבנן היא בדבר המותר וכו' שמא איסורא דאורייתא ממש קעביד. וה</w:t>
      </w:r>
      <w:r w:rsidRPr="007119D6">
        <w:rPr>
          <w:rFonts w:ascii="Narkisim" w:hAnsi="Narkisim"/>
          <w:b/>
          <w:bCs/>
          <w:rtl/>
        </w:rPr>
        <w:t>אחרונים</w:t>
      </w:r>
      <w:r w:rsidRPr="007119D6">
        <w:rPr>
          <w:rFonts w:ascii="Narkisim" w:hAnsi="Narkisim"/>
          <w:rtl/>
        </w:rPr>
        <w:t xml:space="preserve"> (גליון מהרש”א) דייקו מדברי רש"י דספק דאורייתא לחומרא הוה מדאורייתא</w:t>
      </w:r>
      <w:r w:rsidRPr="007119D6">
        <w:rPr>
          <w:rStyle w:val="ac"/>
          <w:rFonts w:ascii="Narkisim" w:hAnsi="Narkisim"/>
          <w:rtl/>
        </w:rPr>
        <w:footnoteReference w:id="8180"/>
      </w:r>
      <w:r w:rsidRPr="007119D6">
        <w:rPr>
          <w:rFonts w:ascii="Narkisim" w:hAnsi="Narkisim"/>
          <w:rtl/>
        </w:rPr>
        <w:t>, וכדעת ה</w:t>
      </w:r>
      <w:r w:rsidRPr="007119D6">
        <w:rPr>
          <w:rFonts w:ascii="Narkisim" w:hAnsi="Narkisim"/>
          <w:b/>
          <w:bCs/>
          <w:rtl/>
        </w:rPr>
        <w:t>רשב"א</w:t>
      </w:r>
      <w:r w:rsidRPr="007119D6">
        <w:rPr>
          <w:rFonts w:ascii="Narkisim" w:hAnsi="Narkisim"/>
          <w:rtl/>
        </w:rPr>
        <w:t xml:space="preserve"> (תוה”ב ד א, וקידושין עג.), ודלא כדעת ה</w:t>
      </w:r>
      <w:r w:rsidRPr="007119D6">
        <w:rPr>
          <w:rFonts w:ascii="Narkisim" w:hAnsi="Narkisim"/>
          <w:b/>
          <w:bCs/>
          <w:rtl/>
        </w:rPr>
        <w:t>רמב"ם</w:t>
      </w:r>
      <w:r w:rsidRPr="007119D6">
        <w:rPr>
          <w:rFonts w:ascii="Narkisim" w:hAnsi="Narkisim"/>
          <w:rtl/>
        </w:rPr>
        <w:t xml:space="preserve"> (טומ”מ ט יב, כלאים י כז) דמדאורייתא לקולא </w:t>
      </w:r>
      <w:r w:rsidRPr="007119D6">
        <w:rPr>
          <w:rFonts w:ascii="Narkisim" w:hAnsi="Narkisim"/>
          <w:rtl/>
        </w:rPr>
        <w:lastRenderedPageBreak/>
        <w:t>[והחמירו רק מדרבנן].</w:t>
      </w:r>
    </w:p>
    <w:p w14:paraId="2AEACDAE" w14:textId="77777777" w:rsidR="006C4368" w:rsidRPr="007119D6" w:rsidRDefault="006C4368" w:rsidP="006C4368">
      <w:pPr>
        <w:pStyle w:val="a8"/>
        <w:bidi/>
        <w:rPr>
          <w:rFonts w:ascii="Narkisim" w:hAnsi="Narkisim"/>
        </w:rPr>
      </w:pPr>
      <w:r w:rsidRPr="007119D6">
        <w:rPr>
          <w:rFonts w:ascii="Narkisim" w:hAnsi="Narkisim"/>
          <w:rtl/>
        </w:rPr>
        <w:t>אך העירו ד</w:t>
      </w:r>
      <w:r w:rsidRPr="007119D6">
        <w:rPr>
          <w:rFonts w:ascii="Narkisim" w:hAnsi="Narkisim"/>
          <w:b/>
          <w:bCs/>
          <w:rtl/>
        </w:rPr>
        <w:t>רש"י</w:t>
      </w:r>
      <w:r w:rsidRPr="007119D6">
        <w:rPr>
          <w:rFonts w:ascii="Narkisim" w:hAnsi="Narkisim"/>
          <w:rtl/>
        </w:rPr>
        <w:t xml:space="preserve"> (יומא סד.) משמע דספיקות הוה רק מדרבנן</w:t>
      </w:r>
      <w:r w:rsidRPr="007119D6">
        <w:rPr>
          <w:rStyle w:val="ac"/>
          <w:rFonts w:ascii="Narkisim" w:hAnsi="Narkisim"/>
          <w:rtl/>
        </w:rPr>
        <w:footnoteReference w:id="8181"/>
      </w:r>
      <w:r w:rsidRPr="007119D6">
        <w:rPr>
          <w:rFonts w:ascii="Narkisim" w:hAnsi="Narkisim"/>
          <w:rtl/>
        </w:rPr>
        <w:t>.</w:t>
      </w:r>
    </w:p>
    <w:p w14:paraId="0CE1672D" w14:textId="77777777" w:rsidR="006C4368" w:rsidRPr="007119D6" w:rsidRDefault="006C4368" w:rsidP="006C4368">
      <w:pPr>
        <w:pStyle w:val="3"/>
        <w:bidi/>
        <w:rPr>
          <w:rFonts w:ascii="Narkisim" w:hAnsi="Narkisim"/>
        </w:rPr>
      </w:pPr>
      <w:r w:rsidRPr="007119D6">
        <w:rPr>
          <w:rFonts w:ascii="Narkisim" w:hAnsi="Narkisim"/>
          <w:rtl/>
        </w:rPr>
        <w:t>דף קיט:</w:t>
      </w:r>
    </w:p>
    <w:p w14:paraId="3E3FF074" w14:textId="77777777" w:rsidR="006C4368" w:rsidRPr="007119D6" w:rsidRDefault="006C4368" w:rsidP="006C4368">
      <w:pPr>
        <w:bidi/>
        <w:rPr>
          <w:rFonts w:ascii="Narkisim" w:hAnsi="Narkisim" w:cs="Narkisim"/>
        </w:rPr>
      </w:pPr>
      <w:r w:rsidRPr="007119D6">
        <w:rPr>
          <w:rFonts w:ascii="Narkisim" w:hAnsi="Narkisim" w:cs="Narkisim"/>
          <w:u w:val="single"/>
          <w:rtl/>
        </w:rPr>
        <w:t>אלא אמר רבא רישא חזקה ליבום ורובא לשוק, וחזקה לא עדיף כי רובא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דאסורה לשוק כדר' מאיר דחייש למיעוטא (וכדאי' בע”ב).</w:t>
      </w:r>
    </w:p>
    <w:p w14:paraId="35F87A71" w14:textId="77777777" w:rsidR="006C4368" w:rsidRPr="007119D6" w:rsidRDefault="006C4368" w:rsidP="006C4368">
      <w:pPr>
        <w:pStyle w:val="a7"/>
        <w:bidi/>
        <w:rPr>
          <w:rFonts w:ascii="Narkisim" w:hAnsi="Narkisim"/>
        </w:rPr>
      </w:pPr>
      <w:r w:rsidRPr="007119D6">
        <w:rPr>
          <w:rFonts w:ascii="Narkisim" w:hAnsi="Narkisim"/>
          <w:rtl/>
        </w:rPr>
        <w:t>ובפשוטו משמע דקאי לר' מאיר, אבל לרבנן מיעוטא כמאן דליתא (וכדאי' קידושין פ.) ולא חיישינן כלל. וכ”מ ב</w:t>
      </w:r>
      <w:r w:rsidRPr="007119D6">
        <w:rPr>
          <w:rFonts w:ascii="Narkisim" w:hAnsi="Narkisim"/>
          <w:b/>
          <w:bCs/>
          <w:rtl/>
        </w:rPr>
        <w:t>תוס</w:t>
      </w:r>
      <w:r w:rsidRPr="007119D6">
        <w:rPr>
          <w:rFonts w:ascii="Narkisim" w:hAnsi="Narkisim"/>
          <w:rtl/>
        </w:rPr>
        <w:t>'</w:t>
      </w:r>
      <w:r w:rsidRPr="007119D6">
        <w:rPr>
          <w:rStyle w:val="ac"/>
          <w:rFonts w:ascii="Narkisim" w:hAnsi="Narkisim"/>
          <w:rtl/>
        </w:rPr>
        <w:footnoteReference w:id="8182"/>
      </w:r>
      <w:r w:rsidRPr="007119D6">
        <w:rPr>
          <w:rFonts w:ascii="Narkisim" w:hAnsi="Narkisim"/>
          <w:rtl/>
        </w:rPr>
        <w:t>.</w:t>
      </w:r>
    </w:p>
    <w:p w14:paraId="187E14E6" w14:textId="77777777" w:rsidR="006C4368" w:rsidRPr="007119D6" w:rsidRDefault="006C4368" w:rsidP="006C4368">
      <w:pPr>
        <w:pStyle w:val="a7"/>
        <w:bidi/>
        <w:rPr>
          <w:rFonts w:ascii="Narkisim" w:hAnsi="Narkisim"/>
        </w:rPr>
      </w:pPr>
      <w:r w:rsidRPr="007119D6">
        <w:rPr>
          <w:rFonts w:ascii="Narkisim" w:hAnsi="Narkisim"/>
          <w:rtl/>
        </w:rPr>
        <w:t xml:space="preserve">אבל דעת </w:t>
      </w:r>
      <w:r w:rsidRPr="007119D6">
        <w:rPr>
          <w:rFonts w:ascii="Narkisim" w:hAnsi="Narkisim"/>
          <w:b/>
          <w:bCs/>
          <w:rtl/>
        </w:rPr>
        <w:t>רב האי גאון</w:t>
      </w:r>
      <w:r w:rsidRPr="007119D6">
        <w:rPr>
          <w:rFonts w:ascii="Narkisim" w:hAnsi="Narkisim"/>
          <w:rtl/>
        </w:rPr>
        <w:t xml:space="preserve"> (הו' ברמב”ן ושא”ר, וכן בבעה”מ קידושין נ. כא: בדה”ר) דרבא קאי אליבא דכו"ע [בין לר"מ ובין לרבנן]</w:t>
      </w:r>
      <w:r w:rsidRPr="007119D6">
        <w:rPr>
          <w:rStyle w:val="ac"/>
          <w:rFonts w:ascii="Narkisim" w:hAnsi="Narkisim"/>
          <w:rtl/>
        </w:rPr>
        <w:footnoteReference w:id="8183"/>
      </w:r>
      <w:r w:rsidRPr="007119D6">
        <w:rPr>
          <w:rFonts w:ascii="Narkisim" w:hAnsi="Narkisim"/>
          <w:rtl/>
        </w:rPr>
        <w:t>. ואפי' רבנן מודו הכא דיש חזקה כנגדו הרוב. דהא דאמרו רבנן קיל בתר רובא ה”מ היכא דאינו כנגד חזקה, אבל כשיש חזקה סמוך מיעוט לחזקה והוה פלגא ופלגא. וכה"ג אף רבנן חיישי למיעוטא</w:t>
      </w:r>
      <w:r w:rsidRPr="007119D6">
        <w:rPr>
          <w:rStyle w:val="ac"/>
          <w:rFonts w:ascii="Narkisim" w:hAnsi="Narkisim"/>
          <w:rtl/>
        </w:rPr>
        <w:footnoteReference w:id="8184"/>
      </w:r>
      <w:r w:rsidRPr="007119D6">
        <w:rPr>
          <w:rFonts w:ascii="Narkisim" w:hAnsi="Narkisim"/>
          <w:rtl/>
        </w:rPr>
        <w:t>. [ע"ע בסמוך].</w:t>
      </w:r>
    </w:p>
    <w:p w14:paraId="37F478D9" w14:textId="77777777" w:rsidR="006C4368" w:rsidRPr="007119D6" w:rsidRDefault="006C4368" w:rsidP="006C4368">
      <w:pPr>
        <w:pStyle w:val="aa"/>
        <w:bidi/>
        <w:rPr>
          <w:rFonts w:ascii="Narkisim" w:hAnsi="Narkisim"/>
        </w:rPr>
      </w:pPr>
      <w:r w:rsidRPr="007119D6">
        <w:rPr>
          <w:rFonts w:ascii="Narkisim" w:hAnsi="Narkisim"/>
          <w:u w:val="single"/>
          <w:rtl/>
        </w:rPr>
        <w:t>וחזקה לא עדיף כי רובא</w:t>
      </w:r>
      <w:r w:rsidRPr="007119D6">
        <w:rPr>
          <w:rStyle w:val="ac"/>
          <w:rFonts w:ascii="Narkisim" w:hAnsi="Narkisim"/>
          <w:u w:val="single"/>
          <w:rtl/>
        </w:rPr>
        <w:footnoteReference w:id="8185"/>
      </w:r>
      <w:r w:rsidRPr="007119D6">
        <w:rPr>
          <w:rFonts w:ascii="Narkisim" w:hAnsi="Narkisim"/>
          <w:u w:val="single"/>
          <w:rtl/>
        </w:rPr>
        <w:t xml:space="preserve"> וכו'</w:t>
      </w:r>
      <w:r w:rsidRPr="007119D6">
        <w:rPr>
          <w:rFonts w:ascii="Narkisim" w:hAnsi="Narkisim"/>
          <w:rtl/>
        </w:rPr>
        <w:t>. מבואר בגמ' דאף ר' מאיר ס"ל דרוב עדיף מחזקה [וחזקה לא עדיף כרוב].</w:t>
      </w:r>
    </w:p>
    <w:p w14:paraId="38CCE6A3"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ומבואר בהנך סוגיות דסמוך מיעוטא לחזקה הוה מדאורייתא, דמהני להקל [וכמ”ש </w:t>
      </w:r>
      <w:r w:rsidRPr="007119D6">
        <w:rPr>
          <w:rFonts w:ascii="Narkisim" w:hAnsi="Narkisim" w:cs="Narkisim"/>
          <w:b/>
          <w:bCs/>
          <w:rtl/>
        </w:rPr>
        <w:t>תוס'</w:t>
      </w:r>
      <w:r w:rsidRPr="007119D6">
        <w:rPr>
          <w:rFonts w:ascii="Narkisim" w:hAnsi="Narkisim" w:cs="Narkisim"/>
          <w:rtl/>
        </w:rPr>
        <w:t xml:space="preserve"> חולין ובכורות, הו' בע”א. וצ”ע מתוס' בע”א]. אך תוס' (הנ"ל) נקטו דהיכא דליכא חזקה, חיישינן למיעוטא רק מדרבנן.</w:t>
      </w:r>
    </w:p>
    <w:p w14:paraId="27B8D1D5" w14:textId="77777777" w:rsidR="006C4368" w:rsidRPr="007119D6" w:rsidRDefault="006C4368" w:rsidP="006C4368">
      <w:pPr>
        <w:pStyle w:val="a7"/>
        <w:bidi/>
        <w:rPr>
          <w:rFonts w:ascii="Narkisim" w:hAnsi="Narkisim"/>
        </w:rPr>
      </w:pPr>
      <w:r w:rsidRPr="007119D6">
        <w:rPr>
          <w:rFonts w:ascii="Narkisim" w:hAnsi="Narkisim"/>
          <w:rtl/>
        </w:rPr>
        <w:t>ולכאורה לפ"ז עיקר המח' מדאורייתא בדין סמוך מיעוטא לחזקה, ומש"ה גזרו אף היכא דליכא חזקה. אך בפשוטו מבואר להיפך, דכיון דחיישינן למיעוטא, מש"ה מהני המיעוט להצטרף לרוב.</w:t>
      </w:r>
    </w:p>
    <w:p w14:paraId="7856B151"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(ב כג ב, והו' בקובה”ע סו י) ביאר דר"מ ס"ל דחיישינן למיעוטא, ולא אמרי' דהמיעוט כמאן דליתא. אלא דמדאורייתא אזלינן בתר רובא אף היכא דמיעוטא כמאן דאיתא, מ"מ כיון דכמאן דאיתיה חכמים החמירו לחוש למיעוטא. [והגזירה דרבנן תלי בשורש הדבר מדאורייתא]. וכיון דכמאן דאיתיה דמי, מש"ה המיעוט חשוב וכשנצטרף עמו חזקה הוה ספק דאורייתא נגד הרוב.</w:t>
      </w:r>
    </w:p>
    <w:p w14:paraId="30DD6192" w14:textId="77777777" w:rsidR="006C4368" w:rsidRPr="007119D6" w:rsidRDefault="006C4368" w:rsidP="006C4368">
      <w:pPr>
        <w:pStyle w:val="a8"/>
        <w:bidi/>
        <w:rPr>
          <w:rFonts w:ascii="Narkisim" w:hAnsi="Narkisim"/>
        </w:rPr>
      </w:pPr>
      <w:r w:rsidRPr="007119D6">
        <w:rPr>
          <w:rFonts w:ascii="Narkisim" w:hAnsi="Narkisim"/>
          <w:rtl/>
        </w:rPr>
        <w:t>ואילו רבנן לא חיישי למיעוט כלל, והרי הוא לגמרי כמאן דליתא. מש"ה גם באיכא חזקה המסייעו אינו מדאורייתא. ומש"ה מטמאין העיסה.</w:t>
      </w:r>
    </w:p>
    <w:p w14:paraId="37F4DC4E" w14:textId="77777777" w:rsidR="006C4368" w:rsidRPr="007119D6" w:rsidRDefault="006C4368" w:rsidP="006C4368">
      <w:pPr>
        <w:bidi/>
        <w:rPr>
          <w:rFonts w:ascii="Narkisim" w:hAnsi="Narkisim" w:cs="Narkisim"/>
        </w:rPr>
      </w:pPr>
      <w:r w:rsidRPr="007119D6">
        <w:rPr>
          <w:rFonts w:ascii="Narkisim" w:hAnsi="Narkisim" w:cs="Narkisim"/>
          <w:u w:val="single"/>
          <w:rtl/>
        </w:rPr>
        <w:t>תוד”ה וחזקה</w:t>
      </w:r>
      <w:r w:rsidRPr="007119D6">
        <w:rPr>
          <w:rFonts w:ascii="Narkisim" w:hAnsi="Narkisim" w:cs="Narkisim"/>
          <w:rtl/>
        </w:rPr>
        <w:t>. דאפי' עדיף מרוב נשים מתעברות ויולדות, מ”מ יש לחוש דר”מ חייש למיעוט. וצ”ב קו' התוס' דאי חזקה עדיף</w:t>
      </w:r>
      <w:r w:rsidRPr="007119D6">
        <w:rPr>
          <w:rStyle w:val="ac"/>
          <w:rFonts w:ascii="Narkisim" w:hAnsi="Narkisim" w:cs="Narkisim"/>
          <w:rtl/>
        </w:rPr>
        <w:footnoteReference w:id="8186"/>
      </w:r>
      <w:r w:rsidRPr="007119D6">
        <w:rPr>
          <w:rFonts w:ascii="Narkisim" w:hAnsi="Narkisim" w:cs="Narkisim"/>
          <w:rtl/>
        </w:rPr>
        <w:t xml:space="preserve"> א"כ ניזיל בתריה. ונהי דר”מ חייש למיעוטא, ל”מ דל"ל חזקה.</w:t>
      </w:r>
    </w:p>
    <w:p w14:paraId="47B47400" w14:textId="77777777" w:rsidR="006C4368" w:rsidRPr="007119D6" w:rsidRDefault="006C4368" w:rsidP="006C4368">
      <w:pPr>
        <w:pStyle w:val="a7"/>
        <w:bidi/>
        <w:rPr>
          <w:rFonts w:ascii="Narkisim" w:hAnsi="Narkisim"/>
        </w:rPr>
      </w:pPr>
      <w:r w:rsidRPr="007119D6">
        <w:rPr>
          <w:rFonts w:ascii="Narkisim" w:hAnsi="Narkisim"/>
          <w:rtl/>
        </w:rPr>
        <w:t>והביאו דמשמע מדברי התוס' כ</w:t>
      </w:r>
      <w:r w:rsidRPr="007119D6">
        <w:rPr>
          <w:rFonts w:ascii="Narkisim" w:hAnsi="Narkisim"/>
          <w:b/>
          <w:bCs/>
          <w:rtl/>
        </w:rPr>
        <w:t>ראש יוסף</w:t>
      </w:r>
      <w:r w:rsidRPr="007119D6">
        <w:rPr>
          <w:rFonts w:ascii="Narkisim" w:hAnsi="Narkisim"/>
          <w:rtl/>
        </w:rPr>
        <w:t xml:space="preserve"> (חולין יב., ובפרמ”ג יו"ד כח כז) דר"מ לא אזל בתר חזקה [היכא דאפשר]. דכיון דרובא וחזקה רובא עדיף, ואפ"ה חייש למיעוטא, כ"ש דחייש כנגד החזקה</w:t>
      </w:r>
      <w:r w:rsidRPr="007119D6">
        <w:rPr>
          <w:rStyle w:val="ac"/>
          <w:rFonts w:ascii="Narkisim" w:hAnsi="Narkisim"/>
          <w:rtl/>
        </w:rPr>
        <w:footnoteReference w:id="8187"/>
      </w:r>
      <w:r w:rsidRPr="007119D6">
        <w:rPr>
          <w:rFonts w:ascii="Narkisim" w:hAnsi="Narkisim"/>
          <w:rtl/>
        </w:rPr>
        <w:t>.</w:t>
      </w:r>
    </w:p>
    <w:p w14:paraId="70D311C4" w14:textId="77777777" w:rsidR="006C4368" w:rsidRPr="007119D6" w:rsidRDefault="006C4368" w:rsidP="006C4368">
      <w:pPr>
        <w:bidi/>
        <w:rPr>
          <w:rFonts w:ascii="Narkisim" w:hAnsi="Narkisim" w:cs="Narkisim"/>
        </w:rPr>
      </w:pPr>
      <w:r w:rsidRPr="007119D6">
        <w:rPr>
          <w:rFonts w:ascii="Narkisim" w:hAnsi="Narkisim" w:cs="Narkisim"/>
          <w:rtl/>
        </w:rPr>
        <w:t>אבל ה</w:t>
      </w:r>
      <w:r w:rsidRPr="007119D6">
        <w:rPr>
          <w:rFonts w:ascii="Narkisim" w:hAnsi="Narkisim" w:cs="Narkisim"/>
          <w:b/>
          <w:bCs/>
          <w:rtl/>
        </w:rPr>
        <w:t>מרדכי</w:t>
      </w:r>
      <w:r w:rsidRPr="007119D6">
        <w:rPr>
          <w:rFonts w:ascii="Narkisim" w:hAnsi="Narkisim" w:cs="Narkisim"/>
          <w:rtl/>
        </w:rPr>
        <w:t xml:space="preserve"> (חולין תשלז) תמה דכיון דר"מ חייש למיעוטא מדאורייתא [ע' בע"ב] ופליג </w:t>
      </w:r>
      <w:r w:rsidRPr="007119D6">
        <w:rPr>
          <w:rFonts w:ascii="Narkisim" w:hAnsi="Narkisim" w:cs="Narkisim"/>
          <w:rtl/>
        </w:rPr>
        <w:lastRenderedPageBreak/>
        <w:t>אדין רוב, ואילו חזקה מהני, דלא אשכחן דפליג בכל מקום שאנו מעמידים דבר על חזקתו. והק' דקי"ל דרובא וחזקה רובא עדיף</w:t>
      </w:r>
      <w:r w:rsidRPr="007119D6">
        <w:rPr>
          <w:rStyle w:val="ac"/>
          <w:rFonts w:ascii="Narkisim" w:hAnsi="Narkisim" w:cs="Narkisim"/>
          <w:rtl/>
        </w:rPr>
        <w:footnoteReference w:id="8188"/>
      </w:r>
      <w:r w:rsidRPr="007119D6">
        <w:rPr>
          <w:rFonts w:ascii="Narkisim" w:hAnsi="Narkisim" w:cs="Narkisim"/>
          <w:rtl/>
        </w:rPr>
        <w:t>.</w:t>
      </w:r>
    </w:p>
    <w:p w14:paraId="6C5D9060" w14:textId="77777777" w:rsidR="006C4368" w:rsidRPr="007119D6" w:rsidRDefault="006C4368" w:rsidP="006C4368">
      <w:pPr>
        <w:pStyle w:val="a8"/>
        <w:bidi/>
        <w:rPr>
          <w:rFonts w:ascii="Narkisim" w:hAnsi="Narkisim"/>
        </w:rPr>
      </w:pPr>
      <w:r w:rsidRPr="007119D6">
        <w:rPr>
          <w:rFonts w:ascii="Narkisim" w:hAnsi="Narkisim"/>
          <w:rtl/>
        </w:rPr>
        <w:t>וכה”ק ה</w:t>
      </w:r>
      <w:r w:rsidRPr="007119D6">
        <w:rPr>
          <w:rFonts w:ascii="Narkisim" w:hAnsi="Narkisim"/>
          <w:b/>
          <w:bCs/>
          <w:rtl/>
        </w:rPr>
        <w:t>פנ"י</w:t>
      </w:r>
      <w:r w:rsidRPr="007119D6">
        <w:rPr>
          <w:rFonts w:ascii="Narkisim" w:hAnsi="Narkisim"/>
          <w:rtl/>
        </w:rPr>
        <w:t xml:space="preserve"> (כתובות יב:) דקי"ל דרובא עדיף מחזקה. ותי' דדוקא במקום שהרוב והחזקה הוה בדבר א', אמרי' דהרוב מבטל את החזקה. אבל היכא דהרוב אינו עושה שינוי בחזקה י"ל דחזקה אלים</w:t>
      </w:r>
      <w:r w:rsidRPr="007119D6">
        <w:rPr>
          <w:rStyle w:val="ac"/>
          <w:rFonts w:ascii="Narkisim" w:hAnsi="Narkisim"/>
          <w:rtl/>
        </w:rPr>
        <w:footnoteReference w:id="8189"/>
      </w:r>
      <w:r w:rsidRPr="007119D6">
        <w:rPr>
          <w:rFonts w:ascii="Narkisim" w:hAnsi="Narkisim"/>
          <w:rtl/>
        </w:rPr>
        <w:t>.</w:t>
      </w:r>
    </w:p>
    <w:p w14:paraId="5C789C99" w14:textId="77777777" w:rsidR="006C4368" w:rsidRPr="007119D6" w:rsidRDefault="006C4368" w:rsidP="006C4368">
      <w:pPr>
        <w:pStyle w:val="aa"/>
        <w:bidi/>
        <w:rPr>
          <w:rFonts w:ascii="Narkisim" w:hAnsi="Narkisim"/>
        </w:rPr>
      </w:pPr>
      <w:r w:rsidRPr="007119D6">
        <w:rPr>
          <w:rFonts w:ascii="Narkisim" w:hAnsi="Narkisim"/>
          <w:u w:val="single"/>
          <w:rtl/>
        </w:rPr>
        <w:t>בא"ד דר"מ חייש למיעוט</w:t>
      </w:r>
      <w:r w:rsidRPr="007119D6">
        <w:rPr>
          <w:rFonts w:ascii="Narkisim" w:hAnsi="Narkisim"/>
          <w:rtl/>
        </w:rPr>
        <w:t>. יל"ד דבגמ' (חולין יב.) אי' דאף לר"מ מהני רוב היכא דלא אפשר. ונימא דעיגונא חשיב 'לא אפשר', ומש"ה אף לר"מ לא יחוש למיעוט. אלא כיון דהחזקה הוה כנגד הרוב</w:t>
      </w:r>
    </w:p>
    <w:p w14:paraId="1A1C7ED0" w14:textId="77777777" w:rsidR="006C4368" w:rsidRPr="007119D6" w:rsidRDefault="006C4368" w:rsidP="006C4368">
      <w:pPr>
        <w:bidi/>
        <w:rPr>
          <w:rFonts w:ascii="Narkisim" w:hAnsi="Narkisim" w:cs="Narkisim"/>
        </w:rPr>
      </w:pPr>
      <w:r w:rsidRPr="007119D6">
        <w:rPr>
          <w:rFonts w:ascii="Narkisim" w:hAnsi="Narkisim" w:cs="Narkisim"/>
          <w:u w:val="single"/>
          <w:rtl/>
        </w:rPr>
        <w:t>תוד"ה סמוך</w:t>
      </w:r>
      <w:r w:rsidRPr="007119D6">
        <w:rPr>
          <w:rFonts w:ascii="Narkisim" w:hAnsi="Narkisim" w:cs="Narkisim"/>
          <w:rtl/>
        </w:rPr>
        <w:t>. וא"ת (קידו' פ. וחולין פו.) אמרי' סמוך מיעוטא דאין מטפחין לחזקת טהרה, ואיתרע ליה רובא ומטהרין</w:t>
      </w:r>
      <w:r w:rsidRPr="007119D6">
        <w:rPr>
          <w:rStyle w:val="ac"/>
          <w:rFonts w:ascii="Narkisim" w:hAnsi="Narkisim" w:cs="Narkisim"/>
          <w:rtl/>
        </w:rPr>
        <w:footnoteReference w:id="8190"/>
      </w:r>
      <w:r w:rsidRPr="007119D6">
        <w:rPr>
          <w:rFonts w:ascii="Narkisim" w:hAnsi="Narkisim" w:cs="Narkisim"/>
          <w:rtl/>
        </w:rPr>
        <w:t xml:space="preserve"> וכו'. ומבואר התם דר' מאיר מטהר, ותוס' הק' סתירה בדעת ר' מאיר [דס"ל דבסוגיין קאי אליבא דר' מאיר].</w:t>
      </w:r>
    </w:p>
    <w:p w14:paraId="5239B43F"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ראשונים</w:t>
      </w:r>
      <w:r w:rsidRPr="007119D6">
        <w:rPr>
          <w:rFonts w:ascii="Narkisim" w:hAnsi="Narkisim"/>
          <w:rtl/>
        </w:rPr>
        <w:t xml:space="preserve"> כת' דאף לדברי רב האי גאון קשה, דרה"ג כת' דסוגיין לכו"ע, ובין לרבנן ובין לר' מאיר</w:t>
      </w:r>
      <w:r w:rsidRPr="007119D6">
        <w:rPr>
          <w:rStyle w:val="ac"/>
          <w:rFonts w:ascii="Narkisim" w:hAnsi="Narkisim"/>
          <w:rtl/>
        </w:rPr>
        <w:footnoteReference w:id="8191"/>
      </w:r>
      <w:r w:rsidRPr="007119D6">
        <w:rPr>
          <w:rFonts w:ascii="Narkisim" w:hAnsi="Narkisim"/>
          <w:rtl/>
        </w:rPr>
        <w:t>.</w:t>
      </w:r>
    </w:p>
    <w:p w14:paraId="0AC4C80E" w14:textId="77777777" w:rsidR="006C4368" w:rsidRPr="007119D6" w:rsidRDefault="006C4368" w:rsidP="006C4368">
      <w:pPr>
        <w:pStyle w:val="aa"/>
        <w:bidi/>
        <w:rPr>
          <w:rFonts w:ascii="Narkisim" w:hAnsi="Narkisim"/>
        </w:rPr>
      </w:pPr>
      <w:r w:rsidRPr="007119D6">
        <w:rPr>
          <w:rFonts w:ascii="Narkisim" w:hAnsi="Narkisim"/>
          <w:u w:val="single"/>
          <w:rtl/>
        </w:rPr>
        <w:t>שם.</w:t>
      </w:r>
      <w:r w:rsidRPr="007119D6">
        <w:rPr>
          <w:rFonts w:ascii="Narkisim" w:hAnsi="Narkisim"/>
          <w:rtl/>
        </w:rPr>
        <w:t xml:space="preserve"> ו</w:t>
      </w:r>
      <w:r w:rsidRPr="007119D6">
        <w:rPr>
          <w:rFonts w:ascii="Narkisim" w:hAnsi="Narkisim"/>
          <w:b/>
          <w:bCs/>
          <w:rtl/>
        </w:rPr>
        <w:t>תוס</w:t>
      </w:r>
      <w:r w:rsidRPr="007119D6">
        <w:rPr>
          <w:rFonts w:ascii="Narkisim" w:hAnsi="Narkisim"/>
          <w:rtl/>
        </w:rPr>
        <w:t>' (קידושין פ. ד”ה סמוך) תי' דהתם הוה רוב גרוע, ולא הוה רוב חשוב. ומש"ה המיעוט והחזקה מרעי לרוב. [ולפ"ז הוה דוקא התם].</w:t>
      </w:r>
    </w:p>
    <w:p w14:paraId="3A3B7B88" w14:textId="77777777" w:rsidR="006C4368" w:rsidRPr="007119D6" w:rsidRDefault="006C4368" w:rsidP="006C4368">
      <w:pPr>
        <w:bidi/>
        <w:rPr>
          <w:rFonts w:ascii="Narkisim" w:hAnsi="Narkisim" w:cs="Narkisim"/>
        </w:rPr>
      </w:pPr>
      <w:r w:rsidRPr="007119D6">
        <w:rPr>
          <w:rFonts w:ascii="Narkisim" w:hAnsi="Narkisim" w:cs="Narkisim"/>
          <w:rtl/>
        </w:rPr>
        <w:t>ומבואר בגמ' (קידושין שם) דחכמים מטמאין משום רוב תינוקות מטפחין ומיעוטא כמאן דליתא, ורובא וחזקה רובא עדיף. אלא דאין שורפין עליו את התרומה.</w:t>
      </w:r>
    </w:p>
    <w:p w14:paraId="16FEDDF6"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הק' לדברי רב האי גאון מ"ש מסוגיין דאמרי' [אף לרבנן] סמוך מיעוטא לחזקה והוה פלגא. ואילו התם לרבנן מיעוטא כמאן דליתא, ורובא וחזקה רובא עדיף.</w:t>
      </w:r>
    </w:p>
    <w:p w14:paraId="4A95D9C5"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תי' דה"ק דלרבנן מיעוטא לא חשיב כולי האי לצרופי לחזקה לטהר, אלא עדיין הרוב מכריע וטמא. אבל מ"מ חוששין לו ואין עושין בו מעשה. כדאי' (שם) דאין שורפין עליה את התרומה</w:t>
      </w:r>
      <w:r w:rsidRPr="007119D6">
        <w:rPr>
          <w:rStyle w:val="ac"/>
          <w:rFonts w:ascii="Narkisim" w:hAnsi="Narkisim"/>
          <w:rtl/>
        </w:rPr>
        <w:footnoteReference w:id="8192"/>
      </w:r>
      <w:r w:rsidRPr="007119D6">
        <w:rPr>
          <w:rFonts w:ascii="Narkisim" w:hAnsi="Narkisim"/>
          <w:rtl/>
        </w:rPr>
        <w:t>. והביא דכן מבואר (נדה יח.) דלרבנן רוב כנגד חזקה אין שורפין את התרומה</w:t>
      </w:r>
      <w:r w:rsidRPr="007119D6">
        <w:rPr>
          <w:rStyle w:val="ac"/>
          <w:rFonts w:ascii="Narkisim" w:hAnsi="Narkisim"/>
          <w:rtl/>
        </w:rPr>
        <w:footnoteReference w:id="8193"/>
      </w:r>
      <w:r w:rsidRPr="007119D6">
        <w:rPr>
          <w:rFonts w:ascii="Narkisim" w:hAnsi="Narkisim"/>
          <w:rtl/>
        </w:rPr>
        <w:t>.</w:t>
      </w:r>
      <w:r w:rsidRPr="007119D6">
        <w:rPr>
          <w:rStyle w:val="ac"/>
          <w:rFonts w:ascii="Narkisim" w:hAnsi="Narkisim"/>
          <w:rtl/>
        </w:rPr>
        <w:footnoteReference w:id="8194"/>
      </w:r>
    </w:p>
    <w:p w14:paraId="71D02544"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בעה"מ</w:t>
      </w:r>
      <w:r w:rsidRPr="007119D6">
        <w:rPr>
          <w:rFonts w:ascii="Narkisim" w:hAnsi="Narkisim"/>
          <w:rtl/>
        </w:rPr>
        <w:t xml:space="preserve"> (קידו' נ: כא: בדה"ר) כת' דאף דרבנן אמרו גבי תינוק דרובא עדיף לאפוקי מחזקת טהרה, אבל לעולם אין בו כח להכריע לטומאה. ומש"ה אין שורפין עליה את התרומה, דהו"ל רובא וחזקה שקולים כי הדדי</w:t>
      </w:r>
      <w:r w:rsidRPr="007119D6">
        <w:rPr>
          <w:rStyle w:val="ac"/>
          <w:rFonts w:ascii="Narkisim" w:hAnsi="Narkisim"/>
          <w:rtl/>
        </w:rPr>
        <w:footnoteReference w:id="8195"/>
      </w:r>
      <w:r w:rsidRPr="007119D6">
        <w:rPr>
          <w:rFonts w:ascii="Narkisim" w:hAnsi="Narkisim"/>
          <w:rtl/>
        </w:rPr>
        <w:t>. וה</w:t>
      </w:r>
      <w:r w:rsidRPr="007119D6">
        <w:rPr>
          <w:rFonts w:ascii="Narkisim" w:hAnsi="Narkisim"/>
          <w:b/>
          <w:bCs/>
          <w:rtl/>
        </w:rPr>
        <w:t>ראב"ד</w:t>
      </w:r>
      <w:r w:rsidRPr="007119D6">
        <w:rPr>
          <w:rFonts w:ascii="Narkisim" w:hAnsi="Narkisim"/>
          <w:rtl/>
        </w:rPr>
        <w:t xml:space="preserve"> ו</w:t>
      </w:r>
      <w:r w:rsidRPr="007119D6">
        <w:rPr>
          <w:rFonts w:ascii="Narkisim" w:hAnsi="Narkisim"/>
          <w:b/>
          <w:bCs/>
          <w:rtl/>
        </w:rPr>
        <w:t>מלחמות</w:t>
      </w:r>
      <w:r w:rsidRPr="007119D6">
        <w:rPr>
          <w:rFonts w:ascii="Narkisim" w:hAnsi="Narkisim"/>
          <w:rtl/>
        </w:rPr>
        <w:t xml:space="preserve"> (שם) חלקו דרוב עדיף מחזקה [ואף לקולא</w:t>
      </w:r>
      <w:r w:rsidRPr="007119D6">
        <w:rPr>
          <w:rStyle w:val="ac"/>
          <w:rFonts w:ascii="Narkisim" w:hAnsi="Narkisim"/>
          <w:rtl/>
        </w:rPr>
        <w:footnoteReference w:id="8196"/>
      </w:r>
      <w:r w:rsidRPr="007119D6">
        <w:rPr>
          <w:rFonts w:ascii="Narkisim" w:hAnsi="Narkisim"/>
          <w:rtl/>
        </w:rPr>
        <w:t>], אלא דלהכי אהני החזקה דאין שורפין עליו.</w:t>
      </w:r>
    </w:p>
    <w:p w14:paraId="5932A593" w14:textId="77777777" w:rsidR="006C4368" w:rsidRPr="007119D6" w:rsidRDefault="006C4368" w:rsidP="006C4368">
      <w:pPr>
        <w:bidi/>
        <w:rPr>
          <w:rFonts w:ascii="Narkisim" w:hAnsi="Narkisim" w:cs="Narkisim"/>
        </w:rPr>
      </w:pPr>
      <w:r w:rsidRPr="007119D6">
        <w:rPr>
          <w:rFonts w:ascii="Narkisim" w:hAnsi="Narkisim" w:cs="Narkisim"/>
          <w:rtl/>
        </w:rPr>
        <w:t>ועוד תי' ה</w:t>
      </w:r>
      <w:r w:rsidRPr="007119D6">
        <w:rPr>
          <w:rFonts w:ascii="Narkisim" w:hAnsi="Narkisim" w:cs="Narkisim"/>
          <w:b/>
          <w:bCs/>
          <w:rtl/>
        </w:rPr>
        <w:t>רשב"א</w:t>
      </w:r>
      <w:r w:rsidRPr="007119D6">
        <w:rPr>
          <w:rFonts w:ascii="Narkisim" w:hAnsi="Narkisim" w:cs="Narkisim"/>
          <w:rtl/>
        </w:rPr>
        <w:t xml:space="preserve"> </w:t>
      </w:r>
      <w:r w:rsidRPr="007119D6">
        <w:rPr>
          <w:rFonts w:ascii="Narkisim" w:hAnsi="Narkisim" w:cs="Narkisim"/>
          <w:szCs w:val="20"/>
          <w:rtl/>
        </w:rPr>
        <w:t>(בחי' כאן, ובמשמרת הבית א א ז: בדה"ס, וכן הריטב"א קידושין פ.)</w:t>
      </w:r>
      <w:r w:rsidRPr="007119D6">
        <w:rPr>
          <w:rFonts w:ascii="Narkisim" w:hAnsi="Narkisim" w:cs="Narkisim"/>
          <w:rtl/>
        </w:rPr>
        <w:t xml:space="preserve"> דדוקא בכעין סוגיין אמרי' דהמיעוט מרע את הרוב ממש, כיון דהך מיעוט הוה מן הרוב [דמתוך המתעברות יש שמפילות</w:t>
      </w:r>
      <w:r w:rsidRPr="007119D6">
        <w:rPr>
          <w:rStyle w:val="ac"/>
          <w:rFonts w:ascii="Narkisim" w:hAnsi="Narkisim" w:cs="Narkisim"/>
          <w:rtl/>
        </w:rPr>
        <w:footnoteReference w:id="8197"/>
      </w:r>
      <w:r w:rsidRPr="007119D6">
        <w:rPr>
          <w:rFonts w:ascii="Narkisim" w:hAnsi="Narkisim" w:cs="Narkisim"/>
          <w:rtl/>
        </w:rPr>
        <w:t xml:space="preserve">]. ואתה מסלק את המיעוט מן הרוב, כלומר מאותו חלק המרובה שמתעברות </w:t>
      </w:r>
      <w:r w:rsidRPr="007119D6">
        <w:rPr>
          <w:rFonts w:ascii="Narkisim" w:hAnsi="Narkisim" w:cs="Narkisim"/>
          <w:rtl/>
        </w:rPr>
        <w:lastRenderedPageBreak/>
        <w:t>יש מקצתן שמפילות. ולפיכך המועט חשוב לעמוד כנגד הרוב בצרוף החזקה.</w:t>
      </w:r>
    </w:p>
    <w:p w14:paraId="0706EC9F" w14:textId="77777777" w:rsidR="006C4368" w:rsidRPr="007119D6" w:rsidRDefault="006C4368" w:rsidP="006C4368">
      <w:pPr>
        <w:pStyle w:val="a7"/>
        <w:bidi/>
        <w:rPr>
          <w:rFonts w:ascii="Narkisim" w:hAnsi="Narkisim"/>
        </w:rPr>
      </w:pPr>
      <w:r w:rsidRPr="007119D6">
        <w:rPr>
          <w:rFonts w:ascii="Narkisim" w:hAnsi="Narkisim"/>
          <w:rtl/>
        </w:rPr>
        <w:t>אבל התם המיעוט אינו ממעט ומגרע כחו של הרוב, אלא שהוא מיעוט העומד לגמרי כנגד הרוב. ומיעוט כזה אינו חשוב להצטרף כלל. והביא דוגמא דה"נ בסוגיין יש מיעוט שאינן מתעברות, ולא אמרי' דהוה ב' מיעוטי. אלא דאינו חשוב להצטרף [כיון דעומד לגמרי כנגד הרוב</w:t>
      </w:r>
      <w:r w:rsidRPr="007119D6">
        <w:rPr>
          <w:rStyle w:val="ac"/>
          <w:rFonts w:ascii="Narkisim" w:hAnsi="Narkisim"/>
          <w:rtl/>
        </w:rPr>
        <w:footnoteReference w:id="8198"/>
      </w:r>
      <w:r w:rsidRPr="007119D6">
        <w:rPr>
          <w:rFonts w:ascii="Narkisim" w:hAnsi="Narkisim"/>
          <w:rtl/>
        </w:rPr>
        <w:t>].</w:t>
      </w:r>
    </w:p>
    <w:p w14:paraId="2FB038AD" w14:textId="77777777" w:rsidR="006C4368" w:rsidRPr="007119D6" w:rsidRDefault="006C4368" w:rsidP="006C4368">
      <w:pPr>
        <w:bidi/>
        <w:rPr>
          <w:rFonts w:ascii="Narkisim" w:hAnsi="Narkisim" w:cs="Narkisim"/>
        </w:rPr>
      </w:pPr>
      <w:r w:rsidRPr="007119D6">
        <w:rPr>
          <w:rFonts w:ascii="Narkisim" w:hAnsi="Narkisim" w:cs="Narkisim"/>
          <w:u w:val="single"/>
          <w:rtl/>
        </w:rPr>
        <w:t>בא"ד ואומר ר' חיים דתינוק הוי דבר שאין בו דעת לישאל, והוי ספיקו טהור</w:t>
      </w:r>
      <w:r w:rsidRPr="007119D6">
        <w:rPr>
          <w:rStyle w:val="ac"/>
          <w:rFonts w:ascii="Narkisim" w:hAnsi="Narkisim" w:cs="Narkisim"/>
          <w:rtl/>
        </w:rPr>
        <w:footnoteReference w:id="8199"/>
      </w:r>
      <w:r w:rsidRPr="007119D6">
        <w:rPr>
          <w:rFonts w:ascii="Narkisim" w:hAnsi="Narkisim" w:cs="Narkisim"/>
          <w:rtl/>
        </w:rPr>
        <w:t>. ועד"ז כת' ה</w:t>
      </w:r>
      <w:r w:rsidRPr="007119D6">
        <w:rPr>
          <w:rFonts w:ascii="Narkisim" w:hAnsi="Narkisim" w:cs="Narkisim"/>
          <w:b/>
          <w:bCs/>
          <w:rtl/>
        </w:rPr>
        <w:t>רמב"ן</w:t>
      </w:r>
      <w:r w:rsidRPr="007119D6">
        <w:rPr>
          <w:rFonts w:ascii="Narkisim" w:hAnsi="Narkisim" w:cs="Narkisim"/>
          <w:rtl/>
        </w:rPr>
        <w:t xml:space="preserve"> דאפושי טומאה לא מפשינן</w:t>
      </w:r>
      <w:r w:rsidRPr="007119D6">
        <w:rPr>
          <w:rStyle w:val="ac"/>
          <w:rFonts w:ascii="Narkisim" w:hAnsi="Narkisim" w:cs="Narkisim"/>
          <w:rtl/>
        </w:rPr>
        <w:footnoteReference w:id="8200"/>
      </w:r>
      <w:r w:rsidRPr="007119D6">
        <w:rPr>
          <w:rFonts w:ascii="Narkisim" w:hAnsi="Narkisim" w:cs="Narkisim"/>
          <w:rtl/>
        </w:rPr>
        <w:t>. וכ"כ ה</w:t>
      </w:r>
      <w:r w:rsidRPr="007119D6">
        <w:rPr>
          <w:rFonts w:ascii="Narkisim" w:hAnsi="Narkisim" w:cs="Narkisim"/>
          <w:b/>
          <w:bCs/>
          <w:rtl/>
        </w:rPr>
        <w:t>בעה"מ</w:t>
      </w:r>
      <w:r w:rsidRPr="007119D6">
        <w:rPr>
          <w:rFonts w:ascii="Narkisim" w:hAnsi="Narkisim" w:cs="Narkisim"/>
          <w:rtl/>
        </w:rPr>
        <w:t xml:space="preserve"> (קידושין נ. כא: בדה”ר)</w:t>
      </w:r>
      <w:r w:rsidRPr="007119D6">
        <w:rPr>
          <w:rStyle w:val="ac"/>
          <w:rFonts w:ascii="Narkisim" w:hAnsi="Narkisim" w:cs="Narkisim"/>
          <w:rtl/>
        </w:rPr>
        <w:footnoteReference w:id="8201"/>
      </w:r>
      <w:r w:rsidRPr="007119D6">
        <w:rPr>
          <w:rFonts w:ascii="Narkisim" w:hAnsi="Narkisim" w:cs="Narkisim"/>
          <w:rtl/>
        </w:rPr>
        <w:t>.</w:t>
      </w:r>
    </w:p>
    <w:p w14:paraId="167AFF12"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(חולין פו:, ובכורות כ.) ביארו דסמוך מיעוטא לחזקה הוה פלגא ופלגא. ואין בו דעת לישאל ספיקא טהור</w:t>
      </w:r>
      <w:r w:rsidRPr="007119D6">
        <w:rPr>
          <w:rStyle w:val="ac"/>
          <w:rFonts w:ascii="Narkisim" w:hAnsi="Narkisim"/>
          <w:rtl/>
        </w:rPr>
        <w:footnoteReference w:id="8202"/>
      </w:r>
      <w:r w:rsidRPr="007119D6">
        <w:rPr>
          <w:rFonts w:ascii="Narkisim" w:hAnsi="Narkisim"/>
          <w:rtl/>
        </w:rPr>
        <w:t>.</w:t>
      </w:r>
    </w:p>
    <w:p w14:paraId="07980E30" w14:textId="77777777" w:rsidR="006C4368" w:rsidRPr="007119D6" w:rsidRDefault="006C4368" w:rsidP="006C4368">
      <w:pPr>
        <w:pStyle w:val="a7"/>
        <w:bidi/>
        <w:rPr>
          <w:rFonts w:ascii="Narkisim" w:hAnsi="Narkisim"/>
        </w:rPr>
      </w:pPr>
      <w:r w:rsidRPr="007119D6">
        <w:rPr>
          <w:rFonts w:ascii="Narkisim" w:hAnsi="Narkisim"/>
          <w:rtl/>
        </w:rPr>
        <w:t>[אך מדברי הבעה"מ והרמב"ן הנ"ל משמע דהוה סברא נוספת</w:t>
      </w:r>
      <w:r w:rsidRPr="007119D6">
        <w:rPr>
          <w:rStyle w:val="ac"/>
          <w:rFonts w:ascii="Narkisim" w:hAnsi="Narkisim"/>
          <w:rtl/>
        </w:rPr>
        <w:footnoteReference w:id="8203"/>
      </w:r>
      <w:r w:rsidRPr="007119D6">
        <w:rPr>
          <w:rFonts w:ascii="Narkisim" w:hAnsi="Narkisim"/>
          <w:rtl/>
        </w:rPr>
        <w:t>].</w:t>
      </w:r>
    </w:p>
    <w:p w14:paraId="6F650733" w14:textId="77777777" w:rsidR="006C4368" w:rsidRPr="007119D6" w:rsidRDefault="006C4368" w:rsidP="006C4368">
      <w:pPr>
        <w:bidi/>
        <w:rPr>
          <w:rFonts w:ascii="Narkisim" w:hAnsi="Narkisim" w:cs="Narkisim"/>
        </w:rPr>
      </w:pPr>
      <w:r w:rsidRPr="007119D6">
        <w:rPr>
          <w:rFonts w:ascii="Narkisim" w:hAnsi="Narkisim" w:cs="Narkisim"/>
          <w:rtl/>
        </w:rPr>
        <w:t>ו</w:t>
      </w:r>
      <w:r w:rsidRPr="007119D6">
        <w:rPr>
          <w:rFonts w:ascii="Narkisim" w:hAnsi="Narkisim" w:cs="Narkisim"/>
          <w:b/>
          <w:bCs/>
          <w:rtl/>
        </w:rPr>
        <w:t>תוס</w:t>
      </w:r>
      <w:r w:rsidRPr="007119D6">
        <w:rPr>
          <w:rFonts w:ascii="Narkisim" w:hAnsi="Narkisim" w:cs="Narkisim"/>
          <w:rtl/>
        </w:rPr>
        <w:t>' (שם) הק' דר' מאיר חייש למיעוטא, א"כ אף בלא סמוך מיעוטא לחזקה הוה ספק, ונימא דאין בו דעת לישאל ספיקו טהור. ותי' דאה"נ ובלא חזקה טהור, והגמ' (שם) נקטה סמוך מיעוטא לחזקה לאפוקי היכא דהחזקה הוה בהדי הרוב.</w:t>
      </w:r>
    </w:p>
    <w:p w14:paraId="11D21F79" w14:textId="77777777" w:rsidR="006C4368" w:rsidRPr="007119D6" w:rsidRDefault="006C4368" w:rsidP="006C4368">
      <w:pPr>
        <w:pStyle w:val="a7"/>
        <w:bidi/>
        <w:rPr>
          <w:rFonts w:ascii="Narkisim" w:hAnsi="Narkisim"/>
        </w:rPr>
      </w:pPr>
      <w:r w:rsidRPr="007119D6">
        <w:rPr>
          <w:rFonts w:ascii="Narkisim" w:hAnsi="Narkisim"/>
          <w:rtl/>
        </w:rPr>
        <w:t>ועוד תי' ה</w:t>
      </w:r>
      <w:r w:rsidRPr="007119D6">
        <w:rPr>
          <w:rFonts w:ascii="Narkisim" w:hAnsi="Narkisim"/>
          <w:b/>
          <w:bCs/>
          <w:rtl/>
        </w:rPr>
        <w:t>תוס'</w:t>
      </w:r>
      <w:r w:rsidRPr="007119D6">
        <w:rPr>
          <w:rFonts w:ascii="Narkisim" w:hAnsi="Narkisim"/>
          <w:rtl/>
        </w:rPr>
        <w:t xml:space="preserve"> דר' מאיר חייש למיעוטא רק מדרבנן. ומש"ה ל"מ לטהר, אבל היכא דהמיעוט עם החזקה חייש מדאורייתא, ומש"ה מהני לטהר.</w:t>
      </w:r>
    </w:p>
    <w:p w14:paraId="450E26D2" w14:textId="77777777" w:rsidR="006C4368" w:rsidRPr="007119D6" w:rsidRDefault="006C4368" w:rsidP="006C4368">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ראשונים</w:t>
      </w:r>
      <w:r w:rsidRPr="007119D6">
        <w:rPr>
          <w:rFonts w:ascii="Narkisim" w:hAnsi="Narkisim"/>
          <w:rtl/>
        </w:rPr>
        <w:t xml:space="preserve"> הק' אהא דאי' דרוב המצויין אצל שחיטה מומחין</w:t>
      </w:r>
      <w:r w:rsidRPr="007119D6">
        <w:rPr>
          <w:rStyle w:val="ac"/>
          <w:rFonts w:ascii="Narkisim" w:hAnsi="Narkisim"/>
          <w:rtl/>
        </w:rPr>
        <w:footnoteReference w:id="8204"/>
      </w:r>
      <w:r w:rsidRPr="007119D6">
        <w:rPr>
          <w:rFonts w:ascii="Narkisim" w:hAnsi="Narkisim"/>
          <w:rtl/>
        </w:rPr>
        <w:t>, דהא בהמה בחייה בחזקת איסור, א"כ אף שיש רוב נימא סמוך מיעוט לחזקה, האיך מהני להקל</w:t>
      </w:r>
      <w:r w:rsidRPr="007119D6">
        <w:rPr>
          <w:rStyle w:val="ac"/>
          <w:rFonts w:ascii="Narkisim" w:hAnsi="Narkisim"/>
          <w:rtl/>
        </w:rPr>
        <w:footnoteReference w:id="8205"/>
      </w:r>
      <w:r w:rsidRPr="007119D6">
        <w:rPr>
          <w:rFonts w:ascii="Narkisim" w:hAnsi="Narkisim"/>
          <w:rtl/>
        </w:rPr>
        <w:t>.</w:t>
      </w:r>
    </w:p>
    <w:p w14:paraId="4AF4132A"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(חולין ג:, ורשב”א תורת הבית א א) תי' דהתם הרי שחוטה לפנינו, ומש"ה סמכינן ארובא כיון דבהמה לא אתרעי. וה</w:t>
      </w:r>
      <w:r w:rsidRPr="007119D6">
        <w:rPr>
          <w:rFonts w:ascii="Narkisim" w:hAnsi="Narkisim"/>
          <w:b/>
          <w:bCs/>
          <w:rtl/>
        </w:rPr>
        <w:t>רשב"א</w:t>
      </w:r>
      <w:r w:rsidRPr="007119D6">
        <w:rPr>
          <w:rFonts w:ascii="Narkisim" w:hAnsi="Narkisim"/>
          <w:rtl/>
        </w:rPr>
        <w:t xml:space="preserve"> (משמרת הבית שם) כת' דהתם לא הורעה החזקה כיון שנתעסקו בה, והרוב כשרין. ואין מעכב אלא המיעוט וכמאן דליתיה דמי.</w:t>
      </w:r>
    </w:p>
    <w:p w14:paraId="10901A09"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(בכורות כ:, והמרדכי פב) תי' דהוה רוב מצוי ושכיח טובא, ואף ר' מאיר לא חייש למיעוט דלא שכיח</w:t>
      </w:r>
      <w:r w:rsidRPr="007119D6">
        <w:rPr>
          <w:rStyle w:val="ac"/>
          <w:rFonts w:ascii="Narkisim" w:hAnsi="Narkisim"/>
          <w:rtl/>
        </w:rPr>
        <w:footnoteReference w:id="8206"/>
      </w:r>
      <w:r w:rsidRPr="007119D6">
        <w:rPr>
          <w:rFonts w:ascii="Narkisim" w:hAnsi="Narkisim"/>
          <w:rtl/>
        </w:rPr>
        <w:t>. וה</w:t>
      </w:r>
      <w:r w:rsidRPr="007119D6">
        <w:rPr>
          <w:rFonts w:ascii="Narkisim" w:hAnsi="Narkisim"/>
          <w:b/>
          <w:bCs/>
          <w:rtl/>
        </w:rPr>
        <w:t>רא"ה</w:t>
      </w:r>
      <w:r w:rsidRPr="007119D6">
        <w:rPr>
          <w:rFonts w:ascii="Narkisim" w:hAnsi="Narkisim"/>
          <w:rtl/>
        </w:rPr>
        <w:t xml:space="preserve"> (בדק הבית א שער א ו: בדה"ס, הו' בריטב”א קידו' פ וכ”מ) כת' דלאו דוקא 'רוב', אלא כל המצויין אצל שחיטה מומחין</w:t>
      </w:r>
      <w:r w:rsidRPr="007119D6">
        <w:rPr>
          <w:rStyle w:val="ac"/>
          <w:rFonts w:ascii="Narkisim" w:hAnsi="Narkisim"/>
          <w:rtl/>
        </w:rPr>
        <w:footnoteReference w:id="8207"/>
      </w:r>
      <w:r w:rsidRPr="007119D6">
        <w:rPr>
          <w:rFonts w:ascii="Narkisim" w:hAnsi="Narkisim"/>
          <w:rtl/>
        </w:rPr>
        <w:t>.</w:t>
      </w:r>
    </w:p>
    <w:p w14:paraId="034394B4" w14:textId="77777777" w:rsidR="006C4368" w:rsidRPr="007119D6" w:rsidRDefault="006C4368" w:rsidP="006C4368">
      <w:pPr>
        <w:pStyle w:val="a7"/>
        <w:bidi/>
        <w:rPr>
          <w:rFonts w:ascii="Narkisim" w:hAnsi="Narkisim"/>
        </w:rPr>
      </w:pPr>
      <w:r w:rsidRPr="007119D6">
        <w:rPr>
          <w:rFonts w:ascii="Narkisim" w:hAnsi="Narkisim"/>
          <w:rtl/>
        </w:rPr>
        <w:t>ועוד תי' ה</w:t>
      </w:r>
      <w:r w:rsidRPr="007119D6">
        <w:rPr>
          <w:rFonts w:ascii="Narkisim" w:hAnsi="Narkisim"/>
          <w:b/>
          <w:bCs/>
          <w:rtl/>
        </w:rPr>
        <w:t>ריטב"א</w:t>
      </w:r>
      <w:r w:rsidRPr="007119D6">
        <w:rPr>
          <w:rFonts w:ascii="Narkisim" w:hAnsi="Narkisim"/>
          <w:rtl/>
        </w:rPr>
        <w:t xml:space="preserve"> (קידושין פ., והרשב”א במשמרת הבית א א ז: בדה”ס) דרוב מצויין אצל שחיטה מומחין הם המיעוט אינו מסולק מן הרוב, ומש"ה כמאן דליתיה דמי. ודוקא במיעוט המסולק מהרוב אמרי' סמוך מיעוטא לחזקה.</w:t>
      </w:r>
    </w:p>
    <w:p w14:paraId="52AC712A" w14:textId="77777777" w:rsidR="006C4368" w:rsidRPr="007119D6" w:rsidRDefault="006C4368" w:rsidP="006C4368">
      <w:pPr>
        <w:bidi/>
        <w:rPr>
          <w:rFonts w:ascii="Narkisim" w:hAnsi="Narkisim" w:cs="Narkisim"/>
        </w:rPr>
      </w:pPr>
      <w:r w:rsidRPr="007119D6">
        <w:rPr>
          <w:rFonts w:ascii="Narkisim" w:hAnsi="Narkisim" w:cs="Narkisim"/>
          <w:u w:val="single"/>
          <w:rtl/>
        </w:rPr>
        <w:lastRenderedPageBreak/>
        <w:t>ומיעוטא דמיעוטא לא חייש ר' מאיר</w:t>
      </w:r>
      <w:r w:rsidRPr="007119D6">
        <w:rPr>
          <w:rFonts w:ascii="Narkisim" w:hAnsi="Narkisim" w:cs="Narkisim"/>
          <w:rtl/>
        </w:rPr>
        <w:t>. [וכן אי' ע"ז לד:]. בסוגיין נחשב מיעוטא דמיעוטא כיון דהוה נגד רוב וחזקה. ו</w:t>
      </w:r>
      <w:r w:rsidRPr="007119D6">
        <w:rPr>
          <w:rFonts w:ascii="Narkisim" w:hAnsi="Narkisim" w:cs="Narkisim"/>
          <w:b/>
          <w:bCs/>
          <w:rtl/>
        </w:rPr>
        <w:t>תוס'</w:t>
      </w:r>
      <w:r w:rsidRPr="007119D6">
        <w:rPr>
          <w:rFonts w:ascii="Narkisim" w:hAnsi="Narkisim" w:cs="Narkisim"/>
          <w:rtl/>
        </w:rPr>
        <w:t xml:space="preserve"> (בכ"מ</w:t>
      </w:r>
      <w:r w:rsidRPr="007119D6">
        <w:rPr>
          <w:rStyle w:val="ac"/>
          <w:rFonts w:ascii="Narkisim" w:hAnsi="Narkisim" w:cs="Narkisim"/>
          <w:rtl/>
        </w:rPr>
        <w:footnoteReference w:id="8208"/>
      </w:r>
      <w:r w:rsidRPr="007119D6">
        <w:rPr>
          <w:rFonts w:ascii="Narkisim" w:hAnsi="Narkisim" w:cs="Narkisim"/>
          <w:rtl/>
        </w:rPr>
        <w:t>) נקטו דמיעוט דלא שכיח הוה מיעוטא דמיעוטא, ולא חייש ר' מאיר. וה</w:t>
      </w:r>
      <w:r w:rsidRPr="007119D6">
        <w:rPr>
          <w:rFonts w:ascii="Narkisim" w:hAnsi="Narkisim" w:cs="Narkisim"/>
          <w:b/>
          <w:bCs/>
          <w:rtl/>
        </w:rPr>
        <w:t>מרדכי</w:t>
      </w:r>
      <w:r w:rsidRPr="007119D6">
        <w:rPr>
          <w:rFonts w:ascii="Narkisim" w:hAnsi="Narkisim" w:cs="Narkisim"/>
          <w:rtl/>
        </w:rPr>
        <w:t xml:space="preserve"> (חולין תשלז) הק' דנימא דאף אילונית לא שכיח, והוה מעוטא דמיעוטא. ותי' דר' מאיר חייש אפי' לא' מאלף. ומיעוט דלא שכיח לא חשיב מיעוטא דמיעוטא, ודוקא היכא דהוה בתרי עניני [וכעין ספק ספיקא]. או דיש חזקה מסייע [כבסוגיין].</w:t>
      </w:r>
    </w:p>
    <w:p w14:paraId="3C7E45CE" w14:textId="77777777" w:rsidR="006C4368" w:rsidRPr="007119D6" w:rsidRDefault="006C4368" w:rsidP="006C4368">
      <w:pPr>
        <w:pStyle w:val="2"/>
        <w:bidi/>
        <w:rPr>
          <w:rFonts w:ascii="Narkisim" w:hAnsi="Narkisim"/>
        </w:rPr>
      </w:pPr>
      <w:r w:rsidRPr="007119D6">
        <w:rPr>
          <w:rFonts w:ascii="Narkisim" w:hAnsi="Narkisim"/>
          <w:rtl/>
        </w:rPr>
        <w:t>יצתה מלאה</w:t>
      </w:r>
    </w:p>
    <w:p w14:paraId="5348CFBE" w14:textId="77777777" w:rsidR="006C4368" w:rsidRPr="007119D6" w:rsidRDefault="006C4368" w:rsidP="006C4368">
      <w:pPr>
        <w:bidi/>
        <w:rPr>
          <w:rFonts w:ascii="Narkisim" w:hAnsi="Narkisim" w:cs="Narkisim"/>
        </w:rPr>
      </w:pPr>
      <w:r w:rsidRPr="007119D6">
        <w:rPr>
          <w:rFonts w:ascii="Narkisim" w:hAnsi="Narkisim" w:cs="Narkisim"/>
          <w:u w:val="single"/>
          <w:rtl/>
        </w:rPr>
        <w:t>תוד"ה סיפא</w:t>
      </w:r>
      <w:r w:rsidRPr="007119D6">
        <w:rPr>
          <w:rFonts w:ascii="Narkisim" w:hAnsi="Narkisim" w:cs="Narkisim"/>
          <w:rtl/>
        </w:rPr>
        <w:t>. הק' ר”א א”כ היכי פריך (בכורות כ:) וכו'. דהגמ' (בכורות כ:) מביאה דר' יהושע מתיר אף יצתה מליאה, ולא חייש למיעוטא. דרוב מעוברות יולדות, ומחצה זכרים ומחצה נקיבות. סמוך מיעוטא דמפילות למחצה נקיבות, וזכרים מיעוטא ולא חיישינן. ותוס' הק' דיש ג"כ חזקת היתר.</w:t>
      </w:r>
    </w:p>
    <w:p w14:paraId="2B56990C" w14:textId="77777777" w:rsidR="006C4368" w:rsidRPr="007119D6" w:rsidRDefault="006C4368" w:rsidP="006C4368">
      <w:pPr>
        <w:pStyle w:val="a8"/>
        <w:bidi/>
        <w:rPr>
          <w:rFonts w:ascii="Narkisim" w:hAnsi="Narkisim"/>
        </w:rPr>
      </w:pPr>
      <w:r w:rsidRPr="007119D6">
        <w:rPr>
          <w:rFonts w:ascii="Narkisim" w:hAnsi="Narkisim"/>
          <w:rtl/>
        </w:rPr>
        <w:t>והגמ' מק' דגבי חלב פוטר ר' עקיבא סבר הלך אחר רוב בהמות דאינן חולבות אא”כ יולדות, ור' יהושע חשש למיעוט. והגמ' הופכת, וכדאי' בברייתא דר' יהושע ס”ל חלב פוטר ולר”ע אינו פוטר.</w:t>
      </w:r>
    </w:p>
    <w:p w14:paraId="343A1FDA" w14:textId="77777777" w:rsidR="006C4368" w:rsidRPr="007119D6" w:rsidRDefault="006C4368" w:rsidP="006C4368">
      <w:pPr>
        <w:bidi/>
        <w:rPr>
          <w:rFonts w:ascii="Narkisim" w:hAnsi="Narkisim" w:cs="Narkisim"/>
        </w:rPr>
      </w:pPr>
      <w:r w:rsidRPr="007119D6">
        <w:rPr>
          <w:rFonts w:ascii="Narkisim" w:hAnsi="Narkisim" w:cs="Narkisim"/>
          <w:rtl/>
        </w:rPr>
        <w:t>ו</w:t>
      </w:r>
      <w:r w:rsidRPr="007119D6">
        <w:rPr>
          <w:rFonts w:ascii="Narkisim" w:hAnsi="Narkisim" w:cs="Narkisim"/>
          <w:b/>
          <w:bCs/>
          <w:rtl/>
        </w:rPr>
        <w:t>תוס'</w:t>
      </w:r>
      <w:r w:rsidRPr="007119D6">
        <w:rPr>
          <w:rFonts w:ascii="Narkisim" w:hAnsi="Narkisim" w:cs="Narkisim"/>
          <w:rtl/>
        </w:rPr>
        <w:t xml:space="preserve"> (בכורות שם) הק' עוד דברישא דמתני' לא פליג ר' יהושע, ול"מ רוב נשים מתעברות ויולדות. וע"כ דהיכא דליכא חזקה חייש למיעוטא [וכר' מאיר, וכגמ' כאן].</w:t>
      </w:r>
    </w:p>
    <w:p w14:paraId="34E4B467"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xml:space="preserve"> כת' דאין לומר דפליג בסיפא וה"ה ברישא, דאדרבה הו"ל לאשמועינן דפליג ברישא ואע"ג דאיכא חזקה, וכ"ש בסיפא.</w:t>
      </w:r>
    </w:p>
    <w:p w14:paraId="44E9B4D3"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בתחילת דבריו כת' דר' יהושע פליג בסיפא וה"ה לרישא. אך שוב הביא דה</w:t>
      </w:r>
      <w:r w:rsidRPr="007119D6">
        <w:rPr>
          <w:rFonts w:ascii="Narkisim" w:hAnsi="Narkisim"/>
          <w:b/>
          <w:bCs/>
          <w:rtl/>
        </w:rPr>
        <w:t>פוסקים</w:t>
      </w:r>
      <w:r w:rsidRPr="007119D6">
        <w:rPr>
          <w:rFonts w:ascii="Narkisim" w:hAnsi="Narkisim"/>
          <w:rtl/>
        </w:rPr>
        <w:t xml:space="preserve"> נקטו דהמשנה (כאן) קאי אף לרבנן, דהוה רוב התלוי במעשה. ומש"ה לא פליג ר' יהושע ברישא.</w:t>
      </w:r>
    </w:p>
    <w:p w14:paraId="54CAE196" w14:textId="77777777" w:rsidR="006C4368" w:rsidRPr="007119D6" w:rsidRDefault="006C4368" w:rsidP="006C4368">
      <w:pPr>
        <w:bidi/>
        <w:rPr>
          <w:rFonts w:ascii="Narkisim" w:hAnsi="Narkisim" w:cs="Narkisim"/>
        </w:rPr>
      </w:pPr>
      <w:r w:rsidRPr="007119D6">
        <w:rPr>
          <w:rFonts w:ascii="Narkisim" w:hAnsi="Narkisim" w:cs="Narkisim"/>
          <w:u w:val="single"/>
          <w:rtl/>
        </w:rPr>
        <w:t>בא"ד ותי' דיצתה מלאה איתרע ליה חזקה וכו' כיון דת”ק אסר ביציאתה מלאה</w:t>
      </w:r>
      <w:r w:rsidRPr="007119D6">
        <w:rPr>
          <w:rFonts w:ascii="Narkisim" w:hAnsi="Narkisim" w:cs="Narkisim"/>
          <w:rtl/>
        </w:rPr>
        <w:t>. מבואר דסברת ת"ק דכיון דיצתה מלאה איתרע חזקה, ומש”ה נשאר רוב לחוד. וחיישינן למיעוטא. ועד”ז ה</w:t>
      </w:r>
      <w:r w:rsidRPr="007119D6">
        <w:rPr>
          <w:rFonts w:ascii="Narkisim" w:hAnsi="Narkisim" w:cs="Narkisim"/>
          <w:b/>
          <w:bCs/>
          <w:rtl/>
        </w:rPr>
        <w:t>רמב"ן</w:t>
      </w:r>
      <w:r w:rsidRPr="007119D6">
        <w:rPr>
          <w:rFonts w:ascii="Narkisim" w:hAnsi="Narkisim" w:cs="Narkisim"/>
          <w:rtl/>
        </w:rPr>
        <w:t xml:space="preserve"> ביאר דסברת ת"ק כיון דמליאה היא אינה בחזקת השוק [אלא בחזקת יבום] הילכך חוששין למיעוט</w:t>
      </w:r>
      <w:r w:rsidRPr="007119D6">
        <w:rPr>
          <w:rStyle w:val="ac"/>
          <w:rFonts w:ascii="Narkisim" w:hAnsi="Narkisim" w:cs="Narkisim"/>
          <w:rtl/>
        </w:rPr>
        <w:footnoteReference w:id="8209"/>
      </w:r>
      <w:r w:rsidRPr="007119D6">
        <w:rPr>
          <w:rFonts w:ascii="Narkisim" w:hAnsi="Narkisim" w:cs="Narkisim"/>
          <w:rtl/>
        </w:rPr>
        <w:t>. ור' יהושע לא חייש למיעוטא. [והו' בבי"ש קנז יא].</w:t>
      </w:r>
    </w:p>
    <w:p w14:paraId="063D16A8"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רמב"ן</w:t>
      </w:r>
      <w:r w:rsidRPr="007119D6">
        <w:rPr>
          <w:rFonts w:ascii="Narkisim" w:hAnsi="Narkisim" w:cs="Narkisim"/>
          <w:rtl/>
        </w:rPr>
        <w:t xml:space="preserve"> (בהמשך דבריו) כת' דמבואר ב</w:t>
      </w:r>
      <w:r w:rsidRPr="007119D6">
        <w:rPr>
          <w:rFonts w:ascii="Narkisim" w:hAnsi="Narkisim" w:cs="Narkisim"/>
          <w:b/>
          <w:bCs/>
          <w:rtl/>
        </w:rPr>
        <w:t>פוסקים</w:t>
      </w:r>
      <w:r w:rsidRPr="007119D6">
        <w:rPr>
          <w:rFonts w:ascii="Narkisim" w:hAnsi="Narkisim" w:cs="Narkisim"/>
          <w:rtl/>
        </w:rPr>
        <w:t xml:space="preserve"> דרבנן לא חיישי למיעוטא [אלא משום דהוה רוב התלוי במעשה</w:t>
      </w:r>
      <w:r w:rsidRPr="007119D6">
        <w:rPr>
          <w:rStyle w:val="ac"/>
          <w:rFonts w:ascii="Narkisim" w:hAnsi="Narkisim" w:cs="Narkisim"/>
          <w:rtl/>
        </w:rPr>
        <w:footnoteReference w:id="8210"/>
      </w:r>
      <w:r w:rsidRPr="007119D6">
        <w:rPr>
          <w:rFonts w:ascii="Narkisim" w:hAnsi="Narkisim" w:cs="Narkisim"/>
          <w:rtl/>
        </w:rPr>
        <w:t>], וביאר דהא דקתני בסיפא יצתה מליאה חוששת, התם משום שכיון שעיברה חזקה ליבום. ואין אומרין שמא תפיל דהו"ל כמיתה, ולמיתה לא חיישינן</w:t>
      </w:r>
      <w:r w:rsidRPr="007119D6">
        <w:rPr>
          <w:rStyle w:val="ac"/>
          <w:rFonts w:ascii="Narkisim" w:hAnsi="Narkisim" w:cs="Narkisim"/>
          <w:rtl/>
        </w:rPr>
        <w:footnoteReference w:id="8211"/>
      </w:r>
      <w:r w:rsidRPr="007119D6">
        <w:rPr>
          <w:rFonts w:ascii="Narkisim" w:hAnsi="Narkisim" w:cs="Narkisim"/>
          <w:rtl/>
        </w:rPr>
        <w:t xml:space="preserve"> [וכדאי' גיטין כח.].</w:t>
      </w:r>
    </w:p>
    <w:p w14:paraId="709AD25E" w14:textId="77777777" w:rsidR="006C4368" w:rsidRPr="007119D6" w:rsidRDefault="006C4368" w:rsidP="006C4368">
      <w:pPr>
        <w:pStyle w:val="a7"/>
        <w:bidi/>
        <w:rPr>
          <w:rFonts w:ascii="Narkisim" w:hAnsi="Narkisim"/>
        </w:rPr>
      </w:pPr>
      <w:r w:rsidRPr="007119D6">
        <w:rPr>
          <w:rFonts w:ascii="Narkisim" w:hAnsi="Narkisim"/>
          <w:rtl/>
        </w:rPr>
        <w:t>תדע דהא רב נחמן תי' סיפא דאיסור לאו לא חששו למיעוט, ואפ"ה במליאה חוששין או משום חזקה או משום דמיעוטא דשכיח שאני</w:t>
      </w:r>
      <w:r w:rsidRPr="007119D6">
        <w:rPr>
          <w:rStyle w:val="ac"/>
          <w:rFonts w:ascii="Narkisim" w:hAnsi="Narkisim"/>
          <w:rtl/>
        </w:rPr>
        <w:footnoteReference w:id="8212"/>
      </w:r>
      <w:r w:rsidRPr="007119D6">
        <w:rPr>
          <w:rFonts w:ascii="Narkisim" w:hAnsi="Narkisim"/>
          <w:rtl/>
        </w:rPr>
        <w:t>.</w:t>
      </w:r>
    </w:p>
    <w:p w14:paraId="7E8547D8"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רשב"א</w:t>
      </w:r>
      <w:r w:rsidRPr="007119D6">
        <w:rPr>
          <w:rFonts w:ascii="Narkisim" w:hAnsi="Narkisim" w:cs="Narkisim"/>
          <w:rtl/>
        </w:rPr>
        <w:t xml:space="preserve"> הק' דמבואר (לעיל סז.) בכהן שמת והניחה מעוברת, דהעבדים אוכלים בחזקת שאר יורשים [דמחצה נקיבות ומיעוט מפילות]. אלמא אפילו במעוברת חוששין שמא תפיל [ולא אמרי' דיצאת מחזקתה]. וה</w:t>
      </w:r>
      <w:r w:rsidRPr="007119D6">
        <w:rPr>
          <w:rFonts w:ascii="Narkisim" w:hAnsi="Narkisim" w:cs="Narkisim"/>
          <w:b/>
          <w:bCs/>
          <w:rtl/>
        </w:rPr>
        <w:t>רשב"א</w:t>
      </w:r>
      <w:r w:rsidRPr="007119D6">
        <w:rPr>
          <w:rFonts w:ascii="Narkisim" w:hAnsi="Narkisim" w:cs="Narkisim"/>
          <w:rtl/>
        </w:rPr>
        <w:t xml:space="preserve"> תי' דכוונת הרמב"ן משום דאין חוששין למיתה. </w:t>
      </w:r>
      <w:r w:rsidRPr="007119D6">
        <w:rPr>
          <w:rFonts w:ascii="Narkisim" w:hAnsi="Narkisim" w:cs="Narkisim"/>
          <w:rtl/>
        </w:rPr>
        <w:lastRenderedPageBreak/>
        <w:t>ואילו התם קאי כר' יוסי ור' שמעון דחוששין ימות [וע' גיטין כח.].</w:t>
      </w:r>
    </w:p>
    <w:p w14:paraId="5A2238A8"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חילק בין דחיישינן שמא תפיל, אבל שמא הפילה לא חיישינן (וכדאי' גיטין שם). וגבי חמות הנידון שמא כבר מת, כיון שהוחזקה עוברה בפנינו ולאחר זמן שעבר עליה זמן לידתה</w:t>
      </w:r>
      <w:r w:rsidRPr="007119D6">
        <w:rPr>
          <w:rStyle w:val="ac"/>
          <w:rFonts w:ascii="Narkisim" w:hAnsi="Narkisim"/>
          <w:rtl/>
        </w:rPr>
        <w:footnoteReference w:id="8213"/>
      </w:r>
      <w:r w:rsidRPr="007119D6">
        <w:rPr>
          <w:rFonts w:ascii="Narkisim" w:hAnsi="Narkisim"/>
          <w:rtl/>
        </w:rPr>
        <w:t xml:space="preserve"> לא חיישינן שהפילה, והו"ל כפלגא ופלגא, ולא תנשא.</w:t>
      </w:r>
    </w:p>
    <w:p w14:paraId="6DE4635D"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הק' דמ"מ נימא סמוך מחצה דנקיבות לחזקה דשוקא, ועדיף ממחצה דזכרים. ודחה דכל שאין אתה חושש לשמא הפילה [כיון דיצאת מלאה], על כרחין הוי מחצה ומחצה. דכיון דודאי ילדה הוה ספק זכר ספק נקבה.</w:t>
      </w:r>
    </w:p>
    <w:p w14:paraId="6DC4DAEC" w14:textId="77777777" w:rsidR="006C4368" w:rsidRPr="007119D6" w:rsidRDefault="006C4368" w:rsidP="006C4368">
      <w:pPr>
        <w:pStyle w:val="2"/>
        <w:bidi/>
        <w:rPr>
          <w:rFonts w:ascii="Narkisim" w:hAnsi="Narkisim"/>
        </w:rPr>
      </w:pPr>
      <w:r w:rsidRPr="007119D6">
        <w:rPr>
          <w:rFonts w:ascii="Narkisim" w:hAnsi="Narkisim"/>
          <w:rtl/>
        </w:rPr>
        <w:t xml:space="preserve"> כרוז לכהונה</w:t>
      </w:r>
    </w:p>
    <w:p w14:paraId="340F7E8E" w14:textId="77777777" w:rsidR="006C4368" w:rsidRPr="007119D6" w:rsidRDefault="006C4368" w:rsidP="006C4368">
      <w:pPr>
        <w:pStyle w:val="aa"/>
        <w:bidi/>
        <w:rPr>
          <w:rFonts w:ascii="Narkisim" w:hAnsi="Narkisim"/>
        </w:rPr>
      </w:pPr>
      <w:r w:rsidRPr="007119D6">
        <w:rPr>
          <w:rFonts w:ascii="Narkisim" w:hAnsi="Narkisim"/>
          <w:u w:val="single"/>
          <w:rtl/>
        </w:rPr>
        <w:t>לעצמה ג' חדשים</w:t>
      </w:r>
      <w:r w:rsidRPr="007119D6">
        <w:rPr>
          <w:rFonts w:ascii="Narkisim" w:hAnsi="Narkisim"/>
          <w:rtl/>
        </w:rPr>
        <w:t>. ה</w:t>
      </w:r>
      <w:r w:rsidRPr="007119D6">
        <w:rPr>
          <w:rFonts w:ascii="Narkisim" w:hAnsi="Narkisim"/>
          <w:b/>
          <w:bCs/>
          <w:rtl/>
        </w:rPr>
        <w:t>ריטב”א</w:t>
      </w:r>
      <w:r w:rsidRPr="007119D6">
        <w:rPr>
          <w:rFonts w:ascii="Narkisim" w:hAnsi="Narkisim"/>
          <w:rtl/>
        </w:rPr>
        <w:t xml:space="preserve"> ביאר דאפי' שהלך בעלה למדינת הים, וידוע בבירור שאין ולד, אפ”ה גזרו להמתין ג' חדשים. וכדאי' (לעיל מב:) דגזרו אפי' אילונית ועקרה.</w:t>
      </w:r>
    </w:p>
    <w:p w14:paraId="5176D9F0" w14:textId="77777777" w:rsidR="006C4368" w:rsidRPr="007119D6" w:rsidRDefault="006C4368" w:rsidP="006C4368">
      <w:pPr>
        <w:pStyle w:val="aa"/>
        <w:bidi/>
        <w:rPr>
          <w:rFonts w:ascii="Narkisim" w:hAnsi="Narkisim"/>
        </w:rPr>
      </w:pPr>
      <w:r w:rsidRPr="007119D6">
        <w:rPr>
          <w:rFonts w:ascii="Narkisim" w:hAnsi="Narkisim"/>
          <w:u w:val="single"/>
          <w:rtl/>
        </w:rPr>
        <w:t>ותחלוץ ממ"נ וכו'</w:t>
      </w:r>
      <w:r w:rsidRPr="007119D6">
        <w:rPr>
          <w:rFonts w:ascii="Narkisim" w:hAnsi="Narkisim"/>
          <w:rtl/>
        </w:rPr>
        <w:t>. ובגמ' (לעיל לו.) אי' דבשלמא תוך ט' חדשים שמא מעוברת. ופ</w:t>
      </w:r>
      <w:r w:rsidRPr="007119D6">
        <w:rPr>
          <w:rFonts w:ascii="Narkisim" w:hAnsi="Narkisim"/>
          <w:b/>
          <w:bCs/>
          <w:rtl/>
        </w:rPr>
        <w:t>רש"י</w:t>
      </w:r>
      <w:r w:rsidRPr="007119D6">
        <w:rPr>
          <w:rFonts w:ascii="Narkisim" w:hAnsi="Narkisim"/>
          <w:rtl/>
        </w:rPr>
        <w:t xml:space="preserve"> וכמ"ד דהולד אינו פוטר עד שיצא לאויר העולם. ולדעת ריש לקיש (שם) ל"מ חליצה תוך ט', אפי' הפילה אח"כ.</w:t>
      </w:r>
    </w:p>
    <w:p w14:paraId="5793A98C" w14:textId="77777777" w:rsidR="006C4368" w:rsidRPr="007119D6" w:rsidRDefault="006C4368" w:rsidP="006C4368">
      <w:pPr>
        <w:bidi/>
        <w:rPr>
          <w:rFonts w:ascii="Narkisim" w:hAnsi="Narkisim" w:cs="Narkisim"/>
        </w:rPr>
      </w:pPr>
      <w:r w:rsidRPr="007119D6">
        <w:rPr>
          <w:rFonts w:ascii="Narkisim" w:hAnsi="Narkisim" w:cs="Narkisim"/>
          <w:u w:val="single"/>
          <w:rtl/>
        </w:rPr>
        <w:t>אביי בר אבין ור"ח בר אבין אמרי תרוייהו גזירה וכו' ונמצא אתה מצריכה כרוז לכהונה וכו</w:t>
      </w:r>
      <w:r w:rsidRPr="007119D6">
        <w:rPr>
          <w:rFonts w:ascii="Narkisim" w:hAnsi="Narkisim" w:cs="Narkisim"/>
          <w:rtl/>
        </w:rPr>
        <w:t>'. וה</w:t>
      </w:r>
      <w:r w:rsidRPr="007119D6">
        <w:rPr>
          <w:rFonts w:ascii="Narkisim" w:hAnsi="Narkisim" w:cs="Narkisim"/>
          <w:b/>
          <w:bCs/>
          <w:rtl/>
        </w:rPr>
        <w:t>ריטב"א</w:t>
      </w:r>
      <w:r w:rsidRPr="007119D6">
        <w:rPr>
          <w:rFonts w:ascii="Narkisim" w:hAnsi="Narkisim" w:cs="Narkisim"/>
          <w:rtl/>
        </w:rPr>
        <w:t xml:space="preserve"> (לעיל לו.) הקשה וא"ת אמאי מעגנינן לה, תחלוץ ותנשא ותאסר לכהונה. וי"ל דחייש' שמא לא תעמוד באיסורא, כיון דיודעת שמותרת. ועי"ז יתירו חלוצה לכהנים.</w:t>
      </w:r>
    </w:p>
    <w:p w14:paraId="56DC4623" w14:textId="77777777" w:rsidR="006C4368" w:rsidRPr="007119D6" w:rsidRDefault="006C4368" w:rsidP="006C4368">
      <w:pPr>
        <w:pStyle w:val="a7"/>
        <w:bidi/>
        <w:rPr>
          <w:rFonts w:ascii="Narkisim" w:hAnsi="Narkisim"/>
        </w:rPr>
      </w:pPr>
      <w:r w:rsidRPr="007119D6">
        <w:rPr>
          <w:rFonts w:ascii="Narkisim" w:hAnsi="Narkisim"/>
          <w:rtl/>
        </w:rPr>
        <w:t>ויל"ד דהיו יכולים לגזור לאוסרה לכהונה כיון שעשתה מעשה חליצה, ואף שנתברר דאינו חליצה. ועי”ז תוכל לחליצה לכתחילה מחמת הספק. וצ"ל דחכמים לא רצו לפוסלה לחינם. וכדתנן (לעיל לה:, וכ”פ השו”ע קסד ב) דהחולץ ונמצאת מעוברת, לא פסלה מהכהונה</w:t>
      </w:r>
      <w:r w:rsidRPr="007119D6">
        <w:rPr>
          <w:rStyle w:val="ac"/>
          <w:rFonts w:ascii="Narkisim" w:hAnsi="Narkisim"/>
          <w:rtl/>
        </w:rPr>
        <w:footnoteReference w:id="8214"/>
      </w:r>
      <w:r w:rsidRPr="007119D6">
        <w:rPr>
          <w:rFonts w:ascii="Narkisim" w:hAnsi="Narkisim"/>
          <w:rtl/>
        </w:rPr>
        <w:t>.</w:t>
      </w:r>
    </w:p>
    <w:p w14:paraId="5B7B843B"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(בשו"ע יב ו) הביא דאף אם חלצה ואח"כ באו עדים שהיו לבעלה בנים, מכריזים ומתירים אותה לכהונה.</w:t>
      </w:r>
    </w:p>
    <w:p w14:paraId="2C8CAB45"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ריטב"א</w:t>
      </w:r>
      <w:r w:rsidRPr="007119D6">
        <w:rPr>
          <w:rFonts w:ascii="Narkisim" w:hAnsi="Narkisim"/>
          <w:rtl/>
        </w:rPr>
        <w:t xml:space="preserve"> (הנ"ל) כת' דבחולץ למעוברת וילדה הטעם דסמכי' אהכרזה, דכיון דהולד מוכיח</w:t>
      </w:r>
      <w:r w:rsidRPr="007119D6">
        <w:rPr>
          <w:rStyle w:val="ac"/>
          <w:rFonts w:ascii="Narkisim" w:hAnsi="Narkisim"/>
          <w:rtl/>
        </w:rPr>
        <w:footnoteReference w:id="8215"/>
      </w:r>
      <w:r w:rsidRPr="007119D6">
        <w:rPr>
          <w:rFonts w:ascii="Narkisim" w:hAnsi="Narkisim"/>
          <w:rtl/>
        </w:rPr>
        <w:t>. וחילק דדוקא דבסוגיין דצרתה במדינת הים חששו להכרזה</w:t>
      </w:r>
      <w:r w:rsidRPr="007119D6">
        <w:rPr>
          <w:rStyle w:val="ac"/>
          <w:rFonts w:ascii="Narkisim" w:hAnsi="Narkisim"/>
          <w:rtl/>
        </w:rPr>
        <w:footnoteReference w:id="8216"/>
      </w:r>
      <w:r w:rsidRPr="007119D6">
        <w:rPr>
          <w:rFonts w:ascii="Narkisim" w:hAnsi="Narkisim"/>
          <w:rtl/>
        </w:rPr>
        <w:t>, דכיון דהולד אינו לפנינו להוכיח. [וא"כ אין ראיה מסוגיין דאינו פוסל בדיעבד].</w:t>
      </w:r>
    </w:p>
    <w:p w14:paraId="2B9335C2" w14:textId="77777777" w:rsidR="006C4368" w:rsidRPr="007119D6" w:rsidRDefault="006C4368" w:rsidP="006C4368">
      <w:pPr>
        <w:pStyle w:val="aa"/>
        <w:bidi/>
        <w:rPr>
          <w:rFonts w:ascii="Narkisim" w:hAnsi="Narkisim"/>
        </w:rPr>
      </w:pPr>
      <w:r w:rsidRPr="007119D6">
        <w:rPr>
          <w:rFonts w:ascii="Narkisim" w:hAnsi="Narkisim"/>
          <w:u w:val="single"/>
          <w:rtl/>
        </w:rPr>
        <w:t>אר"פ בגרושה.</w:t>
      </w:r>
      <w:r w:rsidRPr="007119D6">
        <w:rPr>
          <w:rFonts w:ascii="Narkisim" w:hAnsi="Narkisim"/>
          <w:rtl/>
        </w:rPr>
        <w:t xml:space="preserve"> </w:t>
      </w:r>
      <w:r w:rsidRPr="007119D6">
        <w:rPr>
          <w:rFonts w:ascii="Narkisim" w:hAnsi="Narkisim"/>
          <w:b/>
          <w:bCs/>
          <w:rtl/>
        </w:rPr>
        <w:t>רבינו</w:t>
      </w:r>
      <w:r w:rsidRPr="007119D6">
        <w:rPr>
          <w:rFonts w:ascii="Narkisim" w:hAnsi="Narkisim"/>
          <w:rtl/>
        </w:rPr>
        <w:t xml:space="preserve"> </w:t>
      </w:r>
      <w:r w:rsidRPr="007119D6">
        <w:rPr>
          <w:rFonts w:ascii="Narkisim" w:hAnsi="Narkisim"/>
          <w:b/>
          <w:bCs/>
          <w:rtl/>
        </w:rPr>
        <w:t>ירוחם</w:t>
      </w:r>
      <w:r w:rsidRPr="007119D6">
        <w:rPr>
          <w:rFonts w:ascii="Narkisim" w:hAnsi="Narkisim"/>
          <w:rtl/>
        </w:rPr>
        <w:t xml:space="preserve"> (ת"א נתיב כה א, רטז. מדה"ס הו' בב"י קנו, וציינו </w:t>
      </w:r>
      <w:r w:rsidRPr="007119D6">
        <w:rPr>
          <w:rFonts w:ascii="Narkisim" w:hAnsi="Narkisim"/>
          <w:b/>
          <w:bCs/>
          <w:rtl/>
        </w:rPr>
        <w:t>רע"א</w:t>
      </w:r>
      <w:r w:rsidRPr="007119D6">
        <w:rPr>
          <w:rFonts w:ascii="Narkisim" w:hAnsi="Narkisim"/>
          <w:rtl/>
        </w:rPr>
        <w:t>)</w:t>
      </w:r>
      <w:r w:rsidRPr="007119D6">
        <w:rPr>
          <w:rFonts w:ascii="Narkisim" w:hAnsi="Narkisim"/>
          <w:b/>
          <w:bCs/>
          <w:rtl/>
        </w:rPr>
        <w:t xml:space="preserve"> </w:t>
      </w:r>
      <w:r w:rsidRPr="007119D6">
        <w:rPr>
          <w:rFonts w:ascii="Narkisim" w:hAnsi="Narkisim"/>
          <w:rtl/>
        </w:rPr>
        <w:t>הביא דהר"ש נסתפק האם יש תקנה שיכולה לידור ע"ד רבים שלא תמשא לכהן. ועי”ז אי”צ כרוז</w:t>
      </w:r>
      <w:r w:rsidRPr="007119D6">
        <w:rPr>
          <w:rStyle w:val="ac"/>
          <w:rFonts w:ascii="Narkisim" w:hAnsi="Narkisim"/>
          <w:rtl/>
        </w:rPr>
        <w:footnoteReference w:id="8217"/>
      </w:r>
      <w:r w:rsidRPr="007119D6">
        <w:rPr>
          <w:rFonts w:ascii="Narkisim" w:hAnsi="Narkisim"/>
          <w:rtl/>
        </w:rPr>
        <w:t>.</w:t>
      </w:r>
    </w:p>
    <w:p w14:paraId="49821616" w14:textId="77777777" w:rsidR="006C4368" w:rsidRPr="007119D6" w:rsidRDefault="006C4368" w:rsidP="006C4368">
      <w:pPr>
        <w:pStyle w:val="aa"/>
        <w:bidi/>
        <w:rPr>
          <w:rFonts w:ascii="Narkisim" w:hAnsi="Narkisim"/>
        </w:rPr>
      </w:pPr>
      <w:r w:rsidRPr="007119D6">
        <w:rPr>
          <w:rFonts w:ascii="Narkisim" w:hAnsi="Narkisim"/>
          <w:rtl/>
        </w:rPr>
        <w:t>ובגמ' (לעיל לו.) אביי דחה מידי לא תחלוץ וכו', אלא אי חליץ מותרת. וה</w:t>
      </w:r>
      <w:r w:rsidRPr="007119D6">
        <w:rPr>
          <w:rFonts w:ascii="Narkisim" w:hAnsi="Narkisim"/>
          <w:b/>
          <w:bCs/>
          <w:rtl/>
        </w:rPr>
        <w:t>רי"ף</w:t>
      </w:r>
      <w:r w:rsidRPr="007119D6">
        <w:rPr>
          <w:rFonts w:ascii="Narkisim" w:hAnsi="Narkisim"/>
          <w:rtl/>
        </w:rPr>
        <w:t xml:space="preserve"> פסק דלא תחלוץ, משום גזירת כרוז. דתניא (לעיל לו.) כוותייהו. וה</w:t>
      </w:r>
      <w:r w:rsidRPr="007119D6">
        <w:rPr>
          <w:rFonts w:ascii="Narkisim" w:hAnsi="Narkisim"/>
          <w:b/>
          <w:bCs/>
          <w:rtl/>
        </w:rPr>
        <w:t>בעה"מ</w:t>
      </w:r>
      <w:r w:rsidRPr="007119D6">
        <w:rPr>
          <w:rFonts w:ascii="Narkisim" w:hAnsi="Narkisim"/>
          <w:rtl/>
        </w:rPr>
        <w:t xml:space="preserve"> חלק דהא אביי (שם) אסיק דה"ק לא תינשא בלא חליצה. ולעולם מותרת ע"י חליצה. וכ"ד זעירי דחולצת לאחר ט' ממ"נ. הילכך במקום הדחק, דליכא למיקם על בירוריה דמילתא כדאי הוא זעירא לסמוך עליו בשעת הדחק. וה</w:t>
      </w:r>
      <w:r w:rsidRPr="007119D6">
        <w:rPr>
          <w:rFonts w:ascii="Narkisim" w:hAnsi="Narkisim"/>
          <w:b/>
          <w:bCs/>
          <w:rtl/>
        </w:rPr>
        <w:t>מלחמות</w:t>
      </w:r>
      <w:r w:rsidRPr="007119D6">
        <w:rPr>
          <w:rFonts w:ascii="Narkisim" w:hAnsi="Narkisim"/>
          <w:rtl/>
        </w:rPr>
        <w:t xml:space="preserve"> דחה דהלכה כר' חנינא. ולא דחינן משום דברי אביי</w:t>
      </w:r>
      <w:r w:rsidRPr="007119D6">
        <w:rPr>
          <w:rStyle w:val="ac"/>
          <w:rFonts w:ascii="Narkisim" w:hAnsi="Narkisim"/>
          <w:rtl/>
        </w:rPr>
        <w:footnoteReference w:id="8218"/>
      </w:r>
      <w:r w:rsidRPr="007119D6">
        <w:rPr>
          <w:rFonts w:ascii="Narkisim" w:hAnsi="Narkisim"/>
          <w:rtl/>
        </w:rPr>
        <w:t>. וה</w:t>
      </w:r>
      <w:r w:rsidRPr="007119D6">
        <w:rPr>
          <w:rFonts w:ascii="Narkisim" w:hAnsi="Narkisim"/>
          <w:b/>
          <w:bCs/>
          <w:rtl/>
        </w:rPr>
        <w:t>מלחמות</w:t>
      </w:r>
      <w:r w:rsidRPr="007119D6">
        <w:rPr>
          <w:rFonts w:ascii="Narkisim" w:hAnsi="Narkisim"/>
          <w:rtl/>
        </w:rPr>
        <w:t xml:space="preserve"> כת' די"ל דאביי דחה דאין ראיה מהמשנה, אך לדינא אינו חולק</w:t>
      </w:r>
      <w:r w:rsidRPr="007119D6">
        <w:rPr>
          <w:rStyle w:val="ac"/>
          <w:rFonts w:ascii="Narkisim" w:hAnsi="Narkisim"/>
          <w:rtl/>
        </w:rPr>
        <w:footnoteReference w:id="8219"/>
      </w:r>
      <w:r w:rsidRPr="007119D6">
        <w:rPr>
          <w:rFonts w:ascii="Narkisim" w:hAnsi="Narkisim"/>
          <w:rtl/>
        </w:rPr>
        <w:t>. ושמא דעתו להעמיד את המשנה אפי' בגרושה.</w:t>
      </w:r>
    </w:p>
    <w:p w14:paraId="1E963631" w14:textId="77777777" w:rsidR="006C4368" w:rsidRPr="007119D6" w:rsidRDefault="006C4368" w:rsidP="006C4368">
      <w:pPr>
        <w:bidi/>
        <w:rPr>
          <w:rFonts w:ascii="Narkisim" w:hAnsi="Narkisim" w:cs="Narkisim"/>
        </w:rPr>
      </w:pPr>
      <w:r w:rsidRPr="007119D6">
        <w:rPr>
          <w:rFonts w:ascii="Narkisim" w:hAnsi="Narkisim" w:cs="Narkisim"/>
          <w:u w:val="single"/>
          <w:rtl/>
        </w:rPr>
        <w:t>באמרה אני והוא נחבינו במערה</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הילכך ליכא למיחש דילמא אתי סהדי</w:t>
      </w:r>
      <w:r w:rsidRPr="007119D6">
        <w:rPr>
          <w:rStyle w:val="ac"/>
          <w:rFonts w:ascii="Narkisim" w:hAnsi="Narkisim" w:cs="Narkisim"/>
          <w:rtl/>
        </w:rPr>
        <w:footnoteReference w:id="8220"/>
      </w:r>
      <w:r w:rsidRPr="007119D6">
        <w:rPr>
          <w:rFonts w:ascii="Narkisim" w:hAnsi="Narkisim" w:cs="Narkisim"/>
          <w:rtl/>
        </w:rPr>
        <w:t>]. מבואר דסומכים על סיפור האשה לידע האם מסתבר שיבואו עדים.</w:t>
      </w:r>
    </w:p>
    <w:p w14:paraId="03A9B45F"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בי"ש</w:t>
      </w:r>
      <w:r w:rsidRPr="007119D6">
        <w:rPr>
          <w:rFonts w:ascii="Narkisim" w:hAnsi="Narkisim" w:cs="Narkisim"/>
          <w:rtl/>
        </w:rPr>
        <w:t xml:space="preserve"> (קנו טז) הק' אף ברישא, שאומרת מת בני ואח"כ מת בעלי, שחולצת [משום שאינה נאמנת להתייבם]. ניחוש שמא יבואו עדים [היפך דבריה], וצריכה כרוז. ותי' דהתם אסרה עצמה לכהן משום שווי' אנפשה חד"א [ואף אם יבואו עדים אסורה]. וכ"כ ה</w:t>
      </w:r>
      <w:r w:rsidRPr="007119D6">
        <w:rPr>
          <w:rFonts w:ascii="Narkisim" w:hAnsi="Narkisim" w:cs="Narkisim"/>
          <w:b/>
          <w:bCs/>
          <w:rtl/>
        </w:rPr>
        <w:t>משנ"ל</w:t>
      </w:r>
      <w:r w:rsidRPr="007119D6">
        <w:rPr>
          <w:rFonts w:ascii="Narkisim" w:hAnsi="Narkisim" w:cs="Narkisim"/>
          <w:rtl/>
        </w:rPr>
        <w:t xml:space="preserve"> (יבום ג </w:t>
      </w:r>
      <w:r w:rsidRPr="007119D6">
        <w:rPr>
          <w:rFonts w:ascii="Narkisim" w:hAnsi="Narkisim" w:cs="Narkisim"/>
          <w:rtl/>
        </w:rPr>
        <w:lastRenderedPageBreak/>
        <w:t>יג).</w:t>
      </w:r>
    </w:p>
    <w:p w14:paraId="20794754"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דחה די"ל דקו' הגמ' דוקא בסיפא, דדלמא האמת כדבריה, ותצטרך כרוז לכהונה. ואילו ברישא היא נאמנת לענין זה דלא חיישינן שנצריך כרוז לכהונה</w:t>
      </w:r>
      <w:r w:rsidRPr="007119D6">
        <w:rPr>
          <w:rStyle w:val="ac"/>
          <w:rFonts w:ascii="Narkisim" w:hAnsi="Narkisim"/>
          <w:rtl/>
        </w:rPr>
        <w:footnoteReference w:id="8221"/>
      </w:r>
      <w:r w:rsidRPr="007119D6">
        <w:rPr>
          <w:rFonts w:ascii="Narkisim" w:hAnsi="Narkisim"/>
          <w:rtl/>
        </w:rPr>
        <w:t>.</w:t>
      </w:r>
    </w:p>
    <w:p w14:paraId="67B21870" w14:textId="77777777" w:rsidR="006C4368" w:rsidRPr="007119D6" w:rsidRDefault="006C4368" w:rsidP="006C4368">
      <w:pPr>
        <w:bidi/>
        <w:rPr>
          <w:rFonts w:ascii="Narkisim" w:hAnsi="Narkisim" w:cs="Narkisim"/>
        </w:rPr>
      </w:pPr>
      <w:r w:rsidRPr="007119D6">
        <w:rPr>
          <w:rFonts w:ascii="Narkisim" w:hAnsi="Narkisim" w:cs="Narkisim"/>
          <w:u w:val="single"/>
          <w:rtl/>
        </w:rPr>
        <w:t>ב' יבמות וכו' זו אסורה מפני בעלה של זו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דאע"פ שאשתו [של היבם] אומרת מת [ומותרת ע"פ עצמה], אינה נאמנת איבמתה. דהוה מה' נשים שאין נאמנת להעידה.</w:t>
      </w:r>
    </w:p>
    <w:p w14:paraId="36605FFF"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קר"א</w:t>
      </w:r>
      <w:r w:rsidRPr="007119D6">
        <w:rPr>
          <w:rFonts w:ascii="Narkisim" w:hAnsi="Narkisim" w:cs="Narkisim"/>
          <w:rtl/>
        </w:rPr>
        <w:t xml:space="preserve"> דן דלצד (לעיל צג:) דעד א' אינו נאמן ביבמה לשוק, א"כ אף לולי דהוה יבמתו [שאינה נאמנת עליה], ל"מ כלל עד א' להתירה. [והק' אצד בגמ' דר”א ס”ל דצרה מעידה לחברתה, וכן מלשונות הגמ']. וכת' דהגמ' בסוגיין אזל כדברי רבא (לעיל צד.) דעד א' מהני ביבמה. אבל ה</w:t>
      </w:r>
      <w:r w:rsidRPr="007119D6">
        <w:rPr>
          <w:rFonts w:ascii="Narkisim" w:hAnsi="Narkisim" w:cs="Narkisim"/>
          <w:b/>
          <w:bCs/>
          <w:rtl/>
        </w:rPr>
        <w:t>בי"ש</w:t>
      </w:r>
      <w:r w:rsidRPr="007119D6">
        <w:rPr>
          <w:rFonts w:ascii="Narkisim" w:hAnsi="Narkisim" w:cs="Narkisim"/>
          <w:rtl/>
        </w:rPr>
        <w:t xml:space="preserve"> (קנח ד) דחה [לדעת הרא”ש דעד א' אינו נאמן ביבמה], אפי' הכי איצטריך טעם דצרה אינה מעידה לחברתה</w:t>
      </w:r>
      <w:r w:rsidRPr="007119D6">
        <w:rPr>
          <w:rStyle w:val="ac"/>
          <w:rFonts w:ascii="Narkisim" w:hAnsi="Narkisim" w:cs="Narkisim"/>
          <w:rtl/>
        </w:rPr>
        <w:footnoteReference w:id="8222"/>
      </w:r>
      <w:r w:rsidRPr="007119D6">
        <w:rPr>
          <w:rFonts w:ascii="Narkisim" w:hAnsi="Narkisim" w:cs="Narkisim"/>
          <w:rtl/>
        </w:rPr>
        <w:t>, דס"ד דהואיל ומהני נאמנותה לגבי עצמה, מהני ליבמתה</w:t>
      </w:r>
      <w:r w:rsidRPr="007119D6">
        <w:rPr>
          <w:rStyle w:val="ac"/>
          <w:rFonts w:ascii="Narkisim" w:hAnsi="Narkisim" w:cs="Narkisim"/>
          <w:rtl/>
        </w:rPr>
        <w:footnoteReference w:id="8223"/>
      </w:r>
      <w:r w:rsidRPr="007119D6">
        <w:rPr>
          <w:rFonts w:ascii="Narkisim" w:hAnsi="Narkisim" w:cs="Narkisim"/>
          <w:rtl/>
        </w:rPr>
        <w:t>. [קמ"ל דסני לה</w:t>
      </w:r>
      <w:r w:rsidRPr="007119D6">
        <w:rPr>
          <w:rStyle w:val="ac"/>
          <w:rFonts w:ascii="Narkisim" w:hAnsi="Narkisim" w:cs="Narkisim"/>
          <w:rtl/>
        </w:rPr>
        <w:footnoteReference w:id="8224"/>
      </w:r>
      <w:r w:rsidRPr="007119D6">
        <w:rPr>
          <w:rFonts w:ascii="Narkisim" w:hAnsi="Narkisim" w:cs="Narkisim"/>
          <w:rtl/>
        </w:rPr>
        <w:t>].</w:t>
      </w:r>
    </w:p>
    <w:p w14:paraId="2A4F9547" w14:textId="77777777" w:rsidR="006C4368" w:rsidRPr="007119D6" w:rsidRDefault="006C4368" w:rsidP="006C4368">
      <w:pPr>
        <w:bidi/>
        <w:rPr>
          <w:rFonts w:ascii="Narkisim" w:hAnsi="Narkisim" w:cs="Narkisim"/>
        </w:rPr>
      </w:pPr>
      <w:r w:rsidRPr="007119D6">
        <w:rPr>
          <w:rFonts w:ascii="Narkisim" w:hAnsi="Narkisim" w:cs="Narkisim"/>
          <w:u w:val="single"/>
          <w:rtl/>
        </w:rPr>
        <w:t>לזו עדים וכו'</w:t>
      </w:r>
      <w:r w:rsidRPr="007119D6">
        <w:rPr>
          <w:rFonts w:ascii="Narkisim" w:hAnsi="Narkisim" w:cs="Narkisim"/>
          <w:rtl/>
        </w:rPr>
        <w:t>. ה</w:t>
      </w:r>
      <w:r w:rsidRPr="007119D6">
        <w:rPr>
          <w:rFonts w:ascii="Narkisim" w:hAnsi="Narkisim" w:cs="Narkisim"/>
          <w:b/>
          <w:bCs/>
          <w:rtl/>
        </w:rPr>
        <w:t>רש"ש</w:t>
      </w:r>
      <w:r w:rsidRPr="007119D6">
        <w:rPr>
          <w:rFonts w:ascii="Narkisim" w:hAnsi="Narkisim" w:cs="Narkisim"/>
          <w:rtl/>
        </w:rPr>
        <w:t xml:space="preserve"> כת' דתלי בספק (לעיל צג:) אי עד א' נאמן להתיר יבמה לשוק. וא"כ עדים לאו דוקא, אלא עד א'</w:t>
      </w:r>
      <w:r w:rsidRPr="007119D6">
        <w:rPr>
          <w:rStyle w:val="ac"/>
          <w:rFonts w:ascii="Narkisim" w:hAnsi="Narkisim" w:cs="Narkisim"/>
          <w:rtl/>
        </w:rPr>
        <w:footnoteReference w:id="8225"/>
      </w:r>
      <w:r w:rsidRPr="007119D6">
        <w:rPr>
          <w:rFonts w:ascii="Narkisim" w:hAnsi="Narkisim" w:cs="Narkisim"/>
          <w:rtl/>
        </w:rPr>
        <w:t>.</w:t>
      </w:r>
    </w:p>
    <w:p w14:paraId="4A1E7DE3" w14:textId="77777777" w:rsidR="006C4368" w:rsidRPr="007119D6" w:rsidRDefault="006C4368" w:rsidP="006C4368">
      <w:pPr>
        <w:bidi/>
        <w:rPr>
          <w:rFonts w:ascii="Narkisim" w:hAnsi="Narkisim" w:cs="Narkisim"/>
        </w:rPr>
      </w:pPr>
      <w:r w:rsidRPr="007119D6">
        <w:rPr>
          <w:rFonts w:ascii="Narkisim" w:hAnsi="Narkisim" w:cs="Narkisim"/>
          <w:u w:val="single"/>
          <w:rtl/>
        </w:rPr>
        <w:t>תוד"ה מאי</w:t>
      </w:r>
      <w:r w:rsidRPr="007119D6">
        <w:rPr>
          <w:rFonts w:ascii="Narkisim" w:hAnsi="Narkisim" w:cs="Narkisim"/>
          <w:rtl/>
        </w:rPr>
        <w:t>. ונר' לר”י וכו' אבל הכא כל א' אינה מתכוונת להעיד על חברתה. ואף לר”א יש חשש משקר, שמתכוונת לקלקל. אך היכא דנראה שבאה להתיר עצמה לא חששו. [ויל"ד היכא דהצרה מספרת במסל"ת וכדו'].</w:t>
      </w:r>
    </w:p>
    <w:p w14:paraId="0ED0570B"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מהרש"א</w:t>
      </w:r>
      <w:r w:rsidRPr="007119D6">
        <w:rPr>
          <w:rFonts w:ascii="Narkisim" w:hAnsi="Narkisim"/>
          <w:rtl/>
        </w:rPr>
        <w:t xml:space="preserve"> הק' דמ"מ קשה דהו"ל לר"א לחלוק אמתני' (לעיל קיח., ברישא דהך מתני') באה ואמרה מת בעלי תנשא ותטול כתובה וצרתה אסורה, ואף שבאה להתיר עצמה צרתה אסורה. ומשמע דאף לאחר שנשאת צרתה עדיין אסורה. ואמאי לא פליג ר"א. וה</w:t>
      </w:r>
      <w:r w:rsidRPr="007119D6">
        <w:rPr>
          <w:rFonts w:ascii="Narkisim" w:hAnsi="Narkisim"/>
          <w:b/>
          <w:bCs/>
          <w:rtl/>
        </w:rPr>
        <w:t>מהרש"א</w:t>
      </w:r>
      <w:r w:rsidRPr="007119D6">
        <w:rPr>
          <w:rFonts w:ascii="Narkisim" w:hAnsi="Narkisim"/>
          <w:rtl/>
        </w:rPr>
        <w:t xml:space="preserve"> תי' [דללישנא דדוקא נשאת] יש להעמיד שנשאת לישראל, דיש לחוש דלמא בגיטא אתאי (וכדלקמן). [אך כת' דגבי חמותו לא חששו לזה, ע' בסמוך].</w:t>
      </w:r>
    </w:p>
    <w:p w14:paraId="69A7F1D9" w14:textId="77777777" w:rsidR="006C4368" w:rsidRPr="007119D6" w:rsidRDefault="006C4368" w:rsidP="006C4368">
      <w:pPr>
        <w:pStyle w:val="3"/>
        <w:bidi/>
        <w:rPr>
          <w:rFonts w:ascii="Narkisim" w:hAnsi="Narkisim"/>
        </w:rPr>
      </w:pPr>
      <w:r w:rsidRPr="007119D6">
        <w:rPr>
          <w:rFonts w:ascii="Narkisim" w:hAnsi="Narkisim"/>
          <w:rtl/>
        </w:rPr>
        <w:t>דף קכ.</w:t>
      </w:r>
    </w:p>
    <w:p w14:paraId="6AF5FC27" w14:textId="77777777" w:rsidR="006C4368" w:rsidRPr="007119D6" w:rsidRDefault="006C4368" w:rsidP="006C4368">
      <w:pPr>
        <w:bidi/>
        <w:rPr>
          <w:rFonts w:ascii="Narkisim" w:hAnsi="Narkisim" w:cs="Narkisim"/>
        </w:rPr>
      </w:pPr>
      <w:r w:rsidRPr="007119D6">
        <w:rPr>
          <w:rFonts w:ascii="Narkisim" w:hAnsi="Narkisim" w:cs="Narkisim"/>
          <w:u w:val="single"/>
          <w:rtl/>
        </w:rPr>
        <w:t>וליחוש דלמא בגיטא אתאי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א"כ לא מקלקלא נפשא. וה</w:t>
      </w:r>
      <w:r w:rsidRPr="007119D6">
        <w:rPr>
          <w:rFonts w:ascii="Narkisim" w:hAnsi="Narkisim" w:cs="Narkisim"/>
          <w:b/>
          <w:bCs/>
          <w:rtl/>
        </w:rPr>
        <w:t>אחרונים</w:t>
      </w:r>
      <w:r w:rsidRPr="007119D6">
        <w:rPr>
          <w:rFonts w:ascii="Narkisim" w:hAnsi="Narkisim" w:cs="Narkisim"/>
          <w:rtl/>
        </w:rPr>
        <w:t xml:space="preserve"> הביאו דמבואר דאף לאחר שנתגרשה הוה בכלל ה' נשים, ואינה נאמנת להעידה. וה</w:t>
      </w:r>
      <w:r w:rsidRPr="007119D6">
        <w:rPr>
          <w:rFonts w:ascii="Narkisim" w:hAnsi="Narkisim" w:cs="Narkisim"/>
          <w:b/>
          <w:bCs/>
          <w:rtl/>
        </w:rPr>
        <w:t>מהרש"א</w:t>
      </w:r>
      <w:r w:rsidRPr="007119D6">
        <w:rPr>
          <w:rFonts w:ascii="Narkisim" w:hAnsi="Narkisim" w:cs="Narkisim"/>
          <w:rtl/>
        </w:rPr>
        <w:t xml:space="preserve"> (קיט:) כת' דדוקא בצרתה חששו שתקלקל אותה אף כשאינה חוזרת עליה, כיון שהיה לה עמה צער הגוף</w:t>
      </w:r>
      <w:r w:rsidRPr="007119D6">
        <w:rPr>
          <w:rStyle w:val="ac"/>
          <w:rFonts w:ascii="Narkisim" w:hAnsi="Narkisim" w:cs="Narkisim"/>
          <w:rtl/>
        </w:rPr>
        <w:footnoteReference w:id="8226"/>
      </w:r>
      <w:r w:rsidRPr="007119D6">
        <w:rPr>
          <w:rFonts w:ascii="Narkisim" w:hAnsi="Narkisim" w:cs="Narkisim"/>
          <w:rtl/>
        </w:rPr>
        <w:t>. אבל כלתה [שאומרת מת בעלי ואח"כ מת חמי] לא חששו דלמא בגיטא אתאי, דא"כ לא תחזור להיות כלתה ולא תיתי תיצטערן. כיון דהוה צער מילי דעלמא</w:t>
      </w:r>
      <w:r w:rsidRPr="007119D6">
        <w:rPr>
          <w:rStyle w:val="ac"/>
          <w:rFonts w:ascii="Narkisim" w:hAnsi="Narkisim" w:cs="Narkisim"/>
          <w:rtl/>
        </w:rPr>
        <w:footnoteReference w:id="8227"/>
      </w:r>
      <w:r w:rsidRPr="007119D6">
        <w:rPr>
          <w:rFonts w:ascii="Narkisim" w:hAnsi="Narkisim" w:cs="Narkisim"/>
          <w:rtl/>
        </w:rPr>
        <w:t>. [וע"ע  רע"א לעיל קיז.].</w:t>
      </w:r>
    </w:p>
    <w:p w14:paraId="79D75AB4" w14:textId="77777777" w:rsidR="006C4368" w:rsidRPr="007119D6" w:rsidRDefault="006C4368" w:rsidP="006C4368">
      <w:pPr>
        <w:pStyle w:val="aa"/>
        <w:bidi/>
        <w:rPr>
          <w:rFonts w:ascii="Narkisim" w:hAnsi="Narkisim"/>
        </w:rPr>
      </w:pPr>
      <w:r w:rsidRPr="007119D6">
        <w:rPr>
          <w:rFonts w:ascii="Narkisim" w:hAnsi="Narkisim"/>
          <w:u w:val="single"/>
          <w:rtl/>
        </w:rPr>
        <w:t>הב"ע דאינסיב לכהן</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דאי אתי בעלה, א"כ מוציאה את גיטה ונאסרת אכהן. [וכן אסורה אף לבעלה הראשון משום מחזיר גרושתו משנשאת</w:t>
      </w:r>
      <w:r w:rsidRPr="007119D6">
        <w:rPr>
          <w:rStyle w:val="ac"/>
          <w:rFonts w:ascii="Narkisim" w:hAnsi="Narkisim"/>
          <w:rtl/>
        </w:rPr>
        <w:footnoteReference w:id="8228"/>
      </w:r>
      <w:r w:rsidRPr="007119D6">
        <w:rPr>
          <w:rFonts w:ascii="Narkisim" w:hAnsi="Narkisim"/>
          <w:rtl/>
        </w:rPr>
        <w:t>].</w:t>
      </w:r>
    </w:p>
    <w:p w14:paraId="55BF9304" w14:textId="77777777" w:rsidR="006C4368" w:rsidRPr="007119D6" w:rsidRDefault="006C4368" w:rsidP="006C4368">
      <w:pPr>
        <w:pStyle w:val="2"/>
        <w:bidi/>
        <w:rPr>
          <w:rFonts w:ascii="Narkisim" w:hAnsi="Narkisim"/>
        </w:rPr>
      </w:pPr>
      <w:r w:rsidRPr="007119D6">
        <w:rPr>
          <w:rFonts w:ascii="Narkisim" w:hAnsi="Narkisim"/>
          <w:rtl/>
        </w:rPr>
        <w:t>אין מעידים אלא על פרצוף פנים</w:t>
      </w:r>
    </w:p>
    <w:p w14:paraId="3177E263" w14:textId="77777777" w:rsidR="006C4368" w:rsidRPr="007119D6" w:rsidRDefault="006C4368" w:rsidP="006C4368">
      <w:pPr>
        <w:bidi/>
        <w:rPr>
          <w:rFonts w:ascii="Narkisim" w:hAnsi="Narkisim" w:cs="Narkisim"/>
        </w:rPr>
      </w:pPr>
      <w:r w:rsidRPr="007119D6">
        <w:rPr>
          <w:rFonts w:ascii="Narkisim" w:hAnsi="Narkisim" w:cs="Narkisim"/>
          <w:u w:val="single"/>
          <w:rtl/>
        </w:rPr>
        <w:t>אלא על פרצוף פנים</w:t>
      </w:r>
      <w:r w:rsidRPr="007119D6">
        <w:rPr>
          <w:rFonts w:ascii="Narkisim" w:hAnsi="Narkisim" w:cs="Narkisim"/>
          <w:rtl/>
        </w:rPr>
        <w:t>. ה</w:t>
      </w:r>
      <w:r w:rsidRPr="007119D6">
        <w:rPr>
          <w:rFonts w:ascii="Narkisim" w:hAnsi="Narkisim" w:cs="Narkisim"/>
          <w:b/>
          <w:bCs/>
          <w:rtl/>
        </w:rPr>
        <w:t>מאירי</w:t>
      </w:r>
      <w:r w:rsidRPr="007119D6">
        <w:rPr>
          <w:rFonts w:ascii="Narkisim" w:hAnsi="Narkisim" w:cs="Narkisim"/>
          <w:rtl/>
        </w:rPr>
        <w:t xml:space="preserve"> פי' ב' לחיים. וכ"כ </w:t>
      </w:r>
      <w:r w:rsidRPr="007119D6">
        <w:rPr>
          <w:rFonts w:ascii="Narkisim" w:hAnsi="Narkisim" w:cs="Narkisim"/>
          <w:b/>
          <w:bCs/>
          <w:rtl/>
        </w:rPr>
        <w:t>רבינו</w:t>
      </w:r>
      <w:r w:rsidRPr="007119D6">
        <w:rPr>
          <w:rFonts w:ascii="Narkisim" w:hAnsi="Narkisim" w:cs="Narkisim"/>
          <w:rtl/>
        </w:rPr>
        <w:t xml:space="preserve"> </w:t>
      </w:r>
      <w:r w:rsidRPr="007119D6">
        <w:rPr>
          <w:rFonts w:ascii="Narkisim" w:hAnsi="Narkisim" w:cs="Narkisim"/>
          <w:b/>
          <w:bCs/>
          <w:rtl/>
        </w:rPr>
        <w:t>ירוחם</w:t>
      </w:r>
      <w:r w:rsidRPr="007119D6">
        <w:rPr>
          <w:rFonts w:ascii="Narkisim" w:hAnsi="Narkisim" w:cs="Narkisim"/>
          <w:rtl/>
        </w:rPr>
        <w:t xml:space="preserve"> בשם ה</w:t>
      </w:r>
      <w:r w:rsidRPr="007119D6">
        <w:rPr>
          <w:rFonts w:ascii="Narkisim" w:hAnsi="Narkisim" w:cs="Narkisim"/>
          <w:b/>
          <w:bCs/>
          <w:rtl/>
        </w:rPr>
        <w:t>רמ"ה</w:t>
      </w:r>
      <w:r w:rsidRPr="007119D6">
        <w:rPr>
          <w:rFonts w:ascii="Narkisim" w:hAnsi="Narkisim" w:cs="Narkisim"/>
          <w:rtl/>
        </w:rPr>
        <w:t xml:space="preserve"> (והו' בב"י ופוסקים יז כד) דפרצוף פנים הם הלחיים עצמם, ואין משגיחין לא על העינים ולא על הפה.</w:t>
      </w:r>
    </w:p>
    <w:p w14:paraId="5F34B2F3" w14:textId="77777777" w:rsidR="006C4368" w:rsidRPr="007119D6" w:rsidRDefault="006C4368" w:rsidP="006C4368">
      <w:pPr>
        <w:bidi/>
        <w:rPr>
          <w:rFonts w:ascii="Narkisim" w:hAnsi="Narkisim" w:cs="Narkisim"/>
        </w:rPr>
      </w:pPr>
      <w:r w:rsidRPr="007119D6">
        <w:rPr>
          <w:rFonts w:ascii="Narkisim" w:hAnsi="Narkisim" w:cs="Narkisim"/>
          <w:u w:val="single"/>
          <w:rtl/>
        </w:rPr>
        <w:t>אין מעידין אלא עד ג' ימים</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(קכא.) ביאר דאף שמכירין פניו וחוטמו, שמא אחר </w:t>
      </w:r>
      <w:r w:rsidRPr="007119D6">
        <w:rPr>
          <w:rFonts w:ascii="Narkisim" w:hAnsi="Narkisim" w:cs="Narkisim"/>
          <w:rtl/>
        </w:rPr>
        <w:lastRenderedPageBreak/>
        <w:t>היה ונשתנה צורתו ונדמה להם כאיש זה.</w:t>
      </w:r>
    </w:p>
    <w:p w14:paraId="03C1FCF5"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קה"י</w:t>
      </w:r>
      <w:r w:rsidRPr="007119D6">
        <w:rPr>
          <w:rFonts w:ascii="Narkisim" w:hAnsi="Narkisim"/>
          <w:rtl/>
        </w:rPr>
        <w:t xml:space="preserve"> (מו א) כת' דהוה משום חשש בדדמי, והביא מכאן מקור לדעת הרי"ף (הו' לעיל קטו.) דאף בב' עדים אמרי' בדדמי</w:t>
      </w:r>
      <w:r w:rsidRPr="007119D6">
        <w:rPr>
          <w:rStyle w:val="ac"/>
          <w:rFonts w:ascii="Narkisim" w:hAnsi="Narkisim"/>
          <w:rtl/>
        </w:rPr>
        <w:footnoteReference w:id="8229"/>
      </w:r>
      <w:r w:rsidRPr="007119D6">
        <w:rPr>
          <w:rFonts w:ascii="Narkisim" w:hAnsi="Narkisim"/>
          <w:rtl/>
        </w:rPr>
        <w:t>. וכת' דדוחק דאף המדקדק לא יוכל לדעת לאחר ג' ימים</w:t>
      </w:r>
      <w:r w:rsidRPr="007119D6">
        <w:rPr>
          <w:rStyle w:val="ac"/>
          <w:rFonts w:ascii="Narkisim" w:hAnsi="Narkisim"/>
          <w:rtl/>
        </w:rPr>
        <w:footnoteReference w:id="8230"/>
      </w:r>
      <w:r w:rsidRPr="007119D6">
        <w:rPr>
          <w:rFonts w:ascii="Narkisim" w:hAnsi="Narkisim"/>
          <w:rtl/>
        </w:rPr>
        <w:t>.</w:t>
      </w:r>
    </w:p>
    <w:p w14:paraId="4411ECF7"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תשו' מיימוניות</w:t>
      </w:r>
      <w:r w:rsidRPr="007119D6">
        <w:rPr>
          <w:rFonts w:ascii="Narkisim" w:hAnsi="Narkisim" w:cs="Narkisim"/>
          <w:rtl/>
        </w:rPr>
        <w:t xml:space="preserve"> (ט) כת' דאיירי שראה לאחר ג' ימים, אבל היכא דראו תוך ג' ימים ודאי מעיד אף לאחר ג'</w:t>
      </w:r>
      <w:r w:rsidRPr="007119D6">
        <w:rPr>
          <w:rStyle w:val="ac"/>
          <w:rFonts w:ascii="Narkisim" w:hAnsi="Narkisim" w:cs="Narkisim"/>
          <w:rtl/>
        </w:rPr>
        <w:footnoteReference w:id="8231"/>
      </w:r>
      <w:r w:rsidRPr="007119D6">
        <w:rPr>
          <w:rFonts w:ascii="Narkisim" w:hAnsi="Narkisim" w:cs="Narkisim"/>
          <w:rtl/>
        </w:rPr>
        <w:t>.</w:t>
      </w:r>
    </w:p>
    <w:p w14:paraId="7EBC8EC7"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ריב"ש</w:t>
      </w:r>
      <w:r w:rsidRPr="007119D6">
        <w:rPr>
          <w:rFonts w:ascii="Narkisim" w:hAnsi="Narkisim" w:cs="Narkisim"/>
          <w:rtl/>
        </w:rPr>
        <w:t xml:space="preserve"> (שעט) כת' דבכל הני דתנן 'אין מעידין' אין כאן עדות כלל, ואם נשאת תצא</w:t>
      </w:r>
      <w:r w:rsidRPr="007119D6">
        <w:rPr>
          <w:rStyle w:val="ac"/>
          <w:rFonts w:ascii="Narkisim" w:hAnsi="Narkisim" w:cs="Narkisim"/>
          <w:rtl/>
        </w:rPr>
        <w:footnoteReference w:id="8232"/>
      </w:r>
      <w:r w:rsidRPr="007119D6">
        <w:rPr>
          <w:rFonts w:ascii="Narkisim" w:hAnsi="Narkisim" w:cs="Narkisim"/>
          <w:rtl/>
        </w:rPr>
        <w:t>. דומיא דאינך דמתני' דאין מעידין עד שתצא נפשו, דאין כאן עדות כלל</w:t>
      </w:r>
      <w:r w:rsidRPr="007119D6">
        <w:rPr>
          <w:rStyle w:val="ac"/>
          <w:rFonts w:ascii="Narkisim" w:hAnsi="Narkisim" w:cs="Narkisim"/>
          <w:rtl/>
        </w:rPr>
        <w:footnoteReference w:id="8233"/>
      </w:r>
      <w:r w:rsidRPr="007119D6">
        <w:rPr>
          <w:rFonts w:ascii="Narkisim" w:hAnsi="Narkisim" w:cs="Narkisim"/>
          <w:rtl/>
        </w:rPr>
        <w:t>. [ומשמע בריב"ש דהוה סברא פשוטה דלא העיד כלל על המיתה</w:t>
      </w:r>
      <w:r w:rsidRPr="007119D6">
        <w:rPr>
          <w:rStyle w:val="ac"/>
          <w:rFonts w:ascii="Narkisim" w:hAnsi="Narkisim" w:cs="Narkisim"/>
          <w:rtl/>
        </w:rPr>
        <w:footnoteReference w:id="8234"/>
      </w:r>
      <w:r w:rsidRPr="007119D6">
        <w:rPr>
          <w:rFonts w:ascii="Narkisim" w:hAnsi="Narkisim" w:cs="Narkisim"/>
          <w:rtl/>
        </w:rPr>
        <w:t>].</w:t>
      </w:r>
    </w:p>
    <w:p w14:paraId="22BE5A56" w14:textId="77777777" w:rsidR="006C4368" w:rsidRPr="007119D6" w:rsidRDefault="006C4368" w:rsidP="006C4368">
      <w:pPr>
        <w:pStyle w:val="a8"/>
        <w:bidi/>
        <w:rPr>
          <w:rFonts w:ascii="Narkisim" w:hAnsi="Narkisim"/>
        </w:rPr>
      </w:pPr>
      <w:r w:rsidRPr="007119D6">
        <w:rPr>
          <w:rFonts w:ascii="Narkisim" w:hAnsi="Narkisim"/>
          <w:rtl/>
        </w:rPr>
        <w:t>ובפשוטו נח' בזה הראשונים (הו' בסו"ד התוס') אי הוה חשש דאורייתא או חשש דרבנן.</w:t>
      </w:r>
    </w:p>
    <w:p w14:paraId="7B9C5A66"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ריב"ש</w:t>
      </w:r>
      <w:r w:rsidRPr="007119D6">
        <w:rPr>
          <w:rFonts w:ascii="Narkisim" w:hAnsi="Narkisim"/>
          <w:rtl/>
        </w:rPr>
        <w:t xml:space="preserve"> (והו' ברמ”א יז כו) כת' דאפי' בספק אשתהי אם נשאת תצא (ע”ע בסמוך וקכא.). ובריב"ש מבואר דהוה משום ספק דאורייתא. אבל הגר"א (יז צד) ביאר [כוונת הרמ"א] דאף בדרבנן אם נשאת לא תצא</w:t>
      </w:r>
      <w:r w:rsidRPr="007119D6">
        <w:rPr>
          <w:rStyle w:val="ac"/>
          <w:rFonts w:ascii="Narkisim" w:hAnsi="Narkisim"/>
          <w:rtl/>
        </w:rPr>
        <w:footnoteReference w:id="8235"/>
      </w:r>
      <w:r w:rsidRPr="007119D6">
        <w:rPr>
          <w:rFonts w:ascii="Narkisim" w:hAnsi="Narkisim"/>
          <w:rtl/>
        </w:rPr>
        <w:t>. ושוב ציין דדעת הרמב"ם להקל בספיקות [דעד א' במלחמה ובקטטה וכו'] דאם נשאת לא תצא. [וא"כ אף ספק אישתהי יש להקל].</w:t>
      </w:r>
    </w:p>
    <w:p w14:paraId="3844EDFF" w14:textId="77777777" w:rsidR="006C4368" w:rsidRPr="007119D6" w:rsidRDefault="006C4368" w:rsidP="006C4368">
      <w:pPr>
        <w:bidi/>
        <w:rPr>
          <w:rFonts w:ascii="Narkisim" w:hAnsi="Narkisim" w:cs="Narkisim"/>
        </w:rPr>
      </w:pPr>
      <w:r w:rsidRPr="007119D6">
        <w:rPr>
          <w:rFonts w:ascii="Narkisim" w:hAnsi="Narkisim" w:cs="Narkisim"/>
          <w:u w:val="single"/>
          <w:rtl/>
        </w:rPr>
        <w:t>תוד"ה אין</w:t>
      </w:r>
      <w:r w:rsidRPr="007119D6">
        <w:rPr>
          <w:rFonts w:ascii="Narkisim" w:hAnsi="Narkisim" w:cs="Narkisim"/>
          <w:rtl/>
        </w:rPr>
        <w:t>. ואר”ת דהיינו דוקא כשאין שם אלא הפרצוף וכו'. מבואר בדברי ר"ת</w:t>
      </w:r>
      <w:r w:rsidRPr="007119D6">
        <w:rPr>
          <w:rStyle w:val="ac"/>
          <w:rFonts w:ascii="Narkisim" w:hAnsi="Narkisim" w:cs="Narkisim"/>
          <w:rtl/>
        </w:rPr>
        <w:footnoteReference w:id="8236"/>
      </w:r>
      <w:r w:rsidRPr="007119D6">
        <w:rPr>
          <w:rFonts w:ascii="Narkisim" w:hAnsi="Narkisim" w:cs="Narkisim"/>
          <w:rtl/>
        </w:rPr>
        <w:t xml:space="preserve"> ג' חידושים, א' דהיכא דגופו שלם מעידים על הגוף [אף בלא פדחת וחוטם, וכן לאחר ג' ימים]. ב' דמהני טביעות עין גמור, והכא איירי ע”י סימנים. ג' היכא דהפנים שלם [ולא נחבל] מעידים עליו</w:t>
      </w:r>
      <w:r w:rsidRPr="007119D6">
        <w:rPr>
          <w:rStyle w:val="ac"/>
          <w:rFonts w:ascii="Narkisim" w:hAnsi="Narkisim" w:cs="Narkisim"/>
          <w:rtl/>
        </w:rPr>
        <w:footnoteReference w:id="8237"/>
      </w:r>
      <w:r w:rsidRPr="007119D6">
        <w:rPr>
          <w:rFonts w:ascii="Narkisim" w:hAnsi="Narkisim" w:cs="Narkisim"/>
          <w:rtl/>
        </w:rPr>
        <w:t>.</w:t>
      </w:r>
    </w:p>
    <w:p w14:paraId="476B1BB0" w14:textId="77777777" w:rsidR="006C4368" w:rsidRPr="007119D6" w:rsidRDefault="006C4368" w:rsidP="006C4368">
      <w:pPr>
        <w:bidi/>
        <w:rPr>
          <w:rFonts w:ascii="Narkisim" w:hAnsi="Narkisim" w:cs="Narkisim"/>
        </w:rPr>
      </w:pPr>
      <w:r w:rsidRPr="007119D6">
        <w:rPr>
          <w:rFonts w:ascii="Narkisim" w:hAnsi="Narkisim" w:cs="Narkisim"/>
          <w:u w:val="single"/>
          <w:rtl/>
        </w:rPr>
        <w:t>בא”ד אבל כל גופו שלם, אפי' אין כאן פדחת וחוטם</w:t>
      </w:r>
      <w:r w:rsidRPr="007119D6">
        <w:rPr>
          <w:rStyle w:val="ac"/>
          <w:rFonts w:ascii="Narkisim" w:hAnsi="Narkisim" w:cs="Narkisim"/>
          <w:u w:val="single"/>
          <w:rtl/>
        </w:rPr>
        <w:footnoteReference w:id="8238"/>
      </w:r>
      <w:r w:rsidRPr="007119D6">
        <w:rPr>
          <w:rFonts w:ascii="Narkisim" w:hAnsi="Narkisim" w:cs="Narkisim"/>
          <w:u w:val="single"/>
          <w:rtl/>
        </w:rPr>
        <w:t xml:space="preserve"> וכו'</w:t>
      </w:r>
      <w:r w:rsidRPr="007119D6">
        <w:rPr>
          <w:rFonts w:ascii="Narkisim" w:hAnsi="Narkisim" w:cs="Narkisim"/>
          <w:rtl/>
        </w:rPr>
        <w:t>. וה</w:t>
      </w:r>
      <w:r w:rsidRPr="007119D6">
        <w:rPr>
          <w:rFonts w:ascii="Narkisim" w:hAnsi="Narkisim" w:cs="Narkisim"/>
          <w:b/>
          <w:bCs/>
          <w:rtl/>
        </w:rPr>
        <w:t>רשב"א</w:t>
      </w:r>
      <w:r w:rsidRPr="007119D6">
        <w:rPr>
          <w:rFonts w:ascii="Narkisim" w:hAnsi="Narkisim" w:cs="Narkisim"/>
          <w:rtl/>
        </w:rPr>
        <w:t xml:space="preserve"> (לקמן קכא., והריטב”א ונמוק”י בשם רא”ה) חלק דהו"ל למשנה לפרש דוקא כשאין גופו שלם. וכן לפרש דאיירי בלא נחבל בפניו.</w:t>
      </w:r>
    </w:p>
    <w:p w14:paraId="731216C9" w14:textId="77777777" w:rsidR="006C4368" w:rsidRPr="007119D6" w:rsidRDefault="006C4368" w:rsidP="006C4368">
      <w:pPr>
        <w:pStyle w:val="a7"/>
        <w:bidi/>
        <w:rPr>
          <w:rFonts w:ascii="Narkisim" w:hAnsi="Narkisim"/>
        </w:rPr>
      </w:pPr>
      <w:r w:rsidRPr="007119D6">
        <w:rPr>
          <w:rFonts w:ascii="Narkisim" w:hAnsi="Narkisim"/>
          <w:rtl/>
        </w:rPr>
        <w:t xml:space="preserve">אך </w:t>
      </w:r>
      <w:r w:rsidRPr="007119D6">
        <w:rPr>
          <w:rFonts w:ascii="Narkisim" w:hAnsi="Narkisim"/>
          <w:b/>
          <w:bCs/>
          <w:rtl/>
        </w:rPr>
        <w:t>ר”ת</w:t>
      </w:r>
      <w:r w:rsidRPr="007119D6">
        <w:rPr>
          <w:rFonts w:ascii="Narkisim" w:hAnsi="Narkisim"/>
          <w:rtl/>
        </w:rPr>
        <w:t xml:space="preserve"> (שו"ת ספר הישר צב) דייק כן מהלשון, דאיירי במעידים על הפרצוף [דומיא דמעידים על השומא (בסוף העמ')]. אבל אילו יעידו על האדם השלם ודאי מהני. והכא איירי דמעיד על סימן פרצוף הפנים [ולא על טביעות עין</w:t>
      </w:r>
      <w:r w:rsidRPr="007119D6">
        <w:rPr>
          <w:rStyle w:val="ac"/>
          <w:rFonts w:ascii="Narkisim" w:hAnsi="Narkisim"/>
          <w:rtl/>
        </w:rPr>
        <w:footnoteReference w:id="8239"/>
      </w:r>
      <w:r w:rsidRPr="007119D6">
        <w:rPr>
          <w:rFonts w:ascii="Narkisim" w:hAnsi="Narkisim"/>
          <w:rtl/>
        </w:rPr>
        <w:t>].</w:t>
      </w:r>
    </w:p>
    <w:p w14:paraId="180113C9" w14:textId="77777777" w:rsidR="006C4368" w:rsidRPr="007119D6" w:rsidRDefault="006C4368" w:rsidP="006C4368">
      <w:pPr>
        <w:pStyle w:val="aa"/>
        <w:bidi/>
        <w:rPr>
          <w:rFonts w:ascii="Narkisim" w:hAnsi="Narkisim"/>
        </w:rPr>
      </w:pPr>
      <w:r w:rsidRPr="007119D6">
        <w:rPr>
          <w:rFonts w:ascii="Narkisim" w:hAnsi="Narkisim"/>
          <w:rtl/>
        </w:rPr>
        <w:t>ובפשוטו הפי' במשנה דאין מעידים על המת, אלא ע"י פרצוף הפנים. וכ"מ ב</w:t>
      </w:r>
      <w:r w:rsidRPr="007119D6">
        <w:rPr>
          <w:rFonts w:ascii="Narkisim" w:hAnsi="Narkisim"/>
          <w:b/>
          <w:bCs/>
          <w:rtl/>
        </w:rPr>
        <w:t>רש"י</w:t>
      </w:r>
      <w:r w:rsidRPr="007119D6">
        <w:rPr>
          <w:rFonts w:ascii="Narkisim" w:hAnsi="Narkisim"/>
          <w:rtl/>
        </w:rPr>
        <w:t xml:space="preserve"> (ד"ה הכרת פנים) דהמשנה בא לאפוקי שאר הגוף</w:t>
      </w:r>
      <w:r w:rsidRPr="007119D6">
        <w:rPr>
          <w:rStyle w:val="ac"/>
          <w:rFonts w:ascii="Narkisim" w:hAnsi="Narkisim"/>
          <w:rtl/>
        </w:rPr>
        <w:footnoteReference w:id="8240"/>
      </w:r>
      <w:r w:rsidRPr="007119D6">
        <w:rPr>
          <w:rFonts w:ascii="Narkisim" w:hAnsi="Narkisim"/>
          <w:rtl/>
        </w:rPr>
        <w:t xml:space="preserve">. אך </w:t>
      </w:r>
      <w:r w:rsidRPr="007119D6">
        <w:rPr>
          <w:rFonts w:ascii="Narkisim" w:hAnsi="Narkisim"/>
          <w:b/>
          <w:bCs/>
          <w:rtl/>
        </w:rPr>
        <w:t>ר"ת</w:t>
      </w:r>
      <w:r w:rsidRPr="007119D6">
        <w:rPr>
          <w:rFonts w:ascii="Narkisim" w:hAnsi="Narkisim"/>
          <w:rtl/>
        </w:rPr>
        <w:t xml:space="preserve"> פי' המשנה דהמעיד על הפרצוף צריך להעיד עם החוטם. אבל כל שמעיד על דבר אחר לא קאי במשנה דידן.</w:t>
      </w:r>
    </w:p>
    <w:p w14:paraId="7C60B5BF"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פח) הביא דר"ת דייק מהמשנה אע"פ שיש סימנים בגופו ובכליו, דדוקא סימנים ל"מ, אבל מכירו בטביעות עין מהני.</w:t>
      </w:r>
    </w:p>
    <w:p w14:paraId="25295547" w14:textId="77777777" w:rsidR="006C4368" w:rsidRPr="007119D6" w:rsidRDefault="006C4368" w:rsidP="006C4368">
      <w:pPr>
        <w:bidi/>
        <w:rPr>
          <w:rFonts w:ascii="Narkisim" w:hAnsi="Narkisim" w:cs="Narkisim"/>
        </w:rPr>
      </w:pPr>
      <w:r w:rsidRPr="007119D6">
        <w:rPr>
          <w:rFonts w:ascii="Narkisim" w:hAnsi="Narkisim" w:cs="Narkisim"/>
          <w:u w:val="single"/>
          <w:rtl/>
        </w:rPr>
        <w:lastRenderedPageBreak/>
        <w:t>בא"ד ועוד שמא דוקא בסימנין וכו'</w:t>
      </w:r>
      <w:r w:rsidRPr="007119D6">
        <w:rPr>
          <w:rFonts w:ascii="Narkisim" w:hAnsi="Narkisim" w:cs="Narkisim"/>
          <w:rtl/>
        </w:rPr>
        <w:t>. וצ"ב דבפשוטו במשנה איירי במכירין, ע"י טביעות עין. ואילו יש סימנים מובהקים י"ל דמהני אף לאחר ג' ימים</w:t>
      </w:r>
      <w:r w:rsidRPr="007119D6">
        <w:rPr>
          <w:rStyle w:val="ac"/>
          <w:rFonts w:ascii="Narkisim" w:hAnsi="Narkisim" w:cs="Narkisim"/>
          <w:rtl/>
        </w:rPr>
        <w:footnoteReference w:id="8241"/>
      </w:r>
      <w:r w:rsidRPr="007119D6">
        <w:rPr>
          <w:rFonts w:ascii="Narkisim" w:hAnsi="Narkisim" w:cs="Narkisim"/>
          <w:rtl/>
        </w:rPr>
        <w:t>. וב</w:t>
      </w:r>
      <w:r w:rsidRPr="007119D6">
        <w:rPr>
          <w:rFonts w:ascii="Narkisim" w:hAnsi="Narkisim" w:cs="Narkisim"/>
          <w:b/>
          <w:bCs/>
          <w:rtl/>
        </w:rPr>
        <w:t>ס' הישר</w:t>
      </w:r>
      <w:r w:rsidRPr="007119D6">
        <w:rPr>
          <w:rFonts w:ascii="Narkisim" w:hAnsi="Narkisim" w:cs="Narkisim"/>
          <w:rtl/>
        </w:rPr>
        <w:t xml:space="preserve"> כת' דבפדחת ופרצוף הפנים לחוד ליכא טביעת עין, אלא כמו סימנים בעלמא, שמעיד שדומה לפרצוף של פלוני.</w:t>
      </w:r>
    </w:p>
    <w:p w14:paraId="3DB9460E"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יג) הביא דמשמע בתוס' דפרצוף הפנים מהני סימנים בלא טביעות עין [ודוקא בגוף בעי תרוייהו], והק' דקי"ל דסימנים לאו דאורייתא. אך שוב הביא דמבואר בדברי בה"ג דמהני להעיד על סימני הפנים [אף כשאינו מכירו ע"י טביעות עין]. דסימני הפרצוף הוה סימן מובהק ממש.</w:t>
      </w:r>
    </w:p>
    <w:p w14:paraId="07C168F2" w14:textId="77777777" w:rsidR="006C4368" w:rsidRPr="007119D6" w:rsidRDefault="006C4368" w:rsidP="006C4368">
      <w:pPr>
        <w:bidi/>
        <w:rPr>
          <w:rFonts w:ascii="Narkisim" w:hAnsi="Narkisim" w:cs="Narkisim"/>
        </w:rPr>
      </w:pPr>
      <w:r w:rsidRPr="007119D6">
        <w:rPr>
          <w:rFonts w:ascii="Narkisim" w:hAnsi="Narkisim" w:cs="Narkisim"/>
          <w:u w:val="single"/>
          <w:rtl/>
        </w:rPr>
        <w:t>בא"ד אבל ע"י טביעות עין ניכר היטב ע"י סימני הגוף וכו'</w:t>
      </w:r>
      <w:r w:rsidRPr="007119D6">
        <w:rPr>
          <w:rFonts w:ascii="Narkisim" w:hAnsi="Narkisim" w:cs="Narkisim"/>
          <w:rtl/>
        </w:rPr>
        <w:t>. לשון התוס' אינו ברור, האם הוה מדין טביעות עין, או דקאי כשיש סימנים בגוף.</w:t>
      </w:r>
    </w:p>
    <w:p w14:paraId="21E3C7EF"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ו</w:t>
      </w:r>
      <w:r w:rsidRPr="007119D6">
        <w:rPr>
          <w:rFonts w:ascii="Narkisim" w:hAnsi="Narkisim"/>
          <w:b/>
          <w:bCs/>
          <w:rtl/>
        </w:rPr>
        <w:t>רשב"א</w:t>
      </w:r>
      <w:r w:rsidRPr="007119D6">
        <w:rPr>
          <w:rFonts w:ascii="Narkisim" w:hAnsi="Narkisim"/>
          <w:rtl/>
        </w:rPr>
        <w:t xml:space="preserve"> הביאו דברי ר"ת דניכר היטב ע"י סימני הגוף. ועוד נראה דהיכא דכל הגוף קיים ע"י טביעות עין ניכר היטב אפי' לאחר כמה ימים. ודוקא ע"י סימנין צריך תוך ג'.</w:t>
      </w:r>
    </w:p>
    <w:p w14:paraId="3A79E242" w14:textId="77777777" w:rsidR="006C4368" w:rsidRPr="007119D6" w:rsidRDefault="006C4368" w:rsidP="006C4368">
      <w:pPr>
        <w:pStyle w:val="a7"/>
        <w:bidi/>
        <w:rPr>
          <w:rFonts w:ascii="Narkisim" w:hAnsi="Narkisim"/>
        </w:rPr>
      </w:pPr>
      <w:r w:rsidRPr="007119D6">
        <w:rPr>
          <w:rFonts w:ascii="Narkisim" w:hAnsi="Narkisim"/>
          <w:rtl/>
        </w:rPr>
        <w:t>וב</w:t>
      </w:r>
      <w:r w:rsidRPr="007119D6">
        <w:rPr>
          <w:rFonts w:ascii="Narkisim" w:hAnsi="Narkisim"/>
          <w:b/>
          <w:bCs/>
          <w:rtl/>
        </w:rPr>
        <w:t>שו"ת בית יוסף</w:t>
      </w:r>
      <w:r w:rsidRPr="007119D6">
        <w:rPr>
          <w:rFonts w:ascii="Narkisim" w:hAnsi="Narkisim"/>
          <w:rtl/>
        </w:rPr>
        <w:t xml:space="preserve"> (גוי מסל"ת ו) כת' דדעת ר"ת דמהני טביעות עין לחוד [וכמ”ש הטור</w:t>
      </w:r>
      <w:r w:rsidRPr="007119D6">
        <w:rPr>
          <w:rStyle w:val="ac"/>
          <w:rFonts w:ascii="Narkisim" w:hAnsi="Narkisim"/>
          <w:rtl/>
        </w:rPr>
        <w:footnoteReference w:id="8242"/>
      </w:r>
      <w:r w:rsidRPr="007119D6">
        <w:rPr>
          <w:rFonts w:ascii="Narkisim" w:hAnsi="Narkisim"/>
          <w:rtl/>
        </w:rPr>
        <w:t>], והא דאי' בתוס' בטביעות עין ע"י סימנין הוה ט"ס</w:t>
      </w:r>
      <w:r w:rsidRPr="007119D6">
        <w:rPr>
          <w:rStyle w:val="ac"/>
          <w:rFonts w:ascii="Narkisim" w:hAnsi="Narkisim"/>
          <w:rtl/>
        </w:rPr>
        <w:footnoteReference w:id="8243"/>
      </w:r>
      <w:r w:rsidRPr="007119D6">
        <w:rPr>
          <w:rFonts w:ascii="Narkisim" w:hAnsi="Narkisim"/>
          <w:rtl/>
        </w:rPr>
        <w:t>. [וכן בס' הישר מבואר דהוה ע"י טביעות עין לחוד]. וה</w:t>
      </w:r>
      <w:r w:rsidRPr="007119D6">
        <w:rPr>
          <w:rFonts w:ascii="Narkisim" w:hAnsi="Narkisim"/>
          <w:b/>
          <w:bCs/>
          <w:rtl/>
        </w:rPr>
        <w:t>פוסקים</w:t>
      </w:r>
      <w:r w:rsidRPr="007119D6">
        <w:rPr>
          <w:rFonts w:ascii="Narkisim" w:hAnsi="Narkisim"/>
          <w:rtl/>
        </w:rPr>
        <w:t xml:space="preserve"> האריכו בזה טובא</w:t>
      </w:r>
      <w:r w:rsidRPr="007119D6">
        <w:rPr>
          <w:rStyle w:val="ac"/>
          <w:rFonts w:ascii="Narkisim" w:hAnsi="Narkisim"/>
          <w:rtl/>
        </w:rPr>
        <w:footnoteReference w:id="8244"/>
      </w:r>
      <w:r w:rsidRPr="007119D6">
        <w:rPr>
          <w:rFonts w:ascii="Narkisim" w:hAnsi="Narkisim"/>
          <w:rtl/>
        </w:rPr>
        <w:t>.</w:t>
      </w:r>
    </w:p>
    <w:p w14:paraId="70E9CDEC" w14:textId="77777777" w:rsidR="006C4368" w:rsidRPr="007119D6" w:rsidRDefault="006C4368" w:rsidP="006C4368">
      <w:pPr>
        <w:bidi/>
        <w:rPr>
          <w:rFonts w:ascii="Narkisim" w:hAnsi="Narkisim" w:cs="Narkisim"/>
        </w:rPr>
      </w:pPr>
      <w:r w:rsidRPr="007119D6">
        <w:rPr>
          <w:rFonts w:ascii="Narkisim" w:hAnsi="Narkisim" w:cs="Narkisim"/>
          <w:u w:val="single"/>
          <w:rtl/>
        </w:rPr>
        <w:t>בא"ד והיכא שאינו נחבל בפנים וכו</w:t>
      </w:r>
      <w:r w:rsidRPr="007119D6">
        <w:rPr>
          <w:rFonts w:ascii="Narkisim" w:hAnsi="Narkisim" w:cs="Narkisim"/>
          <w:rtl/>
        </w:rPr>
        <w:t>'. וכ”כ ה</w:t>
      </w:r>
      <w:r w:rsidRPr="007119D6">
        <w:rPr>
          <w:rFonts w:ascii="Narkisim" w:hAnsi="Narkisim" w:cs="Narkisim"/>
          <w:b/>
          <w:bCs/>
          <w:rtl/>
        </w:rPr>
        <w:t>רא”ש</w:t>
      </w:r>
      <w:r w:rsidRPr="007119D6">
        <w:rPr>
          <w:rFonts w:ascii="Narkisim" w:hAnsi="Narkisim" w:cs="Narkisim"/>
          <w:rtl/>
        </w:rPr>
        <w:t xml:space="preserve"> דהיכא שאינו נחבל בפניו פשוט שיוכלו להכירו בטביעות עין של גופו וצורתו, כי צורתו אינה משתנה כל כך. ונראה הוא לעינים שמכירין אדם מת בטביעת עין אחר כמה ימים.</w:t>
      </w:r>
    </w:p>
    <w:p w14:paraId="548DCFAB" w14:textId="77777777" w:rsidR="006C4368" w:rsidRPr="007119D6" w:rsidRDefault="006C4368" w:rsidP="006C4368">
      <w:pPr>
        <w:pStyle w:val="a7"/>
        <w:bidi/>
        <w:rPr>
          <w:rFonts w:ascii="Narkisim" w:hAnsi="Narkisim"/>
        </w:rPr>
      </w:pPr>
      <w:r w:rsidRPr="007119D6">
        <w:rPr>
          <w:rFonts w:ascii="Narkisim" w:hAnsi="Narkisim"/>
          <w:rtl/>
        </w:rPr>
        <w:t xml:space="preserve">ועד"ז כת' </w:t>
      </w:r>
      <w:r w:rsidRPr="007119D6">
        <w:rPr>
          <w:rFonts w:ascii="Narkisim" w:hAnsi="Narkisim"/>
          <w:b/>
          <w:bCs/>
          <w:rtl/>
        </w:rPr>
        <w:t>תוס</w:t>
      </w:r>
      <w:r w:rsidRPr="007119D6">
        <w:rPr>
          <w:rFonts w:ascii="Narkisim" w:hAnsi="Narkisim"/>
          <w:rtl/>
        </w:rPr>
        <w:t>' (לעיל קטו:) בהא דאי' (שם) דמי שראה שטבע אינו נאמן להעיד [ע"פ טביעות עין], דחיישינן שאומר בדדמי. ותוס' כת' דשמא איירי כשנשחתה קצת צורת פניהם, דאכלום כוורי. ונשאר רק מה ששנו במשנה (כאן). אבל בשאר בני אדם שטבעו מהני להעיד ע”פ טביעות עין. ותוס' הביאו דברי ר"ת</w:t>
      </w:r>
      <w:r w:rsidRPr="007119D6">
        <w:rPr>
          <w:rStyle w:val="ac"/>
          <w:rFonts w:ascii="Narkisim" w:hAnsi="Narkisim"/>
          <w:rtl/>
        </w:rPr>
        <w:footnoteReference w:id="8245"/>
      </w:r>
      <w:r w:rsidRPr="007119D6">
        <w:rPr>
          <w:rFonts w:ascii="Narkisim" w:hAnsi="Narkisim"/>
          <w:rtl/>
        </w:rPr>
        <w:t>.</w:t>
      </w:r>
    </w:p>
    <w:p w14:paraId="5F64B38D" w14:textId="77777777" w:rsidR="006C4368" w:rsidRPr="007119D6" w:rsidRDefault="006C4368" w:rsidP="006C4368">
      <w:pPr>
        <w:bidi/>
        <w:rPr>
          <w:rFonts w:ascii="Narkisim" w:hAnsi="Narkisim" w:cs="Narkisim"/>
        </w:rPr>
      </w:pPr>
      <w:r w:rsidRPr="007119D6">
        <w:rPr>
          <w:rFonts w:ascii="Narkisim" w:hAnsi="Narkisim" w:cs="Narkisim"/>
          <w:u w:val="single"/>
          <w:rtl/>
        </w:rPr>
        <w:t>שם. שאינו נחבל בפנים</w:t>
      </w:r>
      <w:r w:rsidRPr="007119D6">
        <w:rPr>
          <w:rFonts w:ascii="Narkisim" w:hAnsi="Narkisim" w:cs="Narkisim"/>
          <w:rtl/>
        </w:rPr>
        <w:t>. ה</w:t>
      </w:r>
      <w:r w:rsidRPr="007119D6">
        <w:rPr>
          <w:rFonts w:ascii="Narkisim" w:hAnsi="Narkisim" w:cs="Narkisim"/>
          <w:b/>
          <w:bCs/>
          <w:rtl/>
        </w:rPr>
        <w:t>מרדכי</w:t>
      </w:r>
      <w:r w:rsidRPr="007119D6">
        <w:rPr>
          <w:rFonts w:ascii="Narkisim" w:hAnsi="Narkisim" w:cs="Narkisim"/>
          <w:rtl/>
        </w:rPr>
        <w:t xml:space="preserve"> (פג) הביא דר"י הק' דבמדרש מבואר דאף בסתמא אין מעידין אחר ג' ימים</w:t>
      </w:r>
      <w:r w:rsidRPr="007119D6">
        <w:rPr>
          <w:rStyle w:val="ac"/>
          <w:rFonts w:ascii="Narkisim" w:hAnsi="Narkisim" w:cs="Narkisim"/>
          <w:rtl/>
        </w:rPr>
        <w:footnoteReference w:id="8246"/>
      </w:r>
      <w:r w:rsidRPr="007119D6">
        <w:rPr>
          <w:rFonts w:ascii="Narkisim" w:hAnsi="Narkisim" w:cs="Narkisim"/>
          <w:rtl/>
        </w:rPr>
        <w:t>. והמרדכי תי' דהתם איירי בהרוגי מלכות מדוכים בפצעים וחבורות, ומש"ה מתקלקלין ואין יכולין להעיד עליהם להכירם לאחר ג' ימים. ועוד תי' [דאף לר"ת] לפעמים דרכן להתנפח ואין יכולים להכירו, אלא דר"ת איירי היכא שאנו רואים ומכירין אותו יפה, וכה"ג יכול להעיד אפי' לאחר ג' ימים</w:t>
      </w:r>
      <w:r w:rsidRPr="007119D6">
        <w:rPr>
          <w:rStyle w:val="ac"/>
          <w:rFonts w:ascii="Narkisim" w:hAnsi="Narkisim" w:cs="Narkisim"/>
          <w:rtl/>
        </w:rPr>
        <w:footnoteReference w:id="8247"/>
      </w:r>
      <w:r w:rsidRPr="007119D6">
        <w:rPr>
          <w:rFonts w:ascii="Narkisim" w:hAnsi="Narkisim" w:cs="Narkisim"/>
          <w:rtl/>
        </w:rPr>
        <w:t>.</w:t>
      </w:r>
    </w:p>
    <w:p w14:paraId="35491FA9" w14:textId="77777777" w:rsidR="006C4368" w:rsidRPr="007119D6" w:rsidRDefault="006C4368" w:rsidP="006C4368">
      <w:pPr>
        <w:pStyle w:val="aa"/>
        <w:bidi/>
        <w:rPr>
          <w:rFonts w:ascii="Narkisim" w:hAnsi="Narkisim"/>
        </w:rPr>
      </w:pPr>
      <w:r w:rsidRPr="007119D6">
        <w:rPr>
          <w:rFonts w:ascii="Narkisim" w:hAnsi="Narkisim"/>
          <w:u w:val="single"/>
          <w:rtl/>
        </w:rPr>
        <w:t>בא"ד אפי' הוא אמת דהיכא שנחבל בפרצוף וכו' כיון שנשאר גופו שלם וכו'</w:t>
      </w:r>
      <w:r w:rsidRPr="007119D6">
        <w:rPr>
          <w:rFonts w:ascii="Narkisim" w:hAnsi="Narkisim"/>
          <w:rtl/>
        </w:rPr>
        <w:t>. לכאורה משמע דתוס' נסתפקו בדברי ר"ת, האם מהני גופו שלם</w:t>
      </w:r>
      <w:r w:rsidRPr="007119D6">
        <w:rPr>
          <w:rStyle w:val="ac"/>
          <w:rFonts w:ascii="Narkisim" w:hAnsi="Narkisim"/>
          <w:rtl/>
        </w:rPr>
        <w:footnoteReference w:id="8248"/>
      </w:r>
      <w:r w:rsidRPr="007119D6">
        <w:rPr>
          <w:rFonts w:ascii="Narkisim" w:hAnsi="Narkisim"/>
          <w:rtl/>
        </w:rPr>
        <w:t>.</w:t>
      </w:r>
    </w:p>
    <w:p w14:paraId="51505E66" w14:textId="77777777" w:rsidR="006C4368" w:rsidRPr="007119D6" w:rsidRDefault="006C4368" w:rsidP="006C4368">
      <w:pPr>
        <w:bidi/>
        <w:rPr>
          <w:rFonts w:ascii="Narkisim" w:hAnsi="Narkisim" w:cs="Narkisim"/>
        </w:rPr>
      </w:pPr>
      <w:r w:rsidRPr="007119D6">
        <w:rPr>
          <w:rFonts w:ascii="Narkisim" w:hAnsi="Narkisim" w:cs="Narkisim"/>
          <w:u w:val="single"/>
          <w:rtl/>
        </w:rPr>
        <w:t>בא"ד וגם יכול להיות שהוא תוך ג' ימים וכו' אין לתלותו אלא בתוך ג' ימים</w:t>
      </w:r>
      <w:r w:rsidRPr="007119D6">
        <w:rPr>
          <w:rFonts w:ascii="Narkisim" w:hAnsi="Narkisim" w:cs="Narkisim"/>
          <w:rtl/>
        </w:rPr>
        <w:t>. ומספק מותר</w:t>
      </w:r>
      <w:r w:rsidRPr="007119D6">
        <w:rPr>
          <w:rStyle w:val="ac"/>
          <w:rFonts w:ascii="Narkisim" w:hAnsi="Narkisim" w:cs="Narkisim"/>
          <w:rtl/>
        </w:rPr>
        <w:footnoteReference w:id="8249"/>
      </w:r>
      <w:r w:rsidRPr="007119D6">
        <w:rPr>
          <w:rFonts w:ascii="Narkisim" w:hAnsi="Narkisim" w:cs="Narkisim"/>
          <w:rtl/>
        </w:rPr>
        <w:t>. וכ"כ ה</w:t>
      </w:r>
      <w:r w:rsidRPr="007119D6">
        <w:rPr>
          <w:rFonts w:ascii="Narkisim" w:hAnsi="Narkisim" w:cs="Narkisim"/>
          <w:b/>
          <w:bCs/>
          <w:rtl/>
        </w:rPr>
        <w:t>רא"ש</w:t>
      </w:r>
      <w:r w:rsidRPr="007119D6">
        <w:rPr>
          <w:rFonts w:ascii="Narkisim" w:hAnsi="Narkisim" w:cs="Narkisim"/>
          <w:rtl/>
        </w:rPr>
        <w:t>.</w:t>
      </w:r>
    </w:p>
    <w:p w14:paraId="13425E40"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(קכא.) נסתפק בזה האם מספק אין מעידין עליו, דהו"ל ספיקא דאורייתא ולחומרא. </w:t>
      </w:r>
      <w:r w:rsidRPr="007119D6">
        <w:rPr>
          <w:rFonts w:ascii="Narkisim" w:hAnsi="Narkisim"/>
          <w:rtl/>
        </w:rPr>
        <w:lastRenderedPageBreak/>
        <w:t>או דילמא הוה חשש מדרבנן</w:t>
      </w:r>
      <w:r w:rsidRPr="007119D6">
        <w:rPr>
          <w:rStyle w:val="ac"/>
          <w:rFonts w:ascii="Narkisim" w:hAnsi="Narkisim"/>
          <w:rtl/>
        </w:rPr>
        <w:footnoteReference w:id="8250"/>
      </w:r>
      <w:r w:rsidRPr="007119D6">
        <w:rPr>
          <w:rFonts w:ascii="Narkisim" w:hAnsi="Narkisim"/>
          <w:rtl/>
        </w:rPr>
        <w:t xml:space="preserve"> ומש”ה דוקא כשנודע שעברו ג' ימים, אבל סתמא לא חיישינן כולי האי. </w:t>
      </w:r>
      <w:r w:rsidRPr="007119D6">
        <w:rPr>
          <w:rFonts w:ascii="Narkisim" w:hAnsi="Narkisim"/>
          <w:szCs w:val="20"/>
          <w:rtl/>
        </w:rPr>
        <w:t>וה</w:t>
      </w:r>
      <w:r w:rsidRPr="007119D6">
        <w:rPr>
          <w:rFonts w:ascii="Narkisim" w:hAnsi="Narkisim"/>
          <w:b/>
          <w:bCs/>
          <w:szCs w:val="20"/>
          <w:rtl/>
        </w:rPr>
        <w:t>ריטב"א</w:t>
      </w:r>
      <w:r w:rsidRPr="007119D6">
        <w:rPr>
          <w:rFonts w:ascii="Narkisim" w:hAnsi="Narkisim"/>
          <w:szCs w:val="20"/>
          <w:rtl/>
        </w:rPr>
        <w:t xml:space="preserve"> ביאר דחששא דשנוי פרצוף לאחר ג' הוה חששא בעלמא, שיש מקצת מתים משתנים לאחר ג'. ועכשיו שהדבר ספק אין לנו לחוש ולהכחיש הראיה הניכרת לנו</w:t>
      </w:r>
      <w:r w:rsidRPr="007119D6">
        <w:rPr>
          <w:rStyle w:val="ac"/>
          <w:rFonts w:ascii="Narkisim" w:hAnsi="Narkisim"/>
          <w:szCs w:val="20"/>
          <w:rtl/>
        </w:rPr>
        <w:footnoteReference w:id="8251"/>
      </w:r>
      <w:r w:rsidRPr="007119D6">
        <w:rPr>
          <w:rFonts w:ascii="Narkisim" w:hAnsi="Narkisim"/>
          <w:szCs w:val="20"/>
          <w:rtl/>
        </w:rPr>
        <w:t>. [ובפשוטו מבואר דהצד דלחומרא ס"ל דדין ג' ימים הוה חשש דאורייתא</w:t>
      </w:r>
      <w:r w:rsidRPr="007119D6">
        <w:rPr>
          <w:rStyle w:val="ac"/>
          <w:rFonts w:ascii="Narkisim" w:hAnsi="Narkisim"/>
          <w:szCs w:val="20"/>
          <w:rtl/>
        </w:rPr>
        <w:footnoteReference w:id="8252"/>
      </w:r>
      <w:r w:rsidRPr="007119D6">
        <w:rPr>
          <w:rFonts w:ascii="Narkisim" w:hAnsi="Narkisim"/>
          <w:szCs w:val="20"/>
          <w:rtl/>
        </w:rPr>
        <w:t>].</w:t>
      </w:r>
    </w:p>
    <w:p w14:paraId="74268601"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הביא דהגירסא במשנה אין מעידין אלא עד שלשה ימים, והו"ל כל שעברו ג' ימים. ומכרעא דאף כשלא נודע הוה לחומרא. אך הביא מקצת ספרים</w:t>
      </w:r>
      <w:r w:rsidRPr="007119D6">
        <w:rPr>
          <w:rStyle w:val="ac"/>
          <w:rFonts w:ascii="Narkisim" w:hAnsi="Narkisim"/>
          <w:rtl/>
        </w:rPr>
        <w:footnoteReference w:id="8253"/>
      </w:r>
      <w:r w:rsidRPr="007119D6">
        <w:rPr>
          <w:rFonts w:ascii="Narkisim" w:hAnsi="Narkisim"/>
          <w:rtl/>
        </w:rPr>
        <w:t xml:space="preserve"> כל שעברו ג' ימים אין מעידים, דדוקא ידוע שעברו ג' ימים</w:t>
      </w:r>
      <w:r w:rsidRPr="007119D6">
        <w:rPr>
          <w:rStyle w:val="ac"/>
          <w:rFonts w:ascii="Narkisim" w:hAnsi="Narkisim"/>
          <w:rtl/>
        </w:rPr>
        <w:footnoteReference w:id="8254"/>
      </w:r>
      <w:r w:rsidRPr="007119D6">
        <w:rPr>
          <w:rFonts w:ascii="Narkisim" w:hAnsi="Narkisim"/>
          <w:rtl/>
        </w:rPr>
        <w:t>.</w:t>
      </w:r>
    </w:p>
    <w:p w14:paraId="04EFBC84"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ה</w:t>
      </w:r>
      <w:r w:rsidRPr="007119D6">
        <w:rPr>
          <w:rFonts w:ascii="Narkisim" w:hAnsi="Narkisim" w:cs="Narkisim"/>
          <w:b/>
          <w:bCs/>
          <w:rtl/>
        </w:rPr>
        <w:t>ט"ז</w:t>
      </w:r>
      <w:r w:rsidRPr="007119D6">
        <w:rPr>
          <w:rFonts w:ascii="Narkisim" w:hAnsi="Narkisim" w:cs="Narkisim"/>
          <w:rtl/>
        </w:rPr>
        <w:t xml:space="preserve"> (יו"ד שצז ב) הק' [לדעת המחמירים] דנוקמיה בחזקת חי, ונימא השתא הוא דנהרג. והוה תוך ג' ימים.</w:t>
      </w:r>
    </w:p>
    <w:p w14:paraId="7C1FDA02"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ט"ז</w:t>
      </w:r>
      <w:r w:rsidRPr="007119D6">
        <w:rPr>
          <w:rFonts w:ascii="Narkisim" w:hAnsi="Narkisim"/>
          <w:rtl/>
        </w:rPr>
        <w:t xml:space="preserve"> חידש דכל היכא דודאי מת לפנינו לא אמרי' חזקת חיים שמת כמה שיותר מאוחר</w:t>
      </w:r>
      <w:r w:rsidRPr="007119D6">
        <w:rPr>
          <w:rStyle w:val="ac"/>
          <w:rFonts w:ascii="Narkisim" w:hAnsi="Narkisim"/>
          <w:rtl/>
        </w:rPr>
        <w:footnoteReference w:id="8255"/>
      </w:r>
      <w:r w:rsidRPr="007119D6">
        <w:rPr>
          <w:rFonts w:ascii="Narkisim" w:hAnsi="Narkisim"/>
          <w:rtl/>
        </w:rPr>
        <w:t>, ול"ד לשאר חזקות, כגון מקוה שמעמידים אחזקתו דנחסר יותר מאוחר. דשאני מיתה דכל חי סופו למות. ודוקא היכא דיתכן דעדיין חי מעמידים על חזקת חיים, אבל כשמבורר שמת אזלה החזקה.</w:t>
      </w:r>
    </w:p>
    <w:p w14:paraId="6CFB788F"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נה"כ</w:t>
      </w:r>
      <w:r w:rsidRPr="007119D6">
        <w:rPr>
          <w:rFonts w:ascii="Narkisim" w:hAnsi="Narkisim"/>
          <w:rtl/>
        </w:rPr>
        <w:t xml:space="preserve"> דחה דאדרבה נוקמיה [לבעל] בחזקת חי, דאין כאן עדות כלל שמת</w:t>
      </w:r>
      <w:r w:rsidRPr="007119D6">
        <w:rPr>
          <w:rStyle w:val="ac"/>
          <w:rFonts w:ascii="Narkisim" w:hAnsi="Narkisim"/>
          <w:rtl/>
        </w:rPr>
        <w:footnoteReference w:id="8256"/>
      </w:r>
      <w:r w:rsidRPr="007119D6">
        <w:rPr>
          <w:rFonts w:ascii="Narkisim" w:hAnsi="Narkisim"/>
          <w:rtl/>
        </w:rPr>
        <w:t>. ועד"ז כת' ה</w:t>
      </w:r>
      <w:r w:rsidRPr="007119D6">
        <w:rPr>
          <w:rFonts w:ascii="Narkisim" w:hAnsi="Narkisim"/>
          <w:b/>
          <w:bCs/>
          <w:rtl/>
        </w:rPr>
        <w:t>בי"ש</w:t>
      </w:r>
      <w:r w:rsidRPr="007119D6">
        <w:rPr>
          <w:rFonts w:ascii="Narkisim" w:hAnsi="Narkisim"/>
          <w:rtl/>
        </w:rPr>
        <w:t xml:space="preserve"> (יז פד) דיש להעמיד את ראובן בחזקת חי, ואדם אחר שלא ידענו אותו מת קודם ג' ימים. ולא שייך לומר על אותו אדם אוקמי אחזקה</w:t>
      </w:r>
      <w:r w:rsidRPr="007119D6">
        <w:rPr>
          <w:rStyle w:val="ac"/>
          <w:rFonts w:ascii="Narkisim" w:hAnsi="Narkisim"/>
          <w:rtl/>
        </w:rPr>
        <w:footnoteReference w:id="8257"/>
      </w:r>
      <w:r w:rsidRPr="007119D6">
        <w:rPr>
          <w:rFonts w:ascii="Narkisim" w:hAnsi="Narkisim"/>
          <w:rtl/>
        </w:rPr>
        <w:t>. [ומש"ה ל"מ חזקת חיים לומר שמת זה יותר מאוחר].</w:t>
      </w:r>
    </w:p>
    <w:p w14:paraId="064CED47"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לא, הו' בש”ש ז כא) כת' שותא דמר לא ידענא דמה חזקת חיים יש לראובן יותר מלאיש אחר מן החיים, אדרבה אני אומר תן לאותו אדם חזקה. [יהיה מי שיהיה, על כל פנים חי היה פעם אחת. ותן לו חזקת חי שעדיין הוא חי</w:t>
      </w:r>
      <w:r w:rsidRPr="007119D6">
        <w:rPr>
          <w:rStyle w:val="ac"/>
          <w:rFonts w:ascii="Narkisim" w:hAnsi="Narkisim"/>
          <w:rtl/>
        </w:rPr>
        <w:footnoteReference w:id="8258"/>
      </w:r>
      <w:r w:rsidRPr="007119D6">
        <w:rPr>
          <w:rFonts w:ascii="Narkisim" w:hAnsi="Narkisim"/>
          <w:rtl/>
        </w:rPr>
        <w:t>]. ומת זה הנמצא עתה אינו אדם אחר הוה ראובן שמת.</w:t>
      </w:r>
    </w:p>
    <w:p w14:paraId="503782DA"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בית אפרים</w:t>
      </w:r>
      <w:r w:rsidRPr="007119D6">
        <w:rPr>
          <w:rFonts w:ascii="Narkisim" w:hAnsi="Narkisim"/>
          <w:rtl/>
        </w:rPr>
        <w:t xml:space="preserve"> (לו ד"ה והנה שם) תי' [קו' הט"ז] דאזלינן בתר חזקה דוקא לענין שתועיל על הדבר</w:t>
      </w:r>
      <w:r w:rsidRPr="007119D6">
        <w:rPr>
          <w:rStyle w:val="ac"/>
          <w:rFonts w:ascii="Narkisim" w:hAnsi="Narkisim"/>
          <w:rtl/>
        </w:rPr>
        <w:footnoteReference w:id="8259"/>
      </w:r>
      <w:r w:rsidRPr="007119D6">
        <w:rPr>
          <w:rFonts w:ascii="Narkisim" w:hAnsi="Narkisim"/>
          <w:rtl/>
        </w:rPr>
        <w:t xml:space="preserve"> שאנו דנין באותה שעה</w:t>
      </w:r>
      <w:r w:rsidRPr="007119D6">
        <w:rPr>
          <w:rStyle w:val="ac"/>
          <w:rFonts w:ascii="Narkisim" w:hAnsi="Narkisim"/>
          <w:rtl/>
        </w:rPr>
        <w:footnoteReference w:id="8260"/>
      </w:r>
      <w:r w:rsidRPr="007119D6">
        <w:rPr>
          <w:rFonts w:ascii="Narkisim" w:hAnsi="Narkisim"/>
          <w:rtl/>
        </w:rPr>
        <w:t xml:space="preserve">. אבל בסוגיין אין נידון על השעה שלפני ג' ימים, שדנים עליו חזקה. אלא דהנידון עכשיו, האם הוה מצב שכבר עברו ג' ימים. ובזה לא נתחדש דניזל </w:t>
      </w:r>
      <w:r w:rsidRPr="007119D6">
        <w:rPr>
          <w:rFonts w:ascii="Narkisim" w:hAnsi="Narkisim"/>
          <w:rtl/>
        </w:rPr>
        <w:lastRenderedPageBreak/>
        <w:t>בתר חזקה, ואף דחזקה דמעיקרא יהני לדון עכשיו שמת יותר מאוחר לא אזלי' בתריה</w:t>
      </w:r>
      <w:r w:rsidRPr="007119D6">
        <w:rPr>
          <w:rStyle w:val="ac"/>
          <w:rFonts w:ascii="Narkisim" w:hAnsi="Narkisim"/>
          <w:rtl/>
        </w:rPr>
        <w:footnoteReference w:id="8261"/>
      </w:r>
      <w:r w:rsidRPr="007119D6">
        <w:rPr>
          <w:rFonts w:ascii="Narkisim" w:hAnsi="Narkisim"/>
          <w:rtl/>
        </w:rPr>
        <w:t>. ומש"ה בסוגיין ל"ש לאוקמי אחזקת חי, דהספק שאנו דנין עליו אינו על אותו זמן שהיה חי, אלא על הזמן שאחר מיתה אם הוא קודם או אח"כ. ובכה"ג ל"מ החזקה דמחיים להוכיח מזה לענין אחר מיתה</w:t>
      </w:r>
      <w:r w:rsidRPr="007119D6">
        <w:rPr>
          <w:rStyle w:val="ac"/>
          <w:rFonts w:ascii="Narkisim" w:hAnsi="Narkisim"/>
          <w:rtl/>
        </w:rPr>
        <w:footnoteReference w:id="8262"/>
      </w:r>
      <w:r w:rsidRPr="007119D6">
        <w:rPr>
          <w:rFonts w:ascii="Narkisim" w:hAnsi="Narkisim"/>
          <w:rtl/>
        </w:rPr>
        <w:t>. [וע"ד יסוד זה מפורסם בשם ה</w:t>
      </w:r>
      <w:r w:rsidRPr="007119D6">
        <w:rPr>
          <w:rFonts w:ascii="Narkisim" w:hAnsi="Narkisim"/>
          <w:b/>
          <w:bCs/>
          <w:rtl/>
        </w:rPr>
        <w:t>אבני נזר</w:t>
      </w:r>
      <w:r w:rsidRPr="007119D6">
        <w:rPr>
          <w:rFonts w:ascii="Narkisim" w:hAnsi="Narkisim"/>
          <w:rtl/>
        </w:rPr>
        <w:t xml:space="preserve"> (יו”ד שמא, אה"ע רמ יב, כא כז) דגדר חזקה הוא להעמיד הדבר בחזקתו, אבל ל"מ לקבוע מתי נעשה המעשה</w:t>
      </w:r>
      <w:r w:rsidRPr="007119D6">
        <w:rPr>
          <w:rStyle w:val="ac"/>
          <w:rFonts w:ascii="Narkisim" w:hAnsi="Narkisim"/>
          <w:rtl/>
        </w:rPr>
        <w:footnoteReference w:id="8263"/>
      </w:r>
      <w:r w:rsidRPr="007119D6">
        <w:rPr>
          <w:rFonts w:ascii="Narkisim" w:hAnsi="Narkisim"/>
          <w:rtl/>
        </w:rPr>
        <w:t>, ובאיזה צורה נעשית</w:t>
      </w:r>
      <w:r w:rsidRPr="007119D6">
        <w:rPr>
          <w:rStyle w:val="ac"/>
          <w:rFonts w:ascii="Narkisim" w:hAnsi="Narkisim"/>
          <w:rtl/>
        </w:rPr>
        <w:footnoteReference w:id="8264"/>
      </w:r>
      <w:r w:rsidRPr="007119D6">
        <w:rPr>
          <w:rFonts w:ascii="Narkisim" w:hAnsi="Narkisim"/>
          <w:rtl/>
        </w:rPr>
        <w:t>].</w:t>
      </w:r>
    </w:p>
    <w:p w14:paraId="7CA3B8A9"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כת' [ליישב קו' הנוב"י] דיש לראובן חזקת חיים, ואף כשיש מת לפנינו מוקמי' לכל א' בחזקת חי. ואף באופן דהחזקות מתנגדות זל”ז [דומיה דב' שבילים]</w:t>
      </w:r>
      <w:r w:rsidRPr="007119D6">
        <w:rPr>
          <w:rStyle w:val="ac"/>
          <w:rFonts w:ascii="Narkisim" w:hAnsi="Narkisim"/>
          <w:rtl/>
        </w:rPr>
        <w:footnoteReference w:id="8265"/>
      </w:r>
      <w:r w:rsidRPr="007119D6">
        <w:rPr>
          <w:rFonts w:ascii="Narkisim" w:hAnsi="Narkisim"/>
          <w:rtl/>
        </w:rPr>
        <w:t>.</w:t>
      </w:r>
    </w:p>
    <w:p w14:paraId="2FF038EF" w14:textId="77777777" w:rsidR="006C4368" w:rsidRPr="007119D6" w:rsidRDefault="006C4368" w:rsidP="006C4368">
      <w:pPr>
        <w:pStyle w:val="a8"/>
        <w:bidi/>
        <w:rPr>
          <w:rFonts w:ascii="Narkisim" w:hAnsi="Narkisim"/>
        </w:rPr>
      </w:pPr>
      <w:r w:rsidRPr="007119D6">
        <w:rPr>
          <w:rFonts w:ascii="Narkisim" w:hAnsi="Narkisim"/>
          <w:rtl/>
        </w:rPr>
        <w:t>והש"ש  כת' דאף היכא דהיו ב' אנשים שהלכו, ועדים העידו שא' מת ואין יודעים איזה, מוקמי' לכל א' בחזקת חי וכמו בב' שבילין. ואפי' באו לישאל בבת א', דבב' שבילים הוה רק חומרא דרבנן. ועפ"ז דן דאף אי ספק דרבנן לקולא, הכא יש לראובן חזקת חי, וגם חזקת אשת איש, ולדברי הפוסקים לא אמרי' ספק דרבנן לקולא במקום שיש חזקה.</w:t>
      </w:r>
    </w:p>
    <w:p w14:paraId="2DC5074F" w14:textId="77777777" w:rsidR="006C4368" w:rsidRPr="007119D6" w:rsidRDefault="006C4368" w:rsidP="006C4368">
      <w:pPr>
        <w:pStyle w:val="aa"/>
        <w:bidi/>
        <w:rPr>
          <w:rFonts w:ascii="Narkisim" w:hAnsi="Narkisim"/>
        </w:rPr>
      </w:pPr>
      <w:r w:rsidRPr="007119D6">
        <w:rPr>
          <w:rFonts w:ascii="Narkisim" w:hAnsi="Narkisim"/>
          <w:rtl/>
        </w:rPr>
        <w:t>וב</w:t>
      </w:r>
      <w:r w:rsidRPr="007119D6">
        <w:rPr>
          <w:rFonts w:ascii="Narkisim" w:hAnsi="Narkisim"/>
          <w:b/>
          <w:bCs/>
          <w:rtl/>
        </w:rPr>
        <w:t>שו"ע</w:t>
      </w:r>
      <w:r w:rsidRPr="007119D6">
        <w:rPr>
          <w:rFonts w:ascii="Narkisim" w:hAnsi="Narkisim"/>
          <w:rtl/>
        </w:rPr>
        <w:t xml:space="preserve"> (יז כז) אי' ומיהו אם יצא קול שמת, ולאחר ג' ימים מצאוהו והכירו מותרת לדברי הכל. וצ"ב דכיון דהקול שמת קודם ג' ימים אמאי עדיף טפי. וה</w:t>
      </w:r>
      <w:r w:rsidRPr="007119D6">
        <w:rPr>
          <w:rFonts w:ascii="Narkisim" w:hAnsi="Narkisim"/>
          <w:b/>
          <w:bCs/>
          <w:rtl/>
        </w:rPr>
        <w:t>פוסקים</w:t>
      </w:r>
      <w:r w:rsidRPr="007119D6">
        <w:rPr>
          <w:rFonts w:ascii="Narkisim" w:hAnsi="Narkisim"/>
          <w:rtl/>
        </w:rPr>
        <w:t xml:space="preserve"> (ב"ח, חלק"מ, בי"ש, גר"א ועוד) כת' דמותרת רק לדעה ראשונה. וס"ד דע"י הקול גרע, קמ"ל דאפ"ה מותרת ממ"נ, דאם הקול אמת הא מת. ואם אינו אמת תולים דהוה תוך ג' ימים. וע"ע ט"ז.</w:t>
      </w:r>
    </w:p>
    <w:p w14:paraId="7AB63D68" w14:textId="77777777" w:rsidR="006C4368" w:rsidRPr="007119D6" w:rsidRDefault="006C4368" w:rsidP="006C4368">
      <w:pPr>
        <w:pStyle w:val="aa"/>
        <w:bidi/>
        <w:rPr>
          <w:rFonts w:ascii="Narkisim" w:hAnsi="Narkisim"/>
        </w:rPr>
      </w:pPr>
      <w:r w:rsidRPr="007119D6">
        <w:rPr>
          <w:rFonts w:ascii="Narkisim" w:hAnsi="Narkisim"/>
          <w:u w:val="single"/>
          <w:rtl/>
        </w:rPr>
        <w:t>אין מעידין עד שיהיו שניהם עם החוטם וכו' הכרת פנים ענתה בם</w:t>
      </w:r>
      <w:r w:rsidRPr="007119D6">
        <w:rPr>
          <w:rStyle w:val="ac"/>
          <w:rFonts w:ascii="Narkisim" w:hAnsi="Narkisim"/>
          <w:rtl/>
        </w:rPr>
        <w:footnoteReference w:id="8266"/>
      </w:r>
      <w:r w:rsidRPr="007119D6">
        <w:rPr>
          <w:rFonts w:ascii="Narkisim" w:hAnsi="Narkisim"/>
          <w:rtl/>
        </w:rPr>
        <w:t>. פ</w:t>
      </w:r>
      <w:r w:rsidRPr="007119D6">
        <w:rPr>
          <w:rFonts w:ascii="Narkisim" w:hAnsi="Narkisim"/>
          <w:b/>
          <w:bCs/>
          <w:rtl/>
        </w:rPr>
        <w:t>רש"י</w:t>
      </w:r>
      <w:r w:rsidRPr="007119D6">
        <w:rPr>
          <w:rFonts w:ascii="Narkisim" w:hAnsi="Narkisim"/>
          <w:rtl/>
        </w:rPr>
        <w:t xml:space="preserve"> אלמא אין עדות שאר הגוף אלא בהיכר פנים. ול</w:t>
      </w:r>
      <w:r w:rsidRPr="007119D6">
        <w:rPr>
          <w:rFonts w:ascii="Narkisim" w:hAnsi="Narkisim"/>
          <w:b/>
          <w:bCs/>
          <w:rtl/>
        </w:rPr>
        <w:t>תוס</w:t>
      </w:r>
      <w:r w:rsidRPr="007119D6">
        <w:rPr>
          <w:rFonts w:ascii="Narkisim" w:hAnsi="Narkisim"/>
          <w:rtl/>
        </w:rPr>
        <w:t>' ילפי' דצריך הכרה מלבד הפנים.</w:t>
      </w:r>
    </w:p>
    <w:p w14:paraId="3C5ECB92" w14:textId="77777777" w:rsidR="006C4368" w:rsidRPr="007119D6" w:rsidRDefault="006C4368" w:rsidP="006C4368">
      <w:pPr>
        <w:pStyle w:val="a8"/>
        <w:bidi/>
        <w:rPr>
          <w:rFonts w:ascii="Narkisim" w:hAnsi="Narkisim"/>
        </w:rPr>
      </w:pPr>
      <w:r w:rsidRPr="007119D6">
        <w:rPr>
          <w:rFonts w:ascii="Narkisim" w:hAnsi="Narkisim"/>
          <w:rtl/>
        </w:rPr>
        <w:t>ונח' ר' יוחנן ור"ל (בכורות מו:) ממתי נחשב לידה להחשב בכור לנחלה. ור"ל אמר דלא סגי בפדחת לחוד, דכתיב יכיר וצריך ראוי להכרה. ור' יוחנן פליג דסגי בפדחת [להחשב הכרה].</w:t>
      </w:r>
    </w:p>
    <w:p w14:paraId="1BB48592" w14:textId="77777777" w:rsidR="006C4368" w:rsidRPr="007119D6" w:rsidRDefault="006C4368" w:rsidP="006C4368">
      <w:pPr>
        <w:pStyle w:val="a8"/>
        <w:bidi/>
        <w:rPr>
          <w:rFonts w:ascii="Narkisim" w:hAnsi="Narkisim"/>
        </w:rPr>
      </w:pPr>
      <w:r w:rsidRPr="007119D6">
        <w:rPr>
          <w:rFonts w:ascii="Narkisim" w:hAnsi="Narkisim"/>
          <w:rtl/>
        </w:rPr>
        <w:t>והגמ' מק' ממתני' דידן לר' יוחנן, דצריך פרצוף פנים להכרה. והגמ' דוחה שאני עדות אשה דאחמירו בה רבנן. והגמ' פי' דאף דהקילו להשיא בעד מפי עד וכו', דהקילו רבנן בסופה. אבל בתחילתה לא אקילו רבנן</w:t>
      </w:r>
      <w:r w:rsidRPr="007119D6">
        <w:rPr>
          <w:rStyle w:val="ac"/>
          <w:rFonts w:ascii="Narkisim" w:hAnsi="Narkisim"/>
          <w:rtl/>
        </w:rPr>
        <w:footnoteReference w:id="8267"/>
      </w:r>
      <w:r w:rsidRPr="007119D6">
        <w:rPr>
          <w:rFonts w:ascii="Narkisim" w:hAnsi="Narkisim"/>
          <w:rtl/>
        </w:rPr>
        <w:t>. [פ</w:t>
      </w:r>
      <w:r w:rsidRPr="007119D6">
        <w:rPr>
          <w:rFonts w:ascii="Narkisim" w:hAnsi="Narkisim"/>
          <w:b/>
          <w:bCs/>
          <w:rtl/>
        </w:rPr>
        <w:t>רש"י</w:t>
      </w:r>
      <w:r w:rsidRPr="007119D6">
        <w:rPr>
          <w:rFonts w:ascii="Narkisim" w:hAnsi="Narkisim"/>
          <w:rtl/>
        </w:rPr>
        <w:t xml:space="preserve"> דראיית המת הוה תחילת העדות, ולא הקילו אא"כ יכירוהו יפה].</w:t>
      </w:r>
    </w:p>
    <w:p w14:paraId="7774EA3B" w14:textId="77777777" w:rsidR="006C4368" w:rsidRPr="007119D6" w:rsidRDefault="006C4368" w:rsidP="006C4368">
      <w:pPr>
        <w:pStyle w:val="a8"/>
        <w:bidi/>
        <w:rPr>
          <w:rFonts w:ascii="Narkisim" w:hAnsi="Narkisim"/>
        </w:rPr>
      </w:pPr>
      <w:r w:rsidRPr="007119D6">
        <w:rPr>
          <w:rFonts w:ascii="Narkisim" w:hAnsi="Narkisim"/>
          <w:rtl/>
        </w:rPr>
        <w:t>ועוד תי' הגמ' דאף דלא הוה 'הכרה' סגי ל'יכיר', דיכיר לחוד והכרת פנים לחוד. פ</w:t>
      </w:r>
      <w:r w:rsidRPr="007119D6">
        <w:rPr>
          <w:rFonts w:ascii="Narkisim" w:hAnsi="Narkisim"/>
          <w:b/>
          <w:bCs/>
          <w:rtl/>
        </w:rPr>
        <w:t>רש"י</w:t>
      </w:r>
      <w:r w:rsidRPr="007119D6">
        <w:rPr>
          <w:rFonts w:ascii="Narkisim" w:hAnsi="Narkisim"/>
          <w:rtl/>
        </w:rPr>
        <w:t xml:space="preserve"> דגבי יכיר לא כתיב 'פנים'. וה</w:t>
      </w:r>
      <w:r w:rsidRPr="007119D6">
        <w:rPr>
          <w:rFonts w:ascii="Narkisim" w:hAnsi="Narkisim"/>
          <w:b/>
          <w:bCs/>
          <w:rtl/>
        </w:rPr>
        <w:t>ש"ש</w:t>
      </w:r>
      <w:r w:rsidRPr="007119D6">
        <w:rPr>
          <w:rFonts w:ascii="Narkisim" w:hAnsi="Narkisim"/>
          <w:rtl/>
        </w:rPr>
        <w:t xml:space="preserve"> (ז טז) הק' דמ"מ מבואר דפדחת סגי להכרה, א"כ אמאי לא סגי בעדות אשה. עי"ש.</w:t>
      </w:r>
    </w:p>
    <w:p w14:paraId="5B4AE27A" w14:textId="77777777" w:rsidR="006C4368" w:rsidRPr="007119D6" w:rsidRDefault="006C4368" w:rsidP="006C4368">
      <w:pPr>
        <w:pStyle w:val="2"/>
        <w:bidi/>
        <w:rPr>
          <w:rFonts w:ascii="Narkisim" w:hAnsi="Narkisim"/>
        </w:rPr>
      </w:pPr>
      <w:r w:rsidRPr="007119D6">
        <w:rPr>
          <w:rFonts w:ascii="Narkisim" w:hAnsi="Narkisim"/>
          <w:rtl/>
        </w:rPr>
        <w:t>סימנים דאורייתא</w:t>
      </w:r>
    </w:p>
    <w:p w14:paraId="62DF44B3" w14:textId="77777777" w:rsidR="006C4368" w:rsidRPr="007119D6" w:rsidRDefault="006C4368" w:rsidP="006C4368">
      <w:pPr>
        <w:bidi/>
        <w:rPr>
          <w:rFonts w:ascii="Narkisim" w:hAnsi="Narkisim" w:cs="Narkisim"/>
        </w:rPr>
      </w:pPr>
      <w:r w:rsidRPr="007119D6">
        <w:rPr>
          <w:rFonts w:ascii="Narkisim" w:hAnsi="Narkisim" w:cs="Narkisim"/>
          <w:u w:val="single"/>
          <w:rtl/>
        </w:rPr>
        <w:t>למימרא דסימנים לאו דאורייתא וכו'</w:t>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(לעיל קטו: ד"ה וקאמרי הא') כת' דאף למ"ד סימנים לאו דאורייתא, סימן מובהק הוה דאורייתא. וכן בגמ' (ריש ע"ב) מבואר דסימן מובהק מהני [ולחד לישנא נח' אי שומא הוה סימן מובהק]. וכן אי' (ב"מ יח:) דמחזירין גט ע"פ נקב בצד אות פלוני, דהוה סימן מובהק.</w:t>
      </w:r>
    </w:p>
    <w:p w14:paraId="2A5B73D3" w14:textId="77777777" w:rsidR="006C4368" w:rsidRPr="007119D6" w:rsidRDefault="006C4368" w:rsidP="006C4368">
      <w:pPr>
        <w:pStyle w:val="aa"/>
        <w:bidi/>
        <w:rPr>
          <w:rFonts w:ascii="Narkisim" w:hAnsi="Narkisim"/>
        </w:rPr>
      </w:pPr>
      <w:r w:rsidRPr="007119D6">
        <w:rPr>
          <w:rFonts w:ascii="Narkisim" w:hAnsi="Narkisim"/>
          <w:rtl/>
        </w:rPr>
        <w:t>ומבואר בסוגיות דיש ג' סימנים, סימן מובהק [כנקב בצד אות פלוני, וכדאי' בסמוך דלחד מ”ד שומא סימן מובהק], סימן בינוני [מובהק קצת</w:t>
      </w:r>
      <w:r w:rsidRPr="007119D6">
        <w:rPr>
          <w:rStyle w:val="ac"/>
          <w:rFonts w:ascii="Narkisim" w:hAnsi="Narkisim"/>
          <w:rtl/>
        </w:rPr>
        <w:footnoteReference w:id="8268"/>
      </w:r>
      <w:r w:rsidRPr="007119D6">
        <w:rPr>
          <w:rFonts w:ascii="Narkisim" w:hAnsi="Narkisim"/>
          <w:rtl/>
        </w:rPr>
        <w:t>, כנקב בעלמא בגט], וסימן בעלמא [כגון ארוך וקצר, חיורי וסומקי].</w:t>
      </w:r>
    </w:p>
    <w:p w14:paraId="1177359B"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(ושא"ר ב"מ כז.) כת' דפשיטא דמחזירין אבידה ע"פ סימן מובהק, ול"צ קרא</w:t>
      </w:r>
      <w:r w:rsidRPr="007119D6">
        <w:rPr>
          <w:rStyle w:val="ac"/>
          <w:rFonts w:ascii="Narkisim" w:hAnsi="Narkisim"/>
          <w:rtl/>
        </w:rPr>
        <w:footnoteReference w:id="8269"/>
      </w:r>
      <w:r w:rsidRPr="007119D6">
        <w:rPr>
          <w:rFonts w:ascii="Narkisim" w:hAnsi="Narkisim"/>
          <w:rtl/>
        </w:rPr>
        <w:t xml:space="preserve">. </w:t>
      </w:r>
      <w:r w:rsidRPr="007119D6">
        <w:rPr>
          <w:rFonts w:ascii="Narkisim" w:hAnsi="Narkisim"/>
          <w:rtl/>
        </w:rPr>
        <w:lastRenderedPageBreak/>
        <w:t>וה</w:t>
      </w:r>
      <w:r w:rsidRPr="007119D6">
        <w:rPr>
          <w:rFonts w:ascii="Narkisim" w:hAnsi="Narkisim"/>
          <w:b/>
          <w:bCs/>
          <w:rtl/>
        </w:rPr>
        <w:t>רשב"א</w:t>
      </w:r>
      <w:r w:rsidRPr="007119D6">
        <w:rPr>
          <w:rFonts w:ascii="Narkisim" w:hAnsi="Narkisim"/>
          <w:rtl/>
        </w:rPr>
        <w:t xml:space="preserve"> (שם) ביאר דסימן מובהק כעדים</w:t>
      </w:r>
      <w:r w:rsidRPr="007119D6">
        <w:rPr>
          <w:rStyle w:val="ac"/>
          <w:rFonts w:ascii="Narkisim" w:hAnsi="Narkisim"/>
          <w:rtl/>
        </w:rPr>
        <w:footnoteReference w:id="8270"/>
      </w:r>
      <w:r w:rsidRPr="007119D6">
        <w:rPr>
          <w:rFonts w:ascii="Narkisim" w:hAnsi="Narkisim"/>
          <w:rtl/>
        </w:rPr>
        <w:t>. וכ"ד רוב ה</w:t>
      </w:r>
      <w:r w:rsidRPr="007119D6">
        <w:rPr>
          <w:rFonts w:ascii="Narkisim" w:hAnsi="Narkisim"/>
          <w:b/>
          <w:bCs/>
          <w:rtl/>
        </w:rPr>
        <w:t>ראשונים</w:t>
      </w:r>
      <w:r w:rsidRPr="007119D6">
        <w:rPr>
          <w:rFonts w:ascii="Narkisim" w:hAnsi="Narkisim"/>
          <w:rtl/>
        </w:rPr>
        <w:t xml:space="preserve"> דהנידון סימנים דאורייתא הוה בסימן בינוני. [ומשיאין ע"פ סימן מובהק</w:t>
      </w:r>
      <w:r w:rsidRPr="007119D6">
        <w:rPr>
          <w:rStyle w:val="ac"/>
          <w:rFonts w:ascii="Narkisim" w:hAnsi="Narkisim"/>
          <w:rtl/>
        </w:rPr>
        <w:footnoteReference w:id="8271"/>
      </w:r>
      <w:r w:rsidRPr="007119D6">
        <w:rPr>
          <w:rFonts w:ascii="Narkisim" w:hAnsi="Narkisim"/>
          <w:rtl/>
        </w:rPr>
        <w:t>].</w:t>
      </w:r>
    </w:p>
    <w:p w14:paraId="25502785" w14:textId="77777777" w:rsidR="006C4368" w:rsidRPr="007119D6" w:rsidRDefault="006C4368" w:rsidP="006C4368">
      <w:pPr>
        <w:pStyle w:val="a8"/>
        <w:bidi/>
        <w:rPr>
          <w:rFonts w:ascii="Narkisim" w:hAnsi="Narkisim"/>
        </w:rPr>
      </w:pPr>
      <w:r w:rsidRPr="007119D6">
        <w:rPr>
          <w:rFonts w:ascii="Narkisim" w:hAnsi="Narkisim"/>
          <w:rtl/>
        </w:rPr>
        <w:t>אבל ה</w:t>
      </w:r>
      <w:r w:rsidRPr="007119D6">
        <w:rPr>
          <w:rFonts w:ascii="Narkisim" w:hAnsi="Narkisim"/>
          <w:b/>
          <w:bCs/>
          <w:rtl/>
        </w:rPr>
        <w:t>מאירי</w:t>
      </w:r>
      <w:r w:rsidRPr="007119D6">
        <w:rPr>
          <w:rFonts w:ascii="Narkisim" w:hAnsi="Narkisim"/>
          <w:rtl/>
        </w:rPr>
        <w:t xml:space="preserve"> (שם) וה</w:t>
      </w:r>
      <w:r w:rsidRPr="007119D6">
        <w:rPr>
          <w:rFonts w:ascii="Narkisim" w:hAnsi="Narkisim"/>
          <w:b/>
          <w:bCs/>
          <w:rtl/>
        </w:rPr>
        <w:t>ריטב"א ישנים</w:t>
      </w:r>
      <w:r w:rsidRPr="007119D6">
        <w:rPr>
          <w:rFonts w:ascii="Narkisim" w:hAnsi="Narkisim"/>
          <w:rtl/>
        </w:rPr>
        <w:t xml:space="preserve"> (ב"מ כז. ויח:) הביאו </w:t>
      </w:r>
      <w:r w:rsidRPr="007119D6">
        <w:rPr>
          <w:rFonts w:ascii="Narkisim" w:hAnsi="Narkisim"/>
          <w:b/>
          <w:bCs/>
          <w:rtl/>
        </w:rPr>
        <w:t>י"א</w:t>
      </w:r>
      <w:r w:rsidRPr="007119D6">
        <w:rPr>
          <w:rFonts w:ascii="Narkisim" w:hAnsi="Narkisim"/>
          <w:rtl/>
        </w:rPr>
        <w:t xml:space="preserve"> [ריב"א] דהנידון (בב"מ שם) בסימנים מובהקים. [וה</w:t>
      </w:r>
      <w:r w:rsidRPr="007119D6">
        <w:rPr>
          <w:rFonts w:ascii="Narkisim" w:hAnsi="Narkisim"/>
          <w:b/>
          <w:bCs/>
          <w:rtl/>
        </w:rPr>
        <w:t>ראשונים</w:t>
      </w:r>
      <w:r w:rsidRPr="007119D6">
        <w:rPr>
          <w:rFonts w:ascii="Narkisim" w:hAnsi="Narkisim"/>
          <w:rtl/>
        </w:rPr>
        <w:t xml:space="preserve"> דחו דסימן מובהק כעדים]. וה</w:t>
      </w:r>
      <w:r w:rsidRPr="007119D6">
        <w:rPr>
          <w:rFonts w:ascii="Narkisim" w:hAnsi="Narkisim"/>
          <w:b/>
          <w:bCs/>
          <w:rtl/>
        </w:rPr>
        <w:t>אחרונים</w:t>
      </w:r>
      <w:r w:rsidRPr="007119D6">
        <w:rPr>
          <w:rFonts w:ascii="Narkisim" w:hAnsi="Narkisim"/>
          <w:rtl/>
        </w:rPr>
        <w:t xml:space="preserve"> (פנ"י שם ועוד) כת' דלדעת הריב"א ע"כ דהספק בגמ' משום חשש משקר.</w:t>
      </w:r>
    </w:p>
    <w:p w14:paraId="0F08D33D"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(יז עב) הביא מה</w:t>
      </w:r>
      <w:r w:rsidRPr="007119D6">
        <w:rPr>
          <w:rFonts w:ascii="Narkisim" w:hAnsi="Narkisim"/>
          <w:b/>
          <w:bCs/>
          <w:rtl/>
        </w:rPr>
        <w:t>משאת בנימין</w:t>
      </w:r>
      <w:r w:rsidRPr="007119D6">
        <w:rPr>
          <w:rFonts w:ascii="Narkisim" w:hAnsi="Narkisim"/>
          <w:rtl/>
        </w:rPr>
        <w:t xml:space="preserve"> (סג) דגדר סימן מובהק הוא שלא ימצא רק א' מאלף, והוא דבר זר ומופלג.</w:t>
      </w:r>
    </w:p>
    <w:p w14:paraId="609C8E4B"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רמ"א</w:t>
      </w:r>
      <w:r w:rsidRPr="007119D6">
        <w:rPr>
          <w:rFonts w:ascii="Narkisim" w:hAnsi="Narkisim"/>
          <w:rtl/>
        </w:rPr>
        <w:t xml:space="preserve"> (שם כד) כת' דאפי' ק' סימנים שאינן מובהקים אינן מצטרפין, ואין מתירין על פיו. אבל ה</w:t>
      </w:r>
      <w:r w:rsidRPr="007119D6">
        <w:rPr>
          <w:rFonts w:ascii="Narkisim" w:hAnsi="Narkisim"/>
          <w:b/>
          <w:bCs/>
          <w:rtl/>
        </w:rPr>
        <w:t>משאת בנימין</w:t>
      </w:r>
      <w:r w:rsidRPr="007119D6">
        <w:rPr>
          <w:rFonts w:ascii="Narkisim" w:hAnsi="Narkisim"/>
          <w:rtl/>
        </w:rPr>
        <w:t xml:space="preserve"> (שם, הו' בבי”ש שם עג) כת' דחיבור הסימנים חשיב סימן מובהק, דדבר זר ומופלג שיתחברו ב' סימנין אלו באדם אחר. והביא דכ"כ בשו"ת הר"א מזרחי (עח ולו). [והבי"ש כת' דהרמ"א איירי בסימנים גרועים].</w:t>
      </w:r>
    </w:p>
    <w:p w14:paraId="710BC9DB"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פתח"ת</w:t>
      </w:r>
      <w:r w:rsidRPr="007119D6">
        <w:rPr>
          <w:rFonts w:ascii="Narkisim" w:hAnsi="Narkisim"/>
          <w:rtl/>
        </w:rPr>
        <w:t xml:space="preserve"> (קז) הביא בשם ר' דניאל לחלק דהיכא דאין שייכות בין ב' הסימנים ל"מ, דאין צירוף ביניהם. אבל היכא דיש כמה שינוים בעבר א', אע"ג דכל שינוי לחוד הוה סימן גרוע, מ"מ בהצטרפם נעשה מובהק. דלא שכיח ג' ד' שינוים באבר א'.</w:t>
      </w:r>
    </w:p>
    <w:p w14:paraId="6C4BC500"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פ</w:t>
      </w:r>
      <w:r w:rsidRPr="007119D6">
        <w:rPr>
          <w:rFonts w:ascii="Narkisim" w:hAnsi="Narkisim" w:cs="Narkisim"/>
          <w:b/>
          <w:bCs/>
          <w:rtl/>
        </w:rPr>
        <w:t>רש"י</w:t>
      </w:r>
      <w:r w:rsidRPr="007119D6">
        <w:rPr>
          <w:rFonts w:ascii="Narkisim" w:hAnsi="Narkisim" w:cs="Narkisim"/>
          <w:rtl/>
        </w:rPr>
        <w:t xml:space="preserve"> [הצד דסימנים דאורייתא] דילפי' (במשנה ב"מ כז.) אף השמלה וכו', מה שמלה מיוחדת שיש בה סימנין ויש לה תובעין, אף כל דבר שיש בו סימנין ויש לו תובעים חייב להכריז. והגמ' (שם) מסתפקת אי סימנים דאורייתא [להשבת אבידה, ואף להשיב גט אשה], או סימנים לאו דאורייתא</w:t>
      </w:r>
      <w:r w:rsidRPr="007119D6">
        <w:rPr>
          <w:rStyle w:val="ac"/>
          <w:rFonts w:ascii="Narkisim" w:hAnsi="Narkisim" w:cs="Narkisim"/>
          <w:rtl/>
        </w:rPr>
        <w:footnoteReference w:id="8272"/>
      </w:r>
      <w:r w:rsidRPr="007119D6">
        <w:rPr>
          <w:rFonts w:ascii="Narkisim" w:hAnsi="Narkisim" w:cs="Narkisim"/>
          <w:rtl/>
        </w:rPr>
        <w:t>, ובממונא [השבת אבידה] עבדו תקנתא, ול"מ באיסורין</w:t>
      </w:r>
      <w:r w:rsidRPr="007119D6">
        <w:rPr>
          <w:rStyle w:val="ac"/>
          <w:rFonts w:ascii="Narkisim" w:hAnsi="Narkisim" w:cs="Narkisim"/>
          <w:rtl/>
        </w:rPr>
        <w:footnoteReference w:id="8273"/>
      </w:r>
      <w:r w:rsidRPr="007119D6">
        <w:rPr>
          <w:rFonts w:ascii="Narkisim" w:hAnsi="Narkisim" w:cs="Narkisim"/>
          <w:rtl/>
        </w:rPr>
        <w:t>.</w:t>
      </w:r>
    </w:p>
    <w:p w14:paraId="31D18750"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קצות</w:t>
      </w:r>
      <w:r w:rsidRPr="007119D6">
        <w:rPr>
          <w:rFonts w:ascii="Narkisim" w:hAnsi="Narkisim" w:cs="Narkisim"/>
          <w:rtl/>
        </w:rPr>
        <w:t xml:space="preserve"> (רנט ב, ועד”ז הפנ”י שם) העמיד דיש בסימנים ב' נידונים, א' אי חיישינן דאיתרמי חפץ אחר בסימן זה. וב' חשש משקר</w:t>
      </w:r>
      <w:r w:rsidRPr="007119D6">
        <w:rPr>
          <w:rStyle w:val="ac"/>
          <w:rFonts w:ascii="Narkisim" w:hAnsi="Narkisim" w:cs="Narkisim"/>
          <w:rtl/>
        </w:rPr>
        <w:footnoteReference w:id="8274"/>
      </w:r>
      <w:r w:rsidRPr="007119D6">
        <w:rPr>
          <w:rFonts w:ascii="Narkisim" w:hAnsi="Narkisim" w:cs="Narkisim"/>
          <w:rtl/>
        </w:rPr>
        <w:t xml:space="preserve"> [דילמא מיחזי חזי, או כסומא בארובה, וניחש סימני החפץ</w:t>
      </w:r>
      <w:r w:rsidRPr="007119D6">
        <w:rPr>
          <w:rStyle w:val="ac"/>
          <w:rFonts w:ascii="Narkisim" w:hAnsi="Narkisim" w:cs="Narkisim"/>
          <w:rtl/>
        </w:rPr>
        <w:footnoteReference w:id="8275"/>
      </w:r>
      <w:r w:rsidRPr="007119D6">
        <w:rPr>
          <w:rFonts w:ascii="Narkisim" w:hAnsi="Narkisim" w:cs="Narkisim"/>
          <w:rtl/>
        </w:rPr>
        <w:t>].</w:t>
      </w:r>
    </w:p>
    <w:p w14:paraId="4E40DAB5" w14:textId="77777777" w:rsidR="006C4368" w:rsidRPr="007119D6" w:rsidRDefault="006C4368" w:rsidP="006C4368">
      <w:pPr>
        <w:pStyle w:val="a7"/>
        <w:bidi/>
        <w:rPr>
          <w:rFonts w:ascii="Narkisim" w:hAnsi="Narkisim"/>
        </w:rPr>
      </w:pPr>
      <w:r w:rsidRPr="007119D6">
        <w:rPr>
          <w:rFonts w:ascii="Narkisim" w:hAnsi="Narkisim"/>
          <w:rtl/>
        </w:rPr>
        <w:t>אך בסוגיין דהעדים מעידים על סימנים בגוף הנידון משום איתרמי, ול"ש נידון חשש משקר.</w:t>
      </w:r>
    </w:p>
    <w:p w14:paraId="29133902" w14:textId="77777777" w:rsidR="006C4368" w:rsidRPr="007119D6" w:rsidRDefault="006C4368" w:rsidP="006C4368">
      <w:pPr>
        <w:pStyle w:val="a7"/>
        <w:bidi/>
        <w:rPr>
          <w:rFonts w:ascii="Narkisim" w:hAnsi="Narkisim"/>
        </w:rPr>
      </w:pPr>
      <w:r w:rsidRPr="007119D6">
        <w:rPr>
          <w:rFonts w:ascii="Narkisim" w:hAnsi="Narkisim"/>
          <w:rtl/>
        </w:rPr>
        <w:t>והקצות כת' דע"כ דבסוגיין הוכיחו דסימנין לאו דאורייתא, משום דאיתרמי. א"כ כ"ש דל"מ להחזיר אבידה. והקצות כת' דעיקר הספק בגמ' (ב"מ שם) הוה משום חשש משקר</w:t>
      </w:r>
      <w:r w:rsidRPr="007119D6">
        <w:rPr>
          <w:rStyle w:val="ac"/>
          <w:rFonts w:ascii="Narkisim" w:hAnsi="Narkisim"/>
          <w:rtl/>
        </w:rPr>
        <w:footnoteReference w:id="8276"/>
      </w:r>
      <w:r w:rsidRPr="007119D6">
        <w:rPr>
          <w:rFonts w:ascii="Narkisim" w:hAnsi="Narkisim"/>
          <w:rtl/>
        </w:rPr>
        <w:t>, והא דהביאו (שם) מברייתא דאין מעידין על השומא הוא כיון דחיישינן דאיתרמי, כ"ש דל"מ סימנים מדאורייתא.</w:t>
      </w:r>
    </w:p>
    <w:p w14:paraId="617EC0BD" w14:textId="77777777" w:rsidR="006C4368" w:rsidRPr="007119D6" w:rsidRDefault="006C4368" w:rsidP="006C4368">
      <w:pPr>
        <w:pStyle w:val="aa"/>
        <w:bidi/>
        <w:rPr>
          <w:rFonts w:ascii="Narkisim" w:hAnsi="Narkisim"/>
        </w:rPr>
      </w:pPr>
      <w:r w:rsidRPr="007119D6">
        <w:rPr>
          <w:rFonts w:ascii="Narkisim" w:hAnsi="Narkisim"/>
          <w:u w:val="single"/>
          <w:rtl/>
        </w:rPr>
        <w:t>שם</w:t>
      </w:r>
      <w:r w:rsidRPr="007119D6">
        <w:rPr>
          <w:rFonts w:ascii="Narkisim" w:hAnsi="Narkisim"/>
          <w:rtl/>
        </w:rPr>
        <w:t>. ומשמע מדברי רש"י דמ"ד סימנין דאורייתא, ילפי' כל התורה מהשבת אבידה. וב</w:t>
      </w:r>
      <w:r w:rsidRPr="007119D6">
        <w:rPr>
          <w:rFonts w:ascii="Narkisim" w:hAnsi="Narkisim"/>
          <w:b/>
          <w:bCs/>
          <w:rtl/>
        </w:rPr>
        <w:t>הג' מרדכי</w:t>
      </w:r>
      <w:r w:rsidRPr="007119D6">
        <w:rPr>
          <w:rFonts w:ascii="Narkisim" w:hAnsi="Narkisim"/>
          <w:rtl/>
        </w:rPr>
        <w:t xml:space="preserve"> (ב"מ ס"ס תכז) הק' היכי ילפי' איסורא מממונא</w:t>
      </w:r>
      <w:r w:rsidRPr="007119D6">
        <w:rPr>
          <w:rStyle w:val="ac"/>
          <w:rFonts w:ascii="Narkisim" w:hAnsi="Narkisim"/>
          <w:rtl/>
        </w:rPr>
        <w:footnoteReference w:id="8277"/>
      </w:r>
      <w:r w:rsidRPr="007119D6">
        <w:rPr>
          <w:rFonts w:ascii="Narkisim" w:hAnsi="Narkisim"/>
          <w:rtl/>
        </w:rPr>
        <w:t xml:space="preserve"> (וכדאי' קידושין ג:). ותי' דילפי' דכיון דהוה כעדים לענין ממון</w:t>
      </w:r>
      <w:r w:rsidRPr="007119D6">
        <w:rPr>
          <w:rStyle w:val="ac"/>
          <w:rFonts w:ascii="Narkisim" w:hAnsi="Narkisim"/>
          <w:rtl/>
        </w:rPr>
        <w:footnoteReference w:id="8278"/>
      </w:r>
      <w:r w:rsidRPr="007119D6">
        <w:rPr>
          <w:rFonts w:ascii="Narkisim" w:hAnsi="Narkisim"/>
          <w:rtl/>
        </w:rPr>
        <w:t>, א"כ אף באיסורין הוה כעדים</w:t>
      </w:r>
      <w:r w:rsidRPr="007119D6">
        <w:rPr>
          <w:rStyle w:val="ac"/>
          <w:rFonts w:ascii="Narkisim" w:hAnsi="Narkisim"/>
          <w:rtl/>
        </w:rPr>
        <w:footnoteReference w:id="8279"/>
      </w:r>
      <w:r w:rsidRPr="007119D6">
        <w:rPr>
          <w:rFonts w:ascii="Narkisim" w:hAnsi="Narkisim"/>
          <w:rtl/>
        </w:rPr>
        <w:t>. וה</w:t>
      </w:r>
      <w:r w:rsidRPr="007119D6">
        <w:rPr>
          <w:rFonts w:ascii="Narkisim" w:hAnsi="Narkisim"/>
          <w:b/>
          <w:bCs/>
          <w:rtl/>
        </w:rPr>
        <w:t>פנ"י</w:t>
      </w:r>
      <w:r w:rsidRPr="007119D6">
        <w:rPr>
          <w:rFonts w:ascii="Narkisim" w:hAnsi="Narkisim"/>
          <w:rtl/>
        </w:rPr>
        <w:t xml:space="preserve"> הוסיף דלענין גדרי בירור ילפי' דבר שבערוה דבר דבר מממון.</w:t>
      </w:r>
    </w:p>
    <w:p w14:paraId="56B509A5" w14:textId="77777777" w:rsidR="006C4368" w:rsidRPr="007119D6" w:rsidRDefault="006C4368" w:rsidP="006C4368">
      <w:pPr>
        <w:pStyle w:val="aa"/>
        <w:bidi/>
        <w:rPr>
          <w:rFonts w:ascii="Narkisim" w:hAnsi="Narkisim"/>
        </w:rPr>
      </w:pPr>
      <w:r w:rsidRPr="007119D6">
        <w:rPr>
          <w:rFonts w:ascii="Narkisim" w:hAnsi="Narkisim"/>
          <w:i/>
          <w:iCs/>
          <w:rtl/>
        </w:rPr>
        <w:t>בשאר איסורין</w:t>
      </w:r>
      <w:r w:rsidRPr="007119D6">
        <w:rPr>
          <w:rFonts w:ascii="Narkisim" w:hAnsi="Narkisim"/>
          <w:rtl/>
        </w:rPr>
        <w:t xml:space="preserve"> – בגמ' (חולין עט.) אמר ר' אבא דלענין כלאי בהמה סמכי' אסימנים</w:t>
      </w:r>
      <w:r w:rsidRPr="007119D6">
        <w:rPr>
          <w:rStyle w:val="ac"/>
          <w:rFonts w:ascii="Narkisim" w:hAnsi="Narkisim"/>
          <w:rtl/>
        </w:rPr>
        <w:footnoteReference w:id="8280"/>
      </w:r>
      <w:r w:rsidRPr="007119D6">
        <w:rPr>
          <w:rFonts w:ascii="Narkisim" w:hAnsi="Narkisim"/>
          <w:rtl/>
        </w:rPr>
        <w:t xml:space="preserve">, וש"מ סימנים </w:t>
      </w:r>
      <w:r w:rsidRPr="007119D6">
        <w:rPr>
          <w:rFonts w:ascii="Narkisim" w:hAnsi="Narkisim"/>
          <w:rtl/>
        </w:rPr>
        <w:lastRenderedPageBreak/>
        <w:t>דאורייתא. ופ</w:t>
      </w:r>
      <w:r w:rsidRPr="007119D6">
        <w:rPr>
          <w:rFonts w:ascii="Narkisim" w:hAnsi="Narkisim"/>
          <w:b/>
          <w:bCs/>
          <w:rtl/>
        </w:rPr>
        <w:t>רש"י</w:t>
      </w:r>
      <w:r w:rsidRPr="007119D6">
        <w:rPr>
          <w:rFonts w:ascii="Narkisim" w:hAnsi="Narkisim"/>
          <w:rtl/>
        </w:rPr>
        <w:t xml:space="preserve"> ש"מ דסמכינן אסימנים להשבת אבידה מדאורייתא, ומש"ה סמכינן אף באיסור. דאי סימנים דרבנן, ובממון עשו תקנה, אבל באיסור לא מצי מתקני. וה</w:t>
      </w:r>
      <w:r w:rsidRPr="007119D6">
        <w:rPr>
          <w:rFonts w:ascii="Narkisim" w:hAnsi="Narkisim"/>
          <w:b/>
          <w:bCs/>
          <w:rtl/>
        </w:rPr>
        <w:t>רמב"ן</w:t>
      </w:r>
      <w:r w:rsidRPr="007119D6">
        <w:rPr>
          <w:rFonts w:ascii="Narkisim" w:hAnsi="Narkisim"/>
          <w:rtl/>
        </w:rPr>
        <w:t xml:space="preserve"> ו</w:t>
      </w:r>
      <w:r w:rsidRPr="007119D6">
        <w:rPr>
          <w:rFonts w:ascii="Narkisim" w:hAnsi="Narkisim"/>
          <w:b/>
          <w:bCs/>
          <w:rtl/>
        </w:rPr>
        <w:t>ר"ן</w:t>
      </w:r>
      <w:r w:rsidRPr="007119D6">
        <w:rPr>
          <w:rFonts w:ascii="Narkisim" w:hAnsi="Narkisim"/>
          <w:rtl/>
        </w:rPr>
        <w:t xml:space="preserve"> (חולין שם) חלקו דלא שייך לסימני אבידה, והנידון התם האם מהני סימני פרידה [לידעה אי אביו סוס או חמור], וגמרא גמירי לן הסימנין. או דאינם עיקר סימנים</w:t>
      </w:r>
      <w:r w:rsidRPr="007119D6">
        <w:rPr>
          <w:rStyle w:val="ac"/>
          <w:rFonts w:ascii="Narkisim" w:hAnsi="Narkisim"/>
          <w:rtl/>
        </w:rPr>
        <w:footnoteReference w:id="8281"/>
      </w:r>
      <w:r w:rsidRPr="007119D6">
        <w:rPr>
          <w:rFonts w:ascii="Narkisim" w:hAnsi="Narkisim"/>
          <w:rtl/>
        </w:rPr>
        <w:t>. וכעי"ז אי' בגמ' (חולין סד.) ש"מ סימנים [דביצים טהורים] לאו דאורייתא</w:t>
      </w:r>
      <w:r w:rsidRPr="007119D6">
        <w:rPr>
          <w:rStyle w:val="ac"/>
          <w:rFonts w:ascii="Narkisim" w:hAnsi="Narkisim"/>
          <w:rtl/>
        </w:rPr>
        <w:footnoteReference w:id="8282"/>
      </w:r>
      <w:r w:rsidRPr="007119D6">
        <w:rPr>
          <w:rFonts w:ascii="Narkisim" w:hAnsi="Narkisim"/>
          <w:rtl/>
        </w:rPr>
        <w:t>.</w:t>
      </w:r>
    </w:p>
    <w:p w14:paraId="7A3FE9DC" w14:textId="77777777" w:rsidR="006C4368" w:rsidRPr="007119D6" w:rsidRDefault="006C4368" w:rsidP="006C4368">
      <w:pPr>
        <w:pStyle w:val="a8"/>
        <w:bidi/>
        <w:rPr>
          <w:rFonts w:ascii="Narkisim" w:hAnsi="Narkisim"/>
        </w:rPr>
      </w:pPr>
      <w:r w:rsidRPr="007119D6">
        <w:rPr>
          <w:rFonts w:ascii="Narkisim" w:hAnsi="Narkisim"/>
          <w:rtl/>
        </w:rPr>
        <w:t>וכת' דודאי לא הוה סימנים טובים לענין אבידה, דהוה כחיורא וסומקא דאינו כלום באבידה. ואפי' את"ל סימנים אלו דאורייתא י"ל דלא מחזירין אבידה בסימנים, דילמא מיחזא חזא א"נ כסומא בארובה</w:t>
      </w:r>
      <w:r w:rsidRPr="007119D6">
        <w:rPr>
          <w:rStyle w:val="ac"/>
          <w:rFonts w:ascii="Narkisim" w:hAnsi="Narkisim"/>
          <w:rtl/>
        </w:rPr>
        <w:footnoteReference w:id="8283"/>
      </w:r>
      <w:r w:rsidRPr="007119D6">
        <w:rPr>
          <w:rFonts w:ascii="Narkisim" w:hAnsi="Narkisim"/>
          <w:rtl/>
        </w:rPr>
        <w:t>.</w:t>
      </w:r>
    </w:p>
    <w:p w14:paraId="00FBA4D9" w14:textId="77777777" w:rsidR="006C4368" w:rsidRPr="007119D6" w:rsidRDefault="006C4368" w:rsidP="006C4368">
      <w:pPr>
        <w:pStyle w:val="aa"/>
        <w:bidi/>
        <w:rPr>
          <w:rFonts w:ascii="Narkisim" w:hAnsi="Narkisim"/>
        </w:rPr>
      </w:pPr>
      <w:r w:rsidRPr="007119D6">
        <w:rPr>
          <w:rFonts w:ascii="Narkisim" w:hAnsi="Narkisim"/>
          <w:rtl/>
        </w:rPr>
        <w:t>ועד"ז הק' ה</w:t>
      </w:r>
      <w:r w:rsidRPr="007119D6">
        <w:rPr>
          <w:rFonts w:ascii="Narkisim" w:hAnsi="Narkisim"/>
          <w:b/>
          <w:bCs/>
          <w:rtl/>
        </w:rPr>
        <w:t>תוס' הרא"ש</w:t>
      </w:r>
      <w:r w:rsidRPr="007119D6">
        <w:rPr>
          <w:rFonts w:ascii="Narkisim" w:hAnsi="Narkisim"/>
          <w:rtl/>
        </w:rPr>
        <w:t xml:space="preserve"> (חולין עט:) מה ענין השבת אבדה שהוא הוצאת ממון</w:t>
      </w:r>
      <w:r w:rsidRPr="007119D6">
        <w:rPr>
          <w:rStyle w:val="ac"/>
          <w:rFonts w:ascii="Narkisim" w:hAnsi="Narkisim"/>
          <w:rtl/>
        </w:rPr>
        <w:footnoteReference w:id="8284"/>
      </w:r>
      <w:r w:rsidRPr="007119D6">
        <w:rPr>
          <w:rFonts w:ascii="Narkisim" w:hAnsi="Narkisim"/>
          <w:rtl/>
        </w:rPr>
        <w:t>, ומספקא לן שמא לא ניח"ל לבעל אבידה שיתנו ממונו לאחר ע"י סימן. ולא דמי לסימנין דפרדות [דהוה איסור בעלמא</w:t>
      </w:r>
      <w:r w:rsidRPr="007119D6">
        <w:rPr>
          <w:rStyle w:val="ac"/>
          <w:rFonts w:ascii="Narkisim" w:hAnsi="Narkisim"/>
          <w:rtl/>
        </w:rPr>
        <w:footnoteReference w:id="8285"/>
      </w:r>
      <w:r w:rsidRPr="007119D6">
        <w:rPr>
          <w:rFonts w:ascii="Narkisim" w:hAnsi="Narkisim"/>
          <w:rtl/>
        </w:rPr>
        <w:t>].</w:t>
      </w:r>
    </w:p>
    <w:p w14:paraId="50EFB920"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אבן העוזר</w:t>
      </w:r>
      <w:r w:rsidRPr="007119D6">
        <w:rPr>
          <w:rFonts w:ascii="Narkisim" w:hAnsi="Narkisim"/>
          <w:rtl/>
        </w:rPr>
        <w:t xml:space="preserve"> (והו' בקצות רנט וסה יא) תי' דהתם יש ב' סימנים [בזנב ואוזניים], וב' סימנים חשיב כסימן מובהק [וכמ"ש המשאת בנימין הו' בבי"ש יז סט. וע' מש”כ בזה לעיל].</w:t>
      </w:r>
    </w:p>
    <w:p w14:paraId="179DE57C" w14:textId="77777777" w:rsidR="006C4368" w:rsidRPr="007119D6" w:rsidRDefault="006C4368" w:rsidP="006C4368">
      <w:pPr>
        <w:pStyle w:val="aa"/>
        <w:bidi/>
        <w:rPr>
          <w:rFonts w:ascii="Narkisim" w:hAnsi="Narkisim"/>
        </w:rPr>
      </w:pPr>
      <w:r w:rsidRPr="007119D6">
        <w:rPr>
          <w:rFonts w:ascii="Narkisim" w:hAnsi="Narkisim"/>
          <w:i/>
          <w:iCs/>
          <w:rtl/>
        </w:rPr>
        <w:t>אין הורגין ע"פ סימנין</w:t>
      </w:r>
      <w:r w:rsidRPr="007119D6">
        <w:rPr>
          <w:rFonts w:ascii="Narkisim" w:hAnsi="Narkisim"/>
          <w:rtl/>
        </w:rPr>
        <w:t xml:space="preserve"> - וב</w:t>
      </w:r>
      <w:r w:rsidRPr="007119D6">
        <w:rPr>
          <w:rFonts w:ascii="Narkisim" w:hAnsi="Narkisim"/>
          <w:b/>
          <w:bCs/>
          <w:rtl/>
        </w:rPr>
        <w:t>גמ</w:t>
      </w:r>
      <w:r w:rsidRPr="007119D6">
        <w:rPr>
          <w:rFonts w:ascii="Narkisim" w:hAnsi="Narkisim"/>
          <w:rtl/>
        </w:rPr>
        <w:t>' (חולין צו.) רבא סבר דסימן עדיף מטביעות עין</w:t>
      </w:r>
      <w:r w:rsidRPr="007119D6">
        <w:rPr>
          <w:rStyle w:val="ac"/>
          <w:rFonts w:ascii="Narkisim" w:hAnsi="Narkisim"/>
          <w:rtl/>
        </w:rPr>
        <w:footnoteReference w:id="8286"/>
      </w:r>
      <w:r w:rsidRPr="007119D6">
        <w:rPr>
          <w:rFonts w:ascii="Narkisim" w:hAnsi="Narkisim"/>
          <w:rtl/>
        </w:rPr>
        <w:t>, דהא מחזירין אבידה ע"פ סימן, ולא מחזירים ע"פ טביעות עין</w:t>
      </w:r>
      <w:r w:rsidRPr="007119D6">
        <w:rPr>
          <w:rStyle w:val="ac"/>
          <w:rFonts w:ascii="Narkisim" w:hAnsi="Narkisim"/>
          <w:rtl/>
        </w:rPr>
        <w:footnoteReference w:id="8287"/>
      </w:r>
      <w:r w:rsidRPr="007119D6">
        <w:rPr>
          <w:rFonts w:ascii="Narkisim" w:hAnsi="Narkisim"/>
          <w:rtl/>
        </w:rPr>
        <w:t>. ושוב חזר רבא דחזי' דמהני טביעות עין לענין איסורים. וביאר דטביעות עין עדיף מסימן</w:t>
      </w:r>
      <w:r w:rsidRPr="007119D6">
        <w:rPr>
          <w:rStyle w:val="ac"/>
          <w:rFonts w:ascii="Narkisim" w:hAnsi="Narkisim"/>
          <w:rtl/>
        </w:rPr>
        <w:footnoteReference w:id="8288"/>
      </w:r>
      <w:r w:rsidRPr="007119D6">
        <w:rPr>
          <w:rFonts w:ascii="Narkisim" w:hAnsi="Narkisim"/>
          <w:rtl/>
        </w:rPr>
        <w:t>, שהרי מהני טביעות עין דקול</w:t>
      </w:r>
      <w:r w:rsidRPr="007119D6">
        <w:rPr>
          <w:rStyle w:val="ac"/>
          <w:rFonts w:ascii="Narkisim" w:hAnsi="Narkisim"/>
          <w:rtl/>
        </w:rPr>
        <w:footnoteReference w:id="8289"/>
      </w:r>
      <w:r w:rsidRPr="007119D6">
        <w:rPr>
          <w:rFonts w:ascii="Narkisim" w:hAnsi="Narkisim"/>
          <w:rtl/>
        </w:rPr>
        <w:t>.</w:t>
      </w:r>
    </w:p>
    <w:p w14:paraId="1F79715C" w14:textId="77777777" w:rsidR="006C4368" w:rsidRPr="007119D6" w:rsidRDefault="006C4368" w:rsidP="006C4368">
      <w:pPr>
        <w:pStyle w:val="a8"/>
        <w:bidi/>
        <w:rPr>
          <w:rFonts w:ascii="Narkisim" w:hAnsi="Narkisim"/>
        </w:rPr>
      </w:pPr>
      <w:r w:rsidRPr="007119D6">
        <w:rPr>
          <w:rFonts w:ascii="Narkisim" w:hAnsi="Narkisim"/>
          <w:rtl/>
        </w:rPr>
        <w:t>ואר"י בר משרשיא תדע דאילו העידו עדים דפלוני שיש בו סימן פלוני הרג, לא הורגים את הרוצח. אבל הורגים כשמעידים ע"פ טביעות עין.</w:t>
      </w:r>
    </w:p>
    <w:p w14:paraId="10FE8974" w14:textId="77777777" w:rsidR="006C4368" w:rsidRPr="007119D6" w:rsidRDefault="006C4368" w:rsidP="006C4368">
      <w:pPr>
        <w:pStyle w:val="a8"/>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(שם) הק' דמשיאין אשה ע"פ סימנים. ואילו תנשא לאחר וזינתה קטלינן לה ע"פ סימנים</w:t>
      </w:r>
      <w:r w:rsidRPr="007119D6">
        <w:rPr>
          <w:rStyle w:val="ac"/>
          <w:rFonts w:ascii="Narkisim" w:hAnsi="Narkisim"/>
          <w:rtl/>
        </w:rPr>
        <w:footnoteReference w:id="8290"/>
      </w:r>
      <w:r w:rsidRPr="007119D6">
        <w:rPr>
          <w:rFonts w:ascii="Narkisim" w:hAnsi="Narkisim"/>
          <w:rtl/>
        </w:rPr>
        <w:t>. ותוס' כת' דאין ה"נ לא קטלי' כה"ג ע"פ סימנים</w:t>
      </w:r>
      <w:r w:rsidRPr="007119D6">
        <w:rPr>
          <w:rStyle w:val="ac"/>
          <w:rFonts w:ascii="Narkisim" w:hAnsi="Narkisim"/>
          <w:rtl/>
        </w:rPr>
        <w:footnoteReference w:id="8291"/>
      </w:r>
      <w:r w:rsidRPr="007119D6">
        <w:rPr>
          <w:rFonts w:ascii="Narkisim" w:hAnsi="Narkisim"/>
          <w:rtl/>
        </w:rPr>
        <w:t xml:space="preserve">. והרבה </w:t>
      </w:r>
      <w:r w:rsidRPr="007119D6">
        <w:rPr>
          <w:rFonts w:ascii="Narkisim" w:hAnsi="Narkisim"/>
          <w:b/>
          <w:bCs/>
          <w:rtl/>
        </w:rPr>
        <w:t>אחרונים</w:t>
      </w:r>
      <w:r w:rsidRPr="007119D6">
        <w:rPr>
          <w:rStyle w:val="ac"/>
          <w:rFonts w:ascii="Narkisim" w:hAnsi="Narkisim"/>
          <w:rtl/>
        </w:rPr>
        <w:footnoteReference w:id="8292"/>
      </w:r>
      <w:r w:rsidRPr="007119D6">
        <w:rPr>
          <w:rFonts w:ascii="Narkisim" w:hAnsi="Narkisim"/>
          <w:rtl/>
        </w:rPr>
        <w:t xml:space="preserve"> דחו דאמרי' דהוחזק שמת בעלה, ושוב הוחזקה אשת איש</w:t>
      </w:r>
      <w:r w:rsidRPr="007119D6">
        <w:rPr>
          <w:rStyle w:val="ac"/>
          <w:rFonts w:ascii="Narkisim" w:hAnsi="Narkisim"/>
          <w:rtl/>
        </w:rPr>
        <w:footnoteReference w:id="8293"/>
      </w:r>
      <w:r w:rsidRPr="007119D6">
        <w:rPr>
          <w:rFonts w:ascii="Narkisim" w:hAnsi="Narkisim"/>
          <w:rtl/>
        </w:rPr>
        <w:t>. ולא נחשב דקטלי' ע"פ הסימנים</w:t>
      </w:r>
      <w:r w:rsidRPr="007119D6">
        <w:rPr>
          <w:rStyle w:val="ac"/>
          <w:rFonts w:ascii="Narkisim" w:hAnsi="Narkisim"/>
          <w:rtl/>
        </w:rPr>
        <w:footnoteReference w:id="8294"/>
      </w:r>
      <w:r w:rsidRPr="007119D6">
        <w:rPr>
          <w:rFonts w:ascii="Narkisim" w:hAnsi="Narkisim"/>
          <w:rtl/>
        </w:rPr>
        <w:t>.</w:t>
      </w:r>
    </w:p>
    <w:p w14:paraId="0FEBCF01" w14:textId="77777777" w:rsidR="006C4368" w:rsidRPr="007119D6" w:rsidRDefault="006C4368" w:rsidP="006C4368">
      <w:pPr>
        <w:pStyle w:val="aa"/>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(ק קז בסופו, הו' בחי' חולין שם) כת' [דלא כתוס'] דל"מ היכא דעדים מעידים על סימנים, דבעי ידיעת עדים ממש. ול"מ היכא דעדים מעידים ע"פ סימנים, דהעדים אינן מעידין ודאי שהוא קטל. וחסר בעיקר בירור </w:t>
      </w:r>
      <w:r w:rsidRPr="007119D6">
        <w:rPr>
          <w:rFonts w:ascii="Narkisim" w:hAnsi="Narkisim"/>
          <w:rtl/>
        </w:rPr>
        <w:lastRenderedPageBreak/>
        <w:t>המעשה, ומש”ה ל”מ עדות ע"י סימנים</w:t>
      </w:r>
      <w:r w:rsidRPr="007119D6">
        <w:rPr>
          <w:rStyle w:val="ac"/>
          <w:rFonts w:ascii="Narkisim" w:hAnsi="Narkisim"/>
          <w:rtl/>
        </w:rPr>
        <w:footnoteReference w:id="8295"/>
      </w:r>
      <w:r w:rsidRPr="007119D6">
        <w:rPr>
          <w:rFonts w:ascii="Narkisim" w:hAnsi="Narkisim"/>
          <w:rtl/>
        </w:rPr>
        <w:t>. [וע' חזו"א שחלק].</w:t>
      </w:r>
    </w:p>
    <w:p w14:paraId="6471251D" w14:textId="77777777" w:rsidR="006C4368" w:rsidRPr="007119D6" w:rsidRDefault="006C4368" w:rsidP="006C4368">
      <w:pPr>
        <w:pStyle w:val="aa"/>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(שם) הביא בשם הנוב"י דקטלינן ע"פ סימן מובהק. וחלק דמבואר (ב"מ כח.) דעדים עדיפי אפי' מסימן מובהק. וה</w:t>
      </w:r>
      <w:r w:rsidRPr="007119D6">
        <w:rPr>
          <w:rFonts w:ascii="Narkisim" w:hAnsi="Narkisim"/>
          <w:b/>
          <w:bCs/>
          <w:rtl/>
        </w:rPr>
        <w:t>צמח דוד</w:t>
      </w:r>
      <w:r w:rsidRPr="007119D6">
        <w:rPr>
          <w:rFonts w:ascii="Narkisim" w:hAnsi="Narkisim"/>
          <w:rtl/>
        </w:rPr>
        <w:t xml:space="preserve"> דחה דדילמא התם משום חשש משקר.</w:t>
      </w:r>
    </w:p>
    <w:p w14:paraId="63A9BBE0" w14:textId="77777777" w:rsidR="006C4368" w:rsidRPr="007119D6" w:rsidRDefault="006C4368" w:rsidP="006C4368">
      <w:pPr>
        <w:pStyle w:val="aa"/>
        <w:bidi/>
        <w:rPr>
          <w:rFonts w:ascii="Narkisim" w:hAnsi="Narkisim"/>
        </w:rPr>
      </w:pPr>
      <w:r w:rsidRPr="007119D6">
        <w:rPr>
          <w:rFonts w:ascii="Narkisim" w:hAnsi="Narkisim"/>
          <w:i/>
          <w:iCs/>
          <w:rtl/>
        </w:rPr>
        <w:t>סימנים להוציא ממון</w:t>
      </w:r>
      <w:r w:rsidRPr="007119D6">
        <w:rPr>
          <w:rFonts w:ascii="Narkisim" w:hAnsi="Narkisim"/>
          <w:rtl/>
        </w:rPr>
        <w:t xml:space="preserve"> - ו</w:t>
      </w:r>
      <w:r w:rsidRPr="007119D6">
        <w:rPr>
          <w:rFonts w:ascii="Narkisim" w:hAnsi="Narkisim"/>
          <w:b/>
          <w:bCs/>
          <w:rtl/>
        </w:rPr>
        <w:t>תוס'</w:t>
      </w:r>
      <w:r w:rsidRPr="007119D6">
        <w:rPr>
          <w:rFonts w:ascii="Narkisim" w:hAnsi="Narkisim"/>
          <w:rtl/>
        </w:rPr>
        <w:t xml:space="preserve"> (חולין הנ"ל) כת' דאין מוציאין ממון בעדות</w:t>
      </w:r>
      <w:r w:rsidRPr="007119D6">
        <w:rPr>
          <w:rStyle w:val="ac"/>
          <w:rFonts w:ascii="Narkisim" w:hAnsi="Narkisim"/>
          <w:rtl/>
        </w:rPr>
        <w:footnoteReference w:id="8296"/>
      </w:r>
      <w:r w:rsidRPr="007119D6">
        <w:rPr>
          <w:rFonts w:ascii="Narkisim" w:hAnsi="Narkisim"/>
          <w:rtl/>
        </w:rPr>
        <w:t xml:space="preserve"> ע"פ סימנים</w:t>
      </w:r>
      <w:r w:rsidRPr="007119D6">
        <w:rPr>
          <w:rStyle w:val="ac"/>
          <w:rFonts w:ascii="Narkisim" w:hAnsi="Narkisim"/>
          <w:rtl/>
        </w:rPr>
        <w:footnoteReference w:id="8297"/>
      </w:r>
      <w:r w:rsidRPr="007119D6">
        <w:rPr>
          <w:rFonts w:ascii="Narkisim" w:hAnsi="Narkisim"/>
          <w:rtl/>
        </w:rPr>
        <w:t>. אך ה</w:t>
      </w:r>
      <w:r w:rsidRPr="007119D6">
        <w:rPr>
          <w:rFonts w:ascii="Narkisim" w:hAnsi="Narkisim"/>
          <w:b/>
          <w:bCs/>
          <w:rtl/>
        </w:rPr>
        <w:t xml:space="preserve">אחרונים </w:t>
      </w:r>
      <w:r w:rsidRPr="007119D6">
        <w:rPr>
          <w:rFonts w:ascii="Narkisim" w:hAnsi="Narkisim"/>
          <w:rtl/>
        </w:rPr>
        <w:t>הק' דלכאורה בסוגיה (לעיל קטו:, ועי”ש תוס' ד”ה וכן) מבואר דמוציאין ממון ע"פ סימנים. וע' מש"כ שם. וע"ע רבינו יונה (ב"ב קכח.).</w:t>
      </w:r>
    </w:p>
    <w:p w14:paraId="01996143"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פנ"י</w:t>
      </w:r>
      <w:r w:rsidRPr="007119D6">
        <w:rPr>
          <w:rFonts w:ascii="Narkisim" w:hAnsi="Narkisim"/>
          <w:rtl/>
        </w:rPr>
        <w:t xml:space="preserve"> (ב"מ כז) הק' [לדברי התוס'] א"כ האיך משיאין אשה ע"פ סימנים, ומוציאין אותה מחזקת אשת איש</w:t>
      </w:r>
      <w:r w:rsidRPr="007119D6">
        <w:rPr>
          <w:rStyle w:val="ac"/>
          <w:rFonts w:ascii="Narkisim" w:hAnsi="Narkisim"/>
          <w:rtl/>
        </w:rPr>
        <w:footnoteReference w:id="8298"/>
      </w:r>
      <w:r w:rsidRPr="007119D6">
        <w:rPr>
          <w:rFonts w:ascii="Narkisim" w:hAnsi="Narkisim"/>
          <w:rtl/>
        </w:rPr>
        <w:t>.</w:t>
      </w:r>
    </w:p>
    <w:p w14:paraId="7434F57E"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נא ד"ה והואיל) תי' דהיכא דהמוחזק טוען ברי</w:t>
      </w:r>
      <w:r w:rsidRPr="007119D6">
        <w:rPr>
          <w:rStyle w:val="ac"/>
          <w:rFonts w:ascii="Narkisim" w:hAnsi="Narkisim"/>
          <w:rtl/>
        </w:rPr>
        <w:footnoteReference w:id="8299"/>
      </w:r>
      <w:r w:rsidRPr="007119D6">
        <w:rPr>
          <w:rFonts w:ascii="Narkisim" w:hAnsi="Narkisim"/>
          <w:rtl/>
        </w:rPr>
        <w:t xml:space="preserve"> לא מהני סימנין</w:t>
      </w:r>
      <w:r w:rsidRPr="007119D6">
        <w:rPr>
          <w:rStyle w:val="ac"/>
          <w:rFonts w:ascii="Narkisim" w:hAnsi="Narkisim"/>
          <w:rtl/>
        </w:rPr>
        <w:footnoteReference w:id="8300"/>
      </w:r>
      <w:r w:rsidRPr="007119D6">
        <w:rPr>
          <w:rFonts w:ascii="Narkisim" w:hAnsi="Narkisim"/>
          <w:rtl/>
        </w:rPr>
        <w:t>. אבל בעדות אשה שמת בעלה אין מי שמכחיש.</w:t>
      </w:r>
    </w:p>
    <w:p w14:paraId="2EBADEC8"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פרמ"ג</w:t>
      </w:r>
      <w:r w:rsidRPr="007119D6">
        <w:rPr>
          <w:rFonts w:ascii="Narkisim" w:hAnsi="Narkisim"/>
          <w:rtl/>
        </w:rPr>
        <w:t xml:space="preserve"> (כלל טביעות עין) כת' דכיון דאשה דייקא ומינסבא לא הוה נגד חזקת אשת איש, ומש"ה מהני סימנים במיתת הבעל. אך הק' דגבי גט ל”ש דייקא ומינסבא, דהאיך תברר אם החליפו את הגט. וע"כ דמהני סימנים אף נגד חזקת אשת איש. ודחה דחשש ב' יוסף בן שמעון הוה חשש דרבנן, ומש"ה לא נחשב כנגד חזקת אשת איש.</w:t>
      </w:r>
    </w:p>
    <w:p w14:paraId="52017559"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(עז ג,ו) כת' דסימנים מהני רק במקום דאי"צ עדות, וסגי בעד א'. וכת' דבהשבת אבידה [לדעת הר”ן חולין שם</w:t>
      </w:r>
      <w:r w:rsidRPr="007119D6">
        <w:rPr>
          <w:rStyle w:val="ac"/>
          <w:rFonts w:ascii="Narkisim" w:hAnsi="Narkisim"/>
          <w:rtl/>
        </w:rPr>
        <w:footnoteReference w:id="8301"/>
      </w:r>
      <w:r w:rsidRPr="007119D6">
        <w:rPr>
          <w:rFonts w:ascii="Narkisim" w:hAnsi="Narkisim"/>
          <w:rtl/>
        </w:rPr>
        <w:t>] מהני עד א', ומש”ה מהני סימנים. וכן בעדות אשה, בתר דתקנו דמשיאין אשה ע"פ ע"א [משום דדייקא ומינסבא], גדר התקנה דהקילו שיהני עד א' כאיסורין [ואפי' עד פסול], וממילא מהני אף סימנים.</w:t>
      </w:r>
    </w:p>
    <w:p w14:paraId="1CFFB73E" w14:textId="77777777" w:rsidR="006C4368" w:rsidRPr="007119D6" w:rsidRDefault="006C4368" w:rsidP="006C4368">
      <w:pPr>
        <w:pStyle w:val="a8"/>
        <w:bidi/>
        <w:rPr>
          <w:rFonts w:ascii="Narkisim" w:hAnsi="Narkisim"/>
        </w:rPr>
      </w:pPr>
      <w:r w:rsidRPr="007119D6">
        <w:rPr>
          <w:rFonts w:ascii="Narkisim" w:hAnsi="Narkisim"/>
          <w:rtl/>
        </w:rPr>
        <w:t>וב</w:t>
      </w:r>
      <w:r w:rsidRPr="007119D6">
        <w:rPr>
          <w:rFonts w:ascii="Narkisim" w:hAnsi="Narkisim"/>
          <w:b/>
          <w:bCs/>
          <w:rtl/>
        </w:rPr>
        <w:t>שו"ת חמד"ש</w:t>
      </w:r>
      <w:r w:rsidRPr="007119D6">
        <w:rPr>
          <w:rFonts w:ascii="Narkisim" w:hAnsi="Narkisim"/>
          <w:rtl/>
        </w:rPr>
        <w:t xml:space="preserve"> (אה"ע כג כה) כת' דלא נחשב דסימנים באים להוציא מחזקה. אלא דקודם הוכרע [ע"י סימנים] שההרוג לפנינו הוא איש זה</w:t>
      </w:r>
      <w:r w:rsidRPr="007119D6">
        <w:rPr>
          <w:rStyle w:val="ac"/>
          <w:rFonts w:ascii="Narkisim" w:hAnsi="Narkisim"/>
          <w:rtl/>
        </w:rPr>
        <w:footnoteReference w:id="8302"/>
      </w:r>
      <w:r w:rsidRPr="007119D6">
        <w:rPr>
          <w:rFonts w:ascii="Narkisim" w:hAnsi="Narkisim"/>
          <w:rtl/>
        </w:rPr>
        <w:t>. [ובזה לא הוה נגד חזקת א"א]. וכיון דנקבע שזהו, העדים רואים אותו מת לפנינו, ומהני נגד חזקת א"א</w:t>
      </w:r>
      <w:r w:rsidRPr="007119D6">
        <w:rPr>
          <w:rStyle w:val="ac"/>
          <w:rFonts w:ascii="Narkisim" w:hAnsi="Narkisim"/>
          <w:rtl/>
        </w:rPr>
        <w:footnoteReference w:id="8303"/>
      </w:r>
      <w:r w:rsidRPr="007119D6">
        <w:rPr>
          <w:rFonts w:ascii="Narkisim" w:hAnsi="Narkisim"/>
          <w:rtl/>
        </w:rPr>
        <w:t>.</w:t>
      </w:r>
    </w:p>
    <w:p w14:paraId="19258C2F" w14:textId="77777777" w:rsidR="006C4368" w:rsidRPr="007119D6" w:rsidRDefault="006C4368" w:rsidP="006C4368">
      <w:pPr>
        <w:bidi/>
        <w:rPr>
          <w:rFonts w:ascii="Narkisim" w:hAnsi="Narkisim" w:cs="Narkisim"/>
        </w:rPr>
      </w:pPr>
      <w:r w:rsidRPr="007119D6">
        <w:rPr>
          <w:rFonts w:ascii="Narkisim" w:hAnsi="Narkisim" w:cs="Narkisim"/>
          <w:u w:val="single"/>
          <w:rtl/>
        </w:rPr>
        <w:t>שם. סימנים לאו דאורייתא</w:t>
      </w:r>
      <w:r w:rsidRPr="007119D6">
        <w:rPr>
          <w:rFonts w:ascii="Narkisim" w:hAnsi="Narkisim" w:cs="Narkisim"/>
          <w:rtl/>
        </w:rPr>
        <w:t>. ו</w:t>
      </w:r>
      <w:r w:rsidRPr="007119D6">
        <w:rPr>
          <w:rFonts w:ascii="Narkisim" w:hAnsi="Narkisim" w:cs="Narkisim"/>
          <w:b/>
          <w:bCs/>
          <w:rtl/>
        </w:rPr>
        <w:t>רש"י</w:t>
      </w:r>
      <w:r w:rsidRPr="007119D6">
        <w:rPr>
          <w:rFonts w:ascii="Narkisim" w:hAnsi="Narkisim" w:cs="Narkisim"/>
          <w:rtl/>
        </w:rPr>
        <w:t xml:space="preserve"> (גיטין כז:) כת' דמספק"ל אי סימנים דאורייתא, הילכך באיסור אשת איש לא סמכינן אסימנין בעלמא, דלמא סימנין דרבנן. ובממונא הוא דמצו רבנן להפקיע דהפקר בי"ד היה הפקר. אבל למישרי איסורא לא מצו רבנן לעקור דבר מן התורה.</w:t>
      </w:r>
    </w:p>
    <w:p w14:paraId="507FA590" w14:textId="77777777" w:rsidR="006C4368" w:rsidRPr="007119D6" w:rsidRDefault="006C4368" w:rsidP="006C4368">
      <w:pPr>
        <w:bidi/>
        <w:rPr>
          <w:rFonts w:ascii="Narkisim" w:hAnsi="Narkisim" w:cs="Narkisim"/>
        </w:rPr>
      </w:pPr>
      <w:r w:rsidRPr="007119D6">
        <w:rPr>
          <w:rFonts w:ascii="Narkisim" w:hAnsi="Narkisim" w:cs="Narkisim"/>
          <w:rtl/>
        </w:rPr>
        <w:t xml:space="preserve">ובפשוטו משמע דעכ"פ מדרבנן מהני סימנים, וכמה </w:t>
      </w:r>
      <w:r w:rsidRPr="007119D6">
        <w:rPr>
          <w:rFonts w:ascii="Narkisim" w:hAnsi="Narkisim" w:cs="Narkisim"/>
          <w:b/>
          <w:bCs/>
          <w:rtl/>
        </w:rPr>
        <w:t>אחרונים</w:t>
      </w:r>
      <w:r w:rsidRPr="007119D6">
        <w:rPr>
          <w:rFonts w:ascii="Narkisim" w:hAnsi="Narkisim" w:cs="Narkisim"/>
          <w:rtl/>
        </w:rPr>
        <w:t xml:space="preserve"> (פנים מאירות ג ב, אבן העוזר, נוב”י ק כט הו' בפתח"ת צט) נקטו עד"ז דבמים שאין להם סוף [דאסורה רק מדרבנן] לכו"ע סמכינן אסימנים</w:t>
      </w:r>
      <w:r w:rsidRPr="007119D6">
        <w:rPr>
          <w:rStyle w:val="ac"/>
          <w:rFonts w:ascii="Narkisim" w:hAnsi="Narkisim" w:cs="Narkisim"/>
          <w:rtl/>
        </w:rPr>
        <w:footnoteReference w:id="8304"/>
      </w:r>
      <w:r w:rsidRPr="007119D6">
        <w:rPr>
          <w:rFonts w:ascii="Narkisim" w:hAnsi="Narkisim" w:cs="Narkisim"/>
          <w:rtl/>
        </w:rPr>
        <w:t>. דסימנים דרבנן מהני לאיסור דרבנן</w:t>
      </w:r>
      <w:r w:rsidRPr="007119D6">
        <w:rPr>
          <w:rStyle w:val="ac"/>
          <w:rFonts w:ascii="Narkisim" w:hAnsi="Narkisim" w:cs="Narkisim"/>
          <w:rtl/>
        </w:rPr>
        <w:footnoteReference w:id="8305"/>
      </w:r>
      <w:r w:rsidRPr="007119D6">
        <w:rPr>
          <w:rFonts w:ascii="Narkisim" w:hAnsi="Narkisim" w:cs="Narkisim"/>
          <w:rtl/>
        </w:rPr>
        <w:t>.</w:t>
      </w:r>
    </w:p>
    <w:p w14:paraId="4BFF71E2" w14:textId="77777777" w:rsidR="006C4368" w:rsidRPr="007119D6" w:rsidRDefault="006C4368" w:rsidP="006C4368">
      <w:pPr>
        <w:pStyle w:val="a7"/>
        <w:bidi/>
        <w:rPr>
          <w:rFonts w:ascii="Narkisim" w:hAnsi="Narkisim"/>
        </w:rPr>
      </w:pPr>
      <w:r w:rsidRPr="007119D6">
        <w:rPr>
          <w:rFonts w:ascii="Narkisim" w:hAnsi="Narkisim"/>
          <w:rtl/>
        </w:rPr>
        <w:lastRenderedPageBreak/>
        <w:t>אך מסקנת ה</w:t>
      </w:r>
      <w:r w:rsidRPr="007119D6">
        <w:rPr>
          <w:rFonts w:ascii="Narkisim" w:hAnsi="Narkisim"/>
          <w:b/>
          <w:bCs/>
          <w:rtl/>
        </w:rPr>
        <w:t>פנ"י</w:t>
      </w:r>
      <w:r w:rsidRPr="007119D6">
        <w:rPr>
          <w:rFonts w:ascii="Narkisim" w:hAnsi="Narkisim"/>
          <w:rtl/>
        </w:rPr>
        <w:t xml:space="preserve"> (גיטין כז:, הו' בסמוך) דלא תקנו סימנים בדבר שעיקרו דאורייתא. [ובשו"ת רע"א ק קז האריך בזה]. וה</w:t>
      </w:r>
      <w:r w:rsidRPr="007119D6">
        <w:rPr>
          <w:rFonts w:ascii="Narkisim" w:hAnsi="Narkisim"/>
          <w:b/>
          <w:bCs/>
          <w:rtl/>
        </w:rPr>
        <w:t>ש"ש</w:t>
      </w:r>
      <w:r w:rsidRPr="007119D6">
        <w:rPr>
          <w:rFonts w:ascii="Narkisim" w:hAnsi="Narkisim"/>
          <w:rtl/>
        </w:rPr>
        <w:t xml:space="preserve"> (ז כג) הביא דמבואר להדיא ב</w:t>
      </w:r>
      <w:r w:rsidRPr="007119D6">
        <w:rPr>
          <w:rFonts w:ascii="Narkisim" w:hAnsi="Narkisim"/>
          <w:b/>
          <w:bCs/>
          <w:rtl/>
        </w:rPr>
        <w:t>ראשונים</w:t>
      </w:r>
      <w:r w:rsidRPr="007119D6">
        <w:rPr>
          <w:rFonts w:ascii="Narkisim" w:hAnsi="Narkisim"/>
          <w:rtl/>
        </w:rPr>
        <w:t xml:space="preserve"> (לקמן קכא. בהעלו רגלו, ולעיל קטו: בשני ת”ח) דל"מ סימן שאינו מובהק במים שאין להם סוף</w:t>
      </w:r>
      <w:r w:rsidRPr="007119D6">
        <w:rPr>
          <w:rStyle w:val="ac"/>
          <w:rFonts w:ascii="Narkisim" w:hAnsi="Narkisim"/>
          <w:rtl/>
        </w:rPr>
        <w:footnoteReference w:id="8306"/>
      </w:r>
      <w:r w:rsidRPr="007119D6">
        <w:rPr>
          <w:rFonts w:ascii="Narkisim" w:hAnsi="Narkisim"/>
          <w:rtl/>
        </w:rPr>
        <w:t>.</w:t>
      </w:r>
    </w:p>
    <w:p w14:paraId="21C0CC83"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פתח"ת</w:t>
      </w:r>
      <w:r w:rsidRPr="007119D6">
        <w:rPr>
          <w:rFonts w:ascii="Narkisim" w:hAnsi="Narkisim"/>
          <w:rtl/>
        </w:rPr>
        <w:t xml:space="preserve"> כת' דלמעשה נראה [כעין פשר דבר] דהיכא דקי"ל דנשאת לא תצא, כמים שאין להם סוף ובכי"ב, יש לסמוך אסימנים בינונים לענין לכתחלה. ואילו בהנהו דתנן 'אין מעידין', דהחמירו בהו מדרבנן גם לענין בדיעבד, בזה ל"מ סימנים.</w:t>
      </w:r>
    </w:p>
    <w:p w14:paraId="7C727628" w14:textId="77777777" w:rsidR="006C4368" w:rsidRPr="007119D6" w:rsidRDefault="006C4368" w:rsidP="006C4368">
      <w:pPr>
        <w:pStyle w:val="aa"/>
        <w:bidi/>
        <w:rPr>
          <w:rFonts w:ascii="Narkisim" w:hAnsi="Narkisim"/>
        </w:rPr>
      </w:pPr>
      <w:r w:rsidRPr="007119D6">
        <w:rPr>
          <w:rFonts w:ascii="Narkisim" w:hAnsi="Narkisim"/>
          <w:rtl/>
        </w:rPr>
        <w:t>וב</w:t>
      </w:r>
      <w:r w:rsidRPr="007119D6">
        <w:rPr>
          <w:rFonts w:ascii="Narkisim" w:hAnsi="Narkisim"/>
          <w:b/>
          <w:bCs/>
          <w:rtl/>
        </w:rPr>
        <w:t>שו"ת עבודת הגרשוני</w:t>
      </w:r>
      <w:r w:rsidRPr="007119D6">
        <w:rPr>
          <w:rFonts w:ascii="Narkisim" w:hAnsi="Narkisim"/>
          <w:rtl/>
        </w:rPr>
        <w:t xml:space="preserve"> (עב, הביאו רע”א) דקדק מסדר המשנה, דהו"ל למתני אע"פ שיש סימנים בגופו ובכליו אחר בבא דאין מעידים עד ג' ימים,  וקאי אתרתי בבות. ורבי דקדק בסדר המשנה להקדים דל"מ סימנים. לדייק דבסיפא בהכרת פנים לאחר ג' ימים מהני סימנים. דהוה חשש בעלמא שמא תפח, ובזה סמכינן על סימן דגופו וכליו.</w:t>
      </w:r>
    </w:p>
    <w:p w14:paraId="4E2BE20E"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ומסקנת הגמ' (שם כח.) אלא אמר רבא סימנין דאורייתא דכתיב והיה עמך עד דרש אחיך אותו, דרשהו אם רמאי הוא וכו' בסימנין ש"מ. ואח"כ אמר רבא את"ל דסימנים דאורייתא [ומשמע דלא פשט דהוה דאורייתא</w:t>
      </w:r>
      <w:r w:rsidRPr="007119D6">
        <w:rPr>
          <w:rStyle w:val="ac"/>
          <w:rFonts w:ascii="Narkisim" w:hAnsi="Narkisim" w:cs="Narkisim"/>
          <w:rtl/>
        </w:rPr>
        <w:footnoteReference w:id="8307"/>
      </w:r>
      <w:r w:rsidRPr="007119D6">
        <w:rPr>
          <w:rFonts w:ascii="Narkisim" w:hAnsi="Narkisim" w:cs="Narkisim"/>
          <w:rtl/>
        </w:rPr>
        <w:t>]. ורב אשי (ב"מ יח: וגיטין כז:) מספק"ל אי סימנים דאורייתא.</w:t>
      </w:r>
    </w:p>
    <w:p w14:paraId="048C00F1"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רי"ף</w:t>
      </w:r>
      <w:r w:rsidRPr="007119D6">
        <w:rPr>
          <w:rFonts w:ascii="Narkisim" w:hAnsi="Narkisim"/>
          <w:rtl/>
        </w:rPr>
        <w:t xml:space="preserve"> והרבה </w:t>
      </w:r>
      <w:r w:rsidRPr="007119D6">
        <w:rPr>
          <w:rFonts w:ascii="Narkisim" w:hAnsi="Narkisim"/>
          <w:b/>
          <w:bCs/>
          <w:rtl/>
        </w:rPr>
        <w:t>ראשונים</w:t>
      </w:r>
      <w:r w:rsidRPr="007119D6">
        <w:rPr>
          <w:rFonts w:ascii="Narkisim" w:hAnsi="Narkisim"/>
          <w:rtl/>
        </w:rPr>
        <w:t xml:space="preserve"> נקטו דלמסקנא הוה ספק אי סימנים דאורייתא, ואין מחזירין גט ע”פ סימנין. אבל ה</w:t>
      </w:r>
      <w:r w:rsidRPr="007119D6">
        <w:rPr>
          <w:rFonts w:ascii="Narkisim" w:hAnsi="Narkisim"/>
          <w:b/>
          <w:bCs/>
          <w:rtl/>
        </w:rPr>
        <w:t>ריטב"א</w:t>
      </w:r>
      <w:r w:rsidRPr="007119D6">
        <w:rPr>
          <w:rFonts w:ascii="Narkisim" w:hAnsi="Narkisim"/>
          <w:rtl/>
        </w:rPr>
        <w:t xml:space="preserve"> הביא בשם </w:t>
      </w:r>
      <w:r w:rsidRPr="007119D6">
        <w:rPr>
          <w:rFonts w:ascii="Narkisim" w:hAnsi="Narkisim"/>
          <w:b/>
          <w:bCs/>
          <w:rtl/>
        </w:rPr>
        <w:t>מורי</w:t>
      </w:r>
      <w:r w:rsidRPr="007119D6">
        <w:rPr>
          <w:rFonts w:ascii="Narkisim" w:hAnsi="Narkisim"/>
          <w:rtl/>
        </w:rPr>
        <w:t xml:space="preserve"> דקי"ל כפשיטותא דרבא, ומחזירין גט בסימן שאינו מובהק.</w:t>
      </w:r>
    </w:p>
    <w:p w14:paraId="0A0CC677"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רמב"ם</w:t>
      </w:r>
      <w:r w:rsidRPr="007119D6">
        <w:rPr>
          <w:rFonts w:ascii="Narkisim" w:hAnsi="Narkisim" w:cs="Narkisim"/>
          <w:rtl/>
        </w:rPr>
        <w:t xml:space="preserve"> (אבידה יג ה) פסק דסימנין המובהקים [ובפשוטו מבואר דהיינו סימנים בינונים</w:t>
      </w:r>
      <w:r w:rsidRPr="007119D6">
        <w:rPr>
          <w:rStyle w:val="ac"/>
          <w:rFonts w:ascii="Narkisim" w:hAnsi="Narkisim" w:cs="Narkisim"/>
          <w:rtl/>
        </w:rPr>
        <w:footnoteReference w:id="8308"/>
      </w:r>
      <w:r w:rsidRPr="007119D6">
        <w:rPr>
          <w:rFonts w:ascii="Narkisim" w:hAnsi="Narkisim" w:cs="Narkisim"/>
          <w:rtl/>
        </w:rPr>
        <w:t>] סומכין עליהם, ודנים עליהם בכל מקום דין תורה. ו</w:t>
      </w:r>
      <w:r w:rsidRPr="007119D6">
        <w:rPr>
          <w:rFonts w:ascii="Narkisim" w:hAnsi="Narkisim" w:cs="Narkisim"/>
          <w:b/>
          <w:bCs/>
          <w:rtl/>
        </w:rPr>
        <w:t>ה"ה</w:t>
      </w:r>
      <w:r w:rsidRPr="007119D6">
        <w:rPr>
          <w:rFonts w:ascii="Narkisim" w:hAnsi="Narkisim" w:cs="Narkisim"/>
          <w:rtl/>
        </w:rPr>
        <w:t xml:space="preserve"> ביאר דקי"ל כאת"ל דרבא דסימנים דאורייתא.</w:t>
      </w:r>
    </w:p>
    <w:p w14:paraId="27267D74"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רמב”ם</w:t>
      </w:r>
      <w:r w:rsidRPr="007119D6">
        <w:rPr>
          <w:rFonts w:ascii="Narkisim" w:hAnsi="Narkisim"/>
          <w:rtl/>
        </w:rPr>
        <w:t xml:space="preserve"> (גירושין יג כא) מבואר דאין משיאין אשה ע"פ סימנים</w:t>
      </w:r>
      <w:r w:rsidRPr="007119D6">
        <w:rPr>
          <w:rStyle w:val="ac"/>
          <w:rFonts w:ascii="Narkisim" w:hAnsi="Narkisim"/>
          <w:rtl/>
        </w:rPr>
        <w:footnoteReference w:id="8309"/>
      </w:r>
      <w:r w:rsidRPr="007119D6">
        <w:rPr>
          <w:rFonts w:ascii="Narkisim" w:hAnsi="Narkisim"/>
          <w:rtl/>
        </w:rPr>
        <w:t>.</w:t>
      </w:r>
    </w:p>
    <w:p w14:paraId="0AA783CA"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רמב"ם</w:t>
      </w:r>
      <w:r w:rsidRPr="007119D6">
        <w:rPr>
          <w:rFonts w:ascii="Narkisim" w:hAnsi="Narkisim" w:cs="Narkisim"/>
          <w:rtl/>
        </w:rPr>
        <w:t xml:space="preserve"> (נחלות ז ג) כת' דאין משיאין ע"י סימנים או מים שאין להם סוף דהחמירו משום איסור כרת, אבל מורידים את היורשים לנחלה</w:t>
      </w:r>
      <w:r w:rsidRPr="007119D6">
        <w:rPr>
          <w:rStyle w:val="ac"/>
          <w:rFonts w:ascii="Narkisim" w:hAnsi="Narkisim" w:cs="Narkisim"/>
          <w:rtl/>
        </w:rPr>
        <w:footnoteReference w:id="8310"/>
      </w:r>
      <w:r w:rsidRPr="007119D6">
        <w:rPr>
          <w:rFonts w:ascii="Narkisim" w:hAnsi="Narkisim" w:cs="Narkisim"/>
          <w:rtl/>
        </w:rPr>
        <w:t>. משמע דס"ל דמדינא מהני סימנים [וס"ל דסימנים דאורייתא], אלא דלענין אשת איש החמירו. וה</w:t>
      </w:r>
      <w:r w:rsidRPr="007119D6">
        <w:rPr>
          <w:rFonts w:ascii="Narkisim" w:hAnsi="Narkisim" w:cs="Narkisim"/>
          <w:b/>
          <w:bCs/>
          <w:rtl/>
        </w:rPr>
        <w:t>אחרונים</w:t>
      </w:r>
      <w:r w:rsidRPr="007119D6">
        <w:rPr>
          <w:rFonts w:ascii="Narkisim" w:hAnsi="Narkisim" w:cs="Narkisim"/>
          <w:rtl/>
        </w:rPr>
        <w:t xml:space="preserve"> הק' דבסוגיין מבואר דלמ"ד סימנים דאורייתא משיאין אשה ע"פ סימנים</w:t>
      </w:r>
      <w:r w:rsidRPr="007119D6">
        <w:rPr>
          <w:rStyle w:val="ac"/>
          <w:rFonts w:ascii="Narkisim" w:hAnsi="Narkisim" w:cs="Narkisim"/>
          <w:rtl/>
        </w:rPr>
        <w:footnoteReference w:id="8311"/>
      </w:r>
      <w:r w:rsidRPr="007119D6">
        <w:rPr>
          <w:rFonts w:ascii="Narkisim" w:hAnsi="Narkisim" w:cs="Narkisim"/>
          <w:rtl/>
        </w:rPr>
        <w:t>.</w:t>
      </w:r>
    </w:p>
    <w:p w14:paraId="57779C25"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קצות</w:t>
      </w:r>
      <w:r w:rsidRPr="007119D6">
        <w:rPr>
          <w:rFonts w:ascii="Narkisim" w:hAnsi="Narkisim"/>
          <w:rtl/>
        </w:rPr>
        <w:t xml:space="preserve"> (רנט) כת' דהרמב"ם פי' דרב אשי (הנ"ל) ס"ל דאיפשיט בסימנים דאורייתא, ואפ"ה נסתפק האם מהני בגט והיתר אשה, דהחמירו באיסור כרת.</w:t>
      </w:r>
    </w:p>
    <w:p w14:paraId="22AE2763" w14:textId="77777777" w:rsidR="006C4368" w:rsidRPr="007119D6" w:rsidRDefault="006C4368" w:rsidP="006C4368">
      <w:pPr>
        <w:bidi/>
        <w:rPr>
          <w:rFonts w:ascii="Narkisim" w:hAnsi="Narkisim" w:cs="Narkisim"/>
        </w:rPr>
      </w:pPr>
      <w:r w:rsidRPr="007119D6">
        <w:rPr>
          <w:rFonts w:ascii="Narkisim" w:hAnsi="Narkisim" w:cs="Narkisim"/>
          <w:u w:val="single"/>
          <w:rtl/>
        </w:rPr>
        <w:t>ורמינהי מצאו קשור בכיס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המביא גט ואבד הימנו. ואפי' שכתוב שם הבעל והאשה חיישינן דהוה גט אחר, וכדאי' (גיטין כז: וב”מ יח) דחיישינן משום תרי יוסף בן שמעון. [עכ”פ במקום שהוחזקו ב' יוסף בן שמעון ושיירות מצויות].</w:t>
      </w:r>
    </w:p>
    <w:p w14:paraId="0E29C2AE"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פנ”י</w:t>
      </w:r>
      <w:r w:rsidRPr="007119D6">
        <w:rPr>
          <w:rFonts w:ascii="Narkisim" w:hAnsi="Narkisim"/>
          <w:rtl/>
        </w:rPr>
        <w:t xml:space="preserve"> (גיטין כז:) הק' דחשש ב' יוסף בן שמעון הוה רק מדרבנן</w:t>
      </w:r>
      <w:r w:rsidRPr="007119D6">
        <w:rPr>
          <w:rStyle w:val="ac"/>
          <w:rFonts w:ascii="Narkisim" w:hAnsi="Narkisim"/>
          <w:rtl/>
        </w:rPr>
        <w:footnoteReference w:id="8312"/>
      </w:r>
      <w:r w:rsidRPr="007119D6">
        <w:rPr>
          <w:rFonts w:ascii="Narkisim" w:hAnsi="Narkisim"/>
          <w:rtl/>
        </w:rPr>
        <w:t>, א”כ נימא דמהני סימנים דרבנן במקום חשש דרבנן</w:t>
      </w:r>
      <w:r w:rsidRPr="007119D6">
        <w:rPr>
          <w:rStyle w:val="ac"/>
          <w:rFonts w:ascii="Narkisim" w:hAnsi="Narkisim"/>
          <w:rtl/>
        </w:rPr>
        <w:footnoteReference w:id="8313"/>
      </w:r>
      <w:r w:rsidRPr="007119D6">
        <w:rPr>
          <w:rFonts w:ascii="Narkisim" w:hAnsi="Narkisim"/>
          <w:rtl/>
        </w:rPr>
        <w:t xml:space="preserve">. והוכיח מהכא דבכל איסור אשת איש דעיקרו דאורייתא לא </w:t>
      </w:r>
      <w:r w:rsidRPr="007119D6">
        <w:rPr>
          <w:rFonts w:ascii="Narkisim" w:hAnsi="Narkisim"/>
          <w:rtl/>
        </w:rPr>
        <w:lastRenderedPageBreak/>
        <w:t>תקנו סימנים. [וע' מה שהו' לעיל].</w:t>
      </w:r>
    </w:p>
    <w:p w14:paraId="731E4C26" w14:textId="77777777" w:rsidR="006C4368" w:rsidRPr="007119D6" w:rsidRDefault="006C4368" w:rsidP="006C4368">
      <w:pPr>
        <w:pStyle w:val="aa"/>
        <w:bidi/>
        <w:rPr>
          <w:rFonts w:ascii="Narkisim" w:hAnsi="Narkisim"/>
        </w:rPr>
      </w:pPr>
      <w:r w:rsidRPr="007119D6">
        <w:rPr>
          <w:rFonts w:ascii="Narkisim" w:hAnsi="Narkisim"/>
          <w:u w:val="single"/>
          <w:rtl/>
        </w:rPr>
        <w:t>תוד"ה שנמצא</w:t>
      </w:r>
      <w:r w:rsidRPr="007119D6">
        <w:rPr>
          <w:rFonts w:ascii="Narkisim" w:hAnsi="Narkisim"/>
          <w:rtl/>
        </w:rPr>
        <w:t>. ואע"ג דרבים מצויים שם וכו' היה לחוש ליוסף בן שמעון. [וכדאי' בסוגיה (גיטין כז: וב"מ יח) דבגט הנמצא במקום שהרבים מצויין חיישינן שמא נפל ממי ששמו כשמו. ואכמ"ל. וע"ע בסוגיה לעיל קטו:].</w:t>
      </w:r>
    </w:p>
    <w:p w14:paraId="6C5C3DD2" w14:textId="77777777" w:rsidR="006C4368" w:rsidRPr="007119D6" w:rsidRDefault="006C4368" w:rsidP="006C4368">
      <w:pPr>
        <w:pStyle w:val="aa"/>
        <w:bidi/>
        <w:rPr>
          <w:rFonts w:ascii="Narkisim" w:hAnsi="Narkisim"/>
        </w:rPr>
      </w:pPr>
      <w:r w:rsidRPr="007119D6">
        <w:rPr>
          <w:rFonts w:ascii="Narkisim" w:hAnsi="Narkisim"/>
          <w:u w:val="single"/>
          <w:rtl/>
        </w:rPr>
        <w:t>תוד"ה אמר</w:t>
      </w:r>
      <w:r w:rsidRPr="007119D6">
        <w:rPr>
          <w:rFonts w:ascii="Narkisim" w:hAnsi="Narkisim"/>
          <w:rtl/>
        </w:rPr>
        <w:t>. וא"ת ברייתא דמצאו קשור בכיס כמאן תוקמא. [דהך ברייתא ס"ל דמחזירין גט ע"פ סימני הכיס]. וה</w:t>
      </w:r>
      <w:r w:rsidRPr="007119D6">
        <w:rPr>
          <w:rFonts w:ascii="Narkisim" w:hAnsi="Narkisim"/>
          <w:b/>
          <w:bCs/>
          <w:rtl/>
        </w:rPr>
        <w:t>ריטב"א</w:t>
      </w:r>
      <w:r w:rsidRPr="007119D6">
        <w:rPr>
          <w:rFonts w:ascii="Narkisim" w:hAnsi="Narkisim"/>
          <w:rtl/>
        </w:rPr>
        <w:t xml:space="preserve"> תי' דהא דאי' 'דכו"ע' הוה אליבא דהנך תנאי בלחוד.</w:t>
      </w:r>
    </w:p>
    <w:p w14:paraId="29BC9069" w14:textId="77777777" w:rsidR="006C4368" w:rsidRPr="007119D6" w:rsidRDefault="006C4368" w:rsidP="006C4368">
      <w:pPr>
        <w:pStyle w:val="aa"/>
        <w:bidi/>
        <w:rPr>
          <w:rFonts w:ascii="Narkisim" w:hAnsi="Narkisim"/>
        </w:rPr>
      </w:pPr>
      <w:r w:rsidRPr="007119D6">
        <w:rPr>
          <w:rFonts w:ascii="Narkisim" w:hAnsi="Narkisim"/>
          <w:u w:val="single"/>
          <w:rtl/>
        </w:rPr>
        <w:t>בא"ד דמיירי שמצאו בעצמו, ומכיר הכיס בטבי"ע ונאמן במיגו וכו'</w:t>
      </w:r>
      <w:r w:rsidRPr="007119D6">
        <w:rPr>
          <w:rFonts w:ascii="Narkisim" w:hAnsi="Narkisim"/>
          <w:rtl/>
        </w:rPr>
        <w:t>. ה</w:t>
      </w:r>
      <w:r w:rsidRPr="007119D6">
        <w:rPr>
          <w:rFonts w:ascii="Narkisim" w:hAnsi="Narkisim"/>
          <w:b/>
          <w:bCs/>
          <w:rtl/>
        </w:rPr>
        <w:t>ש"ש</w:t>
      </w:r>
      <w:r w:rsidRPr="007119D6">
        <w:rPr>
          <w:rFonts w:ascii="Narkisim" w:hAnsi="Narkisim"/>
          <w:rtl/>
        </w:rPr>
        <w:t xml:space="preserve"> (ז כב, הו' בע”ב) הוסיף דאף לצד (בע"ב) דחיישינן לשאלה, איירי שטוען ברי שלא השאיל כיס זה.</w:t>
      </w:r>
    </w:p>
    <w:p w14:paraId="41FCCE02"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ש"ש</w:t>
      </w:r>
      <w:r w:rsidRPr="007119D6">
        <w:rPr>
          <w:rFonts w:ascii="Narkisim" w:hAnsi="Narkisim"/>
          <w:rtl/>
        </w:rPr>
        <w:t xml:space="preserve"> (ז כג) כת' דלצד ב</w:t>
      </w:r>
      <w:r w:rsidRPr="007119D6">
        <w:rPr>
          <w:rFonts w:ascii="Narkisim" w:hAnsi="Narkisim"/>
          <w:b/>
          <w:bCs/>
          <w:rtl/>
        </w:rPr>
        <w:t>אחרונים</w:t>
      </w:r>
      <w:r w:rsidRPr="007119D6">
        <w:rPr>
          <w:rFonts w:ascii="Narkisim" w:hAnsi="Narkisim"/>
          <w:rtl/>
        </w:rPr>
        <w:t xml:space="preserve"> (הו' לעיל) דבמקום דהוה רק חשש דרבנן סמכינן אסימנין מדרבנן, א"כ י"ל דאיירי אף כשמצאו השליח. והשליח פסול להעיד רק מדרבנן משום חשש שישקר מחמת שמפסיד שכרו. וכיון דהוה רק חשש דרבנן סמכי' אסימנים דרבנן.</w:t>
      </w:r>
    </w:p>
    <w:p w14:paraId="1A77EF9B" w14:textId="77777777" w:rsidR="006C4368" w:rsidRPr="007119D6" w:rsidRDefault="006C4368" w:rsidP="006C4368">
      <w:pPr>
        <w:pStyle w:val="aa"/>
        <w:bidi/>
        <w:rPr>
          <w:rFonts w:ascii="Narkisim" w:hAnsi="Narkisim"/>
        </w:rPr>
      </w:pPr>
      <w:r w:rsidRPr="007119D6">
        <w:rPr>
          <w:rFonts w:ascii="Narkisim" w:hAnsi="Narkisim"/>
          <w:u w:val="single"/>
          <w:rtl/>
        </w:rPr>
        <w:t>ואבע"א הכא בשומא העשויה להשתנות לאחר מיתה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(ב"מ כז:) אם השומא היתה שחורה בחייו, במותו נעשית לבנה. או איפוך. וה</w:t>
      </w:r>
      <w:r w:rsidRPr="007119D6">
        <w:rPr>
          <w:rFonts w:ascii="Narkisim" w:hAnsi="Narkisim"/>
          <w:b/>
          <w:bCs/>
          <w:rtl/>
        </w:rPr>
        <w:t>פוסקים</w:t>
      </w:r>
      <w:r w:rsidRPr="007119D6">
        <w:rPr>
          <w:rFonts w:ascii="Narkisim" w:hAnsi="Narkisim"/>
          <w:rtl/>
        </w:rPr>
        <w:t xml:space="preserve"> דנו בכמה אופנים בזה, וע"ע נוב"י (ת נה הו' בפתח"ת צח).</w:t>
      </w:r>
    </w:p>
    <w:p w14:paraId="062FCEBA"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(יז צו) דן האיך משיאין ע"פ סימן מובהק, אף סימן מובהק נימא דאתי להשתנות</w:t>
      </w:r>
      <w:r w:rsidRPr="007119D6">
        <w:rPr>
          <w:rStyle w:val="ac"/>
          <w:rFonts w:ascii="Narkisim" w:hAnsi="Narkisim"/>
          <w:rtl/>
        </w:rPr>
        <w:footnoteReference w:id="8314"/>
      </w:r>
      <w:r w:rsidRPr="007119D6">
        <w:rPr>
          <w:rFonts w:ascii="Narkisim" w:hAnsi="Narkisim"/>
          <w:rtl/>
        </w:rPr>
        <w:t>.</w:t>
      </w:r>
    </w:p>
    <w:p w14:paraId="731A58A2" w14:textId="77777777" w:rsidR="006C4368" w:rsidRPr="007119D6" w:rsidRDefault="006C4368" w:rsidP="006C4368">
      <w:pPr>
        <w:pStyle w:val="3"/>
        <w:bidi/>
        <w:rPr>
          <w:rFonts w:ascii="Narkisim" w:hAnsi="Narkisim"/>
        </w:rPr>
      </w:pPr>
      <w:r w:rsidRPr="007119D6">
        <w:rPr>
          <w:rFonts w:ascii="Narkisim" w:hAnsi="Narkisim"/>
          <w:rtl/>
        </w:rPr>
        <w:t>דף קכ:</w:t>
      </w:r>
    </w:p>
    <w:p w14:paraId="54C73F5A" w14:textId="77777777" w:rsidR="006C4368" w:rsidRPr="007119D6" w:rsidRDefault="006C4368" w:rsidP="006C4368">
      <w:pPr>
        <w:bidi/>
        <w:rPr>
          <w:rFonts w:ascii="Narkisim" w:hAnsi="Narkisim" w:cs="Narkisim"/>
        </w:rPr>
      </w:pPr>
      <w:r w:rsidRPr="007119D6">
        <w:rPr>
          <w:rFonts w:ascii="Narkisim" w:hAnsi="Narkisim" w:cs="Narkisim"/>
          <w:u w:val="single"/>
          <w:rtl/>
        </w:rPr>
        <w:t>כליו, דחיישי' לשאלה</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לאחר השאילה, ואותו אחר ראו שמת.</w:t>
      </w:r>
    </w:p>
    <w:p w14:paraId="7AD64D50" w14:textId="77777777" w:rsidR="006C4368" w:rsidRPr="007119D6" w:rsidRDefault="006C4368" w:rsidP="006C4368">
      <w:pPr>
        <w:bidi/>
        <w:rPr>
          <w:rFonts w:ascii="Narkisim" w:hAnsi="Narkisim" w:cs="Narkisim"/>
        </w:rPr>
      </w:pPr>
      <w:r w:rsidRPr="007119D6">
        <w:rPr>
          <w:rFonts w:ascii="Narkisim" w:hAnsi="Narkisim" w:cs="Narkisim"/>
          <w:rtl/>
        </w:rPr>
        <w:t>ה</w:t>
      </w:r>
      <w:r w:rsidRPr="007119D6">
        <w:rPr>
          <w:rFonts w:ascii="Narkisim" w:hAnsi="Narkisim" w:cs="Narkisim"/>
          <w:b/>
          <w:bCs/>
          <w:rtl/>
        </w:rPr>
        <w:t>נוב"י</w:t>
      </w:r>
      <w:r w:rsidRPr="007119D6">
        <w:rPr>
          <w:rFonts w:ascii="Narkisim" w:hAnsi="Narkisim" w:cs="Narkisim"/>
          <w:rtl/>
        </w:rPr>
        <w:t xml:space="preserve"> (אה"ע ק לז, מג ועוד) הק' אמאי חיישי' לשאלה, הא קי"ל חזקה מה שתחת ידו שלו, והוה חזקה אלימתא. וכיון דנמצא אצל המת אמאי חיישי' לשאלה</w:t>
      </w:r>
      <w:r w:rsidRPr="007119D6">
        <w:rPr>
          <w:rStyle w:val="ac"/>
          <w:rFonts w:ascii="Narkisim" w:hAnsi="Narkisim" w:cs="Narkisim"/>
          <w:rtl/>
        </w:rPr>
        <w:footnoteReference w:id="8315"/>
      </w:r>
      <w:r w:rsidRPr="007119D6">
        <w:rPr>
          <w:rFonts w:ascii="Narkisim" w:hAnsi="Narkisim" w:cs="Narkisim"/>
          <w:rtl/>
        </w:rPr>
        <w:t>. וכת' לדון דמשום חזקת אשה איש אמרי' סמוך מיעוטא דמשאילין לחזקת אשת איש</w:t>
      </w:r>
      <w:r w:rsidRPr="007119D6">
        <w:rPr>
          <w:rStyle w:val="ac"/>
          <w:rFonts w:ascii="Narkisim" w:hAnsi="Narkisim" w:cs="Narkisim"/>
          <w:rtl/>
        </w:rPr>
        <w:footnoteReference w:id="8316"/>
      </w:r>
      <w:r w:rsidRPr="007119D6">
        <w:rPr>
          <w:rFonts w:ascii="Narkisim" w:hAnsi="Narkisim" w:cs="Narkisim"/>
          <w:rtl/>
        </w:rPr>
        <w:t>. אך בגמ' (בסמוך) מבואר דאף בחמור בסימני אוכף דנו לחוש לשאלה.</w:t>
      </w:r>
    </w:p>
    <w:p w14:paraId="0A60EC4E"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(שו"ת חת"ס אה"ע א פ ועוד) תי' דחזקת ממון אינה חזקה המבררת, רק שא"א להוציאו מידו. ועל המוציאו להביא ראיה. אבל לא הוה הוכחה על גוף המעשה. </w:t>
      </w:r>
      <w:r w:rsidRPr="007119D6">
        <w:rPr>
          <w:rFonts w:ascii="Narkisim" w:hAnsi="Narkisim"/>
          <w:szCs w:val="20"/>
          <w:rtl/>
        </w:rPr>
        <w:t xml:space="preserve">ועוד יש </w:t>
      </w:r>
      <w:r w:rsidRPr="007119D6">
        <w:rPr>
          <w:rFonts w:ascii="Narkisim" w:hAnsi="Narkisim"/>
          <w:b/>
          <w:bCs/>
          <w:szCs w:val="20"/>
          <w:rtl/>
        </w:rPr>
        <w:t>אחרונים</w:t>
      </w:r>
      <w:r w:rsidRPr="007119D6">
        <w:rPr>
          <w:rFonts w:ascii="Narkisim" w:hAnsi="Narkisim"/>
          <w:szCs w:val="20"/>
          <w:rtl/>
        </w:rPr>
        <w:t xml:space="preserve"> שדנו דאף דנחשב בירור גמור כלפי גוף המעשה, ל"מ חזקה להוכיח דבר אחר</w:t>
      </w:r>
      <w:r w:rsidRPr="007119D6">
        <w:rPr>
          <w:rStyle w:val="ac"/>
          <w:rFonts w:ascii="Narkisim" w:hAnsi="Narkisim"/>
          <w:szCs w:val="20"/>
          <w:rtl/>
        </w:rPr>
        <w:footnoteReference w:id="8317"/>
      </w:r>
      <w:r w:rsidRPr="007119D6">
        <w:rPr>
          <w:rFonts w:ascii="Narkisim" w:hAnsi="Narkisim"/>
          <w:rtl/>
        </w:rPr>
        <w:t>.</w:t>
      </w:r>
    </w:p>
    <w:p w14:paraId="435611BA"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נתיבות</w:t>
      </w:r>
      <w:r w:rsidRPr="007119D6">
        <w:rPr>
          <w:rFonts w:ascii="Narkisim" w:hAnsi="Narkisim"/>
          <w:rtl/>
        </w:rPr>
        <w:t xml:space="preserve"> (קהלת יעקב יז כד, בשו"ת חמד"ש כד יז) תי' דמת אינו בר קנין</w:t>
      </w:r>
      <w:r w:rsidRPr="007119D6">
        <w:rPr>
          <w:rStyle w:val="ac"/>
          <w:rFonts w:ascii="Narkisim" w:hAnsi="Narkisim"/>
          <w:rtl/>
        </w:rPr>
        <w:footnoteReference w:id="8318"/>
      </w:r>
      <w:r w:rsidRPr="007119D6">
        <w:rPr>
          <w:rFonts w:ascii="Narkisim" w:hAnsi="Narkisim"/>
          <w:rtl/>
        </w:rPr>
        <w:t>, ולא שייך חזקה על מה שתחת ידו</w:t>
      </w:r>
      <w:r w:rsidRPr="007119D6">
        <w:rPr>
          <w:rStyle w:val="ac"/>
          <w:rFonts w:ascii="Narkisim" w:hAnsi="Narkisim"/>
          <w:rtl/>
        </w:rPr>
        <w:footnoteReference w:id="8319"/>
      </w:r>
      <w:r w:rsidRPr="007119D6">
        <w:rPr>
          <w:rFonts w:ascii="Narkisim" w:hAnsi="Narkisim"/>
          <w:rtl/>
        </w:rPr>
        <w:t>. ומש"ה חיישי' לשאלה</w:t>
      </w:r>
      <w:r w:rsidRPr="007119D6">
        <w:rPr>
          <w:rStyle w:val="ac"/>
          <w:rFonts w:ascii="Narkisim" w:hAnsi="Narkisim"/>
          <w:rtl/>
        </w:rPr>
        <w:footnoteReference w:id="8320"/>
      </w:r>
      <w:r w:rsidRPr="007119D6">
        <w:rPr>
          <w:rFonts w:ascii="Narkisim" w:hAnsi="Narkisim"/>
          <w:rtl/>
        </w:rPr>
        <w:t>.</w:t>
      </w:r>
    </w:p>
    <w:p w14:paraId="57F2D88C"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דנו אי חיישי' רק שהשאיל בגדיו, או חוששין אף שמא מכר ונתן בגדיו לאחר [ע' פתח”ת יז צה].</w:t>
      </w:r>
    </w:p>
    <w:p w14:paraId="1A6A53BF" w14:textId="77777777" w:rsidR="006C4368" w:rsidRPr="007119D6" w:rsidRDefault="006C4368" w:rsidP="006C4368">
      <w:pPr>
        <w:pStyle w:val="aa"/>
        <w:bidi/>
        <w:rPr>
          <w:rFonts w:ascii="Narkisim" w:hAnsi="Narkisim"/>
        </w:rPr>
      </w:pPr>
      <w:r w:rsidRPr="007119D6">
        <w:rPr>
          <w:rFonts w:ascii="Narkisim" w:hAnsi="Narkisim"/>
          <w:u w:val="single"/>
          <w:rtl/>
        </w:rPr>
        <w:t>ואי חיישינן לשאלה, חמור בסימני אוכף היכי מהדרינן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דקי"ל (ב"מ כז.) דמהדרינן. ו</w:t>
      </w:r>
      <w:r w:rsidRPr="007119D6">
        <w:rPr>
          <w:rFonts w:ascii="Narkisim" w:hAnsi="Narkisim"/>
          <w:b/>
          <w:bCs/>
          <w:rtl/>
        </w:rPr>
        <w:t>תוס</w:t>
      </w:r>
      <w:r w:rsidRPr="007119D6">
        <w:rPr>
          <w:rFonts w:ascii="Narkisim" w:hAnsi="Narkisim"/>
          <w:rtl/>
        </w:rPr>
        <w:t>' פי' דקו' הגמ' אהא דדרשי' מהפסוק, דחשש שאלה הוה מן התורה</w:t>
      </w:r>
      <w:r w:rsidRPr="007119D6">
        <w:rPr>
          <w:rStyle w:val="ac"/>
          <w:rFonts w:ascii="Narkisim" w:hAnsi="Narkisim"/>
          <w:rtl/>
        </w:rPr>
        <w:footnoteReference w:id="8321"/>
      </w:r>
      <w:r w:rsidRPr="007119D6">
        <w:rPr>
          <w:rFonts w:ascii="Narkisim" w:hAnsi="Narkisim"/>
          <w:rtl/>
        </w:rPr>
        <w:t>, וכלפי דינים דאורייתא</w:t>
      </w:r>
      <w:r w:rsidRPr="007119D6">
        <w:rPr>
          <w:rStyle w:val="ac"/>
          <w:rFonts w:ascii="Narkisim" w:hAnsi="Narkisim"/>
          <w:rtl/>
        </w:rPr>
        <w:footnoteReference w:id="8322"/>
      </w:r>
      <w:r w:rsidRPr="007119D6">
        <w:rPr>
          <w:rFonts w:ascii="Narkisim" w:hAnsi="Narkisim"/>
          <w:rtl/>
        </w:rPr>
        <w:t>. ועוד הביא ה</w:t>
      </w:r>
      <w:r w:rsidRPr="007119D6">
        <w:rPr>
          <w:rFonts w:ascii="Narkisim" w:hAnsi="Narkisim"/>
          <w:b/>
          <w:bCs/>
          <w:rtl/>
        </w:rPr>
        <w:t>רמב"ן</w:t>
      </w:r>
      <w:r w:rsidRPr="007119D6">
        <w:rPr>
          <w:rFonts w:ascii="Narkisim" w:hAnsi="Narkisim"/>
          <w:rtl/>
        </w:rPr>
        <w:t xml:space="preserve"> (ב"מ שם) צד דקו' הגמ' מהא דמחזירין את האוכף לבעל החמור.</w:t>
      </w:r>
    </w:p>
    <w:p w14:paraId="7C1B748A"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ראשונים</w:t>
      </w:r>
      <w:r w:rsidRPr="007119D6">
        <w:rPr>
          <w:rFonts w:ascii="Narkisim" w:hAnsi="Narkisim"/>
          <w:rtl/>
        </w:rPr>
        <w:t xml:space="preserve"> (ב"מ שם) הק' דמ"מ ניחוש למכירה, שהמוכר יודע סימני החפץ ושמא נפל מהלוקח והמוכר תובעו. ולעולם היכי מחזירין ע"פ סימנים בלא עדי נפילה. וה</w:t>
      </w:r>
      <w:r w:rsidRPr="007119D6">
        <w:rPr>
          <w:rFonts w:ascii="Narkisim" w:hAnsi="Narkisim"/>
          <w:b/>
          <w:bCs/>
          <w:rtl/>
        </w:rPr>
        <w:t>רמב"ן</w:t>
      </w:r>
      <w:r w:rsidRPr="007119D6">
        <w:rPr>
          <w:rFonts w:ascii="Narkisim" w:hAnsi="Narkisim"/>
          <w:rtl/>
        </w:rPr>
        <w:t xml:space="preserve"> (שם) תי' [בתי' הא'] דמ"מ היתה שלו, ועומדת בחזקתו. ומשום חששא בעלמא אין מוציאין מרשותו.</w:t>
      </w:r>
    </w:p>
    <w:p w14:paraId="4452CE24" w14:textId="77777777" w:rsidR="006C4368" w:rsidRPr="007119D6" w:rsidRDefault="006C4368" w:rsidP="006C4368">
      <w:pPr>
        <w:pStyle w:val="a8"/>
        <w:bidi/>
        <w:rPr>
          <w:rFonts w:ascii="Narkisim" w:hAnsi="Narkisim"/>
        </w:rPr>
      </w:pPr>
      <w:r w:rsidRPr="007119D6">
        <w:rPr>
          <w:rFonts w:ascii="Narkisim" w:hAnsi="Narkisim"/>
          <w:rtl/>
        </w:rPr>
        <w:t>ועוד תי' (בסו"ד שם) דמנא ידע המוכר שאבד הלוקח החפץ ההוא. אך א"כ אף בחשש שאלה, מנא ידע המשאיל שנפל מהשואל. וה</w:t>
      </w:r>
      <w:r w:rsidRPr="007119D6">
        <w:rPr>
          <w:rFonts w:ascii="Narkisim" w:hAnsi="Narkisim"/>
          <w:b/>
          <w:bCs/>
          <w:rtl/>
        </w:rPr>
        <w:t>רמב"ן</w:t>
      </w:r>
      <w:r w:rsidRPr="007119D6">
        <w:rPr>
          <w:rFonts w:ascii="Narkisim" w:hAnsi="Narkisim"/>
          <w:rtl/>
        </w:rPr>
        <w:t xml:space="preserve"> ביאר דחיישינן שהמשאיל ידע, שאם השואל אבדו טוען למשאיל שאבד, וחייב שבועה </w:t>
      </w:r>
      <w:r w:rsidRPr="007119D6">
        <w:rPr>
          <w:rFonts w:ascii="Narkisim" w:hAnsi="Narkisim"/>
          <w:rtl/>
        </w:rPr>
        <w:lastRenderedPageBreak/>
        <w:t>שאבד ואינה ברשותו ומשלם. ומש"ה חיישינן שהמשאיל שומע את המכריז ויתבע מהמוצא</w:t>
      </w:r>
      <w:r w:rsidRPr="007119D6">
        <w:rPr>
          <w:rStyle w:val="ac"/>
          <w:rFonts w:ascii="Narkisim" w:hAnsi="Narkisim"/>
          <w:rtl/>
        </w:rPr>
        <w:footnoteReference w:id="8323"/>
      </w:r>
      <w:r w:rsidRPr="007119D6">
        <w:rPr>
          <w:rFonts w:ascii="Narkisim" w:hAnsi="Narkisim"/>
          <w:rtl/>
        </w:rPr>
        <w:t>. אבל במכר ומתנה ל"ש חשש זה.</w:t>
      </w:r>
    </w:p>
    <w:p w14:paraId="37BB063B" w14:textId="77777777" w:rsidR="006C4368" w:rsidRPr="007119D6" w:rsidRDefault="006C4368" w:rsidP="006C4368">
      <w:pPr>
        <w:pStyle w:val="a8"/>
        <w:bidi/>
        <w:rPr>
          <w:rFonts w:ascii="Narkisim" w:hAnsi="Narkisim"/>
        </w:rPr>
      </w:pPr>
      <w:r w:rsidRPr="007119D6">
        <w:rPr>
          <w:rFonts w:ascii="Narkisim" w:hAnsi="Narkisim"/>
          <w:rtl/>
        </w:rPr>
        <w:t xml:space="preserve">והרמב"ן הביא </w:t>
      </w:r>
      <w:r w:rsidRPr="007119D6">
        <w:rPr>
          <w:rFonts w:ascii="Narkisim" w:hAnsi="Narkisim"/>
          <w:b/>
          <w:bCs/>
          <w:rtl/>
        </w:rPr>
        <w:t>י"א</w:t>
      </w:r>
      <w:r w:rsidRPr="007119D6">
        <w:rPr>
          <w:rFonts w:ascii="Narkisim" w:hAnsi="Narkisim"/>
          <w:rtl/>
        </w:rPr>
        <w:t xml:space="preserve"> דלעולם מחזירין למי שנותן סימנים, ואין חוששין לו לא לשאלה ולא למכירה. שאם השאילו או מכרו לאחר מנין הוא יודע שאבד ממנו אותו חפץ. וקו' הגמ' דוקא היכא דמחזירין ע"פ עדי אוכף, וניחוש לשאלה ואף דהחמור הוה שלו, האוכף אינו שלו. אך הרמב"ן דחה דגירסת הגמ' בסימני אוכף</w:t>
      </w:r>
      <w:r w:rsidRPr="007119D6">
        <w:rPr>
          <w:rStyle w:val="ac"/>
          <w:rFonts w:ascii="Narkisim" w:hAnsi="Narkisim"/>
          <w:rtl/>
        </w:rPr>
        <w:footnoteReference w:id="8324"/>
      </w:r>
      <w:r w:rsidRPr="007119D6">
        <w:rPr>
          <w:rFonts w:ascii="Narkisim" w:hAnsi="Narkisim"/>
          <w:rtl/>
        </w:rPr>
        <w:t>.</w:t>
      </w:r>
    </w:p>
    <w:p w14:paraId="1CEAE665"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ריטב"א ישנים</w:t>
      </w:r>
      <w:r w:rsidRPr="007119D6">
        <w:rPr>
          <w:rFonts w:ascii="Narkisim" w:hAnsi="Narkisim"/>
          <w:rtl/>
        </w:rPr>
        <w:t xml:space="preserve"> (ב"מ שם) כת' דבשאר אבידה לא חיישי' לשאלה, כיון דהכריזו ולא בא אחר, ולא הטריחו באבידה יותר מדי. [ולפ"ז דוקא הכריזו].</w:t>
      </w:r>
    </w:p>
    <w:p w14:paraId="7A9565D0" w14:textId="77777777" w:rsidR="006C4368" w:rsidRPr="007119D6" w:rsidRDefault="006C4368" w:rsidP="006C4368">
      <w:pPr>
        <w:pStyle w:val="aa"/>
        <w:bidi/>
        <w:rPr>
          <w:rFonts w:ascii="Narkisim" w:hAnsi="Narkisim"/>
        </w:rPr>
      </w:pPr>
      <w:r w:rsidRPr="007119D6">
        <w:rPr>
          <w:rFonts w:ascii="Narkisim" w:hAnsi="Narkisim"/>
          <w:u w:val="single"/>
          <w:rtl/>
        </w:rPr>
        <w:t>תוד"ה כליו</w:t>
      </w:r>
      <w:r w:rsidRPr="007119D6">
        <w:rPr>
          <w:rFonts w:ascii="Narkisim" w:hAnsi="Narkisim"/>
          <w:rtl/>
        </w:rPr>
        <w:t xml:space="preserve"> (הב'). וא"ת מצא פירות בכלי וכו' ואמאי לא חיישינן לשאלה וכו'. ועוד תי' ה</w:t>
      </w:r>
      <w:r w:rsidRPr="007119D6">
        <w:rPr>
          <w:rFonts w:ascii="Narkisim" w:hAnsi="Narkisim"/>
          <w:b/>
          <w:bCs/>
          <w:rtl/>
        </w:rPr>
        <w:t>רמב"ן</w:t>
      </w:r>
      <w:r w:rsidRPr="007119D6">
        <w:rPr>
          <w:rFonts w:ascii="Narkisim" w:hAnsi="Narkisim"/>
          <w:rtl/>
        </w:rPr>
        <w:t xml:space="preserve"> ע"פ </w:t>
      </w:r>
      <w:r w:rsidRPr="007119D6">
        <w:rPr>
          <w:rFonts w:ascii="Narkisim" w:hAnsi="Narkisim"/>
          <w:b/>
          <w:bCs/>
          <w:rtl/>
        </w:rPr>
        <w:t>י"א</w:t>
      </w:r>
      <w:r w:rsidRPr="007119D6">
        <w:rPr>
          <w:rFonts w:ascii="Narkisim" w:hAnsi="Narkisim"/>
          <w:rtl/>
        </w:rPr>
        <w:t xml:space="preserve"> (הנ"ל) דע"פ סימנים לא חיישינן לשאלה, דהאיך ידע שנפל ממנו. וקו' הגמ' דוקא בעדי אוכף.</w:t>
      </w:r>
    </w:p>
    <w:p w14:paraId="506FD472" w14:textId="77777777" w:rsidR="006C4368" w:rsidRPr="007119D6" w:rsidRDefault="006C4368" w:rsidP="006C4368">
      <w:pPr>
        <w:bidi/>
        <w:rPr>
          <w:rFonts w:ascii="Narkisim" w:hAnsi="Narkisim" w:cs="Narkisim"/>
        </w:rPr>
      </w:pPr>
      <w:r w:rsidRPr="007119D6">
        <w:rPr>
          <w:rFonts w:ascii="Narkisim" w:hAnsi="Narkisim" w:cs="Narkisim"/>
          <w:u w:val="single"/>
          <w:rtl/>
        </w:rPr>
        <w:t>בא"ד וי"ל וכו' אבל בממון לא חיישינן לשאלה</w:t>
      </w:r>
      <w:r w:rsidRPr="007119D6">
        <w:rPr>
          <w:rStyle w:val="ac"/>
          <w:rFonts w:ascii="Narkisim" w:hAnsi="Narkisim" w:cs="Narkisim"/>
          <w:rtl/>
        </w:rPr>
        <w:footnoteReference w:id="8325"/>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xml:space="preserve"> (ב"מ כ:) פי' דתקון רבנן דלא חיישינן</w:t>
      </w:r>
      <w:r w:rsidRPr="007119D6">
        <w:rPr>
          <w:rStyle w:val="ac"/>
          <w:rFonts w:ascii="Narkisim" w:hAnsi="Narkisim" w:cs="Narkisim"/>
          <w:rtl/>
        </w:rPr>
        <w:footnoteReference w:id="8326"/>
      </w:r>
      <w:r w:rsidRPr="007119D6">
        <w:rPr>
          <w:rFonts w:ascii="Narkisim" w:hAnsi="Narkisim" w:cs="Narkisim"/>
          <w:rtl/>
        </w:rPr>
        <w:t>, וכמו שתקנו להחזיר אבידה לצד דסימנין לאו דאורייתא. וכהמשך דברי התוס' דידן.</w:t>
      </w:r>
    </w:p>
    <w:p w14:paraId="6D360B3A" w14:textId="77777777" w:rsidR="006C4368" w:rsidRPr="007119D6" w:rsidRDefault="006C4368" w:rsidP="006C4368">
      <w:pPr>
        <w:bidi/>
        <w:rPr>
          <w:rFonts w:ascii="Narkisim" w:hAnsi="Narkisim" w:cs="Narkisim"/>
        </w:rPr>
      </w:pPr>
      <w:r w:rsidRPr="007119D6">
        <w:rPr>
          <w:rFonts w:ascii="Narkisim" w:hAnsi="Narkisim" w:cs="Narkisim"/>
          <w:rtl/>
        </w:rPr>
        <w:t>אבל ה</w:t>
      </w:r>
      <w:r w:rsidRPr="007119D6">
        <w:rPr>
          <w:rFonts w:ascii="Narkisim" w:hAnsi="Narkisim" w:cs="Narkisim"/>
          <w:b/>
          <w:bCs/>
          <w:rtl/>
        </w:rPr>
        <w:t>ש"ך</w:t>
      </w:r>
      <w:r w:rsidRPr="007119D6">
        <w:rPr>
          <w:rFonts w:ascii="Narkisim" w:hAnsi="Narkisim" w:cs="Narkisim"/>
          <w:rtl/>
        </w:rPr>
        <w:t xml:space="preserve"> (חו"מ סה כו) כת' דאינו מוכרח, דלא מצאנו בגמ' שחילקו בזה בין איסור לממון. ועוה"ק ה</w:t>
      </w:r>
      <w:r w:rsidRPr="007119D6">
        <w:rPr>
          <w:rFonts w:ascii="Narkisim" w:hAnsi="Narkisim" w:cs="Narkisim"/>
          <w:b/>
          <w:bCs/>
          <w:rtl/>
        </w:rPr>
        <w:t>אחרונים</w:t>
      </w:r>
      <w:r w:rsidRPr="007119D6">
        <w:rPr>
          <w:rFonts w:ascii="Narkisim" w:hAnsi="Narkisim" w:cs="Narkisim"/>
          <w:rtl/>
        </w:rPr>
        <w:t xml:space="preserve"> דהכא קאי כמ"ד דסימנים דאורייתא, ומבואר (בב"מ כח.) דלמד כן דלא מסתבר לו דתקנו תקנ"ח.</w:t>
      </w:r>
    </w:p>
    <w:p w14:paraId="4D59ACE6"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ש"ך</w:t>
      </w:r>
      <w:r w:rsidRPr="007119D6">
        <w:rPr>
          <w:rFonts w:ascii="Narkisim" w:hAnsi="Narkisim"/>
          <w:rtl/>
        </w:rPr>
        <w:t xml:space="preserve"> כת' י”ל דאיירי בכלים שאין דרכם להשאיל. [וע"ד דברי ריב"ן בתוס' לעיל].</w:t>
      </w:r>
    </w:p>
    <w:p w14:paraId="044AE513" w14:textId="77777777" w:rsidR="006C4368" w:rsidRPr="007119D6" w:rsidRDefault="006C4368" w:rsidP="006C4368">
      <w:pPr>
        <w:pStyle w:val="a8"/>
        <w:bidi/>
        <w:rPr>
          <w:rFonts w:ascii="Narkisim" w:hAnsi="Narkisim"/>
        </w:rPr>
      </w:pPr>
      <w:r w:rsidRPr="007119D6">
        <w:rPr>
          <w:rFonts w:ascii="Narkisim" w:hAnsi="Narkisim"/>
          <w:rtl/>
        </w:rPr>
        <w:t>ועוד תי' הש"ך דהמשנה איירי שמכריז סתם שטרות או פירות מצאתי, וזה אומר בחפיסה או בדלוסקמא או בכלי פלוני מצאתם.</w:t>
      </w:r>
    </w:p>
    <w:p w14:paraId="4842C47F" w14:textId="77777777" w:rsidR="006C4368" w:rsidRPr="007119D6" w:rsidRDefault="006C4368" w:rsidP="006C4368">
      <w:pPr>
        <w:pStyle w:val="aa"/>
        <w:bidi/>
        <w:rPr>
          <w:rFonts w:ascii="Narkisim" w:hAnsi="Narkisim"/>
        </w:rPr>
      </w:pPr>
      <w:r w:rsidRPr="007119D6">
        <w:rPr>
          <w:rFonts w:ascii="Narkisim" w:hAnsi="Narkisim"/>
          <w:u w:val="single"/>
          <w:rtl/>
        </w:rPr>
        <w:t>בא"ד אבל מדרבנן לא חיישינן לשאלה</w:t>
      </w:r>
      <w:r w:rsidRPr="007119D6">
        <w:rPr>
          <w:rFonts w:ascii="Narkisim" w:hAnsi="Narkisim"/>
          <w:rtl/>
        </w:rPr>
        <w:t>. בפשוטו הוה המשך מהנ"ל, דבממון תקנו שלא לחוש לשאלה. אבל בהיתר אשה, אף במקום דהוה חשש דרבנן חיישינן [דלא תקנו בזה]. וה</w:t>
      </w:r>
      <w:r w:rsidRPr="007119D6">
        <w:rPr>
          <w:rFonts w:ascii="Narkisim" w:hAnsi="Narkisim"/>
          <w:b/>
          <w:bCs/>
          <w:rtl/>
        </w:rPr>
        <w:t>מראות צובאות</w:t>
      </w:r>
      <w:r w:rsidRPr="007119D6">
        <w:rPr>
          <w:rFonts w:ascii="Narkisim" w:hAnsi="Narkisim"/>
          <w:rtl/>
        </w:rPr>
        <w:t xml:space="preserve"> (צ, ציינו הפתח"ת צה) דן בנידון דרבנן, וכגון מים שאין להם סוף וכדו', האם חששו לשאלה. ודן דבמילי דרבנן לא חששו לשאלה. וע"ד מה שדנו הפוסקים דבמילי דרבנן מהני סימנים אמצעים [סימנים דרבנן].</w:t>
      </w:r>
    </w:p>
    <w:p w14:paraId="447917A0"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מג, הו' בפתח"ת שם) כת' דחשש שאלה הוא רק ספק, ובמילי דרבנן סמכינן לקולא. ועוד דכיון דבממון ודאי לא חיישי' לשאלה, איסור דרבנן לא חמיר מממון.</w:t>
      </w:r>
    </w:p>
    <w:p w14:paraId="748C26A5" w14:textId="77777777" w:rsidR="006C4368" w:rsidRPr="007119D6" w:rsidRDefault="006C4368" w:rsidP="006C4368">
      <w:pPr>
        <w:pStyle w:val="a8"/>
        <w:bidi/>
        <w:rPr>
          <w:rFonts w:ascii="Narkisim" w:hAnsi="Narkisim"/>
        </w:rPr>
      </w:pPr>
      <w:r w:rsidRPr="007119D6">
        <w:rPr>
          <w:rFonts w:ascii="Narkisim" w:hAnsi="Narkisim"/>
          <w:rtl/>
        </w:rPr>
        <w:t>אך מדברי ה</w:t>
      </w:r>
      <w:r w:rsidRPr="007119D6">
        <w:rPr>
          <w:rFonts w:ascii="Narkisim" w:hAnsi="Narkisim"/>
          <w:b/>
          <w:bCs/>
          <w:rtl/>
        </w:rPr>
        <w:t>רמ"א</w:t>
      </w:r>
      <w:r w:rsidRPr="007119D6">
        <w:rPr>
          <w:rFonts w:ascii="Narkisim" w:hAnsi="Narkisim"/>
          <w:rtl/>
        </w:rPr>
        <w:t xml:space="preserve"> (יז לב) משמע דאף במים שאין להם סוף חיישינן לשאלה. [וע' פתח"ת הנ"ל].</w:t>
      </w:r>
    </w:p>
    <w:p w14:paraId="3FB379C2" w14:textId="77777777" w:rsidR="006C4368" w:rsidRPr="007119D6" w:rsidRDefault="006C4368" w:rsidP="006C4368">
      <w:pPr>
        <w:bidi/>
        <w:rPr>
          <w:rFonts w:ascii="Narkisim" w:hAnsi="Narkisim" w:cs="Narkisim"/>
        </w:rPr>
      </w:pPr>
      <w:r w:rsidRPr="007119D6">
        <w:rPr>
          <w:rFonts w:ascii="Narkisim" w:hAnsi="Narkisim" w:cs="Narkisim"/>
          <w:u w:val="single"/>
          <w:rtl/>
        </w:rPr>
        <w:t>כיס וארנקי מנחשי אינשי</w:t>
      </w:r>
      <w:r w:rsidRPr="007119D6">
        <w:rPr>
          <w:rStyle w:val="ac"/>
          <w:rFonts w:ascii="Narkisim" w:hAnsi="Narkisim" w:cs="Narkisim"/>
          <w:u w:val="single"/>
          <w:rtl/>
        </w:rPr>
        <w:footnoteReference w:id="8327"/>
      </w:r>
      <w:r w:rsidRPr="007119D6">
        <w:rPr>
          <w:rFonts w:ascii="Narkisim" w:hAnsi="Narkisim" w:cs="Narkisim"/>
          <w:u w:val="single"/>
          <w:rtl/>
        </w:rPr>
        <w:t>, ולא מושלי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(ב”מ כז:) כת' ש"מ דבעדי מיתה מעידין ע"פ כלים אלו, ואפי' למ"ד סימנין לאו דאורייתא. דהא סמכינן עלייהו לאהדורי גט אשה ולא חששו לשאלה.</w:t>
      </w:r>
    </w:p>
    <w:p w14:paraId="6352DE04" w14:textId="77777777" w:rsidR="006C4368" w:rsidRPr="007119D6" w:rsidRDefault="006C4368" w:rsidP="006C4368">
      <w:pPr>
        <w:pStyle w:val="a7"/>
        <w:bidi/>
        <w:rPr>
          <w:rFonts w:ascii="Narkisim" w:hAnsi="Narkisim"/>
        </w:rPr>
      </w:pPr>
      <w:r w:rsidRPr="007119D6">
        <w:rPr>
          <w:rFonts w:ascii="Narkisim" w:hAnsi="Narkisim"/>
          <w:rtl/>
        </w:rPr>
        <w:t>אבל ב</w:t>
      </w:r>
      <w:r w:rsidRPr="007119D6">
        <w:rPr>
          <w:rFonts w:ascii="Narkisim" w:hAnsi="Narkisim"/>
          <w:b/>
          <w:bCs/>
          <w:rtl/>
        </w:rPr>
        <w:t>שו"ת בית יוסף</w:t>
      </w:r>
      <w:r w:rsidRPr="007119D6">
        <w:rPr>
          <w:rFonts w:ascii="Narkisim" w:hAnsi="Narkisim"/>
          <w:rtl/>
        </w:rPr>
        <w:t xml:space="preserve"> </w:t>
      </w:r>
      <w:r w:rsidRPr="007119D6">
        <w:rPr>
          <w:rFonts w:ascii="Narkisim" w:hAnsi="Narkisim"/>
          <w:szCs w:val="20"/>
          <w:rtl/>
        </w:rPr>
        <w:t>(מסל”ת ז, הו' בבי”ש יז סט ובאר היטב עא)</w:t>
      </w:r>
      <w:r w:rsidRPr="007119D6">
        <w:rPr>
          <w:rFonts w:ascii="Narkisim" w:hAnsi="Narkisim"/>
          <w:rtl/>
        </w:rPr>
        <w:t xml:space="preserve"> כת' דהפוסקים השמיטו הא דלא מושלי איניש</w:t>
      </w:r>
      <w:r w:rsidRPr="007119D6">
        <w:rPr>
          <w:rStyle w:val="ac"/>
          <w:rFonts w:ascii="Narkisim" w:hAnsi="Narkisim"/>
          <w:rtl/>
        </w:rPr>
        <w:footnoteReference w:id="8328"/>
      </w:r>
      <w:r w:rsidRPr="007119D6">
        <w:rPr>
          <w:rFonts w:ascii="Narkisim" w:hAnsi="Narkisim"/>
          <w:rtl/>
        </w:rPr>
        <w:t xml:space="preserve">. וביאר דלא קי"ל כהך תי', דקאי כמ”ד דסימנים דאורייתא. אבל אנן קי"ל סימנים לאו דאורייתא, ומש”ה חיישינן לזה. </w:t>
      </w:r>
      <w:r w:rsidRPr="007119D6">
        <w:rPr>
          <w:rFonts w:ascii="Narkisim" w:hAnsi="Narkisim"/>
          <w:szCs w:val="20"/>
          <w:rtl/>
        </w:rPr>
        <w:t>והב"י הוסיף די"ל דהברייתא דמצאו קשור בכיס איירי שהוא עצמו מצאו דיש לו מיגו, וכתי' התוס' (בע"א ד"ה אמר). ואילו בעדות אשה ליכא מיגו</w:t>
      </w:r>
      <w:r w:rsidRPr="007119D6">
        <w:rPr>
          <w:rStyle w:val="ac"/>
          <w:rFonts w:ascii="Narkisim" w:hAnsi="Narkisim"/>
          <w:szCs w:val="20"/>
          <w:rtl/>
        </w:rPr>
        <w:footnoteReference w:id="8329"/>
      </w:r>
      <w:r w:rsidRPr="007119D6">
        <w:rPr>
          <w:rFonts w:ascii="Narkisim" w:hAnsi="Narkisim"/>
          <w:szCs w:val="20"/>
          <w:rtl/>
        </w:rPr>
        <w:t>.</w:t>
      </w:r>
    </w:p>
    <w:p w14:paraId="7D1C37C9"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(הו' בסמוך) ביאר דלמ"ד סימנים לאו דאורייתא חיישינן לשאלה [אפי' בהנך כלים], משום דבעינן </w:t>
      </w:r>
      <w:r w:rsidRPr="007119D6">
        <w:rPr>
          <w:rFonts w:ascii="Narkisim" w:hAnsi="Narkisim"/>
          <w:rtl/>
        </w:rPr>
        <w:lastRenderedPageBreak/>
        <w:t>סימנים מובהקים ביותר</w:t>
      </w:r>
      <w:r w:rsidRPr="007119D6">
        <w:rPr>
          <w:rStyle w:val="ac"/>
          <w:rFonts w:ascii="Narkisim" w:hAnsi="Narkisim"/>
          <w:rtl/>
        </w:rPr>
        <w:footnoteReference w:id="8330"/>
      </w:r>
      <w:r w:rsidRPr="007119D6">
        <w:rPr>
          <w:rFonts w:ascii="Narkisim" w:hAnsi="Narkisim"/>
          <w:rtl/>
        </w:rPr>
        <w:t>. ואילו סוגיין כמ”ד סימנים דאורייתא.</w:t>
      </w:r>
    </w:p>
    <w:p w14:paraId="3E950F48" w14:textId="77777777" w:rsidR="006C4368" w:rsidRPr="007119D6" w:rsidRDefault="006C4368" w:rsidP="006C4368">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פתח”ת</w:t>
      </w:r>
      <w:r w:rsidRPr="007119D6">
        <w:rPr>
          <w:rFonts w:ascii="Narkisim" w:hAnsi="Narkisim"/>
          <w:rtl/>
        </w:rPr>
        <w:t xml:space="preserve"> (שם) הביא פוסקים דלמ"ד חיישינן לשאלה, חיישי' אף לגניבה ואבידה</w:t>
      </w:r>
      <w:r w:rsidRPr="007119D6">
        <w:rPr>
          <w:rStyle w:val="ac"/>
          <w:rFonts w:ascii="Narkisim" w:hAnsi="Narkisim"/>
          <w:rtl/>
        </w:rPr>
        <w:footnoteReference w:id="8331"/>
      </w:r>
      <w:r w:rsidRPr="007119D6">
        <w:rPr>
          <w:rFonts w:ascii="Narkisim" w:hAnsi="Narkisim"/>
          <w:rtl/>
        </w:rPr>
        <w:t>. והפתח"ת הק' א"כ מה תי' הגמ' כיס וארנקי לא מושלי אינשי, אכתי ניחוש לגניבה ואבידה</w:t>
      </w:r>
      <w:r w:rsidRPr="007119D6">
        <w:rPr>
          <w:rStyle w:val="ac"/>
          <w:rFonts w:ascii="Narkisim" w:hAnsi="Narkisim"/>
          <w:rtl/>
        </w:rPr>
        <w:footnoteReference w:id="8332"/>
      </w:r>
      <w:r w:rsidRPr="007119D6">
        <w:rPr>
          <w:rFonts w:ascii="Narkisim" w:hAnsi="Narkisim"/>
          <w:rtl/>
        </w:rPr>
        <w:t>.</w:t>
      </w:r>
    </w:p>
    <w:p w14:paraId="77782155" w14:textId="77777777" w:rsidR="006C4368" w:rsidRPr="007119D6" w:rsidRDefault="006C4368" w:rsidP="006C4368">
      <w:pPr>
        <w:pStyle w:val="aa"/>
        <w:bidi/>
        <w:rPr>
          <w:rFonts w:ascii="Narkisim" w:hAnsi="Narkisim"/>
        </w:rPr>
      </w:pPr>
      <w:r w:rsidRPr="007119D6">
        <w:rPr>
          <w:rFonts w:ascii="Narkisim" w:hAnsi="Narkisim"/>
          <w:u w:val="single"/>
          <w:rtl/>
        </w:rPr>
        <w:t>רש"י ד”ה מנחשי</w:t>
      </w:r>
      <w:r w:rsidRPr="007119D6">
        <w:rPr>
          <w:rFonts w:ascii="Narkisim" w:hAnsi="Narkisim"/>
          <w:rtl/>
        </w:rPr>
        <w:t>. או שנמצא בין כליו וכו' כלי תשמישי ביתו שאין דרך להשאילם. ודוקא מלבושים דרך להשאיל</w:t>
      </w:r>
      <w:r w:rsidRPr="007119D6">
        <w:rPr>
          <w:rStyle w:val="ac"/>
          <w:rFonts w:ascii="Narkisim" w:hAnsi="Narkisim"/>
          <w:rtl/>
        </w:rPr>
        <w:footnoteReference w:id="8333"/>
      </w:r>
      <w:r w:rsidRPr="007119D6">
        <w:rPr>
          <w:rFonts w:ascii="Narkisim" w:hAnsi="Narkisim"/>
          <w:rtl/>
        </w:rPr>
        <w:t>. [וה</w:t>
      </w:r>
      <w:r w:rsidRPr="007119D6">
        <w:rPr>
          <w:rFonts w:ascii="Narkisim" w:hAnsi="Narkisim"/>
          <w:b/>
          <w:bCs/>
          <w:rtl/>
        </w:rPr>
        <w:t>פוסקים</w:t>
      </w:r>
      <w:r w:rsidRPr="007119D6">
        <w:rPr>
          <w:rFonts w:ascii="Narkisim" w:hAnsi="Narkisim"/>
          <w:rtl/>
        </w:rPr>
        <w:t xml:space="preserve"> (ע' פתח"ת יז צה) האריכו טובא בכמה אופנים האם חיישינן לשאלה שהחליף כל בגדיו וכו'. ואכמ"ל].</w:t>
      </w:r>
    </w:p>
    <w:p w14:paraId="56A3B476" w14:textId="77777777" w:rsidR="006C4368" w:rsidRPr="007119D6" w:rsidRDefault="006C4368" w:rsidP="006C4368">
      <w:pPr>
        <w:bidi/>
        <w:rPr>
          <w:rFonts w:ascii="Narkisim" w:hAnsi="Narkisim" w:cs="Narkisim"/>
        </w:rPr>
      </w:pPr>
      <w:r w:rsidRPr="007119D6">
        <w:rPr>
          <w:rFonts w:ascii="Narkisim" w:hAnsi="Narkisim" w:cs="Narkisim"/>
          <w:u w:val="single"/>
          <w:rtl/>
        </w:rPr>
        <w:t>ואיבע"א כליו בחיורי וסומקי</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כת' דלהך תי' לעולם לא חיישינן לשאלה. וכ"כ ה</w:t>
      </w:r>
      <w:r w:rsidRPr="007119D6">
        <w:rPr>
          <w:rFonts w:ascii="Narkisim" w:hAnsi="Narkisim" w:cs="Narkisim"/>
          <w:b/>
          <w:bCs/>
          <w:rtl/>
        </w:rPr>
        <w:t>ריטב"א</w:t>
      </w:r>
      <w:r w:rsidRPr="007119D6">
        <w:rPr>
          <w:rFonts w:ascii="Narkisim" w:hAnsi="Narkisim" w:cs="Narkisim"/>
          <w:rtl/>
        </w:rPr>
        <w:t xml:space="preserve"> (ונמוק"י כאן, וכן חי' הר”ן ב”מ שם), וכת' דכן הלכתא דלשאלה לא חיישינן. וכ"כ </w:t>
      </w:r>
      <w:r w:rsidRPr="007119D6">
        <w:rPr>
          <w:rFonts w:ascii="Narkisim" w:hAnsi="Narkisim" w:cs="Narkisim"/>
          <w:b/>
          <w:bCs/>
          <w:rtl/>
        </w:rPr>
        <w:t>תוס'</w:t>
      </w:r>
      <w:r w:rsidRPr="007119D6">
        <w:rPr>
          <w:rFonts w:ascii="Narkisim" w:hAnsi="Narkisim" w:cs="Narkisim"/>
          <w:rtl/>
        </w:rPr>
        <w:t xml:space="preserve"> (סוד"ה כליו הב') דלמסקנא לא חיישינן לשאלה אפי' באיסור</w:t>
      </w:r>
      <w:r w:rsidRPr="007119D6">
        <w:rPr>
          <w:rStyle w:val="ac"/>
          <w:rFonts w:ascii="Narkisim" w:hAnsi="Narkisim" w:cs="Narkisim"/>
          <w:rtl/>
        </w:rPr>
        <w:footnoteReference w:id="8334"/>
      </w:r>
      <w:r w:rsidRPr="007119D6">
        <w:rPr>
          <w:rFonts w:ascii="Narkisim" w:hAnsi="Narkisim" w:cs="Narkisim"/>
          <w:rtl/>
        </w:rPr>
        <w:t>.</w:t>
      </w:r>
    </w:p>
    <w:p w14:paraId="614EF300" w14:textId="77777777" w:rsidR="006C4368" w:rsidRPr="007119D6" w:rsidRDefault="006C4368" w:rsidP="006C4368">
      <w:pPr>
        <w:pStyle w:val="a7"/>
        <w:bidi/>
        <w:rPr>
          <w:rFonts w:ascii="Narkisim" w:hAnsi="Narkisim"/>
        </w:rPr>
      </w:pPr>
      <w:r w:rsidRPr="007119D6">
        <w:rPr>
          <w:rFonts w:ascii="Narkisim" w:hAnsi="Narkisim"/>
          <w:rtl/>
        </w:rPr>
        <w:t>אבל ב</w:t>
      </w:r>
      <w:r w:rsidRPr="007119D6">
        <w:rPr>
          <w:rFonts w:ascii="Narkisim" w:hAnsi="Narkisim"/>
          <w:b/>
          <w:bCs/>
          <w:rtl/>
        </w:rPr>
        <w:t>שו"ת הרא"ש</w:t>
      </w:r>
      <w:r w:rsidRPr="007119D6">
        <w:rPr>
          <w:rFonts w:ascii="Narkisim" w:hAnsi="Narkisim"/>
          <w:rtl/>
        </w:rPr>
        <w:t xml:space="preserve"> (נא ו) וה</w:t>
      </w:r>
      <w:r w:rsidRPr="007119D6">
        <w:rPr>
          <w:rFonts w:ascii="Narkisim" w:hAnsi="Narkisim"/>
          <w:b/>
          <w:bCs/>
          <w:rtl/>
        </w:rPr>
        <w:t>שו"ע</w:t>
      </w:r>
      <w:r w:rsidRPr="007119D6">
        <w:rPr>
          <w:rFonts w:ascii="Narkisim" w:hAnsi="Narkisim"/>
          <w:rtl/>
        </w:rPr>
        <w:t xml:space="preserve"> (יז כד, וקלב ד גבי גט שנאבד) פסקו דחוששין לשאלה</w:t>
      </w:r>
      <w:r w:rsidRPr="007119D6">
        <w:rPr>
          <w:rStyle w:val="ac"/>
          <w:rFonts w:ascii="Narkisim" w:hAnsi="Narkisim"/>
          <w:rtl/>
        </w:rPr>
        <w:footnoteReference w:id="8335"/>
      </w:r>
      <w:r w:rsidRPr="007119D6">
        <w:rPr>
          <w:rFonts w:ascii="Narkisim" w:hAnsi="Narkisim"/>
          <w:rtl/>
        </w:rPr>
        <w:t>.</w:t>
      </w:r>
    </w:p>
    <w:p w14:paraId="2CCD2290"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בי"ש</w:t>
      </w:r>
      <w:r w:rsidRPr="007119D6">
        <w:rPr>
          <w:rFonts w:ascii="Narkisim" w:hAnsi="Narkisim" w:cs="Narkisim"/>
          <w:rtl/>
        </w:rPr>
        <w:t xml:space="preserve"> (סט) הביא בשם ה</w:t>
      </w:r>
      <w:r w:rsidRPr="007119D6">
        <w:rPr>
          <w:rFonts w:ascii="Narkisim" w:hAnsi="Narkisim" w:cs="Narkisim"/>
          <w:b/>
          <w:bCs/>
          <w:rtl/>
        </w:rPr>
        <w:t>מהר"ל מפראג</w:t>
      </w:r>
      <w:r w:rsidRPr="007119D6">
        <w:rPr>
          <w:rStyle w:val="ac"/>
          <w:rFonts w:ascii="Narkisim" w:hAnsi="Narkisim" w:cs="Narkisim"/>
          <w:rtl/>
        </w:rPr>
        <w:footnoteReference w:id="8336"/>
      </w:r>
      <w:r w:rsidRPr="007119D6">
        <w:rPr>
          <w:rFonts w:ascii="Narkisim" w:hAnsi="Narkisim" w:cs="Narkisim"/>
          <w:rtl/>
        </w:rPr>
        <w:t xml:space="preserve"> דדוקא למ"ד סימנים דאורייתא נתחדש דחיישינן לשאלה. ואילו למ"ד סימנים לאו דאורייתא לא חיישינן. ואף דקי"ל דחיישינן לתרוייהו, דהוה ספק אי סימנים דאורייתא. מ"מ היכא דמכירין כליו, ויש ג"כ סימן בינוני בגופו, מתירין ממ"נ</w:t>
      </w:r>
      <w:r w:rsidRPr="007119D6">
        <w:rPr>
          <w:rStyle w:val="ac"/>
          <w:rFonts w:ascii="Narkisim" w:hAnsi="Narkisim" w:cs="Narkisim"/>
          <w:rtl/>
        </w:rPr>
        <w:footnoteReference w:id="8337"/>
      </w:r>
      <w:r w:rsidRPr="007119D6">
        <w:rPr>
          <w:rFonts w:ascii="Narkisim" w:hAnsi="Narkisim" w:cs="Narkisim"/>
          <w:rtl/>
        </w:rPr>
        <w:t>.</w:t>
      </w:r>
    </w:p>
    <w:p w14:paraId="54B3C6CD"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כת' דאינו מוכרח, די"ל דכ”ש למ”ד סימנים לאו דאורייתא בעינן סימנים מובהקים ביותר. והיכא דיש חשש שאלה לא נחשב מובהק ביותר</w:t>
      </w:r>
      <w:r w:rsidRPr="007119D6">
        <w:rPr>
          <w:rStyle w:val="ac"/>
          <w:rFonts w:ascii="Narkisim" w:hAnsi="Narkisim"/>
          <w:rtl/>
        </w:rPr>
        <w:footnoteReference w:id="8338"/>
      </w:r>
      <w:r w:rsidRPr="007119D6">
        <w:rPr>
          <w:rFonts w:ascii="Narkisim" w:hAnsi="Narkisim"/>
          <w:rtl/>
        </w:rPr>
        <w:t>. [והביא דברי שו"ת בית יוסף הנ”ל דלמ”ד סימנים לאו דאורייתא חיישינן טפי לשאלה].</w:t>
      </w:r>
    </w:p>
    <w:p w14:paraId="0FDE942C" w14:textId="77777777" w:rsidR="006C4368" w:rsidRPr="007119D6" w:rsidRDefault="006C4368" w:rsidP="006C4368">
      <w:pPr>
        <w:pStyle w:val="2"/>
        <w:bidi/>
        <w:rPr>
          <w:rFonts w:ascii="Narkisim" w:hAnsi="Narkisim"/>
        </w:rPr>
      </w:pPr>
      <w:r w:rsidRPr="007119D6">
        <w:rPr>
          <w:rFonts w:ascii="Narkisim" w:hAnsi="Narkisim"/>
          <w:rtl/>
        </w:rPr>
        <w:t>מגוייד</w:t>
      </w:r>
    </w:p>
    <w:p w14:paraId="68E70C76" w14:textId="77777777" w:rsidR="006C4368" w:rsidRPr="007119D6" w:rsidRDefault="006C4368" w:rsidP="006C4368">
      <w:pPr>
        <w:pStyle w:val="aa"/>
        <w:bidi/>
        <w:rPr>
          <w:rFonts w:ascii="Narkisim" w:hAnsi="Narkisim"/>
        </w:rPr>
      </w:pPr>
      <w:r w:rsidRPr="007119D6">
        <w:rPr>
          <w:rFonts w:ascii="Narkisim" w:hAnsi="Narkisim"/>
          <w:u w:val="single"/>
          <w:rtl/>
        </w:rPr>
        <w:t>אדם אינו מטמא עד שתצא נפשו וכו' ואפי' גוסס וכו'</w:t>
      </w:r>
      <w:r w:rsidRPr="007119D6">
        <w:rPr>
          <w:rFonts w:ascii="Narkisim" w:hAnsi="Narkisim"/>
          <w:rtl/>
        </w:rPr>
        <w:t>. אך דעת ר"ל (נזיר מג.) [אליבא דת”ק שם] כהן מוזהר מפני גוסס, דמחללו. והגמ' תי' דאינו מטמא עד שיצא נפשו, אבל אתחולי איתחיל.</w:t>
      </w:r>
    </w:p>
    <w:p w14:paraId="02D5F8B7" w14:textId="77777777" w:rsidR="006C4368" w:rsidRPr="007119D6" w:rsidRDefault="006C4368" w:rsidP="006C4368">
      <w:pPr>
        <w:bidi/>
        <w:rPr>
          <w:rFonts w:ascii="Narkisim" w:hAnsi="Narkisim" w:cs="Narkisim"/>
        </w:rPr>
      </w:pPr>
      <w:r w:rsidRPr="007119D6">
        <w:rPr>
          <w:rFonts w:ascii="Narkisim" w:hAnsi="Narkisim" w:cs="Narkisim"/>
          <w:u w:val="single"/>
          <w:rtl/>
        </w:rPr>
        <w:t>תוד"ה למימרא</w:t>
      </w:r>
      <w:r w:rsidRPr="007119D6">
        <w:rPr>
          <w:rFonts w:ascii="Narkisim" w:hAnsi="Narkisim" w:cs="Narkisim"/>
          <w:rtl/>
        </w:rPr>
        <w:t>. תימה הא קתני בה גוסס וכו' מיעוטן חיין וכו'. וה</w:t>
      </w:r>
      <w:r w:rsidRPr="007119D6">
        <w:rPr>
          <w:rFonts w:ascii="Narkisim" w:hAnsi="Narkisim" w:cs="Narkisim"/>
          <w:b/>
          <w:bCs/>
          <w:rtl/>
        </w:rPr>
        <w:t>רמב”ן</w:t>
      </w:r>
      <w:r w:rsidRPr="007119D6">
        <w:rPr>
          <w:rFonts w:ascii="Narkisim" w:hAnsi="Narkisim" w:cs="Narkisim"/>
          <w:rtl/>
        </w:rPr>
        <w:t xml:space="preserve"> תי' דגוסס ס”ד שיטמא כיון דבידי שמים ורובן למיתה. אבל מגוייד אילו היה אפשר דחיי פשיטא דדינו כבריא. א"נ איידי דקתני מגוייד תנא גוסס.</w:t>
      </w:r>
    </w:p>
    <w:p w14:paraId="65B342E5" w14:textId="77777777" w:rsidR="006C4368" w:rsidRPr="007119D6" w:rsidRDefault="006C4368" w:rsidP="006C4368">
      <w:pPr>
        <w:bidi/>
        <w:rPr>
          <w:rFonts w:ascii="Narkisim" w:hAnsi="Narkisim" w:cs="Narkisim"/>
        </w:rPr>
      </w:pPr>
      <w:r w:rsidRPr="007119D6">
        <w:rPr>
          <w:rFonts w:ascii="Narkisim" w:hAnsi="Narkisim" w:cs="Narkisim"/>
          <w:u w:val="single"/>
          <w:rtl/>
        </w:rPr>
        <w:t>בא"ד ותנן נמי אין מעידין על הגוסס</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הק' דל"מ משנה או ברייתא כזו. והערול"נ כת' דכוונת התוס' למשנה דאין מעידין עד שתצא נפשו, וע"כ איירי בגוסס. וה</w:t>
      </w:r>
      <w:r w:rsidRPr="007119D6">
        <w:rPr>
          <w:rFonts w:ascii="Narkisim" w:hAnsi="Narkisim" w:cs="Narkisim"/>
          <w:b/>
          <w:bCs/>
          <w:rtl/>
        </w:rPr>
        <w:t>תו"י</w:t>
      </w:r>
      <w:r w:rsidRPr="007119D6">
        <w:rPr>
          <w:rFonts w:ascii="Narkisim" w:hAnsi="Narkisim" w:cs="Narkisim"/>
          <w:rtl/>
        </w:rPr>
        <w:t xml:space="preserve"> כת' דהא ודאי אין מעידין על הגוסס.</w:t>
      </w:r>
    </w:p>
    <w:p w14:paraId="291A30CC" w14:textId="77777777" w:rsidR="006C4368" w:rsidRPr="007119D6" w:rsidRDefault="006C4368" w:rsidP="006C4368">
      <w:pPr>
        <w:bidi/>
        <w:rPr>
          <w:rFonts w:ascii="Narkisim" w:hAnsi="Narkisim" w:cs="Narkisim"/>
        </w:rPr>
      </w:pPr>
      <w:r w:rsidRPr="007119D6">
        <w:rPr>
          <w:rFonts w:ascii="Narkisim" w:hAnsi="Narkisim" w:cs="Narkisim"/>
          <w:rtl/>
        </w:rPr>
        <w:lastRenderedPageBreak/>
        <w:t>ו</w:t>
      </w:r>
      <w:r w:rsidRPr="007119D6">
        <w:rPr>
          <w:rFonts w:ascii="Narkisim" w:hAnsi="Narkisim" w:cs="Narkisim"/>
          <w:b/>
          <w:bCs/>
          <w:rtl/>
        </w:rPr>
        <w:t>תוס</w:t>
      </w:r>
      <w:r w:rsidRPr="007119D6">
        <w:rPr>
          <w:rFonts w:ascii="Narkisim" w:hAnsi="Narkisim" w:cs="Narkisim"/>
          <w:rtl/>
        </w:rPr>
        <w:t>' (בכורות כ:, והרא"ש שם ג ב) הביאו דלא אזלי' בתר רוב להעיד על הגוסס, אלא חיישינן למיעוטא</w:t>
      </w:r>
      <w:r w:rsidRPr="007119D6">
        <w:rPr>
          <w:rStyle w:val="ac"/>
          <w:rFonts w:ascii="Narkisim" w:hAnsi="Narkisim" w:cs="Narkisim"/>
          <w:rtl/>
        </w:rPr>
        <w:footnoteReference w:id="8339"/>
      </w:r>
      <w:r w:rsidRPr="007119D6">
        <w:rPr>
          <w:rFonts w:ascii="Narkisim" w:hAnsi="Narkisim" w:cs="Narkisim"/>
          <w:rtl/>
        </w:rPr>
        <w:t xml:space="preserve">. וכן </w:t>
      </w:r>
      <w:r w:rsidRPr="007119D6">
        <w:rPr>
          <w:rFonts w:ascii="Narkisim" w:hAnsi="Narkisim" w:cs="Narkisim"/>
          <w:b/>
          <w:bCs/>
          <w:rtl/>
        </w:rPr>
        <w:t>תוס'</w:t>
      </w:r>
      <w:r w:rsidRPr="007119D6">
        <w:rPr>
          <w:rFonts w:ascii="Narkisim" w:hAnsi="Narkisim" w:cs="Narkisim"/>
          <w:rtl/>
        </w:rPr>
        <w:t xml:space="preserve"> (לקמן קכא.) כת' דאין מעידין ע"פ רוב גוססין, וחיישינן ולא תנשא לכתחילה</w:t>
      </w:r>
      <w:r w:rsidRPr="007119D6">
        <w:rPr>
          <w:rStyle w:val="ac"/>
          <w:rFonts w:ascii="Narkisim" w:hAnsi="Narkisim" w:cs="Narkisim"/>
          <w:rtl/>
        </w:rPr>
        <w:footnoteReference w:id="8340"/>
      </w:r>
      <w:r w:rsidRPr="007119D6">
        <w:rPr>
          <w:rFonts w:ascii="Narkisim" w:hAnsi="Narkisim" w:cs="Narkisim"/>
          <w:rtl/>
        </w:rPr>
        <w:t>. [ע"ע לקמן קכא. גבי מים שאין בהם סוף].</w:t>
      </w:r>
    </w:p>
    <w:p w14:paraId="6CCED846" w14:textId="77777777" w:rsidR="006C4368" w:rsidRPr="007119D6" w:rsidRDefault="006C4368" w:rsidP="006C4368">
      <w:pPr>
        <w:bidi/>
        <w:rPr>
          <w:rFonts w:ascii="Narkisim" w:hAnsi="Narkisim" w:cs="Narkisim"/>
        </w:rPr>
      </w:pPr>
      <w:r w:rsidRPr="007119D6">
        <w:rPr>
          <w:rFonts w:ascii="Narkisim" w:hAnsi="Narkisim" w:cs="Narkisim"/>
          <w:rtl/>
        </w:rPr>
        <w:t>אמנם ה</w:t>
      </w:r>
      <w:r w:rsidRPr="007119D6">
        <w:rPr>
          <w:rFonts w:ascii="Narkisim" w:hAnsi="Narkisim" w:cs="Narkisim"/>
          <w:b/>
          <w:bCs/>
          <w:rtl/>
        </w:rPr>
        <w:t>בי"ש</w:t>
      </w:r>
      <w:r w:rsidRPr="007119D6">
        <w:rPr>
          <w:rFonts w:ascii="Narkisim" w:hAnsi="Narkisim" w:cs="Narkisim"/>
          <w:rtl/>
        </w:rPr>
        <w:t xml:space="preserve"> (יז צד בסופו, ושם יח) כת' דאם הוא גוסס ג' ימים מעידים עליו. וציין וכדאי' (</w:t>
      </w:r>
      <w:r w:rsidRPr="007119D6">
        <w:rPr>
          <w:rFonts w:ascii="Narkisim" w:hAnsi="Narkisim" w:cs="Narkisim"/>
          <w:b/>
          <w:bCs/>
          <w:rtl/>
        </w:rPr>
        <w:t>שו"ע</w:t>
      </w:r>
      <w:r w:rsidRPr="007119D6">
        <w:rPr>
          <w:rFonts w:ascii="Narkisim" w:hAnsi="Narkisim" w:cs="Narkisim"/>
          <w:rtl/>
        </w:rPr>
        <w:t xml:space="preserve"> יו"ד שלט ב) דאמרו לו דקרובו גוסס לאחר ג' ימים צריך להתאבל. דודאי כבר מת</w:t>
      </w:r>
      <w:r w:rsidRPr="007119D6">
        <w:rPr>
          <w:rStyle w:val="ac"/>
          <w:rFonts w:ascii="Narkisim" w:hAnsi="Narkisim" w:cs="Narkisim"/>
          <w:rtl/>
        </w:rPr>
        <w:footnoteReference w:id="8341"/>
      </w:r>
      <w:r w:rsidRPr="007119D6">
        <w:rPr>
          <w:rFonts w:ascii="Narkisim" w:hAnsi="Narkisim" w:cs="Narkisim"/>
          <w:rtl/>
        </w:rPr>
        <w:t xml:space="preserve">. </w:t>
      </w:r>
      <w:r w:rsidRPr="007119D6">
        <w:rPr>
          <w:rFonts w:ascii="Narkisim" w:hAnsi="Narkisim" w:cs="Narkisim"/>
          <w:szCs w:val="20"/>
          <w:rtl/>
        </w:rPr>
        <w:t>[וה</w:t>
      </w:r>
      <w:r w:rsidRPr="007119D6">
        <w:rPr>
          <w:rFonts w:ascii="Narkisim" w:hAnsi="Narkisim" w:cs="Narkisim"/>
          <w:b/>
          <w:bCs/>
          <w:szCs w:val="20"/>
          <w:rtl/>
        </w:rPr>
        <w:t>אחרונים</w:t>
      </w:r>
      <w:r w:rsidRPr="007119D6">
        <w:rPr>
          <w:rFonts w:ascii="Narkisim" w:hAnsi="Narkisim" w:cs="Narkisim"/>
          <w:szCs w:val="20"/>
          <w:rtl/>
        </w:rPr>
        <w:t xml:space="preserve"> ביארו כוונתו דקי"ל (יז ה, ויו”ד שעה ז) דאסורה להתאבל עליו באופן שאשתו אסורה לינשא, דיש לחוש שתלמד עפ"ז להנשא</w:t>
      </w:r>
      <w:r w:rsidRPr="007119D6">
        <w:rPr>
          <w:rStyle w:val="ac"/>
          <w:rFonts w:ascii="Narkisim" w:hAnsi="Narkisim" w:cs="Narkisim"/>
          <w:szCs w:val="20"/>
          <w:rtl/>
        </w:rPr>
        <w:footnoteReference w:id="8342"/>
      </w:r>
      <w:r w:rsidRPr="007119D6">
        <w:rPr>
          <w:rFonts w:ascii="Narkisim" w:hAnsi="Narkisim" w:cs="Narkisim"/>
          <w:szCs w:val="20"/>
          <w:rtl/>
        </w:rPr>
        <w:t>. וע”כ דכה”ג מתירין לינשא</w:t>
      </w:r>
      <w:r w:rsidRPr="007119D6">
        <w:rPr>
          <w:rStyle w:val="ac"/>
          <w:rFonts w:ascii="Narkisim" w:hAnsi="Narkisim" w:cs="Narkisim"/>
          <w:szCs w:val="20"/>
          <w:rtl/>
        </w:rPr>
        <w:footnoteReference w:id="8343"/>
      </w:r>
      <w:r w:rsidRPr="007119D6">
        <w:rPr>
          <w:rFonts w:ascii="Narkisim" w:hAnsi="Narkisim" w:cs="Narkisim"/>
          <w:szCs w:val="20"/>
          <w:rtl/>
        </w:rPr>
        <w:t>]</w:t>
      </w:r>
      <w:r w:rsidRPr="007119D6">
        <w:rPr>
          <w:rFonts w:ascii="Narkisim" w:hAnsi="Narkisim" w:cs="Narkisim"/>
          <w:rtl/>
        </w:rPr>
        <w:t>.</w:t>
      </w:r>
    </w:p>
    <w:p w14:paraId="564BF149"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דגו"מ</w:t>
      </w:r>
      <w:r w:rsidRPr="007119D6">
        <w:rPr>
          <w:rFonts w:ascii="Narkisim" w:hAnsi="Narkisim"/>
          <w:rtl/>
        </w:rPr>
        <w:t xml:space="preserve"> (סעיף לא) ושאר </w:t>
      </w:r>
      <w:r w:rsidRPr="007119D6">
        <w:rPr>
          <w:rFonts w:ascii="Narkisim" w:hAnsi="Narkisim"/>
          <w:b/>
          <w:bCs/>
          <w:rtl/>
        </w:rPr>
        <w:t>אחרונים</w:t>
      </w:r>
      <w:r w:rsidRPr="007119D6">
        <w:rPr>
          <w:rStyle w:val="ac"/>
          <w:rFonts w:ascii="Narkisim" w:hAnsi="Narkisim"/>
          <w:rtl/>
        </w:rPr>
        <w:footnoteReference w:id="8344"/>
      </w:r>
      <w:r w:rsidRPr="007119D6">
        <w:rPr>
          <w:rFonts w:ascii="Narkisim" w:hAnsi="Narkisim"/>
          <w:rtl/>
        </w:rPr>
        <w:t xml:space="preserve"> תמהו דודאי אין מעידין על הגוסס, אף לענין לאחר ג' ימים</w:t>
      </w:r>
      <w:r w:rsidRPr="007119D6">
        <w:rPr>
          <w:rStyle w:val="ac"/>
          <w:rFonts w:ascii="Narkisim" w:hAnsi="Narkisim"/>
          <w:rtl/>
        </w:rPr>
        <w:footnoteReference w:id="8345"/>
      </w:r>
      <w:r w:rsidRPr="007119D6">
        <w:rPr>
          <w:rFonts w:ascii="Narkisim" w:hAnsi="Narkisim"/>
          <w:rtl/>
        </w:rPr>
        <w:t>.</w:t>
      </w:r>
    </w:p>
    <w:p w14:paraId="3A74611A" w14:textId="77777777" w:rsidR="006C4368" w:rsidRPr="007119D6" w:rsidRDefault="006C4368" w:rsidP="006C4368">
      <w:pPr>
        <w:pStyle w:val="aa"/>
        <w:bidi/>
        <w:rPr>
          <w:rFonts w:ascii="Narkisim" w:hAnsi="Narkisim"/>
        </w:rPr>
      </w:pPr>
      <w:r w:rsidRPr="007119D6">
        <w:rPr>
          <w:rFonts w:ascii="Narkisim" w:hAnsi="Narkisim"/>
          <w:rtl/>
        </w:rPr>
        <w:t>אך ה</w:t>
      </w:r>
      <w:r w:rsidRPr="007119D6">
        <w:rPr>
          <w:rFonts w:ascii="Narkisim" w:hAnsi="Narkisim"/>
          <w:b/>
          <w:bCs/>
          <w:rtl/>
        </w:rPr>
        <w:t>בי"ש</w:t>
      </w:r>
      <w:r w:rsidRPr="007119D6">
        <w:rPr>
          <w:rFonts w:ascii="Narkisim" w:hAnsi="Narkisim"/>
          <w:rtl/>
        </w:rPr>
        <w:t xml:space="preserve"> (לעיל שם) הביא דברי התוס' דגוסס מגוייד מעידין עליו. וה</w:t>
      </w:r>
      <w:r w:rsidRPr="007119D6">
        <w:rPr>
          <w:rFonts w:ascii="Narkisim" w:hAnsi="Narkisim"/>
          <w:b/>
          <w:bCs/>
          <w:rtl/>
        </w:rPr>
        <w:t>פתח"ת</w:t>
      </w:r>
      <w:r w:rsidRPr="007119D6">
        <w:rPr>
          <w:rFonts w:ascii="Narkisim" w:hAnsi="Narkisim"/>
          <w:rtl/>
        </w:rPr>
        <w:t xml:space="preserve"> (שם קלא) הק' דאף בלא מגוייד. וכת' דלשון הבי"ש קצת משמע דדוקא דידעינן שהיה גוסס כל ג' ימים, ולפ"ז כוונתו דכיון דנמשך גסיסתו ג' ימים ודאי ימות</w:t>
      </w:r>
      <w:r w:rsidRPr="007119D6">
        <w:rPr>
          <w:rStyle w:val="ac"/>
          <w:rFonts w:ascii="Narkisim" w:hAnsi="Narkisim"/>
          <w:rtl/>
        </w:rPr>
        <w:footnoteReference w:id="8346"/>
      </w:r>
      <w:r w:rsidRPr="007119D6">
        <w:rPr>
          <w:rFonts w:ascii="Narkisim" w:hAnsi="Narkisim"/>
          <w:rtl/>
        </w:rPr>
        <w:t>. [וגוסס מגוייד אף קודם שנמשך גסיסתו]. אך א"כ צ"ב מה הביא ראיה מאבילות</w:t>
      </w:r>
      <w:r w:rsidRPr="007119D6">
        <w:rPr>
          <w:rStyle w:val="ac"/>
          <w:rFonts w:ascii="Narkisim" w:hAnsi="Narkisim"/>
          <w:rtl/>
        </w:rPr>
        <w:footnoteReference w:id="8347"/>
      </w:r>
      <w:r w:rsidRPr="007119D6">
        <w:rPr>
          <w:rFonts w:ascii="Narkisim" w:hAnsi="Narkisim"/>
          <w:rtl/>
        </w:rPr>
        <w:t>.</w:t>
      </w:r>
    </w:p>
    <w:p w14:paraId="1DBDE549" w14:textId="77777777" w:rsidR="006C4368" w:rsidRPr="007119D6" w:rsidRDefault="006C4368" w:rsidP="006C4368">
      <w:pPr>
        <w:bidi/>
        <w:rPr>
          <w:rFonts w:ascii="Narkisim" w:hAnsi="Narkisim" w:cs="Narkisim"/>
        </w:rPr>
      </w:pPr>
      <w:r w:rsidRPr="007119D6">
        <w:rPr>
          <w:rFonts w:ascii="Narkisim" w:hAnsi="Narkisim" w:cs="Narkisim"/>
          <w:u w:val="single"/>
          <w:rtl/>
        </w:rPr>
        <w:t>בא"ד כיון שהוא גוסס ע"י אדם לא חיי וכו'</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ציינו דכוונת התוס' לגמ' (סנהדרין עח.) בב' הכהו בזה אחר זה, והראשון עשאו גוסס. דלת"ק שניהם פטורים. ולר' יהודה בן בתירא האחרון חייב. והגמ' פי' דנח' דלרבנן גוסס בידי אדם דינו כטריפה [ופטורין עליו</w:t>
      </w:r>
      <w:r w:rsidRPr="007119D6">
        <w:rPr>
          <w:rStyle w:val="ac"/>
          <w:rFonts w:ascii="Narkisim" w:hAnsi="Narkisim" w:cs="Narkisim"/>
          <w:rtl/>
        </w:rPr>
        <w:footnoteReference w:id="8348"/>
      </w:r>
      <w:r w:rsidRPr="007119D6">
        <w:rPr>
          <w:rFonts w:ascii="Narkisim" w:hAnsi="Narkisim" w:cs="Narkisim"/>
          <w:rtl/>
        </w:rPr>
        <w:t>], ולר' יהודה ב"ב דינו כגוסס בידי אדם</w:t>
      </w:r>
      <w:r w:rsidRPr="007119D6">
        <w:rPr>
          <w:rStyle w:val="ac"/>
          <w:rFonts w:ascii="Narkisim" w:hAnsi="Narkisim" w:cs="Narkisim"/>
          <w:rtl/>
        </w:rPr>
        <w:footnoteReference w:id="8349"/>
      </w:r>
      <w:r w:rsidRPr="007119D6">
        <w:rPr>
          <w:rFonts w:ascii="Narkisim" w:hAnsi="Narkisim" w:cs="Narkisim"/>
          <w:rtl/>
        </w:rPr>
        <w:t>.</w:t>
      </w:r>
    </w:p>
    <w:p w14:paraId="1911D5E6" w14:textId="77777777" w:rsidR="006C4368" w:rsidRPr="007119D6" w:rsidRDefault="006C4368" w:rsidP="006C4368">
      <w:pPr>
        <w:pStyle w:val="a7"/>
        <w:bidi/>
        <w:rPr>
          <w:rFonts w:ascii="Narkisim" w:hAnsi="Narkisim"/>
        </w:rPr>
      </w:pPr>
      <w:r w:rsidRPr="007119D6">
        <w:rPr>
          <w:rFonts w:ascii="Narkisim" w:hAnsi="Narkisim"/>
          <w:rtl/>
        </w:rPr>
        <w:t>והנידון בסוגיין במגוייד קודם שהתחיל לגסוס, האם יתכן רפואה. [ותוס' פי' דאילו מגוייד חי, הו"ל לומר רבותא גוסס מגוייד. וע”כ דכל מגוייד לא חיי. ואין בזה חידוש].</w:t>
      </w:r>
    </w:p>
    <w:p w14:paraId="5C478AC1" w14:textId="77777777" w:rsidR="006C4368" w:rsidRPr="007119D6" w:rsidRDefault="006C4368" w:rsidP="006C4368">
      <w:pPr>
        <w:bidi/>
        <w:rPr>
          <w:rFonts w:ascii="Narkisim" w:hAnsi="Narkisim" w:cs="Narkisim"/>
        </w:rPr>
      </w:pPr>
      <w:r w:rsidRPr="007119D6">
        <w:rPr>
          <w:rFonts w:ascii="Narkisim" w:hAnsi="Narkisim" w:cs="Narkisim"/>
          <w:u w:val="single"/>
          <w:rtl/>
        </w:rPr>
        <w:t>בא"ד ועוד אור"י לפרש דודאי פשיטא דמגוייד דמתני' מת לבסוף וכו' טריפה וכו' אבל אינו דבר ברור שימות קודם שיתירוה לינשא</w:t>
      </w:r>
      <w:r w:rsidRPr="007119D6">
        <w:rPr>
          <w:rFonts w:ascii="Narkisim" w:hAnsi="Narkisim" w:cs="Narkisim"/>
          <w:rtl/>
        </w:rPr>
        <w:t>. ומבואר דבסוגיין איירי לינשא לאלתר, וכגון מהארכובה ולמעלה תנשא לאלתר.</w:t>
      </w:r>
    </w:p>
    <w:p w14:paraId="3FA302C7"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ר"ש מדסוי</w:t>
      </w:r>
      <w:r w:rsidRPr="007119D6">
        <w:rPr>
          <w:rFonts w:ascii="Narkisim" w:hAnsi="Narkisim"/>
          <w:rtl/>
        </w:rPr>
        <w:t xml:space="preserve"> ביאר דניטל מהארכובה ולמעלה גרע משאר טריפות, ומת מיד.</w:t>
      </w:r>
    </w:p>
    <w:p w14:paraId="6BAE5F03" w14:textId="77777777" w:rsidR="006C4368" w:rsidRPr="007119D6" w:rsidRDefault="006C4368" w:rsidP="006C4368">
      <w:pPr>
        <w:bidi/>
        <w:rPr>
          <w:rFonts w:ascii="Narkisim" w:hAnsi="Narkisim" w:cs="Narkisim"/>
        </w:rPr>
      </w:pPr>
      <w:r w:rsidRPr="007119D6">
        <w:rPr>
          <w:rFonts w:ascii="Narkisim" w:hAnsi="Narkisim" w:cs="Narkisim"/>
          <w:rtl/>
        </w:rPr>
        <w:lastRenderedPageBreak/>
        <w:t>אבל ה</w:t>
      </w:r>
      <w:r w:rsidRPr="007119D6">
        <w:rPr>
          <w:rFonts w:ascii="Narkisim" w:hAnsi="Narkisim" w:cs="Narkisim"/>
          <w:b/>
          <w:bCs/>
          <w:rtl/>
        </w:rPr>
        <w:t>רמב"ן</w:t>
      </w:r>
      <w:r w:rsidRPr="007119D6">
        <w:rPr>
          <w:rFonts w:ascii="Narkisim" w:hAnsi="Narkisim" w:cs="Narkisim"/>
          <w:rtl/>
        </w:rPr>
        <w:t xml:space="preserve"> (והו' במגיד משנה יג טז ושו”ע יז לה) כת' דמהארכובה ולמעלה תנשא רק לאחר י"ב חודש, וכדין טריפה</w:t>
      </w:r>
      <w:r w:rsidRPr="007119D6">
        <w:rPr>
          <w:rStyle w:val="ac"/>
          <w:rFonts w:ascii="Narkisim" w:hAnsi="Narkisim" w:cs="Narkisim"/>
          <w:rtl/>
        </w:rPr>
        <w:footnoteReference w:id="8350"/>
      </w:r>
      <w:r w:rsidRPr="007119D6">
        <w:rPr>
          <w:rFonts w:ascii="Narkisim" w:hAnsi="Narkisim" w:cs="Narkisim"/>
          <w:rtl/>
        </w:rPr>
        <w:t>.</w:t>
      </w:r>
    </w:p>
    <w:p w14:paraId="1B7FE450"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כס"מ</w:t>
      </w:r>
      <w:r w:rsidRPr="007119D6">
        <w:rPr>
          <w:rFonts w:ascii="Narkisim" w:hAnsi="Narkisim"/>
          <w:rtl/>
        </w:rPr>
        <w:t xml:space="preserve"> (שם) הק' דאדם טריפה חי טפי מי"ב חודש. וה</w:t>
      </w:r>
      <w:r w:rsidRPr="007119D6">
        <w:rPr>
          <w:rFonts w:ascii="Narkisim" w:hAnsi="Narkisim"/>
          <w:b/>
          <w:bCs/>
          <w:rtl/>
        </w:rPr>
        <w:t>תוי"ט</w:t>
      </w:r>
      <w:r w:rsidRPr="007119D6">
        <w:rPr>
          <w:rFonts w:ascii="Narkisim" w:hAnsi="Narkisim"/>
          <w:rtl/>
        </w:rPr>
        <w:t xml:space="preserve"> (וכן בהג"ה לכס"מ) תמה מנ"ל דאדם טריפה חי טפי. וכת' דכוונתו למש"כ </w:t>
      </w:r>
      <w:r w:rsidRPr="007119D6">
        <w:rPr>
          <w:rFonts w:ascii="Narkisim" w:hAnsi="Narkisim"/>
          <w:b/>
          <w:bCs/>
          <w:rtl/>
        </w:rPr>
        <w:t>תוס'</w:t>
      </w:r>
      <w:r w:rsidRPr="007119D6">
        <w:rPr>
          <w:rFonts w:ascii="Narkisim" w:hAnsi="Narkisim"/>
          <w:rtl/>
        </w:rPr>
        <w:t xml:space="preserve"> (חולין מב:) דאין לדמות טריפות דאדם לבהמה</w:t>
      </w:r>
      <w:r w:rsidRPr="007119D6">
        <w:rPr>
          <w:rStyle w:val="ac"/>
          <w:rFonts w:ascii="Narkisim" w:hAnsi="Narkisim"/>
          <w:rtl/>
        </w:rPr>
        <w:footnoteReference w:id="8351"/>
      </w:r>
      <w:r w:rsidRPr="007119D6">
        <w:rPr>
          <w:rFonts w:ascii="Narkisim" w:hAnsi="Narkisim"/>
          <w:rtl/>
        </w:rPr>
        <w:t>. [ונח' בזה בתוס'. ואכמ"ל].</w:t>
      </w:r>
    </w:p>
    <w:p w14:paraId="14668C09" w14:textId="77777777" w:rsidR="006C4368" w:rsidRPr="007119D6" w:rsidRDefault="006C4368" w:rsidP="006C4368">
      <w:pPr>
        <w:pStyle w:val="aa"/>
        <w:bidi/>
        <w:rPr>
          <w:rFonts w:ascii="Narkisim" w:hAnsi="Narkisim"/>
        </w:rPr>
      </w:pPr>
      <w:r w:rsidRPr="007119D6">
        <w:rPr>
          <w:rFonts w:ascii="Narkisim" w:hAnsi="Narkisim"/>
          <w:u w:val="single"/>
          <w:rtl/>
        </w:rPr>
        <w:t>בא”ד אותו גוסס שסופו למות הוא מת לאלתר וכו'</w:t>
      </w:r>
      <w:r w:rsidRPr="007119D6">
        <w:rPr>
          <w:rFonts w:ascii="Narkisim" w:hAnsi="Narkisim"/>
          <w:rtl/>
        </w:rPr>
        <w:t>. [צ"ב אמאי, ונהי דיש בו טרפות שאינו ראוי לחיות י"ב חודש, מ"מ הגסיסה הוה רק רוב. ויל"פ דאין כח לטריפה לצאת מגסיסתו. וע"ד הא דאי' (חולין נז:) דטריפה אינו מוליד, ולרשב"ג מתנוונה והולכת].</w:t>
      </w:r>
    </w:p>
    <w:p w14:paraId="3D16E6DF" w14:textId="77777777" w:rsidR="006C4368" w:rsidRPr="007119D6" w:rsidRDefault="006C4368" w:rsidP="006C4368">
      <w:pPr>
        <w:bidi/>
        <w:rPr>
          <w:rFonts w:ascii="Narkisim" w:hAnsi="Narkisim" w:cs="Narkisim"/>
        </w:rPr>
      </w:pPr>
      <w:r w:rsidRPr="007119D6">
        <w:rPr>
          <w:rFonts w:ascii="Narkisim" w:hAnsi="Narkisim" w:cs="Narkisim"/>
          <w:u w:val="single"/>
          <w:rtl/>
        </w:rPr>
        <w:t>ר' שמעון ב"א אומר אף על המגוייד אין מעידין, מפני שיכול לכוות ולחיות</w:t>
      </w:r>
      <w:r w:rsidRPr="007119D6">
        <w:rPr>
          <w:rStyle w:val="ac"/>
          <w:rFonts w:ascii="Narkisim" w:hAnsi="Narkisim" w:cs="Narkisim"/>
          <w:rtl/>
        </w:rPr>
        <w:footnoteReference w:id="8352"/>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xml:space="preserve"> העמידו במקום שנעשה טריפה. ותוס' כת' דהנידון להעיד לאלתר, אבל לאחר י"ב חודש מותרת. דכיון שהוא טריפה לא יחיה י"ב חודש.</w:t>
      </w:r>
    </w:p>
    <w:p w14:paraId="32A3DC4B"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רמב"ן</w:t>
      </w:r>
      <w:r w:rsidRPr="007119D6">
        <w:rPr>
          <w:rFonts w:ascii="Narkisim" w:hAnsi="Narkisim"/>
          <w:rtl/>
        </w:rPr>
        <w:t xml:space="preserve"> נקט דאין מעידין כלל [אף לאחר י"ב חודש], דיכול לכוות ויתרפא. והרמב"ן ביאר דר"ש ב"א ס"ל דמן הארכובה ולמעלה לא הוה טריפה, דיכול ליכוות ולחיות</w:t>
      </w:r>
      <w:r w:rsidRPr="007119D6">
        <w:rPr>
          <w:rStyle w:val="ac"/>
          <w:rFonts w:ascii="Narkisim" w:hAnsi="Narkisim"/>
          <w:rtl/>
        </w:rPr>
        <w:footnoteReference w:id="8353"/>
      </w:r>
      <w:r w:rsidRPr="007119D6">
        <w:rPr>
          <w:rFonts w:ascii="Narkisim" w:hAnsi="Narkisim"/>
          <w:rtl/>
        </w:rPr>
        <w:t>. [וכדמבואר בגמ' חולין מב:]</w:t>
      </w:r>
      <w:r w:rsidRPr="007119D6">
        <w:rPr>
          <w:rStyle w:val="ac"/>
          <w:rFonts w:ascii="Narkisim" w:hAnsi="Narkisim"/>
          <w:rtl/>
        </w:rPr>
        <w:footnoteReference w:id="8354"/>
      </w:r>
      <w:r w:rsidRPr="007119D6">
        <w:rPr>
          <w:rFonts w:ascii="Narkisim" w:hAnsi="Narkisim"/>
          <w:rtl/>
        </w:rPr>
        <w:t>.</w:t>
      </w:r>
    </w:p>
    <w:p w14:paraId="5346F692"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בחד תי' כת' דדעת ר"ש ב"א דאף דהוה טריפה, מ"מ יכול ליכוות ולחיות. וביאר דמגוייד הסכנה בו הוה משום החתיכה</w:t>
      </w:r>
      <w:r w:rsidRPr="007119D6">
        <w:rPr>
          <w:rStyle w:val="ac"/>
          <w:rFonts w:ascii="Narkisim" w:hAnsi="Narkisim"/>
          <w:rtl/>
        </w:rPr>
        <w:footnoteReference w:id="8355"/>
      </w:r>
      <w:r w:rsidRPr="007119D6">
        <w:rPr>
          <w:rFonts w:ascii="Narkisim" w:hAnsi="Narkisim"/>
          <w:rtl/>
        </w:rPr>
        <w:t>, אבל טריפה דחסרון אבר ל"מ יכול לכוות. ומש"ה אף ר"ש ב"א מודה דנחתכו הסימנים הוה טריפה, דכיון דנחתכו אין כאן סימנים.</w:t>
      </w:r>
    </w:p>
    <w:p w14:paraId="646E2A42" w14:textId="77777777" w:rsidR="006C4368" w:rsidRPr="007119D6" w:rsidRDefault="006C4368" w:rsidP="006C4368">
      <w:pPr>
        <w:bidi/>
        <w:rPr>
          <w:rFonts w:ascii="Narkisim" w:hAnsi="Narkisim" w:cs="Narkisim"/>
        </w:rPr>
      </w:pPr>
      <w:r w:rsidRPr="007119D6">
        <w:rPr>
          <w:rFonts w:ascii="Narkisim" w:hAnsi="Narkisim" w:cs="Narkisim"/>
          <w:u w:val="single"/>
          <w:rtl/>
        </w:rPr>
        <w:t>והא קתני סיפא וכו' ואמרו חכמים מן הארכובה ולמעלה תנשא</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דקתני מן הארכובה ולמעלה תנשא, ואי משום טביעה לא התירו [אפי' ארכובה ולמטה] דהוה מים שאין להם סוף דחיישינן שמא יצא במקום אחר.</w:t>
      </w:r>
    </w:p>
    <w:p w14:paraId="71582367"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ריב"ש</w:t>
      </w:r>
      <w:r w:rsidRPr="007119D6">
        <w:rPr>
          <w:rFonts w:ascii="Narkisim" w:hAnsi="Narkisim" w:cs="Narkisim"/>
          <w:rtl/>
        </w:rPr>
        <w:t xml:space="preserve"> (שעט) הק' דנימא דהקילו במגוייד כיון דמים שאין להם סוף מדרבנן. ובמקום דרבנן לא חששו דיכול לכוות. והריב"ש הוכיח דר"ש ב"א חשש מדאורייתא שיכול לכוות, וקאמר שאין מעידין עליו כלל, ואם נשאת תצא לפי שאין כאן עדות מיתה. ומש"ה לא היה להם להתיר לכתחילה אפי' במים שאין להם סוף.</w:t>
      </w:r>
    </w:p>
    <w:p w14:paraId="5D53292B" w14:textId="77777777" w:rsidR="006C4368" w:rsidRPr="007119D6" w:rsidRDefault="006C4368" w:rsidP="006C4368">
      <w:pPr>
        <w:pStyle w:val="aa"/>
        <w:bidi/>
        <w:rPr>
          <w:rFonts w:ascii="Narkisim" w:hAnsi="Narkisim"/>
        </w:rPr>
      </w:pPr>
      <w:r w:rsidRPr="007119D6">
        <w:rPr>
          <w:rFonts w:ascii="Narkisim" w:hAnsi="Narkisim"/>
          <w:u w:val="single"/>
          <w:rtl/>
        </w:rPr>
        <w:t>שאני מיא דמרזו מכה</w:t>
      </w:r>
      <w:r w:rsidRPr="007119D6">
        <w:rPr>
          <w:rFonts w:ascii="Narkisim" w:hAnsi="Narkisim"/>
          <w:rtl/>
        </w:rPr>
        <w:t>. ה</w:t>
      </w:r>
      <w:r w:rsidRPr="007119D6">
        <w:rPr>
          <w:rFonts w:ascii="Narkisim" w:hAnsi="Narkisim"/>
          <w:b/>
          <w:bCs/>
          <w:rtl/>
        </w:rPr>
        <w:t>ריטב”א</w:t>
      </w:r>
      <w:r w:rsidRPr="007119D6">
        <w:rPr>
          <w:rFonts w:ascii="Narkisim" w:hAnsi="Narkisim"/>
          <w:rtl/>
        </w:rPr>
        <w:t xml:space="preserve"> כת' דלצד דלר”ש ב”א רפואתו ע”י כויה, כיון דשהה במים תו לא מהני ליה כוויה. ולצד דר”ש ב”א ס”ל דמהארכובה ולמעלה לא הוה טריפה כלל, מ”מ ע”י כאיב המים מודה דנעשה טריפה.</w:t>
      </w:r>
    </w:p>
    <w:p w14:paraId="5A5F2F1C" w14:textId="77777777" w:rsidR="006C4368" w:rsidRPr="007119D6" w:rsidRDefault="006C4368" w:rsidP="006C4368">
      <w:pPr>
        <w:bidi/>
        <w:rPr>
          <w:rFonts w:ascii="Narkisim" w:hAnsi="Narkisim" w:cs="Narkisim"/>
        </w:rPr>
      </w:pPr>
      <w:r w:rsidRPr="007119D6">
        <w:rPr>
          <w:rFonts w:ascii="Narkisim" w:hAnsi="Narkisim" w:cs="Narkisim"/>
          <w:u w:val="single"/>
          <w:rtl/>
        </w:rPr>
        <w:t>רבא אמר בסכין מלובנת וד"ה</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דמתוך המכוה מתרפא.</w:t>
      </w:r>
    </w:p>
    <w:p w14:paraId="109F32DF"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כת' דלפ"ז ע"כ לא איירי מן הארכובה ולמעלה, דכיון דסימן טרפה הוא ל"מ ליה סכין מלובנת</w:t>
      </w:r>
      <w:r w:rsidRPr="007119D6">
        <w:rPr>
          <w:rStyle w:val="ac"/>
          <w:rFonts w:ascii="Narkisim" w:hAnsi="Narkisim"/>
          <w:rtl/>
        </w:rPr>
        <w:footnoteReference w:id="8356"/>
      </w:r>
      <w:r w:rsidRPr="007119D6">
        <w:rPr>
          <w:rFonts w:ascii="Narkisim" w:hAnsi="Narkisim"/>
          <w:rtl/>
        </w:rPr>
        <w:t>. דכיון דבבהמה הוה טריפה, אף באדם אינו חי</w:t>
      </w:r>
      <w:r w:rsidRPr="007119D6">
        <w:rPr>
          <w:rStyle w:val="ac"/>
          <w:rFonts w:ascii="Narkisim" w:hAnsi="Narkisim"/>
          <w:rtl/>
        </w:rPr>
        <w:footnoteReference w:id="8357"/>
      </w:r>
      <w:r w:rsidRPr="007119D6">
        <w:rPr>
          <w:rFonts w:ascii="Narkisim" w:hAnsi="Narkisim"/>
          <w:rtl/>
        </w:rPr>
        <w:t>. וה</w:t>
      </w:r>
      <w:r w:rsidRPr="007119D6">
        <w:rPr>
          <w:rFonts w:ascii="Narkisim" w:hAnsi="Narkisim"/>
          <w:b/>
          <w:bCs/>
          <w:rtl/>
        </w:rPr>
        <w:t>ב"ח</w:t>
      </w:r>
      <w:r w:rsidRPr="007119D6">
        <w:rPr>
          <w:rFonts w:ascii="Narkisim" w:hAnsi="Narkisim"/>
          <w:rtl/>
        </w:rPr>
        <w:t xml:space="preserve"> וה</w:t>
      </w:r>
      <w:r w:rsidRPr="007119D6">
        <w:rPr>
          <w:rFonts w:ascii="Narkisim" w:hAnsi="Narkisim"/>
          <w:b/>
          <w:bCs/>
          <w:rtl/>
        </w:rPr>
        <w:t>ט"ז</w:t>
      </w:r>
      <w:r w:rsidRPr="007119D6">
        <w:rPr>
          <w:rFonts w:ascii="Narkisim" w:hAnsi="Narkisim"/>
          <w:rtl/>
        </w:rPr>
        <w:t xml:space="preserve"> (יז מד) כת' דבמקום שנעשה טריפה אף בסכין מלובנת מעידין עליו כיון דעבר י"ב חודש</w:t>
      </w:r>
      <w:r w:rsidRPr="007119D6">
        <w:rPr>
          <w:rStyle w:val="ac"/>
          <w:rFonts w:ascii="Narkisim" w:hAnsi="Narkisim"/>
          <w:rtl/>
        </w:rPr>
        <w:footnoteReference w:id="8358"/>
      </w:r>
      <w:r w:rsidRPr="007119D6">
        <w:rPr>
          <w:rFonts w:ascii="Narkisim" w:hAnsi="Narkisim"/>
          <w:rtl/>
        </w:rPr>
        <w:t>.</w:t>
      </w:r>
    </w:p>
    <w:p w14:paraId="466F457E" w14:textId="77777777" w:rsidR="006C4368" w:rsidRPr="007119D6" w:rsidRDefault="006C4368" w:rsidP="006C4368">
      <w:pPr>
        <w:pStyle w:val="a7"/>
        <w:bidi/>
        <w:rPr>
          <w:rFonts w:ascii="Narkisim" w:hAnsi="Narkisim"/>
        </w:rPr>
      </w:pPr>
      <w:r w:rsidRPr="007119D6">
        <w:rPr>
          <w:rFonts w:ascii="Narkisim" w:hAnsi="Narkisim"/>
          <w:rtl/>
        </w:rPr>
        <w:lastRenderedPageBreak/>
        <w:t>אבל ה</w:t>
      </w:r>
      <w:r w:rsidRPr="007119D6">
        <w:rPr>
          <w:rFonts w:ascii="Narkisim" w:hAnsi="Narkisim"/>
          <w:b/>
          <w:bCs/>
          <w:rtl/>
        </w:rPr>
        <w:t>ריטב"א</w:t>
      </w:r>
      <w:r w:rsidRPr="007119D6">
        <w:rPr>
          <w:rFonts w:ascii="Narkisim" w:hAnsi="Narkisim"/>
          <w:rtl/>
        </w:rPr>
        <w:t xml:space="preserve"> כת' דאפשר דלדעת רבא [אליבא דרבנן] אף בהמה שנחתכו רגליה מן הארכובה ולמעלה בסכין מלובנת כשרה</w:t>
      </w:r>
      <w:r w:rsidRPr="007119D6">
        <w:rPr>
          <w:rStyle w:val="ac"/>
          <w:rFonts w:ascii="Narkisim" w:hAnsi="Narkisim"/>
          <w:rtl/>
        </w:rPr>
        <w:footnoteReference w:id="8359"/>
      </w:r>
      <w:r w:rsidRPr="007119D6">
        <w:rPr>
          <w:rFonts w:ascii="Narkisim" w:hAnsi="Narkisim"/>
          <w:rtl/>
        </w:rPr>
        <w:t>. וכ”כ ה</w:t>
      </w:r>
      <w:r w:rsidRPr="007119D6">
        <w:rPr>
          <w:rFonts w:ascii="Narkisim" w:hAnsi="Narkisim"/>
          <w:b/>
          <w:bCs/>
          <w:rtl/>
        </w:rPr>
        <w:t>חלק”מ</w:t>
      </w:r>
      <w:r w:rsidRPr="007119D6">
        <w:rPr>
          <w:rFonts w:ascii="Narkisim" w:hAnsi="Narkisim"/>
          <w:rtl/>
        </w:rPr>
        <w:t xml:space="preserve"> (שם נט) וה</w:t>
      </w:r>
      <w:r w:rsidRPr="007119D6">
        <w:rPr>
          <w:rFonts w:ascii="Narkisim" w:hAnsi="Narkisim"/>
          <w:b/>
          <w:bCs/>
          <w:rtl/>
        </w:rPr>
        <w:t>בי”ש</w:t>
      </w:r>
      <w:r w:rsidRPr="007119D6">
        <w:rPr>
          <w:rFonts w:ascii="Narkisim" w:hAnsi="Narkisim"/>
          <w:rtl/>
        </w:rPr>
        <w:t xml:space="preserve"> (צד) וכן ה</w:t>
      </w:r>
      <w:r w:rsidRPr="007119D6">
        <w:rPr>
          <w:rFonts w:ascii="Narkisim" w:hAnsi="Narkisim"/>
          <w:b/>
          <w:bCs/>
          <w:rtl/>
        </w:rPr>
        <w:t>מהרח"ש</w:t>
      </w:r>
      <w:r w:rsidRPr="007119D6">
        <w:rPr>
          <w:rFonts w:ascii="Narkisim" w:hAnsi="Narkisim"/>
          <w:rtl/>
        </w:rPr>
        <w:t xml:space="preserve"> דע"י סכין מלובנת מתרפא וחי י"ב חודש.</w:t>
      </w:r>
    </w:p>
    <w:p w14:paraId="35C9BA42" w14:textId="77777777" w:rsidR="006C4368" w:rsidRPr="007119D6" w:rsidRDefault="006C4368" w:rsidP="006C4368">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ריטב”א</w:t>
      </w:r>
      <w:r w:rsidRPr="007119D6">
        <w:rPr>
          <w:rFonts w:ascii="Narkisim" w:hAnsi="Narkisim"/>
          <w:rtl/>
        </w:rPr>
        <w:t xml:space="preserve"> הביא מה</w:t>
      </w:r>
      <w:r w:rsidRPr="007119D6">
        <w:rPr>
          <w:rFonts w:ascii="Narkisim" w:hAnsi="Narkisim"/>
          <w:b/>
          <w:bCs/>
          <w:rtl/>
        </w:rPr>
        <w:t>ירושלמי</w:t>
      </w:r>
      <w:r w:rsidRPr="007119D6">
        <w:rPr>
          <w:rFonts w:ascii="Narkisim" w:hAnsi="Narkisim"/>
          <w:rtl/>
        </w:rPr>
        <w:t xml:space="preserve"> דהיכא דראוהו מגוייד, ואינו ידוע אם היה בסכין מלובנת אם לאו תולין לחומרא, דאני אומר דילמא בסכין מלובנת היה וחיה, ואין מעידים עליו.</w:t>
      </w:r>
    </w:p>
    <w:p w14:paraId="16FB3465" w14:textId="77777777" w:rsidR="006C4368" w:rsidRPr="007119D6" w:rsidRDefault="006C4368" w:rsidP="006C4368">
      <w:pPr>
        <w:pStyle w:val="aa"/>
        <w:bidi/>
        <w:rPr>
          <w:rFonts w:ascii="Narkisim" w:hAnsi="Narkisim"/>
        </w:rPr>
      </w:pPr>
      <w:r w:rsidRPr="007119D6">
        <w:rPr>
          <w:rFonts w:ascii="Narkisim" w:hAnsi="Narkisim"/>
          <w:u w:val="single"/>
          <w:rtl/>
        </w:rPr>
        <w:t>שחט בו ב' או רוב ב'</w:t>
      </w:r>
      <w:r w:rsidRPr="007119D6">
        <w:rPr>
          <w:rStyle w:val="ac"/>
          <w:rFonts w:ascii="Narkisim" w:hAnsi="Narkisim"/>
          <w:u w:val="single"/>
          <w:rtl/>
        </w:rPr>
        <w:footnoteReference w:id="8360"/>
      </w:r>
      <w:r w:rsidRPr="007119D6">
        <w:rPr>
          <w:rFonts w:ascii="Narkisim" w:hAnsi="Narkisim"/>
          <w:u w:val="single"/>
          <w:rtl/>
        </w:rPr>
        <w:t>, ורמז ואמר כתבו גט וכו' חי הוא וסופו למות</w:t>
      </w:r>
      <w:r w:rsidRPr="007119D6">
        <w:rPr>
          <w:rFonts w:ascii="Narkisim" w:hAnsi="Narkisim"/>
          <w:rtl/>
        </w:rPr>
        <w:t xml:space="preserve">. </w:t>
      </w:r>
      <w:r w:rsidRPr="007119D6">
        <w:rPr>
          <w:rFonts w:ascii="Narkisim" w:hAnsi="Narkisim"/>
          <w:b/>
          <w:bCs/>
          <w:rtl/>
        </w:rPr>
        <w:t>תוס'</w:t>
      </w:r>
      <w:r w:rsidRPr="007119D6">
        <w:rPr>
          <w:rFonts w:ascii="Narkisim" w:hAnsi="Narkisim"/>
          <w:rtl/>
        </w:rPr>
        <w:t xml:space="preserve"> (קידושין עח:) הביאו דאין לך גוסס גדול מזה, דודאי ימות. ומבואר דאפ"ה מהני הגט. ודלא כפ</w:t>
      </w:r>
      <w:r w:rsidRPr="007119D6">
        <w:rPr>
          <w:rFonts w:ascii="Narkisim" w:hAnsi="Narkisim"/>
          <w:b/>
          <w:bCs/>
          <w:rtl/>
        </w:rPr>
        <w:t>רש"י</w:t>
      </w:r>
      <w:r w:rsidRPr="007119D6">
        <w:rPr>
          <w:rFonts w:ascii="Narkisim" w:hAnsi="Narkisim"/>
          <w:rtl/>
        </w:rPr>
        <w:t xml:space="preserve"> (שם) דגוסס לא הוה בר מתנה</w:t>
      </w:r>
      <w:r w:rsidRPr="007119D6">
        <w:rPr>
          <w:rStyle w:val="ac"/>
          <w:rFonts w:ascii="Narkisim" w:hAnsi="Narkisim"/>
          <w:rtl/>
        </w:rPr>
        <w:footnoteReference w:id="8361"/>
      </w:r>
      <w:r w:rsidRPr="007119D6">
        <w:rPr>
          <w:rFonts w:ascii="Narkisim" w:hAnsi="Narkisim"/>
          <w:rtl/>
        </w:rPr>
        <w:t>. וה</w:t>
      </w:r>
      <w:r w:rsidRPr="007119D6">
        <w:rPr>
          <w:rFonts w:ascii="Narkisim" w:hAnsi="Narkisim"/>
          <w:b/>
          <w:bCs/>
          <w:rtl/>
        </w:rPr>
        <w:t>אחרונים</w:t>
      </w:r>
      <w:r w:rsidRPr="007119D6">
        <w:rPr>
          <w:rFonts w:ascii="Narkisim" w:hAnsi="Narkisim"/>
          <w:rtl/>
        </w:rPr>
        <w:t xml:space="preserve"> (ק"נ שם) דחו דהכא איירי שהיה ברי, אלא שנעשה בו מעשה שודאי ימות. ול"ד לגוסס שאינו יכול לדבר מחמת חוליו.</w:t>
      </w:r>
    </w:p>
    <w:p w14:paraId="3E15C5EE" w14:textId="77777777" w:rsidR="006C4368" w:rsidRPr="007119D6" w:rsidRDefault="006C4368" w:rsidP="006C4368">
      <w:pPr>
        <w:pStyle w:val="aa"/>
        <w:bidi/>
        <w:rPr>
          <w:rFonts w:ascii="Narkisim" w:hAnsi="Narkisim"/>
        </w:rPr>
      </w:pPr>
      <w:r w:rsidRPr="007119D6">
        <w:rPr>
          <w:rFonts w:ascii="Narkisim" w:hAnsi="Narkisim"/>
          <w:u w:val="single"/>
          <w:rtl/>
        </w:rPr>
        <w:t>שם.</w:t>
      </w:r>
      <w:r w:rsidRPr="007119D6">
        <w:rPr>
          <w:rFonts w:ascii="Narkisim" w:hAnsi="Narkisim"/>
          <w:rtl/>
        </w:rPr>
        <w:t xml:space="preserve"> ה</w:t>
      </w:r>
      <w:r w:rsidRPr="007119D6">
        <w:rPr>
          <w:rFonts w:ascii="Narkisim" w:hAnsi="Narkisim"/>
          <w:b/>
          <w:bCs/>
          <w:rtl/>
        </w:rPr>
        <w:t>תוס' רי"ד</w:t>
      </w:r>
      <w:r w:rsidRPr="007119D6">
        <w:rPr>
          <w:rFonts w:ascii="Narkisim" w:hAnsi="Narkisim"/>
          <w:rtl/>
        </w:rPr>
        <w:t xml:space="preserve"> (שבת קלו) הביא מכאן דאע”ג דטריפה אינה יכולה לחיות הרי הוא כחי לכל דבר, וגיטו גט וקידושיו קדושין וזוקק לייבום ופוטר מן הייבום</w:t>
      </w:r>
      <w:r w:rsidRPr="007119D6">
        <w:rPr>
          <w:rStyle w:val="ac"/>
          <w:rFonts w:ascii="Narkisim" w:hAnsi="Narkisim"/>
          <w:rtl/>
        </w:rPr>
        <w:footnoteReference w:id="8362"/>
      </w:r>
      <w:r w:rsidRPr="007119D6">
        <w:rPr>
          <w:rFonts w:ascii="Narkisim" w:hAnsi="Narkisim"/>
          <w:rtl/>
        </w:rPr>
        <w:t>. כללו של דבר הרי הוא כחי לכל דבריו, מלבד בזה שההורגו אינו נהרג.</w:t>
      </w:r>
    </w:p>
    <w:p w14:paraId="645720FD" w14:textId="77777777" w:rsidR="006C4368" w:rsidRPr="007119D6" w:rsidRDefault="006C4368" w:rsidP="006C4368">
      <w:pPr>
        <w:pStyle w:val="a8"/>
        <w:bidi/>
        <w:rPr>
          <w:rFonts w:ascii="Narkisim" w:hAnsi="Narkisim"/>
        </w:rPr>
      </w:pPr>
      <w:r w:rsidRPr="007119D6">
        <w:rPr>
          <w:rFonts w:ascii="Narkisim" w:hAnsi="Narkisim"/>
          <w:rtl/>
        </w:rPr>
        <w:t>ובמשנה (אהלות א ו) אי' דאדם אינו מטמא שתצא נפשו ואפי' מגוייד ואפי' גוסס זוקק ליבום ופוטר מן היבום מאכיל בתרומה ופוסל בתרומה וכו'. וה</w:t>
      </w:r>
      <w:r w:rsidRPr="007119D6">
        <w:rPr>
          <w:rFonts w:ascii="Narkisim" w:hAnsi="Narkisim"/>
          <w:b/>
          <w:bCs/>
          <w:rtl/>
        </w:rPr>
        <w:t>גינת ורדים</w:t>
      </w:r>
      <w:r w:rsidRPr="007119D6">
        <w:rPr>
          <w:rFonts w:ascii="Narkisim" w:hAnsi="Narkisim"/>
          <w:rtl/>
        </w:rPr>
        <w:t xml:space="preserve"> (כלל ב ד) חידש דה"מ מגוייד וגוסס דאינו טריפה, אבל טריפה אינו פוטר מהיבום. [ודלא כתי' התוס' דאיירי בטריפה]. ועפ"ז דן מי שמת והניח בן טריפה אשתו אינה ניתרת לשוק בלא חליצה, כיון דטריפה אינה חיה הוי כמת ולא חשיב בן קיימא</w:t>
      </w:r>
      <w:r w:rsidRPr="007119D6">
        <w:rPr>
          <w:rStyle w:val="ac"/>
          <w:rFonts w:ascii="Narkisim" w:hAnsi="Narkisim"/>
          <w:rtl/>
        </w:rPr>
        <w:footnoteReference w:id="8363"/>
      </w:r>
      <w:r w:rsidRPr="007119D6">
        <w:rPr>
          <w:rFonts w:ascii="Narkisim" w:hAnsi="Narkisim"/>
          <w:rtl/>
        </w:rPr>
        <w:t>. וה</w:t>
      </w:r>
      <w:r w:rsidRPr="007119D6">
        <w:rPr>
          <w:rFonts w:ascii="Narkisim" w:hAnsi="Narkisim"/>
          <w:b/>
          <w:bCs/>
          <w:rtl/>
        </w:rPr>
        <w:t>אחרונים</w:t>
      </w:r>
      <w:r w:rsidRPr="007119D6">
        <w:rPr>
          <w:rFonts w:ascii="Narkisim" w:hAnsi="Narkisim"/>
          <w:rtl/>
        </w:rPr>
        <w:t xml:space="preserve"> (אחיעזר ג לג ג ועוד) האריכו לדחות דבריו, והביאו מהתוס' רי”ד הנ”ל.</w:t>
      </w:r>
    </w:p>
    <w:p w14:paraId="7D996877" w14:textId="77777777" w:rsidR="006C4368" w:rsidRPr="007119D6" w:rsidRDefault="006C4368" w:rsidP="006C4368">
      <w:pPr>
        <w:bidi/>
        <w:rPr>
          <w:rFonts w:ascii="Narkisim" w:hAnsi="Narkisim" w:cs="Narkisim"/>
        </w:rPr>
      </w:pPr>
      <w:r w:rsidRPr="007119D6">
        <w:rPr>
          <w:rFonts w:ascii="Narkisim" w:hAnsi="Narkisim" w:cs="Narkisim"/>
          <w:u w:val="single"/>
          <w:rtl/>
        </w:rPr>
        <w:t>שם. חי הוא וסופו למות</w:t>
      </w:r>
      <w:r w:rsidRPr="007119D6">
        <w:rPr>
          <w:rFonts w:ascii="Narkisim" w:hAnsi="Narkisim" w:cs="Narkisim"/>
          <w:rtl/>
        </w:rPr>
        <w:t>. לדברי ה</w:t>
      </w:r>
      <w:r w:rsidRPr="007119D6">
        <w:rPr>
          <w:rFonts w:ascii="Narkisim" w:hAnsi="Narkisim" w:cs="Narkisim"/>
          <w:b/>
          <w:bCs/>
          <w:rtl/>
        </w:rPr>
        <w:t>תוס'</w:t>
      </w:r>
      <w:r w:rsidRPr="007119D6">
        <w:rPr>
          <w:rFonts w:ascii="Narkisim" w:hAnsi="Narkisim" w:cs="Narkisim"/>
          <w:rtl/>
        </w:rPr>
        <w:t xml:space="preserve"> (ד"ה למימרא) תי' הגמ' דדבר ברור שימות מיד. אבל לדברי ה</w:t>
      </w:r>
      <w:r w:rsidRPr="007119D6">
        <w:rPr>
          <w:rFonts w:ascii="Narkisim" w:hAnsi="Narkisim" w:cs="Narkisim"/>
          <w:b/>
          <w:bCs/>
          <w:rtl/>
        </w:rPr>
        <w:t>רמב"ן</w:t>
      </w:r>
      <w:r w:rsidRPr="007119D6">
        <w:rPr>
          <w:rFonts w:ascii="Narkisim" w:hAnsi="Narkisim" w:cs="Narkisim"/>
          <w:rtl/>
        </w:rPr>
        <w:t xml:space="preserve"> (הנ"ל) צ"ל דס"ד דאף שנשחט רוב ב' יש לו רפואה ולא הוה טריפה. קמ"ל דסופו למות [אך י"ל תוך י"ב חודש כטריפה].</w:t>
      </w:r>
    </w:p>
    <w:p w14:paraId="0149A647"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 xml:space="preserve">רשב"א </w:t>
      </w:r>
      <w:r w:rsidRPr="007119D6">
        <w:rPr>
          <w:rFonts w:ascii="Narkisim" w:hAnsi="Narkisim"/>
          <w:rtl/>
        </w:rPr>
        <w:t>(גיטין ע:) הק' האיך ס"ד דיכול להתרפאות, הא תנן (חולין מב.) נקובת הושט ופסוקת הגרגרת הוה טריפה. ותי' דדילמא אדם שאני. וכת' דאף דבריש פרק אלו טרפות משמע דאין חילוק בין אדם לבהמה, דילמא טרפיות טרפיות יש, יש מהן שנוהגין באדם כבהמה [וכגון לקתה בכוליא, כדמשמע התם], ויש שאינן באדם</w:t>
      </w:r>
      <w:r w:rsidRPr="007119D6">
        <w:rPr>
          <w:rStyle w:val="ac"/>
          <w:rFonts w:ascii="Narkisim" w:hAnsi="Narkisim"/>
          <w:rtl/>
        </w:rPr>
        <w:footnoteReference w:id="8364"/>
      </w:r>
      <w:r w:rsidRPr="007119D6">
        <w:rPr>
          <w:rFonts w:ascii="Narkisim" w:hAnsi="Narkisim"/>
          <w:rtl/>
        </w:rPr>
        <w:t>.</w:t>
      </w:r>
    </w:p>
    <w:p w14:paraId="017CADD1" w14:textId="77777777" w:rsidR="006C4368" w:rsidRPr="007119D6" w:rsidRDefault="006C4368" w:rsidP="006C4368">
      <w:pPr>
        <w:pStyle w:val="aa"/>
        <w:bidi/>
        <w:rPr>
          <w:rFonts w:ascii="Narkisim" w:hAnsi="Narkisim"/>
        </w:rPr>
      </w:pPr>
      <w:r w:rsidRPr="007119D6">
        <w:rPr>
          <w:rFonts w:ascii="Narkisim" w:hAnsi="Narkisim"/>
          <w:u w:val="single"/>
          <w:rtl/>
        </w:rPr>
        <w:t>אלא מעתה יהא גולה</w:t>
      </w:r>
      <w:r w:rsidRPr="007119D6">
        <w:rPr>
          <w:rFonts w:ascii="Narkisim" w:hAnsi="Narkisim"/>
          <w:rtl/>
        </w:rPr>
        <w:t xml:space="preserve">. </w:t>
      </w:r>
      <w:r w:rsidRPr="007119D6">
        <w:rPr>
          <w:rFonts w:ascii="Narkisim" w:hAnsi="Narkisim"/>
          <w:b/>
          <w:bCs/>
          <w:rtl/>
        </w:rPr>
        <w:t>תוס'</w:t>
      </w:r>
      <w:r w:rsidRPr="007119D6">
        <w:rPr>
          <w:rFonts w:ascii="Narkisim" w:hAnsi="Narkisim"/>
          <w:rtl/>
        </w:rPr>
        <w:t xml:space="preserve"> פי' אי אמרת בשלמא דמת לאחר זמן רב [דומיה דטריפה], י"ל דנתמעט מגלות. והק' מדברי שמואל דנחשב מת לאלתר. [וכשיטתם בד"ה למימרא</w:t>
      </w:r>
      <w:r w:rsidRPr="007119D6">
        <w:rPr>
          <w:rStyle w:val="ac"/>
          <w:rFonts w:ascii="Narkisim" w:hAnsi="Narkisim"/>
          <w:rtl/>
        </w:rPr>
        <w:footnoteReference w:id="8365"/>
      </w:r>
      <w:r w:rsidRPr="007119D6">
        <w:rPr>
          <w:rFonts w:ascii="Narkisim" w:hAnsi="Narkisim"/>
          <w:rtl/>
        </w:rPr>
        <w:t>]. אבל ה</w:t>
      </w:r>
      <w:r w:rsidRPr="007119D6">
        <w:rPr>
          <w:rFonts w:ascii="Narkisim" w:hAnsi="Narkisim"/>
          <w:b/>
          <w:bCs/>
          <w:rtl/>
        </w:rPr>
        <w:t>רשב"א</w:t>
      </w:r>
      <w:r w:rsidRPr="007119D6">
        <w:rPr>
          <w:rFonts w:ascii="Narkisim" w:hAnsi="Narkisim"/>
          <w:rtl/>
        </w:rPr>
        <w:t xml:space="preserve"> (גיטין שם) פי' דלולי דברי שמואל י"ל דיש לו רפואה</w:t>
      </w:r>
      <w:r w:rsidRPr="007119D6">
        <w:rPr>
          <w:rStyle w:val="ac"/>
          <w:rFonts w:ascii="Narkisim" w:hAnsi="Narkisim"/>
          <w:rtl/>
        </w:rPr>
        <w:footnoteReference w:id="8366"/>
      </w:r>
      <w:r w:rsidRPr="007119D6">
        <w:rPr>
          <w:rFonts w:ascii="Narkisim" w:hAnsi="Narkisim"/>
          <w:rtl/>
        </w:rPr>
        <w:t>, ומדברי שמואל מבואר דאין לו רפואה.</w:t>
      </w:r>
    </w:p>
    <w:p w14:paraId="2724CB00" w14:textId="77777777" w:rsidR="006C4368" w:rsidRPr="007119D6" w:rsidRDefault="006C4368" w:rsidP="006C4368">
      <w:pPr>
        <w:pStyle w:val="aa"/>
        <w:bidi/>
        <w:rPr>
          <w:rFonts w:ascii="Narkisim" w:hAnsi="Narkisim"/>
        </w:rPr>
      </w:pPr>
      <w:r w:rsidRPr="007119D6">
        <w:rPr>
          <w:rFonts w:ascii="Narkisim" w:hAnsi="Narkisim"/>
          <w:u w:val="single"/>
          <w:rtl/>
        </w:rPr>
        <w:lastRenderedPageBreak/>
        <w:t>אמר רב הושעיא חיישינן וכו'</w:t>
      </w:r>
      <w:r w:rsidRPr="007119D6">
        <w:rPr>
          <w:rFonts w:ascii="Narkisim" w:hAnsi="Narkisim"/>
          <w:rtl/>
        </w:rPr>
        <w:t>. בפשוטו משמע דהוה ספק וחיישינן, ופטור מגלות מחמת הספק</w:t>
      </w:r>
      <w:r w:rsidRPr="007119D6">
        <w:rPr>
          <w:rStyle w:val="ac"/>
          <w:rFonts w:ascii="Narkisim" w:hAnsi="Narkisim"/>
          <w:rtl/>
        </w:rPr>
        <w:footnoteReference w:id="8367"/>
      </w:r>
      <w:r w:rsidRPr="007119D6">
        <w:rPr>
          <w:rFonts w:ascii="Narkisim" w:hAnsi="Narkisim"/>
          <w:rtl/>
        </w:rPr>
        <w:t>. ו</w:t>
      </w:r>
      <w:r w:rsidRPr="007119D6">
        <w:rPr>
          <w:rFonts w:ascii="Narkisim" w:eastAsia="Narkisim" w:hAnsi="Narkisim"/>
          <w:rtl/>
        </w:rPr>
        <w:t>ה</w:t>
      </w:r>
      <w:r w:rsidRPr="007119D6">
        <w:rPr>
          <w:rFonts w:ascii="Narkisim" w:eastAsia="Narkisim" w:hAnsi="Narkisim"/>
          <w:b/>
          <w:bCs/>
          <w:rtl/>
        </w:rPr>
        <w:t>אבה"א</w:t>
      </w:r>
      <w:r w:rsidRPr="007119D6">
        <w:rPr>
          <w:rFonts w:ascii="Narkisim" w:eastAsia="Narkisim" w:hAnsi="Narkisim"/>
          <w:rtl/>
        </w:rPr>
        <w:t xml:space="preserve"> (רוצח ה ב) כת' די"ל דילפי' גזיה"כ דבעינן שיתברר שמת מחמת המכה, אבל היכא דאיכא קצת ספק בדבר שמת מסיבה אחרת פטור</w:t>
      </w:r>
      <w:r w:rsidRPr="007119D6">
        <w:rPr>
          <w:rStyle w:val="ac"/>
          <w:rFonts w:ascii="Narkisim" w:eastAsia="Narkisim" w:hAnsi="Narkisim"/>
          <w:rtl/>
        </w:rPr>
        <w:footnoteReference w:id="8368"/>
      </w:r>
      <w:r w:rsidRPr="007119D6">
        <w:rPr>
          <w:rFonts w:ascii="Narkisim" w:eastAsia="Narkisim" w:hAnsi="Narkisim"/>
          <w:rtl/>
        </w:rPr>
        <w:t>. ואף דמדינא לא מהני הני חששי לפוטרו, דכיון דודאי הכהו ל"מ ספיקי בעלמא לפוטרו. דאין ספק מוציא מידי ודאי.</w:t>
      </w:r>
    </w:p>
    <w:p w14:paraId="498C7416" w14:textId="77777777" w:rsidR="006C4368" w:rsidRPr="007119D6" w:rsidRDefault="006C4368" w:rsidP="006C4368">
      <w:pPr>
        <w:bidi/>
        <w:rPr>
          <w:rFonts w:ascii="Narkisim" w:hAnsi="Narkisim" w:cs="Narkisim"/>
        </w:rPr>
      </w:pPr>
      <w:r w:rsidRPr="007119D6">
        <w:rPr>
          <w:rFonts w:ascii="Narkisim" w:hAnsi="Narkisim" w:cs="Narkisim"/>
          <w:u w:val="single"/>
          <w:rtl/>
        </w:rPr>
        <w:t>תוד"ה חיישינן</w:t>
      </w:r>
      <w:r w:rsidRPr="007119D6">
        <w:rPr>
          <w:rFonts w:ascii="Narkisim" w:hAnsi="Narkisim" w:cs="Narkisim"/>
          <w:rtl/>
        </w:rPr>
        <w:t>. ודוקא בגלות ולא במיתה כדפרי' לעיל (ד"ה אלא) וכו'. דלענין גלות יש חילוק בין דרך ירידה לדרך עלייה [ובעינן שוגג גמור]. ו</w:t>
      </w:r>
      <w:r w:rsidRPr="007119D6">
        <w:rPr>
          <w:rFonts w:ascii="Narkisim" w:hAnsi="Narkisim" w:cs="Narkisim"/>
          <w:b/>
          <w:bCs/>
          <w:rtl/>
        </w:rPr>
        <w:t>תוס'</w:t>
      </w:r>
      <w:r w:rsidRPr="007119D6">
        <w:rPr>
          <w:rFonts w:ascii="Narkisim" w:hAnsi="Narkisim" w:cs="Narkisim"/>
          <w:rtl/>
        </w:rPr>
        <w:t xml:space="preserve"> (שבועות לד. ד"ה ע"פ) פי' דגבי גלות מייתרי קראי, דכמה זמנין כתיב ויפל עליו וימות. אבל ממיתת בי"ד לא מיפטר בהכי, תדע דהא אמרינן (סנהדרין נח:) שהיו חובשים אותו, ואם מת חייב מיתה.</w:t>
      </w:r>
    </w:p>
    <w:p w14:paraId="2C4E3A36" w14:textId="77777777" w:rsidR="006C4368" w:rsidRPr="007119D6" w:rsidRDefault="006C4368" w:rsidP="006C4368">
      <w:pPr>
        <w:pStyle w:val="a7"/>
        <w:bidi/>
        <w:rPr>
          <w:rFonts w:ascii="Narkisim" w:hAnsi="Narkisim"/>
        </w:rPr>
      </w:pPr>
      <w:r w:rsidRPr="007119D6">
        <w:rPr>
          <w:rFonts w:ascii="Narkisim" w:hAnsi="Narkisim"/>
          <w:rtl/>
        </w:rPr>
        <w:t>ו</w:t>
      </w:r>
      <w:r w:rsidRPr="007119D6">
        <w:rPr>
          <w:rFonts w:ascii="Narkisim" w:hAnsi="Narkisim"/>
          <w:b/>
          <w:bCs/>
          <w:rtl/>
        </w:rPr>
        <w:t>רש"י</w:t>
      </w:r>
      <w:r w:rsidRPr="007119D6">
        <w:rPr>
          <w:rFonts w:ascii="Narkisim" w:hAnsi="Narkisim"/>
          <w:rtl/>
        </w:rPr>
        <w:t xml:space="preserve"> (קכא.) כת' דבעינן מת 'תחת ידו'.</w:t>
      </w:r>
    </w:p>
    <w:p w14:paraId="501BED0D" w14:textId="77777777" w:rsidR="006C4368" w:rsidRPr="007119D6" w:rsidRDefault="006C4368" w:rsidP="006C4368">
      <w:pPr>
        <w:bidi/>
        <w:rPr>
          <w:rFonts w:ascii="Narkisim" w:hAnsi="Narkisim" w:cs="Narkisim"/>
        </w:rPr>
      </w:pPr>
      <w:r w:rsidRPr="007119D6">
        <w:rPr>
          <w:rFonts w:ascii="Narkisim" w:hAnsi="Narkisim" w:cs="Narkisim"/>
          <w:u w:val="single"/>
          <w:rtl/>
        </w:rPr>
        <w:t>שם. ולא במיתה</w:t>
      </w:r>
      <w:r w:rsidRPr="007119D6">
        <w:rPr>
          <w:rFonts w:ascii="Narkisim" w:hAnsi="Narkisim" w:cs="Narkisim"/>
          <w:rtl/>
        </w:rPr>
        <w:t>. אבל דעת ה</w:t>
      </w:r>
      <w:r w:rsidRPr="007119D6">
        <w:rPr>
          <w:rFonts w:ascii="Narkisim" w:hAnsi="Narkisim" w:cs="Narkisim"/>
          <w:b/>
          <w:bCs/>
          <w:rtl/>
        </w:rPr>
        <w:t>ראב”ד</w:t>
      </w:r>
      <w:r w:rsidRPr="007119D6">
        <w:rPr>
          <w:rFonts w:ascii="Narkisim" w:hAnsi="Narkisim" w:cs="Narkisim"/>
          <w:rtl/>
        </w:rPr>
        <w:t xml:space="preserve"> (רוצח ה ב) מבואר דפטור אף ממיתה. וה</w:t>
      </w:r>
      <w:r w:rsidRPr="007119D6">
        <w:rPr>
          <w:rFonts w:ascii="Narkisim" w:hAnsi="Narkisim" w:cs="Narkisim"/>
          <w:b/>
          <w:bCs/>
          <w:rtl/>
        </w:rPr>
        <w:t>ריטב”א</w:t>
      </w:r>
      <w:r w:rsidRPr="007119D6">
        <w:rPr>
          <w:rFonts w:ascii="Narkisim" w:hAnsi="Narkisim" w:cs="Narkisim"/>
          <w:rtl/>
        </w:rPr>
        <w:t xml:space="preserve"> (גיטין ע:) ביאר דקאי </w:t>
      </w:r>
      <w:r w:rsidRPr="007119D6">
        <w:rPr>
          <w:rFonts w:ascii="Narkisim" w:eastAsia="Narkisim" w:hAnsi="Narkisim" w:cs="Narkisim"/>
          <w:rtl/>
        </w:rPr>
        <w:t xml:space="preserve">כמ"ד (ב"ק כז.) דהכהו י' בני אדם בי' מקלות כולם פטורים. </w:t>
      </w:r>
      <w:r w:rsidRPr="007119D6">
        <w:rPr>
          <w:rFonts w:ascii="Narkisim" w:eastAsia="Narkisim" w:hAnsi="Narkisim" w:cs="Narkisim"/>
          <w:szCs w:val="20"/>
          <w:rtl/>
        </w:rPr>
        <w:t>ואף דיש בראשון כדי להמיתו, בפועל מת מחמת שניהם. וכל א' ליכא 'כל נפש'</w:t>
      </w:r>
      <w:r w:rsidRPr="007119D6">
        <w:rPr>
          <w:rFonts w:ascii="Narkisim" w:eastAsia="Narkisim" w:hAnsi="Narkisim" w:cs="Narkisim"/>
          <w:rtl/>
        </w:rPr>
        <w:t>.</w:t>
      </w:r>
    </w:p>
    <w:p w14:paraId="5A61F7D8" w14:textId="77777777" w:rsidR="006C4368" w:rsidRPr="007119D6" w:rsidRDefault="006C4368" w:rsidP="006C4368">
      <w:pPr>
        <w:pStyle w:val="a7"/>
        <w:bidi/>
        <w:rPr>
          <w:rFonts w:ascii="Narkisim" w:hAnsi="Narkisim"/>
        </w:rPr>
      </w:pPr>
      <w:r w:rsidRPr="007119D6">
        <w:rPr>
          <w:rFonts w:ascii="Narkisim" w:eastAsia="Narkisim" w:hAnsi="Narkisim"/>
          <w:rtl/>
        </w:rPr>
        <w:t>ו</w:t>
      </w:r>
      <w:r w:rsidRPr="007119D6">
        <w:rPr>
          <w:rFonts w:ascii="Narkisim" w:eastAsia="Narkisim" w:hAnsi="Narkisim"/>
          <w:b/>
          <w:bCs/>
          <w:rtl/>
        </w:rPr>
        <w:t>הרשב"א</w:t>
      </w:r>
      <w:r w:rsidRPr="007119D6">
        <w:rPr>
          <w:rFonts w:ascii="Narkisim" w:eastAsia="Narkisim" w:hAnsi="Narkisim"/>
          <w:rtl/>
        </w:rPr>
        <w:t xml:space="preserve"> (ב"ק כז.) דחה דא"כ בטלת פרשת רוצחים [להך מ”ד]. אלא דלא פטרי' אלא כשעשה אחר. ואילו בלבול הרוח פוטר רק לענין גלות.</w:t>
      </w:r>
    </w:p>
    <w:p w14:paraId="7B6DF76D" w14:textId="77777777" w:rsidR="006C4368" w:rsidRPr="007119D6" w:rsidRDefault="006C4368" w:rsidP="006C4368">
      <w:pPr>
        <w:bidi/>
        <w:rPr>
          <w:rFonts w:ascii="Narkisim" w:hAnsi="Narkisim" w:cs="Narkisim"/>
        </w:rPr>
      </w:pPr>
      <w:r w:rsidRPr="007119D6">
        <w:rPr>
          <w:rFonts w:ascii="Narkisim" w:hAnsi="Narkisim" w:cs="Narkisim"/>
          <w:u w:val="single"/>
          <w:rtl/>
        </w:rPr>
        <w:t>בא"ד והא דאמר ונקה המכה מגלות וכו'</w:t>
      </w:r>
      <w:r w:rsidRPr="007119D6">
        <w:rPr>
          <w:rFonts w:ascii="Narkisim" w:hAnsi="Narkisim" w:cs="Narkisim"/>
          <w:rtl/>
        </w:rPr>
        <w:t xml:space="preserve">. [דלחד לישנא (כתובות לג:) דרשי' ונקה המכה מגלות]. ומבואר בתוס' דבכל מכה תלינן שהרוח בלבלתו. אבל </w:t>
      </w:r>
      <w:r w:rsidRPr="007119D6">
        <w:rPr>
          <w:rFonts w:ascii="Narkisim" w:hAnsi="Narkisim" w:cs="Narkisim"/>
          <w:b/>
          <w:bCs/>
          <w:rtl/>
        </w:rPr>
        <w:t>תוס'</w:t>
      </w:r>
      <w:r w:rsidRPr="007119D6">
        <w:rPr>
          <w:rFonts w:ascii="Narkisim" w:hAnsi="Narkisim" w:cs="Narkisim"/>
          <w:rtl/>
        </w:rPr>
        <w:t xml:space="preserve"> (כתובות שם) </w:t>
      </w:r>
      <w:r w:rsidRPr="007119D6">
        <w:rPr>
          <w:rFonts w:ascii="Narkisim" w:eastAsia="Narkisim" w:hAnsi="Narkisim" w:cs="Narkisim"/>
          <w:rtl/>
        </w:rPr>
        <w:t>וה</w:t>
      </w:r>
      <w:r w:rsidRPr="007119D6">
        <w:rPr>
          <w:rFonts w:ascii="Narkisim" w:eastAsia="Narkisim" w:hAnsi="Narkisim" w:cs="Narkisim"/>
          <w:b/>
          <w:bCs/>
          <w:rtl/>
        </w:rPr>
        <w:t>ראב"ד</w:t>
      </w:r>
      <w:r w:rsidRPr="007119D6">
        <w:rPr>
          <w:rFonts w:ascii="Narkisim" w:eastAsia="Narkisim" w:hAnsi="Narkisim" w:cs="Narkisim"/>
          <w:rtl/>
        </w:rPr>
        <w:t xml:space="preserve"> (רוצח ה ב) </w:t>
      </w:r>
      <w:r w:rsidRPr="007119D6">
        <w:rPr>
          <w:rFonts w:ascii="Narkisim" w:hAnsi="Narkisim" w:cs="Narkisim"/>
          <w:rtl/>
        </w:rPr>
        <w:t xml:space="preserve">כת' בחד תי' דדוקא שחט בו ב', </w:t>
      </w:r>
      <w:r w:rsidRPr="007119D6">
        <w:rPr>
          <w:rFonts w:ascii="Narkisim" w:eastAsia="Narkisim" w:hAnsi="Narkisim" w:cs="Narkisim"/>
          <w:rtl/>
        </w:rPr>
        <w:t>דבקל הרוח מבלבל., אבל בשאר חבלות אין הרוח מבלבל כ"כ.</w:t>
      </w:r>
    </w:p>
    <w:p w14:paraId="44BA0842" w14:textId="77777777" w:rsidR="006C4368" w:rsidRPr="007119D6" w:rsidRDefault="006C4368" w:rsidP="006C4368">
      <w:pPr>
        <w:pStyle w:val="3"/>
        <w:bidi/>
        <w:rPr>
          <w:rFonts w:ascii="Narkisim" w:hAnsi="Narkisim"/>
        </w:rPr>
      </w:pPr>
      <w:r w:rsidRPr="007119D6">
        <w:rPr>
          <w:rFonts w:ascii="Narkisim" w:hAnsi="Narkisim"/>
          <w:rtl/>
        </w:rPr>
        <w:t>דף קכא.</w:t>
      </w:r>
    </w:p>
    <w:p w14:paraId="2FDBA8F7" w14:textId="77777777" w:rsidR="006C4368" w:rsidRPr="007119D6" w:rsidRDefault="006C4368" w:rsidP="006C4368">
      <w:pPr>
        <w:pStyle w:val="aa"/>
        <w:bidi/>
        <w:rPr>
          <w:rFonts w:ascii="Narkisim" w:hAnsi="Narkisim"/>
        </w:rPr>
      </w:pPr>
      <w:r w:rsidRPr="007119D6">
        <w:rPr>
          <w:rFonts w:ascii="Narkisim" w:hAnsi="Narkisim"/>
          <w:u w:val="single"/>
          <w:rtl/>
        </w:rPr>
        <w:t>מאי בנייהו וכו'</w:t>
      </w:r>
      <w:r w:rsidRPr="007119D6">
        <w:rPr>
          <w:rFonts w:ascii="Narkisim" w:hAnsi="Narkisim"/>
          <w:rtl/>
        </w:rPr>
        <w:t>. בפשוטו משמע דהנך לשונות פליגי. ו</w:t>
      </w:r>
      <w:r w:rsidRPr="007119D6">
        <w:rPr>
          <w:rFonts w:ascii="Narkisim" w:hAnsi="Narkisim"/>
          <w:b/>
          <w:bCs/>
          <w:rtl/>
        </w:rPr>
        <w:t>תוס'</w:t>
      </w:r>
      <w:r w:rsidRPr="007119D6">
        <w:rPr>
          <w:rFonts w:ascii="Narkisim" w:hAnsi="Narkisim"/>
          <w:rtl/>
        </w:rPr>
        <w:t xml:space="preserve"> (גיטין ע:) פי' דמר חשיב טפי קירוב מיתה בבלבול הרוח, ומר חשיב טפי בפרכוס. א"נ מר חשיב פרכוס מחמת הרוצח, דכל אדם דרכן לפרכס מחמת שחיטה. ומר סבר דבלבול הרוח הוה ממילא. א"נ הני לישני לא פליגי, ואינו חייב אלא בביתא דשישא ולא פרכס, והגמ' פי' בלשון זה.</w:t>
      </w:r>
    </w:p>
    <w:p w14:paraId="18EDCF2B" w14:textId="77777777" w:rsidR="006C4368" w:rsidRPr="007119D6" w:rsidRDefault="006C4368" w:rsidP="006C4368">
      <w:pPr>
        <w:pStyle w:val="aa"/>
        <w:bidi/>
        <w:rPr>
          <w:rFonts w:ascii="Narkisim" w:hAnsi="Narkisim"/>
        </w:rPr>
      </w:pPr>
      <w:r w:rsidRPr="007119D6">
        <w:rPr>
          <w:rFonts w:ascii="Narkisim" w:hAnsi="Narkisim"/>
          <w:u w:val="single"/>
          <w:rtl/>
        </w:rPr>
        <w:t>ת"ש דההוא גברא דטבע וכו'</w:t>
      </w:r>
      <w:r w:rsidRPr="007119D6">
        <w:rPr>
          <w:rFonts w:ascii="Narkisim" w:hAnsi="Narkisim"/>
          <w:rtl/>
        </w:rPr>
        <w:t>. ה</w:t>
      </w:r>
      <w:r w:rsidRPr="007119D6">
        <w:rPr>
          <w:rFonts w:ascii="Narkisim" w:hAnsi="Narkisim"/>
          <w:b/>
          <w:bCs/>
          <w:rtl/>
        </w:rPr>
        <w:t>מרדכי</w:t>
      </w:r>
      <w:r w:rsidRPr="007119D6">
        <w:rPr>
          <w:rFonts w:ascii="Narkisim" w:hAnsi="Narkisim"/>
          <w:rtl/>
        </w:rPr>
        <w:t xml:space="preserve"> (פג) כת' דלדברי ר"ת דמהני לאחר ג' ימים כשמכיר ע"י טביעות עין או היכא דנמצא שלם, צ"ל דקי"ל לתלמודא דבהכי הוה עובדא, וכעין מתני'.</w:t>
      </w:r>
    </w:p>
    <w:p w14:paraId="76316A60" w14:textId="77777777" w:rsidR="006C4368" w:rsidRPr="007119D6" w:rsidRDefault="006C4368" w:rsidP="006C4368">
      <w:pPr>
        <w:pStyle w:val="aa"/>
        <w:bidi/>
        <w:rPr>
          <w:rFonts w:ascii="Narkisim" w:hAnsi="Narkisim"/>
        </w:rPr>
      </w:pPr>
      <w:r w:rsidRPr="007119D6">
        <w:rPr>
          <w:rFonts w:ascii="Narkisim" w:hAnsi="Narkisim"/>
          <w:u w:val="single"/>
          <w:rtl/>
        </w:rPr>
        <w:t>ותו דההוא גברא דאטבע בדגלת וכו' ואנסבה רבא וכו' אפומא דשושביני</w:t>
      </w:r>
      <w:r w:rsidRPr="007119D6">
        <w:rPr>
          <w:rFonts w:ascii="Narkisim" w:hAnsi="Narkisim"/>
          <w:rtl/>
        </w:rPr>
        <w:t>. ה</w:t>
      </w:r>
      <w:r w:rsidRPr="007119D6">
        <w:rPr>
          <w:rFonts w:ascii="Narkisim" w:hAnsi="Narkisim"/>
          <w:b/>
          <w:bCs/>
          <w:rtl/>
        </w:rPr>
        <w:t>רי”ף</w:t>
      </w:r>
      <w:r w:rsidRPr="007119D6">
        <w:rPr>
          <w:rFonts w:ascii="Narkisim" w:hAnsi="Narkisim"/>
          <w:rtl/>
        </w:rPr>
        <w:t xml:space="preserve"> (לעיל קטו., מב: בדה”ס) גרס שושבינא, והביא דהיכא דטבע סגי בעד א'. ואף דאי' (לעיל קטו.) דהוה כמו מלחמה, ותלי בספק הגמ' (שם) אי מהני עד א' במלחמה או דאמרי' בדדמי. והבעה"מ דחה דאיירי שלא ראה את הטביעה, וכה"ג לא נאמר דהוה כמלחמה.</w:t>
      </w:r>
    </w:p>
    <w:p w14:paraId="60CAE932" w14:textId="77777777" w:rsidR="006C4368" w:rsidRPr="007119D6" w:rsidRDefault="006C4368" w:rsidP="006C4368">
      <w:pPr>
        <w:bidi/>
        <w:rPr>
          <w:rFonts w:ascii="Narkisim" w:hAnsi="Narkisim" w:cs="Narkisim"/>
        </w:rPr>
      </w:pPr>
      <w:r w:rsidRPr="007119D6">
        <w:rPr>
          <w:rFonts w:ascii="Narkisim" w:hAnsi="Narkisim" w:cs="Narkisim"/>
          <w:u w:val="single"/>
          <w:rtl/>
        </w:rPr>
        <w:t>שאני מיא דצמתי</w:t>
      </w:r>
      <w:r w:rsidRPr="007119D6">
        <w:rPr>
          <w:rFonts w:ascii="Narkisim" w:hAnsi="Narkisim" w:cs="Narkisim"/>
          <w:rtl/>
        </w:rPr>
        <w:t>. [ע"ע תוס' לעיל קטו:]. ה</w:t>
      </w:r>
      <w:r w:rsidRPr="007119D6">
        <w:rPr>
          <w:rFonts w:ascii="Narkisim" w:hAnsi="Narkisim" w:cs="Narkisim"/>
          <w:b/>
          <w:bCs/>
          <w:rtl/>
        </w:rPr>
        <w:t>רשב"א</w:t>
      </w:r>
      <w:r w:rsidRPr="007119D6">
        <w:rPr>
          <w:rFonts w:ascii="Narkisim" w:hAnsi="Narkisim" w:cs="Narkisim"/>
          <w:rtl/>
        </w:rPr>
        <w:t xml:space="preserve"> כת' דלא הוזכר כמה זמן, ומסתברא דהוא הדין לבתר כמה יומי</w:t>
      </w:r>
      <w:r w:rsidRPr="007119D6">
        <w:rPr>
          <w:rStyle w:val="ac"/>
          <w:rFonts w:ascii="Narkisim" w:hAnsi="Narkisim" w:cs="Narkisim"/>
          <w:rtl/>
        </w:rPr>
        <w:footnoteReference w:id="8369"/>
      </w:r>
      <w:r w:rsidRPr="007119D6">
        <w:rPr>
          <w:rFonts w:ascii="Narkisim" w:hAnsi="Narkisim" w:cs="Narkisim"/>
          <w:rtl/>
        </w:rPr>
        <w:t xml:space="preserve">, כל שמכירין פרצוף פניו עם החוטם לפי שהמים מעמידין את הצורה מחמת קרירותן. </w:t>
      </w:r>
      <w:r w:rsidRPr="007119D6">
        <w:rPr>
          <w:rFonts w:ascii="Narkisim" w:hAnsi="Narkisim" w:cs="Narkisim"/>
          <w:szCs w:val="20"/>
          <w:rtl/>
        </w:rPr>
        <w:t>וביאר דנקט ה' ימים כך היה מעשה. והביא דבירושלמי אי' מעשה די"ז יום</w:t>
      </w:r>
      <w:r w:rsidRPr="007119D6">
        <w:rPr>
          <w:rStyle w:val="ac"/>
          <w:rFonts w:ascii="Narkisim" w:hAnsi="Narkisim" w:cs="Narkisim"/>
          <w:rtl/>
        </w:rPr>
        <w:footnoteReference w:id="8370"/>
      </w:r>
      <w:r w:rsidRPr="007119D6">
        <w:rPr>
          <w:rFonts w:ascii="Narkisim" w:hAnsi="Narkisim" w:cs="Narkisim"/>
          <w:rtl/>
        </w:rPr>
        <w:t>.</w:t>
      </w:r>
    </w:p>
    <w:p w14:paraId="63611AF9"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רי"ף</w:t>
      </w:r>
      <w:r w:rsidRPr="007119D6">
        <w:rPr>
          <w:rFonts w:ascii="Narkisim" w:hAnsi="Narkisim"/>
          <w:rtl/>
        </w:rPr>
        <w:t xml:space="preserve"> כת' דאפשר שישתהא ד' וה' ימים במים ואינו משתנה. והרשב"א דייק דטפי לא.</w:t>
      </w:r>
    </w:p>
    <w:p w14:paraId="1F54AD4F" w14:textId="77777777" w:rsidR="006C4368" w:rsidRPr="007119D6" w:rsidRDefault="006C4368" w:rsidP="006C4368">
      <w:pPr>
        <w:pStyle w:val="aa"/>
        <w:bidi/>
        <w:rPr>
          <w:rFonts w:ascii="Narkisim" w:hAnsi="Narkisim"/>
        </w:rPr>
      </w:pPr>
      <w:r w:rsidRPr="007119D6">
        <w:rPr>
          <w:rFonts w:ascii="Narkisim" w:hAnsi="Narkisim"/>
          <w:u w:val="single"/>
          <w:rtl/>
        </w:rPr>
        <w:t>והאמרת מיא מרזו מכה וכו'</w:t>
      </w:r>
      <w:r w:rsidRPr="007119D6">
        <w:rPr>
          <w:rFonts w:ascii="Narkisim" w:hAnsi="Narkisim"/>
          <w:rtl/>
        </w:rPr>
        <w:t>. וכיון דמהני המים במקום סכין מלובנת, מסתבר דלא אמרי' דצמתי. [וע"ע תוס' קטו: ד"ה וקאמרי הא'].</w:t>
      </w:r>
    </w:p>
    <w:p w14:paraId="0E8963ED" w14:textId="77777777" w:rsidR="006C4368" w:rsidRPr="007119D6" w:rsidRDefault="006C4368" w:rsidP="006C4368">
      <w:pPr>
        <w:bidi/>
        <w:rPr>
          <w:rFonts w:ascii="Narkisim" w:hAnsi="Narkisim" w:cs="Narkisim"/>
        </w:rPr>
      </w:pPr>
      <w:r w:rsidRPr="007119D6">
        <w:rPr>
          <w:rFonts w:ascii="Narkisim" w:hAnsi="Narkisim" w:cs="Narkisim"/>
          <w:u w:val="single"/>
          <w:rtl/>
        </w:rPr>
        <w:t>וה"מ דכי אסקייה חזייה בשעתיה, אבל אישתהי מיתפח תפח</w:t>
      </w:r>
      <w:r w:rsidRPr="007119D6">
        <w:rPr>
          <w:rFonts w:ascii="Narkisim" w:hAnsi="Narkisim" w:cs="Narkisim"/>
          <w:rtl/>
        </w:rPr>
        <w:t>. ה</w:t>
      </w:r>
      <w:r w:rsidRPr="007119D6">
        <w:rPr>
          <w:rFonts w:ascii="Narkisim" w:hAnsi="Narkisim" w:cs="Narkisim"/>
          <w:b/>
          <w:bCs/>
          <w:rtl/>
        </w:rPr>
        <w:t>רי”ף</w:t>
      </w:r>
      <w:r w:rsidRPr="007119D6">
        <w:rPr>
          <w:rFonts w:ascii="Narkisim" w:hAnsi="Narkisim" w:cs="Narkisim"/>
          <w:rtl/>
        </w:rPr>
        <w:t xml:space="preserve"> גרס דחזויה בשעתיה דאסקוה. וה</w:t>
      </w:r>
      <w:r w:rsidRPr="007119D6">
        <w:rPr>
          <w:rFonts w:ascii="Narkisim" w:hAnsi="Narkisim" w:cs="Narkisim"/>
          <w:b/>
          <w:bCs/>
          <w:rtl/>
        </w:rPr>
        <w:t>רשב”א</w:t>
      </w:r>
      <w:r w:rsidRPr="007119D6">
        <w:rPr>
          <w:rFonts w:ascii="Narkisim" w:hAnsi="Narkisim" w:cs="Narkisim"/>
          <w:rtl/>
        </w:rPr>
        <w:t xml:space="preserve"> דייק מדבריו דדוקא לאלתר באותה שעה שהעלו מהמים, ולא נשתהא כלל. וכת' דאפי' תוך ג' ימים שטבע, כיון דנרטב במים לאחר שעה תפח.</w:t>
      </w:r>
    </w:p>
    <w:p w14:paraId="47CB45BA" w14:textId="77777777" w:rsidR="006C4368" w:rsidRPr="007119D6" w:rsidRDefault="006C4368" w:rsidP="006C4368">
      <w:pPr>
        <w:pStyle w:val="a7"/>
        <w:bidi/>
        <w:rPr>
          <w:rFonts w:ascii="Narkisim" w:hAnsi="Narkisim"/>
        </w:rPr>
      </w:pPr>
      <w:r w:rsidRPr="007119D6">
        <w:rPr>
          <w:rFonts w:ascii="Narkisim" w:hAnsi="Narkisim"/>
          <w:rtl/>
        </w:rPr>
        <w:lastRenderedPageBreak/>
        <w:t>אבל ה</w:t>
      </w:r>
      <w:r w:rsidRPr="007119D6">
        <w:rPr>
          <w:rFonts w:ascii="Narkisim" w:hAnsi="Narkisim"/>
          <w:b/>
          <w:bCs/>
          <w:rtl/>
        </w:rPr>
        <w:t>רמב”ם</w:t>
      </w:r>
      <w:r w:rsidRPr="007119D6">
        <w:rPr>
          <w:rFonts w:ascii="Narkisim" w:hAnsi="Narkisim"/>
          <w:rtl/>
        </w:rPr>
        <w:t xml:space="preserve"> (יג כב) כת' דשהה ביבשה אחר שהושלך מן המים י"ב שעות ונתפח. [וצ"ב מהיכן הביא שיעור י"ב שעות</w:t>
      </w:r>
      <w:r w:rsidRPr="007119D6">
        <w:rPr>
          <w:rStyle w:val="ac"/>
          <w:rFonts w:ascii="Narkisim" w:hAnsi="Narkisim"/>
          <w:rtl/>
        </w:rPr>
        <w:footnoteReference w:id="8371"/>
      </w:r>
      <w:r w:rsidRPr="007119D6">
        <w:rPr>
          <w:rFonts w:ascii="Narkisim" w:hAnsi="Narkisim"/>
          <w:rtl/>
        </w:rPr>
        <w:t>]. וה</w:t>
      </w:r>
      <w:r w:rsidRPr="007119D6">
        <w:rPr>
          <w:rFonts w:ascii="Narkisim" w:hAnsi="Narkisim"/>
          <w:b/>
          <w:bCs/>
          <w:rtl/>
        </w:rPr>
        <w:t>סמ"ג</w:t>
      </w:r>
      <w:r w:rsidRPr="007119D6">
        <w:rPr>
          <w:rFonts w:ascii="Narkisim" w:hAnsi="Narkisim"/>
          <w:rtl/>
        </w:rPr>
        <w:t xml:space="preserve"> (וכ"ה במקצת כת"י) הביא בשם הרמב"ם ואם שהה אחר שהושלך מן הים אחר כ"ד שעות</w:t>
      </w:r>
      <w:r w:rsidRPr="007119D6">
        <w:rPr>
          <w:rStyle w:val="ac"/>
          <w:rFonts w:ascii="Narkisim" w:hAnsi="Narkisim"/>
          <w:rtl/>
        </w:rPr>
        <w:footnoteReference w:id="8372"/>
      </w:r>
      <w:r w:rsidRPr="007119D6">
        <w:rPr>
          <w:rFonts w:ascii="Narkisim" w:hAnsi="Narkisim"/>
          <w:rtl/>
        </w:rPr>
        <w:t>.</w:t>
      </w:r>
    </w:p>
    <w:p w14:paraId="5C3EC71C" w14:textId="77777777" w:rsidR="006C4368" w:rsidRPr="007119D6" w:rsidRDefault="006C4368" w:rsidP="006C4368">
      <w:pPr>
        <w:pStyle w:val="a7"/>
        <w:bidi/>
        <w:rPr>
          <w:rFonts w:ascii="Narkisim" w:hAnsi="Narkisim"/>
        </w:rPr>
      </w:pPr>
      <w:r w:rsidRPr="007119D6">
        <w:rPr>
          <w:rFonts w:ascii="Narkisim" w:hAnsi="Narkisim"/>
          <w:rtl/>
        </w:rPr>
        <w:t>אך ה</w:t>
      </w:r>
      <w:r w:rsidRPr="007119D6">
        <w:rPr>
          <w:rFonts w:ascii="Narkisim" w:hAnsi="Narkisim"/>
          <w:b/>
          <w:bCs/>
          <w:rtl/>
        </w:rPr>
        <w:t>רשב"א</w:t>
      </w:r>
      <w:r w:rsidRPr="007119D6">
        <w:rPr>
          <w:rFonts w:ascii="Narkisim" w:hAnsi="Narkisim"/>
          <w:rtl/>
        </w:rPr>
        <w:t xml:space="preserve"> כת' דנראה מדברי הרמב"ם דעד כשעה א'</w:t>
      </w:r>
      <w:r w:rsidRPr="007119D6">
        <w:rPr>
          <w:rStyle w:val="ac"/>
          <w:rFonts w:ascii="Narkisim" w:hAnsi="Narkisim"/>
          <w:rtl/>
        </w:rPr>
        <w:footnoteReference w:id="8373"/>
      </w:r>
      <w:r w:rsidRPr="007119D6">
        <w:rPr>
          <w:rFonts w:ascii="Narkisim" w:hAnsi="Narkisim"/>
          <w:rtl/>
        </w:rPr>
        <w:t xml:space="preserve"> נחשב זמן מועט, ואפשר להעיד. וכ"כ </w:t>
      </w:r>
      <w:r w:rsidRPr="007119D6">
        <w:rPr>
          <w:rFonts w:ascii="Narkisim" w:hAnsi="Narkisim"/>
          <w:b/>
          <w:bCs/>
          <w:rtl/>
        </w:rPr>
        <w:t>ה"ה</w:t>
      </w:r>
      <w:r w:rsidRPr="007119D6">
        <w:rPr>
          <w:rFonts w:ascii="Narkisim" w:hAnsi="Narkisim"/>
          <w:rtl/>
        </w:rPr>
        <w:t xml:space="preserve"> דאי"צ לאלתר ממש אלא באותה שעה</w:t>
      </w:r>
      <w:r w:rsidRPr="007119D6">
        <w:rPr>
          <w:rStyle w:val="ac"/>
          <w:rFonts w:ascii="Narkisim" w:hAnsi="Narkisim"/>
          <w:rtl/>
        </w:rPr>
        <w:footnoteReference w:id="8374"/>
      </w:r>
      <w:r w:rsidRPr="007119D6">
        <w:rPr>
          <w:rFonts w:ascii="Narkisim" w:hAnsi="Narkisim"/>
          <w:rtl/>
        </w:rPr>
        <w:t>. וב</w:t>
      </w:r>
      <w:r w:rsidRPr="007119D6">
        <w:rPr>
          <w:rFonts w:ascii="Narkisim" w:hAnsi="Narkisim"/>
          <w:b/>
          <w:bCs/>
          <w:rtl/>
        </w:rPr>
        <w:t>הג' מיימוני</w:t>
      </w:r>
      <w:r w:rsidRPr="007119D6">
        <w:rPr>
          <w:rFonts w:ascii="Narkisim" w:hAnsi="Narkisim"/>
          <w:rtl/>
        </w:rPr>
        <w:t xml:space="preserve"> כת' דמשמע מדבריהם שגרסו ברמב"ם שעה א"נ ב' שעות</w:t>
      </w:r>
      <w:r w:rsidRPr="007119D6">
        <w:rPr>
          <w:rStyle w:val="ac"/>
          <w:rFonts w:ascii="Narkisim" w:hAnsi="Narkisim"/>
          <w:rtl/>
        </w:rPr>
        <w:footnoteReference w:id="8375"/>
      </w:r>
      <w:r w:rsidRPr="007119D6">
        <w:rPr>
          <w:rFonts w:ascii="Narkisim" w:hAnsi="Narkisim"/>
          <w:rtl/>
        </w:rPr>
        <w:t xml:space="preserve"> [ולא גרסו י"ב שעות]. ועוד הביא גירסת ס' כת"י ישן 'כמה שעות'.</w:t>
      </w:r>
    </w:p>
    <w:p w14:paraId="6F697581"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הביא דלשון הרמב"ם 'ונתפח', משמע דדוקא כשרואים שנתפח, אבל לא נתפח מעידין. והרשב"א חלק דאינו נראה כן מלשון הגמרא. אלא משמע דמסתמא אין מעידין עליו, שאני אומר תפח ואינו ניכר</w:t>
      </w:r>
    </w:p>
    <w:p w14:paraId="3BCDCB20" w14:textId="77777777" w:rsidR="006C4368" w:rsidRPr="007119D6" w:rsidRDefault="006C4368" w:rsidP="006C4368">
      <w:pPr>
        <w:pStyle w:val="2"/>
        <w:bidi/>
        <w:rPr>
          <w:rFonts w:ascii="Narkisim" w:hAnsi="Narkisim"/>
        </w:rPr>
      </w:pPr>
      <w:r w:rsidRPr="007119D6">
        <w:rPr>
          <w:rFonts w:ascii="Narkisim" w:hAnsi="Narkisim"/>
          <w:rtl/>
        </w:rPr>
        <w:t>נפל למים שאין להם סוף</w:t>
      </w:r>
    </w:p>
    <w:p w14:paraId="60F66ECD" w14:textId="77777777" w:rsidR="006C4368" w:rsidRPr="007119D6" w:rsidRDefault="006C4368" w:rsidP="006C4368">
      <w:pPr>
        <w:bidi/>
        <w:rPr>
          <w:rFonts w:ascii="Narkisim" w:hAnsi="Narkisim" w:cs="Narkisim"/>
        </w:rPr>
      </w:pPr>
      <w:r w:rsidRPr="007119D6">
        <w:rPr>
          <w:rFonts w:ascii="Narkisim" w:hAnsi="Narkisim" w:cs="Narkisim"/>
          <w:u w:val="single"/>
          <w:rtl/>
        </w:rPr>
        <w:t>נפל למים בין שיש להם סוף וכו' אר"מ וכו' א"ר יוסי וכו' והשיאו את נשותיהם</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דנח' ר"מ ור' יוסי האם מתירין במים שיש להם סוף. ונח' בזה ר"מ וחכמים בברייתא. ובמים שאין להם סוף כו"ע אוסרים, ופ</w:t>
      </w:r>
      <w:r w:rsidRPr="007119D6">
        <w:rPr>
          <w:rFonts w:ascii="Narkisim" w:hAnsi="Narkisim" w:cs="Narkisim"/>
          <w:b/>
          <w:bCs/>
          <w:rtl/>
        </w:rPr>
        <w:t>רש”י</w:t>
      </w:r>
      <w:r w:rsidRPr="007119D6">
        <w:rPr>
          <w:rFonts w:ascii="Narkisim" w:hAnsi="Narkisim" w:cs="Narkisim"/>
          <w:rtl/>
        </w:rPr>
        <w:t xml:space="preserve"> (לעיל קטו.) דשמא צף מתחת למים ויצא. ו</w:t>
      </w:r>
      <w:r w:rsidRPr="007119D6">
        <w:rPr>
          <w:rFonts w:ascii="Narkisim" w:hAnsi="Narkisim" w:cs="Narkisim"/>
          <w:b/>
          <w:bCs/>
          <w:rtl/>
        </w:rPr>
        <w:t>רש"י</w:t>
      </w:r>
      <w:r w:rsidRPr="007119D6">
        <w:rPr>
          <w:rFonts w:ascii="Narkisim" w:hAnsi="Narkisim" w:cs="Narkisim"/>
          <w:rtl/>
        </w:rPr>
        <w:t xml:space="preserve"> (קכ: ד”ה מן) כת' שמא יצא מן המים ברחוק פרסה או יותר</w:t>
      </w:r>
      <w:r w:rsidRPr="007119D6">
        <w:rPr>
          <w:rStyle w:val="ac"/>
          <w:rFonts w:ascii="Narkisim" w:hAnsi="Narkisim" w:cs="Narkisim"/>
          <w:rtl/>
        </w:rPr>
        <w:footnoteReference w:id="8376"/>
      </w:r>
      <w:r w:rsidRPr="007119D6">
        <w:rPr>
          <w:rFonts w:ascii="Narkisim" w:hAnsi="Narkisim" w:cs="Narkisim"/>
          <w:rtl/>
        </w:rPr>
        <w:t>.</w:t>
      </w:r>
    </w:p>
    <w:p w14:paraId="6905A90E" w14:textId="77777777" w:rsidR="006C4368" w:rsidRPr="007119D6" w:rsidRDefault="006C4368" w:rsidP="006C4368">
      <w:pPr>
        <w:bidi/>
        <w:rPr>
          <w:rFonts w:ascii="Narkisim" w:hAnsi="Narkisim" w:cs="Narkisim"/>
        </w:rPr>
      </w:pPr>
      <w:r w:rsidRPr="007119D6">
        <w:rPr>
          <w:rFonts w:ascii="Narkisim" w:hAnsi="Narkisim" w:cs="Narkisim"/>
          <w:rtl/>
        </w:rPr>
        <w:t>ובגמ' (בע"ב) מבואר דהוה חומרא דרבנן, ואם נשאת לא תצא</w:t>
      </w:r>
      <w:r w:rsidRPr="007119D6">
        <w:rPr>
          <w:rStyle w:val="ac"/>
          <w:rFonts w:ascii="Narkisim" w:hAnsi="Narkisim" w:cs="Narkisim"/>
          <w:rtl/>
        </w:rPr>
        <w:footnoteReference w:id="8377"/>
      </w:r>
      <w:r w:rsidRPr="007119D6">
        <w:rPr>
          <w:rFonts w:ascii="Narkisim" w:hAnsi="Narkisim" w:cs="Narkisim"/>
          <w:rtl/>
        </w:rPr>
        <w:t>. ו</w:t>
      </w:r>
      <w:r w:rsidRPr="007119D6">
        <w:rPr>
          <w:rFonts w:ascii="Narkisim" w:hAnsi="Narkisim" w:cs="Narkisim"/>
          <w:b/>
          <w:bCs/>
          <w:rtl/>
        </w:rPr>
        <w:t>תוס'</w:t>
      </w:r>
      <w:r w:rsidRPr="007119D6">
        <w:rPr>
          <w:rFonts w:ascii="Narkisim" w:hAnsi="Narkisim" w:cs="Narkisim"/>
          <w:rtl/>
        </w:rPr>
        <w:t xml:space="preserve"> (לעיל לו:, וע”ז מ: בשם ר”י) ביארו דמדאורייתא מותרת ע"פ רוב. אלא דמדרבנן חיישינן למיעוט המצוי. [ועפ"ז חיישינן בכל איסורין].</w:t>
      </w:r>
    </w:p>
    <w:p w14:paraId="19335E39" w14:textId="77777777" w:rsidR="006C4368" w:rsidRPr="007119D6" w:rsidRDefault="006C4368" w:rsidP="006C4368">
      <w:pPr>
        <w:pStyle w:val="a7"/>
        <w:bidi/>
        <w:rPr>
          <w:rFonts w:ascii="Narkisim" w:hAnsi="Narkisim"/>
        </w:rPr>
      </w:pPr>
      <w:r w:rsidRPr="007119D6">
        <w:rPr>
          <w:rFonts w:ascii="Narkisim" w:hAnsi="Narkisim"/>
          <w:rtl/>
        </w:rPr>
        <w:t>אך שוב נסתפקו ה</w:t>
      </w:r>
      <w:r w:rsidRPr="007119D6">
        <w:rPr>
          <w:rFonts w:ascii="Narkisim" w:hAnsi="Narkisim"/>
          <w:b/>
          <w:bCs/>
          <w:rtl/>
        </w:rPr>
        <w:t>תוס</w:t>
      </w:r>
      <w:r w:rsidRPr="007119D6">
        <w:rPr>
          <w:rFonts w:ascii="Narkisim" w:hAnsi="Narkisim"/>
          <w:rtl/>
        </w:rPr>
        <w:t>' (לעיל לו:) דשמא משום ערוה החמירו</w:t>
      </w:r>
      <w:r w:rsidRPr="007119D6">
        <w:rPr>
          <w:rStyle w:val="ac"/>
          <w:rFonts w:ascii="Narkisim" w:hAnsi="Narkisim"/>
          <w:rtl/>
        </w:rPr>
        <w:footnoteReference w:id="8378"/>
      </w:r>
      <w:r w:rsidRPr="007119D6">
        <w:rPr>
          <w:rFonts w:ascii="Narkisim" w:hAnsi="Narkisim"/>
          <w:rtl/>
        </w:rPr>
        <w:t xml:space="preserve">. וכ"כ </w:t>
      </w:r>
      <w:r w:rsidRPr="007119D6">
        <w:rPr>
          <w:rFonts w:ascii="Narkisim" w:hAnsi="Narkisim"/>
          <w:b/>
          <w:bCs/>
          <w:rtl/>
        </w:rPr>
        <w:t>תוס'</w:t>
      </w:r>
      <w:r w:rsidRPr="007119D6">
        <w:rPr>
          <w:rFonts w:ascii="Narkisim" w:hAnsi="Narkisim"/>
          <w:rtl/>
        </w:rPr>
        <w:t xml:space="preserve"> (ב"מ כ:) דהחמירו באשת איש במים שאין להם סוף. [והחמירו באשת איש טפי מממון]. וכ"כ ה</w:t>
      </w:r>
      <w:r w:rsidRPr="007119D6">
        <w:rPr>
          <w:rFonts w:ascii="Narkisim" w:hAnsi="Narkisim"/>
          <w:b/>
          <w:bCs/>
          <w:rtl/>
        </w:rPr>
        <w:t>רמב"ם</w:t>
      </w:r>
      <w:r w:rsidRPr="007119D6">
        <w:rPr>
          <w:rFonts w:ascii="Narkisim" w:hAnsi="Narkisim"/>
          <w:rtl/>
        </w:rPr>
        <w:t xml:space="preserve"> (נחלות ז ג) דנפל במים שאין להם סוף ואבד זכרו יורדים לנחלה, שחזקתן למיתה ומהני לענין ממון. שלא החמירו בדברים אלו אלא מפני איסור כרת</w:t>
      </w:r>
      <w:r w:rsidRPr="007119D6">
        <w:rPr>
          <w:rStyle w:val="ac"/>
          <w:rFonts w:ascii="Narkisim" w:hAnsi="Narkisim"/>
          <w:rtl/>
        </w:rPr>
        <w:footnoteReference w:id="8379"/>
      </w:r>
      <w:r w:rsidRPr="007119D6">
        <w:rPr>
          <w:rFonts w:ascii="Narkisim" w:hAnsi="Narkisim"/>
          <w:rtl/>
        </w:rPr>
        <w:t>.</w:t>
      </w:r>
    </w:p>
    <w:p w14:paraId="62B265E8"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(פב) תמה האיך מתירים בדיעבד ע”פ רוב, וניחוש למיעוטא דמסייע ליה חזקה [וכדאי' לעיל קיט: דאיתרע רוב]. וכת' דשמא הקילו משום עיגונא. א"נ הוה מיעוט דלא שכיח.</w:t>
      </w:r>
    </w:p>
    <w:p w14:paraId="70FC4DC5" w14:textId="77777777" w:rsidR="006C4368" w:rsidRPr="007119D6" w:rsidRDefault="006C4368" w:rsidP="006C4368">
      <w:pPr>
        <w:bidi/>
        <w:rPr>
          <w:rFonts w:ascii="Narkisim" w:hAnsi="Narkisim" w:cs="Narkisim"/>
        </w:rPr>
      </w:pPr>
      <w:r w:rsidRPr="007119D6">
        <w:rPr>
          <w:rFonts w:ascii="Narkisim" w:hAnsi="Narkisim" w:cs="Narkisim"/>
          <w:rtl/>
        </w:rPr>
        <w:t>וב</w:t>
      </w:r>
      <w:r w:rsidRPr="007119D6">
        <w:rPr>
          <w:rFonts w:ascii="Narkisim" w:hAnsi="Narkisim" w:cs="Narkisim"/>
          <w:b/>
          <w:bCs/>
          <w:rtl/>
        </w:rPr>
        <w:t>משנה</w:t>
      </w:r>
      <w:r w:rsidRPr="007119D6">
        <w:rPr>
          <w:rFonts w:ascii="Narkisim" w:hAnsi="Narkisim" w:cs="Narkisim"/>
          <w:rtl/>
        </w:rPr>
        <w:t xml:space="preserve"> (גיטין כח:) אי' דספינה שאבדה בים נותנים להם חומרי חיים וחומרי מתים</w:t>
      </w:r>
      <w:r w:rsidRPr="007119D6">
        <w:rPr>
          <w:rStyle w:val="ac"/>
          <w:rFonts w:ascii="Narkisim" w:hAnsi="Narkisim" w:cs="Narkisim"/>
          <w:rtl/>
        </w:rPr>
        <w:footnoteReference w:id="8380"/>
      </w:r>
      <w:r w:rsidRPr="007119D6">
        <w:rPr>
          <w:rFonts w:ascii="Narkisim" w:hAnsi="Narkisim" w:cs="Narkisim"/>
          <w:rtl/>
        </w:rPr>
        <w:t>. [דאשתו אינה אוכלת בתרומה]. ופ</w:t>
      </w:r>
      <w:r w:rsidRPr="007119D6">
        <w:rPr>
          <w:rFonts w:ascii="Narkisim" w:hAnsi="Narkisim" w:cs="Narkisim"/>
          <w:b/>
          <w:bCs/>
          <w:rtl/>
        </w:rPr>
        <w:t>רש"י</w:t>
      </w:r>
      <w:r w:rsidRPr="007119D6">
        <w:rPr>
          <w:rFonts w:ascii="Narkisim" w:hAnsi="Narkisim" w:cs="Narkisim"/>
          <w:rtl/>
        </w:rPr>
        <w:t xml:space="preserve"> (שם) דאבדה בים היינו שטבעה. אבל ה</w:t>
      </w:r>
      <w:r w:rsidRPr="007119D6">
        <w:rPr>
          <w:rFonts w:ascii="Narkisim" w:hAnsi="Narkisim" w:cs="Narkisim"/>
          <w:b/>
          <w:bCs/>
          <w:rtl/>
        </w:rPr>
        <w:t>רמב"ם</w:t>
      </w:r>
      <w:r w:rsidRPr="007119D6">
        <w:rPr>
          <w:rFonts w:ascii="Narkisim" w:hAnsi="Narkisim" w:cs="Narkisim"/>
          <w:rtl/>
        </w:rPr>
        <w:t xml:space="preserve"> (פיה"מ שם, וכן גירושין ו כט, ותרומות ט ב) פי' דנשברו כליו, והספינה נשארה להנהגת המים בלי משוטות</w:t>
      </w:r>
      <w:r w:rsidRPr="007119D6">
        <w:rPr>
          <w:rStyle w:val="ac"/>
          <w:rFonts w:ascii="Narkisim" w:hAnsi="Narkisim" w:cs="Narkisim"/>
          <w:rtl/>
        </w:rPr>
        <w:footnoteReference w:id="8381"/>
      </w:r>
      <w:r w:rsidRPr="007119D6">
        <w:rPr>
          <w:rFonts w:ascii="Narkisim" w:hAnsi="Narkisim" w:cs="Narkisim"/>
          <w:rtl/>
        </w:rPr>
        <w:t>.</w:t>
      </w:r>
    </w:p>
    <w:p w14:paraId="1A406C44" w14:textId="77777777" w:rsidR="006C4368" w:rsidRPr="007119D6" w:rsidRDefault="006C4368" w:rsidP="006C4368">
      <w:pPr>
        <w:pStyle w:val="a7"/>
        <w:bidi/>
        <w:rPr>
          <w:rFonts w:ascii="Narkisim" w:hAnsi="Narkisim"/>
        </w:rPr>
      </w:pPr>
      <w:r w:rsidRPr="007119D6">
        <w:rPr>
          <w:rFonts w:ascii="Narkisim" w:hAnsi="Narkisim"/>
          <w:rtl/>
        </w:rPr>
        <w:t>ובגמ' (ב"ב קנג:) אי' דספינה שאבדה רובם מתים, ואפ"ה נתנו חומרי מתים.</w:t>
      </w:r>
    </w:p>
    <w:p w14:paraId="34861D2F" w14:textId="77777777" w:rsidR="006C4368" w:rsidRPr="007119D6" w:rsidRDefault="006C4368" w:rsidP="006C4368">
      <w:pPr>
        <w:pStyle w:val="a7"/>
        <w:bidi/>
        <w:rPr>
          <w:rFonts w:ascii="Narkisim" w:hAnsi="Narkisim"/>
        </w:rPr>
      </w:pPr>
      <w:r w:rsidRPr="007119D6">
        <w:rPr>
          <w:rFonts w:ascii="Narkisim" w:hAnsi="Narkisim"/>
          <w:rtl/>
        </w:rPr>
        <w:lastRenderedPageBreak/>
        <w:t>וה</w:t>
      </w:r>
      <w:r w:rsidRPr="007119D6">
        <w:rPr>
          <w:rFonts w:ascii="Narkisim" w:hAnsi="Narkisim"/>
          <w:b/>
          <w:bCs/>
          <w:rtl/>
        </w:rPr>
        <w:t>ריב"ש</w:t>
      </w:r>
      <w:r w:rsidRPr="007119D6">
        <w:rPr>
          <w:rFonts w:ascii="Narkisim" w:hAnsi="Narkisim"/>
          <w:rtl/>
        </w:rPr>
        <w:t xml:space="preserve"> (שעט) דייק דבהנך דהתם נותנים חומרי חיים מדינא, ואף נשאת תצא. </w:t>
      </w:r>
      <w:r w:rsidRPr="007119D6">
        <w:rPr>
          <w:rFonts w:ascii="Narkisim" w:eastAsia="Narkisim" w:hAnsi="Narkisim"/>
          <w:rtl/>
        </w:rPr>
        <w:t>ואע”פ שרובן ליאבד, כיון דאפשר בהן ההצלה אין הולכין אחר הרוב. ואע”ג דרובא וחזקה רובא עדיף, הכא איכא ב' חזקות חזקת האיש שהוא קיים, וחזקת אשת איש. וה</w:t>
      </w:r>
      <w:r w:rsidRPr="007119D6">
        <w:rPr>
          <w:rFonts w:ascii="Narkisim" w:eastAsia="Narkisim" w:hAnsi="Narkisim"/>
          <w:b/>
          <w:bCs/>
          <w:rtl/>
        </w:rPr>
        <w:t>אחרונים</w:t>
      </w:r>
      <w:r w:rsidRPr="007119D6">
        <w:rPr>
          <w:rFonts w:ascii="Narkisim" w:eastAsia="Narkisim" w:hAnsi="Narkisim"/>
          <w:rtl/>
        </w:rPr>
        <w:t xml:space="preserve"> האריכו לתמוה על דבריו</w:t>
      </w:r>
      <w:r w:rsidRPr="007119D6">
        <w:rPr>
          <w:rStyle w:val="ac"/>
          <w:rFonts w:ascii="Narkisim" w:eastAsia="Narkisim" w:hAnsi="Narkisim"/>
          <w:rtl/>
        </w:rPr>
        <w:footnoteReference w:id="8382"/>
      </w:r>
      <w:r w:rsidRPr="007119D6">
        <w:rPr>
          <w:rFonts w:ascii="Narkisim" w:eastAsia="Narkisim" w:hAnsi="Narkisim"/>
          <w:rtl/>
        </w:rPr>
        <w:t>.</w:t>
      </w:r>
    </w:p>
    <w:p w14:paraId="181A5B8F" w14:textId="77777777" w:rsidR="006C4368" w:rsidRPr="007119D6" w:rsidRDefault="006C4368" w:rsidP="006C4368">
      <w:pPr>
        <w:bidi/>
        <w:rPr>
          <w:rFonts w:ascii="Narkisim" w:hAnsi="Narkisim" w:cs="Narkisim"/>
        </w:rPr>
      </w:pPr>
      <w:r w:rsidRPr="007119D6">
        <w:rPr>
          <w:rFonts w:ascii="Narkisim" w:hAnsi="Narkisim" w:cs="Narkisim"/>
          <w:u w:val="single"/>
          <w:rtl/>
        </w:rPr>
        <w:t>ולא עלתה בידם אלא רגלו וכו'</w:t>
      </w:r>
      <w:r w:rsidRPr="007119D6">
        <w:rPr>
          <w:rFonts w:ascii="Narkisim" w:hAnsi="Narkisim" w:cs="Narkisim"/>
          <w:rtl/>
        </w:rPr>
        <w:t>. ה</w:t>
      </w:r>
      <w:r w:rsidRPr="007119D6">
        <w:rPr>
          <w:rFonts w:ascii="Narkisim" w:hAnsi="Narkisim" w:cs="Narkisim"/>
          <w:b/>
          <w:bCs/>
          <w:rtl/>
        </w:rPr>
        <w:t>רשב”א</w:t>
      </w:r>
      <w:r w:rsidRPr="007119D6">
        <w:rPr>
          <w:rFonts w:ascii="Narkisim" w:hAnsi="Narkisim" w:cs="Narkisim"/>
          <w:rtl/>
        </w:rPr>
        <w:t xml:space="preserve"> ו</w:t>
      </w:r>
      <w:r w:rsidRPr="007119D6">
        <w:rPr>
          <w:rFonts w:ascii="Narkisim" w:hAnsi="Narkisim" w:cs="Narkisim"/>
          <w:b/>
          <w:bCs/>
          <w:rtl/>
        </w:rPr>
        <w:t>ריטב"א</w:t>
      </w:r>
      <w:r w:rsidRPr="007119D6">
        <w:rPr>
          <w:rFonts w:ascii="Narkisim" w:hAnsi="Narkisim" w:cs="Narkisim"/>
          <w:rtl/>
        </w:rPr>
        <w:t xml:space="preserve"> כת' דכיון דשלשלהו והעלהו ניכר שהוא רגלו. אבל אדם שנפל לים, והשליכו מצודה לים והעלו רגל א' אין מעידים עליו, דחיישינן שמא הוה של אחר. [אא"כ יש סימן מובהק ברגל</w:t>
      </w:r>
      <w:r w:rsidRPr="007119D6">
        <w:rPr>
          <w:rStyle w:val="ac"/>
          <w:rFonts w:ascii="Narkisim" w:hAnsi="Narkisim" w:cs="Narkisim"/>
          <w:rtl/>
        </w:rPr>
        <w:footnoteReference w:id="8383"/>
      </w:r>
      <w:r w:rsidRPr="007119D6">
        <w:rPr>
          <w:rFonts w:ascii="Narkisim" w:hAnsi="Narkisim" w:cs="Narkisim"/>
          <w:rtl/>
        </w:rPr>
        <w:t>]. וע"ד הא דאי' (לעיל קטו.) גבי גברא חרוכא</w:t>
      </w:r>
      <w:r w:rsidRPr="007119D6">
        <w:rPr>
          <w:rStyle w:val="ac"/>
          <w:rFonts w:ascii="Narkisim" w:hAnsi="Narkisim" w:cs="Narkisim"/>
          <w:rtl/>
        </w:rPr>
        <w:footnoteReference w:id="8384"/>
      </w:r>
      <w:r w:rsidRPr="007119D6">
        <w:rPr>
          <w:rFonts w:ascii="Narkisim" w:hAnsi="Narkisim" w:cs="Narkisim"/>
          <w:rtl/>
        </w:rPr>
        <w:t>. וכן במעשה דב' ת"ח (לעיל קטו.) דאסקוהו, דהיכא דליכא סימנין חיישינן דהוה אחר</w:t>
      </w:r>
      <w:r w:rsidRPr="007119D6">
        <w:rPr>
          <w:rStyle w:val="ac"/>
          <w:rFonts w:ascii="Narkisim" w:hAnsi="Narkisim" w:cs="Narkisim"/>
          <w:rtl/>
        </w:rPr>
        <w:footnoteReference w:id="8385"/>
      </w:r>
      <w:r w:rsidRPr="007119D6">
        <w:rPr>
          <w:rFonts w:ascii="Narkisim" w:hAnsi="Narkisim" w:cs="Narkisim"/>
          <w:rtl/>
        </w:rPr>
        <w:t>.</w:t>
      </w:r>
    </w:p>
    <w:p w14:paraId="46373B5D"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רמב"ם</w:t>
      </w:r>
      <w:r w:rsidRPr="007119D6">
        <w:rPr>
          <w:rFonts w:ascii="Narkisim" w:hAnsi="Narkisim"/>
          <w:rtl/>
        </w:rPr>
        <w:t xml:space="preserve"> (יג טז) הביא מעשה זה שהשליכוהו לים והשליכו מצודה אחריו והעלו ממנו אבר וכו'. וה</w:t>
      </w:r>
      <w:r w:rsidRPr="007119D6">
        <w:rPr>
          <w:rFonts w:ascii="Narkisim" w:hAnsi="Narkisim"/>
          <w:b/>
          <w:bCs/>
          <w:rtl/>
        </w:rPr>
        <w:t>רשב"א</w:t>
      </w:r>
      <w:r w:rsidRPr="007119D6">
        <w:rPr>
          <w:rFonts w:ascii="Narkisim" w:hAnsi="Narkisim"/>
          <w:rtl/>
        </w:rPr>
        <w:t xml:space="preserve"> דאף שהעלו אבר סתם [ולא הכירו אותו], תמה על הרמב"ם</w:t>
      </w:r>
      <w:r w:rsidRPr="007119D6">
        <w:rPr>
          <w:rStyle w:val="ac"/>
          <w:rFonts w:ascii="Narkisim" w:hAnsi="Narkisim"/>
          <w:rtl/>
        </w:rPr>
        <w:footnoteReference w:id="8386"/>
      </w:r>
      <w:r w:rsidRPr="007119D6">
        <w:rPr>
          <w:rFonts w:ascii="Narkisim" w:hAnsi="Narkisim"/>
          <w:rtl/>
        </w:rPr>
        <w:t>. אך ה</w:t>
      </w:r>
      <w:r w:rsidRPr="007119D6">
        <w:rPr>
          <w:rFonts w:ascii="Narkisim" w:hAnsi="Narkisim"/>
          <w:b/>
          <w:bCs/>
          <w:rtl/>
        </w:rPr>
        <w:t>ריטב"א</w:t>
      </w:r>
      <w:r w:rsidRPr="007119D6">
        <w:rPr>
          <w:rFonts w:ascii="Narkisim" w:hAnsi="Narkisim"/>
          <w:rtl/>
        </w:rPr>
        <w:t xml:space="preserve"> דייק דאף הרמב"ם איירי שידוע [וניכר] שהעלו אבר זה ממנו.</w:t>
      </w:r>
    </w:p>
    <w:p w14:paraId="4FED4463"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בי"ש</w:t>
      </w:r>
      <w:r w:rsidRPr="007119D6">
        <w:rPr>
          <w:rFonts w:ascii="Narkisim" w:hAnsi="Narkisim" w:cs="Narkisim"/>
          <w:rtl/>
        </w:rPr>
        <w:t xml:space="preserve"> (יז צא) הביא בשם ה</w:t>
      </w:r>
      <w:r w:rsidRPr="007119D6">
        <w:rPr>
          <w:rFonts w:ascii="Narkisim" w:hAnsi="Narkisim" w:cs="Narkisim"/>
          <w:b/>
          <w:bCs/>
          <w:rtl/>
        </w:rPr>
        <w:t>ב”ח</w:t>
      </w:r>
      <w:r w:rsidRPr="007119D6">
        <w:rPr>
          <w:rFonts w:ascii="Narkisim" w:hAnsi="Narkisim" w:cs="Narkisim"/>
          <w:rtl/>
        </w:rPr>
        <w:t xml:space="preserve"> היכא דנפל לגוב אריות ונמצאו שם עצמות תולים בהם. וה</w:t>
      </w:r>
      <w:r w:rsidRPr="007119D6">
        <w:rPr>
          <w:rFonts w:ascii="Narkisim" w:hAnsi="Narkisim" w:cs="Narkisim"/>
          <w:b/>
          <w:bCs/>
          <w:rtl/>
        </w:rPr>
        <w:t>בי"ש</w:t>
      </w:r>
      <w:r w:rsidRPr="007119D6">
        <w:rPr>
          <w:rFonts w:ascii="Narkisim" w:hAnsi="Narkisim" w:cs="Narkisim"/>
          <w:rtl/>
        </w:rPr>
        <w:t xml:space="preserve"> כת' דאין דבריו מוכרחים, וציין דלא משמע כן בסוגיין. וכוונתו דמדברי הראשונים (הנ"ל) משמע דאף דנאבד כאן אדם צריך סימן מובהק. ולא מהני סימן בינוני בצירוף כאן נמצא כאן היה.</w:t>
      </w:r>
    </w:p>
    <w:p w14:paraId="5C656F7E" w14:textId="77777777" w:rsidR="006C4368" w:rsidRPr="007119D6" w:rsidRDefault="006C4368" w:rsidP="006C4368">
      <w:pPr>
        <w:pStyle w:val="a7"/>
        <w:bidi/>
        <w:rPr>
          <w:rFonts w:ascii="Narkisim" w:hAnsi="Narkisim"/>
        </w:rPr>
      </w:pPr>
      <w:r w:rsidRPr="007119D6">
        <w:rPr>
          <w:rFonts w:ascii="Narkisim" w:hAnsi="Narkisim"/>
          <w:rtl/>
        </w:rPr>
        <w:t xml:space="preserve">אך כמה </w:t>
      </w:r>
      <w:r w:rsidRPr="007119D6">
        <w:rPr>
          <w:rFonts w:ascii="Narkisim" w:hAnsi="Narkisim"/>
          <w:b/>
          <w:bCs/>
          <w:rtl/>
        </w:rPr>
        <w:t>פוסקים</w:t>
      </w:r>
      <w:r w:rsidRPr="007119D6">
        <w:rPr>
          <w:rFonts w:ascii="Narkisim" w:hAnsi="Narkisim"/>
          <w:rtl/>
        </w:rPr>
        <w:t xml:space="preserve"> דנו דהיכא דנאבד אדם במקום מסויים ומצאו שם הרוג דמדאורייתא אמרי' כאן נמצא כאן היה</w:t>
      </w:r>
      <w:r w:rsidRPr="007119D6">
        <w:rPr>
          <w:rStyle w:val="ac"/>
          <w:rFonts w:ascii="Narkisim" w:hAnsi="Narkisim"/>
          <w:rtl/>
        </w:rPr>
        <w:footnoteReference w:id="8387"/>
      </w:r>
      <w:r w:rsidRPr="007119D6">
        <w:rPr>
          <w:rFonts w:ascii="Narkisim" w:hAnsi="Narkisim"/>
          <w:rtl/>
        </w:rPr>
        <w:t>. וה</w:t>
      </w:r>
      <w:r w:rsidRPr="007119D6">
        <w:rPr>
          <w:rFonts w:ascii="Narkisim" w:hAnsi="Narkisim"/>
          <w:b/>
          <w:bCs/>
          <w:rtl/>
        </w:rPr>
        <w:t>שב יעקב</w:t>
      </w:r>
      <w:r w:rsidRPr="007119D6">
        <w:rPr>
          <w:rFonts w:ascii="Narkisim" w:hAnsi="Narkisim"/>
          <w:rtl/>
        </w:rPr>
        <w:t xml:space="preserve"> (ב יא הו' בש"ש ז יז) דן דתלי במח' רבי ורשב"ג (פסחים י.) בשדה שנאבד קבר, ומצאו קבר לדרבי תלינן שהוא הקבר שנאבד. והאחרונים הביאו דהבי"ש ס"ל דלא תלינן בזה.</w:t>
      </w:r>
    </w:p>
    <w:p w14:paraId="3A731355" w14:textId="77777777" w:rsidR="006C4368" w:rsidRPr="007119D6" w:rsidRDefault="006C4368" w:rsidP="006C4368">
      <w:pPr>
        <w:pStyle w:val="a8"/>
        <w:bidi/>
        <w:rPr>
          <w:rFonts w:ascii="Narkisim" w:hAnsi="Narkisim"/>
        </w:rPr>
      </w:pPr>
      <w:r w:rsidRPr="007119D6">
        <w:rPr>
          <w:rFonts w:ascii="Narkisim" w:hAnsi="Narkisim"/>
          <w:rtl/>
        </w:rPr>
        <w:t>והש"ש חילק [דל"ד לדברי רבי] דהתם איירי שהוחזק דנאבד קבר. אבל הכא נאבד אדם חי, ולא נמצא כעין שנאבד</w:t>
      </w:r>
      <w:r w:rsidRPr="007119D6">
        <w:rPr>
          <w:rStyle w:val="ac"/>
          <w:rFonts w:ascii="Narkisim" w:hAnsi="Narkisim"/>
          <w:rtl/>
        </w:rPr>
        <w:footnoteReference w:id="8388"/>
      </w:r>
      <w:r w:rsidRPr="007119D6">
        <w:rPr>
          <w:rFonts w:ascii="Narkisim" w:hAnsi="Narkisim"/>
          <w:rtl/>
        </w:rPr>
        <w:t xml:space="preserve"> [בצורה שנאבד], דזה חי וזה מת. וכה"ג לא אמרי' היינו הך</w:t>
      </w:r>
      <w:r w:rsidRPr="007119D6">
        <w:rPr>
          <w:rStyle w:val="ac"/>
          <w:rFonts w:ascii="Narkisim" w:hAnsi="Narkisim"/>
          <w:rtl/>
        </w:rPr>
        <w:footnoteReference w:id="8389"/>
      </w:r>
      <w:r w:rsidRPr="007119D6">
        <w:rPr>
          <w:rFonts w:ascii="Narkisim" w:hAnsi="Narkisim"/>
          <w:rtl/>
        </w:rPr>
        <w:t>.</w:t>
      </w:r>
    </w:p>
    <w:p w14:paraId="6BB9868F" w14:textId="77777777" w:rsidR="006C4368" w:rsidRPr="007119D6" w:rsidRDefault="006C4368" w:rsidP="006C4368">
      <w:pPr>
        <w:pStyle w:val="a8"/>
        <w:bidi/>
        <w:rPr>
          <w:rFonts w:ascii="Narkisim" w:hAnsi="Narkisim"/>
        </w:rPr>
      </w:pPr>
      <w:r w:rsidRPr="007119D6">
        <w:rPr>
          <w:rFonts w:ascii="Narkisim" w:hAnsi="Narkisim"/>
          <w:rtl/>
        </w:rPr>
        <w:t>והביא דה</w:t>
      </w:r>
      <w:r w:rsidRPr="007119D6">
        <w:rPr>
          <w:rFonts w:ascii="Narkisim" w:hAnsi="Narkisim"/>
          <w:b/>
          <w:bCs/>
          <w:rtl/>
        </w:rPr>
        <w:t>נוב"י</w:t>
      </w:r>
      <w:r w:rsidRPr="007119D6">
        <w:rPr>
          <w:rFonts w:ascii="Narkisim" w:hAnsi="Narkisim"/>
          <w:rtl/>
        </w:rPr>
        <w:t xml:space="preserve"> (ק מו) כת' דהיכא דנצלב יהודי [והוכר לאחר ג' ימים], לדעת רבי אמרי' היינו הך שנאבד</w:t>
      </w:r>
      <w:r w:rsidRPr="007119D6">
        <w:rPr>
          <w:rStyle w:val="ac"/>
          <w:rFonts w:ascii="Narkisim" w:hAnsi="Narkisim"/>
          <w:rtl/>
        </w:rPr>
        <w:footnoteReference w:id="8390"/>
      </w:r>
      <w:r w:rsidRPr="007119D6">
        <w:rPr>
          <w:rFonts w:ascii="Narkisim" w:hAnsi="Narkisim"/>
          <w:rtl/>
        </w:rPr>
        <w:t>. וה</w:t>
      </w:r>
      <w:r w:rsidRPr="007119D6">
        <w:rPr>
          <w:rFonts w:ascii="Narkisim" w:hAnsi="Narkisim"/>
          <w:b/>
          <w:bCs/>
          <w:rtl/>
        </w:rPr>
        <w:t>ש"ש</w:t>
      </w:r>
      <w:r w:rsidRPr="007119D6">
        <w:rPr>
          <w:rFonts w:ascii="Narkisim" w:hAnsi="Narkisim"/>
          <w:rtl/>
        </w:rPr>
        <w:t xml:space="preserve"> ביאר דכיון דרוב הנצלבים למיתה, מש"ה כיון דדרכו בכך אמרי' היינו הך</w:t>
      </w:r>
      <w:r w:rsidRPr="007119D6">
        <w:rPr>
          <w:rStyle w:val="ac"/>
          <w:rFonts w:ascii="Narkisim" w:hAnsi="Narkisim"/>
          <w:rtl/>
        </w:rPr>
        <w:footnoteReference w:id="8391"/>
      </w:r>
      <w:r w:rsidRPr="007119D6">
        <w:rPr>
          <w:rFonts w:ascii="Narkisim" w:hAnsi="Narkisim"/>
          <w:rtl/>
        </w:rPr>
        <w:t>.</w:t>
      </w:r>
    </w:p>
    <w:p w14:paraId="476BFE41" w14:textId="77777777" w:rsidR="006C4368" w:rsidRPr="007119D6" w:rsidRDefault="006C4368" w:rsidP="006C4368">
      <w:pPr>
        <w:pStyle w:val="a8"/>
        <w:bidi/>
        <w:rPr>
          <w:rFonts w:ascii="Narkisim" w:hAnsi="Narkisim"/>
        </w:rPr>
      </w:pPr>
      <w:r w:rsidRPr="007119D6">
        <w:rPr>
          <w:rFonts w:ascii="Narkisim" w:hAnsi="Narkisim"/>
          <w:rtl/>
        </w:rPr>
        <w:t xml:space="preserve">אך הביא דבדברי הבי"ש (הנ"ל) מבואר דאף בגוב האריות לא אמרי' כאן נמצא כאן היה. וביאר דכיון דחז"ל </w:t>
      </w:r>
      <w:r w:rsidRPr="007119D6">
        <w:rPr>
          <w:rFonts w:ascii="Narkisim" w:hAnsi="Narkisim"/>
          <w:rtl/>
        </w:rPr>
        <w:lastRenderedPageBreak/>
        <w:t>חששו</w:t>
      </w:r>
      <w:r w:rsidRPr="007119D6">
        <w:rPr>
          <w:rStyle w:val="ac"/>
          <w:rFonts w:ascii="Narkisim" w:hAnsi="Narkisim"/>
          <w:rtl/>
        </w:rPr>
        <w:footnoteReference w:id="8392"/>
      </w:r>
      <w:r w:rsidRPr="007119D6">
        <w:rPr>
          <w:rFonts w:ascii="Narkisim" w:hAnsi="Narkisim"/>
          <w:rtl/>
        </w:rPr>
        <w:t xml:space="preserve"> בהנך דאין מעידין עליהם, א"כ הוה בחזקת חיים</w:t>
      </w:r>
      <w:r w:rsidRPr="007119D6">
        <w:rPr>
          <w:rStyle w:val="ac"/>
          <w:rFonts w:ascii="Narkisim" w:hAnsi="Narkisim"/>
          <w:rtl/>
        </w:rPr>
        <w:footnoteReference w:id="8393"/>
      </w:r>
      <w:r w:rsidRPr="007119D6">
        <w:rPr>
          <w:rFonts w:ascii="Narkisim" w:hAnsi="Narkisim"/>
          <w:rtl/>
        </w:rPr>
        <w:t>. דהא ה</w:t>
      </w:r>
      <w:r w:rsidRPr="007119D6">
        <w:rPr>
          <w:rFonts w:ascii="Narkisim" w:hAnsi="Narkisim"/>
          <w:b/>
          <w:bCs/>
          <w:rtl/>
        </w:rPr>
        <w:t>ריב"ש</w:t>
      </w:r>
      <w:r w:rsidRPr="007119D6">
        <w:rPr>
          <w:rFonts w:ascii="Narkisim" w:hAnsi="Narkisim"/>
          <w:rtl/>
        </w:rPr>
        <w:t xml:space="preserve"> (שעט) כת' דכל הנך דאין מעידין עליהם [בצלוב ובגוב אריות וכו'] אפי' נשאת תצא.</w:t>
      </w:r>
    </w:p>
    <w:p w14:paraId="1505E972" w14:textId="77777777" w:rsidR="006C4368" w:rsidRPr="007119D6" w:rsidRDefault="006C4368" w:rsidP="006C4368">
      <w:pPr>
        <w:pStyle w:val="a7"/>
        <w:bidi/>
        <w:rPr>
          <w:rFonts w:ascii="Narkisim" w:hAnsi="Narkisim"/>
        </w:rPr>
      </w:pPr>
      <w:r w:rsidRPr="007119D6">
        <w:rPr>
          <w:rFonts w:ascii="Narkisim" w:hAnsi="Narkisim"/>
          <w:rtl/>
        </w:rPr>
        <w:t>אך בסוגיין מבואר דלא תלי שזהו שנאבד [וכהוכחת הבי"ש]. וה</w:t>
      </w:r>
      <w:r w:rsidRPr="007119D6">
        <w:rPr>
          <w:rFonts w:ascii="Narkisim" w:hAnsi="Narkisim"/>
          <w:b/>
          <w:bCs/>
          <w:rtl/>
        </w:rPr>
        <w:t>ש"ש</w:t>
      </w:r>
      <w:r w:rsidRPr="007119D6">
        <w:rPr>
          <w:rFonts w:ascii="Narkisim" w:hAnsi="Narkisim"/>
          <w:rtl/>
        </w:rPr>
        <w:t xml:space="preserve"> תי' דהכא העלו רק רגלו, וכיון שנאבד גוף שלם ונמצא רק רגל. ומבואר (ביצה י:) דאפי' אבדו י' מקושרין ומצאו ט' אמרי' דהלכו, והני אחריני נינהו</w:t>
      </w:r>
      <w:r w:rsidRPr="007119D6">
        <w:rPr>
          <w:rStyle w:val="ac"/>
          <w:rFonts w:ascii="Narkisim" w:hAnsi="Narkisim"/>
          <w:rtl/>
        </w:rPr>
        <w:footnoteReference w:id="8394"/>
      </w:r>
      <w:r w:rsidRPr="007119D6">
        <w:rPr>
          <w:rFonts w:ascii="Narkisim" w:hAnsi="Narkisim"/>
          <w:rtl/>
        </w:rPr>
        <w:t>.</w:t>
      </w:r>
    </w:p>
    <w:p w14:paraId="1ED9681F"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דנו די"ל דהכא העלום במקום אחר, ולא במקום ששלשלוהו.</w:t>
      </w:r>
    </w:p>
    <w:p w14:paraId="157C3F76"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חכ"צ</w:t>
      </w:r>
      <w:r w:rsidRPr="007119D6">
        <w:rPr>
          <w:rFonts w:ascii="Narkisim" w:hAnsi="Narkisim" w:cs="Narkisim"/>
          <w:rtl/>
        </w:rPr>
        <w:t xml:space="preserve"> (קלד, הו' בפתח"ת צה) דן דסגי בסימן בינוני היכא דנמצא במקום שאין שיירות מצויות, וידעינן שבעלה של זו היה במקום זה</w:t>
      </w:r>
      <w:r w:rsidRPr="007119D6">
        <w:rPr>
          <w:rStyle w:val="ac"/>
          <w:rFonts w:ascii="Narkisim" w:hAnsi="Narkisim" w:cs="Narkisim"/>
          <w:rtl/>
        </w:rPr>
        <w:footnoteReference w:id="8395"/>
      </w:r>
      <w:r w:rsidRPr="007119D6">
        <w:rPr>
          <w:rFonts w:ascii="Narkisim" w:hAnsi="Narkisim" w:cs="Narkisim"/>
          <w:rtl/>
        </w:rPr>
        <w:t>. וכמו דלא חיישינן לתרי יוסף בן שמעון במקום שאין השיירות מצויות. [ונקט דסימן בינוני הוה כמו חשש ב' יוסף בן שמעון. והאחרונים דנו על דימוי זה</w:t>
      </w:r>
      <w:r w:rsidRPr="007119D6">
        <w:rPr>
          <w:rStyle w:val="ac"/>
          <w:rFonts w:ascii="Narkisim" w:hAnsi="Narkisim" w:cs="Narkisim"/>
          <w:rtl/>
        </w:rPr>
        <w:footnoteReference w:id="8396"/>
      </w:r>
      <w:r w:rsidRPr="007119D6">
        <w:rPr>
          <w:rFonts w:ascii="Narkisim" w:hAnsi="Narkisim" w:cs="Narkisim"/>
          <w:rtl/>
        </w:rPr>
        <w:t>]. וה</w:t>
      </w:r>
      <w:r w:rsidRPr="007119D6">
        <w:rPr>
          <w:rFonts w:ascii="Narkisim" w:hAnsi="Narkisim" w:cs="Narkisim"/>
          <w:b/>
          <w:bCs/>
          <w:rtl/>
        </w:rPr>
        <w:t>אחרונים</w:t>
      </w:r>
      <w:r w:rsidRPr="007119D6">
        <w:rPr>
          <w:rFonts w:ascii="Narkisim" w:hAnsi="Narkisim" w:cs="Narkisim"/>
          <w:rtl/>
        </w:rPr>
        <w:t xml:space="preserve"> הק' דהכא דידוע ששלשלו בעלה של זה, ואפ”ה מבואר בראשונים (הנ”ל, ותוס' קטו:) דצריך סימן מובהק</w:t>
      </w:r>
      <w:r w:rsidRPr="007119D6">
        <w:rPr>
          <w:rStyle w:val="ac"/>
          <w:rFonts w:ascii="Narkisim" w:hAnsi="Narkisim" w:cs="Narkisim"/>
          <w:rtl/>
        </w:rPr>
        <w:footnoteReference w:id="8397"/>
      </w:r>
      <w:r w:rsidRPr="007119D6">
        <w:rPr>
          <w:rFonts w:ascii="Narkisim" w:hAnsi="Narkisim" w:cs="Narkisim"/>
          <w:rtl/>
        </w:rPr>
        <w:t>.</w:t>
      </w:r>
    </w:p>
    <w:p w14:paraId="5A9B4F4F" w14:textId="77777777" w:rsidR="006C4368" w:rsidRPr="007119D6" w:rsidRDefault="006C4368" w:rsidP="006C4368">
      <w:pPr>
        <w:pStyle w:val="aa"/>
        <w:bidi/>
        <w:rPr>
          <w:rFonts w:ascii="Narkisim" w:hAnsi="Narkisim"/>
        </w:rPr>
      </w:pPr>
      <w:r w:rsidRPr="007119D6">
        <w:rPr>
          <w:rFonts w:ascii="Narkisim" w:hAnsi="Narkisim"/>
          <w:u w:val="single"/>
          <w:rtl/>
        </w:rPr>
        <w:t>מן הארכובה ולמעלה תנשא וכו'</w:t>
      </w:r>
      <w:r w:rsidRPr="007119D6">
        <w:rPr>
          <w:rFonts w:ascii="Narkisim" w:hAnsi="Narkisim"/>
          <w:rtl/>
        </w:rPr>
        <w:t>. ב</w:t>
      </w:r>
      <w:r w:rsidRPr="007119D6">
        <w:rPr>
          <w:rFonts w:ascii="Narkisim" w:hAnsi="Narkisim"/>
          <w:b/>
          <w:bCs/>
          <w:rtl/>
        </w:rPr>
        <w:t>שו"ת הרא"ש</w:t>
      </w:r>
      <w:r w:rsidRPr="007119D6">
        <w:rPr>
          <w:rFonts w:ascii="Narkisim" w:hAnsi="Narkisim"/>
          <w:rtl/>
        </w:rPr>
        <w:t xml:space="preserve"> (כ טז) ר' יחיאל [בן הרא"ש] הביא דנח' (חולין עו.) עד היכן הוה מן הארכובה ולמעלה, ונקטו לחומרא. והק' דיוצא בזה קולא [בסוגיין], ואינו רשאי להחמיר בתרוייהו, דהוה ב' חומרות דסתרי אהדדי. וה</w:t>
      </w:r>
      <w:r w:rsidRPr="007119D6">
        <w:rPr>
          <w:rFonts w:ascii="Narkisim" w:hAnsi="Narkisim"/>
          <w:b/>
          <w:bCs/>
          <w:rtl/>
        </w:rPr>
        <w:t>רא"ש</w:t>
      </w:r>
      <w:r w:rsidRPr="007119D6">
        <w:rPr>
          <w:rFonts w:ascii="Narkisim" w:hAnsi="Narkisim"/>
          <w:rtl/>
        </w:rPr>
        <w:t xml:space="preserve"> השיב דדוקא בפסק הלכה ידועה אינו רשאי היכא דסתרי אהדדי. אבל הכא הוה ספק, ועבדינן לחומרא בכל דבר.</w:t>
      </w:r>
    </w:p>
    <w:p w14:paraId="133E6171" w14:textId="77777777" w:rsidR="006C4368" w:rsidRPr="007119D6" w:rsidRDefault="006C4368" w:rsidP="006C4368">
      <w:pPr>
        <w:bidi/>
        <w:rPr>
          <w:rFonts w:ascii="Narkisim" w:hAnsi="Narkisim" w:cs="Narkisim"/>
        </w:rPr>
      </w:pPr>
      <w:r w:rsidRPr="007119D6">
        <w:rPr>
          <w:rFonts w:ascii="Narkisim" w:hAnsi="Narkisim" w:cs="Narkisim"/>
          <w:u w:val="single"/>
          <w:rtl/>
        </w:rPr>
        <w:t>ה"ד מים שיש להם סוף, אמר אביי כל שעומד ורואה לד' רוחותיו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דהרואה</w:t>
      </w:r>
      <w:r w:rsidRPr="007119D6">
        <w:rPr>
          <w:rStyle w:val="ac"/>
          <w:rFonts w:ascii="Narkisim" w:hAnsi="Narkisim" w:cs="Narkisim"/>
          <w:rtl/>
        </w:rPr>
        <w:footnoteReference w:id="8398"/>
      </w:r>
      <w:r w:rsidRPr="007119D6">
        <w:rPr>
          <w:rFonts w:ascii="Narkisim" w:hAnsi="Narkisim" w:cs="Narkisim"/>
          <w:rtl/>
        </w:rPr>
        <w:t xml:space="preserve"> שנפל שם שהה בכדי שאין יכול להיות חי.</w:t>
      </w:r>
    </w:p>
    <w:p w14:paraId="5B2CFA6D" w14:textId="77777777" w:rsidR="006C4368" w:rsidRPr="007119D6" w:rsidRDefault="006C4368" w:rsidP="006C4368">
      <w:pPr>
        <w:bidi/>
        <w:rPr>
          <w:rFonts w:ascii="Narkisim" w:hAnsi="Narkisim" w:cs="Narkisim"/>
        </w:rPr>
      </w:pPr>
      <w:r w:rsidRPr="007119D6">
        <w:rPr>
          <w:rFonts w:ascii="Narkisim" w:hAnsi="Narkisim" w:cs="Narkisim"/>
          <w:rtl/>
        </w:rPr>
        <w:t>וב</w:t>
      </w:r>
      <w:r w:rsidRPr="007119D6">
        <w:rPr>
          <w:rFonts w:ascii="Narkisim" w:hAnsi="Narkisim" w:cs="Narkisim"/>
          <w:b/>
          <w:bCs/>
          <w:rtl/>
        </w:rPr>
        <w:t>שו"ת הרשב"א</w:t>
      </w:r>
      <w:r w:rsidRPr="007119D6">
        <w:rPr>
          <w:rFonts w:ascii="Narkisim" w:hAnsi="Narkisim" w:cs="Narkisim"/>
          <w:rtl/>
        </w:rPr>
        <w:t xml:space="preserve"> (מיוחסות קכח, הו' בב"י ורמ"א יז לד) כת' דכשהעידו שטבע צריך לחקור שראו שטבע ממש, ושהו כדי שתצא נפשו</w:t>
      </w:r>
      <w:r w:rsidRPr="007119D6">
        <w:rPr>
          <w:rStyle w:val="ac"/>
          <w:rFonts w:ascii="Narkisim" w:hAnsi="Narkisim" w:cs="Narkisim"/>
          <w:rtl/>
        </w:rPr>
        <w:footnoteReference w:id="8399"/>
      </w:r>
      <w:r w:rsidRPr="007119D6">
        <w:rPr>
          <w:rFonts w:ascii="Narkisim" w:hAnsi="Narkisim" w:cs="Narkisim"/>
          <w:rtl/>
        </w:rPr>
        <w:t>. ואל"כ דינו כספינה שאבד ביום דמבואר דהוה ספק, ואם נשאת תצא</w:t>
      </w:r>
      <w:r w:rsidRPr="007119D6">
        <w:rPr>
          <w:rStyle w:val="ac"/>
          <w:rFonts w:ascii="Narkisim" w:hAnsi="Narkisim" w:cs="Narkisim"/>
          <w:rtl/>
        </w:rPr>
        <w:footnoteReference w:id="8400"/>
      </w:r>
      <w:r w:rsidRPr="007119D6">
        <w:rPr>
          <w:rFonts w:ascii="Narkisim" w:hAnsi="Narkisim" w:cs="Narkisim"/>
          <w:rtl/>
        </w:rPr>
        <w:t>.</w:t>
      </w:r>
    </w:p>
    <w:p w14:paraId="67900149" w14:textId="77777777" w:rsidR="006C4368" w:rsidRPr="007119D6" w:rsidRDefault="006C4368" w:rsidP="006C4368">
      <w:pPr>
        <w:pStyle w:val="aa"/>
        <w:bidi/>
        <w:rPr>
          <w:rFonts w:ascii="Narkisim" w:hAnsi="Narkisim"/>
        </w:rPr>
      </w:pPr>
      <w:r w:rsidRPr="007119D6">
        <w:rPr>
          <w:rFonts w:ascii="Narkisim" w:hAnsi="Narkisim"/>
          <w:u w:val="single"/>
          <w:rtl/>
        </w:rPr>
        <w:t>מיטעא טעינא וכו'</w:t>
      </w:r>
      <w:r w:rsidRPr="007119D6">
        <w:rPr>
          <w:rFonts w:ascii="Narkisim" w:hAnsi="Narkisim"/>
          <w:rtl/>
        </w:rPr>
        <w:t>. ה</w:t>
      </w:r>
      <w:r w:rsidRPr="007119D6">
        <w:rPr>
          <w:rFonts w:ascii="Narkisim" w:hAnsi="Narkisim"/>
          <w:b/>
          <w:bCs/>
          <w:rtl/>
        </w:rPr>
        <w:t>גר"א</w:t>
      </w:r>
      <w:r w:rsidRPr="007119D6">
        <w:rPr>
          <w:rFonts w:ascii="Narkisim" w:hAnsi="Narkisim"/>
          <w:rtl/>
        </w:rPr>
        <w:t xml:space="preserve"> (יו"ד שלד נו) ציין מכאן מקור דהיכא דבשוגג עשה דבר שבי"ד מנדים עליו, אסור לנדותו</w:t>
      </w:r>
      <w:r w:rsidRPr="007119D6">
        <w:rPr>
          <w:rStyle w:val="ac"/>
          <w:rFonts w:ascii="Narkisim" w:hAnsi="Narkisim"/>
          <w:rtl/>
        </w:rPr>
        <w:footnoteReference w:id="8401"/>
      </w:r>
      <w:r w:rsidRPr="007119D6">
        <w:rPr>
          <w:rFonts w:ascii="Narkisim" w:hAnsi="Narkisim"/>
          <w:rtl/>
        </w:rPr>
        <w:t>.</w:t>
      </w:r>
    </w:p>
    <w:p w14:paraId="1A8E379F" w14:textId="77777777" w:rsidR="006C4368" w:rsidRPr="007119D6" w:rsidRDefault="006C4368" w:rsidP="006C4368">
      <w:pPr>
        <w:bidi/>
        <w:rPr>
          <w:rFonts w:ascii="Narkisim" w:hAnsi="Narkisim" w:cs="Narkisim"/>
        </w:rPr>
      </w:pPr>
      <w:r w:rsidRPr="007119D6">
        <w:rPr>
          <w:rFonts w:ascii="Narkisim" w:hAnsi="Narkisim" w:cs="Narkisim"/>
          <w:u w:val="single"/>
          <w:rtl/>
        </w:rPr>
        <w:t>אנא סברי כיון דקוו וקיימי כמים שיש להם סוף וכו'</w:t>
      </w:r>
      <w:r w:rsidRPr="007119D6">
        <w:rPr>
          <w:rFonts w:ascii="Narkisim" w:hAnsi="Narkisim" w:cs="Narkisim"/>
          <w:rtl/>
        </w:rPr>
        <w:t>. ה</w:t>
      </w:r>
      <w:r w:rsidRPr="007119D6">
        <w:rPr>
          <w:rFonts w:ascii="Narkisim" w:hAnsi="Narkisim" w:cs="Narkisim"/>
          <w:b/>
          <w:bCs/>
          <w:rtl/>
        </w:rPr>
        <w:t>ריטב"א</w:t>
      </w:r>
      <w:r w:rsidRPr="007119D6">
        <w:rPr>
          <w:rFonts w:ascii="Narkisim" w:hAnsi="Narkisim" w:cs="Narkisim"/>
          <w:rtl/>
        </w:rPr>
        <w:t xml:space="preserve"> הק' דבסמוך מבואר דבמים שאין להם סוף יש חשש אף משום מחילה של דגים. וקוו וקיימי ל"מ לענין מחילה של דגים. ותי' דלא שמיע ליה ברייתא דבסמוך. וה</w:t>
      </w:r>
      <w:r w:rsidRPr="007119D6">
        <w:rPr>
          <w:rFonts w:ascii="Narkisim" w:hAnsi="Narkisim" w:cs="Narkisim"/>
          <w:b/>
          <w:bCs/>
          <w:rtl/>
        </w:rPr>
        <w:t>נוב"י</w:t>
      </w:r>
      <w:r w:rsidRPr="007119D6">
        <w:rPr>
          <w:rFonts w:ascii="Narkisim" w:hAnsi="Narkisim" w:cs="Narkisim"/>
          <w:rtl/>
        </w:rPr>
        <w:t xml:space="preserve"> (ת נח) כת' דצ"ל דידעו דבאגם זו ליכא מחילה של דגים.</w:t>
      </w:r>
    </w:p>
    <w:p w14:paraId="5CF88A07" w14:textId="77777777" w:rsidR="006C4368" w:rsidRPr="007119D6" w:rsidRDefault="006C4368" w:rsidP="006C4368">
      <w:pPr>
        <w:pStyle w:val="aa"/>
        <w:bidi/>
        <w:rPr>
          <w:rFonts w:ascii="Narkisim" w:hAnsi="Narkisim"/>
        </w:rPr>
      </w:pPr>
      <w:r w:rsidRPr="007119D6">
        <w:rPr>
          <w:rFonts w:ascii="Narkisim" w:hAnsi="Narkisim"/>
          <w:rtl/>
        </w:rPr>
        <w:lastRenderedPageBreak/>
        <w:t>וה</w:t>
      </w:r>
      <w:r w:rsidRPr="007119D6">
        <w:rPr>
          <w:rFonts w:ascii="Narkisim" w:hAnsi="Narkisim"/>
          <w:b/>
          <w:bCs/>
          <w:rtl/>
        </w:rPr>
        <w:t>פוסקים</w:t>
      </w:r>
      <w:r w:rsidRPr="007119D6">
        <w:rPr>
          <w:rFonts w:ascii="Narkisim" w:hAnsi="Narkisim"/>
          <w:rtl/>
        </w:rPr>
        <w:t xml:space="preserve"> (שו"ת ב"ח עט, בי"ש צה, ט"ז מה, באר היטב ק) דנו במים קפואים ונפל בחור בקרח, דכיון דקוו וקיימא, וליכא גלי מתירין את אשתו. והאחרונים דנו ניחוש למחילה של דגים. והאריכו בזה.</w:t>
      </w:r>
    </w:p>
    <w:p w14:paraId="45D42262" w14:textId="77777777" w:rsidR="006C4368" w:rsidRPr="007119D6" w:rsidRDefault="006C4368" w:rsidP="006C4368">
      <w:pPr>
        <w:bidi/>
        <w:rPr>
          <w:rFonts w:ascii="Narkisim" w:hAnsi="Narkisim" w:cs="Narkisim"/>
        </w:rPr>
      </w:pPr>
      <w:r w:rsidRPr="007119D6">
        <w:rPr>
          <w:rFonts w:ascii="Narkisim" w:hAnsi="Narkisim" w:cs="Narkisim"/>
          <w:u w:val="single"/>
          <w:rtl/>
        </w:rPr>
        <w:t>אמר רב אשי וכו' אבל בצורבא מרבנן וכו' קלא אית ליה וכו'</w:t>
      </w:r>
      <w:r w:rsidRPr="007119D6">
        <w:rPr>
          <w:rFonts w:ascii="Narkisim" w:hAnsi="Narkisim" w:cs="Narkisim"/>
          <w:rtl/>
        </w:rPr>
        <w:t>. [ועד"ז אי' (בע"ב) לרב נחמן לחד לישנא, עע”ש].</w:t>
      </w:r>
    </w:p>
    <w:p w14:paraId="7637DC65"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(צב) הביא תשו' ה</w:t>
      </w:r>
      <w:r w:rsidRPr="007119D6">
        <w:rPr>
          <w:rFonts w:ascii="Narkisim" w:hAnsi="Narkisim"/>
          <w:b/>
          <w:bCs/>
          <w:rtl/>
        </w:rPr>
        <w:t>ר"א מוורדו"ן</w:t>
      </w:r>
      <w:r w:rsidRPr="007119D6">
        <w:rPr>
          <w:rFonts w:ascii="Narkisim" w:hAnsi="Narkisim"/>
          <w:rtl/>
        </w:rPr>
        <w:t xml:space="preserve"> דמים שאין להם סוף אשתו אינה אסורה לעולם, ולאחר כמה שנים מהני הוכחות חזקות שנטבע, דאילו עלה היו שומעים ממנו. וה</w:t>
      </w:r>
      <w:r w:rsidRPr="007119D6">
        <w:rPr>
          <w:rFonts w:ascii="Narkisim" w:hAnsi="Narkisim"/>
          <w:b/>
          <w:bCs/>
          <w:rtl/>
        </w:rPr>
        <w:t>מרדכי</w:t>
      </w:r>
      <w:r w:rsidRPr="007119D6">
        <w:rPr>
          <w:rFonts w:ascii="Narkisim" w:hAnsi="Narkisim"/>
          <w:rtl/>
        </w:rPr>
        <w:t xml:space="preserve"> חלק דאף רב אשי ס"ד דוקא צורבא מרבנן לאחר זמן</w:t>
      </w:r>
      <w:r w:rsidRPr="007119D6">
        <w:rPr>
          <w:rStyle w:val="ac"/>
          <w:rFonts w:ascii="Narkisim" w:hAnsi="Narkisim"/>
          <w:rtl/>
        </w:rPr>
        <w:footnoteReference w:id="8402"/>
      </w:r>
      <w:r w:rsidRPr="007119D6">
        <w:rPr>
          <w:rFonts w:ascii="Narkisim" w:hAnsi="Narkisim"/>
          <w:rtl/>
        </w:rPr>
        <w:t xml:space="preserve">. והביא בשם </w:t>
      </w:r>
      <w:r w:rsidRPr="007119D6">
        <w:rPr>
          <w:rFonts w:ascii="Narkisim" w:hAnsi="Narkisim"/>
          <w:b/>
          <w:bCs/>
          <w:rtl/>
        </w:rPr>
        <w:t>ראבי"ה</w:t>
      </w:r>
      <w:r w:rsidRPr="007119D6">
        <w:rPr>
          <w:rFonts w:ascii="Narkisim" w:hAnsi="Narkisim"/>
          <w:rtl/>
        </w:rPr>
        <w:t xml:space="preserve"> דאין בידינו לבדות זמן מלבנו ודברים בלא ראיה ולתת אמתלאות. ובמקום שרצו חכמים להתיר פירשו הדברים.</w:t>
      </w:r>
    </w:p>
    <w:p w14:paraId="580F03E1"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ב"י</w:t>
      </w:r>
      <w:r w:rsidRPr="007119D6">
        <w:rPr>
          <w:rFonts w:ascii="Narkisim" w:hAnsi="Narkisim"/>
          <w:rtl/>
        </w:rPr>
        <w:t xml:space="preserve"> (יז לב) כת' כמה רברבי חולקין על ר' אליעזר מורדון בטעמים נכוחים וברורים, ודברי רבי אליעזר אין להם על מה שיסמוכו. וכל הגס לבו בהוראה להתיר אשה על פי אותה תשובה עתיד ליתן את הדין לכן שומר נפשו ירחק ממנה.</w:t>
      </w:r>
    </w:p>
    <w:p w14:paraId="5314ABE0"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תה"ד</w:t>
      </w:r>
      <w:r w:rsidRPr="007119D6">
        <w:rPr>
          <w:rFonts w:ascii="Narkisim" w:hAnsi="Narkisim" w:cs="Narkisim"/>
          <w:rtl/>
        </w:rPr>
        <w:t xml:space="preserve"> (ב קלט) כת' דנראה דבזה"ז אפי' אדם בינוני</w:t>
      </w:r>
      <w:r w:rsidRPr="007119D6">
        <w:rPr>
          <w:rStyle w:val="ac"/>
          <w:rFonts w:ascii="Narkisim" w:hAnsi="Narkisim" w:cs="Narkisim"/>
          <w:rtl/>
        </w:rPr>
        <w:footnoteReference w:id="8403"/>
      </w:r>
      <w:r w:rsidRPr="007119D6">
        <w:rPr>
          <w:rFonts w:ascii="Narkisim" w:hAnsi="Narkisim" w:cs="Narkisim"/>
          <w:rtl/>
        </w:rPr>
        <w:t xml:space="preserve"> [שאינו צורבא מדרבנן] אמרי' אם איתא דחי היה קול זה כמה שנים</w:t>
      </w:r>
      <w:r w:rsidRPr="007119D6">
        <w:rPr>
          <w:rStyle w:val="ac"/>
          <w:rFonts w:ascii="Narkisim" w:hAnsi="Narkisim" w:cs="Narkisim"/>
          <w:rtl/>
        </w:rPr>
        <w:footnoteReference w:id="8404"/>
      </w:r>
      <w:r w:rsidRPr="007119D6">
        <w:rPr>
          <w:rFonts w:ascii="Narkisim" w:hAnsi="Narkisim" w:cs="Narkisim"/>
          <w:rtl/>
        </w:rPr>
        <w:t>.</w:t>
      </w:r>
    </w:p>
    <w:p w14:paraId="5B1281BF" w14:textId="77777777" w:rsidR="006C4368" w:rsidRPr="007119D6" w:rsidRDefault="006C4368" w:rsidP="006C4368">
      <w:pPr>
        <w:pStyle w:val="a7"/>
        <w:bidi/>
        <w:rPr>
          <w:rFonts w:ascii="Narkisim" w:hAnsi="Narkisim"/>
        </w:rPr>
      </w:pPr>
      <w:r w:rsidRPr="007119D6">
        <w:rPr>
          <w:rFonts w:ascii="Narkisim" w:hAnsi="Narkisim"/>
          <w:rtl/>
        </w:rPr>
        <w:t>והתה"ד כת' דאף דמסיק הגמ' דלא שנא צורבא מרבנן ול"ש איניש דעלמא, היינו לכתחילה, וכדמסיק דיעבד אין לכתחילה לא. דלכתחילה אין לנו לחלק בגזירות חכמים, דאין לבדות חלוקים מלבנו. אבל דיעבד שפיר דמי למיזל בתר אומדנא דמוכח טובא כי הך.</w:t>
      </w:r>
    </w:p>
    <w:p w14:paraId="70086043"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רדב"ז</w:t>
      </w:r>
      <w:r w:rsidRPr="007119D6">
        <w:rPr>
          <w:rFonts w:ascii="Narkisim" w:hAnsi="Narkisim"/>
          <w:rtl/>
        </w:rPr>
        <w:t xml:space="preserve"> (א תקכו הו' בפתח"ת יז עז) האריך לחלוק מכמה טעמים</w:t>
      </w:r>
      <w:r w:rsidRPr="007119D6">
        <w:rPr>
          <w:rStyle w:val="ac"/>
          <w:rFonts w:ascii="Narkisim" w:hAnsi="Narkisim"/>
          <w:rtl/>
        </w:rPr>
        <w:footnoteReference w:id="8405"/>
      </w:r>
      <w:r w:rsidRPr="007119D6">
        <w:rPr>
          <w:rFonts w:ascii="Narkisim" w:hAnsi="Narkisim"/>
          <w:rtl/>
        </w:rPr>
        <w:t>, דאין משיאין ע”פ אומדנא</w:t>
      </w:r>
      <w:r w:rsidRPr="007119D6">
        <w:rPr>
          <w:rStyle w:val="ac"/>
          <w:rFonts w:ascii="Narkisim" w:hAnsi="Narkisim"/>
          <w:rtl/>
        </w:rPr>
        <w:footnoteReference w:id="8406"/>
      </w:r>
      <w:r w:rsidRPr="007119D6">
        <w:rPr>
          <w:rFonts w:ascii="Narkisim" w:hAnsi="Narkisim"/>
          <w:rtl/>
        </w:rPr>
        <w:t xml:space="preserve">. </w:t>
      </w:r>
      <w:r w:rsidRPr="007119D6">
        <w:rPr>
          <w:rFonts w:ascii="Narkisim" w:hAnsi="Narkisim"/>
          <w:szCs w:val="20"/>
          <w:rtl/>
        </w:rPr>
        <w:t>ועוד דשמא נעשה בעל מום, ומשום כיסופא אזל לעלמא (וכההיא דלעיל קטו.), או שמא נשבה, או שמא נטלו ליסטים רכושו או נשאר עליו חובות והוכרח לברוח מעבר לים.</w:t>
      </w:r>
    </w:p>
    <w:p w14:paraId="0C61EF6A"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חת"ס</w:t>
      </w:r>
      <w:r w:rsidRPr="007119D6">
        <w:rPr>
          <w:rFonts w:ascii="Narkisim" w:hAnsi="Narkisim"/>
          <w:rtl/>
        </w:rPr>
        <w:t xml:space="preserve"> (נח הו' בפתח"ת קלח) כת' דידוע שעתה נשתנו הזמנים שעתה קביע בי דואר בכל המדינות ואילו היה עולה מהמים בכל מקום שהוא היה מודיע לביתו ע"י אגרת וכדו'. וכן החשש (לעיל קטו.) דשמא מחמת כיסופא ערק לעלמא, גם זה נשתנה בזמנינו. דעתה ברי לנו דאפי' אי נשברו כל אבריו היה בא או מודיע לבני ביתו ולא היה בזה שום כיסופא.</w:t>
      </w:r>
    </w:p>
    <w:p w14:paraId="242A7FC4" w14:textId="77777777" w:rsidR="006C4368" w:rsidRPr="007119D6" w:rsidRDefault="006C4368" w:rsidP="006C4368">
      <w:pPr>
        <w:pStyle w:val="a8"/>
        <w:bidi/>
        <w:rPr>
          <w:rFonts w:ascii="Narkisim" w:hAnsi="Narkisim"/>
        </w:rPr>
      </w:pPr>
      <w:r w:rsidRPr="007119D6">
        <w:rPr>
          <w:rFonts w:ascii="Narkisim" w:hAnsi="Narkisim"/>
          <w:rtl/>
        </w:rPr>
        <w:t>וכת' דנהי דמ"מ יש לתת סיבות המונעות מכל הנ"ל [שנאנס שלא יוכל להודיע], ומש"ה א"א להתיר את האשה בכך, מ"מ אותן הסיבות הוה בגדר מיעוט. ובצירוף כל הסברות האלו מועילות להוציא את האשה מחשש איסור דאורייתא.</w:t>
      </w:r>
    </w:p>
    <w:p w14:paraId="0D7435E8" w14:textId="77777777" w:rsidR="006C4368" w:rsidRPr="007119D6" w:rsidRDefault="006C4368" w:rsidP="006C4368">
      <w:pPr>
        <w:bidi/>
        <w:rPr>
          <w:rFonts w:ascii="Narkisim" w:hAnsi="Narkisim" w:cs="Narkisim"/>
        </w:rPr>
      </w:pPr>
      <w:r w:rsidRPr="007119D6">
        <w:rPr>
          <w:rFonts w:ascii="Narkisim" w:hAnsi="Narkisim" w:cs="Narkisim"/>
          <w:u w:val="single"/>
          <w:rtl/>
        </w:rPr>
        <w:t>תוד"ה ולא היא</w:t>
      </w:r>
      <w:r w:rsidRPr="007119D6">
        <w:rPr>
          <w:rFonts w:ascii="Narkisim" w:hAnsi="Narkisim" w:cs="Narkisim"/>
          <w:rtl/>
        </w:rPr>
        <w:t>. מ"מ לא חיישינן לאותו רוב, ולא תנשא לכתחילה</w:t>
      </w:r>
      <w:r w:rsidRPr="007119D6">
        <w:rPr>
          <w:rStyle w:val="ac"/>
          <w:rFonts w:ascii="Narkisim" w:hAnsi="Narkisim" w:cs="Narkisim"/>
          <w:rtl/>
        </w:rPr>
        <w:footnoteReference w:id="8407"/>
      </w:r>
      <w:r w:rsidRPr="007119D6">
        <w:rPr>
          <w:rFonts w:ascii="Narkisim" w:hAnsi="Narkisim" w:cs="Narkisim"/>
          <w:rtl/>
        </w:rPr>
        <w:t>, כמו גבי גוססין</w:t>
      </w:r>
      <w:r w:rsidRPr="007119D6">
        <w:rPr>
          <w:rStyle w:val="ac"/>
          <w:rFonts w:ascii="Narkisim" w:hAnsi="Narkisim" w:cs="Narkisim"/>
          <w:rtl/>
        </w:rPr>
        <w:footnoteReference w:id="8408"/>
      </w:r>
      <w:r w:rsidRPr="007119D6">
        <w:rPr>
          <w:rFonts w:ascii="Narkisim" w:hAnsi="Narkisim" w:cs="Narkisim"/>
          <w:rtl/>
        </w:rPr>
        <w:t xml:space="preserve"> וכו'. וכמ"ש </w:t>
      </w:r>
      <w:r w:rsidRPr="007119D6">
        <w:rPr>
          <w:rFonts w:ascii="Narkisim" w:hAnsi="Narkisim" w:cs="Narkisim"/>
          <w:b/>
          <w:bCs/>
          <w:rtl/>
        </w:rPr>
        <w:t>תוס</w:t>
      </w:r>
      <w:r w:rsidRPr="007119D6">
        <w:rPr>
          <w:rFonts w:ascii="Narkisim" w:hAnsi="Narkisim" w:cs="Narkisim"/>
          <w:rtl/>
        </w:rPr>
        <w:t>' (הו' לעיל) דהחמירו שלא להתיר ע"פ רוב במים שאין להם סוף. [וצ”ע אמאי תוס' לא הביאו ממים שאין להם סוף].</w:t>
      </w:r>
    </w:p>
    <w:p w14:paraId="3E44C57F"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ה</w:t>
      </w:r>
      <w:r w:rsidRPr="007119D6">
        <w:rPr>
          <w:rFonts w:ascii="Narkisim" w:hAnsi="Narkisim" w:cs="Narkisim"/>
          <w:b/>
          <w:bCs/>
          <w:rtl/>
        </w:rPr>
        <w:t>פתח"ת</w:t>
      </w:r>
      <w:r w:rsidRPr="007119D6">
        <w:rPr>
          <w:rFonts w:ascii="Narkisim" w:hAnsi="Narkisim" w:cs="Narkisim"/>
          <w:rtl/>
        </w:rPr>
        <w:t xml:space="preserve"> (יז קלג) הביא משו"ת </w:t>
      </w:r>
      <w:r w:rsidRPr="007119D6">
        <w:rPr>
          <w:rFonts w:ascii="Narkisim" w:hAnsi="Narkisim" w:cs="Narkisim"/>
          <w:b/>
          <w:bCs/>
          <w:rtl/>
        </w:rPr>
        <w:t>קהלת יעקב</w:t>
      </w:r>
      <w:r w:rsidRPr="007119D6">
        <w:rPr>
          <w:rFonts w:ascii="Narkisim" w:hAnsi="Narkisim" w:cs="Narkisim"/>
          <w:rtl/>
        </w:rPr>
        <w:t xml:space="preserve"> (קארלין ט, ועוד אחרונים) דנהי דהחמירו שלא להשיא אשה ע"פ רוב, אבל היכא דיש תרי רובא מתירין</w:t>
      </w:r>
      <w:r w:rsidRPr="007119D6">
        <w:rPr>
          <w:rStyle w:val="ac"/>
          <w:rFonts w:ascii="Narkisim" w:hAnsi="Narkisim" w:cs="Narkisim"/>
          <w:rtl/>
        </w:rPr>
        <w:footnoteReference w:id="8409"/>
      </w:r>
      <w:r w:rsidRPr="007119D6">
        <w:rPr>
          <w:rFonts w:ascii="Narkisim" w:hAnsi="Narkisim" w:cs="Narkisim"/>
          <w:rtl/>
        </w:rPr>
        <w:t xml:space="preserve">. [ע"ד הא דאי' (כתובות טו.) </w:t>
      </w:r>
      <w:r w:rsidRPr="007119D6">
        <w:rPr>
          <w:rFonts w:ascii="Narkisim" w:hAnsi="Narkisim" w:cs="Narkisim"/>
          <w:rtl/>
        </w:rPr>
        <w:lastRenderedPageBreak/>
        <w:t>דעשו מעלה ביוחסין שלא להתיר ע"פ רוב, ואפ"ה מהני תרי רובא</w:t>
      </w:r>
      <w:r w:rsidRPr="007119D6">
        <w:rPr>
          <w:rStyle w:val="ac"/>
          <w:rFonts w:ascii="Narkisim" w:hAnsi="Narkisim" w:cs="Narkisim"/>
          <w:rtl/>
        </w:rPr>
        <w:footnoteReference w:id="8410"/>
      </w:r>
      <w:r w:rsidRPr="007119D6">
        <w:rPr>
          <w:rFonts w:ascii="Narkisim" w:hAnsi="Narkisim" w:cs="Narkisim"/>
          <w:rtl/>
        </w:rPr>
        <w:t>]. וה</w:t>
      </w:r>
      <w:r w:rsidRPr="007119D6">
        <w:rPr>
          <w:rFonts w:ascii="Narkisim" w:hAnsi="Narkisim" w:cs="Narkisim"/>
          <w:b/>
          <w:bCs/>
          <w:rtl/>
        </w:rPr>
        <w:t>פתח"ת</w:t>
      </w:r>
      <w:r w:rsidRPr="007119D6">
        <w:rPr>
          <w:rFonts w:ascii="Narkisim" w:hAnsi="Narkisim" w:cs="Narkisim"/>
          <w:rtl/>
        </w:rPr>
        <w:t xml:space="preserve"> הק' דבתוס' דידן מבואר דל"מ תרי רובי, רוב דמים שאין להם סוף, ורוב דתלמיד חכם. ואפ"ה לא תנשא לכתחילה</w:t>
      </w:r>
      <w:r w:rsidRPr="007119D6">
        <w:rPr>
          <w:rStyle w:val="ac"/>
          <w:rFonts w:ascii="Narkisim" w:hAnsi="Narkisim" w:cs="Narkisim"/>
          <w:rtl/>
        </w:rPr>
        <w:footnoteReference w:id="8411"/>
      </w:r>
      <w:r w:rsidRPr="007119D6">
        <w:rPr>
          <w:rFonts w:ascii="Narkisim" w:hAnsi="Narkisim" w:cs="Narkisim"/>
          <w:rtl/>
        </w:rPr>
        <w:t>. וכת' מיהו אפשר לחלק, וצ"ע. וה</w:t>
      </w:r>
      <w:r w:rsidRPr="007119D6">
        <w:rPr>
          <w:rFonts w:ascii="Narkisim" w:hAnsi="Narkisim" w:cs="Narkisim"/>
          <w:b/>
          <w:bCs/>
          <w:rtl/>
        </w:rPr>
        <w:t>אחרונים</w:t>
      </w:r>
      <w:r w:rsidRPr="007119D6">
        <w:rPr>
          <w:rFonts w:ascii="Narkisim" w:hAnsi="Narkisim" w:cs="Narkisim"/>
          <w:rtl/>
        </w:rPr>
        <w:t xml:space="preserve"> חילקו דדוקא היכא דתרי רובי הוה על זמן א' התירו. אבל במים שאין להם סוף, אף דיש רוב שטבע במים. אבל הרוב דצורבא מדרבנן הוה לאחר זמן.</w:t>
      </w:r>
    </w:p>
    <w:p w14:paraId="6F596629" w14:textId="77777777" w:rsidR="006C4368" w:rsidRPr="007119D6" w:rsidRDefault="006C4368" w:rsidP="006C4368">
      <w:pPr>
        <w:bidi/>
        <w:rPr>
          <w:rFonts w:ascii="Narkisim" w:hAnsi="Narkisim" w:cs="Narkisim"/>
        </w:rPr>
      </w:pPr>
      <w:r w:rsidRPr="007119D6">
        <w:rPr>
          <w:rFonts w:ascii="Narkisim" w:hAnsi="Narkisim" w:cs="Narkisim"/>
          <w:u w:val="single"/>
          <w:rtl/>
        </w:rPr>
        <w:t>ומנו ר"ע וכו' דף של ספינה נזדמן לי</w:t>
      </w:r>
      <w:r w:rsidRPr="007119D6">
        <w:rPr>
          <w:rStyle w:val="ac"/>
          <w:rFonts w:ascii="Narkisim" w:hAnsi="Narkisim" w:cs="Narkisim"/>
          <w:u w:val="single"/>
          <w:rtl/>
        </w:rPr>
        <w:footnoteReference w:id="8412"/>
      </w:r>
      <w:r w:rsidRPr="007119D6">
        <w:rPr>
          <w:rFonts w:ascii="Narkisim" w:hAnsi="Narkisim" w:cs="Narkisim"/>
          <w:u w:val="single"/>
          <w:rtl/>
        </w:rPr>
        <w:t xml:space="preserve"> וכו' ומנו ר' מאיר וכו' גל טרדני לחבירו וכו'</w:t>
      </w:r>
      <w:r w:rsidRPr="007119D6">
        <w:rPr>
          <w:rFonts w:ascii="Narkisim" w:hAnsi="Narkisim" w:cs="Narkisim"/>
          <w:rtl/>
        </w:rPr>
        <w:t>. ב</w:t>
      </w:r>
      <w:r w:rsidRPr="007119D6">
        <w:rPr>
          <w:rFonts w:ascii="Narkisim" w:hAnsi="Narkisim" w:cs="Narkisim"/>
          <w:b/>
          <w:bCs/>
          <w:rtl/>
        </w:rPr>
        <w:t>שו"ת הב"ח</w:t>
      </w:r>
      <w:r w:rsidRPr="007119D6">
        <w:rPr>
          <w:rFonts w:ascii="Narkisim" w:hAnsi="Narkisim" w:cs="Narkisim"/>
          <w:rtl/>
        </w:rPr>
        <w:t xml:space="preserve"> (עט) ביאר דבמעשה דר"ע נשברה הספינה, ונזדמן לו דף מהספינה לתפוס בו. אבל במעשה דר' מאיר טבע הספינה שלם [ולא היה לו במה לתפוס], ומש"ה הוצרך לטעם שהגל טורדו. והב"ח כת' דבמקום שאין גלים או דף של ספינה, וכגון שנטבע במים שתחת הקרח, א"כ אשתו שריא.</w:t>
      </w:r>
    </w:p>
    <w:p w14:paraId="53B1289B" w14:textId="77777777" w:rsidR="006C4368" w:rsidRPr="007119D6" w:rsidRDefault="006C4368" w:rsidP="006C4368">
      <w:pPr>
        <w:bidi/>
        <w:rPr>
          <w:rFonts w:ascii="Narkisim" w:hAnsi="Narkisim" w:cs="Narkisim"/>
        </w:rPr>
      </w:pPr>
      <w:r w:rsidRPr="007119D6">
        <w:rPr>
          <w:rFonts w:ascii="Narkisim" w:hAnsi="Narkisim" w:cs="Narkisim"/>
          <w:rtl/>
        </w:rPr>
        <w:t>וב</w:t>
      </w:r>
      <w:r w:rsidRPr="007119D6">
        <w:rPr>
          <w:rFonts w:ascii="Narkisim" w:hAnsi="Narkisim" w:cs="Narkisim"/>
          <w:b/>
          <w:bCs/>
          <w:rtl/>
        </w:rPr>
        <w:t>שו"ת מהר"ם מרוטנבורג</w:t>
      </w:r>
      <w:r w:rsidRPr="007119D6">
        <w:rPr>
          <w:rFonts w:ascii="Narkisim" w:hAnsi="Narkisim" w:cs="Narkisim"/>
          <w:rtl/>
        </w:rPr>
        <w:t xml:space="preserve"> (ד"פ תתקעא) הביא צד דכשתבע במקום שיש מכשולים ותקולין ונסין באמצע הנהר וסלעים וחתיכות גסות של גליד מכסים את הנטבע והם דוחקים אותו לעומק</w:t>
      </w:r>
      <w:r w:rsidRPr="007119D6">
        <w:rPr>
          <w:rStyle w:val="ac"/>
          <w:rFonts w:ascii="Narkisim" w:hAnsi="Narkisim" w:cs="Narkisim"/>
          <w:rtl/>
        </w:rPr>
        <w:footnoteReference w:id="8413"/>
      </w:r>
      <w:r w:rsidRPr="007119D6">
        <w:rPr>
          <w:rFonts w:ascii="Narkisim" w:hAnsi="Narkisim" w:cs="Narkisim"/>
          <w:rtl/>
        </w:rPr>
        <w:t>. אך דחה דאין לנו אלא דברי רבותינו שאמרו דאשתו אסורה כו' וכבר טרחו קמאי דלקמן למצא צד היתר ולא עלה בידם.</w:t>
      </w:r>
    </w:p>
    <w:p w14:paraId="4E6FA9EF" w14:textId="77777777" w:rsidR="006C4368" w:rsidRPr="007119D6" w:rsidRDefault="006C4368" w:rsidP="006C4368">
      <w:pPr>
        <w:pStyle w:val="aa"/>
        <w:bidi/>
        <w:rPr>
          <w:rFonts w:ascii="Narkisim" w:hAnsi="Narkisim"/>
        </w:rPr>
      </w:pPr>
      <w:r w:rsidRPr="007119D6">
        <w:rPr>
          <w:rFonts w:ascii="Narkisim" w:hAnsi="Narkisim"/>
          <w:u w:val="single"/>
          <w:rtl/>
        </w:rPr>
        <w:t>ת"ר נפל לגוב אריות אין מעידין עליו וכו'</w:t>
      </w:r>
      <w:r w:rsidRPr="007119D6">
        <w:rPr>
          <w:rFonts w:ascii="Narkisim" w:hAnsi="Narkisim"/>
          <w:rtl/>
        </w:rPr>
        <w:t>. ה</w:t>
      </w:r>
      <w:r w:rsidRPr="007119D6">
        <w:rPr>
          <w:rFonts w:ascii="Narkisim" w:hAnsi="Narkisim"/>
          <w:b/>
          <w:bCs/>
          <w:rtl/>
        </w:rPr>
        <w:t>ריב"ש</w:t>
      </w:r>
      <w:r w:rsidRPr="007119D6">
        <w:rPr>
          <w:rFonts w:ascii="Narkisim" w:hAnsi="Narkisim"/>
          <w:rtl/>
        </w:rPr>
        <w:t xml:space="preserve"> (שעט) כת' דבכל הנך דאי' אין מעידין עליו, אף אם נשאת תצא. ובפשוטו משמע מדבריו דהוה מדאורייתא. אבל ה</w:t>
      </w:r>
      <w:r w:rsidRPr="007119D6">
        <w:rPr>
          <w:rFonts w:ascii="Narkisim" w:hAnsi="Narkisim"/>
          <w:b/>
          <w:bCs/>
          <w:rtl/>
        </w:rPr>
        <w:t>פוסקים</w:t>
      </w:r>
      <w:r w:rsidRPr="007119D6">
        <w:rPr>
          <w:rFonts w:ascii="Narkisim" w:hAnsi="Narkisim"/>
          <w:rtl/>
        </w:rPr>
        <w:t xml:space="preserve"> נקטו דהוה מדרבנן, ובהנך החמירו טפי.</w:t>
      </w:r>
    </w:p>
    <w:p w14:paraId="2CD717AF" w14:textId="77777777" w:rsidR="006C4368" w:rsidRPr="007119D6" w:rsidRDefault="006C4368" w:rsidP="006C4368">
      <w:pPr>
        <w:pStyle w:val="3"/>
        <w:bidi/>
        <w:rPr>
          <w:rFonts w:ascii="Narkisim" w:hAnsi="Narkisim"/>
        </w:rPr>
      </w:pPr>
      <w:r w:rsidRPr="007119D6">
        <w:rPr>
          <w:rFonts w:ascii="Narkisim" w:hAnsi="Narkisim"/>
          <w:rtl/>
        </w:rPr>
        <w:t>דף קכא:</w:t>
      </w:r>
    </w:p>
    <w:p w14:paraId="52B45097" w14:textId="77777777" w:rsidR="006C4368" w:rsidRPr="007119D6" w:rsidRDefault="006C4368" w:rsidP="006C4368">
      <w:pPr>
        <w:pStyle w:val="aa"/>
        <w:bidi/>
        <w:rPr>
          <w:rFonts w:ascii="Narkisim" w:hAnsi="Narkisim"/>
        </w:rPr>
      </w:pPr>
      <w:r w:rsidRPr="007119D6">
        <w:rPr>
          <w:rFonts w:ascii="Narkisim" w:hAnsi="Narkisim"/>
          <w:u w:val="single"/>
          <w:rtl/>
        </w:rPr>
        <w:t>ת"ר נפל לכבשן האש מעידים עליו</w:t>
      </w:r>
      <w:r w:rsidRPr="007119D6">
        <w:rPr>
          <w:rFonts w:ascii="Narkisim" w:hAnsi="Narkisim"/>
          <w:rtl/>
        </w:rPr>
        <w:t>. ה</w:t>
      </w:r>
      <w:r w:rsidRPr="007119D6">
        <w:rPr>
          <w:rFonts w:ascii="Narkisim" w:hAnsi="Narkisim"/>
          <w:b/>
          <w:bCs/>
          <w:rtl/>
        </w:rPr>
        <w:t>רשב"א</w:t>
      </w:r>
      <w:r w:rsidRPr="007119D6">
        <w:rPr>
          <w:rFonts w:ascii="Narkisim" w:hAnsi="Narkisim"/>
          <w:rtl/>
        </w:rPr>
        <w:t xml:space="preserve"> כת' דדוקא נקט כבשן עמוק שאינו יכול לעלות ממנו, דאילו לתוך מדוקה אין מעידין עליו שמא יצא משם. אא"כ שהו שם עד ששהה באור כדי שישרף.</w:t>
      </w:r>
    </w:p>
    <w:p w14:paraId="6A849DA6" w14:textId="77777777" w:rsidR="006C4368" w:rsidRPr="007119D6" w:rsidRDefault="006C4368" w:rsidP="006C4368">
      <w:pPr>
        <w:pStyle w:val="aa"/>
        <w:bidi/>
        <w:rPr>
          <w:rFonts w:ascii="Narkisim" w:hAnsi="Narkisim"/>
        </w:rPr>
      </w:pPr>
      <w:r w:rsidRPr="007119D6">
        <w:rPr>
          <w:rFonts w:ascii="Narkisim" w:hAnsi="Narkisim"/>
          <w:u w:val="single"/>
          <w:rtl/>
        </w:rPr>
        <w:t>של יין אין מעידין עליו מפני שהוא מכבה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כשנופל ליורה ניתז היין על האור ומכבהו, והיורה יצטנן. ואמרו לו דסופו מבעיר, פ</w:t>
      </w:r>
      <w:r w:rsidRPr="007119D6">
        <w:rPr>
          <w:rFonts w:ascii="Narkisim" w:hAnsi="Narkisim"/>
          <w:b/>
          <w:bCs/>
          <w:rtl/>
        </w:rPr>
        <w:t>רש"י</w:t>
      </w:r>
      <w:r w:rsidRPr="007119D6">
        <w:rPr>
          <w:rFonts w:ascii="Narkisim" w:hAnsi="Narkisim"/>
          <w:rtl/>
        </w:rPr>
        <w:t xml:space="preserve"> דהדרך דאחרי שכיבו במים חוזר ודולק יותר</w:t>
      </w:r>
      <w:r w:rsidRPr="007119D6">
        <w:rPr>
          <w:rStyle w:val="ac"/>
          <w:rFonts w:ascii="Narkisim" w:hAnsi="Narkisim"/>
          <w:rtl/>
        </w:rPr>
        <w:footnoteReference w:id="8414"/>
      </w:r>
      <w:r w:rsidRPr="007119D6">
        <w:rPr>
          <w:rFonts w:ascii="Narkisim" w:hAnsi="Narkisim"/>
          <w:rtl/>
        </w:rPr>
        <w:t xml:space="preserve"> [ותלינן דודאי נשרף]. וה</w:t>
      </w:r>
      <w:r w:rsidRPr="007119D6">
        <w:rPr>
          <w:rFonts w:ascii="Narkisim" w:hAnsi="Narkisim"/>
          <w:b/>
          <w:bCs/>
          <w:rtl/>
        </w:rPr>
        <w:t>רשב"א</w:t>
      </w:r>
      <w:r w:rsidRPr="007119D6">
        <w:rPr>
          <w:rFonts w:ascii="Narkisim" w:hAnsi="Narkisim"/>
          <w:rtl/>
        </w:rPr>
        <w:t xml:space="preserve"> הק' דלא הוזכר שניתז המים או השמן על האש</w:t>
      </w:r>
      <w:r w:rsidRPr="007119D6">
        <w:rPr>
          <w:rStyle w:val="ac"/>
          <w:rFonts w:ascii="Narkisim" w:hAnsi="Narkisim"/>
          <w:rtl/>
        </w:rPr>
        <w:footnoteReference w:id="8415"/>
      </w:r>
      <w:r w:rsidRPr="007119D6">
        <w:rPr>
          <w:rFonts w:ascii="Narkisim" w:hAnsi="Narkisim"/>
          <w:rtl/>
        </w:rPr>
        <w:t>. וכת' דמסתברא דה"ק שהשמן מבעיר והכויה הולכת ומתבערת ושורפת אותו, ואין לו רפואה ואפילו העלוהו מיד. ואילו כוויה דיין יש רפואה.</w:t>
      </w:r>
    </w:p>
    <w:p w14:paraId="7CA0DF9D" w14:textId="77777777" w:rsidR="006C4368" w:rsidRPr="007119D6" w:rsidRDefault="006C4368" w:rsidP="006C4368">
      <w:pPr>
        <w:bidi/>
        <w:rPr>
          <w:rFonts w:ascii="Narkisim" w:hAnsi="Narkisim" w:cs="Narkisim"/>
        </w:rPr>
      </w:pPr>
      <w:r w:rsidRPr="007119D6">
        <w:rPr>
          <w:rFonts w:ascii="Narkisim" w:hAnsi="Narkisim" w:cs="Narkisim"/>
          <w:u w:val="single"/>
          <w:rtl/>
        </w:rPr>
        <w:t>תוד"ה אין</w:t>
      </w:r>
      <w:r w:rsidRPr="007119D6">
        <w:rPr>
          <w:rFonts w:ascii="Narkisim" w:hAnsi="Narkisim" w:cs="Narkisim"/>
          <w:rtl/>
        </w:rPr>
        <w:t>. ומיהו יש בירושלמי וכו' שמא נעשה לו נס כדניאל. דעת הירושלמי דחיישינן למעשה ניסים, ומבואר בתוס' דהבבלי פליג. אבל ה</w:t>
      </w:r>
      <w:r w:rsidRPr="007119D6">
        <w:rPr>
          <w:rFonts w:ascii="Narkisim" w:hAnsi="Narkisim" w:cs="Narkisim"/>
          <w:b/>
          <w:bCs/>
          <w:rtl/>
        </w:rPr>
        <w:t>ב"ח</w:t>
      </w:r>
      <w:r w:rsidRPr="007119D6">
        <w:rPr>
          <w:rFonts w:ascii="Narkisim" w:hAnsi="Narkisim" w:cs="Narkisim"/>
          <w:rtl/>
        </w:rPr>
        <w:t xml:space="preserve"> (יט) כתב [ליישב קו' התוס'] דגמרא דידן מיירי באופן שלא שייך נס, ובשנפל למקום עמוק דא”א לו לעלות. וה</w:t>
      </w:r>
      <w:r w:rsidRPr="007119D6">
        <w:rPr>
          <w:rFonts w:ascii="Narkisim" w:hAnsi="Narkisim" w:cs="Narkisim"/>
          <w:b/>
          <w:bCs/>
          <w:rtl/>
        </w:rPr>
        <w:t>חלק"מ</w:t>
      </w:r>
      <w:r w:rsidRPr="007119D6">
        <w:rPr>
          <w:rFonts w:ascii="Narkisim" w:hAnsi="Narkisim" w:cs="Narkisim"/>
          <w:rtl/>
        </w:rPr>
        <w:t xml:space="preserve"> (יז נו) כת' לא ידעתי איך לא שייך נס.</w:t>
      </w:r>
    </w:p>
    <w:p w14:paraId="42AF82F8" w14:textId="77777777" w:rsidR="006C4368" w:rsidRPr="007119D6" w:rsidRDefault="006C4368" w:rsidP="006C4368">
      <w:pPr>
        <w:pStyle w:val="aa"/>
        <w:bidi/>
        <w:rPr>
          <w:rFonts w:ascii="Narkisim" w:hAnsi="Narkisim"/>
        </w:rPr>
      </w:pPr>
      <w:r w:rsidRPr="007119D6">
        <w:rPr>
          <w:rFonts w:ascii="Narkisim" w:hAnsi="Narkisim"/>
          <w:u w:val="single"/>
          <w:rtl/>
        </w:rPr>
        <w:t>והכתיב וצומו עלי ואל תאכלו ואל תשתו</w:t>
      </w:r>
      <w:r w:rsidRPr="007119D6">
        <w:rPr>
          <w:rFonts w:ascii="Narkisim" w:hAnsi="Narkisim"/>
          <w:rtl/>
        </w:rPr>
        <w:t>. [ג' ימים לילה ויום]. ובגמ' דידן מבואר דהוה כפשוטו. אבל ה</w:t>
      </w:r>
      <w:r w:rsidRPr="007119D6">
        <w:rPr>
          <w:rFonts w:ascii="Narkisim" w:hAnsi="Narkisim"/>
          <w:b/>
          <w:bCs/>
          <w:rtl/>
        </w:rPr>
        <w:t xml:space="preserve">מדרש </w:t>
      </w:r>
      <w:r w:rsidRPr="007119D6">
        <w:rPr>
          <w:rFonts w:ascii="Narkisim" w:hAnsi="Narkisim"/>
          <w:rtl/>
        </w:rPr>
        <w:t>(מדרש תהלים כב ה וילקוט אסתר תתרנו) מקשה וכי אפשר לאדם לעשות כן</w:t>
      </w:r>
      <w:r w:rsidRPr="007119D6">
        <w:rPr>
          <w:rStyle w:val="ac"/>
          <w:rFonts w:ascii="Narkisim" w:hAnsi="Narkisim"/>
          <w:rtl/>
        </w:rPr>
        <w:footnoteReference w:id="8416"/>
      </w:r>
      <w:r w:rsidRPr="007119D6">
        <w:rPr>
          <w:rFonts w:ascii="Narkisim" w:hAnsi="Narkisim"/>
          <w:rtl/>
        </w:rPr>
        <w:t>. אלא שהיו מפסיקין מבעוד יום. ופירשו שלא היו ג' צומות רצופים לילה ויום, אלא שקבלו ג' צומות בלתי רצופות. וכגון שני וחמישי ושני אלא שבכולן יפסיקו מבעוד יום.</w:t>
      </w:r>
    </w:p>
    <w:p w14:paraId="62404486" w14:textId="77777777" w:rsidR="006C4368" w:rsidRPr="007119D6" w:rsidRDefault="006C4368" w:rsidP="006C4368">
      <w:pPr>
        <w:pStyle w:val="aa"/>
        <w:bidi/>
        <w:rPr>
          <w:rFonts w:ascii="Narkisim" w:hAnsi="Narkisim"/>
        </w:rPr>
      </w:pPr>
      <w:r w:rsidRPr="007119D6">
        <w:rPr>
          <w:rFonts w:ascii="Narkisim" w:hAnsi="Narkisim"/>
          <w:u w:val="single"/>
          <w:rtl/>
        </w:rPr>
        <w:t>אלא דלא ניים וכו'</w:t>
      </w:r>
      <w:r w:rsidRPr="007119D6">
        <w:rPr>
          <w:rFonts w:ascii="Narkisim" w:hAnsi="Narkisim"/>
          <w:rtl/>
        </w:rPr>
        <w:t>. [ה</w:t>
      </w:r>
      <w:r w:rsidRPr="007119D6">
        <w:rPr>
          <w:rFonts w:ascii="Narkisim" w:hAnsi="Narkisim"/>
          <w:b/>
          <w:bCs/>
          <w:rtl/>
        </w:rPr>
        <w:t>רשב"א</w:t>
      </w:r>
      <w:r w:rsidRPr="007119D6">
        <w:rPr>
          <w:rFonts w:ascii="Narkisim" w:hAnsi="Narkisim"/>
          <w:rtl/>
        </w:rPr>
        <w:t xml:space="preserve"> פי' דע"כ נעשה לו נס שלא ישן ג' ימים, א”כ אף מה שלא מת מחמת המים הוה נס].</w:t>
      </w:r>
    </w:p>
    <w:p w14:paraId="5691C01D" w14:textId="77777777" w:rsidR="006C4368" w:rsidRPr="007119D6" w:rsidRDefault="006C4368" w:rsidP="006C4368">
      <w:pPr>
        <w:pStyle w:val="aa"/>
        <w:bidi/>
        <w:rPr>
          <w:rFonts w:ascii="Narkisim" w:hAnsi="Narkisim"/>
        </w:rPr>
      </w:pPr>
      <w:r w:rsidRPr="007119D6">
        <w:rPr>
          <w:rFonts w:ascii="Narkisim" w:hAnsi="Narkisim"/>
          <w:u w:val="single"/>
          <w:rtl/>
        </w:rPr>
        <w:lastRenderedPageBreak/>
        <w:t>ור' מאיר מ"ט, אמר רב כהנא כיפין על גבי כיפין הוה</w:t>
      </w:r>
      <w:r w:rsidRPr="007119D6">
        <w:rPr>
          <w:rStyle w:val="ac"/>
          <w:rFonts w:ascii="Narkisim" w:hAnsi="Narkisim"/>
          <w:u w:val="single"/>
          <w:rtl/>
        </w:rPr>
        <w:footnoteReference w:id="8417"/>
      </w:r>
      <w:r w:rsidRPr="007119D6">
        <w:rPr>
          <w:rFonts w:ascii="Narkisim" w:hAnsi="Narkisim"/>
          <w:u w:val="single"/>
          <w:rtl/>
        </w:rPr>
        <w:t xml:space="preserve"> וכו</w:t>
      </w:r>
      <w:r w:rsidRPr="007119D6">
        <w:rPr>
          <w:rFonts w:ascii="Narkisim" w:hAnsi="Narkisim"/>
          <w:rtl/>
        </w:rPr>
        <w:t>'. ה</w:t>
      </w:r>
      <w:r w:rsidRPr="007119D6">
        <w:rPr>
          <w:rFonts w:ascii="Narkisim" w:hAnsi="Narkisim"/>
          <w:b/>
          <w:bCs/>
          <w:rtl/>
        </w:rPr>
        <w:t>רשב"א</w:t>
      </w:r>
      <w:r w:rsidRPr="007119D6">
        <w:rPr>
          <w:rFonts w:ascii="Narkisim" w:hAnsi="Narkisim"/>
          <w:rtl/>
        </w:rPr>
        <w:t xml:space="preserve"> כת' דלפ"ז במקום דליכא כיפין מודה ר' מאיר שמעידין עליו לאחר ג' ימים. ונח' בשהה שיעור שתצא נפשו. דר"מ ס"ל דיכול להיות משוקע במים טפי משיעור יציאת הנפש.</w:t>
      </w:r>
    </w:p>
    <w:p w14:paraId="308406E8" w14:textId="77777777" w:rsidR="006C4368" w:rsidRPr="007119D6" w:rsidRDefault="006C4368" w:rsidP="006C4368">
      <w:pPr>
        <w:bidi/>
        <w:rPr>
          <w:rFonts w:ascii="Narkisim" w:hAnsi="Narkisim" w:cs="Narkisim"/>
        </w:rPr>
      </w:pPr>
      <w:r w:rsidRPr="007119D6">
        <w:rPr>
          <w:rFonts w:ascii="Narkisim" w:hAnsi="Narkisim" w:cs="Narkisim"/>
          <w:u w:val="single"/>
          <w:rtl/>
        </w:rPr>
        <w:t>ת"ר מעשה בבתו של נחוניא חופר שיחין</w:t>
      </w:r>
      <w:r w:rsidRPr="007119D6">
        <w:rPr>
          <w:rStyle w:val="ac"/>
          <w:rFonts w:ascii="Narkisim" w:hAnsi="Narkisim" w:cs="Narkisim"/>
          <w:u w:val="single"/>
          <w:rtl/>
        </w:rPr>
        <w:footnoteReference w:id="8418"/>
      </w:r>
      <w:r w:rsidRPr="007119D6">
        <w:rPr>
          <w:rFonts w:ascii="Narkisim" w:hAnsi="Narkisim" w:cs="Narkisim"/>
          <w:u w:val="single"/>
          <w:rtl/>
        </w:rPr>
        <w:t xml:space="preserve"> וכו' שלישית אמר להן עלתה</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שבשעה שלישית א"י לחיות, וע"כ דעלתה. וב</w:t>
      </w:r>
      <w:r w:rsidRPr="007119D6">
        <w:rPr>
          <w:rFonts w:ascii="Narkisim" w:hAnsi="Narkisim" w:cs="Narkisim"/>
          <w:b/>
          <w:bCs/>
          <w:rtl/>
        </w:rPr>
        <w:t>שו"ת מהר"א ששון</w:t>
      </w:r>
      <w:r w:rsidRPr="007119D6">
        <w:rPr>
          <w:rFonts w:ascii="Narkisim" w:hAnsi="Narkisim" w:cs="Narkisim"/>
          <w:rtl/>
        </w:rPr>
        <w:t xml:space="preserve"> (א, הו' בפתח"ת יז קלד) הביא דה</w:t>
      </w:r>
      <w:r w:rsidRPr="007119D6">
        <w:rPr>
          <w:rFonts w:ascii="Narkisim" w:hAnsi="Narkisim" w:cs="Narkisim"/>
          <w:b/>
          <w:bCs/>
          <w:rtl/>
        </w:rPr>
        <w:t>ריב"ש</w:t>
      </w:r>
      <w:r w:rsidRPr="007119D6">
        <w:rPr>
          <w:rStyle w:val="ac"/>
          <w:rFonts w:ascii="Narkisim" w:hAnsi="Narkisim" w:cs="Narkisim"/>
          <w:rtl/>
        </w:rPr>
        <w:footnoteReference w:id="8419"/>
      </w:r>
      <w:r w:rsidRPr="007119D6">
        <w:rPr>
          <w:rFonts w:ascii="Narkisim" w:hAnsi="Narkisim" w:cs="Narkisim"/>
          <w:rtl/>
        </w:rPr>
        <w:t xml:space="preserve"> כת' דג' שעות הוה שיעור יציאת נפש. וכת' דהריב"ש יליף מסוגיין, וכפ</w:t>
      </w:r>
      <w:r w:rsidRPr="007119D6">
        <w:rPr>
          <w:rFonts w:ascii="Narkisim" w:hAnsi="Narkisim" w:cs="Narkisim"/>
          <w:b/>
          <w:bCs/>
          <w:rtl/>
        </w:rPr>
        <w:t>רש"י</w:t>
      </w:r>
      <w:r w:rsidRPr="007119D6">
        <w:rPr>
          <w:rFonts w:ascii="Narkisim" w:hAnsi="Narkisim" w:cs="Narkisim"/>
          <w:rtl/>
        </w:rPr>
        <w:t xml:space="preserve"> דכיון שעברו ג' שעות ודאי עלתה, לפי שאינה יכולה לחיות יותר שם כו' א"כ הרי ששיעור כדי שתצא נפשו הן ג' שעות.</w:t>
      </w:r>
    </w:p>
    <w:p w14:paraId="5409BB1C" w14:textId="77777777" w:rsidR="006C4368" w:rsidRPr="007119D6" w:rsidRDefault="006C4368" w:rsidP="006C4368">
      <w:pPr>
        <w:pStyle w:val="a8"/>
        <w:bidi/>
        <w:rPr>
          <w:rFonts w:ascii="Narkisim" w:hAnsi="Narkisim"/>
        </w:rPr>
      </w:pPr>
      <w:r w:rsidRPr="007119D6">
        <w:rPr>
          <w:rFonts w:ascii="Narkisim" w:hAnsi="Narkisim"/>
          <w:rtl/>
        </w:rPr>
        <w:t>ובקו' ה</w:t>
      </w:r>
      <w:r w:rsidRPr="007119D6">
        <w:rPr>
          <w:rFonts w:ascii="Narkisim" w:hAnsi="Narkisim"/>
          <w:b/>
          <w:bCs/>
          <w:rtl/>
        </w:rPr>
        <w:t>מהרח"ש</w:t>
      </w:r>
      <w:r w:rsidRPr="007119D6">
        <w:rPr>
          <w:rFonts w:ascii="Narkisim" w:hAnsi="Narkisim"/>
          <w:rtl/>
        </w:rPr>
        <w:t xml:space="preserve"> דייק מהלשון דסגי בתחילת שעה שלישית. אבל ה</w:t>
      </w:r>
      <w:r w:rsidRPr="007119D6">
        <w:rPr>
          <w:rFonts w:ascii="Narkisim" w:hAnsi="Narkisim"/>
          <w:b/>
          <w:bCs/>
          <w:rtl/>
        </w:rPr>
        <w:t>חת"ס</w:t>
      </w:r>
      <w:r w:rsidRPr="007119D6">
        <w:rPr>
          <w:rFonts w:ascii="Narkisim" w:hAnsi="Narkisim"/>
          <w:rtl/>
        </w:rPr>
        <w:t xml:space="preserve"> (צב, הו' בפתח"ת קלד) הק' דא"כ שעה ראשונה הוא תחילת השעה, והו"ל כשנפלה, וע"כ דבסוף שעה שאלו. וה"נ סוף שעה שלישית.</w:t>
      </w:r>
    </w:p>
    <w:p w14:paraId="145C104B" w14:textId="77777777" w:rsidR="006C4368" w:rsidRPr="007119D6" w:rsidRDefault="006C4368" w:rsidP="006C4368">
      <w:pPr>
        <w:bidi/>
        <w:rPr>
          <w:rFonts w:ascii="Narkisim" w:hAnsi="Narkisim" w:cs="Narkisim"/>
        </w:rPr>
      </w:pPr>
      <w:r w:rsidRPr="007119D6">
        <w:rPr>
          <w:rFonts w:ascii="Narkisim" w:hAnsi="Narkisim" w:cs="Narkisim"/>
          <w:rtl/>
        </w:rPr>
        <w:t>אבל ה</w:t>
      </w:r>
      <w:r w:rsidRPr="007119D6">
        <w:rPr>
          <w:rFonts w:ascii="Narkisim" w:hAnsi="Narkisim" w:cs="Narkisim"/>
          <w:b/>
          <w:bCs/>
          <w:rtl/>
        </w:rPr>
        <w:t>מהרי"ט</w:t>
      </w:r>
      <w:r w:rsidRPr="007119D6">
        <w:rPr>
          <w:rFonts w:ascii="Narkisim" w:hAnsi="Narkisim" w:cs="Narkisim"/>
          <w:rtl/>
        </w:rPr>
        <w:t xml:space="preserve"> (ב כו, הו' בפתח"ת) כת' די"ל דהנך ג' שעות דסוגיין איירי בשעות קטנות</w:t>
      </w:r>
      <w:r w:rsidRPr="007119D6">
        <w:rPr>
          <w:rStyle w:val="ac"/>
          <w:rFonts w:ascii="Narkisim" w:hAnsi="Narkisim" w:cs="Narkisim"/>
          <w:rtl/>
        </w:rPr>
        <w:footnoteReference w:id="8420"/>
      </w:r>
      <w:r w:rsidRPr="007119D6">
        <w:rPr>
          <w:rFonts w:ascii="Narkisim" w:hAnsi="Narkisim" w:cs="Narkisim"/>
          <w:rtl/>
        </w:rPr>
        <w:t>. ולא שעה שלימה [דהוא חלק מי"ב מהיום</w:t>
      </w:r>
      <w:r w:rsidRPr="007119D6">
        <w:rPr>
          <w:rStyle w:val="ac"/>
          <w:rFonts w:ascii="Narkisim" w:hAnsi="Narkisim" w:cs="Narkisim"/>
          <w:rtl/>
        </w:rPr>
        <w:footnoteReference w:id="8421"/>
      </w:r>
      <w:r w:rsidRPr="007119D6">
        <w:rPr>
          <w:rFonts w:ascii="Narkisim" w:hAnsi="Narkisim" w:cs="Narkisim"/>
          <w:rtl/>
        </w:rPr>
        <w:t>].</w:t>
      </w:r>
    </w:p>
    <w:p w14:paraId="2AE9CF09" w14:textId="77777777" w:rsidR="006C4368" w:rsidRPr="007119D6" w:rsidRDefault="006C4368" w:rsidP="006C4368">
      <w:pPr>
        <w:pStyle w:val="a8"/>
        <w:bidi/>
        <w:rPr>
          <w:rFonts w:ascii="Narkisim" w:hAnsi="Narkisim"/>
        </w:rPr>
      </w:pPr>
      <w:r w:rsidRPr="007119D6">
        <w:rPr>
          <w:rFonts w:ascii="Narkisim" w:hAnsi="Narkisim"/>
          <w:rtl/>
        </w:rPr>
        <w:t>אך ב</w:t>
      </w:r>
      <w:r w:rsidRPr="007119D6">
        <w:rPr>
          <w:rFonts w:ascii="Narkisim" w:hAnsi="Narkisim"/>
          <w:b/>
          <w:bCs/>
          <w:rtl/>
        </w:rPr>
        <w:t>שו"ת הב"ח</w:t>
      </w:r>
      <w:r w:rsidRPr="007119D6">
        <w:rPr>
          <w:rFonts w:ascii="Narkisim" w:hAnsi="Narkisim"/>
          <w:rtl/>
        </w:rPr>
        <w:t xml:space="preserve"> (עט) דחה את הראיה מסוגיין, דהכא איירי בבור שיש לו מחיצות, וכה"ג אפשר לשהות ב' שעות ע"י שמטפס ועולה וידו אוחזת במחיצה דבור, ואע"פ שחוזר ונופל לבור. [ואיירי שאינו יכול להתחזק ולאחוז היטב במחיצה דבור שלא יהא חוזר ונופל]. ועד ב' שעות יכול לטפס ולעלות כמה פעמים ולהוציא ראשו חוץ למים ולחיות. אבל בנפל תחת הקרח אינו יכול לעלות כלל ומת מיד.</w:t>
      </w:r>
    </w:p>
    <w:p w14:paraId="66B8522D" w14:textId="77777777" w:rsidR="006C4368" w:rsidRPr="007119D6" w:rsidRDefault="006C4368" w:rsidP="006C4368">
      <w:pPr>
        <w:pStyle w:val="a8"/>
        <w:bidi/>
        <w:rPr>
          <w:rFonts w:ascii="Narkisim" w:hAnsi="Narkisim"/>
        </w:rPr>
      </w:pPr>
      <w:r w:rsidRPr="007119D6">
        <w:rPr>
          <w:rFonts w:ascii="Narkisim" w:hAnsi="Narkisim"/>
          <w:rtl/>
        </w:rPr>
        <w:t>וב</w:t>
      </w:r>
      <w:r w:rsidRPr="007119D6">
        <w:rPr>
          <w:rFonts w:ascii="Narkisim" w:hAnsi="Narkisim"/>
          <w:b/>
          <w:bCs/>
          <w:rtl/>
        </w:rPr>
        <w:t>שו"ת הב"ח</w:t>
      </w:r>
      <w:r w:rsidRPr="007119D6">
        <w:rPr>
          <w:rFonts w:ascii="Narkisim" w:hAnsi="Narkisim"/>
          <w:rtl/>
        </w:rPr>
        <w:t xml:space="preserve"> (הו' ב</w:t>
      </w:r>
      <w:r w:rsidRPr="007119D6">
        <w:rPr>
          <w:rFonts w:ascii="Narkisim" w:hAnsi="Narkisim"/>
          <w:b/>
          <w:bCs/>
          <w:rtl/>
        </w:rPr>
        <w:t>פתח"ת</w:t>
      </w:r>
      <w:r w:rsidRPr="007119D6">
        <w:rPr>
          <w:rFonts w:ascii="Narkisim" w:hAnsi="Narkisim"/>
          <w:rtl/>
        </w:rPr>
        <w:t xml:space="preserve"> שם קלד) נקט דשיעור יציאת נפש הוה בערך שעה א'. וה</w:t>
      </w:r>
      <w:r w:rsidRPr="007119D6">
        <w:rPr>
          <w:rFonts w:ascii="Narkisim" w:hAnsi="Narkisim"/>
          <w:b/>
          <w:bCs/>
          <w:rtl/>
        </w:rPr>
        <w:t>בית מאיר</w:t>
      </w:r>
      <w:r w:rsidRPr="007119D6">
        <w:rPr>
          <w:rFonts w:ascii="Narkisim" w:hAnsi="Narkisim"/>
          <w:rtl/>
        </w:rPr>
        <w:t xml:space="preserve"> תמה מנ"ל שיעור זה. וה</w:t>
      </w:r>
      <w:r w:rsidRPr="007119D6">
        <w:rPr>
          <w:rFonts w:ascii="Narkisim" w:hAnsi="Narkisim"/>
          <w:b/>
          <w:bCs/>
          <w:rtl/>
        </w:rPr>
        <w:t>פתח"ת</w:t>
      </w:r>
      <w:r w:rsidRPr="007119D6">
        <w:rPr>
          <w:rFonts w:ascii="Narkisim" w:hAnsi="Narkisim"/>
          <w:rtl/>
        </w:rPr>
        <w:t xml:space="preserve"> כת' דע"פ הנ"ל</w:t>
      </w:r>
      <w:r w:rsidRPr="007119D6">
        <w:rPr>
          <w:rStyle w:val="ac"/>
          <w:rFonts w:ascii="Narkisim" w:hAnsi="Narkisim"/>
          <w:rtl/>
        </w:rPr>
        <w:footnoteReference w:id="8422"/>
      </w:r>
      <w:r w:rsidRPr="007119D6">
        <w:rPr>
          <w:rFonts w:ascii="Narkisim" w:hAnsi="Narkisim"/>
          <w:rtl/>
        </w:rPr>
        <w:t xml:space="preserve"> דהוה שעות קטנות [כשליש שעה או רביע שעה], א"כ יוצא כשיעור שעה</w:t>
      </w:r>
      <w:r w:rsidRPr="007119D6">
        <w:rPr>
          <w:rStyle w:val="ac"/>
          <w:rFonts w:ascii="Narkisim" w:hAnsi="Narkisim"/>
          <w:rtl/>
        </w:rPr>
        <w:footnoteReference w:id="8423"/>
      </w:r>
      <w:r w:rsidRPr="007119D6">
        <w:rPr>
          <w:rFonts w:ascii="Narkisim" w:hAnsi="Narkisim"/>
          <w:rtl/>
        </w:rPr>
        <w:t>.</w:t>
      </w:r>
    </w:p>
    <w:p w14:paraId="4835743F" w14:textId="77777777" w:rsidR="006C4368" w:rsidRPr="007119D6" w:rsidRDefault="006C4368" w:rsidP="006C4368">
      <w:pPr>
        <w:pStyle w:val="aa"/>
        <w:bidi/>
        <w:rPr>
          <w:rFonts w:ascii="Narkisim" w:hAnsi="Narkisim"/>
        </w:rPr>
      </w:pPr>
      <w:r w:rsidRPr="007119D6">
        <w:rPr>
          <w:rFonts w:ascii="Narkisim" w:hAnsi="Narkisim"/>
          <w:u w:val="single"/>
          <w:rtl/>
        </w:rPr>
        <w:t>תוד"ה אף</w:t>
      </w:r>
      <w:r w:rsidRPr="007119D6">
        <w:rPr>
          <w:rFonts w:ascii="Narkisim" w:hAnsi="Narkisim"/>
          <w:rtl/>
        </w:rPr>
        <w:t>. מ"מ לא הוי דבר  שנצטער בו הצדיק, שלא עשה הבור. ה</w:t>
      </w:r>
      <w:r w:rsidRPr="007119D6">
        <w:rPr>
          <w:rFonts w:ascii="Narkisim" w:hAnsi="Narkisim"/>
          <w:b/>
          <w:bCs/>
          <w:rtl/>
        </w:rPr>
        <w:t>ב"ח</w:t>
      </w:r>
      <w:r w:rsidRPr="007119D6">
        <w:rPr>
          <w:rFonts w:ascii="Narkisim" w:hAnsi="Narkisim"/>
          <w:rtl/>
        </w:rPr>
        <w:t xml:space="preserve"> ביאר דהבור לא עשה שימות. [אף דהוה ענין שטרח בו]. ועוד כת' ה</w:t>
      </w:r>
      <w:r w:rsidRPr="007119D6">
        <w:rPr>
          <w:rFonts w:ascii="Narkisim" w:hAnsi="Narkisim"/>
          <w:b/>
          <w:bCs/>
          <w:rtl/>
        </w:rPr>
        <w:t>שיטמ"ק</w:t>
      </w:r>
      <w:r w:rsidRPr="007119D6">
        <w:rPr>
          <w:rFonts w:ascii="Narkisim" w:hAnsi="Narkisim"/>
          <w:rtl/>
        </w:rPr>
        <w:t xml:space="preserve"> (ב"ק נ.) דבשעה שבתו נפלה לבור ר' חנינא בן דוסא אמר והשמיע דבר זה לפני הקב"ה, שלא יכשלו בדבר שהצדיק התעסק בו. ואילו במעשה דבנו ר' חנינא בן דוסא כבר לא היה קיים.</w:t>
      </w:r>
    </w:p>
    <w:p w14:paraId="45B95DF1" w14:textId="77777777" w:rsidR="006C4368" w:rsidRPr="007119D6" w:rsidRDefault="006C4368" w:rsidP="006C4368">
      <w:pPr>
        <w:pStyle w:val="aa"/>
        <w:bidi/>
        <w:rPr>
          <w:rFonts w:ascii="Narkisim" w:hAnsi="Narkisim"/>
        </w:rPr>
      </w:pPr>
      <w:r w:rsidRPr="007119D6">
        <w:rPr>
          <w:rFonts w:ascii="Narkisim" w:hAnsi="Narkisim"/>
          <w:u w:val="single"/>
          <w:rtl/>
        </w:rPr>
        <w:t>אפי' שמע מן הנשים וכו'</w:t>
      </w:r>
      <w:r w:rsidRPr="007119D6">
        <w:rPr>
          <w:rFonts w:ascii="Narkisim" w:hAnsi="Narkisim"/>
          <w:rtl/>
        </w:rPr>
        <w:t>. [משמע דאיירי בעד מפי עד, דהעד השני שמע מן הנשים]. פ</w:t>
      </w:r>
      <w:r w:rsidRPr="007119D6">
        <w:rPr>
          <w:rFonts w:ascii="Narkisim" w:hAnsi="Narkisim"/>
          <w:b/>
          <w:bCs/>
          <w:rtl/>
        </w:rPr>
        <w:t>רש"י</w:t>
      </w:r>
      <w:r w:rsidRPr="007119D6">
        <w:rPr>
          <w:rFonts w:ascii="Narkisim" w:hAnsi="Narkisim"/>
          <w:rtl/>
        </w:rPr>
        <w:t xml:space="preserve"> שלא היו מתכוונות להעיד, ומסיחות לפי תומן. וכן בהמשך המשנה אי' בין מתכוין ובין שאינו מתכוין. משמע דברישא פשיטא דאשה כשירה להעיד [וכדאי' לקמן קכב.</w:t>
      </w:r>
      <w:r w:rsidRPr="007119D6">
        <w:rPr>
          <w:rStyle w:val="ac"/>
          <w:rFonts w:ascii="Narkisim" w:hAnsi="Narkisim"/>
          <w:rtl/>
        </w:rPr>
        <w:footnoteReference w:id="8424"/>
      </w:r>
      <w:r w:rsidRPr="007119D6">
        <w:rPr>
          <w:rFonts w:ascii="Narkisim" w:hAnsi="Narkisim"/>
          <w:rtl/>
        </w:rPr>
        <w:t>], אלא דס"ד דהיכא דלא נתכוונו להעיד לא מהני. [ואילו בשאר עדויות, אילו סיפר לפי תומו, ובי”ד שמעו לכאורה לא נחשב עדות</w:t>
      </w:r>
      <w:r w:rsidRPr="007119D6">
        <w:rPr>
          <w:rStyle w:val="ac"/>
          <w:rFonts w:ascii="Narkisim" w:hAnsi="Narkisim"/>
          <w:rtl/>
        </w:rPr>
        <w:footnoteReference w:id="8425"/>
      </w:r>
      <w:r w:rsidRPr="007119D6">
        <w:rPr>
          <w:rFonts w:ascii="Narkisim" w:hAnsi="Narkisim"/>
          <w:rtl/>
        </w:rPr>
        <w:t>].</w:t>
      </w:r>
    </w:p>
    <w:p w14:paraId="7355C435" w14:textId="77777777" w:rsidR="006C4368" w:rsidRPr="007119D6" w:rsidRDefault="006C4368" w:rsidP="006C4368">
      <w:pPr>
        <w:pStyle w:val="a8"/>
        <w:bidi/>
        <w:rPr>
          <w:rFonts w:ascii="Narkisim" w:hAnsi="Narkisim"/>
        </w:rPr>
      </w:pPr>
      <w:r w:rsidRPr="007119D6">
        <w:rPr>
          <w:rFonts w:ascii="Narkisim" w:hAnsi="Narkisim"/>
          <w:rtl/>
        </w:rPr>
        <w:t>ועוד יש שפי' דברישא נתחדש דמהני אשה במסל"ת. ואח"כ נתחדש דמהני אשה אפי' בתורת עדות.</w:t>
      </w:r>
    </w:p>
    <w:p w14:paraId="3C552768" w14:textId="77777777" w:rsidR="006C4368" w:rsidRPr="007119D6" w:rsidRDefault="006C4368" w:rsidP="006C4368">
      <w:pPr>
        <w:bidi/>
        <w:rPr>
          <w:rFonts w:ascii="Narkisim" w:hAnsi="Narkisim" w:cs="Narkisim"/>
        </w:rPr>
      </w:pPr>
      <w:r w:rsidRPr="007119D6">
        <w:rPr>
          <w:rFonts w:ascii="Narkisim" w:hAnsi="Narkisim" w:cs="Narkisim"/>
          <w:u w:val="single"/>
          <w:rtl/>
        </w:rPr>
        <w:t>ר' יהודה אומר אפי' שמע מן התינוקות וכו'</w:t>
      </w:r>
      <w:r w:rsidRPr="007119D6">
        <w:rPr>
          <w:rFonts w:ascii="Narkisim" w:hAnsi="Narkisim" w:cs="Narkisim"/>
          <w:rtl/>
        </w:rPr>
        <w:t>. ואף דקטן אינו נאמן באיסורין כלל</w:t>
      </w:r>
      <w:r w:rsidRPr="007119D6">
        <w:rPr>
          <w:rStyle w:val="ac"/>
          <w:rFonts w:ascii="Narkisim" w:hAnsi="Narkisim" w:cs="Narkisim"/>
          <w:rtl/>
        </w:rPr>
        <w:footnoteReference w:id="8426"/>
      </w:r>
      <w:r w:rsidRPr="007119D6">
        <w:rPr>
          <w:rFonts w:ascii="Narkisim" w:hAnsi="Narkisim" w:cs="Narkisim"/>
          <w:rtl/>
        </w:rPr>
        <w:t xml:space="preserve"> (וכ”פ הרמ”א יו”ד קכז ג</w:t>
      </w:r>
      <w:r w:rsidRPr="007119D6">
        <w:rPr>
          <w:rStyle w:val="ac"/>
          <w:rFonts w:ascii="Narkisim" w:hAnsi="Narkisim" w:cs="Narkisim"/>
          <w:rtl/>
        </w:rPr>
        <w:footnoteReference w:id="8427"/>
      </w:r>
      <w:r w:rsidRPr="007119D6">
        <w:rPr>
          <w:rFonts w:ascii="Narkisim" w:hAnsi="Narkisim" w:cs="Narkisim"/>
          <w:rtl/>
        </w:rPr>
        <w:t>), מ”מ הכא דרך סיפור ומסיח לפי תומו הקילו.</w:t>
      </w:r>
    </w:p>
    <w:p w14:paraId="29D587E4" w14:textId="77777777" w:rsidR="006C4368" w:rsidRPr="007119D6" w:rsidRDefault="006C4368" w:rsidP="006C4368">
      <w:pPr>
        <w:pStyle w:val="aa"/>
        <w:bidi/>
        <w:rPr>
          <w:rFonts w:ascii="Narkisim" w:hAnsi="Narkisim"/>
        </w:rPr>
      </w:pPr>
      <w:r w:rsidRPr="007119D6">
        <w:rPr>
          <w:rFonts w:ascii="Narkisim" w:hAnsi="Narkisim"/>
          <w:rtl/>
        </w:rPr>
        <w:t>ובגמ' (ב"ק קיד.) רב אשי אמר [קטן] מסיח לפי תומו נאמן רק בעדות אשה בלבד [ו</w:t>
      </w:r>
      <w:r w:rsidRPr="007119D6">
        <w:rPr>
          <w:rFonts w:ascii="Narkisim" w:hAnsi="Narkisim"/>
          <w:b/>
          <w:bCs/>
          <w:rtl/>
        </w:rPr>
        <w:t>רש”י</w:t>
      </w:r>
      <w:r w:rsidRPr="007119D6">
        <w:rPr>
          <w:rFonts w:ascii="Narkisim" w:hAnsi="Narkisim"/>
          <w:rtl/>
        </w:rPr>
        <w:t xml:space="preserve"> ציין למשנה כאן דקטן]. והוסיף דקטן מסל"ת נאמן אף להעיד על נחיל של דבורים, דהוה קנין דרבנן. והגמ' פי' דקטן המסיח לפי תומו נאמן להעיד שהוא כהן, לענין תרומה דרבנן (וכדאי' כתובות כו.). וכן הקילו לסמוך על קטן מסיח לפי </w:t>
      </w:r>
      <w:r w:rsidRPr="007119D6">
        <w:rPr>
          <w:rFonts w:ascii="Narkisim" w:hAnsi="Narkisim"/>
          <w:rtl/>
        </w:rPr>
        <w:lastRenderedPageBreak/>
        <w:t>תומו שמעיד על שבויה שהיא טהורה, דבשבויה הקילו.</w:t>
      </w:r>
    </w:p>
    <w:p w14:paraId="7FCAF7C3"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תה"ד</w:t>
      </w:r>
      <w:r w:rsidRPr="007119D6">
        <w:rPr>
          <w:rFonts w:ascii="Narkisim" w:hAnsi="Narkisim" w:cs="Narkisim"/>
          <w:rtl/>
        </w:rPr>
        <w:t xml:space="preserve"> (ב רכ, הו' בדרכ”מ יז יב ורמ”א שם יג) הביא דדעת </w:t>
      </w:r>
      <w:r w:rsidRPr="007119D6">
        <w:rPr>
          <w:rFonts w:ascii="Narkisim" w:hAnsi="Narkisim" w:cs="Narkisim"/>
          <w:b/>
          <w:bCs/>
          <w:rtl/>
        </w:rPr>
        <w:t>ראבי"ה</w:t>
      </w:r>
      <w:r w:rsidRPr="007119D6">
        <w:rPr>
          <w:rFonts w:ascii="Narkisim" w:hAnsi="Narkisim" w:cs="Narkisim"/>
          <w:rtl/>
        </w:rPr>
        <w:t xml:space="preserve"> (תתק) דסמכי' אקטן מסיח לפי תומו אף לאחר זמן. וה</w:t>
      </w:r>
      <w:r w:rsidRPr="007119D6">
        <w:rPr>
          <w:rFonts w:ascii="Narkisim" w:hAnsi="Narkisim" w:cs="Narkisim"/>
          <w:b/>
          <w:bCs/>
          <w:rtl/>
        </w:rPr>
        <w:t>או"ז</w:t>
      </w:r>
      <w:r w:rsidRPr="007119D6">
        <w:rPr>
          <w:rFonts w:ascii="Narkisim" w:hAnsi="Narkisim" w:cs="Narkisim"/>
          <w:rtl/>
        </w:rPr>
        <w:t xml:space="preserve"> (א תרצז) חלק דדוקא לאלתר נאמנים. אבל לאחר זמן ל"מ קטן, ואפי' מסל"ת</w:t>
      </w:r>
      <w:r w:rsidRPr="007119D6">
        <w:rPr>
          <w:rStyle w:val="ac"/>
          <w:rFonts w:ascii="Narkisim" w:hAnsi="Narkisim" w:cs="Narkisim"/>
          <w:rtl/>
        </w:rPr>
        <w:footnoteReference w:id="8428"/>
      </w:r>
      <w:r w:rsidRPr="007119D6">
        <w:rPr>
          <w:rFonts w:ascii="Narkisim" w:hAnsi="Narkisim" w:cs="Narkisim"/>
          <w:rtl/>
        </w:rPr>
        <w:t>.</w:t>
      </w:r>
    </w:p>
    <w:p w14:paraId="288FEE0D" w14:textId="77777777" w:rsidR="006C4368" w:rsidRPr="007119D6" w:rsidRDefault="006C4368" w:rsidP="006C4368">
      <w:pPr>
        <w:bidi/>
        <w:rPr>
          <w:rFonts w:ascii="Narkisim" w:hAnsi="Narkisim" w:cs="Narkisim"/>
        </w:rPr>
      </w:pPr>
      <w:r w:rsidRPr="007119D6">
        <w:rPr>
          <w:rFonts w:ascii="Narkisim" w:hAnsi="Narkisim" w:cs="Narkisim"/>
          <w:rtl/>
        </w:rPr>
        <w:t>ועוד כת' ה</w:t>
      </w:r>
      <w:r w:rsidRPr="007119D6">
        <w:rPr>
          <w:rFonts w:ascii="Narkisim" w:hAnsi="Narkisim" w:cs="Narkisim"/>
          <w:b/>
          <w:bCs/>
          <w:rtl/>
        </w:rPr>
        <w:t>או"ז</w:t>
      </w:r>
      <w:r w:rsidRPr="007119D6">
        <w:rPr>
          <w:rFonts w:ascii="Narkisim" w:hAnsi="Narkisim" w:cs="Narkisim"/>
          <w:rtl/>
        </w:rPr>
        <w:t xml:space="preserve"> (שם, הו' ברמ"א שם) דכשראה בעוד קטן אינו נאמן אפי' הגדיל אח"כ. דאין נאמנים לומר שראו בקטנותן.</w:t>
      </w:r>
    </w:p>
    <w:p w14:paraId="34AC2617" w14:textId="77777777" w:rsidR="006C4368" w:rsidRPr="007119D6" w:rsidRDefault="006C4368" w:rsidP="006C4368">
      <w:pPr>
        <w:pStyle w:val="a7"/>
        <w:bidi/>
        <w:rPr>
          <w:rFonts w:ascii="Narkisim" w:hAnsi="Narkisim"/>
        </w:rPr>
      </w:pPr>
      <w:r w:rsidRPr="007119D6">
        <w:rPr>
          <w:rFonts w:ascii="Narkisim" w:hAnsi="Narkisim"/>
          <w:rtl/>
        </w:rPr>
        <w:t>ובפשוטו כוונתו דבעינן תחילתו וסופו בכשרות. אך ה</w:t>
      </w:r>
      <w:r w:rsidRPr="007119D6">
        <w:rPr>
          <w:rFonts w:ascii="Narkisim" w:hAnsi="Narkisim"/>
          <w:b/>
          <w:bCs/>
          <w:rtl/>
        </w:rPr>
        <w:t>ראשונים</w:t>
      </w:r>
      <w:r w:rsidRPr="007119D6">
        <w:rPr>
          <w:rFonts w:ascii="Narkisim" w:hAnsi="Narkisim"/>
          <w:rtl/>
        </w:rPr>
        <w:t xml:space="preserve"> (ע' פוסקים יז ו, ושו"ת מהר”י בן לב ג עה) נח' ברשע ואח"כ עשה תשובה האם נאמן לעדות אשה</w:t>
      </w:r>
      <w:r w:rsidRPr="007119D6">
        <w:rPr>
          <w:rStyle w:val="ac"/>
          <w:rFonts w:ascii="Narkisim" w:hAnsi="Narkisim"/>
          <w:rtl/>
        </w:rPr>
        <w:footnoteReference w:id="8429"/>
      </w:r>
      <w:r w:rsidRPr="007119D6">
        <w:rPr>
          <w:rFonts w:ascii="Narkisim" w:hAnsi="Narkisim"/>
          <w:rtl/>
        </w:rPr>
        <w:t>. וה</w:t>
      </w:r>
      <w:r w:rsidRPr="007119D6">
        <w:rPr>
          <w:rFonts w:ascii="Narkisim" w:hAnsi="Narkisim"/>
          <w:b/>
          <w:bCs/>
          <w:rtl/>
        </w:rPr>
        <w:t>קוב"ש</w:t>
      </w:r>
      <w:r w:rsidRPr="007119D6">
        <w:rPr>
          <w:rFonts w:ascii="Narkisim" w:hAnsi="Narkisim"/>
          <w:rtl/>
        </w:rPr>
        <w:t xml:space="preserve"> (כתובות עז) כת' דלפ"ז צ"ל דלא דק במה שראה בקוטנו</w:t>
      </w:r>
      <w:r w:rsidRPr="007119D6">
        <w:rPr>
          <w:rStyle w:val="ac"/>
          <w:rFonts w:ascii="Narkisim" w:hAnsi="Narkisim"/>
          <w:rtl/>
        </w:rPr>
        <w:footnoteReference w:id="8430"/>
      </w:r>
      <w:r w:rsidRPr="007119D6">
        <w:rPr>
          <w:rFonts w:ascii="Narkisim" w:hAnsi="Narkisim"/>
          <w:rtl/>
        </w:rPr>
        <w:t>.</w:t>
      </w:r>
    </w:p>
    <w:p w14:paraId="4B3E1121" w14:textId="77777777" w:rsidR="006C4368" w:rsidRPr="007119D6" w:rsidRDefault="006C4368" w:rsidP="006C4368">
      <w:pPr>
        <w:pStyle w:val="aa"/>
        <w:bidi/>
        <w:rPr>
          <w:rFonts w:ascii="Narkisim" w:hAnsi="Narkisim"/>
        </w:rPr>
      </w:pPr>
      <w:r w:rsidRPr="007119D6">
        <w:rPr>
          <w:rFonts w:ascii="Narkisim" w:hAnsi="Narkisim"/>
          <w:rtl/>
        </w:rPr>
        <w:t>וב</w:t>
      </w:r>
      <w:r w:rsidRPr="007119D6">
        <w:rPr>
          <w:rFonts w:ascii="Narkisim" w:hAnsi="Narkisim"/>
          <w:b/>
          <w:bCs/>
          <w:rtl/>
        </w:rPr>
        <w:t>שו"ת מהר"ח אור זרוע</w:t>
      </w:r>
      <w:r w:rsidRPr="007119D6">
        <w:rPr>
          <w:rFonts w:ascii="Narkisim" w:hAnsi="Narkisim"/>
          <w:rtl/>
        </w:rPr>
        <w:t xml:space="preserve"> (צא) כת' דתחילתו בכשרות נאמר היכא דבעינן עדות בכשרים, וגזירת מלך היא. אבל הכא לא בעינן עדות רק שנדע שכך הוא האמת כמו שאומר עתה</w:t>
      </w:r>
      <w:r w:rsidRPr="007119D6">
        <w:rPr>
          <w:rStyle w:val="ac"/>
          <w:rFonts w:ascii="Narkisim" w:hAnsi="Narkisim"/>
          <w:rtl/>
        </w:rPr>
        <w:footnoteReference w:id="8431"/>
      </w:r>
      <w:r w:rsidRPr="007119D6">
        <w:rPr>
          <w:rFonts w:ascii="Narkisim" w:hAnsi="Narkisim"/>
          <w:rtl/>
        </w:rPr>
        <w:t>. אך ב</w:t>
      </w:r>
      <w:r w:rsidRPr="007119D6">
        <w:rPr>
          <w:rFonts w:ascii="Narkisim" w:hAnsi="Narkisim"/>
          <w:b/>
          <w:bCs/>
          <w:rtl/>
        </w:rPr>
        <w:t>שו"ת זכרון יהודה</w:t>
      </w:r>
      <w:r w:rsidRPr="007119D6">
        <w:rPr>
          <w:rFonts w:ascii="Narkisim" w:hAnsi="Narkisim"/>
          <w:rtl/>
        </w:rPr>
        <w:t xml:space="preserve"> (לר"י בן הרא"ש, צב) הביא דל"מ תחילתו בפסול בעדות אשה.</w:t>
      </w:r>
    </w:p>
    <w:p w14:paraId="2723F17C" w14:textId="77777777" w:rsidR="006C4368" w:rsidRPr="007119D6" w:rsidRDefault="006C4368" w:rsidP="006C4368">
      <w:pPr>
        <w:bidi/>
        <w:rPr>
          <w:rFonts w:ascii="Narkisim" w:hAnsi="Narkisim" w:cs="Narkisim"/>
        </w:rPr>
      </w:pPr>
      <w:r w:rsidRPr="007119D6">
        <w:rPr>
          <w:rFonts w:ascii="Narkisim" w:hAnsi="Narkisim" w:cs="Narkisim"/>
          <w:u w:val="single"/>
          <w:rtl/>
        </w:rPr>
        <w:t>בין שהוא מתכוין</w:t>
      </w:r>
      <w:r w:rsidRPr="007119D6">
        <w:rPr>
          <w:rStyle w:val="ac"/>
          <w:rFonts w:ascii="Narkisim" w:hAnsi="Narkisim" w:cs="Narkisim"/>
          <w:u w:val="single"/>
          <w:rtl/>
        </w:rPr>
        <w:footnoteReference w:id="8432"/>
      </w:r>
      <w:r w:rsidRPr="007119D6">
        <w:rPr>
          <w:rFonts w:ascii="Narkisim" w:hAnsi="Narkisim" w:cs="Narkisim"/>
          <w:u w:val="single"/>
          <w:rtl/>
        </w:rPr>
        <w:t xml:space="preserve"> וכו'</w:t>
      </w:r>
      <w:r w:rsidRPr="007119D6">
        <w:rPr>
          <w:rFonts w:ascii="Narkisim" w:hAnsi="Narkisim" w:cs="Narkisim"/>
          <w:rtl/>
        </w:rPr>
        <w:t>. ה</w:t>
      </w:r>
      <w:r w:rsidRPr="007119D6">
        <w:rPr>
          <w:rFonts w:ascii="Narkisim" w:hAnsi="Narkisim" w:cs="Narkisim"/>
          <w:b/>
          <w:bCs/>
          <w:rtl/>
        </w:rPr>
        <w:t>ב"ח</w:t>
      </w:r>
      <w:r w:rsidRPr="007119D6">
        <w:rPr>
          <w:rFonts w:ascii="Narkisim" w:hAnsi="Narkisim" w:cs="Narkisim"/>
          <w:rtl/>
        </w:rPr>
        <w:t xml:space="preserve"> (יז ז) כת' דפשוט דהוה בבא בפנ"ע, וקאי בעד כשר. דתינוק אינו נאמן במתכוין להעיד. אבל ה</w:t>
      </w:r>
      <w:r w:rsidRPr="007119D6">
        <w:rPr>
          <w:rFonts w:ascii="Narkisim" w:hAnsi="Narkisim" w:cs="Narkisim"/>
          <w:b/>
          <w:bCs/>
          <w:rtl/>
        </w:rPr>
        <w:t>טור</w:t>
      </w:r>
      <w:r w:rsidRPr="007119D6">
        <w:rPr>
          <w:rFonts w:ascii="Narkisim" w:hAnsi="Narkisim" w:cs="Narkisim"/>
          <w:rtl/>
        </w:rPr>
        <w:t xml:space="preserve"> כת' דאפי' שמעו מן התינוקות וכו' בין כיונו לשם עדות בין כיונו שלא לשם עדות וכו'.</w:t>
      </w:r>
    </w:p>
    <w:p w14:paraId="28F3FB5D"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(ב"י וב"ח שם ועוד) הביאו דדעת ה</w:t>
      </w:r>
      <w:r w:rsidRPr="007119D6">
        <w:rPr>
          <w:rFonts w:ascii="Narkisim" w:hAnsi="Narkisim"/>
          <w:b/>
          <w:bCs/>
          <w:rtl/>
        </w:rPr>
        <w:t>רי"ף</w:t>
      </w:r>
      <w:r w:rsidRPr="007119D6">
        <w:rPr>
          <w:rFonts w:ascii="Narkisim" w:hAnsi="Narkisim"/>
          <w:rtl/>
        </w:rPr>
        <w:t xml:space="preserve"> דקטן נאמן לומר שמת, אפי' בלא מסיח לפי תומו. וה</w:t>
      </w:r>
      <w:r w:rsidRPr="007119D6">
        <w:rPr>
          <w:rFonts w:ascii="Narkisim" w:hAnsi="Narkisim"/>
          <w:b/>
          <w:bCs/>
          <w:rtl/>
        </w:rPr>
        <w:t>פוסקים</w:t>
      </w:r>
      <w:r w:rsidRPr="007119D6">
        <w:rPr>
          <w:rFonts w:ascii="Narkisim" w:hAnsi="Narkisim"/>
          <w:rtl/>
        </w:rPr>
        <w:t xml:space="preserve"> תמהו על דבריו. והב"ח נדחק דהטור קאי אשומע מפי הקטן, בין שהעד הזה נתכוין להעיד</w:t>
      </w:r>
      <w:r w:rsidRPr="007119D6">
        <w:rPr>
          <w:rStyle w:val="ac"/>
          <w:rFonts w:ascii="Narkisim" w:hAnsi="Narkisim"/>
          <w:rtl/>
        </w:rPr>
        <w:footnoteReference w:id="8433"/>
      </w:r>
      <w:r w:rsidRPr="007119D6">
        <w:rPr>
          <w:rFonts w:ascii="Narkisim" w:hAnsi="Narkisim"/>
          <w:rtl/>
        </w:rPr>
        <w:t>. אבל ה</w:t>
      </w:r>
      <w:r w:rsidRPr="007119D6">
        <w:rPr>
          <w:rFonts w:ascii="Narkisim" w:hAnsi="Narkisim"/>
          <w:b/>
          <w:bCs/>
          <w:rtl/>
        </w:rPr>
        <w:t>מהרש"ל</w:t>
      </w:r>
      <w:r w:rsidRPr="007119D6">
        <w:rPr>
          <w:rFonts w:ascii="Narkisim" w:hAnsi="Narkisim"/>
          <w:rtl/>
        </w:rPr>
        <w:t xml:space="preserve"> (הו' בדרישה שם יט וט"ז ט) הביא דדעת הטור דנאמן אף כשאינו מסל"ת</w:t>
      </w:r>
      <w:r w:rsidRPr="007119D6">
        <w:rPr>
          <w:rStyle w:val="ac"/>
          <w:rFonts w:ascii="Narkisim" w:hAnsi="Narkisim"/>
          <w:rtl/>
        </w:rPr>
        <w:footnoteReference w:id="8434"/>
      </w:r>
      <w:r w:rsidRPr="007119D6">
        <w:rPr>
          <w:rFonts w:ascii="Narkisim" w:hAnsi="Narkisim"/>
          <w:rtl/>
        </w:rPr>
        <w:t>.</w:t>
      </w:r>
    </w:p>
    <w:p w14:paraId="32FEE60B" w14:textId="77777777" w:rsidR="006C4368" w:rsidRPr="007119D6" w:rsidRDefault="006C4368" w:rsidP="006C4368">
      <w:pPr>
        <w:bidi/>
        <w:rPr>
          <w:rFonts w:ascii="Narkisim" w:hAnsi="Narkisim" w:cs="Narkisim"/>
        </w:rPr>
      </w:pPr>
      <w:r w:rsidRPr="007119D6">
        <w:rPr>
          <w:rFonts w:ascii="Narkisim" w:hAnsi="Narkisim" w:cs="Narkisim"/>
          <w:u w:val="single"/>
          <w:rtl/>
        </w:rPr>
        <w:t>ודלמא לא אזלי וכו' ודלמא קמצא בעלמא שכיב וכו'</w:t>
      </w:r>
      <w:r w:rsidRPr="007119D6">
        <w:rPr>
          <w:rFonts w:ascii="Narkisim" w:hAnsi="Narkisim" w:cs="Narkisim"/>
          <w:rtl/>
        </w:rPr>
        <w:t>. ה</w:t>
      </w:r>
      <w:r w:rsidRPr="007119D6">
        <w:rPr>
          <w:rFonts w:ascii="Narkisim" w:hAnsi="Narkisim" w:cs="Narkisim"/>
          <w:b/>
          <w:bCs/>
          <w:rtl/>
        </w:rPr>
        <w:t>פוסקים</w:t>
      </w:r>
      <w:r w:rsidRPr="007119D6">
        <w:rPr>
          <w:rFonts w:ascii="Narkisim" w:hAnsi="Narkisim" w:cs="Narkisim"/>
          <w:rtl/>
        </w:rPr>
        <w:t xml:space="preserve"> הק' אמאי לא אמרינן לישיילי אינהו גופייהו. ו</w:t>
      </w:r>
      <w:r w:rsidRPr="007119D6">
        <w:rPr>
          <w:rFonts w:ascii="Narkisim" w:hAnsi="Narkisim" w:cs="Narkisim"/>
          <w:b/>
          <w:bCs/>
          <w:rtl/>
        </w:rPr>
        <w:t>מהר"י וייל</w:t>
      </w:r>
      <w:r w:rsidRPr="007119D6">
        <w:rPr>
          <w:rFonts w:ascii="Narkisim" w:hAnsi="Narkisim" w:cs="Narkisim"/>
          <w:rtl/>
        </w:rPr>
        <w:t xml:space="preserve"> (ט והו' ברמ"א יז ח) הוכיח דבעד מפי עד אי"צ לברר ולשאול את העד הראשון</w:t>
      </w:r>
      <w:r w:rsidRPr="007119D6">
        <w:rPr>
          <w:rStyle w:val="ac"/>
          <w:rFonts w:ascii="Narkisim" w:hAnsi="Narkisim" w:cs="Narkisim"/>
          <w:rtl/>
        </w:rPr>
        <w:footnoteReference w:id="8435"/>
      </w:r>
      <w:r w:rsidRPr="007119D6">
        <w:rPr>
          <w:rFonts w:ascii="Narkisim" w:hAnsi="Narkisim" w:cs="Narkisim"/>
          <w:rtl/>
        </w:rPr>
        <w:t>. וה</w:t>
      </w:r>
      <w:r w:rsidRPr="007119D6">
        <w:rPr>
          <w:rFonts w:ascii="Narkisim" w:hAnsi="Narkisim" w:cs="Narkisim"/>
          <w:b/>
          <w:bCs/>
          <w:rtl/>
        </w:rPr>
        <w:t>חלק”מ</w:t>
      </w:r>
      <w:r w:rsidRPr="007119D6">
        <w:rPr>
          <w:rFonts w:ascii="Narkisim" w:hAnsi="Narkisim" w:cs="Narkisim"/>
          <w:rtl/>
        </w:rPr>
        <w:t xml:space="preserve"> (שם יח) חלק דהיכא דאפשר לברר צריך לברר. וע”כ איירי דהתינוקות אינם בעיר, דאל"כ מה מק' הגמ' דילמא קמצא שכיב, נשאל אותם. וה</w:t>
      </w:r>
      <w:r w:rsidRPr="007119D6">
        <w:rPr>
          <w:rFonts w:ascii="Narkisim" w:hAnsi="Narkisim" w:cs="Narkisim"/>
          <w:b/>
          <w:bCs/>
          <w:rtl/>
        </w:rPr>
        <w:t>ש"ש</w:t>
      </w:r>
      <w:r w:rsidRPr="007119D6">
        <w:rPr>
          <w:rFonts w:ascii="Narkisim" w:hAnsi="Narkisim" w:cs="Narkisim"/>
          <w:rtl/>
        </w:rPr>
        <w:t xml:space="preserve"> (ז יב) דחה דהקטן לא יהא נאמן, דכבר אינו מסיח לפי תומו</w:t>
      </w:r>
      <w:r w:rsidRPr="007119D6">
        <w:rPr>
          <w:rStyle w:val="ac"/>
          <w:rFonts w:ascii="Narkisim" w:hAnsi="Narkisim" w:cs="Narkisim"/>
          <w:rtl/>
        </w:rPr>
        <w:footnoteReference w:id="8436"/>
      </w:r>
      <w:r w:rsidRPr="007119D6">
        <w:rPr>
          <w:rFonts w:ascii="Narkisim" w:hAnsi="Narkisim" w:cs="Narkisim"/>
          <w:rtl/>
        </w:rPr>
        <w:t>. ועוד הביא דה</w:t>
      </w:r>
      <w:r w:rsidRPr="007119D6">
        <w:rPr>
          <w:rFonts w:ascii="Narkisim" w:hAnsi="Narkisim" w:cs="Narkisim"/>
          <w:b/>
          <w:bCs/>
          <w:rtl/>
        </w:rPr>
        <w:t>תה”ד</w:t>
      </w:r>
      <w:r w:rsidRPr="007119D6">
        <w:rPr>
          <w:rFonts w:ascii="Narkisim" w:hAnsi="Narkisim" w:cs="Narkisim"/>
          <w:rtl/>
        </w:rPr>
        <w:t xml:space="preserve"> (ב רכ, הו' ברמ”א יז יג) כת' דקטן נאמן רק לאלתר, אבל לאחר זמן קטן אינו נאמן כלל.</w:t>
      </w:r>
    </w:p>
    <w:p w14:paraId="77CC03DE" w14:textId="77777777" w:rsidR="006C4368" w:rsidRPr="007119D6" w:rsidRDefault="006C4368" w:rsidP="006C4368">
      <w:pPr>
        <w:pStyle w:val="aa"/>
        <w:bidi/>
        <w:rPr>
          <w:rFonts w:ascii="Narkisim" w:hAnsi="Narkisim"/>
        </w:rPr>
      </w:pPr>
      <w:r w:rsidRPr="007119D6">
        <w:rPr>
          <w:rFonts w:ascii="Narkisim" w:hAnsi="Narkisim"/>
          <w:u w:val="single"/>
          <w:rtl/>
        </w:rPr>
        <w:t>שם. קמצא</w:t>
      </w:r>
      <w:r w:rsidRPr="007119D6">
        <w:rPr>
          <w:rFonts w:ascii="Narkisim" w:hAnsi="Narkisim"/>
          <w:rtl/>
        </w:rPr>
        <w:t xml:space="preserve">. בשו"ת </w:t>
      </w:r>
      <w:r w:rsidRPr="007119D6">
        <w:rPr>
          <w:rFonts w:ascii="Narkisim" w:hAnsi="Narkisim"/>
          <w:b/>
          <w:bCs/>
          <w:rtl/>
        </w:rPr>
        <w:t>שער אפרים</w:t>
      </w:r>
      <w:r w:rsidRPr="007119D6">
        <w:rPr>
          <w:rFonts w:ascii="Narkisim" w:hAnsi="Narkisim"/>
          <w:rtl/>
        </w:rPr>
        <w:t xml:space="preserve"> (קג, הו' בש"ש ז י) כת' דיש קצת הוכחה דאיירי כאן בקטנים פחות מבן ו'. דכשהגדיל קצת אין מדרך העולם שיצניע לו אביו חגב לשחוק בו [וציין לגמ' שבת צ:]. והש"ש הביא דהט"ז (ט בסופו) העמיד בקטן שהגיע לפעוטות, אבל פחות מפעוטות אינו נאמן אפי' מסל"ת.</w:t>
      </w:r>
    </w:p>
    <w:p w14:paraId="68BD4D9D" w14:textId="77777777" w:rsidR="006C4368" w:rsidRPr="007119D6" w:rsidRDefault="006C4368" w:rsidP="006C4368">
      <w:pPr>
        <w:pStyle w:val="aa"/>
        <w:bidi/>
        <w:rPr>
          <w:rFonts w:ascii="Narkisim" w:hAnsi="Narkisim"/>
        </w:rPr>
      </w:pPr>
      <w:r w:rsidRPr="007119D6">
        <w:rPr>
          <w:rFonts w:ascii="Narkisim" w:hAnsi="Narkisim"/>
          <w:u w:val="single"/>
          <w:rtl/>
        </w:rPr>
        <w:t>ל”ש אלא שנתכוין להתיר, אבל נתכוין להעיד וכו'</w:t>
      </w:r>
      <w:r w:rsidRPr="007119D6">
        <w:rPr>
          <w:rFonts w:ascii="Narkisim" w:hAnsi="Narkisim"/>
          <w:rtl/>
        </w:rPr>
        <w:t>. לכאורה להנך מ"ד הכשירו עדות עכו"ם, וכמו שאר פסולי עדות. אבל היכא דניכר שנתכוון להתיר חששו. [וכעין הא דחששו בה' נשים וכן בתובעת כתובתה, לעיל קיז.].</w:t>
      </w:r>
    </w:p>
    <w:p w14:paraId="41576484" w14:textId="77777777" w:rsidR="006C4368" w:rsidRPr="007119D6" w:rsidRDefault="006C4368" w:rsidP="006C4368">
      <w:pPr>
        <w:pStyle w:val="aa"/>
        <w:bidi/>
        <w:rPr>
          <w:rFonts w:ascii="Narkisim" w:hAnsi="Narkisim"/>
        </w:rPr>
      </w:pPr>
      <w:r w:rsidRPr="007119D6">
        <w:rPr>
          <w:rFonts w:ascii="Narkisim" w:hAnsi="Narkisim"/>
          <w:u w:val="single"/>
          <w:rtl/>
        </w:rPr>
        <w:t>בא לבי”ד וכו' מת סתם זהו נתכוין לעדות</w:t>
      </w:r>
      <w:r w:rsidRPr="007119D6">
        <w:rPr>
          <w:rFonts w:ascii="Narkisim" w:hAnsi="Narkisim"/>
          <w:rtl/>
        </w:rPr>
        <w:t>. ואף שבא לבד לבי”ד ולא שאלוהו. וה</w:t>
      </w:r>
      <w:r w:rsidRPr="007119D6">
        <w:rPr>
          <w:rFonts w:ascii="Narkisim" w:hAnsi="Narkisim"/>
          <w:b/>
          <w:bCs/>
          <w:rtl/>
        </w:rPr>
        <w:t>ריב”ש</w:t>
      </w:r>
      <w:r w:rsidRPr="007119D6">
        <w:rPr>
          <w:rFonts w:ascii="Narkisim" w:hAnsi="Narkisim"/>
          <w:rtl/>
        </w:rPr>
        <w:t xml:space="preserve"> (שעז) כת' דה”ה שלא בפני בי"ד היכא דשאלוהו [האם מת] ל"מ, דנחשב נתכוין להעיד. [וקי"ל דל"מ נתכוין להעיד].</w:t>
      </w:r>
    </w:p>
    <w:p w14:paraId="50B7E5AF" w14:textId="77777777" w:rsidR="006C4368" w:rsidRPr="007119D6" w:rsidRDefault="006C4368" w:rsidP="006C4368">
      <w:pPr>
        <w:bidi/>
        <w:rPr>
          <w:rFonts w:ascii="Narkisim" w:hAnsi="Narkisim" w:cs="Narkisim"/>
        </w:rPr>
      </w:pPr>
      <w:r w:rsidRPr="007119D6">
        <w:rPr>
          <w:rFonts w:ascii="Narkisim" w:hAnsi="Narkisim" w:cs="Narkisim"/>
          <w:u w:val="single"/>
          <w:rtl/>
        </w:rPr>
        <w:t>אלא מתני' וכו' במסיח לפי תומו וכו'</w:t>
      </w:r>
      <w:r w:rsidRPr="007119D6">
        <w:rPr>
          <w:rFonts w:ascii="Narkisim" w:hAnsi="Narkisim" w:cs="Narkisim"/>
          <w:rtl/>
        </w:rPr>
        <w:t xml:space="preserve">. ועכו"ם ל"מ כלל כשבא בתורת עדות (וע"ע לקמן </w:t>
      </w:r>
      <w:r w:rsidRPr="007119D6">
        <w:rPr>
          <w:rFonts w:ascii="Narkisim" w:hAnsi="Narkisim" w:cs="Narkisim"/>
          <w:rtl/>
        </w:rPr>
        <w:lastRenderedPageBreak/>
        <w:t>קכב:). ונח' ה</w:t>
      </w:r>
      <w:r w:rsidRPr="007119D6">
        <w:rPr>
          <w:rFonts w:ascii="Narkisim" w:hAnsi="Narkisim" w:cs="Narkisim"/>
          <w:b/>
          <w:bCs/>
          <w:rtl/>
        </w:rPr>
        <w:t>ראשונים</w:t>
      </w:r>
      <w:r w:rsidRPr="007119D6">
        <w:rPr>
          <w:rFonts w:ascii="Narkisim" w:hAnsi="Narkisim" w:cs="Narkisim"/>
          <w:rtl/>
        </w:rPr>
        <w:t xml:space="preserve"> האם עכו"ם מסל"ת הוה תורת אומדנא בעלמא</w:t>
      </w:r>
      <w:r w:rsidRPr="007119D6">
        <w:rPr>
          <w:rStyle w:val="ac"/>
          <w:rFonts w:ascii="Narkisim" w:hAnsi="Narkisim" w:cs="Narkisim"/>
          <w:rtl/>
        </w:rPr>
        <w:footnoteReference w:id="8437"/>
      </w:r>
      <w:r w:rsidRPr="007119D6">
        <w:rPr>
          <w:rFonts w:ascii="Narkisim" w:hAnsi="Narkisim" w:cs="Narkisim"/>
          <w:rtl/>
        </w:rPr>
        <w:t>, דאין לעכו"ם תורת עדות כלל</w:t>
      </w:r>
      <w:r w:rsidRPr="007119D6">
        <w:rPr>
          <w:rStyle w:val="ac"/>
          <w:rFonts w:ascii="Narkisim" w:hAnsi="Narkisim" w:cs="Narkisim"/>
          <w:rtl/>
        </w:rPr>
        <w:footnoteReference w:id="8438"/>
      </w:r>
      <w:r w:rsidRPr="007119D6">
        <w:rPr>
          <w:rFonts w:ascii="Narkisim" w:hAnsi="Narkisim" w:cs="Narkisim"/>
          <w:rtl/>
        </w:rPr>
        <w:t>. או דמהני מסל"ת דאינו חשוד משקר, ועי"ז מהני תורת עדות</w:t>
      </w:r>
      <w:r w:rsidRPr="007119D6">
        <w:rPr>
          <w:rStyle w:val="ac"/>
          <w:rFonts w:ascii="Narkisim" w:hAnsi="Narkisim" w:cs="Narkisim"/>
          <w:rtl/>
        </w:rPr>
        <w:footnoteReference w:id="8439"/>
      </w:r>
      <w:r w:rsidRPr="007119D6">
        <w:rPr>
          <w:rFonts w:ascii="Narkisim" w:hAnsi="Narkisim" w:cs="Narkisim"/>
          <w:rtl/>
        </w:rPr>
        <w:t>.</w:t>
      </w:r>
    </w:p>
    <w:p w14:paraId="39F33A39" w14:textId="77777777" w:rsidR="006C4368" w:rsidRPr="007119D6" w:rsidRDefault="006C4368" w:rsidP="006C4368">
      <w:pPr>
        <w:bidi/>
        <w:rPr>
          <w:rFonts w:ascii="Narkisim" w:hAnsi="Narkisim" w:cs="Narkisim"/>
        </w:rPr>
      </w:pPr>
      <w:r w:rsidRPr="007119D6">
        <w:rPr>
          <w:rFonts w:ascii="Narkisim" w:hAnsi="Narkisim" w:cs="Narkisim"/>
          <w:rtl/>
        </w:rPr>
        <w:t>וב</w:t>
      </w:r>
      <w:r w:rsidRPr="007119D6">
        <w:rPr>
          <w:rFonts w:ascii="Narkisim" w:hAnsi="Narkisim" w:cs="Narkisim"/>
          <w:b/>
          <w:bCs/>
          <w:rtl/>
        </w:rPr>
        <w:t>ירושלמי</w:t>
      </w:r>
      <w:r w:rsidRPr="007119D6">
        <w:rPr>
          <w:rFonts w:ascii="Narkisim" w:hAnsi="Narkisim" w:cs="Narkisim"/>
          <w:rtl/>
        </w:rPr>
        <w:t xml:space="preserve"> (והו' במרדכי פז והג' מיימונ') אי' איזהו מתכוין ר' יוחנן אומר כל שמזכירין לו אשה. ר"ל אומר כל ששואלין אותו והוא משיב. ובפשוטו משמע דר"ל ס"ל דבעינן מסל"ת. ולר' יוחנן מהני נתכוון להעיד [אף שאינו מסל"ת], כל שאינו מזכיר היתר האשה</w:t>
      </w:r>
      <w:r w:rsidRPr="007119D6">
        <w:rPr>
          <w:rStyle w:val="ac"/>
          <w:rFonts w:ascii="Narkisim" w:hAnsi="Narkisim" w:cs="Narkisim"/>
          <w:rtl/>
        </w:rPr>
        <w:footnoteReference w:id="8440"/>
      </w:r>
      <w:r w:rsidRPr="007119D6">
        <w:rPr>
          <w:rFonts w:ascii="Narkisim" w:hAnsi="Narkisim" w:cs="Narkisim"/>
          <w:rtl/>
        </w:rPr>
        <w:t>.</w:t>
      </w:r>
    </w:p>
    <w:p w14:paraId="430D79C5" w14:textId="77777777" w:rsidR="006C4368" w:rsidRPr="007119D6" w:rsidRDefault="006C4368" w:rsidP="006C4368">
      <w:pPr>
        <w:pStyle w:val="a7"/>
        <w:bidi/>
        <w:rPr>
          <w:rFonts w:ascii="Narkisim" w:hAnsi="Narkisim"/>
        </w:rPr>
      </w:pPr>
      <w:r w:rsidRPr="007119D6">
        <w:rPr>
          <w:rFonts w:ascii="Narkisim" w:hAnsi="Narkisim"/>
          <w:rtl/>
        </w:rPr>
        <w:t>אך ה</w:t>
      </w:r>
      <w:r w:rsidRPr="007119D6">
        <w:rPr>
          <w:rFonts w:ascii="Narkisim" w:hAnsi="Narkisim"/>
          <w:b/>
          <w:bCs/>
          <w:rtl/>
        </w:rPr>
        <w:t>מרדכי</w:t>
      </w:r>
      <w:r w:rsidRPr="007119D6">
        <w:rPr>
          <w:rFonts w:ascii="Narkisim" w:hAnsi="Narkisim"/>
          <w:rtl/>
        </w:rPr>
        <w:t xml:space="preserve"> הביא דבגמ' דידן משמע דר' יוחנן מחמיר ובעי מסל"ת, ור"ל מיקל אא"כ נתכוון להתיר. וכת' לפרש דברי הירושלמי שר' יוחנן ס"ל דאפי' אין שואלין לו, אלא מזכירין לו שם האשה שמת בעלה לא הוי מסל"ת. וכת' מיהו פונדקית (לקמן קכב:) שהתחילה לבכות מהני.</w:t>
      </w:r>
    </w:p>
    <w:p w14:paraId="770544F8" w14:textId="77777777" w:rsidR="006C4368" w:rsidRPr="007119D6" w:rsidRDefault="006C4368" w:rsidP="006C4368">
      <w:pPr>
        <w:bidi/>
        <w:rPr>
          <w:rFonts w:ascii="Narkisim" w:hAnsi="Narkisim" w:cs="Narkisim"/>
        </w:rPr>
      </w:pPr>
      <w:r w:rsidRPr="007119D6">
        <w:rPr>
          <w:rFonts w:ascii="Narkisim" w:hAnsi="Narkisim" w:cs="Narkisim"/>
          <w:u w:val="single"/>
          <w:rtl/>
        </w:rPr>
        <w:t>אמר רב נחמן האלקים אכלו כוורי וכו'</w:t>
      </w:r>
      <w:r w:rsidRPr="007119D6">
        <w:rPr>
          <w:rFonts w:ascii="Narkisim" w:hAnsi="Narkisim" w:cs="Narkisim"/>
          <w:rtl/>
        </w:rPr>
        <w:t>. ב</w:t>
      </w:r>
      <w:r w:rsidRPr="007119D6">
        <w:rPr>
          <w:rFonts w:ascii="Narkisim" w:hAnsi="Narkisim" w:cs="Narkisim"/>
          <w:b/>
          <w:bCs/>
          <w:rtl/>
        </w:rPr>
        <w:t>תשו' מיימוני</w:t>
      </w:r>
      <w:r w:rsidRPr="007119D6">
        <w:rPr>
          <w:rFonts w:ascii="Narkisim" w:hAnsi="Narkisim" w:cs="Narkisim"/>
          <w:rtl/>
        </w:rPr>
        <w:t xml:space="preserve"> (נשים יא) פי' דרב נחמן נשבע כיון דהרוב אין ניצולים, ואפי' בדיני נפשות אזלינן בתר רובא (כדאי' סנהדרין סט.), ומש"ה רשאי לישבע ע”פ רוב</w:t>
      </w:r>
      <w:r w:rsidRPr="007119D6">
        <w:rPr>
          <w:rStyle w:val="ac"/>
          <w:rFonts w:ascii="Narkisim" w:hAnsi="Narkisim" w:cs="Narkisim"/>
          <w:rtl/>
        </w:rPr>
        <w:footnoteReference w:id="8441"/>
      </w:r>
      <w:r w:rsidRPr="007119D6">
        <w:rPr>
          <w:rFonts w:ascii="Narkisim" w:hAnsi="Narkisim" w:cs="Narkisim"/>
          <w:rtl/>
        </w:rPr>
        <w:t>. אלא דבעריות מחמרינן ואמרינן לכתחילה לא תינשא.</w:t>
      </w:r>
    </w:p>
    <w:p w14:paraId="2033C619"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(סז ד) הביא מכאן דרובא דליתא קמן הוה גדר 'בירור', ולא רק גדר הכרעה. ומש"ה יכול לישבע שהמציאות כן. ואילו ע"פ הכרעת חזקה ודאי אסור לישבע</w:t>
      </w:r>
      <w:r w:rsidRPr="007119D6">
        <w:rPr>
          <w:rStyle w:val="ac"/>
          <w:rFonts w:ascii="Narkisim" w:hAnsi="Narkisim"/>
          <w:rtl/>
        </w:rPr>
        <w:footnoteReference w:id="8442"/>
      </w:r>
      <w:r w:rsidRPr="007119D6">
        <w:rPr>
          <w:rFonts w:ascii="Narkisim" w:hAnsi="Narkisim"/>
          <w:rtl/>
        </w:rPr>
        <w:t>.</w:t>
      </w:r>
    </w:p>
    <w:p w14:paraId="7D43650D" w14:textId="77777777" w:rsidR="006C4368" w:rsidRPr="007119D6" w:rsidRDefault="006C4368" w:rsidP="006C4368">
      <w:pPr>
        <w:pStyle w:val="aa"/>
        <w:bidi/>
        <w:rPr>
          <w:rFonts w:ascii="Narkisim" w:hAnsi="Narkisim"/>
        </w:rPr>
      </w:pPr>
      <w:r w:rsidRPr="007119D6">
        <w:rPr>
          <w:rFonts w:ascii="Narkisim" w:hAnsi="Narkisim"/>
          <w:u w:val="single"/>
          <w:rtl/>
        </w:rPr>
        <w:t>מדיבוריה דר"נ אזלא דביתהו וכו' אבל אי נסיב לא מפקינן לה מיניה וכו'</w:t>
      </w:r>
      <w:r w:rsidRPr="007119D6">
        <w:rPr>
          <w:rFonts w:ascii="Narkisim" w:hAnsi="Narkisim"/>
          <w:rtl/>
        </w:rPr>
        <w:t>. ב</w:t>
      </w:r>
      <w:r w:rsidRPr="007119D6">
        <w:rPr>
          <w:rFonts w:ascii="Narkisim" w:hAnsi="Narkisim"/>
          <w:b/>
          <w:bCs/>
          <w:rtl/>
        </w:rPr>
        <w:t>תשו' מיימוני</w:t>
      </w:r>
      <w:r w:rsidRPr="007119D6">
        <w:rPr>
          <w:rFonts w:ascii="Narkisim" w:hAnsi="Narkisim"/>
          <w:rtl/>
        </w:rPr>
        <w:t xml:space="preserve"> (שם, ובהג' מרדכי קכז) כת' דרב נחמן אמר כך להתאונן על חסא, ודיבוריה אטעייה ואזלה ואינסיבא. ולא נתכוון להתירה.</w:t>
      </w:r>
    </w:p>
    <w:p w14:paraId="1D8897DD" w14:textId="77777777" w:rsidR="006C4368" w:rsidRPr="007119D6" w:rsidRDefault="006C4368" w:rsidP="006C4368">
      <w:pPr>
        <w:pStyle w:val="a8"/>
        <w:bidi/>
        <w:rPr>
          <w:rFonts w:ascii="Narkisim" w:hAnsi="Narkisim"/>
        </w:rPr>
      </w:pPr>
      <w:r w:rsidRPr="007119D6">
        <w:rPr>
          <w:rFonts w:ascii="Narkisim" w:hAnsi="Narkisim"/>
          <w:rtl/>
        </w:rPr>
        <w:t>ובפשוטו אף שהאשה נתכוונה לעבור על דברי חכמים, ואפי' נשאת במזיד הואיל ונשאת לא תצא. אך בתשו' מיימוני הק' דא"כ רובם יעשו כן</w:t>
      </w:r>
      <w:r w:rsidRPr="007119D6">
        <w:rPr>
          <w:rStyle w:val="ac"/>
          <w:rFonts w:ascii="Narkisim" w:hAnsi="Narkisim"/>
          <w:rtl/>
        </w:rPr>
        <w:footnoteReference w:id="8443"/>
      </w:r>
      <w:r w:rsidRPr="007119D6">
        <w:rPr>
          <w:rFonts w:ascii="Narkisim" w:hAnsi="Narkisim"/>
          <w:rtl/>
        </w:rPr>
        <w:t>, ולא הוה להו לרבנן לגזור שלא תינשא</w:t>
      </w:r>
      <w:r w:rsidRPr="007119D6">
        <w:rPr>
          <w:rStyle w:val="ac"/>
          <w:rFonts w:ascii="Narkisim" w:hAnsi="Narkisim"/>
          <w:rtl/>
        </w:rPr>
        <w:footnoteReference w:id="8444"/>
      </w:r>
      <w:r w:rsidRPr="007119D6">
        <w:rPr>
          <w:rFonts w:ascii="Narkisim" w:hAnsi="Narkisim"/>
          <w:rtl/>
        </w:rPr>
        <w:t>, דרובם יעברו על הגזירה. וכת' די"ל דדוקא נשאת ע"פ חכם, וכגון מעשה זו דשמעה דברי רב נחמן וסבורה שמותרת לינשא.</w:t>
      </w:r>
    </w:p>
    <w:p w14:paraId="1C36C1BE"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ריב"ש</w:t>
      </w:r>
      <w:r w:rsidRPr="007119D6">
        <w:rPr>
          <w:rFonts w:ascii="Narkisim" w:hAnsi="Narkisim"/>
          <w:rtl/>
        </w:rPr>
        <w:t xml:space="preserve"> (שעט) כת' דאם נשאת לאחר שבי"ד אסרוה לינשא לכתחלה, קונסין אותה ומוציאין אותה. כיון שנשאת אחר התראה</w:t>
      </w:r>
      <w:r w:rsidRPr="007119D6">
        <w:rPr>
          <w:rStyle w:val="ac"/>
          <w:rFonts w:ascii="Narkisim" w:hAnsi="Narkisim"/>
          <w:rtl/>
        </w:rPr>
        <w:footnoteReference w:id="8445"/>
      </w:r>
      <w:r w:rsidRPr="007119D6">
        <w:rPr>
          <w:rFonts w:ascii="Narkisim" w:hAnsi="Narkisim"/>
          <w:rtl/>
        </w:rPr>
        <w:t>.</w:t>
      </w:r>
    </w:p>
    <w:p w14:paraId="7BB3624C" w14:textId="77777777" w:rsidR="006C4368" w:rsidRPr="007119D6" w:rsidRDefault="006C4368" w:rsidP="006C4368">
      <w:pPr>
        <w:bidi/>
        <w:rPr>
          <w:rFonts w:ascii="Narkisim" w:hAnsi="Narkisim" w:cs="Narkisim"/>
        </w:rPr>
      </w:pPr>
      <w:r w:rsidRPr="007119D6">
        <w:rPr>
          <w:rFonts w:ascii="Narkisim" w:hAnsi="Narkisim" w:cs="Narkisim"/>
          <w:u w:val="single"/>
          <w:rtl/>
        </w:rPr>
        <w:t>איכא דאמרי וכו' אמר חסא גברא רבה אם אי' דסליק קלא אית ליה למילתא וכו'</w:t>
      </w:r>
      <w:r w:rsidRPr="007119D6">
        <w:rPr>
          <w:rFonts w:ascii="Narkisim" w:hAnsi="Narkisim" w:cs="Narkisim"/>
          <w:rtl/>
        </w:rPr>
        <w:t>. וע"ד הא דאמר רב אשי (בע"א) דצורבא מדרבנן קלא אית ליה</w:t>
      </w:r>
      <w:r w:rsidRPr="007119D6">
        <w:rPr>
          <w:rStyle w:val="ac"/>
          <w:rFonts w:ascii="Narkisim" w:hAnsi="Narkisim" w:cs="Narkisim"/>
          <w:rtl/>
        </w:rPr>
        <w:footnoteReference w:id="8446"/>
      </w:r>
      <w:r w:rsidRPr="007119D6">
        <w:rPr>
          <w:rFonts w:ascii="Narkisim" w:hAnsi="Narkisim" w:cs="Narkisim"/>
          <w:rtl/>
        </w:rPr>
        <w:t>. [והגמ' כאן דוחה ולא היא, וכמו הגמ' לעיל].</w:t>
      </w:r>
    </w:p>
    <w:p w14:paraId="2BCEFA5E" w14:textId="77777777" w:rsidR="006C4368" w:rsidRPr="007119D6" w:rsidRDefault="006C4368" w:rsidP="006C4368">
      <w:pPr>
        <w:pStyle w:val="a8"/>
        <w:bidi/>
        <w:rPr>
          <w:rFonts w:ascii="Narkisim" w:hAnsi="Narkisim"/>
        </w:rPr>
      </w:pPr>
      <w:r w:rsidRPr="007119D6">
        <w:rPr>
          <w:rFonts w:ascii="Narkisim" w:hAnsi="Narkisim"/>
          <w:rtl/>
        </w:rPr>
        <w:t>אבל ה</w:t>
      </w:r>
      <w:r w:rsidRPr="007119D6">
        <w:rPr>
          <w:rFonts w:ascii="Narkisim" w:hAnsi="Narkisim"/>
          <w:b/>
          <w:bCs/>
          <w:rtl/>
        </w:rPr>
        <w:t>או”ש</w:t>
      </w:r>
      <w:r w:rsidRPr="007119D6">
        <w:rPr>
          <w:rFonts w:ascii="Narkisim" w:hAnsi="Narkisim"/>
          <w:rtl/>
        </w:rPr>
        <w:t xml:space="preserve"> (סו”ה גירושין) חידש דהוה ב' סברות שונות, גברא רבה וצורבא מרבנן. וביאר דבגברא רבה אמרו דיש קול, שהענין שגברא רבה יטבע וסליק הוא דבר התמוה ופלא, ומפרסמי אינשי נס כזה, וירימוהו על נס, שכזה איקלע להך גברא רבה המפורסם. אבל צורבא מרבנן לא איירי באדם מפורסם, אלא שיודע הדין שאם ניסת לא תצא. וכיון שיודע שמצי לבוא לידי מכשול גדול שמא תנשא, ונשאת לא תצא, מש"ה היה מודיע.</w:t>
      </w:r>
    </w:p>
    <w:p w14:paraId="3E67AC42" w14:textId="77777777" w:rsidR="006C4368" w:rsidRPr="007119D6" w:rsidRDefault="006C4368" w:rsidP="006C4368">
      <w:pPr>
        <w:bidi/>
        <w:rPr>
          <w:rFonts w:ascii="Narkisim" w:hAnsi="Narkisim" w:cs="Narkisim"/>
        </w:rPr>
      </w:pPr>
      <w:r w:rsidRPr="007119D6">
        <w:rPr>
          <w:rFonts w:ascii="Narkisim" w:hAnsi="Narkisim" w:cs="Narkisim"/>
          <w:u w:val="single"/>
          <w:rtl/>
        </w:rPr>
        <w:lastRenderedPageBreak/>
        <w:t>ההוא עכו"ם וכו' ואי לא קטילנא לך כדקטילנא וכו'</w:t>
      </w:r>
      <w:r w:rsidRPr="007119D6">
        <w:rPr>
          <w:rFonts w:ascii="Narkisim" w:hAnsi="Narkisim" w:cs="Narkisim"/>
          <w:rtl/>
        </w:rPr>
        <w:t>. ו</w:t>
      </w:r>
      <w:r w:rsidRPr="007119D6">
        <w:rPr>
          <w:rFonts w:ascii="Narkisim" w:hAnsi="Narkisim" w:cs="Narkisim"/>
          <w:b/>
          <w:bCs/>
          <w:rtl/>
        </w:rPr>
        <w:t>רש"י</w:t>
      </w:r>
      <w:r w:rsidRPr="007119D6">
        <w:rPr>
          <w:rFonts w:ascii="Narkisim" w:hAnsi="Narkisim" w:cs="Narkisim"/>
          <w:rtl/>
        </w:rPr>
        <w:t xml:space="preserve"> (קכב. סוד"ה לא) פי' דמסקנת הגמ' דאמרי' שאמר כן לאיים, ולא הוה מסיח לפי תומו. וכ"פ ה</w:t>
      </w:r>
      <w:r w:rsidRPr="007119D6">
        <w:rPr>
          <w:rFonts w:ascii="Narkisim" w:hAnsi="Narkisim" w:cs="Narkisim"/>
          <w:b/>
          <w:bCs/>
          <w:rtl/>
        </w:rPr>
        <w:t>טושו"ע</w:t>
      </w:r>
      <w:r w:rsidRPr="007119D6">
        <w:rPr>
          <w:rFonts w:ascii="Narkisim" w:hAnsi="Narkisim" w:cs="Narkisim"/>
          <w:rtl/>
        </w:rPr>
        <w:t xml:space="preserve"> (יז יד) דהיכא שיש שם אמתלאה שנתכוין לדבר אחר, כגון שאמר שלא אהרוג אותך כדרך שהרגתי לפלוני, אין זה מסיח לפי תומו, שכוונתו להטיל אימה על זה.</w:t>
      </w:r>
    </w:p>
    <w:p w14:paraId="2A483E17" w14:textId="77777777" w:rsidR="006C4368" w:rsidRPr="007119D6" w:rsidRDefault="006C4368" w:rsidP="006C4368">
      <w:pPr>
        <w:pStyle w:val="a8"/>
        <w:bidi/>
        <w:rPr>
          <w:rFonts w:ascii="Narkisim" w:hAnsi="Narkisim"/>
        </w:rPr>
      </w:pPr>
      <w:r w:rsidRPr="007119D6">
        <w:rPr>
          <w:rFonts w:ascii="Narkisim" w:hAnsi="Narkisim"/>
          <w:rtl/>
        </w:rPr>
        <w:t>ובגמ' (גיטין כח:) אי' דעכו"ם מסל"ת מהני רק במילתא דלא שייכי בה. אבל במילתא דשייכי בה עבידי לשקר. ופ</w:t>
      </w:r>
      <w:r w:rsidRPr="007119D6">
        <w:rPr>
          <w:rFonts w:ascii="Narkisim" w:hAnsi="Narkisim"/>
          <w:b/>
          <w:bCs/>
          <w:rtl/>
        </w:rPr>
        <w:t>רש"י</w:t>
      </w:r>
      <w:r w:rsidRPr="007119D6">
        <w:rPr>
          <w:rFonts w:ascii="Narkisim" w:hAnsi="Narkisim"/>
          <w:rtl/>
        </w:rPr>
        <w:t xml:space="preserve"> שמתפארים בה</w:t>
      </w:r>
      <w:r w:rsidRPr="007119D6">
        <w:rPr>
          <w:rStyle w:val="ac"/>
          <w:rFonts w:ascii="Narkisim" w:hAnsi="Narkisim"/>
          <w:rtl/>
        </w:rPr>
        <w:footnoteReference w:id="8447"/>
      </w:r>
      <w:r w:rsidRPr="007119D6">
        <w:rPr>
          <w:rFonts w:ascii="Narkisim" w:hAnsi="Narkisim"/>
          <w:rtl/>
        </w:rPr>
        <w:t>.</w:t>
      </w:r>
    </w:p>
    <w:p w14:paraId="3082B13A" w14:textId="77777777" w:rsidR="006C4368" w:rsidRPr="007119D6" w:rsidRDefault="006C4368" w:rsidP="006C4368">
      <w:pPr>
        <w:pStyle w:val="aa"/>
        <w:bidi/>
        <w:rPr>
          <w:rFonts w:ascii="Narkisim" w:hAnsi="Narkisim"/>
        </w:rPr>
      </w:pPr>
      <w:r w:rsidRPr="007119D6">
        <w:rPr>
          <w:rFonts w:ascii="Narkisim" w:hAnsi="Narkisim"/>
          <w:rtl/>
        </w:rPr>
        <w:t>וב</w:t>
      </w:r>
      <w:r w:rsidRPr="007119D6">
        <w:rPr>
          <w:rFonts w:ascii="Narkisim" w:hAnsi="Narkisim"/>
          <w:b/>
          <w:bCs/>
          <w:rtl/>
        </w:rPr>
        <w:t>תשו' מיימוני</w:t>
      </w:r>
      <w:r w:rsidRPr="007119D6">
        <w:rPr>
          <w:rFonts w:ascii="Narkisim" w:hAnsi="Narkisim"/>
          <w:rtl/>
        </w:rPr>
        <w:t xml:space="preserve"> (נשים ט) כת' דדוקא היכא דמוכחא מילתא מתוך דבריו דלמירמא אימתא קא עביד. אבל היכא דלא מוכחא [לא מקמי הכי ולא לבתר הכי] לא תלינן להחמיר</w:t>
      </w:r>
      <w:r w:rsidRPr="007119D6">
        <w:rPr>
          <w:rStyle w:val="ac"/>
          <w:rFonts w:ascii="Narkisim" w:hAnsi="Narkisim"/>
          <w:rtl/>
        </w:rPr>
        <w:footnoteReference w:id="8448"/>
      </w:r>
      <w:r w:rsidRPr="007119D6">
        <w:rPr>
          <w:rFonts w:ascii="Narkisim" w:hAnsi="Narkisim"/>
          <w:rtl/>
        </w:rPr>
        <w:t>. [ומשמע מדבריו דכל ספק מסל"ת מותר</w:t>
      </w:r>
      <w:r w:rsidRPr="007119D6">
        <w:rPr>
          <w:rStyle w:val="ac"/>
          <w:rFonts w:ascii="Narkisim" w:hAnsi="Narkisim"/>
          <w:rtl/>
        </w:rPr>
        <w:footnoteReference w:id="8449"/>
      </w:r>
      <w:r w:rsidRPr="007119D6">
        <w:rPr>
          <w:rFonts w:ascii="Narkisim" w:hAnsi="Narkisim"/>
          <w:rtl/>
        </w:rPr>
        <w:t>].</w:t>
      </w:r>
    </w:p>
    <w:p w14:paraId="20D5D2BE" w14:textId="77777777" w:rsidR="006C4368" w:rsidRPr="007119D6" w:rsidRDefault="006C4368" w:rsidP="006C4368">
      <w:pPr>
        <w:bidi/>
        <w:rPr>
          <w:rFonts w:ascii="Narkisim" w:hAnsi="Narkisim" w:cs="Narkisim"/>
        </w:rPr>
      </w:pPr>
      <w:r w:rsidRPr="007119D6">
        <w:rPr>
          <w:rFonts w:ascii="Narkisim" w:hAnsi="Narkisim" w:cs="Narkisim"/>
          <w:u w:val="single"/>
          <w:rtl/>
        </w:rPr>
        <w:t>כדקטילנא לפלוני בר ישראל, דאמרי ליה בשיל לי קדירה בשבת ולא בשיל לי וכו'</w:t>
      </w:r>
      <w:r w:rsidRPr="007119D6">
        <w:rPr>
          <w:rFonts w:ascii="Narkisim" w:hAnsi="Narkisim" w:cs="Narkisim"/>
          <w:rtl/>
        </w:rPr>
        <w:t xml:space="preserve">. </w:t>
      </w:r>
      <w:r w:rsidRPr="007119D6">
        <w:rPr>
          <w:rFonts w:ascii="Narkisim" w:hAnsi="Narkisim" w:cs="Narkisim"/>
          <w:b/>
          <w:bCs/>
          <w:rtl/>
        </w:rPr>
        <w:t>תוס</w:t>
      </w:r>
      <w:r w:rsidRPr="007119D6">
        <w:rPr>
          <w:rFonts w:ascii="Narkisim" w:hAnsi="Narkisim" w:cs="Narkisim"/>
          <w:rtl/>
        </w:rPr>
        <w:t>' (סנהדרין עד:) כת' שמא לא היה בקי בהלכה, דכיון דהיה להנאת עצמן של עכו"ם מן הדין נדחית מפני פיקו"נ, ולא היה לו למסור עצמו</w:t>
      </w:r>
      <w:r w:rsidRPr="007119D6">
        <w:rPr>
          <w:rStyle w:val="ac"/>
          <w:rFonts w:ascii="Narkisim" w:hAnsi="Narkisim" w:cs="Narkisim"/>
          <w:rtl/>
        </w:rPr>
        <w:footnoteReference w:id="8450"/>
      </w:r>
      <w:r w:rsidRPr="007119D6">
        <w:rPr>
          <w:rFonts w:ascii="Narkisim" w:hAnsi="Narkisim" w:cs="Narkisim"/>
          <w:rtl/>
        </w:rPr>
        <w:t>.</w:t>
      </w:r>
    </w:p>
    <w:p w14:paraId="4602803D"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ב"ח</w:t>
      </w:r>
      <w:r w:rsidRPr="007119D6">
        <w:rPr>
          <w:rFonts w:ascii="Narkisim" w:hAnsi="Narkisim"/>
          <w:rtl/>
        </w:rPr>
        <w:t xml:space="preserve"> (יו"ד קנז) הק' דדעת </w:t>
      </w:r>
      <w:r w:rsidRPr="007119D6">
        <w:rPr>
          <w:rFonts w:ascii="Narkisim" w:hAnsi="Narkisim"/>
          <w:b/>
          <w:bCs/>
          <w:rtl/>
        </w:rPr>
        <w:t>תוס'</w:t>
      </w:r>
      <w:r w:rsidRPr="007119D6">
        <w:rPr>
          <w:rFonts w:ascii="Narkisim" w:hAnsi="Narkisim"/>
          <w:rtl/>
        </w:rPr>
        <w:t xml:space="preserve"> (ע"ז כז:) דאף במקום שהדין לעבור ולא להרג רשאי להחמיר על עצמו</w:t>
      </w:r>
      <w:r w:rsidRPr="007119D6">
        <w:rPr>
          <w:rStyle w:val="ac"/>
          <w:rFonts w:ascii="Narkisim" w:hAnsi="Narkisim"/>
          <w:rtl/>
        </w:rPr>
        <w:footnoteReference w:id="8451"/>
      </w:r>
      <w:r w:rsidRPr="007119D6">
        <w:rPr>
          <w:rFonts w:ascii="Narkisim" w:hAnsi="Narkisim"/>
          <w:rtl/>
        </w:rPr>
        <w:t>. א"כ י"ל דהחמיר על עצמו. ותי' דדוקא היכא דהנכרי מתכוין להעבירו על הדת רשאי ליהרג ולקדש את השם [אף בצינעא]. אבל היכא דהעכו"ם מתכוין להנאת עצמו אינו רשאי</w:t>
      </w:r>
      <w:r w:rsidRPr="007119D6">
        <w:rPr>
          <w:rStyle w:val="ac"/>
          <w:rFonts w:ascii="Narkisim" w:hAnsi="Narkisim"/>
          <w:rtl/>
        </w:rPr>
        <w:footnoteReference w:id="8452"/>
      </w:r>
      <w:r w:rsidRPr="007119D6">
        <w:rPr>
          <w:rFonts w:ascii="Narkisim" w:hAnsi="Narkisim"/>
          <w:rtl/>
        </w:rPr>
        <w:t>.</w:t>
      </w:r>
    </w:p>
    <w:p w14:paraId="68FE8D5B"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(קלז) תי' דדוקא במלאכה דאורייתא הוה מידת חסידות למסור עצמו, אבל באיסור דרבנן</w:t>
      </w:r>
      <w:r w:rsidRPr="007119D6">
        <w:rPr>
          <w:rStyle w:val="ac"/>
          <w:rFonts w:ascii="Narkisim" w:hAnsi="Narkisim"/>
          <w:rtl/>
        </w:rPr>
        <w:footnoteReference w:id="8453"/>
      </w:r>
      <w:r w:rsidRPr="007119D6">
        <w:rPr>
          <w:rFonts w:ascii="Narkisim" w:hAnsi="Narkisim"/>
          <w:rtl/>
        </w:rPr>
        <w:t xml:space="preserve"> להנאת עצמו ל"ש מידת חסידות. וביאר דהכא דאנסו לבשל לו קדירה הו' מלאכה שאינה צריכה לגופה [וקי"ל כר' שמעון דפטור ומותר], כיון שהישראל לא היה צריך לאותו בישול כי אם להנצל ממיתה. ודמי להורג מזיקים כדי שלא ימיתוהו, דהו"ל מלאכה שא"צ לגופה. [ומש"ה תוס' והסמ"ק הק' דלא היה לו למסור עצמו].</w:t>
      </w:r>
    </w:p>
    <w:p w14:paraId="0881DD2A"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דנו בכה"ג אי חשיב מלאכה שאי"צ לגופה. דהעושה אי"צ לזה, אלא להפטר מהעכו"ם. אבל העכו"ם צריך בו לגופו. וע"ע פנ"י וראש יוסף (שבת עב) וחוו"י (קפג)</w:t>
      </w:r>
      <w:r w:rsidRPr="007119D6">
        <w:rPr>
          <w:rStyle w:val="ac"/>
          <w:rFonts w:ascii="Narkisim" w:hAnsi="Narkisim"/>
          <w:rtl/>
        </w:rPr>
        <w:footnoteReference w:id="8454"/>
      </w:r>
      <w:r w:rsidRPr="007119D6">
        <w:rPr>
          <w:rFonts w:ascii="Narkisim" w:hAnsi="Narkisim"/>
          <w:rtl/>
        </w:rPr>
        <w:t>.</w:t>
      </w:r>
    </w:p>
    <w:p w14:paraId="790E4675" w14:textId="77777777" w:rsidR="006C4368" w:rsidRPr="007119D6" w:rsidRDefault="006C4368" w:rsidP="006C4368">
      <w:pPr>
        <w:pStyle w:val="3"/>
        <w:bidi/>
        <w:rPr>
          <w:rFonts w:ascii="Narkisim" w:hAnsi="Narkisim"/>
        </w:rPr>
      </w:pPr>
      <w:r w:rsidRPr="007119D6">
        <w:rPr>
          <w:rFonts w:ascii="Narkisim" w:hAnsi="Narkisim"/>
          <w:rtl/>
        </w:rPr>
        <w:t>דף קכב.</w:t>
      </w:r>
    </w:p>
    <w:p w14:paraId="33B1EB2B" w14:textId="77777777" w:rsidR="006C4368" w:rsidRPr="007119D6" w:rsidRDefault="006C4368" w:rsidP="006C4368">
      <w:pPr>
        <w:pStyle w:val="aa"/>
        <w:bidi/>
        <w:rPr>
          <w:rFonts w:ascii="Narkisim" w:hAnsi="Narkisim"/>
        </w:rPr>
      </w:pPr>
      <w:r w:rsidRPr="007119D6">
        <w:rPr>
          <w:rFonts w:ascii="Narkisim" w:hAnsi="Narkisim"/>
          <w:u w:val="single"/>
          <w:rtl/>
        </w:rPr>
        <w:t>שהיתא ג' ריגלי</w:t>
      </w:r>
      <w:r w:rsidRPr="007119D6">
        <w:rPr>
          <w:rFonts w:ascii="Narkisim" w:hAnsi="Narkisim"/>
          <w:rtl/>
        </w:rPr>
        <w:t>. [ע' רש"י ב' פי']. וב</w:t>
      </w:r>
      <w:r w:rsidRPr="007119D6">
        <w:rPr>
          <w:rFonts w:ascii="Narkisim" w:hAnsi="Narkisim"/>
          <w:b/>
          <w:bCs/>
          <w:rtl/>
        </w:rPr>
        <w:t>משנה</w:t>
      </w:r>
      <w:r w:rsidRPr="007119D6">
        <w:rPr>
          <w:rFonts w:ascii="Narkisim" w:hAnsi="Narkisim"/>
          <w:rtl/>
        </w:rPr>
        <w:t xml:space="preserve"> (פרה ז ו) הו' מעשה</w:t>
      </w:r>
      <w:r w:rsidRPr="007119D6">
        <w:rPr>
          <w:rStyle w:val="ac"/>
          <w:rFonts w:ascii="Narkisim" w:hAnsi="Narkisim"/>
          <w:rtl/>
        </w:rPr>
        <w:footnoteReference w:id="8455"/>
      </w:r>
      <w:r w:rsidRPr="007119D6">
        <w:rPr>
          <w:rFonts w:ascii="Narkisim" w:hAnsi="Narkisim"/>
          <w:rtl/>
        </w:rPr>
        <w:t>, ונשאל ביבנה ג' מועדות, ובמועד השלישי הכשירו הוראת שעה.</w:t>
      </w:r>
    </w:p>
    <w:p w14:paraId="4B97A36B" w14:textId="77777777" w:rsidR="006C4368" w:rsidRPr="007119D6" w:rsidRDefault="006C4368" w:rsidP="006C4368">
      <w:pPr>
        <w:pStyle w:val="aa"/>
        <w:bidi/>
        <w:rPr>
          <w:rFonts w:ascii="Narkisim" w:hAnsi="Narkisim"/>
        </w:rPr>
      </w:pPr>
      <w:r w:rsidRPr="007119D6">
        <w:rPr>
          <w:rFonts w:ascii="Narkisim" w:hAnsi="Narkisim"/>
          <w:u w:val="single"/>
          <w:rtl/>
        </w:rPr>
        <w:lastRenderedPageBreak/>
        <w:t>זיל לקמיה דרב יוסף דחריף סכינא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לב פתוח לו בסברא. ה</w:t>
      </w:r>
      <w:r w:rsidRPr="007119D6">
        <w:rPr>
          <w:rFonts w:ascii="Narkisim" w:hAnsi="Narkisim"/>
          <w:b/>
          <w:bCs/>
          <w:rtl/>
        </w:rPr>
        <w:t>מפרשים</w:t>
      </w:r>
      <w:r w:rsidRPr="007119D6">
        <w:rPr>
          <w:rFonts w:ascii="Narkisim" w:hAnsi="Narkisim"/>
          <w:rtl/>
        </w:rPr>
        <w:t xml:space="preserve"> הק' דמבואר (הוריות יד.) דרב יוסף היה סיני, ורבה היה עוקר הרים [חריף]. וה</w:t>
      </w:r>
      <w:r w:rsidRPr="007119D6">
        <w:rPr>
          <w:rFonts w:ascii="Narkisim" w:hAnsi="Narkisim"/>
          <w:b/>
          <w:bCs/>
          <w:rtl/>
        </w:rPr>
        <w:t>יעב”ץ</w:t>
      </w:r>
      <w:r w:rsidRPr="007119D6">
        <w:rPr>
          <w:rFonts w:ascii="Narkisim" w:hAnsi="Narkisim"/>
          <w:rtl/>
        </w:rPr>
        <w:t xml:space="preserve"> כת' דאפשר דנחשב חריף לגבי אביי, אף דלגבי רבה לא נחשב חריף. א”נ דכוונת הגמ' כאן דהוא בעל שמועות הרבה, וחריף לפשוט הספק מיד. ועוד יש שתי' דלאחר שרב יוסף נעשה ראש ישיבה נהיה חריף יותר.</w:t>
      </w:r>
    </w:p>
    <w:p w14:paraId="13650EB3" w14:textId="77777777" w:rsidR="006C4368" w:rsidRPr="007119D6" w:rsidRDefault="006C4368" w:rsidP="006C4368">
      <w:pPr>
        <w:pStyle w:val="a8"/>
        <w:bidi/>
        <w:rPr>
          <w:rFonts w:ascii="Narkisim" w:hAnsi="Narkisim"/>
        </w:rPr>
      </w:pPr>
      <w:r w:rsidRPr="007119D6">
        <w:rPr>
          <w:rFonts w:ascii="Narkisim" w:hAnsi="Narkisim"/>
          <w:rtl/>
        </w:rPr>
        <w:t>ועוה"ק ה</w:t>
      </w:r>
      <w:r w:rsidRPr="007119D6">
        <w:rPr>
          <w:rFonts w:ascii="Narkisim" w:hAnsi="Narkisim"/>
          <w:b/>
          <w:bCs/>
          <w:rtl/>
        </w:rPr>
        <w:t>יעב”ץ</w:t>
      </w:r>
      <w:r w:rsidRPr="007119D6">
        <w:rPr>
          <w:rFonts w:ascii="Narkisim" w:hAnsi="Narkisim"/>
          <w:rtl/>
        </w:rPr>
        <w:t xml:space="preserve"> מ”ט הלכה לגבי אביי, ולא לגבי רב יוסף שהיה רבו. ותי' דשמא רב יוסף היה במקום אחר, והאשה הזאת באה לאביי במקומו</w:t>
      </w:r>
      <w:r w:rsidRPr="007119D6">
        <w:rPr>
          <w:rStyle w:val="ac"/>
          <w:rFonts w:ascii="Narkisim" w:hAnsi="Narkisim"/>
          <w:rtl/>
        </w:rPr>
        <w:footnoteReference w:id="8456"/>
      </w:r>
      <w:r w:rsidRPr="007119D6">
        <w:rPr>
          <w:rFonts w:ascii="Narkisim" w:hAnsi="Narkisim"/>
          <w:rtl/>
        </w:rPr>
        <w:t>.</w:t>
      </w:r>
    </w:p>
    <w:p w14:paraId="26F19FCD" w14:textId="77777777" w:rsidR="006C4368" w:rsidRPr="007119D6" w:rsidRDefault="006C4368" w:rsidP="006C4368">
      <w:pPr>
        <w:pStyle w:val="aa"/>
        <w:bidi/>
        <w:rPr>
          <w:rFonts w:ascii="Narkisim" w:hAnsi="Narkisim"/>
        </w:rPr>
      </w:pPr>
      <w:r w:rsidRPr="007119D6">
        <w:rPr>
          <w:rFonts w:ascii="Narkisim" w:hAnsi="Narkisim"/>
          <w:rtl/>
        </w:rPr>
        <w:t>וגירסת ה</w:t>
      </w:r>
      <w:r w:rsidRPr="007119D6">
        <w:rPr>
          <w:rFonts w:ascii="Narkisim" w:hAnsi="Narkisim"/>
          <w:b/>
          <w:bCs/>
          <w:rtl/>
        </w:rPr>
        <w:t>רי"ף</w:t>
      </w:r>
      <w:r w:rsidRPr="007119D6">
        <w:rPr>
          <w:rFonts w:ascii="Narkisim" w:hAnsi="Narkisim"/>
          <w:rtl/>
        </w:rPr>
        <w:t xml:space="preserve"> דהאשה באתה לפני רבא</w:t>
      </w:r>
      <w:r w:rsidRPr="007119D6">
        <w:rPr>
          <w:rStyle w:val="ac"/>
          <w:rFonts w:ascii="Narkisim" w:hAnsi="Narkisim"/>
          <w:rtl/>
        </w:rPr>
        <w:footnoteReference w:id="8457"/>
      </w:r>
      <w:r w:rsidRPr="007119D6">
        <w:rPr>
          <w:rFonts w:ascii="Narkisim" w:hAnsi="Narkisim"/>
          <w:rtl/>
        </w:rPr>
        <w:t xml:space="preserve"> ופשט מהך ברייתא. וה</w:t>
      </w:r>
      <w:r w:rsidRPr="007119D6">
        <w:rPr>
          <w:rFonts w:ascii="Narkisim" w:hAnsi="Narkisim"/>
          <w:b/>
          <w:bCs/>
          <w:rtl/>
        </w:rPr>
        <w:t>פור"י</w:t>
      </w:r>
      <w:r w:rsidRPr="007119D6">
        <w:rPr>
          <w:rFonts w:ascii="Narkisim" w:hAnsi="Narkisim"/>
          <w:rtl/>
        </w:rPr>
        <w:t xml:space="preserve"> כת' דלפ"ז זהו הא דאי' (ב"ב כב.) רב אדא בר אבא הוה אמר לרבנן אדמגרמיתו גרמי בי אביי, תו אכלי בישרא שמינה בי רבא</w:t>
      </w:r>
      <w:r w:rsidRPr="007119D6">
        <w:rPr>
          <w:rStyle w:val="ac"/>
          <w:rFonts w:ascii="Narkisim" w:hAnsi="Narkisim"/>
          <w:rtl/>
        </w:rPr>
        <w:footnoteReference w:id="8458"/>
      </w:r>
      <w:r w:rsidRPr="007119D6">
        <w:rPr>
          <w:rFonts w:ascii="Narkisim" w:hAnsi="Narkisim"/>
          <w:rtl/>
        </w:rPr>
        <w:t xml:space="preserve">.  </w:t>
      </w:r>
    </w:p>
    <w:p w14:paraId="1E8C4CD9" w14:textId="77777777" w:rsidR="006C4368" w:rsidRPr="007119D6" w:rsidRDefault="006C4368" w:rsidP="006C4368">
      <w:pPr>
        <w:bidi/>
        <w:rPr>
          <w:rFonts w:ascii="Narkisim" w:hAnsi="Narkisim" w:cs="Narkisim"/>
        </w:rPr>
      </w:pPr>
      <w:r w:rsidRPr="007119D6">
        <w:rPr>
          <w:rFonts w:ascii="Narkisim" w:hAnsi="Narkisim" w:cs="Narkisim"/>
          <w:u w:val="single"/>
          <w:rtl/>
        </w:rPr>
        <w:t>פשט מהא מתניתא עכו"ם שהיה מוכר וכו' ואמר פירות הללו של ערלה</w:t>
      </w:r>
      <w:r w:rsidRPr="007119D6">
        <w:rPr>
          <w:rStyle w:val="ac"/>
          <w:rFonts w:ascii="Narkisim" w:hAnsi="Narkisim" w:cs="Narkisim"/>
          <w:u w:val="single"/>
          <w:rtl/>
        </w:rPr>
        <w:footnoteReference w:id="8459"/>
      </w:r>
      <w:r w:rsidRPr="007119D6">
        <w:rPr>
          <w:rFonts w:ascii="Narkisim" w:hAnsi="Narkisim" w:cs="Narkisim"/>
          <w:u w:val="single"/>
          <w:rtl/>
        </w:rPr>
        <w:t xml:space="preserve"> וכו' לא נתכוון אלא להשביח מקחו וכו'</w:t>
      </w:r>
      <w:r w:rsidRPr="007119D6">
        <w:rPr>
          <w:rFonts w:ascii="Narkisim" w:hAnsi="Narkisim" w:cs="Narkisim"/>
          <w:rtl/>
        </w:rPr>
        <w:t>. וכיון דנתכוון להשביח אינו נאמן כלל. ומבואר דאי לאו דמשביח מקחו עכו"ם מסל"ת נאמן להחמיר.</w:t>
      </w:r>
    </w:p>
    <w:p w14:paraId="076CDE5A" w14:textId="77777777" w:rsidR="006C4368" w:rsidRPr="007119D6" w:rsidRDefault="006C4368" w:rsidP="006C4368">
      <w:pPr>
        <w:pStyle w:val="a8"/>
        <w:bidi/>
        <w:rPr>
          <w:rFonts w:ascii="Narkisim" w:hAnsi="Narkisim"/>
        </w:rPr>
      </w:pPr>
      <w:r w:rsidRPr="007119D6">
        <w:rPr>
          <w:rFonts w:ascii="Narkisim" w:hAnsi="Narkisim"/>
          <w:rtl/>
        </w:rPr>
        <w:t>והמשך ה</w:t>
      </w:r>
      <w:r w:rsidRPr="007119D6">
        <w:rPr>
          <w:rFonts w:ascii="Narkisim" w:hAnsi="Narkisim"/>
          <w:b/>
          <w:bCs/>
          <w:rtl/>
        </w:rPr>
        <w:t>תוספתא</w:t>
      </w:r>
      <w:r w:rsidRPr="007119D6">
        <w:rPr>
          <w:rFonts w:ascii="Narkisim" w:hAnsi="Narkisim"/>
          <w:rtl/>
        </w:rPr>
        <w:t xml:space="preserve"> (דמאי) אבל אמר לו מאיש פלוני גוי לקחתים וכו' [דל"ש משביח מקחו] נאמן להחמיר דברי רבי, רשב"ג אומר אין נאמן, שדברי הגוי לא מעלין ולא מורידין</w:t>
      </w:r>
      <w:r w:rsidRPr="007119D6">
        <w:rPr>
          <w:rStyle w:val="ac"/>
          <w:rFonts w:ascii="Narkisim" w:hAnsi="Narkisim"/>
          <w:rtl/>
        </w:rPr>
        <w:footnoteReference w:id="8460"/>
      </w:r>
      <w:r w:rsidRPr="007119D6">
        <w:rPr>
          <w:rFonts w:ascii="Narkisim" w:hAnsi="Narkisim"/>
          <w:rtl/>
        </w:rPr>
        <w:t>. [וה</w:t>
      </w:r>
      <w:r w:rsidRPr="007119D6">
        <w:rPr>
          <w:rFonts w:ascii="Narkisim" w:hAnsi="Narkisim"/>
          <w:b/>
          <w:bCs/>
          <w:rtl/>
        </w:rPr>
        <w:t>מפרשים</w:t>
      </w:r>
      <w:r w:rsidRPr="007119D6">
        <w:rPr>
          <w:rFonts w:ascii="Narkisim" w:hAnsi="Narkisim"/>
          <w:rtl/>
        </w:rPr>
        <w:t xml:space="preserve"> דנו אי איירי התם במסיח לפי תומו, וע' גר”א יז קכה].</w:t>
      </w:r>
    </w:p>
    <w:p w14:paraId="769ADB0A" w14:textId="77777777" w:rsidR="006C4368" w:rsidRPr="007119D6" w:rsidRDefault="006C4368" w:rsidP="006C4368">
      <w:pPr>
        <w:pStyle w:val="a7"/>
        <w:bidi/>
        <w:rPr>
          <w:rFonts w:ascii="Narkisim" w:hAnsi="Narkisim"/>
        </w:rPr>
      </w:pPr>
      <w:r w:rsidRPr="007119D6">
        <w:rPr>
          <w:rFonts w:ascii="Narkisim" w:hAnsi="Narkisim"/>
          <w:rtl/>
        </w:rPr>
        <w:t>ונח' בזה ה</w:t>
      </w:r>
      <w:r w:rsidRPr="007119D6">
        <w:rPr>
          <w:rFonts w:ascii="Narkisim" w:hAnsi="Narkisim"/>
          <w:b/>
          <w:bCs/>
          <w:rtl/>
        </w:rPr>
        <w:t>ראשונים</w:t>
      </w:r>
      <w:r w:rsidRPr="007119D6">
        <w:rPr>
          <w:rFonts w:ascii="Narkisim" w:hAnsi="Narkisim"/>
          <w:rtl/>
        </w:rPr>
        <w:t xml:space="preserve"> (בכ"מ, הו' בגר”א יז קכה באריכות) האם עכו"ם מסל"ת נאמן להחמיר באיסורין</w:t>
      </w:r>
      <w:r w:rsidRPr="007119D6">
        <w:rPr>
          <w:rStyle w:val="ac"/>
          <w:rFonts w:ascii="Narkisim" w:hAnsi="Narkisim"/>
          <w:rtl/>
        </w:rPr>
        <w:footnoteReference w:id="8461"/>
      </w:r>
      <w:r w:rsidRPr="007119D6">
        <w:rPr>
          <w:rFonts w:ascii="Narkisim" w:hAnsi="Narkisim"/>
          <w:rtl/>
        </w:rPr>
        <w:t>. [ודעת ה</w:t>
      </w:r>
      <w:r w:rsidRPr="007119D6">
        <w:rPr>
          <w:rFonts w:ascii="Narkisim" w:hAnsi="Narkisim"/>
          <w:b/>
          <w:bCs/>
          <w:rtl/>
        </w:rPr>
        <w:t>מרדכי</w:t>
      </w:r>
      <w:r w:rsidRPr="007119D6">
        <w:rPr>
          <w:rFonts w:ascii="Narkisim" w:hAnsi="Narkisim"/>
          <w:rtl/>
        </w:rPr>
        <w:t xml:space="preserve"> (פז, והשו”ע יז לז) דעכו"ם מסל"ת המכחיש בעדות אשה דינו כשאר פסולי עדות. וע”ד הא דאי' (לעיל פח: וקיז:). ומבואר דמהני להחמיר].</w:t>
      </w:r>
    </w:p>
    <w:p w14:paraId="2DD1FF40" w14:textId="77777777" w:rsidR="006C4368" w:rsidRPr="007119D6" w:rsidRDefault="006C4368" w:rsidP="006C4368">
      <w:pPr>
        <w:pStyle w:val="a7"/>
        <w:bidi/>
        <w:rPr>
          <w:rFonts w:ascii="Narkisim" w:hAnsi="Narkisim"/>
        </w:rPr>
      </w:pPr>
      <w:r w:rsidRPr="007119D6">
        <w:rPr>
          <w:rFonts w:ascii="Narkisim" w:hAnsi="Narkisim"/>
          <w:rtl/>
        </w:rPr>
        <w:t>אבל ב</w:t>
      </w:r>
      <w:r w:rsidRPr="007119D6">
        <w:rPr>
          <w:rFonts w:ascii="Narkisim" w:hAnsi="Narkisim"/>
          <w:b/>
          <w:bCs/>
          <w:rtl/>
        </w:rPr>
        <w:t>שו"ת הרשב"א</w:t>
      </w:r>
      <w:r w:rsidRPr="007119D6">
        <w:rPr>
          <w:rFonts w:ascii="Narkisim" w:hAnsi="Narkisim"/>
          <w:rtl/>
        </w:rPr>
        <w:t xml:space="preserve"> (א קיח) כת' דעכו"ם אינו נאמן כלל לאסור</w:t>
      </w:r>
      <w:r w:rsidRPr="007119D6">
        <w:rPr>
          <w:rStyle w:val="ac"/>
          <w:rFonts w:ascii="Narkisim" w:hAnsi="Narkisim"/>
          <w:rtl/>
        </w:rPr>
        <w:footnoteReference w:id="8462"/>
      </w:r>
      <w:r w:rsidRPr="007119D6">
        <w:rPr>
          <w:rFonts w:ascii="Narkisim" w:hAnsi="Narkisim"/>
          <w:rtl/>
        </w:rPr>
        <w:t>, אפי' מסל"ת. והרשב"א דחה דבסוגיין איירי שמקחו בידו ומש"ה נאמן לאסור את שלו [שהוא תחת ידו], מיגו דלא היה מוכר לנו  א"נ מיגו דקלי להו.</w:t>
      </w:r>
    </w:p>
    <w:p w14:paraId="6C3A1463" w14:textId="77777777" w:rsidR="006C4368" w:rsidRPr="007119D6" w:rsidRDefault="006C4368" w:rsidP="006C4368">
      <w:pPr>
        <w:pStyle w:val="a8"/>
        <w:bidi/>
        <w:rPr>
          <w:rFonts w:ascii="Narkisim" w:hAnsi="Narkisim"/>
        </w:rPr>
      </w:pPr>
      <w:r w:rsidRPr="007119D6">
        <w:rPr>
          <w:rFonts w:ascii="Narkisim" w:hAnsi="Narkisim"/>
          <w:rtl/>
        </w:rPr>
        <w:t>ועוד כת' ה</w:t>
      </w:r>
      <w:r w:rsidRPr="007119D6">
        <w:rPr>
          <w:rFonts w:ascii="Narkisim" w:hAnsi="Narkisim"/>
          <w:b/>
          <w:bCs/>
          <w:rtl/>
        </w:rPr>
        <w:t>ש"ך</w:t>
      </w:r>
      <w:r w:rsidRPr="007119D6">
        <w:rPr>
          <w:rFonts w:ascii="Narkisim" w:hAnsi="Narkisim"/>
          <w:rtl/>
        </w:rPr>
        <w:t xml:space="preserve"> (יו"ד קכז כ) דטעם דנתכוין להשביח מקחו הוא לאו דוקא</w:t>
      </w:r>
      <w:r w:rsidRPr="007119D6">
        <w:rPr>
          <w:rStyle w:val="ac"/>
          <w:rFonts w:ascii="Narkisim" w:hAnsi="Narkisim"/>
          <w:rtl/>
        </w:rPr>
        <w:footnoteReference w:id="8463"/>
      </w:r>
      <w:r w:rsidRPr="007119D6">
        <w:rPr>
          <w:rFonts w:ascii="Narkisim" w:hAnsi="Narkisim"/>
          <w:rtl/>
        </w:rPr>
        <w:t>, וה"ה בכל מקום שיש למצא שום אמתלא</w:t>
      </w:r>
      <w:r w:rsidRPr="007119D6">
        <w:rPr>
          <w:rStyle w:val="ac"/>
          <w:rFonts w:ascii="Narkisim" w:hAnsi="Narkisim"/>
          <w:rtl/>
        </w:rPr>
        <w:footnoteReference w:id="8464"/>
      </w:r>
      <w:r w:rsidRPr="007119D6">
        <w:rPr>
          <w:rFonts w:ascii="Narkisim" w:hAnsi="Narkisim"/>
          <w:rtl/>
        </w:rPr>
        <w:t>.</w:t>
      </w:r>
    </w:p>
    <w:p w14:paraId="0B2D0783"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תה"ד</w:t>
      </w:r>
      <w:r w:rsidRPr="007119D6">
        <w:rPr>
          <w:rFonts w:ascii="Narkisim" w:hAnsi="Narkisim"/>
          <w:rtl/>
        </w:rPr>
        <w:t xml:space="preserve"> (עט) כת' דבשאר איסורין לא סמכי' אעכו"ם מסל"ת באיסור דאורייתא. אבל באיסור דרבנן מהני </w:t>
      </w:r>
      <w:r w:rsidRPr="007119D6">
        <w:rPr>
          <w:rFonts w:ascii="Narkisim" w:hAnsi="Narkisim"/>
          <w:rtl/>
        </w:rPr>
        <w:lastRenderedPageBreak/>
        <w:t>מסל"ת</w:t>
      </w:r>
      <w:r w:rsidRPr="007119D6">
        <w:rPr>
          <w:rStyle w:val="ac"/>
          <w:rFonts w:ascii="Narkisim" w:hAnsi="Narkisim"/>
          <w:rtl/>
        </w:rPr>
        <w:footnoteReference w:id="8465"/>
      </w:r>
      <w:r w:rsidRPr="007119D6">
        <w:rPr>
          <w:rFonts w:ascii="Narkisim" w:hAnsi="Narkisim"/>
          <w:rtl/>
        </w:rPr>
        <w:t>. וכדאי' (ב"ק קיד:) דאין מסל"ת נאמן אלא בעדות אשה ובשבויה</w:t>
      </w:r>
      <w:r w:rsidRPr="007119D6">
        <w:rPr>
          <w:rStyle w:val="ac"/>
          <w:rFonts w:ascii="Narkisim" w:hAnsi="Narkisim"/>
          <w:rtl/>
        </w:rPr>
        <w:footnoteReference w:id="8466"/>
      </w:r>
      <w:r w:rsidRPr="007119D6">
        <w:rPr>
          <w:rFonts w:ascii="Narkisim" w:hAnsi="Narkisim"/>
          <w:rtl/>
        </w:rPr>
        <w:t>.</w:t>
      </w:r>
    </w:p>
    <w:p w14:paraId="5985F5A5"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רשב"א</w:t>
      </w:r>
      <w:r w:rsidRPr="007119D6">
        <w:rPr>
          <w:rFonts w:ascii="Narkisim" w:hAnsi="Narkisim"/>
          <w:rtl/>
        </w:rPr>
        <w:t xml:space="preserve"> (תוה"ב ד א טז. בדה”ס) הביא מח' בהא דקפילא עכו"ם נאמן, האם בעינן מסיח לפי תומו. או אף כשאינו מסל"ת, דאומן לא מרעי אומנתו. והרא"ה (שם) כת' דהטעם משום גלוי מילתא, דכיון דאיכא למיקם עלה דמילתא. וכת' דאף בעדות אשה סמכו אעכו"ם משום דעבידא לאיגלויי. אלא דמשום חומרא דרבנן הצריכו בעדות אשה שיהא מסל"ת. אבל בקפילא ל"צ מסל"ת.</w:t>
      </w:r>
    </w:p>
    <w:p w14:paraId="032D989B" w14:textId="77777777" w:rsidR="006C4368" w:rsidRPr="007119D6" w:rsidRDefault="006C4368" w:rsidP="006C4368">
      <w:pPr>
        <w:bidi/>
        <w:rPr>
          <w:rFonts w:ascii="Narkisim" w:hAnsi="Narkisim" w:cs="Narkisim"/>
        </w:rPr>
      </w:pPr>
      <w:r w:rsidRPr="007119D6">
        <w:rPr>
          <w:rFonts w:ascii="Narkisim" w:hAnsi="Narkisim" w:cs="Narkisim"/>
          <w:u w:val="single"/>
          <w:rtl/>
        </w:rPr>
        <w:t>של עזיקה</w:t>
      </w:r>
      <w:r w:rsidRPr="007119D6">
        <w:rPr>
          <w:rFonts w:ascii="Narkisim" w:hAnsi="Narkisim" w:cs="Narkisim"/>
          <w:rtl/>
        </w:rPr>
        <w:t xml:space="preserve">. </w:t>
      </w:r>
      <w:r w:rsidRPr="007119D6">
        <w:rPr>
          <w:rFonts w:ascii="Narkisim" w:hAnsi="Narkisim" w:cs="Narkisim"/>
          <w:b/>
          <w:bCs/>
          <w:rtl/>
        </w:rPr>
        <w:t>רבותיו</w:t>
      </w:r>
      <w:r w:rsidRPr="007119D6">
        <w:rPr>
          <w:rFonts w:ascii="Narkisim" w:hAnsi="Narkisim" w:cs="Narkisim"/>
          <w:rtl/>
        </w:rPr>
        <w:t xml:space="preserve"> של </w:t>
      </w:r>
      <w:r w:rsidRPr="007119D6">
        <w:rPr>
          <w:rFonts w:ascii="Narkisim" w:hAnsi="Narkisim" w:cs="Narkisim"/>
          <w:b/>
          <w:bCs/>
          <w:rtl/>
        </w:rPr>
        <w:t>רש”י</w:t>
      </w:r>
      <w:r w:rsidRPr="007119D6">
        <w:rPr>
          <w:rFonts w:ascii="Narkisim" w:hAnsi="Narkisim" w:cs="Narkisim"/>
          <w:rtl/>
        </w:rPr>
        <w:t xml:space="preserve"> פי' פרדס מעוזק, דמשומר אסור בשביעית. ו</w:t>
      </w:r>
      <w:r w:rsidRPr="007119D6">
        <w:rPr>
          <w:rFonts w:ascii="Narkisim" w:hAnsi="Narkisim" w:cs="Narkisim"/>
          <w:b/>
          <w:bCs/>
          <w:rtl/>
        </w:rPr>
        <w:t>רש"י</w:t>
      </w:r>
      <w:r w:rsidRPr="007119D6">
        <w:rPr>
          <w:rFonts w:ascii="Narkisim" w:hAnsi="Narkisim" w:cs="Narkisim"/>
          <w:rtl/>
        </w:rPr>
        <w:t xml:space="preserve"> חלק דאף משומר בשביעית מותר [עד הביעור], ופי' דעזיקה הוה שם עיר באר"י</w:t>
      </w:r>
      <w:r w:rsidRPr="007119D6">
        <w:rPr>
          <w:rStyle w:val="ac"/>
          <w:rFonts w:ascii="Narkisim" w:hAnsi="Narkisim" w:cs="Narkisim"/>
          <w:rtl/>
        </w:rPr>
        <w:footnoteReference w:id="8467"/>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כת' דיל"פ דקאי אפרדס של ערלה, שפרדס זו משומרת. ונתכוין להשביח מקחו [ולא משום איסור והיתר קאי].</w:t>
      </w:r>
    </w:p>
    <w:p w14:paraId="074427BC" w14:textId="77777777" w:rsidR="006C4368" w:rsidRPr="007119D6" w:rsidRDefault="006C4368" w:rsidP="006C4368">
      <w:pPr>
        <w:pStyle w:val="a8"/>
        <w:bidi/>
        <w:rPr>
          <w:rFonts w:ascii="Narkisim" w:hAnsi="Narkisim"/>
        </w:rPr>
      </w:pPr>
      <w:r w:rsidRPr="007119D6">
        <w:rPr>
          <w:rFonts w:ascii="Narkisim" w:hAnsi="Narkisim"/>
          <w:rtl/>
        </w:rPr>
        <w:t>ועוד פי' דאורחא דמילתא נקט, שדרך ערלה שלא משמרים בתחלה, שאינה עושה פירות הרבה. אבל כשהיא משומרת יפה ומתוך עבודתה עושה פירות משובחין ביותר.</w:t>
      </w:r>
    </w:p>
    <w:p w14:paraId="5CB51E54"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ראב"ד</w:t>
      </w:r>
      <w:r w:rsidRPr="007119D6">
        <w:rPr>
          <w:rFonts w:ascii="Narkisim" w:hAnsi="Narkisim"/>
          <w:rtl/>
        </w:rPr>
        <w:t xml:space="preserve"> (סוכה לט: יט: בדה"ר) פי' ארץ עבודה ומטוייבת. דפירות שגדלו מחמת עבודה בשביעית אסורין, אף משל גוי. דאפי' ספיחי שביעית אסורים, כ"ש פירות ארץ עבודה</w:t>
      </w:r>
      <w:r w:rsidRPr="007119D6">
        <w:rPr>
          <w:rStyle w:val="ac"/>
          <w:rFonts w:ascii="Narkisim" w:hAnsi="Narkisim"/>
          <w:rtl/>
        </w:rPr>
        <w:footnoteReference w:id="8468"/>
      </w:r>
      <w:r w:rsidRPr="007119D6">
        <w:rPr>
          <w:rFonts w:ascii="Narkisim" w:hAnsi="Narkisim"/>
          <w:rtl/>
        </w:rPr>
        <w:t>.</w:t>
      </w:r>
    </w:p>
    <w:p w14:paraId="2B5974D8" w14:textId="77777777" w:rsidR="006C4368" w:rsidRPr="007119D6" w:rsidRDefault="006C4368" w:rsidP="006C4368">
      <w:pPr>
        <w:pStyle w:val="a7"/>
        <w:bidi/>
        <w:rPr>
          <w:rFonts w:ascii="Narkisim" w:hAnsi="Narkisim"/>
        </w:rPr>
      </w:pPr>
      <w:r w:rsidRPr="007119D6">
        <w:rPr>
          <w:rFonts w:ascii="Narkisim" w:hAnsi="Narkisim"/>
          <w:rtl/>
        </w:rPr>
        <w:t>ועד”ז כת' דה</w:t>
      </w:r>
      <w:r w:rsidRPr="007119D6">
        <w:rPr>
          <w:rFonts w:ascii="Narkisim" w:hAnsi="Narkisim"/>
          <w:b/>
          <w:bCs/>
          <w:rtl/>
        </w:rPr>
        <w:t>רמב"ן</w:t>
      </w:r>
      <w:r w:rsidRPr="007119D6">
        <w:rPr>
          <w:rFonts w:ascii="Narkisim" w:hAnsi="Narkisim"/>
          <w:rtl/>
        </w:rPr>
        <w:t xml:space="preserve"> דיל"פ עזקה מלשון מצאו יושב ועוזק תחת הזיתים (מנחות פה:), שפי' חופר או עושה לה כמין גדר למלאתו עפר. ומש"ה הפירות עצמן אסורין, דבאו מחמת עבודת שביעית. וקי"ל (גיטין נג:) הנוטע בשביעית יעקור ושדה שנטייבה לא תזרע למוצאי שביעית. ומשמע דהפירות אסורים משום קנס</w:t>
      </w:r>
      <w:r w:rsidRPr="007119D6">
        <w:rPr>
          <w:rStyle w:val="ac"/>
          <w:rFonts w:ascii="Narkisim" w:hAnsi="Narkisim"/>
          <w:rtl/>
        </w:rPr>
        <w:footnoteReference w:id="8469"/>
      </w:r>
      <w:r w:rsidRPr="007119D6">
        <w:rPr>
          <w:rFonts w:ascii="Narkisim" w:hAnsi="Narkisim"/>
          <w:rtl/>
        </w:rPr>
        <w:t>.</w:t>
      </w:r>
    </w:p>
    <w:p w14:paraId="21E44216" w14:textId="77777777" w:rsidR="006C4368" w:rsidRPr="007119D6" w:rsidRDefault="006C4368" w:rsidP="006C4368">
      <w:pPr>
        <w:pStyle w:val="a8"/>
        <w:bidi/>
        <w:rPr>
          <w:rFonts w:ascii="Narkisim" w:hAnsi="Narkisim"/>
        </w:rPr>
      </w:pPr>
      <w:r w:rsidRPr="007119D6">
        <w:rPr>
          <w:rFonts w:ascii="Narkisim" w:hAnsi="Narkisim"/>
          <w:rtl/>
        </w:rPr>
        <w:t xml:space="preserve">ויש </w:t>
      </w:r>
      <w:r w:rsidRPr="007119D6">
        <w:rPr>
          <w:rFonts w:ascii="Narkisim" w:hAnsi="Narkisim"/>
          <w:b/>
          <w:bCs/>
          <w:rtl/>
        </w:rPr>
        <w:t>ראשונים</w:t>
      </w:r>
      <w:r w:rsidRPr="007119D6">
        <w:rPr>
          <w:rFonts w:ascii="Narkisim" w:hAnsi="Narkisim"/>
          <w:rtl/>
        </w:rPr>
        <w:t xml:space="preserve"> דנעבד בשביעית אסור מדאורייתא</w:t>
      </w:r>
      <w:r w:rsidRPr="007119D6">
        <w:rPr>
          <w:rStyle w:val="ac"/>
          <w:rFonts w:ascii="Narkisim" w:hAnsi="Narkisim"/>
          <w:rtl/>
        </w:rPr>
        <w:footnoteReference w:id="8470"/>
      </w:r>
      <w:r w:rsidRPr="007119D6">
        <w:rPr>
          <w:rFonts w:ascii="Narkisim" w:hAnsi="Narkisim"/>
          <w:rtl/>
        </w:rPr>
        <w:t>, וכדדרשי' (תורת כהנים בהר פרק א ה) והיתה שבת הארץ לכם, מן השבות אתה אוכל ואין אתה אוכל מן השמור</w:t>
      </w:r>
      <w:r w:rsidRPr="007119D6">
        <w:rPr>
          <w:rStyle w:val="ac"/>
          <w:rFonts w:ascii="Narkisim" w:hAnsi="Narkisim"/>
          <w:rtl/>
        </w:rPr>
        <w:footnoteReference w:id="8471"/>
      </w:r>
      <w:r w:rsidRPr="007119D6">
        <w:rPr>
          <w:rFonts w:ascii="Narkisim" w:hAnsi="Narkisim"/>
          <w:rtl/>
        </w:rPr>
        <w:t>, מיכן אמרו שדה שנטייבה בית שמאי אומרים אי אתה אוכל פירותיה</w:t>
      </w:r>
      <w:r w:rsidRPr="007119D6">
        <w:rPr>
          <w:rStyle w:val="ac"/>
          <w:rFonts w:ascii="Narkisim" w:hAnsi="Narkisim"/>
          <w:rtl/>
        </w:rPr>
        <w:footnoteReference w:id="8472"/>
      </w:r>
      <w:r w:rsidRPr="007119D6">
        <w:rPr>
          <w:rFonts w:ascii="Narkisim" w:hAnsi="Narkisim"/>
          <w:rtl/>
        </w:rPr>
        <w:t>.</w:t>
      </w:r>
    </w:p>
    <w:p w14:paraId="4CC801A2" w14:textId="77777777" w:rsidR="006C4368" w:rsidRPr="007119D6" w:rsidRDefault="006C4368" w:rsidP="006C4368">
      <w:pPr>
        <w:bidi/>
        <w:rPr>
          <w:rFonts w:ascii="Narkisim" w:hAnsi="Narkisim" w:cs="Narkisim"/>
        </w:rPr>
      </w:pPr>
      <w:r w:rsidRPr="007119D6">
        <w:rPr>
          <w:rFonts w:ascii="Narkisim" w:hAnsi="Narkisim" w:cs="Narkisim"/>
          <w:u w:val="single"/>
          <w:rtl/>
        </w:rPr>
        <w:t>תוד"ה של עזיקה</w:t>
      </w:r>
      <w:r w:rsidRPr="007119D6">
        <w:rPr>
          <w:rFonts w:ascii="Narkisim" w:hAnsi="Narkisim" w:cs="Narkisim"/>
          <w:rtl/>
        </w:rPr>
        <w:t xml:space="preserve">. פי' בקו' וכו' וקשה לו וכו' קודם הביעור לעולם מותר. דדעת </w:t>
      </w:r>
      <w:r w:rsidRPr="007119D6">
        <w:rPr>
          <w:rFonts w:ascii="Narkisim" w:hAnsi="Narkisim" w:cs="Narkisim"/>
          <w:b/>
          <w:bCs/>
          <w:rtl/>
        </w:rPr>
        <w:t>רש”י</w:t>
      </w:r>
      <w:r w:rsidRPr="007119D6">
        <w:rPr>
          <w:rFonts w:ascii="Narkisim" w:hAnsi="Narkisim" w:cs="Narkisim"/>
          <w:rtl/>
        </w:rPr>
        <w:t xml:space="preserve"> דאף פירות משדה משומרת מותרים בשביעית [כדין פירות שביעית]. וה</w:t>
      </w:r>
      <w:r w:rsidRPr="007119D6">
        <w:rPr>
          <w:rFonts w:ascii="Narkisim" w:hAnsi="Narkisim" w:cs="Narkisim"/>
          <w:b/>
          <w:bCs/>
          <w:rtl/>
        </w:rPr>
        <w:t>ראשונים</w:t>
      </w:r>
      <w:r w:rsidRPr="007119D6">
        <w:rPr>
          <w:rFonts w:ascii="Narkisim" w:hAnsi="Narkisim" w:cs="Narkisim"/>
          <w:rtl/>
        </w:rPr>
        <w:t xml:space="preserve"> ציינו דכ"מ ב</w:t>
      </w:r>
      <w:r w:rsidRPr="007119D6">
        <w:rPr>
          <w:rFonts w:ascii="Narkisim" w:hAnsi="Narkisim" w:cs="Narkisim"/>
          <w:b/>
          <w:bCs/>
          <w:rtl/>
        </w:rPr>
        <w:t>רש"י</w:t>
      </w:r>
      <w:r w:rsidRPr="007119D6">
        <w:rPr>
          <w:rFonts w:ascii="Narkisim" w:hAnsi="Narkisim" w:cs="Narkisim"/>
          <w:rtl/>
        </w:rPr>
        <w:t xml:space="preserve"> (סוכה לט:)</w:t>
      </w:r>
      <w:r w:rsidRPr="007119D6">
        <w:rPr>
          <w:rStyle w:val="ac"/>
          <w:rFonts w:ascii="Narkisim" w:hAnsi="Narkisim" w:cs="Narkisim"/>
          <w:rtl/>
        </w:rPr>
        <w:footnoteReference w:id="8473"/>
      </w:r>
      <w:r w:rsidRPr="007119D6">
        <w:rPr>
          <w:rFonts w:ascii="Narkisim" w:hAnsi="Narkisim" w:cs="Narkisim"/>
          <w:rtl/>
        </w:rPr>
        <w:t>.</w:t>
      </w:r>
    </w:p>
    <w:p w14:paraId="2FF3942C"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ראב"ד</w:t>
      </w:r>
      <w:r w:rsidRPr="007119D6">
        <w:rPr>
          <w:rFonts w:ascii="Narkisim" w:hAnsi="Narkisim" w:cs="Narkisim"/>
          <w:rtl/>
        </w:rPr>
        <w:t xml:space="preserve"> (כתוב שם סוכה שם יט: בדה"ר) כת' דאף למשומר דישראל אסור, דעבר על הדין להפקיר. אבל בברייתא כאן איירי בפירות של נכרי, ופירות נכרי משומרים ודאי מותרין. [דהעכו"ם אינו מצווה להפקיר, ולא ביטל דינו</w:t>
      </w:r>
      <w:r w:rsidRPr="007119D6">
        <w:rPr>
          <w:rStyle w:val="ac"/>
          <w:rFonts w:ascii="Narkisim" w:hAnsi="Narkisim" w:cs="Narkisim"/>
          <w:rtl/>
        </w:rPr>
        <w:footnoteReference w:id="8474"/>
      </w:r>
      <w:r w:rsidRPr="007119D6">
        <w:rPr>
          <w:rFonts w:ascii="Narkisim" w:hAnsi="Narkisim" w:cs="Narkisim"/>
          <w:rtl/>
        </w:rPr>
        <w:t>].</w:t>
      </w:r>
    </w:p>
    <w:p w14:paraId="2E881A2D" w14:textId="77777777" w:rsidR="006C4368" w:rsidRPr="007119D6" w:rsidRDefault="006C4368" w:rsidP="006C4368">
      <w:pPr>
        <w:pStyle w:val="a7"/>
        <w:bidi/>
        <w:rPr>
          <w:rFonts w:ascii="Narkisim" w:hAnsi="Narkisim"/>
        </w:rPr>
      </w:pPr>
      <w:r w:rsidRPr="007119D6">
        <w:rPr>
          <w:rFonts w:ascii="Narkisim" w:hAnsi="Narkisim"/>
          <w:rtl/>
        </w:rPr>
        <w:lastRenderedPageBreak/>
        <w:t>וה</w:t>
      </w:r>
      <w:r w:rsidRPr="007119D6">
        <w:rPr>
          <w:rFonts w:ascii="Narkisim" w:hAnsi="Narkisim"/>
          <w:b/>
          <w:bCs/>
          <w:rtl/>
        </w:rPr>
        <w:t>ראב"ד</w:t>
      </w:r>
      <w:r w:rsidRPr="007119D6">
        <w:rPr>
          <w:rFonts w:ascii="Narkisim" w:hAnsi="Narkisim"/>
          <w:rtl/>
        </w:rPr>
        <w:t xml:space="preserve"> כת' דאיירי בנעבד בשביעית. ופירות של ארץ עבודה אסורין, בין של עכו"ם ובין של ישראל. ק"ו מספיחין. [אבל ה</w:t>
      </w:r>
      <w:r w:rsidRPr="007119D6">
        <w:rPr>
          <w:rFonts w:ascii="Narkisim" w:hAnsi="Narkisim"/>
          <w:b/>
          <w:bCs/>
          <w:rtl/>
        </w:rPr>
        <w:t>כס"מ</w:t>
      </w:r>
      <w:r w:rsidRPr="007119D6">
        <w:rPr>
          <w:rFonts w:ascii="Narkisim" w:hAnsi="Narkisim"/>
          <w:rtl/>
        </w:rPr>
        <w:t xml:space="preserve"> (שמיטה ד כט) כת' דבשדה עכו"ם אף נעבד מותר].</w:t>
      </w:r>
    </w:p>
    <w:p w14:paraId="3661010C" w14:textId="77777777" w:rsidR="006C4368" w:rsidRPr="007119D6" w:rsidRDefault="006C4368" w:rsidP="006C4368">
      <w:pPr>
        <w:bidi/>
        <w:rPr>
          <w:rFonts w:ascii="Narkisim" w:hAnsi="Narkisim" w:cs="Narkisim"/>
        </w:rPr>
      </w:pPr>
      <w:r w:rsidRPr="007119D6">
        <w:rPr>
          <w:rFonts w:ascii="Narkisim" w:hAnsi="Narkisim" w:cs="Narkisim"/>
          <w:u w:val="single"/>
          <w:rtl/>
        </w:rPr>
        <w:t>בא"ד ואין נר' לר"ת דהא בהדיא תנאי בתו"כ וכו' מן המשומר אי אתה בוצר וכו'</w:t>
      </w:r>
      <w:r w:rsidRPr="007119D6">
        <w:rPr>
          <w:rFonts w:ascii="Narkisim" w:hAnsi="Narkisim" w:cs="Narkisim"/>
          <w:rtl/>
        </w:rPr>
        <w:t>. וה</w:t>
      </w:r>
      <w:r w:rsidRPr="007119D6">
        <w:rPr>
          <w:rFonts w:ascii="Narkisim" w:hAnsi="Narkisim" w:cs="Narkisim"/>
          <w:b/>
          <w:bCs/>
          <w:rtl/>
        </w:rPr>
        <w:t>רמב"ן</w:t>
      </w:r>
      <w:r w:rsidRPr="007119D6">
        <w:rPr>
          <w:rFonts w:ascii="Narkisim" w:hAnsi="Narkisim" w:cs="Narkisim"/>
          <w:rtl/>
        </w:rPr>
        <w:t xml:space="preserve"> ציין ד</w:t>
      </w:r>
      <w:r w:rsidRPr="007119D6">
        <w:rPr>
          <w:rFonts w:ascii="Narkisim" w:hAnsi="Narkisim" w:cs="Narkisim"/>
          <w:b/>
          <w:bCs/>
          <w:rtl/>
        </w:rPr>
        <w:t>רש"י</w:t>
      </w:r>
      <w:r w:rsidRPr="007119D6">
        <w:rPr>
          <w:rFonts w:ascii="Narkisim" w:hAnsi="Narkisim" w:cs="Narkisim"/>
          <w:rtl/>
        </w:rPr>
        <w:t xml:space="preserve"> (עה"ת שם) הביא את התו"כ באופ"א, לא תבצור אותם כדרך הבציר אלא נהוג בהן הפקר</w:t>
      </w:r>
      <w:r w:rsidRPr="007119D6">
        <w:rPr>
          <w:rStyle w:val="ac"/>
          <w:rFonts w:ascii="Narkisim" w:hAnsi="Narkisim" w:cs="Narkisim"/>
          <w:rtl/>
        </w:rPr>
        <w:footnoteReference w:id="8475"/>
      </w:r>
      <w:r w:rsidRPr="007119D6">
        <w:rPr>
          <w:rFonts w:ascii="Narkisim" w:hAnsi="Narkisim" w:cs="Narkisim"/>
          <w:rtl/>
        </w:rPr>
        <w:t>. וצוותה הכתוב שינהוג בהן כהפקר, אבל הפירות לא נאסרו</w:t>
      </w:r>
      <w:r w:rsidRPr="007119D6">
        <w:rPr>
          <w:rStyle w:val="ac"/>
          <w:rFonts w:ascii="Narkisim" w:hAnsi="Narkisim" w:cs="Narkisim"/>
          <w:rtl/>
        </w:rPr>
        <w:footnoteReference w:id="8476"/>
      </w:r>
      <w:r w:rsidRPr="007119D6">
        <w:rPr>
          <w:rFonts w:ascii="Narkisim" w:hAnsi="Narkisim" w:cs="Narkisim"/>
          <w:rtl/>
        </w:rPr>
        <w:t>.</w:t>
      </w:r>
    </w:p>
    <w:p w14:paraId="4271F4E3" w14:textId="77777777" w:rsidR="006C4368" w:rsidRPr="007119D6" w:rsidRDefault="006C4368" w:rsidP="006C4368">
      <w:pPr>
        <w:bidi/>
        <w:rPr>
          <w:rFonts w:ascii="Narkisim" w:hAnsi="Narkisim" w:cs="Narkisim"/>
        </w:rPr>
      </w:pPr>
      <w:r w:rsidRPr="007119D6">
        <w:rPr>
          <w:rFonts w:ascii="Narkisim" w:hAnsi="Narkisim" w:cs="Narkisim"/>
          <w:u w:val="single"/>
          <w:rtl/>
        </w:rPr>
        <w:t>ואמר חבל על יהודי שהיה עמי בדרך וכו' ושוב מעשה וכו' ואמר חבל על קולר של בנ"א שמתו וקברתים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חבורה]. ב</w:t>
      </w:r>
      <w:r w:rsidRPr="007119D6">
        <w:rPr>
          <w:rFonts w:ascii="Narkisim" w:hAnsi="Narkisim" w:cs="Narkisim"/>
          <w:b/>
          <w:bCs/>
          <w:rtl/>
        </w:rPr>
        <w:t>שו"ת הרא"ש</w:t>
      </w:r>
      <w:r w:rsidRPr="007119D6">
        <w:rPr>
          <w:rFonts w:ascii="Narkisim" w:hAnsi="Narkisim" w:cs="Narkisim"/>
          <w:rtl/>
        </w:rPr>
        <w:t xml:space="preserve"> (נא ב בסופו, הו' בדרכ”מ יז כד) כת' דיש לידע שהרבה הקלו חכמים בעדות אשה משום עגונה. דהכותי אמר שיהודי נתלוה עמו ומת ולא ידע שמו</w:t>
      </w:r>
      <w:r w:rsidRPr="007119D6">
        <w:rPr>
          <w:rStyle w:val="ac"/>
          <w:rFonts w:ascii="Narkisim" w:hAnsi="Narkisim" w:cs="Narkisim"/>
          <w:rtl/>
        </w:rPr>
        <w:footnoteReference w:id="8477"/>
      </w:r>
      <w:r w:rsidRPr="007119D6">
        <w:rPr>
          <w:rFonts w:ascii="Narkisim" w:hAnsi="Narkisim" w:cs="Narkisim"/>
          <w:rtl/>
        </w:rPr>
        <w:t>, ולא הזקיקו בי"ד לחקור את הכותי שמא אותו היהודי הלך לדרכו ושוב נתלוה אחר עמו. אלא כיון שאותו יהודי נתלוה עמו תלינן בודאי שאותו היה שמת.</w:t>
      </w:r>
    </w:p>
    <w:p w14:paraId="28CC85E7"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אחרונים</w:t>
      </w:r>
      <w:r w:rsidRPr="007119D6">
        <w:rPr>
          <w:rFonts w:ascii="Narkisim" w:hAnsi="Narkisim" w:cs="Narkisim"/>
          <w:rtl/>
        </w:rPr>
        <w:t xml:space="preserve"> הק' דהניחא במעשה הא' שהעיד שהיה מתלווה עמו בדרך, אבל במעשה הב' דקולר של בני אדם מהיכן ידעינן שהם אלו. והאיך סגי בעדות זו, מ"ש מהא (לעיל קטו:) דחיישינן לתרי יצחק</w:t>
      </w:r>
      <w:r w:rsidRPr="007119D6">
        <w:rPr>
          <w:rStyle w:val="ac"/>
          <w:rFonts w:ascii="Narkisim" w:hAnsi="Narkisim" w:cs="Narkisim"/>
          <w:rtl/>
        </w:rPr>
        <w:footnoteReference w:id="8478"/>
      </w:r>
      <w:r w:rsidRPr="007119D6">
        <w:rPr>
          <w:rFonts w:ascii="Narkisim" w:hAnsi="Narkisim" w:cs="Narkisim"/>
          <w:rtl/>
        </w:rPr>
        <w:t>. [ואפי' שאמר שמו חיישינן שמא היה אחר</w:t>
      </w:r>
      <w:r w:rsidRPr="007119D6">
        <w:rPr>
          <w:rStyle w:val="ac"/>
          <w:rFonts w:ascii="Narkisim" w:hAnsi="Narkisim" w:cs="Narkisim"/>
          <w:rtl/>
        </w:rPr>
        <w:footnoteReference w:id="8479"/>
      </w:r>
      <w:r w:rsidRPr="007119D6">
        <w:rPr>
          <w:rFonts w:ascii="Narkisim" w:hAnsi="Narkisim" w:cs="Narkisim"/>
          <w:rtl/>
        </w:rPr>
        <w:t>]. וה</w:t>
      </w:r>
      <w:r w:rsidRPr="007119D6">
        <w:rPr>
          <w:rFonts w:ascii="Narkisim" w:hAnsi="Narkisim" w:cs="Narkisim"/>
          <w:b/>
          <w:bCs/>
          <w:rtl/>
        </w:rPr>
        <w:t>גהש"ס</w:t>
      </w:r>
      <w:r w:rsidRPr="007119D6">
        <w:rPr>
          <w:rFonts w:ascii="Narkisim" w:hAnsi="Narkisim" w:cs="Narkisim"/>
          <w:rtl/>
        </w:rPr>
        <w:t xml:space="preserve"> ציין דה</w:t>
      </w:r>
      <w:r w:rsidRPr="007119D6">
        <w:rPr>
          <w:rFonts w:ascii="Narkisim" w:hAnsi="Narkisim" w:cs="Narkisim"/>
          <w:b/>
          <w:bCs/>
          <w:rtl/>
        </w:rPr>
        <w:t>רי"ף</w:t>
      </w:r>
      <w:r w:rsidRPr="007119D6">
        <w:rPr>
          <w:rFonts w:ascii="Narkisim" w:hAnsi="Narkisim" w:cs="Narkisim"/>
          <w:rtl/>
        </w:rPr>
        <w:t xml:space="preserve"> כת' [שהעכו"ם אמר] שהיו מהלכין לאנטוכיא</w:t>
      </w:r>
      <w:r w:rsidRPr="007119D6">
        <w:rPr>
          <w:rStyle w:val="ac"/>
          <w:rFonts w:ascii="Narkisim" w:hAnsi="Narkisim" w:cs="Narkisim"/>
          <w:rtl/>
        </w:rPr>
        <w:footnoteReference w:id="8480"/>
      </w:r>
      <w:r w:rsidRPr="007119D6">
        <w:rPr>
          <w:rFonts w:ascii="Narkisim" w:hAnsi="Narkisim" w:cs="Narkisim"/>
          <w:rtl/>
        </w:rPr>
        <w:t xml:space="preserve"> [ואף זה נחשב סימן</w:t>
      </w:r>
      <w:r w:rsidRPr="007119D6">
        <w:rPr>
          <w:rStyle w:val="ac"/>
          <w:rFonts w:ascii="Narkisim" w:hAnsi="Narkisim" w:cs="Narkisim"/>
          <w:rtl/>
        </w:rPr>
        <w:footnoteReference w:id="8481"/>
      </w:r>
      <w:r w:rsidRPr="007119D6">
        <w:rPr>
          <w:rFonts w:ascii="Narkisim" w:hAnsi="Narkisim" w:cs="Narkisim"/>
          <w:rtl/>
        </w:rPr>
        <w:t>].</w:t>
      </w:r>
    </w:p>
    <w:p w14:paraId="4939B5CD" w14:textId="77777777" w:rsidR="006C4368" w:rsidRPr="007119D6" w:rsidRDefault="006C4368" w:rsidP="006C4368">
      <w:pPr>
        <w:pStyle w:val="a8"/>
        <w:bidi/>
        <w:rPr>
          <w:rFonts w:ascii="Narkisim" w:hAnsi="Narkisim"/>
        </w:rPr>
      </w:pPr>
      <w:r w:rsidRPr="007119D6">
        <w:rPr>
          <w:rFonts w:ascii="Narkisim" w:hAnsi="Narkisim"/>
          <w:rtl/>
        </w:rPr>
        <w:t xml:space="preserve">וכן במעשה (הג', בסמוך) העידו על ס' בני אדם, וכמה </w:t>
      </w:r>
      <w:r w:rsidRPr="007119D6">
        <w:rPr>
          <w:rFonts w:ascii="Narkisim" w:hAnsi="Narkisim"/>
          <w:b/>
          <w:bCs/>
          <w:rtl/>
        </w:rPr>
        <w:t>אחרונים</w:t>
      </w:r>
      <w:r w:rsidRPr="007119D6">
        <w:rPr>
          <w:rFonts w:ascii="Narkisim" w:hAnsi="Narkisim"/>
          <w:rtl/>
        </w:rPr>
        <w:t xml:space="preserve"> (שו"ת הר"א מזרחי עד, משאת בנימין מד, וע”ע ט”ז יז יח) הביאו שמנין אנשים הוי סימן. [ומהני סימן זה בצירוף מקום הליכתן].</w:t>
      </w:r>
    </w:p>
    <w:p w14:paraId="46004CDE" w14:textId="77777777" w:rsidR="006C4368" w:rsidRPr="007119D6" w:rsidRDefault="006C4368" w:rsidP="006C4368">
      <w:pPr>
        <w:pStyle w:val="a8"/>
        <w:bidi/>
        <w:rPr>
          <w:rFonts w:ascii="Narkisim" w:hAnsi="Narkisim"/>
        </w:rPr>
      </w:pPr>
      <w:r w:rsidRPr="007119D6">
        <w:rPr>
          <w:rFonts w:ascii="Narkisim" w:hAnsi="Narkisim"/>
          <w:rtl/>
        </w:rPr>
        <w:t>וב</w:t>
      </w:r>
      <w:r w:rsidRPr="007119D6">
        <w:rPr>
          <w:rFonts w:ascii="Narkisim" w:hAnsi="Narkisim"/>
          <w:b/>
          <w:bCs/>
          <w:rtl/>
        </w:rPr>
        <w:t>שו"ת צמח צדק</w:t>
      </w:r>
      <w:r w:rsidRPr="007119D6">
        <w:rPr>
          <w:rFonts w:ascii="Narkisim" w:hAnsi="Narkisim"/>
          <w:rtl/>
        </w:rPr>
        <w:t xml:space="preserve"> (הקדמון מב ד"ה הספק השני) הק' דגבי קולר של בני אדם לא הוזכר מנין אנשים. ופ</w:t>
      </w:r>
      <w:r w:rsidRPr="007119D6">
        <w:rPr>
          <w:rFonts w:ascii="Narkisim" w:hAnsi="Narkisim"/>
          <w:b/>
          <w:bCs/>
          <w:rtl/>
        </w:rPr>
        <w:t>רש"י</w:t>
      </w:r>
      <w:r w:rsidRPr="007119D6">
        <w:rPr>
          <w:rFonts w:ascii="Narkisim" w:hAnsi="Narkisim"/>
          <w:rtl/>
        </w:rPr>
        <w:t xml:space="preserve"> דקולר הוה לשון חבורה, והלא אין חבורות שוות. והצ"צ פי' דקולר הוא חבורה גדולה שהולכים למקום רחוק או למקום סכנה, ואין דרכם לילך בקבוצה כזו אלא פעם א' או שתים בשנה. וקלא אית להו כשהולכין שמתאספין כולן למקום א' והולכים לזמנים ידועים להם.</w:t>
      </w:r>
    </w:p>
    <w:p w14:paraId="1491C0DC" w14:textId="77777777" w:rsidR="006C4368" w:rsidRPr="007119D6" w:rsidRDefault="006C4368" w:rsidP="006C4368">
      <w:pPr>
        <w:bidi/>
        <w:rPr>
          <w:rFonts w:ascii="Narkisim" w:hAnsi="Narkisim" w:cs="Narkisim"/>
        </w:rPr>
      </w:pPr>
      <w:r w:rsidRPr="007119D6">
        <w:rPr>
          <w:rFonts w:ascii="Narkisim" w:hAnsi="Narkisim" w:cs="Narkisim"/>
          <w:u w:val="single"/>
          <w:rtl/>
        </w:rPr>
        <w:t>שם. וקברתים</w:t>
      </w:r>
      <w:r w:rsidRPr="007119D6">
        <w:rPr>
          <w:rFonts w:ascii="Narkisim" w:hAnsi="Narkisim" w:cs="Narkisim"/>
          <w:rtl/>
        </w:rPr>
        <w:t>. ה</w:t>
      </w:r>
      <w:r w:rsidRPr="007119D6">
        <w:rPr>
          <w:rFonts w:ascii="Narkisim" w:hAnsi="Narkisim" w:cs="Narkisim"/>
          <w:b/>
          <w:bCs/>
          <w:rtl/>
        </w:rPr>
        <w:t>רמב"ם</w:t>
      </w:r>
      <w:r w:rsidRPr="007119D6">
        <w:rPr>
          <w:rFonts w:ascii="Narkisim" w:hAnsi="Narkisim" w:cs="Narkisim"/>
          <w:rtl/>
        </w:rPr>
        <w:t xml:space="preserve"> (יג כה) כת' דמהני עכו"ם מסיח לפי תומו</w:t>
      </w:r>
      <w:r w:rsidRPr="007119D6">
        <w:rPr>
          <w:rStyle w:val="ac"/>
          <w:rFonts w:ascii="Narkisim" w:hAnsi="Narkisim" w:cs="Narkisim"/>
          <w:rtl/>
        </w:rPr>
        <w:footnoteReference w:id="8482"/>
      </w:r>
      <w:r w:rsidRPr="007119D6">
        <w:rPr>
          <w:rFonts w:ascii="Narkisim" w:hAnsi="Narkisim" w:cs="Narkisim"/>
          <w:rtl/>
        </w:rPr>
        <w:t>, והוא שיאמר קברתיו</w:t>
      </w:r>
      <w:r w:rsidRPr="007119D6">
        <w:rPr>
          <w:rStyle w:val="ac"/>
          <w:rFonts w:ascii="Narkisim" w:hAnsi="Narkisim" w:cs="Narkisim"/>
          <w:rtl/>
        </w:rPr>
        <w:footnoteReference w:id="8483"/>
      </w:r>
      <w:r w:rsidRPr="007119D6">
        <w:rPr>
          <w:rFonts w:ascii="Narkisim" w:hAnsi="Narkisim" w:cs="Narkisim"/>
          <w:rtl/>
        </w:rPr>
        <w:t>. אבל ה</w:t>
      </w:r>
      <w:r w:rsidRPr="007119D6">
        <w:rPr>
          <w:rFonts w:ascii="Narkisim" w:hAnsi="Narkisim" w:cs="Narkisim"/>
          <w:b/>
          <w:bCs/>
          <w:rtl/>
        </w:rPr>
        <w:t>רשב"א</w:t>
      </w:r>
      <w:r w:rsidRPr="007119D6">
        <w:rPr>
          <w:rFonts w:ascii="Narkisim" w:hAnsi="Narkisim" w:cs="Narkisim"/>
          <w:rtl/>
        </w:rPr>
        <w:t xml:space="preserve"> ו</w:t>
      </w:r>
      <w:r w:rsidRPr="007119D6">
        <w:rPr>
          <w:rFonts w:ascii="Narkisim" w:hAnsi="Narkisim" w:cs="Narkisim"/>
          <w:b/>
          <w:bCs/>
          <w:rtl/>
        </w:rPr>
        <w:t>ריטב"א</w:t>
      </w:r>
      <w:r w:rsidRPr="007119D6">
        <w:rPr>
          <w:rFonts w:ascii="Narkisim" w:hAnsi="Narkisim" w:cs="Narkisim"/>
          <w:rtl/>
        </w:rPr>
        <w:t xml:space="preserve"> כת' דאף כשלא אמר קברתיו מתירין, כדאי' בכמה מעשים (לעיל קכא:) עכו"ם מסל"ת מהני בלא קברתים. אלא דבהנך עובדא הכי אמר, ולא דצריכינן להכי</w:t>
      </w:r>
      <w:r w:rsidRPr="007119D6">
        <w:rPr>
          <w:rStyle w:val="ac"/>
          <w:rFonts w:ascii="Narkisim" w:hAnsi="Narkisim" w:cs="Narkisim"/>
          <w:rtl/>
        </w:rPr>
        <w:footnoteReference w:id="8484"/>
      </w:r>
      <w:r w:rsidRPr="007119D6">
        <w:rPr>
          <w:rFonts w:ascii="Narkisim" w:hAnsi="Narkisim" w:cs="Narkisim"/>
          <w:rtl/>
        </w:rPr>
        <w:t>. ותמהו על הרמב"ם</w:t>
      </w:r>
      <w:r w:rsidRPr="007119D6">
        <w:rPr>
          <w:rStyle w:val="ac"/>
          <w:rFonts w:ascii="Narkisim" w:hAnsi="Narkisim" w:cs="Narkisim"/>
          <w:rtl/>
        </w:rPr>
        <w:footnoteReference w:id="8485"/>
      </w:r>
      <w:r w:rsidRPr="007119D6">
        <w:rPr>
          <w:rFonts w:ascii="Narkisim" w:hAnsi="Narkisim" w:cs="Narkisim"/>
          <w:rtl/>
        </w:rPr>
        <w:t>.</w:t>
      </w:r>
    </w:p>
    <w:p w14:paraId="36A07417" w14:textId="77777777" w:rsidR="006C4368" w:rsidRPr="007119D6" w:rsidRDefault="006C4368" w:rsidP="006C4368">
      <w:pPr>
        <w:pStyle w:val="a8"/>
        <w:bidi/>
        <w:rPr>
          <w:rFonts w:ascii="Narkisim" w:hAnsi="Narkisim"/>
        </w:rPr>
      </w:pPr>
      <w:r w:rsidRPr="007119D6">
        <w:rPr>
          <w:rFonts w:ascii="Narkisim" w:hAnsi="Narkisim"/>
          <w:rtl/>
        </w:rPr>
        <w:lastRenderedPageBreak/>
        <w:t>ועוד הק' ה</w:t>
      </w:r>
      <w:r w:rsidRPr="007119D6">
        <w:rPr>
          <w:rFonts w:ascii="Narkisim" w:hAnsi="Narkisim"/>
          <w:b/>
          <w:bCs/>
          <w:rtl/>
        </w:rPr>
        <w:t>אחרונים</w:t>
      </w:r>
      <w:r w:rsidRPr="007119D6">
        <w:rPr>
          <w:rFonts w:ascii="Narkisim" w:hAnsi="Narkisim"/>
          <w:rtl/>
        </w:rPr>
        <w:t xml:space="preserve"> דה</w:t>
      </w:r>
      <w:r w:rsidRPr="007119D6">
        <w:rPr>
          <w:rFonts w:ascii="Narkisim" w:hAnsi="Narkisim"/>
          <w:b/>
          <w:bCs/>
          <w:rtl/>
        </w:rPr>
        <w:t>רמב"ם</w:t>
      </w:r>
      <w:r w:rsidRPr="007119D6">
        <w:rPr>
          <w:rFonts w:ascii="Narkisim" w:hAnsi="Narkisim"/>
          <w:rtl/>
        </w:rPr>
        <w:t xml:space="preserve"> (שם יא) הביא עיקר דין מסל"ת</w:t>
      </w:r>
      <w:r w:rsidRPr="007119D6">
        <w:rPr>
          <w:rStyle w:val="ac"/>
          <w:rFonts w:ascii="Narkisim" w:hAnsi="Narkisim"/>
          <w:rtl/>
        </w:rPr>
        <w:footnoteReference w:id="8486"/>
      </w:r>
      <w:r w:rsidRPr="007119D6">
        <w:rPr>
          <w:rFonts w:ascii="Narkisim" w:hAnsi="Narkisim"/>
          <w:rtl/>
        </w:rPr>
        <w:t>, ולא הזכיר דבעינן שיאמר קברתיו</w:t>
      </w:r>
      <w:r w:rsidRPr="007119D6">
        <w:rPr>
          <w:rStyle w:val="ac"/>
          <w:rFonts w:ascii="Narkisim" w:hAnsi="Narkisim"/>
          <w:rtl/>
        </w:rPr>
        <w:footnoteReference w:id="8487"/>
      </w:r>
      <w:r w:rsidRPr="007119D6">
        <w:rPr>
          <w:rFonts w:ascii="Narkisim" w:hAnsi="Narkisim"/>
          <w:rtl/>
        </w:rPr>
        <w:t>. וה</w:t>
      </w:r>
      <w:r w:rsidRPr="007119D6">
        <w:rPr>
          <w:rFonts w:ascii="Narkisim" w:hAnsi="Narkisim"/>
          <w:b/>
          <w:bCs/>
          <w:rtl/>
        </w:rPr>
        <w:t>ריב"ש</w:t>
      </w:r>
      <w:r w:rsidRPr="007119D6">
        <w:rPr>
          <w:rFonts w:ascii="Narkisim" w:hAnsi="Narkisim"/>
          <w:rtl/>
        </w:rPr>
        <w:t xml:space="preserve"> (שעח) כת' שאינו חושד שהרמב"ם יצריך קברתיו בכל עכו"ם מסל"ת.</w:t>
      </w:r>
    </w:p>
    <w:p w14:paraId="44926ABA"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תי' [לדעת הרמב"ם] דלעיל שהגוי מכריז מאן איכא בי פלוני וכו' בהא סגי [בלא קברתיו], כיון דמעייל נפשיה לאכרוזי ולמימר הכי</w:t>
      </w:r>
      <w:r w:rsidRPr="007119D6">
        <w:rPr>
          <w:rStyle w:val="ac"/>
          <w:rFonts w:ascii="Narkisim" w:hAnsi="Narkisim"/>
          <w:rtl/>
        </w:rPr>
        <w:footnoteReference w:id="8488"/>
      </w:r>
      <w:r w:rsidRPr="007119D6">
        <w:rPr>
          <w:rFonts w:ascii="Narkisim" w:hAnsi="Narkisim"/>
          <w:rtl/>
        </w:rPr>
        <w:t>.</w:t>
      </w:r>
    </w:p>
    <w:p w14:paraId="40152947"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(בפי' הא') כת' דהתם העכו"ם היה מכיר אותו ומש"ה ל"צ קברתיו. ואילו הכא לא הכירו</w:t>
      </w:r>
      <w:r w:rsidRPr="007119D6">
        <w:rPr>
          <w:rStyle w:val="ac"/>
          <w:rFonts w:ascii="Narkisim" w:hAnsi="Narkisim"/>
          <w:rtl/>
        </w:rPr>
        <w:footnoteReference w:id="8489"/>
      </w:r>
      <w:r w:rsidRPr="007119D6">
        <w:rPr>
          <w:rFonts w:ascii="Narkisim" w:hAnsi="Narkisim"/>
          <w:rtl/>
        </w:rPr>
        <w:t>. [ועד"ז כת' בשו"ת הר"ן ג ותה"ד ב רכג]. ו</w:t>
      </w:r>
      <w:r w:rsidRPr="007119D6">
        <w:rPr>
          <w:rFonts w:ascii="Narkisim" w:hAnsi="Narkisim"/>
          <w:b/>
          <w:bCs/>
          <w:rtl/>
        </w:rPr>
        <w:t>ה"ה</w:t>
      </w:r>
      <w:r w:rsidRPr="007119D6">
        <w:rPr>
          <w:rFonts w:ascii="Narkisim" w:hAnsi="Narkisim"/>
          <w:rtl/>
        </w:rPr>
        <w:t xml:space="preserve"> (וכן הריב"ש שעז) כת' דדוקא בסוגיין צ"ל קברתיו, שהעכו"ם לא מזכיר שמו</w:t>
      </w:r>
      <w:r w:rsidRPr="007119D6">
        <w:rPr>
          <w:rStyle w:val="ac"/>
          <w:rFonts w:ascii="Narkisim" w:hAnsi="Narkisim"/>
          <w:rtl/>
        </w:rPr>
        <w:footnoteReference w:id="8490"/>
      </w:r>
      <w:r w:rsidRPr="007119D6">
        <w:rPr>
          <w:rFonts w:ascii="Narkisim" w:hAnsi="Narkisim"/>
          <w:rtl/>
        </w:rPr>
        <w:t>, אלא שאומר איש יהודי שהיה עמי ואנו יודעין שהוא פלוני, ומש”ה צריך שיאמר קברתיו</w:t>
      </w:r>
      <w:r w:rsidRPr="007119D6">
        <w:rPr>
          <w:rStyle w:val="ac"/>
          <w:rFonts w:ascii="Narkisim" w:hAnsi="Narkisim"/>
          <w:rtl/>
        </w:rPr>
        <w:footnoteReference w:id="8491"/>
      </w:r>
      <w:r w:rsidRPr="007119D6">
        <w:rPr>
          <w:rFonts w:ascii="Narkisim" w:hAnsi="Narkisim"/>
          <w:rtl/>
        </w:rPr>
        <w:t xml:space="preserve">. </w:t>
      </w:r>
      <w:r w:rsidRPr="007119D6">
        <w:rPr>
          <w:rFonts w:ascii="Narkisim" w:hAnsi="Narkisim"/>
          <w:szCs w:val="20"/>
          <w:rtl/>
        </w:rPr>
        <w:t>והפוסקים (שם) ביארו דיותר מדקדק במי שהוא מכיר</w:t>
      </w:r>
      <w:r w:rsidRPr="007119D6">
        <w:rPr>
          <w:rFonts w:ascii="Narkisim" w:hAnsi="Narkisim"/>
          <w:rtl/>
        </w:rPr>
        <w:t>.</w:t>
      </w:r>
    </w:p>
    <w:p w14:paraId="06DD5C1E" w14:textId="77777777" w:rsidR="006C4368" w:rsidRPr="007119D6" w:rsidRDefault="006C4368" w:rsidP="006C4368">
      <w:pPr>
        <w:pStyle w:val="a8"/>
        <w:bidi/>
        <w:rPr>
          <w:rFonts w:ascii="Narkisim" w:hAnsi="Narkisim"/>
        </w:rPr>
      </w:pPr>
      <w:r w:rsidRPr="007119D6">
        <w:rPr>
          <w:rFonts w:ascii="Narkisim" w:hAnsi="Narkisim"/>
          <w:rtl/>
        </w:rPr>
        <w:t>וב</w:t>
      </w:r>
      <w:r w:rsidRPr="007119D6">
        <w:rPr>
          <w:rFonts w:ascii="Narkisim" w:hAnsi="Narkisim"/>
          <w:b/>
          <w:bCs/>
          <w:rtl/>
        </w:rPr>
        <w:t>שו"ת הר"א מזרחי</w:t>
      </w:r>
      <w:r w:rsidRPr="007119D6">
        <w:rPr>
          <w:rFonts w:ascii="Narkisim" w:hAnsi="Narkisim"/>
          <w:rtl/>
        </w:rPr>
        <w:t xml:space="preserve"> (לו, הו' בכס"מ שם) כת' דדוקא בבא בדרך שייך בדדמי, דפעמים נשאר א' מהשיירא וביקשו ולא מצאוהו וסבורים שמת</w:t>
      </w:r>
      <w:r w:rsidRPr="007119D6">
        <w:rPr>
          <w:rStyle w:val="ac"/>
          <w:rFonts w:ascii="Narkisim" w:hAnsi="Narkisim"/>
          <w:rtl/>
        </w:rPr>
        <w:footnoteReference w:id="8492"/>
      </w:r>
      <w:r w:rsidRPr="007119D6">
        <w:rPr>
          <w:rFonts w:ascii="Narkisim" w:hAnsi="Narkisim"/>
          <w:rtl/>
        </w:rPr>
        <w:t>.</w:t>
      </w:r>
    </w:p>
    <w:p w14:paraId="75239DC6" w14:textId="77777777" w:rsidR="006C4368" w:rsidRPr="007119D6" w:rsidRDefault="006C4368" w:rsidP="006C4368">
      <w:pPr>
        <w:bidi/>
        <w:rPr>
          <w:rFonts w:ascii="Narkisim" w:hAnsi="Narkisim" w:cs="Narkisim"/>
        </w:rPr>
      </w:pPr>
      <w:r w:rsidRPr="007119D6">
        <w:rPr>
          <w:rFonts w:ascii="Narkisim" w:hAnsi="Narkisim" w:cs="Narkisim"/>
          <w:u w:val="single"/>
          <w:rtl/>
        </w:rPr>
        <w:t>שהיו מהלכין בדרך ביתר</w:t>
      </w:r>
      <w:r w:rsidRPr="007119D6">
        <w:rPr>
          <w:rFonts w:ascii="Narkisim" w:hAnsi="Narkisim" w:cs="Narkisim"/>
          <w:rtl/>
        </w:rPr>
        <w:t>. ה</w:t>
      </w:r>
      <w:r w:rsidRPr="007119D6">
        <w:rPr>
          <w:rFonts w:ascii="Narkisim" w:hAnsi="Narkisim" w:cs="Narkisim"/>
          <w:b/>
          <w:bCs/>
          <w:rtl/>
        </w:rPr>
        <w:t>גהש"ס</w:t>
      </w:r>
      <w:r w:rsidRPr="007119D6">
        <w:rPr>
          <w:rFonts w:ascii="Narkisim" w:hAnsi="Narkisim" w:cs="Narkisim"/>
          <w:rtl/>
        </w:rPr>
        <w:t xml:space="preserve"> ציין דב</w:t>
      </w:r>
      <w:r w:rsidRPr="007119D6">
        <w:rPr>
          <w:rFonts w:ascii="Narkisim" w:hAnsi="Narkisim" w:cs="Narkisim"/>
          <w:b/>
          <w:bCs/>
          <w:rtl/>
        </w:rPr>
        <w:t>רי"ף</w:t>
      </w:r>
      <w:r w:rsidRPr="007119D6">
        <w:rPr>
          <w:rFonts w:ascii="Narkisim" w:hAnsi="Narkisim" w:cs="Narkisim"/>
          <w:rtl/>
        </w:rPr>
        <w:t xml:space="preserve"> הגריסא 'לכרכום'</w:t>
      </w:r>
      <w:r w:rsidRPr="007119D6">
        <w:rPr>
          <w:rStyle w:val="ac"/>
          <w:rFonts w:ascii="Narkisim" w:hAnsi="Narkisim" w:cs="Narkisim"/>
          <w:rtl/>
        </w:rPr>
        <w:footnoteReference w:id="8493"/>
      </w:r>
      <w:r w:rsidRPr="007119D6">
        <w:rPr>
          <w:rFonts w:ascii="Narkisim" w:hAnsi="Narkisim" w:cs="Narkisim"/>
          <w:rtl/>
        </w:rPr>
        <w:t xml:space="preserve"> של ביתר. וה</w:t>
      </w:r>
      <w:r w:rsidRPr="007119D6">
        <w:rPr>
          <w:rFonts w:ascii="Narkisim" w:hAnsi="Narkisim" w:cs="Narkisim"/>
          <w:b/>
          <w:bCs/>
          <w:rtl/>
        </w:rPr>
        <w:t>רמב"ן</w:t>
      </w:r>
      <w:r w:rsidRPr="007119D6">
        <w:rPr>
          <w:rFonts w:ascii="Narkisim" w:hAnsi="Narkisim" w:cs="Narkisim"/>
          <w:rtl/>
        </w:rPr>
        <w:t xml:space="preserve"> (בחי' לעיל קטו. ומלחמות שם) הביא דהיה שעת מלחמה וחורבן. וכ”ש דמיתת ס' בני אדם כאחת הוה מלחמה. וע"כ דעד א' נאמן במלחמה, דעכו"ם מסל"ת לא עדיף מעד א' [ופשט בזה ספק הגמ' לעיל קטו.</w:t>
      </w:r>
      <w:r w:rsidRPr="007119D6">
        <w:rPr>
          <w:rStyle w:val="ac"/>
          <w:rFonts w:ascii="Narkisim" w:hAnsi="Narkisim" w:cs="Narkisim"/>
          <w:rtl/>
        </w:rPr>
        <w:footnoteReference w:id="8494"/>
      </w:r>
      <w:r w:rsidRPr="007119D6">
        <w:rPr>
          <w:rFonts w:ascii="Narkisim" w:hAnsi="Narkisim" w:cs="Narkisim"/>
          <w:rtl/>
        </w:rPr>
        <w:t>].</w:t>
      </w:r>
    </w:p>
    <w:p w14:paraId="72689B94" w14:textId="77777777" w:rsidR="006C4368" w:rsidRPr="007119D6" w:rsidRDefault="006C4368" w:rsidP="006C4368">
      <w:pPr>
        <w:pStyle w:val="2"/>
        <w:bidi/>
        <w:rPr>
          <w:rFonts w:ascii="Narkisim" w:hAnsi="Narkisim"/>
        </w:rPr>
      </w:pPr>
      <w:r w:rsidRPr="007119D6">
        <w:rPr>
          <w:rFonts w:ascii="Narkisim" w:hAnsi="Narkisim"/>
          <w:rtl/>
        </w:rPr>
        <w:t>ע"פ בת קול</w:t>
      </w:r>
    </w:p>
    <w:p w14:paraId="32257746" w14:textId="77777777" w:rsidR="006C4368" w:rsidRPr="007119D6" w:rsidRDefault="006C4368" w:rsidP="006C4368">
      <w:pPr>
        <w:bidi/>
        <w:rPr>
          <w:rFonts w:ascii="Narkisim" w:hAnsi="Narkisim" w:cs="Narkisim"/>
        </w:rPr>
      </w:pPr>
      <w:r w:rsidRPr="007119D6">
        <w:rPr>
          <w:rFonts w:ascii="Narkisim" w:hAnsi="Narkisim" w:cs="Narkisim"/>
          <w:u w:val="single"/>
          <w:rtl/>
        </w:rPr>
        <w:t>ומשיאין ע”פ בת קול וכו' הלכו ולא מצאו אדם</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שמעו קול צועקת וכו'. ה</w:t>
      </w:r>
      <w:r w:rsidRPr="007119D6">
        <w:rPr>
          <w:rFonts w:ascii="Narkisim" w:hAnsi="Narkisim" w:cs="Narkisim"/>
          <w:b/>
          <w:bCs/>
          <w:rtl/>
        </w:rPr>
        <w:t>תוי"ט</w:t>
      </w:r>
      <w:r w:rsidRPr="007119D6">
        <w:rPr>
          <w:rFonts w:ascii="Narkisim" w:hAnsi="Narkisim" w:cs="Narkisim"/>
          <w:rtl/>
        </w:rPr>
        <w:t xml:space="preserve"> דייק מדברי רש"י דלא איירי בבת קול מהשמים [שהוזכר בהרבה מקומות</w:t>
      </w:r>
      <w:r w:rsidRPr="007119D6">
        <w:rPr>
          <w:rStyle w:val="ac"/>
          <w:rFonts w:ascii="Narkisim" w:hAnsi="Narkisim" w:cs="Narkisim"/>
          <w:rtl/>
        </w:rPr>
        <w:footnoteReference w:id="8495"/>
      </w:r>
      <w:r w:rsidRPr="007119D6">
        <w:rPr>
          <w:rFonts w:ascii="Narkisim" w:hAnsi="Narkisim" w:cs="Narkisim"/>
          <w:rtl/>
        </w:rPr>
        <w:t>]. אלא דהכא שמעו קול אדם והלך לו [ולא מצאוהו]. ותולים שהיה אדם.</w:t>
      </w:r>
    </w:p>
    <w:p w14:paraId="625D91AB" w14:textId="77777777" w:rsidR="006C4368" w:rsidRPr="007119D6" w:rsidRDefault="006C4368" w:rsidP="006C4368">
      <w:pPr>
        <w:pStyle w:val="a7"/>
        <w:bidi/>
        <w:rPr>
          <w:rFonts w:ascii="Narkisim" w:hAnsi="Narkisim"/>
        </w:rPr>
      </w:pPr>
      <w:r w:rsidRPr="007119D6">
        <w:rPr>
          <w:rFonts w:ascii="Narkisim" w:hAnsi="Narkisim"/>
          <w:rtl/>
        </w:rPr>
        <w:t xml:space="preserve">והתוי"ט כת' דלא סומכים על בת קול מהשמים להתיר אשה, וכמ"ש </w:t>
      </w:r>
      <w:r w:rsidRPr="007119D6">
        <w:rPr>
          <w:rFonts w:ascii="Narkisim" w:hAnsi="Narkisim"/>
          <w:b/>
          <w:bCs/>
          <w:rtl/>
        </w:rPr>
        <w:t>תוס'</w:t>
      </w:r>
      <w:r w:rsidRPr="007119D6">
        <w:rPr>
          <w:rFonts w:ascii="Narkisim" w:hAnsi="Narkisim"/>
          <w:rtl/>
        </w:rPr>
        <w:t xml:space="preserve"> (לעיל יד.) דאין משגיחין בבת קול, דלא בשמים היא. וה</w:t>
      </w:r>
      <w:r w:rsidRPr="007119D6">
        <w:rPr>
          <w:rFonts w:ascii="Narkisim" w:hAnsi="Narkisim"/>
          <w:b/>
          <w:bCs/>
          <w:rtl/>
        </w:rPr>
        <w:t>רש"ש</w:t>
      </w:r>
      <w:r w:rsidRPr="007119D6">
        <w:rPr>
          <w:rFonts w:ascii="Narkisim" w:hAnsi="Narkisim"/>
          <w:rtl/>
        </w:rPr>
        <w:t xml:space="preserve"> דחה דתוס' (שם) כת' דה"מ אליבא דר' יהושע. אבל אנן קי"ל דמהני בת קול</w:t>
      </w:r>
      <w:r w:rsidRPr="007119D6">
        <w:rPr>
          <w:rStyle w:val="ac"/>
          <w:rFonts w:ascii="Narkisim" w:hAnsi="Narkisim"/>
          <w:rtl/>
        </w:rPr>
        <w:footnoteReference w:id="8496"/>
      </w:r>
      <w:r w:rsidRPr="007119D6">
        <w:rPr>
          <w:rFonts w:ascii="Narkisim" w:hAnsi="Narkisim"/>
          <w:rtl/>
        </w:rPr>
        <w:t>, דהא קי"ל דהלכה כבית הלל לאחר בת קול</w:t>
      </w:r>
      <w:r w:rsidRPr="007119D6">
        <w:rPr>
          <w:rStyle w:val="ac"/>
          <w:rFonts w:ascii="Narkisim" w:hAnsi="Narkisim"/>
          <w:rtl/>
        </w:rPr>
        <w:footnoteReference w:id="8497"/>
      </w:r>
      <w:r w:rsidRPr="007119D6">
        <w:rPr>
          <w:rFonts w:ascii="Narkisim" w:hAnsi="Narkisim"/>
          <w:rtl/>
        </w:rPr>
        <w:t xml:space="preserve">. וכן כמה </w:t>
      </w:r>
      <w:r w:rsidRPr="007119D6">
        <w:rPr>
          <w:rFonts w:ascii="Narkisim" w:hAnsi="Narkisim"/>
          <w:b/>
          <w:bCs/>
          <w:rtl/>
        </w:rPr>
        <w:t>אחרונים</w:t>
      </w:r>
      <w:r w:rsidRPr="007119D6">
        <w:rPr>
          <w:rFonts w:ascii="Narkisim" w:hAnsi="Narkisim"/>
          <w:rtl/>
        </w:rPr>
        <w:t xml:space="preserve"> הביאו דסומכים על בת קול מהשמים, ובכ"מ אמרי' אם יבוא אליהו</w:t>
      </w:r>
      <w:r w:rsidRPr="007119D6">
        <w:rPr>
          <w:rStyle w:val="ac"/>
          <w:rFonts w:ascii="Narkisim" w:hAnsi="Narkisim"/>
          <w:rtl/>
        </w:rPr>
        <w:footnoteReference w:id="8498"/>
      </w:r>
      <w:r w:rsidRPr="007119D6">
        <w:rPr>
          <w:rFonts w:ascii="Narkisim" w:hAnsi="Narkisim"/>
          <w:rtl/>
        </w:rPr>
        <w:t xml:space="preserve"> וכו'.</w:t>
      </w:r>
    </w:p>
    <w:p w14:paraId="3AAA33C6" w14:textId="77777777" w:rsidR="006C4368" w:rsidRPr="007119D6" w:rsidRDefault="006C4368" w:rsidP="006C4368">
      <w:pPr>
        <w:pStyle w:val="a7"/>
        <w:bidi/>
        <w:rPr>
          <w:rFonts w:ascii="Narkisim" w:hAnsi="Narkisim"/>
        </w:rPr>
      </w:pPr>
      <w:r w:rsidRPr="007119D6">
        <w:rPr>
          <w:rFonts w:ascii="Narkisim" w:hAnsi="Narkisim"/>
          <w:rtl/>
        </w:rPr>
        <w:lastRenderedPageBreak/>
        <w:t>וה</w:t>
      </w:r>
      <w:r w:rsidRPr="007119D6">
        <w:rPr>
          <w:rFonts w:ascii="Narkisim" w:hAnsi="Narkisim"/>
          <w:b/>
          <w:bCs/>
          <w:rtl/>
        </w:rPr>
        <w:t>ברכ"י</w:t>
      </w:r>
      <w:r w:rsidRPr="007119D6">
        <w:rPr>
          <w:rFonts w:ascii="Narkisim" w:hAnsi="Narkisim"/>
          <w:rtl/>
        </w:rPr>
        <w:t xml:space="preserve"> (או"ח לב ד) כת' [ע"פ רש"י שבת קח.] דדוקא בספק בדין אמרי' לא בשמים היא, אבל נאמן לברר ספיקות במציאות</w:t>
      </w:r>
      <w:r w:rsidRPr="007119D6">
        <w:rPr>
          <w:rStyle w:val="ac"/>
          <w:rFonts w:ascii="Narkisim" w:hAnsi="Narkisim"/>
          <w:rtl/>
        </w:rPr>
        <w:footnoteReference w:id="8499"/>
      </w:r>
      <w:r w:rsidRPr="007119D6">
        <w:rPr>
          <w:rFonts w:ascii="Narkisim" w:hAnsi="Narkisim"/>
          <w:rtl/>
        </w:rPr>
        <w:t>.</w:t>
      </w:r>
    </w:p>
    <w:p w14:paraId="2E9106ED" w14:textId="77777777" w:rsidR="006C4368" w:rsidRPr="007119D6" w:rsidRDefault="006C4368" w:rsidP="006C4368">
      <w:pPr>
        <w:pStyle w:val="a8"/>
        <w:bidi/>
        <w:rPr>
          <w:rFonts w:ascii="Narkisim" w:hAnsi="Narkisim"/>
        </w:rPr>
      </w:pPr>
      <w:r w:rsidRPr="007119D6">
        <w:rPr>
          <w:rFonts w:ascii="Narkisim" w:hAnsi="Narkisim"/>
          <w:rtl/>
        </w:rPr>
        <w:t>וב</w:t>
      </w:r>
      <w:r w:rsidRPr="007119D6">
        <w:rPr>
          <w:rFonts w:ascii="Narkisim" w:hAnsi="Narkisim"/>
          <w:b/>
          <w:bCs/>
          <w:rtl/>
        </w:rPr>
        <w:t>הג' הרצ"ה ברלין</w:t>
      </w:r>
      <w:r w:rsidRPr="007119D6">
        <w:rPr>
          <w:rFonts w:ascii="Narkisim" w:hAnsi="Narkisim"/>
          <w:rtl/>
        </w:rPr>
        <w:t xml:space="preserve"> כת' די"ל דלא גרע מעכו"ם מסל"ת [דבעדות אשה סגי בהוכחה, ול”צ תורת עדות]. ודוקא בפסקי הלכות אמרי' לא בשמים היא</w:t>
      </w:r>
      <w:r w:rsidRPr="007119D6">
        <w:rPr>
          <w:rStyle w:val="ac"/>
          <w:rFonts w:ascii="Narkisim" w:hAnsi="Narkisim"/>
          <w:rtl/>
        </w:rPr>
        <w:footnoteReference w:id="8500"/>
      </w:r>
      <w:r w:rsidRPr="007119D6">
        <w:rPr>
          <w:rFonts w:ascii="Narkisim" w:hAnsi="Narkisim"/>
          <w:rtl/>
        </w:rPr>
        <w:t>.</w:t>
      </w:r>
    </w:p>
    <w:p w14:paraId="0CC37D54" w14:textId="77777777" w:rsidR="006C4368" w:rsidRPr="007119D6" w:rsidRDefault="006C4368" w:rsidP="006C4368">
      <w:pPr>
        <w:pStyle w:val="aa"/>
        <w:bidi/>
        <w:rPr>
          <w:rFonts w:ascii="Narkisim" w:hAnsi="Narkisim"/>
        </w:rPr>
      </w:pPr>
      <w:r w:rsidRPr="007119D6">
        <w:rPr>
          <w:rFonts w:ascii="Narkisim" w:hAnsi="Narkisim"/>
          <w:u w:val="single"/>
          <w:rtl/>
        </w:rPr>
        <w:t>דחזו ליה בבואה דבבואה</w:t>
      </w:r>
      <w:r w:rsidRPr="007119D6">
        <w:rPr>
          <w:rStyle w:val="ac"/>
          <w:rFonts w:ascii="Narkisim" w:hAnsi="Narkisim"/>
          <w:u w:val="single"/>
          <w:rtl/>
        </w:rPr>
        <w:footnoteReference w:id="8501"/>
      </w:r>
      <w:r w:rsidRPr="007119D6">
        <w:rPr>
          <w:rFonts w:ascii="Narkisim" w:hAnsi="Narkisim"/>
          <w:u w:val="single"/>
          <w:rtl/>
        </w:rPr>
        <w:t xml:space="preserve"> וכו'</w:t>
      </w:r>
      <w:r w:rsidRPr="007119D6">
        <w:rPr>
          <w:rFonts w:ascii="Narkisim" w:hAnsi="Narkisim"/>
          <w:rtl/>
        </w:rPr>
        <w:t>. ה</w:t>
      </w:r>
      <w:r w:rsidRPr="007119D6">
        <w:rPr>
          <w:rFonts w:ascii="Narkisim" w:hAnsi="Narkisim"/>
          <w:b/>
          <w:bCs/>
          <w:rtl/>
        </w:rPr>
        <w:t>טור</w:t>
      </w:r>
      <w:r w:rsidRPr="007119D6">
        <w:rPr>
          <w:rFonts w:ascii="Narkisim" w:hAnsi="Narkisim"/>
          <w:rtl/>
        </w:rPr>
        <w:t xml:space="preserve"> (ושו"ע יז י) הביא בשם </w:t>
      </w:r>
      <w:r w:rsidRPr="007119D6">
        <w:rPr>
          <w:rFonts w:ascii="Narkisim" w:hAnsi="Narkisim"/>
          <w:b/>
          <w:bCs/>
          <w:rtl/>
        </w:rPr>
        <w:t>גאון</w:t>
      </w:r>
      <w:r w:rsidRPr="007119D6">
        <w:rPr>
          <w:rFonts w:ascii="Narkisim" w:hAnsi="Narkisim"/>
          <w:rtl/>
        </w:rPr>
        <w:t xml:space="preserve"> דהאידנא לא בקיאין בבואה דבבואה, הלכך לא עבדינן בה עובדא.</w:t>
      </w:r>
    </w:p>
    <w:p w14:paraId="42ABC114" w14:textId="77777777" w:rsidR="006C4368" w:rsidRPr="007119D6" w:rsidRDefault="006C4368" w:rsidP="006C4368">
      <w:pPr>
        <w:bidi/>
        <w:rPr>
          <w:rFonts w:ascii="Narkisim" w:hAnsi="Narkisim" w:cs="Narkisim"/>
        </w:rPr>
      </w:pPr>
      <w:r w:rsidRPr="007119D6">
        <w:rPr>
          <w:rFonts w:ascii="Narkisim" w:hAnsi="Narkisim" w:cs="Narkisim"/>
          <w:u w:val="single"/>
          <w:rtl/>
        </w:rPr>
        <w:t>ודלמא צרה הואי וכו' בשעת הסכנה כותבין ונותנין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וסמכי' על דבריו משום עיגונא. וה</w:t>
      </w:r>
      <w:r w:rsidRPr="007119D6">
        <w:rPr>
          <w:rFonts w:ascii="Narkisim" w:hAnsi="Narkisim" w:cs="Narkisim"/>
          <w:b/>
          <w:bCs/>
          <w:rtl/>
        </w:rPr>
        <w:t>ריטב"א</w:t>
      </w:r>
      <w:r w:rsidRPr="007119D6">
        <w:rPr>
          <w:rFonts w:ascii="Narkisim" w:hAnsi="Narkisim" w:cs="Narkisim"/>
          <w:rtl/>
        </w:rPr>
        <w:t xml:space="preserve"> הביא דדעת הראשונים (וכ"כ הרמב"ן גיטין סו.) דמ"מ דוקא דחזו בבואה דבבואה, דאל”כ חיישי' משום שד. ואף דבשעת הסכנה לא חששו משום צרה, דלא שכיח שתעשה כן, דמגליא מילתא. אבל לשד חיישינן.</w:t>
      </w:r>
    </w:p>
    <w:p w14:paraId="521AF3A2" w14:textId="77777777" w:rsidR="006C4368" w:rsidRPr="007119D6" w:rsidRDefault="006C4368" w:rsidP="006C4368">
      <w:pPr>
        <w:pStyle w:val="a7"/>
        <w:bidi/>
        <w:rPr>
          <w:rFonts w:ascii="Narkisim" w:hAnsi="Narkisim"/>
        </w:rPr>
      </w:pPr>
      <w:r w:rsidRPr="007119D6">
        <w:rPr>
          <w:rFonts w:ascii="Narkisim" w:hAnsi="Narkisim"/>
          <w:rtl/>
        </w:rPr>
        <w:t xml:space="preserve">אך הביא דעת </w:t>
      </w:r>
      <w:r w:rsidRPr="007119D6">
        <w:rPr>
          <w:rFonts w:ascii="Narkisim" w:hAnsi="Narkisim"/>
          <w:b/>
          <w:bCs/>
          <w:rtl/>
        </w:rPr>
        <w:t>מורו</w:t>
      </w:r>
      <w:r w:rsidRPr="007119D6">
        <w:rPr>
          <w:rFonts w:ascii="Narkisim" w:hAnsi="Narkisim"/>
          <w:rtl/>
        </w:rPr>
        <w:t xml:space="preserve"> דבשעת הסכנה לא חיישי' אף לשד. והך תי' קאי אף אקו' קמייתא. [והפוסקים דנו בזה].</w:t>
      </w:r>
    </w:p>
    <w:p w14:paraId="6F015FBF"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ריב"ש</w:t>
      </w:r>
      <w:r w:rsidRPr="007119D6">
        <w:rPr>
          <w:rFonts w:ascii="Narkisim" w:hAnsi="Narkisim" w:cs="Narkisim"/>
          <w:rtl/>
        </w:rPr>
        <w:t xml:space="preserve"> (שפ) הק' דניחוש שהוא עכו"ם. אלא ודאי כל שאמר העכו"ם דבר זה מעצמו, בלא ששאלוהו הר"ז מסיח לפי תומו. והריב"ש הוכיח דדי שאמר איש פלוני מת, ואף שלא הוסיף דברים דרך סיפור</w:t>
      </w:r>
      <w:r w:rsidRPr="007119D6">
        <w:rPr>
          <w:rStyle w:val="ac"/>
          <w:rFonts w:ascii="Narkisim" w:hAnsi="Narkisim" w:cs="Narkisim"/>
          <w:rtl/>
        </w:rPr>
        <w:footnoteReference w:id="8502"/>
      </w:r>
      <w:r w:rsidRPr="007119D6">
        <w:rPr>
          <w:rFonts w:ascii="Narkisim" w:hAnsi="Narkisim" w:cs="Narkisim"/>
          <w:rtl/>
        </w:rPr>
        <w:t>. [ודלא כ</w:t>
      </w:r>
      <w:r w:rsidRPr="007119D6">
        <w:rPr>
          <w:rFonts w:ascii="Narkisim" w:hAnsi="Narkisim" w:cs="Narkisim"/>
          <w:b/>
          <w:bCs/>
          <w:rtl/>
        </w:rPr>
        <w:t>שו"ת הר"ן</w:t>
      </w:r>
      <w:r w:rsidRPr="007119D6">
        <w:rPr>
          <w:rFonts w:ascii="Narkisim" w:hAnsi="Narkisim" w:cs="Narkisim"/>
          <w:rtl/>
        </w:rPr>
        <w:t xml:space="preserve"> (ג), וה</w:t>
      </w:r>
      <w:r w:rsidRPr="007119D6">
        <w:rPr>
          <w:rFonts w:ascii="Narkisim" w:hAnsi="Narkisim" w:cs="Narkisim"/>
          <w:b/>
          <w:bCs/>
          <w:rtl/>
        </w:rPr>
        <w:t>ב"י</w:t>
      </w:r>
      <w:r w:rsidRPr="007119D6">
        <w:rPr>
          <w:rFonts w:ascii="Narkisim" w:hAnsi="Narkisim" w:cs="Narkisim"/>
          <w:rtl/>
        </w:rPr>
        <w:t xml:space="preserve"> וה</w:t>
      </w:r>
      <w:r w:rsidRPr="007119D6">
        <w:rPr>
          <w:rFonts w:ascii="Narkisim" w:hAnsi="Narkisim" w:cs="Narkisim"/>
          <w:b/>
          <w:bCs/>
          <w:rtl/>
        </w:rPr>
        <w:t>רמ”א</w:t>
      </w:r>
      <w:r w:rsidRPr="007119D6">
        <w:rPr>
          <w:rFonts w:ascii="Narkisim" w:hAnsi="Narkisim" w:cs="Narkisim"/>
          <w:rtl/>
        </w:rPr>
        <w:t xml:space="preserve"> (שם יד) הביאו מח' בזה</w:t>
      </w:r>
      <w:r w:rsidRPr="007119D6">
        <w:rPr>
          <w:rStyle w:val="ac"/>
          <w:rFonts w:ascii="Narkisim" w:hAnsi="Narkisim" w:cs="Narkisim"/>
          <w:rtl/>
        </w:rPr>
        <w:footnoteReference w:id="8503"/>
      </w:r>
      <w:r w:rsidRPr="007119D6">
        <w:rPr>
          <w:rFonts w:ascii="Narkisim" w:hAnsi="Narkisim" w:cs="Narkisim"/>
          <w:rtl/>
        </w:rPr>
        <w:t>].</w:t>
      </w:r>
    </w:p>
    <w:p w14:paraId="22C310AF"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ט”ז</w:t>
      </w:r>
      <w:r w:rsidRPr="007119D6">
        <w:rPr>
          <w:rFonts w:ascii="Narkisim" w:hAnsi="Narkisim"/>
          <w:rtl/>
        </w:rPr>
        <w:t xml:space="preserve"> (יז ה) דחה דאין דרך עכו"ם לקלקל בכוונה. ודוקא צרה או חיישינן שמא ביתכוונו לקלקל. וה</w:t>
      </w:r>
      <w:r w:rsidRPr="007119D6">
        <w:rPr>
          <w:rFonts w:ascii="Narkisim" w:hAnsi="Narkisim"/>
          <w:b/>
          <w:bCs/>
          <w:rtl/>
        </w:rPr>
        <w:t>בי"ש</w:t>
      </w:r>
      <w:r w:rsidRPr="007119D6">
        <w:rPr>
          <w:rFonts w:ascii="Narkisim" w:hAnsi="Narkisim"/>
          <w:rtl/>
        </w:rPr>
        <w:t xml:space="preserve"> (שם לח) כת' דמ"מ היכא דלא הוה מסל"ת אינו נאמן, אף דלא נתכוון להכשיל</w:t>
      </w:r>
      <w:r w:rsidRPr="007119D6">
        <w:rPr>
          <w:rStyle w:val="ac"/>
          <w:rFonts w:ascii="Narkisim" w:hAnsi="Narkisim"/>
          <w:rtl/>
        </w:rPr>
        <w:footnoteReference w:id="8504"/>
      </w:r>
      <w:r w:rsidRPr="007119D6">
        <w:rPr>
          <w:rFonts w:ascii="Narkisim" w:hAnsi="Narkisim"/>
          <w:rtl/>
        </w:rPr>
        <w:t>.</w:t>
      </w:r>
    </w:p>
    <w:p w14:paraId="3063CB70"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בי"ש</w:t>
      </w:r>
      <w:r w:rsidRPr="007119D6">
        <w:rPr>
          <w:rFonts w:ascii="Narkisim" w:hAnsi="Narkisim"/>
          <w:rtl/>
        </w:rPr>
        <w:t xml:space="preserve"> (יז יג) הוכיח ע"פ דברי הריב"ש דצרה אינה נאמנת אף במסל"ת. דכיון דכה"ג נחשב מסל"ת בעכו"ם, ואפ"ה חיישינן שמא הוה צרה</w:t>
      </w:r>
      <w:r w:rsidRPr="007119D6">
        <w:rPr>
          <w:rStyle w:val="ac"/>
          <w:rFonts w:ascii="Narkisim" w:hAnsi="Narkisim"/>
          <w:rtl/>
        </w:rPr>
        <w:footnoteReference w:id="8505"/>
      </w:r>
      <w:r w:rsidRPr="007119D6">
        <w:rPr>
          <w:rFonts w:ascii="Narkisim" w:hAnsi="Narkisim"/>
          <w:rtl/>
        </w:rPr>
        <w:t>.</w:t>
      </w:r>
    </w:p>
    <w:p w14:paraId="7F80548F" w14:textId="77777777" w:rsidR="006C4368" w:rsidRPr="007119D6" w:rsidRDefault="006C4368" w:rsidP="006C4368">
      <w:pPr>
        <w:pStyle w:val="aa"/>
        <w:bidi/>
        <w:rPr>
          <w:rFonts w:ascii="Narkisim" w:hAnsi="Narkisim"/>
        </w:rPr>
      </w:pPr>
      <w:r w:rsidRPr="007119D6">
        <w:rPr>
          <w:rFonts w:ascii="Narkisim" w:hAnsi="Narkisim"/>
          <w:u w:val="single"/>
          <w:rtl/>
        </w:rPr>
        <w:t>תוד"ה דחזו</w:t>
      </w:r>
      <w:r w:rsidRPr="007119D6">
        <w:rPr>
          <w:rFonts w:ascii="Narkisim" w:hAnsi="Narkisim"/>
          <w:rtl/>
        </w:rPr>
        <w:t>. אבל בעיר וכו' מזיקין מצויין בבורות כדרך שמצויין בשדות וכו'. ו</w:t>
      </w:r>
      <w:r w:rsidRPr="007119D6">
        <w:rPr>
          <w:rFonts w:ascii="Narkisim" w:hAnsi="Narkisim"/>
          <w:b/>
          <w:bCs/>
          <w:rtl/>
        </w:rPr>
        <w:t>תוס</w:t>
      </w:r>
      <w:r w:rsidRPr="007119D6">
        <w:rPr>
          <w:rFonts w:ascii="Narkisim" w:hAnsi="Narkisim"/>
          <w:rtl/>
        </w:rPr>
        <w:t>' (מגילה ג.) הוכיחו כן, דאל"כ אדם שאמר לנו בלילה בעיר כתבו גט לאשתי היכי כתבינן, ניחוש שמא שד הוא עד דנחזי ליה בבואה דבבואה. ולא אשכחן דפריך ליה גמרא אלא גבי מי שהושלך בבור.</w:t>
      </w:r>
    </w:p>
    <w:p w14:paraId="79390016" w14:textId="77777777" w:rsidR="006C4368" w:rsidRPr="007119D6" w:rsidRDefault="006C4368" w:rsidP="006C4368">
      <w:pPr>
        <w:bidi/>
        <w:rPr>
          <w:rFonts w:ascii="Narkisim" w:hAnsi="Narkisim" w:cs="Narkisim"/>
        </w:rPr>
      </w:pPr>
      <w:r w:rsidRPr="007119D6">
        <w:rPr>
          <w:rFonts w:ascii="Narkisim" w:hAnsi="Narkisim" w:cs="Narkisim"/>
          <w:u w:val="single"/>
          <w:rtl/>
        </w:rPr>
        <w:t>בא"ד בירושלמי פליגי אמוראי בנמצא כתוב בשטר וכו'</w:t>
      </w:r>
      <w:r w:rsidRPr="007119D6">
        <w:rPr>
          <w:rFonts w:ascii="Narkisim" w:hAnsi="Narkisim" w:cs="Narkisim"/>
          <w:rtl/>
        </w:rPr>
        <w:t>. (והו' ברי”ף)</w:t>
      </w:r>
      <w:r w:rsidRPr="007119D6">
        <w:rPr>
          <w:rStyle w:val="ac"/>
          <w:rFonts w:ascii="Narkisim" w:hAnsi="Narkisim" w:cs="Narkisim"/>
          <w:rtl/>
        </w:rPr>
        <w:footnoteReference w:id="8506"/>
      </w:r>
      <w:r w:rsidRPr="007119D6">
        <w:rPr>
          <w:rFonts w:ascii="Narkisim" w:hAnsi="Narkisim" w:cs="Narkisim"/>
          <w:rtl/>
        </w:rPr>
        <w:t>. וה</w:t>
      </w:r>
      <w:r w:rsidRPr="007119D6">
        <w:rPr>
          <w:rFonts w:ascii="Narkisim" w:hAnsi="Narkisim" w:cs="Narkisim"/>
          <w:b/>
          <w:bCs/>
          <w:rtl/>
        </w:rPr>
        <w:t>ראשונים</w:t>
      </w:r>
      <w:r w:rsidRPr="007119D6">
        <w:rPr>
          <w:rFonts w:ascii="Narkisim" w:hAnsi="Narkisim" w:cs="Narkisim"/>
          <w:rtl/>
        </w:rPr>
        <w:t xml:space="preserve"> דנו </w:t>
      </w:r>
      <w:r w:rsidRPr="007119D6">
        <w:rPr>
          <w:rFonts w:ascii="Narkisim" w:hAnsi="Narkisim" w:cs="Narkisim"/>
          <w:rtl/>
        </w:rPr>
        <w:lastRenderedPageBreak/>
        <w:t>האיך קי"ל.</w:t>
      </w:r>
    </w:p>
    <w:p w14:paraId="1AC53BDD" w14:textId="77777777" w:rsidR="006C4368" w:rsidRPr="007119D6" w:rsidRDefault="006C4368" w:rsidP="006C4368">
      <w:pPr>
        <w:pStyle w:val="a8"/>
        <w:bidi/>
        <w:rPr>
          <w:rFonts w:ascii="Narkisim" w:hAnsi="Narkisim"/>
        </w:rPr>
      </w:pPr>
      <w:r w:rsidRPr="007119D6">
        <w:rPr>
          <w:rFonts w:ascii="Narkisim" w:hAnsi="Narkisim"/>
          <w:rtl/>
        </w:rPr>
        <w:t>ומדברי ה</w:t>
      </w:r>
      <w:r w:rsidRPr="007119D6">
        <w:rPr>
          <w:rFonts w:ascii="Narkisim" w:hAnsi="Narkisim"/>
          <w:b/>
          <w:bCs/>
          <w:rtl/>
        </w:rPr>
        <w:t>רי"ף</w:t>
      </w:r>
      <w:r w:rsidRPr="007119D6">
        <w:rPr>
          <w:rFonts w:ascii="Narkisim" w:hAnsi="Narkisim"/>
          <w:rtl/>
        </w:rPr>
        <w:t xml:space="preserve"> וה</w:t>
      </w:r>
      <w:r w:rsidRPr="007119D6">
        <w:rPr>
          <w:rFonts w:ascii="Narkisim" w:hAnsi="Narkisim"/>
          <w:b/>
          <w:bCs/>
          <w:rtl/>
        </w:rPr>
        <w:t>רא"ש</w:t>
      </w:r>
      <w:r w:rsidRPr="007119D6">
        <w:rPr>
          <w:rFonts w:ascii="Narkisim" w:hAnsi="Narkisim"/>
          <w:rtl/>
        </w:rPr>
        <w:t xml:space="preserve"> משמע דהוה ספק לדינא. וה</w:t>
      </w:r>
      <w:r w:rsidRPr="007119D6">
        <w:rPr>
          <w:rFonts w:ascii="Narkisim" w:hAnsi="Narkisim"/>
          <w:b/>
          <w:bCs/>
          <w:rtl/>
        </w:rPr>
        <w:t>רמב"ן</w:t>
      </w:r>
      <w:r w:rsidRPr="007119D6">
        <w:rPr>
          <w:rFonts w:ascii="Narkisim" w:hAnsi="Narkisim"/>
          <w:rtl/>
        </w:rPr>
        <w:t xml:space="preserve"> הביא דבגמ' (גיטין עא.) מבואר דמהני מפי כתבם בעדות אשה</w:t>
      </w:r>
      <w:r w:rsidRPr="007119D6">
        <w:rPr>
          <w:rStyle w:val="ac"/>
          <w:rFonts w:ascii="Narkisim" w:hAnsi="Narkisim"/>
          <w:rtl/>
        </w:rPr>
        <w:footnoteReference w:id="8507"/>
      </w:r>
      <w:r w:rsidRPr="007119D6">
        <w:rPr>
          <w:rFonts w:ascii="Narkisim" w:hAnsi="Narkisim"/>
          <w:rtl/>
        </w:rPr>
        <w:t>. וא"כ מהני עדות ע"י שטר. [וכ"פ הרמב"ם יג כח והשו"ע יז יא]. אבל ה</w:t>
      </w:r>
      <w:r w:rsidRPr="007119D6">
        <w:rPr>
          <w:rFonts w:ascii="Narkisim" w:hAnsi="Narkisim"/>
          <w:b/>
          <w:bCs/>
          <w:rtl/>
        </w:rPr>
        <w:t>או"ז</w:t>
      </w:r>
      <w:r w:rsidRPr="007119D6">
        <w:rPr>
          <w:rFonts w:ascii="Narkisim" w:hAnsi="Narkisim"/>
          <w:rtl/>
        </w:rPr>
        <w:t xml:space="preserve"> (תרצו) וה</w:t>
      </w:r>
      <w:r w:rsidRPr="007119D6">
        <w:rPr>
          <w:rFonts w:ascii="Narkisim" w:hAnsi="Narkisim"/>
          <w:b/>
          <w:bCs/>
          <w:rtl/>
        </w:rPr>
        <w:t>מאירי</w:t>
      </w:r>
      <w:r w:rsidRPr="007119D6">
        <w:rPr>
          <w:rFonts w:ascii="Narkisim" w:hAnsi="Narkisim"/>
          <w:rtl/>
        </w:rPr>
        <w:t xml:space="preserve"> הכריעו דל"מ שמצא שטר כתוב.</w:t>
      </w:r>
    </w:p>
    <w:p w14:paraId="1B96481B"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(שם) דחה דהתם איירי שבא להעיד, ועדות מכוונת חשיבא טפי מהיכא דמצאו כתוב</w:t>
      </w:r>
      <w:r w:rsidRPr="007119D6">
        <w:rPr>
          <w:rStyle w:val="ac"/>
          <w:rFonts w:ascii="Narkisim" w:hAnsi="Narkisim"/>
          <w:rtl/>
        </w:rPr>
        <w:footnoteReference w:id="8508"/>
      </w:r>
      <w:r w:rsidRPr="007119D6">
        <w:rPr>
          <w:rFonts w:ascii="Narkisim" w:hAnsi="Narkisim"/>
          <w:rtl/>
        </w:rPr>
        <w:t>.</w:t>
      </w:r>
    </w:p>
    <w:p w14:paraId="6F58FDD6"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רמב"ם</w:t>
      </w:r>
      <w:r w:rsidRPr="007119D6">
        <w:rPr>
          <w:rFonts w:ascii="Narkisim" w:hAnsi="Narkisim"/>
          <w:rtl/>
        </w:rPr>
        <w:t xml:space="preserve"> כת' דדוקא כשנודע שישראל כתבו. ו</w:t>
      </w:r>
      <w:r w:rsidRPr="007119D6">
        <w:rPr>
          <w:rFonts w:ascii="Narkisim" w:hAnsi="Narkisim"/>
          <w:b/>
          <w:bCs/>
          <w:rtl/>
        </w:rPr>
        <w:t>ה"ה</w:t>
      </w:r>
      <w:r w:rsidRPr="007119D6">
        <w:rPr>
          <w:rFonts w:ascii="Narkisim" w:hAnsi="Narkisim"/>
          <w:rtl/>
        </w:rPr>
        <w:t xml:space="preserve"> ביאר דל"מ כתבו עכו"ם</w:t>
      </w:r>
      <w:r w:rsidRPr="007119D6">
        <w:rPr>
          <w:rStyle w:val="ac"/>
          <w:rFonts w:ascii="Narkisim" w:hAnsi="Narkisim"/>
          <w:rtl/>
        </w:rPr>
        <w:footnoteReference w:id="8509"/>
      </w:r>
      <w:r w:rsidRPr="007119D6">
        <w:rPr>
          <w:rFonts w:ascii="Narkisim" w:hAnsi="Narkisim"/>
          <w:rtl/>
        </w:rPr>
        <w:t>, אף באופן דהוה מסל"ת. דלא הכשירו עכו"ם מסל"ת בכתב</w:t>
      </w:r>
      <w:r w:rsidRPr="007119D6">
        <w:rPr>
          <w:rStyle w:val="ac"/>
          <w:rFonts w:ascii="Narkisim" w:hAnsi="Narkisim"/>
          <w:rtl/>
        </w:rPr>
        <w:footnoteReference w:id="8510"/>
      </w:r>
      <w:r w:rsidRPr="007119D6">
        <w:rPr>
          <w:rFonts w:ascii="Narkisim" w:hAnsi="Narkisim"/>
          <w:rtl/>
        </w:rPr>
        <w:t>. וה</w:t>
      </w:r>
      <w:r w:rsidRPr="007119D6">
        <w:rPr>
          <w:rFonts w:ascii="Narkisim" w:hAnsi="Narkisim"/>
          <w:b/>
          <w:bCs/>
          <w:rtl/>
        </w:rPr>
        <w:t>ב"י</w:t>
      </w:r>
      <w:r w:rsidRPr="007119D6">
        <w:rPr>
          <w:rFonts w:ascii="Narkisim" w:hAnsi="Narkisim"/>
          <w:rtl/>
        </w:rPr>
        <w:t xml:space="preserve"> (בדק הבית) כת' דאין לזה טעם, דאם כתבו מסל"ת למה יגרע. וה</w:t>
      </w:r>
      <w:r w:rsidRPr="007119D6">
        <w:rPr>
          <w:rFonts w:ascii="Narkisim" w:hAnsi="Narkisim"/>
          <w:b/>
          <w:bCs/>
          <w:rtl/>
        </w:rPr>
        <w:t>חלק"מ</w:t>
      </w:r>
      <w:r w:rsidRPr="007119D6">
        <w:rPr>
          <w:rFonts w:ascii="Narkisim" w:hAnsi="Narkisim"/>
          <w:rtl/>
        </w:rPr>
        <w:t xml:space="preserve"> (שם כא) ביאר דכוונת הב"י דהרמב"ם איירי שלא נכתב דרך מסל"ת.</w:t>
      </w:r>
    </w:p>
    <w:p w14:paraId="440EE644"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לבוש</w:t>
      </w:r>
      <w:r w:rsidRPr="007119D6">
        <w:rPr>
          <w:rFonts w:ascii="Narkisim" w:hAnsi="Narkisim"/>
          <w:rtl/>
        </w:rPr>
        <w:t xml:space="preserve"> (הו' בפתח"ת יז נג) תי' דהוו תרי קולי, מסל"ת ומפי כתבו</w:t>
      </w:r>
      <w:r w:rsidRPr="007119D6">
        <w:rPr>
          <w:rStyle w:val="ac"/>
          <w:rFonts w:ascii="Narkisim" w:hAnsi="Narkisim"/>
          <w:rtl/>
        </w:rPr>
        <w:footnoteReference w:id="8511"/>
      </w:r>
      <w:r w:rsidRPr="007119D6">
        <w:rPr>
          <w:rFonts w:ascii="Narkisim" w:hAnsi="Narkisim"/>
          <w:rtl/>
        </w:rPr>
        <w:t>. וע"ע בפתח"ת.</w:t>
      </w:r>
    </w:p>
    <w:p w14:paraId="0AA48B5C"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וה</w:t>
      </w:r>
      <w:r w:rsidRPr="007119D6">
        <w:rPr>
          <w:rFonts w:ascii="Narkisim" w:hAnsi="Narkisim" w:cs="Narkisim"/>
          <w:b/>
          <w:bCs/>
          <w:rtl/>
        </w:rPr>
        <w:t>רמב”ן</w:t>
      </w:r>
      <w:r w:rsidRPr="007119D6">
        <w:rPr>
          <w:rFonts w:ascii="Narkisim" w:hAnsi="Narkisim" w:cs="Narkisim"/>
          <w:rtl/>
        </w:rPr>
        <w:t xml:space="preserve"> הביא מח' האם מהני שמצאו שטר שאינו מקויים, או דצריך קיום</w:t>
      </w:r>
      <w:r w:rsidRPr="007119D6">
        <w:rPr>
          <w:rStyle w:val="ac"/>
          <w:rFonts w:ascii="Narkisim" w:hAnsi="Narkisim" w:cs="Narkisim"/>
          <w:rtl/>
        </w:rPr>
        <w:footnoteReference w:id="8512"/>
      </w:r>
      <w:r w:rsidRPr="007119D6">
        <w:rPr>
          <w:rFonts w:ascii="Narkisim" w:hAnsi="Narkisim" w:cs="Narkisim"/>
          <w:rtl/>
        </w:rPr>
        <w:t>.</w:t>
      </w:r>
    </w:p>
    <w:p w14:paraId="6582F4ED"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המ"ד דל"צ קיום, דכיון דקיום שטרות דרבנן (כדמפורש גיטין ג.), בעדות אשה לא תקון רבנן. דהקילו בה טפי מדאורייתא. ומשיאין מפי כתבם, אף דרחמנא פסליה</w:t>
      </w:r>
      <w:r w:rsidRPr="007119D6">
        <w:rPr>
          <w:rStyle w:val="ac"/>
          <w:rFonts w:ascii="Narkisim" w:hAnsi="Narkisim"/>
          <w:rtl/>
        </w:rPr>
        <w:footnoteReference w:id="8513"/>
      </w:r>
      <w:r w:rsidRPr="007119D6">
        <w:rPr>
          <w:rFonts w:ascii="Narkisim" w:hAnsi="Narkisim"/>
          <w:rtl/>
        </w:rPr>
        <w:t>. וכת' דכן מסתבר</w:t>
      </w:r>
      <w:r w:rsidRPr="007119D6">
        <w:rPr>
          <w:rStyle w:val="ac"/>
          <w:rFonts w:ascii="Narkisim" w:hAnsi="Narkisim"/>
          <w:rtl/>
        </w:rPr>
        <w:footnoteReference w:id="8514"/>
      </w:r>
      <w:r w:rsidRPr="007119D6">
        <w:rPr>
          <w:rFonts w:ascii="Narkisim" w:hAnsi="Narkisim"/>
          <w:rtl/>
        </w:rPr>
        <w:t>.</w:t>
      </w:r>
    </w:p>
    <w:p w14:paraId="6BFB2440"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משובב נתיבות</w:t>
      </w:r>
      <w:r w:rsidRPr="007119D6">
        <w:rPr>
          <w:rFonts w:ascii="Narkisim" w:hAnsi="Narkisim"/>
          <w:rtl/>
        </w:rPr>
        <w:t xml:space="preserve"> (מו ז) הביא מסוגיין דאף שטר שנמצא ל"צ קיום שטרות מדאורייתא. ודלא כדברי ה</w:t>
      </w:r>
      <w:r w:rsidRPr="007119D6">
        <w:rPr>
          <w:rFonts w:ascii="Narkisim" w:hAnsi="Narkisim"/>
          <w:b/>
          <w:bCs/>
          <w:rtl/>
        </w:rPr>
        <w:t>ש"ך</w:t>
      </w:r>
      <w:r w:rsidRPr="007119D6">
        <w:rPr>
          <w:rFonts w:ascii="Narkisim" w:hAnsi="Narkisim"/>
          <w:rtl/>
        </w:rPr>
        <w:t xml:space="preserve"> (חו"מ מו ט בסופו) דדוקא שטר ביד המלוה ל"צ קיום מדאורייתא. ודוקא כה"ג שבעל השטר מוציאו ותובע בו אמרי' דלא חציף איניש לזיופי.</w:t>
      </w:r>
    </w:p>
    <w:p w14:paraId="1CAAAAA1"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חלק"מ</w:t>
      </w:r>
      <w:r w:rsidRPr="007119D6">
        <w:rPr>
          <w:rFonts w:ascii="Narkisim" w:hAnsi="Narkisim" w:cs="Narkisim"/>
          <w:rtl/>
        </w:rPr>
        <w:t xml:space="preserve"> (יז כא בסו”ד) הק' דקיום זה מה הוא, דבשלמא גבי ממון יש לחוש שמא זייף עדים להוציא ממון, אך כאן למי נחוש, דמי שכתבו נאמן בעדות אשה</w:t>
      </w:r>
      <w:r w:rsidRPr="007119D6">
        <w:rPr>
          <w:rStyle w:val="ac"/>
          <w:rFonts w:ascii="Narkisim" w:hAnsi="Narkisim" w:cs="Narkisim"/>
          <w:rtl/>
        </w:rPr>
        <w:footnoteReference w:id="8515"/>
      </w:r>
      <w:r w:rsidRPr="007119D6">
        <w:rPr>
          <w:rFonts w:ascii="Narkisim" w:hAnsi="Narkisim" w:cs="Narkisim"/>
          <w:rtl/>
        </w:rPr>
        <w:t>. וכל החשש משום צרה או פסול [או עכו"ם], וקי"ל דבשעת הסכנה משיאין ע"פ בת קול ולא חיישינן לצרה. וכת' דמ"מ חיישינן לכתחילה [לצרה או לפסולים].</w:t>
      </w:r>
    </w:p>
    <w:p w14:paraId="5A60B43C"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קה"י</w:t>
      </w:r>
      <w:r w:rsidRPr="007119D6">
        <w:rPr>
          <w:rFonts w:ascii="Narkisim" w:hAnsi="Narkisim"/>
          <w:rtl/>
        </w:rPr>
        <w:t xml:space="preserve"> (מו ה) הק' האיך סגי בקיום [שמכירים החתימות], נימא דצריך לברר שהעד אינו גזלן. דזה כל החשש, והכרת החתימות אינו מעלה כלל. והביא דכ”כ ה</w:t>
      </w:r>
      <w:r w:rsidRPr="007119D6">
        <w:rPr>
          <w:rFonts w:ascii="Narkisim" w:hAnsi="Narkisim"/>
          <w:b/>
          <w:bCs/>
          <w:rtl/>
        </w:rPr>
        <w:t>ב"ח</w:t>
      </w:r>
      <w:r w:rsidRPr="007119D6">
        <w:rPr>
          <w:rFonts w:ascii="Narkisim" w:hAnsi="Narkisim"/>
          <w:rtl/>
        </w:rPr>
        <w:t xml:space="preserve"> (שם ו) דדוקא ידעו שישראל הכשר לעדות מן התורה כתבו</w:t>
      </w:r>
      <w:r w:rsidRPr="007119D6">
        <w:rPr>
          <w:rStyle w:val="ac"/>
          <w:rFonts w:ascii="Narkisim" w:hAnsi="Narkisim"/>
          <w:rtl/>
        </w:rPr>
        <w:footnoteReference w:id="8516"/>
      </w:r>
      <w:r w:rsidRPr="007119D6">
        <w:rPr>
          <w:rFonts w:ascii="Narkisim" w:hAnsi="Narkisim"/>
          <w:rtl/>
        </w:rPr>
        <w:t>. אך שאר פוסקים לא הזכירו כן.</w:t>
      </w:r>
    </w:p>
    <w:p w14:paraId="4AEF4228" w14:textId="77777777" w:rsidR="006C4368" w:rsidRPr="007119D6" w:rsidRDefault="006C4368" w:rsidP="006C4368">
      <w:pPr>
        <w:pStyle w:val="a8"/>
        <w:bidi/>
        <w:rPr>
          <w:rFonts w:ascii="Narkisim" w:hAnsi="Narkisim"/>
        </w:rPr>
      </w:pPr>
      <w:r w:rsidRPr="007119D6">
        <w:rPr>
          <w:rFonts w:ascii="Narkisim" w:hAnsi="Narkisim"/>
          <w:rtl/>
        </w:rPr>
        <w:t>והקה"י ביאר דלאחר שנתקיים מעמידים את הכותב בחזקת כשרות. אבל כשלא נודע מי כתבו ל"ש חזקת כשרות.</w:t>
      </w:r>
    </w:p>
    <w:p w14:paraId="57C9C2A2" w14:textId="77777777" w:rsidR="006C4368" w:rsidRPr="007119D6" w:rsidRDefault="006C4368" w:rsidP="006C4368">
      <w:pPr>
        <w:pStyle w:val="aa"/>
        <w:bidi/>
        <w:rPr>
          <w:rFonts w:ascii="Narkisim" w:hAnsi="Narkisim"/>
        </w:rPr>
      </w:pPr>
      <w:r w:rsidRPr="007119D6">
        <w:rPr>
          <w:rFonts w:ascii="Narkisim" w:hAnsi="Narkisim"/>
          <w:u w:val="single"/>
          <w:rtl/>
        </w:rPr>
        <w:t>שמעתי שאין משיאין את האשה באר"י ע"פ עד א' וכו' כך מקובלני מר"ג הזקן</w:t>
      </w:r>
      <w:r w:rsidRPr="007119D6">
        <w:rPr>
          <w:rStyle w:val="ac"/>
          <w:rFonts w:ascii="Narkisim" w:hAnsi="Narkisim"/>
          <w:u w:val="single"/>
          <w:rtl/>
        </w:rPr>
        <w:footnoteReference w:id="8517"/>
      </w:r>
      <w:r w:rsidRPr="007119D6">
        <w:rPr>
          <w:rFonts w:ascii="Narkisim" w:hAnsi="Narkisim"/>
          <w:u w:val="single"/>
          <w:rtl/>
        </w:rPr>
        <w:t xml:space="preserve"> וכו'</w:t>
      </w:r>
      <w:r w:rsidRPr="007119D6">
        <w:rPr>
          <w:rFonts w:ascii="Narkisim" w:hAnsi="Narkisim"/>
          <w:rtl/>
        </w:rPr>
        <w:t>. ומתחילה נקטו דצריך עדות להתירה. אך האשה עצמה היתה נאמנת [וע' מה שהו' לעיל קיד:].</w:t>
      </w:r>
    </w:p>
    <w:p w14:paraId="723CB357" w14:textId="77777777" w:rsidR="006C4368" w:rsidRPr="007119D6" w:rsidRDefault="006C4368" w:rsidP="006C4368">
      <w:pPr>
        <w:pStyle w:val="aa"/>
        <w:bidi/>
        <w:rPr>
          <w:rFonts w:ascii="Narkisim" w:hAnsi="Narkisim"/>
        </w:rPr>
      </w:pPr>
      <w:r w:rsidRPr="007119D6">
        <w:rPr>
          <w:rFonts w:ascii="Narkisim" w:hAnsi="Narkisim"/>
          <w:u w:val="single"/>
          <w:rtl/>
        </w:rPr>
        <w:t>ונומיתי לו</w:t>
      </w:r>
      <w:r w:rsidRPr="007119D6">
        <w:rPr>
          <w:rStyle w:val="ac"/>
          <w:rFonts w:ascii="Narkisim" w:hAnsi="Narkisim"/>
          <w:rtl/>
        </w:rPr>
        <w:footnoteReference w:id="8518"/>
      </w:r>
      <w:r w:rsidRPr="007119D6">
        <w:rPr>
          <w:rFonts w:ascii="Narkisim" w:hAnsi="Narkisim"/>
          <w:rtl/>
        </w:rPr>
        <w:t>. פ</w:t>
      </w:r>
      <w:r w:rsidRPr="007119D6">
        <w:rPr>
          <w:rFonts w:ascii="Narkisim" w:hAnsi="Narkisim"/>
          <w:b/>
          <w:bCs/>
          <w:rtl/>
        </w:rPr>
        <w:t>רש"י</w:t>
      </w:r>
      <w:r w:rsidRPr="007119D6">
        <w:rPr>
          <w:rFonts w:ascii="Narkisim" w:hAnsi="Narkisim"/>
          <w:rtl/>
        </w:rPr>
        <w:t xml:space="preserve"> אמרתי לו. </w:t>
      </w:r>
      <w:r w:rsidRPr="007119D6">
        <w:rPr>
          <w:rFonts w:ascii="Narkisim" w:hAnsi="Narkisim"/>
          <w:b/>
          <w:bCs/>
          <w:rtl/>
        </w:rPr>
        <w:t>רע”א</w:t>
      </w:r>
      <w:r w:rsidRPr="007119D6">
        <w:rPr>
          <w:rFonts w:ascii="Narkisim" w:hAnsi="Narkisim"/>
          <w:rtl/>
        </w:rPr>
        <w:t xml:space="preserve"> ציין וכן בפסוק (עזרא ד ח) כנמא, פ</w:t>
      </w:r>
      <w:r w:rsidRPr="007119D6">
        <w:rPr>
          <w:rFonts w:ascii="Narkisim" w:hAnsi="Narkisim"/>
          <w:b/>
          <w:bCs/>
          <w:rtl/>
        </w:rPr>
        <w:t>רש"י</w:t>
      </w:r>
      <w:r w:rsidRPr="007119D6">
        <w:rPr>
          <w:rFonts w:ascii="Narkisim" w:hAnsi="Narkisim"/>
          <w:rtl/>
        </w:rPr>
        <w:t xml:space="preserve"> כאשר נאמר. וה</w:t>
      </w:r>
      <w:r w:rsidRPr="007119D6">
        <w:rPr>
          <w:rFonts w:ascii="Narkisim" w:hAnsi="Narkisim"/>
          <w:b/>
          <w:bCs/>
          <w:rtl/>
        </w:rPr>
        <w:t>מפרשים</w:t>
      </w:r>
      <w:r w:rsidRPr="007119D6">
        <w:rPr>
          <w:rFonts w:ascii="Narkisim" w:hAnsi="Narkisim"/>
          <w:rtl/>
        </w:rPr>
        <w:t xml:space="preserve"> כת' דהוה לשון נאום.</w:t>
      </w:r>
    </w:p>
    <w:p w14:paraId="1DB8FF6D" w14:textId="77777777" w:rsidR="006C4368" w:rsidRPr="007119D6" w:rsidRDefault="006C4368" w:rsidP="006C4368">
      <w:pPr>
        <w:pStyle w:val="aa"/>
        <w:bidi/>
        <w:rPr>
          <w:rFonts w:ascii="Narkisim" w:hAnsi="Narkisim"/>
        </w:rPr>
      </w:pPr>
      <w:r w:rsidRPr="007119D6">
        <w:rPr>
          <w:rFonts w:ascii="Narkisim" w:hAnsi="Narkisim"/>
          <w:u w:val="single"/>
          <w:rtl/>
        </w:rPr>
        <w:t>אתם יודעים שהמדינה משובשת בגייסות וכו'</w:t>
      </w:r>
      <w:r w:rsidRPr="007119D6">
        <w:rPr>
          <w:rFonts w:ascii="Narkisim" w:hAnsi="Narkisim"/>
          <w:rtl/>
        </w:rPr>
        <w:t>. פ</w:t>
      </w:r>
      <w:r w:rsidRPr="007119D6">
        <w:rPr>
          <w:rFonts w:ascii="Narkisim" w:hAnsi="Narkisim"/>
          <w:b/>
          <w:bCs/>
          <w:rtl/>
        </w:rPr>
        <w:t>רש"י</w:t>
      </w:r>
      <w:r w:rsidRPr="007119D6">
        <w:rPr>
          <w:rFonts w:ascii="Narkisim" w:hAnsi="Narkisim"/>
          <w:rtl/>
        </w:rPr>
        <w:t xml:space="preserve"> שאינו יכול לילך אצלם להעיד. וכמסקנת הגמ' (לעיל קטו.), אבל ס"ד דהגמ' (שם) דה"ק דאף במקום גייסות משיאין ע"פ עד א', דעד א' נאמן במלחמה.</w:t>
      </w:r>
    </w:p>
    <w:p w14:paraId="5D2BC4F3" w14:textId="77777777" w:rsidR="006C4368" w:rsidRPr="007119D6" w:rsidRDefault="006C4368" w:rsidP="006C4368">
      <w:pPr>
        <w:pStyle w:val="aa"/>
        <w:bidi/>
        <w:rPr>
          <w:rFonts w:ascii="Narkisim" w:hAnsi="Narkisim"/>
        </w:rPr>
      </w:pPr>
      <w:r w:rsidRPr="007119D6">
        <w:rPr>
          <w:rFonts w:ascii="Narkisim" w:hAnsi="Narkisim"/>
          <w:u w:val="single"/>
          <w:rtl/>
        </w:rPr>
        <w:t>והוחזקו להיות משיאין עד מפי עד וכו'</w:t>
      </w:r>
      <w:r w:rsidRPr="007119D6">
        <w:rPr>
          <w:rFonts w:ascii="Narkisim" w:hAnsi="Narkisim"/>
          <w:rtl/>
        </w:rPr>
        <w:t>. ה</w:t>
      </w:r>
      <w:r w:rsidRPr="007119D6">
        <w:rPr>
          <w:rFonts w:ascii="Narkisim" w:hAnsi="Narkisim"/>
          <w:b/>
          <w:bCs/>
          <w:rtl/>
        </w:rPr>
        <w:t>חלק"מ</w:t>
      </w:r>
      <w:r w:rsidRPr="007119D6">
        <w:rPr>
          <w:rFonts w:ascii="Narkisim" w:hAnsi="Narkisim"/>
          <w:rtl/>
        </w:rPr>
        <w:t xml:space="preserve"> (יז עח) כת' דל"צ בי"ד לקבלת עדות בעגונה, דהא מהני עד מפי עד. [וע' מה שהו' לעיל פז:]. וה</w:t>
      </w:r>
      <w:r w:rsidRPr="007119D6">
        <w:rPr>
          <w:rFonts w:ascii="Narkisim" w:hAnsi="Narkisim"/>
          <w:b/>
          <w:bCs/>
          <w:rtl/>
        </w:rPr>
        <w:t>בי"ש</w:t>
      </w:r>
      <w:r w:rsidRPr="007119D6">
        <w:rPr>
          <w:rFonts w:ascii="Narkisim" w:hAnsi="Narkisim"/>
          <w:rtl/>
        </w:rPr>
        <w:t xml:space="preserve"> (שם קכד) דחה דאין דנים אפשר משאי אפשר. תדע דלר"ע (בע"ב) צריך דרישה וחקירה, ובעד מפי עד ליכא דרישה וחקירה לעד הראשון. וע"כ דהיכא דלא אפשר הקילו. ועד”ז </w:t>
      </w:r>
      <w:r w:rsidRPr="007119D6">
        <w:rPr>
          <w:rFonts w:ascii="Narkisim" w:hAnsi="Narkisim"/>
          <w:rtl/>
        </w:rPr>
        <w:lastRenderedPageBreak/>
        <w:t xml:space="preserve">כת' </w:t>
      </w:r>
      <w:r w:rsidRPr="007119D6">
        <w:rPr>
          <w:rFonts w:ascii="Narkisim" w:hAnsi="Narkisim"/>
          <w:b/>
          <w:bCs/>
          <w:rtl/>
        </w:rPr>
        <w:t>ה"ה</w:t>
      </w:r>
      <w:r w:rsidRPr="007119D6">
        <w:rPr>
          <w:rFonts w:ascii="Narkisim" w:hAnsi="Narkisim"/>
          <w:rtl/>
        </w:rPr>
        <w:t xml:space="preserve"> (יג טו) לדעת הרמב"ם דשואלים אותם שיודע דבר ברור. וה"ה כת' דהא דעד מפי עד מהני, משום דאין דנים אפשר משאי אפשר.</w:t>
      </w:r>
    </w:p>
    <w:p w14:paraId="732F7BA3" w14:textId="77777777" w:rsidR="006C4368" w:rsidRPr="007119D6" w:rsidRDefault="006C4368" w:rsidP="006C4368">
      <w:pPr>
        <w:pStyle w:val="aa"/>
        <w:bidi/>
        <w:rPr>
          <w:rFonts w:ascii="Narkisim" w:hAnsi="Narkisim"/>
        </w:rPr>
      </w:pPr>
      <w:r w:rsidRPr="007119D6">
        <w:rPr>
          <w:rFonts w:ascii="Narkisim" w:hAnsi="Narkisim"/>
          <w:rtl/>
        </w:rPr>
        <w:t>ו</w:t>
      </w:r>
      <w:r w:rsidRPr="007119D6">
        <w:rPr>
          <w:rFonts w:ascii="Narkisim" w:hAnsi="Narkisim"/>
          <w:b/>
          <w:bCs/>
          <w:rtl/>
        </w:rPr>
        <w:t>רע"א</w:t>
      </w:r>
      <w:r w:rsidRPr="007119D6">
        <w:rPr>
          <w:rFonts w:ascii="Narkisim" w:hAnsi="Narkisim"/>
          <w:rtl/>
        </w:rPr>
        <w:t xml:space="preserve"> הק' דכיון דעדות הא' הי' מהני חוץ לבי"ד [ע"פ סברת החלק"מ], א"כ מה חידוש דמהני עד מפי עד. דהעד הב' שמעיד מפיו, הוי כמעיד שנגמר עדות הא' בבי"ד, דמיד שהעיד נגמר עדותו. ומה חסרון בעד מפי עד. והוכיח דצריך הגדה מעליא בבי"ד דוקא.</w:t>
      </w:r>
    </w:p>
    <w:p w14:paraId="7FA7027D" w14:textId="77777777" w:rsidR="006C4368" w:rsidRPr="007119D6" w:rsidRDefault="006C4368" w:rsidP="006C4368">
      <w:pPr>
        <w:bidi/>
        <w:rPr>
          <w:rFonts w:ascii="Narkisim" w:hAnsi="Narkisim" w:cs="Narkisim"/>
        </w:rPr>
      </w:pPr>
      <w:r w:rsidRPr="007119D6">
        <w:rPr>
          <w:rFonts w:ascii="Narkisim" w:hAnsi="Narkisim" w:cs="Narkisim"/>
          <w:u w:val="single"/>
          <w:rtl/>
        </w:rPr>
        <w:t>מפי עבד וכו' מפי שפחה וכו'</w:t>
      </w:r>
      <w:r w:rsidRPr="007119D6">
        <w:rPr>
          <w:rFonts w:ascii="Narkisim" w:hAnsi="Narkisim" w:cs="Narkisim"/>
          <w:rtl/>
        </w:rPr>
        <w:t>. ואף דפסולים בעדות. ונח' ה</w:t>
      </w:r>
      <w:r w:rsidRPr="007119D6">
        <w:rPr>
          <w:rFonts w:ascii="Narkisim" w:hAnsi="Narkisim" w:cs="Narkisim"/>
          <w:b/>
          <w:bCs/>
          <w:rtl/>
        </w:rPr>
        <w:t>ראשונים</w:t>
      </w:r>
      <w:r w:rsidRPr="007119D6">
        <w:rPr>
          <w:rFonts w:ascii="Narkisim" w:hAnsi="Narkisim" w:cs="Narkisim"/>
          <w:rtl/>
        </w:rPr>
        <w:t xml:space="preserve"> (הו' לעיל קיז:) האם אף בעד פסול אמרי' דעד א' כשנים. וה</w:t>
      </w:r>
      <w:r w:rsidRPr="007119D6">
        <w:rPr>
          <w:rFonts w:ascii="Narkisim" w:hAnsi="Narkisim" w:cs="Narkisim"/>
          <w:b/>
          <w:bCs/>
          <w:rtl/>
        </w:rPr>
        <w:t>ש"ש</w:t>
      </w:r>
      <w:r w:rsidRPr="007119D6">
        <w:rPr>
          <w:rFonts w:ascii="Narkisim" w:hAnsi="Narkisim" w:cs="Narkisim"/>
          <w:rtl/>
        </w:rPr>
        <w:t xml:space="preserve"> (ז א) כת' דעד פסול ודאי ל”מ בתורת עדות, אלא בתורת אומדנא. [וע”ע מה שהו' לעיל פח. ופח:].</w:t>
      </w:r>
    </w:p>
    <w:p w14:paraId="4517735D" w14:textId="77777777" w:rsidR="006C4368" w:rsidRPr="007119D6" w:rsidRDefault="006C4368" w:rsidP="006C4368">
      <w:pPr>
        <w:bidi/>
        <w:rPr>
          <w:rFonts w:ascii="Narkisim" w:hAnsi="Narkisim" w:cs="Narkisim"/>
        </w:rPr>
      </w:pPr>
      <w:r w:rsidRPr="007119D6">
        <w:rPr>
          <w:rFonts w:ascii="Narkisim" w:hAnsi="Narkisim" w:cs="Narkisim"/>
          <w:rtl/>
        </w:rPr>
        <w:t>ור' מנשה (בגמ' לעיל כה:) אמר דגזלן דאורייתא פסול לעדות אשה. ודוקא גזלן דדבריהם [וכגון מפריחי יונים ומשחק בקוביה] כשר לעדות אשה.</w:t>
      </w:r>
    </w:p>
    <w:p w14:paraId="2FB19DAA" w14:textId="77777777" w:rsidR="006C4368" w:rsidRPr="007119D6" w:rsidRDefault="006C4368" w:rsidP="006C4368">
      <w:pPr>
        <w:pStyle w:val="a8"/>
        <w:bidi/>
        <w:rPr>
          <w:rFonts w:ascii="Narkisim" w:hAnsi="Narkisim"/>
        </w:rPr>
      </w:pPr>
      <w:r w:rsidRPr="007119D6">
        <w:rPr>
          <w:rFonts w:ascii="Narkisim" w:hAnsi="Narkisim"/>
          <w:rtl/>
        </w:rPr>
        <w:t>ונח' ר' יהודה ורבנן (במשנה כה.) האומר הרגתיו האם מהני עדות זה להתירה לאחרים. והגמ' פי' דלדעת רבא לרבנן נאמנים משום דאין אדם משים עצמו רשע, ופלגינן דיבורה. ולרב יוסף דלא אמרי' פלגינן דעת רבנן דאף פסול דאורייתא הקילו בעדות אשה. ודלא כר' מנשה</w:t>
      </w:r>
      <w:r w:rsidRPr="007119D6">
        <w:rPr>
          <w:rStyle w:val="ac"/>
          <w:rFonts w:ascii="Narkisim" w:hAnsi="Narkisim"/>
          <w:rtl/>
        </w:rPr>
        <w:footnoteReference w:id="8519"/>
      </w:r>
      <w:r w:rsidRPr="007119D6">
        <w:rPr>
          <w:rFonts w:ascii="Narkisim" w:hAnsi="Narkisim"/>
          <w:rtl/>
        </w:rPr>
        <w:t>.</w:t>
      </w:r>
    </w:p>
    <w:p w14:paraId="4BFA454B"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רשב"א</w:t>
      </w:r>
      <w:r w:rsidRPr="007119D6">
        <w:rPr>
          <w:rFonts w:ascii="Narkisim" w:hAnsi="Narkisim" w:cs="Narkisim"/>
          <w:rtl/>
        </w:rPr>
        <w:t xml:space="preserve"> כת' דאף דעבד ושפחה פסולים לעדות מדאורייתא, הקילו בעדות אשה, דאינם פסולים מחמת עבירה. אבל הפסול בעבירה נגרע מערכו, שהיה נאמן ומחמת פסולו אין מאמינין אותו בעדותו אפי' כנשים.</w:t>
      </w:r>
    </w:p>
    <w:p w14:paraId="5B413379" w14:textId="77777777" w:rsidR="006C4368" w:rsidRPr="007119D6" w:rsidRDefault="006C4368" w:rsidP="006C4368">
      <w:pPr>
        <w:pStyle w:val="a8"/>
        <w:bidi/>
        <w:rPr>
          <w:rFonts w:ascii="Narkisim" w:hAnsi="Narkisim"/>
        </w:rPr>
      </w:pPr>
      <w:r w:rsidRPr="007119D6">
        <w:rPr>
          <w:rFonts w:ascii="Narkisim" w:hAnsi="Narkisim"/>
          <w:rtl/>
        </w:rPr>
        <w:t>וכ"פ ה</w:t>
      </w:r>
      <w:r w:rsidRPr="007119D6">
        <w:rPr>
          <w:rFonts w:ascii="Narkisim" w:hAnsi="Narkisim"/>
          <w:b/>
          <w:bCs/>
          <w:rtl/>
        </w:rPr>
        <w:t>רמב"ם</w:t>
      </w:r>
      <w:r w:rsidRPr="007119D6">
        <w:rPr>
          <w:rFonts w:ascii="Narkisim" w:hAnsi="Narkisim"/>
          <w:rtl/>
        </w:rPr>
        <w:t xml:space="preserve"> (סוטה א טו) גבי עד א' בסוטה, דאפי' אשה כשרה להעיד, ואפי' הפסול בעבירה מדברי סופרים. אך עד א' דעגלה ערופה, שראה את ההורג כת' ה</w:t>
      </w:r>
      <w:r w:rsidRPr="007119D6">
        <w:rPr>
          <w:rFonts w:ascii="Narkisim" w:hAnsi="Narkisim"/>
          <w:b/>
          <w:bCs/>
          <w:rtl/>
        </w:rPr>
        <w:t>רמב"ם</w:t>
      </w:r>
      <w:r w:rsidRPr="007119D6">
        <w:rPr>
          <w:rFonts w:ascii="Narkisim" w:hAnsi="Narkisim"/>
          <w:rtl/>
        </w:rPr>
        <w:t xml:space="preserve"> (רוצח ט יב) דמהני אף הפסול לעדות מחמת בעבירה</w:t>
      </w:r>
      <w:r w:rsidRPr="007119D6">
        <w:rPr>
          <w:rStyle w:val="ac"/>
          <w:rFonts w:ascii="Narkisim" w:hAnsi="Narkisim"/>
          <w:rtl/>
        </w:rPr>
        <w:footnoteReference w:id="8520"/>
      </w:r>
      <w:r w:rsidRPr="007119D6">
        <w:rPr>
          <w:rFonts w:ascii="Narkisim" w:hAnsi="Narkisim"/>
          <w:rtl/>
        </w:rPr>
        <w:t>. וע”ע טור”א (ר”ה כב.) [והאחרונים דנו בזה].</w:t>
      </w:r>
    </w:p>
    <w:p w14:paraId="6F609201"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קצות</w:t>
      </w:r>
      <w:r w:rsidRPr="007119D6">
        <w:rPr>
          <w:rFonts w:ascii="Narkisim" w:hAnsi="Narkisim" w:cs="Narkisim"/>
          <w:rtl/>
        </w:rPr>
        <w:t xml:space="preserve"> (מו יז) דדוקא גזלן, דהוה רשע דחמס חשוד לשקר ופסול לעדות אשה. אבל העובר על שאר איסור דאורייתא אף שפסול לעדות</w:t>
      </w:r>
      <w:r w:rsidRPr="007119D6">
        <w:rPr>
          <w:rStyle w:val="ac"/>
          <w:rFonts w:ascii="Narkisim" w:hAnsi="Narkisim" w:cs="Narkisim"/>
          <w:rtl/>
        </w:rPr>
        <w:footnoteReference w:id="8521"/>
      </w:r>
      <w:r w:rsidRPr="007119D6">
        <w:rPr>
          <w:rFonts w:ascii="Narkisim" w:hAnsi="Narkisim" w:cs="Narkisim"/>
          <w:rtl/>
        </w:rPr>
        <w:t xml:space="preserve"> מגזיה”כ [וכמו קרוב], אך אינו חשוד לשקר. וכשר לעדות אשה.</w:t>
      </w:r>
    </w:p>
    <w:p w14:paraId="66CE2387" w14:textId="77777777" w:rsidR="006C4368" w:rsidRPr="007119D6" w:rsidRDefault="006C4368" w:rsidP="006C4368">
      <w:pPr>
        <w:pStyle w:val="a8"/>
        <w:bidi/>
        <w:rPr>
          <w:rFonts w:ascii="Narkisim" w:hAnsi="Narkisim"/>
        </w:rPr>
      </w:pPr>
      <w:r w:rsidRPr="007119D6">
        <w:rPr>
          <w:rFonts w:ascii="Narkisim" w:hAnsi="Narkisim"/>
          <w:rtl/>
        </w:rPr>
        <w:t>וכמ"ש ה</w:t>
      </w:r>
      <w:r w:rsidRPr="007119D6">
        <w:rPr>
          <w:rFonts w:ascii="Narkisim" w:hAnsi="Narkisim"/>
          <w:b/>
          <w:bCs/>
          <w:rtl/>
        </w:rPr>
        <w:t>נמוק"י</w:t>
      </w:r>
      <w:r w:rsidRPr="007119D6">
        <w:rPr>
          <w:rFonts w:ascii="Narkisim" w:hAnsi="Narkisim"/>
          <w:rtl/>
        </w:rPr>
        <w:t xml:space="preserve"> (סנהדרין שם ה: בדה"ר) דסברת אביי דפסול משום דרשע הוא, ורחמנא פסליה לעדות. אבל בעלמא בשאר איסורים דלא שייך עדות דאפי' עד א' כשר בהם ואפי' אשה ליכא לפסול פסולים בעבירה</w:t>
      </w:r>
      <w:r w:rsidRPr="007119D6">
        <w:rPr>
          <w:rStyle w:val="ac"/>
          <w:rFonts w:ascii="Narkisim" w:hAnsi="Narkisim"/>
          <w:rtl/>
        </w:rPr>
        <w:footnoteReference w:id="8522"/>
      </w:r>
      <w:r w:rsidRPr="007119D6">
        <w:rPr>
          <w:rFonts w:ascii="Narkisim" w:hAnsi="Narkisim"/>
          <w:rtl/>
        </w:rPr>
        <w:t>.</w:t>
      </w:r>
    </w:p>
    <w:p w14:paraId="0D35D2EE" w14:textId="77777777" w:rsidR="006C4368" w:rsidRPr="007119D6" w:rsidRDefault="006C4368" w:rsidP="006C4368">
      <w:pPr>
        <w:pStyle w:val="a7"/>
        <w:bidi/>
        <w:rPr>
          <w:rFonts w:ascii="Narkisim" w:hAnsi="Narkisim"/>
        </w:rPr>
      </w:pPr>
      <w:r w:rsidRPr="007119D6">
        <w:rPr>
          <w:rFonts w:ascii="Narkisim" w:hAnsi="Narkisim"/>
          <w:rtl/>
        </w:rPr>
        <w:t>אבל ה</w:t>
      </w:r>
      <w:r w:rsidRPr="007119D6">
        <w:rPr>
          <w:rFonts w:ascii="Narkisim" w:hAnsi="Narkisim"/>
          <w:b/>
          <w:bCs/>
          <w:rtl/>
        </w:rPr>
        <w:t>קהלת יעקב</w:t>
      </w:r>
      <w:r w:rsidRPr="007119D6">
        <w:rPr>
          <w:rFonts w:ascii="Narkisim" w:hAnsi="Narkisim"/>
          <w:rtl/>
        </w:rPr>
        <w:t xml:space="preserve"> (יז ג, הו' בפתח"ת יח) הביא דמשמעות ה</w:t>
      </w:r>
      <w:r w:rsidRPr="007119D6">
        <w:rPr>
          <w:rFonts w:ascii="Narkisim" w:hAnsi="Narkisim"/>
          <w:b/>
          <w:bCs/>
          <w:rtl/>
        </w:rPr>
        <w:t>פוסקים</w:t>
      </w:r>
      <w:r w:rsidRPr="007119D6">
        <w:rPr>
          <w:rFonts w:ascii="Narkisim" w:hAnsi="Narkisim"/>
          <w:rtl/>
        </w:rPr>
        <w:t xml:space="preserve"> דכל מי שפסול לעדות מחמת עבירה פסול לעדות אשה. ותמה דהפוסקים לא הביאו דברי הנמוק"י. וכן ה</w:t>
      </w:r>
      <w:r w:rsidRPr="007119D6">
        <w:rPr>
          <w:rFonts w:ascii="Narkisim" w:hAnsi="Narkisim"/>
          <w:b/>
          <w:bCs/>
          <w:rtl/>
        </w:rPr>
        <w:t>מנח"ח</w:t>
      </w:r>
      <w:r w:rsidRPr="007119D6">
        <w:rPr>
          <w:rFonts w:ascii="Narkisim" w:hAnsi="Narkisim"/>
          <w:rtl/>
        </w:rPr>
        <w:t xml:space="preserve"> (לז טו) האריך דה</w:t>
      </w:r>
      <w:r w:rsidRPr="007119D6">
        <w:rPr>
          <w:rFonts w:ascii="Narkisim" w:hAnsi="Narkisim"/>
          <w:b/>
          <w:bCs/>
          <w:rtl/>
        </w:rPr>
        <w:t>רמב”ם</w:t>
      </w:r>
      <w:r w:rsidRPr="007119D6">
        <w:rPr>
          <w:rFonts w:ascii="Narkisim" w:hAnsi="Narkisim"/>
          <w:rtl/>
        </w:rPr>
        <w:t xml:space="preserve"> ו</w:t>
      </w:r>
      <w:r w:rsidRPr="007119D6">
        <w:rPr>
          <w:rFonts w:ascii="Narkisim" w:hAnsi="Narkisim"/>
          <w:b/>
          <w:bCs/>
          <w:rtl/>
        </w:rPr>
        <w:t>שו”ע</w:t>
      </w:r>
      <w:r w:rsidRPr="007119D6">
        <w:rPr>
          <w:rFonts w:ascii="Narkisim" w:hAnsi="Narkisim"/>
          <w:rtl/>
        </w:rPr>
        <w:t xml:space="preserve"> לא חילקו בזה, וכל הפסול מדאורייתא לעדות אינו נאמן אף לעדות אשה.</w:t>
      </w:r>
    </w:p>
    <w:p w14:paraId="64E9A29D" w14:textId="77777777" w:rsidR="006C4368" w:rsidRPr="007119D6" w:rsidRDefault="006C4368" w:rsidP="006C4368">
      <w:pPr>
        <w:pStyle w:val="a8"/>
        <w:bidi/>
        <w:rPr>
          <w:rFonts w:ascii="Narkisim" w:hAnsi="Narkisim"/>
        </w:rPr>
      </w:pPr>
      <w:r w:rsidRPr="007119D6">
        <w:rPr>
          <w:rFonts w:ascii="Narkisim" w:hAnsi="Narkisim"/>
          <w:rtl/>
        </w:rPr>
        <w:t>אך ה</w:t>
      </w:r>
      <w:r w:rsidRPr="007119D6">
        <w:rPr>
          <w:rFonts w:ascii="Narkisim" w:hAnsi="Narkisim"/>
          <w:b/>
          <w:bCs/>
          <w:rtl/>
        </w:rPr>
        <w:t>מנח”ח</w:t>
      </w:r>
      <w:r w:rsidRPr="007119D6">
        <w:rPr>
          <w:rFonts w:ascii="Narkisim" w:hAnsi="Narkisim"/>
          <w:rtl/>
        </w:rPr>
        <w:t xml:space="preserve"> הק' מ"ט באמת פסולים, דהא אשה וקרוב נאמנים ול"צ עד כשר. א"כ מ"ש דרשע פסול [היכא דאינו רשע דחמס]. ותי' אשה או קרובים הקילו מדרבנן</w:t>
      </w:r>
      <w:r w:rsidRPr="007119D6">
        <w:rPr>
          <w:rStyle w:val="ac"/>
          <w:rFonts w:ascii="Narkisim" w:hAnsi="Narkisim"/>
          <w:rtl/>
        </w:rPr>
        <w:footnoteReference w:id="8523"/>
      </w:r>
      <w:r w:rsidRPr="007119D6">
        <w:rPr>
          <w:rFonts w:ascii="Narkisim" w:hAnsi="Narkisim"/>
          <w:rtl/>
        </w:rPr>
        <w:t>. אבל עד שהוא פסול גרע, דיש בו פסול. ובזה אוקמא אדין תורה</w:t>
      </w:r>
      <w:r w:rsidRPr="007119D6">
        <w:rPr>
          <w:rStyle w:val="ac"/>
          <w:rFonts w:ascii="Narkisim" w:hAnsi="Narkisim"/>
          <w:rtl/>
        </w:rPr>
        <w:footnoteReference w:id="8524"/>
      </w:r>
      <w:r w:rsidRPr="007119D6">
        <w:rPr>
          <w:rFonts w:ascii="Narkisim" w:hAnsi="Narkisim"/>
          <w:rtl/>
        </w:rPr>
        <w:t>.</w:t>
      </w:r>
    </w:p>
    <w:p w14:paraId="72105D0A" w14:textId="77777777" w:rsidR="006C4368" w:rsidRPr="007119D6" w:rsidRDefault="006C4368" w:rsidP="006C4368">
      <w:pPr>
        <w:pStyle w:val="aa"/>
        <w:bidi/>
        <w:rPr>
          <w:rFonts w:ascii="Narkisim" w:hAnsi="Narkisim"/>
        </w:rPr>
      </w:pPr>
      <w:r w:rsidRPr="007119D6">
        <w:rPr>
          <w:rFonts w:ascii="Narkisim" w:hAnsi="Narkisim"/>
          <w:rtl/>
        </w:rPr>
        <w:t>ועוד דנו ה</w:t>
      </w:r>
      <w:r w:rsidRPr="007119D6">
        <w:rPr>
          <w:rFonts w:ascii="Narkisim" w:hAnsi="Narkisim"/>
          <w:b/>
          <w:bCs/>
          <w:rtl/>
        </w:rPr>
        <w:t>פוסקים</w:t>
      </w:r>
      <w:r w:rsidRPr="007119D6">
        <w:rPr>
          <w:rFonts w:ascii="Narkisim" w:hAnsi="Narkisim"/>
          <w:rtl/>
        </w:rPr>
        <w:t xml:space="preserve"> בחשוד על העריות, דמבואר (סנהדרין כו:, חו"מ לד כה) דכשר לשאר עדות, אבל חשוד לעדות אשה. פ</w:t>
      </w:r>
      <w:r w:rsidRPr="007119D6">
        <w:rPr>
          <w:rFonts w:ascii="Narkisim" w:hAnsi="Narkisim"/>
          <w:b/>
          <w:bCs/>
          <w:rtl/>
        </w:rPr>
        <w:t>רש"י</w:t>
      </w:r>
      <w:r w:rsidRPr="007119D6">
        <w:rPr>
          <w:rFonts w:ascii="Narkisim" w:hAnsi="Narkisim"/>
          <w:rtl/>
        </w:rPr>
        <w:t xml:space="preserve"> לומר שמת בעלה או גירשה. אבל ה</w:t>
      </w:r>
      <w:r w:rsidRPr="007119D6">
        <w:rPr>
          <w:rFonts w:ascii="Narkisim" w:hAnsi="Narkisim"/>
          <w:b/>
          <w:bCs/>
          <w:rtl/>
        </w:rPr>
        <w:t>חלק"מ</w:t>
      </w:r>
      <w:r w:rsidRPr="007119D6">
        <w:rPr>
          <w:rFonts w:ascii="Narkisim" w:hAnsi="Narkisim"/>
          <w:rtl/>
        </w:rPr>
        <w:t xml:space="preserve"> (מב טו) כת' דנאמן להעיד מיתת הבעל, דלא גרע מעבד ושפחה. וע"ע פתח"ת (יז מ).</w:t>
      </w:r>
    </w:p>
    <w:p w14:paraId="78CE3A12" w14:textId="77777777" w:rsidR="006C4368" w:rsidRPr="007119D6" w:rsidRDefault="006C4368" w:rsidP="006C4368">
      <w:pPr>
        <w:bidi/>
        <w:rPr>
          <w:rFonts w:ascii="Narkisim" w:hAnsi="Narkisim" w:cs="Narkisim"/>
        </w:rPr>
      </w:pPr>
      <w:r w:rsidRPr="007119D6">
        <w:rPr>
          <w:rFonts w:ascii="Narkisim" w:hAnsi="Narkisim" w:cs="Narkisim"/>
          <w:u w:val="single"/>
          <w:rtl/>
        </w:rPr>
        <w:t>שם. עבד</w:t>
      </w:r>
      <w:r w:rsidRPr="007119D6">
        <w:rPr>
          <w:rFonts w:ascii="Narkisim" w:hAnsi="Narkisim" w:cs="Narkisim"/>
          <w:rtl/>
        </w:rPr>
        <w:t>. ה</w:t>
      </w:r>
      <w:r w:rsidRPr="007119D6">
        <w:rPr>
          <w:rFonts w:ascii="Narkisim" w:hAnsi="Narkisim" w:cs="Narkisim"/>
          <w:b/>
          <w:bCs/>
          <w:rtl/>
        </w:rPr>
        <w:t>חלק"מ</w:t>
      </w:r>
      <w:r w:rsidRPr="007119D6">
        <w:rPr>
          <w:rFonts w:ascii="Narkisim" w:hAnsi="Narkisim" w:cs="Narkisim"/>
          <w:rtl/>
        </w:rPr>
        <w:t xml:space="preserve"> (יז ט) הק' דסתם עבדים פרוצים בעבירות, וכדאי' (קידושין יא., ורמב"ם מכירה טו יג) דעבד שנמצא גנב או קוביוסטוס הגיעו, דרובן הכי איתנהו</w:t>
      </w:r>
      <w:r w:rsidRPr="007119D6">
        <w:rPr>
          <w:rStyle w:val="ac"/>
          <w:rFonts w:ascii="Narkisim" w:hAnsi="Narkisim" w:cs="Narkisim"/>
          <w:rtl/>
        </w:rPr>
        <w:footnoteReference w:id="8525"/>
      </w:r>
      <w:r w:rsidRPr="007119D6">
        <w:rPr>
          <w:rFonts w:ascii="Narkisim" w:hAnsi="Narkisim" w:cs="Narkisim"/>
          <w:rtl/>
        </w:rPr>
        <w:t>. א"כ אף לעדות אשה נימא דהוא רשע ופסול [וחשוד לשקר]. וה</w:t>
      </w:r>
      <w:r w:rsidRPr="007119D6">
        <w:rPr>
          <w:rFonts w:ascii="Narkisim" w:hAnsi="Narkisim" w:cs="Narkisim"/>
          <w:b/>
          <w:bCs/>
          <w:rtl/>
        </w:rPr>
        <w:t>ב"ח</w:t>
      </w:r>
      <w:r w:rsidRPr="007119D6">
        <w:rPr>
          <w:rFonts w:ascii="Narkisim" w:hAnsi="Narkisim" w:cs="Narkisim"/>
          <w:rtl/>
        </w:rPr>
        <w:t xml:space="preserve"> ו</w:t>
      </w:r>
      <w:r w:rsidRPr="007119D6">
        <w:rPr>
          <w:rFonts w:ascii="Narkisim" w:hAnsi="Narkisim" w:cs="Narkisim"/>
          <w:b/>
          <w:bCs/>
          <w:rtl/>
        </w:rPr>
        <w:t>בי"ש</w:t>
      </w:r>
      <w:r w:rsidRPr="007119D6">
        <w:rPr>
          <w:rFonts w:ascii="Narkisim" w:hAnsi="Narkisim" w:cs="Narkisim"/>
          <w:rtl/>
        </w:rPr>
        <w:t xml:space="preserve"> (שם י) תי' דאיירי בידוע שעבד זה כשר.</w:t>
      </w:r>
    </w:p>
    <w:p w14:paraId="1A96C50B"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חלק"מ</w:t>
      </w:r>
      <w:r w:rsidRPr="007119D6">
        <w:rPr>
          <w:rFonts w:ascii="Narkisim" w:hAnsi="Narkisim"/>
          <w:rtl/>
        </w:rPr>
        <w:t xml:space="preserve"> תי' ואפשר דישראל בעל עבירה גרע מעבד.</w:t>
      </w:r>
    </w:p>
    <w:p w14:paraId="2511FE41"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(יג) תי' דכל שלא ראינו אותו גונב הוה חזקה בעלמא, ומש"ה אינו פסול </w:t>
      </w:r>
      <w:r w:rsidRPr="007119D6">
        <w:rPr>
          <w:rFonts w:ascii="Narkisim" w:hAnsi="Narkisim"/>
          <w:rtl/>
        </w:rPr>
        <w:lastRenderedPageBreak/>
        <w:t>לעדות מדאורייתא [אלא מדרבנן]. והפסולים בעבירה מדרבנן כשרים לעדות אשה. וה</w:t>
      </w:r>
      <w:r w:rsidRPr="007119D6">
        <w:rPr>
          <w:rFonts w:ascii="Narkisim" w:hAnsi="Narkisim"/>
          <w:b/>
          <w:bCs/>
          <w:rtl/>
        </w:rPr>
        <w:t>קה"י</w:t>
      </w:r>
      <w:r w:rsidRPr="007119D6">
        <w:rPr>
          <w:rFonts w:ascii="Narkisim" w:hAnsi="Narkisim"/>
          <w:rtl/>
        </w:rPr>
        <w:t xml:space="preserve"> (מו ד) תי' דרוב עבדים מוכנים ועומדים לגנוב לכשיתרמי בידם. ומש”ה צריכים שמירה [ולא הוה מקח טעות]. אך מ"מ רובם לא גנבו עדיין [מחמת שלא הזדמן להם]. אבל אינו נפסל לעדות אא"כ גזל ממש.</w:t>
      </w:r>
    </w:p>
    <w:p w14:paraId="3E53D37D"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רי"ף</w:t>
      </w:r>
      <w:r w:rsidRPr="007119D6">
        <w:rPr>
          <w:rFonts w:ascii="Narkisim" w:hAnsi="Narkisim" w:cs="Narkisim"/>
          <w:rtl/>
        </w:rPr>
        <w:t xml:space="preserve"> (מו: בדה"ס) כת' דמסתבר דאף הפסול מדאורייתא היכא דהוה מסל"ת מהני, דלא גרע מעכו"ם. וכ"פ ה</w:t>
      </w:r>
      <w:r w:rsidRPr="007119D6">
        <w:rPr>
          <w:rFonts w:ascii="Narkisim" w:hAnsi="Narkisim" w:cs="Narkisim"/>
          <w:b/>
          <w:bCs/>
          <w:rtl/>
        </w:rPr>
        <w:t>רמב"ם</w:t>
      </w:r>
      <w:r w:rsidRPr="007119D6">
        <w:rPr>
          <w:rFonts w:ascii="Narkisim" w:hAnsi="Narkisim" w:cs="Narkisim"/>
          <w:rtl/>
        </w:rPr>
        <w:t xml:space="preserve"> (יב יז, ושו”ע יז ג). וב</w:t>
      </w:r>
      <w:r w:rsidRPr="007119D6">
        <w:rPr>
          <w:rFonts w:ascii="Narkisim" w:hAnsi="Narkisim" w:cs="Narkisim"/>
          <w:b/>
          <w:bCs/>
          <w:rtl/>
        </w:rPr>
        <w:t>שו"ת הרי"ד</w:t>
      </w:r>
      <w:r w:rsidRPr="007119D6">
        <w:rPr>
          <w:rFonts w:ascii="Narkisim" w:hAnsi="Narkisim" w:cs="Narkisim"/>
          <w:rtl/>
        </w:rPr>
        <w:t xml:space="preserve"> (נז) חלק דדוקא עכו"ם דלאו בר עדות הוא, ובמסל"ת האמינו. אבל ישראל הוה בר עדות, וכל מה שאומר חשבינן ליה בתורת עדות. וכיון שהוא פסול לעדות אינו נאמן. והוסיף דישראל רשע יודע שאשתו יושבת עגונה, ובודאי כוונתו להתיר</w:t>
      </w:r>
      <w:r w:rsidRPr="007119D6">
        <w:rPr>
          <w:rStyle w:val="ac"/>
          <w:rFonts w:ascii="Narkisim" w:hAnsi="Narkisim" w:cs="Narkisim"/>
          <w:rtl/>
        </w:rPr>
        <w:footnoteReference w:id="8526"/>
      </w:r>
      <w:r w:rsidRPr="007119D6">
        <w:rPr>
          <w:rFonts w:ascii="Narkisim" w:hAnsi="Narkisim" w:cs="Narkisim"/>
          <w:rtl/>
        </w:rPr>
        <w:t xml:space="preserve">. </w:t>
      </w:r>
      <w:r w:rsidRPr="007119D6">
        <w:rPr>
          <w:rFonts w:ascii="Narkisim" w:hAnsi="Narkisim" w:cs="Narkisim"/>
          <w:szCs w:val="20"/>
          <w:rtl/>
        </w:rPr>
        <w:t>[וע"ע ריטב"א ומאירי, וב</w:t>
      </w:r>
      <w:r w:rsidRPr="007119D6">
        <w:rPr>
          <w:rFonts w:ascii="Narkisim" w:hAnsi="Narkisim" w:cs="Narkisim"/>
          <w:b/>
          <w:bCs/>
          <w:szCs w:val="20"/>
          <w:rtl/>
        </w:rPr>
        <w:t>שו"ת הר"ן</w:t>
      </w:r>
      <w:r w:rsidRPr="007119D6">
        <w:rPr>
          <w:rFonts w:ascii="Narkisim" w:hAnsi="Narkisim" w:cs="Narkisim"/>
          <w:szCs w:val="20"/>
          <w:rtl/>
        </w:rPr>
        <w:t xml:space="preserve"> (ג) הביא בזה מח']</w:t>
      </w:r>
      <w:r w:rsidRPr="007119D6">
        <w:rPr>
          <w:rFonts w:ascii="Narkisim" w:hAnsi="Narkisim" w:cs="Narkisim"/>
          <w:rtl/>
        </w:rPr>
        <w:t>.</w:t>
      </w:r>
    </w:p>
    <w:p w14:paraId="30E52E04"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ראבי"ה</w:t>
      </w:r>
      <w:r w:rsidRPr="007119D6">
        <w:rPr>
          <w:rFonts w:ascii="Narkisim" w:hAnsi="Narkisim"/>
          <w:rtl/>
        </w:rPr>
        <w:t xml:space="preserve"> (הו' באו"ז תרצז) דן דכיון דיודע בטיב ישראל, דילמא אערומי מערים וכוונתו להעיד. ורפיא בידיה</w:t>
      </w:r>
      <w:r w:rsidRPr="007119D6">
        <w:rPr>
          <w:rStyle w:val="ac"/>
          <w:rFonts w:ascii="Narkisim" w:hAnsi="Narkisim"/>
          <w:rtl/>
        </w:rPr>
        <w:footnoteReference w:id="8527"/>
      </w:r>
      <w:r w:rsidRPr="007119D6">
        <w:rPr>
          <w:rFonts w:ascii="Narkisim" w:hAnsi="Narkisim"/>
          <w:rtl/>
        </w:rPr>
        <w:t>. וב</w:t>
      </w:r>
      <w:r w:rsidRPr="007119D6">
        <w:rPr>
          <w:rFonts w:ascii="Narkisim" w:hAnsi="Narkisim"/>
          <w:b/>
          <w:bCs/>
          <w:rtl/>
        </w:rPr>
        <w:t>מהר"ח או"ז</w:t>
      </w:r>
      <w:r w:rsidRPr="007119D6">
        <w:rPr>
          <w:rFonts w:ascii="Narkisim" w:hAnsi="Narkisim"/>
          <w:rtl/>
        </w:rPr>
        <w:t xml:space="preserve"> (צא) הביא דאביו כת' (הל' יו"ט שלב) בשם </w:t>
      </w:r>
      <w:r w:rsidRPr="007119D6">
        <w:rPr>
          <w:rFonts w:ascii="Narkisim" w:hAnsi="Narkisim"/>
          <w:b/>
          <w:bCs/>
          <w:rtl/>
        </w:rPr>
        <w:t>ראבי"ה</w:t>
      </w:r>
      <w:r w:rsidRPr="007119D6">
        <w:rPr>
          <w:rFonts w:ascii="Narkisim" w:hAnsi="Narkisim"/>
          <w:rtl/>
        </w:rPr>
        <w:t xml:space="preserve"> דעכו"ם מסל"ת נאמן דוקא במקום שאינו יודע טיב ישראל. וביאר דעכו"ם חשוד לקלקל</w:t>
      </w:r>
      <w:r w:rsidRPr="007119D6">
        <w:rPr>
          <w:rStyle w:val="ac"/>
          <w:rFonts w:ascii="Narkisim" w:hAnsi="Narkisim"/>
          <w:rtl/>
        </w:rPr>
        <w:footnoteReference w:id="8528"/>
      </w:r>
      <w:r w:rsidRPr="007119D6">
        <w:rPr>
          <w:rFonts w:ascii="Narkisim" w:hAnsi="Narkisim"/>
          <w:rtl/>
        </w:rPr>
        <w:t>.</w:t>
      </w:r>
    </w:p>
    <w:p w14:paraId="63230D7E" w14:textId="77777777" w:rsidR="006C4368" w:rsidRPr="007119D6" w:rsidRDefault="006C4368" w:rsidP="006C4368">
      <w:pPr>
        <w:pStyle w:val="a7"/>
        <w:bidi/>
        <w:rPr>
          <w:rFonts w:ascii="Narkisim" w:hAnsi="Narkisim"/>
        </w:rPr>
      </w:pPr>
      <w:r w:rsidRPr="007119D6">
        <w:rPr>
          <w:rFonts w:ascii="Narkisim" w:hAnsi="Narkisim"/>
          <w:rtl/>
        </w:rPr>
        <w:t>אבל ב</w:t>
      </w:r>
      <w:r w:rsidRPr="007119D6">
        <w:rPr>
          <w:rFonts w:ascii="Narkisim" w:hAnsi="Narkisim"/>
          <w:b/>
          <w:bCs/>
          <w:rtl/>
        </w:rPr>
        <w:t>תשו' מיימוניות</w:t>
      </w:r>
      <w:r w:rsidRPr="007119D6">
        <w:rPr>
          <w:rFonts w:ascii="Narkisim" w:hAnsi="Narkisim"/>
          <w:rtl/>
        </w:rPr>
        <w:t xml:space="preserve"> (נשים ט, שו"ת מהר"ם מרוטנברג ליקוטים קנח, הו' בש”ש ז ט,י) כת' דעכו"ם מסל"ת לא חששו שמא כוונתו לקלקל</w:t>
      </w:r>
      <w:r w:rsidRPr="007119D6">
        <w:rPr>
          <w:rStyle w:val="ac"/>
          <w:rFonts w:ascii="Narkisim" w:hAnsi="Narkisim"/>
          <w:rtl/>
        </w:rPr>
        <w:footnoteReference w:id="8529"/>
      </w:r>
      <w:r w:rsidRPr="007119D6">
        <w:rPr>
          <w:rFonts w:ascii="Narkisim" w:hAnsi="Narkisim"/>
          <w:rtl/>
        </w:rPr>
        <w:t>, דמתוך חומר שהחמרת עליה בסופה הקלנו עליה בתחילתה משום עיגונא</w:t>
      </w:r>
      <w:r w:rsidRPr="007119D6">
        <w:rPr>
          <w:rStyle w:val="ac"/>
          <w:rFonts w:ascii="Narkisim" w:hAnsi="Narkisim"/>
          <w:rtl/>
        </w:rPr>
        <w:footnoteReference w:id="8530"/>
      </w:r>
      <w:r w:rsidRPr="007119D6">
        <w:rPr>
          <w:rFonts w:ascii="Narkisim" w:hAnsi="Narkisim"/>
          <w:rtl/>
        </w:rPr>
        <w:t>. והוכיח מדברי הרי"ף דאפי' מכיר דין ישראל מהני, דומיא דישראל רשע.</w:t>
      </w:r>
    </w:p>
    <w:p w14:paraId="52C983E6"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(יו"ד סט י) דנו בעכו"ם שיודע שדרך ישראל להדיח הבשר במליחה נאמן במסל"ת [דהוה איסור דרבנן]. וה</w:t>
      </w:r>
      <w:r w:rsidRPr="007119D6">
        <w:rPr>
          <w:rFonts w:ascii="Narkisim" w:hAnsi="Narkisim"/>
          <w:b/>
          <w:bCs/>
          <w:rtl/>
        </w:rPr>
        <w:t>ב"ח</w:t>
      </w:r>
      <w:r w:rsidRPr="007119D6">
        <w:rPr>
          <w:rFonts w:ascii="Narkisim" w:hAnsi="Narkisim"/>
          <w:rtl/>
        </w:rPr>
        <w:t xml:space="preserve"> וה</w:t>
      </w:r>
      <w:r w:rsidRPr="007119D6">
        <w:rPr>
          <w:rFonts w:ascii="Narkisim" w:hAnsi="Narkisim"/>
          <w:b/>
          <w:bCs/>
          <w:rtl/>
        </w:rPr>
        <w:t>פרישה</w:t>
      </w:r>
      <w:r w:rsidRPr="007119D6">
        <w:rPr>
          <w:rFonts w:ascii="Narkisim" w:hAnsi="Narkisim"/>
          <w:rtl/>
        </w:rPr>
        <w:t xml:space="preserve"> (י) כת' דכיון דיודע שדרך ישראל להדיחו לא הוה מסל"ת. וה</w:t>
      </w:r>
      <w:r w:rsidRPr="007119D6">
        <w:rPr>
          <w:rFonts w:ascii="Narkisim" w:hAnsi="Narkisim"/>
          <w:b/>
          <w:bCs/>
          <w:rtl/>
        </w:rPr>
        <w:t>ש"ך</w:t>
      </w:r>
      <w:r w:rsidRPr="007119D6">
        <w:rPr>
          <w:rFonts w:ascii="Narkisim" w:hAnsi="Narkisim"/>
          <w:rtl/>
        </w:rPr>
        <w:t xml:space="preserve"> (שם מג) דחה דאף דיודע מנהג ישראל, כיון דלא שאלו אותו עדיין נחשב מסל"ת</w:t>
      </w:r>
      <w:r w:rsidRPr="007119D6">
        <w:rPr>
          <w:rStyle w:val="ac"/>
          <w:rFonts w:ascii="Narkisim" w:hAnsi="Narkisim"/>
          <w:rtl/>
        </w:rPr>
        <w:footnoteReference w:id="8531"/>
      </w:r>
      <w:r w:rsidRPr="007119D6">
        <w:rPr>
          <w:rFonts w:ascii="Narkisim" w:hAnsi="Narkisim"/>
          <w:rtl/>
        </w:rPr>
        <w:t>. והביא דהא קי"ל דמומר נאמן לעדות אשה במסל"ת, ולא אמרינן דחזקתו משקר כיון שיודע שהאיסור והיתר תלוי בזה. [וקי"ל כרי"ף, ודלא כראבי”ה הנ”ל].</w:t>
      </w:r>
    </w:p>
    <w:p w14:paraId="17D5E254"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ט"ז</w:t>
      </w:r>
      <w:r w:rsidRPr="007119D6">
        <w:rPr>
          <w:rFonts w:ascii="Narkisim" w:hAnsi="Narkisim"/>
          <w:rtl/>
        </w:rPr>
        <w:t xml:space="preserve"> (שם כג בסו"ד) חילק דדוקא במסל"ת מתוך סיפור דברים מהני</w:t>
      </w:r>
      <w:r w:rsidRPr="007119D6">
        <w:rPr>
          <w:rStyle w:val="ac"/>
          <w:rFonts w:ascii="Narkisim" w:hAnsi="Narkisim"/>
          <w:rtl/>
        </w:rPr>
        <w:footnoteReference w:id="8532"/>
      </w:r>
      <w:r w:rsidRPr="007119D6">
        <w:rPr>
          <w:rFonts w:ascii="Narkisim" w:hAnsi="Narkisim"/>
          <w:rtl/>
        </w:rPr>
        <w:t>, ואף כשיודע בטיב ישראל. אבל כשבא לספר על בשר זה, כיון דיודע בטיב ישראל אין זה מסל"ת. וה</w:t>
      </w:r>
      <w:r w:rsidRPr="007119D6">
        <w:rPr>
          <w:rFonts w:ascii="Narkisim" w:hAnsi="Narkisim"/>
          <w:b/>
          <w:bCs/>
          <w:rtl/>
        </w:rPr>
        <w:t>מראות צובאות</w:t>
      </w:r>
      <w:r w:rsidRPr="007119D6">
        <w:rPr>
          <w:rFonts w:ascii="Narkisim" w:hAnsi="Narkisim"/>
          <w:rtl/>
        </w:rPr>
        <w:t xml:space="preserve"> (יז יד הב', הו' בפתח"ת כא) דן דעד”ז אף בסוגיין ישראל רשע מהני דוקא במסל"ת דע”י קישור דברים. ולא סגי במה שאינו שואלו.</w:t>
      </w:r>
    </w:p>
    <w:p w14:paraId="035866D8" w14:textId="77777777" w:rsidR="006C4368" w:rsidRPr="007119D6" w:rsidRDefault="006C4368" w:rsidP="006C4368">
      <w:pPr>
        <w:pStyle w:val="a8"/>
        <w:bidi/>
        <w:rPr>
          <w:rFonts w:ascii="Narkisim" w:hAnsi="Narkisim"/>
        </w:rPr>
      </w:pPr>
      <w:r w:rsidRPr="007119D6">
        <w:rPr>
          <w:rFonts w:ascii="Narkisim" w:hAnsi="Narkisim"/>
          <w:rtl/>
        </w:rPr>
        <w:t>אך ה</w:t>
      </w:r>
      <w:r w:rsidRPr="007119D6">
        <w:rPr>
          <w:rFonts w:ascii="Narkisim" w:hAnsi="Narkisim"/>
          <w:b/>
          <w:bCs/>
          <w:rtl/>
        </w:rPr>
        <w:t>ש"ש</w:t>
      </w:r>
      <w:r w:rsidRPr="007119D6">
        <w:rPr>
          <w:rFonts w:ascii="Narkisim" w:hAnsi="Narkisim"/>
          <w:rtl/>
        </w:rPr>
        <w:t xml:space="preserve"> (ז י) דייק מדברי מהר"ם מרוטנברג (הנ"ל) להיפך, דמדינא לא חשיב מסל"ת גמור היכא דמכיר בדיני ישראל. אלא בעדות אשה משום  עיגונא הקילו. ואילו בשאר איסור דרבנן ל"מ</w:t>
      </w:r>
      <w:r w:rsidRPr="007119D6">
        <w:rPr>
          <w:rStyle w:val="ac"/>
          <w:rFonts w:ascii="Narkisim" w:hAnsi="Narkisim"/>
          <w:rtl/>
        </w:rPr>
        <w:footnoteReference w:id="8533"/>
      </w:r>
      <w:r w:rsidRPr="007119D6">
        <w:rPr>
          <w:rFonts w:ascii="Narkisim" w:hAnsi="Narkisim"/>
          <w:rtl/>
        </w:rPr>
        <w:t>.</w:t>
      </w:r>
    </w:p>
    <w:p w14:paraId="716E1407" w14:textId="77777777" w:rsidR="006C4368" w:rsidRPr="007119D6" w:rsidRDefault="006C4368" w:rsidP="006C4368">
      <w:pPr>
        <w:pStyle w:val="aa"/>
        <w:bidi/>
        <w:rPr>
          <w:rFonts w:ascii="Narkisim" w:hAnsi="Narkisim"/>
        </w:rPr>
      </w:pPr>
      <w:r w:rsidRPr="007119D6">
        <w:rPr>
          <w:rFonts w:ascii="Narkisim" w:hAnsi="Narkisim"/>
          <w:u w:val="single"/>
          <w:rtl/>
        </w:rPr>
        <w:t>ומה נשים וכו' נאמנות להביא גיטה וכו'</w:t>
      </w:r>
      <w:r w:rsidRPr="007119D6">
        <w:rPr>
          <w:rFonts w:ascii="Narkisim" w:hAnsi="Narkisim"/>
          <w:rtl/>
        </w:rPr>
        <w:t>. וכדתנן (לעיל קיז.) שהכתב מוכיח. [וע"ע מש"כ לעיל שם].</w:t>
      </w:r>
    </w:p>
    <w:p w14:paraId="27034D27" w14:textId="77777777" w:rsidR="006C4368" w:rsidRPr="007119D6" w:rsidRDefault="006C4368" w:rsidP="006C4368">
      <w:pPr>
        <w:bidi/>
        <w:rPr>
          <w:rFonts w:ascii="Narkisim" w:hAnsi="Narkisim" w:cs="Narkisim"/>
        </w:rPr>
      </w:pPr>
      <w:r w:rsidRPr="007119D6">
        <w:rPr>
          <w:rFonts w:ascii="Narkisim" w:hAnsi="Narkisim" w:cs="Narkisim"/>
          <w:u w:val="single"/>
          <w:rtl/>
        </w:rPr>
        <w:t>ל"ק כאן קודם שהחזיקו וכו'</w:t>
      </w:r>
      <w:r w:rsidRPr="007119D6">
        <w:rPr>
          <w:rFonts w:ascii="Narkisim" w:hAnsi="Narkisim" w:cs="Narkisim"/>
          <w:rtl/>
        </w:rPr>
        <w:t>. בפשוטו משמע דר"ע בסיפא קאי לס"ד דאין משיאין ע"פ עד א'. וה</w:t>
      </w:r>
      <w:r w:rsidRPr="007119D6">
        <w:rPr>
          <w:rFonts w:ascii="Narkisim" w:hAnsi="Narkisim" w:cs="Narkisim"/>
          <w:b/>
          <w:bCs/>
          <w:rtl/>
        </w:rPr>
        <w:t>אחרונים</w:t>
      </w:r>
      <w:r w:rsidRPr="007119D6">
        <w:rPr>
          <w:rFonts w:ascii="Narkisim" w:hAnsi="Narkisim" w:cs="Narkisim"/>
          <w:rtl/>
        </w:rPr>
        <w:t xml:space="preserve"> הק' דמשמע במשנה דלר"ע משיאין ע"פ עד כשר, ודוקא ע"פ אשה אין משיאין. </w:t>
      </w:r>
      <w:r w:rsidRPr="007119D6">
        <w:rPr>
          <w:rFonts w:ascii="Narkisim" w:hAnsi="Narkisim" w:cs="Narkisim"/>
          <w:rtl/>
        </w:rPr>
        <w:lastRenderedPageBreak/>
        <w:t>וה</w:t>
      </w:r>
      <w:r w:rsidRPr="007119D6">
        <w:rPr>
          <w:rFonts w:ascii="Narkisim" w:hAnsi="Narkisim" w:cs="Narkisim"/>
          <w:b/>
          <w:bCs/>
          <w:rtl/>
        </w:rPr>
        <w:t>ערול"נ</w:t>
      </w:r>
      <w:r w:rsidRPr="007119D6">
        <w:rPr>
          <w:rFonts w:ascii="Narkisim" w:hAnsi="Narkisim" w:cs="Narkisim"/>
          <w:rtl/>
        </w:rPr>
        <w:t xml:space="preserve"> כת' דצ"ל דהיו ב' חזרות, ובתחילה קיבל דברי נחמיה דמהני עד א', ואח”כ חזר בו ג”כ מאשה.</w:t>
      </w:r>
    </w:p>
    <w:p w14:paraId="44B38757" w14:textId="77777777" w:rsidR="006C4368" w:rsidRPr="007119D6" w:rsidRDefault="006C4368" w:rsidP="006C4368">
      <w:pPr>
        <w:bidi/>
        <w:rPr>
          <w:rFonts w:ascii="Narkisim" w:hAnsi="Narkisim" w:cs="Narkisim"/>
        </w:rPr>
      </w:pPr>
      <w:r w:rsidRPr="007119D6">
        <w:rPr>
          <w:rFonts w:ascii="Narkisim" w:hAnsi="Narkisim" w:cs="Narkisim"/>
          <w:u w:val="single"/>
          <w:rtl/>
        </w:rPr>
        <w:t>א"ל לכשתהא כפונדקית וכו' הוציאה להם מקלו ותרמילו וכו'</w:t>
      </w:r>
      <w:r w:rsidRPr="007119D6">
        <w:rPr>
          <w:rFonts w:ascii="Narkisim" w:hAnsi="Narkisim" w:cs="Narkisim"/>
          <w:rtl/>
        </w:rPr>
        <w:t xml:space="preserve">. </w:t>
      </w:r>
      <w:r w:rsidRPr="007119D6">
        <w:rPr>
          <w:rFonts w:ascii="Narkisim" w:hAnsi="Narkisim" w:cs="Narkisim"/>
          <w:b/>
          <w:bCs/>
          <w:rtl/>
        </w:rPr>
        <w:t>רש"י</w:t>
      </w:r>
      <w:r w:rsidRPr="007119D6">
        <w:rPr>
          <w:rFonts w:ascii="Narkisim" w:hAnsi="Narkisim" w:cs="Narkisim"/>
          <w:rtl/>
        </w:rPr>
        <w:t xml:space="preserve"> בפי' הא' כת' דעי"ז הוה מסל"ת, ואף ר"ע מודה דעכו"ם מסל"ת מהני</w:t>
      </w:r>
      <w:r w:rsidRPr="007119D6">
        <w:rPr>
          <w:rStyle w:val="ac"/>
          <w:rFonts w:ascii="Narkisim" w:hAnsi="Narkisim" w:cs="Narkisim"/>
          <w:rtl/>
        </w:rPr>
        <w:footnoteReference w:id="8534"/>
      </w:r>
      <w:r w:rsidRPr="007119D6">
        <w:rPr>
          <w:rFonts w:ascii="Narkisim" w:hAnsi="Narkisim" w:cs="Narkisim"/>
          <w:rtl/>
        </w:rPr>
        <w:t xml:space="preserve"> [וע"ע בגמ' בסמוך]. ובס"א [בסוגריים ברש"י] פי' דהיה צירוף סימנים. ואשה לחוד לא מהני [אלא עד כשר], אלא בצירוף סימנים. </w:t>
      </w:r>
      <w:r w:rsidRPr="007119D6">
        <w:rPr>
          <w:rFonts w:ascii="Narkisim" w:hAnsi="Narkisim" w:cs="Narkisim"/>
          <w:szCs w:val="20"/>
          <w:rtl/>
        </w:rPr>
        <w:t>וע"ע תוס' (בע"ב) ומש"כ שם.</w:t>
      </w:r>
    </w:p>
    <w:p w14:paraId="365BFAF5" w14:textId="77777777" w:rsidR="006C4368" w:rsidRPr="007119D6" w:rsidRDefault="006C4368" w:rsidP="006C4368">
      <w:pPr>
        <w:bidi/>
        <w:rPr>
          <w:rFonts w:ascii="Narkisim" w:hAnsi="Narkisim" w:cs="Narkisim"/>
        </w:rPr>
      </w:pPr>
      <w:r w:rsidRPr="007119D6">
        <w:rPr>
          <w:rFonts w:ascii="Narkisim" w:hAnsi="Narkisim" w:cs="Narkisim"/>
          <w:rtl/>
        </w:rPr>
        <w:t>ה</w:t>
      </w:r>
      <w:r w:rsidRPr="007119D6">
        <w:rPr>
          <w:rFonts w:ascii="Narkisim" w:hAnsi="Narkisim" w:cs="Narkisim"/>
          <w:b/>
          <w:bCs/>
          <w:rtl/>
        </w:rPr>
        <w:t>מהרי”ק</w:t>
      </w:r>
      <w:r w:rsidRPr="007119D6">
        <w:rPr>
          <w:rFonts w:ascii="Narkisim" w:hAnsi="Narkisim" w:cs="Narkisim"/>
          <w:rtl/>
        </w:rPr>
        <w:t xml:space="preserve"> </w:t>
      </w:r>
      <w:r w:rsidRPr="007119D6">
        <w:rPr>
          <w:rFonts w:ascii="Narkisim" w:hAnsi="Narkisim" w:cs="Narkisim"/>
          <w:szCs w:val="20"/>
          <w:rtl/>
        </w:rPr>
        <w:t>(קכא, והו' בגר”א יז סו)</w:t>
      </w:r>
      <w:r w:rsidRPr="007119D6">
        <w:rPr>
          <w:rFonts w:ascii="Narkisim" w:hAnsi="Narkisim" w:cs="Narkisim"/>
          <w:rtl/>
        </w:rPr>
        <w:t xml:space="preserve"> הביא דמבואר בסוגיין דעכו"ם מסל"ת עדיף מעד א', דבגמ' (בע"ב) מבואר דפונדקית עכו"ם היתה. ואף דר' עקיבא ס"ל דאשה ועבד אינו נאמן, מודו דמהני עכו"ם מסל"ת. [וע"פ הפי' הא' ברש"י].</w:t>
      </w:r>
    </w:p>
    <w:p w14:paraId="01B7677E" w14:textId="77777777" w:rsidR="006C4368" w:rsidRPr="007119D6" w:rsidRDefault="006C4368" w:rsidP="006C4368">
      <w:pPr>
        <w:pStyle w:val="a7"/>
        <w:bidi/>
        <w:rPr>
          <w:rFonts w:ascii="Narkisim" w:hAnsi="Narkisim"/>
        </w:rPr>
      </w:pPr>
      <w:r w:rsidRPr="007119D6">
        <w:rPr>
          <w:rFonts w:ascii="Narkisim" w:hAnsi="Narkisim"/>
          <w:rtl/>
        </w:rPr>
        <w:t>והמהרי"ק הביא מכאן דמהני עכו"ם מסל"ת מפי גוי מסל"ת, מק"ו מהא דמהני עד מפי עד ושמע מפי הנשים.</w:t>
      </w:r>
    </w:p>
    <w:p w14:paraId="740A021F" w14:textId="77777777" w:rsidR="006C4368" w:rsidRPr="007119D6" w:rsidRDefault="006C4368" w:rsidP="006C4368">
      <w:pPr>
        <w:pStyle w:val="a7"/>
        <w:bidi/>
        <w:rPr>
          <w:rFonts w:ascii="Narkisim" w:hAnsi="Narkisim"/>
        </w:rPr>
      </w:pPr>
      <w:r w:rsidRPr="007119D6">
        <w:rPr>
          <w:rFonts w:ascii="Narkisim" w:hAnsi="Narkisim"/>
          <w:rtl/>
        </w:rPr>
        <w:t>והמהרי"ק העלה צד דרבנן פליגי בזה, דהביאו ראיה משום דס"ל דעד א' עדיף מעכו"ם מסל"ת. אך הביא דמשמע מדברי רש"י דרבנן [שהוכיחו] ס"ל דלא הוה מסל"ת</w:t>
      </w:r>
      <w:r w:rsidRPr="007119D6">
        <w:rPr>
          <w:rStyle w:val="ac"/>
          <w:rFonts w:ascii="Narkisim" w:hAnsi="Narkisim"/>
          <w:rtl/>
        </w:rPr>
        <w:footnoteReference w:id="8535"/>
      </w:r>
      <w:r w:rsidRPr="007119D6">
        <w:rPr>
          <w:rFonts w:ascii="Narkisim" w:hAnsi="Narkisim"/>
          <w:rtl/>
        </w:rPr>
        <w:t xml:space="preserve">. </w:t>
      </w:r>
      <w:r w:rsidRPr="007119D6">
        <w:rPr>
          <w:rFonts w:ascii="Narkisim" w:hAnsi="Narkisim"/>
          <w:szCs w:val="20"/>
          <w:rtl/>
        </w:rPr>
        <w:t>ואם איתא דנח' בסברא זו, האם עדות אשה שמתכוונת להעיד גרע או עדיף מעכו"ם מסל"ת. א"כ לא היה לר' עקיבא להשיב לכשימצא הדבר אמת וכו'</w:t>
      </w:r>
      <w:r w:rsidRPr="007119D6">
        <w:rPr>
          <w:rStyle w:val="ac"/>
          <w:rFonts w:ascii="Narkisim" w:hAnsi="Narkisim"/>
          <w:szCs w:val="20"/>
          <w:rtl/>
        </w:rPr>
        <w:footnoteReference w:id="8536"/>
      </w:r>
      <w:r w:rsidRPr="007119D6">
        <w:rPr>
          <w:rFonts w:ascii="Narkisim" w:hAnsi="Narkisim"/>
          <w:szCs w:val="20"/>
          <w:rtl/>
        </w:rPr>
        <w:t>. אלא דנח' אי נחשב מסל"ת</w:t>
      </w:r>
      <w:r w:rsidRPr="007119D6">
        <w:rPr>
          <w:rFonts w:ascii="Narkisim" w:hAnsi="Narkisim"/>
          <w:rtl/>
        </w:rPr>
        <w:t>.</w:t>
      </w:r>
    </w:p>
    <w:p w14:paraId="3F0045B1" w14:textId="77777777" w:rsidR="006C4368" w:rsidRPr="007119D6" w:rsidRDefault="006C4368" w:rsidP="006C4368">
      <w:pPr>
        <w:pStyle w:val="a7"/>
        <w:bidi/>
        <w:rPr>
          <w:rFonts w:ascii="Narkisim" w:hAnsi="Narkisim"/>
        </w:rPr>
      </w:pPr>
      <w:r w:rsidRPr="007119D6">
        <w:rPr>
          <w:rFonts w:ascii="Narkisim" w:hAnsi="Narkisim"/>
          <w:rtl/>
        </w:rPr>
        <w:t>אך צ"ב דאי לא הוה מסל"ת [לרבנן] האיך העכו"ם נאמן. וה</w:t>
      </w:r>
      <w:r w:rsidRPr="007119D6">
        <w:rPr>
          <w:rFonts w:ascii="Narkisim" w:hAnsi="Narkisim"/>
          <w:b/>
          <w:bCs/>
          <w:rtl/>
        </w:rPr>
        <w:t>גר"א</w:t>
      </w:r>
      <w:r w:rsidRPr="007119D6">
        <w:rPr>
          <w:rFonts w:ascii="Narkisim" w:hAnsi="Narkisim"/>
          <w:rtl/>
        </w:rPr>
        <w:t xml:space="preserve"> (יז סו) ביאר דרבנן ס"ל כרבנן דר"י בן בבא [ובמשנה (קכא:) לדעת ת”ק אף עכו"ם נאמן אפי' מתכוין. ור”י בן בבא פליג דדוקא אינו מתכוין ומסל"ת].</w:t>
      </w:r>
    </w:p>
    <w:p w14:paraId="087E6D66"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צמח צדק</w:t>
      </w:r>
      <w:r w:rsidRPr="007119D6">
        <w:rPr>
          <w:rFonts w:ascii="Narkisim" w:hAnsi="Narkisim"/>
          <w:rtl/>
        </w:rPr>
        <w:t xml:space="preserve"> (הקדמון מב) תי' דרבנן ס"ל דהאמינו לפונדקית בתורת עדות, כיון דהיה הוכחה שלא היתה מתכוונת להעיד ולא להתיר. ומש"ה הוכיחו דכ"ש אשה</w:t>
      </w:r>
      <w:r w:rsidRPr="007119D6">
        <w:rPr>
          <w:rStyle w:val="ac"/>
          <w:rFonts w:ascii="Narkisim" w:hAnsi="Narkisim"/>
          <w:rtl/>
        </w:rPr>
        <w:footnoteReference w:id="8537"/>
      </w:r>
      <w:r w:rsidRPr="007119D6">
        <w:rPr>
          <w:rFonts w:ascii="Narkisim" w:hAnsi="Narkisim"/>
          <w:rtl/>
        </w:rPr>
        <w:t>. ור' עקיבא חלק לא האמינו לפונדקית בתורת עדות, אלא מסל"ת גמור היתה</w:t>
      </w:r>
      <w:r w:rsidRPr="007119D6">
        <w:rPr>
          <w:rStyle w:val="ac"/>
          <w:rFonts w:ascii="Narkisim" w:hAnsi="Narkisim"/>
          <w:rtl/>
        </w:rPr>
        <w:footnoteReference w:id="8538"/>
      </w:r>
      <w:r w:rsidRPr="007119D6">
        <w:rPr>
          <w:rFonts w:ascii="Narkisim" w:hAnsi="Narkisim"/>
          <w:rtl/>
        </w:rPr>
        <w:t>.</w:t>
      </w:r>
    </w:p>
    <w:p w14:paraId="75378A37" w14:textId="77777777" w:rsidR="006C4368" w:rsidRPr="007119D6" w:rsidRDefault="006C4368" w:rsidP="006C4368">
      <w:pPr>
        <w:pStyle w:val="a8"/>
        <w:bidi/>
        <w:rPr>
          <w:rFonts w:ascii="Narkisim" w:hAnsi="Narkisim"/>
        </w:rPr>
      </w:pPr>
      <w:r w:rsidRPr="007119D6">
        <w:rPr>
          <w:rFonts w:ascii="Narkisim" w:hAnsi="Narkisim"/>
          <w:rtl/>
        </w:rPr>
        <w:t>וכת' דכיון דקי"ל כרבנן דאשה נאמנת כעד א', א"כ אף פונדקית מהני כשאינה מסל"ת גמור. כל שיש הוכחה דאין מתכוון להעיד או להתיר.</w:t>
      </w:r>
    </w:p>
    <w:p w14:paraId="6EBE479B" w14:textId="77777777" w:rsidR="006C4368" w:rsidRPr="007119D6" w:rsidRDefault="006C4368" w:rsidP="006C4368">
      <w:pPr>
        <w:pStyle w:val="3"/>
        <w:bidi/>
        <w:rPr>
          <w:rFonts w:ascii="Narkisim" w:hAnsi="Narkisim"/>
        </w:rPr>
      </w:pPr>
      <w:r w:rsidRPr="007119D6">
        <w:rPr>
          <w:rFonts w:ascii="Narkisim" w:hAnsi="Narkisim"/>
          <w:rtl/>
        </w:rPr>
        <w:t>דף קכב:</w:t>
      </w:r>
    </w:p>
    <w:p w14:paraId="14CDE73E" w14:textId="77777777" w:rsidR="006C4368" w:rsidRPr="007119D6" w:rsidRDefault="006C4368" w:rsidP="006C4368">
      <w:pPr>
        <w:bidi/>
        <w:rPr>
          <w:rFonts w:ascii="Narkisim" w:hAnsi="Narkisim" w:cs="Narkisim"/>
        </w:rPr>
      </w:pPr>
      <w:r w:rsidRPr="007119D6">
        <w:rPr>
          <w:rFonts w:ascii="Narkisim" w:hAnsi="Narkisim" w:cs="Narkisim"/>
          <w:u w:val="single"/>
          <w:rtl/>
        </w:rPr>
        <w:t>אמר רב כהנא פונדקית עכו"ם היתה ומסל"ת היתה וכו'</w:t>
      </w:r>
      <w:r w:rsidRPr="007119D6">
        <w:rPr>
          <w:rFonts w:ascii="Narkisim" w:hAnsi="Narkisim" w:cs="Narkisim"/>
          <w:rtl/>
        </w:rPr>
        <w:t>. ה</w:t>
      </w:r>
      <w:r w:rsidRPr="007119D6">
        <w:rPr>
          <w:rFonts w:ascii="Narkisim" w:hAnsi="Narkisim" w:cs="Narkisim"/>
          <w:b/>
          <w:bCs/>
          <w:rtl/>
        </w:rPr>
        <w:t>ריטב"א</w:t>
      </w:r>
      <w:r w:rsidRPr="007119D6">
        <w:rPr>
          <w:rFonts w:ascii="Narkisim" w:hAnsi="Narkisim" w:cs="Narkisim"/>
          <w:rtl/>
        </w:rPr>
        <w:t xml:space="preserve"> כת' דלמ"ד (לעיל קכא:) דעכו"ם מתכוין להעיד [ולא נתכוון להתיר] נאמן, א”כ אתי מתני' כפשטא, דאף דאמרו איה חברינו נאמנת להעיד</w:t>
      </w:r>
      <w:r w:rsidRPr="007119D6">
        <w:rPr>
          <w:rStyle w:val="ac"/>
          <w:rFonts w:ascii="Narkisim" w:hAnsi="Narkisim" w:cs="Narkisim"/>
          <w:rtl/>
        </w:rPr>
        <w:footnoteReference w:id="8539"/>
      </w:r>
      <w:r w:rsidRPr="007119D6">
        <w:rPr>
          <w:rFonts w:ascii="Narkisim" w:hAnsi="Narkisim" w:cs="Narkisim"/>
          <w:rtl/>
        </w:rPr>
        <w:t>. ומיהו קי"ל דדוקא מסל"ת נאמן.</w:t>
      </w:r>
    </w:p>
    <w:p w14:paraId="3A2CF896" w14:textId="77777777" w:rsidR="006C4368" w:rsidRPr="007119D6" w:rsidRDefault="006C4368" w:rsidP="006C4368">
      <w:pPr>
        <w:bidi/>
        <w:rPr>
          <w:rFonts w:ascii="Narkisim" w:hAnsi="Narkisim" w:cs="Narkisim"/>
        </w:rPr>
      </w:pPr>
      <w:r w:rsidRPr="007119D6">
        <w:rPr>
          <w:rFonts w:ascii="Narkisim" w:hAnsi="Narkisim" w:cs="Narkisim"/>
          <w:u w:val="single"/>
          <w:rtl/>
        </w:rPr>
        <w:t>והא איה חברנו קאמרי לה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אלמא לאו לפי תומה הוה. ה</w:t>
      </w:r>
      <w:r w:rsidRPr="007119D6">
        <w:rPr>
          <w:rFonts w:ascii="Narkisim" w:hAnsi="Narkisim" w:cs="Narkisim"/>
          <w:b/>
          <w:bCs/>
          <w:rtl/>
        </w:rPr>
        <w:t>רשב"א</w:t>
      </w:r>
      <w:r w:rsidRPr="007119D6">
        <w:rPr>
          <w:rFonts w:ascii="Narkisim" w:hAnsi="Narkisim" w:cs="Narkisim"/>
          <w:rtl/>
        </w:rPr>
        <w:t xml:space="preserve"> כת' ש"מ דכל שאומרים לו איה פלוני</w:t>
      </w:r>
      <w:r w:rsidRPr="007119D6">
        <w:rPr>
          <w:rStyle w:val="ac"/>
          <w:rFonts w:ascii="Narkisim" w:hAnsi="Narkisim" w:cs="Narkisim"/>
          <w:rtl/>
        </w:rPr>
        <w:footnoteReference w:id="8540"/>
      </w:r>
      <w:r w:rsidRPr="007119D6">
        <w:rPr>
          <w:rFonts w:ascii="Narkisim" w:hAnsi="Narkisim" w:cs="Narkisim"/>
          <w:rtl/>
        </w:rPr>
        <w:t>, אין זה מסל"ת</w:t>
      </w:r>
      <w:r w:rsidRPr="007119D6">
        <w:rPr>
          <w:rStyle w:val="ac"/>
          <w:rFonts w:ascii="Narkisim" w:hAnsi="Narkisim" w:cs="Narkisim"/>
          <w:rtl/>
        </w:rPr>
        <w:footnoteReference w:id="8541"/>
      </w:r>
      <w:r w:rsidRPr="007119D6">
        <w:rPr>
          <w:rFonts w:ascii="Narkisim" w:hAnsi="Narkisim" w:cs="Narkisim"/>
          <w:rtl/>
        </w:rPr>
        <w:t>.</w:t>
      </w:r>
    </w:p>
    <w:p w14:paraId="6A495BC5"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תה"ד</w:t>
      </w:r>
      <w:r w:rsidRPr="007119D6">
        <w:rPr>
          <w:rFonts w:ascii="Narkisim" w:hAnsi="Narkisim"/>
          <w:rtl/>
        </w:rPr>
        <w:t xml:space="preserve"> (א רלט, והו' ברמ”א יז טו) כת' דה"מ כשישראל שאלו, שמרגיש שיש נפקותא בדבר ומשקר. אבל היכא דעכו"ם שאלו נחשב מסל"ת</w:t>
      </w:r>
      <w:r w:rsidRPr="007119D6">
        <w:rPr>
          <w:rStyle w:val="ac"/>
          <w:rFonts w:ascii="Narkisim" w:hAnsi="Narkisim"/>
          <w:rtl/>
        </w:rPr>
        <w:footnoteReference w:id="8542"/>
      </w:r>
      <w:r w:rsidRPr="007119D6">
        <w:rPr>
          <w:rFonts w:ascii="Narkisim" w:hAnsi="Narkisim"/>
          <w:rtl/>
        </w:rPr>
        <w:t>.</w:t>
      </w:r>
    </w:p>
    <w:p w14:paraId="1B528722" w14:textId="77777777" w:rsidR="006C4368" w:rsidRPr="007119D6" w:rsidRDefault="006C4368" w:rsidP="006C4368">
      <w:pPr>
        <w:bidi/>
        <w:rPr>
          <w:rFonts w:ascii="Narkisim" w:hAnsi="Narkisim" w:cs="Narkisim"/>
        </w:rPr>
      </w:pPr>
      <w:r w:rsidRPr="007119D6">
        <w:rPr>
          <w:rFonts w:ascii="Narkisim" w:hAnsi="Narkisim" w:cs="Narkisim"/>
          <w:rtl/>
        </w:rPr>
        <w:t>וה</w:t>
      </w:r>
      <w:r w:rsidRPr="007119D6">
        <w:rPr>
          <w:rFonts w:ascii="Narkisim" w:hAnsi="Narkisim" w:cs="Narkisim"/>
          <w:b/>
          <w:bCs/>
          <w:rtl/>
        </w:rPr>
        <w:t>תשו' מיימוני</w:t>
      </w:r>
      <w:r w:rsidRPr="007119D6">
        <w:rPr>
          <w:rFonts w:ascii="Narkisim" w:hAnsi="Narkisim" w:cs="Narkisim"/>
          <w:rtl/>
        </w:rPr>
        <w:t xml:space="preserve"> (נשים ט, והו' בתה”ד ב קסא) כת' דה"מ היכא דשאלו להדיא, אבל משום </w:t>
      </w:r>
      <w:r w:rsidRPr="007119D6">
        <w:rPr>
          <w:rFonts w:ascii="Narkisim" w:hAnsi="Narkisim" w:cs="Narkisim"/>
          <w:rtl/>
        </w:rPr>
        <w:lastRenderedPageBreak/>
        <w:t>שהוציאו קול בעיירות וידע שמחפשים אותו אפ"ה מקרי מסל"ת</w:t>
      </w:r>
      <w:r w:rsidRPr="007119D6">
        <w:rPr>
          <w:rStyle w:val="ac"/>
          <w:rFonts w:ascii="Narkisim" w:hAnsi="Narkisim" w:cs="Narkisim"/>
          <w:rtl/>
        </w:rPr>
        <w:footnoteReference w:id="8543"/>
      </w:r>
      <w:r w:rsidRPr="007119D6">
        <w:rPr>
          <w:rFonts w:ascii="Narkisim" w:hAnsi="Narkisim" w:cs="Narkisim"/>
          <w:rtl/>
        </w:rPr>
        <w:t>.</w:t>
      </w:r>
    </w:p>
    <w:p w14:paraId="4816F2C6" w14:textId="77777777" w:rsidR="006C4368" w:rsidRPr="007119D6" w:rsidRDefault="006C4368" w:rsidP="006C4368">
      <w:pPr>
        <w:pStyle w:val="a8"/>
        <w:bidi/>
        <w:rPr>
          <w:rFonts w:ascii="Narkisim" w:hAnsi="Narkisim"/>
        </w:rPr>
      </w:pPr>
      <w:r w:rsidRPr="007119D6">
        <w:rPr>
          <w:rFonts w:ascii="Narkisim" w:hAnsi="Narkisim"/>
          <w:rtl/>
        </w:rPr>
        <w:t>ובתשו' מיימוני כת' דאם לא כן היכי מהימנינן לשום עכו"ם מסיח לפי תומו בעדות אשה, נימא דלמא משקר לקלקלה, ולא פלוג רבנן בין עכו"ם המכיר בדת יהודית ובין עכו"ם שאינו מכיר</w:t>
      </w:r>
      <w:r w:rsidRPr="007119D6">
        <w:rPr>
          <w:rStyle w:val="ac"/>
          <w:rFonts w:ascii="Narkisim" w:hAnsi="Narkisim"/>
          <w:rtl/>
        </w:rPr>
        <w:footnoteReference w:id="8544"/>
      </w:r>
      <w:r w:rsidRPr="007119D6">
        <w:rPr>
          <w:rFonts w:ascii="Narkisim" w:hAnsi="Narkisim"/>
          <w:rtl/>
        </w:rPr>
        <w:t>, ומתוך חומר שהחמרת עליה בסופה הקלנו עליה בתחלתה משום עגונא.</w:t>
      </w:r>
    </w:p>
    <w:p w14:paraId="336C8473" w14:textId="77777777" w:rsidR="006C4368" w:rsidRPr="007119D6" w:rsidRDefault="006C4368" w:rsidP="006C4368">
      <w:pPr>
        <w:pStyle w:val="aa"/>
        <w:bidi/>
        <w:rPr>
          <w:rFonts w:ascii="Narkisim" w:hAnsi="Narkisim"/>
        </w:rPr>
      </w:pP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(קכא, הו' בש”ש ז ח) הביא ראיה לזה מהגמ' (ב"ק קיד:) דאף דהבעלים היו מרדפין חשיב מסל"ת</w:t>
      </w:r>
      <w:r w:rsidRPr="007119D6">
        <w:rPr>
          <w:rStyle w:val="ac"/>
          <w:rFonts w:ascii="Narkisim" w:hAnsi="Narkisim"/>
          <w:rtl/>
        </w:rPr>
        <w:footnoteReference w:id="8545"/>
      </w:r>
      <w:r w:rsidRPr="007119D6">
        <w:rPr>
          <w:rFonts w:ascii="Narkisim" w:hAnsi="Narkisim"/>
          <w:rtl/>
        </w:rPr>
        <w:t xml:space="preserve"> [ואשה וקטן נאמנים לומר מכאן יצא נחיל זה]. אך ה</w:t>
      </w:r>
      <w:r w:rsidRPr="007119D6">
        <w:rPr>
          <w:rFonts w:ascii="Narkisim" w:hAnsi="Narkisim"/>
          <w:b/>
          <w:bCs/>
          <w:rtl/>
        </w:rPr>
        <w:t>יש"ש</w:t>
      </w:r>
      <w:r w:rsidRPr="007119D6">
        <w:rPr>
          <w:rFonts w:ascii="Narkisim" w:hAnsi="Narkisim"/>
          <w:rtl/>
        </w:rPr>
        <w:t xml:space="preserve"> (ב"ק י כח) כת' האשה והקטן מדברים מעצמן בלי ידיעה שבעלים רדפו כלל אחריהן. וה</w:t>
      </w:r>
      <w:r w:rsidRPr="007119D6">
        <w:rPr>
          <w:rFonts w:ascii="Narkisim" w:hAnsi="Narkisim"/>
          <w:b/>
          <w:bCs/>
          <w:rtl/>
        </w:rPr>
        <w:t>שמעתתא</w:t>
      </w:r>
      <w:r w:rsidRPr="007119D6">
        <w:rPr>
          <w:rFonts w:ascii="Narkisim" w:hAnsi="Narkisim"/>
          <w:rtl/>
        </w:rPr>
        <w:t xml:space="preserve"> הק' דלא הביא דברי תשו' מיימוני</w:t>
      </w:r>
      <w:r w:rsidRPr="007119D6">
        <w:rPr>
          <w:rStyle w:val="ac"/>
          <w:rFonts w:ascii="Narkisim" w:hAnsi="Narkisim"/>
          <w:rtl/>
        </w:rPr>
        <w:footnoteReference w:id="8546"/>
      </w:r>
      <w:r w:rsidRPr="007119D6">
        <w:rPr>
          <w:rFonts w:ascii="Narkisim" w:hAnsi="Narkisim"/>
          <w:rtl/>
        </w:rPr>
        <w:t>.</w:t>
      </w:r>
    </w:p>
    <w:p w14:paraId="6522068B" w14:textId="77777777" w:rsidR="006C4368" w:rsidRPr="007119D6" w:rsidRDefault="006C4368" w:rsidP="006C4368">
      <w:pPr>
        <w:bidi/>
        <w:rPr>
          <w:rFonts w:ascii="Narkisim" w:hAnsi="Narkisim" w:cs="Narkisim"/>
        </w:rPr>
      </w:pPr>
      <w:r w:rsidRPr="007119D6">
        <w:rPr>
          <w:rFonts w:ascii="Narkisim" w:hAnsi="Narkisim" w:cs="Narkisim"/>
          <w:u w:val="single"/>
          <w:rtl/>
        </w:rPr>
        <w:t>כיון דחזיתינהו בכיא אמרו לה איה חברינו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דהיינו לפי תומה, דהתחילה לומר קודם ששאלוה. וב</w:t>
      </w:r>
      <w:r w:rsidRPr="007119D6">
        <w:rPr>
          <w:rFonts w:ascii="Narkisim" w:hAnsi="Narkisim" w:cs="Narkisim"/>
          <w:b/>
          <w:bCs/>
          <w:rtl/>
        </w:rPr>
        <w:t>ראשונים</w:t>
      </w:r>
      <w:r w:rsidRPr="007119D6">
        <w:rPr>
          <w:rFonts w:ascii="Narkisim" w:hAnsi="Narkisim" w:cs="Narkisim"/>
          <w:rtl/>
        </w:rPr>
        <w:t xml:space="preserve"> מבואר דחזייה בכיה נחשב לפי תומה</w:t>
      </w:r>
      <w:r w:rsidRPr="007119D6">
        <w:rPr>
          <w:rStyle w:val="ac"/>
          <w:rFonts w:ascii="Narkisim" w:hAnsi="Narkisim" w:cs="Narkisim"/>
          <w:rtl/>
        </w:rPr>
        <w:footnoteReference w:id="8547"/>
      </w:r>
      <w:r w:rsidRPr="007119D6">
        <w:rPr>
          <w:rFonts w:ascii="Narkisim" w:hAnsi="Narkisim" w:cs="Narkisim"/>
          <w:rtl/>
        </w:rPr>
        <w:t>.</w:t>
      </w:r>
    </w:p>
    <w:p w14:paraId="6561E95F" w14:textId="77777777" w:rsidR="006C4368" w:rsidRPr="007119D6" w:rsidRDefault="006C4368" w:rsidP="006C4368">
      <w:pPr>
        <w:pStyle w:val="a7"/>
        <w:bidi/>
        <w:rPr>
          <w:rFonts w:ascii="Narkisim" w:hAnsi="Narkisim"/>
        </w:rPr>
      </w:pPr>
      <w:r w:rsidRPr="007119D6">
        <w:rPr>
          <w:rFonts w:ascii="Narkisim" w:hAnsi="Narkisim"/>
          <w:rtl/>
        </w:rPr>
        <w:t>ולפ"ז בפשוטו מבואר דבסוגיין מהני בכיא לחוד, אך ה</w:t>
      </w:r>
      <w:r w:rsidRPr="007119D6">
        <w:rPr>
          <w:rFonts w:ascii="Narkisim" w:hAnsi="Narkisim"/>
          <w:b/>
          <w:bCs/>
          <w:rtl/>
        </w:rPr>
        <w:t>פוסקים</w:t>
      </w:r>
      <w:r w:rsidRPr="007119D6">
        <w:rPr>
          <w:rFonts w:ascii="Narkisim" w:hAnsi="Narkisim"/>
          <w:rtl/>
        </w:rPr>
        <w:t xml:space="preserve"> דנו דמשמע דדוקא משום שהוציאה מקלו ותרמילו [וכמ”ש רש”י במשנה]. וב</w:t>
      </w:r>
      <w:r w:rsidRPr="007119D6">
        <w:rPr>
          <w:rFonts w:ascii="Narkisim" w:hAnsi="Narkisim"/>
          <w:b/>
          <w:bCs/>
          <w:rtl/>
        </w:rPr>
        <w:t>שו"ת בית יוסף</w:t>
      </w:r>
      <w:r w:rsidRPr="007119D6">
        <w:rPr>
          <w:rFonts w:ascii="Narkisim" w:hAnsi="Narkisim"/>
          <w:rtl/>
        </w:rPr>
        <w:t xml:space="preserve"> (מסל"ת ז, הו' בש”ש ז ח בסופו) האריך בזה, וכת' דאפשר דהכא לא הוה מסל"ת גמור, ומהני מקלו ותרמילו לגלות עליו</w:t>
      </w:r>
      <w:r w:rsidRPr="007119D6">
        <w:rPr>
          <w:rStyle w:val="ac"/>
          <w:rFonts w:ascii="Narkisim" w:hAnsi="Narkisim"/>
          <w:rtl/>
        </w:rPr>
        <w:footnoteReference w:id="8548"/>
      </w:r>
      <w:r w:rsidRPr="007119D6">
        <w:rPr>
          <w:rFonts w:ascii="Narkisim" w:hAnsi="Narkisim"/>
          <w:rtl/>
        </w:rPr>
        <w:t>. אך מסקנתו דבכיא הוה מסל"ת גמור, ומקלו ותרמילו לאו דוקא.</w:t>
      </w:r>
    </w:p>
    <w:p w14:paraId="7842CA69"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וצ"ב דמ"מ מה שאמרה שמת היה ע"י ששאלו אותה. וה</w:t>
      </w:r>
      <w:r w:rsidRPr="007119D6">
        <w:rPr>
          <w:rFonts w:ascii="Narkisim" w:hAnsi="Narkisim" w:cs="Narkisim"/>
          <w:b/>
          <w:bCs/>
          <w:rtl/>
        </w:rPr>
        <w:t>רי"ף</w:t>
      </w:r>
      <w:r w:rsidRPr="007119D6">
        <w:rPr>
          <w:rFonts w:ascii="Narkisim" w:hAnsi="Narkisim" w:cs="Narkisim"/>
          <w:rtl/>
        </w:rPr>
        <w:t xml:space="preserve"> כת' ש"מ דהיכא דמתחיל הכותי מסיח לפי תומו. ועדיין הוה מסל"ת אף דהדרינא ומגלינא למילתא מיניה</w:t>
      </w:r>
      <w:r w:rsidRPr="007119D6">
        <w:rPr>
          <w:rStyle w:val="ac"/>
          <w:rFonts w:ascii="Narkisim" w:hAnsi="Narkisim" w:cs="Narkisim"/>
          <w:rtl/>
        </w:rPr>
        <w:footnoteReference w:id="8549"/>
      </w:r>
      <w:r w:rsidRPr="007119D6">
        <w:rPr>
          <w:rFonts w:ascii="Narkisim" w:hAnsi="Narkisim" w:cs="Narkisim"/>
          <w:rtl/>
        </w:rPr>
        <w:t>. וה</w:t>
      </w:r>
      <w:r w:rsidRPr="007119D6">
        <w:rPr>
          <w:rFonts w:ascii="Narkisim" w:hAnsi="Narkisim" w:cs="Narkisim"/>
          <w:b/>
          <w:bCs/>
          <w:rtl/>
        </w:rPr>
        <w:t>ריטב"א</w:t>
      </w:r>
      <w:r w:rsidRPr="007119D6">
        <w:rPr>
          <w:rFonts w:ascii="Narkisim" w:hAnsi="Narkisim" w:cs="Narkisim"/>
          <w:rtl/>
        </w:rPr>
        <w:t xml:space="preserve"> הוסיף אף לאחר זמן רב.</w:t>
      </w:r>
    </w:p>
    <w:p w14:paraId="355C0360"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פוסקים</w:t>
      </w:r>
      <w:r w:rsidRPr="007119D6">
        <w:rPr>
          <w:rStyle w:val="ac"/>
          <w:rFonts w:ascii="Narkisim" w:hAnsi="Narkisim"/>
          <w:rtl/>
        </w:rPr>
        <w:footnoteReference w:id="8550"/>
      </w:r>
      <w:r w:rsidRPr="007119D6">
        <w:rPr>
          <w:rFonts w:ascii="Narkisim" w:hAnsi="Narkisim"/>
          <w:rtl/>
        </w:rPr>
        <w:t xml:space="preserve"> דנו האם אף לחומרא אמרי' דהיכא דהתחיל ע"י שאלה, ואף כשממשיך לאחר זמן לא חשיב מסל"ת.</w:t>
      </w:r>
    </w:p>
    <w:p w14:paraId="25FA3CA3" w14:textId="77777777" w:rsidR="006C4368" w:rsidRPr="007119D6" w:rsidRDefault="006C4368" w:rsidP="006C4368">
      <w:pPr>
        <w:bidi/>
        <w:rPr>
          <w:rFonts w:ascii="Narkisim" w:hAnsi="Narkisim" w:cs="Narkisim"/>
        </w:rPr>
      </w:pPr>
      <w:r w:rsidRPr="007119D6">
        <w:rPr>
          <w:rFonts w:ascii="Narkisim" w:hAnsi="Narkisim" w:cs="Narkisim"/>
          <w:u w:val="single"/>
          <w:rtl/>
        </w:rPr>
        <w:t>תוד"ה פונדקית</w:t>
      </w:r>
      <w:r w:rsidRPr="007119D6">
        <w:rPr>
          <w:rFonts w:ascii="Narkisim" w:hAnsi="Narkisim" w:cs="Narkisim"/>
          <w:rtl/>
        </w:rPr>
        <w:t xml:space="preserve">. וא”ת מאי מייתי רבנן ראיה מן הפונדקית, דהא מסל"ת היתה. </w:t>
      </w:r>
      <w:r w:rsidRPr="007119D6">
        <w:rPr>
          <w:rFonts w:ascii="Narkisim" w:hAnsi="Narkisim" w:cs="Narkisim"/>
          <w:szCs w:val="20"/>
          <w:rtl/>
        </w:rPr>
        <w:t>[לכאורה זהו שהשיב ר”ע דהוציאה מקלו, לפי' א' ברש”י. וי"ל דקו' התוס' מה ס”ל רבנן. א”נ תוס' נקטו כס”א ברש”י דר”ע השיב משום דיש הוכחה].</w:t>
      </w:r>
    </w:p>
    <w:p w14:paraId="0BF50CFD" w14:textId="77777777" w:rsidR="006C4368" w:rsidRPr="007119D6" w:rsidRDefault="006C4368" w:rsidP="006C4368">
      <w:pPr>
        <w:bidi/>
        <w:rPr>
          <w:rFonts w:ascii="Narkisim" w:hAnsi="Narkisim" w:cs="Narkisim"/>
        </w:rPr>
      </w:pPr>
      <w:r w:rsidRPr="007119D6">
        <w:rPr>
          <w:rFonts w:ascii="Narkisim" w:hAnsi="Narkisim" w:cs="Narkisim"/>
          <w:u w:val="single"/>
          <w:rtl/>
        </w:rPr>
        <w:t>בא"ד וי"ל דלא היתה ממש מסל"ת וכו'</w:t>
      </w:r>
      <w:r w:rsidRPr="007119D6">
        <w:rPr>
          <w:rFonts w:ascii="Narkisim" w:hAnsi="Narkisim" w:cs="Narkisim"/>
          <w:rtl/>
        </w:rPr>
        <w:t>. ה</w:t>
      </w:r>
      <w:r w:rsidRPr="007119D6">
        <w:rPr>
          <w:rFonts w:ascii="Narkisim" w:hAnsi="Narkisim" w:cs="Narkisim"/>
          <w:b/>
          <w:bCs/>
          <w:rtl/>
        </w:rPr>
        <w:t>אחרונים</w:t>
      </w:r>
      <w:r w:rsidRPr="007119D6">
        <w:rPr>
          <w:rFonts w:ascii="Narkisim" w:hAnsi="Narkisim" w:cs="Narkisim"/>
          <w:rtl/>
        </w:rPr>
        <w:t xml:space="preserve"> הק' דאי אינו בגדרי מסל"ת, א"כ לא מהני כלל. ולכאורה משמע בתוס' דיש מושג קצת מסל”ת דמהני בצירוף.</w:t>
      </w:r>
    </w:p>
    <w:p w14:paraId="52FFFC3B" w14:textId="77777777" w:rsidR="006C4368" w:rsidRPr="007119D6" w:rsidRDefault="006C4368" w:rsidP="006C4368">
      <w:pPr>
        <w:pStyle w:val="a7"/>
        <w:bidi/>
        <w:rPr>
          <w:rFonts w:ascii="Narkisim" w:hAnsi="Narkisim"/>
        </w:rPr>
      </w:pPr>
      <w:r w:rsidRPr="007119D6">
        <w:rPr>
          <w:rFonts w:ascii="Narkisim" w:hAnsi="Narkisim"/>
          <w:rtl/>
        </w:rPr>
        <w:t>וב</w:t>
      </w:r>
      <w:r w:rsidRPr="007119D6">
        <w:rPr>
          <w:rFonts w:ascii="Narkisim" w:hAnsi="Narkisim"/>
          <w:b/>
          <w:bCs/>
          <w:rtl/>
        </w:rPr>
        <w:t>שו"ת מהר"ם לובלין</w:t>
      </w:r>
      <w:r w:rsidRPr="007119D6">
        <w:rPr>
          <w:rFonts w:ascii="Narkisim" w:hAnsi="Narkisim"/>
          <w:rtl/>
        </w:rPr>
        <w:t xml:space="preserve"> (קי, והו' בש”ש ז ח ויא) ביאר דמצטרף אומדנא דמקלו ותרמילו בצירוף הא דקצת מסל”ת. ומהני קצת מסל"ת בצירוף שאר הוכחות</w:t>
      </w:r>
      <w:r w:rsidRPr="007119D6">
        <w:rPr>
          <w:rStyle w:val="ac"/>
          <w:rFonts w:ascii="Narkisim" w:hAnsi="Narkisim"/>
          <w:rtl/>
        </w:rPr>
        <w:footnoteReference w:id="8551"/>
      </w:r>
      <w:r w:rsidRPr="007119D6">
        <w:rPr>
          <w:rFonts w:ascii="Narkisim" w:hAnsi="Narkisim"/>
          <w:rtl/>
        </w:rPr>
        <w:t>.</w:t>
      </w:r>
    </w:p>
    <w:p w14:paraId="417C57B9" w14:textId="77777777" w:rsidR="006C4368" w:rsidRPr="007119D6" w:rsidRDefault="006C4368" w:rsidP="006C4368">
      <w:pPr>
        <w:pStyle w:val="a7"/>
        <w:bidi/>
        <w:rPr>
          <w:rFonts w:ascii="Narkisim" w:hAnsi="Narkisim"/>
        </w:rPr>
      </w:pPr>
      <w:r w:rsidRPr="007119D6">
        <w:rPr>
          <w:rFonts w:ascii="Narkisim" w:hAnsi="Narkisim"/>
          <w:rtl/>
        </w:rPr>
        <w:lastRenderedPageBreak/>
        <w:t>וב</w:t>
      </w:r>
      <w:r w:rsidRPr="007119D6">
        <w:rPr>
          <w:rFonts w:ascii="Narkisim" w:hAnsi="Narkisim"/>
          <w:b/>
          <w:bCs/>
          <w:rtl/>
        </w:rPr>
        <w:t>שו"ת צמח צדק</w:t>
      </w:r>
      <w:r w:rsidRPr="007119D6">
        <w:rPr>
          <w:rFonts w:ascii="Narkisim" w:hAnsi="Narkisim"/>
          <w:rtl/>
        </w:rPr>
        <w:t xml:space="preserve"> (הקדמון מב) כת' שמתחילה היתה בוכה ולא היתה מדברת, והיה אפ"ל שעל צער אחר היתה בוכה, על אבידה וכיו"ב. ורבנן חידשו דמכל מקום עשאוה כמסל"ת</w:t>
      </w:r>
      <w:r w:rsidRPr="007119D6">
        <w:rPr>
          <w:rStyle w:val="ac"/>
          <w:rFonts w:ascii="Narkisim" w:hAnsi="Narkisim"/>
          <w:rtl/>
        </w:rPr>
        <w:footnoteReference w:id="8552"/>
      </w:r>
      <w:r w:rsidRPr="007119D6">
        <w:rPr>
          <w:rFonts w:ascii="Narkisim" w:hAnsi="Narkisim"/>
          <w:rtl/>
        </w:rPr>
        <w:t>. וביאר דרבנן ס"ל דאף דאינו מסל"ת מהני בתורת עדות, כיון דהפונדקית לא נתכוונה בתורת עדות. והביא דעד"ז ה</w:t>
      </w:r>
      <w:r w:rsidRPr="007119D6">
        <w:rPr>
          <w:rFonts w:ascii="Narkisim" w:hAnsi="Narkisim"/>
          <w:b/>
          <w:bCs/>
          <w:rtl/>
        </w:rPr>
        <w:t>מהרי"ק</w:t>
      </w:r>
      <w:r w:rsidRPr="007119D6">
        <w:rPr>
          <w:rFonts w:ascii="Narkisim" w:hAnsi="Narkisim"/>
          <w:rtl/>
        </w:rPr>
        <w:t xml:space="preserve"> (קכא ד"ה אמנם) כת' שכל מקום שהדבר מוכיח שהגוי אינו מתכוון להתיר או להעיד מיקרי מסל"ת.</w:t>
      </w:r>
    </w:p>
    <w:p w14:paraId="5A3E2A73" w14:textId="77777777" w:rsidR="006C4368" w:rsidRPr="007119D6" w:rsidRDefault="006C4368" w:rsidP="006C4368">
      <w:pPr>
        <w:pStyle w:val="aa"/>
        <w:bidi/>
        <w:rPr>
          <w:rFonts w:ascii="Narkisim" w:hAnsi="Narkisim"/>
        </w:rPr>
      </w:pPr>
      <w:r w:rsidRPr="007119D6">
        <w:rPr>
          <w:rFonts w:ascii="Narkisim" w:hAnsi="Narkisim"/>
          <w:u w:val="single"/>
          <w:rtl/>
        </w:rPr>
        <w:t>בא"ד דמה שהוציאה מקלו ותרמילו, זה היתה יכולה לעשות לשם עדות</w:t>
      </w:r>
      <w:r w:rsidRPr="007119D6">
        <w:rPr>
          <w:rFonts w:ascii="Narkisim" w:hAnsi="Narkisim"/>
          <w:rtl/>
        </w:rPr>
        <w:t>. לכאורה משמע דקמ"ל דהוצאת המקל מהני להחשב מסל"ת. ואף דהוציאה לאחר אמירת העדות. ולדברי הצ"צ (הנ"ל) מהני הוכחה זו שאינה מתכוונת לעדות [ולא בתורת מסל"ת].</w:t>
      </w:r>
    </w:p>
    <w:p w14:paraId="1DEF5A3E" w14:textId="77777777" w:rsidR="006C4368" w:rsidRPr="007119D6" w:rsidRDefault="006C4368" w:rsidP="006C4368">
      <w:pPr>
        <w:bidi/>
        <w:rPr>
          <w:rFonts w:ascii="Narkisim" w:hAnsi="Narkisim" w:cs="Narkisim"/>
        </w:rPr>
      </w:pPr>
      <w:r w:rsidRPr="007119D6">
        <w:rPr>
          <w:rFonts w:ascii="Narkisim" w:hAnsi="Narkisim" w:cs="Narkisim"/>
          <w:u w:val="single"/>
          <w:rtl/>
        </w:rPr>
        <w:t>ת"ר וכו' אמר לו בני האיך אתה יודע וכו' ור”ט לא בעי דרישה וחקירה</w:t>
      </w:r>
      <w:r w:rsidRPr="007119D6">
        <w:rPr>
          <w:rStyle w:val="ac"/>
          <w:rFonts w:ascii="Narkisim" w:hAnsi="Narkisim" w:cs="Narkisim"/>
          <w:u w:val="single"/>
          <w:rtl/>
        </w:rPr>
        <w:footnoteReference w:id="8553"/>
      </w:r>
      <w:r w:rsidRPr="007119D6">
        <w:rPr>
          <w:rFonts w:ascii="Narkisim" w:hAnsi="Narkisim" w:cs="Narkisim"/>
          <w:u w:val="single"/>
          <w:rtl/>
        </w:rPr>
        <w:t xml:space="preserve"> וכו'</w:t>
      </w:r>
      <w:r w:rsidRPr="007119D6">
        <w:rPr>
          <w:rFonts w:ascii="Narkisim" w:hAnsi="Narkisim" w:cs="Narkisim"/>
          <w:rtl/>
        </w:rPr>
        <w:t>. ומבואר דאף דלא בעינן דרישה וחקירה, עכ"פ שאלו האיך אתה יודע. וכ"פ ה</w:t>
      </w:r>
      <w:r w:rsidRPr="007119D6">
        <w:rPr>
          <w:rFonts w:ascii="Narkisim" w:hAnsi="Narkisim" w:cs="Narkisim"/>
          <w:b/>
          <w:bCs/>
          <w:rtl/>
        </w:rPr>
        <w:t>רמב"ם</w:t>
      </w:r>
      <w:r w:rsidRPr="007119D6">
        <w:rPr>
          <w:rFonts w:ascii="Narkisim" w:hAnsi="Narkisim" w:cs="Narkisim"/>
          <w:rtl/>
        </w:rPr>
        <w:t xml:space="preserve"> (יג טו) דאם אמר העד מת פלוני או אני ראיתיו שמת שואלין אותו היאך ראית ובמה ידעת שמת, ואם העיד בדבר ברור נאמן</w:t>
      </w:r>
      <w:r w:rsidRPr="007119D6">
        <w:rPr>
          <w:rStyle w:val="ac"/>
          <w:rFonts w:ascii="Narkisim" w:hAnsi="Narkisim" w:cs="Narkisim"/>
          <w:rtl/>
        </w:rPr>
        <w:footnoteReference w:id="8554"/>
      </w:r>
      <w:r w:rsidRPr="007119D6">
        <w:rPr>
          <w:rFonts w:ascii="Narkisim" w:hAnsi="Narkisim" w:cs="Narkisim"/>
          <w:rtl/>
        </w:rPr>
        <w:t>. ו</w:t>
      </w:r>
      <w:r w:rsidRPr="007119D6">
        <w:rPr>
          <w:rFonts w:ascii="Narkisim" w:hAnsi="Narkisim" w:cs="Narkisim"/>
          <w:b/>
          <w:bCs/>
          <w:rtl/>
        </w:rPr>
        <w:t>ה"ה</w:t>
      </w:r>
      <w:r w:rsidRPr="007119D6">
        <w:rPr>
          <w:rFonts w:ascii="Narkisim" w:hAnsi="Narkisim" w:cs="Narkisim"/>
          <w:rtl/>
        </w:rPr>
        <w:t xml:space="preserve"> הביא המקור מסוגיין, דאף להך ברייתא דלא בעינן דרישה וחקירה עכ"פ שואלו האיך אתה יודע</w:t>
      </w:r>
      <w:r w:rsidRPr="007119D6">
        <w:rPr>
          <w:rStyle w:val="ac"/>
          <w:rFonts w:ascii="Narkisim" w:hAnsi="Narkisim" w:cs="Narkisim"/>
          <w:rtl/>
        </w:rPr>
        <w:footnoteReference w:id="8555"/>
      </w:r>
      <w:r w:rsidRPr="007119D6">
        <w:rPr>
          <w:rFonts w:ascii="Narkisim" w:hAnsi="Narkisim" w:cs="Narkisim"/>
          <w:rtl/>
        </w:rPr>
        <w:t>. וכת' דאף דמהני עד מפי עד, ולא שאלו את העד הראשון. כיון דאפשר שואלים אותו, ואין דנים אפשר משאי אפשר.</w:t>
      </w:r>
    </w:p>
    <w:p w14:paraId="0265B58C" w14:textId="77777777" w:rsidR="006C4368" w:rsidRPr="007119D6" w:rsidRDefault="006C4368" w:rsidP="006C4368">
      <w:pPr>
        <w:pStyle w:val="aa"/>
        <w:bidi/>
        <w:rPr>
          <w:rFonts w:ascii="Narkisim" w:hAnsi="Narkisim"/>
        </w:rPr>
      </w:pPr>
      <w:r w:rsidRPr="007119D6">
        <w:rPr>
          <w:rFonts w:ascii="Narkisim" w:hAnsi="Narkisim"/>
          <w:u w:val="single"/>
          <w:rtl/>
        </w:rPr>
        <w:t>אמרתי לו וכו' יפה כוונת לשמי וכו' לימים חלה ומת וכו'</w:t>
      </w:r>
      <w:r w:rsidRPr="007119D6">
        <w:rPr>
          <w:rFonts w:ascii="Narkisim" w:hAnsi="Narkisim"/>
          <w:rtl/>
        </w:rPr>
        <w:t>. שהבעל אמר את שמו, ועפ”ז העיד זה שמת. ו</w:t>
      </w:r>
      <w:r w:rsidRPr="007119D6">
        <w:rPr>
          <w:rFonts w:ascii="Narkisim" w:hAnsi="Narkisim"/>
          <w:b/>
          <w:bCs/>
          <w:rtl/>
        </w:rPr>
        <w:t>מהר"י בן לב</w:t>
      </w:r>
      <w:r w:rsidRPr="007119D6">
        <w:rPr>
          <w:rFonts w:ascii="Narkisim" w:hAnsi="Narkisim"/>
          <w:rtl/>
        </w:rPr>
        <w:t xml:space="preserve"> (ג ח, הו' בפתח"ת יז טז) כת' דהיכא דהעד המעיד ששמע דרך סיפור באקראי מפי הבעל ששמו פלוני בן פלוני [או שהוא בעל אשה פלונית] דינו כעד מפי עד, שמעיד מפי עד פסול</w:t>
      </w:r>
      <w:r w:rsidRPr="007119D6">
        <w:rPr>
          <w:rStyle w:val="ac"/>
          <w:rFonts w:ascii="Narkisim" w:hAnsi="Narkisim"/>
          <w:rtl/>
        </w:rPr>
        <w:footnoteReference w:id="8556"/>
      </w:r>
      <w:r w:rsidRPr="007119D6">
        <w:rPr>
          <w:rFonts w:ascii="Narkisim" w:hAnsi="Narkisim"/>
          <w:rtl/>
        </w:rPr>
        <w:t>. ונפק"מ לענין הכחשה. וה</w:t>
      </w:r>
      <w:r w:rsidRPr="007119D6">
        <w:rPr>
          <w:rFonts w:ascii="Narkisim" w:hAnsi="Narkisim"/>
          <w:b/>
          <w:bCs/>
          <w:rtl/>
        </w:rPr>
        <w:t>מהרשד"ם</w:t>
      </w:r>
      <w:r w:rsidRPr="007119D6">
        <w:rPr>
          <w:rFonts w:ascii="Narkisim" w:hAnsi="Narkisim"/>
          <w:rtl/>
        </w:rPr>
        <w:t xml:space="preserve"> (נט) חלק דהוה כמו עד ראיה ממש</w:t>
      </w:r>
      <w:r w:rsidRPr="007119D6">
        <w:rPr>
          <w:rStyle w:val="ac"/>
          <w:rFonts w:ascii="Narkisim" w:hAnsi="Narkisim"/>
          <w:rtl/>
        </w:rPr>
        <w:footnoteReference w:id="8557"/>
      </w:r>
      <w:r w:rsidRPr="007119D6">
        <w:rPr>
          <w:rFonts w:ascii="Narkisim" w:hAnsi="Narkisim"/>
          <w:rtl/>
        </w:rPr>
        <w:t>.</w:t>
      </w:r>
    </w:p>
    <w:p w14:paraId="12F2781B" w14:textId="77777777" w:rsidR="006C4368" w:rsidRPr="007119D6" w:rsidRDefault="006C4368" w:rsidP="006C4368">
      <w:pPr>
        <w:pStyle w:val="aa"/>
        <w:bidi/>
        <w:rPr>
          <w:rFonts w:ascii="Narkisim" w:hAnsi="Narkisim"/>
        </w:rPr>
      </w:pPr>
      <w:r w:rsidRPr="007119D6">
        <w:rPr>
          <w:rFonts w:ascii="Narkisim" w:hAnsi="Narkisim"/>
          <w:u w:val="single"/>
          <w:rtl/>
        </w:rPr>
        <w:t>ואמר לו לא כך אמרת לי יוחנן וכו' ודקדק עליו ב' וג' פעמים וכו'</w:t>
      </w:r>
      <w:r w:rsidRPr="007119D6">
        <w:rPr>
          <w:rFonts w:ascii="Narkisim" w:hAnsi="Narkisim"/>
          <w:rtl/>
        </w:rPr>
        <w:t>. ומבואר בגמ' דהוה מדין דרישה וחקירה, פ</w:t>
      </w:r>
      <w:r w:rsidRPr="007119D6">
        <w:rPr>
          <w:rFonts w:ascii="Narkisim" w:hAnsi="Narkisim"/>
          <w:b/>
          <w:bCs/>
          <w:rtl/>
        </w:rPr>
        <w:t>רש"י</w:t>
      </w:r>
      <w:r w:rsidRPr="007119D6">
        <w:rPr>
          <w:rFonts w:ascii="Narkisim" w:hAnsi="Narkisim"/>
          <w:rtl/>
        </w:rPr>
        <w:t xml:space="preserve"> דהוה בכלל הבדיקות לכוין את דבריו. [ובעלמא בדיקות הוה לשאול פרטי המעשה. ומבואר כאן דאף לבודקו שמא יתבלבל הוה בכלל בדיקות].</w:t>
      </w:r>
    </w:p>
    <w:p w14:paraId="7AF658C8" w14:textId="77777777" w:rsidR="006C4368" w:rsidRPr="007119D6" w:rsidRDefault="006C4368" w:rsidP="006C4368">
      <w:pPr>
        <w:pStyle w:val="aa"/>
        <w:bidi/>
        <w:rPr>
          <w:rFonts w:ascii="Narkisim" w:hAnsi="Narkisim"/>
        </w:rPr>
      </w:pPr>
      <w:r w:rsidRPr="007119D6">
        <w:rPr>
          <w:rFonts w:ascii="Narkisim" w:hAnsi="Narkisim"/>
          <w:u w:val="single"/>
          <w:rtl/>
        </w:rPr>
        <w:t>תנאי היא דתניא וכו' ר”ט אומר בודקין וכו'</w:t>
      </w:r>
      <w:r w:rsidRPr="007119D6">
        <w:rPr>
          <w:rFonts w:ascii="Narkisim" w:hAnsi="Narkisim"/>
          <w:rtl/>
        </w:rPr>
        <w:t>. וה</w:t>
      </w:r>
      <w:r w:rsidRPr="007119D6">
        <w:rPr>
          <w:rFonts w:ascii="Narkisim" w:hAnsi="Narkisim"/>
          <w:b/>
          <w:bCs/>
          <w:rtl/>
        </w:rPr>
        <w:t>ריטב"א</w:t>
      </w:r>
      <w:r w:rsidRPr="007119D6">
        <w:rPr>
          <w:rFonts w:ascii="Narkisim" w:hAnsi="Narkisim"/>
          <w:rtl/>
        </w:rPr>
        <w:t xml:space="preserve"> כת' דהוה תנאי אליבא דר' טרפון, דאף הברייתא הראשון הוה ר' טרפון, ולהך ברייתא ר' טרפון ל"צ בדיקות. וה</w:t>
      </w:r>
      <w:r w:rsidRPr="007119D6">
        <w:rPr>
          <w:rFonts w:ascii="Narkisim" w:hAnsi="Narkisim"/>
          <w:b/>
          <w:bCs/>
          <w:rtl/>
        </w:rPr>
        <w:t>חש"ל</w:t>
      </w:r>
      <w:r w:rsidRPr="007119D6">
        <w:rPr>
          <w:rFonts w:ascii="Narkisim" w:hAnsi="Narkisim"/>
          <w:rtl/>
        </w:rPr>
        <w:t xml:space="preserve"> ציין דב</w:t>
      </w:r>
      <w:r w:rsidRPr="007119D6">
        <w:rPr>
          <w:rFonts w:ascii="Narkisim" w:hAnsi="Narkisim"/>
          <w:b/>
          <w:bCs/>
          <w:rtl/>
        </w:rPr>
        <w:t>תוספתא</w:t>
      </w:r>
      <w:r w:rsidRPr="007119D6">
        <w:rPr>
          <w:rFonts w:ascii="Narkisim" w:hAnsi="Narkisim"/>
          <w:rtl/>
        </w:rPr>
        <w:t xml:space="preserve"> הברייתא ראשונה לא הוזכר ר' טרפון.</w:t>
      </w:r>
    </w:p>
    <w:p w14:paraId="57B8F19B" w14:textId="77777777" w:rsidR="006C4368" w:rsidRPr="007119D6" w:rsidRDefault="006C4368" w:rsidP="006C4368">
      <w:pPr>
        <w:bidi/>
        <w:rPr>
          <w:rFonts w:ascii="Narkisim" w:hAnsi="Narkisim" w:cs="Narkisim"/>
        </w:rPr>
      </w:pPr>
      <w:r w:rsidRPr="007119D6">
        <w:rPr>
          <w:rFonts w:ascii="Narkisim" w:hAnsi="Narkisim" w:cs="Narkisim"/>
          <w:u w:val="single"/>
          <w:rtl/>
        </w:rPr>
        <w:t>אין בודקין עדי נשים בדרישה ובחקירה דברי ר"ע</w:t>
      </w:r>
      <w:r w:rsidRPr="007119D6">
        <w:rPr>
          <w:rStyle w:val="ac"/>
          <w:rFonts w:ascii="Narkisim" w:hAnsi="Narkisim" w:cs="Narkisim"/>
          <w:u w:val="single"/>
          <w:rtl/>
        </w:rPr>
        <w:footnoteReference w:id="8558"/>
      </w:r>
      <w:r w:rsidRPr="007119D6">
        <w:rPr>
          <w:rFonts w:ascii="Narkisim" w:hAnsi="Narkisim" w:cs="Narkisim"/>
          <w:u w:val="single"/>
          <w:rtl/>
        </w:rPr>
        <w:t>, ר"ט</w:t>
      </w:r>
      <w:r w:rsidRPr="007119D6">
        <w:rPr>
          <w:rStyle w:val="ac"/>
          <w:rFonts w:ascii="Narkisim" w:hAnsi="Narkisim" w:cs="Narkisim"/>
          <w:u w:val="single"/>
          <w:rtl/>
        </w:rPr>
        <w:footnoteReference w:id="8559"/>
      </w:r>
      <w:r w:rsidRPr="007119D6">
        <w:rPr>
          <w:rFonts w:ascii="Narkisim" w:hAnsi="Narkisim" w:cs="Narkisim"/>
          <w:u w:val="single"/>
          <w:rtl/>
        </w:rPr>
        <w:t xml:space="preserve"> אומר בודקין</w:t>
      </w:r>
      <w:r w:rsidRPr="007119D6">
        <w:rPr>
          <w:rStyle w:val="ac"/>
          <w:rFonts w:ascii="Narkisim" w:hAnsi="Narkisim" w:cs="Narkisim"/>
          <w:u w:val="single"/>
          <w:rtl/>
        </w:rPr>
        <w:footnoteReference w:id="8560"/>
      </w:r>
      <w:r w:rsidRPr="007119D6">
        <w:rPr>
          <w:rFonts w:ascii="Narkisim" w:hAnsi="Narkisim" w:cs="Narkisim"/>
          <w:u w:val="single"/>
          <w:rtl/>
        </w:rPr>
        <w:t xml:space="preserve"> וכו'</w:t>
      </w:r>
      <w:r w:rsidRPr="007119D6">
        <w:rPr>
          <w:rFonts w:ascii="Narkisim" w:hAnsi="Narkisim" w:cs="Narkisim"/>
          <w:rtl/>
        </w:rPr>
        <w:t>. ה</w:t>
      </w:r>
      <w:r w:rsidRPr="007119D6">
        <w:rPr>
          <w:rFonts w:ascii="Narkisim" w:hAnsi="Narkisim" w:cs="Narkisim"/>
          <w:b/>
          <w:bCs/>
          <w:rtl/>
        </w:rPr>
        <w:t>רמב"ן</w:t>
      </w:r>
      <w:r w:rsidRPr="007119D6">
        <w:rPr>
          <w:rFonts w:ascii="Narkisim" w:hAnsi="Narkisim" w:cs="Narkisim"/>
          <w:rtl/>
        </w:rPr>
        <w:t xml:space="preserve"> הביא </w:t>
      </w:r>
      <w:r w:rsidRPr="007119D6">
        <w:rPr>
          <w:rFonts w:ascii="Narkisim" w:hAnsi="Narkisim" w:cs="Narkisim"/>
          <w:b/>
          <w:bCs/>
          <w:rtl/>
        </w:rPr>
        <w:t>י"מ</w:t>
      </w:r>
      <w:r w:rsidRPr="007119D6">
        <w:rPr>
          <w:rFonts w:ascii="Narkisim" w:hAnsi="Narkisim" w:cs="Narkisim"/>
          <w:rtl/>
        </w:rPr>
        <w:t xml:space="preserve"> (וכ"כ המאירי) דר"ט קאי קודם שהוחזקו להיות משיאין ע"פ אשה וקרובים</w:t>
      </w:r>
      <w:r w:rsidRPr="007119D6">
        <w:rPr>
          <w:rStyle w:val="ac"/>
          <w:rFonts w:ascii="Narkisim" w:hAnsi="Narkisim" w:cs="Narkisim"/>
          <w:rtl/>
        </w:rPr>
        <w:footnoteReference w:id="8561"/>
      </w:r>
      <w:r w:rsidRPr="007119D6">
        <w:rPr>
          <w:rFonts w:ascii="Narkisim" w:hAnsi="Narkisim" w:cs="Narkisim"/>
          <w:rtl/>
        </w:rPr>
        <w:t xml:space="preserve">. </w:t>
      </w:r>
      <w:r w:rsidRPr="007119D6">
        <w:rPr>
          <w:rFonts w:ascii="Narkisim" w:hAnsi="Narkisim" w:cs="Narkisim"/>
          <w:rtl/>
        </w:rPr>
        <w:lastRenderedPageBreak/>
        <w:t>[אבל לאחר שהקילו בפסולים ל"צ גדרי הגדת עדות</w:t>
      </w:r>
      <w:r w:rsidRPr="007119D6">
        <w:rPr>
          <w:rStyle w:val="ac"/>
          <w:rFonts w:ascii="Narkisim" w:hAnsi="Narkisim" w:cs="Narkisim"/>
          <w:rtl/>
        </w:rPr>
        <w:footnoteReference w:id="8562"/>
      </w:r>
      <w:r w:rsidRPr="007119D6">
        <w:rPr>
          <w:rFonts w:ascii="Narkisim" w:hAnsi="Narkisim" w:cs="Narkisim"/>
          <w:rtl/>
        </w:rPr>
        <w:t>].</w:t>
      </w:r>
    </w:p>
    <w:p w14:paraId="6D19B85F" w14:textId="77777777" w:rsidR="006C4368" w:rsidRPr="007119D6" w:rsidRDefault="006C4368" w:rsidP="006C4368">
      <w:pPr>
        <w:bidi/>
        <w:rPr>
          <w:rFonts w:ascii="Narkisim" w:hAnsi="Narkisim" w:cs="Narkisim"/>
        </w:rPr>
      </w:pPr>
      <w:r w:rsidRPr="007119D6">
        <w:rPr>
          <w:rFonts w:ascii="Narkisim" w:hAnsi="Narkisim" w:cs="Narkisim"/>
          <w:u w:val="single"/>
          <w:rtl/>
        </w:rPr>
        <w:t>וקמפלגי בדר' חנינא, דאמר ר"ח דבר תורה א' דיני ממונות וכו' שנאמר משפט א' וכו'</w:t>
      </w:r>
      <w:r w:rsidRPr="007119D6">
        <w:rPr>
          <w:rFonts w:ascii="Narkisim" w:hAnsi="Narkisim" w:cs="Narkisim"/>
          <w:rtl/>
        </w:rPr>
        <w:t>. בפשוטו משמע דאף עדות דבר שבערוה צריך דרישה וחקירה מדאורייתא</w:t>
      </w:r>
      <w:r w:rsidRPr="007119D6">
        <w:rPr>
          <w:rStyle w:val="ac"/>
          <w:rFonts w:ascii="Narkisim" w:hAnsi="Narkisim" w:cs="Narkisim"/>
          <w:rtl/>
        </w:rPr>
        <w:footnoteReference w:id="8563"/>
      </w:r>
      <w:r w:rsidRPr="007119D6">
        <w:rPr>
          <w:rFonts w:ascii="Narkisim" w:hAnsi="Narkisim" w:cs="Narkisim"/>
          <w:rtl/>
        </w:rPr>
        <w:t>. אבל ה</w:t>
      </w:r>
      <w:r w:rsidRPr="007119D6">
        <w:rPr>
          <w:rFonts w:ascii="Narkisim" w:hAnsi="Narkisim" w:cs="Narkisim"/>
          <w:b/>
          <w:bCs/>
          <w:rtl/>
        </w:rPr>
        <w:t>ריטב"א</w:t>
      </w:r>
      <w:r w:rsidRPr="007119D6">
        <w:rPr>
          <w:rFonts w:ascii="Narkisim" w:hAnsi="Narkisim" w:cs="Narkisim"/>
          <w:rtl/>
        </w:rPr>
        <w:t xml:space="preserve"> (ונמוק"י) בשם </w:t>
      </w:r>
      <w:r w:rsidRPr="007119D6">
        <w:rPr>
          <w:rFonts w:ascii="Narkisim" w:hAnsi="Narkisim" w:cs="Narkisim"/>
          <w:b/>
          <w:bCs/>
          <w:rtl/>
        </w:rPr>
        <w:t>ר' פנחס</w:t>
      </w:r>
      <w:r w:rsidRPr="007119D6">
        <w:rPr>
          <w:rFonts w:ascii="Narkisim" w:hAnsi="Narkisim" w:cs="Narkisim"/>
          <w:rtl/>
        </w:rPr>
        <w:t xml:space="preserve"> כת' דמהדין היתר האשה וגט וקידושין ל"צ דרישה וחקירה מן התורה [לכו”ע], דדוקא בעדות ממון ילפי' משפט א'. והא דילפי' דבר דבר מממון דוקא לעיקר העדות דצריך ב' עדים</w:t>
      </w:r>
      <w:r w:rsidRPr="007119D6">
        <w:rPr>
          <w:rStyle w:val="ac"/>
          <w:rFonts w:ascii="Narkisim" w:hAnsi="Narkisim" w:cs="Narkisim"/>
          <w:rtl/>
        </w:rPr>
        <w:footnoteReference w:id="8564"/>
      </w:r>
      <w:r w:rsidRPr="007119D6">
        <w:rPr>
          <w:rFonts w:ascii="Narkisim" w:hAnsi="Narkisim" w:cs="Narkisim"/>
          <w:rtl/>
        </w:rPr>
        <w:t>.</w:t>
      </w:r>
    </w:p>
    <w:p w14:paraId="0EC31864" w14:textId="77777777" w:rsidR="006C4368" w:rsidRPr="007119D6" w:rsidRDefault="006C4368" w:rsidP="006C4368">
      <w:pPr>
        <w:pStyle w:val="a7"/>
        <w:bidi/>
        <w:rPr>
          <w:rFonts w:ascii="Narkisim" w:hAnsi="Narkisim"/>
        </w:rPr>
      </w:pPr>
      <w:r w:rsidRPr="007119D6">
        <w:rPr>
          <w:rFonts w:ascii="Narkisim" w:hAnsi="Narkisim"/>
          <w:rtl/>
        </w:rPr>
        <w:t>והא דבסוגיין צריך דרישה וחקירה מדינא הוה משום ממון, דיש בו ממון של הכתובה. או משום לא פלוג. וכיון דאיכא שום צד דבעי דרישה וחקירה אזלי' בתריה, ודינו ככתובה דבר תורה</w:t>
      </w:r>
      <w:r w:rsidRPr="007119D6">
        <w:rPr>
          <w:rStyle w:val="ac"/>
          <w:rFonts w:ascii="Narkisim" w:hAnsi="Narkisim"/>
          <w:rtl/>
        </w:rPr>
        <w:footnoteReference w:id="8565"/>
      </w:r>
      <w:r w:rsidRPr="007119D6">
        <w:rPr>
          <w:rFonts w:ascii="Narkisim" w:hAnsi="Narkisim"/>
          <w:rtl/>
        </w:rPr>
        <w:t>.</w:t>
      </w:r>
    </w:p>
    <w:p w14:paraId="6D8B5BD0" w14:textId="77777777" w:rsidR="006C4368" w:rsidRPr="007119D6" w:rsidRDefault="006C4368" w:rsidP="006C4368">
      <w:pPr>
        <w:bidi/>
        <w:rPr>
          <w:rFonts w:ascii="Narkisim" w:hAnsi="Narkisim" w:cs="Narkisim"/>
        </w:rPr>
      </w:pPr>
      <w:r w:rsidRPr="007119D6">
        <w:rPr>
          <w:rFonts w:ascii="Narkisim" w:hAnsi="Narkisim" w:cs="Narkisim"/>
          <w:u w:val="single"/>
          <w:rtl/>
        </w:rPr>
        <w:t>ומה טעם אמרו ד”נ אי"צ דו”ח שלא תנעול דלת לפני לווין</w:t>
      </w:r>
      <w:r w:rsidRPr="007119D6">
        <w:rPr>
          <w:rFonts w:ascii="Narkisim" w:hAnsi="Narkisim" w:cs="Narkisim"/>
          <w:rtl/>
        </w:rPr>
        <w:t>. ובגמ' (סנהדרין לב:) מבואר דדוקא הודאות והלואות ביטלו דרישה וחקירה. אבל דיני קנסות צריך דרישה וחקירה [כדין דאורייתא].</w:t>
      </w:r>
    </w:p>
    <w:p w14:paraId="164E3034" w14:textId="77777777" w:rsidR="006C4368" w:rsidRPr="007119D6" w:rsidRDefault="006C4368" w:rsidP="006C4368">
      <w:pPr>
        <w:pStyle w:val="a8"/>
        <w:bidi/>
        <w:rPr>
          <w:rFonts w:ascii="Narkisim" w:hAnsi="Narkisim"/>
        </w:rPr>
      </w:pPr>
      <w:r w:rsidRPr="007119D6">
        <w:rPr>
          <w:rFonts w:ascii="Narkisim" w:hAnsi="Narkisim"/>
          <w:rtl/>
        </w:rPr>
        <w:t>ו</w:t>
      </w:r>
      <w:r w:rsidRPr="007119D6">
        <w:rPr>
          <w:rFonts w:ascii="Narkisim" w:hAnsi="Narkisim"/>
          <w:b/>
          <w:bCs/>
          <w:rtl/>
        </w:rPr>
        <w:t>תוס</w:t>
      </w:r>
      <w:r w:rsidRPr="007119D6">
        <w:rPr>
          <w:rFonts w:ascii="Narkisim" w:hAnsi="Narkisim"/>
          <w:rtl/>
        </w:rPr>
        <w:t>' (סנהדרין ג.) כת' דמ"מ ירושות ומתנות וכתובת אשה לא בעינן דרישה וחקירה, לנעול דלת בפני גזלנים</w:t>
      </w:r>
      <w:r w:rsidRPr="007119D6">
        <w:rPr>
          <w:rStyle w:val="ac"/>
          <w:rFonts w:ascii="Narkisim" w:hAnsi="Narkisim"/>
          <w:rtl/>
        </w:rPr>
        <w:footnoteReference w:id="8566"/>
      </w:r>
      <w:r w:rsidRPr="007119D6">
        <w:rPr>
          <w:rFonts w:ascii="Narkisim" w:hAnsi="Narkisim"/>
          <w:rtl/>
        </w:rPr>
        <w:t>. וה</w:t>
      </w:r>
      <w:r w:rsidRPr="007119D6">
        <w:rPr>
          <w:rFonts w:ascii="Narkisim" w:hAnsi="Narkisim"/>
          <w:b/>
          <w:bCs/>
          <w:rtl/>
        </w:rPr>
        <w:t>רמב"ן</w:t>
      </w:r>
      <w:r w:rsidRPr="007119D6">
        <w:rPr>
          <w:rFonts w:ascii="Narkisim" w:hAnsi="Narkisim"/>
          <w:rtl/>
        </w:rPr>
        <w:t xml:space="preserve"> ו</w:t>
      </w:r>
      <w:r w:rsidRPr="007119D6">
        <w:rPr>
          <w:rFonts w:ascii="Narkisim" w:hAnsi="Narkisim"/>
          <w:b/>
          <w:bCs/>
          <w:rtl/>
        </w:rPr>
        <w:t>רשב"א</w:t>
      </w:r>
      <w:r w:rsidRPr="007119D6">
        <w:rPr>
          <w:rFonts w:ascii="Narkisim" w:hAnsi="Narkisim"/>
          <w:rtl/>
        </w:rPr>
        <w:t xml:space="preserve"> (בסוגיין) כת' דלא פלוג רבנן בדיני ממונות</w:t>
      </w:r>
      <w:r w:rsidRPr="007119D6">
        <w:rPr>
          <w:rStyle w:val="ac"/>
          <w:rFonts w:ascii="Narkisim" w:hAnsi="Narkisim"/>
          <w:rtl/>
        </w:rPr>
        <w:footnoteReference w:id="8567"/>
      </w:r>
      <w:r w:rsidRPr="007119D6">
        <w:rPr>
          <w:rFonts w:ascii="Narkisim" w:hAnsi="Narkisim"/>
          <w:rtl/>
        </w:rPr>
        <w:t>. ועוד תי' דתקנו משום חינא.</w:t>
      </w:r>
    </w:p>
    <w:p w14:paraId="509BF542"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כת' דאף עדי גיטין וקידושין תקנו דל"צ דרישה וחקירה משום נעילת דלת. דומיא להא דתקנו דדנים בזה בבי”ד הדיוטות. [וכדאי' גיטין פט: דעבדינן שליחותייהו].</w:t>
      </w:r>
    </w:p>
    <w:p w14:paraId="0A1CD1ED"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נמוק"י</w:t>
      </w:r>
      <w:r w:rsidRPr="007119D6">
        <w:rPr>
          <w:rFonts w:ascii="Narkisim" w:hAnsi="Narkisim"/>
          <w:rtl/>
        </w:rPr>
        <w:t xml:space="preserve"> (סנהדרין לב י: בדה”ר) כת' דהא דמהני גט ושטר קידושין שאין בו זמן (ע"ע לעיל לא:) ול"צ דרישה וחקירה</w:t>
      </w:r>
      <w:r w:rsidRPr="007119D6">
        <w:rPr>
          <w:rStyle w:val="ac"/>
          <w:rFonts w:ascii="Narkisim" w:hAnsi="Narkisim"/>
          <w:rtl/>
        </w:rPr>
        <w:footnoteReference w:id="8568"/>
      </w:r>
      <w:r w:rsidRPr="007119D6">
        <w:rPr>
          <w:rFonts w:ascii="Narkisim" w:hAnsi="Narkisim"/>
          <w:rtl/>
        </w:rPr>
        <w:t>, הוה משום תקנה זו. דכיון דשכיחי טובא הוה כהודאות והלואות, ויש כח ביד חכמים לעשות משום דכל דמקדש אדעתא דרבנן מקדש, ובהאי גט אפקעינהו רבנן לקדושי מיניה</w:t>
      </w:r>
      <w:r w:rsidRPr="007119D6">
        <w:rPr>
          <w:rStyle w:val="ac"/>
          <w:rFonts w:ascii="Narkisim" w:hAnsi="Narkisim"/>
          <w:rtl/>
        </w:rPr>
        <w:footnoteReference w:id="8569"/>
      </w:r>
      <w:r w:rsidRPr="007119D6">
        <w:rPr>
          <w:rFonts w:ascii="Narkisim" w:hAnsi="Narkisim"/>
          <w:rtl/>
        </w:rPr>
        <w:t>. [וה</w:t>
      </w:r>
      <w:r w:rsidRPr="007119D6">
        <w:rPr>
          <w:rFonts w:ascii="Narkisim" w:hAnsi="Narkisim"/>
          <w:b/>
          <w:bCs/>
          <w:rtl/>
        </w:rPr>
        <w:t>אחרונים</w:t>
      </w:r>
      <w:r w:rsidRPr="007119D6">
        <w:rPr>
          <w:rFonts w:ascii="Narkisim" w:hAnsi="Narkisim"/>
          <w:rtl/>
        </w:rPr>
        <w:t xml:space="preserve"> (פנ"י גיטין יז., בית מאיר קכז, גר"ח עדות ג, ע' חזו”א יט ג) תמהו בזה, דדוחק לומר דכל הגיטין מהני רק משום אפקעינהו].</w:t>
      </w:r>
    </w:p>
    <w:p w14:paraId="0EAE289F"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דנו דלדעת </w:t>
      </w:r>
      <w:r w:rsidRPr="007119D6">
        <w:rPr>
          <w:rFonts w:ascii="Narkisim" w:hAnsi="Narkisim"/>
          <w:b/>
          <w:bCs/>
          <w:rtl/>
        </w:rPr>
        <w:t>ר' פנחס</w:t>
      </w:r>
      <w:r w:rsidRPr="007119D6">
        <w:rPr>
          <w:rFonts w:ascii="Narkisim" w:hAnsi="Narkisim"/>
          <w:rtl/>
        </w:rPr>
        <w:t xml:space="preserve"> (בריטב"א הנ"ל) מדאורייתא ל"צ דרישה וחקירה בדבר שבערוה</w:t>
      </w:r>
      <w:r w:rsidRPr="007119D6">
        <w:rPr>
          <w:rStyle w:val="ac"/>
          <w:rFonts w:ascii="Narkisim" w:hAnsi="Narkisim"/>
          <w:rtl/>
        </w:rPr>
        <w:footnoteReference w:id="8570"/>
      </w:r>
      <w:r w:rsidRPr="007119D6">
        <w:rPr>
          <w:rFonts w:ascii="Narkisim" w:hAnsi="Narkisim"/>
          <w:rtl/>
        </w:rPr>
        <w:t>. ועוד דנו דלדברי ה</w:t>
      </w:r>
      <w:r w:rsidRPr="007119D6">
        <w:rPr>
          <w:rFonts w:ascii="Narkisim" w:hAnsi="Narkisim"/>
          <w:b/>
          <w:bCs/>
          <w:rtl/>
        </w:rPr>
        <w:t>תו"י</w:t>
      </w:r>
      <w:r w:rsidRPr="007119D6">
        <w:rPr>
          <w:rFonts w:ascii="Narkisim" w:hAnsi="Narkisim"/>
          <w:rtl/>
        </w:rPr>
        <w:t xml:space="preserve"> (עה"ג) אף היכא דצריך דרישה וחקירה, היינו פרטי המעשה. ול"צ זמן.</w:t>
      </w:r>
    </w:p>
    <w:p w14:paraId="4A592617"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בית מאיר</w:t>
      </w:r>
      <w:r w:rsidRPr="007119D6">
        <w:rPr>
          <w:rFonts w:ascii="Narkisim" w:hAnsi="Narkisim"/>
          <w:rtl/>
        </w:rPr>
        <w:t xml:space="preserve"> (קכז) כת' דגט ושטר קידושין הוה שטר קנין, ול"צ דרישה וחקירה. ודוקא שטר ראיה צריך דרישה וחקירה מדאורייתא. וע"ע </w:t>
      </w:r>
      <w:r w:rsidRPr="007119D6">
        <w:rPr>
          <w:rFonts w:ascii="Narkisim" w:hAnsi="Narkisim"/>
          <w:b/>
          <w:bCs/>
          <w:rtl/>
        </w:rPr>
        <w:t>נתיבות</w:t>
      </w:r>
      <w:r w:rsidRPr="007119D6">
        <w:rPr>
          <w:rFonts w:ascii="Narkisim" w:hAnsi="Narkisim"/>
          <w:rtl/>
        </w:rPr>
        <w:t xml:space="preserve"> (כח ז), קצות (ל ב), גר"ח (עדות ג). ואכמ"ל.</w:t>
      </w:r>
    </w:p>
    <w:p w14:paraId="59172163" w14:textId="77777777" w:rsidR="006C4368" w:rsidRPr="007119D6" w:rsidRDefault="006C4368" w:rsidP="006C4368">
      <w:pPr>
        <w:bidi/>
        <w:rPr>
          <w:rFonts w:ascii="Narkisim" w:hAnsi="Narkisim" w:cs="Narkisim"/>
        </w:rPr>
      </w:pPr>
      <w:r w:rsidRPr="007119D6">
        <w:rPr>
          <w:rFonts w:ascii="Narkisim" w:hAnsi="Narkisim" w:cs="Narkisim"/>
          <w:u w:val="single"/>
          <w:rtl/>
        </w:rPr>
        <w:lastRenderedPageBreak/>
        <w:t>מר סבר כיון דאיכא כתובה למשקל כדיני ממונות דמי וכו'</w:t>
      </w:r>
      <w:r w:rsidRPr="007119D6">
        <w:rPr>
          <w:rFonts w:ascii="Narkisim" w:hAnsi="Narkisim" w:cs="Narkisim"/>
          <w:rtl/>
        </w:rPr>
        <w:t>. פ</w:t>
      </w:r>
      <w:r w:rsidRPr="007119D6">
        <w:rPr>
          <w:rFonts w:ascii="Narkisim" w:hAnsi="Narkisim" w:cs="Narkisim"/>
          <w:b/>
          <w:bCs/>
          <w:rtl/>
        </w:rPr>
        <w:t>רש"י</w:t>
      </w:r>
      <w:r w:rsidRPr="007119D6">
        <w:rPr>
          <w:rFonts w:ascii="Narkisim" w:hAnsi="Narkisim" w:cs="Narkisim"/>
          <w:rtl/>
        </w:rPr>
        <w:t xml:space="preserve"> כשתנשאי ע"פ תטול כתובה, דמספר כתובה נלמוד (כדלעיל קיז.). ה</w:t>
      </w:r>
      <w:r w:rsidRPr="007119D6">
        <w:rPr>
          <w:rFonts w:ascii="Narkisim" w:hAnsi="Narkisim" w:cs="Narkisim"/>
          <w:b/>
          <w:bCs/>
          <w:rtl/>
        </w:rPr>
        <w:t>רמב”ן</w:t>
      </w:r>
      <w:r w:rsidRPr="007119D6">
        <w:rPr>
          <w:rFonts w:ascii="Narkisim" w:hAnsi="Narkisim" w:cs="Narkisim"/>
          <w:rtl/>
        </w:rPr>
        <w:t xml:space="preserve"> תמה דכיון עיקר דין עדות אשה דמי לנפשות [וכדמבואר לאידך מ”ד], ומצד נפשות מהדין לא היה צריך להיות נאמן, א”כ למה האמינוהו משום דיני ממונות שבו. וכי מקילין על דיני נפשות משום דיני ממונות. ועוה"ק דבארוסה ליכא כתובה, א"כ תהא צריכה דרישה וחקירה.</w:t>
      </w:r>
    </w:p>
    <w:p w14:paraId="6768B56B"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דכ"ז הוה טעם לתקנ"ח, דכיון דתקנו דליכא דרישה וחקירה בכל דיני ממונות, ואף הכא הדין נותן שתגבה האשה הזו כתובתה על פיהם, ומש”ה ע”כ תקנו חכמים בכל דין זה, והאמינו אותם אף על נשואין שלה. דבעינן לכשתנשאי לאחר תטלי מה שכתוב ליכי. וכן אי אפשר להחמיר בארוסה יותר מנשואה, דהוה חוכא, ומש"ה תקנו אף בארוסה.</w:t>
      </w:r>
    </w:p>
    <w:p w14:paraId="3704BDA3" w14:textId="77777777" w:rsidR="006C4368" w:rsidRPr="007119D6" w:rsidRDefault="006C4368" w:rsidP="006C4368">
      <w:pPr>
        <w:pStyle w:val="a7"/>
        <w:bidi/>
        <w:rPr>
          <w:rFonts w:ascii="Narkisim" w:hAnsi="Narkisim"/>
        </w:rPr>
      </w:pPr>
      <w:r w:rsidRPr="007119D6">
        <w:rPr>
          <w:rFonts w:ascii="Narkisim" w:hAnsi="Narkisim"/>
          <w:rtl/>
        </w:rPr>
        <w:t>ועוד פי' ה</w:t>
      </w:r>
      <w:r w:rsidRPr="007119D6">
        <w:rPr>
          <w:rFonts w:ascii="Narkisim" w:hAnsi="Narkisim"/>
          <w:b/>
          <w:bCs/>
          <w:rtl/>
        </w:rPr>
        <w:t>רמב"ן</w:t>
      </w:r>
      <w:r w:rsidRPr="007119D6">
        <w:rPr>
          <w:rFonts w:ascii="Narkisim" w:hAnsi="Narkisim"/>
          <w:rtl/>
        </w:rPr>
        <w:t xml:space="preserve"> דהנידון בכל עדות דבר שבערוה, האם הוה בכלל התקנה דביטלו דרישה וחקירה. ונראה למי דומה. ולחד מ"ד דמי לדיני ממונות, דברובן פעמים שיש בהן ממון, ואין בהן דיני נפשות השתא כלל. ואידך מ"ד סבר כיון דשרינן אשת איש דבעלמא אתי לדין נפשות כדיני נפשות דמי, ואין מקילין בהן משום ממון שבו.</w:t>
      </w:r>
    </w:p>
    <w:p w14:paraId="4BEBE20B" w14:textId="77777777" w:rsidR="006C4368" w:rsidRPr="007119D6" w:rsidRDefault="006C4368" w:rsidP="006C4368">
      <w:pPr>
        <w:pStyle w:val="a8"/>
        <w:bidi/>
        <w:rPr>
          <w:rFonts w:ascii="Narkisim" w:hAnsi="Narkisim"/>
        </w:rPr>
      </w:pPr>
      <w:r w:rsidRPr="007119D6">
        <w:rPr>
          <w:rFonts w:ascii="Narkisim" w:hAnsi="Narkisim"/>
          <w:rtl/>
        </w:rPr>
        <w:t>ונפק"מ בעדות גיטין וקידושין האם תקנו דל"צ דרישה וחקירה</w:t>
      </w:r>
      <w:r w:rsidRPr="007119D6">
        <w:rPr>
          <w:rStyle w:val="ac"/>
          <w:rFonts w:ascii="Narkisim" w:hAnsi="Narkisim"/>
          <w:rtl/>
        </w:rPr>
        <w:footnoteReference w:id="8571"/>
      </w:r>
      <w:r w:rsidRPr="007119D6">
        <w:rPr>
          <w:rFonts w:ascii="Narkisim" w:hAnsi="Narkisim"/>
          <w:rtl/>
        </w:rPr>
        <w:t>.</w:t>
      </w:r>
    </w:p>
    <w:p w14:paraId="334B92F1" w14:textId="77777777" w:rsidR="006C4368" w:rsidRPr="007119D6" w:rsidRDefault="006C4368" w:rsidP="006C4368">
      <w:pPr>
        <w:bidi/>
        <w:rPr>
          <w:rFonts w:ascii="Narkisim" w:hAnsi="Narkisim" w:cs="Narkisim"/>
        </w:rPr>
      </w:pPr>
      <w:r w:rsidRPr="007119D6">
        <w:rPr>
          <w:rFonts w:ascii="Narkisim" w:hAnsi="Narkisim" w:cs="Narkisim"/>
          <w:u w:val="single"/>
          <w:rtl/>
        </w:rPr>
        <w:t>שם.</w:t>
      </w:r>
      <w:r w:rsidRPr="007119D6">
        <w:rPr>
          <w:rFonts w:ascii="Narkisim" w:hAnsi="Narkisim" w:cs="Narkisim"/>
          <w:rtl/>
        </w:rPr>
        <w:t xml:space="preserve"> ה</w:t>
      </w:r>
      <w:r w:rsidRPr="007119D6">
        <w:rPr>
          <w:rFonts w:ascii="Narkisim" w:hAnsi="Narkisim" w:cs="Narkisim"/>
          <w:b/>
          <w:bCs/>
          <w:rtl/>
        </w:rPr>
        <w:t>רמב"ם</w:t>
      </w:r>
      <w:r w:rsidRPr="007119D6">
        <w:rPr>
          <w:rFonts w:ascii="Narkisim" w:hAnsi="Narkisim" w:cs="Narkisim"/>
          <w:rtl/>
        </w:rPr>
        <w:t xml:space="preserve"> (יג כח) כת' דאין בודקין עידי אשה בדרישה וחקירה, שלא אמרו חכמים בדבר להחמיר אלא להקל משום התרת עגונה. וה</w:t>
      </w:r>
      <w:r w:rsidRPr="007119D6">
        <w:rPr>
          <w:rFonts w:ascii="Narkisim" w:hAnsi="Narkisim" w:cs="Narkisim"/>
          <w:b/>
          <w:bCs/>
          <w:rtl/>
        </w:rPr>
        <w:t>רשב"א</w:t>
      </w:r>
      <w:r w:rsidRPr="007119D6">
        <w:rPr>
          <w:rFonts w:ascii="Narkisim" w:hAnsi="Narkisim" w:cs="Narkisim"/>
          <w:rtl/>
        </w:rPr>
        <w:t xml:space="preserve"> הק' דבסוגיין הוזכר טעמים אחרים.</w:t>
      </w:r>
    </w:p>
    <w:p w14:paraId="7551044F" w14:textId="77777777" w:rsidR="006C4368" w:rsidRPr="007119D6" w:rsidRDefault="006C4368" w:rsidP="006C4368">
      <w:pPr>
        <w:pStyle w:val="a8"/>
        <w:bidi/>
        <w:rPr>
          <w:rFonts w:ascii="Narkisim" w:hAnsi="Narkisim"/>
        </w:rPr>
      </w:pPr>
      <w:r w:rsidRPr="007119D6">
        <w:rPr>
          <w:rFonts w:ascii="Narkisim" w:hAnsi="Narkisim"/>
          <w:rtl/>
        </w:rPr>
        <w:t>וב</w:t>
      </w:r>
      <w:r w:rsidRPr="007119D6">
        <w:rPr>
          <w:rFonts w:ascii="Narkisim" w:hAnsi="Narkisim"/>
          <w:b/>
          <w:bCs/>
          <w:rtl/>
        </w:rPr>
        <w:t>שו"ת שב יעקב</w:t>
      </w:r>
      <w:r w:rsidRPr="007119D6">
        <w:rPr>
          <w:rFonts w:ascii="Narkisim" w:hAnsi="Narkisim"/>
          <w:rtl/>
        </w:rPr>
        <w:t xml:space="preserve"> (יח הו' בק”נ) תי' דבברייתא אי' סתמא דאין בודקין עידי נשים, ואף באופן דליכא עגונא. ואפ"ה אי"צ דרישה וחקירה. ומש"ה הגמ' הוצרך לטעם דמשום דכתובה הוי כדיני ממונות</w:t>
      </w:r>
      <w:r w:rsidRPr="007119D6">
        <w:rPr>
          <w:rStyle w:val="ac"/>
          <w:rFonts w:ascii="Narkisim" w:hAnsi="Narkisim"/>
          <w:rtl/>
        </w:rPr>
        <w:footnoteReference w:id="8572"/>
      </w:r>
      <w:r w:rsidRPr="007119D6">
        <w:rPr>
          <w:rFonts w:ascii="Narkisim" w:hAnsi="Narkisim"/>
          <w:rtl/>
        </w:rPr>
        <w:t>. וה</w:t>
      </w:r>
      <w:r w:rsidRPr="007119D6">
        <w:rPr>
          <w:rFonts w:ascii="Narkisim" w:hAnsi="Narkisim"/>
          <w:b/>
          <w:bCs/>
          <w:rtl/>
        </w:rPr>
        <w:t>ק"נ</w:t>
      </w:r>
      <w:r w:rsidRPr="007119D6">
        <w:rPr>
          <w:rFonts w:ascii="Narkisim" w:hAnsi="Narkisim"/>
          <w:rtl/>
        </w:rPr>
        <w:t xml:space="preserve"> תמה דלא פלוג רבנן, ועד א' מהני אף היכא דליכא עיגונא.</w:t>
      </w:r>
    </w:p>
    <w:p w14:paraId="401F45F5" w14:textId="77777777" w:rsidR="006C4368" w:rsidRPr="007119D6" w:rsidRDefault="006C4368" w:rsidP="006C4368">
      <w:pPr>
        <w:pStyle w:val="a7"/>
        <w:bidi/>
        <w:rPr>
          <w:rFonts w:ascii="Narkisim" w:hAnsi="Narkisim"/>
        </w:rPr>
      </w:pPr>
      <w:r w:rsidRPr="007119D6">
        <w:rPr>
          <w:rFonts w:ascii="Narkisim" w:hAnsi="Narkisim"/>
          <w:rtl/>
        </w:rPr>
        <w:t>וה</w:t>
      </w:r>
      <w:r w:rsidRPr="007119D6">
        <w:rPr>
          <w:rFonts w:ascii="Narkisim" w:hAnsi="Narkisim"/>
          <w:b/>
          <w:bCs/>
          <w:rtl/>
        </w:rPr>
        <w:t>יש"ש</w:t>
      </w:r>
      <w:r w:rsidRPr="007119D6">
        <w:rPr>
          <w:rFonts w:ascii="Narkisim" w:hAnsi="Narkisim"/>
          <w:rtl/>
        </w:rPr>
        <w:t xml:space="preserve"> כת' דלר"ע משום עיגונא קבעו דהוה כדיני ממונות, ובטלו דרישה וחקירה. וה</w:t>
      </w:r>
      <w:r w:rsidRPr="007119D6">
        <w:rPr>
          <w:rFonts w:ascii="Narkisim" w:hAnsi="Narkisim"/>
          <w:b/>
          <w:bCs/>
          <w:rtl/>
        </w:rPr>
        <w:t>ק"נ</w:t>
      </w:r>
      <w:r w:rsidRPr="007119D6">
        <w:rPr>
          <w:rFonts w:ascii="Narkisim" w:hAnsi="Narkisim"/>
          <w:rtl/>
        </w:rPr>
        <w:t xml:space="preserve"> (ועוד אחרונים) תי' דהגמ' כאן קאי קודם שהוחזקו להשיא ע"פ פסולים</w:t>
      </w:r>
      <w:r w:rsidRPr="007119D6">
        <w:rPr>
          <w:rStyle w:val="ac"/>
          <w:rFonts w:ascii="Narkisim" w:hAnsi="Narkisim"/>
          <w:rtl/>
        </w:rPr>
        <w:footnoteReference w:id="8573"/>
      </w:r>
      <w:r w:rsidRPr="007119D6">
        <w:rPr>
          <w:rFonts w:ascii="Narkisim" w:hAnsi="Narkisim"/>
          <w:rtl/>
        </w:rPr>
        <w:t>, אבל לאחר שמשיאין ע"פ פסולים ועד מפי עד ל"צ דרישה וחקירה. ומשום עיגונא ל"צ עדות כשירה, ומש"ה ל"צ דרישה וחקירה. וכי"מ ברמב"ן (הו' לעיל).</w:t>
      </w:r>
    </w:p>
    <w:p w14:paraId="0ACB9A34" w14:textId="77777777" w:rsidR="006C4368" w:rsidRPr="007119D6" w:rsidRDefault="006C4368" w:rsidP="006C4368">
      <w:pPr>
        <w:pStyle w:val="a7"/>
        <w:bidi/>
        <w:rPr>
          <w:rFonts w:ascii="Narkisim" w:hAnsi="Narkisim"/>
        </w:rPr>
      </w:pPr>
      <w:r w:rsidRPr="007119D6">
        <w:rPr>
          <w:rFonts w:ascii="Narkisim" w:hAnsi="Narkisim"/>
          <w:rtl/>
        </w:rPr>
        <w:t>וב</w:t>
      </w:r>
      <w:r w:rsidRPr="007119D6">
        <w:rPr>
          <w:rFonts w:ascii="Narkisim" w:hAnsi="Narkisim"/>
          <w:b/>
          <w:bCs/>
          <w:rtl/>
        </w:rPr>
        <w:t>שו"ת הרמב"ם</w:t>
      </w:r>
      <w:r w:rsidRPr="007119D6">
        <w:rPr>
          <w:rFonts w:ascii="Narkisim" w:hAnsi="Narkisim"/>
          <w:rtl/>
        </w:rPr>
        <w:t xml:space="preserve"> (שנא [קסז], הו' בב"י ורמ"א יז כא) כת' דאסור לדרוש ולחקור הרבה</w:t>
      </w:r>
      <w:r w:rsidRPr="007119D6">
        <w:rPr>
          <w:rStyle w:val="ac"/>
          <w:rFonts w:ascii="Narkisim" w:hAnsi="Narkisim"/>
          <w:rtl/>
        </w:rPr>
        <w:footnoteReference w:id="8574"/>
      </w:r>
      <w:r w:rsidRPr="007119D6">
        <w:rPr>
          <w:rFonts w:ascii="Narkisim" w:hAnsi="Narkisim"/>
          <w:rtl/>
        </w:rPr>
        <w:t>. וה</w:t>
      </w:r>
      <w:r w:rsidRPr="007119D6">
        <w:rPr>
          <w:rFonts w:ascii="Narkisim" w:hAnsi="Narkisim"/>
          <w:b/>
          <w:bCs/>
          <w:rtl/>
        </w:rPr>
        <w:t>גר"א</w:t>
      </w:r>
      <w:r w:rsidRPr="007119D6">
        <w:rPr>
          <w:rFonts w:ascii="Narkisim" w:hAnsi="Narkisim"/>
          <w:rtl/>
        </w:rPr>
        <w:t xml:space="preserve"> (שם פא) כת' דלפ"ז ניחא הא דהרמב"ם כת' טעם אחר, דמשום עיגונא אסור לחקור.</w:t>
      </w:r>
    </w:p>
    <w:p w14:paraId="3FE77A55" w14:textId="77777777" w:rsidR="006C4368" w:rsidRPr="007119D6" w:rsidRDefault="006C4368" w:rsidP="006C4368">
      <w:pPr>
        <w:pStyle w:val="aa"/>
        <w:bidi/>
        <w:rPr>
          <w:rFonts w:ascii="Narkisim" w:hAnsi="Narkisim"/>
        </w:rPr>
      </w:pPr>
      <w:r w:rsidRPr="007119D6">
        <w:rPr>
          <w:rFonts w:ascii="Narkisim" w:hAnsi="Narkisim"/>
          <w:rtl/>
        </w:rPr>
        <w:t>אך ה</w:t>
      </w:r>
      <w:r w:rsidRPr="007119D6">
        <w:rPr>
          <w:rFonts w:ascii="Narkisim" w:hAnsi="Narkisim"/>
          <w:b/>
          <w:bCs/>
          <w:rtl/>
        </w:rPr>
        <w:t>רמ"א</w:t>
      </w:r>
      <w:r w:rsidRPr="007119D6">
        <w:rPr>
          <w:rFonts w:ascii="Narkisim" w:hAnsi="Narkisim"/>
          <w:rtl/>
        </w:rPr>
        <w:t xml:space="preserve"> (שם בשם מהר"י וייל קנ) כת' דבמקום שיש חשש הערמה צריך לדרוש ולחקור</w:t>
      </w:r>
      <w:r w:rsidRPr="007119D6">
        <w:rPr>
          <w:rStyle w:val="ac"/>
          <w:rFonts w:ascii="Narkisim" w:hAnsi="Narkisim"/>
          <w:rtl/>
        </w:rPr>
        <w:footnoteReference w:id="8575"/>
      </w:r>
      <w:r w:rsidRPr="007119D6">
        <w:rPr>
          <w:rFonts w:ascii="Narkisim" w:hAnsi="Narkisim"/>
          <w:rtl/>
        </w:rPr>
        <w:t>.</w:t>
      </w:r>
    </w:p>
    <w:p w14:paraId="2E4CE69F" w14:textId="77777777" w:rsidR="006C4368" w:rsidRPr="007119D6" w:rsidRDefault="006C4368" w:rsidP="006C4368">
      <w:pPr>
        <w:bidi/>
        <w:rPr>
          <w:rFonts w:ascii="Narkisim" w:hAnsi="Narkisim" w:cs="Narkisim"/>
        </w:rPr>
      </w:pPr>
      <w:r w:rsidRPr="007119D6">
        <w:rPr>
          <w:rFonts w:ascii="Narkisim" w:hAnsi="Narkisim" w:cs="Narkisim"/>
          <w:u w:val="single"/>
          <w:rtl/>
        </w:rPr>
        <w:t>תלמידי חכמים מרבים שלום בעולם וכו'</w:t>
      </w:r>
      <w:r w:rsidRPr="007119D6">
        <w:rPr>
          <w:rFonts w:ascii="Narkisim" w:hAnsi="Narkisim" w:cs="Narkisim"/>
          <w:rtl/>
        </w:rPr>
        <w:t>. ה</w:t>
      </w:r>
      <w:r w:rsidRPr="007119D6">
        <w:rPr>
          <w:rFonts w:ascii="Narkisim" w:hAnsi="Narkisim" w:cs="Narkisim"/>
          <w:b/>
          <w:bCs/>
          <w:rtl/>
        </w:rPr>
        <w:t>מהרש"א</w:t>
      </w:r>
      <w:r w:rsidRPr="007119D6">
        <w:rPr>
          <w:rFonts w:ascii="Narkisim" w:hAnsi="Narkisim" w:cs="Narkisim"/>
          <w:rtl/>
        </w:rPr>
        <w:t xml:space="preserve"> (ח"א) ציין דכ"ה סיום המסכת בברכות נזיר וכריתות.</w:t>
      </w:r>
    </w:p>
    <w:p w14:paraId="57383023" w14:textId="77777777" w:rsidR="006C4368" w:rsidRPr="007119D6" w:rsidRDefault="006C4368" w:rsidP="006C4368">
      <w:pPr>
        <w:pStyle w:val="a8"/>
        <w:bidi/>
        <w:rPr>
          <w:rFonts w:ascii="Narkisim" w:hAnsi="Narkisim"/>
        </w:rPr>
      </w:pPr>
      <w:r w:rsidRPr="007119D6">
        <w:rPr>
          <w:rFonts w:ascii="Narkisim" w:hAnsi="Narkisim"/>
          <w:rtl/>
        </w:rPr>
        <w:t>וה</w:t>
      </w:r>
      <w:r w:rsidRPr="007119D6">
        <w:rPr>
          <w:rFonts w:ascii="Narkisim" w:hAnsi="Narkisim"/>
          <w:b/>
          <w:bCs/>
          <w:rtl/>
        </w:rPr>
        <w:t>מהרש"א</w:t>
      </w:r>
      <w:r w:rsidRPr="007119D6">
        <w:rPr>
          <w:rFonts w:ascii="Narkisim" w:hAnsi="Narkisim"/>
          <w:rtl/>
        </w:rPr>
        <w:t xml:space="preserve"> ביאר דקאי אדלעיל, דמן התורה בעי דרישה וחקירה והקילו באשת איש לעקור דבר מן התורה. וביאר דאין זו עקירה מן התורה אבל דברים אלו נוגעים במדת השלום וכו'. ה' עוז לעמו יתן שאין זה עקירת דבר מן התורה כי הקב"ה נתן עוז וכח לעמו [שהם ת"ח בדבר הזה] להיות מקילין בדבר, שהרי ה' יברך את עמו בשלום. וע"ע ערול"נ.</w:t>
      </w:r>
    </w:p>
    <w:p w14:paraId="219B8868" w14:textId="77777777" w:rsidR="006C4368" w:rsidRPr="007119D6" w:rsidRDefault="006C4368" w:rsidP="006C4368">
      <w:pPr>
        <w:pStyle w:val="2"/>
        <w:bidi/>
        <w:rPr>
          <w:rFonts w:ascii="Narkisim" w:hAnsi="Narkisim"/>
        </w:rPr>
      </w:pPr>
      <w:r w:rsidRPr="007119D6">
        <w:rPr>
          <w:rFonts w:ascii="Narkisim" w:hAnsi="Narkisim"/>
          <w:rtl/>
        </w:rPr>
        <w:t>הדרן עלך פרק האשה בתרא</w:t>
      </w:r>
    </w:p>
    <w:p w14:paraId="5D7EC243" w14:textId="77777777" w:rsidR="00BE1D1C" w:rsidRPr="006C4368" w:rsidRDefault="00BE1D1C" w:rsidP="006C4368">
      <w:pPr>
        <w:pStyle w:val="aa"/>
        <w:bidi/>
        <w:rPr>
          <w:rFonts w:ascii="Narkisim" w:hAnsi="Narkisim"/>
        </w:rPr>
      </w:pPr>
    </w:p>
    <w:sectPr w:rsidR="00BE1D1C" w:rsidRPr="006C4368">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7926A" w14:textId="77777777" w:rsidR="003D73C3" w:rsidRDefault="003D73C3">
      <w:pPr>
        <w:spacing w:before="0" w:after="0"/>
      </w:pPr>
      <w:r>
        <w:separator/>
      </w:r>
    </w:p>
  </w:endnote>
  <w:endnote w:type="continuationSeparator" w:id="0">
    <w:p w14:paraId="1AC1EEA3" w14:textId="77777777" w:rsidR="003D73C3" w:rsidRDefault="003D73C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E4D84" w14:textId="77777777" w:rsidR="003D73C3" w:rsidRDefault="003D73C3">
      <w:pPr>
        <w:spacing w:before="0" w:after="0"/>
      </w:pPr>
      <w:r>
        <w:ptab w:relativeTo="margin" w:alignment="right" w:leader="none"/>
      </w:r>
      <w:r>
        <w:rPr>
          <w:color w:val="000000"/>
        </w:rPr>
        <w:separator/>
      </w:r>
    </w:p>
  </w:footnote>
  <w:footnote w:type="continuationSeparator" w:id="0">
    <w:p w14:paraId="74740B34" w14:textId="77777777" w:rsidR="003D73C3" w:rsidRDefault="003D73C3">
      <w:pPr>
        <w:spacing w:before="0" w:after="0"/>
      </w:pPr>
      <w:r>
        <w:continuationSeparator/>
      </w:r>
    </w:p>
  </w:footnote>
  <w:footnote w:id="1">
    <w:p w14:paraId="421B70F6" w14:textId="77777777" w:rsidR="00BE1D1C" w:rsidRDefault="00000000" w:rsidP="00012502">
      <w:pPr>
        <w:pStyle w:val="Footnote"/>
        <w:bidi/>
      </w:pPr>
      <w:r>
        <w:rPr>
          <w:rStyle w:val="ac"/>
          <w:rtl/>
        </w:rPr>
        <w:footnoteRef/>
      </w:r>
      <w:r>
        <w:rPr>
          <w:rtl/>
        </w:rPr>
        <w:t>ומשמע מדברי הרמב"ן דקודם מתן תורה לא הותר איסורי עריות [דבני נח] משום מצוות יבום. וה</w:t>
      </w:r>
      <w:r>
        <w:rPr>
          <w:b/>
          <w:bCs/>
          <w:rtl/>
        </w:rPr>
        <w:t>רמב"ן</w:t>
      </w:r>
      <w:r>
        <w:rPr>
          <w:rtl/>
        </w:rPr>
        <w:t xml:space="preserve"> (לקמן צח.) הוכיח מיהודה ותמר דבן נח מותר בכלתו, דאין להם עריות של אישות. וה</w:t>
      </w:r>
      <w:r>
        <w:rPr>
          <w:b/>
          <w:bCs/>
          <w:rtl/>
        </w:rPr>
        <w:t>רשב"א</w:t>
      </w:r>
      <w:r>
        <w:rPr>
          <w:rtl/>
        </w:rPr>
        <w:t xml:space="preserve"> (צח.) דחה </w:t>
      </w:r>
      <w:r>
        <w:rPr>
          <w:rtl/>
          <w:lang w:val="he-IL"/>
        </w:rPr>
        <w:t>דתמר היתה מותר ליהודה מדין יבום, דקודם התורה היה יבום מותר בקרובין, אלא שיהודה רצה לנהוג בה כדרך שצותה התורה באחים לא באב, שהאח עיקר</w:t>
      </w:r>
      <w:r>
        <w:rPr>
          <w:rFonts w:cs="Times New Roman"/>
          <w:rtl/>
          <w:lang w:val="he-IL"/>
        </w:rPr>
        <w:t>.</w:t>
      </w:r>
    </w:p>
    <w:p w14:paraId="31C957D9" w14:textId="77777777" w:rsidR="00BE1D1C" w:rsidRDefault="00000000" w:rsidP="00012502">
      <w:pPr>
        <w:pStyle w:val="Footnote"/>
        <w:bidi/>
      </w:pPr>
      <w:r>
        <w:rPr>
          <w:rFonts w:cs="Times New Roman"/>
          <w:rtl/>
          <w:lang w:val="he-IL"/>
        </w:rPr>
        <w:tab/>
      </w:r>
      <w:r>
        <w:rPr>
          <w:rtl/>
          <w:lang w:val="he-IL"/>
        </w:rPr>
        <w:t>וה</w:t>
      </w:r>
      <w:r>
        <w:rPr>
          <w:b/>
          <w:bCs/>
          <w:rtl/>
          <w:lang w:val="he-IL"/>
        </w:rPr>
        <w:t>קובה"ע</w:t>
      </w:r>
      <w:r>
        <w:rPr>
          <w:rtl/>
          <w:lang w:val="he-IL"/>
        </w:rPr>
        <w:t xml:space="preserve"> (ט ז) העמיד דדעת הרמב"ן דקודם מתן תורה יבום היה רשות, ומש"ה לא הותרו איסורי עריות משום יבום. ואילו הרשב"א ס"ל דיבום מתיר איסור ערוה אפי' במקום דהוה רשות, ואין ביבום מצוה</w:t>
      </w:r>
      <w:r>
        <w:rPr>
          <w:rFonts w:cs="Times New Roman"/>
          <w:rtl/>
          <w:lang w:val="he-IL"/>
        </w:rPr>
        <w:t>.</w:t>
      </w:r>
    </w:p>
  </w:footnote>
  <w:footnote w:id="2">
    <w:p w14:paraId="143BE871" w14:textId="77777777" w:rsidR="00BE1D1C" w:rsidRDefault="00000000" w:rsidP="00012502">
      <w:pPr>
        <w:pStyle w:val="Footnote"/>
        <w:bidi/>
      </w:pPr>
      <w:r>
        <w:rPr>
          <w:rStyle w:val="ac"/>
          <w:rtl/>
        </w:rPr>
        <w:footnoteRef/>
      </w:r>
      <w:r>
        <w:rPr>
          <w:rtl/>
        </w:rPr>
        <w:t>ע' רשב"א (מא.), רמ"ה (סנהדרין נג.), רמב"ן (תוה"א ברכות יט: הו' בקובה"ע ט ב).</w:t>
      </w:r>
    </w:p>
  </w:footnote>
  <w:footnote w:id="3">
    <w:p w14:paraId="5950EAE6" w14:textId="77777777" w:rsidR="00BE1D1C" w:rsidRDefault="00000000" w:rsidP="00012502">
      <w:pPr>
        <w:pStyle w:val="Footnote"/>
        <w:bidi/>
      </w:pPr>
      <w:r>
        <w:rPr>
          <w:rStyle w:val="ac"/>
          <w:rtl/>
        </w:rPr>
        <w:footnoteRef/>
      </w:r>
      <w:r>
        <w:rPr>
          <w:rtl/>
        </w:rPr>
        <w:t>וה</w:t>
      </w:r>
      <w:r>
        <w:rPr>
          <w:b/>
          <w:bCs/>
          <w:rtl/>
        </w:rPr>
        <w:t>רמב"ם</w:t>
      </w:r>
      <w:r>
        <w:rPr>
          <w:rtl/>
        </w:rPr>
        <w:t xml:space="preserve"> (יבום ו ט,יד) דרש מפסוק אחר [ע' לקמן ח.].</w:t>
      </w:r>
    </w:p>
  </w:footnote>
  <w:footnote w:id="4">
    <w:p w14:paraId="10506E12" w14:textId="77777777" w:rsidR="00BE1D1C" w:rsidRDefault="00000000" w:rsidP="00012502">
      <w:pPr>
        <w:pStyle w:val="Footnote"/>
        <w:bidi/>
      </w:pPr>
      <w:r>
        <w:rPr>
          <w:rStyle w:val="ac"/>
          <w:rtl/>
        </w:rPr>
        <w:footnoteRef/>
      </w:r>
      <w:r>
        <w:rPr>
          <w:rtl/>
        </w:rPr>
        <w:t>ולדעת רש"י צ"ל דהיינו משום אשת אח. [ויתבאר לקמן שם].</w:t>
      </w:r>
    </w:p>
  </w:footnote>
  <w:footnote w:id="5">
    <w:p w14:paraId="789B6D52" w14:textId="77777777" w:rsidR="00BE1D1C" w:rsidRDefault="00000000" w:rsidP="00012502">
      <w:pPr>
        <w:pStyle w:val="Footnote"/>
        <w:bidi/>
      </w:pPr>
      <w:r>
        <w:rPr>
          <w:rStyle w:val="ac"/>
          <w:rtl/>
        </w:rPr>
        <w:footnoteRef/>
      </w:r>
      <w:r>
        <w:rPr>
          <w:rtl/>
        </w:rPr>
        <w:t>וה</w:t>
      </w:r>
      <w:r>
        <w:rPr>
          <w:b/>
          <w:bCs/>
          <w:rtl/>
        </w:rPr>
        <w:t>אחרונים</w:t>
      </w:r>
      <w:r>
        <w:rPr>
          <w:rtl/>
        </w:rPr>
        <w:t xml:space="preserve"> הקשו אמאי לא הוזכר במשנה ריש כריתות בהדי ל"ו חיובי כרת. אמנם ה</w:t>
      </w:r>
      <w:r>
        <w:rPr>
          <w:b/>
          <w:bCs/>
          <w:rtl/>
        </w:rPr>
        <w:t xml:space="preserve">מאירי </w:t>
      </w:r>
      <w:r>
        <w:rPr>
          <w:rtl/>
        </w:rPr>
        <w:t>(לקמן כא.) מנה צרת ערוה בכלל העריות. [אך יש שדחו דכוונת המאירי דהוה 'שם ערוה' שיש בה חומר כרת, ומש"ה פטורה מיבום. אבל י"ל דליכא איסור ביאה בפועל].</w:t>
      </w:r>
    </w:p>
  </w:footnote>
  <w:footnote w:id="6">
    <w:p w14:paraId="7DBDD93F" w14:textId="77777777" w:rsidR="00BE1D1C" w:rsidRDefault="00000000" w:rsidP="00012502">
      <w:pPr>
        <w:pStyle w:val="Footnote"/>
        <w:bidi/>
      </w:pPr>
      <w:r>
        <w:rPr>
          <w:rStyle w:val="ac"/>
          <w:rtl/>
        </w:rPr>
        <w:footnoteRef/>
      </w:r>
      <w:r>
        <w:rPr>
          <w:rtl/>
        </w:rPr>
        <w:t>ובפור"י נקט דכשבא עליה חייב ב'. וצ"ב דכיון דיש 'פטור' מיבום [מדין צרת ערוה], א"כ אמאי חשיב 'מקום מצוה'. וצ"ל דכיון דלולי הפטור הוה מקום מצווה. וב</w:t>
      </w:r>
      <w:r>
        <w:rPr>
          <w:b/>
          <w:bCs/>
          <w:rtl/>
        </w:rPr>
        <w:t>משנת ר' אהרן</w:t>
      </w:r>
      <w:r>
        <w:rPr>
          <w:rtl/>
        </w:rPr>
        <w:t xml:space="preserve"> (ב) כת' דאה"נ לא משכח"ל איסור ביאה זו. אלא הוה שם ערוה ואיסור ביאה, ועי"ז נפטרה מיבום, וממילא אין מצב של מקום מצוה. והוה איסור תיאורטי, ואין אפשרות בפועל לעבור על איסור זו דהוה שלא במקום מצוה. [וי"ל דזה כוונת הגרי"ז].</w:t>
      </w:r>
    </w:p>
  </w:footnote>
  <w:footnote w:id="7">
    <w:p w14:paraId="77444CD4" w14:textId="77777777" w:rsidR="00BE1D1C" w:rsidRDefault="00000000" w:rsidP="00012502">
      <w:pPr>
        <w:pStyle w:val="Footnote"/>
        <w:bidi/>
      </w:pPr>
      <w:r>
        <w:rPr>
          <w:rStyle w:val="ac"/>
          <w:rtl/>
        </w:rPr>
        <w:footnoteRef/>
      </w:r>
      <w:r>
        <w:rPr>
          <w:rtl/>
        </w:rPr>
        <w:t>ועפ"ז ביאר דדין הצרה תליא באיסור הערוה בפועל, ולא בגדרי הפטור מיבום ע' לקמן י. ולב. ועוד].</w:t>
      </w:r>
    </w:p>
  </w:footnote>
  <w:footnote w:id="8">
    <w:p w14:paraId="12446677" w14:textId="77777777" w:rsidR="00BE1D1C" w:rsidRDefault="00000000" w:rsidP="00012502">
      <w:pPr>
        <w:pStyle w:val="Footnote"/>
        <w:bidi/>
      </w:pPr>
      <w:r>
        <w:rPr>
          <w:rStyle w:val="ac"/>
          <w:rtl/>
        </w:rPr>
        <w:footnoteRef/>
      </w:r>
      <w:r>
        <w:rPr>
          <w:rtl/>
        </w:rPr>
        <w:t>דהנך עריות אינם אסורות לאחיו, וכלפי אחיו אינו צרת ערוה.</w:t>
      </w:r>
    </w:p>
  </w:footnote>
  <w:footnote w:id="9">
    <w:p w14:paraId="651BAA09" w14:textId="77777777" w:rsidR="00BE1D1C" w:rsidRDefault="00000000" w:rsidP="00012502">
      <w:pPr>
        <w:pStyle w:val="Footnote"/>
        <w:bidi/>
      </w:pPr>
      <w:r>
        <w:rPr>
          <w:rStyle w:val="ac"/>
          <w:rtl/>
        </w:rPr>
        <w:footnoteRef/>
      </w:r>
      <w:r>
        <w:rPr>
          <w:rtl/>
        </w:rPr>
        <w:t>[ונח' ר' יוחנן ור"ל (לקמן י:) האם יש איסור אשת אח אחרי חליצת אחיו. עי"ש].</w:t>
      </w:r>
    </w:p>
  </w:footnote>
  <w:footnote w:id="10">
    <w:p w14:paraId="71570E0F" w14:textId="77777777" w:rsidR="00BE1D1C" w:rsidRDefault="00000000" w:rsidP="00012502">
      <w:pPr>
        <w:pStyle w:val="Footnote"/>
        <w:bidi/>
      </w:pPr>
      <w:r>
        <w:rPr>
          <w:rStyle w:val="ac"/>
          <w:rtl/>
        </w:rPr>
        <w:footnoteRef/>
      </w:r>
      <w:r>
        <w:rPr>
          <w:rtl/>
        </w:rPr>
        <w:t>[וב</w:t>
      </w:r>
      <w:r>
        <w:rPr>
          <w:b/>
          <w:bCs/>
          <w:rtl/>
        </w:rPr>
        <w:t>חי' ר' שמעון</w:t>
      </w:r>
      <w:r>
        <w:rPr>
          <w:rtl/>
        </w:rPr>
        <w:t xml:space="preserve"> (ה) ביאר דנתרוקן ליבם כל אישות הראשון]. {ויל"ד בגדר הדבר וע"ע לקמן ח: ויט:}.</w:t>
      </w:r>
    </w:p>
  </w:footnote>
  <w:footnote w:id="11">
    <w:p w14:paraId="33C339C7" w14:textId="77777777" w:rsidR="00BE1D1C" w:rsidRDefault="00000000" w:rsidP="00012502">
      <w:pPr>
        <w:pStyle w:val="Footnote"/>
        <w:bidi/>
      </w:pPr>
      <w:r>
        <w:rPr>
          <w:rStyle w:val="ac"/>
          <w:rtl/>
        </w:rPr>
        <w:footnoteRef/>
      </w:r>
      <w:r>
        <w:rPr>
          <w:rtl/>
        </w:rPr>
        <w:t>וע"ע בסמוך, ולקמן יג. ול. בדין זה. [וה</w:t>
      </w:r>
      <w:r>
        <w:rPr>
          <w:b/>
          <w:bCs/>
          <w:rtl/>
        </w:rPr>
        <w:t>אחרונים</w:t>
      </w:r>
      <w:r>
        <w:rPr>
          <w:rtl/>
        </w:rPr>
        <w:t xml:space="preserve"> העמידו דגדר הדבר דהוה כאשת אח שיש לה בנים, ואיסור אא"ח הזה לא הותר ליבום. ודנו האם זה הגדר בכל נאסרה, או דדין נאסרה דהכא אלים].</w:t>
      </w:r>
    </w:p>
  </w:footnote>
  <w:footnote w:id="12">
    <w:p w14:paraId="638C6986" w14:textId="77777777" w:rsidR="00BE1D1C" w:rsidRDefault="00000000" w:rsidP="00012502">
      <w:pPr>
        <w:pStyle w:val="Footnote"/>
        <w:bidi/>
      </w:pPr>
      <w:r>
        <w:rPr>
          <w:rStyle w:val="ac"/>
          <w:rtl/>
        </w:rPr>
        <w:footnoteRef/>
      </w:r>
      <w:r>
        <w:rPr>
          <w:rtl/>
        </w:rPr>
        <w:t>וכן בגמ' (ל. ולב.) עשו צריכותא בדין נאסרה.</w:t>
      </w:r>
    </w:p>
  </w:footnote>
  <w:footnote w:id="13">
    <w:p w14:paraId="1CB9188B" w14:textId="77777777" w:rsidR="00BE1D1C" w:rsidRDefault="00000000" w:rsidP="00012502">
      <w:pPr>
        <w:pStyle w:val="Footnote"/>
        <w:bidi/>
      </w:pPr>
      <w:r>
        <w:rPr>
          <w:rStyle w:val="ac"/>
          <w:rtl/>
        </w:rPr>
        <w:footnoteRef/>
      </w:r>
      <w:r>
        <w:rPr>
          <w:rtl/>
        </w:rPr>
        <w:t>וה</w:t>
      </w:r>
      <w:r>
        <w:rPr>
          <w:b/>
          <w:bCs/>
          <w:rtl/>
        </w:rPr>
        <w:t xml:space="preserve">אחרונים </w:t>
      </w:r>
      <w:r>
        <w:rPr>
          <w:rtl/>
        </w:rPr>
        <w:t>כתבו לחלק דהתם נסתלק סיבת הערוה, וקמ"ל דאף בזה אמרי' נאסרה.</w:t>
      </w:r>
    </w:p>
  </w:footnote>
  <w:footnote w:id="14">
    <w:p w14:paraId="03EF3E54" w14:textId="77777777" w:rsidR="00BE1D1C" w:rsidRDefault="00000000" w:rsidP="00012502">
      <w:pPr>
        <w:pStyle w:val="Footnote"/>
        <w:bidi/>
      </w:pPr>
      <w:r>
        <w:rPr>
          <w:rStyle w:val="ac"/>
          <w:rtl/>
        </w:rPr>
        <w:footnoteRef/>
      </w:r>
      <w:r>
        <w:rPr>
          <w:rtl/>
        </w:rPr>
        <w:t>ולפ"ז ט"ו נשים פוטרות צרותיהם. והצרות פוטרות צרותיהם וכו'. אבל לצד הב' הערוה פוטרת צרות צרותיהם עד סוף כל העולם.</w:t>
      </w:r>
    </w:p>
  </w:footnote>
  <w:footnote w:id="15">
    <w:p w14:paraId="0C36C7FA" w14:textId="77777777" w:rsidR="00BE1D1C" w:rsidRDefault="00000000" w:rsidP="00012502">
      <w:pPr>
        <w:pStyle w:val="Footnote"/>
        <w:bidi/>
      </w:pPr>
      <w:r>
        <w:rPr>
          <w:rStyle w:val="ac"/>
          <w:rtl/>
        </w:rPr>
        <w:footnoteRef/>
      </w:r>
      <w:r>
        <w:rPr>
          <w:rtl/>
        </w:rPr>
        <w:t>והביא דכעי"ז מצאנו למ"ד נישואין מפילין (לקמן יג. וקט.), דכיון דהיתה צרת בתו שעה בנישואין שעה א' נפטרת. [וע"ע תוס' ל.].</w:t>
      </w:r>
    </w:p>
  </w:footnote>
  <w:footnote w:id="16">
    <w:p w14:paraId="2CA282C9" w14:textId="77777777" w:rsidR="00BE1D1C" w:rsidRDefault="00000000" w:rsidP="00012502">
      <w:pPr>
        <w:pStyle w:val="Footnote"/>
        <w:bidi/>
      </w:pPr>
      <w:r>
        <w:rPr>
          <w:rStyle w:val="ac"/>
          <w:rtl/>
        </w:rPr>
        <w:footnoteRef/>
      </w:r>
      <w:r>
        <w:rPr>
          <w:rtl/>
        </w:rPr>
        <w:t>דהצרת ערוה עושה צרתה כמותה, ועי"ז הוה כחלק מהאוסר הראשון.</w:t>
      </w:r>
    </w:p>
  </w:footnote>
  <w:footnote w:id="17">
    <w:p w14:paraId="71801F00" w14:textId="77777777" w:rsidR="00BE1D1C" w:rsidRDefault="00000000" w:rsidP="00012502">
      <w:pPr>
        <w:pStyle w:val="Footnote"/>
        <w:bidi/>
      </w:pPr>
      <w:r>
        <w:rPr>
          <w:rStyle w:val="ac"/>
          <w:rtl/>
        </w:rPr>
        <w:footnoteRef/>
      </w:r>
      <w:r>
        <w:rPr>
          <w:rtl/>
        </w:rPr>
        <w:t>ועפ"ז הסברא דצרת צרה נמי במקום ערוה קיימא, הוא משום איסור אשת אח. וכקושיית רע"א ע' בסמוך.</w:t>
      </w:r>
    </w:p>
  </w:footnote>
  <w:footnote w:id="18">
    <w:p w14:paraId="5B3235DD" w14:textId="77777777" w:rsidR="00BE1D1C" w:rsidRDefault="00000000" w:rsidP="00012502">
      <w:pPr>
        <w:pStyle w:val="Footnote"/>
        <w:bidi/>
      </w:pPr>
      <w:r>
        <w:rPr>
          <w:rStyle w:val="ac"/>
          <w:rtl/>
        </w:rPr>
        <w:footnoteRef/>
      </w:r>
      <w:r>
        <w:rPr>
          <w:rtl/>
        </w:rPr>
        <w:t>ופוטרת מחמת ערות אשת אח. אך יש שהעירו דכ"ז למסקנא, אבל לקו' הגמ' (ג: וח.) עדיין לא ידעי' דשאר עריות הוקשו לאחות אשה. ואף דילפי' פטור צרת צרה. וע"כ להך ס"ד הוה גדר שונה בפטור.</w:t>
      </w:r>
    </w:p>
  </w:footnote>
  <w:footnote w:id="19">
    <w:p w14:paraId="30494AA9" w14:textId="77777777" w:rsidR="00BE1D1C" w:rsidRDefault="00000000" w:rsidP="00012502">
      <w:pPr>
        <w:pStyle w:val="Footnote"/>
        <w:bidi/>
      </w:pPr>
      <w:r>
        <w:rPr>
          <w:rStyle w:val="ac"/>
          <w:rtl/>
        </w:rPr>
        <w:footnoteRef/>
      </w:r>
      <w:r>
        <w:rPr>
          <w:rtl/>
        </w:rPr>
        <w:t>והאחרונים הביאו מדברי ה</w:t>
      </w:r>
      <w:r>
        <w:rPr>
          <w:b/>
          <w:bCs/>
          <w:rtl/>
        </w:rPr>
        <w:t>ירושלמי</w:t>
      </w:r>
      <w:r>
        <w:rPr>
          <w:rtl/>
        </w:rPr>
        <w:t xml:space="preserve"> (הו' ברמב"ן יב עי"ש).</w:t>
      </w:r>
    </w:p>
  </w:footnote>
  <w:footnote w:id="20">
    <w:p w14:paraId="06C1F40A" w14:textId="77777777" w:rsidR="00BE1D1C" w:rsidRDefault="00000000" w:rsidP="00012502">
      <w:pPr>
        <w:pStyle w:val="Footnote"/>
        <w:bidi/>
      </w:pPr>
      <w:r>
        <w:rPr>
          <w:rStyle w:val="ac"/>
          <w:rtl/>
        </w:rPr>
        <w:footnoteRef/>
      </w:r>
      <w:r>
        <w:rPr>
          <w:rtl/>
        </w:rPr>
        <w:t>וכן חייבי לאו ועשה לחד צד ב</w:t>
      </w:r>
      <w:r>
        <w:rPr>
          <w:b/>
          <w:bCs/>
          <w:rtl/>
        </w:rPr>
        <w:t>פרשת דרכים</w:t>
      </w:r>
      <w:r>
        <w:rPr>
          <w:rtl/>
        </w:rPr>
        <w:t xml:space="preserve"> (למשנ"ל. הו' לקמן). אבל ב</w:t>
      </w:r>
      <w:r>
        <w:rPr>
          <w:b/>
          <w:bCs/>
          <w:rtl/>
        </w:rPr>
        <w:t>תוס' הרא"ש</w:t>
      </w:r>
      <w:r>
        <w:rPr>
          <w:rtl/>
        </w:rPr>
        <w:t xml:space="preserve"> (ג:) הק' דחייבי לאו ועשה יפטרו צרה [דיש איסור אשת אח, וכצד במשנ"ל]. [ומבואר דלא כיסוד הגר"ח, ואף כשהאשת אח אינה סיבה לפטור, פוטרת צרתה] והתוס' רא"ש תי' דל"ד לאחות אשתו כיון דצריכה חליצה. [עכ"פ מבואר בדבריו דבמקום דזקוקה לחליצה, אף דיש איסור אשת אח, אינו פוטר צרה].</w:t>
      </w:r>
    </w:p>
  </w:footnote>
  <w:footnote w:id="21">
    <w:p w14:paraId="59BBD16A" w14:textId="77777777" w:rsidR="00BE1D1C" w:rsidRDefault="00000000" w:rsidP="00012502">
      <w:pPr>
        <w:pStyle w:val="Footnote"/>
        <w:bidi/>
      </w:pPr>
      <w:r>
        <w:rPr>
          <w:rStyle w:val="ac"/>
          <w:rtl/>
        </w:rPr>
        <w:footnoteRef/>
      </w:r>
      <w:r>
        <w:rPr>
          <w:rtl/>
        </w:rPr>
        <w:t>וכ"כ ה</w:t>
      </w:r>
      <w:r>
        <w:rPr>
          <w:b/>
          <w:bCs/>
          <w:rtl/>
        </w:rPr>
        <w:t>חזו"א</w:t>
      </w:r>
      <w:r>
        <w:rPr>
          <w:rtl/>
        </w:rPr>
        <w:t xml:space="preserve"> (קל ט) דבמקום דאין חסרון בצרה עצמה אינה ראויה לפטר, אלא כיון דהיא צרת ערוה מנעתה תורה מחליצה ויבום.</w:t>
      </w:r>
    </w:p>
  </w:footnote>
  <w:footnote w:id="22">
    <w:p w14:paraId="155DA8AD" w14:textId="77777777" w:rsidR="00BE1D1C" w:rsidRDefault="00000000" w:rsidP="00012502">
      <w:pPr>
        <w:pStyle w:val="Footnote"/>
        <w:bidi/>
      </w:pPr>
      <w:r>
        <w:rPr>
          <w:rStyle w:val="ac"/>
          <w:rtl/>
        </w:rPr>
        <w:footnoteRef/>
      </w:r>
      <w:r>
        <w:rPr>
          <w:rtl/>
        </w:rPr>
        <w:t>וה</w:t>
      </w:r>
      <w:r>
        <w:rPr>
          <w:b/>
          <w:bCs/>
          <w:rtl/>
        </w:rPr>
        <w:t>אמר"מ</w:t>
      </w:r>
      <w:r>
        <w:rPr>
          <w:rtl/>
        </w:rPr>
        <w:t xml:space="preserve"> הביא בשם ה</w:t>
      </w:r>
      <w:r>
        <w:rPr>
          <w:b/>
          <w:bCs/>
          <w:rtl/>
        </w:rPr>
        <w:t>גר"ח</w:t>
      </w:r>
      <w:r>
        <w:rPr>
          <w:rtl/>
        </w:rPr>
        <w:t xml:space="preserve"> דכל אשת אח 'מנפילה זו' לא פוטרת. [אבל בנפילה שניה פוטרת. ולא תליא בגדר הפטור].</w:t>
      </w:r>
    </w:p>
  </w:footnote>
  <w:footnote w:id="23">
    <w:p w14:paraId="451CAE2B" w14:textId="77777777" w:rsidR="00BE1D1C" w:rsidRDefault="00000000" w:rsidP="00012502">
      <w:pPr>
        <w:pStyle w:val="Footnote"/>
        <w:bidi/>
      </w:pPr>
      <w:r>
        <w:rPr>
          <w:rStyle w:val="ac"/>
          <w:rtl/>
        </w:rPr>
        <w:footnoteRef/>
      </w:r>
      <w:r>
        <w:rPr>
          <w:rtl/>
        </w:rPr>
        <w:t>וה</w:t>
      </w:r>
      <w:r>
        <w:rPr>
          <w:b/>
          <w:bCs/>
          <w:rtl/>
        </w:rPr>
        <w:t>אחרונים</w:t>
      </w:r>
      <w:r>
        <w:rPr>
          <w:rtl/>
        </w:rPr>
        <w:t xml:space="preserve"> כתבו דהיינו רק לתנא דיליף מקרא דלצרור ועליה. אבל לרבי (ח:) דיליף מולקחה, תליא האם למעשה ראויה לליקוחין. ולכן לדברי רבי צרה פוטרת צרתה מסברא, וכמ"ש </w:t>
      </w:r>
      <w:r>
        <w:rPr>
          <w:b/>
          <w:bCs/>
          <w:rtl/>
        </w:rPr>
        <w:t>רש"י</w:t>
      </w:r>
      <w:r>
        <w:rPr>
          <w:rtl/>
        </w:rPr>
        <w:t xml:space="preserve"> (ח:). [ויל"ד לפ"ז דאף חייבי לאוין יפטרו צרה. ויש לדחות].</w:t>
      </w:r>
    </w:p>
  </w:footnote>
  <w:footnote w:id="24">
    <w:p w14:paraId="78527FBC" w14:textId="77777777" w:rsidR="00BE1D1C" w:rsidRDefault="00000000" w:rsidP="00012502">
      <w:pPr>
        <w:pStyle w:val="Footnote"/>
        <w:bidi/>
      </w:pPr>
      <w:r>
        <w:rPr>
          <w:rStyle w:val="ac"/>
          <w:rtl/>
        </w:rPr>
        <w:footnoteRef/>
      </w:r>
      <w:r>
        <w:rPr>
          <w:rtl/>
        </w:rPr>
        <w:t>וב</w:t>
      </w:r>
      <w:r>
        <w:rPr>
          <w:b/>
          <w:bCs/>
          <w:rtl/>
        </w:rPr>
        <w:t xml:space="preserve">חי' ר' שמעון </w:t>
      </w:r>
      <w:r>
        <w:rPr>
          <w:rtl/>
        </w:rPr>
        <w:t>(ה) כתב דלולי פטור צרה, ס"ד דנחשב דלא נפלה קודם ליבום. ול"ש נאסרה כיון דלא נפלה קודם ליבום.</w:t>
      </w:r>
    </w:p>
  </w:footnote>
  <w:footnote w:id="25">
    <w:p w14:paraId="0FFB4084" w14:textId="77777777" w:rsidR="00BE1D1C" w:rsidRDefault="00000000" w:rsidP="00012502">
      <w:pPr>
        <w:pStyle w:val="Footnote"/>
        <w:bidi/>
      </w:pPr>
      <w:r>
        <w:rPr>
          <w:rStyle w:val="ac"/>
          <w:rtl/>
        </w:rPr>
        <w:footnoteRef/>
      </w:r>
      <w:r>
        <w:rPr>
          <w:rtl/>
        </w:rPr>
        <w:t>וב</w:t>
      </w:r>
      <w:r>
        <w:rPr>
          <w:b/>
          <w:bCs/>
          <w:rtl/>
        </w:rPr>
        <w:t>שיעורי ר' לייב גאוויע</w:t>
      </w:r>
      <w:r>
        <w:rPr>
          <w:rtl/>
        </w:rPr>
        <w:t xml:space="preserve"> (ר"מ בברנוביץ') הקשה דמשום דנוסף סיבת פטור נוספת אמאי יחשב שלא במקום מצוה. וכי אם אשה היא צרת ערוה מב' סיבות אמאי לא תפטר. ודוקא בצרת איילונית אמרי' כן, דאינה ראויה כלל לנפילה ליבום.</w:t>
      </w:r>
    </w:p>
  </w:footnote>
  <w:footnote w:id="26">
    <w:p w14:paraId="34E6CD1D" w14:textId="77777777" w:rsidR="00BE1D1C" w:rsidRDefault="00000000" w:rsidP="00012502">
      <w:pPr>
        <w:pStyle w:val="Footnote"/>
        <w:bidi/>
      </w:pPr>
      <w:r>
        <w:rPr>
          <w:rStyle w:val="ac"/>
          <w:rtl/>
        </w:rPr>
        <w:footnoteRef/>
      </w:r>
      <w:r>
        <w:rPr>
          <w:rtl/>
        </w:rPr>
        <w:t>וה</w:t>
      </w:r>
      <w:r>
        <w:rPr>
          <w:b/>
          <w:bCs/>
          <w:rtl/>
        </w:rPr>
        <w:t>רמב"ן</w:t>
      </w:r>
      <w:r>
        <w:rPr>
          <w:rtl/>
        </w:rPr>
        <w:t xml:space="preserve"> חלק ד'לצרור' משמע או חדא, או עד סוף העולם [מדלא כתיב לצור]. וכן לסברת רב אשי דצרת צרה משום במקום צרה קיימא, וסברא זו שייך אף בצרת צרת צרה עד עולם. [דהרמב"ן נקט דהגמ' יג. קאי בצרת צרה וכרש"י, וממילא ידעי' דאין לחלק].</w:t>
      </w:r>
    </w:p>
  </w:footnote>
  <w:footnote w:id="27">
    <w:p w14:paraId="15579E1D" w14:textId="77777777" w:rsidR="00BE1D1C" w:rsidRDefault="00000000" w:rsidP="00012502">
      <w:pPr>
        <w:pStyle w:val="Footnote"/>
        <w:bidi/>
      </w:pPr>
      <w:r>
        <w:rPr>
          <w:rStyle w:val="ac"/>
          <w:rtl/>
        </w:rPr>
        <w:footnoteRef/>
      </w:r>
      <w:r>
        <w:rPr>
          <w:rtl/>
        </w:rPr>
        <w:t>וכן ה</w:t>
      </w:r>
      <w:r>
        <w:rPr>
          <w:b/>
          <w:bCs/>
          <w:rtl/>
        </w:rPr>
        <w:t>תוס' רא"ש</w:t>
      </w:r>
      <w:r>
        <w:rPr>
          <w:rtl/>
        </w:rPr>
        <w:t xml:space="preserve"> (יג.) הביא דר"ת וריב"ן ובה"ג לא גרסי' לה. והתוס' רא"ש כת' דנראה דשפיר גרסי' [וכתוס'].</w:t>
      </w:r>
    </w:p>
  </w:footnote>
  <w:footnote w:id="28">
    <w:p w14:paraId="5D598A70" w14:textId="77777777" w:rsidR="00BE1D1C" w:rsidRDefault="00000000" w:rsidP="00012502">
      <w:pPr>
        <w:pStyle w:val="Footnote"/>
        <w:bidi/>
      </w:pPr>
      <w:r>
        <w:rPr>
          <w:rStyle w:val="ac"/>
          <w:rtl/>
        </w:rPr>
        <w:footnoteRef/>
      </w:r>
      <w:r>
        <w:rPr>
          <w:rtl/>
        </w:rPr>
        <w:t>ולפ"ז רב יהודה תי' לצרור קאי אצרת צרה. ויל"ד צרה הג' [עד סוף העולם] מנ"ל. וי"ל דאף לרב יהודה אמרי' דהוה סברא, דכיון דצרה פוטרת צרתה, אף צרת צרה.</w:t>
      </w:r>
    </w:p>
  </w:footnote>
  <w:footnote w:id="29">
    <w:p w14:paraId="4F20C49A" w14:textId="77777777" w:rsidR="00BE1D1C" w:rsidRDefault="00000000" w:rsidP="00012502">
      <w:pPr>
        <w:pStyle w:val="Footnote"/>
        <w:bidi/>
      </w:pPr>
      <w:r>
        <w:rPr>
          <w:rStyle w:val="ac"/>
          <w:rtl/>
        </w:rPr>
        <w:footnoteRef/>
      </w:r>
      <w:r>
        <w:rPr>
          <w:rtl/>
        </w:rPr>
        <w:t>וכן משמע מדברי רש"י שפירש הטעם משום דנאסרה עליו עולמית. [משמע כעין אשת אחיו שלא היה מעולמו].</w:t>
      </w:r>
    </w:p>
  </w:footnote>
  <w:footnote w:id="30">
    <w:p w14:paraId="37232096" w14:textId="77777777" w:rsidR="00BE1D1C" w:rsidRDefault="00000000" w:rsidP="00012502">
      <w:pPr>
        <w:pStyle w:val="Footnote"/>
        <w:bidi/>
      </w:pPr>
      <w:r>
        <w:rPr>
          <w:rStyle w:val="ac"/>
          <w:rtl/>
        </w:rPr>
        <w:footnoteRef/>
      </w:r>
      <w:r>
        <w:rPr>
          <w:rtl/>
        </w:rPr>
        <w:t>וה</w:t>
      </w:r>
      <w:r>
        <w:rPr>
          <w:b/>
          <w:bCs/>
          <w:rtl/>
        </w:rPr>
        <w:t>ריב"ש</w:t>
      </w:r>
      <w:r>
        <w:rPr>
          <w:rtl/>
        </w:rPr>
        <w:t xml:space="preserve"> הביא כן אף בשאר קרובות. [ודנו בזה ה</w:t>
      </w:r>
      <w:r>
        <w:rPr>
          <w:b/>
          <w:bCs/>
          <w:rtl/>
        </w:rPr>
        <w:t>ראשונים</w:t>
      </w:r>
      <w:r>
        <w:rPr>
          <w:rtl/>
        </w:rPr>
        <w:t xml:space="preserve"> (לקמן צה), והו' ב</w:t>
      </w:r>
      <w:r>
        <w:rPr>
          <w:b/>
          <w:bCs/>
          <w:rtl/>
        </w:rPr>
        <w:t>ה"ה</w:t>
      </w:r>
      <w:r>
        <w:rPr>
          <w:rtl/>
        </w:rPr>
        <w:t xml:space="preserve"> (איסו"ב ב ח)]. וע' ערול"נ.</w:t>
      </w:r>
    </w:p>
  </w:footnote>
  <w:footnote w:id="31">
    <w:p w14:paraId="59A5EFC2" w14:textId="77777777" w:rsidR="00BE1D1C" w:rsidRDefault="00000000" w:rsidP="00012502">
      <w:pPr>
        <w:pStyle w:val="Footnote"/>
        <w:bidi/>
      </w:pPr>
      <w:r>
        <w:rPr>
          <w:rStyle w:val="ac"/>
          <w:rtl/>
        </w:rPr>
        <w:footnoteRef/>
      </w:r>
      <w:r>
        <w:rPr>
          <w:rtl/>
        </w:rPr>
        <w:t xml:space="preserve">ותוס' הביאו דה"ר משה תי' דהתו"כ אתא למעוטי מערירי. וכ"כ </w:t>
      </w:r>
      <w:r>
        <w:rPr>
          <w:b/>
          <w:bCs/>
          <w:rtl/>
        </w:rPr>
        <w:t>תוס</w:t>
      </w:r>
      <w:r>
        <w:rPr>
          <w:rtl/>
        </w:rPr>
        <w:t>' (כריתות יד:) דמבואר (שם) דחייב חטאת, והתו"כ ממעט מעריריות, אבל כרת איכא.</w:t>
      </w:r>
    </w:p>
  </w:footnote>
  <w:footnote w:id="32">
    <w:p w14:paraId="4DEBDA70" w14:textId="77777777" w:rsidR="00BE1D1C" w:rsidRDefault="00000000" w:rsidP="00012502">
      <w:pPr>
        <w:pStyle w:val="Footnote"/>
        <w:bidi/>
      </w:pPr>
      <w:r>
        <w:rPr>
          <w:rStyle w:val="ac"/>
          <w:rtl/>
        </w:rPr>
        <w:footnoteRef/>
      </w:r>
      <w:r>
        <w:rPr>
          <w:rtl/>
        </w:rPr>
        <w:t>וה</w:t>
      </w:r>
      <w:r>
        <w:rPr>
          <w:b/>
          <w:bCs/>
          <w:rtl/>
        </w:rPr>
        <w:t>גר"א</w:t>
      </w:r>
      <w:r>
        <w:rPr>
          <w:rtl/>
        </w:rPr>
        <w:t xml:space="preserve"> ציין דתוס' דידן דחקו הרבה ליישב הגירסא ולא מן האם כמו שהוא לפנינו.</w:t>
      </w:r>
    </w:p>
  </w:footnote>
  <w:footnote w:id="33">
    <w:p w14:paraId="6C27E947" w14:textId="77777777" w:rsidR="00BE1D1C" w:rsidRDefault="00000000" w:rsidP="00012502">
      <w:pPr>
        <w:pStyle w:val="Footnote"/>
        <w:bidi/>
      </w:pPr>
      <w:r>
        <w:rPr>
          <w:rStyle w:val="ac"/>
          <w:rtl/>
        </w:rPr>
        <w:footnoteRef/>
      </w:r>
      <w:r>
        <w:rPr>
          <w:rtl/>
        </w:rPr>
        <w:t xml:space="preserve">אבל </w:t>
      </w:r>
      <w:r>
        <w:rPr>
          <w:b/>
          <w:bCs/>
          <w:rtl/>
        </w:rPr>
        <w:t>תוס</w:t>
      </w:r>
      <w:r>
        <w:rPr>
          <w:rtl/>
        </w:rPr>
        <w:t>' (כריתות יד: ד"ה אשת אחיו) [שציין הגהש"ס] הוכיח (מהגמ' שם) דיש בה כרת. ועוד הביאו דמפורש ב</w:t>
      </w:r>
      <w:r>
        <w:rPr>
          <w:b/>
          <w:bCs/>
          <w:rtl/>
        </w:rPr>
        <w:t>רש"י</w:t>
      </w:r>
      <w:r>
        <w:rPr>
          <w:rtl/>
        </w:rPr>
        <w:t xml:space="preserve"> בכ"מ (לקמן </w:t>
      </w:r>
      <w:r>
        <w:rPr>
          <w:rtl/>
          <w:lang w:val="he-IL"/>
        </w:rPr>
        <w:t>מב., צז:, צח. וק.) דיש כרת באשת אח מאמו</w:t>
      </w:r>
      <w:r>
        <w:rPr>
          <w:rFonts w:cs="Times New Roman"/>
          <w:rtl/>
          <w:lang w:val="he-IL"/>
        </w:rPr>
        <w:t>.</w:t>
      </w:r>
    </w:p>
  </w:footnote>
  <w:footnote w:id="34">
    <w:p w14:paraId="522D4CE4" w14:textId="77777777" w:rsidR="00BE1D1C" w:rsidRDefault="00000000" w:rsidP="00012502">
      <w:pPr>
        <w:pStyle w:val="Footnote"/>
        <w:bidi/>
      </w:pPr>
      <w:r>
        <w:rPr>
          <w:rStyle w:val="ac"/>
          <w:rtl/>
        </w:rPr>
        <w:footnoteRef/>
      </w:r>
      <w:r>
        <w:rPr>
          <w:rtl/>
        </w:rPr>
        <w:t>[ודלא כמ"ש הריב"ש והאחרונים דלרש"י אינה פוטרת צרה, דאין בה כרת].</w:t>
      </w:r>
    </w:p>
  </w:footnote>
  <w:footnote w:id="35">
    <w:p w14:paraId="2EEBA9A9" w14:textId="77777777" w:rsidR="00BE1D1C" w:rsidRDefault="00000000" w:rsidP="00012502">
      <w:pPr>
        <w:pStyle w:val="Footnote"/>
        <w:bidi/>
      </w:pPr>
      <w:r>
        <w:rPr>
          <w:rStyle w:val="ac"/>
          <w:rtl/>
        </w:rPr>
        <w:footnoteRef/>
      </w:r>
      <w:r>
        <w:rPr>
          <w:rtl/>
        </w:rPr>
        <w:t>וגדר נאסרה יתבאר עוד בסמוך, ולקמן יז., ל., פז: ועוד.</w:t>
      </w:r>
    </w:p>
  </w:footnote>
  <w:footnote w:id="36">
    <w:p w14:paraId="21D88247" w14:textId="77777777" w:rsidR="00BE1D1C" w:rsidRDefault="00000000" w:rsidP="00012502">
      <w:pPr>
        <w:pStyle w:val="Footnote"/>
        <w:bidi/>
      </w:pPr>
      <w:r>
        <w:rPr>
          <w:rStyle w:val="ac"/>
          <w:rtl/>
        </w:rPr>
        <w:footnoteRef/>
      </w:r>
      <w:r>
        <w:rPr>
          <w:rtl/>
        </w:rPr>
        <w:t>וכ"מ ב</w:t>
      </w:r>
      <w:r>
        <w:rPr>
          <w:b/>
          <w:bCs/>
          <w:rtl/>
        </w:rPr>
        <w:t>תוס' מהר"מ והר"פ</w:t>
      </w:r>
      <w:r>
        <w:rPr>
          <w:rtl/>
        </w:rPr>
        <w:t xml:space="preserve"> (לקמן ט:) שהקשה שנכתוב במשנה נדה. [ותי' דאינו רוצה לשנות נדה, דלא הוה דומה לשאר עריות. ומשמע מדבריו דמטעם זה לא הוזכר במשנה. אבל לא יתכן לומר שלפי האמת נפטרת. וע"כ כוונתו דלא ילפי' מאחות אשה לפטור, וכמ"ש התוס'].</w:t>
      </w:r>
    </w:p>
    <w:p w14:paraId="0A0A9505" w14:textId="77777777" w:rsidR="00BE1D1C" w:rsidRDefault="00000000" w:rsidP="00012502">
      <w:pPr>
        <w:pStyle w:val="Footnote"/>
        <w:bidi/>
      </w:pPr>
      <w:r>
        <w:rPr>
          <w:rtl/>
        </w:rPr>
        <w:tab/>
        <w:t>{וספר זה נדפס פעמים בשם תוס' מהר"ם מרוטנברג, וכן בשם תוס' תלמיד המהר"ם והר"פ, וכן הודפס בשם תוס' רבינו פרץ, וכך הוכנס לגמ' עוז והדר. והכל ע"פ כתב יד א' שלא ידוע מחברו. אלא שבהרבה מקומות הביא דברים בשם המהר"ם מרוטנברג, ופעמים בודדות הביא בשם ר' פרץ. ובהקדמה לתו"י (הנדמ"ח) נקט דהספר תו"י (שהודפס רובו עה"ג) הוא מתלמידי הר"פ, ואילו הספר תוס' מהר"ם והר"פ אינו תלמיד ביהמ"ד של ר' פרץ, אלא שקיבל כמה שמועות מהר"פ}.</w:t>
      </w:r>
    </w:p>
  </w:footnote>
  <w:footnote w:id="37">
    <w:p w14:paraId="53038F45" w14:textId="77777777" w:rsidR="00BE1D1C" w:rsidRDefault="00000000" w:rsidP="00012502">
      <w:pPr>
        <w:pStyle w:val="Footnote"/>
        <w:bidi/>
      </w:pPr>
      <w:r>
        <w:rPr>
          <w:rStyle w:val="ac"/>
          <w:rtl/>
        </w:rPr>
        <w:footnoteRef/>
      </w:r>
      <w:r>
        <w:rPr>
          <w:rtl/>
        </w:rPr>
        <w:t>וכן מבואר ב</w:t>
      </w:r>
      <w:r>
        <w:rPr>
          <w:b/>
          <w:bCs/>
          <w:rtl/>
        </w:rPr>
        <w:t>תשב"ץ</w:t>
      </w:r>
      <w:r>
        <w:rPr>
          <w:rtl/>
        </w:rPr>
        <w:t xml:space="preserve"> (ב רס, הו' בב"י ס"ס קסה בשם הרשב"ש, וע"ע שו"ת מהר"ם חלאוה קלו) שדן 'נאסרה' היכא שנדרה מהיבם, שוב התיר חכם נדרה, דנימא דבשעת נפילה אינה ראויה ליבום ונאסרה. [ואף דזקוקה לחליצה, וע' קובה"ע ה יג].</w:t>
      </w:r>
    </w:p>
    <w:p w14:paraId="4A9C3B95" w14:textId="77777777" w:rsidR="00BE1D1C" w:rsidRDefault="00000000" w:rsidP="00012502">
      <w:pPr>
        <w:pStyle w:val="Footnote"/>
        <w:bidi/>
      </w:pPr>
      <w:r>
        <w:rPr>
          <w:rtl/>
        </w:rPr>
        <w:tab/>
        <w:t>והתשב"ץ תי' דלא גרע מנדה דתוס' תי', דכיון דאינה משום קורבא ל"ש נאסרה. [אבל נודרת אסורה רק ליבם].</w:t>
      </w:r>
    </w:p>
  </w:footnote>
  <w:footnote w:id="38">
    <w:p w14:paraId="66A6A416" w14:textId="77777777" w:rsidR="00BE1D1C" w:rsidRDefault="00000000" w:rsidP="00012502">
      <w:pPr>
        <w:pStyle w:val="Footnote"/>
        <w:bidi/>
      </w:pPr>
      <w:r>
        <w:rPr>
          <w:rStyle w:val="ac"/>
          <w:rtl/>
        </w:rPr>
        <w:footnoteRef/>
      </w:r>
      <w:r>
        <w:rPr>
          <w:rtl/>
        </w:rPr>
        <w:t>[והודפס בסה"מ מהדורת פרנקל].</w:t>
      </w:r>
    </w:p>
  </w:footnote>
  <w:footnote w:id="39">
    <w:p w14:paraId="21F1BB7B" w14:textId="77777777" w:rsidR="00BE1D1C" w:rsidRDefault="00000000" w:rsidP="00012502">
      <w:pPr>
        <w:pStyle w:val="Footnote"/>
        <w:bidi/>
      </w:pPr>
      <w:r>
        <w:rPr>
          <w:rStyle w:val="ac"/>
          <w:rtl/>
        </w:rPr>
        <w:footnoteRef/>
      </w:r>
      <w:r>
        <w:rPr>
          <w:rtl/>
        </w:rPr>
        <w:t xml:space="preserve">[דגדר נאסרה תליא באיסור אשת אח]. וע"ע </w:t>
      </w:r>
      <w:r>
        <w:rPr>
          <w:b/>
          <w:bCs/>
          <w:rtl/>
        </w:rPr>
        <w:t>גרנ"ט</w:t>
      </w:r>
      <w:r>
        <w:rPr>
          <w:rtl/>
        </w:rPr>
        <w:t>. אך ה</w:t>
      </w:r>
      <w:r>
        <w:rPr>
          <w:b/>
          <w:bCs/>
          <w:rtl/>
        </w:rPr>
        <w:t>אחרונים</w:t>
      </w:r>
      <w:r>
        <w:rPr>
          <w:rtl/>
        </w:rPr>
        <w:t xml:space="preserve"> דנו דיל"פ דכוונת התוס' דיהא דין נאסרה כלפי דין היבום, ולא תליא באיסור אשת אח. וב</w:t>
      </w:r>
      <w:r>
        <w:rPr>
          <w:b/>
          <w:bCs/>
          <w:rtl/>
        </w:rPr>
        <w:t>חי' ר' שלמה</w:t>
      </w:r>
      <w:r>
        <w:rPr>
          <w:rtl/>
        </w:rPr>
        <w:t xml:space="preserve"> (ב) נקט דנדה גרע מלאו ועשה דמופקעת מיבום, אלא דאין זיקת חליצה.</w:t>
      </w:r>
    </w:p>
  </w:footnote>
  <w:footnote w:id="40">
    <w:p w14:paraId="51B22F34" w14:textId="77777777" w:rsidR="00BE1D1C" w:rsidRDefault="00000000" w:rsidP="00012502">
      <w:pPr>
        <w:pStyle w:val="Footnote"/>
        <w:bidi/>
      </w:pPr>
      <w:r>
        <w:rPr>
          <w:rStyle w:val="ac"/>
          <w:rtl/>
        </w:rPr>
        <w:footnoteRef/>
      </w:r>
      <w:r>
        <w:rPr>
          <w:rtl/>
        </w:rPr>
        <w:t>[וע' מהר"ם מרוטנברג ד תתסו]. והחכ"צ כת' דאין להק' מצ' ימי הבחנה (ע' לקמן לו: לז.), דאסורה להתייבם. ודחה דהתם הוה מדרבנן, ואם עבר ובא עליה קנאה.</w:t>
      </w:r>
    </w:p>
  </w:footnote>
  <w:footnote w:id="41">
    <w:p w14:paraId="3BC9CFB5" w14:textId="77777777" w:rsidR="00BE1D1C" w:rsidRDefault="00000000" w:rsidP="00012502">
      <w:pPr>
        <w:pStyle w:val="Footnote"/>
        <w:bidi/>
      </w:pPr>
      <w:r>
        <w:rPr>
          <w:rStyle w:val="ac"/>
          <w:rtl/>
        </w:rPr>
        <w:footnoteRef/>
      </w:r>
      <w:r>
        <w:rPr>
          <w:rtl/>
        </w:rPr>
        <w:t>והחכ"צ הוכיח דאונן כשר לחליצה ויבום, אף דאינו מצווה במצוות עשה. והביא צד דל"מ מעשה חליצה ויבום כשאינו מקיים המצווה. והחכ"צ חלק דאף מקח וממכר מנאו הרמב"ם מצוות עשה, וודאי גבי אונן מעשיו קיימין.</w:t>
      </w:r>
    </w:p>
  </w:footnote>
  <w:footnote w:id="42">
    <w:p w14:paraId="48322939" w14:textId="77777777" w:rsidR="00BE1D1C" w:rsidRDefault="00000000" w:rsidP="00012502">
      <w:pPr>
        <w:pStyle w:val="Footnote"/>
        <w:bidi/>
      </w:pPr>
      <w:r>
        <w:rPr>
          <w:rStyle w:val="ac"/>
          <w:rtl/>
        </w:rPr>
        <w:footnoteRef/>
      </w:r>
      <w:r>
        <w:rPr>
          <w:rtl/>
        </w:rPr>
        <w:t>[לאחר ז' ימי נדה. ולכאורה כוונתו דאף תוך ימי הנדה, דעומד לבא לידי היתר דזמן ממילא אתי, ועי"ז תטבול]. ויל"ד האם תוס' נקטו דאף במידי דבידה לטבול שייך נאסרה. או דקו' התוס' תוך ימי טומאתו. ואף שהזמן עובר ממילא.</w:t>
      </w:r>
    </w:p>
  </w:footnote>
  <w:footnote w:id="43">
    <w:p w14:paraId="47643AB6" w14:textId="77777777" w:rsidR="00BE1D1C" w:rsidRDefault="00000000" w:rsidP="00012502">
      <w:pPr>
        <w:pStyle w:val="Footnote"/>
        <w:bidi/>
      </w:pPr>
      <w:r>
        <w:rPr>
          <w:rStyle w:val="ac"/>
          <w:rtl/>
        </w:rPr>
        <w:footnoteRef/>
      </w:r>
      <w:r>
        <w:rPr>
          <w:rtl/>
        </w:rPr>
        <w:t xml:space="preserve">וע' </w:t>
      </w:r>
      <w:r>
        <w:rPr>
          <w:b/>
          <w:bCs/>
          <w:rtl/>
        </w:rPr>
        <w:t>תוס</w:t>
      </w:r>
      <w:r>
        <w:rPr>
          <w:rtl/>
        </w:rPr>
        <w:t>' (לקמן טז.) דערוה [לאחר נפילה] שאפשר לתקן לא פקע זיקה, ולא דמי לאחות אשה שאין בידה להמית אחותה. [והאחרונים דנו האם תוס' איירי דוקא בערוה לאחר נפילה, וע"ע תוס' לקמן י.].</w:t>
      </w:r>
    </w:p>
  </w:footnote>
  <w:footnote w:id="44">
    <w:p w14:paraId="6B2D2B23" w14:textId="77777777" w:rsidR="00BE1D1C" w:rsidRDefault="00000000" w:rsidP="00012502">
      <w:pPr>
        <w:pStyle w:val="Footnote"/>
        <w:bidi/>
      </w:pPr>
      <w:r>
        <w:rPr>
          <w:rStyle w:val="ac"/>
          <w:rtl/>
        </w:rPr>
        <w:footnoteRef/>
      </w:r>
      <w:r>
        <w:rPr>
          <w:rtl/>
        </w:rPr>
        <w:t>ו</w:t>
      </w:r>
      <w:r>
        <w:rPr>
          <w:b/>
          <w:bCs/>
          <w:rtl/>
        </w:rPr>
        <w:t>ר"ת</w:t>
      </w:r>
      <w:r>
        <w:rPr>
          <w:rtl/>
        </w:rPr>
        <w:t xml:space="preserve"> (ס' הישר שו"ת פ) האריך לדון דנדה לא הוה ערוה, וכתב דאין בזה 'נאסרה' כיון דיש לה היתר כל שעה שתטבול. ואינה דומה לשאר ערוה, דאין שום ערוה ליומא.</w:t>
      </w:r>
    </w:p>
  </w:footnote>
  <w:footnote w:id="45">
    <w:p w14:paraId="3EDCC172" w14:textId="77777777" w:rsidR="00BE1D1C" w:rsidRDefault="00000000" w:rsidP="00012502">
      <w:pPr>
        <w:pStyle w:val="Footnote"/>
        <w:bidi/>
      </w:pPr>
      <w:r>
        <w:rPr>
          <w:rStyle w:val="ac"/>
          <w:rtl/>
        </w:rPr>
        <w:footnoteRef/>
      </w:r>
      <w:r>
        <w:rPr>
          <w:rtl/>
        </w:rPr>
        <w:t>[והברכ"ש נקט דתוס' בקושייתם ס"ל דהוה 'פטור'. והגרנ"ט נקט דס"ל דשייך נאסרה בלא פטור, וכדלעיל].</w:t>
      </w:r>
    </w:p>
  </w:footnote>
  <w:footnote w:id="46">
    <w:p w14:paraId="35F60343" w14:textId="77777777" w:rsidR="00BE1D1C" w:rsidRDefault="00000000" w:rsidP="00012502">
      <w:pPr>
        <w:pStyle w:val="Footnote"/>
        <w:bidi/>
      </w:pPr>
      <w:r>
        <w:rPr>
          <w:rStyle w:val="ac"/>
          <w:rtl/>
        </w:rPr>
        <w:footnoteRef/>
      </w:r>
      <w:r>
        <w:rPr>
          <w:rtl/>
        </w:rPr>
        <w:t>יל"פ דגדר הדבר דנחשבת מופקעת מאישות על כל העולם [ומש"ה לא נחשב איסור פרטי. או דדין נאסרה ל"ש במה שאסורה בשעה שמפוקעת מאישות]. [וע"ע תוס' לקמן מט:].</w:t>
      </w:r>
    </w:p>
  </w:footnote>
  <w:footnote w:id="47">
    <w:p w14:paraId="39E7FACE" w14:textId="77777777" w:rsidR="00BE1D1C" w:rsidRDefault="00000000" w:rsidP="00012502">
      <w:pPr>
        <w:pStyle w:val="Footnote"/>
        <w:bidi/>
      </w:pPr>
      <w:r>
        <w:rPr>
          <w:rStyle w:val="ac"/>
          <w:rtl/>
        </w:rPr>
        <w:footnoteRef/>
      </w:r>
      <w:r>
        <w:rPr>
          <w:rtl/>
        </w:rPr>
        <w:t>[והאבנ"מ תי' בזה קושיית הרשב"א (גיטין פב:) גבי מקדש חוץ לפלוני ואף השני קידשה, דהרשב"א הק' דל"ש יבום בחיי השני, ונימא דנאסרה בשעת נפילה. והאבנ"מ תי' דאסורה אכו"ע ל"ש נאסרה].</w:t>
      </w:r>
    </w:p>
  </w:footnote>
  <w:footnote w:id="48">
    <w:p w14:paraId="138D8608" w14:textId="77777777" w:rsidR="00BE1D1C" w:rsidRDefault="00000000" w:rsidP="00012502">
      <w:pPr>
        <w:pStyle w:val="Footnote"/>
        <w:bidi/>
      </w:pPr>
      <w:r>
        <w:rPr>
          <w:rStyle w:val="ac"/>
          <w:rtl/>
        </w:rPr>
        <w:footnoteRef/>
      </w:r>
      <w:r>
        <w:rPr>
          <w:rtl/>
        </w:rPr>
        <w:t>וה</w:t>
      </w:r>
      <w:r>
        <w:rPr>
          <w:b/>
          <w:bCs/>
          <w:rtl/>
        </w:rPr>
        <w:t>תה"ד</w:t>
      </w:r>
      <w:r>
        <w:rPr>
          <w:rtl/>
        </w:rPr>
        <w:t xml:space="preserve"> (שם) כת' דה"ה יבמה מומרת אינה פוטרת צרתה, דאף אם אסורה על בעלה [וכמ"ש ה</w:t>
      </w:r>
      <w:r>
        <w:rPr>
          <w:b/>
          <w:bCs/>
          <w:rtl/>
        </w:rPr>
        <w:t>מרדכי</w:t>
      </w:r>
      <w:r>
        <w:rPr>
          <w:rtl/>
        </w:rPr>
        <w:t xml:space="preserve"> (פ' החולץ ל) מדין קנאין פוגעים בו], ה"ה דאסורה לכל העולם, וכמ"ש תוס' גבי נדה, ואינה פוטרת צרה. [והקובה"ע (לו ו) הביא בשם ה</w:t>
      </w:r>
      <w:r>
        <w:rPr>
          <w:b/>
          <w:bCs/>
          <w:rtl/>
        </w:rPr>
        <w:t>גר"ח</w:t>
      </w:r>
      <w:r>
        <w:rPr>
          <w:rtl/>
        </w:rPr>
        <w:t xml:space="preserve"> דאף דחייב כרת, אינו עריות].</w:t>
      </w:r>
    </w:p>
  </w:footnote>
  <w:footnote w:id="49">
    <w:p w14:paraId="375BA88A" w14:textId="77777777" w:rsidR="00BE1D1C" w:rsidRDefault="00000000" w:rsidP="00012502">
      <w:pPr>
        <w:pStyle w:val="Footnote"/>
        <w:bidi/>
      </w:pPr>
      <w:r>
        <w:rPr>
          <w:rStyle w:val="ac"/>
          <w:rtl/>
        </w:rPr>
        <w:footnoteRef/>
      </w:r>
      <w:r>
        <w:rPr>
          <w:rtl/>
        </w:rPr>
        <w:t>וה</w:t>
      </w:r>
      <w:r>
        <w:rPr>
          <w:b/>
          <w:bCs/>
          <w:rtl/>
        </w:rPr>
        <w:t>רא"ש</w:t>
      </w:r>
      <w:r>
        <w:rPr>
          <w:rtl/>
        </w:rPr>
        <w:t xml:space="preserve"> הוסיף ולהכי בעודה נדה הוה חליצה, ולא דמי למעוברת (לקמן לו.). [וע' שם דמבואר דיש תנאי 'כל העולה' במעשה חליצה].</w:t>
      </w:r>
    </w:p>
  </w:footnote>
  <w:footnote w:id="50">
    <w:p w14:paraId="525D827C" w14:textId="77777777" w:rsidR="00BE1D1C" w:rsidRDefault="00000000" w:rsidP="00012502">
      <w:pPr>
        <w:pStyle w:val="Footnote"/>
        <w:bidi/>
      </w:pPr>
      <w:r>
        <w:rPr>
          <w:rStyle w:val="ac"/>
          <w:rtl/>
        </w:rPr>
        <w:footnoteRef/>
      </w:r>
      <w:r>
        <w:rPr>
          <w:rtl/>
        </w:rPr>
        <w:t>ומשמע דבעריות יש הגדרה נוספת דיש בה איסור ליקוחין, וחיוב כרת הוה סימן, ולא סיבה.</w:t>
      </w:r>
    </w:p>
  </w:footnote>
  <w:footnote w:id="51">
    <w:p w14:paraId="6863AC68" w14:textId="77777777" w:rsidR="00BE1D1C" w:rsidRDefault="00000000" w:rsidP="00012502">
      <w:pPr>
        <w:pStyle w:val="Footnote"/>
        <w:bidi/>
      </w:pPr>
      <w:r>
        <w:rPr>
          <w:rStyle w:val="ac"/>
          <w:rtl/>
        </w:rPr>
        <w:footnoteRef/>
      </w:r>
      <w:r>
        <w:rPr>
          <w:rtl/>
        </w:rPr>
        <w:t>דמבואר (לקמן כז: ול.) דיש 'נאסרה' אף היכא דלא נפטרה מכל האחים. ולדברי התוס' הוה משום דרכי נועם. אבל ה</w:t>
      </w:r>
      <w:r>
        <w:rPr>
          <w:b/>
          <w:bCs/>
          <w:rtl/>
        </w:rPr>
        <w:t>רשב"א</w:t>
      </w:r>
      <w:r>
        <w:rPr>
          <w:rtl/>
        </w:rPr>
        <w:t xml:space="preserve"> (יז: ושא"ר שם) נקט דהיכא דזקוקה לאחים ל"ש דרכי נועם, אלא משום דין 'נאסרה'.</w:t>
      </w:r>
    </w:p>
  </w:footnote>
  <w:footnote w:id="52">
    <w:p w14:paraId="52D9F80F" w14:textId="77777777" w:rsidR="00BE1D1C" w:rsidRDefault="00000000" w:rsidP="00012502">
      <w:pPr>
        <w:pStyle w:val="Footnote"/>
        <w:bidi/>
      </w:pPr>
      <w:r>
        <w:rPr>
          <w:rStyle w:val="ac"/>
          <w:rtl/>
        </w:rPr>
        <w:footnoteRef/>
      </w:r>
      <w:r>
        <w:rPr>
          <w:rtl/>
        </w:rPr>
        <w:t>ותוס' הדגישו דאף דנאסרה רק על אח א', ולא הותרה לשוק, דמ"מ אינו דרכי נועם [וצ"ב]. [ולצד דהוה סימן, ועיקר הטעם דחל זיקה רק בשעת נפילה י"ל דכיון דכשאין אח אחר אמרי' דחל רק בשעת נפילה, ה"נ כשיש אח נוסף. ואף דאין בזה סימן]. וצ"ל דהזיקה הוה לכל אח בפנ"ע [וע' לקמן י:], וכלפי אח זה פטורה לגמרי.</w:t>
      </w:r>
    </w:p>
  </w:footnote>
  <w:footnote w:id="53">
    <w:p w14:paraId="0F0E2EF8" w14:textId="77777777" w:rsidR="00BE1D1C" w:rsidRDefault="00000000" w:rsidP="00012502">
      <w:pPr>
        <w:pStyle w:val="Footnote"/>
        <w:bidi/>
      </w:pPr>
      <w:r>
        <w:rPr>
          <w:rStyle w:val="ac"/>
          <w:rtl/>
        </w:rPr>
        <w:footnoteRef/>
      </w:r>
      <w:r>
        <w:rPr>
          <w:rtl/>
        </w:rPr>
        <w:t>ולשון ה</w:t>
      </w:r>
      <w:r>
        <w:rPr>
          <w:b/>
          <w:bCs/>
          <w:rtl/>
        </w:rPr>
        <w:t>גמ'</w:t>
      </w:r>
      <w:r>
        <w:rPr>
          <w:rtl/>
        </w:rPr>
        <w:t xml:space="preserve"> (שם) נעשה מתים כחיים, משמע דהוה גדר אחר, דנחשב שאף עכשיו יש לו בן [ואף לזה דרכי נועם הוה סימן].</w:t>
      </w:r>
    </w:p>
  </w:footnote>
  <w:footnote w:id="54">
    <w:p w14:paraId="2E2C9991" w14:textId="77777777" w:rsidR="00BE1D1C" w:rsidRDefault="00000000" w:rsidP="00012502">
      <w:pPr>
        <w:pStyle w:val="Footnote"/>
        <w:bidi/>
      </w:pPr>
      <w:r>
        <w:rPr>
          <w:rStyle w:val="ac"/>
          <w:rtl/>
        </w:rPr>
        <w:footnoteRef/>
      </w:r>
      <w:r>
        <w:rPr>
          <w:rtl/>
        </w:rPr>
        <w:t>ובאותו נפילה אפ"ל שהזיקה חוזר ומתעורר וכדאיתא ל. [לולי דרכי נועם], אבל אחרי שנתייבם לא שייך היתר לנפילה ראשונה.</w:t>
      </w:r>
    </w:p>
  </w:footnote>
  <w:footnote w:id="55">
    <w:p w14:paraId="000C0F5E" w14:textId="77777777" w:rsidR="00BE1D1C" w:rsidRDefault="00000000" w:rsidP="00012502">
      <w:pPr>
        <w:pStyle w:val="Footnote"/>
        <w:bidi/>
      </w:pPr>
      <w:r>
        <w:rPr>
          <w:rStyle w:val="ac"/>
          <w:rtl/>
        </w:rPr>
        <w:footnoteRef/>
      </w:r>
      <w:r>
        <w:rPr>
          <w:rtl/>
        </w:rPr>
        <w:t>[אבל אם נישואין מפילין מהני להחשב שם 'צרת ערוה' אף שעדיין אינה צרה ניחא, ולא תליא בדין נאסרה].</w:t>
      </w:r>
    </w:p>
  </w:footnote>
  <w:footnote w:id="56">
    <w:p w14:paraId="69B64BC2" w14:textId="77777777" w:rsidR="00BE1D1C" w:rsidRDefault="00000000" w:rsidP="00012502">
      <w:pPr>
        <w:pStyle w:val="Footnote"/>
        <w:bidi/>
      </w:pPr>
      <w:r>
        <w:rPr>
          <w:rStyle w:val="ac"/>
          <w:rtl/>
        </w:rPr>
        <w:footnoteRef/>
      </w:r>
      <w:r>
        <w:rPr>
          <w:rtl/>
        </w:rPr>
        <w:t>וב</w:t>
      </w:r>
      <w:r>
        <w:rPr>
          <w:b/>
          <w:bCs/>
          <w:rtl/>
        </w:rPr>
        <w:t>תוס' מהר"ם ור"פ</w:t>
      </w:r>
      <w:r>
        <w:rPr>
          <w:rtl/>
        </w:rPr>
        <w:t xml:space="preserve"> (ט:) כת' דנדה ל"ש דרכי נועם, כיון דיש לה תקנה אחר שתטבול.</w:t>
      </w:r>
    </w:p>
  </w:footnote>
  <w:footnote w:id="57">
    <w:p w14:paraId="11853DAD" w14:textId="77777777" w:rsidR="00BE1D1C" w:rsidRDefault="00000000" w:rsidP="00012502">
      <w:pPr>
        <w:pStyle w:val="Footnote"/>
        <w:bidi/>
      </w:pPr>
      <w:r>
        <w:rPr>
          <w:rStyle w:val="ac"/>
          <w:rtl/>
        </w:rPr>
        <w:footnoteRef/>
      </w:r>
      <w:r>
        <w:rPr>
          <w:rtl/>
        </w:rPr>
        <w:t>וצ"ב ביבם ואח"כ נולד לא נפלה לפניו, שנולד אח"כ [ובא ומצאה בהיתר]. [וע' לקמן כ.].</w:t>
      </w:r>
    </w:p>
  </w:footnote>
  <w:footnote w:id="58">
    <w:p w14:paraId="3F9BE20D" w14:textId="77777777" w:rsidR="00BE1D1C" w:rsidRDefault="00000000" w:rsidP="00012502">
      <w:pPr>
        <w:pStyle w:val="Footnote"/>
        <w:bidi/>
      </w:pPr>
      <w:r>
        <w:rPr>
          <w:rStyle w:val="ac"/>
          <w:rtl/>
        </w:rPr>
        <w:footnoteRef/>
      </w:r>
      <w:r>
        <w:rPr>
          <w:rtl/>
        </w:rPr>
        <w:t>[אבל תוס' דידן בפשוטו קאי אף לרבא, ומדרב אסי למד לרבא].</w:t>
      </w:r>
    </w:p>
  </w:footnote>
  <w:footnote w:id="59">
    <w:p w14:paraId="5A3BDC25" w14:textId="77777777" w:rsidR="00BE1D1C" w:rsidRDefault="00000000" w:rsidP="00012502">
      <w:pPr>
        <w:pStyle w:val="Footnote"/>
        <w:bidi/>
      </w:pPr>
      <w:r>
        <w:rPr>
          <w:rStyle w:val="ac"/>
          <w:rtl/>
        </w:rPr>
        <w:footnoteRef/>
      </w:r>
      <w:r>
        <w:rPr>
          <w:rtl/>
        </w:rPr>
        <w:t>[וע"ד הא דאי' כתובות עג:].</w:t>
      </w:r>
    </w:p>
  </w:footnote>
  <w:footnote w:id="60">
    <w:p w14:paraId="457965F6" w14:textId="77777777" w:rsidR="00BE1D1C" w:rsidRDefault="00000000" w:rsidP="00012502">
      <w:pPr>
        <w:pStyle w:val="Footnote"/>
        <w:bidi/>
      </w:pPr>
      <w:r>
        <w:rPr>
          <w:rStyle w:val="ac"/>
          <w:rtl/>
        </w:rPr>
        <w:footnoteRef/>
      </w:r>
      <w:r>
        <w:rPr>
          <w:rtl/>
        </w:rPr>
        <w:t>ועוד תי' דקושיית הגמ' (סא:) דאי איירי בלא קיבלה, א"כ פשיטא.</w:t>
      </w:r>
    </w:p>
  </w:footnote>
  <w:footnote w:id="61">
    <w:p w14:paraId="5D496522" w14:textId="77777777" w:rsidR="00BE1D1C" w:rsidRDefault="00000000" w:rsidP="00012502">
      <w:pPr>
        <w:pStyle w:val="Footnote"/>
        <w:bidi/>
      </w:pPr>
      <w:r>
        <w:rPr>
          <w:rStyle w:val="ac"/>
          <w:rtl/>
        </w:rPr>
        <w:footnoteRef/>
      </w:r>
      <w:r>
        <w:rPr>
          <w:rtl/>
        </w:rPr>
        <w:t>[וה</w:t>
      </w:r>
      <w:r>
        <w:rPr>
          <w:b/>
          <w:bCs/>
          <w:rtl/>
        </w:rPr>
        <w:t>ר"ן</w:t>
      </w:r>
      <w:r>
        <w:rPr>
          <w:rtl/>
        </w:rPr>
        <w:t xml:space="preserve"> (כתובות עג) כתב דמהני מחילה בתנאי במומין כיון דהתנה להנאתו, אין דעתו שיתבטל אא"כ התנה. וב</w:t>
      </w:r>
      <w:r>
        <w:rPr>
          <w:b/>
          <w:bCs/>
          <w:rtl/>
        </w:rPr>
        <w:t>שו"ת הרא"ש</w:t>
      </w:r>
      <w:r>
        <w:rPr>
          <w:rtl/>
        </w:rPr>
        <w:t xml:space="preserve"> (מו ב) כתב דהוה מדין מחילת התנאי].</w:t>
      </w:r>
    </w:p>
  </w:footnote>
  <w:footnote w:id="62">
    <w:p w14:paraId="63B9B03A" w14:textId="77777777" w:rsidR="00BE1D1C" w:rsidRDefault="00000000" w:rsidP="00012502">
      <w:pPr>
        <w:pStyle w:val="Footnote"/>
        <w:bidi/>
      </w:pPr>
      <w:r>
        <w:rPr>
          <w:rStyle w:val="ac"/>
          <w:rtl/>
        </w:rPr>
        <w:footnoteRef/>
      </w:r>
      <w:r>
        <w:rPr>
          <w:rtl/>
        </w:rPr>
        <w:t>ולא סמכו על רוב. וה"נ לא סמכו על ספק ספיקא. [וכ"כ הגליון בשיטמ"ק ב"מ יח:]. והשעה"מ הביא מכ"מ דסמכו על ס"ס באשת איש.</w:t>
      </w:r>
    </w:p>
  </w:footnote>
  <w:footnote w:id="63">
    <w:p w14:paraId="65AA89F8" w14:textId="77777777" w:rsidR="00BE1D1C" w:rsidRDefault="00000000" w:rsidP="00012502">
      <w:pPr>
        <w:pStyle w:val="Footnote"/>
        <w:bidi/>
      </w:pPr>
      <w:r>
        <w:rPr>
          <w:rStyle w:val="ac"/>
          <w:rtl/>
        </w:rPr>
        <w:footnoteRef/>
      </w:r>
      <w:r>
        <w:rPr>
          <w:rtl/>
        </w:rPr>
        <w:t>[וכיון דמת בעוד שהיא קטנה אין לו נפק"מ בזה שהיא אילונית]. ואף דמסברא מקפיד אילו נודע לו, מ"מ אמרי' שאילו ידע מה שיהא בעתיד לא יקפיד.</w:t>
      </w:r>
    </w:p>
  </w:footnote>
  <w:footnote w:id="64">
    <w:p w14:paraId="5A7BD452" w14:textId="77777777" w:rsidR="00BE1D1C" w:rsidRDefault="00000000" w:rsidP="00012502">
      <w:pPr>
        <w:pStyle w:val="Footnote"/>
        <w:bidi/>
      </w:pPr>
      <w:r>
        <w:rPr>
          <w:rStyle w:val="ac"/>
          <w:rtl/>
        </w:rPr>
        <w:footnoteRef/>
      </w:r>
      <w:r>
        <w:rPr>
          <w:rtl/>
        </w:rPr>
        <w:t>ומשמע בתוס' דרבא לא פליג בזה, ודלא כדעת ר"ת הו' לעיל.</w:t>
      </w:r>
    </w:p>
  </w:footnote>
  <w:footnote w:id="65">
    <w:p w14:paraId="5B8D36D6" w14:textId="77777777" w:rsidR="00BE1D1C" w:rsidRDefault="00000000" w:rsidP="00012502">
      <w:pPr>
        <w:pStyle w:val="Footnote"/>
        <w:bidi/>
      </w:pPr>
      <w:r>
        <w:rPr>
          <w:rStyle w:val="ac"/>
          <w:rtl/>
        </w:rPr>
        <w:footnoteRef/>
      </w:r>
      <w:r>
        <w:rPr>
          <w:rtl/>
        </w:rPr>
        <w:t>ובפשוטו כוונת התוס' דכמו שהחמירו שצריך גט, ג"כ צריך חליצה. דאין לחלק בזה. [וצ"ב לפ"ז ראית התוס' מקידושי מיאון דהו' אישות דרבנן].</w:t>
      </w:r>
    </w:p>
  </w:footnote>
  <w:footnote w:id="66">
    <w:p w14:paraId="537DA2E8" w14:textId="77777777" w:rsidR="00BE1D1C" w:rsidRDefault="00000000" w:rsidP="00012502">
      <w:pPr>
        <w:pStyle w:val="Footnote"/>
        <w:bidi/>
      </w:pPr>
      <w:r>
        <w:rPr>
          <w:rStyle w:val="ac"/>
          <w:rtl/>
        </w:rPr>
        <w:footnoteRef/>
      </w:r>
      <w:r>
        <w:rPr>
          <w:rtl/>
        </w:rPr>
        <w:t>וה</w:t>
      </w:r>
      <w:r>
        <w:rPr>
          <w:b/>
          <w:bCs/>
          <w:rtl/>
        </w:rPr>
        <w:t>לח"מ</w:t>
      </w:r>
      <w:r>
        <w:rPr>
          <w:rtl/>
        </w:rPr>
        <w:t xml:space="preserve"> (אישות ד י) דחה דאילונית בעי גט משום מראית העין, דבכדי תיפוק [ואינו אישות דרבנן], ולענין יבום לא החמירו.</w:t>
      </w:r>
    </w:p>
  </w:footnote>
  <w:footnote w:id="67">
    <w:p w14:paraId="15DF7F17" w14:textId="77777777" w:rsidR="00BE1D1C" w:rsidRDefault="00000000" w:rsidP="00012502">
      <w:pPr>
        <w:pStyle w:val="Footnote"/>
        <w:bidi/>
      </w:pPr>
      <w:r>
        <w:rPr>
          <w:rStyle w:val="ac"/>
          <w:rtl/>
        </w:rPr>
        <w:footnoteRef/>
      </w:r>
      <w:r>
        <w:rPr>
          <w:rtl/>
        </w:rPr>
        <w:t>[דמהני מחילה בתנאי שהתנה לטובתה].</w:t>
      </w:r>
    </w:p>
  </w:footnote>
  <w:footnote w:id="68">
    <w:p w14:paraId="3A1B62E8" w14:textId="77777777" w:rsidR="00BE1D1C" w:rsidRDefault="00000000" w:rsidP="00012502">
      <w:pPr>
        <w:pStyle w:val="Footnote"/>
        <w:bidi/>
      </w:pPr>
      <w:r>
        <w:rPr>
          <w:rStyle w:val="ac"/>
          <w:rtl/>
        </w:rPr>
        <w:footnoteRef/>
      </w:r>
      <w:r>
        <w:rPr>
          <w:rtl/>
        </w:rPr>
        <w:t>[ויל"ד האם תקנו אישות דרבנן עד שתמאן, אך לא מצאנו אישות מחודשת זו. וצ"ל דהוה מגדרי התנאי דבעי מעשה שמקפדת על התנאי].</w:t>
      </w:r>
    </w:p>
  </w:footnote>
  <w:footnote w:id="69">
    <w:p w14:paraId="47AE380C" w14:textId="77777777" w:rsidR="00BE1D1C" w:rsidRDefault="00000000" w:rsidP="00012502">
      <w:pPr>
        <w:pStyle w:val="Footnote"/>
        <w:bidi/>
      </w:pPr>
      <w:r>
        <w:rPr>
          <w:rStyle w:val="ac"/>
          <w:rtl/>
        </w:rPr>
        <w:footnoteRef/>
      </w:r>
      <w:r>
        <w:rPr>
          <w:rtl/>
        </w:rPr>
        <w:t>וכיון דעבר בב' איסורין נקבר בין רשעים דחמירי טפי. וה"ה הק' דהכא איירי בנשרפין, דהוה חייבי מיתות חמורים.</w:t>
      </w:r>
    </w:p>
  </w:footnote>
  <w:footnote w:id="70">
    <w:p w14:paraId="01A8EF11" w14:textId="77777777" w:rsidR="00BE1D1C" w:rsidRDefault="00000000" w:rsidP="00012502">
      <w:pPr>
        <w:pStyle w:val="Footnote"/>
        <w:bidi/>
      </w:pPr>
      <w:r>
        <w:rPr>
          <w:rStyle w:val="ac"/>
          <w:rtl/>
        </w:rPr>
        <w:footnoteRef/>
      </w:r>
      <w:r>
        <w:rPr>
          <w:rtl/>
        </w:rPr>
        <w:t>ונקט דיש איסור בת אשתו אף כשנשא אמה אח"כ, וע' ערול"נ (לקמן ט:).</w:t>
      </w:r>
    </w:p>
  </w:footnote>
  <w:footnote w:id="71">
    <w:p w14:paraId="48E81653" w14:textId="77777777" w:rsidR="00BE1D1C" w:rsidRDefault="00000000" w:rsidP="00012502">
      <w:pPr>
        <w:pStyle w:val="Footnote"/>
        <w:bidi/>
      </w:pPr>
      <w:r>
        <w:rPr>
          <w:rStyle w:val="ac"/>
          <w:rtl/>
        </w:rPr>
        <w:footnoteRef/>
      </w:r>
      <w:r>
        <w:rPr>
          <w:rtl/>
        </w:rPr>
        <w:t>ויל"ד דה"מ לתי' התוס', אבל לקו' הוה גדר איסור אחר.</w:t>
      </w:r>
    </w:p>
  </w:footnote>
  <w:footnote w:id="72">
    <w:p w14:paraId="0AAD3C02" w14:textId="77777777" w:rsidR="00BE1D1C" w:rsidRDefault="00000000" w:rsidP="00012502">
      <w:pPr>
        <w:pStyle w:val="Footnote"/>
        <w:bidi/>
      </w:pPr>
      <w:r>
        <w:rPr>
          <w:rStyle w:val="ac"/>
          <w:rtl/>
        </w:rPr>
        <w:footnoteRef/>
      </w:r>
      <w:r>
        <w:rPr>
          <w:rtl/>
        </w:rPr>
        <w:t>ויש שדנו דאף אי ליכא ילפותא על בתו, מ"מ בת אשתו לא משמע בתו מנשואתו, דקרוב טפי. [ואין מזהירין מהדין, ותהא פטורה לגמרי]. קמ"ל ק"ו דהוה בכלל בת אשתו, וחייב ב'.</w:t>
      </w:r>
    </w:p>
  </w:footnote>
  <w:footnote w:id="73">
    <w:p w14:paraId="32E3CD1A" w14:textId="77777777" w:rsidR="00BE1D1C" w:rsidRDefault="00000000" w:rsidP="00012502">
      <w:pPr>
        <w:pStyle w:val="Footnote"/>
        <w:bidi/>
      </w:pPr>
      <w:r>
        <w:rPr>
          <w:rStyle w:val="ac"/>
          <w:rtl/>
        </w:rPr>
        <w:footnoteRef/>
      </w:r>
      <w:r>
        <w:rPr>
          <w:rtl/>
        </w:rPr>
        <w:t>דיש לחקור בגדר האיסור אחות אשתו ובת אשתו, האם נחשבין קורבתו [ע"י קידושין]. או דשם האיסור דקרובה לאשתו.</w:t>
      </w:r>
    </w:p>
  </w:footnote>
  <w:footnote w:id="74">
    <w:p w14:paraId="68403702" w14:textId="77777777" w:rsidR="00BE1D1C" w:rsidRDefault="00000000" w:rsidP="00012502">
      <w:pPr>
        <w:pStyle w:val="Footnote"/>
        <w:bidi/>
      </w:pPr>
      <w:r>
        <w:rPr>
          <w:rStyle w:val="ac"/>
          <w:rtl/>
        </w:rPr>
        <w:footnoteRef/>
      </w:r>
      <w:r>
        <w:rPr>
          <w:rtl/>
        </w:rPr>
        <w:t>ובפשוטו לפ"ז אף באיסור חמותו וכו', דוקא מנישואין. [וע' לקמן צז.]. אבל ה</w:t>
      </w:r>
      <w:r>
        <w:rPr>
          <w:b/>
          <w:bCs/>
          <w:rtl/>
        </w:rPr>
        <w:t>אור גדול</w:t>
      </w:r>
      <w:r>
        <w:rPr>
          <w:rtl/>
        </w:rPr>
        <w:t xml:space="preserve"> (טו) ו</w:t>
      </w:r>
      <w:r>
        <w:rPr>
          <w:b/>
          <w:bCs/>
          <w:rtl/>
        </w:rPr>
        <w:t>אחיעזר</w:t>
      </w:r>
      <w:r>
        <w:rPr>
          <w:rtl/>
        </w:rPr>
        <w:t xml:space="preserve"> (יא) כתבו דאיסור חמותו תליא בקידושין. וכ"כ ה</w:t>
      </w:r>
      <w:r>
        <w:rPr>
          <w:b/>
          <w:bCs/>
          <w:rtl/>
        </w:rPr>
        <w:t>מהרש"א</w:t>
      </w:r>
      <w:r>
        <w:rPr>
          <w:rtl/>
        </w:rPr>
        <w:t xml:space="preserve"> (בתוס' צז.) דאף בת בתה ובת בנה כתיב לגלות ערותה, משמע ערוה דחדא.</w:t>
      </w:r>
    </w:p>
  </w:footnote>
  <w:footnote w:id="75">
    <w:p w14:paraId="028B3C65" w14:textId="77777777" w:rsidR="00BE1D1C" w:rsidRDefault="00000000" w:rsidP="00012502">
      <w:pPr>
        <w:pStyle w:val="Footnote"/>
        <w:bidi/>
      </w:pPr>
      <w:r>
        <w:rPr>
          <w:rStyle w:val="ac"/>
          <w:rtl/>
        </w:rPr>
        <w:footnoteRef/>
      </w:r>
      <w:r>
        <w:rPr>
          <w:rtl/>
        </w:rPr>
        <w:t>וכן ה</w:t>
      </w:r>
      <w:r>
        <w:rPr>
          <w:b/>
          <w:bCs/>
          <w:rtl/>
        </w:rPr>
        <w:t>ריטב"א</w:t>
      </w:r>
      <w:r>
        <w:rPr>
          <w:rtl/>
        </w:rPr>
        <w:t xml:space="preserve"> גרס ברש"י בתו 'מארוסתו' [אם אינו טעות סופר], אבל בת ארוסתו בעלמא מותרת [וכתוס'].</w:t>
      </w:r>
    </w:p>
  </w:footnote>
  <w:footnote w:id="76">
    <w:p w14:paraId="32989B0D" w14:textId="77777777" w:rsidR="00BE1D1C" w:rsidRDefault="00000000" w:rsidP="00012502">
      <w:pPr>
        <w:pStyle w:val="Footnote"/>
        <w:bidi/>
      </w:pPr>
      <w:r>
        <w:rPr>
          <w:rStyle w:val="ac"/>
          <w:rtl/>
        </w:rPr>
        <w:footnoteRef/>
      </w:r>
      <w:r>
        <w:rPr>
          <w:rtl/>
        </w:rPr>
        <w:t>[וכ"מ לשון תוס' בהמשך 'בקידושין' תליא מילתא]. אבל בתו"י מפורש דתליא בנישואין [דנישואין שלא נבעלה קרוי שאר].</w:t>
      </w:r>
    </w:p>
  </w:footnote>
  <w:footnote w:id="77">
    <w:p w14:paraId="23810995" w14:textId="77777777" w:rsidR="00BE1D1C" w:rsidRDefault="00000000" w:rsidP="00012502">
      <w:pPr>
        <w:pStyle w:val="Footnote"/>
        <w:bidi/>
      </w:pPr>
      <w:r>
        <w:rPr>
          <w:rStyle w:val="ac"/>
          <w:rtl/>
        </w:rPr>
        <w:footnoteRef/>
      </w:r>
      <w:r>
        <w:rPr>
          <w:rtl/>
        </w:rPr>
        <w:t>וכדאיתא (נזיר יב.) האומר לשלוחו לקדש, אסור בכל הנשים, דחוששין שמא קידש אחותה או בתה או אמה.</w:t>
      </w:r>
    </w:p>
    <w:p w14:paraId="28596B07" w14:textId="77777777" w:rsidR="00BE1D1C" w:rsidRDefault="00000000" w:rsidP="00012502">
      <w:pPr>
        <w:pStyle w:val="Footnote"/>
        <w:bidi/>
      </w:pPr>
      <w:r>
        <w:rPr>
          <w:rtl/>
        </w:rPr>
        <w:tab/>
        <w:t>ועוד הביאו ה</w:t>
      </w:r>
      <w:r>
        <w:rPr>
          <w:b/>
          <w:bCs/>
          <w:rtl/>
        </w:rPr>
        <w:t>אחרונים</w:t>
      </w:r>
      <w:r>
        <w:rPr>
          <w:rtl/>
        </w:rPr>
        <w:t xml:space="preserve"> מהגמ' (לקמן יח.) דלמ"ד יש זיקה אסור באמה דשומרת יבם, ואף דזיקה אינה כנישואין. (ע' לקמן כט:).</w:t>
      </w:r>
    </w:p>
  </w:footnote>
  <w:footnote w:id="78">
    <w:p w14:paraId="096BB37A" w14:textId="77777777" w:rsidR="00BE1D1C" w:rsidRDefault="00000000" w:rsidP="00012502">
      <w:pPr>
        <w:pStyle w:val="Footnote"/>
        <w:bidi/>
      </w:pPr>
      <w:r>
        <w:rPr>
          <w:rStyle w:val="ac"/>
          <w:rtl/>
        </w:rPr>
        <w:footnoteRef/>
      </w:r>
      <w:r>
        <w:rPr>
          <w:rtl/>
        </w:rPr>
        <w:t>וכן מבואר שם דהוה קידושין שאינן ראויין לביאה.</w:t>
      </w:r>
    </w:p>
  </w:footnote>
  <w:footnote w:id="79">
    <w:p w14:paraId="03D11130" w14:textId="77777777" w:rsidR="00BE1D1C" w:rsidRDefault="00000000" w:rsidP="00012502">
      <w:pPr>
        <w:pStyle w:val="Footnote"/>
        <w:bidi/>
      </w:pPr>
      <w:r>
        <w:rPr>
          <w:rStyle w:val="ac"/>
          <w:rtl/>
        </w:rPr>
        <w:footnoteRef/>
      </w:r>
      <w:r>
        <w:rPr>
          <w:rtl/>
        </w:rPr>
        <w:t>וה</w:t>
      </w:r>
      <w:r>
        <w:rPr>
          <w:b/>
          <w:bCs/>
          <w:rtl/>
        </w:rPr>
        <w:t>אחרונים</w:t>
      </w:r>
      <w:r>
        <w:rPr>
          <w:rtl/>
        </w:rPr>
        <w:t xml:space="preserve"> דנו לצד דתפסי קידושין בבת ארוסתו, ואח"כ נשא את הבת, לדברי רש"י (לקמן מט.) דכשנהיה ערוה פקעי קידושין, האם יפקע קידושי אשתו הראשונה או השניה. [וע' קה"י].</w:t>
      </w:r>
    </w:p>
  </w:footnote>
  <w:footnote w:id="80">
    <w:p w14:paraId="068D04F4" w14:textId="77777777" w:rsidR="00BE1D1C" w:rsidRDefault="00000000" w:rsidP="00012502">
      <w:pPr>
        <w:pStyle w:val="Footnote"/>
        <w:bidi/>
      </w:pPr>
      <w:r>
        <w:rPr>
          <w:rStyle w:val="ac"/>
          <w:rtl/>
        </w:rPr>
        <w:footnoteRef/>
      </w:r>
      <w:r>
        <w:rPr>
          <w:rtl/>
        </w:rPr>
        <w:t>וצ"ב מהיכן נלמד. ו</w:t>
      </w:r>
      <w:r>
        <w:rPr>
          <w:b/>
          <w:bCs/>
          <w:rtl/>
        </w:rPr>
        <w:t>תוס</w:t>
      </w:r>
      <w:r>
        <w:rPr>
          <w:rtl/>
        </w:rPr>
        <w:t>' (צז.) נקטו הלשון 'שלא אסר'. וה</w:t>
      </w:r>
      <w:r>
        <w:rPr>
          <w:b/>
          <w:bCs/>
          <w:rtl/>
        </w:rPr>
        <w:t>או"ש</w:t>
      </w:r>
      <w:r>
        <w:rPr>
          <w:rtl/>
        </w:rPr>
        <w:t xml:space="preserve"> (ב ז) כתב דילפי' מק"ו מבת בתה. אלא דאין מזהירין ועונשין מהדין.</w:t>
      </w:r>
    </w:p>
  </w:footnote>
  <w:footnote w:id="81">
    <w:p w14:paraId="6B03C60D" w14:textId="77777777" w:rsidR="00BE1D1C" w:rsidRDefault="00000000" w:rsidP="00012502">
      <w:pPr>
        <w:pStyle w:val="Footnote"/>
        <w:bidi/>
      </w:pPr>
      <w:r>
        <w:rPr>
          <w:rStyle w:val="ac"/>
          <w:rtl/>
        </w:rPr>
        <w:footnoteRef/>
      </w:r>
      <w:r>
        <w:rPr>
          <w:rtl/>
        </w:rPr>
        <w:t>ולכאורה עי"ז נחשב 'שם ערוה' לתפיסת קידושין מעכשיו. ואף שעדיין אינה אסורה.</w:t>
      </w:r>
    </w:p>
  </w:footnote>
  <w:footnote w:id="82">
    <w:p w14:paraId="0AD1D085" w14:textId="77777777" w:rsidR="00BE1D1C" w:rsidRDefault="00000000" w:rsidP="00012502">
      <w:pPr>
        <w:pStyle w:val="Footnote"/>
        <w:bidi/>
      </w:pPr>
      <w:r>
        <w:rPr>
          <w:rStyle w:val="ac"/>
          <w:rtl/>
        </w:rPr>
        <w:footnoteRef/>
      </w:r>
      <w:r>
        <w:rPr>
          <w:rtl/>
        </w:rPr>
        <w:t>ורש"י בא לאפוקי מפירוש זה [במש"כ כלומר], דטעם הגמ' לאו משום קורבא הוא בא לפרש אמאי הני הו' לבסוף. אבל קו' הגמ' להקדים כלתו הוה טעם אחר.</w:t>
      </w:r>
    </w:p>
  </w:footnote>
  <w:footnote w:id="83">
    <w:p w14:paraId="2E393218" w14:textId="77777777" w:rsidR="00BE1D1C" w:rsidRDefault="00000000" w:rsidP="00012502">
      <w:pPr>
        <w:pStyle w:val="Footnote"/>
        <w:bidi/>
      </w:pPr>
      <w:r>
        <w:rPr>
          <w:rStyle w:val="ac"/>
          <w:rtl/>
        </w:rPr>
        <w:footnoteRef/>
      </w:r>
      <w:r>
        <w:rPr>
          <w:rtl/>
        </w:rPr>
        <w:t>וה</w:t>
      </w:r>
      <w:r>
        <w:rPr>
          <w:b/>
          <w:bCs/>
          <w:rtl/>
        </w:rPr>
        <w:t>אחרונים</w:t>
      </w:r>
      <w:r>
        <w:rPr>
          <w:rtl/>
        </w:rPr>
        <w:t xml:space="preserve"> העירו דבנפילה שניה אסורה מחמת איסור אשת אח דאח הראשון, וזה הוה איסור קורבא. [ויל"ד ע"ד דברי החזו"א דאף בנפילה שניה תליא בדין מניעת יבום דאח הראשון].</w:t>
      </w:r>
    </w:p>
  </w:footnote>
  <w:footnote w:id="84">
    <w:p w14:paraId="634389E6" w14:textId="77777777" w:rsidR="00BE1D1C" w:rsidRDefault="00000000" w:rsidP="00012502">
      <w:pPr>
        <w:pStyle w:val="Footnote"/>
        <w:bidi/>
      </w:pPr>
      <w:r>
        <w:rPr>
          <w:rStyle w:val="ac"/>
          <w:rtl/>
        </w:rPr>
        <w:footnoteRef/>
      </w:r>
      <w:r>
        <w:rPr>
          <w:rtl/>
        </w:rPr>
        <w:t>ופ</w:t>
      </w:r>
      <w:r>
        <w:rPr>
          <w:b/>
          <w:bCs/>
          <w:rtl/>
        </w:rPr>
        <w:t>רש"י</w:t>
      </w:r>
      <w:r>
        <w:rPr>
          <w:rtl/>
        </w:rPr>
        <w:t xml:space="preserve"> דקו' הגמ' דלשון פטורות משמע דאי בעי מייבם. וה</w:t>
      </w:r>
      <w:r>
        <w:rPr>
          <w:b/>
          <w:bCs/>
          <w:rtl/>
        </w:rPr>
        <w:t>מהר"ח או"ז</w:t>
      </w:r>
      <w:r>
        <w:rPr>
          <w:rtl/>
        </w:rPr>
        <w:t xml:space="preserve"> (קסד) הביא מקשין דכיון דקו' הגמ' דיבואו לטעות שיבואו לייבם [כפרש"י], טפי עדיף שיטעו שצריכה חליצה מאשר שיבואו לייבם. ותי' דבאמת אין כאן מקום לטעות, כדתנן להדיא (לקמן יג:). אלא דדרך התנא לנקוט בקיצור ברישא מה דאפשר, וכח דהתירא עדיף לשנות.</w:t>
      </w:r>
    </w:p>
  </w:footnote>
  <w:footnote w:id="85">
    <w:p w14:paraId="310E2BD3" w14:textId="77777777" w:rsidR="00BE1D1C" w:rsidRDefault="00000000" w:rsidP="00012502">
      <w:pPr>
        <w:pStyle w:val="Footnote"/>
        <w:bidi/>
      </w:pPr>
      <w:r>
        <w:rPr>
          <w:rStyle w:val="ac"/>
          <w:rtl/>
        </w:rPr>
        <w:footnoteRef/>
      </w:r>
      <w:r>
        <w:rPr>
          <w:rtl/>
        </w:rPr>
        <w:t>דהמקשן ידע מסברא דלא יתכן דפטור מיבום, ורשאי לייבם אם ירצה. אלא דהק' דלשון המשנה מביא לידי טעות.</w:t>
      </w:r>
    </w:p>
  </w:footnote>
  <w:footnote w:id="86">
    <w:p w14:paraId="07B40D61" w14:textId="77777777" w:rsidR="00BE1D1C" w:rsidRDefault="00000000" w:rsidP="00012502">
      <w:pPr>
        <w:pStyle w:val="Footnote"/>
        <w:bidi/>
      </w:pPr>
      <w:r>
        <w:rPr>
          <w:rStyle w:val="ac"/>
          <w:rtl/>
        </w:rPr>
        <w:footnoteRef/>
      </w:r>
      <w:r>
        <w:rPr>
          <w:rtl/>
        </w:rPr>
        <w:t>ויל"ד האם מבואר ברש"י דכל מקום שאין מצוות יבום בפועל קאי באיסור אשת אח [ונפק"מ לחייבי לאו ועשה וכדו']. ואפשר דהלשון פטור משמע טפי.</w:t>
      </w:r>
    </w:p>
  </w:footnote>
  <w:footnote w:id="87">
    <w:p w14:paraId="2171FFE8" w14:textId="77777777" w:rsidR="00BE1D1C" w:rsidRDefault="00000000" w:rsidP="00012502">
      <w:pPr>
        <w:pStyle w:val="Footnote"/>
        <w:bidi/>
      </w:pPr>
      <w:r>
        <w:rPr>
          <w:rStyle w:val="ac"/>
          <w:rtl/>
        </w:rPr>
        <w:footnoteRef/>
      </w:r>
      <w:r>
        <w:rPr>
          <w:rtl/>
        </w:rPr>
        <w:t>ושייך לשון 'איסור' משום איסור דרבנן.</w:t>
      </w:r>
    </w:p>
  </w:footnote>
  <w:footnote w:id="88">
    <w:p w14:paraId="2D732D91" w14:textId="77777777" w:rsidR="00BE1D1C" w:rsidRDefault="00000000" w:rsidP="00012502">
      <w:pPr>
        <w:pStyle w:val="Footnote"/>
        <w:bidi/>
      </w:pPr>
      <w:r>
        <w:rPr>
          <w:rStyle w:val="ac"/>
          <w:rtl/>
        </w:rPr>
        <w:footnoteRef/>
      </w:r>
      <w:r>
        <w:rPr>
          <w:rtl/>
        </w:rPr>
        <w:t>ואפשר דבאיסור לאו או עשה בעלמא לא גזרו, דאינם שייכים כלל ליבום. ודוקא הכא דשייך לאיסורי יבום גזרו.</w:t>
      </w:r>
    </w:p>
  </w:footnote>
  <w:footnote w:id="89">
    <w:p w14:paraId="36A7D5B0" w14:textId="77777777" w:rsidR="00BE1D1C" w:rsidRDefault="00000000" w:rsidP="00012502">
      <w:pPr>
        <w:pStyle w:val="Footnote"/>
        <w:bidi/>
      </w:pPr>
      <w:r>
        <w:rPr>
          <w:rStyle w:val="ac"/>
          <w:rtl/>
        </w:rPr>
        <w:footnoteRef/>
      </w:r>
      <w:r>
        <w:rPr>
          <w:rtl/>
        </w:rPr>
        <w:t>וכ"מ מ</w:t>
      </w:r>
      <w:r>
        <w:rPr>
          <w:b/>
          <w:bCs/>
          <w:rtl/>
        </w:rPr>
        <w:t>תוס</w:t>
      </w:r>
      <w:r>
        <w:rPr>
          <w:rtl/>
        </w:rPr>
        <w:t>' (מנחות צג. הו' בסמוך).</w:t>
      </w:r>
    </w:p>
  </w:footnote>
  <w:footnote w:id="90">
    <w:p w14:paraId="5FBD9BC0" w14:textId="77777777" w:rsidR="00BE1D1C" w:rsidRDefault="00000000" w:rsidP="00012502">
      <w:pPr>
        <w:pStyle w:val="Footnote"/>
        <w:bidi/>
      </w:pPr>
      <w:r>
        <w:rPr>
          <w:rStyle w:val="ac"/>
          <w:rtl/>
        </w:rPr>
        <w:footnoteRef/>
      </w:r>
      <w:r>
        <w:rPr>
          <w:rtl/>
        </w:rPr>
        <w:t>וצ"ב דכיון דאף צרת ערוה פטורה מ"ש דס"ד דתבעי חליצה. וממ"נ אי אף הצרה הוה גדר פטור, א"כ אמאי זקוקה לחליצה.</w:t>
      </w:r>
    </w:p>
  </w:footnote>
  <w:footnote w:id="91">
    <w:p w14:paraId="080CF44A" w14:textId="77777777" w:rsidR="00BE1D1C" w:rsidRDefault="00000000" w:rsidP="00012502">
      <w:pPr>
        <w:pStyle w:val="Footnote"/>
        <w:bidi/>
      </w:pPr>
      <w:r>
        <w:rPr>
          <w:rStyle w:val="ac"/>
          <w:rtl/>
        </w:rPr>
        <w:footnoteRef/>
      </w:r>
      <w:r>
        <w:rPr>
          <w:rtl/>
        </w:rPr>
        <w:t>ורש"י כת' אבל חייבי לאוין זקוקה להתייבם, ואין איסור לאו פוטרה מחליצה. [ע' לקמן כ.].</w:t>
      </w:r>
    </w:p>
  </w:footnote>
  <w:footnote w:id="92">
    <w:p w14:paraId="74045EB2" w14:textId="77777777" w:rsidR="00BE1D1C" w:rsidRDefault="00000000" w:rsidP="00012502">
      <w:pPr>
        <w:pStyle w:val="Footnote"/>
        <w:bidi/>
      </w:pPr>
      <w:r>
        <w:rPr>
          <w:rStyle w:val="ac"/>
          <w:rtl/>
        </w:rPr>
        <w:footnoteRef/>
      </w:r>
      <w:r>
        <w:rPr>
          <w:rtl/>
        </w:rPr>
        <w:t>אך יש שדחו דכוונת רש"י דילפי' דבעריות אין 'זיקת יבום', ומש"ה כיון דאינה עולה לזיקת יבום אי"צ חליצה [משום כל העולה]. משא"כ חייבי לאוין דזקוקה ליבום.</w:t>
      </w:r>
    </w:p>
  </w:footnote>
  <w:footnote w:id="93">
    <w:p w14:paraId="66B1CC1F" w14:textId="77777777" w:rsidR="00BE1D1C" w:rsidRDefault="00000000" w:rsidP="00012502">
      <w:pPr>
        <w:pStyle w:val="Footnote"/>
        <w:bidi/>
      </w:pPr>
      <w:r>
        <w:rPr>
          <w:rStyle w:val="ac"/>
          <w:rtl/>
        </w:rPr>
        <w:footnoteRef/>
      </w:r>
      <w:r>
        <w:rPr>
          <w:rtl/>
        </w:rPr>
        <w:t>[ויל"ד דנימא קמ"ל דיש איסור, משום גזירה שלא תתייבם].</w:t>
      </w:r>
    </w:p>
  </w:footnote>
  <w:footnote w:id="94">
    <w:p w14:paraId="4DF0AC09" w14:textId="77777777" w:rsidR="00BE1D1C" w:rsidRDefault="00000000" w:rsidP="00012502">
      <w:pPr>
        <w:pStyle w:val="Footnote"/>
        <w:bidi/>
      </w:pPr>
      <w:r>
        <w:rPr>
          <w:rStyle w:val="ac"/>
          <w:rtl/>
        </w:rPr>
        <w:footnoteRef/>
      </w:r>
      <w:r>
        <w:rPr>
          <w:rtl/>
        </w:rPr>
        <w:t>וה</w:t>
      </w:r>
      <w:r>
        <w:rPr>
          <w:b/>
          <w:bCs/>
          <w:rtl/>
        </w:rPr>
        <w:t>חכ"צ</w:t>
      </w:r>
      <w:r>
        <w:rPr>
          <w:rtl/>
        </w:rPr>
        <w:t xml:space="preserve"> (א) נקט דחליצה הוה רק להתיר לינשא, ואשה שאינה עומדת לינשא אי"צ חליצה כלל. [ע' רש"י סנהדרין יט: ורש"ש שם]. וע' עונג יו"ט (קעו).</w:t>
      </w:r>
    </w:p>
  </w:footnote>
  <w:footnote w:id="95">
    <w:p w14:paraId="2504A8E4" w14:textId="77777777" w:rsidR="00BE1D1C" w:rsidRDefault="00000000" w:rsidP="00012502">
      <w:pPr>
        <w:pStyle w:val="Footnote"/>
        <w:bidi/>
      </w:pPr>
      <w:r>
        <w:rPr>
          <w:rStyle w:val="ac"/>
          <w:rtl/>
        </w:rPr>
        <w:footnoteRef/>
      </w:r>
      <w:r>
        <w:rPr>
          <w:rtl/>
        </w:rPr>
        <w:t>כדאי' (לקמן מא:) דהיכא דאינה עולה ליבום מחמת ספק, נחשב ראויה לחליצה.</w:t>
      </w:r>
    </w:p>
  </w:footnote>
  <w:footnote w:id="96">
    <w:p w14:paraId="3ED00194" w14:textId="77777777" w:rsidR="00BE1D1C" w:rsidRDefault="00000000" w:rsidP="00012502">
      <w:pPr>
        <w:pStyle w:val="Footnote"/>
        <w:bidi/>
      </w:pPr>
      <w:r>
        <w:rPr>
          <w:rStyle w:val="ac"/>
          <w:rtl/>
        </w:rPr>
        <w:footnoteRef/>
      </w:r>
      <w:r>
        <w:rPr>
          <w:rtl/>
        </w:rPr>
        <w:t>ורבנן פליגי דיבמה יבא עליה מ"מ. וכדדרשי' (לקמן נד.) יבמה יבא עליה, בין שוגג ובין מזיד, בין אונס ובין רצון. [ואף בלא כוונת מצווה קנאה, ויש קנין יבום. וע"ע לקמן שם].</w:t>
      </w:r>
    </w:p>
  </w:footnote>
  <w:footnote w:id="97">
    <w:p w14:paraId="4CD960EF" w14:textId="77777777" w:rsidR="00BE1D1C" w:rsidRDefault="00000000" w:rsidP="00012502">
      <w:pPr>
        <w:pStyle w:val="Footnote"/>
        <w:bidi/>
      </w:pPr>
      <w:r>
        <w:rPr>
          <w:rStyle w:val="ac"/>
          <w:rtl/>
        </w:rPr>
        <w:footnoteRef/>
      </w:r>
      <w:r>
        <w:rPr>
          <w:rtl/>
        </w:rPr>
        <w:t>[וע' לקמן לט:]. אבל מדינא לכו"ע עיקר המצוה ביבום.</w:t>
      </w:r>
    </w:p>
  </w:footnote>
  <w:footnote w:id="98">
    <w:p w14:paraId="4A688651" w14:textId="77777777" w:rsidR="00BE1D1C" w:rsidRDefault="00000000" w:rsidP="00012502">
      <w:pPr>
        <w:pStyle w:val="Footnote"/>
        <w:bidi/>
      </w:pPr>
      <w:r>
        <w:rPr>
          <w:rStyle w:val="ac"/>
          <w:rtl/>
        </w:rPr>
        <w:footnoteRef/>
      </w:r>
      <w:r>
        <w:rPr>
          <w:rtl/>
        </w:rPr>
        <w:t>וכ"פ ה</w:t>
      </w:r>
      <w:r>
        <w:rPr>
          <w:b/>
          <w:bCs/>
          <w:rtl/>
        </w:rPr>
        <w:t>רמב"ם</w:t>
      </w:r>
      <w:r>
        <w:rPr>
          <w:rtl/>
        </w:rPr>
        <w:t xml:space="preserve"> (א ב) וה</w:t>
      </w:r>
      <w:r>
        <w:rPr>
          <w:b/>
          <w:bCs/>
          <w:rtl/>
        </w:rPr>
        <w:t>רי"ף</w:t>
      </w:r>
      <w:r>
        <w:rPr>
          <w:rtl/>
        </w:rPr>
        <w:t xml:space="preserve"> (יג. בדה"ס). אבל דעת </w:t>
      </w:r>
      <w:r>
        <w:rPr>
          <w:b/>
          <w:bCs/>
          <w:rtl/>
        </w:rPr>
        <w:t>רש"י</w:t>
      </w:r>
      <w:r>
        <w:rPr>
          <w:rtl/>
        </w:rPr>
        <w:t xml:space="preserve"> (לט:, והו' בטור קסה) דקי"ל דמצוות חליצה קודמת, וכאבא שאול.</w:t>
      </w:r>
    </w:p>
  </w:footnote>
  <w:footnote w:id="99">
    <w:p w14:paraId="26F5B4EF" w14:textId="77777777" w:rsidR="00BE1D1C" w:rsidRDefault="00000000" w:rsidP="00012502">
      <w:pPr>
        <w:pStyle w:val="Footnote"/>
        <w:bidi/>
      </w:pPr>
      <w:r>
        <w:rPr>
          <w:rStyle w:val="ac"/>
          <w:rtl/>
        </w:rPr>
        <w:footnoteRef/>
      </w:r>
      <w:r>
        <w:rPr>
          <w:rtl/>
        </w:rPr>
        <w:t>אך לדעת רש"י שפסק כאבא שאול, ולכאורה קי"ל דקטן הבא על הגדולה יגדלנה [וכ"פ ה</w:t>
      </w:r>
      <w:r>
        <w:rPr>
          <w:b/>
          <w:bCs/>
          <w:rtl/>
        </w:rPr>
        <w:t>טור</w:t>
      </w:r>
      <w:r>
        <w:rPr>
          <w:rtl/>
        </w:rPr>
        <w:t xml:space="preserve"> (קסז), ולא הביא בזה מח']. ע"כ ס"ל דאף אבא שאול מודה בזה.</w:t>
      </w:r>
    </w:p>
  </w:footnote>
  <w:footnote w:id="100">
    <w:p w14:paraId="3B2AF0B1" w14:textId="77777777" w:rsidR="00BE1D1C" w:rsidRDefault="00000000" w:rsidP="00012502">
      <w:pPr>
        <w:pStyle w:val="Footnote"/>
        <w:bidi/>
      </w:pPr>
      <w:r>
        <w:rPr>
          <w:rStyle w:val="ac"/>
          <w:rtl/>
        </w:rPr>
        <w:footnoteRef/>
      </w:r>
      <w:r>
        <w:rPr>
          <w:rtl/>
        </w:rPr>
        <w:t>ויש לדחות דה"מ בקו', שדימהו לאילונית. אבל למסקנא ליכא איסור אשת אח.</w:t>
      </w:r>
    </w:p>
  </w:footnote>
  <w:footnote w:id="101">
    <w:p w14:paraId="79609528" w14:textId="77777777" w:rsidR="00BE1D1C" w:rsidRDefault="00000000" w:rsidP="00012502">
      <w:pPr>
        <w:pStyle w:val="Footnote"/>
        <w:bidi/>
      </w:pPr>
      <w:r>
        <w:rPr>
          <w:rStyle w:val="ac"/>
          <w:rtl/>
        </w:rPr>
        <w:footnoteRef/>
      </w:r>
      <w:r>
        <w:rPr>
          <w:rtl/>
        </w:rPr>
        <w:t xml:space="preserve">[וציין דכ"כ </w:t>
      </w:r>
      <w:r>
        <w:rPr>
          <w:b/>
          <w:bCs/>
          <w:rtl/>
        </w:rPr>
        <w:t>תוס</w:t>
      </w:r>
      <w:r>
        <w:rPr>
          <w:rtl/>
        </w:rPr>
        <w:t>' (גיטין ה. ונדה יח:) דל"ש מנינא למעוטי דבר דלא הו"ל לשנות במשנה].</w:t>
      </w:r>
    </w:p>
  </w:footnote>
  <w:footnote w:id="102">
    <w:p w14:paraId="09471E17" w14:textId="77777777" w:rsidR="00BE1D1C" w:rsidRDefault="00000000" w:rsidP="00012502">
      <w:pPr>
        <w:pStyle w:val="Footnote"/>
        <w:bidi/>
      </w:pPr>
      <w:r>
        <w:rPr>
          <w:rStyle w:val="ac"/>
          <w:rtl/>
        </w:rPr>
        <w:footnoteRef/>
      </w:r>
      <w:r>
        <w:rPr>
          <w:rtl/>
        </w:rPr>
        <w:t>אבל ה</w:t>
      </w:r>
      <w:r>
        <w:rPr>
          <w:b/>
          <w:bCs/>
          <w:rtl/>
        </w:rPr>
        <w:t>יש"ש</w:t>
      </w:r>
      <w:r>
        <w:rPr>
          <w:rtl/>
        </w:rPr>
        <w:t xml:space="preserve"> כתב דס"ד דלגבי שש עריות כיון שאין אפשרות כלל שיהא במקום מצוה, נלמד אף שלא במקום מצוה. אבל שאר עריות דוקא במקום מצוה.</w:t>
      </w:r>
    </w:p>
  </w:footnote>
  <w:footnote w:id="103">
    <w:p w14:paraId="085A03E4" w14:textId="77777777" w:rsidR="00BE1D1C" w:rsidRDefault="00000000" w:rsidP="00012502">
      <w:pPr>
        <w:pStyle w:val="Footnote"/>
        <w:bidi/>
      </w:pPr>
      <w:r>
        <w:rPr>
          <w:rStyle w:val="ac"/>
          <w:rtl/>
        </w:rPr>
        <w:footnoteRef/>
      </w:r>
      <w:r>
        <w:rPr>
          <w:rtl/>
        </w:rPr>
        <w:t>[וכמו שהו' לעיל ג.]. ומשמע דפירש לשון הגמ' דאין איסור צרה אלא מחמת איסור אשת אח. [ולא רק דיש תנאי שיהא במקום מצוה].</w:t>
      </w:r>
    </w:p>
  </w:footnote>
  <w:footnote w:id="104">
    <w:p w14:paraId="005409C3" w14:textId="77777777" w:rsidR="00BE1D1C" w:rsidRDefault="00000000" w:rsidP="00012502">
      <w:pPr>
        <w:pStyle w:val="Footnote"/>
        <w:bidi/>
      </w:pPr>
      <w:r>
        <w:rPr>
          <w:rStyle w:val="ac"/>
          <w:rtl/>
        </w:rPr>
        <w:footnoteRef/>
      </w:r>
      <w:r>
        <w:rPr>
          <w:rtl/>
        </w:rPr>
        <w:t>וה</w:t>
      </w:r>
      <w:r>
        <w:rPr>
          <w:b/>
          <w:bCs/>
          <w:rtl/>
        </w:rPr>
        <w:t xml:space="preserve">ריטב"א </w:t>
      </w:r>
      <w:r>
        <w:rPr>
          <w:rtl/>
        </w:rPr>
        <w:t>ו</w:t>
      </w:r>
      <w:r>
        <w:rPr>
          <w:b/>
          <w:bCs/>
          <w:rtl/>
        </w:rPr>
        <w:t>נמוק"י</w:t>
      </w:r>
      <w:r>
        <w:rPr>
          <w:rtl/>
        </w:rPr>
        <w:t xml:space="preserve"> הק' וא"ת והיכן מצינו שיש עליהן עונש דקתני 'מנין' וכו'. וי"ל דתנא קים ליה במילתיה ואורחא הוא בהכי.</w:t>
      </w:r>
    </w:p>
  </w:footnote>
  <w:footnote w:id="105">
    <w:p w14:paraId="33073FB4" w14:textId="77777777" w:rsidR="00BE1D1C" w:rsidRDefault="00000000" w:rsidP="00012502">
      <w:pPr>
        <w:pStyle w:val="Footnote"/>
        <w:bidi/>
      </w:pPr>
      <w:r>
        <w:rPr>
          <w:rStyle w:val="ac"/>
          <w:rtl/>
        </w:rPr>
        <w:footnoteRef/>
      </w:r>
      <w:r>
        <w:rPr>
          <w:rtl/>
        </w:rPr>
        <w:t>וב</w:t>
      </w:r>
      <w:r>
        <w:rPr>
          <w:b/>
          <w:bCs/>
          <w:rtl/>
        </w:rPr>
        <w:t>חי' ר' נחום</w:t>
      </w:r>
      <w:r>
        <w:rPr>
          <w:rtl/>
        </w:rPr>
        <w:t xml:space="preserve"> פירש דס"ד (לקמן ח) דילפי' מ'עליה' דבמקום מצות יבום אינו בכלל פרשת עריות. א"כ י"ל דאף דילפי' דיש בזה איסור, אבל ס"ד דהוה איסור חדש מקרא דהכא. [דאמרי' דהכתוב נתקו ללאו].</w:t>
      </w:r>
    </w:p>
  </w:footnote>
  <w:footnote w:id="106">
    <w:p w14:paraId="3823A945" w14:textId="77777777" w:rsidR="00BE1D1C" w:rsidRDefault="00000000" w:rsidP="00012502">
      <w:pPr>
        <w:pStyle w:val="Footnote"/>
        <w:bidi/>
      </w:pPr>
      <w:r>
        <w:rPr>
          <w:rStyle w:val="ac"/>
          <w:rtl/>
        </w:rPr>
        <w:footnoteRef/>
      </w:r>
      <w:r>
        <w:rPr>
          <w:rtl/>
        </w:rPr>
        <w:t>ומבואר בגמ' דעכ"פ לוקה. ויל"ד משום מה מתרינן בה, הערוה משום 'עליה' והצרה משום 'לצרור'.</w:t>
      </w:r>
    </w:p>
    <w:p w14:paraId="4B218BDD" w14:textId="77777777" w:rsidR="00BE1D1C" w:rsidRDefault="00000000" w:rsidP="00012502">
      <w:pPr>
        <w:pStyle w:val="Footnote"/>
        <w:bidi/>
      </w:pPr>
      <w:r>
        <w:rPr>
          <w:rtl/>
        </w:rPr>
        <w:tab/>
        <w:t>ולכאורה צ"ל דמתרינן משום לאו דאשת אח, כיון דנתמעט מיבום. אלא דס"ד דאינו בכלל חיוב כרת. וצ"ב מ"ש. [ויש שציינו דכעי"ז מצאנו לקמן י: דלאחר חליצה ויבום לצרה נקלש איסור אשת אח, והוה לאו או עשה בעלמא. וע' מה שביאר במהר"ח או"ז קסד].</w:t>
      </w:r>
    </w:p>
  </w:footnote>
  <w:footnote w:id="107">
    <w:p w14:paraId="60FF8848" w14:textId="77777777" w:rsidR="00BE1D1C" w:rsidRDefault="00000000" w:rsidP="00012502">
      <w:pPr>
        <w:pStyle w:val="Footnote"/>
        <w:bidi/>
      </w:pPr>
      <w:r>
        <w:rPr>
          <w:rStyle w:val="ac"/>
          <w:rtl/>
        </w:rPr>
        <w:footnoteRef/>
      </w:r>
      <w:r>
        <w:rPr>
          <w:rtl/>
        </w:rPr>
        <w:t>וה</w:t>
      </w:r>
      <w:r>
        <w:rPr>
          <w:b/>
          <w:bCs/>
          <w:rtl/>
        </w:rPr>
        <w:t>ירושלמי</w:t>
      </w:r>
      <w:r>
        <w:rPr>
          <w:rtl/>
        </w:rPr>
        <w:t xml:space="preserve"> מבעי הבא על הצרה מהו שיתחייב משום אשת אח. ובפשוטו משמע דהספק האם חייב כלל. וה</w:t>
      </w:r>
      <w:r>
        <w:rPr>
          <w:b/>
          <w:bCs/>
          <w:rtl/>
        </w:rPr>
        <w:t>אחרונים</w:t>
      </w:r>
      <w:r>
        <w:rPr>
          <w:rtl/>
        </w:rPr>
        <w:t xml:space="preserve"> כתבו דיל"פ דהירושלמי ידע קרא ד'אזהרה', וחייב כרת, אלא דנסתפק דאפשר דהוה איסור חדש 'לצרור'.</w:t>
      </w:r>
    </w:p>
  </w:footnote>
  <w:footnote w:id="108">
    <w:p w14:paraId="461C1AAE" w14:textId="77777777" w:rsidR="00BE1D1C" w:rsidRDefault="00000000" w:rsidP="00012502">
      <w:pPr>
        <w:pStyle w:val="Footnote"/>
        <w:bidi/>
      </w:pPr>
      <w:r>
        <w:rPr>
          <w:rStyle w:val="ac"/>
          <w:rtl/>
        </w:rPr>
        <w:footnoteRef/>
      </w:r>
      <w:r>
        <w:rPr>
          <w:rtl/>
        </w:rPr>
        <w:t>ולפ"ז הא דאי' (לקמן ל.) דיבמה שהיא ערוה בשעת נפילה הרי היא כאשת אח שיש לה בנים [ונאסרה], היינו לאחר דילפי' כאן עונש.</w:t>
      </w:r>
    </w:p>
  </w:footnote>
  <w:footnote w:id="109">
    <w:p w14:paraId="3F386DF6" w14:textId="77777777" w:rsidR="00BE1D1C" w:rsidRDefault="00000000" w:rsidP="00012502">
      <w:pPr>
        <w:pStyle w:val="Footnote"/>
        <w:bidi/>
      </w:pPr>
      <w:r>
        <w:rPr>
          <w:rStyle w:val="ac"/>
          <w:rtl/>
        </w:rPr>
        <w:footnoteRef/>
      </w:r>
      <w:r>
        <w:rPr>
          <w:rtl/>
        </w:rPr>
        <w:t>[ע' תוס' לב. ד"ה לא] ולכאורה יש חיוב כרת.</w:t>
      </w:r>
    </w:p>
  </w:footnote>
  <w:footnote w:id="110">
    <w:p w14:paraId="72DF4DA8" w14:textId="77777777" w:rsidR="00BE1D1C" w:rsidRDefault="00000000" w:rsidP="00012502">
      <w:pPr>
        <w:pStyle w:val="Footnote"/>
        <w:bidi/>
      </w:pPr>
      <w:r>
        <w:rPr>
          <w:rStyle w:val="ac"/>
          <w:rtl/>
        </w:rPr>
        <w:footnoteRef/>
      </w:r>
      <w:r>
        <w:rPr>
          <w:rtl/>
        </w:rPr>
        <w:t>וכ"מ ב</w:t>
      </w:r>
      <w:r>
        <w:rPr>
          <w:b/>
          <w:bCs/>
          <w:rtl/>
        </w:rPr>
        <w:t>נמוק"י</w:t>
      </w:r>
      <w:r>
        <w:rPr>
          <w:rtl/>
        </w:rPr>
        <w:t xml:space="preserve"> שכת' דאין צרה אלא מאח, דהואיל ופטרה הכתוב מזיקתו הרי היא עליו כאשת אח שיש לה בנים שהיא בכרת, דכתיב ערות אשת אחיך. [ולכאו' דבריו לאחר שילפי' עונש, ואף דסדר הדברים שם להיפך].</w:t>
      </w:r>
    </w:p>
  </w:footnote>
  <w:footnote w:id="111">
    <w:p w14:paraId="7BB31752" w14:textId="77777777" w:rsidR="00BE1D1C" w:rsidRDefault="00000000" w:rsidP="00012502">
      <w:pPr>
        <w:pStyle w:val="Footnote"/>
        <w:bidi/>
      </w:pPr>
      <w:r>
        <w:rPr>
          <w:rStyle w:val="ac"/>
          <w:rtl/>
        </w:rPr>
        <w:footnoteRef/>
      </w:r>
      <w:r>
        <w:rPr>
          <w:rtl/>
        </w:rPr>
        <w:t>[וכ"כ ה</w:t>
      </w:r>
      <w:r>
        <w:rPr>
          <w:b/>
          <w:bCs/>
          <w:rtl/>
        </w:rPr>
        <w:t>מאירי</w:t>
      </w:r>
      <w:r>
        <w:rPr>
          <w:rtl/>
        </w:rPr>
        <w:t xml:space="preserve"> (לקמן כא.), אך המאירי בסוגיין לא משמע כן]. אך ה</w:t>
      </w:r>
      <w:r>
        <w:rPr>
          <w:b/>
          <w:bCs/>
          <w:rtl/>
        </w:rPr>
        <w:t>אחרונים</w:t>
      </w:r>
      <w:r>
        <w:rPr>
          <w:rtl/>
        </w:rPr>
        <w:t xml:space="preserve"> דנו דאיסור זה הוה דוקא במקום יבום, וכיון דפטורה מיבום ל"ש שיעבור על לאו זה בפועל. [וכן נקט הגרי"ז הל' יבום].</w:t>
      </w:r>
    </w:p>
  </w:footnote>
  <w:footnote w:id="112">
    <w:p w14:paraId="20929735" w14:textId="77777777" w:rsidR="00BE1D1C" w:rsidRDefault="00000000" w:rsidP="00012502">
      <w:pPr>
        <w:pStyle w:val="Footnote"/>
        <w:bidi/>
      </w:pPr>
      <w:r>
        <w:rPr>
          <w:rStyle w:val="ac"/>
          <w:rtl/>
        </w:rPr>
        <w:footnoteRef/>
      </w:r>
      <w:r>
        <w:rPr>
          <w:rtl/>
        </w:rPr>
        <w:t>[וה</w:t>
      </w:r>
      <w:r>
        <w:rPr>
          <w:b/>
          <w:bCs/>
          <w:rtl/>
        </w:rPr>
        <w:t>רמב"ן</w:t>
      </w:r>
      <w:r>
        <w:rPr>
          <w:rtl/>
        </w:rPr>
        <w:t xml:space="preserve"> ו</w:t>
      </w:r>
      <w:r>
        <w:rPr>
          <w:b/>
          <w:bCs/>
          <w:rtl/>
        </w:rPr>
        <w:t>רשב"א</w:t>
      </w:r>
      <w:r>
        <w:rPr>
          <w:rtl/>
        </w:rPr>
        <w:t xml:space="preserve"> (ב.) דנו האם פטורה אף מחליצה, ע' לקמן י].</w:t>
      </w:r>
    </w:p>
  </w:footnote>
  <w:footnote w:id="113">
    <w:p w14:paraId="32BF8DD1" w14:textId="77777777" w:rsidR="00BE1D1C" w:rsidRDefault="00000000" w:rsidP="00012502">
      <w:pPr>
        <w:pStyle w:val="Footnote"/>
        <w:bidi/>
      </w:pPr>
      <w:r>
        <w:rPr>
          <w:rStyle w:val="ac"/>
          <w:rtl/>
        </w:rPr>
        <w:footnoteRef/>
      </w:r>
      <w:r>
        <w:rPr>
          <w:rtl/>
        </w:rPr>
        <w:t>[וע' לקמן ט. לגבי חייבי לאוין לר' עקיבא].</w:t>
      </w:r>
    </w:p>
  </w:footnote>
  <w:footnote w:id="114">
    <w:p w14:paraId="79B0624A" w14:textId="77777777" w:rsidR="00BE1D1C" w:rsidRDefault="00000000" w:rsidP="00012502">
      <w:pPr>
        <w:pStyle w:val="Footnote"/>
        <w:bidi/>
      </w:pPr>
      <w:r>
        <w:rPr>
          <w:rStyle w:val="ac"/>
          <w:rtl/>
        </w:rPr>
        <w:footnoteRef/>
      </w:r>
      <w:r>
        <w:rPr>
          <w:rtl/>
        </w:rPr>
        <w:t>(ע' גר"ח סטנסל שם, וברכ"ש ב וגרנ"ט). וה</w:t>
      </w:r>
      <w:r>
        <w:rPr>
          <w:b/>
          <w:bCs/>
          <w:rtl/>
        </w:rPr>
        <w:t>אחרונים</w:t>
      </w:r>
      <w:r>
        <w:rPr>
          <w:rtl/>
        </w:rPr>
        <w:t xml:space="preserve"> הביאו כן מהא דפשיט"ל לגמ' (לקמן ח:) דע"י מצוות יבום קנאה, והוה אשתו.</w:t>
      </w:r>
    </w:p>
    <w:p w14:paraId="7EB7A924" w14:textId="77777777" w:rsidR="00BE1D1C" w:rsidRDefault="00000000" w:rsidP="00012502">
      <w:pPr>
        <w:pStyle w:val="Footnote"/>
        <w:bidi/>
      </w:pPr>
      <w:r>
        <w:rPr>
          <w:rtl/>
        </w:rPr>
        <w:tab/>
        <w:t>אך ה</w:t>
      </w:r>
      <w:r>
        <w:rPr>
          <w:b/>
          <w:bCs/>
          <w:rtl/>
        </w:rPr>
        <w:t>אפיק"י</w:t>
      </w:r>
      <w:r>
        <w:rPr>
          <w:rtl/>
        </w:rPr>
        <w:t xml:space="preserve"> (א ז אות יז) הוכיח מכאן דהמצוה אינו תלוי בקנין [ולכאו' כוונתו דכה"ג הוה מצוות יבום בעלמא, ואינה אשתו, ואי"צ גט. ע' תוס' ט.]. וסיים דמסתימת האחרונים לא משמע כן. [והאפיק"י (ב לה) חזר בו, דודאי קנה].</w:t>
      </w:r>
    </w:p>
    <w:p w14:paraId="66E0B872" w14:textId="77777777" w:rsidR="00BE1D1C" w:rsidRDefault="00000000" w:rsidP="00012502">
      <w:pPr>
        <w:pStyle w:val="Footnote"/>
        <w:bidi/>
      </w:pPr>
      <w:r>
        <w:rPr>
          <w:rtl/>
        </w:rPr>
        <w:tab/>
        <w:t>וה</w:t>
      </w:r>
      <w:r>
        <w:rPr>
          <w:b/>
          <w:bCs/>
          <w:rtl/>
        </w:rPr>
        <w:t>אחיעזר</w:t>
      </w:r>
      <w:r>
        <w:rPr>
          <w:rtl/>
        </w:rPr>
        <w:t xml:space="preserve"> (א ד ה) כתב דילפי' מעליה דבעינן קנין ביבום, ולכן יש פטור בחייבי חייבי כריתות. והכא קאי לס"ד לולי 'עליה'.</w:t>
      </w:r>
    </w:p>
  </w:footnote>
  <w:footnote w:id="115">
    <w:p w14:paraId="5610DCAE" w14:textId="77777777" w:rsidR="00BE1D1C" w:rsidRDefault="00000000" w:rsidP="00012502">
      <w:pPr>
        <w:pStyle w:val="Footnote"/>
        <w:bidi/>
      </w:pPr>
      <w:r>
        <w:rPr>
          <w:rStyle w:val="ac"/>
          <w:rtl/>
        </w:rPr>
        <w:footnoteRef/>
      </w:r>
      <w:r>
        <w:rPr>
          <w:rtl/>
        </w:rPr>
        <w:t>[משום ספיקות או משום פיקו"נ וכדו', ודן שם דיש אופן שהותר משום איסור לא תתגודדו].</w:t>
      </w:r>
    </w:p>
  </w:footnote>
  <w:footnote w:id="116">
    <w:p w14:paraId="5FEEF54C" w14:textId="77777777" w:rsidR="00BE1D1C" w:rsidRDefault="00000000" w:rsidP="00012502">
      <w:pPr>
        <w:pStyle w:val="Footnote"/>
        <w:bidi/>
      </w:pPr>
      <w:r>
        <w:rPr>
          <w:rStyle w:val="ac"/>
          <w:rtl/>
        </w:rPr>
        <w:footnoteRef/>
      </w:r>
      <w:r>
        <w:rPr>
          <w:rtl/>
        </w:rPr>
        <w:t>וכדאי' (לקמן לט.) [כלפי חיוב כתובה] דאשה הקנו לו מן השמים [וע' לקמן ח:].</w:t>
      </w:r>
    </w:p>
  </w:footnote>
  <w:footnote w:id="117">
    <w:p w14:paraId="6D4548A3" w14:textId="77777777" w:rsidR="00BE1D1C" w:rsidRDefault="00000000" w:rsidP="00012502">
      <w:pPr>
        <w:pStyle w:val="Footnote"/>
        <w:bidi/>
      </w:pPr>
      <w:r>
        <w:rPr>
          <w:rStyle w:val="ac"/>
          <w:rtl/>
        </w:rPr>
        <w:footnoteRef/>
      </w:r>
      <w:r>
        <w:rPr>
          <w:rtl/>
        </w:rPr>
        <w:t>דעדיין הוה ערות אשת אח.</w:t>
      </w:r>
    </w:p>
  </w:footnote>
  <w:footnote w:id="118">
    <w:p w14:paraId="160081DD" w14:textId="77777777" w:rsidR="00BE1D1C" w:rsidRDefault="00000000" w:rsidP="00012502">
      <w:pPr>
        <w:pStyle w:val="Footnote"/>
        <w:bidi/>
      </w:pPr>
      <w:r>
        <w:rPr>
          <w:rStyle w:val="ac"/>
          <w:rtl/>
        </w:rPr>
        <w:footnoteRef/>
      </w:r>
      <w:r>
        <w:rPr>
          <w:rtl/>
        </w:rPr>
        <w:t>וכן ה</w:t>
      </w:r>
      <w:r>
        <w:rPr>
          <w:b/>
          <w:bCs/>
          <w:rtl/>
        </w:rPr>
        <w:t>אפיק"י</w:t>
      </w:r>
      <w:r>
        <w:rPr>
          <w:rtl/>
        </w:rPr>
        <w:t xml:space="preserve"> (ב לה) הביא מרש"י דקנין יבום לא הוה גדר מעשה קידושין. עי"ש שהאריך בזה</w:t>
      </w:r>
      <w:r>
        <w:rPr>
          <w:szCs w:val="16"/>
          <w:rtl/>
        </w:rPr>
        <w:t>.</w:t>
      </w:r>
    </w:p>
  </w:footnote>
  <w:footnote w:id="119">
    <w:p w14:paraId="2C82BD73" w14:textId="77777777" w:rsidR="00BE1D1C" w:rsidRDefault="00000000" w:rsidP="00012502">
      <w:pPr>
        <w:pStyle w:val="Footnote"/>
        <w:bidi/>
      </w:pPr>
      <w:r>
        <w:rPr>
          <w:rStyle w:val="ac"/>
          <w:rtl/>
        </w:rPr>
        <w:footnoteRef/>
      </w:r>
      <w:r>
        <w:rPr>
          <w:rtl/>
        </w:rPr>
        <w:t>היכא דאסורה ליבום, מק' הגמ' דעכ"פ נימא דעולה לחליצה [מגזיה"כ]. ותי' דלא תפסי קידושין. [ובפשוטו היינו משום דעצם הזיקה ליבום אינו תופס וכמו קידושין].</w:t>
      </w:r>
    </w:p>
  </w:footnote>
  <w:footnote w:id="120">
    <w:p w14:paraId="2EAAA72A" w14:textId="77777777" w:rsidR="00BE1D1C" w:rsidRDefault="00000000" w:rsidP="00012502">
      <w:pPr>
        <w:pStyle w:val="Footnote"/>
        <w:bidi/>
      </w:pPr>
      <w:r>
        <w:rPr>
          <w:rStyle w:val="ac"/>
          <w:rtl/>
        </w:rPr>
        <w:footnoteRef/>
      </w:r>
      <w:r>
        <w:rPr>
          <w:rtl/>
        </w:rPr>
        <w:t>ועד"ז לדעת ר"ע דיש ממזר מחייבי לאוין, ותוס' (לקמן ט.) הק' דאפ"ה נימא דעשה דוחה ל"ת ותתיבם.</w:t>
      </w:r>
    </w:p>
  </w:footnote>
  <w:footnote w:id="121">
    <w:p w14:paraId="63DBCD8C" w14:textId="77777777" w:rsidR="00BE1D1C" w:rsidRDefault="00000000" w:rsidP="00012502">
      <w:pPr>
        <w:pStyle w:val="Footnote"/>
        <w:bidi/>
      </w:pPr>
      <w:r>
        <w:rPr>
          <w:rStyle w:val="ac"/>
          <w:rtl/>
        </w:rPr>
        <w:footnoteRef/>
      </w:r>
      <w:r>
        <w:rPr>
          <w:rtl/>
        </w:rPr>
        <w:t>וה</w:t>
      </w:r>
      <w:r>
        <w:rPr>
          <w:b/>
          <w:bCs/>
          <w:rtl/>
        </w:rPr>
        <w:t>שעה"מ</w:t>
      </w:r>
      <w:r>
        <w:rPr>
          <w:rtl/>
        </w:rPr>
        <w:t xml:space="preserve"> (יבום ו יא בסו"ד) נסתפק מה הדין כשר שייבם ממזרת או ממזר שייבם כשירה, מדין עשה דוחה ל"ת [בביאה ראשונה], האם הולד הולך אחר הפגום להיות ממזר. או דכיון דהוה ביאת היתר אזלי' אחר הכשר.</w:t>
      </w:r>
    </w:p>
    <w:p w14:paraId="02696528" w14:textId="77777777" w:rsidR="00BE1D1C" w:rsidRDefault="00000000" w:rsidP="00012502">
      <w:pPr>
        <w:pStyle w:val="Footnote"/>
        <w:bidi/>
      </w:pPr>
      <w:r>
        <w:rPr>
          <w:rtl/>
        </w:rPr>
        <w:tab/>
        <w:t>[ויל"ד בדבריו דלכאורה בנו של ממזר הוה ממזר אף מגדרי משפחה. ואף לולי סברת הלך אחר הפגום]. והשעה"מ הביא דממזר שנשא גיורת [אף דהוה בהיתר] הולד הולך אחר הפגום, ולא תלי בעבירה.</w:t>
      </w:r>
    </w:p>
  </w:footnote>
  <w:footnote w:id="122">
    <w:p w14:paraId="205A5539" w14:textId="77777777" w:rsidR="00BE1D1C" w:rsidRDefault="00000000" w:rsidP="00012502">
      <w:pPr>
        <w:pStyle w:val="Footnote"/>
        <w:bidi/>
      </w:pPr>
      <w:r>
        <w:rPr>
          <w:rStyle w:val="ac"/>
          <w:rtl/>
        </w:rPr>
        <w:footnoteRef/>
      </w:r>
      <w:r>
        <w:rPr>
          <w:rtl/>
        </w:rPr>
        <w:t>דבפשוטו ממזרות תלי בעבירה [ע' משנה (לקמן מט.), אבל במשנה (קידושין סו:) הוזכר רק שאין לה קידושין עליו, ולא הוזכר איסור]. אך הביא דגר שנשא ממזרת הולד ממזר, ואף דהוה ביאת היתר.</w:t>
      </w:r>
    </w:p>
  </w:footnote>
  <w:footnote w:id="123">
    <w:p w14:paraId="44842D32" w14:textId="77777777" w:rsidR="00BE1D1C" w:rsidRDefault="00000000" w:rsidP="00012502">
      <w:pPr>
        <w:pStyle w:val="Footnote"/>
        <w:bidi/>
      </w:pPr>
      <w:r>
        <w:rPr>
          <w:rStyle w:val="ac"/>
          <w:rtl/>
        </w:rPr>
        <w:footnoteRef/>
      </w:r>
      <w:r>
        <w:rPr>
          <w:rtl/>
        </w:rPr>
        <w:t>ב</w:t>
      </w:r>
      <w:r>
        <w:rPr>
          <w:b/>
          <w:bCs/>
          <w:rtl/>
        </w:rPr>
        <w:t>ס' החינוך</w:t>
      </w:r>
      <w:r>
        <w:rPr>
          <w:rtl/>
        </w:rPr>
        <w:t xml:space="preserve"> (תקצח) כתב דנוהג בזכרים. וכן לשון ה</w:t>
      </w:r>
      <w:r>
        <w:rPr>
          <w:b/>
          <w:bCs/>
          <w:rtl/>
        </w:rPr>
        <w:t>רמב"ם</w:t>
      </w:r>
      <w:r>
        <w:rPr>
          <w:rtl/>
        </w:rPr>
        <w:t xml:space="preserve"> (ריש הל' יבום) מצות עשה שייבם אדם וכו'. וה</w:t>
      </w:r>
      <w:r>
        <w:rPr>
          <w:b/>
          <w:bCs/>
          <w:rtl/>
        </w:rPr>
        <w:t>ר"י אבן פלט</w:t>
      </w:r>
      <w:r>
        <w:rPr>
          <w:rtl/>
        </w:rPr>
        <w:t xml:space="preserve"> השיב לראב"ד (בשו"ת הרשב"א א יח) דאין מברכים על מצוות יבום וחליצה דעיקרו אינו מצוה, שהעיקר משום פריה ורביה. והאשה אינה מצווה על פריה ורביה.</w:t>
      </w:r>
    </w:p>
  </w:footnote>
  <w:footnote w:id="124">
    <w:p w14:paraId="1DC6BE91" w14:textId="77777777" w:rsidR="00BE1D1C" w:rsidRDefault="00000000" w:rsidP="00012502">
      <w:pPr>
        <w:pStyle w:val="Footnote"/>
        <w:bidi/>
      </w:pPr>
      <w:r>
        <w:rPr>
          <w:rStyle w:val="ac"/>
          <w:rtl/>
        </w:rPr>
        <w:footnoteRef/>
      </w:r>
      <w:r>
        <w:rPr>
          <w:rtl/>
        </w:rPr>
        <w:t xml:space="preserve">ועד"ז כת' </w:t>
      </w:r>
      <w:r>
        <w:rPr>
          <w:b/>
          <w:bCs/>
          <w:rtl/>
        </w:rPr>
        <w:t>תוס</w:t>
      </w:r>
      <w:r>
        <w:rPr>
          <w:rtl/>
        </w:rPr>
        <w:t>' (ב"ב יג. בחד תי') דעשה של חצי עבד אינו דוחה ל"ת של האשה, דגבי דידה אין עשה ואפשר לה באחר.</w:t>
      </w:r>
    </w:p>
  </w:footnote>
  <w:footnote w:id="125">
    <w:p w14:paraId="6C898DA0" w14:textId="77777777" w:rsidR="00BE1D1C" w:rsidRDefault="00000000" w:rsidP="00012502">
      <w:pPr>
        <w:pStyle w:val="Footnote"/>
        <w:bidi/>
      </w:pPr>
      <w:r>
        <w:rPr>
          <w:rStyle w:val="ac"/>
          <w:rtl/>
        </w:rPr>
        <w:footnoteRef/>
      </w:r>
      <w:r>
        <w:rPr>
          <w:rtl/>
        </w:rPr>
        <w:t xml:space="preserve">אבל </w:t>
      </w:r>
      <w:r>
        <w:rPr>
          <w:b/>
          <w:bCs/>
          <w:rtl/>
        </w:rPr>
        <w:t>רש"י</w:t>
      </w:r>
      <w:r>
        <w:rPr>
          <w:rtl/>
        </w:rPr>
        <w:t xml:space="preserve"> ו</w:t>
      </w:r>
      <w:r>
        <w:rPr>
          <w:b/>
          <w:bCs/>
          <w:rtl/>
        </w:rPr>
        <w:t>תוס</w:t>
      </w:r>
      <w:r>
        <w:rPr>
          <w:rtl/>
        </w:rPr>
        <w:t>' (שם) פי' דכוונת הגמ' דשייך מחילה, ואינו ביטול עשה. וה</w:t>
      </w:r>
      <w:r>
        <w:rPr>
          <w:b/>
          <w:bCs/>
          <w:rtl/>
        </w:rPr>
        <w:t>אחרונים</w:t>
      </w:r>
      <w:r>
        <w:rPr>
          <w:rtl/>
        </w:rPr>
        <w:t xml:space="preserve"> כתבו דמבואר דעשה דידיה דחי אף לל"ת דידה.</w:t>
      </w:r>
    </w:p>
  </w:footnote>
  <w:footnote w:id="126">
    <w:p w14:paraId="740B21DE" w14:textId="77777777" w:rsidR="00BE1D1C" w:rsidRDefault="00000000" w:rsidP="00012502">
      <w:pPr>
        <w:pStyle w:val="Footnote"/>
        <w:bidi/>
      </w:pPr>
      <w:r>
        <w:rPr>
          <w:rStyle w:val="ac"/>
          <w:rtl/>
        </w:rPr>
        <w:footnoteRef/>
      </w:r>
      <w:r>
        <w:rPr>
          <w:rtl/>
        </w:rPr>
        <w:t>[וע' לקמן ה. מש"כ בשם האמר"מ].</w:t>
      </w:r>
    </w:p>
  </w:footnote>
  <w:footnote w:id="127">
    <w:p w14:paraId="6A1F2D78" w14:textId="77777777" w:rsidR="00BE1D1C" w:rsidRDefault="00000000" w:rsidP="00012502">
      <w:pPr>
        <w:pStyle w:val="Footnote"/>
        <w:bidi/>
      </w:pPr>
      <w:r>
        <w:rPr>
          <w:rStyle w:val="ac"/>
          <w:rtl/>
        </w:rPr>
        <w:footnoteRef/>
      </w:r>
      <w:r>
        <w:rPr>
          <w:rtl/>
        </w:rPr>
        <w:t>ועי"ש מש"כ בזה לפרש את ה</w:t>
      </w:r>
      <w:r>
        <w:rPr>
          <w:b/>
          <w:bCs/>
          <w:rtl/>
        </w:rPr>
        <w:t>תו"י</w:t>
      </w:r>
      <w:r>
        <w:rPr>
          <w:rtl/>
        </w:rPr>
        <w:t xml:space="preserve"> (כתובות). וכתב דגבי חצי עבד, דהוה איסור לא תהיה קדישה, דאיסור דידה לא תילא בדידיה.</w:t>
      </w:r>
    </w:p>
  </w:footnote>
  <w:footnote w:id="128">
    <w:p w14:paraId="49203D1E" w14:textId="77777777" w:rsidR="00BE1D1C" w:rsidRDefault="00000000" w:rsidP="00012502">
      <w:pPr>
        <w:pStyle w:val="Footnote"/>
        <w:bidi/>
      </w:pPr>
      <w:r>
        <w:rPr>
          <w:rStyle w:val="ac"/>
          <w:rtl/>
        </w:rPr>
        <w:footnoteRef/>
      </w:r>
      <w:r>
        <w:rPr>
          <w:rtl/>
        </w:rPr>
        <w:t>וה</w:t>
      </w:r>
      <w:r>
        <w:rPr>
          <w:b/>
          <w:bCs/>
          <w:rtl/>
        </w:rPr>
        <w:t>אמר"מ</w:t>
      </w:r>
      <w:r>
        <w:rPr>
          <w:rtl/>
        </w:rPr>
        <w:t xml:space="preserve"> כתב דתוס כתבו כן לס"ד דיתכן דעשה דוחה ל"ת שיש בו כרת, אבל למסקנא ע"כ הותרה משעת נפילה.</w:t>
      </w:r>
    </w:p>
  </w:footnote>
  <w:footnote w:id="129">
    <w:p w14:paraId="74D590A5" w14:textId="77777777" w:rsidR="00BE1D1C" w:rsidRDefault="00000000" w:rsidP="00012502">
      <w:pPr>
        <w:pStyle w:val="Footnote"/>
        <w:bidi/>
      </w:pPr>
      <w:r>
        <w:rPr>
          <w:rStyle w:val="ac"/>
          <w:rtl/>
        </w:rPr>
        <w:footnoteRef/>
      </w:r>
      <w:r>
        <w:rPr>
          <w:rtl/>
        </w:rPr>
        <w:t>דביארו דס"ד דהגמ' דאשת אח בלא בנים הותר אף בחייו, דאין סברא לומר דהותר רק מדין עשה דוחה ל"ת. [משמע דלאמת הותר לאחר מיתה רק מדין עדל"ת. ואפשר דאחרי גילוי הקרא דאסור מחיים ידעינן מסברא לצמצם גדר ההותרה].</w:t>
      </w:r>
    </w:p>
  </w:footnote>
  <w:footnote w:id="130">
    <w:p w14:paraId="401B0799" w14:textId="77777777" w:rsidR="00BE1D1C" w:rsidRDefault="00000000" w:rsidP="00012502">
      <w:pPr>
        <w:pStyle w:val="Footnote"/>
        <w:bidi/>
      </w:pPr>
      <w:r>
        <w:rPr>
          <w:rStyle w:val="ac"/>
          <w:rtl/>
        </w:rPr>
        <w:footnoteRef/>
      </w:r>
      <w:r>
        <w:rPr>
          <w:rtl/>
        </w:rPr>
        <w:t>וכת' דמש"ה מסברא מותר אף ביאה שניה.</w:t>
      </w:r>
    </w:p>
  </w:footnote>
  <w:footnote w:id="131">
    <w:p w14:paraId="67FF4395" w14:textId="77777777" w:rsidR="00BE1D1C" w:rsidRDefault="00000000" w:rsidP="00012502">
      <w:pPr>
        <w:pStyle w:val="Footnote"/>
        <w:bidi/>
      </w:pPr>
      <w:r>
        <w:rPr>
          <w:rStyle w:val="ac"/>
          <w:rtl/>
        </w:rPr>
        <w:footnoteRef/>
      </w:r>
      <w:r>
        <w:rPr>
          <w:rtl/>
        </w:rPr>
        <w:t>[ויש שפירשו דכוונת רש"י דנשארת אשת אח כלפי שאר אופני קידושין. אבל חל היתר לביאה אף כשאינו מקיים את המצווה].</w:t>
      </w:r>
    </w:p>
  </w:footnote>
  <w:footnote w:id="132">
    <w:p w14:paraId="46D0A483" w14:textId="77777777" w:rsidR="00BE1D1C" w:rsidRDefault="00000000" w:rsidP="00012502">
      <w:pPr>
        <w:pStyle w:val="Footnote"/>
        <w:bidi/>
      </w:pPr>
      <w:r>
        <w:rPr>
          <w:rStyle w:val="ac"/>
          <w:rtl/>
        </w:rPr>
        <w:footnoteRef/>
      </w:r>
      <w:r>
        <w:rPr>
          <w:rtl/>
        </w:rPr>
        <w:t>וה</w:t>
      </w:r>
      <w:r>
        <w:rPr>
          <w:b/>
          <w:bCs/>
          <w:rtl/>
        </w:rPr>
        <w:t>ריטב"א</w:t>
      </w:r>
      <w:r>
        <w:rPr>
          <w:rtl/>
        </w:rPr>
        <w:t xml:space="preserve"> (ה:) כת' בשם ה</w:t>
      </w:r>
      <w:r>
        <w:rPr>
          <w:b/>
          <w:bCs/>
          <w:rtl/>
        </w:rPr>
        <w:t>ר"י</w:t>
      </w:r>
      <w:r>
        <w:rPr>
          <w:rtl/>
        </w:rPr>
        <w:t xml:space="preserve"> וה</w:t>
      </w:r>
      <w:r>
        <w:rPr>
          <w:b/>
          <w:bCs/>
          <w:rtl/>
        </w:rPr>
        <w:t>רמב"ן</w:t>
      </w:r>
      <w:r>
        <w:rPr>
          <w:rtl/>
        </w:rPr>
        <w:t xml:space="preserve"> דהיכא דליתא אלא בהכי לא חשיב 'דחיה'.</w:t>
      </w:r>
    </w:p>
  </w:footnote>
  <w:footnote w:id="133">
    <w:p w14:paraId="4D441952" w14:textId="77777777" w:rsidR="00BE1D1C" w:rsidRDefault="00000000" w:rsidP="00012502">
      <w:pPr>
        <w:pStyle w:val="Footnote"/>
        <w:bidi/>
      </w:pPr>
      <w:r>
        <w:rPr>
          <w:rStyle w:val="ac"/>
          <w:rtl/>
        </w:rPr>
        <w:footnoteRef/>
      </w:r>
      <w:r>
        <w:rPr>
          <w:rtl/>
        </w:rPr>
        <w:t>[וע"ע רמב"ן נד:].</w:t>
      </w:r>
    </w:p>
  </w:footnote>
  <w:footnote w:id="134">
    <w:p w14:paraId="488C2F90" w14:textId="77777777" w:rsidR="00BE1D1C" w:rsidRDefault="00000000" w:rsidP="00012502">
      <w:pPr>
        <w:pStyle w:val="Footnote"/>
        <w:bidi/>
      </w:pPr>
      <w:r>
        <w:rPr>
          <w:rStyle w:val="ac"/>
          <w:rtl/>
        </w:rPr>
        <w:footnoteRef/>
      </w:r>
      <w:r>
        <w:rPr>
          <w:rtl/>
        </w:rPr>
        <w:t>אבל כבוד הבריות אינו דוחה איסור דאורייתא.</w:t>
      </w:r>
    </w:p>
  </w:footnote>
  <w:footnote w:id="135">
    <w:p w14:paraId="450979CF" w14:textId="77777777" w:rsidR="00BE1D1C" w:rsidRDefault="00000000" w:rsidP="00012502">
      <w:pPr>
        <w:pStyle w:val="Footnote"/>
        <w:bidi/>
      </w:pPr>
      <w:r>
        <w:rPr>
          <w:rStyle w:val="ac"/>
          <w:rtl/>
        </w:rPr>
        <w:footnoteRef/>
      </w:r>
      <w:r>
        <w:rPr>
          <w:rtl/>
        </w:rPr>
        <w:t>דהרמ"ה הק' קו' התוס' (לקמן ח:) מ"ש איסור אשת אח דהותר אפי' בביאה שניה [דהשתא ליכא עשה לדחות, ומ"ש מחייבי לאוין לקמן כ:].</w:t>
      </w:r>
    </w:p>
  </w:footnote>
  <w:footnote w:id="136">
    <w:p w14:paraId="1792D384" w14:textId="77777777" w:rsidR="00BE1D1C" w:rsidRDefault="00000000" w:rsidP="00012502">
      <w:pPr>
        <w:pStyle w:val="Footnote"/>
        <w:bidi/>
      </w:pPr>
      <w:r>
        <w:rPr>
          <w:rStyle w:val="ac"/>
          <w:rtl/>
        </w:rPr>
        <w:footnoteRef/>
      </w:r>
      <w:r>
        <w:rPr>
          <w:rtl/>
        </w:rPr>
        <w:t>אבל שאר חייבי לאוין, משכח"ל מצוות יבום בלאו הכי. מש"ה אין לנו הוכחה דהאיסור נאמר בתנאי זה. והותר רק משום דעשה דוחה לל"ת.</w:t>
      </w:r>
    </w:p>
  </w:footnote>
  <w:footnote w:id="137">
    <w:p w14:paraId="76C93635" w14:textId="77777777" w:rsidR="00BE1D1C" w:rsidRDefault="00000000" w:rsidP="00012502">
      <w:pPr>
        <w:pStyle w:val="Footnote"/>
        <w:bidi/>
      </w:pPr>
      <w:r>
        <w:rPr>
          <w:rStyle w:val="ac"/>
          <w:rtl/>
        </w:rPr>
        <w:footnoteRef/>
      </w:r>
      <w:r>
        <w:rPr>
          <w:rtl/>
        </w:rPr>
        <w:t>וה</w:t>
      </w:r>
      <w:r>
        <w:rPr>
          <w:b/>
          <w:bCs/>
          <w:rtl/>
        </w:rPr>
        <w:t xml:space="preserve">ריטב"א </w:t>
      </w:r>
      <w:r>
        <w:rPr>
          <w:rtl/>
        </w:rPr>
        <w:t>(ה:) כת' דזהו כוונת הגמ' (ז:), דלא דחי ב' לאוין. אלא דהקשה דמ"מ נילף מיניה לעלמא דעשה דוחה ל"ת שיש בו כרת. [ותי' ע"ד מ"ש בתוס', דא"א בענין אחר. וצ"ב א"כ היאך ס"ד למילף מיניה לעלמא, דבעינן לסברת ב' איסורין].</w:t>
      </w:r>
    </w:p>
  </w:footnote>
  <w:footnote w:id="138">
    <w:p w14:paraId="2031857E" w14:textId="77777777" w:rsidR="00BE1D1C" w:rsidRDefault="00000000" w:rsidP="00012502">
      <w:pPr>
        <w:pStyle w:val="Footnote"/>
        <w:bidi/>
      </w:pPr>
      <w:r>
        <w:rPr>
          <w:rStyle w:val="ac"/>
          <w:rtl/>
        </w:rPr>
        <w:footnoteRef/>
      </w:r>
      <w:r>
        <w:rPr>
          <w:rtl/>
        </w:rPr>
        <w:t>וב</w:t>
      </w:r>
      <w:r>
        <w:rPr>
          <w:b/>
          <w:bCs/>
          <w:rtl/>
        </w:rPr>
        <w:t>גמ</w:t>
      </w:r>
      <w:r>
        <w:rPr>
          <w:rtl/>
        </w:rPr>
        <w:t>' (נזיר מח:) נח' ר' עקיבא ור' ישמעאל האם אמרי' מה לי חדא איסור, גבי נזיר וכהן שמטמא למת מצוה. וה</w:t>
      </w:r>
      <w:r>
        <w:rPr>
          <w:b/>
          <w:bCs/>
          <w:rtl/>
        </w:rPr>
        <w:t>קובה"ע</w:t>
      </w:r>
      <w:r>
        <w:rPr>
          <w:rtl/>
        </w:rPr>
        <w:t xml:space="preserve"> (שם) הביא דדעת </w:t>
      </w:r>
      <w:r>
        <w:rPr>
          <w:b/>
          <w:bCs/>
          <w:rtl/>
        </w:rPr>
        <w:t>רש"י</w:t>
      </w:r>
      <w:r>
        <w:rPr>
          <w:rtl/>
        </w:rPr>
        <w:t xml:space="preserve"> וה</w:t>
      </w:r>
      <w:r>
        <w:rPr>
          <w:b/>
          <w:bCs/>
          <w:rtl/>
        </w:rPr>
        <w:t>רמב"ן</w:t>
      </w:r>
      <w:r>
        <w:rPr>
          <w:rtl/>
        </w:rPr>
        <w:t xml:space="preserve"> [הו' לעיל בסמוך] מת מצוה הותרה, ואילו ל</w:t>
      </w:r>
      <w:r>
        <w:rPr>
          <w:b/>
          <w:bCs/>
          <w:rtl/>
        </w:rPr>
        <w:t>רמב"ם</w:t>
      </w:r>
      <w:r>
        <w:rPr>
          <w:rtl/>
        </w:rPr>
        <w:t xml:space="preserve"> (אבל ב ו, טו) הוה דחויה, ומדין עדל"ת [וע' מנח"ח רסד].</w:t>
      </w:r>
    </w:p>
  </w:footnote>
  <w:footnote w:id="139">
    <w:p w14:paraId="26DAFE87" w14:textId="77777777" w:rsidR="00BE1D1C" w:rsidRDefault="00000000" w:rsidP="00012502">
      <w:pPr>
        <w:pStyle w:val="Footnote"/>
        <w:bidi/>
      </w:pPr>
      <w:r>
        <w:rPr>
          <w:rStyle w:val="ac"/>
          <w:rtl/>
        </w:rPr>
        <w:footnoteRef/>
      </w:r>
      <w:r>
        <w:rPr>
          <w:rtl/>
        </w:rPr>
        <w:t>ובס' הכריתות דימה להא דאי' (תמורה ד.) דאין עשה מנתק תרי לאוין [בגדרי ניתוק לעשה]. ואין עשה דוחה תרי לאוי.</w:t>
      </w:r>
    </w:p>
  </w:footnote>
  <w:footnote w:id="140">
    <w:p w14:paraId="3A634D05" w14:textId="77777777" w:rsidR="00BE1D1C" w:rsidRDefault="00000000" w:rsidP="00012502">
      <w:pPr>
        <w:pStyle w:val="Footnote"/>
        <w:bidi/>
      </w:pPr>
      <w:r>
        <w:rPr>
          <w:rStyle w:val="ac"/>
          <w:rtl/>
        </w:rPr>
        <w:footnoteRef/>
      </w:r>
      <w:r>
        <w:rPr>
          <w:rtl/>
        </w:rPr>
        <w:t>וה</w:t>
      </w:r>
      <w:r>
        <w:rPr>
          <w:b/>
          <w:bCs/>
          <w:rtl/>
        </w:rPr>
        <w:t>אחרונים</w:t>
      </w:r>
      <w:r>
        <w:rPr>
          <w:rtl/>
        </w:rPr>
        <w:t xml:space="preserve"> (מנח"ח רנא יא, ע' לקמן ה.) ציינו דכעי"ז דעת ה</w:t>
      </w:r>
      <w:r>
        <w:rPr>
          <w:b/>
          <w:bCs/>
          <w:rtl/>
        </w:rPr>
        <w:t>ר"ן</w:t>
      </w:r>
      <w:r>
        <w:rPr>
          <w:rtl/>
        </w:rPr>
        <w:t xml:space="preserve"> (יומא ד: בדה"ר) לענין מאכילין אותו הקל תחילה, דאיסור נבילה חמיר משחיטה בשבת, כיון דלוקה על כל כזית. ומבואר דב' לאוין [ב' אכילות דכזית] חמירי מלאו שיש בו כרת. וב</w:t>
      </w:r>
      <w:r>
        <w:rPr>
          <w:b/>
          <w:bCs/>
          <w:rtl/>
        </w:rPr>
        <w:t>קובה"ע</w:t>
      </w:r>
      <w:r>
        <w:rPr>
          <w:rtl/>
        </w:rPr>
        <w:t xml:space="preserve"> כתב דאפשר דתוס' דידן לא ס"ל כר"ן. [והאחרונים דנו דמצד דבדין דחייה י"ל דכל לאו נדחה בפנ"ע, והר"ן קאי במקום שעבר על הלאו].</w:t>
      </w:r>
    </w:p>
  </w:footnote>
  <w:footnote w:id="141">
    <w:p w14:paraId="0E8E99B4" w14:textId="77777777" w:rsidR="00BE1D1C" w:rsidRDefault="00000000" w:rsidP="00012502">
      <w:pPr>
        <w:pStyle w:val="Footnote"/>
        <w:bidi/>
      </w:pPr>
      <w:r>
        <w:rPr>
          <w:rStyle w:val="ac"/>
          <w:rtl/>
        </w:rPr>
        <w:footnoteRef/>
      </w:r>
      <w:r>
        <w:rPr>
          <w:rtl/>
        </w:rPr>
        <w:t>וכדעת הריב"א (בתו' חולין קמא., הו' לקמן), ולא אמרי' דהעשה מסייע לל"ת [וכדעת תוס' קידושין לד.].</w:t>
      </w:r>
    </w:p>
  </w:footnote>
  <w:footnote w:id="142">
    <w:p w14:paraId="0FAB3C8D" w14:textId="77777777" w:rsidR="00BE1D1C" w:rsidRDefault="00000000" w:rsidP="00012502">
      <w:pPr>
        <w:pStyle w:val="Footnote"/>
        <w:bidi/>
      </w:pPr>
      <w:r>
        <w:rPr>
          <w:rStyle w:val="ac"/>
          <w:rtl/>
        </w:rPr>
        <w:footnoteRef/>
      </w:r>
      <w:r>
        <w:rPr>
          <w:rtl/>
        </w:rPr>
        <w:t>וכ"מ מדברי ה</w:t>
      </w:r>
      <w:r>
        <w:rPr>
          <w:b/>
          <w:bCs/>
          <w:rtl/>
        </w:rPr>
        <w:t>ריטב"א</w:t>
      </w:r>
      <w:r>
        <w:rPr>
          <w:rtl/>
        </w:rPr>
        <w:t xml:space="preserve"> (ה:) דנקט דדברי ר"י והרמב"ן הוה חד תי'.</w:t>
      </w:r>
    </w:p>
  </w:footnote>
  <w:footnote w:id="143">
    <w:p w14:paraId="373E9C81" w14:textId="77777777" w:rsidR="00BE1D1C" w:rsidRDefault="00000000" w:rsidP="00012502">
      <w:pPr>
        <w:pStyle w:val="Footnote"/>
        <w:bidi/>
      </w:pPr>
      <w:r>
        <w:rPr>
          <w:rStyle w:val="ac"/>
          <w:rtl/>
        </w:rPr>
        <w:footnoteRef/>
      </w:r>
      <w:r>
        <w:rPr>
          <w:rtl/>
        </w:rPr>
        <w:t>ותוס' כת' כמו שפי' לעיל דלא ילפי' מאשת אח, ומבואר דכוונתם דאף באיסור אשת אח הוה גדר עשה דוחה ל"ת, ולא גדר הותר מכללו.</w:t>
      </w:r>
    </w:p>
  </w:footnote>
  <w:footnote w:id="144">
    <w:p w14:paraId="7806CBF0" w14:textId="77777777" w:rsidR="00BE1D1C" w:rsidRDefault="00000000" w:rsidP="00012502">
      <w:pPr>
        <w:pStyle w:val="Footnote"/>
        <w:bidi/>
      </w:pPr>
      <w:r>
        <w:rPr>
          <w:rStyle w:val="ac"/>
          <w:rtl/>
        </w:rPr>
        <w:footnoteRef/>
      </w:r>
      <w:r>
        <w:rPr>
          <w:rtl/>
        </w:rPr>
        <w:t>וה</w:t>
      </w:r>
      <w:r>
        <w:rPr>
          <w:b/>
          <w:bCs/>
          <w:rtl/>
        </w:rPr>
        <w:t>אחרונים</w:t>
      </w:r>
      <w:r>
        <w:rPr>
          <w:rtl/>
        </w:rPr>
        <w:t xml:space="preserve"> הביאו כן מהגמ' (ב"ק קה.) [וע' לקמן ה. מש"כ ר' משולם איגרא והאחרונים]. וה</w:t>
      </w:r>
      <w:r>
        <w:rPr>
          <w:b/>
          <w:bCs/>
          <w:rtl/>
        </w:rPr>
        <w:t>אמר"מ</w:t>
      </w:r>
      <w:r>
        <w:rPr>
          <w:rtl/>
        </w:rPr>
        <w:t xml:space="preserve"> כתב דלתי' הב' כל השערות הוה בכלל המצוה].</w:t>
      </w:r>
    </w:p>
  </w:footnote>
  <w:footnote w:id="145">
    <w:p w14:paraId="37CAB68A" w14:textId="77777777" w:rsidR="00BE1D1C" w:rsidRDefault="00000000" w:rsidP="00012502">
      <w:pPr>
        <w:pStyle w:val="Footnote"/>
        <w:bidi/>
      </w:pPr>
      <w:r>
        <w:rPr>
          <w:rStyle w:val="ac"/>
          <w:rtl/>
        </w:rPr>
        <w:footnoteRef/>
      </w:r>
      <w:r>
        <w:rPr>
          <w:rtl/>
        </w:rPr>
        <w:t>וה</w:t>
      </w:r>
      <w:r>
        <w:rPr>
          <w:b/>
          <w:bCs/>
          <w:rtl/>
        </w:rPr>
        <w:t>אחרונים</w:t>
      </w:r>
      <w:r>
        <w:rPr>
          <w:rtl/>
        </w:rPr>
        <w:t xml:space="preserve"> העירו אמאי באמת אינו חייב להקיף ע"י סם. וע"כ דכולו בכלל מצות גילוח. והביאו מזה דאמרי' דקיום העשה דוחה ל"ת, ואף במקום שאין </w:t>
      </w:r>
      <w:r>
        <w:rPr>
          <w:i/>
          <w:iCs/>
          <w:rtl/>
        </w:rPr>
        <w:t>ביטול</w:t>
      </w:r>
      <w:r>
        <w:rPr>
          <w:rtl/>
        </w:rPr>
        <w:t xml:space="preserve"> העשה, דהא אפשר ע"י סם. וב</w:t>
      </w:r>
      <w:r>
        <w:rPr>
          <w:b/>
          <w:bCs/>
          <w:rtl/>
        </w:rPr>
        <w:t>חי' ר' נחום</w:t>
      </w:r>
      <w:r>
        <w:rPr>
          <w:rtl/>
        </w:rPr>
        <w:t xml:space="preserve"> כתב דמ"מ עכשיו הוה ביטול עשה [ואף דאפשר ע"י תחבולה].</w:t>
      </w:r>
    </w:p>
  </w:footnote>
  <w:footnote w:id="146">
    <w:p w14:paraId="76C9ABD0" w14:textId="77777777" w:rsidR="00BE1D1C" w:rsidRDefault="00000000" w:rsidP="00012502">
      <w:pPr>
        <w:pStyle w:val="Footnote"/>
        <w:bidi/>
      </w:pPr>
      <w:r>
        <w:rPr>
          <w:rStyle w:val="ac"/>
          <w:rtl/>
        </w:rPr>
        <w:footnoteRef/>
      </w:r>
      <w:r>
        <w:rPr>
          <w:rtl/>
        </w:rPr>
        <w:t>[וכן איתא בגמ' לקמן ז. דל"ת חמיר מעשה].</w:t>
      </w:r>
    </w:p>
  </w:footnote>
  <w:footnote w:id="147">
    <w:p w14:paraId="31D1490B" w14:textId="77777777" w:rsidR="00BE1D1C" w:rsidRDefault="00000000" w:rsidP="00012502">
      <w:pPr>
        <w:pStyle w:val="Footnote"/>
        <w:bidi/>
      </w:pPr>
      <w:r>
        <w:rPr>
          <w:rStyle w:val="ac"/>
          <w:rtl/>
        </w:rPr>
        <w:footnoteRef/>
      </w:r>
      <w:r>
        <w:rPr>
          <w:rtl/>
        </w:rPr>
        <w:t>ודבר ידוע שהחמור דוחה את הקל.</w:t>
      </w:r>
    </w:p>
  </w:footnote>
  <w:footnote w:id="148">
    <w:p w14:paraId="44EBF5D9" w14:textId="77777777" w:rsidR="00BE1D1C" w:rsidRDefault="00000000" w:rsidP="00012502">
      <w:pPr>
        <w:pStyle w:val="Footnote"/>
        <w:bidi/>
      </w:pPr>
      <w:r>
        <w:rPr>
          <w:rStyle w:val="ac"/>
          <w:rtl/>
        </w:rPr>
        <w:footnoteRef/>
      </w:r>
      <w:r>
        <w:rPr>
          <w:rtl/>
        </w:rPr>
        <w:t>והביא כן מה</w:t>
      </w:r>
      <w:r>
        <w:rPr>
          <w:b/>
          <w:bCs/>
          <w:rtl/>
        </w:rPr>
        <w:t>ספרי</w:t>
      </w:r>
      <w:r>
        <w:rPr>
          <w:rtl/>
        </w:rPr>
        <w:t xml:space="preserve"> (פר' תצא) מחלליה מות יומת, וביום השבת שני כבשים בני שנה, שניהן בדיבור אחד נאמרו. ערות אשת אחיך, ויבמה יבוא עליה, שניהן בדיבור א' נאמרו. מה שאי אפשר לבשר ודם לומר שנא' (תהלים סב יב) אחת דיבר אלהים שתים זו שמענו.</w:t>
      </w:r>
    </w:p>
  </w:footnote>
  <w:footnote w:id="149">
    <w:p w14:paraId="2B437148" w14:textId="77777777" w:rsidR="00BE1D1C" w:rsidRDefault="00000000" w:rsidP="00012502">
      <w:pPr>
        <w:pStyle w:val="Footnote"/>
        <w:bidi/>
      </w:pPr>
      <w:r>
        <w:rPr>
          <w:rStyle w:val="ac"/>
          <w:rtl/>
        </w:rPr>
        <w:footnoteRef/>
      </w:r>
      <w:r>
        <w:rPr>
          <w:rtl/>
        </w:rPr>
        <w:t>[וביארו כוונתו דכיון דילפי' דעשה דוחה ל"ת הוה איסור בתנאי. ובל"ת דיש בו כרת לא ילפי' שידחה, ומש"ה לא נאמר בתנאי].</w:t>
      </w:r>
    </w:p>
  </w:footnote>
  <w:footnote w:id="150">
    <w:p w14:paraId="555D9CC3" w14:textId="77777777" w:rsidR="00BE1D1C" w:rsidRDefault="00000000" w:rsidP="00012502">
      <w:pPr>
        <w:pStyle w:val="Footnote"/>
        <w:bidi/>
      </w:pPr>
      <w:r>
        <w:rPr>
          <w:rStyle w:val="ac"/>
          <w:rtl/>
        </w:rPr>
        <w:footnoteRef/>
      </w:r>
      <w:r>
        <w:rPr>
          <w:rtl/>
        </w:rPr>
        <w:t>[וע' מנחות מ. ולקמן בע"ב האם אמרי' כן גבי ציצית].</w:t>
      </w:r>
    </w:p>
  </w:footnote>
  <w:footnote w:id="151">
    <w:p w14:paraId="0353DB3B" w14:textId="77777777" w:rsidR="00BE1D1C" w:rsidRDefault="00000000" w:rsidP="00012502">
      <w:pPr>
        <w:pStyle w:val="Footnote"/>
        <w:bidi/>
      </w:pPr>
      <w:r>
        <w:rPr>
          <w:rStyle w:val="ac"/>
          <w:rtl/>
        </w:rPr>
        <w:footnoteRef/>
      </w:r>
      <w:r>
        <w:rPr>
          <w:rtl/>
        </w:rPr>
        <w:t>וכדאי' ב</w:t>
      </w:r>
      <w:r>
        <w:rPr>
          <w:b/>
          <w:bCs/>
          <w:rtl/>
        </w:rPr>
        <w:t>גמ'</w:t>
      </w:r>
      <w:r>
        <w:rPr>
          <w:rtl/>
        </w:rPr>
        <w:t xml:space="preserve"> (יומא ו:) דנח' אי טומאה הותרה בציבור או דחויה בציבור [ופ</w:t>
      </w:r>
      <w:r>
        <w:rPr>
          <w:b/>
          <w:bCs/>
          <w:rtl/>
        </w:rPr>
        <w:t>רש"י</w:t>
      </w:r>
      <w:r>
        <w:rPr>
          <w:rtl/>
        </w:rPr>
        <w:t xml:space="preserve"> בקושי הותרה, ולא היתר גמור], ונפק"מ האם מהדרינן אטהרה.</w:t>
      </w:r>
    </w:p>
    <w:p w14:paraId="430E199C" w14:textId="77777777" w:rsidR="00BE1D1C" w:rsidRDefault="00000000" w:rsidP="00012502">
      <w:pPr>
        <w:pStyle w:val="Footnote"/>
        <w:bidi/>
      </w:pPr>
      <w:r>
        <w:rPr>
          <w:rtl/>
        </w:rPr>
        <w:tab/>
        <w:t>[ובפשוטו משמע דגדר 'הותרה' שאינו עובר על האיסור כלל, דכה"ג לא הוה בכלל האיסור. ואילו דחויה היינו שדין א' מחייב שיעבור על הדין השני ומבטלו. אך מדברי רש"י (יומא) משמע דאף דחויה הוה גדר 'היתר', היכא דלא אפשר. וכן הוא מדברי ר"נ גאון הנ"ל דעשה דוחה ל"ת מהדרינן אהיתר, ואף דהגדר דלא אמרה תורה איסור כה"ג].</w:t>
      </w:r>
    </w:p>
  </w:footnote>
  <w:footnote w:id="152">
    <w:p w14:paraId="0EF951D7" w14:textId="77777777" w:rsidR="00BE1D1C" w:rsidRDefault="00000000" w:rsidP="00012502">
      <w:pPr>
        <w:pStyle w:val="Footnote"/>
        <w:bidi/>
      </w:pPr>
      <w:r>
        <w:rPr>
          <w:rStyle w:val="ac"/>
          <w:rtl/>
        </w:rPr>
        <w:footnoteRef/>
      </w:r>
      <w:r>
        <w:rPr>
          <w:rtl/>
        </w:rPr>
        <w:t>[ובהערות הגראז"מ וה</w:t>
      </w:r>
      <w:r>
        <w:rPr>
          <w:b/>
          <w:bCs/>
          <w:rtl/>
        </w:rPr>
        <w:t>קובה"ע</w:t>
      </w:r>
      <w:r>
        <w:rPr>
          <w:rtl/>
        </w:rPr>
        <w:t xml:space="preserve"> (ט ג) עמדו בסתירת דברי הרמב"ן].</w:t>
      </w:r>
    </w:p>
  </w:footnote>
  <w:footnote w:id="153">
    <w:p w14:paraId="0DC55942" w14:textId="77777777" w:rsidR="00BE1D1C" w:rsidRDefault="00000000" w:rsidP="00012502">
      <w:pPr>
        <w:pStyle w:val="Footnote"/>
        <w:bidi/>
      </w:pPr>
      <w:r>
        <w:rPr>
          <w:rStyle w:val="ac"/>
          <w:rtl/>
        </w:rPr>
        <w:footnoteRef/>
      </w:r>
      <w:r>
        <w:rPr>
          <w:rtl/>
        </w:rPr>
        <w:t>ו</w:t>
      </w:r>
      <w:r>
        <w:rPr>
          <w:b/>
          <w:bCs/>
          <w:rtl/>
        </w:rPr>
        <w:t>ריב"ן</w:t>
      </w:r>
      <w:r>
        <w:rPr>
          <w:rtl/>
        </w:rPr>
        <w:t xml:space="preserve"> (המפרש מכות כג.) פי' אין חוסמין, אין מגערין בה שלא תאמר אי אפשי בו. [וצ"ב אמאי נקט גערה ולא כפייה. אך </w:t>
      </w:r>
      <w:r>
        <w:rPr>
          <w:b/>
          <w:bCs/>
          <w:rtl/>
        </w:rPr>
        <w:t>תוס</w:t>
      </w:r>
      <w:r>
        <w:rPr>
          <w:rtl/>
        </w:rPr>
        <w:t>' (כתובות סד.) כת' דהך כפייה הוה בדברים].</w:t>
      </w:r>
    </w:p>
  </w:footnote>
  <w:footnote w:id="154">
    <w:p w14:paraId="66FDFCA2" w14:textId="77777777" w:rsidR="00BE1D1C" w:rsidRDefault="00000000" w:rsidP="00012502">
      <w:pPr>
        <w:pStyle w:val="Footnote"/>
        <w:bidi/>
      </w:pPr>
      <w:r>
        <w:rPr>
          <w:rStyle w:val="ac"/>
          <w:rtl/>
        </w:rPr>
        <w:footnoteRef/>
      </w:r>
      <w:r>
        <w:rPr>
          <w:rtl/>
        </w:rPr>
        <w:t>וכדאי' (כתובות עז.) דמוכה שחין כופין לגרש. ומבואר דהוה סברא דאורייתא, וסוגיין קאי לאחר הך דרשא. [ולו"ד הראשונים י"ל דביבמה ילפי' מדאורייתא, דאין בדין שנכוף את האשה לזה, וע"ד הא דאי' (סוטה ו.). ואילו בשאר אשה משועבדת וקנויה לבעל, אלא משום תקנ"ח מחייבין לגרש].</w:t>
      </w:r>
    </w:p>
  </w:footnote>
  <w:footnote w:id="155">
    <w:p w14:paraId="38D1D3E1" w14:textId="77777777" w:rsidR="00BE1D1C" w:rsidRDefault="00000000" w:rsidP="00012502">
      <w:pPr>
        <w:pStyle w:val="Footnote"/>
        <w:bidi/>
      </w:pPr>
      <w:r>
        <w:rPr>
          <w:rStyle w:val="ac"/>
          <w:rtl/>
        </w:rPr>
        <w:footnoteRef/>
      </w:r>
      <w:r>
        <w:rPr>
          <w:rtl/>
        </w:rPr>
        <w:t>והגמ' (ערכין ג: ומנחות מג.) קאי לולי דאיצטריך היקש לכלאים בציצית.</w:t>
      </w:r>
    </w:p>
  </w:footnote>
  <w:footnote w:id="156">
    <w:p w14:paraId="64BA3055" w14:textId="77777777" w:rsidR="00BE1D1C" w:rsidRDefault="00000000" w:rsidP="00012502">
      <w:pPr>
        <w:pStyle w:val="Footnote"/>
        <w:bidi/>
      </w:pPr>
      <w:r>
        <w:rPr>
          <w:rStyle w:val="ac"/>
          <w:rtl/>
        </w:rPr>
        <w:footnoteRef/>
      </w:r>
      <w:r>
        <w:rPr>
          <w:rtl/>
        </w:rPr>
        <w:t>[ותוס' הק' דכיון דיצא מהכלל לדבר חדש האיך ילפי' מיניה (וע' לקמן ז.), ותי' דכרת וחטאת לא מקרי דבר חדש].</w:t>
      </w:r>
    </w:p>
  </w:footnote>
  <w:footnote w:id="157">
    <w:p w14:paraId="55DD25AA" w14:textId="77777777" w:rsidR="00BE1D1C" w:rsidRDefault="00000000" w:rsidP="00012502">
      <w:pPr>
        <w:pStyle w:val="Footnote"/>
        <w:bidi/>
      </w:pPr>
      <w:r>
        <w:rPr>
          <w:rStyle w:val="ac"/>
          <w:rtl/>
        </w:rPr>
        <w:footnoteRef/>
      </w:r>
      <w:r>
        <w:rPr>
          <w:rtl/>
        </w:rPr>
        <w:t>ו</w:t>
      </w:r>
      <w:r>
        <w:rPr>
          <w:b/>
          <w:bCs/>
          <w:rtl/>
        </w:rPr>
        <w:t>רע"א</w:t>
      </w:r>
      <w:r>
        <w:rPr>
          <w:rtl/>
        </w:rPr>
        <w:t xml:space="preserve"> הקשה דהרמב"ם השמיט דין זה [ואכ"מ].</w:t>
      </w:r>
    </w:p>
  </w:footnote>
  <w:footnote w:id="158">
    <w:p w14:paraId="1FFABD1B" w14:textId="77777777" w:rsidR="00BE1D1C" w:rsidRDefault="00000000" w:rsidP="00012502">
      <w:pPr>
        <w:pStyle w:val="Footnote"/>
        <w:bidi/>
      </w:pPr>
      <w:r>
        <w:rPr>
          <w:rStyle w:val="ac"/>
          <w:rtl/>
        </w:rPr>
        <w:footnoteRef/>
      </w:r>
      <w:r>
        <w:rPr>
          <w:rtl/>
        </w:rPr>
        <w:t>וה</w:t>
      </w:r>
      <w:r>
        <w:rPr>
          <w:b/>
          <w:bCs/>
          <w:rtl/>
        </w:rPr>
        <w:t xml:space="preserve">אחרונים </w:t>
      </w:r>
      <w:r>
        <w:rPr>
          <w:rtl/>
        </w:rPr>
        <w:t>הביאו דבכמה מקומות מוזכר אין מוקדם ומאוחר אף בספר דברים.</w:t>
      </w:r>
    </w:p>
  </w:footnote>
  <w:footnote w:id="159">
    <w:p w14:paraId="7135802F" w14:textId="77777777" w:rsidR="00BE1D1C" w:rsidRDefault="00000000" w:rsidP="00012502">
      <w:pPr>
        <w:pStyle w:val="Footnote"/>
        <w:bidi/>
      </w:pPr>
      <w:r>
        <w:rPr>
          <w:rStyle w:val="ac"/>
          <w:rtl/>
        </w:rPr>
        <w:footnoteRef/>
      </w:r>
      <w:r>
        <w:rPr>
          <w:rtl/>
        </w:rPr>
        <w:t>ומש"ה הגמ' מביאה מדברי ר"א בן עזריה דאף בעלמא ילפי' סמוכים, אף היכא דאינו מוכח.</w:t>
      </w:r>
    </w:p>
  </w:footnote>
  <w:footnote w:id="160">
    <w:p w14:paraId="2C8380F0" w14:textId="77777777" w:rsidR="00BE1D1C" w:rsidRDefault="00000000" w:rsidP="00012502">
      <w:pPr>
        <w:pStyle w:val="Footnote"/>
        <w:bidi/>
      </w:pPr>
      <w:r>
        <w:rPr>
          <w:rStyle w:val="ac"/>
          <w:rtl/>
        </w:rPr>
        <w:footnoteRef/>
      </w:r>
      <w:r>
        <w:rPr>
          <w:rtl/>
        </w:rPr>
        <w:t>ו</w:t>
      </w:r>
      <w:r>
        <w:rPr>
          <w:b/>
          <w:bCs/>
          <w:rtl/>
        </w:rPr>
        <w:t>תוס</w:t>
      </w:r>
      <w:r>
        <w:rPr>
          <w:rtl/>
        </w:rPr>
        <w:t>' (שבת כט: ד"ה ובלבד) כתבו דע"כ איירי דאינו פסיק רישא. אבל ה</w:t>
      </w:r>
      <w:r>
        <w:rPr>
          <w:b/>
          <w:bCs/>
          <w:rtl/>
        </w:rPr>
        <w:t>ר"ן</w:t>
      </w:r>
      <w:r>
        <w:rPr>
          <w:rtl/>
        </w:rPr>
        <w:t xml:space="preserve"> (חולין לב. בדה"ר) כת' דהנאה נחשב אינו מתכוון, אף דהוה פסיק רישא. וה</w:t>
      </w:r>
      <w:r>
        <w:rPr>
          <w:b/>
          <w:bCs/>
          <w:rtl/>
        </w:rPr>
        <w:t>רמב"ן</w:t>
      </w:r>
      <w:r>
        <w:rPr>
          <w:rtl/>
        </w:rPr>
        <w:t xml:space="preserve"> (שבת קיא) הביא דה</w:t>
      </w:r>
      <w:r>
        <w:rPr>
          <w:b/>
          <w:bCs/>
          <w:rtl/>
        </w:rPr>
        <w:t>ערוך</w:t>
      </w:r>
      <w:r>
        <w:rPr>
          <w:rtl/>
        </w:rPr>
        <w:t xml:space="preserve"> הוכיח ממוכרי כסות דפסיק רישא דלא ניחא ליה מותר, אע"ג דודאי לובש. וה</w:t>
      </w:r>
      <w:r>
        <w:rPr>
          <w:b/>
          <w:bCs/>
          <w:rtl/>
        </w:rPr>
        <w:t xml:space="preserve">רמב"ן </w:t>
      </w:r>
      <w:r>
        <w:rPr>
          <w:rtl/>
        </w:rPr>
        <w:t>דחה דלאו מלבוש הוא אלא משוי בעלמא. [וכ"כ הר"ן שם].</w:t>
      </w:r>
    </w:p>
  </w:footnote>
  <w:footnote w:id="161">
    <w:p w14:paraId="4BF64663" w14:textId="77777777" w:rsidR="00BE1D1C" w:rsidRDefault="00000000" w:rsidP="00012502">
      <w:pPr>
        <w:pStyle w:val="Footnote"/>
        <w:bidi/>
      </w:pPr>
      <w:r>
        <w:rPr>
          <w:rStyle w:val="ac"/>
          <w:rtl/>
        </w:rPr>
        <w:footnoteRef/>
      </w:r>
      <w:r>
        <w:rPr>
          <w:rtl/>
        </w:rPr>
        <w:t xml:space="preserve">וכ"מ בדברי </w:t>
      </w:r>
      <w:r>
        <w:rPr>
          <w:b/>
          <w:bCs/>
          <w:rtl/>
        </w:rPr>
        <w:t>רש"י</w:t>
      </w:r>
      <w:r>
        <w:rPr>
          <w:rtl/>
        </w:rPr>
        <w:t xml:space="preserve"> (שבת כט:) שכת' דלא אסרה תורה אלא לבישה שהיא להתחמם 'כדרך כל הלובשים'.</w:t>
      </w:r>
    </w:p>
  </w:footnote>
  <w:footnote w:id="162">
    <w:p w14:paraId="41F71D94" w14:textId="77777777" w:rsidR="00BE1D1C" w:rsidRDefault="00000000" w:rsidP="00012502">
      <w:pPr>
        <w:pStyle w:val="Footnote"/>
        <w:bidi/>
      </w:pPr>
      <w:r>
        <w:rPr>
          <w:rStyle w:val="ac"/>
          <w:rtl/>
        </w:rPr>
        <w:footnoteRef/>
      </w:r>
      <w:r>
        <w:rPr>
          <w:rtl/>
        </w:rPr>
        <w:t>וה</w:t>
      </w:r>
      <w:r>
        <w:rPr>
          <w:b/>
          <w:bCs/>
          <w:rtl/>
        </w:rPr>
        <w:t>ביה"ל</w:t>
      </w:r>
      <w:r>
        <w:rPr>
          <w:rtl/>
        </w:rPr>
        <w:t xml:space="preserve"> (שם) דן דלבישת בגדי כהונה הוה מצווה, ומצוות לאו להנות נתנו, א"כ אמאי חשיב כלאים. ועי"ש עוד אחרונים.</w:t>
      </w:r>
    </w:p>
  </w:footnote>
  <w:footnote w:id="163">
    <w:p w14:paraId="403699E5" w14:textId="77777777" w:rsidR="00BE1D1C" w:rsidRDefault="00000000" w:rsidP="00012502">
      <w:pPr>
        <w:pStyle w:val="Footnote"/>
        <w:bidi/>
      </w:pPr>
      <w:r>
        <w:rPr>
          <w:rStyle w:val="ac"/>
          <w:rtl/>
        </w:rPr>
        <w:footnoteRef/>
      </w:r>
      <w:r>
        <w:rPr>
          <w:rtl/>
        </w:rPr>
        <w:t>[ור' שמואל כת' דכ"ז אם עצם האיסור 'לבישה' אבל אם ההנאה היא עצם האיסור, הרי אינו נהנה מהכלאים].</w:t>
      </w:r>
    </w:p>
  </w:footnote>
  <w:footnote w:id="164">
    <w:p w14:paraId="09BACBF3" w14:textId="77777777" w:rsidR="00BE1D1C" w:rsidRDefault="00000000" w:rsidP="00012502">
      <w:pPr>
        <w:pStyle w:val="Footnote"/>
        <w:bidi/>
      </w:pPr>
      <w:r>
        <w:rPr>
          <w:rStyle w:val="ac"/>
          <w:rtl/>
        </w:rPr>
        <w:footnoteRef/>
      </w:r>
      <w:r>
        <w:rPr>
          <w:rtl/>
        </w:rPr>
        <w:t>וכ"כ ה</w:t>
      </w:r>
      <w:r>
        <w:rPr>
          <w:b/>
          <w:bCs/>
          <w:rtl/>
        </w:rPr>
        <w:t>ר"ש</w:t>
      </w:r>
      <w:r>
        <w:rPr>
          <w:rtl/>
        </w:rPr>
        <w:t xml:space="preserve"> וה</w:t>
      </w:r>
      <w:r>
        <w:rPr>
          <w:b/>
          <w:bCs/>
          <w:rtl/>
        </w:rPr>
        <w:t>רא"ש</w:t>
      </w:r>
      <w:r>
        <w:rPr>
          <w:rtl/>
        </w:rPr>
        <w:t xml:space="preserve"> (כלאים ט ב) דהמשנה שאוסרת קאי כר' יהודה.</w:t>
      </w:r>
    </w:p>
  </w:footnote>
  <w:footnote w:id="165">
    <w:p w14:paraId="5E2ED004" w14:textId="77777777" w:rsidR="00BE1D1C" w:rsidRDefault="00000000" w:rsidP="00012502">
      <w:pPr>
        <w:pStyle w:val="Footnote"/>
        <w:bidi/>
      </w:pPr>
      <w:r>
        <w:rPr>
          <w:rStyle w:val="ac"/>
          <w:rtl/>
        </w:rPr>
        <w:footnoteRef/>
      </w:r>
      <w:r>
        <w:rPr>
          <w:rtl/>
        </w:rPr>
        <w:t>וה</w:t>
      </w:r>
      <w:r>
        <w:rPr>
          <w:b/>
          <w:bCs/>
          <w:rtl/>
        </w:rPr>
        <w:t>רמב"ם</w:t>
      </w:r>
      <w:r>
        <w:rPr>
          <w:rtl/>
        </w:rPr>
        <w:t xml:space="preserve"> (כלאים י ד) הוכיח מזה שכל איסורין אלו [ע"י קשירת החוט וכדו'] הוה מדאורייתא. שהרי הוצרך הכתוב להתיר כלאים בציצית, וכמו שלמדו מפי השמועה שנסמכה פרשת כלאים לפרשת ציצית להתיר כלאים בציצית, והציצית חוטין קשורין בלבד הן, מכלל שחבור כזה שלא במקום מצוה אסור מן התורה, שאינו ממעט בתורה דבר שהוא אסור מדברי סופרים.</w:t>
      </w:r>
    </w:p>
  </w:footnote>
  <w:footnote w:id="166">
    <w:p w14:paraId="44EEFFC5" w14:textId="77777777" w:rsidR="00BE1D1C" w:rsidRDefault="00000000" w:rsidP="00012502">
      <w:pPr>
        <w:pStyle w:val="Footnote"/>
        <w:bidi/>
      </w:pPr>
      <w:r>
        <w:rPr>
          <w:rStyle w:val="ac"/>
          <w:rtl/>
        </w:rPr>
        <w:footnoteRef/>
      </w:r>
      <w:r>
        <w:rPr>
          <w:rtl/>
        </w:rPr>
        <w:t>ו</w:t>
      </w:r>
      <w:r>
        <w:rPr>
          <w:b/>
          <w:bCs/>
          <w:rtl/>
        </w:rPr>
        <w:t>רע"א</w:t>
      </w:r>
      <w:r>
        <w:rPr>
          <w:rtl/>
        </w:rPr>
        <w:t xml:space="preserve"> הקשה על </w:t>
      </w:r>
      <w:r>
        <w:rPr>
          <w:b/>
          <w:bCs/>
          <w:rtl/>
        </w:rPr>
        <w:t>תוס</w:t>
      </w:r>
      <w:r>
        <w:rPr>
          <w:rtl/>
        </w:rPr>
        <w:t>' (ה. ד"ה מה ללאו) דלחד תנא לא ילפי' מכלאים בציצית, והקשה רע"א לדידיה מנ"ל קשר עליון דאורייתא.</w:t>
      </w:r>
    </w:p>
  </w:footnote>
  <w:footnote w:id="167">
    <w:p w14:paraId="1FD70C00" w14:textId="77777777" w:rsidR="00BE1D1C" w:rsidRDefault="00000000" w:rsidP="00012502">
      <w:pPr>
        <w:pStyle w:val="Footnote"/>
        <w:bidi/>
      </w:pPr>
      <w:r>
        <w:rPr>
          <w:rStyle w:val="ac"/>
          <w:rtl/>
        </w:rPr>
        <w:footnoteRef/>
      </w:r>
      <w:r>
        <w:rPr>
          <w:rtl/>
        </w:rPr>
        <w:t xml:space="preserve">וכעי"ז כ' </w:t>
      </w:r>
      <w:r>
        <w:rPr>
          <w:b/>
          <w:bCs/>
          <w:rtl/>
        </w:rPr>
        <w:t>תוס</w:t>
      </w:r>
      <w:r>
        <w:rPr>
          <w:rtl/>
        </w:rPr>
        <w:t>' (שם ד"ה קשר) דמקרא דגדיל ילפי' לקשר עליון, דבעי גדיל טוב. והגמ' מוכיחה שדרשה זו אמת מהא דעשה דוחה ל"ת.</w:t>
      </w:r>
    </w:p>
  </w:footnote>
  <w:footnote w:id="168">
    <w:p w14:paraId="17F410E7" w14:textId="77777777" w:rsidR="00BE1D1C" w:rsidRDefault="00000000" w:rsidP="00012502">
      <w:pPr>
        <w:pStyle w:val="Footnote"/>
        <w:bidi/>
      </w:pPr>
      <w:r>
        <w:rPr>
          <w:rStyle w:val="ac"/>
          <w:rtl/>
        </w:rPr>
        <w:footnoteRef/>
      </w:r>
      <w:r>
        <w:rPr>
          <w:rtl/>
        </w:rPr>
        <w:t>ומש"ה היכא דא"א להטיל ציצית, כגון בשבת או שאין חוטים בעיר אי"צ לפשוט את הבגד [ע' פוסקים או"ח ס"ס יג].</w:t>
      </w:r>
    </w:p>
  </w:footnote>
  <w:footnote w:id="169">
    <w:p w14:paraId="09392A8A" w14:textId="77777777" w:rsidR="00BE1D1C" w:rsidRDefault="00000000" w:rsidP="00012502">
      <w:pPr>
        <w:pStyle w:val="Footnote"/>
        <w:bidi/>
      </w:pPr>
      <w:r>
        <w:rPr>
          <w:rStyle w:val="ac"/>
          <w:rtl/>
        </w:rPr>
        <w:footnoteRef/>
      </w:r>
      <w:r>
        <w:rPr>
          <w:rtl/>
        </w:rPr>
        <w:t>וכן היכא דנקשרו חוטי כלאים לבגד, כה"ג לא נאמר דין דחייה כלל.</w:t>
      </w:r>
    </w:p>
  </w:footnote>
  <w:footnote w:id="170">
    <w:p w14:paraId="7121A195" w14:textId="77777777" w:rsidR="00BE1D1C" w:rsidRDefault="00000000" w:rsidP="00012502">
      <w:pPr>
        <w:pStyle w:val="Footnote"/>
        <w:bidi/>
      </w:pPr>
      <w:r>
        <w:rPr>
          <w:rStyle w:val="ac"/>
          <w:rtl/>
        </w:rPr>
        <w:footnoteRef/>
      </w:r>
      <w:r>
        <w:rPr>
          <w:rtl/>
        </w:rPr>
        <w:t>אך ב</w:t>
      </w:r>
      <w:r>
        <w:rPr>
          <w:b/>
          <w:bCs/>
          <w:rtl/>
        </w:rPr>
        <w:t>גמ'</w:t>
      </w:r>
      <w:r>
        <w:rPr>
          <w:rtl/>
        </w:rPr>
        <w:t xml:space="preserve"> (כתובות מ.) דאי אמרה לא בעינא ליכא לעשה, ולא דחי. ואף דכשאומרת לא בעינא אין כאן קיום עשה. [ותליא בפי' הראשונים שם]. וה</w:t>
      </w:r>
      <w:r>
        <w:rPr>
          <w:b/>
          <w:bCs/>
          <w:rtl/>
        </w:rPr>
        <w:t>רמב"ן</w:t>
      </w:r>
      <w:r>
        <w:rPr>
          <w:rtl/>
        </w:rPr>
        <w:t xml:space="preserve"> (שם) חילק 'התם עשה מיהא איתא, אבל הכא אי בעי ליכא עשה כלל'. [וה</w:t>
      </w:r>
      <w:r>
        <w:rPr>
          <w:b/>
          <w:bCs/>
          <w:rtl/>
        </w:rPr>
        <w:t>תו"י</w:t>
      </w:r>
      <w:r>
        <w:rPr>
          <w:rtl/>
        </w:rPr>
        <w:t xml:space="preserve"> (שם) תי' לגבי כיבוד אב, דמ"מ מיד כשצווה מחוייב לקיים]. וה</w:t>
      </w:r>
      <w:r>
        <w:rPr>
          <w:b/>
          <w:bCs/>
          <w:rtl/>
        </w:rPr>
        <w:t>קובה"ע</w:t>
      </w:r>
      <w:r>
        <w:rPr>
          <w:rtl/>
        </w:rPr>
        <w:t xml:space="preserve"> (יד ג) כת' דבציצית אם לא ילבש חסר ב'תועלת המצוה' [ובעידן ריתחא ענשינן, מנחות מא.]. משא"כ במצות בין אדם לחבירו, ואין קפידא כשמוחלת. [וה</w:t>
      </w:r>
      <w:r>
        <w:rPr>
          <w:b/>
          <w:bCs/>
          <w:rtl/>
        </w:rPr>
        <w:t>תוס' רי"ד</w:t>
      </w:r>
      <w:r>
        <w:rPr>
          <w:rtl/>
        </w:rPr>
        <w:t xml:space="preserve"> (כתובות שם) כ' דצווי התורה שם להפיס דעתה].</w:t>
      </w:r>
    </w:p>
  </w:footnote>
  <w:footnote w:id="171">
    <w:p w14:paraId="3240CCD6" w14:textId="77777777" w:rsidR="00BE1D1C" w:rsidRDefault="00000000" w:rsidP="00012502">
      <w:pPr>
        <w:pStyle w:val="Footnote"/>
        <w:bidi/>
      </w:pPr>
      <w:r>
        <w:rPr>
          <w:rStyle w:val="ac"/>
          <w:rtl/>
        </w:rPr>
        <w:footnoteRef/>
      </w:r>
      <w:r>
        <w:rPr>
          <w:rtl/>
        </w:rPr>
        <w:t>וה</w:t>
      </w:r>
      <w:r>
        <w:rPr>
          <w:b/>
          <w:bCs/>
          <w:rtl/>
        </w:rPr>
        <w:t>קובה"ע</w:t>
      </w:r>
      <w:r>
        <w:rPr>
          <w:rtl/>
        </w:rPr>
        <w:t xml:space="preserve"> (יח ב) כתב דהרמב"ן חזר רק לגבי כיבוד אב, דכיון דנתחייב בכיבוד אב [בעשה] לא יעבור בלאו. אבל בטומאה, דהלאו דטומאה נדחה מפני קיום העשה, אף דעדיין לא חל.</w:t>
      </w:r>
    </w:p>
  </w:footnote>
  <w:footnote w:id="172">
    <w:p w14:paraId="7AFF0362" w14:textId="77777777" w:rsidR="00BE1D1C" w:rsidRDefault="00000000" w:rsidP="00012502">
      <w:pPr>
        <w:pStyle w:val="Footnote"/>
        <w:bidi/>
      </w:pPr>
      <w:r>
        <w:rPr>
          <w:rStyle w:val="ac"/>
          <w:rtl/>
        </w:rPr>
        <w:footnoteRef/>
      </w:r>
      <w:r>
        <w:rPr>
          <w:rtl/>
        </w:rPr>
        <w:t>[צ"ע שם, די"ל דכוונתו לדון מטעם אחר].</w:t>
      </w:r>
    </w:p>
  </w:footnote>
  <w:footnote w:id="173">
    <w:p w14:paraId="2431B80C" w14:textId="77777777" w:rsidR="00BE1D1C" w:rsidRDefault="00000000" w:rsidP="00012502">
      <w:pPr>
        <w:pStyle w:val="Footnote"/>
        <w:bidi/>
      </w:pPr>
      <w:r>
        <w:rPr>
          <w:rStyle w:val="ac"/>
          <w:rtl/>
        </w:rPr>
        <w:footnoteRef/>
      </w:r>
      <w:r>
        <w:rPr>
          <w:rtl/>
        </w:rPr>
        <w:t>דהר"י אלברגלוני ס"ל דחייב משום כלאים, והאשכול חלק דמה"ת עשה דוחה ל"ת, אלא שחכמים פוטרים משום גזירה. והעובר על דבריהם פטור ממלקות דאורייתא.</w:t>
      </w:r>
    </w:p>
  </w:footnote>
  <w:footnote w:id="174">
    <w:p w14:paraId="226E5823" w14:textId="77777777" w:rsidR="00BE1D1C" w:rsidRDefault="00000000" w:rsidP="00012502">
      <w:pPr>
        <w:pStyle w:val="Footnote"/>
        <w:bidi/>
      </w:pPr>
      <w:r>
        <w:rPr>
          <w:rStyle w:val="ac"/>
          <w:rtl/>
        </w:rPr>
        <w:footnoteRef/>
      </w:r>
      <w:r>
        <w:rPr>
          <w:rtl/>
        </w:rPr>
        <w:t>וה</w:t>
      </w:r>
      <w:r>
        <w:rPr>
          <w:b/>
          <w:bCs/>
          <w:rtl/>
        </w:rPr>
        <w:t>קובה"ע</w:t>
      </w:r>
      <w:r>
        <w:rPr>
          <w:rtl/>
        </w:rPr>
        <w:t xml:space="preserve"> דן לפ"ז ספק עשה, לא ידחה ל"ת בתורת ודאי [ולוקה]. [ויל"ד בזה].</w:t>
      </w:r>
    </w:p>
  </w:footnote>
  <w:footnote w:id="175">
    <w:p w14:paraId="7E37FDE5" w14:textId="77777777" w:rsidR="00BE1D1C" w:rsidRDefault="00000000" w:rsidP="00012502">
      <w:pPr>
        <w:pStyle w:val="Footnote"/>
        <w:bidi/>
      </w:pPr>
      <w:r>
        <w:rPr>
          <w:rStyle w:val="ac"/>
          <w:rtl/>
        </w:rPr>
        <w:footnoteRef/>
      </w:r>
      <w:r>
        <w:rPr>
          <w:rtl/>
        </w:rPr>
        <w:t>[וה</w:t>
      </w:r>
      <w:r>
        <w:rPr>
          <w:b/>
          <w:bCs/>
          <w:rtl/>
        </w:rPr>
        <w:t>קובה"ע</w:t>
      </w:r>
      <w:r>
        <w:rPr>
          <w:rtl/>
        </w:rPr>
        <w:t xml:space="preserve"> הביא דנח' הראשונים בנידון זה, ד</w:t>
      </w:r>
      <w:r>
        <w:rPr>
          <w:b/>
          <w:bCs/>
          <w:rtl/>
        </w:rPr>
        <w:t>תוס'</w:t>
      </w:r>
      <w:r>
        <w:rPr>
          <w:rtl/>
        </w:rPr>
        <w:t xml:space="preserve"> (פסחים מז: ד"ה כתישה) בשם </w:t>
      </w:r>
      <w:r>
        <w:rPr>
          <w:b/>
          <w:bCs/>
          <w:rtl/>
        </w:rPr>
        <w:t>ר"ת</w:t>
      </w:r>
      <w:r>
        <w:rPr>
          <w:rtl/>
        </w:rPr>
        <w:t xml:space="preserve"> דאף דחרישת כלאים נדחה משום עשה דכיסוי הדם, אבל ביו"ט [דהוה ל"ת ועשה ואינו נדחה] מחייב אף משום כלאים [ואף איסור כלאים אינו נדחה]. אבל דעת </w:t>
      </w:r>
      <w:r>
        <w:rPr>
          <w:b/>
          <w:bCs/>
          <w:rtl/>
        </w:rPr>
        <w:t>ריב"א</w:t>
      </w:r>
      <w:r>
        <w:rPr>
          <w:rtl/>
        </w:rPr>
        <w:t xml:space="preserve"> (בתוס' חולין קמא.) דבל"ת ועשה, אף שאסור לו לקיים העשה, הלא תעשה נדחה. הו' לקמן ה.].</w:t>
      </w:r>
    </w:p>
  </w:footnote>
  <w:footnote w:id="176">
    <w:p w14:paraId="45142976" w14:textId="77777777" w:rsidR="00BE1D1C" w:rsidRDefault="00000000" w:rsidP="00012502">
      <w:pPr>
        <w:pStyle w:val="Footnote"/>
        <w:bidi/>
      </w:pPr>
      <w:r>
        <w:rPr>
          <w:rStyle w:val="ac"/>
          <w:rtl/>
        </w:rPr>
        <w:footnoteRef/>
      </w:r>
      <w:r>
        <w:rPr>
          <w:rtl/>
        </w:rPr>
        <w:t>ולצד דכלאים בציצית הותרה (ע' בסמוך), לכאורה לא עקרו את ההיתר, ואינו לוקה.</w:t>
      </w:r>
    </w:p>
  </w:footnote>
  <w:footnote w:id="177">
    <w:p w14:paraId="318763AB" w14:textId="77777777" w:rsidR="00BE1D1C" w:rsidRDefault="00000000" w:rsidP="00012502">
      <w:pPr>
        <w:pStyle w:val="Footnote"/>
        <w:bidi/>
      </w:pPr>
      <w:r>
        <w:rPr>
          <w:rStyle w:val="ac"/>
          <w:rtl/>
        </w:rPr>
        <w:footnoteRef/>
      </w:r>
      <w:r>
        <w:rPr>
          <w:rtl/>
        </w:rPr>
        <w:t>ודייק כן מהגמ' (מנחות מ:) דאי' אפי' טלית פטורה [עי"ש הדיוק].</w:t>
      </w:r>
    </w:p>
  </w:footnote>
  <w:footnote w:id="178">
    <w:p w14:paraId="32075BC2" w14:textId="77777777" w:rsidR="00BE1D1C" w:rsidRDefault="00000000" w:rsidP="00012502">
      <w:pPr>
        <w:pStyle w:val="Footnote"/>
        <w:bidi/>
      </w:pPr>
      <w:r>
        <w:rPr>
          <w:rStyle w:val="ac"/>
          <w:rtl/>
        </w:rPr>
        <w:footnoteRef/>
      </w:r>
      <w:r>
        <w:rPr>
          <w:rtl/>
        </w:rPr>
        <w:t>והא דמבואר (שבת כה: ומנחות מ.) דכסות לילה עובר משום כלאים. היינו כסות המיוחד ללילה, דאין צד היתר בבגד זה.</w:t>
      </w:r>
    </w:p>
  </w:footnote>
  <w:footnote w:id="179">
    <w:p w14:paraId="5F57E3A3" w14:textId="77777777" w:rsidR="00BE1D1C" w:rsidRDefault="00000000" w:rsidP="00012502">
      <w:pPr>
        <w:pStyle w:val="Footnote"/>
        <w:bidi/>
      </w:pPr>
      <w:r>
        <w:rPr>
          <w:rStyle w:val="ac"/>
          <w:rtl/>
        </w:rPr>
        <w:footnoteRef/>
      </w:r>
      <w:r>
        <w:rPr>
          <w:rtl/>
        </w:rPr>
        <w:t>ומשמע ב</w:t>
      </w:r>
      <w:r>
        <w:rPr>
          <w:b/>
          <w:bCs/>
          <w:rtl/>
        </w:rPr>
        <w:t>ראב"ד</w:t>
      </w:r>
      <w:r>
        <w:rPr>
          <w:rtl/>
        </w:rPr>
        <w:t xml:space="preserve"> דדעת </w:t>
      </w:r>
      <w:r>
        <w:rPr>
          <w:b/>
          <w:bCs/>
          <w:rtl/>
        </w:rPr>
        <w:t>ר"ת</w:t>
      </w:r>
      <w:r>
        <w:rPr>
          <w:rtl/>
        </w:rPr>
        <w:t xml:space="preserve"> בכל עדל"ת אמרי' דהותר לכל מילי. וביארו ה</w:t>
      </w:r>
      <w:r>
        <w:rPr>
          <w:b/>
          <w:bCs/>
          <w:rtl/>
        </w:rPr>
        <w:t>אחרונים</w:t>
      </w:r>
      <w:r>
        <w:rPr>
          <w:rtl/>
        </w:rPr>
        <w:t xml:space="preserve"> דס"ל דתחילת הדין הוה מדין עדל"ת ודחויה [ודלא כרמב"ן]. אלא אחרי דחל דין דחייה אמרי' דהותרה לכל מילי, מיגו דאישתרי.</w:t>
      </w:r>
    </w:p>
  </w:footnote>
  <w:footnote w:id="180">
    <w:p w14:paraId="49C4CCF7" w14:textId="77777777" w:rsidR="00BE1D1C" w:rsidRDefault="00000000" w:rsidP="00012502">
      <w:pPr>
        <w:pStyle w:val="Footnote"/>
        <w:bidi/>
      </w:pPr>
      <w:r>
        <w:rPr>
          <w:rStyle w:val="ac"/>
          <w:rtl/>
        </w:rPr>
        <w:footnoteRef/>
      </w:r>
      <w:r>
        <w:rPr>
          <w:rtl/>
        </w:rPr>
        <w:t>וב</w:t>
      </w:r>
      <w:r>
        <w:rPr>
          <w:b/>
          <w:bCs/>
          <w:rtl/>
        </w:rPr>
        <w:t>ראב"ד</w:t>
      </w:r>
      <w:r>
        <w:rPr>
          <w:rtl/>
        </w:rPr>
        <w:t xml:space="preserve"> (שם) משמע דתליא בדברי </w:t>
      </w:r>
      <w:r>
        <w:rPr>
          <w:b/>
          <w:bCs/>
          <w:rtl/>
        </w:rPr>
        <w:t>ר"ת</w:t>
      </w:r>
      <w:r>
        <w:rPr>
          <w:rtl/>
        </w:rPr>
        <w:t xml:space="preserve"> האם נשים מברכות 'וצוונו', דנשים יכולים לקיים מצוות עשה שהזמן גרמא. ולפ"ז מבואר דאף מצווה קיומית דחי לל"ת. [וכן הביא ב</w:t>
      </w:r>
      <w:r>
        <w:rPr>
          <w:b/>
          <w:bCs/>
          <w:rtl/>
        </w:rPr>
        <w:t>קוב"ש</w:t>
      </w:r>
      <w:r>
        <w:rPr>
          <w:rtl/>
        </w:rPr>
        <w:t xml:space="preserve"> סוף קידושין מהראב"ד בתו"כ]. [ולמש"כ בסמוך דדעת הראב"ד דכלאים בציצית הוה הותרה למצב קיום המצוה ניחא טפי].</w:t>
      </w:r>
    </w:p>
  </w:footnote>
  <w:footnote w:id="181">
    <w:p w14:paraId="1DF7F706" w14:textId="77777777" w:rsidR="00BE1D1C" w:rsidRDefault="00000000" w:rsidP="00012502">
      <w:pPr>
        <w:pStyle w:val="Footnote"/>
        <w:bidi/>
      </w:pPr>
      <w:r>
        <w:rPr>
          <w:rStyle w:val="ac"/>
          <w:rtl/>
        </w:rPr>
        <w:footnoteRef/>
      </w:r>
      <w:r>
        <w:rPr>
          <w:rtl/>
        </w:rPr>
        <w:t>והמנח"ח הביא דעת ה</w:t>
      </w:r>
      <w:r>
        <w:rPr>
          <w:b/>
          <w:bCs/>
          <w:rtl/>
        </w:rPr>
        <w:t>רמב"ם</w:t>
      </w:r>
      <w:r>
        <w:rPr>
          <w:rtl/>
        </w:rPr>
        <w:t xml:space="preserve"> (כלאים י לא) דהמלביש חבירו כלאים, והלובש אינו יודע, המלביש לוקה [והראשונים חלקו ואכ"מ]. [אבל אם הלובש מזיד, המלביש עובר רק בלפני עוור]. וה</w:t>
      </w:r>
      <w:r>
        <w:rPr>
          <w:b/>
          <w:bCs/>
          <w:rtl/>
        </w:rPr>
        <w:t>מנח"ח</w:t>
      </w:r>
      <w:r>
        <w:rPr>
          <w:rtl/>
        </w:rPr>
        <w:t xml:space="preserve"> כתב דלפ"ז המלביש חבירו כלאים בציצית, כשהלובש אינו יודע, עובר באיסור 'מלביש' [למ"ד דכלאים בציצית דחיוה], דבדידיה ליכא עשה. [אבל כשהלובש יודע ליכא איסור, דנחשב 'מזיד' ודין הכלאים תליא בלובש]. וה</w:t>
      </w:r>
      <w:r>
        <w:rPr>
          <w:b/>
          <w:bCs/>
          <w:rtl/>
        </w:rPr>
        <w:t xml:space="preserve">אבי עזרי </w:t>
      </w:r>
      <w:r>
        <w:rPr>
          <w:rtl/>
        </w:rPr>
        <w:t>חלק דבמקום דל"ש איסור 'מלביש' במקום דמותר ללבוש, דמעשה זו מותרת.</w:t>
      </w:r>
    </w:p>
    <w:p w14:paraId="4CCC6C1C" w14:textId="77777777" w:rsidR="00BE1D1C" w:rsidRDefault="00000000" w:rsidP="00012502">
      <w:pPr>
        <w:pStyle w:val="Footnote"/>
        <w:bidi/>
      </w:pPr>
      <w:r>
        <w:rPr>
          <w:rtl/>
        </w:rPr>
        <w:tab/>
        <w:t>[וי"ל עוד דבמקום שללובש הותר, תליא בלובש ודינו של מלביש גרירה בתריה. ואף שאינו יודע, כיון דאילו ידע דינו לעשות כן. ורק במקום דאילו היה יודע היה פורש תליא במלביש].</w:t>
      </w:r>
    </w:p>
  </w:footnote>
  <w:footnote w:id="182">
    <w:p w14:paraId="595C3A39" w14:textId="77777777" w:rsidR="00BE1D1C" w:rsidRDefault="00000000" w:rsidP="00012502">
      <w:pPr>
        <w:pStyle w:val="Footnote"/>
        <w:bidi/>
      </w:pPr>
      <w:r>
        <w:rPr>
          <w:rStyle w:val="ac"/>
          <w:rtl/>
        </w:rPr>
        <w:footnoteRef/>
      </w:r>
      <w:r>
        <w:rPr>
          <w:rtl/>
        </w:rPr>
        <w:t>וכעי"ז דנו האחרונים כשאינו מתכוון למצוות ציצית.</w:t>
      </w:r>
    </w:p>
  </w:footnote>
  <w:footnote w:id="183">
    <w:p w14:paraId="4232848F" w14:textId="77777777" w:rsidR="00BE1D1C" w:rsidRDefault="00000000" w:rsidP="00012502">
      <w:pPr>
        <w:pStyle w:val="Footnote"/>
        <w:bidi/>
      </w:pPr>
      <w:r>
        <w:rPr>
          <w:rStyle w:val="ac"/>
          <w:rtl/>
        </w:rPr>
        <w:footnoteRef/>
      </w:r>
      <w:r>
        <w:rPr>
          <w:rtl/>
        </w:rPr>
        <w:t>ומבואר שהראב"ד מודה ליסוד ר"ת דהותר אף כשאינו מקיים את המצוה, אבל רק במקום שראוי לקיום המצוה, ולא באשה.</w:t>
      </w:r>
    </w:p>
  </w:footnote>
  <w:footnote w:id="184">
    <w:p w14:paraId="27143259" w14:textId="77777777" w:rsidR="00BE1D1C" w:rsidRDefault="00000000" w:rsidP="00012502">
      <w:pPr>
        <w:pStyle w:val="Footnote"/>
        <w:bidi/>
      </w:pPr>
      <w:r>
        <w:rPr>
          <w:rStyle w:val="ac"/>
          <w:rtl/>
        </w:rPr>
        <w:footnoteRef/>
      </w:r>
      <w:r>
        <w:rPr>
          <w:rtl/>
        </w:rPr>
        <w:t>[וכ"כ הרמב"ן (שבת קלב:), וכן הרמב"ן בסוגיין הביא צד כזה, אלא שדחה].</w:t>
      </w:r>
    </w:p>
  </w:footnote>
  <w:footnote w:id="185">
    <w:p w14:paraId="4CDC5659" w14:textId="77777777" w:rsidR="00BE1D1C" w:rsidRDefault="00000000" w:rsidP="00012502">
      <w:pPr>
        <w:pStyle w:val="Footnote"/>
        <w:bidi/>
      </w:pPr>
      <w:r>
        <w:rPr>
          <w:rStyle w:val="ac"/>
          <w:rtl/>
        </w:rPr>
        <w:footnoteRef/>
      </w:r>
      <w:r>
        <w:rPr>
          <w:rtl/>
        </w:rPr>
        <w:t>משא"כ בגדי כהונה שהותר ללבוש רק בשעת עבודה, דבגדי כהונה לא ניתנו ללבישה והנאה.</w:t>
      </w:r>
    </w:p>
  </w:footnote>
  <w:footnote w:id="186">
    <w:p w14:paraId="3BE98241" w14:textId="77777777" w:rsidR="00BE1D1C" w:rsidRDefault="00000000" w:rsidP="00012502">
      <w:pPr>
        <w:pStyle w:val="Footnote"/>
        <w:bidi/>
      </w:pPr>
      <w:r>
        <w:rPr>
          <w:rStyle w:val="ac"/>
          <w:rtl/>
        </w:rPr>
        <w:footnoteRef/>
      </w:r>
      <w:r>
        <w:rPr>
          <w:rtl/>
        </w:rPr>
        <w:t>וילפינן עשה דוחה ל"ת כמ"ד (ה.) דילפי' מ'ראשו'. ומסקנת התוס' דאף לבית שמאי מדאורייתא דחי, אלא משום גזירה.</w:t>
      </w:r>
    </w:p>
  </w:footnote>
  <w:footnote w:id="187">
    <w:p w14:paraId="0836BD00" w14:textId="77777777" w:rsidR="00BE1D1C" w:rsidRDefault="00000000" w:rsidP="00012502">
      <w:pPr>
        <w:pStyle w:val="Footnote"/>
        <w:bidi/>
      </w:pPr>
      <w:r>
        <w:rPr>
          <w:rStyle w:val="ac"/>
          <w:rtl/>
        </w:rPr>
        <w:footnoteRef/>
      </w:r>
      <w:r>
        <w:rPr>
          <w:rtl/>
        </w:rPr>
        <w:t>[וכעין מש"כ רע"א הנ"ל].</w:t>
      </w:r>
    </w:p>
  </w:footnote>
  <w:footnote w:id="188">
    <w:p w14:paraId="36FD641F" w14:textId="77777777" w:rsidR="00BE1D1C" w:rsidRDefault="00000000" w:rsidP="00012502">
      <w:pPr>
        <w:pStyle w:val="Footnote"/>
        <w:bidi/>
      </w:pPr>
      <w:r>
        <w:rPr>
          <w:rStyle w:val="ac"/>
          <w:rtl/>
        </w:rPr>
        <w:footnoteRef/>
      </w:r>
      <w:r>
        <w:rPr>
          <w:rtl/>
        </w:rPr>
        <w:t>אך ה</w:t>
      </w:r>
      <w:r>
        <w:rPr>
          <w:b/>
          <w:bCs/>
          <w:rtl/>
        </w:rPr>
        <w:t>ריטב"א</w:t>
      </w:r>
      <w:r>
        <w:rPr>
          <w:rtl/>
        </w:rPr>
        <w:t xml:space="preserve"> כתב [בשם י"מ] דאי"צ להוציא מהבגד, דבעי טווי [לשמה] הללמ"ס. [ונח' בזה רב ושמואל סוכה ט., מנחות מב:]. [והרשב"א קאי לאידך מ"ד. א"נ יש שדנו דיכול לפרום הטווי, ולחזור ולטוות].</w:t>
      </w:r>
    </w:p>
  </w:footnote>
  <w:footnote w:id="189">
    <w:p w14:paraId="31F6B8CD" w14:textId="77777777" w:rsidR="00BE1D1C" w:rsidRDefault="00000000" w:rsidP="00012502">
      <w:pPr>
        <w:pStyle w:val="Footnote"/>
        <w:bidi/>
      </w:pPr>
      <w:r>
        <w:rPr>
          <w:rStyle w:val="ac"/>
          <w:rtl/>
        </w:rPr>
        <w:footnoteRef/>
      </w:r>
      <w:r>
        <w:rPr>
          <w:rtl/>
        </w:rPr>
        <w:t>[וה</w:t>
      </w:r>
      <w:r>
        <w:rPr>
          <w:b/>
          <w:bCs/>
          <w:rtl/>
        </w:rPr>
        <w:t>קובה"ע</w:t>
      </w:r>
      <w:r>
        <w:rPr>
          <w:rtl/>
        </w:rPr>
        <w:t xml:space="preserve"> כתב דעפ"ז אף להלכה, מי שאין לו חוטים כלל, אי"צ להוציא מהבגד. ולמרדכי מותר ללבוש בגד כשא"א להטיל ציצית].</w:t>
      </w:r>
    </w:p>
  </w:footnote>
  <w:footnote w:id="190">
    <w:p w14:paraId="611C6B82" w14:textId="77777777" w:rsidR="00BE1D1C" w:rsidRDefault="00000000" w:rsidP="00012502">
      <w:pPr>
        <w:pStyle w:val="Footnote"/>
        <w:bidi/>
      </w:pPr>
      <w:r>
        <w:rPr>
          <w:rStyle w:val="ac"/>
          <w:rtl/>
        </w:rPr>
        <w:footnoteRef/>
      </w:r>
      <w:r>
        <w:rPr>
          <w:rtl/>
        </w:rPr>
        <w:t>וה</w:t>
      </w:r>
      <w:r>
        <w:rPr>
          <w:b/>
          <w:bCs/>
          <w:rtl/>
        </w:rPr>
        <w:t>אחרונים</w:t>
      </w:r>
      <w:r>
        <w:rPr>
          <w:rtl/>
        </w:rPr>
        <w:t xml:space="preserve"> דנו די"ל דרק במקום דאפשר לקיים שניהם בלא הפסד נחשב אפשר לקיים, ולא דמי לביטול עשה וחומש נכסיו.</w:t>
      </w:r>
    </w:p>
  </w:footnote>
  <w:footnote w:id="191">
    <w:p w14:paraId="1A554EAB" w14:textId="77777777" w:rsidR="00BE1D1C" w:rsidRDefault="00000000" w:rsidP="00012502">
      <w:pPr>
        <w:pStyle w:val="Footnote"/>
        <w:bidi/>
      </w:pPr>
      <w:r>
        <w:rPr>
          <w:rStyle w:val="ac"/>
          <w:rtl/>
        </w:rPr>
        <w:footnoteRef/>
      </w:r>
      <w:r>
        <w:rPr>
          <w:rtl/>
        </w:rPr>
        <w:t>[ויש שדנו דכן מוכח בדברי הרמב"ן דלא תי' כן].</w:t>
      </w:r>
    </w:p>
  </w:footnote>
  <w:footnote w:id="192">
    <w:p w14:paraId="55B7B3F0" w14:textId="77777777" w:rsidR="00BE1D1C" w:rsidRDefault="00000000" w:rsidP="00012502">
      <w:pPr>
        <w:pStyle w:val="Footnote"/>
        <w:bidi/>
      </w:pPr>
      <w:r>
        <w:rPr>
          <w:rStyle w:val="ac"/>
          <w:rtl/>
        </w:rPr>
        <w:footnoteRef/>
      </w:r>
      <w:r>
        <w:rPr>
          <w:rtl/>
        </w:rPr>
        <w:t>וה</w:t>
      </w:r>
      <w:r>
        <w:rPr>
          <w:b/>
          <w:bCs/>
          <w:rtl/>
        </w:rPr>
        <w:t>אחרונים</w:t>
      </w:r>
      <w:r>
        <w:rPr>
          <w:rtl/>
        </w:rPr>
        <w:t xml:space="preserve"> כתבו דהתם הוה גזה"כ אחר של 'ימול' אפי' כשיש בהרת, דהא הוה ל"ת ועשה. ולא תליא בגדרי עדל"ת דעלמא.</w:t>
      </w:r>
    </w:p>
  </w:footnote>
  <w:footnote w:id="193">
    <w:p w14:paraId="037ED269" w14:textId="77777777" w:rsidR="00BE1D1C" w:rsidRDefault="00000000" w:rsidP="00012502">
      <w:pPr>
        <w:pStyle w:val="Footnote"/>
        <w:bidi/>
      </w:pPr>
      <w:r>
        <w:rPr>
          <w:rStyle w:val="ac"/>
          <w:rtl/>
        </w:rPr>
        <w:footnoteRef/>
      </w:r>
      <w:r>
        <w:rPr>
          <w:rtl/>
        </w:rPr>
        <w:t>וכן ב</w:t>
      </w:r>
      <w:r>
        <w:rPr>
          <w:b/>
          <w:bCs/>
          <w:rtl/>
        </w:rPr>
        <w:t>רשב"א</w:t>
      </w:r>
      <w:r>
        <w:rPr>
          <w:rtl/>
        </w:rPr>
        <w:t xml:space="preserve"> נקט הלשון מיגו. וב</w:t>
      </w:r>
      <w:r>
        <w:rPr>
          <w:b/>
          <w:bCs/>
          <w:rtl/>
        </w:rPr>
        <w:t xml:space="preserve">חי' הגר"נ </w:t>
      </w:r>
      <w:r>
        <w:rPr>
          <w:rtl/>
        </w:rPr>
        <w:t>כתב דלרשב"א בעינן למיגו משום חסרון 'מין הכנף'.</w:t>
      </w:r>
    </w:p>
  </w:footnote>
  <w:footnote w:id="194">
    <w:p w14:paraId="335ABFEA" w14:textId="77777777" w:rsidR="00BE1D1C" w:rsidRDefault="00000000" w:rsidP="00012502">
      <w:pPr>
        <w:pStyle w:val="Footnote"/>
        <w:bidi/>
      </w:pPr>
      <w:r>
        <w:rPr>
          <w:rStyle w:val="ac"/>
          <w:rtl/>
        </w:rPr>
        <w:footnoteRef/>
      </w:r>
      <w:r>
        <w:rPr>
          <w:rtl/>
        </w:rPr>
        <w:t>[והחזו"א ביאר באופן אחר, ע' בסמוך].</w:t>
      </w:r>
    </w:p>
  </w:footnote>
  <w:footnote w:id="195">
    <w:p w14:paraId="3B814F92" w14:textId="77777777" w:rsidR="00BE1D1C" w:rsidRDefault="00000000" w:rsidP="00012502">
      <w:pPr>
        <w:pStyle w:val="Footnote"/>
        <w:bidi/>
      </w:pPr>
      <w:r>
        <w:rPr>
          <w:rStyle w:val="ac"/>
          <w:rtl/>
        </w:rPr>
        <w:footnoteRef/>
      </w:r>
      <w:r>
        <w:rPr>
          <w:rtl/>
        </w:rPr>
        <w:t>בגמ' (מנחות ה:) אי' מה לכלאים שכן הותר מכללו אצל הדיוט בציצית [משמע ד'הותרה', ע' לקמן גבי בגדי כהונה], והגמ' דוחה דמצוה הוא.</w:t>
      </w:r>
    </w:p>
  </w:footnote>
  <w:footnote w:id="196">
    <w:p w14:paraId="6AD66C87" w14:textId="77777777" w:rsidR="00BE1D1C" w:rsidRDefault="00000000" w:rsidP="00012502">
      <w:pPr>
        <w:pStyle w:val="Footnote"/>
        <w:bidi/>
      </w:pPr>
      <w:r>
        <w:rPr>
          <w:rStyle w:val="ac"/>
          <w:rtl/>
        </w:rPr>
        <w:footnoteRef/>
      </w:r>
      <w:r>
        <w:rPr>
          <w:rtl/>
        </w:rPr>
        <w:t>ולא כתב כסברת התוס' דלא הותר אלא במקום קיום מצוות תכלת. אלא דההיתר על ב' חוטין ולא ד'.</w:t>
      </w:r>
    </w:p>
  </w:footnote>
  <w:footnote w:id="197">
    <w:p w14:paraId="3F0E64BD" w14:textId="77777777" w:rsidR="00BE1D1C" w:rsidRDefault="00000000" w:rsidP="00012502">
      <w:pPr>
        <w:pStyle w:val="Footnote"/>
        <w:bidi/>
      </w:pPr>
      <w:r>
        <w:rPr>
          <w:rStyle w:val="ac"/>
          <w:rtl/>
        </w:rPr>
        <w:footnoteRef/>
      </w:r>
      <w:r>
        <w:rPr>
          <w:rtl/>
        </w:rPr>
        <w:t>וה</w:t>
      </w:r>
      <w:r>
        <w:rPr>
          <w:b/>
          <w:bCs/>
          <w:rtl/>
        </w:rPr>
        <w:t>קובה"ע</w:t>
      </w:r>
      <w:r>
        <w:rPr>
          <w:rtl/>
        </w:rPr>
        <w:t xml:space="preserve"> (ז ד) ביאר דס"ל דבמקום דאין תכלת בעי רק ב' חוטי לבן, ותוס' מנחות לח. דנו בזה. [ודוחק, דא"כ אמאי הטיל ד' חוטין]. ובס' </w:t>
      </w:r>
      <w:r>
        <w:rPr>
          <w:b/>
          <w:bCs/>
          <w:rtl/>
        </w:rPr>
        <w:t>עטרת שמואל</w:t>
      </w:r>
      <w:r>
        <w:rPr>
          <w:rtl/>
        </w:rPr>
        <w:t xml:space="preserve"> מביא בשם ה</w:t>
      </w:r>
      <w:r>
        <w:rPr>
          <w:b/>
          <w:bCs/>
          <w:rtl/>
        </w:rPr>
        <w:t>גרי"ד</w:t>
      </w:r>
      <w:r>
        <w:rPr>
          <w:rtl/>
        </w:rPr>
        <w:t xml:space="preserve"> דחייב ד' חוטים מדין 'גדיל', אבל אין בזה מצוות לבן, ולכן ל"ש מיגו.</w:t>
      </w:r>
    </w:p>
  </w:footnote>
  <w:footnote w:id="198">
    <w:p w14:paraId="263B7D81" w14:textId="77777777" w:rsidR="00BE1D1C" w:rsidRDefault="00000000" w:rsidP="00012502">
      <w:pPr>
        <w:pStyle w:val="Footnote"/>
        <w:bidi/>
      </w:pPr>
      <w:r>
        <w:rPr>
          <w:rStyle w:val="ac"/>
          <w:rtl/>
        </w:rPr>
        <w:footnoteRef/>
      </w:r>
      <w:r>
        <w:rPr>
          <w:rtl/>
        </w:rPr>
        <w:t>וה</w:t>
      </w:r>
      <w:r>
        <w:rPr>
          <w:b/>
          <w:bCs/>
          <w:rtl/>
        </w:rPr>
        <w:t>אחרונים</w:t>
      </w:r>
      <w:r>
        <w:rPr>
          <w:rtl/>
        </w:rPr>
        <w:t xml:space="preserve"> דנו דיש צד דלא אמרי' דכל הבגד נהפך לחפצא דכלאים, ויש כאן איסור נסוף בכל חוט צמר.</w:t>
      </w:r>
    </w:p>
  </w:footnote>
  <w:footnote w:id="199">
    <w:p w14:paraId="534A8558" w14:textId="77777777" w:rsidR="00BE1D1C" w:rsidRDefault="00000000" w:rsidP="00012502">
      <w:pPr>
        <w:pStyle w:val="Footnote"/>
        <w:bidi/>
      </w:pPr>
      <w:r>
        <w:rPr>
          <w:rStyle w:val="ac"/>
          <w:rtl/>
        </w:rPr>
        <w:footnoteRef/>
      </w:r>
      <w:r>
        <w:rPr>
          <w:rtl/>
        </w:rPr>
        <w:t>דלדעת ר"ת כלאים בציצית הוה הותרה. אך ה</w:t>
      </w:r>
      <w:r>
        <w:rPr>
          <w:b/>
          <w:bCs/>
          <w:rtl/>
        </w:rPr>
        <w:t>אחרונים</w:t>
      </w:r>
      <w:r>
        <w:rPr>
          <w:rtl/>
        </w:rPr>
        <w:t xml:space="preserve"> הק' דתוס' (מנחות שם) פליגי על ר"ת. ויש שחילקו דבבגד שהותר בו תכלת, הותר לגמרי. ור"ת הוסיף דאף בשעת פטור, ובזה פליג התוס'.</w:t>
      </w:r>
    </w:p>
  </w:footnote>
  <w:footnote w:id="200">
    <w:p w14:paraId="6CEA65BF" w14:textId="77777777" w:rsidR="00BE1D1C" w:rsidRDefault="00000000" w:rsidP="00012502">
      <w:pPr>
        <w:pStyle w:val="Footnote"/>
        <w:bidi/>
      </w:pPr>
      <w:r>
        <w:rPr>
          <w:rStyle w:val="ac"/>
          <w:rtl/>
        </w:rPr>
        <w:footnoteRef/>
      </w:r>
      <w:r>
        <w:rPr>
          <w:rtl/>
        </w:rPr>
        <w:t xml:space="preserve">וכדמבואר (מנחות מ.) דהיכא דיש לו קלא אילן עובר משום כלאים בחוטי הלבן. וכ"כ </w:t>
      </w:r>
      <w:r>
        <w:rPr>
          <w:b/>
          <w:bCs/>
          <w:rtl/>
        </w:rPr>
        <w:t>תוס</w:t>
      </w:r>
      <w:r>
        <w:rPr>
          <w:rtl/>
        </w:rPr>
        <w:t>' (שם ד"ה כיון) בתי' הא'. ועוד תי' דכוונת הגמ' דאסור מדרבנן כיון דאפשר במינו. [ומדרבנן לא סמכי' על מיגו זה]. א"נ מסקנא לא קיימא הכי.</w:t>
      </w:r>
    </w:p>
  </w:footnote>
  <w:footnote w:id="201">
    <w:p w14:paraId="774E35FD" w14:textId="77777777" w:rsidR="00BE1D1C" w:rsidRDefault="00000000" w:rsidP="00012502">
      <w:pPr>
        <w:pStyle w:val="Footnote"/>
        <w:bidi/>
      </w:pPr>
      <w:r>
        <w:rPr>
          <w:rStyle w:val="ac"/>
          <w:rtl/>
        </w:rPr>
        <w:footnoteRef/>
      </w:r>
      <w:r>
        <w:rPr>
          <w:rtl/>
        </w:rPr>
        <w:t xml:space="preserve">וזה דלא כמ"ש </w:t>
      </w:r>
      <w:r>
        <w:rPr>
          <w:b/>
          <w:bCs/>
          <w:rtl/>
        </w:rPr>
        <w:t>רע"א</w:t>
      </w:r>
      <w:r>
        <w:rPr>
          <w:rtl/>
        </w:rPr>
        <w:t xml:space="preserve"> דכשהבגד בלאו הכי כלאים לא חל היתר כלאים בציצית.</w:t>
      </w:r>
    </w:p>
  </w:footnote>
  <w:footnote w:id="202">
    <w:p w14:paraId="0E7A1071" w14:textId="77777777" w:rsidR="00BE1D1C" w:rsidRDefault="00000000" w:rsidP="00012502">
      <w:pPr>
        <w:pStyle w:val="Footnote"/>
        <w:bidi/>
      </w:pPr>
      <w:r>
        <w:rPr>
          <w:rStyle w:val="ac"/>
          <w:rtl/>
        </w:rPr>
        <w:footnoteRef/>
      </w:r>
      <w:r>
        <w:rPr>
          <w:rtl/>
        </w:rPr>
        <w:t>ודלא כפשטות הסוגיא (בנזיר שם) דאשה מותרת.</w:t>
      </w:r>
    </w:p>
  </w:footnote>
  <w:footnote w:id="203">
    <w:p w14:paraId="7BD57752" w14:textId="77777777" w:rsidR="00BE1D1C" w:rsidRDefault="00000000" w:rsidP="00012502">
      <w:pPr>
        <w:pStyle w:val="Footnote"/>
        <w:bidi/>
      </w:pPr>
      <w:r>
        <w:rPr>
          <w:rStyle w:val="ac"/>
          <w:rtl/>
        </w:rPr>
        <w:footnoteRef/>
      </w:r>
      <w:r>
        <w:rPr>
          <w:rtl/>
        </w:rPr>
        <w:t>וה</w:t>
      </w:r>
      <w:r>
        <w:rPr>
          <w:b/>
          <w:bCs/>
          <w:rtl/>
        </w:rPr>
        <w:t>שער המלך</w:t>
      </w:r>
      <w:r>
        <w:rPr>
          <w:rtl/>
        </w:rPr>
        <w:t xml:space="preserve"> תמה דתגלחת מצורע בעי כהן. ומבואר ב</w:t>
      </w:r>
      <w:r>
        <w:rPr>
          <w:b/>
          <w:bCs/>
          <w:rtl/>
        </w:rPr>
        <w:t xml:space="preserve">רמב"ם </w:t>
      </w:r>
      <w:r>
        <w:rPr>
          <w:rtl/>
        </w:rPr>
        <w:t>(טו"צ יא ג) דאף תגלחת שניה בעי כהן. וה</w:t>
      </w:r>
      <w:r>
        <w:rPr>
          <w:b/>
          <w:bCs/>
          <w:rtl/>
        </w:rPr>
        <w:t xml:space="preserve">רש"ש </w:t>
      </w:r>
      <w:r>
        <w:rPr>
          <w:rtl/>
        </w:rPr>
        <w:t>ו</w:t>
      </w:r>
      <w:r>
        <w:rPr>
          <w:b/>
          <w:bCs/>
          <w:rtl/>
        </w:rPr>
        <w:t>חש"ל</w:t>
      </w:r>
      <w:r>
        <w:rPr>
          <w:rtl/>
        </w:rPr>
        <w:t xml:space="preserve"> (שם) כת' דתוס' איירי בתגלחת שניה, וס"ל דאי"צ כהן. [ולדברי ר' משולם איגרא תוס' לא קאי אמצוות תגלחת, אלא על שאר שערות הראש, ע' בסמוך].</w:t>
      </w:r>
    </w:p>
  </w:footnote>
  <w:footnote w:id="204">
    <w:p w14:paraId="474F6E70" w14:textId="77777777" w:rsidR="00BE1D1C" w:rsidRDefault="00000000" w:rsidP="00012502">
      <w:pPr>
        <w:pStyle w:val="Footnote"/>
        <w:bidi/>
      </w:pPr>
      <w:r>
        <w:rPr>
          <w:rStyle w:val="ac"/>
          <w:rtl/>
        </w:rPr>
        <w:footnoteRef/>
      </w:r>
      <w:r>
        <w:rPr>
          <w:rtl/>
        </w:rPr>
        <w:t>וה</w:t>
      </w:r>
      <w:r>
        <w:rPr>
          <w:b/>
          <w:bCs/>
          <w:rtl/>
        </w:rPr>
        <w:t>אחרונים</w:t>
      </w:r>
      <w:r>
        <w:rPr>
          <w:rtl/>
        </w:rPr>
        <w:t xml:space="preserve"> הביאו דמבואר בדברי תוס' דנחשב אפשר לקיים שניהם ע"י אחר [ולא אמרי' דהמצוה רמי עליה, והוא אינו יכול לגלח בהיתר]. וכן הביאו האחרונים מה</w:t>
      </w:r>
      <w:r>
        <w:rPr>
          <w:b/>
          <w:bCs/>
          <w:rtl/>
        </w:rPr>
        <w:t xml:space="preserve">גמ' </w:t>
      </w:r>
      <w:r>
        <w:rPr>
          <w:rtl/>
        </w:rPr>
        <w:t>(שבת קלג.) גבי מילת בנו שיש בהרת דאי איכא אחר לא דחי [דהאב נתכוון לקציצת בהרת משא"כ אחר].</w:t>
      </w:r>
    </w:p>
    <w:p w14:paraId="4D4C9D06" w14:textId="77777777" w:rsidR="00BE1D1C" w:rsidRDefault="00000000" w:rsidP="00012502">
      <w:pPr>
        <w:pStyle w:val="Footnote"/>
        <w:bidi/>
      </w:pPr>
      <w:r>
        <w:rPr>
          <w:rtl/>
        </w:rPr>
        <w:tab/>
        <w:t xml:space="preserve">אבל בהג' </w:t>
      </w:r>
      <w:r>
        <w:rPr>
          <w:b/>
          <w:bCs/>
          <w:rtl/>
        </w:rPr>
        <w:t>ראמ"ה</w:t>
      </w:r>
      <w:r>
        <w:rPr>
          <w:rtl/>
        </w:rPr>
        <w:t xml:space="preserve"> כת' דלא מקרי אפשר לקיים ב' ע"י אחר, וקציצת בהרת (בשבת שם) שאני, דאף האב רשאי לגלח כשאינו מתכוון,  אלא דלא מצי לכוף את עצמו, ולכן חייב ע"י אחר. [ולפ"ז אף היכא דליכא אחר חייב לכוף עצמו שלא יתכוון, ומש"ה נחשב אפשר לקיים שניהם. אך פשטות הגמ' לא משמע כן].</w:t>
      </w:r>
    </w:p>
  </w:footnote>
  <w:footnote w:id="205">
    <w:p w14:paraId="0F30BCF5" w14:textId="77777777" w:rsidR="00BE1D1C" w:rsidRDefault="00000000" w:rsidP="00012502">
      <w:pPr>
        <w:pStyle w:val="Footnote"/>
        <w:bidi/>
      </w:pPr>
      <w:r>
        <w:rPr>
          <w:rStyle w:val="ac"/>
          <w:rtl/>
        </w:rPr>
        <w:footnoteRef/>
      </w:r>
      <w:r>
        <w:rPr>
          <w:rtl/>
        </w:rPr>
        <w:t>ויש לפרש דלפני תקנת חז"ל באמת היה צריך לגלח ע"י אשה ונכרי. אלא שאחרי התקנה אפשר ע"י ישראל, דאינו אפשר לקיים שניהם. ולכן לא הוזכר בשום מקום דבעינן הקפה ע"י אשה ונכרי.</w:t>
      </w:r>
    </w:p>
  </w:footnote>
  <w:footnote w:id="206">
    <w:p w14:paraId="5BCDCB4F" w14:textId="77777777" w:rsidR="00BE1D1C" w:rsidRDefault="00000000" w:rsidP="00012502">
      <w:pPr>
        <w:pStyle w:val="Footnote"/>
        <w:bidi/>
      </w:pPr>
      <w:r>
        <w:rPr>
          <w:rStyle w:val="ac"/>
          <w:rtl/>
        </w:rPr>
        <w:footnoteRef/>
      </w:r>
      <w:r>
        <w:rPr>
          <w:rtl/>
        </w:rPr>
        <w:t>ויש לדחות דעיקר מצוות גילוח הוה על המתגלח, ואצלו הוה אפשר ע"י אחר. ואינו מצווה על כהן מסויים דנימא דהוה ביטול מצווה היכא דעשאו נכרי.</w:t>
      </w:r>
    </w:p>
  </w:footnote>
  <w:footnote w:id="207">
    <w:p w14:paraId="00FD7A68" w14:textId="77777777" w:rsidR="00BE1D1C" w:rsidRDefault="00000000" w:rsidP="00012502">
      <w:pPr>
        <w:pStyle w:val="Footnote"/>
        <w:bidi/>
      </w:pPr>
      <w:r>
        <w:rPr>
          <w:rStyle w:val="ac"/>
          <w:rtl/>
        </w:rPr>
        <w:footnoteRef/>
      </w:r>
      <w:r>
        <w:rPr>
          <w:rtl/>
        </w:rPr>
        <w:t>[וכל המח' בגמ' (נזיר שם) כלפי קטן, דשייך באיסור].</w:t>
      </w:r>
    </w:p>
  </w:footnote>
  <w:footnote w:id="208">
    <w:p w14:paraId="174DA00E" w14:textId="77777777" w:rsidR="00BE1D1C" w:rsidRDefault="00000000" w:rsidP="00012502">
      <w:pPr>
        <w:pStyle w:val="Footnote"/>
        <w:bidi/>
      </w:pPr>
      <w:r>
        <w:rPr>
          <w:rStyle w:val="ac"/>
          <w:rtl/>
        </w:rPr>
        <w:footnoteRef/>
      </w:r>
      <w:r>
        <w:rPr>
          <w:rtl/>
        </w:rPr>
        <w:t>דאיסור 'מקיף' תליא בניקף. [וכעין מה שהו' בהערה לעיל בשם האבי עזרי].</w:t>
      </w:r>
    </w:p>
  </w:footnote>
  <w:footnote w:id="209">
    <w:p w14:paraId="1801FC60" w14:textId="77777777" w:rsidR="00BE1D1C" w:rsidRDefault="00000000" w:rsidP="00012502">
      <w:pPr>
        <w:pStyle w:val="Footnote"/>
        <w:bidi/>
      </w:pPr>
      <w:r>
        <w:rPr>
          <w:rStyle w:val="ac"/>
          <w:rtl/>
        </w:rPr>
        <w:footnoteRef/>
      </w:r>
      <w:r>
        <w:rPr>
          <w:rtl/>
        </w:rPr>
        <w:t>[וכדאי' ב"ק קה. ונזיר מב. דמצוות גילוח הוה בב' שערות האחרונות]. והביאו שכה"ק בתוס' גורניש, וכתב דאיירי דאין לו אלא שער הפאות. [ולפ"ז אל"כ צריך ע"י סם וכדו'. ודוחק].</w:t>
      </w:r>
    </w:p>
  </w:footnote>
  <w:footnote w:id="210">
    <w:p w14:paraId="1F3BB233" w14:textId="77777777" w:rsidR="00BE1D1C" w:rsidRDefault="00000000" w:rsidP="00012502">
      <w:pPr>
        <w:pStyle w:val="Footnote"/>
        <w:bidi/>
      </w:pPr>
      <w:r>
        <w:rPr>
          <w:rStyle w:val="ac"/>
          <w:rtl/>
        </w:rPr>
        <w:footnoteRef/>
      </w:r>
      <w:r>
        <w:rPr>
          <w:rtl/>
        </w:rPr>
        <w:t>וכ"כ ה</w:t>
      </w:r>
      <w:r>
        <w:rPr>
          <w:b/>
          <w:bCs/>
          <w:rtl/>
        </w:rPr>
        <w:t>טור"א</w:t>
      </w:r>
      <w:r>
        <w:rPr>
          <w:rtl/>
        </w:rPr>
        <w:t xml:space="preserve"> (חגיגה ב:) דנחשב חלק ממעשה המצווה כיון דא"א בענין אחר.</w:t>
      </w:r>
    </w:p>
  </w:footnote>
  <w:footnote w:id="211">
    <w:p w14:paraId="50301D04" w14:textId="77777777" w:rsidR="00BE1D1C" w:rsidRDefault="00000000" w:rsidP="00012502">
      <w:pPr>
        <w:pStyle w:val="Footnote"/>
        <w:bidi/>
      </w:pPr>
      <w:r>
        <w:rPr>
          <w:rStyle w:val="ac"/>
          <w:rtl/>
        </w:rPr>
        <w:footnoteRef/>
      </w:r>
      <w:r>
        <w:rPr>
          <w:rtl/>
        </w:rPr>
        <w:t>וה</w:t>
      </w:r>
      <w:r>
        <w:rPr>
          <w:b/>
          <w:bCs/>
          <w:rtl/>
        </w:rPr>
        <w:t>רמב"ם</w:t>
      </w:r>
      <w:r>
        <w:rPr>
          <w:rtl/>
        </w:rPr>
        <w:t xml:space="preserve"> (ע"ז יב א) פסק דהקפת כל הראש שמיה הקפה [וכשמואל נזיר נז:].</w:t>
      </w:r>
    </w:p>
  </w:footnote>
  <w:footnote w:id="212">
    <w:p w14:paraId="60D5F369" w14:textId="77777777" w:rsidR="00BE1D1C" w:rsidRDefault="00000000" w:rsidP="00012502">
      <w:pPr>
        <w:pStyle w:val="Footnote"/>
        <w:bidi/>
      </w:pPr>
      <w:r>
        <w:rPr>
          <w:rStyle w:val="ac"/>
          <w:rtl/>
        </w:rPr>
        <w:footnoteRef/>
      </w:r>
      <w:r>
        <w:rPr>
          <w:rtl/>
        </w:rPr>
        <w:t>והוסיפו האחרונים דלדעת הסמ"ג עובר על כל ב' שערות. [ויל"פ כוונתו דבלא התראות מחלקות נחשב מעשה א', ע' ר"ן נדרים יז].</w:t>
      </w:r>
    </w:p>
  </w:footnote>
  <w:footnote w:id="213">
    <w:p w14:paraId="0AE7FA49" w14:textId="77777777" w:rsidR="00BE1D1C" w:rsidRDefault="00000000" w:rsidP="00012502">
      <w:pPr>
        <w:pStyle w:val="Footnote"/>
        <w:bidi/>
      </w:pPr>
      <w:r>
        <w:rPr>
          <w:rStyle w:val="ac"/>
          <w:rtl/>
        </w:rPr>
        <w:footnoteRef/>
      </w:r>
      <w:r>
        <w:rPr>
          <w:rtl/>
        </w:rPr>
        <w:t>וה</w:t>
      </w:r>
      <w:r>
        <w:rPr>
          <w:b/>
          <w:bCs/>
          <w:rtl/>
        </w:rPr>
        <w:t>אחרונים</w:t>
      </w:r>
      <w:r>
        <w:rPr>
          <w:rtl/>
        </w:rPr>
        <w:t xml:space="preserve"> העירו דהר"ן איירי בעובר בב' לאוין [בב' מעשים חלוקים], אבל לענין דחייה לא מצאנו דחמור.</w:t>
      </w:r>
    </w:p>
  </w:footnote>
  <w:footnote w:id="214">
    <w:p w14:paraId="00796EA8" w14:textId="77777777" w:rsidR="00BE1D1C" w:rsidRDefault="00000000" w:rsidP="00012502">
      <w:pPr>
        <w:pStyle w:val="Footnote"/>
        <w:bidi/>
      </w:pPr>
      <w:r>
        <w:rPr>
          <w:rStyle w:val="ac"/>
          <w:rtl/>
        </w:rPr>
        <w:footnoteRef/>
      </w:r>
      <w:r>
        <w:rPr>
          <w:rtl/>
        </w:rPr>
        <w:t>אבל דעת ה</w:t>
      </w:r>
      <w:r>
        <w:rPr>
          <w:b/>
          <w:bCs/>
          <w:rtl/>
        </w:rPr>
        <w:t>ר"ש מקינון</w:t>
      </w:r>
      <w:r>
        <w:rPr>
          <w:rtl/>
        </w:rPr>
        <w:t xml:space="preserve"> דעשה דוחה לאו שיש בו כרת, ואינו דוחה ב' לאוין. ע' לקמן ז.</w:t>
      </w:r>
    </w:p>
  </w:footnote>
  <w:footnote w:id="215">
    <w:p w14:paraId="4D96D5FB" w14:textId="77777777" w:rsidR="00BE1D1C" w:rsidRDefault="00000000" w:rsidP="00012502">
      <w:pPr>
        <w:pStyle w:val="Footnote"/>
        <w:bidi/>
      </w:pPr>
      <w:r>
        <w:rPr>
          <w:rStyle w:val="ac"/>
          <w:rtl/>
        </w:rPr>
        <w:footnoteRef/>
      </w:r>
      <w:r>
        <w:rPr>
          <w:rtl/>
        </w:rPr>
        <w:t>האם 'אינו שווה בכל' הוא סברא דהעשה חמור מהלאו, או דלאו כזה נדחה בקל. וה</w:t>
      </w:r>
      <w:r>
        <w:rPr>
          <w:b/>
          <w:bCs/>
          <w:rtl/>
        </w:rPr>
        <w:t>אחרונים</w:t>
      </w:r>
      <w:r>
        <w:rPr>
          <w:rtl/>
        </w:rPr>
        <w:t xml:space="preserve"> דייקו בזה מדברי הראשונים. ואכמ"ל.</w:t>
      </w:r>
    </w:p>
  </w:footnote>
  <w:footnote w:id="216">
    <w:p w14:paraId="2E9BEBCE" w14:textId="77777777" w:rsidR="00BE1D1C" w:rsidRDefault="00000000" w:rsidP="00012502">
      <w:pPr>
        <w:pStyle w:val="Footnote"/>
        <w:bidi/>
      </w:pPr>
      <w:r>
        <w:rPr>
          <w:rStyle w:val="ac"/>
          <w:rtl/>
        </w:rPr>
        <w:footnoteRef/>
      </w:r>
      <w:r>
        <w:rPr>
          <w:rtl/>
        </w:rPr>
        <w:t>דכל הנשים ראויין להיות אלמנה [הוה מחצה], ועוד הכה"ג מצווה.</w:t>
      </w:r>
    </w:p>
  </w:footnote>
  <w:footnote w:id="217">
    <w:p w14:paraId="2EB2192D" w14:textId="77777777" w:rsidR="00BE1D1C" w:rsidRDefault="00000000" w:rsidP="00012502">
      <w:pPr>
        <w:pStyle w:val="Footnote"/>
        <w:bidi/>
      </w:pPr>
      <w:r>
        <w:rPr>
          <w:rStyle w:val="ac"/>
          <w:rtl/>
        </w:rPr>
        <w:footnoteRef/>
      </w:r>
      <w:r>
        <w:rPr>
          <w:rtl/>
        </w:rPr>
        <w:t>אבל ב</w:t>
      </w:r>
      <w:r>
        <w:rPr>
          <w:b/>
          <w:bCs/>
          <w:rtl/>
        </w:rPr>
        <w:t>חי' הר"ן</w:t>
      </w:r>
      <w:r>
        <w:rPr>
          <w:rtl/>
        </w:rPr>
        <w:t xml:space="preserve"> (סנהדרין יח:) הביא בשם </w:t>
      </w:r>
      <w:r>
        <w:rPr>
          <w:b/>
          <w:bCs/>
          <w:rtl/>
        </w:rPr>
        <w:t>תוס</w:t>
      </w:r>
      <w:r>
        <w:rPr>
          <w:rtl/>
        </w:rPr>
        <w:t>' דעשה דיבום אינו שווה בכל דליתא במלך. ומבואר דנחשב אינו שווה בכל משום יחיד.</w:t>
      </w:r>
    </w:p>
  </w:footnote>
  <w:footnote w:id="218">
    <w:p w14:paraId="017C96F0" w14:textId="77777777" w:rsidR="00BE1D1C" w:rsidRDefault="00000000" w:rsidP="00012502">
      <w:pPr>
        <w:pStyle w:val="Footnote"/>
        <w:bidi/>
      </w:pPr>
      <w:r>
        <w:rPr>
          <w:rStyle w:val="ac"/>
          <w:rtl/>
        </w:rPr>
        <w:footnoteRef/>
      </w:r>
      <w:r>
        <w:rPr>
          <w:rtl/>
        </w:rPr>
        <w:t>והעשה [אף שהוא אינו שווה בכל] מסייע לל"ת שלא ידחה. [וזה לא יתכן לדעת הריב"א דבל"ת ועשה הל"ת נדחה].</w:t>
      </w:r>
    </w:p>
  </w:footnote>
  <w:footnote w:id="219">
    <w:p w14:paraId="23B72285" w14:textId="77777777" w:rsidR="00BE1D1C" w:rsidRDefault="00000000" w:rsidP="00012502">
      <w:pPr>
        <w:pStyle w:val="Footnote"/>
        <w:bidi/>
      </w:pPr>
      <w:r>
        <w:rPr>
          <w:rStyle w:val="ac"/>
          <w:rtl/>
        </w:rPr>
        <w:footnoteRef/>
      </w:r>
      <w:r>
        <w:rPr>
          <w:rtl/>
        </w:rPr>
        <w:t>דבגמ' (שם) אי' דמטעם זה עשה דמצורע עדיף נגד עשה דשילוח הקן, ולא אמרי' מאי אולמי האי עשה מהאי עשה. אך ה</w:t>
      </w:r>
      <w:r>
        <w:rPr>
          <w:b/>
          <w:bCs/>
          <w:rtl/>
        </w:rPr>
        <w:t>אחרונים</w:t>
      </w:r>
      <w:r>
        <w:rPr>
          <w:rtl/>
        </w:rPr>
        <w:t xml:space="preserve"> הק' דמשמע התם דל"מ במקום ל"ת ועשה.</w:t>
      </w:r>
    </w:p>
  </w:footnote>
  <w:footnote w:id="220">
    <w:p w14:paraId="43B41E09" w14:textId="77777777" w:rsidR="00BE1D1C" w:rsidRDefault="00000000" w:rsidP="00012502">
      <w:pPr>
        <w:pStyle w:val="Footnote"/>
        <w:bidi/>
      </w:pPr>
      <w:r>
        <w:rPr>
          <w:rStyle w:val="ac"/>
          <w:rtl/>
        </w:rPr>
        <w:footnoteRef/>
      </w:r>
      <w:r>
        <w:rPr>
          <w:rtl/>
        </w:rPr>
        <w:t>אך ה</w:t>
      </w:r>
      <w:r>
        <w:rPr>
          <w:b/>
          <w:bCs/>
          <w:rtl/>
        </w:rPr>
        <w:t xml:space="preserve">אבנ"מ </w:t>
      </w:r>
      <w:r>
        <w:rPr>
          <w:rtl/>
        </w:rPr>
        <w:t>(שו"ת כב) הביא דבימי ספורו לכו"ע אסור. וב</w:t>
      </w:r>
      <w:r>
        <w:rPr>
          <w:b/>
          <w:bCs/>
          <w:rtl/>
        </w:rPr>
        <w:t>הג"ה</w:t>
      </w:r>
      <w:r>
        <w:rPr>
          <w:rtl/>
        </w:rPr>
        <w:t xml:space="preserve"> (שם) תמה דכיון דאין לו טהרה לעולם [דאינו רשאי לגלח], לא יספור ולא יאסור.</w:t>
      </w:r>
    </w:p>
  </w:footnote>
  <w:footnote w:id="221">
    <w:p w14:paraId="6FF11CD1" w14:textId="77777777" w:rsidR="00BE1D1C" w:rsidRDefault="00000000" w:rsidP="00012502">
      <w:pPr>
        <w:pStyle w:val="Footnote"/>
        <w:bidi/>
      </w:pPr>
      <w:r>
        <w:rPr>
          <w:rStyle w:val="ac"/>
          <w:rtl/>
        </w:rPr>
        <w:footnoteRef/>
      </w:r>
      <w:r>
        <w:rPr>
          <w:rtl/>
        </w:rPr>
        <w:t>וה</w:t>
      </w:r>
      <w:r>
        <w:rPr>
          <w:b/>
          <w:bCs/>
          <w:rtl/>
        </w:rPr>
        <w:t>תוס' הרא"ש</w:t>
      </w:r>
      <w:r>
        <w:rPr>
          <w:rtl/>
        </w:rPr>
        <w:t xml:space="preserve"> וכן ה</w:t>
      </w:r>
      <w:r>
        <w:rPr>
          <w:b/>
          <w:bCs/>
          <w:rtl/>
        </w:rPr>
        <w:t>מהרש"א</w:t>
      </w:r>
      <w:r>
        <w:rPr>
          <w:rtl/>
        </w:rPr>
        <w:t xml:space="preserve"> מחקו כ"ז מרש"י.</w:t>
      </w:r>
    </w:p>
  </w:footnote>
  <w:footnote w:id="222">
    <w:p w14:paraId="0FEB627C" w14:textId="77777777" w:rsidR="00BE1D1C" w:rsidRDefault="00000000" w:rsidP="00012502">
      <w:pPr>
        <w:pStyle w:val="Footnote"/>
        <w:bidi/>
      </w:pPr>
      <w:r>
        <w:rPr>
          <w:rStyle w:val="ac"/>
          <w:rtl/>
        </w:rPr>
        <w:footnoteRef/>
      </w:r>
      <w:r>
        <w:rPr>
          <w:rtl/>
        </w:rPr>
        <w:t>[וכ"ד המהרי"ט]. [והאחרונים האריכו בזה, ואכ"מ].</w:t>
      </w:r>
    </w:p>
  </w:footnote>
  <w:footnote w:id="223">
    <w:p w14:paraId="542DD988" w14:textId="77777777" w:rsidR="00BE1D1C" w:rsidRDefault="00000000" w:rsidP="00012502">
      <w:pPr>
        <w:pStyle w:val="Footnote"/>
        <w:bidi/>
      </w:pPr>
      <w:r>
        <w:rPr>
          <w:rStyle w:val="ac"/>
          <w:rtl/>
        </w:rPr>
        <w:footnoteRef/>
      </w:r>
      <w:r>
        <w:rPr>
          <w:rtl/>
        </w:rPr>
        <w:t>ויל"ד דמ"מ כל אדם ראוי להיות נזיר.</w:t>
      </w:r>
    </w:p>
  </w:footnote>
  <w:footnote w:id="224">
    <w:p w14:paraId="7DFF0FDE" w14:textId="77777777" w:rsidR="00BE1D1C" w:rsidRDefault="00000000" w:rsidP="00012502">
      <w:pPr>
        <w:pStyle w:val="Footnote"/>
        <w:bidi/>
      </w:pPr>
      <w:r>
        <w:rPr>
          <w:rStyle w:val="ac"/>
          <w:rtl/>
        </w:rPr>
        <w:footnoteRef/>
      </w:r>
      <w:r>
        <w:rPr>
          <w:rtl/>
        </w:rPr>
        <w:t>וב</w:t>
      </w:r>
      <w:r>
        <w:rPr>
          <w:b/>
          <w:bCs/>
          <w:rtl/>
        </w:rPr>
        <w:t>מל"ה</w:t>
      </w:r>
      <w:r>
        <w:rPr>
          <w:rtl/>
        </w:rPr>
        <w:t xml:space="preserve"> הקשה דאדרבה מבואר דדחי אף דיש לו מתירין.</w:t>
      </w:r>
    </w:p>
  </w:footnote>
  <w:footnote w:id="225">
    <w:p w14:paraId="3D10B335" w14:textId="77777777" w:rsidR="00BE1D1C" w:rsidRDefault="00000000" w:rsidP="00012502">
      <w:pPr>
        <w:pStyle w:val="Footnote"/>
        <w:bidi/>
      </w:pPr>
      <w:r>
        <w:rPr>
          <w:rStyle w:val="ac"/>
          <w:rtl/>
        </w:rPr>
        <w:footnoteRef/>
      </w:r>
      <w:r>
        <w:rPr>
          <w:rtl/>
        </w:rPr>
        <w:t>וה</w:t>
      </w:r>
      <w:r>
        <w:rPr>
          <w:b/>
          <w:bCs/>
          <w:rtl/>
        </w:rPr>
        <w:t>קוב"ש</w:t>
      </w:r>
      <w:r>
        <w:rPr>
          <w:rtl/>
        </w:rPr>
        <w:t xml:space="preserve"> (קו' דברי סופרים) תי' דהטעם דאיתא בשאלה הוא טעם דהל"ת נדחה. אבל עדיין יש נידון דמאי אולמי.</w:t>
      </w:r>
    </w:p>
  </w:footnote>
  <w:footnote w:id="226">
    <w:p w14:paraId="44B7BFF6" w14:textId="77777777" w:rsidR="00BE1D1C" w:rsidRDefault="00000000" w:rsidP="00012502">
      <w:pPr>
        <w:pStyle w:val="Footnote"/>
        <w:bidi/>
      </w:pPr>
      <w:r>
        <w:rPr>
          <w:rStyle w:val="ac"/>
          <w:rtl/>
        </w:rPr>
        <w:footnoteRef/>
      </w:r>
      <w:r>
        <w:rPr>
          <w:rtl/>
        </w:rPr>
        <w:t>יל"פ דבגדרי 'מה מצינו' ילפי' ממצורע לכה"ת, ולא דנים מסברא דחמיר. אלא כיון דאיכא למיפרך איכא בשאלה פרכינן. [ול"ש ללמוד מה מצינו לעשה דסוכה ידחה נדרים, דאינו פרשה בתורה].</w:t>
      </w:r>
    </w:p>
  </w:footnote>
  <w:footnote w:id="227">
    <w:p w14:paraId="584C13B0" w14:textId="77777777" w:rsidR="00BE1D1C" w:rsidRDefault="00000000" w:rsidP="00012502">
      <w:pPr>
        <w:pStyle w:val="Footnote"/>
        <w:bidi/>
      </w:pPr>
      <w:r>
        <w:rPr>
          <w:rStyle w:val="ac"/>
          <w:rtl/>
        </w:rPr>
        <w:footnoteRef/>
      </w:r>
      <w:r>
        <w:rPr>
          <w:rtl/>
        </w:rPr>
        <w:t>וה</w:t>
      </w:r>
      <w:r>
        <w:rPr>
          <w:b/>
          <w:bCs/>
          <w:rtl/>
        </w:rPr>
        <w:t>מנח"ח</w:t>
      </w:r>
      <w:r>
        <w:rPr>
          <w:rtl/>
        </w:rPr>
        <w:t xml:space="preserve"> (שעג ו) כתב דלפ"ז אין עשה כלל בימים אלו, ומותר לגלח בסם [דהוה רק איסור עשה]. אבל ה</w:t>
      </w:r>
      <w:r>
        <w:rPr>
          <w:b/>
          <w:bCs/>
          <w:rtl/>
        </w:rPr>
        <w:t>חזו"א</w:t>
      </w:r>
      <w:r>
        <w:rPr>
          <w:rtl/>
        </w:rPr>
        <w:t xml:space="preserve"> (קמ יט) דן דלעולם יש בזה עשה ורק לענין הא דל"ת ועשה אלים, לא אמרי' בימים אלו [ועד"ז מש"כ האחרונים בסמוך]. </w:t>
      </w:r>
      <w:r>
        <w:rPr>
          <w:i/>
          <w:iCs/>
          <w:rtl/>
        </w:rPr>
        <w:t>א"נ</w:t>
      </w:r>
      <w:r>
        <w:rPr>
          <w:rtl/>
        </w:rPr>
        <w:t xml:space="preserve"> הוה איסור בעלמא. </w:t>
      </w:r>
      <w:r>
        <w:rPr>
          <w:i/>
          <w:iCs/>
          <w:rtl/>
        </w:rPr>
        <w:t>ועוד</w:t>
      </w:r>
      <w:r>
        <w:rPr>
          <w:rtl/>
        </w:rPr>
        <w:t xml:space="preserve"> צידד החזו"א דרק לענין דיני תגלחת המצורע אמרי' כן, כיון דהצרעת דחי לנזירות, וה"ה לכל דיניו.</w:t>
      </w:r>
    </w:p>
  </w:footnote>
  <w:footnote w:id="228">
    <w:p w14:paraId="799C202D" w14:textId="77777777" w:rsidR="00BE1D1C" w:rsidRDefault="00000000" w:rsidP="00012502">
      <w:pPr>
        <w:pStyle w:val="Footnote"/>
        <w:bidi/>
      </w:pPr>
      <w:r>
        <w:rPr>
          <w:rStyle w:val="ac"/>
          <w:rtl/>
        </w:rPr>
        <w:footnoteRef/>
      </w:r>
      <w:r>
        <w:rPr>
          <w:rtl/>
        </w:rPr>
        <w:t>וה</w:t>
      </w:r>
      <w:r>
        <w:rPr>
          <w:b/>
          <w:bCs/>
          <w:rtl/>
        </w:rPr>
        <w:t>רדב"ז</w:t>
      </w:r>
      <w:r>
        <w:rPr>
          <w:rtl/>
        </w:rPr>
        <w:t xml:space="preserve"> כתב דנפק"מ בטעם הרמב"ם בנזירות שמשון דליתא בשאלה [ועדיין צ"ב דהגמ' לא אמרה כטעם הרמב"ם, דאין כאן עשה כלל]. אבל ה</w:t>
      </w:r>
      <w:r>
        <w:rPr>
          <w:b/>
          <w:bCs/>
          <w:rtl/>
        </w:rPr>
        <w:t>טור"א</w:t>
      </w:r>
      <w:r>
        <w:rPr>
          <w:rtl/>
        </w:rPr>
        <w:t xml:space="preserve"> (ר"ה כח:) כתב דאפי' נזירות שמשון נדחה, דשם נזירות חד ואיתא בשאלה.</w:t>
      </w:r>
    </w:p>
  </w:footnote>
  <w:footnote w:id="229">
    <w:p w14:paraId="758B44FF" w14:textId="77777777" w:rsidR="00BE1D1C" w:rsidRDefault="00000000" w:rsidP="00012502">
      <w:pPr>
        <w:pStyle w:val="Footnote"/>
        <w:bidi/>
      </w:pPr>
      <w:r>
        <w:rPr>
          <w:rStyle w:val="ac"/>
          <w:rtl/>
        </w:rPr>
        <w:footnoteRef/>
      </w:r>
      <w:r>
        <w:rPr>
          <w:rtl/>
        </w:rPr>
        <w:t>דבגמ' (ברכות כז.) איתא דהיו לפניו ב' תפילות, מנחה ומוסף, מנחה קודם משום דתדיר. ולא אמרי' דקודם משום דשוה בכל. אבל מוסף אינו שווה בנשים כיון דאינן שוקלות ואין להם חלק בקרבנות ציבור.</w:t>
      </w:r>
    </w:p>
  </w:footnote>
  <w:footnote w:id="230">
    <w:p w14:paraId="7AE2E524" w14:textId="77777777" w:rsidR="00BE1D1C" w:rsidRDefault="00000000" w:rsidP="00012502">
      <w:pPr>
        <w:pStyle w:val="Footnote"/>
        <w:bidi/>
      </w:pPr>
      <w:r>
        <w:rPr>
          <w:rStyle w:val="ac"/>
          <w:rtl/>
        </w:rPr>
        <w:footnoteRef/>
      </w:r>
      <w:r>
        <w:rPr>
          <w:rtl/>
        </w:rPr>
        <w:t>וה</w:t>
      </w:r>
      <w:r>
        <w:rPr>
          <w:b/>
          <w:bCs/>
          <w:rtl/>
        </w:rPr>
        <w:t>אחרונים</w:t>
      </w:r>
      <w:r>
        <w:rPr>
          <w:rtl/>
        </w:rPr>
        <w:t xml:space="preserve"> האריכו בזה. [וב</w:t>
      </w:r>
      <w:r>
        <w:rPr>
          <w:b/>
          <w:bCs/>
          <w:rtl/>
        </w:rPr>
        <w:t>חי' ר' שמואל</w:t>
      </w:r>
      <w:r>
        <w:rPr>
          <w:rtl/>
        </w:rPr>
        <w:t xml:space="preserve"> (ו) כתב דבנדר עובר בכל היוצא מפיו אף כשנדחה, דהותר לו לעבור על דיבורו ומ"מ הרי עבר על דיבורו. אבל לצד דנזירות הוה איסור בחפצא א"כ לא קיבל על עצמו כל דבר, אלא שלא לעבור על דין נזירותו, וכיון דנדחה אינו סותר דין הנזירות. ועפ"ז יישב דלרמב"ם לשיטתו ל"ש לדון מצד עשה דכל היוצא מפיו, ורק הגמ' קאי מצד זה].</w:t>
      </w:r>
    </w:p>
  </w:footnote>
  <w:footnote w:id="231">
    <w:p w14:paraId="6D7D95AE" w14:textId="77777777" w:rsidR="00BE1D1C" w:rsidRDefault="00000000" w:rsidP="00012502">
      <w:pPr>
        <w:pStyle w:val="Footnote"/>
        <w:bidi/>
      </w:pPr>
      <w:r>
        <w:rPr>
          <w:rStyle w:val="ac"/>
          <w:rtl/>
        </w:rPr>
        <w:footnoteRef/>
      </w:r>
      <w:r>
        <w:rPr>
          <w:rtl/>
        </w:rPr>
        <w:t>ואף דנשים אינו מצוות על העשה, מ"מ הוה 'עשה שיש עמו לאו' ואלים.</w:t>
      </w:r>
    </w:p>
  </w:footnote>
  <w:footnote w:id="232">
    <w:p w14:paraId="05E41AF1" w14:textId="77777777" w:rsidR="00BE1D1C" w:rsidRDefault="00000000" w:rsidP="00012502">
      <w:pPr>
        <w:pStyle w:val="Footnote"/>
        <w:bidi/>
      </w:pPr>
      <w:r>
        <w:rPr>
          <w:rStyle w:val="ac"/>
          <w:rtl/>
        </w:rPr>
        <w:footnoteRef/>
      </w:r>
      <w:r>
        <w:rPr>
          <w:rtl/>
        </w:rPr>
        <w:t>אף דבלא יו"ט אמרי' דעשה דכיסוי דוחה ל"ת דחרישת כלאים [כשאין לו עפר אחר].</w:t>
      </w:r>
    </w:p>
  </w:footnote>
  <w:footnote w:id="233">
    <w:p w14:paraId="1AEA443A" w14:textId="77777777" w:rsidR="00BE1D1C" w:rsidRDefault="00000000" w:rsidP="00012502">
      <w:pPr>
        <w:pStyle w:val="Footnote"/>
        <w:bidi/>
      </w:pPr>
      <w:r>
        <w:rPr>
          <w:rStyle w:val="ac"/>
          <w:rtl/>
        </w:rPr>
        <w:footnoteRef/>
      </w:r>
      <w:r>
        <w:rPr>
          <w:rtl/>
        </w:rPr>
        <w:t>וה</w:t>
      </w:r>
      <w:r>
        <w:rPr>
          <w:b/>
          <w:bCs/>
          <w:rtl/>
        </w:rPr>
        <w:t>קובה"ע</w:t>
      </w:r>
      <w:r>
        <w:rPr>
          <w:rtl/>
        </w:rPr>
        <w:t xml:space="preserve"> (סט י) דן עפ"ז דאף במקום דהוה ספק, ואסור לו מחמת הספק, ילקה בתורת ודאי, דלא נדחה הל"ת.</w:t>
      </w:r>
    </w:p>
  </w:footnote>
  <w:footnote w:id="234">
    <w:p w14:paraId="28483326" w14:textId="77777777" w:rsidR="00BE1D1C" w:rsidRDefault="00000000" w:rsidP="00012502">
      <w:pPr>
        <w:pStyle w:val="Footnote"/>
        <w:bidi/>
      </w:pPr>
      <w:r>
        <w:rPr>
          <w:rStyle w:val="ac"/>
          <w:rtl/>
        </w:rPr>
        <w:footnoteRef/>
      </w:r>
      <w:r>
        <w:rPr>
          <w:rtl/>
        </w:rPr>
        <w:t>דה"נ דחי ללאו הבא מכלל עשה לחוד, ומ"ש היכא דהוה בהדי ל"ת לא דחי.</w:t>
      </w:r>
    </w:p>
  </w:footnote>
  <w:footnote w:id="235">
    <w:p w14:paraId="74DEF69E" w14:textId="77777777" w:rsidR="00BE1D1C" w:rsidRDefault="00000000" w:rsidP="00012502">
      <w:pPr>
        <w:pStyle w:val="Footnote"/>
        <w:bidi/>
      </w:pPr>
      <w:r>
        <w:rPr>
          <w:rStyle w:val="ac"/>
          <w:rtl/>
        </w:rPr>
        <w:footnoteRef/>
      </w:r>
      <w:r>
        <w:rPr>
          <w:rtl/>
        </w:rPr>
        <w:t>וכן מוכח לסברת הריב"א דהל"ת נדחה, ונשאר עשה נגד עשה. אבל לרשב"א עשה דוחה לאו הבא מכלל עשה [היפך סברת ריב"א].</w:t>
      </w:r>
    </w:p>
  </w:footnote>
  <w:footnote w:id="236">
    <w:p w14:paraId="28A805FC" w14:textId="77777777" w:rsidR="00BE1D1C" w:rsidRDefault="00000000" w:rsidP="00012502">
      <w:pPr>
        <w:pStyle w:val="Footnote"/>
        <w:bidi/>
      </w:pPr>
      <w:r>
        <w:rPr>
          <w:rStyle w:val="ac"/>
          <w:rtl/>
        </w:rPr>
        <w:footnoteRef/>
      </w:r>
      <w:r>
        <w:rPr>
          <w:rtl/>
        </w:rPr>
        <w:t>אבל ה</w:t>
      </w:r>
      <w:r>
        <w:rPr>
          <w:b/>
          <w:bCs/>
          <w:rtl/>
        </w:rPr>
        <w:t>תוס' שאנ"ץ</w:t>
      </w:r>
      <w:r>
        <w:rPr>
          <w:rtl/>
        </w:rPr>
        <w:t xml:space="preserve"> (בשיטמ"ק שם) הביא</w:t>
      </w:r>
      <w:r>
        <w:rPr>
          <w:b/>
          <w:bCs/>
          <w:rtl/>
        </w:rPr>
        <w:t xml:space="preserve"> י"מ </w:t>
      </w:r>
      <w:r>
        <w:rPr>
          <w:rtl/>
        </w:rPr>
        <w:t>דהשבת אבידה אינו שווה בכל, דליתא בזקן דאינו לפי כבודו ואשה דכל כבודה פנימה.</w:t>
      </w:r>
    </w:p>
  </w:footnote>
  <w:footnote w:id="237">
    <w:p w14:paraId="50FA4E51" w14:textId="77777777" w:rsidR="00BE1D1C" w:rsidRDefault="00000000" w:rsidP="00012502">
      <w:pPr>
        <w:pStyle w:val="Footnote"/>
        <w:bidi/>
      </w:pPr>
      <w:r>
        <w:rPr>
          <w:rStyle w:val="ac"/>
          <w:rtl/>
        </w:rPr>
        <w:footnoteRef/>
      </w:r>
      <w:r>
        <w:rPr>
          <w:rtl/>
        </w:rPr>
        <w:t>וחתנו של הנוב"י (שם) הקשה על הרמב"ם, דכיון דדינו שב ואל תעשה, א"כ הוה מצוה הבא בעבירה, ולא קיים מצוה כלל.</w:t>
      </w:r>
    </w:p>
  </w:footnote>
  <w:footnote w:id="238">
    <w:p w14:paraId="2D9B54FD" w14:textId="77777777" w:rsidR="00BE1D1C" w:rsidRDefault="00000000" w:rsidP="00012502">
      <w:pPr>
        <w:pStyle w:val="Footnote"/>
        <w:bidi/>
      </w:pPr>
      <w:r>
        <w:rPr>
          <w:rStyle w:val="ac"/>
          <w:rtl/>
        </w:rPr>
        <w:footnoteRef/>
      </w:r>
      <w:r>
        <w:rPr>
          <w:rtl/>
        </w:rPr>
        <w:t>אבל ל"ת ועשה הל"ת לא נדחה, ודלא כדעת ריב"א.</w:t>
      </w:r>
    </w:p>
  </w:footnote>
  <w:footnote w:id="239">
    <w:p w14:paraId="3B184667" w14:textId="77777777" w:rsidR="00BE1D1C" w:rsidRDefault="00000000" w:rsidP="00012502">
      <w:pPr>
        <w:pStyle w:val="Footnote"/>
        <w:bidi/>
      </w:pPr>
      <w:r>
        <w:rPr>
          <w:rStyle w:val="ac"/>
          <w:rtl/>
        </w:rPr>
        <w:footnoteRef/>
      </w:r>
      <w:r>
        <w:rPr>
          <w:rtl/>
        </w:rPr>
        <w:t>ו</w:t>
      </w:r>
      <w:r>
        <w:rPr>
          <w:b/>
          <w:bCs/>
          <w:rtl/>
        </w:rPr>
        <w:t>רש"י</w:t>
      </w:r>
      <w:r>
        <w:rPr>
          <w:rtl/>
        </w:rPr>
        <w:t xml:space="preserve"> (עה"ת ויקרא יט יט) דרש שעטנז לרבות לבדים, שיהא שוע טווי ונוז. וה</w:t>
      </w:r>
      <w:r>
        <w:rPr>
          <w:b/>
          <w:bCs/>
          <w:rtl/>
        </w:rPr>
        <w:t>רמב"ן</w:t>
      </w:r>
      <w:r>
        <w:rPr>
          <w:rtl/>
        </w:rPr>
        <w:t xml:space="preserve"> (שם) חלק דלבדים הם שוע לחוד [כדתנן כלאים ט ט], ומש"ה אסורין רק מדרבנן. והרמב"ן כת' דמקור דרשת רש"י מתו"כ דדרשי' 'לא תלבש שעטנז' לרבות אף דבר שאינו בגד, ובלבד שיהא שוע טווי ונוז [ונקט לבדים דהוה בגד לאסמכתא בעלמא, דהם דרבנן].</w:t>
      </w:r>
    </w:p>
  </w:footnote>
  <w:footnote w:id="240">
    <w:p w14:paraId="2D51A4C0" w14:textId="77777777" w:rsidR="00BE1D1C" w:rsidRDefault="00000000" w:rsidP="00012502">
      <w:pPr>
        <w:pStyle w:val="Footnote"/>
        <w:bidi/>
      </w:pPr>
      <w:r>
        <w:rPr>
          <w:rStyle w:val="ac"/>
          <w:rtl/>
        </w:rPr>
        <w:footnoteRef/>
      </w:r>
      <w:r>
        <w:rPr>
          <w:rtl/>
        </w:rPr>
        <w:t>וה</w:t>
      </w:r>
      <w:r>
        <w:rPr>
          <w:b/>
          <w:bCs/>
          <w:rtl/>
        </w:rPr>
        <w:t xml:space="preserve">ריטב"א </w:t>
      </w:r>
      <w:r>
        <w:rPr>
          <w:rtl/>
        </w:rPr>
        <w:t>כת' שוע וטווי ליכא. וה</w:t>
      </w:r>
      <w:r>
        <w:rPr>
          <w:b/>
          <w:bCs/>
          <w:rtl/>
        </w:rPr>
        <w:t xml:space="preserve">משנ"ל </w:t>
      </w:r>
      <w:r>
        <w:rPr>
          <w:rtl/>
        </w:rPr>
        <w:t>(כלי המקדש ח ג) העמיד דדעת ה</w:t>
      </w:r>
      <w:r>
        <w:rPr>
          <w:b/>
          <w:bCs/>
          <w:rtl/>
        </w:rPr>
        <w:t>רמב"ם</w:t>
      </w:r>
      <w:r>
        <w:rPr>
          <w:rtl/>
        </w:rPr>
        <w:t xml:space="preserve"> דכל מין היה שזור בפנ"ע, ול</w:t>
      </w:r>
      <w:r>
        <w:rPr>
          <w:b/>
          <w:bCs/>
          <w:rtl/>
        </w:rPr>
        <w:t xml:space="preserve">רש"י </w:t>
      </w:r>
      <w:r>
        <w:rPr>
          <w:rtl/>
        </w:rPr>
        <w:t>היו שזורין יחד.</w:t>
      </w:r>
    </w:p>
  </w:footnote>
  <w:footnote w:id="241">
    <w:p w14:paraId="302A3098" w14:textId="77777777" w:rsidR="00BE1D1C" w:rsidRDefault="00000000" w:rsidP="00012502">
      <w:pPr>
        <w:pStyle w:val="Footnote"/>
        <w:bidi/>
      </w:pPr>
      <w:r>
        <w:rPr>
          <w:rStyle w:val="ac"/>
          <w:rtl/>
        </w:rPr>
        <w:footnoteRef/>
      </w:r>
      <w:r>
        <w:rPr>
          <w:rtl/>
        </w:rPr>
        <w:t>וכן ה</w:t>
      </w:r>
      <w:r>
        <w:rPr>
          <w:b/>
          <w:bCs/>
          <w:rtl/>
        </w:rPr>
        <w:t>מהר"י קורקוס</w:t>
      </w:r>
      <w:r>
        <w:rPr>
          <w:rtl/>
        </w:rPr>
        <w:t xml:space="preserve"> (שם) הביא ד</w:t>
      </w:r>
      <w:r>
        <w:rPr>
          <w:b/>
          <w:bCs/>
          <w:rtl/>
        </w:rPr>
        <w:t>רש"י מה"ק</w:t>
      </w:r>
      <w:r>
        <w:rPr>
          <w:rtl/>
        </w:rPr>
        <w:t xml:space="preserve"> כת' דכלאים הותר בציצית באופן שהחוטין עצמן הם כלאים, וחיברם לבגד ע"י ב' תכיפות.</w:t>
      </w:r>
    </w:p>
  </w:footnote>
  <w:footnote w:id="242">
    <w:p w14:paraId="5D96FEB3" w14:textId="77777777" w:rsidR="00BE1D1C" w:rsidRDefault="00000000" w:rsidP="00012502">
      <w:pPr>
        <w:pStyle w:val="Footnote"/>
        <w:bidi/>
      </w:pPr>
      <w:r>
        <w:rPr>
          <w:rStyle w:val="ac"/>
          <w:rtl/>
        </w:rPr>
        <w:footnoteRef/>
      </w:r>
      <w:r>
        <w:rPr>
          <w:rtl/>
        </w:rPr>
        <w:t>וכעי"ז כתב בפי' ה</w:t>
      </w:r>
      <w:r>
        <w:rPr>
          <w:b/>
          <w:bCs/>
          <w:rtl/>
        </w:rPr>
        <w:t>מזרחי</w:t>
      </w:r>
      <w:r>
        <w:rPr>
          <w:rtl/>
        </w:rPr>
        <w:t xml:space="preserve"> (קדושים יט יט).</w:t>
      </w:r>
    </w:p>
  </w:footnote>
  <w:footnote w:id="243">
    <w:p w14:paraId="04B5FDCF" w14:textId="77777777" w:rsidR="00BE1D1C" w:rsidRDefault="00000000" w:rsidP="00012502">
      <w:pPr>
        <w:pStyle w:val="Footnote"/>
        <w:bidi/>
      </w:pPr>
      <w:r>
        <w:rPr>
          <w:rStyle w:val="ac"/>
          <w:rtl/>
        </w:rPr>
        <w:footnoteRef/>
      </w:r>
      <w:r>
        <w:rPr>
          <w:rtl/>
        </w:rPr>
        <w:t>ועפ"ז הביאו בשם ה</w:t>
      </w:r>
      <w:r>
        <w:rPr>
          <w:b/>
          <w:bCs/>
          <w:rtl/>
        </w:rPr>
        <w:t>גר"ח</w:t>
      </w:r>
      <w:r>
        <w:rPr>
          <w:rtl/>
        </w:rPr>
        <w:t xml:space="preserve"> (מגנזי הגר"ח) דדבר שהוא ארוג יחד [ולא שוע וטווי יחד], הפשתן בטל ברוב צמר. דאין כאן איסור 'שעטנז' כיון דאינו שוע וטווי. ואין איסור יחדיו משום ביטול ברוב. [והגר"ח הוסיף דעכ"פ בבגדי כהונה, דאף שניכר חוט הפשתן, הא אי אפשר להוציאו משם. משום איסור לקרוע בגדי כהונה].</w:t>
      </w:r>
    </w:p>
    <w:p w14:paraId="54D6AD70" w14:textId="77777777" w:rsidR="00BE1D1C" w:rsidRDefault="00000000" w:rsidP="00012502">
      <w:pPr>
        <w:pStyle w:val="Footnote"/>
        <w:bidi/>
      </w:pPr>
      <w:r>
        <w:rPr>
          <w:rtl/>
        </w:rPr>
        <w:tab/>
        <w:t>ועפ"ז כת' דבגדי כה"ג ליכא איסור כלאים, דחוטי הפשתן בטלים באריגה. ורק באבנט של כהן הדיוט שהיה רוקם [ולא אריגה], וליכא ביטול ברוב. [ומשמע מדבריו דאבנט של כה"ג שאני דהיה ארוג, וצ"ע מנ"ל].</w:t>
      </w:r>
    </w:p>
  </w:footnote>
  <w:footnote w:id="244">
    <w:p w14:paraId="4AC88737" w14:textId="77777777" w:rsidR="00BE1D1C" w:rsidRDefault="00000000" w:rsidP="00012502">
      <w:pPr>
        <w:pStyle w:val="Footnote"/>
        <w:bidi/>
      </w:pPr>
      <w:r>
        <w:rPr>
          <w:rStyle w:val="ac"/>
          <w:rtl/>
        </w:rPr>
        <w:footnoteRef/>
      </w:r>
      <w:r>
        <w:rPr>
          <w:rtl/>
        </w:rPr>
        <w:t>וה</w:t>
      </w:r>
      <w:r>
        <w:rPr>
          <w:b/>
          <w:bCs/>
          <w:rtl/>
        </w:rPr>
        <w:t>רמב"ן</w:t>
      </w:r>
      <w:r>
        <w:rPr>
          <w:rtl/>
        </w:rPr>
        <w:t xml:space="preserve"> כת' דכיון דאפקינהו רחמנא למקרי בשם שעטנז ולא שעטנזים אלמא בשנעשו הצמר והפשתים בגד קאמר.</w:t>
      </w:r>
    </w:p>
  </w:footnote>
  <w:footnote w:id="245">
    <w:p w14:paraId="09F8278B" w14:textId="77777777" w:rsidR="00BE1D1C" w:rsidRDefault="00000000" w:rsidP="00012502">
      <w:pPr>
        <w:pStyle w:val="Footnote"/>
        <w:bidi/>
      </w:pPr>
      <w:r>
        <w:rPr>
          <w:rStyle w:val="ac"/>
          <w:rtl/>
        </w:rPr>
        <w:footnoteRef/>
      </w:r>
      <w:r>
        <w:rPr>
          <w:rtl/>
        </w:rPr>
        <w:t>דבגדי כהן גדול היו כלאים. ונח' התנאים (יומא ו. וכ"מ) באבנט דכהן הדיוט האם היה כלאים, וכמו של כה"ג. [ולאידך מ"ד לא היה לכהן הדיוט כלאים, והגמ' ערכין קאי כמ"ד דהיה כלאים. א"נ דקאי אכה"ג].</w:t>
      </w:r>
    </w:p>
  </w:footnote>
  <w:footnote w:id="246">
    <w:p w14:paraId="1011BBD1" w14:textId="77777777" w:rsidR="00BE1D1C" w:rsidRDefault="00000000" w:rsidP="00012502">
      <w:pPr>
        <w:pStyle w:val="Footnote"/>
        <w:bidi/>
      </w:pPr>
      <w:r>
        <w:rPr>
          <w:rStyle w:val="ac"/>
          <w:rtl/>
        </w:rPr>
        <w:footnoteRef/>
      </w:r>
      <w:r>
        <w:rPr>
          <w:rtl/>
        </w:rPr>
        <w:t>וב</w:t>
      </w:r>
      <w:r>
        <w:rPr>
          <w:b/>
          <w:bCs/>
          <w:rtl/>
        </w:rPr>
        <w:t>גמ</w:t>
      </w:r>
      <w:r>
        <w:rPr>
          <w:rtl/>
        </w:rPr>
        <w:t>' (מנחות ה:) דנו האם ילפי' ק"ו דכל האסור להדיוט כ"ש שאסור לגבוה. ואי' כלאים תוכיח שאסורין להדיוט ומותרין לגבוה בבגדי כהונה. ופריך מה לכלאים שכן הותרו מכללן אצל הדיוט בציצית. ומשני אטו ציצית צורך הדיוט הוא מצוה היא ודחי, אלא מה לכלאים שמצוותן בכך. [והשאג"א כט דן להוכיח מהגמ' שם דהותר רק בזמן המצווה, עי"ש שדחה].</w:t>
      </w:r>
    </w:p>
  </w:footnote>
  <w:footnote w:id="247">
    <w:p w14:paraId="135EFCDF" w14:textId="77777777" w:rsidR="00BE1D1C" w:rsidRDefault="00000000" w:rsidP="00012502">
      <w:pPr>
        <w:pStyle w:val="Footnote"/>
        <w:bidi/>
      </w:pPr>
      <w:r>
        <w:rPr>
          <w:rStyle w:val="ac"/>
          <w:rtl/>
        </w:rPr>
        <w:footnoteRef/>
      </w:r>
      <w:r>
        <w:rPr>
          <w:rtl/>
        </w:rPr>
        <w:t>ועי"ז פטורים אף מציצית, דהוקש לכלאים. [והו' ב</w:t>
      </w:r>
      <w:r>
        <w:rPr>
          <w:b/>
          <w:bCs/>
          <w:rtl/>
        </w:rPr>
        <w:t>תוס</w:t>
      </w:r>
      <w:r>
        <w:rPr>
          <w:rtl/>
        </w:rPr>
        <w:t>' (ד. ד"ה דכתיב)].</w:t>
      </w:r>
    </w:p>
  </w:footnote>
  <w:footnote w:id="248">
    <w:p w14:paraId="3E17B67A" w14:textId="77777777" w:rsidR="00BE1D1C" w:rsidRDefault="00000000" w:rsidP="00012502">
      <w:pPr>
        <w:pStyle w:val="Footnote"/>
        <w:bidi/>
      </w:pPr>
      <w:r>
        <w:rPr>
          <w:rStyle w:val="ac"/>
          <w:rtl/>
        </w:rPr>
        <w:footnoteRef/>
      </w:r>
      <w:r>
        <w:rPr>
          <w:rtl/>
        </w:rPr>
        <w:t>אך לאידך תי' היו מניחין אותם כנגד ראשיהם.</w:t>
      </w:r>
    </w:p>
  </w:footnote>
  <w:footnote w:id="249">
    <w:p w14:paraId="2EC03A64" w14:textId="77777777" w:rsidR="00BE1D1C" w:rsidRDefault="00000000" w:rsidP="00012502">
      <w:pPr>
        <w:pStyle w:val="Footnote"/>
        <w:bidi/>
      </w:pPr>
      <w:r>
        <w:rPr>
          <w:rStyle w:val="ac"/>
          <w:rtl/>
        </w:rPr>
        <w:footnoteRef/>
      </w:r>
      <w:r>
        <w:rPr>
          <w:rtl/>
        </w:rPr>
        <w:t>פ</w:t>
      </w:r>
      <w:r>
        <w:rPr>
          <w:b/>
          <w:bCs/>
          <w:rtl/>
        </w:rPr>
        <w:t>רש"י</w:t>
      </w:r>
      <w:r>
        <w:rPr>
          <w:rtl/>
        </w:rPr>
        <w:t xml:space="preserve"> שאינן מחממים. ו</w:t>
      </w:r>
      <w:r>
        <w:rPr>
          <w:b/>
          <w:bCs/>
          <w:rtl/>
        </w:rPr>
        <w:t>רש"י</w:t>
      </w:r>
      <w:r>
        <w:rPr>
          <w:rtl/>
        </w:rPr>
        <w:t xml:space="preserve"> (תמיד שם) הוסיף דבעי' לבישה שיש בו הנאה, וקשה אינו מחמם.</w:t>
      </w:r>
    </w:p>
  </w:footnote>
  <w:footnote w:id="250">
    <w:p w14:paraId="1F8CE087" w14:textId="77777777" w:rsidR="00BE1D1C" w:rsidRDefault="00000000" w:rsidP="00012502">
      <w:pPr>
        <w:pStyle w:val="Footnote"/>
        <w:bidi/>
      </w:pPr>
      <w:r>
        <w:rPr>
          <w:rStyle w:val="ac"/>
          <w:rtl/>
        </w:rPr>
        <w:footnoteRef/>
      </w:r>
      <w:r>
        <w:rPr>
          <w:rtl/>
        </w:rPr>
        <w:t>וה</w:t>
      </w:r>
      <w:r>
        <w:rPr>
          <w:b/>
          <w:bCs/>
          <w:rtl/>
        </w:rPr>
        <w:t>בעה"מ</w:t>
      </w:r>
      <w:r>
        <w:rPr>
          <w:rtl/>
        </w:rPr>
        <w:t xml:space="preserve"> (ביצה ז. בדה"ר) חילק דדוקא האבנט היה קשה, ובכהן הדיוט רק האבנט היה כלאים, והותר משום שהיה קשה. אבל חושן ואפוד של כה"ג לא היו קשים, ובזה ילפי' דהותר לכה"ג לבישת כלאים.</w:t>
      </w:r>
    </w:p>
  </w:footnote>
  <w:footnote w:id="251">
    <w:p w14:paraId="7A8E587B" w14:textId="77777777" w:rsidR="00BE1D1C" w:rsidRDefault="00000000" w:rsidP="00012502">
      <w:pPr>
        <w:pStyle w:val="Footnote"/>
        <w:bidi/>
      </w:pPr>
      <w:r>
        <w:rPr>
          <w:rStyle w:val="ac"/>
          <w:rtl/>
        </w:rPr>
        <w:footnoteRef/>
      </w:r>
      <w:r>
        <w:rPr>
          <w:rtl/>
        </w:rPr>
        <w:t>וע"ע תוס' (שם וביצה טו.) שהאריכו בדין כלאים בבגד קשה.</w:t>
      </w:r>
    </w:p>
  </w:footnote>
  <w:footnote w:id="252">
    <w:p w14:paraId="41E564CA" w14:textId="77777777" w:rsidR="00BE1D1C" w:rsidRDefault="00000000" w:rsidP="00012502">
      <w:pPr>
        <w:pStyle w:val="Footnote"/>
        <w:bidi/>
      </w:pPr>
      <w:r>
        <w:rPr>
          <w:rStyle w:val="ac"/>
          <w:rtl/>
        </w:rPr>
        <w:footnoteRef/>
      </w:r>
      <w:r>
        <w:rPr>
          <w:rtl/>
        </w:rPr>
        <w:t>ו</w:t>
      </w:r>
      <w:r>
        <w:rPr>
          <w:b/>
          <w:bCs/>
          <w:rtl/>
        </w:rPr>
        <w:t>תוס</w:t>
      </w:r>
      <w:r>
        <w:rPr>
          <w:rtl/>
        </w:rPr>
        <w:t>' (שם בחד תי') כת' דשאני כה"ג דגזיה"כ בציצית על מצחו תמיד, ועי"ז הותר אף שאר בגדיו [דבעינן שלא יהא מחוסר בגדים. אך ה</w:t>
      </w:r>
      <w:r>
        <w:rPr>
          <w:b/>
          <w:bCs/>
          <w:rtl/>
        </w:rPr>
        <w:t>תו"י</w:t>
      </w:r>
      <w:r>
        <w:rPr>
          <w:rtl/>
        </w:rPr>
        <w:t xml:space="preserve"> (שם ז:) כת' דדוקא הציץ היה לובש, ולא שאר בגדים. ולא הותר שאר בגדים. והאריכו בזה האחרונים].</w:t>
      </w:r>
    </w:p>
  </w:footnote>
  <w:footnote w:id="253">
    <w:p w14:paraId="185867D6" w14:textId="77777777" w:rsidR="00BE1D1C" w:rsidRDefault="00000000" w:rsidP="00012502">
      <w:pPr>
        <w:pStyle w:val="Footnote"/>
        <w:bidi/>
      </w:pPr>
      <w:r>
        <w:rPr>
          <w:rStyle w:val="ac"/>
          <w:rtl/>
        </w:rPr>
        <w:footnoteRef/>
      </w:r>
      <w:r>
        <w:rPr>
          <w:rtl/>
        </w:rPr>
        <w:t>ו</w:t>
      </w:r>
      <w:r>
        <w:rPr>
          <w:b/>
          <w:bCs/>
          <w:rtl/>
        </w:rPr>
        <w:t>רש"י</w:t>
      </w:r>
      <w:r>
        <w:rPr>
          <w:rtl/>
        </w:rPr>
        <w:t xml:space="preserve"> [והבעה"מ] כת' דנוהג בהם מנהג חול, משמע דהוה איסור דרבנן בעלמא. ואילו </w:t>
      </w:r>
      <w:r>
        <w:rPr>
          <w:b/>
          <w:bCs/>
          <w:rtl/>
        </w:rPr>
        <w:t>תוס</w:t>
      </w:r>
      <w:r>
        <w:rPr>
          <w:rtl/>
        </w:rPr>
        <w:t>' משמע דהוה מעילה דאורייתא.</w:t>
      </w:r>
    </w:p>
  </w:footnote>
  <w:footnote w:id="254">
    <w:p w14:paraId="1294370A" w14:textId="77777777" w:rsidR="00BE1D1C" w:rsidRDefault="00000000" w:rsidP="00012502">
      <w:pPr>
        <w:pStyle w:val="Footnote"/>
        <w:bidi/>
      </w:pPr>
      <w:r>
        <w:rPr>
          <w:rStyle w:val="ac"/>
          <w:rtl/>
        </w:rPr>
        <w:footnoteRef/>
      </w:r>
      <w:r>
        <w:rPr>
          <w:rtl/>
        </w:rPr>
        <w:t>[וע"ע רש"י ותוס' (קידושין סו.) אי התירו בגדי כהונה להנות מהם אף שלא בשעת עבודה, או דוקא משום דלא ניתנה תורה למלאכי השרת (כדאי' קידושין נד.), וחייבים לפושטם בזריזות האפשר.</w:t>
      </w:r>
    </w:p>
  </w:footnote>
  <w:footnote w:id="255">
    <w:p w14:paraId="5B103A3F" w14:textId="77777777" w:rsidR="00BE1D1C" w:rsidRDefault="00000000" w:rsidP="00012502">
      <w:pPr>
        <w:pStyle w:val="Footnote"/>
        <w:bidi/>
      </w:pPr>
      <w:r>
        <w:rPr>
          <w:rStyle w:val="ac"/>
          <w:rtl/>
        </w:rPr>
        <w:footnoteRef/>
      </w:r>
      <w:r>
        <w:rPr>
          <w:rtl/>
        </w:rPr>
        <w:t>וה</w:t>
      </w:r>
      <w:r>
        <w:rPr>
          <w:b/>
          <w:bCs/>
          <w:rtl/>
        </w:rPr>
        <w:t>גרי"ז</w:t>
      </w:r>
      <w:r>
        <w:rPr>
          <w:rtl/>
        </w:rPr>
        <w:t xml:space="preserve"> (יומא) הביא דכ"מ ברמב"ם וראב"ד, הו' בסמוך. [וצ"ב אמאי נקט דעת הרמב"ם, דאוסר אף במקדש שלא בזמן עבודה].</w:t>
      </w:r>
    </w:p>
  </w:footnote>
  <w:footnote w:id="256">
    <w:p w14:paraId="189764E5" w14:textId="77777777" w:rsidR="00BE1D1C" w:rsidRDefault="00000000" w:rsidP="00012502">
      <w:pPr>
        <w:pStyle w:val="Footnote"/>
        <w:bidi/>
      </w:pPr>
      <w:r>
        <w:rPr>
          <w:rStyle w:val="ac"/>
          <w:rtl/>
        </w:rPr>
        <w:footnoteRef/>
      </w:r>
      <w:r>
        <w:rPr>
          <w:rtl/>
        </w:rPr>
        <w:t>וה</w:t>
      </w:r>
      <w:r>
        <w:rPr>
          <w:b/>
          <w:bCs/>
          <w:rtl/>
        </w:rPr>
        <w:t>בעה"מ</w:t>
      </w:r>
      <w:r>
        <w:rPr>
          <w:rtl/>
        </w:rPr>
        <w:t xml:space="preserve"> דן אי כוונת הגמ' לדחות דברי רב אשי דבגדי כהונה קשין הם.</w:t>
      </w:r>
    </w:p>
  </w:footnote>
  <w:footnote w:id="257">
    <w:p w14:paraId="03066F26" w14:textId="77777777" w:rsidR="00BE1D1C" w:rsidRDefault="00000000" w:rsidP="00012502">
      <w:pPr>
        <w:pStyle w:val="Footnote"/>
        <w:bidi/>
      </w:pPr>
      <w:r>
        <w:rPr>
          <w:rStyle w:val="ac"/>
          <w:rtl/>
        </w:rPr>
        <w:footnoteRef/>
      </w:r>
      <w:r>
        <w:rPr>
          <w:rtl/>
        </w:rPr>
        <w:t>ובפשוטו קאי בין באבנט ובין בבגדי כה"ג. וה</w:t>
      </w:r>
      <w:r>
        <w:rPr>
          <w:b/>
          <w:bCs/>
          <w:rtl/>
        </w:rPr>
        <w:t>בית הלוי</w:t>
      </w:r>
      <w:r>
        <w:rPr>
          <w:rtl/>
        </w:rPr>
        <w:t xml:space="preserve"> (א ג) תי' דלדעת הרמב"ם הגמ' יומא איירי בכה"ג דכתיב על מצחו תמיד, וה"ה שאר בגדים [כל זמן שהוא במקדש]. ודוקא כהן הדיוט חייב לפשוט האבנט מיד. וה</w:t>
      </w:r>
      <w:r>
        <w:rPr>
          <w:b/>
          <w:bCs/>
          <w:rtl/>
        </w:rPr>
        <w:t>גר"ח</w:t>
      </w:r>
      <w:r>
        <w:rPr>
          <w:rtl/>
        </w:rPr>
        <w:t xml:space="preserve"> (מגנזי הגר"ח הו' לעיל) תי' דקאי דוקא אאבנט דכהן הדיוט. אבל הפשתן בבגדי כהן גדול בטל ברוב.</w:t>
      </w:r>
    </w:p>
  </w:footnote>
  <w:footnote w:id="258">
    <w:p w14:paraId="28E2C2FF" w14:textId="77777777" w:rsidR="00BE1D1C" w:rsidRDefault="00000000" w:rsidP="00012502">
      <w:pPr>
        <w:pStyle w:val="Footnote"/>
        <w:bidi/>
      </w:pPr>
      <w:r>
        <w:rPr>
          <w:rStyle w:val="ac"/>
          <w:rtl/>
        </w:rPr>
        <w:footnoteRef/>
      </w:r>
      <w:r>
        <w:rPr>
          <w:rtl/>
        </w:rPr>
        <w:t>עכ"פ במקדש. [וכ"כ הראב"ד בהל' כלי המקדש דכל היום מותר].</w:t>
      </w:r>
    </w:p>
  </w:footnote>
  <w:footnote w:id="259">
    <w:p w14:paraId="1E5F8157" w14:textId="77777777" w:rsidR="00BE1D1C" w:rsidRDefault="00000000" w:rsidP="00012502">
      <w:pPr>
        <w:pStyle w:val="Footnote"/>
        <w:bidi/>
      </w:pPr>
      <w:r>
        <w:rPr>
          <w:rStyle w:val="ac"/>
          <w:rtl/>
        </w:rPr>
        <w:footnoteRef/>
      </w:r>
      <w:r>
        <w:rPr>
          <w:rtl/>
        </w:rPr>
        <w:t xml:space="preserve">וכעי"ז הקשה לגבי כלאים בציצית, ע"פ מש"כ </w:t>
      </w:r>
      <w:r>
        <w:rPr>
          <w:b/>
          <w:bCs/>
          <w:rtl/>
        </w:rPr>
        <w:t>תוס</w:t>
      </w:r>
      <w:r>
        <w:rPr>
          <w:rtl/>
        </w:rPr>
        <w:t xml:space="preserve">' (לקמן צ:) דאינו מתחייב בציצית עד אחרי העיטוף, הרי אינו בעידנא. ויישב דא"א בענין אחר </w:t>
      </w:r>
      <w:r>
        <w:rPr>
          <w:i/>
          <w:iCs/>
          <w:rtl/>
        </w:rPr>
        <w:t>הוה בכלל הקיום</w:t>
      </w:r>
      <w:r>
        <w:rPr>
          <w:rtl/>
        </w:rPr>
        <w:t>. וב</w:t>
      </w:r>
      <w:r>
        <w:rPr>
          <w:b/>
          <w:bCs/>
          <w:rtl/>
        </w:rPr>
        <w:t>קו"א</w:t>
      </w:r>
      <w:r>
        <w:rPr>
          <w:rtl/>
        </w:rPr>
        <w:t xml:space="preserve"> (שם) חלק דאף דאינו מחוייב עד אחרי שילבש הבגד, מ"מ כשיש בו ציצית מקיים מיד בלבישה.</w:t>
      </w:r>
    </w:p>
  </w:footnote>
  <w:footnote w:id="260">
    <w:p w14:paraId="50F1A2C6" w14:textId="77777777" w:rsidR="00BE1D1C" w:rsidRDefault="00000000" w:rsidP="00012502">
      <w:pPr>
        <w:pStyle w:val="Footnote"/>
        <w:bidi/>
      </w:pPr>
      <w:r>
        <w:rPr>
          <w:rStyle w:val="ac"/>
          <w:rtl/>
        </w:rPr>
        <w:footnoteRef/>
      </w:r>
      <w:r>
        <w:rPr>
          <w:rtl/>
        </w:rPr>
        <w:t>אבל ה</w:t>
      </w:r>
      <w:r>
        <w:rPr>
          <w:b/>
          <w:bCs/>
          <w:rtl/>
        </w:rPr>
        <w:t>קובה"ע</w:t>
      </w:r>
      <w:r>
        <w:rPr>
          <w:rtl/>
        </w:rPr>
        <w:t xml:space="preserve"> (יא ה) כתב דתוס' כתבו אליבא דמ"ד דגזיה"כ דאין שורפין ביו"ט, וילפי' מקרא דלא נחשב אפשר לקיים שניהם. אבל להלכה דהטעם משום דיו"ט ל"ת ועשה, ליכא למילף מקרא. ומסברא אינו אפשר לקיים וכדעת הרמב"ן.</w:t>
      </w:r>
    </w:p>
  </w:footnote>
  <w:footnote w:id="261">
    <w:p w14:paraId="60FE5A4C" w14:textId="77777777" w:rsidR="00BE1D1C" w:rsidRDefault="00000000" w:rsidP="00012502">
      <w:pPr>
        <w:pStyle w:val="Footnote"/>
        <w:bidi/>
      </w:pPr>
      <w:r>
        <w:rPr>
          <w:rStyle w:val="ac"/>
          <w:rtl/>
        </w:rPr>
        <w:footnoteRef/>
      </w:r>
      <w:r>
        <w:rPr>
          <w:rtl/>
        </w:rPr>
        <w:t xml:space="preserve">והוכיחו מזה דלא אמרי' דאינו הכשר מצוה ע"פ דברי </w:t>
      </w:r>
      <w:r>
        <w:rPr>
          <w:b/>
          <w:bCs/>
          <w:rtl/>
        </w:rPr>
        <w:t>רש"י</w:t>
      </w:r>
      <w:r>
        <w:rPr>
          <w:rtl/>
        </w:rPr>
        <w:t xml:space="preserve"> (ו. עי"ש), כיון דאפשר למחר.</w:t>
      </w:r>
    </w:p>
  </w:footnote>
  <w:footnote w:id="262">
    <w:p w14:paraId="18DB03AF" w14:textId="77777777" w:rsidR="00BE1D1C" w:rsidRDefault="00000000" w:rsidP="00012502">
      <w:pPr>
        <w:pStyle w:val="Footnote"/>
        <w:bidi/>
      </w:pPr>
      <w:r>
        <w:rPr>
          <w:rStyle w:val="ac"/>
          <w:rtl/>
        </w:rPr>
        <w:footnoteRef/>
      </w:r>
      <w:r>
        <w:rPr>
          <w:rtl/>
        </w:rPr>
        <w:t>ובהג' ה</w:t>
      </w:r>
      <w:r>
        <w:rPr>
          <w:b/>
          <w:bCs/>
          <w:rtl/>
        </w:rPr>
        <w:t>מהרש"ם</w:t>
      </w:r>
      <w:r>
        <w:rPr>
          <w:rtl/>
        </w:rPr>
        <w:t xml:space="preserve"> (ד.) הקשה דלר' ישמעאל (מנחות לז:) ציצית הוה ד' מצוות חלוקות, א"כ היכי ילפי' מיניה דל"ת בעלמא דחי ל"ת. [אבל מבואר שם דלר' ישמעאל אם יש ציצית בכנף א' דחי לל"ת דכלאים, א"כ כל מצוה בפנ"ע דחי. ואפשר כוונתו הא גופא מנלן].</w:t>
      </w:r>
    </w:p>
  </w:footnote>
  <w:footnote w:id="263">
    <w:p w14:paraId="2528FD88" w14:textId="77777777" w:rsidR="00BE1D1C" w:rsidRDefault="00000000" w:rsidP="00012502">
      <w:pPr>
        <w:pStyle w:val="Footnote"/>
        <w:bidi/>
      </w:pPr>
      <w:r>
        <w:rPr>
          <w:rStyle w:val="ac"/>
          <w:rtl/>
        </w:rPr>
        <w:footnoteRef/>
      </w:r>
      <w:r>
        <w:rPr>
          <w:rtl/>
        </w:rPr>
        <w:t>[ותלה במח' בב' שוחטים עי"ש].</w:t>
      </w:r>
    </w:p>
  </w:footnote>
  <w:footnote w:id="264">
    <w:p w14:paraId="309323A6" w14:textId="77777777" w:rsidR="00BE1D1C" w:rsidRDefault="00000000" w:rsidP="00012502">
      <w:pPr>
        <w:pStyle w:val="Footnote"/>
        <w:bidi/>
      </w:pPr>
      <w:r>
        <w:rPr>
          <w:rStyle w:val="ac"/>
          <w:rtl/>
        </w:rPr>
        <w:footnoteRef/>
      </w:r>
      <w:r>
        <w:rPr>
          <w:rtl/>
        </w:rPr>
        <w:t>אבל בגמ' (פסחים סט:) אי' דלא ילפי' ממילה משום י"ג בריתות, ופסח משום כרת. ומבואר דנחשב דבמילה ליכא כרת. ופ</w:t>
      </w:r>
      <w:r>
        <w:rPr>
          <w:b/>
          <w:bCs/>
          <w:rtl/>
        </w:rPr>
        <w:t>רש"י</w:t>
      </w:r>
      <w:r>
        <w:rPr>
          <w:rtl/>
        </w:rPr>
        <w:t xml:space="preserve"> אם ימול למחר.</w:t>
      </w:r>
    </w:p>
  </w:footnote>
  <w:footnote w:id="265">
    <w:p w14:paraId="17CB5799" w14:textId="77777777" w:rsidR="00BE1D1C" w:rsidRDefault="00000000" w:rsidP="00012502">
      <w:pPr>
        <w:pStyle w:val="Footnote"/>
        <w:bidi/>
      </w:pPr>
      <w:r>
        <w:rPr>
          <w:rStyle w:val="ac"/>
          <w:rtl/>
        </w:rPr>
        <w:footnoteRef/>
      </w:r>
      <w:r>
        <w:rPr>
          <w:rtl/>
        </w:rPr>
        <w:t>וכה"ק ה</w:t>
      </w:r>
      <w:r>
        <w:rPr>
          <w:b/>
          <w:bCs/>
          <w:rtl/>
        </w:rPr>
        <w:t>רשב"א</w:t>
      </w:r>
      <w:r>
        <w:rPr>
          <w:rtl/>
        </w:rPr>
        <w:t xml:space="preserve"> (שבת קלב:) דמילת קטן דדחיא שבת אינו ענוש כרת. ותי' דמ"מ כיון שעיקר מילה חמורה שיש בה כרת, אף דמילת קטן אין בה כרת אין הולכין אחר הפרט אלא אחר הכלל, ויש בו 'צד כרת' [ומשמע דגרס בסוגיין צד כרת]. [ועפ"ז כת' הרשב"א דשפיר מדמי' דאף מילה שלא בזמנו דוחה צרעת, ואף דאינו דוחה שבת].</w:t>
      </w:r>
    </w:p>
  </w:footnote>
  <w:footnote w:id="266">
    <w:p w14:paraId="6EEC3636" w14:textId="77777777" w:rsidR="00BE1D1C" w:rsidRDefault="00000000" w:rsidP="00012502">
      <w:pPr>
        <w:pStyle w:val="Footnote"/>
        <w:bidi/>
      </w:pPr>
      <w:r>
        <w:rPr>
          <w:rStyle w:val="ac"/>
          <w:rtl/>
        </w:rPr>
        <w:footnoteRef/>
      </w:r>
      <w:r>
        <w:rPr>
          <w:rtl/>
        </w:rPr>
        <w:t>אך הביא דב</w:t>
      </w:r>
      <w:r>
        <w:rPr>
          <w:b/>
          <w:bCs/>
          <w:rtl/>
        </w:rPr>
        <w:t>מדרש רבה</w:t>
      </w:r>
      <w:r>
        <w:rPr>
          <w:rtl/>
        </w:rPr>
        <w:t xml:space="preserve"> (וישב, ויקרא פב) הגירסא דיהודה התחיל מעשה יבום. [משמע דהוה מנהג ע' רמב"ן עה"ת הו' לעיל ב., ולא מצווה]. ועוד הביא דה</w:t>
      </w:r>
      <w:r>
        <w:rPr>
          <w:b/>
          <w:bCs/>
          <w:rtl/>
        </w:rPr>
        <w:t>רמב"ם</w:t>
      </w:r>
      <w:r>
        <w:rPr>
          <w:rtl/>
        </w:rPr>
        <w:t xml:space="preserve"> (מלכים ט א) הביא המצוות שנצטוו האבות, ולא מנה יבום דיהודה.</w:t>
      </w:r>
    </w:p>
  </w:footnote>
  <w:footnote w:id="267">
    <w:p w14:paraId="76E8A735" w14:textId="77777777" w:rsidR="00BE1D1C" w:rsidRDefault="00000000" w:rsidP="00012502">
      <w:pPr>
        <w:pStyle w:val="Footnote"/>
        <w:bidi/>
      </w:pPr>
      <w:r>
        <w:rPr>
          <w:rStyle w:val="ac"/>
          <w:rtl/>
        </w:rPr>
        <w:footnoteRef/>
      </w:r>
      <w:r>
        <w:rPr>
          <w:rtl/>
        </w:rPr>
        <w:t>וה</w:t>
      </w:r>
      <w:r>
        <w:rPr>
          <w:b/>
          <w:bCs/>
          <w:rtl/>
        </w:rPr>
        <w:t>פנ"י</w:t>
      </w:r>
      <w:r>
        <w:rPr>
          <w:rtl/>
        </w:rPr>
        <w:t xml:space="preserve"> (קידושין שם) ביאר דבכל עשה אמרי' דהתורה צוותה לעשות בכל אופן, אף במקום ל"ת. אך ה"מ כשהל"ת קדם, אבל עשה שקודם הדיבור, א"א לכלול בצווי דבר שלא היה בשעת צווי.</w:t>
      </w:r>
    </w:p>
  </w:footnote>
  <w:footnote w:id="268">
    <w:p w14:paraId="5663842E" w14:textId="77777777" w:rsidR="00BE1D1C" w:rsidRDefault="00000000" w:rsidP="00012502">
      <w:pPr>
        <w:pStyle w:val="Footnote"/>
        <w:bidi/>
      </w:pPr>
      <w:r>
        <w:rPr>
          <w:rStyle w:val="ac"/>
          <w:rtl/>
        </w:rPr>
        <w:footnoteRef/>
      </w:r>
      <w:r>
        <w:rPr>
          <w:rtl/>
        </w:rPr>
        <w:t>אך שוב הק' דנשנה כדי ללמד דדחי שבת. וסיים ויש ליישב בדוחק.</w:t>
      </w:r>
    </w:p>
  </w:footnote>
  <w:footnote w:id="269">
    <w:p w14:paraId="42D2B027" w14:textId="77777777" w:rsidR="00BE1D1C" w:rsidRDefault="00000000" w:rsidP="00012502">
      <w:pPr>
        <w:pStyle w:val="Footnote"/>
        <w:bidi/>
      </w:pPr>
      <w:r>
        <w:rPr>
          <w:rStyle w:val="ac"/>
          <w:rtl/>
        </w:rPr>
        <w:footnoteRef/>
      </w:r>
      <w:r>
        <w:rPr>
          <w:rtl/>
        </w:rPr>
        <w:t>[אך בגמ' שם איתא דכ"ד ר' ישמעאל ור' אליעזר, ואילו לענין פטור צרה לא ס"ל כבי"ש].</w:t>
      </w:r>
    </w:p>
  </w:footnote>
  <w:footnote w:id="270">
    <w:p w14:paraId="27BCA109" w14:textId="77777777" w:rsidR="00BE1D1C" w:rsidRDefault="00000000" w:rsidP="00012502">
      <w:pPr>
        <w:pStyle w:val="Footnote"/>
        <w:bidi/>
      </w:pPr>
      <w:r>
        <w:rPr>
          <w:rStyle w:val="ac"/>
          <w:rtl/>
        </w:rPr>
        <w:footnoteRef/>
      </w:r>
      <w:r>
        <w:rPr>
          <w:rtl/>
        </w:rPr>
        <w:t>וה</w:t>
      </w:r>
      <w:r>
        <w:rPr>
          <w:b/>
          <w:bCs/>
          <w:rtl/>
        </w:rPr>
        <w:t>תוס' רא"ש</w:t>
      </w:r>
      <w:r>
        <w:rPr>
          <w:rtl/>
        </w:rPr>
        <w:t xml:space="preserve"> כת' דאף מצוות מילה תדיר טפי מיבום דעריות. והו"מ לדחות כן.</w:t>
      </w:r>
    </w:p>
  </w:footnote>
  <w:footnote w:id="271">
    <w:p w14:paraId="0A7A9A15" w14:textId="77777777" w:rsidR="00BE1D1C" w:rsidRDefault="00000000" w:rsidP="00012502">
      <w:pPr>
        <w:pStyle w:val="Footnote"/>
        <w:bidi/>
      </w:pPr>
      <w:r>
        <w:rPr>
          <w:rStyle w:val="ac"/>
          <w:rtl/>
        </w:rPr>
        <w:footnoteRef/>
      </w:r>
      <w:r>
        <w:rPr>
          <w:rtl/>
        </w:rPr>
        <w:t>וה</w:t>
      </w:r>
      <w:r>
        <w:rPr>
          <w:b/>
          <w:bCs/>
          <w:rtl/>
        </w:rPr>
        <w:t>אחרונים</w:t>
      </w:r>
      <w:r>
        <w:rPr>
          <w:rtl/>
        </w:rPr>
        <w:t xml:space="preserve"> דנו דמה שאין זמנו קבוע הוה גדר 'מצוי'. וה</w:t>
      </w:r>
      <w:r>
        <w:rPr>
          <w:b/>
          <w:bCs/>
          <w:rtl/>
        </w:rPr>
        <w:t>משנ"ב</w:t>
      </w:r>
      <w:r>
        <w:rPr>
          <w:rtl/>
        </w:rPr>
        <w:t xml:space="preserve"> (ז ב) הביא מה</w:t>
      </w:r>
      <w:r>
        <w:rPr>
          <w:b/>
          <w:bCs/>
          <w:rtl/>
        </w:rPr>
        <w:t xml:space="preserve">מהרש"ל </w:t>
      </w:r>
      <w:r>
        <w:rPr>
          <w:rtl/>
        </w:rPr>
        <w:t>דאשר יצר נחשב תדיר במקום ברכה אחרונה.</w:t>
      </w:r>
    </w:p>
  </w:footnote>
  <w:footnote w:id="272">
    <w:p w14:paraId="1C75D9DE" w14:textId="77777777" w:rsidR="00BE1D1C" w:rsidRDefault="00000000" w:rsidP="00012502">
      <w:pPr>
        <w:pStyle w:val="Footnote"/>
        <w:bidi/>
      </w:pPr>
      <w:r>
        <w:rPr>
          <w:rStyle w:val="ac"/>
          <w:rtl/>
        </w:rPr>
        <w:footnoteRef/>
      </w:r>
      <w:r>
        <w:rPr>
          <w:rtl/>
        </w:rPr>
        <w:t>וכתב דנפק"מ מזה כשהאם צוותה מחיים, ושוב מתה [או נתגרשה], דאמרי' כיון דבשעת צווי 'אתה ואמך מצווים' אינו צווי כלל. דה</w:t>
      </w:r>
      <w:r>
        <w:rPr>
          <w:b/>
          <w:bCs/>
          <w:rtl/>
        </w:rPr>
        <w:t>ב"י</w:t>
      </w:r>
      <w:r>
        <w:rPr>
          <w:rtl/>
        </w:rPr>
        <w:t xml:space="preserve"> (יו"ד שעו) כתב דכשאביו מקפיד שלא יאמר קדיש על אמו, כיבוד אב עדיף על כיבוד אם. ו</w:t>
      </w:r>
      <w:r>
        <w:rPr>
          <w:b/>
          <w:bCs/>
          <w:rtl/>
        </w:rPr>
        <w:t>רע"א</w:t>
      </w:r>
      <w:r>
        <w:rPr>
          <w:rtl/>
        </w:rPr>
        <w:t xml:space="preserve"> (שם) תמה דבנתגרשה שניהם שווים, וה"ה מתה. ובזה תי' </w:t>
      </w:r>
      <w:r>
        <w:rPr>
          <w:b/>
          <w:bCs/>
          <w:rtl/>
        </w:rPr>
        <w:t>ר' ראובן</w:t>
      </w:r>
      <w:r>
        <w:rPr>
          <w:rtl/>
        </w:rPr>
        <w:t xml:space="preserve"> דכיון דבשעת צווי האם אמרי' אתה ואביך מצווין, שוב אינו מתחייב.</w:t>
      </w:r>
    </w:p>
  </w:footnote>
  <w:footnote w:id="273">
    <w:p w14:paraId="7033E300" w14:textId="77777777" w:rsidR="00BE1D1C" w:rsidRDefault="00000000" w:rsidP="00012502">
      <w:pPr>
        <w:pStyle w:val="Footnote"/>
        <w:bidi/>
      </w:pPr>
      <w:r>
        <w:rPr>
          <w:rStyle w:val="ac"/>
          <w:rtl/>
        </w:rPr>
        <w:footnoteRef/>
      </w:r>
      <w:r>
        <w:rPr>
          <w:rtl/>
        </w:rPr>
        <w:t>וה</w:t>
      </w:r>
      <w:r>
        <w:rPr>
          <w:b/>
          <w:bCs/>
          <w:rtl/>
        </w:rPr>
        <w:t>אמר"מ</w:t>
      </w:r>
      <w:r>
        <w:rPr>
          <w:rtl/>
        </w:rPr>
        <w:t xml:space="preserve"> כתב דגבי השבת אבידה לולי קרא היה הדין שיעשה מה שרוצה [דאינו מבטל בידים], ובזה מהני סברא זו דאתה ואביך.</w:t>
      </w:r>
    </w:p>
  </w:footnote>
  <w:footnote w:id="274">
    <w:p w14:paraId="11987089" w14:textId="77777777" w:rsidR="00BE1D1C" w:rsidRDefault="00000000" w:rsidP="00012502">
      <w:pPr>
        <w:pStyle w:val="Footnote"/>
        <w:bidi/>
      </w:pPr>
      <w:r>
        <w:rPr>
          <w:rStyle w:val="ac"/>
          <w:rtl/>
        </w:rPr>
        <w:footnoteRef/>
      </w:r>
      <w:r>
        <w:rPr>
          <w:rtl/>
        </w:rPr>
        <w:t>אלא הוה גמירנא מציצית דדחו דמה לי חומרא רבה ומ"ל חומרא זוטרא, וכי חזינן בקרא אחרינא דלא דחי דרשינן עליה נמי לכיו"ב דלא דחי הא בכל התורה דחי ודומיא דציצית.</w:t>
      </w:r>
    </w:p>
  </w:footnote>
  <w:footnote w:id="275">
    <w:p w14:paraId="20220339" w14:textId="77777777" w:rsidR="00BE1D1C" w:rsidRDefault="00000000" w:rsidP="00012502">
      <w:pPr>
        <w:pStyle w:val="Footnote"/>
        <w:bidi/>
      </w:pPr>
      <w:r>
        <w:rPr>
          <w:rStyle w:val="ac"/>
          <w:rtl/>
        </w:rPr>
        <w:footnoteRef/>
      </w:r>
      <w:r>
        <w:rPr>
          <w:rtl/>
        </w:rPr>
        <w:t>וה</w:t>
      </w:r>
      <w:r>
        <w:rPr>
          <w:b/>
          <w:bCs/>
          <w:rtl/>
        </w:rPr>
        <w:t xml:space="preserve">אחרונים </w:t>
      </w:r>
      <w:r>
        <w:rPr>
          <w:rtl/>
        </w:rPr>
        <w:t>כתבו דע"כ 'מאי אולמיה' אינו כפשוטו דהוה עשה נגד עשה, דדעת הרשב"א [ועוד ראשונים] דסברת אין עשה דוחה ל"ת ועשה, משום אלימות הל"ת דמסייע לו העשה [דעשה דוחה לאו הבא מכלל עשה]. אלא דסברת כולכם חייבים מהני כנגד אלימות זו.</w:t>
      </w:r>
    </w:p>
  </w:footnote>
  <w:footnote w:id="276">
    <w:p w14:paraId="53E2782C" w14:textId="77777777" w:rsidR="00BE1D1C" w:rsidRDefault="00000000" w:rsidP="00012502">
      <w:pPr>
        <w:pStyle w:val="Footnote"/>
        <w:bidi/>
      </w:pPr>
      <w:r>
        <w:rPr>
          <w:rStyle w:val="ac"/>
          <w:rtl/>
        </w:rPr>
        <w:footnoteRef/>
      </w:r>
      <w:r>
        <w:rPr>
          <w:rtl/>
        </w:rPr>
        <w:t>ודימה לזה הא דעשה דאפשר לבטלו [אי אמרה לא בעינא], קיל ולא דחי ל"ת.</w:t>
      </w:r>
    </w:p>
  </w:footnote>
  <w:footnote w:id="277">
    <w:p w14:paraId="3229215A" w14:textId="77777777" w:rsidR="00BE1D1C" w:rsidRDefault="00000000" w:rsidP="00012502">
      <w:pPr>
        <w:pStyle w:val="Footnote"/>
        <w:bidi/>
      </w:pPr>
      <w:r>
        <w:rPr>
          <w:rStyle w:val="ac"/>
          <w:rtl/>
        </w:rPr>
        <w:footnoteRef/>
      </w:r>
      <w:r>
        <w:rPr>
          <w:rtl/>
        </w:rPr>
        <w:t>ע' ר"ן (ע"ז ד: בדה"ר).</w:t>
      </w:r>
    </w:p>
  </w:footnote>
  <w:footnote w:id="278">
    <w:p w14:paraId="6EF14CB7" w14:textId="77777777" w:rsidR="00BE1D1C" w:rsidRDefault="00000000" w:rsidP="00012502">
      <w:pPr>
        <w:pStyle w:val="Footnote"/>
        <w:bidi/>
      </w:pPr>
      <w:r>
        <w:rPr>
          <w:rStyle w:val="ac"/>
          <w:rtl/>
        </w:rPr>
        <w:footnoteRef/>
      </w:r>
      <w:r>
        <w:rPr>
          <w:rtl/>
        </w:rPr>
        <w:t xml:space="preserve">והביאו כן ממש"כ </w:t>
      </w:r>
      <w:r>
        <w:rPr>
          <w:b/>
          <w:bCs/>
          <w:rtl/>
        </w:rPr>
        <w:t>תוס</w:t>
      </w:r>
      <w:r>
        <w:rPr>
          <w:rtl/>
        </w:rPr>
        <w:t>' (ה: ד"ה כולה) דמשום שלא לענות הדין [וכדו'] לא אמרי' דיכול להמתין.</w:t>
      </w:r>
    </w:p>
  </w:footnote>
  <w:footnote w:id="279">
    <w:p w14:paraId="3A18EC36" w14:textId="77777777" w:rsidR="00BE1D1C" w:rsidRDefault="00000000" w:rsidP="00012502">
      <w:pPr>
        <w:pStyle w:val="Footnote"/>
        <w:bidi/>
      </w:pPr>
      <w:r>
        <w:rPr>
          <w:rStyle w:val="ac"/>
          <w:rtl/>
        </w:rPr>
        <w:footnoteRef/>
      </w:r>
      <w:r>
        <w:rPr>
          <w:rtl/>
        </w:rPr>
        <w:t>ורב זביד הביא בשם רמי בר חמא דחייב סקילה, אבל בשוגג אינו חייב חטאת.</w:t>
      </w:r>
    </w:p>
  </w:footnote>
  <w:footnote w:id="280">
    <w:p w14:paraId="692AA476" w14:textId="77777777" w:rsidR="00BE1D1C" w:rsidRDefault="00000000" w:rsidP="00012502">
      <w:pPr>
        <w:pStyle w:val="Footnote"/>
        <w:bidi/>
      </w:pPr>
      <w:r>
        <w:rPr>
          <w:rStyle w:val="ac"/>
          <w:rtl/>
        </w:rPr>
        <w:footnoteRef/>
      </w:r>
      <w:r>
        <w:rPr>
          <w:rtl/>
        </w:rPr>
        <w:t>וב</w:t>
      </w:r>
      <w:r>
        <w:rPr>
          <w:b/>
          <w:bCs/>
          <w:rtl/>
        </w:rPr>
        <w:t>חי' הגר"נ</w:t>
      </w:r>
      <w:r>
        <w:rPr>
          <w:rtl/>
        </w:rPr>
        <w:t xml:space="preserve"> כת' דיש ב' הגדרות של דחייה, משום דהותר או משום דאלים, ומש"ה בעי לב' הטעמים.</w:t>
      </w:r>
    </w:p>
  </w:footnote>
  <w:footnote w:id="281">
    <w:p w14:paraId="23F442B2" w14:textId="77777777" w:rsidR="00BE1D1C" w:rsidRDefault="00000000" w:rsidP="00012502">
      <w:pPr>
        <w:pStyle w:val="Footnote"/>
        <w:bidi/>
      </w:pPr>
      <w:r>
        <w:rPr>
          <w:rStyle w:val="ac"/>
          <w:rtl/>
        </w:rPr>
        <w:footnoteRef/>
      </w:r>
      <w:r>
        <w:rPr>
          <w:rtl/>
        </w:rPr>
        <w:t>וצ"ב דעכ"פ במצווה דרבנן נימא שעשה ידחה, ואינו סותר לדין התורה.</w:t>
      </w:r>
    </w:p>
  </w:footnote>
  <w:footnote w:id="282">
    <w:p w14:paraId="6CAF7BDB" w14:textId="77777777" w:rsidR="00BE1D1C" w:rsidRDefault="00000000" w:rsidP="00012502">
      <w:pPr>
        <w:pStyle w:val="Footnote"/>
        <w:bidi/>
      </w:pPr>
      <w:r>
        <w:rPr>
          <w:rStyle w:val="ac"/>
          <w:rtl/>
        </w:rPr>
        <w:footnoteRef/>
      </w:r>
      <w:r>
        <w:rPr>
          <w:rtl/>
        </w:rPr>
        <w:t>פ</w:t>
      </w:r>
      <w:r>
        <w:rPr>
          <w:b/>
          <w:bCs/>
          <w:rtl/>
        </w:rPr>
        <w:t>רש"י</w:t>
      </w:r>
      <w:r>
        <w:rPr>
          <w:rtl/>
        </w:rPr>
        <w:t xml:space="preserve"> להשיב אבידה. וצ"ב מנ"ל דאיירי כשצווה להשיב אבידה [היפך הבבא שאח"כ, שאמר לו לא להשיב].</w:t>
      </w:r>
    </w:p>
  </w:footnote>
  <w:footnote w:id="283">
    <w:p w14:paraId="232F6E8E" w14:textId="77777777" w:rsidR="00BE1D1C" w:rsidRDefault="00000000" w:rsidP="00012502">
      <w:pPr>
        <w:pStyle w:val="Footnote"/>
        <w:bidi/>
      </w:pPr>
      <w:r>
        <w:rPr>
          <w:rStyle w:val="ac"/>
          <w:rtl/>
        </w:rPr>
        <w:footnoteRef/>
      </w:r>
      <w:r>
        <w:rPr>
          <w:rtl/>
        </w:rPr>
        <w:t>והביא כדאי' (קידושין לא:) כבוד אב מאכילו ומשקהו מלבישו מנעילו.</w:t>
      </w:r>
    </w:p>
  </w:footnote>
  <w:footnote w:id="284">
    <w:p w14:paraId="6DB109EF" w14:textId="77777777" w:rsidR="00BE1D1C" w:rsidRDefault="00000000" w:rsidP="00012502">
      <w:pPr>
        <w:pStyle w:val="Footnote"/>
        <w:bidi/>
      </w:pPr>
      <w:r>
        <w:rPr>
          <w:rStyle w:val="ac"/>
          <w:rtl/>
        </w:rPr>
        <w:footnoteRef/>
      </w:r>
      <w:r>
        <w:rPr>
          <w:rtl/>
        </w:rPr>
        <w:t>מבואר כוונתו דבמה שצווה לבנו לעבור על דברי התורה יצא מכלל עמיתך. [ואפשר דדוקא להא מילתא נחשב רשע, דנחשב צווי של רשעות].</w:t>
      </w:r>
    </w:p>
  </w:footnote>
  <w:footnote w:id="285">
    <w:p w14:paraId="3BD7198C" w14:textId="77777777" w:rsidR="00BE1D1C" w:rsidRDefault="00000000" w:rsidP="00012502">
      <w:pPr>
        <w:pStyle w:val="Footnote"/>
        <w:bidi/>
      </w:pPr>
      <w:r>
        <w:rPr>
          <w:rStyle w:val="ac"/>
          <w:rtl/>
        </w:rPr>
        <w:footnoteRef/>
      </w:r>
      <w:r>
        <w:rPr>
          <w:rtl/>
        </w:rPr>
        <w:t>ועד"ז דעת ה</w:t>
      </w:r>
      <w:r>
        <w:rPr>
          <w:b/>
          <w:bCs/>
          <w:rtl/>
        </w:rPr>
        <w:t>רמב"ם</w:t>
      </w:r>
      <w:r>
        <w:rPr>
          <w:rtl/>
        </w:rPr>
        <w:t xml:space="preserve"> (ממרים ד). וע"ע רמב"ן ס' המצוות (שורש א).</w:t>
      </w:r>
    </w:p>
  </w:footnote>
  <w:footnote w:id="286">
    <w:p w14:paraId="45FBF649" w14:textId="77777777" w:rsidR="00BE1D1C" w:rsidRDefault="00000000" w:rsidP="00012502">
      <w:pPr>
        <w:pStyle w:val="Footnote"/>
        <w:bidi/>
      </w:pPr>
      <w:r>
        <w:rPr>
          <w:rStyle w:val="ac"/>
          <w:rtl/>
        </w:rPr>
        <w:footnoteRef/>
      </w:r>
      <w:r>
        <w:rPr>
          <w:rtl/>
        </w:rPr>
        <w:t>וכדאי' ב</w:t>
      </w:r>
      <w:r>
        <w:rPr>
          <w:b/>
          <w:bCs/>
          <w:rtl/>
        </w:rPr>
        <w:t>מדרש</w:t>
      </w:r>
      <w:r>
        <w:rPr>
          <w:rtl/>
        </w:rPr>
        <w:t xml:space="preserve"> (רבה נשא יד) דאביו הוה כמו מלך, שלא ישמע לו לעבור על דברי תורה.</w:t>
      </w:r>
    </w:p>
  </w:footnote>
  <w:footnote w:id="287">
    <w:p w14:paraId="6E2433F8" w14:textId="77777777" w:rsidR="00BE1D1C" w:rsidRDefault="00000000" w:rsidP="00012502">
      <w:pPr>
        <w:pStyle w:val="Footnote"/>
        <w:bidi/>
      </w:pPr>
      <w:r>
        <w:rPr>
          <w:rStyle w:val="ac"/>
          <w:rtl/>
        </w:rPr>
        <w:footnoteRef/>
      </w:r>
      <w:r>
        <w:rPr>
          <w:rtl/>
        </w:rPr>
        <w:t>וה</w:t>
      </w:r>
      <w:r>
        <w:rPr>
          <w:b/>
          <w:bCs/>
          <w:rtl/>
        </w:rPr>
        <w:t>גר"א</w:t>
      </w:r>
      <w:r>
        <w:rPr>
          <w:rtl/>
        </w:rPr>
        <w:t xml:space="preserve"> ציין לתוד"ה ניגמר, וד"ה והא וד"ה שכן.</w:t>
      </w:r>
    </w:p>
  </w:footnote>
  <w:footnote w:id="288">
    <w:p w14:paraId="7DEAAF0B" w14:textId="77777777" w:rsidR="00BE1D1C" w:rsidRDefault="00000000" w:rsidP="00012502">
      <w:pPr>
        <w:pStyle w:val="Footnote"/>
        <w:bidi/>
      </w:pPr>
      <w:r>
        <w:rPr>
          <w:rStyle w:val="ac"/>
          <w:rtl/>
        </w:rPr>
        <w:footnoteRef/>
      </w:r>
      <w:r>
        <w:rPr>
          <w:rtl/>
        </w:rPr>
        <w:t>וה</w:t>
      </w:r>
      <w:r>
        <w:rPr>
          <w:b/>
          <w:bCs/>
          <w:rtl/>
        </w:rPr>
        <w:t>שעה"מ</w:t>
      </w:r>
      <w:r>
        <w:rPr>
          <w:rtl/>
        </w:rPr>
        <w:t xml:space="preserve"> (ע"ז יב ג ד"ה ודע שלדעת) תי' דלדעת ה</w:t>
      </w:r>
      <w:r>
        <w:rPr>
          <w:b/>
          <w:bCs/>
          <w:rtl/>
        </w:rPr>
        <w:t>י"מ</w:t>
      </w:r>
      <w:r>
        <w:rPr>
          <w:rtl/>
        </w:rPr>
        <w:t xml:space="preserve"> בתוס' (קידו' לד.) נשים אינן מצוות בעשה זה. ונפק"מ אצל נשים.</w:t>
      </w:r>
    </w:p>
  </w:footnote>
  <w:footnote w:id="289">
    <w:p w14:paraId="2F4A463D" w14:textId="77777777" w:rsidR="00BE1D1C" w:rsidRDefault="00000000" w:rsidP="00012502">
      <w:pPr>
        <w:pStyle w:val="Footnote"/>
        <w:bidi/>
      </w:pPr>
      <w:r>
        <w:rPr>
          <w:rStyle w:val="ac"/>
          <w:rtl/>
        </w:rPr>
        <w:footnoteRef/>
      </w:r>
      <w:r>
        <w:rPr>
          <w:rtl/>
        </w:rPr>
        <w:t>אך תוס' הק' מעשה דלמען ינוח שורך.</w:t>
      </w:r>
    </w:p>
  </w:footnote>
  <w:footnote w:id="290">
    <w:p w14:paraId="4F7554C5" w14:textId="77777777" w:rsidR="00BE1D1C" w:rsidRDefault="00000000" w:rsidP="00012502">
      <w:pPr>
        <w:pStyle w:val="Footnote"/>
        <w:bidi/>
      </w:pPr>
      <w:r>
        <w:rPr>
          <w:rStyle w:val="ac"/>
          <w:rtl/>
        </w:rPr>
        <w:footnoteRef/>
      </w:r>
      <w:r>
        <w:rPr>
          <w:rtl/>
        </w:rPr>
        <w:t>וה</w:t>
      </w:r>
      <w:r>
        <w:rPr>
          <w:b/>
          <w:bCs/>
          <w:rtl/>
        </w:rPr>
        <w:t>מנח"ח</w:t>
      </w:r>
      <w:r>
        <w:rPr>
          <w:rtl/>
        </w:rPr>
        <w:t xml:space="preserve"> (כד יג) כתב דנפק"מ בזה בגוי ששבת, והלך י"ב מיל [וכן מחמר], דאם עבר על עשה לא שבת, ולדברי רבינו יונה הרי שבת.</w:t>
      </w:r>
    </w:p>
  </w:footnote>
  <w:footnote w:id="291">
    <w:p w14:paraId="6341F5C3" w14:textId="77777777" w:rsidR="00BE1D1C" w:rsidRDefault="00000000" w:rsidP="00012502">
      <w:pPr>
        <w:pStyle w:val="Footnote"/>
        <w:bidi/>
      </w:pPr>
      <w:r>
        <w:rPr>
          <w:rStyle w:val="ac"/>
          <w:rtl/>
        </w:rPr>
        <w:footnoteRef/>
      </w:r>
      <w:r>
        <w:rPr>
          <w:rtl/>
        </w:rPr>
        <w:t>ועי"ש שדן משום דאינו בעידנא.</w:t>
      </w:r>
    </w:p>
  </w:footnote>
  <w:footnote w:id="292">
    <w:p w14:paraId="747E1EC4" w14:textId="77777777" w:rsidR="00BE1D1C" w:rsidRDefault="00000000" w:rsidP="00012502">
      <w:pPr>
        <w:pStyle w:val="Footnote"/>
        <w:bidi/>
      </w:pPr>
      <w:r>
        <w:rPr>
          <w:rStyle w:val="ac"/>
          <w:rtl/>
        </w:rPr>
        <w:footnoteRef/>
      </w:r>
      <w:r>
        <w:rPr>
          <w:rtl/>
        </w:rPr>
        <w:t>[וצ"ב דהא יכול לבקש מאחר לבשל, או לקנות ממנו אוכל מוכן. ואי משום דאין לפניו אחר, א"כ אמאי חשיב גוף המצווה טפי]. ויל"ד אי כוונת רש"י באופן שהאב צווה לבשל, או אף כשצווה להביא לו אוכל, כיון דנעשה דרך בישול זהו כיבודו.</w:t>
      </w:r>
    </w:p>
  </w:footnote>
  <w:footnote w:id="293">
    <w:p w14:paraId="256F38BF" w14:textId="77777777" w:rsidR="00BE1D1C" w:rsidRDefault="00000000" w:rsidP="00012502">
      <w:pPr>
        <w:pStyle w:val="Footnote"/>
        <w:bidi/>
      </w:pPr>
      <w:r>
        <w:rPr>
          <w:rStyle w:val="ac"/>
          <w:rtl/>
        </w:rPr>
        <w:footnoteRef/>
      </w:r>
      <w:r>
        <w:rPr>
          <w:rtl/>
        </w:rPr>
        <w:t>והכשר מצווה פי' חפצא דמצווה. וה</w:t>
      </w:r>
      <w:r>
        <w:rPr>
          <w:b/>
          <w:bCs/>
          <w:rtl/>
        </w:rPr>
        <w:t>ראשונים</w:t>
      </w:r>
      <w:r>
        <w:rPr>
          <w:rtl/>
        </w:rPr>
        <w:t xml:space="preserve"> (ריטב"א) הק' דלשון הכשר משמע מתקן ומכשיר. [וכפי' תוס' ושא"ר דהוה מכשירין, היפך פרש"י].</w:t>
      </w:r>
    </w:p>
    <w:p w14:paraId="36E0AE76" w14:textId="77777777" w:rsidR="00BE1D1C" w:rsidRDefault="00000000" w:rsidP="00012502">
      <w:pPr>
        <w:pStyle w:val="Footnote"/>
        <w:bidi/>
      </w:pPr>
      <w:r>
        <w:rPr>
          <w:rtl/>
        </w:rPr>
        <w:tab/>
        <w:t>וה</w:t>
      </w:r>
      <w:r>
        <w:rPr>
          <w:b/>
          <w:bCs/>
          <w:rtl/>
        </w:rPr>
        <w:t>גמ'</w:t>
      </w:r>
      <w:r>
        <w:rPr>
          <w:rtl/>
        </w:rPr>
        <w:t xml:space="preserve"> (סוטה יז:) נקטה הלשון הכשר מצווה על עפר כיסוי הדם, ומשמע דכוונת הגמ' דהוה מצווה בעצם. [וע"ד פרש"י]. וכן </w:t>
      </w:r>
      <w:r>
        <w:rPr>
          <w:b/>
          <w:bCs/>
          <w:rtl/>
        </w:rPr>
        <w:t>רש"י</w:t>
      </w:r>
      <w:r>
        <w:rPr>
          <w:rtl/>
        </w:rPr>
        <w:t xml:space="preserve"> (בכורות כט.) כת' דרשאי ליטול שכר על הבאת אפר פרה אדומה, דעדיין לא הוה הכשר מצווה. וה</w:t>
      </w:r>
      <w:r>
        <w:rPr>
          <w:b/>
          <w:bCs/>
          <w:rtl/>
        </w:rPr>
        <w:t>ראשונים</w:t>
      </w:r>
      <w:r>
        <w:rPr>
          <w:rtl/>
        </w:rPr>
        <w:t xml:space="preserve"> (ויקרא ל יח) הביאו דכיור הוה 'הכשר מצווה', ומש"ה לא מנאו בכלל שאר כלי המשכן.</w:t>
      </w:r>
    </w:p>
  </w:footnote>
  <w:footnote w:id="294">
    <w:p w14:paraId="6491ABBF" w14:textId="77777777" w:rsidR="00BE1D1C" w:rsidRDefault="00000000" w:rsidP="00012502">
      <w:pPr>
        <w:pStyle w:val="Footnote"/>
        <w:bidi/>
      </w:pPr>
      <w:r>
        <w:rPr>
          <w:rStyle w:val="ac"/>
          <w:rtl/>
        </w:rPr>
        <w:footnoteRef/>
      </w:r>
      <w:r>
        <w:rPr>
          <w:rtl/>
        </w:rPr>
        <w:t>ולפ</w:t>
      </w:r>
      <w:r>
        <w:rPr>
          <w:b/>
          <w:bCs/>
          <w:rtl/>
        </w:rPr>
        <w:t>רש"י</w:t>
      </w:r>
      <w:r>
        <w:rPr>
          <w:rtl/>
        </w:rPr>
        <w:t xml:space="preserve"> הנידון ללמוד יבום מכיבוד אב. ואילו לתוס' ושא"ר הנידון ללמוד כל עשה דוחה ל"ת מכיבוד אב.</w:t>
      </w:r>
    </w:p>
  </w:footnote>
  <w:footnote w:id="295">
    <w:p w14:paraId="4376B825" w14:textId="77777777" w:rsidR="00BE1D1C" w:rsidRDefault="00000000" w:rsidP="00012502">
      <w:pPr>
        <w:pStyle w:val="Footnote"/>
        <w:bidi/>
      </w:pPr>
      <w:r>
        <w:rPr>
          <w:rStyle w:val="ac"/>
          <w:rtl/>
        </w:rPr>
        <w:footnoteRef/>
      </w:r>
      <w:r>
        <w:rPr>
          <w:rtl/>
        </w:rPr>
        <w:t>וה</w:t>
      </w:r>
      <w:r>
        <w:rPr>
          <w:b/>
          <w:bCs/>
          <w:rtl/>
        </w:rPr>
        <w:t>תו"י</w:t>
      </w:r>
      <w:r>
        <w:rPr>
          <w:rtl/>
        </w:rPr>
        <w:t xml:space="preserve"> (א) הק' דמ"מ איצטריך עליה לפטור מחליצה. וה</w:t>
      </w:r>
      <w:r>
        <w:rPr>
          <w:b/>
          <w:bCs/>
          <w:rtl/>
        </w:rPr>
        <w:t>אחרונים</w:t>
      </w:r>
      <w:r>
        <w:rPr>
          <w:rtl/>
        </w:rPr>
        <w:t xml:space="preserve"> ביארו דלפרש"י קו' הגמ' על הברייתא (ג:) דמשמע דס"ד דמתייבמת.</w:t>
      </w:r>
    </w:p>
  </w:footnote>
  <w:footnote w:id="296">
    <w:p w14:paraId="3C8343A6" w14:textId="77777777" w:rsidR="00BE1D1C" w:rsidRDefault="00000000" w:rsidP="00012502">
      <w:pPr>
        <w:pStyle w:val="Footnote"/>
        <w:bidi/>
      </w:pPr>
      <w:r>
        <w:rPr>
          <w:rStyle w:val="ac"/>
          <w:rtl/>
        </w:rPr>
        <w:footnoteRef/>
      </w:r>
      <w:r>
        <w:rPr>
          <w:rtl/>
        </w:rPr>
        <w:t>ויל"ד דרש"י קאי דוקא בלא תעשה שיש בו כרת, אבל י"ל דהכשר מצווה דוחה שאר ל"ת.</w:t>
      </w:r>
    </w:p>
  </w:footnote>
  <w:footnote w:id="297">
    <w:p w14:paraId="12C719D7" w14:textId="77777777" w:rsidR="00BE1D1C" w:rsidRDefault="00000000" w:rsidP="00012502">
      <w:pPr>
        <w:pStyle w:val="Footnote"/>
        <w:bidi/>
      </w:pPr>
      <w:r>
        <w:rPr>
          <w:rStyle w:val="ac"/>
          <w:rtl/>
        </w:rPr>
        <w:footnoteRef/>
      </w:r>
      <w:r>
        <w:rPr>
          <w:rtl/>
        </w:rPr>
        <w:t>[ותוס' הק' דמשמע דבשום מקום אינו דוחה].</w:t>
      </w:r>
    </w:p>
  </w:footnote>
  <w:footnote w:id="298">
    <w:p w14:paraId="7B36FB1C" w14:textId="77777777" w:rsidR="00BE1D1C" w:rsidRDefault="00000000" w:rsidP="00012502">
      <w:pPr>
        <w:pStyle w:val="Footnote"/>
        <w:bidi/>
      </w:pPr>
      <w:r>
        <w:rPr>
          <w:rStyle w:val="ac"/>
          <w:rtl/>
        </w:rPr>
        <w:footnoteRef/>
      </w:r>
      <w:r>
        <w:rPr>
          <w:rtl/>
        </w:rPr>
        <w:t>[ובגמ' (מכות ח.) אי' גבי חטיבת עצים דסוכה ועצי מערכה, כיון דאי מצא חטוב אינו חוטב לאו מצווה היא]. ועוד הביאו דהגמ' (יומא מח:) מסתפקת אי יש מחשבת פיגול בחתיית גחלים לקטרת, מכשירי מצווה כמצוה או לא.</w:t>
      </w:r>
    </w:p>
    <w:p w14:paraId="074C4F3F" w14:textId="77777777" w:rsidR="00BE1D1C" w:rsidRDefault="00000000" w:rsidP="00012502">
      <w:pPr>
        <w:pStyle w:val="Footnote"/>
        <w:bidi/>
      </w:pPr>
      <w:r>
        <w:rPr>
          <w:rtl/>
        </w:rPr>
        <w:tab/>
        <w:t>ולדעת ר"א (שבת קלא.) מכשירי מילה ושאר מצוות דוחה שבת. ויש תנא [עירובין קד.] דפליג בחדא, ומודה דמכשירין דא"א מבעוד יום דחי.</w:t>
      </w:r>
    </w:p>
  </w:footnote>
  <w:footnote w:id="299">
    <w:p w14:paraId="1588D0EC" w14:textId="77777777" w:rsidR="00BE1D1C" w:rsidRDefault="00000000" w:rsidP="00012502">
      <w:pPr>
        <w:pStyle w:val="Footnote"/>
        <w:bidi/>
      </w:pPr>
      <w:r>
        <w:rPr>
          <w:rStyle w:val="ac"/>
          <w:rtl/>
        </w:rPr>
        <w:footnoteRef/>
      </w:r>
      <w:r>
        <w:rPr>
          <w:rtl/>
        </w:rPr>
        <w:t>וה</w:t>
      </w:r>
      <w:r>
        <w:rPr>
          <w:b/>
          <w:bCs/>
          <w:rtl/>
        </w:rPr>
        <w:t>אתוון דאורייתא</w:t>
      </w:r>
      <w:r>
        <w:rPr>
          <w:rtl/>
        </w:rPr>
        <w:t xml:space="preserve"> (יג בקו"א) כת' דה"מ לאחר דילפי' 'עליה' לפטור. אבל לולי קרא אף דאין עשה דוחה ל"ת שיש בו כרת, ואריא רביע עליה, מ"מ חולצת.</w:t>
      </w:r>
    </w:p>
  </w:footnote>
  <w:footnote w:id="300">
    <w:p w14:paraId="3CC3A794" w14:textId="77777777" w:rsidR="00BE1D1C" w:rsidRDefault="00000000" w:rsidP="00012502">
      <w:pPr>
        <w:pStyle w:val="Footnote"/>
        <w:bidi/>
      </w:pPr>
      <w:r>
        <w:rPr>
          <w:rStyle w:val="ac"/>
          <w:rtl/>
        </w:rPr>
        <w:footnoteRef/>
      </w:r>
      <w:r>
        <w:rPr>
          <w:rtl/>
        </w:rPr>
        <w:t>ויל"ד האם כוונתו דל"ש כלל בסיבות הדין עשה דוחה ל"ת, אלא בדין למעשה. או דפרשת עדל"ת דהתורה נאמר רק במה שהותר בפועל.</w:t>
      </w:r>
    </w:p>
  </w:footnote>
  <w:footnote w:id="301">
    <w:p w14:paraId="3900BB4C" w14:textId="77777777" w:rsidR="00BE1D1C" w:rsidRDefault="00000000" w:rsidP="00012502">
      <w:pPr>
        <w:pStyle w:val="Footnote"/>
        <w:bidi/>
      </w:pPr>
      <w:r>
        <w:rPr>
          <w:rStyle w:val="ac"/>
          <w:rtl/>
        </w:rPr>
        <w:footnoteRef/>
      </w:r>
      <w:r>
        <w:rPr>
          <w:rtl/>
        </w:rPr>
        <w:t>וב</w:t>
      </w:r>
      <w:r>
        <w:rPr>
          <w:b/>
          <w:bCs/>
          <w:rtl/>
        </w:rPr>
        <w:t>חי' ר' אברהם מן ההר</w:t>
      </w:r>
      <w:r>
        <w:rPr>
          <w:rtl/>
        </w:rPr>
        <w:t xml:space="preserve"> כתב לדעת רש"י דסוגיין פליג על סוגיא דלקמן.</w:t>
      </w:r>
    </w:p>
  </w:footnote>
  <w:footnote w:id="302">
    <w:p w14:paraId="6C1E26FA" w14:textId="77777777" w:rsidR="00BE1D1C" w:rsidRDefault="00000000" w:rsidP="00012502">
      <w:pPr>
        <w:pStyle w:val="Footnote"/>
        <w:bidi/>
      </w:pPr>
      <w:r>
        <w:rPr>
          <w:rStyle w:val="ac"/>
          <w:rtl/>
        </w:rPr>
        <w:footnoteRef/>
      </w:r>
      <w:r>
        <w:rPr>
          <w:rtl/>
        </w:rPr>
        <w:t>ותי' בזה הקו' דלעיל [דמחק המהרש"ל] ל"ל קרא בכלאים.</w:t>
      </w:r>
    </w:p>
  </w:footnote>
  <w:footnote w:id="303">
    <w:p w14:paraId="5BCA32E3" w14:textId="77777777" w:rsidR="00BE1D1C" w:rsidRDefault="00000000" w:rsidP="00012502">
      <w:pPr>
        <w:pStyle w:val="Footnote"/>
        <w:bidi/>
      </w:pPr>
      <w:r>
        <w:rPr>
          <w:rStyle w:val="ac"/>
          <w:rtl/>
        </w:rPr>
        <w:footnoteRef/>
      </w:r>
      <w:r>
        <w:rPr>
          <w:rtl/>
        </w:rPr>
        <w:t>[א"כ אמאי הגמ' שם דנה עשה דוחה ל"ת, הא לא דחי אלא בעידנא דמקיים עשה, כדאי' שבת קלב: וכ"מ].</w:t>
      </w:r>
    </w:p>
  </w:footnote>
  <w:footnote w:id="304">
    <w:p w14:paraId="770F2838" w14:textId="77777777" w:rsidR="00BE1D1C" w:rsidRDefault="00000000" w:rsidP="00012502">
      <w:pPr>
        <w:pStyle w:val="Footnote"/>
        <w:bidi/>
      </w:pPr>
      <w:r>
        <w:rPr>
          <w:rStyle w:val="ac"/>
          <w:rtl/>
        </w:rPr>
        <w:footnoteRef/>
      </w:r>
      <w:r>
        <w:rPr>
          <w:rtl/>
        </w:rPr>
        <w:t>והוה תחילת המצווה, וכמו מילה בצרעת שקצץ הבהרת, ואף שלא גמר המצווה עד דפרע. וה</w:t>
      </w:r>
      <w:r>
        <w:rPr>
          <w:b/>
          <w:bCs/>
          <w:rtl/>
        </w:rPr>
        <w:t>נמוק"י</w:t>
      </w:r>
      <w:r>
        <w:rPr>
          <w:rtl/>
        </w:rPr>
        <w:t xml:space="preserve"> (שם) דחה דגבי מילה הוה מקצת מגוף המצוה. אבל עיקר מצוות השבת אבידה להחזיר לבעלים, ונטילת האבידה הוה כעין מכשירי מצווה.</w:t>
      </w:r>
    </w:p>
  </w:footnote>
  <w:footnote w:id="305">
    <w:p w14:paraId="1B86F2EB" w14:textId="77777777" w:rsidR="00BE1D1C" w:rsidRDefault="00000000" w:rsidP="00012502">
      <w:pPr>
        <w:pStyle w:val="Footnote"/>
        <w:bidi/>
      </w:pPr>
      <w:r>
        <w:rPr>
          <w:rStyle w:val="ac"/>
          <w:rtl/>
        </w:rPr>
        <w:footnoteRef/>
      </w:r>
      <w:r>
        <w:rPr>
          <w:rtl/>
        </w:rPr>
        <w:t>והביא דכ"כ ב</w:t>
      </w:r>
      <w:r>
        <w:rPr>
          <w:b/>
          <w:bCs/>
          <w:rtl/>
        </w:rPr>
        <w:t>פסקי תוס'</w:t>
      </w:r>
      <w:r>
        <w:rPr>
          <w:rtl/>
        </w:rPr>
        <w:t xml:space="preserve"> (זבחים צז:) דשייך עשה דוחה ל"ת בשבירת עצם דפסח, כיון דלעולם א"א בלאו הכי לא בעינן בעידנא. [ובדברי הפסקי תוס' משמע דהגדר דל"צ בעידנא, ואילו לטור"א הגדר דנחשב בעידנא].</w:t>
      </w:r>
    </w:p>
    <w:p w14:paraId="2321DD8A" w14:textId="77777777" w:rsidR="00BE1D1C" w:rsidRDefault="00000000" w:rsidP="00012502">
      <w:pPr>
        <w:pStyle w:val="Footnote"/>
        <w:bidi/>
      </w:pPr>
      <w:r>
        <w:rPr>
          <w:rtl/>
        </w:rPr>
        <w:tab/>
        <w:t>וה</w:t>
      </w:r>
      <w:r>
        <w:rPr>
          <w:b/>
          <w:bCs/>
          <w:rtl/>
        </w:rPr>
        <w:t>טור"א</w:t>
      </w:r>
      <w:r>
        <w:rPr>
          <w:rtl/>
        </w:rPr>
        <w:t xml:space="preserve"> חלק בזה אמש"כ </w:t>
      </w:r>
      <w:r>
        <w:rPr>
          <w:b/>
          <w:bCs/>
          <w:rtl/>
        </w:rPr>
        <w:t>תוס</w:t>
      </w:r>
      <w:r>
        <w:rPr>
          <w:rtl/>
        </w:rPr>
        <w:t>' (גיטין מא. וב"ב יג.) בחד תי' דל"ש עשה לדחות לאו דלא יהא קדש [בחצי עבד], דעובר בשעת העראה ולא הוה בעידנא. [ויש שהעתיקו דברי התוס' דהוה מכשירי מצווה]. והטור"א חלק דא"א בלאו הכי, א"כ אפ"ה דחי.</w:t>
      </w:r>
    </w:p>
  </w:footnote>
  <w:footnote w:id="306">
    <w:p w14:paraId="653CCB80" w14:textId="77777777" w:rsidR="00BE1D1C" w:rsidRDefault="00000000" w:rsidP="00012502">
      <w:pPr>
        <w:pStyle w:val="Footnote"/>
        <w:bidi/>
      </w:pPr>
      <w:r>
        <w:rPr>
          <w:rStyle w:val="ac"/>
          <w:rtl/>
        </w:rPr>
        <w:footnoteRef/>
      </w:r>
      <w:r>
        <w:rPr>
          <w:rtl/>
        </w:rPr>
        <w:t>והביא הא דאי' (מכות ח:) כיון דאי מצא קצור אי"צ לקצור, מש"ה לא נחשב מצווה.</w:t>
      </w:r>
    </w:p>
  </w:footnote>
  <w:footnote w:id="307">
    <w:p w14:paraId="6857DB91" w14:textId="77777777" w:rsidR="00BE1D1C" w:rsidRDefault="00000000" w:rsidP="00012502">
      <w:pPr>
        <w:pStyle w:val="Footnote"/>
        <w:bidi/>
      </w:pPr>
      <w:r>
        <w:rPr>
          <w:rStyle w:val="ac"/>
          <w:rtl/>
        </w:rPr>
        <w:footnoteRef/>
      </w:r>
      <w:r>
        <w:rPr>
          <w:rtl/>
        </w:rPr>
        <w:t>ויש שהק' איך מצטרף ל'רוב' מה שאינו מגוף המצוה. והוכיחו דאף 'הכשר המצוה' נחשב קיום המצווה [ולא מכשירין בעלמא].</w:t>
      </w:r>
    </w:p>
    <w:p w14:paraId="0D8F435D" w14:textId="77777777" w:rsidR="00BE1D1C" w:rsidRDefault="00000000" w:rsidP="00012502">
      <w:pPr>
        <w:pStyle w:val="Footnote"/>
        <w:bidi/>
      </w:pPr>
      <w:r>
        <w:rPr>
          <w:rtl/>
        </w:rPr>
        <w:tab/>
        <w:t>ועוד צ"ב מש"כ תוס' 'רוב עניני כיבוד' הוה הכשר, מנ"ל דהרוב לא הוה ההאכלה גופיה. ויש שפי' דכוונת התוס' רוב מקומות שיש דחייה [דהא האכלה ממש אין בו דחייה].</w:t>
      </w:r>
    </w:p>
  </w:footnote>
  <w:footnote w:id="308">
    <w:p w14:paraId="4C17F9A9" w14:textId="77777777" w:rsidR="00BE1D1C" w:rsidRDefault="00000000" w:rsidP="00012502">
      <w:pPr>
        <w:pStyle w:val="Footnote"/>
        <w:bidi/>
      </w:pPr>
      <w:r>
        <w:rPr>
          <w:rStyle w:val="ac"/>
          <w:rtl/>
        </w:rPr>
        <w:footnoteRef/>
      </w:r>
      <w:r>
        <w:rPr>
          <w:rtl/>
        </w:rPr>
        <w:t>ומשמע דילפי' לא פלוג דמצוות כיבוד גרע משאר מצוות. וצ"ב.</w:t>
      </w:r>
    </w:p>
    <w:p w14:paraId="4ED1AF0C" w14:textId="77777777" w:rsidR="00BE1D1C" w:rsidRDefault="00000000" w:rsidP="00012502">
      <w:pPr>
        <w:pStyle w:val="Footnote"/>
        <w:bidi/>
      </w:pPr>
      <w:r>
        <w:rPr>
          <w:rtl/>
        </w:rPr>
        <w:tab/>
        <w:t>ויש שפירשו דלומדים דגדר מצוות כיבוד הוה בתוצאה, והמעשה [אף כשמאכיל ממש] הוה רק הכשר [וע"ד סברת הקר"א]. דכיון דברוב אופנים מעשה המצווה הוה רק הכשר, סתמא דמילתא לעולם הוה כן.</w:t>
      </w:r>
    </w:p>
  </w:footnote>
  <w:footnote w:id="309">
    <w:p w14:paraId="5D35335A" w14:textId="77777777" w:rsidR="00BE1D1C" w:rsidRDefault="00000000" w:rsidP="00012502">
      <w:pPr>
        <w:pStyle w:val="Footnote"/>
        <w:bidi/>
      </w:pPr>
      <w:r>
        <w:rPr>
          <w:rStyle w:val="ac"/>
          <w:rtl/>
        </w:rPr>
        <w:footnoteRef/>
      </w:r>
      <w:r>
        <w:rPr>
          <w:rtl/>
        </w:rPr>
        <w:t>דומיא דפריה ורביה דמעשה המצוה הוה בביאה [דרק זה רמי עליה], ואף דעצם המצוה הוה לידת הבנים [וע"ע בקובה"ע בכ"מ].</w:t>
      </w:r>
    </w:p>
  </w:footnote>
  <w:footnote w:id="310">
    <w:p w14:paraId="5CFFF549" w14:textId="77777777" w:rsidR="00BE1D1C" w:rsidRDefault="00000000" w:rsidP="00012502">
      <w:pPr>
        <w:pStyle w:val="Footnote"/>
        <w:bidi/>
      </w:pPr>
      <w:r>
        <w:rPr>
          <w:rStyle w:val="ac"/>
          <w:rtl/>
        </w:rPr>
        <w:footnoteRef/>
      </w:r>
      <w:r>
        <w:rPr>
          <w:rtl/>
        </w:rPr>
        <w:t>וה</w:t>
      </w:r>
      <w:r>
        <w:rPr>
          <w:b/>
          <w:bCs/>
          <w:rtl/>
        </w:rPr>
        <w:t>ט"ז</w:t>
      </w:r>
      <w:r>
        <w:rPr>
          <w:rtl/>
        </w:rPr>
        <w:t xml:space="preserve"> (תרעג ט) פליג. [וע' מג"א תרעט ב].</w:t>
      </w:r>
    </w:p>
  </w:footnote>
  <w:footnote w:id="311">
    <w:p w14:paraId="6271D971" w14:textId="77777777" w:rsidR="00BE1D1C" w:rsidRDefault="00000000" w:rsidP="00012502">
      <w:pPr>
        <w:pStyle w:val="Footnote"/>
        <w:bidi/>
      </w:pPr>
      <w:r>
        <w:rPr>
          <w:rStyle w:val="ac"/>
          <w:rtl/>
        </w:rPr>
        <w:footnoteRef/>
      </w:r>
      <w:r>
        <w:rPr>
          <w:rtl/>
        </w:rPr>
        <w:t>משא"כ נר חנוכה הוא חיוב 'מעשה הדלקה' פעם אחת ביום [ולא אמרי' דרמי עליה עד שיתקיים תוצאת המצוה, שיהא דלוק].</w:t>
      </w:r>
    </w:p>
  </w:footnote>
  <w:footnote w:id="312">
    <w:p w14:paraId="44AFC1C8" w14:textId="77777777" w:rsidR="00BE1D1C" w:rsidRDefault="00000000" w:rsidP="00012502">
      <w:pPr>
        <w:pStyle w:val="Footnote"/>
        <w:bidi/>
      </w:pPr>
      <w:r>
        <w:rPr>
          <w:rStyle w:val="ac"/>
          <w:rtl/>
        </w:rPr>
        <w:footnoteRef/>
      </w:r>
      <w:r>
        <w:rPr>
          <w:rtl/>
        </w:rPr>
        <w:t>ולפ"ז התה"ד למד דין מדיוק בתוס' [שאינו לפנינו], ובפשטות הסוגיא מבואר להיפך.</w:t>
      </w:r>
    </w:p>
  </w:footnote>
  <w:footnote w:id="313">
    <w:p w14:paraId="25A9E78E" w14:textId="77777777" w:rsidR="00BE1D1C" w:rsidRDefault="00000000" w:rsidP="00012502">
      <w:pPr>
        <w:pStyle w:val="Footnote"/>
        <w:bidi/>
      </w:pPr>
      <w:r>
        <w:rPr>
          <w:rStyle w:val="ac"/>
          <w:rtl/>
        </w:rPr>
        <w:footnoteRef/>
      </w:r>
      <w:r>
        <w:rPr>
          <w:rtl/>
        </w:rPr>
        <w:t xml:space="preserve">וכ"כ </w:t>
      </w:r>
      <w:r>
        <w:rPr>
          <w:b/>
          <w:bCs/>
          <w:rtl/>
        </w:rPr>
        <w:t>תוס</w:t>
      </w:r>
      <w:r>
        <w:rPr>
          <w:rtl/>
        </w:rPr>
        <w:t>' (קידושין לב.), אבל ה</w:t>
      </w:r>
      <w:r>
        <w:rPr>
          <w:b/>
          <w:bCs/>
          <w:rtl/>
        </w:rPr>
        <w:t>ריטב"א</w:t>
      </w:r>
      <w:r>
        <w:rPr>
          <w:rtl/>
        </w:rPr>
        <w:t xml:space="preserve"> הביא בשם </w:t>
      </w:r>
      <w:r>
        <w:rPr>
          <w:b/>
          <w:bCs/>
          <w:rtl/>
        </w:rPr>
        <w:t>רש"י</w:t>
      </w:r>
      <w:r>
        <w:rPr>
          <w:rtl/>
        </w:rPr>
        <w:t xml:space="preserve"> דסוגיין קאי כשמניח מלהחזיר בחינם. (הו' לעיל).</w:t>
      </w:r>
    </w:p>
  </w:footnote>
  <w:footnote w:id="314">
    <w:p w14:paraId="0224FA85" w14:textId="77777777" w:rsidR="00BE1D1C" w:rsidRDefault="00000000" w:rsidP="00012502">
      <w:pPr>
        <w:pStyle w:val="Footnote"/>
        <w:bidi/>
      </w:pPr>
      <w:r>
        <w:rPr>
          <w:rStyle w:val="ac"/>
          <w:rtl/>
        </w:rPr>
        <w:footnoteRef/>
      </w:r>
      <w:r>
        <w:rPr>
          <w:rtl/>
        </w:rPr>
        <w:t>שה</w:t>
      </w:r>
      <w:r>
        <w:rPr>
          <w:b/>
          <w:bCs/>
          <w:rtl/>
        </w:rPr>
        <w:t>מהרי"ק</w:t>
      </w:r>
      <w:r>
        <w:rPr>
          <w:rtl/>
        </w:rPr>
        <w:t xml:space="preserve"> (קסו הו' ב</w:t>
      </w:r>
      <w:r>
        <w:rPr>
          <w:b/>
          <w:bCs/>
          <w:rtl/>
        </w:rPr>
        <w:t>רמ"א</w:t>
      </w:r>
      <w:r>
        <w:rPr>
          <w:rtl/>
        </w:rPr>
        <w:t xml:space="preserve"> ס"ס רמ) כתב דאי"צ לשמוע לאב אם מוחה שלא ישא אשה שחפץ בה. והמהרי"ק כתב ג' טעמים א' דהמצוה הוא רק במה שיש לאב הנאה. ב' דהוה כמצווהו לעבור ע"ד תורה. ג' דמשום צער גופו דמי למה שאינו חייב לתת משל הבן. וה</w:t>
      </w:r>
      <w:r>
        <w:rPr>
          <w:b/>
          <w:bCs/>
          <w:rtl/>
        </w:rPr>
        <w:t>גר"א</w:t>
      </w:r>
      <w:r>
        <w:rPr>
          <w:rtl/>
        </w:rPr>
        <w:t xml:space="preserve"> (לו) ציין המקור מדברי תוס' דידן, דעיקר כיבוד הוא במה שיש לו הנאה, שמאכילו. וכתב דלרשב"א דוקא לדחות לאו.</w:t>
      </w:r>
    </w:p>
  </w:footnote>
  <w:footnote w:id="315">
    <w:p w14:paraId="5FAB822D" w14:textId="77777777" w:rsidR="00BE1D1C" w:rsidRDefault="00000000" w:rsidP="00012502">
      <w:pPr>
        <w:pStyle w:val="Footnote"/>
        <w:bidi/>
      </w:pPr>
      <w:r>
        <w:rPr>
          <w:rStyle w:val="ac"/>
          <w:rtl/>
        </w:rPr>
        <w:footnoteRef/>
      </w:r>
      <w:r>
        <w:rPr>
          <w:rtl/>
        </w:rPr>
        <w:t>דרק גוף המצוה דחי לל"ת. [וקצת משמע מדבריו דדין דחיה דעדל"ת תליא בביטול עשה. וע' מש"כ לעיל].</w:t>
      </w:r>
    </w:p>
  </w:footnote>
  <w:footnote w:id="316">
    <w:p w14:paraId="51ADEB97" w14:textId="77777777" w:rsidR="00BE1D1C" w:rsidRDefault="00000000" w:rsidP="00012502">
      <w:pPr>
        <w:pStyle w:val="Footnote"/>
        <w:bidi/>
      </w:pPr>
      <w:r>
        <w:rPr>
          <w:rStyle w:val="ac"/>
          <w:rtl/>
        </w:rPr>
        <w:footnoteRef/>
      </w:r>
      <w:r>
        <w:rPr>
          <w:rtl/>
        </w:rPr>
        <w:t xml:space="preserve">וציין למש"כ </w:t>
      </w:r>
      <w:r>
        <w:rPr>
          <w:b/>
          <w:bCs/>
          <w:rtl/>
        </w:rPr>
        <w:t>תוס</w:t>
      </w:r>
      <w:r>
        <w:rPr>
          <w:rtl/>
        </w:rPr>
        <w:t>' (שבועות כב:) דחל שבועה עליו.</w:t>
      </w:r>
    </w:p>
  </w:footnote>
  <w:footnote w:id="317">
    <w:p w14:paraId="1833D846" w14:textId="77777777" w:rsidR="00BE1D1C" w:rsidRDefault="00000000" w:rsidP="00012502">
      <w:pPr>
        <w:pStyle w:val="Footnote"/>
        <w:bidi/>
      </w:pPr>
      <w:r>
        <w:rPr>
          <w:rStyle w:val="ac"/>
          <w:rtl/>
        </w:rPr>
        <w:footnoteRef/>
      </w:r>
      <w:r>
        <w:rPr>
          <w:rtl/>
        </w:rPr>
        <w:t>[ואף דאינו נכלל במצוות כיבוד, יש חיוב לקיים דבריו משום מורא. וכ"כ התשב"ץ ב נג].</w:t>
      </w:r>
    </w:p>
  </w:footnote>
  <w:footnote w:id="318">
    <w:p w14:paraId="17FCB5CC" w14:textId="77777777" w:rsidR="00BE1D1C" w:rsidRDefault="00000000" w:rsidP="00012502">
      <w:pPr>
        <w:pStyle w:val="Footnote"/>
        <w:bidi/>
      </w:pPr>
      <w:r>
        <w:rPr>
          <w:rStyle w:val="ac"/>
          <w:rtl/>
        </w:rPr>
        <w:footnoteRef/>
      </w:r>
      <w:r>
        <w:rPr>
          <w:rtl/>
        </w:rPr>
        <w:t>וצ"ב דהמקדש אינו מצווה במצוות, ומה שייך בזה כולכם חייבים בכבודי. ואפשר דעכ"פ זהו גדר המיעוט דכבוד הקב"ה עדיף מכבוד המקדש.</w:t>
      </w:r>
    </w:p>
  </w:footnote>
  <w:footnote w:id="319">
    <w:p w14:paraId="54D707B5" w14:textId="77777777" w:rsidR="00BE1D1C" w:rsidRDefault="00000000" w:rsidP="00012502">
      <w:pPr>
        <w:pStyle w:val="Footnote"/>
        <w:bidi/>
      </w:pPr>
      <w:r>
        <w:rPr>
          <w:rStyle w:val="ac"/>
          <w:rtl/>
        </w:rPr>
        <w:footnoteRef/>
      </w:r>
      <w:r>
        <w:rPr>
          <w:rtl/>
        </w:rPr>
        <w:t>ויש שדייקו מדבריו דהטעם דלא דחי משום דמקרי שבתות [דשבתות הוה כבוד המקום]. אבל בנין ביהמ"ק דחי שאר מצוות. וצ"ב דבגמ' בסמוך מבואר דילפי' לשאר מצוות.</w:t>
      </w:r>
    </w:p>
  </w:footnote>
  <w:footnote w:id="320">
    <w:p w14:paraId="584F9839" w14:textId="77777777" w:rsidR="00BE1D1C" w:rsidRDefault="00000000" w:rsidP="00012502">
      <w:pPr>
        <w:pStyle w:val="Footnote"/>
        <w:bidi/>
      </w:pPr>
      <w:r>
        <w:rPr>
          <w:rStyle w:val="ac"/>
          <w:rtl/>
        </w:rPr>
        <w:footnoteRef/>
      </w:r>
      <w:r>
        <w:rPr>
          <w:rtl/>
        </w:rPr>
        <w:t>[וה</w:t>
      </w:r>
      <w:r>
        <w:rPr>
          <w:b/>
          <w:bCs/>
          <w:rtl/>
        </w:rPr>
        <w:t>רמב"ם</w:t>
      </w:r>
      <w:r>
        <w:rPr>
          <w:rtl/>
        </w:rPr>
        <w:t xml:space="preserve"> (ביה"ב ו טז) דרש מהתם דקדושתם לא בטלה]. ובגמ' (ברכות סא:) לת"ק ור' עקיבא אף בזה"ז לא יפנה כנגד ירושלים, ור' יהודה ור' יוסי מתירים בזמן שאין ביהמ"ק קיים. [ועי' ערול"נ].</w:t>
      </w:r>
    </w:p>
  </w:footnote>
  <w:footnote w:id="321">
    <w:p w14:paraId="008FAB03" w14:textId="77777777" w:rsidR="00BE1D1C" w:rsidRDefault="00000000" w:rsidP="00012502">
      <w:pPr>
        <w:pStyle w:val="Footnote"/>
        <w:bidi/>
      </w:pPr>
      <w:r>
        <w:rPr>
          <w:rStyle w:val="ac"/>
          <w:rtl/>
        </w:rPr>
        <w:footnoteRef/>
      </w:r>
      <w:r>
        <w:rPr>
          <w:rtl/>
        </w:rPr>
        <w:t>[ונח' בזה התנאים שבועות טז. ערכין לב: וכ"מ]. וה</w:t>
      </w:r>
      <w:r>
        <w:rPr>
          <w:b/>
          <w:bCs/>
          <w:rtl/>
        </w:rPr>
        <w:t>רמב"ם</w:t>
      </w:r>
      <w:r>
        <w:rPr>
          <w:rtl/>
        </w:rPr>
        <w:t xml:space="preserve"> (בית הבחירה ו יד- טז) פסק דקדושת המקדש וירושלים קדוש לעתיד לבא, אף דקדושת הארץ לתרו"מ בטילה. וה</w:t>
      </w:r>
      <w:r>
        <w:rPr>
          <w:b/>
          <w:bCs/>
          <w:rtl/>
        </w:rPr>
        <w:t>ראב"ד</w:t>
      </w:r>
      <w:r>
        <w:rPr>
          <w:rtl/>
        </w:rPr>
        <w:t xml:space="preserve"> השיג דקי"ל דאף קדושת המקדש בטילה.</w:t>
      </w:r>
    </w:p>
  </w:footnote>
  <w:footnote w:id="322">
    <w:p w14:paraId="22A03F93" w14:textId="77777777" w:rsidR="00BE1D1C" w:rsidRDefault="00000000" w:rsidP="00012502">
      <w:pPr>
        <w:pStyle w:val="Footnote"/>
        <w:bidi/>
      </w:pPr>
      <w:r>
        <w:rPr>
          <w:rStyle w:val="ac"/>
          <w:rtl/>
        </w:rPr>
        <w:footnoteRef/>
      </w:r>
      <w:r>
        <w:rPr>
          <w:rtl/>
        </w:rPr>
        <w:t>שהרי הראב"ד לא השיג בזה.</w:t>
      </w:r>
    </w:p>
  </w:footnote>
  <w:footnote w:id="323">
    <w:p w14:paraId="78B3A7B1" w14:textId="77777777" w:rsidR="00BE1D1C" w:rsidRDefault="00000000" w:rsidP="00012502">
      <w:pPr>
        <w:pStyle w:val="Footnote"/>
        <w:bidi/>
      </w:pPr>
      <w:r>
        <w:rPr>
          <w:rStyle w:val="ac"/>
          <w:rtl/>
        </w:rPr>
        <w:footnoteRef/>
      </w:r>
      <w:r>
        <w:rPr>
          <w:rtl/>
        </w:rPr>
        <w:t>אפי' היכא דבישל מבעו"י (ע"ע תוס' פסחים עה.).</w:t>
      </w:r>
    </w:p>
  </w:footnote>
  <w:footnote w:id="324">
    <w:p w14:paraId="1F352CF9" w14:textId="77777777" w:rsidR="00BE1D1C" w:rsidRDefault="00000000" w:rsidP="00012502">
      <w:pPr>
        <w:pStyle w:val="Footnote"/>
        <w:bidi/>
      </w:pPr>
      <w:r>
        <w:rPr>
          <w:rStyle w:val="ac"/>
          <w:rtl/>
        </w:rPr>
        <w:footnoteRef/>
      </w:r>
      <w:r>
        <w:rPr>
          <w:rtl/>
        </w:rPr>
        <w:t>[וצ"ב א"כ אף בישול פתילה יעשה ע"י נכרי. וצ"ל דאיירי באופן דא"א לבשל הפתילה ע"י עכו"ם].</w:t>
      </w:r>
    </w:p>
  </w:footnote>
  <w:footnote w:id="325">
    <w:p w14:paraId="560B0B79" w14:textId="77777777" w:rsidR="00BE1D1C" w:rsidRDefault="00000000" w:rsidP="00012502">
      <w:pPr>
        <w:pStyle w:val="Footnote"/>
        <w:bidi/>
      </w:pPr>
      <w:r>
        <w:rPr>
          <w:rStyle w:val="ac"/>
          <w:rtl/>
        </w:rPr>
        <w:footnoteRef/>
      </w:r>
      <w:r>
        <w:rPr>
          <w:rtl/>
        </w:rPr>
        <w:t>ויל"ד אי קו' השואל דאין זה קיום מיתת בי"ד. א"נ אף דמתקיים דין מיתת בי"ד, כיון דהישראל לא עשאו אינו רשאי לבטל העשה, ולעשות ע"י נכרי. ועיל"פ דרשאי לעשות ע"י נכרי, אלא דהק' דבגדרי אפשר לקיים שניהם היינו מה שאני יכול. ולא אמרי' דאפשר ע"י נכרי.</w:t>
      </w:r>
    </w:p>
  </w:footnote>
  <w:footnote w:id="326">
    <w:p w14:paraId="00C3F196" w14:textId="77777777" w:rsidR="00BE1D1C" w:rsidRDefault="00000000" w:rsidP="00012502">
      <w:pPr>
        <w:pStyle w:val="Footnote"/>
        <w:bidi/>
      </w:pPr>
      <w:r>
        <w:rPr>
          <w:rStyle w:val="ac"/>
          <w:rtl/>
        </w:rPr>
        <w:footnoteRef/>
      </w:r>
      <w:r>
        <w:rPr>
          <w:rtl/>
        </w:rPr>
        <w:t>וה</w:t>
      </w:r>
      <w:r>
        <w:rPr>
          <w:b/>
          <w:bCs/>
          <w:rtl/>
        </w:rPr>
        <w:t>קוב"ש</w:t>
      </w:r>
      <w:r>
        <w:rPr>
          <w:rtl/>
        </w:rPr>
        <w:t xml:space="preserve"> (ביצה כה) ביאר דעיקר המצווה הוה התוצאה, ולא המעשה בעצמו. ומש"ה נחשב שמתקיים המצווה, ולא אמרי' דביטל המצווה ע"י שעשאו מי שאינו בר חיובא. [וכן קבורת המת לא איכפ"ל שיעשה ע"י נכרי]. ונסתפק (שם כו) האם שריפת קדשים מותר ע"י נכרי, דסוף סוף מתקיים התוצאה.</w:t>
      </w:r>
    </w:p>
  </w:footnote>
  <w:footnote w:id="327">
    <w:p w14:paraId="7817A5AF" w14:textId="77777777" w:rsidR="00BE1D1C" w:rsidRDefault="00000000" w:rsidP="00012502">
      <w:pPr>
        <w:pStyle w:val="Footnote"/>
        <w:bidi/>
      </w:pPr>
      <w:r>
        <w:rPr>
          <w:rStyle w:val="ac"/>
          <w:rtl/>
        </w:rPr>
        <w:footnoteRef/>
      </w:r>
      <w:r>
        <w:rPr>
          <w:rtl/>
        </w:rPr>
        <w:t>ודעת הרמב"ן דכיון דממילא ע"י מעשה זו נופל לתוך פיו נחשב בעידנא. וה</w:t>
      </w:r>
      <w:r>
        <w:rPr>
          <w:b/>
          <w:bCs/>
          <w:rtl/>
        </w:rPr>
        <w:t>אחרונים</w:t>
      </w:r>
      <w:r>
        <w:rPr>
          <w:rtl/>
        </w:rPr>
        <w:t xml:space="preserve"> (ברוך טעם עדל"ת א) הביאו דמבואר ברמב"ן דלא בעי שיהא בזמן א' ממש, וסגי במעשה א' או תוך כדי דיבור. [וע"ד מש"כ ה</w:t>
      </w:r>
      <w:r>
        <w:rPr>
          <w:b/>
          <w:bCs/>
          <w:rtl/>
        </w:rPr>
        <w:t>ריצב"א</w:t>
      </w:r>
      <w:r>
        <w:rPr>
          <w:rtl/>
        </w:rPr>
        <w:t xml:space="preserve"> (בתוס' כתובות ל: ד"ה לא צריכא) לענין קלב"ם].</w:t>
      </w:r>
    </w:p>
  </w:footnote>
  <w:footnote w:id="328">
    <w:p w14:paraId="3E3C327F" w14:textId="77777777" w:rsidR="00BE1D1C" w:rsidRDefault="00000000" w:rsidP="00012502">
      <w:pPr>
        <w:pStyle w:val="Footnote"/>
        <w:bidi/>
      </w:pPr>
      <w:r>
        <w:rPr>
          <w:rStyle w:val="ac"/>
          <w:rtl/>
        </w:rPr>
        <w:footnoteRef/>
      </w:r>
      <w:r>
        <w:rPr>
          <w:rtl/>
        </w:rPr>
        <w:t>וה</w:t>
      </w:r>
      <w:r>
        <w:rPr>
          <w:b/>
          <w:bCs/>
          <w:rtl/>
        </w:rPr>
        <w:t xml:space="preserve">מנח"ח </w:t>
      </w:r>
      <w:r>
        <w:rPr>
          <w:rtl/>
        </w:rPr>
        <w:t>(קיד א) הק' אמאי הוה לאו בפנ"ע, דהוה רק גילוי דאינו נדחית, וחוזר להיות לא תעשה כל מלאכה. וכתב דלמש"כ המג"א דילפינן כל עונש מריבויא ניחא. [ומשמע דהאיסור על הבי"ד, ולא רק על מי שעושה את המעשה. ויל"ד].</w:t>
      </w:r>
    </w:p>
  </w:footnote>
  <w:footnote w:id="329">
    <w:p w14:paraId="266A042F" w14:textId="77777777" w:rsidR="00BE1D1C" w:rsidRDefault="00000000" w:rsidP="00012502">
      <w:pPr>
        <w:pStyle w:val="Footnote"/>
        <w:bidi/>
      </w:pPr>
      <w:r>
        <w:rPr>
          <w:rStyle w:val="ac"/>
          <w:rtl/>
        </w:rPr>
        <w:footnoteRef/>
      </w:r>
      <w:r>
        <w:rPr>
          <w:rtl/>
        </w:rPr>
        <w:t>וכן איתא (סנהדרין עב:) [דס"ד] דאין עונשין בשבת [דיש איסור מטעם העונש, ולא רק גילוי דאין סיבת דחיה].</w:t>
      </w:r>
    </w:p>
  </w:footnote>
  <w:footnote w:id="330">
    <w:p w14:paraId="4C2F54F1" w14:textId="77777777" w:rsidR="00BE1D1C" w:rsidRDefault="00000000" w:rsidP="00012502">
      <w:pPr>
        <w:pStyle w:val="Footnote"/>
        <w:bidi/>
      </w:pPr>
      <w:r>
        <w:rPr>
          <w:rStyle w:val="ac"/>
          <w:rtl/>
        </w:rPr>
        <w:footnoteRef/>
      </w:r>
      <w:r>
        <w:rPr>
          <w:rtl/>
        </w:rPr>
        <w:t>וב</w:t>
      </w:r>
      <w:r>
        <w:rPr>
          <w:b/>
          <w:bCs/>
          <w:rtl/>
        </w:rPr>
        <w:t>מחצית השקל</w:t>
      </w:r>
      <w:r>
        <w:rPr>
          <w:rtl/>
        </w:rPr>
        <w:t xml:space="preserve"> הקשה דאי"צ לחבורה. [וע' אבנ"נ דהאריך בכ"ז].</w:t>
      </w:r>
    </w:p>
  </w:footnote>
  <w:footnote w:id="331">
    <w:p w14:paraId="4EDA8189" w14:textId="77777777" w:rsidR="00BE1D1C" w:rsidRDefault="00000000" w:rsidP="00012502">
      <w:pPr>
        <w:pStyle w:val="Footnote"/>
        <w:bidi/>
      </w:pPr>
      <w:r>
        <w:rPr>
          <w:rStyle w:val="ac"/>
          <w:rtl/>
        </w:rPr>
        <w:footnoteRef/>
      </w:r>
      <w:r>
        <w:rPr>
          <w:rtl/>
        </w:rPr>
        <w:t>וה</w:t>
      </w:r>
      <w:r>
        <w:rPr>
          <w:b/>
          <w:bCs/>
          <w:rtl/>
        </w:rPr>
        <w:t>פרמ"ג</w:t>
      </w:r>
      <w:r>
        <w:rPr>
          <w:rtl/>
        </w:rPr>
        <w:t xml:space="preserve"> כתב ע"פ מש"כ </w:t>
      </w:r>
      <w:r>
        <w:rPr>
          <w:b/>
          <w:bCs/>
          <w:rtl/>
        </w:rPr>
        <w:t>תוס</w:t>
      </w:r>
      <w:r>
        <w:rPr>
          <w:rtl/>
        </w:rPr>
        <w:t>' (ז. ד"ה ומה) דסוגיין אתיא כר' טרפון, ולכן הרמב"ם לא פסק כסוגיין.</w:t>
      </w:r>
    </w:p>
  </w:footnote>
  <w:footnote w:id="332">
    <w:p w14:paraId="2FA83266" w14:textId="77777777" w:rsidR="00BE1D1C" w:rsidRDefault="00000000" w:rsidP="00012502">
      <w:pPr>
        <w:pStyle w:val="Footnote"/>
        <w:bidi/>
      </w:pPr>
      <w:r>
        <w:rPr>
          <w:rStyle w:val="ac"/>
          <w:rtl/>
        </w:rPr>
        <w:footnoteRef/>
      </w:r>
      <w:r>
        <w:rPr>
          <w:rtl/>
        </w:rPr>
        <w:t>[ובהקדמה לתו"י (הנדמ"ח) ציין דבספר תוס' מהר"ם והר"פ הובא הרבה בשם הר"מ. אבל פעמים שכוונתו לר' מאיר {המהר"ם מרוטנברג}. ופעמים שהוא ר' משה {הר"מ מאיברא}].</w:t>
      </w:r>
    </w:p>
  </w:footnote>
  <w:footnote w:id="333">
    <w:p w14:paraId="62A22D6C" w14:textId="77777777" w:rsidR="00BE1D1C" w:rsidRDefault="00000000" w:rsidP="00012502">
      <w:pPr>
        <w:pStyle w:val="Footnote"/>
        <w:bidi/>
      </w:pPr>
      <w:r>
        <w:rPr>
          <w:rStyle w:val="ac"/>
          <w:rtl/>
        </w:rPr>
        <w:footnoteRef/>
      </w:r>
      <w:r>
        <w:rPr>
          <w:rtl/>
        </w:rPr>
        <w:t>וה</w:t>
      </w:r>
      <w:r>
        <w:rPr>
          <w:b/>
          <w:bCs/>
          <w:rtl/>
        </w:rPr>
        <w:t>אחרונים</w:t>
      </w:r>
      <w:r>
        <w:rPr>
          <w:rtl/>
        </w:rPr>
        <w:t xml:space="preserve"> תי' דהא שהתחיל אינו סברא בדחייה, אלא דין בפנ"ע דלא מפסיקים את העבודה.</w:t>
      </w:r>
    </w:p>
  </w:footnote>
  <w:footnote w:id="334">
    <w:p w14:paraId="02B5752F" w14:textId="77777777" w:rsidR="00BE1D1C" w:rsidRDefault="00000000" w:rsidP="00012502">
      <w:pPr>
        <w:pStyle w:val="Footnote"/>
        <w:bidi/>
      </w:pPr>
      <w:r>
        <w:rPr>
          <w:rStyle w:val="ac"/>
          <w:rtl/>
        </w:rPr>
        <w:footnoteRef/>
      </w:r>
      <w:r>
        <w:rPr>
          <w:rtl/>
        </w:rPr>
        <w:t>ע"ע יד מלאכי (כללי התלמוד תקטו).</w:t>
      </w:r>
    </w:p>
  </w:footnote>
  <w:footnote w:id="335">
    <w:p w14:paraId="065D439A" w14:textId="77777777" w:rsidR="00BE1D1C" w:rsidRDefault="00000000" w:rsidP="00012502">
      <w:pPr>
        <w:pStyle w:val="Footnote"/>
        <w:bidi/>
      </w:pPr>
      <w:r>
        <w:rPr>
          <w:rStyle w:val="ac"/>
          <w:rtl/>
        </w:rPr>
        <w:footnoteRef/>
      </w:r>
      <w:r>
        <w:rPr>
          <w:rtl/>
        </w:rPr>
        <w:t>ועד"ז כת' ה</w:t>
      </w:r>
      <w:r>
        <w:rPr>
          <w:b/>
          <w:bCs/>
          <w:rtl/>
        </w:rPr>
        <w:t xml:space="preserve">מהרש"א </w:t>
      </w:r>
      <w:r>
        <w:rPr>
          <w:rtl/>
        </w:rPr>
        <w:t>(ח"א יומא פו.) דמסברא יש להקל עונש לעובר בעשה בעלמא, דיושב ואינו עושה. מעובר בל"ת שעובר במעשה. ומה"ט עשה דוחה ל"ת כיון דהעשה מקויים במעשה. דביטול עשה קיל מלעבור על ל"ת. אבל קיום עשה עדיף.</w:t>
      </w:r>
    </w:p>
  </w:footnote>
  <w:footnote w:id="336">
    <w:p w14:paraId="42F70EEA" w14:textId="77777777" w:rsidR="00BE1D1C" w:rsidRDefault="00000000" w:rsidP="00012502">
      <w:pPr>
        <w:pStyle w:val="Footnote"/>
        <w:bidi/>
      </w:pPr>
      <w:r>
        <w:rPr>
          <w:rStyle w:val="ac"/>
          <w:rtl/>
        </w:rPr>
        <w:footnoteRef/>
      </w:r>
      <w:r>
        <w:rPr>
          <w:rtl/>
        </w:rPr>
        <w:t>וע' משך חכמה (ס"פ וזאת הברכה) שביאר עד"ז.</w:t>
      </w:r>
    </w:p>
  </w:footnote>
  <w:footnote w:id="337">
    <w:p w14:paraId="1B03F8AC" w14:textId="77777777" w:rsidR="00BE1D1C" w:rsidRDefault="00000000" w:rsidP="00012502">
      <w:pPr>
        <w:pStyle w:val="Footnote"/>
        <w:bidi/>
      </w:pPr>
      <w:r>
        <w:rPr>
          <w:rStyle w:val="ac"/>
          <w:rtl/>
        </w:rPr>
        <w:footnoteRef/>
      </w:r>
      <w:r>
        <w:rPr>
          <w:rtl/>
        </w:rPr>
        <w:t>וה</w:t>
      </w:r>
      <w:r>
        <w:rPr>
          <w:b/>
          <w:bCs/>
          <w:rtl/>
        </w:rPr>
        <w:t>אחרונים</w:t>
      </w:r>
      <w:r>
        <w:rPr>
          <w:rtl/>
        </w:rPr>
        <w:t xml:space="preserve"> כתבו דס"ל דרק לענין דחיית ל"ת אמרי' דלא דחי כשיש לו כרת.</w:t>
      </w:r>
    </w:p>
  </w:footnote>
  <w:footnote w:id="338">
    <w:p w14:paraId="0267A898" w14:textId="77777777" w:rsidR="00BE1D1C" w:rsidRDefault="00000000" w:rsidP="00012502">
      <w:pPr>
        <w:pStyle w:val="Footnote"/>
        <w:bidi/>
      </w:pPr>
      <w:r>
        <w:rPr>
          <w:rStyle w:val="ac"/>
          <w:rtl/>
        </w:rPr>
        <w:footnoteRef/>
      </w:r>
      <w:r>
        <w:rPr>
          <w:rtl/>
        </w:rPr>
        <w:t>אך ב</w:t>
      </w:r>
      <w:r>
        <w:rPr>
          <w:b/>
          <w:bCs/>
          <w:rtl/>
        </w:rPr>
        <w:t>ס' הכריתות</w:t>
      </w:r>
      <w:r>
        <w:rPr>
          <w:rtl/>
        </w:rPr>
        <w:t xml:space="preserve"> (שם קסד בסופו, הו' לעיל ג:) כת' דעשה אינו דוחה ב' לאוין. וע"ד הא דאי' (תמורה ד:) לענין ניתק לעשה, דעשה אינו מתקן ב' לאוין (ע"ע תוס' חולין פא.). ובפשוטו צ"ל דב' לאוין חמור מלאו שיש בו כרת. [וע' אחרונים].</w:t>
      </w:r>
    </w:p>
  </w:footnote>
  <w:footnote w:id="339">
    <w:p w14:paraId="5DBB74FB" w14:textId="77777777" w:rsidR="00BE1D1C" w:rsidRDefault="00000000" w:rsidP="00012502">
      <w:pPr>
        <w:pStyle w:val="Footnote"/>
        <w:bidi/>
      </w:pPr>
      <w:r>
        <w:rPr>
          <w:rStyle w:val="ac"/>
          <w:rtl/>
        </w:rPr>
        <w:footnoteRef/>
      </w:r>
      <w:r>
        <w:rPr>
          <w:rtl/>
        </w:rPr>
        <w:t>וה</w:t>
      </w:r>
      <w:r>
        <w:rPr>
          <w:b/>
          <w:bCs/>
          <w:rtl/>
        </w:rPr>
        <w:t xml:space="preserve">מהרש"ל </w:t>
      </w:r>
      <w:r>
        <w:rPr>
          <w:rtl/>
        </w:rPr>
        <w:t>דן א"כ אמאי איצטריך ילפותא כלאים בציצית להתיר. [וע"ע תוס' ו.].</w:t>
      </w:r>
    </w:p>
  </w:footnote>
  <w:footnote w:id="340">
    <w:p w14:paraId="7B83B000" w14:textId="77777777" w:rsidR="00BE1D1C" w:rsidRDefault="00000000" w:rsidP="00012502">
      <w:pPr>
        <w:pStyle w:val="Footnote"/>
        <w:bidi/>
      </w:pPr>
      <w:r>
        <w:rPr>
          <w:rStyle w:val="ac"/>
          <w:rtl/>
        </w:rPr>
        <w:footnoteRef/>
      </w:r>
      <w:r>
        <w:rPr>
          <w:rtl/>
        </w:rPr>
        <w:t>וכס"ד דתוס' (ג:) דכוונת הגמ' (בע"ב) דילפי' מה מצינו לכל התורה.</w:t>
      </w:r>
    </w:p>
  </w:footnote>
  <w:footnote w:id="341">
    <w:p w14:paraId="0603F9A6" w14:textId="77777777" w:rsidR="00BE1D1C" w:rsidRDefault="00000000" w:rsidP="00012502">
      <w:pPr>
        <w:pStyle w:val="Footnote"/>
        <w:bidi/>
      </w:pPr>
      <w:r>
        <w:rPr>
          <w:rStyle w:val="ac"/>
          <w:rtl/>
        </w:rPr>
        <w:footnoteRef/>
      </w:r>
      <w:r>
        <w:rPr>
          <w:rtl/>
        </w:rPr>
        <w:t>דתוס' הק' [לס"ד הנ"ל] דחדא איסורא מיהא נילף מאשת אח.</w:t>
      </w:r>
    </w:p>
  </w:footnote>
  <w:footnote w:id="342">
    <w:p w14:paraId="618CFC57" w14:textId="77777777" w:rsidR="00BE1D1C" w:rsidRDefault="00000000" w:rsidP="00012502">
      <w:pPr>
        <w:pStyle w:val="Footnote"/>
        <w:bidi/>
      </w:pPr>
      <w:r>
        <w:rPr>
          <w:rStyle w:val="ac"/>
          <w:rtl/>
        </w:rPr>
        <w:footnoteRef/>
      </w:r>
      <w:r>
        <w:rPr>
          <w:rtl/>
        </w:rPr>
        <w:t>ולכאו' מדברי המהרש"ל משמע דקאי אף להך לישנא [מלבד לרבא]. וצ"ע דלהך לישנא ודאי הוה ילפותא דוקא לעריות.</w:t>
      </w:r>
    </w:p>
  </w:footnote>
  <w:footnote w:id="343">
    <w:p w14:paraId="78B987CB" w14:textId="77777777" w:rsidR="00BE1D1C" w:rsidRDefault="00000000" w:rsidP="00012502">
      <w:pPr>
        <w:pStyle w:val="Footnote"/>
        <w:bidi/>
      </w:pPr>
      <w:r>
        <w:rPr>
          <w:rStyle w:val="ac"/>
          <w:rtl/>
        </w:rPr>
        <w:footnoteRef/>
      </w:r>
      <w:r>
        <w:rPr>
          <w:rtl/>
        </w:rPr>
        <w:t>ונקט דלמסקנא עשה דוחה ל"ת שיש בו כרת [וכס' הכריתות ומהרש"ל הנ"ל].</w:t>
      </w:r>
    </w:p>
  </w:footnote>
  <w:footnote w:id="344">
    <w:p w14:paraId="009B700F" w14:textId="77777777" w:rsidR="00BE1D1C" w:rsidRDefault="00000000" w:rsidP="00012502">
      <w:pPr>
        <w:pStyle w:val="Footnote"/>
        <w:bidi/>
      </w:pPr>
      <w:r>
        <w:rPr>
          <w:rStyle w:val="ac"/>
          <w:rtl/>
        </w:rPr>
        <w:footnoteRef/>
      </w:r>
      <w:r>
        <w:rPr>
          <w:rtl/>
        </w:rPr>
        <w:t xml:space="preserve">וכדעת </w:t>
      </w:r>
      <w:r>
        <w:rPr>
          <w:b/>
          <w:bCs/>
          <w:rtl/>
        </w:rPr>
        <w:t>תוס</w:t>
      </w:r>
      <w:r>
        <w:rPr>
          <w:rtl/>
        </w:rPr>
        <w:t>' (ה: ד"ה כולה) דאפשר לקיים שניהם אף דהוה לאחר זמן, אבל לראשונים לא מהני מה דאפשר ליטהר למחר. ולפ"ז במקולקלת שלא תטהר לעולם תתייבם. וצ"ע. ואפשר דדחיית כרת חמיר, וצ"ע.</w:t>
      </w:r>
    </w:p>
  </w:footnote>
  <w:footnote w:id="345">
    <w:p w14:paraId="6626A5EC" w14:textId="77777777" w:rsidR="00BE1D1C" w:rsidRDefault="00000000" w:rsidP="00012502">
      <w:pPr>
        <w:pStyle w:val="Footnote"/>
        <w:bidi/>
      </w:pPr>
      <w:r>
        <w:rPr>
          <w:rStyle w:val="ac"/>
          <w:rtl/>
        </w:rPr>
        <w:footnoteRef/>
      </w:r>
      <w:r>
        <w:rPr>
          <w:rtl/>
        </w:rPr>
        <w:t>וע"ד סברא ה</w:t>
      </w:r>
      <w:r>
        <w:rPr>
          <w:b/>
          <w:bCs/>
          <w:rtl/>
        </w:rPr>
        <w:t>ריב"א</w:t>
      </w:r>
      <w:r>
        <w:rPr>
          <w:rtl/>
        </w:rPr>
        <w:t xml:space="preserve"> (בתוס' חולין קמא., ע' מה שהו' לעיל ה) בהא דאין עשה דוחה ל"ת ועשה, מ"מ דחי ללאו ואינו לוקה. ודלא כתוס' (קידושין לד.) דאדרבה העשה מחזק לל"ת ואינה נדחית [אף במקום דליכא עשה, וכגון נשים].</w:t>
      </w:r>
    </w:p>
    <w:p w14:paraId="73B82A98" w14:textId="77777777" w:rsidR="00BE1D1C" w:rsidRDefault="00000000" w:rsidP="00012502">
      <w:pPr>
        <w:pStyle w:val="Footnote"/>
        <w:bidi/>
      </w:pPr>
      <w:r>
        <w:rPr>
          <w:rtl/>
        </w:rPr>
        <w:tab/>
        <w:t>אך לכאורה אף ריב"א איירי בל"ת ועשה, דהוה כעין ב' מצוות שנזדמנו יחד. אבל לכאורה חיוב כרת הוה למי שעובר על הלאו.</w:t>
      </w:r>
    </w:p>
  </w:footnote>
  <w:footnote w:id="346">
    <w:p w14:paraId="7B47090B" w14:textId="77777777" w:rsidR="00BE1D1C" w:rsidRDefault="00000000" w:rsidP="00012502">
      <w:pPr>
        <w:pStyle w:val="Footnote"/>
        <w:bidi/>
      </w:pPr>
      <w:r>
        <w:rPr>
          <w:rStyle w:val="ac"/>
          <w:rtl/>
        </w:rPr>
        <w:footnoteRef/>
      </w:r>
      <w:r>
        <w:rPr>
          <w:rtl/>
        </w:rPr>
        <w:t>[ו'נפק' היינו דין שהתורה חידשה. ולא יציאה מהכלל].</w:t>
      </w:r>
    </w:p>
  </w:footnote>
  <w:footnote w:id="347">
    <w:p w14:paraId="6F32E6B3" w14:textId="77777777" w:rsidR="00BE1D1C" w:rsidRDefault="00000000" w:rsidP="00012502">
      <w:pPr>
        <w:pStyle w:val="Footnote"/>
        <w:bidi/>
      </w:pPr>
      <w:r>
        <w:rPr>
          <w:rStyle w:val="ac"/>
          <w:rtl/>
        </w:rPr>
        <w:footnoteRef/>
      </w:r>
      <w:r>
        <w:rPr>
          <w:rtl/>
        </w:rPr>
        <w:t>דרש"י הק' להקישא דר' יונה [דהוקשו שאר עריות להתיר, וכמו אשת אח] דהכא תרי איסורא, ותי' דאין משיבין על ההיקש. משמע דלעיל גבי מה מצינו השיבו משום ב' איסורין. [ואילו לדברי התוס' במקום ילפותא להתיר ל"ש להק' ב' איסורין].</w:t>
      </w:r>
    </w:p>
  </w:footnote>
  <w:footnote w:id="348">
    <w:p w14:paraId="0EC95D09" w14:textId="77777777" w:rsidR="00BE1D1C" w:rsidRDefault="00000000" w:rsidP="00012502">
      <w:pPr>
        <w:pStyle w:val="Footnote"/>
        <w:bidi/>
      </w:pPr>
      <w:r>
        <w:rPr>
          <w:rStyle w:val="ac"/>
          <w:rtl/>
        </w:rPr>
        <w:footnoteRef/>
      </w:r>
      <w:r>
        <w:rPr>
          <w:rtl/>
        </w:rPr>
        <w:t>ויש שהביאו דכוונת התוס' לדברי הראשונים (הנ"ל). אך נראה דלא דמי, דהך ס"ד דתוס' ללמוד לכל התורה דעשה דוחה ל"ת שיש בו כרת [דאלים עשה לדחות]. ואילו לדברי הראשונים הך ס"ד הוה ילפותא מסויימת לדין אחות אשה, דאחות אשה מתייבמת, והותרה מפני איסור אשת אח. (וע"ע בסמוך). ועפ"ז לק"מ קושיות התוס'.</w:t>
      </w:r>
    </w:p>
  </w:footnote>
  <w:footnote w:id="349">
    <w:p w14:paraId="5E02ED6C" w14:textId="77777777" w:rsidR="00BE1D1C" w:rsidRDefault="00000000" w:rsidP="00012502">
      <w:pPr>
        <w:pStyle w:val="Footnote"/>
        <w:bidi/>
      </w:pPr>
      <w:r>
        <w:rPr>
          <w:rStyle w:val="ac"/>
          <w:rtl/>
        </w:rPr>
        <w:footnoteRef/>
      </w:r>
      <w:r>
        <w:rPr>
          <w:rtl/>
        </w:rPr>
        <w:t>וה</w:t>
      </w:r>
      <w:r>
        <w:rPr>
          <w:b/>
          <w:bCs/>
          <w:rtl/>
        </w:rPr>
        <w:t>תו"י</w:t>
      </w:r>
      <w:r>
        <w:rPr>
          <w:rtl/>
        </w:rPr>
        <w:t xml:space="preserve"> (הנדמ"ח) ביאר [הך 'וכ"ת'] דקו' הגמ' ע"ד הא דהק' לעיל ללמוד ממילה וכו'. ו</w:t>
      </w:r>
      <w:r>
        <w:rPr>
          <w:b/>
          <w:bCs/>
          <w:rtl/>
        </w:rPr>
        <w:t>תוס</w:t>
      </w:r>
      <w:r>
        <w:rPr>
          <w:rtl/>
        </w:rPr>
        <w:t>' (שם, והתו"י) הק' אמאי שבק אשת אח דעסק ביה, ואמאי המתין עד סוף הסוגיא.</w:t>
      </w:r>
    </w:p>
  </w:footnote>
  <w:footnote w:id="350">
    <w:p w14:paraId="315B2931" w14:textId="77777777" w:rsidR="00BE1D1C" w:rsidRDefault="00000000" w:rsidP="00012502">
      <w:pPr>
        <w:pStyle w:val="Footnote"/>
        <w:bidi/>
      </w:pPr>
      <w:r>
        <w:rPr>
          <w:rStyle w:val="ac"/>
          <w:rtl/>
        </w:rPr>
        <w:footnoteRef/>
      </w:r>
      <w:r>
        <w:rPr>
          <w:rtl/>
        </w:rPr>
        <w:t>וה</w:t>
      </w:r>
      <w:r>
        <w:rPr>
          <w:b/>
          <w:bCs/>
          <w:rtl/>
        </w:rPr>
        <w:t>תו"י</w:t>
      </w:r>
      <w:r>
        <w:rPr>
          <w:rtl/>
        </w:rPr>
        <w:t xml:space="preserve"> (ג: הנדמ"ח) הק' דא"כ אי"צ לפרש 'במה מצינו', אלא דחזינן דאתי עשה ודחי לל"ת. [כדאמרי' גבי כיבוד אב והבערה].</w:t>
      </w:r>
    </w:p>
  </w:footnote>
  <w:footnote w:id="351">
    <w:p w14:paraId="1148184B" w14:textId="77777777" w:rsidR="00BE1D1C" w:rsidRDefault="00000000" w:rsidP="00012502">
      <w:pPr>
        <w:pStyle w:val="Footnote"/>
        <w:bidi/>
      </w:pPr>
      <w:r>
        <w:rPr>
          <w:rStyle w:val="ac"/>
          <w:rtl/>
        </w:rPr>
        <w:footnoteRef/>
      </w:r>
      <w:r>
        <w:rPr>
          <w:rtl/>
        </w:rPr>
        <w:t>ותוס' הביאו דהגמ' (לעיל ה:) ס"ד ללמוד מפסח תמיד ומילה [להתיר אחות אשה ביבום], והו"ל להק' דהתם חדא איסורא. [אך ה</w:t>
      </w:r>
      <w:r>
        <w:rPr>
          <w:b/>
          <w:bCs/>
          <w:rtl/>
        </w:rPr>
        <w:t>ריטב"א</w:t>
      </w:r>
      <w:r>
        <w:rPr>
          <w:rtl/>
        </w:rPr>
        <w:t xml:space="preserve"> (ה:) כת' דהשתא [כשבאו ללמוד מפסח תמיד ומילה] לא אתינן אלא למילף היכא דאשכחן דדחי אפי' חד לאו שיש בו כרת].</w:t>
      </w:r>
    </w:p>
  </w:footnote>
  <w:footnote w:id="352">
    <w:p w14:paraId="15D8A068" w14:textId="77777777" w:rsidR="00BE1D1C" w:rsidRDefault="00000000" w:rsidP="00012502">
      <w:pPr>
        <w:pStyle w:val="Footnote"/>
        <w:bidi/>
      </w:pPr>
      <w:r>
        <w:rPr>
          <w:rStyle w:val="ac"/>
          <w:rtl/>
        </w:rPr>
        <w:footnoteRef/>
      </w:r>
      <w:r>
        <w:rPr>
          <w:rtl/>
        </w:rPr>
        <w:t>ולפ"ז הואיל ואישתרי הוה מחמת ילפותא מה מצינו דאשת אח, ולא סברא בעלמא.</w:t>
      </w:r>
    </w:p>
  </w:footnote>
  <w:footnote w:id="353">
    <w:p w14:paraId="328E813C" w14:textId="77777777" w:rsidR="00BE1D1C" w:rsidRDefault="00000000" w:rsidP="00012502">
      <w:pPr>
        <w:pStyle w:val="Footnote"/>
        <w:bidi/>
      </w:pPr>
      <w:r>
        <w:rPr>
          <w:rStyle w:val="ac"/>
          <w:rtl/>
        </w:rPr>
        <w:footnoteRef/>
      </w:r>
      <w:r>
        <w:rPr>
          <w:rtl/>
        </w:rPr>
        <w:t>וכן הביאו כוונת התוס' דאף תחילת הגמ' משום 'הואיל ואשתרי'.</w:t>
      </w:r>
    </w:p>
    <w:p w14:paraId="2000B144" w14:textId="77777777" w:rsidR="00BE1D1C" w:rsidRDefault="00000000" w:rsidP="00012502">
      <w:pPr>
        <w:pStyle w:val="Footnote"/>
        <w:bidi/>
      </w:pPr>
      <w:r>
        <w:rPr>
          <w:rtl/>
        </w:rPr>
        <w:tab/>
        <w:t>{אך י"ל דכוונת התוס' לפרש דכוונת הגמ' דהוה ילפותא מסויימת לאחות אשה, ע"ד הא דאי' (בע"א) דס"ד דאחות אשה מתייבמת [משום יצא מהכלל ללמד], דשייך גדר היתר באיסור אחות אשה דומיא דאשת אח. [וכן פי' העורך בתו"י הנדמ"ח ג:, אך דברי התו"י אינן מוכרחין].</w:t>
      </w:r>
    </w:p>
    <w:p w14:paraId="559D48B5" w14:textId="77777777" w:rsidR="00BE1D1C" w:rsidRDefault="00000000" w:rsidP="00012502">
      <w:pPr>
        <w:pStyle w:val="Footnote"/>
        <w:bidi/>
      </w:pPr>
      <w:r>
        <w:rPr>
          <w:rtl/>
        </w:rPr>
        <w:tab/>
        <w:t>ושוב הק' הגמ' דעכ"פ נילף במה מצינו, דהוה ילפותא לאחות אשה. וכדברי שאר ראשונים. ותוס' הוסיפו כדמסיק טעמא דהואיל ואישתרי, ויל"פ כוונתם להביא ראיה דהוה נידון היתר מסויים על איסור אחות אשה. [אך הגמ' כאן ודאי דנה משום מה מצינו בעלמא. ובזה דחו דהוה ב' איסורי, ולא שייך מה מצינו. אלא דתוס' הביאו צד כזה]}.</w:t>
      </w:r>
    </w:p>
  </w:footnote>
  <w:footnote w:id="354">
    <w:p w14:paraId="0DFB1AC7" w14:textId="77777777" w:rsidR="00BE1D1C" w:rsidRDefault="00000000" w:rsidP="00012502">
      <w:pPr>
        <w:pStyle w:val="Footnote"/>
        <w:bidi/>
      </w:pPr>
      <w:r>
        <w:rPr>
          <w:rStyle w:val="ac"/>
          <w:rtl/>
        </w:rPr>
        <w:footnoteRef/>
      </w:r>
      <w:r>
        <w:rPr>
          <w:rtl/>
        </w:rPr>
        <w:t>וה</w:t>
      </w:r>
      <w:r>
        <w:rPr>
          <w:b/>
          <w:bCs/>
          <w:rtl/>
        </w:rPr>
        <w:t>תו"י</w:t>
      </w:r>
      <w:r>
        <w:rPr>
          <w:rtl/>
        </w:rPr>
        <w:t xml:space="preserve"> (הנדמ"ח לעיל ג:) כת' דהגמ' שמקשה מי דמי, משום שהמקשן לא הבין כוונת התירוץ. והתרצן ביאר דבריו דלא נתכוון להתיר בכל מקום, אלא דוקא במקום שחל היתר, משום הואיל ואישתרי.</w:t>
      </w:r>
    </w:p>
  </w:footnote>
  <w:footnote w:id="355">
    <w:p w14:paraId="753F01A8" w14:textId="77777777" w:rsidR="00BE1D1C" w:rsidRDefault="00000000" w:rsidP="00012502">
      <w:pPr>
        <w:pStyle w:val="Footnote"/>
        <w:bidi/>
      </w:pPr>
      <w:r>
        <w:rPr>
          <w:rStyle w:val="ac"/>
          <w:rtl/>
        </w:rPr>
        <w:footnoteRef/>
      </w:r>
      <w:r>
        <w:rPr>
          <w:rtl/>
        </w:rPr>
        <w:t>והא דלא גמרינן שאר אשמות לבהן יד וכו', משום שזה מכשיר ושאר אשמות מכפרין. א"נ מיעוטא כתיב בהו וזאת תורת האשם ולא בהזאות.</w:t>
      </w:r>
    </w:p>
  </w:footnote>
  <w:footnote w:id="356">
    <w:p w14:paraId="0D2F812C" w14:textId="77777777" w:rsidR="00BE1D1C" w:rsidRDefault="00000000" w:rsidP="00012502">
      <w:pPr>
        <w:pStyle w:val="Footnote"/>
        <w:bidi/>
      </w:pPr>
      <w:r>
        <w:rPr>
          <w:rStyle w:val="ac"/>
          <w:rtl/>
        </w:rPr>
        <w:footnoteRef/>
      </w:r>
      <w:r>
        <w:rPr>
          <w:rtl/>
        </w:rPr>
        <w:t>וה</w:t>
      </w:r>
      <w:r>
        <w:rPr>
          <w:b/>
          <w:bCs/>
          <w:rtl/>
        </w:rPr>
        <w:t>רשב"א</w:t>
      </w:r>
      <w:r>
        <w:rPr>
          <w:rtl/>
        </w:rPr>
        <w:t xml:space="preserve"> חלק דאין זה כוונת ה</w:t>
      </w:r>
      <w:r>
        <w:rPr>
          <w:b/>
          <w:bCs/>
          <w:rtl/>
        </w:rPr>
        <w:t>ראב"ד</w:t>
      </w:r>
      <w:r>
        <w:rPr>
          <w:rtl/>
        </w:rPr>
        <w:t>. וה</w:t>
      </w:r>
      <w:r>
        <w:rPr>
          <w:b/>
          <w:bCs/>
          <w:rtl/>
        </w:rPr>
        <w:t xml:space="preserve">ריטב"א </w:t>
      </w:r>
      <w:r>
        <w:rPr>
          <w:rtl/>
        </w:rPr>
        <w:t>הק' מהגמ' (לעיל) למאי דלא נפק לא נפק לפרש"י ותוס'.</w:t>
      </w:r>
    </w:p>
  </w:footnote>
  <w:footnote w:id="357">
    <w:p w14:paraId="727B2144" w14:textId="77777777" w:rsidR="00BE1D1C" w:rsidRDefault="00000000" w:rsidP="00012502">
      <w:pPr>
        <w:pStyle w:val="Footnote"/>
        <w:bidi/>
      </w:pPr>
      <w:r>
        <w:rPr>
          <w:rStyle w:val="ac"/>
          <w:rtl/>
        </w:rPr>
        <w:footnoteRef/>
      </w:r>
      <w:r>
        <w:rPr>
          <w:rtl/>
        </w:rPr>
        <w:t>וה</w:t>
      </w:r>
      <w:r>
        <w:rPr>
          <w:b/>
          <w:bCs/>
          <w:rtl/>
        </w:rPr>
        <w:t>ריטב"א</w:t>
      </w:r>
      <w:r>
        <w:rPr>
          <w:rtl/>
        </w:rPr>
        <w:t xml:space="preserve"> (ה:) הק' כעין קו' התוס' (ג:) נילף דעשה דוחה ל"ת שיש בו כרת, מיבום דאשת אח. וכת' דנהי דאי' בסוגיין דבעריות לא ילפי', דהוה ב' איסורי. אבל נגמר מיניה לבעלמא דעשה דוחה ל"ת שיש בו כרת [בחד איסורא]. ועד"ז אי' ב</w:t>
      </w:r>
      <w:r>
        <w:rPr>
          <w:b/>
          <w:bCs/>
          <w:rtl/>
        </w:rPr>
        <w:t>רשב"א</w:t>
      </w:r>
      <w:r>
        <w:rPr>
          <w:rtl/>
        </w:rPr>
        <w:t xml:space="preserve"> (ח.). [ותי' כעין תי' התוס'].</w:t>
      </w:r>
    </w:p>
  </w:footnote>
  <w:footnote w:id="358">
    <w:p w14:paraId="78B814F4" w14:textId="77777777" w:rsidR="00BE1D1C" w:rsidRDefault="00000000" w:rsidP="00012502">
      <w:pPr>
        <w:pStyle w:val="Footnote"/>
        <w:bidi/>
      </w:pPr>
      <w:r>
        <w:rPr>
          <w:rStyle w:val="ac"/>
          <w:rtl/>
        </w:rPr>
        <w:footnoteRef/>
      </w:r>
      <w:r>
        <w:rPr>
          <w:rtl/>
        </w:rPr>
        <w:t>וה</w:t>
      </w:r>
      <w:r>
        <w:rPr>
          <w:b/>
          <w:bCs/>
          <w:rtl/>
        </w:rPr>
        <w:t>ריטב"א</w:t>
      </w:r>
      <w:r>
        <w:rPr>
          <w:rtl/>
        </w:rPr>
        <w:t xml:space="preserve"> העמיד קו' אקו' הגמ' דהוה ב' איסורי. אבל ברשב"א קאי אהמשך הגמ' דהואיל ואישתרי, ומנא תימרא וכו' [ואפשר דהד"ה הוא ט"ס]. (ע' בסמוך).</w:t>
      </w:r>
    </w:p>
  </w:footnote>
  <w:footnote w:id="359">
    <w:p w14:paraId="4908BA2B" w14:textId="77777777" w:rsidR="00BE1D1C" w:rsidRDefault="00000000" w:rsidP="00012502">
      <w:pPr>
        <w:pStyle w:val="Footnote"/>
        <w:bidi/>
      </w:pPr>
      <w:r>
        <w:rPr>
          <w:rStyle w:val="ac"/>
          <w:rtl/>
        </w:rPr>
        <w:footnoteRef/>
      </w:r>
      <w:r>
        <w:rPr>
          <w:rtl/>
        </w:rPr>
        <w:t>ולפ"ז עשה דוחה ב' לאוין על איסור א' [וכעין ב' לאוין דתמורה, ע' תמורה ד:], ודוקא היכא דנזדמנו ב' איסורין למקום א' לא דחי תרוייהו. [וצ"ע דבעלמא אמרי' להיפך, דהיכא דב' הלאוין מסייעי להדדי אלימי. ואילו היכא דכל א' באיסור אחר דחי כל א' לחוד. וע' תוס' חולין פא.].</w:t>
      </w:r>
    </w:p>
  </w:footnote>
  <w:footnote w:id="360">
    <w:p w14:paraId="6EDAE241" w14:textId="77777777" w:rsidR="00BE1D1C" w:rsidRDefault="00000000" w:rsidP="00012502">
      <w:pPr>
        <w:pStyle w:val="Footnote"/>
        <w:bidi/>
      </w:pPr>
      <w:r>
        <w:rPr>
          <w:rStyle w:val="ac"/>
          <w:rtl/>
        </w:rPr>
        <w:footnoteRef/>
      </w:r>
      <w:r>
        <w:rPr>
          <w:rtl/>
        </w:rPr>
        <w:t>וה</w:t>
      </w:r>
      <w:r>
        <w:rPr>
          <w:b/>
          <w:bCs/>
          <w:rtl/>
        </w:rPr>
        <w:t>תו"י</w:t>
      </w:r>
      <w:r>
        <w:rPr>
          <w:rtl/>
        </w:rPr>
        <w:t xml:space="preserve"> (הנדמ"ח ג:) הוסיף דכיון דקי"ל מה לי חומרא רבה, ודחי אפי' ל"ת שיש בו כרת. א"כ ידחה אף ב' איסורין.</w:t>
      </w:r>
    </w:p>
  </w:footnote>
  <w:footnote w:id="361">
    <w:p w14:paraId="5E26C143" w14:textId="77777777" w:rsidR="00BE1D1C" w:rsidRDefault="00000000" w:rsidP="00012502">
      <w:pPr>
        <w:pStyle w:val="Footnote"/>
        <w:bidi/>
      </w:pPr>
      <w:r>
        <w:rPr>
          <w:rStyle w:val="ac"/>
          <w:rtl/>
        </w:rPr>
        <w:footnoteRef/>
      </w:r>
      <w:r>
        <w:rPr>
          <w:rtl/>
        </w:rPr>
        <w:t>וכ"מ בפשוטו בסוגיין דהוה סברא. אך לדברי התוס' (ג:) לכאו' קאי אמה מצינו דאשת אח, א"כ לכאו' הוה ילפותא. אך העירוני דיל"פ הא דאי' במה מצינו מאשת אח, כוונת הגמ' משום הואיל ואישתרי, וכמו שאשת אח הותרה אף אחות אשה אישתרי עמו. [ולא משום מידת מה מצינו].</w:t>
      </w:r>
    </w:p>
  </w:footnote>
  <w:footnote w:id="362">
    <w:p w14:paraId="0FD105AE" w14:textId="77777777" w:rsidR="00BE1D1C" w:rsidRDefault="00000000" w:rsidP="00012502">
      <w:pPr>
        <w:pStyle w:val="Footnote"/>
        <w:bidi/>
      </w:pPr>
      <w:r>
        <w:rPr>
          <w:rStyle w:val="ac"/>
          <w:rtl/>
        </w:rPr>
        <w:footnoteRef/>
      </w:r>
      <w:r>
        <w:rPr>
          <w:rtl/>
        </w:rPr>
        <w:t>[וה</w:t>
      </w:r>
      <w:r>
        <w:rPr>
          <w:b/>
          <w:bCs/>
          <w:rtl/>
        </w:rPr>
        <w:t>אחרונים</w:t>
      </w:r>
      <w:r>
        <w:rPr>
          <w:rtl/>
        </w:rPr>
        <w:t xml:space="preserve"> דנו דיסוד דברי הרשב"א (הנ"ל) תלויין במח' ר' יוחנן ור"ל לקמן י: ובמח' (מא.) דהותרה ונאסרה. וי"ל דסוגיין כאידך מ"ד]. וב</w:t>
      </w:r>
      <w:r>
        <w:rPr>
          <w:b/>
          <w:bCs/>
          <w:rtl/>
        </w:rPr>
        <w:t>חי' ר' מאיר שמחה</w:t>
      </w:r>
      <w:r>
        <w:rPr>
          <w:rtl/>
        </w:rPr>
        <w:t xml:space="preserve"> (סא:) כתב דלסוגיין היתר יבום הוה משום עדל"ת, מקמי דילפי' היקישא דר' יונה. אבל כיון דהוקשו כל העריות אמרי' דלא נאסר כלל אשת אח שאין לה בנים [ע"ד הסוגיא נד:].</w:t>
      </w:r>
    </w:p>
  </w:footnote>
  <w:footnote w:id="363">
    <w:p w14:paraId="60D38B9F" w14:textId="77777777" w:rsidR="00BE1D1C" w:rsidRDefault="00000000" w:rsidP="00012502">
      <w:pPr>
        <w:pStyle w:val="Footnote"/>
        <w:bidi/>
      </w:pPr>
      <w:r>
        <w:rPr>
          <w:rStyle w:val="ac"/>
          <w:rtl/>
        </w:rPr>
        <w:footnoteRef/>
      </w:r>
      <w:r>
        <w:rPr>
          <w:rtl/>
        </w:rPr>
        <w:t>ויל"ד דתוס' (ח.) המ"ל דמטעם זה רבא ס"ל דערוה לא בעי קרא, ובסוגיא ל"ש אישתרי.</w:t>
      </w:r>
    </w:p>
  </w:footnote>
  <w:footnote w:id="364">
    <w:p w14:paraId="2EA0416F" w14:textId="77777777" w:rsidR="00BE1D1C" w:rsidRDefault="00000000" w:rsidP="00012502">
      <w:pPr>
        <w:pStyle w:val="Footnote"/>
        <w:bidi/>
      </w:pPr>
      <w:r>
        <w:rPr>
          <w:rStyle w:val="ac"/>
          <w:rtl/>
        </w:rPr>
        <w:footnoteRef/>
      </w:r>
      <w:r>
        <w:rPr>
          <w:rtl/>
        </w:rPr>
        <w:t>[לצד דסברת אישתרי קיימי למסקנא, ולא אמרי' דאשת אח הותר לגמרי]. וה</w:t>
      </w:r>
      <w:r>
        <w:rPr>
          <w:b/>
          <w:bCs/>
          <w:rtl/>
        </w:rPr>
        <w:t>אחיעזר</w:t>
      </w:r>
      <w:r>
        <w:rPr>
          <w:rtl/>
        </w:rPr>
        <w:t xml:space="preserve"> (לד) כת' דבאלמנה לכה"ג יש איסור על האישות [ולא על הביאה], ובזה ל"ש אישתרי.</w:t>
      </w:r>
    </w:p>
    <w:p w14:paraId="54FAFDAA" w14:textId="77777777" w:rsidR="00BE1D1C" w:rsidRDefault="00000000" w:rsidP="00012502">
      <w:pPr>
        <w:pStyle w:val="Footnote"/>
        <w:bidi/>
      </w:pPr>
      <w:r>
        <w:rPr>
          <w:rtl/>
        </w:rPr>
        <w:tab/>
        <w:t>וב</w:t>
      </w:r>
      <w:r>
        <w:rPr>
          <w:b/>
          <w:bCs/>
          <w:rtl/>
        </w:rPr>
        <w:t>חי' רמ"ש</w:t>
      </w:r>
      <w:r>
        <w:rPr>
          <w:rtl/>
        </w:rPr>
        <w:t xml:space="preserve"> (לקמן שם) תי' דאישתרי שייך רק בעריות דהוה אותו חתיכה דאיסורא, משא"כ איסור אלמנה דאינו בחפץ.</w:t>
      </w:r>
    </w:p>
    <w:p w14:paraId="3BE24165" w14:textId="77777777" w:rsidR="00BE1D1C" w:rsidRDefault="00000000" w:rsidP="00012502">
      <w:pPr>
        <w:pStyle w:val="Footnote"/>
        <w:bidi/>
      </w:pPr>
      <w:r>
        <w:rPr>
          <w:rtl/>
        </w:rPr>
        <w:tab/>
        <w:t>וה</w:t>
      </w:r>
      <w:r>
        <w:rPr>
          <w:b/>
          <w:bCs/>
          <w:rtl/>
        </w:rPr>
        <w:t>אמר"מ</w:t>
      </w:r>
      <w:r>
        <w:rPr>
          <w:rtl/>
        </w:rPr>
        <w:t xml:space="preserve"> (ה כב) כתב דיש גזיה"כ (לקמן כ:) דחייבי לאו ועשה חולצת, ולא הותר. וכתב דכלפי איסור קל אין חילוק בין נעשה אח"כ.</w:t>
      </w:r>
    </w:p>
  </w:footnote>
  <w:footnote w:id="365">
    <w:p w14:paraId="71F382F9" w14:textId="77777777" w:rsidR="00BE1D1C" w:rsidRDefault="00000000" w:rsidP="00012502">
      <w:pPr>
        <w:pStyle w:val="Footnote"/>
        <w:bidi/>
      </w:pPr>
      <w:r>
        <w:rPr>
          <w:rStyle w:val="ac"/>
          <w:rtl/>
        </w:rPr>
        <w:footnoteRef/>
      </w:r>
      <w:r>
        <w:rPr>
          <w:rtl/>
        </w:rPr>
        <w:t>[ע' תוס' ותו"י (ח:) בהא דלא איצטריך קרא להתיר ביאה שניה, והתו"י חילק בין הותרה לדחויה].</w:t>
      </w:r>
    </w:p>
  </w:footnote>
  <w:footnote w:id="366">
    <w:p w14:paraId="25F48F02" w14:textId="77777777" w:rsidR="00BE1D1C" w:rsidRDefault="00000000" w:rsidP="00012502">
      <w:pPr>
        <w:pStyle w:val="Footnote"/>
        <w:bidi/>
      </w:pPr>
      <w:r>
        <w:rPr>
          <w:rStyle w:val="ac"/>
          <w:rtl/>
        </w:rPr>
        <w:footnoteRef/>
      </w:r>
      <w:r>
        <w:rPr>
          <w:rtl/>
        </w:rPr>
        <w:t>[דומיא דאשת אח, הגורמת את ההיתר].</w:t>
      </w:r>
    </w:p>
  </w:footnote>
  <w:footnote w:id="367">
    <w:p w14:paraId="321EFFA4" w14:textId="77777777" w:rsidR="00BE1D1C" w:rsidRDefault="00000000" w:rsidP="00012502">
      <w:pPr>
        <w:pStyle w:val="Footnote"/>
        <w:bidi/>
      </w:pPr>
      <w:r>
        <w:rPr>
          <w:rStyle w:val="ac"/>
          <w:rtl/>
        </w:rPr>
        <w:footnoteRef/>
      </w:r>
      <w:r>
        <w:rPr>
          <w:rtl/>
        </w:rPr>
        <w:t>[אך יש לדחות ע"פ פשטות התוס' ח: דלא תלי בהותרה ודחויה, אלא דבעיקר היתר אשת אח סברא שמותרת לגמרי. אבל כשנזדמן איסור אחר אוסר].</w:t>
      </w:r>
    </w:p>
  </w:footnote>
  <w:footnote w:id="368">
    <w:p w14:paraId="6A420E18" w14:textId="77777777" w:rsidR="00BE1D1C" w:rsidRDefault="00000000" w:rsidP="00012502">
      <w:pPr>
        <w:pStyle w:val="Footnote"/>
        <w:bidi/>
      </w:pPr>
      <w:r>
        <w:rPr>
          <w:rStyle w:val="ac"/>
          <w:rtl/>
        </w:rPr>
        <w:footnoteRef/>
      </w:r>
      <w:r>
        <w:rPr>
          <w:rtl/>
        </w:rPr>
        <w:t>וכלשון רש"י דהוה מיגו.</w:t>
      </w:r>
    </w:p>
  </w:footnote>
  <w:footnote w:id="369">
    <w:p w14:paraId="03238E8E" w14:textId="77777777" w:rsidR="00BE1D1C" w:rsidRDefault="00000000" w:rsidP="00012502">
      <w:pPr>
        <w:pStyle w:val="Footnote"/>
        <w:bidi/>
      </w:pPr>
      <w:r>
        <w:rPr>
          <w:rStyle w:val="ac"/>
          <w:rtl/>
        </w:rPr>
        <w:footnoteRef/>
      </w:r>
      <w:r>
        <w:rPr>
          <w:rtl/>
        </w:rPr>
        <w:t>ולפ"ז זהו הגדר אף במצורע, ואף דהוה שם איסור א' דטמא במקדש, מ"מ אף שהותר טומאת מצורע, עדיין יש סיבת איסור מחמת טבו"י דקרי. ובזה ילפי' 'מתיר' דהתורה התירה.</w:t>
      </w:r>
    </w:p>
  </w:footnote>
  <w:footnote w:id="370">
    <w:p w14:paraId="06209D47" w14:textId="77777777" w:rsidR="00BE1D1C" w:rsidRDefault="00000000" w:rsidP="00012502">
      <w:pPr>
        <w:pStyle w:val="Footnote"/>
        <w:bidi/>
      </w:pPr>
      <w:r>
        <w:rPr>
          <w:rStyle w:val="ac"/>
          <w:rtl/>
        </w:rPr>
        <w:footnoteRef/>
      </w:r>
      <w:r>
        <w:rPr>
          <w:rtl/>
        </w:rPr>
        <w:t>[ועפ"ז תירץ הא דרבא בסמוך לא חשש להואיל ואשתרי, וכקו' התוס' ח. ד"ה רבא].</w:t>
      </w:r>
    </w:p>
  </w:footnote>
  <w:footnote w:id="371">
    <w:p w14:paraId="2C3E6F68" w14:textId="77777777" w:rsidR="00BE1D1C" w:rsidRDefault="00000000" w:rsidP="00012502">
      <w:pPr>
        <w:pStyle w:val="Footnote"/>
        <w:bidi/>
      </w:pPr>
      <w:r>
        <w:rPr>
          <w:rStyle w:val="ac"/>
          <w:rtl/>
        </w:rPr>
        <w:footnoteRef/>
      </w:r>
      <w:r>
        <w:rPr>
          <w:rtl/>
        </w:rPr>
        <w:t>וכן הביא ב</w:t>
      </w:r>
      <w:r>
        <w:rPr>
          <w:b/>
          <w:bCs/>
          <w:rtl/>
        </w:rPr>
        <w:t>שושנת העמקים</w:t>
      </w:r>
      <w:r>
        <w:rPr>
          <w:rtl/>
        </w:rPr>
        <w:t xml:space="preserve"> (ה) דאמרי' הואיל ואישתרי בין באופן של הותרה או דחויה.</w:t>
      </w:r>
    </w:p>
  </w:footnote>
  <w:footnote w:id="372">
    <w:p w14:paraId="7244C59B" w14:textId="77777777" w:rsidR="00BE1D1C" w:rsidRDefault="00000000" w:rsidP="00012502">
      <w:pPr>
        <w:pStyle w:val="Footnote"/>
        <w:bidi/>
      </w:pPr>
      <w:r>
        <w:rPr>
          <w:rStyle w:val="ac"/>
          <w:rtl/>
        </w:rPr>
        <w:footnoteRef/>
      </w:r>
      <w:r>
        <w:rPr>
          <w:rtl/>
        </w:rPr>
        <w:t>אבל מ"ד לא שמה ביאה ל"ל הואיל ואשתרי, ע' לקמן.</w:t>
      </w:r>
    </w:p>
  </w:footnote>
  <w:footnote w:id="373">
    <w:p w14:paraId="535DBE49" w14:textId="77777777" w:rsidR="00BE1D1C" w:rsidRDefault="00000000" w:rsidP="00012502">
      <w:pPr>
        <w:pStyle w:val="Footnote"/>
        <w:bidi/>
      </w:pPr>
      <w:r>
        <w:rPr>
          <w:rStyle w:val="ac"/>
          <w:rtl/>
        </w:rPr>
        <w:footnoteRef/>
      </w:r>
      <w:r>
        <w:rPr>
          <w:rtl/>
        </w:rPr>
        <w:t>בין נכנס למקדש בטומאת מת או טומאת קרי.</w:t>
      </w:r>
    </w:p>
  </w:footnote>
  <w:footnote w:id="374">
    <w:p w14:paraId="4E59D933" w14:textId="77777777" w:rsidR="00BE1D1C" w:rsidRDefault="00000000" w:rsidP="00012502">
      <w:pPr>
        <w:pStyle w:val="Footnote"/>
        <w:bidi/>
      </w:pPr>
      <w:r>
        <w:rPr>
          <w:rStyle w:val="ac"/>
          <w:rtl/>
        </w:rPr>
        <w:footnoteRef/>
      </w:r>
      <w:r>
        <w:rPr>
          <w:rtl/>
        </w:rPr>
        <w:t>ויש שדנו דתוס' לא תי' כן, דדעת תוס' דאשת אח ליבום הוה דחויה, כשאר גדר עשה דוחה ל"ת. [וכמ"ש תוס' לעיל ג: וה: ולקמן נד:, וע"ע תוס' בע"ב].</w:t>
      </w:r>
    </w:p>
  </w:footnote>
  <w:footnote w:id="375">
    <w:p w14:paraId="67EE5BD5" w14:textId="77777777" w:rsidR="00BE1D1C" w:rsidRDefault="00000000" w:rsidP="00012502">
      <w:pPr>
        <w:pStyle w:val="Footnote"/>
        <w:bidi/>
      </w:pPr>
      <w:r>
        <w:rPr>
          <w:rStyle w:val="ac"/>
          <w:rtl/>
        </w:rPr>
        <w:footnoteRef/>
      </w:r>
      <w:r>
        <w:rPr>
          <w:rtl/>
        </w:rPr>
        <w:t>וכעי"ז כתב ה</w:t>
      </w:r>
      <w:r>
        <w:rPr>
          <w:b/>
          <w:bCs/>
          <w:rtl/>
        </w:rPr>
        <w:t>אחיעזר</w:t>
      </w:r>
      <w:r>
        <w:rPr>
          <w:rtl/>
        </w:rPr>
        <w:t xml:space="preserve"> (ד). אבל ה</w:t>
      </w:r>
      <w:r>
        <w:rPr>
          <w:b/>
          <w:bCs/>
          <w:rtl/>
        </w:rPr>
        <w:t>אחרונים</w:t>
      </w:r>
      <w:r>
        <w:rPr>
          <w:rtl/>
        </w:rPr>
        <w:t xml:space="preserve"> בכמה מקומות נקטו סברת הואיל ואישתרי בשאר מילי.</w:t>
      </w:r>
    </w:p>
  </w:footnote>
  <w:footnote w:id="376">
    <w:p w14:paraId="3E45E035" w14:textId="77777777" w:rsidR="00BE1D1C" w:rsidRDefault="00000000" w:rsidP="00012502">
      <w:pPr>
        <w:pStyle w:val="Footnote"/>
        <w:bidi/>
      </w:pPr>
      <w:r>
        <w:rPr>
          <w:rStyle w:val="ac"/>
          <w:rtl/>
        </w:rPr>
        <w:footnoteRef/>
      </w:r>
      <w:r>
        <w:rPr>
          <w:rtl/>
        </w:rPr>
        <w:t>ועוד דנו בגמ' (קידושין שם) האם עבד עברי כהן מותר בשפחה, דכיון דהותר איסור שפחה לכהן, אף דיש איסור נוסף לכהן הותר. [ולכאו' מסברא מישך לסוגיין, אך בגמ' שם לא הוזכר בזה אישתרי].</w:t>
      </w:r>
    </w:p>
  </w:footnote>
  <w:footnote w:id="377">
    <w:p w14:paraId="19B72553" w14:textId="77777777" w:rsidR="00BE1D1C" w:rsidRDefault="00000000" w:rsidP="00012502">
      <w:pPr>
        <w:pStyle w:val="Footnote"/>
        <w:bidi/>
      </w:pPr>
      <w:r>
        <w:rPr>
          <w:rStyle w:val="ac"/>
          <w:rtl/>
        </w:rPr>
        <w:footnoteRef/>
      </w:r>
      <w:r>
        <w:rPr>
          <w:rtl/>
        </w:rPr>
        <w:t>וה</w:t>
      </w:r>
      <w:r>
        <w:rPr>
          <w:b/>
          <w:bCs/>
          <w:rtl/>
        </w:rPr>
        <w:t>ראב"ד</w:t>
      </w:r>
      <w:r>
        <w:rPr>
          <w:rtl/>
        </w:rPr>
        <w:t xml:space="preserve"> (תמיד) נקט לשון הואיל ואשתרי כלפי כלאים בציצית בלילה, וביאה שניה ביבמה דחייבי לאוין. וה</w:t>
      </w:r>
      <w:r>
        <w:rPr>
          <w:b/>
          <w:bCs/>
          <w:rtl/>
        </w:rPr>
        <w:t>שאג"א</w:t>
      </w:r>
      <w:r>
        <w:rPr>
          <w:rtl/>
        </w:rPr>
        <w:t xml:space="preserve"> (ל) האריך בזה. [והו' לקמן ח:]. וכל הנידון שייך לסוגיא דקידושין, דאישתרי מעשה הב'.</w:t>
      </w:r>
    </w:p>
  </w:footnote>
  <w:footnote w:id="378">
    <w:p w14:paraId="221FB35A" w14:textId="77777777" w:rsidR="00BE1D1C" w:rsidRDefault="00000000" w:rsidP="00012502">
      <w:pPr>
        <w:pStyle w:val="Footnote"/>
        <w:bidi/>
      </w:pPr>
      <w:r>
        <w:rPr>
          <w:rStyle w:val="ac"/>
          <w:rtl/>
        </w:rPr>
        <w:footnoteRef/>
      </w:r>
      <w:r>
        <w:rPr>
          <w:rtl/>
        </w:rPr>
        <w:t>ועוד יש שהביאו מח' רב ושמואל (עירובין צג.) אי אמרי' שבת הואיל והותרה הותרה. [והק' דהפכו שיטתם]. וה</w:t>
      </w:r>
      <w:r>
        <w:rPr>
          <w:b/>
          <w:bCs/>
          <w:rtl/>
        </w:rPr>
        <w:t>חיד"א</w:t>
      </w:r>
      <w:r>
        <w:rPr>
          <w:rtl/>
        </w:rPr>
        <w:t xml:space="preserve"> (מחזיק ברכה או"ח שעד) דחה דהתם נח' האם חל היתר טלטול בתחילת שבת לכל השבת. ולא הוה גדר מיגו של היתר.</w:t>
      </w:r>
    </w:p>
  </w:footnote>
  <w:footnote w:id="379">
    <w:p w14:paraId="35304123" w14:textId="77777777" w:rsidR="00BE1D1C" w:rsidRDefault="00000000" w:rsidP="00012502">
      <w:pPr>
        <w:pStyle w:val="Footnote"/>
        <w:bidi/>
      </w:pPr>
      <w:r>
        <w:rPr>
          <w:rStyle w:val="ac"/>
          <w:rtl/>
        </w:rPr>
        <w:footnoteRef/>
      </w:r>
      <w:r>
        <w:rPr>
          <w:rtl/>
        </w:rPr>
        <w:t>[דהא קי"ל דדם נעכר ונעשית חלב].</w:t>
      </w:r>
    </w:p>
  </w:footnote>
  <w:footnote w:id="380">
    <w:p w14:paraId="173FB375" w14:textId="77777777" w:rsidR="00BE1D1C" w:rsidRDefault="00000000" w:rsidP="00012502">
      <w:pPr>
        <w:pStyle w:val="Footnote"/>
        <w:bidi/>
      </w:pPr>
      <w:r>
        <w:rPr>
          <w:rStyle w:val="ac"/>
          <w:rtl/>
        </w:rPr>
        <w:footnoteRef/>
      </w:r>
      <w:r>
        <w:rPr>
          <w:rtl/>
        </w:rPr>
        <w:t>[ואילו בכל הנך איירי אף כשהאיסור הב' חל קודם]. אך יש לדחות דבסוגיין בחד מעשה, א"כ היכא דהאיסור הב' קדם י"ל אדרבה הואיל ויש ב' איסורין לא הותר כלל. אבל בעלמא דהדבר המותר חל בכל אופן, ועי"ז אמרי' 'מיגו' וחל היתר על מעשה הב' [אף שקדם].</w:t>
      </w:r>
    </w:p>
  </w:footnote>
  <w:footnote w:id="381">
    <w:p w14:paraId="01D45DE2" w14:textId="77777777" w:rsidR="00BE1D1C" w:rsidRDefault="00000000" w:rsidP="00012502">
      <w:pPr>
        <w:pStyle w:val="Footnote"/>
        <w:bidi/>
      </w:pPr>
      <w:r>
        <w:rPr>
          <w:rStyle w:val="ac"/>
          <w:rtl/>
        </w:rPr>
        <w:footnoteRef/>
      </w:r>
      <w:r>
        <w:rPr>
          <w:rtl/>
        </w:rPr>
        <w:t>ומשום עשה דפסח דחינן עשה שאין בו כרת, ור' יוחנן פי' דהוה מעלה דרבנן. [אבל בשאר ימות השנה, דליכא פסח, יהא אסור לו ליכנס להר הבית כלל]. ובזה לא אמרי' הואיל ואישתרי, דליכא איסור כלל למצורע בשמיני ליכנס להר הבית, ואין כאן 'היתר'.</w:t>
      </w:r>
    </w:p>
  </w:footnote>
  <w:footnote w:id="382">
    <w:p w14:paraId="4B225A6D" w14:textId="77777777" w:rsidR="00BE1D1C" w:rsidRDefault="00000000" w:rsidP="00012502">
      <w:pPr>
        <w:pStyle w:val="Footnote"/>
        <w:bidi/>
      </w:pPr>
      <w:r>
        <w:rPr>
          <w:rStyle w:val="ac"/>
          <w:rtl/>
        </w:rPr>
        <w:footnoteRef/>
      </w:r>
      <w:r>
        <w:rPr>
          <w:rtl/>
        </w:rPr>
        <w:t>לחד מ"ד משום דביאה במקצת לא הוה ביאה. ולעולא משום הואיל ואישתרי.</w:t>
      </w:r>
    </w:p>
  </w:footnote>
  <w:footnote w:id="383">
    <w:p w14:paraId="7FF3F1B2" w14:textId="77777777" w:rsidR="00BE1D1C" w:rsidRDefault="00000000" w:rsidP="00012502">
      <w:pPr>
        <w:pStyle w:val="Footnote"/>
        <w:bidi/>
      </w:pPr>
      <w:r>
        <w:rPr>
          <w:rStyle w:val="ac"/>
          <w:rtl/>
        </w:rPr>
        <w:footnoteRef/>
      </w:r>
      <w:r>
        <w:rPr>
          <w:rtl/>
        </w:rPr>
        <w:t>אבל לדעת רש"י [הו' בתוס' לקמן] ר' יוחנן פליג אברייתא. ולדעת הברייתא טבול יום דזב אסור ליכנס מדאורייתא בכל הר הבית. ומש"ה תנא דברייתא נקט קרי. [כ"כ בחי' הגר"נ].</w:t>
      </w:r>
    </w:p>
  </w:footnote>
  <w:footnote w:id="384">
    <w:p w14:paraId="4C8C324C" w14:textId="77777777" w:rsidR="00BE1D1C" w:rsidRDefault="00000000" w:rsidP="00012502">
      <w:pPr>
        <w:pStyle w:val="Footnote"/>
        <w:bidi/>
      </w:pPr>
      <w:r>
        <w:rPr>
          <w:rStyle w:val="ac"/>
          <w:rtl/>
        </w:rPr>
        <w:footnoteRef/>
      </w:r>
      <w:r>
        <w:rPr>
          <w:rtl/>
        </w:rPr>
        <w:t xml:space="preserve">בפשוטו משמע בתוס' דהנידון על המת עצמו. אך </w:t>
      </w:r>
      <w:r>
        <w:rPr>
          <w:b/>
          <w:bCs/>
          <w:rtl/>
        </w:rPr>
        <w:t>תוס</w:t>
      </w:r>
      <w:r>
        <w:rPr>
          <w:rtl/>
        </w:rPr>
        <w:t>' (סוטה כ:) הק' דאין איסור ביאת מקדש בדבר שאין לו טהרה במקוה [וכדאי' עירובין קד:], וביאר דכוונת הגמ' דגורם טומאה לנושאי הטומאה [דהוה טומאה חמורה, שהוא בחיבורין למת].</w:t>
      </w:r>
    </w:p>
  </w:footnote>
  <w:footnote w:id="385">
    <w:p w14:paraId="39727888" w14:textId="77777777" w:rsidR="00BE1D1C" w:rsidRDefault="00000000" w:rsidP="00012502">
      <w:pPr>
        <w:pStyle w:val="Footnote"/>
        <w:bidi/>
      </w:pPr>
      <w:r>
        <w:rPr>
          <w:rStyle w:val="ac"/>
          <w:rtl/>
        </w:rPr>
        <w:footnoteRef/>
      </w:r>
      <w:r>
        <w:rPr>
          <w:rtl/>
        </w:rPr>
        <w:t>וכשהיו מפצעין את מוחו מכניסים לשם טומאה, אבל הטומאה לא היתה שם כבר. [וע"פ תוס' סוטה דאיירי בנושאי המת, הנידון בשעה שיטמאו ויגעו במת בעודם בפנים].</w:t>
      </w:r>
    </w:p>
  </w:footnote>
  <w:footnote w:id="386">
    <w:p w14:paraId="7786DAF6" w14:textId="77777777" w:rsidR="00BE1D1C" w:rsidRDefault="00000000" w:rsidP="00012502">
      <w:pPr>
        <w:pStyle w:val="Footnote"/>
        <w:bidi/>
      </w:pPr>
      <w:r>
        <w:rPr>
          <w:rStyle w:val="ac"/>
          <w:rtl/>
        </w:rPr>
        <w:footnoteRef/>
      </w:r>
      <w:r>
        <w:rPr>
          <w:rtl/>
        </w:rPr>
        <w:t>וב</w:t>
      </w:r>
      <w:r>
        <w:rPr>
          <w:b/>
          <w:bCs/>
          <w:rtl/>
        </w:rPr>
        <w:t>גמ'</w:t>
      </w:r>
      <w:r>
        <w:rPr>
          <w:rtl/>
        </w:rPr>
        <w:t xml:space="preserve"> (שבועות טז:) ילפי' גזיה"כ למי שנטמא מבפנים. ופ</w:t>
      </w:r>
      <w:r>
        <w:rPr>
          <w:b/>
          <w:bCs/>
          <w:rtl/>
        </w:rPr>
        <w:t>רש"י</w:t>
      </w:r>
      <w:r>
        <w:rPr>
          <w:rtl/>
        </w:rPr>
        <w:t xml:space="preserve"> דס"ד דלא קרינן לא יטמא מחניהם, שהרי כבר טימא. ואילו לפר"ת י"ל דאיצטריך ילפותא משום דטומאה דבפנים לא הוה דרך ביאה [ע' שבועות יז:].</w:t>
      </w:r>
    </w:p>
  </w:footnote>
  <w:footnote w:id="387">
    <w:p w14:paraId="0B8AFC3E" w14:textId="77777777" w:rsidR="00BE1D1C" w:rsidRDefault="00000000" w:rsidP="00012502">
      <w:pPr>
        <w:pStyle w:val="Footnote"/>
        <w:bidi/>
      </w:pPr>
      <w:r>
        <w:rPr>
          <w:rStyle w:val="ac"/>
          <w:rtl/>
        </w:rPr>
        <w:footnoteRef/>
      </w:r>
      <w:r>
        <w:rPr>
          <w:rtl/>
        </w:rPr>
        <w:t>ועיל"פ דבאיסור דרבנן אי"צ לזרז כ"כ, משום כבוד הבריות [כדאי' ברכות יט:]. אבל איסור דאורייתא לא הותר משום כבוד הבריות, וצריך להזדרז כמה שאפשר [הוציאוה הוציאוה].</w:t>
      </w:r>
    </w:p>
  </w:footnote>
  <w:footnote w:id="388">
    <w:p w14:paraId="6DFB8726" w14:textId="77777777" w:rsidR="00BE1D1C" w:rsidRDefault="00000000" w:rsidP="00012502">
      <w:pPr>
        <w:pStyle w:val="Footnote"/>
        <w:bidi/>
      </w:pPr>
      <w:r>
        <w:rPr>
          <w:rStyle w:val="ac"/>
          <w:rtl/>
        </w:rPr>
        <w:footnoteRef/>
      </w:r>
      <w:r>
        <w:rPr>
          <w:rtl/>
        </w:rPr>
        <w:t>והנתיבות למד כן מהגמ' (עירובין סז:) דבאיסור דרבנן עבדינן מעשה, והדר מותבינין. [ואף שיודעים שיש קושיה על הפסק רשאי לעשות מעשה, ואח"כ יברר הדין. ואילו היה נענש על השוגג היאך היה מניחין לו לעבור ולקבל עונש].</w:t>
      </w:r>
    </w:p>
  </w:footnote>
  <w:footnote w:id="389">
    <w:p w14:paraId="657CB896" w14:textId="77777777" w:rsidR="00BE1D1C" w:rsidRDefault="00000000" w:rsidP="00012502">
      <w:pPr>
        <w:pStyle w:val="Footnote"/>
        <w:bidi/>
      </w:pPr>
      <w:r>
        <w:rPr>
          <w:rStyle w:val="ac"/>
          <w:rtl/>
        </w:rPr>
        <w:footnoteRef/>
      </w:r>
      <w:r>
        <w:rPr>
          <w:rtl/>
        </w:rPr>
        <w:t>[אך הוכיח דאיסור דרבנן הוה איסור חפצא, ודלא כנתיבות].</w:t>
      </w:r>
    </w:p>
  </w:footnote>
  <w:footnote w:id="390">
    <w:p w14:paraId="7CC22F06" w14:textId="77777777" w:rsidR="00BE1D1C" w:rsidRDefault="00000000" w:rsidP="00012502">
      <w:pPr>
        <w:pStyle w:val="Footnote"/>
        <w:bidi/>
      </w:pPr>
      <w:r>
        <w:rPr>
          <w:rStyle w:val="ac"/>
          <w:rtl/>
        </w:rPr>
        <w:footnoteRef/>
      </w:r>
      <w:r>
        <w:rPr>
          <w:rtl/>
        </w:rPr>
        <w:t xml:space="preserve">וכדעת </w:t>
      </w:r>
      <w:r>
        <w:rPr>
          <w:b/>
          <w:bCs/>
          <w:rtl/>
        </w:rPr>
        <w:t>תוס</w:t>
      </w:r>
      <w:r>
        <w:rPr>
          <w:rtl/>
        </w:rPr>
        <w:t>' (חולין עח.) דאף עשה שיש בו כרת אינו דוחה ל"ת ועשה.</w:t>
      </w:r>
    </w:p>
  </w:footnote>
  <w:footnote w:id="391">
    <w:p w14:paraId="409305E5" w14:textId="77777777" w:rsidR="00BE1D1C" w:rsidRDefault="00000000" w:rsidP="00012502">
      <w:pPr>
        <w:pStyle w:val="Footnote"/>
        <w:bidi/>
      </w:pPr>
      <w:r>
        <w:rPr>
          <w:rStyle w:val="ac"/>
          <w:rtl/>
        </w:rPr>
        <w:footnoteRef/>
      </w:r>
      <w:r>
        <w:rPr>
          <w:rtl/>
        </w:rPr>
        <w:t>[שהרי לא גזרו בכל מחנה לויה, אלא עשו את העז"נ הרחקה למחנה ישראל].</w:t>
      </w:r>
    </w:p>
  </w:footnote>
  <w:footnote w:id="392">
    <w:p w14:paraId="635600D3" w14:textId="77777777" w:rsidR="00BE1D1C" w:rsidRDefault="00000000" w:rsidP="00012502">
      <w:pPr>
        <w:pStyle w:val="Footnote"/>
        <w:bidi/>
      </w:pPr>
      <w:r>
        <w:rPr>
          <w:rStyle w:val="ac"/>
          <w:rtl/>
        </w:rPr>
        <w:footnoteRef/>
      </w:r>
      <w:r>
        <w:rPr>
          <w:rtl/>
        </w:rPr>
        <w:t>וכ"כ ה</w:t>
      </w:r>
      <w:r>
        <w:rPr>
          <w:b/>
          <w:bCs/>
          <w:rtl/>
        </w:rPr>
        <w:t>ר"ש</w:t>
      </w:r>
      <w:r>
        <w:rPr>
          <w:rtl/>
        </w:rPr>
        <w:t xml:space="preserve"> (כלים א ח) דר' יוחנן לא פליג אמשנה, ומש"כ מחנה לויה כוונתו לעזרת נשים.</w:t>
      </w:r>
    </w:p>
  </w:footnote>
  <w:footnote w:id="393">
    <w:p w14:paraId="756A884C" w14:textId="77777777" w:rsidR="00BE1D1C" w:rsidRDefault="00000000" w:rsidP="00012502">
      <w:pPr>
        <w:pStyle w:val="Footnote"/>
        <w:bidi/>
      </w:pPr>
      <w:r>
        <w:rPr>
          <w:rStyle w:val="ac"/>
          <w:rtl/>
        </w:rPr>
        <w:footnoteRef/>
      </w:r>
      <w:r>
        <w:rPr>
          <w:rtl/>
        </w:rPr>
        <w:t>וגדר הגזירה דמדרבנן דינו כזב. [ואילו הר"ש כלים נקט דהוה גזירה בעלמא בעזרת נשים, דאילו הוה כזב אסור בכל מחנה לויה. ולדעת תוס' דידן גדר טבול יום דזב כזב לא שייכא לאיסור מחנות].</w:t>
      </w:r>
    </w:p>
  </w:footnote>
  <w:footnote w:id="394">
    <w:p w14:paraId="12FBD029" w14:textId="77777777" w:rsidR="00BE1D1C" w:rsidRDefault="00000000" w:rsidP="00012502">
      <w:pPr>
        <w:pStyle w:val="Footnote"/>
        <w:bidi/>
      </w:pPr>
      <w:r>
        <w:rPr>
          <w:rStyle w:val="ac"/>
          <w:rtl/>
        </w:rPr>
        <w:footnoteRef/>
      </w:r>
      <w:r>
        <w:rPr>
          <w:rtl/>
        </w:rPr>
        <w:t>במשנה (כלים א ח) הר הבית מקודש מירושלים, והחיל מהר הבית, ועזרת נשים מן החיל, ועזרת ישראל משל נשים, ושל כהנים משל ישראל, ובין האולם ולמזבח מן העזרה, וההיכל מבין האולם ולמזבח וכו'.</w:t>
      </w:r>
    </w:p>
  </w:footnote>
  <w:footnote w:id="395">
    <w:p w14:paraId="616D74CF" w14:textId="77777777" w:rsidR="00BE1D1C" w:rsidRDefault="00000000" w:rsidP="00012502">
      <w:pPr>
        <w:pStyle w:val="Footnote"/>
        <w:bidi/>
      </w:pPr>
      <w:r>
        <w:rPr>
          <w:rStyle w:val="ac"/>
          <w:rtl/>
        </w:rPr>
        <w:footnoteRef/>
      </w:r>
      <w:r>
        <w:rPr>
          <w:rtl/>
        </w:rPr>
        <w:t>ולדעת רש"י י"ל דר' יוחנן ס"ל מעלות דרבנן, והברייתא ס"ל דמעלות דאורייתא.</w:t>
      </w:r>
    </w:p>
  </w:footnote>
  <w:footnote w:id="396">
    <w:p w14:paraId="3F2700B7" w14:textId="77777777" w:rsidR="00BE1D1C" w:rsidRDefault="00000000" w:rsidP="00012502">
      <w:pPr>
        <w:pStyle w:val="Footnote"/>
        <w:bidi/>
      </w:pPr>
      <w:r>
        <w:rPr>
          <w:rStyle w:val="ac"/>
          <w:rtl/>
        </w:rPr>
        <w:footnoteRef/>
      </w:r>
      <w:r>
        <w:rPr>
          <w:rtl/>
        </w:rPr>
        <w:t>[ועשה דפסח שיש בו כרת דחי]. ומבואר לדעת רש"י דאף דטבול יום דזב כזב, היינו לאיסור בעלמא. ולא הוה בכלל זב ללאו וכרת.</w:t>
      </w:r>
    </w:p>
  </w:footnote>
  <w:footnote w:id="397">
    <w:p w14:paraId="56534C50" w14:textId="77777777" w:rsidR="00BE1D1C" w:rsidRDefault="00000000" w:rsidP="00012502">
      <w:pPr>
        <w:pStyle w:val="Footnote"/>
        <w:bidi/>
      </w:pPr>
      <w:r>
        <w:rPr>
          <w:rStyle w:val="ac"/>
          <w:rtl/>
        </w:rPr>
        <w:footnoteRef/>
      </w:r>
      <w:r>
        <w:rPr>
          <w:rtl/>
        </w:rPr>
        <w:t>ומבואר דתוס' דידן נקטו דכוונת רש"י דדעת הברייתא דכל טבול יום [אפי' דמת] אסור ליכנס [מדאורייתא].</w:t>
      </w:r>
    </w:p>
  </w:footnote>
  <w:footnote w:id="398">
    <w:p w14:paraId="54A37F1D" w14:textId="77777777" w:rsidR="00BE1D1C" w:rsidRDefault="00000000" w:rsidP="00012502">
      <w:pPr>
        <w:pStyle w:val="Footnote"/>
        <w:bidi/>
      </w:pPr>
      <w:r>
        <w:rPr>
          <w:rStyle w:val="ac"/>
          <w:rtl/>
        </w:rPr>
        <w:footnoteRef/>
      </w:r>
      <w:r>
        <w:rPr>
          <w:rtl/>
        </w:rPr>
        <w:t>וכתבו כדאשכחן (פסחים נט.) דעשה דפסח דחי עשה דהשלמה, אע"ג דבעלמא אין עשה דוחה עשה. [וע' מש"כ לעיל ה.].</w:t>
      </w:r>
    </w:p>
  </w:footnote>
  <w:footnote w:id="399">
    <w:p w14:paraId="1F506483" w14:textId="77777777" w:rsidR="00BE1D1C" w:rsidRDefault="00000000" w:rsidP="00012502">
      <w:pPr>
        <w:pStyle w:val="Footnote"/>
        <w:bidi/>
      </w:pPr>
      <w:r>
        <w:rPr>
          <w:rStyle w:val="ac"/>
          <w:rtl/>
        </w:rPr>
        <w:footnoteRef/>
      </w:r>
      <w:r>
        <w:rPr>
          <w:rtl/>
        </w:rPr>
        <w:t>[והביא בדין מקצת היום ככולו כעי"ז]. וכעי“ז חקר בדין מגע במקצת [דבגמ' בזבחים שם השוו], האם סגי במקצת, או דנחשב שנוגע בכולו. ותלה בתי' ה</w:t>
      </w:r>
      <w:r>
        <w:rPr>
          <w:b/>
          <w:bCs/>
          <w:rtl/>
        </w:rPr>
        <w:t>רמב"ן</w:t>
      </w:r>
      <w:r>
        <w:rPr>
          <w:rtl/>
        </w:rPr>
        <w:t xml:space="preserve"> (שבועות יא) גבי שבע לה טומאה.</w:t>
      </w:r>
    </w:p>
  </w:footnote>
  <w:footnote w:id="400">
    <w:p w14:paraId="6A2CBB6C" w14:textId="77777777" w:rsidR="00BE1D1C" w:rsidRDefault="00000000" w:rsidP="00012502">
      <w:pPr>
        <w:pStyle w:val="Footnote"/>
        <w:bidi/>
      </w:pPr>
      <w:r>
        <w:rPr>
          <w:rStyle w:val="ac"/>
          <w:rtl/>
        </w:rPr>
        <w:footnoteRef/>
      </w:r>
      <w:r>
        <w:rPr>
          <w:rtl/>
        </w:rPr>
        <w:t>וה</w:t>
      </w:r>
      <w:r>
        <w:rPr>
          <w:b/>
          <w:bCs/>
          <w:rtl/>
        </w:rPr>
        <w:t>רמב"ם</w:t>
      </w:r>
      <w:r>
        <w:rPr>
          <w:rtl/>
        </w:rPr>
        <w:t xml:space="preserve"> (ג ט) פסק דמחוסר כיפורים דנכנס לעזרה במכת מרדות [והכס"מ כת' דפסק מחו"כ דזב לאו כזב]. וה</w:t>
      </w:r>
      <w:r>
        <w:rPr>
          <w:b/>
          <w:bCs/>
          <w:rtl/>
        </w:rPr>
        <w:t>ראב"ד</w:t>
      </w:r>
      <w:r>
        <w:rPr>
          <w:rtl/>
        </w:rPr>
        <w:t xml:space="preserve"> השיג דחייב כרת.</w:t>
      </w:r>
    </w:p>
  </w:footnote>
  <w:footnote w:id="401">
    <w:p w14:paraId="511F0329" w14:textId="77777777" w:rsidR="00BE1D1C" w:rsidRDefault="00000000" w:rsidP="00012502">
      <w:pPr>
        <w:pStyle w:val="Footnote"/>
        <w:bidi/>
      </w:pPr>
      <w:r>
        <w:rPr>
          <w:rStyle w:val="ac"/>
          <w:rtl/>
        </w:rPr>
        <w:footnoteRef/>
      </w:r>
      <w:r>
        <w:rPr>
          <w:rtl/>
        </w:rPr>
        <w:t>ונקט דקאי אף אכניסתו לעזרה [אך בפשוטו ר' יוחנן קאי כלפי הכניסה להר הבית. ואילו הכניסה לעזרה הותר משום הואיל ואישתרי, ואי"צ דחייה זו].</w:t>
      </w:r>
    </w:p>
  </w:footnote>
  <w:footnote w:id="402">
    <w:p w14:paraId="2DC92F6F" w14:textId="77777777" w:rsidR="00BE1D1C" w:rsidRDefault="00000000" w:rsidP="00012502">
      <w:pPr>
        <w:pStyle w:val="Footnote"/>
        <w:bidi/>
      </w:pPr>
      <w:r>
        <w:rPr>
          <w:rStyle w:val="ac"/>
          <w:rtl/>
        </w:rPr>
        <w:footnoteRef/>
      </w:r>
      <w:r>
        <w:rPr>
          <w:rtl/>
        </w:rPr>
        <w:t>וה</w:t>
      </w:r>
      <w:r>
        <w:rPr>
          <w:b/>
          <w:bCs/>
          <w:rtl/>
        </w:rPr>
        <w:t>מאירי</w:t>
      </w:r>
      <w:r>
        <w:rPr>
          <w:rtl/>
        </w:rPr>
        <w:t xml:space="preserve"> (ג:) ביאר דכיון דקדם בגוה איסור אשת אח קודם שיחול עליה איסור אחות אשה, מיגו דאישתרי ליה מצד יבום איסור אשת אח דמעיקרא הייתי אומר שאין איסור אחות אשה הבא אחריו מוציאו מאותו היתר. דהואיל והותר לראשון הותר לבא אחריו. אבל נשא חי ואח"כ נשא מת עומדת עליו באיסור אחות אשה, ואח"כ נשא אחיו המת היאך איסור אחרון מפקיע את הראשון.</w:t>
      </w:r>
    </w:p>
  </w:footnote>
  <w:footnote w:id="403">
    <w:p w14:paraId="1A2D929D" w14:textId="77777777" w:rsidR="00BE1D1C" w:rsidRDefault="00000000" w:rsidP="00012502">
      <w:pPr>
        <w:pStyle w:val="Footnote"/>
        <w:bidi/>
      </w:pPr>
      <w:r>
        <w:rPr>
          <w:rStyle w:val="ac"/>
          <w:rtl/>
        </w:rPr>
        <w:footnoteRef/>
      </w:r>
      <w:r>
        <w:rPr>
          <w:rtl/>
        </w:rPr>
        <w:t>וקצת משמע בדברי רש"י דשייך לגדרי אין איסור חל על איסור. דאף דקי"ל דאיסור כולל ומוסיף חל (ע' בסוגיות לקמן לב- לג), מ"מ האיסור הראשון עיקר, והשני נתוסף עליו.</w:t>
      </w:r>
    </w:p>
  </w:footnote>
  <w:footnote w:id="404">
    <w:p w14:paraId="615E49FB" w14:textId="77777777" w:rsidR="00BE1D1C" w:rsidRDefault="00000000" w:rsidP="00012502">
      <w:pPr>
        <w:pStyle w:val="Footnote"/>
        <w:bidi/>
      </w:pPr>
      <w:r>
        <w:rPr>
          <w:rStyle w:val="ac"/>
          <w:rtl/>
        </w:rPr>
        <w:footnoteRef/>
      </w:r>
      <w:r>
        <w:rPr>
          <w:rtl/>
        </w:rPr>
        <w:t>ולמ"ד אין זיקה משום ביטול מצות יבמין.</w:t>
      </w:r>
    </w:p>
  </w:footnote>
  <w:footnote w:id="405">
    <w:p w14:paraId="7948FDD1" w14:textId="77777777" w:rsidR="00BE1D1C" w:rsidRDefault="00000000" w:rsidP="00012502">
      <w:pPr>
        <w:pStyle w:val="Footnote"/>
        <w:bidi/>
      </w:pPr>
      <w:r>
        <w:rPr>
          <w:rStyle w:val="ac"/>
          <w:rtl/>
        </w:rPr>
        <w:footnoteRef/>
      </w:r>
      <w:r>
        <w:rPr>
          <w:rtl/>
        </w:rPr>
        <w:t>עכ"פ מבואר דיבום השני נחשב המשך מהיתר אשת אח הראשון [וכיון דהתחיל היתר באישות זו נחשב דקדים]. [ע' לקמן יט:].</w:t>
      </w:r>
    </w:p>
  </w:footnote>
  <w:footnote w:id="406">
    <w:p w14:paraId="003E40C0" w14:textId="77777777" w:rsidR="00BE1D1C" w:rsidRDefault="00000000" w:rsidP="00012502">
      <w:pPr>
        <w:pStyle w:val="Footnote"/>
        <w:bidi/>
      </w:pPr>
      <w:r>
        <w:rPr>
          <w:rStyle w:val="ac"/>
          <w:rtl/>
        </w:rPr>
        <w:footnoteRef/>
      </w:r>
      <w:r>
        <w:rPr>
          <w:rtl/>
        </w:rPr>
        <w:t>[לדברי התו"י דאיירי שקידש לאחר שנפלה לפניו ליבום, אבל לדברי המאירי (הנ"ל) דאיירי בנפילה שניה אין ראיה].</w:t>
      </w:r>
    </w:p>
  </w:footnote>
  <w:footnote w:id="407">
    <w:p w14:paraId="6F46C91C" w14:textId="77777777" w:rsidR="00BE1D1C" w:rsidRDefault="00000000" w:rsidP="00012502">
      <w:pPr>
        <w:pStyle w:val="Footnote"/>
        <w:bidi/>
      </w:pPr>
      <w:r>
        <w:rPr>
          <w:rStyle w:val="ac"/>
          <w:rtl/>
        </w:rPr>
        <w:footnoteRef/>
      </w:r>
      <w:r>
        <w:rPr>
          <w:rtl/>
        </w:rPr>
        <w:t>אך דעת רבן גמליאל (לקמן קט) דהיכא דנשאה [ביתומה קטנה דהוה בהיתר, עי"ש] הותר יבמתו לשוק. וה</w:t>
      </w:r>
      <w:r>
        <w:rPr>
          <w:b/>
          <w:bCs/>
          <w:rtl/>
        </w:rPr>
        <w:t>ראשונים</w:t>
      </w:r>
      <w:r>
        <w:rPr>
          <w:rtl/>
        </w:rPr>
        <w:t xml:space="preserve"> דנו אי נח' בזה ר' יהודה ב"ב ור"ג.</w:t>
      </w:r>
    </w:p>
  </w:footnote>
  <w:footnote w:id="408">
    <w:p w14:paraId="099E1C55" w14:textId="77777777" w:rsidR="00BE1D1C" w:rsidRDefault="00000000" w:rsidP="00012502">
      <w:pPr>
        <w:pStyle w:val="Footnote"/>
        <w:bidi/>
      </w:pPr>
      <w:r>
        <w:rPr>
          <w:rStyle w:val="ac"/>
          <w:rtl/>
        </w:rPr>
        <w:footnoteRef/>
      </w:r>
      <w:r>
        <w:rPr>
          <w:rtl/>
        </w:rPr>
        <w:t>ועוד הביאו ה</w:t>
      </w:r>
      <w:r>
        <w:rPr>
          <w:b/>
          <w:bCs/>
          <w:rtl/>
        </w:rPr>
        <w:t>ראשונים</w:t>
      </w:r>
      <w:r>
        <w:rPr>
          <w:rtl/>
        </w:rPr>
        <w:t xml:space="preserve"> ממ"ד דקידושין תפסי ביבמה לשוק, ואפ"ה זקוקה לחליצה. ולא אמרי' דערות אשת איש מפקיע זיקה. [ע' </w:t>
      </w:r>
      <w:r>
        <w:rPr>
          <w:b/>
          <w:bCs/>
          <w:rtl/>
        </w:rPr>
        <w:t>תוס</w:t>
      </w:r>
      <w:r>
        <w:rPr>
          <w:rtl/>
        </w:rPr>
        <w:t>' לקמן טז.].</w:t>
      </w:r>
    </w:p>
  </w:footnote>
  <w:footnote w:id="409">
    <w:p w14:paraId="11B18C9F" w14:textId="77777777" w:rsidR="00BE1D1C" w:rsidRDefault="00000000" w:rsidP="00012502">
      <w:pPr>
        <w:pStyle w:val="Footnote"/>
        <w:bidi/>
      </w:pPr>
      <w:r>
        <w:rPr>
          <w:rStyle w:val="ac"/>
          <w:rtl/>
        </w:rPr>
        <w:footnoteRef/>
      </w:r>
      <w:r>
        <w:rPr>
          <w:rtl/>
        </w:rPr>
        <w:t>וה</w:t>
      </w:r>
      <w:r>
        <w:rPr>
          <w:b/>
          <w:bCs/>
          <w:rtl/>
        </w:rPr>
        <w:t>ראשונים</w:t>
      </w:r>
      <w:r>
        <w:rPr>
          <w:rtl/>
        </w:rPr>
        <w:t xml:space="preserve"> העלו צד דאף דיש פטור, מ"מ כיון דחל זיקה קודם צריכה חליצה, למ"ד יש זיקה. [וע"ע תוס' יח:].</w:t>
      </w:r>
    </w:p>
  </w:footnote>
  <w:footnote w:id="410">
    <w:p w14:paraId="636C7BE3" w14:textId="77777777" w:rsidR="00BE1D1C" w:rsidRDefault="00000000" w:rsidP="00012502">
      <w:pPr>
        <w:pStyle w:val="Footnote"/>
        <w:bidi/>
      </w:pPr>
      <w:r>
        <w:rPr>
          <w:rStyle w:val="ac"/>
          <w:rtl/>
        </w:rPr>
        <w:footnoteRef/>
      </w:r>
      <w:r>
        <w:rPr>
          <w:rtl/>
        </w:rPr>
        <w:t>וציין דהוה כבעלת התנאי לדעת הרמב"ן דאי"צ חליצה מדין התנאי. אלא שאין דין פטור.</w:t>
      </w:r>
    </w:p>
  </w:footnote>
  <w:footnote w:id="411">
    <w:p w14:paraId="53D9A248" w14:textId="77777777" w:rsidR="00BE1D1C" w:rsidRDefault="00000000" w:rsidP="00012502">
      <w:pPr>
        <w:pStyle w:val="Footnote"/>
        <w:bidi/>
      </w:pPr>
      <w:r>
        <w:rPr>
          <w:rStyle w:val="ac"/>
          <w:rtl/>
        </w:rPr>
        <w:footnoteRef/>
      </w:r>
      <w:r>
        <w:rPr>
          <w:rtl/>
        </w:rPr>
        <w:t>ואביי למד מהתם לחייבי לאוין לר"ע, ובחייבי לאוין לר"ע ע"כ הוה גדר 'פטור' [דילפי' 'עליה', או משום דלא תפס זיקה היכא דלא תפסי קידושין]. וכמ"ש הראשונים (לקמן י.) דאל"כ ליתי עשה וידחה ל"ת.</w:t>
      </w:r>
    </w:p>
    <w:p w14:paraId="5F3396CC" w14:textId="77777777" w:rsidR="00BE1D1C" w:rsidRDefault="00000000" w:rsidP="00012502">
      <w:pPr>
        <w:pStyle w:val="Footnote"/>
        <w:bidi/>
      </w:pPr>
      <w:r>
        <w:rPr>
          <w:rtl/>
        </w:rPr>
        <w:tab/>
        <w:t>וה</w:t>
      </w:r>
      <w:r>
        <w:rPr>
          <w:b/>
          <w:bCs/>
          <w:rtl/>
        </w:rPr>
        <w:t>אחרונים</w:t>
      </w:r>
      <w:r>
        <w:rPr>
          <w:rtl/>
        </w:rPr>
        <w:t xml:space="preserve"> דנו די"ל דבזה רבה פליג, וחילק בערוה לאחר נפילה בין חייבי כריתות [דלא אתי יבום ודחי ל"ת שיש בו כרת] לחייבי לאוין לר"ע.</w:t>
      </w:r>
    </w:p>
  </w:footnote>
  <w:footnote w:id="412">
    <w:p w14:paraId="592CE680" w14:textId="77777777" w:rsidR="00BE1D1C" w:rsidRDefault="00000000" w:rsidP="00012502">
      <w:pPr>
        <w:pStyle w:val="Footnote"/>
        <w:bidi/>
      </w:pPr>
      <w:r>
        <w:rPr>
          <w:rStyle w:val="ac"/>
          <w:rtl/>
        </w:rPr>
        <w:footnoteRef/>
      </w:r>
      <w:r>
        <w:rPr>
          <w:rtl/>
        </w:rPr>
        <w:t>[ודלא כתוס' יח: דתלי במח' יש זיקה, וסברת ר"ג דאין זיקה]. והרשב"א הק' דר"ג ס"ל דאין זיקה, והאיך אביי הביא מדברי ר"ג. [וע"ע רשב"א וריטב"א עט:].</w:t>
      </w:r>
    </w:p>
  </w:footnote>
  <w:footnote w:id="413">
    <w:p w14:paraId="2A93A6E6" w14:textId="77777777" w:rsidR="00BE1D1C" w:rsidRDefault="00000000" w:rsidP="00012502">
      <w:pPr>
        <w:pStyle w:val="Footnote"/>
        <w:bidi/>
      </w:pPr>
      <w:r>
        <w:rPr>
          <w:rStyle w:val="ac"/>
          <w:rtl/>
        </w:rPr>
        <w:footnoteRef/>
      </w:r>
      <w:r>
        <w:rPr>
          <w:rtl/>
        </w:rPr>
        <w:t>ו</w:t>
      </w:r>
      <w:r>
        <w:rPr>
          <w:b/>
          <w:bCs/>
          <w:rtl/>
        </w:rPr>
        <w:t>רע"א</w:t>
      </w:r>
      <w:r>
        <w:rPr>
          <w:rtl/>
        </w:rPr>
        <w:t xml:space="preserve"> הביא להוכיח כן מהמשנה (לקמן יג.) דו' עריות, הא משכח"ל שקידש לאחר נפילה [למ"ד לקמן מט: וצב: דקידושין תפסי ביבמה לשוק]. ועוד הביא מתוס' (לקמן טז.) דאשת איש לאחר נפילה.</w:t>
      </w:r>
    </w:p>
  </w:footnote>
  <w:footnote w:id="414">
    <w:p w14:paraId="7D769CB1" w14:textId="77777777" w:rsidR="00BE1D1C" w:rsidRDefault="00000000" w:rsidP="00012502">
      <w:pPr>
        <w:pStyle w:val="Footnote"/>
        <w:bidi/>
      </w:pPr>
      <w:r>
        <w:rPr>
          <w:rStyle w:val="ac"/>
          <w:rtl/>
        </w:rPr>
        <w:footnoteRef/>
      </w:r>
      <w:r>
        <w:rPr>
          <w:rtl/>
        </w:rPr>
        <w:t>וה</w:t>
      </w:r>
      <w:r>
        <w:rPr>
          <w:b/>
          <w:bCs/>
          <w:rtl/>
        </w:rPr>
        <w:t>קרית ספר</w:t>
      </w:r>
      <w:r>
        <w:rPr>
          <w:rtl/>
        </w:rPr>
        <w:t xml:space="preserve"> (יבום ו) ביאר שאין הצרה אסורה עד שתהיה צרת ערוה בשעת נפילה ליבום, דבשעה זו תלה רחמנא.</w:t>
      </w:r>
    </w:p>
  </w:footnote>
  <w:footnote w:id="415">
    <w:p w14:paraId="4A663C05" w14:textId="77777777" w:rsidR="00BE1D1C" w:rsidRDefault="00000000" w:rsidP="00012502">
      <w:pPr>
        <w:pStyle w:val="Footnote"/>
        <w:bidi/>
      </w:pPr>
      <w:r>
        <w:rPr>
          <w:rStyle w:val="ac"/>
          <w:rtl/>
        </w:rPr>
        <w:footnoteRef/>
      </w:r>
      <w:r>
        <w:rPr>
          <w:rtl/>
        </w:rPr>
        <w:t>דגדר צרת ערוה דחל על הצרה דין ערוה, מחמת שהיא צרה לערוה. אבל הכא אינה צרה לערוה [בשעה שהיא ערוה], ואף דחל גדר ערוה אח"כ, הצרה כבר אינה שייכת.</w:t>
      </w:r>
    </w:p>
  </w:footnote>
  <w:footnote w:id="416">
    <w:p w14:paraId="4F196043" w14:textId="77777777" w:rsidR="00BE1D1C" w:rsidRDefault="00000000" w:rsidP="00012502">
      <w:pPr>
        <w:pStyle w:val="Footnote"/>
        <w:bidi/>
      </w:pPr>
      <w:r>
        <w:rPr>
          <w:rStyle w:val="ac"/>
          <w:rtl/>
        </w:rPr>
        <w:footnoteRef/>
      </w:r>
      <w:r>
        <w:rPr>
          <w:rtl/>
        </w:rPr>
        <w:t>לדעת הראשונים דגדר אשת אח הותרה במקום יבום. אבל לדעת תוס' (ג: ה: נד:) דדין אשת אח הוה משום עשה דוחה ל"ת, א"כ ה"נ אשת אח הוה משום הכי.</w:t>
      </w:r>
    </w:p>
  </w:footnote>
  <w:footnote w:id="417">
    <w:p w14:paraId="1B8EB904" w14:textId="77777777" w:rsidR="00BE1D1C" w:rsidRDefault="00000000" w:rsidP="00012502">
      <w:pPr>
        <w:pStyle w:val="Footnote"/>
        <w:bidi/>
      </w:pPr>
      <w:r>
        <w:rPr>
          <w:rStyle w:val="ac"/>
          <w:rtl/>
        </w:rPr>
        <w:footnoteRef/>
      </w:r>
      <w:r>
        <w:rPr>
          <w:rtl/>
        </w:rPr>
        <w:t>אבל משמע ב</w:t>
      </w:r>
      <w:r>
        <w:rPr>
          <w:b/>
          <w:bCs/>
          <w:rtl/>
        </w:rPr>
        <w:t>מהרש"ל</w:t>
      </w:r>
      <w:r>
        <w:rPr>
          <w:rtl/>
        </w:rPr>
        <w:t xml:space="preserve"> (ד.) דהוה משום עשה דוחה ל"ת שיש בו כרת. וה</w:t>
      </w:r>
      <w:r>
        <w:rPr>
          <w:b/>
          <w:bCs/>
          <w:rtl/>
        </w:rPr>
        <w:t>מהרש"א</w:t>
      </w:r>
      <w:r>
        <w:rPr>
          <w:rtl/>
        </w:rPr>
        <w:t xml:space="preserve"> (ג:) השיגו.</w:t>
      </w:r>
    </w:p>
  </w:footnote>
  <w:footnote w:id="418">
    <w:p w14:paraId="4D5C9DA7" w14:textId="77777777" w:rsidR="00BE1D1C" w:rsidRDefault="00000000" w:rsidP="00012502">
      <w:pPr>
        <w:pStyle w:val="Footnote"/>
        <w:bidi/>
      </w:pPr>
      <w:r>
        <w:rPr>
          <w:rStyle w:val="ac"/>
          <w:rtl/>
        </w:rPr>
        <w:footnoteRef/>
      </w:r>
      <w:r>
        <w:rPr>
          <w:rtl/>
        </w:rPr>
        <w:t>אך מדברי התוס' (שם) משמע דהיכא דאתינן עלה משום ילפותא אחות אשה מאשת אח [והואיל ואישתרי] ל"ש קושיה זו.</w:t>
      </w:r>
    </w:p>
  </w:footnote>
  <w:footnote w:id="419">
    <w:p w14:paraId="7518E947" w14:textId="77777777" w:rsidR="00BE1D1C" w:rsidRDefault="00000000" w:rsidP="00012502">
      <w:pPr>
        <w:pStyle w:val="Footnote"/>
        <w:bidi/>
      </w:pPr>
      <w:r>
        <w:rPr>
          <w:rStyle w:val="ac"/>
          <w:rtl/>
        </w:rPr>
        <w:footnoteRef/>
      </w:r>
      <w:r>
        <w:rPr>
          <w:rtl/>
        </w:rPr>
        <w:t xml:space="preserve">וכ"כ </w:t>
      </w:r>
      <w:r>
        <w:rPr>
          <w:b/>
          <w:bCs/>
          <w:rtl/>
        </w:rPr>
        <w:t>תוס</w:t>
      </w:r>
      <w:r>
        <w:rPr>
          <w:rtl/>
        </w:rPr>
        <w:t>' (ב"ק ג.), והשושנת העמקים (א) הביא כן מסוגיין. ודלא כקרבן אהרן [בס' מידות אהרן]. [וע"ע רש"י חולין קלו, תוס' חולין צח: ד"ה מאי חזית, ותוס' קידו' לד: ושבת קלו:].</w:t>
      </w:r>
    </w:p>
  </w:footnote>
  <w:footnote w:id="420">
    <w:p w14:paraId="57BA5249" w14:textId="77777777" w:rsidR="00BE1D1C" w:rsidRDefault="00000000" w:rsidP="00012502">
      <w:pPr>
        <w:pStyle w:val="Footnote"/>
        <w:bidi/>
      </w:pPr>
      <w:r>
        <w:rPr>
          <w:rStyle w:val="ac"/>
          <w:rtl/>
        </w:rPr>
        <w:footnoteRef/>
      </w:r>
      <w:r>
        <w:rPr>
          <w:rtl/>
        </w:rPr>
        <w:t>ומבואר דהתוס' רא"ש נקט חידוש דדנים על נפילה ליבום בפנ"ע, ובזה יש היקש לאחות אשה. ולא אמרי' דשאני הכא שחולצת, והוה בכלל שאר אשת אח שאין לה בנים. אלא כיון דבפועל אינה מתייבמת התוס' רא"ש הק' דיש כאן אשת אח.</w:t>
      </w:r>
    </w:p>
    <w:p w14:paraId="21F3A059" w14:textId="77777777" w:rsidR="00BE1D1C" w:rsidRDefault="00000000" w:rsidP="00012502">
      <w:pPr>
        <w:pStyle w:val="Footnote"/>
        <w:bidi/>
      </w:pPr>
      <w:r>
        <w:rPr>
          <w:rtl/>
        </w:rPr>
        <w:tab/>
        <w:t>והביאו דמבואר מדברי התוס' הרא"ש דלא כיסוד ה</w:t>
      </w:r>
      <w:r>
        <w:rPr>
          <w:b/>
          <w:bCs/>
          <w:rtl/>
        </w:rPr>
        <w:t>גר"ח</w:t>
      </w:r>
      <w:r>
        <w:rPr>
          <w:rtl/>
        </w:rPr>
        <w:t xml:space="preserve"> דאשת אח דממילא אינו פוטר צרתה. דהגר"ח חידש דאף דביאתה אסור מדין אשת אח, מ"מ אינה מוגדר 'ערוה' לפטור מיבום. ואילו בתוס' הרא"ש הקשה שיפטור צרתה.</w:t>
      </w:r>
    </w:p>
    <w:p w14:paraId="1A5B4A67" w14:textId="77777777" w:rsidR="00BE1D1C" w:rsidRDefault="00000000" w:rsidP="00012502">
      <w:pPr>
        <w:pStyle w:val="Footnote"/>
        <w:bidi/>
      </w:pPr>
      <w:r>
        <w:rPr>
          <w:rtl/>
        </w:rPr>
        <w:tab/>
        <w:t>אך י"ל דהתורא"ש הק' דיש להקישה לאחות אשה [ומיניה נילף דיהא לה דין 'ערוה'], אבל למסקנא [דלא מקשינן] י"ל בו גדר 'פוטר'.</w:t>
      </w:r>
    </w:p>
  </w:footnote>
  <w:footnote w:id="421">
    <w:p w14:paraId="3B42239D" w14:textId="77777777" w:rsidR="00BE1D1C" w:rsidRDefault="00000000" w:rsidP="00012502">
      <w:pPr>
        <w:pStyle w:val="Footnote"/>
        <w:bidi/>
      </w:pPr>
      <w:r>
        <w:rPr>
          <w:rStyle w:val="ac"/>
          <w:rtl/>
        </w:rPr>
        <w:footnoteRef/>
      </w:r>
      <w:r>
        <w:rPr>
          <w:rtl/>
        </w:rPr>
        <w:t>דפטור צרה באשת אחיו שלא בעולמו ע"כ איירי בנפילה שניה.</w:t>
      </w:r>
    </w:p>
  </w:footnote>
  <w:footnote w:id="422">
    <w:p w14:paraId="735D21D6" w14:textId="77777777" w:rsidR="00BE1D1C" w:rsidRDefault="00000000" w:rsidP="00012502">
      <w:pPr>
        <w:pStyle w:val="Footnote"/>
        <w:bidi/>
      </w:pPr>
      <w:r>
        <w:rPr>
          <w:rStyle w:val="ac"/>
          <w:rtl/>
        </w:rPr>
        <w:footnoteRef/>
      </w:r>
      <w:r>
        <w:rPr>
          <w:rtl/>
        </w:rPr>
        <w:t>והקובה"ע הק' דלא יתיישב בזה גבי אשת אח מאם [שהוסיף התוס' רא"ש].</w:t>
      </w:r>
    </w:p>
  </w:footnote>
  <w:footnote w:id="423">
    <w:p w14:paraId="56E80CD8" w14:textId="77777777" w:rsidR="00BE1D1C" w:rsidRDefault="00000000" w:rsidP="00012502">
      <w:pPr>
        <w:pStyle w:val="Footnote"/>
        <w:bidi/>
      </w:pPr>
      <w:r>
        <w:rPr>
          <w:rStyle w:val="ac"/>
          <w:rtl/>
        </w:rPr>
        <w:footnoteRef/>
      </w:r>
      <w:r>
        <w:rPr>
          <w:rtl/>
        </w:rPr>
        <w:t>וגדר נאסרה לא נחשב חלק מאיסור אשת אח, ו'חדא איסורא'.</w:t>
      </w:r>
    </w:p>
  </w:footnote>
  <w:footnote w:id="424">
    <w:p w14:paraId="1F41AF49" w14:textId="77777777" w:rsidR="00BE1D1C" w:rsidRDefault="00000000" w:rsidP="00012502">
      <w:pPr>
        <w:pStyle w:val="Footnote"/>
        <w:bidi/>
      </w:pPr>
      <w:r>
        <w:rPr>
          <w:rStyle w:val="ac"/>
          <w:rtl/>
        </w:rPr>
        <w:footnoteRef/>
      </w:r>
      <w:r>
        <w:rPr>
          <w:rtl/>
        </w:rPr>
        <w:t>אבל אי משום קרא ד'עליה', י"ל דבא לגלות דבעלמא דחי. [ע"ע תוס' לעיל ג:].</w:t>
      </w:r>
    </w:p>
  </w:footnote>
  <w:footnote w:id="425">
    <w:p w14:paraId="35EE3DD1" w14:textId="77777777" w:rsidR="00BE1D1C" w:rsidRDefault="00000000" w:rsidP="00012502">
      <w:pPr>
        <w:pStyle w:val="Footnote"/>
        <w:bidi/>
      </w:pPr>
      <w:r>
        <w:rPr>
          <w:rStyle w:val="ac"/>
          <w:rtl/>
        </w:rPr>
        <w:footnoteRef/>
      </w:r>
      <w:r>
        <w:rPr>
          <w:rtl/>
        </w:rPr>
        <w:t>וה</w:t>
      </w:r>
      <w:r>
        <w:rPr>
          <w:b/>
          <w:bCs/>
          <w:rtl/>
        </w:rPr>
        <w:t>רמב"ם</w:t>
      </w:r>
      <w:r>
        <w:rPr>
          <w:rtl/>
        </w:rPr>
        <w:t xml:space="preserve"> (שם ט) ביאר דיבמה שהיא ערוה [על היבם, וכגון אחות אשתו או אמה או בתה] הר"ז פטורה מן החליצה ומן היבום, ואין לו עליה זיקה כלל שנ' ולקחה לו לאשה ויבמה מי שראויה ללקוחין וקידושין תופסין בה היא שהיא זקוקה ליבם.</w:t>
      </w:r>
    </w:p>
  </w:footnote>
  <w:footnote w:id="426">
    <w:p w14:paraId="0FC63A8B" w14:textId="77777777" w:rsidR="00BE1D1C" w:rsidRDefault="00000000" w:rsidP="00012502">
      <w:pPr>
        <w:pStyle w:val="Footnote"/>
        <w:bidi/>
      </w:pPr>
      <w:r>
        <w:rPr>
          <w:rStyle w:val="ac"/>
          <w:rtl/>
        </w:rPr>
        <w:footnoteRef/>
      </w:r>
      <w:r>
        <w:rPr>
          <w:rtl/>
        </w:rPr>
        <w:t>אבל ב</w:t>
      </w:r>
      <w:r>
        <w:rPr>
          <w:b/>
          <w:bCs/>
          <w:rtl/>
        </w:rPr>
        <w:t>ס' הקובץ</w:t>
      </w:r>
      <w:r>
        <w:rPr>
          <w:rtl/>
        </w:rPr>
        <w:t xml:space="preserve"> לרמב"ם כת' הביא דברי המהרש"ל (ד.) דרבא ס"ל דאין עשה דוחה ל"ת שיש בו כרת, אבל יש מ"ד דדחי. ושפיר איצטריך מיעוט בערוה גופה.</w:t>
      </w:r>
    </w:p>
  </w:footnote>
  <w:footnote w:id="427">
    <w:p w14:paraId="42C0A224" w14:textId="77777777" w:rsidR="00BE1D1C" w:rsidRDefault="00000000" w:rsidP="00012502">
      <w:pPr>
        <w:pStyle w:val="Footnote"/>
        <w:bidi/>
      </w:pPr>
      <w:r>
        <w:rPr>
          <w:rStyle w:val="ac"/>
          <w:rtl/>
        </w:rPr>
        <w:footnoteRef/>
      </w:r>
      <w:r>
        <w:rPr>
          <w:rtl/>
        </w:rPr>
        <w:t>[ויל"ד לאיזה ברייתא נתכוון, דבברייתא לעיל ג: ילפי' מקרא ד'עליה'. ואילו הרמב"ם נקט מעין דרשת רבי].</w:t>
      </w:r>
    </w:p>
  </w:footnote>
  <w:footnote w:id="428">
    <w:p w14:paraId="73190908" w14:textId="77777777" w:rsidR="00BE1D1C" w:rsidRDefault="00000000" w:rsidP="00012502">
      <w:pPr>
        <w:pStyle w:val="Footnote"/>
        <w:bidi/>
      </w:pPr>
      <w:r>
        <w:rPr>
          <w:rStyle w:val="ac"/>
          <w:rtl/>
        </w:rPr>
        <w:footnoteRef/>
      </w:r>
      <w:r>
        <w:rPr>
          <w:rtl/>
        </w:rPr>
        <w:t>וכדאי' (לקמן כ:) משום דאינה עולה ליבום אינה עולה לחליצה, ומשום דלא תפסי בה קידושין.</w:t>
      </w:r>
    </w:p>
  </w:footnote>
  <w:footnote w:id="429">
    <w:p w14:paraId="227C5C76" w14:textId="77777777" w:rsidR="00BE1D1C" w:rsidRDefault="00000000" w:rsidP="00012502">
      <w:pPr>
        <w:pStyle w:val="Footnote"/>
        <w:bidi/>
      </w:pPr>
      <w:r>
        <w:rPr>
          <w:rStyle w:val="ac"/>
          <w:rtl/>
        </w:rPr>
        <w:footnoteRef/>
      </w:r>
      <w:r>
        <w:rPr>
          <w:rtl/>
        </w:rPr>
        <w:t>יל"ד אי הוה איסור עשה [לאו הבא מכלל עשה], או דקאי א'לא תקח' והוה לאו.</w:t>
      </w:r>
    </w:p>
  </w:footnote>
  <w:footnote w:id="430">
    <w:p w14:paraId="17F3EBB8" w14:textId="77777777" w:rsidR="00BE1D1C" w:rsidRDefault="00000000" w:rsidP="00012502">
      <w:pPr>
        <w:pStyle w:val="Footnote"/>
        <w:bidi/>
      </w:pPr>
      <w:r>
        <w:rPr>
          <w:rStyle w:val="ac"/>
          <w:rtl/>
        </w:rPr>
        <w:footnoteRef/>
      </w:r>
      <w:r>
        <w:rPr>
          <w:rtl/>
        </w:rPr>
        <w:t>אך צ"ב א"כ מאי נפק"מ באיסור צרה, דלעולם הוה במקום מצוות יבום ונדחית. ואפשר דמהדרינן שאחיו ייבם. א"נ להך ס"ד צרה הוה בין במקום מצווה ובין שלא במקום מצווה.</w:t>
      </w:r>
    </w:p>
  </w:footnote>
  <w:footnote w:id="431">
    <w:p w14:paraId="03A6A4F3" w14:textId="77777777" w:rsidR="00BE1D1C" w:rsidRDefault="00000000" w:rsidP="00012502">
      <w:pPr>
        <w:pStyle w:val="Footnote"/>
        <w:bidi/>
      </w:pPr>
      <w:r>
        <w:rPr>
          <w:rStyle w:val="ac"/>
          <w:rtl/>
        </w:rPr>
        <w:footnoteRef/>
      </w:r>
      <w:r>
        <w:rPr>
          <w:rtl/>
        </w:rPr>
        <w:t>וב</w:t>
      </w:r>
      <w:r>
        <w:rPr>
          <w:b/>
          <w:bCs/>
          <w:rtl/>
        </w:rPr>
        <w:t>חי' ר' שמעון</w:t>
      </w:r>
      <w:r>
        <w:rPr>
          <w:rtl/>
        </w:rPr>
        <w:t xml:space="preserve"> (טו, ובחי' ר' שמואל א) כת' דילפי' דהערוה עצמה הוה גדר 'פטור', מהא דפוטרת צרתה. וע"כ דהערוה הוה גדר 'פוטר', דאל"כ לא תפטור צרתה.</w:t>
      </w:r>
    </w:p>
    <w:p w14:paraId="2B12AD1C" w14:textId="77777777" w:rsidR="00BE1D1C" w:rsidRDefault="00000000" w:rsidP="00012502">
      <w:pPr>
        <w:pStyle w:val="Footnote"/>
        <w:bidi/>
      </w:pPr>
      <w:r>
        <w:rPr>
          <w:rtl/>
        </w:rPr>
        <w:tab/>
        <w:t>אך יש שהעירו מהגמ' (כאן) דשייך גדר צרת ערוה, ואפ"ה הא דפטורה הוה משום דאינו דוחה ל"ת שיש בו כרת. ויל"פ ילפי' מלצרור דהערוה עצמה הוה פוטרת צרה, ואף דערוה גופה ל"צ קרא. [א"נ יל"פ דהכא ס"ד דאיסור צרה הוה איסור מחודש].</w:t>
      </w:r>
    </w:p>
  </w:footnote>
  <w:footnote w:id="432">
    <w:p w14:paraId="0687D2CF" w14:textId="77777777" w:rsidR="00BE1D1C" w:rsidRDefault="00000000" w:rsidP="00012502">
      <w:pPr>
        <w:pStyle w:val="Footnote"/>
        <w:bidi/>
      </w:pPr>
      <w:r>
        <w:rPr>
          <w:rStyle w:val="ac"/>
          <w:rtl/>
        </w:rPr>
        <w:footnoteRef/>
      </w:r>
      <w:r>
        <w:rPr>
          <w:rtl/>
        </w:rPr>
        <w:t xml:space="preserve">וכ"כ </w:t>
      </w:r>
      <w:r>
        <w:rPr>
          <w:b/>
          <w:bCs/>
          <w:rtl/>
        </w:rPr>
        <w:t>תוס</w:t>
      </w:r>
      <w:r>
        <w:rPr>
          <w:rtl/>
        </w:rPr>
        <w:t>' (ד"ה כי).</w:t>
      </w:r>
    </w:p>
  </w:footnote>
  <w:footnote w:id="433">
    <w:p w14:paraId="23AEF531" w14:textId="77777777" w:rsidR="00BE1D1C" w:rsidRDefault="00000000" w:rsidP="00012502">
      <w:pPr>
        <w:pStyle w:val="Footnote"/>
        <w:bidi/>
      </w:pPr>
      <w:r>
        <w:rPr>
          <w:rStyle w:val="ac"/>
          <w:rtl/>
        </w:rPr>
        <w:footnoteRef/>
      </w:r>
      <w:r>
        <w:rPr>
          <w:rtl/>
        </w:rPr>
        <w:t>אך בפורת יוסף מבואר דבאמת חייב ב'. אבל בדברי הגרי"ז משמע דהוה איסור לענין יבום. וביארו כוונתו דהך איסור הוה דוקא במקום יבום. אך כיון דילפי' דערוה פטורה, א"כ לא משכח"ל איסור זה במקום מצווה [דלעולם הוה 'פטור'].</w:t>
      </w:r>
    </w:p>
  </w:footnote>
  <w:footnote w:id="434">
    <w:p w14:paraId="0A010FCD" w14:textId="77777777" w:rsidR="00BE1D1C" w:rsidRDefault="00000000" w:rsidP="00012502">
      <w:pPr>
        <w:pStyle w:val="Footnote"/>
        <w:bidi/>
      </w:pPr>
      <w:r>
        <w:rPr>
          <w:rStyle w:val="ac"/>
          <w:rtl/>
        </w:rPr>
        <w:footnoteRef/>
      </w:r>
      <w:r>
        <w:rPr>
          <w:rtl/>
        </w:rPr>
        <w:t>אך תוס' נקטו דאין חילוק בין ערוה לצרה, אלא דערוה נשנית במשנה בכריתות. ואילו שם צרת ערוה אינה שנויה בשום מקום. וצ"ב אמאי איצטריך לזה, שאר עריות הוה מקרא מפורש. ואילו לצרור הוה דרשא.</w:t>
      </w:r>
    </w:p>
  </w:footnote>
  <w:footnote w:id="435">
    <w:p w14:paraId="65C7EB62" w14:textId="77777777" w:rsidR="00BE1D1C" w:rsidRDefault="00000000" w:rsidP="00012502">
      <w:pPr>
        <w:pStyle w:val="Footnote"/>
        <w:bidi/>
      </w:pPr>
      <w:r>
        <w:rPr>
          <w:rStyle w:val="ac"/>
          <w:rtl/>
        </w:rPr>
        <w:footnoteRef/>
      </w:r>
      <w:r>
        <w:rPr>
          <w:rtl/>
        </w:rPr>
        <w:t>[וכדאי' בברייתא לעיל ג: דס"ד לרבות ו' עריות חמורות, ופ</w:t>
      </w:r>
      <w:r>
        <w:rPr>
          <w:b/>
          <w:bCs/>
          <w:rtl/>
        </w:rPr>
        <w:t>רש"י</w:t>
      </w:r>
      <w:r>
        <w:rPr>
          <w:rtl/>
        </w:rPr>
        <w:t xml:space="preserve"> שנשואות לאחרים].</w:t>
      </w:r>
    </w:p>
  </w:footnote>
  <w:footnote w:id="436">
    <w:p w14:paraId="419E0C7B" w14:textId="77777777" w:rsidR="00BE1D1C" w:rsidRDefault="00000000" w:rsidP="00012502">
      <w:pPr>
        <w:pStyle w:val="Footnote"/>
        <w:bidi/>
      </w:pPr>
      <w:r>
        <w:rPr>
          <w:rStyle w:val="ac"/>
          <w:rtl/>
        </w:rPr>
        <w:footnoteRef/>
      </w:r>
      <w:r>
        <w:rPr>
          <w:rtl/>
        </w:rPr>
        <w:t>אך יל"ד אף לדברי הפור"י לכאורה הגדר דשלא במקום מצווה אין עליה 'שם צרת ערוה', דשם צרה הוה דוקא כשנפלו יחד ליבום. דדחוק לומר דצרת ערוה מאחר הוה איסור, אלא שהותרה שלא במקום מצווה. [אך הגרי"ז לא נקט כן].</w:t>
      </w:r>
    </w:p>
  </w:footnote>
  <w:footnote w:id="437">
    <w:p w14:paraId="6751AA84" w14:textId="77777777" w:rsidR="00BE1D1C" w:rsidRDefault="00000000" w:rsidP="00012502">
      <w:pPr>
        <w:pStyle w:val="Footnote"/>
        <w:bidi/>
      </w:pPr>
      <w:r>
        <w:rPr>
          <w:rStyle w:val="ac"/>
          <w:rtl/>
        </w:rPr>
        <w:footnoteRef/>
      </w:r>
      <w:r>
        <w:rPr>
          <w:rtl/>
        </w:rPr>
        <w:t>וילה"ק לדברי האחרונים דילפי' מ'עליה' דהוה גדר 'פטור', וכוונת רבא רק דאף אי לאו הכי לא היתה מתייבמת. א"כ צריכא לגופיה.</w:t>
      </w:r>
    </w:p>
  </w:footnote>
  <w:footnote w:id="438">
    <w:p w14:paraId="43077001" w14:textId="77777777" w:rsidR="00BE1D1C" w:rsidRDefault="00000000" w:rsidP="00012502">
      <w:pPr>
        <w:pStyle w:val="Footnote"/>
        <w:bidi/>
      </w:pPr>
      <w:r>
        <w:rPr>
          <w:rStyle w:val="ac"/>
          <w:rtl/>
        </w:rPr>
        <w:footnoteRef/>
      </w:r>
      <w:r>
        <w:rPr>
          <w:rtl/>
        </w:rPr>
        <w:t>וב</w:t>
      </w:r>
      <w:r>
        <w:rPr>
          <w:b/>
          <w:bCs/>
          <w:rtl/>
        </w:rPr>
        <w:t>תוס' מהר"ם ור"פ</w:t>
      </w:r>
      <w:r>
        <w:rPr>
          <w:rtl/>
        </w:rPr>
        <w:t xml:space="preserve"> הביא עוד י"מ דילפי' צרת צרתה הכל מ'ולקחה', דמשמע ליקוחין הרבה.</w:t>
      </w:r>
    </w:p>
  </w:footnote>
  <w:footnote w:id="439">
    <w:p w14:paraId="0F60BF57" w14:textId="77777777" w:rsidR="00BE1D1C" w:rsidRDefault="00000000" w:rsidP="00012502">
      <w:pPr>
        <w:pStyle w:val="Footnote"/>
        <w:bidi/>
      </w:pPr>
      <w:r>
        <w:rPr>
          <w:rStyle w:val="ac"/>
          <w:rtl/>
        </w:rPr>
        <w:footnoteRef/>
      </w:r>
      <w:r>
        <w:rPr>
          <w:rtl/>
        </w:rPr>
        <w:t>אבל ב</w:t>
      </w:r>
      <w:r>
        <w:rPr>
          <w:b/>
          <w:bCs/>
          <w:rtl/>
        </w:rPr>
        <w:t>תוס'</w:t>
      </w:r>
      <w:r>
        <w:rPr>
          <w:rtl/>
        </w:rPr>
        <w:t xml:space="preserve"> (ד"ה למישרי) כת' דאף לרבי בעי קרא להתיר ערוה שלא במקום יבום, ומבואר דס"ד דשייך בזה 'איסור'.</w:t>
      </w:r>
    </w:p>
  </w:footnote>
  <w:footnote w:id="440">
    <w:p w14:paraId="0D993271" w14:textId="77777777" w:rsidR="00BE1D1C" w:rsidRDefault="00000000" w:rsidP="00012502">
      <w:pPr>
        <w:pStyle w:val="Footnote"/>
        <w:bidi/>
      </w:pPr>
      <w:r>
        <w:rPr>
          <w:rStyle w:val="ac"/>
          <w:rtl/>
        </w:rPr>
        <w:footnoteRef/>
      </w:r>
      <w:r>
        <w:rPr>
          <w:rtl/>
        </w:rPr>
        <w:t>אבל יל"פ דכוונת התוס' שם לענין היקש וילפותא מאחות אשה, ובזה אשת אח דצרה שפיר הוה דמי לאחות אשה.</w:t>
      </w:r>
    </w:p>
  </w:footnote>
  <w:footnote w:id="441">
    <w:p w14:paraId="4930D79E" w14:textId="77777777" w:rsidR="00BE1D1C" w:rsidRDefault="00000000" w:rsidP="00012502">
      <w:pPr>
        <w:pStyle w:val="Footnote"/>
        <w:bidi/>
      </w:pPr>
      <w:r>
        <w:rPr>
          <w:rStyle w:val="ac"/>
          <w:rtl/>
        </w:rPr>
        <w:footnoteRef/>
      </w:r>
      <w:r>
        <w:rPr>
          <w:rtl/>
        </w:rPr>
        <w:t>והביא דילפי' פרשת צרת ערוה מקרא דעריות.</w:t>
      </w:r>
    </w:p>
  </w:footnote>
  <w:footnote w:id="442">
    <w:p w14:paraId="71CC9592" w14:textId="77777777" w:rsidR="00BE1D1C" w:rsidRDefault="00000000" w:rsidP="00012502">
      <w:pPr>
        <w:pStyle w:val="Footnote"/>
        <w:bidi/>
      </w:pPr>
      <w:r>
        <w:rPr>
          <w:rStyle w:val="ac"/>
          <w:rtl/>
        </w:rPr>
        <w:footnoteRef/>
      </w:r>
      <w:r>
        <w:rPr>
          <w:rtl/>
        </w:rPr>
        <w:t>ומפורש ברמב"ם דהאיסור משום אשת אח, וכמ"ש רש"י לדעת רבי.</w:t>
      </w:r>
    </w:p>
  </w:footnote>
  <w:footnote w:id="443">
    <w:p w14:paraId="509305B0" w14:textId="77777777" w:rsidR="00BE1D1C" w:rsidRDefault="00000000" w:rsidP="00012502">
      <w:pPr>
        <w:pStyle w:val="Footnote"/>
        <w:bidi/>
      </w:pPr>
      <w:r>
        <w:rPr>
          <w:rStyle w:val="ac"/>
          <w:rtl/>
        </w:rPr>
        <w:footnoteRef/>
      </w:r>
      <w:r>
        <w:rPr>
          <w:rtl/>
        </w:rPr>
        <w:t xml:space="preserve">[ודלא כמ"ש </w:t>
      </w:r>
      <w:r>
        <w:rPr>
          <w:b/>
          <w:bCs/>
          <w:rtl/>
        </w:rPr>
        <w:t>תוס</w:t>
      </w:r>
      <w:r>
        <w:rPr>
          <w:rtl/>
        </w:rPr>
        <w:t>' ב. דקאי רק על צרת צרה].</w:t>
      </w:r>
    </w:p>
  </w:footnote>
  <w:footnote w:id="444">
    <w:p w14:paraId="334E1053" w14:textId="77777777" w:rsidR="00BE1D1C" w:rsidRDefault="00000000" w:rsidP="00012502">
      <w:pPr>
        <w:pStyle w:val="Footnote"/>
        <w:bidi/>
      </w:pPr>
      <w:r>
        <w:rPr>
          <w:rStyle w:val="ac"/>
          <w:rtl/>
        </w:rPr>
        <w:footnoteRef/>
      </w:r>
      <w:r>
        <w:rPr>
          <w:rtl/>
        </w:rPr>
        <w:t>וצ"ב דהראשונים כת' דאיסור אחות זקוקה הוה מדרבנן, א"כ מדאורייתא צריך חליצה. ואילו רש"י משמע דהטעם משום דהוה גדר קצת אישות. ויש שהביאו מדברי רש"י דאחות זקוקה אסורה במקצת מדאורייתא. והוה גדר איסור במקצת, ומש"ה ליכא חיוב כרת, והוה כחייבי לאוין דחולצת. [ורש"י בכ"מ נקט הלשון דחייבי לאוין לא אלימי לפטור בלא חליצה].</w:t>
      </w:r>
    </w:p>
  </w:footnote>
  <w:footnote w:id="445">
    <w:p w14:paraId="54D4FC65" w14:textId="77777777" w:rsidR="00BE1D1C" w:rsidRDefault="00000000" w:rsidP="00012502">
      <w:pPr>
        <w:pStyle w:val="Footnote"/>
        <w:bidi/>
      </w:pPr>
      <w:r>
        <w:rPr>
          <w:rStyle w:val="ac"/>
          <w:rtl/>
        </w:rPr>
        <w:footnoteRef/>
      </w:r>
      <w:r>
        <w:rPr>
          <w:rtl/>
        </w:rPr>
        <w:t>ויש שדנו דכיון דהשניה נפטרת, א"כ נימא דהראשונה כדקיימא קיימא. [ואכ"מ].</w:t>
      </w:r>
    </w:p>
  </w:footnote>
  <w:footnote w:id="446">
    <w:p w14:paraId="09E38A08" w14:textId="77777777" w:rsidR="00BE1D1C" w:rsidRDefault="00000000" w:rsidP="00012502">
      <w:pPr>
        <w:pStyle w:val="Footnote"/>
        <w:bidi/>
      </w:pPr>
      <w:r>
        <w:rPr>
          <w:rStyle w:val="ac"/>
          <w:rtl/>
        </w:rPr>
        <w:footnoteRef/>
      </w:r>
      <w:r>
        <w:rPr>
          <w:rtl/>
        </w:rPr>
        <w:t>דפקע זיקת כל א' מחמת חברתה, א"כ אין כאן אחוית זקוקות. [ויש שדנו דעכ"פ רגע א' היו זקוקות ממילא, ועי"ז אסורה לעולם. אך תוס' לא חילקו בזה].</w:t>
      </w:r>
    </w:p>
  </w:footnote>
  <w:footnote w:id="447">
    <w:p w14:paraId="7933187D" w14:textId="77777777" w:rsidR="00BE1D1C" w:rsidRDefault="00000000" w:rsidP="00012502">
      <w:pPr>
        <w:pStyle w:val="Footnote"/>
        <w:bidi/>
      </w:pPr>
      <w:r>
        <w:rPr>
          <w:rStyle w:val="ac"/>
          <w:rtl/>
        </w:rPr>
        <w:footnoteRef/>
      </w:r>
      <w:r>
        <w:rPr>
          <w:rtl/>
        </w:rPr>
        <w:t>וכרת דקאי אקרא דלצרור, הוה משום איסור אשת אח. [וה</w:t>
      </w:r>
      <w:r>
        <w:rPr>
          <w:b/>
          <w:bCs/>
          <w:rtl/>
        </w:rPr>
        <w:t>אחרונים</w:t>
      </w:r>
      <w:r>
        <w:rPr>
          <w:rtl/>
        </w:rPr>
        <w:t xml:space="preserve"> הביאו שהוא מקור גדול לומר דאף לדידן כרת דצרת ערוה הוה משום איסור אשת אח. ואף דגלי קרא כרת מהך קרא, יל"פ דהוה משום 'שם' אשת אח].</w:t>
      </w:r>
    </w:p>
  </w:footnote>
  <w:footnote w:id="448">
    <w:p w14:paraId="383F6D78" w14:textId="77777777" w:rsidR="00BE1D1C" w:rsidRDefault="00000000" w:rsidP="00012502">
      <w:pPr>
        <w:pStyle w:val="Footnote"/>
        <w:bidi/>
      </w:pPr>
      <w:r>
        <w:rPr>
          <w:rStyle w:val="ac"/>
          <w:rtl/>
        </w:rPr>
        <w:footnoteRef/>
      </w:r>
      <w:r>
        <w:rPr>
          <w:rtl/>
        </w:rPr>
        <w:t>ויל"ע היכא דנפלו בבת א' האם פוטרת צרתה. דחל הערוה בשעה שמת ממש, ומחיים לא היה ערוה, ולא היתה צרה לערוה.</w:t>
      </w:r>
    </w:p>
  </w:footnote>
  <w:footnote w:id="449">
    <w:p w14:paraId="74576A62" w14:textId="77777777" w:rsidR="00BE1D1C" w:rsidRDefault="00000000" w:rsidP="00012502">
      <w:pPr>
        <w:pStyle w:val="Footnote"/>
        <w:bidi/>
      </w:pPr>
      <w:r>
        <w:rPr>
          <w:rStyle w:val="ac"/>
          <w:rtl/>
        </w:rPr>
        <w:footnoteRef/>
      </w:r>
      <w:r>
        <w:rPr>
          <w:rtl/>
        </w:rPr>
        <w:t>וע' מה שהו' (לעיל ג:) אי הוה דין כרת דלצרור, או דחוזר כרת דאשת אח. ולצד דהוה איסור אשת אח קו' התוס' מנ"ל דלרבי הדרא לאיסור אשת אח. אבל לצד דהוה דין כרת ד'לצרור', ה"מ למ"ד דילפי' לצרור [דכתיב בפרשת עריות], אבל ולקחה כתוב בפרשת יבום, ולא בפרשת עריות.</w:t>
      </w:r>
    </w:p>
  </w:footnote>
  <w:footnote w:id="450">
    <w:p w14:paraId="589930FA" w14:textId="77777777" w:rsidR="00BE1D1C" w:rsidRDefault="00000000" w:rsidP="00012502">
      <w:pPr>
        <w:pStyle w:val="Footnote"/>
        <w:bidi/>
      </w:pPr>
      <w:r>
        <w:rPr>
          <w:rStyle w:val="ac"/>
          <w:rtl/>
        </w:rPr>
        <w:footnoteRef/>
      </w:r>
      <w:r>
        <w:rPr>
          <w:rtl/>
        </w:rPr>
        <w:t>וה</w:t>
      </w:r>
      <w:r>
        <w:rPr>
          <w:b/>
          <w:bCs/>
          <w:rtl/>
        </w:rPr>
        <w:t>דבר אברהם</w:t>
      </w:r>
      <w:r>
        <w:rPr>
          <w:rtl/>
        </w:rPr>
        <w:t xml:space="preserve"> (ג י ג) הק' אמאי לא תהא בה כרת, והרי כיון דכתיב ולקחה למעוטי היכא דליכא לקוחין לכל חדא מתרווייהו, ממילא לית בה דיני יבום. ונשארה בכריתות דאשת אח. [אך התוס' רא"ש העמיד קו' התוס' ע"פ הגמ' לעיל ג: דצריך קרא לעונש. ומ"ש לרבי דל"צ קרא לעונש].</w:t>
      </w:r>
    </w:p>
  </w:footnote>
  <w:footnote w:id="451">
    <w:p w14:paraId="07F8DEEF" w14:textId="77777777" w:rsidR="00BE1D1C" w:rsidRDefault="00000000" w:rsidP="00012502">
      <w:pPr>
        <w:pStyle w:val="Footnote"/>
        <w:bidi/>
      </w:pPr>
      <w:r>
        <w:rPr>
          <w:rStyle w:val="ac"/>
          <w:rtl/>
        </w:rPr>
        <w:footnoteRef/>
      </w:r>
      <w:r>
        <w:rPr>
          <w:rtl/>
        </w:rPr>
        <w:t>ועוד הקשה הערול"נ דתוס' לא תי' כלל על הקושיה מצרת ערוה. והאחרונים כתבו דעיקר קושית התוס' היתה א"כ חייבת חליצה, וע"ז תי' בתוס'].</w:t>
      </w:r>
    </w:p>
  </w:footnote>
  <w:footnote w:id="452">
    <w:p w14:paraId="718D30D1" w14:textId="77777777" w:rsidR="00BE1D1C" w:rsidRDefault="00000000" w:rsidP="00012502">
      <w:pPr>
        <w:pStyle w:val="Footnote"/>
        <w:bidi/>
      </w:pPr>
      <w:r>
        <w:rPr>
          <w:rStyle w:val="ac"/>
          <w:rtl/>
        </w:rPr>
        <w:footnoteRef/>
      </w:r>
      <w:r>
        <w:rPr>
          <w:rtl/>
        </w:rPr>
        <w:t>כן הגיה העורך, ומחק הגירסא דודאי לרבי לית בהו עונש. ואפ"ה אין בהם חליצה. [דלגירסא זו התי' אינו מעין הקו'. וצ"ע].</w:t>
      </w:r>
    </w:p>
  </w:footnote>
  <w:footnote w:id="453">
    <w:p w14:paraId="5096B264" w14:textId="77777777" w:rsidR="00BE1D1C" w:rsidRDefault="00000000" w:rsidP="00012502">
      <w:pPr>
        <w:pStyle w:val="Footnote"/>
        <w:bidi/>
      </w:pPr>
      <w:r>
        <w:rPr>
          <w:rStyle w:val="ac"/>
          <w:rtl/>
        </w:rPr>
        <w:footnoteRef/>
      </w:r>
      <w:r>
        <w:rPr>
          <w:rtl/>
        </w:rPr>
        <w:t>וב</w:t>
      </w:r>
      <w:r>
        <w:rPr>
          <w:b/>
          <w:bCs/>
          <w:rtl/>
        </w:rPr>
        <w:t>תוס' מהר"ם ור"פ</w:t>
      </w:r>
      <w:r>
        <w:rPr>
          <w:rtl/>
        </w:rPr>
        <w:t xml:space="preserve"> ביאר דקושיא חדא מתרצא לאידך, דבצרת ערוה ע"כ יש עונש דאל"כ צריכה חליצה דתפסי בהו קידושין. וכיון דתפסי בה קידושין וחולצת, א"כ תתייבם, ולמאי אתא 'ולקחה'. אבל חייבי עשה דתפסי בה קידושין, מש"ה אינה פוטרת צרתה. [ודלא כתוס' דלשון 'ולקחה' כולל תפיסת קידושין ונפילה לחליצה]. דע"כ הוה גדר 'פטור', דאל"כ מאיזה טעם לא תתייבם.</w:t>
      </w:r>
    </w:p>
  </w:footnote>
  <w:footnote w:id="454">
    <w:p w14:paraId="404698E5" w14:textId="77777777" w:rsidR="00BE1D1C" w:rsidRDefault="00000000" w:rsidP="00012502">
      <w:pPr>
        <w:pStyle w:val="Footnote"/>
        <w:bidi/>
      </w:pPr>
      <w:r>
        <w:rPr>
          <w:rStyle w:val="ac"/>
          <w:rtl/>
        </w:rPr>
        <w:footnoteRef/>
      </w:r>
      <w:r>
        <w:rPr>
          <w:b/>
          <w:bCs/>
          <w:rtl/>
        </w:rPr>
        <w:t>תוס</w:t>
      </w:r>
      <w:r>
        <w:rPr>
          <w:rtl/>
        </w:rPr>
        <w:t>' נקטו הלשון 'חייבי עשה' לחוד, וס"ל דאף בעשה אם בעלו ל"ק, דאין עשה דוחה עשה דמאי אולמא האי עשה. אבל ל</w:t>
      </w:r>
      <w:r>
        <w:rPr>
          <w:b/>
          <w:bCs/>
          <w:rtl/>
        </w:rPr>
        <w:t>רמב"ם</w:t>
      </w:r>
      <w:r>
        <w:rPr>
          <w:rtl/>
        </w:rPr>
        <w:t xml:space="preserve"> דוקא חייבי לאו ועשה (הו' לעיל ה.).</w:t>
      </w:r>
    </w:p>
  </w:footnote>
  <w:footnote w:id="455">
    <w:p w14:paraId="6F64589D" w14:textId="77777777" w:rsidR="00BE1D1C" w:rsidRDefault="00000000" w:rsidP="00012502">
      <w:pPr>
        <w:pStyle w:val="Footnote"/>
        <w:bidi/>
      </w:pPr>
      <w:r>
        <w:rPr>
          <w:rStyle w:val="ac"/>
          <w:rtl/>
        </w:rPr>
        <w:footnoteRef/>
      </w:r>
      <w:r>
        <w:rPr>
          <w:rtl/>
        </w:rPr>
        <w:t>אך</w:t>
      </w:r>
      <w:r>
        <w:rPr>
          <w:b/>
          <w:bCs/>
          <w:rtl/>
        </w:rPr>
        <w:t xml:space="preserve"> </w:t>
      </w:r>
      <w:r>
        <w:rPr>
          <w:rtl/>
        </w:rPr>
        <w:t>הקשו דהתוס' הרא"ש נקט כלשון התוס', ואף דהתורא"ש (לעיל ג:) כתב דיש איסור אשת אח. [ויש דנו דתליא במ"ד בסוגיא].</w:t>
      </w:r>
    </w:p>
  </w:footnote>
  <w:footnote w:id="456">
    <w:p w14:paraId="77A86D8D" w14:textId="77777777" w:rsidR="00BE1D1C" w:rsidRDefault="00000000" w:rsidP="00012502">
      <w:pPr>
        <w:pStyle w:val="Footnote"/>
        <w:bidi/>
      </w:pPr>
      <w:r>
        <w:rPr>
          <w:rStyle w:val="ac"/>
          <w:rtl/>
        </w:rPr>
        <w:footnoteRef/>
      </w:r>
      <w:r>
        <w:rPr>
          <w:rtl/>
        </w:rPr>
        <w:t>ודלא כדעת ה</w:t>
      </w:r>
      <w:r>
        <w:rPr>
          <w:b/>
          <w:bCs/>
          <w:rtl/>
        </w:rPr>
        <w:t>רשב"א</w:t>
      </w:r>
      <w:r>
        <w:rPr>
          <w:rtl/>
        </w:rPr>
        <w:t xml:space="preserve"> (מא.) דחל היתר לאיסור אשת אח בשעת נפילה, ואף אי פקע דין יבום מותרת לו. [וי"ל דהרשב"א קאי בתר דין 'ומחזירה']. {אך אי נימא דטעם ההיתר משום דנעשית כאשתו עדיין קשה, דהרשב"א איירי בלא נעשית כאשתו}.</w:t>
      </w:r>
    </w:p>
  </w:footnote>
  <w:footnote w:id="457">
    <w:p w14:paraId="137FB76E" w14:textId="77777777" w:rsidR="00BE1D1C" w:rsidRDefault="00000000" w:rsidP="00012502">
      <w:pPr>
        <w:pStyle w:val="Footnote"/>
        <w:bidi/>
      </w:pPr>
      <w:r>
        <w:rPr>
          <w:rStyle w:val="ac"/>
          <w:rtl/>
        </w:rPr>
        <w:footnoteRef/>
      </w:r>
      <w:r>
        <w:rPr>
          <w:rtl/>
        </w:rPr>
        <w:t>ולפ"ז לכאורה התי' דלא אמרי' לענין זה יבומין ראשונים עליה [ולא צריך גדר מתיר ד'נעשית כאשתו'].</w:t>
      </w:r>
    </w:p>
  </w:footnote>
  <w:footnote w:id="458">
    <w:p w14:paraId="25ACBE85" w14:textId="77777777" w:rsidR="00BE1D1C" w:rsidRDefault="00000000" w:rsidP="00012502">
      <w:pPr>
        <w:pStyle w:val="Footnote"/>
        <w:bidi/>
      </w:pPr>
      <w:r>
        <w:rPr>
          <w:rStyle w:val="ac"/>
          <w:rtl/>
        </w:rPr>
        <w:footnoteRef/>
      </w:r>
      <w:r>
        <w:rPr>
          <w:rtl/>
        </w:rPr>
        <w:t xml:space="preserve">וכ"כ </w:t>
      </w:r>
      <w:r>
        <w:rPr>
          <w:b/>
          <w:bCs/>
          <w:rtl/>
        </w:rPr>
        <w:t>תוס</w:t>
      </w:r>
      <w:r>
        <w:rPr>
          <w:rtl/>
        </w:rPr>
        <w:t>' (כתובות פב:) דפשיטא דכשיבמה מותר לבא עליה ביאות הרבה כמו שירצה וכו' דסברא הוא דלא אמר רחמנא ויבמה כדי לגרשה לאלתר. אבל בנישואי אחריני אימא תיקום באיסור אשת אח.</w:t>
      </w:r>
    </w:p>
  </w:footnote>
  <w:footnote w:id="459">
    <w:p w14:paraId="6F15B9B3" w14:textId="77777777" w:rsidR="00BE1D1C" w:rsidRDefault="00000000" w:rsidP="00012502">
      <w:pPr>
        <w:pStyle w:val="Footnote"/>
        <w:bidi/>
      </w:pPr>
      <w:r>
        <w:rPr>
          <w:rStyle w:val="ac"/>
          <w:rtl/>
        </w:rPr>
        <w:footnoteRef/>
      </w:r>
      <w:r>
        <w:rPr>
          <w:rtl/>
        </w:rPr>
        <w:t>דהא עיקר רצון התורה משום הקמת שם, והמשך מצב האישות.</w:t>
      </w:r>
    </w:p>
  </w:footnote>
  <w:footnote w:id="460">
    <w:p w14:paraId="2F81E983" w14:textId="77777777" w:rsidR="00BE1D1C" w:rsidRDefault="00000000" w:rsidP="00012502">
      <w:pPr>
        <w:pStyle w:val="Footnote"/>
        <w:bidi/>
      </w:pPr>
      <w:r>
        <w:rPr>
          <w:rStyle w:val="ac"/>
          <w:rtl/>
        </w:rPr>
        <w:footnoteRef/>
      </w:r>
      <w:r>
        <w:rPr>
          <w:rtl/>
        </w:rPr>
        <w:t>וה</w:t>
      </w:r>
      <w:r>
        <w:rPr>
          <w:b/>
          <w:bCs/>
          <w:rtl/>
        </w:rPr>
        <w:t>תוס' הרא"ש</w:t>
      </w:r>
      <w:r>
        <w:rPr>
          <w:rtl/>
        </w:rPr>
        <w:t xml:space="preserve"> ביאר דגמרי' מכלאים בציצית רק עשה של חובה, וביאה שניה הוה רשות. ומשמע מדבריו קצת דהוה חלק מקיום המצוה, אלא דבתוספת למצוה לא אמרי' עדל"ת. [ויל"ד בזה, והאריכו האחרונים כעי"ז בכמה מקומות].</w:t>
      </w:r>
    </w:p>
  </w:footnote>
  <w:footnote w:id="461">
    <w:p w14:paraId="25E80635" w14:textId="77777777" w:rsidR="00BE1D1C" w:rsidRDefault="00000000" w:rsidP="00012502">
      <w:pPr>
        <w:pStyle w:val="Footnote"/>
        <w:bidi/>
      </w:pPr>
      <w:r>
        <w:rPr>
          <w:rStyle w:val="ac"/>
          <w:rtl/>
        </w:rPr>
        <w:footnoteRef/>
      </w:r>
      <w:r>
        <w:rPr>
          <w:rtl/>
        </w:rPr>
        <w:t>ובפשוטו צ"ל דהוה גדר 'הותרה', דהותר כל מצב האישות ואף בשעה שאינו מקיים מצווה. ועוד יש שביארו דמחמת הך סברא אמרי' דגדר עשה דוחה ל"ת דוחה כל הנצרך ליבום, ואף דליכא קיום עשה בכל מעשה ומעשה. [ועד"ז לס"ד כתובות מ. דעשה דולו תהא לאשה דוחה ל"ת, ועי"ז הותר מצב אישות. אף דליכא מצוות עשה בכל מעשה ומעשה].</w:t>
      </w:r>
    </w:p>
    <w:p w14:paraId="5142DAE5" w14:textId="77777777" w:rsidR="00BE1D1C" w:rsidRDefault="00000000" w:rsidP="00012502">
      <w:pPr>
        <w:pStyle w:val="Footnote"/>
        <w:bidi/>
      </w:pPr>
      <w:r>
        <w:rPr>
          <w:rtl/>
        </w:rPr>
        <w:tab/>
        <w:t>ועי"ל דהוה ע"ד הא דאי' (קידו' כא:) דכיון דהתירה תורה ביאה ראשונה, אף ביאה שניה מותר [הואיל ואישתרי]. (ע' בסמוך).</w:t>
      </w:r>
    </w:p>
  </w:footnote>
  <w:footnote w:id="462">
    <w:p w14:paraId="0CD47383" w14:textId="77777777" w:rsidR="00BE1D1C" w:rsidRDefault="00000000" w:rsidP="00012502">
      <w:pPr>
        <w:pStyle w:val="Footnote"/>
        <w:bidi/>
      </w:pPr>
      <w:r>
        <w:rPr>
          <w:rStyle w:val="ac"/>
          <w:rtl/>
        </w:rPr>
        <w:footnoteRef/>
      </w:r>
      <w:r>
        <w:rPr>
          <w:rtl/>
        </w:rPr>
        <w:t>ומ"מ אחרי שגירש פקע אישות היבום, וההיתר היתה רק לאישות היבום [לולי הא דנעשית כאשתו]. [ודלא כ</w:t>
      </w:r>
      <w:r>
        <w:rPr>
          <w:b/>
          <w:bCs/>
          <w:rtl/>
        </w:rPr>
        <w:t>רשב"א</w:t>
      </w:r>
      <w:r>
        <w:rPr>
          <w:rtl/>
        </w:rPr>
        <w:t xml:space="preserve"> (מא.) דמשעת נפילה הותר לגמרי].</w:t>
      </w:r>
    </w:p>
  </w:footnote>
  <w:footnote w:id="463">
    <w:p w14:paraId="4D6026C8" w14:textId="77777777" w:rsidR="00BE1D1C" w:rsidRDefault="00000000" w:rsidP="00012502">
      <w:pPr>
        <w:pStyle w:val="Footnote"/>
        <w:bidi/>
      </w:pPr>
      <w:r>
        <w:rPr>
          <w:rStyle w:val="ac"/>
          <w:rtl/>
        </w:rPr>
        <w:footnoteRef/>
      </w:r>
      <w:r>
        <w:rPr>
          <w:rtl/>
        </w:rPr>
        <w:t>בתו"י עה"ג איתא 'ועוי"ל', משמע דהוה תי' נוסף לקו' התוס'. אבל בתו"י הנדמ"ח מבואר דהוא המשך לתי' התוס'.</w:t>
      </w:r>
    </w:p>
  </w:footnote>
  <w:footnote w:id="464">
    <w:p w14:paraId="7CBC975A" w14:textId="77777777" w:rsidR="00BE1D1C" w:rsidRDefault="00000000" w:rsidP="00012502">
      <w:pPr>
        <w:pStyle w:val="Footnote"/>
        <w:bidi/>
      </w:pPr>
      <w:r>
        <w:rPr>
          <w:rStyle w:val="ac"/>
          <w:rtl/>
        </w:rPr>
        <w:footnoteRef/>
      </w:r>
      <w:r>
        <w:rPr>
          <w:rtl/>
        </w:rPr>
        <w:t xml:space="preserve">והעירו על דבריו מדברי </w:t>
      </w:r>
      <w:r>
        <w:rPr>
          <w:b/>
          <w:bCs/>
          <w:rtl/>
        </w:rPr>
        <w:t>תוס</w:t>
      </w:r>
      <w:r>
        <w:rPr>
          <w:rtl/>
        </w:rPr>
        <w:t>' (לעיל ה:) דמשמע דאף למסקנא הוה מדין עדל"ת.</w:t>
      </w:r>
    </w:p>
  </w:footnote>
  <w:footnote w:id="465">
    <w:p w14:paraId="6A074996" w14:textId="77777777" w:rsidR="00BE1D1C" w:rsidRDefault="00000000" w:rsidP="00012502">
      <w:pPr>
        <w:pStyle w:val="Footnote"/>
        <w:bidi/>
      </w:pPr>
      <w:r>
        <w:rPr>
          <w:rStyle w:val="ac"/>
          <w:rtl/>
        </w:rPr>
        <w:footnoteRef/>
      </w:r>
      <w:r>
        <w:rPr>
          <w:rtl/>
        </w:rPr>
        <w:t>וה</w:t>
      </w:r>
      <w:r>
        <w:rPr>
          <w:b/>
          <w:bCs/>
          <w:rtl/>
        </w:rPr>
        <w:t xml:space="preserve">רמ"ה </w:t>
      </w:r>
      <w:r>
        <w:rPr>
          <w:rtl/>
        </w:rPr>
        <w:t>בקו' נקט דהיתר אשת אח ליבום משום עשה דוחה ל"ת שיש בו כרת.</w:t>
      </w:r>
    </w:p>
  </w:footnote>
  <w:footnote w:id="466">
    <w:p w14:paraId="349EDCEE" w14:textId="77777777" w:rsidR="00BE1D1C" w:rsidRDefault="00000000" w:rsidP="00012502">
      <w:pPr>
        <w:pStyle w:val="Footnote"/>
        <w:bidi/>
      </w:pPr>
      <w:r>
        <w:rPr>
          <w:rStyle w:val="ac"/>
          <w:rtl/>
        </w:rPr>
        <w:footnoteRef/>
      </w:r>
      <w:r>
        <w:rPr>
          <w:rtl/>
        </w:rPr>
        <w:t>וצ"ב כוונתו דגירשה הותר משום גזיה"כ דנעשית כאשתו. והיאך נילף מיניה לעלמא.</w:t>
      </w:r>
    </w:p>
  </w:footnote>
  <w:footnote w:id="467">
    <w:p w14:paraId="4D8E5D58" w14:textId="77777777" w:rsidR="00BE1D1C" w:rsidRDefault="00000000" w:rsidP="00012502">
      <w:pPr>
        <w:pStyle w:val="Footnote"/>
        <w:bidi/>
      </w:pPr>
      <w:r>
        <w:rPr>
          <w:rStyle w:val="ac"/>
          <w:rtl/>
        </w:rPr>
        <w:footnoteRef/>
      </w:r>
      <w:r>
        <w:rPr>
          <w:rtl/>
        </w:rPr>
        <w:t>דכיון דלא משכחת יבום אלא גבי אשת אח, ממילא שמעת דלא אסר רחמנא אשת אח אלא היכא דיש לו בנים, שלא במקום יבום. [ע' לקמן נד: ותוס' והרמב"ן שם]. אבל היכא דמת בלא זרעא לא אסרה תורה, ומש"ה שריא ואפי' בביאה שניה.</w:t>
      </w:r>
    </w:p>
    <w:p w14:paraId="699FCC5D" w14:textId="77777777" w:rsidR="00BE1D1C" w:rsidRDefault="00000000" w:rsidP="00012502">
      <w:pPr>
        <w:pStyle w:val="Footnote"/>
        <w:bidi/>
      </w:pPr>
      <w:r>
        <w:rPr>
          <w:rtl/>
        </w:rPr>
        <w:tab/>
        <w:t>אבל גבי חייבי לאוין אין לומר דלא אסר רחמנא חייבי לאוין כלל אלא שלא במקום יבום, דכיון דמשכח"ל למצות יבום דמיקיימא בעלמא בשאר נשים, וכד אסר רחמנא חייבי לאוין אפי' במקום יבום אסרינהו. הילכך דוקא ביאה ראשונה דאתי עשה ודחי ל"ת, אבל ביאה שניה לא.</w:t>
      </w:r>
    </w:p>
  </w:footnote>
  <w:footnote w:id="468">
    <w:p w14:paraId="326FEBFF" w14:textId="77777777" w:rsidR="00BE1D1C" w:rsidRDefault="00000000" w:rsidP="00012502">
      <w:pPr>
        <w:pStyle w:val="Footnote"/>
        <w:bidi/>
      </w:pPr>
      <w:r>
        <w:rPr>
          <w:rStyle w:val="ac"/>
          <w:rtl/>
        </w:rPr>
        <w:footnoteRef/>
      </w:r>
      <w:r>
        <w:rPr>
          <w:rtl/>
        </w:rPr>
        <w:t>וביאר שלא דיברה תורה אלא כנגד יצר הרע. ודמי למי שאחזו בולמוס שמאכילין אותו עד שיאורו עיניו, ומשם ואילך באיסוריה קאי.</w:t>
      </w:r>
    </w:p>
  </w:footnote>
  <w:footnote w:id="469">
    <w:p w14:paraId="0ABD51CF" w14:textId="77777777" w:rsidR="00BE1D1C" w:rsidRDefault="00000000" w:rsidP="00012502">
      <w:pPr>
        <w:pStyle w:val="Footnote"/>
        <w:bidi/>
      </w:pPr>
      <w:r>
        <w:rPr>
          <w:rStyle w:val="ac"/>
          <w:rtl/>
        </w:rPr>
        <w:footnoteRef/>
      </w:r>
      <w:r>
        <w:rPr>
          <w:rtl/>
        </w:rPr>
        <w:t>ע' ערוך לנר ואחרונים בדעת הרמב"ם בזה.</w:t>
      </w:r>
    </w:p>
  </w:footnote>
  <w:footnote w:id="470">
    <w:p w14:paraId="1BF82035" w14:textId="77777777" w:rsidR="00BE1D1C" w:rsidRDefault="00000000" w:rsidP="00012502">
      <w:pPr>
        <w:pStyle w:val="Footnote"/>
        <w:bidi/>
      </w:pPr>
      <w:r>
        <w:rPr>
          <w:rStyle w:val="ac"/>
          <w:rtl/>
        </w:rPr>
        <w:footnoteRef/>
      </w:r>
      <w:r>
        <w:rPr>
          <w:rtl/>
        </w:rPr>
        <w:t>ועפ"ז י"ל דפורק עול מפר ברית ומגלה פנים יתחייבו חטאת. אלא דתוס' (יומא פה:) כת' רבנן לא ס"ל כרבי (שבועות יג.) דיש כרת בהני. וכ"כ ה</w:t>
      </w:r>
      <w:r>
        <w:rPr>
          <w:b/>
          <w:bCs/>
          <w:rtl/>
        </w:rPr>
        <w:t>תוס' רא"ש</w:t>
      </w:r>
      <w:r>
        <w:rPr>
          <w:rtl/>
        </w:rPr>
        <w:t xml:space="preserve"> (בשיטמ"ק כריתות ב. בהשמטה א). [ע' ס' תוס' יוה"כ פה: באריכות בזה].</w:t>
      </w:r>
    </w:p>
  </w:footnote>
  <w:footnote w:id="471">
    <w:p w14:paraId="18F858F7" w14:textId="77777777" w:rsidR="00BE1D1C" w:rsidRDefault="00000000" w:rsidP="00012502">
      <w:pPr>
        <w:pStyle w:val="Footnote"/>
        <w:bidi/>
      </w:pPr>
      <w:r>
        <w:rPr>
          <w:rStyle w:val="ac"/>
          <w:rtl/>
        </w:rPr>
        <w:footnoteRef/>
      </w:r>
      <w:r>
        <w:rPr>
          <w:rtl/>
        </w:rPr>
        <w:t>והא דאי' (מכות יג:) דילמא אזהרה לקרבן, והגמ' דוחה דקרבן ל"צ אזהרה, היינו לרבנן. ולרבי איצטריך אזהרה לקרבן. [ו</w:t>
      </w:r>
      <w:r>
        <w:rPr>
          <w:b/>
          <w:bCs/>
          <w:rtl/>
        </w:rPr>
        <w:t>רע"א</w:t>
      </w:r>
      <w:r>
        <w:rPr>
          <w:rtl/>
        </w:rPr>
        <w:t xml:space="preserve"> דחה דאף רבי מודה דאי"צ אזהרה].</w:t>
      </w:r>
      <w:r>
        <w:rPr>
          <w:rtl/>
        </w:rPr>
        <w:tab/>
      </w:r>
    </w:p>
  </w:footnote>
  <w:footnote w:id="472">
    <w:p w14:paraId="0A79A8B1" w14:textId="77777777" w:rsidR="00BE1D1C" w:rsidRDefault="00000000" w:rsidP="00012502">
      <w:pPr>
        <w:pStyle w:val="Footnote"/>
        <w:bidi/>
      </w:pPr>
      <w:r>
        <w:rPr>
          <w:rStyle w:val="ac"/>
          <w:rtl/>
        </w:rPr>
        <w:footnoteRef/>
      </w:r>
      <w:r>
        <w:rPr>
          <w:rtl/>
        </w:rPr>
        <w:t>והק' דה</w:t>
      </w:r>
      <w:r>
        <w:rPr>
          <w:b/>
          <w:bCs/>
          <w:rtl/>
        </w:rPr>
        <w:t>רמב"ם</w:t>
      </w:r>
      <w:r>
        <w:rPr>
          <w:rtl/>
        </w:rPr>
        <w:t xml:space="preserve"> (הו' לעיל ח:) נקט כדרשא דרבי, א"כ מ"ט פסק דחייבי כריתות לוקין, הא איצטריך לאו לאזהרת קרבן.</w:t>
      </w:r>
    </w:p>
  </w:footnote>
  <w:footnote w:id="473">
    <w:p w14:paraId="7849412D" w14:textId="77777777" w:rsidR="00BE1D1C" w:rsidRDefault="00000000" w:rsidP="00012502">
      <w:pPr>
        <w:pStyle w:val="Footnote"/>
        <w:bidi/>
      </w:pPr>
      <w:r>
        <w:rPr>
          <w:rStyle w:val="ac"/>
          <w:rtl/>
        </w:rPr>
        <w:footnoteRef/>
      </w:r>
      <w:r>
        <w:rPr>
          <w:rtl/>
        </w:rPr>
        <w:t>וכן ה</w:t>
      </w:r>
      <w:r>
        <w:rPr>
          <w:b/>
          <w:bCs/>
          <w:rtl/>
        </w:rPr>
        <w:t>רמב"ם</w:t>
      </w:r>
      <w:r>
        <w:rPr>
          <w:rtl/>
        </w:rPr>
        <w:t xml:space="preserve"> (פיה"מ הוריות ב, כריתות א, סה"מ עשה סט). [ועוד מבואר ברמב"ם (פיה"מ מכות ג, ע' סה"מ שורש יד) דאף חיוב כרת צריך אזהרה. ע' לח"מ (סנהדרין יח ב)].</w:t>
      </w:r>
    </w:p>
  </w:footnote>
  <w:footnote w:id="474">
    <w:p w14:paraId="2D564200" w14:textId="77777777" w:rsidR="00BE1D1C" w:rsidRDefault="00000000" w:rsidP="00012502">
      <w:pPr>
        <w:pStyle w:val="Footnote"/>
        <w:bidi/>
      </w:pPr>
      <w:r>
        <w:rPr>
          <w:rStyle w:val="ac"/>
          <w:rtl/>
        </w:rPr>
        <w:footnoteRef/>
      </w:r>
      <w:r>
        <w:rPr>
          <w:rtl/>
        </w:rPr>
        <w:t>וה</w:t>
      </w:r>
      <w:r>
        <w:rPr>
          <w:b/>
          <w:bCs/>
          <w:rtl/>
        </w:rPr>
        <w:t>אחרונים</w:t>
      </w:r>
      <w:r>
        <w:rPr>
          <w:rtl/>
        </w:rPr>
        <w:t xml:space="preserve"> הביאו דכ"מ בסוגיא (עירובין צו.) [וע' תוס' מכות שם וזבחים שם ושיטמ"ק כריתות ב. בהשמ', וע"ע שעה"מ תפילין ד יא]. וכן </w:t>
      </w:r>
      <w:r>
        <w:rPr>
          <w:b/>
          <w:bCs/>
          <w:rtl/>
        </w:rPr>
        <w:t>תוס'</w:t>
      </w:r>
      <w:r>
        <w:rPr>
          <w:rtl/>
        </w:rPr>
        <w:t xml:space="preserve"> (שבועות יח: וב"ק קה:) משמע דנקטו דקרבן בעי אזהרה. והאחרונים דנו די"ל דכוונת התוס' אליבא דרבי.</w:t>
      </w:r>
    </w:p>
  </w:footnote>
  <w:footnote w:id="475">
    <w:p w14:paraId="612ECE25" w14:textId="77777777" w:rsidR="00BE1D1C" w:rsidRDefault="00000000" w:rsidP="00012502">
      <w:pPr>
        <w:pStyle w:val="Footnote"/>
        <w:bidi/>
      </w:pPr>
      <w:r>
        <w:rPr>
          <w:rStyle w:val="ac"/>
          <w:rtl/>
        </w:rPr>
        <w:footnoteRef/>
      </w:r>
      <w:r>
        <w:rPr>
          <w:rtl/>
        </w:rPr>
        <w:t>וה</w:t>
      </w:r>
      <w:r>
        <w:rPr>
          <w:b/>
          <w:bCs/>
          <w:rtl/>
        </w:rPr>
        <w:t>רי"ף</w:t>
      </w:r>
      <w:r>
        <w:rPr>
          <w:rtl/>
        </w:rPr>
        <w:t xml:space="preserve"> (כאן) הביא דהגאונים נתקשו בסוגיא זו.</w:t>
      </w:r>
    </w:p>
  </w:footnote>
  <w:footnote w:id="476">
    <w:p w14:paraId="5BA73A9B" w14:textId="77777777" w:rsidR="00BE1D1C" w:rsidRDefault="00000000" w:rsidP="00012502">
      <w:pPr>
        <w:pStyle w:val="Footnote"/>
        <w:bidi/>
      </w:pPr>
      <w:r>
        <w:rPr>
          <w:rStyle w:val="ac"/>
          <w:rtl/>
        </w:rPr>
        <w:footnoteRef/>
      </w:r>
      <w:r>
        <w:rPr>
          <w:rtl/>
        </w:rPr>
        <w:t>וה</w:t>
      </w:r>
      <w:r>
        <w:rPr>
          <w:b/>
          <w:bCs/>
          <w:rtl/>
        </w:rPr>
        <w:t xml:space="preserve">ריטב"א </w:t>
      </w:r>
      <w:r>
        <w:rPr>
          <w:rtl/>
        </w:rPr>
        <w:t>הוסיף דדוקא מיני בהמות שבירר הכתוב לעוון כזה, ואפי' עגל וכבש כשאר חיות חשוב. אבל איפכא לא נחשב עיכוב לכפרה שהמינים עצמן הם.</w:t>
      </w:r>
    </w:p>
  </w:footnote>
  <w:footnote w:id="477">
    <w:p w14:paraId="39802BFE" w14:textId="77777777" w:rsidR="00BE1D1C" w:rsidRDefault="00000000" w:rsidP="00012502">
      <w:pPr>
        <w:pStyle w:val="Footnote"/>
        <w:bidi/>
      </w:pPr>
      <w:r>
        <w:rPr>
          <w:rStyle w:val="ac"/>
          <w:rtl/>
        </w:rPr>
        <w:footnoteRef/>
      </w:r>
      <w:r>
        <w:rPr>
          <w:rtl/>
        </w:rPr>
        <w:t>ועוד מדקאמר (י.) ובפלוגתא לא קמיירי, והול"ל ובפלוגתא לא איירינן. [ואילו בגמ' ב"ב קלא. ר' נתן הק' לרבי 'ששניתם במשנתיכם'].</w:t>
      </w:r>
    </w:p>
  </w:footnote>
  <w:footnote w:id="478">
    <w:p w14:paraId="05248765" w14:textId="77777777" w:rsidR="00BE1D1C" w:rsidRDefault="00000000" w:rsidP="00012502">
      <w:pPr>
        <w:pStyle w:val="Footnote"/>
        <w:bidi/>
      </w:pPr>
      <w:r>
        <w:rPr>
          <w:rStyle w:val="ac"/>
          <w:rtl/>
        </w:rPr>
        <w:footnoteRef/>
      </w:r>
      <w:r>
        <w:rPr>
          <w:rtl/>
        </w:rPr>
        <w:t>וביאר שרבי קיבל המשניות ולא הוסיף ולא גרע מלשון המקובל לו, אלא תיקן הלכה ע"פ ההסכמה וכו'. ועוד הביא ראיה מסוף מס' כלים, דקאמר ר' יוסי אשריך כלים שנכנסת בטומאה ויצאת בטהרה. ומבואר דאף בימי ר' יוסי [שקדם לרבי] היה סדר המשנה.</w:t>
      </w:r>
    </w:p>
  </w:footnote>
  <w:footnote w:id="479">
    <w:p w14:paraId="656AD22E" w14:textId="77777777" w:rsidR="00BE1D1C" w:rsidRDefault="00000000" w:rsidP="00012502">
      <w:pPr>
        <w:pStyle w:val="Footnote"/>
        <w:bidi/>
      </w:pPr>
      <w:r>
        <w:rPr>
          <w:rStyle w:val="ac"/>
          <w:rtl/>
        </w:rPr>
        <w:footnoteRef/>
      </w:r>
      <w:r>
        <w:rPr>
          <w:rtl/>
        </w:rPr>
        <w:t>בפסוק (דברי הימים א ב נה) [וקאי אמשפחת שלמא {שלמון. בן נחשון בן עמינדב, ואבי בועז}. ע"ע רש"י (דה"י א ב יא)].</w:t>
      </w:r>
    </w:p>
  </w:footnote>
  <w:footnote w:id="480">
    <w:p w14:paraId="4E0E1A28" w14:textId="77777777" w:rsidR="00BE1D1C" w:rsidRDefault="00000000" w:rsidP="00012502">
      <w:pPr>
        <w:pStyle w:val="Footnote"/>
        <w:bidi/>
      </w:pPr>
      <w:r>
        <w:rPr>
          <w:rStyle w:val="ac"/>
          <w:rtl/>
        </w:rPr>
        <w:footnoteRef/>
      </w:r>
      <w:r>
        <w:rPr>
          <w:rtl/>
        </w:rPr>
        <w:t>[והפטור מחליצה נלמד משום פטור 'עליה'].</w:t>
      </w:r>
    </w:p>
  </w:footnote>
  <w:footnote w:id="481">
    <w:p w14:paraId="0E0E5C82" w14:textId="77777777" w:rsidR="00BE1D1C" w:rsidRDefault="00000000" w:rsidP="00012502">
      <w:pPr>
        <w:pStyle w:val="Footnote"/>
        <w:bidi/>
      </w:pPr>
      <w:r>
        <w:rPr>
          <w:rStyle w:val="ac"/>
          <w:rtl/>
        </w:rPr>
        <w:footnoteRef/>
      </w:r>
      <w:r>
        <w:rPr>
          <w:rtl/>
        </w:rPr>
        <w:t>דלשון הגמ' (לקמן עט: וסנהדרין נג:) דלר"ע חייבי לאוין כחייבי כריתות, וחייבי כריתות לאו בני חליצה ויבום. ופ</w:t>
      </w:r>
      <w:r>
        <w:rPr>
          <w:b/>
          <w:bCs/>
          <w:rtl/>
        </w:rPr>
        <w:t>רש"י</w:t>
      </w:r>
      <w:r>
        <w:rPr>
          <w:rtl/>
        </w:rPr>
        <w:t xml:space="preserve"> (סנהדרין) אף אלו הואיל ואינן בתורת קידושין, אין בהן חליצה ויבום. ו</w:t>
      </w:r>
      <w:r>
        <w:rPr>
          <w:b/>
          <w:bCs/>
          <w:rtl/>
        </w:rPr>
        <w:t>רש"י</w:t>
      </w:r>
      <w:r>
        <w:rPr>
          <w:rtl/>
        </w:rPr>
        <w:t xml:space="preserve"> (לקמן עט:) כת' דאבראי קאי, ואינה עומדת ליבום, ומש"ה יש חיוב אשת אח.</w:t>
      </w:r>
    </w:p>
  </w:footnote>
  <w:footnote w:id="482">
    <w:p w14:paraId="57FF90E3" w14:textId="77777777" w:rsidR="00BE1D1C" w:rsidRDefault="00000000" w:rsidP="00012502">
      <w:pPr>
        <w:pStyle w:val="Footnote"/>
        <w:bidi/>
      </w:pPr>
      <w:r>
        <w:rPr>
          <w:rStyle w:val="ac"/>
          <w:rtl/>
        </w:rPr>
        <w:footnoteRef/>
      </w:r>
      <w:r>
        <w:rPr>
          <w:rtl/>
        </w:rPr>
        <w:t>וכמ"ש הרמב"ן ושא"ר (הו' בסמוך). אבל לתי' האבנ"מ (ע' בסמוך) ודאי לא פטרי צרתה. [אבל יתכן מצד אשת אח. ע' בסמוך].</w:t>
      </w:r>
    </w:p>
  </w:footnote>
  <w:footnote w:id="483">
    <w:p w14:paraId="02662E02" w14:textId="77777777" w:rsidR="00BE1D1C" w:rsidRDefault="00000000" w:rsidP="00012502">
      <w:pPr>
        <w:pStyle w:val="Footnote"/>
        <w:bidi/>
      </w:pPr>
      <w:r>
        <w:rPr>
          <w:rStyle w:val="ac"/>
          <w:rtl/>
        </w:rPr>
        <w:footnoteRef/>
      </w:r>
      <w:r>
        <w:rPr>
          <w:rtl/>
        </w:rPr>
        <w:t>אך ה</w:t>
      </w:r>
      <w:r>
        <w:rPr>
          <w:b/>
          <w:bCs/>
          <w:rtl/>
        </w:rPr>
        <w:t>אחרונים</w:t>
      </w:r>
      <w:r>
        <w:rPr>
          <w:rtl/>
        </w:rPr>
        <w:t xml:space="preserve"> חקרו באיסור צרת ערוה, האם הוה שם ערוה חדשה [שהיא צרה של ערוה], או דהגדר דשם אחות אשתו נתפס אף על הצרה. ולצד זו הק' הגרי"ז בפשיטות דאף דילפי' שאר עריות, דחל השם על הצרה. אך מנ"ל ד'שם חייבי לאוין' חל על צרתה, דודאי לא שייך לגדרי עריות כלל. אבל לצד הא' דיש ערוה מחודשת למי שהיא צרה של ערוה, א"כ אפשר דכל שהראשונה פטורה, ממילא צרתה הוה 'שם צרת ערוה', ושם צרת ערוה הוה בגדרי עריות.</w:t>
      </w:r>
    </w:p>
  </w:footnote>
  <w:footnote w:id="484">
    <w:p w14:paraId="24FFB887" w14:textId="77777777" w:rsidR="00BE1D1C" w:rsidRDefault="00000000" w:rsidP="00012502">
      <w:pPr>
        <w:pStyle w:val="Footnote"/>
        <w:bidi/>
      </w:pPr>
      <w:r>
        <w:rPr>
          <w:rStyle w:val="ac"/>
          <w:rtl/>
        </w:rPr>
        <w:footnoteRef/>
      </w:r>
      <w:r>
        <w:rPr>
          <w:rtl/>
        </w:rPr>
        <w:t>דאי' דרבנן דמונבז, דהיינו ר"ע, דריש תורה אחת לכדריב"ל.</w:t>
      </w:r>
    </w:p>
  </w:footnote>
  <w:footnote w:id="485">
    <w:p w14:paraId="0156D68F" w14:textId="77777777" w:rsidR="00BE1D1C" w:rsidRDefault="00000000" w:rsidP="00012502">
      <w:pPr>
        <w:pStyle w:val="Footnote"/>
        <w:bidi/>
      </w:pPr>
      <w:r>
        <w:rPr>
          <w:rStyle w:val="ac"/>
          <w:rtl/>
        </w:rPr>
        <w:footnoteRef/>
      </w:r>
      <w:r>
        <w:rPr>
          <w:rtl/>
        </w:rPr>
        <w:t>[ו</w:t>
      </w:r>
      <w:r>
        <w:rPr>
          <w:b/>
          <w:bCs/>
          <w:rtl/>
        </w:rPr>
        <w:t>רש"י</w:t>
      </w:r>
      <w:r>
        <w:rPr>
          <w:rtl/>
        </w:rPr>
        <w:t xml:space="preserve"> כת' דאלים לפטור כערוה גמורה, אלא דתוס' הקשו מנלן].</w:t>
      </w:r>
    </w:p>
  </w:footnote>
  <w:footnote w:id="486">
    <w:p w14:paraId="7B71E950" w14:textId="77777777" w:rsidR="00BE1D1C" w:rsidRDefault="00000000" w:rsidP="00012502">
      <w:pPr>
        <w:pStyle w:val="Footnote"/>
        <w:bidi/>
      </w:pPr>
      <w:r>
        <w:rPr>
          <w:rStyle w:val="ac"/>
          <w:rtl/>
        </w:rPr>
        <w:footnoteRef/>
      </w:r>
      <w:r>
        <w:rPr>
          <w:rtl/>
        </w:rPr>
        <w:t>והרשב"א ביאר דלר"ע ע"כ לא דרשי' יבמתו יבמתו ריבה, דהי מנייהו מפקת והי מינייהו מצרכת חליצה. דהא לגבי חליצה ליכא קילותא דנימא חייבי כריתות דחמירי לא סלקן לחליצה חייבי לאוין דקילי סלקן.</w:t>
      </w:r>
    </w:p>
  </w:footnote>
  <w:footnote w:id="487">
    <w:p w14:paraId="5C109933" w14:textId="77777777" w:rsidR="00BE1D1C" w:rsidRDefault="00000000" w:rsidP="00012502">
      <w:pPr>
        <w:pStyle w:val="Footnote"/>
        <w:bidi/>
      </w:pPr>
      <w:r>
        <w:rPr>
          <w:rStyle w:val="ac"/>
          <w:rtl/>
        </w:rPr>
        <w:footnoteRef/>
      </w:r>
      <w:r>
        <w:rPr>
          <w:rtl/>
        </w:rPr>
        <w:t>וב</w:t>
      </w:r>
      <w:r>
        <w:rPr>
          <w:b/>
          <w:bCs/>
          <w:rtl/>
        </w:rPr>
        <w:t>חי' ר' שמואל</w:t>
      </w:r>
      <w:r>
        <w:rPr>
          <w:rtl/>
        </w:rPr>
        <w:t xml:space="preserve"> ביאר דלצד דעדל"ת שיש בו כרת, אף אשת אח הוה גדר דחיית ל"ת שיש בו כרת [ואינו ראוי לליקוחין]. אבל למסקנא אשת אח הותר לגמרי. וכעי"ז כתב בחמד"ש.</w:t>
      </w:r>
    </w:p>
  </w:footnote>
  <w:footnote w:id="488">
    <w:p w14:paraId="03D21791" w14:textId="77777777" w:rsidR="00BE1D1C" w:rsidRDefault="00000000" w:rsidP="00012502">
      <w:pPr>
        <w:pStyle w:val="Footnote"/>
        <w:bidi/>
      </w:pPr>
      <w:r>
        <w:rPr>
          <w:rStyle w:val="ac"/>
          <w:rtl/>
        </w:rPr>
        <w:footnoteRef/>
      </w:r>
      <w:r>
        <w:rPr>
          <w:rtl/>
        </w:rPr>
        <w:t xml:space="preserve">אך </w:t>
      </w:r>
      <w:r>
        <w:rPr>
          <w:b/>
          <w:bCs/>
          <w:rtl/>
        </w:rPr>
        <w:t>תוס'</w:t>
      </w:r>
      <w:r>
        <w:rPr>
          <w:rtl/>
        </w:rPr>
        <w:t xml:space="preserve"> (לקמן מט. וקידושין סח.) פליגי, וס"ל דהקידושין אינן נפקעין.</w:t>
      </w:r>
    </w:p>
  </w:footnote>
  <w:footnote w:id="489">
    <w:p w14:paraId="2DDEC794" w14:textId="77777777" w:rsidR="00BE1D1C" w:rsidRDefault="00000000" w:rsidP="00012502">
      <w:pPr>
        <w:pStyle w:val="Footnote"/>
        <w:bidi/>
      </w:pPr>
      <w:r>
        <w:rPr>
          <w:rStyle w:val="ac"/>
          <w:rtl/>
        </w:rPr>
        <w:footnoteRef/>
      </w:r>
      <w:r>
        <w:rPr>
          <w:rtl/>
        </w:rPr>
        <w:t>ומבואר מדבריו דמתחילה בשעת יבום חל הקנין, כיון דעשה דוחה ל"ת וביאה הראשונה הותר, עי"ז תפסי קידושין לרגע זו. [וע' מש"כ בזה ג:].</w:t>
      </w:r>
    </w:p>
  </w:footnote>
  <w:footnote w:id="490">
    <w:p w14:paraId="569B518E" w14:textId="77777777" w:rsidR="00BE1D1C" w:rsidRDefault="00000000" w:rsidP="00012502">
      <w:pPr>
        <w:pStyle w:val="Footnote"/>
        <w:bidi/>
      </w:pPr>
      <w:r>
        <w:rPr>
          <w:rStyle w:val="ac"/>
          <w:rtl/>
        </w:rPr>
        <w:footnoteRef/>
      </w:r>
      <w:r>
        <w:rPr>
          <w:rtl/>
        </w:rPr>
        <w:t>וה</w:t>
      </w:r>
      <w:r>
        <w:rPr>
          <w:b/>
          <w:bCs/>
          <w:rtl/>
        </w:rPr>
        <w:t>אחרונים</w:t>
      </w:r>
      <w:r>
        <w:rPr>
          <w:rtl/>
        </w:rPr>
        <w:t xml:space="preserve"> (קובה"ע יא ט, חי' ר' שמעון) חלקו דאין זה לזמן, מה שפוקע אח"כ ע"י ערוה.</w:t>
      </w:r>
    </w:p>
  </w:footnote>
  <w:footnote w:id="491">
    <w:p w14:paraId="1F9497CB" w14:textId="77777777" w:rsidR="00BE1D1C" w:rsidRDefault="00000000" w:rsidP="00012502">
      <w:pPr>
        <w:pStyle w:val="Footnote"/>
        <w:bidi/>
      </w:pPr>
      <w:r>
        <w:rPr>
          <w:rStyle w:val="ac"/>
          <w:rtl/>
        </w:rPr>
        <w:footnoteRef/>
      </w:r>
      <w:r>
        <w:rPr>
          <w:rtl/>
        </w:rPr>
        <w:t>ומש"ה ל"ש עשה דוחה ל"ת, דאף אם ידחה לא יקנה קנין אישות דיבום.</w:t>
      </w:r>
    </w:p>
  </w:footnote>
  <w:footnote w:id="492">
    <w:p w14:paraId="22900D1B" w14:textId="77777777" w:rsidR="00BE1D1C" w:rsidRDefault="00000000" w:rsidP="00012502">
      <w:pPr>
        <w:pStyle w:val="Footnote"/>
        <w:bidi/>
      </w:pPr>
      <w:r>
        <w:rPr>
          <w:rStyle w:val="ac"/>
          <w:rtl/>
        </w:rPr>
        <w:footnoteRef/>
      </w:r>
      <w:r>
        <w:rPr>
          <w:rtl/>
        </w:rPr>
        <w:t>וה</w:t>
      </w:r>
      <w:r>
        <w:rPr>
          <w:b/>
          <w:bCs/>
          <w:rtl/>
        </w:rPr>
        <w:t>אמר"מ</w:t>
      </w:r>
      <w:r>
        <w:rPr>
          <w:rtl/>
        </w:rPr>
        <w:t xml:space="preserve"> (ה כא) כת' דלס"ד דהגמ' שם, עדל"ת מתיר אף ביאה שניה, דנעשית כאשתו [ומתיר אף איסור אחות אשתו, וכעין מש"כ החמד"ש הו' ח:]. וה</w:t>
      </w:r>
      <w:r>
        <w:rPr>
          <w:b/>
          <w:bCs/>
          <w:rtl/>
        </w:rPr>
        <w:t>אבנ"מ</w:t>
      </w:r>
      <w:r>
        <w:rPr>
          <w:rtl/>
        </w:rPr>
        <w:t xml:space="preserve"> קאי למסקנא.</w:t>
      </w:r>
    </w:p>
  </w:footnote>
  <w:footnote w:id="493">
    <w:p w14:paraId="0B538DCB" w14:textId="77777777" w:rsidR="00BE1D1C" w:rsidRDefault="00000000" w:rsidP="00012502">
      <w:pPr>
        <w:pStyle w:val="Footnote"/>
        <w:bidi/>
      </w:pPr>
      <w:r>
        <w:rPr>
          <w:rStyle w:val="ac"/>
          <w:rtl/>
        </w:rPr>
        <w:footnoteRef/>
      </w:r>
      <w:r>
        <w:rPr>
          <w:rtl/>
        </w:rPr>
        <w:t>וה</w:t>
      </w:r>
      <w:r>
        <w:rPr>
          <w:b/>
          <w:bCs/>
          <w:rtl/>
        </w:rPr>
        <w:t>אחרונים</w:t>
      </w:r>
      <w:r>
        <w:rPr>
          <w:rtl/>
        </w:rPr>
        <w:t xml:space="preserve"> דנו בזה במקום שנפקע הקידושין האם עדיין אסור בקרובותיה. (ע' גיטין מג:, וע"ע אבנ"מ מד ד).</w:t>
      </w:r>
    </w:p>
  </w:footnote>
  <w:footnote w:id="494">
    <w:p w14:paraId="1F735514" w14:textId="77777777" w:rsidR="00BE1D1C" w:rsidRDefault="00000000" w:rsidP="00012502">
      <w:pPr>
        <w:pStyle w:val="Footnote"/>
        <w:bidi/>
      </w:pPr>
      <w:r>
        <w:rPr>
          <w:rStyle w:val="ac"/>
          <w:rtl/>
        </w:rPr>
        <w:footnoteRef/>
      </w:r>
      <w:r>
        <w:rPr>
          <w:rtl/>
        </w:rPr>
        <w:t>דרש"י כת' דבתו לא משכח"ל וכו' שא"א שבתו של ראובן וכו' להיות אחיות מן האם, שאשת ראובן אינה יכולה לינשא לשמעון דהוה גרושת אחיו.</w:t>
      </w:r>
    </w:p>
  </w:footnote>
  <w:footnote w:id="495">
    <w:p w14:paraId="269399D0" w14:textId="77777777" w:rsidR="00BE1D1C" w:rsidRDefault="00000000" w:rsidP="00012502">
      <w:pPr>
        <w:pStyle w:val="Footnote"/>
        <w:bidi/>
      </w:pPr>
      <w:r>
        <w:rPr>
          <w:rStyle w:val="ac"/>
          <w:rtl/>
        </w:rPr>
        <w:footnoteRef/>
      </w:r>
      <w:r>
        <w:rPr>
          <w:rtl/>
        </w:rPr>
        <w:t>וה</w:t>
      </w:r>
      <w:r>
        <w:rPr>
          <w:b/>
          <w:bCs/>
          <w:rtl/>
        </w:rPr>
        <w:t>אחרונים</w:t>
      </w:r>
      <w:r>
        <w:rPr>
          <w:rtl/>
        </w:rPr>
        <w:t xml:space="preserve"> תלו נידון זה בחקירה [ע' אתוון דאורייתא ס"ס ח] בגדר האיסור בקרובי אשתו לאחר מיתה וגירושין, האם הוא משום שנשאר מקצת אישות כלפי הקרובים [או דאף דהאישות פקע, מ"מ נקרא שאר וקרוב לענין זה], או דכיון דחל האיסור תו לא פקע.</w:t>
      </w:r>
    </w:p>
  </w:footnote>
  <w:footnote w:id="496">
    <w:p w14:paraId="07808739" w14:textId="77777777" w:rsidR="00BE1D1C" w:rsidRDefault="00000000" w:rsidP="00012502">
      <w:pPr>
        <w:pStyle w:val="Footnote"/>
        <w:bidi/>
      </w:pPr>
      <w:r>
        <w:rPr>
          <w:rStyle w:val="ac"/>
          <w:rtl/>
        </w:rPr>
        <w:footnoteRef/>
      </w:r>
      <w:r>
        <w:rPr>
          <w:rtl/>
        </w:rPr>
        <w:t>וה</w:t>
      </w:r>
      <w:r>
        <w:rPr>
          <w:b/>
          <w:bCs/>
          <w:rtl/>
        </w:rPr>
        <w:t>אחיעזר</w:t>
      </w:r>
      <w:r>
        <w:rPr>
          <w:rtl/>
        </w:rPr>
        <w:t xml:space="preserve"> (א יא) האריך לדון בזה, וכתב דאין לנו מקור להקל.</w:t>
      </w:r>
    </w:p>
  </w:footnote>
  <w:footnote w:id="497">
    <w:p w14:paraId="68D05432" w14:textId="77777777" w:rsidR="00BE1D1C" w:rsidRDefault="00000000" w:rsidP="00012502">
      <w:pPr>
        <w:pStyle w:val="Footnote"/>
        <w:bidi/>
      </w:pPr>
      <w:r>
        <w:rPr>
          <w:rStyle w:val="ac"/>
          <w:rtl/>
        </w:rPr>
        <w:footnoteRef/>
      </w:r>
      <w:r>
        <w:rPr>
          <w:rtl/>
        </w:rPr>
        <w:t>ובפשוטו רש"י במשנה כמ"ד דמיירי באונסין, ורש"י כאן כמ"ד דבאונסין לא קמיירי.</w:t>
      </w:r>
    </w:p>
  </w:footnote>
  <w:footnote w:id="498">
    <w:p w14:paraId="1B3AEEBD" w14:textId="77777777" w:rsidR="00BE1D1C" w:rsidRDefault="00000000" w:rsidP="00012502">
      <w:pPr>
        <w:pStyle w:val="Footnote"/>
        <w:bidi/>
      </w:pPr>
      <w:r>
        <w:rPr>
          <w:rStyle w:val="ac"/>
          <w:rtl/>
        </w:rPr>
        <w:footnoteRef/>
      </w:r>
      <w:r>
        <w:rPr>
          <w:rtl/>
        </w:rPr>
        <w:t xml:space="preserve">וע' </w:t>
      </w:r>
      <w:r>
        <w:rPr>
          <w:b/>
          <w:bCs/>
          <w:rtl/>
        </w:rPr>
        <w:t>אחיעזר</w:t>
      </w:r>
      <w:r>
        <w:rPr>
          <w:rtl/>
        </w:rPr>
        <w:t xml:space="preserve"> (יא).</w:t>
      </w:r>
    </w:p>
  </w:footnote>
  <w:footnote w:id="499">
    <w:p w14:paraId="3EE583B4" w14:textId="77777777" w:rsidR="00BE1D1C" w:rsidRDefault="00000000" w:rsidP="00012502">
      <w:pPr>
        <w:pStyle w:val="Footnote"/>
        <w:bidi/>
      </w:pPr>
      <w:r>
        <w:rPr>
          <w:rStyle w:val="ac"/>
          <w:rtl/>
        </w:rPr>
        <w:footnoteRef/>
      </w:r>
      <w:r>
        <w:rPr>
          <w:rtl/>
        </w:rPr>
        <w:t>וה</w:t>
      </w:r>
      <w:r>
        <w:rPr>
          <w:b/>
          <w:bCs/>
          <w:rtl/>
        </w:rPr>
        <w:t>רמב"ן</w:t>
      </w:r>
      <w:r>
        <w:rPr>
          <w:rtl/>
        </w:rPr>
        <w:t xml:space="preserve"> (לעיל ב.) כתב דקושיה זו קינטור, דבתנאים לא קמיירי.</w:t>
      </w:r>
    </w:p>
  </w:footnote>
  <w:footnote w:id="500">
    <w:p w14:paraId="05FA6F54" w14:textId="77777777" w:rsidR="00BE1D1C" w:rsidRDefault="00000000" w:rsidP="00012502">
      <w:pPr>
        <w:pStyle w:val="Footnote"/>
        <w:bidi/>
      </w:pPr>
      <w:r>
        <w:rPr>
          <w:rStyle w:val="ac"/>
          <w:rtl/>
        </w:rPr>
        <w:footnoteRef/>
      </w:r>
      <w:r>
        <w:rPr>
          <w:rtl/>
        </w:rPr>
        <w:t>אבל תוס' לא הק' היכא דשייר חוץ מפלוני, דכה"ג כיון שנשאת לאחר פקע השיור. וכדאי' (גיטין פג:), וכמ"ש תוס' בסמוך.</w:t>
      </w:r>
    </w:p>
  </w:footnote>
  <w:footnote w:id="501">
    <w:p w14:paraId="738DA24F" w14:textId="77777777" w:rsidR="00BE1D1C" w:rsidRDefault="00000000" w:rsidP="00012502">
      <w:pPr>
        <w:pStyle w:val="Footnote"/>
        <w:bidi/>
      </w:pPr>
      <w:r>
        <w:rPr>
          <w:rStyle w:val="ac"/>
          <w:rtl/>
        </w:rPr>
        <w:footnoteRef/>
      </w:r>
      <w:r>
        <w:rPr>
          <w:rtl/>
        </w:rPr>
        <w:t>אך יש לדחות דכוונת התוס' ע"מ שלא תבעלי, וחיישינן שמא יאנוס אותה {אחר מיתת המגרש}.</w:t>
      </w:r>
    </w:p>
  </w:footnote>
  <w:footnote w:id="502">
    <w:p w14:paraId="1B98A4C4" w14:textId="77777777" w:rsidR="00BE1D1C" w:rsidRDefault="00000000" w:rsidP="00012502">
      <w:pPr>
        <w:pStyle w:val="Footnote"/>
        <w:bidi/>
      </w:pPr>
      <w:r>
        <w:rPr>
          <w:rStyle w:val="ac"/>
          <w:rtl/>
        </w:rPr>
        <w:footnoteRef/>
      </w:r>
      <w:r>
        <w:rPr>
          <w:rtl/>
        </w:rPr>
        <w:t>וב</w:t>
      </w:r>
      <w:r>
        <w:rPr>
          <w:b/>
          <w:bCs/>
          <w:rtl/>
        </w:rPr>
        <w:t>הג' חת"ס</w:t>
      </w:r>
      <w:r>
        <w:rPr>
          <w:rtl/>
        </w:rPr>
        <w:t xml:space="preserve"> הביא דתוס' דידן ס"ל דחיישי' שמא ייבם אותה בע"כ. ואילו תוס' בגיטין ס"ל דל"ש נישואין בע"כ.</w:t>
      </w:r>
    </w:p>
  </w:footnote>
  <w:footnote w:id="503">
    <w:p w14:paraId="49F5B49E" w14:textId="77777777" w:rsidR="00BE1D1C" w:rsidRDefault="00000000" w:rsidP="00012502">
      <w:pPr>
        <w:pStyle w:val="Footnote"/>
        <w:bidi/>
      </w:pPr>
      <w:r>
        <w:rPr>
          <w:rStyle w:val="ac"/>
          <w:rtl/>
        </w:rPr>
        <w:footnoteRef/>
      </w:r>
      <w:r>
        <w:rPr>
          <w:rtl/>
        </w:rPr>
        <w:t>ו</w:t>
      </w:r>
      <w:r>
        <w:rPr>
          <w:b/>
          <w:bCs/>
          <w:rtl/>
        </w:rPr>
        <w:t>תוס'</w:t>
      </w:r>
      <w:r>
        <w:rPr>
          <w:rtl/>
        </w:rPr>
        <w:t xml:space="preserve"> (גיטין פג.) הוסיפו דהחשש שתבעל לאחר מיתת המגרש, דבחיי המגרש ע"י שנתבטל התנאי הוה אשת איש. וממ"נ אסורה על זה משום איסור אשת איש [דהמגרש].</w:t>
      </w:r>
    </w:p>
  </w:footnote>
  <w:footnote w:id="504">
    <w:p w14:paraId="721EDAD3" w14:textId="77777777" w:rsidR="00BE1D1C" w:rsidRDefault="00000000" w:rsidP="00012502">
      <w:pPr>
        <w:pStyle w:val="Footnote"/>
        <w:bidi/>
      </w:pPr>
      <w:r>
        <w:rPr>
          <w:rStyle w:val="ac"/>
          <w:rtl/>
        </w:rPr>
        <w:footnoteRef/>
      </w:r>
      <w:r>
        <w:rPr>
          <w:rtl/>
        </w:rPr>
        <w:t>ויל"ד דמ"מ תהא מותרת לינשא לקרוביו של מי שאסורה עליו בתנאי, דאף לאחר מיתת אביו אסורה לעולם באיסור חמור, ואין לחשוש שתעבור על התנאי. אך מ"מ לאחיו אסורה, דחיישי' שתיפול לפניו ליבום אחר מיתת המגרש. [וכה"ג אינה אסורה עליו משום ערוה דאשת איש. אלא דע"י שתתייבם נתברר שהיא אשת איש למפרע].</w:t>
      </w:r>
    </w:p>
  </w:footnote>
  <w:footnote w:id="505">
    <w:p w14:paraId="24BDD128" w14:textId="77777777" w:rsidR="00BE1D1C" w:rsidRDefault="00000000" w:rsidP="00012502">
      <w:pPr>
        <w:pStyle w:val="Footnote"/>
        <w:bidi/>
      </w:pPr>
      <w:r>
        <w:rPr>
          <w:rStyle w:val="ac"/>
          <w:rtl/>
        </w:rPr>
        <w:footnoteRef/>
      </w:r>
      <w:r>
        <w:rPr>
          <w:rtl/>
        </w:rPr>
        <w:t>[אך י"ל דבשעת מיתת הראשון, חזר השני וקדשה [משום חזקה דאינו עושה בעילת זנות], א"כ שוב אסורה לבעל התנאי].</w:t>
      </w:r>
    </w:p>
  </w:footnote>
  <w:footnote w:id="506">
    <w:p w14:paraId="210DB2CA" w14:textId="77777777" w:rsidR="00BE1D1C" w:rsidRDefault="00000000" w:rsidP="00012502">
      <w:pPr>
        <w:pStyle w:val="Footnote"/>
        <w:bidi/>
      </w:pPr>
      <w:r>
        <w:rPr>
          <w:rStyle w:val="ac"/>
          <w:rtl/>
        </w:rPr>
        <w:footnoteRef/>
      </w:r>
      <w:r>
        <w:rPr>
          <w:rtl/>
        </w:rPr>
        <w:t>ותלי במח' אי ערוה פטורה משום שיש בה כרת [ולא תפסי קידושין], או משום ילפותא ד'עליה'.</w:t>
      </w:r>
    </w:p>
  </w:footnote>
  <w:footnote w:id="507">
    <w:p w14:paraId="2590BF42" w14:textId="77777777" w:rsidR="00BE1D1C" w:rsidRDefault="00000000" w:rsidP="00012502">
      <w:pPr>
        <w:pStyle w:val="Footnote"/>
        <w:bidi/>
      </w:pPr>
      <w:r>
        <w:rPr>
          <w:rStyle w:val="ac"/>
          <w:rtl/>
        </w:rPr>
        <w:footnoteRef/>
      </w:r>
      <w:r>
        <w:rPr>
          <w:rtl/>
        </w:rPr>
        <w:t xml:space="preserve">אבל </w:t>
      </w:r>
      <w:r>
        <w:rPr>
          <w:b/>
          <w:bCs/>
          <w:rtl/>
        </w:rPr>
        <w:t>רע"א</w:t>
      </w:r>
      <w:r>
        <w:rPr>
          <w:rtl/>
        </w:rPr>
        <w:t xml:space="preserve"> (בגהש"ס גיטין פג.) דבעלת התנאי נופלת לפניו ליבום [דהא אינה ערוה לו], אלא דא"י לקיים מצות יבום דאז יעבור על התנאי [ובחי' שם ציין לדברי התוס']. ולא דמי לשאר עריות שאינה נופלת לפניו ליבום כלל. [והק' דמשום הכי בעלת התנאי מקרי עקירה מן התורה דנופלת לפניו ליבום ואינו מיבמה, והאיך הגמ' מדמה].</w:t>
      </w:r>
    </w:p>
  </w:footnote>
  <w:footnote w:id="508">
    <w:p w14:paraId="3D061294" w14:textId="77777777" w:rsidR="00BE1D1C" w:rsidRDefault="00000000" w:rsidP="00012502">
      <w:pPr>
        <w:pStyle w:val="Footnote"/>
        <w:bidi/>
      </w:pPr>
      <w:r>
        <w:rPr>
          <w:rStyle w:val="ac"/>
          <w:rtl/>
        </w:rPr>
        <w:footnoteRef/>
      </w:r>
      <w:r>
        <w:rPr>
          <w:rtl/>
        </w:rPr>
        <w:t>וכ"מ ב</w:t>
      </w:r>
      <w:r>
        <w:rPr>
          <w:b/>
          <w:bCs/>
          <w:rtl/>
        </w:rPr>
        <w:t>תוס' הרא"ש</w:t>
      </w:r>
      <w:r>
        <w:rPr>
          <w:rtl/>
        </w:rPr>
        <w:t xml:space="preserve"> דכתב דע"י יבום שלה לא היתה צרה מעולם [ולא תלה באחות אשה].</w:t>
      </w:r>
    </w:p>
  </w:footnote>
  <w:footnote w:id="509">
    <w:p w14:paraId="2D039C2C" w14:textId="77777777" w:rsidR="00BE1D1C" w:rsidRDefault="00000000" w:rsidP="00012502">
      <w:pPr>
        <w:pStyle w:val="Footnote"/>
        <w:bidi/>
      </w:pPr>
      <w:r>
        <w:rPr>
          <w:rStyle w:val="ac"/>
          <w:rtl/>
        </w:rPr>
        <w:footnoteRef/>
      </w:r>
      <w:r>
        <w:rPr>
          <w:rtl/>
        </w:rPr>
        <w:t>שאסורה לאיש זה לגמרי, וכדאי' בגמ' (שם פג.) דלא הוה אסורה לזה ומותרת לזה, דהא מותרת בזנות.</w:t>
      </w:r>
    </w:p>
  </w:footnote>
  <w:footnote w:id="510">
    <w:p w14:paraId="7E8B06BE" w14:textId="77777777" w:rsidR="00BE1D1C" w:rsidRDefault="00000000" w:rsidP="00012502">
      <w:pPr>
        <w:pStyle w:val="Footnote"/>
        <w:bidi/>
      </w:pPr>
      <w:r>
        <w:rPr>
          <w:rStyle w:val="ac"/>
          <w:rtl/>
        </w:rPr>
        <w:footnoteRef/>
      </w:r>
      <w:r>
        <w:rPr>
          <w:rtl/>
        </w:rPr>
        <w:t>ולפ"ז מבואר בתוס' דהוה גדר שיור ממש [ואף שהתנה בלשון תנאי]. אך בפשוטו היה אפ"ל דכוונת התוס' (שם) רק דהך תנאי הוה חסרון כריתות, וכמו שיור ע"י חוץ.</w:t>
      </w:r>
    </w:p>
  </w:footnote>
  <w:footnote w:id="511">
    <w:p w14:paraId="368EA128" w14:textId="77777777" w:rsidR="00BE1D1C" w:rsidRDefault="00000000" w:rsidP="00012502">
      <w:pPr>
        <w:pStyle w:val="Footnote"/>
        <w:bidi/>
      </w:pPr>
      <w:r>
        <w:rPr>
          <w:rStyle w:val="ac"/>
          <w:rtl/>
        </w:rPr>
        <w:footnoteRef/>
      </w:r>
      <w:r>
        <w:rPr>
          <w:rtl/>
        </w:rPr>
        <w:t>אך ה</w:t>
      </w:r>
      <w:r>
        <w:rPr>
          <w:b/>
          <w:bCs/>
          <w:rtl/>
        </w:rPr>
        <w:t>מהר"ם שיף</w:t>
      </w:r>
      <w:r>
        <w:rPr>
          <w:rtl/>
        </w:rPr>
        <w:t xml:space="preserve"> (גיטין שם) נתקשה דאף דע"מ שלא תנשאי ושלא תבעלי הוה שיור בגט, מ"מ סוף סוף הא התנה. ואף שנשאת לאחר אמאי בטל התנאי. וביאר דכ"ז בכלל דברי התוס', דאף את"ל כן, מ"מ לא דמי לאחות אשה. וע"ע חי' הגר"נ.</w:t>
      </w:r>
    </w:p>
  </w:footnote>
  <w:footnote w:id="512">
    <w:p w14:paraId="18C9585F" w14:textId="77777777" w:rsidR="00BE1D1C" w:rsidRDefault="00000000" w:rsidP="00012502">
      <w:pPr>
        <w:pStyle w:val="Footnote"/>
        <w:bidi/>
      </w:pPr>
      <w:r>
        <w:rPr>
          <w:rStyle w:val="ac"/>
          <w:rtl/>
        </w:rPr>
        <w:footnoteRef/>
      </w:r>
      <w:r>
        <w:rPr>
          <w:rtl/>
        </w:rPr>
        <w:t>ובפשוטו הוא משום דחומר איסור ערוה מונע ממנה היבום, ולא חל 'שם ערוה' [ודלא כדברי האחרונים דפטור יבום לא תליא באיסור ביאה אלא ב'דין הערוה'.</w:t>
      </w:r>
    </w:p>
  </w:footnote>
  <w:footnote w:id="513">
    <w:p w14:paraId="7F4FEA02" w14:textId="77777777" w:rsidR="00BE1D1C" w:rsidRDefault="00000000" w:rsidP="00012502">
      <w:pPr>
        <w:pStyle w:val="Footnote"/>
        <w:bidi/>
      </w:pPr>
      <w:r>
        <w:rPr>
          <w:rStyle w:val="ac"/>
          <w:rtl/>
        </w:rPr>
        <w:footnoteRef/>
      </w:r>
      <w:r>
        <w:rPr>
          <w:rtl/>
        </w:rPr>
        <w:t>אבל לדעת בית שמאי (יג:) כיון שאין איסור חל על איסור אין פטור צרה. וע' לקמן.</w:t>
      </w:r>
    </w:p>
  </w:footnote>
  <w:footnote w:id="514">
    <w:p w14:paraId="37D14317" w14:textId="77777777" w:rsidR="00BE1D1C" w:rsidRDefault="00000000" w:rsidP="00012502">
      <w:pPr>
        <w:pStyle w:val="Footnote"/>
        <w:bidi/>
      </w:pPr>
      <w:r>
        <w:rPr>
          <w:rStyle w:val="ac"/>
          <w:rtl/>
        </w:rPr>
        <w:footnoteRef/>
      </w:r>
      <w:r>
        <w:rPr>
          <w:rtl/>
        </w:rPr>
        <w:t>ותוס' פליגי בעיקר היסוד (הנ"ל), דמשום מיתלא תאלי לא נחשב צרת ערוה. ובפשוטו פליג בעיקר היסוד. [וצ"ב מ"ש מבעלת התנאי דתוס' נקטו דפטורה מטעם זה]. אבל הגרי"ז ביאר דדעת תוס' דמהני סברא זו כלפי עצמה, אלא דפליג דל"מ לפטור צרתה.</w:t>
      </w:r>
    </w:p>
  </w:footnote>
  <w:footnote w:id="515">
    <w:p w14:paraId="7207A6A3" w14:textId="77777777" w:rsidR="00BE1D1C" w:rsidRDefault="00000000" w:rsidP="00012502">
      <w:pPr>
        <w:pStyle w:val="Footnote"/>
        <w:bidi/>
      </w:pPr>
      <w:r>
        <w:rPr>
          <w:rStyle w:val="ac"/>
          <w:rtl/>
        </w:rPr>
        <w:footnoteRef/>
      </w:r>
      <w:r>
        <w:rPr>
          <w:rtl/>
        </w:rPr>
        <w:t>ונחשב איסור אשת אח דעריות [וכ"כ האחרונים, דלכן פוטרת צרה אף לדברי הגר"ח].</w:t>
      </w:r>
    </w:p>
  </w:footnote>
  <w:footnote w:id="516">
    <w:p w14:paraId="2A90C0E3" w14:textId="77777777" w:rsidR="00BE1D1C" w:rsidRDefault="00000000" w:rsidP="00012502">
      <w:pPr>
        <w:pStyle w:val="Footnote"/>
        <w:bidi/>
      </w:pPr>
      <w:r>
        <w:rPr>
          <w:rStyle w:val="ac"/>
          <w:rtl/>
        </w:rPr>
        <w:footnoteRef/>
      </w:r>
      <w:r>
        <w:rPr>
          <w:rtl/>
        </w:rPr>
        <w:t>[לדעת הרמב"ן כיון דאינה עומדת ליבום בפועל, ולתוס' משמע דהוה פטור].</w:t>
      </w:r>
    </w:p>
  </w:footnote>
  <w:footnote w:id="517">
    <w:p w14:paraId="0E44A01B" w14:textId="77777777" w:rsidR="00BE1D1C" w:rsidRDefault="00000000" w:rsidP="00012502">
      <w:pPr>
        <w:pStyle w:val="Footnote"/>
        <w:bidi/>
      </w:pPr>
      <w:r>
        <w:rPr>
          <w:rStyle w:val="ac"/>
          <w:rtl/>
        </w:rPr>
        <w:footnoteRef/>
      </w:r>
      <w:r>
        <w:rPr>
          <w:rtl/>
        </w:rPr>
        <w:t>וה</w:t>
      </w:r>
      <w:r>
        <w:rPr>
          <w:b/>
          <w:bCs/>
          <w:rtl/>
        </w:rPr>
        <w:t>גרי"ז</w:t>
      </w:r>
      <w:r>
        <w:rPr>
          <w:rtl/>
        </w:rPr>
        <w:t xml:space="preserve"> (בגר"ח סטנסל) ביאר דאין ב' איסורי ערוה בבת אחת, דכשהיא אשת איש אינה אשת אח וכשהיא אשת אח אינה אשת איש, ומש"ה איסור אשת איש אינו עושה את איסור אשת אח לערוה.</w:t>
      </w:r>
    </w:p>
  </w:footnote>
  <w:footnote w:id="518">
    <w:p w14:paraId="79BEE4E7" w14:textId="77777777" w:rsidR="00BE1D1C" w:rsidRDefault="00000000" w:rsidP="00012502">
      <w:pPr>
        <w:pStyle w:val="Footnote"/>
        <w:bidi/>
      </w:pPr>
      <w:r>
        <w:rPr>
          <w:rStyle w:val="ac"/>
          <w:rtl/>
        </w:rPr>
        <w:footnoteRef/>
      </w:r>
      <w:r>
        <w:rPr>
          <w:rtl/>
        </w:rPr>
        <w:t>דכיון דעכ"פ מהני התנאי לפטור עצמה (ע' בסמוך), לרבי צרתה פטורה, ולא בעינן 'שם ערוה' לפטור צרתה.</w:t>
      </w:r>
    </w:p>
  </w:footnote>
  <w:footnote w:id="519">
    <w:p w14:paraId="2B605B7E" w14:textId="77777777" w:rsidR="00BE1D1C" w:rsidRDefault="00000000" w:rsidP="00012502">
      <w:pPr>
        <w:pStyle w:val="Footnote"/>
        <w:bidi/>
      </w:pPr>
      <w:r>
        <w:rPr>
          <w:rStyle w:val="ac"/>
          <w:rtl/>
        </w:rPr>
        <w:footnoteRef/>
      </w:r>
      <w:r>
        <w:rPr>
          <w:rtl/>
        </w:rPr>
        <w:t>ובפשוטו כוונתו דחולצת [וכמ"ש הרשב"א]. אך בחי' ושיע' רב"ב דייק מדברי הרמב"ן דכוונת שתהא אסורה לעולם, דנופלת ליבום וחליצה, אלא דאינה ראויה למעשה חליצה כיון דאינה עולה ליבום. [ומש"ה הרמב"ן קאי היכא דליכא צרה].</w:t>
      </w:r>
    </w:p>
  </w:footnote>
  <w:footnote w:id="520">
    <w:p w14:paraId="2AA2C811" w14:textId="77777777" w:rsidR="00BE1D1C" w:rsidRDefault="00000000" w:rsidP="00012502">
      <w:pPr>
        <w:pStyle w:val="Footnote"/>
        <w:bidi/>
      </w:pPr>
      <w:r>
        <w:rPr>
          <w:rStyle w:val="ac"/>
          <w:rtl/>
        </w:rPr>
        <w:footnoteRef/>
      </w:r>
      <w:r>
        <w:rPr>
          <w:rtl/>
        </w:rPr>
        <w:t>וה</w:t>
      </w:r>
      <w:r>
        <w:rPr>
          <w:b/>
          <w:bCs/>
          <w:rtl/>
        </w:rPr>
        <w:t>אחרונים</w:t>
      </w:r>
      <w:r>
        <w:rPr>
          <w:rtl/>
        </w:rPr>
        <w:t xml:space="preserve"> (קובה"ע ה ב) ביארו דהוה מדין שאינה עולה ליבום, ואף דאין דין ערוה שפוטרה מחליצה.</w:t>
      </w:r>
    </w:p>
  </w:footnote>
  <w:footnote w:id="521">
    <w:p w14:paraId="41E1FF1B" w14:textId="77777777" w:rsidR="00BE1D1C" w:rsidRDefault="00000000" w:rsidP="00012502">
      <w:pPr>
        <w:pStyle w:val="Footnote"/>
        <w:bidi/>
      </w:pPr>
      <w:r>
        <w:rPr>
          <w:rStyle w:val="ac"/>
          <w:rtl/>
        </w:rPr>
        <w:footnoteRef/>
      </w:r>
      <w:r>
        <w:rPr>
          <w:rtl/>
        </w:rPr>
        <w:t>וב</w:t>
      </w:r>
      <w:r>
        <w:rPr>
          <w:b/>
          <w:bCs/>
          <w:rtl/>
        </w:rPr>
        <w:t>חי' ר' שמעון</w:t>
      </w:r>
      <w:r>
        <w:rPr>
          <w:rtl/>
        </w:rPr>
        <w:t xml:space="preserve"> (א ד"ה אמנם ע"פ) ביאר דבריו דליכא סיבת איסור בעצמותה, אלא דבר אחר גורם למנוע. וכמו איסור לא תסור, דאף דהוה איסור מ"מ נחשב חיצוני ואינו אוסר.</w:t>
      </w:r>
    </w:p>
  </w:footnote>
  <w:footnote w:id="522">
    <w:p w14:paraId="16047ADD" w14:textId="77777777" w:rsidR="00BE1D1C" w:rsidRDefault="00000000" w:rsidP="00012502">
      <w:pPr>
        <w:pStyle w:val="Footnote"/>
        <w:bidi/>
      </w:pPr>
      <w:r>
        <w:rPr>
          <w:rStyle w:val="ac"/>
          <w:rtl/>
        </w:rPr>
        <w:footnoteRef/>
      </w:r>
      <w:r>
        <w:rPr>
          <w:rtl/>
        </w:rPr>
        <w:t>אך בשו"ת הרשב"א מבואר דס"ל דכל חייבי לאוין חולצת מדרבנן. ובעזה"י יתבאר (לקמן כ:).</w:t>
      </w:r>
    </w:p>
  </w:footnote>
  <w:footnote w:id="523">
    <w:p w14:paraId="44EA31C6" w14:textId="77777777" w:rsidR="00BE1D1C" w:rsidRDefault="00000000" w:rsidP="00012502">
      <w:pPr>
        <w:pStyle w:val="Footnote"/>
        <w:bidi/>
      </w:pPr>
      <w:r>
        <w:rPr>
          <w:rStyle w:val="ac"/>
          <w:rtl/>
        </w:rPr>
        <w:footnoteRef/>
      </w:r>
      <w:r>
        <w:rPr>
          <w:rtl/>
        </w:rPr>
        <w:t>וה</w:t>
      </w:r>
      <w:r>
        <w:rPr>
          <w:b/>
          <w:bCs/>
          <w:rtl/>
        </w:rPr>
        <w:t>חזו"א</w:t>
      </w:r>
      <w:r>
        <w:rPr>
          <w:rtl/>
        </w:rPr>
        <w:t xml:space="preserve"> ביאר דהרשב"א ס"ל דחייבי לאו ועשה עולין לחליצה מגזיה"כ [לקמן כ:], וכ"ז גזיה"כ היכא שהאוסר הוא באישות. וכיון דמצות יבום הוא חפץ התורה באשות ממילא פקע איסור לענין דמתפיס זיקה. אבל איסור נדר אינו מעצם האישות, אלא דהוה סברא חדשה שאיסור הבא מעלמא אינו מקליש הזיקה, וא"כ ה"ה לבעלת התנאי. [והאחרונים האריכו בגדרי כל שאינו עולה ליבום, ובעזה"י יתבאר לקמן].</w:t>
      </w:r>
    </w:p>
  </w:footnote>
  <w:footnote w:id="524">
    <w:p w14:paraId="67844953" w14:textId="77777777" w:rsidR="00BE1D1C" w:rsidRDefault="00000000" w:rsidP="00012502">
      <w:pPr>
        <w:pStyle w:val="Footnote"/>
        <w:bidi/>
      </w:pPr>
      <w:r>
        <w:rPr>
          <w:rStyle w:val="ac"/>
          <w:rtl/>
        </w:rPr>
        <w:footnoteRef/>
      </w:r>
      <w:r>
        <w:rPr>
          <w:rtl/>
        </w:rPr>
        <w:t>אבל ה</w:t>
      </w:r>
      <w:r>
        <w:rPr>
          <w:b/>
          <w:bCs/>
          <w:rtl/>
        </w:rPr>
        <w:t>אמר"מ</w:t>
      </w:r>
      <w:r>
        <w:rPr>
          <w:rtl/>
        </w:rPr>
        <w:t xml:space="preserve"> (ט ד) הביא דכוונת התוס' דכיון דיש לה בעל נוסף אינה נחשבת 'אשת המת'. [ולא תליא מי קידש קודם].</w:t>
      </w:r>
    </w:p>
  </w:footnote>
  <w:footnote w:id="525">
    <w:p w14:paraId="58FDF188" w14:textId="77777777" w:rsidR="00BE1D1C" w:rsidRDefault="00000000" w:rsidP="00012502">
      <w:pPr>
        <w:pStyle w:val="Footnote"/>
        <w:bidi/>
      </w:pPr>
      <w:r>
        <w:rPr>
          <w:rStyle w:val="ac"/>
          <w:rtl/>
        </w:rPr>
        <w:footnoteRef/>
      </w:r>
      <w:r>
        <w:rPr>
          <w:rtl/>
        </w:rPr>
        <w:t>ועי"ש ברשב"א. [וע' חזו"א דהאריך טובא לפרש דברי הרשב"א].</w:t>
      </w:r>
    </w:p>
  </w:footnote>
  <w:footnote w:id="526">
    <w:p w14:paraId="2127DC54" w14:textId="77777777" w:rsidR="00BE1D1C" w:rsidRDefault="00000000" w:rsidP="00012502">
      <w:pPr>
        <w:pStyle w:val="Footnote"/>
        <w:bidi/>
      </w:pPr>
      <w:r>
        <w:rPr>
          <w:rStyle w:val="ac"/>
          <w:rtl/>
        </w:rPr>
        <w:footnoteRef/>
      </w:r>
      <w:r>
        <w:rPr>
          <w:rtl/>
        </w:rPr>
        <w:t xml:space="preserve">ועוד תי' (שם ד) דכוונת התוס' </w:t>
      </w:r>
      <w:r>
        <w:rPr>
          <w:rFonts w:ascii="Narkisim" w:eastAsia="Narkisim" w:hAnsi="Narkisim"/>
          <w:rtl/>
        </w:rPr>
        <w:t>דכל שיש לה עכשיו בעל חי לא נחשב שומרת יבם [שנפלה ליבום], ולא משום שקדם.</w:t>
      </w:r>
    </w:p>
  </w:footnote>
  <w:footnote w:id="527">
    <w:p w14:paraId="113C47E7" w14:textId="77777777" w:rsidR="00BE1D1C" w:rsidRDefault="00000000" w:rsidP="00012502">
      <w:pPr>
        <w:pStyle w:val="Footnote"/>
        <w:bidi/>
      </w:pPr>
      <w:r>
        <w:rPr>
          <w:rStyle w:val="ac"/>
          <w:rtl/>
        </w:rPr>
        <w:footnoteRef/>
      </w:r>
      <w:r>
        <w:rPr>
          <w:rtl/>
        </w:rPr>
        <w:t>אבל ה</w:t>
      </w:r>
      <w:r>
        <w:rPr>
          <w:b/>
          <w:bCs/>
          <w:rtl/>
        </w:rPr>
        <w:t>רשב"א</w:t>
      </w:r>
      <w:r>
        <w:rPr>
          <w:rtl/>
        </w:rPr>
        <w:t xml:space="preserve"> (גיטין פב:) כתב דאיירי במתו בבת אחת, דאל"כ נימא נאסרה.</w:t>
      </w:r>
    </w:p>
  </w:footnote>
  <w:footnote w:id="528">
    <w:p w14:paraId="509F2409" w14:textId="77777777" w:rsidR="00BE1D1C" w:rsidRDefault="00000000" w:rsidP="00012502">
      <w:pPr>
        <w:pStyle w:val="Footnote"/>
        <w:bidi/>
      </w:pPr>
      <w:r>
        <w:rPr>
          <w:rStyle w:val="ac"/>
          <w:rtl/>
        </w:rPr>
        <w:footnoteRef/>
      </w:r>
      <w:r>
        <w:rPr>
          <w:rtl/>
        </w:rPr>
        <w:t>וה</w:t>
      </w:r>
      <w:r>
        <w:rPr>
          <w:b/>
          <w:bCs/>
          <w:rtl/>
        </w:rPr>
        <w:t>חזו"א</w:t>
      </w:r>
      <w:r>
        <w:rPr>
          <w:rtl/>
        </w:rPr>
        <w:t xml:space="preserve"> הוסיף דאפי' אם קידשה שמעון לאחר מיתת ראובן נחשבת אשת ב' מתים.</w:t>
      </w:r>
    </w:p>
  </w:footnote>
  <w:footnote w:id="529">
    <w:p w14:paraId="0436532D" w14:textId="77777777" w:rsidR="00BE1D1C" w:rsidRDefault="00000000" w:rsidP="00012502">
      <w:pPr>
        <w:pStyle w:val="Footnote"/>
        <w:bidi/>
      </w:pPr>
      <w:r>
        <w:rPr>
          <w:rStyle w:val="ac"/>
          <w:rtl/>
        </w:rPr>
        <w:footnoteRef/>
      </w:r>
      <w:r>
        <w:rPr>
          <w:rtl/>
        </w:rPr>
        <w:t>וכתב דלא פטרה לאשת ראובן, דהוה ערוה לאחר נפילה, דבשעת אישות ראובן לא היתה ערות אשת ב' מתים.</w:t>
      </w:r>
    </w:p>
  </w:footnote>
  <w:footnote w:id="530">
    <w:p w14:paraId="33219A06" w14:textId="77777777" w:rsidR="00BE1D1C" w:rsidRDefault="00000000" w:rsidP="00012502">
      <w:pPr>
        <w:pStyle w:val="Footnote"/>
        <w:bidi/>
      </w:pPr>
      <w:r>
        <w:rPr>
          <w:rStyle w:val="ac"/>
          <w:rtl/>
        </w:rPr>
        <w:footnoteRef/>
      </w:r>
      <w:r>
        <w:rPr>
          <w:rtl/>
        </w:rPr>
        <w:t>ובתחילת דבריו (שם) הביא הקה"י דכשמת שמעון בחיי ראובן, נחשב שראובן ממשיך אישות שמעון. ואח"כ כשמת ראובן נחשב שנופל ב' גדרי אישות, ולכן נחשב אשת ב' מתים.</w:t>
      </w:r>
    </w:p>
  </w:footnote>
  <w:footnote w:id="531">
    <w:p w14:paraId="2B1EA642" w14:textId="77777777" w:rsidR="00BE1D1C" w:rsidRDefault="00000000" w:rsidP="00012502">
      <w:pPr>
        <w:pStyle w:val="Footnote"/>
        <w:bidi/>
      </w:pPr>
      <w:r>
        <w:rPr>
          <w:rStyle w:val="ac"/>
          <w:rtl/>
        </w:rPr>
        <w:footnoteRef/>
      </w:r>
      <w:r>
        <w:rPr>
          <w:rtl/>
        </w:rPr>
        <w:t>וגרע מעריות.</w:t>
      </w:r>
    </w:p>
  </w:footnote>
  <w:footnote w:id="532">
    <w:p w14:paraId="51DCEFCB" w14:textId="77777777" w:rsidR="00BE1D1C" w:rsidRDefault="00000000" w:rsidP="00012502">
      <w:pPr>
        <w:pStyle w:val="Footnote"/>
        <w:bidi/>
      </w:pPr>
      <w:r>
        <w:rPr>
          <w:rStyle w:val="ac"/>
          <w:rtl/>
        </w:rPr>
        <w:footnoteRef/>
      </w:r>
      <w:r>
        <w:rPr>
          <w:rtl/>
        </w:rPr>
        <w:t>ודלא כברייתא (גיטין פג) [הו' בתוס' לעיל ע"פ המהרש"ל].</w:t>
      </w:r>
    </w:p>
  </w:footnote>
  <w:footnote w:id="533">
    <w:p w14:paraId="23E812F8" w14:textId="77777777" w:rsidR="00BE1D1C" w:rsidRDefault="00000000" w:rsidP="00012502">
      <w:pPr>
        <w:pStyle w:val="Footnote"/>
        <w:bidi/>
      </w:pPr>
      <w:r>
        <w:rPr>
          <w:rStyle w:val="ac"/>
          <w:rtl/>
        </w:rPr>
        <w:footnoteRef/>
      </w:r>
      <w:r>
        <w:rPr>
          <w:rtl/>
        </w:rPr>
        <w:t>ולפ"ז מבואר בתוס' דהמגרש ע"מ יכול לגרש שוב להתירה גמרי, אבל ב</w:t>
      </w:r>
      <w:r>
        <w:rPr>
          <w:b/>
          <w:bCs/>
          <w:rtl/>
        </w:rPr>
        <w:t>שו"ת הרא"ש</w:t>
      </w:r>
      <w:r>
        <w:rPr>
          <w:rtl/>
        </w:rPr>
        <w:t xml:space="preserve"> (מה כו, והו' ב</w:t>
      </w:r>
      <w:r>
        <w:rPr>
          <w:b/>
          <w:bCs/>
          <w:rtl/>
        </w:rPr>
        <w:t>שו"ע</w:t>
      </w:r>
      <w:r>
        <w:rPr>
          <w:rtl/>
        </w:rPr>
        <w:t xml:space="preserve"> קמג טז) כתב דאין תקנה להתיר. וה</w:t>
      </w:r>
      <w:r>
        <w:rPr>
          <w:b/>
          <w:bCs/>
          <w:rtl/>
        </w:rPr>
        <w:t>מהרי"ט</w:t>
      </w:r>
      <w:r>
        <w:rPr>
          <w:rtl/>
        </w:rPr>
        <w:t xml:space="preserve"> (א מט,נ) האריך לחלוק. ע"ע אבנ"מ (קמג ב) ושער"י (ז יח).</w:t>
      </w:r>
    </w:p>
  </w:footnote>
  <w:footnote w:id="534">
    <w:p w14:paraId="192C6DDE" w14:textId="77777777" w:rsidR="00BE1D1C" w:rsidRDefault="00000000" w:rsidP="00012502">
      <w:pPr>
        <w:pStyle w:val="Footnote"/>
        <w:bidi/>
      </w:pPr>
      <w:r>
        <w:rPr>
          <w:rStyle w:val="ac"/>
          <w:rtl/>
        </w:rPr>
        <w:footnoteRef/>
      </w:r>
      <w:r>
        <w:rPr>
          <w:rtl/>
        </w:rPr>
        <w:t>[וכמ"ש ב</w:t>
      </w:r>
      <w:r>
        <w:rPr>
          <w:b/>
          <w:bCs/>
          <w:rtl/>
        </w:rPr>
        <w:t>שו"ת הרא"ש</w:t>
      </w:r>
      <w:r>
        <w:rPr>
          <w:rtl/>
        </w:rPr>
        <w:t xml:space="preserve"> (מו ב) דתנאי מילתא אחריתי, ומהני למחול ולבטל את התנאי. אכמ"ל].</w:t>
      </w:r>
    </w:p>
  </w:footnote>
  <w:footnote w:id="535">
    <w:p w14:paraId="587F92D9" w14:textId="77777777" w:rsidR="00BE1D1C" w:rsidRDefault="00000000" w:rsidP="00012502">
      <w:pPr>
        <w:pStyle w:val="Footnote"/>
        <w:bidi/>
      </w:pPr>
      <w:r>
        <w:rPr>
          <w:rStyle w:val="ac"/>
          <w:rtl/>
        </w:rPr>
        <w:footnoteRef/>
      </w:r>
      <w:r>
        <w:rPr>
          <w:rtl/>
        </w:rPr>
        <w:t>וכ"כ ה</w:t>
      </w:r>
      <w:r>
        <w:rPr>
          <w:b/>
          <w:bCs/>
          <w:rtl/>
        </w:rPr>
        <w:t>נוב"י</w:t>
      </w:r>
      <w:r>
        <w:rPr>
          <w:rtl/>
        </w:rPr>
        <w:t xml:space="preserve"> (אה"ע ת ס"ס קנ) בשם תוס'. והנוב"י כתב לחלוק [על תוס'] דכוונת הירושלמי דבאמת לא פטרה לצרה.</w:t>
      </w:r>
    </w:p>
  </w:footnote>
  <w:footnote w:id="536">
    <w:p w14:paraId="31316753" w14:textId="77777777" w:rsidR="00BE1D1C" w:rsidRDefault="00000000" w:rsidP="00012502">
      <w:pPr>
        <w:pStyle w:val="Footnote"/>
        <w:bidi/>
      </w:pPr>
      <w:r>
        <w:rPr>
          <w:rStyle w:val="ac"/>
          <w:rtl/>
        </w:rPr>
        <w:footnoteRef/>
      </w:r>
      <w:r>
        <w:rPr>
          <w:rtl/>
        </w:rPr>
        <w:t>אך לרבי דילפי' ולקחה הדרא קו'. [ואילו לדברי היש"ש י"ל דתוס' קאי אליבא דרבי, דמש"ה לא תנא לה. ואילו למ"ד דיליף לצרור בלאו הכי ל"ד לאחות אשה, וכמ"ש תוס' לעיל. ולפ"ז לא פליגי לדינא].</w:t>
      </w:r>
    </w:p>
  </w:footnote>
  <w:footnote w:id="537">
    <w:p w14:paraId="4F55A27C" w14:textId="77777777" w:rsidR="00BE1D1C" w:rsidRDefault="00000000" w:rsidP="00012502">
      <w:pPr>
        <w:pStyle w:val="Footnote"/>
        <w:bidi/>
      </w:pPr>
      <w:r>
        <w:rPr>
          <w:rStyle w:val="ac"/>
          <w:rtl/>
        </w:rPr>
        <w:footnoteRef/>
      </w:r>
      <w:r>
        <w:rPr>
          <w:rtl/>
        </w:rPr>
        <w:t>[לר' גמליאל לקמן קט, ע"ע לקמן יח].</w:t>
      </w:r>
    </w:p>
  </w:footnote>
  <w:footnote w:id="538">
    <w:p w14:paraId="234745E4" w14:textId="77777777" w:rsidR="00BE1D1C" w:rsidRDefault="00000000" w:rsidP="00012502">
      <w:pPr>
        <w:pStyle w:val="Footnote"/>
        <w:bidi/>
      </w:pPr>
      <w:r>
        <w:rPr>
          <w:rStyle w:val="ac"/>
          <w:rtl/>
        </w:rPr>
        <w:footnoteRef/>
      </w:r>
      <w:r>
        <w:rPr>
          <w:rtl/>
        </w:rPr>
        <w:t>ולא דמי לשומרת יבם דקידש את אחותה אין תקנה להרוג אחותה.</w:t>
      </w:r>
    </w:p>
  </w:footnote>
  <w:footnote w:id="539">
    <w:p w14:paraId="00510350" w14:textId="77777777" w:rsidR="00BE1D1C" w:rsidRDefault="00000000" w:rsidP="00012502">
      <w:pPr>
        <w:pStyle w:val="Footnote"/>
        <w:bidi/>
      </w:pPr>
      <w:r>
        <w:rPr>
          <w:rStyle w:val="ac"/>
          <w:rtl/>
        </w:rPr>
        <w:footnoteRef/>
      </w:r>
      <w:r>
        <w:rPr>
          <w:rtl/>
        </w:rPr>
        <w:t>וה</w:t>
      </w:r>
      <w:r>
        <w:rPr>
          <w:b/>
          <w:bCs/>
          <w:rtl/>
        </w:rPr>
        <w:t>נוב"י</w:t>
      </w:r>
      <w:r>
        <w:rPr>
          <w:rtl/>
        </w:rPr>
        <w:t xml:space="preserve"> כתב דזהו תי' הירושלמי, אבל תוס' (לעיל) נקטו דהיא עצמה ודאי פטורה, וכל הנידון כלפי הצרה.</w:t>
      </w:r>
    </w:p>
  </w:footnote>
  <w:footnote w:id="540">
    <w:p w14:paraId="3EF8D27A" w14:textId="77777777" w:rsidR="00BE1D1C" w:rsidRDefault="00000000" w:rsidP="00012502">
      <w:pPr>
        <w:pStyle w:val="Footnote"/>
        <w:bidi/>
      </w:pPr>
      <w:r>
        <w:rPr>
          <w:rStyle w:val="ac"/>
          <w:rtl/>
        </w:rPr>
        <w:footnoteRef/>
      </w:r>
      <w:r>
        <w:rPr>
          <w:rtl/>
        </w:rPr>
        <w:t>וב</w:t>
      </w:r>
      <w:r>
        <w:rPr>
          <w:b/>
          <w:bCs/>
          <w:rtl/>
        </w:rPr>
        <w:t>הג' חש"ל</w:t>
      </w:r>
      <w:r>
        <w:rPr>
          <w:rtl/>
        </w:rPr>
        <w:t xml:space="preserve"> כת' דאף אם אינו מתייחס אחריו לשאר מילי, לענין יבום חשיב בן, כדדרשי' (לקמן כב) דלענין יבום כל שיש לו בן מכל מקום.</w:t>
      </w:r>
    </w:p>
  </w:footnote>
  <w:footnote w:id="541">
    <w:p w14:paraId="6AAF77EC" w14:textId="77777777" w:rsidR="00BE1D1C" w:rsidRDefault="00000000" w:rsidP="00012502">
      <w:pPr>
        <w:pStyle w:val="Footnote"/>
        <w:bidi/>
      </w:pPr>
      <w:r>
        <w:rPr>
          <w:rStyle w:val="ac"/>
          <w:rtl/>
        </w:rPr>
        <w:footnoteRef/>
      </w:r>
      <w:r>
        <w:rPr>
          <w:rtl/>
        </w:rPr>
        <w:t>וב</w:t>
      </w:r>
      <w:r>
        <w:rPr>
          <w:b/>
          <w:bCs/>
          <w:rtl/>
        </w:rPr>
        <w:t>הג' חש"ל</w:t>
      </w:r>
      <w:r>
        <w:rPr>
          <w:rtl/>
        </w:rPr>
        <w:t xml:space="preserve"> כת' דאפשר דכה"ג תלי' שזינתה עם אחר, ולא תלינן דנתעברה ע"י כה"ג. וציין דכ"כ בס' בני אהובה (אישות טו ו).</w:t>
      </w:r>
    </w:p>
  </w:footnote>
  <w:footnote w:id="542">
    <w:p w14:paraId="68988CA5" w14:textId="77777777" w:rsidR="00BE1D1C" w:rsidRDefault="00000000" w:rsidP="00012502">
      <w:pPr>
        <w:pStyle w:val="Footnote"/>
        <w:bidi/>
      </w:pPr>
      <w:r>
        <w:rPr>
          <w:rStyle w:val="ac"/>
          <w:rtl/>
        </w:rPr>
        <w:footnoteRef/>
      </w:r>
      <w:r>
        <w:rPr>
          <w:rtl/>
        </w:rPr>
        <w:t>ואע"ג דאם עבר וקידש ל"מ, שאינה לקוחתו לשום דבר ואי"צ גט, מ"מ מתחייב.</w:t>
      </w:r>
    </w:p>
  </w:footnote>
  <w:footnote w:id="543">
    <w:p w14:paraId="3F589612" w14:textId="77777777" w:rsidR="00BE1D1C" w:rsidRDefault="00000000" w:rsidP="00012502">
      <w:pPr>
        <w:pStyle w:val="Footnote"/>
        <w:bidi/>
      </w:pPr>
      <w:r>
        <w:rPr>
          <w:rStyle w:val="ac"/>
          <w:rtl/>
        </w:rPr>
        <w:footnoteRef/>
      </w:r>
      <w:r>
        <w:rPr>
          <w:rtl/>
        </w:rPr>
        <w:t>וכן בגמ' (קידושין סז:) יש ס"ד דלא יקח הוה לכתחילה, פ</w:t>
      </w:r>
      <w:r>
        <w:rPr>
          <w:b/>
          <w:bCs/>
          <w:rtl/>
        </w:rPr>
        <w:t>רש"י</w:t>
      </w:r>
      <w:r>
        <w:rPr>
          <w:rtl/>
        </w:rPr>
        <w:t xml:space="preserve"> אזהרה שלא יקדש. והגמ' מביאה דרשא אחרת דלא תפסי קידושין. [עי"ש רשב"א ותוס' רא"ש]. והאחרונים ביארו דתוס' דידן קאי למסקנא, דילפי' דלא תפסי קידושין, ועי"ז שוב ליכא איסור.</w:t>
      </w:r>
    </w:p>
  </w:footnote>
  <w:footnote w:id="544">
    <w:p w14:paraId="4481FB3E" w14:textId="77777777" w:rsidR="00BE1D1C" w:rsidRDefault="00000000" w:rsidP="00012502">
      <w:pPr>
        <w:pStyle w:val="Footnote"/>
        <w:bidi/>
      </w:pPr>
      <w:r>
        <w:rPr>
          <w:rStyle w:val="ac"/>
          <w:rtl/>
        </w:rPr>
        <w:footnoteRef/>
      </w:r>
      <w:r>
        <w:rPr>
          <w:rtl/>
        </w:rPr>
        <w:t>והמנח"ח (בקומץ שם) הביא ס"ד דהגמ' (הנ"ל).</w:t>
      </w:r>
    </w:p>
  </w:footnote>
  <w:footnote w:id="545">
    <w:p w14:paraId="49905709" w14:textId="77777777" w:rsidR="00BE1D1C" w:rsidRDefault="00000000" w:rsidP="00012502">
      <w:pPr>
        <w:pStyle w:val="Footnote"/>
        <w:bidi/>
      </w:pPr>
      <w:r>
        <w:rPr>
          <w:rStyle w:val="ac"/>
          <w:rtl/>
        </w:rPr>
        <w:footnoteRef/>
      </w:r>
      <w:r>
        <w:rPr>
          <w:rtl/>
        </w:rPr>
        <w:t>ויש שדחו דמשכח"ל שקידש בשוגג, שלא ידע שהיא אסורה עליו. ולדעת אביי דעצם הקידושין והאישות הוה איסור, והאיסור רובץ עליו אף שקידש בשוגג. אבל לדעת רבא מעשה הקידושין הוה איסור, וכיון דהיה שוגג בשעת מעשה הקידושין נחשב דליכא עבירה.</w:t>
      </w:r>
    </w:p>
  </w:footnote>
  <w:footnote w:id="546">
    <w:p w14:paraId="4167C21F" w14:textId="77777777" w:rsidR="00BE1D1C" w:rsidRDefault="00000000" w:rsidP="00012502">
      <w:pPr>
        <w:pStyle w:val="Footnote"/>
        <w:bidi/>
      </w:pPr>
      <w:r>
        <w:rPr>
          <w:rStyle w:val="ac"/>
          <w:rtl/>
        </w:rPr>
        <w:footnoteRef/>
      </w:r>
      <w:r>
        <w:rPr>
          <w:rtl/>
        </w:rPr>
        <w:t>והביאו דה</w:t>
      </w:r>
      <w:r>
        <w:rPr>
          <w:b/>
          <w:bCs/>
          <w:rtl/>
        </w:rPr>
        <w:t>ריטב"א</w:t>
      </w:r>
      <w:r>
        <w:rPr>
          <w:rtl/>
        </w:rPr>
        <w:t xml:space="preserve"> (קידושין מב:) מבואר דאין איסור לקדש [אפי' פסולי כהונה].</w:t>
      </w:r>
    </w:p>
  </w:footnote>
  <w:footnote w:id="547">
    <w:p w14:paraId="448EEE89" w14:textId="77777777" w:rsidR="00BE1D1C" w:rsidRDefault="00000000" w:rsidP="00012502">
      <w:pPr>
        <w:pStyle w:val="Footnote"/>
        <w:bidi/>
      </w:pPr>
      <w:r>
        <w:rPr>
          <w:rStyle w:val="ac"/>
          <w:rtl/>
        </w:rPr>
        <w:footnoteRef/>
      </w:r>
      <w:r>
        <w:rPr>
          <w:rtl/>
        </w:rPr>
        <w:t>אך דחו דיל"פ דהתם קאי על הברייתא דנתמעט מקרא, ושפיר איצטריך מיעוט קודם שגזרו מדרבנן שלא ישא. [אבל לאחר שתקנו חכמים שוב לא איצטריך].</w:t>
      </w:r>
    </w:p>
  </w:footnote>
  <w:footnote w:id="548">
    <w:p w14:paraId="3A61DE5A" w14:textId="77777777" w:rsidR="00BE1D1C" w:rsidRDefault="00000000" w:rsidP="00012502">
      <w:pPr>
        <w:pStyle w:val="Footnote"/>
        <w:bidi/>
      </w:pPr>
      <w:r>
        <w:rPr>
          <w:rStyle w:val="ac"/>
          <w:rtl/>
        </w:rPr>
        <w:footnoteRef/>
      </w:r>
      <w:r>
        <w:rPr>
          <w:rtl/>
        </w:rPr>
        <w:t>ומשמע דרשאי לקדש אם אין בדעתו לישא, וכגון בכדי להאכיל בתרומה וכדו'. וכ"כ ה</w:t>
      </w:r>
      <w:r>
        <w:rPr>
          <w:b/>
          <w:bCs/>
          <w:rtl/>
        </w:rPr>
        <w:t>מרומי שדה</w:t>
      </w:r>
      <w:r>
        <w:rPr>
          <w:rtl/>
        </w:rPr>
        <w:t xml:space="preserve"> (סוטה מד.).</w:t>
      </w:r>
    </w:p>
  </w:footnote>
  <w:footnote w:id="549">
    <w:p w14:paraId="579C01B4" w14:textId="77777777" w:rsidR="00BE1D1C" w:rsidRDefault="00000000" w:rsidP="00012502">
      <w:pPr>
        <w:pStyle w:val="Footnote"/>
        <w:bidi/>
      </w:pPr>
      <w:r>
        <w:rPr>
          <w:rStyle w:val="ac"/>
          <w:rtl/>
        </w:rPr>
        <w:footnoteRef/>
      </w:r>
      <w:r>
        <w:rPr>
          <w:rtl/>
        </w:rPr>
        <w:t>וצ"ב דנימא דקידש שלא ע"ד לישאנה. וי"ל דאינו מצוי, וסתם קידושין ע"ד לישא. ועוד דהמקדש אשה משתעבד לישאנה, ואינו רשאי לקדש שלא ע"ד לישא [דמתחייב בדבר שאין דעתו לקיים].</w:t>
      </w:r>
    </w:p>
  </w:footnote>
  <w:footnote w:id="550">
    <w:p w14:paraId="16FA3C85" w14:textId="77777777" w:rsidR="00BE1D1C" w:rsidRDefault="00000000" w:rsidP="00012502">
      <w:pPr>
        <w:pStyle w:val="Footnote"/>
        <w:bidi/>
      </w:pPr>
      <w:r>
        <w:rPr>
          <w:rStyle w:val="ac"/>
          <w:rtl/>
        </w:rPr>
        <w:footnoteRef/>
      </w:r>
      <w:r>
        <w:rPr>
          <w:rtl/>
        </w:rPr>
        <w:t>ואילו ב</w:t>
      </w:r>
      <w:r>
        <w:rPr>
          <w:b/>
          <w:bCs/>
          <w:rtl/>
        </w:rPr>
        <w:t>חי' ר"א מן ההר</w:t>
      </w:r>
      <w:r>
        <w:rPr>
          <w:rtl/>
        </w:rPr>
        <w:t xml:space="preserve"> (מט:) כתב דנושא חלוצתו לא נחשב שאר.</w:t>
      </w:r>
    </w:p>
  </w:footnote>
  <w:footnote w:id="551">
    <w:p w14:paraId="18F083E6" w14:textId="77777777" w:rsidR="00BE1D1C" w:rsidRDefault="00000000" w:rsidP="00012502">
      <w:pPr>
        <w:pStyle w:val="Footnote"/>
        <w:bidi/>
      </w:pPr>
      <w:r>
        <w:rPr>
          <w:rStyle w:val="ac"/>
          <w:rtl/>
        </w:rPr>
        <w:footnoteRef/>
      </w:r>
      <w:r>
        <w:rPr>
          <w:rtl/>
        </w:rPr>
        <w:t>והביא מהא דקי"ל (לקמן לו.) ביבמה מעוברת, שהולד אינו פוטר עד שיצא לאויר העולם. ואף דעכשיו ליכא מצוות יבום מ"מ ליכא 'פטור'.</w:t>
      </w:r>
    </w:p>
  </w:footnote>
  <w:footnote w:id="552">
    <w:p w14:paraId="5E00D044" w14:textId="77777777" w:rsidR="00BE1D1C" w:rsidRDefault="00000000" w:rsidP="00012502">
      <w:pPr>
        <w:pStyle w:val="Footnote"/>
        <w:bidi/>
      </w:pPr>
      <w:r>
        <w:rPr>
          <w:rStyle w:val="ac"/>
          <w:rtl/>
        </w:rPr>
        <w:footnoteRef/>
      </w:r>
      <w:r>
        <w:rPr>
          <w:rtl/>
        </w:rPr>
        <w:t>ולדברי ה</w:t>
      </w:r>
      <w:r>
        <w:rPr>
          <w:b/>
          <w:bCs/>
          <w:rtl/>
        </w:rPr>
        <w:t>חזו"א</w:t>
      </w:r>
      <w:r>
        <w:rPr>
          <w:rtl/>
        </w:rPr>
        <w:t xml:space="preserve"> (קלא ה) בכל נפילה שניה מהני היבום אף כלפי הראשון, אבל אל"כ היה אוסר. והכא אינו נחשב יבום לאישות הראשון.</w:t>
      </w:r>
    </w:p>
  </w:footnote>
  <w:footnote w:id="553">
    <w:p w14:paraId="6042A601" w14:textId="77777777" w:rsidR="00BE1D1C" w:rsidRDefault="00000000" w:rsidP="00012502">
      <w:pPr>
        <w:pStyle w:val="Footnote"/>
        <w:bidi/>
      </w:pPr>
      <w:r>
        <w:rPr>
          <w:rStyle w:val="ac"/>
          <w:rtl/>
        </w:rPr>
        <w:footnoteRef/>
      </w:r>
      <w:r>
        <w:rPr>
          <w:rtl/>
        </w:rPr>
        <w:t>[ויל"פ ע"פ דברי הירושלמי (הו' בסמוך) דמתברר דלא היתה זקוקה עליו].</w:t>
      </w:r>
    </w:p>
  </w:footnote>
  <w:footnote w:id="554">
    <w:p w14:paraId="77E76461" w14:textId="77777777" w:rsidR="00BE1D1C" w:rsidRDefault="00000000" w:rsidP="00012502">
      <w:pPr>
        <w:pStyle w:val="Footnote"/>
        <w:bidi/>
      </w:pPr>
      <w:r>
        <w:rPr>
          <w:rStyle w:val="ac"/>
          <w:rtl/>
        </w:rPr>
        <w:footnoteRef/>
      </w:r>
      <w:r>
        <w:rPr>
          <w:rtl/>
        </w:rPr>
        <w:t>ומשמע דהגדר שזקוקה בין ליבום ובין לחליצה, אלא דיש איסור ביבום. ולא שיש זיקה רק לחליצה.</w:t>
      </w:r>
    </w:p>
    <w:p w14:paraId="0302CC49" w14:textId="77777777" w:rsidR="00BE1D1C" w:rsidRDefault="00000000" w:rsidP="00012502">
      <w:pPr>
        <w:pStyle w:val="Footnote"/>
        <w:bidi/>
      </w:pPr>
      <w:r>
        <w:rPr>
          <w:rtl/>
        </w:rPr>
        <w:tab/>
        <w:t xml:space="preserve">אך יל"ד דהכא הטעם דמדאורייתא אינה מתייבמת הוה משום ק"ו דהמותר לה נאסרה [וכמש"כ </w:t>
      </w:r>
      <w:r>
        <w:rPr>
          <w:b/>
          <w:bCs/>
          <w:rtl/>
        </w:rPr>
        <w:t>תוס</w:t>
      </w:r>
      <w:r>
        <w:rPr>
          <w:rtl/>
        </w:rPr>
        <w:t>' (יא. ד"ה צריכה)], ולכאורה הוה חסרון בגוף הזיקה. ולא רק איסור חיצוני. [וע"ע לקמן יא. ויא: דדנו הפוסקים האם במקום ק"ו נחשב שנופלת ליבום].</w:t>
      </w:r>
    </w:p>
  </w:footnote>
  <w:footnote w:id="555">
    <w:p w14:paraId="1D63C77E" w14:textId="77777777" w:rsidR="00BE1D1C" w:rsidRDefault="00000000" w:rsidP="00012502">
      <w:pPr>
        <w:pStyle w:val="Footnote"/>
        <w:bidi/>
      </w:pPr>
      <w:r>
        <w:rPr>
          <w:rStyle w:val="ac"/>
          <w:rtl/>
        </w:rPr>
        <w:footnoteRef/>
      </w:r>
      <w:r>
        <w:rPr>
          <w:rtl/>
        </w:rPr>
        <w:t>וכתב דהוה בחייבי לאוין אף לאחין, ואינה פוטרת צרתה. [משמע דאין איסור אשת אח, וכ"כ ה</w:t>
      </w:r>
      <w:r>
        <w:rPr>
          <w:b/>
          <w:bCs/>
          <w:rtl/>
        </w:rPr>
        <w:t xml:space="preserve">מאירי </w:t>
      </w:r>
      <w:r>
        <w:rPr>
          <w:rtl/>
        </w:rPr>
        <w:t>לקמן כ:].</w:t>
      </w:r>
    </w:p>
  </w:footnote>
  <w:footnote w:id="556">
    <w:p w14:paraId="17E8DE62" w14:textId="77777777" w:rsidR="00BE1D1C" w:rsidRDefault="00000000" w:rsidP="00012502">
      <w:pPr>
        <w:pStyle w:val="Footnote"/>
        <w:bidi/>
      </w:pPr>
      <w:r>
        <w:rPr>
          <w:rStyle w:val="ac"/>
          <w:rtl/>
        </w:rPr>
        <w:footnoteRef/>
      </w:r>
      <w:r>
        <w:rPr>
          <w:rtl/>
        </w:rPr>
        <w:t>וה</w:t>
      </w:r>
      <w:r>
        <w:rPr>
          <w:b/>
          <w:bCs/>
          <w:rtl/>
        </w:rPr>
        <w:t>רש"ש</w:t>
      </w:r>
      <w:r>
        <w:rPr>
          <w:rtl/>
        </w:rPr>
        <w:t xml:space="preserve"> כת' דרש"י לא פירש כן, דהגמ' נקטה לשון זכר, ואי קאי אצרות הו"ל לנקוט לשון נקיבה.</w:t>
      </w:r>
    </w:p>
  </w:footnote>
  <w:footnote w:id="557">
    <w:p w14:paraId="5BA80328" w14:textId="77777777" w:rsidR="00BE1D1C" w:rsidRDefault="00000000" w:rsidP="00012502">
      <w:pPr>
        <w:pStyle w:val="Footnote"/>
        <w:bidi/>
      </w:pPr>
      <w:r>
        <w:rPr>
          <w:rStyle w:val="ac"/>
          <w:rtl/>
        </w:rPr>
        <w:footnoteRef/>
      </w:r>
      <w:r>
        <w:rPr>
          <w:rtl/>
        </w:rPr>
        <w:t>ודוקא ל"ת ועשה מדאורייתא חולצת ולא מתייבמת.</w:t>
      </w:r>
    </w:p>
  </w:footnote>
  <w:footnote w:id="558">
    <w:p w14:paraId="578E0027" w14:textId="77777777" w:rsidR="00BE1D1C" w:rsidRDefault="00000000" w:rsidP="00012502">
      <w:pPr>
        <w:pStyle w:val="Footnote"/>
        <w:bidi/>
      </w:pPr>
      <w:r>
        <w:rPr>
          <w:rStyle w:val="ac"/>
          <w:rtl/>
        </w:rPr>
        <w:footnoteRef/>
      </w:r>
      <w:r>
        <w:rPr>
          <w:rtl/>
        </w:rPr>
        <w:t xml:space="preserve">ועד"ז משמע מדברי </w:t>
      </w:r>
      <w:r>
        <w:rPr>
          <w:b/>
          <w:bCs/>
          <w:rtl/>
        </w:rPr>
        <w:t>רש"י</w:t>
      </w:r>
      <w:r>
        <w:rPr>
          <w:rtl/>
        </w:rPr>
        <w:t xml:space="preserve"> (ט: ד"ה והאמר, וט. ד"ה והרי). וע"ע רש"י (לקמן כ. במשנה).</w:t>
      </w:r>
    </w:p>
  </w:footnote>
  <w:footnote w:id="559">
    <w:p w14:paraId="7DA8C436" w14:textId="77777777" w:rsidR="00BE1D1C" w:rsidRDefault="00000000" w:rsidP="00012502">
      <w:pPr>
        <w:pStyle w:val="Footnote"/>
        <w:bidi/>
      </w:pPr>
      <w:r>
        <w:rPr>
          <w:rStyle w:val="ac"/>
          <w:rtl/>
        </w:rPr>
        <w:footnoteRef/>
      </w:r>
      <w:r>
        <w:rPr>
          <w:rtl/>
        </w:rPr>
        <w:t>וצ"ב וכי הוה איסור מחמת 'חלוצת אחיו', אלא משום אישות הראשון. ולכאו' כוונתו דס"ד דע"י קידושין הוה המשך אישות דאחיו, ועי"ז שייך יבום לראשון.</w:t>
      </w:r>
    </w:p>
  </w:footnote>
  <w:footnote w:id="560">
    <w:p w14:paraId="4E7C48F9" w14:textId="77777777" w:rsidR="00BE1D1C" w:rsidRDefault="00000000" w:rsidP="00012502">
      <w:pPr>
        <w:pStyle w:val="Footnote"/>
        <w:bidi/>
      </w:pPr>
      <w:r>
        <w:rPr>
          <w:rStyle w:val="ac"/>
          <w:rtl/>
        </w:rPr>
        <w:footnoteRef/>
      </w:r>
      <w:r>
        <w:rPr>
          <w:rtl/>
        </w:rPr>
        <w:t>וה</w:t>
      </w:r>
      <w:r>
        <w:rPr>
          <w:b/>
          <w:bCs/>
          <w:rtl/>
        </w:rPr>
        <w:t>מל"ה</w:t>
      </w:r>
      <w:r>
        <w:rPr>
          <w:rtl/>
        </w:rPr>
        <w:t xml:space="preserve"> הק' דבקידושין לחוד ל"ש הקמת שם, וא"כ מה שייך לא יבנה, ואמאי חשיב בניית היבמה.</w:t>
      </w:r>
    </w:p>
  </w:footnote>
  <w:footnote w:id="561">
    <w:p w14:paraId="11084DF4" w14:textId="77777777" w:rsidR="00BE1D1C" w:rsidRDefault="00000000" w:rsidP="00012502">
      <w:pPr>
        <w:pStyle w:val="Footnote"/>
        <w:bidi/>
      </w:pPr>
      <w:r>
        <w:rPr>
          <w:rStyle w:val="ac"/>
          <w:rtl/>
        </w:rPr>
        <w:footnoteRef/>
      </w:r>
      <w:r>
        <w:rPr>
          <w:rtl/>
        </w:rPr>
        <w:t>וכ"כ ה</w:t>
      </w:r>
      <w:r>
        <w:rPr>
          <w:b/>
          <w:bCs/>
          <w:rtl/>
        </w:rPr>
        <w:t>מאירי</w:t>
      </w:r>
      <w:r>
        <w:rPr>
          <w:rtl/>
        </w:rPr>
        <w:t xml:space="preserve"> דכיון שהוציאה הכתוב וניתק, לא לו בלבד אלא אף לאחים, ואף על הצרות.</w:t>
      </w:r>
    </w:p>
  </w:footnote>
  <w:footnote w:id="562">
    <w:p w14:paraId="06A346C9" w14:textId="77777777" w:rsidR="00BE1D1C" w:rsidRDefault="00000000" w:rsidP="00012502">
      <w:pPr>
        <w:pStyle w:val="Footnote"/>
        <w:bidi/>
      </w:pPr>
      <w:r>
        <w:rPr>
          <w:rStyle w:val="ac"/>
          <w:rtl/>
        </w:rPr>
        <w:footnoteRef/>
      </w:r>
      <w:r>
        <w:rPr>
          <w:rtl/>
        </w:rPr>
        <w:t>ונפק"מ אם קידשה אחר מהשוק [למ"ד דאין קידושין תופסין ביבמה לקמן מט. וצב:], דאם חלץ או ייבם צרתה הקידושין תופסים למפרע. [אבל אל"כ לא תפסי קידו' ביבמה, כמ"ד צב:].</w:t>
      </w:r>
    </w:p>
  </w:footnote>
  <w:footnote w:id="563">
    <w:p w14:paraId="40DF48E3" w14:textId="77777777" w:rsidR="00BE1D1C" w:rsidRDefault="00000000" w:rsidP="00012502">
      <w:pPr>
        <w:pStyle w:val="Footnote"/>
        <w:bidi/>
      </w:pPr>
      <w:r>
        <w:rPr>
          <w:rStyle w:val="ac"/>
          <w:rtl/>
        </w:rPr>
        <w:footnoteRef/>
      </w:r>
      <w:r>
        <w:rPr>
          <w:rtl/>
        </w:rPr>
        <w:t>וב</w:t>
      </w:r>
      <w:r>
        <w:rPr>
          <w:b/>
          <w:bCs/>
          <w:rtl/>
        </w:rPr>
        <w:t>חי' ר' שמעון</w:t>
      </w:r>
      <w:r>
        <w:rPr>
          <w:rtl/>
        </w:rPr>
        <w:t xml:space="preserve"> (ה) ביאר דגדר היבום דכל האישות נתרוקן אליו.</w:t>
      </w:r>
    </w:p>
  </w:footnote>
  <w:footnote w:id="564">
    <w:p w14:paraId="50FC0B53" w14:textId="77777777" w:rsidR="00BE1D1C" w:rsidRDefault="00000000" w:rsidP="00012502">
      <w:pPr>
        <w:pStyle w:val="Footnote"/>
        <w:bidi/>
      </w:pPr>
      <w:r>
        <w:rPr>
          <w:rStyle w:val="ac"/>
          <w:rtl/>
        </w:rPr>
        <w:footnoteRef/>
      </w:r>
      <w:r>
        <w:rPr>
          <w:rtl/>
        </w:rPr>
        <w:t>וה</w:t>
      </w:r>
      <w:r>
        <w:rPr>
          <w:b/>
          <w:bCs/>
          <w:rtl/>
        </w:rPr>
        <w:t>ר"ש</w:t>
      </w:r>
      <w:r>
        <w:rPr>
          <w:rtl/>
        </w:rPr>
        <w:t xml:space="preserve"> וה</w:t>
      </w:r>
      <w:r>
        <w:rPr>
          <w:b/>
          <w:bCs/>
          <w:rtl/>
        </w:rPr>
        <w:t>ראב"ד</w:t>
      </w:r>
      <w:r>
        <w:rPr>
          <w:rtl/>
        </w:rPr>
        <w:t xml:space="preserve"> (לתור"כ אמור א א י) כת' דהתור"כ מסתפקת בזה, דבתור"כ אי' דצרה אסורה ליבם, ואפ"ה מותרת לכהונה דלא עשה בה מעשה. 'ואם נפשך לומר וכו'', וביארו דהתור"כ דוחה דאף צרה 'נעשה בה מעשה' שהרי שליחותא דצרה עבדה דאל"כ אמאי אסורה לחולץ. אלא משום שליחות אמרי' דכיון שלא בנה לא יבנה. [והגר"א בתור"כ ביאר באופ"א].</w:t>
      </w:r>
    </w:p>
  </w:footnote>
  <w:footnote w:id="565">
    <w:p w14:paraId="704B4757" w14:textId="77777777" w:rsidR="00BE1D1C" w:rsidRDefault="00000000" w:rsidP="00012502">
      <w:pPr>
        <w:pStyle w:val="Footnote"/>
        <w:bidi/>
      </w:pPr>
      <w:r>
        <w:rPr>
          <w:rStyle w:val="ac"/>
          <w:rtl/>
        </w:rPr>
        <w:footnoteRef/>
      </w:r>
      <w:r>
        <w:rPr>
          <w:rtl/>
        </w:rPr>
        <w:t>ומש"ה היכא דפסולה לא' מהאחים, ל"מ יבום של אחיו, דאיהו לא מצי עבד לא משווי שליח. [אבל אי לא הוה שליחות ממש, הא כת' תוס' (קידו' כג) דאף דכהנים הוה קצת שלוחי דידן, אפ"ה מהני].</w:t>
      </w:r>
    </w:p>
  </w:footnote>
  <w:footnote w:id="566">
    <w:p w14:paraId="12FCCCCB" w14:textId="77777777" w:rsidR="00BE1D1C" w:rsidRDefault="00000000" w:rsidP="00012502">
      <w:pPr>
        <w:pStyle w:val="Footnote"/>
        <w:bidi/>
      </w:pPr>
      <w:r>
        <w:rPr>
          <w:rStyle w:val="ac"/>
          <w:rtl/>
        </w:rPr>
        <w:footnoteRef/>
      </w:r>
      <w:r>
        <w:rPr>
          <w:rtl/>
        </w:rPr>
        <w:t>[ולפ"ז סברת 'מי איכא מידי', הוא סיבה והוכחה דכ"א צריכה היתר בחליצה].</w:t>
      </w:r>
    </w:p>
  </w:footnote>
  <w:footnote w:id="567">
    <w:p w14:paraId="074948B6" w14:textId="77777777" w:rsidR="00BE1D1C" w:rsidRDefault="00000000" w:rsidP="00012502">
      <w:pPr>
        <w:pStyle w:val="Footnote"/>
        <w:bidi/>
      </w:pPr>
      <w:r>
        <w:rPr>
          <w:rStyle w:val="ac"/>
          <w:rtl/>
        </w:rPr>
        <w:footnoteRef/>
      </w:r>
      <w:r>
        <w:rPr>
          <w:rtl/>
        </w:rPr>
        <w:t>וה</w:t>
      </w:r>
      <w:r>
        <w:rPr>
          <w:b/>
          <w:bCs/>
          <w:rtl/>
        </w:rPr>
        <w:t>אבנ"נ</w:t>
      </w:r>
      <w:r>
        <w:rPr>
          <w:rtl/>
        </w:rPr>
        <w:t xml:space="preserve"> (רכג יג) הוכיח עוד דמהני יבום א' האחים, אף כשאחיו עומד וצווח. דע"כ דלא הוה שליחות ממש.</w:t>
      </w:r>
    </w:p>
  </w:footnote>
  <w:footnote w:id="568">
    <w:p w14:paraId="2177341A" w14:textId="77777777" w:rsidR="00BE1D1C" w:rsidRDefault="00000000" w:rsidP="00012502">
      <w:pPr>
        <w:pStyle w:val="Footnote"/>
        <w:bidi/>
      </w:pPr>
      <w:r>
        <w:rPr>
          <w:rStyle w:val="ac"/>
          <w:rtl/>
        </w:rPr>
        <w:footnoteRef/>
      </w:r>
      <w:r>
        <w:rPr>
          <w:rtl/>
        </w:rPr>
        <w:t>והבית יצחק העלה צד דבעלמא כשיש אח א' ל"מ תנאי בחליצה, דליתא בשליחות. אבל כשיש ב' אחים מהני תנאי בחליצה דיש שליחות.</w:t>
      </w:r>
    </w:p>
  </w:footnote>
  <w:footnote w:id="569">
    <w:p w14:paraId="751695F2" w14:textId="77777777" w:rsidR="00BE1D1C" w:rsidRDefault="00000000" w:rsidP="00012502">
      <w:pPr>
        <w:pStyle w:val="Footnote"/>
        <w:bidi/>
      </w:pPr>
      <w:r>
        <w:rPr>
          <w:rStyle w:val="ac"/>
          <w:rtl/>
        </w:rPr>
        <w:footnoteRef/>
      </w:r>
      <w:r>
        <w:rPr>
          <w:rtl/>
        </w:rPr>
        <w:t>והבית יצחק ציין כעי"ז הא דאי' (ע"ז נג:) דאף דאין אדם אוסר דבר שאינו שלו, ע"י גילוי דעת דניחא ליה נאסר, דשליחותא דידהו עבדו. אף דלא הוה שליחות ממש [אלא גדר נתינת רשות].</w:t>
      </w:r>
    </w:p>
  </w:footnote>
  <w:footnote w:id="570">
    <w:p w14:paraId="7E835035" w14:textId="77777777" w:rsidR="00BE1D1C" w:rsidRDefault="00000000" w:rsidP="00012502">
      <w:pPr>
        <w:pStyle w:val="Footnote"/>
        <w:bidi/>
      </w:pPr>
      <w:r>
        <w:rPr>
          <w:rStyle w:val="ac"/>
          <w:rtl/>
        </w:rPr>
        <w:footnoteRef/>
      </w:r>
      <w:r>
        <w:rPr>
          <w:rtl/>
        </w:rPr>
        <w:t>וב</w:t>
      </w:r>
      <w:r>
        <w:rPr>
          <w:b/>
          <w:bCs/>
          <w:rtl/>
        </w:rPr>
        <w:t>חי' ר"א מן ההר</w:t>
      </w:r>
      <w:r>
        <w:rPr>
          <w:rtl/>
        </w:rPr>
        <w:t xml:space="preserve"> כתב דכולהו כחד יבם וחד יבמה, שזה שחלץ שליחות כולם עושה.</w:t>
      </w:r>
    </w:p>
  </w:footnote>
  <w:footnote w:id="571">
    <w:p w14:paraId="0EA905A8" w14:textId="77777777" w:rsidR="00BE1D1C" w:rsidRDefault="00000000" w:rsidP="00012502">
      <w:pPr>
        <w:pStyle w:val="Footnote"/>
        <w:bidi/>
      </w:pPr>
      <w:r>
        <w:rPr>
          <w:rStyle w:val="ac"/>
          <w:rtl/>
        </w:rPr>
        <w:footnoteRef/>
      </w:r>
      <w:r>
        <w:rPr>
          <w:rtl/>
        </w:rPr>
        <w:t>וע"ע (לקמן מד.) דדעת ר' עקיבא דחליצה הוה קנין. אך לכאורה הוה גדר שונה.</w:t>
      </w:r>
    </w:p>
  </w:footnote>
  <w:footnote w:id="572">
    <w:p w14:paraId="054AB003" w14:textId="77777777" w:rsidR="00BE1D1C" w:rsidRDefault="00000000" w:rsidP="00012502">
      <w:pPr>
        <w:pStyle w:val="Footnote"/>
        <w:bidi/>
      </w:pPr>
      <w:r>
        <w:rPr>
          <w:rStyle w:val="ac"/>
          <w:rtl/>
        </w:rPr>
        <w:footnoteRef/>
      </w:r>
      <w:r>
        <w:rPr>
          <w:rtl/>
        </w:rPr>
        <w:t>ובגמ' הוזכרו ב' סברות, משום שליחות, ומי איכא מידי. וה</w:t>
      </w:r>
      <w:r>
        <w:rPr>
          <w:b/>
          <w:bCs/>
          <w:rtl/>
        </w:rPr>
        <w:t>אחרונים</w:t>
      </w:r>
      <w:r>
        <w:rPr>
          <w:rtl/>
        </w:rPr>
        <w:t xml:space="preserve"> דנו מה שורש הסברא. ולדעת רש"י פי' דסברת מי איכא מידי הוא הוכחה דכל הבית בעי תיקון, ולכן בעי שליחות. [ולתוס' כיון דהוה גדר שליחות, לכן נחשב לכ"א דין לא יבנה]. ואילו לרשב"א עיקר הטעם משום מי איכא מידי, אלא דממילא צריך שליחות.</w:t>
      </w:r>
    </w:p>
  </w:footnote>
  <w:footnote w:id="573">
    <w:p w14:paraId="1D4F1C7D" w14:textId="77777777" w:rsidR="00BE1D1C" w:rsidRDefault="00000000" w:rsidP="00012502">
      <w:pPr>
        <w:pStyle w:val="Footnote"/>
        <w:bidi/>
      </w:pPr>
      <w:r>
        <w:rPr>
          <w:rStyle w:val="ac"/>
          <w:rtl/>
        </w:rPr>
        <w:footnoteRef/>
      </w:r>
      <w:r>
        <w:rPr>
          <w:rtl/>
        </w:rPr>
        <w:t>וכיון דאיסור 'לא יבנה' קאי על כולהו, ממילא נתקיה מאיסור אשת אח.</w:t>
      </w:r>
    </w:p>
  </w:footnote>
  <w:footnote w:id="574">
    <w:p w14:paraId="7F04A021" w14:textId="77777777" w:rsidR="00BE1D1C" w:rsidRDefault="00000000" w:rsidP="00012502">
      <w:pPr>
        <w:pStyle w:val="Footnote"/>
        <w:bidi/>
      </w:pPr>
      <w:r>
        <w:rPr>
          <w:rStyle w:val="ac"/>
          <w:rtl/>
        </w:rPr>
        <w:footnoteRef/>
      </w:r>
      <w:r>
        <w:rPr>
          <w:rtl/>
        </w:rPr>
        <w:t>וה</w:t>
      </w:r>
      <w:r>
        <w:rPr>
          <w:b/>
          <w:bCs/>
          <w:rtl/>
        </w:rPr>
        <w:t>ריטב"א</w:t>
      </w:r>
      <w:r>
        <w:rPr>
          <w:rtl/>
        </w:rPr>
        <w:t xml:space="preserve"> ביאר דכיון דאיהו ואיהי שליחותא דידהו עבדי, דינם כמותו.</w:t>
      </w:r>
    </w:p>
  </w:footnote>
  <w:footnote w:id="575">
    <w:p w14:paraId="6F7FFF15" w14:textId="77777777" w:rsidR="00BE1D1C" w:rsidRDefault="00000000" w:rsidP="00012502">
      <w:pPr>
        <w:pStyle w:val="Footnote"/>
        <w:bidi/>
      </w:pPr>
      <w:r>
        <w:rPr>
          <w:rStyle w:val="ac"/>
          <w:rtl/>
        </w:rPr>
        <w:footnoteRef/>
      </w:r>
      <w:r>
        <w:rPr>
          <w:rtl/>
        </w:rPr>
        <w:t>ומבואר מדבריו דאשת אח בלא בנים הותרה לגמרי [כיון שנפלה ליבום], אף היכא דליכא מצוות יבום כלל. [ודלא כדעת תוס' ג: וכ"מ דהו' גדר עשה דוחה ל"ת, וכן לאבא שאול (לקמן לט:) ביאה בלא כוונה פוגע בערוה. וע' מה שהו' לעיל ג:]. וע"ע חי' ר' שמעון (לט) באופ"א.</w:t>
      </w:r>
    </w:p>
  </w:footnote>
  <w:footnote w:id="576">
    <w:p w14:paraId="1C69B474" w14:textId="77777777" w:rsidR="00BE1D1C" w:rsidRDefault="00000000" w:rsidP="00012502">
      <w:pPr>
        <w:pStyle w:val="Footnote"/>
        <w:bidi/>
      </w:pPr>
      <w:r>
        <w:rPr>
          <w:rStyle w:val="ac"/>
          <w:rtl/>
        </w:rPr>
        <w:footnoteRef/>
      </w:r>
      <w:r>
        <w:rPr>
          <w:rtl/>
        </w:rPr>
        <w:t>דה</w:t>
      </w:r>
      <w:r>
        <w:rPr>
          <w:b/>
          <w:bCs/>
          <w:rtl/>
        </w:rPr>
        <w:t>רשב"א</w:t>
      </w:r>
      <w:r>
        <w:rPr>
          <w:rtl/>
        </w:rPr>
        <w:t xml:space="preserve"> הק' דכיון דהותרה לשוק בינתיים, אין זה דרכי נועם שתחזור ותזקק לזו [ע"ד דברי הגמ' לקמן פז:]. [וע' תוס' לעיל ב. בחד תי' דכל גדר נאסרה הוה משום דרכי שלום. ולפ"ז אין זו קו' מחודשת, אלא סברת אידך מ"ד שם].</w:t>
      </w:r>
    </w:p>
    <w:p w14:paraId="1E3C884E" w14:textId="77777777" w:rsidR="00BE1D1C" w:rsidRDefault="00000000" w:rsidP="00012502">
      <w:pPr>
        <w:pStyle w:val="Footnote"/>
        <w:bidi/>
      </w:pPr>
      <w:r>
        <w:rPr>
          <w:rtl/>
        </w:rPr>
        <w:tab/>
        <w:t>וה</w:t>
      </w:r>
      <w:r>
        <w:rPr>
          <w:b/>
          <w:bCs/>
          <w:rtl/>
        </w:rPr>
        <w:t>ריטב"א</w:t>
      </w:r>
      <w:r>
        <w:rPr>
          <w:rtl/>
        </w:rPr>
        <w:t xml:space="preserve"> (מא.) תי' דאיירי כשיש לו אח אחר. וכן הרשב"א הביא צד זה, ודחאו. [ואכמ"ל].</w:t>
      </w:r>
    </w:p>
  </w:footnote>
  <w:footnote w:id="577">
    <w:p w14:paraId="1345DABA" w14:textId="77777777" w:rsidR="00BE1D1C" w:rsidRDefault="00000000" w:rsidP="00012502">
      <w:pPr>
        <w:pStyle w:val="Footnote"/>
        <w:bidi/>
      </w:pPr>
      <w:r>
        <w:rPr>
          <w:rStyle w:val="ac"/>
          <w:rtl/>
        </w:rPr>
        <w:footnoteRef/>
      </w:r>
      <w:r>
        <w:rPr>
          <w:rtl/>
        </w:rPr>
        <w:t>אך דעת שמואל ורב אסי דיבמתו אינה חוזרת להיתר. דכיון דעמדה עליו בשעה שזקוקה ליבום שעה א' באיסור אסורה לו. [ומבואר שם דאף רב מודה בדעת ר' אלעזר דס"ל נאסרה בנישואין מפילין, דאמרי' נאסרה אף כה"ג].</w:t>
      </w:r>
    </w:p>
    <w:p w14:paraId="79E4C27F" w14:textId="77777777" w:rsidR="00BE1D1C" w:rsidRDefault="00000000" w:rsidP="00012502">
      <w:pPr>
        <w:pStyle w:val="Footnote"/>
        <w:bidi/>
      </w:pPr>
      <w:r>
        <w:rPr>
          <w:rtl/>
        </w:rPr>
        <w:tab/>
        <w:t>ולכאו' גדר נאסרה דחוזר האיסור אשת אח, ולהנך מ"ד אמרי' כן אף לאחר נפילה.</w:t>
      </w:r>
    </w:p>
    <w:p w14:paraId="5806736D" w14:textId="77777777" w:rsidR="00BE1D1C" w:rsidRDefault="00000000" w:rsidP="00012502">
      <w:pPr>
        <w:pStyle w:val="Footnote"/>
        <w:bidi/>
      </w:pPr>
      <w:r>
        <w:rPr>
          <w:rtl/>
        </w:rPr>
        <w:tab/>
        <w:t>ועוד הביאו ה</w:t>
      </w:r>
      <w:r>
        <w:rPr>
          <w:b/>
          <w:bCs/>
          <w:rtl/>
        </w:rPr>
        <w:t>אחרונים</w:t>
      </w:r>
      <w:r>
        <w:rPr>
          <w:rtl/>
        </w:rPr>
        <w:t xml:space="preserve"> (ר' שמעון טו, אחיעזר א א בהשמטה) דמבואר בתוס' (קידו' נ:) דלר"ש (לעיל ח: ולקמן כח:) כשנעשו אחיות צרות בזיקה יש איסור אשת אח [אף לאחר נפילת הראשונה, ע' לקמן כח:).</w:t>
      </w:r>
    </w:p>
  </w:footnote>
  <w:footnote w:id="578">
    <w:p w14:paraId="0A870F04" w14:textId="77777777" w:rsidR="00BE1D1C" w:rsidRDefault="00000000" w:rsidP="00012502">
      <w:pPr>
        <w:pStyle w:val="Footnote"/>
        <w:bidi/>
      </w:pPr>
      <w:r>
        <w:rPr>
          <w:rStyle w:val="ac"/>
          <w:rtl/>
        </w:rPr>
        <w:footnoteRef/>
      </w:r>
      <w:r>
        <w:rPr>
          <w:rtl/>
        </w:rPr>
        <w:t>[היכא דאין לו אחים, אבל היכא דיש אחים ע"כ זקוק לאחיו].</w:t>
      </w:r>
    </w:p>
  </w:footnote>
  <w:footnote w:id="579">
    <w:p w14:paraId="7A57CDF0" w14:textId="77777777" w:rsidR="00BE1D1C" w:rsidRDefault="00000000" w:rsidP="00012502">
      <w:pPr>
        <w:pStyle w:val="Footnote"/>
        <w:bidi/>
      </w:pPr>
      <w:r>
        <w:rPr>
          <w:rStyle w:val="ac"/>
          <w:rtl/>
        </w:rPr>
        <w:footnoteRef/>
      </w:r>
      <w:r>
        <w:rPr>
          <w:rtl/>
        </w:rPr>
        <w:t>וצ"ב אמאי הזכיר ר' יוחנן השליחות. ובפשוטו קושטא דמילתא קאמר, דכיון דזקוקה לכל א', מש"ה צריך שיתייחס החליצה לכל א'. ועוד יש שפי' דנקט הכי דמש"ה עובר משום לא יבנה.</w:t>
      </w:r>
    </w:p>
  </w:footnote>
  <w:footnote w:id="580">
    <w:p w14:paraId="158466F4" w14:textId="77777777" w:rsidR="00BE1D1C" w:rsidRDefault="00000000" w:rsidP="00012502">
      <w:pPr>
        <w:pStyle w:val="Footnote"/>
        <w:bidi/>
      </w:pPr>
      <w:r>
        <w:rPr>
          <w:rStyle w:val="ac"/>
          <w:rtl/>
        </w:rPr>
        <w:footnoteRef/>
      </w:r>
      <w:r>
        <w:rPr>
          <w:rtl/>
        </w:rPr>
        <w:t>וה</w:t>
      </w:r>
      <w:r>
        <w:rPr>
          <w:b/>
          <w:bCs/>
          <w:rtl/>
        </w:rPr>
        <w:t>אחרונים</w:t>
      </w:r>
      <w:r>
        <w:rPr>
          <w:rtl/>
        </w:rPr>
        <w:t xml:space="preserve"> העירו דדבריו דלא כדברי </w:t>
      </w:r>
      <w:r>
        <w:rPr>
          <w:b/>
          <w:bCs/>
          <w:rtl/>
        </w:rPr>
        <w:t>רש"י</w:t>
      </w:r>
      <w:r>
        <w:rPr>
          <w:rtl/>
        </w:rPr>
        <w:t xml:space="preserve"> (לקמן נב.) דלא תפסי קידושין היבם ביבמה, דהוה אשת אח, ולא הותרה אלא בביאה וכסדר המצווה.</w:t>
      </w:r>
    </w:p>
  </w:footnote>
  <w:footnote w:id="581">
    <w:p w14:paraId="136E4E5F" w14:textId="77777777" w:rsidR="00BE1D1C" w:rsidRDefault="00000000" w:rsidP="00012502">
      <w:pPr>
        <w:pStyle w:val="Footnote"/>
        <w:bidi/>
      </w:pPr>
      <w:r>
        <w:rPr>
          <w:rStyle w:val="ac"/>
          <w:rtl/>
        </w:rPr>
        <w:footnoteRef/>
      </w:r>
      <w:r>
        <w:rPr>
          <w:rtl/>
        </w:rPr>
        <w:t>אך היכא דיש לו אחים שזקוקה להם ליבום, היאך ישאנה כשזקוקה למצווה. ואם נשאה היכא תפטר מזיקת האחים בלא חליצה. וע"כ צ"ל דכשנושאה מישך לגדרי יבום.</w:t>
      </w:r>
    </w:p>
  </w:footnote>
  <w:footnote w:id="582">
    <w:p w14:paraId="09C1610A" w14:textId="77777777" w:rsidR="00BE1D1C" w:rsidRDefault="00000000" w:rsidP="00012502">
      <w:pPr>
        <w:pStyle w:val="Footnote"/>
        <w:bidi/>
      </w:pPr>
      <w:r>
        <w:rPr>
          <w:rStyle w:val="ac"/>
          <w:rtl/>
        </w:rPr>
        <w:footnoteRef/>
      </w:r>
      <w:r>
        <w:rPr>
          <w:rtl/>
        </w:rPr>
        <w:t>[וצ"ב א"כ מנ"ל דר' יוחנן פליג בעיקר היסוד, דכיון דכולהו קיימי בלא יבנה, א"כ י"ל דאיסור לא יבנה ינתק מאיסור אשת אח].</w:t>
      </w:r>
    </w:p>
  </w:footnote>
  <w:footnote w:id="583">
    <w:p w14:paraId="5AB47DE5" w14:textId="77777777" w:rsidR="00BE1D1C" w:rsidRDefault="00000000" w:rsidP="00012502">
      <w:pPr>
        <w:pStyle w:val="Footnote"/>
        <w:bidi/>
      </w:pPr>
      <w:r>
        <w:rPr>
          <w:rStyle w:val="ac"/>
          <w:rtl/>
        </w:rPr>
        <w:footnoteRef/>
      </w:r>
      <w:r>
        <w:rPr>
          <w:rtl/>
        </w:rPr>
        <w:t>ואף דילפי' [לחד גירסא לקמן מד.] שלא יבנה אחר שלא בנה, ואי"צ לחלוץ לשניהם.</w:t>
      </w:r>
    </w:p>
  </w:footnote>
  <w:footnote w:id="584">
    <w:p w14:paraId="594E9C0C" w14:textId="77777777" w:rsidR="00BE1D1C" w:rsidRDefault="00000000" w:rsidP="00012502">
      <w:pPr>
        <w:pStyle w:val="Footnote"/>
        <w:bidi/>
      </w:pPr>
      <w:r>
        <w:rPr>
          <w:rStyle w:val="ac"/>
          <w:rtl/>
        </w:rPr>
        <w:footnoteRef/>
      </w:r>
      <w:r>
        <w:rPr>
          <w:rtl/>
        </w:rPr>
        <w:t>וה</w:t>
      </w:r>
      <w:r>
        <w:rPr>
          <w:b/>
          <w:bCs/>
          <w:rtl/>
        </w:rPr>
        <w:t>אחרונים</w:t>
      </w:r>
      <w:r>
        <w:rPr>
          <w:rtl/>
        </w:rPr>
        <w:t xml:space="preserve"> הקשו דלפ"ז בהא דלקמן קיא דקטן הבא על הגדולה תגדלנו [ואין בזה איסור אשת אח, דהנפילה מתרת אף שלא קנאה], אם חלץ לה לבסוף לר"ל קייימא באיסור אשת אח למפרע. וצ"ע.</w:t>
      </w:r>
    </w:p>
  </w:footnote>
  <w:footnote w:id="585">
    <w:p w14:paraId="37C55ABE" w14:textId="77777777" w:rsidR="00BE1D1C" w:rsidRDefault="00000000" w:rsidP="00012502">
      <w:pPr>
        <w:pStyle w:val="Footnote"/>
        <w:bidi/>
      </w:pPr>
      <w:r>
        <w:rPr>
          <w:rStyle w:val="ac"/>
          <w:rtl/>
        </w:rPr>
        <w:footnoteRef/>
      </w:r>
      <w:r>
        <w:rPr>
          <w:rtl/>
        </w:rPr>
        <w:t>ובזה נח' (לקמן מא.) האם ערוה לאחר נפילה נחשב שנפקע מצב הנפילה ליבום וחוזר איסור אשת אח.</w:t>
      </w:r>
    </w:p>
  </w:footnote>
  <w:footnote w:id="586">
    <w:p w14:paraId="2936F175" w14:textId="77777777" w:rsidR="00BE1D1C" w:rsidRDefault="00000000" w:rsidP="00012502">
      <w:pPr>
        <w:pStyle w:val="Footnote"/>
        <w:bidi/>
      </w:pPr>
      <w:r>
        <w:rPr>
          <w:rStyle w:val="ac"/>
          <w:rtl/>
        </w:rPr>
        <w:footnoteRef/>
      </w:r>
      <w:r>
        <w:rPr>
          <w:rtl/>
        </w:rPr>
        <w:t>וה</w:t>
      </w:r>
      <w:r>
        <w:rPr>
          <w:b/>
          <w:bCs/>
          <w:rtl/>
        </w:rPr>
        <w:t>מהרש"א</w:t>
      </w:r>
      <w:r>
        <w:rPr>
          <w:rtl/>
        </w:rPr>
        <w:t xml:space="preserve"> הק' דאף לאחר שנשאת לאחר יכולה להתייבם מדאורייתא [ע' תוס' טז., אלא דגזרו משום דמחלף באשה שהלך בעלה למדינת הים], ודוקא משום שחלץ לה אינה ראויה. ומש"ה קאי בלא יבנה. [ויש שדייקו מדברי המהרש"א דמודה ליסוד המהרש"ל, אלא דס"ל דאף כשנשאת לאחר לא פקע מצב היבום].</w:t>
      </w:r>
    </w:p>
  </w:footnote>
  <w:footnote w:id="587">
    <w:p w14:paraId="3BD9E574" w14:textId="77777777" w:rsidR="00BE1D1C" w:rsidRDefault="00000000" w:rsidP="00012502">
      <w:pPr>
        <w:pStyle w:val="Footnote"/>
        <w:bidi/>
      </w:pPr>
      <w:r>
        <w:rPr>
          <w:rStyle w:val="ac"/>
          <w:rtl/>
        </w:rPr>
        <w:footnoteRef/>
      </w:r>
      <w:r>
        <w:rPr>
          <w:rtl/>
        </w:rPr>
        <w:t>[ולכאורה שוב אינו עובר משום לא יבנה, דלא נחשב בניית אחיו].</w:t>
      </w:r>
    </w:p>
  </w:footnote>
  <w:footnote w:id="588">
    <w:p w14:paraId="314465B6" w14:textId="77777777" w:rsidR="00BE1D1C" w:rsidRDefault="00000000" w:rsidP="00012502">
      <w:pPr>
        <w:pStyle w:val="Footnote"/>
        <w:bidi/>
      </w:pPr>
      <w:r>
        <w:rPr>
          <w:rStyle w:val="ac"/>
          <w:rtl/>
        </w:rPr>
        <w:footnoteRef/>
      </w:r>
      <w:r>
        <w:rPr>
          <w:rtl/>
        </w:rPr>
        <w:t>משא"כ הותרה ונאסרה והותרה, אף דאינה זקוקה ליבום מ"מ יש עליה שם יבמה, דומיא דלאחר חליצה.</w:t>
      </w:r>
    </w:p>
  </w:footnote>
  <w:footnote w:id="589">
    <w:p w14:paraId="27FED767" w14:textId="77777777" w:rsidR="00BE1D1C" w:rsidRDefault="00000000" w:rsidP="00012502">
      <w:pPr>
        <w:pStyle w:val="Footnote"/>
        <w:bidi/>
      </w:pPr>
      <w:r>
        <w:rPr>
          <w:rStyle w:val="ac"/>
          <w:rtl/>
        </w:rPr>
        <w:footnoteRef/>
      </w:r>
      <w:r>
        <w:rPr>
          <w:rtl/>
        </w:rPr>
        <w:t>ויל"פ גדר 'לא יבנה' דיש בזה קצת בנין [אף לאחר חליצה], והתורה אסרה בנין זה. אבל לאחר שנשאת לאחר, דמי למחזיר גרושתו [כלפי המת עצמו], ואין בזה משום הקמת שם.</w:t>
      </w:r>
    </w:p>
  </w:footnote>
  <w:footnote w:id="590">
    <w:p w14:paraId="769A4D8D" w14:textId="77777777" w:rsidR="00BE1D1C" w:rsidRDefault="00000000" w:rsidP="00012502">
      <w:pPr>
        <w:pStyle w:val="Footnote"/>
        <w:bidi/>
      </w:pPr>
      <w:r>
        <w:rPr>
          <w:rStyle w:val="ac"/>
          <w:rtl/>
        </w:rPr>
        <w:footnoteRef/>
      </w:r>
      <w:r>
        <w:rPr>
          <w:rtl/>
        </w:rPr>
        <w:t>וכ"פ ה</w:t>
      </w:r>
      <w:r>
        <w:rPr>
          <w:b/>
          <w:bCs/>
          <w:rtl/>
        </w:rPr>
        <w:t>רמב"ם</w:t>
      </w:r>
      <w:r>
        <w:rPr>
          <w:rtl/>
        </w:rPr>
        <w:t xml:space="preserve"> (איסו"ב יח ד) נושא חלוצתו אינו איסור דאורייתא.</w:t>
      </w:r>
    </w:p>
  </w:footnote>
  <w:footnote w:id="591">
    <w:p w14:paraId="189E10D6" w14:textId="77777777" w:rsidR="00BE1D1C" w:rsidRDefault="00000000" w:rsidP="00012502">
      <w:pPr>
        <w:pStyle w:val="Footnote"/>
        <w:bidi/>
      </w:pPr>
      <w:r>
        <w:rPr>
          <w:rStyle w:val="ac"/>
          <w:rtl/>
        </w:rPr>
        <w:footnoteRef/>
      </w:r>
      <w:r>
        <w:rPr>
          <w:rtl/>
        </w:rPr>
        <w:t>משמע דקידושין תופסים אף קודם יבום. [וכ"כ המהרש"א כ:. ודלא כמ"ש רש"י לקמן נב.].</w:t>
      </w:r>
    </w:p>
  </w:footnote>
  <w:footnote w:id="592">
    <w:p w14:paraId="02F8A9E7" w14:textId="77777777" w:rsidR="00BE1D1C" w:rsidRDefault="00000000" w:rsidP="00012502">
      <w:pPr>
        <w:pStyle w:val="Footnote"/>
        <w:bidi/>
      </w:pPr>
      <w:r>
        <w:rPr>
          <w:rStyle w:val="ac"/>
          <w:rtl/>
        </w:rPr>
        <w:footnoteRef/>
      </w:r>
      <w:r>
        <w:rPr>
          <w:rtl/>
        </w:rPr>
        <w:t>והביאו מקור לזה מה</w:t>
      </w:r>
      <w:r>
        <w:rPr>
          <w:b/>
          <w:bCs/>
          <w:rtl/>
        </w:rPr>
        <w:t>גמ'</w:t>
      </w:r>
      <w:r>
        <w:rPr>
          <w:rtl/>
        </w:rPr>
        <w:t xml:space="preserve"> (לקמן מ:) דחלוצה דרבנן, אבל </w:t>
      </w:r>
      <w:r>
        <w:rPr>
          <w:b/>
          <w:bCs/>
          <w:rtl/>
        </w:rPr>
        <w:t>שא"ר</w:t>
      </w:r>
      <w:r>
        <w:rPr>
          <w:rtl/>
        </w:rPr>
        <w:t xml:space="preserve"> פי' דהגמ' שם קאי על קרובת חלוצתו.</w:t>
      </w:r>
    </w:p>
  </w:footnote>
  <w:footnote w:id="593">
    <w:p w14:paraId="189AB353" w14:textId="77777777" w:rsidR="00BE1D1C" w:rsidRDefault="00000000" w:rsidP="00012502">
      <w:pPr>
        <w:pStyle w:val="Footnote"/>
        <w:bidi/>
      </w:pPr>
      <w:r>
        <w:rPr>
          <w:rStyle w:val="ac"/>
          <w:rtl/>
        </w:rPr>
        <w:footnoteRef/>
      </w:r>
      <w:r>
        <w:rPr>
          <w:rtl/>
        </w:rPr>
        <w:t>אבל ה</w:t>
      </w:r>
      <w:r>
        <w:rPr>
          <w:b/>
          <w:bCs/>
          <w:rtl/>
        </w:rPr>
        <w:t>חזו"א</w:t>
      </w:r>
      <w:r>
        <w:rPr>
          <w:rtl/>
        </w:rPr>
        <w:t xml:space="preserve"> (קל י) כתב דצריך להגיה דברי הרמב"ם.</w:t>
      </w:r>
    </w:p>
  </w:footnote>
  <w:footnote w:id="594">
    <w:p w14:paraId="01DE37AC" w14:textId="77777777" w:rsidR="00BE1D1C" w:rsidRDefault="00000000" w:rsidP="00012502">
      <w:pPr>
        <w:pStyle w:val="Footnote"/>
        <w:bidi/>
      </w:pPr>
      <w:r>
        <w:rPr>
          <w:rStyle w:val="ac"/>
          <w:rtl/>
        </w:rPr>
        <w:footnoteRef/>
      </w:r>
      <w:r>
        <w:rPr>
          <w:rtl/>
        </w:rPr>
        <w:t>אבל ה</w:t>
      </w:r>
      <w:r>
        <w:rPr>
          <w:b/>
          <w:bCs/>
          <w:rtl/>
        </w:rPr>
        <w:t>מגילת אסתר</w:t>
      </w:r>
      <w:r>
        <w:rPr>
          <w:rtl/>
        </w:rPr>
        <w:t xml:space="preserve"> כתב דהוה בכלל מצות יבום וחליצה.</w:t>
      </w:r>
    </w:p>
  </w:footnote>
  <w:footnote w:id="595">
    <w:p w14:paraId="450A74A9" w14:textId="77777777" w:rsidR="00BE1D1C" w:rsidRDefault="00000000" w:rsidP="00012502">
      <w:pPr>
        <w:pStyle w:val="Footnote"/>
        <w:bidi/>
      </w:pPr>
      <w:r>
        <w:rPr>
          <w:rStyle w:val="ac"/>
          <w:rtl/>
        </w:rPr>
        <w:footnoteRef/>
      </w:r>
      <w:r>
        <w:rPr>
          <w:rtl/>
        </w:rPr>
        <w:t>שנאמר 'אשר לא יבנה', מכיון שלא בנה, שהפקיע יסודו של בנין וחלץ, שוב לא יבנה.</w:t>
      </w:r>
    </w:p>
  </w:footnote>
  <w:footnote w:id="596">
    <w:p w14:paraId="3D2A538F" w14:textId="77777777" w:rsidR="00BE1D1C" w:rsidRDefault="00000000" w:rsidP="00012502">
      <w:pPr>
        <w:pStyle w:val="Footnote"/>
        <w:bidi/>
      </w:pPr>
      <w:r>
        <w:rPr>
          <w:rStyle w:val="ac"/>
          <w:rtl/>
        </w:rPr>
        <w:footnoteRef/>
      </w:r>
      <w:r>
        <w:rPr>
          <w:rtl/>
        </w:rPr>
        <w:t>וכן לשון ה</w:t>
      </w:r>
      <w:r>
        <w:rPr>
          <w:b/>
          <w:bCs/>
          <w:rtl/>
        </w:rPr>
        <w:t>מאירי</w:t>
      </w:r>
      <w:r>
        <w:rPr>
          <w:rtl/>
        </w:rPr>
        <w:t xml:space="preserve"> בסוגיין דהתורה הוציאה מכלל כרת לכלל לאו.</w:t>
      </w:r>
    </w:p>
  </w:footnote>
  <w:footnote w:id="597">
    <w:p w14:paraId="1BD46F77" w14:textId="77777777" w:rsidR="00BE1D1C" w:rsidRDefault="00000000" w:rsidP="00012502">
      <w:pPr>
        <w:pStyle w:val="Footnote"/>
        <w:bidi/>
      </w:pPr>
      <w:r>
        <w:rPr>
          <w:rStyle w:val="ac"/>
          <w:rtl/>
        </w:rPr>
        <w:footnoteRef/>
      </w:r>
      <w:r>
        <w:rPr>
          <w:rtl/>
        </w:rPr>
        <w:t>וה</w:t>
      </w:r>
      <w:r>
        <w:rPr>
          <w:b/>
          <w:bCs/>
          <w:rtl/>
        </w:rPr>
        <w:t>אחרונים</w:t>
      </w:r>
      <w:r>
        <w:rPr>
          <w:rtl/>
        </w:rPr>
        <w:t xml:space="preserve"> ציינו דדעת </w:t>
      </w:r>
      <w:r>
        <w:rPr>
          <w:b/>
          <w:bCs/>
          <w:rtl/>
        </w:rPr>
        <w:t>רש"י</w:t>
      </w:r>
      <w:r>
        <w:rPr>
          <w:rtl/>
        </w:rPr>
        <w:t xml:space="preserve"> דכל מקום דהתורה ריבתה לחיוב ע"י לאו או עשה, אמרי' נתקיה, והוה איסור לאו בעלמא [ואף דהוה מהשם הראשון]. [ו</w:t>
      </w:r>
      <w:r>
        <w:rPr>
          <w:b/>
          <w:bCs/>
          <w:rtl/>
        </w:rPr>
        <w:t>תוס</w:t>
      </w:r>
      <w:r>
        <w:rPr>
          <w:rtl/>
        </w:rPr>
        <w:t>' (יא. ד"ה חד) הקשו דאין יתור לנתק, אבל ברש"י מבואר דאי"צ יתור].</w:t>
      </w:r>
    </w:p>
    <w:p w14:paraId="3FC4EBE4" w14:textId="77777777" w:rsidR="00BE1D1C" w:rsidRDefault="00000000" w:rsidP="00012502">
      <w:pPr>
        <w:pStyle w:val="Footnote"/>
        <w:bidi/>
      </w:pPr>
      <w:r>
        <w:rPr>
          <w:rtl/>
        </w:rPr>
        <w:tab/>
        <w:t>ושמעתי דעפ"ז יל"פ בהא (לעיל ג:) דבעי קרא לאזהרה לצרת ערוה, ואף לאיסור אשת אח, דכיון דנתרבה מקרא דעשה, אף איסור אשת אח דידיה הוה בגדר עשה עד דאהדר' קרא.</w:t>
      </w:r>
    </w:p>
  </w:footnote>
  <w:footnote w:id="598">
    <w:p w14:paraId="009A647F" w14:textId="77777777" w:rsidR="00BE1D1C" w:rsidRDefault="00000000" w:rsidP="00012502">
      <w:pPr>
        <w:pStyle w:val="Footnote"/>
        <w:bidi/>
      </w:pPr>
      <w:r>
        <w:rPr>
          <w:rStyle w:val="ac"/>
          <w:rtl/>
        </w:rPr>
        <w:footnoteRef/>
      </w:r>
      <w:r>
        <w:rPr>
          <w:rtl/>
        </w:rPr>
        <w:t>ויש שדנו דהרשב"א קאי דוקא לאחר דילפי' דמגרשה ומחזירה, דע"כ היתר אשת אח הותר לגמרי. ולולי קרא (ח:), דאינה מחזירה, האיסור דחוי, ול"ש להתיר היכא דליכא יבום. [ודוחק].</w:t>
      </w:r>
    </w:p>
  </w:footnote>
  <w:footnote w:id="599">
    <w:p w14:paraId="3E0E075F" w14:textId="77777777" w:rsidR="00BE1D1C" w:rsidRDefault="00000000" w:rsidP="00012502">
      <w:pPr>
        <w:pStyle w:val="Footnote"/>
        <w:bidi/>
      </w:pPr>
      <w:r>
        <w:rPr>
          <w:rStyle w:val="ac"/>
          <w:rtl/>
        </w:rPr>
        <w:footnoteRef/>
      </w:r>
      <w:r>
        <w:rPr>
          <w:rtl/>
        </w:rPr>
        <w:t>ויש שפי' דסברת ר' עקיבא לשיטתו דחייבי לאוין כעריות. ומש"ה יש בזה איסור אשת אח. [וצ"ב]. [וכעי"ז מצאנו דלר"ע שומרת יבם שזינתה נאסרת על היבם, דלר"ע הוה ערוה בחייבי לאוין דיבמה לשוק, א"כ נחשבת מיוחדת לו טפי].</w:t>
      </w:r>
    </w:p>
  </w:footnote>
  <w:footnote w:id="600">
    <w:p w14:paraId="3B3D99EF" w14:textId="77777777" w:rsidR="00BE1D1C" w:rsidRDefault="00000000" w:rsidP="00012502">
      <w:pPr>
        <w:pStyle w:val="Footnote"/>
        <w:bidi/>
      </w:pPr>
      <w:r>
        <w:rPr>
          <w:rStyle w:val="ac"/>
          <w:rtl/>
        </w:rPr>
        <w:footnoteRef/>
      </w:r>
      <w:r>
        <w:rPr>
          <w:rtl/>
        </w:rPr>
        <w:t>[והביא מקור לכ"ז מהירושלמי]. אך לשון הרמב"ם בפיה"מ משמע דחוזר איסור אשת אח דראשון, ולא משום דיש איסור מחמת עצם החליצה.</w:t>
      </w:r>
    </w:p>
  </w:footnote>
  <w:footnote w:id="601">
    <w:p w14:paraId="454743A2" w14:textId="77777777" w:rsidR="00BE1D1C" w:rsidRDefault="00000000" w:rsidP="00012502">
      <w:pPr>
        <w:pStyle w:val="Footnote"/>
        <w:bidi/>
      </w:pPr>
      <w:r>
        <w:rPr>
          <w:rStyle w:val="ac"/>
          <w:rtl/>
        </w:rPr>
        <w:footnoteRef/>
      </w:r>
      <w:r>
        <w:rPr>
          <w:rtl/>
        </w:rPr>
        <w:t>וה</w:t>
      </w:r>
      <w:r>
        <w:rPr>
          <w:b/>
          <w:bCs/>
          <w:rtl/>
        </w:rPr>
        <w:t>קובה"ע</w:t>
      </w:r>
      <w:r>
        <w:rPr>
          <w:rtl/>
        </w:rPr>
        <w:t xml:space="preserve"> (ב ב) דן דכלפי האחים שכבר נולדו אסורה משום ד'נאסרה' בנפילה ראשונה. א"נ סברת 'כי היכי' שייך רק במי שלא היה דין קודם, אבל מי שכבר שהיה בעולם אינו נגרר בתר היבם.</w:t>
      </w:r>
    </w:p>
  </w:footnote>
  <w:footnote w:id="602">
    <w:p w14:paraId="59FA8793" w14:textId="77777777" w:rsidR="00BE1D1C" w:rsidRDefault="00000000" w:rsidP="00012502">
      <w:pPr>
        <w:pStyle w:val="Footnote"/>
        <w:bidi/>
      </w:pPr>
      <w:r>
        <w:rPr>
          <w:rStyle w:val="ac"/>
          <w:rtl/>
        </w:rPr>
        <w:footnoteRef/>
      </w:r>
      <w:r>
        <w:rPr>
          <w:rtl/>
        </w:rPr>
        <w:t>(וע' לעיל). וה</w:t>
      </w:r>
      <w:r>
        <w:rPr>
          <w:b/>
          <w:bCs/>
          <w:rtl/>
        </w:rPr>
        <w:t>קה"י</w:t>
      </w:r>
      <w:r>
        <w:rPr>
          <w:rtl/>
        </w:rPr>
        <w:t xml:space="preserve"> כת' דיש איסור אשת אח בשומרת יבם מחמת הזיקה, והנפילה מתרת לאיסור אשת אח מחמת אישות של אתמול.</w:t>
      </w:r>
    </w:p>
  </w:footnote>
  <w:footnote w:id="603">
    <w:p w14:paraId="7B2FF78D" w14:textId="77777777" w:rsidR="00BE1D1C" w:rsidRDefault="00000000" w:rsidP="00012502">
      <w:pPr>
        <w:pStyle w:val="Footnote"/>
        <w:bidi/>
      </w:pPr>
      <w:r>
        <w:rPr>
          <w:rStyle w:val="ac"/>
          <w:rtl/>
        </w:rPr>
        <w:footnoteRef/>
      </w:r>
      <w:r>
        <w:rPr>
          <w:rtl/>
        </w:rPr>
        <w:t>ומבואר דלא תליא בנאסרה. ואף כלפי אח זה מוגדרת 'אשתו של מת', ואינה נגררת אחרי היבם.</w:t>
      </w:r>
    </w:p>
  </w:footnote>
  <w:footnote w:id="604">
    <w:p w14:paraId="7A38E4AA" w14:textId="77777777" w:rsidR="00BE1D1C" w:rsidRDefault="00000000" w:rsidP="00012502">
      <w:pPr>
        <w:pStyle w:val="Footnote"/>
        <w:bidi/>
      </w:pPr>
      <w:r>
        <w:rPr>
          <w:rStyle w:val="ac"/>
          <w:rtl/>
        </w:rPr>
        <w:footnoteRef/>
      </w:r>
      <w:r>
        <w:rPr>
          <w:rtl/>
        </w:rPr>
        <w:t>וה</w:t>
      </w:r>
      <w:r>
        <w:rPr>
          <w:b/>
          <w:bCs/>
          <w:rtl/>
        </w:rPr>
        <w:t>קה"י</w:t>
      </w:r>
      <w:r>
        <w:rPr>
          <w:rtl/>
        </w:rPr>
        <w:t xml:space="preserve"> (יב) כתב דהריטב"א ס"ל דחליצה מתרת לאיסור אשת אח, ולכן נחשב מצאה בהיתר. אבל לדעת הרשב"א דהמיתה מתרת, [ונולד אחר מיתת אחיו נחשב מצאה באיסור משום הזיקה], א"כ החליצה ל"מ מידי. וע"כ תליא בקידושין.</w:t>
      </w:r>
    </w:p>
  </w:footnote>
  <w:footnote w:id="605">
    <w:p w14:paraId="73A9451E" w14:textId="77777777" w:rsidR="00BE1D1C" w:rsidRDefault="00000000" w:rsidP="00012502">
      <w:pPr>
        <w:pStyle w:val="Footnote"/>
        <w:bidi/>
      </w:pPr>
      <w:r>
        <w:rPr>
          <w:rStyle w:val="ac"/>
          <w:rtl/>
        </w:rPr>
        <w:footnoteRef/>
      </w:r>
      <w:r>
        <w:rPr>
          <w:rtl/>
        </w:rPr>
        <w:t>וה</w:t>
      </w:r>
      <w:r>
        <w:rPr>
          <w:b/>
          <w:bCs/>
          <w:rtl/>
        </w:rPr>
        <w:t xml:space="preserve">חזו"א </w:t>
      </w:r>
      <w:r>
        <w:rPr>
          <w:rtl/>
        </w:rPr>
        <w:t>כתב דהיינו לתוס' לשיטתם דאיירי דוקא בקידש. אבל לריטב"א דאף בנולד לאחר חליצה, ולפני שקידשה מותרת לו לגמרי, דאצלו לא שייך לא יבנה. [אבל הביא דבריטב"א משמע דיש לא יבנה, ע' בסמוך].</w:t>
      </w:r>
    </w:p>
  </w:footnote>
  <w:footnote w:id="606">
    <w:p w14:paraId="3FCD7760" w14:textId="77777777" w:rsidR="00BE1D1C" w:rsidRDefault="00000000" w:rsidP="00012502">
      <w:pPr>
        <w:pStyle w:val="Footnote"/>
        <w:bidi/>
      </w:pPr>
      <w:r>
        <w:rPr>
          <w:rStyle w:val="ac"/>
          <w:rtl/>
        </w:rPr>
        <w:footnoteRef/>
      </w:r>
      <w:r>
        <w:rPr>
          <w:rtl/>
        </w:rPr>
        <w:t>ויש לדחות דכלפי היבם יש איסור חדש משום לא יבנה, וילפי' מיניה דכלפי הנולד ליכא איסור אשת אח. אך דיו כיבם, דיש עליו איסור בעלמא. ומש"ה אסורה לנולד בלאו בעלמא משום אשת אח. [דדיו כיבם].</w:t>
      </w:r>
    </w:p>
  </w:footnote>
  <w:footnote w:id="607">
    <w:p w14:paraId="486971DF" w14:textId="77777777" w:rsidR="00BE1D1C" w:rsidRDefault="00000000" w:rsidP="00012502">
      <w:pPr>
        <w:pStyle w:val="Footnote"/>
        <w:bidi/>
      </w:pPr>
      <w:r>
        <w:rPr>
          <w:rStyle w:val="ac"/>
          <w:rtl/>
        </w:rPr>
        <w:footnoteRef/>
      </w:r>
      <w:r>
        <w:rPr>
          <w:rtl/>
        </w:rPr>
        <w:t>ולקמן סוף הע"ב משמע דהוה מח'.</w:t>
      </w:r>
    </w:p>
  </w:footnote>
  <w:footnote w:id="608">
    <w:p w14:paraId="1042433E" w14:textId="77777777" w:rsidR="00BE1D1C" w:rsidRDefault="00000000" w:rsidP="00012502">
      <w:pPr>
        <w:pStyle w:val="Footnote"/>
        <w:bidi/>
      </w:pPr>
      <w:r>
        <w:rPr>
          <w:rStyle w:val="ac"/>
          <w:rtl/>
        </w:rPr>
        <w:footnoteRef/>
      </w:r>
      <w:r>
        <w:rPr>
          <w:rtl/>
        </w:rPr>
        <w:t>משמע דבעינן שיהא היתר ואח"כ תיאסר. וה</w:t>
      </w:r>
      <w:r>
        <w:rPr>
          <w:b/>
          <w:bCs/>
          <w:rtl/>
        </w:rPr>
        <w:t xml:space="preserve">אחרונים </w:t>
      </w:r>
      <w:r>
        <w:rPr>
          <w:rtl/>
        </w:rPr>
        <w:t>הקשו דהכא נאסרה עליו קודם נישואין משום לא יבנה [והביאו בשם ה</w:t>
      </w:r>
      <w:r>
        <w:rPr>
          <w:b/>
          <w:bCs/>
          <w:rtl/>
        </w:rPr>
        <w:t>חוסן</w:t>
      </w:r>
      <w:r>
        <w:rPr>
          <w:rtl/>
        </w:rPr>
        <w:t xml:space="preserve"> </w:t>
      </w:r>
      <w:r>
        <w:rPr>
          <w:b/>
          <w:bCs/>
          <w:rtl/>
        </w:rPr>
        <w:t>ישועות</w:t>
      </w:r>
      <w:r>
        <w:rPr>
          <w:rtl/>
        </w:rPr>
        <w:t xml:space="preserve"> דמדינא ל"ש ק"ו, וכוונת התוס' לאיסור דרבנן]. וכה"ק לגבי מחזיר גרושתו (הו' בע"ב). [וב</w:t>
      </w:r>
      <w:r>
        <w:rPr>
          <w:b/>
          <w:bCs/>
          <w:rtl/>
        </w:rPr>
        <w:t>קר"א</w:t>
      </w:r>
      <w:r>
        <w:rPr>
          <w:rtl/>
        </w:rPr>
        <w:t xml:space="preserve"> נקט דהוה מח' הסוגיות]. והאחרונים כתבו דעיקר הטעם בזה דעי"ז נחשב איסור באישות, ולא איסור בגברא.</w:t>
      </w:r>
    </w:p>
  </w:footnote>
  <w:footnote w:id="609">
    <w:p w14:paraId="591A6316" w14:textId="77777777" w:rsidR="00BE1D1C" w:rsidRDefault="00000000" w:rsidP="00012502">
      <w:pPr>
        <w:pStyle w:val="Footnote"/>
        <w:bidi/>
      </w:pPr>
      <w:r>
        <w:rPr>
          <w:rStyle w:val="ac"/>
          <w:rtl/>
        </w:rPr>
        <w:footnoteRef/>
      </w:r>
      <w:r>
        <w:rPr>
          <w:rtl/>
        </w:rPr>
        <w:t>ושמעתי דהגדר דבסוטה ומחזיר גרושתו נחשב שהאישות מקולקלת.</w:t>
      </w:r>
    </w:p>
  </w:footnote>
  <w:footnote w:id="610">
    <w:p w14:paraId="64581A5B" w14:textId="77777777" w:rsidR="00BE1D1C" w:rsidRDefault="00000000" w:rsidP="00012502">
      <w:pPr>
        <w:pStyle w:val="Footnote"/>
        <w:bidi/>
      </w:pPr>
      <w:r>
        <w:rPr>
          <w:rStyle w:val="ac"/>
          <w:rtl/>
        </w:rPr>
        <w:footnoteRef/>
      </w:r>
      <w:r>
        <w:rPr>
          <w:rtl/>
        </w:rPr>
        <w:t xml:space="preserve">והביאו בשם </w:t>
      </w:r>
      <w:r>
        <w:rPr>
          <w:b/>
          <w:bCs/>
          <w:rtl/>
        </w:rPr>
        <w:t>רבינו גרשם</w:t>
      </w:r>
      <w:r>
        <w:rPr>
          <w:rtl/>
        </w:rPr>
        <w:t xml:space="preserve"> ו</w:t>
      </w:r>
      <w:r>
        <w:rPr>
          <w:b/>
          <w:bCs/>
          <w:rtl/>
        </w:rPr>
        <w:t>רבינו ברוך</w:t>
      </w:r>
      <w:r>
        <w:rPr>
          <w:rtl/>
        </w:rPr>
        <w:t xml:space="preserve"> שפי' דהוה עשה דלא יבנה, דכיון דלא בנה לא יבנה. [ואף דגבי חלוצה הוה לאו, ביבום הוה מכח גילוי דבית א' הוא בונה, ומש"ה הך לא יבנה הוה לאו הבא מכלל עשה].</w:t>
      </w:r>
    </w:p>
  </w:footnote>
  <w:footnote w:id="611">
    <w:p w14:paraId="22F80D52" w14:textId="77777777" w:rsidR="00BE1D1C" w:rsidRDefault="00000000" w:rsidP="00012502">
      <w:pPr>
        <w:pStyle w:val="Footnote"/>
        <w:bidi/>
      </w:pPr>
      <w:r>
        <w:rPr>
          <w:rStyle w:val="ac"/>
          <w:rtl/>
        </w:rPr>
        <w:footnoteRef/>
      </w:r>
      <w:r>
        <w:rPr>
          <w:rtl/>
        </w:rPr>
        <w:t>משמע ד'לאו הבא מכלל לאו' נחשב לאו, ואף דאינו צווי מפורש, ואינו בכלל איסור 'לא יבנה', אלא דדייקינן ואינו בונה ב' [לקמן מד.].</w:t>
      </w:r>
    </w:p>
  </w:footnote>
  <w:footnote w:id="612">
    <w:p w14:paraId="2123CAB9" w14:textId="77777777" w:rsidR="00BE1D1C" w:rsidRDefault="00000000" w:rsidP="00012502">
      <w:pPr>
        <w:pStyle w:val="Footnote"/>
        <w:bidi/>
      </w:pPr>
      <w:r>
        <w:rPr>
          <w:rStyle w:val="ac"/>
          <w:rtl/>
        </w:rPr>
        <w:footnoteRef/>
      </w:r>
      <w:r>
        <w:rPr>
          <w:rtl/>
        </w:rPr>
        <w:t>[אך כת' ומיהו אין ענין זה מתחוור].</w:t>
      </w:r>
    </w:p>
  </w:footnote>
  <w:footnote w:id="613">
    <w:p w14:paraId="7524DD11" w14:textId="77777777" w:rsidR="00BE1D1C" w:rsidRDefault="00000000" w:rsidP="00012502">
      <w:pPr>
        <w:pStyle w:val="Footnote"/>
        <w:bidi/>
      </w:pPr>
      <w:r>
        <w:rPr>
          <w:rStyle w:val="ac"/>
          <w:rtl/>
        </w:rPr>
        <w:footnoteRef/>
      </w:r>
      <w:r>
        <w:rPr>
          <w:rtl/>
        </w:rPr>
        <w:t>והמהר"ח או"ז הביא כעי"ז מח' [הו' בתוס' חולין צט.] גבי טעם כעיקר, דדעת ר' יוסף דאורליינש דאינו לוקה משום נבילה, דניתק לעשה בגיעולי גוים. ולדעת ר"ת אהדריה קרא, ולוקה משום נבילה. וכמו (בכורות טו:) דדרשי' תזבח ולא גיזה, ועי"ז לוקה בפסולי מוקדשים.</w:t>
      </w:r>
    </w:p>
    <w:p w14:paraId="2241C86B" w14:textId="77777777" w:rsidR="00BE1D1C" w:rsidRDefault="00000000" w:rsidP="00012502">
      <w:pPr>
        <w:pStyle w:val="Footnote"/>
        <w:bidi/>
      </w:pPr>
      <w:r>
        <w:rPr>
          <w:rtl/>
        </w:rPr>
        <w:tab/>
        <w:t>וביאר [דעת הר' יוסף] דאף דצריכי לגופייהו חשיבי 'ניתוק', כיון שכתובים בלשון עשה. וכן בסוגיין לא יבנה כתוב בלשון לאו ועשה ולא בלשון כרת, ומש"ה הוה ניתוק.</w:t>
      </w:r>
    </w:p>
  </w:footnote>
  <w:footnote w:id="614">
    <w:p w14:paraId="50B2726F" w14:textId="77777777" w:rsidR="00BE1D1C" w:rsidRDefault="00000000" w:rsidP="00012502">
      <w:pPr>
        <w:pStyle w:val="Footnote"/>
        <w:bidi/>
      </w:pPr>
      <w:r>
        <w:rPr>
          <w:rStyle w:val="ac"/>
          <w:rtl/>
        </w:rPr>
        <w:footnoteRef/>
      </w:r>
      <w:r>
        <w:rPr>
          <w:rtl/>
        </w:rPr>
        <w:t>שהעשה דבית אחד הוא בונה מגלה לנו דלא יבנה מיירי גם בב' צרות. דאם יכול לבנות שתים איך תדרוש כיון שלא בנה לזאת אי אפשר לבנות שתים רק זו אחר זו.</w:t>
      </w:r>
    </w:p>
  </w:footnote>
  <w:footnote w:id="615">
    <w:p w14:paraId="68DCE3B0" w14:textId="77777777" w:rsidR="00BE1D1C" w:rsidRDefault="00000000" w:rsidP="00012502">
      <w:pPr>
        <w:pStyle w:val="Footnote"/>
        <w:bidi/>
      </w:pPr>
      <w:r>
        <w:rPr>
          <w:rStyle w:val="ac"/>
          <w:rtl/>
        </w:rPr>
        <w:footnoteRef/>
      </w:r>
      <w:r>
        <w:rPr>
          <w:rtl/>
        </w:rPr>
        <w:t>דהרא"ש לא חשש לקו' זו.</w:t>
      </w:r>
    </w:p>
  </w:footnote>
  <w:footnote w:id="616">
    <w:p w14:paraId="7D17CF32" w14:textId="77777777" w:rsidR="00BE1D1C" w:rsidRDefault="00000000" w:rsidP="00012502">
      <w:pPr>
        <w:pStyle w:val="Footnote"/>
        <w:bidi/>
      </w:pPr>
      <w:r>
        <w:rPr>
          <w:rStyle w:val="ac"/>
          <w:rtl/>
        </w:rPr>
        <w:footnoteRef/>
      </w:r>
      <w:r>
        <w:rPr>
          <w:rtl/>
        </w:rPr>
        <w:t>[דהגמ' מסתפקת בדעת ר' ישבב בחייבי עשה].</w:t>
      </w:r>
    </w:p>
  </w:footnote>
  <w:footnote w:id="617">
    <w:p w14:paraId="15749F76" w14:textId="77777777" w:rsidR="00BE1D1C" w:rsidRDefault="00000000" w:rsidP="00012502">
      <w:pPr>
        <w:pStyle w:val="Footnote"/>
        <w:bidi/>
      </w:pPr>
      <w:r>
        <w:rPr>
          <w:rStyle w:val="ac"/>
          <w:rtl/>
        </w:rPr>
        <w:footnoteRef/>
      </w:r>
      <w:r>
        <w:rPr>
          <w:rtl/>
        </w:rPr>
        <w:t>אבל ה</w:t>
      </w:r>
      <w:r>
        <w:rPr>
          <w:b/>
          <w:bCs/>
          <w:rtl/>
        </w:rPr>
        <w:t>רמב"ם</w:t>
      </w:r>
      <w:r>
        <w:rPr>
          <w:rtl/>
        </w:rPr>
        <w:t xml:space="preserve"> (אישות א ח) כתב דיש ג' חייבי עשה, ולא הזכיר רביעי צרת יבמתו. ו</w:t>
      </w:r>
      <w:r>
        <w:rPr>
          <w:b/>
          <w:bCs/>
          <w:rtl/>
        </w:rPr>
        <w:t>ה"ה</w:t>
      </w:r>
      <w:r>
        <w:rPr>
          <w:rtl/>
        </w:rPr>
        <w:t xml:space="preserve"> (אישות ד יד) כתב דלא מנאו שאינו נמנית בלאו מיוחד [וע' משנ"ל א ח דהאריך בזה]. ועוה"ק ה</w:t>
      </w:r>
      <w:r>
        <w:rPr>
          <w:b/>
          <w:bCs/>
          <w:rtl/>
        </w:rPr>
        <w:t>לח"מ</w:t>
      </w:r>
      <w:r>
        <w:rPr>
          <w:rtl/>
        </w:rPr>
        <w:t xml:space="preserve"> אמאי לא מנאו במנין המצוות. ותי' דנכלל במצוות יבום, דהכל עשה א'.</w:t>
      </w:r>
    </w:p>
  </w:footnote>
  <w:footnote w:id="618">
    <w:p w14:paraId="361633BB" w14:textId="77777777" w:rsidR="00BE1D1C" w:rsidRDefault="00000000" w:rsidP="00012502">
      <w:pPr>
        <w:pStyle w:val="Footnote"/>
        <w:bidi/>
      </w:pPr>
      <w:r>
        <w:rPr>
          <w:rStyle w:val="ac"/>
          <w:rtl/>
        </w:rPr>
        <w:footnoteRef/>
      </w:r>
      <w:r>
        <w:rPr>
          <w:rtl/>
        </w:rPr>
        <w:t>והביאו שכ"כ ה</w:t>
      </w:r>
      <w:r>
        <w:rPr>
          <w:b/>
          <w:bCs/>
          <w:rtl/>
        </w:rPr>
        <w:t>ראב"ן</w:t>
      </w:r>
      <w:r>
        <w:rPr>
          <w:rtl/>
        </w:rPr>
        <w:t xml:space="preserve"> (במהד' ישנה). [והביאו עוד דבראב"ן משמע דעובר משעת קידושין, ודלא כמ"ש תוס' י: ד"ה החולץ].</w:t>
      </w:r>
    </w:p>
  </w:footnote>
  <w:footnote w:id="619">
    <w:p w14:paraId="0CCB59D0" w14:textId="77777777" w:rsidR="00BE1D1C" w:rsidRDefault="00000000" w:rsidP="00012502">
      <w:pPr>
        <w:pStyle w:val="Footnote"/>
        <w:bidi/>
      </w:pPr>
      <w:r>
        <w:rPr>
          <w:rStyle w:val="ac"/>
          <w:rtl/>
        </w:rPr>
        <w:footnoteRef/>
      </w:r>
      <w:r>
        <w:rPr>
          <w:rtl/>
        </w:rPr>
        <w:t>וה</w:t>
      </w:r>
      <w:r>
        <w:rPr>
          <w:b/>
          <w:bCs/>
          <w:rtl/>
        </w:rPr>
        <w:t>מהר"ח או"ז</w:t>
      </w:r>
      <w:r>
        <w:rPr>
          <w:rtl/>
        </w:rPr>
        <w:t xml:space="preserve"> (קסד) הביא כן בשם רבינו משה מאיוורא, דעבדינן פטורה בביאת חברתה כמו בחליצת חברתה.</w:t>
      </w:r>
    </w:p>
  </w:footnote>
  <w:footnote w:id="620">
    <w:p w14:paraId="704141F9" w14:textId="77777777" w:rsidR="00BE1D1C" w:rsidRDefault="00000000" w:rsidP="00012502">
      <w:pPr>
        <w:pStyle w:val="Footnote"/>
        <w:bidi/>
      </w:pPr>
      <w:r>
        <w:rPr>
          <w:rStyle w:val="ac"/>
          <w:rtl/>
        </w:rPr>
        <w:footnoteRef/>
      </w:r>
      <w:r>
        <w:rPr>
          <w:rtl/>
        </w:rPr>
        <w:t>וה</w:t>
      </w:r>
      <w:r>
        <w:rPr>
          <w:b/>
          <w:bCs/>
          <w:rtl/>
        </w:rPr>
        <w:t xml:space="preserve">רמב"ן </w:t>
      </w:r>
      <w:r>
        <w:rPr>
          <w:rtl/>
        </w:rPr>
        <w:t>כתב דהו"ל לחדש דסוטה עצמה פטורה [ואי"צ חליצה].</w:t>
      </w:r>
    </w:p>
  </w:footnote>
  <w:footnote w:id="621">
    <w:p w14:paraId="128CDD41" w14:textId="77777777" w:rsidR="00BE1D1C" w:rsidRDefault="00000000" w:rsidP="00012502">
      <w:pPr>
        <w:pStyle w:val="Footnote"/>
        <w:bidi/>
      </w:pPr>
      <w:r>
        <w:rPr>
          <w:rStyle w:val="ac"/>
          <w:rtl/>
        </w:rPr>
        <w:footnoteRef/>
      </w:r>
      <w:r>
        <w:rPr>
          <w:rtl/>
        </w:rPr>
        <w:t>ואף דהגמ' (לקמן כ.) מדמה ביניהם.</w:t>
      </w:r>
    </w:p>
  </w:footnote>
  <w:footnote w:id="622">
    <w:p w14:paraId="4110BA64" w14:textId="77777777" w:rsidR="00BE1D1C" w:rsidRDefault="00000000" w:rsidP="00012502">
      <w:pPr>
        <w:pStyle w:val="Footnote"/>
        <w:bidi/>
      </w:pPr>
      <w:r>
        <w:rPr>
          <w:rStyle w:val="ac"/>
          <w:rtl/>
        </w:rPr>
        <w:footnoteRef/>
      </w:r>
      <w:r>
        <w:rPr>
          <w:rtl/>
        </w:rPr>
        <w:t>וה</w:t>
      </w:r>
      <w:r>
        <w:rPr>
          <w:b/>
          <w:bCs/>
          <w:rtl/>
        </w:rPr>
        <w:t>אחיעזר</w:t>
      </w:r>
      <w:r>
        <w:rPr>
          <w:rtl/>
        </w:rPr>
        <w:t xml:space="preserve"> (א א יג בסופו) הק' א"כ אמאי מקשה (לעיל ג:) אמאי איצטריך 'עליה' לפטור, הא איצטריך לסוטה דליכא איסור. ותי' דעיקר קרא קאי באחות אשה, והק' היכי משכח"ל באחות אשה.</w:t>
      </w:r>
    </w:p>
  </w:footnote>
  <w:footnote w:id="623">
    <w:p w14:paraId="39CB5583" w14:textId="77777777" w:rsidR="00BE1D1C" w:rsidRDefault="00000000" w:rsidP="00012502">
      <w:pPr>
        <w:pStyle w:val="Footnote"/>
        <w:bidi/>
      </w:pPr>
      <w:r>
        <w:rPr>
          <w:rStyle w:val="ac"/>
          <w:rtl/>
        </w:rPr>
        <w:footnoteRef/>
      </w:r>
      <w:r>
        <w:rPr>
          <w:rtl/>
        </w:rPr>
        <w:t>דדרשת 'טומאה' אינו פוטר מחליצה. דומיא דמחזיר גרושתו (ע' בע"ב). [אך דעת תוס' (בע"ב) דטומאה דמחזיר גרושתו פוטרת מחליצה]. וה</w:t>
      </w:r>
      <w:r>
        <w:rPr>
          <w:b/>
          <w:bCs/>
          <w:rtl/>
        </w:rPr>
        <w:t>אחיעזר</w:t>
      </w:r>
      <w:r>
        <w:rPr>
          <w:rtl/>
        </w:rPr>
        <w:t xml:space="preserve"> (שם יד) הק' דכתיב 'טומאה' והוקש לעריות דכיון דאינם עולים ליבום אי"צ חליצה [כדלעיל ג.]. ותי' דאף בעריות הא דאי"צ חליצה משום דלא תפסי קידושין (כדלקמן כ.).</w:t>
      </w:r>
    </w:p>
  </w:footnote>
  <w:footnote w:id="624">
    <w:p w14:paraId="489C4B7F" w14:textId="77777777" w:rsidR="00BE1D1C" w:rsidRDefault="00000000" w:rsidP="00012502">
      <w:pPr>
        <w:pStyle w:val="Footnote"/>
        <w:bidi/>
      </w:pPr>
      <w:r>
        <w:rPr>
          <w:rStyle w:val="ac"/>
          <w:rtl/>
        </w:rPr>
        <w:footnoteRef/>
      </w:r>
      <w:r>
        <w:rPr>
          <w:rtl/>
        </w:rPr>
        <w:t>[וכיון דהיא פטורה, ילפי' 'טומאה' דאף צרתה כמותה].</w:t>
      </w:r>
    </w:p>
  </w:footnote>
  <w:footnote w:id="625">
    <w:p w14:paraId="2F0916DD" w14:textId="77777777" w:rsidR="00BE1D1C" w:rsidRDefault="00000000" w:rsidP="00012502">
      <w:pPr>
        <w:pStyle w:val="Footnote"/>
        <w:bidi/>
      </w:pPr>
      <w:r>
        <w:rPr>
          <w:rStyle w:val="ac"/>
          <w:rtl/>
        </w:rPr>
        <w:footnoteRef/>
      </w:r>
      <w:r>
        <w:rPr>
          <w:rtl/>
        </w:rPr>
        <w:t>[וכ"כ ה</w:t>
      </w:r>
      <w:r>
        <w:rPr>
          <w:b/>
          <w:bCs/>
          <w:rtl/>
        </w:rPr>
        <w:t>מאירי</w:t>
      </w:r>
      <w:r>
        <w:rPr>
          <w:rtl/>
        </w:rPr>
        <w:t xml:space="preserve"> דקאי רק בלאו]. ומבואר בדבריו דגדר טומאה אינה פוטרתה מיבום לגמרי, אלא נחשב שיש לאו על היבום. ואף במקום שהתורה אסרה את היבום אמרי' עדל"ת [וע' בע"ב בשם הכס"מ].</w:t>
      </w:r>
    </w:p>
  </w:footnote>
  <w:footnote w:id="626">
    <w:p w14:paraId="0ABED9F4" w14:textId="77777777" w:rsidR="00BE1D1C" w:rsidRDefault="00000000" w:rsidP="00012502">
      <w:pPr>
        <w:pStyle w:val="Footnote"/>
        <w:bidi/>
      </w:pPr>
      <w:r>
        <w:rPr>
          <w:rStyle w:val="ac"/>
          <w:rtl/>
        </w:rPr>
        <w:footnoteRef/>
      </w:r>
      <w:r>
        <w:rPr>
          <w:rtl/>
        </w:rPr>
        <w:t>וכן מדברי הרמב"ן מבואר דאף אילו ליכא פטור מחליצה בסוטה ילפי' טומאה דדין 'לצרור' שיהא צרתה כמותה.</w:t>
      </w:r>
    </w:p>
  </w:footnote>
  <w:footnote w:id="627">
    <w:p w14:paraId="56BC2BEC" w14:textId="77777777" w:rsidR="00BE1D1C" w:rsidRDefault="00000000" w:rsidP="00012502">
      <w:pPr>
        <w:pStyle w:val="Footnote"/>
        <w:bidi/>
      </w:pPr>
      <w:r>
        <w:rPr>
          <w:rStyle w:val="ac"/>
          <w:rtl/>
        </w:rPr>
        <w:footnoteRef/>
      </w:r>
      <w:r>
        <w:rPr>
          <w:rtl/>
        </w:rPr>
        <w:t>ובדברי הריטב"א מבואר דאף היכא שזקוקה ליבום [בביאה ראשונה], אפ"ה דינה כצרתה.</w:t>
      </w:r>
    </w:p>
  </w:footnote>
  <w:footnote w:id="628">
    <w:p w14:paraId="0BEDE51D" w14:textId="77777777" w:rsidR="00BE1D1C" w:rsidRDefault="00000000" w:rsidP="00012502">
      <w:pPr>
        <w:pStyle w:val="Footnote"/>
        <w:bidi/>
      </w:pPr>
      <w:r>
        <w:rPr>
          <w:rStyle w:val="ac"/>
          <w:rtl/>
        </w:rPr>
        <w:footnoteRef/>
      </w:r>
      <w:r>
        <w:rPr>
          <w:rtl/>
        </w:rPr>
        <w:t>ואף היכא דליכא איסור אשת אח.</w:t>
      </w:r>
    </w:p>
  </w:footnote>
  <w:footnote w:id="629">
    <w:p w14:paraId="407B3DFC" w14:textId="77777777" w:rsidR="00BE1D1C" w:rsidRDefault="00000000" w:rsidP="00012502">
      <w:pPr>
        <w:pStyle w:val="Footnote"/>
        <w:bidi/>
      </w:pPr>
      <w:r>
        <w:rPr>
          <w:rStyle w:val="ac"/>
          <w:rtl/>
        </w:rPr>
        <w:footnoteRef/>
      </w:r>
      <w:r>
        <w:rPr>
          <w:rtl/>
        </w:rPr>
        <w:t>מקושיית הגמ' גבי סוטה ספק, וכן בגמ' (לעיל ג:). אבל ה</w:t>
      </w:r>
      <w:r>
        <w:rPr>
          <w:b/>
          <w:bCs/>
          <w:rtl/>
        </w:rPr>
        <w:t>ריטב"א</w:t>
      </w:r>
      <w:r>
        <w:rPr>
          <w:rtl/>
        </w:rPr>
        <w:t xml:space="preserve"> בשם ה</w:t>
      </w:r>
      <w:r>
        <w:rPr>
          <w:b/>
          <w:bCs/>
          <w:rtl/>
        </w:rPr>
        <w:t>רא"ה</w:t>
      </w:r>
      <w:r>
        <w:rPr>
          <w:rtl/>
        </w:rPr>
        <w:t xml:space="preserve"> [וכן ה</w:t>
      </w:r>
      <w:r>
        <w:rPr>
          <w:b/>
          <w:bCs/>
          <w:rtl/>
        </w:rPr>
        <w:t>מאירי</w:t>
      </w:r>
      <w:r>
        <w:rPr>
          <w:rtl/>
        </w:rPr>
        <w:t>] כת' דאף סוגיין ס"ל דחולצת. וביאר דקושיית הגמ' דמשמע דהצרה מתייבמת. [ולפ"ז מבואר דצרת ספק סוטה מתייבמת וכדעת ה</w:t>
      </w:r>
      <w:r>
        <w:rPr>
          <w:b/>
          <w:bCs/>
          <w:rtl/>
        </w:rPr>
        <w:t>רמב"ם</w:t>
      </w:r>
      <w:r>
        <w:rPr>
          <w:rtl/>
        </w:rPr>
        <w:t>, אבל ל</w:t>
      </w:r>
      <w:r>
        <w:rPr>
          <w:b/>
          <w:bCs/>
          <w:rtl/>
        </w:rPr>
        <w:t>תוס'</w:t>
      </w:r>
      <w:r>
        <w:rPr>
          <w:rtl/>
        </w:rPr>
        <w:t xml:space="preserve"> [בחד תי'] צרת סוטה ספק לא תתייבם, דספק הוה סוטה גמורה]. אך ה</w:t>
      </w:r>
      <w:r>
        <w:rPr>
          <w:b/>
          <w:bCs/>
          <w:rtl/>
        </w:rPr>
        <w:t>ריטב"א</w:t>
      </w:r>
      <w:r>
        <w:rPr>
          <w:rtl/>
        </w:rPr>
        <w:t xml:space="preserve"> הק' מהגמ' (ג:) דמתני' לאפוקי סוטה, מבואר דאי"צ חליצה.</w:t>
      </w:r>
    </w:p>
  </w:footnote>
  <w:footnote w:id="630">
    <w:p w14:paraId="5305CC14" w14:textId="77777777" w:rsidR="00BE1D1C" w:rsidRDefault="00000000" w:rsidP="00012502">
      <w:pPr>
        <w:pStyle w:val="Footnote"/>
        <w:bidi/>
      </w:pPr>
      <w:r>
        <w:rPr>
          <w:rStyle w:val="ac"/>
          <w:rtl/>
        </w:rPr>
        <w:footnoteRef/>
      </w:r>
      <w:r>
        <w:rPr>
          <w:rtl/>
        </w:rPr>
        <w:t>וה</w:t>
      </w:r>
      <w:r>
        <w:rPr>
          <w:b/>
          <w:bCs/>
          <w:rtl/>
        </w:rPr>
        <w:t>גר"א</w:t>
      </w:r>
      <w:r>
        <w:rPr>
          <w:rtl/>
        </w:rPr>
        <w:t xml:space="preserve"> (קעג יב) כת' דלראב"ד דרשי' 'לאחר ולא ליבם' אף בסוטה ודאי. ובעי חליצה.</w:t>
      </w:r>
    </w:p>
  </w:footnote>
  <w:footnote w:id="631">
    <w:p w14:paraId="20730BCF" w14:textId="77777777" w:rsidR="00BE1D1C" w:rsidRDefault="00000000" w:rsidP="00012502">
      <w:pPr>
        <w:pStyle w:val="Footnote"/>
        <w:bidi/>
      </w:pPr>
      <w:r>
        <w:rPr>
          <w:rStyle w:val="ac"/>
          <w:rtl/>
        </w:rPr>
        <w:footnoteRef/>
      </w:r>
      <w:r>
        <w:rPr>
          <w:rtl/>
        </w:rPr>
        <w:t xml:space="preserve">משמע מדברי הרמב"ן דמסברא כשנעשית ערוה פקע הקידושין. ושאני סוטה דתפסי בה קידושין. וכדעת </w:t>
      </w:r>
      <w:r>
        <w:rPr>
          <w:b/>
          <w:bCs/>
          <w:rtl/>
        </w:rPr>
        <w:t>רש"י</w:t>
      </w:r>
      <w:r>
        <w:rPr>
          <w:rtl/>
        </w:rPr>
        <w:t xml:space="preserve"> (לקמן מט וקידו' סח.), אבל דעת </w:t>
      </w:r>
      <w:r>
        <w:rPr>
          <w:b/>
          <w:bCs/>
          <w:rtl/>
        </w:rPr>
        <w:t>תוס'</w:t>
      </w:r>
      <w:r>
        <w:rPr>
          <w:rtl/>
        </w:rPr>
        <w:t xml:space="preserve"> (שם) דלא פקעי הקידושין כשנעשית ערוה.</w:t>
      </w:r>
    </w:p>
  </w:footnote>
  <w:footnote w:id="632">
    <w:p w14:paraId="7898D74B" w14:textId="77777777" w:rsidR="00BE1D1C" w:rsidRDefault="00000000" w:rsidP="00012502">
      <w:pPr>
        <w:pStyle w:val="Footnote"/>
        <w:bidi/>
      </w:pPr>
      <w:r>
        <w:rPr>
          <w:rStyle w:val="ac"/>
          <w:rtl/>
        </w:rPr>
        <w:footnoteRef/>
      </w:r>
      <w:r>
        <w:rPr>
          <w:rtl/>
        </w:rPr>
        <w:t>וה</w:t>
      </w:r>
      <w:r>
        <w:rPr>
          <w:b/>
          <w:bCs/>
          <w:rtl/>
        </w:rPr>
        <w:t>קה"י</w:t>
      </w:r>
      <w:r>
        <w:rPr>
          <w:rtl/>
        </w:rPr>
        <w:t xml:space="preserve"> (ז) כ' דלפ"ז מתיישב דסוגיין מדין ק"ו, אבל בתחילת הגמ' בסוטה לא ידעינן לק"ו, ואף סוטה ודאי א"א לפטור מדין טומאה.</w:t>
      </w:r>
    </w:p>
  </w:footnote>
  <w:footnote w:id="633">
    <w:p w14:paraId="1A8842F2" w14:textId="77777777" w:rsidR="00BE1D1C" w:rsidRDefault="00000000" w:rsidP="00012502">
      <w:pPr>
        <w:pStyle w:val="Footnote"/>
        <w:bidi/>
      </w:pPr>
      <w:r>
        <w:rPr>
          <w:rStyle w:val="ac"/>
          <w:rtl/>
        </w:rPr>
        <w:footnoteRef/>
      </w:r>
      <w:r>
        <w:rPr>
          <w:rtl/>
        </w:rPr>
        <w:t>וה</w:t>
      </w:r>
      <w:r>
        <w:rPr>
          <w:b/>
          <w:bCs/>
          <w:rtl/>
        </w:rPr>
        <w:t>אחיעזר</w:t>
      </w:r>
      <w:r>
        <w:rPr>
          <w:rtl/>
        </w:rPr>
        <w:t xml:space="preserve"> (א א א) כת' דסמך אקרא (הו' בגמ' סוטה ה:, הו' בסמוך) דלאחר ולא ליבם, דילפי' איסור ליבם. [ולכאורה כ"ד הרמב"ם. אבל לא ס"ל כן].</w:t>
      </w:r>
    </w:p>
  </w:footnote>
  <w:footnote w:id="634">
    <w:p w14:paraId="787D0A90" w14:textId="77777777" w:rsidR="00BE1D1C" w:rsidRDefault="00000000" w:rsidP="00012502">
      <w:pPr>
        <w:pStyle w:val="Footnote"/>
        <w:bidi/>
      </w:pPr>
      <w:r>
        <w:rPr>
          <w:rStyle w:val="ac"/>
          <w:rtl/>
        </w:rPr>
        <w:footnoteRef/>
      </w:r>
      <w:r>
        <w:rPr>
          <w:rtl/>
        </w:rPr>
        <w:t>ובזה ניחא שדן לענין לפטור מחליצה, דבלאו הכי אסורה עליו ליבום.</w:t>
      </w:r>
    </w:p>
  </w:footnote>
  <w:footnote w:id="635">
    <w:p w14:paraId="700B2F8B" w14:textId="77777777" w:rsidR="00BE1D1C" w:rsidRDefault="00000000" w:rsidP="00012502">
      <w:pPr>
        <w:pStyle w:val="Footnote"/>
        <w:bidi/>
      </w:pPr>
      <w:r>
        <w:rPr>
          <w:rStyle w:val="ac"/>
          <w:rtl/>
        </w:rPr>
        <w:footnoteRef/>
      </w:r>
      <w:r>
        <w:rPr>
          <w:rtl/>
        </w:rPr>
        <w:t>וה</w:t>
      </w:r>
      <w:r>
        <w:rPr>
          <w:b/>
          <w:bCs/>
          <w:rtl/>
        </w:rPr>
        <w:t>רשב"א</w:t>
      </w:r>
      <w:r>
        <w:rPr>
          <w:rtl/>
        </w:rPr>
        <w:t xml:space="preserve"> (לקמן כ:) כת' די"ל דחולצת אף מדאורייתא, דילפי' (לרב גידל שם) דיש לך אחרת שעולה לחליצה ואינה עולה ליבום. וכן מחזיר גרושתו (בע"ב) דפטורה מן היבום מקל וחומר, וחולצת דבר תורה. י"ל דילפי' כולהו מ'יבמתו' דעולות לחליצה אף שאינן עולות ליבום. [ולשון הרשב"א משמע דנסתפק בזה, ויל"ד אי נסתפק שמא הך חליצה מדרבנן. אך יותר משמע דנסתפק שמא ילפי' מיבמתו, או דאי"צ ילפותא].</w:t>
      </w:r>
    </w:p>
  </w:footnote>
  <w:footnote w:id="636">
    <w:p w14:paraId="782BE3CD" w14:textId="77777777" w:rsidR="00BE1D1C" w:rsidRDefault="00000000" w:rsidP="00012502">
      <w:pPr>
        <w:pStyle w:val="Footnote"/>
        <w:bidi/>
      </w:pPr>
      <w:r>
        <w:rPr>
          <w:rStyle w:val="ac"/>
          <w:rtl/>
        </w:rPr>
        <w:footnoteRef/>
      </w:r>
      <w:r>
        <w:rPr>
          <w:rtl/>
        </w:rPr>
        <w:t>וה"מ סוטה ספק, אבל סוטה ודאי אי"צ חליצה לדעת רוב הראשונים. ולא אמרי' הך סברא [וע' מה שהו' לעיל].</w:t>
      </w:r>
    </w:p>
  </w:footnote>
  <w:footnote w:id="637">
    <w:p w14:paraId="46CF1680" w14:textId="77777777" w:rsidR="00BE1D1C" w:rsidRDefault="00000000" w:rsidP="00012502">
      <w:pPr>
        <w:pStyle w:val="Footnote"/>
        <w:bidi/>
      </w:pPr>
      <w:r>
        <w:rPr>
          <w:rStyle w:val="ac"/>
          <w:rtl/>
        </w:rPr>
        <w:footnoteRef/>
      </w:r>
      <w:r>
        <w:rPr>
          <w:rtl/>
        </w:rPr>
        <w:t>ובתי' הא' כתבו תוס' משום דהוה להחמיר [והקשו דמ"מ מהני טעם זה שלא תתייבם, ומה מקשה הגמ' שם].</w:t>
      </w:r>
    </w:p>
  </w:footnote>
  <w:footnote w:id="638">
    <w:p w14:paraId="119EFD0D" w14:textId="77777777" w:rsidR="00BE1D1C" w:rsidRDefault="00000000" w:rsidP="00012502">
      <w:pPr>
        <w:pStyle w:val="Footnote"/>
        <w:bidi/>
      </w:pPr>
      <w:r>
        <w:rPr>
          <w:rStyle w:val="ac"/>
          <w:rtl/>
        </w:rPr>
        <w:footnoteRef/>
      </w:r>
      <w:r>
        <w:rPr>
          <w:rtl/>
        </w:rPr>
        <w:t>והביא דיש מ"ד ב</w:t>
      </w:r>
      <w:r>
        <w:rPr>
          <w:b/>
          <w:bCs/>
          <w:rtl/>
        </w:rPr>
        <w:t>גמ'</w:t>
      </w:r>
      <w:r>
        <w:rPr>
          <w:rtl/>
        </w:rPr>
        <w:t xml:space="preserve"> (סוטה כה.) דהבעל שמחל על קינויו דמחול, ומותרת [ואינו אפי' ספק].</w:t>
      </w:r>
    </w:p>
  </w:footnote>
  <w:footnote w:id="639">
    <w:p w14:paraId="1B5E9951" w14:textId="77777777" w:rsidR="00BE1D1C" w:rsidRDefault="00000000" w:rsidP="00012502">
      <w:pPr>
        <w:pStyle w:val="Footnote"/>
        <w:bidi/>
      </w:pPr>
      <w:r>
        <w:rPr>
          <w:rStyle w:val="ac"/>
          <w:rtl/>
        </w:rPr>
        <w:footnoteRef/>
      </w:r>
      <w:r>
        <w:rPr>
          <w:rtl/>
        </w:rPr>
        <w:t>וכן בספק טומאה ברה"י ילפי' מיניה דיש ב' גדרים, דנחשב ספק, ודין טומאה ודאי. וכ"כ ה</w:t>
      </w:r>
      <w:r>
        <w:rPr>
          <w:b/>
          <w:bCs/>
          <w:rtl/>
        </w:rPr>
        <w:t>מהר"ם</w:t>
      </w:r>
      <w:r>
        <w:rPr>
          <w:rtl/>
        </w:rPr>
        <w:t xml:space="preserve"> (חולין ט:) דאף שכתבו </w:t>
      </w:r>
      <w:r>
        <w:rPr>
          <w:b/>
          <w:bCs/>
          <w:rtl/>
        </w:rPr>
        <w:t>תוס</w:t>
      </w:r>
      <w:r>
        <w:rPr>
          <w:rtl/>
        </w:rPr>
        <w:t>' (נזיר נז.) בדבר דא"א להיות לא אמרי' ספק טומאה ברה"י כודאי, מ"מ לא מוקמינן לה אחזקה. דהתורה עשאה ספק. [וע"ע שמעתתא א יז]</w:t>
      </w:r>
    </w:p>
  </w:footnote>
  <w:footnote w:id="640">
    <w:p w14:paraId="172C77BE" w14:textId="77777777" w:rsidR="00BE1D1C" w:rsidRDefault="00000000" w:rsidP="00012502">
      <w:pPr>
        <w:pStyle w:val="Footnote"/>
        <w:bidi/>
      </w:pPr>
      <w:r>
        <w:rPr>
          <w:rStyle w:val="ac"/>
          <w:rtl/>
        </w:rPr>
        <w:footnoteRef/>
      </w:r>
      <w:r>
        <w:rPr>
          <w:rtl/>
        </w:rPr>
        <w:t xml:space="preserve">ויסוד לזה דיש ב' הגדרות, התורה עשאה ספק, וספק כודאי מבואר בדברי </w:t>
      </w:r>
      <w:r>
        <w:rPr>
          <w:b/>
          <w:bCs/>
          <w:rtl/>
        </w:rPr>
        <w:t>תוס</w:t>
      </w:r>
      <w:r>
        <w:rPr>
          <w:rtl/>
        </w:rPr>
        <w:t>' (סוטה כה: ד"ה בי"ה) דסוטה אין לה כתובה [למ"ד שטר העומד ליגבות לאו כגבוי], ול"מ טענת ברי דידה, כיון דהתורה עשאה ספק. [ואף דלגבי כתובה לא נתחדש דהוה כודאי, ולבי"ש יש לה כתובה מספק].</w:t>
      </w:r>
    </w:p>
  </w:footnote>
  <w:footnote w:id="641">
    <w:p w14:paraId="1FFA7A29" w14:textId="77777777" w:rsidR="00BE1D1C" w:rsidRDefault="00000000" w:rsidP="00012502">
      <w:pPr>
        <w:pStyle w:val="Footnote"/>
        <w:bidi/>
      </w:pPr>
      <w:r>
        <w:rPr>
          <w:rStyle w:val="ac"/>
          <w:rtl/>
        </w:rPr>
        <w:footnoteRef/>
      </w:r>
      <w:r>
        <w:rPr>
          <w:rtl/>
        </w:rPr>
        <w:t>וה</w:t>
      </w:r>
      <w:r>
        <w:rPr>
          <w:b/>
          <w:bCs/>
          <w:rtl/>
        </w:rPr>
        <w:t>גר"ח</w:t>
      </w:r>
      <w:r>
        <w:rPr>
          <w:rtl/>
        </w:rPr>
        <w:t xml:space="preserve"> (שם) כתב דמהני הקינוי לדין 'לאחר ולא ליבם' [דתליא בדין הבעל].</w:t>
      </w:r>
    </w:p>
    <w:p w14:paraId="672D2AF8" w14:textId="77777777" w:rsidR="00BE1D1C" w:rsidRDefault="00000000" w:rsidP="00012502">
      <w:pPr>
        <w:pStyle w:val="Footnote"/>
        <w:bidi/>
      </w:pPr>
      <w:r>
        <w:rPr>
          <w:rtl/>
        </w:rPr>
        <w:tab/>
        <w:t>וכתב ועוי"ל דטומאה הוה דין מסויים ביבם, לפטור כערוה [ע"ד תוס' בסוטה הו' לעיל], ובזה ל"מ הקינוי. משא"כ האיסור לייבם [שהו' בגמ' בסוטה] תליא ב'איסור זנות'. ועוד דאיסור הבעל הוא האוסרה ליבם. [וה</w:t>
      </w:r>
      <w:r>
        <w:rPr>
          <w:b/>
          <w:bCs/>
          <w:rtl/>
        </w:rPr>
        <w:t>ברכ"ש</w:t>
      </w:r>
      <w:r>
        <w:rPr>
          <w:rtl/>
        </w:rPr>
        <w:t xml:space="preserve"> (ז) העמיד חקירה זו, האם הוה דין ערוה לבעל, או איסור מיוחד ליבם, הו' לעיל].</w:t>
      </w:r>
    </w:p>
  </w:footnote>
  <w:footnote w:id="642">
    <w:p w14:paraId="4AD64F26" w14:textId="77777777" w:rsidR="00BE1D1C" w:rsidRDefault="00000000" w:rsidP="00012502">
      <w:pPr>
        <w:pStyle w:val="Footnote"/>
        <w:bidi/>
      </w:pPr>
      <w:r>
        <w:rPr>
          <w:rStyle w:val="ac"/>
          <w:rtl/>
        </w:rPr>
        <w:footnoteRef/>
      </w:r>
      <w:r>
        <w:rPr>
          <w:rtl/>
        </w:rPr>
        <w:t>וכלישנא דלא רמינן עליה בע"כ.</w:t>
      </w:r>
    </w:p>
  </w:footnote>
  <w:footnote w:id="643">
    <w:p w14:paraId="1AA74397" w14:textId="77777777" w:rsidR="00BE1D1C" w:rsidRDefault="00000000" w:rsidP="00012502">
      <w:pPr>
        <w:pStyle w:val="Footnote"/>
        <w:bidi/>
      </w:pPr>
      <w:r>
        <w:rPr>
          <w:rStyle w:val="ac"/>
          <w:rtl/>
        </w:rPr>
        <w:footnoteRef/>
      </w:r>
      <w:r>
        <w:rPr>
          <w:rtl/>
        </w:rPr>
        <w:t>והוה חיוב כרת ודאי, דסברת ק"ו [ושאר תי'] אוסרים בתורת ודאי, והוה תולדה מהדין ספק כודאי דבעל.</w:t>
      </w:r>
    </w:p>
  </w:footnote>
  <w:footnote w:id="644">
    <w:p w14:paraId="1DD8C915" w14:textId="77777777" w:rsidR="00BE1D1C" w:rsidRDefault="00000000" w:rsidP="00012502">
      <w:pPr>
        <w:pStyle w:val="Footnote"/>
        <w:bidi/>
      </w:pPr>
      <w:r>
        <w:rPr>
          <w:rStyle w:val="ac"/>
          <w:rtl/>
        </w:rPr>
        <w:footnoteRef/>
      </w:r>
      <w:r>
        <w:rPr>
          <w:rtl/>
        </w:rPr>
        <w:t>וה</w:t>
      </w:r>
      <w:r>
        <w:rPr>
          <w:b/>
          <w:bCs/>
          <w:rtl/>
        </w:rPr>
        <w:t>משנ"ל</w:t>
      </w:r>
      <w:r>
        <w:rPr>
          <w:rtl/>
        </w:rPr>
        <w:t xml:space="preserve"> (ו יט) כתב דאם עבר ונשא צרת סוטה ודאית [דהוה בכלל טומאה] קאי בכרת דאשת אח. ודלא כר"י גלאנטי דהוה כחיי"ל.</w:t>
      </w:r>
    </w:p>
  </w:footnote>
  <w:footnote w:id="645">
    <w:p w14:paraId="20A6DA36" w14:textId="77777777" w:rsidR="00BE1D1C" w:rsidRDefault="00000000" w:rsidP="00012502">
      <w:pPr>
        <w:pStyle w:val="Footnote"/>
        <w:bidi/>
      </w:pPr>
      <w:r>
        <w:rPr>
          <w:rStyle w:val="ac"/>
          <w:rtl/>
        </w:rPr>
        <w:footnoteRef/>
      </w:r>
      <w:r>
        <w:rPr>
          <w:rtl/>
        </w:rPr>
        <w:t>וה</w:t>
      </w:r>
      <w:r>
        <w:rPr>
          <w:b/>
          <w:bCs/>
          <w:rtl/>
        </w:rPr>
        <w:t>פרש"ד</w:t>
      </w:r>
      <w:r>
        <w:rPr>
          <w:rtl/>
        </w:rPr>
        <w:t xml:space="preserve"> העמיד הספק, דחייבי לאו ועשה מן הדין ל"צ אפי' חליצה, אלא דריבה אותה הכתוב מדכתיב יבמתו השערה (וכדאי' לקמן כ.), ונהי דלחליצה ריבה אותה ליבום אפשר דבאיסורה קיימא. או אפשר דכיון דריבה אותה הכתוב לחליצה פקע ממנה איסור אשת אח. וצ״ע.</w:t>
      </w:r>
    </w:p>
  </w:footnote>
  <w:footnote w:id="646">
    <w:p w14:paraId="3C0E0A35" w14:textId="77777777" w:rsidR="00BE1D1C" w:rsidRDefault="00000000" w:rsidP="00012502">
      <w:pPr>
        <w:pStyle w:val="Footnote"/>
        <w:bidi/>
      </w:pPr>
      <w:r>
        <w:rPr>
          <w:rStyle w:val="ac"/>
          <w:rtl/>
        </w:rPr>
        <w:footnoteRef/>
      </w:r>
      <w:r>
        <w:rPr>
          <w:rtl/>
        </w:rPr>
        <w:t>[וכן מבואר בתוס' רא"ש (לעיל ג:), אך מדברי תוס' (לעיל ח:) דייקו דליכא איסור אשת אח].</w:t>
      </w:r>
    </w:p>
  </w:footnote>
  <w:footnote w:id="647">
    <w:p w14:paraId="01AA5CC3" w14:textId="77777777" w:rsidR="00BE1D1C" w:rsidRDefault="00000000" w:rsidP="00012502">
      <w:pPr>
        <w:pStyle w:val="Footnote"/>
        <w:bidi/>
      </w:pPr>
      <w:r>
        <w:rPr>
          <w:rStyle w:val="ac"/>
          <w:rtl/>
        </w:rPr>
        <w:footnoteRef/>
      </w:r>
      <w:r>
        <w:rPr>
          <w:rtl/>
        </w:rPr>
        <w:t>אבל ב</w:t>
      </w:r>
      <w:r>
        <w:rPr>
          <w:b/>
          <w:bCs/>
          <w:rtl/>
        </w:rPr>
        <w:t>ריטב"א</w:t>
      </w:r>
      <w:r>
        <w:rPr>
          <w:rtl/>
        </w:rPr>
        <w:t xml:space="preserve"> מבואר דלא כן, דס"ל דאמרי' בסוטה עשה דוחה ל"ת, ומותרת בביאה ראשונה.</w:t>
      </w:r>
    </w:p>
  </w:footnote>
  <w:footnote w:id="648">
    <w:p w14:paraId="7FB55F94" w14:textId="77777777" w:rsidR="00BE1D1C" w:rsidRDefault="00000000" w:rsidP="00012502">
      <w:pPr>
        <w:pStyle w:val="Footnote"/>
        <w:bidi/>
      </w:pPr>
      <w:r>
        <w:rPr>
          <w:rStyle w:val="ac"/>
          <w:rtl/>
        </w:rPr>
        <w:footnoteRef/>
      </w:r>
      <w:r>
        <w:rPr>
          <w:rtl/>
        </w:rPr>
        <w:t>אך ה</w:t>
      </w:r>
      <w:r>
        <w:rPr>
          <w:b/>
          <w:bCs/>
          <w:rtl/>
        </w:rPr>
        <w:t>משנ"ל</w:t>
      </w:r>
      <w:r>
        <w:rPr>
          <w:rtl/>
        </w:rPr>
        <w:t xml:space="preserve"> (ו) הביא בשם ה</w:t>
      </w:r>
      <w:r>
        <w:rPr>
          <w:b/>
          <w:bCs/>
          <w:rtl/>
        </w:rPr>
        <w:t>ר"י גלאנטי</w:t>
      </w:r>
      <w:r>
        <w:rPr>
          <w:rtl/>
        </w:rPr>
        <w:t xml:space="preserve"> דאף סוטה ודאי, אם אחיו ייבם באיסור קנאה [אף שפטורה מיבום וחליצה], דאינה אלא בעשה. [וכוונתו ד'טומאה' הוה עשה]. והמשנ"ל תמה דכיון דרחמנא פטרה מזיקה הרי היא אשת אח שלא במקום מצוה שהיא מחייבי כריתות.</w:t>
      </w:r>
    </w:p>
  </w:footnote>
  <w:footnote w:id="649">
    <w:p w14:paraId="6C20C08D" w14:textId="77777777" w:rsidR="00BE1D1C" w:rsidRDefault="00000000" w:rsidP="00012502">
      <w:pPr>
        <w:pStyle w:val="Footnote"/>
        <w:bidi/>
      </w:pPr>
      <w:r>
        <w:rPr>
          <w:rStyle w:val="ac"/>
          <w:rtl/>
        </w:rPr>
        <w:footnoteRef/>
      </w:r>
      <w:r>
        <w:rPr>
          <w:rtl/>
        </w:rPr>
        <w:t>ד</w:t>
      </w:r>
      <w:r>
        <w:rPr>
          <w:b/>
          <w:bCs/>
          <w:rtl/>
        </w:rPr>
        <w:t>תוס'</w:t>
      </w:r>
      <w:r>
        <w:rPr>
          <w:rtl/>
        </w:rPr>
        <w:t xml:space="preserve"> (שם) הקשו וכי איצטריך קרא למיסר ספיקא [היפך קושיית תוס' דידן]. וה</w:t>
      </w:r>
      <w:r>
        <w:rPr>
          <w:b/>
          <w:bCs/>
          <w:rtl/>
        </w:rPr>
        <w:t>אחרונים</w:t>
      </w:r>
      <w:r>
        <w:rPr>
          <w:rtl/>
        </w:rPr>
        <w:t xml:space="preserve"> פי' כוונת התוס' להקשות דאחרי שהתורה עשאה ספק, לא מוקמינן אחזקה והו"ל ספק דאורייתא [ואמאי בעינן לגדר 'ספק כודאי']. ועוד נל"פ כוונתם להקשות ע"פ הגמ' חולין כב: גבי אנדרוגינוס וציהוב, וכי איצטריך קרא למיסר ספיקא. ותוס' בקושיה שם נקטו דכוונת הגמ' דאין ראוי לפסוק לקבוע לנו דין [ודאי] לספיקות. [ויל"ד מתי נאמר כלל זה].</w:t>
      </w:r>
    </w:p>
  </w:footnote>
  <w:footnote w:id="650">
    <w:p w14:paraId="3F87DC7B" w14:textId="77777777" w:rsidR="00BE1D1C" w:rsidRDefault="00000000" w:rsidP="00012502">
      <w:pPr>
        <w:pStyle w:val="Footnote"/>
        <w:bidi/>
      </w:pPr>
      <w:r>
        <w:rPr>
          <w:rStyle w:val="ac"/>
          <w:rtl/>
        </w:rPr>
        <w:footnoteRef/>
      </w:r>
      <w:r>
        <w:rPr>
          <w:rtl/>
        </w:rPr>
        <w:t>וה</w:t>
      </w:r>
      <w:r>
        <w:rPr>
          <w:b/>
          <w:bCs/>
          <w:rtl/>
        </w:rPr>
        <w:t>אחרונים</w:t>
      </w:r>
      <w:r>
        <w:rPr>
          <w:rtl/>
        </w:rPr>
        <w:t xml:space="preserve"> (ע' או"ש סוטה א, קובה"ע טו) דנו אי אף היא אסורה [כשיודעת בבירור שמותרת].</w:t>
      </w:r>
    </w:p>
  </w:footnote>
  <w:footnote w:id="651">
    <w:p w14:paraId="5A222CE1" w14:textId="77777777" w:rsidR="00BE1D1C" w:rsidRDefault="00000000" w:rsidP="00012502">
      <w:pPr>
        <w:pStyle w:val="Footnote"/>
        <w:bidi/>
      </w:pPr>
      <w:r>
        <w:rPr>
          <w:rStyle w:val="ac"/>
          <w:rtl/>
        </w:rPr>
        <w:footnoteRef/>
      </w:r>
      <w:r>
        <w:rPr>
          <w:rtl/>
        </w:rPr>
        <w:t>משום דנתכוון לאכול בשר חזיר [נזיר כג.].</w:t>
      </w:r>
    </w:p>
  </w:footnote>
  <w:footnote w:id="652">
    <w:p w14:paraId="6C20978A" w14:textId="77777777" w:rsidR="00BE1D1C" w:rsidRDefault="00000000" w:rsidP="00012502">
      <w:pPr>
        <w:pStyle w:val="Footnote"/>
        <w:bidi/>
      </w:pPr>
      <w:r>
        <w:rPr>
          <w:rStyle w:val="ac"/>
          <w:rtl/>
        </w:rPr>
        <w:footnoteRef/>
      </w:r>
      <w:r>
        <w:rPr>
          <w:rtl/>
        </w:rPr>
        <w:t>[וה</w:t>
      </w:r>
      <w:r>
        <w:rPr>
          <w:b/>
          <w:bCs/>
          <w:rtl/>
        </w:rPr>
        <w:t>אחרונים</w:t>
      </w:r>
      <w:r>
        <w:rPr>
          <w:rtl/>
        </w:rPr>
        <w:t xml:space="preserve"> כתבו דלתי' הב' בתוס' דדוקא טומאת לאו פטרה, א"כ חזרו לסברת המקשן דהוה טומאה חדשה].</w:t>
      </w:r>
    </w:p>
  </w:footnote>
  <w:footnote w:id="653">
    <w:p w14:paraId="3962873D" w14:textId="77777777" w:rsidR="00BE1D1C" w:rsidRDefault="00000000" w:rsidP="00012502">
      <w:pPr>
        <w:pStyle w:val="Footnote"/>
        <w:bidi/>
      </w:pPr>
      <w:r>
        <w:rPr>
          <w:rStyle w:val="ac"/>
          <w:rtl/>
        </w:rPr>
        <w:footnoteRef/>
      </w:r>
      <w:r>
        <w:rPr>
          <w:rtl/>
        </w:rPr>
        <w:t>דילפי' מספק סוטה.</w:t>
      </w:r>
    </w:p>
  </w:footnote>
  <w:footnote w:id="654">
    <w:p w14:paraId="13EAFD9D" w14:textId="77777777" w:rsidR="00BE1D1C" w:rsidRDefault="00000000" w:rsidP="00012502">
      <w:pPr>
        <w:pStyle w:val="Footnote"/>
        <w:bidi/>
      </w:pPr>
      <w:r>
        <w:rPr>
          <w:rStyle w:val="ac"/>
          <w:rtl/>
        </w:rPr>
        <w:footnoteRef/>
      </w:r>
      <w:r>
        <w:rPr>
          <w:rtl/>
        </w:rPr>
        <w:t xml:space="preserve">וכן נזיר וביאת מקדש. והביאו דדעת </w:t>
      </w:r>
      <w:r>
        <w:rPr>
          <w:b/>
          <w:bCs/>
          <w:rtl/>
        </w:rPr>
        <w:t xml:space="preserve">תוס' </w:t>
      </w:r>
      <w:r>
        <w:rPr>
          <w:rtl/>
        </w:rPr>
        <w:t>(שבועות יט.) דחייב בביאת מקדש, ודעת ה</w:t>
      </w:r>
      <w:r>
        <w:rPr>
          <w:b/>
          <w:bCs/>
          <w:rtl/>
        </w:rPr>
        <w:t>רמב"ם</w:t>
      </w:r>
      <w:r>
        <w:rPr>
          <w:rtl/>
        </w:rPr>
        <w:t xml:space="preserve"> (שגגות יא ו) דפטור. ונח' בזה בירושלמי (פסחים ח ח, נזיר ח א). וע"ע </w:t>
      </w:r>
      <w:r>
        <w:rPr>
          <w:b/>
          <w:bCs/>
          <w:rtl/>
        </w:rPr>
        <w:t>מהרי"ט אלגאזי</w:t>
      </w:r>
      <w:r>
        <w:rPr>
          <w:rtl/>
        </w:rPr>
        <w:t xml:space="preserve"> (בכורות ה מב מד. בדה"ר) ו</w:t>
      </w:r>
      <w:r>
        <w:rPr>
          <w:b/>
          <w:bCs/>
          <w:rtl/>
        </w:rPr>
        <w:t>אחיעזר</w:t>
      </w:r>
      <w:r>
        <w:rPr>
          <w:rtl/>
        </w:rPr>
        <w:t xml:space="preserve"> (א א ב).</w:t>
      </w:r>
    </w:p>
  </w:footnote>
  <w:footnote w:id="655">
    <w:p w14:paraId="39102A55" w14:textId="77777777" w:rsidR="00BE1D1C" w:rsidRDefault="00000000" w:rsidP="00012502">
      <w:pPr>
        <w:pStyle w:val="Footnote"/>
        <w:bidi/>
      </w:pPr>
      <w:r>
        <w:rPr>
          <w:rStyle w:val="ac"/>
          <w:rtl/>
        </w:rPr>
        <w:footnoteRef/>
      </w:r>
      <w:r>
        <w:rPr>
          <w:rtl/>
        </w:rPr>
        <w:t>ונל"פ כוונת התוס' דאינה קושיה בפנ"ע [להתיר לביתה וכו'], אלא המשך ביאור לגמ' סוטה דיליף לאסור סוטה ספק מקרא דונטמאה, דאף דטומאה אל קאי אלא על הודאי, מ"מ ילפי' מיתורא דהתורה עשאה כודאי.</w:t>
      </w:r>
    </w:p>
  </w:footnote>
  <w:footnote w:id="656">
    <w:p w14:paraId="3C34BE7E" w14:textId="77777777" w:rsidR="00BE1D1C" w:rsidRDefault="00000000" w:rsidP="00012502">
      <w:pPr>
        <w:pStyle w:val="Footnote"/>
        <w:bidi/>
      </w:pPr>
      <w:r>
        <w:rPr>
          <w:rStyle w:val="ac"/>
          <w:rtl/>
        </w:rPr>
        <w:footnoteRef/>
      </w:r>
      <w:r>
        <w:rPr>
          <w:rtl/>
        </w:rPr>
        <w:t xml:space="preserve">וכמ"ש </w:t>
      </w:r>
      <w:r>
        <w:rPr>
          <w:b/>
          <w:bCs/>
          <w:rtl/>
        </w:rPr>
        <w:t>תוס</w:t>
      </w:r>
      <w:r>
        <w:rPr>
          <w:rtl/>
        </w:rPr>
        <w:t>' בכ"מ (ע"פ הסוגיא נזיר נז., ע' תוס' שם וחולין ט:).</w:t>
      </w:r>
    </w:p>
  </w:footnote>
  <w:footnote w:id="657">
    <w:p w14:paraId="4E7CC9C7" w14:textId="77777777" w:rsidR="00BE1D1C" w:rsidRDefault="00000000" w:rsidP="00012502">
      <w:pPr>
        <w:pStyle w:val="Footnote"/>
        <w:bidi/>
      </w:pPr>
      <w:r>
        <w:rPr>
          <w:rStyle w:val="ac"/>
          <w:rtl/>
        </w:rPr>
        <w:footnoteRef/>
      </w:r>
      <w:r>
        <w:rPr>
          <w:rtl/>
        </w:rPr>
        <w:t>וכדעת ה</w:t>
      </w:r>
      <w:r>
        <w:rPr>
          <w:b/>
          <w:bCs/>
          <w:rtl/>
        </w:rPr>
        <w:t>רמב"ם</w:t>
      </w:r>
      <w:r>
        <w:rPr>
          <w:rtl/>
        </w:rPr>
        <w:t xml:space="preserve"> (טומאת מת ט יב וכ"מ). ודוחק דבכ"מ מבואר בתוס' דמדאורי' לחומרא, וכדעת הרשב"א (קידו' עג. ותוה"ב ד א).</w:t>
      </w:r>
    </w:p>
  </w:footnote>
  <w:footnote w:id="658">
    <w:p w14:paraId="2455C79D" w14:textId="77777777" w:rsidR="00BE1D1C" w:rsidRDefault="00000000" w:rsidP="00012502">
      <w:pPr>
        <w:pStyle w:val="Footnote"/>
        <w:bidi/>
      </w:pPr>
      <w:r>
        <w:rPr>
          <w:rStyle w:val="ac"/>
          <w:rtl/>
        </w:rPr>
        <w:footnoteRef/>
      </w:r>
      <w:r>
        <w:rPr>
          <w:rtl/>
        </w:rPr>
        <w:t>ובי"ד לא כופים אותה מספק, כיון דטוענת ברי. אבל כיון דחידשה תורה ספק כודאי, מוטל על בי"ד לכוף, ול"מ ברי דידה. [ע"ע ר' יונה ברא"ש כתובות ט.].</w:t>
      </w:r>
    </w:p>
  </w:footnote>
  <w:footnote w:id="659">
    <w:p w14:paraId="09D7903B" w14:textId="77777777" w:rsidR="00BE1D1C" w:rsidRDefault="00000000" w:rsidP="00012502">
      <w:pPr>
        <w:pStyle w:val="Footnote"/>
        <w:bidi/>
      </w:pPr>
      <w:r>
        <w:rPr>
          <w:rStyle w:val="ac"/>
          <w:rtl/>
        </w:rPr>
        <w:footnoteRef/>
      </w:r>
      <w:r>
        <w:rPr>
          <w:rtl/>
        </w:rPr>
        <w:t>ה</w:t>
      </w:r>
      <w:r>
        <w:rPr>
          <w:b/>
          <w:bCs/>
          <w:rtl/>
        </w:rPr>
        <w:t>אחרונים</w:t>
      </w:r>
      <w:r>
        <w:rPr>
          <w:rtl/>
        </w:rPr>
        <w:t xml:space="preserve"> דנו דתוס' (בע"ב) כת' דבעלה לוקה. ומבואר דאף דילפי' להחמיר, עי"ז הוה איסור ודאי ולוקה עליו. [וכ"כ מהרי"ט אלגאזי בכורות פ"ה מב י מד. בדה"ס]. וה</w:t>
      </w:r>
      <w:r>
        <w:rPr>
          <w:b/>
          <w:bCs/>
          <w:rtl/>
        </w:rPr>
        <w:t>שער"י</w:t>
      </w:r>
      <w:r>
        <w:rPr>
          <w:rtl/>
        </w:rPr>
        <w:t xml:space="preserve"> (א יא) ביאר דכיון דילפי' להחמיר דהוה אסור, כתולדה מהאיסור לוקה. [ואין כאן ספק, אלא דגדר הילפו' להחמיר].</w:t>
      </w:r>
    </w:p>
  </w:footnote>
  <w:footnote w:id="660">
    <w:p w14:paraId="2DC4D1C5" w14:textId="77777777" w:rsidR="00BE1D1C" w:rsidRDefault="00000000" w:rsidP="00012502">
      <w:pPr>
        <w:pStyle w:val="Footnote"/>
        <w:bidi/>
      </w:pPr>
      <w:r>
        <w:rPr>
          <w:rStyle w:val="ac"/>
          <w:rtl/>
        </w:rPr>
        <w:footnoteRef/>
      </w:r>
      <w:r>
        <w:rPr>
          <w:rtl/>
        </w:rPr>
        <w:t>והריטב"א תי' שעשאוה כודאי ולחומרא לאוסרה, ואף ללאו. אבל לא עשאה כודאי לפטור לצרתה או לאוסרה ולפוטרה מן הייבום לגמרי.</w:t>
      </w:r>
    </w:p>
  </w:footnote>
  <w:footnote w:id="661">
    <w:p w14:paraId="72B03E17" w14:textId="77777777" w:rsidR="00BE1D1C" w:rsidRDefault="00000000" w:rsidP="00012502">
      <w:pPr>
        <w:pStyle w:val="Footnote"/>
        <w:bidi/>
      </w:pPr>
      <w:r>
        <w:rPr>
          <w:rStyle w:val="ac"/>
          <w:rtl/>
        </w:rPr>
        <w:footnoteRef/>
      </w:r>
      <w:r>
        <w:rPr>
          <w:rtl/>
        </w:rPr>
        <w:t>וה</w:t>
      </w:r>
      <w:r>
        <w:rPr>
          <w:b/>
          <w:bCs/>
          <w:rtl/>
        </w:rPr>
        <w:t>אחרונים</w:t>
      </w:r>
      <w:r>
        <w:rPr>
          <w:rtl/>
        </w:rPr>
        <w:t xml:space="preserve"> תי' דכלפי היבם אין כ"כ חזקה [ע"ע לקמן ל:]. וה</w:t>
      </w:r>
      <w:r>
        <w:rPr>
          <w:b/>
          <w:bCs/>
          <w:rtl/>
        </w:rPr>
        <w:t>אחיעזר</w:t>
      </w:r>
      <w:r>
        <w:rPr>
          <w:rtl/>
        </w:rPr>
        <w:t xml:space="preserve"> תי' דהיבם אינו טוען ברי.</w:t>
      </w:r>
    </w:p>
  </w:footnote>
  <w:footnote w:id="662">
    <w:p w14:paraId="6E4AFC27" w14:textId="77777777" w:rsidR="00BE1D1C" w:rsidRDefault="00000000" w:rsidP="00012502">
      <w:pPr>
        <w:pStyle w:val="Footnote"/>
        <w:bidi/>
      </w:pPr>
      <w:r>
        <w:rPr>
          <w:rStyle w:val="ac"/>
          <w:rtl/>
        </w:rPr>
        <w:footnoteRef/>
      </w:r>
      <w:r>
        <w:rPr>
          <w:rtl/>
        </w:rPr>
        <w:t>וב</w:t>
      </w:r>
      <w:r>
        <w:rPr>
          <w:b/>
          <w:bCs/>
          <w:rtl/>
        </w:rPr>
        <w:t>מס' דרך ארץ</w:t>
      </w:r>
      <w:r>
        <w:rPr>
          <w:rtl/>
        </w:rPr>
        <w:t xml:space="preserve"> (בתחילתו) איתא [לחד גירסא] דנתארסה לשני, נבעלה אסורה אף לר"י ב"כ [ולא תליא בנישואין].</w:t>
      </w:r>
    </w:p>
  </w:footnote>
  <w:footnote w:id="663">
    <w:p w14:paraId="4DB8517D" w14:textId="77777777" w:rsidR="00BE1D1C" w:rsidRDefault="00000000" w:rsidP="00012502">
      <w:pPr>
        <w:pStyle w:val="Footnote"/>
        <w:bidi/>
      </w:pPr>
      <w:r>
        <w:rPr>
          <w:rStyle w:val="ac"/>
          <w:rtl/>
        </w:rPr>
        <w:footnoteRef/>
      </w:r>
      <w:r>
        <w:rPr>
          <w:rtl/>
        </w:rPr>
        <w:t>וכ"כ ה</w:t>
      </w:r>
      <w:r>
        <w:rPr>
          <w:b/>
          <w:bCs/>
          <w:rtl/>
        </w:rPr>
        <w:t>רשב"א.</w:t>
      </w:r>
    </w:p>
  </w:footnote>
  <w:footnote w:id="664">
    <w:p w14:paraId="331B02DA" w14:textId="77777777" w:rsidR="00BE1D1C" w:rsidRDefault="00000000" w:rsidP="00012502">
      <w:pPr>
        <w:pStyle w:val="Footnote"/>
        <w:bidi/>
      </w:pPr>
      <w:r>
        <w:rPr>
          <w:rStyle w:val="ac"/>
          <w:rtl/>
        </w:rPr>
        <w:footnoteRef/>
      </w:r>
      <w:r>
        <w:rPr>
          <w:rtl/>
        </w:rPr>
        <w:t>ודלא כפ</w:t>
      </w:r>
      <w:r>
        <w:rPr>
          <w:b/>
          <w:bCs/>
          <w:rtl/>
        </w:rPr>
        <w:t>רש"י</w:t>
      </w:r>
      <w:r>
        <w:rPr>
          <w:rtl/>
        </w:rPr>
        <w:t xml:space="preserve"> (סוטה ז.) דמתרין בו שלא יוכל להשקותו.</w:t>
      </w:r>
    </w:p>
  </w:footnote>
  <w:footnote w:id="665">
    <w:p w14:paraId="2E4921E3" w14:textId="77777777" w:rsidR="00BE1D1C" w:rsidRDefault="00000000" w:rsidP="00012502">
      <w:pPr>
        <w:pStyle w:val="Footnote"/>
        <w:bidi/>
      </w:pPr>
      <w:r>
        <w:rPr>
          <w:rStyle w:val="ac"/>
          <w:rtl/>
        </w:rPr>
        <w:footnoteRef/>
      </w:r>
      <w:r>
        <w:rPr>
          <w:rtl/>
        </w:rPr>
        <w:t>ו</w:t>
      </w:r>
      <w:r>
        <w:rPr>
          <w:b/>
          <w:bCs/>
          <w:rtl/>
        </w:rPr>
        <w:t>תוס'</w:t>
      </w:r>
      <w:r>
        <w:rPr>
          <w:rtl/>
        </w:rPr>
        <w:t xml:space="preserve"> (כתובות מ. ד"ה ניתי) כת' דיש בסוטה לאו ועשה. לא יוכל בעלה, ודרשי' ונטמאה. [והאחרונים דנו דלדעת שא"ר לא חשיב 'עשה', אלא ילפותא דספק כודאי, והוה ל"ת לחוד].</w:t>
      </w:r>
    </w:p>
  </w:footnote>
  <w:footnote w:id="666">
    <w:p w14:paraId="46A5E040" w14:textId="77777777" w:rsidR="00BE1D1C" w:rsidRDefault="00000000" w:rsidP="00012502">
      <w:pPr>
        <w:pStyle w:val="Footnote"/>
        <w:bidi/>
      </w:pPr>
      <w:r>
        <w:rPr>
          <w:rStyle w:val="ac"/>
          <w:rtl/>
        </w:rPr>
        <w:footnoteRef/>
      </w:r>
      <w:r>
        <w:rPr>
          <w:rtl/>
        </w:rPr>
        <w:t xml:space="preserve">משמע דסוטה ודאי לוקה, וכ"כ </w:t>
      </w:r>
      <w:r>
        <w:rPr>
          <w:b/>
          <w:bCs/>
          <w:rtl/>
        </w:rPr>
        <w:t>ה"ה</w:t>
      </w:r>
      <w:r>
        <w:rPr>
          <w:rtl/>
        </w:rPr>
        <w:t xml:space="preserve"> שם. וה</w:t>
      </w:r>
      <w:r>
        <w:rPr>
          <w:b/>
          <w:bCs/>
          <w:rtl/>
        </w:rPr>
        <w:t xml:space="preserve">לח"מ </w:t>
      </w:r>
      <w:r>
        <w:rPr>
          <w:rtl/>
        </w:rPr>
        <w:t>תמה דסותר להל' איסו"ב. ונדחק דאף הכא איירי במלקות מרדות.</w:t>
      </w:r>
    </w:p>
  </w:footnote>
  <w:footnote w:id="667">
    <w:p w14:paraId="6498C878" w14:textId="77777777" w:rsidR="00BE1D1C" w:rsidRDefault="00000000" w:rsidP="00012502">
      <w:pPr>
        <w:pStyle w:val="Footnote"/>
        <w:bidi/>
      </w:pPr>
      <w:r>
        <w:rPr>
          <w:rStyle w:val="ac"/>
          <w:rtl/>
        </w:rPr>
        <w:footnoteRef/>
      </w:r>
      <w:r>
        <w:rPr>
          <w:rtl/>
        </w:rPr>
        <w:t>ותוס' דנו דכה"ג משכח"ל אף צרת צרה [כגון שאחיו ייבם, דאצלו לא הוה איסור סוטה]. ותוס' תי' דאין לנו להחמיר בטומאה גבי בועל טפי לגבי בעל. [ע' מש"כ לעיל ג: לפרש בזה].</w:t>
      </w:r>
    </w:p>
  </w:footnote>
  <w:footnote w:id="668">
    <w:p w14:paraId="544F9FE6" w14:textId="77777777" w:rsidR="00BE1D1C" w:rsidRDefault="00000000" w:rsidP="00012502">
      <w:pPr>
        <w:pStyle w:val="Footnote"/>
        <w:bidi/>
      </w:pPr>
      <w:r>
        <w:rPr>
          <w:rStyle w:val="ac"/>
          <w:rtl/>
        </w:rPr>
        <w:footnoteRef/>
      </w:r>
      <w:r>
        <w:rPr>
          <w:rtl/>
        </w:rPr>
        <w:t>ובפשוטו י"ל דמיעטה תורה דאינה פטורה כלל. אך גדר הפטור קצת קשה.</w:t>
      </w:r>
    </w:p>
  </w:footnote>
  <w:footnote w:id="669">
    <w:p w14:paraId="0DB62182" w14:textId="77777777" w:rsidR="00BE1D1C" w:rsidRDefault="00000000" w:rsidP="00012502">
      <w:pPr>
        <w:pStyle w:val="Footnote"/>
        <w:bidi/>
      </w:pPr>
      <w:r>
        <w:rPr>
          <w:rStyle w:val="ac"/>
          <w:rtl/>
        </w:rPr>
        <w:footnoteRef/>
      </w:r>
      <w:r>
        <w:rPr>
          <w:rtl/>
        </w:rPr>
        <w:t>ובפשוטו משמע דנעקר עיקר הפסוק, ומ"מ הוה איסור קלוש בעלמא. וצ"ע.</w:t>
      </w:r>
    </w:p>
  </w:footnote>
  <w:footnote w:id="670">
    <w:p w14:paraId="1F3041BC" w14:textId="77777777" w:rsidR="00BE1D1C" w:rsidRDefault="00000000" w:rsidP="00012502">
      <w:pPr>
        <w:pStyle w:val="Footnote"/>
        <w:bidi/>
      </w:pPr>
      <w:r>
        <w:rPr>
          <w:rStyle w:val="ac"/>
          <w:rtl/>
        </w:rPr>
        <w:footnoteRef/>
      </w:r>
      <w:r>
        <w:rPr>
          <w:rtl/>
        </w:rPr>
        <w:t xml:space="preserve">[לדעת </w:t>
      </w:r>
      <w:r>
        <w:rPr>
          <w:b/>
          <w:bCs/>
          <w:rtl/>
        </w:rPr>
        <w:t>תוס</w:t>
      </w:r>
      <w:r>
        <w:rPr>
          <w:rtl/>
        </w:rPr>
        <w:t>' (בסוטה, הו' בע"א) פטורה כיון דכתיב טומאה דידיה לגבי יבם].</w:t>
      </w:r>
    </w:p>
  </w:footnote>
  <w:footnote w:id="671">
    <w:p w14:paraId="1956840B" w14:textId="77777777" w:rsidR="00BE1D1C" w:rsidRDefault="00000000" w:rsidP="00012502">
      <w:pPr>
        <w:pStyle w:val="Footnote"/>
        <w:bidi/>
      </w:pPr>
      <w:r>
        <w:rPr>
          <w:rStyle w:val="ac"/>
          <w:rtl/>
        </w:rPr>
        <w:footnoteRef/>
      </w:r>
      <w:r>
        <w:rPr>
          <w:rtl/>
        </w:rPr>
        <w:t>אבל דעת ה</w:t>
      </w:r>
      <w:r>
        <w:rPr>
          <w:b/>
          <w:bCs/>
          <w:rtl/>
        </w:rPr>
        <w:t xml:space="preserve">רמב"ן </w:t>
      </w:r>
      <w:r>
        <w:rPr>
          <w:rtl/>
        </w:rPr>
        <w:t>ו</w:t>
      </w:r>
      <w:r>
        <w:rPr>
          <w:b/>
          <w:bCs/>
          <w:rtl/>
        </w:rPr>
        <w:t>רשב"א</w:t>
      </w:r>
      <w:r>
        <w:rPr>
          <w:rtl/>
        </w:rPr>
        <w:t xml:space="preserve"> דאף סוטה ודאי לא נפטרה מחליצה, אלא מגזיה"כ דלאחר. והביאו כן מהא דלר' יוסי ב"כ 'טומאה' לא פטרה מחליצה [ודלא כ</w:t>
      </w:r>
      <w:r>
        <w:rPr>
          <w:b/>
          <w:bCs/>
          <w:rtl/>
        </w:rPr>
        <w:t>תוס</w:t>
      </w:r>
      <w:r>
        <w:rPr>
          <w:rtl/>
        </w:rPr>
        <w:t xml:space="preserve">']. ומבואר דלא חילקו בין דין טומאה דסוטה, למחזיר גרושתו וק"ו [וא"ש כסברת הבכו"ש]. [אבל דעת </w:t>
      </w:r>
      <w:r>
        <w:rPr>
          <w:b/>
          <w:bCs/>
          <w:rtl/>
        </w:rPr>
        <w:t>רש"י</w:t>
      </w:r>
      <w:r>
        <w:rPr>
          <w:rtl/>
        </w:rPr>
        <w:t xml:space="preserve"> דטומאת סוטה פוטרת אף מחליצה, אבל לר"י ב"כ פוטר אף מחליצה [דאף דכתיב טומאה לא קאי לגבי יבם].</w:t>
      </w:r>
    </w:p>
  </w:footnote>
  <w:footnote w:id="672">
    <w:p w14:paraId="27145D0F" w14:textId="77777777" w:rsidR="00BE1D1C" w:rsidRDefault="00000000" w:rsidP="00012502">
      <w:pPr>
        <w:pStyle w:val="Footnote"/>
        <w:bidi/>
      </w:pPr>
      <w:r>
        <w:rPr>
          <w:rStyle w:val="ac"/>
          <w:rtl/>
        </w:rPr>
        <w:footnoteRef/>
      </w:r>
      <w:r>
        <w:rPr>
          <w:rtl/>
        </w:rPr>
        <w:t>[כדאי' בגמ' בסוטה]. וה</w:t>
      </w:r>
      <w:r>
        <w:rPr>
          <w:b/>
          <w:bCs/>
          <w:rtl/>
        </w:rPr>
        <w:t>קה"י</w:t>
      </w:r>
      <w:r>
        <w:rPr>
          <w:rtl/>
        </w:rPr>
        <w:t xml:space="preserve"> (ז) ביאר דהק"ו שייך עד כמה שממשיך האישות, אבל אילו חולץ לא שייך בזה ק"ו.</w:t>
      </w:r>
    </w:p>
  </w:footnote>
  <w:footnote w:id="673">
    <w:p w14:paraId="5342D1BA" w14:textId="77777777" w:rsidR="00BE1D1C" w:rsidRDefault="00000000" w:rsidP="00012502">
      <w:pPr>
        <w:pStyle w:val="Footnote"/>
        <w:bidi/>
      </w:pPr>
      <w:r>
        <w:rPr>
          <w:rStyle w:val="ac"/>
          <w:rtl/>
        </w:rPr>
        <w:footnoteRef/>
      </w:r>
      <w:r>
        <w:rPr>
          <w:rtl/>
        </w:rPr>
        <w:t>אף דאינה זר אצלה מעיקרא [ע' לקמן טו: וסט.].</w:t>
      </w:r>
    </w:p>
  </w:footnote>
  <w:footnote w:id="674">
    <w:p w14:paraId="4574BF23" w14:textId="77777777" w:rsidR="00BE1D1C" w:rsidRDefault="00000000" w:rsidP="00012502">
      <w:pPr>
        <w:pStyle w:val="Footnote"/>
        <w:bidi/>
      </w:pPr>
      <w:r>
        <w:rPr>
          <w:rStyle w:val="ac"/>
          <w:rtl/>
        </w:rPr>
        <w:footnoteRef/>
      </w:r>
      <w:r>
        <w:rPr>
          <w:rtl/>
        </w:rPr>
        <w:t>[הירושלמי הו' גם בתוס' בע"א. והביאו דבירושלמי לפנינו הגירסא דהוה ביאה פסולה].</w:t>
      </w:r>
    </w:p>
  </w:footnote>
  <w:footnote w:id="675">
    <w:p w14:paraId="2AD57124" w14:textId="77777777" w:rsidR="00BE1D1C" w:rsidRDefault="00000000" w:rsidP="00012502">
      <w:pPr>
        <w:pStyle w:val="Footnote"/>
        <w:bidi/>
      </w:pPr>
      <w:r>
        <w:rPr>
          <w:rStyle w:val="ac"/>
          <w:rtl/>
        </w:rPr>
        <w:footnoteRef/>
      </w:r>
      <w:r>
        <w:rPr>
          <w:rtl/>
        </w:rPr>
        <w:t>וצ"ב דמבואר (לקמן כו:) דאף חליצה שפסולה מדרבנן צריך חיזור.</w:t>
      </w:r>
    </w:p>
  </w:footnote>
  <w:footnote w:id="676">
    <w:p w14:paraId="59623A3C" w14:textId="77777777" w:rsidR="00BE1D1C" w:rsidRDefault="00000000" w:rsidP="00012502">
      <w:pPr>
        <w:pStyle w:val="Footnote"/>
        <w:bidi/>
      </w:pPr>
      <w:r>
        <w:rPr>
          <w:rStyle w:val="ac"/>
          <w:rtl/>
        </w:rPr>
        <w:footnoteRef/>
      </w:r>
      <w:r>
        <w:rPr>
          <w:rtl/>
        </w:rPr>
        <w:t>ועוד יל"פ דגדר מחזיר גרושתו, דנחשב טומאה משום שממשיך האישות הראשונה [ונשאת לאחר בינתיים], וכלפי האישות הראשונה הוה נאסרה במותר לה.</w:t>
      </w:r>
    </w:p>
  </w:footnote>
  <w:footnote w:id="677">
    <w:p w14:paraId="2860E691" w14:textId="77777777" w:rsidR="00BE1D1C" w:rsidRDefault="00000000" w:rsidP="00012502">
      <w:pPr>
        <w:pStyle w:val="Footnote"/>
        <w:bidi/>
      </w:pPr>
      <w:r>
        <w:rPr>
          <w:rStyle w:val="ac"/>
          <w:rtl/>
        </w:rPr>
        <w:footnoteRef/>
      </w:r>
      <w:r>
        <w:rPr>
          <w:rtl/>
        </w:rPr>
        <w:t>אבל ה</w:t>
      </w:r>
      <w:r>
        <w:rPr>
          <w:b/>
          <w:bCs/>
          <w:rtl/>
        </w:rPr>
        <w:t>רמב"ם</w:t>
      </w:r>
      <w:r>
        <w:rPr>
          <w:rtl/>
        </w:rPr>
        <w:t xml:space="preserve"> (ו יט) שפסק שמותרת להתייבם (ע' לעיל) קאי למסקנא דלא אלים ק"ו, וכ"פ ה</w:t>
      </w:r>
      <w:r>
        <w:rPr>
          <w:b/>
          <w:bCs/>
          <w:rtl/>
        </w:rPr>
        <w:t>רמב"ם</w:t>
      </w:r>
      <w:r>
        <w:rPr>
          <w:rtl/>
        </w:rPr>
        <w:t xml:space="preserve"> (ו יג) דצרת מחזיר גרושתו מתייבמת.</w:t>
      </w:r>
    </w:p>
  </w:footnote>
  <w:footnote w:id="678">
    <w:p w14:paraId="287A0931" w14:textId="77777777" w:rsidR="00BE1D1C" w:rsidRDefault="00000000" w:rsidP="00012502">
      <w:pPr>
        <w:pStyle w:val="Footnote"/>
        <w:bidi/>
      </w:pPr>
      <w:r>
        <w:rPr>
          <w:rStyle w:val="ac"/>
          <w:rtl/>
        </w:rPr>
        <w:footnoteRef/>
      </w:r>
      <w:r>
        <w:rPr>
          <w:rtl/>
        </w:rPr>
        <w:t>וכן מבואר לדעת ה</w:t>
      </w:r>
      <w:r>
        <w:rPr>
          <w:b/>
          <w:bCs/>
          <w:rtl/>
        </w:rPr>
        <w:t>ראב"ד</w:t>
      </w:r>
      <w:r>
        <w:rPr>
          <w:rtl/>
        </w:rPr>
        <w:t xml:space="preserve"> (בע"א) בכל צרת סוטה. וכן הרמב"ן נקט דיתכן הו"א כזה [אלא דילפי' ממקו"א לפטור]. וכן ה</w:t>
      </w:r>
      <w:r>
        <w:rPr>
          <w:b/>
          <w:bCs/>
          <w:rtl/>
        </w:rPr>
        <w:t>רמב"ן</w:t>
      </w:r>
      <w:r>
        <w:rPr>
          <w:rtl/>
        </w:rPr>
        <w:t xml:space="preserve"> וה</w:t>
      </w:r>
      <w:r>
        <w:rPr>
          <w:b/>
          <w:bCs/>
          <w:rtl/>
        </w:rPr>
        <w:t xml:space="preserve">רשב"א </w:t>
      </w:r>
      <w:r>
        <w:rPr>
          <w:rtl/>
        </w:rPr>
        <w:t>(ורש"י) נקטו אף לדעת ר' יוסי בן כיפר [ודלא כתוד"ה צרתה דלדעת ריב"כ ודאי פטורה].</w:t>
      </w:r>
    </w:p>
  </w:footnote>
  <w:footnote w:id="679">
    <w:p w14:paraId="6CBF5F56" w14:textId="77777777" w:rsidR="00BE1D1C" w:rsidRDefault="00000000" w:rsidP="00012502">
      <w:pPr>
        <w:pStyle w:val="Footnote"/>
        <w:bidi/>
      </w:pPr>
      <w:r>
        <w:rPr>
          <w:rStyle w:val="ac"/>
          <w:rtl/>
        </w:rPr>
        <w:footnoteRef/>
      </w:r>
      <w:r>
        <w:rPr>
          <w:rtl/>
        </w:rPr>
        <w:t>וצ"ב דכל צרת ערוה, בערוה עצמה ליכא איסור. ותפסי קידושין. וצ"ל דכיון דהערוה עצמה פטורה, אף צרתה כמותה.</w:t>
      </w:r>
    </w:p>
  </w:footnote>
  <w:footnote w:id="680">
    <w:p w14:paraId="04B94B79" w14:textId="77777777" w:rsidR="00BE1D1C" w:rsidRDefault="00000000" w:rsidP="00012502">
      <w:pPr>
        <w:pStyle w:val="Footnote"/>
        <w:bidi/>
      </w:pPr>
      <w:r>
        <w:rPr>
          <w:rStyle w:val="ac"/>
          <w:rtl/>
        </w:rPr>
        <w:footnoteRef/>
      </w:r>
      <w:r>
        <w:rPr>
          <w:rtl/>
        </w:rPr>
        <w:t>מהגמ' דידן. אבל הירושלמי חילקה בזה.</w:t>
      </w:r>
    </w:p>
  </w:footnote>
  <w:footnote w:id="681">
    <w:p w14:paraId="539123B8" w14:textId="77777777" w:rsidR="00BE1D1C" w:rsidRDefault="00000000" w:rsidP="00012502">
      <w:pPr>
        <w:pStyle w:val="Footnote"/>
        <w:bidi/>
      </w:pPr>
      <w:r>
        <w:rPr>
          <w:rStyle w:val="ac"/>
          <w:rtl/>
        </w:rPr>
        <w:footnoteRef/>
      </w:r>
      <w:r>
        <w:rPr>
          <w:rtl/>
        </w:rPr>
        <w:t>אבל דעת ה</w:t>
      </w:r>
      <w:r>
        <w:rPr>
          <w:b/>
          <w:bCs/>
          <w:rtl/>
        </w:rPr>
        <w:t>בעה"מ</w:t>
      </w:r>
      <w:r>
        <w:rPr>
          <w:rtl/>
        </w:rPr>
        <w:t xml:space="preserve"> (לקמן לו. בדה"ר) דלעולא מותרת לעלמא [דכל הנישואין הראשונים נעקר], אבל לרב ושמואל עדיין זקוקה לחליצה.</w:t>
      </w:r>
    </w:p>
  </w:footnote>
  <w:footnote w:id="682">
    <w:p w14:paraId="02141D9E" w14:textId="77777777" w:rsidR="00BE1D1C" w:rsidRDefault="00000000" w:rsidP="00012502">
      <w:pPr>
        <w:pStyle w:val="Footnote"/>
        <w:bidi/>
      </w:pPr>
      <w:r>
        <w:rPr>
          <w:rStyle w:val="ac"/>
          <w:rtl/>
        </w:rPr>
        <w:footnoteRef/>
      </w:r>
      <w:r>
        <w:rPr>
          <w:rtl/>
        </w:rPr>
        <w:t>ועד"ז הק' ה</w:t>
      </w:r>
      <w:r>
        <w:rPr>
          <w:b/>
          <w:bCs/>
          <w:rtl/>
        </w:rPr>
        <w:t>ריטב"א</w:t>
      </w:r>
      <w:r>
        <w:rPr>
          <w:rtl/>
        </w:rPr>
        <w:t xml:space="preserve"> (בסמוך) דערוה שנופלת לקרובים ליבום, ליכא זיקה ול"ש מיאון. עי"ש ב' תי'.</w:t>
      </w:r>
    </w:p>
  </w:footnote>
  <w:footnote w:id="683">
    <w:p w14:paraId="58C0ECB8" w14:textId="77777777" w:rsidR="00BE1D1C" w:rsidRDefault="00000000" w:rsidP="00012502">
      <w:pPr>
        <w:pStyle w:val="Footnote"/>
        <w:bidi/>
      </w:pPr>
      <w:r>
        <w:rPr>
          <w:rStyle w:val="ac"/>
          <w:rtl/>
        </w:rPr>
        <w:footnoteRef/>
      </w:r>
      <w:r>
        <w:rPr>
          <w:rtl/>
        </w:rPr>
        <w:t>והבעה"מ נקט דנח' בגדר, דלדעת רב ושמואל הוה מיאון על עצם הזיקה. ואילו לדעת עולא הוה מיאון על אישות אחיו מעיקרא.</w:t>
      </w:r>
    </w:p>
  </w:footnote>
  <w:footnote w:id="684">
    <w:p w14:paraId="7C464322" w14:textId="77777777" w:rsidR="00BE1D1C" w:rsidRDefault="00000000" w:rsidP="00012502">
      <w:pPr>
        <w:pStyle w:val="Footnote"/>
        <w:bidi/>
      </w:pPr>
      <w:r>
        <w:rPr>
          <w:rStyle w:val="ac"/>
          <w:rtl/>
        </w:rPr>
        <w:footnoteRef/>
      </w:r>
      <w:r>
        <w:rPr>
          <w:rtl/>
        </w:rPr>
        <w:t>ושמואל סבר דלא גזרו משום דלא עבדא בה מעשה.</w:t>
      </w:r>
    </w:p>
  </w:footnote>
  <w:footnote w:id="685">
    <w:p w14:paraId="2E8A5C99" w14:textId="77777777" w:rsidR="00BE1D1C" w:rsidRDefault="00000000" w:rsidP="00012502">
      <w:pPr>
        <w:pStyle w:val="Footnote"/>
        <w:bidi/>
      </w:pPr>
      <w:r>
        <w:rPr>
          <w:rStyle w:val="ac"/>
          <w:rtl/>
        </w:rPr>
        <w:footnoteRef/>
      </w:r>
      <w:r>
        <w:rPr>
          <w:rtl/>
        </w:rPr>
        <w:t>כ"מ ברוב ראשונים. אבל ה</w:t>
      </w:r>
      <w:r>
        <w:rPr>
          <w:b/>
          <w:bCs/>
          <w:rtl/>
        </w:rPr>
        <w:t>ריטב"א</w:t>
      </w:r>
      <w:r>
        <w:rPr>
          <w:rtl/>
        </w:rPr>
        <w:t xml:space="preserve"> (לקמן שם) כת' דלדעת רב הוי כאשת אח שלא במקום מצוה. וע' חזו"א (קיא א).</w:t>
      </w:r>
    </w:p>
  </w:footnote>
  <w:footnote w:id="686">
    <w:p w14:paraId="0D0F2D21" w14:textId="77777777" w:rsidR="00BE1D1C" w:rsidRDefault="00000000" w:rsidP="00012502">
      <w:pPr>
        <w:pStyle w:val="Footnote"/>
        <w:bidi/>
      </w:pPr>
      <w:r>
        <w:rPr>
          <w:rStyle w:val="ac"/>
          <w:rtl/>
        </w:rPr>
        <w:footnoteRef/>
      </w:r>
      <w:r>
        <w:rPr>
          <w:rtl/>
        </w:rPr>
        <w:t>וה</w:t>
      </w:r>
      <w:r>
        <w:rPr>
          <w:b/>
          <w:bCs/>
          <w:rtl/>
        </w:rPr>
        <w:t>רשב"א</w:t>
      </w:r>
      <w:r>
        <w:rPr>
          <w:rtl/>
        </w:rPr>
        <w:t xml:space="preserve"> (קז:) ביאר דלא עקרה זיקת כל הבית אלא זיקתו של זה. ועדיין זיקת שאר הבית קיים והרי היא כאשת המת לגבי שאר האחין, אבל כלפי זה שמיאנה בו איפטרה לגמרי, שאם מתו שאר האחין מותרת לעלמא.</w:t>
      </w:r>
    </w:p>
  </w:footnote>
  <w:footnote w:id="687">
    <w:p w14:paraId="1A4312C6" w14:textId="77777777" w:rsidR="00BE1D1C" w:rsidRDefault="00000000" w:rsidP="00012502">
      <w:pPr>
        <w:pStyle w:val="Footnote"/>
        <w:bidi/>
      </w:pPr>
      <w:r>
        <w:rPr>
          <w:rStyle w:val="ac"/>
          <w:rtl/>
        </w:rPr>
        <w:footnoteRef/>
      </w:r>
      <w:r>
        <w:rPr>
          <w:rtl/>
        </w:rPr>
        <w:t>וה</w:t>
      </w:r>
      <w:r>
        <w:rPr>
          <w:b/>
          <w:bCs/>
          <w:rtl/>
        </w:rPr>
        <w:t>בי"ש</w:t>
      </w:r>
      <w:r>
        <w:rPr>
          <w:rtl/>
        </w:rPr>
        <w:t xml:space="preserve"> הקשה דה</w:t>
      </w:r>
      <w:r>
        <w:rPr>
          <w:b/>
          <w:bCs/>
          <w:rtl/>
        </w:rPr>
        <w:t>שו"ע</w:t>
      </w:r>
      <w:r>
        <w:rPr>
          <w:rtl/>
        </w:rPr>
        <w:t xml:space="preserve"> (קעג יד) סתם דזקוקה לאחיו, ואף דבס' קנה הביא דברי הרמב"ם.</w:t>
      </w:r>
    </w:p>
  </w:footnote>
  <w:footnote w:id="688">
    <w:p w14:paraId="1A33E9DC" w14:textId="77777777" w:rsidR="00BE1D1C" w:rsidRDefault="00000000" w:rsidP="00012502">
      <w:pPr>
        <w:pStyle w:val="Footnote"/>
        <w:bidi/>
      </w:pPr>
      <w:r>
        <w:rPr>
          <w:rStyle w:val="ac"/>
          <w:rtl/>
        </w:rPr>
        <w:footnoteRef/>
      </w:r>
      <w:r>
        <w:rPr>
          <w:rtl/>
        </w:rPr>
        <w:t>ולכאו' משמע דהאישות מתחלק [וכעין גדר חוץ]. וה</w:t>
      </w:r>
      <w:r>
        <w:rPr>
          <w:b/>
          <w:bCs/>
          <w:rtl/>
        </w:rPr>
        <w:t>חזו"א</w:t>
      </w:r>
      <w:r>
        <w:rPr>
          <w:rtl/>
        </w:rPr>
        <w:t xml:space="preserve"> (שם ג) כת' דהמיאון עוקר שאינה זקוקה ליבום, ומפקיע אישות הראשון כלפי נפילה ליבום. והאבי עזרי (גירושין יא) כת' דמיתלא תאלי מי מייבם. ואם אחיו מייבם נתברר שזקוקה לו ובטל המיאון.</w:t>
      </w:r>
    </w:p>
  </w:footnote>
  <w:footnote w:id="689">
    <w:p w14:paraId="549F4BAD" w14:textId="77777777" w:rsidR="00BE1D1C" w:rsidRDefault="00000000" w:rsidP="00012502">
      <w:pPr>
        <w:pStyle w:val="Footnote"/>
        <w:bidi/>
      </w:pPr>
      <w:r>
        <w:rPr>
          <w:rStyle w:val="ac"/>
          <w:rtl/>
        </w:rPr>
        <w:footnoteRef/>
      </w:r>
      <w:r>
        <w:rPr>
          <w:rtl/>
        </w:rPr>
        <w:t>וב</w:t>
      </w:r>
      <w:r>
        <w:rPr>
          <w:b/>
          <w:bCs/>
          <w:rtl/>
        </w:rPr>
        <w:t xml:space="preserve">תוס' מהר"ם ור"פ </w:t>
      </w:r>
      <w:r>
        <w:rPr>
          <w:rtl/>
        </w:rPr>
        <w:t>הוסיף דהוה ק"ו, דהשתא הממאנת שעשתה מעשה באח א' מותרת באח הב' [דלא עבדה מעשה אצלו], כ"ש צרה דלא עבדה מעשה כלל.</w:t>
      </w:r>
    </w:p>
  </w:footnote>
  <w:footnote w:id="690">
    <w:p w14:paraId="7E2712DF" w14:textId="77777777" w:rsidR="00BE1D1C" w:rsidRDefault="00000000" w:rsidP="00012502">
      <w:pPr>
        <w:pStyle w:val="Footnote"/>
        <w:bidi/>
      </w:pPr>
      <w:r>
        <w:rPr>
          <w:rStyle w:val="ac"/>
          <w:rtl/>
        </w:rPr>
        <w:footnoteRef/>
      </w:r>
      <w:r>
        <w:rPr>
          <w:rtl/>
        </w:rPr>
        <w:t>ועד"ז הק' ב</w:t>
      </w:r>
      <w:r>
        <w:rPr>
          <w:b/>
          <w:bCs/>
          <w:rtl/>
        </w:rPr>
        <w:t>תוס' מהר"ם ור"פ</w:t>
      </w:r>
      <w:r>
        <w:rPr>
          <w:rtl/>
        </w:rPr>
        <w:t xml:space="preserve"> דבגמ' (ג:) לצד א' רב ס"ל דצרת ממאנת מותרת, ומ"ש מאחיו דאסור. ותי' [בשם ר' שלמה מדרואש] דכוונת הגמ' דאין הכרע לדעת רב. וביאר דקלישא זיקת ב' יבמין מזיקת שתי יבמות. דזיקת שני יבמין מכיון שהפקעה זיקת הא' הרי היא מסולקת מכל האחין מטעם דדמיא לגרושת אח לכל האחין. אבל ב' צרות אלימא טפי, דאם פקעה זיקת אשה א' מה ענין זה לאשה אחרת.</w:t>
      </w:r>
    </w:p>
  </w:footnote>
  <w:footnote w:id="691">
    <w:p w14:paraId="3C0BEBD9" w14:textId="77777777" w:rsidR="00BE1D1C" w:rsidRDefault="00000000" w:rsidP="00012502">
      <w:pPr>
        <w:pStyle w:val="Footnote"/>
        <w:bidi/>
      </w:pPr>
      <w:r>
        <w:rPr>
          <w:rStyle w:val="ac"/>
          <w:rtl/>
        </w:rPr>
        <w:footnoteRef/>
      </w:r>
      <w:r>
        <w:rPr>
          <w:rtl/>
        </w:rPr>
        <w:t xml:space="preserve">ואף דהתם לכאו' קאי אף אליבא דרב. [וכ"מ ברשב"א שם]. וכן </w:t>
      </w:r>
      <w:r>
        <w:rPr>
          <w:b/>
          <w:bCs/>
          <w:rtl/>
        </w:rPr>
        <w:t>רע"א</w:t>
      </w:r>
      <w:r>
        <w:rPr>
          <w:rtl/>
        </w:rPr>
        <w:t xml:space="preserve"> (בגהש"ס ג:) ציין אדברי </w:t>
      </w:r>
      <w:r>
        <w:rPr>
          <w:b/>
          <w:bCs/>
          <w:rtl/>
        </w:rPr>
        <w:t>רש"י</w:t>
      </w:r>
      <w:r>
        <w:rPr>
          <w:rtl/>
        </w:rPr>
        <w:t xml:space="preserve"> ע' לקמן יב. וצ"ע, וביארו דזה כוונתו להק'.</w:t>
      </w:r>
    </w:p>
  </w:footnote>
  <w:footnote w:id="692">
    <w:p w14:paraId="3063C0F8" w14:textId="77777777" w:rsidR="00BE1D1C" w:rsidRDefault="00000000" w:rsidP="00012502">
      <w:pPr>
        <w:pStyle w:val="Footnote"/>
        <w:bidi/>
      </w:pPr>
      <w:r>
        <w:rPr>
          <w:rStyle w:val="ac"/>
          <w:rtl/>
        </w:rPr>
        <w:footnoteRef/>
      </w:r>
      <w:r>
        <w:rPr>
          <w:rtl/>
        </w:rPr>
        <w:t>וה</w:t>
      </w:r>
      <w:r>
        <w:rPr>
          <w:b/>
          <w:bCs/>
          <w:rtl/>
        </w:rPr>
        <w:t xml:space="preserve">אחרונים </w:t>
      </w:r>
      <w:r>
        <w:rPr>
          <w:rtl/>
        </w:rPr>
        <w:t>דנו האם מדינא נחשב שלא במקום מצוה, ולכן לא מהני שהרואים יסברו דהוה במקום מצוה. או שיש רואים שיסברו דמכאן ולהבא נעקר, וא"כ הוה אשת אח, ואין מקום מצוה.</w:t>
      </w:r>
    </w:p>
  </w:footnote>
  <w:footnote w:id="693">
    <w:p w14:paraId="7DEEBB76" w14:textId="77777777" w:rsidR="00BE1D1C" w:rsidRDefault="00000000" w:rsidP="00012502">
      <w:pPr>
        <w:pStyle w:val="Footnote"/>
        <w:bidi/>
      </w:pPr>
      <w:r>
        <w:rPr>
          <w:rStyle w:val="ac"/>
          <w:rtl/>
        </w:rPr>
        <w:footnoteRef/>
      </w:r>
      <w:r>
        <w:rPr>
          <w:rtl/>
        </w:rPr>
        <w:t>וה</w:t>
      </w:r>
      <w:r>
        <w:rPr>
          <w:b/>
          <w:bCs/>
          <w:rtl/>
        </w:rPr>
        <w:t>אחרונים</w:t>
      </w:r>
      <w:r>
        <w:rPr>
          <w:rtl/>
        </w:rPr>
        <w:t xml:space="preserve"> הק' דלכאו' הך סברא נתחדש בסוף הסוגיא, והכא עדיין לא ידעי' דשייך בזה איסור נראית. וע"ע חי' ר' ראובן.</w:t>
      </w:r>
    </w:p>
  </w:footnote>
  <w:footnote w:id="694">
    <w:p w14:paraId="4A9AA81C" w14:textId="77777777" w:rsidR="00BE1D1C" w:rsidRDefault="00000000" w:rsidP="00012502">
      <w:pPr>
        <w:pStyle w:val="Footnote"/>
        <w:bidi/>
      </w:pPr>
      <w:r>
        <w:rPr>
          <w:rStyle w:val="ac"/>
          <w:rtl/>
        </w:rPr>
        <w:footnoteRef/>
      </w:r>
      <w:r>
        <w:rPr>
          <w:rtl/>
        </w:rPr>
        <w:t>וה</w:t>
      </w:r>
      <w:r>
        <w:rPr>
          <w:b/>
          <w:bCs/>
          <w:rtl/>
        </w:rPr>
        <w:t>פסקי רי"ד</w:t>
      </w:r>
      <w:r>
        <w:rPr>
          <w:rtl/>
        </w:rPr>
        <w:t xml:space="preserve"> הוסיף דהוי לא יבנה דרבנן. וה</w:t>
      </w:r>
      <w:r>
        <w:rPr>
          <w:b/>
          <w:bCs/>
          <w:rtl/>
        </w:rPr>
        <w:t>חזו"א</w:t>
      </w:r>
      <w:r>
        <w:rPr>
          <w:rtl/>
        </w:rPr>
        <w:t xml:space="preserve"> הק' דל"ש לא יבנה היכא דלא עבד מעשה. ויל"ד דהוה גזירה אטו בעלת הגט.</w:t>
      </w:r>
    </w:p>
  </w:footnote>
  <w:footnote w:id="695">
    <w:p w14:paraId="2A3018F5" w14:textId="77777777" w:rsidR="00BE1D1C" w:rsidRDefault="00000000" w:rsidP="00012502">
      <w:pPr>
        <w:pStyle w:val="Footnote"/>
        <w:bidi/>
      </w:pPr>
      <w:r>
        <w:rPr>
          <w:rStyle w:val="ac"/>
          <w:rtl/>
        </w:rPr>
        <w:footnoteRef/>
      </w:r>
      <w:r>
        <w:rPr>
          <w:rtl/>
        </w:rPr>
        <w:t>והביאו דכן מוכח בדברי ה</w:t>
      </w:r>
      <w:r>
        <w:rPr>
          <w:b/>
          <w:bCs/>
          <w:rtl/>
        </w:rPr>
        <w:t xml:space="preserve">רי"ף </w:t>
      </w:r>
      <w:r>
        <w:rPr>
          <w:rtl/>
        </w:rPr>
        <w:t>בסוגיא (דלקמן קח:) דמיאון לאחר מיתה במקום מצווה.</w:t>
      </w:r>
    </w:p>
  </w:footnote>
  <w:footnote w:id="696">
    <w:p w14:paraId="123A403B" w14:textId="77777777" w:rsidR="00BE1D1C" w:rsidRDefault="00000000" w:rsidP="00012502">
      <w:pPr>
        <w:pStyle w:val="Footnote"/>
        <w:bidi/>
      </w:pPr>
      <w:r>
        <w:rPr>
          <w:rStyle w:val="ac"/>
          <w:rtl/>
        </w:rPr>
        <w:footnoteRef/>
      </w:r>
      <w:r>
        <w:rPr>
          <w:rtl/>
        </w:rPr>
        <w:t>דהממאנת ביבם אסורה לאביו מפני שנראית ככלתו בשעת מיתה, אבל מותרת בשאר קרובים.</w:t>
      </w:r>
    </w:p>
  </w:footnote>
  <w:footnote w:id="697">
    <w:p w14:paraId="5FBEC703" w14:textId="77777777" w:rsidR="00BE1D1C" w:rsidRDefault="00000000" w:rsidP="00012502">
      <w:pPr>
        <w:pStyle w:val="Footnote"/>
        <w:bidi/>
      </w:pPr>
      <w:r>
        <w:rPr>
          <w:rStyle w:val="ac"/>
          <w:rtl/>
        </w:rPr>
        <w:footnoteRef/>
      </w:r>
      <w:r>
        <w:rPr>
          <w:rtl/>
        </w:rPr>
        <w:t>[ואף באיסור דרבנן אמרי' נאסרה, ע' לקמן כז:].</w:t>
      </w:r>
    </w:p>
  </w:footnote>
  <w:footnote w:id="698">
    <w:p w14:paraId="34E5A50B" w14:textId="77777777" w:rsidR="00BE1D1C" w:rsidRDefault="00000000" w:rsidP="00012502">
      <w:pPr>
        <w:pStyle w:val="Footnote"/>
        <w:bidi/>
      </w:pPr>
      <w:r>
        <w:rPr>
          <w:rStyle w:val="ac"/>
          <w:rtl/>
        </w:rPr>
        <w:footnoteRef/>
      </w:r>
      <w:r>
        <w:rPr>
          <w:rtl/>
        </w:rPr>
        <w:t>דכל זמן שלא מיאנה היתה אסורה ע"פ דין [ולא הוה טעות וחסרון ידיעה בעלמא, וכמו אילונית דנתברר שלא היתה זקוקה מעולם].</w:t>
      </w:r>
    </w:p>
  </w:footnote>
  <w:footnote w:id="699">
    <w:p w14:paraId="68F96080" w14:textId="77777777" w:rsidR="00BE1D1C" w:rsidRDefault="00000000" w:rsidP="00012502">
      <w:pPr>
        <w:pStyle w:val="Footnote"/>
        <w:bidi/>
      </w:pPr>
      <w:r>
        <w:rPr>
          <w:rStyle w:val="ac"/>
          <w:rtl/>
        </w:rPr>
        <w:footnoteRef/>
      </w:r>
      <w:r>
        <w:rPr>
          <w:rtl/>
        </w:rPr>
        <w:t>והגר"ח כת' דלגבי מזונות בת ממאנת יהא תלוי אם נולדה קודם מיאון, וכבר חל חיוב. או שנולדה אח"כ. [וביאר בזה השגת הראב"ד].</w:t>
      </w:r>
    </w:p>
  </w:footnote>
  <w:footnote w:id="700">
    <w:p w14:paraId="41F7EF9B" w14:textId="77777777" w:rsidR="00BE1D1C" w:rsidRDefault="00000000" w:rsidP="00012502">
      <w:pPr>
        <w:pStyle w:val="Footnote"/>
        <w:bidi/>
      </w:pPr>
      <w:r>
        <w:rPr>
          <w:rStyle w:val="ac"/>
          <w:rtl/>
        </w:rPr>
        <w:footnoteRef/>
      </w:r>
      <w:r>
        <w:rPr>
          <w:rtl/>
        </w:rPr>
        <w:t>[אך יש שדנו דאף 'נאסרה' נחשב נידון מכאן ולהבא, וכמו איסור קרובים].</w:t>
      </w:r>
    </w:p>
  </w:footnote>
  <w:footnote w:id="701">
    <w:p w14:paraId="5FAFF6BB" w14:textId="77777777" w:rsidR="00BE1D1C" w:rsidRDefault="00000000" w:rsidP="00012502">
      <w:pPr>
        <w:pStyle w:val="Footnote"/>
        <w:bidi/>
      </w:pPr>
      <w:r>
        <w:rPr>
          <w:rStyle w:val="ac"/>
          <w:rtl/>
        </w:rPr>
        <w:footnoteRef/>
      </w:r>
      <w:r>
        <w:rPr>
          <w:rtl/>
        </w:rPr>
        <w:t>[אבל ב</w:t>
      </w:r>
      <w:r>
        <w:rPr>
          <w:b/>
          <w:bCs/>
          <w:rtl/>
        </w:rPr>
        <w:t xml:space="preserve">רש"י </w:t>
      </w:r>
      <w:r>
        <w:rPr>
          <w:rtl/>
        </w:rPr>
        <w:t>משמע דמיאנה באביה, ולא באחיו]. דאף למ"ד מיאנה בזה מותרת זה, היינו למי שזקוקה לו, אבל כשמיאנה לכל האחים פקע הזיקה מכל הבית. [וק"מ ב</w:t>
      </w:r>
      <w:r>
        <w:rPr>
          <w:b/>
          <w:bCs/>
          <w:rtl/>
        </w:rPr>
        <w:t>ריטב"א</w:t>
      </w:r>
      <w:r>
        <w:rPr>
          <w:rtl/>
        </w:rPr>
        <w:t xml:space="preserve"> דגדר גזירת צרת בתו, דלא נעקר].</w:t>
      </w:r>
    </w:p>
  </w:footnote>
  <w:footnote w:id="702">
    <w:p w14:paraId="7C995393" w14:textId="77777777" w:rsidR="00BE1D1C" w:rsidRDefault="00000000" w:rsidP="00012502">
      <w:pPr>
        <w:pStyle w:val="Footnote"/>
        <w:bidi/>
      </w:pPr>
      <w:r>
        <w:rPr>
          <w:rStyle w:val="ac"/>
          <w:rtl/>
        </w:rPr>
        <w:footnoteRef/>
      </w:r>
      <w:r>
        <w:rPr>
          <w:rtl/>
        </w:rPr>
        <w:t>ומשמע דכיון דלא חל זיקה, עי"ז יש איסור אשת אח. [ואילו קידש אשה ע"מ שלא תיפול ליבום, דיש אחרונים נקטו דמותרת לשוק משום ממ"נ. וע"פ הנ"ל עי"ז לא נפלה כלל ליבום והוה איסור אשת אח, ופוטרת צרתה. וכעין אילונית, ע' לקמן].</w:t>
      </w:r>
    </w:p>
  </w:footnote>
  <w:footnote w:id="703">
    <w:p w14:paraId="212820F8" w14:textId="77777777" w:rsidR="00BE1D1C" w:rsidRDefault="00000000" w:rsidP="00012502">
      <w:pPr>
        <w:pStyle w:val="Footnote"/>
        <w:bidi/>
      </w:pPr>
      <w:r>
        <w:rPr>
          <w:rStyle w:val="ac"/>
          <w:rtl/>
        </w:rPr>
        <w:footnoteRef/>
      </w:r>
      <w:r>
        <w:rPr>
          <w:rtl/>
        </w:rPr>
        <w:t>והביא לשון הגמ' (בסמוך) זו היא אשת אח מאב שפוטרת צרתה.</w:t>
      </w:r>
    </w:p>
  </w:footnote>
  <w:footnote w:id="704">
    <w:p w14:paraId="1B859998" w14:textId="77777777" w:rsidR="00BE1D1C" w:rsidRDefault="00000000" w:rsidP="00012502">
      <w:pPr>
        <w:pStyle w:val="Footnote"/>
        <w:bidi/>
      </w:pPr>
      <w:r>
        <w:rPr>
          <w:rStyle w:val="ac"/>
          <w:rtl/>
        </w:rPr>
        <w:footnoteRef/>
      </w:r>
      <w:r>
        <w:rPr>
          <w:rtl/>
        </w:rPr>
        <w:t>וה</w:t>
      </w:r>
      <w:r>
        <w:rPr>
          <w:b/>
          <w:bCs/>
          <w:rtl/>
        </w:rPr>
        <w:t>חזו"א</w:t>
      </w:r>
      <w:r>
        <w:rPr>
          <w:rtl/>
        </w:rPr>
        <w:t xml:space="preserve"> (קיא ו) ביאר דממ"נ, אם נדון מכאן ולהבא הוה ערוה לאחר נפילה, ואם נדון למפרע לא היתה צרתה כלל.</w:t>
      </w:r>
    </w:p>
  </w:footnote>
  <w:footnote w:id="705">
    <w:p w14:paraId="6F622B57" w14:textId="77777777" w:rsidR="00BE1D1C" w:rsidRDefault="00000000" w:rsidP="00012502">
      <w:pPr>
        <w:pStyle w:val="Footnote"/>
        <w:bidi/>
      </w:pPr>
      <w:r>
        <w:rPr>
          <w:rStyle w:val="ac"/>
          <w:rtl/>
        </w:rPr>
        <w:footnoteRef/>
      </w:r>
      <w:r>
        <w:rPr>
          <w:rtl/>
        </w:rPr>
        <w:t>וכדמבואר (לקמן כ כא), ולא דנים שניות כערוה מדרבנן. אבל המקדש את הקטנה אוסרת צרתה, וכדמבואר במשנה ב:, דקידושי קטנה נחשב ערוה דרבנן. אלא דהאיסור של 'נראית בשעת נפילה' הוא איסור מחודש, ולא נחשב ערוה.</w:t>
      </w:r>
    </w:p>
  </w:footnote>
  <w:footnote w:id="706">
    <w:p w14:paraId="2425A19E" w14:textId="77777777" w:rsidR="00BE1D1C" w:rsidRDefault="00000000" w:rsidP="00012502">
      <w:pPr>
        <w:pStyle w:val="Footnote"/>
        <w:bidi/>
      </w:pPr>
      <w:r>
        <w:rPr>
          <w:rStyle w:val="ac"/>
          <w:rtl/>
        </w:rPr>
        <w:footnoteRef/>
      </w:r>
      <w:r>
        <w:rPr>
          <w:rtl/>
        </w:rPr>
        <w:t>ובפשוטו משמע דהוה דרשא 'הבכור אשר תלד', אבל ה</w:t>
      </w:r>
      <w:r>
        <w:rPr>
          <w:b/>
          <w:bCs/>
          <w:rtl/>
        </w:rPr>
        <w:t>רמב"ן</w:t>
      </w:r>
      <w:r>
        <w:rPr>
          <w:rtl/>
        </w:rPr>
        <w:t xml:space="preserve"> (עה"ת דברים כה ו) כת' דזה כולו אסמכתא, כי האילונית ואשת הסריס מגופיה דקרא נפקי.</w:t>
      </w:r>
    </w:p>
  </w:footnote>
  <w:footnote w:id="707">
    <w:p w14:paraId="52B5EB5C" w14:textId="77777777" w:rsidR="00BE1D1C" w:rsidRDefault="00000000" w:rsidP="00012502">
      <w:pPr>
        <w:pStyle w:val="Footnote"/>
        <w:bidi/>
      </w:pPr>
      <w:r>
        <w:rPr>
          <w:rStyle w:val="ac"/>
          <w:rtl/>
        </w:rPr>
        <w:footnoteRef/>
      </w:r>
      <w:r>
        <w:rPr>
          <w:rtl/>
        </w:rPr>
        <w:t>ותוס' הק' אהא דאי' בגמ' (שם) דסוטה ספק צריכה חליצה, דאילו איתיה לבעל מי לא בעיא גט.</w:t>
      </w:r>
    </w:p>
  </w:footnote>
  <w:footnote w:id="708">
    <w:p w14:paraId="281314C5" w14:textId="77777777" w:rsidR="00BE1D1C" w:rsidRDefault="00000000" w:rsidP="00012502">
      <w:pPr>
        <w:pStyle w:val="Footnote"/>
        <w:bidi/>
      </w:pPr>
      <w:r>
        <w:rPr>
          <w:rStyle w:val="ac"/>
          <w:rtl/>
        </w:rPr>
        <w:footnoteRef/>
      </w:r>
      <w:r>
        <w:rPr>
          <w:rtl/>
        </w:rPr>
        <w:t xml:space="preserve">וכ"כ </w:t>
      </w:r>
      <w:r>
        <w:rPr>
          <w:b/>
          <w:bCs/>
          <w:rtl/>
        </w:rPr>
        <w:t>רש"י</w:t>
      </w:r>
      <w:r>
        <w:rPr>
          <w:rtl/>
        </w:rPr>
        <w:t xml:space="preserve"> (עט:) שאסורה לו משום אשת אח שלא במקום מצווה.</w:t>
      </w:r>
    </w:p>
  </w:footnote>
  <w:footnote w:id="709">
    <w:p w14:paraId="7F109611" w14:textId="77777777" w:rsidR="00BE1D1C" w:rsidRDefault="00000000" w:rsidP="00012502">
      <w:pPr>
        <w:pStyle w:val="Footnote"/>
        <w:bidi/>
      </w:pPr>
      <w:r>
        <w:rPr>
          <w:rStyle w:val="ac"/>
          <w:rtl/>
        </w:rPr>
        <w:footnoteRef/>
      </w:r>
      <w:r>
        <w:rPr>
          <w:rtl/>
        </w:rPr>
        <w:t>וס"ד דאף בחיי הבעל מותרת [כשגירשה]. וביאר דכשפרט לך הכתוב אשת אח שאין לה בנים לאחר מיתת בעלה דמצוה, גלי שאין בכלל איסור היכא דיש צד יבום. אבל בחיי בעלה, כיון שאלו עמדה אצלו סופה להתייבם מתחלה לא חל עליה שם אשת אח כלל.</w:t>
      </w:r>
    </w:p>
  </w:footnote>
  <w:footnote w:id="710">
    <w:p w14:paraId="3A59F579" w14:textId="77777777" w:rsidR="00BE1D1C" w:rsidRDefault="00000000" w:rsidP="00012502">
      <w:pPr>
        <w:pStyle w:val="Footnote"/>
        <w:bidi/>
      </w:pPr>
      <w:r>
        <w:rPr>
          <w:rStyle w:val="ac"/>
          <w:rtl/>
        </w:rPr>
        <w:footnoteRef/>
      </w:r>
      <w:r>
        <w:rPr>
          <w:rtl/>
        </w:rPr>
        <w:t>ומש"ה הוקש לאחות אשה, אף דהוה חדא איסורא.</w:t>
      </w:r>
    </w:p>
  </w:footnote>
  <w:footnote w:id="711">
    <w:p w14:paraId="282B00FE" w14:textId="77777777" w:rsidR="00BE1D1C" w:rsidRDefault="00000000" w:rsidP="00012502">
      <w:pPr>
        <w:pStyle w:val="Footnote"/>
        <w:bidi/>
      </w:pPr>
      <w:r>
        <w:rPr>
          <w:rStyle w:val="ac"/>
          <w:rtl/>
        </w:rPr>
        <w:footnoteRef/>
      </w:r>
      <w:r>
        <w:rPr>
          <w:rtl/>
        </w:rPr>
        <w:t>אך לדחיית הגמ' פרש"י שלא מצינו בכל התורה שתאסר, אלא מדרבנן. [ו'בכל התורה' קאי אאשת ב' מתים, דאין בזה צד דאורייתא].</w:t>
      </w:r>
    </w:p>
  </w:footnote>
  <w:footnote w:id="712">
    <w:p w14:paraId="14D1E88B" w14:textId="77777777" w:rsidR="00BE1D1C" w:rsidRDefault="00000000" w:rsidP="00012502">
      <w:pPr>
        <w:pStyle w:val="Footnote"/>
        <w:bidi/>
      </w:pPr>
      <w:r>
        <w:rPr>
          <w:rStyle w:val="ac"/>
          <w:rtl/>
        </w:rPr>
        <w:footnoteRef/>
      </w:r>
      <w:r>
        <w:rPr>
          <w:rtl/>
        </w:rPr>
        <w:t>ועפ"ז כוונת הברייתא לציין דאשת אח אינו פוטר מיבום, וכיסוד הגר"ח. ושאני אשת ב' מתים דאיסור אשת אח הב' פוטרת. [ויל"ד עד"ז בתי' הגמ']. [אבל לתוס' הך ברייתא הוה סימנא בעלמא].</w:t>
      </w:r>
    </w:p>
  </w:footnote>
  <w:footnote w:id="713">
    <w:p w14:paraId="53D2CEEC" w14:textId="77777777" w:rsidR="00BE1D1C" w:rsidRDefault="00000000" w:rsidP="00012502">
      <w:pPr>
        <w:pStyle w:val="Footnote"/>
        <w:bidi/>
      </w:pPr>
      <w:r>
        <w:rPr>
          <w:rStyle w:val="ac"/>
          <w:rtl/>
        </w:rPr>
        <w:footnoteRef/>
      </w:r>
      <w:r>
        <w:rPr>
          <w:rtl/>
        </w:rPr>
        <w:t>שה</w:t>
      </w:r>
      <w:r>
        <w:rPr>
          <w:b/>
          <w:bCs/>
          <w:rtl/>
        </w:rPr>
        <w:t>ירושלמי</w:t>
      </w:r>
      <w:r>
        <w:rPr>
          <w:rtl/>
        </w:rPr>
        <w:t xml:space="preserve"> מקשה מ"ש אילונית צרתה מותרת, ואשת אחיו שלא מעולמו צרתה אסורה. ותי' ואשת אחיו שלא מעולמו ערוה היא, ופוטרת צרתה. [והאחרונים הביאו מזה דתרוויהו הוה ערות אשת אח, והאחרונים האריכו בזה].</w:t>
      </w:r>
    </w:p>
  </w:footnote>
  <w:footnote w:id="714">
    <w:p w14:paraId="595916F0" w14:textId="77777777" w:rsidR="00BE1D1C" w:rsidRDefault="00000000" w:rsidP="00012502">
      <w:pPr>
        <w:pStyle w:val="Footnote"/>
        <w:bidi/>
      </w:pPr>
      <w:r>
        <w:rPr>
          <w:rStyle w:val="ac"/>
          <w:rtl/>
        </w:rPr>
        <w:footnoteRef/>
      </w:r>
      <w:r>
        <w:rPr>
          <w:rtl/>
        </w:rPr>
        <w:t>ויש שפי' תי' הירושלמי דגדר צרת ערוה, שיש עליה את השם של הערוה. והכא אף אי יש לצרה 'שם אילונית', הא יכולה לילד. ואף אילונית אילו יכולה לילד מתייבמת.</w:t>
      </w:r>
    </w:p>
  </w:footnote>
  <w:footnote w:id="715">
    <w:p w14:paraId="49D1E1E8" w14:textId="77777777" w:rsidR="00BE1D1C" w:rsidRDefault="00000000" w:rsidP="00012502">
      <w:pPr>
        <w:pStyle w:val="Footnote"/>
        <w:bidi/>
      </w:pPr>
      <w:r>
        <w:rPr>
          <w:rStyle w:val="ac"/>
          <w:rtl/>
        </w:rPr>
        <w:footnoteRef/>
      </w:r>
      <w:r>
        <w:rPr>
          <w:rtl/>
        </w:rPr>
        <w:t>אבל בקו' הירושלמי מוכח להיפך, דמהיכן פשיט"ל להק' דאילונית תפטור צרה [הא לא הוה ערוה], וע"כ סמך אאיסור אשת אח. [וע"ע קובה"ע ב ה].</w:t>
      </w:r>
    </w:p>
  </w:footnote>
  <w:footnote w:id="716">
    <w:p w14:paraId="13D470A1" w14:textId="77777777" w:rsidR="00BE1D1C" w:rsidRDefault="00000000" w:rsidP="00012502">
      <w:pPr>
        <w:pStyle w:val="Footnote"/>
        <w:bidi/>
      </w:pPr>
      <w:r>
        <w:rPr>
          <w:rStyle w:val="ac"/>
          <w:rtl/>
        </w:rPr>
        <w:footnoteRef/>
      </w:r>
      <w:r>
        <w:rPr>
          <w:rtl/>
        </w:rPr>
        <w:t>אך אין לפרש דעיקר החילוק בין אשת אח דנפילה זו, או מנפילה ראשונה. דא"כ זהו עיקר החילוק בין אשת אחיו שלא היה בעולמו לאילונית. [ע' חי' ר' שמואל ב].</w:t>
      </w:r>
    </w:p>
  </w:footnote>
  <w:footnote w:id="717">
    <w:p w14:paraId="57F180D1" w14:textId="77777777" w:rsidR="00BE1D1C" w:rsidRDefault="00000000" w:rsidP="00012502">
      <w:pPr>
        <w:pStyle w:val="Footnote"/>
        <w:bidi/>
      </w:pPr>
      <w:r>
        <w:rPr>
          <w:rStyle w:val="ac"/>
          <w:rtl/>
        </w:rPr>
        <w:footnoteRef/>
      </w:r>
      <w:r>
        <w:rPr>
          <w:rtl/>
        </w:rPr>
        <w:t>ודלא כמש"כ ה</w:t>
      </w:r>
      <w:r>
        <w:rPr>
          <w:b/>
          <w:bCs/>
          <w:rtl/>
        </w:rPr>
        <w:t>אחרונים</w:t>
      </w:r>
      <w:r>
        <w:rPr>
          <w:rtl/>
        </w:rPr>
        <w:t xml:space="preserve"> דאילונית נחשבת אינה ראויה להקמת שם, וכאשת אח שיש לה בנים. אבל בדעת תוס' י"ל סברא זו.</w:t>
      </w:r>
    </w:p>
  </w:footnote>
  <w:footnote w:id="718">
    <w:p w14:paraId="66E7B1D5" w14:textId="77777777" w:rsidR="00BE1D1C" w:rsidRDefault="00000000" w:rsidP="00012502">
      <w:pPr>
        <w:pStyle w:val="Footnote"/>
        <w:bidi/>
      </w:pPr>
      <w:r>
        <w:rPr>
          <w:rStyle w:val="ac"/>
          <w:rtl/>
        </w:rPr>
        <w:footnoteRef/>
      </w:r>
      <w:r>
        <w:rPr>
          <w:rtl/>
        </w:rPr>
        <w:t>[ולכאורה תלוי במח' האמוראים שם]. והנמוק"י נקט בלשונו דהוה מדרבנן. ורע"א תמה בזה.</w:t>
      </w:r>
    </w:p>
  </w:footnote>
  <w:footnote w:id="719">
    <w:p w14:paraId="619E2566" w14:textId="77777777" w:rsidR="00BE1D1C" w:rsidRDefault="00000000" w:rsidP="00012502">
      <w:pPr>
        <w:pStyle w:val="Footnote"/>
        <w:bidi/>
      </w:pPr>
      <w:r>
        <w:rPr>
          <w:rStyle w:val="ac"/>
          <w:rtl/>
        </w:rPr>
        <w:footnoteRef/>
      </w:r>
      <w:r>
        <w:rPr>
          <w:rtl/>
        </w:rPr>
        <w:t>דהירושלמי מק' בתו מן הנשואין בלא אילונית צרתה אסורה, מפני שנתוסף לה אילונית צרתה מותרת.</w:t>
      </w:r>
    </w:p>
  </w:footnote>
  <w:footnote w:id="720">
    <w:p w14:paraId="0B0D9EE9" w14:textId="77777777" w:rsidR="00BE1D1C" w:rsidRDefault="00000000" w:rsidP="00012502">
      <w:pPr>
        <w:pStyle w:val="Footnote"/>
        <w:bidi/>
      </w:pPr>
      <w:r>
        <w:rPr>
          <w:rStyle w:val="ac"/>
          <w:rtl/>
        </w:rPr>
        <w:footnoteRef/>
      </w:r>
      <w:r>
        <w:rPr>
          <w:rtl/>
        </w:rPr>
        <w:t>ועפ"ז כתב ה</w:t>
      </w:r>
      <w:r>
        <w:rPr>
          <w:b/>
          <w:bCs/>
          <w:rtl/>
        </w:rPr>
        <w:t>קובה"ע</w:t>
      </w:r>
      <w:r>
        <w:rPr>
          <w:rtl/>
        </w:rPr>
        <w:t xml:space="preserve"> (הו' לעיל ב.) לתרץ קושית רע"א, דאיסור אשת אח דצרת צרה לא פטרה צרתה, כיון שהיא פטורה מסיבה נוספת.</w:t>
      </w:r>
    </w:p>
  </w:footnote>
  <w:footnote w:id="721">
    <w:p w14:paraId="249616DB" w14:textId="77777777" w:rsidR="00BE1D1C" w:rsidRDefault="00000000" w:rsidP="00012502">
      <w:pPr>
        <w:pStyle w:val="Footnote"/>
        <w:bidi/>
      </w:pPr>
      <w:r>
        <w:rPr>
          <w:rStyle w:val="ac"/>
          <w:rtl/>
        </w:rPr>
        <w:footnoteRef/>
      </w:r>
      <w:r>
        <w:rPr>
          <w:rtl/>
        </w:rPr>
        <w:t>[וכדאיתא בגמ' (בע"א) צרתה בעי חליצה, ואף אי הוה דאורייתא לא היתה פוטרת].</w:t>
      </w:r>
    </w:p>
  </w:footnote>
  <w:footnote w:id="722">
    <w:p w14:paraId="2CF78A9B" w14:textId="77777777" w:rsidR="00BE1D1C" w:rsidRDefault="00000000" w:rsidP="00012502">
      <w:pPr>
        <w:pStyle w:val="Footnote"/>
        <w:bidi/>
      </w:pPr>
      <w:r>
        <w:rPr>
          <w:rStyle w:val="ac"/>
          <w:rtl/>
        </w:rPr>
        <w:footnoteRef/>
      </w:r>
      <w:r>
        <w:rPr>
          <w:rtl/>
        </w:rPr>
        <w:t>והרשב"א ביאר דהכא דהיא גופא שריא לגבי שאר אחין צרת ערוה שלא במקום מצוה קרינן בה. משא"כ בצרת איילונית דאיילונית כמי שאינה בעולם כלל היא דכולהו אחין אסירא. [וכוונתו לדברי הירושלמי הו' ברמב"ן יב:].</w:t>
      </w:r>
    </w:p>
  </w:footnote>
  <w:footnote w:id="723">
    <w:p w14:paraId="2F8D14E1" w14:textId="77777777" w:rsidR="00BE1D1C" w:rsidRDefault="00000000" w:rsidP="00012502">
      <w:pPr>
        <w:pStyle w:val="Footnote"/>
        <w:bidi/>
      </w:pPr>
      <w:r>
        <w:rPr>
          <w:rStyle w:val="ac"/>
          <w:rtl/>
        </w:rPr>
        <w:footnoteRef/>
      </w:r>
      <w:r>
        <w:rPr>
          <w:rtl/>
        </w:rPr>
        <w:t>ועפ"ז יל"פ דהוה סימן, דאינה מופקעת לגמרי, ויש תחילת נפילה. ולא תליא בנפילה לאחיו בפועל.</w:t>
      </w:r>
    </w:p>
  </w:footnote>
  <w:footnote w:id="724">
    <w:p w14:paraId="5266DAE5" w14:textId="77777777" w:rsidR="00BE1D1C" w:rsidRDefault="00000000" w:rsidP="00012502">
      <w:pPr>
        <w:pStyle w:val="Footnote"/>
        <w:bidi/>
      </w:pPr>
      <w:r>
        <w:rPr>
          <w:rStyle w:val="ac"/>
          <w:rtl/>
        </w:rPr>
        <w:footnoteRef/>
      </w:r>
      <w:r>
        <w:rPr>
          <w:rtl/>
        </w:rPr>
        <w:t>לכאורה כוונתו דהאישות הוה סיבה לזיקה, ואף דבשעת נפילה כבר היא סוטה [ואף דלא קי"ל נישואין מפילים] וצ"ב. [ועוד יל"ד ממחזיר גרושתו, דמתחילת האישות השני אסורה עליו. ואפשר דהוה המשך לאישות הראשון].</w:t>
      </w:r>
    </w:p>
  </w:footnote>
  <w:footnote w:id="725">
    <w:p w14:paraId="4EE87741" w14:textId="77777777" w:rsidR="00BE1D1C" w:rsidRDefault="00000000" w:rsidP="00012502">
      <w:pPr>
        <w:pStyle w:val="Footnote"/>
        <w:bidi/>
      </w:pPr>
      <w:r>
        <w:rPr>
          <w:rStyle w:val="ac"/>
          <w:rtl/>
        </w:rPr>
        <w:footnoteRef/>
      </w:r>
      <w:r>
        <w:rPr>
          <w:rtl/>
        </w:rPr>
        <w:t xml:space="preserve">אבל </w:t>
      </w:r>
      <w:r>
        <w:rPr>
          <w:b/>
          <w:bCs/>
          <w:rtl/>
        </w:rPr>
        <w:t>תוס</w:t>
      </w:r>
      <w:r>
        <w:rPr>
          <w:rtl/>
        </w:rPr>
        <w:t>' (ח. הנ"ל) נקטו דכל הטעם דצרת אילונית פטורה, משום דהוה שלא במקום מצווה. ומש"ה אף צרת בתו אילונית.</w:t>
      </w:r>
    </w:p>
  </w:footnote>
  <w:footnote w:id="726">
    <w:p w14:paraId="4733E050" w14:textId="77777777" w:rsidR="00BE1D1C" w:rsidRDefault="00000000" w:rsidP="00012502">
      <w:pPr>
        <w:pStyle w:val="Footnote"/>
        <w:bidi/>
      </w:pPr>
      <w:r>
        <w:rPr>
          <w:rStyle w:val="ac"/>
          <w:rtl/>
        </w:rPr>
        <w:footnoteRef/>
      </w:r>
      <w:r>
        <w:rPr>
          <w:rtl/>
        </w:rPr>
        <w:t>וה</w:t>
      </w:r>
      <w:r>
        <w:rPr>
          <w:b/>
          <w:bCs/>
          <w:rtl/>
        </w:rPr>
        <w:t>אחיעזר</w:t>
      </w:r>
      <w:r>
        <w:rPr>
          <w:rtl/>
        </w:rPr>
        <w:t xml:space="preserve"> (שם) הביא בשם ס' </w:t>
      </w:r>
      <w:r>
        <w:rPr>
          <w:b/>
          <w:bCs/>
          <w:rtl/>
        </w:rPr>
        <w:t xml:space="preserve">יד המלך </w:t>
      </w:r>
      <w:r>
        <w:rPr>
          <w:rtl/>
        </w:rPr>
        <w:t>(איסו"ב ב ב) שדייק דצרת אילונית הוה חייבי לאוין. ואם בעלה לוקה, אבל אין איסור אשת אח. והקשה דמפורש בגמ' (סא.) דאם נמצאת אילונית פוגע ערוה. [וצ"ל דעכ"פ אם בעלו ל"ק, ועי"ז הוה אשת אח. ותלי בחקירת הפרשת דרכים].</w:t>
      </w:r>
    </w:p>
  </w:footnote>
  <w:footnote w:id="727">
    <w:p w14:paraId="2C3145E4" w14:textId="77777777" w:rsidR="00BE1D1C" w:rsidRDefault="00000000" w:rsidP="00012502">
      <w:pPr>
        <w:pStyle w:val="Footnote"/>
        <w:bidi/>
      </w:pPr>
      <w:r>
        <w:rPr>
          <w:rStyle w:val="ac"/>
          <w:rtl/>
        </w:rPr>
        <w:footnoteRef/>
      </w:r>
      <w:r>
        <w:rPr>
          <w:rtl/>
        </w:rPr>
        <w:t>וכעי"ז הביא ה</w:t>
      </w:r>
      <w:r>
        <w:rPr>
          <w:b/>
          <w:bCs/>
          <w:rtl/>
        </w:rPr>
        <w:t>אחיעזר</w:t>
      </w:r>
      <w:r>
        <w:rPr>
          <w:rtl/>
        </w:rPr>
        <w:t xml:space="preserve"> (ג ע) דאילונית הוה כחייבי לאו ועשה דתפסי קידושין. וציין ב</w:t>
      </w:r>
      <w:r>
        <w:rPr>
          <w:b/>
          <w:bCs/>
          <w:rtl/>
        </w:rPr>
        <w:t>תוס</w:t>
      </w:r>
      <w:r>
        <w:rPr>
          <w:rtl/>
        </w:rPr>
        <w:t>' (ח: ד"ה כל) הק' אמאי פטורה מחליצה. [ויל"ד דדברי תוס' שם קאי לרבי]. אלא שהקשה דדעת הרמב"ם דצרת סוטה פטורה מחליצה, וע"כ היינו משום הסוטה. ואף דתפסי קידושין.</w:t>
      </w:r>
    </w:p>
  </w:footnote>
  <w:footnote w:id="728">
    <w:p w14:paraId="7952F3B9" w14:textId="77777777" w:rsidR="00BE1D1C" w:rsidRDefault="00000000" w:rsidP="00012502">
      <w:pPr>
        <w:pStyle w:val="Footnote"/>
        <w:bidi/>
      </w:pPr>
      <w:r>
        <w:rPr>
          <w:rStyle w:val="ac"/>
          <w:rtl/>
        </w:rPr>
        <w:footnoteRef/>
      </w:r>
      <w:r>
        <w:rPr>
          <w:rtl/>
        </w:rPr>
        <w:t xml:space="preserve">אבל </w:t>
      </w:r>
      <w:r>
        <w:rPr>
          <w:b/>
          <w:bCs/>
          <w:rtl/>
        </w:rPr>
        <w:t>רש"י</w:t>
      </w:r>
      <w:r>
        <w:rPr>
          <w:rtl/>
        </w:rPr>
        <w:t xml:space="preserve"> (גיטין פ.) כתב דתרוייהו משום מק"ט, וכן </w:t>
      </w:r>
      <w:r>
        <w:rPr>
          <w:b/>
          <w:bCs/>
          <w:rtl/>
        </w:rPr>
        <w:t>רש"י</w:t>
      </w:r>
      <w:r>
        <w:rPr>
          <w:rtl/>
        </w:rPr>
        <w:t xml:space="preserve"> (לעיל ב:). וכרב אשי. [ו</w:t>
      </w:r>
      <w:r>
        <w:rPr>
          <w:b/>
          <w:bCs/>
          <w:rtl/>
        </w:rPr>
        <w:t>רע"א</w:t>
      </w:r>
      <w:r>
        <w:rPr>
          <w:rtl/>
        </w:rPr>
        <w:t xml:space="preserve"> כת' שדרך רש"י לנקוט כהו"א. אבל הקשה על ה</w:t>
      </w:r>
      <w:r>
        <w:rPr>
          <w:b/>
          <w:bCs/>
          <w:rtl/>
        </w:rPr>
        <w:t>רע"ב</w:t>
      </w:r>
      <w:r>
        <w:rPr>
          <w:rtl/>
        </w:rPr>
        <w:t xml:space="preserve"> שתפס כדברי רש"י, ודלא כפסק הלכה].</w:t>
      </w:r>
    </w:p>
  </w:footnote>
  <w:footnote w:id="729">
    <w:p w14:paraId="7E5CED60" w14:textId="77777777" w:rsidR="00BE1D1C" w:rsidRDefault="00000000" w:rsidP="00012502">
      <w:pPr>
        <w:pStyle w:val="Footnote"/>
        <w:bidi/>
      </w:pPr>
      <w:r>
        <w:rPr>
          <w:rStyle w:val="ac"/>
          <w:rtl/>
        </w:rPr>
        <w:footnoteRef/>
      </w:r>
      <w:r>
        <w:rPr>
          <w:rtl/>
        </w:rPr>
        <w:t>דמשמע ברש"י דדוקא משום מקח טעות, ובלאו מקח טעות היא צרת ערוה ומותרת לעלמא. וא"כ שני דבורי רש"י בשני דבורים סמוכים סותרים אהדדי, וסיים וד' יפתח לבי בתורתו.</w:t>
      </w:r>
    </w:p>
  </w:footnote>
  <w:footnote w:id="730">
    <w:p w14:paraId="4E0B6EBD" w14:textId="77777777" w:rsidR="00BE1D1C" w:rsidRDefault="00000000" w:rsidP="00012502">
      <w:pPr>
        <w:pStyle w:val="Footnote"/>
        <w:bidi/>
      </w:pPr>
      <w:r>
        <w:rPr>
          <w:rStyle w:val="ac"/>
          <w:rtl/>
        </w:rPr>
        <w:footnoteRef/>
      </w:r>
      <w:r>
        <w:rPr>
          <w:rtl/>
        </w:rPr>
        <w:t xml:space="preserve">וכן </w:t>
      </w:r>
      <w:r>
        <w:rPr>
          <w:b/>
          <w:bCs/>
          <w:rtl/>
        </w:rPr>
        <w:t>רש"י</w:t>
      </w:r>
      <w:r>
        <w:rPr>
          <w:rtl/>
        </w:rPr>
        <w:t xml:space="preserve"> (כתובות לז.) פי' משמשת במוך [דהתם] נותנת מוך לאחר בעילה ושואבת הזרע. [אך לא קאי אברייתא זו, אלא במזנה שאינה רוצה להתעבר].</w:t>
      </w:r>
    </w:p>
  </w:footnote>
  <w:footnote w:id="731">
    <w:p w14:paraId="27A43409" w14:textId="77777777" w:rsidR="00BE1D1C" w:rsidRDefault="00000000" w:rsidP="00012502">
      <w:pPr>
        <w:pStyle w:val="Footnote"/>
        <w:bidi/>
      </w:pPr>
      <w:r>
        <w:rPr>
          <w:rStyle w:val="ac"/>
          <w:rtl/>
        </w:rPr>
        <w:footnoteRef/>
      </w:r>
      <w:r>
        <w:rPr>
          <w:rtl/>
        </w:rPr>
        <w:t>ויל"ד אי מוך לאחר תשמיש סגי, א"כ אמאי התירו בג' נשים קודם תשמיש. וי"ל דלאחר מעשה מהני פחות, או דהוה טירחא יותר.</w:t>
      </w:r>
    </w:p>
  </w:footnote>
  <w:footnote w:id="732">
    <w:p w14:paraId="616CFBE8" w14:textId="77777777" w:rsidR="00BE1D1C" w:rsidRDefault="00000000" w:rsidP="00012502">
      <w:pPr>
        <w:pStyle w:val="Footnote"/>
        <w:bidi/>
      </w:pPr>
      <w:r>
        <w:rPr>
          <w:rStyle w:val="ac"/>
          <w:rtl/>
        </w:rPr>
        <w:footnoteRef/>
      </w:r>
      <w:r>
        <w:rPr>
          <w:rtl/>
        </w:rPr>
        <w:t>ו</w:t>
      </w:r>
      <w:r>
        <w:rPr>
          <w:b/>
          <w:bCs/>
          <w:rtl/>
        </w:rPr>
        <w:t>רע"א</w:t>
      </w:r>
      <w:r>
        <w:rPr>
          <w:rtl/>
        </w:rPr>
        <w:t xml:space="preserve"> הביא דלכאו' מבואר בגמ' (כתובות עב.) דממלאה ונופצת לא הוה איסור גמור.</w:t>
      </w:r>
    </w:p>
  </w:footnote>
  <w:footnote w:id="733">
    <w:p w14:paraId="2D08EDCA" w14:textId="77777777" w:rsidR="00BE1D1C" w:rsidRDefault="00000000" w:rsidP="00012502">
      <w:pPr>
        <w:pStyle w:val="Footnote"/>
        <w:bidi/>
      </w:pPr>
      <w:r>
        <w:rPr>
          <w:rStyle w:val="ac"/>
          <w:rtl/>
        </w:rPr>
        <w:footnoteRef/>
      </w:r>
      <w:r>
        <w:rPr>
          <w:rtl/>
        </w:rPr>
        <w:t>ו</w:t>
      </w:r>
      <w:r>
        <w:rPr>
          <w:b/>
          <w:bCs/>
          <w:rtl/>
        </w:rPr>
        <w:t>תוס</w:t>
      </w:r>
      <w:r>
        <w:rPr>
          <w:rtl/>
        </w:rPr>
        <w:t>' (כתובות) הוסיפו דעצה טובה קמ"ל.</w:t>
      </w:r>
    </w:p>
  </w:footnote>
  <w:footnote w:id="734">
    <w:p w14:paraId="4A97378C" w14:textId="77777777" w:rsidR="00BE1D1C" w:rsidRDefault="00000000" w:rsidP="00012502">
      <w:pPr>
        <w:pStyle w:val="Footnote"/>
        <w:bidi/>
      </w:pPr>
      <w:r>
        <w:rPr>
          <w:rStyle w:val="ac"/>
          <w:rtl/>
        </w:rPr>
        <w:footnoteRef/>
      </w:r>
      <w:r>
        <w:rPr>
          <w:rtl/>
        </w:rPr>
        <w:t>ומבואר בדברי הריטב"א דמוך בשעת תשמיש איסור אף לדידיה [וכסברת התוס'].</w:t>
      </w:r>
    </w:p>
  </w:footnote>
  <w:footnote w:id="735">
    <w:p w14:paraId="263AD58B" w14:textId="77777777" w:rsidR="00BE1D1C" w:rsidRDefault="00000000" w:rsidP="00012502">
      <w:pPr>
        <w:pStyle w:val="Footnote"/>
        <w:bidi/>
      </w:pPr>
      <w:r>
        <w:rPr>
          <w:rStyle w:val="ac"/>
          <w:rtl/>
        </w:rPr>
        <w:footnoteRef/>
      </w:r>
      <w:r>
        <w:rPr>
          <w:rtl/>
        </w:rPr>
        <w:t>[ולפ"ז היכא דנכנס המוך ממילא, אין חיוב להוציאו. אלא דיש איסור במה שמכניסתו. וצ"ב דבשעת הכנסה ל"ש איסור, דאינה חייבת לשמש].</w:t>
      </w:r>
    </w:p>
  </w:footnote>
  <w:footnote w:id="736">
    <w:p w14:paraId="3A1F0D9D" w14:textId="77777777" w:rsidR="00BE1D1C" w:rsidRDefault="00000000" w:rsidP="00012502">
      <w:pPr>
        <w:pStyle w:val="Footnote"/>
        <w:bidi/>
      </w:pPr>
      <w:r>
        <w:rPr>
          <w:rStyle w:val="ac"/>
          <w:rtl/>
        </w:rPr>
        <w:footnoteRef/>
      </w:r>
      <w:r>
        <w:rPr>
          <w:rtl/>
        </w:rPr>
        <w:t>ועד"ז אי' (לקמן עב., ע"ז ל: וכ"מ) דיש מקומות דאי"צ לחוש לסכנה.</w:t>
      </w:r>
    </w:p>
  </w:footnote>
  <w:footnote w:id="737">
    <w:p w14:paraId="545A0AE3" w14:textId="77777777" w:rsidR="00BE1D1C" w:rsidRDefault="00000000" w:rsidP="00012502">
      <w:pPr>
        <w:pStyle w:val="Footnote"/>
        <w:bidi/>
      </w:pPr>
      <w:r>
        <w:rPr>
          <w:rStyle w:val="ac"/>
          <w:rtl/>
        </w:rPr>
        <w:footnoteRef/>
      </w:r>
      <w:r>
        <w:rPr>
          <w:rtl/>
        </w:rPr>
        <w:t>דלדעת ר"מ יש להקפיד משום הך סכנה. [אך תוס' כתובות כת' דהוה רק עצה טובה. וחכמים פליגי דאי"צ עצה זו כלל].</w:t>
      </w:r>
    </w:p>
  </w:footnote>
  <w:footnote w:id="738">
    <w:p w14:paraId="1D6091EA" w14:textId="77777777" w:rsidR="00BE1D1C" w:rsidRDefault="00000000" w:rsidP="00012502">
      <w:pPr>
        <w:pStyle w:val="Footnote"/>
        <w:bidi/>
      </w:pPr>
      <w:r>
        <w:rPr>
          <w:rStyle w:val="ac"/>
          <w:rtl/>
        </w:rPr>
        <w:footnoteRef/>
      </w:r>
      <w:r>
        <w:rPr>
          <w:rtl/>
        </w:rPr>
        <w:t>ועד"ז כת' ה</w:t>
      </w:r>
      <w:r>
        <w:rPr>
          <w:b/>
          <w:bCs/>
          <w:rtl/>
        </w:rPr>
        <w:t>ריטב"א</w:t>
      </w:r>
      <w:r>
        <w:rPr>
          <w:rtl/>
        </w:rPr>
        <w:t xml:space="preserve"> (לקמן עב.) בהא דאי' (שם) דיש סכנה למול או להקיז דם ביום מעונן או שנושב בו רוח דרומית. ואי' דהאידנא דשו בה רבים, ושומר פתאים ה'. וה</w:t>
      </w:r>
      <w:r>
        <w:rPr>
          <w:b/>
          <w:bCs/>
          <w:rtl/>
        </w:rPr>
        <w:t>ריטב"א</w:t>
      </w:r>
      <w:r>
        <w:rPr>
          <w:rtl/>
        </w:rPr>
        <w:t xml:space="preserve"> כת' דמ"מ מי שאינו רוצה למול [דחושש לסכנה] הרשות בידו [אף דמבטל מצווה], ושפיר עבד שלא לסמוך על שומר פתאים. [וע"ע שו"ת תורת חסד מד].</w:t>
      </w:r>
    </w:p>
  </w:footnote>
  <w:footnote w:id="739">
    <w:p w14:paraId="1CCA839E" w14:textId="77777777" w:rsidR="00BE1D1C" w:rsidRDefault="00000000" w:rsidP="00012502">
      <w:pPr>
        <w:pStyle w:val="Footnote"/>
        <w:bidi/>
      </w:pPr>
      <w:r>
        <w:rPr>
          <w:rStyle w:val="ac"/>
          <w:rtl/>
        </w:rPr>
        <w:footnoteRef/>
      </w:r>
      <w:r>
        <w:rPr>
          <w:rtl/>
        </w:rPr>
        <w:t>[ויל"ד מה הצד דתלי איסור השחתה במצוות פריה ורביה, דהמצווה תלי בבן ובת. והאיסור לא תלי בהא].</w:t>
      </w:r>
    </w:p>
  </w:footnote>
  <w:footnote w:id="740">
    <w:p w14:paraId="2028146D" w14:textId="77777777" w:rsidR="00BE1D1C" w:rsidRDefault="00000000" w:rsidP="00012502">
      <w:pPr>
        <w:pStyle w:val="Footnote"/>
        <w:bidi/>
      </w:pPr>
      <w:r>
        <w:rPr>
          <w:rStyle w:val="ac"/>
          <w:rtl/>
        </w:rPr>
        <w:footnoteRef/>
      </w:r>
      <w:r>
        <w:rPr>
          <w:rtl/>
        </w:rPr>
        <w:t>[ותוס' דייקו כן מהגמ' נדה יג., ודנו לדחות].</w:t>
      </w:r>
    </w:p>
  </w:footnote>
  <w:footnote w:id="741">
    <w:p w14:paraId="3CA44CC6" w14:textId="77777777" w:rsidR="00BE1D1C" w:rsidRDefault="00000000" w:rsidP="00012502">
      <w:pPr>
        <w:pStyle w:val="Footnote"/>
        <w:bidi/>
      </w:pPr>
      <w:r>
        <w:rPr>
          <w:rStyle w:val="ac"/>
          <w:rtl/>
        </w:rPr>
        <w:footnoteRef/>
      </w:r>
      <w:r>
        <w:rPr>
          <w:rtl/>
        </w:rPr>
        <w:t>וקצת משמע דתלה קו' זו משום דהוה איסור בדידיה, דנחשב ע"ג עצים ואבנים.</w:t>
      </w:r>
    </w:p>
  </w:footnote>
  <w:footnote w:id="742">
    <w:p w14:paraId="06222418" w14:textId="77777777" w:rsidR="00BE1D1C" w:rsidRDefault="00000000" w:rsidP="00012502">
      <w:pPr>
        <w:pStyle w:val="Footnote"/>
        <w:bidi/>
      </w:pPr>
      <w:r>
        <w:rPr>
          <w:rStyle w:val="ac"/>
          <w:rtl/>
        </w:rPr>
        <w:footnoteRef/>
      </w:r>
      <w:r>
        <w:rPr>
          <w:rtl/>
        </w:rPr>
        <w:t>אך ב</w:t>
      </w:r>
      <w:r>
        <w:rPr>
          <w:b/>
          <w:bCs/>
          <w:rtl/>
        </w:rPr>
        <w:t>תוספתא</w:t>
      </w:r>
      <w:r>
        <w:rPr>
          <w:rtl/>
        </w:rPr>
        <w:t xml:space="preserve"> (נדה ב) הגירסא דלת"ק ג' נשים משמשות במוך, ר"מ אומר דש בפנים וזורה בחוץ [מעשה ער ואונן, ע' לקמן לד:]. וה</w:t>
      </w:r>
      <w:r>
        <w:rPr>
          <w:b/>
          <w:bCs/>
          <w:rtl/>
        </w:rPr>
        <w:t>גר"א</w:t>
      </w:r>
      <w:r>
        <w:rPr>
          <w:rtl/>
        </w:rPr>
        <w:t xml:space="preserve"> (שם) הגיה כמו בסוגיין.</w:t>
      </w:r>
    </w:p>
  </w:footnote>
  <w:footnote w:id="743">
    <w:p w14:paraId="66CF703A" w14:textId="77777777" w:rsidR="00BE1D1C" w:rsidRDefault="00000000" w:rsidP="00012502">
      <w:pPr>
        <w:pStyle w:val="Footnote"/>
        <w:bidi/>
      </w:pPr>
      <w:r>
        <w:rPr>
          <w:rStyle w:val="ac"/>
          <w:rtl/>
        </w:rPr>
        <w:footnoteRef/>
      </w:r>
      <w:r>
        <w:rPr>
          <w:rtl/>
        </w:rPr>
        <w:t xml:space="preserve">והביא דהותר שלא כדרך באקראי, וכמש"כ </w:t>
      </w:r>
      <w:r>
        <w:rPr>
          <w:b/>
          <w:bCs/>
          <w:rtl/>
        </w:rPr>
        <w:t>תוס</w:t>
      </w:r>
      <w:r>
        <w:rPr>
          <w:rtl/>
        </w:rPr>
        <w:t>' (לקמן לד: ד"ה ולא). אבל ה</w:t>
      </w:r>
      <w:r>
        <w:rPr>
          <w:b/>
          <w:bCs/>
          <w:rtl/>
        </w:rPr>
        <w:t>ב"י</w:t>
      </w:r>
      <w:r>
        <w:rPr>
          <w:rtl/>
        </w:rPr>
        <w:t xml:space="preserve"> (בה"ב כה) כתב דאילו תוס' ראו דברי ה</w:t>
      </w:r>
      <w:r>
        <w:rPr>
          <w:b/>
          <w:bCs/>
          <w:rtl/>
        </w:rPr>
        <w:t>זוהר</w:t>
      </w:r>
      <w:r>
        <w:rPr>
          <w:rtl/>
        </w:rPr>
        <w:t xml:space="preserve"> בחומר האיסור לא היו מתירים.</w:t>
      </w:r>
    </w:p>
  </w:footnote>
  <w:footnote w:id="744">
    <w:p w14:paraId="3F115429" w14:textId="77777777" w:rsidR="00BE1D1C" w:rsidRDefault="00000000" w:rsidP="00012502">
      <w:pPr>
        <w:pStyle w:val="Footnote"/>
        <w:bidi/>
      </w:pPr>
      <w:r>
        <w:rPr>
          <w:rStyle w:val="ac"/>
          <w:rtl/>
        </w:rPr>
        <w:footnoteRef/>
      </w:r>
      <w:r>
        <w:rPr>
          <w:rtl/>
        </w:rPr>
        <w:t>וה</w:t>
      </w:r>
      <w:r>
        <w:rPr>
          <w:b/>
          <w:bCs/>
          <w:rtl/>
        </w:rPr>
        <w:t xml:space="preserve">אחרונים </w:t>
      </w:r>
      <w:r>
        <w:rPr>
          <w:rtl/>
        </w:rPr>
        <w:t>הוסיפו די"ל דיש ב' איסורים בדבר [מגדרי ניאוף ועוד משום השחתת הזרע], והכא הוה דרך תשמיש, ואין איסור משום עצם ההוצאה, אלא משום מה שהוא לבטלה.</w:t>
      </w:r>
    </w:p>
  </w:footnote>
  <w:footnote w:id="745">
    <w:p w14:paraId="16D682BD" w14:textId="77777777" w:rsidR="00BE1D1C" w:rsidRDefault="00000000" w:rsidP="00012502">
      <w:pPr>
        <w:pStyle w:val="Footnote"/>
        <w:bidi/>
      </w:pPr>
      <w:r>
        <w:rPr>
          <w:rStyle w:val="ac"/>
          <w:rtl/>
        </w:rPr>
        <w:footnoteRef/>
      </w:r>
      <w:r>
        <w:rPr>
          <w:rtl/>
        </w:rPr>
        <w:t>ומשמע דכוונת התוס' ליישב בזה דעת רש"י.</w:t>
      </w:r>
    </w:p>
  </w:footnote>
  <w:footnote w:id="746">
    <w:p w14:paraId="3E6237F8" w14:textId="77777777" w:rsidR="00BE1D1C" w:rsidRDefault="00000000" w:rsidP="00012502">
      <w:pPr>
        <w:pStyle w:val="Footnote"/>
        <w:bidi/>
      </w:pPr>
      <w:r>
        <w:rPr>
          <w:rStyle w:val="ac"/>
          <w:rtl/>
        </w:rPr>
        <w:footnoteRef/>
      </w:r>
      <w:r>
        <w:rPr>
          <w:rtl/>
        </w:rPr>
        <w:t>דכיון שהמוך במעיה בכל שעה (כדמשמע נדה ג.), הוי כמשמש על האבנים ועל העצים. ולא דמי לקטנה ואילונית וכו'.</w:t>
      </w:r>
    </w:p>
  </w:footnote>
  <w:footnote w:id="747">
    <w:p w14:paraId="5909FE7B" w14:textId="77777777" w:rsidR="00BE1D1C" w:rsidRDefault="00000000" w:rsidP="00012502">
      <w:pPr>
        <w:pStyle w:val="Footnote"/>
        <w:bidi/>
      </w:pPr>
      <w:r>
        <w:rPr>
          <w:rStyle w:val="ac"/>
          <w:rtl/>
        </w:rPr>
        <w:footnoteRef/>
      </w:r>
      <w:r>
        <w:rPr>
          <w:rtl/>
        </w:rPr>
        <w:t>ובפשוטו ר"ת (כאן) פשיט"ל דאינה מוזהרת, ותוס' לעיל מדברי ר"י. ועוד יש שפי' דהשחתה דלאחר מעשה ודאי הוה רק משום מצוות פריה ורביה.</w:t>
      </w:r>
    </w:p>
  </w:footnote>
  <w:footnote w:id="748">
    <w:p w14:paraId="6F74A945" w14:textId="77777777" w:rsidR="00BE1D1C" w:rsidRDefault="00000000" w:rsidP="00012502">
      <w:pPr>
        <w:pStyle w:val="Footnote"/>
        <w:bidi/>
      </w:pPr>
      <w:r>
        <w:rPr>
          <w:rStyle w:val="ac"/>
          <w:rtl/>
        </w:rPr>
        <w:footnoteRef/>
      </w:r>
      <w:r>
        <w:rPr>
          <w:rtl/>
        </w:rPr>
        <w:t>וצ"ב דאיירי אף בג' נשים, והדרא קו' דהאשה אינה ראויה להתעבר, ולאחר שיצא ממנו מה שייך בזה השחתה. ואפשר דתוס' נקטו כן אגב שאר נשים.</w:t>
      </w:r>
    </w:p>
  </w:footnote>
  <w:footnote w:id="749">
    <w:p w14:paraId="698EAE2E" w14:textId="77777777" w:rsidR="00BE1D1C" w:rsidRDefault="00000000" w:rsidP="00012502">
      <w:pPr>
        <w:pStyle w:val="Footnote"/>
        <w:bidi/>
      </w:pPr>
      <w:r>
        <w:rPr>
          <w:rStyle w:val="ac"/>
          <w:rtl/>
        </w:rPr>
        <w:footnoteRef/>
      </w:r>
      <w:r>
        <w:rPr>
          <w:rtl/>
        </w:rPr>
        <w:t>לענין חצי דבר, דנחשב שגורם לגדלות.</w:t>
      </w:r>
    </w:p>
  </w:footnote>
  <w:footnote w:id="750">
    <w:p w14:paraId="21BD0D21" w14:textId="77777777" w:rsidR="00BE1D1C" w:rsidRDefault="00000000" w:rsidP="00012502">
      <w:pPr>
        <w:pStyle w:val="Footnote"/>
        <w:bidi/>
      </w:pPr>
      <w:r>
        <w:rPr>
          <w:rStyle w:val="ac"/>
          <w:rtl/>
        </w:rPr>
        <w:footnoteRef/>
      </w:r>
      <w:r>
        <w:rPr>
          <w:rtl/>
        </w:rPr>
        <w:t>ונפק"מ דלא שייך ס"ס, ספק הביא ב' שערות, וספק שנים, דהוה רק ספק האם הוא גדול, וע"י צירוף הסימן נמסר לנו לברר דבר זה.</w:t>
      </w:r>
    </w:p>
  </w:footnote>
  <w:footnote w:id="751">
    <w:p w14:paraId="6CAD6C79" w14:textId="77777777" w:rsidR="00BE1D1C" w:rsidRDefault="00000000" w:rsidP="00012502">
      <w:pPr>
        <w:pStyle w:val="Footnote"/>
        <w:bidi/>
      </w:pPr>
      <w:r>
        <w:rPr>
          <w:rStyle w:val="ac"/>
          <w:rtl/>
        </w:rPr>
        <w:footnoteRef/>
      </w:r>
      <w:r>
        <w:rPr>
          <w:rtl/>
        </w:rPr>
        <w:t>[ובפשוטו משמע דאין ללידה גדר 'סימנים'. אלא דעי"ז הוה נערות, כאילו הביאה סימנים].</w:t>
      </w:r>
    </w:p>
  </w:footnote>
  <w:footnote w:id="752">
    <w:p w14:paraId="542754B8" w14:textId="77777777" w:rsidR="00BE1D1C" w:rsidRDefault="00000000" w:rsidP="00012502">
      <w:pPr>
        <w:pStyle w:val="Footnote"/>
        <w:bidi/>
      </w:pPr>
      <w:r>
        <w:rPr>
          <w:rStyle w:val="ac"/>
          <w:rtl/>
        </w:rPr>
        <w:footnoteRef/>
      </w:r>
      <w:r>
        <w:rPr>
          <w:rtl/>
        </w:rPr>
        <w:t>[וה</w:t>
      </w:r>
      <w:r>
        <w:rPr>
          <w:b/>
          <w:bCs/>
          <w:rtl/>
        </w:rPr>
        <w:t>רמב"ם</w:t>
      </w:r>
      <w:r>
        <w:rPr>
          <w:rtl/>
        </w:rPr>
        <w:t xml:space="preserve"> כת' דכשנולד חוזר ומקדש קידושין שאין בהם דופי].</w:t>
      </w:r>
    </w:p>
  </w:footnote>
  <w:footnote w:id="753">
    <w:p w14:paraId="03E9ECF1" w14:textId="77777777" w:rsidR="00BE1D1C" w:rsidRDefault="00000000" w:rsidP="00012502">
      <w:pPr>
        <w:pStyle w:val="Footnote"/>
        <w:bidi/>
      </w:pPr>
      <w:r>
        <w:rPr>
          <w:rStyle w:val="ac"/>
          <w:rtl/>
        </w:rPr>
        <w:footnoteRef/>
      </w:r>
      <w:r>
        <w:rPr>
          <w:rtl/>
        </w:rPr>
        <w:t>וכדאי' (קידושין סב.) אם ילדה אשתך נקיבה תתקדש, דאם היתה מעוברת מהני. [והרמב"ם נקט דקאי אף למ"ד דבקנינים ל"מ דבר שלא בא לעולם]. וה</w:t>
      </w:r>
      <w:r>
        <w:rPr>
          <w:b/>
          <w:bCs/>
          <w:rtl/>
        </w:rPr>
        <w:t>ראב"ד</w:t>
      </w:r>
      <w:r>
        <w:rPr>
          <w:rtl/>
        </w:rPr>
        <w:t xml:space="preserve"> השיג דקאי כראב"י דאדם מקנה דבר שלבל"ע.</w:t>
      </w:r>
    </w:p>
  </w:footnote>
  <w:footnote w:id="754">
    <w:p w14:paraId="403381B6" w14:textId="77777777" w:rsidR="00BE1D1C" w:rsidRDefault="00000000" w:rsidP="00012502">
      <w:pPr>
        <w:pStyle w:val="Footnote"/>
        <w:bidi/>
      </w:pPr>
      <w:r>
        <w:rPr>
          <w:rStyle w:val="ac"/>
          <w:rtl/>
        </w:rPr>
        <w:footnoteRef/>
      </w:r>
      <w:r>
        <w:rPr>
          <w:rtl/>
        </w:rPr>
        <w:t>ומהני הוכר עוברה שלא יחשב דבר שלא בא לעולם. וה</w:t>
      </w:r>
      <w:r>
        <w:rPr>
          <w:b/>
          <w:bCs/>
          <w:rtl/>
        </w:rPr>
        <w:t xml:space="preserve">גר"ח </w:t>
      </w:r>
      <w:r>
        <w:rPr>
          <w:rtl/>
        </w:rPr>
        <w:t>הקשה דמ"מ אילו לא תפסי קידושין הוה בכלל דבר שלא בא לעולם.</w:t>
      </w:r>
    </w:p>
  </w:footnote>
  <w:footnote w:id="755">
    <w:p w14:paraId="13040ABF" w14:textId="77777777" w:rsidR="00BE1D1C" w:rsidRDefault="00000000" w:rsidP="00012502">
      <w:pPr>
        <w:pStyle w:val="Footnote"/>
        <w:bidi/>
      </w:pPr>
      <w:r>
        <w:rPr>
          <w:rStyle w:val="ac"/>
          <w:rtl/>
        </w:rPr>
        <w:footnoteRef/>
      </w:r>
      <w:r>
        <w:rPr>
          <w:rtl/>
        </w:rPr>
        <w:t>וה</w:t>
      </w:r>
      <w:r>
        <w:rPr>
          <w:b/>
          <w:bCs/>
          <w:rtl/>
        </w:rPr>
        <w:t>רש"ש</w:t>
      </w:r>
      <w:r>
        <w:rPr>
          <w:rtl/>
        </w:rPr>
        <w:t xml:space="preserve"> הק' דשמא הזרע נקלט רק אחרי ג' ימים. וציין ל</w:t>
      </w:r>
      <w:r>
        <w:rPr>
          <w:b/>
          <w:bCs/>
          <w:rtl/>
        </w:rPr>
        <w:t xml:space="preserve">תוס' </w:t>
      </w:r>
      <w:r>
        <w:rPr>
          <w:rtl/>
        </w:rPr>
        <w:t>(לקמן לז. ד"ה רוב). עי"ש. והאחרונים תי' דלא סמכינן ע"ז, ומש"ה  אינה יכולה למאן.</w:t>
      </w:r>
    </w:p>
  </w:footnote>
  <w:footnote w:id="756">
    <w:p w14:paraId="1D1CFCE2" w14:textId="77777777" w:rsidR="00BE1D1C" w:rsidRDefault="00000000" w:rsidP="00012502">
      <w:pPr>
        <w:pStyle w:val="Footnote"/>
        <w:bidi/>
      </w:pPr>
      <w:r>
        <w:rPr>
          <w:rStyle w:val="ac"/>
          <w:rtl/>
        </w:rPr>
        <w:footnoteRef/>
      </w:r>
      <w:r>
        <w:rPr>
          <w:rtl/>
        </w:rPr>
        <w:t>ויל"ד דה"מ כשמרגשת צער. אבל אילו ידעינן שהרגישה צער רק סמוך ללידה, בזמן מועט אפשר לברר שלא הביאה שערות.</w:t>
      </w:r>
    </w:p>
  </w:footnote>
  <w:footnote w:id="757">
    <w:p w14:paraId="7C1E261E" w14:textId="77777777" w:rsidR="00BE1D1C" w:rsidRDefault="00000000" w:rsidP="00012502">
      <w:pPr>
        <w:pStyle w:val="Footnote"/>
        <w:bidi/>
      </w:pPr>
      <w:r>
        <w:rPr>
          <w:rStyle w:val="ac"/>
          <w:rtl/>
        </w:rPr>
        <w:footnoteRef/>
      </w:r>
      <w:r>
        <w:rPr>
          <w:rtl/>
        </w:rPr>
        <w:t>וצ"ב.</w:t>
      </w:r>
    </w:p>
  </w:footnote>
  <w:footnote w:id="758">
    <w:p w14:paraId="2BA939B2" w14:textId="77777777" w:rsidR="00BE1D1C" w:rsidRDefault="00000000" w:rsidP="00012502">
      <w:pPr>
        <w:pStyle w:val="Footnote"/>
        <w:bidi/>
      </w:pPr>
      <w:r>
        <w:rPr>
          <w:rStyle w:val="ac"/>
          <w:rtl/>
        </w:rPr>
        <w:footnoteRef/>
      </w:r>
      <w:r>
        <w:rPr>
          <w:rtl/>
        </w:rPr>
        <w:t>וכן מבואר גבי סריס ואילונית, דמהני שנים לחוד (ע' לקמן פ.). והגר"ח (אישות ב ט הנ"ל) האריך לבאר.</w:t>
      </w:r>
    </w:p>
  </w:footnote>
  <w:footnote w:id="759">
    <w:p w14:paraId="1617319E" w14:textId="77777777" w:rsidR="00BE1D1C" w:rsidRDefault="00000000" w:rsidP="00012502">
      <w:pPr>
        <w:pStyle w:val="Footnote"/>
        <w:bidi/>
      </w:pPr>
      <w:r>
        <w:rPr>
          <w:rStyle w:val="ac"/>
          <w:rtl/>
        </w:rPr>
        <w:footnoteRef/>
      </w:r>
      <w:r>
        <w:rPr>
          <w:rtl/>
        </w:rPr>
        <w:t>ועד"ז יל"פ דברי ה</w:t>
      </w:r>
      <w:r>
        <w:rPr>
          <w:b/>
          <w:bCs/>
          <w:rtl/>
        </w:rPr>
        <w:t xml:space="preserve">רמב"ם </w:t>
      </w:r>
      <w:r>
        <w:rPr>
          <w:rtl/>
        </w:rPr>
        <w:t>(אישות ב יט), דכת' (שם יח) דהיכא דבדקו תוך השנים וראו שערות אמרי' דהוה שומה, ואינו סימן אף כשאותן השערות במקומן עומדות אחר שהגיע לשנים. והרמב"ם (יט) כת' בד"א בשנבדקו בתוך הזמן ונודע שהן שומה, אבל אם לא נבדקו אלא אחר זמן הרי הן בחזקת סימנין. ואין אומרין שמא קודם זמן צמחו כדי שיהיו שומה. ולכאורה משמע דאף היכא שבאמת השערות היו קודם, כיון דלא בדקו ולא הוחזקו שומא, מהני כסימנים. [אמנם ב</w:t>
      </w:r>
      <w:r>
        <w:rPr>
          <w:b/>
          <w:bCs/>
          <w:rtl/>
        </w:rPr>
        <w:t>שו"ע</w:t>
      </w:r>
      <w:r>
        <w:rPr>
          <w:rtl/>
        </w:rPr>
        <w:t xml:space="preserve"> (קנה יד) כת' דכשמוצאים לה שערות אחר הזמן, מחזיקין אותה כגדולה אפי' לחליצה, ולא חיישינן שמא באו קודם הזמן. משמע דאילו באו תוך הזמן, אף שלא נודע לנו הוה שומא].</w:t>
      </w:r>
    </w:p>
  </w:footnote>
  <w:footnote w:id="760">
    <w:p w14:paraId="12D7269C" w14:textId="77777777" w:rsidR="00BE1D1C" w:rsidRDefault="00000000" w:rsidP="00012502">
      <w:pPr>
        <w:pStyle w:val="Footnote"/>
        <w:bidi/>
      </w:pPr>
      <w:r>
        <w:rPr>
          <w:rStyle w:val="ac"/>
          <w:rtl/>
        </w:rPr>
        <w:footnoteRef/>
      </w:r>
      <w:r>
        <w:rPr>
          <w:rtl/>
        </w:rPr>
        <w:t>אבל ה</w:t>
      </w:r>
      <w:r>
        <w:rPr>
          <w:b/>
          <w:bCs/>
          <w:rtl/>
        </w:rPr>
        <w:t>ראב"ד</w:t>
      </w:r>
      <w:r>
        <w:rPr>
          <w:rtl/>
        </w:rPr>
        <w:t xml:space="preserve"> (שם) השיג דאי אפשר שיהא לה בת [בפשוטו כוונתו להשיג בזה, אבל הגר"ח ביאר כוונת הראב"ד דלא חל החיוב לפני לידה].</w:t>
      </w:r>
    </w:p>
  </w:footnote>
  <w:footnote w:id="761">
    <w:p w14:paraId="62F0E897" w14:textId="77777777" w:rsidR="00BE1D1C" w:rsidRDefault="00000000" w:rsidP="00012502">
      <w:pPr>
        <w:pStyle w:val="Footnote"/>
        <w:bidi/>
      </w:pPr>
      <w:r>
        <w:rPr>
          <w:rStyle w:val="ac"/>
          <w:rtl/>
        </w:rPr>
        <w:footnoteRef/>
      </w:r>
      <w:r>
        <w:rPr>
          <w:rtl/>
        </w:rPr>
        <w:t>והרי"ף גרס צרות הרבה אצל ערוה א'.</w:t>
      </w:r>
    </w:p>
  </w:footnote>
  <w:footnote w:id="762">
    <w:p w14:paraId="4F17D25B" w14:textId="77777777" w:rsidR="00BE1D1C" w:rsidRDefault="00000000" w:rsidP="00012502">
      <w:pPr>
        <w:pStyle w:val="Footnote"/>
        <w:bidi/>
      </w:pPr>
      <w:r>
        <w:rPr>
          <w:rStyle w:val="ac"/>
          <w:rtl/>
        </w:rPr>
        <w:footnoteRef/>
      </w:r>
      <w:r>
        <w:rPr>
          <w:rtl/>
        </w:rPr>
        <w:t>ולפ"ז הקריאה במשנה פוטרות צרותיהן, והצרות [פוטרות] צרותיהן. ואילו פשטות לשון המשנה דט"ו נשים פוטרות צרותיהן, [והנך ט"ו פוטרות] צרות צרותיהן.</w:t>
      </w:r>
    </w:p>
  </w:footnote>
  <w:footnote w:id="763">
    <w:p w14:paraId="5FEDBD4E" w14:textId="77777777" w:rsidR="00BE1D1C" w:rsidRDefault="00000000" w:rsidP="00012502">
      <w:pPr>
        <w:pStyle w:val="Footnote"/>
        <w:bidi/>
      </w:pPr>
      <w:r>
        <w:rPr>
          <w:rStyle w:val="ac"/>
          <w:rtl/>
        </w:rPr>
        <w:footnoteRef/>
      </w:r>
      <w:r>
        <w:rPr>
          <w:rtl/>
        </w:rPr>
        <w:t>[וכן יש לדייק מגירסת הרי"ף הנ"ל]. ועוד הביאו מ</w:t>
      </w:r>
      <w:r>
        <w:rPr>
          <w:b/>
          <w:bCs/>
          <w:rtl/>
        </w:rPr>
        <w:t>תוס</w:t>
      </w:r>
      <w:r>
        <w:rPr>
          <w:rtl/>
        </w:rPr>
        <w:t>' (לעיל ג: ד"ה לפי) דליכא פטור צרת צרה בסוטה לבועל, דאין לנו להחמיר בטומאה גבי בועל יותר מטומאה דגבי בעל. ונתחדש גדר ערוה שפוטרת צרתה, ולא אלים לפטור צרת צרה.</w:t>
      </w:r>
    </w:p>
  </w:footnote>
  <w:footnote w:id="764">
    <w:p w14:paraId="3E8447C8" w14:textId="77777777" w:rsidR="00BE1D1C" w:rsidRDefault="00000000" w:rsidP="00012502">
      <w:pPr>
        <w:pStyle w:val="Footnote"/>
        <w:bidi/>
      </w:pPr>
      <w:r>
        <w:rPr>
          <w:rStyle w:val="ac"/>
          <w:rtl/>
        </w:rPr>
        <w:footnoteRef/>
      </w:r>
      <w:r>
        <w:rPr>
          <w:rtl/>
        </w:rPr>
        <w:t>וה</w:t>
      </w:r>
      <w:r>
        <w:rPr>
          <w:b/>
          <w:bCs/>
          <w:rtl/>
        </w:rPr>
        <w:t>אחרונים</w:t>
      </w:r>
      <w:r>
        <w:rPr>
          <w:rtl/>
        </w:rPr>
        <w:t xml:space="preserve"> דייקו דהצרה פוטרתה, ולא שהערוה פוטרת אף צרת צרתה.</w:t>
      </w:r>
    </w:p>
  </w:footnote>
  <w:footnote w:id="765">
    <w:p w14:paraId="73C29374" w14:textId="77777777" w:rsidR="00BE1D1C" w:rsidRDefault="00000000" w:rsidP="00012502">
      <w:pPr>
        <w:pStyle w:val="Footnote"/>
        <w:bidi/>
      </w:pPr>
      <w:r>
        <w:rPr>
          <w:rStyle w:val="ac"/>
          <w:rtl/>
        </w:rPr>
        <w:footnoteRef/>
      </w:r>
      <w:r>
        <w:rPr>
          <w:rtl/>
        </w:rPr>
        <w:t>וה</w:t>
      </w:r>
      <w:r>
        <w:rPr>
          <w:b/>
          <w:bCs/>
          <w:rtl/>
        </w:rPr>
        <w:t>קובה"ע</w:t>
      </w:r>
      <w:r>
        <w:rPr>
          <w:rtl/>
        </w:rPr>
        <w:t xml:space="preserve"> הק' דהלשון 'במקום ערוה' דחוק, דהיא עצמה ערוה. וביאר דקאי אנפילה שניה [דפטור צרת צרה הוה בנפילה שניה], ובנפילה זו פטורה מחמת נפילה ראשונה.</w:t>
      </w:r>
    </w:p>
  </w:footnote>
  <w:footnote w:id="766">
    <w:p w14:paraId="0A9FB424" w14:textId="77777777" w:rsidR="00BE1D1C" w:rsidRDefault="00000000" w:rsidP="00012502">
      <w:pPr>
        <w:pStyle w:val="Footnote"/>
        <w:bidi/>
      </w:pPr>
      <w:r>
        <w:rPr>
          <w:rStyle w:val="ac"/>
          <w:rtl/>
        </w:rPr>
        <w:footnoteRef/>
      </w:r>
      <w:r>
        <w:rPr>
          <w:rtl/>
        </w:rPr>
        <w:t xml:space="preserve">למש"כ </w:t>
      </w:r>
      <w:r>
        <w:rPr>
          <w:b/>
          <w:bCs/>
          <w:rtl/>
        </w:rPr>
        <w:t>תוס</w:t>
      </w:r>
      <w:r>
        <w:rPr>
          <w:rtl/>
        </w:rPr>
        <w:t>' (לקמן לב.) [דלר' שמעון] אף במקום דאין איסור חל על איסור, פוטרת צרתה משום ערות אשת אח. [אף דהוה אשת אח דנפילה זו].</w:t>
      </w:r>
    </w:p>
  </w:footnote>
  <w:footnote w:id="767">
    <w:p w14:paraId="2BCE8B3E" w14:textId="77777777" w:rsidR="00BE1D1C" w:rsidRDefault="00000000" w:rsidP="00012502">
      <w:pPr>
        <w:pStyle w:val="Footnote"/>
        <w:bidi/>
      </w:pPr>
      <w:r>
        <w:rPr>
          <w:rStyle w:val="ac"/>
          <w:rtl/>
        </w:rPr>
        <w:footnoteRef/>
      </w:r>
      <w:r>
        <w:rPr>
          <w:rtl/>
        </w:rPr>
        <w:t>ולשון רש"י משמע דכיון דנאסרה אסורה עולמית. וע"ד הא דקי"ל דנאסרה בשעת נפילה אינה חוזרת להיתר. אך ה</w:t>
      </w:r>
      <w:r>
        <w:rPr>
          <w:b/>
          <w:bCs/>
          <w:rtl/>
        </w:rPr>
        <w:t>קובה"ע</w:t>
      </w:r>
      <w:r>
        <w:rPr>
          <w:rtl/>
        </w:rPr>
        <w:t xml:space="preserve"> (ג טו) הק' דהכא הוה קודם נפילה, ול"ש 'נאסרה'. דבהיו לו בנים ומתו מתייבמת אף למ"ד נישואין מפילין. [ושאני מגרש את אשתו, ע' בסמוך]. ותי' דכוונת רש"י דחל עליה שם צרת ערוה, דבמקום בתו קיימא, כיון דנקרא עליה שם צרת ערוה שעה א'. [וע"ע אמר"מ טו].</w:t>
      </w:r>
    </w:p>
    <w:p w14:paraId="2DC08BE9" w14:textId="77777777" w:rsidR="00BE1D1C" w:rsidRDefault="00000000" w:rsidP="00012502">
      <w:pPr>
        <w:pStyle w:val="Footnote"/>
        <w:bidi/>
      </w:pPr>
      <w:r>
        <w:rPr>
          <w:rtl/>
        </w:rPr>
        <w:tab/>
        <w:t>[ויש שדחו קו' הקובה"ע, דבהיו לו בנים בחייו ל"ש נאסרה, דבנים לא עדיף ממה שהוא עצמו חי. ועומדת ליבום כלפי מצב שלא יחיה [הוא ובניו]. משא"כ היכא דחל צרת ערוה, א"כ מעכשיו אינה ראויה ליבום כלפי לאחר זמן, ונאסרה אף מחיים למ"ד נישואין מפילין].</w:t>
      </w:r>
    </w:p>
  </w:footnote>
  <w:footnote w:id="768">
    <w:p w14:paraId="4EC440EF" w14:textId="77777777" w:rsidR="00BE1D1C" w:rsidRDefault="00000000" w:rsidP="00012502">
      <w:pPr>
        <w:pStyle w:val="Footnote"/>
        <w:bidi/>
      </w:pPr>
      <w:r>
        <w:rPr>
          <w:rStyle w:val="ac"/>
          <w:rtl/>
        </w:rPr>
        <w:footnoteRef/>
      </w:r>
      <w:r>
        <w:rPr>
          <w:rtl/>
        </w:rPr>
        <w:t>ו</w:t>
      </w:r>
      <w:r>
        <w:rPr>
          <w:b/>
          <w:bCs/>
          <w:rtl/>
        </w:rPr>
        <w:t>תוס'</w:t>
      </w:r>
      <w:r>
        <w:rPr>
          <w:rtl/>
        </w:rPr>
        <w:t xml:space="preserve"> (לקמן פד:) נקטו דלא אמרי' נישואין מפילין להקל, ודוקא להחמיר. [עע"ש].</w:t>
      </w:r>
    </w:p>
  </w:footnote>
  <w:footnote w:id="769">
    <w:p w14:paraId="59FC021D" w14:textId="77777777" w:rsidR="00BE1D1C" w:rsidRDefault="00000000" w:rsidP="00012502">
      <w:pPr>
        <w:pStyle w:val="Footnote"/>
        <w:bidi/>
      </w:pPr>
      <w:r>
        <w:rPr>
          <w:rStyle w:val="ac"/>
          <w:rtl/>
        </w:rPr>
        <w:footnoteRef/>
      </w:r>
      <w:r>
        <w:rPr>
          <w:rtl/>
        </w:rPr>
        <w:t>אבל ה</w:t>
      </w:r>
      <w:r>
        <w:rPr>
          <w:b/>
          <w:bCs/>
          <w:rtl/>
        </w:rPr>
        <w:t>מלחמות</w:t>
      </w:r>
      <w:r>
        <w:rPr>
          <w:rtl/>
        </w:rPr>
        <w:t xml:space="preserve"> (לקמן ל. ח בדה"ר) פליג על תוס' בזה. [ויתבאר לקמן בעזה"י].</w:t>
      </w:r>
    </w:p>
  </w:footnote>
  <w:footnote w:id="770">
    <w:p w14:paraId="33EA04F4" w14:textId="77777777" w:rsidR="00BE1D1C" w:rsidRDefault="00000000" w:rsidP="00012502">
      <w:pPr>
        <w:pStyle w:val="Footnote"/>
        <w:bidi/>
      </w:pPr>
      <w:r>
        <w:rPr>
          <w:rStyle w:val="ac"/>
          <w:rtl/>
        </w:rPr>
        <w:footnoteRef/>
      </w:r>
      <w:r>
        <w:rPr>
          <w:rtl/>
        </w:rPr>
        <w:t>ולכן לא שייך נאסרה. ומ"מ נחשבת צרת ערוה, כיון דשעה א' היתה עם הערוה. [וה</w:t>
      </w:r>
      <w:r>
        <w:rPr>
          <w:b/>
          <w:bCs/>
          <w:rtl/>
        </w:rPr>
        <w:t>אחרונים</w:t>
      </w:r>
      <w:r>
        <w:rPr>
          <w:rtl/>
        </w:rPr>
        <w:t xml:space="preserve"> דנו דמבואר דנחשבת צרת ערוה בזה, ואף דאח"כ אינה צרתה, ולא פקע השם צרה וע' לקמן ל.].</w:t>
      </w:r>
    </w:p>
  </w:footnote>
  <w:footnote w:id="771">
    <w:p w14:paraId="33CCC621" w14:textId="77777777" w:rsidR="00BE1D1C" w:rsidRDefault="00000000" w:rsidP="00012502">
      <w:pPr>
        <w:pStyle w:val="Footnote"/>
        <w:bidi/>
      </w:pPr>
      <w:r>
        <w:rPr>
          <w:rStyle w:val="ac"/>
          <w:rtl/>
        </w:rPr>
        <w:footnoteRef/>
      </w:r>
      <w:r>
        <w:rPr>
          <w:rtl/>
        </w:rPr>
        <w:t>וא"כ משכחת לה צרת צרה בסוטה [וצ"ע למש"כ תוס' ג:].</w:t>
      </w:r>
    </w:p>
  </w:footnote>
  <w:footnote w:id="772">
    <w:p w14:paraId="51D9B063" w14:textId="77777777" w:rsidR="00BE1D1C" w:rsidRDefault="00000000" w:rsidP="00012502">
      <w:pPr>
        <w:pStyle w:val="Footnote"/>
        <w:bidi/>
      </w:pPr>
      <w:r>
        <w:rPr>
          <w:rStyle w:val="ac"/>
          <w:rtl/>
        </w:rPr>
        <w:footnoteRef/>
      </w:r>
      <w:r>
        <w:rPr>
          <w:rtl/>
        </w:rPr>
        <w:t>וכיון דממאנת לאחים, פקע אף כלפי אביה, וכמ"ש ה</w:t>
      </w:r>
      <w:r>
        <w:rPr>
          <w:b/>
          <w:bCs/>
          <w:rtl/>
        </w:rPr>
        <w:t>ריטב"א</w:t>
      </w:r>
      <w:r>
        <w:rPr>
          <w:rtl/>
        </w:rPr>
        <w:t xml:space="preserve"> (יב.).</w:t>
      </w:r>
    </w:p>
  </w:footnote>
  <w:footnote w:id="773">
    <w:p w14:paraId="27509BFC" w14:textId="77777777" w:rsidR="00BE1D1C" w:rsidRDefault="00000000" w:rsidP="00012502">
      <w:pPr>
        <w:pStyle w:val="Footnote"/>
        <w:bidi/>
      </w:pPr>
      <w:r>
        <w:rPr>
          <w:rStyle w:val="ac"/>
          <w:rtl/>
        </w:rPr>
        <w:footnoteRef/>
      </w:r>
      <w:r>
        <w:rPr>
          <w:rtl/>
        </w:rPr>
        <w:t>וה</w:t>
      </w:r>
      <w:r>
        <w:rPr>
          <w:b/>
          <w:bCs/>
          <w:rtl/>
        </w:rPr>
        <w:t>תוס' מהר"ם ור"פ</w:t>
      </w:r>
      <w:r>
        <w:rPr>
          <w:rtl/>
        </w:rPr>
        <w:t xml:space="preserve"> הוסיף דהכא בלאו הכי הערוה אסורה. [ויל"ד במקום דיש אחים, וזקוקה לאחים. האם מלמדים שתאמן, ואח זה ייבם].</w:t>
      </w:r>
    </w:p>
  </w:footnote>
  <w:footnote w:id="774">
    <w:p w14:paraId="5A7CDA1A" w14:textId="77777777" w:rsidR="00BE1D1C" w:rsidRDefault="00000000" w:rsidP="00012502">
      <w:pPr>
        <w:pStyle w:val="Footnote"/>
        <w:bidi/>
      </w:pPr>
      <w:r>
        <w:rPr>
          <w:rStyle w:val="ac"/>
          <w:rtl/>
        </w:rPr>
        <w:footnoteRef/>
      </w:r>
      <w:r>
        <w:rPr>
          <w:rtl/>
        </w:rPr>
        <w:t>ולתי' הא' בתוס' מבואר דלר' אושעיא מהני אף אחר חליצה. וע"ע תוס' הרא"ש. [ויתבאר לקמן קז:].</w:t>
      </w:r>
    </w:p>
  </w:footnote>
  <w:footnote w:id="775">
    <w:p w14:paraId="02C80332" w14:textId="77777777" w:rsidR="00BE1D1C" w:rsidRDefault="00000000" w:rsidP="00012502">
      <w:pPr>
        <w:pStyle w:val="Footnote"/>
        <w:bidi/>
      </w:pPr>
      <w:r>
        <w:rPr>
          <w:rStyle w:val="ac"/>
          <w:rtl/>
        </w:rPr>
        <w:footnoteRef/>
      </w:r>
      <w:r>
        <w:rPr>
          <w:rtl/>
        </w:rPr>
        <w:t>וכ"מ ב</w:t>
      </w:r>
      <w:r>
        <w:rPr>
          <w:b/>
          <w:bCs/>
          <w:rtl/>
        </w:rPr>
        <w:t>רש"י</w:t>
      </w:r>
      <w:r>
        <w:rPr>
          <w:rtl/>
        </w:rPr>
        <w:t xml:space="preserve"> (קז: ד"ה ומציא) שכת' שלא תהא צריכה גט לביאתו.</w:t>
      </w:r>
    </w:p>
  </w:footnote>
  <w:footnote w:id="776">
    <w:p w14:paraId="4E2F5048" w14:textId="77777777" w:rsidR="00BE1D1C" w:rsidRDefault="00000000" w:rsidP="00012502">
      <w:pPr>
        <w:pStyle w:val="Footnote"/>
        <w:bidi/>
      </w:pPr>
      <w:r>
        <w:rPr>
          <w:rStyle w:val="ac"/>
          <w:rtl/>
        </w:rPr>
        <w:footnoteRef/>
      </w:r>
      <w:r>
        <w:rPr>
          <w:rtl/>
        </w:rPr>
        <w:t>ולא אמרי' דרק 'קנין היבום' מפקיע את הזיקה, אלא מעשה ביאה דיש בה קנין. ואף דנעקר הקנין למפרע. וצ"ב.</w:t>
      </w:r>
    </w:p>
  </w:footnote>
  <w:footnote w:id="777">
    <w:p w14:paraId="0827C011" w14:textId="77777777" w:rsidR="00BE1D1C" w:rsidRDefault="00000000" w:rsidP="00012502">
      <w:pPr>
        <w:pStyle w:val="Footnote"/>
        <w:bidi/>
      </w:pPr>
      <w:r>
        <w:rPr>
          <w:rStyle w:val="ac"/>
          <w:rtl/>
        </w:rPr>
        <w:footnoteRef/>
      </w:r>
      <w:r>
        <w:rPr>
          <w:rtl/>
        </w:rPr>
        <w:t>וה</w:t>
      </w:r>
      <w:r>
        <w:rPr>
          <w:b/>
          <w:bCs/>
          <w:rtl/>
        </w:rPr>
        <w:t>תוס' הרא"ש</w:t>
      </w:r>
      <w:r>
        <w:rPr>
          <w:rtl/>
        </w:rPr>
        <w:t xml:space="preserve"> כתב כן אף לתי' הא' דתוס', דאחרי חליצה אפשר למאן [אם לא שיש בדבריו ט"ס]. וזה דלא כדברי ה</w:t>
      </w:r>
      <w:r>
        <w:rPr>
          <w:b/>
          <w:bCs/>
          <w:rtl/>
        </w:rPr>
        <w:t>ראשונים</w:t>
      </w:r>
      <w:r>
        <w:rPr>
          <w:rtl/>
        </w:rPr>
        <w:t xml:space="preserve"> דכשאינה זקוקה אי אפשר לעקור. [א"נ ע"י חליצה נחשבת ככנוסה].</w:t>
      </w:r>
    </w:p>
  </w:footnote>
  <w:footnote w:id="778">
    <w:p w14:paraId="77FFF17D" w14:textId="77777777" w:rsidR="00BE1D1C" w:rsidRDefault="00000000" w:rsidP="00012502">
      <w:pPr>
        <w:pStyle w:val="Footnote"/>
        <w:bidi/>
      </w:pPr>
      <w:r>
        <w:rPr>
          <w:rStyle w:val="ac"/>
          <w:rtl/>
        </w:rPr>
        <w:footnoteRef/>
      </w:r>
      <w:r>
        <w:rPr>
          <w:rtl/>
        </w:rPr>
        <w:t>וה</w:t>
      </w:r>
      <w:r>
        <w:rPr>
          <w:b/>
          <w:bCs/>
          <w:rtl/>
        </w:rPr>
        <w:t>חזו"א</w:t>
      </w:r>
      <w:r>
        <w:rPr>
          <w:rtl/>
        </w:rPr>
        <w:t xml:space="preserve"> (קיא ו) ביאר דנחשב כאילו כל קנין אחיו אצל היבם.</w:t>
      </w:r>
    </w:p>
  </w:footnote>
  <w:footnote w:id="779">
    <w:p w14:paraId="30E033C9" w14:textId="77777777" w:rsidR="00BE1D1C" w:rsidRDefault="00000000" w:rsidP="00012502">
      <w:pPr>
        <w:pStyle w:val="Footnote"/>
        <w:bidi/>
      </w:pPr>
      <w:r>
        <w:rPr>
          <w:rStyle w:val="ac"/>
          <w:rtl/>
        </w:rPr>
        <w:footnoteRef/>
      </w:r>
      <w:r>
        <w:rPr>
          <w:rtl/>
        </w:rPr>
        <w:t xml:space="preserve">וכל סברת ר' אושעיא דבעי </w:t>
      </w:r>
      <w:r>
        <w:rPr>
          <w:i/>
          <w:iCs/>
          <w:rtl/>
        </w:rPr>
        <w:t>מעשה</w:t>
      </w:r>
      <w:r>
        <w:rPr>
          <w:rtl/>
        </w:rPr>
        <w:t xml:space="preserve"> מיאון לבטל אישות שקיימת, אבל כשיש רק זיקה חסר במעשה מיאון. ועוד שמעתי דגדר המיאון דע"י שעוקרת וממאנת באישות הזה, נעקר כל האישות מתחילתו. [ולר' אושעיא זיקה אינה חשובה כדי למאן בו].</w:t>
      </w:r>
    </w:p>
  </w:footnote>
  <w:footnote w:id="780">
    <w:p w14:paraId="242F64BD" w14:textId="77777777" w:rsidR="00BE1D1C" w:rsidRDefault="00000000" w:rsidP="00012502">
      <w:pPr>
        <w:pStyle w:val="Footnote"/>
        <w:bidi/>
      </w:pPr>
      <w:r>
        <w:rPr>
          <w:rStyle w:val="ac"/>
          <w:rtl/>
        </w:rPr>
        <w:footnoteRef/>
      </w:r>
      <w:r>
        <w:rPr>
          <w:rtl/>
        </w:rPr>
        <w:t>וה</w:t>
      </w:r>
      <w:r>
        <w:rPr>
          <w:b/>
          <w:bCs/>
          <w:rtl/>
        </w:rPr>
        <w:t>חזו"א</w:t>
      </w:r>
      <w:r>
        <w:rPr>
          <w:rtl/>
        </w:rPr>
        <w:t xml:space="preserve"> (קלד) האריך לדון בכמה אופנים אי הוה איסור כולל או מוסיף.</w:t>
      </w:r>
    </w:p>
  </w:footnote>
  <w:footnote w:id="781">
    <w:p w14:paraId="49385B69" w14:textId="77777777" w:rsidR="00BE1D1C" w:rsidRDefault="00000000" w:rsidP="00012502">
      <w:pPr>
        <w:pStyle w:val="Footnote"/>
        <w:bidi/>
      </w:pPr>
      <w:r>
        <w:rPr>
          <w:rStyle w:val="ac"/>
          <w:rtl/>
        </w:rPr>
        <w:footnoteRef/>
      </w:r>
      <w:r>
        <w:rPr>
          <w:rtl/>
        </w:rPr>
        <w:t>[מלבד הא דהוה חייבי כריתות]. וכמ"ש ה</w:t>
      </w:r>
      <w:r>
        <w:rPr>
          <w:b/>
          <w:bCs/>
          <w:rtl/>
        </w:rPr>
        <w:t>פנ"י</w:t>
      </w:r>
      <w:r>
        <w:rPr>
          <w:rtl/>
        </w:rPr>
        <w:t xml:space="preserve"> (גיטין מג:), וה</w:t>
      </w:r>
      <w:r>
        <w:rPr>
          <w:b/>
          <w:bCs/>
          <w:rtl/>
        </w:rPr>
        <w:t>אבנ"מ</w:t>
      </w:r>
      <w:r>
        <w:rPr>
          <w:rtl/>
        </w:rPr>
        <w:t xml:space="preserve"> (מד ד) חלק דמבואר בגמ' (קידושין סז:) דהטעם דלא תפסי קידושין משום דהוה חייבי כריתות.</w:t>
      </w:r>
    </w:p>
  </w:footnote>
  <w:footnote w:id="782">
    <w:p w14:paraId="1217A031" w14:textId="77777777" w:rsidR="00BE1D1C" w:rsidRDefault="00000000" w:rsidP="00012502">
      <w:pPr>
        <w:pStyle w:val="Footnote"/>
        <w:bidi/>
      </w:pPr>
      <w:r>
        <w:rPr>
          <w:rStyle w:val="ac"/>
          <w:rtl/>
        </w:rPr>
        <w:footnoteRef/>
      </w:r>
      <w:r>
        <w:rPr>
          <w:rtl/>
        </w:rPr>
        <w:t>אך ה</w:t>
      </w:r>
      <w:r>
        <w:rPr>
          <w:b/>
          <w:bCs/>
          <w:rtl/>
        </w:rPr>
        <w:t>אחרונים</w:t>
      </w:r>
      <w:r>
        <w:rPr>
          <w:rtl/>
        </w:rPr>
        <w:t xml:space="preserve"> הק' דהגמ' (לקמן לב.) מקשה דכיון דאין איסור חל על איסור תתיבם. ואף דסיבת האיסור קיימת. [ועד"ז (לעיל ג:) היכא דעשה דוחה ל"ת, מבואר דתפסי זיקה ויבום]. והאחרונים תי' בכמה אופנים. והקובה"ע תי' דלענין יבום לא תלי בתפיסת קידושין [דגדר יבום דאשה הקנו לו מהשמים], אלא תלי אי חל דין ערוה כלפי יבום.</w:t>
      </w:r>
    </w:p>
  </w:footnote>
  <w:footnote w:id="783">
    <w:p w14:paraId="2F69317F" w14:textId="77777777" w:rsidR="00BE1D1C" w:rsidRDefault="00000000" w:rsidP="00012502">
      <w:pPr>
        <w:pStyle w:val="Footnote"/>
        <w:bidi/>
      </w:pPr>
      <w:r>
        <w:rPr>
          <w:rStyle w:val="ac"/>
          <w:rtl/>
        </w:rPr>
        <w:footnoteRef/>
      </w:r>
      <w:r>
        <w:rPr>
          <w:rtl/>
        </w:rPr>
        <w:t>וה</w:t>
      </w:r>
      <w:r>
        <w:rPr>
          <w:b/>
          <w:bCs/>
          <w:rtl/>
        </w:rPr>
        <w:t>חזו"א</w:t>
      </w:r>
      <w:r>
        <w:rPr>
          <w:rtl/>
        </w:rPr>
        <w:t xml:space="preserve"> (בסו"ד) הסכים לדברי האחיעזר, דהוה 'צורת עריות' ולא חל קידושי אביו.</w:t>
      </w:r>
    </w:p>
  </w:footnote>
  <w:footnote w:id="784">
    <w:p w14:paraId="719CA9BA" w14:textId="77777777" w:rsidR="00BE1D1C" w:rsidRDefault="00000000" w:rsidP="00012502">
      <w:pPr>
        <w:pStyle w:val="Footnote"/>
        <w:bidi/>
      </w:pPr>
      <w:r>
        <w:rPr>
          <w:rStyle w:val="ac"/>
          <w:rtl/>
        </w:rPr>
        <w:footnoteRef/>
      </w:r>
      <w:r>
        <w:rPr>
          <w:rtl/>
        </w:rPr>
        <w:t>אבל אי תקנו בזה חליצה, עי"ז נפסלה לכהונה. וכדאי' בהמשך הסוגיא. [ויל"ד לדרשת הרמב"ם, הא סוף סוף אינה אשתו. ודוחק לומר דגדר התקנ"ח שתחשב יבמתו].</w:t>
      </w:r>
    </w:p>
  </w:footnote>
  <w:footnote w:id="785">
    <w:p w14:paraId="2228478C" w14:textId="77777777" w:rsidR="00BE1D1C" w:rsidRDefault="00000000" w:rsidP="00012502">
      <w:pPr>
        <w:pStyle w:val="Footnote"/>
        <w:bidi/>
      </w:pPr>
      <w:r>
        <w:rPr>
          <w:rStyle w:val="ac"/>
          <w:rtl/>
        </w:rPr>
        <w:footnoteRef/>
      </w:r>
      <w:r>
        <w:rPr>
          <w:rtl/>
        </w:rPr>
        <w:t>כדדרש ר"א בן מתיא (לקמן צב.). [ורב (לקמן צד.) דחה דהו"ל לדרוש מהך קרא דאפי' לא נתגרשה אלא מאישה פסולה לכהונה].</w:t>
      </w:r>
    </w:p>
  </w:footnote>
  <w:footnote w:id="786">
    <w:p w14:paraId="7E4D8CD0" w14:textId="77777777" w:rsidR="00BE1D1C" w:rsidRDefault="00000000" w:rsidP="00012502">
      <w:pPr>
        <w:pStyle w:val="Footnote"/>
        <w:bidi/>
      </w:pPr>
      <w:r>
        <w:rPr>
          <w:rStyle w:val="ac"/>
          <w:rtl/>
        </w:rPr>
        <w:footnoteRef/>
      </w:r>
      <w:r>
        <w:rPr>
          <w:rtl/>
        </w:rPr>
        <w:t>דכיון דליכא פטור צרת ערוה, ע"כ דרש 'לצרור' לדרשא אחרת</w:t>
      </w:r>
    </w:p>
  </w:footnote>
  <w:footnote w:id="787">
    <w:p w14:paraId="0020084B" w14:textId="77777777" w:rsidR="00BE1D1C" w:rsidRDefault="00000000" w:rsidP="00012502">
      <w:pPr>
        <w:pStyle w:val="Footnote"/>
        <w:bidi/>
      </w:pPr>
      <w:r>
        <w:rPr>
          <w:rStyle w:val="ac"/>
          <w:rtl/>
        </w:rPr>
        <w:footnoteRef/>
      </w:r>
      <w:r>
        <w:rPr>
          <w:rtl/>
        </w:rPr>
        <w:t>[והגמ' מתרצת דנחשב שלא במקום מצוה, ולא ילפי' לצרור להכי].</w:t>
      </w:r>
    </w:p>
  </w:footnote>
  <w:footnote w:id="788">
    <w:p w14:paraId="67EADB1E" w14:textId="77777777" w:rsidR="00BE1D1C" w:rsidRDefault="00000000" w:rsidP="00012502">
      <w:pPr>
        <w:pStyle w:val="Footnote"/>
        <w:bidi/>
      </w:pPr>
      <w:r>
        <w:rPr>
          <w:rStyle w:val="ac"/>
          <w:rtl/>
        </w:rPr>
        <w:footnoteRef/>
      </w:r>
      <w:r>
        <w:rPr>
          <w:rtl/>
        </w:rPr>
        <w:t>ושניהם קידשו בשעה א', וכגון ע"י שליח א' (כדלקמן לד.).</w:t>
      </w:r>
    </w:p>
  </w:footnote>
  <w:footnote w:id="789">
    <w:p w14:paraId="37E4FEBE" w14:textId="77777777" w:rsidR="00BE1D1C" w:rsidRDefault="00000000" w:rsidP="00012502">
      <w:pPr>
        <w:pStyle w:val="Footnote"/>
        <w:bidi/>
      </w:pPr>
      <w:r>
        <w:rPr>
          <w:rStyle w:val="ac"/>
          <w:rtl/>
        </w:rPr>
        <w:footnoteRef/>
      </w:r>
      <w:r>
        <w:rPr>
          <w:rtl/>
        </w:rPr>
        <w:t>וב</w:t>
      </w:r>
      <w:r>
        <w:rPr>
          <w:b/>
          <w:bCs/>
          <w:rtl/>
        </w:rPr>
        <w:t>תו"י</w:t>
      </w:r>
      <w:r>
        <w:rPr>
          <w:rtl/>
        </w:rPr>
        <w:t xml:space="preserve"> [ע' בתו"י השלם הנדמ"ח] פליג דלא מסתבר להעמיד קרא בהכי [וע"ד דעת הראב"ד].</w:t>
      </w:r>
    </w:p>
  </w:footnote>
  <w:footnote w:id="790">
    <w:p w14:paraId="670D9603" w14:textId="77777777" w:rsidR="00BE1D1C" w:rsidRDefault="00000000" w:rsidP="00012502">
      <w:pPr>
        <w:pStyle w:val="Footnote"/>
        <w:bidi/>
      </w:pPr>
      <w:r>
        <w:rPr>
          <w:rStyle w:val="ac"/>
          <w:rtl/>
        </w:rPr>
        <w:footnoteRef/>
      </w:r>
      <w:r>
        <w:rPr>
          <w:rtl/>
        </w:rPr>
        <w:t>וחל רק א' מהם [והוה ספק איזה]. (וע' לקמן לב:).</w:t>
      </w:r>
    </w:p>
  </w:footnote>
  <w:footnote w:id="791">
    <w:p w14:paraId="0F40ECE0" w14:textId="77777777" w:rsidR="00BE1D1C" w:rsidRDefault="00000000" w:rsidP="00012502">
      <w:pPr>
        <w:pStyle w:val="Footnote"/>
        <w:bidi/>
      </w:pPr>
      <w:r>
        <w:rPr>
          <w:rStyle w:val="ac"/>
          <w:rtl/>
        </w:rPr>
        <w:footnoteRef/>
      </w:r>
      <w:r>
        <w:rPr>
          <w:rtl/>
        </w:rPr>
        <w:t>וה</w:t>
      </w:r>
      <w:r>
        <w:rPr>
          <w:b/>
          <w:bCs/>
          <w:rtl/>
        </w:rPr>
        <w:t>מהרש"א</w:t>
      </w:r>
      <w:r>
        <w:rPr>
          <w:rtl/>
        </w:rPr>
        <w:t xml:space="preserve"> ו</w:t>
      </w:r>
      <w:r>
        <w:rPr>
          <w:b/>
          <w:bCs/>
          <w:rtl/>
        </w:rPr>
        <w:t>מסורת הש"ס</w:t>
      </w:r>
      <w:r>
        <w:rPr>
          <w:rtl/>
        </w:rPr>
        <w:t xml:space="preserve"> תמהו דתוס' כת' כאילו הוה סברא דידהו, ולא ציינו דכוונתם להעתיק את דברי הגמ' לקמן לב.</w:t>
      </w:r>
    </w:p>
  </w:footnote>
  <w:footnote w:id="792">
    <w:p w14:paraId="48CC038C" w14:textId="77777777" w:rsidR="00BE1D1C" w:rsidRDefault="00000000" w:rsidP="00012502">
      <w:pPr>
        <w:pStyle w:val="Footnote"/>
        <w:bidi/>
      </w:pPr>
      <w:r>
        <w:rPr>
          <w:rStyle w:val="ac"/>
          <w:rtl/>
        </w:rPr>
        <w:footnoteRef/>
      </w:r>
      <w:r>
        <w:rPr>
          <w:rtl/>
        </w:rPr>
        <w:t>וה</w:t>
      </w:r>
      <w:r>
        <w:rPr>
          <w:b/>
          <w:bCs/>
          <w:rtl/>
        </w:rPr>
        <w:t>גרי"ז</w:t>
      </w:r>
      <w:r>
        <w:rPr>
          <w:rtl/>
        </w:rPr>
        <w:t xml:space="preserve"> (הל' יבום) ציין דעדיף מבעלת התנאי דכתבו </w:t>
      </w:r>
      <w:r>
        <w:rPr>
          <w:b/>
          <w:bCs/>
          <w:rtl/>
        </w:rPr>
        <w:t>תוס</w:t>
      </w:r>
      <w:r>
        <w:rPr>
          <w:rtl/>
        </w:rPr>
        <w:t xml:space="preserve">' (י. לצד א') דנחשבת ערוה דמשום איסור אשת איש אסורה לייבם [והוה ערוה למצב זה]. אבל יש </w:t>
      </w:r>
      <w:r>
        <w:rPr>
          <w:b/>
          <w:bCs/>
          <w:rtl/>
        </w:rPr>
        <w:t>אחרונים</w:t>
      </w:r>
      <w:r>
        <w:rPr>
          <w:rtl/>
        </w:rPr>
        <w:t xml:space="preserve"> שפי' דכוונת רש"י דהערוה מיתלא תאלי, ועומדת לחול, א"כ 'סיבת האיסור' מונע ליבום [וע' בסמוך].</w:t>
      </w:r>
    </w:p>
  </w:footnote>
  <w:footnote w:id="793">
    <w:p w14:paraId="55B0F836" w14:textId="77777777" w:rsidR="00BE1D1C" w:rsidRDefault="00000000" w:rsidP="00012502">
      <w:pPr>
        <w:pStyle w:val="Footnote"/>
        <w:bidi/>
      </w:pPr>
      <w:r>
        <w:rPr>
          <w:rStyle w:val="ac"/>
          <w:rtl/>
        </w:rPr>
        <w:footnoteRef/>
      </w:r>
      <w:r>
        <w:rPr>
          <w:rtl/>
        </w:rPr>
        <w:t>ובפשוטו פליגי רש"י ותוס' האם הפטור מדין ערות אשת אח, או מדין אחות אשה. אבל ה</w:t>
      </w:r>
      <w:r>
        <w:rPr>
          <w:b/>
          <w:bCs/>
          <w:rtl/>
        </w:rPr>
        <w:t>גרי"ז</w:t>
      </w:r>
      <w:r>
        <w:rPr>
          <w:rtl/>
        </w:rPr>
        <w:t xml:space="preserve"> כתב דאף לתוס' היא פטורה ע"י הערות אחות אשה דמיתלא תליא. אלא דל"מ טעם זה לפטור צרה (ע' בסמוך), וכיון דהיא פטורה, פוטרת צרתה מדין ערות אשת אח.</w:t>
      </w:r>
    </w:p>
  </w:footnote>
  <w:footnote w:id="794">
    <w:p w14:paraId="012F0E1B" w14:textId="77777777" w:rsidR="00BE1D1C" w:rsidRDefault="00000000" w:rsidP="00012502">
      <w:pPr>
        <w:pStyle w:val="Footnote"/>
        <w:bidi/>
      </w:pPr>
      <w:r>
        <w:rPr>
          <w:rStyle w:val="ac"/>
          <w:rtl/>
        </w:rPr>
        <w:footnoteRef/>
      </w:r>
      <w:r>
        <w:rPr>
          <w:rtl/>
        </w:rPr>
        <w:t>ונח' ביסוד הגר"ח (סטנסל לקמן לו.) במעוברת.</w:t>
      </w:r>
    </w:p>
  </w:footnote>
  <w:footnote w:id="795">
    <w:p w14:paraId="053CD729" w14:textId="77777777" w:rsidR="00BE1D1C" w:rsidRDefault="00000000" w:rsidP="00012502">
      <w:pPr>
        <w:pStyle w:val="Footnote"/>
        <w:bidi/>
      </w:pPr>
      <w:r>
        <w:rPr>
          <w:rStyle w:val="ac"/>
          <w:rtl/>
        </w:rPr>
        <w:footnoteRef/>
      </w:r>
      <w:r>
        <w:rPr>
          <w:rtl/>
        </w:rPr>
        <w:t>דמיתלא תאלי. [אך כ"ז אי נימא דגדר מיתלא תאלי שיש בזה שם אחות אשה. אבל אי הוה חסרון בתורת ממ"נ, ומש"ה אינה נופלת. א"כ לא חשיב במקום ערוה].</w:t>
      </w:r>
    </w:p>
  </w:footnote>
  <w:footnote w:id="796">
    <w:p w14:paraId="0A16FFF7" w14:textId="77777777" w:rsidR="00BE1D1C" w:rsidRDefault="00000000" w:rsidP="00012502">
      <w:pPr>
        <w:pStyle w:val="Footnote"/>
        <w:bidi/>
      </w:pPr>
      <w:r>
        <w:rPr>
          <w:rStyle w:val="ac"/>
          <w:rtl/>
        </w:rPr>
        <w:footnoteRef/>
      </w:r>
      <w:r>
        <w:rPr>
          <w:rtl/>
        </w:rPr>
        <w:t>ודחה די"ל דקרא דלצרור איירי בבת א'.</w:t>
      </w:r>
    </w:p>
  </w:footnote>
  <w:footnote w:id="797">
    <w:p w14:paraId="2F664AF4" w14:textId="77777777" w:rsidR="00BE1D1C" w:rsidRDefault="00000000" w:rsidP="00012502">
      <w:pPr>
        <w:pStyle w:val="Footnote"/>
        <w:bidi/>
      </w:pPr>
      <w:r>
        <w:rPr>
          <w:rStyle w:val="ac"/>
          <w:rtl/>
        </w:rPr>
        <w:footnoteRef/>
      </w:r>
      <w:r>
        <w:rPr>
          <w:rtl/>
        </w:rPr>
        <w:t>אך ה</w:t>
      </w:r>
      <w:r>
        <w:rPr>
          <w:b/>
          <w:bCs/>
          <w:rtl/>
        </w:rPr>
        <w:t>ריטב"א</w:t>
      </w:r>
      <w:r>
        <w:rPr>
          <w:rtl/>
        </w:rPr>
        <w:t xml:space="preserve"> הק' דאפשר לאוקמי קרא כדר' שמעון ורבי, ואמאי מוקמינן לה בחידוש דאין איסור חל על איסור.</w:t>
      </w:r>
    </w:p>
  </w:footnote>
  <w:footnote w:id="798">
    <w:p w14:paraId="02565143" w14:textId="77777777" w:rsidR="00BE1D1C" w:rsidRDefault="00000000" w:rsidP="00012502">
      <w:pPr>
        <w:pStyle w:val="Footnote"/>
        <w:bidi/>
      </w:pPr>
      <w:r>
        <w:rPr>
          <w:rStyle w:val="ac"/>
          <w:rtl/>
        </w:rPr>
        <w:footnoteRef/>
      </w:r>
      <w:r>
        <w:rPr>
          <w:rtl/>
        </w:rPr>
        <w:t xml:space="preserve">אבל </w:t>
      </w:r>
      <w:r>
        <w:rPr>
          <w:b/>
          <w:bCs/>
          <w:rtl/>
        </w:rPr>
        <w:t>תוס</w:t>
      </w:r>
      <w:r>
        <w:rPr>
          <w:rtl/>
        </w:rPr>
        <w:t>' (חולין קא. ד"ה בנטמא, וסנהדרין פג: ד"ה פרט) כתבו דילפי' דאין איסור חל על איסור מהמיעוט דפרט לזו שמחוללת ועומדת, בשנטמא תחילה. ומיניה ילפי' לעלמא. וה</w:t>
      </w:r>
      <w:r>
        <w:rPr>
          <w:b/>
          <w:bCs/>
          <w:rtl/>
        </w:rPr>
        <w:t>רא"ש</w:t>
      </w:r>
      <w:r>
        <w:rPr>
          <w:rtl/>
        </w:rPr>
        <w:t xml:space="preserve"> (נזיר ד.) הביא דרשא נוספת מקרא ד'שכר' דנזיר.</w:t>
      </w:r>
    </w:p>
  </w:footnote>
  <w:footnote w:id="799">
    <w:p w14:paraId="44781C21" w14:textId="77777777" w:rsidR="00BE1D1C" w:rsidRDefault="00000000" w:rsidP="00012502">
      <w:pPr>
        <w:pStyle w:val="Footnote"/>
        <w:bidi/>
      </w:pPr>
      <w:r>
        <w:rPr>
          <w:rStyle w:val="ac"/>
          <w:rtl/>
        </w:rPr>
        <w:footnoteRef/>
      </w:r>
      <w:r>
        <w:rPr>
          <w:rtl/>
        </w:rPr>
        <w:t>לר' יוסי, וה</w:t>
      </w:r>
      <w:r>
        <w:rPr>
          <w:b/>
          <w:bCs/>
          <w:rtl/>
        </w:rPr>
        <w:t>אחיעזר</w:t>
      </w:r>
      <w:r>
        <w:rPr>
          <w:rtl/>
        </w:rPr>
        <w:t xml:space="preserve"> נקט דר' שמעון לא פליג. אבל בית שמאי ס"ל דלא חל כלל [אבל ה</w:t>
      </w:r>
      <w:r>
        <w:rPr>
          <w:b/>
          <w:bCs/>
          <w:rtl/>
        </w:rPr>
        <w:t>חזו"א</w:t>
      </w:r>
      <w:r>
        <w:rPr>
          <w:rtl/>
        </w:rPr>
        <w:t xml:space="preserve"> כתב דאף ר' שמעון ס"ל דלא חל כלל, ולכן כתב טעם דמיתלא תליא, וחל אח"כ].</w:t>
      </w:r>
    </w:p>
  </w:footnote>
  <w:footnote w:id="800">
    <w:p w14:paraId="4EDBFEF2" w14:textId="77777777" w:rsidR="00BE1D1C" w:rsidRDefault="00000000" w:rsidP="00012502">
      <w:pPr>
        <w:pStyle w:val="Footnote"/>
        <w:bidi/>
      </w:pPr>
      <w:r>
        <w:rPr>
          <w:rStyle w:val="ac"/>
          <w:rtl/>
        </w:rPr>
        <w:footnoteRef/>
      </w:r>
      <w:r>
        <w:rPr>
          <w:rtl/>
        </w:rPr>
        <w:t>אבל ה</w:t>
      </w:r>
      <w:r>
        <w:rPr>
          <w:b/>
          <w:bCs/>
          <w:rtl/>
        </w:rPr>
        <w:t>אחרונים</w:t>
      </w:r>
      <w:r>
        <w:rPr>
          <w:rtl/>
        </w:rPr>
        <w:t xml:space="preserve"> כת' דאף דלענין תפיסת קידושין מהני שם ערוה, מ"מ בסוגיא (לקמן לב.) לא נפטרה עי"ז. וה</w:t>
      </w:r>
      <w:r>
        <w:rPr>
          <w:b/>
          <w:bCs/>
          <w:rtl/>
        </w:rPr>
        <w:t>קובה"ע</w:t>
      </w:r>
      <w:r>
        <w:rPr>
          <w:rtl/>
        </w:rPr>
        <w:t xml:space="preserve"> כת' דלענין יבום תופס זיקה אף כשיש שם ערוה, אילו הביאה מותרת [וכדמוכח לעיל ג: אילו עשה דוח ל"ת שיש בו כרת]. וב</w:t>
      </w:r>
      <w:r>
        <w:rPr>
          <w:b/>
          <w:bCs/>
          <w:rtl/>
        </w:rPr>
        <w:t>חי' ר' שמעון</w:t>
      </w:r>
      <w:r>
        <w:rPr>
          <w:rtl/>
        </w:rPr>
        <w:t xml:space="preserve"> (א בהערה) כת' דכמו דאין איסור חל ע"א, כמו כן אין שם ערוה חל על שם ערוה. (וע' לקמן לב.).</w:t>
      </w:r>
    </w:p>
  </w:footnote>
  <w:footnote w:id="801">
    <w:p w14:paraId="68D07C67" w14:textId="77777777" w:rsidR="00BE1D1C" w:rsidRDefault="00000000" w:rsidP="00012502">
      <w:pPr>
        <w:pStyle w:val="Footnote"/>
        <w:bidi/>
      </w:pPr>
      <w:r>
        <w:rPr>
          <w:rStyle w:val="ac"/>
          <w:rtl/>
        </w:rPr>
        <w:footnoteRef/>
      </w:r>
      <w:r>
        <w:rPr>
          <w:rtl/>
        </w:rPr>
        <w:t>וה</w:t>
      </w:r>
      <w:r>
        <w:rPr>
          <w:b/>
          <w:bCs/>
          <w:rtl/>
        </w:rPr>
        <w:t>רמב"ן</w:t>
      </w:r>
      <w:r>
        <w:rPr>
          <w:rtl/>
        </w:rPr>
        <w:t xml:space="preserve"> (יב:) כתב דאע"ג דהוה מקום מצוה לצרה, לא פטרה, כיון דאינה מקום מצוה לערוה.</w:t>
      </w:r>
    </w:p>
  </w:footnote>
  <w:footnote w:id="802">
    <w:p w14:paraId="21416A3D" w14:textId="77777777" w:rsidR="00BE1D1C" w:rsidRDefault="00000000" w:rsidP="00012502">
      <w:pPr>
        <w:pStyle w:val="Footnote"/>
        <w:bidi/>
      </w:pPr>
      <w:r>
        <w:rPr>
          <w:rStyle w:val="ac"/>
          <w:rtl/>
        </w:rPr>
        <w:footnoteRef/>
      </w:r>
      <w:r>
        <w:rPr>
          <w:rtl/>
        </w:rPr>
        <w:t>וה</w:t>
      </w:r>
      <w:r>
        <w:rPr>
          <w:b/>
          <w:bCs/>
          <w:rtl/>
        </w:rPr>
        <w:t xml:space="preserve">אחרונים </w:t>
      </w:r>
      <w:r>
        <w:rPr>
          <w:rtl/>
        </w:rPr>
        <w:t>דנו האם שייך לסברת ה</w:t>
      </w:r>
      <w:r>
        <w:rPr>
          <w:b/>
          <w:bCs/>
          <w:rtl/>
        </w:rPr>
        <w:t>תוס</w:t>
      </w:r>
      <w:r>
        <w:rPr>
          <w:rtl/>
        </w:rPr>
        <w:t>' (י.) דלא נחשב כלפיו אשת המת כשאסורה [באיסור אשת איש] לאחר [ומקור לזה בגיטין פב:]</w:t>
      </w:r>
    </w:p>
  </w:footnote>
  <w:footnote w:id="803">
    <w:p w14:paraId="6595726F" w14:textId="77777777" w:rsidR="00BE1D1C" w:rsidRDefault="00000000" w:rsidP="00012502">
      <w:pPr>
        <w:pStyle w:val="Footnote"/>
        <w:bidi/>
      </w:pPr>
      <w:r>
        <w:rPr>
          <w:rStyle w:val="ac"/>
          <w:rtl/>
        </w:rPr>
        <w:footnoteRef/>
      </w:r>
      <w:r>
        <w:rPr>
          <w:rtl/>
        </w:rPr>
        <w:t>{ולו יצוייר דלא חל איסור אשת אח, ואף שאין איסור אחר, לא יהא מצווה לייבם. וכן משמע מדברי רש"י דאינה נופלת כלל ליבום}.</w:t>
      </w:r>
    </w:p>
    <w:p w14:paraId="31540915" w14:textId="77777777" w:rsidR="00BE1D1C" w:rsidRDefault="00000000" w:rsidP="00012502">
      <w:pPr>
        <w:pStyle w:val="Footnote"/>
        <w:bidi/>
      </w:pPr>
      <w:r>
        <w:rPr>
          <w:rtl/>
        </w:rPr>
        <w:tab/>
        <w:t>ועוד אפשר דהוה סברא שהערוה חשיב שלא במקום מצווה, דגדר 'מקום מצווה' היינו במקום שהאיסור אשת אח הוה ערוה. [ועפ"ז מש"כ האחרונים ע"פ דברי התוס' (לקמן לב.) דאיסור אשת אח דעריות הוה בגדר ערוה הוא מוכרח בכל ערוה, דערות אחות אשתו בלא ערות אשת אח נחשב שלא במקום מצווה. וע"כ דהא דפטור צרה הוה במקום מצווה, היינו במקום 'פטור' אשת אח. וע"י דהוה ערוה יש פטור אשת אח].</w:t>
      </w:r>
    </w:p>
    <w:p w14:paraId="7FED2EA9" w14:textId="77777777" w:rsidR="00BE1D1C" w:rsidRDefault="00000000" w:rsidP="00012502">
      <w:pPr>
        <w:pStyle w:val="Footnote"/>
        <w:bidi/>
      </w:pPr>
      <w:r>
        <w:rPr>
          <w:rtl/>
        </w:rPr>
        <w:tab/>
        <w:t>{ויל"פ דבכל איסור לא יחשב מקום מצווה, שהרי ליכא מצוות יבום. אלא דהיכא דיש ערוה דאשת אח, ע"י האיסור ליבום נחשב מקום מצווה, דהתורה אסרה כאן לייבם. והא דערוה פוטרת צרתה ע"כ הוה רק במקום ערוה דאשת אח, דעי"ז נחשב במקום מצווה}.</w:t>
      </w:r>
    </w:p>
  </w:footnote>
  <w:footnote w:id="804">
    <w:p w14:paraId="492406E6" w14:textId="77777777" w:rsidR="00BE1D1C" w:rsidRDefault="00000000" w:rsidP="00012502">
      <w:pPr>
        <w:pStyle w:val="Footnote"/>
        <w:bidi/>
      </w:pPr>
      <w:r>
        <w:rPr>
          <w:rStyle w:val="ac"/>
          <w:rtl/>
        </w:rPr>
        <w:footnoteRef/>
      </w:r>
      <w:r>
        <w:rPr>
          <w:rtl/>
        </w:rPr>
        <w:t>{אך מצאנו גדר יבום קודם מתן תורה, וע"כ דעצם היבום לא תלי באיסור. אלא ד'מצוות היבום' תלי באיסור. וצ"ב}.</w:t>
      </w:r>
    </w:p>
  </w:footnote>
  <w:footnote w:id="805">
    <w:p w14:paraId="062988FD" w14:textId="77777777" w:rsidR="00BE1D1C" w:rsidRDefault="00000000" w:rsidP="00012502">
      <w:pPr>
        <w:pStyle w:val="Footnote"/>
        <w:bidi/>
      </w:pPr>
      <w:r>
        <w:rPr>
          <w:rStyle w:val="ac"/>
          <w:rtl/>
        </w:rPr>
        <w:footnoteRef/>
      </w:r>
      <w:r>
        <w:rPr>
          <w:rtl/>
        </w:rPr>
        <w:t>וה</w:t>
      </w:r>
      <w:r>
        <w:rPr>
          <w:b/>
          <w:bCs/>
          <w:rtl/>
        </w:rPr>
        <w:t>אחרונים</w:t>
      </w:r>
      <w:r>
        <w:rPr>
          <w:rtl/>
        </w:rPr>
        <w:t xml:space="preserve"> העירו דבבגדי כהונה לא יתכן לומר כן, וע"כ דסברת מצוותו מכך סגי משום דא"א בענין אחר [ולא משום שגורם החיוב].</w:t>
      </w:r>
    </w:p>
  </w:footnote>
  <w:footnote w:id="806">
    <w:p w14:paraId="027906D0" w14:textId="77777777" w:rsidR="00BE1D1C" w:rsidRDefault="00000000" w:rsidP="00012502">
      <w:pPr>
        <w:pStyle w:val="Footnote"/>
        <w:bidi/>
      </w:pPr>
      <w:r>
        <w:rPr>
          <w:rStyle w:val="ac"/>
          <w:rtl/>
        </w:rPr>
        <w:footnoteRef/>
      </w:r>
      <w:r>
        <w:rPr>
          <w:rtl/>
        </w:rPr>
        <w:t>ושמעתי לפרש דגדר האיסור שנחשב שנשאר עצם האישות כלפי כל אח בפנ"ע [כדוגמת קידושין חוץ מפלוני]. וכן לאביו, ולבן אחיו.</w:t>
      </w:r>
    </w:p>
  </w:footnote>
  <w:footnote w:id="807">
    <w:p w14:paraId="7807162D" w14:textId="77777777" w:rsidR="00BE1D1C" w:rsidRDefault="00000000" w:rsidP="00012502">
      <w:pPr>
        <w:pStyle w:val="Footnote"/>
        <w:bidi/>
      </w:pPr>
      <w:r>
        <w:rPr>
          <w:rStyle w:val="ac"/>
          <w:rtl/>
        </w:rPr>
        <w:footnoteRef/>
      </w:r>
      <w:r>
        <w:rPr>
          <w:rtl/>
        </w:rPr>
        <w:t>וכתבו דע"כ כוונתו לאיסור מוסיף מחודש [ולא משום דבפועל חל, אלא שראוי לחול].</w:t>
      </w:r>
    </w:p>
  </w:footnote>
  <w:footnote w:id="808">
    <w:p w14:paraId="42EABA88" w14:textId="77777777" w:rsidR="00BE1D1C" w:rsidRDefault="00000000" w:rsidP="00012502">
      <w:pPr>
        <w:pStyle w:val="Footnote"/>
        <w:bidi/>
      </w:pPr>
      <w:r>
        <w:rPr>
          <w:rStyle w:val="ac"/>
          <w:rtl/>
        </w:rPr>
        <w:footnoteRef/>
      </w:r>
      <w:r>
        <w:rPr>
          <w:rtl/>
        </w:rPr>
        <w:t>וה</w:t>
      </w:r>
      <w:r>
        <w:rPr>
          <w:b/>
          <w:bCs/>
          <w:rtl/>
        </w:rPr>
        <w:t>מאירי</w:t>
      </w:r>
      <w:r>
        <w:rPr>
          <w:rtl/>
        </w:rPr>
        <w:t xml:space="preserve"> (בסוד"ה וגדולי קדמונינו) כתב דלפ"ז אי"צ לגרוס אאחע"א, וסברת בי"ש דהוה צרת ערוה שלא במקום מצוה, ולמסקנא אי"צ לסברת אאחע"א.</w:t>
      </w:r>
    </w:p>
  </w:footnote>
  <w:footnote w:id="809">
    <w:p w14:paraId="4202B977" w14:textId="77777777" w:rsidR="00BE1D1C" w:rsidRDefault="00000000" w:rsidP="00012502">
      <w:pPr>
        <w:pStyle w:val="Footnote"/>
        <w:bidi/>
      </w:pPr>
      <w:r>
        <w:rPr>
          <w:rStyle w:val="ac"/>
          <w:rtl/>
        </w:rPr>
        <w:footnoteRef/>
      </w:r>
      <w:r>
        <w:rPr>
          <w:rtl/>
        </w:rPr>
        <w:t>וה</w:t>
      </w:r>
      <w:r>
        <w:rPr>
          <w:b/>
          <w:bCs/>
          <w:rtl/>
        </w:rPr>
        <w:t>אחרונים</w:t>
      </w:r>
      <w:r>
        <w:rPr>
          <w:rtl/>
        </w:rPr>
        <w:t xml:space="preserve"> דנו דעפ"ז נחשב נפילה אף כשאין אחים. וצ"ע.</w:t>
      </w:r>
    </w:p>
  </w:footnote>
  <w:footnote w:id="810">
    <w:p w14:paraId="7D91DDB2" w14:textId="77777777" w:rsidR="00BE1D1C" w:rsidRDefault="00000000" w:rsidP="00012502">
      <w:pPr>
        <w:pStyle w:val="Footnote"/>
        <w:bidi/>
      </w:pPr>
      <w:r>
        <w:rPr>
          <w:rStyle w:val="ac"/>
          <w:rtl/>
        </w:rPr>
        <w:footnoteRef/>
      </w:r>
      <w:r>
        <w:rPr>
          <w:rtl/>
        </w:rPr>
        <w:t>וה</w:t>
      </w:r>
      <w:r>
        <w:rPr>
          <w:b/>
          <w:bCs/>
          <w:rtl/>
        </w:rPr>
        <w:t>אחרונים</w:t>
      </w:r>
      <w:r>
        <w:rPr>
          <w:rtl/>
        </w:rPr>
        <w:t xml:space="preserve"> העירו דדרשי' (לקמן צב.) אשה גרושה מאשה, ולא ממי שאינה אשה, ואם יתקנו חז"ל חליצה ממי שאינה אשה אמאי תפסל לכהונה. [וצ"ל דגדר תהקנה דנחשבת יבמה].</w:t>
      </w:r>
    </w:p>
  </w:footnote>
  <w:footnote w:id="811">
    <w:p w14:paraId="5FF30334" w14:textId="77777777" w:rsidR="00BE1D1C" w:rsidRDefault="00000000" w:rsidP="00012502">
      <w:pPr>
        <w:pStyle w:val="Footnote"/>
        <w:bidi/>
      </w:pPr>
      <w:r>
        <w:rPr>
          <w:rStyle w:val="ac"/>
          <w:rtl/>
        </w:rPr>
        <w:footnoteRef/>
      </w:r>
      <w:r>
        <w:rPr>
          <w:rtl/>
        </w:rPr>
        <w:t>וע"ע תוס' (לקמן לה. ומד:).</w:t>
      </w:r>
    </w:p>
  </w:footnote>
  <w:footnote w:id="812">
    <w:p w14:paraId="08CEC061" w14:textId="77777777" w:rsidR="00BE1D1C" w:rsidRDefault="00000000" w:rsidP="00012502">
      <w:pPr>
        <w:pStyle w:val="Footnote"/>
        <w:bidi/>
      </w:pPr>
      <w:r>
        <w:rPr>
          <w:rStyle w:val="ac"/>
          <w:rtl/>
        </w:rPr>
        <w:footnoteRef/>
      </w:r>
      <w:r>
        <w:rPr>
          <w:rtl/>
        </w:rPr>
        <w:t>והגמ' לא תי' על קו' ר"ל. וע' תוס' (יד. ד"ה כי). וב</w:t>
      </w:r>
      <w:r>
        <w:rPr>
          <w:b/>
          <w:bCs/>
          <w:rtl/>
        </w:rPr>
        <w:t>ירושלמי</w:t>
      </w:r>
      <w:r>
        <w:rPr>
          <w:rtl/>
        </w:rPr>
        <w:t xml:space="preserve"> (פסחים ד א) תי' סמכו אקרא משפחה ומשפחה עיר ועיר, דגלי קרא דבמגילה אין בזה משום אגודות.</w:t>
      </w:r>
    </w:p>
  </w:footnote>
  <w:footnote w:id="813">
    <w:p w14:paraId="7EB6FE95" w14:textId="77777777" w:rsidR="00BE1D1C" w:rsidRDefault="00000000" w:rsidP="00012502">
      <w:pPr>
        <w:pStyle w:val="Footnote"/>
        <w:bidi/>
      </w:pPr>
      <w:r>
        <w:rPr>
          <w:rStyle w:val="ac"/>
          <w:rtl/>
        </w:rPr>
        <w:footnoteRef/>
      </w:r>
      <w:r>
        <w:rPr>
          <w:rtl/>
        </w:rPr>
        <w:t>אבל ה</w:t>
      </w:r>
      <w:r>
        <w:rPr>
          <w:b/>
          <w:bCs/>
          <w:rtl/>
        </w:rPr>
        <w:t>כס"מ</w:t>
      </w:r>
      <w:r>
        <w:rPr>
          <w:rtl/>
        </w:rPr>
        <w:t xml:space="preserve"> (ע"ז יב יד) דן דהוה לאו שבכללות, דנקט דהוה איסור גמור מדאורייתא.</w:t>
      </w:r>
    </w:p>
  </w:footnote>
  <w:footnote w:id="814">
    <w:p w14:paraId="4D51A6EB" w14:textId="77777777" w:rsidR="00BE1D1C" w:rsidRDefault="00000000" w:rsidP="00012502">
      <w:pPr>
        <w:pStyle w:val="Footnote"/>
        <w:bidi/>
      </w:pPr>
      <w:r>
        <w:rPr>
          <w:rStyle w:val="ac"/>
          <w:rtl/>
        </w:rPr>
        <w:footnoteRef/>
      </w:r>
      <w:r>
        <w:rPr>
          <w:rtl/>
        </w:rPr>
        <w:t>דר"ל ס"ל דבמנהגים ל"ש לא תתגודדו, ודוקא באיסורים. ודעת ר' יוחנן דאף באיסורין ל"ש לא תתגודדו [עכ"פ בב' בי"ד, וכדברי אביי ורבא לקמן]. וב</w:t>
      </w:r>
      <w:r>
        <w:rPr>
          <w:b/>
          <w:bCs/>
          <w:rtl/>
        </w:rPr>
        <w:t>ירושלמי</w:t>
      </w:r>
      <w:r>
        <w:rPr>
          <w:rtl/>
        </w:rPr>
        <w:t xml:space="preserve"> (פסחים ד א) אי' דר"ל שאל את ר' יוחנן אמתני' דמקום שנהגו, הא איכא לא תתגודדו. ותי' בשעה שאלו עושים כבי"ש ואלו כבי"ה. וה</w:t>
      </w:r>
      <w:r>
        <w:rPr>
          <w:b/>
          <w:bCs/>
          <w:rtl/>
        </w:rPr>
        <w:t>קה"ע</w:t>
      </w:r>
      <w:r>
        <w:rPr>
          <w:rtl/>
        </w:rPr>
        <w:t xml:space="preserve"> ו</w:t>
      </w:r>
      <w:r>
        <w:rPr>
          <w:b/>
          <w:bCs/>
          <w:rtl/>
        </w:rPr>
        <w:t>פנ"מ</w:t>
      </w:r>
      <w:r>
        <w:rPr>
          <w:rtl/>
        </w:rPr>
        <w:t xml:space="preserve"> ביארו כוונת הירושלמי דבמנהג שהחמירו ל"ש לא תתגודדו, אלא במח' בהלכה. [וכסברת ר"ל בבלי. והירושלמי הביאו שיטתם להיפך מסוגיין].</w:t>
      </w:r>
    </w:p>
  </w:footnote>
  <w:footnote w:id="815">
    <w:p w14:paraId="507D6AE6" w14:textId="77777777" w:rsidR="00BE1D1C" w:rsidRDefault="00000000" w:rsidP="00012502">
      <w:pPr>
        <w:pStyle w:val="Footnote"/>
        <w:bidi/>
      </w:pPr>
      <w:r>
        <w:rPr>
          <w:rStyle w:val="ac"/>
          <w:rtl/>
        </w:rPr>
        <w:footnoteRef/>
      </w:r>
      <w:r>
        <w:rPr>
          <w:rtl/>
        </w:rPr>
        <w:t>והביא דה</w:t>
      </w:r>
      <w:r>
        <w:rPr>
          <w:b/>
          <w:bCs/>
          <w:rtl/>
        </w:rPr>
        <w:t>רי"ף</w:t>
      </w:r>
      <w:r>
        <w:rPr>
          <w:rtl/>
        </w:rPr>
        <w:t xml:space="preserve"> וה</w:t>
      </w:r>
      <w:r>
        <w:rPr>
          <w:b/>
          <w:bCs/>
          <w:rtl/>
        </w:rPr>
        <w:t>רא"ש</w:t>
      </w:r>
      <w:r>
        <w:rPr>
          <w:rtl/>
        </w:rPr>
        <w:t xml:space="preserve"> לא הביאו תי' זה [ורק המסקנא החילוק בין ב' בתי דין]. אבל ב</w:t>
      </w:r>
      <w:r>
        <w:rPr>
          <w:b/>
          <w:bCs/>
          <w:rtl/>
        </w:rPr>
        <w:t>קיצור פסקי הרא"ש</w:t>
      </w:r>
      <w:r>
        <w:rPr>
          <w:rtl/>
        </w:rPr>
        <w:t xml:space="preserve"> (ט) הביא דבמנהג מותר.</w:t>
      </w:r>
    </w:p>
    <w:p w14:paraId="767AD81C" w14:textId="77777777" w:rsidR="00BE1D1C" w:rsidRDefault="00000000" w:rsidP="00012502">
      <w:pPr>
        <w:pStyle w:val="Footnote"/>
        <w:bidi/>
      </w:pPr>
      <w:r>
        <w:rPr>
          <w:rtl/>
        </w:rPr>
        <w:tab/>
        <w:t>ועוד הביא דבגמ' (פסחים יד.) אי' דבירושלים ראוי להחמיר באיסור מלאכה בערב פסח, כיון דמתקבצים מכמה מקומות.</w:t>
      </w:r>
    </w:p>
  </w:footnote>
  <w:footnote w:id="816">
    <w:p w14:paraId="61C1B337" w14:textId="77777777" w:rsidR="00BE1D1C" w:rsidRDefault="00000000" w:rsidP="00012502">
      <w:pPr>
        <w:pStyle w:val="Footnote"/>
        <w:bidi/>
      </w:pPr>
      <w:r>
        <w:rPr>
          <w:rStyle w:val="ac"/>
          <w:rtl/>
        </w:rPr>
        <w:footnoteRef/>
      </w:r>
      <w:r>
        <w:rPr>
          <w:rtl/>
        </w:rPr>
        <w:t>וה</w:t>
      </w:r>
      <w:r>
        <w:rPr>
          <w:b/>
          <w:bCs/>
          <w:rtl/>
        </w:rPr>
        <w:t xml:space="preserve">אחרונים </w:t>
      </w:r>
      <w:r>
        <w:rPr>
          <w:rtl/>
        </w:rPr>
        <w:t>הביאו דה</w:t>
      </w:r>
      <w:r>
        <w:rPr>
          <w:b/>
          <w:bCs/>
          <w:rtl/>
        </w:rPr>
        <w:t>רמב"ם</w:t>
      </w:r>
      <w:r>
        <w:rPr>
          <w:rtl/>
        </w:rPr>
        <w:t xml:space="preserve"> (ע"ז שם) נקט הלשון מנהג. [יל"ד אי הוה דוקא]. והקר"א ומשיב דבר (יז) פי' דהרמב"ם ס"ל דרבא פליג בגדר האיסור, ותליא במח' ולא בב' תורות, וכ"ש במהג דיש חשש מח'.</w:t>
      </w:r>
    </w:p>
  </w:footnote>
  <w:footnote w:id="817">
    <w:p w14:paraId="5F05275C" w14:textId="77777777" w:rsidR="00BE1D1C" w:rsidRDefault="00000000" w:rsidP="00012502">
      <w:pPr>
        <w:pStyle w:val="Footnote"/>
        <w:bidi/>
      </w:pPr>
      <w:r>
        <w:rPr>
          <w:rStyle w:val="ac"/>
          <w:rtl/>
        </w:rPr>
        <w:footnoteRef/>
      </w:r>
      <w:r>
        <w:rPr>
          <w:rtl/>
        </w:rPr>
        <w:t>[דהמג"א הביא ראיה מפסחים יד.].</w:t>
      </w:r>
    </w:p>
  </w:footnote>
  <w:footnote w:id="818">
    <w:p w14:paraId="63C3E137" w14:textId="77777777" w:rsidR="00BE1D1C" w:rsidRDefault="00000000" w:rsidP="00012502">
      <w:pPr>
        <w:pStyle w:val="Footnote"/>
        <w:bidi/>
      </w:pPr>
      <w:r>
        <w:rPr>
          <w:rStyle w:val="ac"/>
          <w:rtl/>
        </w:rPr>
        <w:footnoteRef/>
      </w:r>
      <w:r>
        <w:rPr>
          <w:rtl/>
        </w:rPr>
        <w:t>וסתימת התוס' משמע דאף בקום ועשה עשו כדברי בי"ה [אף דהראיה שהביאו תוס' י"ל דהוה שב ואל תעשה]. וצ"ב היכי דחי לעבור על איסורים בקום ועשה. ולא מצאנו בשום מקום דלאו דוחה איסור אחר. וה</w:t>
      </w:r>
      <w:r>
        <w:rPr>
          <w:b/>
          <w:bCs/>
          <w:rtl/>
        </w:rPr>
        <w:t>אחרונים</w:t>
      </w:r>
      <w:r>
        <w:rPr>
          <w:rtl/>
        </w:rPr>
        <w:t xml:space="preserve"> (הו' בסמוך) תי' דגדר לא תתגודדו קובע שמשועבדים לפסק הלכה של בי"ד השני, ורשאי לעשות ע"פ הוראת בי"ד אף אי סבר שטועים בדבר.</w:t>
      </w:r>
    </w:p>
  </w:footnote>
  <w:footnote w:id="819">
    <w:p w14:paraId="6CA3F14A" w14:textId="77777777" w:rsidR="00BE1D1C" w:rsidRDefault="00000000" w:rsidP="00012502">
      <w:pPr>
        <w:pStyle w:val="Footnote"/>
        <w:bidi/>
      </w:pPr>
      <w:r>
        <w:rPr>
          <w:rStyle w:val="ac"/>
          <w:rtl/>
        </w:rPr>
        <w:footnoteRef/>
      </w:r>
      <w:r>
        <w:rPr>
          <w:rtl/>
        </w:rPr>
        <w:t>דיש גדר פסק הלכה, ואף דעדיין עומדים בדעותיהם, והיה ראוי להחמיר. מ"מ משום לא תתגודדו אסור. וע"י הבת קול נחשב 'פסק' אף כלפיהם [דומיא דמיעוט סנהדרין דהוכרע נגדו].</w:t>
      </w:r>
    </w:p>
  </w:footnote>
  <w:footnote w:id="820">
    <w:p w14:paraId="686C9CD1" w14:textId="77777777" w:rsidR="00BE1D1C" w:rsidRDefault="00000000" w:rsidP="00012502">
      <w:pPr>
        <w:pStyle w:val="Footnote"/>
        <w:bidi/>
      </w:pPr>
      <w:r>
        <w:rPr>
          <w:rStyle w:val="ac"/>
          <w:rtl/>
        </w:rPr>
        <w:footnoteRef/>
      </w:r>
      <w:r>
        <w:rPr>
          <w:rtl/>
        </w:rPr>
        <w:t>וה</w:t>
      </w:r>
      <w:r>
        <w:rPr>
          <w:b/>
          <w:bCs/>
          <w:rtl/>
        </w:rPr>
        <w:t>חזו"א</w:t>
      </w:r>
      <w:r>
        <w:rPr>
          <w:rtl/>
        </w:rPr>
        <w:t xml:space="preserve"> (יו"ד קנ, והו' ס' קלד) כתב דה"ה לתלמידיהם בהוראתם. ומקרי רבו כל שהוא קרוב לו ושומע שמועותיו תמיד ברוב מצוות. ואם ב' קרובים עליו, הרשות בידו להחזיק בהוראותיו של א' ולהחזיקו כרבו בין לקולא ובין לחומרא. והיינו דאמרי' [בסמוך, ועי"ש מה שהו' בזה] במקומו של ר"א היו כורתים וכו'. כל זמן דלא הושב בי"ד ודנו זה כנגד זה להכריע את ההלכה.</w:t>
      </w:r>
    </w:p>
  </w:footnote>
  <w:footnote w:id="821">
    <w:p w14:paraId="29C8DE5C" w14:textId="77777777" w:rsidR="00BE1D1C" w:rsidRDefault="00000000" w:rsidP="00012502">
      <w:pPr>
        <w:pStyle w:val="Footnote"/>
        <w:bidi/>
      </w:pPr>
      <w:r>
        <w:rPr>
          <w:rStyle w:val="ac"/>
          <w:rtl/>
        </w:rPr>
        <w:footnoteRef/>
      </w:r>
      <w:r>
        <w:rPr>
          <w:rtl/>
        </w:rPr>
        <w:t>ואף שהם ידעו בודאות שמותר, אילו הדין שהשואל לא היה צריך לעשות לפי הוראתם, היה אסור להם לפסוק.</w:t>
      </w:r>
    </w:p>
  </w:footnote>
  <w:footnote w:id="822">
    <w:p w14:paraId="1A07407F" w14:textId="77777777" w:rsidR="00BE1D1C" w:rsidRDefault="00000000" w:rsidP="00012502">
      <w:pPr>
        <w:pStyle w:val="Footnote"/>
        <w:bidi/>
      </w:pPr>
      <w:r>
        <w:rPr>
          <w:rStyle w:val="ac"/>
          <w:rtl/>
        </w:rPr>
        <w:footnoteRef/>
      </w:r>
      <w:r>
        <w:rPr>
          <w:rtl/>
        </w:rPr>
        <w:t>וכן ה</w:t>
      </w:r>
      <w:r>
        <w:rPr>
          <w:b/>
          <w:bCs/>
          <w:rtl/>
        </w:rPr>
        <w:t>ריטב"א</w:t>
      </w:r>
      <w:r>
        <w:rPr>
          <w:rtl/>
        </w:rPr>
        <w:t xml:space="preserve"> כת' דהשתא לא נחתינן לדין אגודות אלא מעיקר הדין, דלא שייך אגודות [וכסברת אביי ורבא].</w:t>
      </w:r>
    </w:p>
  </w:footnote>
  <w:footnote w:id="823">
    <w:p w14:paraId="23421025" w14:textId="77777777" w:rsidR="00BE1D1C" w:rsidRDefault="00000000" w:rsidP="00012502">
      <w:pPr>
        <w:pStyle w:val="Footnote"/>
        <w:bidi/>
      </w:pPr>
      <w:r>
        <w:rPr>
          <w:rStyle w:val="ac"/>
          <w:rtl/>
        </w:rPr>
        <w:footnoteRef/>
      </w:r>
      <w:r>
        <w:rPr>
          <w:rtl/>
        </w:rPr>
        <w:t>וכ"כ ה</w:t>
      </w:r>
      <w:r>
        <w:rPr>
          <w:b/>
          <w:bCs/>
          <w:rtl/>
        </w:rPr>
        <w:t>חזו"א</w:t>
      </w:r>
      <w:r>
        <w:rPr>
          <w:rtl/>
        </w:rPr>
        <w:t xml:space="preserve"> בדעת ה</w:t>
      </w:r>
      <w:r>
        <w:rPr>
          <w:b/>
          <w:bCs/>
          <w:rtl/>
        </w:rPr>
        <w:t>ריטב"א</w:t>
      </w:r>
      <w:r>
        <w:rPr>
          <w:rtl/>
        </w:rPr>
        <w:t>, דהריטב"א מבואר דמח' אי עשו בי"ש, לא הוה משום לא תתגודדו [אלא מטעם הכרעת רוב, ואין ליחידי להקל נגד הרוב]. עע"ש שהאריך.</w:t>
      </w:r>
    </w:p>
  </w:footnote>
  <w:footnote w:id="824">
    <w:p w14:paraId="38722446" w14:textId="77777777" w:rsidR="00BE1D1C" w:rsidRDefault="00000000" w:rsidP="00012502">
      <w:pPr>
        <w:pStyle w:val="Footnote"/>
        <w:bidi/>
      </w:pPr>
      <w:r>
        <w:rPr>
          <w:rStyle w:val="ac"/>
          <w:rtl/>
        </w:rPr>
        <w:footnoteRef/>
      </w:r>
      <w:r>
        <w:rPr>
          <w:rtl/>
        </w:rPr>
        <w:t>ועד"ז כת' ה</w:t>
      </w:r>
      <w:r>
        <w:rPr>
          <w:b/>
          <w:bCs/>
          <w:rtl/>
        </w:rPr>
        <w:t>חזו"א</w:t>
      </w:r>
      <w:r>
        <w:rPr>
          <w:rtl/>
        </w:rPr>
        <w:t xml:space="preserve"> (קלד) דמהדין כשיש ב' בי"ד, יש לכל בי"ד לנהוג כדעתם, ואף שבי"ד א' גדול בחכמה ובמנין. הא הבי"ד הב' ג"כ הגיע להוראה, ולא הושב מושב בי"ד הגדול להכריע דבר זה לכל ישראל. ושאר העם [שלא הגיעו להוראה], אם הן תלמידי בי"ד הקטן, או תלמידי תלמידיהם, שבי"ד זה משפיעין תורתם עליהם צריכין לעשות כהוראתם. ושאר העם יעשו כבי"ד שגדול [ע"פ הגמ' ע"ז ז.].</w:t>
      </w:r>
    </w:p>
    <w:p w14:paraId="0DE65A30" w14:textId="77777777" w:rsidR="00BE1D1C" w:rsidRDefault="00000000" w:rsidP="00012502">
      <w:pPr>
        <w:pStyle w:val="Footnote"/>
        <w:bidi/>
      </w:pPr>
      <w:r>
        <w:rPr>
          <w:rtl/>
        </w:rPr>
        <w:tab/>
        <w:t>אלא דמשום לא תתגודדו [לצד דאינם רשאין לנהוג בב' תורות] ע"כ צריכים להנהיג הוראה לכל ישראל, וצריכין לעשות כבי"ד הגדול. ומש"ה למ"ד דלא עשו בי"ש כדבריהם, ואפי' לקולא עשו כבי"ה, שהן הרוב. [ובהמשך דבריו הביא דכ"ז לדעת תוס'].</w:t>
      </w:r>
    </w:p>
  </w:footnote>
  <w:footnote w:id="825">
    <w:p w14:paraId="591EA539" w14:textId="77777777" w:rsidR="00BE1D1C" w:rsidRDefault="00000000" w:rsidP="00012502">
      <w:pPr>
        <w:pStyle w:val="Footnote"/>
        <w:bidi/>
      </w:pPr>
      <w:r>
        <w:rPr>
          <w:rStyle w:val="ac"/>
          <w:rtl/>
        </w:rPr>
        <w:footnoteRef/>
      </w:r>
      <w:r>
        <w:rPr>
          <w:rtl/>
        </w:rPr>
        <w:t>והביא מדברי עקביא בן מהללאל (אבות ה ז) דהיה חולק על דברי חכמים, ועמד בשמועתו כיון ששמע מפי מרובים, אבל אמר לבנו בשעת מיתה לעשות כדברי חכמים להקל.</w:t>
      </w:r>
    </w:p>
  </w:footnote>
  <w:footnote w:id="826">
    <w:p w14:paraId="07B567FB" w14:textId="77777777" w:rsidR="00BE1D1C" w:rsidRDefault="00000000" w:rsidP="00012502">
      <w:pPr>
        <w:pStyle w:val="Footnote"/>
        <w:bidi/>
      </w:pPr>
      <w:r>
        <w:rPr>
          <w:rStyle w:val="ac"/>
          <w:rtl/>
        </w:rPr>
        <w:footnoteRef/>
      </w:r>
      <w:r>
        <w:rPr>
          <w:rtl/>
        </w:rPr>
        <w:t>[ואף שאין הולכים בממון אחר הרוב, ע' תוס' ב"ק כז:].</w:t>
      </w:r>
    </w:p>
  </w:footnote>
  <w:footnote w:id="827">
    <w:p w14:paraId="5562CDB7" w14:textId="77777777" w:rsidR="00BE1D1C" w:rsidRDefault="00000000" w:rsidP="00012502">
      <w:pPr>
        <w:pStyle w:val="Footnote"/>
        <w:bidi/>
      </w:pPr>
      <w:r>
        <w:rPr>
          <w:rStyle w:val="ac"/>
          <w:rtl/>
        </w:rPr>
        <w:footnoteRef/>
      </w:r>
      <w:r>
        <w:rPr>
          <w:rtl/>
        </w:rPr>
        <w:t>ולפ"ז י"ל דהנידון בסוגיין אי עשו כדבריהם הוה משום לא תסור, כיון דבית הלל רוב. {ולא הוזכר כן. וצ"ע}.</w:t>
      </w:r>
    </w:p>
  </w:footnote>
  <w:footnote w:id="828">
    <w:p w14:paraId="4A7AD4E6" w14:textId="77777777" w:rsidR="00BE1D1C" w:rsidRDefault="00000000" w:rsidP="00012502">
      <w:pPr>
        <w:pStyle w:val="Footnote"/>
        <w:bidi/>
      </w:pPr>
      <w:r>
        <w:rPr>
          <w:rStyle w:val="ac"/>
          <w:rtl/>
        </w:rPr>
        <w:footnoteRef/>
      </w:r>
      <w:r>
        <w:rPr>
          <w:rtl/>
        </w:rPr>
        <w:t>וכעי"ז ה</w:t>
      </w:r>
      <w:r>
        <w:rPr>
          <w:b/>
          <w:bCs/>
          <w:rtl/>
        </w:rPr>
        <w:t>רמב"ן</w:t>
      </w:r>
      <w:r>
        <w:rPr>
          <w:rtl/>
        </w:rPr>
        <w:t xml:space="preserve"> (תוה"א, הו' יומא פג.) כת' היכא דב' רופאים אומרים שהחולה צריך לאכול, ורופא מומחה יותר אומר שאי"צ. דאזלי' לחומרא, ורוב נגד מחדדי הוה ספק. [והביא מח' בי"ש ובי"ה, ומשמע דלא הוכרע סברא זו]. אבל ה</w:t>
      </w:r>
      <w:r>
        <w:rPr>
          <w:b/>
          <w:bCs/>
          <w:rtl/>
        </w:rPr>
        <w:t>ר"ן</w:t>
      </w:r>
      <w:r>
        <w:rPr>
          <w:rtl/>
        </w:rPr>
        <w:t xml:space="preserve"> (שם ד: בדה"ר) כת' דאילו ברור לנו שבקיא יותר אזלי' בתריה. [ומשמע כוונתו דקי"ל בהך סברא כבי"ש. וצ"ע].</w:t>
      </w:r>
    </w:p>
  </w:footnote>
  <w:footnote w:id="829">
    <w:p w14:paraId="65465937" w14:textId="77777777" w:rsidR="00BE1D1C" w:rsidRDefault="00000000" w:rsidP="00012502">
      <w:pPr>
        <w:pStyle w:val="Footnote"/>
        <w:bidi/>
      </w:pPr>
      <w:r>
        <w:rPr>
          <w:rStyle w:val="ac"/>
          <w:rtl/>
        </w:rPr>
        <w:footnoteRef/>
      </w:r>
      <w:r>
        <w:rPr>
          <w:rtl/>
        </w:rPr>
        <w:t>ומזה למדו ה</w:t>
      </w:r>
      <w:r>
        <w:rPr>
          <w:b/>
          <w:bCs/>
          <w:rtl/>
        </w:rPr>
        <w:t>פוסקים</w:t>
      </w:r>
      <w:r>
        <w:rPr>
          <w:rtl/>
        </w:rPr>
        <w:t xml:space="preserve"> (מהרי"ק הו' בפוסקים כללי תפיסה) אף דבממון המוחזק יכול לומר קים לי נגד רוב הפוסקים, היינו כשיש ב' פוסקים כדבריו, אבל ל"מ קים לי כדברי היחיד.</w:t>
      </w:r>
    </w:p>
  </w:footnote>
  <w:footnote w:id="830">
    <w:p w14:paraId="56D96EC4" w14:textId="77777777" w:rsidR="00BE1D1C" w:rsidRDefault="00000000" w:rsidP="00012502">
      <w:pPr>
        <w:pStyle w:val="Footnote"/>
        <w:bidi/>
      </w:pPr>
      <w:r>
        <w:rPr>
          <w:rStyle w:val="ac"/>
          <w:rtl/>
        </w:rPr>
        <w:footnoteRef/>
      </w:r>
      <w:r>
        <w:rPr>
          <w:rtl/>
        </w:rPr>
        <w:t>אבל ה</w:t>
      </w:r>
      <w:r>
        <w:rPr>
          <w:b/>
          <w:bCs/>
          <w:rtl/>
        </w:rPr>
        <w:t>של"ה</w:t>
      </w:r>
      <w:r>
        <w:rPr>
          <w:rtl/>
        </w:rPr>
        <w:t xml:space="preserve"> (כללי התלמוד כ תעח) הביא מסוגיין דהיה ראוי לפסוק כבי"ש דמחדדי טפי, ודוקא במקום דשקולים אזלי' בתר הרוב. [והא דזכו בית הלל שהלכה כמותם משום שנוחין ונעלבים ואינם עולבים. ולכאו' כוונתו דהבת קול עקרה להלכה, וכמ"ד דקודם בת קול עשו כדבריהם, ואח"כ חזרו]. וכת' (שם) דעד"ז פסק ה</w:t>
      </w:r>
      <w:r>
        <w:rPr>
          <w:b/>
          <w:bCs/>
          <w:rtl/>
        </w:rPr>
        <w:t>ב"י</w:t>
      </w:r>
      <w:r>
        <w:rPr>
          <w:rtl/>
        </w:rPr>
        <w:t xml:space="preserve"> בכל מקום אחר הרי"ף רמב"ם ורא"ש דמחדדי טפי, אף במקום שהרבה פוסקים אחרונים חולקים. [והביא דה</w:t>
      </w:r>
      <w:r>
        <w:rPr>
          <w:b/>
          <w:bCs/>
          <w:rtl/>
        </w:rPr>
        <w:t>רמ"א</w:t>
      </w:r>
      <w:r>
        <w:rPr>
          <w:rtl/>
        </w:rPr>
        <w:t xml:space="preserve"> פליג על כלל זה].</w:t>
      </w:r>
    </w:p>
  </w:footnote>
  <w:footnote w:id="831">
    <w:p w14:paraId="6E7B4299" w14:textId="77777777" w:rsidR="00BE1D1C" w:rsidRDefault="00000000" w:rsidP="00012502">
      <w:pPr>
        <w:pStyle w:val="Footnote"/>
        <w:bidi/>
      </w:pPr>
      <w:r>
        <w:rPr>
          <w:rStyle w:val="ac"/>
          <w:rtl/>
        </w:rPr>
        <w:footnoteRef/>
      </w:r>
      <w:r>
        <w:rPr>
          <w:rtl/>
        </w:rPr>
        <w:t xml:space="preserve">ובס' </w:t>
      </w:r>
      <w:r>
        <w:rPr>
          <w:b/>
          <w:bCs/>
          <w:rtl/>
        </w:rPr>
        <w:t>אור ישראל</w:t>
      </w:r>
      <w:r>
        <w:rPr>
          <w:rtl/>
        </w:rPr>
        <w:t xml:space="preserve"> (הגר"י סלנט, ל בהערה) כתב בזה דשורש המח' בי"ש ובי"ה בכל מקום תליא בשורש הנידון האם אזלי' בתר חריפות. ויצאה בת קול דהלכה כדברי בי"ה, ובתר רוב.  </w:t>
      </w:r>
    </w:p>
  </w:footnote>
  <w:footnote w:id="832">
    <w:p w14:paraId="09B6C8EB" w14:textId="77777777" w:rsidR="00BE1D1C" w:rsidRDefault="00000000" w:rsidP="00012502">
      <w:pPr>
        <w:pStyle w:val="Footnote"/>
        <w:bidi/>
      </w:pPr>
      <w:r>
        <w:rPr>
          <w:rStyle w:val="ac"/>
          <w:rtl/>
        </w:rPr>
        <w:footnoteRef/>
      </w:r>
      <w:r>
        <w:rPr>
          <w:rtl/>
        </w:rPr>
        <w:t xml:space="preserve">ותוס' בתי' הא' כת' דבת קול דהתם שאני, שיצאה משום כבודו דר' יהושע. </w:t>
      </w:r>
      <w:r>
        <w:rPr>
          <w:rFonts w:ascii="Narkisim" w:eastAsia="Narkisim" w:hAnsi="Narkisim"/>
          <w:rtl/>
        </w:rPr>
        <w:t>והראשונים נתקשו האיך יאמר בת קול דבר שאינו אמת. ו</w:t>
      </w:r>
      <w:r>
        <w:rPr>
          <w:rFonts w:ascii="Narkisim" w:eastAsia="Narkisim" w:hAnsi="Narkisim"/>
          <w:b/>
          <w:bCs/>
          <w:rtl/>
        </w:rPr>
        <w:t>רב נסים גאון</w:t>
      </w:r>
      <w:r>
        <w:rPr>
          <w:rFonts w:ascii="Narkisim" w:eastAsia="Narkisim" w:hAnsi="Narkisim"/>
          <w:rtl/>
        </w:rPr>
        <w:t xml:space="preserve"> (עה"ג ברכות יט) תי' דהבת קול לא אמרה דהלכה כמותו בדבר זה, ואפשר שכוון בכל מקום זולת זה. ועוד תי' שהכוונה בזה לנסות את החכמים אם זה הקול יעתיקם ממה שמקובל בידם או לאו.</w:t>
      </w:r>
    </w:p>
    <w:p w14:paraId="4446910C" w14:textId="77777777" w:rsidR="00BE1D1C" w:rsidRDefault="00000000" w:rsidP="00012502">
      <w:pPr>
        <w:pStyle w:val="Footnote"/>
        <w:bidi/>
        <w:rPr>
          <w:rFonts w:ascii="Narkisim" w:eastAsia="Narkisim" w:hAnsi="Narkisim"/>
        </w:rPr>
      </w:pPr>
      <w:r>
        <w:rPr>
          <w:rFonts w:ascii="Narkisim" w:eastAsia="Narkisim" w:hAnsi="Narkisim"/>
          <w:rtl/>
        </w:rPr>
        <w:tab/>
        <w:t xml:space="preserve">וע"ע </w:t>
      </w:r>
      <w:r>
        <w:rPr>
          <w:rFonts w:ascii="Narkisim" w:eastAsia="Narkisim" w:hAnsi="Narkisim"/>
          <w:b/>
          <w:bCs/>
          <w:rtl/>
        </w:rPr>
        <w:t>דרשות הר"ן</w:t>
      </w:r>
      <w:r>
        <w:rPr>
          <w:rFonts w:ascii="Narkisim" w:eastAsia="Narkisim" w:hAnsi="Narkisim"/>
          <w:rtl/>
        </w:rPr>
        <w:t xml:space="preserve"> (ז ד"ה וזהו ענין, ודרוש יא) דהאמת בשמים כדברי ר"א, אלא דלא בשמים היא.</w:t>
      </w:r>
    </w:p>
  </w:footnote>
  <w:footnote w:id="833">
    <w:p w14:paraId="6237639B" w14:textId="77777777" w:rsidR="00BE1D1C" w:rsidRDefault="00000000" w:rsidP="00012502">
      <w:pPr>
        <w:pStyle w:val="Footnote"/>
        <w:bidi/>
      </w:pPr>
      <w:r>
        <w:rPr>
          <w:rStyle w:val="ac"/>
          <w:rtl/>
        </w:rPr>
        <w:footnoteRef/>
      </w:r>
      <w:r>
        <w:rPr>
          <w:rtl/>
        </w:rPr>
        <w:t>וה</w:t>
      </w:r>
      <w:r>
        <w:rPr>
          <w:b/>
          <w:bCs/>
          <w:rtl/>
        </w:rPr>
        <w:t>קוב"ש</w:t>
      </w:r>
      <w:r>
        <w:rPr>
          <w:rtl/>
        </w:rPr>
        <w:t xml:space="preserve"> (קו' ד"ס ה ג) הקשה דבמקום שנתברר האמת לא שייך הילכתא כרוב, ואמאי לא נימא דנתברר דהאמת כר"א. ולא הוה נגד רוב. והוכיח מזה (שם ז) דהדין אחרי רבים להטות נאמר גזיה"כ דההלכה נקבע לפי הרוב [דנמסר התורה לבני אדם, וע"פ חכמי הדור], ואף אילו אינו אמת [והביא כן מלשון ה</w:t>
      </w:r>
      <w:r>
        <w:rPr>
          <w:b/>
          <w:bCs/>
          <w:rtl/>
        </w:rPr>
        <w:t>רמב"ן</w:t>
      </w:r>
      <w:r>
        <w:rPr>
          <w:rtl/>
        </w:rPr>
        <w:t xml:space="preserve"> בפ' שופטים]. ול"ד לשאר ספיקות [כגון בשר דפריש מט' חנויות], דמי שיודע ע"פ נביא שחתיכה זו מהמיעוט אין כאן ספק, ול"ש הכרעת רוב. עע"ש.</w:t>
      </w:r>
    </w:p>
    <w:p w14:paraId="01F520E2" w14:textId="77777777" w:rsidR="00BE1D1C" w:rsidRDefault="00000000" w:rsidP="00012502">
      <w:pPr>
        <w:pStyle w:val="Footnote"/>
        <w:bidi/>
      </w:pPr>
      <w:r>
        <w:rPr>
          <w:rtl/>
        </w:rPr>
        <w:tab/>
        <w:t>[ועי"ל דהבת קול אמרה דהלכה כדברי ר"א, דבכללי הפסק יש לעשות כדבריו כיון דעמל בתורה יותר, ובזה הוה נגד דין התורה. אבל אילו היה נמסר בבת קול הדין בתנור של עכנאי י"ל דמהני].</w:t>
      </w:r>
    </w:p>
  </w:footnote>
  <w:footnote w:id="834">
    <w:p w14:paraId="33FB1CF9" w14:textId="77777777" w:rsidR="00BE1D1C" w:rsidRDefault="00000000" w:rsidP="00012502">
      <w:pPr>
        <w:pStyle w:val="Footnote"/>
        <w:bidi/>
      </w:pPr>
      <w:r>
        <w:rPr>
          <w:rStyle w:val="ac"/>
          <w:rtl/>
        </w:rPr>
        <w:footnoteRef/>
      </w:r>
      <w:r>
        <w:rPr>
          <w:rtl/>
        </w:rPr>
        <w:t>אבל</w:t>
      </w:r>
      <w:r>
        <w:rPr>
          <w:b/>
          <w:bCs/>
          <w:rtl/>
        </w:rPr>
        <w:t xml:space="preserve"> י"מ</w:t>
      </w:r>
      <w:r>
        <w:rPr>
          <w:rtl/>
        </w:rPr>
        <w:t xml:space="preserve"> (ע' ספר המפתח) דכוונת הרמב"ם דוקא להכריע נגד כללי הפסק המקובלים לנו. אבל במקום דליכא כללי הכרעה מהני בת קול.</w:t>
      </w:r>
    </w:p>
  </w:footnote>
  <w:footnote w:id="835">
    <w:p w14:paraId="43935001" w14:textId="77777777" w:rsidR="00BE1D1C" w:rsidRDefault="00000000" w:rsidP="00012502">
      <w:pPr>
        <w:pStyle w:val="Footnote"/>
        <w:bidi/>
      </w:pPr>
      <w:r>
        <w:rPr>
          <w:rStyle w:val="ac"/>
          <w:rtl/>
        </w:rPr>
        <w:footnoteRef/>
      </w:r>
      <w:r>
        <w:rPr>
          <w:rtl/>
        </w:rPr>
        <w:t>וכ"כ ה</w:t>
      </w:r>
      <w:r>
        <w:rPr>
          <w:b/>
          <w:bCs/>
          <w:rtl/>
        </w:rPr>
        <w:t>תוס' הרא"ש</w:t>
      </w:r>
      <w:r>
        <w:rPr>
          <w:rtl/>
        </w:rPr>
        <w:t xml:space="preserve"> (נדה ז:).</w:t>
      </w:r>
    </w:p>
  </w:footnote>
  <w:footnote w:id="836">
    <w:p w14:paraId="05711527" w14:textId="77777777" w:rsidR="00BE1D1C" w:rsidRDefault="00000000" w:rsidP="00012502">
      <w:pPr>
        <w:pStyle w:val="Footnote"/>
        <w:bidi/>
      </w:pPr>
      <w:r>
        <w:rPr>
          <w:rStyle w:val="ac"/>
          <w:rtl/>
        </w:rPr>
        <w:footnoteRef/>
      </w:r>
      <w:r>
        <w:rPr>
          <w:rtl/>
        </w:rPr>
        <w:t>ולפ"ז החכמים הכריעו לבד דרוב עדיף, ורק קבלו סיוע מהבת קול. א"נ סוגיין ס"ל דהכריעו כמו בת קול, אלא דר' יהושע פליג, ור"י ס"ל אף קודם בת קול דרובא עדיף.</w:t>
      </w:r>
    </w:p>
    <w:p w14:paraId="5E452407" w14:textId="77777777" w:rsidR="00BE1D1C" w:rsidRDefault="00000000" w:rsidP="00012502">
      <w:pPr>
        <w:pStyle w:val="Footnote"/>
        <w:bidi/>
      </w:pPr>
      <w:r>
        <w:rPr>
          <w:rtl/>
        </w:rPr>
        <w:tab/>
        <w:t>וב</w:t>
      </w:r>
      <w:r>
        <w:rPr>
          <w:b/>
          <w:bCs/>
          <w:rtl/>
        </w:rPr>
        <w:t>חי' ר' נחום</w:t>
      </w:r>
      <w:r>
        <w:rPr>
          <w:rtl/>
        </w:rPr>
        <w:t xml:space="preserve"> ביאר דהצד דאזלי' בתר הני דמחדדי משום דאמרי' מסברא דהאמת כדבריהם, ואף דהילכתא אחרי רבים להטות. אך לאחר דיצאה בת קול דהילכתא כבי"ה, שוב הדר דינא דהוכרעה המחלוקת מדינא דאחרי רבים להטות.</w:t>
      </w:r>
    </w:p>
  </w:footnote>
  <w:footnote w:id="837">
    <w:p w14:paraId="1D83F67D" w14:textId="77777777" w:rsidR="00BE1D1C" w:rsidRDefault="00000000" w:rsidP="00012502">
      <w:pPr>
        <w:pStyle w:val="Footnote"/>
        <w:bidi/>
      </w:pPr>
      <w:r>
        <w:rPr>
          <w:rStyle w:val="ac"/>
          <w:rtl/>
        </w:rPr>
        <w:footnoteRef/>
      </w:r>
      <w:r>
        <w:rPr>
          <w:rtl/>
        </w:rPr>
        <w:t>ויל"פ דכוונת הגמ' דכבר הוכרע וידוע דההלכה כן, משא"כ שאר מח' תנאים דעדיין לא הוכרע [דומיא דמש"כ הראשונים דאחרי חתימת התלמוד א"א לפסוק כדעה דנפסק לא כן בגמ', וכן אחרי פסק השו"ע].</w:t>
      </w:r>
    </w:p>
  </w:footnote>
  <w:footnote w:id="838">
    <w:p w14:paraId="6A93D9FF" w14:textId="77777777" w:rsidR="00BE1D1C" w:rsidRDefault="00000000" w:rsidP="00012502">
      <w:pPr>
        <w:pStyle w:val="Footnote"/>
        <w:bidi/>
      </w:pPr>
      <w:r>
        <w:rPr>
          <w:rStyle w:val="ac"/>
          <w:rtl/>
        </w:rPr>
        <w:footnoteRef/>
      </w:r>
      <w:r>
        <w:rPr>
          <w:rtl/>
        </w:rPr>
        <w:t>[ע' לעיל בשם הריטב"א].</w:t>
      </w:r>
    </w:p>
  </w:footnote>
  <w:footnote w:id="839">
    <w:p w14:paraId="451EFB81" w14:textId="77777777" w:rsidR="00BE1D1C" w:rsidRDefault="00000000" w:rsidP="00012502">
      <w:pPr>
        <w:pStyle w:val="Footnote"/>
        <w:bidi/>
      </w:pPr>
      <w:r>
        <w:rPr>
          <w:rStyle w:val="ac"/>
          <w:rtl/>
        </w:rPr>
        <w:footnoteRef/>
      </w:r>
      <w:r>
        <w:rPr>
          <w:rtl/>
        </w:rPr>
        <w:t>ויש להוסיף ע"פ מה שיסדו דגדר לא בשמים היא, שנקבע ההלכה [בשמים] ע"פ בי"ד שבארץ, א"כ באמת נקבע ע"פ כל בי"ד דין שונה [כל זמן שלא עמדו למנין אלו כנגד אלו. וכל החסרון בבי"ד א' שלא הוכרע, ונעשית ב' תורות].</w:t>
      </w:r>
    </w:p>
  </w:footnote>
  <w:footnote w:id="840">
    <w:p w14:paraId="50A364F8" w14:textId="77777777" w:rsidR="00BE1D1C" w:rsidRDefault="00000000" w:rsidP="00012502">
      <w:pPr>
        <w:pStyle w:val="Footnote"/>
        <w:bidi/>
      </w:pPr>
      <w:r>
        <w:rPr>
          <w:rStyle w:val="ac"/>
          <w:rtl/>
        </w:rPr>
        <w:footnoteRef/>
      </w:r>
      <w:r>
        <w:rPr>
          <w:rtl/>
        </w:rPr>
        <w:t>וה</w:t>
      </w:r>
      <w:r>
        <w:rPr>
          <w:b/>
          <w:bCs/>
          <w:rtl/>
        </w:rPr>
        <w:t>כפו"ת</w:t>
      </w:r>
      <w:r>
        <w:rPr>
          <w:rtl/>
        </w:rPr>
        <w:t xml:space="preserve"> תי' דכשעלו לרגל, ובאו כולם למקום א' הוה עיר א', ותלי במח' אביי ורבא. וכתב דמהתם סמך הרמב"ם לפסוק כדברי אביי. [והאחרונים תמהו דבסוגיין קאי אחר החורבן, ולא עלו לרגל].</w:t>
      </w:r>
    </w:p>
  </w:footnote>
  <w:footnote w:id="841">
    <w:p w14:paraId="27656785" w14:textId="77777777" w:rsidR="00BE1D1C" w:rsidRDefault="00000000" w:rsidP="00012502">
      <w:pPr>
        <w:pStyle w:val="Footnote"/>
        <w:bidi/>
      </w:pPr>
      <w:r>
        <w:rPr>
          <w:rStyle w:val="ac"/>
          <w:rtl/>
        </w:rPr>
        <w:footnoteRef/>
      </w:r>
      <w:r>
        <w:rPr>
          <w:rtl/>
        </w:rPr>
        <w:t>וב</w:t>
      </w:r>
      <w:r>
        <w:rPr>
          <w:b/>
          <w:bCs/>
          <w:rtl/>
        </w:rPr>
        <w:t>שו"ת מהרשד"ם</w:t>
      </w:r>
      <w:r>
        <w:rPr>
          <w:rtl/>
        </w:rPr>
        <w:t xml:space="preserve"> (יו"ד קנג, הו' בכפו"ת שם) תי' דמדינא ל"ש לא תתגודדו, ואפ"ה חששו משום מצווה מן המובחר, כיון דהטעם אינו ידוע לכל.</w:t>
      </w:r>
    </w:p>
  </w:footnote>
  <w:footnote w:id="842">
    <w:p w14:paraId="78412298" w14:textId="77777777" w:rsidR="00BE1D1C" w:rsidRDefault="00000000" w:rsidP="00012502">
      <w:pPr>
        <w:pStyle w:val="Footnote"/>
        <w:bidi/>
      </w:pPr>
      <w:r>
        <w:rPr>
          <w:rStyle w:val="ac"/>
          <w:rtl/>
        </w:rPr>
        <w:footnoteRef/>
      </w:r>
      <w:r>
        <w:rPr>
          <w:rtl/>
        </w:rPr>
        <w:t>וב</w:t>
      </w:r>
      <w:r>
        <w:rPr>
          <w:b/>
          <w:bCs/>
          <w:rtl/>
        </w:rPr>
        <w:t>שו"ת הרדב"ז</w:t>
      </w:r>
      <w:r>
        <w:rPr>
          <w:rtl/>
        </w:rPr>
        <w:t xml:space="preserve"> (ה לשונות הרמב"ם יא [אלף שפד]) כת' די"ל דהרמב"ם פסק כאביי בהא משום דמסתבר טעמיה, שלא ירבו מחלוקת בישראל. דכיון שהם בעיר א', אף שהם שתי בתי דינין אי אפשר להנצל מן המחלוקת, שהרי הציבור הנגררים אחריהם זה מיקל וזה מחמיר זה פוטר וזה מחייב זה מטמא וזה מטהר והעם פוסחים על שתי הסעיפים וירבה ביניהם השנאה והמחלוקת וזה דבר נראה לחוש העין.</w:t>
      </w:r>
    </w:p>
    <w:p w14:paraId="75D913C8" w14:textId="77777777" w:rsidR="00BE1D1C" w:rsidRDefault="00000000" w:rsidP="00012502">
      <w:pPr>
        <w:pStyle w:val="Footnote"/>
        <w:bidi/>
      </w:pPr>
      <w:r>
        <w:rPr>
          <w:rtl/>
        </w:rPr>
        <w:tab/>
        <w:t>והרדב"ז כת' דאף דרבא הק' ממח' דבי"ש ובי"ה, דהוה בעיר א'. שאני בי"ש ובי"ה דכל כת היה להם כמה וכמה בישראל, והמח' מפורסמות, ומש"ה דמי לב' עיירות. א"נ אף בי"ש ובי"ה דרו בב' עיירות.</w:t>
      </w:r>
    </w:p>
  </w:footnote>
  <w:footnote w:id="843">
    <w:p w14:paraId="23D8D585" w14:textId="77777777" w:rsidR="00BE1D1C" w:rsidRDefault="00000000" w:rsidP="00012502">
      <w:pPr>
        <w:pStyle w:val="Footnote"/>
        <w:bidi/>
      </w:pPr>
      <w:r>
        <w:rPr>
          <w:rStyle w:val="ac"/>
          <w:rtl/>
        </w:rPr>
        <w:footnoteRef/>
      </w:r>
      <w:r>
        <w:rPr>
          <w:rtl/>
        </w:rPr>
        <w:t>וה</w:t>
      </w:r>
      <w:r>
        <w:rPr>
          <w:b/>
          <w:bCs/>
          <w:rtl/>
        </w:rPr>
        <w:t xml:space="preserve">נו"כ </w:t>
      </w:r>
      <w:r>
        <w:rPr>
          <w:rtl/>
        </w:rPr>
        <w:t>הביאו דהר"ד הכהן ביאר דהרמב"ם פסק כרבא, ושלא יהא חצי בי"ד. ודוחק.</w:t>
      </w:r>
    </w:p>
  </w:footnote>
  <w:footnote w:id="844">
    <w:p w14:paraId="50841E84" w14:textId="77777777" w:rsidR="00BE1D1C" w:rsidRDefault="00000000" w:rsidP="00012502">
      <w:pPr>
        <w:pStyle w:val="Footnote"/>
        <w:bidi/>
      </w:pPr>
      <w:r>
        <w:rPr>
          <w:rStyle w:val="ac"/>
          <w:rtl/>
        </w:rPr>
        <w:footnoteRef/>
      </w:r>
      <w:r>
        <w:rPr>
          <w:rtl/>
        </w:rPr>
        <w:t>ותליא בתי' ה</w:t>
      </w:r>
      <w:r>
        <w:rPr>
          <w:b/>
          <w:bCs/>
          <w:rtl/>
        </w:rPr>
        <w:t>ראשונים</w:t>
      </w:r>
      <w:r>
        <w:rPr>
          <w:rtl/>
        </w:rPr>
        <w:t xml:space="preserve"> (ע' מש"כ ב</w:t>
      </w:r>
      <w:r>
        <w:rPr>
          <w:b/>
          <w:bCs/>
          <w:rtl/>
        </w:rPr>
        <w:t>תוס'</w:t>
      </w:r>
      <w:r>
        <w:rPr>
          <w:rtl/>
        </w:rPr>
        <w:t xml:space="preserve"> ד"ה כי). ולפ"ז פסק כאביי ולאו מטעמיה, דבגמ' מבואר דסברת אביי לתרץ את ר' יוחנן דעשו. [ואף שהגמ' מקשה].</w:t>
      </w:r>
    </w:p>
  </w:footnote>
  <w:footnote w:id="845">
    <w:p w14:paraId="77938790" w14:textId="77777777" w:rsidR="00BE1D1C" w:rsidRDefault="00000000" w:rsidP="00012502">
      <w:pPr>
        <w:pStyle w:val="Footnote"/>
        <w:bidi/>
      </w:pPr>
      <w:r>
        <w:rPr>
          <w:rStyle w:val="ac"/>
          <w:rtl/>
        </w:rPr>
        <w:footnoteRef/>
      </w:r>
      <w:r>
        <w:rPr>
          <w:rtl/>
        </w:rPr>
        <w:t>אבל ה</w:t>
      </w:r>
      <w:r>
        <w:rPr>
          <w:b/>
          <w:bCs/>
          <w:rtl/>
        </w:rPr>
        <w:t>חזו"א</w:t>
      </w:r>
      <w:r>
        <w:rPr>
          <w:rtl/>
        </w:rPr>
        <w:t xml:space="preserve"> כתב דמשמעות הגמ' דעשו כדבריהם אף אחר בת קול.</w:t>
      </w:r>
    </w:p>
  </w:footnote>
  <w:footnote w:id="846">
    <w:p w14:paraId="71C4A8CE" w14:textId="77777777" w:rsidR="00BE1D1C" w:rsidRDefault="00000000" w:rsidP="00012502">
      <w:pPr>
        <w:pStyle w:val="Footnote"/>
        <w:bidi/>
      </w:pPr>
      <w:r>
        <w:rPr>
          <w:rStyle w:val="ac"/>
          <w:rtl/>
        </w:rPr>
        <w:footnoteRef/>
      </w:r>
      <w:r>
        <w:rPr>
          <w:rtl/>
        </w:rPr>
        <w:t>ויל"פ דקודם בת קול היה ספק בדין, ועדיין לא עמדו למנין, ולא נחשב לא תתגודדו. ורק אחרי פסק ההלכה [לרבים], מי שנוהג אחרת הוה לא תתגודדו (ע' לעיל). אבל צ"ב לרמב"ם לשיטתו ל"מ בת קול להכריע הלכה דלא בשמים היא. [וי"ל דהיינו לדעת בי"ה דרוב עדיף מגזיה"כ, אבל דעת בי"ש דחריפות עדיף מסברא, א"כ כ"ש דבת קול עדיף טפי. וע"י הבת קול נדחה סברת בי"ש. אבל לדידן קיי"ל כבי"ה דדינא דרוב עדיף].</w:t>
      </w:r>
    </w:p>
  </w:footnote>
  <w:footnote w:id="847">
    <w:p w14:paraId="208CCCAA" w14:textId="77777777" w:rsidR="00BE1D1C" w:rsidRDefault="00000000" w:rsidP="00012502">
      <w:pPr>
        <w:pStyle w:val="Footnote"/>
        <w:bidi/>
      </w:pPr>
      <w:r>
        <w:rPr>
          <w:rStyle w:val="ac"/>
          <w:rtl/>
        </w:rPr>
        <w:footnoteRef/>
      </w:r>
      <w:r>
        <w:rPr>
          <w:rtl/>
        </w:rPr>
        <w:t>וצ"ב אמאי הוה מח' טפי כה"ג, במה שמחמירים על עצמם.</w:t>
      </w:r>
    </w:p>
  </w:footnote>
  <w:footnote w:id="848">
    <w:p w14:paraId="549469E7" w14:textId="77777777" w:rsidR="00BE1D1C" w:rsidRDefault="00000000" w:rsidP="00012502">
      <w:pPr>
        <w:pStyle w:val="Footnote"/>
        <w:bidi/>
      </w:pPr>
      <w:r>
        <w:rPr>
          <w:rStyle w:val="ac"/>
          <w:rtl/>
        </w:rPr>
        <w:footnoteRef/>
      </w:r>
      <w:r>
        <w:rPr>
          <w:rtl/>
        </w:rPr>
        <w:t>ואף ד</w:t>
      </w:r>
      <w:r>
        <w:rPr>
          <w:b/>
          <w:bCs/>
          <w:rtl/>
        </w:rPr>
        <w:t>רש"י</w:t>
      </w:r>
      <w:r>
        <w:rPr>
          <w:rtl/>
        </w:rPr>
        <w:t xml:space="preserve"> (יג: ד"ה לא תעשו) פי' קו' הגמ' על כל המשנה, היינו לס"ד דאף מנהג יש חסרון לא תתגודדו.</w:t>
      </w:r>
    </w:p>
  </w:footnote>
  <w:footnote w:id="849">
    <w:p w14:paraId="5CAF9C15" w14:textId="77777777" w:rsidR="00BE1D1C" w:rsidRDefault="00000000" w:rsidP="00012502">
      <w:pPr>
        <w:pStyle w:val="Footnote"/>
        <w:bidi/>
      </w:pPr>
      <w:r>
        <w:rPr>
          <w:rStyle w:val="ac"/>
          <w:rtl/>
        </w:rPr>
        <w:footnoteRef/>
      </w:r>
      <w:r>
        <w:rPr>
          <w:rtl/>
        </w:rPr>
        <w:t>ונפק"מ בזה להלכה האם מותר לבן קהילה א' לנהוג מנהגו בתוך קהילה אחרת [כיון דדעתו לחזור].</w:t>
      </w:r>
    </w:p>
  </w:footnote>
  <w:footnote w:id="850">
    <w:p w14:paraId="5803B150" w14:textId="77777777" w:rsidR="00BE1D1C" w:rsidRDefault="00000000" w:rsidP="00012502">
      <w:pPr>
        <w:pStyle w:val="Footnote"/>
        <w:bidi/>
      </w:pPr>
      <w:r>
        <w:rPr>
          <w:rStyle w:val="ac"/>
          <w:rtl/>
        </w:rPr>
        <w:footnoteRef/>
      </w:r>
      <w:r>
        <w:rPr>
          <w:rtl/>
        </w:rPr>
        <w:t>וב</w:t>
      </w:r>
      <w:r>
        <w:rPr>
          <w:b/>
          <w:bCs/>
          <w:rtl/>
        </w:rPr>
        <w:t>שו"ת גינת ורדים</w:t>
      </w:r>
      <w:r>
        <w:rPr>
          <w:rtl/>
        </w:rPr>
        <w:t xml:space="preserve"> (או"ח כלל א יג, הו' בגליון מהרש"א) תי' [לדעת רש"י] דלא תתגודדו הוה היכא שא' סובר דמה שעושה חברו הוא טעות, אבל הכא בני עיירות מודים דבני כפרים עושין כדין שתיקנו להם חכמים, ואם א' מבני עיירות ילך לדור בכפרים יעשה כמותן א"כ לית כאן לא תתגודדו.</w:t>
      </w:r>
    </w:p>
  </w:footnote>
  <w:footnote w:id="851">
    <w:p w14:paraId="20B6222E" w14:textId="77777777" w:rsidR="00BE1D1C" w:rsidRDefault="00000000" w:rsidP="00012502">
      <w:pPr>
        <w:pStyle w:val="Footnote"/>
        <w:bidi/>
      </w:pPr>
      <w:r>
        <w:rPr>
          <w:rStyle w:val="ac"/>
          <w:rtl/>
        </w:rPr>
        <w:footnoteRef/>
      </w:r>
      <w:r>
        <w:rPr>
          <w:rtl/>
        </w:rPr>
        <w:t>וה</w:t>
      </w:r>
      <w:r>
        <w:rPr>
          <w:b/>
          <w:bCs/>
          <w:rtl/>
        </w:rPr>
        <w:t>אחרונים</w:t>
      </w:r>
      <w:r>
        <w:rPr>
          <w:rtl/>
        </w:rPr>
        <w:t xml:space="preserve"> כתבו כעי"ז לדעת ה</w:t>
      </w:r>
      <w:r>
        <w:rPr>
          <w:b/>
          <w:bCs/>
          <w:rtl/>
        </w:rPr>
        <w:t>רמב"ם</w:t>
      </w:r>
      <w:r>
        <w:rPr>
          <w:rtl/>
        </w:rPr>
        <w:t xml:space="preserve"> דלר' יוחנן הטעם משום מח', ובזה לא שייך בזה מחלוקת.</w:t>
      </w:r>
    </w:p>
  </w:footnote>
  <w:footnote w:id="852">
    <w:p w14:paraId="064A0991" w14:textId="77777777" w:rsidR="00BE1D1C" w:rsidRDefault="00000000" w:rsidP="00012502">
      <w:pPr>
        <w:pStyle w:val="Footnote"/>
        <w:bidi/>
      </w:pPr>
      <w:r>
        <w:rPr>
          <w:rStyle w:val="ac"/>
          <w:rtl/>
        </w:rPr>
        <w:footnoteRef/>
      </w:r>
      <w:r>
        <w:rPr>
          <w:rtl/>
        </w:rPr>
        <w:t>וה</w:t>
      </w:r>
      <w:r>
        <w:rPr>
          <w:b/>
          <w:bCs/>
          <w:rtl/>
        </w:rPr>
        <w:t>טור"א</w:t>
      </w:r>
      <w:r>
        <w:rPr>
          <w:rtl/>
        </w:rPr>
        <w:t xml:space="preserve"> כתב דאפשר דהיה עונין אחריו [וכמו בסוכה לח גבי הלל]. ובהג' ברוך טעם הוסיף דענו מתוך מגילה כשירה.</w:t>
      </w:r>
    </w:p>
  </w:footnote>
  <w:footnote w:id="853">
    <w:p w14:paraId="615DC4C2" w14:textId="77777777" w:rsidR="00BE1D1C" w:rsidRDefault="00000000" w:rsidP="00012502">
      <w:pPr>
        <w:pStyle w:val="Footnote"/>
        <w:bidi/>
      </w:pPr>
      <w:r>
        <w:rPr>
          <w:rStyle w:val="ac"/>
          <w:rtl/>
        </w:rPr>
        <w:footnoteRef/>
      </w:r>
      <w:r>
        <w:rPr>
          <w:rtl/>
        </w:rPr>
        <w:t>וה</w:t>
      </w:r>
      <w:r>
        <w:rPr>
          <w:b/>
          <w:bCs/>
          <w:rtl/>
        </w:rPr>
        <w:t>קובה"ע</w:t>
      </w:r>
      <w:r>
        <w:rPr>
          <w:rtl/>
        </w:rPr>
        <w:t xml:space="preserve"> (טז) הקשה עוד האיך עשו נגד הרוב, וכתב דכיון דהמיעוט אי"צ לבטל דבריו ל"ש בזה דין רוב. [ובהשמטות כתב די"ל דלא היה נגד רוב].</w:t>
      </w:r>
    </w:p>
  </w:footnote>
  <w:footnote w:id="854">
    <w:p w14:paraId="65523272" w14:textId="77777777" w:rsidR="00BE1D1C" w:rsidRDefault="00000000" w:rsidP="00012502">
      <w:pPr>
        <w:pStyle w:val="Footnote"/>
        <w:bidi/>
      </w:pPr>
      <w:r>
        <w:rPr>
          <w:rStyle w:val="ac"/>
          <w:rtl/>
        </w:rPr>
        <w:footnoteRef/>
      </w:r>
      <w:r>
        <w:rPr>
          <w:rtl/>
        </w:rPr>
        <w:t>וכתב דהוה מדיני תלמיד שיש לו לעשות דיני רבו. אבל רק מי שראה או לפניו, או במקומו. [ועקביא בן מהללאל (עדיות ה ז) אמר לבנו בשעת מיתתו חזור בך, אתה שמעת מפי היחיד מוטב להניח וכו'].</w:t>
      </w:r>
    </w:p>
  </w:footnote>
  <w:footnote w:id="855">
    <w:p w14:paraId="1D6635CE" w14:textId="77777777" w:rsidR="00BE1D1C" w:rsidRDefault="00000000" w:rsidP="00012502">
      <w:pPr>
        <w:pStyle w:val="Footnote"/>
        <w:bidi/>
      </w:pPr>
      <w:r>
        <w:rPr>
          <w:rStyle w:val="ac"/>
          <w:rtl/>
        </w:rPr>
        <w:footnoteRef/>
      </w:r>
      <w:r>
        <w:rPr>
          <w:rtl/>
        </w:rPr>
        <w:t>וכתב דמהני כל זמן שלא ידע הרב דטעה בדין מסויים [וכתב דאף דמחייו משום כבודו עושים כדבריו בכל אופן, שלא בפניו לא יעשו במה שנראה טעות].</w:t>
      </w:r>
    </w:p>
  </w:footnote>
  <w:footnote w:id="856">
    <w:p w14:paraId="752AD302" w14:textId="77777777" w:rsidR="00BE1D1C" w:rsidRDefault="00000000" w:rsidP="00012502">
      <w:pPr>
        <w:pStyle w:val="Footnote"/>
        <w:bidi/>
      </w:pPr>
      <w:r>
        <w:rPr>
          <w:rStyle w:val="ac"/>
          <w:rtl/>
        </w:rPr>
        <w:footnoteRef/>
      </w:r>
      <w:r>
        <w:rPr>
          <w:rtl/>
        </w:rPr>
        <w:t>וה</w:t>
      </w:r>
      <w:r>
        <w:rPr>
          <w:b/>
          <w:bCs/>
          <w:rtl/>
        </w:rPr>
        <w:t xml:space="preserve">רמב"ן </w:t>
      </w:r>
      <w:r>
        <w:rPr>
          <w:rtl/>
        </w:rPr>
        <w:t>(חולין מד.) כת' דהא דאיתא דהרוצה לעשות כדברי בית שמאי עושה [ואי"צ להחמיר דאורייתא], דמתוך דהיתה מח' גדולה, וכל חכמי ישראל נכנסו תחתיה, הרשות ביד כל א' להיות מכת בית שמאי ולעשות כדבריהם לעולם. [וע"ל מה שהו' מהחזו"א].</w:t>
      </w:r>
    </w:p>
  </w:footnote>
  <w:footnote w:id="857">
    <w:p w14:paraId="06EDF641" w14:textId="77777777" w:rsidR="00BE1D1C" w:rsidRDefault="00000000" w:rsidP="00012502">
      <w:pPr>
        <w:pStyle w:val="Footnote"/>
        <w:bidi/>
      </w:pPr>
      <w:r>
        <w:rPr>
          <w:rStyle w:val="ac"/>
          <w:rtl/>
        </w:rPr>
        <w:footnoteRef/>
      </w:r>
      <w:r>
        <w:rPr>
          <w:rtl/>
        </w:rPr>
        <w:t>אמנם ה</w:t>
      </w:r>
      <w:r>
        <w:rPr>
          <w:b/>
          <w:bCs/>
          <w:rtl/>
        </w:rPr>
        <w:t>קוב"ש</w:t>
      </w:r>
      <w:r>
        <w:rPr>
          <w:rtl/>
        </w:rPr>
        <w:t xml:space="preserve"> (ב"ב רעב) ציין ל</w:t>
      </w:r>
      <w:r>
        <w:rPr>
          <w:b/>
          <w:bCs/>
          <w:rtl/>
        </w:rPr>
        <w:t>שו"ת זכרון יהודה</w:t>
      </w:r>
      <w:r>
        <w:rPr>
          <w:rtl/>
        </w:rPr>
        <w:t xml:space="preserve"> (לר"י בן הרא"ש נד) שחלק, וס"ל דל"מ לקבל פסקיו של רב א', וצריך להכריע על כל שאלה בפנ"ע. ובמקום שא"א להכריע צריך להחמיר.</w:t>
      </w:r>
    </w:p>
  </w:footnote>
  <w:footnote w:id="858">
    <w:p w14:paraId="720CDF45" w14:textId="77777777" w:rsidR="00BE1D1C" w:rsidRDefault="00000000" w:rsidP="00012502">
      <w:pPr>
        <w:pStyle w:val="Footnote"/>
        <w:bidi/>
      </w:pPr>
      <w:r>
        <w:rPr>
          <w:rStyle w:val="ac"/>
          <w:rtl/>
        </w:rPr>
        <w:footnoteRef/>
      </w:r>
      <w:r>
        <w:rPr>
          <w:rtl/>
        </w:rPr>
        <w:t>ה</w:t>
      </w:r>
      <w:r>
        <w:rPr>
          <w:b/>
          <w:bCs/>
          <w:rtl/>
        </w:rPr>
        <w:t>ערול"נ</w:t>
      </w:r>
      <w:r>
        <w:rPr>
          <w:rtl/>
        </w:rPr>
        <w:t xml:space="preserve"> ביאר דכוונת תוס' דעשו כן והקילו לכתחילה, ואף שיכולים להתרחק מהמחלוקת. [וע' לקמן טו.].</w:t>
      </w:r>
    </w:p>
  </w:footnote>
  <w:footnote w:id="859">
    <w:p w14:paraId="72DE5B17" w14:textId="77777777" w:rsidR="00BE1D1C" w:rsidRDefault="00000000" w:rsidP="00012502">
      <w:pPr>
        <w:pStyle w:val="Footnote"/>
        <w:bidi/>
      </w:pPr>
      <w:r>
        <w:rPr>
          <w:rStyle w:val="ac"/>
          <w:rtl/>
        </w:rPr>
        <w:footnoteRef/>
      </w:r>
      <w:r>
        <w:rPr>
          <w:rtl/>
        </w:rPr>
        <w:t>ואין בזה משום חומרי מקום שהלך לשם. ויל"ד אי דוקא ר' אבהו דאיהו ס"ל כריב"ל [והכריע כדעתו], או אף אדם אחר, שנוהג כמנהג רבו במקומו.</w:t>
      </w:r>
    </w:p>
  </w:footnote>
  <w:footnote w:id="860">
    <w:p w14:paraId="57597977" w14:textId="77777777" w:rsidR="00BE1D1C" w:rsidRDefault="00000000" w:rsidP="00012502">
      <w:pPr>
        <w:pStyle w:val="Footnote"/>
        <w:bidi/>
      </w:pPr>
      <w:r>
        <w:rPr>
          <w:rStyle w:val="ac"/>
          <w:rtl/>
        </w:rPr>
        <w:footnoteRef/>
      </w:r>
      <w:r>
        <w:rPr>
          <w:rtl/>
        </w:rPr>
        <w:t>וכ"ה לדעת רש"י, דהא ר' אבהו ס"ל דאין בזה משום מוקצה.</w:t>
      </w:r>
    </w:p>
  </w:footnote>
  <w:footnote w:id="861">
    <w:p w14:paraId="1E95AAAA" w14:textId="77777777" w:rsidR="00BE1D1C" w:rsidRDefault="00000000" w:rsidP="00012502">
      <w:pPr>
        <w:pStyle w:val="Footnote"/>
        <w:bidi/>
      </w:pPr>
      <w:r>
        <w:rPr>
          <w:rStyle w:val="ac"/>
          <w:rtl/>
        </w:rPr>
        <w:footnoteRef/>
      </w:r>
      <w:r>
        <w:rPr>
          <w:rtl/>
        </w:rPr>
        <w:t>אבל היכא דאשת אח קדם, לכאו' לא חל חייבי לאוין, וכמו בעריות ונשא מת קודם.</w:t>
      </w:r>
    </w:p>
  </w:footnote>
  <w:footnote w:id="862">
    <w:p w14:paraId="6EC10CD4" w14:textId="77777777" w:rsidR="00BE1D1C" w:rsidRDefault="00000000" w:rsidP="00012502">
      <w:pPr>
        <w:pStyle w:val="Footnote"/>
        <w:bidi/>
      </w:pPr>
      <w:r>
        <w:rPr>
          <w:rStyle w:val="ac"/>
          <w:rtl/>
        </w:rPr>
        <w:footnoteRef/>
      </w:r>
      <w:r>
        <w:rPr>
          <w:rtl/>
        </w:rPr>
        <w:t>ופ</w:t>
      </w:r>
      <w:r>
        <w:rPr>
          <w:b/>
          <w:bCs/>
          <w:rtl/>
        </w:rPr>
        <w:t>רש"י</w:t>
      </w:r>
      <w:r>
        <w:rPr>
          <w:rtl/>
        </w:rPr>
        <w:t xml:space="preserve"> [בפי' הא'] דנח' בממאנת, דנחשב ספק אשת איש. וציינו דמקור לזה מהגמ' (לקמן קי:) [דגדר הדין דרבנן] דקידושי מיאון נחשב ספק קנויה [קנויה ואינה קנויה].</w:t>
      </w:r>
    </w:p>
  </w:footnote>
  <w:footnote w:id="863">
    <w:p w14:paraId="7F160F62" w14:textId="77777777" w:rsidR="00BE1D1C" w:rsidRDefault="00000000" w:rsidP="00012502">
      <w:pPr>
        <w:pStyle w:val="Footnote"/>
        <w:bidi/>
      </w:pPr>
      <w:r>
        <w:rPr>
          <w:rStyle w:val="ac"/>
          <w:rtl/>
        </w:rPr>
        <w:footnoteRef/>
      </w:r>
      <w:r>
        <w:rPr>
          <w:rtl/>
        </w:rPr>
        <w:t>ויל"ע דכיון דבעלה ס"ל כמתירין וא"א לחייבו לחזור ולגרש, א"כ כלפי מי שבא לישאנה הוה כמי שבעלה אינה בעיר. {ומבואר דאמרי' סוף סוף גזרו חז"ל, וכל זמן שהבעל בעיר אסורה. אף באופן שא"א לחייבו לגרש}.</w:t>
      </w:r>
    </w:p>
  </w:footnote>
  <w:footnote w:id="864">
    <w:p w14:paraId="0C5911E0" w14:textId="77777777" w:rsidR="00BE1D1C" w:rsidRDefault="00000000" w:rsidP="00012502">
      <w:pPr>
        <w:pStyle w:val="Footnote"/>
        <w:bidi/>
      </w:pPr>
      <w:r>
        <w:rPr>
          <w:rStyle w:val="ac"/>
          <w:rtl/>
        </w:rPr>
        <w:footnoteRef/>
      </w:r>
      <w:r>
        <w:rPr>
          <w:rtl/>
        </w:rPr>
        <w:t>אבל ה</w:t>
      </w:r>
      <w:r>
        <w:rPr>
          <w:b/>
          <w:bCs/>
          <w:rtl/>
        </w:rPr>
        <w:t>פוסקים</w:t>
      </w:r>
      <w:r>
        <w:rPr>
          <w:rtl/>
        </w:rPr>
        <w:t xml:space="preserve"> (קמח) נקטו דדעת הרמב"ם דאי"צ גט כלל.</w:t>
      </w:r>
    </w:p>
  </w:footnote>
  <w:footnote w:id="865">
    <w:p w14:paraId="500F67CF" w14:textId="77777777" w:rsidR="00BE1D1C" w:rsidRDefault="00000000" w:rsidP="00012502">
      <w:pPr>
        <w:pStyle w:val="Footnote"/>
        <w:bidi/>
      </w:pPr>
      <w:r>
        <w:rPr>
          <w:rStyle w:val="ac"/>
          <w:rtl/>
        </w:rPr>
        <w:footnoteRef/>
      </w:r>
      <w:r>
        <w:rPr>
          <w:rtl/>
        </w:rPr>
        <w:t>יל"ד האם כוונתו משום איסור לא תאכילום (לקמן קיד.) להזהיר גדולים על הקטנים, וס"ל דכ"ש בגדול. או משום איסור לפני עוור.</w:t>
      </w:r>
    </w:p>
  </w:footnote>
  <w:footnote w:id="866">
    <w:p w14:paraId="7A0E5B32" w14:textId="77777777" w:rsidR="00BE1D1C" w:rsidRDefault="00000000" w:rsidP="00012502">
      <w:pPr>
        <w:pStyle w:val="Footnote"/>
        <w:bidi/>
      </w:pPr>
      <w:r>
        <w:rPr>
          <w:rStyle w:val="ac"/>
          <w:rtl/>
        </w:rPr>
        <w:footnoteRef/>
      </w:r>
      <w:r>
        <w:rPr>
          <w:rtl/>
        </w:rPr>
        <w:t>לרב שיאכיל את שמואל, גבי מח' רב ושמואל דדגים שעלו בקערה [נותן טעם בר נותן טעם].</w:t>
      </w:r>
    </w:p>
  </w:footnote>
  <w:footnote w:id="867">
    <w:p w14:paraId="13CD75B1" w14:textId="77777777" w:rsidR="00BE1D1C" w:rsidRDefault="00000000" w:rsidP="00012502">
      <w:pPr>
        <w:pStyle w:val="Footnote"/>
        <w:bidi/>
      </w:pPr>
      <w:r>
        <w:rPr>
          <w:rStyle w:val="ac"/>
          <w:rtl/>
        </w:rPr>
        <w:footnoteRef/>
      </w:r>
      <w:r>
        <w:rPr>
          <w:rtl/>
        </w:rPr>
        <w:t>ומשמע בש"ך דאף זה משום איסור לפני עוור [דאורייתא].</w:t>
      </w:r>
    </w:p>
  </w:footnote>
  <w:footnote w:id="868">
    <w:p w14:paraId="4C28C9C3" w14:textId="77777777" w:rsidR="00BE1D1C" w:rsidRDefault="00000000" w:rsidP="00012502">
      <w:pPr>
        <w:pStyle w:val="Footnote"/>
        <w:bidi/>
      </w:pPr>
      <w:r>
        <w:rPr>
          <w:rStyle w:val="ac"/>
          <w:rtl/>
        </w:rPr>
        <w:footnoteRef/>
      </w:r>
      <w:r>
        <w:rPr>
          <w:rtl/>
        </w:rPr>
        <w:t>כיון דלפי דעתו הוא היתר, ולכן אין בזה משום לפני עוור מצד עצם האיסור, ורק במה שמכשילו לפי דעתו, ובזה סגי במה שיודע.</w:t>
      </w:r>
    </w:p>
  </w:footnote>
  <w:footnote w:id="869">
    <w:p w14:paraId="53D11C19" w14:textId="77777777" w:rsidR="00BE1D1C" w:rsidRDefault="00000000" w:rsidP="00012502">
      <w:pPr>
        <w:pStyle w:val="Footnote"/>
        <w:bidi/>
      </w:pPr>
      <w:r>
        <w:rPr>
          <w:rStyle w:val="ac"/>
          <w:rtl/>
        </w:rPr>
        <w:footnoteRef/>
      </w:r>
      <w:r>
        <w:rPr>
          <w:rtl/>
        </w:rPr>
        <w:t>וכתב בתחילתו דדוקא רב ובי"ש דמדקדקים יותר. אבל בסו"ד מבואר דההג"מ פסק כן שכל אחד יכול לסמוך על חבירו בזה וצ"ע.</w:t>
      </w:r>
    </w:p>
  </w:footnote>
  <w:footnote w:id="870">
    <w:p w14:paraId="182FD841" w14:textId="77777777" w:rsidR="00BE1D1C" w:rsidRDefault="00000000" w:rsidP="00012502">
      <w:pPr>
        <w:pStyle w:val="Footnote"/>
        <w:bidi/>
      </w:pPr>
      <w:r>
        <w:rPr>
          <w:rStyle w:val="ac"/>
          <w:rtl/>
        </w:rPr>
        <w:footnoteRef/>
      </w:r>
      <w:r>
        <w:rPr>
          <w:rtl/>
        </w:rPr>
        <w:t>ועוד יל"פ דאין בזה איסור כיון דנפסק כן מדין רוב [או מחדדי], ומדין לא תתגודדו [ואף דהוה חפצא דאיסורא]. אלא דיש סברא שלא להרבות ממזרים, כיון דיתכן שיפסקו אח"כ בי"ד של אחריהם אחרת. [וצ"ב בשאר מח' הפוסקים, אי החמירו בדבר המביא לממזרות].</w:t>
      </w:r>
    </w:p>
  </w:footnote>
  <w:footnote w:id="871">
    <w:p w14:paraId="7E880209" w14:textId="77777777" w:rsidR="00BE1D1C" w:rsidRDefault="00000000" w:rsidP="00012502">
      <w:pPr>
        <w:pStyle w:val="Footnote"/>
        <w:bidi/>
      </w:pPr>
      <w:r>
        <w:rPr>
          <w:rStyle w:val="ac"/>
          <w:rtl/>
        </w:rPr>
        <w:footnoteRef/>
      </w:r>
      <w:r>
        <w:rPr>
          <w:rtl/>
        </w:rPr>
        <w:t>ועד"ז ילה"ק (בע"א) דמבואר דתלמידי בי"ש שעשו ע"פ הוראת רבם הוה ולד ממזר לדעת בית הלל. ואף שעשו כדין, ע"פ מה שמוטל עליהם. [אך יש לדחות דאף דהוה ע"פ הוראה, לדברי בי"ה ליתא להך הוראה. והוראה בטעות בטל, ולא נחשב שעשו ברשות. אבל לכאורה לא תתגודדו, אף אי יתברר דדברי הרוב הוה בטעות, מ"מ מה שיש לבי"ד השני לעשות כדבריו לא הוה טעות. {ויל"ד בזה}].</w:t>
      </w:r>
    </w:p>
  </w:footnote>
  <w:footnote w:id="872">
    <w:p w14:paraId="42C31DF6" w14:textId="77777777" w:rsidR="00BE1D1C" w:rsidRDefault="00000000" w:rsidP="00012502">
      <w:pPr>
        <w:pStyle w:val="Footnote"/>
        <w:bidi/>
      </w:pPr>
      <w:r>
        <w:rPr>
          <w:rStyle w:val="ac"/>
          <w:rtl/>
        </w:rPr>
        <w:footnoteRef/>
      </w:r>
      <w:r>
        <w:rPr>
          <w:rtl/>
        </w:rPr>
        <w:t>ואף שהותר משום לא תתגודדו סיבת האיסור קיימת, ול"מ פסק הבי"ד לשנות את המציאות.</w:t>
      </w:r>
    </w:p>
  </w:footnote>
  <w:footnote w:id="873">
    <w:p w14:paraId="52614899" w14:textId="77777777" w:rsidR="00BE1D1C" w:rsidRDefault="00000000" w:rsidP="00012502">
      <w:pPr>
        <w:pStyle w:val="Footnote"/>
        <w:bidi/>
      </w:pPr>
      <w:r>
        <w:rPr>
          <w:rStyle w:val="ac"/>
          <w:rtl/>
        </w:rPr>
        <w:footnoteRef/>
      </w:r>
      <w:r>
        <w:rPr>
          <w:rtl/>
        </w:rPr>
        <w:t xml:space="preserve">וכן מבואר בדברי </w:t>
      </w:r>
      <w:r>
        <w:rPr>
          <w:b/>
          <w:bCs/>
          <w:rtl/>
        </w:rPr>
        <w:t>רש"י</w:t>
      </w:r>
      <w:r>
        <w:rPr>
          <w:rtl/>
        </w:rPr>
        <w:t xml:space="preserve"> (לקמן פז:) שכתב דאינו דרכי נועם דאם מת הבן אח"כ שתזקק לחלוץ, ותתגנה על בעלה. אבל ה</w:t>
      </w:r>
      <w:r>
        <w:rPr>
          <w:b/>
          <w:bCs/>
          <w:rtl/>
        </w:rPr>
        <w:t>ריטב"א</w:t>
      </w:r>
      <w:r>
        <w:rPr>
          <w:rtl/>
        </w:rPr>
        <w:t xml:space="preserve"> (שם) כתב ד'תצא' ותהא זקוקה לחליצה [וכ"כ הראשונים לקמן יז:]. וצ"ע.</w:t>
      </w:r>
    </w:p>
  </w:footnote>
  <w:footnote w:id="874">
    <w:p w14:paraId="792AF470" w14:textId="77777777" w:rsidR="00BE1D1C" w:rsidRDefault="00000000" w:rsidP="00012502">
      <w:pPr>
        <w:pStyle w:val="Footnote"/>
        <w:bidi/>
      </w:pPr>
      <w:r>
        <w:rPr>
          <w:rStyle w:val="ac"/>
          <w:rtl/>
        </w:rPr>
        <w:footnoteRef/>
      </w:r>
      <w:r>
        <w:rPr>
          <w:rtl/>
        </w:rPr>
        <w:t>וה</w:t>
      </w:r>
      <w:r>
        <w:rPr>
          <w:b/>
          <w:bCs/>
          <w:rtl/>
        </w:rPr>
        <w:t>לבוש</w:t>
      </w:r>
      <w:r>
        <w:rPr>
          <w:rtl/>
        </w:rPr>
        <w:t xml:space="preserve"> הביא דהפוסקים לא משמע כן, ומ"מ יש להחמיר בזה.</w:t>
      </w:r>
    </w:p>
  </w:footnote>
  <w:footnote w:id="875">
    <w:p w14:paraId="7FF06B3D" w14:textId="77777777" w:rsidR="00BE1D1C" w:rsidRDefault="00000000" w:rsidP="00012502">
      <w:pPr>
        <w:pStyle w:val="Footnote"/>
        <w:bidi/>
      </w:pPr>
      <w:r>
        <w:rPr>
          <w:rStyle w:val="ac"/>
          <w:rtl/>
        </w:rPr>
        <w:footnoteRef/>
      </w:r>
      <w:r>
        <w:rPr>
          <w:rtl/>
        </w:rPr>
        <w:t>וה</w:t>
      </w:r>
      <w:r>
        <w:rPr>
          <w:b/>
          <w:bCs/>
          <w:rtl/>
        </w:rPr>
        <w:t>חזו"א</w:t>
      </w:r>
      <w:r>
        <w:rPr>
          <w:rtl/>
        </w:rPr>
        <w:t xml:space="preserve"> (קלד) כתב דעדיים מצוה לייבם, אלא פומא הוא דכאיב.</w:t>
      </w:r>
    </w:p>
  </w:footnote>
  <w:footnote w:id="876">
    <w:p w14:paraId="454EFB6C" w14:textId="77777777" w:rsidR="00BE1D1C" w:rsidRDefault="00000000" w:rsidP="00012502">
      <w:pPr>
        <w:pStyle w:val="Footnote"/>
        <w:bidi/>
      </w:pPr>
      <w:r>
        <w:rPr>
          <w:rStyle w:val="ac"/>
          <w:rtl/>
        </w:rPr>
        <w:footnoteRef/>
      </w:r>
      <w:r>
        <w:rPr>
          <w:rtl/>
        </w:rPr>
        <w:t>וה</w:t>
      </w:r>
      <w:r>
        <w:rPr>
          <w:b/>
          <w:bCs/>
          <w:rtl/>
        </w:rPr>
        <w:t>ראשונים</w:t>
      </w:r>
      <w:r>
        <w:rPr>
          <w:rtl/>
        </w:rPr>
        <w:t xml:space="preserve"> (לקמן לה:) ביארו דמעוברת נחשב שלא במקום מצווה. דגדר החסרון דהוה שלא במקום מצוה, משא"כ חייבי לאו ועשה דנופלת ליבום, אלא שאינה מתייבמת בפועל.</w:t>
      </w:r>
    </w:p>
  </w:footnote>
  <w:footnote w:id="877">
    <w:p w14:paraId="0210263F" w14:textId="77777777" w:rsidR="00BE1D1C" w:rsidRDefault="00000000" w:rsidP="00012502">
      <w:pPr>
        <w:pStyle w:val="Footnote"/>
        <w:bidi/>
      </w:pPr>
      <w:r>
        <w:rPr>
          <w:rStyle w:val="ac"/>
          <w:rtl/>
        </w:rPr>
        <w:footnoteRef/>
      </w:r>
      <w:r>
        <w:rPr>
          <w:rtl/>
        </w:rPr>
        <w:t>[וצ"ב. ובחזו"א כתב דהוה דין דרבנן, ואין לדמות גזירת חז"ל זל"ז].</w:t>
      </w:r>
    </w:p>
  </w:footnote>
  <w:footnote w:id="878">
    <w:p w14:paraId="4097E15B" w14:textId="77777777" w:rsidR="00BE1D1C" w:rsidRDefault="00000000" w:rsidP="00012502">
      <w:pPr>
        <w:pStyle w:val="Footnote"/>
        <w:bidi/>
      </w:pPr>
      <w:r>
        <w:rPr>
          <w:rStyle w:val="ac"/>
          <w:rtl/>
        </w:rPr>
        <w:footnoteRef/>
      </w:r>
      <w:r>
        <w:rPr>
          <w:rtl/>
        </w:rPr>
        <w:t>ועד"ז אי' (לקמן פז:, הו' בתוס' לעיל ב.) דהיכא דהיו בנים ומתו, אין להזקיקה יבום וחליצה מכאן ולהבא, דאין זה דרכי נועם. והוה סברא דאורייתא [והאחרונים דנו אי הוה פטור מצד עצמו, או סימן דיש בזה דין פטור. אבל בסוגיין הוה סברא בדרבנן].</w:t>
      </w:r>
    </w:p>
  </w:footnote>
  <w:footnote w:id="879">
    <w:p w14:paraId="1DAD28D2" w14:textId="77777777" w:rsidR="00BE1D1C" w:rsidRDefault="00000000" w:rsidP="00012502">
      <w:pPr>
        <w:pStyle w:val="Footnote"/>
        <w:bidi/>
      </w:pPr>
      <w:r>
        <w:rPr>
          <w:rStyle w:val="ac"/>
          <w:rtl/>
        </w:rPr>
        <w:footnoteRef/>
      </w:r>
      <w:r>
        <w:rPr>
          <w:rtl/>
        </w:rPr>
        <w:t>לתקנה שרצו לתקן חליצה. [אך למעשה לא תקנו, אף מכאן ולהבא אי"צ חליצה].</w:t>
      </w:r>
    </w:p>
  </w:footnote>
  <w:footnote w:id="880">
    <w:p w14:paraId="1703B2B8" w14:textId="77777777" w:rsidR="00BE1D1C" w:rsidRDefault="00000000" w:rsidP="00012502">
      <w:pPr>
        <w:pStyle w:val="Footnote"/>
        <w:bidi/>
      </w:pPr>
      <w:r>
        <w:rPr>
          <w:rStyle w:val="ac"/>
          <w:rtl/>
        </w:rPr>
        <w:footnoteRef/>
      </w:r>
      <w:r>
        <w:rPr>
          <w:rtl/>
        </w:rPr>
        <w:t>והיינו בסתמא, דאנן סהדי דאינו רוצה בעילת זנות. אבל אילו פירש דכונס ע"ד התנאי ל"צ גט. [אך הלשון יש תנאי בביאה משמע דל"מ כלל. ולדברי הראב"ד ל"מ תנאי כלל].</w:t>
      </w:r>
    </w:p>
  </w:footnote>
  <w:footnote w:id="881">
    <w:p w14:paraId="03EBF9B1" w14:textId="77777777" w:rsidR="00BE1D1C" w:rsidRDefault="00000000" w:rsidP="00012502">
      <w:pPr>
        <w:pStyle w:val="Footnote"/>
        <w:bidi/>
      </w:pPr>
      <w:r>
        <w:rPr>
          <w:rStyle w:val="ac"/>
          <w:rtl/>
        </w:rPr>
        <w:footnoteRef/>
      </w:r>
      <w:r>
        <w:rPr>
          <w:rtl/>
        </w:rPr>
        <w:t>ואחיו של ר"ג קידש בביאה. וק"ק דמדרבנן אסור לקדש בביאה, דהוה פריצות [כדאי' לקמן נב.].</w:t>
      </w:r>
    </w:p>
  </w:footnote>
  <w:footnote w:id="882">
    <w:p w14:paraId="0ED69B4C" w14:textId="77777777" w:rsidR="00BE1D1C" w:rsidRDefault="00000000" w:rsidP="00012502">
      <w:pPr>
        <w:pStyle w:val="Footnote"/>
        <w:bidi/>
      </w:pPr>
      <w:r>
        <w:rPr>
          <w:rStyle w:val="ac"/>
          <w:rtl/>
        </w:rPr>
        <w:footnoteRef/>
      </w:r>
      <w:r>
        <w:rPr>
          <w:rtl/>
        </w:rPr>
        <w:t>וה</w:t>
      </w:r>
      <w:r>
        <w:rPr>
          <w:b/>
          <w:bCs/>
          <w:rtl/>
        </w:rPr>
        <w:t>אחרונים</w:t>
      </w:r>
      <w:r>
        <w:rPr>
          <w:rtl/>
        </w:rPr>
        <w:t xml:space="preserve"> ביארו דילפי' דחלות הקידושין הוא שווה, וחלות זה ישנו בשליחות אף דהמעשה אין בו שליחות. אבל לראב"ד חזינן דבעי שקידושי ביאה יהא בשליחות. ויל"ד האם תליא במעשה, או דחלות קידושי ביאה נחשב חלות בפנ"ע.</w:t>
      </w:r>
    </w:p>
  </w:footnote>
  <w:footnote w:id="883">
    <w:p w14:paraId="5A107B97" w14:textId="77777777" w:rsidR="00BE1D1C" w:rsidRDefault="00000000" w:rsidP="00012502">
      <w:pPr>
        <w:pStyle w:val="Footnote"/>
        <w:bidi/>
      </w:pPr>
      <w:r>
        <w:rPr>
          <w:rStyle w:val="ac"/>
          <w:rtl/>
        </w:rPr>
        <w:footnoteRef/>
      </w:r>
      <w:r>
        <w:rPr>
          <w:rtl/>
        </w:rPr>
        <w:t>ולפרש"י ניחא, דאומדנא דאילונית עדיף מסברת בעילת זנות. אבל לדעת הראב"ד בביאה ל"מ תנאי כלל. וה</w:t>
      </w:r>
      <w:r>
        <w:rPr>
          <w:b/>
          <w:bCs/>
          <w:rtl/>
        </w:rPr>
        <w:t>אחרונים</w:t>
      </w:r>
      <w:r>
        <w:rPr>
          <w:rtl/>
        </w:rPr>
        <w:t xml:space="preserve"> ביארו דהכא ל"צ תנאי, אלא הגדר דאילונית אינה אשה [כלשון הגמ' כתובות קא:].</w:t>
      </w:r>
    </w:p>
  </w:footnote>
  <w:footnote w:id="884">
    <w:p w14:paraId="4562268C" w14:textId="77777777" w:rsidR="00BE1D1C" w:rsidRDefault="00000000" w:rsidP="00012502">
      <w:pPr>
        <w:pStyle w:val="Footnote"/>
        <w:bidi/>
      </w:pPr>
      <w:r>
        <w:rPr>
          <w:rStyle w:val="ac"/>
          <w:rtl/>
        </w:rPr>
        <w:footnoteRef/>
      </w:r>
      <w:r>
        <w:rPr>
          <w:rtl/>
        </w:rPr>
        <w:t>[והאריכו בזה האחרונים בכ"מ, ע' ר"ן נדרים ז., וסוגיא חולין קלד.].</w:t>
      </w:r>
    </w:p>
  </w:footnote>
  <w:footnote w:id="885">
    <w:p w14:paraId="616DA8C4" w14:textId="77777777" w:rsidR="00BE1D1C" w:rsidRDefault="00000000" w:rsidP="00012502">
      <w:pPr>
        <w:pStyle w:val="Footnote"/>
        <w:bidi/>
      </w:pPr>
      <w:r>
        <w:rPr>
          <w:rStyle w:val="ac"/>
          <w:rtl/>
        </w:rPr>
        <w:footnoteRef/>
      </w:r>
      <w:r>
        <w:rPr>
          <w:rtl/>
        </w:rPr>
        <w:t>שכן הדין להתחייב בחינוך בכל דבר דאפשר וראוי לכך. ורבנן סברי דא"א להפרישו מאמו, ואינו ראוי לחינוך סוכה.</w:t>
      </w:r>
    </w:p>
  </w:footnote>
  <w:footnote w:id="886">
    <w:p w14:paraId="46F05439" w14:textId="77777777" w:rsidR="00BE1D1C" w:rsidRDefault="00000000" w:rsidP="00012502">
      <w:pPr>
        <w:pStyle w:val="Footnote"/>
        <w:bidi/>
      </w:pPr>
      <w:r>
        <w:rPr>
          <w:rStyle w:val="ac"/>
          <w:rtl/>
        </w:rPr>
        <w:footnoteRef/>
      </w:r>
      <w:r>
        <w:rPr>
          <w:rtl/>
        </w:rPr>
        <w:t>מבואר דבן כלתו נחשב ששמאי עושה בעצמו [דהוה חיוב על בנו], ולא הוראה לאחרים [שתלה הטעם משום פהרסיא].</w:t>
      </w:r>
    </w:p>
  </w:footnote>
  <w:footnote w:id="887">
    <w:p w14:paraId="0CDBF390" w14:textId="77777777" w:rsidR="00BE1D1C" w:rsidRDefault="00000000" w:rsidP="00012502">
      <w:pPr>
        <w:pStyle w:val="Footnote"/>
        <w:bidi/>
      </w:pPr>
      <w:r>
        <w:rPr>
          <w:rStyle w:val="ac"/>
          <w:rtl/>
        </w:rPr>
        <w:footnoteRef/>
      </w:r>
      <w:r>
        <w:rPr>
          <w:rtl/>
        </w:rPr>
        <w:t>וכתב דהא דאיתא כל הטהרות נעשו ע"ג, לאו דוקא. א"נ בזמן אחר. וה</w:t>
      </w:r>
      <w:r>
        <w:rPr>
          <w:b/>
          <w:bCs/>
          <w:rtl/>
        </w:rPr>
        <w:t>חת"ס</w:t>
      </w:r>
      <w:r>
        <w:rPr>
          <w:rtl/>
        </w:rPr>
        <w:t xml:space="preserve"> (יו"ד רטו) כת' די"ל דנח' התנאים בתראי איך היה מעשה בשוקת יהוא בירושלים. [ונח' ר"א ורבנן בקסטלין, והק' ממעשה שהיה בימי בית שמאי ובית הלל, ולא היו יכולים לחלוק ולהכחיש מעשה מפורסם שהיה משנים קדמוניות בירושלים. אלא דנח' מה היה המעשה].</w:t>
      </w:r>
    </w:p>
  </w:footnote>
  <w:footnote w:id="888">
    <w:p w14:paraId="6D1BA185" w14:textId="77777777" w:rsidR="00BE1D1C" w:rsidRDefault="00000000" w:rsidP="00012502">
      <w:pPr>
        <w:pStyle w:val="Footnote"/>
        <w:bidi/>
      </w:pPr>
      <w:r>
        <w:rPr>
          <w:rStyle w:val="ac"/>
          <w:rtl/>
        </w:rPr>
        <w:footnoteRef/>
      </w:r>
      <w:r>
        <w:rPr>
          <w:rtl/>
        </w:rPr>
        <w:t>ויסוד לזה מדברי ה</w:t>
      </w:r>
      <w:r>
        <w:rPr>
          <w:b/>
          <w:bCs/>
          <w:rtl/>
        </w:rPr>
        <w:t>גר"ח</w:t>
      </w:r>
      <w:r>
        <w:rPr>
          <w:rtl/>
        </w:rPr>
        <w:t xml:space="preserve"> (מקואות ו) דעירוב מקואות ע"י שפופרת הנוד, ע"י עירוב המים חשיבי מונחים במקוה ואינם בכלי כלל.</w:t>
      </w:r>
    </w:p>
  </w:footnote>
  <w:footnote w:id="889">
    <w:p w14:paraId="58104CB9" w14:textId="77777777" w:rsidR="00BE1D1C" w:rsidRDefault="00000000" w:rsidP="00012502">
      <w:pPr>
        <w:pStyle w:val="Footnote"/>
        <w:bidi/>
      </w:pPr>
      <w:r>
        <w:rPr>
          <w:rStyle w:val="ac"/>
          <w:rtl/>
        </w:rPr>
        <w:footnoteRef/>
      </w:r>
      <w:r>
        <w:rPr>
          <w:rtl/>
        </w:rPr>
        <w:t>ובעינן רומו כקליפת השום, ויל"ד אי קליפת השום הוה טפי מטופח להטפיח. ומדברי הר"ש (שם) משמע דהוה שיעור במים.</w:t>
      </w:r>
    </w:p>
  </w:footnote>
  <w:footnote w:id="890">
    <w:p w14:paraId="045C3425" w14:textId="77777777" w:rsidR="00BE1D1C" w:rsidRDefault="00000000" w:rsidP="00012502">
      <w:pPr>
        <w:pStyle w:val="Footnote"/>
        <w:bidi/>
      </w:pPr>
      <w:r>
        <w:rPr>
          <w:rStyle w:val="ac"/>
          <w:rtl/>
        </w:rPr>
        <w:footnoteRef/>
      </w:r>
      <w:r>
        <w:rPr>
          <w:rtl/>
        </w:rPr>
        <w:t xml:space="preserve">ויל"ד האם כוונתו דכל הכלי נטמא, או רק גב הכלי נטמא [והחשש שהזיתים יגעו בתוך הכלי], וכמו משקין שמטמאים אחורי כלים [ע' בכורות לח.]. וע"ע </w:t>
      </w:r>
      <w:r>
        <w:rPr>
          <w:b/>
          <w:bCs/>
          <w:rtl/>
        </w:rPr>
        <w:t>ערול"נ.</w:t>
      </w:r>
    </w:p>
  </w:footnote>
  <w:footnote w:id="891">
    <w:p w14:paraId="6049283C" w14:textId="77777777" w:rsidR="00BE1D1C" w:rsidRDefault="00000000" w:rsidP="00012502">
      <w:pPr>
        <w:pStyle w:val="Footnote"/>
        <w:bidi/>
      </w:pPr>
      <w:r>
        <w:rPr>
          <w:rStyle w:val="ac"/>
          <w:rtl/>
        </w:rPr>
        <w:footnoteRef/>
      </w:r>
      <w:r>
        <w:rPr>
          <w:rtl/>
        </w:rPr>
        <w:t>[וכ"מ לתוס']. וצ"ב דעדיין לא הוכשרו, אלא בחבית שאינה נקובה.</w:t>
      </w:r>
    </w:p>
  </w:footnote>
  <w:footnote w:id="892">
    <w:p w14:paraId="719979DC" w14:textId="77777777" w:rsidR="00BE1D1C" w:rsidRDefault="00000000" w:rsidP="00012502">
      <w:pPr>
        <w:pStyle w:val="Footnote"/>
        <w:bidi/>
      </w:pPr>
      <w:r>
        <w:rPr>
          <w:rStyle w:val="ac"/>
          <w:rtl/>
        </w:rPr>
        <w:footnoteRef/>
      </w:r>
      <w:r>
        <w:rPr>
          <w:rtl/>
        </w:rPr>
        <w:t xml:space="preserve">ודלא כמ"ש </w:t>
      </w:r>
      <w:r>
        <w:rPr>
          <w:b/>
          <w:bCs/>
          <w:rtl/>
        </w:rPr>
        <w:t>תוס</w:t>
      </w:r>
      <w:r>
        <w:rPr>
          <w:rtl/>
        </w:rPr>
        <w:t>' (גיטין סא: נדה לג: ועוד) דע"ה אינו מטמא בהיסט.</w:t>
      </w:r>
    </w:p>
  </w:footnote>
  <w:footnote w:id="893">
    <w:p w14:paraId="27E4D4A0" w14:textId="77777777" w:rsidR="00BE1D1C" w:rsidRDefault="00000000" w:rsidP="00012502">
      <w:pPr>
        <w:pStyle w:val="Footnote"/>
        <w:bidi/>
      </w:pPr>
      <w:r>
        <w:rPr>
          <w:rStyle w:val="ac"/>
          <w:rtl/>
        </w:rPr>
        <w:footnoteRef/>
      </w:r>
      <w:r>
        <w:rPr>
          <w:rtl/>
        </w:rPr>
        <w:t>וע"ד פרש"י, אלא דבתוס' משמע דאי חזר ונסתם סתימת מעלייתא ממש מהני. וצ"ע.</w:t>
      </w:r>
    </w:p>
  </w:footnote>
  <w:footnote w:id="894">
    <w:p w14:paraId="10BDC097" w14:textId="77777777" w:rsidR="00BE1D1C" w:rsidRDefault="00000000" w:rsidP="00012502">
      <w:pPr>
        <w:pStyle w:val="Footnote"/>
        <w:bidi/>
      </w:pPr>
      <w:r>
        <w:rPr>
          <w:rStyle w:val="ac"/>
          <w:rtl/>
        </w:rPr>
        <w:footnoteRef/>
      </w:r>
      <w:r>
        <w:rPr>
          <w:rtl/>
        </w:rPr>
        <w:t>ותוס' הביאו דיש ג' אופני מוהל [מוחל]. ובפשוטו משמע דבי"ש ס"ל דמוהל דסוגיין [ששהה בחבית] אינו מכשיר. וע"ע חזו"א (קלד).</w:t>
      </w:r>
    </w:p>
  </w:footnote>
  <w:footnote w:id="895">
    <w:p w14:paraId="5A9218C0" w14:textId="77777777" w:rsidR="00BE1D1C" w:rsidRDefault="00000000" w:rsidP="00012502">
      <w:pPr>
        <w:pStyle w:val="Footnote"/>
        <w:bidi/>
      </w:pPr>
      <w:r>
        <w:rPr>
          <w:rStyle w:val="ac"/>
          <w:rtl/>
        </w:rPr>
        <w:footnoteRef/>
      </w:r>
      <w:r>
        <w:rPr>
          <w:rtl/>
        </w:rPr>
        <w:t>וה</w:t>
      </w:r>
      <w:r>
        <w:rPr>
          <w:b/>
          <w:bCs/>
          <w:rtl/>
        </w:rPr>
        <w:t>תוס' הרא"ש</w:t>
      </w:r>
      <w:r>
        <w:rPr>
          <w:rtl/>
        </w:rPr>
        <w:t xml:space="preserve"> הוסיף דאפי' הלל הזקן שהביא עולתו לעזרה חברו עליו תלמידי בי"ש. וכ"ש דלא היו מניחין אותם להעמיד כ"ג דלא כוותייהו.</w:t>
      </w:r>
    </w:p>
  </w:footnote>
  <w:footnote w:id="896">
    <w:p w14:paraId="31CC6AEC" w14:textId="77777777" w:rsidR="00BE1D1C" w:rsidRDefault="00000000" w:rsidP="00012502">
      <w:pPr>
        <w:pStyle w:val="Footnote"/>
        <w:bidi/>
      </w:pPr>
      <w:r>
        <w:rPr>
          <w:rStyle w:val="ac"/>
          <w:rtl/>
        </w:rPr>
        <w:footnoteRef/>
      </w:r>
      <w:r>
        <w:rPr>
          <w:rtl/>
        </w:rPr>
        <w:t>ורש"י דרש לא יחלל בעל בעמיו, בעמיו היינו אשתו.</w:t>
      </w:r>
    </w:p>
  </w:footnote>
  <w:footnote w:id="897">
    <w:p w14:paraId="0A2EAC2A" w14:textId="77777777" w:rsidR="00BE1D1C" w:rsidRDefault="00000000" w:rsidP="00012502">
      <w:pPr>
        <w:pStyle w:val="Footnote"/>
        <w:bidi/>
      </w:pPr>
      <w:r>
        <w:rPr>
          <w:rStyle w:val="ac"/>
          <w:rtl/>
        </w:rPr>
        <w:footnoteRef/>
      </w:r>
      <w:r>
        <w:rPr>
          <w:rtl/>
        </w:rPr>
        <w:t>דכבר היתה גרושה ובלאו הכי אסורה לכהונה.</w:t>
      </w:r>
    </w:p>
    <w:p w14:paraId="3B8F8539" w14:textId="77777777" w:rsidR="00BE1D1C" w:rsidRDefault="00000000" w:rsidP="00012502">
      <w:pPr>
        <w:pStyle w:val="Footnote"/>
        <w:bidi/>
      </w:pPr>
      <w:r>
        <w:rPr>
          <w:rtl/>
        </w:rPr>
        <w:tab/>
        <w:t>אך טעם זה צ"ב דנפק"מ אי חייב ב', דחל שם זונה על שם גרושה (ע' קידושין עז:), וכ"כ ה</w:t>
      </w:r>
      <w:r>
        <w:rPr>
          <w:b/>
          <w:bCs/>
          <w:rtl/>
        </w:rPr>
        <w:t>גר"א</w:t>
      </w:r>
      <w:r>
        <w:rPr>
          <w:rtl/>
        </w:rPr>
        <w:t xml:space="preserve"> (ז נד). אבל </w:t>
      </w:r>
      <w:r>
        <w:rPr>
          <w:b/>
          <w:bCs/>
          <w:rtl/>
        </w:rPr>
        <w:t>ה"ה</w:t>
      </w:r>
      <w:r>
        <w:rPr>
          <w:rtl/>
        </w:rPr>
        <w:t xml:space="preserve"> (יח א) כת' [דאף לדעת הרמב"ם] דאינו נעשית זונה.</w:t>
      </w:r>
    </w:p>
  </w:footnote>
  <w:footnote w:id="898">
    <w:p w14:paraId="0BF6BDDE" w14:textId="77777777" w:rsidR="00BE1D1C" w:rsidRDefault="00000000" w:rsidP="00012502">
      <w:pPr>
        <w:pStyle w:val="Footnote"/>
        <w:bidi/>
      </w:pPr>
      <w:r>
        <w:rPr>
          <w:rStyle w:val="ac"/>
          <w:rtl/>
        </w:rPr>
        <w:footnoteRef/>
      </w:r>
      <w:r>
        <w:rPr>
          <w:rtl/>
        </w:rPr>
        <w:t xml:space="preserve">וכ"ד </w:t>
      </w:r>
      <w:r>
        <w:rPr>
          <w:b/>
          <w:bCs/>
          <w:rtl/>
        </w:rPr>
        <w:t>רש"י</w:t>
      </w:r>
      <w:r>
        <w:rPr>
          <w:rtl/>
        </w:rPr>
        <w:t xml:space="preserve"> (לקמן סא. ד"ה שנבעלה) דכל נבעלה לפסול לה הוה זונה. ותוס' תמהו דמחייבי לאוין לא הוה זונה, אלא מחייבי כריתות.</w:t>
      </w:r>
    </w:p>
  </w:footnote>
  <w:footnote w:id="899">
    <w:p w14:paraId="13DE9F2E" w14:textId="77777777" w:rsidR="00BE1D1C" w:rsidRDefault="00000000" w:rsidP="00012502">
      <w:pPr>
        <w:pStyle w:val="Footnote"/>
        <w:bidi/>
      </w:pPr>
      <w:r>
        <w:rPr>
          <w:rStyle w:val="ac"/>
          <w:rtl/>
        </w:rPr>
        <w:footnoteRef/>
      </w:r>
      <w:r>
        <w:rPr>
          <w:rtl/>
        </w:rPr>
        <w:t>שהרי היתה מותרת לכהן [ליבמה כהן, או אם ימות היבם. ואם חלצה מותרת לכהן מדאורייתא].</w:t>
      </w:r>
    </w:p>
  </w:footnote>
  <w:footnote w:id="900">
    <w:p w14:paraId="5E8D5DA8" w14:textId="77777777" w:rsidR="00BE1D1C" w:rsidRDefault="00000000" w:rsidP="00012502">
      <w:pPr>
        <w:pStyle w:val="Footnote"/>
        <w:bidi/>
      </w:pPr>
      <w:r>
        <w:rPr>
          <w:rStyle w:val="ac"/>
          <w:rtl/>
        </w:rPr>
        <w:footnoteRef/>
      </w:r>
      <w:r>
        <w:rPr>
          <w:rtl/>
        </w:rPr>
        <w:t>ד</w:t>
      </w:r>
      <w:r>
        <w:rPr>
          <w:b/>
          <w:bCs/>
          <w:rtl/>
        </w:rPr>
        <w:t>רש"י</w:t>
      </w:r>
      <w:r>
        <w:rPr>
          <w:rtl/>
        </w:rPr>
        <w:t xml:space="preserve"> (פא.) כת' דלרב המנונא נעשית זונה.</w:t>
      </w:r>
    </w:p>
  </w:footnote>
  <w:footnote w:id="901">
    <w:p w14:paraId="704EEDD7" w14:textId="77777777" w:rsidR="00BE1D1C" w:rsidRDefault="00000000" w:rsidP="00012502">
      <w:pPr>
        <w:pStyle w:val="Footnote"/>
        <w:bidi/>
      </w:pPr>
      <w:r>
        <w:rPr>
          <w:rStyle w:val="ac"/>
          <w:rtl/>
        </w:rPr>
        <w:footnoteRef/>
      </w:r>
      <w:r>
        <w:rPr>
          <w:rtl/>
        </w:rPr>
        <w:t>ולפ"ז לרב המנונא הולד מיבמה מתחלל, מ"מ פשטינ' מר' יהושע לענין מחזיר גרושתו [ודלא כ</w:t>
      </w:r>
      <w:r>
        <w:rPr>
          <w:b/>
          <w:bCs/>
          <w:rtl/>
        </w:rPr>
        <w:t>תוס</w:t>
      </w:r>
      <w:r>
        <w:rPr>
          <w:rtl/>
        </w:rPr>
        <w:t>' (ד"ה למאי) דילפי' ליבמה גמורה]. אבל ה</w:t>
      </w:r>
      <w:r>
        <w:rPr>
          <w:b/>
          <w:bCs/>
          <w:rtl/>
        </w:rPr>
        <w:t>חזו"א</w:t>
      </w:r>
      <w:r>
        <w:rPr>
          <w:rtl/>
        </w:rPr>
        <w:t xml:space="preserve"> כת' דכוונת תוס' דסוגיין דלא כרב המנונא. ותוס' באו ליישב שהברייתא דר' יהושע לא יסתור את דברי רב המנונא.</w:t>
      </w:r>
    </w:p>
  </w:footnote>
  <w:footnote w:id="902">
    <w:p w14:paraId="1F073BF5" w14:textId="77777777" w:rsidR="00BE1D1C" w:rsidRDefault="00000000" w:rsidP="00012502">
      <w:pPr>
        <w:pStyle w:val="Footnote"/>
        <w:bidi/>
      </w:pPr>
      <w:r>
        <w:rPr>
          <w:rStyle w:val="ac"/>
          <w:rtl/>
        </w:rPr>
        <w:footnoteRef/>
      </w:r>
      <w:r>
        <w:rPr>
          <w:rtl/>
        </w:rPr>
        <w:t>וה</w:t>
      </w:r>
      <w:r>
        <w:rPr>
          <w:b/>
          <w:bCs/>
          <w:rtl/>
        </w:rPr>
        <w:t>שעה"מ</w:t>
      </w:r>
      <w:r>
        <w:rPr>
          <w:rtl/>
        </w:rPr>
        <w:t xml:space="preserve"> (שם) וה</w:t>
      </w:r>
      <w:r>
        <w:rPr>
          <w:b/>
          <w:bCs/>
          <w:rtl/>
        </w:rPr>
        <w:t>אבנ"מ</w:t>
      </w:r>
      <w:r>
        <w:rPr>
          <w:rtl/>
        </w:rPr>
        <w:t xml:space="preserve"> (ו ד) נקטו דדעת הרמב"ם דלא בעינן זר אצלה מעיקרא. וע"ד דברי הרשב"א (לקמן סח.). ועד"ז ה</w:t>
      </w:r>
      <w:r>
        <w:rPr>
          <w:b/>
          <w:bCs/>
          <w:rtl/>
        </w:rPr>
        <w:t>גר"א</w:t>
      </w:r>
      <w:r>
        <w:rPr>
          <w:rtl/>
        </w:rPr>
        <w:t xml:space="preserve"> (ו כג). אבל </w:t>
      </w:r>
      <w:r>
        <w:rPr>
          <w:b/>
          <w:bCs/>
          <w:rtl/>
        </w:rPr>
        <w:t>ה"ה</w:t>
      </w:r>
      <w:r>
        <w:rPr>
          <w:rtl/>
        </w:rPr>
        <w:t xml:space="preserve"> (שם ג) נקט דדעת הרמב"ם דדוקא זר אצלה מעיקרא, ומחזיר גרושתו אינו פוסל בביאתו. [ואפ"ה הרמב"ם לא הוציאו, דבלאו הכי הוה גרושה ואסורה לכהונה].</w:t>
      </w:r>
    </w:p>
    <w:p w14:paraId="7393DA60" w14:textId="77777777" w:rsidR="00BE1D1C" w:rsidRDefault="00000000" w:rsidP="00012502">
      <w:pPr>
        <w:pStyle w:val="Footnote"/>
        <w:bidi/>
      </w:pPr>
      <w:r>
        <w:rPr>
          <w:rtl/>
        </w:rPr>
        <w:tab/>
        <w:t>ודעת ה</w:t>
      </w:r>
      <w:r>
        <w:rPr>
          <w:b/>
          <w:bCs/>
          <w:rtl/>
        </w:rPr>
        <w:t>יראים</w:t>
      </w:r>
      <w:r>
        <w:rPr>
          <w:rtl/>
        </w:rPr>
        <w:t xml:space="preserve"> (מה, הו' באבנ"מ שם) דתלי האם איסור זה יכול להיות זר מעיקרא, ומחזיר גרושתו ע"כ היתה מותרת מעיקרא. אבל כל שאר האיסורין יכולים להיות קודם שהגיע לבת ג', ואף פצוע דכא יכול להיות שנפצע קודם. וה</w:t>
      </w:r>
      <w:r>
        <w:rPr>
          <w:b/>
          <w:bCs/>
          <w:rtl/>
        </w:rPr>
        <w:t>אבנ"מ</w:t>
      </w:r>
      <w:r>
        <w:rPr>
          <w:rtl/>
        </w:rPr>
        <w:t xml:space="preserve"> (שם, ומנח"ח רסו כא) כת' ליישב עד"ז דאף יבמה לשוק נחשב איסור דיכול להיות זר אצלה מעיקרא, דמשכח"ל דקידשה אביה פחות מבת ג'.</w:t>
      </w:r>
    </w:p>
  </w:footnote>
  <w:footnote w:id="903">
    <w:p w14:paraId="0A2D93CF" w14:textId="77777777" w:rsidR="00BE1D1C" w:rsidRDefault="00000000" w:rsidP="00012502">
      <w:pPr>
        <w:pStyle w:val="Footnote"/>
        <w:bidi/>
      </w:pPr>
      <w:r>
        <w:rPr>
          <w:rStyle w:val="ac"/>
          <w:rtl/>
        </w:rPr>
        <w:footnoteRef/>
      </w:r>
      <w:r>
        <w:rPr>
          <w:rtl/>
        </w:rPr>
        <w:t xml:space="preserve">ועד"ז כת' </w:t>
      </w:r>
      <w:r>
        <w:rPr>
          <w:b/>
          <w:bCs/>
          <w:rtl/>
        </w:rPr>
        <w:t>ה"ה</w:t>
      </w:r>
      <w:r>
        <w:rPr>
          <w:rtl/>
        </w:rPr>
        <w:t xml:space="preserve"> בדעת הרמב"ם דבעלמא דוקא לאו דזר אצלה מעיקרא פוסל, ושאני הכא דלא תפסי קידושין, וילפי' בק"ו.</w:t>
      </w:r>
    </w:p>
  </w:footnote>
  <w:footnote w:id="904">
    <w:p w14:paraId="118C144A" w14:textId="77777777" w:rsidR="00BE1D1C" w:rsidRDefault="00000000" w:rsidP="00012502">
      <w:pPr>
        <w:pStyle w:val="Footnote"/>
        <w:bidi/>
      </w:pPr>
      <w:r>
        <w:rPr>
          <w:rStyle w:val="ac"/>
          <w:rtl/>
        </w:rPr>
        <w:footnoteRef/>
      </w:r>
      <w:r>
        <w:rPr>
          <w:rtl/>
        </w:rPr>
        <w:t>[וה</w:t>
      </w:r>
      <w:r>
        <w:rPr>
          <w:b/>
          <w:bCs/>
          <w:rtl/>
        </w:rPr>
        <w:t>פוסקים</w:t>
      </w:r>
      <w:r>
        <w:rPr>
          <w:rtl/>
        </w:rPr>
        <w:t xml:space="preserve"> שם תמהו דקי"ל דצריכה גט]. וה</w:t>
      </w:r>
      <w:r>
        <w:rPr>
          <w:b/>
          <w:bCs/>
          <w:rtl/>
        </w:rPr>
        <w:t>אחרונים</w:t>
      </w:r>
      <w:r>
        <w:rPr>
          <w:rtl/>
        </w:rPr>
        <w:t xml:space="preserve"> תי' דלדעת הטור י"ל דסוגיין קאי למ"ד דתפסי קידושין.</w:t>
      </w:r>
    </w:p>
  </w:footnote>
  <w:footnote w:id="905">
    <w:p w14:paraId="45F3152D" w14:textId="77777777" w:rsidR="00BE1D1C" w:rsidRDefault="00000000" w:rsidP="00012502">
      <w:pPr>
        <w:pStyle w:val="Footnote"/>
        <w:bidi/>
      </w:pPr>
      <w:r>
        <w:rPr>
          <w:rStyle w:val="ac"/>
          <w:rtl/>
        </w:rPr>
        <w:footnoteRef/>
      </w:r>
      <w:r>
        <w:rPr>
          <w:rtl/>
        </w:rPr>
        <w:t>ע"ד הא דאי' קידושין עח. דכהן שבא על אחותו, בביאה ראשונה עשאה זונה אבל לא חללה. דאין חללות אלא מאיסורי כהונה. ובביאה שניה הוה חללה, משום איסור זונה. [אלא דבסוגיא שם קאי כלפי איסור חללות של האשה. והרמב"ם הביאו כלפי חללות הולד].</w:t>
      </w:r>
    </w:p>
  </w:footnote>
  <w:footnote w:id="906">
    <w:p w14:paraId="19804554" w14:textId="77777777" w:rsidR="00BE1D1C" w:rsidRDefault="00000000" w:rsidP="00012502">
      <w:pPr>
        <w:pStyle w:val="Footnote"/>
        <w:bidi/>
      </w:pPr>
      <w:r>
        <w:rPr>
          <w:rStyle w:val="ac"/>
          <w:rtl/>
        </w:rPr>
        <w:footnoteRef/>
      </w:r>
      <w:r>
        <w:rPr>
          <w:rtl/>
        </w:rPr>
        <w:t>וע"ע תוס' (לקמן מד:). וה</w:t>
      </w:r>
      <w:r>
        <w:rPr>
          <w:b/>
          <w:bCs/>
          <w:rtl/>
        </w:rPr>
        <w:t>אחרונים</w:t>
      </w:r>
      <w:r>
        <w:rPr>
          <w:rtl/>
        </w:rPr>
        <w:t xml:space="preserve"> הק' דה</w:t>
      </w:r>
      <w:r>
        <w:rPr>
          <w:b/>
          <w:bCs/>
          <w:rtl/>
        </w:rPr>
        <w:t>רמב"ם</w:t>
      </w:r>
      <w:r>
        <w:rPr>
          <w:rtl/>
        </w:rPr>
        <w:t xml:space="preserve"> (תרומות ו ז) כת' דזונה או חללה לא אכלה בתרומה, כדין כל חלל. שהחלל כזר לכל דבר. ומבואר ד'שם' זונה פוסל אף לתרומה. א"כ מ"ש יבמה לשוק ומחזיר גרושתו דלא נתחללה לתרומה [ולענין שהבן מביאה ראשונה יהא חלל].</w:t>
      </w:r>
    </w:p>
  </w:footnote>
  <w:footnote w:id="907">
    <w:p w14:paraId="68F06328" w14:textId="77777777" w:rsidR="00BE1D1C" w:rsidRDefault="00000000" w:rsidP="00012502">
      <w:pPr>
        <w:pStyle w:val="Footnote"/>
        <w:bidi/>
      </w:pPr>
      <w:r>
        <w:rPr>
          <w:rStyle w:val="ac"/>
          <w:rtl/>
        </w:rPr>
        <w:footnoteRef/>
      </w:r>
      <w:r>
        <w:rPr>
          <w:rtl/>
        </w:rPr>
        <w:t>וה</w:t>
      </w:r>
      <w:r>
        <w:rPr>
          <w:b/>
          <w:bCs/>
          <w:rtl/>
        </w:rPr>
        <w:t>גר"א</w:t>
      </w:r>
      <w:r>
        <w:rPr>
          <w:rtl/>
        </w:rPr>
        <w:t xml:space="preserve"> (ו כג) העלה צד דגלי קרא היא תועבה ואין בניה תועבה שלא ללמוד ק"ו. ועוד כתב הגר"א דהרמב"ם פסק כר"י ב"נ דל"ל ק"ו.</w:t>
      </w:r>
    </w:p>
  </w:footnote>
  <w:footnote w:id="908">
    <w:p w14:paraId="6918E5D9" w14:textId="77777777" w:rsidR="00BE1D1C" w:rsidRDefault="00000000" w:rsidP="00012502">
      <w:pPr>
        <w:pStyle w:val="Footnote"/>
        <w:bidi/>
      </w:pPr>
      <w:r>
        <w:rPr>
          <w:rStyle w:val="ac"/>
          <w:rtl/>
        </w:rPr>
        <w:footnoteRef/>
      </w:r>
      <w:r>
        <w:rPr>
          <w:rtl/>
        </w:rPr>
        <w:t>וכתב דיל"פ דנשאת לישראל, ובני בנותיה שמשו ע"ג מזבח. [דאי הוה פגום, אף הבת פסולה לכהונה].</w:t>
      </w:r>
    </w:p>
  </w:footnote>
  <w:footnote w:id="909">
    <w:p w14:paraId="7B369A62" w14:textId="77777777" w:rsidR="00BE1D1C" w:rsidRDefault="00000000" w:rsidP="00012502">
      <w:pPr>
        <w:pStyle w:val="Footnote"/>
        <w:bidi/>
      </w:pPr>
      <w:r>
        <w:rPr>
          <w:rStyle w:val="ac"/>
          <w:rtl/>
        </w:rPr>
        <w:footnoteRef/>
      </w:r>
      <w:r>
        <w:rPr>
          <w:rtl/>
        </w:rPr>
        <w:t>וכתב דדוחק להעמיד שידעו דנולדו מביאה ראשונה.</w:t>
      </w:r>
    </w:p>
  </w:footnote>
  <w:footnote w:id="910">
    <w:p w14:paraId="78CD98A9" w14:textId="77777777" w:rsidR="00BE1D1C" w:rsidRDefault="00000000" w:rsidP="00012502">
      <w:pPr>
        <w:pStyle w:val="Footnote"/>
        <w:bidi/>
      </w:pPr>
      <w:r>
        <w:rPr>
          <w:rStyle w:val="ac"/>
          <w:rtl/>
        </w:rPr>
        <w:footnoteRef/>
      </w:r>
      <w:r>
        <w:rPr>
          <w:rtl/>
        </w:rPr>
        <w:t>דנפסלת בביאת מי שזר אצלה מעיקרא.</w:t>
      </w:r>
    </w:p>
  </w:footnote>
  <w:footnote w:id="911">
    <w:p w14:paraId="02667D5D" w14:textId="77777777" w:rsidR="00BE1D1C" w:rsidRDefault="00000000" w:rsidP="00012502">
      <w:pPr>
        <w:pStyle w:val="Footnote"/>
        <w:bidi/>
      </w:pPr>
      <w:r>
        <w:rPr>
          <w:rStyle w:val="ac"/>
          <w:rtl/>
        </w:rPr>
        <w:footnoteRef/>
      </w:r>
      <w:r>
        <w:rPr>
          <w:rtl/>
        </w:rPr>
        <w:t>דבגמ' (סח:) אי' דהך ק"ו הוה גילוי מילתא. ובפשוטו (ע' רש"י שם, ותוס' לקמן לה.) משמע דילפי' מ'לא תאכל' אף איסורי ביאה. [וכ"ד רש"י לקמן ע. דפצוע דכא הבא על אשה עשאה חללה. והרשב"א שם תמה בזה]. ואילו תוס' דידן משמע דגלי דהוה חללה. ודעת ה</w:t>
      </w:r>
      <w:r>
        <w:rPr>
          <w:b/>
          <w:bCs/>
          <w:rtl/>
        </w:rPr>
        <w:t>רמב"ם</w:t>
      </w:r>
      <w:r>
        <w:rPr>
          <w:rtl/>
        </w:rPr>
        <w:t xml:space="preserve"> (איסו"ב יח א) דגלי קרא דהוה זונה.</w:t>
      </w:r>
    </w:p>
  </w:footnote>
  <w:footnote w:id="912">
    <w:p w14:paraId="30E416E7" w14:textId="77777777" w:rsidR="00BE1D1C" w:rsidRDefault="00000000" w:rsidP="00012502">
      <w:pPr>
        <w:pStyle w:val="Footnote"/>
        <w:bidi/>
      </w:pPr>
      <w:r>
        <w:rPr>
          <w:rStyle w:val="ac"/>
          <w:rtl/>
        </w:rPr>
        <w:footnoteRef/>
      </w:r>
      <w:r>
        <w:rPr>
          <w:rtl/>
        </w:rPr>
        <w:t>וה</w:t>
      </w:r>
      <w:r>
        <w:rPr>
          <w:b/>
          <w:bCs/>
          <w:rtl/>
        </w:rPr>
        <w:t>מהד"ב למהרש"א</w:t>
      </w:r>
      <w:r>
        <w:rPr>
          <w:rtl/>
        </w:rPr>
        <w:t xml:space="preserve"> הק' דבגמ' (קידושין עח.) מבואר דכהן שבא על אחותו, עושה אותה זונה ולא חללה. והא אף חייבי כריתות פוסלין אשה בביאתן [ולתוס' לקמן סח: ומד: ילפי' לה מ'איש זר'], א"כ יתחייב משום חללה. וה</w:t>
      </w:r>
      <w:r>
        <w:rPr>
          <w:b/>
          <w:bCs/>
          <w:rtl/>
        </w:rPr>
        <w:t>קובה"ע</w:t>
      </w:r>
      <w:r>
        <w:rPr>
          <w:rtl/>
        </w:rPr>
        <w:t xml:space="preserve"> (מד י) כת' דע"כ דתוס' דידן ס"ל דחייבי כריתות פוסל משום זונה, ולא משום איש זר או אלמנות וגירושין [וכי"מ ברש"י סח: וכ"ד רש"י לעיל יג:].</w:t>
      </w:r>
    </w:p>
  </w:footnote>
  <w:footnote w:id="913">
    <w:p w14:paraId="394F65A7" w14:textId="77777777" w:rsidR="00BE1D1C" w:rsidRDefault="00000000" w:rsidP="00012502">
      <w:pPr>
        <w:pStyle w:val="Footnote"/>
        <w:bidi/>
      </w:pPr>
      <w:r>
        <w:rPr>
          <w:rStyle w:val="ac"/>
          <w:rtl/>
        </w:rPr>
        <w:footnoteRef/>
      </w:r>
      <w:r>
        <w:rPr>
          <w:rtl/>
        </w:rPr>
        <w:t>וכן בגמ' (לעיל ח.) מבואר דדרשי' 'עליה' אף בנשא מת ומת [דס"ד דהואיל ואישתרי]. ולהך אוקימתא אף ערוה לאחר נפילה דהוה גדר פטור. ע"ע חי' הגר"נ.</w:t>
      </w:r>
    </w:p>
  </w:footnote>
  <w:footnote w:id="914">
    <w:p w14:paraId="35FB77F5" w14:textId="77777777" w:rsidR="00BE1D1C" w:rsidRDefault="00000000" w:rsidP="00012502">
      <w:pPr>
        <w:pStyle w:val="Footnote"/>
        <w:bidi/>
      </w:pPr>
      <w:r>
        <w:rPr>
          <w:rStyle w:val="ac"/>
          <w:rtl/>
        </w:rPr>
        <w:footnoteRef/>
      </w:r>
      <w:r>
        <w:rPr>
          <w:rtl/>
        </w:rPr>
        <w:t>[ויל"ד היכא דהאיסור אשת איש קדם, כגון קידש חוץ מפלוני. אלא דיש לחלק דהתם הוה לאחר נפילה].</w:t>
      </w:r>
    </w:p>
  </w:footnote>
  <w:footnote w:id="915">
    <w:p w14:paraId="0B35C601" w14:textId="77777777" w:rsidR="00BE1D1C" w:rsidRDefault="00000000" w:rsidP="00012502">
      <w:pPr>
        <w:pStyle w:val="Footnote"/>
        <w:bidi/>
      </w:pPr>
      <w:r>
        <w:rPr>
          <w:rStyle w:val="ac"/>
          <w:rtl/>
        </w:rPr>
        <w:footnoteRef/>
      </w:r>
      <w:r>
        <w:rPr>
          <w:rtl/>
        </w:rPr>
        <w:t>ול"ד לאחות אשה דהאיסור אוסרתו ומפקעת הזיקה, אבל אשת איש יסודו קנין, ולא אלים להפקיע [ואף שיש ג"כ איסור]. [וצ"ב דהא קנין היבם ל"מ למנוע קידושי השני [לשמואל]. וצ"ל דמ"מ לענין האיסור הסברא נותנת דלא יתכן שתחול קנין אחר כדי להפקיע זכותו של יבם. ואף שנעשית עי"ז ערוה. וצ"ב]. {ויש לציין בזה מש"כ הרמב"ן לקמן יח: דהמקדש אחות יבמתו אינו בדין שתוציא מקודשת למקודשת].</w:t>
      </w:r>
    </w:p>
  </w:footnote>
  <w:footnote w:id="916">
    <w:p w14:paraId="28F9B93B" w14:textId="77777777" w:rsidR="00BE1D1C" w:rsidRDefault="00000000" w:rsidP="00012502">
      <w:pPr>
        <w:pStyle w:val="Footnote"/>
        <w:bidi/>
      </w:pPr>
      <w:r>
        <w:rPr>
          <w:rStyle w:val="ac"/>
          <w:rtl/>
        </w:rPr>
        <w:footnoteRef/>
      </w:r>
      <w:r>
        <w:rPr>
          <w:rtl/>
        </w:rPr>
        <w:t>אבל רע"א לא הקשה כן, ומבואר דס"ל דהגזיה"כ מהני דקידושי אחר לא יפקיעו [וצ"ע].</w:t>
      </w:r>
    </w:p>
  </w:footnote>
  <w:footnote w:id="917">
    <w:p w14:paraId="0F43CE00" w14:textId="77777777" w:rsidR="00BE1D1C" w:rsidRDefault="00000000" w:rsidP="00012502">
      <w:pPr>
        <w:pStyle w:val="Footnote"/>
        <w:bidi/>
      </w:pPr>
      <w:r>
        <w:rPr>
          <w:rStyle w:val="ac"/>
          <w:rtl/>
        </w:rPr>
        <w:footnoteRef/>
      </w:r>
      <w:r>
        <w:rPr>
          <w:rtl/>
        </w:rPr>
        <w:t>[וכדאי' (פסחים נ.) כגון ר"ע וחביריו]. ור' דוסא לא ידע שר' אלעזר ב"ע בעולם, ואילו לר"ע אמר ששמו הולך מסוף העולם ועד סופו.</w:t>
      </w:r>
    </w:p>
  </w:footnote>
  <w:footnote w:id="918">
    <w:p w14:paraId="37428701" w14:textId="77777777" w:rsidR="00BE1D1C" w:rsidRDefault="00000000" w:rsidP="00012502">
      <w:pPr>
        <w:pStyle w:val="Footnote"/>
        <w:bidi/>
      </w:pPr>
      <w:r>
        <w:rPr>
          <w:rStyle w:val="ac"/>
          <w:rtl/>
        </w:rPr>
        <w:footnoteRef/>
      </w:r>
      <w:r>
        <w:rPr>
          <w:rtl/>
        </w:rPr>
        <w:t>והביאו כן מה</w:t>
      </w:r>
      <w:r>
        <w:rPr>
          <w:b/>
          <w:bCs/>
          <w:rtl/>
        </w:rPr>
        <w:t>ירושלמי</w:t>
      </w:r>
      <w:r>
        <w:rPr>
          <w:rtl/>
        </w:rPr>
        <w:t xml:space="preserve"> (הו' ביפ"ע) דר' דוסא ראה אף את עזרא הנביא.</w:t>
      </w:r>
    </w:p>
  </w:footnote>
  <w:footnote w:id="919">
    <w:p w14:paraId="0E420343" w14:textId="77777777" w:rsidR="00BE1D1C" w:rsidRDefault="00000000" w:rsidP="00012502">
      <w:pPr>
        <w:pStyle w:val="Footnote"/>
        <w:bidi/>
      </w:pPr>
      <w:r>
        <w:rPr>
          <w:rStyle w:val="ac"/>
          <w:rtl/>
        </w:rPr>
        <w:footnoteRef/>
      </w:r>
      <w:r>
        <w:rPr>
          <w:rtl/>
        </w:rPr>
        <w:t>אבל ה</w:t>
      </w:r>
      <w:r>
        <w:rPr>
          <w:b/>
          <w:bCs/>
          <w:rtl/>
        </w:rPr>
        <w:t xml:space="preserve">רשב"ץ </w:t>
      </w:r>
      <w:r>
        <w:rPr>
          <w:rtl/>
        </w:rPr>
        <w:t>(מגן אבות א א) כת' דחגי הנביא האריך ימים עד ימי התנאים. דהא ר' דוסא חי אחרי החורבן.</w:t>
      </w:r>
    </w:p>
  </w:footnote>
  <w:footnote w:id="920">
    <w:p w14:paraId="1583E946" w14:textId="77777777" w:rsidR="00BE1D1C" w:rsidRDefault="00000000" w:rsidP="00012502">
      <w:pPr>
        <w:pStyle w:val="Footnote"/>
        <w:bidi/>
      </w:pPr>
      <w:r>
        <w:rPr>
          <w:rStyle w:val="ac"/>
          <w:rtl/>
        </w:rPr>
        <w:footnoteRef/>
      </w:r>
      <w:r>
        <w:rPr>
          <w:rtl/>
        </w:rPr>
        <w:t>ובכור שטן וכו'. פ</w:t>
      </w:r>
      <w:r>
        <w:rPr>
          <w:b/>
          <w:bCs/>
          <w:rtl/>
        </w:rPr>
        <w:t>רש"י</w:t>
      </w:r>
      <w:r>
        <w:rPr>
          <w:rtl/>
        </w:rPr>
        <w:t xml:space="preserve"> חריף ועומד על השמועה. [משמע שהוא כינוי]. וה</w:t>
      </w:r>
      <w:r>
        <w:rPr>
          <w:b/>
          <w:bCs/>
          <w:rtl/>
        </w:rPr>
        <w:t>תוס' ישנים</w:t>
      </w:r>
      <w:r>
        <w:rPr>
          <w:rtl/>
        </w:rPr>
        <w:t xml:space="preserve"> הביא בשם </w:t>
      </w:r>
      <w:r>
        <w:rPr>
          <w:b/>
          <w:bCs/>
          <w:rtl/>
        </w:rPr>
        <w:t>רש"י</w:t>
      </w:r>
      <w:r>
        <w:rPr>
          <w:rtl/>
        </w:rPr>
        <w:t xml:space="preserve"> דכך שמו. ו</w:t>
      </w:r>
      <w:r>
        <w:rPr>
          <w:b/>
          <w:bCs/>
          <w:rtl/>
        </w:rPr>
        <w:t>י"מ</w:t>
      </w:r>
      <w:r>
        <w:rPr>
          <w:rtl/>
        </w:rPr>
        <w:t xml:space="preserve"> שזה שם עירו, ואמר דיש לי אח שיושב בעיר כור שטן. והביא דמצאנו מקום 'בור שטן'. [בב']. וה</w:t>
      </w:r>
      <w:r>
        <w:rPr>
          <w:b/>
          <w:bCs/>
          <w:rtl/>
        </w:rPr>
        <w:t>מהרצ"ח</w:t>
      </w:r>
      <w:r>
        <w:rPr>
          <w:rtl/>
        </w:rPr>
        <w:t xml:space="preserve"> הביא דגירסת העין יעקב 'בכור שנון'. והביא די"ג בחור שנון.</w:t>
      </w:r>
    </w:p>
  </w:footnote>
  <w:footnote w:id="921">
    <w:p w14:paraId="0098E44C" w14:textId="77777777" w:rsidR="00BE1D1C" w:rsidRDefault="00000000" w:rsidP="00012502">
      <w:pPr>
        <w:pStyle w:val="Footnote"/>
        <w:bidi/>
      </w:pPr>
      <w:r>
        <w:rPr>
          <w:rStyle w:val="ac"/>
          <w:rtl/>
        </w:rPr>
        <w:footnoteRef/>
      </w:r>
      <w:r>
        <w:rPr>
          <w:rtl/>
        </w:rPr>
        <w:t>ויל"ד דהיינו דוקא בתלמידיהם [וכמ"ש החזו"א, וע' בסמוך דברי הראשונים], או באותו חתיכה [וכמ"ש הריטב"א].</w:t>
      </w:r>
    </w:p>
  </w:footnote>
  <w:footnote w:id="922">
    <w:p w14:paraId="047ADE20" w14:textId="77777777" w:rsidR="00BE1D1C" w:rsidRDefault="00000000" w:rsidP="00012502">
      <w:pPr>
        <w:pStyle w:val="Footnote"/>
        <w:bidi/>
      </w:pPr>
      <w:r>
        <w:rPr>
          <w:rStyle w:val="ac"/>
          <w:rtl/>
        </w:rPr>
        <w:footnoteRef/>
      </w:r>
      <w:r>
        <w:rPr>
          <w:rtl/>
        </w:rPr>
        <w:t>[וסיום המשנה דכך קבלו מהלכה למשה מסיני, ועי"ש דדנו המפרשים האם הוא דוקא, שהרי הוה תקנ"ח. וע' בסמוך].</w:t>
      </w:r>
    </w:p>
  </w:footnote>
  <w:footnote w:id="923">
    <w:p w14:paraId="78A83309" w14:textId="77777777" w:rsidR="00BE1D1C" w:rsidRDefault="00000000" w:rsidP="00012502">
      <w:pPr>
        <w:pStyle w:val="Footnote"/>
        <w:bidi/>
      </w:pPr>
      <w:r>
        <w:rPr>
          <w:rStyle w:val="ac"/>
          <w:rtl/>
        </w:rPr>
        <w:footnoteRef/>
      </w:r>
      <w:r>
        <w:rPr>
          <w:rtl/>
        </w:rPr>
        <w:t>והביא דה</w:t>
      </w:r>
      <w:r>
        <w:rPr>
          <w:b/>
          <w:bCs/>
          <w:rtl/>
        </w:rPr>
        <w:t>רדב"ז</w:t>
      </w:r>
      <w:r>
        <w:rPr>
          <w:rtl/>
        </w:rPr>
        <w:t xml:space="preserve"> (ו ב' אלפים רכא) נסתפק דמדאורייתא נוהג רק מעשר ראשון בשנה זו, דלא נתחדש בזה מעשר שני או מעשר עני.</w:t>
      </w:r>
    </w:p>
  </w:footnote>
  <w:footnote w:id="924">
    <w:p w14:paraId="67BADB8F" w14:textId="77777777" w:rsidR="00BE1D1C" w:rsidRDefault="00000000" w:rsidP="00012502">
      <w:pPr>
        <w:pStyle w:val="Footnote"/>
        <w:bidi/>
      </w:pPr>
      <w:r>
        <w:rPr>
          <w:rStyle w:val="ac"/>
          <w:rtl/>
        </w:rPr>
        <w:footnoteRef/>
      </w:r>
      <w:r>
        <w:rPr>
          <w:rtl/>
        </w:rPr>
        <w:t>דלמ"ד קדושה ראשונה קידשה לשעתה, מגלות י' שבטים לא נהג מדאורייתא. ושוב לא נהג מדאוריי'. [ויל"ד דלפ"ז לא תלי בחורבן].</w:t>
      </w:r>
    </w:p>
  </w:footnote>
  <w:footnote w:id="925">
    <w:p w14:paraId="0685DE23" w14:textId="77777777" w:rsidR="00BE1D1C" w:rsidRDefault="00000000" w:rsidP="00012502">
      <w:pPr>
        <w:pStyle w:val="Footnote"/>
        <w:bidi/>
      </w:pPr>
      <w:r>
        <w:rPr>
          <w:rStyle w:val="ac"/>
          <w:rtl/>
        </w:rPr>
        <w:footnoteRef/>
      </w:r>
      <w:r>
        <w:rPr>
          <w:rtl/>
        </w:rPr>
        <w:t>[וה</w:t>
      </w:r>
      <w:r>
        <w:rPr>
          <w:b/>
          <w:bCs/>
          <w:rtl/>
        </w:rPr>
        <w:t>ראשונים</w:t>
      </w:r>
      <w:r>
        <w:rPr>
          <w:rtl/>
        </w:rPr>
        <w:t xml:space="preserve"> פי' דהיינו אחר הביעור, אבל דינם כפירות שביעית].</w:t>
      </w:r>
    </w:p>
  </w:footnote>
  <w:footnote w:id="926">
    <w:p w14:paraId="58A78861" w14:textId="77777777" w:rsidR="00BE1D1C" w:rsidRDefault="00000000" w:rsidP="00012502">
      <w:pPr>
        <w:pStyle w:val="Footnote"/>
        <w:bidi/>
      </w:pPr>
      <w:r>
        <w:rPr>
          <w:rStyle w:val="ac"/>
          <w:rtl/>
        </w:rPr>
        <w:footnoteRef/>
      </w:r>
      <w:r>
        <w:rPr>
          <w:rtl/>
        </w:rPr>
        <w:t>ואף הבעלים אינו עושה מעשה הפקר אלא מניח לדיני התורה. [והאריך ב' דיני הפקר בפירות שביעית].</w:t>
      </w:r>
    </w:p>
  </w:footnote>
  <w:footnote w:id="927">
    <w:p w14:paraId="2E27DCC3" w14:textId="77777777" w:rsidR="00BE1D1C" w:rsidRDefault="00000000" w:rsidP="00012502">
      <w:pPr>
        <w:pStyle w:val="Footnote"/>
        <w:bidi/>
      </w:pPr>
      <w:r>
        <w:rPr>
          <w:rStyle w:val="ac"/>
          <w:rtl/>
        </w:rPr>
        <w:footnoteRef/>
      </w:r>
      <w:r>
        <w:rPr>
          <w:rtl/>
        </w:rPr>
        <w:t>[וה"ה כשראוי להשרותו] והקילו בכתמי עכו"ם אפי' לחים [כ"כ בחי' ה</w:t>
      </w:r>
      <w:r>
        <w:rPr>
          <w:b/>
          <w:bCs/>
          <w:rtl/>
        </w:rPr>
        <w:t>הפלאה</w:t>
      </w:r>
      <w:r>
        <w:rPr>
          <w:rtl/>
        </w:rPr>
        <w:t xml:space="preserve"> שם].</w:t>
      </w:r>
    </w:p>
  </w:footnote>
  <w:footnote w:id="928">
    <w:p w14:paraId="4A4CF16B" w14:textId="77777777" w:rsidR="00BE1D1C" w:rsidRDefault="00000000" w:rsidP="00012502">
      <w:pPr>
        <w:pStyle w:val="Footnote"/>
        <w:bidi/>
      </w:pPr>
      <w:r>
        <w:rPr>
          <w:rStyle w:val="ac"/>
          <w:rtl/>
        </w:rPr>
        <w:footnoteRef/>
      </w:r>
      <w:r>
        <w:rPr>
          <w:rtl/>
        </w:rPr>
        <w:t>וה</w:t>
      </w:r>
      <w:r>
        <w:rPr>
          <w:b/>
          <w:bCs/>
          <w:rtl/>
        </w:rPr>
        <w:t>הפלאה</w:t>
      </w:r>
      <w:r>
        <w:rPr>
          <w:rtl/>
        </w:rPr>
        <w:t xml:space="preserve"> (ב"ק) ביאר כוונת רש"י דנתמעט (נדה נז:) בבשרה עד שתרגיש בבשרה. [וצ"ב מנ"ל דהוה שלא בהרגשה. עי"ש בדבריו]. ועוד יש שפירשו דכוונת רש"י דדרשי' שכל זמן שלא הרגישה לא תולים דהוה מגופה.</w:t>
      </w:r>
    </w:p>
  </w:footnote>
  <w:footnote w:id="929">
    <w:p w14:paraId="04D661C7" w14:textId="77777777" w:rsidR="00BE1D1C" w:rsidRDefault="00000000" w:rsidP="00012502">
      <w:pPr>
        <w:pStyle w:val="Footnote"/>
        <w:bidi/>
      </w:pPr>
      <w:r>
        <w:rPr>
          <w:rStyle w:val="ac"/>
          <w:rtl/>
        </w:rPr>
        <w:footnoteRef/>
      </w:r>
      <w:r>
        <w:rPr>
          <w:rtl/>
        </w:rPr>
        <w:t xml:space="preserve">[ומבואר מדברי רש"י (ע"פ דברי ההפלאה) דאף הדם של הכתם [בלא הרגשה] טהור. ויש </w:t>
      </w:r>
      <w:r>
        <w:rPr>
          <w:b/>
          <w:bCs/>
          <w:rtl/>
        </w:rPr>
        <w:t>אחרונים</w:t>
      </w:r>
      <w:r>
        <w:rPr>
          <w:rtl/>
        </w:rPr>
        <w:t xml:space="preserve"> שתלו במח' (נדה כא) אי מקור מקומו טמא. וקאי למ"ד מקומו טהור. אבל בשו"ת </w:t>
      </w:r>
      <w:r>
        <w:rPr>
          <w:b/>
          <w:bCs/>
          <w:rtl/>
        </w:rPr>
        <w:t>רע"א</w:t>
      </w:r>
      <w:r>
        <w:rPr>
          <w:rtl/>
        </w:rPr>
        <w:t xml:space="preserve"> (ק' סב) כת' דהדם עצמו טמא לכו"ע, והכא הנידון כלפי הדם].</w:t>
      </w:r>
    </w:p>
  </w:footnote>
  <w:footnote w:id="930">
    <w:p w14:paraId="2F71C2D8" w14:textId="77777777" w:rsidR="00BE1D1C" w:rsidRDefault="00000000" w:rsidP="00012502">
      <w:pPr>
        <w:pStyle w:val="Footnote"/>
        <w:bidi/>
      </w:pPr>
      <w:r>
        <w:rPr>
          <w:rStyle w:val="ac"/>
          <w:rtl/>
        </w:rPr>
        <w:footnoteRef/>
      </w:r>
      <w:r>
        <w:rPr>
          <w:rtl/>
        </w:rPr>
        <w:t>וה</w:t>
      </w:r>
      <w:r>
        <w:rPr>
          <w:b/>
          <w:bCs/>
          <w:rtl/>
        </w:rPr>
        <w:t>חזו"א</w:t>
      </w:r>
      <w:r>
        <w:rPr>
          <w:rtl/>
        </w:rPr>
        <w:t xml:space="preserve"> (ו ה) נדחק דכוונת התוס' לדייק מהמשנה שם דדוקא בא על 'עריות' הוה ממזר.</w:t>
      </w:r>
    </w:p>
  </w:footnote>
  <w:footnote w:id="931">
    <w:p w14:paraId="3A4CB11C" w14:textId="77777777" w:rsidR="00BE1D1C" w:rsidRDefault="00000000" w:rsidP="00012502">
      <w:pPr>
        <w:pStyle w:val="Footnote"/>
        <w:bidi/>
      </w:pPr>
      <w:r>
        <w:rPr>
          <w:rStyle w:val="ac"/>
          <w:rtl/>
        </w:rPr>
        <w:footnoteRef/>
      </w:r>
      <w:r>
        <w:rPr>
          <w:rtl/>
        </w:rPr>
        <w:t>[יל"ד האם היינו למ"ד דקאי בכל חייבי לאוין, אבל משמע דאף למתני' דר"ע קאי בחייבי לאוין דשאר. מ"מ ילפי' עכו"ם ועבד].</w:t>
      </w:r>
    </w:p>
  </w:footnote>
  <w:footnote w:id="932">
    <w:p w14:paraId="2B335471" w14:textId="77777777" w:rsidR="00BE1D1C" w:rsidRDefault="00000000" w:rsidP="00012502">
      <w:pPr>
        <w:pStyle w:val="Footnote"/>
        <w:bidi/>
      </w:pPr>
      <w:r>
        <w:rPr>
          <w:rStyle w:val="ac"/>
          <w:rtl/>
        </w:rPr>
        <w:footnoteRef/>
      </w:r>
      <w:r>
        <w:rPr>
          <w:rtl/>
        </w:rPr>
        <w:t>[ועדיין צריך ליישב את דברי הגמ' לקמן עי"ש].</w:t>
      </w:r>
    </w:p>
  </w:footnote>
  <w:footnote w:id="933">
    <w:p w14:paraId="6B3B41A6" w14:textId="77777777" w:rsidR="00BE1D1C" w:rsidRDefault="00000000" w:rsidP="00012502">
      <w:pPr>
        <w:pStyle w:val="Footnote"/>
        <w:bidi/>
      </w:pPr>
      <w:r>
        <w:rPr>
          <w:rStyle w:val="ac"/>
          <w:rtl/>
        </w:rPr>
        <w:footnoteRef/>
      </w:r>
      <w:r>
        <w:rPr>
          <w:rtl/>
        </w:rPr>
        <w:t>[כ"כ האחרונים בדברי התוס', אך עי"ש במהרש"א].</w:t>
      </w:r>
    </w:p>
  </w:footnote>
  <w:footnote w:id="934">
    <w:p w14:paraId="5B526BE6" w14:textId="77777777" w:rsidR="00BE1D1C" w:rsidRDefault="00000000" w:rsidP="00012502">
      <w:pPr>
        <w:pStyle w:val="Footnote"/>
        <w:bidi/>
      </w:pPr>
      <w:r>
        <w:rPr>
          <w:rStyle w:val="ac"/>
          <w:rtl/>
        </w:rPr>
        <w:footnoteRef/>
      </w:r>
      <w:r>
        <w:rPr>
          <w:rtl/>
        </w:rPr>
        <w:t>וע"ע פסקי הרי"ד (כאן יז. הו' בסמוך).</w:t>
      </w:r>
    </w:p>
  </w:footnote>
  <w:footnote w:id="935">
    <w:p w14:paraId="0402344B" w14:textId="77777777" w:rsidR="00BE1D1C" w:rsidRDefault="00000000" w:rsidP="00012502">
      <w:pPr>
        <w:pStyle w:val="Footnote"/>
        <w:bidi/>
      </w:pPr>
      <w:r>
        <w:rPr>
          <w:rStyle w:val="ac"/>
          <w:rtl/>
        </w:rPr>
        <w:footnoteRef/>
      </w:r>
      <w:r>
        <w:rPr>
          <w:rtl/>
        </w:rPr>
        <w:t xml:space="preserve">וכ"כ </w:t>
      </w:r>
      <w:r>
        <w:rPr>
          <w:b/>
          <w:bCs/>
          <w:rtl/>
        </w:rPr>
        <w:t>תוס</w:t>
      </w:r>
      <w:r>
        <w:rPr>
          <w:rtl/>
        </w:rPr>
        <w:t xml:space="preserve">' (בכורות מז. ד"ה מזהמין) דמוכח כן בסוגיין, אבל </w:t>
      </w:r>
      <w:r>
        <w:rPr>
          <w:b/>
          <w:bCs/>
          <w:rtl/>
        </w:rPr>
        <w:t>רש"י</w:t>
      </w:r>
      <w:r>
        <w:rPr>
          <w:rtl/>
        </w:rPr>
        <w:t xml:space="preserve"> (שם) פי' דלמ"ד הולד כשר בתר אימיה שדינן ליה. ואפי' למ"ד דהוה ממזר [מזהמין] אית ליה שם לוי.</w:t>
      </w:r>
    </w:p>
  </w:footnote>
  <w:footnote w:id="936">
    <w:p w14:paraId="639CDDA3" w14:textId="77777777" w:rsidR="00BE1D1C" w:rsidRDefault="00000000" w:rsidP="00012502">
      <w:pPr>
        <w:pStyle w:val="Footnote"/>
        <w:bidi/>
      </w:pPr>
      <w:r>
        <w:rPr>
          <w:rStyle w:val="ac"/>
          <w:rtl/>
        </w:rPr>
        <w:footnoteRef/>
      </w:r>
      <w:r>
        <w:rPr>
          <w:rtl/>
        </w:rPr>
        <w:t>ועפ"ז מ"ד הולד ממזר ס"ל דממזרות הוה פגום טפי. ומש"ה הוה ישראל. [דלא יתכן עכו"ם ממזר].</w:t>
      </w:r>
    </w:p>
  </w:footnote>
  <w:footnote w:id="937">
    <w:p w14:paraId="13EF9F7E" w14:textId="77777777" w:rsidR="00BE1D1C" w:rsidRDefault="00000000" w:rsidP="00012502">
      <w:pPr>
        <w:pStyle w:val="Footnote"/>
        <w:bidi/>
      </w:pPr>
      <w:r>
        <w:rPr>
          <w:rStyle w:val="ac"/>
          <w:rtl/>
        </w:rPr>
        <w:footnoteRef/>
      </w:r>
      <w:r>
        <w:rPr>
          <w:rtl/>
        </w:rPr>
        <w:t>וצ"ב מ"ש ממעוברת שנתגיירה דהוה ישראל מחמת אמו. וצ"ל שהגירות מתייחס אף לבן [ע' לקמן עח.]. ולא סגי במה שנולד מישראלית.</w:t>
      </w:r>
    </w:p>
  </w:footnote>
  <w:footnote w:id="938">
    <w:p w14:paraId="6AC6601D" w14:textId="77777777" w:rsidR="00BE1D1C" w:rsidRDefault="00000000" w:rsidP="00012502">
      <w:pPr>
        <w:pStyle w:val="Footnote"/>
        <w:bidi/>
      </w:pPr>
      <w:r>
        <w:rPr>
          <w:rStyle w:val="ac"/>
          <w:rtl/>
        </w:rPr>
        <w:footnoteRef/>
      </w:r>
      <w:r>
        <w:rPr>
          <w:rtl/>
        </w:rPr>
        <w:t>וז"ל המהרש"ל כשנוהג כמנהג עכו"ם הרי הוא כשאר עכו"ם, וכמעט אין להם דין ישראל ודוקא כשמתגיירים וכו'. (ע' בסמוך).</w:t>
      </w:r>
    </w:p>
  </w:footnote>
  <w:footnote w:id="939">
    <w:p w14:paraId="57623357" w14:textId="77777777" w:rsidR="00BE1D1C" w:rsidRDefault="00000000" w:rsidP="00012502">
      <w:pPr>
        <w:pStyle w:val="Footnote"/>
        <w:bidi/>
      </w:pPr>
      <w:r>
        <w:rPr>
          <w:rStyle w:val="ac"/>
          <w:rtl/>
        </w:rPr>
        <w:footnoteRef/>
      </w:r>
      <w:r>
        <w:rPr>
          <w:rtl/>
        </w:rPr>
        <w:t>דתוס' הקשו דאם הורדוס נשא ישראלית, א"כ למ"ד הולד כשר, אמאי אמרו דעבדים הם.</w:t>
      </w:r>
    </w:p>
  </w:footnote>
  <w:footnote w:id="940">
    <w:p w14:paraId="6D5885B7" w14:textId="77777777" w:rsidR="00BE1D1C" w:rsidRDefault="00000000" w:rsidP="00012502">
      <w:pPr>
        <w:pStyle w:val="Footnote"/>
        <w:bidi/>
      </w:pPr>
      <w:r>
        <w:rPr>
          <w:rStyle w:val="ac"/>
          <w:rtl/>
        </w:rPr>
        <w:footnoteRef/>
      </w:r>
      <w:r>
        <w:rPr>
          <w:rtl/>
        </w:rPr>
        <w:t>וכדאי' (בכורות מז.) דצריך פדיון הבן.</w:t>
      </w:r>
    </w:p>
  </w:footnote>
  <w:footnote w:id="941">
    <w:p w14:paraId="780EBA02" w14:textId="77777777" w:rsidR="00BE1D1C" w:rsidRDefault="00000000" w:rsidP="00012502">
      <w:pPr>
        <w:pStyle w:val="Footnote"/>
        <w:bidi/>
      </w:pPr>
      <w:r>
        <w:rPr>
          <w:rStyle w:val="ac"/>
          <w:rtl/>
        </w:rPr>
        <w:footnoteRef/>
      </w:r>
      <w:r>
        <w:rPr>
          <w:rtl/>
        </w:rPr>
        <w:t>דכיון דנתגייר אינו מתייחס לעכו"ם, ועי"ז שדינן בתר אמו. ומתייחס אחר אמו למפרע.</w:t>
      </w:r>
    </w:p>
  </w:footnote>
  <w:footnote w:id="942">
    <w:p w14:paraId="6802DABB" w14:textId="77777777" w:rsidR="00BE1D1C" w:rsidRDefault="00000000" w:rsidP="00012502">
      <w:pPr>
        <w:pStyle w:val="Footnote"/>
        <w:bidi/>
      </w:pPr>
      <w:r>
        <w:rPr>
          <w:rStyle w:val="ac"/>
          <w:rtl/>
        </w:rPr>
        <w:footnoteRef/>
      </w:r>
      <w:r>
        <w:rPr>
          <w:rtl/>
        </w:rPr>
        <w:t xml:space="preserve">וביאר בזה דברי </w:t>
      </w:r>
      <w:r>
        <w:rPr>
          <w:b/>
          <w:bCs/>
          <w:rtl/>
        </w:rPr>
        <w:t>רש"י</w:t>
      </w:r>
      <w:r>
        <w:rPr>
          <w:rtl/>
        </w:rPr>
        <w:t xml:space="preserve"> לקמן מה דאסור בממזרת [ואי דינו כקהל גרים].</w:t>
      </w:r>
    </w:p>
  </w:footnote>
  <w:footnote w:id="943">
    <w:p w14:paraId="508E2973" w14:textId="77777777" w:rsidR="00BE1D1C" w:rsidRDefault="00000000" w:rsidP="00012502">
      <w:pPr>
        <w:pStyle w:val="Footnote"/>
        <w:bidi/>
      </w:pPr>
      <w:r>
        <w:rPr>
          <w:rStyle w:val="ac"/>
          <w:rtl/>
        </w:rPr>
        <w:footnoteRef/>
      </w:r>
      <w:r>
        <w:rPr>
          <w:rtl/>
        </w:rPr>
        <w:t>וכעי"ז לשון ה</w:t>
      </w:r>
      <w:r>
        <w:rPr>
          <w:b/>
          <w:bCs/>
          <w:rtl/>
        </w:rPr>
        <w:t xml:space="preserve">מהרש"ל </w:t>
      </w:r>
      <w:r>
        <w:rPr>
          <w:rtl/>
        </w:rPr>
        <w:t>בסוגיין, דעבד הבא על בת ישראל, כשנוהג עצמו כעכו"ם הרי הוא כשאר עכו"ם, וכמעט אין להם דין ישראל, וצריך גירות [וצ"ב]. וה</w:t>
      </w:r>
      <w:r>
        <w:rPr>
          <w:b/>
          <w:bCs/>
          <w:rtl/>
        </w:rPr>
        <w:t>מהרש"א</w:t>
      </w:r>
      <w:r>
        <w:rPr>
          <w:rtl/>
        </w:rPr>
        <w:t xml:space="preserve"> תמה וכי משום שנוהג כעכו"ם יהיה כעובד כוכבים שלא ניחוש לקידושיו. דהא כיון דבתר אמו שדינן ליה ישראל מומר מקרי, ופשיטא דחוששין לקידושיו אף אם נהג עצמו כעכו"ם.</w:t>
      </w:r>
    </w:p>
  </w:footnote>
  <w:footnote w:id="944">
    <w:p w14:paraId="78D901BB" w14:textId="77777777" w:rsidR="00BE1D1C" w:rsidRDefault="00000000" w:rsidP="00012502">
      <w:pPr>
        <w:pStyle w:val="Footnote"/>
        <w:bidi/>
      </w:pPr>
      <w:r>
        <w:rPr>
          <w:rStyle w:val="ac"/>
          <w:rtl/>
        </w:rPr>
        <w:footnoteRef/>
      </w:r>
      <w:r>
        <w:rPr>
          <w:rtl/>
        </w:rPr>
        <w:t>וי"ל דמש"כ תוס' דהבעלים נתייאשו קאי אדור הראשון.</w:t>
      </w:r>
    </w:p>
  </w:footnote>
  <w:footnote w:id="945">
    <w:p w14:paraId="382464C9" w14:textId="77777777" w:rsidR="00BE1D1C" w:rsidRDefault="00000000" w:rsidP="00012502">
      <w:pPr>
        <w:pStyle w:val="Footnote"/>
        <w:bidi/>
      </w:pPr>
      <w:r>
        <w:rPr>
          <w:rStyle w:val="ac"/>
          <w:rtl/>
        </w:rPr>
        <w:footnoteRef/>
      </w:r>
      <w:r>
        <w:rPr>
          <w:rtl/>
        </w:rPr>
        <w:t>אך בפשוטו יש לדחות דבמשנה (שם) מפורש דוקא משום דאין לה [לעובדת כוכבים] קידושין אף על אחרים. אבל עכו"ם הבא על בת ישראל יש לה קידושין על אחרים, וי"ל דהוה ממזר.</w:t>
      </w:r>
    </w:p>
  </w:footnote>
  <w:footnote w:id="946">
    <w:p w14:paraId="673B449D" w14:textId="77777777" w:rsidR="00BE1D1C" w:rsidRDefault="00000000" w:rsidP="00012502">
      <w:pPr>
        <w:pStyle w:val="Footnote"/>
        <w:bidi/>
      </w:pPr>
      <w:r>
        <w:rPr>
          <w:rStyle w:val="ac"/>
          <w:rtl/>
        </w:rPr>
        <w:footnoteRef/>
      </w:r>
      <w:r>
        <w:rPr>
          <w:rtl/>
        </w:rPr>
        <w:t>אך המשך דברי התוס' לא משמע כן, דתי' דכל הנהו דסברי דהולד ממזר כר"ע. משמע דפשיט"ל דלר"ע הוה ממזר ולא קי"ל כר"ע. ואפ"ה ס"ד דתוס' דמתני' (לקמן סט:) ס"ל דהולד ממזר אף לרבנן. ובזה דחו ממתני' דקידושין. [ומשמע דכוונת התוס' דכיון דיש משנה דהולד כשר, דוחק להעמיד מח' משניות בסברא זו [בצדדי הגמ' לקמן מה:]. ויותר מסתבר דהך משנה כר"ע, דבלא"ה יש לנו כמה משניות דנח' במח' ר"ע ושמעון התימני].</w:t>
      </w:r>
    </w:p>
  </w:footnote>
  <w:footnote w:id="947">
    <w:p w14:paraId="67C433D1" w14:textId="77777777" w:rsidR="00BE1D1C" w:rsidRDefault="00000000" w:rsidP="00012502">
      <w:pPr>
        <w:pStyle w:val="Footnote"/>
        <w:bidi/>
      </w:pPr>
      <w:r>
        <w:rPr>
          <w:rStyle w:val="ac"/>
          <w:rtl/>
        </w:rPr>
        <w:footnoteRef/>
      </w:r>
      <w:r>
        <w:rPr>
          <w:rtl/>
        </w:rPr>
        <w:t>ו</w:t>
      </w:r>
      <w:r>
        <w:rPr>
          <w:b/>
          <w:bCs/>
          <w:rtl/>
        </w:rPr>
        <w:t>תוס'</w:t>
      </w:r>
      <w:r>
        <w:rPr>
          <w:rtl/>
        </w:rPr>
        <w:t xml:space="preserve"> בקידושין פי' דיש לאו ד'לא יהא קדש' (דברים כג יח), ד</w:t>
      </w:r>
      <w:r>
        <w:rPr>
          <w:b/>
          <w:bCs/>
          <w:rtl/>
        </w:rPr>
        <w:t>אונקלוס</w:t>
      </w:r>
      <w:r>
        <w:rPr>
          <w:rtl/>
        </w:rPr>
        <w:t xml:space="preserve"> תרגם לאיסור עבד ושפחה. אבל ה</w:t>
      </w:r>
      <w:r>
        <w:rPr>
          <w:b/>
          <w:bCs/>
          <w:rtl/>
        </w:rPr>
        <w:t>רמב"ם</w:t>
      </w:r>
      <w:r>
        <w:rPr>
          <w:rtl/>
        </w:rPr>
        <w:t xml:space="preserve"> (איסו"ב יב יג) ס"ל דאינו לוקה. ודרש לקרא באופ"א.</w:t>
      </w:r>
    </w:p>
  </w:footnote>
  <w:footnote w:id="948">
    <w:p w14:paraId="6D04D1A2" w14:textId="77777777" w:rsidR="00BE1D1C" w:rsidRDefault="00000000" w:rsidP="00012502">
      <w:pPr>
        <w:pStyle w:val="Footnote"/>
        <w:bidi/>
      </w:pPr>
      <w:r>
        <w:rPr>
          <w:rStyle w:val="ac"/>
          <w:rtl/>
        </w:rPr>
        <w:footnoteRef/>
      </w:r>
      <w:r>
        <w:rPr>
          <w:rtl/>
        </w:rPr>
        <w:t>ולשון הגמ' מבואר דבי"ד של שם נקרא דאורייתא. ע' בסמוך.</w:t>
      </w:r>
    </w:p>
  </w:footnote>
  <w:footnote w:id="949">
    <w:p w14:paraId="6CEB2597" w14:textId="77777777" w:rsidR="00BE1D1C" w:rsidRDefault="00000000" w:rsidP="00012502">
      <w:pPr>
        <w:pStyle w:val="Footnote"/>
        <w:bidi/>
      </w:pPr>
      <w:r>
        <w:rPr>
          <w:rStyle w:val="ac"/>
          <w:rtl/>
        </w:rPr>
        <w:footnoteRef/>
      </w:r>
      <w:r>
        <w:rPr>
          <w:rtl/>
        </w:rPr>
        <w:t>וכלשון הגמ' (ע"ז) דהוה מדאורייתא. אך קצת משמע דמסקנת התוס' דלא נחשב עשה, אלא גזירת שם. וכ"ד תוס' דידן דמדאורייתא ביאת היתר הוא. וה</w:t>
      </w:r>
      <w:r>
        <w:rPr>
          <w:b/>
          <w:bCs/>
          <w:rtl/>
        </w:rPr>
        <w:t xml:space="preserve">תוס' רי"ד </w:t>
      </w:r>
      <w:r>
        <w:rPr>
          <w:rtl/>
        </w:rPr>
        <w:t>(ע"ז שם) ביאר דלבי"ד של שם קרי דאורייתא, כיון דכתיב בתורה.</w:t>
      </w:r>
    </w:p>
  </w:footnote>
  <w:footnote w:id="950">
    <w:p w14:paraId="140E07DF" w14:textId="77777777" w:rsidR="00BE1D1C" w:rsidRDefault="00000000" w:rsidP="00012502">
      <w:pPr>
        <w:pStyle w:val="Footnote"/>
        <w:bidi/>
      </w:pPr>
      <w:r>
        <w:rPr>
          <w:rStyle w:val="ac"/>
          <w:rtl/>
        </w:rPr>
        <w:footnoteRef/>
      </w:r>
      <w:r>
        <w:rPr>
          <w:rtl/>
        </w:rPr>
        <w:t>וה</w:t>
      </w:r>
      <w:r>
        <w:rPr>
          <w:b/>
          <w:bCs/>
          <w:rtl/>
        </w:rPr>
        <w:t xml:space="preserve">ר"ן </w:t>
      </w:r>
      <w:r>
        <w:rPr>
          <w:rtl/>
        </w:rPr>
        <w:t>(סנהדרין פא) כת' דה"ה החיוב כרת ילפי' דהוה משום חילול ד', ורק בפרהסיא. ועוד כתב דאפשר דבצינעא נמי יש כרת, ואפ"ה הוצרכו לגזור מדרבנן, דלא חמיר לאיניש עונש כרת בידי שמים, אלא שילקו. [אבל בתוס' דידן מבואר דאין בזה איסור כלל].</w:t>
      </w:r>
    </w:p>
  </w:footnote>
  <w:footnote w:id="951">
    <w:p w14:paraId="7950ACC8" w14:textId="77777777" w:rsidR="00BE1D1C" w:rsidRDefault="00000000" w:rsidP="00012502">
      <w:pPr>
        <w:pStyle w:val="Footnote"/>
        <w:bidi/>
      </w:pPr>
      <w:r>
        <w:rPr>
          <w:rStyle w:val="ac"/>
          <w:rtl/>
        </w:rPr>
        <w:footnoteRef/>
      </w:r>
      <w:r>
        <w:rPr>
          <w:rtl/>
        </w:rPr>
        <w:t>וכ"כ ב</w:t>
      </w:r>
      <w:r>
        <w:rPr>
          <w:b/>
          <w:bCs/>
          <w:rtl/>
        </w:rPr>
        <w:t>הג' מרדכי</w:t>
      </w:r>
      <w:r>
        <w:rPr>
          <w:rtl/>
        </w:rPr>
        <w:t xml:space="preserve"> (קח) דיבמה שנופלת לפני מומר נחשב 'ערוה' דקנאים פוגעים בו. וה</w:t>
      </w:r>
      <w:r>
        <w:rPr>
          <w:b/>
          <w:bCs/>
          <w:rtl/>
        </w:rPr>
        <w:t>תה"ד</w:t>
      </w:r>
      <w:r>
        <w:rPr>
          <w:rtl/>
        </w:rPr>
        <w:t xml:space="preserve"> (רכג) הק' דבתוס' דידן מבואר דבצינעא הוה ביאת היתר, ומש"ה לא יחשב ערוה. [ויש שביארו דדעת ההג"מ כדברי הר"ן, דאף בצינעא נחשב איסור כרת].</w:t>
      </w:r>
    </w:p>
  </w:footnote>
  <w:footnote w:id="952">
    <w:p w14:paraId="27016C65" w14:textId="77777777" w:rsidR="00BE1D1C" w:rsidRDefault="00000000" w:rsidP="00012502">
      <w:pPr>
        <w:pStyle w:val="Footnote"/>
        <w:bidi/>
      </w:pPr>
      <w:r>
        <w:rPr>
          <w:rStyle w:val="ac"/>
          <w:rtl/>
        </w:rPr>
        <w:footnoteRef/>
      </w:r>
      <w:r>
        <w:rPr>
          <w:rtl/>
        </w:rPr>
        <w:t xml:space="preserve">והנבעלת לנכרי לא נחשב גילוי עריות שיהרג ואל יעבור, והביא ע"ז דברי </w:t>
      </w:r>
      <w:r>
        <w:rPr>
          <w:b/>
          <w:bCs/>
          <w:rtl/>
        </w:rPr>
        <w:t>ר"ת</w:t>
      </w:r>
      <w:r>
        <w:rPr>
          <w:rtl/>
        </w:rPr>
        <w:t xml:space="preserve"> (הו' ב</w:t>
      </w:r>
      <w:r>
        <w:rPr>
          <w:b/>
          <w:bCs/>
          <w:rtl/>
        </w:rPr>
        <w:t>תוס</w:t>
      </w:r>
      <w:r>
        <w:rPr>
          <w:rtl/>
        </w:rPr>
        <w:t>' סנהדרין שם וכתובות ג:) דביאת עכו"ם כביאת בהמה, ולא נחשב גילוי עריות [אבל אין ראיה מזה לסוגיין, דאף אי לא הוה גילוי עריות י"ל דבפרהסיא קנאים פוגעים וחייב כרת].</w:t>
      </w:r>
    </w:p>
  </w:footnote>
  <w:footnote w:id="953">
    <w:p w14:paraId="7CA81C5B" w14:textId="77777777" w:rsidR="00BE1D1C" w:rsidRDefault="00000000" w:rsidP="00012502">
      <w:pPr>
        <w:pStyle w:val="Footnote"/>
        <w:bidi/>
      </w:pPr>
      <w:r>
        <w:rPr>
          <w:rStyle w:val="ac"/>
          <w:rtl/>
        </w:rPr>
        <w:footnoteRef/>
      </w:r>
      <w:r>
        <w:rPr>
          <w:rtl/>
        </w:rPr>
        <w:t>וה</w:t>
      </w:r>
      <w:r>
        <w:rPr>
          <w:b/>
          <w:bCs/>
          <w:rtl/>
        </w:rPr>
        <w:t xml:space="preserve">מלחמות </w:t>
      </w:r>
      <w:r>
        <w:rPr>
          <w:rtl/>
        </w:rPr>
        <w:t>כת' הטעם משום שהולד כשר. משמע דלמ"ד הולד ממזר נחשב גילוי עריות, וקנאים פוגעים. [וצ"ע].</w:t>
      </w:r>
    </w:p>
  </w:footnote>
  <w:footnote w:id="954">
    <w:p w14:paraId="5854BBB4" w14:textId="77777777" w:rsidR="00BE1D1C" w:rsidRDefault="00000000" w:rsidP="00012502">
      <w:pPr>
        <w:pStyle w:val="Footnote"/>
        <w:bidi/>
      </w:pPr>
      <w:r>
        <w:rPr>
          <w:rStyle w:val="ac"/>
          <w:rtl/>
        </w:rPr>
        <w:footnoteRef/>
      </w:r>
      <w:r>
        <w:rPr>
          <w:rtl/>
        </w:rPr>
        <w:t>וה</w:t>
      </w:r>
      <w:r>
        <w:rPr>
          <w:b/>
          <w:bCs/>
          <w:rtl/>
        </w:rPr>
        <w:t>אחרונים</w:t>
      </w:r>
      <w:r>
        <w:rPr>
          <w:rtl/>
        </w:rPr>
        <w:t xml:space="preserve"> חקרו בהא דתלי הא בהא, האם הוה סימן או סיבה ותולדה. [ויתבאר לקמן מד: ומה: ומט: בעזה"י].</w:t>
      </w:r>
    </w:p>
  </w:footnote>
  <w:footnote w:id="955">
    <w:p w14:paraId="45B1D0EA" w14:textId="77777777" w:rsidR="00BE1D1C" w:rsidRDefault="00000000" w:rsidP="00012502">
      <w:pPr>
        <w:pStyle w:val="Footnote"/>
        <w:bidi/>
      </w:pPr>
      <w:r>
        <w:rPr>
          <w:rStyle w:val="ac"/>
          <w:rtl/>
        </w:rPr>
        <w:footnoteRef/>
      </w:r>
      <w:r>
        <w:rPr>
          <w:rtl/>
        </w:rPr>
        <w:t>ופשטות המשנה (לקמן מט.) דתלי באיסור. ובמשנה (קידושין סו:) אי' דכל מקום שיש קידושין ויש עבירה, הולד הולך אחר הפגום. וכל מקום שאין קידושין וכו' הולד ממזר. ולכאו' הוה תוספת על כללא קמא. [אך בלא"ה מתני' דהתם כשמעון התימני].</w:t>
      </w:r>
    </w:p>
  </w:footnote>
  <w:footnote w:id="956">
    <w:p w14:paraId="51A889C2" w14:textId="77777777" w:rsidR="00BE1D1C" w:rsidRDefault="00000000" w:rsidP="00012502">
      <w:pPr>
        <w:pStyle w:val="Footnote"/>
        <w:bidi/>
      </w:pPr>
      <w:r>
        <w:rPr>
          <w:rStyle w:val="ac"/>
          <w:rtl/>
        </w:rPr>
        <w:footnoteRef/>
      </w:r>
      <w:r>
        <w:rPr>
          <w:rtl/>
        </w:rPr>
        <w:t>ויש לדחות דדוקא עכו"ם וכדו' דיש צד עבירה באשה זו [בפרהסיא ודרך חתנות]. ואף דבא עליה באופן של היתר. ויש להוסיף דבאופן דלא תפסי קידושין הוה דרך חתנות והוה עבירה.</w:t>
      </w:r>
    </w:p>
  </w:footnote>
  <w:footnote w:id="957">
    <w:p w14:paraId="49B9AEC5" w14:textId="77777777" w:rsidR="00BE1D1C" w:rsidRDefault="00000000" w:rsidP="00012502">
      <w:pPr>
        <w:pStyle w:val="Footnote"/>
        <w:bidi/>
      </w:pPr>
      <w:r>
        <w:rPr>
          <w:rStyle w:val="ac"/>
          <w:rtl/>
        </w:rPr>
        <w:footnoteRef/>
      </w:r>
      <w:r>
        <w:rPr>
          <w:rtl/>
        </w:rPr>
        <w:t>דלא תתחתן. [אבל ל</w:t>
      </w:r>
      <w:r>
        <w:rPr>
          <w:b/>
          <w:bCs/>
          <w:rtl/>
        </w:rPr>
        <w:t>תוס'</w:t>
      </w:r>
      <w:r>
        <w:rPr>
          <w:rtl/>
        </w:rPr>
        <w:t xml:space="preserve"> (קידושין) קרא קאי לענין תפיסת קידושין, וכדלעיל].</w:t>
      </w:r>
    </w:p>
  </w:footnote>
  <w:footnote w:id="958">
    <w:p w14:paraId="7372867E" w14:textId="77777777" w:rsidR="00BE1D1C" w:rsidRDefault="00000000" w:rsidP="00012502">
      <w:pPr>
        <w:pStyle w:val="Footnote"/>
        <w:bidi/>
      </w:pPr>
      <w:r>
        <w:rPr>
          <w:rStyle w:val="ac"/>
          <w:rtl/>
        </w:rPr>
        <w:footnoteRef/>
      </w:r>
      <w:r>
        <w:rPr>
          <w:rtl/>
        </w:rPr>
        <w:t>אך ילד"ח דכוונת ה</w:t>
      </w:r>
      <w:r>
        <w:rPr>
          <w:b/>
          <w:bCs/>
          <w:rtl/>
        </w:rPr>
        <w:t>תוס' הרא"ש</w:t>
      </w:r>
      <w:r>
        <w:rPr>
          <w:rtl/>
        </w:rPr>
        <w:t xml:space="preserve"> דכיון דיש צד איסור דאוריי', ילפי' לעכו"ם, ולא תליא בכל ביאה.</w:t>
      </w:r>
    </w:p>
  </w:footnote>
  <w:footnote w:id="959">
    <w:p w14:paraId="0B9E8231" w14:textId="77777777" w:rsidR="00BE1D1C" w:rsidRDefault="00000000" w:rsidP="00012502">
      <w:pPr>
        <w:pStyle w:val="Footnote"/>
        <w:bidi/>
      </w:pPr>
      <w:r>
        <w:rPr>
          <w:rStyle w:val="ac"/>
          <w:rtl/>
        </w:rPr>
        <w:footnoteRef/>
      </w:r>
      <w:r>
        <w:rPr>
          <w:rtl/>
        </w:rPr>
        <w:t>[ועד"ז יל"ד דאפשר דאם בא עליה בפרהסיא הוה ממזר. א"נ בפרהסיא הוה איסור חילול ד'. ולא איסור עריות].</w:t>
      </w:r>
    </w:p>
  </w:footnote>
  <w:footnote w:id="960">
    <w:p w14:paraId="5AF5535D" w14:textId="77777777" w:rsidR="00BE1D1C" w:rsidRDefault="00000000" w:rsidP="00012502">
      <w:pPr>
        <w:pStyle w:val="Footnote"/>
        <w:bidi/>
      </w:pPr>
      <w:r>
        <w:rPr>
          <w:rStyle w:val="ac"/>
          <w:rtl/>
        </w:rPr>
        <w:footnoteRef/>
      </w:r>
      <w:r>
        <w:rPr>
          <w:rtl/>
        </w:rPr>
        <w:t xml:space="preserve">[וע' </w:t>
      </w:r>
      <w:r>
        <w:rPr>
          <w:b/>
          <w:bCs/>
          <w:rtl/>
        </w:rPr>
        <w:t>אבנ"מ</w:t>
      </w:r>
      <w:r>
        <w:rPr>
          <w:rtl/>
        </w:rPr>
        <w:t xml:space="preserve"> מש"כ דה"ה שאר אומות, דלגבי זה לא דרשי' טעמא דקרא].</w:t>
      </w:r>
    </w:p>
    <w:p w14:paraId="108BEE28" w14:textId="77777777" w:rsidR="00BE1D1C" w:rsidRDefault="00000000" w:rsidP="00012502">
      <w:pPr>
        <w:pStyle w:val="Footnote"/>
        <w:bidi/>
      </w:pPr>
      <w:r>
        <w:rPr>
          <w:rtl/>
        </w:rPr>
        <w:tab/>
        <w:t>וצ"ב כוונתם מה הדין בשאר אומות. האם ילפי' מינייהו, או דהוה רק מדרבנן [וכתי' תוס'].</w:t>
      </w:r>
    </w:p>
  </w:footnote>
  <w:footnote w:id="961">
    <w:p w14:paraId="633C2010" w14:textId="77777777" w:rsidR="00BE1D1C" w:rsidRDefault="00000000" w:rsidP="00012502">
      <w:pPr>
        <w:pStyle w:val="Footnote"/>
        <w:bidi/>
      </w:pPr>
      <w:r>
        <w:rPr>
          <w:rStyle w:val="ac"/>
          <w:rtl/>
        </w:rPr>
        <w:footnoteRef/>
      </w:r>
      <w:r>
        <w:rPr>
          <w:rtl/>
        </w:rPr>
        <w:t>ולשון ה</w:t>
      </w:r>
      <w:r>
        <w:rPr>
          <w:b/>
          <w:bCs/>
          <w:rtl/>
        </w:rPr>
        <w:t>תוס' ר"פ</w:t>
      </w:r>
      <w:r>
        <w:rPr>
          <w:rtl/>
        </w:rPr>
        <w:t xml:space="preserve"> דבגירותן יש איסור. וצ"ב דהכא איירי בעודן עכו"ם. וע' לקמן עו: האם יש איסור דרך חתנות בעודם עכו"ם.</w:t>
      </w:r>
    </w:p>
  </w:footnote>
  <w:footnote w:id="962">
    <w:p w14:paraId="14A6F41C" w14:textId="77777777" w:rsidR="00BE1D1C" w:rsidRDefault="00000000" w:rsidP="00012502">
      <w:pPr>
        <w:pStyle w:val="Footnote"/>
        <w:bidi/>
      </w:pPr>
      <w:r>
        <w:rPr>
          <w:rStyle w:val="ac"/>
          <w:rtl/>
        </w:rPr>
        <w:footnoteRef/>
      </w:r>
      <w:r>
        <w:rPr>
          <w:rtl/>
        </w:rPr>
        <w:t>אבל בפשוטו ר' יוחנן פליג אהך דרשא, וע"כ ס"ל דמתייחס.</w:t>
      </w:r>
    </w:p>
  </w:footnote>
  <w:footnote w:id="963">
    <w:p w14:paraId="63EF9808" w14:textId="77777777" w:rsidR="00BE1D1C" w:rsidRDefault="00000000" w:rsidP="00012502">
      <w:pPr>
        <w:pStyle w:val="Footnote"/>
        <w:bidi/>
      </w:pPr>
      <w:r>
        <w:rPr>
          <w:rStyle w:val="ac"/>
          <w:rtl/>
        </w:rPr>
        <w:footnoteRef/>
      </w:r>
      <w:r>
        <w:rPr>
          <w:rtl/>
        </w:rPr>
        <w:t>וב</w:t>
      </w:r>
      <w:r>
        <w:rPr>
          <w:b/>
          <w:bCs/>
          <w:rtl/>
        </w:rPr>
        <w:t>חי' ר' שמעון</w:t>
      </w:r>
      <w:r>
        <w:rPr>
          <w:rtl/>
        </w:rPr>
        <w:t xml:space="preserve"> (יג) העיר דלמש"כ </w:t>
      </w:r>
      <w:r>
        <w:rPr>
          <w:b/>
          <w:bCs/>
          <w:rtl/>
        </w:rPr>
        <w:t>תוס</w:t>
      </w:r>
      <w:r>
        <w:rPr>
          <w:rtl/>
        </w:rPr>
        <w:t>' (ד"ה בדוכתא) הוה רוב דהוה ממזר. אלא דאף במקום דבעי 'ודאי' אף רוב הותר. [ואכמ"ל].</w:t>
      </w:r>
    </w:p>
  </w:footnote>
  <w:footnote w:id="964">
    <w:p w14:paraId="79A85E25" w14:textId="77777777" w:rsidR="00BE1D1C" w:rsidRDefault="00000000" w:rsidP="00012502">
      <w:pPr>
        <w:pStyle w:val="Footnote"/>
        <w:bidi/>
      </w:pPr>
      <w:r>
        <w:rPr>
          <w:rStyle w:val="ac"/>
          <w:rtl/>
        </w:rPr>
        <w:footnoteRef/>
      </w:r>
      <w:r>
        <w:rPr>
          <w:rtl/>
        </w:rPr>
        <w:t>וכמ"ש ה</w:t>
      </w:r>
      <w:r>
        <w:rPr>
          <w:b/>
          <w:bCs/>
          <w:rtl/>
        </w:rPr>
        <w:t>ש"ש</w:t>
      </w:r>
      <w:r>
        <w:rPr>
          <w:rtl/>
        </w:rPr>
        <w:t xml:space="preserve"> (א א) דדמי לספק ערלה קידושין לט].</w:t>
      </w:r>
    </w:p>
  </w:footnote>
  <w:footnote w:id="965">
    <w:p w14:paraId="4B309937" w14:textId="77777777" w:rsidR="00BE1D1C" w:rsidRDefault="00000000" w:rsidP="00012502">
      <w:pPr>
        <w:pStyle w:val="Footnote"/>
        <w:bidi/>
      </w:pPr>
      <w:r>
        <w:rPr>
          <w:rStyle w:val="ac"/>
          <w:rtl/>
        </w:rPr>
        <w:footnoteRef/>
      </w:r>
      <w:r>
        <w:rPr>
          <w:rtl/>
        </w:rPr>
        <w:t>וה</w:t>
      </w:r>
      <w:r>
        <w:rPr>
          <w:b/>
          <w:bCs/>
          <w:rtl/>
        </w:rPr>
        <w:t>חזו"א</w:t>
      </w:r>
      <w:r>
        <w:rPr>
          <w:rtl/>
        </w:rPr>
        <w:t xml:space="preserve"> (קלד) חלק דספק ממזר לא הותר כספק ערלה, דבספק ערלה ספינן ליה בידים [דכיון שהוא אינו יודע מותר לו]. ואילו בממזר צריך להודיע, כדאשכחן דעסקו בבירור המשפחות [ודוחק דהוה רק משום מעלת יחוס ישראל]. ועוד דממזר דאינו ידיע לא חיי (לקמן עו.), מבואר דיש בזה איסור. [וע' מש"כ בזה שם].</w:t>
      </w:r>
    </w:p>
  </w:footnote>
  <w:footnote w:id="966">
    <w:p w14:paraId="2272C2DA" w14:textId="77777777" w:rsidR="00BE1D1C" w:rsidRDefault="00000000" w:rsidP="00012502">
      <w:pPr>
        <w:pStyle w:val="Footnote"/>
        <w:bidi/>
      </w:pPr>
      <w:r>
        <w:rPr>
          <w:rStyle w:val="ac"/>
          <w:rtl/>
        </w:rPr>
        <w:footnoteRef/>
      </w:r>
      <w:r>
        <w:rPr>
          <w:rtl/>
        </w:rPr>
        <w:t>וב</w:t>
      </w:r>
      <w:r>
        <w:rPr>
          <w:b/>
          <w:bCs/>
          <w:rtl/>
        </w:rPr>
        <w:t xml:space="preserve">חי' ר' שמעון </w:t>
      </w:r>
      <w:r>
        <w:rPr>
          <w:rtl/>
        </w:rPr>
        <w:t>(שם) דן האם יתכן דספק ממזר הוה היתר על החפצא [ולא רק על הגברא].</w:t>
      </w:r>
    </w:p>
  </w:footnote>
  <w:footnote w:id="967">
    <w:p w14:paraId="27A9DFF1" w14:textId="77777777" w:rsidR="00BE1D1C" w:rsidRDefault="00000000" w:rsidP="00012502">
      <w:pPr>
        <w:pStyle w:val="Footnote"/>
        <w:bidi/>
      </w:pPr>
      <w:r>
        <w:rPr>
          <w:rStyle w:val="ac"/>
          <w:rtl/>
        </w:rPr>
        <w:footnoteRef/>
      </w:r>
      <w:r>
        <w:rPr>
          <w:rtl/>
        </w:rPr>
        <w:t>ה</w:t>
      </w:r>
      <w:r>
        <w:rPr>
          <w:b/>
          <w:bCs/>
          <w:rtl/>
        </w:rPr>
        <w:t>מאירי</w:t>
      </w:r>
      <w:r>
        <w:rPr>
          <w:rtl/>
        </w:rPr>
        <w:t xml:space="preserve"> ביאר דקבלה היתה בידם, שאותן הבנות שגלו באותה שעה החליאו את עצמן עד שעמדו בנוול שלא יהא שום אדם קופץ עליהן. וי"מ ששתו כוס של עיקרין שלא לילד מהם. וי"מ שנבקע בית קליטתם לענוי הדרך עד שלא היו ראויות לקלוט ולהתעבר.</w:t>
      </w:r>
    </w:p>
  </w:footnote>
  <w:footnote w:id="968">
    <w:p w14:paraId="3B00E39D" w14:textId="77777777" w:rsidR="00BE1D1C" w:rsidRDefault="00000000" w:rsidP="00012502">
      <w:pPr>
        <w:pStyle w:val="Footnote"/>
        <w:bidi/>
      </w:pPr>
      <w:r>
        <w:rPr>
          <w:rStyle w:val="ac"/>
          <w:rtl/>
        </w:rPr>
        <w:footnoteRef/>
      </w:r>
      <w:r>
        <w:rPr>
          <w:rtl/>
        </w:rPr>
        <w:t>ויל"פ דבאומות הלך אחר הזכר. א"נ דסגי בצד א' ישראל להטיל קדושת ישראל. או דהוה בכלל 'למשפחותיהם'. ועוד כת' ה</w:t>
      </w:r>
      <w:r>
        <w:rPr>
          <w:b/>
          <w:bCs/>
          <w:rtl/>
        </w:rPr>
        <w:t>אבנ"מ</w:t>
      </w:r>
      <w:r>
        <w:rPr>
          <w:rtl/>
        </w:rPr>
        <w:t xml:space="preserve"> (ד יב) כיון דהולד ממזר, שדינן בתר הפגום [וע"כ הוה ישראל פגום, דבעכו"ם ל"ש ממזרות].</w:t>
      </w:r>
    </w:p>
  </w:footnote>
  <w:footnote w:id="969">
    <w:p w14:paraId="2C28C751" w14:textId="77777777" w:rsidR="00BE1D1C" w:rsidRDefault="00000000" w:rsidP="00012502">
      <w:pPr>
        <w:pStyle w:val="Footnote"/>
        <w:bidi/>
      </w:pPr>
      <w:r>
        <w:rPr>
          <w:rStyle w:val="ac"/>
          <w:rtl/>
        </w:rPr>
        <w:footnoteRef/>
      </w:r>
      <w:r>
        <w:rPr>
          <w:rtl/>
        </w:rPr>
        <w:t>[וע' מה שהו' לעיל בשם האמר"מ כז]. וצ"ב מ"ש דחוששין לקידושין [צד קידושין]. ואילו ביבום אינו זוקק כלל.</w:t>
      </w:r>
    </w:p>
  </w:footnote>
  <w:footnote w:id="970">
    <w:p w14:paraId="33733AA1" w14:textId="77777777" w:rsidR="00BE1D1C" w:rsidRDefault="00000000" w:rsidP="00012502">
      <w:pPr>
        <w:pStyle w:val="Footnote"/>
        <w:bidi/>
      </w:pPr>
      <w:r>
        <w:rPr>
          <w:rStyle w:val="ac"/>
          <w:rtl/>
        </w:rPr>
        <w:footnoteRef/>
      </w:r>
      <w:r>
        <w:rPr>
          <w:rtl/>
        </w:rPr>
        <w:t>ולכאורה היינו דהפקיעו את הקידושין של בני בניהם לעולם, וצ"ע.</w:t>
      </w:r>
    </w:p>
  </w:footnote>
  <w:footnote w:id="971">
    <w:p w14:paraId="669D01E9" w14:textId="77777777" w:rsidR="00BE1D1C" w:rsidRDefault="00000000" w:rsidP="00012502">
      <w:pPr>
        <w:pStyle w:val="Footnote"/>
        <w:bidi/>
      </w:pPr>
      <w:r>
        <w:rPr>
          <w:rStyle w:val="ac"/>
          <w:rtl/>
        </w:rPr>
        <w:footnoteRef/>
      </w:r>
      <w:r>
        <w:rPr>
          <w:rtl/>
        </w:rPr>
        <w:t>ואף לאחר כמה דורות לא חל קידושין דידהו, דבי"ד של אותו דור תקנו והפקיעו.</w:t>
      </w:r>
    </w:p>
  </w:footnote>
  <w:footnote w:id="972">
    <w:p w14:paraId="305F362A" w14:textId="77777777" w:rsidR="00BE1D1C" w:rsidRDefault="00000000" w:rsidP="00012502">
      <w:pPr>
        <w:pStyle w:val="Footnote"/>
        <w:bidi/>
      </w:pPr>
      <w:r>
        <w:rPr>
          <w:rStyle w:val="ac"/>
          <w:rtl/>
        </w:rPr>
        <w:footnoteRef/>
      </w:r>
      <w:r>
        <w:rPr>
          <w:rtl/>
        </w:rPr>
        <w:t xml:space="preserve"> ובשלמא לענין קידושין מהני אפקעינהו. [וכריטב"א ורשב"א הנ"ל].</w:t>
      </w:r>
    </w:p>
  </w:footnote>
  <w:footnote w:id="973">
    <w:p w14:paraId="4FADC006" w14:textId="77777777" w:rsidR="00BE1D1C" w:rsidRDefault="00000000" w:rsidP="00012502">
      <w:pPr>
        <w:pStyle w:val="Footnote"/>
        <w:bidi/>
      </w:pPr>
      <w:r>
        <w:rPr>
          <w:rStyle w:val="ac"/>
          <w:rtl/>
        </w:rPr>
        <w:footnoteRef/>
      </w:r>
      <w:r>
        <w:rPr>
          <w:rtl/>
        </w:rPr>
        <w:t>דה</w:t>
      </w:r>
      <w:r>
        <w:rPr>
          <w:b/>
          <w:bCs/>
          <w:rtl/>
        </w:rPr>
        <w:t>שו"ע</w:t>
      </w:r>
      <w:r>
        <w:rPr>
          <w:rtl/>
        </w:rPr>
        <w:t xml:space="preserve"> (יו"ד קנט ג) פסק דאסור ללוות מהם בריבית [ע' ראשונים ב"מ עא.]. וה</w:t>
      </w:r>
      <w:r>
        <w:rPr>
          <w:b/>
          <w:bCs/>
          <w:rtl/>
        </w:rPr>
        <w:t>שו"ע</w:t>
      </w:r>
      <w:r>
        <w:rPr>
          <w:rtl/>
        </w:rPr>
        <w:t xml:space="preserve"> (מד י) פסק דכותי שקידש צריך גט. [ולפ"ז לא דמי לסוגיין, דמבואר בסוגיין דאי"צ גט]. וה</w:t>
      </w:r>
      <w:r>
        <w:rPr>
          <w:b/>
          <w:bCs/>
          <w:rtl/>
        </w:rPr>
        <w:t>טור</w:t>
      </w:r>
      <w:r>
        <w:rPr>
          <w:rtl/>
        </w:rPr>
        <w:t xml:space="preserve"> (ד) נקט דכותי דינם כממזרים [ע"פ הסוגיא קידושין עו., ודלא כפיה"מ לרמב"ם שם דעשאום כגוים, ואינם כממזרים], וה</w:t>
      </w:r>
      <w:r>
        <w:rPr>
          <w:b/>
          <w:bCs/>
          <w:rtl/>
        </w:rPr>
        <w:t>ב"י</w:t>
      </w:r>
      <w:r>
        <w:rPr>
          <w:rtl/>
        </w:rPr>
        <w:t xml:space="preserve"> (ד לו, וחלק"מ לד ובי"ש סג) ביארו דדוקא להחמיר הוה כגויים.</w:t>
      </w:r>
    </w:p>
  </w:footnote>
  <w:footnote w:id="974">
    <w:p w14:paraId="57AC8D0E" w14:textId="77777777" w:rsidR="00BE1D1C" w:rsidRDefault="00000000" w:rsidP="00012502">
      <w:pPr>
        <w:pStyle w:val="Footnote"/>
        <w:bidi/>
      </w:pPr>
      <w:r>
        <w:rPr>
          <w:rStyle w:val="ac"/>
          <w:rtl/>
        </w:rPr>
        <w:footnoteRef/>
      </w:r>
      <w:r>
        <w:rPr>
          <w:rtl/>
        </w:rPr>
        <w:t>ודוקא לענין ביטול רשות דעירובין מהני לקולא.</w:t>
      </w:r>
    </w:p>
  </w:footnote>
  <w:footnote w:id="975">
    <w:p w14:paraId="11AC3AFD" w14:textId="77777777" w:rsidR="00BE1D1C" w:rsidRDefault="00000000" w:rsidP="00012502">
      <w:pPr>
        <w:pStyle w:val="Footnote"/>
        <w:bidi/>
      </w:pPr>
      <w:r>
        <w:rPr>
          <w:rStyle w:val="ac"/>
          <w:rtl/>
        </w:rPr>
        <w:footnoteRef/>
      </w:r>
      <w:r>
        <w:rPr>
          <w:rtl/>
        </w:rPr>
        <w:t>ודוקא היכא דהורתו ולידתו בקדושה ונשתמד חוששין לקידושין. אבל משומד [לרצון] נחשב דבניו היו הורתם ולידתם שלא בקדושה.</w:t>
      </w:r>
    </w:p>
  </w:footnote>
  <w:footnote w:id="976">
    <w:p w14:paraId="175FBAC7" w14:textId="77777777" w:rsidR="00BE1D1C" w:rsidRDefault="00000000" w:rsidP="00012502">
      <w:pPr>
        <w:pStyle w:val="Footnote"/>
        <w:bidi/>
      </w:pPr>
      <w:r>
        <w:rPr>
          <w:rStyle w:val="ac"/>
          <w:rtl/>
        </w:rPr>
        <w:footnoteRef/>
      </w:r>
      <w:r>
        <w:rPr>
          <w:rtl/>
        </w:rPr>
        <w:t>וה</w:t>
      </w:r>
      <w:r>
        <w:rPr>
          <w:b/>
          <w:bCs/>
          <w:rtl/>
        </w:rPr>
        <w:t>מאירי</w:t>
      </w:r>
      <w:r>
        <w:rPr>
          <w:rtl/>
        </w:rPr>
        <w:t xml:space="preserve"> (ע"ז כו:) כת' דהנכנס לדת אחרת, דבנו הרי הוא כגוי גמור אף לענין גיטין וקידושין. [אך שם איירי משום שנכנס לדעת אחרת].</w:t>
      </w:r>
    </w:p>
  </w:footnote>
  <w:footnote w:id="977">
    <w:p w14:paraId="58B3F7E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ביאר דאשת אחיו שלא הי' בעולמו הכתוב עשאה עליו ערוה אף על פי שראויה להתייבם.</w:t>
      </w:r>
    </w:p>
  </w:footnote>
  <w:footnote w:id="978">
    <w:p w14:paraId="0B3A943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משמע דהוה גדר קורבא, אלא דאינו אח גמור לענין יבום. [ודמי לאשת אח מאם]. אבל מדברי ה</w:t>
      </w:r>
      <w:r w:rsidRPr="009F36E0">
        <w:rPr>
          <w:rFonts w:ascii="Narkisim" w:hAnsi="Narkisim"/>
          <w:b/>
          <w:bCs/>
          <w:rtl/>
        </w:rPr>
        <w:t>רמב"ן</w:t>
      </w:r>
      <w:r w:rsidRPr="009F36E0">
        <w:rPr>
          <w:rFonts w:ascii="Narkisim" w:hAnsi="Narkisim"/>
          <w:rtl/>
        </w:rPr>
        <w:t xml:space="preserve"> מבואר דליכא חסרון בקורבא, אלא בגדרי הנפילה ליבום. וכן </w:t>
      </w:r>
      <w:r w:rsidRPr="009F36E0">
        <w:rPr>
          <w:rFonts w:ascii="Narkisim" w:hAnsi="Narkisim"/>
          <w:b/>
          <w:bCs/>
          <w:rtl/>
        </w:rPr>
        <w:t>תוס'</w:t>
      </w:r>
      <w:r w:rsidRPr="009F36E0">
        <w:rPr>
          <w:rFonts w:ascii="Narkisim" w:hAnsi="Narkisim"/>
          <w:rtl/>
        </w:rPr>
        <w:t xml:space="preserve"> (בע"ב ד"ה אחוה) כת' דפשיטא דמיקרי אחים, אף דלא היה בעולמו.</w:t>
      </w:r>
    </w:p>
  </w:footnote>
  <w:footnote w:id="979">
    <w:p w14:paraId="6155C5E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והאחרונים העירו דבנפילה שניה ודאי אסורה מחמת איסור אשת אח דראשון, והוה איסור קורבא. [והרמב"ן איירי בנפילה ראשונה].</w:t>
      </w:r>
    </w:p>
  </w:footnote>
  <w:footnote w:id="980">
    <w:p w14:paraId="3295C4F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[ולקמן קי: מבואר דחכמים נתנו לאישות דרבנן גדר קנויה ואינה קנויה, או קנויה ומשויירת בדרבנן].</w:t>
      </w:r>
    </w:p>
  </w:footnote>
  <w:footnote w:id="981">
    <w:p w14:paraId="36B1613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תוס' מהר"ם</w:t>
      </w:r>
      <w:r w:rsidRPr="009F36E0">
        <w:rPr>
          <w:rFonts w:ascii="Narkisim" w:hAnsi="Narkisim"/>
          <w:rtl/>
        </w:rPr>
        <w:t xml:space="preserve"> (בסו"ד בשם הקדוש מדרויש) תי' דאף דאי"צ להמתין, נפק"מ היכא שהמתינה להנשא עד שתלד. דסד"א דמותרת לינשא [ולאחר שנשאת לא תזקק ליבם משום דרכי נועם], אבל היכא שנולד קודם שנשאת אסורה. [וצ"ע א"כ אף היכא דהיו לו בנים ומתו קודם שנשאת, נימא דל"ש בזה דרכי נועם. אלא דאמרי' דגדר הפטור משום שבשעת מיתה היו לו בנים, עי"ז אינה זקוקה כלל. וה"נ בשעת מיתה לא היו לו אחים].</w:t>
      </w:r>
    </w:p>
  </w:footnote>
  <w:footnote w:id="982">
    <w:p w14:paraId="4DEA502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ואף דנשאת לאחר בהיתר לא פקע הזיקה, וכ"מ </w:t>
      </w:r>
      <w:r w:rsidRPr="009F36E0">
        <w:rPr>
          <w:rFonts w:ascii="Narkisim" w:hAnsi="Narkisim"/>
          <w:b/>
          <w:bCs/>
          <w:rtl/>
        </w:rPr>
        <w:t>רש"י</w:t>
      </w:r>
      <w:r w:rsidRPr="009F36E0">
        <w:rPr>
          <w:rFonts w:ascii="Narkisim" w:hAnsi="Narkisim"/>
          <w:rtl/>
        </w:rPr>
        <w:t xml:space="preserve"> (פז:). וע' </w:t>
      </w:r>
      <w:r w:rsidRPr="009F36E0">
        <w:rPr>
          <w:rFonts w:ascii="Narkisim" w:hAnsi="Narkisim"/>
          <w:b/>
          <w:bCs/>
          <w:rtl/>
        </w:rPr>
        <w:t>תוס'</w:t>
      </w:r>
      <w:r w:rsidRPr="009F36E0">
        <w:rPr>
          <w:rFonts w:ascii="Narkisim" w:hAnsi="Narkisim"/>
          <w:rtl/>
        </w:rPr>
        <w:t xml:space="preserve"> (לעיל טז. ורע"א שם) האם איסור אשת איש מפקיע זיקה.</w:t>
      </w:r>
    </w:p>
  </w:footnote>
  <w:footnote w:id="983">
    <w:p w14:paraId="31116FE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ה</w:t>
      </w:r>
      <w:r w:rsidRPr="009F36E0">
        <w:rPr>
          <w:rFonts w:ascii="Narkisim" w:hAnsi="Narkisim"/>
          <w:b/>
          <w:bCs/>
          <w:rtl/>
        </w:rPr>
        <w:t>אחרונים</w:t>
      </w:r>
      <w:r w:rsidRPr="009F36E0">
        <w:rPr>
          <w:rFonts w:ascii="Narkisim" w:hAnsi="Narkisim"/>
          <w:rtl/>
        </w:rPr>
        <w:t xml:space="preserve"> הקשו דאפשר לחלוץ בעודה נשואה לו, וכמו שהוכיחו מהא דלעיל טו. [אלא שאם היבם רוצה לייבם, צריך לגרש]. ועוד יל"פ תצא עד שיגדל ותחלוץ.</w:t>
      </w:r>
    </w:p>
  </w:footnote>
  <w:footnote w:id="984">
    <w:p w14:paraId="04FE262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דכל זמן שיש אפשרות שיגיע לידי הקמת שם אסורה לינשא. ושייך סברת דרכי נועם במה שהיא עגונה [כל חיי חמיה].</w:t>
      </w:r>
    </w:p>
  </w:footnote>
  <w:footnote w:id="985">
    <w:p w14:paraId="250A024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הביא דע"ד זה אי' בירושלמי, שמקשה מעתה דאפי' מתה אמו [של מת] תהא אשתו אסורה לינשא, שמא ילך אביו וישא אשה אחרת ויוליד בן ותהא אשתו זקוקה ליבום. והירושלמי דחה דא"כ לכתוב קרא ובן ואב אין לו וכו'. וע”כ כשאביו קיים רשאי לינשא.</w:t>
      </w:r>
    </w:p>
  </w:footnote>
  <w:footnote w:id="986">
    <w:p w14:paraId="0C06376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בכוונתו אמאי ס"ד דתיאסר לינשא קודם שנולד, הרי עדיין אינה זקוקה לו, ועוד תהא מותרת מדין רוב. וע' בסמוך.</w:t>
      </w:r>
    </w:p>
  </w:footnote>
  <w:footnote w:id="987">
    <w:p w14:paraId="658873E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[שכל יבמה שאינה נקראת בשעת נפילה יבמה יבא עליה הרי היא כאשת אח שיש לה בנים, ונאסרה לעולם. כדלקמן ל. וכ”מ].</w:t>
      </w:r>
    </w:p>
  </w:footnote>
  <w:footnote w:id="988">
    <w:p w14:paraId="3ED3976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[וכ"מ ממש"כ </w:t>
      </w:r>
      <w:r w:rsidRPr="009F36E0">
        <w:rPr>
          <w:rFonts w:ascii="Narkisim" w:hAnsi="Narkisim"/>
          <w:b/>
          <w:bCs/>
          <w:rtl/>
        </w:rPr>
        <w:t>רש"י</w:t>
      </w:r>
      <w:r w:rsidRPr="009F36E0">
        <w:rPr>
          <w:rFonts w:ascii="Narkisim" w:hAnsi="Narkisim"/>
          <w:rtl/>
        </w:rPr>
        <w:t xml:space="preserve"> (פז:) דע”כ בן אין לו היינו בשעת מיתה, והא יש לו. דדרכי נועם גילה דנחשב דיש לו בן].</w:t>
      </w:r>
    </w:p>
  </w:footnote>
  <w:footnote w:id="989">
    <w:p w14:paraId="5663F12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דס"ד דכל זמן שאינו חי, יש סיבה שצריך יבום. קמ"ל דנפילה ליבום תלי בשעת מיתה.</w:t>
      </w:r>
    </w:p>
  </w:footnote>
  <w:footnote w:id="990">
    <w:p w14:paraId="532761D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לא הוה גדר דאח זה [שלא היה בעולם] ל"ש יבום, אלא דליכא נפילה ליבום לאחר זמן. [ויל"ד למסקנא, ע"פ דברי הרמב"ן].</w:t>
      </w:r>
    </w:p>
  </w:footnote>
  <w:footnote w:id="991">
    <w:p w14:paraId="28E1A54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ועד"ז הביא הרמב"ן הביא צד דלא היה ס"ד דזקוקה לזה, אלא דהיכא שזקוקה ליבם אחר, אם ירצה זה שנולד יכול לייבם או לחלוץ, וכת' דאינו נכון בעיניו כלל. [ומדברי הרמב"ן משמע דלהך תי' אף כשמת היבם השני, אינה אסורה לשוק מחמת אח הנולד, אלא הוה רשות לייבם. [וצ"ע]. ולדברי הרשב"א עכשיו זקוקה לזה].</w:t>
      </w:r>
    </w:p>
    <w:p w14:paraId="738DD69A"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אחרונים</w:t>
      </w:r>
      <w:r w:rsidRPr="009F36E0">
        <w:rPr>
          <w:rFonts w:ascii="Narkisim" w:hAnsi="Narkisim"/>
          <w:rtl/>
        </w:rPr>
        <w:t xml:space="preserve"> (חי' ר' ראובן) ביארו דהרמב"ן פליג משום דס"ל דדרכי נועם הוה סימן דלא חל זיקה אח"כ, א"כ אף כשיש שאר אחים.</w:t>
      </w:r>
    </w:p>
  </w:footnote>
  <w:footnote w:id="992">
    <w:p w14:paraId="236EB4E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וע"פ הגמ' (לקמן כז) דאף היכא דלא מדחיא מהאי ביתא לגמרי אסורה עולמית, ונאמר פטור דרכי נועם. [אבל דעת שאר ראשונים דהוה משום 'נאסרה', ולא מצאנו דרכי נועם כשזקוקה ליבם אחר].</w:t>
      </w:r>
    </w:p>
  </w:footnote>
  <w:footnote w:id="993">
    <w:p w14:paraId="691FBFF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והירושלמי ביארה אלו מת והניח אשתו מעוברת, שמא אי"צ להמתין ולידע אם בן קיימא הוא אם אינו בן קיימא [ע' בסוגיא לקמן לה:], אף הכא צריכה להמתין ולידע. [אך העירו דהתם כל ולד בן קיימא פוטר, ואילו הכא מחצה נקיבות, בצירוף מיעוט מפילות].</w:t>
      </w:r>
    </w:p>
  </w:footnote>
  <w:footnote w:id="994">
    <w:p w14:paraId="0215293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(ו ב) הביא מכאן דחל זיקה ליבום אף שלא בשעת מיתה. ובכל יבם [שנאסרה בשעת נפילה, וחזרה להיתר] לא חל כיון ד'נפטרה' ממנו, אבל שלא בעולמו לא שייך לומר דנפטרה, וגם ל"ש דרכי נועם.</w:t>
      </w:r>
    </w:p>
  </w:footnote>
  <w:footnote w:id="995">
    <w:p w14:paraId="00DB412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[ונח' בזה התנאים, ע' לקמן סז. וב”ב קמא:]. ואף דל"ש יבום וחליצה בפועל.</w:t>
      </w:r>
    </w:p>
  </w:footnote>
  <w:footnote w:id="996">
    <w:p w14:paraId="765F600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וע"כ דליכא ס"ד דעובר זוקק, וכל הנידון משום דידעי' שיוולד ותזקק אח"כ. [וכ"ש אי נימא דגדר המיעוט שלא היה בעולמו משום דלא חל זיקה אלא בשעת מיתה].</w:t>
      </w:r>
    </w:p>
    <w:p w14:paraId="43F36B0A" w14:textId="77777777" w:rsidR="006074A5" w:rsidRPr="009F36E0" w:rsidRDefault="006074A5" w:rsidP="006074A5">
      <w:pPr>
        <w:pStyle w:val="Footnote"/>
        <w:bidi/>
        <w:rPr>
          <w:rFonts w:ascii="Narkisim" w:hAnsi="Narkisim"/>
        </w:rPr>
      </w:pPr>
      <w:r w:rsidRPr="009F36E0">
        <w:rPr>
          <w:rFonts w:ascii="Narkisim" w:hAnsi="Narkisim"/>
          <w:rtl/>
        </w:rPr>
        <w:tab/>
        <w:t>[ויש לדחות דמשמעות 'יחדיו' שהיו בעולם כא', ואף דעובר יורש וזוקק, מ"מ לא היה עמו בעולם].</w:t>
      </w:r>
    </w:p>
  </w:footnote>
  <w:footnote w:id="997">
    <w:p w14:paraId="6C5E338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ויש שהביאו דאפשר דנח' בזה אביי ורבא. דרבא (קידושין ס.) ס"ל היכא דנתן גט שמתחיל מהיום ונגמר לאחר זמן [כשרגא דליבני] ומת, שהמיתה משלים את הגט. [ולא נחשב גט דמשייר בה]. ואביי חלק דגט מוציאה מרשות יבם מיתה מכנסה לרשות יבם. [ואביי ס"ל דבמקום יבם המיתה אינו מתיר לעלמא].</w:t>
      </w:r>
    </w:p>
  </w:footnote>
  <w:footnote w:id="998">
    <w:p w14:paraId="74EB942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ע"ע בהמשך העמ' הגדר מ"ד יש זיקה, ואף למ"ד אין זיקה היבמה זקוקה ליבם (יתבאר בהמשך).</w:t>
      </w:r>
    </w:p>
  </w:footnote>
  <w:footnote w:id="999">
    <w:p w14:paraId="0C9FEC1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 דלדעת ר' אושעיא אליבא דר' שמעון (לקמן יח:) אמרי' זיקה ככנוסה [והוה כאשתו של יבם לאיסור קרובים וכו'], ומבואר דגדר זיקה הוה מחמת היבם.</w:t>
      </w:r>
    </w:p>
    <w:p w14:paraId="6E3130A7" w14:textId="77777777" w:rsidR="006074A5" w:rsidRPr="009F36E0" w:rsidRDefault="006074A5" w:rsidP="006074A5">
      <w:pPr>
        <w:pStyle w:val="Footnote"/>
        <w:bidi/>
        <w:rPr>
          <w:rFonts w:ascii="Narkisim" w:hAnsi="Narkisim"/>
        </w:rPr>
      </w:pPr>
      <w:r w:rsidRPr="009F36E0">
        <w:rPr>
          <w:rFonts w:ascii="Narkisim" w:hAnsi="Narkisim"/>
          <w:rtl/>
        </w:rPr>
        <w:tab/>
        <w:t>{וציין (בהג') לדברי ה</w:t>
      </w:r>
      <w:r w:rsidRPr="009F36E0">
        <w:rPr>
          <w:rFonts w:ascii="Narkisim" w:hAnsi="Narkisim"/>
          <w:b/>
          <w:bCs/>
          <w:rtl/>
        </w:rPr>
        <w:t>ריקאנטי</w:t>
      </w:r>
      <w:r w:rsidRPr="009F36E0">
        <w:rPr>
          <w:rFonts w:ascii="Narkisim" w:hAnsi="Narkisim"/>
          <w:rtl/>
        </w:rPr>
        <w:t xml:space="preserve"> (בראשית לח ד"ה ונשאר) שביאר הא דהאשה משועבדת ליבום בע"כ, כי האשה תחת בעלה, אף כי אחרי מותו, הלא תראה שנעשת כשפחה לחלוץ מנעל}.</w:t>
      </w:r>
    </w:p>
  </w:footnote>
  <w:footnote w:id="1000">
    <w:p w14:paraId="702471F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וצ"ב דאי הוה בכלל היתר דמיתת הבעל, א"כ במה נשאר אישות. ויל"פ דכל זה בשורש הדבר, אך באמת הוה רק מחמת היבם. ולולי היבם היה פוקע אישות הבעל, כיון דלא נשאר ממנו נפק"מ. אלא דאישות המת עדיין קיימת כיון דהיבם עומד לקום תחתיו, והוה המשך האישות.</w:t>
      </w:r>
    </w:p>
  </w:footnote>
  <w:footnote w:id="1001">
    <w:p w14:paraId="4136433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ועוד פי' הקובה"ע דמיתת הבעל מתיר [וכמו גט], אלא דעדיין מיקריא שארו [והעמיד דנח' בזה </w:t>
      </w:r>
      <w:r w:rsidRPr="009F36E0">
        <w:rPr>
          <w:rFonts w:ascii="Narkisim" w:hAnsi="Narkisim"/>
          <w:b/>
          <w:bCs/>
          <w:rtl/>
        </w:rPr>
        <w:t>התוס</w:t>
      </w:r>
      <w:r w:rsidRPr="009F36E0">
        <w:rPr>
          <w:rFonts w:ascii="Narkisim" w:hAnsi="Narkisim"/>
          <w:rtl/>
        </w:rPr>
        <w:t>', ע' לקמן נה:]. והזיקה ליבום הוה מחמת דהוה שארו. [ואילו מהני גט לאחר מיתה היה נפקע ה'שאר', ועי"ז פקע הזיקה].</w:t>
      </w:r>
    </w:p>
  </w:footnote>
  <w:footnote w:id="1002">
    <w:p w14:paraId="59BE61E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מהרי"ט</w:t>
      </w:r>
      <w:r w:rsidRPr="009F36E0">
        <w:rPr>
          <w:rFonts w:ascii="Narkisim" w:hAnsi="Narkisim"/>
          <w:rtl/>
        </w:rPr>
        <w:t xml:space="preserve"> הביא ד</w:t>
      </w:r>
      <w:r w:rsidRPr="009F36E0">
        <w:rPr>
          <w:rFonts w:ascii="Narkisim" w:hAnsi="Narkisim"/>
          <w:b/>
          <w:bCs/>
          <w:rtl/>
        </w:rPr>
        <w:t>מהר"י ב"ל</w:t>
      </w:r>
      <w:r w:rsidRPr="009F36E0">
        <w:rPr>
          <w:rFonts w:ascii="Narkisim" w:hAnsi="Narkisim"/>
          <w:rtl/>
        </w:rPr>
        <w:t xml:space="preserve"> (א טו בסופו) שדן באנוסים דיש ספק שמא בא מנכרי, כיון דהבעל פריש לפנינו, מרובה פריש. או דלמא נלך אחר היבם, והיבם קבוע. והמהרי"ט תמה דודאי תלי ביבם, ולא תלי בבעל. ואילו לצד זה במהר"י ב"ל תלי בבעל.</w:t>
      </w:r>
    </w:p>
  </w:footnote>
  <w:footnote w:id="1003">
    <w:p w14:paraId="77BE1C6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והמהרי"ט ציין דכ"מ בדברי ה</w:t>
      </w:r>
      <w:r w:rsidRPr="009F36E0">
        <w:rPr>
          <w:rFonts w:ascii="Narkisim" w:hAnsi="Narkisim"/>
          <w:b/>
          <w:bCs/>
          <w:rtl/>
        </w:rPr>
        <w:t>ר"א משנזא</w:t>
      </w:r>
      <w:r w:rsidRPr="009F36E0">
        <w:rPr>
          <w:rFonts w:ascii="Narkisim" w:hAnsi="Narkisim"/>
          <w:rtl/>
        </w:rPr>
        <w:t xml:space="preserve"> (בתוס' קידושין ד:) מה ליבמה שכן זקוקה ועומדת, שביאת יבום גומרת קדושי ראשון. ודחה דאפי' תימא קידושי ראשון גרמו לה, השתא מיהת אי ליתיה ליבם כלום יש עליה זיקה כלל.</w:t>
      </w:r>
    </w:p>
  </w:footnote>
  <w:footnote w:id="1004">
    <w:p w14:paraId="53556F1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ויש שהביאו מה</w:t>
      </w:r>
      <w:r w:rsidRPr="009F36E0">
        <w:rPr>
          <w:rFonts w:ascii="Narkisim" w:hAnsi="Narkisim"/>
          <w:b/>
          <w:bCs/>
          <w:rtl/>
        </w:rPr>
        <w:t>ספרי</w:t>
      </w:r>
      <w:r w:rsidRPr="009F36E0">
        <w:rPr>
          <w:rFonts w:ascii="Narkisim" w:hAnsi="Narkisim"/>
          <w:rtl/>
        </w:rPr>
        <w:t xml:space="preserve"> (תצא רלו) עה"פ (דברים כב כב) בעולת בעל, ר' ישמעאל אומר בא הכתוב ללמדך על היבמה שהבא עליה אינו חייב עד שתבעל [תתייבם]. [דס"ד דזיקה או מאמר הוה אישות ליבם לחייב כשזינתה, קמ"ל דאינו נקרא 'בעל'].</w:t>
      </w:r>
    </w:p>
  </w:footnote>
  <w:footnote w:id="1005">
    <w:p w14:paraId="0F92C78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ואי יש בה איסור איסור אשת איש [אלא דאקלישא אסורא במיתת הבעל] א"כ תהוי נמי נאסרת בזנות.</w:t>
      </w:r>
    </w:p>
  </w:footnote>
  <w:footnote w:id="1006">
    <w:p w14:paraId="0CFE470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והאתוון דאורייתא הביא דלחד לישנא (לקמן צו.) נח' בזה רב ושמואל, ונקטו הלשון אי יבמה הרי היא כאשת איש. וביאר (ד"ה ועי"ל) דנח' בחקירה הנ"ל אי האיסור הוה מחמת היבם [ולא נתחדש בזה איסור סוטה] או מחמת אישות הבעל ומש"ה הוה כמו סוטה. [וזהו דנקטו הלשון כאשת איש].</w:t>
      </w:r>
    </w:p>
    <w:p w14:paraId="11F803CE" w14:textId="77777777" w:rsidR="006074A5" w:rsidRPr="009F36E0" w:rsidRDefault="006074A5" w:rsidP="006074A5">
      <w:pPr>
        <w:pStyle w:val="Footnote"/>
        <w:bidi/>
        <w:rPr>
          <w:rFonts w:ascii="Narkisim" w:hAnsi="Narkisim"/>
        </w:rPr>
      </w:pPr>
      <w:r w:rsidRPr="009F36E0">
        <w:rPr>
          <w:rFonts w:ascii="Narkisim" w:hAnsi="Narkisim"/>
          <w:rtl/>
        </w:rPr>
        <w:tab/>
        <w:t>ועוד פי' (לעיל שם) דנח' [בחקירה בסמוך] אי איסור יבמה לשוק הוה איסור אישות [ליבם או לבעל], ומש"ה נאסרה בזנות. או דהוה איסור לאו בעלמא, מש"ה לא תאסר בזנות.</w:t>
      </w:r>
    </w:p>
  </w:footnote>
  <w:footnote w:id="1007">
    <w:p w14:paraId="72B6C00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מהרי"ט</w:t>
      </w:r>
      <w:r w:rsidRPr="009F36E0">
        <w:rPr>
          <w:rFonts w:ascii="Narkisim" w:hAnsi="Narkisim"/>
          <w:rtl/>
        </w:rPr>
        <w:t xml:space="preserve"> הביא עוד דקי"ל (לקמן קז.) מיאנה בזה מותרת לזה ולא דמיא לבעלת הגט. [דהמיאון מהני כלפי כל יבם בפנ"ע]. אבל האתוון הביא דיש מ"ד (שם) דמהני מיאון באישות המת.</w:t>
      </w:r>
    </w:p>
  </w:footnote>
  <w:footnote w:id="1008">
    <w:p w14:paraId="67F12C8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אמנם דעת </w:t>
      </w:r>
      <w:r w:rsidRPr="009F36E0">
        <w:rPr>
          <w:rFonts w:ascii="Narkisim" w:hAnsi="Narkisim"/>
          <w:b/>
          <w:bCs/>
          <w:rtl/>
        </w:rPr>
        <w:t>ר"ת</w:t>
      </w:r>
      <w:r w:rsidRPr="009F36E0">
        <w:rPr>
          <w:rFonts w:ascii="Narkisim" w:hAnsi="Narkisim"/>
          <w:rtl/>
        </w:rPr>
        <w:t xml:space="preserve"> (בתוס' לקמן סז:) דאוכלת בתרומה דחשיבא קנין כספו של יבם. והמהרי"ט כת' דאף לדעת ר"ת לא הוה קנינו. [וע"ע מש"כ לקמן שם].</w:t>
      </w:r>
    </w:p>
  </w:footnote>
  <w:footnote w:id="1009">
    <w:p w14:paraId="2A46E1A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ובאמת ה</w:t>
      </w:r>
      <w:r w:rsidRPr="009F36E0">
        <w:rPr>
          <w:rFonts w:ascii="Narkisim" w:hAnsi="Narkisim"/>
          <w:b/>
          <w:bCs/>
          <w:rtl/>
        </w:rPr>
        <w:t>קצות</w:t>
      </w:r>
      <w:r w:rsidRPr="009F36E0">
        <w:rPr>
          <w:rFonts w:ascii="Narkisim" w:hAnsi="Narkisim"/>
          <w:rtl/>
        </w:rPr>
        <w:t xml:space="preserve"> (קפח ב) דייק מדברי </w:t>
      </w:r>
      <w:r w:rsidRPr="009F36E0">
        <w:rPr>
          <w:rFonts w:ascii="Narkisim" w:hAnsi="Narkisim"/>
          <w:b/>
          <w:bCs/>
          <w:rtl/>
        </w:rPr>
        <w:t>רש"י</w:t>
      </w:r>
      <w:r w:rsidRPr="009F36E0">
        <w:rPr>
          <w:rFonts w:ascii="Narkisim" w:hAnsi="Narkisim"/>
          <w:rtl/>
        </w:rPr>
        <w:t xml:space="preserve"> (גיטין ט: ויג.) דהטעם דאין גט לאחר מיתה, משום דאין מה לגרש. [ואכמ"ל]. [והאתוון דחה את דברי הקצות, לפי מה שצידד דאיסור יבמה לשוק הוא מפאת הבעל, וכשיש יבם עדיין שלא סר אישות הבעל לגמרי, א"כ הוה כנשתטה].</w:t>
      </w:r>
    </w:p>
  </w:footnote>
  <w:footnote w:id="1010">
    <w:p w14:paraId="7C4AD77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ה</w:t>
      </w:r>
      <w:r w:rsidRPr="009F36E0">
        <w:rPr>
          <w:rFonts w:ascii="Narkisim" w:hAnsi="Narkisim"/>
          <w:b/>
          <w:bCs/>
          <w:rtl/>
        </w:rPr>
        <w:t>קובה"ע</w:t>
      </w:r>
      <w:r w:rsidRPr="009F36E0">
        <w:rPr>
          <w:rFonts w:ascii="Narkisim" w:hAnsi="Narkisim"/>
          <w:rtl/>
        </w:rPr>
        <w:t xml:space="preserve"> (הוספות ו) הק' בהא דאמרי' דאין גט לאחר מיתה, תיפו"ל דהגט מגרש רק מכאן ולהבא. וכיון דבשעת מיתה [קודם הגט] היתה זקוקה ליבום, מה יועיל הגט לפוטרה מזיקה. וכת' דמכאן מוכח דזקוקה משום שעדיין נשאר קצת אישות מהבעל, וכיון שע"י גט פקעה אישות הבעל לגמרי [אפי' מכאן ולהבא], שוב אינה זקוקה. ואף שכבר נזקקה, מ"מ הזיקה תלויה בכל שעה באישות הבעל. אך הק' מהגמ' (גיטין פג: הנ"ל) דיבם הוא דקאסר לה, דמבעל הא שריא וקיימא. והקובה"ע תי' דמשום 'קצת אישות' של הבעל אינה אסורה לשוק, אלא שזה גורם שתהא 'זקוקה', והזיקה ליבם אוסרתה לשוק. [הו' לעיל].</w:t>
      </w:r>
    </w:p>
  </w:footnote>
  <w:footnote w:id="1011">
    <w:p w14:paraId="5E390BB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[בתחילת דבריו, וד"ה והנה מה שנסתפקתי].</w:t>
      </w:r>
    </w:p>
  </w:footnote>
  <w:footnote w:id="1012">
    <w:p w14:paraId="4D82F4F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בין לצד דהאיסור מחמת הבעל, או אי האיסור מחמת אישות ליבם.</w:t>
      </w:r>
    </w:p>
  </w:footnote>
  <w:footnote w:id="1013">
    <w:p w14:paraId="33FDB71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וע"י מיתת הבעל ניתק מחיוב מיתה ללאו. והביא דוגמא לדבר דאיצטריך קרא דמיתת הבעל מתיר, דס"ד (קידושין יג:) דמיתת הבעל אינו מתיר [לגמרי], אלא דקאי בעשה. והגמ' פי' מידי דהוה אפסולי המוקדשים, דמעיקרא יש מעילה, וכשפודה נשאר איסור גיזה ועבודה.</w:t>
      </w:r>
    </w:p>
    <w:p w14:paraId="27661978" w14:textId="77777777" w:rsidR="006074A5" w:rsidRPr="009F36E0" w:rsidRDefault="006074A5" w:rsidP="006074A5">
      <w:pPr>
        <w:pStyle w:val="Footnote"/>
        <w:bidi/>
        <w:rPr>
          <w:rFonts w:ascii="Narkisim" w:hAnsi="Narkisim"/>
        </w:rPr>
      </w:pPr>
      <w:r w:rsidRPr="009F36E0">
        <w:rPr>
          <w:rFonts w:ascii="Narkisim" w:hAnsi="Narkisim"/>
          <w:rtl/>
        </w:rPr>
        <w:tab/>
        <w:t>ובגמ' (לקמן קד.) אי' דנח' תנאים אי מהני חליצה בלילה, אי הוה כתחילת דין או כגמר דין. וה</w:t>
      </w:r>
      <w:r w:rsidRPr="009F36E0">
        <w:rPr>
          <w:rFonts w:ascii="Narkisim" w:hAnsi="Narkisim"/>
          <w:b/>
          <w:bCs/>
          <w:rtl/>
        </w:rPr>
        <w:t>או"ז</w:t>
      </w:r>
      <w:r w:rsidRPr="009F36E0">
        <w:rPr>
          <w:rFonts w:ascii="Narkisim" w:hAnsi="Narkisim"/>
          <w:rtl/>
        </w:rPr>
        <w:t xml:space="preserve"> (שו"ת תשמה) ביאר דמ"ד דהוה גמר דין, שבחיי בעלה היתה באיסור מיתה לשוק, מת בעלה פקעה מיתה ועדיין איסור לאו מורכב עליה. והחליצה מפקיע לאיסור לאו. ומ"ד כתחילת דין מפני שיבמה לשוק בלאו, והשתא הוא דמתחיל להתירה. [ולא הוה מחמת היתר הבעל].</w:t>
      </w:r>
    </w:p>
  </w:footnote>
  <w:footnote w:id="1014">
    <w:p w14:paraId="12EBCCD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והוה איסור ביאה בעלמא. וכת' דנפק"מ דלפ"ז לא נחשב 'עריות' לענין יהרג ואל יעבור, אלא כשאר חייבי לאוין.</w:t>
      </w:r>
    </w:p>
  </w:footnote>
  <w:footnote w:id="1015">
    <w:p w14:paraId="7B1E091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ע' תוס' לקמן לו: ד"ה הא. והגמ' לקמן מב. מבואר דלא הוה תקנת ערוה. ועוד הביא דבגמ' (ב"מ כ:) פשטו דלא חיישינן לשמו כשמה בגט, דומיא דשטרי חליצות. ואף דתוס' (שם) פי' דהנידון משום דהחמירו באיסור אשת איש.</w:t>
      </w:r>
    </w:p>
  </w:footnote>
  <w:footnote w:id="1016">
    <w:p w14:paraId="4A4F2E3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(ב"ב שם) כת' דאיסור חנק לאו דוקא, דהכא הוה לאו בעלמא. [אלא דנקט הכי אגב הגמ' קידושין יב:]. וע"ע רמב"ן (שם קלד:).</w:t>
      </w:r>
    </w:p>
  </w:footnote>
  <w:footnote w:id="1017">
    <w:p w14:paraId="5AACC7D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ב"ח</w:t>
      </w:r>
      <w:r w:rsidRPr="009F36E0">
        <w:rPr>
          <w:rFonts w:ascii="Narkisim" w:hAnsi="Narkisim"/>
          <w:rtl/>
        </w:rPr>
        <w:t xml:space="preserve"> (עה"ג) ביאר דאף יבמה לשוק היא בחזקת איסור אשת איש. ולא מפקינן מחזקת איסור. [אך רבינו יונה (שם) כת' משום מחזקינן מאיסור לאיסור].</w:t>
      </w:r>
    </w:p>
  </w:footnote>
  <w:footnote w:id="1018">
    <w:p w14:paraId="317ACD4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מהרי"ט</w:t>
      </w:r>
      <w:r w:rsidRPr="009F36E0">
        <w:rPr>
          <w:rFonts w:ascii="Narkisim" w:hAnsi="Narkisim"/>
          <w:rtl/>
        </w:rPr>
        <w:t xml:space="preserve"> (הנ"ל ד"ה אי קשיא) הק' משם דחזינן דהזיקה הוה משום דלא פקע אישות המת. ודחה דודאי פקע אישות המת, אלא דאפ"ה מקרי חזקת איסור. דמחזיקין מאיסור לאיסור. וכי תימא שאני איסור יבמה דהוי בלאו ולא מחמירינן בה כמו א"א החמורה. ודחה דכל איסורי תורה לחומרא [ע”ע לקמן קיט.].</w:t>
      </w:r>
    </w:p>
  </w:footnote>
  <w:footnote w:id="1019">
    <w:p w14:paraId="4F23198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ותלי במח' (ע' לקמן פח.) אי עד א' נאמן כנגד אתחזק איסורא.</w:t>
      </w:r>
    </w:p>
  </w:footnote>
  <w:footnote w:id="1020">
    <w:p w14:paraId="1096407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ס' התרומה</w:t>
      </w:r>
      <w:r w:rsidRPr="009F36E0">
        <w:rPr>
          <w:rFonts w:ascii="Narkisim" w:hAnsi="Narkisim"/>
          <w:rtl/>
        </w:rPr>
        <w:t xml:space="preserve"> (הל' חליצה קלג, הו' בהג' מיימוני אישות ב כג ובמרדכי שם בתו”ד) כת' דהאב אינו נאמן על בנו לחליצה, דהוי דבר שבערוה.</w:t>
      </w:r>
    </w:p>
    <w:p w14:paraId="6F34879F"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אחרונים</w:t>
      </w:r>
      <w:r w:rsidRPr="009F36E0">
        <w:rPr>
          <w:rFonts w:ascii="Narkisim" w:hAnsi="Narkisim"/>
          <w:rtl/>
        </w:rPr>
        <w:t xml:space="preserve"> הביאו דלכאורה מבואר (לקמן צג:) דעד א' אינו נאמן על מיתת היבם. [אך דנו די"ל דהטעם משום דאתחזק איסורא, וכ”כ בשו"ת הרא”ש (נב ה, הו' בב"י אה"ע קנז)]. ע"ע ריא"ז (קידושין עח. פ"ד הל' א טז, הו' בשלט"ג שם לב. בדה"ר).</w:t>
      </w:r>
    </w:p>
  </w:footnote>
  <w:footnote w:id="1021">
    <w:p w14:paraId="4D43CFE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lang w:val="he-IL"/>
        </w:rPr>
        <w:t>ועוד נח' דנו ה</w:t>
      </w:r>
      <w:r w:rsidRPr="009F36E0">
        <w:rPr>
          <w:rFonts w:ascii="Narkisim" w:hAnsi="Narkisim"/>
          <w:b/>
          <w:bCs/>
          <w:rtl/>
          <w:lang w:val="he-IL"/>
        </w:rPr>
        <w:t>אחרונים</w:t>
      </w:r>
      <w:r w:rsidRPr="009F36E0">
        <w:rPr>
          <w:rFonts w:ascii="Narkisim" w:hAnsi="Narkisim"/>
          <w:rtl/>
          <w:lang w:val="he-IL"/>
        </w:rPr>
        <w:t xml:space="preserve"> (לקמן קד.) אי יבום וחליצה צריך עדות לקיומי. [עי' משנ"ל ב ד, ואכמ"ל].</w:t>
      </w:r>
    </w:p>
  </w:footnote>
  <w:footnote w:id="1022">
    <w:p w14:paraId="3D8BB58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ולשון המרדכי צריך תיקון, ואכמ"ל. [ובסו"ד המרדכי (נט בשם רבינו יואל) כת' דכללא הוא כל היכא דאיתחזק איסורא, כגון טבל ואשת איש, ל"מ אלא בעדים. משמע דהטעם דאתחזק איסורא. ואין חילוק בין עריות לאיסורין].</w:t>
      </w:r>
    </w:p>
  </w:footnote>
  <w:footnote w:id="1023">
    <w:p w14:paraId="33C0938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הביא הנתיבות (בשו"ת רע"א מכת"י צ), ורע"א (ק קכד) האריך לתמוה בזה. וע"ע קה"י (לג).</w:t>
      </w:r>
    </w:p>
  </w:footnote>
  <w:footnote w:id="1024">
    <w:p w14:paraId="7DE8697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דה</w:t>
      </w:r>
      <w:r w:rsidRPr="009F36E0">
        <w:rPr>
          <w:rFonts w:ascii="Narkisim" w:hAnsi="Narkisim"/>
          <w:b/>
          <w:bCs/>
          <w:rtl/>
        </w:rPr>
        <w:t>רשב"א</w:t>
      </w:r>
      <w:r w:rsidRPr="009F36E0">
        <w:rPr>
          <w:rFonts w:ascii="Narkisim" w:hAnsi="Narkisim"/>
          <w:rtl/>
        </w:rPr>
        <w:t xml:space="preserve"> (לקמן קיא:) כתב כעי"ז, ד</w:t>
      </w:r>
      <w:r w:rsidRPr="009F36E0">
        <w:rPr>
          <w:rFonts w:ascii="Narkisim" w:hAnsi="Narkisim"/>
          <w:b/>
          <w:bCs/>
          <w:rtl/>
        </w:rPr>
        <w:t>ר"ח</w:t>
      </w:r>
      <w:r w:rsidRPr="009F36E0">
        <w:rPr>
          <w:rFonts w:ascii="Narkisim" w:hAnsi="Narkisim"/>
          <w:rtl/>
        </w:rPr>
        <w:t xml:space="preserve"> ס"ל דספק סריס אמרי' דנאסרה בשעת נפילה. וה</w:t>
      </w:r>
      <w:r w:rsidRPr="009F36E0">
        <w:rPr>
          <w:rFonts w:ascii="Narkisim" w:hAnsi="Narkisim"/>
          <w:b/>
          <w:bCs/>
          <w:rtl/>
        </w:rPr>
        <w:t>רשב”א</w:t>
      </w:r>
      <w:r w:rsidRPr="009F36E0">
        <w:rPr>
          <w:rFonts w:ascii="Narkisim" w:hAnsi="Narkisim"/>
          <w:rtl/>
        </w:rPr>
        <w:t xml:space="preserve"> חלק כיון דאם יבא אליהו מותר, והשתא נמי איגלאי מילתא למפרע. [והקשו סתירה ממש"כ בקו"א במעוברת. וצ"ל דמעוברת תליא במקרה העתיד].</w:t>
      </w:r>
    </w:p>
  </w:footnote>
  <w:footnote w:id="1025">
    <w:p w14:paraId="58223E9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הוסיף דאילו יעידו עדי שקר, וכי נאמר דאינו דרכי נועם שיתברר שזקוקה מתחילה, ה"נ ברוב איגלאי מילתא דההיתר היתה בטעות. [ותי' דצ"ל דעדי שקר אפשר לברר עכשיו, ולכן נקרא דרכי נועם. ועוד יש שחילקו דעדי שקר לאחר שנתברר].</w:t>
      </w:r>
    </w:p>
  </w:footnote>
  <w:footnote w:id="1026">
    <w:p w14:paraId="34C7EA3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פ</w:t>
      </w:r>
      <w:r w:rsidRPr="009F36E0">
        <w:rPr>
          <w:rFonts w:ascii="Narkisim" w:hAnsi="Narkisim"/>
          <w:b/>
          <w:bCs/>
          <w:rtl/>
        </w:rPr>
        <w:t>רש"י</w:t>
      </w:r>
      <w:r w:rsidRPr="009F36E0">
        <w:rPr>
          <w:rFonts w:ascii="Narkisim" w:hAnsi="Narkisim"/>
          <w:rtl/>
        </w:rPr>
        <w:t xml:space="preserve"> שמייבם אשת אחי אביו [ואליבא דאמת יש בזה לאו מיוחד לחד מ"ד (ע' לקמן צז. וד.), לא יגלה כנף אביו בשומרת יבם של אביו ולחד תי' אף לאחר מיתת אביו. וע' קר”א]. [ויל"ד להך ס"ד במקום שאביו קיים ויכול לייבם, האם אמרי' דהקרוב קודם].</w:t>
      </w:r>
    </w:p>
    <w:p w14:paraId="74712521"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תוס'</w:t>
      </w:r>
      <w:r w:rsidRPr="009F36E0">
        <w:rPr>
          <w:rFonts w:ascii="Narkisim" w:hAnsi="Narkisim"/>
          <w:rtl/>
        </w:rPr>
        <w:t xml:space="preserve"> (יומא ב:) הביאו דלהך ס”ד הדוד ייבם אשת בן אחיו. וב</w:t>
      </w:r>
      <w:r w:rsidRPr="009F36E0">
        <w:rPr>
          <w:rFonts w:ascii="Narkisim" w:hAnsi="Narkisim"/>
          <w:b/>
          <w:bCs/>
          <w:rtl/>
        </w:rPr>
        <w:t>חי' הגר"נ</w:t>
      </w:r>
      <w:r w:rsidRPr="009F36E0">
        <w:rPr>
          <w:rFonts w:ascii="Narkisim" w:hAnsi="Narkisim"/>
          <w:rtl/>
        </w:rPr>
        <w:t xml:space="preserve"> כת' דתרוייהו איתנהו, ולא פליגי. [ויל"ע דאשת בן אחיו מותרת לו, א"כ נימא דיש בזה את הענין של יבום, ע"פ מש"כ הרמב"ן עה"ת דאף בשאר קרובים שייך את הענין של יבום, אלא דלא התירה תורה].</w:t>
      </w:r>
    </w:p>
  </w:footnote>
  <w:footnote w:id="1027">
    <w:p w14:paraId="33AA6B6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כשאביו קיים.</w:t>
      </w:r>
    </w:p>
  </w:footnote>
  <w:footnote w:id="1028">
    <w:p w14:paraId="2BE8525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קוב"ש</w:t>
      </w:r>
      <w:r w:rsidRPr="009F36E0">
        <w:rPr>
          <w:rFonts w:ascii="Narkisim" w:hAnsi="Narkisim"/>
          <w:rtl/>
        </w:rPr>
        <w:t xml:space="preserve"> (ב"ב שלח) דייק מדברי רש"י דאח יורש ישיר מאחיו, ולא דרך משמוש. ונח' בזה הראשונים אי הוה גדר יורש מצד עצמו, או דרך אביהם בקבר. [דומיא דמש"כ הרשב"א לדון דיורש את אחי אביו דרך אביו בקבר]. וה</w:t>
      </w:r>
      <w:r w:rsidRPr="009F36E0">
        <w:rPr>
          <w:rFonts w:ascii="Narkisim" w:hAnsi="Narkisim"/>
          <w:b/>
          <w:bCs/>
          <w:rtl/>
        </w:rPr>
        <w:t>אחרונים</w:t>
      </w:r>
      <w:r w:rsidRPr="009F36E0">
        <w:rPr>
          <w:rFonts w:ascii="Narkisim" w:hAnsi="Narkisim"/>
          <w:rtl/>
        </w:rPr>
        <w:t xml:space="preserve"> דחו די"ל דמ"מ סוף סוף הוא דרך ירושה הרגילה.</w:t>
      </w:r>
    </w:p>
  </w:footnote>
  <w:footnote w:id="1029">
    <w:p w14:paraId="0AAAFB3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העירו דאינו יורש את אחי אביו ישיר, אלא דרך משמוש. [וע"ד מה שחילק הרשב"א לעיל, ובזה לא אמרי' מכח אבוה דאבא]. ויש שדנו דכוונת הרשב"א לצד דאח יורש את אחיו דרך משמוש, וכוונת הרשב"א ממ"נ להך לישנא אזלי' בתר משמוש.</w:t>
      </w:r>
    </w:p>
  </w:footnote>
  <w:footnote w:id="1030">
    <w:p w14:paraId="5C7353C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דפעמים שהאם מתה בחיי בעלה, למ"ד ירושת הבעל דאורייתא. והרשב"א הק' למ"ד ירושת הבעל דרבנן, ירושת האב והאם שווים. ותי' דמ"מ אינו מצוי שיש לה נכסים. ולא תלה רחמנא במיעוט נשים שיש להם נכסים.</w:t>
      </w:r>
    </w:p>
  </w:footnote>
  <w:footnote w:id="1031">
    <w:p w14:paraId="4F60DB7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אבנ"מ</w:t>
      </w:r>
      <w:r w:rsidRPr="009F36E0">
        <w:rPr>
          <w:rFonts w:ascii="Narkisim" w:hAnsi="Narkisim"/>
          <w:rtl/>
        </w:rPr>
        <w:t xml:space="preserve"> (ס"ס קנז) דן לפרש דברי הגאונים דכשנופלת לפני יבם מומר פטורה ע”פ סוגיין. דלמ"ד דמומר אינו יורש [ע' מרדכי קידושין תצב], א"כ הו"ל כאחים מם האם שאינם מיוחדים בנחלה לירש נחלה א'. וה</w:t>
      </w:r>
      <w:r w:rsidRPr="009F36E0">
        <w:rPr>
          <w:rFonts w:ascii="Narkisim" w:hAnsi="Narkisim"/>
          <w:b/>
          <w:bCs/>
          <w:rtl/>
        </w:rPr>
        <w:t>חת"ס</w:t>
      </w:r>
      <w:r w:rsidRPr="009F36E0">
        <w:rPr>
          <w:rFonts w:ascii="Narkisim" w:hAnsi="Narkisim"/>
          <w:rtl/>
        </w:rPr>
        <w:t xml:space="preserve"> (ב עד ד"ה שוב) כת' דתלי בב' הדרשות הנ"ל. ועע"ש שהאריך.</w:t>
      </w:r>
    </w:p>
  </w:footnote>
  <w:footnote w:id="1032">
    <w:p w14:paraId="51D15C7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ובחי' הרשב"א הו' </w:t>
      </w:r>
      <w:r w:rsidRPr="009F36E0">
        <w:rPr>
          <w:rFonts w:ascii="Narkisim" w:hAnsi="Narkisim"/>
          <w:b/>
          <w:bCs/>
          <w:rtl/>
        </w:rPr>
        <w:t>הג' מהר' שמואל הלוי בן חכם</w:t>
      </w:r>
      <w:r w:rsidRPr="009F36E0">
        <w:rPr>
          <w:rFonts w:ascii="Narkisim" w:hAnsi="Narkisim"/>
          <w:rtl/>
        </w:rPr>
        <w:t xml:space="preserve"> שתי' דלדעת רש"י בעי' תרוייהו, מיוחדין בנחלה שיורשין נחלה א' ויורשין זה את זה [וכדברי הריטב"א הנ"ל], ומש"ה גזיה"כ דבעי' שיורשים זה את זה. [וצ"ב דהרמב"ן הק' באחין מהאם, דחולקים נחלה. ונימא דע"י יבום חולקים בנחלה א'].</w:t>
      </w:r>
    </w:p>
  </w:footnote>
  <w:footnote w:id="1033">
    <w:p w14:paraId="67D45BE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ויש שהביאו דמדברי רש"י מוכח דיורש את האח [ישיר], ולא בתורת משמוש דרך אביו. [דהאב ודאי ל"ש לייבום].</w:t>
      </w:r>
    </w:p>
  </w:footnote>
  <w:footnote w:id="1034">
    <w:p w14:paraId="58D77D1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ומשמע דכוונת הרמב"ן דעד כמה שתרוייהו אחים, ל"ש לומר שהתורה בטלה ירושת שאר אחים והקדימה לזה. וע"כ דהוה תורת ירושה מחודשת. אבל לדעת רש"י מבואר דשייך דתרוייהו אחים, ואפ"ה קבעה תורה קדימה לאח זה.</w:t>
      </w:r>
    </w:p>
  </w:footnote>
  <w:footnote w:id="1035">
    <w:p w14:paraId="5DE7E8E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 </w:t>
      </w:r>
      <w:r w:rsidRPr="009F36E0">
        <w:rPr>
          <w:rFonts w:ascii="Narkisim" w:hAnsi="Narkisim"/>
          <w:b/>
          <w:bCs/>
          <w:rtl/>
        </w:rPr>
        <w:t>תוס' הרא"ש</w:t>
      </w:r>
      <w:r w:rsidRPr="009F36E0">
        <w:rPr>
          <w:rFonts w:ascii="Narkisim" w:hAnsi="Narkisim"/>
          <w:rtl/>
        </w:rPr>
        <w:t xml:space="preserve"> (לעיל ח.) דמבואר דס"ד דאשת אח מאם [ולא מאב] הוה חדא איסורא.</w:t>
      </w:r>
    </w:p>
  </w:footnote>
  <w:footnote w:id="1036">
    <w:p w14:paraId="24DF9DB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ומטעם זה לדעת בי"ש (לעיל יג:) בעינן שיהא איסור אשת אח כדי שתיפול ליבום. [ורמז דזה כוונת תוס' ג: דאין ללמוד משם עשה דל"ת, דמצוות בכך. וביאר האו"ש דהאיסור גורם להיתר. אבל משמעות תוס' שם דבכל מקום דא"א בענין אחר נחשב מצוותו בכך].</w:t>
      </w:r>
    </w:p>
  </w:footnote>
  <w:footnote w:id="1037">
    <w:p w14:paraId="31B1881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ולא נתבאר בדבריו מה המסקנא, ומשמע דאיסור אשת אח מאם [באח מאב ומאם] הוה בגדר הותרה מחמת המצווה. [ודוחק]. ולכאורה במסקנא לא נחשב ב' שמות איסור, והוה רק אח א'.</w:t>
      </w:r>
    </w:p>
  </w:footnote>
  <w:footnote w:id="1038">
    <w:p w14:paraId="02BE865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ומבואר דאם ארוסתו אסורה [מדין חמותו], וע' לעיל ג. דמשמע בתוס' דבת ארוסתו מותרת [ודנו בזה האחרונים]. וה</w:t>
      </w:r>
      <w:r w:rsidRPr="009F36E0">
        <w:rPr>
          <w:rFonts w:ascii="Narkisim" w:hAnsi="Narkisim"/>
          <w:b/>
          <w:bCs/>
          <w:rtl/>
        </w:rPr>
        <w:t xml:space="preserve">אחרונים </w:t>
      </w:r>
      <w:r w:rsidRPr="009F36E0">
        <w:rPr>
          <w:rFonts w:ascii="Narkisim" w:hAnsi="Narkisim"/>
          <w:rtl/>
        </w:rPr>
        <w:t>דנו האם ה"ה חמותו מארוסתו.</w:t>
      </w:r>
    </w:p>
  </w:footnote>
  <w:footnote w:id="1039">
    <w:p w14:paraId="623482F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ה</w:t>
      </w:r>
      <w:r w:rsidRPr="009F36E0">
        <w:rPr>
          <w:rFonts w:ascii="Narkisim" w:hAnsi="Narkisim"/>
          <w:b/>
          <w:bCs/>
          <w:rtl/>
        </w:rPr>
        <w:t>רמב"ם</w:t>
      </w:r>
      <w:r w:rsidRPr="009F36E0">
        <w:rPr>
          <w:rFonts w:ascii="Narkisim" w:hAnsi="Narkisim"/>
          <w:rtl/>
        </w:rPr>
        <w:t xml:space="preserve"> (בפתיחה להל' יבום) כ' ד'רשות היבם' נקרא זיקה. וב</w:t>
      </w:r>
      <w:r w:rsidRPr="009F36E0">
        <w:rPr>
          <w:rFonts w:ascii="Narkisim" w:hAnsi="Narkisim"/>
          <w:b/>
          <w:bCs/>
          <w:rtl/>
        </w:rPr>
        <w:t>הג"ה לשו"ע</w:t>
      </w:r>
      <w:r w:rsidRPr="009F36E0">
        <w:rPr>
          <w:rFonts w:ascii="Narkisim" w:hAnsi="Narkisim"/>
          <w:rtl/>
        </w:rPr>
        <w:t xml:space="preserve"> (קנז א) פי' דהוה לשון 'קושר', מענין הפסוק והוא אסור בעזיקים (ירמיה מ א).</w:t>
      </w:r>
    </w:p>
  </w:footnote>
  <w:footnote w:id="1040">
    <w:p w14:paraId="1391CD0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ולולי דבריו היה אפ"ל דמ"ד אין זיקה ס"ל דהאיסור שומרת יבם הוה מחמת אישות המת [ע”פ חקירת האחרונים], ואין ליבם קנין באשה.</w:t>
      </w:r>
    </w:p>
  </w:footnote>
  <w:footnote w:id="1041">
    <w:p w14:paraId="5B742B7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למ"ד אין 'זיקה' הוה 'זקוקה' לו. ואף דצריך אותה לא נחשב קשר ליבם].</w:t>
      </w:r>
    </w:p>
  </w:footnote>
  <w:footnote w:id="1042">
    <w:p w14:paraId="12B523F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ר"א משנזא</w:t>
      </w:r>
      <w:r w:rsidRPr="009F36E0">
        <w:rPr>
          <w:rFonts w:ascii="Narkisim" w:hAnsi="Narkisim"/>
          <w:rtl/>
        </w:rPr>
        <w:t xml:space="preserve"> (בתוס' קידושין שם) פי' שביאה זו אינה עושה [קנין חדש], אלא גומרת קידושי הראשון.</w:t>
      </w:r>
    </w:p>
  </w:footnote>
  <w:footnote w:id="1043">
    <w:p w14:paraId="4A3288F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[ונחשבת אשתו לענין זה]. ולשון הגמ' (סוטה שם) דלר"ע אין קידושין תופסים בחייבי לאוין, ומשוי ליה כערוה. [פ</w:t>
      </w:r>
      <w:r w:rsidRPr="009F36E0">
        <w:rPr>
          <w:rFonts w:ascii="Narkisim" w:hAnsi="Narkisim"/>
          <w:b/>
          <w:bCs/>
          <w:rtl/>
        </w:rPr>
        <w:t>רש"י</w:t>
      </w:r>
      <w:r w:rsidRPr="009F36E0">
        <w:rPr>
          <w:rFonts w:ascii="Narkisim" w:hAnsi="Narkisim"/>
          <w:rtl/>
        </w:rPr>
        <w:t xml:space="preserve"> דכי היכי שהבא על אשת איש אסורה על בעלה, ה"נ אוסרה על יבמה]. וצ"ב דנהי דיש חומר איסור עריות בלאו דלא תהא אשת המת החוצה, אך מנ"ל דנחשבת אשתו לענין פרשת סוטה וקינוי. [והאחרונים הביאו דאף לרבנן סגי בקנין היבם לאוסרה. אלא דלא חשיב עריות. וצ”ע].</w:t>
      </w:r>
    </w:p>
  </w:footnote>
  <w:footnote w:id="1044">
    <w:p w14:paraId="0FBE10D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מח' (לקמן מט: וצב.) אי תפסי קידושין בשומרת יבם, בדרשא דלא תהא אשת המת החוצה [ולכאורה הגדר דקנין היבם מונע קנין אישות], ל"מ דתלי במח' דזיקה. [ואדרבה רב דס"ל אין זיקה, ס"ל דאין קידושין תפסי. ושמואל דס"ל דיש זיקה נסתפק בזה].</w:t>
      </w:r>
    </w:p>
  </w:footnote>
  <w:footnote w:id="1045">
    <w:p w14:paraId="099944D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ומשמע מדבריהם דהיכא דקידש קטנה [ולא נשאה] תאסר לו.</w:t>
      </w:r>
    </w:p>
  </w:footnote>
  <w:footnote w:id="1046">
    <w:p w14:paraId="57F327E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דאל"כ הוה סתם ואח"כ מח' [ול"ש בזה זאת אומרת מסתם משנה]. וצ"ב דבלא"ה נח' בזה במשנה (לקמן קט.), דר"ג סבר אין זיקה.</w:t>
      </w:r>
    </w:p>
  </w:footnote>
  <w:footnote w:id="1047">
    <w:p w14:paraId="264D9D8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וכ"כ </w:t>
      </w:r>
      <w:r w:rsidRPr="009F36E0">
        <w:rPr>
          <w:rFonts w:ascii="Narkisim" w:hAnsi="Narkisim"/>
          <w:b/>
          <w:bCs/>
          <w:rtl/>
        </w:rPr>
        <w:t>רש"י</w:t>
      </w:r>
      <w:r w:rsidRPr="009F36E0">
        <w:rPr>
          <w:rFonts w:ascii="Narkisim" w:hAnsi="Narkisim"/>
          <w:rtl/>
        </w:rPr>
        <w:t xml:space="preserve"> (לקמן כח:, וקידושין נא:) דאחות זקוקתו דרבנן, דדמיא לאחות אשתו.</w:t>
      </w:r>
    </w:p>
  </w:footnote>
  <w:footnote w:id="1048">
    <w:p w14:paraId="0AA240F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 xml:space="preserve">תוס' חד מקמאי </w:t>
      </w:r>
      <w:r w:rsidRPr="009F36E0">
        <w:rPr>
          <w:rFonts w:ascii="Narkisim" w:hAnsi="Narkisim"/>
          <w:rtl/>
        </w:rPr>
        <w:t>(כו:, עה"ג כח.) כת' דכוונת הגמ' משום אסור לבטל מצוות יבמין. אבל למ"ד יש זיקה הו"ל כאיסור אחות אשה דאורייתא.</w:t>
      </w:r>
    </w:p>
  </w:footnote>
  <w:footnote w:id="1049">
    <w:p w14:paraId="0DA3A25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דה</w:t>
      </w:r>
      <w:r w:rsidRPr="009F36E0">
        <w:rPr>
          <w:rFonts w:ascii="Narkisim" w:hAnsi="Narkisim"/>
          <w:b/>
          <w:bCs/>
          <w:rtl/>
        </w:rPr>
        <w:t>מאירי</w:t>
      </w:r>
      <w:r w:rsidRPr="009F36E0">
        <w:rPr>
          <w:rFonts w:ascii="Narkisim" w:hAnsi="Narkisim"/>
          <w:rtl/>
        </w:rPr>
        <w:t xml:space="preserve"> (לעיל ח.) הק' היאך אמרי' דאיצטריך קרא היכא דנשא מת ומת ואח"כ נשא חי, היאך נשא אחות זקוקתו. [וה</w:t>
      </w:r>
      <w:r w:rsidRPr="009F36E0">
        <w:rPr>
          <w:rFonts w:ascii="Narkisim" w:hAnsi="Narkisim"/>
          <w:b/>
          <w:bCs/>
          <w:rtl/>
        </w:rPr>
        <w:t>תו"י</w:t>
      </w:r>
      <w:r w:rsidRPr="009F36E0">
        <w:rPr>
          <w:rFonts w:ascii="Narkisim" w:hAnsi="Narkisim"/>
          <w:rtl/>
        </w:rPr>
        <w:t xml:space="preserve"> תי' דזיקה דרבנן, וה</w:t>
      </w:r>
      <w:r w:rsidRPr="009F36E0">
        <w:rPr>
          <w:rFonts w:ascii="Narkisim" w:hAnsi="Narkisim"/>
          <w:b/>
          <w:bCs/>
          <w:rtl/>
        </w:rPr>
        <w:t>מהרש"א</w:t>
      </w:r>
      <w:r w:rsidRPr="009F36E0">
        <w:rPr>
          <w:rFonts w:ascii="Narkisim" w:hAnsi="Narkisim"/>
          <w:rtl/>
        </w:rPr>
        <w:t xml:space="preserve"> (שם) נראה כמסתפק בזה, אבל ה</w:t>
      </w:r>
      <w:r w:rsidRPr="009F36E0">
        <w:rPr>
          <w:rFonts w:ascii="Narkisim" w:hAnsi="Narkisim"/>
          <w:b/>
          <w:bCs/>
          <w:rtl/>
        </w:rPr>
        <w:t>מאירי</w:t>
      </w:r>
      <w:r w:rsidRPr="009F36E0">
        <w:rPr>
          <w:rFonts w:ascii="Narkisim" w:hAnsi="Narkisim"/>
          <w:rtl/>
        </w:rPr>
        <w:t xml:space="preserve"> תי' באופ"א, ודייקו ה</w:t>
      </w:r>
      <w:r w:rsidRPr="009F36E0">
        <w:rPr>
          <w:rFonts w:ascii="Narkisim" w:hAnsi="Narkisim"/>
          <w:b/>
          <w:bCs/>
          <w:rtl/>
        </w:rPr>
        <w:t>אחרונים</w:t>
      </w:r>
      <w:r w:rsidRPr="009F36E0">
        <w:rPr>
          <w:rFonts w:ascii="Narkisim" w:hAnsi="Narkisim"/>
          <w:rtl/>
        </w:rPr>
        <w:t xml:space="preserve"> דס”ל דהוה דאורייתא].</w:t>
      </w:r>
    </w:p>
    <w:p w14:paraId="5997D68B" w14:textId="77777777" w:rsidR="006074A5" w:rsidRPr="009F36E0" w:rsidRDefault="006074A5" w:rsidP="006074A5">
      <w:pPr>
        <w:pStyle w:val="Footnote"/>
        <w:bidi/>
        <w:rPr>
          <w:rFonts w:ascii="Narkisim" w:hAnsi="Narkisim"/>
        </w:rPr>
      </w:pPr>
      <w:r w:rsidRPr="009F36E0">
        <w:rPr>
          <w:rFonts w:ascii="Narkisim" w:hAnsi="Narkisim"/>
          <w:rtl/>
        </w:rPr>
        <w:tab/>
        <w:t xml:space="preserve">ובפשוטו דעת </w:t>
      </w:r>
      <w:r w:rsidRPr="009F36E0">
        <w:rPr>
          <w:rFonts w:ascii="Narkisim" w:hAnsi="Narkisim"/>
          <w:b/>
          <w:bCs/>
          <w:rtl/>
        </w:rPr>
        <w:t>ר"ח</w:t>
      </w:r>
      <w:r w:rsidRPr="009F36E0">
        <w:rPr>
          <w:rFonts w:ascii="Narkisim" w:hAnsi="Narkisim"/>
          <w:rtl/>
        </w:rPr>
        <w:t xml:space="preserve"> (כז:) דהוה דאורייתא [וע' בראשונים שם, דהרשב”א לקמן ביאר שיטתו באופ”א]. וכן מבואר ב</w:t>
      </w:r>
      <w:r w:rsidRPr="009F36E0">
        <w:rPr>
          <w:rFonts w:ascii="Narkisim" w:hAnsi="Narkisim"/>
          <w:b/>
          <w:bCs/>
          <w:rtl/>
        </w:rPr>
        <w:t xml:space="preserve">תוס' חד מקמאי </w:t>
      </w:r>
      <w:r w:rsidRPr="009F36E0">
        <w:rPr>
          <w:rFonts w:ascii="Narkisim" w:hAnsi="Narkisim"/>
          <w:rtl/>
        </w:rPr>
        <w:t>(הנ"ל). [וע"ע לקמן יח: בדברי הריטב"א].</w:t>
      </w:r>
    </w:p>
  </w:footnote>
  <w:footnote w:id="1050">
    <w:p w14:paraId="310E84C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והחינוך ביאר הלשון 'זקוקה', כלומר שהיא ברשות האח לישא אותה אם ירצה, כי מן השמים הקנוה לו.</w:t>
      </w:r>
    </w:p>
  </w:footnote>
  <w:footnote w:id="1051">
    <w:p w14:paraId="150806C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רש"י</w:t>
      </w:r>
      <w:r w:rsidRPr="009F36E0">
        <w:rPr>
          <w:rFonts w:ascii="Narkisim" w:hAnsi="Narkisim"/>
          <w:rtl/>
        </w:rPr>
        <w:t xml:space="preserve"> מבואר דהוה אותו גדר זיקה דהכא, אבל ה</w:t>
      </w:r>
      <w:r w:rsidRPr="009F36E0">
        <w:rPr>
          <w:rFonts w:ascii="Narkisim" w:hAnsi="Narkisim"/>
          <w:b/>
          <w:bCs/>
          <w:rtl/>
        </w:rPr>
        <w:t>ר"ן</w:t>
      </w:r>
      <w:r w:rsidRPr="009F36E0">
        <w:rPr>
          <w:rFonts w:ascii="Narkisim" w:hAnsi="Narkisim"/>
          <w:rtl/>
        </w:rPr>
        <w:t xml:space="preserve"> (נדרים עד., וכ”מ ברא”ש שם) נסתפק דהוה למ"ד זיקה </w:t>
      </w:r>
      <w:r w:rsidRPr="009F36E0">
        <w:rPr>
          <w:rFonts w:ascii="Narkisim" w:hAnsi="Narkisim"/>
          <w:i/>
          <w:iCs/>
          <w:rtl/>
        </w:rPr>
        <w:t>ככנוסה</w:t>
      </w:r>
      <w:r w:rsidRPr="009F36E0">
        <w:rPr>
          <w:rFonts w:ascii="Narkisim" w:hAnsi="Narkisim"/>
          <w:rtl/>
        </w:rPr>
        <w:t xml:space="preserve"> [ע' לקמן יח: דהוה גדר אחר].</w:t>
      </w:r>
    </w:p>
  </w:footnote>
  <w:footnote w:id="1052">
    <w:p w14:paraId="6FF7F2C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אך בס' </w:t>
      </w:r>
      <w:r w:rsidRPr="009F36E0">
        <w:rPr>
          <w:rFonts w:ascii="Narkisim" w:hAnsi="Narkisim"/>
          <w:b/>
          <w:bCs/>
          <w:rtl/>
        </w:rPr>
        <w:t>אהל</w:t>
      </w:r>
      <w:r w:rsidRPr="009F36E0">
        <w:rPr>
          <w:rFonts w:ascii="Narkisim" w:hAnsi="Narkisim"/>
          <w:rtl/>
        </w:rPr>
        <w:t xml:space="preserve"> </w:t>
      </w:r>
      <w:r w:rsidRPr="009F36E0">
        <w:rPr>
          <w:rFonts w:ascii="Narkisim" w:hAnsi="Narkisim"/>
          <w:b/>
          <w:bCs/>
          <w:rtl/>
        </w:rPr>
        <w:t>דוד</w:t>
      </w:r>
      <w:r w:rsidRPr="009F36E0">
        <w:rPr>
          <w:rFonts w:ascii="Narkisim" w:hAnsi="Narkisim"/>
          <w:rtl/>
        </w:rPr>
        <w:t xml:space="preserve"> כת' בשם </w:t>
      </w:r>
      <w:r w:rsidRPr="009F36E0">
        <w:rPr>
          <w:rFonts w:ascii="Narkisim" w:hAnsi="Narkisim"/>
          <w:b/>
          <w:bCs/>
          <w:rtl/>
        </w:rPr>
        <w:t>ר' משולם איגרא</w:t>
      </w:r>
      <w:r w:rsidRPr="009F36E0">
        <w:rPr>
          <w:rFonts w:ascii="Narkisim" w:hAnsi="Narkisim"/>
          <w:rtl/>
        </w:rPr>
        <w:t xml:space="preserve"> דזיקה הוה אישות דרבנן, ומפר מדין כל הנודרת ע"ד בעלה נודרת.</w:t>
      </w:r>
    </w:p>
  </w:footnote>
  <w:footnote w:id="1053">
    <w:p w14:paraId="1628AB6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דדייק מדברי ה</w:t>
      </w:r>
      <w:r w:rsidRPr="009F36E0">
        <w:rPr>
          <w:rFonts w:ascii="Narkisim" w:hAnsi="Narkisim"/>
          <w:b/>
          <w:bCs/>
          <w:rtl/>
        </w:rPr>
        <w:t>נמוק"י</w:t>
      </w:r>
      <w:r w:rsidRPr="009F36E0">
        <w:rPr>
          <w:rFonts w:ascii="Narkisim" w:hAnsi="Narkisim"/>
          <w:rtl/>
        </w:rPr>
        <w:t xml:space="preserve"> דהיה לו הו"א דזיקה הוה סיבה למנוע קידושין [מדאורי', ע' בסמוך], אלא דלא אלים. ובהמשך דבריו כתב הנמוק"י בהדיא דהוה דרבנן.</w:t>
      </w:r>
    </w:p>
  </w:footnote>
  <w:footnote w:id="1054">
    <w:p w14:paraId="31439D5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[ע"פ רש"י קידושין ד., הו' לעיל]. והיכא דהיבמה אסורה על היבם [אף מדרבנן] לא יפר נדריה. [ויל"ד היכא דעומדת ליבום והיפר, ואח"כ חלץ, האם נתברר למפרע שלא חל ההפרה].</w:t>
      </w:r>
    </w:p>
  </w:footnote>
  <w:footnote w:id="1055">
    <w:p w14:paraId="09F85BD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העירו דבתוס' [ושא"ר] מבואר דסוגיין ס"ל דאין מקום לחלק משום דמתה. ואילו לדברי הגרנ"ט הוה יש איסור נוסף.</w:t>
      </w:r>
    </w:p>
  </w:footnote>
  <w:footnote w:id="1056">
    <w:p w14:paraId="17E902C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שמיפר לבד בלא שותפות האב. וה</w:t>
      </w:r>
      <w:r w:rsidRPr="009F36E0">
        <w:rPr>
          <w:rFonts w:ascii="Narkisim" w:hAnsi="Narkisim"/>
          <w:b/>
          <w:bCs/>
          <w:rtl/>
        </w:rPr>
        <w:t>ר"ן</w:t>
      </w:r>
      <w:r w:rsidRPr="009F36E0">
        <w:rPr>
          <w:rFonts w:ascii="Narkisim" w:hAnsi="Narkisim"/>
          <w:rtl/>
        </w:rPr>
        <w:t xml:space="preserve"> (נדרים שם) כת' ב' תי' האם למ"ד יש זיקה מיפר לבד, דזיקה ככנוסה, וכר' אושעיא (לקמן יח:). או בשותפות האב. [ומדברי רש”י (בסוגיין) מבואר דלא כתי' הא' שייך למ”ד יש זיקה דסוגיין, ולא תלי בר' אושעיא. ואפ”ה רש”י נקט הלשון ככנוסה. ויל"ד אי ס”ל כתי' הב' דמיפר בשותפות, או כרא"ם].</w:t>
      </w:r>
    </w:p>
  </w:footnote>
  <w:footnote w:id="1057">
    <w:p w14:paraId="611C6FC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וארוסה מיקרבה קירוב בשר דידה טפי מיבמה שאינו רגיל אצלו כלל.</w:t>
      </w:r>
    </w:p>
  </w:footnote>
  <w:footnote w:id="1058">
    <w:p w14:paraId="1AF9C75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אבי עזרי</w:t>
      </w:r>
      <w:r w:rsidRPr="009F36E0">
        <w:rPr>
          <w:rFonts w:ascii="Narkisim" w:hAnsi="Narkisim"/>
          <w:rtl/>
        </w:rPr>
        <w:t xml:space="preserve"> ביאר דהאשה אינה בגדר 'מקודשת', ומש”ה ליכא איסור קרובים. והביא עד"ז מש"כ ה</w:t>
      </w:r>
      <w:r w:rsidRPr="009F36E0">
        <w:rPr>
          <w:rFonts w:ascii="Narkisim" w:hAnsi="Narkisim"/>
          <w:b/>
          <w:bCs/>
          <w:rtl/>
        </w:rPr>
        <w:t>גר"ח</w:t>
      </w:r>
      <w:r w:rsidRPr="009F36E0">
        <w:rPr>
          <w:rFonts w:ascii="Narkisim" w:hAnsi="Narkisim"/>
          <w:rtl/>
        </w:rPr>
        <w:t xml:space="preserve"> (אישות ז טז, הו' לעיל יב:) דהמקדש עובר [אף לצד דחל קידושין מעכשיו] נגמר [קנין] הקידושין מיד. אלא כיון דעובר לא הוה 'אשה', לא נחשב דין 'מתקדשת'. ולא חל איסור קרובים עד שתוולד.</w:t>
      </w:r>
    </w:p>
  </w:footnote>
  <w:footnote w:id="1059">
    <w:p w14:paraId="7B61337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לדעת ר"ת (לקמן סז: הנ"ל) קרינן בה 'קנין כספו'. וצ"ע מ"ש.</w:t>
      </w:r>
    </w:p>
  </w:footnote>
  <w:footnote w:id="1060">
    <w:p w14:paraId="5B00346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אך בפשוטו י"ל דהוה מטעם אחר, שמעגן את היבמה ואינו רשאי לישא אשה [וע”ד הא דאי' (כתובות סד.) דכיון דאגידא גביה לא יהבו ליה אחריתי. ואף דכוונת הגמ' שלא ירצו לתת לו אשה, מ"מ י"ל דהוה בכלל תקנת ר"ג]. ונפק"מ באופן שאינו יכול לחלוץ, ע' </w:t>
      </w:r>
      <w:r w:rsidRPr="009F36E0">
        <w:rPr>
          <w:rFonts w:ascii="Narkisim" w:hAnsi="Narkisim"/>
          <w:b/>
          <w:bCs/>
          <w:rtl/>
        </w:rPr>
        <w:t>פתח"ת</w:t>
      </w:r>
      <w:r w:rsidRPr="009F36E0">
        <w:rPr>
          <w:rFonts w:ascii="Narkisim" w:hAnsi="Narkisim"/>
          <w:rtl/>
        </w:rPr>
        <w:t xml:space="preserve"> (שם טו, וקסה ג).</w:t>
      </w:r>
    </w:p>
  </w:footnote>
  <w:footnote w:id="1061">
    <w:p w14:paraId="31E7E52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גר"א</w:t>
      </w:r>
      <w:r w:rsidRPr="009F36E0">
        <w:rPr>
          <w:rFonts w:ascii="Narkisim" w:hAnsi="Narkisim"/>
          <w:rtl/>
        </w:rPr>
        <w:t xml:space="preserve"> (שם כד) ביאר דכיון דיש חרם הקהילות במשודכת, נאסרת היבמה עליו. וכלפי איסור חרם דר"ג הו"ל למשודכת כערוה. [וצ"ב הגדר].</w:t>
      </w:r>
    </w:p>
  </w:footnote>
  <w:footnote w:id="1062">
    <w:p w14:paraId="284E114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דבפשוטו משמע דהוה איסור דאורייתא, וכעין חצי שיעור ול"מ למנוע קידושין.</w:t>
      </w:r>
    </w:p>
  </w:footnote>
  <w:footnote w:id="1063">
    <w:p w14:paraId="55F9DF6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ועד"ז דנו ה</w:t>
      </w:r>
      <w:r w:rsidRPr="009F36E0">
        <w:rPr>
          <w:rFonts w:ascii="Narkisim" w:hAnsi="Narkisim"/>
          <w:b/>
          <w:bCs/>
          <w:rtl/>
        </w:rPr>
        <w:t>אחרונים</w:t>
      </w:r>
      <w:r w:rsidRPr="009F36E0">
        <w:rPr>
          <w:rFonts w:ascii="Narkisim" w:hAnsi="Narkisim"/>
          <w:rtl/>
        </w:rPr>
        <w:t xml:space="preserve"> (הו' לקמן כא.) באיסור שניות, היכא שקידש יתומה קטנה שהיא שניות, האם אמרי' דהוה ערוה מדרבנן ולא תפסי קידושין דרבנן.</w:t>
      </w:r>
    </w:p>
  </w:footnote>
  <w:footnote w:id="1064">
    <w:p w14:paraId="6DFB7F7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מבואר דעת כל ה</w:t>
      </w:r>
      <w:r w:rsidRPr="009F36E0">
        <w:rPr>
          <w:rFonts w:ascii="Narkisim" w:hAnsi="Narkisim"/>
          <w:b/>
          <w:bCs/>
          <w:rtl/>
        </w:rPr>
        <w:t>ראשונים</w:t>
      </w:r>
      <w:r w:rsidRPr="009F36E0">
        <w:rPr>
          <w:rFonts w:ascii="Narkisim" w:hAnsi="Narkisim"/>
          <w:rtl/>
        </w:rPr>
        <w:t xml:space="preserve"> (יח:), דחל הקידושין באחותה לכל דבר. ודלא כסברת התוס' רי"ד דמדרבנן לא חלו הקידושין. ושא"ר ס"ל דאף מדרבנן לא החשיבוהו כערוה. [וכן פשיט"ל לריטב"א (שם) דאילו זיקה דרבנן אינו מונע לקידושין. וצ"ל דהיינו אחרי מש"כ כאן].</w:t>
      </w:r>
    </w:p>
  </w:footnote>
  <w:footnote w:id="1065">
    <w:p w14:paraId="6456531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ומבואר בדברי רש"י דחמותו מארוסתו אסורה. וה</w:t>
      </w:r>
      <w:r w:rsidRPr="009F36E0">
        <w:rPr>
          <w:rFonts w:ascii="Narkisim" w:hAnsi="Narkisim"/>
          <w:b/>
          <w:bCs/>
          <w:rtl/>
        </w:rPr>
        <w:t>אחרונים</w:t>
      </w:r>
      <w:r w:rsidRPr="009F36E0">
        <w:rPr>
          <w:rFonts w:ascii="Narkisim" w:hAnsi="Narkisim"/>
          <w:rtl/>
        </w:rPr>
        <w:t xml:space="preserve"> (הו' בסמוך) הביאו דמשמעות ה</w:t>
      </w:r>
      <w:r w:rsidRPr="009F36E0">
        <w:rPr>
          <w:rFonts w:ascii="Narkisim" w:hAnsi="Narkisim"/>
          <w:b/>
          <w:bCs/>
          <w:rtl/>
        </w:rPr>
        <w:t>תוס'</w:t>
      </w:r>
      <w:r w:rsidRPr="009F36E0">
        <w:rPr>
          <w:rFonts w:ascii="Narkisim" w:hAnsi="Narkisim"/>
          <w:rtl/>
        </w:rPr>
        <w:t xml:space="preserve"> (לעיל ב:) דלא נאסר בת אשתו ע”י קידושין, אלא ע"י כניסה לחופה. [וע' מה שהו' לעיל בזה]. וה</w:t>
      </w:r>
      <w:r w:rsidRPr="009F36E0">
        <w:rPr>
          <w:rFonts w:ascii="Narkisim" w:hAnsi="Narkisim"/>
          <w:b/>
          <w:bCs/>
          <w:rtl/>
        </w:rPr>
        <w:t>אחרונים</w:t>
      </w:r>
      <w:r w:rsidRPr="009F36E0">
        <w:rPr>
          <w:rFonts w:ascii="Narkisim" w:hAnsi="Narkisim"/>
          <w:rtl/>
        </w:rPr>
        <w:t xml:space="preserve"> דנו האם ה"ה חמותו.</w:t>
      </w:r>
    </w:p>
  </w:footnote>
  <w:footnote w:id="1066">
    <w:p w14:paraId="5EBEAF9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ויש לדחות דככנוסה היינו כנתייבמה. דביבמה ל"ש אירוסין [ע' רש"י לקמן נב.], אלא יבום וכניסה. [ועפ"ז יש לדייק דגדר זיקה הוא משום דנחשב כבר מעכשיו כנוסה, כמו שיהא לבסוף. ולא משום דחומר הזיקה מצד עצמו הוה כאירוסין].</w:t>
      </w:r>
    </w:p>
  </w:footnote>
  <w:footnote w:id="1067">
    <w:p w14:paraId="5462EE9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רש”ש</w:t>
      </w:r>
      <w:r w:rsidRPr="009F36E0">
        <w:rPr>
          <w:rFonts w:ascii="Narkisim" w:hAnsi="Narkisim"/>
          <w:rtl/>
        </w:rPr>
        <w:t xml:space="preserve"> ציין למש"כ (ברש"ש על הרמב”ם אישות י) דיש צד [ע' תוס' לעיל ב: ג.] דע"י קידושין לחוד לא נאסר בקרובותיה.</w:t>
      </w:r>
    </w:p>
  </w:footnote>
  <w:footnote w:id="1068">
    <w:p w14:paraId="72684D0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מבואר בגמ' (נדרים עד.) לענין הפרת נדריה, דלמ"ד יש זיקה מיפר נדריה, ובפשוטו משמע דיפר היבם לבד, כדין נשואה. [והראשונים שם דנו בזה]. ואילו למ"ד אין זיקה אינו מיפר כלל, וגרע מארוסה.</w:t>
      </w:r>
    </w:p>
  </w:footnote>
  <w:footnote w:id="1069">
    <w:p w14:paraId="265F0F0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אך אפשר דר' אושעיא ס"ל זיקה ככנוסה מדאורייתא, ושאר מ"ד ס"ל דככנוסה מדרבנן.</w:t>
      </w:r>
    </w:p>
  </w:footnote>
  <w:footnote w:id="1070">
    <w:p w14:paraId="27CF8C1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דבמשנה (שם עד.) ר"ע השיב דאין יבמה גמורה לאישה כשם שארוסה גמורה לאישה.</w:t>
      </w:r>
    </w:p>
  </w:footnote>
  <w:footnote w:id="1071">
    <w:p w14:paraId="603DB8A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וצ"ב דאף להך מ"ד י"ל דסברת ר"ע דאף דיש זיקה, י"ל דלענין הפרת נדרים גרע מארוסה.</w:t>
      </w:r>
    </w:p>
  </w:footnote>
  <w:footnote w:id="1072">
    <w:p w14:paraId="3AE0B86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ה</w:t>
      </w:r>
      <w:r w:rsidRPr="009F36E0">
        <w:rPr>
          <w:rFonts w:ascii="Narkisim" w:hAnsi="Narkisim"/>
          <w:b/>
          <w:bCs/>
          <w:rtl/>
        </w:rPr>
        <w:t>פוסקים</w:t>
      </w:r>
      <w:r w:rsidRPr="009F36E0">
        <w:rPr>
          <w:rFonts w:ascii="Narkisim" w:hAnsi="Narkisim"/>
          <w:rtl/>
        </w:rPr>
        <w:t xml:space="preserve"> נקטו דקי"ל כשמואל (יח:) דיש זיקה, ואפ"ה קי"ל דאינו מיפר נדריה. [וצ"ע לדעת רש"י]. אבל בתוס' חד מקמאי (לקמן כט:) ובחי' ר"א מן ההר (נדרים שם) הביא בשם הרמ"ה דקי"ל דמיפר נדריה כר"א, כיון דקי"ל בעלמא יש זיקה.</w:t>
      </w:r>
    </w:p>
  </w:footnote>
  <w:footnote w:id="1073">
    <w:p w14:paraId="5A0F1EE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ויל"ד האם היינו משום דסיבת הזיקה מחמת היבום, וזקוקה ליבום מיבם א'. או דעצם הזיקה סתר זל"ז. וכ"כ ה</w:t>
      </w:r>
      <w:r w:rsidRPr="009F36E0">
        <w:rPr>
          <w:rFonts w:ascii="Narkisim" w:hAnsi="Narkisim"/>
          <w:b/>
          <w:bCs/>
          <w:rtl/>
        </w:rPr>
        <w:t>מאירי</w:t>
      </w:r>
      <w:r w:rsidRPr="009F36E0">
        <w:rPr>
          <w:rFonts w:ascii="Narkisim" w:hAnsi="Narkisim"/>
          <w:rtl/>
        </w:rPr>
        <w:t xml:space="preserve"> (ד"ה ולמדת) דאיתתא לבי תרי לא חזי.</w:t>
      </w:r>
    </w:p>
  </w:footnote>
  <w:footnote w:id="1074">
    <w:p w14:paraId="112296A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[וע"ע לקמן יח: למ"ד זיקה ככנוסה האם יתכן זיקה ככנוסה לשניהם].</w:t>
      </w:r>
    </w:p>
  </w:footnote>
  <w:footnote w:id="1075">
    <w:p w14:paraId="76FA911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[דאמר ר"י בן בתירא המתן עד שיעשה אחיך מעשה. וכן איתא בגמ' (לקמן מ:). וכן מבואר בכמה סוגיות.</w:t>
      </w:r>
    </w:p>
  </w:footnote>
  <w:footnote w:id="1076">
    <w:p w14:paraId="059CBB9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ומבואר ב</w:t>
      </w:r>
      <w:r w:rsidRPr="009F36E0">
        <w:rPr>
          <w:rFonts w:ascii="Narkisim" w:hAnsi="Narkisim"/>
          <w:b/>
          <w:bCs/>
          <w:rtl/>
        </w:rPr>
        <w:t>מאירי</w:t>
      </w:r>
      <w:r w:rsidRPr="009F36E0">
        <w:rPr>
          <w:rFonts w:ascii="Narkisim" w:hAnsi="Narkisim"/>
          <w:rtl/>
        </w:rPr>
        <w:t xml:space="preserve"> דאפי' לאחר מיתתה מהני חליצץ צרתה להתיר את אמה. [וע' לקמן יח:].</w:t>
      </w:r>
    </w:p>
  </w:footnote>
  <w:footnote w:id="1077">
    <w:p w14:paraId="68D5EF3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קה"י </w:t>
      </w:r>
      <w:r w:rsidRPr="009F36E0">
        <w:rPr>
          <w:rFonts w:ascii="Narkisim" w:hAnsi="Narkisim"/>
          <w:rtl/>
        </w:rPr>
        <w:t>(כ) ביאר דאף לר' יוחנן (לעיל י:) דאמרי' שליחותייהו דאחים, היינו דנפילת היבום הייתה לכל האחים, אבל גדר זיקה הוה כדי להתייבם. ולכן מיתלא תליא במי שזקוקה לו [וכעי"ז כתב ה</w:t>
      </w:r>
      <w:r w:rsidRPr="009F36E0">
        <w:rPr>
          <w:rFonts w:ascii="Narkisim" w:hAnsi="Narkisim"/>
          <w:b/>
          <w:bCs/>
          <w:rtl/>
        </w:rPr>
        <w:t>גרנ"ט</w:t>
      </w:r>
      <w:r w:rsidRPr="009F36E0">
        <w:rPr>
          <w:rFonts w:ascii="Narkisim" w:hAnsi="Narkisim"/>
          <w:rtl/>
        </w:rPr>
        <w:t>]. [וי"ל עוד עפ"ז דאף כשחולץ לבסוף נתברר שלא היתה זיקה לעולם ליבום אף לחולץ, אלא הוה איסור חדש דאחות חלוצתו. אבל במאירי משמע דלא כן].</w:t>
      </w:r>
    </w:p>
  </w:footnote>
  <w:footnote w:id="1078">
    <w:p w14:paraId="7246FCE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אך ה</w:t>
      </w:r>
      <w:r w:rsidRPr="009F36E0">
        <w:rPr>
          <w:rFonts w:ascii="Narkisim" w:hAnsi="Narkisim"/>
          <w:b/>
          <w:bCs/>
          <w:rtl/>
        </w:rPr>
        <w:t xml:space="preserve">קה"י </w:t>
      </w:r>
      <w:r w:rsidRPr="009F36E0">
        <w:rPr>
          <w:rFonts w:ascii="Narkisim" w:hAnsi="Narkisim"/>
          <w:rtl/>
        </w:rPr>
        <w:t>הק' מ"ש מממאנת דלא אמרי' דנאסרה. והוכיח דמיאון נחשב איגלאי מילתא דלא היתה מקודשת לו. [ודלא כ</w:t>
      </w:r>
      <w:r w:rsidRPr="009F36E0">
        <w:rPr>
          <w:rFonts w:ascii="Narkisim" w:hAnsi="Narkisim"/>
          <w:b/>
          <w:bCs/>
          <w:rtl/>
        </w:rPr>
        <w:t>גר"ח</w:t>
      </w:r>
      <w:r w:rsidRPr="009F36E0">
        <w:rPr>
          <w:rFonts w:ascii="Narkisim" w:hAnsi="Narkisim"/>
          <w:rtl/>
        </w:rPr>
        <w:t xml:space="preserve"> ע' לעיל יב.].</w:t>
      </w:r>
    </w:p>
  </w:footnote>
  <w:footnote w:id="1079">
    <w:p w14:paraId="28600CC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והרמב"ן הק' דבגמ' (יח:) אמרי אי אשמו' יש זיקה הו"א ה"מ בחד, אבל בתרי אין זיקה. לקולא.</w:t>
      </w:r>
    </w:p>
  </w:footnote>
  <w:footnote w:id="1080">
    <w:p w14:paraId="07D7A57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דמיתה וגירושין מתיר רק לעלמא, אבל לקרובים לא הותר. [וה</w:t>
      </w:r>
      <w:r w:rsidRPr="009F36E0">
        <w:rPr>
          <w:rFonts w:ascii="Narkisim" w:hAnsi="Narkisim"/>
          <w:b/>
          <w:bCs/>
          <w:rtl/>
        </w:rPr>
        <w:t>אתוון דאורייתא</w:t>
      </w:r>
      <w:r w:rsidRPr="009F36E0">
        <w:rPr>
          <w:rFonts w:ascii="Narkisim" w:hAnsi="Narkisim"/>
          <w:rtl/>
        </w:rPr>
        <w:t xml:space="preserve"> (ח) האריך לחקור בזה].</w:t>
      </w:r>
    </w:p>
  </w:footnote>
  <w:footnote w:id="1081">
    <w:p w14:paraId="76F4427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ונפק"מ בסברות אלו, במקום שנפקע קידושין [מחמת שנעשית ערוה] האם מותר בקרובותיה. [וע' מש"כ לעי' ט.].</w:t>
      </w:r>
    </w:p>
  </w:footnote>
  <w:footnote w:id="1082">
    <w:p w14:paraId="13A5ABF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ויל"ד כשמת היבם, עדיין ראויה לקיום היבום שלו, ולהקמת שם, ולא יפקע. משא"כ כשמת היבמה.</w:t>
      </w:r>
    </w:p>
  </w:footnote>
  <w:footnote w:id="1083">
    <w:p w14:paraId="55C2DE2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והעירו דמבואר למ"ד אין זיקה, אינה נופלת ליבום מחמתו, אף שיש ליבם קנין בה. [דיבום שייך רק ע"י 'קורבא'. א"נ לא נחשב צרה].</w:t>
      </w:r>
    </w:p>
  </w:footnote>
  <w:footnote w:id="1084">
    <w:p w14:paraId="2FD1333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דה</w:t>
      </w:r>
      <w:r w:rsidRPr="009F36E0">
        <w:rPr>
          <w:rFonts w:ascii="Narkisim" w:hAnsi="Narkisim"/>
          <w:b/>
          <w:bCs/>
          <w:rtl/>
        </w:rPr>
        <w:t>חכ"צ</w:t>
      </w:r>
      <w:r w:rsidRPr="009F36E0">
        <w:rPr>
          <w:rFonts w:ascii="Narkisim" w:hAnsi="Narkisim"/>
          <w:rtl/>
        </w:rPr>
        <w:t xml:space="preserve"> (א) דן האם חליצה הוה מצוה או רק פטור, א"כ לכאו' ל"ש בזה איסור לבטל מצווה. אבל י"ל דאסור לבטל דינו של יבום.</w:t>
      </w:r>
    </w:p>
  </w:footnote>
  <w:footnote w:id="1085">
    <w:p w14:paraId="07A6B5E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לא דמי, דאף היכא דרמיא עליו מצוות יבום, אינו חייב לייבם, ורשאי לחלוץ. והכא חכמים תקנו שיחפוץ בחליצה. אך בעצם הזיקה הוה זיקה ליבום, ומבטל ממנו מצוות יבום. [ול"ד לחייבי עשה דזקוקה רק לחליצה, דהוה פטור בעלמא].</w:t>
      </w:r>
    </w:p>
  </w:footnote>
  <w:footnote w:id="1086">
    <w:p w14:paraId="219D082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או"ש</w:t>
      </w:r>
      <w:r w:rsidRPr="009F36E0">
        <w:rPr>
          <w:rFonts w:ascii="Narkisim" w:hAnsi="Narkisim"/>
          <w:rtl/>
        </w:rPr>
        <w:t xml:space="preserve"> (יבום ז א) תמה דדעת הרשב"א [שם, ע' בע"ב] דחולצת רק מדרבנן.</w:t>
      </w:r>
    </w:p>
  </w:footnote>
  <w:footnote w:id="1087">
    <w:p w14:paraId="204DB01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וצ"ב א"כ היכא דמקבל על עצמו לחלוץ או לייבם תוך זמן מועט [ל' יום, ע' משנ"ל מעש"ש ג] יהא רשאי. ומשמע דתוס' דחיישי' שמא יתרשל ויתעכב.</w:t>
      </w:r>
    </w:p>
  </w:footnote>
  <w:footnote w:id="1088">
    <w:p w14:paraId="5F68E42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חכ"צ</w:t>
      </w:r>
      <w:r w:rsidRPr="009F36E0">
        <w:rPr>
          <w:rFonts w:ascii="Narkisim" w:hAnsi="Narkisim"/>
          <w:rtl/>
        </w:rPr>
        <w:t xml:space="preserve"> (א) הק' דאם אונן אינו חולץ, א"כ נימא נאסרה בשעת נפילה. [וצ”ב היכן מצאנו נאסרה לחליצה]. וה</w:t>
      </w:r>
      <w:r w:rsidRPr="009F36E0">
        <w:rPr>
          <w:rFonts w:ascii="Narkisim" w:hAnsi="Narkisim"/>
          <w:b/>
          <w:bCs/>
          <w:rtl/>
        </w:rPr>
        <w:t>חש"ל</w:t>
      </w:r>
      <w:r w:rsidRPr="009F36E0">
        <w:rPr>
          <w:rFonts w:ascii="Narkisim" w:hAnsi="Narkisim"/>
          <w:rtl/>
        </w:rPr>
        <w:t xml:space="preserve"> (לעיל ב.) חלק דאסורה לכל העולם.</w:t>
      </w:r>
    </w:p>
  </w:footnote>
  <w:footnote w:id="1089">
    <w:p w14:paraId="560593C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לדעת הראשונים דנאמרה חרם דר"ג אף במקום מצוות יבום [ע' ריטב”א לקמן מד., מרדכי לא].</w:t>
      </w:r>
    </w:p>
  </w:footnote>
  <w:footnote w:id="1090">
    <w:p w14:paraId="2F03B49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ויש לדחות דהגמ' (שם) קאי לענין בדיעבד.</w:t>
      </w:r>
    </w:p>
  </w:footnote>
  <w:footnote w:id="1091">
    <w:p w14:paraId="3C345A5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[דמיחזי שנושא ערוה, ואף דפקע הזיקה ע”י קידושין לחוד. ואפשר דס”ל דלחד מ"ד קידושין לחוד לא מפקעי זיקה, אף למ”ד אין זיקה. ומש”ה מיחזי בנישואין].</w:t>
      </w:r>
    </w:p>
  </w:footnote>
  <w:footnote w:id="1092">
    <w:p w14:paraId="3F7A0EF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אמר"מ</w:t>
      </w:r>
      <w:r w:rsidRPr="009F36E0">
        <w:rPr>
          <w:rFonts w:ascii="Narkisim" w:hAnsi="Narkisim"/>
          <w:rtl/>
        </w:rPr>
        <w:t xml:space="preserve"> (ז לב). וה</w:t>
      </w:r>
      <w:r w:rsidRPr="009F36E0">
        <w:rPr>
          <w:rFonts w:ascii="Narkisim" w:hAnsi="Narkisim"/>
          <w:b/>
          <w:bCs/>
          <w:rtl/>
        </w:rPr>
        <w:t>חזו"א</w:t>
      </w:r>
      <w:r w:rsidRPr="009F36E0">
        <w:rPr>
          <w:rFonts w:ascii="Narkisim" w:hAnsi="Narkisim"/>
          <w:rtl/>
        </w:rPr>
        <w:t xml:space="preserve"> (קלב ג) כתב דכן דעת מ"ד (כט:) דמאמר דאיסורא לא קני, אבל ר' אבין [ע' תוד"ה אומרים] חלק.</w:t>
      </w:r>
    </w:p>
  </w:footnote>
  <w:footnote w:id="1093">
    <w:p w14:paraId="489C503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ועד"ז דנו ה</w:t>
      </w:r>
      <w:r w:rsidRPr="009F36E0">
        <w:rPr>
          <w:rFonts w:ascii="Narkisim" w:hAnsi="Narkisim"/>
          <w:b/>
          <w:bCs/>
          <w:rtl/>
        </w:rPr>
        <w:t>פוסקים</w:t>
      </w:r>
      <w:r w:rsidRPr="009F36E0">
        <w:rPr>
          <w:rFonts w:ascii="Narkisim" w:hAnsi="Narkisim"/>
          <w:rtl/>
        </w:rPr>
        <w:t xml:space="preserve"> (דרכ"מ טו, הו' לקמן כא.) לגבי איסור שניות. והאחרונים דנו האם גדר שניות דמדרבנן הוה ערוה, או הוה איסור בעלמא.</w:t>
      </w:r>
    </w:p>
  </w:footnote>
  <w:footnote w:id="1094">
    <w:p w14:paraId="2FBE93A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ס"ל דלא נראה לחכמים לתקן דבר הסותר דאורייתא, וע"כ החשיבוה כאיסור פחות מדרבנן. אבל ה</w:t>
      </w:r>
      <w:r w:rsidRPr="009F36E0">
        <w:rPr>
          <w:rFonts w:ascii="Narkisim" w:hAnsi="Narkisim"/>
          <w:b/>
          <w:bCs/>
          <w:rtl/>
        </w:rPr>
        <w:t>ריטב"א</w:t>
      </w:r>
      <w:r w:rsidRPr="009F36E0">
        <w:rPr>
          <w:rFonts w:ascii="Narkisim" w:hAnsi="Narkisim"/>
          <w:rtl/>
        </w:rPr>
        <w:t xml:space="preserve"> ו</w:t>
      </w:r>
      <w:r w:rsidRPr="009F36E0">
        <w:rPr>
          <w:rFonts w:ascii="Narkisim" w:hAnsi="Narkisim"/>
          <w:b/>
          <w:bCs/>
          <w:rtl/>
        </w:rPr>
        <w:t>נמוק"י</w:t>
      </w:r>
      <w:r w:rsidRPr="009F36E0">
        <w:rPr>
          <w:rFonts w:ascii="Narkisim" w:hAnsi="Narkisim"/>
          <w:rtl/>
        </w:rPr>
        <w:t xml:space="preserve"> (לעיל יז:) כת' הטעם 'דלא אלים' להפקיע קידושין, משמע דהוא סברא מסויימת בזיקה, דתקנוה כדבר קלוש.</w:t>
      </w:r>
    </w:p>
  </w:footnote>
  <w:footnote w:id="1095">
    <w:p w14:paraId="3D32DAD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אך הביאו דה</w:t>
      </w:r>
      <w:r w:rsidRPr="009F36E0">
        <w:rPr>
          <w:rFonts w:ascii="Narkisim" w:hAnsi="Narkisim"/>
          <w:b/>
          <w:bCs/>
          <w:rtl/>
        </w:rPr>
        <w:t>רמב"ן</w:t>
      </w:r>
      <w:r w:rsidRPr="009F36E0">
        <w:rPr>
          <w:rFonts w:ascii="Narkisim" w:hAnsi="Narkisim"/>
          <w:rtl/>
        </w:rPr>
        <w:t xml:space="preserve"> עה"ת (ויקרא יח יז,יח) ביאר דטעם איסור קרובת אשתו דשכיבת שניהם זימה, והאיסור הוא במה שנושא את שתיהם [ולא דמי לקרובותיו, שאסורים משום שהם ערוה על האיש]. ועפ"ז דנו דגדר האיסור הוא בהצטרפות שניהם.</w:t>
      </w:r>
    </w:p>
  </w:footnote>
  <w:footnote w:id="1096">
    <w:p w14:paraId="6303136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[והו' ב</w:t>
      </w:r>
      <w:r w:rsidRPr="009F36E0">
        <w:rPr>
          <w:rFonts w:ascii="Narkisim" w:hAnsi="Narkisim"/>
          <w:b/>
          <w:bCs/>
          <w:rtl/>
        </w:rPr>
        <w:t>נמוק"י</w:t>
      </w:r>
      <w:r w:rsidRPr="009F36E0">
        <w:rPr>
          <w:rFonts w:ascii="Narkisim" w:hAnsi="Narkisim"/>
          <w:rtl/>
        </w:rPr>
        <w:t>]. וה</w:t>
      </w:r>
      <w:r w:rsidRPr="009F36E0">
        <w:rPr>
          <w:rFonts w:ascii="Narkisim" w:hAnsi="Narkisim"/>
          <w:b/>
          <w:bCs/>
          <w:rtl/>
        </w:rPr>
        <w:t>שו"ע</w:t>
      </w:r>
      <w:r w:rsidRPr="009F36E0">
        <w:rPr>
          <w:rFonts w:ascii="Narkisim" w:hAnsi="Narkisim"/>
          <w:rtl/>
        </w:rPr>
        <w:t xml:space="preserve"> (קנט ה) הביא </w:t>
      </w:r>
      <w:r w:rsidRPr="009F36E0">
        <w:rPr>
          <w:rFonts w:ascii="Narkisim" w:hAnsi="Narkisim"/>
          <w:b/>
          <w:bCs/>
          <w:rtl/>
        </w:rPr>
        <w:t>י"א</w:t>
      </w:r>
      <w:r w:rsidRPr="009F36E0">
        <w:rPr>
          <w:rFonts w:ascii="Narkisim" w:hAnsi="Narkisim"/>
          <w:rtl/>
        </w:rPr>
        <w:t xml:space="preserve"> דנישואין מפקיעים זיקה, וה</w:t>
      </w:r>
      <w:r w:rsidRPr="009F36E0">
        <w:rPr>
          <w:rFonts w:ascii="Narkisim" w:hAnsi="Narkisim"/>
          <w:b/>
          <w:bCs/>
          <w:rtl/>
        </w:rPr>
        <w:t>דרכ"מ</w:t>
      </w:r>
      <w:r w:rsidRPr="009F36E0">
        <w:rPr>
          <w:rFonts w:ascii="Narkisim" w:hAnsi="Narkisim"/>
          <w:rtl/>
        </w:rPr>
        <w:t xml:space="preserve"> (שם ו) ו</w:t>
      </w:r>
      <w:r w:rsidRPr="009F36E0">
        <w:rPr>
          <w:rFonts w:ascii="Narkisim" w:hAnsi="Narkisim"/>
          <w:b/>
          <w:bCs/>
          <w:rtl/>
        </w:rPr>
        <w:t>בי"ש</w:t>
      </w:r>
      <w:r w:rsidRPr="009F36E0">
        <w:rPr>
          <w:rFonts w:ascii="Narkisim" w:hAnsi="Narkisim"/>
          <w:rtl/>
        </w:rPr>
        <w:t xml:space="preserve"> (יב) הביאו בשם הנמוק"י דלא מפקעי [וכדעת הריטב"א].</w:t>
      </w:r>
    </w:p>
  </w:footnote>
  <w:footnote w:id="1097">
    <w:p w14:paraId="080CE67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בפשוטו משמע דאיסור אחות זקוקתו דאוריתא, ועי"ז לא תפסי קידושין באחותה. אבל לא מצאנו צד כזה. וע"כ כוונתו דיסוד הזיקה דאורייתא, והוא מונע שלא יחול קידושין להפקיע את הזיקה. [ויש שיור בקידושין שלא יפקיעו זיקה שקודם], וא"כ אף כלפי נישואין ל"מ.</w:t>
      </w:r>
    </w:p>
  </w:footnote>
  <w:footnote w:id="1098">
    <w:p w14:paraId="71F2EB2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איזה איסור יש במעשה הנישואין, וכשבא עליה הוה כבר בהיתר. וצ"ל דמ"מ מדרבנן אסור.</w:t>
      </w:r>
    </w:p>
  </w:footnote>
  <w:footnote w:id="1099">
    <w:p w14:paraId="0F3320C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ובפשוטו אף מדאורייתא, ויש לדחות דמ"מ פשיטא ליה דמדרבנן לא פקע.</w:t>
      </w:r>
    </w:p>
  </w:footnote>
  <w:footnote w:id="1100">
    <w:p w14:paraId="377DAA1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והבין דכוונת התוס' 'דנראה כנושא' הוה חסרון משום שמבטל מצוות יבמין, אבל בפשוטו נראה כנושא הוה איסור מצד עצמו.</w:t>
      </w:r>
    </w:p>
  </w:footnote>
  <w:footnote w:id="1101">
    <w:p w14:paraId="6AF323D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ועפ"ז שומרת יבם שמתה, ואח"כ חלץ לצרתה, אסור בקרובות ראשונה.</w:t>
      </w:r>
    </w:p>
  </w:footnote>
  <w:footnote w:id="1102">
    <w:p w14:paraId="0CB3207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כת' דמ"מ נפק"מ לענין יבום, דהוה בביאה. ותחילת ביאה הוה באיסור.</w:t>
      </w:r>
    </w:p>
  </w:footnote>
  <w:footnote w:id="1103">
    <w:p w14:paraId="4EF1269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ויש שדנו אי נישואין הוה יחוד, אסור להתייחד עמה. אך י"ל דהכא שרי, שהרי ע"י הך יחוד [וקנין נישואין] מותרת לו.</w:t>
      </w:r>
    </w:p>
  </w:footnote>
  <w:footnote w:id="1104">
    <w:p w14:paraId="1462FD0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סברת 'היאך תוציא מקודשת' הוה סברא בתקנ"ח. [אבל יש אחרונים שדייקו מסברא זו דתחילת דבריו הוה נידון דאורייתא].</w:t>
      </w:r>
    </w:p>
  </w:footnote>
  <w:footnote w:id="1105">
    <w:p w14:paraId="34928F0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כ"מ ב</w:t>
      </w:r>
      <w:r w:rsidRPr="009F36E0">
        <w:rPr>
          <w:rFonts w:ascii="Narkisim" w:hAnsi="Narkisim"/>
          <w:b/>
          <w:bCs/>
          <w:rtl/>
        </w:rPr>
        <w:t>ריטב"א</w:t>
      </w:r>
      <w:r w:rsidRPr="009F36E0">
        <w:rPr>
          <w:rFonts w:ascii="Narkisim" w:hAnsi="Narkisim"/>
          <w:rtl/>
        </w:rPr>
        <w:t xml:space="preserve"> (לקמן עט:), ועוד הביאו דב</w:t>
      </w:r>
      <w:r w:rsidRPr="009F36E0">
        <w:rPr>
          <w:rFonts w:ascii="Narkisim" w:hAnsi="Narkisim"/>
          <w:b/>
          <w:bCs/>
          <w:rtl/>
        </w:rPr>
        <w:t>שו"ת הרשב"א</w:t>
      </w:r>
      <w:r w:rsidRPr="009F36E0">
        <w:rPr>
          <w:rFonts w:ascii="Narkisim" w:hAnsi="Narkisim"/>
          <w:rtl/>
        </w:rPr>
        <w:t xml:space="preserve"> (א שנח הו' בקובה"ע לדף ח) העמיד את הגמ' (לעיל ח.) דנשא מת ומת ואח"כ נשא חי משום דנישואין מפקיעים זיקה, ומשמע דמדאורייתא יש חילוק בין אירוסין לנישואין. [וצ"ע].</w:t>
      </w:r>
    </w:p>
  </w:footnote>
  <w:footnote w:id="1106">
    <w:p w14:paraId="7586A97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לעיל ח. מבואר דחל פטור עליה לאחר נפילה, ועי"ש וטז. מש"כ בזה]. וה</w:t>
      </w:r>
      <w:r w:rsidRPr="009F36E0">
        <w:rPr>
          <w:rFonts w:ascii="Narkisim" w:hAnsi="Narkisim"/>
          <w:b/>
          <w:bCs/>
          <w:rtl/>
        </w:rPr>
        <w:t>ברכ"ש</w:t>
      </w:r>
      <w:r w:rsidRPr="009F36E0">
        <w:rPr>
          <w:rFonts w:ascii="Narkisim" w:hAnsi="Narkisim"/>
          <w:rtl/>
        </w:rPr>
        <w:t xml:space="preserve"> (ט ז) ביאר דאחרי שחל נפילה [למ"ד זיקה] ל"מ ערוה להפקיע את הנפילה [וכלקמן עט:]. [ואף למסקנא הוה גדר פטור אחר].</w:t>
      </w:r>
    </w:p>
  </w:footnote>
  <w:footnote w:id="1107">
    <w:p w14:paraId="4A1FCF2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למ"ד יש זיקה. [אבל למ"ד אין זיקה פטורה ממילא, אף בלא דין עליה. ולכאו' משמע דהוה חילוק מדאורייתא. וצ"ע].</w:t>
      </w:r>
    </w:p>
  </w:footnote>
  <w:footnote w:id="1108">
    <w:p w14:paraId="415A3F4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העירו דה</w:t>
      </w:r>
      <w:r w:rsidRPr="009F36E0">
        <w:rPr>
          <w:rFonts w:ascii="Narkisim" w:hAnsi="Narkisim"/>
          <w:b/>
          <w:bCs/>
          <w:rtl/>
        </w:rPr>
        <w:t>ריטב"א</w:t>
      </w:r>
      <w:r w:rsidRPr="009F36E0">
        <w:rPr>
          <w:rFonts w:ascii="Narkisim" w:hAnsi="Narkisim"/>
          <w:rtl/>
        </w:rPr>
        <w:t xml:space="preserve"> (לקמן עט:) משמע דס"ד דלמ"ד יש זיקה אם בעלו קנו, מבואר דלא חל כלל פטור, כיון דזקוקה לו. וצ"ב.</w:t>
      </w:r>
    </w:p>
  </w:footnote>
  <w:footnote w:id="1109">
    <w:p w14:paraId="3E39ED7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והאמר"מ ביאר דערוה מפקיע את הזיקה רק מכאן ולהבא, ואסור בקרובותיה מחמת דאתמול היתה זקוקתו, וכן בעי חליצה להתירה.</w:t>
      </w:r>
    </w:p>
  </w:footnote>
  <w:footnote w:id="1110">
    <w:p w14:paraId="4F57DF4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דחו דתלי' בגמ' (כט: הו' לעיל יז:) אי סברת ר"ע משום דאין זיקה].</w:t>
      </w:r>
    </w:p>
  </w:footnote>
  <w:footnote w:id="1111">
    <w:p w14:paraId="791E441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כשנעשה פצוע דכא דמי לנישואין]. וה</w:t>
      </w:r>
      <w:r w:rsidRPr="009F36E0">
        <w:rPr>
          <w:rFonts w:ascii="Narkisim" w:hAnsi="Narkisim"/>
          <w:b/>
          <w:bCs/>
          <w:rtl/>
        </w:rPr>
        <w:t>רשב"א</w:t>
      </w:r>
      <w:r w:rsidRPr="009F36E0">
        <w:rPr>
          <w:rFonts w:ascii="Narkisim" w:hAnsi="Narkisim"/>
          <w:rtl/>
        </w:rPr>
        <w:t xml:space="preserve"> (בחי') הוסיף דמ"ד יש זיקה הוה רק מדרבנן. [אבל בשו"ת (הנ"ל, הו' לעיל) משמע דלא כן, וצ"ע].</w:t>
      </w:r>
    </w:p>
  </w:footnote>
  <w:footnote w:id="1112">
    <w:p w14:paraId="1928271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[דמהני להפקיע דאינה זקוקה לייבום, אלא שלא פקע איסור מחמת הזיקה].</w:t>
      </w:r>
    </w:p>
  </w:footnote>
  <w:footnote w:id="1113">
    <w:p w14:paraId="347152E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ויל"ד דנימא דאף כשנתקדשה לשוק צריכה חליצה מדרבנן, ומש"ה הבנים הוה בני יבמה לשוק מדרבנן. [ומה הק' בתוס']. ואפשר דפשיט"ל לתוס' דאי משום חיוב חליצה מחמת הזיקה לא היו פוסלים את הבנים.</w:t>
      </w:r>
    </w:p>
  </w:footnote>
  <w:footnote w:id="1114">
    <w:p w14:paraId="7A858FA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ועוד דהתם קאי לשמואל, ושמואל אית ליה זיקה.</w:t>
      </w:r>
    </w:p>
  </w:footnote>
  <w:footnote w:id="1115">
    <w:p w14:paraId="70E4D48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רמב"ן </w:t>
      </w:r>
      <w:r w:rsidRPr="009F36E0">
        <w:rPr>
          <w:rFonts w:ascii="Narkisim" w:hAnsi="Narkisim"/>
          <w:rtl/>
        </w:rPr>
        <w:t>דחה דכוונת הגמ' שם דל"ק מאמר כשאינו ראוי לייבם.</w:t>
      </w:r>
    </w:p>
  </w:footnote>
  <w:footnote w:id="1116">
    <w:p w14:paraId="15BB322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וכ"מ מדברי ר' אבין, אבל מדברי ר"ג אין ראיה לזה, דהתם היתה נשואה אצלו. ובשעה שגדלה וקנאה הוה קידושין ונישואין כא'.</w:t>
      </w:r>
    </w:p>
  </w:footnote>
  <w:footnote w:id="1117">
    <w:p w14:paraId="4980425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ק"נ</w:t>
      </w:r>
      <w:r w:rsidRPr="009F36E0">
        <w:rPr>
          <w:rFonts w:ascii="Narkisim" w:hAnsi="Narkisim"/>
          <w:rtl/>
        </w:rPr>
        <w:t xml:space="preserve"> הק' דהרא"ש (בכ"מ) כת' דדרך האמוראים לפרש דברי התנאים, ולא מסתבר להכריע עפ"ז הלכה [וחלק על הרי"ף בזה]. וכת' דעיקר כוונת הרא"ש לסמוך על דברי רב אשי (ל.).</w:t>
      </w:r>
    </w:p>
  </w:footnote>
  <w:footnote w:id="1118">
    <w:p w14:paraId="587E99B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אך </w:t>
      </w:r>
      <w:r w:rsidRPr="009F36E0">
        <w:rPr>
          <w:rFonts w:ascii="Narkisim" w:hAnsi="Narkisim"/>
          <w:b/>
          <w:bCs/>
          <w:rtl/>
        </w:rPr>
        <w:t>רש"י</w:t>
      </w:r>
      <w:r w:rsidRPr="009F36E0">
        <w:rPr>
          <w:rFonts w:ascii="Narkisim" w:hAnsi="Narkisim"/>
          <w:rtl/>
        </w:rPr>
        <w:t xml:space="preserve"> (לעיל יז:) נקט אף לעיל דזיקה ככנוסה. אלא דמ"מ התם קאי מדרבנן. ואילו בסוגיין מבואר דמהני אף מדאורייתא.</w:t>
      </w:r>
    </w:p>
  </w:footnote>
  <w:footnote w:id="1119">
    <w:p w14:paraId="0BDCCB1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ובב' אחים י"ל דיש זיקה לתרוייהו, אלא דלא הוה ככנוסה [וכדאי' בגמ' יט.].</w:t>
      </w:r>
    </w:p>
  </w:footnote>
  <w:footnote w:id="1120">
    <w:p w14:paraId="30680C9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והביאו כן מלשון ה</w:t>
      </w:r>
      <w:r w:rsidRPr="009F36E0">
        <w:rPr>
          <w:rFonts w:ascii="Narkisim" w:hAnsi="Narkisim"/>
          <w:b/>
          <w:bCs/>
          <w:rtl/>
        </w:rPr>
        <w:t>רא"ש</w:t>
      </w:r>
      <w:r w:rsidRPr="009F36E0">
        <w:rPr>
          <w:rFonts w:ascii="Narkisim" w:hAnsi="Narkisim"/>
          <w:rtl/>
        </w:rPr>
        <w:t xml:space="preserve"> (נדרים עד. ד"ה ר' יהושע) דחשיב כאילו כבר כנסה. וב</w:t>
      </w:r>
      <w:r w:rsidRPr="009F36E0">
        <w:rPr>
          <w:rFonts w:ascii="Narkisim" w:hAnsi="Narkisim"/>
          <w:b/>
          <w:bCs/>
          <w:rtl/>
        </w:rPr>
        <w:t xml:space="preserve">ס' נהור שרגא </w:t>
      </w:r>
      <w:r w:rsidRPr="009F36E0">
        <w:rPr>
          <w:rFonts w:ascii="Narkisim" w:hAnsi="Narkisim"/>
          <w:rtl/>
        </w:rPr>
        <w:t>כתב דר' שמעון לטעמיה דעומד ליזרק כזרוק דמי.</w:t>
      </w:r>
    </w:p>
  </w:footnote>
  <w:footnote w:id="1121">
    <w:p w14:paraId="22B8EC6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כשבא מוצאה זקוקה לאח זה, דכאילו היתה כנוסה תחתיו, ולא מצאה באיסור.</w:t>
      </w:r>
    </w:p>
  </w:footnote>
  <w:footnote w:id="1122">
    <w:p w14:paraId="2B511D0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קר"א</w:t>
      </w:r>
      <w:r w:rsidRPr="009F36E0">
        <w:rPr>
          <w:rFonts w:ascii="Narkisim" w:hAnsi="Narkisim"/>
          <w:rtl/>
        </w:rPr>
        <w:t xml:space="preserve"> דן כעי"ז, והוכיח כן דאל"כ אמאי איצטריך קרא (לעיל ד.) לשומרת יבם של אביו, הא אסורה משום ככנוסה לאביו. ועוד דן שם האם אמרי' דאם חלץ לבסוף נתברר דלא היתה ככנוסה.</w:t>
      </w:r>
    </w:p>
  </w:footnote>
  <w:footnote w:id="1123">
    <w:p w14:paraId="61D4776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ויל"פ דלענין פטור יבום תליא בהא דלבסוף תחשב ערוה [כשתתייבם אחותה].</w:t>
      </w:r>
    </w:p>
  </w:footnote>
  <w:footnote w:id="1124">
    <w:p w14:paraId="2EF68C8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וע"ד מש"כ הראשונים (ע' לקמן כט) במאמר לדעת בי"ש דעדיין זקוקה למצוות יבום.</w:t>
      </w:r>
    </w:p>
  </w:footnote>
  <w:footnote w:id="1125">
    <w:p w14:paraId="437A018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והיבם הוא בעלים על אישות זו, ומש"ה כשמת היבם נופלת ליבום מחמת היבם, דאישות זו של ראשון ושני צריך הקמת שם. [ומ"מ מבואר דפוטרת צרתה אשתו של יבם, ואף דלא הוה צרה באישות של המת].</w:t>
      </w:r>
    </w:p>
  </w:footnote>
  <w:footnote w:id="1126">
    <w:p w14:paraId="3A99031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כיון דנחשבת יבמה מחמת המת. א"נ עדיין לא חל היתר של 'נעשית כאשתו' דשני (ע' לקמן).</w:t>
      </w:r>
    </w:p>
  </w:footnote>
  <w:footnote w:id="1127">
    <w:p w14:paraId="1B175C0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הביאו עוד דלולי קרא דיחדיו, אף הנולד יכול לייבם, ולא אמרי' דכבר ככנוסה לאחיו. וה</w:t>
      </w:r>
      <w:r w:rsidRPr="009F36E0">
        <w:rPr>
          <w:rFonts w:ascii="Narkisim" w:hAnsi="Narkisim"/>
          <w:b/>
          <w:bCs/>
          <w:rtl/>
        </w:rPr>
        <w:t>רשב"א</w:t>
      </w:r>
      <w:r w:rsidRPr="009F36E0">
        <w:rPr>
          <w:rFonts w:ascii="Narkisim" w:hAnsi="Narkisim"/>
          <w:rtl/>
        </w:rPr>
        <w:t xml:space="preserve"> ביאר דאיגלאי מילתא דזקוקה נמי להאי, וכי כניס פקע משאר אחיו. [ואף דלכאורה הזיקה לנולד מתחיל רק אח"כ. מ"מ אינה מיוחדת לאחיו. וכעין דין ירושה, דאף דאין ירושה לעובר, כשנולד אח”כ מקבל זכותו מסיבה ראשונית. ע' לקמן סז:. אבל בגדרי זיקה ככנוסה צ"ע].</w:t>
      </w:r>
    </w:p>
  </w:footnote>
  <w:footnote w:id="1128">
    <w:p w14:paraId="6A330D0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וכדאיתא בנדרים עד. דתליא בברירה לענין הפרת נדרים [אבל לקמן כט: לא משמע דתליא בברירה עי"ש].</w:t>
      </w:r>
    </w:p>
  </w:footnote>
  <w:footnote w:id="1129">
    <w:p w14:paraId="4387A91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ועוד כתב ה</w:t>
      </w:r>
      <w:r w:rsidRPr="009F36E0">
        <w:rPr>
          <w:rFonts w:ascii="Narkisim" w:hAnsi="Narkisim"/>
          <w:b/>
          <w:bCs/>
          <w:rtl/>
        </w:rPr>
        <w:t xml:space="preserve">חזו"א </w:t>
      </w:r>
      <w:r w:rsidRPr="009F36E0">
        <w:rPr>
          <w:rFonts w:ascii="Narkisim" w:hAnsi="Narkisim"/>
          <w:rtl/>
        </w:rPr>
        <w:t>דאפשר כשחי זהו זכותו לעכב, אבל כשמת קיבל כל חלקו.</w:t>
      </w:r>
    </w:p>
  </w:footnote>
  <w:footnote w:id="1130">
    <w:p w14:paraId="466FF37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וכתב דלא הוה אשת ב' מתים, דכ”א אינו נקלש זיקתו ע”י חבירו [עי”ש שדן בסברא זו].</w:t>
      </w:r>
    </w:p>
  </w:footnote>
  <w:footnote w:id="1131">
    <w:p w14:paraId="4FDBD09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ודן שם האם אמרי' דאף ע"י חליצה נתברר שלא היתה כנוסה לו.</w:t>
      </w:r>
    </w:p>
  </w:footnote>
  <w:footnote w:id="1132">
    <w:p w14:paraId="3EDEA2E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הוסיף זהו שאומרים במשל (במשנה סוף קנים) כשהוא חי קולו א' וכשהוא מת קולו ז'.</w:t>
      </w:r>
    </w:p>
  </w:footnote>
  <w:footnote w:id="1133">
    <w:p w14:paraId="7E1B39A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הוסיף ולולי כי ישבו הו"א דאיגלאי מילתא דהוה זקוקה אף לנולד אח"כ. [וצ"ב].</w:t>
      </w:r>
    </w:p>
  </w:footnote>
  <w:footnote w:id="1134">
    <w:p w14:paraId="7580749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רמב"ן </w:t>
      </w:r>
      <w:r w:rsidRPr="009F36E0">
        <w:rPr>
          <w:rFonts w:ascii="Narkisim" w:hAnsi="Narkisim"/>
          <w:rtl/>
        </w:rPr>
        <w:t>סיים דטעם זה אינו מחוור, אלא שהוא דעתו של ר' שמעון.</w:t>
      </w:r>
    </w:p>
    <w:p w14:paraId="5C04CCE5" w14:textId="77777777" w:rsidR="006074A5" w:rsidRPr="009F36E0" w:rsidRDefault="006074A5" w:rsidP="006074A5">
      <w:pPr>
        <w:pStyle w:val="Footnote"/>
        <w:bidi/>
        <w:rPr>
          <w:rFonts w:ascii="Narkisim" w:hAnsi="Narkisim"/>
        </w:rPr>
      </w:pPr>
      <w:r w:rsidRPr="009F36E0">
        <w:rPr>
          <w:rFonts w:ascii="Narkisim" w:hAnsi="Narkisim"/>
          <w:rtl/>
        </w:rPr>
        <w:tab/>
        <w:t>והרמב"ן הק' דכיון דזיקה ככנוסה דמיא לכל א' מן האחין, אם מת אחד מהיבמין כצרות הן ולא היה בדין שייבמו [וסגי ביבום א' מהם, אף דהוה מב' בתים].</w:t>
      </w:r>
    </w:p>
  </w:footnote>
  <w:footnote w:id="1135">
    <w:p w14:paraId="3F354E8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העירו דאף דבחייו יכול לייבם ולברר, מבואר דאין בזה חסרון 'נאסרה'. ורק אי תלי ביבום לבסוף נחשב נאסרה.</w:t>
      </w:r>
    </w:p>
  </w:footnote>
  <w:footnote w:id="1136">
    <w:p w14:paraId="7B1242A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והאמר"מ ביאר ע"פ יסוד הגר"ח (הובא לקמן כט.) לדעת בי"ש דמאמר קונה קנין גמור, ועי"ז פקע אישות הראשון ואי"צ יבום.</w:t>
      </w:r>
    </w:p>
  </w:footnote>
  <w:footnote w:id="1137">
    <w:p w14:paraId="0693973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דהכא אף ספק צמצום אסור. [ואילו לקמן בעי ודאי צמצום].</w:t>
      </w:r>
    </w:p>
  </w:footnote>
  <w:footnote w:id="1138">
    <w:p w14:paraId="671D331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[ויטעו דביבם א' אין דין יבום ב' פעמים, וצ"ב].</w:t>
      </w:r>
    </w:p>
  </w:footnote>
  <w:footnote w:id="1139">
    <w:p w14:paraId="663E84F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(בתי' הב') הוסיף דעי"ז לא היו מבית א' אפי' בזיקה.</w:t>
      </w:r>
    </w:p>
  </w:footnote>
  <w:footnote w:id="1140">
    <w:p w14:paraId="078123F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דביאת קטן בן ט' הוה כמאמר. [כדאי' לקמן צו: ונא:. ולדעת תוס' קידושין יט. לא קנה כלל מדאורייתא]. ובפחות מבן ט' אינו ראוי ליבום כלל.</w:t>
      </w:r>
    </w:p>
  </w:footnote>
  <w:footnote w:id="1141">
    <w:p w14:paraId="004CD7A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ואילו משמע בתוס' דמאמר לר"ש קונה בתורת ודאי, לענין דלא מהני בתריה. אבל ל"ק לענין שיחשב ככנוסה [וצרת ערוה].</w:t>
      </w:r>
    </w:p>
  </w:footnote>
  <w:footnote w:id="1142">
    <w:p w14:paraId="1EFADCB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ויתכן דמשמע לתוס' דלמסקנא [וכן למקשן דסוגיין] נולד ואח"כ ייבם הוה ודאי אשת אח שלא מעולמו, ול"מ מאמר ככנוסה כלל.</w:t>
      </w:r>
    </w:p>
  </w:footnote>
  <w:footnote w:id="1143">
    <w:p w14:paraId="18F3372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הנקרא (עירובין נג.) ר' אושעיא בריבי, רבו של ר' יוחנן. ואי' בכ"מ (ב"מ לד., חולין קמא:) תנאי דבי רבי חייא ודבי רבי אושעיא.</w:t>
      </w:r>
    </w:p>
  </w:footnote>
  <w:footnote w:id="1144">
    <w:p w14:paraId="459771A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תלמיד רב יהודה (ע' ב"מ מג:). ובגמ' (סנהדרין יד.) משמע דר' חנינא ור' הושעיא [אושעיא] היו תלמידים של ר' יוחנן [וה</w:t>
      </w:r>
      <w:r w:rsidRPr="009F36E0">
        <w:rPr>
          <w:rFonts w:ascii="Narkisim" w:hAnsi="Narkisim"/>
          <w:b/>
          <w:bCs/>
          <w:rtl/>
        </w:rPr>
        <w:t>מהרש"א</w:t>
      </w:r>
      <w:r w:rsidRPr="009F36E0">
        <w:rPr>
          <w:rFonts w:ascii="Narkisim" w:hAnsi="Narkisim"/>
          <w:rtl/>
        </w:rPr>
        <w:t xml:space="preserve"> </w:t>
      </w:r>
      <w:r w:rsidRPr="009F36E0">
        <w:rPr>
          <w:rFonts w:ascii="Narkisim" w:hAnsi="Narkisim"/>
          <w:b/>
          <w:bCs/>
          <w:rtl/>
        </w:rPr>
        <w:t>ח"א</w:t>
      </w:r>
      <w:r w:rsidRPr="009F36E0">
        <w:rPr>
          <w:rFonts w:ascii="Narkisim" w:hAnsi="Narkisim"/>
          <w:rtl/>
        </w:rPr>
        <w:t xml:space="preserve"> הגיה רב חנינא ורב הושעיא, וכדאי' שם סה:].</w:t>
      </w:r>
    </w:p>
  </w:footnote>
  <w:footnote w:id="1145">
    <w:p w14:paraId="5DF05DD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חזו”א</w:t>
      </w:r>
      <w:r w:rsidRPr="009F36E0">
        <w:rPr>
          <w:rFonts w:ascii="Narkisim" w:hAnsi="Narkisim"/>
          <w:rtl/>
        </w:rPr>
        <w:t xml:space="preserve"> (קלא ג) גרס בדברי הריטב”א באופ”א.</w:t>
      </w:r>
    </w:p>
  </w:footnote>
  <w:footnote w:id="1146">
    <w:p w14:paraId="694C440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א"כ לא נפלו ליבום, ולא חל דין נעשו צרות זו לזו [ויל"ד האם איסור אשת אח דידהו הוה ערוה, או אשת אח דממילא].</w:t>
      </w:r>
    </w:p>
    <w:p w14:paraId="2DDB0C0D" w14:textId="77777777" w:rsidR="006074A5" w:rsidRPr="009F36E0" w:rsidRDefault="006074A5" w:rsidP="006074A5">
      <w:pPr>
        <w:pStyle w:val="Footnote"/>
        <w:bidi/>
        <w:rPr>
          <w:rFonts w:ascii="Narkisim" w:hAnsi="Narkisim"/>
        </w:rPr>
      </w:pPr>
      <w:r w:rsidRPr="009F36E0">
        <w:rPr>
          <w:rFonts w:ascii="Narkisim" w:hAnsi="Narkisim"/>
          <w:rtl/>
        </w:rPr>
        <w:tab/>
        <w:t>ויל"ד [וציינו דכעי"ז כתב ב</w:t>
      </w:r>
      <w:r w:rsidRPr="009F36E0">
        <w:rPr>
          <w:rFonts w:ascii="Narkisim" w:hAnsi="Narkisim"/>
          <w:b/>
          <w:bCs/>
          <w:rtl/>
        </w:rPr>
        <w:t>שערי חיים</w:t>
      </w:r>
      <w:r w:rsidRPr="009F36E0">
        <w:rPr>
          <w:rFonts w:ascii="Narkisim" w:hAnsi="Narkisim"/>
          <w:rtl/>
        </w:rPr>
        <w:t xml:space="preserve"> קידושין נג] דאף דלא חל זיקה ככנוסה [דסותרין זה לזה], אבל עצם הנפילה לזיקה אינו סותר זל"ז, ונעשו צרות זו לזו בזיקה, ועי"ז חל הפטור [וכמ"ש תוס' בקידושין]. [אבל יל"ד דלמה דקיימא השתא הפטור צרות זו לזו איירי בזה אחר זה, ומדין זיקה ככנוסה. ומנלן דיש גדר פטור כשאין זיקה ככנוסה].</w:t>
      </w:r>
    </w:p>
  </w:footnote>
  <w:footnote w:id="1147">
    <w:p w14:paraId="476A0F1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ומשמע דתוס' כתבו כן לר' שמעון, ורבנן פליגי. ור' שמעון לדבריהם אמר כן.</w:t>
      </w:r>
    </w:p>
  </w:footnote>
  <w:footnote w:id="1148">
    <w:p w14:paraId="4AD199F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אחרונים </w:t>
      </w:r>
      <w:r w:rsidRPr="009F36E0">
        <w:rPr>
          <w:rFonts w:ascii="Narkisim" w:hAnsi="Narkisim"/>
          <w:rtl/>
        </w:rPr>
        <w:t>דנו האם כוונתם דזיקה ככנוסה אינה בגדר מצאה בהיתר. או דהוה דיוק מהלשון, דבא לאפוקי שיש מקרה דאינה בהיתר.</w:t>
      </w:r>
    </w:p>
  </w:footnote>
  <w:footnote w:id="1149">
    <w:p w14:paraId="660C131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שהביאו מרש"י ד'שם ערוה' מונע הקידושין, אף דהביאה מותרת. ועוד יש שביארו דנשאר איסור אשת אח מלבד מעשה יבום. ויתבאר עוד לקמן.</w:t>
      </w:r>
    </w:p>
  </w:footnote>
  <w:footnote w:id="1150">
    <w:p w14:paraId="7846017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דהרשב"א כת' דהאיסור אשת אח הותר בשעת נפילה, ויבמה שנאסרה וחזרה והותרה אין איסור אשת אח, ואף דלא רמי עליה מצוות יבום. [ע' מה שהובא לעיל ח: וכ"מ].</w:t>
      </w:r>
    </w:p>
  </w:footnote>
  <w:footnote w:id="1151">
    <w:p w14:paraId="30B352C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ועוד כתב ה</w:t>
      </w:r>
      <w:r w:rsidRPr="009F36E0">
        <w:rPr>
          <w:rFonts w:ascii="Narkisim" w:hAnsi="Narkisim"/>
          <w:b/>
          <w:bCs/>
          <w:rtl/>
        </w:rPr>
        <w:t>קובה"ע</w:t>
      </w:r>
      <w:r w:rsidRPr="009F36E0">
        <w:rPr>
          <w:rFonts w:ascii="Narkisim" w:hAnsi="Narkisim"/>
          <w:rtl/>
        </w:rPr>
        <w:t xml:space="preserve"> (ו י) די"ל דאף לרשב"א השם ערוה וסיבת האיסור לא פקע לגמרי. [ולפ"ז יבמה שהותרה ונאסרה מותרת ואין קידושין תופסים. וצ"ע].</w:t>
      </w:r>
    </w:p>
  </w:footnote>
  <w:footnote w:id="1152">
    <w:p w14:paraId="6A7C663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מהא דאוסר על שאר אחים [משום איסור דבית א' הוא בונה, ע"כ דהוה מגדרי יבום].</w:t>
      </w:r>
    </w:p>
  </w:footnote>
  <w:footnote w:id="1153">
    <w:p w14:paraId="4169A9A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קרי"ס</w:t>
      </w:r>
      <w:r w:rsidRPr="009F36E0">
        <w:rPr>
          <w:rFonts w:ascii="Narkisim" w:hAnsi="Narkisim"/>
          <w:rtl/>
        </w:rPr>
        <w:t xml:space="preserve"> (אישות ד) כת' דהוה אסמכתא].</w:t>
      </w:r>
    </w:p>
  </w:footnote>
  <w:footnote w:id="1154">
    <w:p w14:paraId="0D9EB14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[שיעורי ר' שמואל קידושין, שערי חיים קידושין ט, חי' ר' נחום כאן].</w:t>
      </w:r>
    </w:p>
  </w:footnote>
  <w:footnote w:id="1155">
    <w:p w14:paraId="1C02E3E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ונחשב דהוכרע הספק, משום דאין כח בספק לעורר את הודאי. [ועוד יל"פ דגדר התקנה של מאמר הוה צרה גרועה, ובמקום אשה גמורה כמי שאינה].</w:t>
      </w:r>
    </w:p>
  </w:footnote>
  <w:footnote w:id="1156">
    <w:p w14:paraId="35EEE8B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המקדש חצי שפחה, דקי"ל דחייב עליה רק אשם ודאי (ע' גיטין מג.). דהוה אישות גרועה שאין חיוב מיתה.</w:t>
      </w:r>
    </w:p>
  </w:footnote>
  <w:footnote w:id="1157">
    <w:p w14:paraId="2962AAB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ויל"ד בכוונתו האם מותר בה, או דאינו לוקה.</w:t>
      </w:r>
    </w:p>
  </w:footnote>
  <w:footnote w:id="1158">
    <w:p w14:paraId="493C207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יש </w:t>
      </w:r>
      <w:r w:rsidRPr="009F36E0">
        <w:rPr>
          <w:rFonts w:ascii="Narkisim" w:hAnsi="Narkisim"/>
          <w:b/>
          <w:bCs/>
          <w:rtl/>
        </w:rPr>
        <w:t>אחרונים</w:t>
      </w:r>
      <w:r w:rsidRPr="009F36E0">
        <w:rPr>
          <w:rFonts w:ascii="Narkisim" w:hAnsi="Narkisim"/>
          <w:rtl/>
        </w:rPr>
        <w:t xml:space="preserve"> שפי' דיש ב' נידונים מחמת אישות המת בעבר, ומחמת אישות היבם.</w:t>
      </w:r>
    </w:p>
  </w:footnote>
  <w:footnote w:id="1159">
    <w:p w14:paraId="22B599D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ה</w:t>
      </w:r>
      <w:r w:rsidRPr="009F36E0">
        <w:rPr>
          <w:rFonts w:ascii="Narkisim" w:hAnsi="Narkisim"/>
          <w:b/>
          <w:bCs/>
          <w:rtl/>
        </w:rPr>
        <w:t>חזו"א</w:t>
      </w:r>
      <w:r w:rsidRPr="009F36E0">
        <w:rPr>
          <w:rFonts w:ascii="Narkisim" w:hAnsi="Narkisim"/>
          <w:rtl/>
        </w:rPr>
        <w:t xml:space="preserve"> (קלא ה) כת' דהוא ממשיך אישות המת. ועפ"ז נסתפק ה</w:t>
      </w:r>
      <w:r w:rsidRPr="009F36E0">
        <w:rPr>
          <w:rFonts w:ascii="Narkisim" w:hAnsi="Narkisim"/>
          <w:b/>
          <w:bCs/>
          <w:rtl/>
        </w:rPr>
        <w:t>חזו"א</w:t>
      </w:r>
      <w:r w:rsidRPr="009F36E0">
        <w:rPr>
          <w:rFonts w:ascii="Narkisim" w:hAnsi="Narkisim"/>
          <w:rtl/>
        </w:rPr>
        <w:t xml:space="preserve"> כשהיבם גירש, וחזר וקידש. האם מותרת בנפילה שניה [דאינו אישות הראשון]. וה</w:t>
      </w:r>
      <w:r w:rsidRPr="009F36E0">
        <w:rPr>
          <w:rFonts w:ascii="Narkisim" w:hAnsi="Narkisim"/>
          <w:b/>
          <w:bCs/>
          <w:rtl/>
        </w:rPr>
        <w:t>אחרונים</w:t>
      </w:r>
      <w:r w:rsidRPr="009F36E0">
        <w:rPr>
          <w:rFonts w:ascii="Narkisim" w:hAnsi="Narkisim"/>
          <w:rtl/>
        </w:rPr>
        <w:t xml:space="preserve"> נקטו דנופלת ליבום.</w:t>
      </w:r>
    </w:p>
  </w:footnote>
  <w:footnote w:id="1160">
    <w:p w14:paraId="2BDAD00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דאשת אח שלא היה בעולמו ליכא מצות יבום, וממילא קמה עליה איסור אשת אח. עתה כשנפלה מאחיו השני שהיה בעולמו איכא מצות יבום, דוחה איסור דאשת אח.</w:t>
      </w:r>
    </w:p>
  </w:footnote>
  <w:footnote w:id="1161">
    <w:p w14:paraId="046C567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דומיא דכל יבמה בנפילה שניה, דהוה יבום על ב' גדרי אשת אח.</w:t>
      </w:r>
    </w:p>
  </w:footnote>
  <w:footnote w:id="1162">
    <w:p w14:paraId="4B3EFC7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 דאף איסור אשת אח מאמו יש היתר ע"י יבום [דאשת אח מאב ומאם נופלת ליבום], א"כ היכא דאחיו מאמו נשאה וגירש, ונשאה אחיו מאביו נימא היתר ליבום. [ויש שחילקו דשם אשת אח מאם בפנ”ע אין לו היתר כלל ע”י יבום. ורק שם אשת אח מאב ומאם הותר, ונחשב שם ערוה בפנ"ע].</w:t>
      </w:r>
    </w:p>
  </w:footnote>
  <w:footnote w:id="1163">
    <w:p w14:paraId="4A6808C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וכ"מ בדברי </w:t>
      </w:r>
      <w:r w:rsidRPr="009F36E0">
        <w:rPr>
          <w:rFonts w:ascii="Narkisim" w:hAnsi="Narkisim"/>
          <w:b/>
          <w:bCs/>
          <w:rtl/>
        </w:rPr>
        <w:t>רש"י</w:t>
      </w:r>
      <w:r w:rsidRPr="009F36E0">
        <w:rPr>
          <w:rFonts w:ascii="Narkisim" w:hAnsi="Narkisim"/>
          <w:rtl/>
        </w:rPr>
        <w:t xml:space="preserve"> ו</w:t>
      </w:r>
      <w:r w:rsidRPr="009F36E0">
        <w:rPr>
          <w:rFonts w:ascii="Narkisim" w:hAnsi="Narkisim"/>
          <w:b/>
          <w:bCs/>
          <w:rtl/>
        </w:rPr>
        <w:t>תוס</w:t>
      </w:r>
      <w:r w:rsidRPr="009F36E0">
        <w:rPr>
          <w:rFonts w:ascii="Narkisim" w:hAnsi="Narkisim"/>
          <w:rtl/>
        </w:rPr>
        <w:t>' (יא.) דבעי דוקא קידש ואח"כ נולד. [ודוקא ע"י הקידושין נחשב אשתו של שני ומצאה בהיתר]. אבל ה</w:t>
      </w:r>
      <w:r w:rsidRPr="009F36E0">
        <w:rPr>
          <w:rFonts w:ascii="Narkisim" w:hAnsi="Narkisim"/>
          <w:b/>
          <w:bCs/>
          <w:rtl/>
        </w:rPr>
        <w:t>מאירי</w:t>
      </w:r>
      <w:r w:rsidRPr="009F36E0">
        <w:rPr>
          <w:rFonts w:ascii="Narkisim" w:hAnsi="Narkisim"/>
          <w:rtl/>
        </w:rPr>
        <w:t xml:space="preserve"> הביא </w:t>
      </w:r>
      <w:r w:rsidRPr="009F36E0">
        <w:rPr>
          <w:rFonts w:ascii="Narkisim" w:hAnsi="Narkisim"/>
          <w:b/>
          <w:bCs/>
          <w:rtl/>
        </w:rPr>
        <w:t>י"מ</w:t>
      </w:r>
      <w:r w:rsidRPr="009F36E0">
        <w:rPr>
          <w:rFonts w:ascii="Narkisim" w:hAnsi="Narkisim"/>
          <w:rtl/>
        </w:rPr>
        <w:t xml:space="preserve"> (וכ"מ מדברי ה</w:t>
      </w:r>
      <w:r w:rsidRPr="009F36E0">
        <w:rPr>
          <w:rFonts w:ascii="Narkisim" w:hAnsi="Narkisim"/>
          <w:b/>
          <w:bCs/>
          <w:rtl/>
        </w:rPr>
        <w:t>ריטב"א</w:t>
      </w:r>
      <w:r w:rsidRPr="009F36E0">
        <w:rPr>
          <w:rFonts w:ascii="Narkisim" w:hAnsi="Narkisim"/>
          <w:rtl/>
        </w:rPr>
        <w:t xml:space="preserve"> שם) דאף חלץ ואח"כ נולד, ואח"כ קידש. דכיון דחלץ לא נחשב שנופלת לפניו ליבום, ובא מכח שני [ועוד דל"ש נאסרה].</w:t>
      </w:r>
    </w:p>
  </w:footnote>
  <w:footnote w:id="1164">
    <w:p w14:paraId="142629F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דבריטב"א בסוגיין אחרי שהביא דברי התוס' סיים והוא הנכון ולא כפרש"י. ומבואר דפליגי על סברת רש"י.</w:t>
      </w:r>
    </w:p>
  </w:footnote>
  <w:footnote w:id="1165">
    <w:p w14:paraId="1725AB6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דל"מ כלפי שאר אחים לר"ל. [ומשמע דשייך ניתוק על האיסור אשת אח, אף דאין אצלו האיסור לא יבנה. וע' מש"כ לעיל בזה].</w:t>
      </w:r>
    </w:p>
  </w:footnote>
  <w:footnote w:id="1166">
    <w:p w14:paraId="1B2C3AE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ומבואר בתורה דאף  אחר החליצה נחשב בנין אישות המת.</w:t>
      </w:r>
    </w:p>
  </w:footnote>
  <w:footnote w:id="1167">
    <w:p w14:paraId="0ADC45C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ויש שדנו דרש"י נקט כן משום מ"ד נישואין מפילין.</w:t>
      </w:r>
    </w:p>
  </w:footnote>
  <w:footnote w:id="1168">
    <w:p w14:paraId="3F6E7E7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תוס' רא"ש</w:t>
      </w:r>
      <w:r w:rsidRPr="009F36E0">
        <w:rPr>
          <w:rFonts w:ascii="Narkisim" w:hAnsi="Narkisim"/>
          <w:rtl/>
        </w:rPr>
        <w:t xml:space="preserve"> כת' דאע"ג שלא היתה ערוה כשנשאת לאחיו, קמ"ל יתורא דכלל דקרי לה ערוה שאסורה לו משום אשת אחיו.</w:t>
      </w:r>
    </w:p>
  </w:footnote>
  <w:footnote w:id="1169">
    <w:p w14:paraId="0CF5C55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ולא דמי לצרת סוטה. [ולכאורה החילוק דאילונית אינה ראוי ליבום כלל. וע”ע רמב"ן לקמן נד: ולעיל יב.].</w:t>
      </w:r>
    </w:p>
  </w:footnote>
  <w:footnote w:id="1170">
    <w:p w14:paraId="4BA1547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 מש"כ (לעיל יא.) אי טומאה כעריות הוה ילפותא לפטור יבום, או גילוי דהוה מגדרי עריות.</w:t>
      </w:r>
    </w:p>
  </w:footnote>
  <w:footnote w:id="1171">
    <w:p w14:paraId="0732C86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כוונת התוס' לשיטתם אליבא דר' יוסי ב"כ, ד</w:t>
      </w:r>
      <w:r w:rsidRPr="009F36E0">
        <w:rPr>
          <w:rFonts w:ascii="Narkisim" w:hAnsi="Narkisim"/>
          <w:b/>
          <w:bCs/>
          <w:rtl/>
        </w:rPr>
        <w:t>תוס</w:t>
      </w:r>
      <w:r w:rsidRPr="009F36E0">
        <w:rPr>
          <w:rFonts w:ascii="Narkisim" w:hAnsi="Narkisim"/>
          <w:rtl/>
        </w:rPr>
        <w:t xml:space="preserve">' (לעיל יא:) נקטו דלר"י ב"כ פטורה מחליצה. אך </w:t>
      </w:r>
      <w:r w:rsidRPr="009F36E0">
        <w:rPr>
          <w:rFonts w:ascii="Narkisim" w:hAnsi="Narkisim"/>
          <w:b/>
          <w:bCs/>
          <w:rtl/>
        </w:rPr>
        <w:t>רע"א</w:t>
      </w:r>
      <w:r w:rsidRPr="009F36E0">
        <w:rPr>
          <w:rFonts w:ascii="Narkisim" w:hAnsi="Narkisim"/>
          <w:rtl/>
        </w:rPr>
        <w:t xml:space="preserve"> הק' דהוה ספק בגמ' (יא:) האם פוטרת צרתה, או דנתמעט היא תועבה.</w:t>
      </w:r>
    </w:p>
  </w:footnote>
  <w:footnote w:id="1172">
    <w:p w14:paraId="423EE97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בית מאיר</w:t>
      </w:r>
      <w:r w:rsidRPr="009F36E0">
        <w:rPr>
          <w:rFonts w:ascii="Narkisim" w:hAnsi="Narkisim"/>
          <w:rtl/>
        </w:rPr>
        <w:t xml:space="preserve"> (קעה ב) דחה דאלמנה לכה"ג ל"ש בזה אחותה שהיא יבמתה, דאם היבם כה"ג אף אחותה היבמה אסורה עליו מדין אלמנה.</w:t>
      </w:r>
    </w:p>
  </w:footnote>
  <w:footnote w:id="1173">
    <w:p w14:paraId="028F501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ים של שלמה</w:t>
      </w:r>
      <w:r w:rsidRPr="009F36E0">
        <w:rPr>
          <w:rFonts w:ascii="Narkisim" w:hAnsi="Narkisim"/>
          <w:rtl/>
        </w:rPr>
        <w:t xml:space="preserve"> (ג) תי' שהגמ' נקטה 'דמדאורייתא רמי', להוכיח דלא יתכן דקאי אשניות. ומש"ה ע"כ קאי מתני' אעריות.</w:t>
      </w:r>
    </w:p>
  </w:footnote>
  <w:footnote w:id="1174">
    <w:p w14:paraId="4F00AF1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וכ"כ ב</w:t>
      </w:r>
      <w:r w:rsidRPr="009F36E0">
        <w:rPr>
          <w:rFonts w:ascii="Narkisim" w:hAnsi="Narkisim"/>
          <w:b/>
          <w:bCs/>
          <w:rtl/>
        </w:rPr>
        <w:t>יש"ש</w:t>
      </w:r>
      <w:r w:rsidRPr="009F36E0">
        <w:rPr>
          <w:rFonts w:ascii="Narkisim" w:hAnsi="Narkisim"/>
          <w:rtl/>
        </w:rPr>
        <w:t xml:space="preserve"> כיון דמרבינן מקרא דרב גידל דיש זיקה לחליצה בחייבי עשה, א"כ זקוקה לו מדאורייתא. [משמע משום הזיקה לחליצה, ודלא כמשנת ר' אהרן].</w:t>
      </w:r>
    </w:p>
  </w:footnote>
  <w:footnote w:id="1175">
    <w:p w14:paraId="6848ECC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וצ"ב דמבואר בסמוך דאיסור קדושה כולל אף אלמנה מן הנישואין [אמנם לחד תי' בריטב"א שם הוה רק ס"ד, ואלמנה לכה"ג עדל"ת].</w:t>
      </w:r>
    </w:p>
  </w:footnote>
  <w:footnote w:id="1176">
    <w:p w14:paraId="50B16C3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והרמב"ן דן לדחות דשאני קטנה שהיתה נשואה אצלו מעיקרא, כיון שיושבת תחתיו ומשמשתו אין כאן מפני מראית העין. ומ”מ הרמב"ן חלק.</w:t>
      </w:r>
    </w:p>
  </w:footnote>
  <w:footnote w:id="1177">
    <w:p w14:paraId="4191112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מהרצ"ח</w:t>
      </w:r>
      <w:r w:rsidRPr="009F36E0">
        <w:rPr>
          <w:rFonts w:ascii="Narkisim" w:hAnsi="Narkisim"/>
          <w:rtl/>
        </w:rPr>
        <w:t xml:space="preserve"> הביא דמבואר דמי שאינו מקיים מצווה נקרא רשע, וציין בזה כמה סתירות. [ויש לדחות דהוה קאי כשעובר על לאו הבא מכלל עשה. ולא ביטל מצווה בשב ואל תעשה].</w:t>
      </w:r>
    </w:p>
  </w:footnote>
  <w:footnote w:id="1178">
    <w:p w14:paraId="754B240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תמהו דבגמ' (כא. בראש העמ') מפורש דבאלמנה מן הנישואין כו"ע ל"פ דלא פטרה.</w:t>
      </w:r>
    </w:p>
  </w:footnote>
  <w:footnote w:id="1179">
    <w:p w14:paraId="5EB3441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ועשה דאינו שווה בכל לא אלים, ואינו דוחה לל"ת ועשה. (וע' מש”כ בזה לעיל ה.).</w:t>
      </w:r>
    </w:p>
  </w:footnote>
  <w:footnote w:id="1180">
    <w:p w14:paraId="1E471A5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[דאוסר לייבם משום כבוד המלך, וע' קובה"ע ה]. והעירו ה</w:t>
      </w:r>
      <w:r w:rsidRPr="009F36E0">
        <w:rPr>
          <w:rFonts w:ascii="Narkisim" w:hAnsi="Narkisim"/>
          <w:b/>
          <w:bCs/>
          <w:rtl/>
        </w:rPr>
        <w:t>אחרונים</w:t>
      </w:r>
      <w:r w:rsidRPr="009F36E0">
        <w:rPr>
          <w:rFonts w:ascii="Narkisim" w:hAnsi="Narkisim"/>
          <w:rtl/>
        </w:rPr>
        <w:t xml:space="preserve"> דהל"ל דאינו שווה בנשים. ומשמע דהאשה מצווה.</w:t>
      </w:r>
    </w:p>
  </w:footnote>
  <w:footnote w:id="1181">
    <w:p w14:paraId="28C95C9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וצ"ב מנ"ל דעשה ול"ת דחי עשה ול"ת, הא בעלמא אמרי' דשב ואל תעשה עדיף, ול"ש אינו דוחה איסור אחר כלל. ולכאו' כוונתם דעשה דוחה ל"ת, ואף דבל"ת ועשה יש אלימות. הכא יש אלימות מצד אחר.</w:t>
      </w:r>
    </w:p>
  </w:footnote>
  <w:footnote w:id="1182">
    <w:p w14:paraId="4FF2959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[תוס' הק' לס"ד דהגמ', אבל למסקנת הגמ' ניחא. וכוונת התוס' דילפי' דחולצת מקרא ד'ועלתה', וכ"כ </w:t>
      </w:r>
      <w:r w:rsidRPr="009F36E0">
        <w:rPr>
          <w:rFonts w:ascii="Narkisim" w:hAnsi="Narkisim"/>
          <w:b/>
          <w:bCs/>
          <w:rtl/>
        </w:rPr>
        <w:t>תוס'</w:t>
      </w:r>
      <w:r w:rsidRPr="009F36E0">
        <w:rPr>
          <w:rFonts w:ascii="Narkisim" w:hAnsi="Narkisim"/>
          <w:rtl/>
        </w:rPr>
        <w:t xml:space="preserve"> (בע"ב ד"ה גזירה). ואף דדברי רב גידל נדחו בל"ת לחוד, בל"ת ועשה דרשינן הכי אף למסקנא].</w:t>
      </w:r>
    </w:p>
  </w:footnote>
  <w:footnote w:id="1183">
    <w:p w14:paraId="28611E7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ר"ן</w:t>
      </w:r>
      <w:r w:rsidRPr="009F36E0">
        <w:rPr>
          <w:rFonts w:ascii="Narkisim" w:hAnsi="Narkisim"/>
          <w:rtl/>
        </w:rPr>
        <w:t xml:space="preserve"> (סנהדרין יח:) כת' דכיון דקידושין תופסין בחייבי לאוין וצריכה גט, ה"נ זיקת אחיו עליה וה"ל כאלו קדשה דצריכה ממנו חליצה.</w:t>
      </w:r>
    </w:p>
  </w:footnote>
  <w:footnote w:id="1184">
    <w:p w14:paraId="30DB857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והרמב"ן הק' דא"כ נגזור אם אתה אומר חולצת מתיבמת. ותי' דהך גזירה שכיחא טפי. אבל חייבי כריתות בחייבי לאוין לא אתי לאחלופי, ומש"ה חששו שמא תייבם, דטפי שכיח בדידה.</w:t>
      </w:r>
    </w:p>
  </w:footnote>
  <w:footnote w:id="1185">
    <w:p w14:paraId="709B065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לכאורה אף בקטנה יהא מותר לייבם ולבא עליה עד שתגדל ותהא ראויה להקמת שם, וכ"ז בכלל ביאה ראשונה. [וצ"ע].</w:t>
      </w:r>
    </w:p>
  </w:footnote>
  <w:footnote w:id="1186">
    <w:p w14:paraId="064ED34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והוסיף ה</w:t>
      </w:r>
      <w:r w:rsidRPr="009F36E0">
        <w:rPr>
          <w:rFonts w:ascii="Narkisim" w:hAnsi="Narkisim"/>
          <w:b/>
          <w:bCs/>
          <w:rtl/>
        </w:rPr>
        <w:t>תוס' הרא"ש</w:t>
      </w:r>
      <w:r w:rsidRPr="009F36E0">
        <w:rPr>
          <w:rFonts w:ascii="Narkisim" w:hAnsi="Narkisim"/>
          <w:rtl/>
        </w:rPr>
        <w:t xml:space="preserve"> דלא נחשב מחוסר מעשה, ואין בזה נאסרה. וכיון דראויה ע"י מיעוך, לא גרע משלא כדרכה. אבל ב</w:t>
      </w:r>
      <w:r w:rsidRPr="009F36E0">
        <w:rPr>
          <w:rFonts w:ascii="Narkisim" w:hAnsi="Narkisim"/>
          <w:b/>
          <w:bCs/>
          <w:rtl/>
        </w:rPr>
        <w:t>תוס</w:t>
      </w:r>
      <w:r w:rsidRPr="009F36E0">
        <w:rPr>
          <w:rFonts w:ascii="Narkisim" w:hAnsi="Narkisim"/>
          <w:rtl/>
        </w:rPr>
        <w:t>' משמע דבתולה נחשבת ראויה להקמת שם בעתיד, אף בלא סברת מיעוך.</w:t>
      </w:r>
    </w:p>
  </w:footnote>
  <w:footnote w:id="1187">
    <w:p w14:paraId="190B3F8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ויל"ד לדעת ריב"א האיך הותר עשה דוחה ל"ת, דתחילת ההעראה ליכא מצווה, דרק גמר הביאה נחשב מצווה ובעידנא דקיום המצווה. [ועד"ז כת' תוס' (ב"ב יג.) דעשה דפריה ורביה אינו דוחה ל"ת, דהעשה אינו בתחילת ביאה ואינו בעידנא]. וי"ל דס"ל דהוה מעשה א', ונחשב בעידנא. א"נ היכא דעושה מעשה א' נחשב כולו מצווה, ודוקא בבתולה מעשה הראשון בפנ"ע אינו ראוי להקמת שם כלל. [וה</w:t>
      </w:r>
      <w:r w:rsidRPr="009F36E0">
        <w:rPr>
          <w:rFonts w:ascii="Narkisim" w:hAnsi="Narkisim"/>
          <w:b/>
          <w:bCs/>
          <w:rtl/>
        </w:rPr>
        <w:t xml:space="preserve">שיטמ”ק </w:t>
      </w:r>
      <w:r w:rsidRPr="009F36E0">
        <w:rPr>
          <w:rFonts w:ascii="Narkisim" w:hAnsi="Narkisim"/>
          <w:rtl/>
        </w:rPr>
        <w:t>(כתובות ל) כת' דלא מחלקים ביאה א' לומר שנעשית זונה ע”י ועובר בלאו דזונה {וע' בסוגיות לקמן}].</w:t>
      </w:r>
    </w:p>
  </w:footnote>
  <w:footnote w:id="1188">
    <w:p w14:paraId="5F8FF80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ועוד יש שפי' דקיים מצות יבום, אלא דמצות 'הקמת שם' הוה מצוה בפנ"ע.</w:t>
      </w:r>
    </w:p>
  </w:footnote>
  <w:footnote w:id="1189">
    <w:p w14:paraId="312A046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וכתב דה"ה בחייבי לאוין בכה"ג מצוות יבום ידחה לל"ת בביאה שאח"כ.</w:t>
      </w:r>
    </w:p>
  </w:footnote>
  <w:footnote w:id="1190">
    <w:p w14:paraId="33F876B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יתכן דתוס' חולק מסברא הזו גופא.</w:t>
      </w:r>
    </w:p>
  </w:footnote>
  <w:footnote w:id="1191">
    <w:p w14:paraId="5DEEBE9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לדעת רש"י קונה מדאורייתא בקטנותו [אלא דמדרבנן עשו כבעלת מאמר, ע' לקמן צז.].</w:t>
      </w:r>
    </w:p>
  </w:footnote>
  <w:footnote w:id="1192">
    <w:p w14:paraId="2B119F1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תוס' רי"ד </w:t>
      </w:r>
      <w:r w:rsidRPr="009F36E0">
        <w:rPr>
          <w:rFonts w:ascii="Narkisim" w:hAnsi="Narkisim"/>
          <w:rtl/>
        </w:rPr>
        <w:t>(כתובות כט:) הביא דעדל"ת בביאה ראשונה [למסקנא], וקרינן ביה ולקחה לו לאשה ויבמה, ונחשב אשה הראויה לו.</w:t>
      </w:r>
    </w:p>
  </w:footnote>
  <w:footnote w:id="1193">
    <w:p w14:paraId="5E10E3B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אי' (לעיל ג. לקמן מד. לו. מא:).</w:t>
      </w:r>
    </w:p>
  </w:footnote>
  <w:footnote w:id="1194">
    <w:p w14:paraId="48FD8DD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רמב"ן </w:t>
      </w:r>
      <w:r w:rsidRPr="009F36E0">
        <w:rPr>
          <w:rFonts w:ascii="Narkisim" w:hAnsi="Narkisim"/>
          <w:rtl/>
        </w:rPr>
        <w:t xml:space="preserve">(ט.) כת' דגלי קרא בעריות דהיכא דלא תפסי קידושין לא נופלת ליבום, ולכן אף חייבי לאוין לר' עקיבא. אבל </w:t>
      </w:r>
      <w:r w:rsidRPr="009F36E0">
        <w:rPr>
          <w:rFonts w:ascii="Narkisim" w:hAnsi="Narkisim"/>
          <w:b/>
          <w:bCs/>
          <w:rtl/>
        </w:rPr>
        <w:t>תוס</w:t>
      </w:r>
      <w:r w:rsidRPr="009F36E0">
        <w:rPr>
          <w:rFonts w:ascii="Narkisim" w:hAnsi="Narkisim"/>
          <w:rtl/>
        </w:rPr>
        <w:t xml:space="preserve">' (שם) הק' דאף כשלא תפסי קידושין נופלת ליבום, נימא עדל"ת. וע' </w:t>
      </w:r>
      <w:r w:rsidRPr="009F36E0">
        <w:rPr>
          <w:rFonts w:ascii="Narkisim" w:hAnsi="Narkisim"/>
          <w:b/>
          <w:bCs/>
          <w:rtl/>
        </w:rPr>
        <w:t>ברכ"ש</w:t>
      </w:r>
      <w:r w:rsidRPr="009F36E0">
        <w:rPr>
          <w:rFonts w:ascii="Narkisim" w:hAnsi="Narkisim"/>
          <w:rtl/>
        </w:rPr>
        <w:t xml:space="preserve"> (ד) שכתב דנח' ר' עקיבא ורבנן בסברא זו.</w:t>
      </w:r>
    </w:p>
  </w:footnote>
  <w:footnote w:id="1195">
    <w:p w14:paraId="42377C8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וציינו דבגמ' (לעיל י:) אי' חייבי לאוין בני חליצה ויבום נינהו, ופ</w:t>
      </w:r>
      <w:r w:rsidRPr="009F36E0">
        <w:rPr>
          <w:rFonts w:ascii="Narkisim" w:hAnsi="Narkisim"/>
          <w:b/>
          <w:bCs/>
          <w:rtl/>
        </w:rPr>
        <w:t>רש"י</w:t>
      </w:r>
      <w:r w:rsidRPr="009F36E0">
        <w:rPr>
          <w:rFonts w:ascii="Narkisim" w:hAnsi="Narkisim"/>
          <w:rtl/>
        </w:rPr>
        <w:t xml:space="preserve"> כלומר זקוקה היא להתייבם. אבל ה</w:t>
      </w:r>
      <w:r w:rsidRPr="009F36E0">
        <w:rPr>
          <w:rFonts w:ascii="Narkisim" w:hAnsi="Narkisim"/>
          <w:b/>
          <w:bCs/>
          <w:rtl/>
        </w:rPr>
        <w:t>מאירי</w:t>
      </w:r>
      <w:r w:rsidRPr="009F36E0">
        <w:rPr>
          <w:rFonts w:ascii="Narkisim" w:hAnsi="Narkisim"/>
          <w:rtl/>
        </w:rPr>
        <w:t xml:space="preserve"> (שם) הגיה [ולשיטתו כאן].</w:t>
      </w:r>
    </w:p>
  </w:footnote>
  <w:footnote w:id="1196">
    <w:p w14:paraId="65B1E1F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ר' שמואל</w:t>
      </w:r>
      <w:r w:rsidRPr="009F36E0">
        <w:rPr>
          <w:rFonts w:ascii="Narkisim" w:hAnsi="Narkisim"/>
          <w:rtl/>
        </w:rPr>
        <w:t xml:space="preserve"> (שם) הק' דמ"מ ספק סוטה ומחזיר גרושתו, דמדאורייתא לא שייך יבום, והוה פטור, א"כ אמאי בעי חליצה מדאורי'. וצ"ע.</w:t>
      </w:r>
    </w:p>
  </w:footnote>
  <w:footnote w:id="1197">
    <w:p w14:paraId="7436E27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אלא דעדיין יל"ד אמאי אין בזה 'פסול' לחליצה, דאינה עולה ליבום. וה</w:t>
      </w:r>
      <w:r w:rsidRPr="009F36E0">
        <w:rPr>
          <w:rFonts w:ascii="Narkisim" w:hAnsi="Narkisim"/>
          <w:b/>
          <w:bCs/>
          <w:rtl/>
        </w:rPr>
        <w:t>קובה"ע</w:t>
      </w:r>
      <w:r w:rsidRPr="009F36E0">
        <w:rPr>
          <w:rFonts w:ascii="Narkisim" w:hAnsi="Narkisim"/>
          <w:rtl/>
        </w:rPr>
        <w:t xml:space="preserve"> (ה ז) כת' דכיון דזקוקה רק לחליצה לא שייך תנאי זה.</w:t>
      </w:r>
    </w:p>
  </w:footnote>
  <w:footnote w:id="1198">
    <w:p w14:paraId="789C288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בדפו"י קכז בדה"ס, והובא גם בסה"מ לרמב"ם מהד' פרנקל.</w:t>
      </w:r>
    </w:p>
  </w:footnote>
  <w:footnote w:id="1199">
    <w:p w14:paraId="19CCCAB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[ועוד הא דתפס זיקה, ולא אמרי' דאיסור אשת אח מונע לזיקה].</w:t>
      </w:r>
    </w:p>
    <w:p w14:paraId="6088D2EC" w14:textId="77777777" w:rsidR="006074A5" w:rsidRPr="009F36E0" w:rsidRDefault="006074A5" w:rsidP="006074A5">
      <w:pPr>
        <w:pStyle w:val="Footnote"/>
        <w:bidi/>
        <w:rPr>
          <w:rFonts w:ascii="Narkisim" w:hAnsi="Narkisim"/>
        </w:rPr>
      </w:pPr>
      <w:r w:rsidRPr="009F36E0">
        <w:rPr>
          <w:rFonts w:ascii="Narkisim" w:hAnsi="Narkisim"/>
          <w:rtl/>
        </w:rPr>
        <w:tab/>
        <w:t>ועוד נסתפק הפרש"ד דשמא אינו לוקה אף משום לאו דאלמנה לכה”ג, דהעשה דוחה לל"ת. ורק העשה דבתולה יקח אינה נדחית. [וכדעת הריב"א בתוס' חולין קמא., הובא לעיל].</w:t>
      </w:r>
    </w:p>
  </w:footnote>
  <w:footnote w:id="1200">
    <w:p w14:paraId="7C1093C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המהרש"א נקט דתפסי קידושין, ורק יבום לא קנה [וע"כ ס"ל דהותר איסור אשת אח, לענין תפיסת הקידושין].</w:t>
      </w:r>
    </w:p>
  </w:footnote>
  <w:footnote w:id="1201">
    <w:p w14:paraId="230236A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והשעה"מ הק' סתירות בדברי הרשב"א.</w:t>
      </w:r>
    </w:p>
  </w:footnote>
  <w:footnote w:id="1202">
    <w:p w14:paraId="26F753C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אך כ"ז לדעת הראשונים דלמסקנא לא דרשי' 'ועלתה'. אבל למש”כ תוס' דילפי' ועלתה לחייבי עשה, א”כ אף הני הוה זיקה רק לחליצה.</w:t>
      </w:r>
    </w:p>
  </w:footnote>
  <w:footnote w:id="1203">
    <w:p w14:paraId="79569C9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לסברת ה</w:t>
      </w:r>
      <w:r w:rsidRPr="009F36E0">
        <w:rPr>
          <w:rFonts w:ascii="Narkisim" w:hAnsi="Narkisim"/>
          <w:b/>
          <w:bCs/>
          <w:rtl/>
        </w:rPr>
        <w:t>רשב"א</w:t>
      </w:r>
      <w:r w:rsidRPr="009F36E0">
        <w:rPr>
          <w:rFonts w:ascii="Narkisim" w:hAnsi="Narkisim"/>
          <w:rtl/>
        </w:rPr>
        <w:t xml:space="preserve"> וה"ה [עי"ש]. אבל ה</w:t>
      </w:r>
      <w:r w:rsidRPr="009F36E0">
        <w:rPr>
          <w:rFonts w:ascii="Narkisim" w:hAnsi="Narkisim"/>
          <w:b/>
          <w:bCs/>
          <w:rtl/>
        </w:rPr>
        <w:t>ריטב"א</w:t>
      </w:r>
      <w:r w:rsidRPr="009F36E0">
        <w:rPr>
          <w:rFonts w:ascii="Narkisim" w:hAnsi="Narkisim"/>
          <w:rtl/>
        </w:rPr>
        <w:t xml:space="preserve"> (יא.) מבואר דאף בסוטה שייך עשה דוחה ל"ת מדאורי' [וכ"ד הכס"מ במחזיר גרושתו].</w:t>
      </w:r>
    </w:p>
  </w:footnote>
  <w:footnote w:id="1204">
    <w:p w14:paraId="0AC3154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וכ"כ </w:t>
      </w:r>
      <w:r w:rsidRPr="009F36E0">
        <w:rPr>
          <w:rFonts w:ascii="Narkisim" w:hAnsi="Narkisim"/>
          <w:b/>
          <w:bCs/>
          <w:rtl/>
        </w:rPr>
        <w:t>רש"י</w:t>
      </w:r>
      <w:r w:rsidRPr="009F36E0">
        <w:rPr>
          <w:rFonts w:ascii="Narkisim" w:hAnsi="Narkisim"/>
          <w:rtl/>
        </w:rPr>
        <w:t xml:space="preserve"> (סוטה ו.) [בספק סוטה] כיון דלא רמי קמיה ליבום, ממילא יש איסור אשת אח. [אך יש אחרונים שדנו דתלי במ"ד בגמ' שם].</w:t>
      </w:r>
    </w:p>
  </w:footnote>
  <w:footnote w:id="1205">
    <w:p w14:paraId="7913B0A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תמהו על רע"א דהוכיח בדעת הרמב"ם דיש איסור אשת אח. [ולכאו' מבואר דרע"א חילק בין איסור אשת אח, לתפיסת קידושין].</w:t>
      </w:r>
    </w:p>
  </w:footnote>
  <w:footnote w:id="1206">
    <w:p w14:paraId="036C3C6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 דה</w:t>
      </w:r>
      <w:r w:rsidRPr="009F36E0">
        <w:rPr>
          <w:rFonts w:ascii="Narkisim" w:hAnsi="Narkisim"/>
          <w:b/>
          <w:bCs/>
          <w:rtl/>
        </w:rPr>
        <w:t>מאירי</w:t>
      </w:r>
      <w:r w:rsidRPr="009F36E0">
        <w:rPr>
          <w:rFonts w:ascii="Narkisim" w:hAnsi="Narkisim"/>
          <w:rtl/>
        </w:rPr>
        <w:t xml:space="preserve"> (בסמוך) כת' דהא דחולצת הוה מדרבנן, ומבואר לפ"ז דאף דאינה נופלת ליבום או חליצה כלל הותר האיסור אשת אח. וב</w:t>
      </w:r>
      <w:r w:rsidRPr="009F36E0">
        <w:rPr>
          <w:rFonts w:ascii="Narkisim" w:hAnsi="Narkisim"/>
          <w:b/>
          <w:bCs/>
          <w:rtl/>
        </w:rPr>
        <w:t xml:space="preserve">קובה"ע </w:t>
      </w:r>
      <w:r w:rsidRPr="009F36E0">
        <w:rPr>
          <w:rFonts w:ascii="Narkisim" w:hAnsi="Narkisim"/>
          <w:rtl/>
        </w:rPr>
        <w:t>(ה טז) כ' דיל"פ דנחשב דיש דבר חיצוני שמונע את היבום. וכעי"ז דעת ה</w:t>
      </w:r>
      <w:r w:rsidRPr="009F36E0">
        <w:rPr>
          <w:rFonts w:ascii="Narkisim" w:hAnsi="Narkisim"/>
          <w:b/>
          <w:bCs/>
          <w:rtl/>
        </w:rPr>
        <w:t>רמב"ן</w:t>
      </w:r>
      <w:r w:rsidRPr="009F36E0">
        <w:rPr>
          <w:rFonts w:ascii="Narkisim" w:hAnsi="Narkisim"/>
          <w:rtl/>
        </w:rPr>
        <w:t xml:space="preserve"> (ב.) דבעלת התנאי אי"צ חליצה כיון דאינה עולה ליבום. אבל אין דין נאסרה.</w:t>
      </w:r>
    </w:p>
  </w:footnote>
  <w:footnote w:id="1207">
    <w:p w14:paraId="6A54FCB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תשב"ץ</w:t>
      </w:r>
      <w:r w:rsidRPr="009F36E0">
        <w:rPr>
          <w:rFonts w:ascii="Narkisim" w:hAnsi="Narkisim"/>
          <w:rtl/>
        </w:rPr>
        <w:t xml:space="preserve"> (ב רס, הובא בב"י ס"ס קסה בשם הרשב"ש) דן האם יש נאסרה בנודרת. [וע"ע שו"ת מהר"ם רוטנברג ד תתסו].</w:t>
      </w:r>
    </w:p>
  </w:footnote>
  <w:footnote w:id="1208">
    <w:p w14:paraId="59703AD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מהרצ"ח </w:t>
      </w:r>
      <w:r w:rsidRPr="009F36E0">
        <w:rPr>
          <w:rFonts w:ascii="Narkisim" w:hAnsi="Narkisim"/>
          <w:rtl/>
        </w:rPr>
        <w:t>דן</w:t>
      </w:r>
      <w:r w:rsidRPr="009F36E0">
        <w:rPr>
          <w:rFonts w:ascii="Narkisim" w:hAnsi="Narkisim"/>
          <w:b/>
          <w:bCs/>
          <w:rtl/>
        </w:rPr>
        <w:t xml:space="preserve"> </w:t>
      </w:r>
      <w:r w:rsidRPr="009F36E0">
        <w:rPr>
          <w:rFonts w:ascii="Narkisim" w:hAnsi="Narkisim"/>
          <w:rtl/>
        </w:rPr>
        <w:t>בכה"ג שיש לו אשה נוספת [דלדעת ה</w:t>
      </w:r>
      <w:r w:rsidRPr="009F36E0">
        <w:rPr>
          <w:rFonts w:ascii="Narkisim" w:hAnsi="Narkisim"/>
          <w:b/>
          <w:bCs/>
          <w:rtl/>
        </w:rPr>
        <w:t>רמב"ם</w:t>
      </w:r>
      <w:r w:rsidRPr="009F36E0">
        <w:rPr>
          <w:rFonts w:ascii="Narkisim" w:hAnsi="Narkisim"/>
          <w:rtl/>
        </w:rPr>
        <w:t xml:space="preserve"> (איסו"ב יז יג) כה"ג אסור בב' נשים]. ודחה דבידו לגרשה ל"ש נאסרה.</w:t>
      </w:r>
    </w:p>
  </w:footnote>
  <w:footnote w:id="1209">
    <w:p w14:paraId="418E510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וכת' דכל הנידון [של התשב"ץ הנ"ל] הוא לסוברים [ע' תוס' רא"ש ורשב"א] דחייבי לאו ועשה חולצת מדרבנן.</w:t>
      </w:r>
    </w:p>
  </w:footnote>
  <w:footnote w:id="1210">
    <w:p w14:paraId="0BC83EB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והוסיף ה</w:t>
      </w:r>
      <w:r w:rsidRPr="009F36E0">
        <w:rPr>
          <w:rFonts w:ascii="Narkisim" w:hAnsi="Narkisim"/>
          <w:b/>
          <w:bCs/>
          <w:rtl/>
        </w:rPr>
        <w:t>מאירי</w:t>
      </w:r>
      <w:r w:rsidRPr="009F36E0">
        <w:rPr>
          <w:rFonts w:ascii="Narkisim" w:hAnsi="Narkisim"/>
          <w:rtl/>
        </w:rPr>
        <w:t xml:space="preserve"> אי משום דכהונה גדולה אפשר לאחותי מיניה. [וצ"ב כוונתו. וה</w:t>
      </w:r>
      <w:r w:rsidRPr="009F36E0">
        <w:rPr>
          <w:rFonts w:ascii="Narkisim" w:hAnsi="Narkisim"/>
          <w:b/>
          <w:bCs/>
          <w:rtl/>
        </w:rPr>
        <w:t>מנח"ח</w:t>
      </w:r>
      <w:r w:rsidRPr="009F36E0">
        <w:rPr>
          <w:rFonts w:ascii="Narkisim" w:hAnsi="Narkisim"/>
          <w:rtl/>
        </w:rPr>
        <w:t xml:space="preserve"> (רעג) נסתפק האם אמרי' נאסרה, ע' בסמוך].</w:t>
      </w:r>
    </w:p>
  </w:footnote>
  <w:footnote w:id="1211">
    <w:p w14:paraId="1C1B721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יש"ש</w:t>
      </w:r>
      <w:r w:rsidRPr="009F36E0">
        <w:rPr>
          <w:rFonts w:ascii="Narkisim" w:hAnsi="Narkisim"/>
          <w:rtl/>
        </w:rPr>
        <w:t xml:space="preserve"> כת' דמהני מדין מאמר [ומשמע דהוה מדאורייתא. וצ"ב].</w:t>
      </w:r>
    </w:p>
  </w:footnote>
  <w:footnote w:id="1212">
    <w:p w14:paraId="63F3996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אלא דהמהרש"א ביאר דקנה, ויוצאת בגט. [וקנין הקידושין מהני במקום יבום]. ואילו ר"א מן ההר מבואר דהוה קנין אחר, וצריכה חליצה.</w:t>
      </w:r>
    </w:p>
  </w:footnote>
  <w:footnote w:id="1213">
    <w:p w14:paraId="1350796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[וא"כ קשה לפרש כן בדעת רש"י].</w:t>
      </w:r>
    </w:p>
  </w:footnote>
  <w:footnote w:id="1214">
    <w:p w14:paraId="114E49B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 xml:space="preserve">אחרונים </w:t>
      </w:r>
      <w:r w:rsidRPr="009F36E0">
        <w:rPr>
          <w:rFonts w:ascii="Narkisim" w:hAnsi="Narkisim"/>
          <w:rtl/>
        </w:rPr>
        <w:t>הביאו דב</w:t>
      </w:r>
      <w:r w:rsidRPr="009F36E0">
        <w:rPr>
          <w:rFonts w:ascii="Narkisim" w:hAnsi="Narkisim"/>
          <w:b/>
          <w:bCs/>
          <w:rtl/>
        </w:rPr>
        <w:t>ריטב"א</w:t>
      </w:r>
      <w:r w:rsidRPr="009F36E0">
        <w:rPr>
          <w:rFonts w:ascii="Narkisim" w:hAnsi="Narkisim"/>
          <w:rtl/>
        </w:rPr>
        <w:t xml:space="preserve"> (עט:) מבואר דס"ד דחייבי לאוין לאחר נפילה [לר' עקיבא], הוה ביאה פסולה ובעי גט וחליצה. משמע דמדאורייתא קנאה ובעי גט, אף דעדיין זקוקה. [ויל"פ דשם באופ"א].</w:t>
      </w:r>
    </w:p>
  </w:footnote>
  <w:footnote w:id="1215">
    <w:p w14:paraId="036F07D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ועוד הביאו ה</w:t>
      </w:r>
      <w:r w:rsidRPr="009F36E0">
        <w:rPr>
          <w:rFonts w:ascii="Narkisim" w:hAnsi="Narkisim"/>
          <w:b/>
          <w:bCs/>
          <w:rtl/>
        </w:rPr>
        <w:t>אחרונים</w:t>
      </w:r>
      <w:r w:rsidRPr="009F36E0">
        <w:rPr>
          <w:rFonts w:ascii="Narkisim" w:hAnsi="Narkisim"/>
          <w:rtl/>
        </w:rPr>
        <w:t xml:space="preserve"> דמבואר ב</w:t>
      </w:r>
      <w:r w:rsidRPr="009F36E0">
        <w:rPr>
          <w:rFonts w:ascii="Narkisim" w:hAnsi="Narkisim"/>
          <w:b/>
          <w:bCs/>
          <w:rtl/>
        </w:rPr>
        <w:t>מהרי"ק</w:t>
      </w:r>
      <w:r w:rsidRPr="009F36E0">
        <w:rPr>
          <w:rFonts w:ascii="Narkisim" w:hAnsi="Narkisim"/>
          <w:rtl/>
        </w:rPr>
        <w:t xml:space="preserve"> (קלט) דגדר קנין יבום הוה כמו קידושין דעלמא [ומש"ה דנו (קידושין ד) ללמוד קנין קדושין באשה ק"ו מיבמה], אלא דגלי קרא דמהני דוקא קנין בביאה ולא כסף ושטר.</w:t>
      </w:r>
    </w:p>
  </w:footnote>
  <w:footnote w:id="1216">
    <w:p w14:paraId="558D71F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והביאה קונה מהני לענין שתעשה כאשתו, ואף דל”מ להפקיע הזיקה. ול"מ לפטור צרתה, דפטור צרה תלי בהפקעת הזיקה.</w:t>
      </w:r>
    </w:p>
  </w:footnote>
  <w:footnote w:id="1217">
    <w:p w14:paraId="2E59F1E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חי' ר' שלמה</w:t>
      </w:r>
      <w:r w:rsidRPr="009F36E0">
        <w:rPr>
          <w:rFonts w:ascii="Narkisim" w:hAnsi="Narkisim"/>
          <w:rtl/>
        </w:rPr>
        <w:t xml:space="preserve"> (מכתב יז) הקשה דהא גופא קשה, אמאי יש איסור אשת אח, ע"כ משום דהמצוה נפקע. וכל מה שיש איסור אשת אח הוא אחרי שאם בעלו ל"ק, ולא דאם בעלו ל"ק הוה תולדה מהאיסור אשת אח.</w:t>
      </w:r>
    </w:p>
  </w:footnote>
  <w:footnote w:id="1218">
    <w:p w14:paraId="4BA2680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ועד"ז דן </w:t>
      </w:r>
      <w:r w:rsidRPr="009F36E0">
        <w:rPr>
          <w:rFonts w:ascii="Narkisim" w:hAnsi="Narkisim"/>
          <w:b/>
          <w:bCs/>
          <w:rtl/>
        </w:rPr>
        <w:t>חתן הנוב"י</w:t>
      </w:r>
      <w:r w:rsidRPr="009F36E0">
        <w:rPr>
          <w:rFonts w:ascii="Narkisim" w:hAnsi="Narkisim"/>
          <w:rtl/>
        </w:rPr>
        <w:t xml:space="preserve"> (שם) דהיכא דאין עשה דוחה ל"ת ועשה, עי"ז הוה מצווה הבאה בעבירה, ולא קיים העשה. וא"כ פשיטא שלוקה על הלאו, דהא לא קיים העשה [ותמה על ריב"א בתוס' חולין קמא. דאינו לוקה].</w:t>
      </w:r>
    </w:p>
  </w:footnote>
  <w:footnote w:id="1219">
    <w:p w14:paraId="307E0CC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 מלא הרועים אי שייך בזה אי עבד ל"מ].</w:t>
      </w:r>
    </w:p>
  </w:footnote>
  <w:footnote w:id="1220">
    <w:p w14:paraId="6EBD945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ומבואר דיש מצוות יבום על כל יבמה בפנ"ע. [ויל"פ עפ"ז ביבמה נדה דחל המצוה, כיון דראוי לקיים אח"כ. ונדה הוה רק מצב זמני, ולא מעצם האשה. וכמ"ש </w:t>
      </w:r>
      <w:r w:rsidRPr="009F36E0">
        <w:rPr>
          <w:rFonts w:ascii="Narkisim" w:hAnsi="Narkisim"/>
          <w:b/>
          <w:bCs/>
          <w:rtl/>
        </w:rPr>
        <w:t>תוס</w:t>
      </w:r>
      <w:r w:rsidRPr="009F36E0">
        <w:rPr>
          <w:rFonts w:ascii="Narkisim" w:hAnsi="Narkisim"/>
          <w:rtl/>
        </w:rPr>
        <w:t>' ב. לגבי נאסרה].</w:t>
      </w:r>
    </w:p>
  </w:footnote>
  <w:footnote w:id="1221">
    <w:p w14:paraId="79F0000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משא"כ מצוות מצה, דהתורה צוותה שיאכל מצה, אף אם יקיים במצה איסור קיים את המצוה, דצווי התורה אינה מתייחסת למצה מסויימת זו. והגברא מצווה לאכול מצה.</w:t>
      </w:r>
    </w:p>
  </w:footnote>
  <w:footnote w:id="1222">
    <w:p w14:paraId="073EF31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ומשמע מדבריו דהוה כעין דין ערוה לדחות אישות היבום. וצ"ב מנלן. [וכן ה</w:t>
      </w:r>
      <w:r w:rsidRPr="009F36E0">
        <w:rPr>
          <w:rFonts w:ascii="Narkisim" w:hAnsi="Narkisim"/>
          <w:b/>
          <w:bCs/>
          <w:rtl/>
        </w:rPr>
        <w:t>קובה"ע</w:t>
      </w:r>
      <w:r w:rsidRPr="009F36E0">
        <w:rPr>
          <w:rFonts w:ascii="Narkisim" w:hAnsi="Narkisim"/>
          <w:rtl/>
        </w:rPr>
        <w:t xml:space="preserve"> (כ ח) הביא דמבואר דע"י איסור הלאו נפקע דין יבום לגמרי, וסיים וצ"ע מאיזה טעם].</w:t>
      </w:r>
    </w:p>
  </w:footnote>
  <w:footnote w:id="1223">
    <w:p w14:paraId="14FFFF9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[ע"ד הא דדרשי' (שם) גבי אונס ולו תהא לאשה]. והביא דאפ"ה מהני עשה דוחה ל"ת, ועי"ז נחשב שעומדת ליבום.</w:t>
      </w:r>
    </w:p>
  </w:footnote>
  <w:footnote w:id="1224">
    <w:p w14:paraId="3BFCF59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יל"ד במקולקלת שלא תטהר [אף מדאורייתא] אי נימא דאם בעלו ל"ק}.</w:t>
      </w:r>
    </w:p>
  </w:footnote>
  <w:footnote w:id="1225">
    <w:p w14:paraId="72672C8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[ופצ"ד הוה דוקא היכא דנעשית מעשה חיצוני (ע”ע לקמן עה.). ע' פתח"ת ה ט].</w:t>
      </w:r>
    </w:p>
  </w:footnote>
  <w:footnote w:id="1226">
    <w:p w14:paraId="7B23FC2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וכדאי' בסיפא מתו אחים וכו' אם בעלו קנו ואסור לקיימן משום שנאמר לא יבא פצ"ד וכו'. ו</w:t>
      </w:r>
      <w:r w:rsidRPr="009F36E0">
        <w:rPr>
          <w:rFonts w:ascii="Narkisim" w:hAnsi="Narkisim"/>
          <w:b/>
          <w:bCs/>
          <w:rtl/>
        </w:rPr>
        <w:t>תוס'</w:t>
      </w:r>
      <w:r w:rsidRPr="009F36E0">
        <w:rPr>
          <w:rFonts w:ascii="Narkisim" w:hAnsi="Narkisim"/>
          <w:rtl/>
        </w:rPr>
        <w:t xml:space="preserve"> (ד"ה אם) כת' דבמציעתא מת פצ"ד, אחיו מייבם לכתחילה. ו</w:t>
      </w:r>
      <w:r w:rsidRPr="009F36E0">
        <w:rPr>
          <w:rFonts w:ascii="Narkisim" w:hAnsi="Narkisim"/>
          <w:b/>
          <w:bCs/>
          <w:rtl/>
        </w:rPr>
        <w:t>תוס'</w:t>
      </w:r>
      <w:r w:rsidRPr="009F36E0">
        <w:rPr>
          <w:rFonts w:ascii="Narkisim" w:hAnsi="Narkisim"/>
          <w:rtl/>
        </w:rPr>
        <w:t xml:space="preserve"> (לקמן פד: ד"ה שייר) ביארו דאף דאשתו אסורה עליו, לא אמרי' ק"ו במותר לה נאסר באסור לה לא כ"ש, דכ"ז היכא שנעשה באשה שום מעשה, דעי"ז נאסרה לבעל [דומיא דסוטה ומחזיר גרושתו].</w:t>
      </w:r>
    </w:p>
  </w:footnote>
  <w:footnote w:id="1227">
    <w:p w14:paraId="2E8C43B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ע"פ התוספתא (ס"פ ב) חולצין ולא מייבמין. והמגיה לגר"א העיר דבתוספתא (פי"א) אי' כמו בסוגיין או חולצין או מייבמין. [והגר"א שם לא הגיה].</w:t>
      </w:r>
    </w:p>
  </w:footnote>
  <w:footnote w:id="1228">
    <w:p w14:paraId="560FD46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מאירי</w:t>
      </w:r>
      <w:r w:rsidRPr="009F36E0">
        <w:rPr>
          <w:rFonts w:ascii="Narkisim" w:hAnsi="Narkisim"/>
          <w:rtl/>
        </w:rPr>
        <w:t xml:space="preserve"> כת' דהיינו כשעדיין יכול להקשות, אבל בלא קישוי אם בעלו ל"ק [וע' תוס' לעיל נג:].</w:t>
      </w:r>
    </w:p>
  </w:footnote>
  <w:footnote w:id="1229">
    <w:p w14:paraId="38550B8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וכתב דמדאורייתא מהני דכמה זקנים מולידים. [וצ"ב כוונתו, דאף אם אינו מוליד, לא מצאנו דסריס דהיה לו שעת הכושר אסור לייבם. ועוד דלכאורה שם 'זקן' נקבע ע”פ בריאותו, ולא לפי שנים. ואיירי הכא בזקנים דלאו בר אולודי, א”כ מה מהני דיש זקנים מולידין]. וה</w:t>
      </w:r>
      <w:r w:rsidRPr="009F36E0">
        <w:rPr>
          <w:rFonts w:ascii="Narkisim" w:hAnsi="Narkisim"/>
          <w:b/>
          <w:bCs/>
          <w:rtl/>
        </w:rPr>
        <w:t>קר"א</w:t>
      </w:r>
      <w:r w:rsidRPr="009F36E0">
        <w:rPr>
          <w:rFonts w:ascii="Narkisim" w:hAnsi="Narkisim"/>
          <w:rtl/>
        </w:rPr>
        <w:t xml:space="preserve"> (לקמן) הק' מאיזה טעם יאסר, אף מדרבנן.</w:t>
      </w:r>
    </w:p>
  </w:footnote>
  <w:footnote w:id="1230">
    <w:p w14:paraId="31A7064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וביאר דראויה לביאה טפי.</w:t>
      </w:r>
    </w:p>
  </w:footnote>
  <w:footnote w:id="1231">
    <w:p w14:paraId="6FA9281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אך לס"ד דהגמ' קאי אף אכה"ג. [ונפק"מ אי כה"ג לקרוביו הוה ל"ת ועשה].</w:t>
      </w:r>
    </w:p>
  </w:footnote>
  <w:footnote w:id="1232">
    <w:p w14:paraId="4773C0B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אחרונים</w:t>
      </w:r>
      <w:r w:rsidRPr="009F36E0">
        <w:rPr>
          <w:rFonts w:ascii="Narkisim" w:hAnsi="Narkisim"/>
          <w:rtl/>
        </w:rPr>
        <w:t xml:space="preserve"> (שעה"מ יבום ו יא, הג' הב"ח עה"ג פד.) דלתוס' למסקנא עשה דקדושים יהיו לא קאי אכה"ג.</w:t>
      </w:r>
    </w:p>
    <w:p w14:paraId="3EB4F589" w14:textId="77777777" w:rsidR="006074A5" w:rsidRPr="009F36E0" w:rsidRDefault="006074A5" w:rsidP="006074A5">
      <w:pPr>
        <w:pStyle w:val="Footnote"/>
        <w:bidi/>
        <w:rPr>
          <w:rFonts w:ascii="Narkisim" w:hAnsi="Narkisim"/>
        </w:rPr>
      </w:pPr>
      <w:r w:rsidRPr="009F36E0">
        <w:rPr>
          <w:rFonts w:ascii="Narkisim" w:hAnsi="Narkisim"/>
          <w:rtl/>
        </w:rPr>
        <w:tab/>
        <w:t xml:space="preserve">וכ"כ </w:t>
      </w:r>
      <w:r w:rsidRPr="009F36E0">
        <w:rPr>
          <w:rFonts w:ascii="Narkisim" w:hAnsi="Narkisim"/>
          <w:b/>
          <w:bCs/>
          <w:rtl/>
        </w:rPr>
        <w:t>תוס</w:t>
      </w:r>
      <w:r w:rsidRPr="009F36E0">
        <w:rPr>
          <w:rFonts w:ascii="Narkisim" w:hAnsi="Narkisim"/>
          <w:rtl/>
        </w:rPr>
        <w:t>' (מכות טו. ד"ה אם) דגרושה לכהן הוה ל"ת ועשה. והשעה"מ (שם) פי' דהיינו עשה דקדושים תהיו.</w:t>
      </w:r>
    </w:p>
  </w:footnote>
  <w:footnote w:id="1233">
    <w:p w14:paraId="3F3C666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רש"ש</w:t>
      </w:r>
      <w:r w:rsidRPr="009F36E0">
        <w:rPr>
          <w:rFonts w:ascii="Narkisim" w:hAnsi="Narkisim"/>
          <w:rtl/>
        </w:rPr>
        <w:t xml:space="preserve"> (בסוגיין) הביא דה</w:t>
      </w:r>
      <w:r w:rsidRPr="009F36E0">
        <w:rPr>
          <w:rFonts w:ascii="Narkisim" w:hAnsi="Narkisim"/>
          <w:b/>
          <w:bCs/>
          <w:rtl/>
        </w:rPr>
        <w:t>פוסקים</w:t>
      </w:r>
      <w:r w:rsidRPr="009F36E0">
        <w:rPr>
          <w:rFonts w:ascii="Narkisim" w:hAnsi="Narkisim"/>
          <w:rtl/>
        </w:rPr>
        <w:t xml:space="preserve"> השמיטו מח' רש"י ותוס' בגרושה וחללה אי הוה ל”ת ועשה ונפק”מ דאם בעלו ל”ק.</w:t>
      </w:r>
    </w:p>
  </w:footnote>
  <w:footnote w:id="1234">
    <w:p w14:paraId="0B3265C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שעה"מ</w:t>
      </w:r>
      <w:r w:rsidRPr="009F36E0">
        <w:rPr>
          <w:rFonts w:ascii="Narkisim" w:hAnsi="Narkisim"/>
          <w:rtl/>
        </w:rPr>
        <w:t xml:space="preserve"> הביא דב</w:t>
      </w:r>
      <w:r w:rsidRPr="009F36E0">
        <w:rPr>
          <w:rFonts w:ascii="Narkisim" w:hAnsi="Narkisim"/>
          <w:b/>
          <w:bCs/>
          <w:rtl/>
        </w:rPr>
        <w:t>ס' דברי אמת</w:t>
      </w:r>
      <w:r w:rsidRPr="009F36E0">
        <w:rPr>
          <w:rFonts w:ascii="Narkisim" w:hAnsi="Narkisim"/>
          <w:rtl/>
        </w:rPr>
        <w:t xml:space="preserve"> הק' סתירה ברש"י, ד</w:t>
      </w:r>
      <w:r w:rsidRPr="009F36E0">
        <w:rPr>
          <w:rFonts w:ascii="Narkisim" w:hAnsi="Narkisim"/>
          <w:b/>
          <w:bCs/>
          <w:rtl/>
        </w:rPr>
        <w:t>רש"י</w:t>
      </w:r>
      <w:r w:rsidRPr="009F36E0">
        <w:rPr>
          <w:rFonts w:ascii="Narkisim" w:hAnsi="Narkisim"/>
          <w:rtl/>
        </w:rPr>
        <w:t xml:space="preserve"> (ב"מ שם) כת' דטומאת כהנים הוה עשה ול"ת. ואילו לקמן פד. ס"ל דליכא עשה בגרושה וחללה לכהן. וכן הביא מה</w:t>
      </w:r>
      <w:r w:rsidRPr="009F36E0">
        <w:rPr>
          <w:rFonts w:ascii="Narkisim" w:hAnsi="Narkisim"/>
          <w:b/>
          <w:bCs/>
          <w:rtl/>
        </w:rPr>
        <w:t>רמב"ם</w:t>
      </w:r>
      <w:r w:rsidRPr="009F36E0">
        <w:rPr>
          <w:rFonts w:ascii="Narkisim" w:hAnsi="Narkisim"/>
          <w:rtl/>
        </w:rPr>
        <w:t xml:space="preserve"> (גזילה יא יח) דטומאה הוה ל”ת ועשה, ולא הוזכר ברמב”ם בשאר לאוי כהונה.</w:t>
      </w:r>
    </w:p>
  </w:footnote>
  <w:footnote w:id="1235">
    <w:p w14:paraId="27763DC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רמב"ם</w:t>
      </w:r>
      <w:r w:rsidRPr="009F36E0">
        <w:rPr>
          <w:rFonts w:ascii="Narkisim" w:hAnsi="Narkisim"/>
          <w:rtl/>
        </w:rPr>
        <w:t xml:space="preserve"> (סה"מ שורש ד) כת' ד'והתקדשתם' אינו נמנה כמצווה בפנ"ע במנין המצוות, שאינו מזהיר לעשות מעשה מיוחד. אלא כאילו יאמר היה קדוש בהיותך עושה כל מה שצויתיך בו ונזהר מכל מה שהזהרתיך ממנו. [ועד"ז הפסוק (שמות כג יג) ובכל אשר אמרתי אליכם תשמרו. וכן (ויקרא יט ב) קדושים תהיו. וכן (שם יט יט) את חקותי תשמורו. וכן (שם יח ד,ה,ל) את משפטי תעשו, ושמרתם את משמרתי. [אך בה"ג מנה והתקדשתם כמצוות עשה. ולא מנה קדושים תהיו ואינך].</w:t>
      </w:r>
    </w:p>
  </w:footnote>
  <w:footnote w:id="1236">
    <w:p w14:paraId="7E2D02F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יש שפי' דכוונת התוס' להק' דאין לחכמים לעקור מצווה שלימה מהתורה [ע' ט”ז תקפח ה]. [והרמב"ן חלק דכיון דיש מצוות חליצה לא נחשב עקירת מצווה].</w:t>
      </w:r>
    </w:p>
  </w:footnote>
  <w:footnote w:id="1237">
    <w:p w14:paraId="1FD87BE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ריטב"א</w:t>
      </w:r>
      <w:r w:rsidRPr="009F36E0">
        <w:rPr>
          <w:rFonts w:ascii="Narkisim" w:hAnsi="Narkisim"/>
          <w:rtl/>
        </w:rPr>
        <w:t xml:space="preserve"> בשם </w:t>
      </w:r>
      <w:r w:rsidRPr="009F36E0">
        <w:rPr>
          <w:rFonts w:ascii="Narkisim" w:hAnsi="Narkisim"/>
          <w:b/>
          <w:bCs/>
          <w:rtl/>
        </w:rPr>
        <w:t>רש"י</w:t>
      </w:r>
      <w:r w:rsidRPr="009F36E0">
        <w:rPr>
          <w:rFonts w:ascii="Narkisim" w:hAnsi="Narkisim"/>
          <w:rtl/>
        </w:rPr>
        <w:t xml:space="preserve"> (ואינה לפנינו)].</w:t>
      </w:r>
    </w:p>
  </w:footnote>
  <w:footnote w:id="1238">
    <w:p w14:paraId="4F1523C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דה</w:t>
      </w:r>
      <w:r w:rsidRPr="009F36E0">
        <w:rPr>
          <w:rFonts w:ascii="Narkisim" w:hAnsi="Narkisim"/>
          <w:b/>
          <w:bCs/>
          <w:rtl/>
        </w:rPr>
        <w:t>ירושלמי</w:t>
      </w:r>
      <w:r w:rsidRPr="009F36E0">
        <w:rPr>
          <w:rFonts w:ascii="Narkisim" w:hAnsi="Narkisim"/>
          <w:rtl/>
        </w:rPr>
        <w:t xml:space="preserve"> מק' בכניסתם לארץ אמאי לא אכלו מצה מתבואה חדשה [דכתיב ויאכלו מעיבור הארץ ממחרת הפסח], משום עדל"ת. והירושלמי תי' דאינה כתובה בצידה. ו</w:t>
      </w:r>
      <w:r w:rsidRPr="009F36E0">
        <w:rPr>
          <w:rFonts w:ascii="Narkisim" w:hAnsi="Narkisim"/>
          <w:b/>
          <w:bCs/>
          <w:rtl/>
        </w:rPr>
        <w:t>תוס</w:t>
      </w:r>
      <w:r w:rsidRPr="009F36E0">
        <w:rPr>
          <w:rFonts w:ascii="Narkisim" w:hAnsi="Narkisim"/>
          <w:rtl/>
        </w:rPr>
        <w:t>' (שם) פי' דמצה הוה עשה שקודם מתן תורה, ומש"ה לא דחי [וע' מש"כ לעיל ה:].</w:t>
      </w:r>
    </w:p>
    <w:p w14:paraId="790B7118"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ר"ש</w:t>
      </w:r>
      <w:r w:rsidRPr="009F36E0">
        <w:rPr>
          <w:rFonts w:ascii="Narkisim" w:hAnsi="Narkisim"/>
          <w:rtl/>
        </w:rPr>
        <w:t xml:space="preserve"> (חלה ב א) הביא מהירושלמי דעשה דוחה דוקא ל"ת דכתיב בצידה. והר"ש דחה דבכל הש"ס מצאנו דדוחה אף ל"ת דלא כתיב בצידה, וכגון מצוות יבום לממזרת בסוגיין. וכת' דר' יוסי (בירושלמי שם) פליג, וס”ל דאף ל”ת לחוד הוה בכלל 'ועלתה', דעולה לחליצה. אך צ”ע דאיתותיב מברייתא דבעלו קנו].</w:t>
      </w:r>
    </w:p>
  </w:footnote>
  <w:footnote w:id="1239">
    <w:p w14:paraId="46FEAF1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תוס' טוך</w:t>
      </w:r>
      <w:r w:rsidRPr="009F36E0">
        <w:rPr>
          <w:rFonts w:ascii="Narkisim" w:hAnsi="Narkisim"/>
          <w:rtl/>
        </w:rPr>
        <w:t xml:space="preserve"> ו</w:t>
      </w:r>
      <w:r w:rsidRPr="009F36E0">
        <w:rPr>
          <w:rFonts w:ascii="Narkisim" w:hAnsi="Narkisim"/>
          <w:b/>
          <w:bCs/>
          <w:rtl/>
        </w:rPr>
        <w:t>מהרי"ט</w:t>
      </w:r>
      <w:r w:rsidRPr="009F36E0">
        <w:rPr>
          <w:rFonts w:ascii="Narkisim" w:hAnsi="Narkisim"/>
          <w:rtl/>
        </w:rPr>
        <w:t xml:space="preserve"> (שם) ציינו המקור מסוגיין.</w:t>
      </w:r>
    </w:p>
  </w:footnote>
  <w:footnote w:id="1240">
    <w:p w14:paraId="338ED0B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{ויל"פ דכלפי חליצה נחשב דאינו רשאי לייבם [דעקרו חכמים וצוו שלא ידחה לל"ת], אבל היכא דעבר על תקנתם וייבם לא העמידו דבריהם לבטל קנינו, והוה יבום מעלייתא}.</w:t>
      </w:r>
    </w:p>
  </w:footnote>
  <w:footnote w:id="1241">
    <w:p w14:paraId="08E965B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ודלא כ</w:t>
      </w:r>
      <w:r w:rsidRPr="009F36E0">
        <w:rPr>
          <w:rFonts w:ascii="Narkisim" w:hAnsi="Narkisim"/>
          <w:b/>
          <w:bCs/>
          <w:rtl/>
        </w:rPr>
        <w:t>אחרונים</w:t>
      </w:r>
      <w:r w:rsidRPr="009F36E0">
        <w:rPr>
          <w:rFonts w:ascii="Narkisim" w:hAnsi="Narkisim"/>
          <w:rtl/>
        </w:rPr>
        <w:t xml:space="preserve"> דיש כח ביד חכמים לעקור את הדין מדאורייתא (ויתבאר לקמן צ).</w:t>
      </w:r>
    </w:p>
  </w:footnote>
  <w:footnote w:id="1242">
    <w:p w14:paraId="7CEF7BD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ומבואר בדבריו דמדאורייתא אינה מתייבמת, ודלא כ</w:t>
      </w:r>
      <w:r w:rsidRPr="009F36E0">
        <w:rPr>
          <w:rFonts w:ascii="Narkisim" w:hAnsi="Narkisim"/>
          <w:b/>
          <w:bCs/>
          <w:rtl/>
        </w:rPr>
        <w:t>ריטב"א</w:t>
      </w:r>
      <w:r w:rsidRPr="009F36E0">
        <w:rPr>
          <w:rFonts w:ascii="Narkisim" w:hAnsi="Narkisim"/>
          <w:rtl/>
        </w:rPr>
        <w:t xml:space="preserve"> (לעיל יא.) דאמרי' עשה דוחה ל"ת. [ע' מה שהובא בזה לעיל יא. ויא:].</w:t>
      </w:r>
    </w:p>
  </w:footnote>
  <w:footnote w:id="1243">
    <w:p w14:paraId="0A6EAB9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ה</w:t>
      </w:r>
      <w:r w:rsidRPr="009F36E0">
        <w:rPr>
          <w:rFonts w:ascii="Narkisim" w:hAnsi="Narkisim"/>
          <w:b/>
          <w:bCs/>
          <w:rtl/>
        </w:rPr>
        <w:t>רמב"ן</w:t>
      </w:r>
      <w:r w:rsidRPr="009F36E0">
        <w:rPr>
          <w:rFonts w:ascii="Narkisim" w:hAnsi="Narkisim"/>
          <w:rtl/>
        </w:rPr>
        <w:t xml:space="preserve"> (בע"א) כתב סברא זו [בתחילת הסוגיא], לתרץ קושית </w:t>
      </w:r>
      <w:r w:rsidRPr="009F36E0">
        <w:rPr>
          <w:rFonts w:ascii="Narkisim" w:hAnsi="Narkisim"/>
          <w:b/>
          <w:bCs/>
          <w:rtl/>
        </w:rPr>
        <w:t>תוס</w:t>
      </w:r>
      <w:r w:rsidRPr="009F36E0">
        <w:rPr>
          <w:rFonts w:ascii="Narkisim" w:hAnsi="Narkisim"/>
          <w:rtl/>
        </w:rPr>
        <w:t>' (בע"א ד"ה בשלמא), ע' מה שהובא שם].</w:t>
      </w:r>
    </w:p>
  </w:footnote>
  <w:footnote w:id="1244">
    <w:p w14:paraId="52B99A9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ובעינן חליצה [מסברא] לסלק אישות המת. אבל בפשוטו לדעת תוס' הוה גדר האם הוה 'חיוב חליצה', דגזיה”כ דעולה לחליצה.</w:t>
      </w:r>
    </w:p>
  </w:footnote>
  <w:footnote w:id="1245">
    <w:p w14:paraId="356C91C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אחרונים</w:t>
      </w:r>
      <w:r w:rsidRPr="009F36E0">
        <w:rPr>
          <w:rFonts w:ascii="Narkisim" w:hAnsi="Narkisim"/>
          <w:rtl/>
        </w:rPr>
        <w:t xml:space="preserve"> (ע' חכ"צ א) נקטו דכוונת הירושלמי דאין בו גדר קנין כיבום, אבל יש בו חיוב ותיקון].</w:t>
      </w:r>
    </w:p>
  </w:footnote>
  <w:footnote w:id="1246">
    <w:p w14:paraId="21219A5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תוס' </w:t>
      </w:r>
      <w:r w:rsidRPr="009F36E0">
        <w:rPr>
          <w:rFonts w:ascii="Narkisim" w:hAnsi="Narkisim"/>
          <w:rtl/>
        </w:rPr>
        <w:t>ה</w:t>
      </w:r>
      <w:r w:rsidRPr="009F36E0">
        <w:rPr>
          <w:rFonts w:ascii="Narkisim" w:hAnsi="Narkisim"/>
          <w:b/>
          <w:bCs/>
          <w:rtl/>
        </w:rPr>
        <w:t>רא"ש</w:t>
      </w:r>
      <w:r w:rsidRPr="009F36E0">
        <w:rPr>
          <w:rFonts w:ascii="Narkisim" w:hAnsi="Narkisim"/>
          <w:rtl/>
        </w:rPr>
        <w:t xml:space="preserve"> הק' דמשמע בגמ' דהגזירה נדחה. ועוד הקשה דלפ"ז מצרי ואדומי [דהוה עשה] פטורה [ובזה אין גזירה].</w:t>
      </w:r>
    </w:p>
  </w:footnote>
  <w:footnote w:id="1247">
    <w:p w14:paraId="212A0E8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כמו אילונית לרב אסי, דכיון דאינה מתייבמת הו"ל כאשת אח שלא במקום מצוה ואית בה כרת.</w:t>
      </w:r>
    </w:p>
  </w:footnote>
  <w:footnote w:id="1248">
    <w:p w14:paraId="657B7F7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דילפי' 'יבמתו', וכדרשת רב גידל, וכדעת תוס' דקאי למסקנא. [וע' היטב </w:t>
      </w:r>
      <w:r w:rsidRPr="009F36E0">
        <w:rPr>
          <w:rFonts w:ascii="Narkisim" w:hAnsi="Narkisim"/>
          <w:b/>
          <w:bCs/>
          <w:rtl/>
        </w:rPr>
        <w:t>תוס</w:t>
      </w:r>
      <w:r w:rsidRPr="009F36E0">
        <w:rPr>
          <w:rFonts w:ascii="Narkisim" w:hAnsi="Narkisim"/>
          <w:rtl/>
        </w:rPr>
        <w:t>' ח. סוד"ה תרי].</w:t>
      </w:r>
    </w:p>
  </w:footnote>
  <w:footnote w:id="1249">
    <w:p w14:paraId="4DD519A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ופ</w:t>
      </w:r>
      <w:r w:rsidRPr="009F36E0">
        <w:rPr>
          <w:rFonts w:ascii="Narkisim" w:hAnsi="Narkisim"/>
          <w:b/>
          <w:bCs/>
          <w:rtl/>
        </w:rPr>
        <w:t>רש"י</w:t>
      </w:r>
      <w:r w:rsidRPr="009F36E0">
        <w:rPr>
          <w:rFonts w:ascii="Narkisim" w:hAnsi="Narkisim"/>
          <w:rtl/>
        </w:rPr>
        <w:t xml:space="preserve"> דאינה יוצאה בלא כלום, ולא דמי לחייבי כריתות דילפי' גז"ש דעליה דיוצאה הימנו בלא חליצה, דהתם הוא דהוה איסור חמור דלא תפסי ביה קדושי.</w:t>
      </w:r>
    </w:p>
  </w:footnote>
  <w:footnote w:id="1250">
    <w:p w14:paraId="0346AC7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וע”ד מ"ש ה</w:t>
      </w:r>
      <w:r w:rsidRPr="009F36E0">
        <w:rPr>
          <w:rFonts w:ascii="Narkisim" w:hAnsi="Narkisim"/>
          <w:b/>
          <w:bCs/>
          <w:rtl/>
        </w:rPr>
        <w:t>קובה”ע</w:t>
      </w:r>
      <w:r w:rsidRPr="009F36E0">
        <w:rPr>
          <w:rFonts w:ascii="Narkisim" w:hAnsi="Narkisim"/>
          <w:rtl/>
        </w:rPr>
        <w:t xml:space="preserve"> (סט ח) בשם ה</w:t>
      </w:r>
      <w:r w:rsidRPr="009F36E0">
        <w:rPr>
          <w:rFonts w:ascii="Narkisim" w:hAnsi="Narkisim"/>
          <w:b/>
          <w:bCs/>
          <w:rtl/>
        </w:rPr>
        <w:t>גר”ח</w:t>
      </w:r>
      <w:r w:rsidRPr="009F36E0">
        <w:rPr>
          <w:rFonts w:ascii="Narkisim" w:hAnsi="Narkisim"/>
          <w:rtl/>
        </w:rPr>
        <w:t xml:space="preserve"> לפרש דברי האשכול דבזה"ז בסדין בציצית לוקה, כיון דחכמים תקנו ובטלו מצוות ציצית, עי"ז לא אמרי' עשה דוחה ל"ת, ולוקה. [ע' מה שהובא לעיל ד: וה., והקובה"ע דן דמ"מ יש כאן קיום עשה, אף דלא רמי עליה. ואכמ"ל].</w:t>
      </w:r>
    </w:p>
  </w:footnote>
  <w:footnote w:id="1251">
    <w:p w14:paraId="4953D21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וצ"ל דסברא זו מהני רק כלפי לאו דממזרת או אלמנה לכה"ג [ומש”ה דנו דאינו עולה ליבום], אך מצוות יבום לא פקע. [וצ"ע].</w:t>
      </w:r>
    </w:p>
  </w:footnote>
  <w:footnote w:id="1252">
    <w:p w14:paraId="2FAF62F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(בחלק מהדפוסים) כתב דמצרית ראשונה, גרושה לכהן הדיוט, נחשב לאו ועשה. וביארו כוונתו דגרושה לכהן לחוד הו"ל חייבי לאוין ועדל"ת [וכמ"ש בתחילת דבריו], ובמקום שהיא מצרית וגם גרושה הו"ל לאו ועשה ולא דחי. ולפ"ז מבואר דמצרית לחוד [חייבי עשה] מתייבמת מדאורי' [וכרשב"א]. [אך יל"ד בזה כשנזדמנו עשה ול"ת במעשה א', האם נחשב עשה ול"ת. וע' מש"כ לעיל ה.].</w:t>
      </w:r>
    </w:p>
  </w:footnote>
  <w:footnote w:id="1253">
    <w:p w14:paraId="7673BD4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יש </w:t>
      </w:r>
      <w:r w:rsidRPr="009F36E0">
        <w:rPr>
          <w:rFonts w:ascii="Narkisim" w:hAnsi="Narkisim"/>
          <w:b/>
          <w:bCs/>
          <w:rtl/>
        </w:rPr>
        <w:t>אחרונים</w:t>
      </w:r>
      <w:r w:rsidRPr="009F36E0">
        <w:rPr>
          <w:rFonts w:ascii="Narkisim" w:hAnsi="Narkisim"/>
          <w:rtl/>
        </w:rPr>
        <w:t xml:space="preserve"> (וציינו דכ"כ ה</w:t>
      </w:r>
      <w:r w:rsidRPr="009F36E0">
        <w:rPr>
          <w:rFonts w:ascii="Narkisim" w:hAnsi="Narkisim"/>
          <w:b/>
          <w:bCs/>
          <w:rtl/>
        </w:rPr>
        <w:t>חמד"ש</w:t>
      </w:r>
      <w:r w:rsidRPr="009F36E0">
        <w:rPr>
          <w:rFonts w:ascii="Narkisim" w:hAnsi="Narkisim"/>
          <w:rtl/>
        </w:rPr>
        <w:t xml:space="preserve"> או"ח לא) דנקטו דהוה עשה גמור. וע' </w:t>
      </w:r>
      <w:r w:rsidRPr="009F36E0">
        <w:rPr>
          <w:rFonts w:ascii="Narkisim" w:hAnsi="Narkisim"/>
          <w:b/>
          <w:bCs/>
          <w:rtl/>
        </w:rPr>
        <w:t>קה"י</w:t>
      </w:r>
      <w:r w:rsidRPr="009F36E0">
        <w:rPr>
          <w:rFonts w:ascii="Narkisim" w:hAnsi="Narkisim"/>
          <w:rtl/>
        </w:rPr>
        <w:t xml:space="preserve"> (טו).</w:t>
      </w:r>
    </w:p>
  </w:footnote>
  <w:footnote w:id="1254">
    <w:p w14:paraId="5131EF3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דפסק (שם יא) דאלמנה מהנישואין לכה"ג הוה עשה ול"ת ולא דחי ול”ק מהתורה קנין גמור.</w:t>
      </w:r>
    </w:p>
  </w:footnote>
  <w:footnote w:id="1255">
    <w:p w14:paraId="03B2EC5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והיש"ש כת' דאפשר דהרמב"ם סבר דחייבי עשה עולים ליבום מדאורייתא. ותמה דליכא מ"ד דס"ל עשה דוחה עשה.</w:t>
      </w:r>
    </w:p>
  </w:footnote>
  <w:footnote w:id="1256">
    <w:p w14:paraId="0220C96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שהביאו דהרמב"ם דרש 'ועלתה' רק כלפי מה שיש איסור לאו ועשה [וילפי' מהדרשא דאם בעלו ל”ק], אבל איסור עשה בעלמא אזלינן בתר סברא. ואסור מדאורייתא אבל אם בעלו קנו. [אבל צ"ב מ"ש להעמיד קרא בחייבי לאו ועשה יותר מעשה לחוד].</w:t>
      </w:r>
    </w:p>
  </w:footnote>
  <w:footnote w:id="1257">
    <w:p w14:paraId="3EDA3B9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קו"א</w:t>
      </w:r>
      <w:r w:rsidRPr="009F36E0">
        <w:rPr>
          <w:rFonts w:ascii="Narkisim" w:hAnsi="Narkisim"/>
          <w:rtl/>
        </w:rPr>
        <w:t xml:space="preserve"> הקשה כן אף לסברא דלאו הבא מכלל עשה נדחה. וע' קה"י דדן דעשה דהשלמה נחשב עשה חיובי, ולא לאו הבא מכלל עשה.</w:t>
      </w:r>
    </w:p>
  </w:footnote>
  <w:footnote w:id="1258">
    <w:p w14:paraId="552C25C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והנוב"י העלה צד דסברת מאי אולמי הוה מדרבנן, ומדאורייתא יעשה מה שירצה. דלא למדנו מקרא דאין עשה דוחה עשה, ואפשר דמדאורי' דחי. [וה</w:t>
      </w:r>
      <w:r w:rsidRPr="009F36E0">
        <w:rPr>
          <w:rFonts w:ascii="Narkisim" w:hAnsi="Narkisim"/>
          <w:b/>
          <w:bCs/>
          <w:rtl/>
        </w:rPr>
        <w:t>אחרונים</w:t>
      </w:r>
      <w:r w:rsidRPr="009F36E0">
        <w:rPr>
          <w:rFonts w:ascii="Narkisim" w:hAnsi="Narkisim"/>
          <w:rtl/>
        </w:rPr>
        <w:t xml:space="preserve"> (חמדת שלמה או"ח לא, בי"מ קעד) תמהו דהגמ' (חולין קמא.) דמאי אולמי האי עשה וכו' קאי מדאורי'].</w:t>
      </w:r>
    </w:p>
  </w:footnote>
  <w:footnote w:id="1259">
    <w:p w14:paraId="19B16C8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ודימה להא דאי' (זבחים פ., עירובין ק.) שב ואל תעשה עדיף. [ונסתפק אי אף התם הוה מדאורייתא או גזירה דרבנן].</w:t>
      </w:r>
    </w:p>
  </w:footnote>
  <w:footnote w:id="1260">
    <w:p w14:paraId="469D43D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נוב"י</w:t>
      </w:r>
      <w:r w:rsidRPr="009F36E0">
        <w:rPr>
          <w:rFonts w:ascii="Narkisim" w:hAnsi="Narkisim"/>
          <w:rtl/>
        </w:rPr>
        <w:t xml:space="preserve"> (בתחילתו) ביאר הקושיה, דכיון שאין עשה דוחה עשה ממילא לא קיים העשה כלל, ונמצא עבר על הלאו שלא במקום מצוה. [ע' מש"כ לעיל בגדר הא דאם בעלו ל"ק, ומבואר בנוב"י דהוה סברא כללית בכל עשה במקום עשה [ודלא כדברי האחרונים הנ"ל דהוה סברא בגדרי היבום]. ומשמע דסמך דבריו אסברת חתנו דהטעם משום מצווה הבאה בעבירה].</w:t>
      </w:r>
    </w:p>
    <w:p w14:paraId="1A409647" w14:textId="77777777" w:rsidR="006074A5" w:rsidRPr="009F36E0" w:rsidRDefault="006074A5" w:rsidP="006074A5">
      <w:pPr>
        <w:pStyle w:val="Footnote"/>
        <w:bidi/>
        <w:rPr>
          <w:rFonts w:ascii="Narkisim" w:hAnsi="Narkisim"/>
        </w:rPr>
      </w:pPr>
      <w:r w:rsidRPr="009F36E0">
        <w:rPr>
          <w:rFonts w:ascii="Narkisim" w:hAnsi="Narkisim"/>
          <w:rtl/>
        </w:rPr>
        <w:tab/>
        <w:t>ועפ"ז יל"פ תי' הנוב"י דבמקום ל"ת ועשה, אמרי' דהעשה כמאן דליתא, ואינו מצווה בדבר. אבל עשה במקום עשה דשקולים, כל א' ל"מ לבטל חבירו, ואם עבר קיים המצווה.</w:t>
      </w:r>
    </w:p>
  </w:footnote>
  <w:footnote w:id="1261">
    <w:p w14:paraId="3AD1EF5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והנוב"י ביאר עד"ז אף סברת ה</w:t>
      </w:r>
      <w:r w:rsidRPr="009F36E0">
        <w:rPr>
          <w:rFonts w:ascii="Narkisim" w:hAnsi="Narkisim"/>
          <w:b/>
          <w:bCs/>
          <w:rtl/>
        </w:rPr>
        <w:t>ריב"א</w:t>
      </w:r>
      <w:r w:rsidRPr="009F36E0">
        <w:rPr>
          <w:rFonts w:ascii="Narkisim" w:hAnsi="Narkisim"/>
          <w:rtl/>
        </w:rPr>
        <w:t xml:space="preserve"> (בתוס' חולין קמא.) גבי עשה דאינו דוחה לאו ועשה, היכא דעבר על הלאו וקיים העשה אינו לוקה. וחתנו הק' דהא לא קיים עשה כלל [משום דהוה מצווה הבא בעבירה]. והנוב"י תי' דאף כה"ג עשה כנגד עשה אמרי' מאי אולמי, ובדיעבד אם בעלו קנו. והא דהרמב"ם פסק דאם בעלו ל"ק, משום דרשת רב גידל דעולה רק לחליצה. וה"מ ל"ת ועשה, אבל עשה לחוד לא דרשי' כן.</w:t>
      </w:r>
    </w:p>
  </w:footnote>
  <w:footnote w:id="1262">
    <w:p w14:paraId="22D7DCB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רמב"ן</w:t>
      </w:r>
      <w:r w:rsidRPr="009F36E0">
        <w:rPr>
          <w:rFonts w:ascii="Narkisim" w:hAnsi="Narkisim"/>
          <w:rtl/>
        </w:rPr>
        <w:t xml:space="preserve"> (קידושין י, ור"ן שם ו. בדה"ר) דמצות 'יבמה יבא עליה' הוה בכל ביאה ראשונה, עד גמ"ב. שזהו ביאה שאמרה תורה, אע"פ שנתרבתה העראה. ועוד דכתיב להקים לאחיו שם, ואין האשה מתעברת בהעראה.</w:t>
      </w:r>
    </w:p>
  </w:footnote>
  <w:footnote w:id="1263">
    <w:p w14:paraId="4E3BE30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ועד"ז כת' ה</w:t>
      </w:r>
      <w:r w:rsidRPr="009F36E0">
        <w:rPr>
          <w:rFonts w:ascii="Narkisim" w:hAnsi="Narkisim"/>
          <w:b/>
          <w:bCs/>
          <w:rtl/>
        </w:rPr>
        <w:t>רמב"ן</w:t>
      </w:r>
      <w:r w:rsidRPr="009F36E0">
        <w:rPr>
          <w:rFonts w:ascii="Narkisim" w:hAnsi="Narkisim"/>
          <w:rtl/>
        </w:rPr>
        <w:t xml:space="preserve"> (לקמן כט) לדעת בית שמאי, דמאמר קונה קנין גמור, ואפ"ה מצוות יבום בביאה שאח"כ.</w:t>
      </w:r>
    </w:p>
  </w:footnote>
  <w:footnote w:id="1264">
    <w:p w14:paraId="6A80548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תוס' פליגי דאין עליו שם מצוה. א"נ דוקא רק לענין עדל”ת].</w:t>
      </w:r>
    </w:p>
  </w:footnote>
  <w:footnote w:id="1265">
    <w:p w14:paraId="5836F37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ויש שכתבו דשייך לדין דרכי נועם.</w:t>
      </w:r>
    </w:p>
  </w:footnote>
  <w:footnote w:id="1266">
    <w:p w14:paraId="4F26055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איסורי התורה הוה על הביאה, אפ"ה יש היתר היכא שנשאה בהיתר, והוה כבר אשתו. [דאיסור אלמנה הוה על כל ביאה, ולא רק בשעה שנושאה].</w:t>
      </w:r>
    </w:p>
    <w:p w14:paraId="00A721BD" w14:textId="77777777" w:rsidR="006074A5" w:rsidRPr="009F36E0" w:rsidRDefault="006074A5" w:rsidP="006074A5">
      <w:pPr>
        <w:pStyle w:val="Footnote"/>
        <w:bidi/>
        <w:rPr>
          <w:rFonts w:ascii="Narkisim" w:hAnsi="Narkisim"/>
        </w:rPr>
      </w:pPr>
      <w:r w:rsidRPr="009F36E0">
        <w:rPr>
          <w:rFonts w:ascii="Narkisim" w:hAnsi="Narkisim"/>
          <w:rtl/>
        </w:rPr>
        <w:tab/>
        <w:t>וב</w:t>
      </w:r>
      <w:r w:rsidRPr="009F36E0">
        <w:rPr>
          <w:rFonts w:ascii="Narkisim" w:hAnsi="Narkisim"/>
          <w:b/>
          <w:bCs/>
          <w:rtl/>
        </w:rPr>
        <w:t>קובץ תשובות</w:t>
      </w:r>
      <w:r w:rsidRPr="009F36E0">
        <w:rPr>
          <w:rFonts w:ascii="Narkisim" w:hAnsi="Narkisim"/>
          <w:rtl/>
        </w:rPr>
        <w:t xml:space="preserve"> (לגריש"א זצ"ל א קמד, ועד"ז חי' הגר"נ שצ) כת' דכוונת התוס' דוקא באיסורי כה"ג דכתיב בקרא בלשון יקח. [ודן דאף תוס' דימו רק לענין אלמנה לכה”ג, ולא לשאר איסורין].</w:t>
      </w:r>
    </w:p>
  </w:footnote>
  <w:footnote w:id="1267">
    <w:p w14:paraId="26C6084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ובשלמא איסור סוטה י"ל דבהא גלי רחמנא. אלא דמבואר (לקמן נו:) דנאסרה אף משום איסור זונה דנבעלה לחייבי כריתות.</w:t>
      </w:r>
    </w:p>
  </w:footnote>
  <w:footnote w:id="1268">
    <w:p w14:paraId="16397E7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קובץ תשובות</w:t>
      </w:r>
      <w:r w:rsidRPr="009F36E0">
        <w:rPr>
          <w:rFonts w:ascii="Narkisim" w:hAnsi="Narkisim"/>
          <w:rtl/>
        </w:rPr>
        <w:t xml:space="preserve"> (שם) הוסיף דלא מצאנו דבעי חופה וקידושין. [ויל"ד דהתם הוא גרם הריחוק שגירשה].</w:t>
      </w:r>
    </w:p>
  </w:footnote>
  <w:footnote w:id="1269">
    <w:p w14:paraId="36B5705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[ובדפוס דידן אי' ועי"ל, משמע דהוה תי' נוסף על קו' התוס'. אבל בתו"י הנדמ"ח מבואר דהוה המשך תי' התוס'].</w:t>
      </w:r>
    </w:p>
  </w:footnote>
  <w:footnote w:id="1270">
    <w:p w14:paraId="69A27D6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עיקר קושיית הגמ' מסברא [דלדבריך אם בעלו ל”ק], ולא מהברייתא. ודוחק.</w:t>
      </w:r>
    </w:p>
  </w:footnote>
  <w:footnote w:id="1271">
    <w:p w14:paraId="19B27DF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משמע מדברי רש"י דהעמיד הנידון כלפי חליצה, ולכאו' משמע דלכו"ע צריך גט.</w:t>
      </w:r>
    </w:p>
  </w:footnote>
  <w:footnote w:id="1272">
    <w:p w14:paraId="6F98200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וכ"כ </w:t>
      </w:r>
      <w:r w:rsidRPr="009F36E0">
        <w:rPr>
          <w:rFonts w:ascii="Narkisim" w:hAnsi="Narkisim"/>
          <w:b/>
          <w:bCs/>
          <w:rtl/>
        </w:rPr>
        <w:t>ה"ה</w:t>
      </w:r>
      <w:r w:rsidRPr="009F36E0">
        <w:rPr>
          <w:rFonts w:ascii="Narkisim" w:hAnsi="Narkisim"/>
          <w:rtl/>
        </w:rPr>
        <w:t xml:space="preserve"> (יג) גבי מחזיר גרושתו שהיא נפטרת שחליצה או ביאה, אבל צרתה נפטרה בחליצתה אבל לא בביאתה. כדין אלמנה לכה"ג.</w:t>
      </w:r>
    </w:p>
  </w:footnote>
  <w:footnote w:id="1273">
    <w:p w14:paraId="3A10E96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אף בביאת שוגג וכדו' קנאה.</w:t>
      </w:r>
    </w:p>
  </w:footnote>
  <w:footnote w:id="1274">
    <w:p w14:paraId="35D71E3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(יד ח) נקט דבאמת אינו דוחה כשיש צרה מותרת.</w:t>
      </w:r>
    </w:p>
  </w:footnote>
  <w:footnote w:id="1275">
    <w:p w14:paraId="18AED8E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דורש לציון</w:t>
      </w:r>
      <w:r w:rsidRPr="009F36E0">
        <w:rPr>
          <w:rFonts w:ascii="Narkisim" w:hAnsi="Narkisim"/>
          <w:rtl/>
        </w:rPr>
        <w:t xml:space="preserve"> תי' דבחייבי לאוין לא מהני ע"י הצרה, דלא שייך שליחותייהו דצרות במידי דאיהי לא מצי עבדא. ומש"ה אילו מייבם הצרה לא נפטרה חייבי לאוין [וצריכה חליצה, ודוקא כשחולץ לה פטורה].</w:t>
      </w:r>
    </w:p>
    <w:p w14:paraId="06C312B9"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אחרונים</w:t>
      </w:r>
      <w:r w:rsidRPr="009F36E0">
        <w:rPr>
          <w:rFonts w:ascii="Narkisim" w:hAnsi="Narkisim"/>
          <w:rtl/>
        </w:rPr>
        <w:t xml:space="preserve"> הביאו מדבריו דגדר שליחותייהו דצרות (לר' יוחנן לעיל י:) הוה שליחות על המעשה כפשוטו, ומש"ה ל"מ היכא דאיהי לא מצי עבדא. וה</w:t>
      </w:r>
      <w:r w:rsidRPr="009F36E0">
        <w:rPr>
          <w:rFonts w:ascii="Narkisim" w:hAnsi="Narkisim"/>
          <w:b/>
          <w:bCs/>
          <w:rtl/>
        </w:rPr>
        <w:t>אבנ"נ</w:t>
      </w:r>
      <w:r w:rsidRPr="009F36E0">
        <w:rPr>
          <w:rFonts w:ascii="Narkisim" w:hAnsi="Narkisim"/>
          <w:rtl/>
        </w:rPr>
        <w:t xml:space="preserve"> (רכג יג) דחה דודאי אין צד דהוה שליחות כפשוטו, דהא מהני אף כשעומד לצווח, וכן בקטנים וכדו'. ודוקא לענין איהו לא מצי עבד אמרי' הכי].</w:t>
      </w:r>
    </w:p>
  </w:footnote>
  <w:footnote w:id="1276">
    <w:p w14:paraId="04B1F4A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lang w:val="he-IL"/>
        </w:rPr>
        <w:t>וה</w:t>
      </w:r>
      <w:r w:rsidRPr="009F36E0">
        <w:rPr>
          <w:rFonts w:ascii="Narkisim" w:hAnsi="Narkisim"/>
          <w:b/>
          <w:bCs/>
          <w:rtl/>
          <w:lang w:val="he-IL"/>
        </w:rPr>
        <w:t>תוס' רי"ד</w:t>
      </w:r>
      <w:r w:rsidRPr="009F36E0">
        <w:rPr>
          <w:rFonts w:ascii="Narkisim" w:hAnsi="Narkisim"/>
          <w:rtl/>
          <w:lang w:val="he-IL"/>
        </w:rPr>
        <w:t xml:space="preserve"> (כתובות מ.) על הגמ' דעשה דולו תהא לאשה אינו דוחה ל"ת, דאי אמרה לא בעינא ליכא עשה כלל. והתוס' רי"ד הק' דגבי יבום דחי, ואף דכתיב אם לא יחפוץ [ואי לא חפץ ליכא עשה]. ותי' דהתם צווי התורה להפיס דעתה, אבל מצוות יבום הוה מצווה דרחמנא רמי עליה, ואע"ג דאמר לא בעינא לא מיעקר המצווה. דהא אמרי' דחליצה במקום יבום אינה מצווה.</w:t>
      </w:r>
    </w:p>
  </w:footnote>
  <w:footnote w:id="1277">
    <w:p w14:paraId="3A03CCB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והביאו דה</w:t>
      </w:r>
      <w:r w:rsidRPr="009F36E0">
        <w:rPr>
          <w:rFonts w:ascii="Narkisim" w:hAnsi="Narkisim"/>
          <w:b/>
          <w:bCs/>
          <w:rtl/>
        </w:rPr>
        <w:t>רמב"ם</w:t>
      </w:r>
      <w:r w:rsidRPr="009F36E0">
        <w:rPr>
          <w:rFonts w:ascii="Narkisim" w:hAnsi="Narkisim"/>
          <w:rtl/>
        </w:rPr>
        <w:t xml:space="preserve"> (סה"מ עשין ריז, ו</w:t>
      </w:r>
      <w:r w:rsidRPr="009F36E0">
        <w:rPr>
          <w:rFonts w:ascii="Narkisim" w:hAnsi="Narkisim"/>
          <w:b/>
          <w:bCs/>
          <w:rtl/>
        </w:rPr>
        <w:t>חינוך</w:t>
      </w:r>
      <w:r w:rsidRPr="009F36E0">
        <w:rPr>
          <w:rFonts w:ascii="Narkisim" w:hAnsi="Narkisim"/>
          <w:rtl/>
        </w:rPr>
        <w:t xml:space="preserve"> תקצט) מנאו לב' מצוות. [וצ"ב אמאי תליא בזה כלל].</w:t>
      </w:r>
    </w:p>
  </w:footnote>
  <w:footnote w:id="1278">
    <w:p w14:paraId="3ED2443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תשב"ץ</w:t>
      </w:r>
      <w:r w:rsidRPr="009F36E0">
        <w:rPr>
          <w:rFonts w:ascii="Narkisim" w:hAnsi="Narkisim"/>
          <w:rtl/>
        </w:rPr>
        <w:t xml:space="preserve"> (א ק) פי' דלאו מצוה מן המובחר היא, להתבטל בשבילה מצות יבום לגמרי בחייבי לאוין [שאם בעלו לא יקנו, כדאי' בסוגיין]. אבל חליצה הוה מצוה, וכלשון הגמ' דמצות יבום קודמת למצות חליצה.</w:t>
      </w:r>
    </w:p>
  </w:footnote>
  <w:footnote w:id="1279">
    <w:p w14:paraId="23904F8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עונג יו"ט</w:t>
      </w:r>
      <w:r w:rsidRPr="009F36E0">
        <w:rPr>
          <w:rFonts w:ascii="Narkisim" w:hAnsi="Narkisim"/>
          <w:rtl/>
        </w:rPr>
        <w:t xml:space="preserve"> (קעז בהג') חילק דחליצה במקום דאפשר לייבם נחשב מצווה. אבל חליצה פסולה [במקום דא"א לייבם] הוה פטור בעלמא. [וע' בסוגיות (לקמן כו:) דחליצה פסולה, וע"ע ראב"ד (כתוב שם לקמן כח. ח. בדה"ר)].</w:t>
      </w:r>
    </w:p>
    <w:p w14:paraId="7248659A" w14:textId="77777777" w:rsidR="006074A5" w:rsidRPr="009F36E0" w:rsidRDefault="006074A5" w:rsidP="006074A5">
      <w:pPr>
        <w:pStyle w:val="Footnote"/>
        <w:bidi/>
        <w:rPr>
          <w:rFonts w:ascii="Narkisim" w:hAnsi="Narkisim"/>
        </w:rPr>
      </w:pPr>
      <w:r w:rsidRPr="009F36E0">
        <w:rPr>
          <w:rFonts w:ascii="Narkisim" w:hAnsi="Narkisim"/>
          <w:rtl/>
        </w:rPr>
        <w:tab/>
        <w:t>ועפ"ז פי' דכוונת הגמ' דאי נימא דאין עשה דוחה ל"ת משום שאפשר לקיים שניהם בחליצה, א”כ אינה ראויה ליבום. ומש”ה הך חליצה לא הוה מצווה כלל. אבל לאחר שעשה דוחה ל”ת ועולה ליבום, א”כ שפיר הוה חליצה כשירה. [העונג יו"ט דחה בזה דברי הבי"ש קעד ג].</w:t>
      </w:r>
    </w:p>
  </w:footnote>
  <w:footnote w:id="1280">
    <w:p w14:paraId="5E6ECA8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וכתב דה</w:t>
      </w:r>
      <w:r w:rsidRPr="009F36E0">
        <w:rPr>
          <w:rFonts w:ascii="Narkisim" w:hAnsi="Narkisim"/>
          <w:b/>
          <w:bCs/>
          <w:rtl/>
        </w:rPr>
        <w:t>רשב"א</w:t>
      </w:r>
      <w:r w:rsidRPr="009F36E0">
        <w:rPr>
          <w:rFonts w:ascii="Narkisim" w:hAnsi="Narkisim"/>
          <w:rtl/>
        </w:rPr>
        <w:t xml:space="preserve"> למד דבס"ד דהגמ' אף דין עדל"ת תליא בדין ביטול מצוה. ומזה למד לענין שבועה. ובמסקנא גדר עדל"ת תליא בקיום המצוה, ומ"מ דין נשבע לבטל לא נשתנה, ולכן שפיר למד הרשב"א מההו"א.</w:t>
      </w:r>
    </w:p>
  </w:footnote>
  <w:footnote w:id="1281">
    <w:p w14:paraId="5B5D0B3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(ר"ה טז.) כת' שכל מה שיש לו אסמכתא מן הפסוק רמז הקב"ה שראוי לעשות כן אלא שלא קבעו חובה ומסרו לחכמים וכו'. ודלא כדברי ה</w:t>
      </w:r>
      <w:r w:rsidRPr="009F36E0">
        <w:rPr>
          <w:rFonts w:ascii="Narkisim" w:hAnsi="Narkisim"/>
          <w:b/>
          <w:bCs/>
          <w:rtl/>
        </w:rPr>
        <w:t>מפרשים</w:t>
      </w:r>
      <w:r w:rsidRPr="009F36E0">
        <w:rPr>
          <w:rFonts w:ascii="Narkisim" w:hAnsi="Narkisim"/>
          <w:rtl/>
        </w:rPr>
        <w:t xml:space="preserve"> דרק חכמים קבעו סימן לדבריהם. [ואכמ"ל].</w:t>
      </w:r>
    </w:p>
  </w:footnote>
  <w:footnote w:id="1282">
    <w:p w14:paraId="1B850DB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רמב"ם</w:t>
      </w:r>
      <w:r w:rsidRPr="009F36E0">
        <w:rPr>
          <w:rFonts w:ascii="Narkisim" w:hAnsi="Narkisim"/>
          <w:rtl/>
        </w:rPr>
        <w:t xml:space="preserve"> בהלכות (אישות א ו) מנה כ' שניות [שמנה בשניות דר' חייא אביו ואמו כל א' בפנ"ע, כ"כ ה</w:t>
      </w:r>
      <w:r w:rsidRPr="009F36E0">
        <w:rPr>
          <w:rFonts w:ascii="Narkisim" w:hAnsi="Narkisim"/>
          <w:b/>
          <w:bCs/>
          <w:rtl/>
        </w:rPr>
        <w:t>גר"א</w:t>
      </w:r>
      <w:r w:rsidRPr="009F36E0">
        <w:rPr>
          <w:rFonts w:ascii="Narkisim" w:hAnsi="Narkisim"/>
          <w:rtl/>
        </w:rPr>
        <w:t>. ע' לקמן]. והעירו דלמש"כ ה</w:t>
      </w:r>
      <w:r w:rsidRPr="009F36E0">
        <w:rPr>
          <w:rFonts w:ascii="Narkisim" w:hAnsi="Narkisim"/>
          <w:b/>
          <w:bCs/>
          <w:rtl/>
        </w:rPr>
        <w:t>רמב"ם</w:t>
      </w:r>
      <w:r w:rsidRPr="009F36E0">
        <w:rPr>
          <w:rFonts w:ascii="Narkisim" w:hAnsi="Narkisim"/>
          <w:rtl/>
        </w:rPr>
        <w:t xml:space="preserve"> (יבום א יב) אף לא יבנה הוה בכלל שניות. [וא"כ י"ל דזהו מנין כ"א].</w:t>
      </w:r>
    </w:p>
  </w:footnote>
  <w:footnote w:id="1283">
    <w:p w14:paraId="5A6BBDD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ובפשטות לשון הרמב"ן דשניות נלמד מקרא בפנ"ע דמשמרת, ושאר איסורי דרבנן הוה בכלל לא תסור. [ושניות חמורים יותר]. אבל לכאורה [כוונת הרמב”ן] דכל גזירות חז"ל הם משום סייג ומשמרת [ובכה"ת לא גזרינן גזירה לגזירה]. אלא דיש כח ביד חכמים לתקן מצוות בפנ"ע משום לא תסור.</w:t>
      </w:r>
    </w:p>
  </w:footnote>
  <w:footnote w:id="1284">
    <w:p w14:paraId="725E6F7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דדעת ה</w:t>
      </w:r>
      <w:r w:rsidRPr="009F36E0">
        <w:rPr>
          <w:rFonts w:ascii="Narkisim" w:hAnsi="Narkisim"/>
          <w:b/>
          <w:bCs/>
          <w:rtl/>
        </w:rPr>
        <w:t xml:space="preserve">רמב"ן </w:t>
      </w:r>
      <w:r w:rsidRPr="009F36E0">
        <w:rPr>
          <w:rFonts w:ascii="Narkisim" w:hAnsi="Narkisim"/>
          <w:rtl/>
        </w:rPr>
        <w:t>דאף לא תסור הוה דרבנן [אבל לרמב"ם (שם) הוה לאו דאורייתא], והאחרונים האריכו, ואכ"מ.</w:t>
      </w:r>
    </w:p>
  </w:footnote>
  <w:footnote w:id="1285">
    <w:p w14:paraId="2BE809D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ובפשוטו לצד הזה מדרבנן הוה ערוה וכלפי דינים דרבנן לא תפסי כלל. אבל </w:t>
      </w:r>
      <w:r w:rsidRPr="009F36E0">
        <w:rPr>
          <w:rFonts w:ascii="Narkisim" w:hAnsi="Narkisim"/>
          <w:b/>
          <w:bCs/>
          <w:rtl/>
        </w:rPr>
        <w:t>רע"א</w:t>
      </w:r>
      <w:r w:rsidRPr="009F36E0">
        <w:rPr>
          <w:rFonts w:ascii="Narkisim" w:hAnsi="Narkisim"/>
          <w:rtl/>
        </w:rPr>
        <w:t xml:space="preserve"> (בחי' כאן בהמשך) משמע דלא תפסי לגמרי, והוה כעין שיור, דעדיין תפסי קידושי אחר. [דלא העמידו דבריהם נגד דין הדאורייתא לבטל].</w:t>
      </w:r>
    </w:p>
    <w:p w14:paraId="7FCD770E" w14:textId="77777777" w:rsidR="006074A5" w:rsidRPr="009F36E0" w:rsidRDefault="006074A5" w:rsidP="006074A5">
      <w:pPr>
        <w:pStyle w:val="Footnote"/>
        <w:bidi/>
        <w:rPr>
          <w:rFonts w:ascii="Narkisim" w:hAnsi="Narkisim"/>
        </w:rPr>
      </w:pPr>
      <w:r w:rsidRPr="009F36E0">
        <w:rPr>
          <w:rFonts w:ascii="Narkisim" w:hAnsi="Narkisim"/>
          <w:rtl/>
        </w:rPr>
        <w:tab/>
        <w:t>וכעין נידון זה מצאנו (לעיל יח:) באחות זקוקתו, דהראשונים (שם ומא.) נקטו דתפסי קידושין, ורק דעת ה</w:t>
      </w:r>
      <w:r w:rsidRPr="009F36E0">
        <w:rPr>
          <w:rFonts w:ascii="Narkisim" w:hAnsi="Narkisim"/>
          <w:b/>
          <w:bCs/>
          <w:rtl/>
        </w:rPr>
        <w:t>תוס' רי"ד</w:t>
      </w:r>
      <w:r w:rsidRPr="009F36E0">
        <w:rPr>
          <w:rFonts w:ascii="Narkisim" w:hAnsi="Narkisim"/>
          <w:rtl/>
        </w:rPr>
        <w:t xml:space="preserve"> (לקמן כג ומא) דמדרבנן נחשב דלא תפסי קידושין. וה</w:t>
      </w:r>
      <w:r w:rsidRPr="009F36E0">
        <w:rPr>
          <w:rFonts w:ascii="Narkisim" w:hAnsi="Narkisim"/>
          <w:b/>
          <w:bCs/>
          <w:rtl/>
        </w:rPr>
        <w:t>חזו"א</w:t>
      </w:r>
      <w:r w:rsidRPr="009F36E0">
        <w:rPr>
          <w:rFonts w:ascii="Narkisim" w:hAnsi="Narkisim"/>
          <w:rtl/>
        </w:rPr>
        <w:t xml:space="preserve"> (קלב ג) כת' דבאחות זקוקתו תקנו דהוה גדר ערוה, משא"כ שניות.</w:t>
      </w:r>
    </w:p>
  </w:footnote>
  <w:footnote w:id="1286">
    <w:p w14:paraId="085D560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וביאר בזה לשון ה</w:t>
      </w:r>
      <w:r w:rsidRPr="009F36E0">
        <w:rPr>
          <w:rFonts w:ascii="Narkisim" w:hAnsi="Narkisim"/>
          <w:b/>
          <w:bCs/>
          <w:rtl/>
        </w:rPr>
        <w:t>טור</w:t>
      </w:r>
      <w:r w:rsidRPr="009F36E0">
        <w:rPr>
          <w:rFonts w:ascii="Narkisim" w:hAnsi="Narkisim"/>
          <w:rtl/>
        </w:rPr>
        <w:t xml:space="preserve"> (שם) דעריות אין קידושין תופסים, אבל באיסורי דרבנן צריכות גט. וה</w:t>
      </w:r>
      <w:r w:rsidRPr="009F36E0">
        <w:rPr>
          <w:rFonts w:ascii="Narkisim" w:hAnsi="Narkisim"/>
          <w:b/>
          <w:bCs/>
          <w:rtl/>
        </w:rPr>
        <w:t>ב"י</w:t>
      </w:r>
      <w:r w:rsidRPr="009F36E0">
        <w:rPr>
          <w:rFonts w:ascii="Narkisim" w:hAnsi="Narkisim"/>
          <w:rtl/>
        </w:rPr>
        <w:t xml:space="preserve"> כתב דלשונו אינו מדוקדק, והול"ל דקידושין תופסים, אלא שאסורה עליו.</w:t>
      </w:r>
    </w:p>
  </w:footnote>
  <w:footnote w:id="1287">
    <w:p w14:paraId="7FB989B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בי"ש</w:t>
      </w:r>
      <w:r w:rsidRPr="009F36E0">
        <w:rPr>
          <w:rFonts w:ascii="Narkisim" w:hAnsi="Narkisim"/>
          <w:rtl/>
        </w:rPr>
        <w:t xml:space="preserve"> (טו א) הביא כעי"ז דה</w:t>
      </w:r>
      <w:r w:rsidRPr="009F36E0">
        <w:rPr>
          <w:rFonts w:ascii="Narkisim" w:hAnsi="Narkisim"/>
          <w:b/>
          <w:bCs/>
          <w:rtl/>
        </w:rPr>
        <w:t>ב"י</w:t>
      </w:r>
      <w:r w:rsidRPr="009F36E0">
        <w:rPr>
          <w:rFonts w:ascii="Narkisim" w:hAnsi="Narkisim"/>
          <w:rtl/>
        </w:rPr>
        <w:t xml:space="preserve"> (מב) הביא המקדש בעדים הפסולים מדרבנן, תפסו קידושי שני.</w:t>
      </w:r>
    </w:p>
  </w:footnote>
  <w:footnote w:id="1288">
    <w:p w14:paraId="0BE5A03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(חי' ר' שמואל ד) הוסיפו לדון ע"פ מה שיסדו ה</w:t>
      </w:r>
      <w:r w:rsidRPr="009F36E0">
        <w:rPr>
          <w:rFonts w:ascii="Narkisim" w:hAnsi="Narkisim"/>
          <w:b/>
          <w:bCs/>
          <w:rtl/>
        </w:rPr>
        <w:t>אחרונים</w:t>
      </w:r>
      <w:r w:rsidRPr="009F36E0">
        <w:rPr>
          <w:rFonts w:ascii="Narkisim" w:hAnsi="Narkisim"/>
          <w:rtl/>
        </w:rPr>
        <w:t xml:space="preserve"> (אחיעזר ג, שער"י א י, קובה"ע ד, הובא לעיל יג. וכמה מקומות) דהשם ערוה מונע תפיסת הקידושין, א“כ לא תליא באיסור, שורש הנידון האם קבעו בהן שם ערוה.</w:t>
      </w:r>
    </w:p>
  </w:footnote>
  <w:footnote w:id="1289">
    <w:p w14:paraId="033FB9A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והוה איסור 'משמרת', ולא עריות. א"נ ודאי קבעו בזה גדר ערוה, אלא דלא רצו לתקן שיהא חמור יותר משאר איסורי תורה.</w:t>
      </w:r>
    </w:p>
  </w:footnote>
  <w:footnote w:id="1290">
    <w:p w14:paraId="3EC19EB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 </w:t>
      </w:r>
      <w:r w:rsidRPr="009F36E0">
        <w:rPr>
          <w:rFonts w:ascii="Narkisim" w:hAnsi="Narkisim"/>
          <w:b/>
          <w:bCs/>
          <w:rtl/>
        </w:rPr>
        <w:t>תוס</w:t>
      </w:r>
      <w:r w:rsidRPr="009F36E0">
        <w:rPr>
          <w:rFonts w:ascii="Narkisim" w:hAnsi="Narkisim"/>
          <w:rtl/>
        </w:rPr>
        <w:t>' (כתובות כט: ד"ה חילולין) דהיכא דאין הולד ממזר, תפסי קידושין [לרבנן], וקשה מהיכי תיתי שבשניות לא יתפסו קידושין [ואף לחומרא], כיון דאין הולד ממזר. ואפשר דהקילו לענין ממזרות].</w:t>
      </w:r>
    </w:p>
  </w:footnote>
  <w:footnote w:id="1291">
    <w:p w14:paraId="24F3DAE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אך ה</w:t>
      </w:r>
      <w:r w:rsidRPr="009F36E0">
        <w:rPr>
          <w:rFonts w:ascii="Narkisim" w:hAnsi="Narkisim"/>
          <w:b/>
          <w:bCs/>
          <w:rtl/>
        </w:rPr>
        <w:t>חלק"מ</w:t>
      </w:r>
      <w:r w:rsidRPr="009F36E0">
        <w:rPr>
          <w:rFonts w:ascii="Narkisim" w:hAnsi="Narkisim"/>
          <w:rtl/>
        </w:rPr>
        <w:t xml:space="preserve"> (טו א) הביא דה</w:t>
      </w:r>
      <w:r w:rsidRPr="009F36E0">
        <w:rPr>
          <w:rFonts w:ascii="Narkisim" w:hAnsi="Narkisim"/>
          <w:b/>
          <w:bCs/>
          <w:rtl/>
        </w:rPr>
        <w:t>דרכ"מ</w:t>
      </w:r>
      <w:r w:rsidRPr="009F36E0">
        <w:rPr>
          <w:rFonts w:ascii="Narkisim" w:hAnsi="Narkisim"/>
          <w:rtl/>
        </w:rPr>
        <w:t xml:space="preserve"> נסתפק אף בחייבי לאוין, אם יבא אחר ויקדש האם צריכה ממנו גט. [וצ"ב הו"א זו].</w:t>
      </w:r>
    </w:p>
  </w:footnote>
  <w:footnote w:id="1292">
    <w:p w14:paraId="3A20E43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יש להעמיד קושייתו דאם מדרבנן אינה אשתו [של היבם, דכמו דקידושין לא תפסי אף יבום ל”ק], היאך מהני לפטור צרתה. ועוד מוכח מעצם הדין, דכמו דהוה ערוה לענין תפיסת קידושין, כ"ש לענין קנין יבום.</w:t>
      </w:r>
    </w:p>
  </w:footnote>
  <w:footnote w:id="1293">
    <w:p w14:paraId="1AE11E0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גר"ש</w:t>
      </w:r>
      <w:r w:rsidRPr="009F36E0">
        <w:rPr>
          <w:rFonts w:ascii="Narkisim" w:hAnsi="Narkisim"/>
          <w:rtl/>
        </w:rPr>
        <w:t xml:space="preserve"> כת' דהא דאחות זקוקתו אוסרת צרתה (ע' לקמן כז.) הוה גזירה בפנ"ע, דדמי לצרת אחות אשתו. ולא תולדה מאיסור הצרה.</w:t>
      </w:r>
    </w:p>
  </w:footnote>
  <w:footnote w:id="1294">
    <w:p w14:paraId="494AB86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וקשה ע"ז ממחזיר גרושתו לצד דפוטרת צרתה [וכן סוטה] דנקרא טומאה. וה</w:t>
      </w:r>
      <w:r w:rsidRPr="009F36E0">
        <w:rPr>
          <w:rFonts w:ascii="Narkisim" w:hAnsi="Narkisim"/>
          <w:b/>
          <w:bCs/>
          <w:rtl/>
        </w:rPr>
        <w:t>גר"ש</w:t>
      </w:r>
      <w:r w:rsidRPr="009F36E0">
        <w:rPr>
          <w:rFonts w:ascii="Narkisim" w:hAnsi="Narkisim"/>
          <w:rtl/>
        </w:rPr>
        <w:t xml:space="preserve"> הביא סברת הגמ' (לעיל יא:) לא אלימה לשויי לצרה כערוה. [ועי"ש שדן לפרש כן לצדדים בגדר פטור צרה]. ועי"ש וצ"ע.</w:t>
      </w:r>
    </w:p>
  </w:footnote>
  <w:footnote w:id="1295">
    <w:p w14:paraId="529145E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ויל"ד דבשניות הוה גזירה לגזירה.</w:t>
      </w:r>
    </w:p>
  </w:footnote>
  <w:footnote w:id="1296">
    <w:p w14:paraId="2A33536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(הובא לעיל כ:) דנו בכוונת הרמב"ם לגבי חייבי עשה, האם נדחה מדאורייתא.</w:t>
      </w:r>
    </w:p>
  </w:footnote>
  <w:footnote w:id="1297">
    <w:p w14:paraId="0E13A83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ב</w:t>
      </w:r>
      <w:r w:rsidRPr="009F36E0">
        <w:rPr>
          <w:rFonts w:ascii="Narkisim" w:hAnsi="Narkisim"/>
          <w:b/>
          <w:bCs/>
          <w:rtl/>
        </w:rPr>
        <w:t>שו"ע</w:t>
      </w:r>
      <w:r w:rsidRPr="009F36E0">
        <w:rPr>
          <w:rFonts w:ascii="Narkisim" w:hAnsi="Narkisim"/>
          <w:rtl/>
        </w:rPr>
        <w:t xml:space="preserve"> (קעג יג) מבואר דצרת שניות חולצת. ו</w:t>
      </w:r>
      <w:r w:rsidRPr="009F36E0">
        <w:rPr>
          <w:rFonts w:ascii="Narkisim" w:hAnsi="Narkisim"/>
          <w:b/>
          <w:bCs/>
          <w:rtl/>
        </w:rPr>
        <w:t>רע"א</w:t>
      </w:r>
      <w:r w:rsidRPr="009F36E0">
        <w:rPr>
          <w:rFonts w:ascii="Narkisim" w:hAnsi="Narkisim"/>
          <w:rtl/>
        </w:rPr>
        <w:t xml:space="preserve"> (שם) תמה בזה. וכן ה</w:t>
      </w:r>
      <w:r w:rsidRPr="009F36E0">
        <w:rPr>
          <w:rFonts w:ascii="Narkisim" w:hAnsi="Narkisim"/>
          <w:b/>
          <w:bCs/>
          <w:rtl/>
        </w:rPr>
        <w:t>גר"א</w:t>
      </w:r>
      <w:r w:rsidRPr="009F36E0">
        <w:rPr>
          <w:rFonts w:ascii="Narkisim" w:hAnsi="Narkisim"/>
          <w:rtl/>
        </w:rPr>
        <w:t xml:space="preserve"> (שם כ) האריך לפרש באופ"א.</w:t>
      </w:r>
    </w:p>
  </w:footnote>
  <w:footnote w:id="1298">
    <w:p w14:paraId="2329A50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הואיל ואיהי גופה לא מיתסרא אלא מדרבנן או אינה מתיבמת כדין צרת זיקת שני יבמים (לקמן לא:).</w:t>
      </w:r>
    </w:p>
  </w:footnote>
  <w:footnote w:id="1299">
    <w:p w14:paraId="0FAD670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והוסיף ה</w:t>
      </w:r>
      <w:r w:rsidRPr="009F36E0">
        <w:rPr>
          <w:rFonts w:ascii="Narkisim" w:hAnsi="Narkisim"/>
          <w:b/>
          <w:bCs/>
          <w:rtl/>
        </w:rPr>
        <w:t xml:space="preserve">מאירי </w:t>
      </w:r>
      <w:r w:rsidRPr="009F36E0">
        <w:rPr>
          <w:rFonts w:ascii="Narkisim" w:hAnsi="Narkisim"/>
          <w:rtl/>
        </w:rPr>
        <w:t>והדברים נראין דהא צרת מחזיר גרושתו מותרת [אבל ה</w:t>
      </w:r>
      <w:r w:rsidRPr="009F36E0">
        <w:rPr>
          <w:rFonts w:ascii="Narkisim" w:hAnsi="Narkisim"/>
          <w:b/>
          <w:bCs/>
          <w:rtl/>
        </w:rPr>
        <w:t>מאירי</w:t>
      </w:r>
      <w:r w:rsidRPr="009F36E0">
        <w:rPr>
          <w:rFonts w:ascii="Narkisim" w:hAnsi="Narkisim"/>
          <w:rtl/>
        </w:rPr>
        <w:t xml:space="preserve"> (לעיל כ.) הביא אף בזה מח'], והיאך מחמירין בצרת איסורי סופרים יותר מצרת חייבי לאוין. ואע"פ שהחמירו בצרת זיקת ב' יבמים, אין לנו בגזירותיהם אלא מה שנתגלה לנו. וסיים והדברים רופפים.</w:t>
      </w:r>
    </w:p>
  </w:footnote>
  <w:footnote w:id="1300">
    <w:p w14:paraId="0A56045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ויל"פ דאף לצד דבקידושי דאורייתא, בא אחר וקידש לא תפסי, הכא גרע. דהתם לא העמידו לדבריהם לחלק בדין דאורייתא. אבל הכא לא ראו לתקן קידושין.</w:t>
      </w:r>
    </w:p>
  </w:footnote>
  <w:footnote w:id="1301">
    <w:p w14:paraId="20F1F33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ובל"א דרשי' האל [ולא האלה], דמקצתן ניתנו לישראל, ומקצתן לעתיד לבא.</w:t>
      </w:r>
    </w:p>
  </w:footnote>
  <w:footnote w:id="1302">
    <w:p w14:paraId="7D0C953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קוב"ש</w:t>
      </w:r>
      <w:r w:rsidRPr="009F36E0">
        <w:rPr>
          <w:rFonts w:ascii="Narkisim" w:hAnsi="Narkisim"/>
          <w:rtl/>
        </w:rPr>
        <w:t xml:space="preserve"> (שם, ואתוון דאורייתא כה) הביאו דכ"ד </w:t>
      </w:r>
      <w:r w:rsidRPr="009F36E0">
        <w:rPr>
          <w:rFonts w:ascii="Narkisim" w:hAnsi="Narkisim"/>
          <w:b/>
          <w:bCs/>
          <w:rtl/>
        </w:rPr>
        <w:t>תוס</w:t>
      </w:r>
      <w:r w:rsidRPr="009F36E0">
        <w:rPr>
          <w:rFonts w:ascii="Narkisim" w:hAnsi="Narkisim"/>
          <w:rtl/>
        </w:rPr>
        <w:t xml:space="preserve">' (חולין קטו.) דאף בידי שמים אין עונשין מהדין, אבל דעת </w:t>
      </w:r>
      <w:r w:rsidRPr="009F36E0">
        <w:rPr>
          <w:rFonts w:ascii="Narkisim" w:hAnsi="Narkisim"/>
          <w:b/>
          <w:bCs/>
          <w:rtl/>
        </w:rPr>
        <w:t>רש"י</w:t>
      </w:r>
      <w:r w:rsidRPr="009F36E0">
        <w:rPr>
          <w:rFonts w:ascii="Narkisim" w:hAnsi="Narkisim"/>
          <w:rtl/>
        </w:rPr>
        <w:t xml:space="preserve"> (זבחים יד) דבידי שמים עונשים מהדין.</w:t>
      </w:r>
    </w:p>
  </w:footnote>
  <w:footnote w:id="1303">
    <w:p w14:paraId="66C5521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[וכמו שלא שייך תשובה בלא להחזיר הגניבה].</w:t>
      </w:r>
    </w:p>
  </w:footnote>
  <w:footnote w:id="1304">
    <w:p w14:paraId="3AEA566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יש"ש</w:t>
      </w:r>
      <w:r w:rsidRPr="009F36E0">
        <w:rPr>
          <w:rFonts w:ascii="Narkisim" w:hAnsi="Narkisim"/>
          <w:rtl/>
        </w:rPr>
        <w:t xml:space="preserve"> הוסיף דכמו דאשת דודו נקראת בתורה דודתך. </w:t>
      </w:r>
      <w:r w:rsidRPr="009F36E0">
        <w:rPr>
          <w:rFonts w:ascii="Narkisim" w:hAnsi="Narkisim"/>
          <w:b/>
          <w:bCs/>
          <w:rtl/>
        </w:rPr>
        <w:t>והאו"ז</w:t>
      </w:r>
      <w:r w:rsidRPr="009F36E0">
        <w:rPr>
          <w:rFonts w:ascii="Narkisim" w:hAnsi="Narkisim"/>
          <w:rtl/>
        </w:rPr>
        <w:t xml:space="preserve"> כתב וא"ת תורה, שאסורה מה"ת ע"י שום דרשא. וצ"ב. ועוד הביא החשק שלמה דיתכן ללומדו מק"ו מאשת אביו.</w:t>
      </w:r>
    </w:p>
  </w:footnote>
  <w:footnote w:id="1305">
    <w:p w14:paraId="4B0098E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או"ש</w:t>
      </w:r>
      <w:r w:rsidRPr="009F36E0">
        <w:rPr>
          <w:rFonts w:ascii="Narkisim" w:hAnsi="Narkisim"/>
          <w:rtl/>
        </w:rPr>
        <w:t xml:space="preserve"> (א ו) דאילו אסורה מדינא לא היה ראוי להתיר לדוד משום עיגונא או שום צורך. אלא כיון דהוה איסור מראית העין ראו להתירו. [וצ"ב דבימי דוד עדיין לא נאסר].</w:t>
      </w:r>
    </w:p>
  </w:footnote>
  <w:footnote w:id="1306">
    <w:p w14:paraId="70F6FC0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וכתב דרב חנינא ס"ל דמה שנאסר משום מראית העין מותר בחדרי חדרים.</w:t>
      </w:r>
    </w:p>
  </w:footnote>
  <w:footnote w:id="1307">
    <w:p w14:paraId="4E2FB37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תוס</w:t>
      </w:r>
      <w:r w:rsidRPr="009F36E0">
        <w:rPr>
          <w:rFonts w:ascii="Narkisim" w:hAnsi="Narkisim"/>
          <w:rtl/>
        </w:rPr>
        <w:t>' (שם ד"ה קלש) כת' דאף דעדיין הוה בכרת לא גזרו. וע' רע"א דהאריך בפי' הסוגיא דהתם].</w:t>
      </w:r>
    </w:p>
  </w:footnote>
  <w:footnote w:id="1308">
    <w:p w14:paraId="1705DAE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ב"י</w:t>
      </w:r>
      <w:r w:rsidRPr="009F36E0">
        <w:rPr>
          <w:rFonts w:ascii="Narkisim" w:hAnsi="Narkisim"/>
          <w:rtl/>
        </w:rPr>
        <w:t xml:space="preserve"> (טו) כת' דהוה אטו חמותו].</w:t>
      </w:r>
    </w:p>
  </w:footnote>
  <w:footnote w:id="1309">
    <w:p w14:paraId="56AB28C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וכ"פ ה</w:t>
      </w:r>
      <w:r w:rsidRPr="009F36E0">
        <w:rPr>
          <w:rFonts w:ascii="Narkisim" w:hAnsi="Narkisim"/>
          <w:b/>
          <w:bCs/>
          <w:rtl/>
        </w:rPr>
        <w:t>טור</w:t>
      </w:r>
      <w:r w:rsidRPr="009F36E0">
        <w:rPr>
          <w:rFonts w:ascii="Narkisim" w:hAnsi="Narkisim"/>
          <w:rtl/>
        </w:rPr>
        <w:t>, וע' פוסקים.</w:t>
      </w:r>
    </w:p>
  </w:footnote>
  <w:footnote w:id="1310">
    <w:p w14:paraId="7F4947B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דתקנת שניות הוא משום סייג, ושלא יכשלו בדאורייתא. מ"מ קבעו לזה גדר כעין דאורייתא. [ויל"פ עד"ז דברי הגמ' דכולהו בי אמא מיקרי, ובי אבא].</w:t>
      </w:r>
    </w:p>
  </w:footnote>
  <w:footnote w:id="1311">
    <w:p w14:paraId="3951325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כוונתו ע"פ הגמ' (סנהדרין סד.) [דאחרי חורבן הבית, כשבטלו ליצר דע"ז] אהנו ביצר דעבירה דלא לגרי בקרובים. [וצ"ב דשלמה קדם לזה טובא, ואפשר דס"ל דגזירת אין להם הפסק הוא גזירה מאוחרת יותר. א"נ אף קודם שבטלו היה בזה חילוק בדבר].</w:t>
      </w:r>
    </w:p>
  </w:footnote>
  <w:footnote w:id="1312">
    <w:p w14:paraId="7B05EF6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[ובסוגיין י"ל דלא שאל מהם, אך משמע שהיה מצפה שיתקיים דבריהם].</w:t>
      </w:r>
    </w:p>
  </w:footnote>
  <w:footnote w:id="1313">
    <w:p w14:paraId="2DBF1A0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דבעלי אוב הוה איסור גמור לישאל בהם.</w:t>
      </w:r>
    </w:p>
  </w:footnote>
  <w:footnote w:id="1314">
    <w:p w14:paraId="1756CBC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ויל"פ עד"ז דאף כלת בנותיהם נקראת ע"ש משפחה זו [ויסברו דהיא כלתו, או כלת הבן]. [ולפ"ז לא תליא אם יש לו ג"כ כלת הבן].</w:t>
      </w:r>
    </w:p>
  </w:footnote>
  <w:footnote w:id="1315">
    <w:p w14:paraId="77D4321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ואשת אחי האם מן האם גזרו משום מן האב. וקו' הגמ' מאי שנא הני, דאשת חמיו ראויה היא לגזור עליה משום חמותו. אבל כלה בבתו לא שייכא למגזר אלא משום כלת בנו.</w:t>
      </w:r>
    </w:p>
  </w:footnote>
  <w:footnote w:id="1316">
    <w:p w14:paraId="22934B7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בה"ג</w:t>
      </w:r>
      <w:r w:rsidRPr="009F36E0">
        <w:rPr>
          <w:rFonts w:ascii="Narkisim" w:hAnsi="Narkisim"/>
          <w:rtl/>
        </w:rPr>
        <w:t xml:space="preserve"> מנה עוד אם אחותו. וה</w:t>
      </w:r>
      <w:r w:rsidRPr="009F36E0">
        <w:rPr>
          <w:rFonts w:ascii="Narkisim" w:hAnsi="Narkisim"/>
          <w:b/>
          <w:bCs/>
          <w:rtl/>
        </w:rPr>
        <w:t>רמב"ן</w:t>
      </w:r>
      <w:r w:rsidRPr="009F36E0">
        <w:rPr>
          <w:rFonts w:ascii="Narkisim" w:hAnsi="Narkisim"/>
          <w:rtl/>
        </w:rPr>
        <w:t xml:space="preserve"> כת' דהוה ט"ס, דעכ"פ הוה אנוסת אביו.</w:t>
      </w:r>
    </w:p>
  </w:footnote>
  <w:footnote w:id="1317">
    <w:p w14:paraId="07C1FDD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והרמב"ן הוכיח כן דכיון דכלת בן בנו [עד סוף כל הדורות] שניה, היאך אפשר דבת שלישית שבבנו מותרת, וכלתו אסורה. [אך שוב הק' דהו"ל לגמ' לפשוט מסברא זו. עי”ש].</w:t>
      </w:r>
    </w:p>
  </w:footnote>
  <w:footnote w:id="1318">
    <w:p w14:paraId="383458D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תי' לדעת הרמב"ם דשרה אסורה בכל ישראל מדין אשת אבי אבי אביו. ואברהם אסור בנשים שהיו נשואות [אלמנות וגרושות] דהוה כלת בן בנו. וע' גר"א (טו כא).</w:t>
      </w:r>
    </w:p>
  </w:footnote>
  <w:footnote w:id="1319">
    <w:p w14:paraId="4B40A58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 מגיה לריטב"א דהביא בזה דברי הפוסקים בכמה מקומות דתיקו באיסור דרבנן חמיר.</w:t>
      </w:r>
    </w:p>
  </w:footnote>
  <w:footnote w:id="1320">
    <w:p w14:paraId="0A1B87E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ומבואר מדבריו דכל השניות הוה בכלל תקנת שלמה, ואף הא דאין להם הפסק.</w:t>
      </w:r>
    </w:p>
  </w:footnote>
  <w:footnote w:id="1321">
    <w:p w14:paraId="5D38C06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ולגבי אחים מהאם רש"י הוסיף סברא דודאי אמו היא. אך בגמ' (לקמן צז:) משמע דעיקר הטעם לא משום צד דאינו אביו. [וצ”ב אמאי כת' רש"י ב' סברות].</w:t>
      </w:r>
    </w:p>
  </w:footnote>
  <w:footnote w:id="1322">
    <w:p w14:paraId="6539AD9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רשב"ם</w:t>
      </w:r>
      <w:r w:rsidRPr="009F36E0">
        <w:rPr>
          <w:rFonts w:ascii="Narkisim" w:hAnsi="Narkisim"/>
          <w:rtl/>
        </w:rPr>
        <w:t xml:space="preserve"> (ב"ב קמט.) כת' הטעם דגר אינו יורש אביו, דרחמנא אפקריה. [וצ"ב אמאי לא סגי ליה בטעם דכקטן שנולד]. [וכן </w:t>
      </w:r>
      <w:r w:rsidRPr="009F36E0">
        <w:rPr>
          <w:rFonts w:ascii="Narkisim" w:hAnsi="Narkisim"/>
          <w:b/>
          <w:bCs/>
          <w:rtl/>
        </w:rPr>
        <w:t>רש"י</w:t>
      </w:r>
      <w:r w:rsidRPr="009F36E0">
        <w:rPr>
          <w:rFonts w:ascii="Narkisim" w:hAnsi="Narkisim"/>
          <w:rtl/>
        </w:rPr>
        <w:t xml:space="preserve"> (בכורות מו.) נקט טעם זה בהורתו שלא בקדושה ולידתו בקדושה דאינו יורש אביו. אך י"ל דה"מ לידתו בקדושה, דל"ש כקטן שנולד].</w:t>
      </w:r>
    </w:p>
  </w:footnote>
  <w:footnote w:id="1323">
    <w:p w14:paraId="70C678D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קובה"ע</w:t>
      </w:r>
      <w:r w:rsidRPr="009F36E0">
        <w:rPr>
          <w:rFonts w:ascii="Narkisim" w:hAnsi="Narkisim"/>
          <w:rtl/>
        </w:rPr>
        <w:t xml:space="preserve"> (נא) [לולי דברי הרמב”ן צח.] דבנכרי הבא על הנכרית יש יחס, ודוקא בבא על הישראלית או על הכותית ונתגיירה כשהיא מעוברת אמרי' דאפקריה. [וכ"מ בדברי </w:t>
      </w:r>
      <w:r w:rsidRPr="009F36E0">
        <w:rPr>
          <w:rFonts w:ascii="Narkisim" w:hAnsi="Narkisim"/>
          <w:b/>
          <w:bCs/>
          <w:rtl/>
        </w:rPr>
        <w:t>רש"י</w:t>
      </w:r>
      <w:r w:rsidRPr="009F36E0">
        <w:rPr>
          <w:rFonts w:ascii="Narkisim" w:hAnsi="Narkisim"/>
          <w:rtl/>
        </w:rPr>
        <w:t xml:space="preserve"> (לקמן צח.) דהיכא דנולד בקדושה ליכא למימר כקטן שנולד, וע”כ צריך הטעם דאפקריה לזרעיה].</w:t>
      </w:r>
    </w:p>
  </w:footnote>
  <w:footnote w:id="1324">
    <w:p w14:paraId="0915AB6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w:t>
      </w:r>
      <w:r w:rsidRPr="009F36E0">
        <w:rPr>
          <w:rFonts w:ascii="Narkisim" w:hAnsi="Narkisim"/>
          <w:b/>
          <w:bCs/>
          <w:rtl/>
        </w:rPr>
        <w:t>רש"י</w:t>
      </w:r>
      <w:r w:rsidRPr="009F36E0">
        <w:rPr>
          <w:rFonts w:ascii="Narkisim" w:hAnsi="Narkisim"/>
          <w:rtl/>
        </w:rPr>
        <w:t xml:space="preserve"> (ב"ק פח.) כת' דגר אין לו חייס דכתיב וזרמת סוסים זרמתם, ואע"ג דכתיב בלאדן בן בלאדן, ה"מ בגיותן אבל נתגיירו הבנים לא נתיחסו אחר אביהם (כדאי' יבמות סב.). [ומבואר דלא חילק בין גדר 'חייס' לגדר קורבא, ודלא כרמב"ן].</w:t>
      </w:r>
    </w:p>
    <w:p w14:paraId="1F5DD20F" w14:textId="77777777" w:rsidR="006074A5" w:rsidRPr="009F36E0" w:rsidRDefault="006074A5" w:rsidP="006074A5">
      <w:pPr>
        <w:pStyle w:val="Footnote"/>
        <w:bidi/>
        <w:rPr>
          <w:rFonts w:ascii="Narkisim" w:hAnsi="Narkisim"/>
        </w:rPr>
      </w:pPr>
      <w:r w:rsidRPr="009F36E0">
        <w:rPr>
          <w:rFonts w:ascii="Narkisim" w:hAnsi="Narkisim"/>
          <w:rtl/>
        </w:rPr>
        <w:tab/>
        <w:t>ו</w:t>
      </w:r>
      <w:r w:rsidRPr="009F36E0">
        <w:rPr>
          <w:rFonts w:ascii="Narkisim" w:hAnsi="Narkisim"/>
          <w:b/>
          <w:bCs/>
          <w:rtl/>
        </w:rPr>
        <w:t>רש"י</w:t>
      </w:r>
      <w:r w:rsidRPr="009F36E0">
        <w:rPr>
          <w:rFonts w:ascii="Narkisim" w:hAnsi="Narkisim"/>
          <w:rtl/>
        </w:rPr>
        <w:t xml:space="preserve"> (כתובות מד:) כת' דגיורת הוה כיתומה [דאינה ברשות אביה], דרחמנא אפקריה לזרעיה דמצרי כשל חמור. [ולכאו' התם לא תלי בגדרי קרובים, אלא זכות האב על בתו כעין קנין, ומישך לגדרי חייס וירושה].</w:t>
      </w:r>
    </w:p>
  </w:footnote>
  <w:footnote w:id="1325">
    <w:p w14:paraId="6D50470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קובה"ע </w:t>
      </w:r>
      <w:r w:rsidRPr="009F36E0">
        <w:rPr>
          <w:rFonts w:ascii="Narkisim" w:hAnsi="Narkisim"/>
          <w:rtl/>
        </w:rPr>
        <w:t>(נא) הק' דאף בבהמה יש מ"ד (חולין עט.) דחוששין לזרע האב [לענין אותו ואת בנו].</w:t>
      </w:r>
    </w:p>
  </w:footnote>
  <w:footnote w:id="1326">
    <w:p w14:paraId="3BC2305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דילפינן (לקמן סב.) דיש יחוס בעכו"ם [וכן אי' לקמן כג. דל"ד לעבד], ובגמ' (סב.) מבואר דמהני לענין פריה ורביה.</w:t>
      </w:r>
    </w:p>
    <w:p w14:paraId="23C43346" w14:textId="77777777" w:rsidR="006074A5" w:rsidRPr="009F36E0" w:rsidRDefault="006074A5" w:rsidP="006074A5">
      <w:pPr>
        <w:pStyle w:val="Footnote"/>
        <w:bidi/>
        <w:rPr>
          <w:rFonts w:ascii="Narkisim" w:hAnsi="Narkisim"/>
        </w:rPr>
      </w:pPr>
      <w:r w:rsidRPr="009F36E0">
        <w:rPr>
          <w:rFonts w:ascii="Narkisim" w:hAnsi="Narkisim"/>
          <w:rtl/>
        </w:rPr>
        <w:tab/>
        <w:t>ולכאורה כוונתו דיש יחוס [בלאדן בן בלאדן לקמן סב.], אלא דגלי קרא דאפקריה [ונהי דיש יחוס, מ"מ בדיני התורה אין לו קורבא]. קמ"ל קרא דיורש את אביו דבר תורה. [ועיל"פ כוונתו דרחמנא אפקריה, ומש"ה גלי קרא דיורש, ועי"ז אמרי' דיש יחוס בלאדן בן בלאדן].</w:t>
      </w:r>
    </w:p>
  </w:footnote>
  <w:footnote w:id="1327">
    <w:p w14:paraId="38EFBF7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 כן מדברי ה</w:t>
      </w:r>
      <w:r w:rsidRPr="009F36E0">
        <w:rPr>
          <w:rFonts w:ascii="Narkisim" w:hAnsi="Narkisim"/>
          <w:b/>
          <w:bCs/>
          <w:rtl/>
        </w:rPr>
        <w:t>רמב"ם</w:t>
      </w:r>
      <w:r w:rsidRPr="009F36E0">
        <w:rPr>
          <w:rFonts w:ascii="Narkisim" w:hAnsi="Narkisim"/>
          <w:rtl/>
        </w:rPr>
        <w:t xml:space="preserve"> (עדות יג א) דכ' דהוה מדברי סופרים [וביאר דהוה אסמכתא בעלמא]. וה</w:t>
      </w:r>
      <w:r w:rsidRPr="009F36E0">
        <w:rPr>
          <w:rFonts w:ascii="Narkisim" w:hAnsi="Narkisim"/>
          <w:b/>
          <w:bCs/>
          <w:rtl/>
        </w:rPr>
        <w:t>ש"ך</w:t>
      </w:r>
      <w:r w:rsidRPr="009F36E0">
        <w:rPr>
          <w:rFonts w:ascii="Narkisim" w:hAnsi="Narkisim"/>
          <w:rtl/>
        </w:rPr>
        <w:t xml:space="preserve"> (שם א) האריך לחלוק דכוונת הרמב"ם דנלמד מדרשא. ולעולם הוה מדאורייתא.</w:t>
      </w:r>
    </w:p>
  </w:footnote>
  <w:footnote w:id="1328">
    <w:p w14:paraId="609163E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הביאו מדבריו דס"ל נישואין מפילין. וה</w:t>
      </w:r>
      <w:r w:rsidRPr="009F36E0">
        <w:rPr>
          <w:rFonts w:ascii="Narkisim" w:hAnsi="Narkisim"/>
          <w:b/>
          <w:bCs/>
          <w:rtl/>
        </w:rPr>
        <w:t>או"ז</w:t>
      </w:r>
      <w:r w:rsidRPr="009F36E0">
        <w:rPr>
          <w:rFonts w:ascii="Narkisim" w:hAnsi="Narkisim"/>
          <w:rtl/>
        </w:rPr>
        <w:t xml:space="preserve"> (והובא בהג"מ קז) חלק דאפי' אם נשתמד לפני מיתת אחיו, דקי"ל (לעיל יג.) מיתה מפלת ולא נישואין מפילים. [וה</w:t>
      </w:r>
      <w:r w:rsidRPr="009F36E0">
        <w:rPr>
          <w:rFonts w:ascii="Narkisim" w:hAnsi="Narkisim"/>
          <w:b/>
          <w:bCs/>
          <w:rtl/>
        </w:rPr>
        <w:t>חזו"א</w:t>
      </w:r>
      <w:r w:rsidRPr="009F36E0">
        <w:rPr>
          <w:rFonts w:ascii="Narkisim" w:hAnsi="Narkisim"/>
          <w:rtl/>
        </w:rPr>
        <w:t xml:space="preserve"> ביאר דאף דעת רב יהודאי דמיתה מפלת, ומ"מ הנישואין הם תנאי לנפילת יבום. עי"ש. ויש שפי' דאם נחשב 'אשת אח' יום א', עי”ז לעולם נחשב אח ומתחייבת ביבום. ודוקא היכא דמעולם לא חל עליה שם אשת אח אמרי' דאין כאן אחוה].</w:t>
      </w:r>
    </w:p>
    <w:p w14:paraId="44B200FD"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חזו"א</w:t>
      </w:r>
      <w:r w:rsidRPr="009F36E0">
        <w:rPr>
          <w:rFonts w:ascii="Narkisim" w:hAnsi="Narkisim"/>
          <w:rtl/>
        </w:rPr>
        <w:t xml:space="preserve"> דייק דאף לדברי האו"ז היכא דנשתמד אחרי נפילה ודאי ליכא פטור.</w:t>
      </w:r>
    </w:p>
  </w:footnote>
  <w:footnote w:id="1329">
    <w:p w14:paraId="7BDCB79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שו"ת מהר"ח או"ז</w:t>
      </w:r>
      <w:r w:rsidRPr="009F36E0">
        <w:rPr>
          <w:rFonts w:ascii="Narkisim" w:hAnsi="Narkisim"/>
          <w:rtl/>
        </w:rPr>
        <w:t xml:space="preserve"> (קטז) דחה דבעלמא דכתיב אחוה לא הוה אחיו ממש, ומש"ה נקטי' דדוקא אחיו במצוות. אבל גבי יבום אחיו ממש, ולא בעי' במצוות.</w:t>
      </w:r>
    </w:p>
  </w:footnote>
  <w:footnote w:id="1330">
    <w:p w14:paraId="5D7CC35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חלקו ע"ז דהתם הגדרת אח הוא רק במצוות, והכא הוה אחיו ממש.</w:t>
      </w:r>
    </w:p>
  </w:footnote>
  <w:footnote w:id="1331">
    <w:p w14:paraId="165FFC5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וכעי"ז כת' ה</w:t>
      </w:r>
      <w:r w:rsidRPr="009F36E0">
        <w:rPr>
          <w:rFonts w:ascii="Narkisim" w:hAnsi="Narkisim"/>
          <w:b/>
          <w:bCs/>
          <w:rtl/>
        </w:rPr>
        <w:t>חזו"א</w:t>
      </w:r>
      <w:r w:rsidRPr="009F36E0">
        <w:rPr>
          <w:rFonts w:ascii="Narkisim" w:hAnsi="Narkisim"/>
          <w:rtl/>
        </w:rPr>
        <w:t xml:space="preserve"> סברת רב יהודאי דענין היבום שחפץ ד' בבנין הבית, הכריעו הגאונים דאינו ראוי שיחול פרשה זו אלא באח במצות.</w:t>
      </w:r>
    </w:p>
  </w:footnote>
  <w:footnote w:id="1332">
    <w:p w14:paraId="7B604D8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ועוד כתבו ה</w:t>
      </w:r>
      <w:r w:rsidRPr="009F36E0">
        <w:rPr>
          <w:rFonts w:ascii="Narkisim" w:hAnsi="Narkisim"/>
          <w:b/>
          <w:bCs/>
          <w:rtl/>
        </w:rPr>
        <w:t>ראשונים</w:t>
      </w:r>
      <w:r w:rsidRPr="009F36E0">
        <w:rPr>
          <w:rFonts w:ascii="Narkisim" w:hAnsi="Narkisim"/>
          <w:rtl/>
        </w:rPr>
        <w:t xml:space="preserve"> דנחשב שלא היה ישיבה א' בעולם. ועוד דהוקשו אחים זל"ז. ועוד כתבו ה</w:t>
      </w:r>
      <w:r w:rsidRPr="009F36E0">
        <w:rPr>
          <w:rFonts w:ascii="Narkisim" w:hAnsi="Narkisim"/>
          <w:b/>
          <w:bCs/>
          <w:rtl/>
        </w:rPr>
        <w:t>ראשונים</w:t>
      </w:r>
      <w:r w:rsidRPr="009F36E0">
        <w:rPr>
          <w:rFonts w:ascii="Narkisim" w:hAnsi="Narkisim"/>
          <w:rtl/>
        </w:rPr>
        <w:t xml:space="preserve"> דאדעתא דהכי לא נתקדשה [ע"פ הגמ' ב"ק קי:]. או מדין אפקעינהו חכמים. [וע"ע בהוספות לריטב"א יד ד].</w:t>
      </w:r>
    </w:p>
    <w:p w14:paraId="388A14AC"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הג' מרדכי</w:t>
      </w:r>
      <w:r w:rsidRPr="009F36E0">
        <w:rPr>
          <w:rFonts w:ascii="Narkisim" w:hAnsi="Narkisim"/>
          <w:rtl/>
        </w:rPr>
        <w:t xml:space="preserve"> (קז הובא בתה"ד ריט, רכג) כ' עוד דקנאים פוגעים בו [דהוה כביאת עכו"ם פרהסיא], ולכן נחשב כחייבי כריתות, ופוטר מיבום [וע' מש"כ לעיל טז:].</w:t>
      </w:r>
    </w:p>
  </w:footnote>
  <w:footnote w:id="1333">
    <w:p w14:paraId="2447D6F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אבנ"מ</w:t>
      </w:r>
      <w:r w:rsidRPr="009F36E0">
        <w:rPr>
          <w:rFonts w:ascii="Narkisim" w:hAnsi="Narkisim"/>
          <w:rtl/>
        </w:rPr>
        <w:t xml:space="preserve"> (קנז בסופו) כת' דכיון דמומר אינו יורש [וי"מ דאף מדאורייתא, וכדמבואר בשו”ת הרא"ש יז], ממילא אינו זוקק ליבום, דיבום בנחלה תלה רחמנא, והוה כאחין מן האם דאינו זוקק ליבום. [וה</w:t>
      </w:r>
      <w:r w:rsidRPr="009F36E0">
        <w:rPr>
          <w:rFonts w:ascii="Narkisim" w:hAnsi="Narkisim"/>
          <w:b/>
          <w:bCs/>
          <w:rtl/>
        </w:rPr>
        <w:t>חת"ס</w:t>
      </w:r>
      <w:r w:rsidRPr="009F36E0">
        <w:rPr>
          <w:rFonts w:ascii="Narkisim" w:hAnsi="Narkisim"/>
          <w:rtl/>
        </w:rPr>
        <w:t xml:space="preserve"> (ב עד) הק' דמ"מ יורשין זה את זה, דהאח יורש את המומר. ותלה במש"כ ה</w:t>
      </w:r>
      <w:r w:rsidRPr="009F36E0">
        <w:rPr>
          <w:rFonts w:ascii="Narkisim" w:hAnsi="Narkisim"/>
          <w:b/>
          <w:bCs/>
          <w:rtl/>
        </w:rPr>
        <w:t>ריטב"א</w:t>
      </w:r>
      <w:r w:rsidRPr="009F36E0">
        <w:rPr>
          <w:rFonts w:ascii="Narkisim" w:hAnsi="Narkisim"/>
          <w:rtl/>
        </w:rPr>
        <w:t xml:space="preserve"> (לעיל יז:) דבעינן תרוייהו שירשו זה את זה, ושירשו מאביהם נחלה אחת].</w:t>
      </w:r>
    </w:p>
  </w:footnote>
  <w:footnote w:id="1334">
    <w:p w14:paraId="730F6CD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ציין דלעיל (יז.) לא אמרו דעשאום גויים גמורים אלא אותן בלבד [וע' מש"כ לעיל שם].</w:t>
      </w:r>
    </w:p>
  </w:footnote>
  <w:footnote w:id="1335">
    <w:p w14:paraId="31CF788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ב</w:t>
      </w:r>
      <w:r w:rsidRPr="009F36E0">
        <w:rPr>
          <w:rFonts w:ascii="Narkisim" w:hAnsi="Narkisim"/>
          <w:b/>
          <w:bCs/>
          <w:rtl/>
        </w:rPr>
        <w:t>הג' מרדכי</w:t>
      </w:r>
      <w:r w:rsidRPr="009F36E0">
        <w:rPr>
          <w:rFonts w:ascii="Narkisim" w:hAnsi="Narkisim"/>
          <w:rtl/>
        </w:rPr>
        <w:t xml:space="preserve"> (קז) כת' דיש לו קידושין רק לחומרא, דחיישינן שמא הרהר תשובה בלבו. אבל בעודו מומר אינן קידושין. וה</w:t>
      </w:r>
      <w:r w:rsidRPr="009F36E0">
        <w:rPr>
          <w:rFonts w:ascii="Narkisim" w:hAnsi="Narkisim"/>
          <w:b/>
          <w:bCs/>
          <w:rtl/>
        </w:rPr>
        <w:t>מהר"ח או"ז</w:t>
      </w:r>
      <w:r w:rsidRPr="009F36E0">
        <w:rPr>
          <w:rFonts w:ascii="Narkisim" w:hAnsi="Narkisim"/>
          <w:rtl/>
        </w:rPr>
        <w:t xml:space="preserve"> כת' דעיקר הטעם משום דאפקעינהו חכמים לקידושין שלא תזקק בע"כ למומר, אבל היכא דנתקדשה מדעת למומר לא ראו להפקיע. וכ"כ </w:t>
      </w:r>
      <w:r w:rsidRPr="009F36E0">
        <w:rPr>
          <w:rFonts w:ascii="Narkisim" w:hAnsi="Narkisim"/>
          <w:b/>
          <w:bCs/>
          <w:rtl/>
        </w:rPr>
        <w:t>מהר"י מינץ</w:t>
      </w:r>
      <w:r w:rsidRPr="009F36E0">
        <w:rPr>
          <w:rFonts w:ascii="Narkisim" w:hAnsi="Narkisim"/>
          <w:rtl/>
        </w:rPr>
        <w:t xml:space="preserve"> (יב) דאדעתא דרבנן מקדש, ואין זה דרכי נועם שתזקק למומר ע"פ תקנתם, וחששו לתקנת עגונות כיון דקודם קידושין איסור היבמה קליש [דעדיין לא חל סיבת זיקה כלל].</w:t>
      </w:r>
    </w:p>
  </w:footnote>
  <w:footnote w:id="1336">
    <w:p w14:paraId="7F4EC53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ותנן חוץ ממי שיש לו בן משפחה ועכו"ם, משמע ממומרת כעין עכו"ם פוטר.</w:t>
      </w:r>
    </w:p>
  </w:footnote>
  <w:footnote w:id="1337">
    <w:p w14:paraId="0BF03BA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שו"ת מהר"י מינץ</w:t>
      </w:r>
      <w:r w:rsidRPr="009F36E0">
        <w:rPr>
          <w:rFonts w:ascii="Narkisim" w:hAnsi="Narkisim"/>
          <w:rtl/>
        </w:rPr>
        <w:t xml:space="preserve"> (יב) כת' דהיכא דחזר ליהדות קודם מיתת אחיו זוקק [אף שבשעת קידושין היה מומר], דהיה להם ישיבה א' ביהדות.</w:t>
      </w:r>
    </w:p>
  </w:footnote>
  <w:footnote w:id="1338">
    <w:p w14:paraId="1A2D2E8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גר"א</w:t>
      </w:r>
      <w:r w:rsidRPr="009F36E0">
        <w:rPr>
          <w:rFonts w:ascii="Narkisim" w:hAnsi="Narkisim"/>
          <w:rtl/>
        </w:rPr>
        <w:t xml:space="preserve"> (טז) הביא </w:t>
      </w:r>
      <w:r w:rsidRPr="009F36E0">
        <w:rPr>
          <w:rFonts w:ascii="Narkisim" w:hAnsi="Narkisim"/>
          <w:b/>
          <w:bCs/>
          <w:rtl/>
        </w:rPr>
        <w:t>מדרש</w:t>
      </w:r>
      <w:r w:rsidRPr="009F36E0">
        <w:rPr>
          <w:rFonts w:ascii="Narkisim" w:hAnsi="Narkisim"/>
          <w:rtl/>
        </w:rPr>
        <w:t xml:space="preserve"> דהבא על הכותית חייב משום י"ד לאוין וכו', משום אשת אב [שהבן חייב מדרבנן]. והגר"א דחה דמשמע דהוא בעצמו חייב, ולא בנו.</w:t>
      </w:r>
    </w:p>
  </w:footnote>
  <w:footnote w:id="1339">
    <w:p w14:paraId="525F38C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לח"מ</w:t>
      </w:r>
      <w:r w:rsidRPr="009F36E0">
        <w:rPr>
          <w:rFonts w:ascii="Narkisim" w:hAnsi="Narkisim"/>
          <w:rtl/>
        </w:rPr>
        <w:t xml:space="preserve"> הביא דב</w:t>
      </w:r>
      <w:r w:rsidRPr="009F36E0">
        <w:rPr>
          <w:rFonts w:ascii="Narkisim" w:hAnsi="Narkisim"/>
          <w:b/>
          <w:bCs/>
          <w:rtl/>
        </w:rPr>
        <w:t>שו"ת הרא"ש</w:t>
      </w:r>
      <w:r w:rsidRPr="009F36E0">
        <w:rPr>
          <w:rFonts w:ascii="Narkisim" w:hAnsi="Narkisim"/>
          <w:rtl/>
        </w:rPr>
        <w:t xml:space="preserve"> (פב) הקשה אמאי יוציאו הירושה משאר בנים. ותי' שאני ממון דבידו להורישו, ומש"ה האב נאמן (וכדאיתא ב"ב קלד:).</w:t>
      </w:r>
    </w:p>
    <w:p w14:paraId="2A12F40E"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ערול"נ</w:t>
      </w:r>
      <w:r w:rsidRPr="009F36E0">
        <w:rPr>
          <w:rFonts w:ascii="Narkisim" w:hAnsi="Narkisim"/>
          <w:rtl/>
        </w:rPr>
        <w:t xml:space="preserve"> דן דאף אשת איש שזינתה נימא מדאפקרא נפשא, ושמא אינו בנו [ול”ש חזקת כשרות כמ”ש תוס' חולין יא:]. ול"ש רוב בעילות אחר הבעל, דאין הולכים בממון אחר הרוב. [והאחרונים דנו ע"פ יסוד ההפלאה כתובות טו דכיון דהוכרע לשאר מילי מהני דין רוב גם לממון. ועוד תי' דבעיקר דין ירושה מהני רוב, ולא נחשב נידון הוצאת ממון [וע' לקמן לח].</w:t>
      </w:r>
    </w:p>
  </w:footnote>
  <w:footnote w:id="1340">
    <w:p w14:paraId="34297FE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רע"א</w:t>
      </w:r>
      <w:r w:rsidRPr="009F36E0">
        <w:rPr>
          <w:rFonts w:ascii="Narkisim" w:hAnsi="Narkisim"/>
          <w:rtl/>
        </w:rPr>
        <w:t xml:space="preserve"> דן לפ"ז כשאביו זינה האם חיישינן דיש לו אח בשום מקום.</w:t>
      </w:r>
    </w:p>
  </w:footnote>
  <w:footnote w:id="1341">
    <w:p w14:paraId="371D5B7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 דכ"כ ה</w:t>
      </w:r>
      <w:r w:rsidRPr="009F36E0">
        <w:rPr>
          <w:rFonts w:ascii="Narkisim" w:hAnsi="Narkisim"/>
          <w:b/>
          <w:bCs/>
          <w:rtl/>
        </w:rPr>
        <w:t>פנים יפות</w:t>
      </w:r>
      <w:r w:rsidRPr="009F36E0">
        <w:rPr>
          <w:rFonts w:ascii="Narkisim" w:hAnsi="Narkisim"/>
          <w:rtl/>
        </w:rPr>
        <w:t xml:space="preserve"> (דברים כא טו) דבאנוסה ל"ש מדאפקרה נפשה. אבל הביא דמדברי </w:t>
      </w:r>
      <w:r w:rsidRPr="009F36E0">
        <w:rPr>
          <w:rFonts w:ascii="Narkisim" w:hAnsi="Narkisim"/>
          <w:b/>
          <w:bCs/>
          <w:rtl/>
        </w:rPr>
        <w:t>ה"ה</w:t>
      </w:r>
      <w:r w:rsidRPr="009F36E0">
        <w:rPr>
          <w:rFonts w:ascii="Narkisim" w:hAnsi="Narkisim"/>
          <w:rtl/>
        </w:rPr>
        <w:t xml:space="preserve"> (יבום ג ד) מבואר דאף בזה אמרי' מדאפקרא נפשה. ו</w:t>
      </w:r>
      <w:r w:rsidRPr="009F36E0">
        <w:rPr>
          <w:rFonts w:ascii="Narkisim" w:hAnsi="Narkisim"/>
          <w:b/>
          <w:bCs/>
          <w:rtl/>
        </w:rPr>
        <w:t>רע"א</w:t>
      </w:r>
      <w:r w:rsidRPr="009F36E0">
        <w:rPr>
          <w:rFonts w:ascii="Narkisim" w:hAnsi="Narkisim"/>
          <w:rtl/>
        </w:rPr>
        <w:t xml:space="preserve"> תמה מה שייך בזה. [ויש שביארו דאיירי בתחילתה באונס וסופו ברצון, ע' כתובות נא:].</w:t>
      </w:r>
    </w:p>
  </w:footnote>
  <w:footnote w:id="1342">
    <w:p w14:paraId="7C4B098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מנח"ח</w:t>
      </w:r>
      <w:r w:rsidRPr="009F36E0">
        <w:rPr>
          <w:rFonts w:ascii="Narkisim" w:hAnsi="Narkisim"/>
          <w:rtl/>
        </w:rPr>
        <w:t xml:space="preserve"> תמה איך יצא יד"ח להרבות ממזרים בישראל.</w:t>
      </w:r>
    </w:p>
  </w:footnote>
  <w:footnote w:id="1343">
    <w:p w14:paraId="65B927F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והרמב"ן ביאר דס"ד דלא גזרו איסור שניות כה"ג. [וצ"ב מ"ש, דכיון דמתייחס אחריו והוה קרובו].</w:t>
      </w:r>
    </w:p>
  </w:footnote>
  <w:footnote w:id="1344">
    <w:p w14:paraId="0B3F9AF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בי"ש</w:t>
      </w:r>
      <w:r w:rsidRPr="009F36E0">
        <w:rPr>
          <w:rFonts w:ascii="Narkisim" w:hAnsi="Narkisim"/>
          <w:rtl/>
        </w:rPr>
        <w:t xml:space="preserve"> (א יא) הביא מ</w:t>
      </w:r>
      <w:r w:rsidRPr="009F36E0">
        <w:rPr>
          <w:rFonts w:ascii="Narkisim" w:hAnsi="Narkisim"/>
          <w:b/>
          <w:bCs/>
          <w:rtl/>
        </w:rPr>
        <w:t>ס' חסידים</w:t>
      </w:r>
      <w:r w:rsidRPr="009F36E0">
        <w:rPr>
          <w:rFonts w:ascii="Narkisim" w:hAnsi="Narkisim"/>
          <w:rtl/>
        </w:rPr>
        <w:t xml:space="preserve"> (תק) דהמוליד ממזר לא קיים פר"ו, כיון דממזר לא חיי [ע' לקמן עח:]. והבי”ש כת' דשמא קאי בממזר שאינו ידוע. דבגמ' (לקמן עח:) מבואר דדוקא ממזר דלא ידיע לא חי.</w:t>
      </w:r>
    </w:p>
  </w:footnote>
  <w:footnote w:id="1345">
    <w:p w14:paraId="22295E0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 לקמן סב ויתבאר שם בעזה”י.</w:t>
      </w:r>
    </w:p>
  </w:footnote>
  <w:footnote w:id="1346">
    <w:p w14:paraId="28084FD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רמב"ם </w:t>
      </w:r>
      <w:r w:rsidRPr="009F36E0">
        <w:rPr>
          <w:rFonts w:ascii="Narkisim" w:hAnsi="Narkisim"/>
          <w:rtl/>
        </w:rPr>
        <w:t>כתב דלדבריהם ה"ה כל הבא על פנויה, אמרי' דבחזקת שקידשה. וחלק דלא אמרי' חזקה אין אדם עושה בעילתו זנות אלא באשתו [שגירשה]. וכ"ש דלא אמרי' הכי בשפחה.</w:t>
      </w:r>
    </w:p>
  </w:footnote>
  <w:footnote w:id="1347">
    <w:p w14:paraId="61ECA2A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[ואין הו”א דיש לו יחוס לאביו, ולא גדרי קורבא].</w:t>
      </w:r>
    </w:p>
  </w:footnote>
  <w:footnote w:id="1348">
    <w:p w14:paraId="4E28EAE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 מ</w:t>
      </w:r>
      <w:r w:rsidRPr="009F36E0">
        <w:rPr>
          <w:rFonts w:ascii="Narkisim" w:hAnsi="Narkisim"/>
          <w:b/>
          <w:bCs/>
          <w:rtl/>
        </w:rPr>
        <w:t>רבותיו</w:t>
      </w:r>
      <w:r w:rsidRPr="009F36E0">
        <w:rPr>
          <w:rFonts w:ascii="Narkisim" w:hAnsi="Narkisim"/>
          <w:rtl/>
        </w:rPr>
        <w:t xml:space="preserve"> לדחות דכיון דיורש מדאור' לא קפדי ע"ז. וכמו שמטפלים כשכהן יורש קרובו שאסור ליטמא לו, ולא קפדי קרובים והעולם מטפלים בקבורה.</w:t>
      </w:r>
    </w:p>
  </w:footnote>
  <w:footnote w:id="1349">
    <w:p w14:paraId="12C8CB5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[וקאי קרא בעבד עברי, דאף דמדאורייתא הוה ביאת היתר, אינו מתייחס אחריו].</w:t>
      </w:r>
    </w:p>
  </w:footnote>
  <w:footnote w:id="1350">
    <w:p w14:paraId="3C2E2C5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ובגמ' (כג.) דרשי' לנכרית מדרשא אחרינא. וצריכא. [ובגמ' קידושין סח: (בסוף העמ') ילפי' תרוייהו מקרא אחרינא, כל היכא דקרינא כי תהיינה קרי וילדו. ודרשי' להך קרא באופ"א].</w:t>
      </w:r>
    </w:p>
  </w:footnote>
  <w:footnote w:id="1351">
    <w:p w14:paraId="5266D32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תוי"ט</w:t>
      </w:r>
      <w:r w:rsidRPr="009F36E0">
        <w:rPr>
          <w:rFonts w:ascii="Narkisim" w:hAnsi="Narkisim"/>
          <w:rtl/>
        </w:rPr>
        <w:t xml:space="preserve"> (כאן) דחה דבגמ' הגירסא 'עיין' עליו, ולדברי הסמ"ע הול"ל אל תקרא אֵין אלא אַיִין.</w:t>
      </w:r>
    </w:p>
  </w:footnote>
  <w:footnote w:id="1352">
    <w:p w14:paraId="4DBE593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ועוד הביא </w:t>
      </w:r>
      <w:r w:rsidRPr="009F36E0">
        <w:rPr>
          <w:rFonts w:ascii="Narkisim" w:hAnsi="Narkisim"/>
          <w:b/>
          <w:bCs/>
          <w:rtl/>
        </w:rPr>
        <w:t>י"מ</w:t>
      </w:r>
      <w:r w:rsidRPr="009F36E0">
        <w:rPr>
          <w:rFonts w:ascii="Narkisim" w:hAnsi="Narkisim"/>
          <w:rtl/>
        </w:rPr>
        <w:t xml:space="preserve"> דדרשי' מדהקדים ובן אין לו [גבי נחלה], דהו"ל למיכתב ואם אין לו בן. קמ"ל ד'אין לו' קאי אבן, ולא אאב. [והסמ"ע דחה דעד"ז דרשי' גבי ואם אין לו בת וכו'. ואף בבת תלי אם אין לה יורש משום צד].</w:t>
      </w:r>
    </w:p>
  </w:footnote>
  <w:footnote w:id="1353">
    <w:p w14:paraId="1A70ECE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ואי איצטריך לבת, אינו פנוי לממזר. ועוד תי' ר"י דשקולין הם, ודרשי' תרוייהו.</w:t>
      </w:r>
    </w:p>
  </w:footnote>
  <w:footnote w:id="1354">
    <w:p w14:paraId="793DC2B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והרמב"ן נקט דהיינו דרשת 'עיין עליו'. ובתחילת דבריו נקט דילפי' כולהו מיניה, בת, בני בנים וממזר. [ודלא כתוס' דידן דכיון דאיצטריך לילפותא אינו פנוי].</w:t>
      </w:r>
    </w:p>
  </w:footnote>
  <w:footnote w:id="1355">
    <w:p w14:paraId="5163F46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ועד"ז ילה"ק לצד דזרע פסול [למש”כ תוס' דס”ד דממזר אינו פוטר מיבום, אף דיורש].</w:t>
      </w:r>
    </w:p>
  </w:footnote>
  <w:footnote w:id="1356">
    <w:p w14:paraId="02A3A1B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ומשמע דכוונתו להק' דכיון דכתיב זרע אמאי איצטריך ריבוי לבני בנים [אך י"ל דהתם קאי אילו כתיב בנו ובתו לחוד].</w:t>
      </w:r>
    </w:p>
  </w:footnote>
  <w:footnote w:id="1357">
    <w:p w14:paraId="5A80510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[וכ"מ בתוס' דידן דסתמו בזה].</w:t>
      </w:r>
    </w:p>
  </w:footnote>
  <w:footnote w:id="1358">
    <w:p w14:paraId="07B09DE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פוסקים</w:t>
      </w:r>
      <w:r w:rsidRPr="009F36E0">
        <w:rPr>
          <w:rFonts w:ascii="Narkisim" w:hAnsi="Narkisim"/>
          <w:rtl/>
        </w:rPr>
        <w:t xml:space="preserve"> (א ה) כת' דמי שיש לו בנים סריסים לא קיים פריה ורביה.</w:t>
      </w:r>
    </w:p>
  </w:footnote>
  <w:footnote w:id="1359">
    <w:p w14:paraId="1DA6B88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שו"ת בית אפרים</w:t>
      </w:r>
      <w:r w:rsidRPr="009F36E0">
        <w:rPr>
          <w:rFonts w:ascii="Narkisim" w:hAnsi="Narkisim"/>
          <w:rtl/>
        </w:rPr>
        <w:t xml:space="preserve"> (אה"ע קלג) הוכיח דסריס פוטר מיבום. דאל"כ לר' מאיר דחייש למיעוט תהא אסורה עד שיגדל ויתברר שאינו סריס.</w:t>
      </w:r>
    </w:p>
  </w:footnote>
  <w:footnote w:id="1360">
    <w:p w14:paraId="200103E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[ע' גיטין מז.].</w:t>
      </w:r>
    </w:p>
  </w:footnote>
  <w:footnote w:id="1361">
    <w:p w14:paraId="62009DD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י"ל דעיקר תי' הגמ' דאף מזיד והוליד ממזר נחשב שעשה תשובה (ע' בסמוך).</w:t>
      </w:r>
    </w:p>
  </w:footnote>
  <w:footnote w:id="1362">
    <w:p w14:paraId="4CB4663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גמ</w:t>
      </w:r>
      <w:r w:rsidRPr="009F36E0">
        <w:rPr>
          <w:rFonts w:ascii="Narkisim" w:hAnsi="Narkisim"/>
          <w:rtl/>
        </w:rPr>
        <w:t>' (ע"ז נד:) אמר ר"ל שהקב"ה אומר לא דיין לרשעים שעושין סלע שלי פומבי [פ</w:t>
      </w:r>
      <w:r w:rsidRPr="009F36E0">
        <w:rPr>
          <w:rFonts w:ascii="Narkisim" w:hAnsi="Narkisim"/>
          <w:b/>
          <w:bCs/>
          <w:rtl/>
        </w:rPr>
        <w:t>רש"י</w:t>
      </w:r>
      <w:r w:rsidRPr="009F36E0">
        <w:rPr>
          <w:rFonts w:ascii="Narkisim" w:hAnsi="Narkisim"/>
          <w:rtl/>
        </w:rPr>
        <w:t xml:space="preserve"> כלומר שבאין על הערוה על כרחי ומולידין], אלא שמטריחין אותי ומחתימין אותי בעל כרחי. הרי שבא על אשת חבירו דין הוא שלא תתעבר, אלא עולם כמנהגו נוהג והולך ושוטים שקלקלו עתידין ליתן את הדין.</w:t>
      </w:r>
    </w:p>
  </w:footnote>
  <w:footnote w:id="1363">
    <w:p w14:paraId="3FC3659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וכתב דתשובה שמתקן למפרע הוא חידוש בישראל, אבל אף בבני נח מהני מכאן ולהבא, וזהו שנתקבל תשובת אנשי נינוה.</w:t>
      </w:r>
    </w:p>
  </w:footnote>
  <w:footnote w:id="1364">
    <w:p w14:paraId="461E130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ומבואר שם דבמסית נעשה שליח בי"ד, דכתיב לא תחמול. ולדברי התוס' אפי' בעשה תשובה. וע' מנח"ח שם.</w:t>
      </w:r>
    </w:p>
  </w:footnote>
  <w:footnote w:id="1365">
    <w:p w14:paraId="0ACBAE1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 xml:space="preserve">שיורי ברכה </w:t>
      </w:r>
      <w:r w:rsidRPr="009F36E0">
        <w:rPr>
          <w:rFonts w:ascii="Narkisim" w:hAnsi="Narkisim"/>
          <w:rtl/>
        </w:rPr>
        <w:t>(בשו"ע שם) ציין לדברי ה</w:t>
      </w:r>
      <w:r w:rsidRPr="009F36E0">
        <w:rPr>
          <w:rFonts w:ascii="Narkisim" w:hAnsi="Narkisim"/>
          <w:b/>
          <w:bCs/>
          <w:rtl/>
        </w:rPr>
        <w:t>זוהר</w:t>
      </w:r>
      <w:r w:rsidRPr="009F36E0">
        <w:rPr>
          <w:rFonts w:ascii="Narkisim" w:hAnsi="Narkisim"/>
          <w:rtl/>
        </w:rPr>
        <w:t xml:space="preserve"> דרחל אמנו נענשה על שציערה ללבן [אף דהיה רשע]. [ויל"ד אם שייך התם גדר 'עושה מעשה עמך', דבלאו הכי היו בני נח].</w:t>
      </w:r>
    </w:p>
  </w:footnote>
  <w:footnote w:id="1366">
    <w:p w14:paraId="42E32A1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דליכא מיעוט ממצוות כיבוד אב ואם. אבל ה</w:t>
      </w:r>
      <w:r w:rsidRPr="009F36E0">
        <w:rPr>
          <w:rFonts w:ascii="Narkisim" w:hAnsi="Narkisim"/>
          <w:b/>
          <w:bCs/>
          <w:rtl/>
        </w:rPr>
        <w:t>הג' מיימוני</w:t>
      </w:r>
      <w:r w:rsidRPr="009F36E0">
        <w:rPr>
          <w:rFonts w:ascii="Narkisim" w:hAnsi="Narkisim"/>
          <w:rtl/>
        </w:rPr>
        <w:t xml:space="preserve"> וה</w:t>
      </w:r>
      <w:r w:rsidRPr="009F36E0">
        <w:rPr>
          <w:rFonts w:ascii="Narkisim" w:hAnsi="Narkisim"/>
          <w:b/>
          <w:bCs/>
          <w:rtl/>
        </w:rPr>
        <w:t>טור</w:t>
      </w:r>
      <w:r w:rsidRPr="009F36E0">
        <w:rPr>
          <w:rFonts w:ascii="Narkisim" w:hAnsi="Narkisim"/>
          <w:rtl/>
        </w:rPr>
        <w:t xml:space="preserve"> (יו"ד רמ) [וכ"ד התוס'] פליגי דאינו חייב לכבדו. [וכדאי' (ב"ק קיב.) דהניח דבר גזול אין חיוב על הבנים משום כיבוד אב. אא"כ עשה תשובה].</w:t>
      </w:r>
    </w:p>
  </w:footnote>
  <w:footnote w:id="1367">
    <w:p w14:paraId="1FD3480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והביאו דבתו"כ דרשי' אי בת אשת אביך אפי' מאיש אחר, ת"ל מולדת אביך.</w:t>
      </w:r>
    </w:p>
  </w:footnote>
  <w:footnote w:id="1368">
    <w:p w14:paraId="077EA51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ויל"ע ממש"כ </w:t>
      </w:r>
      <w:r w:rsidRPr="009F36E0">
        <w:rPr>
          <w:rFonts w:ascii="Narkisim" w:hAnsi="Narkisim"/>
          <w:b/>
          <w:bCs/>
          <w:rtl/>
        </w:rPr>
        <w:t>רש"י</w:t>
      </w:r>
      <w:r w:rsidRPr="009F36E0">
        <w:rPr>
          <w:rFonts w:ascii="Narkisim" w:hAnsi="Narkisim"/>
          <w:rtl/>
        </w:rPr>
        <w:t xml:space="preserve"> (ד"ה לחייבו) כגון שנולדו הוא והיא מן האנוסה, הרי אף כשנולדה היא ואח"כ נשאה אינה בכלל בת אשת אביו.</w:t>
      </w:r>
    </w:p>
  </w:footnote>
  <w:footnote w:id="1369">
    <w:p w14:paraId="2090ECF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וליכא רמז דאיירי דוקא בת אשתו שאינה אשתו.</w:t>
      </w:r>
    </w:p>
  </w:footnote>
  <w:footnote w:id="1370">
    <w:p w14:paraId="72E0096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[ב"מ צד: ועוד] האם אשר מקלל אביו ואמו, משמע שניהם יחד, או כ"א בפנ"ע עד שיפרוט קרא יחדיו בכלאים.</w:t>
      </w:r>
    </w:p>
  </w:footnote>
  <w:footnote w:id="1371">
    <w:p w14:paraId="17D6E6A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שהאחרונים הביאו כמה טעמים אמאי אין עונשים מהדין, היינו בדין עונש. אבל במה שמפורש בתורה דין העונש, אלא דיש תנאי דאמרי' אין עונשין אא"כ מזהירין ל"ש כל הטעמים. וע"כ דלא נחשב אזהרה.</w:t>
      </w:r>
    </w:p>
  </w:footnote>
  <w:footnote w:id="1372">
    <w:p w14:paraId="2A5A795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ומש"ה לוקים על בהמה שאין לה סימני טהרה וכדאיתא בתו"כ מק"ו [וכ"כ </w:t>
      </w:r>
      <w:r w:rsidRPr="009F36E0">
        <w:rPr>
          <w:rFonts w:ascii="Narkisim" w:hAnsi="Narkisim"/>
          <w:b/>
          <w:bCs/>
          <w:rtl/>
        </w:rPr>
        <w:t>ה"ה</w:t>
      </w:r>
      <w:r w:rsidRPr="009F36E0">
        <w:rPr>
          <w:rFonts w:ascii="Narkisim" w:hAnsi="Narkisim"/>
          <w:rtl/>
        </w:rPr>
        <w:t xml:space="preserve"> מאכ"א ב א]. [ולכאורה כוונתם דע"י הק"ו חזר לכלל הלאו, וצ"ע].</w:t>
      </w:r>
    </w:p>
  </w:footnote>
  <w:footnote w:id="1373">
    <w:p w14:paraId="6BEDEA0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וצ"ב מהיכי תיתי דלא תפסי קידושין בחייבי לאוין דאיצטריך לרבות. וה</w:t>
      </w:r>
      <w:r w:rsidRPr="009F36E0">
        <w:rPr>
          <w:rFonts w:ascii="Narkisim" w:hAnsi="Narkisim"/>
          <w:b/>
          <w:bCs/>
          <w:rtl/>
        </w:rPr>
        <w:t>רמב"ן</w:t>
      </w:r>
      <w:r w:rsidRPr="009F36E0">
        <w:rPr>
          <w:rFonts w:ascii="Narkisim" w:hAnsi="Narkisim"/>
          <w:rtl/>
        </w:rPr>
        <w:t xml:space="preserve"> (בסוף העמ') ביאר דסמך אהא דאי' (קידושין סח.) דילפי' ק"ו מיבמה לשוק [דילפי' לא תהיה, דלא תפסי קידושין].</w:t>
      </w:r>
    </w:p>
  </w:footnote>
  <w:footnote w:id="1374">
    <w:p w14:paraId="2138E0B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ובשלמא בגמ' (קידושין סח.) דנו בזה גופא אי תפסי קידושין, או דילפי' מיבמה לשוק. אבל בסוגיין אמאי נקט הכי [ואמאי תפס המרובה]. וצ"ל דנקט הכי אגב סוגיא דהתם.</w:t>
      </w:r>
    </w:p>
  </w:footnote>
  <w:footnote w:id="1375">
    <w:p w14:paraId="1E10DCC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דהוה חייבי לאוין בעלמא [דלא קי"ל כר' עקיבא]. [אך לדעת ר"ע מוכח מהך דרשא דבנו ממזרת נוטל פי שנים].</w:t>
      </w:r>
    </w:p>
  </w:footnote>
  <w:footnote w:id="1376">
    <w:p w14:paraId="07F2055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מהרי"ט אלגאזי</w:t>
      </w:r>
      <w:r w:rsidRPr="009F36E0">
        <w:rPr>
          <w:rFonts w:ascii="Narkisim" w:hAnsi="Narkisim"/>
          <w:rtl/>
        </w:rPr>
        <w:t xml:space="preserve"> (שם) כתב דסברת ה</w:t>
      </w:r>
      <w:r w:rsidRPr="009F36E0">
        <w:rPr>
          <w:rFonts w:ascii="Narkisim" w:hAnsi="Narkisim"/>
          <w:b/>
          <w:bCs/>
          <w:rtl/>
        </w:rPr>
        <w:t>שלט"ג</w:t>
      </w:r>
      <w:r w:rsidRPr="009F36E0">
        <w:rPr>
          <w:rFonts w:ascii="Narkisim" w:hAnsi="Narkisim"/>
          <w:rtl/>
        </w:rPr>
        <w:t xml:space="preserve"> משום דאביו לא יצא מצות פריה ורביה, וכסוברים כן [הובא לעיל כב.], ועפ"ז כתב דאילו בא עליה באונס הוה בכור, ואף דהוה ממזר.</w:t>
      </w:r>
    </w:p>
  </w:footnote>
  <w:footnote w:id="1377">
    <w:p w14:paraId="6AC3FF5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משנ"ל</w:t>
      </w:r>
      <w:r w:rsidRPr="009F36E0">
        <w:rPr>
          <w:rFonts w:ascii="Narkisim" w:hAnsi="Narkisim"/>
          <w:rtl/>
        </w:rPr>
        <w:t xml:space="preserve"> (קרבן פסח ב) כת' לא ידעתי מה מקום הספק.</w:t>
      </w:r>
    </w:p>
  </w:footnote>
  <w:footnote w:id="1378">
    <w:p w14:paraId="7C28C9C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אלא שהגמ' מק' דאף עכו"ם ועבד יש בו צד קידושין על שם העתיד [ושייכי בקידושין]. והגמ' תי' לכי מגיירה גופא אחרינא היא. ויל"ד אי התי' דהוה התחדשות, ואינו לפנינו. ועוד אפשר דעיקר התי' דגירות הוה כקטן שנולד, וכאילו גוף אחר. [ועד"ז אי' (קידושין סב:) דלא מהני לקדש שפחתו, משום דבידו שחררה, דמעיקרא בהמה והשתא דעת אחרת. אלא דהראשונים שם דנו אי קאי אף אנכרית].</w:t>
      </w:r>
    </w:p>
  </w:footnote>
  <w:footnote w:id="1379">
    <w:p w14:paraId="43D1070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[וע"ע תוס' לקמן מט:]. וה</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רשב"א</w:t>
      </w:r>
      <w:r w:rsidRPr="009F36E0">
        <w:rPr>
          <w:rFonts w:ascii="Narkisim" w:hAnsi="Narkisim"/>
          <w:rtl/>
        </w:rPr>
        <w:t xml:space="preserve"> (לקמן שם) תמהו בזה, ויתבאר לקמן בעזה"י.</w:t>
      </w:r>
    </w:p>
  </w:footnote>
  <w:footnote w:id="1380">
    <w:p w14:paraId="45081CA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לצד [בתוס' שם] דממזרות תלי באיסור, גדרי יחס לא תלי במעשה האיסור.</w:t>
      </w:r>
    </w:p>
  </w:footnote>
  <w:footnote w:id="1381">
    <w:p w14:paraId="6340A6A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ומש"ה ס"ד דאף הכא יתייחס אחר אביו הישראל.</w:t>
      </w:r>
    </w:p>
    <w:p w14:paraId="42457EE0" w14:textId="77777777" w:rsidR="006074A5" w:rsidRPr="009F36E0" w:rsidRDefault="006074A5" w:rsidP="006074A5">
      <w:pPr>
        <w:pStyle w:val="Footnote"/>
        <w:bidi/>
        <w:rPr>
          <w:rFonts w:ascii="Narkisim" w:hAnsi="Narkisim"/>
        </w:rPr>
      </w:pPr>
      <w:r w:rsidRPr="009F36E0">
        <w:rPr>
          <w:rFonts w:ascii="Narkisim" w:hAnsi="Narkisim"/>
          <w:rtl/>
        </w:rPr>
        <w:tab/>
        <w:t>[ולשון הגמ' דאית 'לה' חייס, ויש שדייקו דהיינו יחוס האם. וה</w:t>
      </w:r>
      <w:r w:rsidRPr="009F36E0">
        <w:rPr>
          <w:rFonts w:ascii="Narkisim" w:hAnsi="Narkisim"/>
          <w:b/>
          <w:bCs/>
          <w:rtl/>
        </w:rPr>
        <w:t>אחרונים</w:t>
      </w:r>
      <w:r w:rsidRPr="009F36E0">
        <w:rPr>
          <w:rFonts w:ascii="Narkisim" w:hAnsi="Narkisim"/>
          <w:rtl/>
        </w:rPr>
        <w:t xml:space="preserve"> דנו האם בעבדים יש יחוס לאם. אך לכאו' כוונת הגמ' דהעובדת כוכבים יש לה דין יחס האב, וכן פרש"י. ולא קאי כלל בגדר יחוס אחר אמו].</w:t>
      </w:r>
    </w:p>
  </w:footnote>
  <w:footnote w:id="1382">
    <w:p w14:paraId="7F21320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תוס</w:t>
      </w:r>
      <w:r w:rsidRPr="009F36E0">
        <w:rPr>
          <w:rFonts w:ascii="Narkisim" w:hAnsi="Narkisim"/>
          <w:rtl/>
        </w:rPr>
        <w:t>' (טז: ד"ה עובד כוכבים) פי' דפליג אמתני' דקידושין (סו:) דהולד כמותה. וכן מתני' דידן (כב.) דאין לו יחס. ותוס' פי' דרב אסי קאי כמ"ד דעכו"ם הבא על בת ישראל הולד ממזר. [עי"ש].</w:t>
      </w:r>
    </w:p>
  </w:footnote>
  <w:footnote w:id="1383">
    <w:p w14:paraId="37897B3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ובמשנה (קידושין סו:) אי' דישראל הבא על עכו"ם ושפחה הולד כמותה [וכדדרשי' לעיל]. ולא הוזכר שם האופן ההפוך דעכו"ם על בת ישראל.</w:t>
      </w:r>
    </w:p>
  </w:footnote>
  <w:footnote w:id="1384">
    <w:p w14:paraId="304958E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הנידון כאן במח' (לקמן מה:) האם אזלי' בתר אחריני או לא.</w:t>
      </w:r>
    </w:p>
  </w:footnote>
  <w:footnote w:id="1385">
    <w:p w14:paraId="08E57BC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דלא תפסי קידושין, לא דמי לאשת אב דיש קידושין על אחרים. [וחסר בסיבת ממזרות].</w:t>
      </w:r>
    </w:p>
  </w:footnote>
  <w:footnote w:id="1386">
    <w:p w14:paraId="66CA488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מבואר דממזרות מישך לגדרי יחוס לפוסל. ואילו לדעת רש"י בקידושין הממזרות לא תלי ביחוס.</w:t>
      </w:r>
    </w:p>
  </w:footnote>
  <w:footnote w:id="1387">
    <w:p w14:paraId="794E191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יש מ"ד דתלי בתפיסת קידושין, ולא בחייבי כריתות. ואף לשמעון התימני דבעלמא ממזרות תלי בחייבי כריתות. היכא דליכא תפיסת קידושין מודה.</w:t>
      </w:r>
    </w:p>
  </w:footnote>
  <w:footnote w:id="1388">
    <w:p w14:paraId="44259FA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[אלא ד</w:t>
      </w:r>
      <w:r w:rsidRPr="009F36E0">
        <w:rPr>
          <w:rFonts w:ascii="Narkisim" w:hAnsi="Narkisim"/>
          <w:b/>
          <w:bCs/>
          <w:rtl/>
        </w:rPr>
        <w:t>תוס</w:t>
      </w:r>
      <w:r w:rsidRPr="009F36E0">
        <w:rPr>
          <w:rFonts w:ascii="Narkisim" w:hAnsi="Narkisim"/>
          <w:rtl/>
        </w:rPr>
        <w:t>' (לעיל טז:) העלו צד דליכא לאו בעכו"ם, ומש"ה הוה ממזר רק מדרבנן].</w:t>
      </w:r>
    </w:p>
  </w:footnote>
  <w:footnote w:id="1389">
    <w:p w14:paraId="726BE10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וע"ד הא דאי' (קידושין סט.) דממזר נושא שפחה, והולד כשר. [ואכמ"ל].</w:t>
      </w:r>
    </w:p>
  </w:footnote>
  <w:footnote w:id="1390">
    <w:p w14:paraId="2FA59FD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אף לר"ע [דיש ממזר מחייבי לאוין] לא הוה ממזר, משום דשדינן בתר עכו"ם. [וצ"ע סוגיא דקידושין עה: דמבואר דלר"ע הוה ממזר, ולר"א אין ממזר אלא מערוה, ותוס' (שם לדברי רש"י) פי' דהוה עכו"ם].</w:t>
      </w:r>
    </w:p>
  </w:footnote>
  <w:footnote w:id="1391">
    <w:p w14:paraId="7FF0E49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חי' ר' ראובן</w:t>
      </w:r>
      <w:r w:rsidRPr="009F36E0">
        <w:rPr>
          <w:rFonts w:ascii="Narkisim" w:hAnsi="Narkisim"/>
          <w:rtl/>
        </w:rPr>
        <w:t xml:space="preserve"> (כב) העמיד ג' צדדים למ"ד דשדינן בתר העכו"ם. </w:t>
      </w:r>
      <w:r w:rsidRPr="009F36E0">
        <w:rPr>
          <w:rFonts w:ascii="Narkisim" w:hAnsi="Narkisim"/>
          <w:i/>
          <w:iCs/>
          <w:rtl/>
        </w:rPr>
        <w:t>א'</w:t>
      </w:r>
      <w:r w:rsidRPr="009F36E0">
        <w:rPr>
          <w:rFonts w:ascii="Narkisim" w:hAnsi="Narkisim"/>
          <w:rtl/>
        </w:rPr>
        <w:t xml:space="preserve"> הלך אחר הפגום (וכ”כ ה</w:t>
      </w:r>
      <w:r w:rsidRPr="009F36E0">
        <w:rPr>
          <w:rFonts w:ascii="Narkisim" w:hAnsi="Narkisim"/>
          <w:b/>
          <w:bCs/>
          <w:rtl/>
        </w:rPr>
        <w:t>אבנ"מ</w:t>
      </w:r>
      <w:r w:rsidRPr="009F36E0">
        <w:rPr>
          <w:rFonts w:ascii="Narkisim" w:hAnsi="Narkisim"/>
          <w:rtl/>
        </w:rPr>
        <w:t xml:space="preserve"> ד יב). </w:t>
      </w:r>
      <w:r w:rsidRPr="009F36E0">
        <w:rPr>
          <w:rFonts w:ascii="Narkisim" w:hAnsi="Narkisim"/>
          <w:i/>
          <w:iCs/>
          <w:rtl/>
        </w:rPr>
        <w:t>ב'</w:t>
      </w:r>
      <w:r w:rsidRPr="009F36E0">
        <w:rPr>
          <w:rFonts w:ascii="Narkisim" w:hAnsi="Narkisim"/>
          <w:rtl/>
        </w:rPr>
        <w:t xml:space="preserve"> באומות הלך אחר הזכר (וכ”מ בנתיבות הנ”ל). </w:t>
      </w:r>
      <w:r w:rsidRPr="009F36E0">
        <w:rPr>
          <w:rFonts w:ascii="Narkisim" w:hAnsi="Narkisim"/>
          <w:i/>
          <w:iCs/>
          <w:rtl/>
        </w:rPr>
        <w:t>ג'</w:t>
      </w:r>
      <w:r w:rsidRPr="009F36E0">
        <w:rPr>
          <w:rFonts w:ascii="Narkisim" w:hAnsi="Narkisim"/>
          <w:rtl/>
        </w:rPr>
        <w:t xml:space="preserve"> דבעי קדושת ישראל מצד אביו, ול"מ משום אמו לחוד שימשך אחריה (וכ"כ ה</w:t>
      </w:r>
      <w:r w:rsidRPr="009F36E0">
        <w:rPr>
          <w:rFonts w:ascii="Narkisim" w:hAnsi="Narkisim"/>
          <w:b/>
          <w:bCs/>
          <w:rtl/>
        </w:rPr>
        <w:t>חזו"א</w:t>
      </w:r>
      <w:r w:rsidRPr="009F36E0">
        <w:rPr>
          <w:rFonts w:ascii="Narkisim" w:hAnsi="Narkisim"/>
          <w:rtl/>
        </w:rPr>
        <w:t xml:space="preserve"> ו ד).</w:t>
      </w:r>
    </w:p>
  </w:footnote>
  <w:footnote w:id="1392">
    <w:p w14:paraId="577DB87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שעה"מ</w:t>
      </w:r>
      <w:r w:rsidRPr="009F36E0">
        <w:rPr>
          <w:rFonts w:ascii="Narkisim" w:hAnsi="Narkisim"/>
          <w:rtl/>
        </w:rPr>
        <w:t xml:space="preserve"> הביא דכן מבואר ב</w:t>
      </w:r>
      <w:r w:rsidRPr="009F36E0">
        <w:rPr>
          <w:rFonts w:ascii="Narkisim" w:hAnsi="Narkisim"/>
          <w:b/>
          <w:bCs/>
          <w:rtl/>
        </w:rPr>
        <w:t>מדרש</w:t>
      </w:r>
      <w:r w:rsidRPr="009F36E0">
        <w:rPr>
          <w:rFonts w:ascii="Narkisim" w:hAnsi="Narkisim"/>
          <w:rtl/>
        </w:rPr>
        <w:t xml:space="preserve"> (הובא ב</w:t>
      </w:r>
      <w:r w:rsidRPr="009F36E0">
        <w:rPr>
          <w:rFonts w:ascii="Narkisim" w:hAnsi="Narkisim"/>
          <w:b/>
          <w:bCs/>
          <w:rtl/>
        </w:rPr>
        <w:t>רש"י</w:t>
      </w:r>
      <w:r w:rsidRPr="009F36E0">
        <w:rPr>
          <w:rFonts w:ascii="Narkisim" w:hAnsi="Narkisim"/>
          <w:rtl/>
        </w:rPr>
        <w:t xml:space="preserve"> עה"ת ויקרא כד י) גבי הגדף בתוך בני ישראל, מלמד שנתגייר. דכיון דאביו מצרי צריך גירות. [ועי"ש רמב"ן ושאר מפרשים. ויש שדנו דנולד קודם מתן תורה שאני].</w:t>
      </w:r>
    </w:p>
  </w:footnote>
  <w:footnote w:id="1393">
    <w:p w14:paraId="0D1A77C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אך ב</w:t>
      </w:r>
      <w:r w:rsidRPr="009F36E0">
        <w:rPr>
          <w:rFonts w:ascii="Narkisim" w:hAnsi="Narkisim"/>
          <w:b/>
          <w:bCs/>
          <w:rtl/>
        </w:rPr>
        <w:t>ס' זכר יצחק</w:t>
      </w:r>
      <w:r w:rsidRPr="009F36E0">
        <w:rPr>
          <w:rFonts w:ascii="Narkisim" w:hAnsi="Narkisim"/>
          <w:rtl/>
        </w:rPr>
        <w:t xml:space="preserve"> (ד, וכן ל) כת' דמש"כ תוס' דשדינן ליה בתר עכו"ם, הוא רק לענין שיש עליו אסור וזוהמת עכו"ם, אבל לכו"ע הוי ישראל וחייב במצוות וקידושיו קידושין. ומזהמים היינו פסול עכו"ם דאינו קהל גמור, ודמי לנתגייר בלא הרצאת דמים, דמבואר (כריתות ח:) דצריך קרבן לאכשורי בקהל. וביאר דאפ"ה לא הוי ממזר, דדוקא במקום קדושת ישראל שייך ממזרות.</w:t>
      </w:r>
    </w:p>
  </w:footnote>
  <w:footnote w:id="1394">
    <w:p w14:paraId="4B72299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w:t>
      </w:r>
      <w:r w:rsidRPr="009F36E0">
        <w:rPr>
          <w:rFonts w:ascii="Narkisim" w:hAnsi="Narkisim"/>
          <w:b/>
          <w:bCs/>
          <w:rtl/>
        </w:rPr>
        <w:t>תוס</w:t>
      </w:r>
      <w:r w:rsidRPr="009F36E0">
        <w:rPr>
          <w:rFonts w:ascii="Narkisim" w:hAnsi="Narkisim"/>
          <w:rtl/>
        </w:rPr>
        <w:t xml:space="preserve">' (נדה נו:) ס"ל דאי"צ גירות. וכ"נ דעת </w:t>
      </w:r>
      <w:r w:rsidRPr="009F36E0">
        <w:rPr>
          <w:rFonts w:ascii="Narkisim" w:hAnsi="Narkisim"/>
          <w:b/>
          <w:bCs/>
          <w:rtl/>
        </w:rPr>
        <w:t>תוס</w:t>
      </w:r>
      <w:r w:rsidRPr="009F36E0">
        <w:rPr>
          <w:rFonts w:ascii="Narkisim" w:hAnsi="Narkisim"/>
          <w:rtl/>
        </w:rPr>
        <w:t>' (קידושין עה:) לולי דברי רש"י (שם).</w:t>
      </w:r>
    </w:p>
    <w:p w14:paraId="75B2824F"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שעה"מ</w:t>
      </w:r>
      <w:r w:rsidRPr="009F36E0">
        <w:rPr>
          <w:rFonts w:ascii="Narkisim" w:hAnsi="Narkisim"/>
          <w:rtl/>
        </w:rPr>
        <w:t xml:space="preserve"> (איסו"ב טו ג) האריך להעמיד כמה סתירות בדעת רש"י. וה</w:t>
      </w:r>
      <w:r w:rsidRPr="009F36E0">
        <w:rPr>
          <w:rFonts w:ascii="Narkisim" w:hAnsi="Narkisim"/>
          <w:b/>
          <w:bCs/>
          <w:rtl/>
        </w:rPr>
        <w:t>אחרונים</w:t>
      </w:r>
      <w:r w:rsidRPr="009F36E0">
        <w:rPr>
          <w:rFonts w:ascii="Narkisim" w:hAnsi="Narkisim"/>
          <w:rtl/>
        </w:rPr>
        <w:t xml:space="preserve"> חילקו בין עכו"ם הבא על בת ישראל [דיש יחס לעכו"ם], ואילו עבד הבא על בת ישראל ליכא יחס. [הובא לעיל טז:].</w:t>
      </w:r>
    </w:p>
  </w:footnote>
  <w:footnote w:id="1395">
    <w:p w14:paraId="5C3E059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ה"ה</w:t>
      </w:r>
      <w:r w:rsidRPr="009F36E0">
        <w:rPr>
          <w:rFonts w:ascii="Narkisim" w:hAnsi="Narkisim"/>
          <w:rtl/>
        </w:rPr>
        <w:t xml:space="preserve"> (שם) כת' דהולד כמוה [דכיון דאין לו קידושין אף על אחרים, אינו מתייחס אחר אביו. אלא אחר אמו]. ומשמע דהוה בכלל של המשנה (שם סו:).</w:t>
      </w:r>
    </w:p>
  </w:footnote>
  <w:footnote w:id="1396">
    <w:p w14:paraId="5269331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פוסקים</w:t>
      </w:r>
      <w:r w:rsidRPr="009F36E0">
        <w:rPr>
          <w:rFonts w:ascii="Narkisim" w:hAnsi="Narkisim"/>
          <w:rtl/>
        </w:rPr>
        <w:t xml:space="preserve"> (פתח"ת רסו יד) דנו דמלים אותו בשבת. ו</w:t>
      </w:r>
      <w:r w:rsidRPr="009F36E0">
        <w:rPr>
          <w:rFonts w:ascii="Narkisim" w:hAnsi="Narkisim"/>
          <w:b/>
          <w:bCs/>
          <w:rtl/>
        </w:rPr>
        <w:t>רע"א</w:t>
      </w:r>
      <w:r w:rsidRPr="009F36E0">
        <w:rPr>
          <w:rFonts w:ascii="Narkisim" w:hAnsi="Narkisim"/>
          <w:rtl/>
        </w:rPr>
        <w:t xml:space="preserve"> (דפוס יוהנסברג שם) דן אי חוששין לדעת הראשונים דצריך גירות. אבל ה</w:t>
      </w:r>
      <w:r w:rsidRPr="009F36E0">
        <w:rPr>
          <w:rFonts w:ascii="Narkisim" w:hAnsi="Narkisim"/>
          <w:b/>
          <w:bCs/>
          <w:rtl/>
        </w:rPr>
        <w:t>נתיבות</w:t>
      </w:r>
      <w:r w:rsidRPr="009F36E0">
        <w:rPr>
          <w:rFonts w:ascii="Narkisim" w:hAnsi="Narkisim"/>
          <w:rtl/>
        </w:rPr>
        <w:t xml:space="preserve"> (בשו"ת חמד"ש ב, הובא פתח"ת ד א) פסק דצריך גירות.</w:t>
      </w:r>
    </w:p>
  </w:footnote>
  <w:footnote w:id="1397">
    <w:p w14:paraId="28DAE7C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ורבנן דפליגי אר"י בר"י ס"ל כר"ש דדרש טעמא דקרא. [ולפ"ז קשה דקי"ל כרבנן דחייב ב' משום בת אשת אביו, ובפשוטו לא קי"ל כר"ש. ע' בסמוך].</w:t>
      </w:r>
    </w:p>
  </w:footnote>
  <w:footnote w:id="1398">
    <w:p w14:paraId="70F9B97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כת' דסוגיא דידן לא ס"ל הכי, דאיצטריך פסוק זה לרבות דתפסי קידושין בחייבי לאוין, ולא ילפי' מיבמה לשוק. והרמב"ן ביאר דכ"ז לרב אחא ב"י (קידושין סח.) דדן ק"ו מיבמה לשוק. אבל לל"ק (שם סז:) הא דלא תפסי קידושין בחייבי כריתות ילפי' מאחות אשה [ולא ילפי' ק"ו מיבמה]. וליכא ס"ד דבחייבי לאוין לא תפסי קידושין, ומש"ה אייתר כי תהיין לאיש.</w:t>
      </w:r>
    </w:p>
  </w:footnote>
  <w:footnote w:id="1399">
    <w:p w14:paraId="374E039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וע"ע </w:t>
      </w:r>
      <w:r w:rsidRPr="009F36E0">
        <w:rPr>
          <w:rFonts w:ascii="Narkisim" w:hAnsi="Narkisim"/>
          <w:b/>
          <w:bCs/>
          <w:rtl/>
        </w:rPr>
        <w:t>רש"י</w:t>
      </w:r>
      <w:r w:rsidRPr="009F36E0">
        <w:rPr>
          <w:rFonts w:ascii="Narkisim" w:hAnsi="Narkisim"/>
          <w:rtl/>
        </w:rPr>
        <w:t xml:space="preserve"> (לקמן מה. וסח:, וסנהדרין נב:, וסוטה כו:) כמה דרשות מנ"ל דלא תפסי קידושין בעכו"ם. [וע' תוס' סוטה שם]. [וע"ע רש"י סנהדרין נא. ורע"א שם].</w:t>
      </w:r>
    </w:p>
  </w:footnote>
  <w:footnote w:id="1400">
    <w:p w14:paraId="46EBC7F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ה"ה</w:t>
      </w:r>
      <w:r w:rsidRPr="009F36E0">
        <w:rPr>
          <w:rFonts w:ascii="Narkisim" w:hAnsi="Narkisim"/>
          <w:rtl/>
        </w:rPr>
        <w:t xml:space="preserve"> כת' דיש דורשים בדרך אחר, ואינו משנה בדין. וה</w:t>
      </w:r>
      <w:r w:rsidRPr="009F36E0">
        <w:rPr>
          <w:rFonts w:ascii="Narkisim" w:hAnsi="Narkisim"/>
          <w:b/>
          <w:bCs/>
          <w:rtl/>
        </w:rPr>
        <w:t>רמ"ך (</w:t>
      </w:r>
      <w:r w:rsidRPr="009F36E0">
        <w:rPr>
          <w:rFonts w:ascii="Narkisim" w:hAnsi="Narkisim"/>
          <w:rtl/>
        </w:rPr>
        <w:t>איסו"ב שם) הק' על דרשא זו. [וע' תוס' יז.].</w:t>
      </w:r>
    </w:p>
  </w:footnote>
  <w:footnote w:id="1401">
    <w:p w14:paraId="5E64077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[ודוקא כי יסיר, בתך לא תתן קאי בכל האומות. ודרשי' קרא לצדדים].</w:t>
      </w:r>
    </w:p>
  </w:footnote>
  <w:footnote w:id="1402">
    <w:p w14:paraId="3E7FD9F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ה</w:t>
      </w:r>
      <w:r w:rsidRPr="009F36E0">
        <w:rPr>
          <w:rFonts w:ascii="Narkisim" w:hAnsi="Narkisim"/>
          <w:b/>
          <w:bCs/>
          <w:rtl/>
        </w:rPr>
        <w:t>חינוך</w:t>
      </w:r>
      <w:r w:rsidRPr="009F36E0">
        <w:rPr>
          <w:rFonts w:ascii="Narkisim" w:hAnsi="Narkisim"/>
          <w:rtl/>
        </w:rPr>
        <w:t xml:space="preserve"> (רט) הביא הך קרא בכל האומות, וקודם גירות. וביאר דדרשי' כי יסיר את בנך, לרבות כל המסירים. [וכר' שמעון]. והחינוך הוסיף דאף שפחה בכלל לאו זה [וצ"ע].</w:t>
      </w:r>
    </w:p>
  </w:footnote>
  <w:footnote w:id="1403">
    <w:p w14:paraId="49D9C23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w:t>
      </w:r>
      <w:r w:rsidRPr="009F36E0">
        <w:rPr>
          <w:rFonts w:ascii="Narkisim" w:hAnsi="Narkisim"/>
          <w:b/>
          <w:bCs/>
          <w:rtl/>
        </w:rPr>
        <w:t>תוס</w:t>
      </w:r>
      <w:r w:rsidRPr="009F36E0">
        <w:rPr>
          <w:rFonts w:ascii="Narkisim" w:hAnsi="Narkisim"/>
          <w:rtl/>
        </w:rPr>
        <w:t>' נקטו דקרא דלא תתחתן איירי בגירות, וע"כ איירי דוקא בז' אומות [דשאר אומות שנתגיירו מותרין]. ותלי בב' לשונות דרבא (לקמן עו) אי לא תתחתן קאי בנתינים לאחר גירות או בעודה עכו"ם.</w:t>
      </w:r>
    </w:p>
  </w:footnote>
  <w:footnote w:id="1404">
    <w:p w14:paraId="41FD21A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כס"מ</w:t>
      </w:r>
      <w:r w:rsidRPr="009F36E0">
        <w:rPr>
          <w:rFonts w:ascii="Narkisim" w:hAnsi="Narkisim"/>
          <w:rtl/>
        </w:rPr>
        <w:t xml:space="preserve"> וה</w:t>
      </w:r>
      <w:r w:rsidRPr="009F36E0">
        <w:rPr>
          <w:rFonts w:ascii="Narkisim" w:hAnsi="Narkisim"/>
          <w:b/>
          <w:bCs/>
          <w:rtl/>
        </w:rPr>
        <w:t xml:space="preserve">ב"י </w:t>
      </w:r>
      <w:r w:rsidRPr="009F36E0">
        <w:rPr>
          <w:rFonts w:ascii="Narkisim" w:hAnsi="Narkisim"/>
          <w:rtl/>
        </w:rPr>
        <w:t>תי' דהרמב"ם פסק בזה כר' שמעון, ע"פ סתימת הסוגיות. [וע' לח"מ (מלוה ג, הובא בסמוך) שהאריך בזה].</w:t>
      </w:r>
    </w:p>
  </w:footnote>
  <w:footnote w:id="1405">
    <w:p w14:paraId="2701FEA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 </w:t>
      </w:r>
      <w:r w:rsidRPr="009F36E0">
        <w:rPr>
          <w:rFonts w:ascii="Narkisim" w:hAnsi="Narkisim"/>
          <w:b/>
          <w:bCs/>
          <w:rtl/>
        </w:rPr>
        <w:t>תוס</w:t>
      </w:r>
      <w:r w:rsidRPr="009F36E0">
        <w:rPr>
          <w:rFonts w:ascii="Narkisim" w:hAnsi="Narkisim"/>
          <w:rtl/>
        </w:rPr>
        <w:t>' (גיטין מו.) וה</w:t>
      </w:r>
      <w:r w:rsidRPr="009F36E0">
        <w:rPr>
          <w:rFonts w:ascii="Narkisim" w:hAnsi="Narkisim"/>
          <w:b/>
          <w:bCs/>
          <w:rtl/>
        </w:rPr>
        <w:t>רמב"ם</w:t>
      </w:r>
      <w:r w:rsidRPr="009F36E0">
        <w:rPr>
          <w:rFonts w:ascii="Narkisim" w:hAnsi="Narkisim"/>
          <w:rtl/>
        </w:rPr>
        <w:t xml:space="preserve"> (מלכים ו) בגדרי הדין לקרוא לשלום, והאם איירי דוקא כשמקבלים עליהם ז' מצוות.</w:t>
      </w:r>
    </w:p>
  </w:footnote>
  <w:footnote w:id="1406">
    <w:p w14:paraId="129342D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והקוב"ש העלה צד דל"מ חזקה כיון דהנידון הוה באחותה, ולא באשה זו. אך דחה דבכ"מ מבואר דמהני חזקה שלא בשורש הספק. [ע' תוס' לקמן סח.].</w:t>
      </w:r>
    </w:p>
    <w:p w14:paraId="3677AA04"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קוב"ש</w:t>
      </w:r>
      <w:r w:rsidRPr="009F36E0">
        <w:rPr>
          <w:rFonts w:ascii="Narkisim" w:hAnsi="Narkisim"/>
          <w:rtl/>
        </w:rPr>
        <w:t xml:space="preserve"> העלה צד דהכא לא שייך חזקה כיון דממ"נ יצתה מחזקת היתר, דאו נתקדשה לזה ואסורה לכל העולם, או קידש אחותה, ונאסרה עליו מדין אחות אשתו. אך שוב דחה דלגבי המקדש ליכא ממ"נ לכל א'. ומש"ה לא מהני.</w:t>
      </w:r>
    </w:p>
  </w:footnote>
  <w:footnote w:id="1407">
    <w:p w14:paraId="27C21D9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ובתוס' (נזיר נז.) מבואר דאף באופן שנתעורר ספק ע"פ מעשה א' מהני חזקה לכל א'.</w:t>
      </w:r>
    </w:p>
  </w:footnote>
  <w:footnote w:id="1408">
    <w:p w14:paraId="5CF6F8C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[וכמ"ש ה</w:t>
      </w:r>
      <w:r w:rsidRPr="009F36E0">
        <w:rPr>
          <w:rFonts w:ascii="Narkisim" w:hAnsi="Narkisim"/>
          <w:b/>
          <w:bCs/>
          <w:rtl/>
        </w:rPr>
        <w:t>ר"ן</w:t>
      </w:r>
      <w:r w:rsidRPr="009F36E0">
        <w:rPr>
          <w:rFonts w:ascii="Narkisim" w:hAnsi="Narkisim"/>
          <w:rtl/>
        </w:rPr>
        <w:t xml:space="preserve"> (קידושין ב. בדה”ר) דבספק קידושין החמירו. ע' תוס' (כתובות כג. ד"ה תרוייהו), וע"ע לקמן ל: לא.].</w:t>
      </w:r>
    </w:p>
  </w:footnote>
  <w:footnote w:id="1409">
    <w:p w14:paraId="09B30E5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והקידושין גרמו ריחוק זה, דעי"ז חל תקנ"ח. ואף דלא הוה גדר איסור עריות, ואף לו יצוייר שהקידושין גרמו ריחוק במציאות. [ולא דמי לגדר שחיטה שאינה ראויה, דתלי בהא דהוה ראוי ע"פ דין. אבל הכא אף מחמת הספק נחשב אינה ראוי לביאה בתורת ודאי].</w:t>
      </w:r>
    </w:p>
  </w:footnote>
  <w:footnote w:id="1410">
    <w:p w14:paraId="3538DDF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הוכרו ולבסוף נתערבו, בפשוטו ל"ש כלל להעמיד על חזקה. דהספק על התערובת, ולא על השינוי בקידושין.</w:t>
      </w:r>
    </w:p>
  </w:footnote>
  <w:footnote w:id="1411">
    <w:p w14:paraId="61A9255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ב"ח</w:t>
      </w:r>
      <w:r w:rsidRPr="009F36E0">
        <w:rPr>
          <w:rFonts w:ascii="Narkisim" w:hAnsi="Narkisim"/>
          <w:rtl/>
        </w:rPr>
        <w:t xml:space="preserve"> (קעו) דייק מלשונם דוקא משום דחלץ ואח"כ כנס, דהוה אחות חלוצתו. אבל אם כנס ואח"כ חלץ, איסור אחות זקוקתו פקע למפרע, ולא קנסו כה"ג. [אך צ"ב דמ"מ מכאן ולהבא אסורה משום איסור אחות חלוצתו. ויל”פ דמדינא כיון דכנס פקע זיקה ואי"צ חליצה. וא"כ הך חליצה מדרבנן בעלמא. וצ"ע]. ועפ"ז ביאר דמש"ה התנא לא פי' דין דקדם וכנס, דלא פסיקא ליה. וה</w:t>
      </w:r>
      <w:r w:rsidRPr="009F36E0">
        <w:rPr>
          <w:rFonts w:ascii="Narkisim" w:hAnsi="Narkisim"/>
          <w:b/>
          <w:bCs/>
          <w:rtl/>
        </w:rPr>
        <w:t>בי"ש</w:t>
      </w:r>
      <w:r w:rsidRPr="009F36E0">
        <w:rPr>
          <w:rFonts w:ascii="Narkisim" w:hAnsi="Narkisim"/>
          <w:rtl/>
        </w:rPr>
        <w:t xml:space="preserve"> (קעו ג) חלק. [וע"ע בית מאיר צלעות הבית ב].</w:t>
      </w:r>
    </w:p>
  </w:footnote>
  <w:footnote w:id="1412">
    <w:p w14:paraId="3109C90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יש חידוש דאף דבי"ד מפרישים אותו מיד בשעה שכנס, אפ"ה כיון שנשאה היא אשתו. ולאחר זמן שאחיו חלץ נחשב בדיעבד].</w:t>
      </w:r>
    </w:p>
  </w:footnote>
  <w:footnote w:id="1413">
    <w:p w14:paraId="5F70FBC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 דכן מבואר בגמ' (לקמן כז:).</w:t>
      </w:r>
    </w:p>
  </w:footnote>
  <w:footnote w:id="1414">
    <w:p w14:paraId="0C773DD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[וע"ע </w:t>
      </w:r>
      <w:r w:rsidRPr="009F36E0">
        <w:rPr>
          <w:rFonts w:ascii="Narkisim" w:hAnsi="Narkisim"/>
          <w:b/>
          <w:bCs/>
          <w:rtl/>
        </w:rPr>
        <w:t>רא"ש</w:t>
      </w:r>
      <w:r w:rsidRPr="009F36E0">
        <w:rPr>
          <w:rFonts w:ascii="Narkisim" w:hAnsi="Narkisim"/>
          <w:rtl/>
        </w:rPr>
        <w:t xml:space="preserve"> (נדרים ו ג) ע"פ הירושלמי, דנדר נחשב דבר שיש לו מתירין. ואף דהיתר החכם הוה למפרע, דעיקר העיקור הוה מכאן ולהבא, ואף שמתירו למפרע].</w:t>
      </w:r>
    </w:p>
  </w:footnote>
  <w:footnote w:id="1415">
    <w:p w14:paraId="558CE87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ותוס' (שם) היו יכולים לתרץ כמו כאן.</w:t>
      </w:r>
    </w:p>
  </w:footnote>
  <w:footnote w:id="1416">
    <w:p w14:paraId="19BF7C1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[ויל"ד בסוגיין אילו עשה מאמר. אך מאמר הוה מדרבנן, ולא מהני להפקיע מדאורייתא. ועוד דהוה מאמר של איסור, ע' לקמן כט.].</w:t>
      </w:r>
    </w:p>
  </w:footnote>
  <w:footnote w:id="1417">
    <w:p w14:paraId="620779A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הרשב"א הק' דא"כ אף מתה אחותה נמי. [וע"ע לקמן כח.].</w:t>
      </w:r>
    </w:p>
  </w:footnote>
  <w:footnote w:id="1418">
    <w:p w14:paraId="53D307E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לדעת </w:t>
      </w:r>
      <w:r w:rsidRPr="009F36E0">
        <w:rPr>
          <w:rFonts w:ascii="Narkisim" w:hAnsi="Narkisim"/>
          <w:b/>
          <w:bCs/>
          <w:rtl/>
        </w:rPr>
        <w:t>תוס</w:t>
      </w:r>
      <w:r w:rsidRPr="009F36E0">
        <w:rPr>
          <w:rFonts w:ascii="Narkisim" w:hAnsi="Narkisim"/>
          <w:rtl/>
        </w:rPr>
        <w:t>' (כו: ד"ה וחליצה) דוקא היכא דקלשא זיקה נחשב חליצה פסולה, ולא משום איסור בעלמא לייבם.</w:t>
      </w:r>
    </w:p>
  </w:footnote>
  <w:footnote w:id="1419">
    <w:p w14:paraId="61E436D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(בית מאיר) הביאו דנח' בזה לקמן, דדעת </w:t>
      </w:r>
      <w:r w:rsidRPr="009F36E0">
        <w:rPr>
          <w:rFonts w:ascii="Narkisim" w:hAnsi="Narkisim"/>
          <w:b/>
          <w:bCs/>
          <w:rtl/>
        </w:rPr>
        <w:t xml:space="preserve">ר' אברהם מבורגויי"ל </w:t>
      </w:r>
      <w:r w:rsidRPr="009F36E0">
        <w:rPr>
          <w:rFonts w:ascii="Narkisim" w:hAnsi="Narkisim"/>
          <w:rtl/>
        </w:rPr>
        <w:t xml:space="preserve">(בתוס' כו: ד"ה דנפול) אין איסור אחות חלוצתו בחליצה שהוא משום חיזור בעלמא. אבל דעת </w:t>
      </w:r>
      <w:r w:rsidRPr="009F36E0">
        <w:rPr>
          <w:rFonts w:ascii="Narkisim" w:hAnsi="Narkisim"/>
          <w:b/>
          <w:bCs/>
          <w:rtl/>
        </w:rPr>
        <w:t>ריב"ן</w:t>
      </w:r>
      <w:r w:rsidRPr="009F36E0">
        <w:rPr>
          <w:rFonts w:ascii="Narkisim" w:hAnsi="Narkisim"/>
          <w:rtl/>
        </w:rPr>
        <w:t xml:space="preserve"> (בתוס' כז: ד"ה איתיביה) כיון דחלץ לה, אסור באחותה. וע"ע תוס' (לקמן מ.).</w:t>
      </w:r>
    </w:p>
  </w:footnote>
  <w:footnote w:id="1420">
    <w:p w14:paraId="0B198A5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בית מאיר</w:t>
      </w:r>
      <w:r w:rsidRPr="009F36E0">
        <w:rPr>
          <w:rFonts w:ascii="Narkisim" w:hAnsi="Narkisim"/>
          <w:rtl/>
        </w:rPr>
        <w:t xml:space="preserve"> (צלעות הבית א, לדברי השואל שם) כת' דלפ"ז ה"מ הוכרו ולבסוף נתערבו. אבל כשקידש א' מב' [למ"ד קידושין שאינן מסורים לביאה הוה קידושין], אינו ראוי להתברר ע"י אליהו. והוה חליצה פסולה. וכת' דעפ"ז מיושב קו' תוד"ה דיקא, דאף לאביי ע"כ מתני' בהוכרו ולבסוף נתערבו. [אך בפשוטו איירי בכל אופן, ע' בסמוך].</w:t>
      </w:r>
    </w:p>
  </w:footnote>
  <w:footnote w:id="1421">
    <w:p w14:paraId="6DDDCF9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בית מאיר</w:t>
      </w:r>
      <w:r w:rsidRPr="009F36E0">
        <w:rPr>
          <w:rFonts w:ascii="Narkisim" w:hAnsi="Narkisim"/>
          <w:rtl/>
        </w:rPr>
        <w:t xml:space="preserve"> (שם) דן אי קי"ל כהך תי' דאם יבא אליהו. והביא כמה מקומות דאמרי' דנחשב 'אינו ראוי' מחמת הספק. [וע' לקמן לה: ומא:]. ועוד כת' הבית מאיר דהמהרשד"ם איירי באופן שיש רוב שהוא בן קיימא, ובזה לא אמרי' דיבא אליהו ויעיד נגד הרוב. ואף דמדרבנן חששו והצריכו חליצה, אך לא שייך להכריע נגד הרוב ולהתיר ליבום, ומש"ה נחשב דאינו ראוי ליבום. ולא דמי לסוגיין דהוה ספק השקול, וראוי להתברר.</w:t>
      </w:r>
    </w:p>
  </w:footnote>
  <w:footnote w:id="1422">
    <w:p w14:paraId="71721B2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[ע' לקמן נ: בגדר ביאה פסולה]. [ובפשוטו קושיית החכ"צ דאילו הוה חליצה פסולה הוה ביאה פסולה, וע"כ דמחמת סברת ספק דידיה אתרמי אינו איסור חמור].</w:t>
      </w:r>
    </w:p>
  </w:footnote>
  <w:footnote w:id="1423">
    <w:p w14:paraId="4188FA6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חזו"א</w:t>
      </w:r>
      <w:r w:rsidRPr="009F36E0">
        <w:rPr>
          <w:rFonts w:ascii="Narkisim" w:hAnsi="Narkisim"/>
          <w:rtl/>
        </w:rPr>
        <w:t xml:space="preserve"> (בס' קובץ ענינים) השיג על הקוב”ש, אין מה לברר. ואילו אליהו יכול לברר לא יחשב קידושין שאין מסורין לביאה. וכ"כ ה</w:t>
      </w:r>
      <w:r w:rsidRPr="009F36E0">
        <w:rPr>
          <w:rFonts w:ascii="Narkisim" w:hAnsi="Narkisim"/>
          <w:b/>
          <w:bCs/>
          <w:rtl/>
        </w:rPr>
        <w:t>בית מאיר</w:t>
      </w:r>
      <w:r w:rsidRPr="009F36E0">
        <w:rPr>
          <w:rFonts w:ascii="Narkisim" w:hAnsi="Narkisim"/>
          <w:rtl/>
        </w:rPr>
        <w:t xml:space="preserve"> (הו' לעיל).</w:t>
      </w:r>
    </w:p>
  </w:footnote>
  <w:footnote w:id="1424">
    <w:p w14:paraId="3EFAA9F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והוסיף דכ"ד אביי ורבא (גיטין כה.).</w:t>
      </w:r>
    </w:p>
  </w:footnote>
  <w:footnote w:id="1425">
    <w:p w14:paraId="3157483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[א"נ כוונת הריטב"א להקשות דבסתמא מתפרש שקידש על דעת מה שייחד אח"כ. ותליא בזה התי' הב'].</w:t>
      </w:r>
    </w:p>
  </w:footnote>
  <w:footnote w:id="1426">
    <w:p w14:paraId="7C79430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תוס' רי"ד</w:t>
      </w:r>
      <w:r w:rsidRPr="009F36E0">
        <w:rPr>
          <w:rFonts w:ascii="Narkisim" w:hAnsi="Narkisim"/>
          <w:rtl/>
        </w:rPr>
        <w:t xml:space="preserve"> (קידושין שם) ביאר דכיון שהיה ספק בעת הקידושין ל"מ ברירה לומר זו אני רוצה, דנימא הוברר הדבר שזו קדש. שהרי לא ידע איזו קידש. ואילו היה אומר 'איזו שארצה' בודאי יכול לסמוך על הברירה כיון שתלה ברצונו, אבל זה שקידש מתחלה בספק שלא בירר איזה קידש אין לומר שם ברירה.</w:t>
      </w:r>
    </w:p>
  </w:footnote>
  <w:footnote w:id="1427">
    <w:p w14:paraId="530CA14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קצת משמע דבקו' נקט דאף בסתמא הוה כאומר לאיזה שארצה. וחזר בו דדוקא היכא דאמר לאיזה שארצה. אבל ה</w:t>
      </w:r>
      <w:r w:rsidRPr="009F36E0">
        <w:rPr>
          <w:rFonts w:ascii="Narkisim" w:hAnsi="Narkisim"/>
          <w:b/>
          <w:bCs/>
          <w:rtl/>
        </w:rPr>
        <w:t>אבנ"מ</w:t>
      </w:r>
      <w:r w:rsidRPr="009F36E0">
        <w:rPr>
          <w:rFonts w:ascii="Narkisim" w:hAnsi="Narkisim"/>
          <w:rtl/>
        </w:rPr>
        <w:t xml:space="preserve"> ביאר כוונתו דמהני ברירה רק מכאן ולהבא, ולא למפרע. (וע' שער"י ג כב).</w:t>
      </w:r>
    </w:p>
  </w:footnote>
  <w:footnote w:id="1428">
    <w:p w14:paraId="269517A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תו"י</w:t>
      </w:r>
      <w:r w:rsidRPr="009F36E0">
        <w:rPr>
          <w:rFonts w:ascii="Narkisim" w:hAnsi="Narkisim"/>
          <w:rtl/>
        </w:rPr>
        <w:t xml:space="preserve"> (הנדמ"ח) כת' דשאני חייבי לאוין דלא הוה קידושין גריעי אלא משום גזיה"כ. אבל הכא הגריעות מטעם גריעות לשון הקידושין, ובהא הו"ל למימר דלא הוה קידושין. [ויל"ד בדבריו, ועפ"ז אין מקום לקושיות האחרונים].</w:t>
      </w:r>
    </w:p>
  </w:footnote>
  <w:footnote w:id="1429">
    <w:p w14:paraId="40B97E9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ועוה"ק </w:t>
      </w:r>
      <w:r w:rsidRPr="009F36E0">
        <w:rPr>
          <w:rFonts w:ascii="Narkisim" w:hAnsi="Narkisim"/>
          <w:b/>
          <w:bCs/>
          <w:rtl/>
        </w:rPr>
        <w:t>רע"א</w:t>
      </w:r>
      <w:r w:rsidRPr="009F36E0">
        <w:rPr>
          <w:rFonts w:ascii="Narkisim" w:hAnsi="Narkisim"/>
          <w:rtl/>
        </w:rPr>
        <w:t xml:space="preserve"> (האבנ"מ מא א) בחצי עבד דע"י קידושין אמרי' אתי צד עבדות ומשתמש באשת איש (ע' לקמן מה:). (וע' קובה"ע מב יב).</w:t>
      </w:r>
    </w:p>
  </w:footnote>
  <w:footnote w:id="1430">
    <w:p w14:paraId="2739682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ערול"נ</w:t>
      </w:r>
      <w:r w:rsidRPr="009F36E0">
        <w:rPr>
          <w:rFonts w:ascii="Narkisim" w:hAnsi="Narkisim"/>
          <w:rtl/>
        </w:rPr>
        <w:t xml:space="preserve"> דן דיש איסור פנויה.</w:t>
      </w:r>
    </w:p>
  </w:footnote>
  <w:footnote w:id="1431">
    <w:p w14:paraId="605D741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מקנה</w:t>
      </w:r>
      <w:r w:rsidRPr="009F36E0">
        <w:rPr>
          <w:rFonts w:ascii="Narkisim" w:hAnsi="Narkisim"/>
          <w:rtl/>
        </w:rPr>
        <w:t xml:space="preserve"> (קידושין שם) הק' דהמקדש א' מב' אחיות, נאסרת מחמת קידושין דחברתה. אבל קידושין דידה מסורין לביאה. ומשמע דכוונתו דאיירי שקידש שניהם כא', והוה מעשה קידושין א'.</w:t>
      </w:r>
    </w:p>
  </w:footnote>
  <w:footnote w:id="1432">
    <w:p w14:paraId="7C3B5A9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אפי' כשאינן מסורים לביאה בודאי. אבל דעת ה</w:t>
      </w:r>
      <w:r w:rsidRPr="009F36E0">
        <w:rPr>
          <w:rFonts w:ascii="Narkisim" w:hAnsi="Narkisim"/>
          <w:b/>
          <w:bCs/>
          <w:rtl/>
        </w:rPr>
        <w:t>רשב"א</w:t>
      </w:r>
      <w:r w:rsidRPr="009F36E0">
        <w:rPr>
          <w:rFonts w:ascii="Narkisim" w:hAnsi="Narkisim"/>
          <w:rtl/>
        </w:rPr>
        <w:t xml:space="preserve"> (קידושין שם) דמח' אביי ורבא באינן מסורים מחמת ספק, אבל לא מחמת ודאי. [וע' מש"כ בזה בקובה"ע מב].</w:t>
      </w:r>
    </w:p>
  </w:footnote>
  <w:footnote w:id="1433">
    <w:p w14:paraId="0C10251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ובחי' </w:t>
      </w:r>
      <w:r w:rsidRPr="009F36E0">
        <w:rPr>
          <w:rFonts w:ascii="Narkisim" w:hAnsi="Narkisim"/>
          <w:b/>
          <w:bCs/>
          <w:rtl/>
        </w:rPr>
        <w:t>בכור שור</w:t>
      </w:r>
      <w:r w:rsidRPr="009F36E0">
        <w:rPr>
          <w:rFonts w:ascii="Narkisim" w:hAnsi="Narkisim"/>
          <w:rtl/>
        </w:rPr>
        <w:t xml:space="preserve"> (וציינו בגהש"ס שם) הק' דבגמ' (נזיר נז:) דייקינן איפכא, דלשון ואיני יודע משמע שלא נודע מעולם, דאל"כ נימא שכחתי.</w:t>
      </w:r>
    </w:p>
  </w:footnote>
  <w:footnote w:id="1434">
    <w:p w14:paraId="626B6DC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בית מאיר</w:t>
      </w:r>
      <w:r w:rsidRPr="009F36E0">
        <w:rPr>
          <w:rFonts w:ascii="Narkisim" w:hAnsi="Narkisim"/>
          <w:rtl/>
        </w:rPr>
        <w:t xml:space="preserve"> (צלעות הבית ב) כת' דאילו הוה ספק מתחילתו, א"כ הוה חליצה פסולה ובעי חיזור. [ואסורה לאחיו].</w:t>
      </w:r>
    </w:p>
  </w:footnote>
  <w:footnote w:id="1435">
    <w:p w14:paraId="4E5F01E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ורש"י סיים ואמאי מהדרינן לייבם, משמע דקו' הגמ' אף לכתחילה. דמשמע במשנה דעדיף לייבם.</w:t>
      </w:r>
    </w:p>
  </w:footnote>
  <w:footnote w:id="1436">
    <w:p w14:paraId="2DD98F0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ומדברי רש"י משמע דקו' הגמ' מתרוייהו.</w:t>
      </w:r>
    </w:p>
  </w:footnote>
  <w:footnote w:id="1437">
    <w:p w14:paraId="0E50E6A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[דאילו התי' משום קנס, א”כ עיקר התי' חסר מהספר. דהו"ל דלא ראו לקנוס כיון דאיתרמי].</w:t>
      </w:r>
    </w:p>
  </w:footnote>
  <w:footnote w:id="1438">
    <w:p w14:paraId="50AD1F6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שיע' ר' דוד</w:t>
      </w:r>
      <w:r w:rsidRPr="009F36E0">
        <w:rPr>
          <w:rFonts w:ascii="Narkisim" w:hAnsi="Narkisim"/>
          <w:rtl/>
        </w:rPr>
        <w:t xml:space="preserve"> ביאר דבסוגיין דין נאסרה הוה מחמת שעבר על דברי חכמים שאמרו לו לא לכנוס, ולכן ס"ד דמקשן דאפי' בספיקות יש נאסרה, דהרי עבר [וכעין הא דחייבי לאו ועשה מדאורייתא בעלו ל”ק]. ובזה התי' דכיון דאמרו כן מחמת ספק, ואימור דידיה איתרמי.</w:t>
      </w:r>
    </w:p>
  </w:footnote>
  <w:footnote w:id="1439">
    <w:p w14:paraId="1C99CB7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[ודעת ה</w:t>
      </w:r>
      <w:r w:rsidRPr="009F36E0">
        <w:rPr>
          <w:rFonts w:ascii="Narkisim" w:hAnsi="Narkisim"/>
          <w:b/>
          <w:bCs/>
          <w:rtl/>
        </w:rPr>
        <w:t>ש"ך</w:t>
      </w:r>
      <w:r w:rsidRPr="009F36E0">
        <w:rPr>
          <w:rFonts w:ascii="Narkisim" w:hAnsi="Narkisim"/>
          <w:rtl/>
        </w:rPr>
        <w:t xml:space="preserve"> (הנ"ל) דספק לחומרא. וה</w:t>
      </w:r>
      <w:r w:rsidRPr="009F36E0">
        <w:rPr>
          <w:rFonts w:ascii="Narkisim" w:hAnsi="Narkisim"/>
          <w:b/>
          <w:bCs/>
          <w:rtl/>
        </w:rPr>
        <w:t>פר"ח</w:t>
      </w:r>
      <w:r w:rsidRPr="009F36E0">
        <w:rPr>
          <w:rFonts w:ascii="Narkisim" w:hAnsi="Narkisim"/>
          <w:rtl/>
        </w:rPr>
        <w:t xml:space="preserve"> (שם טו) פליג]. וה</w:t>
      </w:r>
      <w:r w:rsidRPr="009F36E0">
        <w:rPr>
          <w:rFonts w:ascii="Narkisim" w:hAnsi="Narkisim"/>
          <w:b/>
          <w:bCs/>
          <w:rtl/>
        </w:rPr>
        <w:t>ריטב"א</w:t>
      </w:r>
      <w:r w:rsidRPr="009F36E0">
        <w:rPr>
          <w:rFonts w:ascii="Narkisim" w:hAnsi="Narkisim"/>
          <w:rtl/>
        </w:rPr>
        <w:t xml:space="preserve"> (כג:) נקט בפשיטות דשייך בסוגיין ספק דרבנן לקולא, ולא חילק בזה.</w:t>
      </w:r>
    </w:p>
  </w:footnote>
  <w:footnote w:id="1440">
    <w:p w14:paraId="531F7E6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ועוד יל"ד דהכא אינו עומד ב' חתיכות לפני אדם א'. וצ"ע.</w:t>
      </w:r>
    </w:p>
  </w:footnote>
  <w:footnote w:id="1441">
    <w:p w14:paraId="7A411E0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והרמב"ן הביא עוד (לקמן צח:) דנתערבו ולדות, והוה ספק חלוצה לכהן, דאמרי' בכהנם חולצין ולא מיבמין.</w:t>
      </w:r>
    </w:p>
  </w:footnote>
  <w:footnote w:id="1442">
    <w:p w14:paraId="2F296F2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בית מאיר</w:t>
      </w:r>
      <w:r w:rsidRPr="009F36E0">
        <w:rPr>
          <w:rFonts w:ascii="Narkisim" w:hAnsi="Narkisim"/>
          <w:rtl/>
        </w:rPr>
        <w:t xml:space="preserve"> (צלעות הבית ב) הביא דמשמע דהרמב"ן השוה דין אחות זקוקתו לדין חלוצה לכהן. ודלא כ</w:t>
      </w:r>
      <w:r w:rsidRPr="009F36E0">
        <w:rPr>
          <w:rFonts w:ascii="Narkisim" w:hAnsi="Narkisim"/>
          <w:b/>
          <w:bCs/>
          <w:rtl/>
        </w:rPr>
        <w:t>ריטב"א</w:t>
      </w:r>
      <w:r w:rsidRPr="009F36E0">
        <w:rPr>
          <w:rFonts w:ascii="Narkisim" w:hAnsi="Narkisim"/>
          <w:rtl/>
        </w:rPr>
        <w:t xml:space="preserve"> (כג:) דחמיר ואף קדם וכנס יוציא.</w:t>
      </w:r>
    </w:p>
  </w:footnote>
  <w:footnote w:id="1443">
    <w:p w14:paraId="639ABE3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וכתב (שם בתוך דבריו) דחליצה מינא דגט, ואפי' ריח הגט פוסל לכהונה. [משמע דספק נחשב ריח הגט. א"נ כיון דצריך חליצה מספק, דין חליצה זו לא גרע מריח הגט].</w:t>
      </w:r>
    </w:p>
  </w:footnote>
  <w:footnote w:id="1444">
    <w:p w14:paraId="4280AFB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יל"ד האם כוונתו בכל יבום, דאם אינו הגון חולצת. אבל משמע דהוה סברא בקדימת גדול.</w:t>
      </w:r>
    </w:p>
  </w:footnote>
  <w:footnote w:id="1445">
    <w:p w14:paraId="5DE1772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ועוד הביא (שם, ודברים כה ו) דגבי בועז כתיב (רות ד י) וגם את רות המואביה אשת מחלון קניתי לי לאשה להקים שם המת על נחלתו ולא יכרת שם המת מעם אחיו ומשער מקומו. וקראו לבן 'עובד', ולא מחלון.</w:t>
      </w:r>
    </w:p>
  </w:footnote>
  <w:footnote w:id="1446">
    <w:p w14:paraId="2DA559E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(עה"ת שם) כתב דידעו חכמים קדמונים דיש תועלת גדולה ביבום האח [ושאר קרובים], ונהגו כן לפני צווי התורה.</w:t>
      </w:r>
    </w:p>
  </w:footnote>
  <w:footnote w:id="1447">
    <w:p w14:paraId="3B75DB7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א"כ אשת אחיו שלא היה מעולמו וכו'. וה</w:t>
      </w:r>
      <w:r w:rsidRPr="009F36E0">
        <w:rPr>
          <w:rFonts w:ascii="Narkisim" w:hAnsi="Narkisim"/>
          <w:b/>
          <w:bCs/>
          <w:rtl/>
        </w:rPr>
        <w:t>ערול"נ</w:t>
      </w:r>
      <w:r w:rsidRPr="009F36E0">
        <w:rPr>
          <w:rFonts w:ascii="Narkisim" w:hAnsi="Narkisim"/>
          <w:rtl/>
        </w:rPr>
        <w:t xml:space="preserve"> הקשה למש"כ ה</w:t>
      </w:r>
      <w:r w:rsidRPr="009F36E0">
        <w:rPr>
          <w:rFonts w:ascii="Narkisim" w:hAnsi="Narkisim"/>
          <w:b/>
          <w:bCs/>
          <w:rtl/>
        </w:rPr>
        <w:t>שלט"ג</w:t>
      </w:r>
      <w:r w:rsidRPr="009F36E0">
        <w:rPr>
          <w:rFonts w:ascii="Narkisim" w:hAnsi="Narkisim"/>
          <w:rtl/>
        </w:rPr>
        <w:t xml:space="preserve"> (לקמן סא: יט:, הובא לעיל כג.) דהבא אחר הממזר הוה בכור, א"כ משכחת לה דהגדול ממזר. עי”ש. [וי"ל לתי' הראשונים (יז:) דלא הוה דרכי נועם אא"כ יש אחים נוספים].</w:t>
      </w:r>
    </w:p>
  </w:footnote>
  <w:footnote w:id="1448">
    <w:p w14:paraId="3372209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ערול"נ</w:t>
      </w:r>
      <w:r w:rsidRPr="009F36E0">
        <w:rPr>
          <w:rFonts w:ascii="Narkisim" w:hAnsi="Narkisim"/>
          <w:rtl/>
        </w:rPr>
        <w:t xml:space="preserve"> (בע"ב) כתב נפק"מ כשהקטן נולד באדר ב', והגדול באדר א' [בתאומים, או מב' נשים], דבשנת י"ג נעשה גדול מתחילת אדר. [והקשה בזה בע"ב דבעינן ללשון 'בכור' בקרא, ול"מ לשון גדול. וציינו למש”כ בשו”ת בנין ציון קנ].</w:t>
      </w:r>
    </w:p>
  </w:footnote>
  <w:footnote w:id="1449">
    <w:p w14:paraId="3C58A34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ובפשוטו הנידון האם יש מצוה בשני, או רק לבכור. אבל ה</w:t>
      </w:r>
      <w:r w:rsidRPr="009F36E0">
        <w:rPr>
          <w:rFonts w:ascii="Narkisim" w:hAnsi="Narkisim"/>
          <w:b/>
          <w:bCs/>
          <w:rtl/>
        </w:rPr>
        <w:t>תוס' רא"ש</w:t>
      </w:r>
      <w:r w:rsidRPr="009F36E0">
        <w:rPr>
          <w:rFonts w:ascii="Narkisim" w:hAnsi="Narkisim"/>
          <w:rtl/>
        </w:rPr>
        <w:t xml:space="preserve"> כת' דהנידון 'מצות חיזור', האם כשנסתלק עיקר החיוב הדין בגדול</w:t>
      </w:r>
      <w:r w:rsidRPr="009F36E0">
        <w:rPr>
          <w:rFonts w:ascii="Narkisim" w:hAnsi="Narkisim"/>
          <w:sz w:val="24"/>
          <w:szCs w:val="24"/>
          <w:rtl/>
        </w:rPr>
        <w:t>.</w:t>
      </w:r>
    </w:p>
  </w:footnote>
  <w:footnote w:id="1450">
    <w:p w14:paraId="2F7BFE7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w:t>
      </w:r>
      <w:r w:rsidRPr="009F36E0">
        <w:rPr>
          <w:rFonts w:ascii="Narkisim" w:hAnsi="Narkisim"/>
          <w:b/>
          <w:bCs/>
          <w:rtl/>
        </w:rPr>
        <w:t>רש"י</w:t>
      </w:r>
      <w:r w:rsidRPr="009F36E0">
        <w:rPr>
          <w:rFonts w:ascii="Narkisim" w:hAnsi="Narkisim"/>
          <w:rtl/>
        </w:rPr>
        <w:t xml:space="preserve"> הקשה ע"ז א"כ אמאי לא הביאו מהמשנה.</w:t>
      </w:r>
    </w:p>
  </w:footnote>
  <w:footnote w:id="1451">
    <w:p w14:paraId="42DE96E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ובמקום שהמת היה בכור לכאורה יטול ג' חלקים, חלק בכורה וחלק פשיטות של המת וחלק דידיה.</w:t>
      </w:r>
    </w:p>
  </w:footnote>
  <w:footnote w:id="1452">
    <w:p w14:paraId="70506DD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ויש שפי' לדעת רש"י דשאני יבם שהוא יורש יחיד מהמת, וממילא הכל שלו, גם מה שראוי לבוא לאחר זמן.</w:t>
      </w:r>
    </w:p>
  </w:footnote>
  <w:footnote w:id="1453">
    <w:p w14:paraId="5893B5D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משמע ב</w:t>
      </w:r>
      <w:r w:rsidRPr="009F36E0">
        <w:rPr>
          <w:rFonts w:ascii="Narkisim" w:hAnsi="Narkisim"/>
          <w:b/>
          <w:bCs/>
          <w:rtl/>
        </w:rPr>
        <w:t>ריטב"א</w:t>
      </w:r>
      <w:r w:rsidRPr="009F36E0">
        <w:rPr>
          <w:rFonts w:ascii="Narkisim" w:hAnsi="Narkisim"/>
          <w:rtl/>
        </w:rPr>
        <w:t xml:space="preserve"> (ב"ב שם) דכבר מת האב, אלא שעדיין לא חילקו. אבל </w:t>
      </w:r>
      <w:r w:rsidRPr="009F36E0">
        <w:rPr>
          <w:rFonts w:ascii="Narkisim" w:hAnsi="Narkisim"/>
          <w:b/>
          <w:bCs/>
          <w:rtl/>
        </w:rPr>
        <w:t>רגמ"ה</w:t>
      </w:r>
      <w:r w:rsidRPr="009F36E0">
        <w:rPr>
          <w:rFonts w:ascii="Narkisim" w:hAnsi="Narkisim"/>
          <w:rtl/>
        </w:rPr>
        <w:t xml:space="preserve"> (עה"ג ב"ב שם) פי' שמת אחיו בחיי אביהם וייבם זה, ושוב מת אביהן [וכדעת רש”י].</w:t>
      </w:r>
    </w:p>
  </w:footnote>
  <w:footnote w:id="1454">
    <w:p w14:paraId="35B3CB0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אחרונים </w:t>
      </w:r>
      <w:r w:rsidRPr="009F36E0">
        <w:rPr>
          <w:rFonts w:ascii="Narkisim" w:hAnsi="Narkisim"/>
          <w:rtl/>
        </w:rPr>
        <w:t>הקשו אמאי תלי בשעת חלוקה [שיטול חלק יחד, כבכור], הא בשעת מיתה זכו בחלקים, והוה ב' אחים שנשתתפו.</w:t>
      </w:r>
    </w:p>
  </w:footnote>
  <w:footnote w:id="1455">
    <w:p w14:paraId="4D7FAD4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ועד”ז כת' ה</w:t>
      </w:r>
      <w:r w:rsidRPr="009F36E0">
        <w:rPr>
          <w:rFonts w:ascii="Narkisim" w:hAnsi="Narkisim"/>
          <w:b/>
          <w:bCs/>
          <w:rtl/>
        </w:rPr>
        <w:t>מהר”ם</w:t>
      </w:r>
      <w:r w:rsidRPr="009F36E0">
        <w:rPr>
          <w:rFonts w:ascii="Narkisim" w:hAnsi="Narkisim"/>
          <w:rtl/>
        </w:rPr>
        <w:t xml:space="preserve"> (בתוס' בסמוך) דאף את"ל כשמתחלה לא נתגיירה לש"ש [אלא בשביל אותו האיש הנטען], מ"מ בסופה כשנשאת לאחר ואינה חוזרת לסורה, השתא היא מתגיירת לש"ש. [וציין למש"כ בתוד"ה לא דהלל היה בטוח שסופו לעשות לשם שמים. וצ"ב כוונתו דא"כ הוה מכאן ולהבא, והא בעינן קבלת מצוות בפני בי"ד (ע' לקמן מו:). ולכאורה צ"ל דמהני למפרע. וצ"ב.</w:t>
      </w:r>
    </w:p>
  </w:footnote>
  <w:footnote w:id="1456">
    <w:p w14:paraId="3627FE7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במקום ספק תליא בגדרי ספק אומדנא.</w:t>
      </w:r>
    </w:p>
  </w:footnote>
  <w:footnote w:id="1457">
    <w:p w14:paraId="375A34D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וכעין יסוד זה כת' ב</w:t>
      </w:r>
      <w:r w:rsidRPr="009F36E0">
        <w:rPr>
          <w:rFonts w:ascii="Narkisim" w:hAnsi="Narkisim"/>
          <w:b/>
          <w:bCs/>
          <w:rtl/>
        </w:rPr>
        <w:t>שו"ת רע"א</w:t>
      </w:r>
      <w:r w:rsidRPr="009F36E0">
        <w:rPr>
          <w:rFonts w:ascii="Narkisim" w:hAnsi="Narkisim"/>
          <w:rtl/>
        </w:rPr>
        <w:t xml:space="preserve"> (ק' כג) לענין ביטול חמץ.</w:t>
      </w:r>
    </w:p>
  </w:footnote>
  <w:footnote w:id="1458">
    <w:p w14:paraId="1AA9B72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חזו"א</w:t>
      </w:r>
      <w:r w:rsidRPr="009F36E0">
        <w:rPr>
          <w:rFonts w:ascii="Narkisim" w:hAnsi="Narkisim"/>
          <w:rtl/>
        </w:rPr>
        <w:t xml:space="preserve"> (יו"ד קיט ב) כתב דענין גירות אינו אלא להאמין ביסודו שצווה ד' חוקים ומשפטים וכו'. אבל אם אינו מאמין בכל זה, אלא מקבל עליו להתנהג ע"פ חוקי התורה מפני שהנהגה זו מטיבה לו ומצלת אותו, אין זה קבלת גרות. [ועי"ש].</w:t>
      </w:r>
    </w:p>
  </w:footnote>
  <w:footnote w:id="1459">
    <w:p w14:paraId="7BE442F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שיודעים שאם לא יקבלו המצוות, לא ישאנה ולא יקבלו שולחן מלכים.</w:t>
      </w:r>
    </w:p>
  </w:footnote>
  <w:footnote w:id="1460">
    <w:p w14:paraId="7EE9B18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ועוד דן ה</w:t>
      </w:r>
      <w:r w:rsidRPr="009F36E0">
        <w:rPr>
          <w:rFonts w:ascii="Narkisim" w:hAnsi="Narkisim"/>
          <w:b/>
          <w:bCs/>
          <w:rtl/>
        </w:rPr>
        <w:t>אחיעזר</w:t>
      </w:r>
      <w:r w:rsidRPr="009F36E0">
        <w:rPr>
          <w:rFonts w:ascii="Narkisim" w:hAnsi="Narkisim"/>
          <w:rtl/>
        </w:rPr>
        <w:t xml:space="preserve"> דהנטען שנתגייר לשום אישות, א”כ לא קיבל על עצמו כל המצוות, דאמר חוץ מאיסור דרבנן זה. אבל הביא מדברי </w:t>
      </w:r>
      <w:r w:rsidRPr="009F36E0">
        <w:rPr>
          <w:rFonts w:ascii="Narkisim" w:hAnsi="Narkisim"/>
          <w:b/>
          <w:bCs/>
          <w:rtl/>
        </w:rPr>
        <w:t>שו"ת הרמב"ם</w:t>
      </w:r>
      <w:r w:rsidRPr="009F36E0">
        <w:rPr>
          <w:rFonts w:ascii="Narkisim" w:hAnsi="Narkisim"/>
          <w:rtl/>
        </w:rPr>
        <w:t xml:space="preserve"> (פאר הדור קלב) דהתירו משום תקנת השבים.</w:t>
      </w:r>
    </w:p>
  </w:footnote>
  <w:footnote w:id="1461">
    <w:p w14:paraId="664B8F7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רמב"ם</w:t>
      </w:r>
      <w:r w:rsidRPr="009F36E0">
        <w:rPr>
          <w:rFonts w:ascii="Narkisim" w:hAnsi="Narkisim"/>
          <w:rtl/>
        </w:rPr>
        <w:t xml:space="preserve"> (טו) הקדים דכל המתגייר לדברי מהבלי העולם אינו מגירי צדק, ולכן לא קבלו גרים בימי שלמה וכו', ואעפ"כ היה מתגיירים בפני הדיוטות וכו'.</w:t>
      </w:r>
    </w:p>
  </w:footnote>
  <w:footnote w:id="1462">
    <w:p w14:paraId="7BCC57F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וביאר הרמב"ם לפיכך קיימו שמשון ושלמה נשותיהן ואע"פ שנגלה סודן. [וכן ציין ה</w:t>
      </w:r>
      <w:r w:rsidRPr="009F36E0">
        <w:rPr>
          <w:rFonts w:ascii="Narkisim" w:hAnsi="Narkisim"/>
          <w:b/>
          <w:bCs/>
          <w:rtl/>
        </w:rPr>
        <w:t>גר"א</w:t>
      </w:r>
      <w:r w:rsidRPr="009F36E0">
        <w:rPr>
          <w:rFonts w:ascii="Narkisim" w:hAnsi="Narkisim"/>
          <w:rtl/>
        </w:rPr>
        <w:t xml:space="preserve"> (יו"ד רסח כח)]. וה</w:t>
      </w:r>
      <w:r w:rsidRPr="009F36E0">
        <w:rPr>
          <w:rFonts w:ascii="Narkisim" w:hAnsi="Narkisim"/>
          <w:b/>
          <w:bCs/>
          <w:rtl/>
        </w:rPr>
        <w:t>אחרונים</w:t>
      </w:r>
      <w:r w:rsidRPr="009F36E0">
        <w:rPr>
          <w:rFonts w:ascii="Narkisim" w:hAnsi="Narkisim"/>
          <w:rtl/>
        </w:rPr>
        <w:t xml:space="preserve"> הק' דבהמשך דברי הרמב"ם מבואר דהיכא דאחריתם מוכיח, א"כ אינם גרים.</w:t>
      </w:r>
    </w:p>
  </w:footnote>
  <w:footnote w:id="1463">
    <w:p w14:paraId="6958A43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והביאו בשם </w:t>
      </w:r>
      <w:r w:rsidRPr="009F36E0">
        <w:rPr>
          <w:rFonts w:ascii="Narkisim" w:hAnsi="Narkisim"/>
          <w:b/>
          <w:bCs/>
          <w:rtl/>
        </w:rPr>
        <w:t>רש"י</w:t>
      </w:r>
      <w:r w:rsidRPr="009F36E0">
        <w:rPr>
          <w:rFonts w:ascii="Narkisim" w:hAnsi="Narkisim"/>
          <w:rtl/>
        </w:rPr>
        <w:t xml:space="preserve"> (לקמן כו.) דברננה בעלמא לא מפקי'. [ונקטו דקאי אף בנטען].</w:t>
      </w:r>
    </w:p>
  </w:footnote>
  <w:footnote w:id="1464">
    <w:p w14:paraId="08A065B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ועד"ז הק' </w:t>
      </w:r>
      <w:r w:rsidRPr="009F36E0">
        <w:rPr>
          <w:rFonts w:ascii="Narkisim" w:hAnsi="Narkisim"/>
          <w:b/>
          <w:bCs/>
          <w:rtl/>
        </w:rPr>
        <w:t>רע"א</w:t>
      </w:r>
      <w:r w:rsidRPr="009F36E0">
        <w:rPr>
          <w:rFonts w:ascii="Narkisim" w:hAnsi="Narkisim"/>
          <w:rtl/>
        </w:rPr>
        <w:t xml:space="preserve"> ע"ד </w:t>
      </w:r>
      <w:r w:rsidRPr="009F36E0">
        <w:rPr>
          <w:rFonts w:ascii="Narkisim" w:hAnsi="Narkisim"/>
          <w:b/>
          <w:bCs/>
          <w:rtl/>
        </w:rPr>
        <w:t>תוס</w:t>
      </w:r>
      <w:r w:rsidRPr="009F36E0">
        <w:rPr>
          <w:rFonts w:ascii="Narkisim" w:hAnsi="Narkisim"/>
          <w:rtl/>
        </w:rPr>
        <w:t>' (ד"ה אי הכי) דס"ד לפרש את המשנה דלא יכנוס משום דלא הוה גירות גמורה, והניחא גיורת, אבל שפחה שנתגיירה מאי איכא למימר. וצ"ע.</w:t>
      </w:r>
    </w:p>
  </w:footnote>
  <w:footnote w:id="1465">
    <w:p w14:paraId="0C69E20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אך דייק מדברי ה</w:t>
      </w:r>
      <w:r w:rsidRPr="009F36E0">
        <w:rPr>
          <w:rFonts w:ascii="Narkisim" w:hAnsi="Narkisim"/>
          <w:b/>
          <w:bCs/>
          <w:rtl/>
        </w:rPr>
        <w:t>תוס</w:t>
      </w:r>
      <w:r w:rsidRPr="009F36E0">
        <w:rPr>
          <w:rFonts w:ascii="Narkisim" w:hAnsi="Narkisim"/>
          <w:rtl/>
        </w:rPr>
        <w:t>' (כתובות לה:) דמה ששותה בעציצו [ואינו רשאי לגרש], דנחשב גדר 'קנס'. [וה</w:t>
      </w:r>
      <w:r w:rsidRPr="009F36E0">
        <w:rPr>
          <w:rFonts w:ascii="Narkisim" w:hAnsi="Narkisim"/>
          <w:b/>
          <w:bCs/>
          <w:rtl/>
        </w:rPr>
        <w:t>אחרונים</w:t>
      </w:r>
      <w:r w:rsidRPr="009F36E0">
        <w:rPr>
          <w:rFonts w:ascii="Narkisim" w:hAnsi="Narkisim"/>
          <w:rtl/>
        </w:rPr>
        <w:t xml:space="preserve"> דנו לדחות דכוונת התוס' באופ”א]. וע"ע </w:t>
      </w:r>
      <w:r w:rsidRPr="009F36E0">
        <w:rPr>
          <w:rFonts w:ascii="Narkisim" w:hAnsi="Narkisim"/>
          <w:b/>
          <w:bCs/>
          <w:rtl/>
        </w:rPr>
        <w:t>אפיק"י</w:t>
      </w:r>
      <w:r w:rsidRPr="009F36E0">
        <w:rPr>
          <w:rFonts w:ascii="Narkisim" w:hAnsi="Narkisim"/>
          <w:rtl/>
        </w:rPr>
        <w:t xml:space="preserve"> (ב מב ב) בחקירה זו. וע' שו"ת </w:t>
      </w:r>
      <w:r w:rsidRPr="009F36E0">
        <w:rPr>
          <w:rFonts w:ascii="Narkisim" w:hAnsi="Narkisim"/>
          <w:b/>
          <w:bCs/>
          <w:rtl/>
        </w:rPr>
        <w:t>רדב"ז</w:t>
      </w:r>
      <w:r w:rsidRPr="009F36E0">
        <w:rPr>
          <w:rFonts w:ascii="Narkisim" w:hAnsi="Narkisim"/>
          <w:rtl/>
        </w:rPr>
        <w:t xml:space="preserve"> (א יט, הו' בפתח"ת קעז ה) שדן דהחיוב לישאנה לא הוה מגדרי קנס [דנימא מודה בקנס פטור], אלא מצווה בפנ”ע.</w:t>
      </w:r>
    </w:p>
  </w:footnote>
  <w:footnote w:id="1466">
    <w:p w14:paraId="5510551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גר"א</w:t>
      </w:r>
      <w:r w:rsidRPr="009F36E0">
        <w:rPr>
          <w:rFonts w:ascii="Narkisim" w:hAnsi="Narkisim"/>
          <w:rtl/>
        </w:rPr>
        <w:t xml:space="preserve"> (קעז יז) כת' ולי ל"נ כן, דבמשנה קאי דוקא על השפחה ונכרית. ודוקא כה"ג חששו ללעז, דלא יאמרו משום כך נתגיירה.</w:t>
      </w:r>
    </w:p>
  </w:footnote>
  <w:footnote w:id="1467">
    <w:p w14:paraId="6E9D68E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ואף דיש מצוות ולו תהיה לאשה אף בנדה, מ"מ בספק הרי הוא מחזיק קול איסור דאורייתא.</w:t>
      </w:r>
    </w:p>
  </w:footnote>
  <w:footnote w:id="1468">
    <w:p w14:paraId="27CEA1C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 וע' לעיל בדברי הרמב"ם. ובחי' </w:t>
      </w:r>
      <w:r w:rsidRPr="009F36E0">
        <w:rPr>
          <w:rFonts w:ascii="Narkisim" w:hAnsi="Narkisim"/>
          <w:b/>
          <w:bCs/>
          <w:rtl/>
        </w:rPr>
        <w:t>ראמ"ה</w:t>
      </w:r>
      <w:r w:rsidRPr="009F36E0">
        <w:rPr>
          <w:rFonts w:ascii="Narkisim" w:hAnsi="Narkisim"/>
          <w:rtl/>
        </w:rPr>
        <w:t xml:space="preserve"> (שבת לא) הביא בשם התוס' דהוה גירות בתנאי [וצ"ע].</w:t>
      </w:r>
    </w:p>
  </w:footnote>
  <w:footnote w:id="1469">
    <w:p w14:paraId="3D209E1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מהרש"א</w:t>
      </w:r>
      <w:r w:rsidRPr="009F36E0">
        <w:rPr>
          <w:rFonts w:ascii="Narkisim" w:hAnsi="Narkisim"/>
          <w:rtl/>
        </w:rPr>
        <w:t xml:space="preserve"> למד מהתם דאין איסור ללמד לעכו”ם הבא להתגייר תורה. (וכ”כ </w:t>
      </w:r>
      <w:r w:rsidRPr="009F36E0">
        <w:rPr>
          <w:rFonts w:ascii="Narkisim" w:hAnsi="Narkisim"/>
          <w:b/>
          <w:bCs/>
          <w:rtl/>
        </w:rPr>
        <w:t>המאירי</w:t>
      </w:r>
      <w:r w:rsidRPr="009F36E0">
        <w:rPr>
          <w:rFonts w:ascii="Narkisim" w:hAnsi="Narkisim"/>
          <w:rtl/>
        </w:rPr>
        <w:t xml:space="preserve"> סנהדרין נט). ו</w:t>
      </w:r>
      <w:r w:rsidRPr="009F36E0">
        <w:rPr>
          <w:rFonts w:ascii="Narkisim" w:hAnsi="Narkisim"/>
          <w:b/>
          <w:bCs/>
          <w:rtl/>
        </w:rPr>
        <w:t>רע”א</w:t>
      </w:r>
      <w:r w:rsidRPr="009F36E0">
        <w:rPr>
          <w:rFonts w:ascii="Narkisim" w:hAnsi="Narkisim"/>
          <w:rtl/>
        </w:rPr>
        <w:t xml:space="preserve"> (שו"ת ק' מא, ובגליון הרמב"ם מלכים י ט) כת' דמדברי תוס' חזינן דלא ניח"ל בתי' זה. וכת' דקצת משמע דאסור ללמדו קודם שיתגייר. וסיים ואין בידי להקל בזה. [וה</w:t>
      </w:r>
      <w:r w:rsidRPr="009F36E0">
        <w:rPr>
          <w:rFonts w:ascii="Narkisim" w:hAnsi="Narkisim"/>
          <w:b/>
          <w:bCs/>
          <w:rtl/>
        </w:rPr>
        <w:t>אגר"מ</w:t>
      </w:r>
      <w:r w:rsidRPr="009F36E0">
        <w:rPr>
          <w:rFonts w:ascii="Narkisim" w:hAnsi="Narkisim"/>
          <w:rtl/>
        </w:rPr>
        <w:t xml:space="preserve"> (יו"ד ג צ) פסק כמהרש"א, עי"ש עוד].</w:t>
      </w:r>
    </w:p>
  </w:footnote>
  <w:footnote w:id="1470">
    <w:p w14:paraId="275CBF0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קרנ"ר</w:t>
      </w:r>
      <w:r w:rsidRPr="009F36E0">
        <w:rPr>
          <w:rFonts w:ascii="Narkisim" w:hAnsi="Narkisim"/>
          <w:rtl/>
        </w:rPr>
        <w:t xml:space="preserve"> (על מהרש"א) תי' דאיירי בעדות מיוחדת, דהעדות בפנ"ע אינו אוסרתו. אלא ע"י צירוף הקול.</w:t>
      </w:r>
    </w:p>
    <w:p w14:paraId="2C1A3D80" w14:textId="77777777" w:rsidR="006074A5" w:rsidRPr="009F36E0" w:rsidRDefault="006074A5" w:rsidP="006074A5">
      <w:pPr>
        <w:pStyle w:val="Footnote"/>
        <w:bidi/>
        <w:rPr>
          <w:rFonts w:ascii="Narkisim" w:hAnsi="Narkisim"/>
        </w:rPr>
      </w:pPr>
      <w:r w:rsidRPr="009F36E0">
        <w:rPr>
          <w:rFonts w:ascii="Narkisim" w:hAnsi="Narkisim"/>
          <w:rtl/>
        </w:rPr>
        <w:tab/>
        <w:t>[אמנם דעת ה</w:t>
      </w:r>
      <w:r w:rsidRPr="009F36E0">
        <w:rPr>
          <w:rFonts w:ascii="Narkisim" w:hAnsi="Narkisim"/>
          <w:b/>
          <w:bCs/>
          <w:rtl/>
        </w:rPr>
        <w:t>מרדכי</w:t>
      </w:r>
      <w:r w:rsidRPr="009F36E0">
        <w:rPr>
          <w:rFonts w:ascii="Narkisim" w:hAnsi="Narkisim"/>
          <w:rtl/>
        </w:rPr>
        <w:t xml:space="preserve"> (וע' תוס' סנהדרין ט:, והו' ברמ"א יא א ובב"י חו"מ ל) דעדות מיוחדת אוסרתה על הבעל. [דלענין זה הוה עדות גמור. אך יש פוסקים דס"ל דאינו מצטרף. וע"ע נוב"י (ק' עב בסתירת ההיתר הג')].</w:t>
      </w:r>
    </w:p>
  </w:footnote>
  <w:footnote w:id="1471">
    <w:p w14:paraId="05B620E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ומבואר בריטב"א דהיכא דנאנסה לא נאסרה על הבועל. וכן מפורש בגמ' (כתובות ט.) בתי' הא'. [וע"ע תוס' לקמן לה.]. אך דעת ה</w:t>
      </w:r>
      <w:r w:rsidRPr="009F36E0">
        <w:rPr>
          <w:rFonts w:ascii="Narkisim" w:hAnsi="Narkisim"/>
          <w:b/>
          <w:bCs/>
          <w:rtl/>
        </w:rPr>
        <w:t>ירושלמי</w:t>
      </w:r>
      <w:r w:rsidRPr="009F36E0">
        <w:rPr>
          <w:rFonts w:ascii="Narkisim" w:hAnsi="Narkisim"/>
          <w:rtl/>
        </w:rPr>
        <w:t xml:space="preserve"> (הו' בתוס' סוטה כז:) דנאסרת לבועל. וכן ה</w:t>
      </w:r>
      <w:r w:rsidRPr="009F36E0">
        <w:rPr>
          <w:rFonts w:ascii="Narkisim" w:hAnsi="Narkisim"/>
          <w:b/>
          <w:bCs/>
          <w:rtl/>
        </w:rPr>
        <w:t>ריטב"א</w:t>
      </w:r>
      <w:r w:rsidRPr="009F36E0">
        <w:rPr>
          <w:rFonts w:ascii="Narkisim" w:hAnsi="Narkisim"/>
          <w:rtl/>
        </w:rPr>
        <w:t xml:space="preserve"> (לקמן צב:) כת' דשומרת יבם שנאנסה אסורה לבועל. [וה</w:t>
      </w:r>
      <w:r w:rsidRPr="009F36E0">
        <w:rPr>
          <w:rFonts w:ascii="Narkisim" w:hAnsi="Narkisim"/>
          <w:b/>
          <w:bCs/>
          <w:rtl/>
        </w:rPr>
        <w:t>בי"ש</w:t>
      </w:r>
      <w:r w:rsidRPr="009F36E0">
        <w:rPr>
          <w:rFonts w:ascii="Narkisim" w:hAnsi="Narkisim"/>
          <w:rtl/>
        </w:rPr>
        <w:t xml:space="preserve"> (יא ג, קנט ט) דן די"ל דכ"ד התי' הב' בגמ' כתובות שם, ונח' בזה ב' הלשונות].</w:t>
      </w:r>
    </w:p>
  </w:footnote>
  <w:footnote w:id="1472">
    <w:p w14:paraId="371A249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ויל"ד מהא דאי' (כתובות ט.) גבי פתח פתוח דהוה ספק אונס ספק רצון. אך </w:t>
      </w:r>
      <w:r w:rsidRPr="009F36E0">
        <w:rPr>
          <w:rFonts w:ascii="Narkisim" w:hAnsi="Narkisim"/>
          <w:b/>
          <w:bCs/>
          <w:rtl/>
        </w:rPr>
        <w:t>תוס</w:t>
      </w:r>
      <w:r w:rsidRPr="009F36E0">
        <w:rPr>
          <w:rFonts w:ascii="Narkisim" w:hAnsi="Narkisim"/>
          <w:rtl/>
        </w:rPr>
        <w:t>' (שם) נקטו דכיון קול לאונס, מש"ה היכא דליכא קול נחשב רוב רצון. ועיל"פ דה"מ כשלא ראו את המעשה כלל. אבל כשראו את המעשה, והנערה אינה צועקת, אין להם לתלות דהוה אונס.</w:t>
      </w:r>
    </w:p>
  </w:footnote>
  <w:footnote w:id="1473">
    <w:p w14:paraId="00FAEF2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[והשאלתות דמפקינן בין מבעל בין מבועל]. ונחלקו הראשונים בכוונת השאלתות, האם בעינן לתרוייהו עדי דבר מכוער וקלא דלא פסיק. (וע"ע בסמוך).</w:t>
      </w:r>
    </w:p>
  </w:footnote>
  <w:footnote w:id="1474">
    <w:p w14:paraId="35B48DE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וכ"ד </w:t>
      </w:r>
      <w:r w:rsidRPr="009F36E0">
        <w:rPr>
          <w:rFonts w:ascii="Narkisim" w:hAnsi="Narkisim"/>
          <w:b/>
          <w:bCs/>
          <w:rtl/>
        </w:rPr>
        <w:t>תוס</w:t>
      </w:r>
      <w:r w:rsidRPr="009F36E0">
        <w:rPr>
          <w:rFonts w:ascii="Narkisim" w:hAnsi="Narkisim"/>
          <w:rtl/>
        </w:rPr>
        <w:t>' (צב. שצוין בגהש"ס) דלא שייך הכא נידון קלא דבתר נישואין, כיון דהספק נתעורר עכשיו. וקלא דבתר נישואין הוא כשיצא קול אחרי שנשאת על מה שהיה קודם.</w:t>
      </w:r>
    </w:p>
  </w:footnote>
  <w:footnote w:id="1475">
    <w:p w14:paraId="6AB459E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רא"ש</w:t>
      </w:r>
      <w:r w:rsidRPr="009F36E0">
        <w:rPr>
          <w:rFonts w:ascii="Narkisim" w:hAnsi="Narkisim"/>
          <w:rtl/>
        </w:rPr>
        <w:t xml:space="preserve"> ומרדכי הביאו ד</w:t>
      </w:r>
      <w:r w:rsidRPr="009F36E0">
        <w:rPr>
          <w:rFonts w:ascii="Narkisim" w:hAnsi="Narkisim"/>
          <w:b/>
          <w:bCs/>
          <w:rtl/>
        </w:rPr>
        <w:t>ר"ת</w:t>
      </w:r>
      <w:r w:rsidRPr="009F36E0">
        <w:rPr>
          <w:rFonts w:ascii="Narkisim" w:hAnsi="Narkisim"/>
          <w:rtl/>
        </w:rPr>
        <w:t xml:space="preserve"> חזר בו, ונקט כדברי השאלתות [וע”פ פי' רבינו מאיר].</w:t>
      </w:r>
    </w:p>
  </w:footnote>
  <w:footnote w:id="1476">
    <w:p w14:paraId="23EA558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ודייקו מזה דאסורה לנטען </w:t>
      </w:r>
      <w:r w:rsidRPr="009F36E0">
        <w:rPr>
          <w:rFonts w:ascii="Narkisim" w:hAnsi="Narkisim"/>
          <w:i/>
          <w:iCs/>
          <w:rtl/>
        </w:rPr>
        <w:t>משום</w:t>
      </w:r>
      <w:r w:rsidRPr="009F36E0">
        <w:rPr>
          <w:rFonts w:ascii="Narkisim" w:hAnsi="Narkisim"/>
          <w:rtl/>
        </w:rPr>
        <w:t xml:space="preserve"> שהבעל הוציאה מחמת הכיעור [שהחמיר על עצמו] [וקנסו כיון דהוציאה מתחת בעלה, או דאיסור הבועל הוה תולדה מאיסור הבעל]. אבל אין כאן ריעותא אף כלפי איסור ונטמאה לבועל. [ע' חזו"א יז ב]. ומיושב בזה דברי ה</w:t>
      </w:r>
      <w:r w:rsidRPr="009F36E0">
        <w:rPr>
          <w:rFonts w:ascii="Narkisim" w:hAnsi="Narkisim"/>
          <w:b/>
          <w:bCs/>
          <w:rtl/>
        </w:rPr>
        <w:t>רמב"ם</w:t>
      </w:r>
      <w:r w:rsidRPr="009F36E0">
        <w:rPr>
          <w:rFonts w:ascii="Narkisim" w:hAnsi="Narkisim"/>
          <w:rtl/>
        </w:rPr>
        <w:t xml:space="preserve"> (איסו"ב יז) דמבואר דמותרת לכהן.</w:t>
      </w:r>
    </w:p>
  </w:footnote>
  <w:footnote w:id="1477">
    <w:p w14:paraId="6FDEF42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וכ"פ ה</w:t>
      </w:r>
      <w:r w:rsidRPr="009F36E0">
        <w:rPr>
          <w:rFonts w:ascii="Narkisim" w:hAnsi="Narkisim"/>
          <w:b/>
          <w:bCs/>
          <w:rtl/>
        </w:rPr>
        <w:t>רמב"ם</w:t>
      </w:r>
      <w:r w:rsidRPr="009F36E0">
        <w:rPr>
          <w:rFonts w:ascii="Narkisim" w:hAnsi="Narkisim"/>
          <w:rtl/>
        </w:rPr>
        <w:t xml:space="preserve"> (אישות כד טו) דבעדי כיעור </w:t>
      </w:r>
      <w:r w:rsidRPr="009F36E0">
        <w:rPr>
          <w:rFonts w:ascii="Narkisim" w:hAnsi="Narkisim"/>
          <w:i/>
          <w:iCs/>
          <w:rtl/>
        </w:rPr>
        <w:t>אם</w:t>
      </w:r>
      <w:r w:rsidRPr="009F36E0">
        <w:rPr>
          <w:rFonts w:ascii="Narkisim" w:hAnsi="Narkisim"/>
          <w:rtl/>
        </w:rPr>
        <w:t xml:space="preserve"> </w:t>
      </w:r>
      <w:r w:rsidRPr="009F36E0">
        <w:rPr>
          <w:rFonts w:ascii="Narkisim" w:hAnsi="Narkisim"/>
          <w:i/>
          <w:iCs/>
          <w:rtl/>
        </w:rPr>
        <w:t>רצה</w:t>
      </w:r>
      <w:r w:rsidRPr="009F36E0">
        <w:rPr>
          <w:rFonts w:ascii="Narkisim" w:hAnsi="Narkisim"/>
          <w:rtl/>
        </w:rPr>
        <w:t xml:space="preserve"> הבעל להוציא, אין כתובה. [אבל ב</w:t>
      </w:r>
      <w:r w:rsidRPr="009F36E0">
        <w:rPr>
          <w:rFonts w:ascii="Narkisim" w:hAnsi="Narkisim"/>
          <w:b/>
          <w:bCs/>
          <w:rtl/>
        </w:rPr>
        <w:t>הג"מ</w:t>
      </w:r>
      <w:r w:rsidRPr="009F36E0">
        <w:rPr>
          <w:rFonts w:ascii="Narkisim" w:hAnsi="Narkisim"/>
          <w:rtl/>
        </w:rPr>
        <w:t xml:space="preserve"> ציין לרש"י (כאן), משמע דנקט דנאסרת עליו].</w:t>
      </w:r>
    </w:p>
  </w:footnote>
  <w:footnote w:id="1478">
    <w:p w14:paraId="57486DA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ועפ"ז ביאר דברי ה</w:t>
      </w:r>
      <w:r w:rsidRPr="009F36E0">
        <w:rPr>
          <w:rFonts w:ascii="Narkisim" w:hAnsi="Narkisim"/>
          <w:b/>
          <w:bCs/>
          <w:rtl/>
        </w:rPr>
        <w:t>ירושלמי</w:t>
      </w:r>
      <w:r w:rsidRPr="009F36E0">
        <w:rPr>
          <w:rFonts w:ascii="Narkisim" w:hAnsi="Narkisim"/>
          <w:rtl/>
        </w:rPr>
        <w:t xml:space="preserve"> (כתובות) דמוגף וכו' הוה סוטה, ופי' דנאסר בבא לצאת יד"ש, ולכן מפסדת כתובתה.</w:t>
      </w:r>
    </w:p>
  </w:footnote>
  <w:footnote w:id="1479">
    <w:p w14:paraId="10A38D9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ולרש"י מוציאין מבעלה, ולתוס' מהנטען.</w:t>
      </w:r>
    </w:p>
  </w:footnote>
  <w:footnote w:id="1480">
    <w:p w14:paraId="6D7B9F3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כתב בדעת רש"י דלאסור לבעל בעינן קול ועדי כיעור, ולאסור לנטען סגי בחדא.</w:t>
      </w:r>
    </w:p>
  </w:footnote>
  <w:footnote w:id="1481">
    <w:p w14:paraId="3A98C8A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והכא אין קינוי, וסתירה לחוד ל"מ. וה</w:t>
      </w:r>
      <w:r w:rsidRPr="009F36E0">
        <w:rPr>
          <w:rFonts w:ascii="Narkisim" w:hAnsi="Narkisim"/>
          <w:b/>
          <w:bCs/>
          <w:rtl/>
        </w:rPr>
        <w:t>ראשונים</w:t>
      </w:r>
      <w:r w:rsidRPr="009F36E0">
        <w:rPr>
          <w:rFonts w:ascii="Narkisim" w:hAnsi="Narkisim"/>
          <w:rtl/>
        </w:rPr>
        <w:t xml:space="preserve"> הוסיפו דאפי' אם מחל על קינויו מהני, והתם נמי אין לך דבר מכוער גדול מזה. [ובדעת רש"י מבואר דדבר מכוער הוה יותר מסתירה].</w:t>
      </w:r>
    </w:p>
  </w:footnote>
  <w:footnote w:id="1482">
    <w:p w14:paraId="1256218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והראשונים כתבו דלא עדיף עדי דבר מכוער מע"א בזנות ממש דאינו נאמן. ודחו הראשונים דאין נאמנות לע”א, אבל כיעור החמירו.</w:t>
      </w:r>
    </w:p>
  </w:footnote>
  <w:footnote w:id="1483">
    <w:p w14:paraId="0D52269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[וצ"ב שהרי הבעל ראה ויודע. ו</w:t>
      </w:r>
      <w:r w:rsidRPr="009F36E0">
        <w:rPr>
          <w:rFonts w:ascii="Narkisim" w:hAnsi="Narkisim"/>
          <w:b/>
          <w:bCs/>
          <w:rtl/>
        </w:rPr>
        <w:t>רע"א</w:t>
      </w:r>
      <w:r w:rsidRPr="009F36E0">
        <w:rPr>
          <w:rFonts w:ascii="Narkisim" w:hAnsi="Narkisim"/>
          <w:rtl/>
        </w:rPr>
        <w:t xml:space="preserve"> (ק' צט) ביאר דכיעור הוה איסור דרבנן, ולא אמרי' בזה שויא אנפשיה. וה</w:t>
      </w:r>
      <w:r w:rsidRPr="009F36E0">
        <w:rPr>
          <w:rFonts w:ascii="Narkisim" w:hAnsi="Narkisim"/>
          <w:b/>
          <w:bCs/>
          <w:rtl/>
        </w:rPr>
        <w:t>בית מאיר</w:t>
      </w:r>
      <w:r w:rsidRPr="009F36E0">
        <w:rPr>
          <w:rFonts w:ascii="Narkisim" w:hAnsi="Narkisim"/>
          <w:rtl/>
        </w:rPr>
        <w:t xml:space="preserve"> (בשו"ת רע"א ק) כתב דלא אסרו כיעור אא"כ יש גם לעז. וע"ע חזו"א יז ג].</w:t>
      </w:r>
    </w:p>
  </w:footnote>
  <w:footnote w:id="1484">
    <w:p w14:paraId="239F5F2D"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 xml:space="preserve">תוס' </w:t>
      </w:r>
      <w:r w:rsidRPr="009F36E0">
        <w:rPr>
          <w:rFonts w:ascii="Narkisim" w:hAnsi="Narkisim"/>
          <w:rtl/>
        </w:rPr>
        <w:t xml:space="preserve">(שם) הביאו בשם </w:t>
      </w:r>
      <w:r w:rsidRPr="009F36E0">
        <w:rPr>
          <w:rFonts w:ascii="Narkisim" w:hAnsi="Narkisim"/>
          <w:b/>
          <w:bCs/>
          <w:rtl/>
        </w:rPr>
        <w:t xml:space="preserve">ר' אליעזר </w:t>
      </w:r>
      <w:r w:rsidRPr="009F36E0">
        <w:rPr>
          <w:rFonts w:ascii="Narkisim" w:hAnsi="Narkisim"/>
          <w:rtl/>
        </w:rPr>
        <w:t>[דאשת כהן שנאנסה] דהאשה אינה מוזהרת באיסור זונה לכהן, והאיסור רק עליו [ותוס' הקשו מלקמן פד:].</w:t>
      </w:r>
    </w:p>
  </w:footnote>
  <w:footnote w:id="1485">
    <w:p w14:paraId="3412FF8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ר"ן </w:t>
      </w:r>
      <w:r w:rsidRPr="009F36E0">
        <w:rPr>
          <w:rFonts w:ascii="Narkisim" w:hAnsi="Narkisim"/>
          <w:rtl/>
        </w:rPr>
        <w:t>(שם) הק' דאין כח לעקור בקום ועשה, אלא להוראת שעה [וכדלקמן צ:]. ותי' די"ל דאפקעינהו חכמים לקידושיו.</w:t>
      </w:r>
    </w:p>
  </w:footnote>
  <w:footnote w:id="1486">
    <w:p w14:paraId="57E221D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(כא טז) ביאר דתוס' פליגי וס"ל דנאמנת על עצמה, וכתולדה מזה אין מאכילים את האדם דבר האסור [ול"ש פלגינן דהדין לפני עוור הוה תולדה מהאיסור, אבל אי משום איסור הבעל אמרי' פלגינן נאמנות]. ובזה ס"ל לר"ן דכיון דבסופו של דבר תאסר עליו, אינה נאמנת [אף על עצמה] מחמת השעבוד.</w:t>
      </w:r>
    </w:p>
  </w:footnote>
  <w:footnote w:id="1487">
    <w:p w14:paraId="1938B3E9"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הוסיף דאי משום טעמים דהתם ודאי סגי לכתחילה שלא יכנוס.</w:t>
      </w:r>
    </w:p>
  </w:footnote>
  <w:footnote w:id="1488">
    <w:p w14:paraId="2F5AA8B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(ספר הזכות) כת' דאף לטעם קלקולא מ"מ כיון דתקנו דלכתחילה לא יכנוס, והודיעוהו דכל המחזיר נקרא רשע, ובני אדם לא יזקקו לו לחופה וצרכי נישואין וחתימת הכתובה. ומש”ה בודאי גמר ומגרש ושוב אין קלקול. [ואף בלא סברת קמו חכמים בקלא דליתא].</w:t>
      </w:r>
    </w:p>
  </w:footnote>
  <w:footnote w:id="1489">
    <w:p w14:paraId="440761B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[וכדאי' לקמן בע"ב, עי"ש תוד"ה לא].</w:t>
      </w:r>
    </w:p>
  </w:footnote>
  <w:footnote w:id="1490">
    <w:p w14:paraId="6A3CEFF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ולפ"ז כשבאו ב' עדים, וא' פסול והאשה אינה יודעת בפסולו ל"מ. וצ"ע.</w:t>
      </w:r>
    </w:p>
  </w:footnote>
  <w:footnote w:id="1491">
    <w:p w14:paraId="3ECEB6F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מבואר בסוגיין דבאר"י יש סברא טפי לסמוך על השטר (ע' בסמוך). וכ"ד רב יוסף בגמ' (גיטין כג:) גבי ה' נשים דנאמנות להביא גט באר"י [ורב יוסף דייק מהמשנה שהכתב מוכיח]. ודעת הברייתא דאין נאמנות להביא מחו"ל דעליה סמכינן.</w:t>
      </w:r>
    </w:p>
    <w:p w14:paraId="1B4CF7B9" w14:textId="77777777" w:rsidR="006074A5" w:rsidRPr="009F36E0" w:rsidRDefault="006074A5" w:rsidP="006074A5">
      <w:pPr>
        <w:pStyle w:val="Footnote"/>
        <w:bidi/>
        <w:rPr>
          <w:rFonts w:ascii="Narkisim" w:hAnsi="Narkisim"/>
        </w:rPr>
      </w:pPr>
      <w:r w:rsidRPr="009F36E0">
        <w:rPr>
          <w:rFonts w:ascii="Narkisim" w:hAnsi="Narkisim"/>
          <w:rtl/>
        </w:rPr>
        <w:tab/>
        <w:t>ואביי (שם) פליג דאדרבה איפכא מסתברא, דבחו"ל נאמנת, דאי אתי בעל ומערער לא משגחינן [ואינה מקלקלה כל כך]. והברייתא איירי באר"י דאי אתי בעל מקלקלא. [ואביי דחק דהמשנה הוה משום הכתב ופה מוכיח].</w:t>
      </w:r>
    </w:p>
    <w:p w14:paraId="72C82236" w14:textId="77777777" w:rsidR="006074A5" w:rsidRPr="009F36E0" w:rsidRDefault="006074A5" w:rsidP="006074A5">
      <w:pPr>
        <w:pStyle w:val="Footnote"/>
        <w:bidi/>
        <w:rPr>
          <w:rFonts w:ascii="Narkisim" w:hAnsi="Narkisim"/>
        </w:rPr>
      </w:pPr>
      <w:r w:rsidRPr="009F36E0">
        <w:rPr>
          <w:rFonts w:ascii="Narkisim" w:hAnsi="Narkisim"/>
          <w:rtl/>
        </w:rPr>
        <w:tab/>
        <w:t>ולכאורה משמע דסוגיין כרב יוסף. אבל ב</w:t>
      </w:r>
      <w:r w:rsidRPr="009F36E0">
        <w:rPr>
          <w:rFonts w:ascii="Narkisim" w:hAnsi="Narkisim"/>
          <w:b/>
          <w:bCs/>
          <w:rtl/>
        </w:rPr>
        <w:t>ראשונים</w:t>
      </w:r>
      <w:r w:rsidRPr="009F36E0">
        <w:rPr>
          <w:rFonts w:ascii="Narkisim" w:hAnsi="Narkisim"/>
          <w:rtl/>
        </w:rPr>
        <w:t xml:space="preserve"> מבואר דלא תלי בהא [ע' תוד"ה הכא]. ה</w:t>
      </w:r>
      <w:r w:rsidRPr="009F36E0">
        <w:rPr>
          <w:rFonts w:ascii="Narkisim" w:hAnsi="Narkisim"/>
          <w:b/>
          <w:bCs/>
          <w:rtl/>
        </w:rPr>
        <w:t>רשב"א</w:t>
      </w:r>
      <w:r w:rsidRPr="009F36E0">
        <w:rPr>
          <w:rFonts w:ascii="Narkisim" w:hAnsi="Narkisim"/>
          <w:rtl/>
        </w:rPr>
        <w:t xml:space="preserve"> (וריטב"א ונמוק"י) חילק דהנך סברות שייכי גבי ה' נשים. אבל בסוגיין ודאי דהיכא דסמכי' עליו והבעל אינו יכול לערער. וע"ע ר"ש איגר ורע"א (שו"ת ק' רכא א, רכב ב).</w:t>
      </w:r>
    </w:p>
  </w:footnote>
  <w:footnote w:id="1492">
    <w:p w14:paraId="02D55FB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 רמב"ן ורשב"א (גיטין שם) גבי ה' נשים היכא דאומרת בפני נכתב].</w:t>
      </w:r>
    </w:p>
  </w:footnote>
  <w:footnote w:id="1493">
    <w:p w14:paraId="4EC4B65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בי"ש</w:t>
      </w:r>
      <w:r w:rsidRPr="009F36E0">
        <w:rPr>
          <w:rFonts w:ascii="Narkisim" w:hAnsi="Narkisim"/>
          <w:rtl/>
        </w:rPr>
        <w:t xml:space="preserve"> (יב ד), וה</w:t>
      </w:r>
      <w:r w:rsidRPr="009F36E0">
        <w:rPr>
          <w:rFonts w:ascii="Narkisim" w:hAnsi="Narkisim"/>
          <w:b/>
          <w:bCs/>
          <w:rtl/>
        </w:rPr>
        <w:t>אבנ"מ</w:t>
      </w:r>
      <w:r w:rsidRPr="009F36E0">
        <w:rPr>
          <w:rFonts w:ascii="Narkisim" w:hAnsi="Narkisim"/>
          <w:rtl/>
        </w:rPr>
        <w:t xml:space="preserve"> הקשה עליו מדברי הרשב"א].</w:t>
      </w:r>
    </w:p>
  </w:footnote>
  <w:footnote w:id="1494">
    <w:p w14:paraId="6B93BB1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דהגמ' (לקמן קטו.) מסתפקת האם ע”א נאמן במלחמה, ותלי בספק הנ"ל דבמילתא דעבידא לאיגלויי לא משקר, או דבמלחמה לא שייך דייקא. וכן הגמ' (לקמן קטז:) מסתפקת במקום קטטה, ותלי בהנ"ל כיון דאיכא קטטה לא דייקא ומינסבא. וכן בגמ' (צג:) יש ספק אי עד א' מהני יבמה, בספק כעי"ז.</w:t>
      </w:r>
    </w:p>
  </w:footnote>
  <w:footnote w:id="1495">
    <w:p w14:paraId="1D7D348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ומשמע ברשב"א דהחשש דמזייף את הגט משום דיצרו תוקפו. אך יש שפי' דאף בסוגיין לא חששו שיזייף את הגט, אלא שמא הוא שליח ולא ראה כתיבת הגט. ומשום יצרו תוקפו משקר שראה כתיבת הגט. ומש"ה א"א לסמוך עליו בעדות זו, והוה כאילו לא אמר בפני נכתב.</w:t>
      </w:r>
    </w:p>
  </w:footnote>
  <w:footnote w:id="1496">
    <w:p w14:paraId="6754EA7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ובפשוטו אשה ועבד נאמנים בעדות עד א' באיסורין [אך נח' בזה הראשונים ואכמ”ל], ועפ"ז אף גזלן דדבריהם. [ולכאו' עד רשע אינו נאמן באיסורין, דחשוד לשקר. אבל ה</w:t>
      </w:r>
      <w:r w:rsidRPr="009F36E0">
        <w:rPr>
          <w:rFonts w:ascii="Narkisim" w:hAnsi="Narkisim"/>
          <w:b/>
          <w:bCs/>
          <w:rtl/>
        </w:rPr>
        <w:t>שו"ע</w:t>
      </w:r>
      <w:r w:rsidRPr="009F36E0">
        <w:rPr>
          <w:rFonts w:ascii="Narkisim" w:hAnsi="Narkisim"/>
          <w:rtl/>
        </w:rPr>
        <w:t xml:space="preserve"> (יו"ד קיט ז, ע"פ שו"ת הרשב"א א תל ותרפז) משמע דאף גזלן כשר לעדות איסורין [בדבר שאינו חשוד עליו]. וצ"ע.</w:t>
      </w:r>
    </w:p>
  </w:footnote>
  <w:footnote w:id="1497">
    <w:p w14:paraId="3FB4E09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וכדאי' (ב"ב קנט.) דהיכא דיצא שטר שחתם עד שלא נעשה חתנו כשר, ולא חיישי' שחתם עכשיו והקדים הזמן. דקרוב פסול לעדות משום גזיה"כ, דאפי' משה ואהרן פסולים. ואילו יצא שטר עד שלא נעשה גזלן פסול, דחיישי' שמשקר וזייפו עכשיו.</w:t>
      </w:r>
    </w:p>
  </w:footnote>
  <w:footnote w:id="1498">
    <w:p w14:paraId="1919655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נמוק"י </w:t>
      </w:r>
      <w:r w:rsidRPr="009F36E0">
        <w:rPr>
          <w:rFonts w:ascii="Narkisim" w:hAnsi="Narkisim"/>
          <w:rtl/>
        </w:rPr>
        <w:t>(כאן) הוסיף דמ"מ יש לדקדק בענין שיחתו שלא יהא מכוון להעיד כלל. שאילו אמר אמרו לאשתו של פלוני שאני ראיתי שמת בעלה לאו מסיח לפי תומו הוא, אלא מתכוון להעיד ולהתיר הוא.</w:t>
      </w:r>
    </w:p>
  </w:footnote>
  <w:footnote w:id="1499">
    <w:p w14:paraId="7E50811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ויש שדנו דהרשב"א נקט דלא פלוג.</w:t>
      </w:r>
    </w:p>
  </w:footnote>
  <w:footnote w:id="1500">
    <w:p w14:paraId="7174E65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רש"ש</w:t>
      </w:r>
      <w:r w:rsidRPr="009F36E0">
        <w:rPr>
          <w:rFonts w:ascii="Narkisim" w:hAnsi="Narkisim"/>
          <w:rtl/>
        </w:rPr>
        <w:t xml:space="preserve"> ו</w:t>
      </w:r>
      <w:r w:rsidRPr="009F36E0">
        <w:rPr>
          <w:rFonts w:ascii="Narkisim" w:hAnsi="Narkisim"/>
          <w:b/>
          <w:bCs/>
          <w:rtl/>
        </w:rPr>
        <w:t>הג' ברוך טעם</w:t>
      </w:r>
      <w:r w:rsidRPr="009F36E0">
        <w:rPr>
          <w:rFonts w:ascii="Narkisim" w:hAnsi="Narkisim"/>
          <w:rtl/>
        </w:rPr>
        <w:t xml:space="preserve"> (לש"ש ז ה, בשם פיה"מ לרמב"ם). [וציינו שכ"כ התומים ר"ס לח].</w:t>
      </w:r>
    </w:p>
  </w:footnote>
  <w:footnote w:id="1501">
    <w:p w14:paraId="2CB6284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נוב"י</w:t>
      </w:r>
      <w:r w:rsidRPr="009F36E0">
        <w:rPr>
          <w:rFonts w:ascii="Narkisim" w:hAnsi="Narkisim"/>
          <w:rtl/>
        </w:rPr>
        <w:t xml:space="preserve"> (ק' עב בסתירת ההיתר הב', הו' בפתח"ת קטו לב) הביא דרב יוסף ס"ל דנפסל לעדות, כיון דל"ש פלגינן מש"ה אמרי' דמתוך שנאמן על אחרים נאמן אף על עצמו. [ועל דרך מש"כ תוס' סנהדרין י. לפרש"י]. ונאמן על עצמו משום מיגו, ועי"ז העדות פסולה משום שהוא רשע. [וכיון דהוה רשע אינו נאמן כלל. ועפ"ז כת' דהיכא דהעדים חזרו בתשובה קודם שהעידו, א”כ נאמנים אף על עצמן במיגו]. וע' מהרשד"ם (יו"ד רנד) שדן עד"ז.</w:t>
      </w:r>
    </w:p>
    <w:p w14:paraId="6333B89B"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פתח"ת</w:t>
      </w:r>
      <w:r w:rsidRPr="009F36E0">
        <w:rPr>
          <w:rFonts w:ascii="Narkisim" w:hAnsi="Narkisim"/>
          <w:rtl/>
        </w:rPr>
        <w:t xml:space="preserve"> (שם בסו"ד) הביא דבס' קהלת יעקב (אלגאזי יז) חלק [על הנוב"י] דלעולם אינו נאמן על עצמו, ולא מסתבר כלל.</w:t>
      </w:r>
    </w:p>
  </w:footnote>
  <w:footnote w:id="1502">
    <w:p w14:paraId="523DEE7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הג' ברוך טעם</w:t>
      </w:r>
      <w:r w:rsidRPr="009F36E0">
        <w:rPr>
          <w:rFonts w:ascii="Narkisim" w:hAnsi="Narkisim"/>
          <w:rtl/>
        </w:rPr>
        <w:t xml:space="preserve"> (לש"ש ז ה) כתב דיל"פ כוונת הגמ' דכמו דהקילו בעד פסול, ה"נ הקילו היכא דמשים עצמו רשע.</w:t>
      </w:r>
    </w:p>
  </w:footnote>
  <w:footnote w:id="1503">
    <w:p w14:paraId="2CF25B7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(כא ד) האריך לדון האם פסול רשע משום חשש משקר או מגזיה"כ. וכתב דבדברי רב יוסף מבואר דהוה פסלות, דאילו הוה סברא דחשש משקר, א"כ ל"ש סברת לדבריך רשע אתה. וביאר דזה כוונת רב יוסף להדגיש התורה אמרה, דפסול מגזיה"כ. [אך בסוגיין הוה חידוש, דאף בעדות אשה שהכשירו קרוב ועבד וכל הפסולים, גזלן פסול מגדרי עדות].</w:t>
      </w:r>
    </w:p>
    <w:p w14:paraId="68ABD751"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אחרונים</w:t>
      </w:r>
      <w:r w:rsidRPr="009F36E0">
        <w:rPr>
          <w:rFonts w:ascii="Narkisim" w:hAnsi="Narkisim"/>
          <w:rtl/>
        </w:rPr>
        <w:t xml:space="preserve"> דנו לצד דהוה חשש משקר בעלמא, היכא דחזר בתשובה אי שייך בזה גדר תחילתו בפסול, ועד"ז דנו תוס' (ב"ב מג.) בנוגעין בעדותם, האם יש חסרון תחילתו בפסול. אך משמע בכ"מ דברשע יש פסול. וע"ע קצות לה ד].</w:t>
      </w:r>
    </w:p>
  </w:footnote>
  <w:footnote w:id="1504">
    <w:p w14:paraId="23703EA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(כא ז,יג) כת' דיסוד זה מוסכם כשיש דבר שיש בו נידון איסורין וממון, שהעד א' נאמן לענין האיסורין, ולא לדין ממון ועונשין התלויים בו [אא"כ הוה תולדה]. [וע' לקמן קיז.]. אבל ה</w:t>
      </w:r>
      <w:r w:rsidRPr="009F36E0">
        <w:rPr>
          <w:rFonts w:ascii="Narkisim" w:hAnsi="Narkisim"/>
          <w:b/>
          <w:bCs/>
          <w:rtl/>
        </w:rPr>
        <w:t xml:space="preserve">ברכ"ש </w:t>
      </w:r>
      <w:r w:rsidRPr="009F36E0">
        <w:rPr>
          <w:rFonts w:ascii="Narkisim" w:hAnsi="Narkisim"/>
          <w:rtl/>
        </w:rPr>
        <w:t>(י) וב</w:t>
      </w:r>
      <w:r w:rsidRPr="009F36E0">
        <w:rPr>
          <w:rFonts w:ascii="Narkisim" w:hAnsi="Narkisim"/>
          <w:b/>
          <w:bCs/>
          <w:rtl/>
        </w:rPr>
        <w:t xml:space="preserve">שיע' ר' לייב גאויע </w:t>
      </w:r>
      <w:r w:rsidRPr="009F36E0">
        <w:rPr>
          <w:rFonts w:ascii="Narkisim" w:hAnsi="Narkisim"/>
          <w:rtl/>
        </w:rPr>
        <w:t>נקטו דכה"ג אי"צ גדר 'פלגינן'.</w:t>
      </w:r>
      <w:r w:rsidRPr="009F36E0">
        <w:rPr>
          <w:rFonts w:ascii="Narkisim" w:hAnsi="Narkisim"/>
          <w:b/>
          <w:bCs/>
          <w:rtl/>
        </w:rPr>
        <w:t xml:space="preserve"> </w:t>
      </w:r>
      <w:r w:rsidRPr="009F36E0">
        <w:rPr>
          <w:rFonts w:ascii="Narkisim" w:hAnsi="Narkisim"/>
          <w:rtl/>
        </w:rPr>
        <w:t>דבכל מקום מקבלים את עדותו למה שהוא עד. ודוקא במקום דהוה עדות אחת, בעינן לגדר פלגינן לחלק את העדות [ואף פלגינן נאמנות תחילתו במה שמחלק את העדות].</w:t>
      </w:r>
    </w:p>
  </w:footnote>
  <w:footnote w:id="1505">
    <w:p w14:paraId="241F782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אך יסוד לחילוק זה מדברי ה</w:t>
      </w:r>
      <w:r w:rsidRPr="009F36E0">
        <w:rPr>
          <w:rFonts w:ascii="Narkisim" w:hAnsi="Narkisim"/>
          <w:b/>
          <w:bCs/>
          <w:rtl/>
        </w:rPr>
        <w:t>רמב"ן</w:t>
      </w:r>
      <w:r w:rsidRPr="009F36E0">
        <w:rPr>
          <w:rFonts w:ascii="Narkisim" w:hAnsi="Narkisim"/>
          <w:rtl/>
        </w:rPr>
        <w:t xml:space="preserve"> (מכות ז.) שחילק דיש פלגינן בגוף המעשה, דאנו דנים דלא כך היה המעשה. ופעמים הפלגינן אינו בגוף המעשה. וה</w:t>
      </w:r>
      <w:r w:rsidRPr="009F36E0">
        <w:rPr>
          <w:rFonts w:ascii="Narkisim" w:hAnsi="Narkisim"/>
          <w:b/>
          <w:bCs/>
          <w:rtl/>
        </w:rPr>
        <w:t xml:space="preserve">שער"י </w:t>
      </w:r>
      <w:r w:rsidRPr="009F36E0">
        <w:rPr>
          <w:rFonts w:ascii="Narkisim" w:hAnsi="Narkisim"/>
          <w:rtl/>
        </w:rPr>
        <w:t>הביא דה</w:t>
      </w:r>
      <w:r w:rsidRPr="009F36E0">
        <w:rPr>
          <w:rFonts w:ascii="Narkisim" w:hAnsi="Narkisim"/>
          <w:b/>
          <w:bCs/>
          <w:rtl/>
        </w:rPr>
        <w:t>רא"ש</w:t>
      </w:r>
      <w:r w:rsidRPr="009F36E0">
        <w:rPr>
          <w:rFonts w:ascii="Narkisim" w:hAnsi="Narkisim"/>
          <w:rtl/>
        </w:rPr>
        <w:t xml:space="preserve"> (ספ"ק דמכות) הביא מ"ד דלא אמרי' פלגינן נאמנות, וכתב דע"כ קאי כרבא. דרבא ל"ל פלגינן נאמנות, אלא פלגינן דיבורא. ופליגי רב יוסף ורבא אי אמרי' פלגינן דיבורא או פלגינן נאמנות.</w:t>
      </w:r>
    </w:p>
  </w:footnote>
  <w:footnote w:id="1506">
    <w:p w14:paraId="6651964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ועד"ז יל"פ בשאר פלגינן נאמנות [כגון עד א' שנאמן לעדות אשה, ואינו נאמן בנחלה. דיש סיבה להאמינו במקצת ומש”ה מחלקים העדות].</w:t>
      </w:r>
    </w:p>
  </w:footnote>
  <w:footnote w:id="1507">
    <w:p w14:paraId="62FF3CB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דה</w:t>
      </w:r>
      <w:r w:rsidRPr="009F36E0">
        <w:rPr>
          <w:rFonts w:ascii="Narkisim" w:hAnsi="Narkisim"/>
          <w:b/>
          <w:bCs/>
          <w:rtl/>
        </w:rPr>
        <w:t>ט"ז</w:t>
      </w:r>
      <w:r w:rsidRPr="009F36E0">
        <w:rPr>
          <w:rFonts w:ascii="Narkisim" w:hAnsi="Narkisim"/>
          <w:rtl/>
        </w:rPr>
        <w:t xml:space="preserve"> (יז ד, ובי"ש וגר"א שם) נקטו דפסול. וה</w:t>
      </w:r>
      <w:r w:rsidRPr="009F36E0">
        <w:rPr>
          <w:rFonts w:ascii="Narkisim" w:hAnsi="Narkisim"/>
          <w:b/>
          <w:bCs/>
          <w:rtl/>
        </w:rPr>
        <w:t>מראות צובאות</w:t>
      </w:r>
      <w:r w:rsidRPr="009F36E0">
        <w:rPr>
          <w:rFonts w:ascii="Narkisim" w:hAnsi="Narkisim"/>
          <w:rtl/>
        </w:rPr>
        <w:t xml:space="preserve"> (שם כח הו' בפתח"ת לח) הביא ד</w:t>
      </w:r>
      <w:r w:rsidRPr="009F36E0">
        <w:rPr>
          <w:rFonts w:ascii="Narkisim" w:hAnsi="Narkisim"/>
          <w:b/>
          <w:bCs/>
          <w:rtl/>
        </w:rPr>
        <w:t>מהר"י ב"ל</w:t>
      </w:r>
      <w:r w:rsidRPr="009F36E0">
        <w:rPr>
          <w:rFonts w:ascii="Narkisim" w:hAnsi="Narkisim"/>
          <w:rtl/>
        </w:rPr>
        <w:t xml:space="preserve"> (ג עה) הכשיר. וה</w:t>
      </w:r>
      <w:r w:rsidRPr="009F36E0">
        <w:rPr>
          <w:rFonts w:ascii="Narkisim" w:hAnsi="Narkisim"/>
          <w:b/>
          <w:bCs/>
          <w:rtl/>
        </w:rPr>
        <w:t>אחרונים</w:t>
      </w:r>
      <w:r w:rsidRPr="009F36E0">
        <w:rPr>
          <w:rFonts w:ascii="Narkisim" w:hAnsi="Narkisim"/>
          <w:rtl/>
        </w:rPr>
        <w:t xml:space="preserve"> הכריעו כדבריו. וה</w:t>
      </w:r>
      <w:r w:rsidRPr="009F36E0">
        <w:rPr>
          <w:rFonts w:ascii="Narkisim" w:hAnsi="Narkisim"/>
          <w:b/>
          <w:bCs/>
          <w:rtl/>
        </w:rPr>
        <w:t>קובה"ע</w:t>
      </w:r>
      <w:r w:rsidRPr="009F36E0">
        <w:rPr>
          <w:rFonts w:ascii="Narkisim" w:hAnsi="Narkisim"/>
          <w:rtl/>
        </w:rPr>
        <w:t xml:space="preserve"> (כא בהשמטה) הביא דב</w:t>
      </w:r>
      <w:r w:rsidRPr="009F36E0">
        <w:rPr>
          <w:rFonts w:ascii="Narkisim" w:hAnsi="Narkisim"/>
          <w:b/>
          <w:bCs/>
          <w:rtl/>
        </w:rPr>
        <w:t>שו"ת זכרון יהודה</w:t>
      </w:r>
      <w:r w:rsidRPr="009F36E0">
        <w:rPr>
          <w:rFonts w:ascii="Narkisim" w:hAnsi="Narkisim"/>
          <w:rtl/>
        </w:rPr>
        <w:t xml:space="preserve"> [לר"י בהרא"ש] פסל, וב</w:t>
      </w:r>
      <w:r w:rsidRPr="009F36E0">
        <w:rPr>
          <w:rFonts w:ascii="Narkisim" w:hAnsi="Narkisim"/>
          <w:b/>
          <w:bCs/>
          <w:rtl/>
        </w:rPr>
        <w:t>מהר"ח או"ז</w:t>
      </w:r>
      <w:r w:rsidRPr="009F36E0">
        <w:rPr>
          <w:rFonts w:ascii="Narkisim" w:hAnsi="Narkisim"/>
          <w:rtl/>
        </w:rPr>
        <w:t xml:space="preserve"> (צא) הכשיר. [ועוד ציינו לדברי הרמ"ה ברא"ש גיטין כג.].</w:t>
      </w:r>
    </w:p>
  </w:footnote>
  <w:footnote w:id="1508">
    <w:p w14:paraId="74CA372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(כב א) ביאר עפ"ז לשון רבא (בע"ב) אדם קרוב אצל עצמו ואין אדם משים עצמו רשע, וצ"ב אמאי הוסיף טעם קורבא. וביאר דרבא לטעמיה דאוכל נבילות להכעיס כשר לעדות, א"כ רשע הוה משום חשש משקר [עי"ש שהאריך בזה, והאחרונים דנו בזה דאף לרבא הוה גדר פסול], א”כ ל”ש בזה לדבריך רשע אתה. ואם אומר שעשה תשובה כל החסרון משום קרוב.</w:t>
      </w:r>
    </w:p>
  </w:footnote>
  <w:footnote w:id="1509">
    <w:p w14:paraId="0CB22C0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מהרש"א</w:t>
      </w:r>
      <w:r w:rsidRPr="009F36E0">
        <w:rPr>
          <w:rFonts w:ascii="Narkisim" w:hAnsi="Narkisim"/>
          <w:rtl/>
        </w:rPr>
        <w:t xml:space="preserve"> (שם) כת' דקו' הגמ' אליבא דר' יהודה.</w:t>
      </w:r>
    </w:p>
  </w:footnote>
  <w:footnote w:id="1510">
    <w:p w14:paraId="2A50F61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תשב"ץ קטן</w:t>
      </w:r>
      <w:r w:rsidRPr="009F36E0">
        <w:rPr>
          <w:rFonts w:ascii="Narkisim" w:hAnsi="Narkisim"/>
          <w:rtl/>
        </w:rPr>
        <w:t xml:space="preserve"> (תקסט) בשם ר' פלטוי [גאון] ראש הישיבה דדוקא שונא שלא דיבר עמו כשר לעדות לרבנן, אבל שונא שצווח בפרהסיא שיזיקו, פסול לעדות ולשבועה.</w:t>
      </w:r>
    </w:p>
  </w:footnote>
  <w:footnote w:id="1511">
    <w:p w14:paraId="7EFEBF5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מהרי"ט</w:t>
      </w:r>
      <w:r w:rsidRPr="009F36E0">
        <w:rPr>
          <w:rFonts w:ascii="Narkisim" w:hAnsi="Narkisim"/>
          <w:rtl/>
        </w:rPr>
        <w:t xml:space="preserve"> (ב חו"מ פ) הביא דאין בזה פסול נוגע בעדותו [ו</w:t>
      </w:r>
      <w:r w:rsidRPr="009F36E0">
        <w:rPr>
          <w:rFonts w:ascii="Narkisim" w:hAnsi="Narkisim"/>
          <w:b/>
          <w:bCs/>
          <w:rtl/>
        </w:rPr>
        <w:t>רש"י</w:t>
      </w:r>
      <w:r w:rsidRPr="009F36E0">
        <w:rPr>
          <w:rFonts w:ascii="Narkisim" w:hAnsi="Narkisim"/>
          <w:rtl/>
        </w:rPr>
        <w:t xml:space="preserve"> (סנהדרין לג:) כת' דלחייב את הרוצח נחשב זכותו של גואל הדם, שקשה בעינו שזה ניצול. ואפ"ה אין לך נגיעה גדולה מזו]. דפסול נוגע בעדותו הוה רק משום נגיעת ממון.</w:t>
      </w:r>
    </w:p>
  </w:footnote>
  <w:footnote w:id="1512">
    <w:p w14:paraId="0DFFD377"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eastAsia="Narkisim" w:hAnsi="Narkisim"/>
          <w:rtl/>
        </w:rPr>
        <w:t>ה</w:t>
      </w:r>
      <w:r w:rsidRPr="009F36E0">
        <w:rPr>
          <w:rFonts w:ascii="Narkisim" w:eastAsia="Narkisim" w:hAnsi="Narkisim"/>
          <w:b/>
          <w:bCs/>
          <w:rtl/>
        </w:rPr>
        <w:t>תומים</w:t>
      </w:r>
      <w:r w:rsidRPr="009F36E0">
        <w:rPr>
          <w:rFonts w:ascii="Narkisim" w:eastAsia="Narkisim" w:hAnsi="Narkisim"/>
          <w:rtl/>
        </w:rPr>
        <w:t xml:space="preserve"> (לג יב) ביאר דטריפה הוה פסול הגוף, דטריפה חשוב כמת. ואינו חשוב שנים עדים. [ועי"ש שהאריך].</w:t>
      </w:r>
    </w:p>
  </w:footnote>
  <w:footnote w:id="1513">
    <w:p w14:paraId="2A6021C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ב</w:t>
      </w:r>
      <w:r w:rsidRPr="009F36E0">
        <w:rPr>
          <w:rFonts w:ascii="Narkisim" w:hAnsi="Narkisim"/>
          <w:b/>
          <w:bCs/>
          <w:rtl/>
        </w:rPr>
        <w:t>גמ'</w:t>
      </w:r>
      <w:r w:rsidRPr="009F36E0">
        <w:rPr>
          <w:rFonts w:ascii="Narkisim" w:hAnsi="Narkisim"/>
          <w:rtl/>
        </w:rPr>
        <w:t xml:space="preserve"> (ב"ב קלד:) הקשו מ"ש דהכא אמרי' פלגינן [ובגרשתי את אשתי לא פלגינן], ומתרץ דבתרי גופא פלגינן.</w:t>
      </w:r>
    </w:p>
  </w:footnote>
  <w:footnote w:id="1514">
    <w:p w14:paraId="44FC5C7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תוס</w:t>
      </w:r>
      <w:r w:rsidRPr="009F36E0">
        <w:rPr>
          <w:rFonts w:ascii="Narkisim" w:hAnsi="Narkisim"/>
          <w:rtl/>
        </w:rPr>
        <w:t xml:space="preserve">' (סנהדרין ט: ד"ה ואין) כת' דאין לומר דנאמן שרבעו, אלא דאמרי' דהוה לאונסו. דא"כ הוה חד גופא. אבל לדברי </w:t>
      </w:r>
      <w:r w:rsidRPr="009F36E0">
        <w:rPr>
          <w:rFonts w:ascii="Narkisim" w:hAnsi="Narkisim"/>
          <w:b/>
          <w:bCs/>
          <w:rtl/>
        </w:rPr>
        <w:t xml:space="preserve">שו"ת הרשב"א </w:t>
      </w:r>
      <w:r w:rsidRPr="009F36E0">
        <w:rPr>
          <w:rFonts w:ascii="Narkisim" w:hAnsi="Narkisim"/>
          <w:rtl/>
        </w:rPr>
        <w:t>(ע' בסמוך) פלגינן לומר דהוה לאונסו [ואפשר דקאי רק למ"ד (ב"ב קלד:) דפלגינן בחד גופא]. [וכן משמע ב</w:t>
      </w:r>
      <w:r w:rsidRPr="009F36E0">
        <w:rPr>
          <w:rFonts w:ascii="Narkisim" w:hAnsi="Narkisim"/>
          <w:b/>
          <w:bCs/>
          <w:rtl/>
        </w:rPr>
        <w:t>תו"י</w:t>
      </w:r>
      <w:r w:rsidRPr="009F36E0">
        <w:rPr>
          <w:rFonts w:ascii="Narkisim" w:hAnsi="Narkisim"/>
          <w:rtl/>
        </w:rPr>
        <w:t xml:space="preserve"> עה"ג].</w:t>
      </w:r>
    </w:p>
  </w:footnote>
  <w:footnote w:id="1515">
    <w:p w14:paraId="2074B35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וצ"ע לפ"ז דאף בפלוני בא על אשתי אמר רבא פלגינן (סנהדרין ט:). ואכמ"ל.</w:t>
      </w:r>
    </w:p>
  </w:footnote>
  <w:footnote w:id="1516">
    <w:p w14:paraId="38104C6C"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נוב"י</w:t>
      </w:r>
      <w:r w:rsidRPr="009F36E0">
        <w:rPr>
          <w:rFonts w:ascii="Narkisim" w:hAnsi="Narkisim"/>
          <w:rtl/>
        </w:rPr>
        <w:t xml:space="preserve"> (אה"ע ק' עב בסתירת ההיתר הב', הו' בפתח"ת קטו לב) כתב דדברי הרשב"א מחודשים, והוכיח מכמה ראשונים דפלגינן אף כשא"א לחלק את דיבורו.</w:t>
      </w:r>
    </w:p>
  </w:footnote>
  <w:footnote w:id="1517">
    <w:p w14:paraId="645099D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(ב"מ ג:) חלק דלא שייך אין אדם משים עצמו רשע אלא גבי עדות, אבל בקרבן הוא יודע שאינו חייב בו. ועוד דכתיב או הודע עליו והרי לא נודע לו, אפי' ע"י אחרים.</w:t>
      </w:r>
    </w:p>
  </w:footnote>
  <w:footnote w:id="1518">
    <w:p w14:paraId="032A6EF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ותי' דנאמן משום דאין לנו לכופו להביא חולין בעזרה.</w:t>
      </w:r>
    </w:p>
  </w:footnote>
  <w:footnote w:id="1519">
    <w:p w14:paraId="0DF0243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 דה</w:t>
      </w:r>
      <w:r w:rsidRPr="009F36E0">
        <w:rPr>
          <w:rFonts w:ascii="Narkisim" w:hAnsi="Narkisim"/>
          <w:b/>
          <w:bCs/>
          <w:rtl/>
        </w:rPr>
        <w:t>הג' אשר"י</w:t>
      </w:r>
      <w:r w:rsidRPr="009F36E0">
        <w:rPr>
          <w:rFonts w:ascii="Narkisim" w:hAnsi="Narkisim"/>
          <w:rtl/>
        </w:rPr>
        <w:t xml:space="preserve"> (ב"ק ט יד, או"ז ב"ק תיג) הביא מח' גבי שליח שטען שקנה לעצמו, האם מהני לפטור עצמו באופן שמשים עצמו רשע בטענותיו. [ולחד מ"ד ל"מ אף בגדר 'טענה']. [וע' רמ"א יו"ד קסט כד].</w:t>
      </w:r>
    </w:p>
    <w:p w14:paraId="50A94E8F"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ראב"ד</w:t>
      </w:r>
      <w:r w:rsidRPr="009F36E0">
        <w:rPr>
          <w:rFonts w:ascii="Narkisim" w:hAnsi="Narkisim"/>
          <w:rtl/>
        </w:rPr>
        <w:t xml:space="preserve"> (כתובות עב.) ו</w:t>
      </w:r>
      <w:r w:rsidRPr="009F36E0">
        <w:rPr>
          <w:rFonts w:ascii="Narkisim" w:hAnsi="Narkisim"/>
          <w:b/>
          <w:bCs/>
          <w:rtl/>
        </w:rPr>
        <w:t>ריטב"א</w:t>
      </w:r>
      <w:r w:rsidRPr="009F36E0">
        <w:rPr>
          <w:rFonts w:ascii="Narkisim" w:hAnsi="Narkisim"/>
          <w:rtl/>
        </w:rPr>
        <w:t xml:space="preserve"> (מכות ג.) דנו האם מהני הודאת בע"ד כק' עדים היכא דמשים עצמו רשע.</w:t>
      </w:r>
    </w:p>
    <w:p w14:paraId="0A379DDE"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ר"ש מקינון</w:t>
      </w:r>
      <w:r w:rsidRPr="009F36E0">
        <w:rPr>
          <w:rFonts w:ascii="Narkisim" w:hAnsi="Narkisim"/>
          <w:rtl/>
        </w:rPr>
        <w:t xml:space="preserve"> (הו' ב</w:t>
      </w:r>
      <w:r w:rsidRPr="009F36E0">
        <w:rPr>
          <w:rFonts w:ascii="Narkisim" w:hAnsi="Narkisim"/>
          <w:b/>
          <w:bCs/>
          <w:rtl/>
        </w:rPr>
        <w:t>ש"ך</w:t>
      </w:r>
      <w:r w:rsidRPr="009F36E0">
        <w:rPr>
          <w:rFonts w:ascii="Narkisim" w:hAnsi="Narkisim"/>
          <w:rtl/>
        </w:rPr>
        <w:t xml:space="preserve"> כללי מיגו כד) כת' דל"מ מיגו במקום שמשים עצמו רשע. (ע' תוס' קידושין נ.).</w:t>
      </w:r>
    </w:p>
    <w:p w14:paraId="12AFFFEE" w14:textId="77777777" w:rsidR="006074A5" w:rsidRPr="009F36E0" w:rsidRDefault="006074A5" w:rsidP="006074A5">
      <w:pPr>
        <w:pStyle w:val="Footnote"/>
        <w:bidi/>
        <w:rPr>
          <w:rFonts w:ascii="Narkisim" w:hAnsi="Narkisim"/>
        </w:rPr>
      </w:pPr>
      <w:r w:rsidRPr="009F36E0">
        <w:rPr>
          <w:rFonts w:ascii="Narkisim" w:hAnsi="Narkisim"/>
          <w:rtl/>
        </w:rPr>
        <w:tab/>
        <w:t>וה</w:t>
      </w:r>
      <w:r w:rsidRPr="009F36E0">
        <w:rPr>
          <w:rFonts w:ascii="Narkisim" w:hAnsi="Narkisim"/>
          <w:b/>
          <w:bCs/>
          <w:rtl/>
        </w:rPr>
        <w:t>ראשונים</w:t>
      </w:r>
      <w:r w:rsidRPr="009F36E0">
        <w:rPr>
          <w:rFonts w:ascii="Narkisim" w:hAnsi="Narkisim"/>
          <w:rtl/>
        </w:rPr>
        <w:t xml:space="preserve"> (תוס' רא"ש קידושין עד., ריטב”א ונמוק"י ב"ב קכז: ועוד) דנו גבי יכיר, דאינו נאמן באופן דמשים עצמו רשע שנשא פסולה. אך דעת ה</w:t>
      </w:r>
      <w:r w:rsidRPr="009F36E0">
        <w:rPr>
          <w:rFonts w:ascii="Narkisim" w:hAnsi="Narkisim"/>
          <w:b/>
          <w:bCs/>
          <w:rtl/>
        </w:rPr>
        <w:t>מאירי</w:t>
      </w:r>
      <w:r w:rsidRPr="009F36E0">
        <w:rPr>
          <w:rFonts w:ascii="Narkisim" w:hAnsi="Narkisim"/>
          <w:rtl/>
        </w:rPr>
        <w:t xml:space="preserve"> (לקמן מז. וכ”מ) שנאמן. [וע"ע פסקי הרי"ד לקמן מז.].</w:t>
      </w:r>
    </w:p>
  </w:footnote>
  <w:footnote w:id="1520">
    <w:p w14:paraId="04F9FC5F"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וצ"ב דאונס ממון ואונס נפשות אינו פרטים באותו מעשה, אלא אונס ממון הוה מעשה מחמת עצמו, ואונס נפשות הוה מעשה בע"כ. וצ"ב האיך שייך בזה פלגינן. [ואפשר דזה כוונת תוס' בתי' הג']. ומשמע דתוס' נקטו דפלגינן שייך בלשון העד [וכדברי שו"ת הרשב"א (אלף רלז הנ"ל)], וכיון דהו חלוקת הלשון אמרי' כה"ג.</w:t>
      </w:r>
    </w:p>
  </w:footnote>
  <w:footnote w:id="1521">
    <w:p w14:paraId="055370C1"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רמב"ן</w:t>
      </w:r>
      <w:r w:rsidRPr="009F36E0">
        <w:rPr>
          <w:rFonts w:ascii="Narkisim" w:hAnsi="Narkisim"/>
          <w:rtl/>
        </w:rPr>
        <w:t xml:space="preserve"> (ב"ב קלד:) דלא מרעינן שטרא בהכי.</w:t>
      </w:r>
    </w:p>
  </w:footnote>
  <w:footnote w:id="1522">
    <w:p w14:paraId="6D193DF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[דהיכא שיש עדות לפנינו מוכרחים אנחנו לקבל דבריו, ומש"ה מוכרחים לחלק דבריו כדי לקבל העדות. אבל עדות כנגד השטר נחשב מוכחש מעיקרא. ואין מקבלים העדות כלל].</w:t>
      </w:r>
    </w:p>
  </w:footnote>
  <w:footnote w:id="1523">
    <w:p w14:paraId="7C6BA3E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ומדברי ה</w:t>
      </w:r>
      <w:r w:rsidRPr="009F36E0">
        <w:rPr>
          <w:rFonts w:ascii="Narkisim" w:eastAsia="Narkisim" w:hAnsi="Narkisim"/>
          <w:b/>
          <w:bCs/>
          <w:rtl/>
        </w:rPr>
        <w:t>שעה"מ</w:t>
      </w:r>
      <w:r w:rsidRPr="009F36E0">
        <w:rPr>
          <w:rFonts w:ascii="Narkisim" w:eastAsia="Narkisim" w:hAnsi="Narkisim"/>
          <w:rtl/>
        </w:rPr>
        <w:t xml:space="preserve"> (אישות ט טו) משמע דתי' התוס' דנאמן מגדרי 'טענה' כדין בעל דבר, דנאמן על עצמו שאינו חייב.</w:t>
      </w:r>
    </w:p>
  </w:footnote>
  <w:footnote w:id="1524">
    <w:p w14:paraId="487C5134"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ויל"ד אי כוונתם משום דחזר בתשובה לחוד. או דעיקר התי' משום דנאמן שלא להביא חולין בעזרה. [וע"ע שיטמ"ק שם].</w:t>
      </w:r>
    </w:p>
  </w:footnote>
  <w:footnote w:id="1525">
    <w:p w14:paraId="644401D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ש"ש</w:t>
      </w:r>
      <w:r w:rsidRPr="009F36E0">
        <w:rPr>
          <w:rFonts w:ascii="Narkisim" w:hAnsi="Narkisim"/>
          <w:rtl/>
        </w:rPr>
        <w:t xml:space="preserve"> (ז ה) הביא מכאן דדוקא היכא דנפסל לעדות א"א משים עצמו רשע [ולכן מהני לעדות אשה]. וב</w:t>
      </w:r>
      <w:r w:rsidRPr="009F36E0">
        <w:rPr>
          <w:rFonts w:ascii="Narkisim" w:hAnsi="Narkisim"/>
          <w:b/>
          <w:bCs/>
          <w:rtl/>
        </w:rPr>
        <w:t>הג' ברוך טעם</w:t>
      </w:r>
      <w:r w:rsidRPr="009F36E0">
        <w:rPr>
          <w:rFonts w:ascii="Narkisim" w:hAnsi="Narkisim"/>
          <w:rtl/>
        </w:rPr>
        <w:t xml:space="preserve"> תמה דמ"מ נפסל לשאר עדויות, ואף דכשר לעדות זו.</w:t>
      </w:r>
    </w:p>
  </w:footnote>
  <w:footnote w:id="1526">
    <w:p w14:paraId="2007A00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ועוה"ק דהרשב"א לא הזכיר שיהא באופן שאפשר לחלק את הדיבור. [והגר"ח תי' הוה מדין פלגינן נאמנות, ול"צ לחלק את הדיבור].</w:t>
      </w:r>
    </w:p>
  </w:footnote>
  <w:footnote w:id="1527">
    <w:p w14:paraId="5F92D6E0"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ורב יוסף ל"ל אף פלגינן נאמנות, כשאין סיבה להתחיל לקבל את דבריו. ולא דמי לעד א' דהוה עד באיסורין ואינו עד כלל לענין נחלה.</w:t>
      </w:r>
    </w:p>
  </w:footnote>
  <w:footnote w:id="1528">
    <w:p w14:paraId="1F4A4145"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[ויל"ד דה"מ בנכרי, ולא בגזלן החשוד].</w:t>
      </w:r>
    </w:p>
  </w:footnote>
  <w:footnote w:id="1529">
    <w:p w14:paraId="7EB6AB23"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תומים</w:t>
      </w:r>
      <w:r w:rsidRPr="009F36E0">
        <w:rPr>
          <w:rFonts w:ascii="Narkisim" w:hAnsi="Narkisim"/>
          <w:rtl/>
        </w:rPr>
        <w:t xml:space="preserve"> (שם לז) דחה דהיכא דיש ב' תו ליכא חשד, ואף הע"א [דיש חשש נוגע] חוזר לכשרותו על ידי השני. וכת' דכ"מ בתוס' (גיטין י:) דדוקא בעדות דאורייתא ל"מ כולו אפומא דחד. אבל בכל מידי דרבנן מהני כה"ג. וה"נ איירי בחששא דרבנן.</w:t>
      </w:r>
    </w:p>
  </w:footnote>
  <w:footnote w:id="1530">
    <w:p w14:paraId="40D04AF6"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ומבואר דבג' לא חיישינן לבעל נפש, וכ"כ ב</w:t>
      </w:r>
      <w:r w:rsidRPr="009F36E0">
        <w:rPr>
          <w:rFonts w:ascii="Narkisim" w:hAnsi="Narkisim"/>
          <w:b/>
          <w:bCs/>
          <w:rtl/>
        </w:rPr>
        <w:t>הג' פרישה</w:t>
      </w:r>
      <w:r w:rsidRPr="009F36E0">
        <w:rPr>
          <w:rFonts w:ascii="Narkisim" w:hAnsi="Narkisim"/>
          <w:rtl/>
        </w:rPr>
        <w:t>. וה</w:t>
      </w:r>
      <w:r w:rsidRPr="009F36E0">
        <w:rPr>
          <w:rFonts w:ascii="Narkisim" w:hAnsi="Narkisim"/>
          <w:b/>
          <w:bCs/>
          <w:rtl/>
        </w:rPr>
        <w:t xml:space="preserve">ט"ז </w:t>
      </w:r>
      <w:r w:rsidRPr="009F36E0">
        <w:rPr>
          <w:rFonts w:ascii="Narkisim" w:hAnsi="Narkisim"/>
          <w:rtl/>
        </w:rPr>
        <w:t>(ב) חלק דאפי' בג' חיישינן לכיעור.</w:t>
      </w:r>
    </w:p>
  </w:footnote>
  <w:footnote w:id="1531">
    <w:p w14:paraId="11D892E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אבנ"מ</w:t>
      </w:r>
      <w:r w:rsidRPr="009F36E0">
        <w:rPr>
          <w:rFonts w:ascii="Narkisim" w:hAnsi="Narkisim"/>
          <w:rtl/>
        </w:rPr>
        <w:t xml:space="preserve"> (יב ב) כת' דרש"י לפנינו כתוב רק חכם ומביא גט. וביאר דס"ל ע"ד סברת הראשונים. ואף המביא גט ס”ל דאם לא אמר ב”נ לאו איסור גמור, ואם נשאת לא תצא [וכדעת הרמב”ם]. [ויל"ד דמ"מ אם הבעל מערער הוה איסור גמור].</w:t>
      </w:r>
    </w:p>
  </w:footnote>
  <w:footnote w:id="1532">
    <w:p w14:paraId="3C88E2CA"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העתיק הנמוק"י (לעיל) אכולהו דברננה לא מפקיעין.</w:t>
      </w:r>
    </w:p>
  </w:footnote>
  <w:footnote w:id="1533">
    <w:p w14:paraId="6A7139A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והפוסקים (שם) הביאו דעת החולקים. וע"ע ט"ז (יב א) שהאריך בזה.</w:t>
      </w:r>
    </w:p>
  </w:footnote>
  <w:footnote w:id="1534">
    <w:p w14:paraId="14BE509B"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הביא דכ"ד</w:t>
      </w:r>
      <w:r w:rsidRPr="009F36E0">
        <w:rPr>
          <w:rFonts w:ascii="Narkisim" w:hAnsi="Narkisim"/>
          <w:b/>
          <w:bCs/>
          <w:rtl/>
        </w:rPr>
        <w:t xml:space="preserve"> רב אחא גאון</w:t>
      </w:r>
      <w:r w:rsidRPr="009F36E0">
        <w:rPr>
          <w:rFonts w:ascii="Narkisim" w:hAnsi="Narkisim"/>
          <w:rtl/>
        </w:rPr>
        <w:t>, והרמב"ן הק' ע"ז, אך ביטל דעתו, שכבר הורו ראשונים ז"ל.</w:t>
      </w:r>
    </w:p>
  </w:footnote>
  <w:footnote w:id="1535">
    <w:p w14:paraId="64270AF8"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וכן דייקו ב</w:t>
      </w:r>
      <w:r w:rsidRPr="009F36E0">
        <w:rPr>
          <w:rFonts w:ascii="Narkisim" w:hAnsi="Narkisim"/>
          <w:b/>
          <w:bCs/>
          <w:rtl/>
        </w:rPr>
        <w:t>תוספתא</w:t>
      </w:r>
      <w:r w:rsidRPr="009F36E0">
        <w:rPr>
          <w:rFonts w:ascii="Narkisim" w:hAnsi="Narkisim"/>
          <w:rtl/>
        </w:rPr>
        <w:t xml:space="preserve"> דאי' בהנך כנס לא יוציא, והשמיט באינך.</w:t>
      </w:r>
    </w:p>
  </w:footnote>
  <w:footnote w:id="1536">
    <w:p w14:paraId="48DCC2EE"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[והביאו מזה הראשונים דלא סגי בהתירוה לינשא וכעין כתובות כג.].</w:t>
      </w:r>
    </w:p>
  </w:footnote>
  <w:footnote w:id="1537">
    <w:p w14:paraId="582F0172" w14:textId="77777777" w:rsidR="006074A5" w:rsidRPr="009F36E0" w:rsidRDefault="006074A5" w:rsidP="006074A5">
      <w:pPr>
        <w:pStyle w:val="Footnote"/>
        <w:bidi/>
        <w:rPr>
          <w:rFonts w:ascii="Narkisim" w:hAnsi="Narkisim"/>
        </w:rPr>
      </w:pPr>
      <w:r w:rsidRPr="009F36E0">
        <w:rPr>
          <w:rStyle w:val="ac"/>
          <w:rFonts w:ascii="Narkisim" w:hAnsi="Narkisim"/>
          <w:rtl/>
        </w:rPr>
        <w:footnoteRef/>
      </w:r>
      <w:r w:rsidRPr="009F36E0">
        <w:rPr>
          <w:rFonts w:ascii="Narkisim" w:hAnsi="Narkisim"/>
          <w:rtl/>
        </w:rPr>
        <w:t>ול"ש לאסור משום סכנה. [וצ"ע לדברי רש"י]. ויש שפי' דמ"מ לאו אורח ארעא לישא באופן שעומד לגירושין. ויש שפי' דהוחזק ג' פעמים שאינה ראויה לאישות, ואם לא יגרש שמא ימות. [אך בסוגיין מבואר דגירושין ומיתה אינו מצטרף].</w:t>
      </w:r>
    </w:p>
  </w:footnote>
  <w:footnote w:id="1538">
    <w:p w14:paraId="34344E5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ולא דמי לשומרת יבם שקידש אחותה, דלדעת רבנן פקע זיקה ומותרת. [ואף דודאי אסור לקדש, מ"מ מהני להפקיע].</w:t>
      </w:r>
    </w:p>
  </w:footnote>
  <w:footnote w:id="1539">
    <w:p w14:paraId="55AE3BF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[ולמ"ד דאמרי' נאסרה, בפשוטו אסורה אף משום נאסרה, וע' לקמן כח.].</w:t>
      </w:r>
    </w:p>
  </w:footnote>
  <w:footnote w:id="1540">
    <w:p w14:paraId="184057B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[ואף ד</w:t>
      </w:r>
      <w:r w:rsidRPr="0041053F">
        <w:rPr>
          <w:rFonts w:ascii="Narkisim" w:hAnsi="Narkisim"/>
          <w:b/>
          <w:bCs/>
          <w:rtl/>
        </w:rPr>
        <w:t>תוס'</w:t>
      </w:r>
      <w:r w:rsidRPr="0041053F">
        <w:rPr>
          <w:rFonts w:ascii="Narkisim" w:hAnsi="Narkisim"/>
          <w:rtl/>
        </w:rPr>
        <w:t xml:space="preserve"> (שם) קאי לרבנן דר' יהודה ב"ב, הא </w:t>
      </w:r>
      <w:r w:rsidRPr="0041053F">
        <w:rPr>
          <w:rFonts w:ascii="Narkisim" w:hAnsi="Narkisim"/>
          <w:b/>
          <w:bCs/>
          <w:rtl/>
        </w:rPr>
        <w:t>תוס</w:t>
      </w:r>
      <w:r w:rsidRPr="0041053F">
        <w:rPr>
          <w:rFonts w:ascii="Narkisim" w:hAnsi="Narkisim"/>
          <w:rtl/>
        </w:rPr>
        <w:t>' (יח:) העמידו דנח' האמוראים בדעת רבנן האם ס"ל דאין זיקה, או דס"ל דאף דיש זיקה קידושין מפקיעי זיקה].</w:t>
      </w:r>
    </w:p>
  </w:footnote>
  <w:footnote w:id="1541">
    <w:p w14:paraId="7770E1A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ועוד הביאו ה</w:t>
      </w:r>
      <w:r w:rsidRPr="0041053F">
        <w:rPr>
          <w:rFonts w:ascii="Narkisim" w:hAnsi="Narkisim"/>
          <w:b/>
          <w:bCs/>
          <w:rtl/>
        </w:rPr>
        <w:t>אחרונים</w:t>
      </w:r>
      <w:r w:rsidRPr="0041053F">
        <w:rPr>
          <w:rFonts w:ascii="Narkisim" w:hAnsi="Narkisim"/>
          <w:rtl/>
        </w:rPr>
        <w:t xml:space="preserve"> דלדברי רב גידל (לעיל כ.) כל חייבי לאוין מדאורייתא רמי לחליצה.</w:t>
      </w:r>
    </w:p>
  </w:footnote>
  <w:footnote w:id="1542">
    <w:p w14:paraId="408E11B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שיע' ר' שמואל</w:t>
      </w:r>
      <w:r w:rsidRPr="0041053F">
        <w:rPr>
          <w:rFonts w:ascii="Narkisim" w:hAnsi="Narkisim"/>
          <w:rtl/>
        </w:rPr>
        <w:t xml:space="preserve"> העיר דלפ"ז מבואר דאף דמדרבנן אינה זקוקה, מ"מ חל רבנן אסרו אחות זקוקה, ולא אמרי' דכלפי הדרבנן הרי היא פטורה. וע"כ דתקנו אחות זקוקה בכל שזקוקה לחליצה. א"נ אף בגדר הדרבנן נחשבת זקוקה במקצת.</w:t>
      </w:r>
    </w:p>
  </w:footnote>
  <w:footnote w:id="1543">
    <w:p w14:paraId="254AAD7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חשק שלמה</w:t>
      </w:r>
      <w:r w:rsidRPr="0041053F">
        <w:rPr>
          <w:rFonts w:ascii="Narkisim" w:hAnsi="Narkisim"/>
          <w:rtl/>
        </w:rPr>
        <w:t xml:space="preserve"> כת' נפק"מ דלמ"ד אסור לבטל מצוות יבמין, כשהיבמין הם אלמים [דא"א לחלוץ], יתייבמו. דאף אם לא כן יתבטל מצוות יבמין.</w:t>
      </w:r>
    </w:p>
  </w:footnote>
  <w:footnote w:id="1544">
    <w:p w14:paraId="3CED7E1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בתרוייהו פסולין סגי בא' מהם.</w:t>
      </w:r>
    </w:p>
  </w:footnote>
  <w:footnote w:id="1545">
    <w:p w14:paraId="7E0B9D6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ויש שהעמידו מח' אמאי היבמה עצמה פטורה, ד</w:t>
      </w:r>
      <w:r w:rsidRPr="0041053F">
        <w:rPr>
          <w:rFonts w:ascii="Narkisim" w:hAnsi="Narkisim"/>
          <w:b/>
          <w:bCs/>
          <w:rtl/>
        </w:rPr>
        <w:t>רש"י</w:t>
      </w:r>
      <w:r w:rsidRPr="0041053F">
        <w:rPr>
          <w:rFonts w:ascii="Narkisim" w:hAnsi="Narkisim"/>
          <w:rtl/>
        </w:rPr>
        <w:t xml:space="preserve"> (ד"ה נפלה אידך) כת' דחליצתו וזיקתו שוות, ופקע חליצתו בזיקתו. [משמע דכלפי לפטור עצמה מהני מסברא, דבזה ל"צ שליחותייהו]. אבל ה</w:t>
      </w:r>
      <w:r w:rsidRPr="0041053F">
        <w:rPr>
          <w:rFonts w:ascii="Narkisim" w:hAnsi="Narkisim"/>
          <w:b/>
          <w:bCs/>
          <w:rtl/>
        </w:rPr>
        <w:t xml:space="preserve">רי"ף </w:t>
      </w:r>
      <w:r w:rsidRPr="0041053F">
        <w:rPr>
          <w:rFonts w:ascii="Narkisim" w:hAnsi="Narkisim"/>
          <w:rtl/>
        </w:rPr>
        <w:t>(ספ"ה) כת' דחליצה פסולה אין אחריה כלום, דבמה תפטר. [וע"ע בהמשך דעת הרמב"ם].</w:t>
      </w:r>
    </w:p>
  </w:footnote>
  <w:footnote w:id="1546">
    <w:p w14:paraId="1EA2A98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כן נקטו </w:t>
      </w:r>
      <w:r w:rsidRPr="0041053F">
        <w:rPr>
          <w:rFonts w:ascii="Narkisim" w:hAnsi="Narkisim"/>
          <w:b/>
          <w:bCs/>
          <w:rtl/>
        </w:rPr>
        <w:t>רוב הראשונים</w:t>
      </w:r>
      <w:r w:rsidRPr="0041053F">
        <w:rPr>
          <w:rFonts w:ascii="Narkisim" w:hAnsi="Narkisim"/>
          <w:rtl/>
        </w:rPr>
        <w:t>, דכיון דצריך לחזור על כל האחים, כ"ש על כל הצרות [כדחזינן מדברי שמואל כז. דצרות עדיף]. אבל ה</w:t>
      </w:r>
      <w:r w:rsidRPr="0041053F">
        <w:rPr>
          <w:rFonts w:ascii="Narkisim" w:hAnsi="Narkisim"/>
          <w:b/>
          <w:bCs/>
          <w:rtl/>
        </w:rPr>
        <w:t>טור</w:t>
      </w:r>
      <w:r w:rsidRPr="0041053F">
        <w:rPr>
          <w:rFonts w:ascii="Narkisim" w:hAnsi="Narkisim"/>
          <w:rtl/>
        </w:rPr>
        <w:t xml:space="preserve"> (קע יט) הביא בשם רש"י דאי"צ לחזור על כל הצרות. והנו"כ דנו מהיכן למד כן ברש"י, ומה הטעם לחלק (וע' לקמן כז:).</w:t>
      </w:r>
    </w:p>
  </w:footnote>
  <w:footnote w:id="1547">
    <w:p w14:paraId="614F48F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(קכז ט) כת' דחליצה פסולה הוא משום גזירה אטו חליצה הגרועה. (ע' בסמוך).</w:t>
      </w:r>
    </w:p>
  </w:footnote>
  <w:footnote w:id="1548">
    <w:p w14:paraId="39AFBF5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ראב"ד</w:t>
      </w:r>
      <w:r w:rsidRPr="0041053F">
        <w:rPr>
          <w:rFonts w:ascii="Narkisim" w:hAnsi="Narkisim"/>
          <w:rtl/>
        </w:rPr>
        <w:t xml:space="preserve"> (הו' לקמן כח.) כת' דחליצה במקום שאינו ראוי לייבם לא נחשב עיקר מצוות יבמין. [ומבואר דחליצה פסולה הוא פטור בעלמא].</w:t>
      </w:r>
    </w:p>
  </w:footnote>
  <w:footnote w:id="1549">
    <w:p w14:paraId="264B631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בחייבי לאו ועשה לדעת רש"י [אבל לא משמע בראשונים דיש צד כזה].</w:t>
      </w:r>
    </w:p>
  </w:footnote>
  <w:footnote w:id="1550">
    <w:p w14:paraId="35261D7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והרמב"ן ביאר באופ"א (ע' בסמוך).</w:t>
      </w:r>
    </w:p>
  </w:footnote>
  <w:footnote w:id="1551">
    <w:p w14:paraId="12450E1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ולהך לישנא קשה מהברייתא (לקמן נא.).</w:t>
      </w:r>
    </w:p>
  </w:footnote>
  <w:footnote w:id="1552">
    <w:p w14:paraId="7E3B24A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(לקמן מד.) ביאר הטעם [לצד דכל חייבי לאוין הוה חליצה פסולה, ואף דליכא קלישות בזיקה] דכי רמיא באיסור זיקה קמיה, כי היכי דביאתן פסולה חליצתן גרועה. וכי היכי דתקינו גט לכל א' וא' ובכל אחת ואחת [ומאמר אחר מאמר בכולן, ע' לקמן נ:], ה"נ זיקה פסולה אינה עושה כל הבית א'. אלא לכל א' תקנו חליצה בכל אחת כיון דאיסור זיקה היא לפיכך אינה פוטרת.</w:t>
      </w:r>
    </w:p>
    <w:p w14:paraId="3DF93A3C" w14:textId="77777777" w:rsidR="006074A5" w:rsidRPr="0041053F" w:rsidRDefault="006074A5" w:rsidP="006074A5">
      <w:pPr>
        <w:pStyle w:val="Footnote"/>
        <w:bidi/>
        <w:rPr>
          <w:rFonts w:ascii="Narkisim" w:hAnsi="Narkisim"/>
        </w:rPr>
      </w:pPr>
      <w:r w:rsidRPr="0041053F">
        <w:rPr>
          <w:rFonts w:ascii="Narkisim" w:hAnsi="Narkisim"/>
          <w:rtl/>
        </w:rPr>
        <w:tab/>
        <w:t>[ומשמע דגזירת חליצה פסולה שייך לאחר גזירה גט אחר גט. אבל בעיקר הזיקה הוה בין כולהו בשווה].</w:t>
      </w:r>
    </w:p>
  </w:footnote>
  <w:footnote w:id="1553">
    <w:p w14:paraId="1D3BF27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ב</w:t>
      </w:r>
      <w:r w:rsidRPr="0041053F">
        <w:rPr>
          <w:rFonts w:ascii="Narkisim" w:hAnsi="Narkisim"/>
          <w:b/>
          <w:bCs/>
          <w:rtl/>
        </w:rPr>
        <w:t xml:space="preserve">שיע' ר' לייב גאויע </w:t>
      </w:r>
      <w:r w:rsidRPr="0041053F">
        <w:rPr>
          <w:rFonts w:ascii="Narkisim" w:hAnsi="Narkisim"/>
          <w:rtl/>
        </w:rPr>
        <w:t>דלמ"ד יש זיקה היינו שיש ליבם קנין אישות ביבמה [ולכל יבם בפנ"ע], וחליצה פסולה אינה מסלקת.</w:t>
      </w:r>
    </w:p>
  </w:footnote>
  <w:footnote w:id="1554">
    <w:p w14:paraId="1FD214A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זה דלא כמ"ש ב</w:t>
      </w:r>
      <w:r w:rsidRPr="0041053F">
        <w:rPr>
          <w:rFonts w:ascii="Narkisim" w:hAnsi="Narkisim"/>
          <w:b/>
          <w:bCs/>
          <w:rtl/>
        </w:rPr>
        <w:t>קובה"ע</w:t>
      </w:r>
      <w:r w:rsidRPr="0041053F">
        <w:rPr>
          <w:rFonts w:ascii="Narkisim" w:hAnsi="Narkisim"/>
          <w:rtl/>
        </w:rPr>
        <w:t xml:space="preserve"> (יב ג, הו' לעיל יח.) דזיקה הוה אישות המתחדשת, ותליא בסיבתה, דהוה זקוקה ליבום. [דלפ"ז כיון דחלץ לעיקר אישות המת, פקע הזיקה. ותו ליכא איסור. אך הרמב"ן (נא. הו' בסמוך) מתיישב כסברת הקובה"ע].</w:t>
      </w:r>
    </w:p>
  </w:footnote>
  <w:footnote w:id="1555">
    <w:p w14:paraId="596E23F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[והרמב"ן כת' כמגרש קידושין האחרונים. וי"ג הראשונים].</w:t>
      </w:r>
    </w:p>
  </w:footnote>
  <w:footnote w:id="1556">
    <w:p w14:paraId="71661BB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חי' ר' שמעון</w:t>
      </w:r>
      <w:r w:rsidRPr="0041053F">
        <w:rPr>
          <w:rFonts w:ascii="Narkisim" w:hAnsi="Narkisim"/>
          <w:rtl/>
        </w:rPr>
        <w:t xml:space="preserve"> כתב דסברא זו לא שייך לסברת ה</w:t>
      </w:r>
      <w:r w:rsidRPr="0041053F">
        <w:rPr>
          <w:rFonts w:ascii="Narkisim" w:hAnsi="Narkisim"/>
          <w:b/>
          <w:bCs/>
          <w:rtl/>
        </w:rPr>
        <w:t>תוס'</w:t>
      </w:r>
      <w:r w:rsidRPr="0041053F">
        <w:rPr>
          <w:rFonts w:ascii="Narkisim" w:hAnsi="Narkisim"/>
          <w:rtl/>
        </w:rPr>
        <w:t xml:space="preserve"> (ד"ה וחליצה) דהחסרון חליצה פסולה הוא רק במקום שהזיקה הוקלש.</w:t>
      </w:r>
    </w:p>
  </w:footnote>
  <w:footnote w:id="1557">
    <w:p w14:paraId="7541E75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ואילו מדברי רש"י משמע דלעולם עיקר החליצה כלפי אישות המת. אלא דבנוסף יש ג"כ זיקה ליבם.</w:t>
      </w:r>
    </w:p>
  </w:footnote>
  <w:footnote w:id="1558">
    <w:p w14:paraId="7C53CBF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ותלה בזה כמה נידונים האם נחשב איסור עריות, או איסור חדש. [ויש לחלק].</w:t>
      </w:r>
    </w:p>
  </w:footnote>
  <w:footnote w:id="1559">
    <w:p w14:paraId="35C3BB5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ה</w:t>
      </w:r>
      <w:r w:rsidRPr="0041053F">
        <w:rPr>
          <w:rFonts w:ascii="Narkisim" w:hAnsi="Narkisim"/>
          <w:b/>
          <w:bCs/>
          <w:rtl/>
        </w:rPr>
        <w:t>בית מאיר</w:t>
      </w:r>
      <w:r w:rsidRPr="0041053F">
        <w:rPr>
          <w:rFonts w:ascii="Narkisim" w:hAnsi="Narkisim"/>
          <w:rtl/>
        </w:rPr>
        <w:t xml:space="preserve"> (קכא) כתב דהיה שייך גט לאחר מיתה, דלא פקע האישות הבעל כיון דזקוקה ליבם [ודלא כמ"ש הקצות קפח], ובהג' </w:t>
      </w:r>
      <w:r w:rsidRPr="0041053F">
        <w:rPr>
          <w:rFonts w:ascii="Narkisim" w:hAnsi="Narkisim"/>
          <w:b/>
          <w:bCs/>
          <w:rtl/>
        </w:rPr>
        <w:t>ברוך טעם</w:t>
      </w:r>
      <w:r w:rsidRPr="0041053F">
        <w:rPr>
          <w:rFonts w:ascii="Narkisim" w:hAnsi="Narkisim"/>
          <w:rtl/>
        </w:rPr>
        <w:t xml:space="preserve"> חלק דאינו אסורה מחמת המת אלא מחמת היבם.</w:t>
      </w:r>
    </w:p>
  </w:footnote>
  <w:footnote w:id="1560">
    <w:p w14:paraId="30F6A38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[וכדברי הגמ' גיטין פג: וכעי"ז קידושין יד, וע' מה שהו' לעיל יז:].</w:t>
      </w:r>
    </w:p>
  </w:footnote>
  <w:footnote w:id="1561">
    <w:p w14:paraId="00ECC20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ודוחק לומר דר"ל פליג אסוגיין, ועוד דדעת שמואל (לקמן מ:) כר"ל. [והריטב"א (שם) קאי בדעת שמואל].</w:t>
      </w:r>
    </w:p>
  </w:footnote>
  <w:footnote w:id="1562">
    <w:p w14:paraId="15DD02D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ויש ב' חלקים בחליצה, ועיקר החליצה להתיר אישות המת. ועוד דפועל כלפי אישות הזיקה. [וצ"ע דבגמ' (לקמן מ:) מבואר דסברת שמואל ור"ל דאבראי קאי, ומש"ה נחשב שלא נעשית בה מעשה האוסרת].</w:t>
      </w:r>
    </w:p>
  </w:footnote>
  <w:footnote w:id="1563">
    <w:p w14:paraId="5AC248E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ועכ"פ הוה דלא כמ"ש ה</w:t>
      </w:r>
      <w:r w:rsidRPr="0041053F">
        <w:rPr>
          <w:rFonts w:ascii="Narkisim" w:hAnsi="Narkisim"/>
          <w:b/>
          <w:bCs/>
          <w:rtl/>
        </w:rPr>
        <w:t>אחרונים</w:t>
      </w:r>
      <w:r w:rsidRPr="0041053F">
        <w:rPr>
          <w:rFonts w:ascii="Narkisim" w:hAnsi="Narkisim"/>
          <w:rtl/>
        </w:rPr>
        <w:t xml:space="preserve"> (ע"פ הירושלמי) דלר"ל נתברר דזקוקה רק לאחיו [וממילא פקע זיקה מאידך]. דבדברי הריטב"א מבואר דצריך מתיר [ושליחות] כלפי כל א'.</w:t>
      </w:r>
    </w:p>
  </w:footnote>
  <w:footnote w:id="1564">
    <w:p w14:paraId="6A73624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[דהחליצה אינה אלא כפי כמה שהיא זקוקה].</w:t>
      </w:r>
    </w:p>
  </w:footnote>
  <w:footnote w:id="1565">
    <w:p w14:paraId="678E214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אחרונים </w:t>
      </w:r>
      <w:r w:rsidRPr="0041053F">
        <w:rPr>
          <w:rFonts w:ascii="Narkisim" w:hAnsi="Narkisim"/>
          <w:rtl/>
        </w:rPr>
        <w:t xml:space="preserve">דייקו כן מדברי </w:t>
      </w:r>
      <w:r w:rsidRPr="0041053F">
        <w:rPr>
          <w:rFonts w:ascii="Narkisim" w:hAnsi="Narkisim"/>
          <w:b/>
          <w:bCs/>
          <w:rtl/>
        </w:rPr>
        <w:t>רש"י</w:t>
      </w:r>
      <w:r w:rsidRPr="0041053F">
        <w:rPr>
          <w:rFonts w:ascii="Narkisim" w:hAnsi="Narkisim"/>
          <w:rtl/>
        </w:rPr>
        <w:t xml:space="preserve"> דהוה יסוד בפנ"ע. ואילו בדברי ה</w:t>
      </w:r>
      <w:r w:rsidRPr="0041053F">
        <w:rPr>
          <w:rFonts w:ascii="Narkisim" w:hAnsi="Narkisim"/>
          <w:b/>
          <w:bCs/>
          <w:rtl/>
        </w:rPr>
        <w:t>תוס</w:t>
      </w:r>
      <w:r w:rsidRPr="0041053F">
        <w:rPr>
          <w:rFonts w:ascii="Narkisim" w:hAnsi="Narkisim"/>
          <w:rtl/>
        </w:rPr>
        <w:t>' משמע דשייך לדין חליצה פסולה.</w:t>
      </w:r>
    </w:p>
  </w:footnote>
  <w:footnote w:id="1566">
    <w:p w14:paraId="52A042D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 בסמוך מש"כ עד"ז. והאריך בזה טובא].</w:t>
      </w:r>
    </w:p>
  </w:footnote>
  <w:footnote w:id="1567">
    <w:p w14:paraId="693110F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ויש שדייקו מדבריו דגדר חליצה פסולה הוה מדאורייתא. אך יותר נראה כוונתו דכיון דמדאורייתא אסורה עליו, החליצה פסולה טפי.</w:t>
      </w:r>
    </w:p>
  </w:footnote>
  <w:footnote w:id="1568">
    <w:p w14:paraId="1A64ABE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[ויש לדחות דהוה עיקרו דאורייתא, דגזרו כעין אחות אשתו. ולא משמע].</w:t>
      </w:r>
    </w:p>
  </w:footnote>
  <w:footnote w:id="1569">
    <w:p w14:paraId="23244E8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(לקמן מד.) דן במח' הנ"ל אי דוקא במקום שהחסרון בזיקה. והכריע דבכל אופן נחשב חליצה פסולה. ופי' כיון דרמי קמי דאיסור זיקה, כי היכי דביאתן פסולה, חליצתן פסולה. דחליצה פסולה אינה עושה את כל הבית אחד, אלא תקנו זיקה לכל א', וכמו שתקנו גט לכל א'. [ומבואר מדבריו דלפר"י גדר חליצה פסולה משום חסרון בזיקה, ואי"צ לטעם הנ"ל. אבל לדעת רש"י דאיירי בכל פסול בעלמא, ע"כ דהוה חסרון בעצם החליצה].</w:t>
      </w:r>
    </w:p>
    <w:p w14:paraId="42E684EA" w14:textId="77777777" w:rsidR="006074A5" w:rsidRPr="0041053F" w:rsidRDefault="006074A5" w:rsidP="006074A5">
      <w:pPr>
        <w:pStyle w:val="Footnote"/>
        <w:bidi/>
        <w:rPr>
          <w:rFonts w:ascii="Narkisim" w:hAnsi="Narkisim"/>
        </w:rPr>
      </w:pPr>
      <w:r w:rsidRPr="0041053F">
        <w:rPr>
          <w:rFonts w:ascii="Narkisim" w:hAnsi="Narkisim"/>
          <w:rtl/>
        </w:rPr>
        <w:tab/>
        <w:t>[ולכאורה משמע מהרמב"ן דאף חייבי לאוין דעדל"ת ושניות חשיב ביאה פסולה, וצ"ע מהברייתא (כ:). ואפשר דקאי כמ"ד אין זיקה].</w:t>
      </w:r>
    </w:p>
  </w:footnote>
  <w:footnote w:id="1570">
    <w:p w14:paraId="2085CAF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בי"ש</w:t>
      </w:r>
      <w:r w:rsidRPr="0041053F">
        <w:rPr>
          <w:rFonts w:ascii="Narkisim" w:hAnsi="Narkisim"/>
          <w:rtl/>
        </w:rPr>
        <w:t xml:space="preserve"> (קנו ג) הק' למה יחשב חליצה פסולה, ממ"נ אי ולד מעליא הוא אי"צ חליצה כלל. ואי לאו ולד מעליא, אז הוא חליצה כשירה.</w:t>
      </w:r>
    </w:p>
  </w:footnote>
  <w:footnote w:id="1571">
    <w:p w14:paraId="47C93EC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ולא אמרי' דכל שאינו עולה ליבום אינו עולה לחליצה, דהוה חסרון ידיעה בעלמא. והחכ"צ כת' דכ"ש לענין תקנת חליצת חיזור, דהוה דרבנן בעלמא.</w:t>
      </w:r>
    </w:p>
  </w:footnote>
  <w:footnote w:id="1572">
    <w:p w14:paraId="0E7A1D3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רע"א</w:t>
      </w:r>
      <w:r w:rsidRPr="0041053F">
        <w:rPr>
          <w:rFonts w:ascii="Narkisim" w:hAnsi="Narkisim"/>
          <w:rtl/>
        </w:rPr>
        <w:t xml:space="preserve"> כת' דלדעת הרמב"ם אף פצוע דכא.</w:t>
      </w:r>
    </w:p>
  </w:footnote>
  <w:footnote w:id="1573">
    <w:p w14:paraId="7DC0181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(מד.) העלה צד זה, ודחה דמבואר דחליצה פסולה אינה פוטרת אפי' צרה כיוצא בה [לדעת רב, וע' בסמוך לל"ב דשמואל]. ועוד דחה הרמב"ן דמשמע דפטרה צרתה, כל צרה שהיא. וכן </w:t>
      </w:r>
      <w:r w:rsidRPr="0041053F">
        <w:rPr>
          <w:rFonts w:ascii="Narkisim" w:hAnsi="Narkisim"/>
          <w:b/>
          <w:bCs/>
          <w:rtl/>
        </w:rPr>
        <w:t>ה"ה</w:t>
      </w:r>
      <w:r w:rsidRPr="0041053F">
        <w:rPr>
          <w:rFonts w:ascii="Narkisim" w:hAnsi="Narkisim"/>
          <w:rtl/>
        </w:rPr>
        <w:t xml:space="preserve"> הקשה דאף בשוות חליצה פסולה [לפי מה שפי' דברי הרמב"ם ה י]. [ועכ"פ קשה לרב דס"ל דאפי' שוות הוה חליצה פסולה].</w:t>
      </w:r>
    </w:p>
  </w:footnote>
  <w:footnote w:id="1574">
    <w:p w14:paraId="4D699C1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ומש"ה אחות זקוקה אוסרת צרתה (לקמן כז.), ואילו צרת שניה מתייבמת. [וכדאי' בתוספתא, וכ"פ הפוסקים. וע' מה שהו' לעיל כא.].</w:t>
      </w:r>
    </w:p>
  </w:footnote>
  <w:footnote w:id="1575">
    <w:p w14:paraId="67955DD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ועוה"ק ה</w:t>
      </w:r>
      <w:r w:rsidRPr="0041053F">
        <w:rPr>
          <w:rFonts w:ascii="Narkisim" w:hAnsi="Narkisim"/>
          <w:b/>
          <w:bCs/>
          <w:rtl/>
        </w:rPr>
        <w:t>כס"מ</w:t>
      </w:r>
      <w:r w:rsidRPr="0041053F">
        <w:rPr>
          <w:rFonts w:ascii="Narkisim" w:hAnsi="Narkisim"/>
          <w:rtl/>
        </w:rPr>
        <w:t xml:space="preserve"> דליכא עשה במחזיר גרושתו, ומדאורייתא נימא עשה דוחה ל"ת. וכמו אלמנה מהאירוסין. [וכ"ד ה</w:t>
      </w:r>
      <w:r w:rsidRPr="0041053F">
        <w:rPr>
          <w:rFonts w:ascii="Narkisim" w:hAnsi="Narkisim"/>
          <w:b/>
          <w:bCs/>
          <w:rtl/>
        </w:rPr>
        <w:t>ריטב"א</w:t>
      </w:r>
      <w:r w:rsidRPr="0041053F">
        <w:rPr>
          <w:rFonts w:ascii="Narkisim" w:hAnsi="Narkisim"/>
          <w:rtl/>
        </w:rPr>
        <w:t xml:space="preserve"> (לעיל יא.) דשייך בזה עשה דוחה ל"ת. וה</w:t>
      </w:r>
      <w:r w:rsidRPr="0041053F">
        <w:rPr>
          <w:rFonts w:ascii="Narkisim" w:hAnsi="Narkisim"/>
          <w:b/>
          <w:bCs/>
          <w:rtl/>
        </w:rPr>
        <w:t>בי"ש</w:t>
      </w:r>
      <w:r w:rsidRPr="0041053F">
        <w:rPr>
          <w:rFonts w:ascii="Narkisim" w:hAnsi="Narkisim"/>
          <w:rtl/>
        </w:rPr>
        <w:t xml:space="preserve"> (קעד ד) תי' דסברת </w:t>
      </w:r>
      <w:r w:rsidRPr="0041053F">
        <w:rPr>
          <w:rFonts w:ascii="Narkisim" w:hAnsi="Narkisim"/>
          <w:b/>
          <w:bCs/>
          <w:rtl/>
        </w:rPr>
        <w:t>ה"ה</w:t>
      </w:r>
      <w:r w:rsidRPr="0041053F">
        <w:rPr>
          <w:rFonts w:ascii="Narkisim" w:hAnsi="Narkisim"/>
          <w:rtl/>
        </w:rPr>
        <w:t xml:space="preserve"> דליכא לאו באשה זו, אלא דילפי' מק"ו. ומש"ה ל"ש עשה דוחה ל"ת כלל. וכ"מ ברשב"א לעיל יא.].</w:t>
      </w:r>
    </w:p>
  </w:footnote>
  <w:footnote w:id="1576">
    <w:p w14:paraId="683DF23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צפנת פענח</w:t>
      </w:r>
      <w:r w:rsidRPr="0041053F">
        <w:rPr>
          <w:rFonts w:ascii="Narkisim" w:hAnsi="Narkisim"/>
          <w:rtl/>
        </w:rPr>
        <w:t xml:space="preserve"> (ועוד אחרונים) תי' דבמחזיר גרושתו החסרון מצד אישות המת, ולא מצד היבם עצמו, ואינו חסרון בזיקה ליבם.</w:t>
      </w:r>
    </w:p>
  </w:footnote>
  <w:footnote w:id="1577">
    <w:p w14:paraId="2B833F5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ויל"ד בכוונתו לגבי חייבי לאו ועשה האם חליצתה פטרה צרתה, ובפשוטו דינו בכלל איסור מצוה וקדושה. [ותליא במה שדנו (לדעת הרמב"ם ע' לעיל כ:) האם ילפי' ליה מ'ועלתה' כתוס', או דהוא משום שאינו דוחה לל"ת. ואפשר דמ"מ מסברא לא רמי ליבום].</w:t>
      </w:r>
    </w:p>
  </w:footnote>
  <w:footnote w:id="1578">
    <w:p w14:paraId="6522C2E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שואל</w:t>
      </w:r>
      <w:r w:rsidRPr="0041053F">
        <w:rPr>
          <w:rFonts w:ascii="Narkisim" w:hAnsi="Narkisim"/>
          <w:rtl/>
        </w:rPr>
        <w:t xml:space="preserve"> בשו"ת הרשב"א וכן ה</w:t>
      </w:r>
      <w:r w:rsidRPr="0041053F">
        <w:rPr>
          <w:rFonts w:ascii="Narkisim" w:hAnsi="Narkisim"/>
          <w:b/>
          <w:bCs/>
          <w:rtl/>
        </w:rPr>
        <w:t xml:space="preserve">תו"י </w:t>
      </w:r>
      <w:r w:rsidRPr="0041053F">
        <w:rPr>
          <w:rFonts w:ascii="Narkisim" w:hAnsi="Narkisim"/>
          <w:rtl/>
        </w:rPr>
        <w:t>(יג: בסו"ד) בקושייתו נקטו דהצרה נפטרת.</w:t>
      </w:r>
    </w:p>
  </w:footnote>
  <w:footnote w:id="1579">
    <w:p w14:paraId="019B016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רש"ש </w:t>
      </w:r>
      <w:r w:rsidRPr="0041053F">
        <w:rPr>
          <w:rFonts w:ascii="Narkisim" w:hAnsi="Narkisim"/>
          <w:rtl/>
        </w:rPr>
        <w:t>כת' הטעם דלא דמי לאחות אשה [וציין תוס' י.].</w:t>
      </w:r>
    </w:p>
  </w:footnote>
  <w:footnote w:id="1580">
    <w:p w14:paraId="3291100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 xml:space="preserve">חי' ר' שמעון </w:t>
      </w:r>
      <w:r w:rsidRPr="0041053F">
        <w:rPr>
          <w:rFonts w:ascii="Narkisim" w:hAnsi="Narkisim"/>
          <w:rtl/>
        </w:rPr>
        <w:t>(טו ד)  ביאר דכיון דגדר פטור צרה, דהערוה 'פוטרת צרתה', ולכן אחר נפילה לא שייך שתפטור.</w:t>
      </w:r>
    </w:p>
  </w:footnote>
  <w:footnote w:id="1581">
    <w:p w14:paraId="0220A6F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ומדברי רע"א קצת משמע דהוה סברא דמש"ה לא דרשי' בזה קרא דל'צרור'. ולצרור קאי דוקא בשעת נפילה.</w:t>
      </w:r>
    </w:p>
  </w:footnote>
  <w:footnote w:id="1582">
    <w:p w14:paraId="39B1856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(שם) נסתפק האם היינו משעת נפילה, או אף קודם לכן.</w:t>
      </w:r>
    </w:p>
  </w:footnote>
  <w:footnote w:id="1583">
    <w:p w14:paraId="6A58207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ולשון ה</w:t>
      </w:r>
      <w:r w:rsidRPr="0041053F">
        <w:rPr>
          <w:rFonts w:ascii="Narkisim" w:hAnsi="Narkisim"/>
          <w:b/>
          <w:bCs/>
          <w:rtl/>
        </w:rPr>
        <w:t>או"ז</w:t>
      </w:r>
      <w:r w:rsidRPr="0041053F">
        <w:rPr>
          <w:rFonts w:ascii="Narkisim" w:hAnsi="Narkisim"/>
          <w:rtl/>
        </w:rPr>
        <w:t xml:space="preserve"> (וכ"כ </w:t>
      </w:r>
      <w:r w:rsidRPr="0041053F">
        <w:rPr>
          <w:rFonts w:ascii="Narkisim" w:hAnsi="Narkisim"/>
          <w:b/>
          <w:bCs/>
          <w:rtl/>
        </w:rPr>
        <w:t>ה"ה</w:t>
      </w:r>
      <w:r w:rsidRPr="0041053F">
        <w:rPr>
          <w:rFonts w:ascii="Narkisim" w:hAnsi="Narkisim"/>
          <w:rtl/>
        </w:rPr>
        <w:t xml:space="preserve"> וה</w:t>
      </w:r>
      <w:r w:rsidRPr="0041053F">
        <w:rPr>
          <w:rFonts w:ascii="Narkisim" w:hAnsi="Narkisim"/>
          <w:b/>
          <w:bCs/>
          <w:rtl/>
        </w:rPr>
        <w:t>רמ"א</w:t>
      </w:r>
      <w:r w:rsidRPr="0041053F">
        <w:rPr>
          <w:rFonts w:ascii="Narkisim" w:hAnsi="Narkisim"/>
          <w:rtl/>
        </w:rPr>
        <w:t xml:space="preserve"> קע ה) דוקא כשנאסרה בזיקה, ולא כשנאסרה ב</w:t>
      </w:r>
      <w:r w:rsidRPr="0041053F">
        <w:rPr>
          <w:rFonts w:ascii="Narkisim" w:hAnsi="Narkisim"/>
          <w:i/>
          <w:iCs/>
          <w:rtl/>
        </w:rPr>
        <w:t>תחילת נפילתם</w:t>
      </w:r>
      <w:r w:rsidRPr="0041053F">
        <w:rPr>
          <w:rFonts w:ascii="Narkisim" w:hAnsi="Narkisim"/>
          <w:rtl/>
        </w:rPr>
        <w:t xml:space="preserve"> כחייבי לאוין. [וצ"ב דאחות זקוקתו ואחות חלוצתו דבשעת נפילה נחשב חליצה פסולה בסוגיין, ועוד יל"ד עפ"ז בנפל ולבסוף נעשה פצוע דכא, דכיון דנאסר אח"כ יחשב פסולה]. וה</w:t>
      </w:r>
      <w:r w:rsidRPr="0041053F">
        <w:rPr>
          <w:rFonts w:ascii="Narkisim" w:hAnsi="Narkisim"/>
          <w:b/>
          <w:bCs/>
          <w:rtl/>
        </w:rPr>
        <w:t>גר"א</w:t>
      </w:r>
      <w:r w:rsidRPr="0041053F">
        <w:rPr>
          <w:rFonts w:ascii="Narkisim" w:hAnsi="Narkisim"/>
          <w:rtl/>
        </w:rPr>
        <w:t xml:space="preserve"> (טו) כת' ר"ל דוקא אחות זקוקתו וכו' דקלישא זיקתם.</w:t>
      </w:r>
    </w:p>
  </w:footnote>
  <w:footnote w:id="1584">
    <w:p w14:paraId="51E366E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[וכ"מ ברמב"ן מד. הו' לעיל]. וכ"כ ה</w:t>
      </w:r>
      <w:r w:rsidRPr="0041053F">
        <w:rPr>
          <w:rFonts w:ascii="Narkisim" w:hAnsi="Narkisim"/>
          <w:b/>
          <w:bCs/>
          <w:rtl/>
        </w:rPr>
        <w:t>קה"י</w:t>
      </w:r>
      <w:r w:rsidRPr="0041053F">
        <w:rPr>
          <w:rFonts w:ascii="Narkisim" w:hAnsi="Narkisim"/>
          <w:rtl/>
        </w:rPr>
        <w:t xml:space="preserve"> (יט) דכל חליצה דאינה ראויה ל'אם רצה לייבם' נחשב מעשה חליצה גרועה.</w:t>
      </w:r>
    </w:p>
  </w:footnote>
  <w:footnote w:id="1585">
    <w:p w14:paraId="1BF0742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ויש שדייק מדברי </w:t>
      </w:r>
      <w:r w:rsidRPr="0041053F">
        <w:rPr>
          <w:rFonts w:ascii="Narkisim" w:hAnsi="Narkisim"/>
          <w:b/>
          <w:bCs/>
          <w:rtl/>
        </w:rPr>
        <w:t>רש"י</w:t>
      </w:r>
      <w:r w:rsidRPr="0041053F">
        <w:rPr>
          <w:rFonts w:ascii="Narkisim" w:hAnsi="Narkisim"/>
          <w:rtl/>
        </w:rPr>
        <w:t xml:space="preserve"> (ד"ה נפלה אידך) דחליצתו וזיקתו שוות. משמע דהגדר דהזיקה נקלש.</w:t>
      </w:r>
    </w:p>
  </w:footnote>
  <w:footnote w:id="1586">
    <w:p w14:paraId="72A5D9A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ותוס' כת' דסוטה דרבנן דמי לסוטה דאורייתא דכתיב בה טומאה. ו</w:t>
      </w:r>
      <w:r w:rsidRPr="0041053F">
        <w:rPr>
          <w:rFonts w:ascii="Narkisim" w:hAnsi="Narkisim"/>
          <w:b/>
          <w:bCs/>
          <w:rtl/>
        </w:rPr>
        <w:t>רע"א</w:t>
      </w:r>
      <w:r w:rsidRPr="0041053F">
        <w:rPr>
          <w:rFonts w:ascii="Narkisim" w:hAnsi="Narkisim"/>
          <w:rtl/>
        </w:rPr>
        <w:t xml:space="preserve"> (בגהש"ס) ציין לתוס' (לעיל יא.) [שהביא ירושלמי הנ"ל דהוה חליצה פסולה]. ויש שפי' כוונתו להק' דמבואר התם דביאת סוטה דרבנן פוטרת צרתה. ולא אמרי' דכעין דאורייתא תקון.</w:t>
      </w:r>
    </w:p>
    <w:p w14:paraId="5F9AFC48" w14:textId="77777777" w:rsidR="006074A5" w:rsidRPr="0041053F" w:rsidRDefault="006074A5" w:rsidP="006074A5">
      <w:pPr>
        <w:pStyle w:val="Footnote"/>
        <w:bidi/>
        <w:rPr>
          <w:rFonts w:ascii="Narkisim" w:hAnsi="Narkisim"/>
        </w:rPr>
      </w:pPr>
      <w:r w:rsidRPr="0041053F">
        <w:rPr>
          <w:rFonts w:ascii="Narkisim" w:hAnsi="Narkisim"/>
          <w:rtl/>
        </w:rPr>
        <w:tab/>
        <w:t>[ומבואר ע"פ הירושלמי הנ"ל דחליצת סוטה דרבנן נחשב חליצה פסולה. אבל ביאתה פוטרת צרתה, ולא מדמי' חליצה פסולה לביאה פסולה].</w:t>
      </w:r>
    </w:p>
  </w:footnote>
  <w:footnote w:id="1587">
    <w:p w14:paraId="57CD4DA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שחלץ לראשונה, אבל שמעון לא חלץ אלא משום חיזור [וע"ד סברת ר"א מבורגוייל בתוד"ה דנפול. וע"ע תוס' כז. ד"ה שמואל].</w:t>
      </w:r>
    </w:p>
  </w:footnote>
  <w:footnote w:id="1588">
    <w:p w14:paraId="7A29681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דלשמעון הוה רק רק אחות זקוקתו. ואילו לראובן הוה גם אחות זקוקתו וגם אחות חליצתו [א"נ אחות חלוצתו תמיד נחשב חמיר].  </w:t>
      </w:r>
    </w:p>
  </w:footnote>
  <w:footnote w:id="1589">
    <w:p w14:paraId="218B4BC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ועפ"ז כתב ה</w:t>
      </w:r>
      <w:r w:rsidRPr="0041053F">
        <w:rPr>
          <w:rFonts w:ascii="Narkisim" w:hAnsi="Narkisim"/>
          <w:b/>
          <w:bCs/>
          <w:rtl/>
        </w:rPr>
        <w:t>רש"ש</w:t>
      </w:r>
      <w:r w:rsidRPr="0041053F">
        <w:rPr>
          <w:rFonts w:ascii="Narkisim" w:hAnsi="Narkisim"/>
          <w:rtl/>
        </w:rPr>
        <w:t xml:space="preserve"> דאף לתי' הגמ' דנפלו בזה אחר זה, היינו שהראשון חלץ קודם נפילת השניה. אבל ל"צ ששמעון יחלוץ לפני שהשלישית נופלת. דאף דהוה בב"א מהני חליצת שמעון, דעדיפא טפי. [ואילו ה</w:t>
      </w:r>
      <w:r w:rsidRPr="0041053F">
        <w:rPr>
          <w:rFonts w:ascii="Narkisim" w:hAnsi="Narkisim"/>
          <w:b/>
          <w:bCs/>
          <w:rtl/>
        </w:rPr>
        <w:t>חזו"א</w:t>
      </w:r>
      <w:r w:rsidRPr="0041053F">
        <w:rPr>
          <w:rFonts w:ascii="Narkisim" w:hAnsi="Narkisim"/>
          <w:rtl/>
        </w:rPr>
        <w:t xml:space="preserve"> (קכז ד) הוכיח מקושיה זו דאחות זקוקה לא נחשב עדיפא מאחות חלוצה].</w:t>
      </w:r>
    </w:p>
  </w:footnote>
  <w:footnote w:id="1590">
    <w:p w14:paraId="77E773F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ומבואר מדברי הרמב"ן דאליבא דאמת, כיון דהראשונה צריכה חליצת חיזור, מש"ה אף השניה נחשב דתרוייהו פסולים בשווה, דאף חליצת חיזור אוסרת בקרובים [ודלא כר' אברהם בתוס']. [ולא אמרי' דחליצת חיזור קיל מראשונה].</w:t>
      </w:r>
    </w:p>
  </w:footnote>
  <w:footnote w:id="1591">
    <w:p w14:paraId="05581CE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ויל"ע לדברי הרמב"ן (הו' לעיל) דגדר חליצה פסולה דנחשב דלא מהני כלל כלפי זיקת אחיו. [וי"ל דה"מ מדרבנן. ועכ"פ מדאורייתא פוטרת].</w:t>
      </w:r>
    </w:p>
  </w:footnote>
  <w:footnote w:id="1592">
    <w:p w14:paraId="205890E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ולפ"ז עיקר דין חיזור ילפי' ממתני'. [אך לפ"ז מתני' כמ"ד יש זיקה. ונח' בזה האמוראים לקמן ל. וכ"מ].</w:t>
      </w:r>
    </w:p>
  </w:footnote>
  <w:footnote w:id="1593">
    <w:p w14:paraId="00BC758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מהרש"א</w:t>
      </w:r>
      <w:r w:rsidRPr="0041053F">
        <w:rPr>
          <w:rFonts w:ascii="Narkisim" w:hAnsi="Narkisim"/>
          <w:rtl/>
        </w:rPr>
        <w:t xml:space="preserve"> פי' משום הותרה ונאסרה. וע"ע לקמן כז:.</w:t>
      </w:r>
    </w:p>
  </w:footnote>
  <w:footnote w:id="1594">
    <w:p w14:paraId="58F5233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וכתב דסגי בזה לתרץ קושיית ר"א, שמותר באחותה קודם חיזור. והקשה א"כ היאך ר"א למד מזה דאף אחר חליצה אינה אוסרת.</w:t>
      </w:r>
    </w:p>
  </w:footnote>
  <w:footnote w:id="1595">
    <w:p w14:paraId="4F55D6A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והוסיף וכגון שהראשונה אינה רוצה לינשא לעולם. [ויל"ד בכוונתו, דאחרי שנשא  אחותה הוה ערוה ופקע שארית הזיקה, ומותרת לינשא. ואם יש איסור לבטל מצוות יבמין ע"ז, מה מהני שאינה רוצה לינשא].  </w:t>
      </w:r>
    </w:p>
  </w:footnote>
  <w:footnote w:id="1596">
    <w:p w14:paraId="2B18441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לראשונה מהני א' מהם [וכ"מ בתי' הגמ'], דאצל תרוייהו הוה אחות זקוקה. ושמואל ס"ל דבשוות ל"צ חיזור. [ותוס' תלו בב' לשונות דהגמ' בסוף העמ'].</w:t>
      </w:r>
    </w:p>
  </w:footnote>
  <w:footnote w:id="1597">
    <w:p w14:paraId="5CF82EF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וכיון דרובה גביה קרי ליה כולן. וה</w:t>
      </w:r>
      <w:r w:rsidRPr="0041053F">
        <w:rPr>
          <w:rFonts w:ascii="Narkisim" w:hAnsi="Narkisim"/>
          <w:b/>
          <w:bCs/>
          <w:rtl/>
        </w:rPr>
        <w:t>ריטב"א</w:t>
      </w:r>
      <w:r w:rsidRPr="0041053F">
        <w:rPr>
          <w:rFonts w:ascii="Narkisim" w:hAnsi="Narkisim"/>
          <w:rtl/>
        </w:rPr>
        <w:t xml:space="preserve"> ביאר דהיבם חלץ לרובם, ולרובן קרי כולן. דרוב כלל.</w:t>
      </w:r>
    </w:p>
  </w:footnote>
  <w:footnote w:id="1598">
    <w:p w14:paraId="382FB8E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והגמ' לא מקשה דאף צרת בעלת הגט הוה חליצה פסולה [דהא תקנת הגט מהני דאינו מייבם כל הצרות]. ול"ש בזה תי' הגמ'.</w:t>
      </w:r>
    </w:p>
  </w:footnote>
  <w:footnote w:id="1599">
    <w:p w14:paraId="19D5BF6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ומבואר דכשנותן גט ואח"כ חולצת נחשב דאף הגט פועל כלפי זה.</w:t>
      </w:r>
    </w:p>
  </w:footnote>
  <w:footnote w:id="1600">
    <w:p w14:paraId="381C967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כת' תדע שהרי אסור בקרובות בעלת הגט ובעלת מאמר מעתה, ומותר בקרובות צרה אא"כ חזר וחלץ לה או עשה בה מאמר, לפיכך אין הגרועה פוטרת את המעולה.</w:t>
      </w:r>
    </w:p>
  </w:footnote>
  <w:footnote w:id="1601">
    <w:p w14:paraId="3BC4B74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תוס'</w:t>
      </w:r>
      <w:r w:rsidRPr="0041053F">
        <w:rPr>
          <w:rFonts w:ascii="Narkisim" w:hAnsi="Narkisim"/>
          <w:rtl/>
        </w:rPr>
        <w:t xml:space="preserve"> (כו: ד"ה מדקאמרת) הביאו מהתם דלפי האמת למ"ד אין זיקה מהני אף חליצה גרועה לפטור מעלייתא. [ודלא כמ"ש בדעת רש"י].</w:t>
      </w:r>
    </w:p>
  </w:footnote>
  <w:footnote w:id="1602">
    <w:p w14:paraId="04B8288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 דלכאורה כיון דחלץ פקע הזיקה, וצריכה גט משום אישות בפנ"ע. והביאו דמבואר דמאמר אינו אישות בפנ"ע, אלא גדר בזיקה [וכ"מ ברש"י לקמן נ:]. ומש"ה צריכה גט אף מגדר הזיקה.</w:t>
      </w:r>
    </w:p>
  </w:footnote>
  <w:footnote w:id="1603">
    <w:p w14:paraId="27F6FDE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ביארו דרש"י לא פי' כן, דס"ל דחליצה פסולה לא תליא בקלישות הזיקה, אלא משום דא"א לייבם, והכא אפשר לייבם. וע"כ דיש כאן חסרון נוסף.</w:t>
      </w:r>
    </w:p>
  </w:footnote>
  <w:footnote w:id="1604">
    <w:p w14:paraId="4976AE3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וכוונתו לגמ' (לעיל ג:) עונש מנין, דילפי' כרת אף בצרת ערוה. [ויל"ד לצד דהוה משום כרת דאשת אח, ואילו באשת אח יש ב' חיובי כרת, אחות אשה ואשת אח. וע' מגיה לריטב"א].</w:t>
      </w:r>
    </w:p>
  </w:footnote>
  <w:footnote w:id="1605">
    <w:p w14:paraId="6905D85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 xml:space="preserve">חי' הגר"נ </w:t>
      </w:r>
      <w:r w:rsidRPr="0041053F">
        <w:rPr>
          <w:rFonts w:ascii="Narkisim" w:hAnsi="Narkisim"/>
          <w:rtl/>
        </w:rPr>
        <w:t>כתב די"ל דלרש"י כיון דיש צרה לא חיישינן לביטול מצוות יבמין.</w:t>
      </w:r>
    </w:p>
  </w:footnote>
  <w:footnote w:id="1606">
    <w:p w14:paraId="20490DB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משמע מדבריו דאח א' דהוה ביטול מצוות יבמין גמור ל"מ.</w:t>
      </w:r>
    </w:p>
  </w:footnote>
  <w:footnote w:id="1607">
    <w:p w14:paraId="2DA11C3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ב</w:t>
      </w:r>
      <w:r w:rsidRPr="0041053F">
        <w:rPr>
          <w:rFonts w:ascii="Narkisim" w:hAnsi="Narkisim"/>
          <w:b/>
          <w:bCs/>
          <w:rtl/>
        </w:rPr>
        <w:t>הג' ראמ"ה</w:t>
      </w:r>
      <w:r w:rsidRPr="0041053F">
        <w:rPr>
          <w:rFonts w:ascii="Narkisim" w:hAnsi="Narkisim"/>
          <w:rtl/>
        </w:rPr>
        <w:t xml:space="preserve"> דכוונת רש"י דלא מקרי מש"ה חליצה פסולה. [ויש שדייקו כן מדברי </w:t>
      </w:r>
      <w:r w:rsidRPr="0041053F">
        <w:rPr>
          <w:rFonts w:ascii="Narkisim" w:hAnsi="Narkisim"/>
          <w:b/>
          <w:bCs/>
          <w:rtl/>
        </w:rPr>
        <w:t>רש"י</w:t>
      </w:r>
      <w:r w:rsidRPr="0041053F">
        <w:rPr>
          <w:rFonts w:ascii="Narkisim" w:hAnsi="Narkisim"/>
          <w:rtl/>
        </w:rPr>
        <w:t xml:space="preserve"> כו: ד"ה קמייתא].</w:t>
      </w:r>
    </w:p>
  </w:footnote>
  <w:footnote w:id="1608">
    <w:p w14:paraId="18C392C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אמנם המהרש"ל (שם) מחקו מדברי רש"י.</w:t>
      </w:r>
    </w:p>
  </w:footnote>
  <w:footnote w:id="1609">
    <w:p w14:paraId="21E2328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וכתב דלפי סוגיין דאף בשוות הוה חליצה פסולה, צ"ל דרבנן פליגי ארבן גמליאל בתרתי.</w:t>
      </w:r>
    </w:p>
  </w:footnote>
  <w:footnote w:id="1610">
    <w:p w14:paraId="7DBA6B1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תוס' ד"ה מאי העמידו בזה מח'].</w:t>
      </w:r>
    </w:p>
  </w:footnote>
  <w:footnote w:id="1611">
    <w:p w14:paraId="73AC4F9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ואף דקאי למ"ד אין זיקה, מ"מ מתברר למפרע ע"י החליצה דהיתה זקוקה לה. וצ"ב.</w:t>
      </w:r>
    </w:p>
  </w:footnote>
  <w:footnote w:id="1612">
    <w:p w14:paraId="3475364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וביאר דאיירי שחלץ לצרת לאה תחילה, ולא חלץ ללאה עד שחלץ (לצרתה של [אולי ט"ס]) רחל, ואחר שחלץ לצרת רחל חלץ ללאה.</w:t>
      </w:r>
    </w:p>
  </w:footnote>
  <w:footnote w:id="1613">
    <w:p w14:paraId="0FB0427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ומבואר בדבריו דדעת ר"י דחליצת חיזור אוסרת בקרובותיה. אבל לאחר חליצה ראשונה לא אמרי' דיש זיקה, וליכא איסור אחות זקוקתו [ואף דעדיין זקוקה לחיזור]. ויל"פ עד"ז הא דתוס' נקטו הלשון 'כעין שפירש הר"א', דהכא קאי באחות זקוקתו. [וע' בית מאיר (בסו"ד) שדחה פי' זה]. [אך בתוס' דידן קאי בין חלץ קודם או אח"כ, וכר' אברהם. ואפשר דחסר בדברי התוס'].</w:t>
      </w:r>
    </w:p>
    <w:p w14:paraId="77F1E488" w14:textId="77777777" w:rsidR="006074A5" w:rsidRPr="0041053F" w:rsidRDefault="006074A5" w:rsidP="006074A5">
      <w:pPr>
        <w:pStyle w:val="Footnote"/>
        <w:bidi/>
        <w:rPr>
          <w:rFonts w:ascii="Narkisim" w:hAnsi="Narkisim"/>
        </w:rPr>
      </w:pPr>
      <w:r w:rsidRPr="0041053F">
        <w:rPr>
          <w:rFonts w:ascii="Narkisim" w:hAnsi="Narkisim"/>
          <w:rtl/>
        </w:rPr>
        <w:tab/>
        <w:t>וה</w:t>
      </w:r>
      <w:r w:rsidRPr="0041053F">
        <w:rPr>
          <w:rFonts w:ascii="Narkisim" w:hAnsi="Narkisim"/>
          <w:b/>
          <w:bCs/>
          <w:rtl/>
        </w:rPr>
        <w:t>בית מאיר</w:t>
      </w:r>
      <w:r w:rsidRPr="0041053F">
        <w:rPr>
          <w:rFonts w:ascii="Narkisim" w:hAnsi="Narkisim"/>
          <w:rtl/>
        </w:rPr>
        <w:t xml:space="preserve"> העלה צד לחלק בין חליצה פסולה גמורה, דהוה דין חיזור. ואילו הכא איירי בחליצת הצרה דלא הוה פסולה כ"כ [וע"ד דברי רב אשי בסמוך], אך דחה דהגמ' כאן לא ס"ל הכי.</w:t>
      </w:r>
    </w:p>
  </w:footnote>
  <w:footnote w:id="1614">
    <w:p w14:paraId="15D91C7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תוס' מהר"ם ור"פ</w:t>
      </w:r>
      <w:r w:rsidRPr="0041053F">
        <w:rPr>
          <w:rFonts w:ascii="Narkisim" w:hAnsi="Narkisim"/>
          <w:rtl/>
        </w:rPr>
        <w:t xml:space="preserve"> הק' כן, ותי' [וחזר בו] דאיירי שחלץ הראשון קודם נפילת שני. וכתחילת דברי התוס'. [ולפ"ז אי"צ כל האריכות דלעיל].</w:t>
      </w:r>
    </w:p>
  </w:footnote>
  <w:footnote w:id="1615">
    <w:p w14:paraId="45249ED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דמ"מ לשמואל אמרי' אף בזה נאסרה. ומבואר דמ"מ הוה גדר נאסרה שונה]. והעירו דב</w:t>
      </w:r>
      <w:r w:rsidRPr="0041053F">
        <w:rPr>
          <w:rFonts w:ascii="Narkisim" w:hAnsi="Narkisim"/>
          <w:b/>
          <w:bCs/>
          <w:rtl/>
        </w:rPr>
        <w:t>מהרש"א</w:t>
      </w:r>
      <w:r w:rsidRPr="0041053F">
        <w:rPr>
          <w:rFonts w:ascii="Narkisim" w:hAnsi="Narkisim"/>
          <w:rtl/>
        </w:rPr>
        <w:t xml:space="preserve"> מבואר דלא כן.</w:t>
      </w:r>
    </w:p>
  </w:footnote>
  <w:footnote w:id="1616">
    <w:p w14:paraId="28EFB4F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דהרמב"ן ביאר סברת המקשן דצרה במקום ערוה, ומש"ה שניהם אסורות בשווה. ובזה פליג רב אשי דקיל. [ולדעת הראשונים דרב אשי ס"ל דהותרה לגמרי, ויל"ד מנ"ל, ואפשר דסתימת הלשון משמע כן].</w:t>
      </w:r>
    </w:p>
  </w:footnote>
  <w:footnote w:id="1617">
    <w:p w14:paraId="0EFE4D6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י"ל דרש"י התם לא קאי כרב אשי. [אלא דתוס' והרמב"ן העמידו דל"ק דלעיל ע"כ ס"ל כרב אשי].</w:t>
      </w:r>
    </w:p>
  </w:footnote>
  <w:footnote w:id="1618">
    <w:p w14:paraId="4CEC7B4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שיע' ר' שמואל</w:t>
      </w:r>
      <w:r w:rsidRPr="0041053F">
        <w:rPr>
          <w:rFonts w:ascii="Narkisim" w:hAnsi="Narkisim"/>
          <w:rtl/>
        </w:rPr>
        <w:t xml:space="preserve"> ביאר דאחות זקוקה אסורה רק מדרבנן, ואין בה חיוב כרת, ולכן אף שתקנו שדינה כאחות אשתו מדינא אינה פוטרת צרתה כלל, אלא דהוה תקנה בפנ"ע דתקנו שהצרה הוה דומיא דצרת אחות אשה.</w:t>
      </w:r>
    </w:p>
  </w:footnote>
  <w:footnote w:id="1619">
    <w:p w14:paraId="27422D3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ואפשר דכיון דאשת אח קדים, לא חל איסור דרבנן על איסור דאורייתא [וחל רק לאחר נפילה].</w:t>
      </w:r>
    </w:p>
  </w:footnote>
  <w:footnote w:id="1620">
    <w:p w14:paraId="30CE137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ואף במקום שיש חליצה מעליא.</w:t>
      </w:r>
    </w:p>
  </w:footnote>
  <w:footnote w:id="1621">
    <w:p w14:paraId="6CCE813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והרא"ש סיים ודוקא אמצעית חולצת מא', אבל ב' ראשונות אי נפול בב"א זה חולץ לא'. והמפרשים תמהו דכ"ש בנפלו בזא"ז, וה</w:t>
      </w:r>
      <w:r w:rsidRPr="0041053F">
        <w:rPr>
          <w:rFonts w:ascii="Narkisim" w:hAnsi="Narkisim"/>
          <w:b/>
          <w:bCs/>
          <w:rtl/>
        </w:rPr>
        <w:t>מהרש"א</w:t>
      </w:r>
      <w:r w:rsidRPr="0041053F">
        <w:rPr>
          <w:rFonts w:ascii="Narkisim" w:hAnsi="Narkisim"/>
          <w:rtl/>
        </w:rPr>
        <w:t xml:space="preserve"> גרס אפי', וה</w:t>
      </w:r>
      <w:r w:rsidRPr="0041053F">
        <w:rPr>
          <w:rFonts w:ascii="Narkisim" w:hAnsi="Narkisim"/>
          <w:b/>
          <w:bCs/>
          <w:rtl/>
        </w:rPr>
        <w:t>ב"ח</w:t>
      </w:r>
      <w:r w:rsidRPr="0041053F">
        <w:rPr>
          <w:rFonts w:ascii="Narkisim" w:hAnsi="Narkisim"/>
          <w:rtl/>
        </w:rPr>
        <w:t xml:space="preserve"> גרס 'אי לא', וע' באחרונים.</w:t>
      </w:r>
    </w:p>
  </w:footnote>
  <w:footnote w:id="1622">
    <w:p w14:paraId="493F2C6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בכוונתו מאיזה דין חיישינן לכתחילה].</w:t>
      </w:r>
    </w:p>
  </w:footnote>
  <w:footnote w:id="1623">
    <w:p w14:paraId="1796A7E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יש"ש</w:t>
      </w:r>
      <w:r w:rsidRPr="0041053F">
        <w:rPr>
          <w:rFonts w:ascii="Narkisim" w:hAnsi="Narkisim"/>
          <w:rtl/>
        </w:rPr>
        <w:t xml:space="preserve"> הקשה דאף דרב אשי קאי אליבא דלישנא קמא, מ"מ מנלן דאינו סובר אף כל"ב לחלק בין מיפטר נפשיה לצרה. [וע' ק"נ א].</w:t>
      </w:r>
    </w:p>
  </w:footnote>
  <w:footnote w:id="1624">
    <w:p w14:paraId="09B4563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ויל"ד אי הוה כלל בכל כללי הוראה, דלא קי"ל כמ"ד היכא דאליבא דנפשיה שרי. ואפשר דדוקא בכלל דהלכה כרב באיסורי, דהוה במה שאליבא דנפשיה.</w:t>
      </w:r>
    </w:p>
  </w:footnote>
  <w:footnote w:id="1625">
    <w:p w14:paraId="665D054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טור </w:t>
      </w:r>
      <w:r w:rsidRPr="0041053F">
        <w:rPr>
          <w:rFonts w:ascii="Narkisim" w:hAnsi="Narkisim"/>
          <w:rtl/>
        </w:rPr>
        <w:t>הביא בשם ה</w:t>
      </w:r>
      <w:r w:rsidRPr="0041053F">
        <w:rPr>
          <w:rFonts w:ascii="Narkisim" w:hAnsi="Narkisim"/>
          <w:b/>
          <w:bCs/>
          <w:rtl/>
        </w:rPr>
        <w:t>רמב"ם</w:t>
      </w:r>
      <w:r w:rsidRPr="0041053F">
        <w:rPr>
          <w:rFonts w:ascii="Narkisim" w:hAnsi="Narkisim"/>
          <w:rtl/>
        </w:rPr>
        <w:t xml:space="preserve"> (ה יא) דהיכא דפסולות בשווה מהני חליצה דא' מהם. ודוקא היכא דפסל טפי בעי חיזור. אבל </w:t>
      </w:r>
      <w:r w:rsidRPr="0041053F">
        <w:rPr>
          <w:rFonts w:ascii="Narkisim" w:hAnsi="Narkisim"/>
          <w:b/>
          <w:bCs/>
          <w:rtl/>
        </w:rPr>
        <w:t>ה"ה</w:t>
      </w:r>
      <w:r w:rsidRPr="0041053F">
        <w:rPr>
          <w:rFonts w:ascii="Narkisim" w:hAnsi="Narkisim"/>
          <w:rtl/>
        </w:rPr>
        <w:t xml:space="preserve"> גרס (שם) דבעי חליצת כל א', ואף בשוות בעי חיזור.</w:t>
      </w:r>
    </w:p>
  </w:footnote>
  <w:footnote w:id="1626">
    <w:p w14:paraId="19A13C1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נקטו המפרשים דהרמב"ם פסק כשמואל. אבל ה</w:t>
      </w:r>
      <w:r w:rsidRPr="0041053F">
        <w:rPr>
          <w:rFonts w:ascii="Narkisim" w:hAnsi="Narkisim"/>
          <w:b/>
          <w:bCs/>
          <w:rtl/>
        </w:rPr>
        <w:t>רמב"ן</w:t>
      </w:r>
      <w:r w:rsidRPr="0041053F">
        <w:rPr>
          <w:rFonts w:ascii="Narkisim" w:hAnsi="Narkisim"/>
          <w:rtl/>
        </w:rPr>
        <w:t xml:space="preserve"> הק' דהרמב"ם הזכיר חיזור האחים, דהוה אליבא דרב. [דלשמואל לא מצאנו כלל חיזור האחים]. ואילו בסוגיין מבואר דלרב אמצעית צריכה חליצה משניהם, ואף החולצת אינה ניתרת בחליצה פסולה. וע"כ דכוונת הרמב"ם לפסוק כשמואל.</w:t>
      </w:r>
    </w:p>
  </w:footnote>
  <w:footnote w:id="1627">
    <w:p w14:paraId="598AB4B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והרשב"א כת' דהרמב"ם כתב קצת דברים שאינם מחוורים.</w:t>
      </w:r>
    </w:p>
  </w:footnote>
  <w:footnote w:id="1628">
    <w:p w14:paraId="3942B39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 (בסו"ד) דדנו היכא שמת האח, האם יחשב חשובה למפרע או לא. [דבשעתו לא היתה חליצה שלימה, ולא הושלם].</w:t>
      </w:r>
    </w:p>
  </w:footnote>
  <w:footnote w:id="1629">
    <w:p w14:paraId="4EF0275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ולדעת רש"י (כו:) חליציה פסולה לא תלי בקלישות הזיקה.</w:t>
      </w:r>
    </w:p>
  </w:footnote>
  <w:footnote w:id="1630">
    <w:p w14:paraId="6E21B74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חי' הגר"נ</w:t>
      </w:r>
      <w:r w:rsidRPr="0041053F">
        <w:rPr>
          <w:rFonts w:ascii="Narkisim" w:hAnsi="Narkisim"/>
          <w:rtl/>
        </w:rPr>
        <w:t xml:space="preserve"> כתב ד</w:t>
      </w:r>
      <w:r w:rsidRPr="0041053F">
        <w:rPr>
          <w:rFonts w:ascii="Narkisim" w:hAnsi="Narkisim"/>
          <w:b/>
          <w:bCs/>
          <w:rtl/>
        </w:rPr>
        <w:t>רש"י</w:t>
      </w:r>
      <w:r w:rsidRPr="0041053F">
        <w:rPr>
          <w:rFonts w:ascii="Narkisim" w:hAnsi="Narkisim"/>
          <w:rtl/>
        </w:rPr>
        <w:t xml:space="preserve"> לא פי' כן [וכמ"ש בתו"י], לשיטתו דחליצה פסולה הוא חסרון ב'מעשה החליצה', ולא קלישות הזיקה.</w:t>
      </w:r>
    </w:p>
  </w:footnote>
  <w:footnote w:id="1631">
    <w:p w14:paraId="1E81F37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תו"י</w:t>
      </w:r>
      <w:r w:rsidRPr="0041053F">
        <w:rPr>
          <w:rFonts w:ascii="Narkisim" w:hAnsi="Narkisim"/>
          <w:rtl/>
        </w:rPr>
        <w:t xml:space="preserve"> יישב דעדיפא הוא טעם שתפטר ע"י חליצת השניה.</w:t>
      </w:r>
    </w:p>
  </w:footnote>
  <w:footnote w:id="1632">
    <w:p w14:paraId="7A66FF9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משמע שיש כאן נידון של קדימה, על איזה רמי עיקר המצוה. ולא נידון האם בכח פעולה א' להועיל לשני.</w:t>
      </w:r>
    </w:p>
  </w:footnote>
  <w:footnote w:id="1633">
    <w:p w14:paraId="5C6917E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וקצת משמע דכוונתו הגמ' דכיון דאיין נפק"מ במעלתו, א"כ הדין נותן שיכול לפטור.</w:t>
      </w:r>
    </w:p>
  </w:footnote>
  <w:footnote w:id="1634">
    <w:p w14:paraId="46C5F7A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וכתב דמכאן למד הטור דכ"ד רש"י [מהא דרש"י סתם ולא פי']. אבל שאר פוסקים ציינו מקורו מ</w:t>
      </w:r>
      <w:r w:rsidRPr="0041053F">
        <w:rPr>
          <w:rFonts w:ascii="Narkisim" w:hAnsi="Narkisim"/>
          <w:b/>
          <w:bCs/>
          <w:rtl/>
        </w:rPr>
        <w:t>רש"י</w:t>
      </w:r>
      <w:r w:rsidRPr="0041053F">
        <w:rPr>
          <w:rFonts w:ascii="Narkisim" w:hAnsi="Narkisim"/>
          <w:rtl/>
        </w:rPr>
        <w:t xml:space="preserve"> (לקמן נב.).</w:t>
      </w:r>
    </w:p>
  </w:footnote>
  <w:footnote w:id="1635">
    <w:p w14:paraId="33BB284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וסיים אלא דבגמ' כאן נכונים דבריו, דלשמואל בשוין פוטרת, דלא כלישנא דהתחיל. [דקי"ל כהך לישנא].</w:t>
      </w:r>
    </w:p>
  </w:footnote>
  <w:footnote w:id="1636">
    <w:p w14:paraId="2E05C8E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ביאר [אף לצד דמ"ד אין זיקה מודה דבעי' חליצה מעולה, וכמ"ש תוס' כו: ד"ה מדקאמרת, בדעת רש"י] דאף דהכא אינו רשאי לייבם משום ביטול מצוות יבמין, משום הכי לא אלימא זיקה דצריך חליצה מעולה. [אבל לדעת תוס' שם למ"ד אין זיקה ל"צ חליצה מעולה].</w:t>
      </w:r>
    </w:p>
  </w:footnote>
  <w:footnote w:id="1637">
    <w:p w14:paraId="2EF8D88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לדעת רב אשי (בע"א, אליבא דשמואל) לא אלימא זיקה לשווי לצרה כערוה.</w:t>
      </w:r>
    </w:p>
  </w:footnote>
  <w:footnote w:id="1638">
    <w:p w14:paraId="1B96822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וכיון דצריכה חיזור, אסור באחותה. [ודלא כר' אברהם לבורגוייל, ע' לעיל].</w:t>
      </w:r>
    </w:p>
  </w:footnote>
  <w:footnote w:id="1639">
    <w:p w14:paraId="780B582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ואולי יש לחלק דגט נחשב בידו. משא"כ חליצה, דתלי אף במעשה דהיבמה. ועוד יש לחלק דהתם איסור אשת איש הוה איסור חיצוני, וכיון דבידו להתיר לעצם האיסור סגי בהכי. אבל גדר חליצה לאחיות לא נחשב סילוק איסור חיצוני.</w:t>
      </w:r>
    </w:p>
  </w:footnote>
  <w:footnote w:id="1640">
    <w:p w14:paraId="6642798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ומקור לסברתו מדברי ה</w:t>
      </w:r>
      <w:r w:rsidRPr="0041053F">
        <w:rPr>
          <w:rFonts w:ascii="Narkisim" w:hAnsi="Narkisim"/>
          <w:b/>
          <w:bCs/>
          <w:rtl/>
        </w:rPr>
        <w:t>רשב"א</w:t>
      </w:r>
      <w:r w:rsidRPr="0041053F">
        <w:rPr>
          <w:rFonts w:ascii="Narkisim" w:hAnsi="Narkisim"/>
          <w:rtl/>
        </w:rPr>
        <w:t xml:space="preserve"> (בע"א). ויל"ד בזה דמ"מ השתא תרוייהו אסורים בשווה, ומה איכפ"ל דהיתה ראויה שעה א'. [ועד"ז הק' הרמב"ן לעיל].</w:t>
      </w:r>
    </w:p>
  </w:footnote>
  <w:footnote w:id="1641">
    <w:p w14:paraId="1F3E3A3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[ועד"ז כת' ה</w:t>
      </w:r>
      <w:r w:rsidRPr="0041053F">
        <w:rPr>
          <w:rFonts w:ascii="Narkisim" w:hAnsi="Narkisim"/>
          <w:b/>
          <w:bCs/>
          <w:rtl/>
        </w:rPr>
        <w:t>ראב"ד</w:t>
      </w:r>
      <w:r w:rsidRPr="0041053F">
        <w:rPr>
          <w:rFonts w:ascii="Narkisim" w:hAnsi="Narkisim"/>
          <w:rtl/>
        </w:rPr>
        <w:t xml:space="preserve"> (לרי"ף) דלכתחילה בעי' חליצה מעלייתא טפי. ודנו בזה הראשונים והפוסקים. ואכמ"ל].</w:t>
      </w:r>
    </w:p>
  </w:footnote>
  <w:footnote w:id="1642">
    <w:p w14:paraId="314D277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וכ"מ בגמ' (שם) לדעת רב אליבא דמ"ד יש זיקה.</w:t>
      </w:r>
    </w:p>
  </w:footnote>
  <w:footnote w:id="1643">
    <w:p w14:paraId="77EF593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ודעת </w:t>
      </w:r>
      <w:r w:rsidRPr="0041053F">
        <w:rPr>
          <w:rFonts w:ascii="Narkisim" w:hAnsi="Narkisim"/>
          <w:b/>
          <w:bCs/>
          <w:rtl/>
        </w:rPr>
        <w:t>תוס</w:t>
      </w:r>
      <w:r w:rsidRPr="0041053F">
        <w:rPr>
          <w:rFonts w:ascii="Narkisim" w:hAnsi="Narkisim"/>
          <w:rtl/>
        </w:rPr>
        <w:t>' (לעיל ב.) דשייך 'דרכי נועם' כיון דנפטרה מיבם זה לגמרי. אבל דעת ה</w:t>
      </w:r>
      <w:r w:rsidRPr="0041053F">
        <w:rPr>
          <w:rFonts w:ascii="Narkisim" w:hAnsi="Narkisim"/>
          <w:b/>
          <w:bCs/>
          <w:rtl/>
        </w:rPr>
        <w:t>רשב"א</w:t>
      </w:r>
      <w:r w:rsidRPr="0041053F">
        <w:rPr>
          <w:rFonts w:ascii="Narkisim" w:hAnsi="Narkisim"/>
          <w:rtl/>
        </w:rPr>
        <w:t xml:space="preserve"> (יז:) דלא שייך דרכי נועם כשלא הותרה לשוק.</w:t>
      </w:r>
    </w:p>
  </w:footnote>
  <w:footnote w:id="1644">
    <w:p w14:paraId="343D94A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וק"ק לשון הגמ' 'זיקה דרבנן', ולכאורה מבואר דאף האיסור לבטל מצוות יבמין הוה מחמת הזיקה.</w:t>
      </w:r>
    </w:p>
  </w:footnote>
  <w:footnote w:id="1645">
    <w:p w14:paraId="397C9B3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אמנם ריב"ן בתוס' (ד"ה איתיביה) כת' דאף לדעת רב המשנה קאי כמ"ד יש זיקה [אלא דרב פסק דלא כמתני'. וה"נ דין תחזור להיתירא הוא דלא כתנא דמתני']. אך בהמשך התוס' דחו, דלרב המשנה קאי כמ"ד אין זיקה.</w:t>
      </w:r>
    </w:p>
  </w:footnote>
  <w:footnote w:id="1646">
    <w:p w14:paraId="7C5B70E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והוסיף ה</w:t>
      </w:r>
      <w:r w:rsidRPr="0041053F">
        <w:rPr>
          <w:rFonts w:ascii="Narkisim" w:hAnsi="Narkisim"/>
          <w:b/>
          <w:bCs/>
          <w:rtl/>
        </w:rPr>
        <w:t>רשב"א</w:t>
      </w:r>
      <w:r w:rsidRPr="0041053F">
        <w:rPr>
          <w:rFonts w:ascii="Narkisim" w:hAnsi="Narkisim"/>
          <w:rtl/>
        </w:rPr>
        <w:t xml:space="preserve"> דאי דאורייתא לא היתה חולצת וכדר' שמעון (כח:) דאמר בשעה שנעשו צרות לא יהא לך לקוחין אפי' בא'. [וצ"ב].</w:t>
      </w:r>
    </w:p>
  </w:footnote>
  <w:footnote w:id="1647">
    <w:p w14:paraId="5B08668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בי"ש</w:t>
      </w:r>
      <w:r w:rsidRPr="0041053F">
        <w:rPr>
          <w:rFonts w:ascii="Narkisim" w:hAnsi="Narkisim"/>
          <w:rtl/>
        </w:rPr>
        <w:t xml:space="preserve"> (קעג טו) הביא בשם השלט"ג דאחות זקוקה הוה מדרבנן. אך ציין לדברי ר"ח (בתוס' דידן). וב</w:t>
      </w:r>
      <w:r w:rsidRPr="0041053F">
        <w:rPr>
          <w:rFonts w:ascii="Narkisim" w:hAnsi="Narkisim"/>
          <w:b/>
          <w:bCs/>
          <w:rtl/>
        </w:rPr>
        <w:t>שו"ת חכ"צ</w:t>
      </w:r>
      <w:r w:rsidRPr="0041053F">
        <w:rPr>
          <w:rFonts w:ascii="Narkisim" w:hAnsi="Narkisim"/>
          <w:rtl/>
        </w:rPr>
        <w:t xml:space="preserve"> (קטז) כת' דמוכח בכולי תלמודא ובכל הפוסקים דזיקה אינה אלא מדרבנן.</w:t>
      </w:r>
    </w:p>
  </w:footnote>
  <w:footnote w:id="1648">
    <w:p w14:paraId="6C51291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ועוד הוכיחו הראשונים מהגמ' (כח:) דמדאורייתא רמיא קמי. וכמ"ש </w:t>
      </w:r>
      <w:r w:rsidRPr="0041053F">
        <w:rPr>
          <w:rFonts w:ascii="Narkisim" w:hAnsi="Narkisim"/>
          <w:b/>
          <w:bCs/>
          <w:rtl/>
        </w:rPr>
        <w:t>רש"י</w:t>
      </w:r>
      <w:r w:rsidRPr="0041053F">
        <w:rPr>
          <w:rFonts w:ascii="Narkisim" w:hAnsi="Narkisim"/>
          <w:rtl/>
        </w:rPr>
        <w:t xml:space="preserve"> (שם ד"ה משום).</w:t>
      </w:r>
    </w:p>
  </w:footnote>
  <w:footnote w:id="1649">
    <w:p w14:paraId="00A178F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נסתפק בזה ה</w:t>
      </w:r>
      <w:r w:rsidRPr="0041053F">
        <w:rPr>
          <w:rFonts w:ascii="Narkisim" w:hAnsi="Narkisim"/>
          <w:b/>
          <w:bCs/>
          <w:rtl/>
        </w:rPr>
        <w:t xml:space="preserve">בי"ש </w:t>
      </w:r>
      <w:r w:rsidRPr="0041053F">
        <w:rPr>
          <w:rFonts w:ascii="Narkisim" w:hAnsi="Narkisim"/>
          <w:rtl/>
        </w:rPr>
        <w:t>(קסה ד)]. וה</w:t>
      </w:r>
      <w:r w:rsidRPr="0041053F">
        <w:rPr>
          <w:rFonts w:ascii="Narkisim" w:hAnsi="Narkisim"/>
          <w:b/>
          <w:bCs/>
          <w:rtl/>
        </w:rPr>
        <w:t xml:space="preserve">מהר"ם </w:t>
      </w:r>
      <w:r w:rsidRPr="0041053F">
        <w:rPr>
          <w:rFonts w:ascii="Narkisim" w:hAnsi="Narkisim"/>
          <w:rtl/>
        </w:rPr>
        <w:t>הק' דא"כ נימא נאסרה אף משום ג' חדשי הבחנה ואבילות. [וכה"ק ה</w:t>
      </w:r>
      <w:r w:rsidRPr="0041053F">
        <w:rPr>
          <w:rFonts w:ascii="Narkisim" w:hAnsi="Narkisim"/>
          <w:b/>
          <w:bCs/>
          <w:rtl/>
        </w:rPr>
        <w:t>חכ"צ</w:t>
      </w:r>
      <w:r w:rsidRPr="0041053F">
        <w:rPr>
          <w:rFonts w:ascii="Narkisim" w:hAnsi="Narkisim"/>
          <w:rtl/>
        </w:rPr>
        <w:t xml:space="preserve"> (א) משום אבילות].</w:t>
      </w:r>
    </w:p>
  </w:footnote>
  <w:footnote w:id="1650">
    <w:p w14:paraId="4DA9BAD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ונח' בזה הראשונים אי חרם דר"ג עומד במקום מצוות יבום. וע' ריטב"א (לקמן מד.) והג' מרדכי (קי) ורמ"א (א י).</w:t>
      </w:r>
    </w:p>
  </w:footnote>
  <w:footnote w:id="1651">
    <w:p w14:paraId="0371F5F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ועוד כת' דנחשב ראויה ליבום, דגריעה טובא מחייבי לאוין, דגזירה ביאה ראשונה אטו ב', ונחשב ראויה. ועוד אפשר להתיר את החרם.</w:t>
      </w:r>
    </w:p>
  </w:footnote>
  <w:footnote w:id="1652">
    <w:p w14:paraId="45F6EA7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 ד</w:t>
      </w:r>
      <w:r w:rsidRPr="0041053F">
        <w:rPr>
          <w:rFonts w:ascii="Narkisim" w:hAnsi="Narkisim"/>
          <w:b/>
          <w:bCs/>
          <w:rtl/>
        </w:rPr>
        <w:t>רבינו יקר</w:t>
      </w:r>
      <w:r w:rsidRPr="0041053F">
        <w:rPr>
          <w:rFonts w:ascii="Narkisim" w:hAnsi="Narkisim"/>
          <w:rtl/>
        </w:rPr>
        <w:t xml:space="preserve"> הק' דיבמה נדה איך מותרת לייבם, הא נאסרה בשעת נפילה. ותי' דבנדה ל"ש דרכיה דרכי נועם, שהרי יודעת שתפסוק ותטהר ויהא לה היתר. ולא תנשא לאחר ותמתין עד שתתיבם. ועי"ל דנדה איסור דבר אחר גורם, כגון ערוה שפוטרות צרות, אבל נדה מחמת עצמה היא. [וצ"ב דערוה גופה, בת ואחות אשתו, הוה מחמת עצמה. ומ"ש מנדה דהוה כרת בגופא. ועוד צ"ב מה הביא מהתם, דחרם דר"ג לא הוה מחמת עצמה. וכן אינה יודעת אם ימות אשת היבם].</w:t>
      </w:r>
    </w:p>
  </w:footnote>
  <w:footnote w:id="1653">
    <w:p w14:paraId="2C8CAA5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וכ"כ </w:t>
      </w:r>
      <w:r w:rsidRPr="0041053F">
        <w:rPr>
          <w:rFonts w:ascii="Narkisim" w:hAnsi="Narkisim"/>
          <w:b/>
          <w:bCs/>
          <w:rtl/>
        </w:rPr>
        <w:t>תוס</w:t>
      </w:r>
      <w:r w:rsidRPr="0041053F">
        <w:rPr>
          <w:rFonts w:ascii="Narkisim" w:hAnsi="Narkisim"/>
          <w:rtl/>
        </w:rPr>
        <w:t>' (ד"ה ורב) דעדיין זקוקה לחליצה. [אלא דתוס' דימו להיכא דיש אחים, ומש"ה לא אידחי מהאי ביתא. ולכאו' הכא גרע, דעדיין זקוקה ליבם זה].</w:t>
      </w:r>
    </w:p>
  </w:footnote>
  <w:footnote w:id="1654">
    <w:p w14:paraId="2B70D6A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שו"ת</w:t>
      </w:r>
      <w:r w:rsidRPr="0041053F">
        <w:rPr>
          <w:rFonts w:ascii="Narkisim" w:hAnsi="Narkisim"/>
          <w:rtl/>
        </w:rPr>
        <w:t xml:space="preserve"> </w:t>
      </w:r>
      <w:r w:rsidRPr="0041053F">
        <w:rPr>
          <w:rFonts w:ascii="Narkisim" w:hAnsi="Narkisim"/>
          <w:b/>
          <w:bCs/>
          <w:rtl/>
        </w:rPr>
        <w:t>מהר"ם</w:t>
      </w:r>
      <w:r w:rsidRPr="0041053F">
        <w:rPr>
          <w:rFonts w:ascii="Narkisim" w:hAnsi="Narkisim"/>
          <w:rtl/>
        </w:rPr>
        <w:t xml:space="preserve"> (הנ"ל) מבואר דיש נאסרה בחייבי לאוין, וכן מבואר ב</w:t>
      </w:r>
      <w:r w:rsidRPr="0041053F">
        <w:rPr>
          <w:rFonts w:ascii="Narkisim" w:hAnsi="Narkisim"/>
          <w:b/>
          <w:bCs/>
          <w:rtl/>
        </w:rPr>
        <w:t>תשב"ץ</w:t>
      </w:r>
      <w:r w:rsidRPr="0041053F">
        <w:rPr>
          <w:rFonts w:ascii="Narkisim" w:hAnsi="Narkisim"/>
          <w:rtl/>
        </w:rPr>
        <w:t xml:space="preserve"> (ב רס) ו</w:t>
      </w:r>
      <w:r w:rsidRPr="0041053F">
        <w:rPr>
          <w:rFonts w:ascii="Narkisim" w:hAnsi="Narkisim"/>
          <w:b/>
          <w:bCs/>
          <w:rtl/>
        </w:rPr>
        <w:t>מהר"ם חלואה</w:t>
      </w:r>
      <w:r w:rsidRPr="0041053F">
        <w:rPr>
          <w:rFonts w:ascii="Narkisim" w:hAnsi="Narkisim"/>
          <w:rtl/>
        </w:rPr>
        <w:t xml:space="preserve"> (קלו) שדנו שיהא נאסרה בנודרת].</w:t>
      </w:r>
    </w:p>
  </w:footnote>
  <w:footnote w:id="1655">
    <w:p w14:paraId="22E6A95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ולפ"ז ר' יוחנן יחלוק על תחילת דברי רב, דחלץ לראשונה לא הותרה צרתה. דל"מ חליצה פסולה [לפטור צרתה, עכ"פ במקום חליצה מעולה].</w:t>
      </w:r>
    </w:p>
  </w:footnote>
  <w:footnote w:id="1656">
    <w:p w14:paraId="05FB5A0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אבל לרב א"א לפרש את המשנה מדין נאסרה, וכמו שהקשה </w:t>
      </w:r>
      <w:r w:rsidRPr="0041053F">
        <w:rPr>
          <w:rFonts w:ascii="Narkisim" w:hAnsi="Narkisim"/>
          <w:b/>
          <w:bCs/>
          <w:rtl/>
        </w:rPr>
        <w:t>רש"י</w:t>
      </w:r>
      <w:r w:rsidRPr="0041053F">
        <w:rPr>
          <w:rFonts w:ascii="Narkisim" w:hAnsi="Narkisim"/>
          <w:rtl/>
        </w:rPr>
        <w:t xml:space="preserve"> (סוד"ה מתה).</w:t>
      </w:r>
    </w:p>
  </w:footnote>
  <w:footnote w:id="1657">
    <w:p w14:paraId="16BA90B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ויל"ד אי נימא דאם בעלו ל"ק [אי הוה מדאורייתא].</w:t>
      </w:r>
    </w:p>
  </w:footnote>
  <w:footnote w:id="1658">
    <w:p w14:paraId="0E4DCCB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לצד דאי איסור לבטל מצוות יבמין הוה מדאורייתא הוה אמרי' 'נאסרה', ע"כ דעצם האיסור לייבם גורם שיחשב נאסרה.</w:t>
      </w:r>
    </w:p>
  </w:footnote>
  <w:footnote w:id="1659">
    <w:p w14:paraId="59B2557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ובגמ' (לעיל כד.) אי' דהך משנה קאי אי למ"ד יש זיקה, ואי למ"ד אסור לבטל מצוות יבמין. [דהגמ' מסתפקת בזה, או כוונת הגמ' דיש מח' האיך להעמיד את המשנה. א"נ כוונת הגמ' דקאי לכו"ע]. ונח' בתוס' (ד"ה איתיביה) לדעת רב האם המשנה כמ"ד יש זיקה.</w:t>
      </w:r>
    </w:p>
  </w:footnote>
  <w:footnote w:id="1660">
    <w:p w14:paraId="2986057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[והך משנה לא הוה מדברי ר' מאיר]. [ועוד נח' האמוראים במשניות (לקמן ל.) אי קאי כמ"ד יש זיקה או כמ"ד אין זיקה].</w:t>
      </w:r>
    </w:p>
  </w:footnote>
  <w:footnote w:id="1661">
    <w:p w14:paraId="158D298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ה</w:t>
      </w:r>
      <w:r w:rsidRPr="0041053F">
        <w:rPr>
          <w:rFonts w:ascii="Narkisim" w:hAnsi="Narkisim"/>
          <w:b/>
          <w:bCs/>
          <w:rtl/>
        </w:rPr>
        <w:t>גמ'</w:t>
      </w:r>
      <w:r w:rsidRPr="0041053F">
        <w:rPr>
          <w:rFonts w:ascii="Narkisim" w:hAnsi="Narkisim"/>
          <w:rtl/>
        </w:rPr>
        <w:t xml:space="preserve"> (כג:) מק' מ"ש גבי ספיקות אמרי' דא' חולץ וא' מייבם [ופ</w:t>
      </w:r>
      <w:r w:rsidRPr="0041053F">
        <w:rPr>
          <w:rFonts w:ascii="Narkisim" w:hAnsi="Narkisim"/>
          <w:b/>
          <w:bCs/>
          <w:rtl/>
        </w:rPr>
        <w:t>רש"י</w:t>
      </w:r>
      <w:r w:rsidRPr="0041053F">
        <w:rPr>
          <w:rFonts w:ascii="Narkisim" w:hAnsi="Narkisim"/>
          <w:rtl/>
        </w:rPr>
        <w:t xml:space="preserve"> (שם) דמהדרינן לייבם], ואילו בהך משנה תרוייהו חולצות [כ"פ התוס' קו' הגמ']. והגמ' תי' אי למ"ד יש זיקה, אי למ"ד אסור לבטל מצוות יבמין. וקיצר ולא פירש מ"ט דלאחר שחלץ הא', השני אינו מייבם. [דזהו עיקר קו' הגמ']. [וע' רש"י ותוס' שטרחו לפרש].</w:t>
      </w:r>
    </w:p>
  </w:footnote>
  <w:footnote w:id="1662">
    <w:p w14:paraId="63801FA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ויחלוץ לאיזה שירצה, וייבם השניה. [ועדיף מקו' הגמ' דידן. אך ע"פ דברי רש"י זהו קו' הגמ' כאן אליבא דרב].</w:t>
      </w:r>
    </w:p>
  </w:footnote>
  <w:footnote w:id="1663">
    <w:p w14:paraId="454C09B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ולריב"ן י"ל דאה"נ, ואף להך מ"ד אינה משנה [וכמ"ש רש"י בסוגיין]. א"נ כוונת ריב"ן לשמואל (מא.) דאינו חוזר להיתר. [וצ"ב קו' התוס'].</w:t>
      </w:r>
    </w:p>
  </w:footnote>
  <w:footnote w:id="1664">
    <w:p w14:paraId="111C769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ור' יוחנן נשאר בקו', איני יודע מי שנאן.</w:t>
      </w:r>
    </w:p>
  </w:footnote>
  <w:footnote w:id="1665">
    <w:p w14:paraId="0BFF181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תוס' מהר"ם ור"פ</w:t>
      </w:r>
      <w:r w:rsidRPr="0041053F">
        <w:rPr>
          <w:rFonts w:ascii="Narkisim" w:hAnsi="Narkisim"/>
          <w:rtl/>
        </w:rPr>
        <w:t xml:space="preserve"> כת' דדוחק לומר דרב ור' יוחנן פליגי בסברא זו, אי חליצת חיזור אוסרת בקרובותיה.</w:t>
      </w:r>
    </w:p>
  </w:footnote>
  <w:footnote w:id="1666">
    <w:p w14:paraId="544AEC0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כוונתו דאף דנשא אשתו קודם לכן, תאסר עליו משום אחות חלוצתו.</w:t>
      </w:r>
    </w:p>
  </w:footnote>
  <w:footnote w:id="1667">
    <w:p w14:paraId="594E076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ויש שהביאו מדבריו דהיכא דאינה רוצה לינשא ליכא מצוות חליצה [ונח' בזה הפוסקים, ע"ע לקמן לט:]. ויש לדחות דאף דמצווה, מ"מ עדיף לייבם לשניה. ועוד נראה דהכא הוה חליצת חיזור, ואינו צריך לעיקר הקמת שם, אלא להתרת היבמה.</w:t>
      </w:r>
    </w:p>
  </w:footnote>
  <w:footnote w:id="1668">
    <w:p w14:paraId="217E2CF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הק' דעכ"פ הוה לגמ' להק' כן ולתרץ להדיא. וה</w:t>
      </w:r>
      <w:r w:rsidRPr="0041053F">
        <w:rPr>
          <w:rFonts w:ascii="Narkisim" w:hAnsi="Narkisim"/>
          <w:b/>
          <w:bCs/>
          <w:rtl/>
        </w:rPr>
        <w:t>רמב"ן</w:t>
      </w:r>
      <w:r w:rsidRPr="0041053F">
        <w:rPr>
          <w:rFonts w:ascii="Narkisim" w:hAnsi="Narkisim"/>
          <w:rtl/>
        </w:rPr>
        <w:t xml:space="preserve"> ו</w:t>
      </w:r>
      <w:r w:rsidRPr="0041053F">
        <w:rPr>
          <w:rFonts w:ascii="Narkisim" w:hAnsi="Narkisim"/>
          <w:b/>
          <w:bCs/>
          <w:rtl/>
        </w:rPr>
        <w:t xml:space="preserve">רשב"א </w:t>
      </w:r>
      <w:r w:rsidRPr="0041053F">
        <w:rPr>
          <w:rFonts w:ascii="Narkisim" w:hAnsi="Narkisim"/>
          <w:rtl/>
        </w:rPr>
        <w:t>כת' דפשיטא לגמ' דס"ל כשמואל.</w:t>
      </w:r>
    </w:p>
  </w:footnote>
  <w:footnote w:id="1669">
    <w:p w14:paraId="008EFA7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ומבואר דאפי' כה"ג גזרו שמא ייבם ברישא. ולכאו' ה"ה היכא דיש ג' אחים, ונפלו לפניהם ב' אחיות. [אך תוס' (לעיל יח:) כת' דגזרו טפי היכא דלעולם לא יבואו לידי היתר].</w:t>
      </w:r>
    </w:p>
  </w:footnote>
  <w:footnote w:id="1670">
    <w:p w14:paraId="082A48D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[ועד"ז כת' ה</w:t>
      </w:r>
      <w:r w:rsidRPr="0041053F">
        <w:rPr>
          <w:rFonts w:ascii="Narkisim" w:hAnsi="Narkisim"/>
          <w:b/>
          <w:bCs/>
          <w:rtl/>
        </w:rPr>
        <w:t>רא"ש</w:t>
      </w:r>
      <w:r w:rsidRPr="0041053F">
        <w:rPr>
          <w:rFonts w:ascii="Narkisim" w:hAnsi="Narkisim"/>
          <w:rtl/>
        </w:rPr>
        <w:t xml:space="preserve"> (לעיל כג: ב ד) גבי ספק אחות זקוקה חילוק בין בא לימלך. דכיון דעבר על דברי חכמים קנסו.</w:t>
      </w:r>
    </w:p>
    <w:p w14:paraId="59395C1D" w14:textId="77777777" w:rsidR="006074A5" w:rsidRPr="0041053F" w:rsidRDefault="006074A5" w:rsidP="006074A5">
      <w:pPr>
        <w:pStyle w:val="Footnote"/>
        <w:bidi/>
        <w:rPr>
          <w:rFonts w:ascii="Narkisim" w:hAnsi="Narkisim"/>
        </w:rPr>
      </w:pPr>
      <w:r w:rsidRPr="0041053F">
        <w:rPr>
          <w:rFonts w:ascii="Narkisim" w:hAnsi="Narkisim"/>
          <w:rtl/>
        </w:rPr>
        <w:tab/>
        <w:t>אך י"ל דהכא הוה סברא אחרת, דהיכא דבא לישאל בבת א' על ב' היבמות, א"כ כבר נתקבל הפסק דתרוייהו אינן ראויין ליבום. דל"ש לפסוק מעכשיו שיהא מותר לאחר זמן, דאתי לידי טעות. וכיון דבא לישאל והוכרע לאיסור, אמרי' קם דינא].</w:t>
      </w:r>
    </w:p>
  </w:footnote>
  <w:footnote w:id="1671">
    <w:p w14:paraId="088F9B1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ועד"ז כת' </w:t>
      </w:r>
      <w:r w:rsidRPr="0041053F">
        <w:rPr>
          <w:rFonts w:ascii="Narkisim" w:hAnsi="Narkisim"/>
          <w:b/>
          <w:bCs/>
          <w:rtl/>
        </w:rPr>
        <w:t>תוס</w:t>
      </w:r>
      <w:r w:rsidRPr="0041053F">
        <w:rPr>
          <w:rFonts w:ascii="Narkisim" w:hAnsi="Narkisim"/>
          <w:rtl/>
        </w:rPr>
        <w:t>' (יח. ד"ה דלמא) משום גזירה שמא ייבם ברישא.</w:t>
      </w:r>
    </w:p>
  </w:footnote>
  <w:footnote w:id="1672">
    <w:p w14:paraId="083E902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[ולפ"ז למ"ד דס"ל תרוייהו, יש זיקה וגם אסור לבטל מצוות יבמין, לאחר שתחלוץ יתייבם].</w:t>
      </w:r>
    </w:p>
  </w:footnote>
  <w:footnote w:id="1673">
    <w:p w14:paraId="632C581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בקידושין, וכתיבת כתובה, ושמירת ז' לדם חמוד וטרדת סעודת נשואין. ואדהכי והכי מיית. [ועפ"ז אמרי' לשני לחלוץ, משום שמא הוא עצמו ימות].</w:t>
      </w:r>
    </w:p>
  </w:footnote>
  <w:footnote w:id="1674">
    <w:p w14:paraId="373B7DB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וכעי"ז כת' ה</w:t>
      </w:r>
      <w:r w:rsidRPr="0041053F">
        <w:rPr>
          <w:rFonts w:ascii="Narkisim" w:hAnsi="Narkisim"/>
          <w:b/>
          <w:bCs/>
          <w:rtl/>
        </w:rPr>
        <w:t>עונג יו"ט</w:t>
      </w:r>
      <w:r w:rsidRPr="0041053F">
        <w:rPr>
          <w:rFonts w:ascii="Narkisim" w:hAnsi="Narkisim"/>
          <w:rtl/>
        </w:rPr>
        <w:t xml:space="preserve"> (קעז בהג"ה) דחליצה המותרת הוה מצוה, אבל חליצה כשאסורה לו להתייבם אמרי' דחליצה במקום יבום לאו מצוה (לעיל כא.). וכוונת הגמ' (לעיל כא.) דלאו מצוה, דאת"ל דהעשה אינו נדחה דאפשר לקיים שניהם, א"כ אין מצוה בחליצה.</w:t>
      </w:r>
    </w:p>
  </w:footnote>
  <w:footnote w:id="1675">
    <w:p w14:paraId="00527A6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ראב"ד</w:t>
      </w:r>
      <w:r w:rsidRPr="0041053F">
        <w:rPr>
          <w:rFonts w:ascii="Narkisim" w:hAnsi="Narkisim"/>
          <w:rtl/>
        </w:rPr>
        <w:t xml:space="preserve"> (שם) משמע דלכו"ע עכ"פ לכתחילה מהדרינן.</w:t>
      </w:r>
    </w:p>
  </w:footnote>
  <w:footnote w:id="1676">
    <w:p w14:paraId="772F49C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ובפשוטו כוונתו דמשום אסור לבטל נחשב חליצה פסולה. וצ"ב מאי נפק"מ בסוגיין, ומה בא לפרש. ואי כוונתו דצריך חליצת חיזור ומש"ה אסור באחות, וכריב"ן. א"כ כ"ש משום יש זיקה. [וע"כ דר' יוחנן ל"ל חליצת חיזור. ואין חילוק בין מ"ד יש זיקה, או משום אסור לבטל].</w:t>
      </w:r>
    </w:p>
  </w:footnote>
  <w:footnote w:id="1677">
    <w:p w14:paraId="6C2DB77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(לקמן מא.) דן דתלי בנידון אי קידושין מפקיעי זיקה. וכת' דיש לדחות למ"ד אין זיקה ודאי יוצאת בלא כלום, וקידושין מפקיעי. ועי"ש עוד.</w:t>
      </w:r>
    </w:p>
  </w:footnote>
  <w:footnote w:id="1678">
    <w:p w14:paraId="30E3978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תוס</w:t>
      </w:r>
      <w:r w:rsidRPr="0041053F">
        <w:rPr>
          <w:rFonts w:ascii="Narkisim" w:hAnsi="Narkisim"/>
          <w:rtl/>
        </w:rPr>
        <w:t xml:space="preserve">' (יח., כד. וכז:) כת' משום גזירה שמא ייבם ברישא. אך מדברי </w:t>
      </w:r>
      <w:r w:rsidRPr="0041053F">
        <w:rPr>
          <w:rFonts w:ascii="Narkisim" w:hAnsi="Narkisim"/>
          <w:b/>
          <w:bCs/>
          <w:rtl/>
        </w:rPr>
        <w:t>רש"י</w:t>
      </w:r>
      <w:r w:rsidRPr="0041053F">
        <w:rPr>
          <w:rFonts w:ascii="Narkisim" w:hAnsi="Narkisim"/>
          <w:rtl/>
        </w:rPr>
        <w:t xml:space="preserve"> דהטעם משום דנתבטל דיני יבום [ואינו חוזר וניעור]. ואף בלא טעם גזירה. וכ"כ ה</w:t>
      </w:r>
      <w:r w:rsidRPr="0041053F">
        <w:rPr>
          <w:rFonts w:ascii="Narkisim" w:hAnsi="Narkisim"/>
          <w:b/>
          <w:bCs/>
          <w:rtl/>
        </w:rPr>
        <w:t>ראב"ד</w:t>
      </w:r>
      <w:r w:rsidRPr="0041053F">
        <w:rPr>
          <w:rFonts w:ascii="Narkisim" w:hAnsi="Narkisim"/>
          <w:rtl/>
        </w:rPr>
        <w:t xml:space="preserve"> (כתוב שם) דהגזירה דתחילת הסוגיא משום טעותא, ואילו למ"ד אסור לבטל מצוות יבמין משום פחד שמא ימות, וביטול מצוות יבמין הוה איסור גמור. [ויל"פ כוונתו דלמ"ד דהטעם משום שמא ימות וחשש איסור לבטל, ע"כ דגזרו איסור חדש ביבום אלו. דל"ש תקנה לחוש לצד רחוק שיתבטל מצוות יבמין, וע"כ דהוה תקנה מוחלטת מעכשיו בגוף היבום. משא"כ למ"ד יש זיקה, דהגדר דתקנו איסור ערוה דרבנן דאחות זקוקה]. [אך הרמב"ן צירף הדברים].</w:t>
      </w:r>
    </w:p>
  </w:footnote>
  <w:footnote w:id="1679">
    <w:p w14:paraId="2638434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וציין ל</w:t>
      </w:r>
      <w:r w:rsidRPr="0041053F">
        <w:rPr>
          <w:rFonts w:ascii="Narkisim" w:hAnsi="Narkisim"/>
          <w:b/>
          <w:bCs/>
          <w:rtl/>
        </w:rPr>
        <w:t>שעה"מ</w:t>
      </w:r>
      <w:r w:rsidRPr="0041053F">
        <w:rPr>
          <w:rFonts w:ascii="Narkisim" w:hAnsi="Narkisim"/>
          <w:rtl/>
        </w:rPr>
        <w:t xml:space="preserve"> (סוכה, בדעת ר' זירא שם כג.) דבביטול עשה לא חיישי' לשמא ימות. והוסיף דאכילה חוץ לסוכה חמיר, דהוה ביטול עשה בידים בקום ועשה, ואילו הכא מבטל בשב ואל תעשה. [אלא דעשה מעיקרא 'מעשה' שמסלק מעליו בידים את המצוה, על סמך דעדיין יכול להתקיים ע"י אחיו. ואח"כ נתבטל ממילא, ואיגלאי דסילק מעליו המצווה].</w:t>
      </w:r>
    </w:p>
  </w:footnote>
  <w:footnote w:id="1680">
    <w:p w14:paraId="5778ACB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ובפשוטו כוונת רש"י להביא מס"ד דהגמ' דלא חילקה בין הותרה ונאסרה. אך צ"ע דר' יוחנן ס"ל נאסרה, אלא דלא ס"ל הותרה ונאסרה, א"כ מה מייתי מדברי ר"א (דמתני' קט.). ולכאו' מבואר דיש בזה עכ"פ חידוש.</w:t>
      </w:r>
    </w:p>
  </w:footnote>
  <w:footnote w:id="1681">
    <w:p w14:paraId="4B87BB3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משמע כוונתו דבעינן 'רגע היתר' להחשב הותרה ונאסרה, ואף דלא נאסרה ב</w:t>
      </w:r>
      <w:r w:rsidRPr="0041053F">
        <w:rPr>
          <w:rFonts w:ascii="Narkisim" w:hAnsi="Narkisim"/>
          <w:i/>
          <w:iCs/>
          <w:rtl/>
        </w:rPr>
        <w:t>שעת</w:t>
      </w:r>
      <w:r w:rsidRPr="0041053F">
        <w:rPr>
          <w:rFonts w:ascii="Narkisim" w:hAnsi="Narkisim"/>
          <w:rtl/>
        </w:rPr>
        <w:t xml:space="preserve"> נפילה. [ונופלת ליבום, ועי"ז חל זיקה ואיסור אחות זקוקתו. והכל נחשב רגע אחד].</w:t>
      </w:r>
    </w:p>
    <w:p w14:paraId="3126A7D7" w14:textId="77777777" w:rsidR="006074A5" w:rsidRPr="0041053F" w:rsidRDefault="006074A5" w:rsidP="006074A5">
      <w:pPr>
        <w:pStyle w:val="Footnote"/>
        <w:bidi/>
        <w:rPr>
          <w:rFonts w:ascii="Narkisim" w:hAnsi="Narkisim"/>
        </w:rPr>
      </w:pPr>
      <w:r w:rsidRPr="0041053F">
        <w:rPr>
          <w:rFonts w:ascii="Narkisim" w:hAnsi="Narkisim"/>
          <w:rtl/>
        </w:rPr>
        <w:tab/>
        <w:t>[ועוד יל"פ דגדר אפשר לצמצם {אף דבמציאות האמיתית יתכן שאחד קדם, כיון דבעיני הרואה היה בבת אחת} הוא שנחשב רגע הנפילה זמן א' עם מיתת אחיו. וה"נ נחשב הנפילה ליבום בצמצום עם האיסור אחות זקוקתו].</w:t>
      </w:r>
    </w:p>
  </w:footnote>
  <w:footnote w:id="1682">
    <w:p w14:paraId="3301C20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ויש </w:t>
      </w:r>
      <w:r w:rsidRPr="0041053F">
        <w:rPr>
          <w:rFonts w:ascii="Narkisim" w:hAnsi="Narkisim"/>
          <w:b/>
          <w:bCs/>
          <w:rtl/>
        </w:rPr>
        <w:t>אחרונים</w:t>
      </w:r>
      <w:r w:rsidRPr="0041053F">
        <w:rPr>
          <w:rFonts w:ascii="Narkisim" w:hAnsi="Narkisim"/>
          <w:rtl/>
        </w:rPr>
        <w:t xml:space="preserve"> שפי' דבזה פליגי בית הלל. וע"ע מה שהו' (לעיל יג: ולקמן לב.). [וא"כ צ"ב היאך הביא הברכ"ש מבית שמאי].</w:t>
      </w:r>
    </w:p>
  </w:footnote>
  <w:footnote w:id="1683">
    <w:p w14:paraId="657DD8C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ה</w:t>
      </w:r>
      <w:r w:rsidRPr="0041053F">
        <w:rPr>
          <w:rFonts w:ascii="Narkisim" w:hAnsi="Narkisim"/>
          <w:b/>
          <w:bCs/>
          <w:rtl/>
        </w:rPr>
        <w:t>או"ז</w:t>
      </w:r>
      <w:r w:rsidRPr="0041053F">
        <w:rPr>
          <w:rFonts w:ascii="Narkisim" w:hAnsi="Narkisim"/>
          <w:rtl/>
        </w:rPr>
        <w:t xml:space="preserve"> (עירובין קכד) פסק דאפי' בידי שמים אפשר לצמצם. אבל ה</w:t>
      </w:r>
      <w:r w:rsidRPr="0041053F">
        <w:rPr>
          <w:rFonts w:ascii="Narkisim" w:hAnsi="Narkisim"/>
          <w:b/>
          <w:bCs/>
          <w:rtl/>
        </w:rPr>
        <w:t>רמב"ם</w:t>
      </w:r>
      <w:r w:rsidRPr="0041053F">
        <w:rPr>
          <w:rFonts w:ascii="Narkisim" w:hAnsi="Narkisim"/>
          <w:rtl/>
        </w:rPr>
        <w:t xml:space="preserve"> (רוצח ט ח) פסק דא"א לצמצם ואפילו בידי אדם. [וע"ע פרמ"ג (כג ש"ד יא) בדעת הרמב"ם].</w:t>
      </w:r>
    </w:p>
  </w:footnote>
  <w:footnote w:id="1684">
    <w:p w14:paraId="27F2B17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בפשוטו משמע דר' יוחנן דחה מסברא, דלא מסתבר להחמיר היכא דיש לו 'טענה' אנא ראשונה מייבם.</w:t>
      </w:r>
    </w:p>
  </w:footnote>
  <w:footnote w:id="1685">
    <w:p w14:paraId="248E4A1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דביאה פסולה לא הוה משום קלישות הזיקה, אלא הוה גזירה אטו ביאה לאחר מכן (וכדלקמן נ:), וכמ"ש תוס' (לקמן קיא.).</w:t>
      </w:r>
    </w:p>
  </w:footnote>
  <w:footnote w:id="1686">
    <w:p w14:paraId="01BE235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גר"א</w:t>
      </w:r>
      <w:r w:rsidRPr="0041053F">
        <w:rPr>
          <w:rFonts w:ascii="Narkisim" w:hAnsi="Narkisim"/>
          <w:rtl/>
        </w:rPr>
        <w:t xml:space="preserve"> (קע מה, הו' לעיל כו:) דימה ביאה פסולה לחליצה פסולה לענין חייבי לאוין לרמב"ם, וה</w:t>
      </w:r>
      <w:r w:rsidRPr="0041053F">
        <w:rPr>
          <w:rFonts w:ascii="Narkisim" w:hAnsi="Narkisim"/>
          <w:b/>
          <w:bCs/>
          <w:rtl/>
        </w:rPr>
        <w:t>חזו"א</w:t>
      </w:r>
      <w:r w:rsidRPr="0041053F">
        <w:rPr>
          <w:rFonts w:ascii="Narkisim" w:hAnsi="Narkisim"/>
          <w:rtl/>
        </w:rPr>
        <w:t xml:space="preserve"> תמה דלא תליא בהדדי.</w:t>
      </w:r>
    </w:p>
  </w:footnote>
  <w:footnote w:id="1687">
    <w:p w14:paraId="765F5EA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(וכמ"ש </w:t>
      </w:r>
      <w:r w:rsidRPr="0041053F">
        <w:rPr>
          <w:rFonts w:ascii="Narkisim" w:hAnsi="Narkisim"/>
          <w:b/>
          <w:bCs/>
          <w:rtl/>
        </w:rPr>
        <w:t>רש"י</w:t>
      </w:r>
      <w:r w:rsidRPr="0041053F">
        <w:rPr>
          <w:rFonts w:ascii="Narkisim" w:hAnsi="Narkisim"/>
          <w:rtl/>
        </w:rPr>
        <w:t xml:space="preserve"> כז:).</w:t>
      </w:r>
    </w:p>
  </w:footnote>
  <w:footnote w:id="1688">
    <w:p w14:paraId="43C0266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בתוס' מהר"ם ור"פ העתיק מהגמ' (לקמן מא.) דרב ושמואל ור' אסי ס"ל דאינו חוזר להיתר. ורק ר' חנינא ס"ל דחוזר להיתירא].</w:t>
      </w:r>
    </w:p>
  </w:footnote>
  <w:footnote w:id="1689">
    <w:p w14:paraId="3D8D610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רמב"ם</w:t>
      </w:r>
      <w:r w:rsidRPr="0041053F">
        <w:rPr>
          <w:rFonts w:ascii="Narkisim" w:hAnsi="Narkisim"/>
          <w:rtl/>
        </w:rPr>
        <w:t xml:space="preserve"> (שם ה) פסק כדברי רב פפא, דהיתה א' מהם איסור ערוה, תלי אי ראשונה או שניה.</w:t>
      </w:r>
    </w:p>
  </w:footnote>
  <w:footnote w:id="1690">
    <w:p w14:paraId="73D04B2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השמיט דברי רב פפא דבסיפא איירי שנפלה הערוה לבסוף.</w:t>
      </w:r>
    </w:p>
  </w:footnote>
  <w:footnote w:id="1691">
    <w:p w14:paraId="18E0939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וכת' דאף דבגמ' (לעיל כד.) לא גזרו שמא ייבם ראשון, התם איירי בספק ומש"ה לא גזרו. [וכדאי' בגמ' שם  להדיא].</w:t>
      </w:r>
    </w:p>
  </w:footnote>
  <w:footnote w:id="1692">
    <w:p w14:paraId="7A8B52D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 כוונתם דקידושין אינם מפקיעים זיקה מדאורייתא. (וע' מש"כ לעיל יז:).</w:t>
      </w:r>
    </w:p>
  </w:footnote>
  <w:footnote w:id="1693">
    <w:p w14:paraId="4DF5B80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והמגיה לריטב"א דייק מדברי הריטב"א דגזרו לכתחילה אבל לא לענין שאם נשאת לא תצא].</w:t>
      </w:r>
    </w:p>
  </w:footnote>
  <w:footnote w:id="1694">
    <w:p w14:paraId="66A2C28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ואין לחלק בין ע"י ביאה למעשה קידושין, דהכא האיסור משום מבטל מצוות יבמין, ולא משום עצם המעשה. וכה"ק הרשב"א (הנ"ל).</w:t>
      </w:r>
    </w:p>
  </w:footnote>
  <w:footnote w:id="1695">
    <w:p w14:paraId="0D0DC64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ועוד פי' ב</w:t>
      </w:r>
      <w:r w:rsidRPr="0041053F">
        <w:rPr>
          <w:rFonts w:ascii="Narkisim" w:hAnsi="Narkisim"/>
          <w:b/>
          <w:bCs/>
          <w:rtl/>
        </w:rPr>
        <w:t>משנת ר' אהרן</w:t>
      </w:r>
      <w:r w:rsidRPr="0041053F">
        <w:rPr>
          <w:rFonts w:ascii="Narkisim" w:hAnsi="Narkisim"/>
          <w:rtl/>
        </w:rPr>
        <w:t xml:space="preserve"> דיש ב' איסורי זיקה, דזיקה נחשב איסור אישות, ובזה אמרי' דנעקר למפרע. אלא דיש איסור דרבנן בעלמא נוסף, שלא נעקר למפרע. ובזה אמרי' נאסרה, אבל נפקע ע"י היבום.</w:t>
      </w:r>
    </w:p>
  </w:footnote>
  <w:footnote w:id="1696">
    <w:p w14:paraId="647B863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והקשו דמבואר (לעיל כ.) דמהני נעשית כאשתו רק לאיסור שיש לה היתירא, ונאסרה כאשת אח שיש לה בנים אין לה היתירא. וצ"ל דמ"מ כיון דרבנן לא הפקיעו כאן דין יבום בדיעבד ע"י הדין נאסרה, עדיין נחשב איסורא שיש לו היתר. א"נ כיון דחל דין יבום על איסור אשת אח של זה, א"א לחלק. וצ"ע.</w:t>
      </w:r>
    </w:p>
  </w:footnote>
  <w:footnote w:id="1697">
    <w:p w14:paraId="71D8438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[עכ"פ נאסרה מעיקרא].</w:t>
      </w:r>
    </w:p>
  </w:footnote>
  <w:footnote w:id="1698">
    <w:p w14:paraId="10A31BD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דמשנה זו הו' במסכת עדיות (ה ה). וי"ל דכוונת ה</w:t>
      </w:r>
      <w:r w:rsidRPr="0041053F">
        <w:rPr>
          <w:rFonts w:ascii="Narkisim" w:hAnsi="Narkisim"/>
          <w:b/>
          <w:bCs/>
          <w:rtl/>
        </w:rPr>
        <w:t>רמב"ם</w:t>
      </w:r>
      <w:r w:rsidRPr="0041053F">
        <w:rPr>
          <w:rFonts w:ascii="Narkisim" w:hAnsi="Narkisim"/>
          <w:rtl/>
        </w:rPr>
        <w:t xml:space="preserve"> דתנן (שם ד) ר"א אומר ב' דברים מקולי בי"ש. משמע דאינך תנאים (לעיל שם, וכן בפרק ד שם) לא מנו מח' זה. דס"ל דבי"ש לחומרא, וכאבא שאול.</w:t>
      </w:r>
    </w:p>
  </w:footnote>
  <w:footnote w:id="1699">
    <w:p w14:paraId="5C7098F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וכ"פ ה</w:t>
      </w:r>
      <w:r w:rsidRPr="0041053F">
        <w:rPr>
          <w:rFonts w:ascii="Narkisim" w:hAnsi="Narkisim"/>
          <w:b/>
          <w:bCs/>
          <w:rtl/>
        </w:rPr>
        <w:t xml:space="preserve">טור </w:t>
      </w:r>
      <w:r w:rsidRPr="0041053F">
        <w:rPr>
          <w:rFonts w:ascii="Narkisim" w:hAnsi="Narkisim"/>
          <w:rtl/>
        </w:rPr>
        <w:t>(קעה ג), אבל ה</w:t>
      </w:r>
      <w:r w:rsidRPr="0041053F">
        <w:rPr>
          <w:rFonts w:ascii="Narkisim" w:hAnsi="Narkisim"/>
          <w:b/>
          <w:bCs/>
          <w:rtl/>
        </w:rPr>
        <w:t>ב"ח</w:t>
      </w:r>
      <w:r w:rsidRPr="0041053F">
        <w:rPr>
          <w:rFonts w:ascii="Narkisim" w:hAnsi="Narkisim"/>
          <w:rtl/>
        </w:rPr>
        <w:t xml:space="preserve"> כתב דהוא טעות סופר, דה</w:t>
      </w:r>
      <w:r w:rsidRPr="0041053F">
        <w:rPr>
          <w:rFonts w:ascii="Narkisim" w:hAnsi="Narkisim"/>
          <w:b/>
          <w:bCs/>
          <w:rtl/>
        </w:rPr>
        <w:t>רי"ף</w:t>
      </w:r>
      <w:r w:rsidRPr="0041053F">
        <w:rPr>
          <w:rFonts w:ascii="Narkisim" w:hAnsi="Narkisim"/>
          <w:rtl/>
        </w:rPr>
        <w:t xml:space="preserve"> ו</w:t>
      </w:r>
      <w:r w:rsidRPr="0041053F">
        <w:rPr>
          <w:rFonts w:ascii="Narkisim" w:hAnsi="Narkisim"/>
          <w:b/>
          <w:bCs/>
          <w:rtl/>
        </w:rPr>
        <w:t>רא"ש</w:t>
      </w:r>
      <w:r w:rsidRPr="0041053F">
        <w:rPr>
          <w:rFonts w:ascii="Narkisim" w:hAnsi="Narkisim"/>
          <w:rtl/>
        </w:rPr>
        <w:t xml:space="preserve"> פסקו יוציאו.</w:t>
      </w:r>
    </w:p>
  </w:footnote>
  <w:footnote w:id="1700">
    <w:p w14:paraId="66A937F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משמע דס"ד דלא גזרו איסור אחות זקוקה כה"ג, דבאיסור מצווה לא העמידו דבריהם במקום מצוות יבום. אך צ"ב הלשון דעבוד רבנן, משמע דהוה תקנ"ח להתיר [ואילו מדברי רש"י משמע דהניחו ולא תקנו, ולא העמידו דבריהם]. ויל"פ דמש"ה פי' הריטב"א דעשאוה כאיסור ערוה.</w:t>
      </w:r>
    </w:p>
  </w:footnote>
  <w:footnote w:id="1701">
    <w:p w14:paraId="04D4B85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אבל </w:t>
      </w:r>
      <w:r w:rsidRPr="0041053F">
        <w:rPr>
          <w:rFonts w:ascii="Narkisim" w:hAnsi="Narkisim"/>
          <w:b/>
          <w:bCs/>
          <w:rtl/>
        </w:rPr>
        <w:t>רש"י</w:t>
      </w:r>
      <w:r w:rsidRPr="0041053F">
        <w:rPr>
          <w:rFonts w:ascii="Narkisim" w:hAnsi="Narkisim"/>
          <w:rtl/>
        </w:rPr>
        <w:t xml:space="preserve"> (ח: ד"ה לכדר' שמעון) כת' דזיקה הוה כקצת קידושין וכו', אבל חליצה בעיא דלא אלים למהוי כאחות אשתו ממש להפטר בלא כלום. ומהא דס"ד דתפטר מחליצה יש להביא ראיה דאסורה מדאורייתא, ובזה רש"י תי' דלא אלים לפטור.</w:t>
      </w:r>
    </w:p>
  </w:footnote>
  <w:footnote w:id="1702">
    <w:p w14:paraId="6FB1225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כדברי רמי בר חמא דדרשי' מקרא דלצרור דלא תפסי קידושי ב' אחיות בב"א.</w:t>
      </w:r>
    </w:p>
  </w:footnote>
  <w:footnote w:id="1703">
    <w:p w14:paraId="797E848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ובפשוטו קושיית הגמ' דכיון דלא חלו לא שייך בזה איסור קורבא. [ואף דיש סברא דמש"ה לא חלו הקידושין, מ"מ קורבת אחות אשה הוה דוקא ע"י שאחת מהם אשתו].</w:t>
      </w:r>
    </w:p>
    <w:p w14:paraId="05AECF57" w14:textId="77777777" w:rsidR="006074A5" w:rsidRPr="0041053F" w:rsidRDefault="006074A5" w:rsidP="006074A5">
      <w:pPr>
        <w:pStyle w:val="Footnote"/>
        <w:bidi/>
        <w:rPr>
          <w:rFonts w:ascii="Narkisim" w:hAnsi="Narkisim"/>
        </w:rPr>
      </w:pPr>
      <w:r w:rsidRPr="0041053F">
        <w:rPr>
          <w:rFonts w:ascii="Narkisim" w:hAnsi="Narkisim"/>
          <w:rtl/>
        </w:rPr>
        <w:tab/>
        <w:t>אבל ע"פ דברי החזו"א קושי' הגמ' דמפורש בפסוק דיש כרת [באיסור ביאה], ולא רק מניעה בחלות. [אבל משום עצם הפטור ל"ק, כיון דיש כאן סיבת אחות אשה לכ"א, סגי בזה לבטל קידושי אחותה].</w:t>
      </w:r>
    </w:p>
    <w:p w14:paraId="1E54FB2C" w14:textId="77777777" w:rsidR="006074A5" w:rsidRPr="0041053F" w:rsidRDefault="006074A5" w:rsidP="006074A5">
      <w:pPr>
        <w:pStyle w:val="Footnote"/>
        <w:bidi/>
        <w:rPr>
          <w:rFonts w:ascii="Narkisim" w:hAnsi="Narkisim"/>
        </w:rPr>
      </w:pPr>
      <w:r w:rsidRPr="0041053F">
        <w:rPr>
          <w:rFonts w:ascii="Narkisim" w:hAnsi="Narkisim"/>
          <w:rtl/>
        </w:rPr>
        <w:tab/>
        <w:t>וה</w:t>
      </w:r>
      <w:r w:rsidRPr="0041053F">
        <w:rPr>
          <w:rFonts w:ascii="Narkisim" w:hAnsi="Narkisim"/>
          <w:b/>
          <w:bCs/>
          <w:rtl/>
        </w:rPr>
        <w:t>אחרונים</w:t>
      </w:r>
      <w:r w:rsidRPr="0041053F">
        <w:rPr>
          <w:rFonts w:ascii="Narkisim" w:hAnsi="Narkisim"/>
          <w:rtl/>
        </w:rPr>
        <w:t xml:space="preserve"> דייקו מדברי ה</w:t>
      </w:r>
      <w:r w:rsidRPr="0041053F">
        <w:rPr>
          <w:rFonts w:ascii="Narkisim" w:hAnsi="Narkisim"/>
          <w:b/>
          <w:bCs/>
          <w:rtl/>
        </w:rPr>
        <w:t>רמב"ן</w:t>
      </w:r>
      <w:r w:rsidRPr="0041053F">
        <w:rPr>
          <w:rFonts w:ascii="Narkisim" w:hAnsi="Narkisim"/>
          <w:rtl/>
        </w:rPr>
        <w:t xml:space="preserve"> (עה"ת ויקרא יח יח) דגדר איסור אחות אשה דאין ראוי שיהיו צרות זו לזו. דשורש האיסור דאסרה תורה שלא יהיו שניהם נשואות לו [ואף ע"י זנות הוה קצת נישואין]. ולא משום דחל גדר קורבא.</w:t>
      </w:r>
    </w:p>
  </w:footnote>
  <w:footnote w:id="1704">
    <w:p w14:paraId="3D34942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 מזה דאשת אח דנפילה זו פוטרת.</w:t>
      </w:r>
    </w:p>
  </w:footnote>
  <w:footnote w:id="1705">
    <w:p w14:paraId="2524C62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ובגמ' (לעיל ח:) אי' דרבי דרש קרא דלצרור כר' שמעון. [ע' תוס' (יג: ומש"כ שם) איזה דרשא הוכיח אינך]. וה</w:t>
      </w:r>
      <w:r w:rsidRPr="0041053F">
        <w:rPr>
          <w:rFonts w:ascii="Narkisim" w:hAnsi="Narkisim"/>
          <w:b/>
          <w:bCs/>
          <w:rtl/>
        </w:rPr>
        <w:t>ראשונים</w:t>
      </w:r>
      <w:r w:rsidRPr="0041053F">
        <w:rPr>
          <w:rFonts w:ascii="Narkisim" w:hAnsi="Narkisim"/>
          <w:rtl/>
        </w:rPr>
        <w:t xml:space="preserve"> (יג:) דנו דכ"ד בית שמאי.</w:t>
      </w:r>
    </w:p>
  </w:footnote>
  <w:footnote w:id="1706">
    <w:p w14:paraId="0ED3B20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שואל</w:t>
      </w:r>
      <w:r w:rsidRPr="0041053F">
        <w:rPr>
          <w:rFonts w:ascii="Narkisim" w:hAnsi="Narkisim"/>
          <w:rtl/>
        </w:rPr>
        <w:t xml:space="preserve"> הקשה דהו"ל להוסיף למנין ט"ו עריות. והרשב"א תי' דלא משכחת צרת צרה [ע"פ מש"כ תוס' דאין פטור כשיש ב' יבמים]. [ויל"ד דמשכחת צרת צרה כשא' מהם ערוה על האח הב'].</w:t>
      </w:r>
    </w:p>
  </w:footnote>
  <w:footnote w:id="1707">
    <w:p w14:paraId="6A61457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ברכ"ש</w:t>
      </w:r>
      <w:r w:rsidRPr="0041053F">
        <w:rPr>
          <w:rFonts w:ascii="Narkisim" w:hAnsi="Narkisim"/>
          <w:rtl/>
        </w:rPr>
        <w:t xml:space="preserve"> (ט א) נקט דכוונתו משום ערות אשת אח שפוטרת צרתה. אבל ה</w:t>
      </w:r>
      <w:r w:rsidRPr="0041053F">
        <w:rPr>
          <w:rFonts w:ascii="Narkisim" w:hAnsi="Narkisim"/>
          <w:b/>
          <w:bCs/>
          <w:rtl/>
        </w:rPr>
        <w:t>אחרונים</w:t>
      </w:r>
      <w:r w:rsidRPr="0041053F">
        <w:rPr>
          <w:rFonts w:ascii="Narkisim" w:hAnsi="Narkisim"/>
          <w:rtl/>
        </w:rPr>
        <w:t xml:space="preserve"> כתבו לפרש דכוונתו דלצרור נחשב אחות אשה.</w:t>
      </w:r>
    </w:p>
  </w:footnote>
  <w:footnote w:id="1708">
    <w:p w14:paraId="30B2529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ועוד הביאו דה</w:t>
      </w:r>
      <w:r w:rsidRPr="0041053F">
        <w:rPr>
          <w:rFonts w:ascii="Narkisim" w:hAnsi="Narkisim"/>
          <w:b/>
          <w:bCs/>
          <w:rtl/>
        </w:rPr>
        <w:t>רשב"א</w:t>
      </w:r>
      <w:r w:rsidRPr="0041053F">
        <w:rPr>
          <w:rFonts w:ascii="Narkisim" w:hAnsi="Narkisim"/>
          <w:rtl/>
        </w:rPr>
        <w:t xml:space="preserve"> (כז:) כת' דאי זיקה דאורייתא, אפי' לחליצה אינה זקוקה, וכדר' שמעון דנעשו צרות זו לזו בזיקה לא יהא לך ליקוחין אפי' בא' מהם. [משמע דהפטור שייך לגדרי זיקה דאורייתא. וצ"ב].</w:t>
      </w:r>
    </w:p>
  </w:footnote>
  <w:footnote w:id="1709">
    <w:p w14:paraId="4417A12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כוונתו האם ה</w:t>
      </w:r>
      <w:r w:rsidRPr="0041053F">
        <w:rPr>
          <w:rFonts w:ascii="Narkisim" w:hAnsi="Narkisim"/>
          <w:b/>
          <w:bCs/>
          <w:rtl/>
        </w:rPr>
        <w:t>נמוק"י</w:t>
      </w:r>
      <w:r w:rsidRPr="0041053F">
        <w:rPr>
          <w:rFonts w:ascii="Narkisim" w:hAnsi="Narkisim"/>
          <w:rtl/>
        </w:rPr>
        <w:t xml:space="preserve"> קאי בדעת ר' אושעיא (יח:), ואליבא דהלכה תרוייהו פטורים מטעם אחר. או דבזה כו"ע מודו לר"א.</w:t>
      </w:r>
    </w:p>
  </w:footnote>
  <w:footnote w:id="1710">
    <w:p w14:paraId="598E52B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ודייקו כן בלשון ה</w:t>
      </w:r>
      <w:r w:rsidRPr="0041053F">
        <w:rPr>
          <w:rFonts w:ascii="Narkisim" w:hAnsi="Narkisim"/>
          <w:b/>
          <w:bCs/>
          <w:rtl/>
        </w:rPr>
        <w:t>פיה"מ</w:t>
      </w:r>
      <w:r w:rsidRPr="0041053F">
        <w:rPr>
          <w:rFonts w:ascii="Narkisim" w:hAnsi="Narkisim"/>
          <w:rtl/>
        </w:rPr>
        <w:t xml:space="preserve"> לרמב"ם דכתב שנפלו לפני אח א'.</w:t>
      </w:r>
    </w:p>
  </w:footnote>
  <w:footnote w:id="1711">
    <w:p w14:paraId="440953B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והביאו לשון </w:t>
      </w:r>
      <w:r w:rsidRPr="0041053F">
        <w:rPr>
          <w:rFonts w:ascii="Narkisim" w:hAnsi="Narkisim"/>
          <w:b/>
          <w:bCs/>
          <w:rtl/>
        </w:rPr>
        <w:t>ריב"ן</w:t>
      </w:r>
      <w:r w:rsidRPr="0041053F">
        <w:rPr>
          <w:rFonts w:ascii="Narkisim" w:hAnsi="Narkisim"/>
          <w:rtl/>
        </w:rPr>
        <w:t xml:space="preserve"> דלא נעשו צרות זו לזו. וב</w:t>
      </w:r>
      <w:r w:rsidRPr="0041053F">
        <w:rPr>
          <w:rFonts w:ascii="Narkisim" w:hAnsi="Narkisim"/>
          <w:b/>
          <w:bCs/>
          <w:rtl/>
        </w:rPr>
        <w:t xml:space="preserve">תוס' ר"פ </w:t>
      </w:r>
      <w:r w:rsidRPr="0041053F">
        <w:rPr>
          <w:rFonts w:ascii="Narkisim" w:hAnsi="Narkisim"/>
          <w:rtl/>
        </w:rPr>
        <w:t>כתב דאיכא למימר כל א' מתרמי דידיה.</w:t>
      </w:r>
    </w:p>
  </w:footnote>
  <w:footnote w:id="1712">
    <w:p w14:paraId="34DD3D4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ב</w:t>
      </w:r>
      <w:r w:rsidRPr="0041053F">
        <w:rPr>
          <w:rFonts w:ascii="Narkisim" w:hAnsi="Narkisim"/>
          <w:b/>
          <w:bCs/>
          <w:rtl/>
        </w:rPr>
        <w:t>תוס' רי"ד</w:t>
      </w:r>
      <w:r w:rsidRPr="0041053F">
        <w:rPr>
          <w:rFonts w:ascii="Narkisim" w:hAnsi="Narkisim"/>
          <w:rtl/>
        </w:rPr>
        <w:t xml:space="preserve"> דלא אלימא זיקה דב'.</w:t>
      </w:r>
    </w:p>
  </w:footnote>
  <w:footnote w:id="1713">
    <w:p w14:paraId="2685275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וכדאי' (לעיל יז: ולקמן כט:) דיש מ"ד דלא אמרי' זיקה לב' אחים. ואילו היכא דיש ב' צרות לא שמענו צד דל"מ זיקה.</w:t>
      </w:r>
    </w:p>
  </w:footnote>
  <w:footnote w:id="1714">
    <w:p w14:paraId="5D43C85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ע"פ לשון הגמ' (לעיל כ. וכח:) מדאורייתא רמי קמיה, ומש"ה יש איסור אחות זקוקה. אלא דהתם נקטו הלשון 'רמי', ורש"י כת' 'חזי', דמדאורייתא מותרת.</w:t>
      </w:r>
    </w:p>
  </w:footnote>
  <w:footnote w:id="1715">
    <w:p w14:paraId="0C699C3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וביאר דכיון דלא מצי נסיב אידך בהיתר גמור, לא הוי אחות זקוקה כאחות אשה לר' שמעון. [ומשמע דהטעם דאינה ראויה להתייבם, ולא משום שם ערוה. וצ"ב א"כ מה תי'].</w:t>
      </w:r>
    </w:p>
  </w:footnote>
  <w:footnote w:id="1716">
    <w:p w14:paraId="4A9B491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אחותה מתייבמת.</w:t>
      </w:r>
    </w:p>
  </w:footnote>
  <w:footnote w:id="1717">
    <w:p w14:paraId="4250DAE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ועד"ז דנו ה</w:t>
      </w:r>
      <w:r w:rsidRPr="0041053F">
        <w:rPr>
          <w:rFonts w:ascii="Narkisim" w:hAnsi="Narkisim"/>
          <w:b/>
          <w:bCs/>
          <w:rtl/>
        </w:rPr>
        <w:t>ראשונים</w:t>
      </w:r>
      <w:r w:rsidRPr="0041053F">
        <w:rPr>
          <w:rFonts w:ascii="Narkisim" w:hAnsi="Narkisim"/>
          <w:rtl/>
        </w:rPr>
        <w:t xml:space="preserve"> (הו' לעיל כ. וכו.) האם יש איסור אחות זקוקה בחייבי עשה. [וסתימת הגמ' דבכל איסור מצוה וקדושה אסור באחותה].</w:t>
      </w:r>
    </w:p>
  </w:footnote>
  <w:footnote w:id="1718">
    <w:p w14:paraId="32EA323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דייקו האחרונים מדברי התוס' לעיל יט.].</w:t>
      </w:r>
    </w:p>
  </w:footnote>
  <w:footnote w:id="1719">
    <w:p w14:paraId="5D96776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כשיש לו אשה אחרת אין בזה צער כל כך].</w:t>
      </w:r>
    </w:p>
  </w:footnote>
  <w:footnote w:id="1720">
    <w:p w14:paraId="7070509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ובגמ' (לקמן נא:) הו' כמה תנאים דס"ל דמאמר קונה קנין גמור. ופ</w:t>
      </w:r>
      <w:r w:rsidRPr="0041053F">
        <w:rPr>
          <w:rFonts w:ascii="Narkisim" w:hAnsi="Narkisim"/>
          <w:b/>
          <w:bCs/>
          <w:rtl/>
        </w:rPr>
        <w:t>רש"י</w:t>
      </w:r>
      <w:r w:rsidRPr="0041053F">
        <w:rPr>
          <w:rFonts w:ascii="Narkisim" w:hAnsi="Narkisim"/>
          <w:rtl/>
        </w:rPr>
        <w:t xml:space="preserve"> דהיינו קנין חשוב [טפי מאינך תנאים]. ויש מהתנאים שהוזכרו שם הוה רק מדרבנן (עי"ש תוס' ורש"י).</w:t>
      </w:r>
    </w:p>
  </w:footnote>
  <w:footnote w:id="1721">
    <w:p w14:paraId="1FD068F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ב</w:t>
      </w:r>
      <w:r w:rsidRPr="0041053F">
        <w:rPr>
          <w:rFonts w:ascii="Narkisim" w:hAnsi="Narkisim"/>
          <w:b/>
          <w:bCs/>
          <w:rtl/>
        </w:rPr>
        <w:t>ירושלמי</w:t>
      </w:r>
      <w:r w:rsidRPr="0041053F">
        <w:rPr>
          <w:rFonts w:ascii="Narkisim" w:hAnsi="Narkisim"/>
          <w:rtl/>
        </w:rPr>
        <w:t xml:space="preserve"> איתא דכ"ד התנא ר' אלעזר בן ערך שקונה קנין גמור. [ע' חי' הגר"נ]. והירושלמי דנה א"כ יגרש בגט בלא חליצה [ע' בסמוך בשם הרמב"ן].</w:t>
      </w:r>
    </w:p>
  </w:footnote>
  <w:footnote w:id="1722">
    <w:p w14:paraId="19581A9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בפשוטו משמע מדבריו דאין שום מצווה במעשה מאמר. ולפ"ז מבואר דקנין היבום אינו תלוי כלל במעשה המצוה. ועיל"פ דמצוות הקמת שם הוא בביאה, ומ"מ קיום קנין היבום הוה ג"כ מצוה [ולא גרע ממצוות חליצה].</w:t>
      </w:r>
    </w:p>
  </w:footnote>
  <w:footnote w:id="1723">
    <w:p w14:paraId="640199B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אחרונים </w:t>
      </w:r>
      <w:r w:rsidRPr="0041053F">
        <w:rPr>
          <w:rFonts w:ascii="Narkisim" w:hAnsi="Narkisim"/>
          <w:rtl/>
        </w:rPr>
        <w:t>ציינו דכעי"ז כתב ה</w:t>
      </w:r>
      <w:r w:rsidRPr="0041053F">
        <w:rPr>
          <w:rFonts w:ascii="Narkisim" w:hAnsi="Narkisim"/>
          <w:b/>
          <w:bCs/>
          <w:rtl/>
        </w:rPr>
        <w:t>רמב"ן</w:t>
      </w:r>
      <w:r w:rsidRPr="0041053F">
        <w:rPr>
          <w:rFonts w:ascii="Narkisim" w:hAnsi="Narkisim"/>
          <w:rtl/>
        </w:rPr>
        <w:t xml:space="preserve"> (לעיל כ:) לגבי גמר ביאה. דאף אחרי שקנאה בהעראה, המצוה נמשך בגמר ביאה. [אבל הכא י"ל דאף דקנאה ופטור בגט, מ"מ עדיין יש זיקת יבום, וע' בסמוך].</w:t>
      </w:r>
    </w:p>
  </w:footnote>
  <w:footnote w:id="1724">
    <w:p w14:paraId="2C726FB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ראשונים </w:t>
      </w:r>
      <w:r w:rsidRPr="0041053F">
        <w:rPr>
          <w:rFonts w:ascii="Narkisim" w:hAnsi="Narkisim"/>
          <w:rtl/>
        </w:rPr>
        <w:t>הביאו דהמשנה (ריש קידושין) דהיבמה נקנית בביאה קאי אף ליבת שמאי [ומשמע אף ללישנא דקונה קנין גמור]. ולהכי אהני דרשת ביאה גומרת בה ואין כסף ושטר גומרים דאין חיוב מיתה [ואף לצד דאי"צ חליצה]. ומשמע בראשונים דמכח זה חולק ר' אלעזר דאין סברא שקנה קנין גמור, ואין חיוב מיתה.</w:t>
      </w:r>
    </w:p>
  </w:footnote>
  <w:footnote w:id="1725">
    <w:p w14:paraId="3D34E42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האם רק לענין מיתה ממועט, אבל יש חיוב כרת. וכתבו דלא משמע כן.</w:t>
      </w:r>
    </w:p>
  </w:footnote>
  <w:footnote w:id="1726">
    <w:p w14:paraId="31224F4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מהרש"א</w:t>
      </w:r>
      <w:r w:rsidRPr="0041053F">
        <w:rPr>
          <w:rFonts w:ascii="Narkisim" w:hAnsi="Narkisim"/>
          <w:rtl/>
        </w:rPr>
        <w:t xml:space="preserve"> (שם) כתב דהיינו למ"ד [לישנא בתרא בע"ב] דוחה ומשייר, דאל"כ הוה אשת איש ממש.</w:t>
      </w:r>
    </w:p>
  </w:footnote>
  <w:footnote w:id="1727">
    <w:p w14:paraId="0C47B10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רש"י</w:t>
      </w:r>
      <w:r w:rsidRPr="0041053F">
        <w:rPr>
          <w:rFonts w:ascii="Narkisim" w:hAnsi="Narkisim"/>
          <w:rtl/>
        </w:rPr>
        <w:t xml:space="preserve"> (שם) משמע דהגמ' מביאה ממ"ד מאמר דרבנן, והסוגיא שם אסמכתא בעלמא.</w:t>
      </w:r>
    </w:p>
  </w:footnote>
  <w:footnote w:id="1728">
    <w:p w14:paraId="355F44C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ולפ"ז מבואר דהאחים פוסלים בגט מדאורייתא [ומח' ר' גמליאל ורבנן לקמן נא. הכל בדאורייתא]. ולכאורה לא מצאנו צד דגט הוה מדאורייתא. (וע"ע לקמן נ. ונא:).</w:t>
      </w:r>
    </w:p>
  </w:footnote>
  <w:footnote w:id="1729">
    <w:p w14:paraId="22DDEA4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ומשמע דאף לר' אלעזר (אליבא דבי"ש) לדחות בצרה.</w:t>
      </w:r>
    </w:p>
  </w:footnote>
  <w:footnote w:id="1730">
    <w:p w14:paraId="3671357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דמדאורייתא הוה קנויה, אלא מדרבנן נחשב במקצת [עפ"ז יל"ד האם לר"א ל"מ קנין גמור מדאורייתא, או מדרבנן].</w:t>
      </w:r>
    </w:p>
  </w:footnote>
  <w:footnote w:id="1731">
    <w:p w14:paraId="301C7B8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תוס' מהר"ם ור"פ</w:t>
      </w:r>
      <w:r w:rsidRPr="0041053F">
        <w:rPr>
          <w:rFonts w:ascii="Narkisim" w:hAnsi="Narkisim"/>
          <w:rtl/>
        </w:rPr>
        <w:t xml:space="preserve"> כת' דהוה דרבנן, דכיון דעשה מאמר נראית כאשתו, וגזרו לפטור אחותה שנופלת. וביאר דמשום תקלה הפקיעו לקידושין, דכל דרבנן אדעתא דרבנן מקדש.</w:t>
      </w:r>
    </w:p>
  </w:footnote>
  <w:footnote w:id="1732">
    <w:p w14:paraId="4FBCDD5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ועוד דנו ה</w:t>
      </w:r>
      <w:r w:rsidRPr="0041053F">
        <w:rPr>
          <w:rFonts w:ascii="Narkisim" w:hAnsi="Narkisim"/>
          <w:b/>
          <w:bCs/>
          <w:rtl/>
        </w:rPr>
        <w:t>אחרונים</w:t>
      </w:r>
      <w:r w:rsidRPr="0041053F">
        <w:rPr>
          <w:rFonts w:ascii="Narkisim" w:hAnsi="Narkisim"/>
          <w:rtl/>
        </w:rPr>
        <w:t xml:space="preserve"> דעצם קנין המאמר מהני להחשב צרת ערוה, אבל לא נחשב עי"ז אישות לאסור קרובים.</w:t>
      </w:r>
    </w:p>
  </w:footnote>
  <w:footnote w:id="1733">
    <w:p w14:paraId="1B83210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דאסורה עליה משום אחות זקוקתו. ו</w:t>
      </w:r>
      <w:r w:rsidRPr="0041053F">
        <w:rPr>
          <w:rFonts w:ascii="Narkisim" w:hAnsi="Narkisim"/>
          <w:b/>
          <w:bCs/>
          <w:rtl/>
        </w:rPr>
        <w:t>תוס</w:t>
      </w:r>
      <w:r w:rsidRPr="0041053F">
        <w:rPr>
          <w:rFonts w:ascii="Narkisim" w:hAnsi="Narkisim"/>
          <w:rtl/>
        </w:rPr>
        <w:t>' (לעיל יח.) כת' דאף למ"ד אין זיקה, מכוער הדבר.</w:t>
      </w:r>
    </w:p>
  </w:footnote>
  <w:footnote w:id="1734">
    <w:p w14:paraId="1096D0A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[בעודה קטנה יכול לגרש בגט. ואסור בקרובותיה, כדתנן (שם קח)].</w:t>
      </w:r>
    </w:p>
  </w:footnote>
  <w:footnote w:id="1735">
    <w:p w14:paraId="04CF589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[ועי"ז מפקיע ומוציא את היבמה].</w:t>
      </w:r>
    </w:p>
  </w:footnote>
  <w:footnote w:id="1736">
    <w:p w14:paraId="2187062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[והגמ' (קט:) פי' הטעם דילמא גדלה ומתחרטה]. ודעת ר"א דמיאון דמצווה שאני.</w:t>
      </w:r>
    </w:p>
  </w:footnote>
  <w:footnote w:id="1737">
    <w:p w14:paraId="5403E9D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[דסתם משנה דידן ס"ל דהתם לא אמרי' 'אוי לו']. והיינו כרב נחמן (לקמן ל.) דתנא דפירקין ס"ל אין זיקה. אבל לרב אשי (ל.) תנא דפירקין ס"ל דיש זיקה. וע"כ התם כר"א. [וי"ל דשמואל לקמן פסק כר"א, כיון דס"ל (לקמן יח:) יש זיקה].</w:t>
      </w:r>
    </w:p>
  </w:footnote>
  <w:footnote w:id="1738">
    <w:p w14:paraId="352E0D7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 מש"כ ה</w:t>
      </w:r>
      <w:r w:rsidRPr="0041053F">
        <w:rPr>
          <w:rFonts w:ascii="Narkisim" w:hAnsi="Narkisim"/>
          <w:b/>
          <w:bCs/>
          <w:rtl/>
        </w:rPr>
        <w:t>אחרונים</w:t>
      </w:r>
      <w:r w:rsidRPr="0041053F">
        <w:rPr>
          <w:rFonts w:ascii="Narkisim" w:hAnsi="Narkisim"/>
          <w:rtl/>
        </w:rPr>
        <w:t xml:space="preserve"> (הו' לעיל יח. וכג:) גבי אחות זקוקתו, דאף דע"י יבום וחליצה של אחיו פקע זיקה מאידך [ולשון רש"י כג: וכן הירושלמי דהוה למפרע], אפ"ה אמרי' דנאסרה בשעת נפילה. כיון דמחוסר מעשה.</w:t>
      </w:r>
    </w:p>
  </w:footnote>
  <w:footnote w:id="1739">
    <w:p w14:paraId="42C7181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ויל"ד האם נאסר באחותה [אף שלא ע"י יבום], ואם בא עליה חייב כרת, ואם קידש לא תפסי קידושין. או דרק אוסרתה להחשב ערוה ולפוטרה בדיני יבום.</w:t>
      </w:r>
    </w:p>
  </w:footnote>
  <w:footnote w:id="1740">
    <w:p w14:paraId="6AF5363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 לשון ר' שמעון (כח:) דנעשו צרות זל"ז בזיקה.</w:t>
      </w:r>
    </w:p>
  </w:footnote>
  <w:footnote w:id="1741">
    <w:p w14:paraId="5C2D33A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א"נ בגדרי הדין דרבנן פטורה, וצריך חליצה מחמת הדין דאורייתא.</w:t>
      </w:r>
    </w:p>
  </w:footnote>
  <w:footnote w:id="1742">
    <w:p w14:paraId="4D240BC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אחותה שהיא צרתה מאחיו [צרה בזיקה].</w:t>
      </w:r>
    </w:p>
  </w:footnote>
  <w:footnote w:id="1743">
    <w:p w14:paraId="7AE39C6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ואילו אירס אשה ואח"כ מת אחיו הנשוי אחותה, פשיטא דלא תצא המאורסת. [וכמ"ש תוס' (לעיל יח:) וע"ע רמב"ן שם].</w:t>
      </w:r>
    </w:p>
  </w:footnote>
  <w:footnote w:id="1744">
    <w:p w14:paraId="08F47C4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דבגמ' (לעיל יח. ולקמן ל.) מבואר דלבי"ש דכשעשה מאמר לערוה [אשת אח שלא בעולמו או אחות אשתו] ומת, פוטרת צרתה [אשת היבם הראשון]. [דבגמ' אי' דחולצת, לאפוקי מבי"ש. דלבי"ש פטורה]. ותוס' נקטו דהגמ' (הנ"ל) קאי אף לר"א דלבי"ש לדחות בצרה. ואף דאינו קונה קנין גמור [ואינה פוטרת אחותה], אפ"ה פוטרת צרתה.</w:t>
      </w:r>
    </w:p>
  </w:footnote>
  <w:footnote w:id="1745">
    <w:p w14:paraId="26508DA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ועד"ז הביאו ה</w:t>
      </w:r>
      <w:r w:rsidRPr="0041053F">
        <w:rPr>
          <w:rFonts w:ascii="Narkisim" w:hAnsi="Narkisim"/>
          <w:b/>
          <w:bCs/>
          <w:rtl/>
        </w:rPr>
        <w:t>אחרונים</w:t>
      </w:r>
      <w:r w:rsidRPr="0041053F">
        <w:rPr>
          <w:rFonts w:ascii="Narkisim" w:hAnsi="Narkisim"/>
          <w:rtl/>
        </w:rPr>
        <w:t xml:space="preserve"> דלמ"ד (לעיל יט:) זיקה ככנוסה פוטרת צרתה. ואף לצד (פסקי הרי"ד שם) דאין חיוב מיתה על ביאתה. אך ה</w:t>
      </w:r>
      <w:r w:rsidRPr="0041053F">
        <w:rPr>
          <w:rFonts w:ascii="Narkisim" w:hAnsi="Narkisim"/>
          <w:b/>
          <w:bCs/>
          <w:rtl/>
        </w:rPr>
        <w:t>פוסקים</w:t>
      </w:r>
      <w:r w:rsidRPr="0041053F">
        <w:rPr>
          <w:rFonts w:ascii="Narkisim" w:hAnsi="Narkisim"/>
          <w:rtl/>
        </w:rPr>
        <w:t xml:space="preserve"> (מד) דנו האם אישות שפחה חרופה פוטרת צרתה, או דילמא דלא הוה אישות גמורה ולא אלים לפטור. וע' מנח"ח (תקצח בקומץ) שחילק.</w:t>
      </w:r>
    </w:p>
  </w:footnote>
  <w:footnote w:id="1746">
    <w:p w14:paraId="7B58168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משמע בתוס' דלמ"ד קונה קנין גמור, מהני שלא יחשב אשת ב' מתים [ותוס' העמידו קושייתם רק לר"א]. ויל"ד דאף למ"ד זה מצי אסר עליה.</w:t>
      </w:r>
    </w:p>
  </w:footnote>
  <w:footnote w:id="1747">
    <w:p w14:paraId="7D658D2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והיכא דחל ערוה לאחר נפילה [כשאין לו תקנה] פקע הזיקה. [ע' תוס' לעיל טז.].</w:t>
      </w:r>
    </w:p>
  </w:footnote>
  <w:footnote w:id="1748">
    <w:p w14:paraId="3BE566C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[ועד"ז כת' </w:t>
      </w:r>
      <w:r w:rsidRPr="0041053F">
        <w:rPr>
          <w:rFonts w:ascii="Narkisim" w:hAnsi="Narkisim"/>
          <w:b/>
          <w:bCs/>
          <w:rtl/>
        </w:rPr>
        <w:t>תוס</w:t>
      </w:r>
      <w:r w:rsidRPr="0041053F">
        <w:rPr>
          <w:rFonts w:ascii="Narkisim" w:hAnsi="Narkisim"/>
          <w:rtl/>
        </w:rPr>
        <w:t>' (ד"ה ב"ש) לדעת רש"י אף למ"ד קונה קנין גמור מדרבנן, דצריך לבא עליה לפטור אחותה מדאורייתא. וע' מש"כ לעיל שם].</w:t>
      </w:r>
    </w:p>
  </w:footnote>
  <w:footnote w:id="1749">
    <w:p w14:paraId="6AA527D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תו"י</w:t>
      </w:r>
      <w:r w:rsidRPr="0041053F">
        <w:rPr>
          <w:rFonts w:ascii="Narkisim" w:hAnsi="Narkisim"/>
          <w:rtl/>
        </w:rPr>
        <w:t xml:space="preserve"> הביא מהגמ' (קידושין עח.) דאינו חייב במחזיר גרושתו אא"כ קידש ובעל. דדוקא ע"י ביאה מקרי בנין [ולכאו' כוונתו להביא דקידושין לחוד לא חשיב 'דרך בנין', אלא ע"י ביאה. וצריך ליישב דבריו היכן למד כן מהגמ' קידושין].</w:t>
      </w:r>
    </w:p>
    <w:p w14:paraId="5CF5BEB0" w14:textId="77777777" w:rsidR="006074A5" w:rsidRPr="0041053F" w:rsidRDefault="006074A5" w:rsidP="006074A5">
      <w:pPr>
        <w:pStyle w:val="Footnote"/>
        <w:bidi/>
        <w:rPr>
          <w:rFonts w:ascii="Narkisim" w:hAnsi="Narkisim"/>
        </w:rPr>
      </w:pPr>
      <w:r w:rsidRPr="0041053F">
        <w:rPr>
          <w:rFonts w:ascii="Narkisim" w:hAnsi="Narkisim"/>
          <w:rtl/>
        </w:rPr>
        <w:tab/>
        <w:t>[ומבואר דקו' התו"י דע"י קנין קידושין לחוד לא נחשב 'בנין', ואף אי יש גזיה"כ שקונה יבמתו, ומשמע אף אי הוה גדר קנין יבום].</w:t>
      </w:r>
    </w:p>
  </w:footnote>
  <w:footnote w:id="1750">
    <w:p w14:paraId="5AA15B8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ואילו ה</w:t>
      </w:r>
      <w:r w:rsidRPr="0041053F">
        <w:rPr>
          <w:rFonts w:ascii="Narkisim" w:hAnsi="Narkisim"/>
          <w:b/>
          <w:bCs/>
          <w:rtl/>
        </w:rPr>
        <w:t>תו"י</w:t>
      </w:r>
      <w:r w:rsidRPr="0041053F">
        <w:rPr>
          <w:rFonts w:ascii="Narkisim" w:hAnsi="Narkisim"/>
          <w:rtl/>
        </w:rPr>
        <w:t xml:space="preserve"> (בסו"ד) כת' להדיא דהוה קידושין גמורים.</w:t>
      </w:r>
    </w:p>
  </w:footnote>
  <w:footnote w:id="1751">
    <w:p w14:paraId="7B40171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הביאו עד"ז דדרשי' (לעיל ח: ויט:) דלאחר שייבם סגי בגט, ואילו לס"ד צריך גט וחליצה. ואפ"ה ודאי שהצרות מותרות.</w:t>
      </w:r>
    </w:p>
  </w:footnote>
  <w:footnote w:id="1752">
    <w:p w14:paraId="64C396A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[והכא כיון דעשה היבום במקצת ושייר מקצת, אף ה'סימן' הוה במקצת]. ועיל"פ דלאחר מאמר לא הוה איסור גמור דבית א' הוא בונה, אלא מעין חצי שיעור. ומש"ה לא אלים לפטור צרתה. [ויל"ד לר"ל האם מתחייב משום אשת אח].</w:t>
      </w:r>
    </w:p>
  </w:footnote>
  <w:footnote w:id="1753">
    <w:p w14:paraId="3E77DD9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ר"ן</w:t>
      </w:r>
      <w:r w:rsidRPr="0041053F">
        <w:rPr>
          <w:rFonts w:ascii="Narkisim" w:hAnsi="Narkisim"/>
          <w:rtl/>
        </w:rPr>
        <w:t xml:space="preserve"> (נדרים עד.) כת' דמ"ד דמיפר נדרים משום זיקה הוה משום דזיקה ככנוסה. ונהי דר' אושעיא איתותיב, היינו אליבא דר"ש. וי"ל דשאר תנאים ס"ל הכי.</w:t>
      </w:r>
    </w:p>
  </w:footnote>
  <w:footnote w:id="1754">
    <w:p w14:paraId="177C979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אף היכא דתפסי קידושין. אבל דעת ה</w:t>
      </w:r>
      <w:r w:rsidRPr="0041053F">
        <w:rPr>
          <w:rFonts w:ascii="Narkisim" w:hAnsi="Narkisim"/>
          <w:b/>
          <w:bCs/>
          <w:rtl/>
        </w:rPr>
        <w:t xml:space="preserve">חינוך </w:t>
      </w:r>
      <w:r w:rsidRPr="0041053F">
        <w:rPr>
          <w:rFonts w:ascii="Narkisim" w:hAnsi="Narkisim"/>
          <w:rtl/>
        </w:rPr>
        <w:t>(רו הו' לעיל י.) דאסור לקדש עריות. אך יש שחילקו דהכא שרי כיון דע"י המאמר יפקע האיסור. [וצ"ע].</w:t>
      </w:r>
    </w:p>
  </w:footnote>
  <w:footnote w:id="1755">
    <w:p w14:paraId="21CF418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תו"י</w:t>
      </w:r>
      <w:r w:rsidRPr="0041053F">
        <w:rPr>
          <w:rFonts w:ascii="Narkisim" w:hAnsi="Narkisim"/>
          <w:rtl/>
        </w:rPr>
        <w:t xml:space="preserve"> פי' דקושיית הגמ' שתהיה מותרת אם עשו מאמר מעצמן בלי לימלך בבי"ד [ושכיח שיעשה מאמר בלא להימלך בבי"ד]. וה</w:t>
      </w:r>
      <w:r w:rsidRPr="0041053F">
        <w:rPr>
          <w:rFonts w:ascii="Narkisim" w:hAnsi="Narkisim"/>
          <w:b/>
          <w:bCs/>
          <w:rtl/>
        </w:rPr>
        <w:t xml:space="preserve">רמב"ן </w:t>
      </w:r>
      <w:r w:rsidRPr="0041053F">
        <w:rPr>
          <w:rFonts w:ascii="Narkisim" w:hAnsi="Narkisim"/>
          <w:rtl/>
        </w:rPr>
        <w:t>כתב דהומ"ל דאסור משום ביטל מצוות יבמין.</w:t>
      </w:r>
    </w:p>
  </w:footnote>
  <w:footnote w:id="1756">
    <w:p w14:paraId="2710FC0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[עכ"פ מדרבנן, והראשונים האריכו בזה. וע' מש"כ לעיל יח:].</w:t>
      </w:r>
    </w:p>
  </w:footnote>
  <w:footnote w:id="1757">
    <w:p w14:paraId="51A196A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(מא.) ביאר דמדרבנן קידושין לא מפקיעי זיקה, אבל מדאורייתא מפקיעי. [ובפשוטו כ"ד </w:t>
      </w:r>
      <w:r w:rsidRPr="0041053F">
        <w:rPr>
          <w:rFonts w:ascii="Narkisim" w:hAnsi="Narkisim"/>
          <w:b/>
          <w:bCs/>
          <w:rtl/>
        </w:rPr>
        <w:t>תוס</w:t>
      </w:r>
      <w:r w:rsidRPr="0041053F">
        <w:rPr>
          <w:rFonts w:ascii="Narkisim" w:hAnsi="Narkisim"/>
          <w:rtl/>
        </w:rPr>
        <w:t>' (ע' מש"כ בזה לעיל יח:). אבל דעת ה</w:t>
      </w:r>
      <w:r w:rsidRPr="0041053F">
        <w:rPr>
          <w:rFonts w:ascii="Narkisim" w:hAnsi="Narkisim"/>
          <w:b/>
          <w:bCs/>
          <w:rtl/>
        </w:rPr>
        <w:t>ריטב"א</w:t>
      </w:r>
      <w:r w:rsidRPr="0041053F">
        <w:rPr>
          <w:rFonts w:ascii="Narkisim" w:hAnsi="Narkisim"/>
          <w:rtl/>
        </w:rPr>
        <w:t xml:space="preserve"> (שם ועט:) דאף נישואין לא מפקיעי זיקה. ולכן פ' כאן באופ"א, ע' בסמוך].</w:t>
      </w:r>
    </w:p>
  </w:footnote>
  <w:footnote w:id="1758">
    <w:p w14:paraId="3F1D2CA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רש"ש</w:t>
      </w:r>
      <w:r w:rsidRPr="0041053F">
        <w:rPr>
          <w:rFonts w:ascii="Narkisim" w:hAnsi="Narkisim"/>
          <w:rtl/>
        </w:rPr>
        <w:t xml:space="preserve"> הק' עד"ז על שאר ראשונים, אמאי לא פי' כן. ותי' דמ"מ יש גזירה שמא יכניס קודם.</w:t>
      </w:r>
    </w:p>
  </w:footnote>
  <w:footnote w:id="1759">
    <w:p w14:paraId="5D47E8E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תו"י</w:t>
      </w:r>
      <w:r w:rsidRPr="0041053F">
        <w:rPr>
          <w:rFonts w:ascii="Narkisim" w:hAnsi="Narkisim"/>
          <w:rtl/>
        </w:rPr>
        <w:t xml:space="preserve"> כתב אבל ביאה א"א לצמצם שיהא בבת אחת.</w:t>
      </w:r>
    </w:p>
  </w:footnote>
  <w:footnote w:id="1760">
    <w:p w14:paraId="2ABEA9A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כת' איכא למימר דכי היכי דאמרו בי"ש יקיימו (לעיל כו. וכח.), משום הך חששא לא עקרו לדין יבום לגמרי. [והקשו לשיטתם].</w:t>
      </w:r>
    </w:p>
  </w:footnote>
  <w:footnote w:id="1761">
    <w:p w14:paraId="6F7F4D4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(קלב א) כתב דמאמר הוה מדיני היבום, ומפקע לזיקה וסגי לה בגט, ולא גרע מחליצה. ואף שלא קיים מצוות יבום. [אבל דעת ר"א דדוחה בצרה בלבד, וצריך חליצה].</w:t>
      </w:r>
    </w:p>
  </w:footnote>
  <w:footnote w:id="1762">
    <w:p w14:paraId="01C5507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אמר"מ</w:t>
      </w:r>
      <w:r w:rsidRPr="0041053F">
        <w:rPr>
          <w:rFonts w:ascii="Narkisim" w:hAnsi="Narkisim"/>
          <w:rtl/>
        </w:rPr>
        <w:t xml:space="preserve"> (ט) תי' דדוקא באחותה לא פוטר, דאמרי' המתן וכו'. אבל באח פקע ממנו זיקתו ע"י דהוה ערוה [וכמ"ש בשם הגר"ח].</w:t>
      </w:r>
    </w:p>
  </w:footnote>
  <w:footnote w:id="1763">
    <w:p w14:paraId="09AC1EB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הוה דומה למש"כ הריטב"א.</w:t>
      </w:r>
    </w:p>
  </w:footnote>
  <w:footnote w:id="1764">
    <w:p w14:paraId="2B237BF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וכמ"ש </w:t>
      </w:r>
      <w:r w:rsidRPr="0041053F">
        <w:rPr>
          <w:rFonts w:ascii="Narkisim" w:hAnsi="Narkisim"/>
          <w:b/>
          <w:bCs/>
          <w:rtl/>
        </w:rPr>
        <w:t>רש"י</w:t>
      </w:r>
      <w:r w:rsidRPr="0041053F">
        <w:rPr>
          <w:rFonts w:ascii="Narkisim" w:hAnsi="Narkisim"/>
          <w:rtl/>
        </w:rPr>
        <w:t xml:space="preserve"> בקושיה. [אבל ה</w:t>
      </w:r>
      <w:r w:rsidRPr="0041053F">
        <w:rPr>
          <w:rFonts w:ascii="Narkisim" w:hAnsi="Narkisim"/>
          <w:b/>
          <w:bCs/>
          <w:rtl/>
        </w:rPr>
        <w:t>ערול"נ</w:t>
      </w:r>
      <w:r w:rsidRPr="0041053F">
        <w:rPr>
          <w:rFonts w:ascii="Narkisim" w:hAnsi="Narkisim"/>
          <w:rtl/>
        </w:rPr>
        <w:t xml:space="preserve"> כת' דבתי' ס"ל דיש זיקה, ויש איסור במאמר]. ויל"ד האם יש חסרון במקום דאינו ראוי ליבום [דומיא דחליצה פסולה]. או דמאמר הוה הכנה לביאת יבום, וכיון דאינו יכול לייבם נחשב אף המאמר איסורא.</w:t>
      </w:r>
    </w:p>
  </w:footnote>
  <w:footnote w:id="1765">
    <w:p w14:paraId="0B57C4F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ולתוס' (יח: הנ"ל) קאי למ"ד אין זיקה, א"כ הוה איסורא משום ביטול מצוות יבמין.</w:t>
      </w:r>
    </w:p>
  </w:footnote>
  <w:footnote w:id="1766">
    <w:p w14:paraId="412CB15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כוונתו דכיון דהוה מטעם עריות, אי אינה עולה ליבום לא תעלה לחליצה. ולא דמי לחייבי עשה].</w:t>
      </w:r>
    </w:p>
  </w:footnote>
  <w:footnote w:id="1767">
    <w:p w14:paraId="6A9CBBE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ועד"ז חילקו תוס' (יח:), אלא דתוס' לא נקטו הך לשון קידושין דאיסורא [וע"ע </w:t>
      </w:r>
      <w:r w:rsidRPr="0041053F">
        <w:rPr>
          <w:rFonts w:ascii="Narkisim" w:hAnsi="Narkisim"/>
          <w:b/>
          <w:bCs/>
          <w:rtl/>
        </w:rPr>
        <w:t>תוס' מהר"ם ור"פ</w:t>
      </w:r>
      <w:r w:rsidRPr="0041053F">
        <w:rPr>
          <w:rFonts w:ascii="Narkisim" w:hAnsi="Narkisim"/>
          <w:rtl/>
        </w:rPr>
        <w:t xml:space="preserve"> שם].</w:t>
      </w:r>
    </w:p>
  </w:footnote>
  <w:footnote w:id="1768">
    <w:p w14:paraId="19E2366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וציין ל</w:t>
      </w:r>
      <w:r w:rsidRPr="0041053F">
        <w:rPr>
          <w:rFonts w:ascii="Narkisim" w:hAnsi="Narkisim"/>
          <w:b/>
          <w:bCs/>
          <w:rtl/>
        </w:rPr>
        <w:t>ירושלמי</w:t>
      </w:r>
      <w:r w:rsidRPr="0041053F">
        <w:rPr>
          <w:rFonts w:ascii="Narkisim" w:hAnsi="Narkisim"/>
          <w:rtl/>
        </w:rPr>
        <w:t xml:space="preserve"> (פסחים י א) הבא על ארוסתו בבית חמיו לוקה. [ולכאורה הו"ל להביא דהוה כלה בלא ברכה]. והר"ן כת' דכיון דקנה בביאה הוה נישואין, ולא נחשב איסורא.</w:t>
      </w:r>
    </w:p>
  </w:footnote>
  <w:footnote w:id="1769">
    <w:p w14:paraId="164D2BC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בית מאיר</w:t>
      </w:r>
      <w:r w:rsidRPr="0041053F">
        <w:rPr>
          <w:rFonts w:ascii="Narkisim" w:hAnsi="Narkisim"/>
          <w:rtl/>
        </w:rPr>
        <w:t xml:space="preserve"> (צלעות הבית ד) כת' דלדברי הר"ן המקדש נדה בביאה ל"ק, דהוה קנין דאיסורא, ודוקא בכסף ושטר תפסי קידושין בנדה. [ודלא כרא"ש (לקמן ב.) דאף ייבם נדה קנה]. והביא דה</w:t>
      </w:r>
      <w:r w:rsidRPr="0041053F">
        <w:rPr>
          <w:rFonts w:ascii="Narkisim" w:hAnsi="Narkisim"/>
          <w:b/>
          <w:bCs/>
          <w:rtl/>
        </w:rPr>
        <w:t>בי"ש</w:t>
      </w:r>
      <w:r w:rsidRPr="0041053F">
        <w:rPr>
          <w:rFonts w:ascii="Narkisim" w:hAnsi="Narkisim"/>
          <w:rtl/>
        </w:rPr>
        <w:t xml:space="preserve"> (סא ב בתו"ד) דן [ע"פ דברי הר"ן] האיך קני חופת נדה, הא הוה דאיסורא. [והבי"מ תמה דדעת הר"ן (ריש כתובות) דחופת נדה קונה].</w:t>
      </w:r>
    </w:p>
  </w:footnote>
  <w:footnote w:id="1770">
    <w:p w14:paraId="2995A43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בית מאיר</w:t>
      </w:r>
      <w:r w:rsidRPr="0041053F">
        <w:rPr>
          <w:rFonts w:ascii="Narkisim" w:hAnsi="Narkisim"/>
          <w:rtl/>
        </w:rPr>
        <w:t xml:space="preserve"> (שם) דה</w:t>
      </w:r>
      <w:r w:rsidRPr="0041053F">
        <w:rPr>
          <w:rFonts w:ascii="Narkisim" w:hAnsi="Narkisim"/>
          <w:b/>
          <w:bCs/>
          <w:rtl/>
        </w:rPr>
        <w:t>רמב"ן</w:t>
      </w:r>
      <w:r w:rsidRPr="0041053F">
        <w:rPr>
          <w:rFonts w:ascii="Narkisim" w:hAnsi="Narkisim"/>
          <w:rtl/>
        </w:rPr>
        <w:t xml:space="preserve"> (בסוגיין) מבואר דמאמר דאיסורא הוא היכא דאינו רשאי לייבם. וכ"מ ב</w:t>
      </w:r>
      <w:r w:rsidRPr="0041053F">
        <w:rPr>
          <w:rFonts w:ascii="Narkisim" w:hAnsi="Narkisim"/>
          <w:b/>
          <w:bCs/>
          <w:rtl/>
        </w:rPr>
        <w:t>רש"י</w:t>
      </w:r>
      <w:r w:rsidRPr="0041053F">
        <w:rPr>
          <w:rFonts w:ascii="Narkisim" w:hAnsi="Narkisim"/>
          <w:rtl/>
        </w:rPr>
        <w:t xml:space="preserve"> (כאן), ו</w:t>
      </w:r>
      <w:r w:rsidRPr="0041053F">
        <w:rPr>
          <w:rFonts w:ascii="Narkisim" w:hAnsi="Narkisim"/>
          <w:b/>
          <w:bCs/>
          <w:rtl/>
        </w:rPr>
        <w:t>תוס</w:t>
      </w:r>
      <w:r w:rsidRPr="0041053F">
        <w:rPr>
          <w:rFonts w:ascii="Narkisim" w:hAnsi="Narkisim"/>
          <w:rtl/>
        </w:rPr>
        <w:t>' (לעיל יח:).</w:t>
      </w:r>
    </w:p>
  </w:footnote>
  <w:footnote w:id="1771">
    <w:p w14:paraId="6CC9EF4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וכה"ק ה</w:t>
      </w:r>
      <w:r w:rsidRPr="0041053F">
        <w:rPr>
          <w:rFonts w:ascii="Narkisim" w:hAnsi="Narkisim"/>
          <w:b/>
          <w:bCs/>
          <w:rtl/>
        </w:rPr>
        <w:t>בית מאיר</w:t>
      </w:r>
      <w:r w:rsidRPr="0041053F">
        <w:rPr>
          <w:rFonts w:ascii="Narkisim" w:hAnsi="Narkisim"/>
          <w:rtl/>
        </w:rPr>
        <w:t xml:space="preserve"> (שם) דאחות זקוקה תקון כעין דאורי', דאחות אשתו לא תפסי קידושין. ומה שייך ללמוד לאיסור כלה בלא ברכה.</w:t>
      </w:r>
    </w:p>
  </w:footnote>
  <w:footnote w:id="1772">
    <w:p w14:paraId="19EC749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והיה אפשר לחלק בין אוסרתה קודם נפילה לאח"כ, אבל הראשונים לא חילקו בזה. וצ"ע.</w:t>
      </w:r>
    </w:p>
  </w:footnote>
  <w:footnote w:id="1773">
    <w:p w14:paraId="1F40C48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וכוונת הגמ' דערוה פטורה משום דאינו עולה ליבום אינו עולה לחליצה. [ומשמע דבאמת הוה ערוה 'במקצת', ומ"מ יש פטור. וצ"ב].</w:t>
      </w:r>
    </w:p>
  </w:footnote>
  <w:footnote w:id="1774">
    <w:p w14:paraId="12BF5CF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ומבואר דגדר 'מאמר דאיסורא' משום דלא חזיא למצוות יבום, וכמ"ש רש"י (לעיל) דלא חזי ליבומי. ולפ"ז לכאו' אף חייבי לאו ועשה יחשב מאמר דאיסורא, דלא חזיא לכולהו מצוות יבום. (ע' לעיל).</w:t>
      </w:r>
    </w:p>
  </w:footnote>
  <w:footnote w:id="1775">
    <w:p w14:paraId="525D0F0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מוכח לדברי הערול"נ מהא דרש"י כתב דמאמר מדרבנן, והיינו כמ"ד דאינו קונה קנין גמור.</w:t>
      </w:r>
    </w:p>
  </w:footnote>
  <w:footnote w:id="1776">
    <w:p w14:paraId="5716169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דאף דהוה דרבנן, מ"מ אפשר שתקנו דהוה בגדר נישואין ואישות בעלמא. [ולכאורה צ"ל דלרש"י הוה תקנה חדשה וגדר יבום].</w:t>
      </w:r>
    </w:p>
  </w:footnote>
  <w:footnote w:id="1777">
    <w:p w14:paraId="056EA98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משמע דמאמר נלמד מקידושין דעלמא, אבל ה</w:t>
      </w:r>
      <w:r w:rsidRPr="0041053F">
        <w:rPr>
          <w:rFonts w:ascii="Narkisim" w:hAnsi="Narkisim"/>
          <w:b/>
          <w:bCs/>
          <w:rtl/>
        </w:rPr>
        <w:t xml:space="preserve">ראשונים </w:t>
      </w:r>
      <w:r w:rsidRPr="0041053F">
        <w:rPr>
          <w:rFonts w:ascii="Narkisim" w:hAnsi="Narkisim"/>
          <w:rtl/>
        </w:rPr>
        <w:t>כתבו כיון דנכתב בלשון ולקחה, משמע דתליא בדין אירוסין.</w:t>
      </w:r>
    </w:p>
  </w:footnote>
  <w:footnote w:id="1778">
    <w:p w14:paraId="0169883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ורב אשי דייק כן בדברי המשנה (שם) דאי' אין יבמה גמורה לאישה כשם שארוסה גמורה לאישה.</w:t>
      </w:r>
    </w:p>
  </w:footnote>
  <w:footnote w:id="1779">
    <w:p w14:paraId="489C65D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ועי"ש בסוגיא. אבל ב</w:t>
      </w:r>
      <w:r w:rsidRPr="0041053F">
        <w:rPr>
          <w:rFonts w:ascii="Narkisim" w:hAnsi="Narkisim"/>
          <w:b/>
          <w:bCs/>
          <w:rtl/>
        </w:rPr>
        <w:t>שו"ת הרשב"א</w:t>
      </w:r>
      <w:r w:rsidRPr="0041053F">
        <w:rPr>
          <w:rFonts w:ascii="Narkisim" w:hAnsi="Narkisim"/>
          <w:rtl/>
        </w:rPr>
        <w:t xml:space="preserve"> (ג רלב, וכ"פ בשו"ע יו"ד שעג ה) פסק דמטמא לשומרת יבם, דכיון דיורשה נחשב כאישות דרבנן, וכקידושי קטנה, דמבואר (לקמן פט:) דמטמא מדין מת מצווה.</w:t>
      </w:r>
    </w:p>
  </w:footnote>
  <w:footnote w:id="1780">
    <w:p w14:paraId="32FC1FE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(וכן ב"מ יח:). ולכאורה כוונת רש"י במש"כ 'לאו דוקא', דהלשון במשמע שאסורה להטמאות לאו דוקא, וכ"כ </w:t>
      </w:r>
      <w:r w:rsidRPr="0041053F">
        <w:rPr>
          <w:rFonts w:ascii="Narkisim" w:hAnsi="Narkisim"/>
          <w:b/>
          <w:bCs/>
          <w:rtl/>
        </w:rPr>
        <w:t>רש"י</w:t>
      </w:r>
      <w:r w:rsidRPr="0041053F">
        <w:rPr>
          <w:rFonts w:ascii="Narkisim" w:hAnsi="Narkisim"/>
          <w:rtl/>
        </w:rPr>
        <w:t xml:space="preserve"> (סנהדרין כח:).</w:t>
      </w:r>
    </w:p>
  </w:footnote>
  <w:footnote w:id="1781">
    <w:p w14:paraId="0D61DA8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בתוה"א כתב דלרמב"ם לאו דוקא ארוסה, ושיטתיה נקט. וע"ע </w:t>
      </w:r>
      <w:r w:rsidRPr="0041053F">
        <w:rPr>
          <w:rFonts w:ascii="Narkisim" w:hAnsi="Narkisim"/>
          <w:b/>
          <w:bCs/>
          <w:rtl/>
        </w:rPr>
        <w:t>מנח"ח</w:t>
      </w:r>
      <w:r w:rsidRPr="0041053F">
        <w:rPr>
          <w:rFonts w:ascii="Narkisim" w:hAnsi="Narkisim"/>
          <w:rtl/>
        </w:rPr>
        <w:t xml:space="preserve"> (רסו כג) ועוד </w:t>
      </w:r>
      <w:r w:rsidRPr="0041053F">
        <w:rPr>
          <w:rFonts w:ascii="Narkisim" w:hAnsi="Narkisim"/>
          <w:b/>
          <w:bCs/>
          <w:rtl/>
        </w:rPr>
        <w:t>אחרונים</w:t>
      </w:r>
      <w:r w:rsidRPr="0041053F">
        <w:rPr>
          <w:rFonts w:ascii="Narkisim" w:hAnsi="Narkisim"/>
          <w:rtl/>
        </w:rPr>
        <w:t xml:space="preserve"> שדנו ליישב לרמב"ם.</w:t>
      </w:r>
    </w:p>
  </w:footnote>
  <w:footnote w:id="1782">
    <w:p w14:paraId="7E0A656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וכדין ביאת שוגג דקנה לדברים האמורים בפרשה [וכדאיתא לקמן נו.].</w:t>
      </w:r>
    </w:p>
  </w:footnote>
  <w:footnote w:id="1783">
    <w:p w14:paraId="6FE12F3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לכאורה לפ"ז רק אחרי הביאה הוה נישואין, אבל קודם אינה מסורה לו לבא עליה בלא חופה.</w:t>
      </w:r>
    </w:p>
  </w:footnote>
  <w:footnote w:id="1784">
    <w:p w14:paraId="2CDDCC5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ה</w:t>
      </w:r>
      <w:r w:rsidRPr="0041053F">
        <w:rPr>
          <w:rFonts w:ascii="Narkisim" w:hAnsi="Narkisim"/>
          <w:b/>
          <w:bCs/>
          <w:rtl/>
        </w:rPr>
        <w:t>ריטב"א</w:t>
      </w:r>
      <w:r w:rsidRPr="0041053F">
        <w:rPr>
          <w:rFonts w:ascii="Narkisim" w:hAnsi="Narkisim"/>
          <w:rtl/>
        </w:rPr>
        <w:t xml:space="preserve"> (לקמן נח:) כת' דאחרי מאמר היבמה נקנית מדרבנן ע"י חופה.</w:t>
      </w:r>
    </w:p>
  </w:footnote>
  <w:footnote w:id="1785">
    <w:p w14:paraId="53F5F53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רמב"ם</w:t>
      </w:r>
      <w:r w:rsidRPr="0041053F">
        <w:rPr>
          <w:rFonts w:ascii="Narkisim" w:hAnsi="Narkisim"/>
          <w:rtl/>
        </w:rPr>
        <w:t xml:space="preserve"> (ב ב) כת' שיברך ברכת נישואין [ז' ברכות].</w:t>
      </w:r>
    </w:p>
  </w:footnote>
  <w:footnote w:id="1786">
    <w:p w14:paraId="1DCCE1E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מהרש"א</w:t>
      </w:r>
      <w:r w:rsidRPr="0041053F">
        <w:rPr>
          <w:rFonts w:ascii="Narkisim" w:hAnsi="Narkisim"/>
          <w:rtl/>
        </w:rPr>
        <w:t xml:space="preserve"> (בסו"ד) נקט דאף למ"ד מאמר דרבנן פקע זיקת אירוסין, ול"מ ביאה אח"כ.</w:t>
      </w:r>
    </w:p>
  </w:footnote>
  <w:footnote w:id="1787">
    <w:p w14:paraId="580300C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ראשונים</w:t>
      </w:r>
      <w:r w:rsidRPr="0041053F">
        <w:rPr>
          <w:rFonts w:ascii="Narkisim" w:hAnsi="Narkisim"/>
          <w:rtl/>
        </w:rPr>
        <w:t xml:space="preserve"> (בנדרים) פסקו כר' עקיבא דאינו מיפר, ואף דפסקו יש זיקה לאסור אחותה [עכ"פ מדרבנן].</w:t>
      </w:r>
    </w:p>
  </w:footnote>
  <w:footnote w:id="1788">
    <w:p w14:paraId="0640E1E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וכעי"ז הקשה ה</w:t>
      </w:r>
      <w:r w:rsidRPr="0041053F">
        <w:rPr>
          <w:rFonts w:ascii="Narkisim" w:hAnsi="Narkisim"/>
          <w:b/>
          <w:bCs/>
          <w:rtl/>
        </w:rPr>
        <w:t xml:space="preserve">תוס' מהר"ם והר"פ </w:t>
      </w:r>
      <w:r w:rsidRPr="0041053F">
        <w:rPr>
          <w:rFonts w:ascii="Narkisim" w:hAnsi="Narkisim"/>
          <w:rtl/>
        </w:rPr>
        <w:t>היכי אתי זיקה דרבנן ומבטל נדרים דאורייתא. ותי' דאיירי בארוסה, ונתרוקן רשות הארוס וקיימא ברשות היבם, ואביה ובעלה מפירין נדריה [ומדאורייתא מופר ע"י האב לחוד].</w:t>
      </w:r>
    </w:p>
  </w:footnote>
  <w:footnote w:id="1789">
    <w:p w14:paraId="0227231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בגמ' משמע דלא בעינן להך טעם אלא לבסוף. ואפשר דבגמ' שם נתחדש דאפי' שאין אישות, כיון דניזונת משלו].</w:t>
      </w:r>
    </w:p>
  </w:footnote>
  <w:footnote w:id="1790">
    <w:p w14:paraId="327966A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ויש להביא מדברי </w:t>
      </w:r>
      <w:r w:rsidRPr="0041053F">
        <w:rPr>
          <w:rFonts w:ascii="Narkisim" w:hAnsi="Narkisim"/>
          <w:b/>
          <w:bCs/>
          <w:rtl/>
        </w:rPr>
        <w:t>רש"י</w:t>
      </w:r>
      <w:r w:rsidRPr="0041053F">
        <w:rPr>
          <w:rFonts w:ascii="Narkisim" w:hAnsi="Narkisim"/>
          <w:rtl/>
        </w:rPr>
        <w:t xml:space="preserve"> (ח:) דזקוקתו הוה כאשתו, אבל לא אלים למהוי כאחות אשתו ממש להפטר וכו'.</w:t>
      </w:r>
    </w:p>
    <w:p w14:paraId="766494FF" w14:textId="77777777" w:rsidR="006074A5" w:rsidRPr="0041053F" w:rsidRDefault="006074A5" w:rsidP="006074A5">
      <w:pPr>
        <w:pStyle w:val="Footnote"/>
        <w:bidi/>
        <w:rPr>
          <w:rFonts w:ascii="Narkisim" w:hAnsi="Narkisim"/>
        </w:rPr>
      </w:pPr>
      <w:r w:rsidRPr="0041053F">
        <w:rPr>
          <w:rFonts w:ascii="Narkisim" w:hAnsi="Narkisim"/>
          <w:rtl/>
        </w:rPr>
        <w:tab/>
        <w:t>והוסיפו ע"פ דברי ה</w:t>
      </w:r>
      <w:r w:rsidRPr="0041053F">
        <w:rPr>
          <w:rFonts w:ascii="Narkisim" w:hAnsi="Narkisim"/>
          <w:b/>
          <w:bCs/>
          <w:rtl/>
        </w:rPr>
        <w:t>שיטמ"ק</w:t>
      </w:r>
      <w:r w:rsidRPr="0041053F">
        <w:rPr>
          <w:rFonts w:ascii="Narkisim" w:hAnsi="Narkisim"/>
          <w:rtl/>
        </w:rPr>
        <w:t xml:space="preserve"> (בנדרים, הו' בסמוך) דיכול להפר נדריה משום דלא תליא ב'שאר' [אלא בקנין האישות], אבל איסור קרובים תליא בקורבה ו'שאר בשר'.</w:t>
      </w:r>
    </w:p>
  </w:footnote>
  <w:footnote w:id="1791">
    <w:p w14:paraId="0BB4FA8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 דשא"ר דפליגי הוא משום דס"ל דאף הפרת נדרים תליא בדין שארות [ושם מקודשת].</w:t>
      </w:r>
    </w:p>
  </w:footnote>
  <w:footnote w:id="1792">
    <w:p w14:paraId="38FC5C5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ר"ן</w:t>
      </w:r>
      <w:r w:rsidRPr="0041053F">
        <w:rPr>
          <w:rFonts w:ascii="Narkisim" w:hAnsi="Narkisim"/>
          <w:rtl/>
        </w:rPr>
        <w:t xml:space="preserve"> הק' דר' אושעיא (יח:) הוא דאמר זיקה ככנוסה, ואתותיב. וכתב דנדחה דר' שמעון לא מצי סבר כן, אבל ר' יהושע מצי סבר זיקה ככנוסה.</w:t>
      </w:r>
    </w:p>
  </w:footnote>
  <w:footnote w:id="1793">
    <w:p w14:paraId="447072F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ולפ"ז מבואר דזיקה ככנוסה עדיף ממאמר לבי"ש. וכ"כ </w:t>
      </w:r>
      <w:r w:rsidRPr="0041053F">
        <w:rPr>
          <w:rFonts w:ascii="Narkisim" w:hAnsi="Narkisim"/>
          <w:b/>
          <w:bCs/>
          <w:rtl/>
        </w:rPr>
        <w:t>תוס</w:t>
      </w:r>
      <w:r w:rsidRPr="0041053F">
        <w:rPr>
          <w:rFonts w:ascii="Narkisim" w:hAnsi="Narkisim"/>
          <w:rtl/>
        </w:rPr>
        <w:t>' (בע"א ד"ה לא).</w:t>
      </w:r>
    </w:p>
  </w:footnote>
  <w:footnote w:id="1794">
    <w:p w14:paraId="28F842E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דע"פ דברי הר"ן הכא בעינן לדין זיקה ככנוסה, וא"כ לא תליא בדלעיל. [ומסתבר דאיתתא לבי תרי לא חזי. וע' לעיל יח:].</w:t>
      </w:r>
    </w:p>
  </w:footnote>
  <w:footnote w:id="1795">
    <w:p w14:paraId="572A8BF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 לעיל (כד. וכח.) דמשמע דהוה ודאי. [ואף אם נעקר אח"כ למפרע, וכמ"ש </w:t>
      </w:r>
      <w:r w:rsidRPr="0041053F">
        <w:rPr>
          <w:rFonts w:ascii="Narkisim" w:hAnsi="Narkisim"/>
          <w:b/>
          <w:bCs/>
          <w:rtl/>
        </w:rPr>
        <w:t>רש"י</w:t>
      </w:r>
      <w:r w:rsidRPr="0041053F">
        <w:rPr>
          <w:rFonts w:ascii="Narkisim" w:hAnsi="Narkisim"/>
          <w:rtl/>
        </w:rPr>
        <w:t xml:space="preserve"> (כג:), מ"מ מעיקרא נחשב קנין ודאי במקצת].</w:t>
      </w:r>
    </w:p>
  </w:footnote>
  <w:footnote w:id="1796">
    <w:p w14:paraId="1647DDC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וכ"ש למש"כ רש"י דקלישא זיקה ול"מ כלל. אך מדברי </w:t>
      </w:r>
      <w:r w:rsidRPr="0041053F">
        <w:rPr>
          <w:rFonts w:ascii="Narkisim" w:hAnsi="Narkisim"/>
          <w:b/>
          <w:bCs/>
          <w:rtl/>
        </w:rPr>
        <w:t>רש"י</w:t>
      </w:r>
      <w:r w:rsidRPr="0041053F">
        <w:rPr>
          <w:rFonts w:ascii="Narkisim" w:hAnsi="Narkisim"/>
          <w:rtl/>
        </w:rPr>
        <w:t xml:space="preserve"> (ד"ה אלא לתרי) מבואר דיש צד דמהני הפרה דתרוייהו.</w:t>
      </w:r>
    </w:p>
  </w:footnote>
  <w:footnote w:id="1797">
    <w:p w14:paraId="5E14798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וכל זה כדיחוי בעלמא, אבל לאמת אין זיקה לב' [דקלישא לרש"י, או דאין ברירה. וברשב"א משמע דב' הטעמים משלימים זה את זה].</w:t>
      </w:r>
    </w:p>
  </w:footnote>
  <w:footnote w:id="1798">
    <w:p w14:paraId="5287268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ומדברי </w:t>
      </w:r>
      <w:r w:rsidRPr="0041053F">
        <w:rPr>
          <w:rFonts w:ascii="Narkisim" w:hAnsi="Narkisim"/>
          <w:b/>
          <w:bCs/>
          <w:rtl/>
        </w:rPr>
        <w:t xml:space="preserve">רש"י </w:t>
      </w:r>
      <w:r w:rsidRPr="0041053F">
        <w:rPr>
          <w:rFonts w:ascii="Narkisim" w:hAnsi="Narkisim"/>
          <w:rtl/>
        </w:rPr>
        <w:t>משמע דהיינו דוקא לענין איסורי קורבא. אבל להפרת נדרים בעינן 'אישה', ושניהם צריכין להתיר [דצריך כל צדדי הבעל להפר, ולא סגי בא']. אבל רש"י (הקודם) משמע דאף למ"ד זיקה בב' לענין איסור קרובים, ל"מ בהפרת נדרים דקלישא. ומ"מ כתב הכא לרבותא דלא יתכן דיהני הפרת הא'.</w:t>
      </w:r>
    </w:p>
  </w:footnote>
  <w:footnote w:id="1799">
    <w:p w14:paraId="25DD035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והביאו שב</w:t>
      </w:r>
      <w:r w:rsidRPr="0041053F">
        <w:rPr>
          <w:rFonts w:ascii="Narkisim" w:hAnsi="Narkisim"/>
          <w:b/>
          <w:bCs/>
          <w:rtl/>
        </w:rPr>
        <w:t>ראב"ן</w:t>
      </w:r>
      <w:r w:rsidRPr="0041053F">
        <w:rPr>
          <w:rFonts w:ascii="Narkisim" w:hAnsi="Narkisim"/>
          <w:rtl/>
        </w:rPr>
        <w:t xml:space="preserve"> כתב דלמסקנא שומרת יבם עדיפא מארוסה, ועפ"ז ביאר דברי רבא [לקמן לט., הו' בתוד"ה עבד].</w:t>
      </w:r>
    </w:p>
  </w:footnote>
  <w:footnote w:id="1800">
    <w:p w14:paraId="2AD72B8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חי' ר"א מן ההר</w:t>
      </w:r>
      <w:r w:rsidRPr="0041053F">
        <w:rPr>
          <w:rFonts w:ascii="Narkisim" w:hAnsi="Narkisim"/>
          <w:rtl/>
        </w:rPr>
        <w:t xml:space="preserve"> כתב דכיון דיכול לבא עליה בע"כ, יצאת מרשות האב, ואינו בדין שיפר נדריה. [משמע דאף שאין קנינו יותר מכל ארוסה, מ"מ יצאת מרשות האב. וכיון דאינה ברשות האב מצי מפר. וזה חידוש גדול].</w:t>
      </w:r>
    </w:p>
  </w:footnote>
  <w:footnote w:id="1801">
    <w:p w14:paraId="1BAEAA7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בטומאה כתיב כי אם לשארו, ובירושה דרשי' ונתתם את נחלת שארו לו.</w:t>
      </w:r>
    </w:p>
  </w:footnote>
  <w:footnote w:id="1802">
    <w:p w14:paraId="16CEAD2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תוס' הרא"ש </w:t>
      </w:r>
      <w:r w:rsidRPr="0041053F">
        <w:rPr>
          <w:rFonts w:ascii="Narkisim" w:hAnsi="Narkisim"/>
          <w:rtl/>
        </w:rPr>
        <w:t>דחה פי' זה דא"כ כ"ש למ"ד דאינו קונה קנין גמור, דמהני הביאה לקנות.</w:t>
      </w:r>
    </w:p>
  </w:footnote>
  <w:footnote w:id="1803">
    <w:p w14:paraId="11D5E97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ועד"ז אי' (נדה מו:) דאף ביתומה קטנה הבעל מיפר נדריה [אף למ"ד דמופלא הסמוך לאיש נדריו מדאורייתא], דנודרת על דעתו.</w:t>
      </w:r>
    </w:p>
  </w:footnote>
  <w:footnote w:id="1804">
    <w:p w14:paraId="566B5A5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אך </w:t>
      </w:r>
      <w:r w:rsidRPr="0041053F">
        <w:rPr>
          <w:rFonts w:ascii="Narkisim" w:hAnsi="Narkisim"/>
          <w:b/>
          <w:bCs/>
          <w:rtl/>
        </w:rPr>
        <w:t>תוס</w:t>
      </w:r>
      <w:r w:rsidRPr="0041053F">
        <w:rPr>
          <w:rFonts w:ascii="Narkisim" w:hAnsi="Narkisim"/>
          <w:rtl/>
        </w:rPr>
        <w:t>' (לקמן פט.) הביאו דבגמ' (לקמן צ:) אי' הטעם דמיפר נדריה משום שלא תתגנה על בעלה. ותוס' פי' דהוה טעם מ"ט חכמים תקנו כן, היכא דאינו מיפר מדאורייתא. וצ"ב דלכאו' הוה אומדנא בעלמא שנודרת ע"פ, ואילו מדברי התוס' מבואר דהוה תקנ"ח.</w:t>
      </w:r>
    </w:p>
    <w:p w14:paraId="6F74C391" w14:textId="77777777" w:rsidR="006074A5" w:rsidRPr="0041053F" w:rsidRDefault="006074A5" w:rsidP="006074A5">
      <w:pPr>
        <w:pStyle w:val="Footnote"/>
        <w:bidi/>
        <w:rPr>
          <w:rFonts w:ascii="Narkisim" w:hAnsi="Narkisim"/>
        </w:rPr>
      </w:pPr>
      <w:r w:rsidRPr="0041053F">
        <w:rPr>
          <w:rFonts w:ascii="Narkisim" w:hAnsi="Narkisim"/>
          <w:rtl/>
        </w:rPr>
        <w:tab/>
        <w:t xml:space="preserve">ויש שפי' ע"פ דברי התוס' דהוה תקנ"ח בעלמא שיוכל להפר. [ולא משום אומדנא בעלמא]. וסמכו דבריהם אסברא דנודרת על דעתו, וע"ד מש"כ </w:t>
      </w:r>
      <w:r w:rsidRPr="0041053F">
        <w:rPr>
          <w:rFonts w:ascii="Narkisim" w:hAnsi="Narkisim"/>
          <w:b/>
          <w:bCs/>
          <w:rtl/>
        </w:rPr>
        <w:t>תוס</w:t>
      </w:r>
      <w:r w:rsidRPr="0041053F">
        <w:rPr>
          <w:rFonts w:ascii="Narkisim" w:hAnsi="Narkisim"/>
          <w:rtl/>
        </w:rPr>
        <w:t xml:space="preserve">' (לקמן פח. ד"ה מתוך, ופט:) דבדבר שיש קצת טעם וסמך לא חשיב עקירת דבר מה"ת.  </w:t>
      </w:r>
    </w:p>
  </w:footnote>
  <w:footnote w:id="1805">
    <w:p w14:paraId="6D7F925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 דבעל מיפר מכאן ולהבא. וע' קובה"ע (כו), קוב"ש (ב"ב שסג וקוב"ב גיטין נג), או"ש (נדרים יב יט) [ואכמ"ל].</w:t>
      </w:r>
    </w:p>
  </w:footnote>
  <w:footnote w:id="1806">
    <w:p w14:paraId="521D75B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תוס</w:t>
      </w:r>
      <w:r w:rsidRPr="0041053F">
        <w:rPr>
          <w:rFonts w:ascii="Narkisim" w:hAnsi="Narkisim"/>
          <w:rtl/>
        </w:rPr>
        <w:t xml:space="preserve">' (בנדה בתי' הא') תי' דאיצטריך קרא דהיכא שקיים הנדר אינו יכול להפר. </w:t>
      </w:r>
      <w:r w:rsidRPr="0041053F">
        <w:rPr>
          <w:rFonts w:ascii="Narkisim" w:eastAsia="Narkisim" w:hAnsi="Narkisim"/>
          <w:rtl/>
        </w:rPr>
        <w:t>[והתוס' רא"ש כת' דאפ"ה נישואין דרבנן כשקיים אינו יכול להפר. וצ"ב].</w:t>
      </w:r>
    </w:p>
    <w:p w14:paraId="4F398ED3" w14:textId="77777777" w:rsidR="006074A5" w:rsidRPr="0041053F" w:rsidRDefault="006074A5" w:rsidP="006074A5">
      <w:pPr>
        <w:pStyle w:val="Footnote"/>
        <w:bidi/>
        <w:rPr>
          <w:rFonts w:ascii="Narkisim" w:hAnsi="Narkisim"/>
        </w:rPr>
      </w:pPr>
      <w:r w:rsidRPr="0041053F">
        <w:rPr>
          <w:rFonts w:ascii="Narkisim" w:hAnsi="Narkisim"/>
          <w:rtl/>
        </w:rPr>
        <w:tab/>
        <w:t>וה</w:t>
      </w:r>
      <w:r w:rsidRPr="0041053F">
        <w:rPr>
          <w:rFonts w:ascii="Narkisim" w:hAnsi="Narkisim"/>
          <w:b/>
          <w:bCs/>
          <w:rtl/>
        </w:rPr>
        <w:t>תוס' רא"ש</w:t>
      </w:r>
      <w:r w:rsidRPr="0041053F">
        <w:rPr>
          <w:rFonts w:ascii="Narkisim" w:hAnsi="Narkisim"/>
          <w:rtl/>
        </w:rPr>
        <w:t xml:space="preserve"> (שם) תי' עוד דגזיה"כ דמיפר אפי' היכא דפי' להדיא דלא נדרה על דעתו. [ולכאו' ביבם ואשתו קטנה אינו מיפר כה"ג].</w:t>
      </w:r>
    </w:p>
  </w:footnote>
  <w:footnote w:id="1807">
    <w:p w14:paraId="6E2907F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תוס' רא"ש</w:t>
      </w:r>
      <w:r w:rsidRPr="0041053F">
        <w:rPr>
          <w:rFonts w:ascii="Narkisim" w:hAnsi="Narkisim"/>
          <w:rtl/>
        </w:rPr>
        <w:t xml:space="preserve"> (גיטין פג:) כת' דאין אדם מפר נדרי בניו ובנותיו [אפי' סמוכין על שולחנו] וכן נדרי עבדיו. ומש"ה איצטריך קרא, דלא הוה ידעי' מסברא דאגידא ביה. וע"ע ריטב"א (נדרים סז.).</w:t>
      </w:r>
    </w:p>
  </w:footnote>
  <w:footnote w:id="1808">
    <w:p w14:paraId="3723B4B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טור</w:t>
      </w:r>
      <w:r w:rsidRPr="0041053F">
        <w:rPr>
          <w:rFonts w:ascii="Narkisim" w:hAnsi="Narkisim"/>
          <w:rtl/>
        </w:rPr>
        <w:t xml:space="preserve"> הביא דה</w:t>
      </w:r>
      <w:r w:rsidRPr="0041053F">
        <w:rPr>
          <w:rFonts w:ascii="Narkisim" w:hAnsi="Narkisim"/>
          <w:b/>
          <w:bCs/>
          <w:rtl/>
        </w:rPr>
        <w:t>רא"ש</w:t>
      </w:r>
      <w:r w:rsidRPr="0041053F">
        <w:rPr>
          <w:rFonts w:ascii="Narkisim" w:hAnsi="Narkisim"/>
          <w:rtl/>
        </w:rPr>
        <w:t xml:space="preserve"> פליג דאף בלי מאמר, דהוה צרה ע"י זיקה.</w:t>
      </w:r>
    </w:p>
  </w:footnote>
  <w:footnote w:id="1809">
    <w:p w14:paraId="6FD7F76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ב</w:t>
      </w:r>
      <w:r w:rsidRPr="0041053F">
        <w:rPr>
          <w:rFonts w:ascii="Narkisim" w:hAnsi="Narkisim"/>
          <w:b/>
          <w:bCs/>
          <w:rtl/>
        </w:rPr>
        <w:t>שו"ע</w:t>
      </w:r>
      <w:r w:rsidRPr="0041053F">
        <w:rPr>
          <w:rFonts w:ascii="Narkisim" w:hAnsi="Narkisim"/>
          <w:rtl/>
        </w:rPr>
        <w:t xml:space="preserve"> (קעה ו) [גבי צרת אחות אשתו] סתם דעשה מאמר. ואף שב</w:t>
      </w:r>
      <w:r w:rsidRPr="0041053F">
        <w:rPr>
          <w:rFonts w:ascii="Narkisim" w:hAnsi="Narkisim"/>
          <w:b/>
          <w:bCs/>
          <w:rtl/>
        </w:rPr>
        <w:t>שו"ע</w:t>
      </w:r>
      <w:r w:rsidRPr="0041053F">
        <w:rPr>
          <w:rFonts w:ascii="Narkisim" w:hAnsi="Narkisim"/>
          <w:rtl/>
        </w:rPr>
        <w:t xml:space="preserve"> (קעג יב) כת' [גבי אשת אח שלא בעולמו] משום זיקה, אף דלא עשה מאמר.</w:t>
      </w:r>
    </w:p>
  </w:footnote>
  <w:footnote w:id="1810">
    <w:p w14:paraId="4B3A924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ובס' </w:t>
      </w:r>
      <w:r w:rsidRPr="0041053F">
        <w:rPr>
          <w:rFonts w:ascii="Narkisim" w:hAnsi="Narkisim"/>
          <w:b/>
          <w:bCs/>
          <w:rtl/>
        </w:rPr>
        <w:t>קובץ</w:t>
      </w:r>
      <w:r w:rsidRPr="0041053F">
        <w:rPr>
          <w:rFonts w:ascii="Narkisim" w:hAnsi="Narkisim"/>
          <w:rtl/>
        </w:rPr>
        <w:t xml:space="preserve"> לרמב"ם כתב דהרמב"ם פסק דכיון דמת פקע זיקה דידיה. ודלא כגמ' (לעיל יז:) דכשמתה לא פקע זיקה. [אבל ה</w:t>
      </w:r>
      <w:r w:rsidRPr="0041053F">
        <w:rPr>
          <w:rFonts w:ascii="Narkisim" w:hAnsi="Narkisim"/>
          <w:b/>
          <w:bCs/>
          <w:rtl/>
        </w:rPr>
        <w:t>אחרונים</w:t>
      </w:r>
      <w:r w:rsidRPr="0041053F">
        <w:rPr>
          <w:rFonts w:ascii="Narkisim" w:hAnsi="Narkisim"/>
          <w:rtl/>
        </w:rPr>
        <w:t xml:space="preserve"> נקטו דכשמת היבם לא פקע הזיקה, ורק היכא דמתה היבמה].</w:t>
      </w:r>
    </w:p>
    <w:p w14:paraId="210B0E81" w14:textId="77777777" w:rsidR="006074A5" w:rsidRPr="0041053F" w:rsidRDefault="006074A5" w:rsidP="006074A5">
      <w:pPr>
        <w:pStyle w:val="Footnote"/>
        <w:bidi/>
        <w:rPr>
          <w:rFonts w:ascii="Narkisim" w:hAnsi="Narkisim"/>
        </w:rPr>
      </w:pPr>
      <w:r w:rsidRPr="0041053F">
        <w:rPr>
          <w:rFonts w:ascii="Narkisim" w:hAnsi="Narkisim"/>
          <w:rtl/>
        </w:rPr>
        <w:tab/>
        <w:t>וה</w:t>
      </w:r>
      <w:r w:rsidRPr="0041053F">
        <w:rPr>
          <w:rFonts w:ascii="Narkisim" w:hAnsi="Narkisim"/>
          <w:b/>
          <w:bCs/>
          <w:rtl/>
        </w:rPr>
        <w:t>משנת ר"א</w:t>
      </w:r>
      <w:r w:rsidRPr="0041053F">
        <w:rPr>
          <w:rFonts w:ascii="Narkisim" w:hAnsi="Narkisim"/>
          <w:rtl/>
        </w:rPr>
        <w:t xml:space="preserve"> כת' דיש ב' איסורי זיקה, והזיקה שהוא כאישות נעקר למפרע כשאחיו מייבם [או הוא מת], ונשאר רק איסור בעלמא. ומחמת זה אינה נחשבת צרת ערוה.</w:t>
      </w:r>
    </w:p>
  </w:footnote>
  <w:footnote w:id="1811">
    <w:p w14:paraId="40383AB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ודנו דאף המהרש"א ס"ל כן במשנה הא' [והקשה רק במשנה הב'], דהתם הוה צרת ערוה מחמת הראשון ואינה זקוקה מחמתו כלל.</w:t>
      </w:r>
    </w:p>
  </w:footnote>
  <w:footnote w:id="1812">
    <w:p w14:paraId="4832304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וממ"נ אין איסור אשת ב' מתים, דאי מאמרו מאמר, א"כ הוה רק אשת הב' [ולא ס"ל דקנה במקצת].</w:t>
      </w:r>
    </w:p>
  </w:footnote>
  <w:footnote w:id="1813">
    <w:p w14:paraId="48725EB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רש"ש</w:t>
      </w:r>
      <w:r w:rsidRPr="0041053F">
        <w:rPr>
          <w:rFonts w:ascii="Narkisim" w:hAnsi="Narkisim"/>
          <w:rtl/>
        </w:rPr>
        <w:t xml:space="preserve"> כת' דיל"פ דאף באשתו גמורה יש חילוק איזה נשא ראשונה. דס"ד דפטור צרה הוא רק היכא דנשאה קודם.</w:t>
      </w:r>
    </w:p>
  </w:footnote>
  <w:footnote w:id="1814">
    <w:p w14:paraId="66A9882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וכעי"ז מצאנו בגמ' (יט:) ס"ד דאין ספק מוציא מידי ודאי. [ועי"ש מש"כ בזה]. וה</w:t>
      </w:r>
      <w:r w:rsidRPr="0041053F">
        <w:rPr>
          <w:rFonts w:ascii="Narkisim" w:hAnsi="Narkisim"/>
          <w:b/>
          <w:bCs/>
          <w:rtl/>
        </w:rPr>
        <w:t>אחרונים</w:t>
      </w:r>
      <w:r w:rsidRPr="0041053F">
        <w:rPr>
          <w:rFonts w:ascii="Narkisim" w:hAnsi="Narkisim"/>
          <w:rtl/>
        </w:rPr>
        <w:t xml:space="preserve"> ציינו למש"כ ה</w:t>
      </w:r>
      <w:r w:rsidRPr="0041053F">
        <w:rPr>
          <w:rFonts w:ascii="Narkisim" w:hAnsi="Narkisim"/>
          <w:b/>
          <w:bCs/>
          <w:rtl/>
        </w:rPr>
        <w:t>פוסקים</w:t>
      </w:r>
      <w:r w:rsidRPr="0041053F">
        <w:rPr>
          <w:rFonts w:ascii="Narkisim" w:hAnsi="Narkisim"/>
          <w:rtl/>
        </w:rPr>
        <w:t xml:space="preserve"> (מד) גבי שפחה חרופה דאין לה כח לאסור צרתה שיש בה אישות גמורה.</w:t>
      </w:r>
    </w:p>
  </w:footnote>
  <w:footnote w:id="1815">
    <w:p w14:paraId="10D8ED9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וכ"כ </w:t>
      </w:r>
      <w:r w:rsidRPr="0041053F">
        <w:rPr>
          <w:rFonts w:ascii="Narkisim" w:hAnsi="Narkisim"/>
          <w:b/>
          <w:bCs/>
          <w:rtl/>
        </w:rPr>
        <w:t>רע"א</w:t>
      </w:r>
      <w:r w:rsidRPr="0041053F">
        <w:rPr>
          <w:rFonts w:ascii="Narkisim" w:hAnsi="Narkisim"/>
          <w:rtl/>
        </w:rPr>
        <w:t xml:space="preserve"> (יז: בתו"ד). אבל ה</w:t>
      </w:r>
      <w:r w:rsidRPr="0041053F">
        <w:rPr>
          <w:rFonts w:ascii="Narkisim" w:hAnsi="Narkisim"/>
          <w:b/>
          <w:bCs/>
          <w:rtl/>
        </w:rPr>
        <w:t>קובה"ע</w:t>
      </w:r>
      <w:r w:rsidRPr="0041053F">
        <w:rPr>
          <w:rFonts w:ascii="Narkisim" w:hAnsi="Narkisim"/>
          <w:rtl/>
        </w:rPr>
        <w:t xml:space="preserve"> הביא ממש"כ תוס' (שם) במעוברת דחל היתר אח"כ [ועי"ש מש"כ הגר"ח].</w:t>
      </w:r>
    </w:p>
  </w:footnote>
  <w:footnote w:id="1816">
    <w:p w14:paraId="6D1EFD1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וכן לשון </w:t>
      </w:r>
      <w:r w:rsidRPr="0041053F">
        <w:rPr>
          <w:rFonts w:ascii="Narkisim" w:hAnsi="Narkisim"/>
          <w:b/>
          <w:bCs/>
          <w:rtl/>
        </w:rPr>
        <w:t>רש"י</w:t>
      </w:r>
      <w:r w:rsidRPr="0041053F">
        <w:rPr>
          <w:rFonts w:ascii="Narkisim" w:hAnsi="Narkisim"/>
          <w:rtl/>
        </w:rPr>
        <w:t xml:space="preserve"> (ב: ועוד מקומות) דהוה כאשת אח שיש לה בנים. וכן הביאו לשון ה</w:t>
      </w:r>
      <w:r w:rsidRPr="0041053F">
        <w:rPr>
          <w:rFonts w:ascii="Narkisim" w:hAnsi="Narkisim"/>
          <w:b/>
          <w:bCs/>
          <w:rtl/>
        </w:rPr>
        <w:t>ס' הישר</w:t>
      </w:r>
      <w:r w:rsidRPr="0041053F">
        <w:rPr>
          <w:rFonts w:ascii="Narkisim" w:hAnsi="Narkisim"/>
          <w:rtl/>
        </w:rPr>
        <w:t xml:space="preserve"> (פ) דכל יבמה שאינה ראויה מחמת איסור הדוחה יבום, הרי היא כאשת אח שיש לה בנים דהוא איסור הדוחה יבום.</w:t>
      </w:r>
    </w:p>
    <w:p w14:paraId="58E02948" w14:textId="77777777" w:rsidR="006074A5" w:rsidRPr="0041053F" w:rsidRDefault="006074A5" w:rsidP="006074A5">
      <w:pPr>
        <w:pStyle w:val="Footnote"/>
        <w:bidi/>
        <w:rPr>
          <w:rFonts w:ascii="Narkisim" w:hAnsi="Narkisim"/>
        </w:rPr>
      </w:pPr>
      <w:r w:rsidRPr="0041053F">
        <w:rPr>
          <w:rFonts w:ascii="Narkisim" w:hAnsi="Narkisim"/>
          <w:rtl/>
        </w:rPr>
        <w:tab/>
        <w:t>אבל ה</w:t>
      </w:r>
      <w:r w:rsidRPr="0041053F">
        <w:rPr>
          <w:rFonts w:ascii="Narkisim" w:hAnsi="Narkisim"/>
          <w:b/>
          <w:bCs/>
          <w:rtl/>
        </w:rPr>
        <w:t xml:space="preserve">מאירי </w:t>
      </w:r>
      <w:r w:rsidRPr="0041053F">
        <w:rPr>
          <w:rFonts w:ascii="Narkisim" w:hAnsi="Narkisim"/>
          <w:rtl/>
        </w:rPr>
        <w:t>כתב דהוה כאשת אח שיש לה בנים, ומתו. אף זה אסורה ליבום. [דלסה"י מש"כ כאשת אח של"ב, היינו חומר האיסור. ולמאירי הוה משל שאין היתר אח"כ].</w:t>
      </w:r>
    </w:p>
  </w:footnote>
  <w:footnote w:id="1817">
    <w:p w14:paraId="2A9C856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ביארו דאשת אח דעריות נחשב ערוה. ואף דאיסור אשת אח אינו פוטר מיבום [ע"פ הגר"ח, כיון דעומד להיתר]. אבל במקום ערוה, כיון דאינה נופלת אף האיסור אשת אח נחשב ערוה. [באותה גדר של פטור הערוה, ולעולם האיסור אשת אח אינה סיבה לפטור. אלא דלא הותר יותר].</w:t>
      </w:r>
    </w:p>
  </w:footnote>
  <w:footnote w:id="1818">
    <w:p w14:paraId="51B6768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הביאו מדברי ה</w:t>
      </w:r>
      <w:r w:rsidRPr="0041053F">
        <w:rPr>
          <w:rFonts w:ascii="Narkisim" w:hAnsi="Narkisim"/>
          <w:b/>
          <w:bCs/>
          <w:rtl/>
        </w:rPr>
        <w:t>תוס</w:t>
      </w:r>
      <w:r w:rsidRPr="0041053F">
        <w:rPr>
          <w:rFonts w:ascii="Narkisim" w:hAnsi="Narkisim"/>
          <w:rtl/>
        </w:rPr>
        <w:t>' (לעיל ב.) דדנו נאסרה בנדה, ואף דלכאו' פשוט דזקוקה לחליצה. [אך י"ל דנכלל בקו' התוס' דנדה פטורה אף מחליצה. וע' מה שהו' לעיל שם].</w:t>
      </w:r>
    </w:p>
  </w:footnote>
  <w:footnote w:id="1819">
    <w:p w14:paraId="5FED855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ע' מה שהו' (לעיל יח. וכז:) לגבי נודרת, וחייבי עשה [מדאורייתא]. וכן מבואר (כז:) דעת ר' יוחנן דאחות זקוקה אמרי' נאסרה [ואף דבעי חליצה אף מדרבנן]. ויש שדחו דאחות זקוקה נחשב ערוה במקצת.</w:t>
      </w:r>
    </w:p>
  </w:footnote>
  <w:footnote w:id="1820">
    <w:p w14:paraId="362116D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גבי היו לה בנים ומתו.</w:t>
      </w:r>
    </w:p>
  </w:footnote>
  <w:footnote w:id="1821">
    <w:p w14:paraId="2E765E2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מבואר דנקט דהצד דנאסרה הוא דין בפנ"ע הוה הלכה למשה מסיני. [אבל האחרונים נקטו דהוה סברא].</w:t>
      </w:r>
    </w:p>
  </w:footnote>
  <w:footnote w:id="1822">
    <w:p w14:paraId="0E07819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ועוד יל"פ דגדר נאסרה הוא משום דכל זמן הנפילה נאסרה, אבל כל שיתכן הקמת שם בנפילה זו, נחשב דאיסור אשת אח זה אינו ערוה ליבום.</w:t>
      </w:r>
    </w:p>
  </w:footnote>
  <w:footnote w:id="1823">
    <w:p w14:paraId="510291B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ובכל בנפילה שניה אין איסור מחמת האח הראשון [וע' לעיל ב. ויט:], א"כ מ"ש היכא דנאסרה בנפילה ראשונה. וע"ע שיע' ר' שמואל.</w:t>
      </w:r>
    </w:p>
  </w:footnote>
  <w:footnote w:id="1824">
    <w:p w14:paraId="6A9DAF0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ולצד דדרכי נועם הוה סימן, דלא חל היתר נפילה. א"כ הדרא לסברא דאין כאן היתר כלל. וה"נ כלפי נפילה הב' לא הותר כלל.[ויל"ד].</w:t>
      </w:r>
    </w:p>
  </w:footnote>
  <w:footnote w:id="1825">
    <w:p w14:paraId="3E4FFE8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דנחשב עי"ז ערוה. או משום דבנפילה שניה בעינן היתר אף לאיסור אשת אח דראשון.</w:t>
      </w:r>
    </w:p>
  </w:footnote>
  <w:footnote w:id="1826">
    <w:p w14:paraId="1DE34A5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וכ"מ ב</w:t>
      </w:r>
      <w:r w:rsidRPr="0041053F">
        <w:rPr>
          <w:rFonts w:ascii="Narkisim" w:hAnsi="Narkisim"/>
          <w:b/>
          <w:bCs/>
          <w:rtl/>
        </w:rPr>
        <w:t>רש"י</w:t>
      </w:r>
      <w:r w:rsidRPr="0041053F">
        <w:rPr>
          <w:rFonts w:ascii="Narkisim" w:hAnsi="Narkisim"/>
          <w:rtl/>
        </w:rPr>
        <w:t xml:space="preserve"> (לעיל ב:) דאף אשת אחיו שלא מעולמו בנפילה שניה הוה מדין צרת ערוה.</w:t>
      </w:r>
    </w:p>
  </w:footnote>
  <w:footnote w:id="1827">
    <w:p w14:paraId="33A8D82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ולפ"ז לא הוה גדר 'מיגו'.</w:t>
      </w:r>
    </w:p>
  </w:footnote>
  <w:footnote w:id="1828">
    <w:p w14:paraId="6F785DF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י"ל דתוס' דימו 'מיגו' דזקוקה לחליצה, למיגו דזקוקה לאח אחר.</w:t>
      </w:r>
    </w:p>
  </w:footnote>
  <w:footnote w:id="1829">
    <w:p w14:paraId="77BA208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תוס' מהר"ם ור"פ</w:t>
      </w:r>
      <w:r w:rsidRPr="0041053F">
        <w:rPr>
          <w:rFonts w:ascii="Narkisim" w:hAnsi="Narkisim"/>
          <w:rtl/>
        </w:rPr>
        <w:t xml:space="preserve"> דכמו שאנו אומרים על הערוה 'נאסרה', כך אנו אומרים על הצרה. [דאיירי שהצרה עצמה נאסרה].</w:t>
      </w:r>
    </w:p>
  </w:footnote>
  <w:footnote w:id="1830">
    <w:p w14:paraId="3A7FAE3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ואיסור אשת אח [במקום ערוה] נחשב ערוה, ופוטרת צרתה. וכמ"ש תוס' (לקמן לב.).</w:t>
      </w:r>
    </w:p>
  </w:footnote>
  <w:footnote w:id="1831">
    <w:p w14:paraId="4F4C657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וכ"ה הגירסא ב</w:t>
      </w:r>
      <w:r w:rsidRPr="0041053F">
        <w:rPr>
          <w:rFonts w:ascii="Narkisim" w:hAnsi="Narkisim"/>
          <w:b/>
          <w:bCs/>
          <w:rtl/>
        </w:rPr>
        <w:t>תוס' הרא"ש</w:t>
      </w:r>
      <w:r w:rsidRPr="0041053F">
        <w:rPr>
          <w:rFonts w:ascii="Narkisim" w:hAnsi="Narkisim"/>
          <w:rtl/>
        </w:rPr>
        <w:t xml:space="preserve"> 'לפי </w:t>
      </w:r>
      <w:r w:rsidRPr="0041053F">
        <w:rPr>
          <w:rFonts w:ascii="Narkisim" w:hAnsi="Narkisim"/>
          <w:i/>
          <w:iCs/>
          <w:rtl/>
        </w:rPr>
        <w:t>שהיא</w:t>
      </w:r>
      <w:r w:rsidRPr="0041053F">
        <w:rPr>
          <w:rFonts w:ascii="Narkisim" w:hAnsi="Narkisim"/>
          <w:rtl/>
        </w:rPr>
        <w:t xml:space="preserve"> צרה לאחות אשה, שנאסרה עליו שעה אחת'.</w:t>
      </w:r>
    </w:p>
  </w:footnote>
  <w:footnote w:id="1832">
    <w:p w14:paraId="40DCE05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ולפ"ז לשון תוס' דגדר נאסרה דנחשב עדיין אחות אשה.</w:t>
      </w:r>
    </w:p>
  </w:footnote>
  <w:footnote w:id="1833">
    <w:p w14:paraId="749660B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רמב"ם</w:t>
      </w:r>
      <w:r w:rsidRPr="0041053F">
        <w:rPr>
          <w:rFonts w:ascii="Narkisim" w:hAnsi="Narkisim"/>
          <w:rtl/>
        </w:rPr>
        <w:t xml:space="preserve"> כת' דלא מצאנו שנשאו ונתנו בתלמוד [מה דין הצרה], ואף א' מן הגאונים לא דבר בה. ופסק שחולצת ולא מתיבמת, מפני שאני מסופק אם אסורה משום ערוה, ותהיה צרתה פטורה מן החליצה ומן היבום. או שאסורה עליו מדרבנן שאמרו הואיל ונאסרה עליו שעה א'. והרי היא כשניה וצרת שניה חולצת או מתיבמת. ולפיכך תחלוץ להחמיר.</w:t>
      </w:r>
    </w:p>
  </w:footnote>
  <w:footnote w:id="1834">
    <w:p w14:paraId="4809056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וכתב דלא מצינו דין זה בגמ' או בא' מהגאונים, ולכן תחלוץ. [אבל הרמב"ם בהלכות פסק דפטורה].</w:t>
      </w:r>
    </w:p>
  </w:footnote>
  <w:footnote w:id="1835">
    <w:p w14:paraId="1D22023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[דאי הוה מדרבנן, אף היא תיבעי חליצה].</w:t>
      </w:r>
    </w:p>
  </w:footnote>
  <w:footnote w:id="1836">
    <w:p w14:paraId="3CBC974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והתה"ד (רכג) הביא מהתוס' דאפי' למ"ד דאמרי' נישואין מפילין, אינם מפילים לגמרי, וכמו למ"ד מיתה מפלת.</w:t>
      </w:r>
    </w:p>
    <w:p w14:paraId="2A038230" w14:textId="77777777" w:rsidR="006074A5" w:rsidRPr="0041053F" w:rsidRDefault="006074A5" w:rsidP="006074A5">
      <w:pPr>
        <w:pStyle w:val="Footnote"/>
        <w:bidi/>
        <w:rPr>
          <w:rFonts w:ascii="Narkisim" w:hAnsi="Narkisim"/>
        </w:rPr>
      </w:pPr>
      <w:r w:rsidRPr="0041053F">
        <w:rPr>
          <w:rFonts w:ascii="Narkisim" w:hAnsi="Narkisim"/>
          <w:rtl/>
        </w:rPr>
        <w:tab/>
        <w:t>וביאר דלא אמרינן נישואין מפילים אלא לענין זה שאם היתה שעה אחת צרת ערוה בשעת מיתה. דבלא"ה כל יבמה איכא עלה איסור אשת אח אלא דרחמנא שרי', וכי איכא עלה שעה אחת פטור מכח ערוה שוב אין לה להתיר. והיכא דשעה א' אסורה, כיון דהנישואים מפילים להזקיקה בשביל כך שוב לא תפטר, דבטעם כל דהו אין מזקיקים אותה. [ודן בדברי הראשונים בנפלה ליבום לפני מומר, דזקוקה לו משעת קידושין, קודם שנשתמד. עי"ש].</w:t>
      </w:r>
    </w:p>
  </w:footnote>
  <w:footnote w:id="1837">
    <w:p w14:paraId="63A642A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קוב"ש</w:t>
      </w:r>
      <w:r w:rsidRPr="0041053F">
        <w:rPr>
          <w:rFonts w:ascii="Narkisim" w:hAnsi="Narkisim"/>
          <w:rtl/>
        </w:rPr>
        <w:t xml:space="preserve"> (ח"ב עמ' קכ במכתב בנו הגר"נ) כתב דתליא במח' (לקמן מא.) הותרה ונאסרה, האם יש דין נאסרה שלא בשעת נפילה [והביא דכ"ד הירושלמי].</w:t>
      </w:r>
    </w:p>
  </w:footnote>
  <w:footnote w:id="1838">
    <w:p w14:paraId="7C57EAF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אמר"מ </w:t>
      </w:r>
      <w:r w:rsidRPr="0041053F">
        <w:rPr>
          <w:rFonts w:ascii="Narkisim" w:hAnsi="Narkisim"/>
          <w:rtl/>
        </w:rPr>
        <w:t xml:space="preserve">(ז ג) חלק דצרת צרה פטורה מדין ערות אשת אח [וכמ"ש </w:t>
      </w:r>
      <w:r w:rsidRPr="0041053F">
        <w:rPr>
          <w:rFonts w:ascii="Narkisim" w:hAnsi="Narkisim"/>
          <w:b/>
          <w:bCs/>
          <w:rtl/>
        </w:rPr>
        <w:t>רש"י</w:t>
      </w:r>
      <w:r w:rsidRPr="0041053F">
        <w:rPr>
          <w:rFonts w:ascii="Narkisim" w:hAnsi="Narkisim"/>
          <w:rtl/>
        </w:rPr>
        <w:t xml:space="preserve"> ב:, וכן מוכח לצד דבעינן דהערוה תפטור צרתה, ובנפילה שניה ליכא ערוה לפטור], א"כ בנפילה ראשונה ערות האשת אח אינה פוטרתה, ע"פ יסוד ה</w:t>
      </w:r>
      <w:r w:rsidRPr="0041053F">
        <w:rPr>
          <w:rFonts w:ascii="Narkisim" w:hAnsi="Narkisim"/>
          <w:b/>
          <w:bCs/>
          <w:rtl/>
        </w:rPr>
        <w:t>גר"ח</w:t>
      </w:r>
      <w:r w:rsidRPr="0041053F">
        <w:rPr>
          <w:rFonts w:ascii="Narkisim" w:hAnsi="Narkisim"/>
          <w:rtl/>
        </w:rPr>
        <w:t>. [והאמר"מ נקט דבנפילה שניה מהני ערות אשת אח אף לגר"ח, ולא משום דאשת אח דעריות נחשב ערוה].</w:t>
      </w:r>
    </w:p>
  </w:footnote>
  <w:footnote w:id="1839">
    <w:p w14:paraId="53DEE27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הקשו על מה שכתבו </w:t>
      </w:r>
      <w:r w:rsidRPr="0041053F">
        <w:rPr>
          <w:rFonts w:ascii="Narkisim" w:hAnsi="Narkisim"/>
          <w:b/>
          <w:bCs/>
          <w:rtl/>
        </w:rPr>
        <w:t>תוס</w:t>
      </w:r>
      <w:r w:rsidRPr="0041053F">
        <w:rPr>
          <w:rFonts w:ascii="Narkisim" w:hAnsi="Narkisim"/>
          <w:rtl/>
        </w:rPr>
        <w:t>' (ג:) דלא משכחת צרת צרה דסוטה, הא למ"ד נישואין מפילין משכח"ל, ונילף הבועל מינה.</w:t>
      </w:r>
    </w:p>
  </w:footnote>
  <w:footnote w:id="1840">
    <w:p w14:paraId="28A2170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גרי"ז</w:t>
      </w:r>
      <w:r w:rsidRPr="0041053F">
        <w:rPr>
          <w:rFonts w:ascii="Narkisim" w:hAnsi="Narkisim"/>
          <w:rtl/>
        </w:rPr>
        <w:t xml:space="preserve"> ביאר דבר זה לשיטתו, דהערוה אוסרת צרתה, וחל עליה שם צרת ערוה. [דאי הוה גדר 'פטור'. לא מסתבר דתפטור צרתה, ול"מ לפטור את עצמה].</w:t>
      </w:r>
    </w:p>
  </w:footnote>
  <w:footnote w:id="1841">
    <w:p w14:paraId="6D5ABC7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העירו אמאי לא אמרי' דהצרת ערוה תחזור ותפטור את הערוה מדין צרת צרה.</w:t>
      </w:r>
    </w:p>
  </w:footnote>
  <w:footnote w:id="1842">
    <w:p w14:paraId="4CFDE9C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ואף דנשאה אח"כ, והוכיח מזה דאף דחזרה והותרה, לא ס"ל דהותרה ונאסרה תחזור להיתר.</w:t>
      </w:r>
    </w:p>
  </w:footnote>
  <w:footnote w:id="1843">
    <w:p w14:paraId="43FED74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כתב דנישואין מפילין היינו שהאישות גורמת לדין יבום, ודורש הקמת השם, כשיושלמו התנאים]. אבל הביאו דב</w:t>
      </w:r>
      <w:r w:rsidRPr="0041053F">
        <w:rPr>
          <w:rFonts w:ascii="Narkisim" w:hAnsi="Narkisim"/>
          <w:b/>
          <w:bCs/>
          <w:rtl/>
        </w:rPr>
        <w:t>ירושלמי</w:t>
      </w:r>
      <w:r w:rsidRPr="0041053F">
        <w:rPr>
          <w:rFonts w:ascii="Narkisim" w:hAnsi="Narkisim"/>
          <w:rtl/>
        </w:rPr>
        <w:t xml:space="preserve"> הוכיח מהיו לה בנים ומתו, דלא אמרי' נישואין מפילין.</w:t>
      </w:r>
    </w:p>
  </w:footnote>
  <w:footnote w:id="1844">
    <w:p w14:paraId="2294AF8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הקשו אמאי חשיב נאסרה בשעת נפילה, הא לפני גירושין אינה אסורה עליו, ואחרי גירושין אינה שעת נפילה. וצ"ע.</w:t>
      </w:r>
    </w:p>
  </w:footnote>
  <w:footnote w:id="1845">
    <w:p w14:paraId="3D1EC2D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[וצ"ע דבגמ' (לקמן מא.) משמע דהוה מטעם נאסרה עי"ש].</w:t>
      </w:r>
    </w:p>
  </w:footnote>
  <w:footnote w:id="1846">
    <w:p w14:paraId="60262C3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 דברי הגמ' (לקמן מא.) [בדחייה] דגרע מהותרה ונאסרה.</w:t>
      </w:r>
    </w:p>
  </w:footnote>
  <w:footnote w:id="1847">
    <w:p w14:paraId="337B1FF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ודייקו מה</w:t>
      </w:r>
      <w:r w:rsidRPr="0041053F">
        <w:rPr>
          <w:rFonts w:ascii="Narkisim" w:hAnsi="Narkisim"/>
          <w:b/>
          <w:bCs/>
          <w:rtl/>
        </w:rPr>
        <w:t>רמב"ם</w:t>
      </w:r>
      <w:r w:rsidRPr="0041053F">
        <w:rPr>
          <w:rFonts w:ascii="Narkisim" w:hAnsi="Narkisim"/>
          <w:rtl/>
        </w:rPr>
        <w:t xml:space="preserve"> (ז יב) שכת' דהמגרש והחזירה הרי זו מותרת להתייבם, ואע"פ שנאסרה עליו בחיי אחיו, הרי חזרה להתירה וכשמת בהיתירא עומדת. מבואר דאף לדידן נחשב 'נאסרה', אלא דחוזרת להיתר בשעת מיתה. וצ"ב.</w:t>
      </w:r>
    </w:p>
  </w:footnote>
  <w:footnote w:id="1848">
    <w:p w14:paraId="1585DC0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פ</w:t>
      </w:r>
      <w:r w:rsidRPr="0041053F">
        <w:rPr>
          <w:rFonts w:ascii="Narkisim" w:hAnsi="Narkisim"/>
          <w:b/>
          <w:bCs/>
          <w:rtl/>
        </w:rPr>
        <w:t>רש"י</w:t>
      </w:r>
      <w:r w:rsidRPr="0041053F">
        <w:rPr>
          <w:rFonts w:ascii="Narkisim" w:hAnsi="Narkisim"/>
          <w:rtl/>
        </w:rPr>
        <w:t xml:space="preserve"> (שם) דמשנעשית צרת ערוה שעה א' אסורה עולמית. [וע' מה שהו' לעיל].</w:t>
      </w:r>
    </w:p>
  </w:footnote>
  <w:footnote w:id="1849">
    <w:p w14:paraId="4B56290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משמע דקמ"ל לרב אשי דאישות אחיו לא נחשב סיבה ליבום השני. אבל לשון ה</w:t>
      </w:r>
      <w:r w:rsidRPr="0041053F">
        <w:rPr>
          <w:rFonts w:ascii="Narkisim" w:hAnsi="Narkisim"/>
          <w:b/>
          <w:bCs/>
          <w:rtl/>
        </w:rPr>
        <w:t>תוס' הרא"ש</w:t>
      </w:r>
      <w:r w:rsidRPr="0041053F">
        <w:rPr>
          <w:rFonts w:ascii="Narkisim" w:hAnsi="Narkisim"/>
          <w:rtl/>
        </w:rPr>
        <w:t xml:space="preserve"> (בע"ב) דקמ"ל דכולי האי לא אסרי' משום זיקה. [משמע דמדינא אסור משום ב' נישואין מפילין, אלא שהקילו].</w:t>
      </w:r>
    </w:p>
  </w:footnote>
  <w:footnote w:id="1850">
    <w:p w14:paraId="43716F8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ועוד יש שהק' [עד"ז] לצד איסור צרת ערוה הוה משום איסור אשת אח. והא איסור אשת אח של החי אינו מזיק. והוכיחו [כצד] דדין צרת ערוה מטיל איסור אף בכל צדדי יבום.</w:t>
      </w:r>
    </w:p>
  </w:footnote>
  <w:footnote w:id="1851">
    <w:p w14:paraId="71D144E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וכתב א"נ יחלצו שניהם, שלא יאמרו בית מקצתו בנוי ומקצתו חלוץ [ע' לקמן לא:].</w:t>
      </w:r>
    </w:p>
  </w:footnote>
  <w:footnote w:id="1852">
    <w:p w14:paraId="044DDD4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ביאר דע"י שכנס הובררה לו למפרע. דכל א' ראוי לכונסה מחיים, ומשום דמת א' לא פקע זכותו של ב'.</w:t>
      </w:r>
    </w:p>
  </w:footnote>
  <w:footnote w:id="1853">
    <w:p w14:paraId="3A2E30C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[שהרי לפני שמת מותרת לו, וכקושית תוס' (בע"א ד"ה זאת)].</w:t>
      </w:r>
    </w:p>
  </w:footnote>
  <w:footnote w:id="1854">
    <w:p w14:paraId="1912092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הביא דמפורש ב</w:t>
      </w:r>
      <w:r w:rsidRPr="0041053F">
        <w:rPr>
          <w:rFonts w:ascii="Narkisim" w:hAnsi="Narkisim"/>
          <w:b/>
          <w:bCs/>
          <w:rtl/>
        </w:rPr>
        <w:t>תוספתא</w:t>
      </w:r>
      <w:r w:rsidRPr="0041053F">
        <w:rPr>
          <w:rFonts w:ascii="Narkisim" w:hAnsi="Narkisim"/>
          <w:rtl/>
        </w:rPr>
        <w:t xml:space="preserve"> דמת נשוי נכרית, ואח"כ מת יבם א', או חולצת או מתייבמת. וכתב די"ל דהתוספתא ס"ל אין זיקה.</w:t>
      </w:r>
    </w:p>
  </w:footnote>
  <w:footnote w:id="1855">
    <w:p w14:paraId="63F6D6B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[וכמ"ש </w:t>
      </w:r>
      <w:r w:rsidRPr="0041053F">
        <w:rPr>
          <w:rFonts w:ascii="Narkisim" w:hAnsi="Narkisim"/>
          <w:b/>
          <w:bCs/>
          <w:rtl/>
        </w:rPr>
        <w:t>תוס</w:t>
      </w:r>
      <w:r w:rsidRPr="0041053F">
        <w:rPr>
          <w:rFonts w:ascii="Narkisim" w:hAnsi="Narkisim"/>
          <w:rtl/>
        </w:rPr>
        <w:t>' כו: ד"ה וחליצה].</w:t>
      </w:r>
    </w:p>
  </w:footnote>
  <w:footnote w:id="1856">
    <w:p w14:paraId="0F99173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לחלק בין זיקה ככנוסה, דיש סיבה לדון ככנוסה לכל אח, אלא שחבירו מעכב עליו. משא"כ עיקר הזיקה ס"ל לרשב"א דאין סברא דיחשב לאחר מיתה כנפילה שניה. [ובאמת אף לעיל הרשב"א קיבל סברא זו בדוחק, וי"ל כוונתו דאיתותיב ר"א].</w:t>
      </w:r>
    </w:p>
  </w:footnote>
  <w:footnote w:id="1857">
    <w:p w14:paraId="7F1D14F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ובשיע' ר' שמואל כת' דהרשב"א הקשה ב' קושיות בממ"נ.</w:t>
      </w:r>
    </w:p>
  </w:footnote>
  <w:footnote w:id="1858">
    <w:p w14:paraId="19BA1C1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הג' ראמ"ה</w:t>
      </w:r>
      <w:r w:rsidRPr="0041053F">
        <w:rPr>
          <w:rFonts w:ascii="Narkisim" w:hAnsi="Narkisim"/>
          <w:rtl/>
        </w:rPr>
        <w:t xml:space="preserve"> כתב דלרש"י הבבלי פליג על הך כללא.</w:t>
      </w:r>
    </w:p>
  </w:footnote>
  <w:footnote w:id="1859">
    <w:p w14:paraId="13D4D94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רמב"ן</w:t>
      </w:r>
      <w:r w:rsidRPr="0041053F">
        <w:rPr>
          <w:rFonts w:ascii="Narkisim" w:hAnsi="Narkisim"/>
          <w:rtl/>
        </w:rPr>
        <w:t xml:space="preserve"> ביאר דהיכא שא' מהם כנס ומת אסורה, דאמרי' משעת מיתה של ראשון היתה לזה בה זיקה, שכיון שכנס זה איגלאי מילתא שנזקקה משעת מיתה רק לו [אף שמעיקרא כל האחים יכולים לכנוס]. וכיון שהיתה זיקה מעיקרא, נמצא שהיא צרת אחות אשה בזיקה. וכאילו אסורה היתה לאחיו השני משום צרת אחות אשה בזיקה, וכיון שנאסרה עליו שעה א' בנפילה ראשונה אסורה עליו עולמית. וא"ת לא היתה צרת אחות אשה במקום מצוה. ותי' דמשום גזירה רואין אותן כאלו נפלו בשעת נפילה ראשונה. וכמו למ"ד נשואין הראשונים מפילין, שרואים כאילו נפלה תכף לנשואין הראשונים.</w:t>
      </w:r>
    </w:p>
    <w:p w14:paraId="67A1403A" w14:textId="77777777" w:rsidR="006074A5" w:rsidRPr="0041053F" w:rsidRDefault="006074A5" w:rsidP="006074A5">
      <w:pPr>
        <w:pStyle w:val="Footnote"/>
        <w:bidi/>
        <w:rPr>
          <w:rFonts w:ascii="Narkisim" w:hAnsi="Narkisim"/>
        </w:rPr>
      </w:pPr>
      <w:r w:rsidRPr="0041053F">
        <w:rPr>
          <w:rFonts w:ascii="Narkisim" w:hAnsi="Narkisim"/>
          <w:rtl/>
        </w:rPr>
        <w:tab/>
        <w:t>וכן ה</w:t>
      </w:r>
      <w:r w:rsidRPr="0041053F">
        <w:rPr>
          <w:rFonts w:ascii="Narkisim" w:hAnsi="Narkisim"/>
          <w:b/>
          <w:bCs/>
          <w:rtl/>
        </w:rPr>
        <w:t>רשב"א</w:t>
      </w:r>
      <w:r w:rsidRPr="0041053F">
        <w:rPr>
          <w:rFonts w:ascii="Narkisim" w:hAnsi="Narkisim"/>
          <w:rtl/>
        </w:rPr>
        <w:t xml:space="preserve"> הק' דלאו מקום מצוה הוי בנפילה ראשונה. ותי' כל הני גזירות נינהו. ועשאום כאילו משעה ראשונה נפלו שניהם ליבום.</w:t>
      </w:r>
    </w:p>
  </w:footnote>
  <w:footnote w:id="1860">
    <w:p w14:paraId="3029E86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וכתב דכ"מ פשטות הטושו"ע, וע' בית שמואל דביאר באופ"א.</w:t>
      </w:r>
    </w:p>
  </w:footnote>
  <w:footnote w:id="1861">
    <w:p w14:paraId="52C6AB5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ורש"י נקט ברה"ר. ונח' בגמ' (ב"מ י:) האם ד' אמות קונה ברה"ר, או דוקא בסימטא. ואפשר דרה"ר לאו דוקא. אך יש ראשונים דבגט לכו"ע מהני אף ברה"ר. [וע' תוס' גיטין עח:].</w:t>
      </w:r>
    </w:p>
  </w:footnote>
  <w:footnote w:id="1862">
    <w:p w14:paraId="2AA8DBB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רש"י</w:t>
      </w:r>
      <w:r w:rsidRPr="0041053F">
        <w:rPr>
          <w:rFonts w:ascii="Narkisim" w:hAnsi="Narkisim"/>
          <w:rtl/>
        </w:rPr>
        <w:t xml:space="preserve"> (בגמ') כת' דגיטא הוה, אלא דאינה מן המובחר.</w:t>
      </w:r>
    </w:p>
  </w:footnote>
  <w:footnote w:id="1863">
    <w:p w14:paraId="2B02AA0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הגדר דנחשב דהצרה עדיין נשואה לו [לענין לכתחילה], דהגט פסול. ומש"ה פוטרת צרתה. אך לשון רש"י משמע דהוה גזירה חדשה, שיאמרו דצרת ערוה מתייבמת.</w:t>
      </w:r>
    </w:p>
  </w:footnote>
  <w:footnote w:id="1864">
    <w:p w14:paraId="20422D4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ובפשוטו כוונת רש"י דמתני' ר"א היא דעדי מסירה כרתי [וכדאי' בסיפא (דהך משנה גיטין פו.) דכשיש עדי מסירה אי"צ עדי חתימה, אף לכתחילה]. אבל ברישא איירי בלא עדי מסירה, ומש"ה מהני כתב ידו לראיה. ועוד יש שפי' דכוונת רש"י דהוה תנא שלישי דל"צ עדי חתימה דוקא (וע"ע רש"י גיטין ג: ופו.). וסגי כתב ידו, מדין 'וכתב'.</w:t>
      </w:r>
    </w:p>
  </w:footnote>
  <w:footnote w:id="1865">
    <w:p w14:paraId="25D0E3D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דבגמ' (שם) יש מ"ד דקאי אף כר' מאיר דהמשנה ממטבע שטבעו חכמים בגיטין הולד ממזר. [ובהנך דמתני' לא חשיב שינוי מטבע].</w:t>
      </w:r>
    </w:p>
  </w:footnote>
  <w:footnote w:id="1866">
    <w:p w14:paraId="59C1E5D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ובפשוטו תליא במה דנח' ה</w:t>
      </w:r>
      <w:r w:rsidRPr="0041053F">
        <w:rPr>
          <w:rFonts w:ascii="Narkisim" w:hAnsi="Narkisim"/>
          <w:b/>
          <w:bCs/>
          <w:rtl/>
        </w:rPr>
        <w:t>ראשונים</w:t>
      </w:r>
      <w:r w:rsidRPr="0041053F">
        <w:rPr>
          <w:rFonts w:ascii="Narkisim" w:hAnsi="Narkisim"/>
          <w:rtl/>
        </w:rPr>
        <w:t xml:space="preserve"> (סוף ב"ב) האם יכול לטעון פרעתי בשטר כתב ידו.</w:t>
      </w:r>
    </w:p>
  </w:footnote>
  <w:footnote w:id="1867">
    <w:p w14:paraId="7E9BDD3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והאחרונים דנו אי הוה כעין גדר הודאת בע"ד. א"נ הגדר דרואים את הדעת המתחייב לפנינו.</w:t>
      </w:r>
    </w:p>
  </w:footnote>
  <w:footnote w:id="1868">
    <w:p w14:paraId="3C82A54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וביארו ה</w:t>
      </w:r>
      <w:r w:rsidRPr="0041053F">
        <w:rPr>
          <w:rFonts w:ascii="Narkisim" w:hAnsi="Narkisim"/>
          <w:b/>
          <w:bCs/>
          <w:rtl/>
        </w:rPr>
        <w:t>אחרונים</w:t>
      </w:r>
      <w:r w:rsidRPr="0041053F">
        <w:rPr>
          <w:rFonts w:ascii="Narkisim" w:hAnsi="Narkisim"/>
          <w:rtl/>
        </w:rPr>
        <w:t xml:space="preserve"> דרואים לפנינו את כתב בעל השטר. (וע"ע גיטין ג:).</w:t>
      </w:r>
    </w:p>
  </w:footnote>
  <w:footnote w:id="1869">
    <w:p w14:paraId="7B0C73D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ובגמ' (ב"ב קעו.) דנו בהוחזק כת"י בבי"ד (ע' רשב"ם שם).</w:t>
      </w:r>
    </w:p>
  </w:footnote>
  <w:footnote w:id="1870">
    <w:p w14:paraId="27C48BB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וכ"מ ב</w:t>
      </w:r>
      <w:r w:rsidRPr="0041053F">
        <w:rPr>
          <w:rFonts w:ascii="Narkisim" w:hAnsi="Narkisim"/>
          <w:b/>
          <w:bCs/>
          <w:rtl/>
        </w:rPr>
        <w:t>רשב"א</w:t>
      </w:r>
      <w:r w:rsidRPr="0041053F">
        <w:rPr>
          <w:rFonts w:ascii="Narkisim" w:hAnsi="Narkisim"/>
          <w:rtl/>
        </w:rPr>
        <w:t xml:space="preserve"> (מגילה טו.), ד</w:t>
      </w:r>
      <w:r w:rsidRPr="0041053F">
        <w:rPr>
          <w:rFonts w:ascii="Narkisim" w:hAnsi="Narkisim"/>
          <w:b/>
          <w:bCs/>
          <w:rtl/>
        </w:rPr>
        <w:t>תוס</w:t>
      </w:r>
      <w:r w:rsidRPr="0041053F">
        <w:rPr>
          <w:rFonts w:ascii="Narkisim" w:hAnsi="Narkisim"/>
          <w:rtl/>
        </w:rPr>
        <w:t>' (מגילה שם ד"ה כשם) הק' אמאי לא גירש מרדכי את אסתר, שלא תאסר ע"י אחשורוש. ותי' דגט צריך עדים, והיה ירא פן יתפרסם הדבר. וה</w:t>
      </w:r>
      <w:r w:rsidRPr="0041053F">
        <w:rPr>
          <w:rFonts w:ascii="Narkisim" w:hAnsi="Narkisim"/>
          <w:b/>
          <w:bCs/>
          <w:rtl/>
        </w:rPr>
        <w:t>רשב"א</w:t>
      </w:r>
      <w:r w:rsidRPr="0041053F">
        <w:rPr>
          <w:rFonts w:ascii="Narkisim" w:hAnsi="Narkisim"/>
          <w:rtl/>
        </w:rPr>
        <w:t xml:space="preserve"> חלק דיכתוב לה בכתב ידו דמהני מדאורייתא. [ואף כשעדים לא ראו מעולם].</w:t>
      </w:r>
    </w:p>
  </w:footnote>
  <w:footnote w:id="1871">
    <w:p w14:paraId="3A2FF2E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eastAsia="Narkisim" w:hAnsi="Narkisim"/>
          <w:b/>
          <w:bCs/>
          <w:rtl/>
        </w:rPr>
        <w:t>תוס</w:t>
      </w:r>
      <w:r w:rsidRPr="0041053F">
        <w:rPr>
          <w:rFonts w:ascii="Narkisim" w:eastAsia="Narkisim" w:hAnsi="Narkisim"/>
          <w:rtl/>
        </w:rPr>
        <w:t>' (גיטין ג:) כת' דה"ה אין בו זמן הולד כשר, אלא נקט הכי לרבותא דאף שיש בו זמן לא תנשא לכתחילה.</w:t>
      </w:r>
    </w:p>
  </w:footnote>
  <w:footnote w:id="1872">
    <w:p w14:paraId="5C87179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 איגר</w:t>
      </w:r>
      <w:r w:rsidRPr="0041053F">
        <w:rPr>
          <w:rFonts w:ascii="Narkisim" w:hAnsi="Narkisim"/>
          <w:rtl/>
        </w:rPr>
        <w:t xml:space="preserve"> הק' על הנמוק"י (כאן שכתב כרש"י). ו</w:t>
      </w:r>
      <w:r w:rsidRPr="0041053F">
        <w:rPr>
          <w:rFonts w:ascii="Narkisim" w:hAnsi="Narkisim"/>
          <w:b/>
          <w:bCs/>
          <w:rtl/>
        </w:rPr>
        <w:t>רע"א</w:t>
      </w:r>
      <w:r w:rsidRPr="0041053F">
        <w:rPr>
          <w:rFonts w:ascii="Narkisim" w:hAnsi="Narkisim"/>
          <w:rtl/>
        </w:rPr>
        <w:t xml:space="preserve"> (שו"ת ק' רכב, הו' בחי' כאן) ביאר כוונתו להק' מדברי הנמוק"י, דכיון דפירושו על הרי"ף דסדר חבורו אליבא דהלכתא. ואילו רש"י בכמה מקומות נקט כהו"א. ורע"א השיב דכמה פעמים מצינו דהר"ן והנמוק"י במשנה נקטו פירוש המשנה כלשון רש"י אות באות. וכ' דמוכח דאין זה מלשון הר"ן והנמוק"י, ואפשר דלא פירשו כלום על המתני' זו, והדפיסו לישנא דרש"י או דהר"ן ונמוק"י העתיקו לישנא דרש"י ולא דקדקו בזה.</w:t>
      </w:r>
    </w:p>
  </w:footnote>
  <w:footnote w:id="1873">
    <w:p w14:paraId="45A1874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וכשמת הבעל קאי בחזקת היתר.</w:t>
      </w:r>
    </w:p>
  </w:footnote>
  <w:footnote w:id="1874">
    <w:p w14:paraId="60CF6CD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פלתי</w:t>
      </w:r>
      <w:r w:rsidRPr="0041053F">
        <w:rPr>
          <w:rFonts w:ascii="Narkisim" w:hAnsi="Narkisim"/>
          <w:rtl/>
        </w:rPr>
        <w:t xml:space="preserve"> (נ א) הק' דאביי (לא:) אמר דיגיד עליו ריעו, תנא בקידושין והוא הדין לגירושין. ואי בקידושין מדינא יש חזקת היתר [אלא דהחמירו לחלוץ], א"כ איך סתם תנא שנלמד מכאן לגירושין, דהתם יש חזקת היתר לשוק [ואי תחלוץ יש לחוש שתתייבם, ופוגע באיסור תורה. וכדברי רבה בסמוך]. ואף דבאמת לא חיישינן לכך, מכל מקום יש בזה צד סברא. ואיך סמך המשנה לומר הך בבא בקדושין, דנלמוד הימנו לגירושין, הא דתיהם שונות.</w:t>
      </w:r>
    </w:p>
  </w:footnote>
  <w:footnote w:id="1875">
    <w:p w14:paraId="108F108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ועדיין ק"ק האיך הביאו ראיה מדברי רבה.</w:t>
      </w:r>
    </w:p>
  </w:footnote>
  <w:footnote w:id="1876">
    <w:p w14:paraId="5B78F8A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דמתניתין מילתא פסיקא קתני ל"ש קדש ערוה ואח"כ צרתה, ל"ש קדש כשירה ואח"כ ערוה.</w:t>
      </w:r>
    </w:p>
  </w:footnote>
  <w:footnote w:id="1877">
    <w:p w14:paraId="4AE73B8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א"כ אף בספק גירושין [של הערוה] אמאי ל"מ חזקת פנויה [של הצרה]. ע' ישרש יעקב.</w:t>
      </w:r>
    </w:p>
  </w:footnote>
  <w:footnote w:id="1878">
    <w:p w14:paraId="23E3EB0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וכדברי רבא (לקמן קיט.) מה לי איסור כרת ומה לי איסור לאו. [עי"ש רש"י]. ופליג על רב נחמן אמר רבה בר אבוה דבאיסור לאו סמכי' על חזקה, ומתירין יבמה לשוק ע"פ רוב נשים מתעברות ויולדות [ולא חיישי' למיעוטי]. אבל באיסור אשת אח דאיסור כרת חששו. [וע"ע רע"א גהש"ס קיט. שציין כמה סוגיות. וע"ע משנ"ל יו"ט א יז].</w:t>
      </w:r>
    </w:p>
  </w:footnote>
  <w:footnote w:id="1879">
    <w:p w14:paraId="79BD74B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ש"ש</w:t>
      </w:r>
      <w:r w:rsidRPr="0041053F">
        <w:rPr>
          <w:rFonts w:ascii="Narkisim" w:hAnsi="Narkisim"/>
          <w:rtl/>
        </w:rPr>
        <w:t xml:space="preserve"> (ו יח וב</w:t>
      </w:r>
      <w:r w:rsidRPr="0041053F">
        <w:rPr>
          <w:rFonts w:ascii="Narkisim" w:hAnsi="Narkisim"/>
          <w:b/>
          <w:bCs/>
          <w:rtl/>
        </w:rPr>
        <w:t>אבנ"מ</w:t>
      </w:r>
      <w:r w:rsidRPr="0041053F">
        <w:rPr>
          <w:rFonts w:ascii="Narkisim" w:hAnsi="Narkisim"/>
          <w:rtl/>
        </w:rPr>
        <w:t xml:space="preserve"> כז יח). אבל ה</w:t>
      </w:r>
      <w:r w:rsidRPr="0041053F">
        <w:rPr>
          <w:rFonts w:ascii="Narkisim" w:hAnsi="Narkisim"/>
          <w:b/>
          <w:bCs/>
          <w:rtl/>
        </w:rPr>
        <w:t>מהרי"ט</w:t>
      </w:r>
      <w:r w:rsidRPr="0041053F">
        <w:rPr>
          <w:rFonts w:ascii="Narkisim" w:hAnsi="Narkisim"/>
          <w:rtl/>
        </w:rPr>
        <w:t xml:space="preserve"> (לרי"ף קידושין ה: א:) הביא מדברי התוס' דלכתחילה מדאורייתא לא מהני חזקה היכא דאיתרע. וכיון שפשטה ידה וקבלה קידושין ל"מ חזקת פנויה לענין לכתחילה, אלא דאם נשאת לא תצא. [וע"ע פנ"י גיטין כח].</w:t>
      </w:r>
    </w:p>
    <w:p w14:paraId="743286C2" w14:textId="77777777" w:rsidR="006074A5" w:rsidRPr="0041053F" w:rsidRDefault="006074A5" w:rsidP="006074A5">
      <w:pPr>
        <w:pStyle w:val="Footnote"/>
        <w:bidi/>
        <w:rPr>
          <w:rFonts w:ascii="Narkisim" w:hAnsi="Narkisim"/>
        </w:rPr>
      </w:pPr>
      <w:r w:rsidRPr="0041053F">
        <w:rPr>
          <w:rFonts w:ascii="Narkisim" w:hAnsi="Narkisim"/>
          <w:rtl/>
        </w:rPr>
        <w:tab/>
        <w:t>והש"ש תמה דמדאורייתא אין מקום לחלק בין לכתחילה ובדיעבד [וכמ"ש תוס' חולין ד"ה אלא]. ו</w:t>
      </w:r>
      <w:r w:rsidRPr="0041053F">
        <w:rPr>
          <w:rFonts w:ascii="Narkisim" w:hAnsi="Narkisim"/>
          <w:b/>
          <w:bCs/>
          <w:rtl/>
        </w:rPr>
        <w:t xml:space="preserve">תוס' </w:t>
      </w:r>
      <w:r w:rsidRPr="0041053F">
        <w:rPr>
          <w:rFonts w:ascii="Narkisim" w:hAnsi="Narkisim"/>
          <w:rtl/>
        </w:rPr>
        <w:t>(חולין י: ד"ה ודילמא) הביא ילפותא דמהני חזקה דאיכא ריעותא לפנינו. [וע"ע שער"י ב ט].</w:t>
      </w:r>
    </w:p>
  </w:footnote>
  <w:footnote w:id="1880">
    <w:p w14:paraId="5168C65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ב"ח</w:t>
      </w:r>
      <w:r w:rsidRPr="0041053F">
        <w:rPr>
          <w:rFonts w:ascii="Narkisim" w:hAnsi="Narkisim"/>
          <w:rtl/>
        </w:rPr>
        <w:t xml:space="preserve"> (עה"ג ב"ב קלה.) ביאר כוונת רשב"ם דלא הקילו באיסור יבמה לשוק, כיון דעומדת בחזקת איסור אשת איש דבחנק. [ומש"ה אף איסור יבמה לשוק חמיר].</w:t>
      </w:r>
    </w:p>
  </w:footnote>
  <w:footnote w:id="1881">
    <w:p w14:paraId="3B8F1B2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רבינו יונה</w:t>
      </w:r>
      <w:r w:rsidRPr="0041053F">
        <w:rPr>
          <w:rFonts w:ascii="Narkisim" w:hAnsi="Narkisim"/>
          <w:rtl/>
        </w:rPr>
        <w:t xml:space="preserve"> (שם בפי' הא') פי' נקל 'באשת איש', דכיון דהוחזקה באיסור אשת איש, וכיון דבחיי בעלה יצא קול דיש לו אחים, הוה בחזקת איסור אשת איש. ואף כשמת בעלה לא מפקינן לה מחזקת איסור, דמחזקינן לה מאיסור לאיסור. [ומבואר מדבריו דיבמה לשוק הוה איסור אחר, אלא כיון דיש קול שיש אחים מחזיקין מאיסור לאיסור]. [ומשמע מדבריו דלא הק' מסוגיין על פי' זה].</w:t>
      </w:r>
    </w:p>
  </w:footnote>
  <w:footnote w:id="1882">
    <w:p w14:paraId="7C109B0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ומש"ה מחזיקין שיש לו אחים, ועדיין אסורה לשוק. [א"נ דמשום הכי איסור יבמה לשוק חמיר].</w:t>
      </w:r>
    </w:p>
  </w:footnote>
  <w:footnote w:id="1883">
    <w:p w14:paraId="2419284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ומבואר מדבריו דאף למסקנא הוא כן, ואביי ורבא לא פליגי בזה.</w:t>
      </w:r>
    </w:p>
  </w:footnote>
  <w:footnote w:id="1884">
    <w:p w14:paraId="742BDF1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[וסמך דבריו על הגמ' חולין קלד דהוה עוון מיתה]. וצ"ע דבסוגיין מדמינן יבמה לשוק לאיסור אשת אח. ואפשר דכוונתו דחשיב המשך מאיסור אישות (וכנ"ל).</w:t>
      </w:r>
    </w:p>
  </w:footnote>
  <w:footnote w:id="1885">
    <w:p w14:paraId="5219B23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[וכעי"ז דברי </w:t>
      </w:r>
      <w:r w:rsidRPr="0041053F">
        <w:rPr>
          <w:rFonts w:ascii="Narkisim" w:hAnsi="Narkisim"/>
          <w:b/>
          <w:bCs/>
          <w:rtl/>
        </w:rPr>
        <w:t>רש"י</w:t>
      </w:r>
      <w:r w:rsidRPr="0041053F">
        <w:rPr>
          <w:rFonts w:ascii="Narkisim" w:hAnsi="Narkisim"/>
          <w:rtl/>
        </w:rPr>
        <w:t xml:space="preserve"> (קידושין סו) דל"מ חזקת אמו של ינאי, כיון שאינה לפנינו. ואכמ"ל].</w:t>
      </w:r>
    </w:p>
  </w:footnote>
  <w:footnote w:id="1886">
    <w:p w14:paraId="3ED6F1C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ה</w:t>
      </w:r>
      <w:r w:rsidRPr="0041053F">
        <w:rPr>
          <w:rFonts w:ascii="Narkisim" w:hAnsi="Narkisim"/>
          <w:b/>
          <w:bCs/>
          <w:rtl/>
        </w:rPr>
        <w:t>נוב"י</w:t>
      </w:r>
      <w:r w:rsidRPr="0041053F">
        <w:rPr>
          <w:rFonts w:ascii="Narkisim" w:hAnsi="Narkisim"/>
          <w:rtl/>
        </w:rPr>
        <w:t xml:space="preserve"> (ק' יו"ד ז) כת' דהרמב"ן (שם) איירי דוקא בחזקת פנויה, שהיא חזקה גרועה שעומדת להינשא. [ולפ"ז לא שייך לסוגיין].</w:t>
      </w:r>
    </w:p>
  </w:footnote>
  <w:footnote w:id="1887">
    <w:p w14:paraId="5706143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אמר"ב</w:t>
      </w:r>
      <w:r w:rsidRPr="0041053F">
        <w:rPr>
          <w:rFonts w:ascii="Narkisim" w:hAnsi="Narkisim"/>
          <w:rtl/>
        </w:rPr>
        <w:t xml:space="preserve"> כת' דמש"כ הרמב"ן דאינה לפנינו לאו דוקא, ובסוגיין אף אם תבא לפנינו לא יהני, כיון דהנידון אינה עליה.</w:t>
      </w:r>
    </w:p>
  </w:footnote>
  <w:footnote w:id="1888">
    <w:p w14:paraId="1F417EC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רע"א</w:t>
      </w:r>
      <w:r w:rsidRPr="0041053F">
        <w:rPr>
          <w:rFonts w:ascii="Narkisim" w:hAnsi="Narkisim"/>
          <w:rtl/>
        </w:rPr>
        <w:t xml:space="preserve"> (ת' מה) הקשה היאך נסמוך על חזקה לחוד באיסור ערוה. וה</w:t>
      </w:r>
      <w:r w:rsidRPr="0041053F">
        <w:rPr>
          <w:rFonts w:ascii="Narkisim" w:hAnsi="Narkisim"/>
          <w:b/>
          <w:bCs/>
          <w:rtl/>
        </w:rPr>
        <w:t>שו"ע</w:t>
      </w:r>
      <w:r w:rsidRPr="0041053F">
        <w:rPr>
          <w:rFonts w:ascii="Narkisim" w:hAnsi="Narkisim"/>
          <w:rtl/>
        </w:rPr>
        <w:t xml:space="preserve"> (אה"ע קעג) סתם דבכל ספק קידושין [החמירו שלא לסמוך על חזקתה. ע' לעיל]. [ואף במקום שאין ספק קרוב לו לפנינו].</w:t>
      </w:r>
    </w:p>
  </w:footnote>
  <w:footnote w:id="1889">
    <w:p w14:paraId="2EA9967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ועד"ז כת' ה</w:t>
      </w:r>
      <w:r w:rsidRPr="0041053F">
        <w:rPr>
          <w:rFonts w:ascii="Narkisim" w:hAnsi="Narkisim"/>
          <w:b/>
          <w:bCs/>
          <w:rtl/>
        </w:rPr>
        <w:t>נוב"י</w:t>
      </w:r>
      <w:r w:rsidRPr="0041053F">
        <w:rPr>
          <w:rFonts w:ascii="Narkisim" w:hAnsi="Narkisim"/>
          <w:rtl/>
        </w:rPr>
        <w:t xml:space="preserve"> (יו"ד ק' נז) דמוקמינן חזקה כנגד חזקה.</w:t>
      </w:r>
    </w:p>
  </w:footnote>
  <w:footnote w:id="1890">
    <w:p w14:paraId="3AFE754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וממ"נ לא יתכן לדון כן. ומש"ה ל"מ הך חזקה כלל. והמהרי"ט איירי כשהחזקה מכריע שאין לו אחים, ומש"ה מותרת לכו"ע.</w:t>
      </w:r>
    </w:p>
  </w:footnote>
  <w:footnote w:id="1891">
    <w:p w14:paraId="4EE6E08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והחזו"א כת' דדעת הרמב"ן דמהני חזקה בממ"נ [שהוכרע על כל נידון בפנ"ע, דומיא דב' שבילים], ואף דיש בזה תרתי דסתרי. ועוד יש שפי' דחזקת אשת אח אלימא ממחזיקין לאיסור לאיסור, ומש"ה משום חזקת פנויה מהני להתיר לשוק.</w:t>
      </w:r>
    </w:p>
  </w:footnote>
  <w:footnote w:id="1892">
    <w:p w14:paraId="0A40F89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ומבואר דה</w:t>
      </w:r>
      <w:r w:rsidRPr="0041053F">
        <w:rPr>
          <w:rFonts w:ascii="Narkisim" w:hAnsi="Narkisim"/>
          <w:b/>
          <w:bCs/>
          <w:rtl/>
        </w:rPr>
        <w:t>ראשונים</w:t>
      </w:r>
      <w:r w:rsidRPr="0041053F">
        <w:rPr>
          <w:rFonts w:ascii="Narkisim" w:hAnsi="Narkisim"/>
          <w:rtl/>
        </w:rPr>
        <w:t xml:space="preserve"> הקשו אף ממצב שיש חסרון בשחיטה, אבל תוס' הקשו רק מספק טריפה. אבל חסרון בשחיטה הוה חזקת אינו זבוח. (וע' בסמוך).</w:t>
      </w:r>
    </w:p>
  </w:footnote>
  <w:footnote w:id="1893">
    <w:p w14:paraId="798E306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ד'וזבחת' הוה לאו הבא מכלל עשה. ו</w:t>
      </w:r>
      <w:r w:rsidRPr="0041053F">
        <w:rPr>
          <w:rFonts w:ascii="Narkisim" w:hAnsi="Narkisim"/>
          <w:b/>
          <w:bCs/>
          <w:rtl/>
        </w:rPr>
        <w:t>תוס</w:t>
      </w:r>
      <w:r w:rsidRPr="0041053F">
        <w:rPr>
          <w:rFonts w:ascii="Narkisim" w:hAnsi="Narkisim"/>
          <w:rtl/>
        </w:rPr>
        <w:t>' (שבועות כד.) הביאו דעת</w:t>
      </w:r>
      <w:r w:rsidRPr="0041053F">
        <w:rPr>
          <w:rFonts w:ascii="Narkisim" w:hAnsi="Narkisim"/>
          <w:b/>
          <w:bCs/>
          <w:rtl/>
        </w:rPr>
        <w:t xml:space="preserve"> ריצב"א</w:t>
      </w:r>
      <w:r w:rsidRPr="0041053F">
        <w:rPr>
          <w:rFonts w:ascii="Narkisim" w:hAnsi="Narkisim"/>
          <w:rtl/>
        </w:rPr>
        <w:t xml:space="preserve"> דאין איסור אינו זבוח, אלא איסור נבילה.</w:t>
      </w:r>
    </w:p>
  </w:footnote>
  <w:footnote w:id="1894">
    <w:p w14:paraId="5EE4581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וכדמבואר מקושיית אביי מנפל הבית וכו' [דלא שייך לדון דהוה תולדה מהערוה]. ולפ"ז קושית התוס' ע"פ הגמ' שם.</w:t>
      </w:r>
    </w:p>
  </w:footnote>
  <w:footnote w:id="1895">
    <w:p w14:paraId="7914D88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דהתם הוה חזקה ברורה על אישות של הצרה [ולא תלי בנידון דמחזיקין מאיסור לאיסור]. אבל ה</w:t>
      </w:r>
      <w:r w:rsidRPr="0041053F">
        <w:rPr>
          <w:rFonts w:ascii="Narkisim" w:hAnsi="Narkisim"/>
          <w:b/>
          <w:bCs/>
          <w:rtl/>
        </w:rPr>
        <w:t>שער"י</w:t>
      </w:r>
      <w:r w:rsidRPr="0041053F">
        <w:rPr>
          <w:rFonts w:ascii="Narkisim" w:hAnsi="Narkisim"/>
          <w:rtl/>
        </w:rPr>
        <w:t xml:space="preserve"> כת' דס"ל לתוס' דאף חזקת הערוה ל"מ, כיון דאין נפק"מ מחיים, וכיון דנתעורר הספק ולא הוכרע מחיים ל"מ החזקה לאחר מיתתה.</w:t>
      </w:r>
    </w:p>
  </w:footnote>
  <w:footnote w:id="1896">
    <w:p w14:paraId="2FC483C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וביאר דאף דמחיים הא היתה בחזקת איסור אשת אח. דנים כשימות תהיה מותרת ליבם, והרי מת לפנינו.</w:t>
      </w:r>
    </w:p>
  </w:footnote>
  <w:footnote w:id="1897">
    <w:p w14:paraId="210001C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חזו"א</w:t>
      </w:r>
      <w:r w:rsidRPr="0041053F">
        <w:rPr>
          <w:rFonts w:ascii="Narkisim" w:hAnsi="Narkisim"/>
          <w:rtl/>
        </w:rPr>
        <w:t xml:space="preserve"> (פא ג) מבואר דנחשב חזקת עומדת להיתר, ועומד נגד חזקת מחזיקין מאיסור לאיסור.</w:t>
      </w:r>
    </w:p>
  </w:footnote>
  <w:footnote w:id="1898">
    <w:p w14:paraId="1851B1C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 כן מלשון ה</w:t>
      </w:r>
      <w:r w:rsidRPr="0041053F">
        <w:rPr>
          <w:rFonts w:ascii="Narkisim" w:hAnsi="Narkisim"/>
          <w:b/>
          <w:bCs/>
          <w:rtl/>
        </w:rPr>
        <w:t>תוס</w:t>
      </w:r>
      <w:r w:rsidRPr="0041053F">
        <w:rPr>
          <w:rFonts w:ascii="Narkisim" w:hAnsi="Narkisim"/>
          <w:rtl/>
        </w:rPr>
        <w:t>' (חולין מג: ד"ה קסבר), שהביא מסוגיין דהשתא שמת בעלה מוקמינן בחזקה שהיתה קודם, קודם שזרק הגט לערוה. וה"נ בספק דרוסה.</w:t>
      </w:r>
    </w:p>
  </w:footnote>
  <w:footnote w:id="1899">
    <w:p w14:paraId="111EABE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האם נחשב שממשיך את מצב החפץ, או דכל איסור הוה חפצא בפנ"ע. וכל איסור כלפי השני הוה היתר [וב</w:t>
      </w:r>
      <w:r w:rsidRPr="0041053F">
        <w:rPr>
          <w:rFonts w:ascii="Narkisim" w:hAnsi="Narkisim"/>
          <w:b/>
          <w:bCs/>
          <w:rtl/>
        </w:rPr>
        <w:t>חי' ר' ראובן</w:t>
      </w:r>
      <w:r w:rsidRPr="0041053F">
        <w:rPr>
          <w:rFonts w:ascii="Narkisim" w:hAnsi="Narkisim"/>
          <w:rtl/>
        </w:rPr>
        <w:t xml:space="preserve"> הוסיף כדמבואר דאיסורין מבטלין זו את זו].</w:t>
      </w:r>
    </w:p>
  </w:footnote>
  <w:footnote w:id="1900">
    <w:p w14:paraId="60B5EA7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כת' דנפק"מ בנדה, האם אמרי' דהיא בחזקת שיכולה ליטהר [ולא ראתה שוב], או דהוה חזקה שראתה שוב ונמשך איסורה. [ע' קובה"ע סז יב].</w:t>
      </w:r>
    </w:p>
  </w:footnote>
  <w:footnote w:id="1901">
    <w:p w14:paraId="3DF031B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הקשה דודאי אפשר שתצא מתחת ידי הבעל ותאסר לשוק, אם הגט קרוב לה, וכיון דאפשר דהוא כן למה לא נימא דהוה בחזקת איסור.</w:t>
      </w:r>
    </w:p>
  </w:footnote>
  <w:footnote w:id="1902">
    <w:p w14:paraId="42AF2D1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חי' הגר"נ</w:t>
      </w:r>
      <w:r w:rsidRPr="0041053F">
        <w:rPr>
          <w:rFonts w:ascii="Narkisim" w:hAnsi="Narkisim"/>
          <w:rtl/>
        </w:rPr>
        <w:t xml:space="preserve"> דייק שינוי הלשון דנח' האם גדר חזקה הוא להמשיך דין, או לקבוע שלא היתה התחדשות.</w:t>
      </w:r>
    </w:p>
  </w:footnote>
  <w:footnote w:id="1903">
    <w:p w14:paraId="5560AFE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(חוו"ד נ ועוד) הק' דבגמ' (חולין מג:) משמע דהוה כלל בכל ספק טריפות. והגמ' מק' לעולא מספק טומאה ברשות היחיד, משמע דלשאר מ"ד ניחא בספק השקול.</w:t>
      </w:r>
    </w:p>
  </w:footnote>
  <w:footnote w:id="1904">
    <w:p w14:paraId="7948283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הביא דב</w:t>
      </w:r>
      <w:r w:rsidRPr="0041053F">
        <w:rPr>
          <w:rFonts w:ascii="Narkisim" w:hAnsi="Narkisim"/>
          <w:b/>
          <w:bCs/>
          <w:rtl/>
        </w:rPr>
        <w:t>שו"ת הרשב"א</w:t>
      </w:r>
      <w:r w:rsidRPr="0041053F">
        <w:rPr>
          <w:rFonts w:ascii="Narkisim" w:hAnsi="Narkisim"/>
          <w:rtl/>
        </w:rPr>
        <w:t xml:space="preserve"> (א רג) כת' דכל שנולד ריעותא לפנינו צריך בדיקה. ועוד הביא דדעת </w:t>
      </w:r>
      <w:r w:rsidRPr="0041053F">
        <w:rPr>
          <w:rFonts w:ascii="Narkisim" w:hAnsi="Narkisim"/>
          <w:b/>
          <w:bCs/>
          <w:rtl/>
        </w:rPr>
        <w:t>בה"ג</w:t>
      </w:r>
      <w:r w:rsidRPr="0041053F">
        <w:rPr>
          <w:rFonts w:ascii="Narkisim" w:hAnsi="Narkisim"/>
          <w:rtl/>
        </w:rPr>
        <w:t xml:space="preserve"> דל"מ חזקה היכא דיש ריעותא לפנינו, באופן דאין אנו בקיאין ולא נתברר צד תליה. וחילק בין היכא דיש תלייה אח"כ או לא.</w:t>
      </w:r>
    </w:p>
  </w:footnote>
  <w:footnote w:id="1905">
    <w:p w14:paraId="603CED1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 xml:space="preserve">ט"ז </w:t>
      </w:r>
      <w:r w:rsidRPr="0041053F">
        <w:rPr>
          <w:rFonts w:ascii="Narkisim" w:hAnsi="Narkisim"/>
          <w:rtl/>
        </w:rPr>
        <w:t>(יו"ד מח יט בסופו) כת' דדעת הרמ"א דכל היכא שנולד ריעותא שצריך בדיקה ודאי שכיח בו הטריפות, והוה כמ"ש תוס' גבי ספק דרוסה. וכה"ג ודאי נשאר בחזקת איסור מחיים. ולפ"ז כוונת התוס' דכל היכא דשכיח טובא, ונתעורר ריעותא, לא סמכינן אחזקה זו. ולא משום רוב פסול.</w:t>
      </w:r>
    </w:p>
  </w:footnote>
  <w:footnote w:id="1906">
    <w:p w14:paraId="1C60CDC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פר"ח</w:t>
      </w:r>
      <w:r w:rsidRPr="0041053F">
        <w:rPr>
          <w:rFonts w:ascii="Narkisim" w:hAnsi="Narkisim"/>
          <w:rtl/>
        </w:rPr>
        <w:t xml:space="preserve"> (כט א ע"ד הרמ"א הנ"ל) הק' עכ"פ מנ"ל לתוס' דהגמ' (חולין שם) קאי אף לדעת רבה. וע"כ דתוס' נקטו דחמסקנא כו"ע מודו.</w:t>
      </w:r>
    </w:p>
  </w:footnote>
  <w:footnote w:id="1907">
    <w:p w14:paraId="48C3CC4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ועוה"ק ה</w:t>
      </w:r>
      <w:r w:rsidRPr="0041053F">
        <w:rPr>
          <w:rFonts w:ascii="Narkisim" w:hAnsi="Narkisim"/>
          <w:b/>
          <w:bCs/>
          <w:rtl/>
        </w:rPr>
        <w:t>ש"ך</w:t>
      </w:r>
      <w:r w:rsidRPr="0041053F">
        <w:rPr>
          <w:rFonts w:ascii="Narkisim" w:hAnsi="Narkisim"/>
          <w:rtl/>
        </w:rPr>
        <w:t xml:space="preserve"> דדברי התוס' דוחק קצת לומר דלא קאי למסקנא. מ"מ פשטא דש"ס משמע דאביי פליג אעיקרא דדינא. מ"מ אינו מוכרח [כוונת התוס'], ויש פנים לכאן ולכאן. והק' מנ"ל ללמוד היתר. דילמא למסקנא קיימא דלא מוקמינן אשה זו בחזקתה. </w:t>
      </w:r>
      <w:r w:rsidRPr="0041053F">
        <w:rPr>
          <w:rFonts w:ascii="Narkisim" w:hAnsi="Narkisim"/>
          <w:rtl/>
        </w:rPr>
        <w:tab/>
      </w:r>
    </w:p>
  </w:footnote>
  <w:footnote w:id="1908">
    <w:p w14:paraId="1A815A8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[וע"ע </w:t>
      </w:r>
      <w:r w:rsidRPr="0041053F">
        <w:rPr>
          <w:rFonts w:ascii="Narkisim" w:hAnsi="Narkisim"/>
          <w:b/>
          <w:bCs/>
          <w:rtl/>
        </w:rPr>
        <w:t>פרמ"ג</w:t>
      </w:r>
      <w:r w:rsidRPr="0041053F">
        <w:rPr>
          <w:rFonts w:ascii="Narkisim" w:hAnsi="Narkisim"/>
          <w:rtl/>
        </w:rPr>
        <w:t xml:space="preserve"> (ש"ד נ ג) שדן האם החמירו חכמים בכל ספק המצוי ושכיח].</w:t>
      </w:r>
    </w:p>
  </w:footnote>
  <w:footnote w:id="1909">
    <w:p w14:paraId="6F79A0A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וציין דכ"מ (כתובות יב:) דבספק מוכת עץ מהני חזקה [לחד לישנא], אף דמוכת עץ לא שכיחא. וכת' דרבה יסבור כאידך לישנא (שם) דמשום מיגו. ועוד הביא מסוגיא דכתובות עו. [וע"ע תוס' כתובות ט. דל"מ חזקת היתר במקום דאונס יש לו קול, ומש"ה הוה רוב רצון. אלא דאינו רוב גמור].</w:t>
      </w:r>
    </w:p>
  </w:footnote>
  <w:footnote w:id="1910">
    <w:p w14:paraId="281479A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(חולין מו:, הו' בחוו"ד נ) ביאר דספק דרוסה וקוץ בוושט, אתיליד ריעותא שהותחל בה מעשה המטריף. רק שמסופק בגמר מעשה, דשכיח דדריס רק שספק אם דרס דרוסה האוסרת, וכן בקוץ, הספק אם גמר הקוץ לינקב הוושט. וע"ע רשב"א (תוה"ב ב שער ג לט. בדה"ס), והר"ן (חולין כו:).</w:t>
      </w:r>
    </w:p>
  </w:footnote>
  <w:footnote w:id="1911">
    <w:p w14:paraId="348B35C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פרמ"ג</w:t>
      </w:r>
      <w:r w:rsidRPr="0041053F">
        <w:rPr>
          <w:rFonts w:ascii="Narkisim" w:hAnsi="Narkisim"/>
          <w:rtl/>
        </w:rPr>
        <w:t xml:space="preserve"> (לג מ"ז ו) תי' דכוונת התוס' דמשמע התם סתמא, בין נקב בושט [דהוה נבילה], ובין נקב בתורבץ [דהוה רק טריפה].</w:t>
      </w:r>
    </w:p>
  </w:footnote>
  <w:footnote w:id="1912">
    <w:p w14:paraId="5B9A419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(כז) דן בגדר רוב ככל, דיש כאן רוב שחיטה, אלא שיש 'פסול' בממה שאינו ראוי לשחיטת כולו [ולא חסר במעשה שחיטה].</w:t>
      </w:r>
    </w:p>
  </w:footnote>
  <w:footnote w:id="1913">
    <w:p w14:paraId="47D44B0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כשהבעל והבן הלכו למדינת הים, ושמעו שמתו שניהם. ואין ידוע איזה מת קודם.</w:t>
      </w:r>
    </w:p>
    <w:p w14:paraId="365006D8" w14:textId="77777777" w:rsidR="006074A5" w:rsidRPr="0041053F" w:rsidRDefault="006074A5" w:rsidP="006074A5">
      <w:pPr>
        <w:pStyle w:val="Footnote"/>
        <w:bidi/>
        <w:rPr>
          <w:rFonts w:ascii="Narkisim" w:hAnsi="Narkisim"/>
        </w:rPr>
      </w:pPr>
      <w:r w:rsidRPr="0041053F">
        <w:rPr>
          <w:rFonts w:ascii="Narkisim" w:hAnsi="Narkisim"/>
          <w:rtl/>
        </w:rPr>
        <w:tab/>
        <w:t>והבעה"מ הביא דאפ"ה עד א' נאמן נגד החזקה.</w:t>
      </w:r>
    </w:p>
  </w:footnote>
  <w:footnote w:id="1914">
    <w:p w14:paraId="37234D2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ויש לדחות דהבעה"מ איירי במקום שיש ספק, שידעינן ששניהם מתו. וכיון דאיתרע החזקה עד א' נאמן לברר, ואף להחמיר. ואף דלולי העד מוקמינן אחזקה להתיר.</w:t>
      </w:r>
    </w:p>
  </w:footnote>
  <w:footnote w:id="1915">
    <w:p w14:paraId="6052E1D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והשמעתתא הביא מה</w:t>
      </w:r>
      <w:r w:rsidRPr="0041053F">
        <w:rPr>
          <w:rFonts w:ascii="Narkisim" w:hAnsi="Narkisim"/>
          <w:b/>
          <w:bCs/>
          <w:rtl/>
        </w:rPr>
        <w:t>תבו"ש</w:t>
      </w:r>
      <w:r w:rsidRPr="0041053F">
        <w:rPr>
          <w:rFonts w:ascii="Narkisim" w:hAnsi="Narkisim"/>
          <w:rtl/>
        </w:rPr>
        <w:t xml:space="preserve"> (כט) דהיכא דנשבר עצם המפרקת, ולא ידוע אי הוה קודם שחיטה [ונטרף] או אח"כ. לא דנים חזקה דלא נשבר עד אחרי שחיטה, דאדרבה נימא חזקה שנשחט אחרי שבירה. [והש"ש דן היכא שידוע זמן השחיטה, ודאי מהני חזקת העצם].</w:t>
      </w:r>
    </w:p>
  </w:footnote>
  <w:footnote w:id="1916">
    <w:p w14:paraId="66AE38A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ונח' הראשונים בעד א' בהכחשה אי הוה כמאן דליתא. [ע' רמב"ם גירושין יב ט, רמב"ן ושא"ר לקמן קיח: וכתובות כג., וקידושין סו:].</w:t>
      </w:r>
    </w:p>
  </w:footnote>
  <w:footnote w:id="1917">
    <w:p w14:paraId="44BFAF0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ומבואר דמקבלים עדותם דהיתה מעשה קידושין בספק [דשניהם מודים שזרק הגט], אלא דע"א הוה הפה שאסר התיר שהיתה קרוב לו, ובזה אמרי' דהחמירו לחשוש שיבואו עדים נוספים. [וכן לא אמרי' דהוה עדות שבטלה מקצתה כיון שהוכחשו].</w:t>
      </w:r>
    </w:p>
  </w:footnote>
  <w:footnote w:id="1918">
    <w:p w14:paraId="08A9F23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פתח"ת </w:t>
      </w:r>
      <w:r w:rsidRPr="0041053F">
        <w:rPr>
          <w:rFonts w:ascii="Narkisim" w:hAnsi="Narkisim"/>
          <w:rtl/>
        </w:rPr>
        <w:t>(ל ב) הביא בשם ה</w:t>
      </w:r>
      <w:r w:rsidRPr="0041053F">
        <w:rPr>
          <w:rFonts w:ascii="Narkisim" w:hAnsi="Narkisim"/>
          <w:b/>
          <w:bCs/>
          <w:rtl/>
        </w:rPr>
        <w:t>קהלת יעקב</w:t>
      </w:r>
      <w:r w:rsidRPr="0041053F">
        <w:rPr>
          <w:rFonts w:ascii="Narkisim" w:hAnsi="Narkisim"/>
          <w:rtl/>
        </w:rPr>
        <w:t xml:space="preserve"> דהטעם דבעינן שהעדים יראו כל מה שיכולים לראות. וע"ע אבנ"מ (ל ט) ובית הלוי (ג טז).</w:t>
      </w:r>
    </w:p>
  </w:footnote>
  <w:footnote w:id="1919">
    <w:p w14:paraId="7ABDDF9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חלק"מ</w:t>
      </w:r>
      <w:r w:rsidRPr="0041053F">
        <w:rPr>
          <w:rFonts w:ascii="Narkisim" w:hAnsi="Narkisim"/>
          <w:rtl/>
        </w:rPr>
        <w:t xml:space="preserve"> (ח) כת' רק שמוקמינן אחזקתה [ולא משום עדות לקיומי]. [ויל"ד האם כוונתו משום חזקה לחוד. ועיל"פ דכיון שהוכרע ע"פ חזקה מש"ה נחשב דאין עדות לקיומי].</w:t>
      </w:r>
    </w:p>
  </w:footnote>
  <w:footnote w:id="1920">
    <w:p w14:paraId="6137021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דאיירי דוקא בכת א' שנח' בדבר, וע"א בהכחשה הוה ספיקא דרבנן. וצ"ב דמ"מ אין כאן ב' עדים בקידושין. וצ"ל דחיישינן לעד נוסף.</w:t>
      </w:r>
    </w:p>
  </w:footnote>
  <w:footnote w:id="1921">
    <w:p w14:paraId="1656FCC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(לקמן מא.) הביא דמקדש אחות יבמתו, מדאורייתא קידושין מפקיעי, וצריכה חליצה מדרבנן. וש"מ דלא גזרינן אם אתה אומר חולצת מתייבמת. וכת' דהו"ל לאקשויי (בסוגין) מהא. אלא כיון דנדחה דבריו תו לא איצטריך.</w:t>
      </w:r>
    </w:p>
  </w:footnote>
  <w:footnote w:id="1922">
    <w:p w14:paraId="222D07E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תו"י</w:t>
      </w:r>
      <w:r w:rsidRPr="0041053F">
        <w:rPr>
          <w:rFonts w:ascii="Narkisim" w:hAnsi="Narkisim"/>
          <w:rtl/>
        </w:rPr>
        <w:t xml:space="preserve"> טרח ליישב כמה סוגיות ע"פ החשש דאם אתה אומר חולצת מתייבמת. וקצת משמע דלא הוה ס"ד בעלמא.</w:t>
      </w:r>
    </w:p>
  </w:footnote>
  <w:footnote w:id="1923">
    <w:p w14:paraId="34953B6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ומשמע דדעת המקשן דתרי ותרי הוה ספיקא דאורייתא, ולא מהני חזקה אף מדאורייתא. אבל מדברי רש"י לכאו' סברת הגמ' לעיל דמהני חזקה בתרי ותרי. אלא דמ"מ הגמ' הביאה ס"ד דל"מ חזקה.</w:t>
      </w:r>
    </w:p>
  </w:footnote>
  <w:footnote w:id="1924">
    <w:p w14:paraId="5C14BC6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וכ"כ </w:t>
      </w:r>
      <w:r w:rsidRPr="0041053F">
        <w:rPr>
          <w:rFonts w:ascii="Narkisim" w:hAnsi="Narkisim"/>
          <w:b/>
          <w:bCs/>
          <w:rtl/>
        </w:rPr>
        <w:t>רע"א</w:t>
      </w:r>
      <w:r w:rsidRPr="0041053F">
        <w:rPr>
          <w:rFonts w:ascii="Narkisim" w:hAnsi="Narkisim"/>
          <w:rtl/>
        </w:rPr>
        <w:t xml:space="preserve"> (ק' קלו) דלמ"ד ספיקא דאורייתא מסלקים את החזקות, דא"א להכריע כנגד עדים. וע"ע משנ"ל (טוען טו יא).</w:t>
      </w:r>
    </w:p>
    <w:p w14:paraId="228BA68A" w14:textId="77777777" w:rsidR="006074A5" w:rsidRPr="0041053F" w:rsidRDefault="006074A5" w:rsidP="006074A5">
      <w:pPr>
        <w:pStyle w:val="Footnote"/>
        <w:bidi/>
        <w:rPr>
          <w:rFonts w:ascii="Narkisim" w:hAnsi="Narkisim"/>
        </w:rPr>
      </w:pPr>
      <w:r w:rsidRPr="0041053F">
        <w:rPr>
          <w:rFonts w:ascii="Narkisim" w:hAnsi="Narkisim"/>
          <w:rtl/>
        </w:rPr>
        <w:tab/>
        <w:t>וה</w:t>
      </w:r>
      <w:r w:rsidRPr="0041053F">
        <w:rPr>
          <w:rFonts w:ascii="Narkisim" w:hAnsi="Narkisim"/>
          <w:b/>
          <w:bCs/>
          <w:rtl/>
        </w:rPr>
        <w:t>קצות</w:t>
      </w:r>
      <w:r w:rsidRPr="0041053F">
        <w:rPr>
          <w:rFonts w:ascii="Narkisim" w:hAnsi="Narkisim"/>
          <w:rtl/>
        </w:rPr>
        <w:t xml:space="preserve"> (פז ח, ש"ש ו כ) דן היכא דיש תרי ותרי על שטר האם נפרע, האם נסלקין עדותו וגובה ע"פ השטר.</w:t>
      </w:r>
    </w:p>
  </w:footnote>
  <w:footnote w:id="1925">
    <w:p w14:paraId="6280B2A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והביא דברי </w:t>
      </w:r>
      <w:r w:rsidRPr="0041053F">
        <w:rPr>
          <w:rFonts w:ascii="Narkisim" w:hAnsi="Narkisim"/>
          <w:b/>
          <w:bCs/>
          <w:rtl/>
        </w:rPr>
        <w:t>תוס</w:t>
      </w:r>
      <w:r w:rsidRPr="0041053F">
        <w:rPr>
          <w:rFonts w:ascii="Narkisim" w:hAnsi="Narkisim"/>
          <w:rtl/>
        </w:rPr>
        <w:t>' (ב"ב לא: וכ"מ) דלא מהני מיגו במקום תרי ותרי, דלא מהני מיגו יותר מב' עדים. דכל הכרעה מסברא לא עדיף מעדים, ותרי כמאה.</w:t>
      </w:r>
    </w:p>
  </w:footnote>
  <w:footnote w:id="1926">
    <w:p w14:paraId="7E53A00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 דה</w:t>
      </w:r>
      <w:r w:rsidRPr="0041053F">
        <w:rPr>
          <w:rFonts w:ascii="Narkisim" w:hAnsi="Narkisim"/>
          <w:b/>
          <w:bCs/>
          <w:rtl/>
        </w:rPr>
        <w:t>שושנת העמקים</w:t>
      </w:r>
      <w:r w:rsidRPr="0041053F">
        <w:rPr>
          <w:rFonts w:ascii="Narkisim" w:hAnsi="Narkisim"/>
          <w:rtl/>
        </w:rPr>
        <w:t xml:space="preserve"> (יא) דן האם מהני רוב במקום תרי ותרי [וציין לב"י יו"ד לט]. [ועד"ז דן הש"ש ו כב]. ורע"א דן עוד האם מהני חזקת אין אדם פורע תוך זמנו. [דיסודו חזקת אומדנא].</w:t>
      </w:r>
    </w:p>
  </w:footnote>
  <w:footnote w:id="1927">
    <w:p w14:paraId="692F8FE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וכמו דלא אמרי' אוקי תרי להדי תרי, ונשארו אידך עדים [וע"כ דתרי אלים כחייהו נגד כמה כתות], אף כשהחזקה המסייע לאידך כת לא עדיפא מאלו עוד כת עדים מסייעים להם.</w:t>
      </w:r>
    </w:p>
  </w:footnote>
  <w:footnote w:id="1928">
    <w:p w14:paraId="60AF621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[ע"ע חי' הרי"מ חו"מ לד, קוב"ש ח"ב ב]. ועד"ז ביארו דבעלמא מהני חזקת האם לבת, ודוקא במקום תרי ותרי כת' </w:t>
      </w:r>
      <w:r w:rsidRPr="0041053F">
        <w:rPr>
          <w:rFonts w:ascii="Narkisim" w:hAnsi="Narkisim"/>
          <w:b/>
          <w:bCs/>
          <w:rtl/>
        </w:rPr>
        <w:t>רש"י</w:t>
      </w:r>
      <w:r w:rsidRPr="0041053F">
        <w:rPr>
          <w:rFonts w:ascii="Narkisim" w:hAnsi="Narkisim"/>
          <w:rtl/>
        </w:rPr>
        <w:t xml:space="preserve"> (קידושין סו.) דל"מ חזקת אמו של ינאי, כיון דאין כאן גדר הכרעה בספיקות. [ועד"ז כת' להדיא בשיטה לא נודע למי קידושין שם].</w:t>
      </w:r>
    </w:p>
  </w:footnote>
  <w:footnote w:id="1929">
    <w:p w14:paraId="4353AEE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w:t>
      </w:r>
      <w:r w:rsidRPr="0041053F">
        <w:rPr>
          <w:rFonts w:ascii="Narkisim" w:hAnsi="Narkisim"/>
          <w:rtl/>
        </w:rPr>
        <w:t xml:space="preserve"> (טהרות ה בסופו) הביא דמשמע (בתוספתא שם) דתרי ותרי ברה"ר ספיקו טהור. והר"ש תמה דעכ"פ מדרבנן החמירו, ולא מוקמינן אחזקתו. וה</w:t>
      </w:r>
      <w:r w:rsidRPr="0041053F">
        <w:rPr>
          <w:rFonts w:ascii="Narkisim" w:hAnsi="Narkisim"/>
          <w:b/>
          <w:bCs/>
          <w:rtl/>
        </w:rPr>
        <w:t>ש"ש</w:t>
      </w:r>
      <w:r w:rsidRPr="0041053F">
        <w:rPr>
          <w:rFonts w:ascii="Narkisim" w:hAnsi="Narkisim"/>
          <w:rtl/>
        </w:rPr>
        <w:t xml:space="preserve"> (א ח) כת' דדוקא חזקה ל"מ במקום תרי ותרי. אבל גדרי ספק טומאה מהני [דאינו גדר הכרעה].</w:t>
      </w:r>
    </w:p>
  </w:footnote>
  <w:footnote w:id="1930">
    <w:p w14:paraId="7C6AA35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וכ"ד </w:t>
      </w:r>
      <w:r w:rsidRPr="0041053F">
        <w:rPr>
          <w:rFonts w:ascii="Narkisim" w:hAnsi="Narkisim"/>
          <w:b/>
          <w:bCs/>
          <w:rtl/>
        </w:rPr>
        <w:t>רש"י</w:t>
      </w:r>
      <w:r w:rsidRPr="0041053F">
        <w:rPr>
          <w:rFonts w:ascii="Narkisim" w:hAnsi="Narkisim"/>
          <w:rtl/>
        </w:rPr>
        <w:t xml:space="preserve"> (קידושין סו.) גבי אמו של ינאי, דאילו היתה לפנינו מהני חזקתה בתרי ותרי.</w:t>
      </w:r>
    </w:p>
    <w:p w14:paraId="220A5538" w14:textId="77777777" w:rsidR="006074A5" w:rsidRPr="0041053F" w:rsidRDefault="006074A5" w:rsidP="006074A5">
      <w:pPr>
        <w:pStyle w:val="Footnote"/>
        <w:bidi/>
        <w:rPr>
          <w:rFonts w:ascii="Narkisim" w:hAnsi="Narkisim"/>
        </w:rPr>
      </w:pPr>
      <w:r w:rsidRPr="0041053F">
        <w:rPr>
          <w:rFonts w:ascii="Narkisim" w:hAnsi="Narkisim"/>
          <w:rtl/>
        </w:rPr>
        <w:tab/>
        <w:t>ו</w:t>
      </w:r>
      <w:r w:rsidRPr="0041053F">
        <w:rPr>
          <w:rFonts w:ascii="Narkisim" w:hAnsi="Narkisim"/>
          <w:b/>
          <w:bCs/>
          <w:rtl/>
        </w:rPr>
        <w:t>תוס</w:t>
      </w:r>
      <w:r w:rsidRPr="0041053F">
        <w:rPr>
          <w:rFonts w:ascii="Narkisim" w:hAnsi="Narkisim"/>
          <w:rtl/>
        </w:rPr>
        <w:t>' (הנ"ל) דנו דעכ"פ החמירו מדרבנן דלא סמכי' אחזקה. ודנו דדוקא בתרומה דרבנן לא החמירו [וכ"כ תוס' לקמן סח., וכ"כ ה"ה (איסו"ב כ טז) בשם הרשב"א]. אבל ה</w:t>
      </w:r>
      <w:r w:rsidRPr="0041053F">
        <w:rPr>
          <w:rFonts w:ascii="Narkisim" w:hAnsi="Narkisim"/>
          <w:b/>
          <w:bCs/>
          <w:rtl/>
        </w:rPr>
        <w:t>ריטב"א</w:t>
      </w:r>
      <w:r w:rsidRPr="0041053F">
        <w:rPr>
          <w:rFonts w:ascii="Narkisim" w:hAnsi="Narkisim"/>
          <w:rtl/>
        </w:rPr>
        <w:t xml:space="preserve"> (קידושין, וכן הר"ן כתובות שם יא. בדה"ר בשם י"א, הו' בב"י אה"ע ג ז) תי' דהחמירו רבנן דוקא באיסור אשת איש. [וכמו בסוגיין דהחמירו באיסור ערוה].</w:t>
      </w:r>
    </w:p>
    <w:p w14:paraId="017419CB" w14:textId="77777777" w:rsidR="006074A5" w:rsidRPr="0041053F" w:rsidRDefault="006074A5" w:rsidP="006074A5">
      <w:pPr>
        <w:pStyle w:val="Footnote"/>
        <w:bidi/>
        <w:rPr>
          <w:rFonts w:ascii="Narkisim" w:hAnsi="Narkisim"/>
        </w:rPr>
      </w:pPr>
      <w:r w:rsidRPr="0041053F">
        <w:rPr>
          <w:rFonts w:ascii="Narkisim" w:hAnsi="Narkisim"/>
          <w:rtl/>
        </w:rPr>
        <w:tab/>
        <w:t>וה</w:t>
      </w:r>
      <w:r w:rsidRPr="0041053F">
        <w:rPr>
          <w:rFonts w:ascii="Narkisim" w:hAnsi="Narkisim"/>
          <w:b/>
          <w:bCs/>
          <w:rtl/>
        </w:rPr>
        <w:t>רמב"ן</w:t>
      </w:r>
      <w:r w:rsidRPr="0041053F">
        <w:rPr>
          <w:rFonts w:ascii="Narkisim" w:hAnsi="Narkisim"/>
          <w:rtl/>
        </w:rPr>
        <w:t xml:space="preserve"> (קידושין סו.) כת' דהחמירו בכל מקום שראוי להחמיר. והביא דבסוגיין אי' דלצד ספיקא דרבנן שפיר מוקמינן אחזקה [וכאן אינו ראוי להחמיר], ודוקא אי ספיקא דאורייתא לעולם חולצת. [והביא די"ג בסוגיין למסקנא ספיקא דאורייתא].</w:t>
      </w:r>
    </w:p>
  </w:footnote>
  <w:footnote w:id="1931">
    <w:p w14:paraId="5E0E290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יל"פ דלא ילפי' הכרעת מ"ק מגדרי חזקות. [משמע דמסברא תליא הא בהא, מ"מ לא ילפי' ממונא מאיסורא].</w:t>
      </w:r>
    </w:p>
  </w:footnote>
  <w:footnote w:id="1932">
    <w:p w14:paraId="6049F3A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מאירי</w:t>
      </w:r>
      <w:r w:rsidRPr="0041053F">
        <w:rPr>
          <w:rFonts w:ascii="Narkisim" w:hAnsi="Narkisim"/>
          <w:rtl/>
        </w:rPr>
        <w:t xml:space="preserve"> כת' דהעולה דתו"ת ספיקא דרבנן. ומ"מ יש פוסקים שהוא ספק תורה, ונכסי דבר שטיא ממונא שאני. אבל לענין איסור עבדינן לחומרא, ובין בכת א' ובין בב' כתי עדים חולצת.</w:t>
      </w:r>
    </w:p>
  </w:footnote>
  <w:footnote w:id="1933">
    <w:p w14:paraId="10150C6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ב</w:t>
      </w:r>
      <w:r w:rsidRPr="0041053F">
        <w:rPr>
          <w:rFonts w:ascii="Narkisim" w:hAnsi="Narkisim"/>
          <w:b/>
          <w:bCs/>
          <w:rtl/>
        </w:rPr>
        <w:t>תוס' הרי"ד</w:t>
      </w:r>
      <w:r w:rsidRPr="0041053F">
        <w:rPr>
          <w:rFonts w:ascii="Narkisim" w:hAnsi="Narkisim"/>
          <w:rtl/>
        </w:rPr>
        <w:t xml:space="preserve"> (כתובות כג. עה"ג) דקי"ל דספיקא דאורייתא.</w:t>
      </w:r>
    </w:p>
  </w:footnote>
  <w:footnote w:id="1934">
    <w:p w14:paraId="1288E6B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רמב"ן</w:t>
      </w:r>
      <w:r w:rsidRPr="0041053F">
        <w:rPr>
          <w:rFonts w:ascii="Narkisim" w:hAnsi="Narkisim"/>
          <w:rtl/>
        </w:rPr>
        <w:t xml:space="preserve"> (קידושין סו.) בשם </w:t>
      </w:r>
      <w:r w:rsidRPr="0041053F">
        <w:rPr>
          <w:rFonts w:ascii="Narkisim" w:hAnsi="Narkisim"/>
          <w:b/>
          <w:bCs/>
          <w:rtl/>
        </w:rPr>
        <w:t>אחרים</w:t>
      </w:r>
      <w:r w:rsidRPr="0041053F">
        <w:rPr>
          <w:rFonts w:ascii="Narkisim" w:hAnsi="Narkisim"/>
          <w:rtl/>
        </w:rPr>
        <w:t xml:space="preserve"> דקי"ל ספיקא דאורייתא. והרמב"ן (בסו"ד) הביא דגרסו כן במסקנת סוגיין. אבל הרמב"ן גרס למסקנא דהוה ספיקא דרבנן. וכת' דמהני חזקה בתרי ותרי [לאכילת תרומה], אלא דל"מ להחשב ודאי, ולהוציא אשה מתחת בעלה. אלא דבכל מקום שראוי להחמיר החמירו. [וע"ע רמב"ן ב"מ ו.].</w:t>
      </w:r>
    </w:p>
  </w:footnote>
  <w:footnote w:id="1935">
    <w:p w14:paraId="2907CF8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קונ' הספיקות</w:t>
      </w:r>
      <w:r w:rsidRPr="0041053F">
        <w:rPr>
          <w:rFonts w:ascii="Narkisim" w:hAnsi="Narkisim"/>
          <w:rtl/>
        </w:rPr>
        <w:t xml:space="preserve"> (א ה) חקר בגדר חזקת מ"ק אי הוה מוחזק בממון, או חזקה דמעיקרא כאיסורין.</w:t>
      </w:r>
    </w:p>
  </w:footnote>
  <w:footnote w:id="1936">
    <w:p w14:paraId="2BB127B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ורע"א דן דמלבד הכרעת מוחזק, בספק ממון אין מוציאין מיד מי שתפוס בידו. [עי"ש עוד].</w:t>
      </w:r>
    </w:p>
  </w:footnote>
  <w:footnote w:id="1937">
    <w:p w14:paraId="464E524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וע"ע רע"א שדן אי הך סוגיא כמ"ד ספיקא דרבנן. או אף למ"ד דאורייתא מהני ב' חזקות.</w:t>
      </w:r>
    </w:p>
  </w:footnote>
  <w:footnote w:id="1938">
    <w:p w14:paraId="45B6643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והוסיף דדייקו כן מהלשון מחצה [וכתוס'].</w:t>
      </w:r>
    </w:p>
  </w:footnote>
  <w:footnote w:id="1939">
    <w:p w14:paraId="012FCC0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הרמב"ן נקט הלשון ספיקא דרבנן, וצ"ב א"כ התם נמי הו"ל להחמיר. ולכאורה כוונתו דחשש אם אתה אומר חולצת מתייבמת עדיפא מהך חומרא. וע"כ דרבה ורב יוסף ס"ל ספיקא דאורייתא.</w:t>
      </w:r>
    </w:p>
  </w:footnote>
  <w:footnote w:id="1940">
    <w:p w14:paraId="21B302E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ר"ן</w:t>
      </w:r>
      <w:r w:rsidRPr="0041053F">
        <w:rPr>
          <w:rFonts w:ascii="Narkisim" w:hAnsi="Narkisim"/>
          <w:rtl/>
        </w:rPr>
        <w:t xml:space="preserve"> (קידושין סה:, כח: בדה"ר) כת' דלר"מ ל"מ שטר קידושין כתב ידו. אך קי"ל כר"א דעדי מסירה כרתי ול"צ עדים לאשווי שטרא. וה"ה שטר כתב ידו, אע"פ שאין עליו עדים מהני דכשהיא מוציאתו כאילו יש עדים בדבר דמי. [וצ"ב דאף לר"א בעינן עכ"פ עדי מסירה. ולכאורה מוכח דסגי בהוכחה, ע"י שמוציאתו לפנינו].</w:t>
      </w:r>
    </w:p>
  </w:footnote>
  <w:footnote w:id="1941">
    <w:p w14:paraId="6B835A5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משנ"ל</w:t>
      </w:r>
      <w:r w:rsidRPr="0041053F">
        <w:rPr>
          <w:rFonts w:ascii="Narkisim" w:hAnsi="Narkisim"/>
          <w:rtl/>
        </w:rPr>
        <w:t xml:space="preserve"> (אישות ג ג) ציין דב</w:t>
      </w:r>
      <w:r w:rsidRPr="0041053F">
        <w:rPr>
          <w:rFonts w:ascii="Narkisim" w:hAnsi="Narkisim"/>
          <w:b/>
          <w:bCs/>
          <w:rtl/>
        </w:rPr>
        <w:t>שו"ת מהר"ם הלוי</w:t>
      </w:r>
      <w:r w:rsidRPr="0041053F">
        <w:rPr>
          <w:rFonts w:ascii="Narkisim" w:hAnsi="Narkisim"/>
          <w:rtl/>
        </w:rPr>
        <w:t xml:space="preserve"> (ס"ס נב) הביא ג' צדדים דבשטר כתב ידו, ונתנו בינו לבינה, י"מ שהיא מקודשת גמורה. וי"מ דאינה מקודשת. וי"מ דהוי ספק מקודשת.</w:t>
      </w:r>
    </w:p>
  </w:footnote>
  <w:footnote w:id="1942">
    <w:p w14:paraId="292EB68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בקידושין מאי איכא למימר, והאיך תקנו שיחשב קידושין דאורייתא [ולא תפסי קידושי שני].</w:t>
      </w:r>
    </w:p>
  </w:footnote>
  <w:footnote w:id="1943">
    <w:p w14:paraId="001E452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תוס' ישנים </w:t>
      </w:r>
      <w:r w:rsidRPr="0041053F">
        <w:rPr>
          <w:rFonts w:ascii="Narkisim" w:hAnsi="Narkisim"/>
          <w:rtl/>
        </w:rPr>
        <w:t>(לקמן שם) כת' דאף דבעי דרישה וחקירה מגוף העדות, היינו לבוא לידי אמת מעשה, אבל לא בעינן באיזה יום ובאיזה שעה, דהוא רק בדיני נפשות כדי לבוא לידי הזמה. [ובעינן דרישה וחקירה מדאורייתא, ואפ"ה ל"צ זמן].</w:t>
      </w:r>
    </w:p>
  </w:footnote>
  <w:footnote w:id="1944">
    <w:p w14:paraId="244E807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ודעת ה</w:t>
      </w:r>
      <w:r w:rsidRPr="0041053F">
        <w:rPr>
          <w:rFonts w:ascii="Narkisim" w:hAnsi="Narkisim"/>
          <w:b/>
          <w:bCs/>
          <w:rtl/>
        </w:rPr>
        <w:t>נוב"י</w:t>
      </w:r>
      <w:r w:rsidRPr="0041053F">
        <w:rPr>
          <w:rFonts w:ascii="Narkisim" w:hAnsi="Narkisim"/>
          <w:rtl/>
        </w:rPr>
        <w:t xml:space="preserve"> (ק' נז ונח) דעדי דבר שבערוה ל"צ דרישות וחקירות [ודלא כנמוק"י], וכדאי' (סנהדרין לג:) דדרישה וחקירה משום עדות שא"א יכול להזימה. ובגיטין וקידושין ל"צ יכול להזימה. וה</w:t>
      </w:r>
      <w:r w:rsidRPr="0041053F">
        <w:rPr>
          <w:rFonts w:ascii="Narkisim" w:hAnsi="Narkisim"/>
          <w:b/>
          <w:bCs/>
          <w:rtl/>
        </w:rPr>
        <w:t>בית הלוי</w:t>
      </w:r>
      <w:r w:rsidRPr="0041053F">
        <w:rPr>
          <w:rFonts w:ascii="Narkisim" w:hAnsi="Narkisim"/>
          <w:rtl/>
        </w:rPr>
        <w:t xml:space="preserve"> (ג ו) האריך להביא מהראשונים דלא כן.</w:t>
      </w:r>
    </w:p>
    <w:p w14:paraId="72A24225" w14:textId="77777777" w:rsidR="006074A5" w:rsidRPr="0041053F" w:rsidRDefault="006074A5" w:rsidP="006074A5">
      <w:pPr>
        <w:pStyle w:val="Footnote"/>
        <w:bidi/>
        <w:rPr>
          <w:rFonts w:ascii="Narkisim" w:hAnsi="Narkisim"/>
        </w:rPr>
      </w:pPr>
      <w:r w:rsidRPr="0041053F">
        <w:rPr>
          <w:rFonts w:ascii="Narkisim" w:hAnsi="Narkisim"/>
          <w:rtl/>
        </w:rPr>
        <w:tab/>
        <w:t>[וה</w:t>
      </w:r>
      <w:r w:rsidRPr="0041053F">
        <w:rPr>
          <w:rFonts w:ascii="Narkisim" w:hAnsi="Narkisim"/>
          <w:b/>
          <w:bCs/>
          <w:rtl/>
        </w:rPr>
        <w:t>נוב"י</w:t>
      </w:r>
      <w:r w:rsidRPr="0041053F">
        <w:rPr>
          <w:rFonts w:ascii="Narkisim" w:hAnsi="Narkisim"/>
          <w:rtl/>
        </w:rPr>
        <w:t xml:space="preserve"> (ת' עב) הק' א"כ אף לאסור אשה על בעלה לא נבעי דרישה וחקירה, ומבואר בתוס' (סנהדרין ח: ד"ה והביא) והראשונים דבעי].</w:t>
      </w:r>
    </w:p>
  </w:footnote>
  <w:footnote w:id="1945">
    <w:p w14:paraId="55D07E8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אלא אם דרך העולם לכתוב לשופרא דשטרא כתבי כשאר כל שטרי מקח וממכר. ואם לא כתב לא הפסיד כלום, אלא בזכות טירפא.</w:t>
      </w:r>
    </w:p>
  </w:footnote>
  <w:footnote w:id="1946">
    <w:p w14:paraId="3A92C8E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והרי"ף הביא מהא דמהני קיום שטרות, כשמעיד זה כתב ידו של אבא וכדו'.</w:t>
      </w:r>
    </w:p>
  </w:footnote>
  <w:footnote w:id="1947">
    <w:p w14:paraId="2C3200D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ראשונים</w:t>
      </w:r>
      <w:r w:rsidRPr="0041053F">
        <w:rPr>
          <w:rFonts w:ascii="Narkisim" w:hAnsi="Narkisim"/>
          <w:rtl/>
        </w:rPr>
        <w:t xml:space="preserve"> (בכ"מ) נח' אי שטר צריך דעת המתחייב. [ולכאו' נח' בזה תי' התוס' כתובות כ, ב"ב מ ועז., ע' רמב"ן ב"ב עז]. וה</w:t>
      </w:r>
      <w:r w:rsidRPr="0041053F">
        <w:rPr>
          <w:rFonts w:ascii="Narkisim" w:hAnsi="Narkisim"/>
          <w:b/>
          <w:bCs/>
          <w:rtl/>
        </w:rPr>
        <w:t>בעה"מ</w:t>
      </w:r>
      <w:r w:rsidRPr="0041053F">
        <w:rPr>
          <w:rFonts w:ascii="Narkisim" w:hAnsi="Narkisim"/>
          <w:rtl/>
        </w:rPr>
        <w:t xml:space="preserve"> חידש דגדר דעת המתחייב, דעי"ז נחשב 'כתב שלו' [של הבע"ד]. ולא הוה תנאי בעלמא. </w:t>
      </w:r>
      <w:r w:rsidRPr="0041053F">
        <w:rPr>
          <w:rFonts w:ascii="Narkisim" w:hAnsi="Narkisim"/>
          <w:rtl/>
        </w:rPr>
        <w:tab/>
      </w:r>
    </w:p>
  </w:footnote>
  <w:footnote w:id="1948">
    <w:p w14:paraId="1555FC9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ונקטו דמהני שטר מדעת המתחייב אף בזכרון עדות, שאין בו צורת שטר בין ב' בני אדם.</w:t>
      </w:r>
    </w:p>
  </w:footnote>
  <w:footnote w:id="1949">
    <w:p w14:paraId="1EC6E15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ולא הוציאוה מתחת ידם. דאי בעי כבשי לשטר, ולא יעידו.</w:t>
      </w:r>
    </w:p>
  </w:footnote>
  <w:footnote w:id="1950">
    <w:p w14:paraId="4EC006A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ודייקו דה</w:t>
      </w:r>
      <w:r w:rsidRPr="0041053F">
        <w:rPr>
          <w:rFonts w:ascii="Narkisim" w:hAnsi="Narkisim"/>
          <w:b/>
          <w:bCs/>
          <w:rtl/>
        </w:rPr>
        <w:t xml:space="preserve">רי"ף </w:t>
      </w:r>
      <w:r w:rsidRPr="0041053F">
        <w:rPr>
          <w:rFonts w:ascii="Narkisim" w:hAnsi="Narkisim"/>
          <w:rtl/>
        </w:rPr>
        <w:t>לא גרס זימנין דחזו וכו', אלא אף אם יוציאו השטר ל"מ אם שכחו. וכ"מ ברשב"א. וה</w:t>
      </w:r>
      <w:r w:rsidRPr="0041053F">
        <w:rPr>
          <w:rFonts w:ascii="Narkisim" w:hAnsi="Narkisim"/>
          <w:b/>
          <w:bCs/>
          <w:rtl/>
        </w:rPr>
        <w:t>רשב"א</w:t>
      </w:r>
      <w:r w:rsidRPr="0041053F">
        <w:rPr>
          <w:rFonts w:ascii="Narkisim" w:hAnsi="Narkisim"/>
          <w:rtl/>
        </w:rPr>
        <w:t xml:space="preserve"> הקשה דמ"מ אפשר להניח אצלו, ושמא יזכרו העדים מתוך השטר. ותי' דכיון דהוה פנקס בעלמא, ואינו כשטר לא תקנו בזה זמן.</w:t>
      </w:r>
    </w:p>
  </w:footnote>
  <w:footnote w:id="1951">
    <w:p w14:paraId="37CBD6B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ה</w:t>
      </w:r>
      <w:r w:rsidRPr="0041053F">
        <w:rPr>
          <w:rFonts w:ascii="Narkisim" w:hAnsi="Narkisim"/>
          <w:b/>
          <w:bCs/>
          <w:rtl/>
        </w:rPr>
        <w:t>שו"ע</w:t>
      </w:r>
      <w:r w:rsidRPr="0041053F">
        <w:rPr>
          <w:rFonts w:ascii="Narkisim" w:hAnsi="Narkisim"/>
          <w:rtl/>
        </w:rPr>
        <w:t xml:space="preserve"> (מו לה) פסק דשטר שנמצא תח"י העדים, והעדים נעשו קרובים פסול. ואפי' שיש עדים שראו את השטר כשהיו כשרים [ע"פ דברי הרי"ף דשטר ביד העדים לא אמרי' דנחקרה]. וה</w:t>
      </w:r>
      <w:r w:rsidRPr="0041053F">
        <w:rPr>
          <w:rFonts w:ascii="Narkisim" w:hAnsi="Narkisim"/>
          <w:b/>
          <w:bCs/>
          <w:rtl/>
        </w:rPr>
        <w:t xml:space="preserve">קצות </w:t>
      </w:r>
      <w:r w:rsidRPr="0041053F">
        <w:rPr>
          <w:rFonts w:ascii="Narkisim" w:hAnsi="Narkisim"/>
          <w:rtl/>
        </w:rPr>
        <w:t>(מו יח) הקשה דלמש"כ הרמב"ן הרי"ף איירי דוקא בשטר קידושין.</w:t>
      </w:r>
    </w:p>
  </w:footnote>
  <w:footnote w:id="1952">
    <w:p w14:paraId="21F7E34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[ומשמע דאילו דינו להיות מסור ביד העדים לא נחשב שטר ראיה כלל, אף על עצם הקידושין. ולא רק לענין 'זמן'].</w:t>
      </w:r>
    </w:p>
  </w:footnote>
  <w:footnote w:id="1953">
    <w:p w14:paraId="3DD5C26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ואף דתנן (ב"ב קסז:) אין כותבין שטר אירוסין אלא מדעת שניהם.</w:t>
      </w:r>
    </w:p>
  </w:footnote>
  <w:footnote w:id="1954">
    <w:p w14:paraId="4C8FAD1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טור</w:t>
      </w:r>
      <w:r w:rsidRPr="0041053F">
        <w:rPr>
          <w:rFonts w:ascii="Narkisim" w:hAnsi="Narkisim"/>
          <w:rtl/>
        </w:rPr>
        <w:t xml:space="preserve"> (קכז) דכיון דתקנו זמן אם תאמר קודם הזנות נתגרשתי צריכה להביא ראיה. וה</w:t>
      </w:r>
      <w:r w:rsidRPr="0041053F">
        <w:rPr>
          <w:rFonts w:ascii="Narkisim" w:hAnsi="Narkisim"/>
          <w:b/>
          <w:bCs/>
          <w:rtl/>
        </w:rPr>
        <w:t>ב"י</w:t>
      </w:r>
      <w:r w:rsidRPr="0041053F">
        <w:rPr>
          <w:rFonts w:ascii="Narkisim" w:hAnsi="Narkisim"/>
          <w:rtl/>
        </w:rPr>
        <w:t xml:space="preserve"> ביאר שצריכה לברר בעדים שקיבלה גט קודם. ע' ב"ח וט"ז (שם א).</w:t>
      </w:r>
    </w:p>
  </w:footnote>
  <w:footnote w:id="1955">
    <w:p w14:paraId="3EEFB2E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וילה"ק ד</w:t>
      </w:r>
      <w:r w:rsidRPr="0041053F">
        <w:rPr>
          <w:rFonts w:ascii="Narkisim" w:hAnsi="Narkisim"/>
          <w:b/>
          <w:bCs/>
          <w:rtl/>
        </w:rPr>
        <w:t>רש"י</w:t>
      </w:r>
      <w:r w:rsidRPr="0041053F">
        <w:rPr>
          <w:rFonts w:ascii="Narkisim" w:hAnsi="Narkisim"/>
          <w:rtl/>
        </w:rPr>
        <w:t xml:space="preserve"> (כאן ויב.) כת' דאי לא עביד מאמר הוה זיקת הא'. וי"ל דקאי למ"ד אין זיקה. [וי"ל דפי' כן להו"א דזיקת ב' יבמין דאורייתא. ולהך ס"ד דע"כ מתני' כמ"ד אין זיקה].</w:t>
      </w:r>
    </w:p>
  </w:footnote>
  <w:footnote w:id="1956">
    <w:p w14:paraId="0CB0261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אבל בהג' </w:t>
      </w:r>
      <w:r w:rsidRPr="0041053F">
        <w:rPr>
          <w:rFonts w:ascii="Narkisim" w:hAnsi="Narkisim"/>
          <w:b/>
          <w:bCs/>
          <w:rtl/>
        </w:rPr>
        <w:t>מל"ה</w:t>
      </w:r>
      <w:r w:rsidRPr="0041053F">
        <w:rPr>
          <w:rFonts w:ascii="Narkisim" w:hAnsi="Narkisim"/>
          <w:rtl/>
        </w:rPr>
        <w:t xml:space="preserve"> (ל:) פי' דלענין איסור ב' יבמין דהוה מדרבנן סמכינן אברירה [ע"פ הגמ' כט: דתלי בברירה], ונתברר דלא נפלה עליו. [ויל"ד בזה דאדרבה יתברר דמתקיים גדר יבום אף כלפיו, והוה כנפילה שניה].</w:t>
      </w:r>
    </w:p>
  </w:footnote>
  <w:footnote w:id="1957">
    <w:p w14:paraId="5CB0DFD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ובגמ' (לקמן צה., לפי' התוס') יש מ"ד דמאמר וגט קונה מדאורייתא. ומשמע בתוס' דהיינו לבי"ש [וע"ע מהרש"א ותוס' רא"ש שם].</w:t>
      </w:r>
    </w:p>
  </w:footnote>
  <w:footnote w:id="1958">
    <w:p w14:paraId="0889405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למ"ד (לעיל יח: יט.) דזיקה ככנוסה, כיון דהוה ככנוסה לשני פקע הזיקה מחמת הראשון, ולא נחשב אשת ב' מתים.</w:t>
      </w:r>
    </w:p>
    <w:p w14:paraId="1476D4CD" w14:textId="77777777" w:rsidR="006074A5" w:rsidRPr="0041053F" w:rsidRDefault="006074A5" w:rsidP="006074A5">
      <w:pPr>
        <w:pStyle w:val="Footnote"/>
        <w:bidi/>
        <w:rPr>
          <w:rFonts w:ascii="Narkisim" w:hAnsi="Narkisim"/>
        </w:rPr>
      </w:pPr>
      <w:r w:rsidRPr="0041053F">
        <w:rPr>
          <w:rFonts w:ascii="Narkisim" w:hAnsi="Narkisim"/>
          <w:rtl/>
        </w:rPr>
        <w:tab/>
        <w:t>[וזיקה ככנוסה עדיפא ממאמר לר"א, ואף דזיקה ככנוסה אינו מונע מהאחים לייבם, דאמרי' ברירה ויכול לייחד הזיקה עליו. אבל היכא דמת נחשב שמייבם מכחו [וע' מה שהו' לעיל שם ול:].</w:t>
      </w:r>
    </w:p>
  </w:footnote>
  <w:footnote w:id="1959">
    <w:p w14:paraId="2DCE8BF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[מדאורייתא], וכמ"ש ה</w:t>
      </w:r>
      <w:r w:rsidRPr="0041053F">
        <w:rPr>
          <w:rFonts w:ascii="Narkisim" w:hAnsi="Narkisim"/>
          <w:b/>
          <w:bCs/>
          <w:rtl/>
        </w:rPr>
        <w:t>ראשונים</w:t>
      </w:r>
      <w:r w:rsidRPr="0041053F">
        <w:rPr>
          <w:rFonts w:ascii="Narkisim" w:hAnsi="Narkisim"/>
          <w:rtl/>
        </w:rPr>
        <w:t xml:space="preserve"> (לעיל יח:). ועוד כתב ה</w:t>
      </w:r>
      <w:r w:rsidRPr="0041053F">
        <w:rPr>
          <w:rFonts w:ascii="Narkisim" w:hAnsi="Narkisim"/>
          <w:b/>
          <w:bCs/>
          <w:rtl/>
        </w:rPr>
        <w:t>חזו"א</w:t>
      </w:r>
      <w:r w:rsidRPr="0041053F">
        <w:rPr>
          <w:rFonts w:ascii="Narkisim" w:hAnsi="Narkisim"/>
          <w:rtl/>
        </w:rPr>
        <w:t xml:space="preserve"> (בסו"ד שם) די"ל דילפי' מגזיה"כ דיבמה שנתקדשה לא נפקע הזיקה [וכמ"ש </w:t>
      </w:r>
      <w:r w:rsidRPr="0041053F">
        <w:rPr>
          <w:rFonts w:ascii="Narkisim" w:hAnsi="Narkisim"/>
          <w:b/>
          <w:bCs/>
          <w:rtl/>
        </w:rPr>
        <w:t>תוס</w:t>
      </w:r>
      <w:r w:rsidRPr="0041053F">
        <w:rPr>
          <w:rFonts w:ascii="Narkisim" w:hAnsi="Narkisim"/>
          <w:rtl/>
        </w:rPr>
        <w:t>' טז. ד"ה בני]. [ועפ"ז י"ל דתליא במח' רב ושמואל שם, ע' לעיל בדברי האחרונים]. וה</w:t>
      </w:r>
      <w:r w:rsidRPr="0041053F">
        <w:rPr>
          <w:rFonts w:ascii="Narkisim" w:hAnsi="Narkisim"/>
          <w:b/>
          <w:bCs/>
          <w:rtl/>
        </w:rPr>
        <w:t>חזו"א</w:t>
      </w:r>
      <w:r w:rsidRPr="0041053F">
        <w:rPr>
          <w:rFonts w:ascii="Narkisim" w:hAnsi="Narkisim"/>
          <w:rtl/>
        </w:rPr>
        <w:t xml:space="preserve"> כת' דמסתבר דילפי' דוקא קידושי זר ולא קידושי אחיו.</w:t>
      </w:r>
    </w:p>
  </w:footnote>
  <w:footnote w:id="1960">
    <w:p w14:paraId="67DC9E9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[ולפ"ז חוזרת קושיית הגר"ח דהוה אשת ב' מתים]. וה</w:t>
      </w:r>
      <w:r w:rsidRPr="0041053F">
        <w:rPr>
          <w:rFonts w:ascii="Narkisim" w:hAnsi="Narkisim"/>
          <w:b/>
          <w:bCs/>
          <w:rtl/>
        </w:rPr>
        <w:t>אמר"מ</w:t>
      </w:r>
      <w:r w:rsidRPr="0041053F">
        <w:rPr>
          <w:rFonts w:ascii="Narkisim" w:hAnsi="Narkisim"/>
          <w:rtl/>
        </w:rPr>
        <w:t xml:space="preserve"> כתב דסברא זו לא מתיישב לדעת ה</w:t>
      </w:r>
      <w:r w:rsidRPr="0041053F">
        <w:rPr>
          <w:rFonts w:ascii="Narkisim" w:hAnsi="Narkisim"/>
          <w:b/>
          <w:bCs/>
          <w:rtl/>
        </w:rPr>
        <w:t>רשב"א</w:t>
      </w:r>
      <w:r w:rsidRPr="0041053F">
        <w:rPr>
          <w:rFonts w:ascii="Narkisim" w:hAnsi="Narkisim"/>
          <w:rtl/>
        </w:rPr>
        <w:t xml:space="preserve"> (מא.) דהותרה ונאסרה אינה חוזרת לזיקה. ועפ"ז כתב (ח ג) דסברת הגר"ח א"ש ע"פ דברי הרשב"א.</w:t>
      </w:r>
    </w:p>
  </w:footnote>
  <w:footnote w:id="1961">
    <w:p w14:paraId="15BC8CC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ודוקא היכא דמהני קידושי שמעון לאוסרה אלוי [שראובן קידש חוץ משמעון ולוי], דאי קדושי שמעון ל"מ אינה נאסרת.</w:t>
      </w:r>
    </w:p>
  </w:footnote>
  <w:footnote w:id="1962">
    <w:p w14:paraId="7D716F2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ה</w:t>
      </w:r>
      <w:r w:rsidRPr="0041053F">
        <w:rPr>
          <w:rFonts w:ascii="Narkisim" w:hAnsi="Narkisim"/>
          <w:b/>
          <w:bCs/>
          <w:rtl/>
        </w:rPr>
        <w:t>פוסקים</w:t>
      </w:r>
      <w:r w:rsidRPr="0041053F">
        <w:rPr>
          <w:rFonts w:ascii="Narkisim" w:hAnsi="Narkisim"/>
          <w:rtl/>
        </w:rPr>
        <w:t xml:space="preserve"> (ב"ח מד, וחלק"מ שם יג ובי"ש שם טז) נקטו דשפחה חרופה זקוקה ליבום וחליצה].</w:t>
      </w:r>
    </w:p>
  </w:footnote>
  <w:footnote w:id="1963">
    <w:p w14:paraId="03C31D1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וכן כת' </w:t>
      </w:r>
      <w:r w:rsidRPr="0041053F">
        <w:rPr>
          <w:rFonts w:ascii="Narkisim" w:hAnsi="Narkisim"/>
          <w:b/>
          <w:bCs/>
          <w:rtl/>
        </w:rPr>
        <w:t>תוס</w:t>
      </w:r>
      <w:r w:rsidRPr="0041053F">
        <w:rPr>
          <w:rFonts w:ascii="Narkisim" w:hAnsi="Narkisim"/>
          <w:rtl/>
        </w:rPr>
        <w:t>' (גיטין מג:) דמש"ה אילו משכח"ל בשפחה חרופה הוה מדאורייתא, אף למסקנת סוגיין. [אבל לתוס' דידן הוה מח' הסוגיות].</w:t>
      </w:r>
    </w:p>
  </w:footnote>
  <w:footnote w:id="1964">
    <w:p w14:paraId="6F3FCC0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קר"א</w:t>
      </w:r>
      <w:r w:rsidRPr="0041053F">
        <w:rPr>
          <w:rFonts w:ascii="Narkisim" w:hAnsi="Narkisim"/>
          <w:rtl/>
        </w:rPr>
        <w:t xml:space="preserve"> דמ"ד דסוגיין לא ס"ל הך אשת ב' מתים דפרק המגרש. וכיון דלא משכח"ל, ע"כ דלא דרשי' לקראי כן. [ויש שדנו דזה כוונת התוס' דידן, דלמסקנא דלא משכח"ל מדאורייתא. ע"כ דהוה אסמכתא בעלמא. אך תוס' כת' דסוגיא דהמגרש ס"ל כתנא דלקמן צו:, ומשמע דלתנא דסוגיין, אף אי משכח"ל אשת ב' מתים גבי חוץ אינו פוטר, דהוה אסמכתא].</w:t>
      </w:r>
    </w:p>
    <w:p w14:paraId="7D84009C" w14:textId="77777777" w:rsidR="006074A5" w:rsidRPr="0041053F" w:rsidRDefault="006074A5" w:rsidP="006074A5">
      <w:pPr>
        <w:pStyle w:val="Footnote"/>
        <w:bidi/>
        <w:rPr>
          <w:rFonts w:ascii="Narkisim" w:hAnsi="Narkisim"/>
        </w:rPr>
      </w:pPr>
      <w:r w:rsidRPr="0041053F">
        <w:rPr>
          <w:rFonts w:ascii="Narkisim" w:hAnsi="Narkisim"/>
          <w:rtl/>
        </w:rPr>
        <w:tab/>
        <w:t>ולכאורה זה כוונת התו"י (הנ"ל) דתלו זה בזה. אך יל"פ כוונת התו"י דלמ"ד דלא משכח"ל כלל אשת ב' מתים, אף אי יש מיעוט לאשת ב' מתים. מ"מ ל"ש לגזור אטו אי לא משכח"ל שיכשל בדאורייתא.</w:t>
      </w:r>
    </w:p>
  </w:footnote>
  <w:footnote w:id="1965">
    <w:p w14:paraId="4C18647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לרבנן דל"ל מקדש חוץ לפלוני, וס"ל כבי"ה דמאמר אינו קונה מדאורייתא. ורב ושמואל פליגי אר' יוחנן (קידושין ס.). אבל ה</w:t>
      </w:r>
      <w:r w:rsidRPr="0041053F">
        <w:rPr>
          <w:rFonts w:ascii="Narkisim" w:hAnsi="Narkisim"/>
          <w:b/>
          <w:bCs/>
          <w:rtl/>
        </w:rPr>
        <w:t>תוס' רא"ש</w:t>
      </w:r>
      <w:r w:rsidRPr="0041053F">
        <w:rPr>
          <w:rFonts w:ascii="Narkisim" w:hAnsi="Narkisim"/>
          <w:rtl/>
        </w:rPr>
        <w:t xml:space="preserve"> (גיטין פב:) כת' דרב ושמואל פליגי אר' יוחנן דלשון מעכשיו ולאחר ל' הוה תנאי או חזרה. אבל היכא דאמר להדיא בלשון שיור לכו"ע מהני, ומשכח"ל אשת ב' מתים לכו"ע.</w:t>
      </w:r>
    </w:p>
  </w:footnote>
  <w:footnote w:id="1966">
    <w:p w14:paraId="5ED33CE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ודלא כגמ' (גיטין מג: ופב:), והנך גמ' קאי כאידך תנא (לקמן צו:) דס"ל דהך דרשא הוה מדאורייתא.</w:t>
      </w:r>
    </w:p>
  </w:footnote>
  <w:footnote w:id="1967">
    <w:p w14:paraId="68D4B75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דה</w:t>
      </w:r>
      <w:r w:rsidRPr="0041053F">
        <w:rPr>
          <w:rFonts w:ascii="Narkisim" w:hAnsi="Narkisim"/>
          <w:b/>
          <w:bCs/>
          <w:rtl/>
        </w:rPr>
        <w:t>רמב"ם</w:t>
      </w:r>
      <w:r w:rsidRPr="0041053F">
        <w:rPr>
          <w:rFonts w:ascii="Narkisim" w:hAnsi="Narkisim"/>
          <w:rtl/>
        </w:rPr>
        <w:t xml:space="preserve"> (ו כז,כח) הביא דבעלת המאמר הוה כאילו אשת ב' מתים ודרשו 'ולא אשת ב' מתים', וחולצת. ולא ייבם צרתה משום גזירה שמא יאמרו ב' יבמות מבית א' וכו'. ולפיכך אסרו אף צרתה.  </w:t>
      </w:r>
    </w:p>
  </w:footnote>
  <w:footnote w:id="1968">
    <w:p w14:paraId="438B939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אבל </w:t>
      </w:r>
      <w:r w:rsidRPr="0041053F">
        <w:rPr>
          <w:rFonts w:ascii="Narkisim" w:hAnsi="Narkisim"/>
          <w:b/>
          <w:bCs/>
          <w:rtl/>
        </w:rPr>
        <w:t>הלח"מ</w:t>
      </w:r>
      <w:r w:rsidRPr="0041053F">
        <w:rPr>
          <w:rFonts w:ascii="Narkisim" w:hAnsi="Narkisim"/>
          <w:rtl/>
        </w:rPr>
        <w:t xml:space="preserve"> כתב דמש"כ הרמב"ם דיחלוץ לבעלת המאמר, וייבם לאידך. ה"ה איפכא [וכפשטות הגמ' דידן], אלא דהיא גריעא טפי שמחמתה בא הפסול. [ולכאו' כוונתו דהוה פסולה טפי, ויש דין לייבם הכשירה טפי. וצ"ב].</w:t>
      </w:r>
    </w:p>
  </w:footnote>
  <w:footnote w:id="1969">
    <w:p w14:paraId="5CAA377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מלא הרועים</w:t>
      </w:r>
      <w:r w:rsidRPr="0041053F">
        <w:rPr>
          <w:rFonts w:ascii="Narkisim" w:hAnsi="Narkisim"/>
          <w:rtl/>
        </w:rPr>
        <w:t xml:space="preserve"> ביאר דכיון דאשת ב' מתים דרבנן הוה כצרת שניות. ו</w:t>
      </w:r>
      <w:r w:rsidRPr="0041053F">
        <w:rPr>
          <w:rFonts w:ascii="Narkisim" w:hAnsi="Narkisim"/>
          <w:b/>
          <w:bCs/>
          <w:rtl/>
        </w:rPr>
        <w:t>חי' הגר"נ</w:t>
      </w:r>
      <w:r w:rsidRPr="0041053F">
        <w:rPr>
          <w:rFonts w:ascii="Narkisim" w:hAnsi="Narkisim"/>
          <w:rtl/>
        </w:rPr>
        <w:t xml:space="preserve"> כת' דמאמר הוה 'קנין' ולא 'אישות', ולכן אינו אשת ב' מתים. ולכן הרמב"ם דייק לשונו דהוה 'כאילו' אשת ב' מתים, [ויל"ד למ"ד דאורייתא].</w:t>
      </w:r>
    </w:p>
  </w:footnote>
  <w:footnote w:id="1970">
    <w:p w14:paraId="091F874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ה</w:t>
      </w:r>
      <w:r w:rsidRPr="0041053F">
        <w:rPr>
          <w:rFonts w:ascii="Narkisim" w:hAnsi="Narkisim"/>
          <w:b/>
          <w:bCs/>
          <w:rtl/>
        </w:rPr>
        <w:t>חזו"א</w:t>
      </w:r>
      <w:r w:rsidRPr="0041053F">
        <w:rPr>
          <w:rFonts w:ascii="Narkisim" w:hAnsi="Narkisim"/>
          <w:rtl/>
        </w:rPr>
        <w:t xml:space="preserve"> (קיא ח) חילק בין מיתה לגירושין.</w:t>
      </w:r>
    </w:p>
  </w:footnote>
  <w:footnote w:id="1971">
    <w:p w14:paraId="1994C87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והא דאי' בסוגיין דהותרה לאחים, היינו היכא דמת בעל המאמר [וכמו במשנה].</w:t>
      </w:r>
    </w:p>
  </w:footnote>
  <w:footnote w:id="1972">
    <w:p w14:paraId="7BDA6C3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 לקמן פרק ר"ג אי שרי לאחים אפי' בחייו].</w:t>
      </w:r>
    </w:p>
  </w:footnote>
  <w:footnote w:id="1973">
    <w:p w14:paraId="0577748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ואף לישנא בתרא ס"ל דהיא אסורה משום מחלפה. אך מבואר דיש ב' גדרים בגזירה אטו בעלת הגט, דלכל הלשונות היא עצמה אסורה לנותן הגט [שנעשית בה מעשה] דמי לבעלת הגט. ולל"ק מהני סברת מיחלפה לאסור אף לאחים וצרות [לדעת רש"י].</w:t>
      </w:r>
    </w:p>
  </w:footnote>
  <w:footnote w:id="1974">
    <w:p w14:paraId="52BDDEA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[ותאסר מחמת איסור אישות של החי, ואף לולי איסור לא יבנה וקלישות הזיקה].</w:t>
      </w:r>
    </w:p>
  </w:footnote>
  <w:footnote w:id="1975">
    <w:p w14:paraId="5914237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ע"י שאח א' חלץ, הותרו שאר האחים הותרו בקרובי הזקוקה. ועד"ז נתחדש דאף ע"י גט למאמר מהני להפקיע אישות המאמר.</w:t>
      </w:r>
    </w:p>
    <w:p w14:paraId="74A20BF5" w14:textId="77777777" w:rsidR="006074A5" w:rsidRPr="0041053F" w:rsidRDefault="006074A5" w:rsidP="006074A5">
      <w:pPr>
        <w:pStyle w:val="Footnote"/>
        <w:bidi/>
        <w:rPr>
          <w:rFonts w:ascii="Narkisim" w:hAnsi="Narkisim"/>
        </w:rPr>
      </w:pPr>
      <w:r w:rsidRPr="0041053F">
        <w:rPr>
          <w:rFonts w:ascii="Narkisim" w:hAnsi="Narkisim"/>
          <w:rtl/>
        </w:rPr>
        <w:tab/>
        <w:t xml:space="preserve">אך בסוגיין גבי מאמר הוה חידוש טפי, דלכאורה מאמר הוה גדר אישות. וכ"ש לדברי ר' נתנאל (בתו"י כט., לדעת בי"ש) דהוה מפרשת קידושין [והוה אישות בפנ"ע, ולא תלי בגדרי יבום וחליצה]. וי"ל דמ"מ לא תפס קידושין באשת אח, אלא דרך יבום [וכמ"ש רש"י לקמן נב.]. ואף מאמר דמהני, הוה כלפי דין יבום [אבל אילו אחיו מייבם, אין מקום למאמר].  </w:t>
      </w:r>
    </w:p>
  </w:footnote>
  <w:footnote w:id="1976">
    <w:p w14:paraId="07B1B3E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[ואף כלפי קידושין דמאמר].</w:t>
      </w:r>
    </w:p>
  </w:footnote>
  <w:footnote w:id="1977">
    <w:p w14:paraId="474EC4E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דאיצטריך דברי רב, דאי ממתני' דידן י"ל דדוקא אידחיא לגמרי. [ואי ממתני' דהתם הו"א דדוקא היכא דלא חזי בנפילה ראשונה אמרי' דנאסרה. קמ"ל רב דבכל אופן אמרי' דנאסרה].</w:t>
      </w:r>
    </w:p>
  </w:footnote>
  <w:footnote w:id="1978">
    <w:p w14:paraId="33E5EAE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בסוגיין לא הוזכר 'מיגו'. [וי"ל דהתם קאי בנפילה ראשונה ומש"ה צריך גדר 'מיגו' ועי"ז זקוקה לו לאחר זמן. ואילו הכא קאי אמתני' (ל.) דנפילה שניה. וכיון דלא נדחית כלפי אח זה פטורה. ואי"צ מיגו].</w:t>
      </w:r>
    </w:p>
  </w:footnote>
  <w:footnote w:id="1979">
    <w:p w14:paraId="16707C5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ה</w:t>
      </w:r>
      <w:r w:rsidRPr="0041053F">
        <w:rPr>
          <w:rFonts w:ascii="Narkisim" w:hAnsi="Narkisim"/>
          <w:b/>
          <w:bCs/>
          <w:rtl/>
        </w:rPr>
        <w:t>רשב"א</w:t>
      </w:r>
      <w:r w:rsidRPr="0041053F">
        <w:rPr>
          <w:rFonts w:ascii="Narkisim" w:hAnsi="Narkisim"/>
          <w:rtl/>
        </w:rPr>
        <w:t xml:space="preserve"> (דפוס ישן).</w:t>
      </w:r>
    </w:p>
  </w:footnote>
  <w:footnote w:id="1980">
    <w:p w14:paraId="745F4E8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(יג:) כת' דחשבי ליה כאילו אין כאן אשת אח לגבי הא מילתא.</w:t>
      </w:r>
    </w:p>
  </w:footnote>
  <w:footnote w:id="1981">
    <w:p w14:paraId="075475F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והיבום שייכא לאיסור אשת אח. וכ"כ ה</w:t>
      </w:r>
      <w:r w:rsidRPr="0041053F">
        <w:rPr>
          <w:rFonts w:ascii="Narkisim" w:hAnsi="Narkisim"/>
          <w:b/>
          <w:bCs/>
          <w:rtl/>
        </w:rPr>
        <w:t>או"ש</w:t>
      </w:r>
      <w:r w:rsidRPr="0041053F">
        <w:rPr>
          <w:rFonts w:ascii="Narkisim" w:hAnsi="Narkisim"/>
          <w:rtl/>
        </w:rPr>
        <w:t xml:space="preserve"> (סוף קו' זיקה, לפרש דברי הירושלמי דהאיסור בא מחמת גורם) דאיסור אשת אח מביא הזיקה, שמצוה לבנות בית אחיו. [וציין לדברי ה</w:t>
      </w:r>
      <w:r w:rsidRPr="0041053F">
        <w:rPr>
          <w:rFonts w:ascii="Narkisim" w:hAnsi="Narkisim"/>
          <w:b/>
          <w:bCs/>
          <w:rtl/>
        </w:rPr>
        <w:t>תוס</w:t>
      </w:r>
      <w:r w:rsidRPr="0041053F">
        <w:rPr>
          <w:rFonts w:ascii="Narkisim" w:hAnsi="Narkisim"/>
          <w:rtl/>
        </w:rPr>
        <w:t>' (לעיל ד.) דמצוותו בכך. אך ציינו דבדברי ה</w:t>
      </w:r>
      <w:r w:rsidRPr="0041053F">
        <w:rPr>
          <w:rFonts w:ascii="Narkisim" w:hAnsi="Narkisim"/>
          <w:b/>
          <w:bCs/>
          <w:rtl/>
        </w:rPr>
        <w:t>תוס</w:t>
      </w:r>
      <w:r w:rsidRPr="0041053F">
        <w:rPr>
          <w:rFonts w:ascii="Narkisim" w:hAnsi="Narkisim"/>
          <w:rtl/>
        </w:rPr>
        <w:t>' (לעיל ה:) משמע דכוונתו באופ"א].</w:t>
      </w:r>
    </w:p>
    <w:p w14:paraId="4E3E9EB5" w14:textId="77777777" w:rsidR="006074A5" w:rsidRPr="0041053F" w:rsidRDefault="006074A5" w:rsidP="006074A5">
      <w:pPr>
        <w:pStyle w:val="Footnote"/>
        <w:bidi/>
        <w:rPr>
          <w:rFonts w:ascii="Narkisim" w:hAnsi="Narkisim"/>
        </w:rPr>
      </w:pPr>
      <w:r w:rsidRPr="0041053F">
        <w:rPr>
          <w:rFonts w:ascii="Narkisim" w:hAnsi="Narkisim"/>
          <w:rtl/>
        </w:rPr>
        <w:tab/>
        <w:t>ויש שהביאו כן מה</w:t>
      </w:r>
      <w:r w:rsidRPr="0041053F">
        <w:rPr>
          <w:rFonts w:ascii="Narkisim" w:hAnsi="Narkisim"/>
          <w:b/>
          <w:bCs/>
          <w:rtl/>
        </w:rPr>
        <w:t>ספרי</w:t>
      </w:r>
      <w:r w:rsidRPr="0041053F">
        <w:rPr>
          <w:rFonts w:ascii="Narkisim" w:hAnsi="Narkisim"/>
          <w:rtl/>
        </w:rPr>
        <w:t xml:space="preserve"> (תצא רלג עה"פ גדילים תעשה לך, והו' בר' נסים גאון שבת קלג:) דאיסור אשת אח ומצוות יבום נאמרו בדיבור א'. [אך אין זה מוכח בדברי הספרי].</w:t>
      </w:r>
    </w:p>
  </w:footnote>
  <w:footnote w:id="1982">
    <w:p w14:paraId="535B6A0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דמ"מ נשאר איסור עריות כלפי כל העולם. וצ"ל דבעינן שיהא אישות כלפי יבם זה. [ועפ"ז אף המקדש חוץ מאחיו, כיון דליכא אישות כלפי אחיו ל"ש יבום. וע' אמר"מ (ט) שדן בזה, וע' רשב"א גיטין פב:].</w:t>
      </w:r>
    </w:p>
  </w:footnote>
  <w:footnote w:id="1983">
    <w:p w14:paraId="74FEA9E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ולא נתבאר בדבריהם דהא אף היכא דליכא שאר אחים פוטרת.</w:t>
      </w:r>
    </w:p>
  </w:footnote>
  <w:footnote w:id="1984">
    <w:p w14:paraId="68C9520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(קלד לדף יג) כתב דכיון דלא חל איסור בשעה שקידש, לא זהו אחות אשה שאסרה תורה.</w:t>
      </w:r>
    </w:p>
  </w:footnote>
  <w:footnote w:id="1985">
    <w:p w14:paraId="0E5C65C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והאחיעזר דן עוד אמאי אמרי 'הילכך לא פקע', ואף דיש גלגל, שאם הותר איסור אשת אח [בגדר הותרה] חל איסור אחות אשה. ומש"ה לא שייך היתר אשת אח, מ"מ מחמת כן נימא דהכא יהא היתר איסור אשת אח בגדר דחויה. ולא חל אחות אשה. והאחיעזר השיב דמ"מ שם אחות אשה מונע [וכשיטתו, ע' בסמוך].</w:t>
      </w:r>
    </w:p>
    <w:p w14:paraId="09B87216" w14:textId="77777777" w:rsidR="006074A5" w:rsidRPr="0041053F" w:rsidRDefault="006074A5" w:rsidP="006074A5">
      <w:pPr>
        <w:pStyle w:val="Footnote"/>
        <w:bidi/>
        <w:rPr>
          <w:rFonts w:ascii="Narkisim" w:hAnsi="Narkisim"/>
        </w:rPr>
      </w:pPr>
      <w:r w:rsidRPr="0041053F">
        <w:rPr>
          <w:rFonts w:ascii="Narkisim" w:hAnsi="Narkisim"/>
          <w:rtl/>
        </w:rPr>
        <w:tab/>
        <w:t>ועוד כת' דכיון דבעלמא גדר אשת אח ליבום הוה הותרה [דנעשית כאשתו לכל דבר], א"כ אין לומר דהכא שאני.</w:t>
      </w:r>
    </w:p>
  </w:footnote>
  <w:footnote w:id="1986">
    <w:p w14:paraId="03FD68B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וחל סיבת האיסור [וכ"כ </w:t>
      </w:r>
      <w:r w:rsidRPr="0041053F">
        <w:rPr>
          <w:rFonts w:ascii="Narkisim" w:hAnsi="Narkisim"/>
          <w:b/>
          <w:bCs/>
          <w:rtl/>
        </w:rPr>
        <w:t>חי' ר' שמעון</w:t>
      </w:r>
      <w:r w:rsidRPr="0041053F">
        <w:rPr>
          <w:rFonts w:ascii="Narkisim" w:hAnsi="Narkisim"/>
          <w:rtl/>
        </w:rPr>
        <w:t xml:space="preserve"> (ד) וה</w:t>
      </w:r>
      <w:r w:rsidRPr="0041053F">
        <w:rPr>
          <w:rFonts w:ascii="Narkisim" w:hAnsi="Narkisim"/>
          <w:b/>
          <w:bCs/>
          <w:rtl/>
        </w:rPr>
        <w:t>קובה"ע</w:t>
      </w:r>
      <w:r w:rsidRPr="0041053F">
        <w:rPr>
          <w:rFonts w:ascii="Narkisim" w:hAnsi="Narkisim"/>
          <w:rtl/>
        </w:rPr>
        <w:t xml:space="preserve"> (ג וד)] או חפצא דאיסורא (כן הביאו בשם </w:t>
      </w:r>
      <w:r w:rsidRPr="0041053F">
        <w:rPr>
          <w:rFonts w:ascii="Narkisim" w:hAnsi="Narkisim"/>
          <w:b/>
          <w:bCs/>
          <w:rtl/>
        </w:rPr>
        <w:t>ר' ב"ב</w:t>
      </w:r>
      <w:r w:rsidRPr="0041053F">
        <w:rPr>
          <w:rFonts w:ascii="Narkisim" w:hAnsi="Narkisim"/>
          <w:rtl/>
        </w:rPr>
        <w:t>), או צורת האיסור [כ"ה לשון ה</w:t>
      </w:r>
      <w:r w:rsidRPr="0041053F">
        <w:rPr>
          <w:rFonts w:ascii="Narkisim" w:hAnsi="Narkisim"/>
          <w:b/>
          <w:bCs/>
          <w:rtl/>
        </w:rPr>
        <w:t>חזו"א</w:t>
      </w:r>
      <w:r w:rsidRPr="0041053F">
        <w:rPr>
          <w:rFonts w:ascii="Narkisim" w:hAnsi="Narkisim"/>
          <w:rtl/>
        </w:rPr>
        <w:t xml:space="preserve"> (קלד לדף יג)].</w:t>
      </w:r>
    </w:p>
  </w:footnote>
  <w:footnote w:id="1987">
    <w:p w14:paraId="2BA7338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ועד"ז הק' ה</w:t>
      </w:r>
      <w:r w:rsidRPr="0041053F">
        <w:rPr>
          <w:rFonts w:ascii="Narkisim" w:hAnsi="Narkisim"/>
          <w:b/>
          <w:bCs/>
          <w:rtl/>
        </w:rPr>
        <w:t>אחרונים</w:t>
      </w:r>
      <w:r w:rsidRPr="0041053F">
        <w:rPr>
          <w:rFonts w:ascii="Narkisim" w:hAnsi="Narkisim"/>
          <w:rtl/>
        </w:rPr>
        <w:t xml:space="preserve"> על קו' הגמ' (לעיל ג:) דעשה דוחה ל"ת שיש בו כרת, ומש"ה תתייבם הערוה. [וכדמשמע בברייתא שם]. והא מ"מ הוה ערוה. וע' מש"כ לעיל שם. [ועד"ז דנו ה</w:t>
      </w:r>
      <w:r w:rsidRPr="0041053F">
        <w:rPr>
          <w:rFonts w:ascii="Narkisim" w:hAnsi="Narkisim"/>
          <w:b/>
          <w:bCs/>
          <w:rtl/>
        </w:rPr>
        <w:t>אחרונים</w:t>
      </w:r>
      <w:r w:rsidRPr="0041053F">
        <w:rPr>
          <w:rFonts w:ascii="Narkisim" w:hAnsi="Narkisim"/>
          <w:rtl/>
        </w:rPr>
        <w:t xml:space="preserve"> ליישב קו' ה</w:t>
      </w:r>
      <w:r w:rsidRPr="0041053F">
        <w:rPr>
          <w:rFonts w:ascii="Narkisim" w:hAnsi="Narkisim"/>
          <w:b/>
          <w:bCs/>
          <w:rtl/>
        </w:rPr>
        <w:t>תוס'</w:t>
      </w:r>
      <w:r w:rsidRPr="0041053F">
        <w:rPr>
          <w:rFonts w:ascii="Narkisim" w:hAnsi="Narkisim"/>
          <w:rtl/>
        </w:rPr>
        <w:t xml:space="preserve"> (ט. ד"ה והרי) דלדעת ר' עקיבא לא סגי עשה דוחה ל"ת, דכיון דחייבי לאוין כחייבי כריתות לא תפסי זיקה וקידושין. ועי"ש רמב"ן ושא"ר].</w:t>
      </w:r>
    </w:p>
  </w:footnote>
  <w:footnote w:id="1988">
    <w:p w14:paraId="4871D13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די"ל אשה הקנו לו מהשמים, וחלות הזיקה וקנין היבום ל"ב תפיסת קידושין. ועוד יל"ד דעשה דיבום דחי לאיסור זה [וכקושיית הגמ' ג: גבי עשה דוחה ל"ת ש"ב כרת]. ועוד דאף אם אינה ראויה להתייבם, מ"מ אין כאן 'פטור', ותיבעי חליצה [אבל משמע בגמ' דתתייבם].</w:t>
      </w:r>
    </w:p>
  </w:footnote>
  <w:footnote w:id="1989">
    <w:p w14:paraId="5172E8E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 דכ"כ רש"י דאיסור אחות אשה מונע שלא יתפוס זיקה, ופוטרת צרתה. ודלא כתוס' (ע' בסמוך).</w:t>
      </w:r>
    </w:p>
  </w:footnote>
  <w:footnote w:id="1990">
    <w:p w14:paraId="405E47F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וצ"ע לפ"ז הדר קושיות האחיעזר, דמשכחת לה אשת אב מקודשת לאחיו וכו'.</w:t>
      </w:r>
    </w:p>
  </w:footnote>
  <w:footnote w:id="1991">
    <w:p w14:paraId="7BFC1C0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ויל"ד בדבר זה, מה גדר 'חפצא דאיסורא' [וע' בסמוך] שלא חל האיסור, אבל יש פרשת 'דחייה' להתירו. אבל ב</w:t>
      </w:r>
      <w:r w:rsidRPr="0041053F">
        <w:rPr>
          <w:rFonts w:ascii="Narkisim" w:hAnsi="Narkisim"/>
          <w:b/>
          <w:bCs/>
          <w:rtl/>
        </w:rPr>
        <w:t>פרמ"ג</w:t>
      </w:r>
      <w:r w:rsidRPr="0041053F">
        <w:rPr>
          <w:rFonts w:ascii="Narkisim" w:hAnsi="Narkisim"/>
          <w:rtl/>
        </w:rPr>
        <w:t xml:space="preserve"> (כללי אאחע"א [אחרי יו"ד קיא] ד"ה תשובה) כת' דבאיסור לאו ועשה היכא דלא חל הלאו משום אאחע"א, מ"מ אינה מתייבמת דחל איסור לענין לקוברו [ויש בו חומרת לאו ועשה דלא נדחה מפני עשה]. [וכתב שם עוד דאם יפקע יחול איסור הלאו, הילכך לא פקע, וצ"ב דהעשה דוחה את העשה ואת הלאו כל א' בפנ"ע].</w:t>
      </w:r>
    </w:p>
  </w:footnote>
  <w:footnote w:id="1992">
    <w:p w14:paraId="11CC536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בשיע' ר' שמואל הק' דל"מ דין זה בשום מקום.</w:t>
      </w:r>
    </w:p>
  </w:footnote>
  <w:footnote w:id="1993">
    <w:p w14:paraId="66A91B1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[ונחשב ערוה כלפי מצב היבום, או סגי דדין ערוה מונע ממנה דין יבום].</w:t>
      </w:r>
    </w:p>
  </w:footnote>
  <w:footnote w:id="1994">
    <w:p w14:paraId="00813EC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ריטב"א</w:t>
      </w:r>
      <w:r w:rsidRPr="0041053F">
        <w:rPr>
          <w:rFonts w:ascii="Narkisim" w:hAnsi="Narkisim"/>
          <w:rtl/>
        </w:rPr>
        <w:t xml:space="preserve"> (יג:) בדעת בי"ש ועי"ש ב</w:t>
      </w:r>
      <w:r w:rsidRPr="0041053F">
        <w:rPr>
          <w:rFonts w:ascii="Narkisim" w:hAnsi="Narkisim"/>
          <w:b/>
          <w:bCs/>
          <w:rtl/>
        </w:rPr>
        <w:t>רש"ש</w:t>
      </w:r>
      <w:r w:rsidRPr="0041053F">
        <w:rPr>
          <w:rFonts w:ascii="Narkisim" w:hAnsi="Narkisim"/>
          <w:rtl/>
        </w:rPr>
        <w:t>. [וע"ע לעיל יב.]. וה</w:t>
      </w:r>
      <w:r w:rsidRPr="0041053F">
        <w:rPr>
          <w:rFonts w:ascii="Narkisim" w:hAnsi="Narkisim"/>
          <w:b/>
          <w:bCs/>
          <w:rtl/>
        </w:rPr>
        <w:t>אחרונים</w:t>
      </w:r>
      <w:r w:rsidRPr="0041053F">
        <w:rPr>
          <w:rFonts w:ascii="Narkisim" w:hAnsi="Narkisim"/>
          <w:rtl/>
        </w:rPr>
        <w:t xml:space="preserve"> ביארו כן בקו' ה</w:t>
      </w:r>
      <w:r w:rsidRPr="0041053F">
        <w:rPr>
          <w:rFonts w:ascii="Narkisim" w:hAnsi="Narkisim"/>
          <w:b/>
          <w:bCs/>
          <w:rtl/>
        </w:rPr>
        <w:t>ירושלמי</w:t>
      </w:r>
      <w:r w:rsidRPr="0041053F">
        <w:rPr>
          <w:rFonts w:ascii="Narkisim" w:hAnsi="Narkisim"/>
          <w:rtl/>
        </w:rPr>
        <w:t xml:space="preserve"> (הו' ברמב"ן יב:). וע"ע </w:t>
      </w:r>
      <w:r w:rsidRPr="0041053F">
        <w:rPr>
          <w:rFonts w:ascii="Narkisim" w:hAnsi="Narkisim"/>
          <w:b/>
          <w:bCs/>
          <w:rtl/>
        </w:rPr>
        <w:t>תוס' הרא"ש</w:t>
      </w:r>
      <w:r w:rsidRPr="0041053F">
        <w:rPr>
          <w:rFonts w:ascii="Narkisim" w:hAnsi="Narkisim"/>
          <w:rtl/>
        </w:rPr>
        <w:t xml:space="preserve"> (לעיל ג:).</w:t>
      </w:r>
    </w:p>
  </w:footnote>
  <w:footnote w:id="1995">
    <w:p w14:paraId="7952816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אלא איסור כולל, שנאסרת לכל העולם. ותוס' (בע"ב) הביאו צד דלא נחשב איסור כולל, ד'שם איסור' אשת איש ל"מ לאיסור חמותו.</w:t>
      </w:r>
    </w:p>
  </w:footnote>
  <w:footnote w:id="1996">
    <w:p w14:paraId="6D3B4B3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ועד"ז דעת </w:t>
      </w:r>
      <w:r w:rsidRPr="0041053F">
        <w:rPr>
          <w:rFonts w:ascii="Narkisim" w:hAnsi="Narkisim"/>
          <w:b/>
          <w:bCs/>
          <w:rtl/>
        </w:rPr>
        <w:t>רש"י</w:t>
      </w:r>
      <w:r w:rsidRPr="0041053F">
        <w:rPr>
          <w:rFonts w:ascii="Narkisim" w:hAnsi="Narkisim"/>
          <w:rtl/>
        </w:rPr>
        <w:t xml:space="preserve"> (חולין קא:) דשבת נחשב איסור מוסיף על יוה"כ, דנוסף איסור סקילה. וה</w:t>
      </w:r>
      <w:r w:rsidRPr="0041053F">
        <w:rPr>
          <w:rFonts w:ascii="Narkisim" w:hAnsi="Narkisim"/>
          <w:b/>
          <w:bCs/>
          <w:rtl/>
        </w:rPr>
        <w:t>שעה"מ</w:t>
      </w:r>
      <w:r w:rsidRPr="0041053F">
        <w:rPr>
          <w:rFonts w:ascii="Narkisim" w:hAnsi="Narkisim"/>
          <w:rtl/>
        </w:rPr>
        <w:t xml:space="preserve"> (איסו"ב יז) הק' דמדברי</w:t>
      </w:r>
      <w:r w:rsidRPr="0041053F">
        <w:rPr>
          <w:rFonts w:ascii="Narkisim" w:hAnsi="Narkisim"/>
          <w:b/>
          <w:bCs/>
          <w:rtl/>
        </w:rPr>
        <w:t xml:space="preserve"> רש"י</w:t>
      </w:r>
      <w:r w:rsidRPr="0041053F">
        <w:rPr>
          <w:rFonts w:ascii="Narkisim" w:hAnsi="Narkisim"/>
          <w:rtl/>
        </w:rPr>
        <w:t xml:space="preserve"> (לד. ד"ה אם) דאיסור שבת לא הוה מוסיף [והוצרך לפרש משום דהוה בבת א'].</w:t>
      </w:r>
    </w:p>
  </w:footnote>
  <w:footnote w:id="1997">
    <w:p w14:paraId="16C0AF6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רש"י</w:t>
      </w:r>
      <w:r w:rsidRPr="0041053F">
        <w:rPr>
          <w:rFonts w:ascii="Narkisim" w:hAnsi="Narkisim"/>
          <w:rtl/>
        </w:rPr>
        <w:t xml:space="preserve"> הביא דאמרי' בסוגיין דמודה ר' יוסי באיסור מוסיף, ואף דלית ליה איסור חל על איסור באיסור כולל, מהני איסור מוסיף.</w:t>
      </w:r>
    </w:p>
  </w:footnote>
  <w:footnote w:id="1998">
    <w:p w14:paraId="7916E8F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ומבואר ב</w:t>
      </w:r>
      <w:r w:rsidRPr="0041053F">
        <w:rPr>
          <w:rFonts w:ascii="Narkisim" w:hAnsi="Narkisim"/>
          <w:b/>
          <w:bCs/>
          <w:rtl/>
        </w:rPr>
        <w:t>רש"י</w:t>
      </w:r>
      <w:r w:rsidRPr="0041053F">
        <w:rPr>
          <w:rFonts w:ascii="Narkisim" w:hAnsi="Narkisim"/>
          <w:rtl/>
        </w:rPr>
        <w:t xml:space="preserve"> (שם) דאף תוספת איסור הנאה נחשב איסור מוסיף. ו</w:t>
      </w:r>
      <w:r w:rsidRPr="0041053F">
        <w:rPr>
          <w:rFonts w:ascii="Narkisim" w:hAnsi="Narkisim"/>
          <w:b/>
          <w:bCs/>
          <w:rtl/>
        </w:rPr>
        <w:t>תוס</w:t>
      </w:r>
      <w:r w:rsidRPr="0041053F">
        <w:rPr>
          <w:rFonts w:ascii="Narkisim" w:hAnsi="Narkisim"/>
          <w:rtl/>
        </w:rPr>
        <w:t>' (שם) הביאו מהגמ' (כריתות יד.) דאיסור הנאה נחשב איסור כולל. [וע"ע לקמן לד.].</w:t>
      </w:r>
    </w:p>
  </w:footnote>
  <w:footnote w:id="1999">
    <w:p w14:paraId="7EF391E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כגון חלב של קדש אסור לאכול [משום איסור חלב] ומותר לגבוה למזבח, וכשנעשה נותר מוסיף עליו איסור שנפסל להקרבה. ומתוך שחל 'שם נותר' לאוסרה על המזבח [שמעיקרא היתה מותרת למזבח], ואין איסור הראשון מעכב על ידו מלחול. חל עליה נמי איסור שם נותר אצל כל אדם האוכלו להתחייב עליו משום חלב ומשום נותר, אע"פ שיש כאן איסור חל על איסור.</w:t>
      </w:r>
    </w:p>
  </w:footnote>
  <w:footnote w:id="2000">
    <w:p w14:paraId="6130829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כגון נבילה ביוה"כ, דכבר אסורה באכילה משום נבילה, ואף יוה"כ לא בא לאוסרה אלא באכילה. נמצא שלא הוסיף עליה איסור אחרון כלום, אבל ריבה איסורה על האדם לאוסרו בכל אוכלין שבעולם. ואמרינן מיגו דחל יוה"כ על האדם ליאסר בשאר אוכלים משום יוה"כ, כולל נמי את הנבילה עמה להתחייב משום יוה"כ.</w:t>
      </w:r>
    </w:p>
  </w:footnote>
  <w:footnote w:id="2001">
    <w:p w14:paraId="1D0F901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[וקאי התם בהא דאין שבועה חל על דבר האסור, ונח' אי ע"י כולל ומוסיף חל. ו</w:t>
      </w:r>
      <w:r w:rsidRPr="0041053F">
        <w:rPr>
          <w:rFonts w:ascii="Narkisim" w:hAnsi="Narkisim"/>
          <w:b/>
          <w:bCs/>
          <w:rtl/>
        </w:rPr>
        <w:t>רש"י</w:t>
      </w:r>
      <w:r w:rsidRPr="0041053F">
        <w:rPr>
          <w:rFonts w:ascii="Narkisim" w:hAnsi="Narkisim"/>
          <w:rtl/>
        </w:rPr>
        <w:t xml:space="preserve"> (שם) הביא מסוגיין, ומבואר דשייך לנידון דסוגיין דאין איסור חל על איסור].</w:t>
      </w:r>
    </w:p>
  </w:footnote>
  <w:footnote w:id="2002">
    <w:p w14:paraId="791767A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וצריך לגרוס בדבריו לחייבה ב'.</w:t>
      </w:r>
    </w:p>
  </w:footnote>
  <w:footnote w:id="2003">
    <w:p w14:paraId="11F0F67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שו"ת הרמ"ע מפאנו</w:t>
      </w:r>
      <w:r w:rsidRPr="0041053F">
        <w:rPr>
          <w:rFonts w:ascii="Narkisim" w:hAnsi="Narkisim"/>
          <w:rtl/>
        </w:rPr>
        <w:t xml:space="preserve"> (קכג) הביא כן בשם רבו ר' ישמעאל חנינא שבכל אסורי עריות שהכולל לאיש מוסיף לאשה והכולל לאשה מוסיף לאיש. והרמ"ע העיר דבמשנה (כריתות י:) אי' בכל העריות א' האיש וא' האשה שווין.</w:t>
      </w:r>
    </w:p>
  </w:footnote>
  <w:footnote w:id="2004">
    <w:p w14:paraId="642D24D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בפשוטו יש שדנו דגדר פטור ערוה לדין יבום תלי בהא דהוה איסור כלפיה.</w:t>
      </w:r>
    </w:p>
  </w:footnote>
  <w:footnote w:id="2005">
    <w:p w14:paraId="32EB9A4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צ"ע דכשהאיש קטן, ולא חל עליו איסור. ואפ"ה האשה אסורה. [וכן כשהאיש הביא ב' שערות חלו עליו כל האיסורין בבת א', וכי נימא דחל אף כלפי האשה, אף דהאשה היתה מוזהרת מעיקרא]. והחזו"א (שם טז) עמד בזה.</w:t>
      </w:r>
    </w:p>
  </w:footnote>
  <w:footnote w:id="2006">
    <w:p w14:paraId="138B9DB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לתי' הגמ' עכ"פ חל לקוברו בין רשעים.</w:t>
      </w:r>
    </w:p>
  </w:footnote>
  <w:footnote w:id="2007">
    <w:p w14:paraId="6E2F621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ועד"ז נח' ה</w:t>
      </w:r>
      <w:r w:rsidRPr="0041053F">
        <w:rPr>
          <w:rFonts w:ascii="Narkisim" w:hAnsi="Narkisim"/>
          <w:b/>
          <w:bCs/>
          <w:rtl/>
        </w:rPr>
        <w:t>רמב"ם</w:t>
      </w:r>
      <w:r w:rsidRPr="0041053F">
        <w:rPr>
          <w:rFonts w:ascii="Narkisim" w:hAnsi="Narkisim"/>
          <w:rtl/>
        </w:rPr>
        <w:t xml:space="preserve"> וה</w:t>
      </w:r>
      <w:r w:rsidRPr="0041053F">
        <w:rPr>
          <w:rFonts w:ascii="Narkisim" w:hAnsi="Narkisim"/>
          <w:b/>
          <w:bCs/>
          <w:rtl/>
        </w:rPr>
        <w:t>ראב"ד</w:t>
      </w:r>
      <w:r w:rsidRPr="0041053F">
        <w:rPr>
          <w:rFonts w:ascii="Narkisim" w:hAnsi="Narkisim"/>
          <w:rtl/>
        </w:rPr>
        <w:t xml:space="preserve"> (שבועות ד י) הנשבע שלא יאכל ככר זו היום, וחזר ונשבע שלא יאכלנו עולמית. דהראב"ד נקט דהוה איסור מוסיף, שהרי אוסר אותה לעולם. ואילו דעת הרמב"ם דכיון דבשעה זו לא חל על דבר נוסף לא הוה איסור מוסיף. [וה</w:t>
      </w:r>
      <w:r w:rsidRPr="0041053F">
        <w:rPr>
          <w:rFonts w:ascii="Narkisim" w:hAnsi="Narkisim"/>
          <w:b/>
          <w:bCs/>
          <w:rtl/>
        </w:rPr>
        <w:t>מחנ"א</w:t>
      </w:r>
      <w:r w:rsidRPr="0041053F">
        <w:rPr>
          <w:rFonts w:ascii="Narkisim" w:hAnsi="Narkisim"/>
          <w:rtl/>
        </w:rPr>
        <w:t xml:space="preserve"> (שם) ביאר דלא מצאה שבועה מקום לחול]. והמפרשים דנו דאף יוה"כ ונבילה [בנתנבלה ביוה"כ], איסור נבילה מוסיף לזמן שאחרי יוה"כ.</w:t>
      </w:r>
    </w:p>
  </w:footnote>
  <w:footnote w:id="2008">
    <w:p w14:paraId="2AD2943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כס"מ</w:t>
      </w:r>
      <w:r w:rsidRPr="0041053F">
        <w:rPr>
          <w:rFonts w:ascii="Narkisim" w:hAnsi="Narkisim"/>
          <w:rtl/>
        </w:rPr>
        <w:t xml:space="preserve"> העתיק 'כגון דאיכא'. וה</w:t>
      </w:r>
      <w:r w:rsidRPr="0041053F">
        <w:rPr>
          <w:rFonts w:ascii="Narkisim" w:hAnsi="Narkisim"/>
          <w:b/>
          <w:bCs/>
          <w:rtl/>
        </w:rPr>
        <w:t>חזו"א</w:t>
      </w:r>
      <w:r w:rsidRPr="0041053F">
        <w:rPr>
          <w:rFonts w:ascii="Narkisim" w:hAnsi="Narkisim"/>
          <w:rtl/>
        </w:rPr>
        <w:t xml:space="preserve"> (קלד יב) דחה דהגמ' מפרשת ע"י מי יחשב מוסיף [ולאו דוקא כשחל בפועל].</w:t>
      </w:r>
    </w:p>
  </w:footnote>
  <w:footnote w:id="2009">
    <w:p w14:paraId="6B8D2B6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שי' ר' שמואל</w:t>
      </w:r>
      <w:r w:rsidRPr="0041053F">
        <w:rPr>
          <w:rFonts w:ascii="Narkisim" w:hAnsi="Narkisim"/>
          <w:rtl/>
        </w:rPr>
        <w:t xml:space="preserve"> הביא עוד מה</w:t>
      </w:r>
      <w:r w:rsidRPr="0041053F">
        <w:rPr>
          <w:rFonts w:ascii="Narkisim" w:hAnsi="Narkisim"/>
          <w:b/>
          <w:bCs/>
          <w:rtl/>
        </w:rPr>
        <w:t>ריטב"א</w:t>
      </w:r>
      <w:r w:rsidRPr="0041053F">
        <w:rPr>
          <w:rFonts w:ascii="Narkisim" w:hAnsi="Narkisim"/>
          <w:rtl/>
        </w:rPr>
        <w:t xml:space="preserve"> (לעיל יג:) דאע"ג דאאחע"א, ס"ל לבית הלל איסור מוסיף דחל איסור כלפי האחים, ומש"ה פוטרת צרתה. ופוטרת אף במקום שאין אחים.</w:t>
      </w:r>
    </w:p>
  </w:footnote>
  <w:footnote w:id="2010">
    <w:p w14:paraId="21C68F9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דכולל בעי 'מיגו' משא"כ מוסיף. ועוד יל"פ דאיסור כולל הוא ע"י שחל על חתיכה נוספת [ובעי לחול], משא"כ מוסיף הוא צד חמור, וה"נ יש צד חומר.</w:t>
      </w:r>
    </w:p>
  </w:footnote>
  <w:footnote w:id="2011">
    <w:p w14:paraId="598076A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דבאיסור מוסיף לא בעינן שם א', וכמ"ש תוס' סוד"ה איסור.</w:t>
      </w:r>
    </w:p>
  </w:footnote>
  <w:footnote w:id="2012">
    <w:p w14:paraId="30544E0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והשיטמ"ק קאי אסוגיא דהתם, ונקט אשת אב. [ועד"ז בסוגיין אשת אח].</w:t>
      </w:r>
    </w:p>
  </w:footnote>
  <w:footnote w:id="2013">
    <w:p w14:paraId="2D42B50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והביאו דכיון דאיסורו קל לא חשיב למהוי מוסיף וצ"ב. ויל"פ דבלאו הכי נאסרת עכשיו משום אשת איש, אף עליו [אלא דהוה אשת אב בב"א, ובזה אמרי' דל"מ האיסור מוסיף להוסיף ב' איסורים, ורק לאחר מיתת בעלה יחשב יחול, ואז ליכא מוסיף].</w:t>
      </w:r>
    </w:p>
  </w:footnote>
  <w:footnote w:id="2014">
    <w:p w14:paraId="73273D0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חזו"א</w:t>
      </w:r>
      <w:r w:rsidRPr="0041053F">
        <w:rPr>
          <w:rFonts w:ascii="Narkisim" w:hAnsi="Narkisim"/>
          <w:rtl/>
        </w:rPr>
        <w:t xml:space="preserve"> (ב) הביא דלא נחשב כולל במה דאוסר את אשתו על קרובותיו, ול"מ זה לענין להחשב מוסיף על הנאסרת.</w:t>
      </w:r>
    </w:p>
  </w:footnote>
  <w:footnote w:id="2015">
    <w:p w14:paraId="435E43C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דנו בכ"מ חילוקים בין איסור מוסיף לאיסור כולל [ע' בהמשך]. אבל בגמ' (שבועות כד: הנ"ל, והו' בתוס' לג. סוד"ה בר קפרא) מבואר דשייכי אהדדי, דאי' מ"ט דמ"ד איסור כולל, מידי דהוה אאיסור מוסיף. וצ"ע.</w:t>
      </w:r>
    </w:p>
  </w:footnote>
  <w:footnote w:id="2016">
    <w:p w14:paraId="125B600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 מזה אף לענין הואיל ואישתרי (לעיל ז:), דאף דהוה בב' שמות, דוקא בעריות דנחשב שם א'].</w:t>
      </w:r>
    </w:p>
  </w:footnote>
  <w:footnote w:id="2017">
    <w:p w14:paraId="568060A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דוכי מזיד בלא התראה גרע מהא דלא חל איסור שיש בו עונש על איסור שאין בו עונש. [אבל יל"ד בשוגג או אונס על איסור הא' ומזיד על הב' האם חל. ולדברי המהרש"ל (לג.) אפי' היכא דדחויה לא חל].</w:t>
      </w:r>
    </w:p>
  </w:footnote>
  <w:footnote w:id="2018">
    <w:p w14:paraId="160904F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וכמה </w:t>
      </w:r>
      <w:r w:rsidRPr="0041053F">
        <w:rPr>
          <w:rFonts w:ascii="Narkisim" w:hAnsi="Narkisim"/>
          <w:b/>
          <w:bCs/>
          <w:rtl/>
        </w:rPr>
        <w:t>ראשונים</w:t>
      </w:r>
      <w:r w:rsidRPr="0041053F">
        <w:rPr>
          <w:rFonts w:ascii="Narkisim" w:hAnsi="Narkisim"/>
          <w:rtl/>
        </w:rPr>
        <w:t xml:space="preserve"> העתיקו 'חמורים', וע' תוס' (ד"ה בין).</w:t>
      </w:r>
    </w:p>
  </w:footnote>
  <w:footnote w:id="2019">
    <w:p w14:paraId="731156B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ריטב"א</w:t>
      </w:r>
      <w:r w:rsidRPr="0041053F">
        <w:rPr>
          <w:rFonts w:ascii="Narkisim" w:hAnsi="Narkisim"/>
          <w:rtl/>
        </w:rPr>
        <w:t xml:space="preserve">, אבל הביא בשם </w:t>
      </w:r>
      <w:r w:rsidRPr="0041053F">
        <w:rPr>
          <w:rFonts w:ascii="Narkisim" w:hAnsi="Narkisim"/>
          <w:b/>
          <w:bCs/>
          <w:rtl/>
        </w:rPr>
        <w:t>מורי הר"ם</w:t>
      </w:r>
      <w:r w:rsidRPr="0041053F">
        <w:rPr>
          <w:rFonts w:ascii="Narkisim" w:hAnsi="Narkisim"/>
          <w:rtl/>
        </w:rPr>
        <w:t xml:space="preserve"> דר' שמעון לא פליג אלא לענין חטאות [וצ"ב].</w:t>
      </w:r>
    </w:p>
  </w:footnote>
  <w:footnote w:id="2020">
    <w:p w14:paraId="7B37BD0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הוא לשון ה</w:t>
      </w:r>
      <w:r w:rsidRPr="0041053F">
        <w:rPr>
          <w:rFonts w:ascii="Narkisim" w:hAnsi="Narkisim"/>
          <w:b/>
          <w:bCs/>
          <w:rtl/>
        </w:rPr>
        <w:t xml:space="preserve">רמב"ן </w:t>
      </w:r>
      <w:r w:rsidRPr="0041053F">
        <w:rPr>
          <w:rFonts w:ascii="Narkisim" w:hAnsi="Narkisim"/>
          <w:rtl/>
        </w:rPr>
        <w:t>(לג.) דחל לעונשין [אבל י"ל דלאו דוקא, ולאפוקי מדין רשעים גמורים].</w:t>
      </w:r>
    </w:p>
  </w:footnote>
  <w:footnote w:id="2021">
    <w:p w14:paraId="245AE78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וכת' דנפק"מ לדין איסורין מבטלין זא"ז [וציין מש"כ יו"ד צח]. דנחשב דבר האסור כיון דב' איסורין רביע עליה, וכדאי' לקוברו בין רשעים גמורים.</w:t>
      </w:r>
    </w:p>
  </w:footnote>
  <w:footnote w:id="2022">
    <w:p w14:paraId="4E71960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אבנ"מ</w:t>
      </w:r>
      <w:r w:rsidRPr="0041053F">
        <w:rPr>
          <w:rFonts w:ascii="Narkisim" w:hAnsi="Narkisim"/>
          <w:rtl/>
        </w:rPr>
        <w:t xml:space="preserve"> ושאר אחרונים דנו דדעת הש"ך דשבועה הוא דין בפנ"ע, ולא אמרי' בזה מיתלא תליא וקאי. ולא שייך לסוגיין.</w:t>
      </w:r>
    </w:p>
  </w:footnote>
  <w:footnote w:id="2023">
    <w:p w14:paraId="7695CF9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דגרע מאיסור עשה. וע"ע תוס' (לג. ד"ה אלא).</w:t>
      </w:r>
    </w:p>
  </w:footnote>
  <w:footnote w:id="2024">
    <w:p w14:paraId="6C4A3C3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אחרונים</w:t>
      </w:r>
      <w:r w:rsidRPr="0041053F">
        <w:rPr>
          <w:rFonts w:ascii="Narkisim" w:hAnsi="Narkisim"/>
          <w:rtl/>
        </w:rPr>
        <w:t xml:space="preserve"> הביאו מדברי ה</w:t>
      </w:r>
      <w:r w:rsidRPr="0041053F">
        <w:rPr>
          <w:rFonts w:ascii="Narkisim" w:hAnsi="Narkisim"/>
          <w:b/>
          <w:bCs/>
          <w:rtl/>
        </w:rPr>
        <w:t xml:space="preserve">צמח צדק </w:t>
      </w:r>
      <w:r w:rsidRPr="0041053F">
        <w:rPr>
          <w:rFonts w:ascii="Narkisim" w:hAnsi="Narkisim"/>
          <w:rtl/>
        </w:rPr>
        <w:t>(סט) דדן בביצת טריפה שנולדה ביו"ט, האם חל איסור 'נולד' [מוקצה] אאיסור טריפה, ונפק"מ להחשב דבר שיש לו מתירים ולא יתבטל ברוב. ו</w:t>
      </w:r>
      <w:r w:rsidRPr="0041053F">
        <w:rPr>
          <w:rFonts w:ascii="Narkisim" w:hAnsi="Narkisim"/>
          <w:b/>
          <w:bCs/>
          <w:rtl/>
        </w:rPr>
        <w:t>רע"א</w:t>
      </w:r>
      <w:r w:rsidRPr="0041053F">
        <w:rPr>
          <w:rFonts w:ascii="Narkisim" w:hAnsi="Narkisim"/>
          <w:rtl/>
        </w:rPr>
        <w:t xml:space="preserve"> (ת' קטז) דן דמ"מ ע"י ביטול ברוב נתבטל איסור טריפה, ואשכח רווחא לאיסור נולד. וכת' דא"כ נולד האיסור בתערובת, ודבר שיש לו מתירין שנולד בתערובת בטל. [ורע"א כתב דנולד לא נחשב איסור מוסיף במה שאוסר אף כשיתבטל, דמחוסר מעשה].</w:t>
      </w:r>
    </w:p>
    <w:p w14:paraId="76F4A16E" w14:textId="77777777" w:rsidR="006074A5" w:rsidRPr="0041053F" w:rsidRDefault="006074A5" w:rsidP="006074A5">
      <w:pPr>
        <w:pStyle w:val="Footnote"/>
        <w:bidi/>
        <w:rPr>
          <w:rFonts w:ascii="Narkisim" w:hAnsi="Narkisim"/>
        </w:rPr>
      </w:pPr>
      <w:r w:rsidRPr="0041053F">
        <w:rPr>
          <w:rFonts w:ascii="Narkisim" w:hAnsi="Narkisim"/>
          <w:rtl/>
        </w:rPr>
        <w:tab/>
        <w:t>אבל ה</w:t>
      </w:r>
      <w:r w:rsidRPr="0041053F">
        <w:rPr>
          <w:rFonts w:ascii="Narkisim" w:hAnsi="Narkisim"/>
          <w:b/>
          <w:bCs/>
          <w:rtl/>
        </w:rPr>
        <w:t>פרמ"ג</w:t>
      </w:r>
      <w:r w:rsidRPr="0041053F">
        <w:rPr>
          <w:rFonts w:ascii="Narkisim" w:hAnsi="Narkisim"/>
          <w:rtl/>
        </w:rPr>
        <w:t xml:space="preserve"> (קב מ"ז ז) כתב דדין הצמח צדק תליא אי קיי"ל לקוברו בין רשעים גמורים, ואף דלא חל לענין עונש וקרבן, מ"מ איסורא מיהא אית ביה. [ויל"ד לדברי האחרונים האם מותר לאכול 'דבר המתועב' כשנתבטל אלא דיש לו מתירין].</w:t>
      </w:r>
    </w:p>
    <w:p w14:paraId="21E1F39F" w14:textId="77777777" w:rsidR="006074A5" w:rsidRPr="0041053F" w:rsidRDefault="006074A5" w:rsidP="006074A5">
      <w:pPr>
        <w:pStyle w:val="Footnote"/>
        <w:bidi/>
        <w:rPr>
          <w:rFonts w:ascii="Narkisim" w:hAnsi="Narkisim"/>
        </w:rPr>
      </w:pPr>
      <w:r w:rsidRPr="0041053F">
        <w:rPr>
          <w:rFonts w:ascii="Narkisim" w:hAnsi="Narkisim"/>
          <w:rtl/>
        </w:rPr>
        <w:tab/>
        <w:t>[וה</w:t>
      </w:r>
      <w:r w:rsidRPr="0041053F">
        <w:rPr>
          <w:rFonts w:ascii="Narkisim" w:hAnsi="Narkisim"/>
          <w:b/>
          <w:bCs/>
          <w:rtl/>
        </w:rPr>
        <w:t>צ"צ</w:t>
      </w:r>
      <w:r w:rsidRPr="0041053F">
        <w:rPr>
          <w:rFonts w:ascii="Narkisim" w:hAnsi="Narkisim"/>
          <w:rtl/>
        </w:rPr>
        <w:t xml:space="preserve"> (שם) אסר משום דהוה איסור כולל, דחל איסור נולד על ביצי ההיתר. ו</w:t>
      </w:r>
      <w:r w:rsidRPr="0041053F">
        <w:rPr>
          <w:rFonts w:ascii="Narkisim" w:hAnsi="Narkisim"/>
          <w:b/>
          <w:bCs/>
          <w:rtl/>
        </w:rPr>
        <w:t>רע"א</w:t>
      </w:r>
      <w:r w:rsidRPr="0041053F">
        <w:rPr>
          <w:rFonts w:ascii="Narkisim" w:hAnsi="Narkisim"/>
          <w:rtl/>
        </w:rPr>
        <w:t xml:space="preserve"> וה</w:t>
      </w:r>
      <w:r w:rsidRPr="0041053F">
        <w:rPr>
          <w:rFonts w:ascii="Narkisim" w:hAnsi="Narkisim"/>
          <w:b/>
          <w:bCs/>
          <w:rtl/>
        </w:rPr>
        <w:t>פרמ"ג</w:t>
      </w:r>
      <w:r w:rsidRPr="0041053F">
        <w:rPr>
          <w:rFonts w:ascii="Narkisim" w:hAnsi="Narkisim"/>
          <w:rtl/>
        </w:rPr>
        <w:t xml:space="preserve"> תמהו דלא חל כא', דאיסור נולד חל על כל ביצה שנולד בפנ"ע].</w:t>
      </w:r>
    </w:p>
  </w:footnote>
  <w:footnote w:id="2025">
    <w:p w14:paraId="744BDB9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רמב"ם</w:t>
      </w:r>
      <w:r w:rsidRPr="0041053F">
        <w:rPr>
          <w:rFonts w:ascii="Narkisim" w:hAnsi="Narkisim"/>
          <w:rtl/>
        </w:rPr>
        <w:t xml:space="preserve"> כתב דלא נחשב מוסיף מחמת איסור הנאה, דהאיסור הנאה תליא באיסור אכילה.</w:t>
      </w:r>
    </w:p>
  </w:footnote>
  <w:footnote w:id="2026">
    <w:p w14:paraId="1D3374D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אין בזה אף סיבת האיסור, דכיון דלא חל צווי האיסור מחיים, הוה בכלל פטור. [ויל"ד ע"ד הפרמ"ג ג"כ נימא דאף דחל איסור מחיים דלא עונש, מ"מ הותר לאחר מיתה, דילפי' דממועט אם לא חל לגמרי. ויל"ד עד"ז בדברי הרמב"ם. וצ"ע].</w:t>
      </w:r>
    </w:p>
  </w:footnote>
  <w:footnote w:id="2027">
    <w:p w14:paraId="5A15244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ויש שהגדירו דהוה חפצא דאיסורא. א"נ סיבת איסור. א"נ 'צורת האיסור'.</w:t>
      </w:r>
    </w:p>
  </w:footnote>
  <w:footnote w:id="2028">
    <w:p w14:paraId="781EAEE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(ל ח) הביא כעי"ז גבי קטן, אף דאינו מצווה, מ"מ יש צד בראשונים דאסור להאכילו איסור בידים, דסיבת האיסור קיים. ובגמ' (סנהדרין נה:) מבואר דהוה קלון ואי לאו דחס רחמנא עליה הוה קטלינן ליה. [וע"ע לקמן לד. בגדר איסורין בקטן].</w:t>
      </w:r>
    </w:p>
  </w:footnote>
  <w:footnote w:id="2029">
    <w:p w14:paraId="4C27F92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עדיין צ"ב, דאי נימא דרשאי לאכול, א"כ אמאי יש תוספת חומר לענין קבורתו.</w:t>
      </w:r>
    </w:p>
  </w:footnote>
  <w:footnote w:id="2030">
    <w:p w14:paraId="348F34E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ויל"פ דהיכא דליכא צווי כלל, אמרי' דהתירא תורה [אף דיש סיבת האיסור]. אבל הכא דאסור מצד אחר, מהני איסור הב' להוסיף חומר בדבר.</w:t>
      </w:r>
    </w:p>
  </w:footnote>
  <w:footnote w:id="2031">
    <w:p w14:paraId="74ED379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{ויש שהביאו לחקור האם הוה טלאי על טלאי, או חור על חור}.</w:t>
      </w:r>
    </w:p>
  </w:footnote>
  <w:footnote w:id="2032">
    <w:p w14:paraId="4B79919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תו"י</w:t>
      </w:r>
      <w:r w:rsidRPr="0041053F">
        <w:rPr>
          <w:rFonts w:ascii="Narkisim" w:hAnsi="Narkisim"/>
          <w:rtl/>
        </w:rPr>
        <w:t xml:space="preserve"> (לעיל יג:) כתב דהא דאין איסור חל על איסור הוה סברא בעלמא [ולא קרא].</w:t>
      </w:r>
    </w:p>
    <w:p w14:paraId="11D40915" w14:textId="77777777" w:rsidR="006074A5" w:rsidRPr="0041053F" w:rsidRDefault="006074A5" w:rsidP="006074A5">
      <w:pPr>
        <w:pStyle w:val="Footnote"/>
        <w:bidi/>
        <w:rPr>
          <w:rFonts w:ascii="Narkisim" w:hAnsi="Narkisim"/>
        </w:rPr>
      </w:pPr>
      <w:r w:rsidRPr="0041053F">
        <w:rPr>
          <w:rFonts w:ascii="Narkisim" w:hAnsi="Narkisim"/>
          <w:rtl/>
        </w:rPr>
        <w:tab/>
        <w:t xml:space="preserve">אבל </w:t>
      </w:r>
      <w:r w:rsidRPr="0041053F">
        <w:rPr>
          <w:rFonts w:ascii="Narkisim" w:hAnsi="Narkisim"/>
          <w:b/>
          <w:bCs/>
          <w:rtl/>
        </w:rPr>
        <w:t>תוס</w:t>
      </w:r>
      <w:r w:rsidRPr="0041053F">
        <w:rPr>
          <w:rFonts w:ascii="Narkisim" w:hAnsi="Narkisim"/>
          <w:rtl/>
        </w:rPr>
        <w:t>' (חולין קא. ד"ה בנטמא, וסנהדרין פג: ד"ה פרט) כת' דילפי' דאין איסור חל על איסור מהמיעוט דפרט לזו שמחוללת ועומדת, בשנטמא תחילה. ומיניה ילפי' לעלמא. וה</w:t>
      </w:r>
      <w:r w:rsidRPr="0041053F">
        <w:rPr>
          <w:rFonts w:ascii="Narkisim" w:hAnsi="Narkisim"/>
          <w:b/>
          <w:bCs/>
          <w:rtl/>
        </w:rPr>
        <w:t>רא"ש</w:t>
      </w:r>
      <w:r w:rsidRPr="0041053F">
        <w:rPr>
          <w:rFonts w:ascii="Narkisim" w:hAnsi="Narkisim"/>
          <w:rtl/>
        </w:rPr>
        <w:t xml:space="preserve"> (נזיר ד.) הביא דרשא נוספת מקרא ד'שכר' דנזיר. וע"ע </w:t>
      </w:r>
      <w:r w:rsidRPr="0041053F">
        <w:rPr>
          <w:rFonts w:ascii="Narkisim" w:hAnsi="Narkisim"/>
          <w:b/>
          <w:bCs/>
          <w:rtl/>
        </w:rPr>
        <w:t>רש"ש</w:t>
      </w:r>
      <w:r w:rsidRPr="0041053F">
        <w:rPr>
          <w:rFonts w:ascii="Narkisim" w:hAnsi="Narkisim"/>
          <w:rtl/>
        </w:rPr>
        <w:t xml:space="preserve"> (קידושין עז:).</w:t>
      </w:r>
    </w:p>
  </w:footnote>
  <w:footnote w:id="2033">
    <w:p w14:paraId="0E6D245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וכי צווי התורה הוה כלפי כל חתיכה בפנ"ע.</w:t>
      </w:r>
    </w:p>
  </w:footnote>
  <w:footnote w:id="2034">
    <w:p w14:paraId="0C1758C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חי' ר' שמעון</w:t>
      </w:r>
      <w:r w:rsidRPr="0041053F">
        <w:rPr>
          <w:rFonts w:ascii="Narkisim" w:hAnsi="Narkisim"/>
          <w:rtl/>
        </w:rPr>
        <w:t xml:space="preserve"> (א בהג"ה) כת' דע"כ אינו משום דל"ש ב' לאוין על דבר אחד, דהרי מצינו כמה לאוין ועונשים על דבר א'. אלא דאאחע"א הוא שאינו מרוחק מחמת איסור זה, כיון דבלאו הכי הוא מרוחק, והכל חסרון א'. ולא מורגש האיסור הנוסף, בדבר שהוא מרוחק בלא"ה ואינו מוכפל חסרונו והכל חסרון אחד הוא.</w:t>
      </w:r>
    </w:p>
    <w:p w14:paraId="76B473FF" w14:textId="77777777" w:rsidR="006074A5" w:rsidRPr="0041053F" w:rsidRDefault="006074A5" w:rsidP="006074A5">
      <w:pPr>
        <w:pStyle w:val="Footnote"/>
        <w:bidi/>
        <w:rPr>
          <w:rFonts w:ascii="Narkisim" w:hAnsi="Narkisim"/>
        </w:rPr>
      </w:pPr>
      <w:r w:rsidRPr="0041053F">
        <w:rPr>
          <w:rFonts w:ascii="Narkisim" w:hAnsi="Narkisim"/>
          <w:rtl/>
        </w:rPr>
        <w:tab/>
        <w:t xml:space="preserve">ועוד הביאו דכתב </w:t>
      </w:r>
      <w:r w:rsidRPr="0041053F">
        <w:rPr>
          <w:rFonts w:ascii="Narkisim" w:hAnsi="Narkisim"/>
          <w:b/>
          <w:bCs/>
          <w:rtl/>
        </w:rPr>
        <w:t>ר' שמעון</w:t>
      </w:r>
      <w:r w:rsidRPr="0041053F">
        <w:rPr>
          <w:rFonts w:ascii="Narkisim" w:hAnsi="Narkisim"/>
          <w:rtl/>
        </w:rPr>
        <w:t xml:space="preserve"> [בס' זכרון לגר"ח שמואלביץ] דלא שייך שדבר יהא פעמים רע.</w:t>
      </w:r>
    </w:p>
  </w:footnote>
  <w:footnote w:id="2035">
    <w:p w14:paraId="03D2EAF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דס"ל דאף חומרת הקבורה הוה בכלל עונש וחומר האיסור.</w:t>
      </w:r>
    </w:p>
  </w:footnote>
  <w:footnote w:id="2036">
    <w:p w14:paraId="4D8C937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והעירו דלסברת הר"א אב"ד דוקא באיסור כולל אמרי' לקוברו, א"כ אין מקום לזה להלכה.</w:t>
      </w:r>
    </w:p>
  </w:footnote>
  <w:footnote w:id="2037">
    <w:p w14:paraId="2501391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דומיא דהא דאמרי' דעריפתו זו היא שחיטתו (זבחים ע:) וכן (יומא סד.) דחייתו לצוק הוה שחיטתו, וכן (חולין יז. וכז:) נחירתו הוה שחיטתו. [אך התם איירי לענין אותו ואת בנו ולטהר מידי טומאת נבילה, ושוב דן האתוון (ד"ה והנה מה שהק' דמהני רק לטהר מטומאה. ואילו להתיר באכילה בעינן שחיטה ממש. והאחרונים דנו בזה].</w:t>
      </w:r>
    </w:p>
  </w:footnote>
  <w:footnote w:id="2038">
    <w:p w14:paraId="3AF89F9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מל"ה </w:t>
      </w:r>
      <w:r w:rsidRPr="0041053F">
        <w:rPr>
          <w:rFonts w:ascii="Narkisim" w:hAnsi="Narkisim"/>
          <w:rtl/>
        </w:rPr>
        <w:t>כת' דסברת בר קפרא הוא בתר מסקנא (מנחות מה.), דכיון דגלי קרא ששאר נבילה אסור לכהן. ע"כ דמליקה הוה מתיר, והותר אפי' לזר. וכעי"ז כת' ה</w:t>
      </w:r>
      <w:r w:rsidRPr="0041053F">
        <w:rPr>
          <w:rFonts w:ascii="Narkisim" w:hAnsi="Narkisim"/>
          <w:b/>
          <w:bCs/>
          <w:rtl/>
        </w:rPr>
        <w:t>פור"י.</w:t>
      </w:r>
    </w:p>
  </w:footnote>
  <w:footnote w:id="2039">
    <w:p w14:paraId="6F0F5B7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בגמ' (מנחות ה.,ו.) אמרי' דאיסור נבילה וטריפה הותר מכללו אצל מליקה. ובגמ' (חולין קכ.) אי' דהותר מכללו, ודוחה הגמ' דכהנים משולחן גבוה קא זכו.</w:t>
      </w:r>
    </w:p>
  </w:footnote>
  <w:footnote w:id="2040">
    <w:p w14:paraId="3B33D3F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מצפ"א</w:t>
      </w:r>
      <w:r w:rsidRPr="0041053F">
        <w:rPr>
          <w:rFonts w:ascii="Narkisim" w:hAnsi="Narkisim"/>
          <w:rtl/>
        </w:rPr>
        <w:t xml:space="preserve"> תי' משכחת לה כשאכל בלשכות, דאינו חייב משום טומאה, וראוי לאכילת ק"ק.</w:t>
      </w:r>
    </w:p>
  </w:footnote>
  <w:footnote w:id="2041">
    <w:p w14:paraId="4E589E4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ויש שהעירו דתליא בגדר טומאת בית הבליעה, האם תליא בשם נבילה לענין אכילה או לענין טומאה. [ואכמ"ל].</w:t>
      </w:r>
    </w:p>
  </w:footnote>
  <w:footnote w:id="2042">
    <w:p w14:paraId="38BDC07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[לכאורה קאי אבר קפרא, שהוסיף טעם לפטור. אבל דברי ר' חייא דליכא היתר לזר וכו', אין זה סברא חדשה לחיוב. וק"ק דהוזכר דר' חייא פתח קודם].</w:t>
      </w:r>
    </w:p>
  </w:footnote>
  <w:footnote w:id="2043">
    <w:p w14:paraId="628CB26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ועד"ז כת' התוס' רא"ש דהני טעמי אינם עיקר, אלא שהביאו סעד לדבריהם.</w:t>
      </w:r>
    </w:p>
    <w:p w14:paraId="4AA4DCDA" w14:textId="77777777" w:rsidR="006074A5" w:rsidRPr="0041053F" w:rsidRDefault="006074A5" w:rsidP="006074A5">
      <w:pPr>
        <w:pStyle w:val="Footnote"/>
        <w:bidi/>
        <w:rPr>
          <w:rFonts w:ascii="Narkisim" w:hAnsi="Narkisim"/>
        </w:rPr>
      </w:pPr>
      <w:r w:rsidRPr="0041053F">
        <w:rPr>
          <w:rFonts w:ascii="Narkisim" w:hAnsi="Narkisim"/>
          <w:rtl/>
        </w:rPr>
        <w:tab/>
        <w:t>אך צ"ב דסברת רבי [לבר קפרא] דאין איסור חל על איסור [בבת א' או בכולל], ויש כאן סיבת איסור. ואילו סברת הואיל והותרה אמאי הוה סייעתא לדבריו.</w:t>
      </w:r>
    </w:p>
  </w:footnote>
  <w:footnote w:id="2044">
    <w:p w14:paraId="31B9835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ואי"צ למש"כ הראשונים (הנ"ל). [אך צ"ע דהתו' רא"ש כת' כמו תוס', ואף דכתב דהנך טעמי הוה סעד].</w:t>
      </w:r>
    </w:p>
  </w:footnote>
  <w:footnote w:id="2045">
    <w:p w14:paraId="34EF986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ר"א אב"ד</w:t>
      </w:r>
      <w:r w:rsidRPr="0041053F">
        <w:rPr>
          <w:rFonts w:ascii="Narkisim" w:hAnsi="Narkisim"/>
          <w:rtl/>
        </w:rPr>
        <w:t xml:space="preserve"> הק' דמ"מ תקשי מברייתא (לעיל לב.) דאף נשא מת ואח"כ נשא חי, חל איסור אחות אשתו על איסור אשת אח. [וכקו' הגמ' לב:]. ותי' דבלא"ה אוקימתא דהכא לא קיימא.</w:t>
      </w:r>
    </w:p>
  </w:footnote>
  <w:footnote w:id="2046">
    <w:p w14:paraId="66B5DF4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ריטב"א</w:t>
      </w:r>
      <w:r w:rsidRPr="0041053F">
        <w:rPr>
          <w:rFonts w:ascii="Narkisim" w:hAnsi="Narkisim"/>
          <w:rtl/>
        </w:rPr>
        <w:t xml:space="preserve"> (שם) הוסיף דא"כ אין זה אין איסור חל על איסור, אלא איסור דוחה איסור. [דאיסור יוה"כ חל מחיים, ובא איסור נבילה ודחי לאיסור יוה"כ].</w:t>
      </w:r>
    </w:p>
  </w:footnote>
  <w:footnote w:id="2047">
    <w:p w14:paraId="6A42EA4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רמב"ן </w:t>
      </w:r>
      <w:r w:rsidRPr="0041053F">
        <w:rPr>
          <w:rFonts w:ascii="Narkisim" w:hAnsi="Narkisim"/>
          <w:rtl/>
        </w:rPr>
        <w:t>(קידושין שם) כת' דיש לבע"ד לחלוק דשאני נבילה דבידו לנבלה. [ולפ"ז חל רק כלפי בהמה שכבר נוצרה, ויל"ד דמ"מ לא חל איסור דבהמה בחייה לאו לאברים עומדת].</w:t>
      </w:r>
    </w:p>
  </w:footnote>
  <w:footnote w:id="2048">
    <w:p w14:paraId="24217C1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[והרשב"א ציין לגמ' (חולין פט:) דהק' וכי משום דאקדשיה יפקע איסור גיד]. וצ"ב מדברי הראב"ד (קידושין הנ"ל) דגבי נבילה ויוה"כ אמרי' דאיסור יוה"כ פקע מחתיכה זו בשעה שהוא נבילה. [ולכאו' משמע דיש חילוק בין חתיכות בשר לאשה.</w:t>
      </w:r>
    </w:p>
    <w:p w14:paraId="33A1FB82" w14:textId="77777777" w:rsidR="006074A5" w:rsidRPr="0041053F" w:rsidRDefault="006074A5" w:rsidP="006074A5">
      <w:pPr>
        <w:pStyle w:val="Footnote"/>
        <w:bidi/>
        <w:rPr>
          <w:rFonts w:ascii="Narkisim" w:hAnsi="Narkisim"/>
        </w:rPr>
      </w:pPr>
      <w:r w:rsidRPr="0041053F">
        <w:rPr>
          <w:rFonts w:ascii="Narkisim" w:hAnsi="Narkisim"/>
          <w:rtl/>
        </w:rPr>
        <w:tab/>
        <w:t>וה</w:t>
      </w:r>
      <w:r w:rsidRPr="0041053F">
        <w:rPr>
          <w:rFonts w:ascii="Narkisim" w:hAnsi="Narkisim"/>
          <w:b/>
          <w:bCs/>
          <w:rtl/>
        </w:rPr>
        <w:t>אחרונים</w:t>
      </w:r>
      <w:r w:rsidRPr="0041053F">
        <w:rPr>
          <w:rFonts w:ascii="Narkisim" w:hAnsi="Narkisim"/>
          <w:rtl/>
        </w:rPr>
        <w:t xml:space="preserve"> (</w:t>
      </w:r>
      <w:r w:rsidRPr="0041053F">
        <w:rPr>
          <w:rFonts w:ascii="Narkisim" w:eastAsia="Narkisim" w:hAnsi="Narkisim"/>
          <w:rtl/>
        </w:rPr>
        <w:t xml:space="preserve">ברוך טעם שער הכולל ב, מרכה"מ שגגות ו ד) חילקו </w:t>
      </w:r>
      <w:r w:rsidRPr="0041053F">
        <w:rPr>
          <w:rFonts w:ascii="Narkisim" w:hAnsi="Narkisim"/>
          <w:rtl/>
        </w:rPr>
        <w:t>עוד דהראב"ד איירי דוקא באיסור גברא, דאיסור יוה"כ נאסר לגברא [ולא על החפצא], ומש"ה פקע בשעה שהחפצא אסור מצד אחר. ואילו באיסור חפצא תלי במה שחל בפועל על החפץ {אך לא מצאנו חילוק זה בראשונים בסוגיין}].</w:t>
      </w:r>
    </w:p>
  </w:footnote>
  <w:footnote w:id="2049">
    <w:p w14:paraId="683A87C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ס"ד דהרמב"ן שהקשה דנימא דאיסור דחי איסור. [ואפשר דהגדר דמעיקרא לא חל לגבי מצב האסור באיסור הב'].</w:t>
      </w:r>
    </w:p>
  </w:footnote>
  <w:footnote w:id="2050">
    <w:p w14:paraId="28790B6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ויש שהעירו דאף ערוה פחות מבת ג' הוה ערוה, אלא דאינה ראוי למעשה האיסור בפועל. והתם נמי נימא דהוה תנאי בעלמא.</w:t>
      </w:r>
    </w:p>
  </w:footnote>
  <w:footnote w:id="2051">
    <w:p w14:paraId="46B679C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וכעי"ז הק' ה</w:t>
      </w:r>
      <w:r w:rsidRPr="0041053F">
        <w:rPr>
          <w:rFonts w:ascii="Narkisim" w:hAnsi="Narkisim"/>
          <w:b/>
          <w:bCs/>
          <w:rtl/>
        </w:rPr>
        <w:t>שעה"מ</w:t>
      </w:r>
      <w:r w:rsidRPr="0041053F">
        <w:rPr>
          <w:rFonts w:ascii="Narkisim" w:hAnsi="Narkisim"/>
          <w:rtl/>
        </w:rPr>
        <w:t xml:space="preserve"> למש"כ ה</w:t>
      </w:r>
      <w:r w:rsidRPr="0041053F">
        <w:rPr>
          <w:rFonts w:ascii="Narkisim" w:hAnsi="Narkisim"/>
          <w:b/>
          <w:bCs/>
          <w:rtl/>
        </w:rPr>
        <w:t>ריטב"א</w:t>
      </w:r>
      <w:r w:rsidRPr="0041053F">
        <w:rPr>
          <w:rFonts w:ascii="Narkisim" w:hAnsi="Narkisim"/>
          <w:rtl/>
        </w:rPr>
        <w:t xml:space="preserve"> (קידושין עז: ושא"ר שם) דאיסור נבילה לא חל איוה"כ, הא שיעור נבילה בכזית דהוה פחות מכותבת דיוה"כ [ע' רמב"ן שם בשם הראב"ד].</w:t>
      </w:r>
    </w:p>
  </w:footnote>
  <w:footnote w:id="2052">
    <w:p w14:paraId="6169C21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וילה"ק כעי"ז בכל אאחע"א, שאם אכל ביוה"כ פחות מכשיעור, וצירף ע"י פחות מכזית נבילה, וכי הותר [דנימא דאינו מצטרף]. וי"ל דכלפי מצב שאין איסור נבילה ודאי דחל איסור יוה"כ [ותליא בסברת המהרש"ל]. אלא דמילתא דלא שכיחא נחשב התחדשות אח"כ.</w:t>
      </w:r>
    </w:p>
  </w:footnote>
  <w:footnote w:id="2053">
    <w:p w14:paraId="3147080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ומשמע מדבריו דהוה גדר ספק איזה איסור חל. [ויל"ד משום מאי מתרינן ביה]. [ולכאו' חל בגדר ספק, וכעין מש"כ האחרונים במקדש א' מב' אחיות וכדו'].</w:t>
      </w:r>
    </w:p>
  </w:footnote>
  <w:footnote w:id="2054">
    <w:p w14:paraId="0D0BC61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קה"י</w:t>
      </w:r>
      <w:r w:rsidRPr="0041053F">
        <w:rPr>
          <w:rFonts w:ascii="Narkisim" w:hAnsi="Narkisim"/>
          <w:rtl/>
        </w:rPr>
        <w:t xml:space="preserve"> (כט) הק' דבסוגיין האיסור בעל מום מסבב האיסור טומאה, א"כ עדיף ויחול. ולא הוה בת א'. ותי' דה'פסול' מסבב ולא האיסור.</w:t>
      </w:r>
    </w:p>
  </w:footnote>
  <w:footnote w:id="2055">
    <w:p w14:paraId="17BA45A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תוס' רי"ד</w:t>
      </w:r>
      <w:r w:rsidRPr="0041053F">
        <w:rPr>
          <w:rFonts w:ascii="Narkisim" w:hAnsi="Narkisim"/>
          <w:rtl/>
        </w:rPr>
        <w:t xml:space="preserve"> נקט דכלל זה אפי' בדבר שחל מאליו, ודלא כתוס' בכורות ט, וע' קובה"ע כה].</w:t>
      </w:r>
    </w:p>
  </w:footnote>
  <w:footnote w:id="2056">
    <w:p w14:paraId="600E07F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דהמקדש א' מב' נשים לא חל הקידושין.</w:t>
      </w:r>
    </w:p>
  </w:footnote>
  <w:footnote w:id="2057">
    <w:p w14:paraId="15540D0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דהקשה דלא יחול שום א' [וכמו מקדש א' מב' אחיות], א"כ עיקר התי' דבאיסורין שחלים מעליהם ע"כ אסרה תורה. א"נ דלא שייך גדר אאחע"א למנוע שלא יחולו [ויל"פ ע"פ דברי תוס' גיטין מב. וזבחים ל דאין כאן סתירה]. א"כ אמאי הוצרך לתחילת תי'.</w:t>
      </w:r>
    </w:p>
  </w:footnote>
  <w:footnote w:id="2058">
    <w:p w14:paraId="5483D8B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וע"ע בסוגיות (לקמן קיד.) בהא דקטן אוכל נבילות, אי מצווים להפרישו. והאם יש איסור להאכילו בידים.</w:t>
      </w:r>
    </w:p>
  </w:footnote>
  <w:footnote w:id="2059">
    <w:p w14:paraId="611EFB1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[וצ"ע האם מותר לעבור על חפצא דאיסורא, במקום שליכא צווי של התורה].</w:t>
      </w:r>
    </w:p>
  </w:footnote>
  <w:footnote w:id="2060">
    <w:p w14:paraId="7C947EA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ולפ"ז ה"ה בכל מקום שהוזכר דאין איסור גיד או חלב וכדו' לא חל על איסור אבמ"ה ומוקדשים, מ"מ למי שגדל אח"כ חייב ב'.</w:t>
      </w:r>
    </w:p>
  </w:footnote>
  <w:footnote w:id="2061">
    <w:p w14:paraId="67CC5EF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הסברא בזה, דסוף סוף כלפי קטן חלו ב' האיסורין בבת א', א"כ מ"ט לא נימא בזה מיגו.</w:t>
      </w:r>
    </w:p>
  </w:footnote>
  <w:footnote w:id="2062">
    <w:p w14:paraId="26649C9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ובגמ' (שבועות שם) אי' דרב כהנא ורב אסי נח' מה רב אמר, ומר אמר שבועתא דהכי אמר רב, ומר אמר שבועתא דהכי אמר רב. ורב אמר כחד מינייהו, א"ל אידך ואנא בשיקרא אישתבעי, א"ל לבך אנסך [משמע דלא נחשב 'בשיקרא'].</w:t>
      </w:r>
    </w:p>
  </w:footnote>
  <w:footnote w:id="2063">
    <w:p w14:paraId="7CD781A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תוס</w:t>
      </w:r>
      <w:r w:rsidRPr="0041053F">
        <w:rPr>
          <w:rFonts w:ascii="Narkisim" w:hAnsi="Narkisim"/>
          <w:rtl/>
        </w:rPr>
        <w:t>' (שם) הקדימו דליכא אפי' עונש שבועה, ולא הוה רק פטור מקרבן שבועה.</w:t>
      </w:r>
    </w:p>
  </w:footnote>
  <w:footnote w:id="2064">
    <w:p w14:paraId="7294C93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ויל"ד לס"ד דתוס' דנחשב תקלה, א"כ אף אי יש פתח לטעות, מ"מ הוה שקר. [ואילו בגמ' מבואר דרק אילו ליכא מקום לטעות נחשב שקורי משקר].</w:t>
      </w:r>
    </w:p>
  </w:footnote>
  <w:footnote w:id="2065">
    <w:p w14:paraId="50F91B9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מש"כ התוס' אחות אשה.</w:t>
      </w:r>
    </w:p>
  </w:footnote>
  <w:footnote w:id="2066">
    <w:p w14:paraId="7FA3BE5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ועוד תי' כתוס', ומבואר דהוה תי' בפנ"ע [וצ"ב דאף לתוס' ע"כ נגע לפני שנחתך].</w:t>
      </w:r>
    </w:p>
  </w:footnote>
  <w:footnote w:id="2067">
    <w:p w14:paraId="47C973E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וכן </w:t>
      </w:r>
      <w:r w:rsidRPr="0041053F">
        <w:rPr>
          <w:rFonts w:ascii="Narkisim" w:hAnsi="Narkisim"/>
          <w:b/>
          <w:bCs/>
          <w:rtl/>
        </w:rPr>
        <w:t>תוס</w:t>
      </w:r>
      <w:r w:rsidRPr="0041053F">
        <w:rPr>
          <w:rFonts w:ascii="Narkisim" w:hAnsi="Narkisim"/>
          <w:rtl/>
        </w:rPr>
        <w:t xml:space="preserve">' (כתובות ל: ד"ה לא) בשם </w:t>
      </w:r>
      <w:r w:rsidRPr="0041053F">
        <w:rPr>
          <w:rFonts w:ascii="Narkisim" w:hAnsi="Narkisim"/>
          <w:b/>
          <w:bCs/>
          <w:rtl/>
        </w:rPr>
        <w:t xml:space="preserve">ריצב"א </w:t>
      </w:r>
      <w:r w:rsidRPr="0041053F">
        <w:rPr>
          <w:rFonts w:ascii="Narkisim" w:hAnsi="Narkisim"/>
          <w:rtl/>
        </w:rPr>
        <w:t>הביא מסוגיין דאע"פ שאי אפשר שלא יגע בסכין קודם שיחתך נחשב דאתו בהדי הדדי [לענין אין איסור חל על איסור]. וא"כ אף בסוגיא (שם, לענין קלב"ם) כיון דנהנה מיד חשיב באין כא', אע"פ שאינו כא' ממש. [ולא נתפרש שיעור 'מיד'].</w:t>
      </w:r>
    </w:p>
  </w:footnote>
  <w:footnote w:id="2068">
    <w:p w14:paraId="166F772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יל"פ כוונתו [ולפסק דבריו] דבאותו מעשה ותוכ"ד ומש"ה חשיב בת א'. א"נ אפ"ל אע"פ דבאותו מעשה, והרי תוכ"ד בכל מקום נחשב בבת א'.</w:t>
      </w:r>
    </w:p>
  </w:footnote>
  <w:footnote w:id="2069">
    <w:p w14:paraId="4D3AC2A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 xml:space="preserve">רמב"ם </w:t>
      </w:r>
      <w:r w:rsidRPr="0041053F">
        <w:rPr>
          <w:rFonts w:ascii="Narkisim" w:hAnsi="Narkisim"/>
          <w:rtl/>
        </w:rPr>
        <w:t>(ביאת מקדש ט יב) פסק דחייב משום שבת ומשום זרות [דאף דר' יוסי לית ליה כולל, להלכה קי"ל איסור כולל]. וה</w:t>
      </w:r>
      <w:r w:rsidRPr="0041053F">
        <w:rPr>
          <w:rFonts w:ascii="Narkisim" w:hAnsi="Narkisim"/>
          <w:b/>
          <w:bCs/>
          <w:rtl/>
        </w:rPr>
        <w:t>ראב"ד</w:t>
      </w:r>
      <w:r w:rsidRPr="0041053F">
        <w:rPr>
          <w:rFonts w:ascii="Narkisim" w:hAnsi="Narkisim"/>
          <w:rtl/>
        </w:rPr>
        <w:t xml:space="preserve"> השיג דוקא בבת א'.</w:t>
      </w:r>
    </w:p>
  </w:footnote>
  <w:footnote w:id="2070">
    <w:p w14:paraId="624B207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לכאורה היינו הדם, דהמזרק הוה כלי.</w:t>
      </w:r>
    </w:p>
  </w:footnote>
  <w:footnote w:id="2071">
    <w:p w14:paraId="7729693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ויל"ד אי הוה מוקצה משום דבתחילת השבת היה בעל חי. (ע' חולין יד:). אך לכאו' עמד לקרבן ציבור שדוחה שבת, א"כ אף מעיקרא לא הוה מוקצה.</w:t>
      </w:r>
    </w:p>
  </w:footnote>
  <w:footnote w:id="2072">
    <w:p w14:paraId="0AB66A1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[וע"ע </w:t>
      </w:r>
      <w:r w:rsidRPr="0041053F">
        <w:rPr>
          <w:rFonts w:ascii="Narkisim" w:hAnsi="Narkisim"/>
          <w:b/>
          <w:bCs/>
          <w:rtl/>
        </w:rPr>
        <w:t>מג"א</w:t>
      </w:r>
      <w:r w:rsidRPr="0041053F">
        <w:rPr>
          <w:rFonts w:ascii="Narkisim" w:hAnsi="Narkisim"/>
          <w:rtl/>
        </w:rPr>
        <w:t xml:space="preserve"> (שח עט) שהאריך בנידון ראוי לאחרים].</w:t>
      </w:r>
      <w:r w:rsidRPr="0041053F">
        <w:rPr>
          <w:rFonts w:ascii="Narkisim" w:hAnsi="Narkisim"/>
          <w:rtl/>
        </w:rPr>
        <w:tab/>
        <w:t>וה</w:t>
      </w:r>
      <w:r w:rsidRPr="0041053F">
        <w:rPr>
          <w:rFonts w:ascii="Narkisim" w:hAnsi="Narkisim"/>
          <w:b/>
          <w:bCs/>
          <w:rtl/>
        </w:rPr>
        <w:t>שעה"מ</w:t>
      </w:r>
      <w:r w:rsidRPr="0041053F">
        <w:rPr>
          <w:rFonts w:ascii="Narkisim" w:hAnsi="Narkisim"/>
          <w:rtl/>
        </w:rPr>
        <w:t xml:space="preserve"> כ' דאין לומר דהוה מוקצה מחמת איסור [דאסור לזר לזרוק דם זה. ול"ד דללולב דעץ בעלמא הוא, ואין איסור לטלו]. ודחה דנהי דקבלה בזר פסולה מ"מ טלטול הדם לא הוה עבודה, ואין איסור לזר. [ויל"ד דאף דרשאי לטלטל, מ"מ שימוש הדם אסור לו].</w:t>
      </w:r>
    </w:p>
  </w:footnote>
  <w:footnote w:id="2073">
    <w:p w14:paraId="131047E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ותי' ה</w:t>
      </w:r>
      <w:r w:rsidRPr="0041053F">
        <w:rPr>
          <w:rFonts w:ascii="Narkisim" w:hAnsi="Narkisim"/>
          <w:b/>
          <w:bCs/>
          <w:rtl/>
        </w:rPr>
        <w:t xml:space="preserve">גר"נ </w:t>
      </w:r>
      <w:r w:rsidRPr="0041053F">
        <w:rPr>
          <w:rFonts w:ascii="Narkisim" w:hAnsi="Narkisim"/>
          <w:rtl/>
        </w:rPr>
        <w:t>דהירושלמי ס"ל דסברת בר קפרא משום דשבת לכל הותרה וכדאיתא לב:, ולא משום אאחע"א.</w:t>
      </w:r>
    </w:p>
  </w:footnote>
  <w:footnote w:id="2074">
    <w:p w14:paraId="72A40D9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ולכן כל איסור שבת נחשב איסור חמור, אבל אין בזה טעם 'מיגו' שחל איסור חמור דשבת חל איסור קל, דהיינו כולל בעלמא.</w:t>
      </w:r>
    </w:p>
  </w:footnote>
  <w:footnote w:id="2075">
    <w:p w14:paraId="1AAA201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ומשמע מדבריו דיש חיוב זרות. וצ"ע.</w:t>
      </w:r>
    </w:p>
  </w:footnote>
  <w:footnote w:id="2076">
    <w:p w14:paraId="0B9CE74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וכן לר"ל (שם) בשגג בלאו וכרת, דסבר דהוה איסורא בעלמא.</w:t>
      </w:r>
    </w:p>
  </w:footnote>
  <w:footnote w:id="2077">
    <w:p w14:paraId="1D620E2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קה"י</w:t>
      </w:r>
      <w:r w:rsidRPr="0041053F">
        <w:rPr>
          <w:rFonts w:ascii="Narkisim" w:hAnsi="Narkisim"/>
          <w:rtl/>
        </w:rPr>
        <w:t xml:space="preserve"> (שבת ל) דן דבעינן שגגה בדבר המחייבו חטאת. ועי"ש שהאריך בזה.</w:t>
      </w:r>
    </w:p>
  </w:footnote>
  <w:footnote w:id="2078">
    <w:p w14:paraId="55C5A2D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 ראיה מדברי הרמב"ם (הו' בסמוך) דאפי' קטנה נאסרת על בעלה, ואין לך חסרון ידיעת הדין יותר מקטנה בת ג' או ד'.</w:t>
      </w:r>
    </w:p>
  </w:footnote>
  <w:footnote w:id="2079">
    <w:p w14:paraId="1A05068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רע"א</w:t>
      </w:r>
      <w:r w:rsidRPr="0041053F">
        <w:rPr>
          <w:rFonts w:ascii="Narkisim" w:hAnsi="Narkisim"/>
          <w:rtl/>
        </w:rPr>
        <w:t xml:space="preserve"> נקט דהמפתה קטנה שותה בעציצו, ואינו מוציאה כדין אונס [ע' </w:t>
      </w:r>
      <w:r w:rsidRPr="0041053F">
        <w:rPr>
          <w:rFonts w:ascii="Narkisim" w:hAnsi="Narkisim"/>
          <w:b/>
          <w:bCs/>
          <w:rtl/>
        </w:rPr>
        <w:t>תוס</w:t>
      </w:r>
      <w:r w:rsidRPr="0041053F">
        <w:rPr>
          <w:rFonts w:ascii="Narkisim" w:hAnsi="Narkisim"/>
          <w:rtl/>
        </w:rPr>
        <w:t>' כתובות מב.]. וכן נקט ה</w:t>
      </w:r>
      <w:r w:rsidRPr="0041053F">
        <w:rPr>
          <w:rFonts w:ascii="Narkisim" w:hAnsi="Narkisim"/>
          <w:b/>
          <w:bCs/>
          <w:rtl/>
        </w:rPr>
        <w:t xml:space="preserve">מנח"ח </w:t>
      </w:r>
      <w:r w:rsidRPr="0041053F">
        <w:rPr>
          <w:rFonts w:ascii="Narkisim" w:hAnsi="Narkisim"/>
          <w:rtl/>
        </w:rPr>
        <w:t>(סא ח) וכת' דמפתה קטנה תליא בתוס' והרמב"ם האם מתחייב כדין אונס.</w:t>
      </w:r>
    </w:p>
  </w:footnote>
  <w:footnote w:id="2080">
    <w:p w14:paraId="4DD8E6A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מהרש"א</w:t>
      </w:r>
      <w:r w:rsidRPr="0041053F">
        <w:rPr>
          <w:rFonts w:ascii="Narkisim" w:hAnsi="Narkisim"/>
          <w:rtl/>
        </w:rPr>
        <w:t xml:space="preserve"> (כתובות ל:) נקט דקטנה שזינתה הפסידה כתובתה. וה</w:t>
      </w:r>
      <w:r w:rsidRPr="0041053F">
        <w:rPr>
          <w:rFonts w:ascii="Narkisim" w:hAnsi="Narkisim"/>
          <w:b/>
          <w:bCs/>
          <w:rtl/>
        </w:rPr>
        <w:t>רש"ש</w:t>
      </w:r>
      <w:r w:rsidRPr="0041053F">
        <w:rPr>
          <w:rFonts w:ascii="Narkisim" w:hAnsi="Narkisim"/>
          <w:rtl/>
        </w:rPr>
        <w:t xml:space="preserve"> (שם) הק' דפיתוי קטנה אונס. וה</w:t>
      </w:r>
      <w:r w:rsidRPr="0041053F">
        <w:rPr>
          <w:rFonts w:ascii="Narkisim" w:hAnsi="Narkisim"/>
          <w:b/>
          <w:bCs/>
          <w:rtl/>
        </w:rPr>
        <w:t>אחרונים</w:t>
      </w:r>
      <w:r w:rsidRPr="0041053F">
        <w:rPr>
          <w:rFonts w:ascii="Narkisim" w:hAnsi="Narkisim"/>
          <w:rtl/>
        </w:rPr>
        <w:t xml:space="preserve"> תי' דמ"מ יש כאן בגידה בבעל. ע"ע </w:t>
      </w:r>
      <w:r w:rsidRPr="0041053F">
        <w:rPr>
          <w:rFonts w:ascii="Narkisim" w:hAnsi="Narkisim"/>
          <w:b/>
          <w:bCs/>
          <w:rtl/>
        </w:rPr>
        <w:t>משנ"ל</w:t>
      </w:r>
      <w:r w:rsidRPr="0041053F">
        <w:rPr>
          <w:rFonts w:ascii="Narkisim" w:hAnsi="Narkisim"/>
          <w:rtl/>
        </w:rPr>
        <w:t xml:space="preserve"> (אישות יא ח בסופו).</w:t>
      </w:r>
    </w:p>
  </w:footnote>
  <w:footnote w:id="2081">
    <w:p w14:paraId="15164F1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ויל"ד האם גם שלא כדרך פיתוי, אלא היא מפתתו האם תאסר.</w:t>
      </w:r>
    </w:p>
  </w:footnote>
  <w:footnote w:id="2082">
    <w:p w14:paraId="13E41F5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ה"ה</w:t>
      </w:r>
      <w:r w:rsidRPr="0041053F">
        <w:rPr>
          <w:rFonts w:ascii="Narkisim" w:hAnsi="Narkisim"/>
          <w:rtl/>
        </w:rPr>
        <w:t xml:space="preserve"> כת' דהרמב"ם סמך על הגמ' (כתובות ט.) [וכקושיית התוס' שם]. אך שוב הביא דמפורש ב</w:t>
      </w:r>
      <w:r w:rsidRPr="0041053F">
        <w:rPr>
          <w:rFonts w:ascii="Narkisim" w:hAnsi="Narkisim"/>
          <w:b/>
          <w:bCs/>
          <w:rtl/>
        </w:rPr>
        <w:t>ירושלמי</w:t>
      </w:r>
      <w:r w:rsidRPr="0041053F">
        <w:rPr>
          <w:rFonts w:ascii="Narkisim" w:hAnsi="Narkisim"/>
          <w:rtl/>
        </w:rPr>
        <w:t xml:space="preserve"> (סוטה ב א) דאין לקטנה רצון ליאסר על בעלה.</w:t>
      </w:r>
    </w:p>
  </w:footnote>
  <w:footnote w:id="2083">
    <w:p w14:paraId="3191F54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הראב"ד העלה צד לחלק בהגיע למיאון (ע' לקמן קז:), דהיינו צרור וזורקו (גיטין סה.). ואילו פעוטות הוה יותר דעת.</w:t>
      </w:r>
    </w:p>
  </w:footnote>
  <w:footnote w:id="2084">
    <w:p w14:paraId="477AE3D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שמעתתא</w:t>
      </w:r>
      <w:r w:rsidRPr="0041053F">
        <w:rPr>
          <w:rFonts w:ascii="Narkisim" w:hAnsi="Narkisim"/>
          <w:rtl/>
        </w:rPr>
        <w:t xml:space="preserve"> (א טז) הק' דקינוי וסתירה של קטנה [לרמב"ם] הוה אין בו דעת לישאל, ואמאי אסורה לביתה. ותי' דהוה משום שהבועל גדול. [אבל ה</w:t>
      </w:r>
      <w:r w:rsidRPr="0041053F">
        <w:rPr>
          <w:rFonts w:ascii="Narkisim" w:hAnsi="Narkisim"/>
          <w:b/>
          <w:bCs/>
          <w:rtl/>
        </w:rPr>
        <w:t>שער"י</w:t>
      </w:r>
      <w:r w:rsidRPr="0041053F">
        <w:rPr>
          <w:rFonts w:ascii="Narkisim" w:hAnsi="Narkisim"/>
          <w:rtl/>
        </w:rPr>
        <w:t xml:space="preserve"> (א יח) כת' דבסוטה אין חילוק בין יש בו דעת לישאל]. וה</w:t>
      </w:r>
      <w:r w:rsidRPr="0041053F">
        <w:rPr>
          <w:rFonts w:ascii="Narkisim" w:hAnsi="Narkisim"/>
          <w:b/>
          <w:bCs/>
          <w:rtl/>
        </w:rPr>
        <w:t xml:space="preserve">אחרונים </w:t>
      </w:r>
      <w:r w:rsidRPr="0041053F">
        <w:rPr>
          <w:rFonts w:ascii="Narkisim" w:hAnsi="Narkisim"/>
          <w:rtl/>
        </w:rPr>
        <w:t>תמהו על דבריהם דבהדיא מבואר (רמב"ם אבה"ט טז ב, ע"פ הירושלמי חגיגה א א, ע' משנה טהרות ג ו) דקטן שיש בו דעת קצת, שנוכל לשואלו נחשב יש בו דעת לישאל.</w:t>
      </w:r>
    </w:p>
  </w:footnote>
  <w:footnote w:id="2085">
    <w:p w14:paraId="508329B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(לג ז) דן דאף אי לא חל איסור אכילה, יאסר לאכול דכל אכילה הוה ג"כ הנאה.</w:t>
      </w:r>
    </w:p>
  </w:footnote>
  <w:footnote w:id="2086">
    <w:p w14:paraId="52E401F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ומשמע בתוס' שבועות דהמ"ל דהוה איסור כולל משום איסור הנאה, וחדא מינייהו נקט. [ומ"מ צ"ב דנקט טעם אחר מהגמ'].</w:t>
      </w:r>
    </w:p>
  </w:footnote>
  <w:footnote w:id="2087">
    <w:p w14:paraId="102C01D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תדע דדחינן בלשון ודילמא, ומשום 'דילמא' היכי אמרי' דהוה בדותא. אלא דאמרו דהראיה [זאת אומרת וכו'] הוה בדותא.</w:t>
      </w:r>
    </w:p>
    <w:p w14:paraId="034FC69D" w14:textId="77777777" w:rsidR="006074A5" w:rsidRPr="0041053F" w:rsidRDefault="006074A5" w:rsidP="006074A5">
      <w:pPr>
        <w:pStyle w:val="Footnote"/>
        <w:bidi/>
        <w:rPr>
          <w:rFonts w:ascii="Narkisim" w:hAnsi="Narkisim"/>
        </w:rPr>
      </w:pPr>
      <w:r w:rsidRPr="0041053F">
        <w:rPr>
          <w:rFonts w:ascii="Narkisim" w:hAnsi="Narkisim"/>
          <w:rtl/>
        </w:rPr>
        <w:tab/>
        <w:t>והראשונים הביאו דרש"י פסק דאין עירוב והוצאה ליוה"כ. אבל ה</w:t>
      </w:r>
      <w:r w:rsidRPr="0041053F">
        <w:rPr>
          <w:rFonts w:ascii="Narkisim" w:hAnsi="Narkisim"/>
          <w:b/>
          <w:bCs/>
          <w:rtl/>
        </w:rPr>
        <w:t>ריטב"א</w:t>
      </w:r>
      <w:r w:rsidRPr="0041053F">
        <w:rPr>
          <w:rFonts w:ascii="Narkisim" w:hAnsi="Narkisim"/>
          <w:rtl/>
        </w:rPr>
        <w:t xml:space="preserve"> כת' דאף לדברי רש"י, מ"מ לענין פסק הלכה סמכי' אסוגיא דעלמא דיש עירוב והוצאה. אלא דיל"פ סוגיין כפשטות.</w:t>
      </w:r>
    </w:p>
  </w:footnote>
  <w:footnote w:id="2088">
    <w:p w14:paraId="2683344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צל"ח</w:t>
      </w:r>
      <w:r w:rsidRPr="0041053F">
        <w:rPr>
          <w:rFonts w:ascii="Narkisim" w:hAnsi="Narkisim"/>
          <w:rtl/>
        </w:rPr>
        <w:t xml:space="preserve"> תי' מכי לעסיה נתחייב במעילה. ור' בונים איגר (הו' ע"ג המשניות כריתות שם) האריך אמאי נחשב חייב על מעשה א'.</w:t>
      </w:r>
    </w:p>
  </w:footnote>
  <w:footnote w:id="2089">
    <w:p w14:paraId="127946F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והריטב"א הוסיף דהוה ב' שמות גמורין, דזה איסור אכילה וזה איסור מלאכה.</w:t>
      </w:r>
    </w:p>
  </w:footnote>
  <w:footnote w:id="2090">
    <w:p w14:paraId="51A41A9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ועוד הקשו ה</w:t>
      </w:r>
      <w:r w:rsidRPr="0041053F">
        <w:rPr>
          <w:rFonts w:ascii="Narkisim" w:hAnsi="Narkisim"/>
          <w:b/>
          <w:bCs/>
          <w:rtl/>
        </w:rPr>
        <w:t>רמב"ן</w:t>
      </w:r>
      <w:r w:rsidRPr="0041053F">
        <w:rPr>
          <w:rFonts w:ascii="Narkisim" w:hAnsi="Narkisim"/>
          <w:rtl/>
        </w:rPr>
        <w:t xml:space="preserve"> וה</w:t>
      </w:r>
      <w:r w:rsidRPr="0041053F">
        <w:rPr>
          <w:rFonts w:ascii="Narkisim" w:hAnsi="Narkisim"/>
          <w:b/>
          <w:bCs/>
          <w:rtl/>
        </w:rPr>
        <w:t>רשב"א</w:t>
      </w:r>
      <w:r w:rsidRPr="0041053F">
        <w:rPr>
          <w:rFonts w:ascii="Narkisim" w:hAnsi="Narkisim"/>
          <w:rtl/>
        </w:rPr>
        <w:t xml:space="preserve"> דאלת"ה לבר קפרא [דל"ל איסור בת א'], העושה מלאכה ביוה"כ שחל שבת על איזה אתה פוטרו [אף על המלאכה]. [וצ"ב כוונתו, דאה"נ חל א' והוה ספק, וכמ"ש הראשונים לג.. ולכאורה כוונתם דשבת ויוה"כ ב' הקדושות חלו יחד ולא תליא באאחע"א. וצ"ע בסוגיא בחולין שם. וצ"ב מה הקשו לפ"ז].</w:t>
      </w:r>
    </w:p>
  </w:footnote>
  <w:footnote w:id="2091">
    <w:p w14:paraId="1F9C064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(שם) האריך לדון דאיסור שבועה הוא משום חילול הדיבור, א"כ מה שייך בזה אאחע"א, דהוה פעולה נפרדת באותו מעשה.</w:t>
      </w:r>
    </w:p>
  </w:footnote>
  <w:footnote w:id="2092">
    <w:p w14:paraId="3FAA280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משמע דבכולל או מוסיף לא חל כלל האיסור השני, ורק בבת א' דיש סברא דל"מ כלל האיסור הב' לחייבו.</w:t>
      </w:r>
    </w:p>
  </w:footnote>
  <w:footnote w:id="2093">
    <w:p w14:paraId="7DCDE0D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קובה"ע</w:t>
      </w:r>
      <w:r w:rsidRPr="0041053F">
        <w:rPr>
          <w:rFonts w:ascii="Narkisim" w:hAnsi="Narkisim"/>
          <w:rtl/>
        </w:rPr>
        <w:t xml:space="preserve"> (ל ט) דן בגדר החיוב חטאת לפ"ז, דכיון דחלו ב' איסורין בבת א' [וחלו שניהם], א"כ לא נודע לו משום איזה חטא נתחייב. ושוב כתב דבתורת ודאי נתחייב מחמת כל א' [כל שאינו חייב על השני].</w:t>
      </w:r>
    </w:p>
  </w:footnote>
  <w:footnote w:id="2094">
    <w:p w14:paraId="5E378B9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רמב"ם</w:t>
      </w:r>
      <w:r w:rsidRPr="0041053F">
        <w:rPr>
          <w:rFonts w:ascii="Narkisim" w:hAnsi="Narkisim"/>
          <w:rtl/>
        </w:rPr>
        <w:t xml:space="preserve"> (בפיה"מ שם) אחרי שכתב דהוה בת א', שוב כתב דהוה מוסיף. והשאג"א תמה אמאי בעי תרוייהו. ומשמע דיש נידון כלפי החפץ ונידון בפנ"ע כלפי הגברא. וע"ע בשיע' ר' שמואל דביאר בזה.</w:t>
      </w:r>
    </w:p>
  </w:footnote>
  <w:footnote w:id="2095">
    <w:p w14:paraId="13F2366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ורש"י ציין דהכא טעה בדבר מצווה ולא עשה מצווה. ונח' בזה התנאים (שבת קלז.). ור' מאיר לשיטתו דנח' היכא דלא עבד מצווה. וסברת ר' יהושע דטריד מחמת המצווה.</w:t>
      </w:r>
    </w:p>
  </w:footnote>
  <w:footnote w:id="2096">
    <w:p w14:paraId="4E1F045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והאו"ש הק' מאי שנא. ויש שדנו דאין לדמות גדר הפטור, דגדר מתעסק הוא שאין כאן כוונה למעשה. וכיון שנהנה יש חשיבות למעשה אף בלא כוונתו. ואילו טעה בדבר מצוה הוה גדר שוגג, ולא גרע בזה.</w:t>
      </w:r>
    </w:p>
  </w:footnote>
  <w:footnote w:id="2097">
    <w:p w14:paraId="16F7149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ואף דר' יהושע (בשבת) גבי תנוקות פטר משום טעה בדבר מצווה, התם איירי בזמנו בהול.</w:t>
      </w:r>
    </w:p>
  </w:footnote>
  <w:footnote w:id="2098">
    <w:p w14:paraId="1FDCBBA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 xml:space="preserve">אך יש שציינו דבשו"ת </w:t>
      </w:r>
      <w:r w:rsidRPr="0041053F">
        <w:rPr>
          <w:rFonts w:ascii="Narkisim" w:hAnsi="Narkisim"/>
          <w:b/>
          <w:bCs/>
          <w:rtl/>
        </w:rPr>
        <w:t>חוות</w:t>
      </w:r>
      <w:r w:rsidRPr="0041053F">
        <w:rPr>
          <w:rFonts w:ascii="Narkisim" w:hAnsi="Narkisim"/>
          <w:rtl/>
        </w:rPr>
        <w:t xml:space="preserve"> </w:t>
      </w:r>
      <w:r w:rsidRPr="0041053F">
        <w:rPr>
          <w:rFonts w:ascii="Narkisim" w:hAnsi="Narkisim"/>
          <w:b/>
          <w:bCs/>
          <w:rtl/>
        </w:rPr>
        <w:t>יאיר</w:t>
      </w:r>
      <w:r w:rsidRPr="0041053F">
        <w:rPr>
          <w:rFonts w:ascii="Narkisim" w:hAnsi="Narkisim"/>
          <w:rtl/>
        </w:rPr>
        <w:t xml:space="preserve"> (קיג) משמע דאף כשנמצא שהוא זר גמור [וטעו להחזיקו כהן] עבודתו כשירה. [והאחרונים דנו דתלי בילפותא דקרא (קידושין סו:), אי ילפי' מחללים שבהם].</w:t>
      </w:r>
    </w:p>
  </w:footnote>
  <w:footnote w:id="2099">
    <w:p w14:paraId="7218636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רשב"א</w:t>
      </w:r>
      <w:r w:rsidRPr="0041053F">
        <w:rPr>
          <w:rFonts w:ascii="Narkisim" w:hAnsi="Narkisim"/>
          <w:rtl/>
        </w:rPr>
        <w:t xml:space="preserve"> (נדה מז:), וכ"מ </w:t>
      </w:r>
      <w:r w:rsidRPr="0041053F">
        <w:rPr>
          <w:rFonts w:ascii="Narkisim" w:hAnsi="Narkisim"/>
          <w:b/>
          <w:bCs/>
          <w:rtl/>
        </w:rPr>
        <w:t>תוס</w:t>
      </w:r>
      <w:r w:rsidRPr="0041053F">
        <w:rPr>
          <w:rFonts w:ascii="Narkisim" w:hAnsi="Narkisim"/>
          <w:rtl/>
        </w:rPr>
        <w:t xml:space="preserve">' (שם). וע' </w:t>
      </w:r>
      <w:r w:rsidRPr="0041053F">
        <w:rPr>
          <w:rFonts w:ascii="Narkisim" w:hAnsi="Narkisim"/>
          <w:b/>
          <w:bCs/>
          <w:rtl/>
        </w:rPr>
        <w:t>ש"ך</w:t>
      </w:r>
      <w:r w:rsidRPr="0041053F">
        <w:rPr>
          <w:rFonts w:ascii="Narkisim" w:hAnsi="Narkisim"/>
          <w:rtl/>
        </w:rPr>
        <w:t xml:space="preserve"> (חו"מ לה א) ו</w:t>
      </w:r>
      <w:r w:rsidRPr="0041053F">
        <w:rPr>
          <w:rFonts w:ascii="Narkisim" w:hAnsi="Narkisim"/>
          <w:b/>
          <w:bCs/>
          <w:rtl/>
        </w:rPr>
        <w:t>מג"א</w:t>
      </w:r>
      <w:r w:rsidRPr="0041053F">
        <w:rPr>
          <w:rFonts w:ascii="Narkisim" w:hAnsi="Narkisim"/>
          <w:rtl/>
        </w:rPr>
        <w:t xml:space="preserve"> (או"ח נג יג). אבל ה</w:t>
      </w:r>
      <w:r w:rsidRPr="0041053F">
        <w:rPr>
          <w:rFonts w:ascii="Narkisim" w:hAnsi="Narkisim"/>
          <w:b/>
          <w:bCs/>
          <w:rtl/>
        </w:rPr>
        <w:t>ריטב"א</w:t>
      </w:r>
      <w:r w:rsidRPr="0041053F">
        <w:rPr>
          <w:rFonts w:ascii="Narkisim" w:hAnsi="Narkisim"/>
          <w:rtl/>
        </w:rPr>
        <w:t xml:space="preserve"> (נדה שם) וה</w:t>
      </w:r>
      <w:r w:rsidRPr="0041053F">
        <w:rPr>
          <w:rFonts w:ascii="Narkisim" w:hAnsi="Narkisim"/>
          <w:b/>
          <w:bCs/>
          <w:rtl/>
        </w:rPr>
        <w:t>דברי חמודות</w:t>
      </w:r>
      <w:r w:rsidRPr="0041053F">
        <w:rPr>
          <w:rFonts w:ascii="Narkisim" w:hAnsi="Narkisim"/>
          <w:rtl/>
        </w:rPr>
        <w:t xml:space="preserve"> (נדה ה ה) ס"ל דבעי שעות.</w:t>
      </w:r>
    </w:p>
  </w:footnote>
  <w:footnote w:id="2100">
    <w:p w14:paraId="2CAAC09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ולפ"ז בתי' הגמ' לב. דמיתלא תאלי נתחדש ב' אופנים, בעריות דלא נאמר דחל היתר, ועוד בנבילה דחל השם אח"כ.</w:t>
      </w:r>
    </w:p>
  </w:footnote>
  <w:footnote w:id="2101">
    <w:p w14:paraId="2DABF81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[וע"ע לקמן מז: תוד"ה במקום בגדר טבילת נידה].</w:t>
      </w:r>
    </w:p>
    <w:p w14:paraId="395A4967" w14:textId="77777777" w:rsidR="006074A5" w:rsidRPr="0041053F" w:rsidRDefault="006074A5" w:rsidP="006074A5">
      <w:pPr>
        <w:pStyle w:val="Footnote"/>
        <w:bidi/>
        <w:rPr>
          <w:rFonts w:ascii="Narkisim" w:hAnsi="Narkisim"/>
        </w:rPr>
      </w:pPr>
      <w:r w:rsidRPr="0041053F">
        <w:rPr>
          <w:rFonts w:ascii="Narkisim" w:hAnsi="Narkisim"/>
          <w:rtl/>
        </w:rPr>
        <w:tab/>
        <w:t>אבל ה</w:t>
      </w:r>
      <w:r w:rsidRPr="0041053F">
        <w:rPr>
          <w:rFonts w:ascii="Narkisim" w:hAnsi="Narkisim"/>
          <w:b/>
          <w:bCs/>
          <w:rtl/>
        </w:rPr>
        <w:t>ראב"ד</w:t>
      </w:r>
      <w:r w:rsidRPr="0041053F">
        <w:rPr>
          <w:rFonts w:ascii="Narkisim" w:hAnsi="Narkisim"/>
          <w:rtl/>
        </w:rPr>
        <w:t xml:space="preserve"> (על הרי"ף) כת' דשופעת מפני שהחטאות צריכות ידיעה, ואם הפסיקה מי מודיע שהיא נדה. [וצ"ב].</w:t>
      </w:r>
    </w:p>
  </w:footnote>
  <w:footnote w:id="2102">
    <w:p w14:paraId="57BEB83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משנ"ל</w:t>
      </w:r>
      <w:r w:rsidRPr="0041053F">
        <w:rPr>
          <w:rFonts w:ascii="Narkisim" w:hAnsi="Narkisim"/>
          <w:rtl/>
        </w:rPr>
        <w:t xml:space="preserve"> כת' דעפ"ז המשחרר עבדו, והתנה שגט השחרור יהני לזמן פלוני, כיון דמחוסר זמן יכולים לקבל קידושין בתוך הזמן, באופן שיחולו לאחר הזמן. דאינם מחוסרים מעשה אלא זמן וזמן ממילא קא אתי. [וציין לסוגיא דכתובות (נט.) שדה זו שמשכנתי לך לי' שנים לכשאפדנה ממך תיקדש דקדשה. דבידו לפדותה לאחר י' שנים]. [וה</w:t>
      </w:r>
      <w:r w:rsidRPr="0041053F">
        <w:rPr>
          <w:rFonts w:ascii="Narkisim" w:hAnsi="Narkisim"/>
          <w:b/>
          <w:bCs/>
          <w:rtl/>
        </w:rPr>
        <w:t>חזו"א</w:t>
      </w:r>
      <w:r w:rsidRPr="0041053F">
        <w:rPr>
          <w:rFonts w:ascii="Narkisim" w:hAnsi="Narkisim"/>
          <w:rtl/>
        </w:rPr>
        <w:t xml:space="preserve"> תמה בזה].</w:t>
      </w:r>
    </w:p>
  </w:footnote>
  <w:footnote w:id="2103">
    <w:p w14:paraId="4AAE71A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דחכמים פליגי אר"מ במקנה דבר שלא בא לעולם מקום שמחוסר מעשה, וכגון גירות או גט שחרור או שימות בעלה או אחותה. והמשנ"ל נסתפק בזה מסברא שיהני, וכת' שבדק עד מקום שידי מגעת בספרי הראשונים והאחרונים ולא מצאתי גילוי מילתא לדין זה. וציין לגמ' (גיטין פה.) המשייר חוץ מקידושי קטן.</w:t>
      </w:r>
    </w:p>
  </w:footnote>
  <w:footnote w:id="2104">
    <w:p w14:paraId="214B9CD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רשב"א</w:t>
      </w:r>
      <w:r w:rsidRPr="0041053F">
        <w:rPr>
          <w:rFonts w:ascii="Narkisim" w:hAnsi="Narkisim"/>
          <w:rtl/>
        </w:rPr>
        <w:t xml:space="preserve"> (לקמן קט:, וכן נמוק"י) ביאר דברי הגמ' (שם) דיש צד דהמקדש קטנה כי גדלי בהדה, וחלו הקידושין מדאורייתא אחרי שגדלה. והרשב"א כת' דהוה כמו מקדש לאחר ל'. וה</w:t>
      </w:r>
      <w:r w:rsidRPr="0041053F">
        <w:rPr>
          <w:rFonts w:ascii="Narkisim" w:hAnsi="Narkisim"/>
          <w:b/>
          <w:bCs/>
          <w:rtl/>
        </w:rPr>
        <w:t>מגיה למשנ"ל</w:t>
      </w:r>
      <w:r w:rsidRPr="0041053F">
        <w:rPr>
          <w:rFonts w:ascii="Narkisim" w:hAnsi="Narkisim"/>
          <w:rtl/>
        </w:rPr>
        <w:t xml:space="preserve"> (שם) כתב דברשב"א כאן מבואר דל"מ, וחילק דדוקא בקטנה מהני ולא בקטן. וע"ע </w:t>
      </w:r>
      <w:r w:rsidRPr="0041053F">
        <w:rPr>
          <w:rFonts w:ascii="Narkisim" w:hAnsi="Narkisim"/>
          <w:b/>
          <w:bCs/>
          <w:rtl/>
        </w:rPr>
        <w:t>אבנ"מ</w:t>
      </w:r>
      <w:r w:rsidRPr="0041053F">
        <w:rPr>
          <w:rFonts w:ascii="Narkisim" w:hAnsi="Narkisim"/>
          <w:rtl/>
        </w:rPr>
        <w:t xml:space="preserve"> (מג א).</w:t>
      </w:r>
    </w:p>
  </w:footnote>
  <w:footnote w:id="2105">
    <w:p w14:paraId="6CCCB74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והמשנ"ל דייק מה</w:t>
      </w:r>
      <w:r w:rsidRPr="0041053F">
        <w:rPr>
          <w:rFonts w:ascii="Narkisim" w:hAnsi="Narkisim"/>
          <w:b/>
          <w:bCs/>
          <w:rtl/>
        </w:rPr>
        <w:t>טור</w:t>
      </w:r>
      <w:r w:rsidRPr="0041053F">
        <w:rPr>
          <w:rFonts w:ascii="Narkisim" w:hAnsi="Narkisim"/>
          <w:rtl/>
        </w:rPr>
        <w:t xml:space="preserve"> והרא"ש בשם </w:t>
      </w:r>
      <w:r w:rsidRPr="0041053F">
        <w:rPr>
          <w:rFonts w:ascii="Narkisim" w:hAnsi="Narkisim"/>
          <w:b/>
          <w:bCs/>
          <w:rtl/>
        </w:rPr>
        <w:t>ר"ת</w:t>
      </w:r>
      <w:r w:rsidRPr="0041053F">
        <w:rPr>
          <w:rFonts w:ascii="Narkisim" w:hAnsi="Narkisim"/>
          <w:rtl/>
        </w:rPr>
        <w:t xml:space="preserve"> דמהני שערות ביום י"ג שנים, דהוא יום לפני שגדל [וכן האריך המשנ"ל (ב יח), אבל </w:t>
      </w:r>
      <w:r w:rsidRPr="0041053F">
        <w:rPr>
          <w:rFonts w:ascii="Narkisim" w:hAnsi="Narkisim"/>
          <w:b/>
          <w:bCs/>
          <w:rtl/>
        </w:rPr>
        <w:t>תוס</w:t>
      </w:r>
      <w:r w:rsidRPr="0041053F">
        <w:rPr>
          <w:rFonts w:ascii="Narkisim" w:hAnsi="Narkisim"/>
          <w:rtl/>
        </w:rPr>
        <w:t>' (נדה מט) הביא דברי ר"ת על יום י"ג שנים ויום א']. וה</w:t>
      </w:r>
      <w:r w:rsidRPr="0041053F">
        <w:rPr>
          <w:rFonts w:ascii="Narkisim" w:hAnsi="Narkisim"/>
          <w:b/>
          <w:bCs/>
          <w:rtl/>
        </w:rPr>
        <w:t>מגיה</w:t>
      </w:r>
      <w:r w:rsidRPr="0041053F">
        <w:rPr>
          <w:rFonts w:ascii="Narkisim" w:hAnsi="Narkisim"/>
          <w:rtl/>
        </w:rPr>
        <w:t xml:space="preserve"> הק' דרש"י (נדה שם) לא ס"ל כן]. [והמשנ"ל נקט דבעי שערות וגם שנים, וע' לעיל יג.]</w:t>
      </w:r>
    </w:p>
  </w:footnote>
  <w:footnote w:id="2106">
    <w:p w14:paraId="049FEA1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היאך מהני מינוי קטן, ומה מהני בזה שהגיע לפעוטות. [ואפשר דכוונתו להקנאת המעות].</w:t>
      </w:r>
    </w:p>
  </w:footnote>
  <w:footnote w:id="2107">
    <w:p w14:paraId="05E489B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וצ"ב דהכא השליח קידש בעודו קטן [שיחול למחר], דא"א לצמצם בשעת תחילת היום. והוה מעשה דא"א לעשות בעצמו.</w:t>
      </w:r>
    </w:p>
  </w:footnote>
  <w:footnote w:id="2108">
    <w:p w14:paraId="2B82FF2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וצ"ע דבגמ' (נזיר יא.) מבואר דל"מ מינוי שליח בדבר שלא בא לעולם, משום דאיהו לא מצי עבד.</w:t>
      </w:r>
    </w:p>
  </w:footnote>
  <w:footnote w:id="2109">
    <w:p w14:paraId="5B83495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והביא דתלי במח' רב ושמואל (בכורות מט.) הפודה את בנו בתוך ל' יום ונתאכלו המעות. דכיון דבשעת נתינת המעות אינו ראוי לקנין.</w:t>
      </w:r>
    </w:p>
  </w:footnote>
  <w:footnote w:id="2110">
    <w:p w14:paraId="56A0939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[ואף זמן השתיקה נחשב זמן א' ובת א']. והחזו"א כתב דתוס' פליגי דכיון דמעשה הקידושין היתה דקטן לא אמרי' דשתיקתם ע"ד כן.</w:t>
      </w:r>
    </w:p>
  </w:footnote>
  <w:footnote w:id="2111">
    <w:p w14:paraId="694A3E8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בגמ' (חולין יב) מבואר דאין לו מחשבה [אפי' ליחוד כלי]. והקה"י נדחק ד'מעשה קידושין' נחשב מחשבתו ניכרת מתוך מעשיו.</w:t>
      </w:r>
    </w:p>
  </w:footnote>
  <w:footnote w:id="2112">
    <w:p w14:paraId="604C950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הוא ס' קדמון שהביא הרבה מתשובות הגאונים [והובא גם ב</w:t>
      </w:r>
      <w:r w:rsidRPr="0041053F">
        <w:rPr>
          <w:rFonts w:ascii="Narkisim" w:hAnsi="Narkisim"/>
          <w:b/>
          <w:bCs/>
          <w:rtl/>
        </w:rPr>
        <w:t>מחזור ויטרי</w:t>
      </w:r>
      <w:r w:rsidRPr="0041053F">
        <w:rPr>
          <w:rFonts w:ascii="Narkisim" w:hAnsi="Narkisim"/>
          <w:rtl/>
        </w:rPr>
        <w:t xml:space="preserve"> (שנה), וכן הרבה פעמים ב</w:t>
      </w:r>
      <w:r w:rsidRPr="0041053F">
        <w:rPr>
          <w:rFonts w:ascii="Narkisim" w:hAnsi="Narkisim"/>
          <w:b/>
          <w:bCs/>
          <w:rtl/>
        </w:rPr>
        <w:t>אור זרוע</w:t>
      </w:r>
      <w:r w:rsidRPr="0041053F">
        <w:rPr>
          <w:rFonts w:ascii="Narkisim" w:hAnsi="Narkisim"/>
          <w:rtl/>
        </w:rPr>
        <w:t>]. ויש שייחסוהו לרב ביבי גאון או לרב יהודאי גאון. [אך יתכן שהובא בספר זה תשובות מהגאונים הנ"ל, ועיקר הספר מאוחר יותר].</w:t>
      </w:r>
    </w:p>
    <w:p w14:paraId="74FD45C4" w14:textId="77777777" w:rsidR="006074A5" w:rsidRPr="0041053F" w:rsidRDefault="006074A5" w:rsidP="006074A5">
      <w:pPr>
        <w:pStyle w:val="Footnote"/>
        <w:bidi/>
        <w:rPr>
          <w:rFonts w:ascii="Narkisim" w:hAnsi="Narkisim"/>
        </w:rPr>
      </w:pPr>
      <w:r w:rsidRPr="0041053F">
        <w:rPr>
          <w:rFonts w:ascii="Narkisim" w:hAnsi="Narkisim"/>
          <w:rtl/>
        </w:rPr>
        <w:tab/>
        <w:t>וה</w:t>
      </w:r>
      <w:r w:rsidRPr="0041053F">
        <w:rPr>
          <w:rFonts w:ascii="Narkisim" w:hAnsi="Narkisim"/>
          <w:b/>
          <w:bCs/>
          <w:rtl/>
        </w:rPr>
        <w:t>מהרי"ל</w:t>
      </w:r>
      <w:r w:rsidRPr="0041053F">
        <w:rPr>
          <w:rFonts w:ascii="Narkisim" w:hAnsi="Narkisim"/>
          <w:rtl/>
        </w:rPr>
        <w:t xml:space="preserve"> (ליק' עא, הו' בשם הגדולים ב קכט) כת' דספר זה נעלם בעוונותינו בגזירות, ואינו מצוי בינינו. וכת' שנקרא כן משום שמה שכתוב בו יש סברא וטעם כבשר הנצלה ע"ג גחלים. ויש שפי' שנקרא כן משום שההלכה הראשונה בספר פתח בדין בשר ע"ג גחלים.</w:t>
      </w:r>
    </w:p>
  </w:footnote>
  <w:footnote w:id="2113">
    <w:p w14:paraId="336A5A74"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ה</w:t>
      </w:r>
      <w:r w:rsidRPr="0041053F">
        <w:rPr>
          <w:rFonts w:ascii="Narkisim" w:hAnsi="Narkisim"/>
          <w:b/>
          <w:bCs/>
          <w:rtl/>
        </w:rPr>
        <w:t>אחרונים</w:t>
      </w:r>
      <w:r w:rsidRPr="0041053F">
        <w:rPr>
          <w:rFonts w:ascii="Narkisim" w:hAnsi="Narkisim"/>
          <w:rtl/>
        </w:rPr>
        <w:t xml:space="preserve"> הק' א"כ ערוה פחות מבת ג', יתפס קידושין דלא חל האיסור. וע"כ דסיבת האיסור מונע קידושין וכמ"ש האחיעזר (הו' לב.).</w:t>
      </w:r>
    </w:p>
  </w:footnote>
  <w:footnote w:id="2114">
    <w:p w14:paraId="121CDD8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 xml:space="preserve">רע"א </w:t>
      </w:r>
      <w:r w:rsidRPr="0041053F">
        <w:rPr>
          <w:rFonts w:ascii="Narkisim" w:hAnsi="Narkisim"/>
          <w:rtl/>
        </w:rPr>
        <w:t>כתב דמסתבר לגמ' דסתם מתני' איירי בבנות ישראל כשירות, שלא זינתו. ואילו נשאו קודם יצאו מרשות האב לקדש בקטנות. וה</w:t>
      </w:r>
      <w:r w:rsidRPr="0041053F">
        <w:rPr>
          <w:rFonts w:ascii="Narkisim" w:hAnsi="Narkisim"/>
          <w:b/>
          <w:bCs/>
          <w:rtl/>
        </w:rPr>
        <w:t>ריטב"א</w:t>
      </w:r>
      <w:r w:rsidRPr="0041053F">
        <w:rPr>
          <w:rFonts w:ascii="Narkisim" w:hAnsi="Narkisim"/>
          <w:rtl/>
        </w:rPr>
        <w:t xml:space="preserve"> כתב דמסתמא איירי בבתולות צנועות, שהם לא היו בקיאים בהם, ולפיכך באו לידי שגגת חילוף.</w:t>
      </w:r>
    </w:p>
  </w:footnote>
  <w:footnote w:id="2115">
    <w:p w14:paraId="786A244E"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המ"ל במוכת עץ. ועד"ז דברי הגמ' (בע"ב) מועכת באצבע.</w:t>
      </w:r>
    </w:p>
  </w:footnote>
  <w:footnote w:id="2116">
    <w:p w14:paraId="1AFFB60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דלא אשכחן תנא כר' אלעזר (לקמן נט.) דפנוי הבא על הפנויה עשאה זונה.</w:t>
      </w:r>
    </w:p>
  </w:footnote>
  <w:footnote w:id="2117">
    <w:p w14:paraId="5EF60CF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ע' ראשונים (ריש כתובות) בשם הירושלמי, ותו"י (יומא יג:), ופוסקים (נד א, סד ה).</w:t>
      </w:r>
    </w:p>
  </w:footnote>
  <w:footnote w:id="2118">
    <w:p w14:paraId="205C604F"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וביאר דמש"ה מהני יבום בבתולה בביאה ראשונה, והוה ראוי להקמת שם [ע' תוס' וראשונים לעיל כ.], דזימנין מתעברת. [ולכאורה מבואר דכל אשה ראויה להתעבר מביאה ראשונה, אלא דעל רוב אינה מתעברת. דאי רוב נשים אינם ראויין להתעבר, א"כ רוב נשים אין זה הקמת שם].</w:t>
      </w:r>
    </w:p>
  </w:footnote>
  <w:footnote w:id="2119">
    <w:p w14:paraId="12E784D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יש שדנו דכל גזירת הבחנה הוא משום שחששו לצד רחוק, שמא ישא אחותו וכו' [ע' לקמן מב.]. ובהך גזירה חששו אף למיעוטא דמיעוטא. וצ"ב א"כ מ"ש הכא.</w:t>
      </w:r>
    </w:p>
  </w:footnote>
  <w:footnote w:id="2120">
    <w:p w14:paraId="56E063F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[והגמ' דוחה דלר"א חייב על כל כח וכח. ואף בלא מעשה ביאה בפנ"ע].</w:t>
      </w:r>
    </w:p>
  </w:footnote>
  <w:footnote w:id="2121">
    <w:p w14:paraId="79686447"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ולדברי הר"ן י"ל דהוה מיעוטא שנתעברה מביאה ראשונה.</w:t>
      </w:r>
    </w:p>
  </w:footnote>
  <w:footnote w:id="2122">
    <w:p w14:paraId="34DBFEAA"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אבן עזרא</w:t>
      </w:r>
      <w:r w:rsidRPr="0041053F">
        <w:rPr>
          <w:rFonts w:ascii="Narkisim" w:hAnsi="Narkisim"/>
          <w:rtl/>
        </w:rPr>
        <w:t xml:space="preserve"> (לח ט) הביא בשם בן תמים דעשו היא למעלה (ע' נדרים כ:).</w:t>
      </w:r>
    </w:p>
  </w:footnote>
  <w:footnote w:id="2123">
    <w:p w14:paraId="76C597C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ועד"ז כת' ה</w:t>
      </w:r>
      <w:r w:rsidRPr="0041053F">
        <w:rPr>
          <w:rFonts w:ascii="Narkisim" w:hAnsi="Narkisim"/>
          <w:b/>
          <w:bCs/>
          <w:rtl/>
        </w:rPr>
        <w:t>ר"א מזרחי</w:t>
      </w:r>
      <w:r w:rsidRPr="0041053F">
        <w:rPr>
          <w:rFonts w:ascii="Narkisim" w:hAnsi="Narkisim"/>
          <w:rtl/>
        </w:rPr>
        <w:t xml:space="preserve"> (וכן בפי' הריב"א עה"ת, ובפי' ר' חיים פלטיאל) דרש"י פי' כפשטות הברייתא, דמבואר דדש מבפנים וזורה מבחוץ הוה כמעשה ער ואונן. אלא שהגמ' דחה דברי הברייתא דהוה כמעשה. [ונקט כפשטות הברייתא, נגד הא דהיה פשיט"ל לרבא].</w:t>
      </w:r>
    </w:p>
  </w:footnote>
  <w:footnote w:id="2124">
    <w:p w14:paraId="155D575C"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וכ"כ ה</w:t>
      </w:r>
      <w:r w:rsidRPr="0041053F">
        <w:rPr>
          <w:rFonts w:ascii="Narkisim" w:hAnsi="Narkisim"/>
          <w:b/>
          <w:bCs/>
          <w:rtl/>
        </w:rPr>
        <w:t>חזקוני</w:t>
      </w:r>
      <w:r w:rsidRPr="0041053F">
        <w:rPr>
          <w:rFonts w:ascii="Narkisim" w:hAnsi="Narkisim"/>
          <w:rtl/>
        </w:rPr>
        <w:t xml:space="preserve"> (לח ז) לפיכך לא חטא בה יהודה כי לא היתה בעולת בעל.</w:t>
      </w:r>
    </w:p>
    <w:p w14:paraId="38ED2DC7" w14:textId="77777777" w:rsidR="006074A5" w:rsidRPr="0041053F" w:rsidRDefault="006074A5" w:rsidP="006074A5">
      <w:pPr>
        <w:pStyle w:val="Footnote"/>
        <w:bidi/>
        <w:rPr>
          <w:rFonts w:ascii="Narkisim" w:hAnsi="Narkisim"/>
        </w:rPr>
      </w:pPr>
      <w:r w:rsidRPr="0041053F">
        <w:rPr>
          <w:rFonts w:ascii="Narkisim" w:hAnsi="Narkisim"/>
          <w:rtl/>
        </w:rPr>
        <w:tab/>
        <w:t>[אך לכאורה הוחזקה כאשתו. דהא נתייחד עמה דרך אישות, ואמרי' הן הן עדי יחוד, ובלא ראיה לא תהא נאמנת שלא באו עליה. וי"ל דאף זה בכלל הבת קול, צדקה ממני. ועוד אפשר דיהודה הוציא בתוליה, ועי"ז היה ניכר שהיתה בתולה עד עכשיו].</w:t>
      </w:r>
    </w:p>
  </w:footnote>
  <w:footnote w:id="2125">
    <w:p w14:paraId="7E01FE7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ולפ"ז לא היה בזה יבום כלל. [וע' מש"כ לעיל ב.].</w:t>
      </w:r>
    </w:p>
  </w:footnote>
  <w:footnote w:id="2126">
    <w:p w14:paraId="2D8BE68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hAnsi="Narkisim"/>
          <w:b/>
          <w:bCs/>
          <w:rtl/>
        </w:rPr>
        <w:t>פרשת דרכים</w:t>
      </w:r>
      <w:r w:rsidRPr="0041053F">
        <w:rPr>
          <w:rFonts w:ascii="Narkisim" w:hAnsi="Narkisim"/>
          <w:rtl/>
        </w:rPr>
        <w:t xml:space="preserve"> כת' דתמר סברה דקודם מתן תורה היה להם דין בני נח. ובאה להורות לו שהיה טועה בדין. וזהו בהכר בשרוהו [דאיזה טענה זו שהיא כלתה, ואדרבה יגדל החטא], וכוונתה דלומר לו דקודם מתן תורה לא יצאו מכלל בני נח, ומשמיא הסכימו לדעתה דיצתה בת קול ואמרה ממני יצאו הדברים כבושים (וכדאי' סוטה י:).</w:t>
      </w:r>
    </w:p>
    <w:p w14:paraId="6B17DE5F" w14:textId="77777777" w:rsidR="006074A5" w:rsidRPr="0041053F" w:rsidRDefault="006074A5" w:rsidP="006074A5">
      <w:pPr>
        <w:pStyle w:val="Footnote"/>
        <w:bidi/>
        <w:rPr>
          <w:rFonts w:ascii="Narkisim" w:hAnsi="Narkisim"/>
        </w:rPr>
      </w:pPr>
      <w:r w:rsidRPr="0041053F">
        <w:rPr>
          <w:rFonts w:ascii="Narkisim" w:hAnsi="Narkisim"/>
          <w:rtl/>
        </w:rPr>
        <w:tab/>
        <w:t>ועד"ז ביאר דאף ראובן היה סבור דיצאו מכלל בני נח לגמרי, שאף הוא היה מהשונאים את יוסף על שהיה מוכיחם שהיו אוכלים אבר מן החי. אך כיון ששמע ראובן ליהודה שהודה לתמר ואמר צדקה ממני, וקיבל דיש להם דין בני נח. ומש"ה באותה שעה חזר ראובן והודה על חטאתו, דכיון דלא יצאו מכלל בני נח, א"כ יש על ראובן עון אשר חטא במה שבא על פלגש אביו [עי"ש].</w:t>
      </w:r>
    </w:p>
  </w:footnote>
  <w:footnote w:id="2127">
    <w:p w14:paraId="0DBAE31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תוספתא</w:t>
      </w:r>
      <w:r w:rsidRPr="0041053F">
        <w:rPr>
          <w:rFonts w:ascii="Narkisim" w:hAnsi="Narkisim"/>
          <w:rtl/>
        </w:rPr>
        <w:t xml:space="preserve"> (נדה ב) הגירסא דלת"ק ג' נשים משמשות במוך, ר"מ אומר דש בפנים וזורה בחוץ. [כר"א כאן]. ולכאורה ר"א ס"ל דאף דש מבפנים נחשב כדרך ביאה. א"נ משום צד סכנה הותר.</w:t>
      </w:r>
    </w:p>
  </w:footnote>
  <w:footnote w:id="2128">
    <w:p w14:paraId="55A6B78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ונח' רש"י ותוס' (לעיל שם) האם דעת חכמים דאסור לשמש במוך, או דאי"צ מוך. ורשאי להכניס עצמו לצד סכנה בזה. אך בסוגיין מבואר דפליגי דאינו רשאי לעשות דש בפנים.</w:t>
      </w:r>
    </w:p>
  </w:footnote>
  <w:footnote w:id="2129">
    <w:p w14:paraId="77DABB02"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קמ"ל דלא חיישי' שמא היתה דעת עליו, או שזינתה בינתיים. [וכיון דיתכן צד חשש תערובת זרע, היה לנו לחוש להבחנה, אף דהוה צד רחוק קצת].</w:t>
      </w:r>
    </w:p>
  </w:footnote>
  <w:footnote w:id="2130">
    <w:p w14:paraId="1D453231"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רע"א</w:t>
      </w:r>
      <w:r w:rsidRPr="0041053F">
        <w:rPr>
          <w:rFonts w:ascii="Narkisim" w:hAnsi="Narkisim"/>
          <w:rtl/>
        </w:rPr>
        <w:t xml:space="preserve"> בגהש"ס ציין דברי </w:t>
      </w:r>
      <w:r w:rsidRPr="0041053F">
        <w:rPr>
          <w:rFonts w:ascii="Narkisim" w:hAnsi="Narkisim"/>
          <w:b/>
          <w:bCs/>
          <w:rtl/>
        </w:rPr>
        <w:t>רש"י</w:t>
      </w:r>
      <w:r w:rsidRPr="0041053F">
        <w:rPr>
          <w:rFonts w:ascii="Narkisim" w:hAnsi="Narkisim"/>
          <w:rtl/>
        </w:rPr>
        <w:t xml:space="preserve"> (כתובות עב:) במעשה דבנו של רבי, שנשא אשה ואח"כ הלך ללמוד י"ב שנים. ובינתיים איעקרא. ופ</w:t>
      </w:r>
      <w:r w:rsidRPr="0041053F">
        <w:rPr>
          <w:rFonts w:ascii="Narkisim" w:hAnsi="Narkisim"/>
          <w:b/>
          <w:bCs/>
          <w:rtl/>
        </w:rPr>
        <w:t>רש"י</w:t>
      </w:r>
      <w:r w:rsidRPr="0041053F">
        <w:rPr>
          <w:rFonts w:ascii="Narkisim" w:hAnsi="Narkisim"/>
          <w:rtl/>
        </w:rPr>
        <w:t xml:space="preserve"> שכן דרך העומדות י' שנים בלא בעל ליעקר. [ורש"י חידש דאף נשואה שהלך בעלה למדינת הים אמרי' כן. וצ"ע]. ורע"א ציין כן אגמ' כאן, וכוונתו להק' דודאי היתה דעתו עליו.</w:t>
      </w:r>
    </w:p>
  </w:footnote>
  <w:footnote w:id="2131">
    <w:p w14:paraId="02A33C06"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וביאר דרננו על בת רב חסדא, משום שקפצו עלה בני אדם הגונים ולא רצתה לינשא [ולכאו' הוה משום כבוד בעלה].</w:t>
      </w:r>
    </w:p>
  </w:footnote>
  <w:footnote w:id="2132">
    <w:p w14:paraId="4B426AD3"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והזכיר אח"כ עד שיהא בן י"ח או כ' [משמע שאז ראויה לילד], ואח"כ כתב כשבן ט' ראוי לביאה. [וצ"ב כל דבריו שם].</w:t>
      </w:r>
    </w:p>
  </w:footnote>
  <w:footnote w:id="2133">
    <w:p w14:paraId="4E0906C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[ונפסלת לכהונה, ע' לעיל].</w:t>
      </w:r>
    </w:p>
  </w:footnote>
  <w:footnote w:id="2134">
    <w:p w14:paraId="4B56073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וביאר דמשום תשובת המשקל כפי ההנאה באיסור היה דעתה תמיד ע"ז, ולכן לא פסק חוש התאוה.</w:t>
      </w:r>
    </w:p>
  </w:footnote>
  <w:footnote w:id="2135">
    <w:p w14:paraId="3E608E2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וב</w:t>
      </w:r>
      <w:r w:rsidRPr="0041053F">
        <w:rPr>
          <w:rFonts w:ascii="Narkisim" w:hAnsi="Narkisim"/>
          <w:b/>
          <w:bCs/>
          <w:rtl/>
        </w:rPr>
        <w:t xml:space="preserve">הג' למשנ"ל </w:t>
      </w:r>
      <w:r w:rsidRPr="0041053F">
        <w:rPr>
          <w:rFonts w:ascii="Narkisim" w:hAnsi="Narkisim"/>
          <w:rtl/>
        </w:rPr>
        <w:t>(גירושין יא כא) דן בנתגיירו יחד, והיתה מעוברת ממנו מעיקרא. האם צריכין להפריש. והביא דיש שטענו דגזרו קטנה ועקרה, וכמו כל הבחנה [ודלא כדגו"מ]. ודן להקל דל"ש בזה גזירה. [עי"ש כמה טעמים]. [ואפשר דכ"ז דוקא במעוברת טפי מג' חדשים. אבל אי לא הוכר עוברה [אף שידעינן שמעוברת] יש לחוש שמא תפיל ותחזור ותתעבר. ולא יוודע].</w:t>
      </w:r>
    </w:p>
  </w:footnote>
  <w:footnote w:id="2136">
    <w:p w14:paraId="193AEDC0"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ואף דיש בזה נפק"מ אף בבת ישראל, וכגון שתנשא אח"כ לכהן. א"נ היכא דהיה לה כבר זרע מכהן. עכ"פ נקט בת כהן שפשוט יותר.</w:t>
      </w:r>
    </w:p>
  </w:footnote>
  <w:footnote w:id="2137">
    <w:p w14:paraId="04BFA855"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תוס' גרסו רק תחילת דברי רש"י דידן. [ולא גרסו את ההמשך ואע"ג דמותבינן וכו' הא הדר מייתינא וכו' ומההיא קרא נמי נפק"ל. ואפשר דהוה הג"ה בדברי רש"י].</w:t>
      </w:r>
    </w:p>
    <w:p w14:paraId="47A98697" w14:textId="77777777" w:rsidR="006074A5" w:rsidRPr="0041053F" w:rsidRDefault="006074A5" w:rsidP="006074A5">
      <w:pPr>
        <w:pStyle w:val="Footnote"/>
        <w:bidi/>
        <w:rPr>
          <w:rFonts w:ascii="Narkisim" w:hAnsi="Narkisim"/>
        </w:rPr>
      </w:pPr>
      <w:r w:rsidRPr="0041053F">
        <w:rPr>
          <w:rFonts w:ascii="Narkisim" w:hAnsi="Narkisim"/>
          <w:rtl/>
        </w:rPr>
        <w:tab/>
        <w:t>עיל"פ דתוס' נקטו דמש"כ רש"י דנפקא מההיא קרא, היינו ד'אלמנה וגרושה' בא לגלות דחייבי כריתות פסלי, והוה בכלל איש זר [ועפ"ז מתיישב סו"ד רש"י שכת' דקו' הגמ' חייבי כריתות ולא חייבי לאוין. ואילו לדברי רש"י אף למסקנא קרא ד'כי תהיה' לא קאי כלל היכא דלא תפסי קידושין. אלא הוה קרא אחרינא דאין לה אלמנות. וע"כ דהדרינן לקרא דכי תהיה].</w:t>
      </w:r>
    </w:p>
  </w:footnote>
  <w:footnote w:id="2138">
    <w:p w14:paraId="4D9D342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w:t>
      </w:r>
      <w:r w:rsidRPr="0041053F">
        <w:rPr>
          <w:rFonts w:ascii="Narkisim" w:hAnsi="Narkisim"/>
          <w:b/>
          <w:bCs/>
          <w:rtl/>
        </w:rPr>
        <w:t>רש"י</w:t>
      </w:r>
      <w:r w:rsidRPr="0041053F">
        <w:rPr>
          <w:rFonts w:ascii="Narkisim" w:hAnsi="Narkisim"/>
          <w:rtl/>
        </w:rPr>
        <w:t xml:space="preserve"> (לקמן סח:) הביא </w:t>
      </w:r>
      <w:r w:rsidRPr="0041053F">
        <w:rPr>
          <w:rFonts w:ascii="Narkisim" w:hAnsi="Narkisim"/>
          <w:b/>
          <w:bCs/>
          <w:rtl/>
        </w:rPr>
        <w:t>י"מ</w:t>
      </w:r>
      <w:r w:rsidRPr="0041053F">
        <w:rPr>
          <w:rFonts w:ascii="Narkisim" w:hAnsi="Narkisim"/>
          <w:rtl/>
        </w:rPr>
        <w:t xml:space="preserve"> דנבעלה לחייבי כריתות מותרת בתרומה. ורש"י נקט כוונתם דאף מותרת בתרומה, ורש"י האריך לדחות. וה</w:t>
      </w:r>
      <w:r w:rsidRPr="0041053F">
        <w:rPr>
          <w:rFonts w:ascii="Narkisim" w:hAnsi="Narkisim"/>
          <w:b/>
          <w:bCs/>
          <w:rtl/>
        </w:rPr>
        <w:t>אחרונים</w:t>
      </w:r>
      <w:r w:rsidRPr="0041053F">
        <w:rPr>
          <w:rFonts w:ascii="Narkisim" w:hAnsi="Narkisim"/>
          <w:rtl/>
        </w:rPr>
        <w:t xml:space="preserve"> תי' דדעת הי"מ דפסולה משום זונה. וזונה מותרת לאכול בתרומה.</w:t>
      </w:r>
    </w:p>
  </w:footnote>
  <w:footnote w:id="2139">
    <w:p w14:paraId="22E6D28D"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אבל שאר עריות הוה זר אצלו מעיקרא, ומש"ה פוסל. [ולדעת תוס' זר מעיקרא פי' שנאסר מעיקרא באשה זו, משעת לידתה. אך האחרונים דייקו מדברי רש"י דזר מעיקרא היינו פסולי קהל. וקרובים לא חשיב זר מעיקרא].</w:t>
      </w:r>
    </w:p>
  </w:footnote>
  <w:footnote w:id="2140">
    <w:p w14:paraId="0C2833E8"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ולכאורה משמע בתוס' דהנך ב' לשונות שייכי אף בשאר חייבי כריתות, ולא רק בזנות אשת איש [וע"ע בראשונים לקמן שם].</w:t>
      </w:r>
    </w:p>
    <w:p w14:paraId="7D5C0619" w14:textId="77777777" w:rsidR="006074A5" w:rsidRPr="0041053F" w:rsidRDefault="006074A5" w:rsidP="006074A5">
      <w:pPr>
        <w:pStyle w:val="Footnote"/>
        <w:bidi/>
        <w:rPr>
          <w:rFonts w:ascii="Narkisim" w:hAnsi="Narkisim"/>
        </w:rPr>
      </w:pPr>
      <w:r w:rsidRPr="0041053F">
        <w:rPr>
          <w:rFonts w:ascii="Narkisim" w:hAnsi="Narkisim"/>
          <w:rtl/>
        </w:rPr>
        <w:tab/>
        <w:t>ו</w:t>
      </w:r>
      <w:r w:rsidRPr="0041053F">
        <w:rPr>
          <w:rFonts w:ascii="Narkisim" w:hAnsi="Narkisim"/>
          <w:b/>
          <w:bCs/>
          <w:rtl/>
        </w:rPr>
        <w:t>תוס</w:t>
      </w:r>
      <w:r w:rsidRPr="0041053F">
        <w:rPr>
          <w:rFonts w:ascii="Narkisim" w:hAnsi="Narkisim"/>
          <w:rtl/>
        </w:rPr>
        <w:t>' (בסו"ד, ולקמן מד:) דנו דאף אי תאסר לכהונה משום זונה, לא תאסר באכילת תרומה [מקרא דזונה].</w:t>
      </w:r>
    </w:p>
  </w:footnote>
  <w:footnote w:id="2141">
    <w:p w14:paraId="4E62DD79"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אך דעת ה</w:t>
      </w:r>
      <w:r w:rsidRPr="0041053F">
        <w:rPr>
          <w:rFonts w:ascii="Narkisim" w:hAnsi="Narkisim"/>
          <w:b/>
          <w:bCs/>
          <w:rtl/>
        </w:rPr>
        <w:t>ירושלמי</w:t>
      </w:r>
      <w:r w:rsidRPr="0041053F">
        <w:rPr>
          <w:rFonts w:ascii="Narkisim" w:hAnsi="Narkisim"/>
          <w:rtl/>
        </w:rPr>
        <w:t xml:space="preserve"> (הו' בתוס' סוטה כז:) דנאסרת לבועל אף כשהוא מזיד והיא שוגגת, ואף שמותרת לבעלה. וע"ע משנ"ל (סוטה ב יב) ובי"ש (יא ג).</w:t>
      </w:r>
    </w:p>
  </w:footnote>
  <w:footnote w:id="2142">
    <w:p w14:paraId="41D7567B" w14:textId="77777777" w:rsidR="006074A5" w:rsidRPr="0041053F" w:rsidRDefault="006074A5" w:rsidP="006074A5">
      <w:pPr>
        <w:pStyle w:val="Footnote"/>
        <w:bidi/>
        <w:rPr>
          <w:rFonts w:ascii="Narkisim" w:hAnsi="Narkisim"/>
        </w:rPr>
      </w:pPr>
      <w:r w:rsidRPr="0041053F">
        <w:rPr>
          <w:rStyle w:val="ac"/>
          <w:rFonts w:ascii="Narkisim" w:hAnsi="Narkisim"/>
          <w:rtl/>
        </w:rPr>
        <w:footnoteRef/>
      </w:r>
      <w:r w:rsidRPr="0041053F">
        <w:rPr>
          <w:rFonts w:ascii="Narkisim" w:hAnsi="Narkisim"/>
          <w:rtl/>
        </w:rPr>
        <w:t>וה</w:t>
      </w:r>
      <w:r w:rsidRPr="0041053F">
        <w:rPr>
          <w:rFonts w:ascii="Narkisim" w:eastAsia="Narkisim" w:hAnsi="Narkisim"/>
          <w:b/>
          <w:bCs/>
          <w:rtl/>
        </w:rPr>
        <w:t>נמוק"י</w:t>
      </w:r>
      <w:r w:rsidRPr="0041053F">
        <w:rPr>
          <w:rFonts w:ascii="Narkisim" w:eastAsia="Narkisim" w:hAnsi="Narkisim"/>
          <w:rtl/>
        </w:rPr>
        <w:t xml:space="preserve"> (לעיל יא., ב. בדה"ר) נסתפק האם אשת כהן שנאנסה האם צריכה חליצה [מיבם כהן]. האם הוה בכלל טומאה ליבם.</w:t>
      </w:r>
    </w:p>
  </w:footnote>
  <w:footnote w:id="2143">
    <w:p w14:paraId="5DBADFBB" w14:textId="77777777" w:rsidR="006074A5" w:rsidRDefault="006074A5" w:rsidP="006074A5">
      <w:pPr>
        <w:pStyle w:val="Footnote"/>
        <w:bidi/>
      </w:pPr>
      <w:r>
        <w:rPr>
          <w:rStyle w:val="ac"/>
          <w:rtl/>
        </w:rPr>
        <w:footnoteRef/>
      </w:r>
      <w:r>
        <w:rPr>
          <w:rtl/>
        </w:rPr>
        <w:t>דיש תנאי בחיוב חטאת שאילו נודע לו היה שב.</w:t>
      </w:r>
    </w:p>
  </w:footnote>
  <w:footnote w:id="2144">
    <w:p w14:paraId="6525EE62" w14:textId="77777777" w:rsidR="006074A5" w:rsidRDefault="006074A5" w:rsidP="006074A5">
      <w:pPr>
        <w:pStyle w:val="Footnote"/>
        <w:bidi/>
      </w:pPr>
      <w:r>
        <w:rPr>
          <w:rStyle w:val="ac"/>
          <w:rtl/>
        </w:rPr>
        <w:footnoteRef/>
      </w:r>
      <w:r>
        <w:rPr>
          <w:rtl/>
        </w:rPr>
        <w:t>ולשון ה</w:t>
      </w:r>
      <w:r>
        <w:rPr>
          <w:b/>
          <w:bCs/>
          <w:rtl/>
        </w:rPr>
        <w:t>תו"י</w:t>
      </w:r>
      <w:r>
        <w:rPr>
          <w:rtl/>
        </w:rPr>
        <w:t xml:space="preserve"> שאנוס אחרי שעשה כתקנ"ח. [דהמתין כדין התקנה, דחכמים לא אסרו יותר, ומבואר דנחשב שתקנו דסגי בזה. וצ”ב].</w:t>
      </w:r>
    </w:p>
  </w:footnote>
  <w:footnote w:id="2145">
    <w:p w14:paraId="7B37238D" w14:textId="77777777" w:rsidR="006074A5" w:rsidRDefault="006074A5" w:rsidP="006074A5">
      <w:pPr>
        <w:pStyle w:val="Footnote"/>
        <w:bidi/>
      </w:pPr>
      <w:r>
        <w:rPr>
          <w:rStyle w:val="ac"/>
          <w:rtl/>
        </w:rPr>
        <w:footnoteRef/>
      </w:r>
      <w:r>
        <w:rPr>
          <w:rtl/>
        </w:rPr>
        <w:t>וב</w:t>
      </w:r>
      <w:r>
        <w:rPr>
          <w:b/>
          <w:bCs/>
          <w:rtl/>
        </w:rPr>
        <w:t>שו"ת פנים מאירות</w:t>
      </w:r>
      <w:r>
        <w:rPr>
          <w:rtl/>
        </w:rPr>
        <w:t xml:space="preserve"> (ב מא, צויין ברע"א ק' רו) כת' דמי שאכל עוף ואח"כ מצא שהיה טריפה, דאין צריך כפרה. כיון דאינו חייב לבדוק, א"כ אנוס הוא ואי"צ כפרה. והביא מדברי ה</w:t>
      </w:r>
      <w:r>
        <w:rPr>
          <w:b/>
          <w:bCs/>
          <w:rtl/>
        </w:rPr>
        <w:t>תוס</w:t>
      </w:r>
      <w:r>
        <w:rPr>
          <w:rtl/>
        </w:rPr>
        <w:t>' (ביצה כה:) דדוקא היכא דמיהר ואכלו קודם הפשט וניתוח צריך כפרה, דדינו כשוגג. שלא היה לו למהר כל כך. והא דאמרי' (נזיר כג.) דדרשי' ונשא עוונו במתכוין לאכול בשר טלה ועלה בידו בשר אסור, ה"מ כשנולד ספק קודם שאכל.</w:t>
      </w:r>
    </w:p>
  </w:footnote>
  <w:footnote w:id="2146">
    <w:p w14:paraId="0D5BE564" w14:textId="77777777" w:rsidR="006074A5" w:rsidRDefault="006074A5" w:rsidP="006074A5">
      <w:pPr>
        <w:pStyle w:val="Footnote"/>
        <w:bidi/>
      </w:pPr>
      <w:r>
        <w:rPr>
          <w:rStyle w:val="ac"/>
          <w:rtl/>
        </w:rPr>
        <w:footnoteRef/>
      </w:r>
      <w:r>
        <w:rPr>
          <w:rtl/>
        </w:rPr>
        <w:t>וצ"ב מ"ש, דסוף סוף הוה אונס, ומאי הו"ל למיעבד. [ויש שביארו כוונת הנוב"י דגדר 'אונס' לענין קרבן הוה במה שעושה ע"פ דין. ולא תליא באונס המציאותי. והיכא דעשה ע"פ עדים, כיון דנתברר שהם עדי שקר מהשתא ליכא 'דין' היתר, והוה כשאר טעות. משא”כ כשעשה ע”פ רוב, אף אם נתברר שהוא מהמיעוט הכרעת הרוב קיימת].</w:t>
      </w:r>
    </w:p>
    <w:p w14:paraId="197BE8E6" w14:textId="77777777" w:rsidR="006074A5" w:rsidRDefault="006074A5" w:rsidP="006074A5">
      <w:pPr>
        <w:pStyle w:val="Footnote"/>
        <w:bidi/>
      </w:pPr>
      <w:r>
        <w:rPr>
          <w:rtl/>
        </w:rPr>
        <w:tab/>
        <w:t>וב</w:t>
      </w:r>
      <w:r>
        <w:rPr>
          <w:b/>
          <w:bCs/>
          <w:rtl/>
        </w:rPr>
        <w:t>שיע' ר' שמואל</w:t>
      </w:r>
      <w:r>
        <w:rPr>
          <w:rtl/>
        </w:rPr>
        <w:t xml:space="preserve"> חילק [באופ"א] דעדים הוה הכרעה ע"פ דין, ואילו רובא דליתא קמן דהוה הכרעה מסברא.</w:t>
      </w:r>
    </w:p>
  </w:footnote>
  <w:footnote w:id="2147">
    <w:p w14:paraId="41A2828A" w14:textId="77777777" w:rsidR="006074A5" w:rsidRDefault="006074A5" w:rsidP="006074A5">
      <w:pPr>
        <w:pStyle w:val="Footnote"/>
        <w:bidi/>
      </w:pPr>
      <w:r>
        <w:rPr>
          <w:rStyle w:val="ac"/>
          <w:rtl/>
        </w:rPr>
        <w:footnoteRef/>
      </w:r>
      <w:r>
        <w:rPr>
          <w:rtl/>
        </w:rPr>
        <w:t>ועד"ז כת' ה</w:t>
      </w:r>
      <w:r>
        <w:rPr>
          <w:b/>
          <w:bCs/>
          <w:rtl/>
        </w:rPr>
        <w:t>נתיבות</w:t>
      </w:r>
      <w:r>
        <w:rPr>
          <w:rtl/>
        </w:rPr>
        <w:t xml:space="preserve"> (בשו"ת חמד"ש אה"ע כד יא) דדוקא הסומך על הרוב פטרה תורה, דכן משפטי דרחמנא. אבל היכא דאחרים הכשילו אותו הבי"ד או העדים לא התיר רחמנא. וע"ע חמד"ש (יו"ד א).</w:t>
      </w:r>
    </w:p>
  </w:footnote>
  <w:footnote w:id="2148">
    <w:p w14:paraId="1276D0D0" w14:textId="77777777" w:rsidR="006074A5" w:rsidRDefault="006074A5" w:rsidP="006074A5">
      <w:pPr>
        <w:pStyle w:val="Footnote"/>
        <w:bidi/>
      </w:pPr>
      <w:r>
        <w:rPr>
          <w:rStyle w:val="ac"/>
          <w:rtl/>
        </w:rPr>
        <w:footnoteRef/>
      </w:r>
      <w:r>
        <w:rPr>
          <w:rtl/>
        </w:rPr>
        <w:t>וכ”ד ה</w:t>
      </w:r>
      <w:r>
        <w:rPr>
          <w:b/>
          <w:bCs/>
          <w:rtl/>
        </w:rPr>
        <w:t>רמ”א</w:t>
      </w:r>
      <w:r>
        <w:rPr>
          <w:rtl/>
        </w:rPr>
        <w:t xml:space="preserve"> (קסד א) בשם </w:t>
      </w:r>
      <w:r>
        <w:rPr>
          <w:b/>
          <w:bCs/>
          <w:rtl/>
        </w:rPr>
        <w:t>הגהות</w:t>
      </w:r>
      <w:r>
        <w:rPr>
          <w:rtl/>
        </w:rPr>
        <w:t xml:space="preserve"> </w:t>
      </w:r>
      <w:r>
        <w:rPr>
          <w:b/>
          <w:bCs/>
          <w:rtl/>
        </w:rPr>
        <w:t>מרדכי.</w:t>
      </w:r>
      <w:r>
        <w:rPr>
          <w:rtl/>
        </w:rPr>
        <w:t xml:space="preserve"> אבל דעת </w:t>
      </w:r>
      <w:r>
        <w:rPr>
          <w:b/>
          <w:bCs/>
          <w:rtl/>
        </w:rPr>
        <w:t>שא"ר</w:t>
      </w:r>
      <w:r>
        <w:rPr>
          <w:rtl/>
        </w:rPr>
        <w:t xml:space="preserve"> (וכ"פ השו"ע שם) דבדיעבד אי"צ חליצה אחרת תוך ג' חדשים.</w:t>
      </w:r>
    </w:p>
  </w:footnote>
  <w:footnote w:id="2149">
    <w:p w14:paraId="73356585" w14:textId="77777777" w:rsidR="006074A5" w:rsidRDefault="006074A5" w:rsidP="006074A5">
      <w:pPr>
        <w:pStyle w:val="Footnote"/>
        <w:bidi/>
      </w:pPr>
      <w:r>
        <w:rPr>
          <w:rStyle w:val="ac"/>
          <w:rtl/>
        </w:rPr>
        <w:footnoteRef/>
      </w:r>
      <w:r>
        <w:rPr>
          <w:rtl/>
        </w:rPr>
        <w:t>וה</w:t>
      </w:r>
      <w:r>
        <w:rPr>
          <w:b/>
          <w:bCs/>
          <w:rtl/>
        </w:rPr>
        <w:t xml:space="preserve">בי"ש </w:t>
      </w:r>
      <w:r>
        <w:rPr>
          <w:rtl/>
        </w:rPr>
        <w:t>(קסד ה) דימה החולץ למעוברת [דהו' חליצה רק לחומרא, ול"מ לקולא. ע' בסוף העמ'] לתוך צ' יום. והפור"י דייק דס"ל כבתרוייהו לא הוי חליצה מדרבנן.</w:t>
      </w:r>
    </w:p>
  </w:footnote>
  <w:footnote w:id="2150">
    <w:p w14:paraId="628494BA" w14:textId="77777777" w:rsidR="006074A5" w:rsidRDefault="006074A5" w:rsidP="006074A5">
      <w:pPr>
        <w:pStyle w:val="Footnote"/>
        <w:bidi/>
      </w:pPr>
      <w:r>
        <w:rPr>
          <w:rStyle w:val="ac"/>
          <w:rtl/>
        </w:rPr>
        <w:footnoteRef/>
      </w:r>
      <w:r>
        <w:rPr>
          <w:rtl/>
        </w:rPr>
        <w:t>וה</w:t>
      </w:r>
      <w:r>
        <w:rPr>
          <w:b/>
          <w:bCs/>
          <w:rtl/>
        </w:rPr>
        <w:t>חשק שלמה</w:t>
      </w:r>
      <w:r>
        <w:rPr>
          <w:rtl/>
        </w:rPr>
        <w:t xml:space="preserve"> דן דבפשוטו נח' ר' יוחנן ור"ל בדין ברירה, האם מהני שיתברר בעתיד. ושוב כת' דכיון דעומד ודאי להתברר קי"ל דאמרי' ברירה [וכמ”ש </w:t>
      </w:r>
      <w:r>
        <w:rPr>
          <w:b/>
          <w:bCs/>
          <w:rtl/>
        </w:rPr>
        <w:t>תוס</w:t>
      </w:r>
      <w:r>
        <w:rPr>
          <w:rtl/>
        </w:rPr>
        <w:t>' (עירובין לז וגיטין כה:) לדעת ר' יוסי ור' יוחנן].</w:t>
      </w:r>
    </w:p>
    <w:p w14:paraId="134A95B0" w14:textId="77777777" w:rsidR="006074A5" w:rsidRDefault="006074A5" w:rsidP="006074A5">
      <w:pPr>
        <w:pStyle w:val="Footnote"/>
        <w:bidi/>
      </w:pPr>
      <w:r>
        <w:rPr>
          <w:rtl/>
        </w:rPr>
        <w:tab/>
        <w:t>[אך צ"ב לדעת ר' יוחנן דאמרי' איגלאי למפרע, א"כ בכל דבר התלוי בברירה נימא אם יבא אליהו, ויהני לברר למפרע]. ויש שדנו דכל דבר דכולו חל ממילא. ולא תליא במעשה אדם בעשייה או בבירור האדם כלל, מש"ה הכא לא תליא בדין ברירה].</w:t>
      </w:r>
    </w:p>
  </w:footnote>
  <w:footnote w:id="2151">
    <w:p w14:paraId="2F5D4CEB" w14:textId="77777777" w:rsidR="006074A5" w:rsidRDefault="006074A5" w:rsidP="006074A5">
      <w:pPr>
        <w:pStyle w:val="Footnote"/>
        <w:bidi/>
      </w:pPr>
      <w:r>
        <w:rPr>
          <w:rStyle w:val="ac"/>
          <w:rtl/>
        </w:rPr>
        <w:footnoteRef/>
      </w:r>
      <w:r>
        <w:rPr>
          <w:rtl/>
        </w:rPr>
        <w:t>וה</w:t>
      </w:r>
      <w:r>
        <w:rPr>
          <w:b/>
          <w:bCs/>
          <w:rtl/>
        </w:rPr>
        <w:t>מהרי"ט אלגאזי</w:t>
      </w:r>
      <w:r>
        <w:rPr>
          <w:rtl/>
        </w:rPr>
        <w:t xml:space="preserve"> (ג לג ב, טו. בדה"ס) הביא את דברי התוס' דדעת ר"ל דכל ספק שאינו ראוי להתברר עכשיו [דאי אפשר לידע עתידות] לא אמרי' אגלאי מילתא למפרע. ועפ"ז דן בסוגיא (לקמן פ.) דנעשה סריס למפרע. ומש"ה הרמב"ם (אישות ב ג) פסק כשמואל דקטן היה באותו השעה. [ובהמשך דבריו הביא דלדברי הריטב"א ונמוק"י לא תלי בהכי].</w:t>
      </w:r>
    </w:p>
    <w:p w14:paraId="295C8DE4" w14:textId="77777777" w:rsidR="006074A5" w:rsidRDefault="006074A5" w:rsidP="006074A5">
      <w:pPr>
        <w:pStyle w:val="Footnote"/>
        <w:bidi/>
      </w:pPr>
      <w:r>
        <w:rPr>
          <w:rtl/>
        </w:rPr>
        <w:tab/>
        <w:t>והמהרי"ט אלגאזי כת' דפשיטא דכל תנאי וכדו' חל למפרע. דאינו דבר הנעשה ממילא אלא עפ"י דעת העושה [וכת' דאף מח' אביי ורבא (פסחים ל:) אי בע”ח למפרע הוא גובה הוה באומדנא, אי סתם משעבד נעשה כאומר אם לא אפרע לך יהא קנוי מעכשיו].</w:t>
      </w:r>
    </w:p>
  </w:footnote>
  <w:footnote w:id="2152">
    <w:p w14:paraId="5EBC3858" w14:textId="77777777" w:rsidR="006074A5" w:rsidRDefault="006074A5" w:rsidP="006074A5">
      <w:pPr>
        <w:pStyle w:val="Footnote"/>
        <w:bidi/>
      </w:pPr>
      <w:r>
        <w:rPr>
          <w:rStyle w:val="ac"/>
          <w:rtl/>
        </w:rPr>
        <w:footnoteRef/>
      </w:r>
      <w:r>
        <w:rPr>
          <w:rtl/>
        </w:rPr>
        <w:t>וה</w:t>
      </w:r>
      <w:r>
        <w:rPr>
          <w:b/>
          <w:bCs/>
          <w:rtl/>
        </w:rPr>
        <w:t xml:space="preserve">תוס' הרא"ש </w:t>
      </w:r>
      <w:r>
        <w:rPr>
          <w:rtl/>
        </w:rPr>
        <w:t>ביאר</w:t>
      </w:r>
      <w:r>
        <w:rPr>
          <w:b/>
          <w:bCs/>
          <w:rtl/>
        </w:rPr>
        <w:t xml:space="preserve"> </w:t>
      </w:r>
      <w:r>
        <w:rPr>
          <w:rtl/>
        </w:rPr>
        <w:t>דכיון דאנו צריכים לדעת מה יהא לאחר זמן לא סמכי' אביאת אליהו. ועוד כתב דכוונת הגמ' (מא:) דאפשר להתברר ע"י עדים. [אבל ל"מ לסמוך על אליהו, דהוה דרך נס].</w:t>
      </w:r>
    </w:p>
  </w:footnote>
  <w:footnote w:id="2153">
    <w:p w14:paraId="75CA83F9" w14:textId="77777777" w:rsidR="006074A5" w:rsidRDefault="006074A5" w:rsidP="006074A5">
      <w:pPr>
        <w:pStyle w:val="Footnote"/>
        <w:bidi/>
      </w:pPr>
      <w:r>
        <w:rPr>
          <w:rStyle w:val="ac"/>
          <w:rtl/>
        </w:rPr>
        <w:footnoteRef/>
      </w:r>
      <w:r>
        <w:rPr>
          <w:rtl/>
        </w:rPr>
        <w:t>וה</w:t>
      </w:r>
      <w:r>
        <w:rPr>
          <w:b/>
          <w:bCs/>
          <w:rtl/>
        </w:rPr>
        <w:t>אבנ"מ</w:t>
      </w:r>
      <w:r>
        <w:rPr>
          <w:rtl/>
        </w:rPr>
        <w:t xml:space="preserve"> (מ ט) האריך בזה. ודן היאך מהני שקידש אחר אח"כ. [ולמש"כ הברכ"ש לא דמי לקידושין, דלא בעי מעשה בעלים].</w:t>
      </w:r>
    </w:p>
  </w:footnote>
  <w:footnote w:id="2154">
    <w:p w14:paraId="7535D8E5" w14:textId="77777777" w:rsidR="006074A5" w:rsidRDefault="006074A5" w:rsidP="006074A5">
      <w:pPr>
        <w:pStyle w:val="Footnote"/>
        <w:bidi/>
      </w:pPr>
      <w:r>
        <w:rPr>
          <w:rStyle w:val="ac"/>
          <w:rtl/>
        </w:rPr>
        <w:footnoteRef/>
      </w:r>
      <w:r>
        <w:rPr>
          <w:rtl/>
        </w:rPr>
        <w:t>וה</w:t>
      </w:r>
      <w:r>
        <w:rPr>
          <w:b/>
          <w:bCs/>
          <w:rtl/>
        </w:rPr>
        <w:t>אחרונים</w:t>
      </w:r>
      <w:r>
        <w:rPr>
          <w:rtl/>
        </w:rPr>
        <w:t xml:space="preserve"> האריכו בגדרי תנאי, האם נחשב ספק שמתברר, או שנעקר למפרע [וע' שער"י ב י].</w:t>
      </w:r>
    </w:p>
  </w:footnote>
  <w:footnote w:id="2155">
    <w:p w14:paraId="2DCEC9B2" w14:textId="77777777" w:rsidR="006074A5" w:rsidRDefault="006074A5" w:rsidP="006074A5">
      <w:pPr>
        <w:pStyle w:val="Footnote"/>
        <w:bidi/>
      </w:pPr>
      <w:r>
        <w:rPr>
          <w:rStyle w:val="ac"/>
          <w:rtl/>
        </w:rPr>
        <w:footnoteRef/>
      </w:r>
      <w:r>
        <w:rPr>
          <w:rtl/>
        </w:rPr>
        <w:t>דודאי [אף לרשב"א] בכל מקח וממכר מי שיש לו זכות שיתברר אח"כ יכול להקנות.</w:t>
      </w:r>
    </w:p>
  </w:footnote>
  <w:footnote w:id="2156">
    <w:p w14:paraId="711C78EB" w14:textId="77777777" w:rsidR="006074A5" w:rsidRDefault="006074A5" w:rsidP="006074A5">
      <w:pPr>
        <w:pStyle w:val="Footnote"/>
        <w:bidi/>
      </w:pPr>
      <w:r>
        <w:rPr>
          <w:rStyle w:val="ac"/>
          <w:rtl/>
        </w:rPr>
        <w:footnoteRef/>
      </w:r>
      <w:r>
        <w:rPr>
          <w:rtl/>
        </w:rPr>
        <w:t>ולכאורה אף לתוס' אילו כבר אינו ראוי להיות בר קיימא אינו פוטר. וכ"מ ב</w:t>
      </w:r>
      <w:r>
        <w:rPr>
          <w:b/>
          <w:bCs/>
          <w:rtl/>
        </w:rPr>
        <w:t>תוס'</w:t>
      </w:r>
      <w:r>
        <w:rPr>
          <w:rtl/>
        </w:rPr>
        <w:t xml:space="preserve"> (ד"ה ור"ל) [ולא מסתבר דתליא בב' הלשונות].</w:t>
      </w:r>
    </w:p>
  </w:footnote>
  <w:footnote w:id="2157">
    <w:p w14:paraId="6C57C59B" w14:textId="77777777" w:rsidR="006074A5" w:rsidRDefault="006074A5" w:rsidP="006074A5">
      <w:pPr>
        <w:pStyle w:val="Footnote"/>
        <w:bidi/>
      </w:pPr>
      <w:r>
        <w:rPr>
          <w:rStyle w:val="ac"/>
          <w:rtl/>
        </w:rPr>
        <w:footnoteRef/>
      </w:r>
      <w:r>
        <w:rPr>
          <w:rtl/>
        </w:rPr>
        <w:t>ומזה למד בכ"ש בספק שמתברר אח"כ, ואילו יבא אליהו מעיקרא היה מהני.</w:t>
      </w:r>
    </w:p>
  </w:footnote>
  <w:footnote w:id="2158">
    <w:p w14:paraId="7E44BD6C" w14:textId="77777777" w:rsidR="006074A5" w:rsidRDefault="006074A5" w:rsidP="006074A5">
      <w:pPr>
        <w:pStyle w:val="Footnote"/>
        <w:bidi/>
      </w:pPr>
      <w:r>
        <w:rPr>
          <w:rStyle w:val="ac"/>
          <w:rtl/>
        </w:rPr>
        <w:footnoteRef/>
      </w:r>
      <w:r>
        <w:rPr>
          <w:rtl/>
        </w:rPr>
        <w:t>בפשוטו אף דהוחזקה ודאי תפיל, אלא דמ"מ ס"ד דיש מציאות של מעוברת, קמ"ל דאינו מוגדר מעוברת לילד כלל. אבל לכאורה כוונתו דמדין חזקת ג' פעמים נקבע דתפיל, והכרעה זו מתיר להנשא.</w:t>
      </w:r>
    </w:p>
  </w:footnote>
  <w:footnote w:id="2159">
    <w:p w14:paraId="2E23CAA7" w14:textId="77777777" w:rsidR="006074A5" w:rsidRDefault="006074A5" w:rsidP="006074A5">
      <w:pPr>
        <w:pStyle w:val="Footnote"/>
        <w:bidi/>
      </w:pPr>
      <w:r>
        <w:rPr>
          <w:rStyle w:val="ac"/>
          <w:rtl/>
        </w:rPr>
        <w:footnoteRef/>
      </w:r>
      <w:r>
        <w:rPr>
          <w:rtl/>
        </w:rPr>
        <w:t>[ובגמ' אי' דסמוך מיעוטא דמפילות לחזקה, דהו' מדרבנן]. וה</w:t>
      </w:r>
      <w:r>
        <w:rPr>
          <w:b/>
          <w:bCs/>
          <w:rtl/>
        </w:rPr>
        <w:t>רשב"א</w:t>
      </w:r>
      <w:r>
        <w:rPr>
          <w:rtl/>
        </w:rPr>
        <w:t xml:space="preserve"> הוכיח דבעודה מעוברת אף מדאו' אסורה. דלא אזלי' בתר רוב במקום דאפ' למיקם אמילתא.</w:t>
      </w:r>
    </w:p>
  </w:footnote>
  <w:footnote w:id="2160">
    <w:p w14:paraId="2E222A3B" w14:textId="77777777" w:rsidR="006074A5" w:rsidRDefault="006074A5" w:rsidP="006074A5">
      <w:pPr>
        <w:pStyle w:val="Footnote"/>
        <w:bidi/>
      </w:pPr>
      <w:r>
        <w:rPr>
          <w:rStyle w:val="ac"/>
          <w:rtl/>
        </w:rPr>
        <w:footnoteRef/>
      </w:r>
      <w:r>
        <w:rPr>
          <w:rtl/>
        </w:rPr>
        <w:t>דכיון דמוחזקת בהיתר לשוק, לא מסתבר שיהני אילגאי מילתא לזה. וצ"ב.</w:t>
      </w:r>
    </w:p>
  </w:footnote>
  <w:footnote w:id="2161">
    <w:p w14:paraId="6FBAF0CC" w14:textId="77777777" w:rsidR="006074A5" w:rsidRDefault="006074A5" w:rsidP="006074A5">
      <w:pPr>
        <w:pStyle w:val="Footnote"/>
        <w:bidi/>
      </w:pPr>
      <w:r>
        <w:rPr>
          <w:rStyle w:val="ac"/>
          <w:rtl/>
        </w:rPr>
        <w:footnoteRef/>
      </w:r>
      <w:r>
        <w:rPr>
          <w:rtl/>
        </w:rPr>
        <w:t>וה</w:t>
      </w:r>
      <w:r>
        <w:rPr>
          <w:b/>
          <w:bCs/>
          <w:rtl/>
        </w:rPr>
        <w:t>אחרונים</w:t>
      </w:r>
      <w:r>
        <w:rPr>
          <w:rtl/>
        </w:rPr>
        <w:t xml:space="preserve"> הק' דלכאו' גדר דרכי נועם שייך דוקא היכא דחל דין היתר. אבל היכא דהתירו בטעות, אף שסמכו על הכרעת התורה. מ"מ כיון שנתברר שהוא מהמיעוט, נחשב טעות למפרע. [והיא תחוש לעצמה, שאם סבורה שיתכן שיתברר מהמיעוט לא תנשא. אבל אין איסור בדבר].</w:t>
      </w:r>
    </w:p>
  </w:footnote>
  <w:footnote w:id="2162">
    <w:p w14:paraId="71B4BA5E" w14:textId="77777777" w:rsidR="006074A5" w:rsidRDefault="006074A5" w:rsidP="006074A5">
      <w:pPr>
        <w:pStyle w:val="Footnote"/>
        <w:bidi/>
      </w:pPr>
      <w:r>
        <w:rPr>
          <w:rStyle w:val="ac"/>
          <w:rtl/>
        </w:rPr>
        <w:footnoteRef/>
      </w:r>
      <w:r>
        <w:rPr>
          <w:rtl/>
        </w:rPr>
        <w:t>וה</w:t>
      </w:r>
      <w:r>
        <w:rPr>
          <w:b/>
          <w:bCs/>
          <w:rtl/>
        </w:rPr>
        <w:t xml:space="preserve">אחרונים </w:t>
      </w:r>
      <w:r>
        <w:rPr>
          <w:rtl/>
        </w:rPr>
        <w:t>הוכיחו כן מהגמ' (לו.) [דכשהלכה צרתה למדינת הים] לר"ל תמתין ט' חדשים, ואמאי לא ניחוש שמא היה ולד ומת, ונבעי קרוב לי' חדשים.</w:t>
      </w:r>
    </w:p>
  </w:footnote>
  <w:footnote w:id="2163">
    <w:p w14:paraId="3D5E9685" w14:textId="77777777" w:rsidR="006074A5" w:rsidRDefault="006074A5" w:rsidP="006074A5">
      <w:pPr>
        <w:pStyle w:val="Footnote"/>
        <w:bidi/>
      </w:pPr>
      <w:r>
        <w:rPr>
          <w:rStyle w:val="ac"/>
          <w:rtl/>
        </w:rPr>
        <w:footnoteRef/>
      </w:r>
      <w:r>
        <w:rPr>
          <w:rtl/>
        </w:rPr>
        <w:t>וביאר דמהני החליצה [מדרבנן] לאסור על קרובותיה. ושמעתי לפרש דלתוס' החמירו ש'מעשה החליצה' אוסר לקרובות, אבל לא נחשב קלישות בזיקה.</w:t>
      </w:r>
    </w:p>
  </w:footnote>
  <w:footnote w:id="2164">
    <w:p w14:paraId="70C13538" w14:textId="77777777" w:rsidR="006074A5" w:rsidRDefault="006074A5" w:rsidP="006074A5">
      <w:pPr>
        <w:pStyle w:val="Footnote"/>
        <w:bidi/>
      </w:pPr>
      <w:r>
        <w:rPr>
          <w:rStyle w:val="ac"/>
          <w:rtl/>
        </w:rPr>
        <w:footnoteRef/>
      </w:r>
      <w:r>
        <w:rPr>
          <w:rtl/>
        </w:rPr>
        <w:t>וכת' דלא נאסרת לאחים. וחליצת האחים נחשב חליצה כשירה, ומש"ה אי"צ חיזור. ועוד דנו הראשונים דס"ל דלמיפטר נפשה אי"צ חיזור [כשמואל כז.]. אבל ה</w:t>
      </w:r>
      <w:r>
        <w:rPr>
          <w:b/>
          <w:bCs/>
          <w:rtl/>
        </w:rPr>
        <w:t>ריטב"א</w:t>
      </w:r>
      <w:r>
        <w:rPr>
          <w:rtl/>
        </w:rPr>
        <w:t xml:space="preserve"> הביא בשם ה</w:t>
      </w:r>
      <w:r>
        <w:rPr>
          <w:b/>
          <w:bCs/>
          <w:rtl/>
        </w:rPr>
        <w:t>גאון</w:t>
      </w:r>
      <w:r>
        <w:rPr>
          <w:rtl/>
        </w:rPr>
        <w:t xml:space="preserve"> דהחולץ למעוברת [לר"ל] היא וצרתה אסורות על כל האחים וצרות.</w:t>
      </w:r>
    </w:p>
  </w:footnote>
  <w:footnote w:id="2165">
    <w:p w14:paraId="3F239B6E" w14:textId="77777777" w:rsidR="006074A5" w:rsidRDefault="006074A5" w:rsidP="006074A5">
      <w:pPr>
        <w:pStyle w:val="Footnote"/>
        <w:bidi/>
      </w:pPr>
      <w:r>
        <w:rPr>
          <w:rStyle w:val="ac"/>
          <w:rtl/>
        </w:rPr>
        <w:footnoteRef/>
      </w:r>
      <w:r>
        <w:rPr>
          <w:rtl/>
        </w:rPr>
        <w:t>וה</w:t>
      </w:r>
      <w:r>
        <w:rPr>
          <w:b/>
          <w:bCs/>
          <w:rtl/>
        </w:rPr>
        <w:t>קובה”ע</w:t>
      </w:r>
      <w:r>
        <w:rPr>
          <w:rtl/>
        </w:rPr>
        <w:t xml:space="preserve"> (לח ג) הוסיף דע”כ יש עכשיו זיקה, דאינו ראוי שיחול זיקה אחרי שעת נפילה. ופי' דחל זיקה כלפי העתיד.</w:t>
      </w:r>
    </w:p>
  </w:footnote>
  <w:footnote w:id="2166">
    <w:p w14:paraId="540EAEFD" w14:textId="77777777" w:rsidR="006074A5" w:rsidRDefault="006074A5" w:rsidP="006074A5">
      <w:pPr>
        <w:pStyle w:val="Footnote"/>
        <w:bidi/>
      </w:pPr>
      <w:r>
        <w:rPr>
          <w:rStyle w:val="ac"/>
          <w:rtl/>
        </w:rPr>
        <w:footnoteRef/>
      </w:r>
      <w:r>
        <w:rPr>
          <w:rtl/>
        </w:rPr>
        <w:t>ויל"ד דתליא האם דין 'יש זיקה' הוא משום שעומדת לו להתייבם, או משום אישות המת שעדיין לא הותר. ועוד תליא האם יש 'זיקה' בחייבי לאו ועשה [ובזה יל"ד דהכא עדיף, דבעתיד זקוקה לו, ודין עיונא בעלמא].</w:t>
      </w:r>
    </w:p>
  </w:footnote>
  <w:footnote w:id="2167">
    <w:p w14:paraId="525C0C8E" w14:textId="77777777" w:rsidR="006074A5" w:rsidRDefault="006074A5" w:rsidP="006074A5">
      <w:pPr>
        <w:pStyle w:val="Footnote"/>
        <w:bidi/>
      </w:pPr>
      <w:r>
        <w:rPr>
          <w:rStyle w:val="ac"/>
          <w:rtl/>
        </w:rPr>
        <w:footnoteRef/>
      </w:r>
      <w:r>
        <w:rPr>
          <w:rtl/>
        </w:rPr>
        <w:t>ואף שהאשה גדולה, ומצווה על המצוות.</w:t>
      </w:r>
    </w:p>
  </w:footnote>
  <w:footnote w:id="2168">
    <w:p w14:paraId="305A8BF6" w14:textId="77777777" w:rsidR="006074A5" w:rsidRDefault="006074A5" w:rsidP="006074A5">
      <w:pPr>
        <w:pStyle w:val="Footnote"/>
        <w:bidi/>
      </w:pPr>
      <w:r>
        <w:rPr>
          <w:rStyle w:val="ac"/>
          <w:rtl/>
        </w:rPr>
        <w:footnoteRef/>
      </w:r>
      <w:r>
        <w:rPr>
          <w:rtl/>
        </w:rPr>
        <w:t>וה</w:t>
      </w:r>
      <w:r>
        <w:rPr>
          <w:b/>
          <w:bCs/>
          <w:rtl/>
        </w:rPr>
        <w:t>אחרונים</w:t>
      </w:r>
      <w:r>
        <w:rPr>
          <w:rtl/>
        </w:rPr>
        <w:t xml:space="preserve"> הביאו עוד מדברי </w:t>
      </w:r>
      <w:r>
        <w:rPr>
          <w:b/>
          <w:bCs/>
          <w:rtl/>
        </w:rPr>
        <w:t>רש”י</w:t>
      </w:r>
      <w:r>
        <w:rPr>
          <w:rtl/>
        </w:rPr>
        <w:t xml:space="preserve"> (לקמן נב.) ויתבאר במקומו בעזה"י.</w:t>
      </w:r>
    </w:p>
  </w:footnote>
  <w:footnote w:id="2169">
    <w:p w14:paraId="1CB8372F" w14:textId="77777777" w:rsidR="006074A5" w:rsidRDefault="006074A5" w:rsidP="006074A5">
      <w:pPr>
        <w:pStyle w:val="Footnote"/>
        <w:bidi/>
      </w:pPr>
      <w:r>
        <w:rPr>
          <w:rStyle w:val="ac"/>
          <w:rtl/>
        </w:rPr>
        <w:footnoteRef/>
      </w:r>
      <w:r>
        <w:rPr>
          <w:rtl/>
        </w:rPr>
        <w:t>ויש שהוסיפו דחלוצה אסורה לכהן מדרבנן, וס"ד דאי"צ להחמיר בזה טפי.</w:t>
      </w:r>
    </w:p>
  </w:footnote>
  <w:footnote w:id="2170">
    <w:p w14:paraId="6229BF3E" w14:textId="77777777" w:rsidR="006074A5" w:rsidRDefault="006074A5" w:rsidP="006074A5">
      <w:pPr>
        <w:pStyle w:val="Footnote"/>
        <w:bidi/>
      </w:pPr>
      <w:r>
        <w:rPr>
          <w:rStyle w:val="ac"/>
          <w:rtl/>
        </w:rPr>
        <w:footnoteRef/>
      </w:r>
      <w:r>
        <w:rPr>
          <w:rtl/>
        </w:rPr>
        <w:t>אבל ה</w:t>
      </w:r>
      <w:r>
        <w:rPr>
          <w:b/>
          <w:bCs/>
          <w:rtl/>
        </w:rPr>
        <w:t>אמר"מ</w:t>
      </w:r>
      <w:r>
        <w:rPr>
          <w:rtl/>
        </w:rPr>
        <w:t xml:space="preserve"> (ו א) דן דקנאה בביאה זו מדין קידושין [וע”ד הראשונים לעיל כ.], ולכן אינה ראויה להפטר בחליצה. [ודחה דא"כ צרתה תפטר, וכמו מאמר לבי"ש (לעיל כט. לדברי התו”י). ועי"ש עוד].</w:t>
      </w:r>
    </w:p>
  </w:footnote>
  <w:footnote w:id="2171">
    <w:p w14:paraId="769A9E10" w14:textId="77777777" w:rsidR="006074A5" w:rsidRDefault="006074A5" w:rsidP="006074A5">
      <w:pPr>
        <w:pStyle w:val="Footnote"/>
        <w:bidi/>
      </w:pPr>
      <w:r>
        <w:rPr>
          <w:rStyle w:val="ac"/>
          <w:rtl/>
        </w:rPr>
        <w:footnoteRef/>
      </w:r>
      <w:r>
        <w:rPr>
          <w:rtl/>
        </w:rPr>
        <w:t>ויש שדייקו דהריטב"א לא הביא כן בשם רש"י. דיש לדחות דרש"י קאי רק לענין דצריך ג"כ גט. ואין ראיה דל"מ חליצה בלא ייבום.</w:t>
      </w:r>
    </w:p>
  </w:footnote>
  <w:footnote w:id="2172">
    <w:p w14:paraId="24AEC546" w14:textId="77777777" w:rsidR="006074A5" w:rsidRDefault="006074A5" w:rsidP="006074A5">
      <w:pPr>
        <w:pStyle w:val="Footnote"/>
        <w:bidi/>
      </w:pPr>
      <w:r>
        <w:rPr>
          <w:rStyle w:val="ac"/>
          <w:rtl/>
        </w:rPr>
        <w:footnoteRef/>
      </w:r>
      <w:r>
        <w:rPr>
          <w:rtl/>
        </w:rPr>
        <w:t>ולמפרע יחשב שבא על אשת אח שלא במקום מצווה. ומש"ה צריך לייבם דוקא. [ולפ”ז יתכן שיש איסור לעשות שעבר עבירה למפרע. ואילו מדברי הריטב”א משמע דאין בזה איסור, אלא לעז].</w:t>
      </w:r>
    </w:p>
  </w:footnote>
  <w:footnote w:id="2173">
    <w:p w14:paraId="5FD2D2D6" w14:textId="77777777" w:rsidR="006074A5" w:rsidRDefault="006074A5" w:rsidP="006074A5">
      <w:pPr>
        <w:pStyle w:val="Footnote"/>
        <w:bidi/>
      </w:pPr>
      <w:r>
        <w:rPr>
          <w:rStyle w:val="ac"/>
          <w:rtl/>
        </w:rPr>
        <w:footnoteRef/>
      </w:r>
      <w:r>
        <w:rPr>
          <w:rtl/>
        </w:rPr>
        <w:t>וה</w:t>
      </w:r>
      <w:r>
        <w:rPr>
          <w:b/>
          <w:bCs/>
          <w:rtl/>
        </w:rPr>
        <w:t>גרנ"ט</w:t>
      </w:r>
      <w:r>
        <w:rPr>
          <w:rtl/>
        </w:rPr>
        <w:t xml:space="preserve"> ביאר דרק במקום שתתייבם לבסוף הותרה האיסור אשת אח [והוכיח כן מדברי אבא שאול (לקמן לט:)]. [ויל"ד דאף כשמת היבם נימא דנתברר שלא יבם. והאיך מתירין לקטן לבא על הגדולה, וניחוש שמא ימות ולא ייבם לבסוף].</w:t>
      </w:r>
    </w:p>
  </w:footnote>
  <w:footnote w:id="2174">
    <w:p w14:paraId="35EF55BA" w14:textId="77777777" w:rsidR="006074A5" w:rsidRDefault="006074A5" w:rsidP="006074A5">
      <w:pPr>
        <w:pStyle w:val="Footnote"/>
        <w:bidi/>
      </w:pPr>
      <w:r>
        <w:rPr>
          <w:rStyle w:val="ac"/>
          <w:rtl/>
        </w:rPr>
        <w:footnoteRef/>
      </w:r>
      <w:r>
        <w:rPr>
          <w:rtl/>
        </w:rPr>
        <w:t>וצ"ב דבכמה מקומות דהוה ספק איסור, היכא דנתברר שלא עבר איסור, אמרי' אגלאי מילתא דלא עבר איסור כלל. ומ"ש בסוגיין.</w:t>
      </w:r>
    </w:p>
  </w:footnote>
  <w:footnote w:id="2175">
    <w:p w14:paraId="39B88F52" w14:textId="77777777" w:rsidR="006074A5" w:rsidRDefault="006074A5" w:rsidP="006074A5">
      <w:pPr>
        <w:pStyle w:val="Footnote"/>
        <w:bidi/>
      </w:pPr>
      <w:r>
        <w:rPr>
          <w:rStyle w:val="ac"/>
          <w:rtl/>
        </w:rPr>
        <w:footnoteRef/>
      </w:r>
      <w:r>
        <w:rPr>
          <w:rtl/>
        </w:rPr>
        <w:t>וה</w:t>
      </w:r>
      <w:r>
        <w:rPr>
          <w:b/>
          <w:bCs/>
          <w:rtl/>
        </w:rPr>
        <w:t>אחרונים</w:t>
      </w:r>
      <w:r>
        <w:rPr>
          <w:rtl/>
        </w:rPr>
        <w:t xml:space="preserve"> ביארו דהתורה לא צוותה מצוות יבום באשה האסורה עליו [וע' מש”כ בזה לעיל כ:] {ואף דאסורה רק למצב מסויים}. וה</w:t>
      </w:r>
      <w:r>
        <w:rPr>
          <w:b/>
          <w:bCs/>
          <w:rtl/>
        </w:rPr>
        <w:t>קובה"ע</w:t>
      </w:r>
      <w:r>
        <w:rPr>
          <w:rtl/>
        </w:rPr>
        <w:t xml:space="preserve"> (לח ד) הק' דל"ד לחייבי לאו ועשה דהתם יש איסור אשת אח, ועוד דנתחדש דאינה זקוקה ליבום מחמת קרא ד'ועלתה'. אבל במעוברת אין קרא לפטור, ואין כאן איסור אשת אח. א”כ אמאי לא יקנה. [אבל לדברי האחרונים לק"מ].</w:t>
      </w:r>
    </w:p>
  </w:footnote>
  <w:footnote w:id="2176">
    <w:p w14:paraId="785F12F4" w14:textId="77777777" w:rsidR="006074A5" w:rsidRDefault="006074A5" w:rsidP="006074A5">
      <w:pPr>
        <w:pStyle w:val="Footnote"/>
        <w:bidi/>
      </w:pPr>
      <w:r>
        <w:rPr>
          <w:rStyle w:val="ac"/>
          <w:rtl/>
        </w:rPr>
        <w:footnoteRef/>
      </w:r>
      <w:r>
        <w:rPr>
          <w:rtl/>
        </w:rPr>
        <w:t>ו</w:t>
      </w:r>
      <w:r>
        <w:rPr>
          <w:b/>
          <w:bCs/>
          <w:rtl/>
        </w:rPr>
        <w:t>תוס</w:t>
      </w:r>
      <w:r>
        <w:rPr>
          <w:rtl/>
        </w:rPr>
        <w:t>' (ד"ה ונמצאת) דנו במקום דאינו ראוי לייבם מדרבנן [משום הבחנה] האם הוה חליצה בדיעבד. וה</w:t>
      </w:r>
      <w:r>
        <w:rPr>
          <w:b/>
          <w:bCs/>
          <w:rtl/>
        </w:rPr>
        <w:t>גר"א</w:t>
      </w:r>
      <w:r>
        <w:rPr>
          <w:rtl/>
        </w:rPr>
        <w:t xml:space="preserve"> (קסד ב) ציין ע"ז גמ' דידן.</w:t>
      </w:r>
    </w:p>
  </w:footnote>
  <w:footnote w:id="2177">
    <w:p w14:paraId="7267167F" w14:textId="77777777" w:rsidR="006074A5" w:rsidRDefault="006074A5" w:rsidP="006074A5">
      <w:pPr>
        <w:pStyle w:val="Footnote"/>
        <w:bidi/>
      </w:pPr>
      <w:r>
        <w:rPr>
          <w:rStyle w:val="ac"/>
          <w:rtl/>
        </w:rPr>
        <w:footnoteRef/>
      </w:r>
      <w:r>
        <w:rPr>
          <w:rtl/>
        </w:rPr>
        <w:t>וכתב דאי משום איסור ספק, הא כיון שעבר והא עליה אמאי לא פטרה לצרה. וכת' דלא דמי לחייבי לאו ועשה שאם בעלו ל"ק, התם איסור דבר אחר גרם לו. אבל הכא את"ל דאינה ראויה ליבום, א"כ הוה אשת אח שלא במקום מצווה, ואף ל"צ חליצה.</w:t>
      </w:r>
    </w:p>
  </w:footnote>
  <w:footnote w:id="2178">
    <w:p w14:paraId="77D6E9B7" w14:textId="77777777" w:rsidR="006074A5" w:rsidRDefault="006074A5" w:rsidP="006074A5">
      <w:pPr>
        <w:pStyle w:val="Footnote"/>
        <w:bidi/>
      </w:pPr>
      <w:r>
        <w:rPr>
          <w:rStyle w:val="ac"/>
          <w:rtl/>
        </w:rPr>
        <w:footnoteRef/>
      </w:r>
      <w:r>
        <w:rPr>
          <w:rtl/>
        </w:rPr>
        <w:t>ויל"ד חייבי עשה שהיא ג"כ מעוברת, האם נימא דכיון דבלאו הכי זיקתה לחליצה, מהני חליצה בעודה מעוברת.</w:t>
      </w:r>
    </w:p>
  </w:footnote>
  <w:footnote w:id="2179">
    <w:p w14:paraId="0AD0FAC2" w14:textId="77777777" w:rsidR="006074A5" w:rsidRDefault="006074A5" w:rsidP="006074A5">
      <w:pPr>
        <w:pStyle w:val="Footnote"/>
        <w:bidi/>
      </w:pPr>
      <w:r>
        <w:rPr>
          <w:rStyle w:val="ac"/>
          <w:rtl/>
        </w:rPr>
        <w:footnoteRef/>
      </w:r>
      <w:r>
        <w:rPr>
          <w:rtl/>
        </w:rPr>
        <w:t>וה</w:t>
      </w:r>
      <w:r>
        <w:rPr>
          <w:b/>
          <w:bCs/>
          <w:rtl/>
        </w:rPr>
        <w:t>רמב"ם</w:t>
      </w:r>
      <w:r>
        <w:rPr>
          <w:rtl/>
        </w:rPr>
        <w:t xml:space="preserve"> (מלכים ב ג, ויתבאר לקמן מא:) כת' דאלמנה של מלך כיון דאינה ראויה ליבום, אין חולצין לאשתו. ותשב לעולם בזיקתה. וה</w:t>
      </w:r>
      <w:r>
        <w:rPr>
          <w:b/>
          <w:bCs/>
          <w:rtl/>
        </w:rPr>
        <w:t>אחרונים</w:t>
      </w:r>
      <w:r>
        <w:rPr>
          <w:rtl/>
        </w:rPr>
        <w:t xml:space="preserve"> (הנ"ל) ביארו דכיון שבפועל א"א ליבם, נתמעט מחליצה. ועוד דנו האחרונים ביבמה שקבלה קידושין [ע' מה שהו' לעיל טז. ולקמן מא:].</w:t>
      </w:r>
    </w:p>
  </w:footnote>
  <w:footnote w:id="2180">
    <w:p w14:paraId="0E309FE6" w14:textId="77777777" w:rsidR="006074A5" w:rsidRDefault="006074A5" w:rsidP="006074A5">
      <w:pPr>
        <w:pStyle w:val="Footnote"/>
        <w:bidi/>
      </w:pPr>
      <w:r>
        <w:rPr>
          <w:rStyle w:val="ac"/>
          <w:rtl/>
        </w:rPr>
        <w:footnoteRef/>
      </w:r>
      <w:r>
        <w:rPr>
          <w:rtl/>
        </w:rPr>
        <w:t>וה</w:t>
      </w:r>
      <w:r>
        <w:rPr>
          <w:b/>
          <w:bCs/>
          <w:rtl/>
        </w:rPr>
        <w:t>אחרונים</w:t>
      </w:r>
      <w:r>
        <w:rPr>
          <w:rtl/>
        </w:rPr>
        <w:t xml:space="preserve"> העירו דלפ"ז חייבי עשה שמעוברת תהני חליצתה, דבלאו הכי אינה זקוקה ליבום כלל.</w:t>
      </w:r>
    </w:p>
  </w:footnote>
  <w:footnote w:id="2181">
    <w:p w14:paraId="7A72EF9A" w14:textId="77777777" w:rsidR="006074A5" w:rsidRDefault="006074A5" w:rsidP="006074A5">
      <w:pPr>
        <w:pStyle w:val="Footnote"/>
        <w:bidi/>
      </w:pPr>
      <w:r>
        <w:rPr>
          <w:rStyle w:val="ac"/>
          <w:rtl/>
        </w:rPr>
        <w:footnoteRef/>
      </w:r>
      <w:r>
        <w:rPr>
          <w:rtl/>
        </w:rPr>
        <w:t>ואף דבפשוטו נדה הוה כחייבי עשה דזקוקה לחליצה [אף למש”כ הרא”ש דלא הוה ערוה].</w:t>
      </w:r>
    </w:p>
  </w:footnote>
  <w:footnote w:id="2182">
    <w:p w14:paraId="265ED7DD" w14:textId="77777777" w:rsidR="006074A5" w:rsidRDefault="006074A5" w:rsidP="006074A5">
      <w:pPr>
        <w:pStyle w:val="Footnote"/>
        <w:bidi/>
      </w:pPr>
      <w:r>
        <w:rPr>
          <w:rStyle w:val="ac"/>
          <w:rtl/>
        </w:rPr>
        <w:footnoteRef/>
      </w:r>
      <w:r>
        <w:rPr>
          <w:rtl/>
        </w:rPr>
        <w:t>וה</w:t>
      </w:r>
      <w:r>
        <w:rPr>
          <w:b/>
          <w:bCs/>
          <w:rtl/>
        </w:rPr>
        <w:t>אחרונים</w:t>
      </w:r>
      <w:r>
        <w:rPr>
          <w:rtl/>
        </w:rPr>
        <w:t xml:space="preserve"> הקשו דלא מצאנו דלר' יוחנן ילפי' מעין עליו, והרי ס”ל דמהני איגלאי למפרע.</w:t>
      </w:r>
    </w:p>
  </w:footnote>
  <w:footnote w:id="2183">
    <w:p w14:paraId="1F8C08F0" w14:textId="77777777" w:rsidR="006074A5" w:rsidRDefault="006074A5" w:rsidP="006074A5">
      <w:pPr>
        <w:pStyle w:val="Footnote"/>
        <w:bidi/>
      </w:pPr>
      <w:r>
        <w:rPr>
          <w:rStyle w:val="ac"/>
          <w:rtl/>
        </w:rPr>
        <w:footnoteRef/>
      </w:r>
      <w:r>
        <w:rPr>
          <w:rtl/>
        </w:rPr>
        <w:t>והאמר"מ הק' דאם בא עליה תפטר ממ"נ, ועי"ש.</w:t>
      </w:r>
    </w:p>
  </w:footnote>
  <w:footnote w:id="2184">
    <w:p w14:paraId="5A3F95E2" w14:textId="77777777" w:rsidR="006074A5" w:rsidRDefault="006074A5" w:rsidP="006074A5">
      <w:pPr>
        <w:pStyle w:val="Footnote"/>
        <w:bidi/>
      </w:pPr>
      <w:r>
        <w:rPr>
          <w:rStyle w:val="ac"/>
          <w:rtl/>
        </w:rPr>
        <w:footnoteRef/>
      </w:r>
      <w:r>
        <w:rPr>
          <w:rtl/>
        </w:rPr>
        <w:t>וה</w:t>
      </w:r>
      <w:r>
        <w:rPr>
          <w:b/>
          <w:bCs/>
          <w:rtl/>
        </w:rPr>
        <w:t>רמב"ן</w:t>
      </w:r>
      <w:r>
        <w:rPr>
          <w:rtl/>
        </w:rPr>
        <w:t xml:space="preserve"> (לה:) ביאר בזה דהמשנה נקטה </w:t>
      </w:r>
      <w:r>
        <w:rPr>
          <w:i/>
          <w:iCs/>
          <w:rtl/>
        </w:rPr>
        <w:t>נמצאת</w:t>
      </w:r>
      <w:r>
        <w:rPr>
          <w:rtl/>
        </w:rPr>
        <w:t xml:space="preserve"> מעוברת לרבותא, דהולד מוכיח ומותרת לכהונה, ואף שלא היה ניכר בשעת חליצה.</w:t>
      </w:r>
    </w:p>
  </w:footnote>
  <w:footnote w:id="2185">
    <w:p w14:paraId="5465EFDE" w14:textId="77777777" w:rsidR="006074A5" w:rsidRDefault="006074A5" w:rsidP="006074A5">
      <w:pPr>
        <w:pStyle w:val="Footnote"/>
        <w:bidi/>
      </w:pPr>
      <w:r>
        <w:rPr>
          <w:rStyle w:val="ac"/>
          <w:rtl/>
        </w:rPr>
        <w:footnoteRef/>
      </w:r>
      <w:r>
        <w:rPr>
          <w:rtl/>
        </w:rPr>
        <w:t>וכמו במקום דיש חשש קנוניא, שמלמדים להדיר בהנאה. אך הק' דהו"ל לגמ' לפרש כן בסוגיין.</w:t>
      </w:r>
    </w:p>
  </w:footnote>
  <w:footnote w:id="2186">
    <w:p w14:paraId="65AFFFA6" w14:textId="77777777" w:rsidR="006074A5" w:rsidRDefault="006074A5" w:rsidP="006074A5">
      <w:pPr>
        <w:pStyle w:val="Footnote"/>
        <w:bidi/>
      </w:pPr>
      <w:r>
        <w:rPr>
          <w:rStyle w:val="ac"/>
          <w:rtl/>
        </w:rPr>
        <w:footnoteRef/>
      </w:r>
      <w:r>
        <w:rPr>
          <w:rtl/>
        </w:rPr>
        <w:t>ובגמ' (ב"ק פח:) אי' וכי זבין לאו דידיה זבן. ו</w:t>
      </w:r>
      <w:r>
        <w:rPr>
          <w:b/>
          <w:bCs/>
          <w:rtl/>
        </w:rPr>
        <w:t>רשב"ם</w:t>
      </w:r>
      <w:r>
        <w:rPr>
          <w:rtl/>
        </w:rPr>
        <w:t xml:space="preserve"> (ב"ב נ. ד"ה כקנין) כת' דקנין הגוף [בלא ק"פ] אינו כלום, דאין גופו עומד אלא לפירות. הילכך ראשון [בעל קנין פירות] קרוי אדון.</w:t>
      </w:r>
    </w:p>
  </w:footnote>
  <w:footnote w:id="2187">
    <w:p w14:paraId="2BEF61A4" w14:textId="77777777" w:rsidR="006074A5" w:rsidRDefault="006074A5" w:rsidP="006074A5">
      <w:pPr>
        <w:pStyle w:val="Footnote"/>
        <w:bidi/>
      </w:pPr>
      <w:r>
        <w:rPr>
          <w:rStyle w:val="ac"/>
          <w:rtl/>
        </w:rPr>
        <w:footnoteRef/>
      </w:r>
      <w:r>
        <w:rPr>
          <w:rtl/>
        </w:rPr>
        <w:t>וה</w:t>
      </w:r>
      <w:r>
        <w:rPr>
          <w:b/>
          <w:bCs/>
          <w:rtl/>
        </w:rPr>
        <w:t>רמ"ה</w:t>
      </w:r>
      <w:r>
        <w:rPr>
          <w:rtl/>
        </w:rPr>
        <w:t xml:space="preserve"> (שם קעט) פי' באופ"א. וע”ע בעה”מ (שם קכה: נד: בדה"ר).</w:t>
      </w:r>
    </w:p>
  </w:footnote>
  <w:footnote w:id="2188">
    <w:p w14:paraId="19819E5B" w14:textId="77777777" w:rsidR="006074A5" w:rsidRDefault="006074A5" w:rsidP="006074A5">
      <w:pPr>
        <w:pStyle w:val="Footnote"/>
        <w:bidi/>
      </w:pPr>
      <w:r>
        <w:rPr>
          <w:rStyle w:val="ac"/>
          <w:rtl/>
        </w:rPr>
        <w:footnoteRef/>
      </w:r>
      <w:r>
        <w:rPr>
          <w:rtl/>
        </w:rPr>
        <w:t>ולכאורה מבואר דדין ק”פ כקה”ג שייך לאומדנא שמקנה.</w:t>
      </w:r>
    </w:p>
  </w:footnote>
  <w:footnote w:id="2189">
    <w:p w14:paraId="1CA4D15E" w14:textId="77777777" w:rsidR="006074A5" w:rsidRDefault="006074A5" w:rsidP="006074A5">
      <w:pPr>
        <w:pStyle w:val="Footnote"/>
        <w:bidi/>
      </w:pPr>
      <w:r>
        <w:rPr>
          <w:rStyle w:val="ac"/>
          <w:rtl/>
        </w:rPr>
        <w:footnoteRef/>
      </w:r>
      <w:r>
        <w:rPr>
          <w:rtl/>
        </w:rPr>
        <w:t>ואף דמבואר (ב"ק פח, וב"ב נ) דאמרי' בזה קנין פירות כקנין הגוף, היינו דזכות הבעל לקבל פירות מעכב שלא יחשב של האשה. ואף שאין לו קנין כלפי הפירות.</w:t>
      </w:r>
    </w:p>
  </w:footnote>
  <w:footnote w:id="2190">
    <w:p w14:paraId="7A00C17C" w14:textId="77777777" w:rsidR="006074A5" w:rsidRDefault="006074A5" w:rsidP="006074A5">
      <w:pPr>
        <w:pStyle w:val="Footnote"/>
        <w:bidi/>
      </w:pPr>
      <w:r>
        <w:rPr>
          <w:rStyle w:val="ac"/>
          <w:rtl/>
        </w:rPr>
        <w:footnoteRef/>
      </w:r>
      <w:r>
        <w:rPr>
          <w:rtl/>
        </w:rPr>
        <w:t>וזה קשה אף לתי' התוס' דבאיסור דאורייתא לא חיישינן. והאחרונים כתבו ע"פ המרדכי דדוקא סוטה דמאיסה ליה לא חיישינן.</w:t>
      </w:r>
    </w:p>
  </w:footnote>
  <w:footnote w:id="2191">
    <w:p w14:paraId="0A0BB70C" w14:textId="77777777" w:rsidR="006074A5" w:rsidRDefault="006074A5" w:rsidP="006074A5">
      <w:pPr>
        <w:pStyle w:val="Footnote"/>
        <w:bidi/>
      </w:pPr>
      <w:r>
        <w:rPr>
          <w:rStyle w:val="ac"/>
          <w:rtl/>
        </w:rPr>
        <w:footnoteRef/>
      </w:r>
      <w:r>
        <w:rPr>
          <w:rtl/>
        </w:rPr>
        <w:t>משמע דהוה מטעם 'הואיל', ולא משום דמוציא לעז על הראשון [שהרי בני יבמה לשוק כשרים].</w:t>
      </w:r>
    </w:p>
  </w:footnote>
  <w:footnote w:id="2192">
    <w:p w14:paraId="7E7A0AB7" w14:textId="77777777" w:rsidR="006074A5" w:rsidRDefault="006074A5" w:rsidP="006074A5">
      <w:pPr>
        <w:pStyle w:val="Footnote"/>
        <w:bidi/>
      </w:pPr>
      <w:r>
        <w:rPr>
          <w:rStyle w:val="ac"/>
          <w:rtl/>
        </w:rPr>
        <w:footnoteRef/>
      </w:r>
      <w:r>
        <w:rPr>
          <w:rtl/>
        </w:rPr>
        <w:t>וצ"ב דהרא"ש ג"כ נקט לשון זה.</w:t>
      </w:r>
    </w:p>
  </w:footnote>
  <w:footnote w:id="2193">
    <w:p w14:paraId="2AFA1A00" w14:textId="77777777" w:rsidR="006074A5" w:rsidRDefault="006074A5" w:rsidP="006074A5">
      <w:pPr>
        <w:pStyle w:val="Footnote"/>
        <w:bidi/>
      </w:pPr>
      <w:r>
        <w:rPr>
          <w:rStyle w:val="ac"/>
          <w:rtl/>
        </w:rPr>
        <w:footnoteRef/>
      </w:r>
      <w:r>
        <w:rPr>
          <w:rtl/>
        </w:rPr>
        <w:t>ויל"ד לפ"ז היכא דהוכרח לברוח מחמת המלכות וכדו', דליכא גילוי דעת. אלא דמ"מ אינה עומדת שיכניסנה. [וכ"מ מדברי הרא"ש (הנ"ל) דאף כשאמרו לו לברוח].</w:t>
      </w:r>
    </w:p>
  </w:footnote>
  <w:footnote w:id="2194">
    <w:p w14:paraId="57C42DDE" w14:textId="77777777" w:rsidR="006074A5" w:rsidRDefault="006074A5" w:rsidP="006074A5">
      <w:pPr>
        <w:pStyle w:val="Footnote"/>
        <w:bidi/>
      </w:pPr>
      <w:r>
        <w:rPr>
          <w:rStyle w:val="ac"/>
          <w:rtl/>
        </w:rPr>
        <w:footnoteRef/>
      </w:r>
      <w:r>
        <w:rPr>
          <w:rtl/>
        </w:rPr>
        <w:t>דאם לא כן מה הפסיד במה שכנס באיסור. [וע"ד הא דאי' נדרים כ.].</w:t>
      </w:r>
    </w:p>
  </w:footnote>
  <w:footnote w:id="2195">
    <w:p w14:paraId="1C207C83" w14:textId="77777777" w:rsidR="006074A5" w:rsidRDefault="006074A5" w:rsidP="006074A5">
      <w:pPr>
        <w:pStyle w:val="Footnote"/>
        <w:bidi/>
      </w:pPr>
      <w:r>
        <w:rPr>
          <w:rStyle w:val="ac"/>
          <w:rtl/>
        </w:rPr>
        <w:footnoteRef/>
      </w:r>
      <w:r>
        <w:rPr>
          <w:rtl/>
        </w:rPr>
        <w:t>דהא עיקר תקנת הבחנה שמא ישא אחותו וכו' הוא צד רחוק קצת.</w:t>
      </w:r>
    </w:p>
  </w:footnote>
  <w:footnote w:id="2196">
    <w:p w14:paraId="25555F6B" w14:textId="77777777" w:rsidR="006074A5" w:rsidRDefault="006074A5" w:rsidP="006074A5">
      <w:pPr>
        <w:pStyle w:val="Footnote"/>
        <w:bidi/>
      </w:pPr>
      <w:r>
        <w:rPr>
          <w:rStyle w:val="ac"/>
          <w:rtl/>
        </w:rPr>
        <w:footnoteRef/>
      </w:r>
      <w:r>
        <w:rPr>
          <w:rtl/>
        </w:rPr>
        <w:t>עכ"פ נפק"מ באשה שע"פ רוב היא עקרה, לא נסמוך על רוב זה [אף באופן דעקרה מותרת, ע' לעיל לה.]. וחיישי' למיעוטא.</w:t>
      </w:r>
    </w:p>
  </w:footnote>
  <w:footnote w:id="2197">
    <w:p w14:paraId="573A5DB1" w14:textId="77777777" w:rsidR="006074A5" w:rsidRDefault="006074A5" w:rsidP="006074A5">
      <w:pPr>
        <w:pStyle w:val="Footnote"/>
        <w:bidi/>
      </w:pPr>
      <w:r>
        <w:rPr>
          <w:rStyle w:val="ac"/>
          <w:rtl/>
        </w:rPr>
        <w:footnoteRef/>
      </w:r>
      <w:r>
        <w:rPr>
          <w:rtl/>
        </w:rPr>
        <w:t>ואף מעוברת תוך מ' יום [דהוה מיא בעלמא], מ"מ יש דין עיין עליו. אבל כל זמן שלא נקלט כלל הזרע, ואין כאן צד בן לפנינו. מש"ה חל דין יבום, ותו לא פקע.</w:t>
      </w:r>
    </w:p>
  </w:footnote>
  <w:footnote w:id="2198">
    <w:p w14:paraId="752936A0" w14:textId="77777777" w:rsidR="006074A5" w:rsidRDefault="006074A5" w:rsidP="006074A5">
      <w:pPr>
        <w:pStyle w:val="Footnote"/>
        <w:bidi/>
      </w:pPr>
      <w:r>
        <w:rPr>
          <w:rStyle w:val="ac"/>
          <w:rtl/>
        </w:rPr>
        <w:footnoteRef/>
      </w:r>
      <w:r>
        <w:rPr>
          <w:rtl/>
        </w:rPr>
        <w:t>ויל"ד כה"ג מי יורש את המת. ולכאו' לדעת ר' יהודה (מ.) דהאב יורש במקום יבם, לכאורה כ"ש הבן. אבל לדעת רבנן דירושת יבם קודם, אך ירושת הבן הוה משום שקם תחת אביו. וי"ל דקדים ליבם.</w:t>
      </w:r>
    </w:p>
  </w:footnote>
  <w:footnote w:id="2199">
    <w:p w14:paraId="49218479" w14:textId="77777777" w:rsidR="006074A5" w:rsidRDefault="006074A5" w:rsidP="006074A5">
      <w:pPr>
        <w:pStyle w:val="Footnote"/>
        <w:bidi/>
      </w:pPr>
      <w:r>
        <w:rPr>
          <w:rStyle w:val="ac"/>
          <w:rtl/>
        </w:rPr>
        <w:footnoteRef/>
      </w:r>
      <w:r>
        <w:rPr>
          <w:rtl/>
        </w:rPr>
        <w:t>ובסו"ד חשש למעשה, מאחר דהפוסקים סתמו בדבר.</w:t>
      </w:r>
    </w:p>
  </w:footnote>
  <w:footnote w:id="2200">
    <w:p w14:paraId="25E3E29C" w14:textId="77777777" w:rsidR="006074A5" w:rsidRDefault="006074A5" w:rsidP="006074A5">
      <w:pPr>
        <w:pStyle w:val="Footnote"/>
        <w:bidi/>
      </w:pPr>
      <w:r>
        <w:rPr>
          <w:rStyle w:val="ac"/>
          <w:rtl/>
        </w:rPr>
        <w:footnoteRef/>
      </w:r>
      <w:r>
        <w:rPr>
          <w:rtl/>
        </w:rPr>
        <w:t>ולכאורה גדר הדבר דמכאן ולהבא נעקר הזיקה וצורך ביבום [ואף לולי קרא]. [דצ"ע האם נימא דכל ג' ימים דראויה עדיין להקלט הוה בכלל גזיה"כ ד'עין עליו' ועדיין לא זקוקה ליבום].</w:t>
      </w:r>
    </w:p>
  </w:footnote>
  <w:footnote w:id="2201">
    <w:p w14:paraId="32794D8B" w14:textId="77777777" w:rsidR="006074A5" w:rsidRDefault="006074A5" w:rsidP="006074A5">
      <w:pPr>
        <w:pStyle w:val="Footnote"/>
        <w:bidi/>
      </w:pPr>
      <w:r>
        <w:rPr>
          <w:rStyle w:val="ac"/>
          <w:rtl/>
        </w:rPr>
        <w:footnoteRef/>
      </w:r>
      <w:r>
        <w:rPr>
          <w:rtl/>
        </w:rPr>
        <w:t>וה</w:t>
      </w:r>
      <w:r>
        <w:rPr>
          <w:b/>
          <w:bCs/>
          <w:rtl/>
        </w:rPr>
        <w:t>מהרצ"ח</w:t>
      </w:r>
      <w:r>
        <w:rPr>
          <w:rtl/>
        </w:rPr>
        <w:t xml:space="preserve"> תי' דבמקום מצווה הקילו לסמוך על רוב דעוברה ניכר, וכיון דלא הוכר בצ' יום תתייבם. א"נ דהוה מיעוט שאינו מצוי. וכת' עוד דאפי' מעוברת דילמא לאו בר קיימא. [וצ"ב כוונתו, ואולי משום דדמי לספק ספיקא].</w:t>
      </w:r>
    </w:p>
  </w:footnote>
  <w:footnote w:id="2202">
    <w:p w14:paraId="72A0A349" w14:textId="77777777" w:rsidR="006074A5" w:rsidRDefault="006074A5" w:rsidP="006074A5">
      <w:pPr>
        <w:pStyle w:val="Footnote"/>
        <w:bidi/>
      </w:pPr>
      <w:r>
        <w:rPr>
          <w:rStyle w:val="ac"/>
          <w:rtl/>
        </w:rPr>
        <w:footnoteRef/>
      </w:r>
      <w:r>
        <w:rPr>
          <w:rtl/>
        </w:rPr>
        <w:t>והביא דה</w:t>
      </w:r>
      <w:r>
        <w:rPr>
          <w:b/>
          <w:bCs/>
          <w:rtl/>
        </w:rPr>
        <w:t>רשב"א</w:t>
      </w:r>
      <w:r>
        <w:rPr>
          <w:rtl/>
        </w:rPr>
        <w:t xml:space="preserve"> (תוה"ב ז ו כח: בדה"ס) כת' דהמפלת ליום מ"א חוששת שמא לא נקלט עד יום ג', וטמאה נדה דהוה תוך מ'. ולענין טומאת נדה ניזל בתר רוב. ותי' דשאני התם כיון דהפילה בפנינו אתרע הרוב, דלאחר שנעשה בן מ' יום אין דרך להפיל ומורה יותר דעדיין לא היה ולד רק מיא בעלמא.</w:t>
      </w:r>
    </w:p>
  </w:footnote>
  <w:footnote w:id="2203">
    <w:p w14:paraId="17A526E7" w14:textId="77777777" w:rsidR="006074A5" w:rsidRDefault="006074A5" w:rsidP="006074A5">
      <w:pPr>
        <w:pStyle w:val="Footnote"/>
        <w:bidi/>
      </w:pPr>
      <w:r>
        <w:rPr>
          <w:rStyle w:val="ac"/>
          <w:rtl/>
        </w:rPr>
        <w:footnoteRef/>
      </w:r>
      <w:r>
        <w:rPr>
          <w:rtl/>
        </w:rPr>
        <w:t>והוכח כן מהגמ' (קידושין פ.). [ואפשר דתליא בדברי התוס' (קידושין שם), ואכ"מ].</w:t>
      </w:r>
    </w:p>
  </w:footnote>
  <w:footnote w:id="2204">
    <w:p w14:paraId="35D2174D" w14:textId="77777777" w:rsidR="006074A5" w:rsidRDefault="006074A5" w:rsidP="006074A5">
      <w:pPr>
        <w:pStyle w:val="Footnote"/>
        <w:bidi/>
      </w:pPr>
      <w:r>
        <w:rPr>
          <w:rStyle w:val="ac"/>
          <w:rtl/>
        </w:rPr>
        <w:footnoteRef/>
      </w:r>
      <w:r>
        <w:rPr>
          <w:rtl/>
        </w:rPr>
        <w:t>ועד"ז הק' ה</w:t>
      </w:r>
      <w:r>
        <w:rPr>
          <w:b/>
          <w:bCs/>
          <w:rtl/>
        </w:rPr>
        <w:t>רשב"א</w:t>
      </w:r>
      <w:r>
        <w:rPr>
          <w:rtl/>
        </w:rPr>
        <w:t xml:space="preserve"> (בע"ב לענין ירושה) דבספק ביבם יהני החזקה שעומדת ליבום. וע"ע בע"ב.</w:t>
      </w:r>
    </w:p>
  </w:footnote>
  <w:footnote w:id="2205">
    <w:p w14:paraId="57D4C554" w14:textId="77777777" w:rsidR="006074A5" w:rsidRDefault="006074A5" w:rsidP="006074A5">
      <w:pPr>
        <w:pStyle w:val="Footnote"/>
        <w:bidi/>
      </w:pPr>
      <w:r>
        <w:rPr>
          <w:rStyle w:val="ac"/>
          <w:rtl/>
        </w:rPr>
        <w:footnoteRef/>
      </w:r>
      <w:r>
        <w:rPr>
          <w:rtl/>
        </w:rPr>
        <w:t>{ולכאורה מסברא במקום שיש רוב כנגד רוב היה צריך לקבוע איזה רוב יותר מצוי [וכגון אי רוב דעוברן ניכר הוה שבעים אחוז, ואילו רוב לט' ילדין הוה תשעים אחוז, א"כ רוב זה עדיף]. אך משמע דכיון דתרוייהו יש להם דין רוב, מש"ה נחשב הילכתא דרוב כנגד הילכתא דרוב. ולא איכפ"ל איזה רוב עדיף. אך עוד יל”ד דאי נימא דרוב א' מצוי טפי, א”כ נימא דיש הכרעת רוב על המצב שיש בו סתירה בין גדרי הרוב. דרוב נשים דאינו ניכר ו' חדשים לפני הלידה הוה משום דאין עוברן ניכר. ולכאו' צ"ל דאין זה מין בפנ”ע, דנימא דשייך בזה דין רובא דליתא קמן. א”נ כל זמן שלא נתברר לבי”ד המציאות במין זה ל”ש בזה דין רוב}.</w:t>
      </w:r>
    </w:p>
  </w:footnote>
  <w:footnote w:id="2206">
    <w:p w14:paraId="18A317FC" w14:textId="77777777" w:rsidR="006074A5" w:rsidRDefault="006074A5" w:rsidP="006074A5">
      <w:pPr>
        <w:pStyle w:val="Footnote"/>
        <w:bidi/>
      </w:pPr>
      <w:r>
        <w:rPr>
          <w:rStyle w:val="ac"/>
          <w:rtl/>
        </w:rPr>
        <w:footnoteRef/>
      </w:r>
      <w:r>
        <w:rPr>
          <w:rtl/>
        </w:rPr>
        <w:t>וה</w:t>
      </w:r>
      <w:r>
        <w:rPr>
          <w:b/>
          <w:bCs/>
          <w:rtl/>
        </w:rPr>
        <w:t>קוב"ש</w:t>
      </w:r>
      <w:r>
        <w:rPr>
          <w:rtl/>
        </w:rPr>
        <w:t xml:space="preserve"> (ב"ב פא) דן דשייך לנידון האם מהני חזקה במקום תרי ותרי [דלמ"ד (לעיל לא.) תרי ותרי ספיקא דאורייתא כיון דל"מ חזקה כנגד עדים, ה"נ ל"מ להכריע במקום סתירה בין העדים]. ולמ"ד תו"ת ספיקא דרבנן כמו שמהני חזקה להכריע במקום ספק העדים, מהני אף במקום רוב כנגד רוב. [וה</w:t>
      </w:r>
      <w:r>
        <w:rPr>
          <w:b/>
          <w:bCs/>
          <w:rtl/>
        </w:rPr>
        <w:t>אחרונים</w:t>
      </w:r>
      <w:r>
        <w:rPr>
          <w:rtl/>
        </w:rPr>
        <w:t xml:space="preserve"> דחו דהכרעת רוב הוה גדר בדין, וכמאן דאיתא. ול"ד לעדות דהיכא דליכא הכרעה ע"פ העדים י"ל כמאן דליתא].</w:t>
      </w:r>
    </w:p>
  </w:footnote>
  <w:footnote w:id="2207">
    <w:p w14:paraId="43DBEAAD" w14:textId="77777777" w:rsidR="006074A5" w:rsidRDefault="006074A5" w:rsidP="006074A5">
      <w:pPr>
        <w:pStyle w:val="Footnote"/>
        <w:bidi/>
      </w:pPr>
      <w:r>
        <w:rPr>
          <w:rStyle w:val="ac"/>
          <w:rtl/>
        </w:rPr>
        <w:footnoteRef/>
      </w:r>
      <w:r>
        <w:rPr>
          <w:rtl/>
        </w:rPr>
        <w:t>[אך יש לדחות דמהני הכרעת הרוב שהאשה שייכת לאלו שניכר בשליש ימיה. ועפ"ז בי"ד רואים דודאי לא הוה של ראשון].</w:t>
      </w:r>
    </w:p>
  </w:footnote>
  <w:footnote w:id="2208">
    <w:p w14:paraId="66C6B74D" w14:textId="77777777" w:rsidR="006074A5" w:rsidRDefault="006074A5" w:rsidP="006074A5">
      <w:pPr>
        <w:pStyle w:val="Footnote"/>
        <w:bidi/>
      </w:pPr>
      <w:r>
        <w:rPr>
          <w:rStyle w:val="ac"/>
          <w:rtl/>
        </w:rPr>
        <w:footnoteRef/>
      </w:r>
      <w:r>
        <w:rPr>
          <w:rtl/>
        </w:rPr>
        <w:t>[ועפ"ז באמת כוונת התוס' קרוב לדברי רע"א].</w:t>
      </w:r>
    </w:p>
  </w:footnote>
  <w:footnote w:id="2209">
    <w:p w14:paraId="7072F79C" w14:textId="77777777" w:rsidR="006074A5" w:rsidRDefault="006074A5" w:rsidP="006074A5">
      <w:pPr>
        <w:pStyle w:val="Footnote"/>
        <w:bidi/>
      </w:pPr>
      <w:r>
        <w:rPr>
          <w:rStyle w:val="ac"/>
          <w:rtl/>
        </w:rPr>
        <w:footnoteRef/>
      </w:r>
      <w:r>
        <w:rPr>
          <w:rtl/>
        </w:rPr>
        <w:t>קב ונקי פ</w:t>
      </w:r>
      <w:r>
        <w:rPr>
          <w:b/>
          <w:bCs/>
          <w:rtl/>
        </w:rPr>
        <w:t>רש”י</w:t>
      </w:r>
      <w:r>
        <w:rPr>
          <w:rtl/>
        </w:rPr>
        <w:t xml:space="preserve"> (לקמן מט:, עירובין סב:) במקומות מועטין מוזכר במשנה [או בברייתא]. [ומשמע דקי"ל כוותיה ע"פ המקומות שהביא רבי דבריו. אך החכ”צ הק' דלקמן מט: מבואר דהך כלל היה לפני רבי]. וב</w:t>
      </w:r>
      <w:r>
        <w:rPr>
          <w:b/>
          <w:bCs/>
          <w:rtl/>
        </w:rPr>
        <w:t>חי' ר"א מן ההר</w:t>
      </w:r>
      <w:r>
        <w:rPr>
          <w:rtl/>
        </w:rPr>
        <w:t xml:space="preserve"> כת' שהטעם שדבריו הם מועטין. ועד"ז כת' </w:t>
      </w:r>
      <w:r>
        <w:rPr>
          <w:b/>
          <w:bCs/>
          <w:rtl/>
        </w:rPr>
        <w:t>רש"י</w:t>
      </w:r>
      <w:r>
        <w:rPr>
          <w:rtl/>
        </w:rPr>
        <w:t xml:space="preserve"> (גיטין סז., ועד"ז בכורות כג:) שלא לימד הרבה.</w:t>
      </w:r>
    </w:p>
    <w:p w14:paraId="0592186E" w14:textId="77777777" w:rsidR="006074A5" w:rsidRDefault="006074A5" w:rsidP="006074A5">
      <w:pPr>
        <w:pStyle w:val="Footnote"/>
        <w:bidi/>
      </w:pPr>
      <w:r>
        <w:rPr>
          <w:rtl/>
        </w:rPr>
        <w:tab/>
        <w:t>וב</w:t>
      </w:r>
      <w:r>
        <w:rPr>
          <w:b/>
          <w:bCs/>
          <w:rtl/>
        </w:rPr>
        <w:t>שו"ת הרי"ד</w:t>
      </w:r>
      <w:r>
        <w:rPr>
          <w:rtl/>
        </w:rPr>
        <w:t xml:space="preserve"> (א) פי' דכל חכם היה שונה לתלמידיו בלשון שקבל מרבו, יש מי שהיה מאריך ויש מי שהיה מקצר, והיה שונה העיקרים ומניח את הטפל. וראב"י היה מסלת משנתו שלא היה שונה אלא העיקר והצורך וההלכה אבל דבר שאין בו צורך ואין הלכה כך לא היה שונה, כאדם המסלת קמחו ובורר מן הסאה קב ובעבור זה היתה משנתו משובחת.</w:t>
      </w:r>
    </w:p>
  </w:footnote>
  <w:footnote w:id="2210">
    <w:p w14:paraId="50BFF812" w14:textId="77777777" w:rsidR="006074A5" w:rsidRDefault="006074A5" w:rsidP="006074A5">
      <w:pPr>
        <w:pStyle w:val="Footnote"/>
        <w:bidi/>
      </w:pPr>
      <w:r>
        <w:rPr>
          <w:rStyle w:val="ac"/>
          <w:rtl/>
        </w:rPr>
        <w:footnoteRef/>
      </w:r>
      <w:r>
        <w:rPr>
          <w:rtl/>
        </w:rPr>
        <w:t>וה</w:t>
      </w:r>
      <w:r>
        <w:rPr>
          <w:b/>
          <w:bCs/>
          <w:rtl/>
        </w:rPr>
        <w:t>ריטב"א</w:t>
      </w:r>
      <w:r>
        <w:rPr>
          <w:rtl/>
        </w:rPr>
        <w:t xml:space="preserve"> ציין דכ"כ בכ"מ (שבת קכה. עירובין מב. גיטין נא: קידושין כ.).</w:t>
      </w:r>
    </w:p>
  </w:footnote>
  <w:footnote w:id="2211">
    <w:p w14:paraId="6F9CA8A5" w14:textId="77777777" w:rsidR="006074A5" w:rsidRDefault="006074A5" w:rsidP="006074A5">
      <w:pPr>
        <w:pStyle w:val="Footnote"/>
        <w:bidi/>
      </w:pPr>
      <w:r>
        <w:rPr>
          <w:rStyle w:val="ac"/>
          <w:rtl/>
        </w:rPr>
        <w:footnoteRef/>
      </w:r>
      <w:r>
        <w:rPr>
          <w:rtl/>
        </w:rPr>
        <w:t>ועוד הביאו כן מהגמ' (לקמן ס.).</w:t>
      </w:r>
    </w:p>
  </w:footnote>
  <w:footnote w:id="2212">
    <w:p w14:paraId="67FEC789" w14:textId="77777777" w:rsidR="006074A5" w:rsidRDefault="006074A5" w:rsidP="006074A5">
      <w:pPr>
        <w:pStyle w:val="Footnote"/>
        <w:bidi/>
      </w:pPr>
      <w:r>
        <w:rPr>
          <w:rStyle w:val="ac"/>
          <w:rtl/>
        </w:rPr>
        <w:footnoteRef/>
      </w:r>
      <w:r>
        <w:rPr>
          <w:rtl/>
        </w:rPr>
        <w:t>וה</w:t>
      </w:r>
      <w:r>
        <w:rPr>
          <w:b/>
          <w:bCs/>
          <w:rtl/>
        </w:rPr>
        <w:t>רשב"א</w:t>
      </w:r>
      <w:r>
        <w:rPr>
          <w:rtl/>
        </w:rPr>
        <w:t xml:space="preserve"> (חולין סד.) הביא כן בשם העיטור. ובהג' </w:t>
      </w:r>
      <w:r>
        <w:rPr>
          <w:b/>
          <w:bCs/>
          <w:rtl/>
        </w:rPr>
        <w:t>מהר"ב רנשבורג</w:t>
      </w:r>
      <w:r>
        <w:rPr>
          <w:rtl/>
        </w:rPr>
        <w:t xml:space="preserve"> (עה"ג לקמן מט:) הביא דהוה מח' הסוגיות.</w:t>
      </w:r>
    </w:p>
  </w:footnote>
  <w:footnote w:id="2213">
    <w:p w14:paraId="3439CDE1" w14:textId="77777777" w:rsidR="006074A5" w:rsidRDefault="006074A5" w:rsidP="006074A5">
      <w:pPr>
        <w:pStyle w:val="Footnote"/>
        <w:bidi/>
      </w:pPr>
      <w:r>
        <w:rPr>
          <w:rStyle w:val="ac"/>
          <w:rtl/>
        </w:rPr>
        <w:footnoteRef/>
      </w:r>
      <w:r>
        <w:rPr>
          <w:rtl/>
        </w:rPr>
        <w:t>וה</w:t>
      </w:r>
      <w:r>
        <w:rPr>
          <w:b/>
          <w:bCs/>
          <w:rtl/>
        </w:rPr>
        <w:t>ראשונים</w:t>
      </w:r>
      <w:r>
        <w:rPr>
          <w:rtl/>
        </w:rPr>
        <w:t xml:space="preserve"> דנו אי קי"ל כהך כללא, דבכ"מ הוצרך הגמ' לפסוק כראב"י. [ע' תוס' (בכורות כג:), רמב"ן ורשב"א (שבועות מב:, עירובין פח: ועוד)].</w:t>
      </w:r>
    </w:p>
  </w:footnote>
  <w:footnote w:id="2214">
    <w:p w14:paraId="289BF4ED" w14:textId="77777777" w:rsidR="006074A5" w:rsidRDefault="006074A5" w:rsidP="006074A5">
      <w:pPr>
        <w:pStyle w:val="Footnote"/>
        <w:bidi/>
      </w:pPr>
      <w:r>
        <w:rPr>
          <w:rStyle w:val="ac"/>
          <w:rtl/>
        </w:rPr>
        <w:footnoteRef/>
      </w:r>
      <w:r>
        <w:rPr>
          <w:rtl/>
        </w:rPr>
        <w:t>[ב</w:t>
      </w:r>
      <w:r>
        <w:rPr>
          <w:b/>
          <w:bCs/>
          <w:rtl/>
        </w:rPr>
        <w:t>מדרש</w:t>
      </w:r>
      <w:r>
        <w:rPr>
          <w:rtl/>
        </w:rPr>
        <w:t xml:space="preserve"> על הפסוק בתורה אל תחלל את בתך להזנותה. דאמרו חכמים שאם יעשה זה נמצא אב נושא בתו ואח נושא אחותו].</w:t>
      </w:r>
    </w:p>
  </w:footnote>
  <w:footnote w:id="2215">
    <w:p w14:paraId="020FE6D1" w14:textId="77777777" w:rsidR="006074A5" w:rsidRDefault="006074A5" w:rsidP="006074A5">
      <w:pPr>
        <w:pStyle w:val="Footnote"/>
        <w:bidi/>
      </w:pPr>
      <w:r>
        <w:rPr>
          <w:rStyle w:val="ac"/>
          <w:rtl/>
        </w:rPr>
        <w:footnoteRef/>
      </w:r>
      <w:r>
        <w:rPr>
          <w:rtl/>
        </w:rPr>
        <w:t>ואילו היה הדין שכל מי שאינו יודע בודאי מי אביו אסור בכל אשה שאפשר שתהיה ערוה עליו, לא היינו באים למדה הזאת לעולם, ולא תהיה הארץ מלאה זמה.</w:t>
      </w:r>
    </w:p>
  </w:footnote>
  <w:footnote w:id="2216">
    <w:p w14:paraId="371694AD" w14:textId="77777777" w:rsidR="006074A5" w:rsidRDefault="006074A5" w:rsidP="006074A5">
      <w:pPr>
        <w:pStyle w:val="Footnote"/>
        <w:bidi/>
      </w:pPr>
      <w:r>
        <w:rPr>
          <w:rStyle w:val="ac"/>
          <w:rtl/>
        </w:rPr>
        <w:footnoteRef/>
      </w:r>
      <w:r>
        <w:rPr>
          <w:rtl/>
        </w:rPr>
        <w:t>וסיים שאם אתה אומר כן כל היתומים שבעולם שלא הכירו אבותיהם היו אסורין להנשא בכל מקום שמא יפגעו בערוה.</w:t>
      </w:r>
    </w:p>
  </w:footnote>
  <w:footnote w:id="2217">
    <w:p w14:paraId="785285E4" w14:textId="77777777" w:rsidR="006074A5" w:rsidRDefault="006074A5" w:rsidP="006074A5">
      <w:pPr>
        <w:pStyle w:val="Footnote"/>
        <w:bidi/>
      </w:pPr>
      <w:r>
        <w:rPr>
          <w:rStyle w:val="ac"/>
          <w:rtl/>
        </w:rPr>
        <w:footnoteRef/>
      </w:r>
      <w:r>
        <w:rPr>
          <w:rtl/>
        </w:rPr>
        <w:t>וצ"ב דעכ"פ מדרבנן לחומרא, וא"כ עכ"פ לדינא הו"ל לרמב"ם לפסוק דאסור היכא דאינו יודע מי אביו, וכן לא יבאו ליכשל עי”ז. וע"כ איירי באופן דאף מדרבנן הותר.</w:t>
      </w:r>
    </w:p>
  </w:footnote>
  <w:footnote w:id="2218">
    <w:p w14:paraId="10E772E4" w14:textId="77777777" w:rsidR="006074A5" w:rsidRDefault="006074A5" w:rsidP="006074A5">
      <w:pPr>
        <w:pStyle w:val="Footnote"/>
        <w:bidi/>
      </w:pPr>
      <w:r>
        <w:rPr>
          <w:rStyle w:val="ac"/>
          <w:rtl/>
        </w:rPr>
        <w:footnoteRef/>
      </w:r>
      <w:r>
        <w:rPr>
          <w:rtl/>
        </w:rPr>
        <w:t>ויש גורסים ברמב"ם (טומ"מ ט יב) דדבר שחייבין עליו כרת ספיקות לחומרא. [עי"ש כס”מ ואכמ”ל].</w:t>
      </w:r>
    </w:p>
  </w:footnote>
  <w:footnote w:id="2219">
    <w:p w14:paraId="1A2F606F" w14:textId="77777777" w:rsidR="006074A5" w:rsidRDefault="006074A5" w:rsidP="006074A5">
      <w:pPr>
        <w:pStyle w:val="Footnote"/>
        <w:bidi/>
      </w:pPr>
      <w:r>
        <w:rPr>
          <w:rStyle w:val="ac"/>
          <w:rtl/>
        </w:rPr>
        <w:footnoteRef/>
      </w:r>
      <w:r>
        <w:rPr>
          <w:rtl/>
        </w:rPr>
        <w:t>וה</w:t>
      </w:r>
      <w:r>
        <w:rPr>
          <w:b/>
          <w:bCs/>
          <w:rtl/>
        </w:rPr>
        <w:t>עונג יו"ט</w:t>
      </w:r>
      <w:r>
        <w:rPr>
          <w:rtl/>
        </w:rPr>
        <w:t xml:space="preserve"> (קפ) הק' דל”ש להתיר ע”פ רוב, דכיון דידעי' שיש לו קרובים הוה קבוע.</w:t>
      </w:r>
    </w:p>
    <w:p w14:paraId="2693405E" w14:textId="77777777" w:rsidR="006074A5" w:rsidRDefault="006074A5" w:rsidP="006074A5">
      <w:pPr>
        <w:pStyle w:val="Footnote"/>
        <w:bidi/>
      </w:pPr>
      <w:r>
        <w:rPr>
          <w:rtl/>
        </w:rPr>
        <w:tab/>
        <w:t xml:space="preserve">והביא מח' </w:t>
      </w:r>
      <w:r>
        <w:rPr>
          <w:b/>
          <w:bCs/>
          <w:rtl/>
        </w:rPr>
        <w:t>תוס</w:t>
      </w:r>
      <w:r>
        <w:rPr>
          <w:rtl/>
        </w:rPr>
        <w:t>' וה</w:t>
      </w:r>
      <w:r>
        <w:rPr>
          <w:b/>
          <w:bCs/>
          <w:rtl/>
        </w:rPr>
        <w:t>רמב”ן</w:t>
      </w:r>
      <w:r>
        <w:rPr>
          <w:rtl/>
        </w:rPr>
        <w:t xml:space="preserve"> (גיטין סד.) בשולח שליח לקדש, ומת השליח. דלתוס' מדינא מותר ע”פ רוב, והרמב”ן פליג דהוה קבוע, ע”פ הסוגיא (נזיר יב.), וצ"ל דהרמב”ם ס”ל כתוס'].</w:t>
      </w:r>
    </w:p>
  </w:footnote>
  <w:footnote w:id="2220">
    <w:p w14:paraId="7A1918E8" w14:textId="77777777" w:rsidR="006074A5" w:rsidRDefault="006074A5" w:rsidP="006074A5">
      <w:pPr>
        <w:pStyle w:val="Footnote"/>
        <w:bidi/>
      </w:pPr>
      <w:r>
        <w:rPr>
          <w:rStyle w:val="ac"/>
          <w:rtl/>
        </w:rPr>
        <w:footnoteRef/>
      </w:r>
      <w:r>
        <w:rPr>
          <w:rtl/>
        </w:rPr>
        <w:t>ומשמע מדבריו דלא פליג בדינא, אלא דרבנן החמירו על עצמן.</w:t>
      </w:r>
    </w:p>
  </w:footnote>
  <w:footnote w:id="2221">
    <w:p w14:paraId="2FDD766A" w14:textId="77777777" w:rsidR="006074A5" w:rsidRDefault="006074A5" w:rsidP="006074A5">
      <w:pPr>
        <w:pStyle w:val="Footnote"/>
        <w:bidi/>
      </w:pPr>
      <w:r>
        <w:rPr>
          <w:rStyle w:val="ac"/>
          <w:rtl/>
        </w:rPr>
        <w:footnoteRef/>
      </w:r>
      <w:r>
        <w:rPr>
          <w:rtl/>
        </w:rPr>
        <w:t>וה</w:t>
      </w:r>
      <w:r>
        <w:rPr>
          <w:b/>
          <w:bCs/>
          <w:rtl/>
        </w:rPr>
        <w:t xml:space="preserve">ראב"ד </w:t>
      </w:r>
      <w:r>
        <w:rPr>
          <w:rtl/>
        </w:rPr>
        <w:t>השיג דאין חילוק זה בין ת"ח לשאר בני אדם. וכה"ק ה</w:t>
      </w:r>
      <w:r>
        <w:rPr>
          <w:b/>
          <w:bCs/>
          <w:rtl/>
        </w:rPr>
        <w:t>רשב"א</w:t>
      </w:r>
      <w:r>
        <w:rPr>
          <w:rtl/>
        </w:rPr>
        <w:t xml:space="preserve"> דבסתמא אמרו [בכתובות] הוא ישן בין האנשים, ואף בת"ח.</w:t>
      </w:r>
    </w:p>
  </w:footnote>
  <w:footnote w:id="2222">
    <w:p w14:paraId="5E149D58" w14:textId="77777777" w:rsidR="006074A5" w:rsidRDefault="006074A5" w:rsidP="006074A5">
      <w:pPr>
        <w:pStyle w:val="Footnote"/>
        <w:bidi/>
      </w:pPr>
      <w:r>
        <w:rPr>
          <w:rStyle w:val="ac"/>
          <w:rtl/>
        </w:rPr>
        <w:footnoteRef/>
      </w:r>
      <w:r>
        <w:rPr>
          <w:rtl/>
        </w:rPr>
        <w:t>ויל"ד אי כל שבא עליה צריכה לבא לעירו [עכ"פ עד שיתברר], וה</w:t>
      </w:r>
      <w:r>
        <w:rPr>
          <w:b/>
          <w:bCs/>
          <w:rtl/>
        </w:rPr>
        <w:t>יעב"ץ</w:t>
      </w:r>
      <w:r>
        <w:rPr>
          <w:rtl/>
        </w:rPr>
        <w:t xml:space="preserve"> כתב דהיה מתנה עמה שאם תתעבר תבוא אחריו לעירו.</w:t>
      </w:r>
    </w:p>
  </w:footnote>
  <w:footnote w:id="2223">
    <w:p w14:paraId="57E514D4" w14:textId="77777777" w:rsidR="006074A5" w:rsidRDefault="006074A5" w:rsidP="006074A5">
      <w:pPr>
        <w:pStyle w:val="Footnote"/>
        <w:bidi/>
      </w:pPr>
      <w:r>
        <w:rPr>
          <w:rStyle w:val="ac"/>
          <w:rtl/>
        </w:rPr>
        <w:footnoteRef/>
      </w:r>
      <w:r>
        <w:rPr>
          <w:rtl/>
        </w:rPr>
        <w:t>וה</w:t>
      </w:r>
      <w:r>
        <w:rPr>
          <w:b/>
          <w:bCs/>
          <w:rtl/>
        </w:rPr>
        <w:t>טור</w:t>
      </w:r>
      <w:r>
        <w:rPr>
          <w:rtl/>
        </w:rPr>
        <w:t xml:space="preserve"> (אה"ע ב) הביא דבר זה בשם הרמב"ם, וה</w:t>
      </w:r>
      <w:r>
        <w:rPr>
          <w:b/>
          <w:bCs/>
          <w:rtl/>
        </w:rPr>
        <w:t>ב"י</w:t>
      </w:r>
      <w:r>
        <w:rPr>
          <w:rtl/>
        </w:rPr>
        <w:t xml:space="preserve"> הק' דהו"ל להביא גמ' דידן.</w:t>
      </w:r>
    </w:p>
  </w:footnote>
  <w:footnote w:id="2224">
    <w:p w14:paraId="0A5CFD62" w14:textId="77777777" w:rsidR="006074A5" w:rsidRDefault="006074A5" w:rsidP="006074A5">
      <w:pPr>
        <w:pStyle w:val="Footnote"/>
        <w:bidi/>
      </w:pPr>
      <w:r>
        <w:rPr>
          <w:rStyle w:val="ac"/>
          <w:rtl/>
        </w:rPr>
        <w:footnoteRef/>
      </w:r>
      <w:r>
        <w:rPr>
          <w:rtl/>
        </w:rPr>
        <w:t>וה</w:t>
      </w:r>
      <w:r>
        <w:rPr>
          <w:b/>
          <w:bCs/>
          <w:rtl/>
        </w:rPr>
        <w:t>בי"ש</w:t>
      </w:r>
      <w:r>
        <w:rPr>
          <w:rtl/>
        </w:rPr>
        <w:t xml:space="preserve"> (קסג ה) כת' דהרמב"ם ושאר פוסקים פליגי, דס"ל דלא אמרי' אין ספק מוציא מידי ביורש מאוחר. [והא דהוא אינו יורש עמהם איירי דוקא במקום שיש אחים].</w:t>
      </w:r>
    </w:p>
  </w:footnote>
  <w:footnote w:id="2225">
    <w:p w14:paraId="2C714F73" w14:textId="77777777" w:rsidR="006074A5" w:rsidRDefault="006074A5" w:rsidP="006074A5">
      <w:pPr>
        <w:pStyle w:val="Footnote"/>
        <w:bidi/>
      </w:pPr>
      <w:r>
        <w:rPr>
          <w:rStyle w:val="ac"/>
          <w:rtl/>
        </w:rPr>
        <w:footnoteRef/>
      </w:r>
      <w:r>
        <w:rPr>
          <w:rtl/>
        </w:rPr>
        <w:t>אך ה</w:t>
      </w:r>
      <w:r>
        <w:rPr>
          <w:b/>
          <w:bCs/>
          <w:rtl/>
        </w:rPr>
        <w:t>גר”א</w:t>
      </w:r>
      <w:r>
        <w:rPr>
          <w:rtl/>
        </w:rPr>
        <w:t xml:space="preserve"> (קסג יא) ביאר דברי הרא”ש מסברא זו, דהוא בא בטענת ודאי, ואף טענת הייבום שהוחזק ליורש. אלא דהגמ' דוקא בשאביו קיים.</w:t>
      </w:r>
    </w:p>
  </w:footnote>
  <w:footnote w:id="2226">
    <w:p w14:paraId="1201C71F" w14:textId="77777777" w:rsidR="006074A5" w:rsidRDefault="006074A5" w:rsidP="006074A5">
      <w:pPr>
        <w:pStyle w:val="Footnote"/>
        <w:bidi/>
      </w:pPr>
      <w:r>
        <w:rPr>
          <w:rStyle w:val="ac"/>
          <w:rtl/>
        </w:rPr>
        <w:footnoteRef/>
      </w:r>
      <w:r>
        <w:rPr>
          <w:rtl/>
        </w:rPr>
        <w:t>ובפשוטו כוונתם משום דעובר אינו יורש, ומתחדש אח"כ. וה</w:t>
      </w:r>
      <w:r>
        <w:rPr>
          <w:b/>
          <w:bCs/>
          <w:rtl/>
        </w:rPr>
        <w:t>רש"ש</w:t>
      </w:r>
      <w:r>
        <w:rPr>
          <w:rtl/>
        </w:rPr>
        <w:t xml:space="preserve"> תמה דה</w:t>
      </w:r>
      <w:r>
        <w:rPr>
          <w:b/>
          <w:bCs/>
          <w:rtl/>
        </w:rPr>
        <w:t xml:space="preserve">רא"ש </w:t>
      </w:r>
      <w:r>
        <w:rPr>
          <w:rtl/>
        </w:rPr>
        <w:t>[ע' לקמן סז:] ס"ל דעובר יורש, ולכן פי' דכיון דלא הוכר העובר לא החזקנו דהיבם יורש [והחזקה ע"פ סתמא].</w:t>
      </w:r>
    </w:p>
  </w:footnote>
  <w:footnote w:id="2227">
    <w:p w14:paraId="6940A9A8" w14:textId="77777777" w:rsidR="006074A5" w:rsidRDefault="006074A5" w:rsidP="006074A5">
      <w:pPr>
        <w:pStyle w:val="Footnote"/>
        <w:bidi/>
      </w:pPr>
      <w:r>
        <w:rPr>
          <w:rStyle w:val="ac"/>
          <w:rtl/>
        </w:rPr>
        <w:footnoteRef/>
      </w:r>
      <w:r>
        <w:rPr>
          <w:rtl/>
        </w:rPr>
        <w:t>והריטב"א הקשה דהאח היה מוחזק להיות יורש מחיי אחיו. מ"מ לא חל זכותו אלא לאחר מיתה.</w:t>
      </w:r>
    </w:p>
  </w:footnote>
  <w:footnote w:id="2228">
    <w:p w14:paraId="70B9711D" w14:textId="77777777" w:rsidR="006074A5" w:rsidRDefault="006074A5" w:rsidP="006074A5">
      <w:pPr>
        <w:pStyle w:val="Footnote"/>
        <w:bidi/>
      </w:pPr>
      <w:r>
        <w:rPr>
          <w:rStyle w:val="ac"/>
          <w:rtl/>
        </w:rPr>
        <w:footnoteRef/>
      </w:r>
      <w:r>
        <w:rPr>
          <w:rtl/>
        </w:rPr>
        <w:t>ומבואר ברשב"א דמהני חזקה דמעיקרא להכריע אף בממון, היכא דאינו מוציא ממוחזק. ואפשר דכוונתו דירושת יבם הוה תולדה מדיני היבום, וכיון דהוכרע שמתייבמת בודאי סגי בזה.</w:t>
      </w:r>
    </w:p>
    <w:p w14:paraId="153552A2" w14:textId="77777777" w:rsidR="006074A5" w:rsidRDefault="006074A5" w:rsidP="006074A5">
      <w:pPr>
        <w:pStyle w:val="Footnote"/>
        <w:bidi/>
      </w:pPr>
      <w:r>
        <w:rPr>
          <w:rtl/>
        </w:rPr>
        <w:tab/>
        <w:t>וה</w:t>
      </w:r>
      <w:r>
        <w:rPr>
          <w:b/>
          <w:bCs/>
          <w:rtl/>
        </w:rPr>
        <w:t>אחרונים</w:t>
      </w:r>
      <w:r>
        <w:rPr>
          <w:rtl/>
        </w:rPr>
        <w:t xml:space="preserve"> (ר' שמואל) דנו ע"פ מש"כ </w:t>
      </w:r>
      <w:r>
        <w:rPr>
          <w:b/>
          <w:bCs/>
          <w:rtl/>
        </w:rPr>
        <w:t>תוס</w:t>
      </w:r>
      <w:r>
        <w:rPr>
          <w:rtl/>
        </w:rPr>
        <w:t>' (ב"מ צז:) דדררא דממונא נחשב תרוייהו מוחזקין, ומש"ה ל"מ ברי ושמא. א"כ נימא דמש"ה לא מהני חזקה דמעיקרא. [ואכמ"ל].</w:t>
      </w:r>
    </w:p>
  </w:footnote>
  <w:footnote w:id="2229">
    <w:p w14:paraId="39AFD650" w14:textId="77777777" w:rsidR="006074A5" w:rsidRDefault="006074A5" w:rsidP="006074A5">
      <w:pPr>
        <w:pStyle w:val="Footnote"/>
        <w:bidi/>
      </w:pPr>
      <w:r>
        <w:rPr>
          <w:rStyle w:val="ac"/>
          <w:rtl/>
        </w:rPr>
        <w:footnoteRef/>
      </w:r>
      <w:r>
        <w:rPr>
          <w:rtl/>
        </w:rPr>
        <w:t>וה</w:t>
      </w:r>
      <w:r>
        <w:rPr>
          <w:b/>
          <w:bCs/>
          <w:rtl/>
        </w:rPr>
        <w:t>רשב"ם</w:t>
      </w:r>
      <w:r>
        <w:rPr>
          <w:rtl/>
        </w:rPr>
        <w:t xml:space="preserve"> (ב"ב סג. קסו:) פסק דהלכה כסומכוס. ואילו תוס' (ב"ב לה. וכ"מ) וה</w:t>
      </w:r>
      <w:r>
        <w:rPr>
          <w:b/>
          <w:bCs/>
          <w:rtl/>
        </w:rPr>
        <w:t>רי"ף</w:t>
      </w:r>
      <w:r>
        <w:rPr>
          <w:rtl/>
        </w:rPr>
        <w:t xml:space="preserve"> (ב"ק מו. כ. בדה"ס) לא פסקו כסומכוס [ע"ע קונ' הספיקות א א].</w:t>
      </w:r>
    </w:p>
  </w:footnote>
  <w:footnote w:id="2230">
    <w:p w14:paraId="29BD7D27" w14:textId="77777777" w:rsidR="006074A5" w:rsidRDefault="006074A5" w:rsidP="006074A5">
      <w:pPr>
        <w:pStyle w:val="Footnote"/>
        <w:bidi/>
      </w:pPr>
      <w:r>
        <w:rPr>
          <w:rStyle w:val="ac"/>
          <w:rtl/>
        </w:rPr>
        <w:footnoteRef/>
      </w:r>
      <w:r>
        <w:rPr>
          <w:rtl/>
        </w:rPr>
        <w:t>והוסיף ועוד דאיכא דררא לכל חד. ועוד דליכא למיקם עלה דמילתא לא עבדינן כל דאלים כדאמרי' (ב"ב לה.).</w:t>
      </w:r>
    </w:p>
  </w:footnote>
  <w:footnote w:id="2231">
    <w:p w14:paraId="6576FC96" w14:textId="77777777" w:rsidR="006074A5" w:rsidRDefault="006074A5" w:rsidP="006074A5">
      <w:pPr>
        <w:pStyle w:val="Footnote"/>
        <w:bidi/>
      </w:pPr>
      <w:r>
        <w:rPr>
          <w:rStyle w:val="ac"/>
          <w:rtl/>
        </w:rPr>
        <w:footnoteRef/>
      </w:r>
      <w:r>
        <w:rPr>
          <w:rtl/>
        </w:rPr>
        <w:t>אך יל"ד דהכא מי לא עסקי' דהיה ברשותו קודם שמת המת ונולד הספק. ומהני תפיסה קודם שנולד הספק.</w:t>
      </w:r>
    </w:p>
  </w:footnote>
  <w:footnote w:id="2232">
    <w:p w14:paraId="20C4E1E8" w14:textId="77777777" w:rsidR="006074A5" w:rsidRDefault="006074A5" w:rsidP="006074A5">
      <w:pPr>
        <w:pStyle w:val="Footnote"/>
        <w:bidi/>
      </w:pPr>
      <w:r>
        <w:rPr>
          <w:rStyle w:val="ac"/>
          <w:rtl/>
        </w:rPr>
        <w:footnoteRef/>
      </w:r>
      <w:r>
        <w:rPr>
          <w:rtl/>
        </w:rPr>
        <w:t>אך בדברי הרא"ש מבואר דהוה משום תפיסה ממוחזק, ולא משום דין יחלוקו.</w:t>
      </w:r>
    </w:p>
  </w:footnote>
  <w:footnote w:id="2233">
    <w:p w14:paraId="3C1B4BD6" w14:textId="77777777" w:rsidR="006074A5" w:rsidRDefault="006074A5" w:rsidP="006074A5">
      <w:pPr>
        <w:pStyle w:val="Footnote"/>
        <w:bidi/>
      </w:pPr>
      <w:r>
        <w:rPr>
          <w:rStyle w:val="ac"/>
          <w:rtl/>
        </w:rPr>
        <w:footnoteRef/>
      </w:r>
      <w:r>
        <w:rPr>
          <w:rtl/>
        </w:rPr>
        <w:t>[וכתב דכ"מ מרש"י, וצ"ב היכן].</w:t>
      </w:r>
    </w:p>
  </w:footnote>
  <w:footnote w:id="2234">
    <w:p w14:paraId="7E392050" w14:textId="77777777" w:rsidR="006074A5" w:rsidRDefault="006074A5" w:rsidP="006074A5">
      <w:pPr>
        <w:pStyle w:val="Footnote"/>
        <w:bidi/>
      </w:pPr>
      <w:r>
        <w:rPr>
          <w:rStyle w:val="ac"/>
          <w:rtl/>
        </w:rPr>
        <w:footnoteRef/>
      </w:r>
      <w:r>
        <w:rPr>
          <w:rtl/>
        </w:rPr>
        <w:t xml:space="preserve">וכתב דה"ה בעלמא טומטום ובנות, נוטל פלגא דמודו בה [ממ"נ], והשאר יחלוקו. אבל </w:t>
      </w:r>
      <w:r>
        <w:rPr>
          <w:b/>
          <w:bCs/>
          <w:rtl/>
        </w:rPr>
        <w:t>רע"א</w:t>
      </w:r>
      <w:r>
        <w:rPr>
          <w:rtl/>
        </w:rPr>
        <w:t xml:space="preserve"> (במשניות ב"ב ט ב) הקשה בטומטום ובת, נימא דאין ספק מוציא מידי ודאי. והאחרונים דנו דטומטום אינו יודע מאיזה כח בא, ולא שייך אין ספק מוציא מידי ודאי. וכדחיית הגמ' כאן.</w:t>
      </w:r>
    </w:p>
  </w:footnote>
  <w:footnote w:id="2235">
    <w:p w14:paraId="70999984" w14:textId="77777777" w:rsidR="006074A5" w:rsidRDefault="006074A5" w:rsidP="006074A5">
      <w:pPr>
        <w:pStyle w:val="Footnote"/>
        <w:bidi/>
      </w:pPr>
      <w:r>
        <w:rPr>
          <w:rStyle w:val="ac"/>
          <w:rtl/>
        </w:rPr>
        <w:footnoteRef/>
      </w:r>
      <w:r>
        <w:rPr>
          <w:rtl/>
        </w:rPr>
        <w:t>אך ה</w:t>
      </w:r>
      <w:r>
        <w:rPr>
          <w:b/>
          <w:bCs/>
          <w:rtl/>
        </w:rPr>
        <w:t>אחרונים</w:t>
      </w:r>
      <w:r>
        <w:rPr>
          <w:rtl/>
        </w:rPr>
        <w:t xml:space="preserve"> (קר"א, ע' ר' שמואל) הק' דנח' התם להיפך, דדעת הרא"ש (שם ט ד) דהטומטום נוטל ג' חלקים והבת רביע [ולא אמרי' אסממ"ו בחלק האחרונים]. ואילו דעת הרמב"ם התם דיחלוקו.</w:t>
      </w:r>
    </w:p>
  </w:footnote>
  <w:footnote w:id="2236">
    <w:p w14:paraId="4FA351EA" w14:textId="77777777" w:rsidR="006074A5" w:rsidRDefault="006074A5" w:rsidP="006074A5">
      <w:pPr>
        <w:pStyle w:val="Footnote"/>
        <w:bidi/>
      </w:pPr>
      <w:r>
        <w:rPr>
          <w:rStyle w:val="ac"/>
          <w:rtl/>
        </w:rPr>
        <w:footnoteRef/>
      </w:r>
      <w:r>
        <w:rPr>
          <w:rtl/>
        </w:rPr>
        <w:t>[וע"ע לקמן לח: דהגמ' דנה האם בית שמאי פליגי על סברא זו].</w:t>
      </w:r>
    </w:p>
  </w:footnote>
  <w:footnote w:id="2237">
    <w:p w14:paraId="478A6CAD" w14:textId="77777777" w:rsidR="006074A5" w:rsidRDefault="006074A5" w:rsidP="006074A5">
      <w:pPr>
        <w:pStyle w:val="Footnote"/>
        <w:bidi/>
      </w:pPr>
      <w:r>
        <w:rPr>
          <w:rStyle w:val="ac"/>
          <w:rtl/>
        </w:rPr>
        <w:footnoteRef/>
      </w:r>
      <w:r>
        <w:rPr>
          <w:rtl/>
        </w:rPr>
        <w:t>[ולפ"ז הדר דינא אינו מדין ממ"נ, אלא סברת לדבריכם, וצ"ב].</w:t>
      </w:r>
    </w:p>
  </w:footnote>
  <w:footnote w:id="2238">
    <w:p w14:paraId="24780D8E" w14:textId="77777777" w:rsidR="006074A5" w:rsidRDefault="006074A5" w:rsidP="006074A5">
      <w:pPr>
        <w:pStyle w:val="Footnote"/>
        <w:bidi/>
      </w:pPr>
      <w:r>
        <w:rPr>
          <w:rStyle w:val="ac"/>
          <w:rtl/>
        </w:rPr>
        <w:footnoteRef/>
      </w:r>
      <w:r>
        <w:rPr>
          <w:rtl/>
        </w:rPr>
        <w:t>וה</w:t>
      </w:r>
      <w:r>
        <w:rPr>
          <w:b/>
          <w:bCs/>
          <w:rtl/>
        </w:rPr>
        <w:t xml:space="preserve">נתיבות </w:t>
      </w:r>
      <w:r>
        <w:rPr>
          <w:rtl/>
        </w:rPr>
        <w:t>(כללי תפיסה כה) כתב דהיינו דוקא במידי דלא עבידי לגלויי.</w:t>
      </w:r>
    </w:p>
  </w:footnote>
  <w:footnote w:id="2239">
    <w:p w14:paraId="2CACB8DC" w14:textId="77777777" w:rsidR="006074A5" w:rsidRDefault="006074A5" w:rsidP="006074A5">
      <w:pPr>
        <w:pStyle w:val="Footnote"/>
        <w:bidi/>
      </w:pPr>
      <w:r>
        <w:rPr>
          <w:rStyle w:val="ac"/>
          <w:rtl/>
        </w:rPr>
        <w:footnoteRef/>
      </w:r>
      <w:r>
        <w:rPr>
          <w:rtl/>
        </w:rPr>
        <w:t>שהרי הלך למדינת הים. וה</w:t>
      </w:r>
      <w:r>
        <w:rPr>
          <w:b/>
          <w:bCs/>
          <w:rtl/>
        </w:rPr>
        <w:t xml:space="preserve">קה"י </w:t>
      </w:r>
      <w:r>
        <w:rPr>
          <w:rtl/>
        </w:rPr>
        <w:t>(לד) דן דכוונת התה"ד מדין זוטו של ים, ואף דלא ידע נחשב יאוש.</w:t>
      </w:r>
    </w:p>
  </w:footnote>
  <w:footnote w:id="2240">
    <w:p w14:paraId="793C9334" w14:textId="77777777" w:rsidR="006074A5" w:rsidRDefault="006074A5" w:rsidP="006074A5">
      <w:pPr>
        <w:pStyle w:val="Footnote"/>
        <w:bidi/>
      </w:pPr>
      <w:r>
        <w:rPr>
          <w:rStyle w:val="ac"/>
          <w:rtl/>
        </w:rPr>
        <w:footnoteRef/>
      </w:r>
      <w:r>
        <w:rPr>
          <w:rtl/>
        </w:rPr>
        <w:t>וה</w:t>
      </w:r>
      <w:r>
        <w:rPr>
          <w:b/>
          <w:bCs/>
          <w:rtl/>
        </w:rPr>
        <w:t>מלחמות</w:t>
      </w:r>
      <w:r>
        <w:rPr>
          <w:rtl/>
        </w:rPr>
        <w:t xml:space="preserve"> (בסוגיין) כתב דדמי להגדילו יכולים למחות, דמה כח בי"ד יפה.</w:t>
      </w:r>
    </w:p>
  </w:footnote>
  <w:footnote w:id="2241">
    <w:p w14:paraId="23E83671" w14:textId="77777777" w:rsidR="006074A5" w:rsidRDefault="006074A5" w:rsidP="006074A5">
      <w:pPr>
        <w:pStyle w:val="Footnote"/>
        <w:bidi/>
      </w:pPr>
      <w:r>
        <w:rPr>
          <w:rStyle w:val="ac"/>
          <w:rtl/>
        </w:rPr>
        <w:footnoteRef/>
      </w:r>
      <w:r>
        <w:rPr>
          <w:rtl/>
        </w:rPr>
        <w:t>וכ"כ ב</w:t>
      </w:r>
      <w:r>
        <w:rPr>
          <w:b/>
          <w:bCs/>
          <w:rtl/>
        </w:rPr>
        <w:t>קו' הספיקות</w:t>
      </w:r>
      <w:r>
        <w:rPr>
          <w:rtl/>
        </w:rPr>
        <w:t xml:space="preserve"> (ו יד) דה"נ מצי אמר אתינא מכח מאן דלא מצית לאשתועי דינא בהדיא. [ויל"פ ע"ד דברי האחרונים בסמוך].</w:t>
      </w:r>
    </w:p>
  </w:footnote>
  <w:footnote w:id="2242">
    <w:p w14:paraId="1E7D4CF8" w14:textId="77777777" w:rsidR="006074A5" w:rsidRDefault="006074A5" w:rsidP="006074A5">
      <w:pPr>
        <w:pStyle w:val="Footnote"/>
        <w:bidi/>
      </w:pPr>
      <w:r>
        <w:rPr>
          <w:rStyle w:val="ac"/>
          <w:rtl/>
        </w:rPr>
        <w:footnoteRef/>
      </w:r>
      <w:r>
        <w:rPr>
          <w:rtl/>
        </w:rPr>
        <w:t>וכת' דאין אדם מוכר דבר שאינו שלו ובחזקת מרא קמא עומד, ולא יחלוק בזה כי אם המתעקש ואוהב עול.</w:t>
      </w:r>
    </w:p>
  </w:footnote>
  <w:footnote w:id="2243">
    <w:p w14:paraId="47FE773F" w14:textId="77777777" w:rsidR="006074A5" w:rsidRDefault="006074A5" w:rsidP="006074A5">
      <w:pPr>
        <w:pStyle w:val="Footnote"/>
        <w:bidi/>
      </w:pPr>
      <w:r>
        <w:rPr>
          <w:rStyle w:val="ac"/>
          <w:rtl/>
        </w:rPr>
        <w:footnoteRef/>
      </w:r>
      <w:r>
        <w:rPr>
          <w:rtl/>
        </w:rPr>
        <w:t>דל"מ מה שיש לו 'זכות' המוכר להפטר, דאינו שלו. וה</w:t>
      </w:r>
      <w:r>
        <w:rPr>
          <w:b/>
          <w:bCs/>
          <w:rtl/>
        </w:rPr>
        <w:t xml:space="preserve">נתיבות </w:t>
      </w:r>
      <w:r>
        <w:rPr>
          <w:rtl/>
        </w:rPr>
        <w:t>תי' דלא איירי בממון מסויים. אלא יש עליו שעבוד שיוכל לעבור דרך שדה חבירו. וכיון דאינו דבר מסויים בידו ל”ש לדונו כגזלן.</w:t>
      </w:r>
    </w:p>
  </w:footnote>
  <w:footnote w:id="2244">
    <w:p w14:paraId="08318BB9" w14:textId="77777777" w:rsidR="006074A5" w:rsidRDefault="006074A5" w:rsidP="006074A5">
      <w:pPr>
        <w:pStyle w:val="Footnote"/>
        <w:bidi/>
      </w:pPr>
      <w:r>
        <w:rPr>
          <w:rStyle w:val="ac"/>
          <w:rtl/>
        </w:rPr>
        <w:footnoteRef/>
      </w:r>
      <w:r>
        <w:rPr>
          <w:rtl/>
        </w:rPr>
        <w:t>וכיון דיש לו זכות מכח הכרעת המשפט לא אמרי' דממ"נ אינו שלו. אלא דמכח ממ”נ יש סברא לנהוג אחרת מעכשיו, וע' בסמוך.</w:t>
      </w:r>
    </w:p>
  </w:footnote>
  <w:footnote w:id="2245">
    <w:p w14:paraId="6FC9F7E5" w14:textId="77777777" w:rsidR="006074A5" w:rsidRDefault="006074A5" w:rsidP="006074A5">
      <w:pPr>
        <w:pStyle w:val="Footnote"/>
        <w:bidi/>
      </w:pPr>
      <w:r>
        <w:rPr>
          <w:rStyle w:val="ac"/>
          <w:rtl/>
        </w:rPr>
        <w:footnoteRef/>
      </w:r>
      <w:r>
        <w:rPr>
          <w:rtl/>
        </w:rPr>
        <w:t>וכעי"ז כתב ב</w:t>
      </w:r>
      <w:r>
        <w:rPr>
          <w:b/>
          <w:bCs/>
          <w:rtl/>
        </w:rPr>
        <w:t xml:space="preserve">קובה"ע </w:t>
      </w:r>
      <w:r>
        <w:rPr>
          <w:rtl/>
        </w:rPr>
        <w:t>(עא ז) דלמ"ד קם דינא מכח ההכרעה נשתנה הדין [וכביטול ברוב], ולכן לא שייך ממ"נ. ולמ"ד הדר דינא הוכרע לנקוט הדין כן [ולא נשתנה עצם הדין כלפי שמיא, וכמו הכרעת חזקה], ולכן כשיש ממ"נ ודאי אסור. [אבל לדברי השער"י אף מ"ד הדר דינא ס"ל דנשתנה הדין, אלא דע"פ ממ"נ נשתנה ההכרעה מכאן ולהבא. ואפשר דס"ל דאף בהנהגת חזקה הגדר כן].</w:t>
      </w:r>
    </w:p>
  </w:footnote>
  <w:footnote w:id="2246">
    <w:p w14:paraId="3237F52B" w14:textId="77777777" w:rsidR="006074A5" w:rsidRDefault="006074A5" w:rsidP="006074A5">
      <w:pPr>
        <w:pStyle w:val="Footnote"/>
        <w:bidi/>
      </w:pPr>
      <w:r>
        <w:rPr>
          <w:rStyle w:val="ac"/>
          <w:rtl/>
        </w:rPr>
        <w:footnoteRef/>
      </w:r>
      <w:r>
        <w:rPr>
          <w:rtl/>
        </w:rPr>
        <w:t>[וה</w:t>
      </w:r>
      <w:r>
        <w:rPr>
          <w:b/>
          <w:bCs/>
          <w:rtl/>
        </w:rPr>
        <w:t>אחרונים</w:t>
      </w:r>
      <w:r>
        <w:rPr>
          <w:rtl/>
        </w:rPr>
        <w:t xml:space="preserve"> האריכו בסוגיא (בכורות מח) דערב דב' יוסף בן שמעון, דלא באים ממ"נ, כיון דאם הוא אינו חייב אף הערב אינו חייב. ואכ"מ].</w:t>
      </w:r>
    </w:p>
  </w:footnote>
  <w:footnote w:id="2247">
    <w:p w14:paraId="27C53888" w14:textId="77777777" w:rsidR="006074A5" w:rsidRDefault="006074A5" w:rsidP="006074A5">
      <w:pPr>
        <w:pStyle w:val="Footnote"/>
        <w:bidi/>
      </w:pPr>
      <w:r>
        <w:rPr>
          <w:rStyle w:val="ac"/>
          <w:rtl/>
        </w:rPr>
        <w:footnoteRef/>
      </w:r>
      <w:r>
        <w:rPr>
          <w:rtl/>
        </w:rPr>
        <w:t>אלא דבספק ויבם בא מכח ירושה, והוה היתירא. וצ"ב.</w:t>
      </w:r>
    </w:p>
  </w:footnote>
  <w:footnote w:id="2248">
    <w:p w14:paraId="54167EF0" w14:textId="77777777" w:rsidR="006074A5" w:rsidRDefault="006074A5" w:rsidP="006074A5">
      <w:pPr>
        <w:pStyle w:val="Footnote"/>
        <w:bidi/>
      </w:pPr>
      <w:r>
        <w:rPr>
          <w:rStyle w:val="ac"/>
          <w:rtl/>
        </w:rPr>
        <w:footnoteRef/>
      </w:r>
      <w:r>
        <w:rPr>
          <w:rtl/>
        </w:rPr>
        <w:t>וה</w:t>
      </w:r>
      <w:r>
        <w:rPr>
          <w:b/>
          <w:bCs/>
          <w:rtl/>
        </w:rPr>
        <w:t>חזו"א</w:t>
      </w:r>
      <w:r>
        <w:rPr>
          <w:rtl/>
        </w:rPr>
        <w:t xml:space="preserve"> (קיט ב) כתב דלא בעינן חלוקה בפועל, ואף אם הוחזקו בשותפין אמרי' קם דינא, כל שאין לא' תביעות על חבירו. [וה”נ לענין מוחזק כתב דכל שכבר אינן תובעים זה את זה נחשב קם דינא].</w:t>
      </w:r>
    </w:p>
  </w:footnote>
  <w:footnote w:id="2249">
    <w:p w14:paraId="7E10AC9A" w14:textId="77777777" w:rsidR="006074A5" w:rsidRDefault="006074A5" w:rsidP="006074A5">
      <w:pPr>
        <w:pStyle w:val="Footnote"/>
        <w:bidi/>
      </w:pPr>
      <w:r>
        <w:rPr>
          <w:rStyle w:val="ac"/>
          <w:rtl/>
        </w:rPr>
        <w:footnoteRef/>
      </w:r>
      <w:r>
        <w:rPr>
          <w:rtl/>
        </w:rPr>
        <w:t>וה</w:t>
      </w:r>
      <w:r>
        <w:rPr>
          <w:b/>
          <w:bCs/>
          <w:rtl/>
        </w:rPr>
        <w:t>ריטב"א</w:t>
      </w:r>
      <w:r>
        <w:rPr>
          <w:rtl/>
        </w:rPr>
        <w:t xml:space="preserve"> הוסיף דכיון דהוא ודאי ומוחזק בשדהו הוה כאילו נפסק הדין ועומד מהר סיני, ומה צריך דין אחר.</w:t>
      </w:r>
    </w:p>
  </w:footnote>
  <w:footnote w:id="2250">
    <w:p w14:paraId="60BA93F8" w14:textId="77777777" w:rsidR="006074A5" w:rsidRDefault="006074A5" w:rsidP="006074A5">
      <w:pPr>
        <w:pStyle w:val="Footnote"/>
        <w:bidi/>
      </w:pPr>
      <w:r>
        <w:rPr>
          <w:rStyle w:val="ac"/>
          <w:rtl/>
        </w:rPr>
        <w:footnoteRef/>
      </w:r>
      <w:r>
        <w:rPr>
          <w:rtl/>
        </w:rPr>
        <w:t>וה</w:t>
      </w:r>
      <w:r>
        <w:rPr>
          <w:b/>
          <w:bCs/>
          <w:rtl/>
        </w:rPr>
        <w:t>אחרונים</w:t>
      </w:r>
      <w:r>
        <w:rPr>
          <w:rtl/>
        </w:rPr>
        <w:t xml:space="preserve"> ציינו דכעי"ז כת' ה</w:t>
      </w:r>
      <w:r>
        <w:rPr>
          <w:b/>
          <w:bCs/>
          <w:rtl/>
        </w:rPr>
        <w:t>רמב"ן</w:t>
      </w:r>
      <w:r>
        <w:rPr>
          <w:rtl/>
        </w:rPr>
        <w:t xml:space="preserve"> (ב"מ ו) דמהני תפיסה מדין יחלוקו, כיון דעדיין לא הוכרע. ואכ"מ. [אבל י"ל כוונתו ע"ד החזו"א].</w:t>
      </w:r>
    </w:p>
  </w:footnote>
  <w:footnote w:id="2251">
    <w:p w14:paraId="70CB6D07" w14:textId="77777777" w:rsidR="006074A5" w:rsidRDefault="006074A5" w:rsidP="006074A5">
      <w:pPr>
        <w:pStyle w:val="Footnote"/>
        <w:bidi/>
      </w:pPr>
      <w:r>
        <w:rPr>
          <w:rStyle w:val="ac"/>
          <w:rtl/>
        </w:rPr>
        <w:footnoteRef/>
      </w:r>
      <w:r>
        <w:rPr>
          <w:rtl/>
        </w:rPr>
        <w:t>וכ"נ בדברי הרשב"א (ב"ק ח.), אבל במלחמות שם לכאורה מבואר כנמוק"י.</w:t>
      </w:r>
    </w:p>
  </w:footnote>
  <w:footnote w:id="2252">
    <w:p w14:paraId="4722A0E0" w14:textId="77777777" w:rsidR="006074A5" w:rsidRDefault="006074A5" w:rsidP="006074A5">
      <w:pPr>
        <w:pStyle w:val="Footnote"/>
        <w:bidi/>
      </w:pPr>
      <w:r>
        <w:rPr>
          <w:rStyle w:val="ac"/>
          <w:rtl/>
        </w:rPr>
        <w:footnoteRef/>
      </w:r>
      <w:r>
        <w:rPr>
          <w:rtl/>
        </w:rPr>
        <w:t>[והבעה”מ הביא דכ”מ (ב”ב ד:) דמגלגלין עליו את הכל. וכן בסוגיא (ב”ב קו:) קי"ל כרב דבטלה מח'. והמלחמות דחה דלא דמי לכל הני].</w:t>
      </w:r>
    </w:p>
  </w:footnote>
  <w:footnote w:id="2253">
    <w:p w14:paraId="16828A9E" w14:textId="77777777" w:rsidR="006074A5" w:rsidRDefault="006074A5" w:rsidP="006074A5">
      <w:pPr>
        <w:pStyle w:val="Footnote"/>
        <w:bidi/>
      </w:pPr>
      <w:r>
        <w:rPr>
          <w:rStyle w:val="ac"/>
          <w:rtl/>
        </w:rPr>
        <w:footnoteRef/>
      </w:r>
      <w:r>
        <w:rPr>
          <w:rtl/>
        </w:rPr>
        <w:t>משא"כ שנים אוחזין וכו', דהסיבה במקצת ל"מ לחצי הב'. [והאחרונים האריכו בגדר שנים אוחזין, האם נחשב סיבה בכל. ואכ”מ].</w:t>
      </w:r>
    </w:p>
  </w:footnote>
  <w:footnote w:id="2254">
    <w:p w14:paraId="290C8FB0" w14:textId="77777777" w:rsidR="006074A5" w:rsidRDefault="006074A5" w:rsidP="006074A5">
      <w:pPr>
        <w:pStyle w:val="Footnote"/>
        <w:bidi/>
      </w:pPr>
      <w:r>
        <w:rPr>
          <w:rStyle w:val="ac"/>
          <w:rtl/>
        </w:rPr>
        <w:footnoteRef/>
      </w:r>
      <w:r>
        <w:rPr>
          <w:rtl/>
        </w:rPr>
        <w:t>משמע דסברתו דכה"ג זכותם של האחים מחייב את זכותו, ולכן ע"כ הוה ודאי וודאי. [וזה סברא שונה ממש"כ הריטב"א {בשם הרמב"ן}].</w:t>
      </w:r>
    </w:p>
  </w:footnote>
  <w:footnote w:id="2255">
    <w:p w14:paraId="61F126EE" w14:textId="77777777" w:rsidR="006074A5" w:rsidRDefault="006074A5" w:rsidP="006074A5">
      <w:pPr>
        <w:pStyle w:val="Footnote"/>
        <w:bidi/>
      </w:pPr>
      <w:r>
        <w:rPr>
          <w:rStyle w:val="ac"/>
          <w:rtl/>
        </w:rPr>
        <w:footnoteRef/>
      </w:r>
      <w:r>
        <w:rPr>
          <w:rtl/>
        </w:rPr>
        <w:t>וה</w:t>
      </w:r>
      <w:r>
        <w:rPr>
          <w:b/>
          <w:bCs/>
          <w:rtl/>
        </w:rPr>
        <w:t>תוס' ר"פ</w:t>
      </w:r>
      <w:r>
        <w:rPr>
          <w:rtl/>
        </w:rPr>
        <w:t xml:space="preserve"> (בשיטמ"ק ב"מ) ביאר דדוקא היכא דטענותיו ברורות אמרי' אסממ"ו. אבל [שנים אוחזין] אין טענותיו ברורות.</w:t>
      </w:r>
    </w:p>
  </w:footnote>
  <w:footnote w:id="2256">
    <w:p w14:paraId="7B6F6A0D" w14:textId="77777777" w:rsidR="006074A5" w:rsidRDefault="006074A5" w:rsidP="006074A5">
      <w:pPr>
        <w:pStyle w:val="Footnote"/>
        <w:bidi/>
      </w:pPr>
      <w:r>
        <w:rPr>
          <w:rStyle w:val="ac"/>
          <w:rtl/>
        </w:rPr>
        <w:footnoteRef/>
      </w:r>
      <w:r>
        <w:rPr>
          <w:rtl/>
        </w:rPr>
        <w:t>וה</w:t>
      </w:r>
      <w:r>
        <w:rPr>
          <w:b/>
          <w:bCs/>
          <w:rtl/>
        </w:rPr>
        <w:t>ריצב"ש</w:t>
      </w:r>
      <w:r>
        <w:rPr>
          <w:rtl/>
        </w:rPr>
        <w:t xml:space="preserve"> פי' דבסוגיין כיון שהיבם בנו ודאי, מיד שמת הסבא הרי הוא מוחזק בכל הנכסים. והספק בא להוציא מחזקתו ועליו להביא ראיה. אבל כאן אף שהודה לו זה במחצית, והחזיקו בטלית. למאי דאתחזק [דהיינו במחצית] אתחזק, ולא במחצית האחר.</w:t>
      </w:r>
    </w:p>
  </w:footnote>
  <w:footnote w:id="2257">
    <w:p w14:paraId="7C445CA5" w14:textId="77777777" w:rsidR="006074A5" w:rsidRDefault="006074A5" w:rsidP="006074A5">
      <w:pPr>
        <w:pStyle w:val="Footnote"/>
        <w:bidi/>
      </w:pPr>
      <w:r>
        <w:rPr>
          <w:rStyle w:val="ac"/>
          <w:rtl/>
        </w:rPr>
        <w:footnoteRef/>
      </w:r>
      <w:r>
        <w:rPr>
          <w:rtl/>
        </w:rPr>
        <w:t>ותי' דהתם אם היה בא לדין עם היבם היה נדחה מכל וכל, ולכן אף שנתחדש דינו להיות ספק, אינו נוטל בכל. [וצ”ב].</w:t>
      </w:r>
    </w:p>
  </w:footnote>
  <w:footnote w:id="2258">
    <w:p w14:paraId="65A323BE" w14:textId="77777777" w:rsidR="006074A5" w:rsidRDefault="006074A5" w:rsidP="006074A5">
      <w:pPr>
        <w:pStyle w:val="Footnote"/>
        <w:bidi/>
      </w:pPr>
      <w:r>
        <w:rPr>
          <w:rStyle w:val="ac"/>
          <w:rtl/>
        </w:rPr>
        <w:footnoteRef/>
      </w:r>
      <w:r>
        <w:rPr>
          <w:rtl/>
        </w:rPr>
        <w:t>ואילו בהא דאי' הוא לא יורש אותן מפני שהוחזקו נכסים לבני משפחה, ואילו הספק הוא בחזקת רחוק לגמרי. [ויל"ד דכל ישראל ראויין לירש זה את זה, אלא שיש יורשים אחרים קודמים].</w:t>
      </w:r>
    </w:p>
  </w:footnote>
  <w:footnote w:id="2259">
    <w:p w14:paraId="3E9F2F54" w14:textId="77777777" w:rsidR="006074A5" w:rsidRDefault="006074A5" w:rsidP="006074A5">
      <w:pPr>
        <w:pStyle w:val="Footnote"/>
        <w:bidi/>
      </w:pPr>
      <w:r>
        <w:rPr>
          <w:rStyle w:val="ac"/>
          <w:rtl/>
        </w:rPr>
        <w:footnoteRef/>
      </w:r>
      <w:r>
        <w:rPr>
          <w:rtl/>
        </w:rPr>
        <w:t>וה</w:t>
      </w:r>
      <w:r>
        <w:rPr>
          <w:b/>
          <w:bCs/>
          <w:rtl/>
        </w:rPr>
        <w:t>רמ"א</w:t>
      </w:r>
      <w:r>
        <w:rPr>
          <w:rtl/>
        </w:rPr>
        <w:t xml:space="preserve"> כתב דלשון הגמ' (כתובות פא) 'אח אני יורש' משמע כמהרי"ו.</w:t>
      </w:r>
    </w:p>
  </w:footnote>
  <w:footnote w:id="2260">
    <w:p w14:paraId="7BE7744A" w14:textId="77777777" w:rsidR="006074A5" w:rsidRDefault="006074A5" w:rsidP="006074A5">
      <w:pPr>
        <w:pStyle w:val="Footnote"/>
        <w:bidi/>
      </w:pPr>
      <w:r>
        <w:rPr>
          <w:rStyle w:val="ac"/>
          <w:rtl/>
        </w:rPr>
        <w:footnoteRef/>
      </w:r>
      <w:r>
        <w:rPr>
          <w:rtl/>
        </w:rPr>
        <w:t>וה</w:t>
      </w:r>
      <w:r>
        <w:rPr>
          <w:b/>
          <w:bCs/>
          <w:rtl/>
        </w:rPr>
        <w:t>בי"ש</w:t>
      </w:r>
      <w:r>
        <w:rPr>
          <w:rtl/>
        </w:rPr>
        <w:t xml:space="preserve"> (יב) הביא דכל ירושת המת היבמים יורשים [ויחלקו ביניהם, ואפי' שא' בכור]. וצ"ב טובא דבשלמא נכסי האשה שייך לדיני האישות, אבל מנלן שירשו שאר נכסי המת. [ומבואר דנחשב כמו שייבמו, כיון שאינם יכולים לייבם. וצ"ב].</w:t>
      </w:r>
    </w:p>
  </w:footnote>
  <w:footnote w:id="2261">
    <w:p w14:paraId="796545B9" w14:textId="77777777" w:rsidR="006074A5" w:rsidRDefault="006074A5" w:rsidP="006074A5">
      <w:pPr>
        <w:pStyle w:val="Footnote"/>
        <w:bidi/>
      </w:pPr>
      <w:r>
        <w:rPr>
          <w:rStyle w:val="ac"/>
          <w:rtl/>
        </w:rPr>
        <w:footnoteRef/>
      </w:r>
      <w:r>
        <w:rPr>
          <w:rtl/>
        </w:rPr>
        <w:t>[וה</w:t>
      </w:r>
      <w:r>
        <w:rPr>
          <w:b/>
          <w:bCs/>
          <w:rtl/>
        </w:rPr>
        <w:t>תו”י</w:t>
      </w:r>
      <w:r>
        <w:rPr>
          <w:rtl/>
        </w:rPr>
        <w:t xml:space="preserve"> (הנדמ"ח) הקשה על נכסי מלוג].</w:t>
      </w:r>
    </w:p>
  </w:footnote>
  <w:footnote w:id="2262">
    <w:p w14:paraId="3D30BA60" w14:textId="77777777" w:rsidR="006074A5" w:rsidRDefault="006074A5" w:rsidP="006074A5">
      <w:pPr>
        <w:pStyle w:val="Footnote"/>
        <w:bidi/>
      </w:pPr>
      <w:r>
        <w:rPr>
          <w:rStyle w:val="ac"/>
          <w:rtl/>
        </w:rPr>
        <w:footnoteRef/>
      </w:r>
      <w:r>
        <w:rPr>
          <w:rtl/>
        </w:rPr>
        <w:t>אבל הביאו דב</w:t>
      </w:r>
      <w:r>
        <w:rPr>
          <w:b/>
          <w:bCs/>
          <w:rtl/>
        </w:rPr>
        <w:t>רמב"ן</w:t>
      </w:r>
      <w:r>
        <w:rPr>
          <w:rtl/>
        </w:rPr>
        <w:t xml:space="preserve"> בסוגיין מבואר דלבי"ה אינו יורש כלל, ומ"מ בנכסי צ"ב אמרי' דלא ניתנה ליגבות מחיים, וע"כ דלא בעי ירושה.</w:t>
      </w:r>
    </w:p>
  </w:footnote>
  <w:footnote w:id="2263">
    <w:p w14:paraId="116ACB92" w14:textId="77777777" w:rsidR="006074A5" w:rsidRDefault="006074A5" w:rsidP="006074A5">
      <w:pPr>
        <w:pStyle w:val="Footnote"/>
        <w:bidi/>
      </w:pPr>
      <w:r>
        <w:rPr>
          <w:rStyle w:val="ac"/>
          <w:rtl/>
        </w:rPr>
        <w:footnoteRef/>
      </w:r>
      <w:r>
        <w:rPr>
          <w:rtl/>
        </w:rPr>
        <w:t>וה</w:t>
      </w:r>
      <w:r>
        <w:rPr>
          <w:b/>
          <w:bCs/>
          <w:rtl/>
        </w:rPr>
        <w:t>אחרונים</w:t>
      </w:r>
      <w:r>
        <w:rPr>
          <w:rtl/>
        </w:rPr>
        <w:t xml:space="preserve"> ביארו דע"י שמתה בטל קביעת זמן הפרעון [שהוא מחמת שעבוד האישות], וממילא חייב לפרוע מיד.</w:t>
      </w:r>
    </w:p>
  </w:footnote>
  <w:footnote w:id="2264">
    <w:p w14:paraId="49105995" w14:textId="77777777" w:rsidR="006074A5" w:rsidRDefault="006074A5" w:rsidP="006074A5">
      <w:pPr>
        <w:pStyle w:val="Footnote"/>
        <w:bidi/>
      </w:pPr>
      <w:r>
        <w:rPr>
          <w:rStyle w:val="ac"/>
          <w:rtl/>
        </w:rPr>
        <w:footnoteRef/>
      </w:r>
      <w:r>
        <w:rPr>
          <w:rtl/>
        </w:rPr>
        <w:t>דירושת הבן ושאר קרובים יש להם דין יורש משעה שנולדו. ומש"ה הוה מוחזקים בספק, אבל שם יורש של הבעל חל רק בשעת מיתתה.</w:t>
      </w:r>
    </w:p>
  </w:footnote>
  <w:footnote w:id="2265">
    <w:p w14:paraId="13499627" w14:textId="77777777" w:rsidR="006074A5" w:rsidRDefault="006074A5" w:rsidP="006074A5">
      <w:pPr>
        <w:pStyle w:val="Footnote"/>
        <w:bidi/>
      </w:pPr>
      <w:r>
        <w:rPr>
          <w:rStyle w:val="ac"/>
          <w:rtl/>
        </w:rPr>
        <w:footnoteRef/>
      </w:r>
      <w:r>
        <w:rPr>
          <w:rtl/>
          <w:lang w:val="he-IL"/>
        </w:rPr>
        <w:t>ו</w:t>
      </w:r>
      <w:r>
        <w:rPr>
          <w:b/>
          <w:bCs/>
          <w:rtl/>
          <w:lang w:val="he-IL"/>
        </w:rPr>
        <w:t>תוס'</w:t>
      </w:r>
      <w:r>
        <w:rPr>
          <w:rtl/>
          <w:lang w:val="he-IL"/>
        </w:rPr>
        <w:t xml:space="preserve"> (ב"ב קנח.) פי' דכיון דאם מת לפני האם הוי פורענות להכי תקינו הכא שיהיו בחזקתה, לפי שהוא עתיד ועומד לירש את אמו יותר ממה שהוא עתיד הבעל לירש את אשתו. אבל התם כמו שדרך האשה מתה קודם בעלה, כך דרך הבעל למות קודם האשה ולא יירשנה ואין זה פורענות ולכך לא סמכה דעתה כולי האי</w:t>
      </w:r>
      <w:r>
        <w:rPr>
          <w:rFonts w:cs="Times New Roman"/>
          <w:rtl/>
          <w:lang w:val="he-IL"/>
        </w:rPr>
        <w:t>.</w:t>
      </w:r>
    </w:p>
  </w:footnote>
  <w:footnote w:id="2266">
    <w:p w14:paraId="091214A9" w14:textId="77777777" w:rsidR="006074A5" w:rsidRDefault="006074A5" w:rsidP="006074A5">
      <w:pPr>
        <w:pStyle w:val="Footnote"/>
        <w:bidi/>
      </w:pPr>
      <w:r>
        <w:rPr>
          <w:rStyle w:val="ac"/>
          <w:rtl/>
        </w:rPr>
        <w:footnoteRef/>
      </w:r>
      <w:r>
        <w:rPr>
          <w:rtl/>
        </w:rPr>
        <w:t>דהיינו מנה ומאתיים, ונכסי צאן ברזל תלי ב</w:t>
      </w:r>
      <w:r>
        <w:rPr>
          <w:b/>
          <w:bCs/>
          <w:rtl/>
        </w:rPr>
        <w:t>רש"י</w:t>
      </w:r>
      <w:r>
        <w:rPr>
          <w:rtl/>
        </w:rPr>
        <w:t xml:space="preserve"> ו</w:t>
      </w:r>
      <w:r>
        <w:rPr>
          <w:b/>
          <w:bCs/>
          <w:rtl/>
        </w:rPr>
        <w:t>תוס</w:t>
      </w:r>
      <w:r>
        <w:rPr>
          <w:rtl/>
        </w:rPr>
        <w:t>' (ד"ה ובית הלל). ו</w:t>
      </w:r>
      <w:r>
        <w:rPr>
          <w:b/>
          <w:bCs/>
          <w:rtl/>
        </w:rPr>
        <w:t>תוס</w:t>
      </w:r>
      <w:r>
        <w:rPr>
          <w:rtl/>
        </w:rPr>
        <w:t>' (כתובות שם ד"ה יורשי) הק' לפרש"י דיורש רק מנה ומאתיים, הא תקנת קבורה לא הוה כנגד עיקר הכתובה. ותוס' תי' דשומר"י היתה ראויה קצת ליטול מנה ומאתיים [בשעה שמת בעלה, ואף דאינה נוטלת בפועל עד שתחלוץ דמותרת לינשא, מ”מ עיקר החיוב קיים]. ומש"ה הוי כאילו הכניסה לו נדוניא, שהרי הכניסה ליבם שעבוד כתובה שהיתה על נכסי בעלה הראשון. וכאילו נטלה והחזירה לו.</w:t>
      </w:r>
    </w:p>
  </w:footnote>
  <w:footnote w:id="2267">
    <w:p w14:paraId="15AF5D9B" w14:textId="77777777" w:rsidR="006074A5" w:rsidRDefault="006074A5" w:rsidP="006074A5">
      <w:pPr>
        <w:pStyle w:val="Footnote"/>
        <w:bidi/>
      </w:pPr>
      <w:r>
        <w:rPr>
          <w:rStyle w:val="ac"/>
          <w:rtl/>
        </w:rPr>
        <w:footnoteRef/>
      </w:r>
      <w:r>
        <w:rPr>
          <w:rtl/>
        </w:rPr>
        <w:t xml:space="preserve">אך </w:t>
      </w:r>
      <w:r>
        <w:rPr>
          <w:b/>
          <w:bCs/>
          <w:rtl/>
        </w:rPr>
        <w:t>תוס'</w:t>
      </w:r>
      <w:r>
        <w:rPr>
          <w:rtl/>
        </w:rPr>
        <w:t xml:space="preserve"> הביאו דבגמ' (קידו' יג:) אי' דיבם לא מקרי אחר. ובגמ' (סוטה ה:) דרשי' והיתה לאיש אחר, ולא ליבם.</w:t>
      </w:r>
    </w:p>
  </w:footnote>
  <w:footnote w:id="2268">
    <w:p w14:paraId="03A6BE5B" w14:textId="77777777" w:rsidR="006074A5" w:rsidRDefault="006074A5" w:rsidP="006074A5">
      <w:pPr>
        <w:pStyle w:val="Footnote"/>
        <w:bidi/>
      </w:pPr>
      <w:r>
        <w:rPr>
          <w:rStyle w:val="ac"/>
          <w:rtl/>
        </w:rPr>
        <w:footnoteRef/>
      </w:r>
      <w:r>
        <w:rPr>
          <w:rtl/>
        </w:rPr>
        <w:t xml:space="preserve">וכ"כ </w:t>
      </w:r>
      <w:r>
        <w:rPr>
          <w:b/>
          <w:bCs/>
          <w:rtl/>
        </w:rPr>
        <w:t>רש"י מה"ק</w:t>
      </w:r>
      <w:r>
        <w:rPr>
          <w:rtl/>
        </w:rPr>
        <w:t xml:space="preserve"> (בשיטמ"ק כתובות פ:).</w:t>
      </w:r>
    </w:p>
  </w:footnote>
  <w:footnote w:id="2269">
    <w:p w14:paraId="2EE161A1" w14:textId="77777777" w:rsidR="006074A5" w:rsidRDefault="006074A5" w:rsidP="006074A5">
      <w:pPr>
        <w:pStyle w:val="Footnote"/>
        <w:bidi/>
      </w:pPr>
      <w:r>
        <w:rPr>
          <w:rStyle w:val="ac"/>
          <w:rtl/>
        </w:rPr>
        <w:footnoteRef/>
      </w:r>
      <w:r>
        <w:rPr>
          <w:rtl/>
        </w:rPr>
        <w:t xml:space="preserve">וע' </w:t>
      </w:r>
      <w:r>
        <w:rPr>
          <w:b/>
          <w:bCs/>
          <w:rtl/>
        </w:rPr>
        <w:t>פוסקים</w:t>
      </w:r>
      <w:r>
        <w:rPr>
          <w:rtl/>
        </w:rPr>
        <w:t xml:space="preserve"> האם היינו שכופין לחלוץ, או אף דמבקשים. וע”ע</w:t>
      </w:r>
      <w:r>
        <w:rPr>
          <w:b/>
          <w:bCs/>
          <w:rtl/>
        </w:rPr>
        <w:t xml:space="preserve"> חזו”א</w:t>
      </w:r>
      <w:r>
        <w:rPr>
          <w:rtl/>
        </w:rPr>
        <w:t xml:space="preserve"> (ס"ס קיט).</w:t>
      </w:r>
    </w:p>
  </w:footnote>
  <w:footnote w:id="2270">
    <w:p w14:paraId="176B3CA6" w14:textId="77777777" w:rsidR="006074A5" w:rsidRDefault="006074A5" w:rsidP="006074A5">
      <w:pPr>
        <w:pStyle w:val="Footnote"/>
        <w:bidi/>
      </w:pPr>
      <w:r>
        <w:rPr>
          <w:rStyle w:val="ac"/>
          <w:rtl/>
        </w:rPr>
        <w:footnoteRef/>
      </w:r>
      <w:r>
        <w:rPr>
          <w:rtl/>
        </w:rPr>
        <w:t>אבל איסור אחות זקוקתו תקנו אף בכה”ג, וע”כ דלא תליא בזיקה.</w:t>
      </w:r>
    </w:p>
  </w:footnote>
  <w:footnote w:id="2271">
    <w:p w14:paraId="08027A02" w14:textId="77777777" w:rsidR="006074A5" w:rsidRDefault="006074A5" w:rsidP="006074A5">
      <w:pPr>
        <w:pStyle w:val="Footnote"/>
        <w:bidi/>
      </w:pPr>
      <w:r>
        <w:rPr>
          <w:rStyle w:val="ac"/>
          <w:rtl/>
        </w:rPr>
        <w:footnoteRef/>
      </w:r>
      <w:r>
        <w:rPr>
          <w:rtl/>
        </w:rPr>
        <w:t>ויל"ד האם כוונתו לדין זיקה ככנוסה לענין דיני האישות, או דין הנכסים הוה נידון בפנ"ע.</w:t>
      </w:r>
    </w:p>
  </w:footnote>
  <w:footnote w:id="2272">
    <w:p w14:paraId="620F6010" w14:textId="77777777" w:rsidR="006074A5" w:rsidRDefault="006074A5" w:rsidP="006074A5">
      <w:pPr>
        <w:pStyle w:val="Footnote"/>
        <w:bidi/>
      </w:pPr>
      <w:r>
        <w:rPr>
          <w:rStyle w:val="ac"/>
          <w:rtl/>
        </w:rPr>
        <w:footnoteRef/>
      </w:r>
      <w:r>
        <w:rPr>
          <w:rtl/>
        </w:rPr>
        <w:t>אבל משמע דלא תליא במ"ד יש זיקה. וב</w:t>
      </w:r>
      <w:r>
        <w:rPr>
          <w:b/>
          <w:bCs/>
          <w:rtl/>
        </w:rPr>
        <w:t>שיע' ר' שמואל</w:t>
      </w:r>
      <w:r>
        <w:rPr>
          <w:rtl/>
        </w:rPr>
        <w:t xml:space="preserve"> כתב דהכא איירי לענין הקנין, ואילו איסורי קרובים תליא ב'שאר'. ועוד י"ל כמ"ש </w:t>
      </w:r>
      <w:r>
        <w:rPr>
          <w:b/>
          <w:bCs/>
          <w:rtl/>
        </w:rPr>
        <w:t>רש"י</w:t>
      </w:r>
      <w:r>
        <w:rPr>
          <w:rtl/>
        </w:rPr>
        <w:t xml:space="preserve"> (לעיל יז:) דלמ"ד אין זיקה, לא אלימה זיקה לאסור קרובים, דהוה זכות קלוש [ובאיסור קרובים ל”ש גדר מקצת וספק].</w:t>
      </w:r>
    </w:p>
  </w:footnote>
  <w:footnote w:id="2273">
    <w:p w14:paraId="02E52EA4" w14:textId="77777777" w:rsidR="006074A5" w:rsidRDefault="006074A5" w:rsidP="006074A5">
      <w:pPr>
        <w:pStyle w:val="Footnote"/>
        <w:bidi/>
      </w:pPr>
      <w:r>
        <w:rPr>
          <w:rStyle w:val="ac"/>
          <w:rtl/>
        </w:rPr>
        <w:footnoteRef/>
      </w:r>
      <w:r>
        <w:rPr>
          <w:rtl/>
        </w:rPr>
        <w:t>[אבל דעת ה</w:t>
      </w:r>
      <w:r>
        <w:rPr>
          <w:b/>
          <w:bCs/>
          <w:rtl/>
        </w:rPr>
        <w:t>רמב"ן</w:t>
      </w:r>
      <w:r>
        <w:rPr>
          <w:rtl/>
        </w:rPr>
        <w:t xml:space="preserve"> דלבי"ה לא אמרי' כלל ידו כידה].</w:t>
      </w:r>
    </w:p>
  </w:footnote>
  <w:footnote w:id="2274">
    <w:p w14:paraId="2D3B017A" w14:textId="77777777" w:rsidR="006074A5" w:rsidRDefault="006074A5" w:rsidP="006074A5">
      <w:pPr>
        <w:pStyle w:val="Footnote"/>
        <w:bidi/>
      </w:pPr>
      <w:r>
        <w:rPr>
          <w:rStyle w:val="ac"/>
          <w:rtl/>
        </w:rPr>
        <w:footnoteRef/>
      </w:r>
      <w:r>
        <w:rPr>
          <w:b/>
          <w:bCs/>
          <w:rtl/>
        </w:rPr>
        <w:t>תוס</w:t>
      </w:r>
      <w:r>
        <w:rPr>
          <w:rtl/>
        </w:rPr>
        <w:t>' (סוטה כה: ד"ה לאו) כת' דלא תלי למח' דכל העומד ליבצר כבצור וכדו'. דהכא סברת בית הלל דכיון דצריך דיינים להוציאו אמרי' העמד ממון בחזקת בעליו.</w:t>
      </w:r>
    </w:p>
  </w:footnote>
  <w:footnote w:id="2275">
    <w:p w14:paraId="4BB46C21" w14:textId="77777777" w:rsidR="006074A5" w:rsidRDefault="006074A5" w:rsidP="006074A5">
      <w:pPr>
        <w:pStyle w:val="Footnote"/>
        <w:bidi/>
      </w:pPr>
      <w:r>
        <w:rPr>
          <w:rStyle w:val="ac"/>
          <w:rtl/>
        </w:rPr>
        <w:footnoteRef/>
      </w:r>
      <w:r>
        <w:rPr>
          <w:rtl/>
        </w:rPr>
        <w:t>ועוד כתב שם שאם מתברר ע"י שתייה דלא נתייחדה לשם איסור, אינה עוברת ע"ד.</w:t>
      </w:r>
    </w:p>
  </w:footnote>
  <w:footnote w:id="2276">
    <w:p w14:paraId="63A5116B" w14:textId="77777777" w:rsidR="006074A5" w:rsidRDefault="006074A5" w:rsidP="006074A5">
      <w:pPr>
        <w:pStyle w:val="Footnote"/>
        <w:bidi/>
      </w:pPr>
      <w:r>
        <w:rPr>
          <w:rStyle w:val="ac"/>
          <w:rtl/>
        </w:rPr>
        <w:footnoteRef/>
      </w:r>
      <w:r>
        <w:rPr>
          <w:rtl/>
        </w:rPr>
        <w:t>וה</w:t>
      </w:r>
      <w:r>
        <w:rPr>
          <w:b/>
          <w:bCs/>
          <w:rtl/>
        </w:rPr>
        <w:t>תוס' רא"ש</w:t>
      </w:r>
      <w:r>
        <w:rPr>
          <w:rtl/>
        </w:rPr>
        <w:t xml:space="preserve"> (כתובות פא.) הק' מנ"ל דטעמא דבי"ש משום שטר העומד ליגבות, נימא דהטעם משום ברי ושמא. ותי' שהברי שלה גרוע [שיודעת שאינם יכולים להכחישה], ועדיף כח השמא, שהרי רגלים לדבר שהרי קינא לה ונסתרה. [ויל"פ דברי תוס' (דידן) עד"ז, דלמ"ד למ"ד אין ספק מוציא מידי ודאי ל"מ ברי גרוע ושמא טוב להוציא מיד מוחזק ודאי. אבל למ"ד ספק מוציא מידי ודאי מהני טענת ברי כל דהו].</w:t>
      </w:r>
    </w:p>
  </w:footnote>
  <w:footnote w:id="2277">
    <w:p w14:paraId="4E9A1122" w14:textId="77777777" w:rsidR="006074A5" w:rsidRDefault="006074A5" w:rsidP="006074A5">
      <w:pPr>
        <w:pStyle w:val="Footnote"/>
        <w:bidi/>
      </w:pPr>
      <w:r>
        <w:rPr>
          <w:rStyle w:val="ac"/>
          <w:rtl/>
        </w:rPr>
        <w:footnoteRef/>
      </w:r>
      <w:r>
        <w:rPr>
          <w:rtl/>
        </w:rPr>
        <w:t>[וע"ע מה שהובא (לעיל יא.) בגדרי התורה עשאתו ספק]. אך הגר"ח (הו' לעיל שם) נקט דלא נחשב ספק כלל לשאר מילי.</w:t>
      </w:r>
    </w:p>
  </w:footnote>
  <w:footnote w:id="2278">
    <w:p w14:paraId="07902856" w14:textId="77777777" w:rsidR="006074A5" w:rsidRDefault="006074A5" w:rsidP="006074A5">
      <w:pPr>
        <w:pStyle w:val="Footnote"/>
        <w:bidi/>
      </w:pPr>
      <w:r>
        <w:rPr>
          <w:rStyle w:val="ac"/>
          <w:rtl/>
        </w:rPr>
        <w:footnoteRef/>
      </w:r>
      <w:r>
        <w:rPr>
          <w:rtl/>
        </w:rPr>
        <w:t>אבל ה</w:t>
      </w:r>
      <w:r>
        <w:rPr>
          <w:b/>
          <w:bCs/>
          <w:rtl/>
        </w:rPr>
        <w:t>בעה"מ</w:t>
      </w:r>
      <w:r>
        <w:rPr>
          <w:rtl/>
        </w:rPr>
        <w:t xml:space="preserve"> כתב דמ"מ מהני מאמר לענין שלא למכור לכתחילה, וכמו כל ארוסה.</w:t>
      </w:r>
    </w:p>
  </w:footnote>
  <w:footnote w:id="2279">
    <w:p w14:paraId="40681CB2" w14:textId="77777777" w:rsidR="006074A5" w:rsidRDefault="006074A5" w:rsidP="006074A5">
      <w:pPr>
        <w:pStyle w:val="Footnote"/>
        <w:bidi/>
      </w:pPr>
      <w:r>
        <w:rPr>
          <w:rStyle w:val="ac"/>
          <w:rtl/>
        </w:rPr>
        <w:footnoteRef/>
      </w:r>
      <w:r>
        <w:rPr>
          <w:rtl/>
        </w:rPr>
        <w:t>[וכן דייק הרמב"ן שם מדבריו].</w:t>
      </w:r>
    </w:p>
  </w:footnote>
  <w:footnote w:id="2280">
    <w:p w14:paraId="7521AE01" w14:textId="77777777" w:rsidR="006074A5" w:rsidRDefault="006074A5" w:rsidP="006074A5">
      <w:pPr>
        <w:pStyle w:val="Footnote"/>
        <w:bidi/>
      </w:pPr>
      <w:r>
        <w:rPr>
          <w:rStyle w:val="ac"/>
          <w:rtl/>
        </w:rPr>
        <w:footnoteRef/>
      </w:r>
      <w:r>
        <w:rPr>
          <w:rtl/>
        </w:rPr>
        <w:t>[וכעי"ז כתב ה</w:t>
      </w:r>
      <w:r>
        <w:rPr>
          <w:b/>
          <w:bCs/>
          <w:rtl/>
        </w:rPr>
        <w:t>רשב"א</w:t>
      </w:r>
      <w:r>
        <w:rPr>
          <w:rtl/>
        </w:rPr>
        <w:t xml:space="preserve"> קידושין כא, הו' לעיל].</w:t>
      </w:r>
    </w:p>
  </w:footnote>
  <w:footnote w:id="2281">
    <w:p w14:paraId="281D584C" w14:textId="77777777" w:rsidR="006074A5" w:rsidRDefault="006074A5" w:rsidP="006074A5">
      <w:pPr>
        <w:pStyle w:val="Footnote"/>
        <w:bidi/>
      </w:pPr>
      <w:r>
        <w:rPr>
          <w:rStyle w:val="ac"/>
          <w:rtl/>
        </w:rPr>
        <w:footnoteRef/>
      </w:r>
      <w:r>
        <w:rPr>
          <w:rtl/>
        </w:rPr>
        <w:t>[והותרה לכל אישות היבום, ובתו"י הנדמ"ח משמע דהוה פי' לדברי התוס', ולא תי' בפנ"ע].</w:t>
      </w:r>
    </w:p>
  </w:footnote>
  <w:footnote w:id="2282">
    <w:p w14:paraId="08D11FDF" w14:textId="77777777" w:rsidR="006074A5" w:rsidRDefault="006074A5" w:rsidP="006074A5">
      <w:pPr>
        <w:pStyle w:val="Footnote"/>
        <w:bidi/>
      </w:pPr>
      <w:r>
        <w:rPr>
          <w:rStyle w:val="ac"/>
          <w:rtl/>
        </w:rPr>
        <w:footnoteRef/>
      </w:r>
      <w:r>
        <w:rPr>
          <w:rtl/>
        </w:rPr>
        <w:t>וה</w:t>
      </w:r>
      <w:r>
        <w:rPr>
          <w:b/>
          <w:bCs/>
          <w:rtl/>
        </w:rPr>
        <w:t>גר"ח</w:t>
      </w:r>
      <w:r>
        <w:rPr>
          <w:rtl/>
        </w:rPr>
        <w:t xml:space="preserve"> נקט דלפ"ז אם ייבם בלא עדים, קיים המצווה אלא שלא קנאה [ועפ"ז הקשה דחייבי לאוין לדעת הרמב"ם דאסורים רק ע"י קידושין, דיכול לייבם בלא עדים, ואין איסור דלא חל הקנין].</w:t>
      </w:r>
    </w:p>
  </w:footnote>
  <w:footnote w:id="2283">
    <w:p w14:paraId="59C073B2" w14:textId="77777777" w:rsidR="006074A5" w:rsidRDefault="006074A5" w:rsidP="006074A5">
      <w:pPr>
        <w:pStyle w:val="Footnote"/>
        <w:bidi/>
      </w:pPr>
      <w:r>
        <w:rPr>
          <w:rStyle w:val="ac"/>
          <w:rtl/>
        </w:rPr>
        <w:footnoteRef/>
      </w:r>
      <w:r>
        <w:rPr>
          <w:rtl/>
        </w:rPr>
        <w:t>ויל"פ כוונתו דקי"ל (רמ"א קסו ב) דכיון שקידש אותה פרחה זיקת יבמין, וצריך כניסה לחופה. וכיון דכונסה מדעתה כדרך שאר נשים מתחייב לה כתובה.</w:t>
      </w:r>
    </w:p>
  </w:footnote>
  <w:footnote w:id="2284">
    <w:p w14:paraId="47234AA8" w14:textId="77777777" w:rsidR="006074A5" w:rsidRDefault="006074A5" w:rsidP="006074A5">
      <w:pPr>
        <w:pStyle w:val="Footnote"/>
        <w:bidi/>
      </w:pPr>
      <w:r>
        <w:rPr>
          <w:rStyle w:val="ac"/>
          <w:rtl/>
        </w:rPr>
        <w:footnoteRef/>
      </w:r>
      <w:r>
        <w:rPr>
          <w:rtl/>
        </w:rPr>
        <w:t>ולכאורה כוונתו אף כשכותב לה כתובה להדיא, נתפרש הדבר ע"ד כתובתה מהראשון. [אך צ"ע דקי"ל (כתובות פט:) דהמגרש את אשתו ומחזירה, הוה ע"ד כתובה ראשונה. אבל היכא דכתב לה שוב כתובה נתחייב כתובה נוספת].</w:t>
      </w:r>
    </w:p>
  </w:footnote>
  <w:footnote w:id="2285">
    <w:p w14:paraId="2FF3E473" w14:textId="77777777" w:rsidR="006074A5" w:rsidRDefault="006074A5" w:rsidP="006074A5">
      <w:pPr>
        <w:pStyle w:val="Footnote"/>
        <w:bidi/>
      </w:pPr>
      <w:r>
        <w:rPr>
          <w:rStyle w:val="ac"/>
          <w:rtl/>
        </w:rPr>
        <w:footnoteRef/>
      </w:r>
      <w:r>
        <w:rPr>
          <w:rtl/>
        </w:rPr>
        <w:t>וה</w:t>
      </w:r>
      <w:r>
        <w:rPr>
          <w:b/>
          <w:bCs/>
          <w:rtl/>
        </w:rPr>
        <w:t>קובה"ע</w:t>
      </w:r>
      <w:r>
        <w:rPr>
          <w:rtl/>
        </w:rPr>
        <w:t xml:space="preserve"> (לח ט) הק' מ"ש מהמגרש את האשה ומחזירה, דאי' (כתובות צ.) דע"ד כתובה ראשונה החזירה. [ולכאורה זהו סברת תוס' דידן]. וצ"ל דהתם הוה חיוב דידיה. משא"כ חיוב אחיו.</w:t>
      </w:r>
    </w:p>
  </w:footnote>
  <w:footnote w:id="2286">
    <w:p w14:paraId="3A8FEC50" w14:textId="77777777" w:rsidR="006074A5" w:rsidRDefault="006074A5" w:rsidP="006074A5">
      <w:pPr>
        <w:pStyle w:val="Footnote"/>
        <w:bidi/>
      </w:pPr>
      <w:r>
        <w:rPr>
          <w:rStyle w:val="ac"/>
          <w:rtl/>
        </w:rPr>
        <w:footnoteRef/>
      </w:r>
      <w:r>
        <w:rPr>
          <w:rtl/>
        </w:rPr>
        <w:t>וב</w:t>
      </w:r>
      <w:r>
        <w:rPr>
          <w:b/>
          <w:bCs/>
          <w:rtl/>
        </w:rPr>
        <w:t>שו"ת בית יוסף</w:t>
      </w:r>
      <w:r>
        <w:rPr>
          <w:rtl/>
        </w:rPr>
        <w:t xml:space="preserve"> (יבום ד) הק' דמ"מ תלי בכניסה דידיה. וכתב דאף שכתובה בשם הרמב"ם, אפשר דלא אמרה הרמב"ם מעולם. ועוד בדברי הרמב"ם בהלכות נראה להיפך, א"כ אף אי כתב הך תשובה בילדותו אזלי' בתר דבריו בהלכות.</w:t>
      </w:r>
    </w:p>
  </w:footnote>
  <w:footnote w:id="2287">
    <w:p w14:paraId="3E699F6A" w14:textId="77777777" w:rsidR="006074A5" w:rsidRDefault="006074A5" w:rsidP="006074A5">
      <w:pPr>
        <w:pStyle w:val="Footnote"/>
        <w:bidi/>
      </w:pPr>
      <w:r>
        <w:rPr>
          <w:rStyle w:val="ac"/>
          <w:rtl/>
        </w:rPr>
        <w:footnoteRef/>
      </w:r>
      <w:r>
        <w:rPr>
          <w:rtl/>
        </w:rPr>
        <w:t>[אך אסור להשהותה בלא שיתחייב שוב כתובה. ומ”מ לא תקנו כתובה ממילא].</w:t>
      </w:r>
    </w:p>
  </w:footnote>
  <w:footnote w:id="2288">
    <w:p w14:paraId="751583FD" w14:textId="77777777" w:rsidR="006074A5" w:rsidRDefault="006074A5" w:rsidP="006074A5">
      <w:pPr>
        <w:pStyle w:val="Footnote"/>
        <w:bidi/>
      </w:pPr>
      <w:r>
        <w:rPr>
          <w:rStyle w:val="ac"/>
          <w:rtl/>
        </w:rPr>
        <w:footnoteRef/>
      </w:r>
      <w:r>
        <w:rPr>
          <w:rtl/>
        </w:rPr>
        <w:t>ביבמה מהנישואין. אבל אלמנה מאירוסין כתובתה מאתיים מהיבם. [וכ"כ התוי"ט].</w:t>
      </w:r>
    </w:p>
  </w:footnote>
  <w:footnote w:id="2289">
    <w:p w14:paraId="557582FC" w14:textId="77777777" w:rsidR="006074A5" w:rsidRDefault="006074A5" w:rsidP="006074A5">
      <w:pPr>
        <w:pStyle w:val="Footnote"/>
        <w:bidi/>
      </w:pPr>
      <w:r>
        <w:rPr>
          <w:rStyle w:val="ac"/>
          <w:rtl/>
        </w:rPr>
        <w:footnoteRef/>
      </w:r>
      <w:r>
        <w:rPr>
          <w:rtl/>
        </w:rPr>
        <w:t>והביא דעד"ז כת' ה</w:t>
      </w:r>
      <w:r>
        <w:rPr>
          <w:b/>
          <w:bCs/>
          <w:rtl/>
        </w:rPr>
        <w:t>ר"ן</w:t>
      </w:r>
      <w:r>
        <w:rPr>
          <w:rtl/>
        </w:rPr>
        <w:t xml:space="preserve"> (כתובות) נפק"מ לענין נדוניא. דאפי' ליכא נכסים מהראשון אין לה על השני אלא עיקר כתובה.</w:t>
      </w:r>
    </w:p>
  </w:footnote>
  <w:footnote w:id="2290">
    <w:p w14:paraId="182EE3FA" w14:textId="77777777" w:rsidR="006074A5" w:rsidRDefault="006074A5" w:rsidP="006074A5">
      <w:pPr>
        <w:pStyle w:val="Footnote"/>
        <w:bidi/>
      </w:pPr>
      <w:r>
        <w:rPr>
          <w:rStyle w:val="ac"/>
          <w:rtl/>
        </w:rPr>
        <w:footnoteRef/>
      </w:r>
      <w:r>
        <w:rPr>
          <w:rtl/>
        </w:rPr>
        <w:t>[וסברת התוי"ט הוה הפסד ליבם במה שהכתובה על נכסי אחיו]. וה</w:t>
      </w:r>
      <w:r>
        <w:rPr>
          <w:b/>
          <w:bCs/>
          <w:rtl/>
        </w:rPr>
        <w:t>תו"י</w:t>
      </w:r>
      <w:r>
        <w:rPr>
          <w:rtl/>
        </w:rPr>
        <w:t xml:space="preserve"> (הנדמ"ח) ביאר הקו' דהלשון הקנו לו משמע דיש לו בזה רווח. ותי' (בשם השר) דאשה הקנו לו הוה טעם מ"ט אינו מתחייב ב' כתובות.</w:t>
      </w:r>
    </w:p>
  </w:footnote>
  <w:footnote w:id="2291">
    <w:p w14:paraId="59ECACE9" w14:textId="77777777" w:rsidR="006074A5" w:rsidRDefault="006074A5" w:rsidP="006074A5">
      <w:pPr>
        <w:pStyle w:val="Footnote"/>
        <w:bidi/>
      </w:pPr>
      <w:r>
        <w:rPr>
          <w:rStyle w:val="ac"/>
          <w:rtl/>
        </w:rPr>
        <w:footnoteRef/>
      </w:r>
      <w:r>
        <w:rPr>
          <w:rtl/>
        </w:rPr>
        <w:t>משום תקנת אי ל"ל מראשון.</w:t>
      </w:r>
    </w:p>
  </w:footnote>
  <w:footnote w:id="2292">
    <w:p w14:paraId="67B23E3C" w14:textId="77777777" w:rsidR="006074A5" w:rsidRDefault="006074A5" w:rsidP="006074A5">
      <w:pPr>
        <w:pStyle w:val="Footnote"/>
        <w:bidi/>
      </w:pPr>
      <w:r>
        <w:rPr>
          <w:rStyle w:val="ac"/>
          <w:rtl/>
        </w:rPr>
        <w:footnoteRef/>
      </w:r>
      <w:r>
        <w:rPr>
          <w:rtl/>
        </w:rPr>
        <w:t>ו</w:t>
      </w:r>
      <w:r>
        <w:rPr>
          <w:b/>
          <w:bCs/>
          <w:rtl/>
        </w:rPr>
        <w:t>תוס'</w:t>
      </w:r>
      <w:r>
        <w:rPr>
          <w:rtl/>
        </w:rPr>
        <w:t xml:space="preserve"> (שם ד"ה הרוצה) פי' דאפי' ישאיר לה כנגד כתובתה אינו רשאי למכור השאר, דחיישינן שמא יאבדו או ישתדפו השדות שישאיר.</w:t>
      </w:r>
    </w:p>
  </w:footnote>
  <w:footnote w:id="2293">
    <w:p w14:paraId="3C0A6A99" w14:textId="77777777" w:rsidR="006074A5" w:rsidRDefault="006074A5" w:rsidP="006074A5">
      <w:pPr>
        <w:pStyle w:val="Footnote"/>
        <w:bidi/>
      </w:pPr>
      <w:r>
        <w:rPr>
          <w:rStyle w:val="ac"/>
          <w:rtl/>
        </w:rPr>
        <w:footnoteRef/>
      </w:r>
      <w:r>
        <w:rPr>
          <w:rtl/>
        </w:rPr>
        <w:t>ו</w:t>
      </w:r>
      <w:r>
        <w:rPr>
          <w:b/>
          <w:bCs/>
          <w:rtl/>
        </w:rPr>
        <w:t>תוס'</w:t>
      </w:r>
      <w:r>
        <w:rPr>
          <w:rtl/>
        </w:rPr>
        <w:t xml:space="preserve"> (שם) הק' דמה מפסדת, דהא אי ל"ל לראשון תקנו משני. וי"ל דמפסדת שצריכה לחזור ולטרוף לקוחות דראשון, אף כשיש בני חורין לשני [וכנ"ל, ודלא כתוס' דידן].</w:t>
      </w:r>
    </w:p>
  </w:footnote>
  <w:footnote w:id="2294">
    <w:p w14:paraId="76A85183" w14:textId="77777777" w:rsidR="006074A5" w:rsidRDefault="006074A5" w:rsidP="006074A5">
      <w:pPr>
        <w:pStyle w:val="Footnote"/>
        <w:bidi/>
      </w:pPr>
      <w:r>
        <w:rPr>
          <w:rStyle w:val="ac"/>
          <w:rtl/>
        </w:rPr>
        <w:footnoteRef/>
      </w:r>
      <w:r>
        <w:rPr>
          <w:rtl/>
        </w:rPr>
        <w:t>ו</w:t>
      </w:r>
      <w:r>
        <w:rPr>
          <w:b/>
          <w:bCs/>
          <w:rtl/>
        </w:rPr>
        <w:t>רש"י</w:t>
      </w:r>
      <w:r>
        <w:rPr>
          <w:rtl/>
        </w:rPr>
        <w:t xml:space="preserve"> (שם) הוסיף שמגבה לה כתובתה, ויחזיר ע"ד כתובתה הראשונה. וה</w:t>
      </w:r>
      <w:r>
        <w:rPr>
          <w:b/>
          <w:bCs/>
          <w:rtl/>
        </w:rPr>
        <w:t>שיטמ"ק</w:t>
      </w:r>
      <w:r>
        <w:rPr>
          <w:rtl/>
        </w:rPr>
        <w:t xml:space="preserve"> (בשם תלמ' רבינו יונה) ביאר [כוונת רש"י] דאם אינו מגבה, עדיין כתובתה על נכסי בעלה הא'. ואף כשמחזירה לא יוכל למכור.</w:t>
      </w:r>
    </w:p>
    <w:p w14:paraId="324BF7F1" w14:textId="77777777" w:rsidR="006074A5" w:rsidRDefault="006074A5" w:rsidP="006074A5">
      <w:pPr>
        <w:pStyle w:val="Footnote"/>
        <w:bidi/>
      </w:pPr>
      <w:r>
        <w:rPr>
          <w:rtl/>
        </w:rPr>
        <w:tab/>
        <w:t>וה</w:t>
      </w:r>
      <w:r>
        <w:rPr>
          <w:b/>
          <w:bCs/>
          <w:rtl/>
        </w:rPr>
        <w:t>שיטמ"ק</w:t>
      </w:r>
      <w:r>
        <w:rPr>
          <w:rtl/>
        </w:rPr>
        <w:t xml:space="preserve"> הביא בשם </w:t>
      </w:r>
      <w:r>
        <w:rPr>
          <w:b/>
          <w:bCs/>
          <w:rtl/>
        </w:rPr>
        <w:t>ר"מ הלוי</w:t>
      </w:r>
      <w:r>
        <w:rPr>
          <w:rtl/>
        </w:rPr>
        <w:t xml:space="preserve"> דפורע כתובה, וחוזר כותב לה כתובה אחרת. אבל רש”י כתב דמחזירה ע”ד כתובתה הראשונה. ודתלמידי ר' יונה כת' דמחזירה בתנאי ע"מ שיוכל למכור בנכסים.</w:t>
      </w:r>
    </w:p>
  </w:footnote>
  <w:footnote w:id="2295">
    <w:p w14:paraId="27739B04" w14:textId="77777777" w:rsidR="006074A5" w:rsidRDefault="006074A5" w:rsidP="006074A5">
      <w:pPr>
        <w:pStyle w:val="Footnote"/>
        <w:bidi/>
      </w:pPr>
      <w:r>
        <w:rPr>
          <w:rStyle w:val="ac"/>
          <w:rtl/>
        </w:rPr>
        <w:footnoteRef/>
      </w:r>
      <w:r>
        <w:rPr>
          <w:rtl/>
        </w:rPr>
        <w:t>לכאורה כוונתו דעצם המצווה מוטל על כולם, אלא כיון דרמי עליו, אין צווי לשאר האחים [דהוה מצווה א' על כל, ובכל מקום דרמי מצווה על הציבור, אפשר לעשות ע”י אחרים הוה כעין רשות]. דלא מסתבר דאינו קיום מצווה בעצם.</w:t>
      </w:r>
    </w:p>
  </w:footnote>
  <w:footnote w:id="2296">
    <w:p w14:paraId="190EA05A" w14:textId="77777777" w:rsidR="006074A5" w:rsidRDefault="006074A5" w:rsidP="006074A5">
      <w:pPr>
        <w:pStyle w:val="Footnote"/>
        <w:bidi/>
      </w:pPr>
      <w:r>
        <w:rPr>
          <w:rStyle w:val="ac"/>
          <w:rtl/>
        </w:rPr>
        <w:footnoteRef/>
      </w:r>
      <w:r>
        <w:rPr>
          <w:rtl/>
        </w:rPr>
        <w:t>ובמשנה (שם) אי' אף חליצה. [ובפשוטו משמע דהגמ' קאי אכולה, דאיירי בקטן. ומש"ה הוה רשות]. וה</w:t>
      </w:r>
      <w:r>
        <w:rPr>
          <w:b/>
          <w:bCs/>
          <w:rtl/>
        </w:rPr>
        <w:t>שיטמ"ק</w:t>
      </w:r>
      <w:r>
        <w:rPr>
          <w:rtl/>
        </w:rPr>
        <w:t xml:space="preserve"> (שם בשם מורי) הק' דגבי חליצה ליכא מצווה בגדול [דנח' בזה בגמ' בע"ב]. ותי' [דאף אצל האח הגדול] אין חליצה עיקר המצוה, שמצות יבום קודמת למצות חליצה.  </w:t>
      </w:r>
    </w:p>
  </w:footnote>
  <w:footnote w:id="2297">
    <w:p w14:paraId="612A6380" w14:textId="77777777" w:rsidR="006074A5" w:rsidRDefault="006074A5" w:rsidP="006074A5">
      <w:pPr>
        <w:pStyle w:val="Footnote"/>
        <w:bidi/>
      </w:pPr>
      <w:r>
        <w:rPr>
          <w:rStyle w:val="ac"/>
          <w:rtl/>
        </w:rPr>
        <w:footnoteRef/>
      </w:r>
      <w:r>
        <w:rPr>
          <w:rtl/>
        </w:rPr>
        <w:t>דאי' (שם) דהוה דבר רשות ואינו דוחה יו”ט.</w:t>
      </w:r>
    </w:p>
  </w:footnote>
  <w:footnote w:id="2298">
    <w:p w14:paraId="3238184B" w14:textId="77777777" w:rsidR="006074A5" w:rsidRDefault="006074A5" w:rsidP="006074A5">
      <w:pPr>
        <w:pStyle w:val="Footnote"/>
        <w:bidi/>
      </w:pPr>
      <w:r>
        <w:rPr>
          <w:rStyle w:val="ac"/>
          <w:rtl/>
        </w:rPr>
        <w:footnoteRef/>
      </w:r>
      <w:r>
        <w:rPr>
          <w:rtl/>
        </w:rPr>
        <w:t>[וצ"ב דאף בתאומים יש א' גדול טפי, שהוא הבכור.</w:t>
      </w:r>
    </w:p>
  </w:footnote>
  <w:footnote w:id="2299">
    <w:p w14:paraId="2D08B337" w14:textId="77777777" w:rsidR="006074A5" w:rsidRDefault="006074A5" w:rsidP="006074A5">
      <w:pPr>
        <w:pStyle w:val="Footnote"/>
        <w:bidi/>
      </w:pPr>
      <w:r>
        <w:rPr>
          <w:rStyle w:val="ac"/>
          <w:rtl/>
        </w:rPr>
        <w:footnoteRef/>
      </w:r>
      <w:r>
        <w:rPr>
          <w:rtl/>
        </w:rPr>
        <w:t>ועוד הביא מהא דאי' (ב"ק קט.) דכהן שבא ומקריב קרבנותיו, רשאי ליתנו לכהן אחר אם ירצה. ועוד הביא (נדרים לו:) דרשאי ליתן לאחר להפריש תרומותיו. וכן קביעת מזוזה מצאנו (מנחות לג.) שריש גלותא שלח אחר לעשות מזוזה.</w:t>
      </w:r>
    </w:p>
    <w:p w14:paraId="41D000C6" w14:textId="77777777" w:rsidR="006074A5" w:rsidRDefault="006074A5" w:rsidP="006074A5">
      <w:pPr>
        <w:pStyle w:val="Footnote"/>
        <w:bidi/>
      </w:pPr>
      <w:r>
        <w:rPr>
          <w:rtl/>
        </w:rPr>
        <w:tab/>
        <w:t>אך הביא (לקמן מ.) גבי אכילת מנחה, דכהן המקריב דוקא צריך לאכול. ותי' (ע"פ ב' תי' התוס' שם) דהתם שנה בא הכתוב לעכב. ועוד למש"כ תוס' היינו כהן מהמשמר.</w:t>
      </w:r>
    </w:p>
  </w:footnote>
  <w:footnote w:id="2300">
    <w:p w14:paraId="63BA83D2" w14:textId="77777777" w:rsidR="006074A5" w:rsidRDefault="006074A5" w:rsidP="006074A5">
      <w:pPr>
        <w:pStyle w:val="Footnote"/>
        <w:bidi/>
      </w:pPr>
      <w:r>
        <w:rPr>
          <w:rStyle w:val="ac"/>
          <w:rtl/>
        </w:rPr>
        <w:footnoteRef/>
      </w:r>
      <w:r>
        <w:rPr>
          <w:rtl/>
        </w:rPr>
        <w:t>והא דאמרי' מצווה בו יותר מבשלוחו הוה דרך בזיון, אבל היכא דמכבד אדם אחר [דרך כבוד] רשאי. ועפ"ז תמה ע"ד ה</w:t>
      </w:r>
      <w:r>
        <w:rPr>
          <w:b/>
          <w:bCs/>
          <w:rtl/>
        </w:rPr>
        <w:t>ש"ך</w:t>
      </w:r>
      <w:r>
        <w:rPr>
          <w:rtl/>
        </w:rPr>
        <w:t xml:space="preserve"> (חו"מ שפב ד) דהאב מצווה למול את בנו, ואם יכול למול בעצמו וממנה אחר מבטל מצוה (ע' פתח"ת יו"ד רסד א).</w:t>
      </w:r>
    </w:p>
  </w:footnote>
  <w:footnote w:id="2301">
    <w:p w14:paraId="055FEB9B" w14:textId="77777777" w:rsidR="006074A5" w:rsidRDefault="006074A5" w:rsidP="006074A5">
      <w:pPr>
        <w:pStyle w:val="Footnote"/>
        <w:bidi/>
      </w:pPr>
      <w:r>
        <w:rPr>
          <w:rStyle w:val="ac"/>
          <w:rtl/>
        </w:rPr>
        <w:footnoteRef/>
      </w:r>
      <w:r>
        <w:rPr>
          <w:rtl/>
        </w:rPr>
        <w:t>ולכאורה דעת התבואות שור דלדעת ר' יוחנן (לעיל י:) יבום וחליצה הוה שליחותייהו דאחים, והוה שליחות ממש, דשלוחו של אדם כמותו.</w:t>
      </w:r>
    </w:p>
    <w:p w14:paraId="4BDE4464" w14:textId="77777777" w:rsidR="006074A5" w:rsidRDefault="006074A5" w:rsidP="006074A5">
      <w:pPr>
        <w:pStyle w:val="Footnote"/>
        <w:bidi/>
      </w:pPr>
      <w:r>
        <w:rPr>
          <w:rtl/>
        </w:rPr>
        <w:tab/>
        <w:t>אך לדעת ר"ל דלא הוה שליחותא דאחים הדרא קושייה האיך רשאי להפסיד המצווה ולהניחו לאחרים. ולכאורה לדעת ריש לקיש ע"כ צ"ל דהיכא דהקטן מייבם נתברר שהזיקה אצלו. ולא חשיב ביטול מצווה, וכסברת הקצות.</w:t>
      </w:r>
    </w:p>
  </w:footnote>
  <w:footnote w:id="2302">
    <w:p w14:paraId="28F29B2D" w14:textId="77777777" w:rsidR="006074A5" w:rsidRDefault="006074A5" w:rsidP="006074A5">
      <w:pPr>
        <w:pStyle w:val="Footnote"/>
        <w:bidi/>
      </w:pPr>
      <w:r>
        <w:rPr>
          <w:rStyle w:val="ac"/>
          <w:rtl/>
        </w:rPr>
        <w:footnoteRef/>
      </w:r>
      <w:r>
        <w:rPr>
          <w:rtl/>
        </w:rPr>
        <w:t>וכמ"ש ה</w:t>
      </w:r>
      <w:r>
        <w:rPr>
          <w:b/>
          <w:bCs/>
          <w:rtl/>
        </w:rPr>
        <w:t>קצות</w:t>
      </w:r>
      <w:r>
        <w:rPr>
          <w:rtl/>
        </w:rPr>
        <w:t xml:space="preserve"> (קפב א) ע"פ דברי התוס' רי”ד (קידו' מב).</w:t>
      </w:r>
    </w:p>
    <w:p w14:paraId="7E37E7EF" w14:textId="77777777" w:rsidR="006074A5" w:rsidRDefault="006074A5" w:rsidP="006074A5">
      <w:pPr>
        <w:pStyle w:val="Footnote"/>
        <w:bidi/>
      </w:pPr>
      <w:r>
        <w:rPr>
          <w:rtl/>
        </w:rPr>
        <w:tab/>
        <w:t>{וכה"ק ב</w:t>
      </w:r>
      <w:r>
        <w:rPr>
          <w:b/>
          <w:bCs/>
          <w:rtl/>
        </w:rPr>
        <w:t>הג' המהרש"ם</w:t>
      </w:r>
      <w:r>
        <w:rPr>
          <w:rtl/>
        </w:rPr>
        <w:t xml:space="preserve"> (בע"ב) על עיקר דברי ר' יוחנן דשליחותייהו דאחים. אך ב</w:t>
      </w:r>
      <w:r>
        <w:rPr>
          <w:b/>
          <w:bCs/>
          <w:rtl/>
        </w:rPr>
        <w:t>דורש לציון</w:t>
      </w:r>
      <w:r>
        <w:rPr>
          <w:rtl/>
        </w:rPr>
        <w:t xml:space="preserve"> (יג הו' לעיל כא.) נקט דהוה שליחות ממש. ובפשוטו שאני הכא דהוה גזיה"כ דסגי ביבום של א' מהם, ונתחדש בזה שליחות. ועוד שמעתי דהכא כל אח נחשב 'בעלים' לעשות קנין ומצוות היבום [וכיון שהוא בעל דבר בעצמו נחשב מצווה בגופו], ועי"ז נחשב מעשה שלו. ומהני עי"ז להחשב אף שליחות דהאחים. [וע"ד הא דאמרי' מיגו דזכי לנפשיה]. ומש"ה לתבו"ש נחשב שמתקיים מצווה בשלוחו. וצ"ע}.</w:t>
      </w:r>
    </w:p>
  </w:footnote>
  <w:footnote w:id="2303">
    <w:p w14:paraId="41C9ACD1" w14:textId="77777777" w:rsidR="006074A5" w:rsidRDefault="006074A5" w:rsidP="006074A5">
      <w:pPr>
        <w:pStyle w:val="Footnote"/>
        <w:bidi/>
      </w:pPr>
      <w:r>
        <w:rPr>
          <w:rStyle w:val="ac"/>
          <w:rtl/>
        </w:rPr>
        <w:footnoteRef/>
      </w:r>
      <w:r>
        <w:rPr>
          <w:rtl/>
        </w:rPr>
        <w:t>דלא אתינן עלה מתורת שליחות, דהא אפי' אם הגדול אינו רוצה שא' מאחיו ייבם. [ולכאו' כוונתו דל"ש הך סברא דמתקיים מצווה בשלוחו היכא דהוה בע"כ. והא דא"ר יוחנן שליחותייהו דאחין איירי אפי' עומד וצווח].</w:t>
      </w:r>
    </w:p>
  </w:footnote>
  <w:footnote w:id="2304">
    <w:p w14:paraId="70F7A477" w14:textId="77777777" w:rsidR="006074A5" w:rsidRDefault="006074A5" w:rsidP="006074A5">
      <w:pPr>
        <w:pStyle w:val="Footnote"/>
        <w:bidi/>
      </w:pPr>
      <w:r>
        <w:rPr>
          <w:rStyle w:val="ac"/>
          <w:rtl/>
        </w:rPr>
        <w:footnoteRef/>
      </w:r>
      <w:r>
        <w:rPr>
          <w:rtl/>
        </w:rPr>
        <w:t>וכ"כ ה</w:t>
      </w:r>
      <w:r>
        <w:rPr>
          <w:b/>
          <w:bCs/>
          <w:rtl/>
        </w:rPr>
        <w:t>תוי"ט</w:t>
      </w:r>
      <w:r>
        <w:rPr>
          <w:rtl/>
        </w:rPr>
        <w:t xml:space="preserve"> (כאן) למי שהוא קרוב לו בשנים.</w:t>
      </w:r>
    </w:p>
  </w:footnote>
  <w:footnote w:id="2305">
    <w:p w14:paraId="676D6190" w14:textId="77777777" w:rsidR="006074A5" w:rsidRDefault="006074A5" w:rsidP="006074A5">
      <w:pPr>
        <w:pStyle w:val="Footnote"/>
        <w:bidi/>
      </w:pPr>
      <w:r>
        <w:rPr>
          <w:rStyle w:val="ac"/>
          <w:rtl/>
        </w:rPr>
        <w:footnoteRef/>
      </w:r>
      <w:r>
        <w:rPr>
          <w:rtl/>
        </w:rPr>
        <w:t>וה</w:t>
      </w:r>
      <w:r>
        <w:rPr>
          <w:b/>
          <w:bCs/>
          <w:rtl/>
        </w:rPr>
        <w:t>ראב"ד</w:t>
      </w:r>
      <w:r>
        <w:rPr>
          <w:rtl/>
        </w:rPr>
        <w:t xml:space="preserve"> השיג מהגמ' (כד.) דמבואר דכל הגדול מחבירו הוא קודם למצווה. ו</w:t>
      </w:r>
      <w:r>
        <w:rPr>
          <w:b/>
          <w:bCs/>
          <w:rtl/>
        </w:rPr>
        <w:t>ה"ה</w:t>
      </w:r>
      <w:r>
        <w:rPr>
          <w:rtl/>
        </w:rPr>
        <w:t xml:space="preserve"> וב</w:t>
      </w:r>
      <w:r>
        <w:rPr>
          <w:b/>
          <w:bCs/>
          <w:rtl/>
        </w:rPr>
        <w:t>שו"ת הרשב"א</w:t>
      </w:r>
      <w:r>
        <w:rPr>
          <w:rtl/>
        </w:rPr>
        <w:t xml:space="preserve"> (א אלף קסה) כת' דהרמב"ם גרס אף בברייתא על כל האחין. [והאחרונים דנו ליישב קו' הגמ' דלעיל שם עד"ז]. וה</w:t>
      </w:r>
      <w:r>
        <w:rPr>
          <w:b/>
          <w:bCs/>
          <w:rtl/>
        </w:rPr>
        <w:t>מגדל עוז</w:t>
      </w:r>
      <w:r>
        <w:rPr>
          <w:rtl/>
        </w:rPr>
        <w:t xml:space="preserve"> כת' דאף אי בברייתא מבואר דגדול גדול קודם, מ"מ מתני' אי' על כל האחין. וסתם משנה עדיף.</w:t>
      </w:r>
    </w:p>
  </w:footnote>
  <w:footnote w:id="2306">
    <w:p w14:paraId="6A44C6B9" w14:textId="77777777" w:rsidR="006074A5" w:rsidRDefault="006074A5" w:rsidP="006074A5">
      <w:pPr>
        <w:pStyle w:val="Footnote"/>
        <w:bidi/>
      </w:pPr>
      <w:r>
        <w:rPr>
          <w:rStyle w:val="ac"/>
          <w:rtl/>
        </w:rPr>
        <w:footnoteRef/>
      </w:r>
      <w:r>
        <w:rPr>
          <w:rtl/>
        </w:rPr>
        <w:t>שה</w:t>
      </w:r>
      <w:r>
        <w:rPr>
          <w:b/>
          <w:bCs/>
          <w:rtl/>
        </w:rPr>
        <w:t>רמב”ם</w:t>
      </w:r>
      <w:r>
        <w:rPr>
          <w:rtl/>
        </w:rPr>
        <w:t xml:space="preserve"> (ב ט) כתב שהיה במדינה אחרת, וכתב דבכל מקום שהרמב"ם הזכיר מדינה היינו עיר.</w:t>
      </w:r>
    </w:p>
  </w:footnote>
  <w:footnote w:id="2307">
    <w:p w14:paraId="6B88993F" w14:textId="77777777" w:rsidR="006074A5" w:rsidRDefault="006074A5" w:rsidP="006074A5">
      <w:pPr>
        <w:pStyle w:val="Footnote"/>
        <w:bidi/>
      </w:pPr>
      <w:r>
        <w:rPr>
          <w:rStyle w:val="ac"/>
          <w:rtl/>
        </w:rPr>
        <w:footnoteRef/>
      </w:r>
      <w:r>
        <w:rPr>
          <w:rtl/>
        </w:rPr>
        <w:t>ועפ"ז כת' החכ"צ דבקטלנית דבלאו הכי אינה רשאית לינשא ל"ש כפייה לחליצה.</w:t>
      </w:r>
    </w:p>
  </w:footnote>
  <w:footnote w:id="2308">
    <w:p w14:paraId="726BF142" w14:textId="77777777" w:rsidR="006074A5" w:rsidRDefault="006074A5" w:rsidP="006074A5">
      <w:pPr>
        <w:pStyle w:val="Footnote"/>
        <w:bidi/>
      </w:pPr>
      <w:r>
        <w:rPr>
          <w:rStyle w:val="ac"/>
          <w:rtl/>
        </w:rPr>
        <w:footnoteRef/>
      </w:r>
      <w:r>
        <w:rPr>
          <w:rtl/>
        </w:rPr>
        <w:t>וגדר 'מורדת' לא הוה כעין עיגון.</w:t>
      </w:r>
    </w:p>
  </w:footnote>
  <w:footnote w:id="2309">
    <w:p w14:paraId="3213560E" w14:textId="77777777" w:rsidR="006074A5" w:rsidRDefault="006074A5" w:rsidP="006074A5">
      <w:pPr>
        <w:pStyle w:val="Footnote"/>
        <w:bidi/>
      </w:pPr>
      <w:r>
        <w:rPr>
          <w:rStyle w:val="ac"/>
          <w:rtl/>
        </w:rPr>
        <w:footnoteRef/>
      </w:r>
      <w:r>
        <w:rPr>
          <w:rtl/>
        </w:rPr>
        <w:t>ואף דקטן נתמעט (קידושין יט.) אשת איש ולא אשת קטן, לא אמרי' דשוטה הוה כקטן. [וע”ע רש"י גיטין כג. וקוב”ש (שם קוב"ב טז)].</w:t>
      </w:r>
    </w:p>
  </w:footnote>
  <w:footnote w:id="2310">
    <w:p w14:paraId="2AD93246" w14:textId="77777777" w:rsidR="006074A5" w:rsidRDefault="006074A5" w:rsidP="006074A5">
      <w:pPr>
        <w:pStyle w:val="Footnote"/>
        <w:bidi/>
      </w:pPr>
      <w:r>
        <w:rPr>
          <w:rStyle w:val="ac"/>
          <w:rtl/>
        </w:rPr>
        <w:footnoteRef/>
      </w:r>
      <w:r>
        <w:rPr>
          <w:rtl/>
        </w:rPr>
        <w:t>[אך האחרונים דנו לדעת אבא שאול דבעינן כוונת מצווה, וע"ע בע"ב].</w:t>
      </w:r>
    </w:p>
  </w:footnote>
  <w:footnote w:id="2311">
    <w:p w14:paraId="696A8370" w14:textId="77777777" w:rsidR="006074A5" w:rsidRDefault="006074A5" w:rsidP="006074A5">
      <w:pPr>
        <w:pStyle w:val="Footnote"/>
        <w:bidi/>
      </w:pPr>
      <w:r>
        <w:rPr>
          <w:rStyle w:val="ac"/>
          <w:rtl/>
        </w:rPr>
        <w:footnoteRef/>
      </w:r>
      <w:r>
        <w:rPr>
          <w:rtl/>
        </w:rPr>
        <w:t>אך ה</w:t>
      </w:r>
      <w:r>
        <w:rPr>
          <w:b/>
          <w:bCs/>
          <w:rtl/>
        </w:rPr>
        <w:t>מאירי</w:t>
      </w:r>
      <w:r>
        <w:rPr>
          <w:rtl/>
        </w:rPr>
        <w:t xml:space="preserve"> (גיטין עא.) הביא י"מ דחרש אינו קונה קנין גמור ביבמתו, אלא כמאמר. וכדין ביאת בן ט'. ועד"ז כת' הרש"ש (לקמן קיב:) בדעת רש”י (שם). [והרש"ש ביאר הטעם דהני לאו בני כוונה כלל. אך י"ל דהוה משום גזיה"כ איש פרט לקטן, וה”ה חרש ושוטה].</w:t>
      </w:r>
    </w:p>
  </w:footnote>
  <w:footnote w:id="2312">
    <w:p w14:paraId="364161FD" w14:textId="77777777" w:rsidR="006074A5" w:rsidRDefault="006074A5" w:rsidP="006074A5">
      <w:pPr>
        <w:pStyle w:val="Footnote"/>
        <w:bidi/>
      </w:pPr>
      <w:r>
        <w:rPr>
          <w:rStyle w:val="ac"/>
          <w:rtl/>
        </w:rPr>
        <w:footnoteRef/>
      </w:r>
      <w:r>
        <w:rPr>
          <w:rtl/>
        </w:rPr>
        <w:t>וב</w:t>
      </w:r>
      <w:r>
        <w:rPr>
          <w:b/>
          <w:bCs/>
          <w:rtl/>
        </w:rPr>
        <w:t>גמ'</w:t>
      </w:r>
      <w:r>
        <w:rPr>
          <w:rtl/>
        </w:rPr>
        <w:t xml:space="preserve"> (לקמן קיב:) אי' דשוטה אינו ראוי לאישות כלל, דאין אדם דר עם נחש בכפיפה. אבל חרש ראוי לאישות, ואפ"ה כת' תוס' דאין חוסמין אותה. וכמו מוכה שחין.</w:t>
      </w:r>
    </w:p>
  </w:footnote>
  <w:footnote w:id="2313">
    <w:p w14:paraId="0558FBE2" w14:textId="77777777" w:rsidR="006074A5" w:rsidRDefault="006074A5" w:rsidP="006074A5">
      <w:pPr>
        <w:pStyle w:val="Footnote"/>
        <w:bidi/>
      </w:pPr>
      <w:r>
        <w:rPr>
          <w:rStyle w:val="ac"/>
          <w:rtl/>
        </w:rPr>
        <w:footnoteRef/>
      </w:r>
      <w:r>
        <w:rPr>
          <w:rtl/>
        </w:rPr>
        <w:t>וב</w:t>
      </w:r>
      <w:r>
        <w:rPr>
          <w:b/>
          <w:bCs/>
          <w:rtl/>
        </w:rPr>
        <w:t>הג' ראמ"ה</w:t>
      </w:r>
      <w:r>
        <w:rPr>
          <w:rtl/>
        </w:rPr>
        <w:t xml:space="preserve"> הק' דמוכה שחין אפשר בחליצה [ואמאי לא יתלה שאחיו מוכה שחין יחלוץ]. ולכאורה תליא במ"ד האם חליצת גדול עדיפא].</w:t>
      </w:r>
    </w:p>
  </w:footnote>
  <w:footnote w:id="2314">
    <w:p w14:paraId="41C3BFD4" w14:textId="77777777" w:rsidR="006074A5" w:rsidRDefault="006074A5" w:rsidP="006074A5">
      <w:pPr>
        <w:pStyle w:val="Footnote"/>
        <w:bidi/>
      </w:pPr>
      <w:r>
        <w:rPr>
          <w:rStyle w:val="ac"/>
          <w:rtl/>
        </w:rPr>
        <w:footnoteRef/>
      </w:r>
      <w:r>
        <w:rPr>
          <w:rtl/>
        </w:rPr>
        <w:t>יל"ד האם הטעם דהוה רק כמאמר [מדרבנן]. או דקטן אינו מצווה, אזלי' בתר מי שמצווה. וה</w:t>
      </w:r>
      <w:r>
        <w:rPr>
          <w:b/>
          <w:bCs/>
          <w:rtl/>
        </w:rPr>
        <w:t>ר”ש מדסוי</w:t>
      </w:r>
      <w:r>
        <w:rPr>
          <w:rtl/>
        </w:rPr>
        <w:t xml:space="preserve"> כתב דעיקר מצוות יבום לאחר שיגדיל שיהא ראוי להקמת שם, ולכן עשוה רק כמאמר.</w:t>
      </w:r>
    </w:p>
  </w:footnote>
  <w:footnote w:id="2315">
    <w:p w14:paraId="0DA300BC" w14:textId="77777777" w:rsidR="006074A5" w:rsidRDefault="006074A5" w:rsidP="006074A5">
      <w:pPr>
        <w:pStyle w:val="Footnote"/>
        <w:bidi/>
      </w:pPr>
      <w:r>
        <w:rPr>
          <w:rStyle w:val="ac"/>
          <w:rtl/>
        </w:rPr>
        <w:footnoteRef/>
      </w:r>
      <w:r>
        <w:rPr>
          <w:rtl/>
        </w:rPr>
        <w:t>ולפ"ז קטן האחים [שהוא גדול בשנים] פשיטא דביאה עדיפא.</w:t>
      </w:r>
    </w:p>
  </w:footnote>
  <w:footnote w:id="2316">
    <w:p w14:paraId="415FE22C" w14:textId="77777777" w:rsidR="006074A5" w:rsidRDefault="006074A5" w:rsidP="006074A5">
      <w:pPr>
        <w:pStyle w:val="Footnote"/>
        <w:bidi/>
      </w:pPr>
      <w:r>
        <w:rPr>
          <w:rStyle w:val="ac"/>
          <w:rtl/>
        </w:rPr>
        <w:footnoteRef/>
      </w:r>
      <w:r>
        <w:rPr>
          <w:rtl/>
        </w:rPr>
        <w:t>ומדברי הריטב"א מבואר דקטן נחשב 'ראוי ליבום'. וצ"ב. {ואפשר דנהי דלא קנאה קנין גמור, עכ"פ קונה קנין מאמר. ומצוות מאמר עדיף ממצוות חליצה, ואף שצריכה להמתין עד שיגדל לגמר קנין היבום. ולא נחשב שהויי מצווה, דמעכשיו מתחיל במצוות היבום}.</w:t>
      </w:r>
    </w:p>
  </w:footnote>
  <w:footnote w:id="2317">
    <w:p w14:paraId="16747C77" w14:textId="77777777" w:rsidR="006074A5" w:rsidRDefault="006074A5" w:rsidP="006074A5">
      <w:pPr>
        <w:pStyle w:val="Footnote"/>
        <w:bidi/>
      </w:pPr>
      <w:r>
        <w:rPr>
          <w:rStyle w:val="ac"/>
          <w:rtl/>
        </w:rPr>
        <w:footnoteRef/>
      </w:r>
      <w:r>
        <w:rPr>
          <w:rtl/>
        </w:rPr>
        <w:t>וה</w:t>
      </w:r>
      <w:r>
        <w:rPr>
          <w:b/>
          <w:bCs/>
          <w:rtl/>
        </w:rPr>
        <w:t>אחרונים</w:t>
      </w:r>
      <w:r>
        <w:rPr>
          <w:rtl/>
        </w:rPr>
        <w:t xml:space="preserve"> (ע' שיע' ר' שמואל) חקרו האם גדר הגזיה"כ דחסר באישות, או דהוה אישות גמור אלא דנתמעט מחיוב מיתה כיון דלא הוה אשתו של 'איש'.</w:t>
      </w:r>
    </w:p>
  </w:footnote>
  <w:footnote w:id="2318">
    <w:p w14:paraId="0DD7A9D7" w14:textId="77777777" w:rsidR="006074A5" w:rsidRDefault="006074A5" w:rsidP="006074A5">
      <w:pPr>
        <w:pStyle w:val="Footnote"/>
        <w:bidi/>
      </w:pPr>
      <w:r>
        <w:rPr>
          <w:rStyle w:val="ac"/>
          <w:rtl/>
        </w:rPr>
        <w:footnoteRef/>
      </w:r>
      <w:r>
        <w:rPr>
          <w:rtl/>
        </w:rPr>
        <w:t>וב</w:t>
      </w:r>
      <w:r>
        <w:rPr>
          <w:b/>
          <w:bCs/>
          <w:rtl/>
        </w:rPr>
        <w:t xml:space="preserve">הג' ראמ"ה </w:t>
      </w:r>
      <w:r>
        <w:rPr>
          <w:rtl/>
        </w:rPr>
        <w:t>כתב לפרש דכוונת רש"י להקשות דביאת בן ט' לא נגמר הקנין עד שיגדיל, א"כ הוה ג"כ שיהוי מצוה.</w:t>
      </w:r>
    </w:p>
  </w:footnote>
  <w:footnote w:id="2319">
    <w:p w14:paraId="259B50F5" w14:textId="77777777" w:rsidR="006074A5" w:rsidRDefault="006074A5" w:rsidP="006074A5">
      <w:pPr>
        <w:pStyle w:val="Footnote"/>
        <w:bidi/>
      </w:pPr>
      <w:r>
        <w:rPr>
          <w:rStyle w:val="ac"/>
          <w:rtl/>
        </w:rPr>
        <w:footnoteRef/>
      </w:r>
      <w:r>
        <w:rPr>
          <w:rtl/>
        </w:rPr>
        <w:t>משמע משום 'מעלת גדול'. והמ"ל משום דרמי עליה.</w:t>
      </w:r>
    </w:p>
  </w:footnote>
  <w:footnote w:id="2320">
    <w:p w14:paraId="527D9527" w14:textId="77777777" w:rsidR="006074A5" w:rsidRDefault="006074A5" w:rsidP="006074A5">
      <w:pPr>
        <w:pStyle w:val="Footnote"/>
        <w:bidi/>
      </w:pPr>
      <w:r>
        <w:rPr>
          <w:rStyle w:val="ac"/>
          <w:rtl/>
        </w:rPr>
        <w:footnoteRef/>
      </w:r>
      <w:r>
        <w:rPr>
          <w:rtl/>
        </w:rPr>
        <w:t>א"נ דהמצווה רמי עליה מש”ה כופין היכא דאין אדם אחר, ואף דאין בזה תוספת מעלה.</w:t>
      </w:r>
    </w:p>
  </w:footnote>
  <w:footnote w:id="2321">
    <w:p w14:paraId="36CFE451" w14:textId="77777777" w:rsidR="006074A5" w:rsidRDefault="006074A5" w:rsidP="006074A5">
      <w:pPr>
        <w:pStyle w:val="Footnote"/>
        <w:bidi/>
      </w:pPr>
      <w:r>
        <w:rPr>
          <w:rStyle w:val="ac"/>
          <w:rtl/>
        </w:rPr>
        <w:footnoteRef/>
      </w:r>
      <w:r>
        <w:rPr>
          <w:rtl/>
        </w:rPr>
        <w:t>ו</w:t>
      </w:r>
      <w:r>
        <w:rPr>
          <w:b/>
          <w:bCs/>
          <w:rtl/>
        </w:rPr>
        <w:t>רש"י</w:t>
      </w:r>
      <w:r>
        <w:rPr>
          <w:rtl/>
        </w:rPr>
        <w:t xml:space="preserve"> תי' דחליצת גדול עדיפא. אלא דקו' הגמ' דאי"צ להטריח בי”ד לחזור על הגדול.</w:t>
      </w:r>
    </w:p>
  </w:footnote>
  <w:footnote w:id="2322">
    <w:p w14:paraId="6076C786" w14:textId="77777777" w:rsidR="006074A5" w:rsidRDefault="006074A5" w:rsidP="006074A5">
      <w:pPr>
        <w:pStyle w:val="Footnote"/>
        <w:bidi/>
      </w:pPr>
      <w:r>
        <w:rPr>
          <w:rStyle w:val="ac"/>
          <w:rtl/>
        </w:rPr>
        <w:footnoteRef/>
      </w:r>
      <w:r>
        <w:rPr>
          <w:rtl/>
        </w:rPr>
        <w:t>[ובהג' ה</w:t>
      </w:r>
      <w:r>
        <w:rPr>
          <w:b/>
          <w:bCs/>
          <w:rtl/>
        </w:rPr>
        <w:t>ראמ"ה</w:t>
      </w:r>
      <w:r>
        <w:rPr>
          <w:rtl/>
        </w:rPr>
        <w:t xml:space="preserve"> ביאר דחליצת גדול עדיפא תרי דרגא מדקטן ולכן כייפנן, אבל לל"ב עדיף רק חד דרגא].</w:t>
      </w:r>
    </w:p>
  </w:footnote>
  <w:footnote w:id="2323">
    <w:p w14:paraId="47D14030" w14:textId="77777777" w:rsidR="006074A5" w:rsidRDefault="006074A5" w:rsidP="006074A5">
      <w:pPr>
        <w:pStyle w:val="Footnote"/>
        <w:bidi/>
      </w:pPr>
      <w:r>
        <w:rPr>
          <w:rStyle w:val="ac"/>
          <w:rtl/>
        </w:rPr>
        <w:footnoteRef/>
      </w:r>
      <w:r>
        <w:rPr>
          <w:rtl/>
        </w:rPr>
        <w:t>וכדאיתא ב</w:t>
      </w:r>
      <w:r>
        <w:rPr>
          <w:b/>
          <w:bCs/>
          <w:rtl/>
        </w:rPr>
        <w:t>מס' סופרים</w:t>
      </w:r>
      <w:r>
        <w:rPr>
          <w:rtl/>
        </w:rPr>
        <w:t xml:space="preserve"> [ועי”ש בפוסקים]. ועוד משום רוב עם הדרת מלך.</w:t>
      </w:r>
    </w:p>
  </w:footnote>
  <w:footnote w:id="2324">
    <w:p w14:paraId="4198497A" w14:textId="77777777" w:rsidR="006074A5" w:rsidRDefault="006074A5" w:rsidP="006074A5">
      <w:pPr>
        <w:pStyle w:val="Footnote"/>
        <w:bidi/>
      </w:pPr>
      <w:r>
        <w:rPr>
          <w:rStyle w:val="ac"/>
          <w:rtl/>
        </w:rPr>
        <w:footnoteRef/>
      </w:r>
      <w:r>
        <w:rPr>
          <w:rtl/>
        </w:rPr>
        <w:t>ולפ"ז צ"ב הנידון, מה צד לומר דבחליצה כולהו שווין. [אך י"ל דקרא דמצווה בגדול קאי דוקא גבי יבום].</w:t>
      </w:r>
    </w:p>
  </w:footnote>
  <w:footnote w:id="2325">
    <w:p w14:paraId="0A47B792" w14:textId="77777777" w:rsidR="006074A5" w:rsidRDefault="006074A5" w:rsidP="006074A5">
      <w:pPr>
        <w:pStyle w:val="Footnote"/>
        <w:bidi/>
      </w:pPr>
      <w:r>
        <w:rPr>
          <w:rStyle w:val="ac"/>
          <w:rtl/>
        </w:rPr>
        <w:footnoteRef/>
      </w:r>
      <w:r>
        <w:rPr>
          <w:rtl/>
        </w:rPr>
        <w:t xml:space="preserve">והאחרונים דנו האם כוונת הרי"ף אף לל"ק, וכמ"ש </w:t>
      </w:r>
      <w:r>
        <w:rPr>
          <w:b/>
          <w:bCs/>
          <w:rtl/>
        </w:rPr>
        <w:t>רש"י</w:t>
      </w:r>
      <w:r>
        <w:rPr>
          <w:rtl/>
        </w:rPr>
        <w:t xml:space="preserve"> [והא דהרי"ף כת' כן בל"ב, משום שפסק כל”ב]. או דביבום שייך יבום בקטן, ואין חילוק בין גדול לקטן, ודלא כרש”י [אלא כריטב”א בשם תוס']. ורק בחליצה קטן אינו חולץ כלל.</w:t>
      </w:r>
    </w:p>
  </w:footnote>
  <w:footnote w:id="2326">
    <w:p w14:paraId="7C5A253E" w14:textId="77777777" w:rsidR="006074A5" w:rsidRDefault="006074A5" w:rsidP="006074A5">
      <w:pPr>
        <w:pStyle w:val="Footnote"/>
        <w:bidi/>
      </w:pPr>
      <w:r>
        <w:rPr>
          <w:rStyle w:val="ac"/>
          <w:rtl/>
        </w:rPr>
        <w:footnoteRef/>
      </w:r>
      <w:r>
        <w:rPr>
          <w:rtl/>
        </w:rPr>
        <w:t>וקצת משמע דלמד כן מהא דיבמה שנפלה לפני מוכת שחין כופין לחלוץ. ולא אמרי' תשב ולא ייבמנה.</w:t>
      </w:r>
    </w:p>
  </w:footnote>
  <w:footnote w:id="2327">
    <w:p w14:paraId="2953A71F" w14:textId="77777777" w:rsidR="006074A5" w:rsidRDefault="006074A5" w:rsidP="006074A5">
      <w:pPr>
        <w:pStyle w:val="Footnote"/>
        <w:bidi/>
      </w:pPr>
      <w:r>
        <w:rPr>
          <w:rStyle w:val="ac"/>
          <w:rtl/>
        </w:rPr>
        <w:footnoteRef/>
      </w:r>
      <w:r>
        <w:rPr>
          <w:rtl/>
        </w:rPr>
        <w:t>והחכ"צ (שם) כת' דבעי' כוונה בחליצה היינו כוונת קנין ולא כוונת מצוה.</w:t>
      </w:r>
    </w:p>
  </w:footnote>
  <w:footnote w:id="2328">
    <w:p w14:paraId="093F23CF" w14:textId="77777777" w:rsidR="006074A5" w:rsidRDefault="006074A5" w:rsidP="006074A5">
      <w:pPr>
        <w:pStyle w:val="Footnote"/>
        <w:bidi/>
      </w:pPr>
      <w:r>
        <w:rPr>
          <w:rStyle w:val="ac"/>
          <w:rtl/>
        </w:rPr>
        <w:footnoteRef/>
      </w:r>
      <w:r>
        <w:rPr>
          <w:rtl/>
        </w:rPr>
        <w:t>וה</w:t>
      </w:r>
      <w:r>
        <w:rPr>
          <w:b/>
          <w:bCs/>
          <w:rtl/>
        </w:rPr>
        <w:t xml:space="preserve">רש"ש </w:t>
      </w:r>
      <w:r>
        <w:rPr>
          <w:rtl/>
        </w:rPr>
        <w:t>בסוף העמ' כתב דאף מצוות יבום אינו חייב אם אינה רוצה לינשא.</w:t>
      </w:r>
    </w:p>
  </w:footnote>
  <w:footnote w:id="2329">
    <w:p w14:paraId="564D83FB" w14:textId="77777777" w:rsidR="006074A5" w:rsidRDefault="006074A5" w:rsidP="006074A5">
      <w:pPr>
        <w:pStyle w:val="Footnote"/>
        <w:bidi/>
      </w:pPr>
      <w:r>
        <w:rPr>
          <w:rStyle w:val="ac"/>
          <w:rtl/>
        </w:rPr>
        <w:footnoteRef/>
      </w:r>
      <w:r>
        <w:rPr>
          <w:rtl/>
        </w:rPr>
        <w:t>ואף הא דאמרי' כל שהוי מצוה לא משהיני, היינו היכא דהיא תובעת. דכה"ג כופין על כל מצוות עשה.</w:t>
      </w:r>
    </w:p>
  </w:footnote>
  <w:footnote w:id="2330">
    <w:p w14:paraId="76CD0E78" w14:textId="77777777" w:rsidR="006074A5" w:rsidRDefault="006074A5" w:rsidP="006074A5">
      <w:pPr>
        <w:pStyle w:val="Footnote"/>
        <w:bidi/>
      </w:pPr>
      <w:r>
        <w:rPr>
          <w:rStyle w:val="ac"/>
          <w:rtl/>
        </w:rPr>
        <w:footnoteRef/>
      </w:r>
      <w:r>
        <w:rPr>
          <w:rtl/>
        </w:rPr>
        <w:t>וה</w:t>
      </w:r>
      <w:r>
        <w:rPr>
          <w:b/>
          <w:bCs/>
          <w:rtl/>
        </w:rPr>
        <w:t>עונג יו"ט</w:t>
      </w:r>
      <w:r>
        <w:rPr>
          <w:rtl/>
        </w:rPr>
        <w:t xml:space="preserve"> כת' דכוונת רש"י דכיון דאינה עולה ליבום, אינה עולה למצוות חליצה. וה</w:t>
      </w:r>
      <w:r>
        <w:rPr>
          <w:b/>
          <w:bCs/>
          <w:rtl/>
        </w:rPr>
        <w:t>אור גדול</w:t>
      </w:r>
      <w:r>
        <w:rPr>
          <w:rtl/>
        </w:rPr>
        <w:t xml:space="preserve"> (במשנה סנהדרין ב ב) פי' דהתם הוה חליצה פסולה דאינה ראויה ליבום, ובזה אינה מצווה אלא פטור. [וסמך לזה דברי הראב"ד (לרי"ף לעיל כח.) דיש ביטול מצווה יבמין כשמבטל מצוות חליצה כשירה, ואף שעושה חליצה פסולה. מבואר דחליצה פסולה לא נחשב 'מצוות יבמין', אלא 'פוטר' בעלמא].</w:t>
      </w:r>
    </w:p>
  </w:footnote>
  <w:footnote w:id="2331">
    <w:p w14:paraId="33B10D14" w14:textId="77777777" w:rsidR="006074A5" w:rsidRDefault="006074A5" w:rsidP="006074A5">
      <w:pPr>
        <w:pStyle w:val="Footnote"/>
        <w:bidi/>
      </w:pPr>
      <w:r>
        <w:rPr>
          <w:rStyle w:val="ac"/>
          <w:rtl/>
        </w:rPr>
        <w:footnoteRef/>
      </w:r>
      <w:r>
        <w:rPr>
          <w:rtl/>
        </w:rPr>
        <w:t>דהפסוק איירי במקום לא תהא החוצה, משמע דזולת זה היתה מותרת לינשא.</w:t>
      </w:r>
    </w:p>
  </w:footnote>
  <w:footnote w:id="2332">
    <w:p w14:paraId="2A4F78EE" w14:textId="77777777" w:rsidR="006074A5" w:rsidRDefault="006074A5" w:rsidP="006074A5">
      <w:pPr>
        <w:pStyle w:val="Footnote"/>
        <w:bidi/>
      </w:pPr>
      <w:r>
        <w:rPr>
          <w:rStyle w:val="ac"/>
          <w:rtl/>
        </w:rPr>
        <w:footnoteRef/>
      </w:r>
      <w:r>
        <w:rPr>
          <w:rtl/>
        </w:rPr>
        <w:t>אך ב</w:t>
      </w:r>
      <w:r>
        <w:rPr>
          <w:b/>
          <w:bCs/>
          <w:rtl/>
        </w:rPr>
        <w:t>הג"ה</w:t>
      </w:r>
      <w:r>
        <w:rPr>
          <w:rtl/>
        </w:rPr>
        <w:t xml:space="preserve"> (שם) דן דאפשר דהוה מכשיר בעלמא, וכל הדינים שהוזכרו לכתחילה בחליצה הוה מדרבנן.</w:t>
      </w:r>
    </w:p>
  </w:footnote>
  <w:footnote w:id="2333">
    <w:p w14:paraId="45DF12EF" w14:textId="77777777" w:rsidR="006074A5" w:rsidRDefault="006074A5" w:rsidP="006074A5">
      <w:pPr>
        <w:pStyle w:val="Footnote"/>
        <w:bidi/>
      </w:pPr>
      <w:r>
        <w:rPr>
          <w:rStyle w:val="ac"/>
          <w:rtl/>
        </w:rPr>
        <w:footnoteRef/>
      </w:r>
      <w:r>
        <w:rPr>
          <w:rtl/>
        </w:rPr>
        <w:t>ד</w:t>
      </w:r>
      <w:r>
        <w:rPr>
          <w:b/>
          <w:bCs/>
          <w:rtl/>
        </w:rPr>
        <w:t>תוס'</w:t>
      </w:r>
      <w:r>
        <w:rPr>
          <w:rtl/>
        </w:rPr>
        <w:t xml:space="preserve"> (נדה שם) חילקו דגבי טבילה לא הקפידה תורה אלא שיטהר האדם, ומש"ה אין סברא דצריך לכתחילה שיכנס כולו במים. דכיון דבדיעבד טהור, לכתחלה נמי לא בעי. ודוקא במצוות כגון בילה ומקרא בכורים וחליצה יש לחלק בין לכתחלה ליעבד. [ומבואר דחליצה הוה מצווה. וה</w:t>
      </w:r>
      <w:r>
        <w:rPr>
          <w:b/>
          <w:bCs/>
          <w:rtl/>
        </w:rPr>
        <w:t>קוב"ש</w:t>
      </w:r>
      <w:r>
        <w:rPr>
          <w:rtl/>
        </w:rPr>
        <w:t xml:space="preserve"> (כתובות ריד) העמיד בזה מח' התוס'].</w:t>
      </w:r>
    </w:p>
  </w:footnote>
  <w:footnote w:id="2334">
    <w:p w14:paraId="19E637D0" w14:textId="77777777" w:rsidR="006074A5" w:rsidRDefault="006074A5" w:rsidP="006074A5">
      <w:pPr>
        <w:pStyle w:val="Footnote"/>
        <w:bidi/>
      </w:pPr>
      <w:r>
        <w:rPr>
          <w:rStyle w:val="ac"/>
          <w:rtl/>
        </w:rPr>
        <w:footnoteRef/>
      </w:r>
      <w:r>
        <w:rPr>
          <w:rtl/>
        </w:rPr>
        <w:t>וה</w:t>
      </w:r>
      <w:r>
        <w:rPr>
          <w:b/>
          <w:bCs/>
          <w:rtl/>
        </w:rPr>
        <w:t>חינוך</w:t>
      </w:r>
      <w:r>
        <w:rPr>
          <w:rtl/>
        </w:rPr>
        <w:t xml:space="preserve"> (מצווה תקצח, מצוות יבום) כתב דהעובר ולא יבם, או חלץ ביטל העשה. [ויל"ד אי כוונתו דעובר בב' עשין, משום יבום ומשום חליצה. או דעובר רק משום יבום, דהיכא דחפץ לחלוץ אינו עובר במצוות יבום. מ"מ כשביטל אף חליצה עובר].</w:t>
      </w:r>
    </w:p>
  </w:footnote>
  <w:footnote w:id="2335">
    <w:p w14:paraId="2FF7EA00" w14:textId="77777777" w:rsidR="006074A5" w:rsidRDefault="006074A5" w:rsidP="006074A5">
      <w:pPr>
        <w:pStyle w:val="Footnote"/>
        <w:bidi/>
      </w:pPr>
      <w:r>
        <w:rPr>
          <w:rStyle w:val="ac"/>
          <w:rtl/>
        </w:rPr>
        <w:footnoteRef/>
      </w:r>
      <w:r>
        <w:rPr>
          <w:rtl/>
        </w:rPr>
        <w:t xml:space="preserve">[ויש שדייקו שינוי הלשון, דבמצוות יבום כתב דכל העובר ביטל, ואילו במצוות חליצה כתב דאינו חולץ </w:t>
      </w:r>
      <w:r>
        <w:rPr>
          <w:i/>
          <w:iCs/>
          <w:rtl/>
        </w:rPr>
        <w:t>מרוע</w:t>
      </w:r>
      <w:r>
        <w:rPr>
          <w:rtl/>
        </w:rPr>
        <w:t xml:space="preserve"> </w:t>
      </w:r>
      <w:r>
        <w:rPr>
          <w:i/>
          <w:iCs/>
          <w:rtl/>
        </w:rPr>
        <w:t>לבבו.</w:t>
      </w:r>
      <w:r>
        <w:rPr>
          <w:rtl/>
        </w:rPr>
        <w:t xml:space="preserve"> משמע דדוקא מחמת רוע לעגן היבמה. אבל אי לא נתכוון לרוע אינו עובר משום עצם ביטול המצווה].</w:t>
      </w:r>
    </w:p>
  </w:footnote>
  <w:footnote w:id="2336">
    <w:p w14:paraId="54D8C7C2" w14:textId="77777777" w:rsidR="006074A5" w:rsidRDefault="006074A5" w:rsidP="006074A5">
      <w:pPr>
        <w:pStyle w:val="Footnote"/>
        <w:bidi/>
      </w:pPr>
      <w:r>
        <w:rPr>
          <w:rStyle w:val="ac"/>
          <w:rtl/>
        </w:rPr>
        <w:footnoteRef/>
      </w:r>
      <w:r>
        <w:rPr>
          <w:rtl/>
        </w:rPr>
        <w:t>ולכאורה כוונתו דיש בזה ענין לחלוץ, ואף דאינה מחוייבת משום שעבודי האישות, דעיקר מצוות חליצה ניתנה להתירה.</w:t>
      </w:r>
    </w:p>
  </w:footnote>
  <w:footnote w:id="2337">
    <w:p w14:paraId="1B743B70" w14:textId="77777777" w:rsidR="006074A5" w:rsidRDefault="006074A5" w:rsidP="006074A5">
      <w:pPr>
        <w:pStyle w:val="Footnote"/>
        <w:bidi/>
      </w:pPr>
      <w:r>
        <w:rPr>
          <w:rStyle w:val="ac"/>
          <w:rtl/>
        </w:rPr>
        <w:footnoteRef/>
      </w:r>
      <w:r>
        <w:rPr>
          <w:rtl/>
        </w:rPr>
        <w:t>[ויש שהביאו מדברי התוס' מהר"ם ור"פ (לעיל כז:) דמבואר דהיכא דמחוייב לחלוץ שוב משום חיזור ליכא איסור לישא אחות זקוקתו [ורק אחות חלוצתו אסורה עליו], וכגון כשהיבמה אינה רוצה לינשא לעולם. והביאו דכשהיבמה אינה רוצה לינשא ל”צ לחלוץ. אך יש לדחות דהתם איירי בחליצת חיזור, דכבר קיים עיקר מצוות חליצה. וחיזור האחים והצרות הוה פטור בעלמא. {ותלי בגדר חליצת חיזור, אי הוה משום הקמת השם. או להתיר אישות הזיקה. ע”ע רמב”ן לקמן נא.}].</w:t>
      </w:r>
    </w:p>
  </w:footnote>
  <w:footnote w:id="2338">
    <w:p w14:paraId="551908FC" w14:textId="77777777" w:rsidR="006074A5" w:rsidRDefault="006074A5" w:rsidP="006074A5">
      <w:pPr>
        <w:pStyle w:val="Footnote"/>
        <w:bidi/>
      </w:pPr>
      <w:r>
        <w:rPr>
          <w:rStyle w:val="ac"/>
          <w:rtl/>
        </w:rPr>
        <w:footnoteRef/>
      </w:r>
      <w:r>
        <w:rPr>
          <w:rtl/>
        </w:rPr>
        <w:t>וה</w:t>
      </w:r>
      <w:r>
        <w:rPr>
          <w:b/>
          <w:bCs/>
          <w:rtl/>
        </w:rPr>
        <w:t>חש"ל</w:t>
      </w:r>
      <w:r>
        <w:rPr>
          <w:rtl/>
        </w:rPr>
        <w:t xml:space="preserve"> דחה דאף גבי מאנס, כל זמן שלא אמרה לא בעינא הוה מצווה גמורה, ואם גירש עובר בעשה ולא תעשה. וכל שרוצה לינשא הוה החליצה מצווה גמורה. וכעי"ז כתב ב</w:t>
      </w:r>
      <w:r>
        <w:rPr>
          <w:b/>
          <w:bCs/>
          <w:rtl/>
        </w:rPr>
        <w:t>חי' ר' שמעון</w:t>
      </w:r>
      <w:r>
        <w:rPr>
          <w:rtl/>
        </w:rPr>
        <w:t xml:space="preserve"> (מ) דע”י התביעה חל המצוה, וכהשבת אבידה. [ויל"ד דבמקום ביטול מצוות יבמין, הרי הותרה לשוק מדין ערוה. וא"כ תו ליכא תביעה דידה. אלא דמ"מ התורה קבעה צורת ההיתר ע"י מצוות חליצה, וצ"ע].</w:t>
      </w:r>
    </w:p>
  </w:footnote>
  <w:footnote w:id="2339">
    <w:p w14:paraId="3C7A8875" w14:textId="77777777" w:rsidR="006074A5" w:rsidRDefault="006074A5" w:rsidP="006074A5">
      <w:pPr>
        <w:pStyle w:val="Footnote"/>
        <w:bidi/>
      </w:pPr>
      <w:r>
        <w:rPr>
          <w:rStyle w:val="ac"/>
          <w:rtl/>
        </w:rPr>
        <w:footnoteRef/>
      </w:r>
      <w:r>
        <w:rPr>
          <w:rtl/>
        </w:rPr>
        <w:t>שבידו לומר שיתכוון למצוה. [ויל"ד היכא דהיבמה טוענת שמתכוון לשם נוי וכו', היכא נכוף אותה לעשות איסור].</w:t>
      </w:r>
    </w:p>
  </w:footnote>
  <w:footnote w:id="2340">
    <w:p w14:paraId="43D1D356" w14:textId="77777777" w:rsidR="006074A5" w:rsidRDefault="006074A5" w:rsidP="006074A5">
      <w:pPr>
        <w:pStyle w:val="Footnote"/>
        <w:bidi/>
      </w:pPr>
      <w:r>
        <w:rPr>
          <w:rStyle w:val="ac"/>
          <w:rtl/>
        </w:rPr>
        <w:footnoteRef/>
      </w:r>
      <w:r>
        <w:rPr>
          <w:rtl/>
        </w:rPr>
        <w:t>וסוגיין דאין כופין לייבם. וצ"ב מה ס"ד דיכופו לייבם, דקרא כתיב אם לא יחפוץ.</w:t>
      </w:r>
    </w:p>
  </w:footnote>
  <w:footnote w:id="2341">
    <w:p w14:paraId="63A5541F" w14:textId="77777777" w:rsidR="006074A5" w:rsidRDefault="006074A5" w:rsidP="006074A5">
      <w:pPr>
        <w:pStyle w:val="Footnote"/>
        <w:bidi/>
      </w:pPr>
      <w:r>
        <w:rPr>
          <w:rStyle w:val="ac"/>
          <w:rtl/>
        </w:rPr>
        <w:footnoteRef/>
      </w:r>
      <w:r>
        <w:rPr>
          <w:rtl/>
        </w:rPr>
        <w:t>בפשוטו היינו שאין רשאין לכופו לחלוץ. אבל ה</w:t>
      </w:r>
      <w:r>
        <w:rPr>
          <w:b/>
          <w:bCs/>
          <w:rtl/>
        </w:rPr>
        <w:t>רשב"א</w:t>
      </w:r>
      <w:r>
        <w:rPr>
          <w:rtl/>
        </w:rPr>
        <w:t xml:space="preserve"> הביא דגרסי' (לקמן קו.) דחליצה מעושית פסולה, ומשמע אפי' מעושה כדין ע"פ דייני ישראל. וסיים וצל"ע. ודעת </w:t>
      </w:r>
      <w:r>
        <w:rPr>
          <w:b/>
          <w:bCs/>
          <w:rtl/>
        </w:rPr>
        <w:t>שא"ר</w:t>
      </w:r>
      <w:r>
        <w:rPr>
          <w:rtl/>
        </w:rPr>
        <w:t xml:space="preserve"> דאיירי במעושה שלא כדין. אבל אי נחשב מעושה כדין כשר [וכמו גט].</w:t>
      </w:r>
    </w:p>
  </w:footnote>
  <w:footnote w:id="2342">
    <w:p w14:paraId="589906D9" w14:textId="77777777" w:rsidR="006074A5" w:rsidRDefault="006074A5" w:rsidP="006074A5">
      <w:pPr>
        <w:pStyle w:val="Footnote"/>
        <w:bidi/>
      </w:pPr>
      <w:r>
        <w:rPr>
          <w:rStyle w:val="ac"/>
          <w:rtl/>
        </w:rPr>
        <w:footnoteRef/>
      </w:r>
      <w:r>
        <w:rPr>
          <w:rtl/>
        </w:rPr>
        <w:t>[ולכאורה כ"ד הרשב"א שדן משום חליצה מעושית, אף כדין].</w:t>
      </w:r>
    </w:p>
  </w:footnote>
  <w:footnote w:id="2343">
    <w:p w14:paraId="01A887A8" w14:textId="77777777" w:rsidR="006074A5" w:rsidRDefault="006074A5" w:rsidP="006074A5">
      <w:pPr>
        <w:pStyle w:val="Footnote"/>
        <w:bidi/>
      </w:pPr>
      <w:r>
        <w:rPr>
          <w:rStyle w:val="ac"/>
          <w:rtl/>
        </w:rPr>
        <w:footnoteRef/>
      </w:r>
      <w:r>
        <w:rPr>
          <w:rtl/>
        </w:rPr>
        <w:t>אך ה</w:t>
      </w:r>
      <w:r>
        <w:rPr>
          <w:b/>
          <w:bCs/>
          <w:rtl/>
        </w:rPr>
        <w:t>גר"א</w:t>
      </w:r>
      <w:r>
        <w:rPr>
          <w:rtl/>
        </w:rPr>
        <w:t xml:space="preserve"> (קסט כה) השווה דברי הרמב"ם לדברי הרי"ף דאין זה עדות כלל.</w:t>
      </w:r>
    </w:p>
  </w:footnote>
  <w:footnote w:id="2344">
    <w:p w14:paraId="3968DCD2" w14:textId="77777777" w:rsidR="006074A5" w:rsidRDefault="006074A5" w:rsidP="006074A5">
      <w:pPr>
        <w:pStyle w:val="Footnote"/>
        <w:bidi/>
      </w:pPr>
      <w:r>
        <w:rPr>
          <w:rStyle w:val="ac"/>
          <w:rtl/>
        </w:rPr>
        <w:footnoteRef/>
      </w:r>
      <w:r>
        <w:rPr>
          <w:rtl/>
        </w:rPr>
        <w:t>וה</w:t>
      </w:r>
      <w:r>
        <w:rPr>
          <w:b/>
          <w:bCs/>
          <w:rtl/>
        </w:rPr>
        <w:t>קצות</w:t>
      </w:r>
      <w:r>
        <w:rPr>
          <w:rtl/>
        </w:rPr>
        <w:t xml:space="preserve"> (מט ב) הקשה דבממון ל"מ מילתא דעבידי לגלויי [כ"פ ה</w:t>
      </w:r>
      <w:r>
        <w:rPr>
          <w:b/>
          <w:bCs/>
          <w:rtl/>
        </w:rPr>
        <w:t>רמ"א</w:t>
      </w:r>
      <w:r>
        <w:rPr>
          <w:rtl/>
        </w:rPr>
        <w:t xml:space="preserve"> ל יד]. ותי' דהא דאין כותבין אא"כ מכירין הוה חשש דרבנן.</w:t>
      </w:r>
    </w:p>
  </w:footnote>
  <w:footnote w:id="2345">
    <w:p w14:paraId="06EC4540" w14:textId="77777777" w:rsidR="006074A5" w:rsidRDefault="006074A5" w:rsidP="006074A5">
      <w:pPr>
        <w:pStyle w:val="Footnote"/>
        <w:bidi/>
      </w:pPr>
      <w:r>
        <w:rPr>
          <w:rStyle w:val="ac"/>
          <w:rtl/>
        </w:rPr>
        <w:footnoteRef/>
      </w:r>
      <w:r>
        <w:rPr>
          <w:rtl/>
        </w:rPr>
        <w:t>וה</w:t>
      </w:r>
      <w:r>
        <w:rPr>
          <w:b/>
          <w:bCs/>
          <w:rtl/>
        </w:rPr>
        <w:t>חזו"א</w:t>
      </w:r>
      <w:r>
        <w:rPr>
          <w:rtl/>
        </w:rPr>
        <w:t xml:space="preserve"> (קיד י) ביאר כוונתו דמהני גילוי מילתא רק באופן דידענו דיש כאן בעיר אח, והקרובים אמרו שהוא האח. וי"ל עוד ע"פ דברי הקוב"ש (הנ"ל) דכיון דידוע דיש לו אח, מש"ה כשבאין לברר לא נחשב עדות בדבר שבערוה. ע”פ הא דאיתא (קידושין סג.).</w:t>
      </w:r>
    </w:p>
  </w:footnote>
  <w:footnote w:id="2346">
    <w:p w14:paraId="312968D7" w14:textId="77777777" w:rsidR="006074A5" w:rsidRDefault="006074A5" w:rsidP="006074A5">
      <w:pPr>
        <w:pStyle w:val="Footnote"/>
        <w:bidi/>
      </w:pPr>
      <w:r>
        <w:rPr>
          <w:rStyle w:val="ac"/>
          <w:rtl/>
        </w:rPr>
        <w:footnoteRef/>
      </w:r>
      <w:r>
        <w:rPr>
          <w:rtl/>
        </w:rPr>
        <w:t>רע"א העיר דהבדק הבית (קנח) כת' כן לענין עד א' ביבמה (לקמן צג:), ואינו ענין לכאן.</w:t>
      </w:r>
    </w:p>
  </w:footnote>
  <w:footnote w:id="2347">
    <w:p w14:paraId="1CA7C99D" w14:textId="77777777" w:rsidR="006074A5" w:rsidRDefault="006074A5" w:rsidP="006074A5">
      <w:pPr>
        <w:pStyle w:val="Footnote"/>
        <w:bidi/>
      </w:pPr>
      <w:r>
        <w:rPr>
          <w:rStyle w:val="ac"/>
          <w:rtl/>
        </w:rPr>
        <w:footnoteRef/>
      </w:r>
      <w:r>
        <w:rPr>
          <w:rtl/>
        </w:rPr>
        <w:t>והפתח"ת כת' דלכאו' יש לתמוה על רע"א דמפורש הדבר ברי"ף כאן. אך דחה דיל"פ דברי הרי"ף באופ"א.</w:t>
      </w:r>
    </w:p>
  </w:footnote>
  <w:footnote w:id="2348">
    <w:p w14:paraId="6BEE46C7" w14:textId="77777777" w:rsidR="006074A5" w:rsidRDefault="006074A5" w:rsidP="006074A5">
      <w:pPr>
        <w:pStyle w:val="Footnote"/>
        <w:bidi/>
      </w:pPr>
      <w:r>
        <w:rPr>
          <w:rStyle w:val="ac"/>
          <w:rtl/>
        </w:rPr>
        <w:footnoteRef/>
      </w:r>
      <w:r>
        <w:rPr>
          <w:rtl/>
        </w:rPr>
        <w:t>ומבואר דנקט דיבמה לשוק נחשב חומרא דא"א [אבל תוס' לו: מבואר דלא כן, וע”ע מב.].</w:t>
      </w:r>
    </w:p>
  </w:footnote>
  <w:footnote w:id="2349">
    <w:p w14:paraId="2F1E29B8" w14:textId="77777777" w:rsidR="006074A5" w:rsidRDefault="006074A5" w:rsidP="006074A5">
      <w:pPr>
        <w:pStyle w:val="Footnote"/>
        <w:bidi/>
      </w:pPr>
      <w:r>
        <w:rPr>
          <w:rStyle w:val="ac"/>
          <w:rtl/>
        </w:rPr>
        <w:footnoteRef/>
      </w:r>
      <w:r>
        <w:rPr>
          <w:rtl/>
        </w:rPr>
        <w:t>וכדברי ה</w:t>
      </w:r>
      <w:r>
        <w:rPr>
          <w:b/>
          <w:bCs/>
          <w:rtl/>
        </w:rPr>
        <w:t>רמב"ם</w:t>
      </w:r>
      <w:r>
        <w:rPr>
          <w:rtl/>
        </w:rPr>
        <w:t xml:space="preserve"> (סנהדרין טז ו) דע"י שהאיסור הוחזק ע"פ ע"א סוקלין ע"פ.</w:t>
      </w:r>
    </w:p>
  </w:footnote>
  <w:footnote w:id="2350">
    <w:p w14:paraId="33334133" w14:textId="77777777" w:rsidR="006074A5" w:rsidRDefault="006074A5" w:rsidP="006074A5">
      <w:pPr>
        <w:pStyle w:val="Footnote"/>
        <w:bidi/>
      </w:pPr>
      <w:r>
        <w:rPr>
          <w:rStyle w:val="ac"/>
          <w:rtl/>
        </w:rPr>
        <w:footnoteRef/>
      </w:r>
      <w:r>
        <w:rPr>
          <w:rtl/>
        </w:rPr>
        <w:t xml:space="preserve">[ע' בסמוך מדברי הבי"ש]. ובס' </w:t>
      </w:r>
      <w:r>
        <w:rPr>
          <w:b/>
          <w:bCs/>
          <w:rtl/>
        </w:rPr>
        <w:t>קובץ</w:t>
      </w:r>
      <w:r>
        <w:rPr>
          <w:rtl/>
        </w:rPr>
        <w:t xml:space="preserve"> לרמב"ם (ו ט) הביא בשם </w:t>
      </w:r>
      <w:r>
        <w:rPr>
          <w:b/>
          <w:bCs/>
          <w:rtl/>
        </w:rPr>
        <w:t xml:space="preserve">מהר"ם המבורג </w:t>
      </w:r>
      <w:r>
        <w:rPr>
          <w:rtl/>
        </w:rPr>
        <w:t>דהא דאי' (לעיל כא.) דחליצה במקום יבום לאו מצוה הוא היינו לרבנן [דפליגי אאבא שאול]. אבל לאבא שאול חליצה קודמת. ומש"ה אף למ"ד דעשה דוחה ל"ת שאינו שווה בכל [ע' תוס' לעיל כ וב"מ ל, וע' ר"ן סנהדרין יח:], מצוות יבום לא דחי ל"ת ועשה [שאינו שווה  בכל], כיון דאפשר בחליצה. [והא דעשה דוחה ל"ת לחוד, משום דל"ת כמאן דליתא במקום מצווה. ואף דאפשר בחליצה. אבל עשה דוחה ל"ת ועשה צריך כח דחייה, והיכא דאפשר בחליצה לא דחי].</w:t>
      </w:r>
    </w:p>
    <w:p w14:paraId="505914B2" w14:textId="77777777" w:rsidR="006074A5" w:rsidRDefault="006074A5" w:rsidP="006074A5">
      <w:pPr>
        <w:pStyle w:val="Footnote"/>
        <w:bidi/>
      </w:pPr>
      <w:r>
        <w:rPr>
          <w:rtl/>
        </w:rPr>
        <w:tab/>
        <w:t>משא"כ לרבנן עשה דיבום דוחה אף ל"ת ועשה שאינו שווה בכל. [דלא נחשב אפשר לקיים שניהם ע”י חליצה]. [ומבואר מדבריו דיש מח' נוספת מדאורייתא בין אבא שאול לרבנן האם יש מצווה בחליצה במקום יבום].</w:t>
      </w:r>
    </w:p>
  </w:footnote>
  <w:footnote w:id="2351">
    <w:p w14:paraId="047BE256" w14:textId="77777777" w:rsidR="006074A5" w:rsidRDefault="006074A5" w:rsidP="006074A5">
      <w:pPr>
        <w:pStyle w:val="Footnote"/>
        <w:bidi/>
      </w:pPr>
      <w:r>
        <w:rPr>
          <w:rStyle w:val="ac"/>
          <w:rtl/>
        </w:rPr>
        <w:footnoteRef/>
      </w:r>
      <w:r>
        <w:rPr>
          <w:rtl/>
        </w:rPr>
        <w:t>[וצ"ב דלכאורה במי שמתכוון למצווה ודאי דיבום עדיף. אלא דמספק האם יתכוון אמרי' דחליצה עדיפא, ואפשר דזה תי' לבסוף. וע' לעיל].</w:t>
      </w:r>
    </w:p>
  </w:footnote>
  <w:footnote w:id="2352">
    <w:p w14:paraId="1FA69F69" w14:textId="77777777" w:rsidR="006074A5" w:rsidRDefault="006074A5" w:rsidP="006074A5">
      <w:pPr>
        <w:pStyle w:val="Footnote"/>
        <w:bidi/>
      </w:pPr>
      <w:r>
        <w:rPr>
          <w:rStyle w:val="ac"/>
          <w:rtl/>
        </w:rPr>
        <w:footnoteRef/>
      </w:r>
      <w:r>
        <w:rPr>
          <w:rtl/>
        </w:rPr>
        <w:t>וביארו ה</w:t>
      </w:r>
      <w:r>
        <w:rPr>
          <w:b/>
          <w:bCs/>
          <w:rtl/>
        </w:rPr>
        <w:t>אחרונים</w:t>
      </w:r>
      <w:r>
        <w:rPr>
          <w:rtl/>
        </w:rPr>
        <w:t xml:space="preserve"> דלרמב"ן הלשון 'קרוב בעיני' היינו משום דאבא שאול עצמו נסתפק בדין זה, אבל אילו הוה אמת הוה ממזר גמור.</w:t>
      </w:r>
    </w:p>
  </w:footnote>
  <w:footnote w:id="2353">
    <w:p w14:paraId="563E5264" w14:textId="77777777" w:rsidR="006074A5" w:rsidRDefault="006074A5" w:rsidP="006074A5">
      <w:pPr>
        <w:pStyle w:val="Footnote"/>
        <w:bidi/>
      </w:pPr>
      <w:r>
        <w:rPr>
          <w:rStyle w:val="ac"/>
          <w:rtl/>
        </w:rPr>
        <w:footnoteRef/>
      </w:r>
      <w:r>
        <w:rPr>
          <w:rtl/>
        </w:rPr>
        <w:t>ולאבא שאול שוגג ולשם זנות ונוי הוה פוגע בערוה, ולא קנה. [ויל"ד היכא דהיא נתכוונה לשם מצווה, האם סגי בהכי. וע"ע בסוגיות לקמן שם].</w:t>
      </w:r>
    </w:p>
  </w:footnote>
  <w:footnote w:id="2354">
    <w:p w14:paraId="2FEB989A" w14:textId="77777777" w:rsidR="006074A5" w:rsidRDefault="006074A5" w:rsidP="006074A5">
      <w:pPr>
        <w:pStyle w:val="Footnote"/>
        <w:bidi/>
      </w:pPr>
      <w:r>
        <w:rPr>
          <w:rStyle w:val="ac"/>
          <w:rtl/>
        </w:rPr>
        <w:footnoteRef/>
      </w:r>
      <w:r>
        <w:rPr>
          <w:rtl/>
        </w:rPr>
        <w:t>וכן מבואר ב</w:t>
      </w:r>
      <w:r>
        <w:rPr>
          <w:b/>
          <w:bCs/>
          <w:rtl/>
        </w:rPr>
        <w:t>רש"י</w:t>
      </w:r>
      <w:r>
        <w:rPr>
          <w:rtl/>
        </w:rPr>
        <w:t xml:space="preserve"> (לעיל) דנקט דהלכה כאבא שאול, וכ"כ ה</w:t>
      </w:r>
      <w:r>
        <w:rPr>
          <w:b/>
          <w:bCs/>
          <w:rtl/>
        </w:rPr>
        <w:t>טור</w:t>
      </w:r>
      <w:r>
        <w:rPr>
          <w:rtl/>
        </w:rPr>
        <w:t xml:space="preserve"> (קסה) בשמו. אבל ה</w:t>
      </w:r>
      <w:r>
        <w:rPr>
          <w:b/>
          <w:bCs/>
          <w:rtl/>
        </w:rPr>
        <w:t>רמב"ם</w:t>
      </w:r>
      <w:r>
        <w:rPr>
          <w:rtl/>
        </w:rPr>
        <w:t xml:space="preserve"> (א ב) וה</w:t>
      </w:r>
      <w:r>
        <w:rPr>
          <w:b/>
          <w:bCs/>
          <w:rtl/>
        </w:rPr>
        <w:t>רי"ף</w:t>
      </w:r>
      <w:r>
        <w:rPr>
          <w:rtl/>
        </w:rPr>
        <w:t xml:space="preserve"> (יג. בדה"ס) פסק כרבנן.</w:t>
      </w:r>
    </w:p>
  </w:footnote>
  <w:footnote w:id="2355">
    <w:p w14:paraId="7C4A105A" w14:textId="77777777" w:rsidR="006074A5" w:rsidRDefault="006074A5" w:rsidP="006074A5">
      <w:pPr>
        <w:pStyle w:val="Footnote"/>
        <w:bidi/>
      </w:pPr>
      <w:r>
        <w:rPr>
          <w:rStyle w:val="ac"/>
          <w:rtl/>
        </w:rPr>
        <w:footnoteRef/>
      </w:r>
      <w:r>
        <w:rPr>
          <w:rtl/>
        </w:rPr>
        <w:t>וה</w:t>
      </w:r>
      <w:r>
        <w:rPr>
          <w:b/>
          <w:bCs/>
          <w:rtl/>
        </w:rPr>
        <w:t>ריטב"א</w:t>
      </w:r>
      <w:r>
        <w:rPr>
          <w:rtl/>
        </w:rPr>
        <w:t xml:space="preserve"> הכריע כן מדלא אמרי' (לקמן שם) מתני' דלא כאבא שאול. [וכן הגמ' (לעיל ג.) העמידה סתם מתני' כאבא שאול. ואי תנא דפרק ו' פליג הו"ל לגמ' לפרש].</w:t>
      </w:r>
    </w:p>
  </w:footnote>
  <w:footnote w:id="2356">
    <w:p w14:paraId="406246AE" w14:textId="77777777" w:rsidR="006074A5" w:rsidRDefault="006074A5" w:rsidP="006074A5">
      <w:pPr>
        <w:pStyle w:val="Footnote"/>
        <w:bidi/>
      </w:pPr>
      <w:r>
        <w:rPr>
          <w:rStyle w:val="ac"/>
          <w:rtl/>
        </w:rPr>
        <w:footnoteRef/>
      </w:r>
      <w:r>
        <w:rPr>
          <w:rtl/>
        </w:rPr>
        <w:t xml:space="preserve">ובס' </w:t>
      </w:r>
      <w:r>
        <w:rPr>
          <w:b/>
          <w:bCs/>
          <w:rtl/>
        </w:rPr>
        <w:t>קובץ</w:t>
      </w:r>
      <w:r>
        <w:rPr>
          <w:rtl/>
        </w:rPr>
        <w:t xml:space="preserve"> (לרמב"ם הנ"ל) דייק מדברי אבא שאול דמצוות חליצה קודמת, ודוקא היכא דאפשר בחליצה. אבל היכא דאי אפשר בחליצה [כגון רגלו כפוף] כופין ליבום. ואף דנתכוון לשם נוי. דהא אמרי' דהוה כאילו פוגע בערוה, ולא ממש פוגע.</w:t>
      </w:r>
    </w:p>
  </w:footnote>
  <w:footnote w:id="2357">
    <w:p w14:paraId="153E4FF7" w14:textId="77777777" w:rsidR="006074A5" w:rsidRDefault="006074A5" w:rsidP="006074A5">
      <w:pPr>
        <w:pStyle w:val="Footnote"/>
        <w:bidi/>
      </w:pPr>
      <w:r>
        <w:rPr>
          <w:rStyle w:val="ac"/>
          <w:rtl/>
        </w:rPr>
        <w:footnoteRef/>
      </w:r>
      <w:r>
        <w:rPr>
          <w:rtl/>
        </w:rPr>
        <w:t>אבל לשון ה</w:t>
      </w:r>
      <w:r>
        <w:rPr>
          <w:b/>
          <w:bCs/>
          <w:rtl/>
        </w:rPr>
        <w:t xml:space="preserve">ריטב"א </w:t>
      </w:r>
      <w:r>
        <w:rPr>
          <w:rtl/>
        </w:rPr>
        <w:t>דלחכמים יבמה יבא עליה מ"מ, ואף מדרבנן קני [ומשמע דלאבא שאול ל"ק מדרבנן. ומתני' (נג:) קאי דקנאה מדאורייתא. אבל מדרבנן צריך לחזור ולקנותה. וצ”ע. ואולי חסר בדברי הריטב”א].</w:t>
      </w:r>
    </w:p>
  </w:footnote>
  <w:footnote w:id="2358">
    <w:p w14:paraId="128E668A" w14:textId="77777777" w:rsidR="006074A5" w:rsidRDefault="006074A5" w:rsidP="006074A5">
      <w:pPr>
        <w:pStyle w:val="Footnote"/>
        <w:bidi/>
      </w:pPr>
      <w:r>
        <w:rPr>
          <w:rStyle w:val="ac"/>
          <w:rtl/>
        </w:rPr>
        <w:footnoteRef/>
      </w:r>
      <w:r>
        <w:rPr>
          <w:rtl/>
        </w:rPr>
        <w:t>וה</w:t>
      </w:r>
      <w:r>
        <w:rPr>
          <w:b/>
          <w:bCs/>
          <w:rtl/>
        </w:rPr>
        <w:t>ריטב"א</w:t>
      </w:r>
      <w:r>
        <w:rPr>
          <w:rtl/>
        </w:rPr>
        <w:t xml:space="preserve"> ו</w:t>
      </w:r>
      <w:r>
        <w:rPr>
          <w:b/>
          <w:bCs/>
          <w:rtl/>
        </w:rPr>
        <w:t>נמוק”י</w:t>
      </w:r>
      <w:r>
        <w:rPr>
          <w:rtl/>
        </w:rPr>
        <w:t xml:space="preserve"> כת' דאף לרבנן לכתחילה אסור לכנוס לשם נוי, אלא דלא ס"ל דהוה כאילו פוגע בערוה. וצריך לפרש במה פליגי, דלא משמע בסוגיין דפליגי רק בחומר הענין. וי"ל דלרבנן הוה מצווה שלא לשמה, ומעין ביטול מצווה. [ואפשר דהוה מדאורייתא]. אך קנין היבום קנה, ואין צד 'איסור'. ואילו לאבא שאול מדרבנן הוה בגדר עריות, אלא דלא העמידו דבריהם שלא חל קנין היבום.</w:t>
      </w:r>
    </w:p>
  </w:footnote>
  <w:footnote w:id="2359">
    <w:p w14:paraId="7C006B42"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דכיון דיש באשה צד היתר, לבא בכוונת יבום תפסי קנין. א"נ אף דהוה ערוה לאיסור ביאה, כלפי תפיסת קידושין אינה ערוה. א"נ קנין יבום נתפס אף במקום ערוה [וכדמוכח לעיל ג:] כיון דאשה הקנו מהשמים.</w:t>
      </w:r>
    </w:p>
  </w:footnote>
  <w:footnote w:id="2360">
    <w:p w14:paraId="371FCCD8" w14:textId="77777777" w:rsidR="006074A5" w:rsidRDefault="006074A5" w:rsidP="006074A5">
      <w:pPr>
        <w:pStyle w:val="Footnote"/>
        <w:bidi/>
      </w:pPr>
      <w:r>
        <w:rPr>
          <w:rStyle w:val="ac"/>
          <w:rtl/>
        </w:rPr>
        <w:footnoteRef/>
      </w:r>
      <w:r>
        <w:rPr>
          <w:rtl/>
        </w:rPr>
        <w:t xml:space="preserve">וכדעת </w:t>
      </w:r>
      <w:r>
        <w:rPr>
          <w:b/>
          <w:bCs/>
          <w:rtl/>
        </w:rPr>
        <w:t>תוס</w:t>
      </w:r>
      <w:r>
        <w:rPr>
          <w:rtl/>
        </w:rPr>
        <w:t>' (לעיל כ. ד”ה יבא) דהיבום הוה בתחילת הביאה, ומחלקים מעשה ביאה א', וסוף המעשה אינו בכלל המצווה [והותר משום שנעשית כאשתו]. אך נח' בזה הראשונים, וע' מה שהובא שם.</w:t>
      </w:r>
    </w:p>
  </w:footnote>
  <w:footnote w:id="2361">
    <w:p w14:paraId="5A025CB3" w14:textId="77777777" w:rsidR="006074A5" w:rsidRDefault="006074A5" w:rsidP="006074A5">
      <w:pPr>
        <w:pStyle w:val="Footnote"/>
        <w:bidi/>
      </w:pPr>
      <w:r>
        <w:rPr>
          <w:rStyle w:val="ac"/>
          <w:rtl/>
        </w:rPr>
        <w:footnoteRef/>
      </w:r>
      <w:r>
        <w:rPr>
          <w:rtl/>
        </w:rPr>
        <w:t>אך לדברי החזו"א (הנ"ל) לא הוה איסור ממש. [ומ"מ צ"ע דקטן על הקטנה לא מצאנו דיש בזה צד איסור כלל].</w:t>
      </w:r>
    </w:p>
  </w:footnote>
  <w:footnote w:id="2362">
    <w:p w14:paraId="27AB1DE3" w14:textId="77777777" w:rsidR="006074A5" w:rsidRDefault="006074A5" w:rsidP="006074A5">
      <w:pPr>
        <w:pStyle w:val="Footnote"/>
        <w:bidi/>
      </w:pPr>
      <w:r>
        <w:rPr>
          <w:rStyle w:val="ac"/>
          <w:rtl/>
        </w:rPr>
        <w:footnoteRef/>
      </w:r>
      <w:r>
        <w:rPr>
          <w:rtl/>
        </w:rPr>
        <w:t>וכן לדעת ה</w:t>
      </w:r>
      <w:r>
        <w:rPr>
          <w:b/>
          <w:bCs/>
          <w:rtl/>
        </w:rPr>
        <w:t>רשב"א</w:t>
      </w:r>
      <w:r>
        <w:rPr>
          <w:rtl/>
        </w:rPr>
        <w:t xml:space="preserve"> (לקמן מא.) הותר אשת אח ע"י נפילת יבום לגמרי [ובהותרה ונאסרה והותרה, חוזרת להיתר, אף דליכא מצוות יבום]. וצ"ל דקאי רק כרבנן.</w:t>
      </w:r>
    </w:p>
  </w:footnote>
  <w:footnote w:id="2363">
    <w:p w14:paraId="6AA665A7" w14:textId="77777777" w:rsidR="006074A5" w:rsidRDefault="006074A5" w:rsidP="006074A5">
      <w:pPr>
        <w:pStyle w:val="Footnote"/>
        <w:bidi/>
      </w:pPr>
      <w:r>
        <w:rPr>
          <w:rStyle w:val="ac"/>
          <w:rtl/>
        </w:rPr>
        <w:footnoteRef/>
      </w:r>
      <w:r>
        <w:rPr>
          <w:rtl/>
        </w:rPr>
        <w:t>ועד"ז דנו האחרונים (חת”ס ועוד) לצד דבעי עדי קיום ליבום, אם ייבם בלא עדים, האם עובר באיסור אשת אח. והאחרונים דנו דתלי במח' אבא שאול ורבנן וכנ”ל.</w:t>
      </w:r>
    </w:p>
  </w:footnote>
  <w:footnote w:id="2364">
    <w:p w14:paraId="0C96AFDB" w14:textId="77777777" w:rsidR="006074A5" w:rsidRDefault="006074A5" w:rsidP="006074A5">
      <w:pPr>
        <w:pStyle w:val="Footnote"/>
        <w:bidi/>
      </w:pPr>
      <w:r>
        <w:rPr>
          <w:rStyle w:val="ac"/>
          <w:rtl/>
        </w:rPr>
        <w:footnoteRef/>
      </w:r>
      <w:r>
        <w:rPr>
          <w:rtl/>
        </w:rPr>
        <w:t>[וקצת קשה דתוס' כאן פסקו כאבא שאול. וכן הטור (קסה) הביא דעת רש”י דקי"ל כאבא שאול, ואפ”ה סתם הטור (קסז) בקטן על הגדולה תגדלנו].</w:t>
      </w:r>
    </w:p>
  </w:footnote>
  <w:footnote w:id="2365">
    <w:p w14:paraId="0BE52586" w14:textId="77777777" w:rsidR="006074A5" w:rsidRDefault="006074A5" w:rsidP="006074A5">
      <w:pPr>
        <w:pStyle w:val="Footnote"/>
        <w:bidi/>
      </w:pPr>
      <w:r>
        <w:rPr>
          <w:rStyle w:val="ac"/>
          <w:rtl/>
        </w:rPr>
        <w:footnoteRef/>
      </w:r>
      <w:r>
        <w:rPr>
          <w:rtl/>
        </w:rPr>
        <w:t>[ולכאורה כ"ז לצד דלאבא שאול קנאה, ואפ"ה פוגע בערוה. אבל לדעת הרמב"ן דע"כ לא קנה, א"כ כשיחזור ויבא עליה לשם מצווה קנה, ולמפרע אף הביאה הראשונה בהיתר].</w:t>
      </w:r>
    </w:p>
  </w:footnote>
  <w:footnote w:id="2366">
    <w:p w14:paraId="70DD4BA9" w14:textId="77777777" w:rsidR="006074A5" w:rsidRDefault="006074A5" w:rsidP="006074A5">
      <w:pPr>
        <w:pStyle w:val="Footnote"/>
        <w:bidi/>
      </w:pPr>
      <w:r>
        <w:rPr>
          <w:rStyle w:val="ac"/>
          <w:rtl/>
        </w:rPr>
        <w:footnoteRef/>
      </w:r>
      <w:r>
        <w:rPr>
          <w:rtl/>
        </w:rPr>
        <w:t>וכ"ש אם נאמר דהותר משום דנחשב כל ביאה כיבום במקצת, כיון דעומדת ליבום [וע' מש"כ לעיל לה:].</w:t>
      </w:r>
    </w:p>
  </w:footnote>
  <w:footnote w:id="2367">
    <w:p w14:paraId="74AC8542" w14:textId="77777777" w:rsidR="006074A5" w:rsidRDefault="006074A5" w:rsidP="006074A5">
      <w:pPr>
        <w:pStyle w:val="Footnote"/>
        <w:bidi/>
      </w:pPr>
      <w:r>
        <w:rPr>
          <w:rStyle w:val="ac"/>
          <w:rtl/>
        </w:rPr>
        <w:footnoteRef/>
      </w:r>
      <w:r>
        <w:rPr>
          <w:rtl/>
        </w:rPr>
        <w:t>וצ"ב מנ"ל דחכמים ס"ל הכי, דבסוגיין מבואר דדרשי' יבמה יבא עליה מ"מ, דהוה ריבוי בקנין. ומנ"ל דס"ל דיש היתר טפי כה"ג. ובפשוטו משמע דלאבא שאול דרשי' להגביל מצוות יבום, שהרי הוא דחויה. ואילו לרבנן הוה ריבוי דבכל אופן מהני, ומסתבר לדרוש להיתר כללי. וה</w:t>
      </w:r>
      <w:r>
        <w:rPr>
          <w:b/>
          <w:bCs/>
          <w:rtl/>
        </w:rPr>
        <w:t>גרנ"ט</w:t>
      </w:r>
      <w:r>
        <w:rPr>
          <w:rtl/>
        </w:rPr>
        <w:t xml:space="preserve"> העתיק דחכמים ס"ל דתחזור להתירא ראשונה [וכס”ד דברייתא כאן], ומותרת בכל אופן. [ויל"ד דלא מצאנו דחכמים דרשי' הכי להדיא].</w:t>
      </w:r>
    </w:p>
  </w:footnote>
  <w:footnote w:id="2368">
    <w:p w14:paraId="1981205A" w14:textId="77777777" w:rsidR="006074A5" w:rsidRDefault="006074A5" w:rsidP="006074A5">
      <w:pPr>
        <w:pStyle w:val="Footnote"/>
        <w:bidi/>
      </w:pPr>
      <w:r>
        <w:rPr>
          <w:rStyle w:val="ac"/>
          <w:rtl/>
        </w:rPr>
        <w:footnoteRef/>
      </w:r>
      <w:r>
        <w:rPr>
          <w:rtl/>
        </w:rPr>
        <w:t>וע' אתוון דאורייתא (ח) שהאריך.</w:t>
      </w:r>
    </w:p>
  </w:footnote>
  <w:footnote w:id="2369">
    <w:p w14:paraId="09C2DB6A" w14:textId="77777777" w:rsidR="006074A5" w:rsidRDefault="006074A5" w:rsidP="006074A5">
      <w:pPr>
        <w:pStyle w:val="Footnote"/>
        <w:bidi/>
      </w:pPr>
      <w:r>
        <w:rPr>
          <w:rStyle w:val="ac"/>
          <w:rtl/>
        </w:rPr>
        <w:footnoteRef/>
      </w:r>
      <w:r>
        <w:rPr>
          <w:rtl/>
        </w:rPr>
        <w:t>וכ"ש לצד דאיסור יבמה לשוק הוה מחמת אישות המת, א"כ כל שאינו עושה דרך מצוות יבום, פוגע באישות המת.</w:t>
      </w:r>
    </w:p>
  </w:footnote>
  <w:footnote w:id="2370">
    <w:p w14:paraId="13682643" w14:textId="77777777" w:rsidR="006074A5" w:rsidRDefault="006074A5" w:rsidP="006074A5">
      <w:pPr>
        <w:pStyle w:val="Footnote"/>
        <w:bidi/>
      </w:pPr>
      <w:r>
        <w:rPr>
          <w:rStyle w:val="ac"/>
          <w:rtl/>
        </w:rPr>
        <w:footnoteRef/>
      </w:r>
      <w:r>
        <w:rPr>
          <w:rtl/>
        </w:rPr>
        <w:t>וכדדרשי' (לקמן נד.) יבמה יבא עליה, בין שוגג ובין מזיד, בין אונס ובין רצון. [ואף בלא כוונת מצווה קנאה, ויש קנין יבום. וע”ע לקמן שם].</w:t>
      </w:r>
    </w:p>
  </w:footnote>
  <w:footnote w:id="2371">
    <w:p w14:paraId="1D908706" w14:textId="77777777" w:rsidR="006074A5" w:rsidRDefault="006074A5" w:rsidP="006074A5">
      <w:pPr>
        <w:pStyle w:val="Footnote"/>
        <w:bidi/>
      </w:pPr>
      <w:r>
        <w:rPr>
          <w:rStyle w:val="ac"/>
          <w:rtl/>
        </w:rPr>
        <w:footnoteRef/>
      </w:r>
      <w:r>
        <w:rPr>
          <w:rtl/>
        </w:rPr>
        <w:t>וא"כ י"ל דאף לרבנן אי לא נתכוון לשם מצווה לא קיים המצווה ולא קנה, אלא דאין בזה איסור [וכמו קטן הבא על הגדולה דתגדלנה וליכא איסור אשת אח]. אך במשנה (נג: הו' לעיל) מבואר דאף בלא כוונה קנה. ע' מה שהו' לעיל.</w:t>
      </w:r>
    </w:p>
  </w:footnote>
  <w:footnote w:id="2372">
    <w:p w14:paraId="4C98AAE0" w14:textId="77777777" w:rsidR="006074A5" w:rsidRDefault="006074A5" w:rsidP="006074A5">
      <w:pPr>
        <w:pStyle w:val="Footnote"/>
        <w:bidi/>
      </w:pPr>
      <w:r>
        <w:rPr>
          <w:rStyle w:val="ac"/>
          <w:rtl/>
        </w:rPr>
        <w:footnoteRef/>
      </w:r>
      <w:r>
        <w:rPr>
          <w:rtl/>
        </w:rPr>
        <w:t>וה</w:t>
      </w:r>
      <w:r>
        <w:rPr>
          <w:b/>
          <w:bCs/>
          <w:rtl/>
        </w:rPr>
        <w:t xml:space="preserve">קובה"ע </w:t>
      </w:r>
      <w:r>
        <w:rPr>
          <w:rtl/>
        </w:rPr>
        <w:t>(לו ד) חידש דאף למ"ד בעלמא מצוות אי"צ כוונה, היינו דנתקיים צווי התורה. ומ"מ האדם לא קיים כשלא נתכוון, אלא שכיון דכבר קיים את החפצא של המצוה ואינו יכול לקיים שוב. אבל ביבום לאבא שאול התורה צוותה דבעי שיתקיים ע”פ הצווי.</w:t>
      </w:r>
    </w:p>
  </w:footnote>
  <w:footnote w:id="2373">
    <w:p w14:paraId="17E027F9" w14:textId="77777777" w:rsidR="006074A5" w:rsidRDefault="006074A5" w:rsidP="006074A5">
      <w:pPr>
        <w:pStyle w:val="Footnote"/>
        <w:bidi/>
      </w:pPr>
      <w:r>
        <w:rPr>
          <w:rStyle w:val="ac"/>
          <w:rtl/>
        </w:rPr>
        <w:footnoteRef/>
      </w:r>
      <w:r>
        <w:rPr>
          <w:rtl/>
        </w:rPr>
        <w:t>לצד דהוה מדאורייתא. [או לצד דהוה מדרבנן, הוה תקנת חכמים]</w:t>
      </w:r>
    </w:p>
  </w:footnote>
  <w:footnote w:id="2374">
    <w:p w14:paraId="0D6A31B5" w14:textId="77777777" w:rsidR="006074A5" w:rsidRDefault="006074A5" w:rsidP="006074A5">
      <w:pPr>
        <w:pStyle w:val="Footnote"/>
        <w:bidi/>
      </w:pPr>
      <w:r>
        <w:rPr>
          <w:rStyle w:val="ac"/>
          <w:rtl/>
        </w:rPr>
        <w:footnoteRef/>
      </w:r>
      <w:r>
        <w:rPr>
          <w:rtl/>
        </w:rPr>
        <w:t>וה</w:t>
      </w:r>
      <w:r>
        <w:rPr>
          <w:b/>
          <w:bCs/>
          <w:rtl/>
        </w:rPr>
        <w:t>אחרונים</w:t>
      </w:r>
      <w:r>
        <w:rPr>
          <w:rtl/>
        </w:rPr>
        <w:t xml:space="preserve"> הקשו דאחר דכבר קנאה ל"ש מצוות יבום. [ע' מש"כ בזה כ.]. אך הרמב"ן (לעיל כט) מבואר דלבי"ש יש מצוות ביאת יבום אף לאחר שקנה במאמר [ויכול לגרש בלא חליצה].</w:t>
      </w:r>
    </w:p>
  </w:footnote>
  <w:footnote w:id="2375">
    <w:p w14:paraId="3E01B3B6" w14:textId="77777777" w:rsidR="006074A5" w:rsidRDefault="006074A5" w:rsidP="006074A5">
      <w:pPr>
        <w:pStyle w:val="Footnote"/>
        <w:bidi/>
      </w:pPr>
      <w:r>
        <w:rPr>
          <w:rStyle w:val="ac"/>
          <w:rtl/>
        </w:rPr>
        <w:footnoteRef/>
      </w:r>
      <w:r>
        <w:rPr>
          <w:rtl/>
        </w:rPr>
        <w:t>דכמה סתמי משניות (לקמן קיג) דחרש יכול לייבם. ול</w:t>
      </w:r>
      <w:r>
        <w:rPr>
          <w:b/>
          <w:bCs/>
          <w:rtl/>
        </w:rPr>
        <w:t xml:space="preserve">רש"י </w:t>
      </w:r>
      <w:r>
        <w:rPr>
          <w:rtl/>
        </w:rPr>
        <w:t>(קידושין יט.) אף קטן קנה מדאורייתא, ואף ל</w:t>
      </w:r>
      <w:r>
        <w:rPr>
          <w:b/>
          <w:bCs/>
          <w:rtl/>
        </w:rPr>
        <w:t>תוס</w:t>
      </w:r>
      <w:r>
        <w:rPr>
          <w:rtl/>
        </w:rPr>
        <w:t>' בעי מיעוט לאפוקי שלא יקנה.</w:t>
      </w:r>
    </w:p>
  </w:footnote>
  <w:footnote w:id="2376">
    <w:p w14:paraId="6258277B" w14:textId="77777777" w:rsidR="006074A5" w:rsidRDefault="006074A5" w:rsidP="006074A5">
      <w:pPr>
        <w:pStyle w:val="Footnote"/>
        <w:bidi/>
      </w:pPr>
      <w:r>
        <w:rPr>
          <w:rStyle w:val="ac"/>
          <w:rtl/>
        </w:rPr>
        <w:footnoteRef/>
      </w:r>
      <w:r>
        <w:rPr>
          <w:rtl/>
        </w:rPr>
        <w:t>וציין לגמ' (זבחים ב:), אבל בגדרי מצוות צריכות כוונה ל"מ 'סתמא לשמה' [וכה"ק בקוב"ש כתובות רנא]. ומבואר דהדין לשמה לאבא שאול הוא כדי לקבוע את עצם המעשה, ולא משום כוונת העושה.</w:t>
      </w:r>
    </w:p>
  </w:footnote>
  <w:footnote w:id="2377">
    <w:p w14:paraId="6AEF75C5" w14:textId="77777777" w:rsidR="006074A5" w:rsidRDefault="006074A5" w:rsidP="006074A5">
      <w:pPr>
        <w:pStyle w:val="Footnote"/>
        <w:bidi/>
      </w:pPr>
      <w:r>
        <w:rPr>
          <w:rStyle w:val="ac"/>
          <w:rtl/>
        </w:rPr>
        <w:footnoteRef/>
      </w:r>
      <w:r>
        <w:rPr>
          <w:rtl/>
        </w:rPr>
        <w:t>וע' לקמן (קד:) בדין חליצה דקטן וגדול עומד ע”ג.</w:t>
      </w:r>
    </w:p>
  </w:footnote>
  <w:footnote w:id="2378">
    <w:p w14:paraId="7F85E978" w14:textId="77777777" w:rsidR="006074A5" w:rsidRDefault="006074A5" w:rsidP="006074A5">
      <w:pPr>
        <w:pStyle w:val="Footnote"/>
        <w:bidi/>
      </w:pPr>
      <w:r>
        <w:rPr>
          <w:rStyle w:val="ac"/>
          <w:rtl/>
        </w:rPr>
        <w:footnoteRef/>
      </w:r>
      <w:r>
        <w:rPr>
          <w:rtl/>
        </w:rPr>
        <w:t>ויל"ד אי אבא שאול חולק בזה, וס"ל דמצוות חליצה עדיפא או שקולין הם. אך בפשוטו מדינא אבא שאול מודה דמצוות יבום כדינו עדיפא, אלא דמדרבנן תקנו להעדיף חליצה, שמא לא יתכוון לשם מצווה.</w:t>
      </w:r>
    </w:p>
  </w:footnote>
  <w:footnote w:id="2379">
    <w:p w14:paraId="4F5A97CE" w14:textId="77777777" w:rsidR="006074A5" w:rsidRDefault="006074A5" w:rsidP="006074A5">
      <w:pPr>
        <w:pStyle w:val="Footnote"/>
        <w:bidi/>
      </w:pPr>
      <w:r>
        <w:rPr>
          <w:rStyle w:val="ac"/>
          <w:rtl/>
        </w:rPr>
        <w:footnoteRef/>
      </w:r>
      <w:r>
        <w:rPr>
          <w:rtl/>
        </w:rPr>
        <w:t>[ויל”ד האם היינו משהו, או כזית וע' בסמוך].</w:t>
      </w:r>
    </w:p>
  </w:footnote>
  <w:footnote w:id="2380">
    <w:p w14:paraId="617E9360" w14:textId="77777777" w:rsidR="006074A5" w:rsidRDefault="006074A5" w:rsidP="006074A5">
      <w:pPr>
        <w:pStyle w:val="Footnote"/>
        <w:bidi/>
      </w:pPr>
      <w:r>
        <w:rPr>
          <w:rStyle w:val="ac"/>
          <w:rtl/>
        </w:rPr>
        <w:footnoteRef/>
      </w:r>
      <w:r>
        <w:rPr>
          <w:rtl/>
        </w:rPr>
        <w:t>וה</w:t>
      </w:r>
      <w:r>
        <w:rPr>
          <w:b/>
          <w:bCs/>
          <w:rtl/>
        </w:rPr>
        <w:t>בית הלוי</w:t>
      </w:r>
      <w:r>
        <w:rPr>
          <w:rtl/>
        </w:rPr>
        <w:t xml:space="preserve"> (א ב ז) כתב דהרמב"ם דחאה מההלכה, ע"פ כמה סוגיות. ועוד דמבואר דכה"ג מקריב אונן, ואף דאינו יכול לאכול.</w:t>
      </w:r>
    </w:p>
  </w:footnote>
  <w:footnote w:id="2381">
    <w:p w14:paraId="4FE8A609" w14:textId="77777777" w:rsidR="006074A5" w:rsidRDefault="006074A5" w:rsidP="006074A5">
      <w:pPr>
        <w:pStyle w:val="Footnote"/>
        <w:bidi/>
      </w:pPr>
      <w:r>
        <w:rPr>
          <w:rStyle w:val="ac"/>
          <w:rtl/>
        </w:rPr>
        <w:footnoteRef/>
      </w:r>
      <w:r>
        <w:rPr>
          <w:rtl/>
        </w:rPr>
        <w:t>והא דאכילת פסחים בעי כוונת מצווה הוה מדין דבר שבחובה.</w:t>
      </w:r>
    </w:p>
  </w:footnote>
  <w:footnote w:id="2382">
    <w:p w14:paraId="2B369125" w14:textId="77777777" w:rsidR="006074A5" w:rsidRDefault="006074A5" w:rsidP="006074A5">
      <w:pPr>
        <w:pStyle w:val="Footnote"/>
        <w:bidi/>
      </w:pPr>
      <w:r>
        <w:rPr>
          <w:rStyle w:val="ac"/>
          <w:rtl/>
        </w:rPr>
        <w:footnoteRef/>
      </w:r>
      <w:r>
        <w:rPr>
          <w:rtl/>
        </w:rPr>
        <w:t xml:space="preserve">וע' </w:t>
      </w:r>
      <w:r>
        <w:rPr>
          <w:b/>
          <w:bCs/>
          <w:rtl/>
        </w:rPr>
        <w:t>תוס</w:t>
      </w:r>
      <w:r>
        <w:rPr>
          <w:rtl/>
        </w:rPr>
        <w:t>' ו</w:t>
      </w:r>
      <w:r>
        <w:rPr>
          <w:b/>
          <w:bCs/>
          <w:rtl/>
        </w:rPr>
        <w:t xml:space="preserve">תו"י </w:t>
      </w:r>
      <w:r>
        <w:rPr>
          <w:rtl/>
        </w:rPr>
        <w:t>(יומא לט.) ו</w:t>
      </w:r>
      <w:r>
        <w:rPr>
          <w:b/>
          <w:bCs/>
          <w:rtl/>
        </w:rPr>
        <w:t>רש"י</w:t>
      </w:r>
      <w:r>
        <w:rPr>
          <w:rtl/>
        </w:rPr>
        <w:t xml:space="preserve"> (קידו' נג.).</w:t>
      </w:r>
    </w:p>
  </w:footnote>
  <w:footnote w:id="2383">
    <w:p w14:paraId="676B052A" w14:textId="77777777" w:rsidR="006074A5" w:rsidRDefault="006074A5" w:rsidP="006074A5">
      <w:pPr>
        <w:pStyle w:val="Footnote"/>
        <w:bidi/>
      </w:pPr>
      <w:r>
        <w:rPr>
          <w:rStyle w:val="ac"/>
          <w:rtl/>
        </w:rPr>
        <w:footnoteRef/>
      </w:r>
      <w:r>
        <w:rPr>
          <w:rtl/>
        </w:rPr>
        <w:t xml:space="preserve">אך במש”כ </w:t>
      </w:r>
      <w:r>
        <w:rPr>
          <w:b/>
          <w:bCs/>
          <w:rtl/>
        </w:rPr>
        <w:t>תוס</w:t>
      </w:r>
      <w:r>
        <w:rPr>
          <w:rtl/>
        </w:rPr>
        <w:t>' (ד”ה רצה) דיש מצוה שהכהן המקריב יאכל ממנו, בזה בעי כזית.</w:t>
      </w:r>
    </w:p>
  </w:footnote>
  <w:footnote w:id="2384">
    <w:p w14:paraId="0FB21C77" w14:textId="77777777" w:rsidR="006074A5" w:rsidRDefault="006074A5" w:rsidP="006074A5">
      <w:pPr>
        <w:pStyle w:val="Footnote"/>
        <w:bidi/>
      </w:pPr>
      <w:r>
        <w:rPr>
          <w:rStyle w:val="ac"/>
          <w:rtl/>
        </w:rPr>
        <w:footnoteRef/>
      </w:r>
      <w:r>
        <w:rPr>
          <w:rtl/>
        </w:rPr>
        <w:t>וה</w:t>
      </w:r>
      <w:r>
        <w:rPr>
          <w:b/>
          <w:bCs/>
          <w:rtl/>
        </w:rPr>
        <w:t>משנ"ל</w:t>
      </w:r>
      <w:r>
        <w:rPr>
          <w:rtl/>
        </w:rPr>
        <w:t xml:space="preserve"> (יסוה"ת ה ח ד"ה נסתפקתי) נסתפק האוכל מאכלות אסורות באכילה גסה אי דמי לשלא כדרך הנאתו [אך בבשר בחלב חייב אף שלא כדרך], או דהמאכל מצד עצמו ראוי לאכילה, ושאני יוה"כ דתלי בעינוי ויתובי דעתא. ושוב הביא [מדברי התוס'] דמבואר דלא יצא יד"ח אכילה.</w:t>
      </w:r>
    </w:p>
  </w:footnote>
  <w:footnote w:id="2385">
    <w:p w14:paraId="3EFAAC8A" w14:textId="77777777" w:rsidR="006074A5" w:rsidRDefault="006074A5" w:rsidP="006074A5">
      <w:pPr>
        <w:pStyle w:val="Footnote"/>
        <w:bidi/>
      </w:pPr>
      <w:r>
        <w:rPr>
          <w:rStyle w:val="ac"/>
          <w:rtl/>
        </w:rPr>
        <w:footnoteRef/>
      </w:r>
      <w:r>
        <w:rPr>
          <w:rtl/>
        </w:rPr>
        <w:t>ויל"ד ע"פ דברי ה</w:t>
      </w:r>
      <w:r>
        <w:rPr>
          <w:b/>
          <w:bCs/>
          <w:rtl/>
        </w:rPr>
        <w:t>בית הלוי</w:t>
      </w:r>
      <w:r>
        <w:rPr>
          <w:rtl/>
        </w:rPr>
        <w:t xml:space="preserve"> (הנ"ל) דאף אי לא הוה אכילה בגדרי מאכלות אסורות [דומיא דחצי שיעור דל"ש אכילה]. מ"מ י"ל דכלפי החפצא הוה דרך אכילה.</w:t>
      </w:r>
    </w:p>
  </w:footnote>
  <w:footnote w:id="2386">
    <w:p w14:paraId="31BA0386" w14:textId="77777777" w:rsidR="006074A5" w:rsidRDefault="006074A5" w:rsidP="006074A5">
      <w:pPr>
        <w:pStyle w:val="Footnote"/>
        <w:bidi/>
      </w:pPr>
      <w:r>
        <w:rPr>
          <w:rStyle w:val="ac"/>
          <w:rtl/>
        </w:rPr>
        <w:footnoteRef/>
      </w:r>
      <w:r>
        <w:rPr>
          <w:rtl/>
        </w:rPr>
        <w:t xml:space="preserve">אבל </w:t>
      </w:r>
      <w:r>
        <w:rPr>
          <w:b/>
          <w:bCs/>
          <w:rtl/>
        </w:rPr>
        <w:t>רש"י</w:t>
      </w:r>
      <w:r>
        <w:rPr>
          <w:rtl/>
        </w:rPr>
        <w:t xml:space="preserve"> (הוריות י:) כת' שאכלו לשם אכילה גסה, שלא לשום מצוה. לשם קינוח סעודה. [ומשמע דהוה אכילה כדרך, אלא שלא לשם מצווה]. וכ"כ </w:t>
      </w:r>
      <w:r>
        <w:rPr>
          <w:b/>
          <w:bCs/>
          <w:rtl/>
        </w:rPr>
        <w:t>תוס</w:t>
      </w:r>
      <w:r>
        <w:rPr>
          <w:rtl/>
        </w:rPr>
        <w:t>' (ב"ק קי.).</w:t>
      </w:r>
    </w:p>
  </w:footnote>
  <w:footnote w:id="2387">
    <w:p w14:paraId="4825F9E8" w14:textId="77777777" w:rsidR="006074A5" w:rsidRDefault="006074A5" w:rsidP="006074A5">
      <w:pPr>
        <w:pStyle w:val="Footnote"/>
        <w:bidi/>
      </w:pPr>
      <w:r>
        <w:rPr>
          <w:rStyle w:val="ac"/>
          <w:rtl/>
        </w:rPr>
        <w:footnoteRef/>
      </w:r>
      <w:r>
        <w:rPr>
          <w:rtl/>
        </w:rPr>
        <w:t>וכדאיתא ב</w:t>
      </w:r>
      <w:r>
        <w:rPr>
          <w:b/>
          <w:bCs/>
          <w:rtl/>
        </w:rPr>
        <w:t>פוסקים</w:t>
      </w:r>
      <w:r>
        <w:rPr>
          <w:rtl/>
        </w:rPr>
        <w:t xml:space="preserve"> (חו"מ לד א) דאינו רשע לפסול עדות. וכ"כ ה</w:t>
      </w:r>
      <w:r>
        <w:rPr>
          <w:b/>
          <w:bCs/>
          <w:rtl/>
        </w:rPr>
        <w:t>מנח"ח</w:t>
      </w:r>
      <w:r>
        <w:rPr>
          <w:rtl/>
        </w:rPr>
        <w:t xml:space="preserve"> (ו יב). וה</w:t>
      </w:r>
      <w:r>
        <w:rPr>
          <w:b/>
          <w:bCs/>
          <w:rtl/>
        </w:rPr>
        <w:t>מנח"ח</w:t>
      </w:r>
      <w:r>
        <w:rPr>
          <w:rtl/>
        </w:rPr>
        <w:t xml:space="preserve"> ו</w:t>
      </w:r>
      <w:r>
        <w:rPr>
          <w:b/>
          <w:bCs/>
          <w:rtl/>
        </w:rPr>
        <w:t>הג' ברוך טעם</w:t>
      </w:r>
      <w:r>
        <w:rPr>
          <w:rtl/>
        </w:rPr>
        <w:t xml:space="preserve"> (לטור"א ר"ה כט) הק' דמבואר (שבועות יב: זבחים ז:) דעבר על עשה ולא עבד תשובה הוה זבח רשעים תועבה. וא"כ ה"נ יקרא 'רשע' בקרא דדברי קבלה. וצ"ע. [וה</w:t>
      </w:r>
      <w:r>
        <w:rPr>
          <w:b/>
          <w:bCs/>
          <w:rtl/>
        </w:rPr>
        <w:t>אחרונים</w:t>
      </w:r>
      <w:r>
        <w:rPr>
          <w:rtl/>
        </w:rPr>
        <w:t xml:space="preserve"> האריכו בזה בכ"מ].</w:t>
      </w:r>
    </w:p>
  </w:footnote>
  <w:footnote w:id="2388">
    <w:p w14:paraId="73F10508" w14:textId="77777777" w:rsidR="006074A5" w:rsidRDefault="006074A5" w:rsidP="006074A5">
      <w:pPr>
        <w:pStyle w:val="Footnote"/>
        <w:bidi/>
      </w:pPr>
      <w:r>
        <w:rPr>
          <w:rStyle w:val="ac"/>
          <w:rtl/>
        </w:rPr>
        <w:footnoteRef/>
      </w:r>
      <w:r>
        <w:rPr>
          <w:rtl/>
        </w:rPr>
        <w:t>ומשום שהכניס עצמו לאונס לא נקרא רשע [ויל"ד האם היינו קודם זמן המצווה, או אף קודם סוף זמנו].</w:t>
      </w:r>
    </w:p>
  </w:footnote>
  <w:footnote w:id="2389">
    <w:p w14:paraId="005AF640" w14:textId="77777777" w:rsidR="006074A5" w:rsidRDefault="006074A5" w:rsidP="006074A5">
      <w:pPr>
        <w:pStyle w:val="Footnote"/>
        <w:bidi/>
      </w:pPr>
      <w:r>
        <w:rPr>
          <w:rStyle w:val="ac"/>
          <w:rtl/>
        </w:rPr>
        <w:footnoteRef/>
      </w:r>
      <w:r>
        <w:rPr>
          <w:rtl/>
        </w:rPr>
        <w:t>וה</w:t>
      </w:r>
      <w:r>
        <w:rPr>
          <w:b/>
          <w:bCs/>
          <w:rtl/>
        </w:rPr>
        <w:t>בעה"מ</w:t>
      </w:r>
      <w:r>
        <w:rPr>
          <w:rtl/>
        </w:rPr>
        <w:t xml:space="preserve"> כת' דהתם איירי שחלטו ברותחים כל צרכן, ובשל בהן כל צרכי הפת. אבל הדר אפייה הוה לחם עוני.</w:t>
      </w:r>
    </w:p>
  </w:footnote>
  <w:footnote w:id="2390">
    <w:p w14:paraId="3CA5AFEB" w14:textId="77777777" w:rsidR="006074A5" w:rsidRDefault="006074A5" w:rsidP="006074A5">
      <w:pPr>
        <w:pStyle w:val="Footnote"/>
        <w:bidi/>
      </w:pPr>
      <w:r>
        <w:rPr>
          <w:rStyle w:val="ac"/>
          <w:rtl/>
        </w:rPr>
        <w:footnoteRef/>
      </w:r>
      <w:r>
        <w:rPr>
          <w:rtl/>
        </w:rPr>
        <w:t>[ולתי' הב' בתוס' המיעוט דאינו עוני]. אבל ה</w:t>
      </w:r>
      <w:r>
        <w:rPr>
          <w:b/>
          <w:bCs/>
          <w:rtl/>
        </w:rPr>
        <w:t>בעה"מ</w:t>
      </w:r>
      <w:r>
        <w:rPr>
          <w:rtl/>
        </w:rPr>
        <w:t xml:space="preserve"> (וי"מ בתוס' הרא"ש שם) כת' דדרשי' לחם פרט לחלוט, עוני פרט לאשישה.</w:t>
      </w:r>
    </w:p>
  </w:footnote>
  <w:footnote w:id="2391">
    <w:p w14:paraId="3B5AACD4" w14:textId="77777777" w:rsidR="006074A5" w:rsidRDefault="006074A5" w:rsidP="006074A5">
      <w:pPr>
        <w:pStyle w:val="Footnote"/>
        <w:bidi/>
      </w:pPr>
      <w:r>
        <w:rPr>
          <w:rStyle w:val="ac"/>
          <w:rtl/>
        </w:rPr>
        <w:footnoteRef/>
      </w:r>
      <w:r>
        <w:rPr>
          <w:rtl/>
        </w:rPr>
        <w:t>ויש להעיר דאי כבר זכו שאר יורשים בשעת מיתה, וכבר יצאו הנכסים מהמת, איך בא היבם לאחר זמן וחוזר וזוכה בכל הנכסים. וההפלאה (שם) עמד בזה. אמנם מצאנו כה"ג היכא שנולד לו בן לאחר מיתתו [למ"ד דעובר אינו יורש (לקמן סז.), ויש ראשונים שכו"ע מודים בתוך מ' יום], דלכאורה משעת מיתה זכה היורש המאוחר בנכסים, ומשעה שנולד הבן זכה בהם מכאן ולהבא. וכאילו המת חזר לחיות (ויתבאר לקמן סז.).</w:t>
      </w:r>
    </w:p>
  </w:footnote>
  <w:footnote w:id="2392">
    <w:p w14:paraId="20A51CCE" w14:textId="77777777" w:rsidR="006074A5" w:rsidRDefault="006074A5" w:rsidP="006074A5">
      <w:pPr>
        <w:pStyle w:val="Footnote"/>
        <w:bidi/>
      </w:pPr>
      <w:r>
        <w:rPr>
          <w:rStyle w:val="ac"/>
          <w:rtl/>
        </w:rPr>
        <w:footnoteRef/>
      </w:r>
      <w:r>
        <w:rPr>
          <w:rtl/>
        </w:rPr>
        <w:t>ובפשוטו מבואר בסוגיא (כתובות פב.) שהיבם אינו יכול להקנות מהנכסים קודם היבום.</w:t>
      </w:r>
    </w:p>
  </w:footnote>
  <w:footnote w:id="2393">
    <w:p w14:paraId="794ED1DD" w14:textId="77777777" w:rsidR="006074A5" w:rsidRDefault="006074A5" w:rsidP="006074A5">
      <w:pPr>
        <w:pStyle w:val="Footnote"/>
        <w:bidi/>
      </w:pPr>
      <w:r>
        <w:rPr>
          <w:rStyle w:val="ac"/>
          <w:rtl/>
        </w:rPr>
        <w:footnoteRef/>
      </w:r>
      <w:r>
        <w:rPr>
          <w:rtl/>
        </w:rPr>
        <w:t>דע"י היבום יקום על שם אחיו, משעת מיתת האח.</w:t>
      </w:r>
    </w:p>
  </w:footnote>
  <w:footnote w:id="2394">
    <w:p w14:paraId="5FD612FB" w14:textId="77777777" w:rsidR="006074A5" w:rsidRDefault="006074A5" w:rsidP="006074A5">
      <w:pPr>
        <w:pStyle w:val="Footnote"/>
        <w:bidi/>
      </w:pPr>
      <w:r>
        <w:rPr>
          <w:rStyle w:val="ac"/>
          <w:rtl/>
        </w:rPr>
        <w:footnoteRef/>
      </w:r>
      <w:r>
        <w:rPr>
          <w:rtl/>
        </w:rPr>
        <w:t>ומש"ה זוכה בשבח שבין מיתה ליבום. [והא דאמרי' בכורות נב. דאינו נוטל פי שניים בשבח, היינו כשבאים לחלוק עם האחים בנכסי אביו].</w:t>
      </w:r>
    </w:p>
  </w:footnote>
  <w:footnote w:id="2395">
    <w:p w14:paraId="32A2FF3A" w14:textId="77777777" w:rsidR="006074A5" w:rsidRDefault="006074A5" w:rsidP="006074A5">
      <w:pPr>
        <w:pStyle w:val="Footnote"/>
        <w:bidi/>
      </w:pPr>
      <w:r>
        <w:rPr>
          <w:rStyle w:val="ac"/>
          <w:rtl/>
        </w:rPr>
        <w:footnoteRef/>
      </w:r>
      <w:r>
        <w:rPr>
          <w:rtl/>
        </w:rPr>
        <w:t>ואף דפטורה בגט ובלא חליצה.</w:t>
      </w:r>
    </w:p>
  </w:footnote>
  <w:footnote w:id="2396">
    <w:p w14:paraId="322617F5" w14:textId="77777777" w:rsidR="006074A5" w:rsidRDefault="006074A5" w:rsidP="006074A5">
      <w:pPr>
        <w:pStyle w:val="Footnote"/>
        <w:bidi/>
      </w:pPr>
      <w:r>
        <w:rPr>
          <w:rStyle w:val="ac"/>
          <w:rtl/>
        </w:rPr>
        <w:footnoteRef/>
      </w:r>
      <w:r>
        <w:rPr>
          <w:rtl/>
        </w:rPr>
        <w:t>אבל נוטל חלקו בנכסי האב, ובזה לא נחשב ראוי. דילפי' והיה הבכור, דיש לו זכות ליטול ב' חלקים בנכסי האב.</w:t>
      </w:r>
    </w:p>
  </w:footnote>
  <w:footnote w:id="2397">
    <w:p w14:paraId="7A71DB35" w14:textId="77777777" w:rsidR="006074A5" w:rsidRDefault="006074A5" w:rsidP="006074A5">
      <w:pPr>
        <w:pStyle w:val="Footnote"/>
        <w:bidi/>
      </w:pPr>
      <w:r>
        <w:rPr>
          <w:rStyle w:val="ac"/>
          <w:rtl/>
        </w:rPr>
        <w:footnoteRef/>
      </w:r>
      <w:r>
        <w:rPr>
          <w:rtl/>
        </w:rPr>
        <w:t>וב</w:t>
      </w:r>
      <w:r>
        <w:rPr>
          <w:b/>
          <w:bCs/>
          <w:rtl/>
        </w:rPr>
        <w:t>הג' ראמ"ה</w:t>
      </w:r>
      <w:r>
        <w:rPr>
          <w:rtl/>
        </w:rPr>
        <w:t xml:space="preserve"> יישב דאיירי במאמנת, ולמ"ד אינה ממאנת לזיקתו, א”כ יש איסור קרובים משום היבם לחוד. [ונקט דאישות המת באמת נעקר, ורק הזיקה לא נעקר, וע' מש"כ בזה לעיל יב.].</w:t>
      </w:r>
    </w:p>
  </w:footnote>
  <w:footnote w:id="2398">
    <w:p w14:paraId="7CF36BD9" w14:textId="77777777" w:rsidR="006074A5" w:rsidRDefault="006074A5" w:rsidP="006074A5">
      <w:pPr>
        <w:pStyle w:val="Footnote"/>
        <w:bidi/>
      </w:pPr>
      <w:r>
        <w:rPr>
          <w:rStyle w:val="ac"/>
          <w:rtl/>
        </w:rPr>
        <w:footnoteRef/>
      </w:r>
      <w:r>
        <w:rPr>
          <w:rtl/>
        </w:rPr>
        <w:t>דה</w:t>
      </w:r>
      <w:r>
        <w:rPr>
          <w:b/>
          <w:bCs/>
          <w:rtl/>
        </w:rPr>
        <w:t>מהד"ב</w:t>
      </w:r>
      <w:r>
        <w:rPr>
          <w:rtl/>
        </w:rPr>
        <w:t xml:space="preserve"> הקשה דקם ליה בדרבה מיניה [ולכאורה כוונתו דמסברא לא תקנו מכות מרדות בנוסף לחיוב דאורייתא. דאל"כ אף בלא אתרו שייך 'פטור' קלב"ם].</w:t>
      </w:r>
    </w:p>
  </w:footnote>
  <w:footnote w:id="2399">
    <w:p w14:paraId="217D5DBE" w14:textId="77777777" w:rsidR="006074A5" w:rsidRDefault="006074A5" w:rsidP="006074A5">
      <w:pPr>
        <w:pStyle w:val="Footnote"/>
        <w:bidi/>
      </w:pPr>
      <w:r>
        <w:rPr>
          <w:rStyle w:val="ac"/>
          <w:rtl/>
        </w:rPr>
        <w:footnoteRef/>
      </w:r>
      <w:r>
        <w:rPr>
          <w:rtl/>
        </w:rPr>
        <w:t>[וקמ"ל דהותר אחרי החליצה, ולא מוזכר דהדבר מוכח מהא דאף בזיקה גזרו שניות].</w:t>
      </w:r>
    </w:p>
  </w:footnote>
  <w:footnote w:id="2400">
    <w:p w14:paraId="618209E1" w14:textId="77777777" w:rsidR="006074A5" w:rsidRDefault="006074A5" w:rsidP="006074A5">
      <w:pPr>
        <w:pStyle w:val="Footnote"/>
        <w:bidi/>
      </w:pPr>
      <w:r>
        <w:rPr>
          <w:rStyle w:val="ac"/>
          <w:rtl/>
        </w:rPr>
        <w:footnoteRef/>
      </w:r>
      <w:r>
        <w:rPr>
          <w:rtl/>
        </w:rPr>
        <w:t>ומשמע דאיסור קרובת זקוקתו וקרובת חלוצתו מישך בהדדי, ולמסקנא גזרו בתרוייהו שניות.</w:t>
      </w:r>
    </w:p>
  </w:footnote>
  <w:footnote w:id="2401">
    <w:p w14:paraId="54C1DDFF" w14:textId="77777777" w:rsidR="006074A5" w:rsidRDefault="006074A5" w:rsidP="006074A5">
      <w:pPr>
        <w:pStyle w:val="Footnote"/>
        <w:bidi/>
      </w:pPr>
      <w:r>
        <w:rPr>
          <w:rStyle w:val="ac"/>
          <w:rtl/>
        </w:rPr>
        <w:footnoteRef/>
      </w:r>
      <w:r>
        <w:rPr>
          <w:rtl/>
        </w:rPr>
        <w:t>ולפ"ז [להך ס"ד] המשנה אינו מתיישב למ"ד אין זיקה.</w:t>
      </w:r>
    </w:p>
  </w:footnote>
  <w:footnote w:id="2402">
    <w:p w14:paraId="2C6E50A3" w14:textId="77777777" w:rsidR="006074A5" w:rsidRDefault="006074A5" w:rsidP="006074A5">
      <w:pPr>
        <w:pStyle w:val="Footnote"/>
        <w:bidi/>
      </w:pPr>
      <w:r>
        <w:rPr>
          <w:rStyle w:val="ac"/>
          <w:rtl/>
        </w:rPr>
        <w:footnoteRef/>
      </w:r>
      <w:r>
        <w:rPr>
          <w:rtl/>
        </w:rPr>
        <w:t>ולפ"ז קושיית רב יוסף לשמואל לשיטתו דס"ל יש זיקה [וצ"ע למש"כ תוס' יז: דרב יוסף ס"ל אין זיקה].</w:t>
      </w:r>
    </w:p>
  </w:footnote>
  <w:footnote w:id="2403">
    <w:p w14:paraId="1F183E41" w14:textId="77777777" w:rsidR="006074A5" w:rsidRDefault="006074A5" w:rsidP="006074A5">
      <w:pPr>
        <w:pStyle w:val="Footnote"/>
        <w:bidi/>
      </w:pPr>
      <w:r>
        <w:rPr>
          <w:rStyle w:val="ac"/>
          <w:rtl/>
        </w:rPr>
        <w:footnoteRef/>
      </w:r>
      <w:r>
        <w:rPr>
          <w:rtl/>
        </w:rPr>
        <w:t>ואף דנתבטל הסיבה, עדיין אסורה מחמת הזיקה. וכ”מ ב</w:t>
      </w:r>
      <w:r>
        <w:rPr>
          <w:b/>
          <w:bCs/>
          <w:rtl/>
        </w:rPr>
        <w:t xml:space="preserve">רש”י </w:t>
      </w:r>
      <w:r>
        <w:rPr>
          <w:rtl/>
        </w:rPr>
        <w:t>(לעיל ד”ה ה”א).</w:t>
      </w:r>
    </w:p>
  </w:footnote>
  <w:footnote w:id="2404">
    <w:p w14:paraId="00191092" w14:textId="77777777" w:rsidR="006074A5" w:rsidRDefault="006074A5" w:rsidP="006074A5">
      <w:pPr>
        <w:pStyle w:val="Footnote"/>
        <w:bidi/>
      </w:pPr>
      <w:r>
        <w:rPr>
          <w:rStyle w:val="ac"/>
          <w:rtl/>
        </w:rPr>
        <w:footnoteRef/>
      </w:r>
      <w:r>
        <w:rPr>
          <w:rtl/>
        </w:rPr>
        <w:t>וצ"ב דל"ש לפרש כדברי האו"ש דהוה איסור מחמת אחות זקוקתו, דהא דעת רוב ה</w:t>
      </w:r>
      <w:r>
        <w:rPr>
          <w:b/>
          <w:bCs/>
          <w:rtl/>
        </w:rPr>
        <w:t>ראשונים</w:t>
      </w:r>
      <w:r>
        <w:rPr>
          <w:rtl/>
        </w:rPr>
        <w:t xml:space="preserve"> (לעיל יז: וכז:) דאחות זקוקתו דרבנן. וצ"ל דאסורה מחמת החליצה, שנעשית בשליחותייהו.</w:t>
      </w:r>
    </w:p>
  </w:footnote>
  <w:footnote w:id="2405">
    <w:p w14:paraId="5C9D530E" w14:textId="77777777" w:rsidR="006074A5" w:rsidRDefault="006074A5" w:rsidP="006074A5">
      <w:pPr>
        <w:pStyle w:val="Footnote"/>
        <w:bidi/>
      </w:pPr>
      <w:r>
        <w:rPr>
          <w:rStyle w:val="ac"/>
          <w:rtl/>
        </w:rPr>
        <w:footnoteRef/>
      </w:r>
      <w:r>
        <w:rPr>
          <w:rtl/>
        </w:rPr>
        <w:t>אך יש שדנו לחלק בין אחים לצרות. ע' משנת ר' אהרן.</w:t>
      </w:r>
    </w:p>
  </w:footnote>
  <w:footnote w:id="2406">
    <w:p w14:paraId="1A882BC3" w14:textId="77777777" w:rsidR="006074A5" w:rsidRDefault="006074A5" w:rsidP="006074A5">
      <w:pPr>
        <w:pStyle w:val="Footnote"/>
        <w:bidi/>
      </w:pPr>
      <w:r>
        <w:rPr>
          <w:rStyle w:val="ac"/>
          <w:rtl/>
        </w:rPr>
        <w:footnoteRef/>
      </w:r>
      <w:r>
        <w:rPr>
          <w:rtl/>
        </w:rPr>
        <w:t>ויסברו דעובר בלא יבנה [ולשמואל וריש לקיש הוה אשת אח ובכרת].</w:t>
      </w:r>
    </w:p>
  </w:footnote>
  <w:footnote w:id="2407">
    <w:p w14:paraId="750399A0" w14:textId="77777777" w:rsidR="006074A5" w:rsidRDefault="006074A5" w:rsidP="006074A5">
      <w:pPr>
        <w:pStyle w:val="Footnote"/>
        <w:bidi/>
      </w:pPr>
      <w:r>
        <w:rPr>
          <w:rStyle w:val="ac"/>
          <w:rtl/>
        </w:rPr>
        <w:footnoteRef/>
      </w:r>
      <w:r>
        <w:rPr>
          <w:rtl/>
        </w:rPr>
        <w:t>ואילו בתו"י משמע דהיכא דנולדה בשעת חליצה גזרו עליה, ואף צרה שתהא בעתיד הוה בכלל הך גזירה.</w:t>
      </w:r>
    </w:p>
  </w:footnote>
  <w:footnote w:id="2408">
    <w:p w14:paraId="26297B66" w14:textId="77777777" w:rsidR="006074A5" w:rsidRDefault="006074A5" w:rsidP="006074A5">
      <w:pPr>
        <w:pStyle w:val="Footnote"/>
        <w:bidi/>
      </w:pPr>
      <w:r>
        <w:rPr>
          <w:rStyle w:val="ac"/>
          <w:rtl/>
        </w:rPr>
        <w:footnoteRef/>
      </w:r>
      <w:r>
        <w:rPr>
          <w:rtl/>
        </w:rPr>
        <w:t>[וכיון שיודעים שהם צרות זו לזו, וממילא יסברו שהיא ג"כ יבמתו]. ויל"ד אי איירי דוקא כשמת בעליהם [הנכרי], או אף כשגירש.</w:t>
      </w:r>
    </w:p>
  </w:footnote>
  <w:footnote w:id="2409">
    <w:p w14:paraId="206FBDAA" w14:textId="77777777" w:rsidR="006074A5" w:rsidRDefault="006074A5" w:rsidP="006074A5">
      <w:pPr>
        <w:pStyle w:val="Footnote"/>
        <w:bidi/>
      </w:pPr>
      <w:r>
        <w:rPr>
          <w:rStyle w:val="ac"/>
          <w:rtl/>
        </w:rPr>
        <w:footnoteRef/>
      </w:r>
      <w:r>
        <w:rPr>
          <w:rtl/>
        </w:rPr>
        <w:t>ולכאורה קו' התוס' ד'שם' צרה לא שייך אלא במקום מצווה. ומש"ה אף אי גזרו משום מיחזי, ל"ש שיקרא 'צרה'.</w:t>
      </w:r>
    </w:p>
    <w:p w14:paraId="79CBF2C7" w14:textId="77777777" w:rsidR="006074A5" w:rsidRDefault="006074A5" w:rsidP="006074A5">
      <w:pPr>
        <w:pStyle w:val="Footnote"/>
        <w:bidi/>
      </w:pPr>
      <w:r>
        <w:rPr>
          <w:rtl/>
        </w:rPr>
        <w:tab/>
        <w:t>אך בס"ד דהברייתא (לעיל ג: וח.) שייך 'צרה' אף שלא במקום מצווה. ומדברי התוס' לכאו' מבואר דגלי קרא דל"ש צרה אלא במקום מצווה, ולא נחשב 'צרה' לערוה כלל. אבל י"ל [בדעת רש”י] דשם צרה שייך אף שלא במקום מצווה, אלא דיש מיעוט בגדר פטור צרה [הכא אתינן עלה משום מיחזי]. א”נ גזירת צרת קרובת חלוצתו הוה גזירה בעלמא, ונקט לישנא בעלמא דצרה.</w:t>
      </w:r>
    </w:p>
  </w:footnote>
  <w:footnote w:id="2410">
    <w:p w14:paraId="202DBC33" w14:textId="77777777" w:rsidR="006074A5" w:rsidRDefault="006074A5" w:rsidP="006074A5">
      <w:pPr>
        <w:pStyle w:val="Footnote"/>
        <w:bidi/>
      </w:pPr>
      <w:r>
        <w:rPr>
          <w:rStyle w:val="ac"/>
          <w:rtl/>
        </w:rPr>
        <w:footnoteRef/>
      </w:r>
      <w:r>
        <w:rPr>
          <w:rtl/>
        </w:rPr>
        <w:t>[וכפרש”י בהא דאזלא בהדה, אבל רש”י מפורש כתב דלא כן].</w:t>
      </w:r>
    </w:p>
  </w:footnote>
  <w:footnote w:id="2411">
    <w:p w14:paraId="1599A667" w14:textId="77777777" w:rsidR="006074A5" w:rsidRDefault="006074A5" w:rsidP="006074A5">
      <w:pPr>
        <w:pStyle w:val="Footnote"/>
        <w:bidi/>
      </w:pPr>
      <w:r>
        <w:rPr>
          <w:rStyle w:val="ac"/>
          <w:rtl/>
        </w:rPr>
        <w:footnoteRef/>
      </w:r>
      <w:r>
        <w:rPr>
          <w:rtl/>
        </w:rPr>
        <w:t>ואף דעיקר הגזירה משום דאזלא [מחמת השני], אלא דגדר פטור צרה שייך דוקא במקום מצווה [כמיתת האח האחר]. א"נ הוה גזירה כשנופלת מאח זה, אטו אח זה.</w:t>
      </w:r>
    </w:p>
  </w:footnote>
  <w:footnote w:id="2412">
    <w:p w14:paraId="429187E6" w14:textId="77777777" w:rsidR="006074A5" w:rsidRDefault="006074A5" w:rsidP="006074A5">
      <w:pPr>
        <w:pStyle w:val="Footnote"/>
        <w:bidi/>
      </w:pPr>
      <w:r>
        <w:rPr>
          <w:rStyle w:val="ac"/>
          <w:rtl/>
        </w:rPr>
        <w:footnoteRef/>
      </w:r>
      <w:r>
        <w:rPr>
          <w:rtl/>
        </w:rPr>
        <w:t>[וה</w:t>
      </w:r>
      <w:r>
        <w:rPr>
          <w:b/>
          <w:bCs/>
          <w:rtl/>
        </w:rPr>
        <w:t>אחרונים</w:t>
      </w:r>
      <w:r>
        <w:rPr>
          <w:rtl/>
        </w:rPr>
        <w:t xml:space="preserve"> הקשו א"כ היאך גזרו צרתה מנכרי לרש”י, דליכא כוותיה בדאורייתא].</w:t>
      </w:r>
    </w:p>
  </w:footnote>
  <w:footnote w:id="2413">
    <w:p w14:paraId="64174B29" w14:textId="77777777" w:rsidR="006074A5" w:rsidRDefault="006074A5" w:rsidP="006074A5">
      <w:pPr>
        <w:pStyle w:val="Footnote"/>
        <w:bidi/>
      </w:pPr>
      <w:r>
        <w:rPr>
          <w:rStyle w:val="ac"/>
          <w:rtl/>
        </w:rPr>
        <w:footnoteRef/>
      </w:r>
      <w:r>
        <w:rPr>
          <w:rtl/>
        </w:rPr>
        <w:t>וב</w:t>
      </w:r>
      <w:r>
        <w:rPr>
          <w:b/>
          <w:bCs/>
          <w:rtl/>
        </w:rPr>
        <w:t>גמ'</w:t>
      </w:r>
      <w:r>
        <w:rPr>
          <w:rtl/>
        </w:rPr>
        <w:t xml:space="preserve"> (מגילה יח:, הו' לקמן פג. ובתוס' יז:) הביאו דשמואל חייש ליחידאה במה שפסק כר' יהודה ב"ב.</w:t>
      </w:r>
    </w:p>
  </w:footnote>
  <w:footnote w:id="2414">
    <w:p w14:paraId="6CAB3E1B" w14:textId="77777777" w:rsidR="006074A5" w:rsidRDefault="006074A5" w:rsidP="006074A5">
      <w:pPr>
        <w:pStyle w:val="Footnote"/>
        <w:bidi/>
      </w:pPr>
      <w:r>
        <w:rPr>
          <w:rStyle w:val="ac"/>
          <w:rtl/>
        </w:rPr>
        <w:footnoteRef/>
      </w:r>
      <w:r>
        <w:rPr>
          <w:rtl/>
        </w:rPr>
        <w:t>ואף דלכתחילה אסור לקדש משום דאסור לבטל מצוות יבמין, מ"מ לאחר שקידש ונתבטל מצוות יבמין מותרת. וה</w:t>
      </w:r>
      <w:r>
        <w:rPr>
          <w:b/>
          <w:bCs/>
          <w:rtl/>
        </w:rPr>
        <w:t>רשב"א</w:t>
      </w:r>
      <w:r>
        <w:rPr>
          <w:rtl/>
        </w:rPr>
        <w:t xml:space="preserve"> (ד"ה והני מילי) האריך בזה דלמ"ד אין זיקה ל"ש לגזור אף מדרבנן.</w:t>
      </w:r>
    </w:p>
  </w:footnote>
  <w:footnote w:id="2415">
    <w:p w14:paraId="007A8654" w14:textId="77777777" w:rsidR="006074A5" w:rsidRDefault="006074A5" w:rsidP="006074A5">
      <w:pPr>
        <w:pStyle w:val="Footnote"/>
        <w:bidi/>
      </w:pPr>
      <w:r>
        <w:rPr>
          <w:rStyle w:val="ac"/>
          <w:rtl/>
        </w:rPr>
        <w:footnoteRef/>
      </w:r>
      <w:r>
        <w:rPr>
          <w:rtl/>
        </w:rPr>
        <w:t>ו</w:t>
      </w:r>
      <w:r>
        <w:rPr>
          <w:b/>
          <w:bCs/>
          <w:rtl/>
        </w:rPr>
        <w:t>תוס</w:t>
      </w:r>
      <w:r>
        <w:rPr>
          <w:rtl/>
        </w:rPr>
        <w:t>' הביאו דכמה תנאים ס"ל יש זיקה, וכן לדעת רב אשי (ל.) סתם מתני' דיש זיקה. [וע"ע תוס' וראשונים כז: בדעת המשנה כו.].</w:t>
      </w:r>
    </w:p>
  </w:footnote>
  <w:footnote w:id="2416">
    <w:p w14:paraId="777FE302" w14:textId="77777777" w:rsidR="006074A5" w:rsidRDefault="006074A5" w:rsidP="006074A5">
      <w:pPr>
        <w:pStyle w:val="Footnote"/>
        <w:bidi/>
      </w:pPr>
      <w:r>
        <w:rPr>
          <w:rStyle w:val="ac"/>
          <w:rtl/>
        </w:rPr>
        <w:footnoteRef/>
      </w:r>
      <w:r>
        <w:rPr>
          <w:rtl/>
        </w:rPr>
        <w:t>ו</w:t>
      </w:r>
      <w:r>
        <w:rPr>
          <w:b/>
          <w:bCs/>
          <w:rtl/>
        </w:rPr>
        <w:t>תוס'</w:t>
      </w:r>
      <w:r>
        <w:rPr>
          <w:rtl/>
        </w:rPr>
        <w:t xml:space="preserve"> (שם) כת' דהגמ' (יח:) שעושה צריכותא, אין נ"ל לחלק משום קידושין.</w:t>
      </w:r>
    </w:p>
  </w:footnote>
  <w:footnote w:id="2417">
    <w:p w14:paraId="0034C129" w14:textId="77777777" w:rsidR="006074A5" w:rsidRDefault="006074A5" w:rsidP="006074A5">
      <w:pPr>
        <w:pStyle w:val="Footnote"/>
        <w:bidi/>
      </w:pPr>
      <w:r>
        <w:rPr>
          <w:rStyle w:val="ac"/>
          <w:rtl/>
        </w:rPr>
        <w:footnoteRef/>
      </w:r>
      <w:r>
        <w:rPr>
          <w:rtl/>
        </w:rPr>
        <w:t>וה</w:t>
      </w:r>
      <w:r>
        <w:rPr>
          <w:b/>
          <w:bCs/>
          <w:rtl/>
        </w:rPr>
        <w:t>רשב"א</w:t>
      </w:r>
      <w:r>
        <w:rPr>
          <w:rtl/>
        </w:rPr>
        <w:t xml:space="preserve"> (בהמשך דבריו) הביא מהגמ' (לעיל ח.) דדרשי' עליה אהיכא דנשא מת ומת ואח"כ נשא חי [דס”ד הואיל ואשתרי]. והיינו שקידש אחות יבמתו, ועי"ז פטרה מיבום. [ולכאורה ל"צ אף חליצה]. והרשב"א הוכיח מהתם דנישואין מפקיעי זיקה, והרשב"א דחה דהתם מדאורייתא קאי.</w:t>
      </w:r>
    </w:p>
  </w:footnote>
  <w:footnote w:id="2418">
    <w:p w14:paraId="02E30376" w14:textId="77777777" w:rsidR="006074A5" w:rsidRDefault="006074A5" w:rsidP="006074A5">
      <w:pPr>
        <w:pStyle w:val="Footnote"/>
        <w:bidi/>
      </w:pPr>
      <w:r>
        <w:rPr>
          <w:rStyle w:val="ac"/>
          <w:rtl/>
        </w:rPr>
        <w:footnoteRef/>
      </w:r>
      <w:r>
        <w:rPr>
          <w:rtl/>
        </w:rPr>
        <w:t>וביאר דכל מאי דאמרי' בקידושין דאוריתא אמרי' מדרבנן בזקוקה, וכי היכי דאין קידושין באחות אשה מדאוריתא, ה"נ לא תפשי קידושין באחות זקוקה מדרבנן.</w:t>
      </w:r>
    </w:p>
  </w:footnote>
  <w:footnote w:id="2419">
    <w:p w14:paraId="5A0876DF" w14:textId="77777777" w:rsidR="006074A5" w:rsidRDefault="006074A5" w:rsidP="006074A5">
      <w:pPr>
        <w:pStyle w:val="Footnote"/>
        <w:bidi/>
      </w:pPr>
      <w:r>
        <w:rPr>
          <w:rStyle w:val="ac"/>
          <w:rtl/>
        </w:rPr>
        <w:footnoteRef/>
      </w:r>
      <w:r>
        <w:rPr>
          <w:rtl/>
        </w:rPr>
        <w:t>וה</w:t>
      </w:r>
      <w:r>
        <w:rPr>
          <w:b/>
          <w:bCs/>
          <w:rtl/>
        </w:rPr>
        <w:t>רשב"א</w:t>
      </w:r>
      <w:r>
        <w:rPr>
          <w:rtl/>
        </w:rPr>
        <w:t xml:space="preserve"> הוסיף דאין להביא מקושיית הגמ' (כט:) לבית שמאי, יעשה מאמר ויפטור. דמאמר הוה נישואין כיבום, ונישואין מהני להפקיע זיקה. [אך תוס' פי' דהגמ' שם כמ"ד אין זיקה. א"כ ליכא ראיה למ"ד יש זיקה].  </w:t>
      </w:r>
    </w:p>
    <w:p w14:paraId="11C52949" w14:textId="77777777" w:rsidR="006074A5" w:rsidRDefault="006074A5" w:rsidP="006074A5">
      <w:pPr>
        <w:pStyle w:val="Footnote"/>
        <w:bidi/>
      </w:pPr>
      <w:r>
        <w:rPr>
          <w:rtl/>
        </w:rPr>
        <w:tab/>
        <w:t xml:space="preserve">והרשב"א הוכיח שהרי מאמר מהני להפרת נדריה וירושה [אבל הגמ' (כט:) מקשה מאמר מכ"ש מארוסה. וצ"ב כוונת הרשב"א. ואפשר דכוונתו להביא מהחולקים על רבה, וכן מהסוגיא (לעיל לח.). או דהק"ו הוא ילפותא בפנ"ע. וקושיית הרשב"א לולי ק"ו].  </w:t>
      </w:r>
    </w:p>
  </w:footnote>
  <w:footnote w:id="2420">
    <w:p w14:paraId="53CD98BB" w14:textId="77777777" w:rsidR="006074A5" w:rsidRDefault="006074A5" w:rsidP="006074A5">
      <w:pPr>
        <w:pStyle w:val="Footnote"/>
        <w:bidi/>
      </w:pPr>
      <w:r>
        <w:rPr>
          <w:rStyle w:val="ac"/>
          <w:rtl/>
        </w:rPr>
        <w:footnoteRef/>
      </w:r>
      <w:r>
        <w:rPr>
          <w:rtl/>
        </w:rPr>
        <w:t>וה</w:t>
      </w:r>
      <w:r>
        <w:rPr>
          <w:b/>
          <w:bCs/>
          <w:rtl/>
        </w:rPr>
        <w:t>רשב"א</w:t>
      </w:r>
      <w:r>
        <w:rPr>
          <w:rtl/>
        </w:rPr>
        <w:t xml:space="preserve"> הביא עוד דנישואין מפקיעין לזיקה מה</w:t>
      </w:r>
      <w:r>
        <w:rPr>
          <w:b/>
          <w:bCs/>
          <w:rtl/>
        </w:rPr>
        <w:t>גמ</w:t>
      </w:r>
      <w:r>
        <w:rPr>
          <w:rtl/>
        </w:rPr>
        <w:t>' (לעיל כח.) דאם כנס א' מהיבמות פקע זיקת אידך [ואמרי' דאסור משום ביטול מצות יבמין]. ודחה די"ל דקאי למ"ד אין זיקה.</w:t>
      </w:r>
    </w:p>
  </w:footnote>
  <w:footnote w:id="2421">
    <w:p w14:paraId="11691527" w14:textId="77777777" w:rsidR="006074A5" w:rsidRDefault="006074A5" w:rsidP="006074A5">
      <w:pPr>
        <w:pStyle w:val="Footnote"/>
        <w:bidi/>
      </w:pPr>
      <w:r>
        <w:rPr>
          <w:rStyle w:val="ac"/>
          <w:rtl/>
        </w:rPr>
        <w:footnoteRef/>
      </w:r>
      <w:r>
        <w:rPr>
          <w:rtl/>
        </w:rPr>
        <w:t>אבל נישואין מפקיעין זיקה, דנשואה בתוך הבית טפי, ומוציאה את המקודשת [בעלת הזיקה].</w:t>
      </w:r>
    </w:p>
    <w:p w14:paraId="075D3D22" w14:textId="77777777" w:rsidR="006074A5" w:rsidRDefault="006074A5" w:rsidP="006074A5">
      <w:pPr>
        <w:pStyle w:val="Footnote"/>
        <w:bidi/>
      </w:pPr>
      <w:r>
        <w:rPr>
          <w:rtl/>
        </w:rPr>
        <w:tab/>
        <w:t>אך צ"ב דהנידון משום 'שם הערוה', ובין ארוסה ובין נשואה הוה אחות אשתו בשווה. ומה מהני סברת 'האיך תוציא מקודשת', הא סוף סוף תרוייהו הוה ערוה. [ולו יצוייר שיקדש אחות אשתו, תרוייהו אסורות עליו בחיי חברתה בשווה. ולדעת רש"י לקמן מט: לכאורה פקעי קידושי תרוייהו. ול"ש סברת האיך יוציא זו מפני זו]. וצ"ע. [וי"ל דזה קו' הרשב"א הב'].</w:t>
      </w:r>
    </w:p>
    <w:p w14:paraId="1EFEEB2A" w14:textId="77777777" w:rsidR="006074A5" w:rsidRDefault="006074A5" w:rsidP="006074A5">
      <w:pPr>
        <w:pStyle w:val="Footnote"/>
        <w:bidi/>
      </w:pPr>
      <w:r>
        <w:rPr>
          <w:rtl/>
        </w:rPr>
        <w:tab/>
        <w:t>אך דעת הרמב"ן דיש כאן סברת 'לאו כל כמיניה', ולא אלים בתראי להפקיע את הראשונה. ואף דתפסי קידושי אחותה, לא אלימי להפקיע מי שקדם לה [כיון דתרוייהו בשווה]. וע"ד מה שדנו האחרונים דגדר האיסור אחות אשתו משום דצרות זו לזו, דאינו ראוי שיהא שניהם בביתו. אך עדיין צ"ע גדר הדבר, דהוה אחות אשתו ולא אלים להפקיע אותה.</w:t>
      </w:r>
    </w:p>
    <w:p w14:paraId="34906B5F" w14:textId="77777777" w:rsidR="006074A5" w:rsidRDefault="006074A5" w:rsidP="006074A5">
      <w:pPr>
        <w:pStyle w:val="Footnote"/>
        <w:bidi/>
      </w:pPr>
      <w:r>
        <w:rPr>
          <w:rtl/>
        </w:rPr>
        <w:tab/>
        <w:t>[ואפשר דגדר הדבר דלא חל 'שם ערוה' כלפי היבמה שקדמה לה, משום סברת לאו כל כמיניה, דהאיך יוציא מקודשת מפני מקודשת].</w:t>
      </w:r>
    </w:p>
  </w:footnote>
  <w:footnote w:id="2422">
    <w:p w14:paraId="2373EF6F" w14:textId="77777777" w:rsidR="006074A5" w:rsidRDefault="006074A5" w:rsidP="006074A5">
      <w:pPr>
        <w:pStyle w:val="Footnote"/>
        <w:bidi/>
      </w:pPr>
      <w:r>
        <w:rPr>
          <w:rStyle w:val="ac"/>
          <w:rtl/>
        </w:rPr>
        <w:footnoteRef/>
      </w:r>
      <w:r>
        <w:rPr>
          <w:rtl/>
        </w:rPr>
        <w:t>ומשמע דנראה לאינשי דקידושין לא מפקעי זיקה. ואף דע"פ דין מפקעי זיקה.</w:t>
      </w:r>
    </w:p>
  </w:footnote>
  <w:footnote w:id="2423">
    <w:p w14:paraId="31B53996"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האם כוונת התוס' דנראה שעדיין זקוקה, אבל באמת הזיקה פקע, או בקידושין לא פקע הזיקה, אלא דס"ד דמותר לעשות מעשה נישואין ולהפקיע. [וע' מש”כ בזה שם].</w:t>
      </w:r>
    </w:p>
  </w:footnote>
  <w:footnote w:id="2424">
    <w:p w14:paraId="106EF52E" w14:textId="77777777" w:rsidR="006074A5" w:rsidRDefault="006074A5" w:rsidP="006074A5">
      <w:pPr>
        <w:pStyle w:val="Footnote"/>
        <w:bidi/>
      </w:pPr>
      <w:r>
        <w:rPr>
          <w:rStyle w:val="ac"/>
          <w:rtl/>
        </w:rPr>
        <w:footnoteRef/>
      </w:r>
      <w:r>
        <w:rPr>
          <w:rtl/>
        </w:rPr>
        <w:t xml:space="preserve">ואילו </w:t>
      </w:r>
      <w:r>
        <w:rPr>
          <w:b/>
          <w:bCs/>
          <w:rtl/>
        </w:rPr>
        <w:t>תוס'</w:t>
      </w:r>
      <w:r>
        <w:rPr>
          <w:rtl/>
        </w:rPr>
        <w:t xml:space="preserve"> (שם ד"ה אומרים, ויז:) כת' הטעם משום דאין קידושין מפקיעין זיקה. [ולכאו' סתרי דבריהם].</w:t>
      </w:r>
    </w:p>
  </w:footnote>
  <w:footnote w:id="2425">
    <w:p w14:paraId="0BC09658" w14:textId="77777777" w:rsidR="006074A5" w:rsidRDefault="006074A5" w:rsidP="006074A5">
      <w:pPr>
        <w:pStyle w:val="Footnote"/>
        <w:bidi/>
      </w:pPr>
      <w:r>
        <w:rPr>
          <w:rStyle w:val="ac"/>
          <w:rtl/>
        </w:rPr>
        <w:footnoteRef/>
      </w:r>
      <w:r>
        <w:rPr>
          <w:rtl/>
        </w:rPr>
        <w:t>אבל דעת רבה שם דלא דחי.</w:t>
      </w:r>
    </w:p>
  </w:footnote>
  <w:footnote w:id="2426">
    <w:p w14:paraId="76545D05" w14:textId="77777777" w:rsidR="006074A5" w:rsidRDefault="006074A5" w:rsidP="006074A5">
      <w:pPr>
        <w:pStyle w:val="Footnote"/>
        <w:bidi/>
      </w:pPr>
      <w:r>
        <w:rPr>
          <w:rStyle w:val="ac"/>
          <w:rtl/>
        </w:rPr>
        <w:footnoteRef/>
      </w:r>
      <w:r>
        <w:rPr>
          <w:rtl/>
        </w:rPr>
        <w:t>וה</w:t>
      </w:r>
      <w:r>
        <w:rPr>
          <w:b/>
          <w:bCs/>
          <w:rtl/>
        </w:rPr>
        <w:t>רשב"א</w:t>
      </w:r>
      <w:r>
        <w:rPr>
          <w:rtl/>
        </w:rPr>
        <w:t xml:space="preserve"> הק' מה אביי מק', די"ל מתני' כמ"ד יש זיקה. והביא צד דקו' אביי משום דר' עקיבא ס”ל דאין זיקה, דהא אינו מיפר נדריה. ושוב דחה דלמסקנת הגמ' (כט:) הוה משום דאין חייבין סקילה כנערה המאורסה [וע' מש”כ שם].</w:t>
      </w:r>
    </w:p>
  </w:footnote>
  <w:footnote w:id="2427">
    <w:p w14:paraId="1D818BB8" w14:textId="77777777" w:rsidR="006074A5" w:rsidRDefault="006074A5" w:rsidP="006074A5">
      <w:pPr>
        <w:pStyle w:val="Footnote"/>
        <w:bidi/>
      </w:pPr>
      <w:r>
        <w:rPr>
          <w:rStyle w:val="ac"/>
          <w:rtl/>
        </w:rPr>
        <w:footnoteRef/>
      </w:r>
      <w:r>
        <w:rPr>
          <w:rtl/>
        </w:rPr>
        <w:t>וצ"ב דעכ"פ מדרבנן לא פקעי זיקה, ומדרבנן הוה אחות זקוקתו. ובפשוטו י"ל דלא החמירו בזיקה דרבנן. ועיל"פ דאף מדרבנן ליכא זיקה, אלא דאסורה משום דנראית אחות זקוקתו. ומשום גזירת נראית לא קנסו בדיעבד.</w:t>
      </w:r>
    </w:p>
  </w:footnote>
  <w:footnote w:id="2428">
    <w:p w14:paraId="0DD9D1E9" w14:textId="77777777" w:rsidR="006074A5" w:rsidRDefault="006074A5" w:rsidP="006074A5">
      <w:pPr>
        <w:pStyle w:val="Footnote"/>
        <w:bidi/>
      </w:pPr>
      <w:r>
        <w:rPr>
          <w:rStyle w:val="ac"/>
          <w:rtl/>
        </w:rPr>
        <w:footnoteRef/>
      </w:r>
      <w:r>
        <w:rPr>
          <w:rtl/>
        </w:rPr>
        <w:t>אבל ה</w:t>
      </w:r>
      <w:r>
        <w:rPr>
          <w:b/>
          <w:bCs/>
          <w:rtl/>
        </w:rPr>
        <w:t>רא"ש</w:t>
      </w:r>
      <w:r>
        <w:rPr>
          <w:rtl/>
        </w:rPr>
        <w:t xml:space="preserve"> כתב די"ל דלר' יוחנן רק בדרבנן אמרי' חזרה להיתירא. וב</w:t>
      </w:r>
      <w:r>
        <w:rPr>
          <w:b/>
          <w:bCs/>
          <w:rtl/>
        </w:rPr>
        <w:t>רשב"א</w:t>
      </w:r>
      <w:r>
        <w:rPr>
          <w:rtl/>
        </w:rPr>
        <w:t xml:space="preserve"> מבואר דאין מקום לחלק בזה [וע”ע בסמוך].</w:t>
      </w:r>
    </w:p>
  </w:footnote>
  <w:footnote w:id="2429">
    <w:p w14:paraId="785696BB" w14:textId="77777777" w:rsidR="006074A5" w:rsidRDefault="006074A5" w:rsidP="006074A5">
      <w:pPr>
        <w:pStyle w:val="Footnote"/>
        <w:bidi/>
      </w:pPr>
      <w:r>
        <w:rPr>
          <w:rStyle w:val="ac"/>
          <w:rtl/>
        </w:rPr>
        <w:footnoteRef/>
      </w:r>
      <w:r>
        <w:rPr>
          <w:rtl/>
        </w:rPr>
        <w:t>וב</w:t>
      </w:r>
      <w:r>
        <w:rPr>
          <w:b/>
          <w:bCs/>
          <w:rtl/>
        </w:rPr>
        <w:t xml:space="preserve">חי' ר' ראובן </w:t>
      </w:r>
      <w:r>
        <w:rPr>
          <w:rtl/>
        </w:rPr>
        <w:t>הביא מדברי ה</w:t>
      </w:r>
      <w:r>
        <w:rPr>
          <w:b/>
          <w:bCs/>
          <w:rtl/>
        </w:rPr>
        <w:t>שואל</w:t>
      </w:r>
      <w:r>
        <w:rPr>
          <w:rtl/>
        </w:rPr>
        <w:t xml:space="preserve"> ב</w:t>
      </w:r>
      <w:r>
        <w:rPr>
          <w:b/>
          <w:bCs/>
          <w:rtl/>
        </w:rPr>
        <w:t>שו"ת הרשב"א</w:t>
      </w:r>
      <w:r>
        <w:rPr>
          <w:rtl/>
        </w:rPr>
        <w:t xml:space="preserve"> (ו כה, הו' לעיל ח.) דערוה לאחר נפילה פטרה לצרתה, וע"כ היינו משום דחל פטור וחוזר איסור אשת אח. דאל"כ מה איסור שייך בצרה. ודייק דהרשב"א חלק דלא נאמר 'דין לצרור' [עכ"פ כלפי הצרה] לאחר נפילה. אבל במה דיש איסור אשת אח בערוה הודה לדבריו.</w:t>
      </w:r>
    </w:p>
  </w:footnote>
  <w:footnote w:id="2430">
    <w:p w14:paraId="2CE181E4" w14:textId="77777777" w:rsidR="006074A5" w:rsidRDefault="006074A5" w:rsidP="006074A5">
      <w:pPr>
        <w:pStyle w:val="Footnote"/>
        <w:bidi/>
      </w:pPr>
      <w:r>
        <w:rPr>
          <w:rStyle w:val="ac"/>
          <w:rtl/>
        </w:rPr>
        <w:footnoteRef/>
      </w:r>
      <w:r>
        <w:rPr>
          <w:rtl/>
        </w:rPr>
        <w:t>אך ה</w:t>
      </w:r>
      <w:r>
        <w:rPr>
          <w:b/>
          <w:bCs/>
          <w:rtl/>
        </w:rPr>
        <w:t>פוסקים</w:t>
      </w:r>
      <w:r>
        <w:rPr>
          <w:rtl/>
        </w:rPr>
        <w:t xml:space="preserve"> נקטו להלכה דיש זיקה. וקי"ל הותרה ונאסרה חוזרת להיתר. [ודלא כסברת הגאונים].</w:t>
      </w:r>
    </w:p>
  </w:footnote>
  <w:footnote w:id="2431">
    <w:p w14:paraId="6240C857" w14:textId="77777777" w:rsidR="006074A5" w:rsidRDefault="006074A5" w:rsidP="006074A5">
      <w:pPr>
        <w:pStyle w:val="Footnote"/>
        <w:bidi/>
      </w:pPr>
      <w:r>
        <w:rPr>
          <w:rStyle w:val="ac"/>
          <w:rtl/>
        </w:rPr>
        <w:footnoteRef/>
      </w:r>
      <w:r>
        <w:rPr>
          <w:rtl/>
        </w:rPr>
        <w:t>[ונאסרה ודרכי נועם הוה ב' גדרים, ודלא כתוס' לעיל ב.].</w:t>
      </w:r>
    </w:p>
  </w:footnote>
  <w:footnote w:id="2432">
    <w:p w14:paraId="6A529A81" w14:textId="77777777" w:rsidR="006074A5" w:rsidRDefault="006074A5" w:rsidP="006074A5">
      <w:pPr>
        <w:pStyle w:val="Footnote"/>
        <w:bidi/>
      </w:pPr>
      <w:r>
        <w:rPr>
          <w:rStyle w:val="ac"/>
          <w:rtl/>
        </w:rPr>
        <w:footnoteRef/>
      </w:r>
      <w:r>
        <w:rPr>
          <w:rtl/>
        </w:rPr>
        <w:t>ועי"ש דכתב כמה אופנים, דאפשר דשייך בזה שליחותייהו [ותהני לה החליצה].</w:t>
      </w:r>
    </w:p>
  </w:footnote>
  <w:footnote w:id="2433">
    <w:p w14:paraId="7DFE2C17" w14:textId="77777777" w:rsidR="006074A5" w:rsidRDefault="006074A5" w:rsidP="006074A5">
      <w:pPr>
        <w:pStyle w:val="Footnote"/>
        <w:bidi/>
      </w:pPr>
      <w:r>
        <w:rPr>
          <w:rStyle w:val="ac"/>
          <w:rtl/>
        </w:rPr>
        <w:footnoteRef/>
      </w:r>
      <w:r>
        <w:rPr>
          <w:rtl/>
        </w:rPr>
        <w:t>[ודלא כתוס' (לעיל ב.) דהכל א'].</w:t>
      </w:r>
    </w:p>
  </w:footnote>
  <w:footnote w:id="2434">
    <w:p w14:paraId="1AEE5768" w14:textId="77777777" w:rsidR="006074A5" w:rsidRDefault="006074A5" w:rsidP="006074A5">
      <w:pPr>
        <w:pStyle w:val="Footnote"/>
        <w:bidi/>
      </w:pPr>
      <w:r>
        <w:rPr>
          <w:rStyle w:val="ac"/>
          <w:rtl/>
        </w:rPr>
        <w:footnoteRef/>
      </w:r>
      <w:r>
        <w:rPr>
          <w:rtl/>
        </w:rPr>
        <w:t>[וצ"ב דלפ"ז הרשב"א הקשה כסברת הגמ', ואינה קושיה בפנ"ע. וצ"ל דכוונתו להוכיח מקרא דדרכי נועם דיש בזה חסרון נאסרה].</w:t>
      </w:r>
    </w:p>
  </w:footnote>
  <w:footnote w:id="2435">
    <w:p w14:paraId="449BFDBC" w14:textId="77777777" w:rsidR="006074A5" w:rsidRDefault="006074A5" w:rsidP="006074A5">
      <w:pPr>
        <w:pStyle w:val="Footnote"/>
        <w:bidi/>
      </w:pPr>
      <w:r>
        <w:rPr>
          <w:rStyle w:val="ac"/>
          <w:rtl/>
        </w:rPr>
        <w:footnoteRef/>
      </w:r>
      <w:r>
        <w:rPr>
          <w:rtl/>
        </w:rPr>
        <w:t>וצ"ב בהיו לו בנים ומתו (לקמן פז:) דמותרת משום דרכי נועם, נימא דנהי דאינה זקוקה לו, מ"מ מותרת לו. ומשמע בכל מקום דהוה בגדר אשת אח שיש לו בנים. וצריך לחלק דהתם לא הותר מעולם ליבום, אבל הכא הותרה איסור אשת אח בשעת נפילה. ואף אח"כ אינו חוזר להחשב אשת אח שיש לו בנים.</w:t>
      </w:r>
    </w:p>
  </w:footnote>
  <w:footnote w:id="2436">
    <w:p w14:paraId="2F61DDAE" w14:textId="77777777" w:rsidR="006074A5" w:rsidRDefault="006074A5" w:rsidP="006074A5">
      <w:pPr>
        <w:pStyle w:val="Footnote"/>
        <w:bidi/>
      </w:pPr>
      <w:r>
        <w:rPr>
          <w:rStyle w:val="ac"/>
          <w:rtl/>
        </w:rPr>
        <w:footnoteRef/>
      </w:r>
      <w:r>
        <w:rPr>
          <w:rtl/>
        </w:rPr>
        <w:t>וה</w:t>
      </w:r>
      <w:r>
        <w:rPr>
          <w:b/>
          <w:bCs/>
          <w:rtl/>
        </w:rPr>
        <w:t>אחיעזר</w:t>
      </w:r>
      <w:r>
        <w:rPr>
          <w:rtl/>
        </w:rPr>
        <w:t xml:space="preserve"> (א לד) הקשה א"כ צריך קידושין גמורים.</w:t>
      </w:r>
    </w:p>
  </w:footnote>
  <w:footnote w:id="2437">
    <w:p w14:paraId="58822185" w14:textId="77777777" w:rsidR="006074A5" w:rsidRDefault="006074A5" w:rsidP="006074A5">
      <w:pPr>
        <w:pStyle w:val="Footnote"/>
        <w:bidi/>
      </w:pPr>
      <w:r>
        <w:rPr>
          <w:rStyle w:val="ac"/>
          <w:rtl/>
        </w:rPr>
        <w:footnoteRef/>
      </w:r>
      <w:r>
        <w:rPr>
          <w:rtl/>
        </w:rPr>
        <w:t>וב</w:t>
      </w:r>
      <w:r>
        <w:rPr>
          <w:b/>
          <w:bCs/>
          <w:rtl/>
        </w:rPr>
        <w:t>חי' ר' שמואל</w:t>
      </w:r>
      <w:r>
        <w:rPr>
          <w:rtl/>
        </w:rPr>
        <w:t xml:space="preserve"> חידש [בדעת הרמב"ם] דאף בשעה שנעשית ערוה צריכה חליצה [מדאורייתא], ואף דיש פטור מיבום [אף בערוה לאחר נפילה]. מ"מ צריכה חליצה [ואסורה לשוק] מחמת הזיקה, דהוי כקנויה לו במקצת. ומשום הכי ל”ש בזה דרכי נועם. [והרשב"א האריך להוכיח שפטורה לגמרי. וע”ע אחרונים].</w:t>
      </w:r>
    </w:p>
  </w:footnote>
  <w:footnote w:id="2438">
    <w:p w14:paraId="134CC5D5" w14:textId="77777777" w:rsidR="006074A5" w:rsidRDefault="006074A5" w:rsidP="006074A5">
      <w:pPr>
        <w:pStyle w:val="Footnote"/>
        <w:bidi/>
      </w:pPr>
      <w:r>
        <w:rPr>
          <w:rStyle w:val="ac"/>
          <w:rtl/>
        </w:rPr>
        <w:footnoteRef/>
      </w:r>
      <w:r>
        <w:rPr>
          <w:rtl/>
        </w:rPr>
        <w:t>ועוד כתב דאפשר דלרמב"ם בעי חליצה לפוטרה כשנעשית ערוה אח"כ. [אבל לא מצאנו צד כזה בראשונים].</w:t>
      </w:r>
    </w:p>
  </w:footnote>
  <w:footnote w:id="2439">
    <w:p w14:paraId="034E400B" w14:textId="77777777" w:rsidR="006074A5" w:rsidRDefault="006074A5" w:rsidP="006074A5">
      <w:pPr>
        <w:pStyle w:val="Footnote"/>
        <w:bidi/>
      </w:pPr>
      <w:r>
        <w:rPr>
          <w:rStyle w:val="ac"/>
          <w:rtl/>
        </w:rPr>
        <w:footnoteRef/>
      </w:r>
      <w:r>
        <w:rPr>
          <w:rtl/>
        </w:rPr>
        <w:t>[וכ"מ מלשון ה</w:t>
      </w:r>
      <w:r>
        <w:rPr>
          <w:b/>
          <w:bCs/>
          <w:rtl/>
        </w:rPr>
        <w:t>רמב"ם</w:t>
      </w:r>
      <w:r>
        <w:rPr>
          <w:rtl/>
        </w:rPr>
        <w:t xml:space="preserve"> א יב].</w:t>
      </w:r>
    </w:p>
  </w:footnote>
  <w:footnote w:id="2440">
    <w:p w14:paraId="6BFB9A4B" w14:textId="77777777" w:rsidR="006074A5" w:rsidRDefault="006074A5" w:rsidP="006074A5">
      <w:pPr>
        <w:pStyle w:val="Footnote"/>
        <w:bidi/>
      </w:pPr>
      <w:r>
        <w:rPr>
          <w:rStyle w:val="ac"/>
          <w:rtl/>
        </w:rPr>
        <w:footnoteRef/>
      </w:r>
      <w:r>
        <w:rPr>
          <w:rtl/>
        </w:rPr>
        <w:t>וסברת 'מי איכא מידי דמעיקרא היתה מותרת' הוה הוכחה דצריך מתיר כלפי כל האחים, וגדר שליחותייהו.</w:t>
      </w:r>
    </w:p>
  </w:footnote>
  <w:footnote w:id="2441">
    <w:p w14:paraId="2E5B2736" w14:textId="77777777" w:rsidR="006074A5" w:rsidRDefault="006074A5" w:rsidP="006074A5">
      <w:pPr>
        <w:pStyle w:val="Footnote"/>
        <w:bidi/>
      </w:pPr>
      <w:r>
        <w:rPr>
          <w:rStyle w:val="ac"/>
          <w:rtl/>
        </w:rPr>
        <w:footnoteRef/>
      </w:r>
      <w:r>
        <w:rPr>
          <w:rtl/>
        </w:rPr>
        <w:t>ואף כשקידש אחותה, וחייב עליה באיסור אחות אשה. ומדאורייתא פטורה מיבום וחליצה, אבל אינו חוזר עליו איסור אשת אח [לרב לר' חנינא].</w:t>
      </w:r>
    </w:p>
  </w:footnote>
  <w:footnote w:id="2442">
    <w:p w14:paraId="79FC05AD" w14:textId="77777777" w:rsidR="006074A5" w:rsidRDefault="006074A5" w:rsidP="006074A5">
      <w:pPr>
        <w:pStyle w:val="Footnote"/>
        <w:bidi/>
      </w:pPr>
      <w:r>
        <w:rPr>
          <w:rStyle w:val="ac"/>
          <w:rtl/>
        </w:rPr>
        <w:footnoteRef/>
      </w:r>
      <w:r>
        <w:rPr>
          <w:rtl/>
        </w:rPr>
        <w:t>אמנם ב</w:t>
      </w:r>
      <w:r>
        <w:rPr>
          <w:b/>
          <w:bCs/>
          <w:rtl/>
        </w:rPr>
        <w:t>חי' ר' שמעון</w:t>
      </w:r>
      <w:r>
        <w:rPr>
          <w:rtl/>
        </w:rPr>
        <w:t xml:space="preserve"> (לט) חידש דאף לדברי הרשב”א היכא דיש זיקה, עי”ז יש איסור אשת אח. והותר רק מגדרי היבום. ודוקא באופן שפקע הזיקה שייך איסור אשת אח.</w:t>
      </w:r>
    </w:p>
    <w:p w14:paraId="5472AD7D" w14:textId="77777777" w:rsidR="006074A5" w:rsidRDefault="006074A5" w:rsidP="006074A5">
      <w:pPr>
        <w:pStyle w:val="Footnote"/>
        <w:bidi/>
      </w:pPr>
      <w:r>
        <w:rPr>
          <w:rtl/>
        </w:rPr>
        <w:tab/>
        <w:t>ועוד שמעתי דאף לדעת הרשב"א ילפי' הך היתר מדגלי בלא יבנה שאין בו איסור אשת אח. היתר זה חל משעת נפילה. וחל היתר כלפי אשת אח, אבל במצב שעומד ליבום לא חל היתר.</w:t>
      </w:r>
    </w:p>
  </w:footnote>
  <w:footnote w:id="2443">
    <w:p w14:paraId="4E768720" w14:textId="77777777" w:rsidR="006074A5" w:rsidRDefault="006074A5" w:rsidP="006074A5">
      <w:pPr>
        <w:pStyle w:val="Footnote"/>
        <w:bidi/>
      </w:pPr>
      <w:r>
        <w:rPr>
          <w:rStyle w:val="ac"/>
          <w:rtl/>
        </w:rPr>
        <w:footnoteRef/>
      </w:r>
      <w:r>
        <w:rPr>
          <w:rtl/>
        </w:rPr>
        <w:t>ולדעת אבא שאול הותר רק ע"י קיום המצווה, והיכא דלא נתכוונו למצווה קאי באיסור אשת אח.</w:t>
      </w:r>
    </w:p>
  </w:footnote>
  <w:footnote w:id="2444">
    <w:p w14:paraId="342AB3FD" w14:textId="77777777" w:rsidR="006074A5" w:rsidRDefault="006074A5" w:rsidP="006074A5">
      <w:pPr>
        <w:pStyle w:val="Footnote"/>
        <w:bidi/>
      </w:pPr>
      <w:r>
        <w:rPr>
          <w:rStyle w:val="ac"/>
          <w:rtl/>
        </w:rPr>
        <w:footnoteRef/>
      </w:r>
      <w:r>
        <w:rPr>
          <w:rtl/>
        </w:rPr>
        <w:t>וה</w:t>
      </w:r>
      <w:r>
        <w:rPr>
          <w:b/>
          <w:bCs/>
          <w:rtl/>
        </w:rPr>
        <w:t>קובה"ע</w:t>
      </w:r>
      <w:r>
        <w:rPr>
          <w:rtl/>
        </w:rPr>
        <w:t xml:space="preserve"> (ו י) דחה דכוונת רש"י דנחשבת ערוה כלפי תפיסת קידושין, אבל כלפי איסור ביאה הוה היתר. וכתב די"ל דאף הרשב"א יודה לזה. [ויל"ד לפ"ז אף בסוגיין דהותרה ונאסרה והותרה מותרת לו, אבל לא יתפוס קידושין. וא”כ עכ”פ תאסר עליו משום פנויה].</w:t>
      </w:r>
    </w:p>
  </w:footnote>
  <w:footnote w:id="2445">
    <w:p w14:paraId="6547B0D2" w14:textId="77777777" w:rsidR="006074A5" w:rsidRDefault="006074A5" w:rsidP="006074A5">
      <w:pPr>
        <w:pStyle w:val="Footnote"/>
        <w:bidi/>
      </w:pPr>
      <w:r>
        <w:rPr>
          <w:rStyle w:val="ac"/>
          <w:rtl/>
        </w:rPr>
        <w:footnoteRef/>
      </w:r>
      <w:r>
        <w:rPr>
          <w:rtl/>
        </w:rPr>
        <w:t>ו</w:t>
      </w:r>
      <w:r>
        <w:rPr>
          <w:b/>
          <w:bCs/>
          <w:rtl/>
        </w:rPr>
        <w:t>תוס</w:t>
      </w:r>
      <w:r>
        <w:rPr>
          <w:rtl/>
        </w:rPr>
        <w:t>' (לעיל י:) כת' דלאחר חליצת הא' הותר איסור אשת אח רק ע”י האיסור לא יבנה.</w:t>
      </w:r>
    </w:p>
  </w:footnote>
  <w:footnote w:id="2446">
    <w:p w14:paraId="0A57662C" w14:textId="77777777" w:rsidR="006074A5" w:rsidRDefault="006074A5" w:rsidP="006074A5">
      <w:pPr>
        <w:pStyle w:val="Footnote"/>
        <w:bidi/>
      </w:pPr>
      <w:r>
        <w:rPr>
          <w:rStyle w:val="ac"/>
          <w:rtl/>
        </w:rPr>
        <w:footnoteRef/>
      </w:r>
      <w:r>
        <w:rPr>
          <w:rtl/>
        </w:rPr>
        <w:t>ויש שדנו דאף דפטורה מיבום כלפיו, מ"מ כשנושאה יש בזה הקמת שם [עכ"פ כמו יבום דקודם מתן תורה]. ומש"ה ל"ש בזה איסור יבמה לשוק. וע"ד הא דחלץ וחזר וקידש (לעיל יא.), אף דעובר משום לא יבנה [ולא חשיב 'יבום'], אפ"ה מהני להחשב מצאה בהיתר [כלפי אשת אח שלא מעולמי שנולד אח”כ].</w:t>
      </w:r>
    </w:p>
  </w:footnote>
  <w:footnote w:id="2447">
    <w:p w14:paraId="55F75F74" w14:textId="77777777" w:rsidR="006074A5" w:rsidRDefault="006074A5" w:rsidP="006074A5">
      <w:pPr>
        <w:pStyle w:val="Footnote"/>
        <w:bidi/>
      </w:pPr>
      <w:r>
        <w:rPr>
          <w:rStyle w:val="ac"/>
          <w:rtl/>
        </w:rPr>
        <w:footnoteRef/>
      </w:r>
      <w:r>
        <w:rPr>
          <w:rtl/>
        </w:rPr>
        <w:t>ויש לדחות דנהי דהותרה בשעת נפילה, ע"י חליצה לצרה נתברר דאינה זקוקה לו, וחוזרת לאיסור אשת אח. [משא"כ היכא דנעשית ערוה, דלא הוה בירור].</w:t>
      </w:r>
    </w:p>
  </w:footnote>
  <w:footnote w:id="2448">
    <w:p w14:paraId="0E15CB32" w14:textId="77777777" w:rsidR="006074A5" w:rsidRDefault="006074A5" w:rsidP="006074A5">
      <w:pPr>
        <w:pStyle w:val="Footnote"/>
        <w:bidi/>
      </w:pPr>
      <w:r>
        <w:rPr>
          <w:rStyle w:val="ac"/>
          <w:rtl/>
        </w:rPr>
        <w:footnoteRef/>
      </w:r>
      <w:r>
        <w:rPr>
          <w:rtl/>
        </w:rPr>
        <w:t xml:space="preserve">וע"ע </w:t>
      </w:r>
      <w:r>
        <w:rPr>
          <w:b/>
          <w:bCs/>
          <w:rtl/>
        </w:rPr>
        <w:t>תו"י</w:t>
      </w:r>
      <w:r>
        <w:rPr>
          <w:rtl/>
        </w:rPr>
        <w:t xml:space="preserve"> (לעיל ב. ד) דהיכא דיש לה היתר ע"י טבילה קרינן בה יבמה יבא עליה. ולא אמרי' דנאסרה. [אך </w:t>
      </w:r>
      <w:r>
        <w:rPr>
          <w:b/>
          <w:bCs/>
          <w:rtl/>
        </w:rPr>
        <w:t>תוס</w:t>
      </w:r>
      <w:r>
        <w:rPr>
          <w:rtl/>
        </w:rPr>
        <w:t>' שם לכאו' פליג]. והאחרונים הקשו ד</w:t>
      </w:r>
      <w:r>
        <w:rPr>
          <w:b/>
          <w:bCs/>
          <w:rtl/>
        </w:rPr>
        <w:t>תוס</w:t>
      </w:r>
      <w:r>
        <w:rPr>
          <w:rtl/>
        </w:rPr>
        <w:t>' (לעיל י. ד"ה לעולם בסו"ד) משמע דאף דבידו לגרשה אמרי' פטור ערוה [ועי"ש שהאחרונים דנו בזה].</w:t>
      </w:r>
    </w:p>
  </w:footnote>
  <w:footnote w:id="2449">
    <w:p w14:paraId="7520FFC6" w14:textId="77777777" w:rsidR="006074A5" w:rsidRDefault="006074A5" w:rsidP="006074A5">
      <w:pPr>
        <w:pStyle w:val="Footnote"/>
        <w:bidi/>
      </w:pPr>
      <w:r>
        <w:rPr>
          <w:rStyle w:val="ac"/>
          <w:rtl/>
        </w:rPr>
        <w:footnoteRef/>
      </w:r>
      <w:r>
        <w:rPr>
          <w:rtl/>
        </w:rPr>
        <w:t>וה</w:t>
      </w:r>
      <w:r>
        <w:rPr>
          <w:b/>
          <w:bCs/>
          <w:rtl/>
        </w:rPr>
        <w:t>אחיעזר</w:t>
      </w:r>
      <w:r>
        <w:rPr>
          <w:rtl/>
        </w:rPr>
        <w:t xml:space="preserve"> (ח"א ב ג) תי' דשמואל קאי מדין לא יבנה [וכקו' הרשב”א ע' בסמוך], ולא כמ”ש רש”י משום אשת אח. ועוד כתב דסברת שמואל מדין דיחוי במצוות, והביא דב</w:t>
      </w:r>
      <w:r>
        <w:rPr>
          <w:b/>
          <w:bCs/>
          <w:rtl/>
        </w:rPr>
        <w:t>שו"ת הרמ"ע מפאנו</w:t>
      </w:r>
      <w:r>
        <w:rPr>
          <w:rtl/>
        </w:rPr>
        <w:t xml:space="preserve"> (קה) דימה את סוגיין (וציין לסוגי' דלעיל כז:, וצ"ע שלא הביא סוגיין) דהותרה ונאסרה לגדרי דיחוי בקרבנות, דנראה ונדחה אינו חוזר ונראה.</w:t>
      </w:r>
    </w:p>
  </w:footnote>
  <w:footnote w:id="2450">
    <w:p w14:paraId="0E013B21" w14:textId="77777777" w:rsidR="006074A5" w:rsidRDefault="006074A5" w:rsidP="006074A5">
      <w:pPr>
        <w:pStyle w:val="Footnote"/>
        <w:bidi/>
      </w:pPr>
      <w:r>
        <w:rPr>
          <w:rStyle w:val="ac"/>
          <w:rtl/>
        </w:rPr>
        <w:footnoteRef/>
      </w:r>
      <w:r>
        <w:rPr>
          <w:rtl/>
        </w:rPr>
        <w:t>ומבואר דנאסרה דנשואין מפילין הוה תוספת בגדר נאסרה. [ולולי דבריו י"ל דר"א חידש דנשואין מפילין, וממילא שייך גדר נאסרה].</w:t>
      </w:r>
    </w:p>
  </w:footnote>
  <w:footnote w:id="2451">
    <w:p w14:paraId="60461F8D" w14:textId="77777777" w:rsidR="006074A5" w:rsidRDefault="006074A5" w:rsidP="006074A5">
      <w:pPr>
        <w:pStyle w:val="Footnote"/>
        <w:bidi/>
      </w:pPr>
      <w:r>
        <w:rPr>
          <w:rStyle w:val="ac"/>
          <w:rtl/>
        </w:rPr>
        <w:footnoteRef/>
      </w:r>
      <w:r>
        <w:rPr>
          <w:rtl/>
        </w:rPr>
        <w:t>אך בגמ' (לקמן קט. בלישנא קמא) אי' דלר"א חולצת משום דנסתפק האם נישואין מפילין. ולכאורה כוונת הרמב"ן דסוגיין פליג אסוגיא דלקמן. וס"ל דגזרו דנישואין מפילין. [והריטב"א כת' דקאי כל"ב].</w:t>
      </w:r>
    </w:p>
  </w:footnote>
  <w:footnote w:id="2452">
    <w:p w14:paraId="7D3557C2" w14:textId="77777777" w:rsidR="006074A5" w:rsidRDefault="006074A5" w:rsidP="006074A5">
      <w:pPr>
        <w:pStyle w:val="Footnote"/>
        <w:bidi/>
      </w:pPr>
      <w:r>
        <w:rPr>
          <w:rStyle w:val="ac"/>
          <w:rtl/>
        </w:rPr>
        <w:footnoteRef/>
      </w:r>
      <w:r>
        <w:rPr>
          <w:rtl/>
        </w:rPr>
        <w:t>[ואף להך לישנא הוה משום נישואין מפילין. אך בפשוטו להך לישנא הוה גזירה בעלמא. ול"ש לנישואין מפילין או נאסרה כלל. וע"כ סוגיין כל"ב].</w:t>
      </w:r>
    </w:p>
  </w:footnote>
  <w:footnote w:id="2453">
    <w:p w14:paraId="0274B121" w14:textId="77777777" w:rsidR="006074A5" w:rsidRDefault="006074A5" w:rsidP="006074A5">
      <w:pPr>
        <w:pStyle w:val="Footnote"/>
        <w:bidi/>
      </w:pPr>
      <w:r>
        <w:rPr>
          <w:rStyle w:val="ac"/>
          <w:rtl/>
        </w:rPr>
        <w:footnoteRef/>
      </w:r>
      <w:r>
        <w:rPr>
          <w:rtl/>
        </w:rPr>
        <w:t>וע' מש"כ (לעיל ל.) בגדר נישואין מפילין. דהאחרונים הוכיחו דהוה רק סיבה לנפילה, אבל ודאי לא חל נפילה ליבום מעיקרא.</w:t>
      </w:r>
    </w:p>
  </w:footnote>
  <w:footnote w:id="2454">
    <w:p w14:paraId="51BBF802" w14:textId="77777777" w:rsidR="006074A5" w:rsidRDefault="006074A5" w:rsidP="006074A5">
      <w:pPr>
        <w:pStyle w:val="Footnote"/>
        <w:bidi/>
      </w:pPr>
      <w:r>
        <w:rPr>
          <w:rStyle w:val="ac"/>
          <w:rtl/>
        </w:rPr>
        <w:footnoteRef/>
      </w:r>
      <w:r>
        <w:rPr>
          <w:rtl/>
        </w:rPr>
        <w:t>וה</w:t>
      </w:r>
      <w:r>
        <w:rPr>
          <w:b/>
          <w:bCs/>
          <w:rtl/>
        </w:rPr>
        <w:t>ריטב"א</w:t>
      </w:r>
      <w:r>
        <w:rPr>
          <w:rtl/>
        </w:rPr>
        <w:t xml:space="preserve"> תי' דרב לא שני ליה בזה. [וצ"ב, דהנידון בסוגיין הוה רק משום הותרה ונאסרה]. ועוד כת' דדייק לישנא דר"א דתני 'הואיל ועמדה'. משמע בכל אופן, אף בהותרה ונאסרה.</w:t>
      </w:r>
    </w:p>
  </w:footnote>
  <w:footnote w:id="2455">
    <w:p w14:paraId="33264756" w14:textId="77777777" w:rsidR="006074A5" w:rsidRDefault="006074A5" w:rsidP="006074A5">
      <w:pPr>
        <w:pStyle w:val="Footnote"/>
        <w:bidi/>
      </w:pPr>
      <w:r>
        <w:rPr>
          <w:rStyle w:val="ac"/>
          <w:rtl/>
        </w:rPr>
        <w:footnoteRef/>
      </w:r>
      <w:r>
        <w:rPr>
          <w:rtl/>
        </w:rPr>
        <w:t>ו</w:t>
      </w:r>
      <w:r>
        <w:rPr>
          <w:b/>
          <w:bCs/>
          <w:rtl/>
        </w:rPr>
        <w:t>רע"א</w:t>
      </w:r>
      <w:r>
        <w:rPr>
          <w:rtl/>
        </w:rPr>
        <w:t xml:space="preserve"> הק' דכיון דר"א ס"ל דאמרי' נאסרה בזיקה, א"כ מדר"א נלמוד לרבנן. דהא לא מצאנו דפליגי בזה [אף דמצאנו דנח' בדין הותרה ונאסרה].</w:t>
      </w:r>
    </w:p>
  </w:footnote>
  <w:footnote w:id="2456">
    <w:p w14:paraId="5E8B7A38" w14:textId="77777777" w:rsidR="006074A5" w:rsidRDefault="006074A5" w:rsidP="006074A5">
      <w:pPr>
        <w:pStyle w:val="Footnote"/>
        <w:bidi/>
      </w:pPr>
      <w:r>
        <w:rPr>
          <w:rStyle w:val="ac"/>
          <w:rtl/>
        </w:rPr>
        <w:footnoteRef/>
      </w:r>
      <w:r>
        <w:rPr>
          <w:rtl/>
        </w:rPr>
        <w:t>[ויל"ד שמא עשה מאמר תוך ג' חדשים שאינו רשאי לייבם. אך י"ל דלמ"ד דאסור לארס תוך צ', אף אינו רשאי לעשות מאמר].</w:t>
      </w:r>
    </w:p>
  </w:footnote>
  <w:footnote w:id="2457">
    <w:p w14:paraId="27DC973A" w14:textId="77777777" w:rsidR="006074A5" w:rsidRDefault="006074A5" w:rsidP="006074A5">
      <w:pPr>
        <w:pStyle w:val="Footnote"/>
        <w:bidi/>
      </w:pPr>
      <w:r>
        <w:rPr>
          <w:rStyle w:val="ac"/>
          <w:rtl/>
        </w:rPr>
        <w:footnoteRef/>
      </w:r>
      <w:r>
        <w:rPr>
          <w:rtl/>
        </w:rPr>
        <w:t>[ולכאו' תוס' כאן קאי לצד דרב ס"ל דלא אמרי' נאסרה בזיקה, אף למ"ד יש זיקה].</w:t>
      </w:r>
    </w:p>
  </w:footnote>
  <w:footnote w:id="2458">
    <w:p w14:paraId="54A26097" w14:textId="77777777" w:rsidR="006074A5" w:rsidRDefault="006074A5" w:rsidP="006074A5">
      <w:pPr>
        <w:pStyle w:val="Footnote"/>
        <w:bidi/>
      </w:pPr>
      <w:r>
        <w:rPr>
          <w:rStyle w:val="ac"/>
          <w:rtl/>
        </w:rPr>
        <w:footnoteRef/>
      </w:r>
      <w:r>
        <w:rPr>
          <w:rtl/>
        </w:rPr>
        <w:t>צ”ב אמאי נקט בן קיימא, דהו"ל שמא מעוברת היא. ומשמע בגמ' דאי מעוברת ואח"כ תפיל מהני. וכר' יוחנן (לעיל לה:).</w:t>
      </w:r>
    </w:p>
  </w:footnote>
  <w:footnote w:id="2459">
    <w:p w14:paraId="7460567F" w14:textId="77777777" w:rsidR="006074A5" w:rsidRDefault="006074A5" w:rsidP="006074A5">
      <w:pPr>
        <w:pStyle w:val="Footnote"/>
        <w:bidi/>
      </w:pPr>
      <w:r>
        <w:rPr>
          <w:rStyle w:val="ac"/>
          <w:rtl/>
        </w:rPr>
        <w:footnoteRef/>
      </w:r>
      <w:r>
        <w:rPr>
          <w:rtl/>
        </w:rPr>
        <w:t>ומבואר דהוה דרשא בפנ"ע, ולא שרבנן החשיבו דאף זה בכלל הדין אינו עולה ליבום.</w:t>
      </w:r>
    </w:p>
  </w:footnote>
  <w:footnote w:id="2460">
    <w:p w14:paraId="2EE33794" w14:textId="77777777" w:rsidR="006074A5" w:rsidRDefault="006074A5" w:rsidP="006074A5">
      <w:pPr>
        <w:pStyle w:val="Footnote"/>
        <w:bidi/>
      </w:pPr>
      <w:r>
        <w:rPr>
          <w:rStyle w:val="ac"/>
          <w:rtl/>
        </w:rPr>
        <w:footnoteRef/>
      </w:r>
      <w:r>
        <w:rPr>
          <w:rtl/>
        </w:rPr>
        <w:t>וכ"מ מ</w:t>
      </w:r>
      <w:r>
        <w:rPr>
          <w:b/>
          <w:bCs/>
          <w:rtl/>
        </w:rPr>
        <w:t>רש”י</w:t>
      </w:r>
      <w:r>
        <w:rPr>
          <w:rtl/>
        </w:rPr>
        <w:t xml:space="preserve"> (ד”ה אלא). וכתי' הב' ב</w:t>
      </w:r>
      <w:r>
        <w:rPr>
          <w:b/>
          <w:bCs/>
          <w:rtl/>
        </w:rPr>
        <w:t>תוס</w:t>
      </w:r>
      <w:r>
        <w:rPr>
          <w:rtl/>
        </w:rPr>
        <w:t>' (לה: ד”ה ונמצאת), וכ”פ ה</w:t>
      </w:r>
      <w:r>
        <w:rPr>
          <w:b/>
          <w:bCs/>
          <w:rtl/>
        </w:rPr>
        <w:t>שו”ע</w:t>
      </w:r>
      <w:r>
        <w:rPr>
          <w:rtl/>
        </w:rPr>
        <w:t xml:space="preserve"> (קסד א).</w:t>
      </w:r>
    </w:p>
  </w:footnote>
  <w:footnote w:id="2461">
    <w:p w14:paraId="5DD802E7" w14:textId="77777777" w:rsidR="006074A5" w:rsidRDefault="006074A5" w:rsidP="006074A5">
      <w:pPr>
        <w:pStyle w:val="Footnote"/>
        <w:bidi/>
      </w:pPr>
      <w:r>
        <w:rPr>
          <w:rStyle w:val="ac"/>
          <w:rtl/>
        </w:rPr>
        <w:footnoteRef/>
      </w:r>
      <w:r>
        <w:rPr>
          <w:rtl/>
        </w:rPr>
        <w:t>ועד"ז אי' (גיטין מב:) גבי ספק עבד, דהגמ' מק' דהוה מעוכב גט שחרור [דהדין שמשחררין זה את זה מספק]. והגמ' דוחה דאם יבא אליהו. וע"ע (לעיל לה:) אם יבא אליהו [גבי מעוברת].</w:t>
      </w:r>
    </w:p>
  </w:footnote>
  <w:footnote w:id="2462">
    <w:p w14:paraId="42F44577" w14:textId="77777777" w:rsidR="006074A5" w:rsidRDefault="006074A5" w:rsidP="006074A5">
      <w:pPr>
        <w:pStyle w:val="Footnote"/>
        <w:bidi/>
      </w:pPr>
      <w:r>
        <w:rPr>
          <w:rStyle w:val="ac"/>
          <w:rtl/>
        </w:rPr>
        <w:footnoteRef/>
      </w:r>
      <w:r>
        <w:rPr>
          <w:rtl/>
        </w:rPr>
        <w:t>ובאופן דא"א להתברר הקילו אף דאינה עולה ליבום, וכמ"ש רש"י.</w:t>
      </w:r>
    </w:p>
  </w:footnote>
  <w:footnote w:id="2463">
    <w:p w14:paraId="3019AF23" w14:textId="77777777" w:rsidR="006074A5" w:rsidRDefault="006074A5" w:rsidP="006074A5">
      <w:pPr>
        <w:pStyle w:val="Footnote"/>
        <w:bidi/>
      </w:pPr>
      <w:r>
        <w:rPr>
          <w:rStyle w:val="ac"/>
          <w:rtl/>
        </w:rPr>
        <w:footnoteRef/>
      </w:r>
      <w:r>
        <w:rPr>
          <w:rtl/>
        </w:rPr>
        <w:t>ולא דמי לקידושין שאינן מסורין לביאה דבעי מבורר בשעת קידושין [וכמ"ש הריטב"א כג].</w:t>
      </w:r>
    </w:p>
  </w:footnote>
  <w:footnote w:id="2464">
    <w:p w14:paraId="6460A170" w14:textId="77777777" w:rsidR="006074A5" w:rsidRDefault="006074A5" w:rsidP="006074A5">
      <w:pPr>
        <w:pStyle w:val="Footnote"/>
        <w:bidi/>
      </w:pPr>
      <w:r>
        <w:rPr>
          <w:rStyle w:val="ac"/>
          <w:rtl/>
        </w:rPr>
        <w:footnoteRef/>
      </w:r>
      <w:r>
        <w:rPr>
          <w:rtl/>
        </w:rPr>
        <w:t>וכעין הא דאי' (פסחים יג.) דלא שורפין תרומה תלויה, שמא יבא אליהו ויטהרנו. ולכאורה הפי' משום דעומד הדבר שאליהו יבא [ולא משום דכלפי שמיא גליא].</w:t>
      </w:r>
    </w:p>
  </w:footnote>
  <w:footnote w:id="2465">
    <w:p w14:paraId="6A1E29B7" w14:textId="77777777" w:rsidR="006074A5" w:rsidRDefault="006074A5" w:rsidP="006074A5">
      <w:pPr>
        <w:pStyle w:val="Footnote"/>
        <w:bidi/>
      </w:pPr>
      <w:r>
        <w:rPr>
          <w:rStyle w:val="ac"/>
          <w:rtl/>
        </w:rPr>
        <w:footnoteRef/>
      </w:r>
      <w:r>
        <w:rPr>
          <w:rtl/>
        </w:rPr>
        <w:t>[לפי' הבית מאיר דסגי במה דראוי כלפי שמיא].</w:t>
      </w:r>
    </w:p>
  </w:footnote>
  <w:footnote w:id="2466">
    <w:p w14:paraId="22333E21" w14:textId="77777777" w:rsidR="006074A5" w:rsidRDefault="006074A5" w:rsidP="006074A5">
      <w:pPr>
        <w:pStyle w:val="Footnote"/>
        <w:bidi/>
      </w:pPr>
      <w:r>
        <w:rPr>
          <w:rStyle w:val="ac"/>
          <w:rtl/>
        </w:rPr>
        <w:footnoteRef/>
      </w:r>
      <w:r>
        <w:rPr>
          <w:rtl/>
        </w:rPr>
        <w:t>וה</w:t>
      </w:r>
      <w:r>
        <w:rPr>
          <w:b/>
          <w:bCs/>
          <w:rtl/>
        </w:rPr>
        <w:t>אחרונים</w:t>
      </w:r>
      <w:r>
        <w:rPr>
          <w:rtl/>
        </w:rPr>
        <w:t xml:space="preserve"> נסתפקו בכמה מקומות האם חסרון בהיכי תמצי נחשב דאינו בר הכי. והביאו דב</w:t>
      </w:r>
      <w:r>
        <w:rPr>
          <w:b/>
          <w:bCs/>
          <w:rtl/>
        </w:rPr>
        <w:t>שו"ת רב פעלים</w:t>
      </w:r>
      <w:r>
        <w:rPr>
          <w:rtl/>
        </w:rPr>
        <w:t xml:space="preserve"> (א או"ח לה) חקר בנתערב לו ב' אתרוגים, וא' אסור לו. האם מהני ליטול את שניהם ממ"נ, או דמחמת התערובת אינו ראוי לאכילה, והביא מסוגיין.</w:t>
      </w:r>
    </w:p>
  </w:footnote>
  <w:footnote w:id="2467">
    <w:p w14:paraId="22E33A01" w14:textId="77777777" w:rsidR="006074A5" w:rsidRDefault="006074A5" w:rsidP="006074A5">
      <w:pPr>
        <w:pStyle w:val="Footnote"/>
        <w:bidi/>
      </w:pPr>
      <w:r>
        <w:rPr>
          <w:rStyle w:val="ac"/>
          <w:rtl/>
        </w:rPr>
        <w:footnoteRef/>
      </w:r>
      <w:r>
        <w:rPr>
          <w:rtl/>
        </w:rPr>
        <w:t>וכ"מ ב</w:t>
      </w:r>
      <w:r>
        <w:rPr>
          <w:b/>
          <w:bCs/>
          <w:rtl/>
        </w:rPr>
        <w:t>רש"י</w:t>
      </w:r>
      <w:r>
        <w:rPr>
          <w:rtl/>
        </w:rPr>
        <w:t xml:space="preserve"> (ד"ה אלא) שהרי כמה נשים שנינו חולצות ולא מתייבמות, היכא דלא אפשר וכו'.</w:t>
      </w:r>
    </w:p>
  </w:footnote>
  <w:footnote w:id="2468">
    <w:p w14:paraId="0234ECD1" w14:textId="77777777" w:rsidR="006074A5" w:rsidRDefault="006074A5" w:rsidP="006074A5">
      <w:pPr>
        <w:pStyle w:val="Footnote"/>
        <w:bidi/>
      </w:pPr>
      <w:r>
        <w:rPr>
          <w:rStyle w:val="ac"/>
          <w:rtl/>
        </w:rPr>
        <w:footnoteRef/>
      </w:r>
      <w:r>
        <w:rPr>
          <w:rtl/>
        </w:rPr>
        <w:t>וה</w:t>
      </w:r>
      <w:r>
        <w:rPr>
          <w:b/>
          <w:bCs/>
          <w:rtl/>
        </w:rPr>
        <w:t>ריטב"א</w:t>
      </w:r>
      <w:r>
        <w:rPr>
          <w:rtl/>
        </w:rPr>
        <w:t xml:space="preserve"> הביא ראיה דהיכא דלא אפשר לא בעי' ראוי ליבום, דומיא דאיסור מצווה ואיסור קדושה.</w:t>
      </w:r>
    </w:p>
  </w:footnote>
  <w:footnote w:id="2469">
    <w:p w14:paraId="436DC719" w14:textId="77777777" w:rsidR="006074A5" w:rsidRDefault="006074A5" w:rsidP="006074A5">
      <w:pPr>
        <w:pStyle w:val="Footnote"/>
        <w:bidi/>
      </w:pPr>
      <w:r>
        <w:rPr>
          <w:rStyle w:val="ac"/>
          <w:rtl/>
        </w:rPr>
        <w:footnoteRef/>
      </w:r>
      <w:r>
        <w:rPr>
          <w:rtl/>
        </w:rPr>
        <w:t>וה</w:t>
      </w:r>
      <w:r>
        <w:rPr>
          <w:b/>
          <w:bCs/>
          <w:rtl/>
        </w:rPr>
        <w:t>תוי"ט</w:t>
      </w:r>
      <w:r>
        <w:rPr>
          <w:rtl/>
        </w:rPr>
        <w:t xml:space="preserve"> כת' דשניות וחייבי לאוין לחוד מדאורייתא ראויה.</w:t>
      </w:r>
    </w:p>
  </w:footnote>
  <w:footnote w:id="2470">
    <w:p w14:paraId="657BD443" w14:textId="77777777" w:rsidR="006074A5" w:rsidRDefault="006074A5" w:rsidP="006074A5">
      <w:pPr>
        <w:pStyle w:val="Footnote"/>
        <w:bidi/>
      </w:pPr>
      <w:r>
        <w:rPr>
          <w:rStyle w:val="ac"/>
          <w:rtl/>
        </w:rPr>
        <w:footnoteRef/>
      </w:r>
      <w:r>
        <w:rPr>
          <w:rtl/>
        </w:rPr>
        <w:t>והביא כעי"ז דביכורים קודם לחג בעינן ראוי לקריאה, אבל ביכורים אחרי החג לא בעי.</w:t>
      </w:r>
    </w:p>
  </w:footnote>
  <w:footnote w:id="2471">
    <w:p w14:paraId="5A8AF870" w14:textId="77777777" w:rsidR="006074A5" w:rsidRDefault="006074A5" w:rsidP="006074A5">
      <w:pPr>
        <w:pStyle w:val="Footnote"/>
        <w:bidi/>
      </w:pPr>
      <w:r>
        <w:rPr>
          <w:rStyle w:val="ac"/>
          <w:rtl/>
        </w:rPr>
        <w:footnoteRef/>
      </w:r>
      <w:r>
        <w:rPr>
          <w:rtl/>
        </w:rPr>
        <w:t>אך מדברי הריטב"א (הנ"ל) משמע דשייך אף באיסור מצווה ואיסור קדושה חסרון דאינו עולה ליבום. [ויש לדחות דהריטב"א קאי באופן דזקוקין ליבום מדאורייתא. וכגון שניות וחייבי לאוין דמדאורייתא עשה דוחה ל”ת].</w:t>
      </w:r>
    </w:p>
  </w:footnote>
  <w:footnote w:id="2472">
    <w:p w14:paraId="2069C252" w14:textId="77777777" w:rsidR="006074A5" w:rsidRDefault="006074A5" w:rsidP="006074A5">
      <w:pPr>
        <w:pStyle w:val="Footnote"/>
        <w:bidi/>
      </w:pPr>
      <w:r>
        <w:rPr>
          <w:rStyle w:val="ac"/>
          <w:rtl/>
        </w:rPr>
        <w:footnoteRef/>
      </w:r>
      <w:r>
        <w:rPr>
          <w:rtl/>
        </w:rPr>
        <w:t>אבל ב</w:t>
      </w:r>
      <w:r>
        <w:rPr>
          <w:b/>
          <w:bCs/>
          <w:rtl/>
        </w:rPr>
        <w:t xml:space="preserve">תשב"ץ </w:t>
      </w:r>
      <w:r>
        <w:rPr>
          <w:rtl/>
        </w:rPr>
        <w:t>(ב רס הו' בקובה”ע ה יג עי”ש) הקשה בנודרת דלא יהני חליצה, כיון דאינו עולה ליבום. וצ"ב כנ"ל מ"ש משאר עשה. וצ"ל דהוא משום דאיסור דבר אחר גורם.</w:t>
      </w:r>
    </w:p>
  </w:footnote>
  <w:footnote w:id="2473">
    <w:p w14:paraId="14509145" w14:textId="77777777" w:rsidR="006074A5" w:rsidRDefault="006074A5" w:rsidP="006074A5">
      <w:pPr>
        <w:pStyle w:val="Footnote"/>
        <w:bidi/>
      </w:pPr>
      <w:r>
        <w:rPr>
          <w:rStyle w:val="ac"/>
          <w:rtl/>
        </w:rPr>
        <w:footnoteRef/>
      </w:r>
      <w:r>
        <w:rPr>
          <w:rtl/>
        </w:rPr>
        <w:t>וכן ה</w:t>
      </w:r>
      <w:r>
        <w:rPr>
          <w:b/>
          <w:bCs/>
          <w:rtl/>
        </w:rPr>
        <w:t>ב"ח</w:t>
      </w:r>
      <w:r>
        <w:rPr>
          <w:rtl/>
        </w:rPr>
        <w:t xml:space="preserve"> (עה"ג) ציין לעיל ג. ע"ד רש"י.</w:t>
      </w:r>
    </w:p>
  </w:footnote>
  <w:footnote w:id="2474">
    <w:p w14:paraId="71E1B07F" w14:textId="77777777" w:rsidR="006074A5" w:rsidRDefault="006074A5" w:rsidP="006074A5">
      <w:pPr>
        <w:pStyle w:val="Footnote"/>
        <w:bidi/>
      </w:pPr>
      <w:r>
        <w:rPr>
          <w:rStyle w:val="ac"/>
          <w:rtl/>
        </w:rPr>
        <w:footnoteRef/>
      </w:r>
      <w:r>
        <w:rPr>
          <w:rtl/>
        </w:rPr>
        <w:t>דאסור לישא אלמנת מלך. וה</w:t>
      </w:r>
      <w:r>
        <w:rPr>
          <w:b/>
          <w:bCs/>
          <w:rtl/>
        </w:rPr>
        <w:t>קובה"ע</w:t>
      </w:r>
      <w:r>
        <w:rPr>
          <w:rtl/>
        </w:rPr>
        <w:t xml:space="preserve"> (ה ו) הקשה דהוה עשה בעלמא, ולדעת הרמב"ם חייבי עשה אם בעלו קנו [דעשה דוחה לאו הבא מכלל עשה. אלא משום גזירה דביאה שניה, וע' מש”כ לעיל כ:]. ותי' דכבוד מלך הוה עשה חיובי [ולא לאו הבא מכלל עשה]. ועוד תי' דעשה דמלך עדיפא משאר מצוות.</w:t>
      </w:r>
    </w:p>
  </w:footnote>
  <w:footnote w:id="2475">
    <w:p w14:paraId="7A3CED52" w14:textId="77777777" w:rsidR="006074A5" w:rsidRDefault="006074A5" w:rsidP="006074A5">
      <w:pPr>
        <w:pStyle w:val="Footnote"/>
        <w:bidi/>
      </w:pPr>
      <w:r>
        <w:rPr>
          <w:rStyle w:val="ac"/>
          <w:rtl/>
        </w:rPr>
        <w:footnoteRef/>
      </w:r>
      <w:r>
        <w:rPr>
          <w:rtl/>
        </w:rPr>
        <w:t xml:space="preserve">אבל </w:t>
      </w:r>
      <w:r>
        <w:rPr>
          <w:b/>
          <w:bCs/>
          <w:rtl/>
        </w:rPr>
        <w:t>רש"י</w:t>
      </w:r>
      <w:r>
        <w:rPr>
          <w:rtl/>
        </w:rPr>
        <w:t xml:space="preserve"> (סנהדרין יט.) כתב דאינה חולצת משום דאסורה לינשא [הו' לעיל לט:], וה</w:t>
      </w:r>
      <w:r>
        <w:rPr>
          <w:b/>
          <w:bCs/>
          <w:rtl/>
        </w:rPr>
        <w:t>כס"מ</w:t>
      </w:r>
      <w:r>
        <w:rPr>
          <w:rtl/>
        </w:rPr>
        <w:t xml:space="preserve"> הביא דברי רש"י על הרמב"ם. וה</w:t>
      </w:r>
      <w:r>
        <w:rPr>
          <w:b/>
          <w:bCs/>
          <w:rtl/>
        </w:rPr>
        <w:t>אור גדול</w:t>
      </w:r>
      <w:r>
        <w:rPr>
          <w:rtl/>
        </w:rPr>
        <w:t xml:space="preserve"> כתב דבעינן לתרוייהו, דכיון דאינה עולה ליבום, א"כ הוה חליצה פסולה [ואף דמהני בדיעבד], וכיון דכן אין מצוה בעצם החליצה אלא כדי לפוטרה ולהתירה לינשא.</w:t>
      </w:r>
    </w:p>
  </w:footnote>
  <w:footnote w:id="2476">
    <w:p w14:paraId="0E69664B" w14:textId="77777777" w:rsidR="006074A5" w:rsidRDefault="006074A5" w:rsidP="006074A5">
      <w:pPr>
        <w:pStyle w:val="Footnote"/>
        <w:bidi/>
      </w:pPr>
      <w:r>
        <w:rPr>
          <w:rStyle w:val="ac"/>
          <w:rtl/>
        </w:rPr>
        <w:footnoteRef/>
      </w:r>
      <w:r>
        <w:rPr>
          <w:rtl/>
        </w:rPr>
        <w:t>וב</w:t>
      </w:r>
      <w:r>
        <w:rPr>
          <w:b/>
          <w:bCs/>
          <w:rtl/>
        </w:rPr>
        <w:t>קובה"ע</w:t>
      </w:r>
      <w:r>
        <w:rPr>
          <w:rtl/>
        </w:rPr>
        <w:t xml:space="preserve"> (ה ח) הקשה מ"ש מבעלת התנאי, דלדעת ה</w:t>
      </w:r>
      <w:r>
        <w:rPr>
          <w:b/>
          <w:bCs/>
          <w:rtl/>
        </w:rPr>
        <w:t>רמב"ן</w:t>
      </w:r>
      <w:r>
        <w:rPr>
          <w:rtl/>
        </w:rPr>
        <w:t xml:space="preserve"> (לעיל ב., הו' לעיל י.) דאינה ראויה ליבום וחליצה, ולכן מותרת לשוק.</w:t>
      </w:r>
    </w:p>
  </w:footnote>
  <w:footnote w:id="2477">
    <w:p w14:paraId="7C85F654" w14:textId="77777777" w:rsidR="006074A5" w:rsidRDefault="006074A5" w:rsidP="006074A5">
      <w:pPr>
        <w:pStyle w:val="Footnote"/>
        <w:bidi/>
      </w:pPr>
      <w:r>
        <w:rPr>
          <w:rStyle w:val="ac"/>
          <w:rtl/>
        </w:rPr>
        <w:footnoteRef/>
      </w:r>
      <w:r>
        <w:rPr>
          <w:rtl/>
        </w:rPr>
        <w:t>והתוי"ט הביא דברי רש"י דכל הנך דחולצות מדאורייתא ראויין ליבום. והוסיף ואיכא נמי דמדאורייתא אינה עולה ליבום, וכגון המשנה דלעיל כג:, והביא תי' הגמ' דאם יבא אליהו. [ולכאו' משמע מדבריו דגבי ספק צרת ערוה (לעיל ל:) הטעם משום דמדאורייתא מתייבמת. ול"מ תי' הגמ' דאם יבא אליהו.</w:t>
      </w:r>
    </w:p>
  </w:footnote>
  <w:footnote w:id="2478">
    <w:p w14:paraId="3A47DF5D" w14:textId="77777777" w:rsidR="006074A5" w:rsidRDefault="006074A5" w:rsidP="006074A5">
      <w:pPr>
        <w:pStyle w:val="Footnote"/>
        <w:bidi/>
      </w:pPr>
      <w:r>
        <w:rPr>
          <w:rStyle w:val="ac"/>
          <w:rtl/>
        </w:rPr>
        <w:footnoteRef/>
      </w:r>
      <w:r>
        <w:rPr>
          <w:rtl/>
        </w:rPr>
        <w:t>וה</w:t>
      </w:r>
      <w:r>
        <w:rPr>
          <w:b/>
          <w:bCs/>
          <w:rtl/>
        </w:rPr>
        <w:t>מהרש"א</w:t>
      </w:r>
      <w:r>
        <w:rPr>
          <w:rtl/>
        </w:rPr>
        <w:t xml:space="preserve"> כת' דרש"י נקט כן משום סברת המקשן.</w:t>
      </w:r>
    </w:p>
  </w:footnote>
  <w:footnote w:id="2479">
    <w:p w14:paraId="7250CD85" w14:textId="77777777" w:rsidR="006074A5" w:rsidRDefault="006074A5" w:rsidP="006074A5">
      <w:pPr>
        <w:pStyle w:val="Footnote"/>
        <w:bidi/>
      </w:pPr>
      <w:r>
        <w:rPr>
          <w:rStyle w:val="ac"/>
          <w:rtl/>
        </w:rPr>
        <w:footnoteRef/>
      </w:r>
      <w:r>
        <w:rPr>
          <w:rtl/>
        </w:rPr>
        <w:t>ותוס' תי' דאדרבה כיון דאינה עומדת להתברר ל"צ שיהא עולה ליבום. [אך רש"י כאן הוסיף משום דמדאורייתא].</w:t>
      </w:r>
    </w:p>
  </w:footnote>
  <w:footnote w:id="2480">
    <w:p w14:paraId="20E9663F" w14:textId="77777777" w:rsidR="006074A5" w:rsidRDefault="006074A5" w:rsidP="006074A5">
      <w:pPr>
        <w:pStyle w:val="Footnote"/>
        <w:bidi/>
      </w:pPr>
      <w:r>
        <w:rPr>
          <w:rStyle w:val="ac"/>
          <w:rtl/>
        </w:rPr>
        <w:footnoteRef/>
      </w:r>
      <w:r>
        <w:rPr>
          <w:rtl/>
        </w:rPr>
        <w:t>[ולפ"ז מבואר דאף המקדש א' מב' אחיות מדאורייתא מהני חזקה על כל א'. א"נ יש לדחות דרש"י קאי אשאר ספיקות].</w:t>
      </w:r>
    </w:p>
  </w:footnote>
  <w:footnote w:id="2481">
    <w:p w14:paraId="35044D56" w14:textId="77777777" w:rsidR="006074A5" w:rsidRDefault="006074A5" w:rsidP="006074A5">
      <w:pPr>
        <w:pStyle w:val="Footnote"/>
        <w:bidi/>
      </w:pPr>
      <w:r>
        <w:rPr>
          <w:rStyle w:val="ac"/>
          <w:rtl/>
        </w:rPr>
        <w:footnoteRef/>
      </w:r>
      <w:r>
        <w:rPr>
          <w:rtl/>
        </w:rPr>
        <w:t>וה</w:t>
      </w:r>
      <w:r>
        <w:rPr>
          <w:b/>
          <w:bCs/>
          <w:rtl/>
        </w:rPr>
        <w:t>חת"ס</w:t>
      </w:r>
      <w:r>
        <w:rPr>
          <w:rtl/>
        </w:rPr>
        <w:t xml:space="preserve"> (עו) דן דלפ"ז אף בדיעבד לא יהני [דהוה כעריות].</w:t>
      </w:r>
    </w:p>
  </w:footnote>
  <w:footnote w:id="2482">
    <w:p w14:paraId="0117BCE7" w14:textId="77777777" w:rsidR="006074A5" w:rsidRDefault="006074A5" w:rsidP="006074A5">
      <w:pPr>
        <w:pStyle w:val="Footnote"/>
        <w:bidi/>
      </w:pPr>
      <w:r>
        <w:rPr>
          <w:rStyle w:val="ac"/>
          <w:rtl/>
        </w:rPr>
        <w:footnoteRef/>
      </w:r>
      <w:r>
        <w:rPr>
          <w:rtl/>
        </w:rPr>
        <w:t xml:space="preserve">ומש"כ </w:t>
      </w:r>
      <w:r>
        <w:rPr>
          <w:b/>
          <w:bCs/>
          <w:rtl/>
        </w:rPr>
        <w:t>תוס</w:t>
      </w:r>
      <w:r>
        <w:rPr>
          <w:rtl/>
        </w:rPr>
        <w:t>' (לעיל לה:) דמהני בדיעבד, י"ל דקאי לר"י.</w:t>
      </w:r>
    </w:p>
  </w:footnote>
  <w:footnote w:id="2483">
    <w:p w14:paraId="06B6A989" w14:textId="77777777" w:rsidR="006074A5" w:rsidRDefault="006074A5" w:rsidP="006074A5">
      <w:pPr>
        <w:pStyle w:val="Footnote"/>
        <w:bidi/>
      </w:pPr>
      <w:r>
        <w:rPr>
          <w:rStyle w:val="ac"/>
          <w:rtl/>
        </w:rPr>
        <w:footnoteRef/>
      </w:r>
      <w:r>
        <w:rPr>
          <w:rtl/>
        </w:rPr>
        <w:t>ונפק"מ לדינא, דאף למ"ד (לעיל לה.) דבגיורת קטנה [ועקרה וכו'] לא גזרו אטו גדולה. אבל גדולה גזרו, ולא יהני בדיקה שאינה מעוברת.</w:t>
      </w:r>
    </w:p>
  </w:footnote>
  <w:footnote w:id="2484">
    <w:p w14:paraId="2892A86A" w14:textId="77777777" w:rsidR="006074A5" w:rsidRDefault="006074A5" w:rsidP="006074A5">
      <w:pPr>
        <w:pStyle w:val="Footnote"/>
        <w:bidi/>
      </w:pPr>
      <w:r>
        <w:rPr>
          <w:rStyle w:val="ac"/>
          <w:rtl/>
        </w:rPr>
        <w:footnoteRef/>
      </w:r>
      <w:r>
        <w:rPr>
          <w:rtl/>
        </w:rPr>
        <w:t>[ליתא ברש"י לפנינו שם. והאחרונים דנו מהיכן למד תוס' כן ממש”כ רש”י דהוה קנס. וצ”ב דתוס' בסו”ד ג”כ נקטו דהוה קנס].</w:t>
      </w:r>
    </w:p>
  </w:footnote>
  <w:footnote w:id="2485">
    <w:p w14:paraId="1D53BFF7" w14:textId="77777777" w:rsidR="006074A5" w:rsidRDefault="006074A5" w:rsidP="006074A5">
      <w:pPr>
        <w:pStyle w:val="Footnote"/>
        <w:bidi/>
      </w:pPr>
      <w:r>
        <w:rPr>
          <w:rStyle w:val="ac"/>
          <w:rtl/>
        </w:rPr>
        <w:footnoteRef/>
      </w:r>
      <w:r>
        <w:rPr>
          <w:rtl/>
        </w:rPr>
        <w:t>וה</w:t>
      </w:r>
      <w:r>
        <w:rPr>
          <w:b/>
          <w:bCs/>
          <w:rtl/>
        </w:rPr>
        <w:t>רא"ש</w:t>
      </w:r>
      <w:r>
        <w:rPr>
          <w:rtl/>
        </w:rPr>
        <w:t xml:space="preserve"> כתב לדחות דכוונת הגמ' בכתובות דעד שברח לא נתחייב במזונות ולא היה מעש"י שלו, ולכן לא חיישי' שאמר צאי מעש”י. אבל כתב דלשון הגמ' בכתובות משמע דאינו משועבד לו כלל.</w:t>
      </w:r>
    </w:p>
  </w:footnote>
  <w:footnote w:id="2486">
    <w:p w14:paraId="30F83392" w14:textId="77777777" w:rsidR="006074A5" w:rsidRDefault="006074A5" w:rsidP="006074A5">
      <w:pPr>
        <w:pStyle w:val="Footnote"/>
        <w:bidi/>
      </w:pPr>
      <w:r>
        <w:rPr>
          <w:rStyle w:val="ac"/>
          <w:rtl/>
        </w:rPr>
        <w:footnoteRef/>
      </w:r>
      <w:r>
        <w:rPr>
          <w:rtl/>
        </w:rPr>
        <w:t>וה</w:t>
      </w:r>
      <w:r>
        <w:rPr>
          <w:b/>
          <w:bCs/>
          <w:rtl/>
        </w:rPr>
        <w:t>שאילתות</w:t>
      </w:r>
      <w:r>
        <w:rPr>
          <w:rtl/>
        </w:rPr>
        <w:t xml:space="preserve"> (קנד) כת' אלא גיורת מ"ט, שמא יוציא עבדים לחירות, א"נ להבחין בין זרע שנזרע בקדושה. ומשמע דגרס כן בסוגיין. וצ"ב הטעם שיוציא עבדים לחירות. ולכאורה כוונתו במשוחררת [וי”ל דגזרו גיורת אטו משוחררת].</w:t>
      </w:r>
    </w:p>
    <w:p w14:paraId="3CDF3926" w14:textId="77777777" w:rsidR="006074A5" w:rsidRDefault="006074A5" w:rsidP="006074A5">
      <w:pPr>
        <w:pStyle w:val="Footnote"/>
        <w:bidi/>
      </w:pPr>
      <w:r>
        <w:rPr>
          <w:rtl/>
        </w:rPr>
        <w:tab/>
        <w:t>וצ"ב דמ"מ היא נשתחררה, א"כ אף אי נתעברה קודם נימא שהעובר נשתחרר עמו. ויש שפי' דס"ל דלא מהני השחרור לעובר שנתעברה מעיקרא, והוה שחרור רק עליה. והולד עבד. [ונח' בזה ריה"ג ורבנן (קידו' סט.) הרי את בת חורין וולדך עבד. דאי נתעברה ונשתחררה הולד עבד. אך לכאו' אף רבנן קאי כששייר בהדיא, אבל בסתמא שחרר כולה. ועכ"פ למ"ד ירך אמו].</w:t>
      </w:r>
    </w:p>
  </w:footnote>
  <w:footnote w:id="2487">
    <w:p w14:paraId="5AA0457A" w14:textId="77777777" w:rsidR="006074A5" w:rsidRDefault="006074A5" w:rsidP="006074A5">
      <w:pPr>
        <w:pStyle w:val="Footnote"/>
        <w:bidi/>
      </w:pPr>
      <w:r>
        <w:rPr>
          <w:rStyle w:val="ac"/>
          <w:rtl/>
        </w:rPr>
        <w:footnoteRef/>
      </w:r>
      <w:r>
        <w:rPr>
          <w:rtl/>
        </w:rPr>
        <w:t>ולכאו' הוה קו' על עצם קו' הגמ'.</w:t>
      </w:r>
    </w:p>
  </w:footnote>
  <w:footnote w:id="2488">
    <w:p w14:paraId="5196333C" w14:textId="77777777" w:rsidR="006074A5" w:rsidRDefault="006074A5" w:rsidP="006074A5">
      <w:pPr>
        <w:pStyle w:val="Footnote"/>
        <w:bidi/>
      </w:pPr>
      <w:r>
        <w:rPr>
          <w:rStyle w:val="ac"/>
          <w:rtl/>
        </w:rPr>
        <w:footnoteRef/>
      </w:r>
      <w:r>
        <w:rPr>
          <w:rtl/>
        </w:rPr>
        <w:t>וה</w:t>
      </w:r>
      <w:r>
        <w:rPr>
          <w:b/>
          <w:bCs/>
          <w:rtl/>
        </w:rPr>
        <w:t>רמב"ם</w:t>
      </w:r>
      <w:r>
        <w:rPr>
          <w:rtl/>
        </w:rPr>
        <w:t xml:space="preserve"> (שם) פסק דלביאה שניה בעינן ג' חדשים משום הבחנה [ב' חדשים לאחר ל' יום של בכיה].</w:t>
      </w:r>
    </w:p>
  </w:footnote>
  <w:footnote w:id="2489">
    <w:p w14:paraId="0A385D71" w14:textId="77777777" w:rsidR="006074A5" w:rsidRDefault="006074A5" w:rsidP="006074A5">
      <w:pPr>
        <w:pStyle w:val="Footnote"/>
        <w:bidi/>
      </w:pPr>
      <w:r>
        <w:rPr>
          <w:rStyle w:val="ac"/>
          <w:rtl/>
        </w:rPr>
        <w:footnoteRef/>
      </w:r>
      <w:r>
        <w:rPr>
          <w:rtl/>
        </w:rPr>
        <w:t>וה</w:t>
      </w:r>
      <w:r>
        <w:rPr>
          <w:b/>
          <w:bCs/>
          <w:rtl/>
        </w:rPr>
        <w:t>משנ"ל</w:t>
      </w:r>
      <w:r>
        <w:rPr>
          <w:rtl/>
        </w:rPr>
        <w:t xml:space="preserve"> כת' דל"ק מידי, דביאה ראשונה התירה תורה דלא דיברה תורה אלא כנגד יצר הרע. [ומש"ה אף חכמים לא אסרו משום הבחנה].</w:t>
      </w:r>
    </w:p>
  </w:footnote>
  <w:footnote w:id="2490">
    <w:p w14:paraId="2F6566F5" w14:textId="77777777" w:rsidR="006074A5" w:rsidRDefault="006074A5" w:rsidP="006074A5">
      <w:pPr>
        <w:pStyle w:val="Footnote"/>
        <w:bidi/>
      </w:pPr>
      <w:r>
        <w:rPr>
          <w:rStyle w:val="ac"/>
          <w:rtl/>
        </w:rPr>
        <w:footnoteRef/>
      </w:r>
      <w:r>
        <w:rPr>
          <w:rtl/>
        </w:rPr>
        <w:t>וצ"ב דאם יסתפקו יאסרו דשניהם מספק. ולא יכשלו בערוה. [וע"כ דהחשש שיסברו של א', או ע"פ הכרעת דין].</w:t>
      </w:r>
    </w:p>
  </w:footnote>
  <w:footnote w:id="2491">
    <w:p w14:paraId="602B939A" w14:textId="77777777" w:rsidR="006074A5" w:rsidRDefault="006074A5" w:rsidP="006074A5">
      <w:pPr>
        <w:pStyle w:val="Footnote"/>
        <w:bidi/>
      </w:pPr>
      <w:r>
        <w:rPr>
          <w:rStyle w:val="ac"/>
          <w:rtl/>
        </w:rPr>
        <w:footnoteRef/>
      </w:r>
      <w:r>
        <w:rPr>
          <w:rtl/>
        </w:rPr>
        <w:t>ודן שם נפק"מ דנחשב עריות לענין דין יהרג ואל יעבור. וכן נפק"מ לענין דבעינן עדות [וע' מה שהו' בזה לעיל לט:].</w:t>
      </w:r>
    </w:p>
  </w:footnote>
  <w:footnote w:id="2492">
    <w:p w14:paraId="02CA698B" w14:textId="77777777" w:rsidR="006074A5" w:rsidRDefault="006074A5" w:rsidP="006074A5">
      <w:pPr>
        <w:pStyle w:val="Footnote"/>
        <w:bidi/>
      </w:pPr>
      <w:r>
        <w:rPr>
          <w:rStyle w:val="ac"/>
          <w:rtl/>
        </w:rPr>
        <w:footnoteRef/>
      </w:r>
      <w:r>
        <w:rPr>
          <w:rtl/>
        </w:rPr>
        <w:t>וכת' דתלי במח' האם קידושין תופסים ביבמה לשוק. א"נ תליא במח' הסוגיות האם הזיקה מחמת היבם, או המשך אישות המת.</w:t>
      </w:r>
    </w:p>
  </w:footnote>
  <w:footnote w:id="2493">
    <w:p w14:paraId="2A3FB0DF" w14:textId="77777777" w:rsidR="006074A5" w:rsidRDefault="006074A5" w:rsidP="006074A5">
      <w:pPr>
        <w:pStyle w:val="Footnote"/>
        <w:bidi/>
      </w:pPr>
      <w:r>
        <w:rPr>
          <w:rStyle w:val="ac"/>
          <w:rtl/>
        </w:rPr>
        <w:footnoteRef/>
      </w:r>
      <w:r>
        <w:rPr>
          <w:rtl/>
        </w:rPr>
        <w:t>וה</w:t>
      </w:r>
      <w:r>
        <w:rPr>
          <w:b/>
          <w:bCs/>
          <w:rtl/>
        </w:rPr>
        <w:t>נוב"י</w:t>
      </w:r>
      <w:r>
        <w:rPr>
          <w:rtl/>
        </w:rPr>
        <w:t xml:space="preserve"> (ק' כג) תי' ע"פ דברי ה</w:t>
      </w:r>
      <w:r>
        <w:rPr>
          <w:b/>
          <w:bCs/>
          <w:rtl/>
        </w:rPr>
        <w:t>ש"ך</w:t>
      </w:r>
      <w:r>
        <w:rPr>
          <w:rtl/>
        </w:rPr>
        <w:t xml:space="preserve"> (יו"ד רסט ו) דמעוברת שנתגיירה אין איסור קרובי האם דאורייתא, אלא דרבנן [והגמ' (לקמן צז:) קאי דוקא בתאומים]. וא"כ אילו היה מאב ואם לא גזרו. אבל הקשה דעכ"פ דעת </w:t>
      </w:r>
      <w:r>
        <w:rPr>
          <w:b/>
          <w:bCs/>
          <w:rtl/>
        </w:rPr>
        <w:t>רש"י</w:t>
      </w:r>
      <w:r>
        <w:rPr>
          <w:rtl/>
        </w:rPr>
        <w:t xml:space="preserve"> (לקמן צח) דאסור בקרובי האם מדאורייתא.</w:t>
      </w:r>
    </w:p>
  </w:footnote>
  <w:footnote w:id="2494">
    <w:p w14:paraId="68711767" w14:textId="77777777" w:rsidR="006074A5" w:rsidRDefault="006074A5" w:rsidP="006074A5">
      <w:pPr>
        <w:pStyle w:val="Footnote"/>
        <w:bidi/>
      </w:pPr>
      <w:r>
        <w:rPr>
          <w:rStyle w:val="ac"/>
          <w:rtl/>
        </w:rPr>
        <w:footnoteRef/>
      </w:r>
      <w:r>
        <w:rPr>
          <w:rtl/>
        </w:rPr>
        <w:t xml:space="preserve">והביא דכעי"ז כתבו </w:t>
      </w:r>
      <w:r>
        <w:rPr>
          <w:b/>
          <w:bCs/>
          <w:rtl/>
        </w:rPr>
        <w:t>תוס</w:t>
      </w:r>
      <w:r>
        <w:rPr>
          <w:rtl/>
        </w:rPr>
        <w:t>' כתובות ב. לענין חשש זונה.</w:t>
      </w:r>
    </w:p>
  </w:footnote>
  <w:footnote w:id="2495">
    <w:p w14:paraId="559BCAB2" w14:textId="77777777" w:rsidR="006074A5" w:rsidRDefault="006074A5" w:rsidP="006074A5">
      <w:pPr>
        <w:pStyle w:val="Footnote"/>
        <w:bidi/>
      </w:pPr>
      <w:r>
        <w:rPr>
          <w:rStyle w:val="ac"/>
          <w:rtl/>
        </w:rPr>
        <w:footnoteRef/>
      </w:r>
      <w:r>
        <w:rPr>
          <w:rtl/>
        </w:rPr>
        <w:t>ו</w:t>
      </w:r>
      <w:r>
        <w:rPr>
          <w:b/>
          <w:bCs/>
          <w:rtl/>
        </w:rPr>
        <w:t xml:space="preserve">רש"י </w:t>
      </w:r>
      <w:r>
        <w:rPr>
          <w:rtl/>
        </w:rPr>
        <w:t>(לג: ד"ה ומפרישין) כתב דיתלו העוברין בבעליהם. והערול"נ דייק דחיישינן דבמזיד יתלו בבעליהם, וע"פ סוגיין.</w:t>
      </w:r>
    </w:p>
  </w:footnote>
  <w:footnote w:id="2496">
    <w:p w14:paraId="54BBE74E" w14:textId="77777777" w:rsidR="006074A5" w:rsidRDefault="006074A5" w:rsidP="006074A5">
      <w:pPr>
        <w:pStyle w:val="Footnote"/>
        <w:bidi/>
      </w:pPr>
      <w:r>
        <w:rPr>
          <w:rStyle w:val="ac"/>
          <w:rtl/>
        </w:rPr>
        <w:footnoteRef/>
      </w:r>
      <w:r>
        <w:rPr>
          <w:rtl/>
        </w:rPr>
        <w:t>ולשון ה</w:t>
      </w:r>
      <w:r>
        <w:rPr>
          <w:b/>
          <w:bCs/>
          <w:rtl/>
        </w:rPr>
        <w:t>תו"י</w:t>
      </w:r>
      <w:r>
        <w:rPr>
          <w:rtl/>
        </w:rPr>
        <w:t xml:space="preserve"> דהוה ספק. ומשמע דנח' האם בעינן דוקא חשש רחוק.</w:t>
      </w:r>
    </w:p>
  </w:footnote>
  <w:footnote w:id="2497">
    <w:p w14:paraId="47A5709B" w14:textId="77777777" w:rsidR="006074A5" w:rsidRDefault="006074A5" w:rsidP="006074A5">
      <w:pPr>
        <w:pStyle w:val="Footnote"/>
        <w:bidi/>
      </w:pPr>
      <w:r>
        <w:rPr>
          <w:rStyle w:val="ac"/>
          <w:rtl/>
        </w:rPr>
        <w:footnoteRef/>
      </w:r>
      <w:r>
        <w:rPr>
          <w:rtl/>
        </w:rPr>
        <w:t>ויל"ד דלפ"ז יהני מחילת הבעל. ולא משמע כן בשום מקום.</w:t>
      </w:r>
    </w:p>
  </w:footnote>
  <w:footnote w:id="2498">
    <w:p w14:paraId="30DDB8E9" w14:textId="77777777" w:rsidR="006074A5" w:rsidRDefault="006074A5" w:rsidP="006074A5">
      <w:pPr>
        <w:pStyle w:val="Footnote"/>
        <w:bidi/>
      </w:pPr>
      <w:r>
        <w:rPr>
          <w:rStyle w:val="ac"/>
          <w:rtl/>
        </w:rPr>
        <w:footnoteRef/>
      </w:r>
      <w:r>
        <w:rPr>
          <w:rtl/>
        </w:rPr>
        <w:t>דהא אפי' שכרו מינקת ומכירה משועבדת להמשיך להניק, וכמ"ש ה</w:t>
      </w:r>
      <w:r>
        <w:rPr>
          <w:b/>
          <w:bCs/>
          <w:rtl/>
        </w:rPr>
        <w:t>רמ"א</w:t>
      </w:r>
      <w:r>
        <w:rPr>
          <w:rtl/>
        </w:rPr>
        <w:t xml:space="preserve"> (פב ה) בשם השלט"ג, אבל מותרת לינשא.</w:t>
      </w:r>
    </w:p>
  </w:footnote>
  <w:footnote w:id="2499">
    <w:p w14:paraId="450B8AE0" w14:textId="77777777" w:rsidR="006074A5" w:rsidRDefault="006074A5" w:rsidP="006074A5">
      <w:pPr>
        <w:pStyle w:val="Footnote"/>
        <w:bidi/>
      </w:pPr>
      <w:r>
        <w:rPr>
          <w:rStyle w:val="ac"/>
          <w:rtl/>
        </w:rPr>
        <w:footnoteRef/>
      </w:r>
      <w:r>
        <w:rPr>
          <w:rtl/>
        </w:rPr>
        <w:t>וכתב דלא מסתבר דר"ש סתם דבריו, ולא פי' הטעם, והראשונים המציאו טעמים שונים. [וצ"ע דכה"ג מצאנו לרוב דהפוסקים הקדמונים סתמו דינים בלא טעמים, או שנתנו ב' טעמים ויש נפק"מ ביניהם, ולא גילה לנו החילוק ביניהם].</w:t>
      </w:r>
    </w:p>
  </w:footnote>
  <w:footnote w:id="2500">
    <w:p w14:paraId="66DB911C" w14:textId="77777777" w:rsidR="006074A5" w:rsidRDefault="006074A5" w:rsidP="006074A5">
      <w:pPr>
        <w:pStyle w:val="Footnote"/>
        <w:bidi/>
      </w:pPr>
      <w:r>
        <w:rPr>
          <w:rStyle w:val="ac"/>
          <w:rtl/>
        </w:rPr>
        <w:footnoteRef/>
      </w:r>
      <w:r>
        <w:rPr>
          <w:rtl/>
        </w:rPr>
        <w:t>וב</w:t>
      </w:r>
      <w:r>
        <w:rPr>
          <w:b/>
          <w:bCs/>
          <w:rtl/>
        </w:rPr>
        <w:t>ס' הישר</w:t>
      </w:r>
      <w:r>
        <w:rPr>
          <w:rtl/>
        </w:rPr>
        <w:t xml:space="preserve"> (תשמח) הביא דברי ר' שמשון דמכירה כופין בבי"ד, אבל כל זמן שבי"ד לא כפו אינה מחוייבת בדבר.</w:t>
      </w:r>
    </w:p>
  </w:footnote>
  <w:footnote w:id="2501">
    <w:p w14:paraId="105AC1EE" w14:textId="77777777" w:rsidR="006074A5" w:rsidRDefault="006074A5" w:rsidP="006074A5">
      <w:pPr>
        <w:pStyle w:val="Footnote"/>
        <w:bidi/>
      </w:pPr>
      <w:r>
        <w:rPr>
          <w:rStyle w:val="ac"/>
          <w:rtl/>
        </w:rPr>
        <w:footnoteRef/>
      </w:r>
      <w:r>
        <w:rPr>
          <w:rtl/>
        </w:rPr>
        <w:t>וה</w:t>
      </w:r>
      <w:r>
        <w:rPr>
          <w:b/>
          <w:bCs/>
          <w:rtl/>
        </w:rPr>
        <w:t>תוס' רי"ד</w:t>
      </w:r>
      <w:r>
        <w:rPr>
          <w:rtl/>
        </w:rPr>
        <w:t xml:space="preserve"> (עה"ג כתובות נט:) הביא בזה מח', וכת' הטעם דגרושה ומכירה מינקת בשכר ולא בחינם. [וצ"ב דסוף סוף התינוק זקוק לה, ואינה יכולה להפטר מחיוב זה].</w:t>
      </w:r>
    </w:p>
  </w:footnote>
  <w:footnote w:id="2502">
    <w:p w14:paraId="04CE8A60" w14:textId="77777777" w:rsidR="006074A5" w:rsidRDefault="006074A5" w:rsidP="006074A5">
      <w:pPr>
        <w:pStyle w:val="Footnote"/>
        <w:bidi/>
      </w:pPr>
      <w:r>
        <w:rPr>
          <w:rStyle w:val="ac"/>
          <w:rtl/>
        </w:rPr>
        <w:footnoteRef/>
      </w:r>
      <w:r>
        <w:rPr>
          <w:rtl/>
        </w:rPr>
        <w:t>ע"פ דברי המרדכי (הו' בסמוך), והביא דעד"ז כת' מהר"י מינץ (ה).</w:t>
      </w:r>
    </w:p>
  </w:footnote>
  <w:footnote w:id="2503">
    <w:p w14:paraId="029F4039" w14:textId="77777777" w:rsidR="006074A5" w:rsidRDefault="006074A5" w:rsidP="006074A5">
      <w:pPr>
        <w:pStyle w:val="Footnote"/>
        <w:bidi/>
      </w:pPr>
      <w:r>
        <w:rPr>
          <w:rStyle w:val="ac"/>
          <w:rtl/>
        </w:rPr>
        <w:footnoteRef/>
      </w:r>
      <w:r>
        <w:rPr>
          <w:rtl/>
        </w:rPr>
        <w:t>ולכאורה כוונתו דגדר השעבוד כלפי הבעל שתניק ולא תנשא.</w:t>
      </w:r>
    </w:p>
  </w:footnote>
  <w:footnote w:id="2504">
    <w:p w14:paraId="326F78CA" w14:textId="77777777" w:rsidR="006074A5" w:rsidRDefault="006074A5" w:rsidP="006074A5">
      <w:pPr>
        <w:pStyle w:val="Footnote"/>
        <w:bidi/>
      </w:pPr>
      <w:r>
        <w:rPr>
          <w:rStyle w:val="ac"/>
          <w:rtl/>
        </w:rPr>
        <w:footnoteRef/>
      </w:r>
      <w:r>
        <w:rPr>
          <w:rtl/>
        </w:rPr>
        <w:t>וסיים וצ"ע [בהוליד דרך זנות] האם כופה להניק, דאינה אשתו.</w:t>
      </w:r>
    </w:p>
  </w:footnote>
  <w:footnote w:id="2505">
    <w:p w14:paraId="7979AC0F" w14:textId="77777777" w:rsidR="006074A5" w:rsidRDefault="006074A5" w:rsidP="006074A5">
      <w:pPr>
        <w:pStyle w:val="Footnote"/>
        <w:bidi/>
      </w:pPr>
      <w:r>
        <w:rPr>
          <w:rStyle w:val="ac"/>
          <w:rtl/>
        </w:rPr>
        <w:footnoteRef/>
      </w:r>
      <w:r>
        <w:rPr>
          <w:rtl/>
        </w:rPr>
        <w:t>וכן בתי' הגמ' בתולות היינו מאירוסין. ובעולות מנישואין. [אף דמשכח"ל בעולה מאירוסין, כגון שקידש אלמנה וגרושה ולא כנסה, ומש"ה ל"ש בזה עיקר גזירה הבחנה].</w:t>
      </w:r>
    </w:p>
  </w:footnote>
  <w:footnote w:id="2506">
    <w:p w14:paraId="4BCAA1A7" w14:textId="77777777" w:rsidR="006074A5" w:rsidRDefault="006074A5" w:rsidP="006074A5">
      <w:pPr>
        <w:pStyle w:val="Footnote"/>
        <w:bidi/>
      </w:pPr>
      <w:r>
        <w:rPr>
          <w:rStyle w:val="ac"/>
          <w:rtl/>
        </w:rPr>
        <w:footnoteRef/>
      </w:r>
      <w:r>
        <w:rPr>
          <w:rtl/>
        </w:rPr>
        <w:t>[אך י"ל דכיון דהכניסה לחופה יש לה דין בעולה. וע"ע לקמן נז:].</w:t>
      </w:r>
    </w:p>
  </w:footnote>
  <w:footnote w:id="2507">
    <w:p w14:paraId="37A85437" w14:textId="77777777" w:rsidR="006074A5" w:rsidRDefault="006074A5" w:rsidP="006074A5">
      <w:pPr>
        <w:pStyle w:val="Footnote"/>
        <w:bidi/>
      </w:pPr>
      <w:r>
        <w:rPr>
          <w:rStyle w:val="ac"/>
          <w:rtl/>
        </w:rPr>
        <w:footnoteRef/>
      </w:r>
      <w:r>
        <w:rPr>
          <w:rtl/>
        </w:rPr>
        <w:t>פ</w:t>
      </w:r>
      <w:r>
        <w:rPr>
          <w:b/>
          <w:bCs/>
          <w:rtl/>
        </w:rPr>
        <w:t>רש"י</w:t>
      </w:r>
      <w:r>
        <w:rPr>
          <w:rtl/>
        </w:rPr>
        <w:t xml:space="preserve"> וגם סמוך למיתתו עמדה בבית אביה זמן מרובה. [לכאורה כוונתו דלא נתייחדה עמו ג' חדשים. ואין כאן תוספת חידוש במה שהוא מחמת שהיא רדופה].</w:t>
      </w:r>
    </w:p>
  </w:footnote>
  <w:footnote w:id="2508">
    <w:p w14:paraId="4FB3A5EF" w14:textId="77777777" w:rsidR="006074A5" w:rsidRDefault="006074A5" w:rsidP="006074A5">
      <w:pPr>
        <w:pStyle w:val="Footnote"/>
        <w:bidi/>
      </w:pPr>
      <w:r>
        <w:rPr>
          <w:rStyle w:val="ac"/>
          <w:rtl/>
        </w:rPr>
        <w:footnoteRef/>
      </w:r>
      <w:r>
        <w:rPr>
          <w:rtl/>
        </w:rPr>
        <w:t>ועוד כת' ה</w:t>
      </w:r>
      <w:r>
        <w:rPr>
          <w:b/>
          <w:bCs/>
          <w:rtl/>
        </w:rPr>
        <w:t>מאירי</w:t>
      </w:r>
      <w:r>
        <w:rPr>
          <w:rtl/>
        </w:rPr>
        <w:t xml:space="preserve"> בשם </w:t>
      </w:r>
      <w:r>
        <w:rPr>
          <w:b/>
          <w:bCs/>
          <w:rtl/>
        </w:rPr>
        <w:t xml:space="preserve">י"מ </w:t>
      </w:r>
      <w:r>
        <w:rPr>
          <w:rtl/>
        </w:rPr>
        <w:t>דהכא המח' מרומז אף בכתובות לז.</w:t>
      </w:r>
    </w:p>
  </w:footnote>
  <w:footnote w:id="2509">
    <w:p w14:paraId="39F1A781" w14:textId="77777777" w:rsidR="006074A5" w:rsidRDefault="006074A5" w:rsidP="006074A5">
      <w:pPr>
        <w:pStyle w:val="Footnote"/>
        <w:bidi/>
      </w:pPr>
      <w:r>
        <w:rPr>
          <w:rStyle w:val="ac"/>
          <w:rtl/>
        </w:rPr>
        <w:footnoteRef/>
      </w:r>
      <w:r>
        <w:rPr>
          <w:rtl/>
        </w:rPr>
        <w:t>אך הביא דהא דאי' בהמשך סוגיין סתם במשנה ומח' בברייתא דרבי לא שנאה, הוה רק אליבא דר' אבהו. ואיהו ס"ל דהלכה כסתם משנה. אבל הרבה אמוראים בכ"מ פסקו כמח' בברייתא נגד סתם משנה.</w:t>
      </w:r>
    </w:p>
  </w:footnote>
  <w:footnote w:id="2510">
    <w:p w14:paraId="06B3C600" w14:textId="77777777" w:rsidR="006074A5" w:rsidRDefault="006074A5" w:rsidP="006074A5">
      <w:pPr>
        <w:pStyle w:val="Footnote"/>
        <w:bidi/>
      </w:pPr>
      <w:r>
        <w:rPr>
          <w:rStyle w:val="ac"/>
          <w:rtl/>
        </w:rPr>
        <w:footnoteRef/>
      </w:r>
      <w:r>
        <w:rPr>
          <w:rtl/>
        </w:rPr>
        <w:t>וה</w:t>
      </w:r>
      <w:r>
        <w:rPr>
          <w:b/>
          <w:bCs/>
          <w:rtl/>
        </w:rPr>
        <w:t>רמב"ן</w:t>
      </w:r>
      <w:r>
        <w:rPr>
          <w:rtl/>
        </w:rPr>
        <w:t xml:space="preserve"> הביא כאותה שאמרו (חולין פה.) ראה רבי דבריו של ר"מ ושנאו בלשון חכמים וכו'.</w:t>
      </w:r>
    </w:p>
  </w:footnote>
  <w:footnote w:id="2511">
    <w:p w14:paraId="39BFA213" w14:textId="77777777" w:rsidR="006074A5" w:rsidRDefault="006074A5" w:rsidP="006074A5">
      <w:pPr>
        <w:pStyle w:val="Footnote"/>
        <w:bidi/>
      </w:pPr>
      <w:r>
        <w:rPr>
          <w:rStyle w:val="ac"/>
          <w:rtl/>
        </w:rPr>
        <w:footnoteRef/>
      </w:r>
      <w:r>
        <w:rPr>
          <w:rtl/>
        </w:rPr>
        <w:t>וה</w:t>
      </w:r>
      <w:r>
        <w:rPr>
          <w:b/>
          <w:bCs/>
          <w:rtl/>
        </w:rPr>
        <w:t>רמב"ן</w:t>
      </w:r>
      <w:r>
        <w:rPr>
          <w:rtl/>
        </w:rPr>
        <w:t xml:space="preserve"> כת' דכוונת הגמ' (ב"ב קכב:) להק' אמאי טרח רבי לסתום כוותיה, שא"א לומר דכוונתו לסתום להלכה, כיון דהוה סתם ואח"כ מח' אין הלכה ודאי כסתם.</w:t>
      </w:r>
    </w:p>
  </w:footnote>
  <w:footnote w:id="2512">
    <w:p w14:paraId="07B995F6" w14:textId="77777777" w:rsidR="006074A5" w:rsidRDefault="006074A5" w:rsidP="006074A5">
      <w:pPr>
        <w:pStyle w:val="Footnote"/>
        <w:bidi/>
      </w:pPr>
      <w:r>
        <w:rPr>
          <w:rStyle w:val="ac"/>
          <w:rtl/>
        </w:rPr>
        <w:footnoteRef/>
      </w:r>
      <w:r>
        <w:rPr>
          <w:rtl/>
        </w:rPr>
        <w:t>וה</w:t>
      </w:r>
      <w:r>
        <w:rPr>
          <w:b/>
          <w:bCs/>
          <w:rtl/>
        </w:rPr>
        <w:t xml:space="preserve">מאירי </w:t>
      </w:r>
      <w:r>
        <w:rPr>
          <w:rtl/>
        </w:rPr>
        <w:t>כת' ולמדת שמשנה זו הלכה היא, אע"פ שנאמר בה בסוגיא זו שאינה הלכה. [וצ"ב מנ”ל לפסוק דלא כר' יוחנן ור”ל ור' אבהו דסוגיין].</w:t>
      </w:r>
    </w:p>
  </w:footnote>
  <w:footnote w:id="2513">
    <w:p w14:paraId="75BAB6C9" w14:textId="77777777" w:rsidR="006074A5" w:rsidRDefault="006074A5" w:rsidP="006074A5">
      <w:pPr>
        <w:pStyle w:val="Footnote"/>
        <w:bidi/>
      </w:pPr>
      <w:r>
        <w:rPr>
          <w:rStyle w:val="ac"/>
          <w:rtl/>
        </w:rPr>
        <w:footnoteRef/>
      </w:r>
      <w:r>
        <w:rPr>
          <w:rtl/>
        </w:rPr>
        <w:t>וכ"כ ה</w:t>
      </w:r>
      <w:r>
        <w:rPr>
          <w:b/>
          <w:bCs/>
          <w:rtl/>
        </w:rPr>
        <w:t>ערול"נ</w:t>
      </w:r>
      <w:r>
        <w:rPr>
          <w:rtl/>
        </w:rPr>
        <w:t xml:space="preserve"> וכן </w:t>
      </w:r>
      <w:r>
        <w:rPr>
          <w:b/>
          <w:bCs/>
          <w:rtl/>
        </w:rPr>
        <w:t>תפא"י</w:t>
      </w:r>
      <w:r>
        <w:rPr>
          <w:rtl/>
        </w:rPr>
        <w:t xml:space="preserve"> (כלים שם). אך מדברי </w:t>
      </w:r>
      <w:r>
        <w:rPr>
          <w:b/>
          <w:bCs/>
          <w:rtl/>
        </w:rPr>
        <w:t>הג' הגר"א</w:t>
      </w:r>
      <w:r>
        <w:rPr>
          <w:rtl/>
        </w:rPr>
        <w:t xml:space="preserve"> (שם) מבואר דאיירי דוקא סמוכים זה לזה.</w:t>
      </w:r>
    </w:p>
  </w:footnote>
  <w:footnote w:id="2514">
    <w:p w14:paraId="1703349C" w14:textId="77777777" w:rsidR="006074A5" w:rsidRDefault="006074A5" w:rsidP="006074A5">
      <w:pPr>
        <w:pStyle w:val="Footnote"/>
        <w:bidi/>
      </w:pPr>
      <w:r>
        <w:rPr>
          <w:rStyle w:val="ac"/>
          <w:rtl/>
        </w:rPr>
        <w:footnoteRef/>
      </w:r>
      <w:r>
        <w:rPr>
          <w:rtl/>
        </w:rPr>
        <w:t>ויל"ד אי מסרק של פשתן שונה בצורתו משל צמר [וכ"מ במאירי וקר"א], ואל"כ אמאי לא נימא דמסרק צמר ראוי לשימוש בפשתן.</w:t>
      </w:r>
    </w:p>
  </w:footnote>
  <w:footnote w:id="2515">
    <w:p w14:paraId="7105F440" w14:textId="77777777" w:rsidR="006074A5" w:rsidRDefault="006074A5" w:rsidP="006074A5">
      <w:pPr>
        <w:pStyle w:val="Footnote"/>
        <w:bidi/>
      </w:pPr>
      <w:r>
        <w:rPr>
          <w:rStyle w:val="ac"/>
          <w:rtl/>
        </w:rPr>
        <w:footnoteRef/>
      </w:r>
      <w:r>
        <w:rPr>
          <w:rtl/>
        </w:rPr>
        <w:t>[ויש שדייקו דגידול העובר תלי לפי קביעות החודש, וע"פ דין רוב].</w:t>
      </w:r>
    </w:p>
  </w:footnote>
  <w:footnote w:id="2516">
    <w:p w14:paraId="0C782234" w14:textId="77777777" w:rsidR="006074A5" w:rsidRDefault="006074A5" w:rsidP="006074A5">
      <w:pPr>
        <w:pStyle w:val="Footnote"/>
        <w:bidi/>
      </w:pPr>
      <w:r>
        <w:rPr>
          <w:rStyle w:val="ac"/>
          <w:rtl/>
        </w:rPr>
        <w:footnoteRef/>
      </w:r>
      <w:r>
        <w:rPr>
          <w:rtl/>
        </w:rPr>
        <w:t>אבל ה</w:t>
      </w:r>
      <w:r>
        <w:rPr>
          <w:b/>
          <w:bCs/>
          <w:rtl/>
        </w:rPr>
        <w:t>ערול"נ</w:t>
      </w:r>
      <w:r>
        <w:rPr>
          <w:rtl/>
        </w:rPr>
        <w:t xml:space="preserve"> דייק דר' חנינא בגדול קבע דעיקר זמן המתנה הוה רוב של ראשון ואחרון, ור' חייא בר אבין סמך עליו לענין אירוסין.</w:t>
      </w:r>
    </w:p>
  </w:footnote>
  <w:footnote w:id="2517">
    <w:p w14:paraId="77C4EE8B" w14:textId="77777777" w:rsidR="006074A5" w:rsidRDefault="006074A5" w:rsidP="006074A5">
      <w:pPr>
        <w:pStyle w:val="Footnote"/>
        <w:bidi/>
      </w:pPr>
      <w:r>
        <w:rPr>
          <w:rStyle w:val="ac"/>
          <w:rtl/>
        </w:rPr>
        <w:footnoteRef/>
      </w:r>
      <w:r>
        <w:rPr>
          <w:rtl/>
        </w:rPr>
        <w:t>וב</w:t>
      </w:r>
      <w:r>
        <w:rPr>
          <w:b/>
          <w:bCs/>
          <w:rtl/>
        </w:rPr>
        <w:t>פוסקים</w:t>
      </w:r>
      <w:r>
        <w:rPr>
          <w:rtl/>
        </w:rPr>
        <w:t xml:space="preserve"> מבואר דכ"ד חודש הוה לפי חשבון א' מלא וא' חסר, ולא תלי בקביעות בי"ד בפועל.</w:t>
      </w:r>
    </w:p>
  </w:footnote>
  <w:footnote w:id="2518">
    <w:p w14:paraId="5900398A" w14:textId="77777777" w:rsidR="006074A5" w:rsidRDefault="006074A5" w:rsidP="006074A5">
      <w:pPr>
        <w:pStyle w:val="Footnote"/>
        <w:bidi/>
      </w:pPr>
      <w:r>
        <w:rPr>
          <w:rStyle w:val="ac"/>
          <w:rtl/>
        </w:rPr>
        <w:footnoteRef/>
      </w:r>
      <w:r>
        <w:rPr>
          <w:rtl/>
        </w:rPr>
        <w:t xml:space="preserve">אך </w:t>
      </w:r>
      <w:r>
        <w:rPr>
          <w:b/>
          <w:bCs/>
          <w:rtl/>
        </w:rPr>
        <w:t>תוס</w:t>
      </w:r>
      <w:r>
        <w:rPr>
          <w:rtl/>
        </w:rPr>
        <w:t>' הביאו מה</w:t>
      </w:r>
      <w:r>
        <w:rPr>
          <w:b/>
          <w:bCs/>
          <w:rtl/>
        </w:rPr>
        <w:t>תוספתא</w:t>
      </w:r>
      <w:r>
        <w:rPr>
          <w:rtl/>
        </w:rPr>
        <w:t xml:space="preserve"> (שם ב ב) דכיבוס אסור, וכת' דכוונת התוספתא גיהוץ. [אך רש"י הנ"ל מנה כיבוס וגיהוץ כב'].</w:t>
      </w:r>
    </w:p>
  </w:footnote>
  <w:footnote w:id="2519">
    <w:p w14:paraId="78AC4476" w14:textId="77777777" w:rsidR="006074A5" w:rsidRDefault="006074A5" w:rsidP="006074A5">
      <w:pPr>
        <w:pStyle w:val="Footnote"/>
        <w:bidi/>
      </w:pPr>
      <w:r>
        <w:rPr>
          <w:rStyle w:val="ac"/>
          <w:rtl/>
        </w:rPr>
        <w:footnoteRef/>
      </w:r>
      <w:r>
        <w:rPr>
          <w:rtl/>
        </w:rPr>
        <w:t>ו</w:t>
      </w:r>
      <w:r>
        <w:rPr>
          <w:b/>
          <w:bCs/>
          <w:rtl/>
        </w:rPr>
        <w:t>תוס</w:t>
      </w:r>
      <w:r>
        <w:rPr>
          <w:rtl/>
        </w:rPr>
        <w:t>' כת' דאפ"ה קודם תשעה באב אסור [אף למי שבא ממדינת הים וכו'], דכיון דאיסורו אינו מושך כל כך לא הקילו. [ותוס' כת' דעפ"ז שפיר גרסי' במקום שמותר לספר [וכנ"ל]. ואי"צ למוחקו או ליישבו באשה או בגילוח כל הראש.</w:t>
      </w:r>
    </w:p>
  </w:footnote>
  <w:footnote w:id="2520">
    <w:p w14:paraId="03CB6133" w14:textId="77777777" w:rsidR="006074A5" w:rsidRDefault="006074A5" w:rsidP="006074A5">
      <w:pPr>
        <w:pStyle w:val="Footnote"/>
        <w:bidi/>
      </w:pPr>
      <w:r>
        <w:rPr>
          <w:rStyle w:val="ac"/>
          <w:rtl/>
        </w:rPr>
        <w:footnoteRef/>
      </w:r>
      <w:r>
        <w:rPr>
          <w:rtl/>
        </w:rPr>
        <w:t>וה</w:t>
      </w:r>
      <w:r>
        <w:rPr>
          <w:b/>
          <w:bCs/>
          <w:rtl/>
        </w:rPr>
        <w:t xml:space="preserve">רמב"ן </w:t>
      </w:r>
      <w:r>
        <w:rPr>
          <w:rtl/>
        </w:rPr>
        <w:t>נקט דלדברי הרי"ף אף לענין כיבוס יהא חילוק באשה, ובראשונים מפורש דאין חילוק.</w:t>
      </w:r>
    </w:p>
  </w:footnote>
  <w:footnote w:id="2521">
    <w:p w14:paraId="2C5C9E98" w14:textId="77777777" w:rsidR="006074A5" w:rsidRDefault="006074A5" w:rsidP="006074A5">
      <w:pPr>
        <w:pStyle w:val="Footnote"/>
        <w:bidi/>
      </w:pPr>
      <w:r>
        <w:rPr>
          <w:rStyle w:val="ac"/>
          <w:rtl/>
        </w:rPr>
        <w:footnoteRef/>
      </w:r>
      <w:r>
        <w:rPr>
          <w:rtl/>
        </w:rPr>
        <w:t>אף בלא סעודה, אע"פ שאין בו שמחה.</w:t>
      </w:r>
    </w:p>
  </w:footnote>
  <w:footnote w:id="2522">
    <w:p w14:paraId="783D087A" w14:textId="77777777" w:rsidR="006074A5" w:rsidRDefault="006074A5" w:rsidP="006074A5">
      <w:pPr>
        <w:pStyle w:val="Footnote"/>
        <w:bidi/>
      </w:pPr>
      <w:r>
        <w:rPr>
          <w:rStyle w:val="ac"/>
          <w:rtl/>
        </w:rPr>
        <w:footnoteRef/>
      </w:r>
      <w:r>
        <w:rPr>
          <w:rtl/>
        </w:rPr>
        <w:t>והביא דכיו"ב אמרי' (כתובות ד.) דבאבילות דידה התירו יחוד, ולא באבילות דידיה דשמא יצרו יתגבר עליו.</w:t>
      </w:r>
    </w:p>
  </w:footnote>
  <w:footnote w:id="2523">
    <w:p w14:paraId="587B39AA" w14:textId="77777777" w:rsidR="006074A5" w:rsidRDefault="006074A5" w:rsidP="006074A5">
      <w:pPr>
        <w:pStyle w:val="Footnote"/>
        <w:bidi/>
      </w:pPr>
      <w:r>
        <w:rPr>
          <w:rStyle w:val="ac"/>
          <w:rtl/>
        </w:rPr>
        <w:footnoteRef/>
      </w:r>
      <w:r>
        <w:rPr>
          <w:rtl/>
        </w:rPr>
        <w:t>וה</w:t>
      </w:r>
      <w:r>
        <w:rPr>
          <w:b/>
          <w:bCs/>
          <w:rtl/>
        </w:rPr>
        <w:t>ריטב"א</w:t>
      </w:r>
      <w:r>
        <w:rPr>
          <w:rtl/>
        </w:rPr>
        <w:t xml:space="preserve"> הביא דבסוגיין מבואר דביום ט' באב אסור לארס. ושוב הביא דב</w:t>
      </w:r>
      <w:r>
        <w:rPr>
          <w:b/>
          <w:bCs/>
          <w:rtl/>
        </w:rPr>
        <w:t>ירושלמי</w:t>
      </w:r>
      <w:r>
        <w:rPr>
          <w:rtl/>
        </w:rPr>
        <w:t xml:space="preserve"> מבואר דמותר. והביא דכ”ד המגילת סתרים, וכת' דהפריז על המידה. [והמאירי הביא דאף לדעת הירושלמי לא קיימא למסקנא].</w:t>
      </w:r>
    </w:p>
  </w:footnote>
  <w:footnote w:id="2524">
    <w:p w14:paraId="0A6006A7" w14:textId="77777777" w:rsidR="006074A5" w:rsidRDefault="006074A5" w:rsidP="006074A5">
      <w:pPr>
        <w:pStyle w:val="Footnote"/>
        <w:bidi/>
      </w:pPr>
      <w:r>
        <w:rPr>
          <w:rStyle w:val="ac"/>
          <w:rtl/>
        </w:rPr>
        <w:footnoteRef/>
      </w:r>
      <w:r>
        <w:rPr>
          <w:rtl/>
        </w:rPr>
        <w:t>ולכאורה גדר הדרשא דנחשב כמצווה שבגופו. [ויל"פ קו' התוס' דנילף מהכא דכל המצוות ניבעי בגופן].</w:t>
      </w:r>
    </w:p>
  </w:footnote>
  <w:footnote w:id="2525">
    <w:p w14:paraId="20EBEA9E" w14:textId="77777777" w:rsidR="006074A5" w:rsidRDefault="006074A5" w:rsidP="006074A5">
      <w:pPr>
        <w:pStyle w:val="Footnote"/>
        <w:bidi/>
      </w:pPr>
      <w:r>
        <w:rPr>
          <w:rStyle w:val="ac"/>
          <w:rtl/>
        </w:rPr>
        <w:footnoteRef/>
      </w:r>
      <w:r>
        <w:rPr>
          <w:rtl/>
        </w:rPr>
        <w:t>וה</w:t>
      </w:r>
      <w:r>
        <w:rPr>
          <w:b/>
          <w:bCs/>
          <w:rtl/>
        </w:rPr>
        <w:t>פור"י</w:t>
      </w:r>
      <w:r>
        <w:rPr>
          <w:rtl/>
        </w:rPr>
        <w:t xml:space="preserve"> הביא ד</w:t>
      </w:r>
      <w:r>
        <w:rPr>
          <w:b/>
          <w:bCs/>
          <w:rtl/>
        </w:rPr>
        <w:t>תוס'</w:t>
      </w:r>
      <w:r>
        <w:rPr>
          <w:rtl/>
        </w:rPr>
        <w:t xml:space="preserve"> (שבת קיח:) הביאו בשם ה</w:t>
      </w:r>
      <w:r>
        <w:rPr>
          <w:b/>
          <w:bCs/>
          <w:rtl/>
        </w:rPr>
        <w:t>ירושלמי</w:t>
      </w:r>
      <w:r>
        <w:rPr>
          <w:rtl/>
        </w:rPr>
        <w:t xml:space="preserve"> דר' יוסי ייבם ה' יבמות. וכת' דאפשר דלאחר שגירש או מתה א' מהם ייבם האחרון. [אך בלאו הכי מבואר (שם) שלא קיים בהם מצוות עונה, אלא מצוות יבום. וא"כ לק"מ].</w:t>
      </w:r>
    </w:p>
  </w:footnote>
  <w:footnote w:id="2526">
    <w:p w14:paraId="159480D9" w14:textId="77777777" w:rsidR="006074A5" w:rsidRDefault="006074A5" w:rsidP="006074A5">
      <w:pPr>
        <w:pStyle w:val="Footnote"/>
        <w:bidi/>
      </w:pPr>
      <w:r>
        <w:rPr>
          <w:rStyle w:val="ac"/>
          <w:rtl/>
        </w:rPr>
        <w:footnoteRef/>
      </w:r>
      <w:r>
        <w:rPr>
          <w:rtl/>
        </w:rPr>
        <w:t>וכ"כ ה</w:t>
      </w:r>
      <w:r>
        <w:rPr>
          <w:b/>
          <w:bCs/>
          <w:rtl/>
        </w:rPr>
        <w:t>חזו"א</w:t>
      </w:r>
      <w:r>
        <w:rPr>
          <w:rtl/>
        </w:rPr>
        <w:t xml:space="preserve"> (קכט יג). והביא (שם) מדברי ה</w:t>
      </w:r>
      <w:r>
        <w:rPr>
          <w:b/>
          <w:bCs/>
          <w:rtl/>
        </w:rPr>
        <w:t>ריב"ש</w:t>
      </w:r>
      <w:r>
        <w:rPr>
          <w:rtl/>
        </w:rPr>
        <w:t xml:space="preserve"> האם בכל נשוי יחשב עצה שאינה הוגנת משום שמכניס קטטה, והקש' דמבואר הכא דעד ד' הוה הוגנת. ונסתפק דשמא דוקא ביבמות שלא נשתעבד לראשונים.</w:t>
      </w:r>
    </w:p>
  </w:footnote>
  <w:footnote w:id="2527">
    <w:p w14:paraId="7D1FC950" w14:textId="77777777" w:rsidR="006074A5" w:rsidRDefault="006074A5" w:rsidP="006074A5">
      <w:pPr>
        <w:pStyle w:val="Footnote"/>
        <w:bidi/>
      </w:pPr>
      <w:r>
        <w:rPr>
          <w:rStyle w:val="ac"/>
          <w:rtl/>
        </w:rPr>
        <w:footnoteRef/>
      </w:r>
      <w:r>
        <w:rPr>
          <w:rtl/>
        </w:rPr>
        <w:t>וכמו בחייבי לאוין, דמדאורי' עשה דוחה ל”ת. ואפי' הכי מבואר דחליצה במקום יבום אינה מצוה [ואף דבכה"ג מצות חליצה קודמת].</w:t>
      </w:r>
    </w:p>
  </w:footnote>
  <w:footnote w:id="2528">
    <w:p w14:paraId="477B0304" w14:textId="77777777" w:rsidR="006074A5" w:rsidRDefault="006074A5" w:rsidP="006074A5">
      <w:pPr>
        <w:pStyle w:val="Footnote"/>
        <w:bidi/>
      </w:pPr>
      <w:r>
        <w:rPr>
          <w:rStyle w:val="ac"/>
          <w:rtl/>
        </w:rPr>
        <w:footnoteRef/>
      </w:r>
      <w:r>
        <w:rPr>
          <w:rtl/>
        </w:rPr>
        <w:t>אבל ה</w:t>
      </w:r>
      <w:r>
        <w:rPr>
          <w:b/>
          <w:bCs/>
          <w:rtl/>
        </w:rPr>
        <w:t>פרישה</w:t>
      </w:r>
      <w:r>
        <w:rPr>
          <w:rtl/>
        </w:rPr>
        <w:t xml:space="preserve"> (שם) כתב דילפי' מהא דת"ח שרי ללכת ל' יום, דה"ה כל אדם דאינו ראוי שיבטל ד' פעמים עונתה [אפי' מוחלת].</w:t>
      </w:r>
    </w:p>
  </w:footnote>
  <w:footnote w:id="2529">
    <w:p w14:paraId="552F7B28" w14:textId="77777777" w:rsidR="006074A5" w:rsidRDefault="006074A5" w:rsidP="006074A5">
      <w:pPr>
        <w:pStyle w:val="Footnote"/>
        <w:bidi/>
      </w:pPr>
      <w:r>
        <w:rPr>
          <w:rStyle w:val="ac"/>
          <w:rtl/>
        </w:rPr>
        <w:footnoteRef/>
      </w:r>
      <w:r>
        <w:rPr>
          <w:rtl/>
        </w:rPr>
        <w:t>והוא חידוש, דבפשוטו עצם האישות מחייב חיובי עונה [דהנושא אשה ע"מ שאין לך עלי הוה מתנה עמש"כ בתורה]. א"כ אף אשה שהקנו לו מהשמים, מעכשיו יש בה אישות ממש.</w:t>
      </w:r>
    </w:p>
  </w:footnote>
  <w:footnote w:id="2530">
    <w:p w14:paraId="19948B0B" w14:textId="77777777" w:rsidR="006074A5" w:rsidRDefault="006074A5" w:rsidP="006074A5">
      <w:pPr>
        <w:pStyle w:val="Footnote"/>
        <w:bidi/>
      </w:pPr>
      <w:r>
        <w:rPr>
          <w:rStyle w:val="ac"/>
          <w:rtl/>
        </w:rPr>
        <w:footnoteRef/>
      </w:r>
      <w:r>
        <w:rPr>
          <w:rtl/>
        </w:rPr>
        <w:t>ולפ"ז אם היה נשוי אשה, ונפלה לו יבמה, חייב לאשתו כל ע"ש, וליבמה פעם בחודש.</w:t>
      </w:r>
    </w:p>
  </w:footnote>
  <w:footnote w:id="2531">
    <w:p w14:paraId="72A6F2D8" w14:textId="77777777" w:rsidR="006074A5" w:rsidRDefault="006074A5" w:rsidP="006074A5">
      <w:pPr>
        <w:pStyle w:val="Footnote"/>
        <w:bidi/>
      </w:pPr>
      <w:r>
        <w:rPr>
          <w:rStyle w:val="ac"/>
          <w:rtl/>
        </w:rPr>
        <w:footnoteRef/>
      </w:r>
      <w:r>
        <w:rPr>
          <w:rtl/>
        </w:rPr>
        <w:t>וה</w:t>
      </w:r>
      <w:r>
        <w:rPr>
          <w:b/>
          <w:bCs/>
          <w:rtl/>
        </w:rPr>
        <w:t>ברכ"י</w:t>
      </w:r>
      <w:r>
        <w:rPr>
          <w:rtl/>
        </w:rPr>
        <w:t xml:space="preserve"> (א, הו' ב</w:t>
      </w:r>
      <w:r>
        <w:rPr>
          <w:b/>
          <w:bCs/>
          <w:rtl/>
        </w:rPr>
        <w:t>פתח"ת</w:t>
      </w:r>
      <w:r>
        <w:rPr>
          <w:rtl/>
        </w:rPr>
        <w:t xml:space="preserve"> עו ו) נסתפק מי שיש לו נשים, ומחלה לו א' [פעם א'], האם ממילא חייב לשניה. והדר פשטיה דאינו חייב מדין חיוב עונה, אלא מדין מצוות פריה ורביה.</w:t>
      </w:r>
    </w:p>
  </w:footnote>
  <w:footnote w:id="2532">
    <w:p w14:paraId="09BF3E1C" w14:textId="77777777" w:rsidR="006074A5" w:rsidRDefault="006074A5" w:rsidP="006074A5">
      <w:pPr>
        <w:pStyle w:val="Footnote"/>
        <w:bidi/>
      </w:pPr>
      <w:r>
        <w:rPr>
          <w:rStyle w:val="ac"/>
          <w:rtl/>
        </w:rPr>
        <w:footnoteRef/>
      </w:r>
      <w:r>
        <w:rPr>
          <w:rtl/>
        </w:rPr>
        <w:t>אלא די"ל דהתם אינו מבטל מאונתה כלל.</w:t>
      </w:r>
    </w:p>
  </w:footnote>
  <w:footnote w:id="2533">
    <w:p w14:paraId="08BE728B" w14:textId="77777777" w:rsidR="006074A5" w:rsidRDefault="006074A5" w:rsidP="006074A5">
      <w:pPr>
        <w:pStyle w:val="Footnote"/>
        <w:bidi/>
      </w:pPr>
      <w:r>
        <w:rPr>
          <w:rStyle w:val="ac"/>
          <w:rtl/>
        </w:rPr>
        <w:footnoteRef/>
      </w:r>
      <w:r>
        <w:rPr>
          <w:rtl/>
        </w:rPr>
        <w:t>ויל"ד דבסוגיין ביבמה לא התנה [ובפשוטו איירי דמייבם זה אחר זה]. [ועוד יל"ד במקום דאחיו התנה שלא לישא יותר].</w:t>
      </w:r>
    </w:p>
  </w:footnote>
  <w:footnote w:id="2534">
    <w:p w14:paraId="0D3D0515" w14:textId="77777777" w:rsidR="006074A5" w:rsidRDefault="006074A5" w:rsidP="006074A5">
      <w:pPr>
        <w:pStyle w:val="Footnote"/>
        <w:bidi/>
      </w:pPr>
      <w:r>
        <w:rPr>
          <w:rStyle w:val="ac"/>
          <w:rtl/>
        </w:rPr>
        <w:footnoteRef/>
      </w:r>
      <w:r>
        <w:rPr>
          <w:rtl/>
        </w:rPr>
        <w:t>אבל ה</w:t>
      </w:r>
      <w:r>
        <w:rPr>
          <w:b/>
          <w:bCs/>
          <w:rtl/>
        </w:rPr>
        <w:t>רמ"ך</w:t>
      </w:r>
      <w:r>
        <w:rPr>
          <w:rtl/>
        </w:rPr>
        <w:t xml:space="preserve"> כתב דה</w:t>
      </w:r>
      <w:r>
        <w:rPr>
          <w:b/>
          <w:bCs/>
          <w:rtl/>
        </w:rPr>
        <w:t>רמב”ם</w:t>
      </w:r>
      <w:r>
        <w:rPr>
          <w:rtl/>
        </w:rPr>
        <w:t xml:space="preserve"> איירי כשנשא הב' ברשות אשתו.</w:t>
      </w:r>
    </w:p>
  </w:footnote>
  <w:footnote w:id="2535">
    <w:p w14:paraId="78F8AE26" w14:textId="77777777" w:rsidR="006074A5" w:rsidRDefault="006074A5" w:rsidP="006074A5">
      <w:pPr>
        <w:pStyle w:val="Footnote"/>
        <w:bidi/>
      </w:pPr>
      <w:r>
        <w:rPr>
          <w:rStyle w:val="ac"/>
          <w:rtl/>
        </w:rPr>
        <w:footnoteRef/>
      </w:r>
      <w:r>
        <w:rPr>
          <w:rtl/>
        </w:rPr>
        <w:t>דהוה אומדנא דמוכח דאדעתא דהכי לא נשאת, והוה כחמר ונעשה גמל שיכולה לעכב (כתובות סא).</w:t>
      </w:r>
    </w:p>
  </w:footnote>
  <w:footnote w:id="2536">
    <w:p w14:paraId="773DD87E" w14:textId="77777777" w:rsidR="006074A5" w:rsidRDefault="006074A5" w:rsidP="006074A5">
      <w:pPr>
        <w:pStyle w:val="Footnote"/>
        <w:bidi/>
      </w:pPr>
      <w:r>
        <w:rPr>
          <w:rStyle w:val="ac"/>
          <w:rtl/>
        </w:rPr>
        <w:footnoteRef/>
      </w:r>
      <w:r>
        <w:rPr>
          <w:rtl/>
        </w:rPr>
        <w:t>והשו"ע כת' שלא פשטה תקנתו בכל הארצות. וע' ברמ"א והפוסקים שהאריכו והחמירו הרבה בכל זה.</w:t>
      </w:r>
    </w:p>
  </w:footnote>
  <w:footnote w:id="2537">
    <w:p w14:paraId="1AA7612C" w14:textId="77777777" w:rsidR="006074A5" w:rsidRDefault="006074A5" w:rsidP="006074A5">
      <w:pPr>
        <w:pStyle w:val="Footnote"/>
        <w:bidi/>
      </w:pPr>
      <w:r>
        <w:rPr>
          <w:rStyle w:val="ac"/>
          <w:rtl/>
        </w:rPr>
        <w:footnoteRef/>
      </w:r>
      <w:r>
        <w:rPr>
          <w:rtl/>
        </w:rPr>
        <w:t>וע' שיעורי ר' דוד. [ובפשוטו י"ל דצווי הפסוק קאי כלפי יבם א', וע"ז איירי כל הפרשה, ומהיכי תיתי דהשני יתחייב כלל].</w:t>
      </w:r>
    </w:p>
  </w:footnote>
  <w:footnote w:id="2538">
    <w:p w14:paraId="22479127" w14:textId="77777777" w:rsidR="006074A5" w:rsidRDefault="006074A5" w:rsidP="006074A5">
      <w:pPr>
        <w:pStyle w:val="Footnote"/>
        <w:bidi/>
      </w:pPr>
      <w:r>
        <w:rPr>
          <w:rStyle w:val="ac"/>
          <w:rtl/>
        </w:rPr>
        <w:footnoteRef/>
      </w:r>
      <w:r>
        <w:rPr>
          <w:rtl/>
        </w:rPr>
        <w:t>וה</w:t>
      </w:r>
      <w:r>
        <w:rPr>
          <w:b/>
          <w:bCs/>
          <w:rtl/>
        </w:rPr>
        <w:t>ערול"נ</w:t>
      </w:r>
      <w:r>
        <w:rPr>
          <w:rtl/>
        </w:rPr>
        <w:t xml:space="preserve"> הניח בצ"ע אליבא דר"ל, אבל כתב דלר' יוחנן ניחא דמהני מדין שליחותייהו [וצ"ב דאף בצרות נימא הכי, ואמאי בעי קרא].</w:t>
      </w:r>
    </w:p>
  </w:footnote>
  <w:footnote w:id="2539">
    <w:p w14:paraId="2E98598A" w14:textId="77777777" w:rsidR="006074A5" w:rsidRDefault="006074A5" w:rsidP="006074A5">
      <w:pPr>
        <w:pStyle w:val="Footnote"/>
        <w:bidi/>
      </w:pPr>
      <w:r>
        <w:rPr>
          <w:rStyle w:val="ac"/>
          <w:rtl/>
        </w:rPr>
        <w:footnoteRef/>
      </w:r>
      <w:r>
        <w:rPr>
          <w:rtl/>
        </w:rPr>
        <w:t>דהוה לאו הבא מכלל עשה.</w:t>
      </w:r>
    </w:p>
  </w:footnote>
  <w:footnote w:id="2540">
    <w:p w14:paraId="25AFCAD7" w14:textId="77777777" w:rsidR="006074A5" w:rsidRDefault="006074A5" w:rsidP="006074A5">
      <w:pPr>
        <w:pStyle w:val="Footnote"/>
        <w:bidi/>
      </w:pPr>
      <w:r>
        <w:rPr>
          <w:rStyle w:val="ac"/>
          <w:rtl/>
        </w:rPr>
        <w:footnoteRef/>
      </w:r>
      <w:r>
        <w:rPr>
          <w:rtl/>
        </w:rPr>
        <w:t>וה</w:t>
      </w:r>
      <w:r>
        <w:rPr>
          <w:b/>
          <w:bCs/>
          <w:rtl/>
        </w:rPr>
        <w:t>תו"י</w:t>
      </w:r>
      <w:r>
        <w:rPr>
          <w:rtl/>
        </w:rPr>
        <w:t xml:space="preserve"> (יא.) הק' אמאי איצטריך קרא דאינו בונה ב' בתים, תיפו"ל משום לאו דכיון דלא בנה שוב לא יבנה. ותי' דס"ד דאינו מייבם לה, אבל צריך חולץ.</w:t>
      </w:r>
    </w:p>
  </w:footnote>
  <w:footnote w:id="2541">
    <w:p w14:paraId="64056D6D"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דאיצטריך עליה לגזי"ש (לעיל ג: ח: וט.).</w:t>
      </w:r>
    </w:p>
  </w:footnote>
  <w:footnote w:id="2542">
    <w:p w14:paraId="3F43C7D6" w14:textId="77777777" w:rsidR="006074A5" w:rsidRDefault="006074A5" w:rsidP="006074A5">
      <w:pPr>
        <w:pStyle w:val="Footnote"/>
        <w:bidi/>
      </w:pPr>
      <w:r>
        <w:rPr>
          <w:rStyle w:val="ac"/>
          <w:rtl/>
        </w:rPr>
        <w:footnoteRef/>
      </w:r>
      <w:r>
        <w:rPr>
          <w:rtl/>
        </w:rPr>
        <w:t>דומיא דאיסור לא יבנה. [ויל"ד דאפשר דאחרי דאי”צ חליצה זו, א"כ אינה חליצה כלל, וא"א לעבור על איסור זה בפועל].</w:t>
      </w:r>
    </w:p>
  </w:footnote>
  <w:footnote w:id="2543">
    <w:p w14:paraId="26564365" w14:textId="77777777" w:rsidR="006074A5" w:rsidRDefault="006074A5" w:rsidP="006074A5">
      <w:pPr>
        <w:pStyle w:val="Footnote"/>
        <w:bidi/>
      </w:pPr>
      <w:r>
        <w:rPr>
          <w:rStyle w:val="ac"/>
          <w:rtl/>
        </w:rPr>
        <w:footnoteRef/>
      </w:r>
      <w:r>
        <w:rPr>
          <w:rtl/>
        </w:rPr>
        <w:t>והביא מהגמ' (לקמן נ:) דאי' דחליצה פסולה אין אחריה כלום, מאי לגזור לגזר וכו' אטו חליצה אחר חליצה, כל כי הני תחלוץ ותיזיל [אך ע' ברשב"א שם]. ועוד הביא ה</w:t>
      </w:r>
      <w:r>
        <w:rPr>
          <w:b/>
          <w:bCs/>
          <w:rtl/>
        </w:rPr>
        <w:t>בי"ש</w:t>
      </w:r>
      <w:r>
        <w:rPr>
          <w:rtl/>
        </w:rPr>
        <w:t xml:space="preserve"> (קסז ב) א"כ אף באשת ב' מתים נגזור, דהא הטעם שאינה מתייבמת משום שמא יאמרו ב' יבמות מבית א' מתייבמות, וא"כ אף לא תחלוץ, דיש לגזור שמא יאמרו ב' יבמות תרוייהו חולצות. [וע”כ דאין חשש בדבר].</w:t>
      </w:r>
    </w:p>
  </w:footnote>
  <w:footnote w:id="2544">
    <w:p w14:paraId="56644DAF" w14:textId="77777777" w:rsidR="006074A5" w:rsidRDefault="006074A5" w:rsidP="006074A5">
      <w:pPr>
        <w:pStyle w:val="Footnote"/>
        <w:bidi/>
      </w:pPr>
      <w:r>
        <w:rPr>
          <w:rStyle w:val="ac"/>
          <w:rtl/>
        </w:rPr>
        <w:footnoteRef/>
      </w:r>
      <w:r>
        <w:rPr>
          <w:rtl/>
        </w:rPr>
        <w:t>אך ה</w:t>
      </w:r>
      <w:r>
        <w:rPr>
          <w:b/>
          <w:bCs/>
          <w:rtl/>
        </w:rPr>
        <w:t>בי"ש</w:t>
      </w:r>
      <w:r>
        <w:rPr>
          <w:rtl/>
        </w:rPr>
        <w:t xml:space="preserve"> הביא מה</w:t>
      </w:r>
      <w:r>
        <w:rPr>
          <w:b/>
          <w:bCs/>
          <w:rtl/>
        </w:rPr>
        <w:t>פרישה</w:t>
      </w:r>
      <w:r>
        <w:rPr>
          <w:rtl/>
        </w:rPr>
        <w:t xml:space="preserve"> דלכתחילה אינו רשאי לחלוץ לשניה שהרי פוסלה לכהונה. וה</w:t>
      </w:r>
      <w:r>
        <w:rPr>
          <w:b/>
          <w:bCs/>
          <w:rtl/>
        </w:rPr>
        <w:t>בני אהובה</w:t>
      </w:r>
      <w:r>
        <w:rPr>
          <w:rtl/>
        </w:rPr>
        <w:t xml:space="preserve"> (א ט) הק' דעכ"פ יהא בזה משום בל תוסיף.</w:t>
      </w:r>
    </w:p>
  </w:footnote>
  <w:footnote w:id="2545">
    <w:p w14:paraId="6105242A" w14:textId="77777777" w:rsidR="006074A5" w:rsidRDefault="006074A5" w:rsidP="006074A5">
      <w:pPr>
        <w:pStyle w:val="Footnote"/>
        <w:bidi/>
      </w:pPr>
      <w:r>
        <w:rPr>
          <w:rStyle w:val="ac"/>
          <w:rtl/>
        </w:rPr>
        <w:footnoteRef/>
      </w:r>
      <w:r>
        <w:rPr>
          <w:rtl/>
        </w:rPr>
        <w:t>אבל ה</w:t>
      </w:r>
      <w:r>
        <w:rPr>
          <w:b/>
          <w:bCs/>
          <w:rtl/>
        </w:rPr>
        <w:t>רי"ף</w:t>
      </w:r>
      <w:r>
        <w:rPr>
          <w:rtl/>
        </w:rPr>
        <w:t xml:space="preserve"> (בגי' הישנה, וכ"כ ה</w:t>
      </w:r>
      <w:r>
        <w:rPr>
          <w:b/>
          <w:bCs/>
          <w:rtl/>
        </w:rPr>
        <w:t>רשב"א</w:t>
      </w:r>
      <w:r>
        <w:rPr>
          <w:rtl/>
        </w:rPr>
        <w:t xml:space="preserve"> בשמו) גרס ונחלוץ לחדא ונייבם לחדא, אמר קרא ואם לא יחפוץ, הא חפץ מייבם. [אבל הב"ח, חי' אנשי שם, וד"ת הגיהו בדברי הרי"ף].</w:t>
      </w:r>
    </w:p>
  </w:footnote>
  <w:footnote w:id="2546">
    <w:p w14:paraId="1D494730" w14:textId="77777777" w:rsidR="006074A5" w:rsidRDefault="006074A5" w:rsidP="006074A5">
      <w:pPr>
        <w:pStyle w:val="Footnote"/>
        <w:bidi/>
      </w:pPr>
      <w:r>
        <w:rPr>
          <w:rStyle w:val="ac"/>
          <w:rtl/>
        </w:rPr>
        <w:footnoteRef/>
      </w:r>
      <w:r>
        <w:rPr>
          <w:rtl/>
        </w:rPr>
        <w:t>וה</w:t>
      </w:r>
      <w:r>
        <w:rPr>
          <w:b/>
          <w:bCs/>
          <w:rtl/>
        </w:rPr>
        <w:t>ריטב"א</w:t>
      </w:r>
      <w:r>
        <w:rPr>
          <w:rtl/>
        </w:rPr>
        <w:t xml:space="preserve"> כתב דאע"ג דכשיש ג' או יותר ע"כ נפקי בכדי, י"ל אה"נ ואין דנים אפשר משא"א. וכתב דקרא דאם לא יחפוץ יתקיים היכא דיש רק אחת [דלס"ד זו כשיש ב' חייב לחלוץ ולייבם, דלא תיפוק בכדי כל זמן שאפשר ביבום].</w:t>
      </w:r>
    </w:p>
  </w:footnote>
  <w:footnote w:id="2547">
    <w:p w14:paraId="1F3CAD71" w14:textId="77777777" w:rsidR="006074A5" w:rsidRDefault="006074A5" w:rsidP="006074A5">
      <w:pPr>
        <w:pStyle w:val="Footnote"/>
        <w:bidi/>
      </w:pPr>
      <w:r>
        <w:rPr>
          <w:rStyle w:val="ac"/>
          <w:rtl/>
        </w:rPr>
        <w:footnoteRef/>
      </w:r>
      <w:r>
        <w:rPr>
          <w:rtl/>
        </w:rPr>
        <w:t>משמע דלס"ד מצוות יבום רמי אתרוייהו [וכסברת ר' יוחנן י: אי בעי להאי, וכשיטת הרשב"א דהנפילה מתרת]. וסברת ר"ל דהזיקה מתברר הוה רק אחרי המסקנא.</w:t>
      </w:r>
    </w:p>
  </w:footnote>
  <w:footnote w:id="2548">
    <w:p w14:paraId="75D699F2" w14:textId="77777777" w:rsidR="006074A5" w:rsidRDefault="006074A5" w:rsidP="006074A5">
      <w:pPr>
        <w:pStyle w:val="Footnote"/>
        <w:bidi/>
      </w:pPr>
      <w:r>
        <w:rPr>
          <w:rStyle w:val="ac"/>
          <w:rtl/>
        </w:rPr>
        <w:footnoteRef/>
      </w:r>
      <w:r>
        <w:rPr>
          <w:rtl/>
        </w:rPr>
        <w:t>[והאיסור אשת אח הותר רק במקום יבום, ולפ”ז צ”ל דכשנעשית ערוה אח”כ למ”ד הותרה ונאסרה תחזור להיתירא עדיין נחשב 'מקום יבום', דהנפילה לא פקע. ועפ"ז יל”פ דמ"ד דאינו חוזר להיתירא הוא משום דחל פטור כשנעשית ערוה אף אחר נפילה, ונחשב דאינו 'מקום יבום'].</w:t>
      </w:r>
    </w:p>
  </w:footnote>
  <w:footnote w:id="2549">
    <w:p w14:paraId="44DCC735" w14:textId="77777777" w:rsidR="006074A5" w:rsidRDefault="006074A5" w:rsidP="006074A5">
      <w:pPr>
        <w:pStyle w:val="Footnote"/>
        <w:bidi/>
      </w:pPr>
      <w:r>
        <w:rPr>
          <w:rStyle w:val="ac"/>
          <w:rtl/>
        </w:rPr>
        <w:footnoteRef/>
      </w:r>
      <w:r>
        <w:rPr>
          <w:rtl/>
        </w:rPr>
        <w:t>וכן קטן בן ט' לרש"י קני יבמתו מדאורייתא, ואף דאינו יכול לחלוץ עד שיהא בן י"ג. וכה"ק ה</w:t>
      </w:r>
      <w:r>
        <w:rPr>
          <w:b/>
          <w:bCs/>
          <w:rtl/>
        </w:rPr>
        <w:t>קובה"ע</w:t>
      </w:r>
      <w:r>
        <w:rPr>
          <w:rtl/>
        </w:rPr>
        <w:t xml:space="preserve"> (ה ד). וכן יבמה קטנה לכו"ע.</w:t>
      </w:r>
    </w:p>
  </w:footnote>
  <w:footnote w:id="2550">
    <w:p w14:paraId="64D3247A" w14:textId="77777777" w:rsidR="006074A5" w:rsidRDefault="006074A5" w:rsidP="006074A5">
      <w:pPr>
        <w:pStyle w:val="Footnote"/>
        <w:bidi/>
      </w:pPr>
      <w:r>
        <w:rPr>
          <w:rStyle w:val="ac"/>
          <w:rtl/>
        </w:rPr>
        <w:footnoteRef/>
      </w:r>
      <w:r>
        <w:rPr>
          <w:rtl/>
        </w:rPr>
        <w:t>ואף דלכאו' יש לחלק, דכל שאינו עולה ליבום נתמעט מחליצה דכתיב אם לא יחפוץ האיש [דפרשת חליצה ניתנה במקום ד'לא יחפוץ']. אבל ביבום ליכא קרא. ומבואר בתוס' דמ"מ הוקשו אהדדי [וכ”כ ה</w:t>
      </w:r>
      <w:r>
        <w:rPr>
          <w:b/>
          <w:bCs/>
          <w:rtl/>
        </w:rPr>
        <w:t>קובה”ע</w:t>
      </w:r>
      <w:r>
        <w:rPr>
          <w:rtl/>
        </w:rPr>
        <w:t xml:space="preserve"> שם].</w:t>
      </w:r>
    </w:p>
  </w:footnote>
  <w:footnote w:id="2551">
    <w:p w14:paraId="132B4F90" w14:textId="77777777" w:rsidR="006074A5" w:rsidRDefault="006074A5" w:rsidP="006074A5">
      <w:pPr>
        <w:pStyle w:val="Footnote"/>
        <w:bidi/>
      </w:pPr>
      <w:r>
        <w:rPr>
          <w:rStyle w:val="ac"/>
          <w:rtl/>
        </w:rPr>
        <w:footnoteRef/>
      </w:r>
      <w:r>
        <w:rPr>
          <w:rtl/>
        </w:rPr>
        <w:t>וכדתנן (סנהדרין יח.) דמלך לא חולץ ולא חולצין לאשתו, לא מייבם ולא מייבמין את אשתו. [וע' מה שהו' (לעיל מא:) אמאי אין חולצין ומייבמין אשת מלך].</w:t>
      </w:r>
    </w:p>
  </w:footnote>
  <w:footnote w:id="2552">
    <w:p w14:paraId="7F9808B9" w14:textId="77777777" w:rsidR="006074A5" w:rsidRDefault="006074A5" w:rsidP="006074A5">
      <w:pPr>
        <w:pStyle w:val="Footnote"/>
        <w:bidi/>
      </w:pPr>
      <w:r>
        <w:rPr>
          <w:rStyle w:val="ac"/>
          <w:rtl/>
        </w:rPr>
        <w:footnoteRef/>
      </w:r>
      <w:r>
        <w:rPr>
          <w:rtl/>
        </w:rPr>
        <w:t>ו</w:t>
      </w:r>
      <w:r>
        <w:rPr>
          <w:b/>
          <w:bCs/>
          <w:rtl/>
        </w:rPr>
        <w:t>רש"י</w:t>
      </w:r>
      <w:r>
        <w:rPr>
          <w:rtl/>
        </w:rPr>
        <w:t xml:space="preserve"> (סנהדרין יט:) פי' הטעם דאינו חולץ, דגנאי לבא לבי"ד ותהא רוקקת לפניו. ו</w:t>
      </w:r>
      <w:r>
        <w:rPr>
          <w:b/>
          <w:bCs/>
          <w:rtl/>
        </w:rPr>
        <w:t>רש"י</w:t>
      </w:r>
      <w:r>
        <w:rPr>
          <w:rtl/>
        </w:rPr>
        <w:t xml:space="preserve"> (שם) ביאר דאף אינו מייבם משום דגנאי הוא לו לקום ע"ש אחיו.</w:t>
      </w:r>
    </w:p>
    <w:p w14:paraId="06939101" w14:textId="77777777" w:rsidR="006074A5" w:rsidRDefault="006074A5" w:rsidP="006074A5">
      <w:pPr>
        <w:pStyle w:val="Footnote"/>
        <w:bidi/>
      </w:pPr>
      <w:r>
        <w:rPr>
          <w:rtl/>
        </w:rPr>
        <w:tab/>
        <w:t>וה</w:t>
      </w:r>
      <w:r>
        <w:rPr>
          <w:b/>
          <w:bCs/>
          <w:rtl/>
        </w:rPr>
        <w:t>מנח”ח</w:t>
      </w:r>
      <w:r>
        <w:rPr>
          <w:rtl/>
        </w:rPr>
        <w:t xml:space="preserve"> (תצז) הביא מה</w:t>
      </w:r>
      <w:r>
        <w:rPr>
          <w:b/>
          <w:bCs/>
          <w:rtl/>
        </w:rPr>
        <w:t>פרשת דרכים</w:t>
      </w:r>
      <w:r>
        <w:rPr>
          <w:rtl/>
        </w:rPr>
        <w:t xml:space="preserve"> בשם ה</w:t>
      </w:r>
      <w:r>
        <w:rPr>
          <w:b/>
          <w:bCs/>
          <w:rtl/>
        </w:rPr>
        <w:t>ירושלמי</w:t>
      </w:r>
      <w:r>
        <w:rPr>
          <w:rtl/>
        </w:rPr>
        <w:t xml:space="preserve"> דנשי הדיוט אסורין למלך. וכתב דלפ”ז ביבמה מהנישואין אי”צ לטעמים הנ"ל [דרש”י והרמב"ם]. אך מהאירוסין מותרת למלך, ומש”ה צריך לטעם דגנאי או שאינו עולה לחליצה.</w:t>
      </w:r>
    </w:p>
  </w:footnote>
  <w:footnote w:id="2553">
    <w:p w14:paraId="662E8723" w14:textId="77777777" w:rsidR="006074A5" w:rsidRDefault="006074A5" w:rsidP="006074A5">
      <w:pPr>
        <w:pStyle w:val="Footnote"/>
        <w:bidi/>
      </w:pPr>
      <w:r>
        <w:rPr>
          <w:rStyle w:val="ac"/>
          <w:rtl/>
        </w:rPr>
        <w:footnoteRef/>
      </w:r>
      <w:r>
        <w:rPr>
          <w:rtl/>
        </w:rPr>
        <w:t>וה</w:t>
      </w:r>
      <w:r>
        <w:rPr>
          <w:b/>
          <w:bCs/>
          <w:rtl/>
        </w:rPr>
        <w:t>מנח"ח</w:t>
      </w:r>
      <w:r>
        <w:rPr>
          <w:rtl/>
        </w:rPr>
        <w:t xml:space="preserve"> (תצז ג) כתב דמ"מ בדיעבד אם חלץ מותרת לשוק. ועוד נסתפק היכא דעבר וייבם האם צריך לגרש [לרש”י משום גנאי], או דכל הגנאי בביאת יבום.</w:t>
      </w:r>
    </w:p>
  </w:footnote>
  <w:footnote w:id="2554">
    <w:p w14:paraId="22033743" w14:textId="77777777" w:rsidR="006074A5" w:rsidRDefault="006074A5" w:rsidP="006074A5">
      <w:pPr>
        <w:pStyle w:val="Footnote"/>
        <w:bidi/>
      </w:pPr>
      <w:r>
        <w:rPr>
          <w:rStyle w:val="ac"/>
          <w:rtl/>
        </w:rPr>
        <w:footnoteRef/>
      </w:r>
      <w:r>
        <w:rPr>
          <w:rtl/>
        </w:rPr>
        <w:t>וה</w:t>
      </w:r>
      <w:r>
        <w:rPr>
          <w:b/>
          <w:bCs/>
          <w:rtl/>
        </w:rPr>
        <w:t>קובה"ע</w:t>
      </w:r>
      <w:r>
        <w:rPr>
          <w:rtl/>
        </w:rPr>
        <w:t xml:space="preserve"> (שם) כתב דלכאורה פליג על ה</w:t>
      </w:r>
      <w:r>
        <w:rPr>
          <w:b/>
          <w:bCs/>
          <w:rtl/>
        </w:rPr>
        <w:t>רמב"ן</w:t>
      </w:r>
      <w:r>
        <w:rPr>
          <w:rtl/>
        </w:rPr>
        <w:t xml:space="preserve"> (לעיל</w:t>
      </w:r>
      <w:r>
        <w:rPr>
          <w:b/>
          <w:bCs/>
          <w:rtl/>
        </w:rPr>
        <w:t xml:space="preserve"> </w:t>
      </w:r>
      <w:r>
        <w:rPr>
          <w:rtl/>
        </w:rPr>
        <w:t>ב.) דבעלת התנאי פטורה מחליצה [משום כל העולה] ולכן מותרת לשוק.</w:t>
      </w:r>
    </w:p>
  </w:footnote>
  <w:footnote w:id="2555">
    <w:p w14:paraId="706BCE3E" w14:textId="77777777" w:rsidR="006074A5" w:rsidRDefault="006074A5" w:rsidP="006074A5">
      <w:pPr>
        <w:pStyle w:val="Footnote"/>
        <w:bidi/>
      </w:pPr>
      <w:r>
        <w:rPr>
          <w:rStyle w:val="ac"/>
          <w:rtl/>
        </w:rPr>
        <w:footnoteRef/>
      </w:r>
      <w:r>
        <w:rPr>
          <w:rtl/>
        </w:rPr>
        <w:t>וכלשון הגמ' (לקמן קד: וסו.).</w:t>
      </w:r>
    </w:p>
  </w:footnote>
  <w:footnote w:id="2556">
    <w:p w14:paraId="72D4169C" w14:textId="77777777" w:rsidR="006074A5" w:rsidRDefault="006074A5" w:rsidP="006074A5">
      <w:pPr>
        <w:pStyle w:val="Footnote"/>
        <w:bidi/>
      </w:pPr>
      <w:r>
        <w:rPr>
          <w:rStyle w:val="ac"/>
          <w:rtl/>
        </w:rPr>
        <w:footnoteRef/>
      </w:r>
      <w:r>
        <w:rPr>
          <w:rtl/>
        </w:rPr>
        <w:t>וכתב דכבוד מלך ע"כ שייך אף בירד מגדולתו, דהא אפי' לאחר מיתה חייבים בכבודו.</w:t>
      </w:r>
    </w:p>
  </w:footnote>
  <w:footnote w:id="2557">
    <w:p w14:paraId="4D7442B3" w14:textId="77777777" w:rsidR="006074A5" w:rsidRDefault="006074A5" w:rsidP="006074A5">
      <w:pPr>
        <w:pStyle w:val="Footnote"/>
        <w:bidi/>
      </w:pPr>
      <w:r>
        <w:rPr>
          <w:rStyle w:val="ac"/>
          <w:rtl/>
        </w:rPr>
        <w:footnoteRef/>
      </w:r>
      <w:r>
        <w:rPr>
          <w:rtl/>
        </w:rPr>
        <w:t>כיון דאינה ראויה לחליצה [אף בפועל] מותרת. ואם נימא דס”ל דחייבי לו"ע חולצת רק מדרבנן יש ליישב [דהכא אין זיקת יבום].</w:t>
      </w:r>
    </w:p>
  </w:footnote>
  <w:footnote w:id="2558">
    <w:p w14:paraId="002FB9C1" w14:textId="77777777" w:rsidR="006074A5" w:rsidRDefault="006074A5" w:rsidP="006074A5">
      <w:pPr>
        <w:pStyle w:val="Footnote"/>
        <w:bidi/>
      </w:pPr>
      <w:r>
        <w:rPr>
          <w:rStyle w:val="ac"/>
          <w:rtl/>
        </w:rPr>
        <w:footnoteRef/>
      </w:r>
      <w:r>
        <w:rPr>
          <w:rtl/>
        </w:rPr>
        <w:t>מש"כ 'בכדי' בפשוטו קאי לר"ל, אבל לר"י הוה מדין שליחות. [ויל"ד דאף שליחות אינו על עצם המעשה, וכמ"ש לעיל]. ולצד שהעלו האחרונים דלר"ל מתברר [למפרע] דאינה זקוקה, י"ל דאף זה אינה בכדי.</w:t>
      </w:r>
    </w:p>
  </w:footnote>
  <w:footnote w:id="2559">
    <w:p w14:paraId="41F5C3BB" w14:textId="77777777" w:rsidR="006074A5" w:rsidRDefault="006074A5" w:rsidP="006074A5">
      <w:pPr>
        <w:pStyle w:val="Footnote"/>
        <w:bidi/>
      </w:pPr>
      <w:r>
        <w:rPr>
          <w:rStyle w:val="ac"/>
          <w:rtl/>
        </w:rPr>
        <w:footnoteRef/>
      </w:r>
      <w:r>
        <w:rPr>
          <w:rtl/>
        </w:rPr>
        <w:t>ויל"ד לפ"ז אף חייבי עשה, ודלא כתוס'.</w:t>
      </w:r>
    </w:p>
  </w:footnote>
  <w:footnote w:id="2560">
    <w:p w14:paraId="0C62B3A1" w14:textId="77777777" w:rsidR="006074A5" w:rsidRDefault="006074A5" w:rsidP="006074A5">
      <w:pPr>
        <w:pStyle w:val="Footnote"/>
        <w:bidi/>
      </w:pPr>
      <w:r>
        <w:rPr>
          <w:rStyle w:val="ac"/>
          <w:rtl/>
        </w:rPr>
        <w:footnoteRef/>
      </w:r>
      <w:r>
        <w:rPr>
          <w:rtl/>
        </w:rPr>
        <w:t>[אך קצת דוחק לומר דסוגיין כר' יוחנן, מאחר דעד השתא קאי לולי שליחות].</w:t>
      </w:r>
    </w:p>
  </w:footnote>
  <w:footnote w:id="2561">
    <w:p w14:paraId="4191EF6B" w14:textId="77777777" w:rsidR="006074A5" w:rsidRDefault="006074A5" w:rsidP="006074A5">
      <w:pPr>
        <w:pStyle w:val="Footnote"/>
        <w:bidi/>
      </w:pPr>
      <w:r>
        <w:rPr>
          <w:rStyle w:val="ac"/>
          <w:rtl/>
        </w:rPr>
        <w:footnoteRef/>
      </w:r>
      <w:r>
        <w:rPr>
          <w:rtl/>
        </w:rPr>
        <w:t>דגלי קרא דאף כה"ג מתייבם. {ולכאו' הטעם דליכא חסרון ב' בתים, דגדר השליחות שבנין בית א' מתייחס לתרוייהו, ולא נבנו ב' בתים [וע"ע מש"כ לעיל י: בגדר שליחותייהו, דלא מסתבר דהוה שליחות במעשה כפשוטו]}.</w:t>
      </w:r>
    </w:p>
  </w:footnote>
  <w:footnote w:id="2562">
    <w:p w14:paraId="169AC419" w14:textId="77777777" w:rsidR="006074A5" w:rsidRDefault="006074A5" w:rsidP="006074A5">
      <w:pPr>
        <w:pStyle w:val="Footnote"/>
        <w:bidi/>
      </w:pPr>
      <w:r>
        <w:rPr>
          <w:rStyle w:val="ac"/>
          <w:rtl/>
        </w:rPr>
        <w:footnoteRef/>
      </w:r>
      <w:r>
        <w:rPr>
          <w:rtl/>
        </w:rPr>
        <w:t>וקצת קשה כפילות דברי התוס' עשה או ל"ת ועשה, דכיון דדעת תוס' (כאן, וכשיטתם לעיל כ:) דחייבי עשה לחוד לא רמי ליבום מדאורייתא. א"כ אף ל"ת ועשה הטעם משום דהוה חייבי עשה. והלאו אינו מעלה או מוריד לענין יבום.</w:t>
      </w:r>
    </w:p>
  </w:footnote>
  <w:footnote w:id="2563">
    <w:p w14:paraId="4A61BFF5" w14:textId="77777777" w:rsidR="006074A5" w:rsidRDefault="006074A5" w:rsidP="006074A5">
      <w:pPr>
        <w:pStyle w:val="Footnote"/>
        <w:bidi/>
      </w:pPr>
      <w:r>
        <w:rPr>
          <w:rStyle w:val="ac"/>
          <w:rtl/>
        </w:rPr>
        <w:footnoteRef/>
      </w:r>
      <w:r>
        <w:rPr>
          <w:rtl/>
        </w:rPr>
        <w:t>ו</w:t>
      </w:r>
      <w:r>
        <w:rPr>
          <w:b/>
          <w:bCs/>
          <w:rtl/>
        </w:rPr>
        <w:t>תוס'</w:t>
      </w:r>
      <w:r>
        <w:rPr>
          <w:rtl/>
        </w:rPr>
        <w:t xml:space="preserve"> הוסיפו שהיא מחייבי עשה לכל האחין. משמע דהיא חייבי עשה אף לזו שהיא ערוה עליו. וצ"ב דבלאו הכי הוה ערוה עליו, ואבראי קיימא. ומה מוסיף דהוה ג"כ חייבי עשה. ואמאי לא סגי שהיא חייבי עשה למייבם.</w:t>
      </w:r>
    </w:p>
  </w:footnote>
  <w:footnote w:id="2564">
    <w:p w14:paraId="230E01C8" w14:textId="77777777" w:rsidR="006074A5" w:rsidRDefault="006074A5" w:rsidP="006074A5">
      <w:pPr>
        <w:pStyle w:val="Footnote"/>
        <w:bidi/>
      </w:pPr>
      <w:r>
        <w:rPr>
          <w:rStyle w:val="ac"/>
          <w:rtl/>
        </w:rPr>
        <w:footnoteRef/>
      </w:r>
      <w:r>
        <w:rPr>
          <w:rtl/>
        </w:rPr>
        <w:t>וה</w:t>
      </w:r>
      <w:r>
        <w:rPr>
          <w:b/>
          <w:bCs/>
          <w:rtl/>
        </w:rPr>
        <w:t>אחרונים</w:t>
      </w:r>
      <w:r>
        <w:rPr>
          <w:rtl/>
        </w:rPr>
        <w:t xml:space="preserve"> (ע' </w:t>
      </w:r>
      <w:r>
        <w:rPr>
          <w:b/>
          <w:bCs/>
          <w:rtl/>
        </w:rPr>
        <w:t>ערול"נ</w:t>
      </w:r>
      <w:r>
        <w:rPr>
          <w:rtl/>
        </w:rPr>
        <w:t>) דנו אי סוגיין קאי אף לרבי דדרש כל היכא דאיכא ב' ליקוחין.</w:t>
      </w:r>
    </w:p>
  </w:footnote>
  <w:footnote w:id="2565">
    <w:p w14:paraId="6B671F15" w14:textId="77777777" w:rsidR="006074A5" w:rsidRDefault="006074A5" w:rsidP="006074A5">
      <w:pPr>
        <w:pStyle w:val="Footnote"/>
        <w:bidi/>
      </w:pPr>
      <w:r>
        <w:rPr>
          <w:rStyle w:val="ac"/>
          <w:rtl/>
        </w:rPr>
        <w:footnoteRef/>
      </w:r>
      <w:r>
        <w:rPr>
          <w:rtl/>
        </w:rPr>
        <w:t>וצ"ע סתירת המשניות סמוך זה לזה [עד”ז הק' התוי"ט לקמן שם]. וכן בגמ' (כאן) משמע דמח' דלקמן היא מח' דהכא. [אך בלאו הכי נח' המשניות בכ"מ בזה, דיש כמה משניות דמעכו"ם ועבד הוה ממזר, ותוס' (לעיל טז:) כת' דקאי כר"ע. והיינו ר"ע דלאו דשאר].</w:t>
      </w:r>
    </w:p>
  </w:footnote>
  <w:footnote w:id="2566">
    <w:p w14:paraId="6E206921" w14:textId="77777777" w:rsidR="006074A5" w:rsidRDefault="006074A5" w:rsidP="006074A5">
      <w:pPr>
        <w:pStyle w:val="Footnote"/>
        <w:bidi/>
      </w:pPr>
      <w:r>
        <w:rPr>
          <w:rStyle w:val="ac"/>
          <w:rtl/>
        </w:rPr>
        <w:footnoteRef/>
      </w:r>
      <w:r>
        <w:rPr>
          <w:rtl/>
        </w:rPr>
        <w:t>ומבואר ב</w:t>
      </w:r>
      <w:r>
        <w:rPr>
          <w:b/>
          <w:bCs/>
          <w:rtl/>
        </w:rPr>
        <w:t>רש"י</w:t>
      </w:r>
      <w:r>
        <w:rPr>
          <w:rtl/>
        </w:rPr>
        <w:t xml:space="preserve"> (לקמן מט.) דאף למ"ד דלר"ע בעי' חייבי לאו דשאר, לא יבנה נחשב לאו דשאר. [וה</w:t>
      </w:r>
      <w:r>
        <w:rPr>
          <w:b/>
          <w:bCs/>
          <w:rtl/>
        </w:rPr>
        <w:t>אחרונים</w:t>
      </w:r>
      <w:r>
        <w:rPr>
          <w:rtl/>
        </w:rPr>
        <w:t xml:space="preserve"> הק' מ"ש ממחזיר גרושתו, ויתבאר לקמן שם]. אך ב</w:t>
      </w:r>
      <w:r>
        <w:rPr>
          <w:b/>
          <w:bCs/>
          <w:rtl/>
        </w:rPr>
        <w:t>חי' ר"א מן ההר</w:t>
      </w:r>
      <w:r>
        <w:rPr>
          <w:rtl/>
        </w:rPr>
        <w:t xml:space="preserve"> (לקמן שם) כת' דלא יבנה לא נחשב לאו דשאר.</w:t>
      </w:r>
    </w:p>
  </w:footnote>
  <w:footnote w:id="2567">
    <w:p w14:paraId="6C6E049B" w14:textId="77777777" w:rsidR="006074A5" w:rsidRDefault="006074A5" w:rsidP="006074A5">
      <w:pPr>
        <w:pStyle w:val="Footnote"/>
        <w:bidi/>
      </w:pPr>
      <w:r>
        <w:rPr>
          <w:rStyle w:val="ac"/>
          <w:rtl/>
        </w:rPr>
        <w:footnoteRef/>
      </w:r>
      <w:r>
        <w:rPr>
          <w:rtl/>
        </w:rPr>
        <w:t>וה</w:t>
      </w:r>
      <w:r>
        <w:rPr>
          <w:b/>
          <w:bCs/>
          <w:rtl/>
        </w:rPr>
        <w:t>בני אהובה</w:t>
      </w:r>
      <w:r>
        <w:rPr>
          <w:rtl/>
        </w:rPr>
        <w:t xml:space="preserve"> (א יב) ביאר דלדעת ר"ע (בסמוך) הכתוב קראו 'בית', דהחליצה הוה קנין. ומש"ה לר"ע לא יבנה הוה מדאורייתא.</w:t>
      </w:r>
    </w:p>
  </w:footnote>
  <w:footnote w:id="2568">
    <w:p w14:paraId="53B3A49F" w14:textId="77777777" w:rsidR="006074A5" w:rsidRDefault="006074A5" w:rsidP="006074A5">
      <w:pPr>
        <w:pStyle w:val="Footnote"/>
        <w:bidi/>
      </w:pPr>
      <w:r>
        <w:rPr>
          <w:rStyle w:val="ac"/>
          <w:rtl/>
        </w:rPr>
        <w:footnoteRef/>
      </w:r>
      <w:r>
        <w:rPr>
          <w:rtl/>
        </w:rPr>
        <w:t>ודלא כגמ' (לעיל כד. וקידושין עח.) דחלוצה לכהן הוה אסמכתא. [דהתם קאי כרבנן].</w:t>
      </w:r>
    </w:p>
  </w:footnote>
  <w:footnote w:id="2569">
    <w:p w14:paraId="2DBF3A69" w14:textId="77777777" w:rsidR="006074A5" w:rsidRDefault="006074A5" w:rsidP="006074A5">
      <w:pPr>
        <w:pStyle w:val="Footnote"/>
        <w:bidi/>
      </w:pPr>
      <w:r>
        <w:rPr>
          <w:rStyle w:val="ac"/>
          <w:rtl/>
        </w:rPr>
        <w:footnoteRef/>
      </w:r>
      <w:r>
        <w:rPr>
          <w:rtl/>
        </w:rPr>
        <w:t>דלענין איסור הוה בכלל אחות אשתו [גרושתו], ולא לענין איסור כרת. [וצ"ב מ"ש]. ואפשר דכוונתו דהוה איסור קלוש מדאורייתא [וע"ד מש"כ ב</w:t>
      </w:r>
      <w:r>
        <w:rPr>
          <w:b/>
          <w:bCs/>
          <w:rtl/>
        </w:rPr>
        <w:t>פסקי</w:t>
      </w:r>
      <w:r>
        <w:rPr>
          <w:rtl/>
        </w:rPr>
        <w:t xml:space="preserve"> ה</w:t>
      </w:r>
      <w:r>
        <w:rPr>
          <w:b/>
          <w:bCs/>
          <w:rtl/>
        </w:rPr>
        <w:t>רי"ד</w:t>
      </w:r>
      <w:r>
        <w:rPr>
          <w:rtl/>
        </w:rPr>
        <w:t xml:space="preserve"> (לעיל יח:) לגבי זיקה ככנוסה], ולר' עקיבא כל שיש בזה איסור דאורייתא לא גרע מחייבי לאוין.</w:t>
      </w:r>
    </w:p>
  </w:footnote>
  <w:footnote w:id="2570">
    <w:p w14:paraId="1C308F09" w14:textId="77777777" w:rsidR="006074A5" w:rsidRDefault="006074A5" w:rsidP="006074A5">
      <w:pPr>
        <w:pStyle w:val="Footnote"/>
        <w:bidi/>
      </w:pPr>
      <w:r>
        <w:rPr>
          <w:rStyle w:val="ac"/>
          <w:rtl/>
        </w:rPr>
        <w:footnoteRef/>
      </w:r>
      <w:r>
        <w:rPr>
          <w:rtl/>
        </w:rPr>
        <w:t>שכתב דלרבנן אין הולד ממזר, דאין ממזר מחייבי לאוין, וכ"ש אחות חלוצה דהוה דברי סופרים. משמע דלר' עקיבא הוה חייבי לאוין.</w:t>
      </w:r>
    </w:p>
  </w:footnote>
  <w:footnote w:id="2571">
    <w:p w14:paraId="0DEC0B4A" w14:textId="77777777" w:rsidR="006074A5" w:rsidRDefault="006074A5" w:rsidP="006074A5">
      <w:pPr>
        <w:pStyle w:val="Footnote"/>
        <w:bidi/>
      </w:pPr>
      <w:r>
        <w:rPr>
          <w:rStyle w:val="ac"/>
          <w:rtl/>
        </w:rPr>
        <w:footnoteRef/>
      </w:r>
      <w:r>
        <w:rPr>
          <w:rtl/>
        </w:rPr>
        <w:t>[דגדר 'ביתו' הוה גדר בעצם החליצה לר' עקיבא, ואינה שייך למצוות יבום. ולא מצאנו ב' גדרי חליצה].</w:t>
      </w:r>
    </w:p>
  </w:footnote>
  <w:footnote w:id="2572">
    <w:p w14:paraId="3379C025" w14:textId="77777777" w:rsidR="006074A5" w:rsidRDefault="006074A5" w:rsidP="006074A5">
      <w:pPr>
        <w:pStyle w:val="Footnote"/>
        <w:bidi/>
      </w:pPr>
      <w:r>
        <w:rPr>
          <w:rStyle w:val="ac"/>
          <w:rtl/>
        </w:rPr>
        <w:footnoteRef/>
      </w:r>
      <w:r>
        <w:rPr>
          <w:rtl/>
        </w:rPr>
        <w:t>ויל”ד מה הדין במקום דאין קידושין תופסין, וכגון חייבי לאוין לאחר נפילה [למ"ד (לקמן עט:) דזקוקה מדאורייתא לחליצה אף לר”ע. וכן קידש אחותה, לסוברים דלא פקע זיקה מדאורייתא]. האם שייך חליצה בעודה ערוה ונעשית ביתו [ועי”ז תאסר באחותה], או דלא תפס חליצה להחשב ביתו באשה האסורה עליו.</w:t>
      </w:r>
    </w:p>
  </w:footnote>
  <w:footnote w:id="2573">
    <w:p w14:paraId="60CD1000" w14:textId="77777777" w:rsidR="006074A5" w:rsidRDefault="006074A5" w:rsidP="006074A5">
      <w:pPr>
        <w:pStyle w:val="Footnote"/>
        <w:bidi/>
      </w:pPr>
      <w:r>
        <w:rPr>
          <w:rStyle w:val="ac"/>
          <w:rtl/>
        </w:rPr>
        <w:footnoteRef/>
      </w:r>
      <w:r>
        <w:rPr>
          <w:rtl/>
        </w:rPr>
        <w:t>[ולכאו' למ"ד אין קידושין תופסין ביבמה לשוק, אף בהנך לא תפסי קידושין]. אך כת' דלענין מאמר מסתבר דלא נתחדש מאמר לר"ע בחייבי עשה, דהא אם בעלו ל"ק. וה</w:t>
      </w:r>
      <w:r>
        <w:rPr>
          <w:b/>
          <w:bCs/>
          <w:rtl/>
        </w:rPr>
        <w:t>חזו"א</w:t>
      </w:r>
      <w:r>
        <w:rPr>
          <w:rtl/>
        </w:rPr>
        <w:t xml:space="preserve"> נסתפק האם יש בה דין שומרת יבם שזינתה, לרב המנונא ור"ע דנאסרת ליבם ולבועל.</w:t>
      </w:r>
    </w:p>
  </w:footnote>
  <w:footnote w:id="2574">
    <w:p w14:paraId="35EBB18F" w14:textId="77777777" w:rsidR="006074A5" w:rsidRDefault="006074A5" w:rsidP="006074A5">
      <w:pPr>
        <w:pStyle w:val="Footnote"/>
        <w:bidi/>
      </w:pPr>
      <w:r>
        <w:rPr>
          <w:rStyle w:val="ac"/>
          <w:rtl/>
        </w:rPr>
        <w:footnoteRef/>
      </w:r>
      <w:r>
        <w:rPr>
          <w:rtl/>
        </w:rPr>
        <w:t>ובברייתא (לעיל י:) אי' דהחולץ וא' מהאחים קידשה, אין עליו כלום. ולר' יוחנן העמידו כר"ע [דלא תפסי קידושין בחייבי לאוין] ופטורה משום לא יבנה. והאחרונים הק' לדעת הרמב"ם דאיסור לא יבנה הוה מדרבנן.</w:t>
      </w:r>
    </w:p>
    <w:p w14:paraId="2E078175" w14:textId="77777777" w:rsidR="006074A5" w:rsidRDefault="006074A5" w:rsidP="006074A5">
      <w:pPr>
        <w:pStyle w:val="Footnote"/>
        <w:bidi/>
      </w:pPr>
      <w:r>
        <w:rPr>
          <w:rtl/>
        </w:rPr>
        <w:tab/>
        <w:t>וה</w:t>
      </w:r>
      <w:r>
        <w:rPr>
          <w:b/>
          <w:bCs/>
          <w:rtl/>
        </w:rPr>
        <w:t>קר"א</w:t>
      </w:r>
      <w:r>
        <w:rPr>
          <w:rtl/>
        </w:rPr>
        <w:t xml:space="preserve"> (שם) כתב לפרש [לדעת ה</w:t>
      </w:r>
      <w:r>
        <w:rPr>
          <w:b/>
          <w:bCs/>
          <w:rtl/>
        </w:rPr>
        <w:t>רמב"ם</w:t>
      </w:r>
      <w:r>
        <w:rPr>
          <w:rtl/>
        </w:rPr>
        <w:t>] דלר' עקיבא לא תפסי קידושין האחין, מחמת אשת אח דחולץ, דהכתוב קראו ביתו. [אך שוב הק' מהגמ' (לקמן נב:) דאף החולץ חזר וקידשה לא תפסי. והביא מדברי הפיה"מ שם].</w:t>
      </w:r>
    </w:p>
  </w:footnote>
  <w:footnote w:id="2575">
    <w:p w14:paraId="70FE3C6B"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א"כ כל האחים יאסרו בקרובי החלוצה, וכקו' רב יוסף (לעיל מ:) דיאסר בקרובת צרת חלוצתו.</w:t>
      </w:r>
    </w:p>
  </w:footnote>
  <w:footnote w:id="2576">
    <w:p w14:paraId="6460C9AF" w14:textId="77777777" w:rsidR="006074A5" w:rsidRDefault="006074A5" w:rsidP="006074A5">
      <w:pPr>
        <w:pStyle w:val="Footnote"/>
        <w:bidi/>
      </w:pPr>
      <w:r>
        <w:rPr>
          <w:rStyle w:val="ac"/>
          <w:rtl/>
        </w:rPr>
        <w:footnoteRef/>
      </w:r>
      <w:r>
        <w:rPr>
          <w:rtl/>
        </w:rPr>
        <w:t>ורב יוסף נקט מחזיר גרושתו לחדש לנו דלא דרשי' 'ואין בניה תועבין' [דכיון דפסול מק"ו יש להעמיד הך קרא באופ”א]. ויל"ד לפ"ז מה כוונת המקשן, דמסתבר לו דיש למעט דליכא פגם לכהונה כלל. א"נ קושיית הגמ' ע"פ הברייתא דר' יהושע (נדה ע) דרש להדיא אין בניה תועבין, ומותרין לכהונה.</w:t>
      </w:r>
    </w:p>
  </w:footnote>
  <w:footnote w:id="2577">
    <w:p w14:paraId="70261F4E" w14:textId="77777777" w:rsidR="006074A5" w:rsidRDefault="006074A5" w:rsidP="006074A5">
      <w:pPr>
        <w:pStyle w:val="Footnote"/>
        <w:bidi/>
      </w:pPr>
      <w:r>
        <w:rPr>
          <w:rStyle w:val="ac"/>
          <w:rtl/>
        </w:rPr>
        <w:footnoteRef/>
      </w:r>
      <w:r>
        <w:rPr>
          <w:rtl/>
        </w:rPr>
        <w:t>ו</w:t>
      </w:r>
      <w:r>
        <w:rPr>
          <w:b/>
          <w:bCs/>
          <w:rtl/>
        </w:rPr>
        <w:t>תוס</w:t>
      </w:r>
      <w:r>
        <w:rPr>
          <w:rtl/>
        </w:rPr>
        <w:t>' (לעיל טו: ד”ה מה) כת' דבפסול האשה א"א ללמוד מק"ו דאלמנה. דאין חללות אלא מאיסורי כהונה, אך ה"מ באשה שהיתה כשירה ונתחללה. ודוקא לפסול הבן [שפסול משעת לידה] ילפי' מק”ו. [ויל"ד אי כוונת התוס' דבפסול הבן לא נאמר הך כללא דאין חללות אלא באיסורי כהונה. או דבפסול הבן הוה שם אחר דפגום מעיקרא, ולא הוה שם חללות].</w:t>
      </w:r>
    </w:p>
  </w:footnote>
  <w:footnote w:id="2578">
    <w:p w14:paraId="018BE049" w14:textId="77777777" w:rsidR="006074A5" w:rsidRDefault="006074A5" w:rsidP="006074A5">
      <w:pPr>
        <w:pStyle w:val="Footnote"/>
        <w:bidi/>
      </w:pPr>
      <w:r>
        <w:rPr>
          <w:rStyle w:val="ac"/>
          <w:rtl/>
        </w:rPr>
        <w:footnoteRef/>
      </w:r>
      <w:r>
        <w:rPr>
          <w:rtl/>
        </w:rPr>
        <w:t>למסקנא דהך ק”ו הוה דוקא במקום שאף האשה מתחללת. [אך פשטות הגמ' ד'שכן היא עצמה מתחללת' הוה פירכא בעלמא לק"ו].</w:t>
      </w:r>
    </w:p>
  </w:footnote>
  <w:footnote w:id="2579">
    <w:p w14:paraId="6E280830" w14:textId="77777777" w:rsidR="006074A5" w:rsidRDefault="006074A5" w:rsidP="006074A5">
      <w:pPr>
        <w:pStyle w:val="Footnote"/>
        <w:bidi/>
      </w:pPr>
      <w:r>
        <w:rPr>
          <w:rStyle w:val="ac"/>
          <w:rtl/>
        </w:rPr>
        <w:footnoteRef/>
      </w:r>
      <w:r>
        <w:rPr>
          <w:rtl/>
        </w:rPr>
        <w:t>ותוס' כת' דמצרי שני יש ליישב דהוה רק עשה. אך קשה מעמוני.</w:t>
      </w:r>
    </w:p>
  </w:footnote>
  <w:footnote w:id="2580">
    <w:p w14:paraId="10CF1812" w14:textId="77777777" w:rsidR="006074A5" w:rsidRDefault="006074A5" w:rsidP="006074A5">
      <w:pPr>
        <w:pStyle w:val="Footnote"/>
        <w:bidi/>
      </w:pPr>
      <w:r>
        <w:rPr>
          <w:rStyle w:val="ac"/>
          <w:rtl/>
        </w:rPr>
        <w:footnoteRef/>
      </w:r>
      <w:r>
        <w:rPr>
          <w:rtl/>
        </w:rPr>
        <w:t>וכ"כ ה</w:t>
      </w:r>
      <w:r>
        <w:rPr>
          <w:b/>
          <w:bCs/>
          <w:rtl/>
        </w:rPr>
        <w:t>ריטב"א</w:t>
      </w:r>
      <w:r>
        <w:rPr>
          <w:rtl/>
        </w:rPr>
        <w:t xml:space="preserve"> להדיא, אבל ב</w:t>
      </w:r>
      <w:r>
        <w:rPr>
          <w:b/>
          <w:bCs/>
          <w:rtl/>
        </w:rPr>
        <w:t>חי' ר' שמואל</w:t>
      </w:r>
      <w:r>
        <w:rPr>
          <w:rtl/>
        </w:rPr>
        <w:t xml:space="preserve"> כתב דאפשר דהרמב"ן ס"ל דהבן פגום רק לענין בת הבן, אבל אינו פוסל את אשתו.</w:t>
      </w:r>
    </w:p>
  </w:footnote>
  <w:footnote w:id="2581">
    <w:p w14:paraId="73DB2880" w14:textId="77777777" w:rsidR="006074A5" w:rsidRDefault="006074A5" w:rsidP="006074A5">
      <w:pPr>
        <w:pStyle w:val="Footnote"/>
        <w:bidi/>
      </w:pPr>
      <w:r>
        <w:rPr>
          <w:rStyle w:val="ac"/>
          <w:rtl/>
        </w:rPr>
        <w:footnoteRef/>
      </w:r>
      <w:r>
        <w:rPr>
          <w:rtl/>
        </w:rPr>
        <w:t>וה</w:t>
      </w:r>
      <w:r>
        <w:rPr>
          <w:b/>
          <w:bCs/>
          <w:rtl/>
        </w:rPr>
        <w:t>רמב”ן</w:t>
      </w:r>
      <w:r>
        <w:rPr>
          <w:rtl/>
        </w:rPr>
        <w:t xml:space="preserve"> כת' בתו פסולה לכהונה כבת חלל זכר ואף זה בכלל המשנה דכל מקום דיש קידושין ואין עבירה הולד הולך אחר הזכר [וכדין חלל דבניו חללים, אבל חללה אינה פוסלת זרעה, כדאי' קידו' סז. ועז.]. וב</w:t>
      </w:r>
      <w:r>
        <w:rPr>
          <w:b/>
          <w:bCs/>
          <w:rtl/>
        </w:rPr>
        <w:t>חי' ר' שמואל</w:t>
      </w:r>
      <w:r>
        <w:rPr>
          <w:rtl/>
        </w:rPr>
        <w:t xml:space="preserve"> (י ב,ח) הקשה דכיון דהוה שם חלל, ממילא הוה בתו חללה. ואמאי הביא הרמב"ן מהגמ' דהלך אחר הפגום.</w:t>
      </w:r>
    </w:p>
    <w:p w14:paraId="39ADBF05" w14:textId="77777777" w:rsidR="006074A5" w:rsidRDefault="006074A5" w:rsidP="006074A5">
      <w:pPr>
        <w:pStyle w:val="Footnote"/>
        <w:bidi/>
      </w:pPr>
      <w:r>
        <w:rPr>
          <w:rtl/>
        </w:rPr>
        <w:tab/>
        <w:t>וכתב דאף לרמב"ן לא הוה שם חלל. אלא הוה גדר 'פגום', אלא דס"ל ד'פגום' פוסל את זרעו מדין הלך אחר הפגום [ועי"ש].</w:t>
      </w:r>
    </w:p>
  </w:footnote>
  <w:footnote w:id="2582">
    <w:p w14:paraId="5985FADB" w14:textId="77777777" w:rsidR="006074A5" w:rsidRDefault="006074A5" w:rsidP="006074A5">
      <w:pPr>
        <w:pStyle w:val="Footnote"/>
        <w:bidi/>
      </w:pPr>
      <w:r>
        <w:rPr>
          <w:rStyle w:val="ac"/>
          <w:rtl/>
        </w:rPr>
        <w:footnoteRef/>
      </w:r>
      <w:r>
        <w:rPr>
          <w:rtl/>
        </w:rPr>
        <w:t>וה</w:t>
      </w:r>
      <w:r>
        <w:rPr>
          <w:b/>
          <w:bCs/>
          <w:rtl/>
        </w:rPr>
        <w:t xml:space="preserve">אחרונים </w:t>
      </w:r>
      <w:r>
        <w:rPr>
          <w:rtl/>
        </w:rPr>
        <w:t>העירו דה</w:t>
      </w:r>
      <w:r>
        <w:rPr>
          <w:b/>
          <w:bCs/>
          <w:rtl/>
        </w:rPr>
        <w:t xml:space="preserve">שו"ע </w:t>
      </w:r>
      <w:r>
        <w:rPr>
          <w:rtl/>
        </w:rPr>
        <w:t>(יו"ד רסח ט) נקט הלשון 'הבן'.</w:t>
      </w:r>
    </w:p>
  </w:footnote>
  <w:footnote w:id="2583">
    <w:p w14:paraId="03F58DD0" w14:textId="77777777" w:rsidR="006074A5" w:rsidRDefault="006074A5" w:rsidP="006074A5">
      <w:pPr>
        <w:pStyle w:val="Footnote"/>
        <w:bidi/>
      </w:pPr>
      <w:r>
        <w:rPr>
          <w:rStyle w:val="ac"/>
          <w:rtl/>
        </w:rPr>
        <w:footnoteRef/>
      </w:r>
      <w:r>
        <w:rPr>
          <w:rtl/>
        </w:rPr>
        <w:t>[משמע דלמ"ד הוזהרו, הבן פסול ואסורה בכשירה]. וב</w:t>
      </w:r>
      <w:r>
        <w:rPr>
          <w:b/>
          <w:bCs/>
          <w:rtl/>
        </w:rPr>
        <w:t>חי' ר' שמואל</w:t>
      </w:r>
      <w:r>
        <w:rPr>
          <w:rtl/>
        </w:rPr>
        <w:t xml:space="preserve"> דייק דילפי' מק"ו אף לפסול את הבן, אלא שאין נפק"מ בזה. [ולא כמ"ש בקובה"ע דל"ש ע"ז ק"ו].  [אך יל"פ דכיון דלא משכחת נפק"מ בזה, ממילא ליכא ילפותא כלל. ולא ילפי' ק”ו לפסול הבן, כיון דל"ש אצלו פסול כלל. ומש"ה גדר הק"ו דוקא על הבת. ועוי”ל דכוונת רש”י להוכיח דע”כ סוגיין לא איירי כלפי הבן, כיון דאין נפק”מ].</w:t>
      </w:r>
    </w:p>
  </w:footnote>
  <w:footnote w:id="2584">
    <w:p w14:paraId="7E4E0767" w14:textId="77777777" w:rsidR="006074A5" w:rsidRDefault="006074A5" w:rsidP="006074A5">
      <w:pPr>
        <w:pStyle w:val="Footnote"/>
        <w:bidi/>
      </w:pPr>
      <w:r>
        <w:rPr>
          <w:rStyle w:val="ac"/>
          <w:rtl/>
        </w:rPr>
        <w:footnoteRef/>
      </w:r>
      <w:r>
        <w:rPr>
          <w:rtl/>
        </w:rPr>
        <w:t>ואין שם 'זונה' על הבן שיפסול בביאתו. {ויל"ד דלר' יהודה (קידושין עז.) גר פוסל את האשה בביאתו, ובתו פסולה לכהונה. וע"כ דשם האיסור משום 'זונה' [וכדאי' (לקמן סא.) דגיורת אסורה לכהונה משום שם זונה]. ומבואר דשייך שם זה אף בזכר}.</w:t>
      </w:r>
    </w:p>
  </w:footnote>
  <w:footnote w:id="2585">
    <w:p w14:paraId="127EE605" w14:textId="77777777" w:rsidR="006074A5" w:rsidRDefault="006074A5" w:rsidP="006074A5">
      <w:pPr>
        <w:pStyle w:val="Footnote"/>
        <w:bidi/>
      </w:pPr>
      <w:r>
        <w:rPr>
          <w:rStyle w:val="ac"/>
          <w:rtl/>
        </w:rPr>
        <w:footnoteRef/>
      </w:r>
      <w:r>
        <w:rPr>
          <w:rtl/>
        </w:rPr>
        <w:t>ולפ"ז הפירכא שהיא עצמה מתחללת אינה פירכא בעלמא, אלא דלא שייך גדר הלימוד כלל.</w:t>
      </w:r>
    </w:p>
  </w:footnote>
  <w:footnote w:id="2586">
    <w:p w14:paraId="294AFB00" w14:textId="77777777" w:rsidR="006074A5" w:rsidRDefault="006074A5" w:rsidP="006074A5">
      <w:pPr>
        <w:pStyle w:val="Footnote"/>
        <w:bidi/>
      </w:pPr>
      <w:r>
        <w:rPr>
          <w:rStyle w:val="ac"/>
          <w:rtl/>
        </w:rPr>
        <w:footnoteRef/>
      </w:r>
      <w:r>
        <w:rPr>
          <w:rtl/>
        </w:rPr>
        <w:t>[ע"פ דברי ה</w:t>
      </w:r>
      <w:r>
        <w:rPr>
          <w:b/>
          <w:bCs/>
          <w:rtl/>
        </w:rPr>
        <w:t>גר"ח</w:t>
      </w:r>
      <w:r>
        <w:rPr>
          <w:rtl/>
        </w:rPr>
        <w:t xml:space="preserve"> דחלל 'מחלל' ופוסל בביאתו. והוה גזיה"כ בחלל, אבל הכא הוה רק פגום, ולא ילפי' דיפסול. וכן בתו של חלל אינה פסולה ממילא משום דהוה משפחת חללות, אלא דילפי' דהחלל בביאתו מחלל את זרעו, אבל פגום דסוגיין אינו חלל ואינו פוסל].</w:t>
      </w:r>
    </w:p>
  </w:footnote>
  <w:footnote w:id="2587">
    <w:p w14:paraId="3C8BF6C8" w14:textId="77777777" w:rsidR="006074A5" w:rsidRDefault="006074A5" w:rsidP="006074A5">
      <w:pPr>
        <w:pStyle w:val="Footnote"/>
        <w:bidi/>
      </w:pPr>
      <w:r>
        <w:rPr>
          <w:rStyle w:val="ac"/>
          <w:rtl/>
        </w:rPr>
        <w:footnoteRef/>
      </w:r>
      <w:r>
        <w:rPr>
          <w:rtl/>
        </w:rPr>
        <w:t>דלא הוה זר אצלה מעיקרא [וכדאי' בסוגיה לקמן סח:]. [וע"ע רש"י טו:]. אך ה</w:t>
      </w:r>
      <w:r>
        <w:rPr>
          <w:b/>
          <w:bCs/>
          <w:rtl/>
        </w:rPr>
        <w:t>רמב"ם</w:t>
      </w:r>
      <w:r>
        <w:rPr>
          <w:rtl/>
        </w:rPr>
        <w:t xml:space="preserve"> (איסו"ב יח) פסק דכל ביאה באיסור השווה בכל מתחללת, ואף יבמה לשוק. ודעת ה</w:t>
      </w:r>
      <w:r>
        <w:rPr>
          <w:b/>
          <w:bCs/>
          <w:rtl/>
        </w:rPr>
        <w:t>טור</w:t>
      </w:r>
      <w:r>
        <w:rPr>
          <w:rtl/>
        </w:rPr>
        <w:t xml:space="preserve"> (ו) דעכ"פ יבמה לשוק מתחללת בביאתה, כיון דלא תפסי בה קידושין. וה</w:t>
      </w:r>
      <w:r>
        <w:rPr>
          <w:b/>
          <w:bCs/>
          <w:rtl/>
        </w:rPr>
        <w:t>אחרונים</w:t>
      </w:r>
      <w:r>
        <w:rPr>
          <w:rtl/>
        </w:rPr>
        <w:t xml:space="preserve"> האריכו בזה, ואכמ"ל.</w:t>
      </w:r>
    </w:p>
  </w:footnote>
  <w:footnote w:id="2588">
    <w:p w14:paraId="608730F1" w14:textId="77777777" w:rsidR="006074A5" w:rsidRDefault="006074A5" w:rsidP="006074A5">
      <w:pPr>
        <w:pStyle w:val="Footnote"/>
        <w:bidi/>
      </w:pPr>
      <w:r>
        <w:rPr>
          <w:rStyle w:val="ac"/>
          <w:rtl/>
        </w:rPr>
        <w:footnoteRef/>
      </w:r>
      <w:r>
        <w:rPr>
          <w:rtl/>
        </w:rPr>
        <w:t>[ולא פי' אמאי, וע' בסמוך].</w:t>
      </w:r>
    </w:p>
  </w:footnote>
  <w:footnote w:id="2589">
    <w:p w14:paraId="3D6D8908" w14:textId="77777777" w:rsidR="006074A5" w:rsidRDefault="006074A5" w:rsidP="006074A5">
      <w:pPr>
        <w:pStyle w:val="Footnote"/>
        <w:bidi/>
      </w:pPr>
      <w:r>
        <w:rPr>
          <w:rStyle w:val="ac"/>
          <w:rtl/>
        </w:rPr>
        <w:footnoteRef/>
      </w:r>
      <w:r>
        <w:rPr>
          <w:rtl/>
        </w:rPr>
        <w:t>וה</w:t>
      </w:r>
      <w:r>
        <w:rPr>
          <w:b/>
          <w:bCs/>
          <w:rtl/>
        </w:rPr>
        <w:t>אחרונים</w:t>
      </w:r>
      <w:r>
        <w:rPr>
          <w:rtl/>
        </w:rPr>
        <w:t xml:space="preserve"> ציינו דכ"מ בגמ' (תמורה ה:). [וע"ע מהרש"א סנהדרין נא.].</w:t>
      </w:r>
    </w:p>
  </w:footnote>
  <w:footnote w:id="2590">
    <w:p w14:paraId="2E2EDEEF" w14:textId="77777777" w:rsidR="006074A5" w:rsidRDefault="006074A5" w:rsidP="006074A5">
      <w:pPr>
        <w:pStyle w:val="Footnote"/>
        <w:bidi/>
      </w:pPr>
      <w:r>
        <w:rPr>
          <w:rStyle w:val="ac"/>
          <w:rtl/>
        </w:rPr>
        <w:footnoteRef/>
      </w:r>
      <w:r>
        <w:rPr>
          <w:rtl/>
        </w:rPr>
        <w:t>פ</w:t>
      </w:r>
      <w:r>
        <w:rPr>
          <w:b/>
          <w:bCs/>
          <w:rtl/>
        </w:rPr>
        <w:t>רש"י</w:t>
      </w:r>
      <w:r>
        <w:rPr>
          <w:rtl/>
        </w:rPr>
        <w:t xml:space="preserve"> דפסולה וקיימא. וצ"ב דמ"מ בשעה שבא עליה עשאה זונה, ואם חזר ובא עליה חייב ב' משום גרושה וזונה [וכדאי' קידושין עז:]. [ואפשר דכוונת רש"י להק' דנילף לפסול האשה מכהונה בביאתו. ותי' דבלאו הכי הוה גרושה, ולא שייך ק"ו].</w:t>
      </w:r>
    </w:p>
  </w:footnote>
  <w:footnote w:id="2591">
    <w:p w14:paraId="572B474C" w14:textId="77777777" w:rsidR="006074A5" w:rsidRDefault="006074A5" w:rsidP="006074A5">
      <w:pPr>
        <w:pStyle w:val="Footnote"/>
        <w:bidi/>
      </w:pPr>
      <w:r>
        <w:rPr>
          <w:rStyle w:val="ac"/>
          <w:rtl/>
        </w:rPr>
        <w:footnoteRef/>
      </w:r>
      <w:r>
        <w:rPr>
          <w:rtl/>
        </w:rPr>
        <w:t>בפשוטו משמע מדברי רש"י דאי פסלה בביאה זו או לכהונה או לתרומה שפיר ילפי' לפסול הולד. אלא דכיון דלא נתחללה כלל שייך פירכא לק"ו. וצ"ב דלכאו' כל שאינה נפסלת בין לכהונה ובין לתרומה יש פירכא לק"ו. ואפשר דרש"י נקט כן לרווחא דמילתא.</w:t>
      </w:r>
    </w:p>
  </w:footnote>
  <w:footnote w:id="2592">
    <w:p w14:paraId="325B0B99" w14:textId="77777777" w:rsidR="006074A5" w:rsidRDefault="006074A5" w:rsidP="006074A5">
      <w:pPr>
        <w:pStyle w:val="Footnote"/>
        <w:bidi/>
      </w:pPr>
      <w:r>
        <w:rPr>
          <w:rStyle w:val="ac"/>
          <w:rtl/>
        </w:rPr>
        <w:footnoteRef/>
      </w:r>
      <w:r>
        <w:rPr>
          <w:rtl/>
        </w:rPr>
        <w:t xml:space="preserve">וכ"כ </w:t>
      </w:r>
      <w:r>
        <w:rPr>
          <w:b/>
          <w:bCs/>
          <w:rtl/>
        </w:rPr>
        <w:t>רש"י</w:t>
      </w:r>
      <w:r>
        <w:rPr>
          <w:rtl/>
        </w:rPr>
        <w:t xml:space="preserve"> (לעיל יג: ד"ה וב"ה) דביאת חייבי כריתות פוסל לכהונה ולא לתרומה. אך </w:t>
      </w:r>
      <w:r>
        <w:rPr>
          <w:b/>
          <w:bCs/>
          <w:rtl/>
        </w:rPr>
        <w:t>רש"י</w:t>
      </w:r>
      <w:r>
        <w:rPr>
          <w:rtl/>
        </w:rPr>
        <w:t xml:space="preserve"> (לעיל לה.) כתב דביאת חייבי כריתות פוסל לתרומה משום קרא דאלמנה וגרושה, ו</w:t>
      </w:r>
      <w:r>
        <w:rPr>
          <w:b/>
          <w:bCs/>
          <w:rtl/>
        </w:rPr>
        <w:t>רש"י</w:t>
      </w:r>
      <w:r>
        <w:rPr>
          <w:rtl/>
        </w:rPr>
        <w:t xml:space="preserve"> (לקמן סח:) הוכיח כן דאל”כ לא תפסל לכהונה. [ומשמע דפסול כהונה ילפי' מפסול תרומה, ולא משום זונה. וצ"ע. ואפשר דתלי במח' התנאים].</w:t>
      </w:r>
    </w:p>
  </w:footnote>
  <w:footnote w:id="2593">
    <w:p w14:paraId="69D8B004" w14:textId="77777777" w:rsidR="006074A5" w:rsidRDefault="006074A5" w:rsidP="006074A5">
      <w:pPr>
        <w:pStyle w:val="Footnote"/>
        <w:bidi/>
      </w:pPr>
      <w:r>
        <w:rPr>
          <w:rStyle w:val="ac"/>
          <w:rtl/>
        </w:rPr>
        <w:footnoteRef/>
      </w:r>
      <w:r>
        <w:rPr>
          <w:rtl/>
        </w:rPr>
        <w:t>ו</w:t>
      </w:r>
      <w:r>
        <w:rPr>
          <w:b/>
          <w:bCs/>
          <w:rtl/>
        </w:rPr>
        <w:t>ר"ח</w:t>
      </w:r>
      <w:r>
        <w:rPr>
          <w:rtl/>
        </w:rPr>
        <w:t xml:space="preserve"> לא פי' הדין נושא חלוצתו [דהוה לאו דלא יבנה]. והוה נפק"מ בסברות (הו' בסמוך), דאי ס"ל דכל חייבי לאוין פוסל א"כ אף לאו דלא יבנה [ודוקא קרובת חלוצתו דהוה מדרבנן], אבל לדברי הר"מ דהוה גזיה"כ טומאה במחזיר גרושתו, א"כ נושא חלוצתו אינו בכלל זה. [ולדעת הרמב"ם (הו' בע"א) בלאו הכי לא יבנה הוה מדרבנן].</w:t>
      </w:r>
    </w:p>
  </w:footnote>
  <w:footnote w:id="2594">
    <w:p w14:paraId="38E57593" w14:textId="77777777" w:rsidR="006074A5" w:rsidRDefault="006074A5" w:rsidP="006074A5">
      <w:pPr>
        <w:pStyle w:val="Footnote"/>
        <w:bidi/>
      </w:pPr>
      <w:r>
        <w:rPr>
          <w:rStyle w:val="ac"/>
          <w:rtl/>
        </w:rPr>
        <w:footnoteRef/>
      </w:r>
      <w:r>
        <w:rPr>
          <w:rtl/>
        </w:rPr>
        <w:t>וכ"ד ה</w:t>
      </w:r>
      <w:r>
        <w:rPr>
          <w:b/>
          <w:bCs/>
          <w:rtl/>
        </w:rPr>
        <w:t>רמב"ם</w:t>
      </w:r>
      <w:r>
        <w:rPr>
          <w:rtl/>
        </w:rPr>
        <w:t xml:space="preserve"> דהוה זונה בין לתרומה ובין לכהונה. [ואף פסולי קהל דרשי' 'כי תהיה' לגלות דהוה בכלל זונה].</w:t>
      </w:r>
    </w:p>
  </w:footnote>
  <w:footnote w:id="2595">
    <w:p w14:paraId="55DC665D" w14:textId="77777777" w:rsidR="006074A5" w:rsidRDefault="006074A5" w:rsidP="006074A5">
      <w:pPr>
        <w:pStyle w:val="Footnote"/>
        <w:bidi/>
      </w:pPr>
      <w:r>
        <w:rPr>
          <w:rStyle w:val="ac"/>
          <w:rtl/>
        </w:rPr>
        <w:footnoteRef/>
      </w:r>
      <w:r>
        <w:rPr>
          <w:rtl/>
        </w:rPr>
        <w:t>ולעולם אסורה בתרומה מהאי קרא, מדאפקיה בלשון טומאה. דהא אף סוטה ילפ' לפסול לתרומה מלשון 'ונטמאה'.</w:t>
      </w:r>
    </w:p>
  </w:footnote>
  <w:footnote w:id="2596">
    <w:p w14:paraId="034FCF16" w14:textId="77777777" w:rsidR="006074A5" w:rsidRDefault="006074A5" w:rsidP="006074A5">
      <w:pPr>
        <w:pStyle w:val="Footnote"/>
        <w:bidi/>
      </w:pPr>
      <w:r>
        <w:rPr>
          <w:rStyle w:val="ac"/>
          <w:rtl/>
        </w:rPr>
        <w:footnoteRef/>
      </w:r>
      <w:r>
        <w:rPr>
          <w:rtl/>
        </w:rPr>
        <w:t>ומשמע מדברי התו"י דלאחר שנעשית סוטה שוב ל"ש אצלה צרה [ואילו המת נשא אשה אח"כ לא חשיב צרת ערוה], אלא דהכא היתה צרת ערוה משעה ראשונה [וצ"ב מה מהני, הא קי"ל מיתה מפלת ובעי' שתהא צרת ערוה בשעת מיתה]. אך לכאו' כ"ז לא יתכן, דהא מבואר (לקמן מט:) דלא פקעי קידושי הסוטה, וא"כ הוה צרה אף בשעת מיתה. וצריך לדחוק דלאו דוקא.</w:t>
      </w:r>
    </w:p>
    <w:p w14:paraId="27C8358B" w14:textId="77777777" w:rsidR="006074A5" w:rsidRDefault="006074A5" w:rsidP="006074A5">
      <w:pPr>
        <w:pStyle w:val="Footnote"/>
        <w:bidi/>
      </w:pPr>
      <w:r>
        <w:rPr>
          <w:rtl/>
        </w:rPr>
        <w:tab/>
        <w:t>{ואפשר דנהי דלא פקעי קידושי הסוטה, מ"מ כיון דראוי ליפקע לר' עקיבא אינה נופלת כלל ליבום, ואינה פוטרת צרתה. אך כיון דהיתה צרה של זו משעה ראשונה, ס"ד דעי"ז יחשב צרת ערוה במקום מצווה. וצ"ע}.</w:t>
      </w:r>
    </w:p>
  </w:footnote>
  <w:footnote w:id="2597">
    <w:p w14:paraId="46BAD1F7" w14:textId="77777777" w:rsidR="006074A5" w:rsidRDefault="006074A5" w:rsidP="006074A5">
      <w:pPr>
        <w:pStyle w:val="Footnote"/>
        <w:bidi/>
      </w:pPr>
      <w:r>
        <w:rPr>
          <w:rStyle w:val="ac"/>
          <w:rtl/>
        </w:rPr>
        <w:footnoteRef/>
      </w:r>
      <w:r>
        <w:rPr>
          <w:rtl/>
        </w:rPr>
        <w:t>דלא הוה ערוה לענין זה. [וע"ע בסמוך]. ויל"ד האם אף הסוטה עצמה תיבעי חליצה, וכמו דלא פקע אישות דבעל כשנעשית סוטה. [ויל"ד ע"פ דברי ה</w:t>
      </w:r>
      <w:r>
        <w:rPr>
          <w:b/>
          <w:bCs/>
          <w:rtl/>
        </w:rPr>
        <w:t>ראשונים</w:t>
      </w:r>
      <w:r>
        <w:rPr>
          <w:rtl/>
        </w:rPr>
        <w:t xml:space="preserve"> (לעיל ט.) דלר' עקיבא דכל מקום דלא תפסי קידושין פוטרת צרתה].</w:t>
      </w:r>
    </w:p>
  </w:footnote>
  <w:footnote w:id="2598">
    <w:p w14:paraId="0815D19E" w14:textId="77777777" w:rsidR="006074A5" w:rsidRDefault="006074A5" w:rsidP="006074A5">
      <w:pPr>
        <w:pStyle w:val="Footnote"/>
        <w:bidi/>
      </w:pPr>
      <w:r>
        <w:rPr>
          <w:rStyle w:val="ac"/>
          <w:rtl/>
        </w:rPr>
        <w:footnoteRef/>
      </w:r>
      <w:r>
        <w:rPr>
          <w:rtl/>
        </w:rPr>
        <w:t>וה</w:t>
      </w:r>
      <w:r>
        <w:rPr>
          <w:b/>
          <w:bCs/>
          <w:rtl/>
        </w:rPr>
        <w:t>רשב"א</w:t>
      </w:r>
      <w:r>
        <w:rPr>
          <w:rtl/>
        </w:rPr>
        <w:t xml:space="preserve"> כתב דמביאה שניה, כבר נעשית חללה בביאה ראשונה, וממילא הולד פסול.</w:t>
      </w:r>
    </w:p>
  </w:footnote>
  <w:footnote w:id="2599">
    <w:p w14:paraId="4817488E" w14:textId="77777777" w:rsidR="006074A5" w:rsidRDefault="006074A5" w:rsidP="006074A5">
      <w:pPr>
        <w:pStyle w:val="Footnote"/>
        <w:bidi/>
      </w:pPr>
      <w:r>
        <w:rPr>
          <w:rStyle w:val="ac"/>
          <w:rtl/>
        </w:rPr>
        <w:footnoteRef/>
      </w:r>
      <w:r>
        <w:rPr>
          <w:rtl/>
        </w:rPr>
        <w:t>וציין וצ"ע ס"פ נושאין (לקמן ק:).</w:t>
      </w:r>
    </w:p>
    <w:p w14:paraId="4047453B" w14:textId="77777777" w:rsidR="006074A5" w:rsidRDefault="006074A5" w:rsidP="006074A5">
      <w:pPr>
        <w:pStyle w:val="Footnote"/>
        <w:bidi/>
      </w:pPr>
      <w:r>
        <w:rPr>
          <w:rtl/>
        </w:rPr>
        <w:tab/>
        <w:t>[ובפשוטו נסתפק אף לתרומה, דחזר ונסתפק דפסול הממזרות יפקיענו ממעלות הכהונה [דאינו מיוחס, ואף דהוה כהן בעצם]. אבל ה</w:t>
      </w:r>
      <w:r>
        <w:rPr>
          <w:b/>
          <w:bCs/>
          <w:rtl/>
        </w:rPr>
        <w:t>חזו"א</w:t>
      </w:r>
      <w:r>
        <w:rPr>
          <w:rtl/>
        </w:rPr>
        <w:t xml:space="preserve"> (טו יח) דייק דפשיט"ל דאוכל תרומה ובשאר דברים נסתפק].</w:t>
      </w:r>
    </w:p>
  </w:footnote>
  <w:footnote w:id="2600">
    <w:p w14:paraId="0937B384" w14:textId="77777777" w:rsidR="006074A5" w:rsidRDefault="006074A5" w:rsidP="006074A5">
      <w:pPr>
        <w:pStyle w:val="Footnote"/>
        <w:bidi/>
      </w:pPr>
      <w:r>
        <w:rPr>
          <w:rStyle w:val="ac"/>
          <w:rtl/>
        </w:rPr>
        <w:footnoteRef/>
      </w:r>
      <w:r>
        <w:rPr>
          <w:rtl/>
        </w:rPr>
        <w:t>וה</w:t>
      </w:r>
      <w:r>
        <w:rPr>
          <w:b/>
          <w:bCs/>
          <w:rtl/>
        </w:rPr>
        <w:t>אחרונים</w:t>
      </w:r>
      <w:r>
        <w:rPr>
          <w:rtl/>
        </w:rPr>
        <w:t xml:space="preserve"> האריכו בדין האם ממזר הוה כהן, והיכי משכחת לה [ע' מנח"ח רפג ב, אמר”מ י, חי' ר' שמואל יא. וע"ע בדברי הריטב"א לקמן נג:].</w:t>
      </w:r>
    </w:p>
  </w:footnote>
  <w:footnote w:id="2601">
    <w:p w14:paraId="38EE8294" w14:textId="77777777" w:rsidR="006074A5" w:rsidRDefault="006074A5" w:rsidP="006074A5">
      <w:pPr>
        <w:pStyle w:val="Footnote"/>
        <w:bidi/>
      </w:pPr>
      <w:r>
        <w:rPr>
          <w:rStyle w:val="ac"/>
          <w:rtl/>
        </w:rPr>
        <w:footnoteRef/>
      </w:r>
      <w:r>
        <w:rPr>
          <w:rtl/>
        </w:rPr>
        <w:t xml:space="preserve">וכ"מ מדברי </w:t>
      </w:r>
      <w:r>
        <w:rPr>
          <w:b/>
          <w:bCs/>
          <w:rtl/>
        </w:rPr>
        <w:t>רש"י</w:t>
      </w:r>
      <w:r>
        <w:rPr>
          <w:rtl/>
        </w:rPr>
        <w:t xml:space="preserve"> (יג: הו' לעיל), ואילו מדברי </w:t>
      </w:r>
      <w:r>
        <w:rPr>
          <w:b/>
          <w:bCs/>
          <w:rtl/>
        </w:rPr>
        <w:t>רש"י</w:t>
      </w:r>
      <w:r>
        <w:rPr>
          <w:rtl/>
        </w:rPr>
        <w:t xml:space="preserve"> (לקמן סח:) לכאו' מבואר דלא חילק בזה.</w:t>
      </w:r>
    </w:p>
  </w:footnote>
  <w:footnote w:id="2602">
    <w:p w14:paraId="31144760" w14:textId="77777777" w:rsidR="006074A5" w:rsidRDefault="006074A5" w:rsidP="006074A5">
      <w:pPr>
        <w:pStyle w:val="Footnote"/>
        <w:bidi/>
      </w:pPr>
      <w:r>
        <w:rPr>
          <w:rStyle w:val="ac"/>
          <w:rtl/>
        </w:rPr>
        <w:footnoteRef/>
      </w:r>
      <w:r>
        <w:rPr>
          <w:rtl/>
        </w:rPr>
        <w:t xml:space="preserve">וכמה </w:t>
      </w:r>
      <w:r>
        <w:rPr>
          <w:b/>
          <w:bCs/>
          <w:rtl/>
        </w:rPr>
        <w:t>אחרונים</w:t>
      </w:r>
      <w:r>
        <w:rPr>
          <w:rtl/>
        </w:rPr>
        <w:t xml:space="preserve"> (רע"א בגהש"ס, ותור"ג שם, נוב"י ת' ד) העמידו סתירה בדברי התוס'. וה</w:t>
      </w:r>
      <w:r>
        <w:rPr>
          <w:b/>
          <w:bCs/>
          <w:rtl/>
        </w:rPr>
        <w:t>ר"ש מדסוי</w:t>
      </w:r>
      <w:r>
        <w:rPr>
          <w:rtl/>
        </w:rPr>
        <w:t xml:space="preserve"> ועוד אחרונים ציינו דתלי בתי' התוס' כאן.</w:t>
      </w:r>
    </w:p>
  </w:footnote>
  <w:footnote w:id="2603">
    <w:p w14:paraId="7202FF05" w14:textId="77777777" w:rsidR="006074A5" w:rsidRDefault="006074A5" w:rsidP="006074A5">
      <w:pPr>
        <w:pStyle w:val="Footnote"/>
        <w:bidi/>
      </w:pPr>
      <w:r>
        <w:rPr>
          <w:rStyle w:val="ac"/>
          <w:rtl/>
        </w:rPr>
        <w:footnoteRef/>
      </w:r>
      <w:r>
        <w:rPr>
          <w:rtl/>
        </w:rPr>
        <w:t>וה</w:t>
      </w:r>
      <w:r>
        <w:rPr>
          <w:b/>
          <w:bCs/>
          <w:rtl/>
        </w:rPr>
        <w:t>רמב"ם</w:t>
      </w:r>
      <w:r>
        <w:rPr>
          <w:rtl/>
        </w:rPr>
        <w:t xml:space="preserve"> לא חילק דדוקא היכא דזר אצלה מעיקרא. אלא כל חייבי לאוין [מלבד איסורי כהונה] עשאה זונה. וכ"כ ה</w:t>
      </w:r>
      <w:r>
        <w:rPr>
          <w:b/>
          <w:bCs/>
          <w:rtl/>
        </w:rPr>
        <w:t>רמב"ם</w:t>
      </w:r>
      <w:r>
        <w:rPr>
          <w:rtl/>
        </w:rPr>
        <w:t xml:space="preserve"> (שם ג) דאף הבא על יבמה לשוק עשאה זונה. וה</w:t>
      </w:r>
      <w:r>
        <w:rPr>
          <w:b/>
          <w:bCs/>
          <w:rtl/>
        </w:rPr>
        <w:t>אחרונים</w:t>
      </w:r>
      <w:r>
        <w:rPr>
          <w:rtl/>
        </w:rPr>
        <w:t xml:space="preserve"> הק' מהגמ' (לקמן סח:). [הו' לעיל].</w:t>
      </w:r>
    </w:p>
    <w:p w14:paraId="77FE5827" w14:textId="77777777" w:rsidR="006074A5" w:rsidRDefault="006074A5" w:rsidP="006074A5">
      <w:pPr>
        <w:pStyle w:val="Footnote"/>
        <w:bidi/>
      </w:pPr>
      <w:r>
        <w:rPr>
          <w:rtl/>
        </w:rPr>
        <w:tab/>
        <w:t xml:space="preserve">[ובפשוטו מבואר ברמב"ם דאף מחזיר גרושתו פוסל. אבל </w:t>
      </w:r>
      <w:r>
        <w:rPr>
          <w:b/>
          <w:bCs/>
          <w:rtl/>
        </w:rPr>
        <w:t>ה"ה</w:t>
      </w:r>
      <w:r>
        <w:rPr>
          <w:rtl/>
        </w:rPr>
        <w:t xml:space="preserve"> (יח א בסו”ד) כת' דבמחזיר גרושתו הרמב"ם מודה דאינו פוסל, ולא הוצרך למעטו, דבלא"ה אסורה לכהונה. וע"ע שעה"מ (יח ג) ואבנ”מ ו ד].</w:t>
      </w:r>
    </w:p>
  </w:footnote>
  <w:footnote w:id="2604">
    <w:p w14:paraId="7388BB63" w14:textId="77777777" w:rsidR="006074A5" w:rsidRDefault="006074A5" w:rsidP="006074A5">
      <w:pPr>
        <w:pStyle w:val="Footnote"/>
        <w:bidi/>
      </w:pPr>
      <w:r>
        <w:rPr>
          <w:rStyle w:val="ac"/>
          <w:rtl/>
        </w:rPr>
        <w:footnoteRef/>
      </w:r>
      <w:r>
        <w:rPr>
          <w:rtl/>
        </w:rPr>
        <w:t>וה</w:t>
      </w:r>
      <w:r>
        <w:rPr>
          <w:b/>
          <w:bCs/>
          <w:rtl/>
        </w:rPr>
        <w:t>רמב"ם</w:t>
      </w:r>
      <w:r>
        <w:rPr>
          <w:rtl/>
        </w:rPr>
        <w:t xml:space="preserve"> כת' עוד דאף הנבעלת לחלל הוה זונה [וכדאי' בברייתא (לקמן סח.) דכלל פסולי קהל וחלל, דפוסל האשה בביאתו]. וה</w:t>
      </w:r>
      <w:r>
        <w:rPr>
          <w:b/>
          <w:bCs/>
          <w:rtl/>
        </w:rPr>
        <w:t>ראב"ד</w:t>
      </w:r>
      <w:r>
        <w:rPr>
          <w:rtl/>
        </w:rPr>
        <w:t xml:space="preserve"> (יח א) חלק דחלל פוסל דרשי' מלא יחלל, אף זרעו פוסל. ומבואר דהוה שם חללות. [ו</w:t>
      </w:r>
      <w:r>
        <w:rPr>
          <w:b/>
          <w:bCs/>
          <w:rtl/>
        </w:rPr>
        <w:t>ה"ה</w:t>
      </w:r>
      <w:r>
        <w:rPr>
          <w:rtl/>
        </w:rPr>
        <w:t xml:space="preserve"> ביאר דהרמב"ם ס"ל דאין חללות אלא מאיסור כהונה, וחלל לבת ישראל ליכא איסור דכהונה. וע"כ הוה משום פגם ונחשב זונה, ולא משום איסור כהונה].</w:t>
      </w:r>
    </w:p>
  </w:footnote>
  <w:footnote w:id="2605">
    <w:p w14:paraId="5F89C278" w14:textId="77777777" w:rsidR="006074A5" w:rsidRDefault="006074A5" w:rsidP="006074A5">
      <w:pPr>
        <w:pStyle w:val="Footnote"/>
        <w:bidi/>
      </w:pPr>
      <w:r>
        <w:rPr>
          <w:rStyle w:val="ac"/>
          <w:rtl/>
        </w:rPr>
        <w:footnoteRef/>
      </w:r>
      <w:r>
        <w:rPr>
          <w:rtl/>
        </w:rPr>
        <w:t>וה</w:t>
      </w:r>
      <w:r>
        <w:rPr>
          <w:b/>
          <w:bCs/>
          <w:rtl/>
        </w:rPr>
        <w:t>רמב"ם</w:t>
      </w:r>
      <w:r>
        <w:rPr>
          <w:rtl/>
        </w:rPr>
        <w:t xml:space="preserve"> (שם ה) כת' דזונה לא תלי בביאת איסור, דהא הבא על הנדה ונרבעת לבהמה, וכן קדישה [פנויה מופקרת, ואף לסוברים דלוקה מדאורייתא על הפנויה] לא הוה זונה. ואילו הנשאת לחלל, אף דהוה ביאת היתר נעשה זונה. דאין הדבר תלוי אלא בפגימה.</w:t>
      </w:r>
    </w:p>
    <w:p w14:paraId="42F65906" w14:textId="77777777" w:rsidR="006074A5" w:rsidRDefault="006074A5" w:rsidP="006074A5">
      <w:pPr>
        <w:pStyle w:val="Footnote"/>
        <w:bidi/>
      </w:pPr>
      <w:r>
        <w:rPr>
          <w:rtl/>
        </w:rPr>
        <w:tab/>
        <w:t>ולכאורה מבואר ברמב"ם ד'זונה' הוה שם כולל לאשה המופקעת מכהונה. [ואף היכא דלא תלי בהפקירות או מעשה זנות].</w:t>
      </w:r>
    </w:p>
  </w:footnote>
  <w:footnote w:id="2606">
    <w:p w14:paraId="7FC21670" w14:textId="77777777" w:rsidR="006074A5" w:rsidRDefault="006074A5" w:rsidP="006074A5">
      <w:pPr>
        <w:pStyle w:val="Footnote"/>
        <w:bidi/>
      </w:pPr>
      <w:r>
        <w:rPr>
          <w:rStyle w:val="ac"/>
          <w:rtl/>
        </w:rPr>
        <w:footnoteRef/>
      </w:r>
      <w:r>
        <w:rPr>
          <w:rtl/>
        </w:rPr>
        <w:t>ועד"ז הק' ה</w:t>
      </w:r>
      <w:r>
        <w:rPr>
          <w:b/>
          <w:bCs/>
          <w:rtl/>
        </w:rPr>
        <w:t>אחרונים</w:t>
      </w:r>
      <w:r>
        <w:rPr>
          <w:rtl/>
        </w:rPr>
        <w:t xml:space="preserve"> (אבנ"מ ו ג) בעכו"ם ועבד, דכיון דלא תפסי בה קידושין עשאה זונה. א"כ למה לי קרא דאלמנה וגרושה [דהא אינו לוקה משום קרא דאלמנה וגרושה, דהוה עשה].</w:t>
      </w:r>
    </w:p>
  </w:footnote>
  <w:footnote w:id="2607">
    <w:p w14:paraId="53E3D008" w14:textId="77777777" w:rsidR="006074A5" w:rsidRDefault="006074A5" w:rsidP="006074A5">
      <w:pPr>
        <w:pStyle w:val="Footnote"/>
        <w:bidi/>
      </w:pPr>
      <w:r>
        <w:rPr>
          <w:rStyle w:val="ac"/>
          <w:rtl/>
        </w:rPr>
        <w:footnoteRef/>
      </w:r>
      <w:r>
        <w:rPr>
          <w:rtl/>
        </w:rPr>
        <w:t>ומ"מ ה</w:t>
      </w:r>
      <w:r>
        <w:rPr>
          <w:b/>
          <w:bCs/>
          <w:rtl/>
        </w:rPr>
        <w:t>אבנ"מ</w:t>
      </w:r>
      <w:r>
        <w:rPr>
          <w:rtl/>
        </w:rPr>
        <w:t xml:space="preserve"> (ו ג) הק' אמאי איצטריך קרא דעכו"ם ועבד פוסל בת ישראל, תיפו"ל דהוה זונה [דהא לא תפסי קידושין]. ואין לומר דלוקה ב', דהא אינו לוקה משום אלמנה וגרושה דהוה לאו הבא מכלל עשה. {ואפשר דכיון דלא תפסי קידושין לשום אדם [וכגמ' מה: ותוס' מט:], מש"ה לא יפסול כדין זונה}.</w:t>
      </w:r>
    </w:p>
    <w:p w14:paraId="65B09ACC" w14:textId="77777777" w:rsidR="006074A5" w:rsidRDefault="006074A5" w:rsidP="006074A5">
      <w:pPr>
        <w:pStyle w:val="Footnote"/>
        <w:bidi/>
      </w:pPr>
      <w:r>
        <w:rPr>
          <w:rtl/>
        </w:rPr>
        <w:tab/>
        <w:t>אך יש שדנו דלוקה אף משום 'אלמנה וגרושה', דאף אלמנה וגרושה הוה גילוי מילתא דיש בו פגם ופסול.</w:t>
      </w:r>
    </w:p>
  </w:footnote>
  <w:footnote w:id="2608">
    <w:p w14:paraId="432F606C" w14:textId="77777777" w:rsidR="006074A5" w:rsidRDefault="006074A5" w:rsidP="006074A5">
      <w:pPr>
        <w:pStyle w:val="Footnote"/>
        <w:bidi/>
      </w:pPr>
      <w:r>
        <w:rPr>
          <w:rStyle w:val="ac"/>
          <w:rtl/>
        </w:rPr>
        <w:footnoteRef/>
      </w:r>
      <w:r>
        <w:rPr>
          <w:rtl/>
        </w:rPr>
        <w:t>וה</w:t>
      </w:r>
      <w:r>
        <w:rPr>
          <w:b/>
          <w:bCs/>
          <w:rtl/>
        </w:rPr>
        <w:t>רשב"א</w:t>
      </w:r>
      <w:r>
        <w:rPr>
          <w:rtl/>
        </w:rPr>
        <w:t xml:space="preserve"> כת' דאין לומר דזונה אוסר לכהונה, וקו' הגמ' מנ"ל דפסולה לתרומה [ותלי בדברי התוס' דידן אי זונה כשירה לכהונה]. והק' דבהמשך הגמ' (שם) אי' לכהונה מנ"ל.</w:t>
      </w:r>
    </w:p>
  </w:footnote>
  <w:footnote w:id="2609">
    <w:p w14:paraId="0B92E0AF" w14:textId="77777777" w:rsidR="006074A5" w:rsidRDefault="006074A5" w:rsidP="006074A5">
      <w:pPr>
        <w:pStyle w:val="Footnote"/>
        <w:bidi/>
      </w:pPr>
      <w:r>
        <w:rPr>
          <w:rStyle w:val="ac"/>
          <w:rtl/>
        </w:rPr>
        <w:footnoteRef/>
      </w:r>
      <w:r>
        <w:rPr>
          <w:rtl/>
        </w:rPr>
        <w:t>אלא זונה כשמה, שסוטה תחת בעלה.</w:t>
      </w:r>
    </w:p>
  </w:footnote>
  <w:footnote w:id="2610">
    <w:p w14:paraId="1CC25E10" w14:textId="77777777" w:rsidR="006074A5" w:rsidRDefault="006074A5" w:rsidP="006074A5">
      <w:pPr>
        <w:pStyle w:val="Footnote"/>
        <w:bidi/>
      </w:pPr>
      <w:r>
        <w:rPr>
          <w:rStyle w:val="ac"/>
          <w:rtl/>
        </w:rPr>
        <w:footnoteRef/>
      </w:r>
      <w:r>
        <w:rPr>
          <w:rtl/>
        </w:rPr>
        <w:t>והוסיף דעכו"ם ועבד, אף דהויא זונה לא הוה בכלל כי תהיה לאיש זר, כיון דלא חמירי. [ומש"ה איצטריך אלמנה וגרושה].</w:t>
      </w:r>
    </w:p>
  </w:footnote>
  <w:footnote w:id="2611">
    <w:p w14:paraId="679F4009" w14:textId="77777777" w:rsidR="006074A5" w:rsidRDefault="006074A5" w:rsidP="006074A5">
      <w:pPr>
        <w:pStyle w:val="Footnote"/>
        <w:bidi/>
      </w:pPr>
      <w:r>
        <w:rPr>
          <w:rStyle w:val="ac"/>
          <w:rtl/>
        </w:rPr>
        <w:footnoteRef/>
      </w:r>
      <w:r>
        <w:rPr>
          <w:rtl/>
        </w:rPr>
        <w:t>וה</w:t>
      </w:r>
      <w:r>
        <w:rPr>
          <w:b/>
          <w:bCs/>
          <w:rtl/>
        </w:rPr>
        <w:t>ב"ח</w:t>
      </w:r>
      <w:r>
        <w:rPr>
          <w:rtl/>
        </w:rPr>
        <w:t xml:space="preserve"> גרס כזרים אצלה מעיקרא חשיבי.</w:t>
      </w:r>
    </w:p>
  </w:footnote>
  <w:footnote w:id="2612">
    <w:p w14:paraId="63688A42" w14:textId="77777777" w:rsidR="006074A5" w:rsidRDefault="006074A5" w:rsidP="006074A5">
      <w:pPr>
        <w:pStyle w:val="Footnote"/>
        <w:bidi/>
      </w:pPr>
      <w:r>
        <w:rPr>
          <w:rStyle w:val="ac"/>
          <w:rtl/>
        </w:rPr>
        <w:footnoteRef/>
      </w:r>
      <w:r>
        <w:rPr>
          <w:rtl/>
        </w:rPr>
        <w:t>ו</w:t>
      </w:r>
      <w:r>
        <w:rPr>
          <w:b/>
          <w:bCs/>
          <w:rtl/>
        </w:rPr>
        <w:t>תוס</w:t>
      </w:r>
      <w:r>
        <w:rPr>
          <w:rtl/>
        </w:rPr>
        <w:t>' פי' קו' הגמ' (סח:) ואימא דוקא חייבי כריתות ולא חייבי לאוין. אך אף למסקנא [דדרשי' דקאי א'בני הויה'] עיקר קרא דאיש זר קאי בחייבי כריתות.</w:t>
      </w:r>
    </w:p>
  </w:footnote>
  <w:footnote w:id="2613">
    <w:p w14:paraId="3C8D02E2" w14:textId="77777777" w:rsidR="006074A5" w:rsidRDefault="006074A5" w:rsidP="006074A5">
      <w:pPr>
        <w:pStyle w:val="Footnote"/>
        <w:bidi/>
      </w:pPr>
      <w:r>
        <w:rPr>
          <w:rStyle w:val="ac"/>
          <w:rtl/>
        </w:rPr>
        <w:footnoteRef/>
      </w:r>
      <w:r>
        <w:rPr>
          <w:rtl/>
        </w:rPr>
        <w:t>דבגמ' (שם) אי' דילפי' דעכו"ם ועבד פסלי בביאתם מאלמנה וגרושה. ו</w:t>
      </w:r>
      <w:r>
        <w:rPr>
          <w:b/>
          <w:bCs/>
          <w:rtl/>
        </w:rPr>
        <w:t>רש"י</w:t>
      </w:r>
      <w:r>
        <w:rPr>
          <w:rtl/>
        </w:rPr>
        <w:t xml:space="preserve"> פי' דאף חייבי כריתות בכלל. [ותוס' הק' דמשמע בגמ' דלא הק' מחייבי כריתות, אלא מעכו"ם ועבד].</w:t>
      </w:r>
    </w:p>
  </w:footnote>
  <w:footnote w:id="2614">
    <w:p w14:paraId="08B46A14" w14:textId="77777777" w:rsidR="006074A5" w:rsidRDefault="006074A5" w:rsidP="006074A5">
      <w:pPr>
        <w:pStyle w:val="Footnote"/>
        <w:bidi/>
      </w:pPr>
      <w:r>
        <w:rPr>
          <w:rStyle w:val="ac"/>
          <w:rtl/>
        </w:rPr>
        <w:footnoteRef/>
      </w:r>
      <w:r>
        <w:rPr>
          <w:rtl/>
        </w:rPr>
        <w:t>ובזה מיושב קושיות רש"י, דבכל הנך מבואר דנפסלה לכהונה. ואין ראיה שפסולה לתרומה.</w:t>
      </w:r>
    </w:p>
  </w:footnote>
  <w:footnote w:id="2615">
    <w:p w14:paraId="0C5629CE" w14:textId="77777777" w:rsidR="006074A5" w:rsidRDefault="006074A5" w:rsidP="006074A5">
      <w:pPr>
        <w:pStyle w:val="Footnote"/>
        <w:bidi/>
      </w:pPr>
      <w:r>
        <w:rPr>
          <w:rStyle w:val="ac"/>
          <w:rtl/>
        </w:rPr>
        <w:footnoteRef/>
      </w:r>
      <w:r>
        <w:rPr>
          <w:rtl/>
        </w:rPr>
        <w:t>ופ</w:t>
      </w:r>
      <w:r>
        <w:rPr>
          <w:b/>
          <w:bCs/>
          <w:rtl/>
        </w:rPr>
        <w:t xml:space="preserve">רש"י </w:t>
      </w:r>
      <w:r>
        <w:rPr>
          <w:rtl/>
        </w:rPr>
        <w:t>(לקמן סח:) דממילא כיון דאיפסלה לתרומה איפסלה לכהונה, דתרומה היינו קדושת כהונה.</w:t>
      </w:r>
    </w:p>
  </w:footnote>
  <w:footnote w:id="2616">
    <w:p w14:paraId="608E8193" w14:textId="77777777" w:rsidR="006074A5" w:rsidRDefault="006074A5" w:rsidP="006074A5">
      <w:pPr>
        <w:pStyle w:val="Footnote"/>
        <w:bidi/>
      </w:pPr>
      <w:r>
        <w:rPr>
          <w:rStyle w:val="ac"/>
          <w:rtl/>
        </w:rPr>
        <w:footnoteRef/>
      </w:r>
      <w:r>
        <w:rPr>
          <w:rtl/>
        </w:rPr>
        <w:t>משום לא תאכל, ומשום זונה.</w:t>
      </w:r>
    </w:p>
  </w:footnote>
  <w:footnote w:id="2617">
    <w:p w14:paraId="560DD804" w14:textId="77777777" w:rsidR="006074A5" w:rsidRDefault="006074A5" w:rsidP="006074A5">
      <w:pPr>
        <w:pStyle w:val="Footnote"/>
        <w:bidi/>
      </w:pPr>
      <w:r>
        <w:rPr>
          <w:rStyle w:val="ac"/>
          <w:rtl/>
        </w:rPr>
        <w:footnoteRef/>
      </w:r>
      <w:r>
        <w:rPr>
          <w:rtl/>
        </w:rPr>
        <w:t xml:space="preserve">אך </w:t>
      </w:r>
      <w:r>
        <w:rPr>
          <w:b/>
          <w:bCs/>
          <w:rtl/>
        </w:rPr>
        <w:t>רש"י</w:t>
      </w:r>
      <w:r>
        <w:rPr>
          <w:rtl/>
        </w:rPr>
        <w:t xml:space="preserve"> (לקמן פד. ד"ה אח כשר) כת' [להיפך] דחלל פוסל אשה בביאתו, כדילפי' כי תהיה לאיש זר, משמע דכל חללה תלי בשם 'איש זר'.</w:t>
      </w:r>
    </w:p>
  </w:footnote>
  <w:footnote w:id="2618">
    <w:p w14:paraId="6C24F5B4" w14:textId="77777777" w:rsidR="006074A5" w:rsidRDefault="006074A5" w:rsidP="006074A5">
      <w:pPr>
        <w:pStyle w:val="Footnote"/>
        <w:bidi/>
      </w:pPr>
      <w:r>
        <w:rPr>
          <w:rStyle w:val="ac"/>
          <w:rtl/>
        </w:rPr>
        <w:footnoteRef/>
      </w:r>
      <w:r>
        <w:rPr>
          <w:rtl/>
        </w:rPr>
        <w:t xml:space="preserve">ולדעת </w:t>
      </w:r>
      <w:r>
        <w:rPr>
          <w:b/>
          <w:bCs/>
          <w:rtl/>
        </w:rPr>
        <w:t>רש"י</w:t>
      </w:r>
      <w:r>
        <w:rPr>
          <w:rtl/>
        </w:rPr>
        <w:t xml:space="preserve"> (סח: הנ"ל) כל חייבי כריתות ילפי' מהך קרא, ואין לוקין עליו. ודוקא חייבי לאוין דזר מעיקרא [פסולי קהל] ילפי' מאיש זר, וק"ו לכהונה.</w:t>
      </w:r>
    </w:p>
  </w:footnote>
  <w:footnote w:id="2619">
    <w:p w14:paraId="60F2FBF1" w14:textId="77777777" w:rsidR="006074A5" w:rsidRDefault="006074A5" w:rsidP="006074A5">
      <w:pPr>
        <w:pStyle w:val="Footnote"/>
        <w:bidi/>
      </w:pPr>
      <w:r>
        <w:rPr>
          <w:rStyle w:val="ac"/>
          <w:rtl/>
        </w:rPr>
        <w:footnoteRef/>
      </w:r>
      <w:r>
        <w:rPr>
          <w:rtl/>
        </w:rPr>
        <w:t>וכדאי' בסוגיין דבא עליה עשאה זונה, וע"כ היינו משום דלא תפסי בה קידושין [וכמ"ש תוס' (לעיל) דזונה משמע היכא דלא תפסי בה קידושין].</w:t>
      </w:r>
    </w:p>
  </w:footnote>
  <w:footnote w:id="2620">
    <w:p w14:paraId="64B828A3" w14:textId="77777777" w:rsidR="006074A5" w:rsidRDefault="006074A5" w:rsidP="006074A5">
      <w:pPr>
        <w:pStyle w:val="Footnote"/>
        <w:bidi/>
      </w:pPr>
      <w:r>
        <w:rPr>
          <w:rStyle w:val="ac"/>
          <w:rtl/>
        </w:rPr>
        <w:footnoteRef/>
      </w:r>
      <w:r>
        <w:rPr>
          <w:rtl/>
          <w:lang w:val="he-IL"/>
        </w:rPr>
        <w:t>וה</w:t>
      </w:r>
      <w:r>
        <w:rPr>
          <w:b/>
          <w:bCs/>
          <w:rtl/>
          <w:lang w:val="he-IL"/>
        </w:rPr>
        <w:t>רמב"ן</w:t>
      </w:r>
      <w:r>
        <w:rPr>
          <w:rtl/>
          <w:lang w:val="he-IL"/>
        </w:rPr>
        <w:t xml:space="preserve"> (לקמן פה:) כת' [לצד ההיפך] דאין לך ממזר במקום דתפסי קדושין</w:t>
      </w:r>
      <w:r>
        <w:rPr>
          <w:rFonts w:cs="Times New Roman"/>
          <w:rtl/>
          <w:lang w:val="he-IL"/>
        </w:rPr>
        <w:t>.</w:t>
      </w:r>
    </w:p>
  </w:footnote>
  <w:footnote w:id="2621">
    <w:p w14:paraId="07FBD820" w14:textId="77777777" w:rsidR="006074A5" w:rsidRDefault="006074A5" w:rsidP="006074A5">
      <w:pPr>
        <w:pStyle w:val="Footnote"/>
        <w:bidi/>
      </w:pPr>
      <w:r>
        <w:rPr>
          <w:rStyle w:val="ac"/>
          <w:rtl/>
        </w:rPr>
        <w:footnoteRef/>
      </w:r>
      <w:r>
        <w:rPr>
          <w:rtl/>
        </w:rPr>
        <w:t>[אך דחה לפי הצד דגדר אי עביד ל"מ דהוה כאילו התורה צוותה בהדיא לא יהא לך בה קידושין].</w:t>
      </w:r>
    </w:p>
  </w:footnote>
  <w:footnote w:id="2622">
    <w:p w14:paraId="639EEE1C" w14:textId="77777777" w:rsidR="006074A5" w:rsidRDefault="006074A5" w:rsidP="006074A5">
      <w:pPr>
        <w:pStyle w:val="Footnote"/>
        <w:bidi/>
      </w:pPr>
      <w:r>
        <w:rPr>
          <w:rStyle w:val="ac"/>
          <w:rtl/>
        </w:rPr>
        <w:footnoteRef/>
      </w:r>
      <w:r>
        <w:rPr>
          <w:rtl/>
        </w:rPr>
        <w:t>דבפלוגתא לא קמיירי (כדלעיל י.).</w:t>
      </w:r>
    </w:p>
  </w:footnote>
  <w:footnote w:id="2623">
    <w:p w14:paraId="632181A2" w14:textId="77777777" w:rsidR="006074A5" w:rsidRDefault="006074A5" w:rsidP="006074A5">
      <w:pPr>
        <w:pStyle w:val="Footnote"/>
        <w:bidi/>
      </w:pPr>
      <w:r>
        <w:rPr>
          <w:rStyle w:val="ac"/>
          <w:rtl/>
        </w:rPr>
        <w:footnoteRef/>
      </w:r>
      <w:r>
        <w:rPr>
          <w:rtl/>
        </w:rPr>
        <w:t>וכן הביא ה</w:t>
      </w:r>
      <w:r>
        <w:rPr>
          <w:b/>
          <w:bCs/>
          <w:rtl/>
        </w:rPr>
        <w:t xml:space="preserve">רמב"ן </w:t>
      </w:r>
      <w:r>
        <w:rPr>
          <w:rtl/>
        </w:rPr>
        <w:t>דתנן</w:t>
      </w:r>
      <w:r>
        <w:rPr>
          <w:b/>
          <w:bCs/>
          <w:rtl/>
        </w:rPr>
        <w:t xml:space="preserve"> </w:t>
      </w:r>
      <w:r>
        <w:rPr>
          <w:rtl/>
        </w:rPr>
        <w:t>ט”ו נשים פוטרות צרותיהם [אלא דלא הזכיר להדיא דקאי כלפי חליצה]. ובפשוטו מבואר כוונתו דהיכא דתפסי קידושין לא פטרה צרתה [דומיא דמש"כ הרמב"ן (לעיל ט.) דלר' עקיבא כל היכא דלא תפסי קידושין פטרה צרתה]. [ואף דילפי' מאחות אשה דהוה חייבי כריתות]. אבל יל"פ דכוונתו להקשות דתתחייב חליצה [וכמו סוטה ומחזיר גרושתו דאסרה צרתה מהחליצה].</w:t>
      </w:r>
    </w:p>
  </w:footnote>
  <w:footnote w:id="2624">
    <w:p w14:paraId="17771F69" w14:textId="77777777" w:rsidR="006074A5" w:rsidRDefault="006074A5" w:rsidP="006074A5">
      <w:pPr>
        <w:pStyle w:val="Footnote"/>
        <w:bidi/>
      </w:pPr>
      <w:r>
        <w:rPr>
          <w:rStyle w:val="ac"/>
          <w:rtl/>
        </w:rPr>
        <w:footnoteRef/>
      </w:r>
      <w:r>
        <w:rPr>
          <w:rtl/>
        </w:rPr>
        <w:t>אבל ה</w:t>
      </w:r>
      <w:r>
        <w:rPr>
          <w:b/>
          <w:bCs/>
          <w:rtl/>
        </w:rPr>
        <w:t>מהרש"ל</w:t>
      </w:r>
      <w:r>
        <w:rPr>
          <w:rtl/>
        </w:rPr>
        <w:t xml:space="preserve"> (לתוס' לקמן מט.) כתב דאף לר' עקיבא [למ"ד דבעי לאו דשאר] א"ש סוגיין, דבעינן דומיא דאנוסת אביו.</w:t>
      </w:r>
    </w:p>
  </w:footnote>
  <w:footnote w:id="2625">
    <w:p w14:paraId="4FFCC6C6" w14:textId="77777777" w:rsidR="006074A5" w:rsidRDefault="006074A5" w:rsidP="006074A5">
      <w:pPr>
        <w:pStyle w:val="Footnote"/>
        <w:bidi/>
      </w:pPr>
      <w:r>
        <w:rPr>
          <w:rStyle w:val="ac"/>
          <w:rtl/>
        </w:rPr>
        <w:footnoteRef/>
      </w:r>
      <w:r>
        <w:rPr>
          <w:rtl/>
        </w:rPr>
        <w:t>אבל הרמב"ן כתב ד</w:t>
      </w:r>
      <w:r>
        <w:rPr>
          <w:b/>
          <w:bCs/>
          <w:rtl/>
        </w:rPr>
        <w:t>רש"י</w:t>
      </w:r>
      <w:r>
        <w:rPr>
          <w:rtl/>
        </w:rPr>
        <w:t xml:space="preserve"> (כאן) לא פי' מנלן בעכו"ם. [ולא גרס כ"ז ברש"י דידן].</w:t>
      </w:r>
    </w:p>
  </w:footnote>
  <w:footnote w:id="2626">
    <w:p w14:paraId="2F628CA5" w14:textId="77777777" w:rsidR="006074A5" w:rsidRDefault="006074A5" w:rsidP="006074A5">
      <w:pPr>
        <w:pStyle w:val="Footnote"/>
        <w:bidi/>
      </w:pPr>
      <w:r>
        <w:rPr>
          <w:rStyle w:val="ac"/>
          <w:rtl/>
        </w:rPr>
        <w:footnoteRef/>
      </w:r>
      <w:r>
        <w:rPr>
          <w:rtl/>
        </w:rPr>
        <w:t>וה</w:t>
      </w:r>
      <w:r>
        <w:rPr>
          <w:b/>
          <w:bCs/>
          <w:rtl/>
        </w:rPr>
        <w:t>אחרונים</w:t>
      </w:r>
      <w:r>
        <w:rPr>
          <w:rtl/>
        </w:rPr>
        <w:t xml:space="preserve"> הקשו מנ"ל דלא תפס קידושין, הא י"ל דממועט רק דאין חיוב מיתה [וכדעת </w:t>
      </w:r>
      <w:r>
        <w:rPr>
          <w:b/>
          <w:bCs/>
          <w:rtl/>
        </w:rPr>
        <w:t>רש"י</w:t>
      </w:r>
      <w:r>
        <w:rPr>
          <w:rtl/>
        </w:rPr>
        <w:t xml:space="preserve"> (קידושין יט.) באשת קטן, דנתמעט אשת איש ולא קטן לפטור רק מחיוב מיתה].</w:t>
      </w:r>
    </w:p>
  </w:footnote>
  <w:footnote w:id="2627">
    <w:p w14:paraId="72BA734D" w14:textId="77777777" w:rsidR="006074A5" w:rsidRDefault="006074A5" w:rsidP="006074A5">
      <w:pPr>
        <w:pStyle w:val="Footnote"/>
        <w:bidi/>
      </w:pPr>
      <w:r>
        <w:rPr>
          <w:rStyle w:val="ac"/>
          <w:rtl/>
        </w:rPr>
        <w:footnoteRef/>
      </w:r>
      <w:r>
        <w:rPr>
          <w:rtl/>
        </w:rPr>
        <w:t>וכן מבואר ב</w:t>
      </w:r>
      <w:r>
        <w:rPr>
          <w:b/>
          <w:bCs/>
          <w:rtl/>
        </w:rPr>
        <w:t>תוס'</w:t>
      </w:r>
      <w:r>
        <w:rPr>
          <w:rtl/>
        </w:rPr>
        <w:t xml:space="preserve"> (סנהדרין שם) דפי' דהמיעוט קאי בנשי דידהו, ולכן כתבו דממועט רק ממיתה ועובר בעשה.</w:t>
      </w:r>
    </w:p>
  </w:footnote>
  <w:footnote w:id="2628">
    <w:p w14:paraId="75E6373F" w14:textId="77777777" w:rsidR="006074A5" w:rsidRDefault="006074A5" w:rsidP="006074A5">
      <w:pPr>
        <w:pStyle w:val="Footnote"/>
        <w:bidi/>
      </w:pPr>
      <w:r>
        <w:rPr>
          <w:rStyle w:val="ac"/>
          <w:rtl/>
        </w:rPr>
        <w:footnoteRef/>
      </w:r>
      <w:r>
        <w:rPr>
          <w:rtl/>
        </w:rPr>
        <w:t>[אך כתב דהגמ' (קידושין סח:) לא ס"ל כן].</w:t>
      </w:r>
    </w:p>
  </w:footnote>
  <w:footnote w:id="2629">
    <w:p w14:paraId="1BE269D8" w14:textId="77777777" w:rsidR="006074A5" w:rsidRDefault="006074A5" w:rsidP="006074A5">
      <w:pPr>
        <w:pStyle w:val="Footnote"/>
        <w:bidi/>
      </w:pPr>
      <w:r>
        <w:rPr>
          <w:rStyle w:val="ac"/>
          <w:rtl/>
        </w:rPr>
        <w:footnoteRef/>
      </w:r>
      <w:r>
        <w:rPr>
          <w:rtl/>
        </w:rPr>
        <w:t>והביאו דמבואר בלשון הגמ' דכוונת רבי לדברי ר"ע דאין קידושין תופסין בחייבי לאוין. [ודלא כמ"ש הרמב"ם בפיה"מ ה א, הו' לעיל י: ומד.].</w:t>
      </w:r>
    </w:p>
  </w:footnote>
  <w:footnote w:id="2630">
    <w:p w14:paraId="580343FB" w14:textId="77777777" w:rsidR="006074A5" w:rsidRDefault="006074A5" w:rsidP="006074A5">
      <w:pPr>
        <w:pStyle w:val="Footnote"/>
        <w:bidi/>
      </w:pPr>
      <w:r>
        <w:rPr>
          <w:rStyle w:val="ac"/>
          <w:rtl/>
        </w:rPr>
        <w:footnoteRef/>
      </w:r>
      <w:r>
        <w:rPr>
          <w:rtl/>
        </w:rPr>
        <w:t>וכן מוכח לדעת רש"י (לקמן מט.) דלא יבנה הוה חייבי לאוין דשאר. ואפ"ה רבי ס"ל דאינו ממזר. אבל יש ראשונים (הו' לקמן שם) דלא יבנה נחשב חייבי לאוין דלאו דשאר. א"כ י"ל דרבי ס"ל דבחייבי לאוין דשאר הוה ממזר. אך מ"מ עכו"ם ועבד לא הוה 'שאר', וע”כ הוה משום דלא תפסי קידושין.</w:t>
      </w:r>
    </w:p>
  </w:footnote>
  <w:footnote w:id="2631">
    <w:p w14:paraId="1053DD16" w14:textId="77777777" w:rsidR="006074A5" w:rsidRDefault="006074A5" w:rsidP="006074A5">
      <w:pPr>
        <w:pStyle w:val="Footnote"/>
        <w:bidi/>
      </w:pPr>
      <w:r>
        <w:rPr>
          <w:rStyle w:val="ac"/>
          <w:rtl/>
        </w:rPr>
        <w:footnoteRef/>
      </w:r>
      <w:r>
        <w:rPr>
          <w:rtl/>
        </w:rPr>
        <w:t>[יל"ד אמאי פשיט"ל דהלכה כרב ושמואל וריב"ל ובר קפרא נגד ר' יוחנן ר"א ור' חנינא ורבי. וקי"ל כר' יוחנן נגד רב ושמואל. אך דעת תוס' (גיטין לט. וכ"מ) דקי"ל כריב"ל כנגד ר' יוחנן].</w:t>
      </w:r>
    </w:p>
  </w:footnote>
  <w:footnote w:id="2632">
    <w:p w14:paraId="7C5553DB" w14:textId="77777777" w:rsidR="006074A5" w:rsidRDefault="006074A5" w:rsidP="006074A5">
      <w:pPr>
        <w:pStyle w:val="Footnote"/>
        <w:bidi/>
      </w:pPr>
      <w:r>
        <w:rPr>
          <w:rStyle w:val="ac"/>
          <w:rtl/>
        </w:rPr>
        <w:footnoteRef/>
      </w:r>
      <w:r>
        <w:rPr>
          <w:rtl/>
        </w:rPr>
        <w:t>וה</w:t>
      </w:r>
      <w:r>
        <w:rPr>
          <w:b/>
          <w:bCs/>
          <w:rtl/>
        </w:rPr>
        <w:t>או"ש</w:t>
      </w:r>
      <w:r>
        <w:rPr>
          <w:rtl/>
        </w:rPr>
        <w:t xml:space="preserve"> (איסו"ב טו ג) ביאר דלא מצאנו בת ישראל שמולידה בן עבד. וה</w:t>
      </w:r>
      <w:r>
        <w:rPr>
          <w:b/>
          <w:bCs/>
          <w:rtl/>
        </w:rPr>
        <w:t>נתיבות</w:t>
      </w:r>
      <w:r>
        <w:rPr>
          <w:rtl/>
        </w:rPr>
        <w:t xml:space="preserve"> (בשו"ת חמד"ש ב) כת' דעבד אין לו חייס, ולכן ע"כ הוה עבד. [אבל </w:t>
      </w:r>
      <w:r>
        <w:rPr>
          <w:b/>
          <w:bCs/>
          <w:rtl/>
        </w:rPr>
        <w:t>תוס</w:t>
      </w:r>
      <w:r>
        <w:rPr>
          <w:rtl/>
        </w:rPr>
        <w:t>' (לעיל טז:) משמע דקאי אף אעבד, וצ"ע].</w:t>
      </w:r>
    </w:p>
  </w:footnote>
  <w:footnote w:id="2633">
    <w:p w14:paraId="707EE19B" w14:textId="77777777" w:rsidR="006074A5" w:rsidRDefault="006074A5" w:rsidP="006074A5">
      <w:pPr>
        <w:pStyle w:val="Footnote"/>
        <w:bidi/>
      </w:pPr>
      <w:r>
        <w:rPr>
          <w:rStyle w:val="ac"/>
          <w:rtl/>
        </w:rPr>
        <w:footnoteRef/>
      </w:r>
      <w:r>
        <w:rPr>
          <w:rtl/>
        </w:rPr>
        <w:t>אך צ"ב לפ"ז גבי עבד, ע"פ דברי האחרונים (הנ"ל) דבעבד לכו"ע הוה ישראל.</w:t>
      </w:r>
    </w:p>
  </w:footnote>
  <w:footnote w:id="2634">
    <w:p w14:paraId="4EA1EA9F" w14:textId="77777777" w:rsidR="006074A5" w:rsidRDefault="006074A5" w:rsidP="006074A5">
      <w:pPr>
        <w:pStyle w:val="Footnote"/>
        <w:bidi/>
      </w:pPr>
      <w:r>
        <w:rPr>
          <w:rStyle w:val="ac"/>
          <w:rtl/>
        </w:rPr>
        <w:footnoteRef/>
      </w:r>
      <w:r>
        <w:rPr>
          <w:rtl/>
        </w:rPr>
        <w:t>וכן תנא דתלה הטעם משום דלא הוה איסור ערוה.</w:t>
      </w:r>
    </w:p>
  </w:footnote>
  <w:footnote w:id="2635">
    <w:p w14:paraId="34B2C495" w14:textId="77777777" w:rsidR="006074A5" w:rsidRDefault="006074A5" w:rsidP="006074A5">
      <w:pPr>
        <w:pStyle w:val="Footnote"/>
        <w:bidi/>
      </w:pPr>
      <w:r>
        <w:rPr>
          <w:rStyle w:val="ac"/>
          <w:rtl/>
        </w:rPr>
        <w:footnoteRef/>
      </w:r>
      <w:r>
        <w:rPr>
          <w:rtl/>
        </w:rPr>
        <w:t>משמע מדבריו דיש בו ב' צדדים סותרים, ול"ש שיהא 'מקצת'. ולכן במקום טומאת עכו"ם לא נחשב צד ישראלות, אבל משנסתלק צד העכו"ם הוה שפיר ישראל.</w:t>
      </w:r>
    </w:p>
  </w:footnote>
  <w:footnote w:id="2636">
    <w:p w14:paraId="492C5468" w14:textId="77777777" w:rsidR="006074A5" w:rsidRDefault="006074A5" w:rsidP="006074A5">
      <w:pPr>
        <w:pStyle w:val="Footnote"/>
        <w:bidi/>
      </w:pPr>
      <w:r>
        <w:rPr>
          <w:rStyle w:val="ac"/>
          <w:rtl/>
        </w:rPr>
        <w:footnoteRef/>
      </w:r>
      <w:r>
        <w:rPr>
          <w:rtl/>
        </w:rPr>
        <w:t>אבל ה</w:t>
      </w:r>
      <w:r>
        <w:rPr>
          <w:b/>
          <w:bCs/>
          <w:rtl/>
        </w:rPr>
        <w:t>בי"מ</w:t>
      </w:r>
      <w:r>
        <w:rPr>
          <w:rtl/>
        </w:rPr>
        <w:t xml:space="preserve"> כתב מטעם זה דכל הק"ו הוה אסמכתא, ואף בעבד הוה דרבנן בעלמא.</w:t>
      </w:r>
    </w:p>
  </w:footnote>
  <w:footnote w:id="2637">
    <w:p w14:paraId="44AEF02C" w14:textId="77777777" w:rsidR="006074A5" w:rsidRDefault="006074A5" w:rsidP="006074A5">
      <w:pPr>
        <w:pStyle w:val="Footnote"/>
        <w:bidi/>
      </w:pPr>
      <w:r>
        <w:rPr>
          <w:rStyle w:val="ac"/>
          <w:rtl/>
        </w:rPr>
        <w:footnoteRef/>
      </w:r>
      <w:r>
        <w:rPr>
          <w:rtl/>
        </w:rPr>
        <w:t>וה</w:t>
      </w:r>
      <w:r>
        <w:rPr>
          <w:b/>
          <w:bCs/>
          <w:rtl/>
        </w:rPr>
        <w:t>רי"ף</w:t>
      </w:r>
      <w:r>
        <w:rPr>
          <w:rtl/>
        </w:rPr>
        <w:t xml:space="preserve"> הביא בזה מח' רבוותא. וה</w:t>
      </w:r>
      <w:r>
        <w:rPr>
          <w:b/>
          <w:bCs/>
          <w:rtl/>
        </w:rPr>
        <w:t>רמב"ם</w:t>
      </w:r>
      <w:r>
        <w:rPr>
          <w:rtl/>
        </w:rPr>
        <w:t xml:space="preserve"> השמיט את הנידון דפסול הולד לכהונה. ורוב ה</w:t>
      </w:r>
      <w:r>
        <w:rPr>
          <w:b/>
          <w:bCs/>
          <w:rtl/>
        </w:rPr>
        <w:t>פוסקים</w:t>
      </w:r>
      <w:r>
        <w:rPr>
          <w:rtl/>
        </w:rPr>
        <w:t xml:space="preserve"> נקטו דס"ל דהולד כשר לכהונה. וכן בפשוטו מבואר בדבריו (יט ה) גבי יבמה לשוק, דפוסל אותה, חזר ובה עליה הולד חלל [דהוה מפסולי כהונה]. [וכ"כ הגר"א (ז נד). אך ה</w:t>
      </w:r>
      <w:r>
        <w:rPr>
          <w:b/>
          <w:bCs/>
          <w:rtl/>
        </w:rPr>
        <w:t>גר"א</w:t>
      </w:r>
      <w:r>
        <w:rPr>
          <w:rtl/>
        </w:rPr>
        <w:t xml:space="preserve"> (ו כג) העלה צד דאף הרמב"ם ס"ל הך ק"ו].</w:t>
      </w:r>
    </w:p>
  </w:footnote>
  <w:footnote w:id="2638">
    <w:p w14:paraId="0640B263" w14:textId="77777777" w:rsidR="006074A5" w:rsidRDefault="006074A5" w:rsidP="006074A5">
      <w:pPr>
        <w:pStyle w:val="Footnote"/>
        <w:bidi/>
      </w:pPr>
      <w:r>
        <w:rPr>
          <w:rStyle w:val="ac"/>
          <w:rtl/>
        </w:rPr>
        <w:footnoteRef/>
      </w:r>
      <w:r>
        <w:rPr>
          <w:rtl/>
        </w:rPr>
        <w:t>וה</w:t>
      </w:r>
      <w:r>
        <w:rPr>
          <w:b/>
          <w:bCs/>
          <w:rtl/>
        </w:rPr>
        <w:t>ראב"ד</w:t>
      </w:r>
      <w:r>
        <w:rPr>
          <w:rtl/>
        </w:rPr>
        <w:t xml:space="preserve"> הביא מסקנת הגמ' (לעיל כג.) דישראל פסול מקרי. [דהיינו פסול לכהונה]. [והרמב"ן דחה דהוה דחייה בעלמא].</w:t>
      </w:r>
    </w:p>
  </w:footnote>
  <w:footnote w:id="2639">
    <w:p w14:paraId="7B0830BD" w14:textId="77777777" w:rsidR="006074A5" w:rsidRDefault="006074A5" w:rsidP="006074A5">
      <w:pPr>
        <w:pStyle w:val="Footnote"/>
        <w:bidi/>
      </w:pPr>
      <w:r>
        <w:rPr>
          <w:rStyle w:val="ac"/>
          <w:rtl/>
        </w:rPr>
        <w:footnoteRef/>
      </w:r>
      <w:r>
        <w:rPr>
          <w:rtl/>
        </w:rPr>
        <w:t>וה</w:t>
      </w:r>
      <w:r>
        <w:rPr>
          <w:b/>
          <w:bCs/>
          <w:rtl/>
        </w:rPr>
        <w:t>אחרונים</w:t>
      </w:r>
      <w:r>
        <w:rPr>
          <w:rtl/>
        </w:rPr>
        <w:t xml:space="preserve"> דחו דאצלו אין איסור, דלא הוזהרו כשירות לינשא לפסולים (לקמן פד:), וידע ליזהר שלא להשיא בתו לכהן.</w:t>
      </w:r>
    </w:p>
  </w:footnote>
  <w:footnote w:id="2640">
    <w:p w14:paraId="0442CC62" w14:textId="77777777" w:rsidR="006074A5" w:rsidRDefault="006074A5" w:rsidP="006074A5">
      <w:pPr>
        <w:pStyle w:val="Footnote"/>
        <w:bidi/>
      </w:pPr>
      <w:r>
        <w:rPr>
          <w:rStyle w:val="ac"/>
          <w:rtl/>
        </w:rPr>
        <w:footnoteRef/>
      </w:r>
      <w:r>
        <w:rPr>
          <w:rtl/>
        </w:rPr>
        <w:t>וכתב וכ"ת יבדקו וכדאיתא (כתובות כד., הו' בתוד”ה זיל), התם בדקינן רק באמותיו. וזה אמותיו כשירין.</w:t>
      </w:r>
    </w:p>
  </w:footnote>
  <w:footnote w:id="2641">
    <w:p w14:paraId="11A779B0" w14:textId="77777777" w:rsidR="006074A5" w:rsidRDefault="006074A5" w:rsidP="006074A5">
      <w:pPr>
        <w:pStyle w:val="Footnote"/>
        <w:bidi/>
      </w:pPr>
      <w:r>
        <w:rPr>
          <w:rStyle w:val="ac"/>
          <w:rtl/>
        </w:rPr>
        <w:footnoteRef/>
      </w:r>
      <w:r>
        <w:rPr>
          <w:rtl/>
        </w:rPr>
        <w:t xml:space="preserve">אבל </w:t>
      </w:r>
      <w:r>
        <w:rPr>
          <w:b/>
          <w:bCs/>
          <w:rtl/>
        </w:rPr>
        <w:t>תוס</w:t>
      </w:r>
      <w:r>
        <w:rPr>
          <w:rtl/>
        </w:rPr>
        <w:t>' (לעיל כג.) כת' דמ”ד מזהמין היינו שהוא עכו"ם וצריך גירות. [ודברי התוס' צע”ג דאי הוה עכו"ם, האיך יתחייב בפדיון הבן. וע' מהרי"ט אלגאזי הו' לעיל טז:].</w:t>
      </w:r>
    </w:p>
  </w:footnote>
  <w:footnote w:id="2642">
    <w:p w14:paraId="60F3FD3F" w14:textId="77777777" w:rsidR="006074A5" w:rsidRDefault="006074A5" w:rsidP="006074A5">
      <w:pPr>
        <w:pStyle w:val="Footnote"/>
        <w:bidi/>
      </w:pPr>
      <w:r>
        <w:rPr>
          <w:rStyle w:val="ac"/>
          <w:rtl/>
        </w:rPr>
        <w:footnoteRef/>
      </w:r>
      <w:r>
        <w:rPr>
          <w:rtl/>
        </w:rPr>
        <w:t>[וצ"ב דאי מתירין לכהן, אמאי הולד פסול מספק. דהא כלפי הולד הוה בדיעבד. [וע"ע בפוסקים ז כ].</w:t>
      </w:r>
    </w:p>
  </w:footnote>
  <w:footnote w:id="2643">
    <w:p w14:paraId="0B474F74" w14:textId="77777777" w:rsidR="006074A5" w:rsidRDefault="006074A5" w:rsidP="006074A5">
      <w:pPr>
        <w:pStyle w:val="Footnote"/>
        <w:bidi/>
      </w:pPr>
      <w:r>
        <w:rPr>
          <w:rStyle w:val="ac"/>
          <w:rtl/>
        </w:rPr>
        <w:footnoteRef/>
      </w:r>
      <w:r>
        <w:rPr>
          <w:rtl/>
        </w:rPr>
        <w:t>אבל ה</w:t>
      </w:r>
      <w:r>
        <w:rPr>
          <w:b/>
          <w:bCs/>
          <w:rtl/>
        </w:rPr>
        <w:t>שעה"מ</w:t>
      </w:r>
      <w:r>
        <w:rPr>
          <w:rtl/>
        </w:rPr>
        <w:t xml:space="preserve"> (איסו"ב טו ג) כת' דכוונתם דאסורה עליו, אלא דאין כופין להוציא [דהוה ספיקא דדינא, ומספק לא כייפין משום חשש גט מעושה].</w:t>
      </w:r>
    </w:p>
  </w:footnote>
  <w:footnote w:id="2644">
    <w:p w14:paraId="49BFC864" w14:textId="77777777" w:rsidR="006074A5" w:rsidRDefault="006074A5" w:rsidP="006074A5">
      <w:pPr>
        <w:pStyle w:val="Footnote"/>
        <w:bidi/>
      </w:pPr>
      <w:r>
        <w:rPr>
          <w:rStyle w:val="ac"/>
          <w:rtl/>
        </w:rPr>
        <w:footnoteRef/>
      </w:r>
      <w:r>
        <w:rPr>
          <w:rtl/>
        </w:rPr>
        <w:t>אבל ה</w:t>
      </w:r>
      <w:r>
        <w:rPr>
          <w:b/>
          <w:bCs/>
          <w:rtl/>
        </w:rPr>
        <w:t>רא"ש</w:t>
      </w:r>
      <w:r>
        <w:rPr>
          <w:rtl/>
        </w:rPr>
        <w:t xml:space="preserve"> וה</w:t>
      </w:r>
      <w:r>
        <w:rPr>
          <w:b/>
          <w:bCs/>
          <w:rtl/>
        </w:rPr>
        <w:t>ראב"ד</w:t>
      </w:r>
      <w:r>
        <w:rPr>
          <w:rtl/>
        </w:rPr>
        <w:t xml:space="preserve"> שהקש' מבואר דס"ל דהק"ו מדאורייתא [ואף דלדעת הרמב"ן י"ל דהוה ספק דרבנן, לדעת הרא"ש הוה דאוריי'].</w:t>
      </w:r>
    </w:p>
  </w:footnote>
  <w:footnote w:id="2645">
    <w:p w14:paraId="5D778775" w14:textId="77777777" w:rsidR="006074A5" w:rsidRDefault="006074A5" w:rsidP="006074A5">
      <w:pPr>
        <w:pStyle w:val="Footnote"/>
        <w:bidi/>
      </w:pPr>
      <w:r>
        <w:rPr>
          <w:rStyle w:val="ac"/>
          <w:rtl/>
        </w:rPr>
        <w:footnoteRef/>
      </w:r>
      <w:r>
        <w:rPr>
          <w:rtl/>
        </w:rPr>
        <w:t>כדילפי' (לעיל כג.) מכי יסיר את בנך. או ממולדת חוץ. ובעבד מהאשה וילדיה. ולקמן (צח.) דרשי' זרמת סוסים זרמתם, דאפקריה רחמנא לזרעיה [וה</w:t>
      </w:r>
      <w:r>
        <w:rPr>
          <w:b/>
          <w:bCs/>
          <w:rtl/>
        </w:rPr>
        <w:t>רמב"ן</w:t>
      </w:r>
      <w:r>
        <w:rPr>
          <w:rtl/>
        </w:rPr>
        <w:t xml:space="preserve"> (שם, הו' לעיל כג.) כתב דרחמנא אפקרי לזרעי לגבי עריות בין בגיות ובין בגירות, ולכן עכו"ם מותר בבתו (סנהדרין נח:). ודוקא גבי ירושה גזיה"כ, וכדלקמן סב.].</w:t>
      </w:r>
    </w:p>
  </w:footnote>
  <w:footnote w:id="2646">
    <w:p w14:paraId="4D947942" w14:textId="77777777" w:rsidR="006074A5" w:rsidRDefault="006074A5" w:rsidP="006074A5">
      <w:pPr>
        <w:pStyle w:val="Footnote"/>
        <w:bidi/>
      </w:pPr>
      <w:r>
        <w:rPr>
          <w:rStyle w:val="ac"/>
          <w:rtl/>
        </w:rPr>
        <w:footnoteRef/>
      </w:r>
      <w:r>
        <w:rPr>
          <w:rtl/>
        </w:rPr>
        <w:t>וה</w:t>
      </w:r>
      <w:r>
        <w:rPr>
          <w:b/>
          <w:bCs/>
          <w:rtl/>
        </w:rPr>
        <w:t>רמב"ן</w:t>
      </w:r>
      <w:r>
        <w:rPr>
          <w:rtl/>
        </w:rPr>
        <w:t xml:space="preserve"> ביאר דמאן דמורי להיתרא סבר מה אלמנה לכה"ג בני קדושין ובני יחוס, אף כל כיו"ב פוגם לאפוקי הני דרחמנא אפקריה לזרעייהו ואין בהן יחוס. [וקצת משמע דהוה פירכא בעלמא].</w:t>
      </w:r>
    </w:p>
  </w:footnote>
  <w:footnote w:id="2647">
    <w:p w14:paraId="53FCA614" w14:textId="77777777" w:rsidR="006074A5" w:rsidRDefault="006074A5" w:rsidP="006074A5">
      <w:pPr>
        <w:pStyle w:val="Footnote"/>
        <w:bidi/>
      </w:pPr>
      <w:r>
        <w:rPr>
          <w:rStyle w:val="ac"/>
          <w:rtl/>
        </w:rPr>
        <w:footnoteRef/>
      </w:r>
      <w:r>
        <w:rPr>
          <w:rtl/>
        </w:rPr>
        <w:t>ולפ"ז דוקא עכו"ם ועבד לא אמרי' ק"ו, אבל ביאת שאר פסולים [באופן שפוסל את האשה] אמרי' ק"ו. [אבל הרמב"ם (הו' לעיל) ל"ל ק"ו כלל. וכ"כ הגר"א (ז נד)].</w:t>
      </w:r>
    </w:p>
  </w:footnote>
  <w:footnote w:id="2648">
    <w:p w14:paraId="1E7C2396" w14:textId="77777777" w:rsidR="006074A5" w:rsidRDefault="006074A5" w:rsidP="006074A5">
      <w:pPr>
        <w:pStyle w:val="Footnote"/>
        <w:bidi/>
      </w:pPr>
      <w:r>
        <w:rPr>
          <w:rStyle w:val="ac"/>
          <w:rtl/>
        </w:rPr>
        <w:footnoteRef/>
      </w:r>
      <w:r>
        <w:rPr>
          <w:rtl/>
        </w:rPr>
        <w:t xml:space="preserve">[וכקו' </w:t>
      </w:r>
      <w:r>
        <w:rPr>
          <w:b/>
          <w:bCs/>
          <w:rtl/>
        </w:rPr>
        <w:t>תוס</w:t>
      </w:r>
      <w:r>
        <w:rPr>
          <w:rtl/>
        </w:rPr>
        <w:t>' עז. והרשב”א ותוס' רא”ש מד:].</w:t>
      </w:r>
    </w:p>
  </w:footnote>
  <w:footnote w:id="2649">
    <w:p w14:paraId="1B6DEE90" w14:textId="77777777" w:rsidR="006074A5" w:rsidRDefault="006074A5" w:rsidP="006074A5">
      <w:pPr>
        <w:pStyle w:val="Footnote"/>
        <w:bidi/>
      </w:pPr>
      <w:r>
        <w:rPr>
          <w:rStyle w:val="ac"/>
          <w:rtl/>
        </w:rPr>
        <w:footnoteRef/>
      </w:r>
      <w:r>
        <w:rPr>
          <w:rtl/>
        </w:rPr>
        <w:t>דמסתמא היה ת”ח וראוי, והשיב לו שאינו משיאו בתו מחמת הפסול.</w:t>
      </w:r>
    </w:p>
  </w:footnote>
  <w:footnote w:id="2650">
    <w:p w14:paraId="6365BF36" w14:textId="77777777" w:rsidR="006074A5" w:rsidRDefault="006074A5" w:rsidP="006074A5">
      <w:pPr>
        <w:pStyle w:val="Footnote"/>
        <w:bidi/>
      </w:pPr>
      <w:r>
        <w:rPr>
          <w:rStyle w:val="ac"/>
          <w:rtl/>
        </w:rPr>
        <w:footnoteRef/>
      </w:r>
      <w:r>
        <w:rPr>
          <w:rtl/>
        </w:rPr>
        <w:t>אבל ה</w:t>
      </w:r>
      <w:r>
        <w:rPr>
          <w:b/>
          <w:bCs/>
          <w:rtl/>
        </w:rPr>
        <w:t>רשב"א</w:t>
      </w:r>
      <w:r>
        <w:rPr>
          <w:rtl/>
        </w:rPr>
        <w:t xml:space="preserve"> (הו' לעיל) דייק מכאן איפכא, דאמאי לא השיב לו דלא ניחא לי שיתערב פסלות בזרעי. והוכיח דס"ל דכשר לכהונה.</w:t>
      </w:r>
    </w:p>
  </w:footnote>
  <w:footnote w:id="2651">
    <w:p w14:paraId="51655D99" w14:textId="77777777" w:rsidR="006074A5" w:rsidRDefault="006074A5" w:rsidP="006074A5">
      <w:pPr>
        <w:pStyle w:val="Footnote"/>
        <w:bidi/>
      </w:pPr>
      <w:r>
        <w:rPr>
          <w:rStyle w:val="ac"/>
          <w:rtl/>
        </w:rPr>
        <w:footnoteRef/>
      </w:r>
      <w:r>
        <w:rPr>
          <w:rtl/>
        </w:rPr>
        <w:t>וכתב דאע"פ שעכו"ם הבא על ב"י הולד כשר, ואי"צ גירות, דהיא מקוה טהרה לאומות להכשיר ולדה להיות כמוה, וכ"ש קודם מתן תורה להיות מכלל בני ישראל. [ודלא כמחלקים דקודם מתן תורה שאני].</w:t>
      </w:r>
    </w:p>
  </w:footnote>
  <w:footnote w:id="2652">
    <w:p w14:paraId="38C48E66" w14:textId="77777777" w:rsidR="006074A5" w:rsidRDefault="006074A5" w:rsidP="006074A5">
      <w:pPr>
        <w:pStyle w:val="Footnote"/>
        <w:bidi/>
      </w:pPr>
      <w:r>
        <w:rPr>
          <w:rStyle w:val="ac"/>
          <w:rtl/>
        </w:rPr>
        <w:footnoteRef/>
      </w:r>
      <w:r>
        <w:rPr>
          <w:rtl/>
        </w:rPr>
        <w:t>אך ה</w:t>
      </w:r>
      <w:r>
        <w:rPr>
          <w:b/>
          <w:bCs/>
          <w:rtl/>
        </w:rPr>
        <w:t xml:space="preserve">אחרונים </w:t>
      </w:r>
      <w:r>
        <w:rPr>
          <w:rtl/>
        </w:rPr>
        <w:t>כת' דלמסקנא אינו מוכח, וי"ל דהוה חצי ממזר משום צד חירות. וא"כ לא פליג על הרמב"ם. ורק בהו"א דצד עבדות גורם לממזרות ס"ל דכיון דיש צד עבדות נחשב כל הביאה ביאת עבדות.</w:t>
      </w:r>
    </w:p>
  </w:footnote>
  <w:footnote w:id="2653">
    <w:p w14:paraId="6797B465" w14:textId="77777777" w:rsidR="006074A5" w:rsidRDefault="006074A5" w:rsidP="006074A5">
      <w:pPr>
        <w:pStyle w:val="Footnote"/>
        <w:bidi/>
      </w:pPr>
      <w:r>
        <w:rPr>
          <w:rStyle w:val="ac"/>
          <w:rtl/>
        </w:rPr>
        <w:footnoteRef/>
      </w:r>
      <w:r>
        <w:rPr>
          <w:rtl/>
        </w:rPr>
        <w:t>דממזרות לא תליא ב'תולדה', אלא דהביאת איסור גורם לממזרות. וכולו הוה בן של ב' החצאים [ויל”ד האם אף לצד דחצי עבד הוה הרכבה שכונית י"ל כן]. [ומ"מ לצד דעבד הבא על ב"י הולד בעי גירות, מסתבר דה"נ דינו כחצי עבד, ובצד עבדות לא תפסי ממזרות].</w:t>
      </w:r>
    </w:p>
  </w:footnote>
  <w:footnote w:id="2654">
    <w:p w14:paraId="41F0829F" w14:textId="77777777" w:rsidR="006074A5" w:rsidRDefault="006074A5" w:rsidP="006074A5">
      <w:pPr>
        <w:pStyle w:val="Footnote"/>
        <w:bidi/>
      </w:pPr>
      <w:r>
        <w:rPr>
          <w:rStyle w:val="ac"/>
          <w:rtl/>
        </w:rPr>
        <w:footnoteRef/>
      </w:r>
      <w:r>
        <w:rPr>
          <w:rtl/>
        </w:rPr>
        <w:t>לל"ק משום צד עבדות, ולל"ב צד בן חורין שבא על א"א.</w:t>
      </w:r>
    </w:p>
  </w:footnote>
  <w:footnote w:id="2655">
    <w:p w14:paraId="42CFF83C" w14:textId="77777777" w:rsidR="006074A5" w:rsidRDefault="006074A5" w:rsidP="006074A5">
      <w:pPr>
        <w:pStyle w:val="Footnote"/>
        <w:bidi/>
      </w:pPr>
      <w:r>
        <w:rPr>
          <w:rStyle w:val="ac"/>
          <w:rtl/>
        </w:rPr>
        <w:footnoteRef/>
      </w:r>
      <w:r>
        <w:rPr>
          <w:rtl/>
        </w:rPr>
        <w:t xml:space="preserve">[וכדעת </w:t>
      </w:r>
      <w:r>
        <w:rPr>
          <w:b/>
          <w:bCs/>
          <w:rtl/>
        </w:rPr>
        <w:t>ר"ן</w:t>
      </w:r>
      <w:r>
        <w:rPr>
          <w:rtl/>
        </w:rPr>
        <w:t xml:space="preserve"> (קידושין עג, וכ”ד תוס' שם עד:) דבן גר לא נחשב 'קהל' ואף דאמו מישראל. ודלא כ</w:t>
      </w:r>
      <w:r>
        <w:rPr>
          <w:b/>
          <w:bCs/>
          <w:rtl/>
        </w:rPr>
        <w:t>רמב”ם</w:t>
      </w:r>
      <w:r>
        <w:rPr>
          <w:rtl/>
        </w:rPr>
        <w:t xml:space="preserve"> (טו ט) דגר שנשא בת ישראל, הבן הוה ישראל לכל דבר, ואסור בממזרת. וע”ע בסוגיה לקמן נז.].</w:t>
      </w:r>
    </w:p>
  </w:footnote>
  <w:footnote w:id="2656">
    <w:p w14:paraId="3F72F3E8" w14:textId="77777777" w:rsidR="006074A5" w:rsidRDefault="006074A5" w:rsidP="006074A5">
      <w:pPr>
        <w:pStyle w:val="Footnote"/>
        <w:bidi/>
      </w:pPr>
      <w:r>
        <w:rPr>
          <w:rStyle w:val="ac"/>
          <w:rtl/>
        </w:rPr>
        <w:footnoteRef/>
      </w:r>
      <w:r>
        <w:rPr>
          <w:rtl/>
        </w:rPr>
        <w:t>ו</w:t>
      </w:r>
      <w:r>
        <w:rPr>
          <w:b/>
          <w:bCs/>
          <w:rtl/>
        </w:rPr>
        <w:t>תוס</w:t>
      </w:r>
      <w:r>
        <w:rPr>
          <w:rtl/>
        </w:rPr>
        <w:t>' (שם) פי' דמי שאין שאינו בר קידושין בשום מקום אין הבן מתייחס אחריו.</w:t>
      </w:r>
    </w:p>
  </w:footnote>
  <w:footnote w:id="2657">
    <w:p w14:paraId="3803EA84" w14:textId="77777777" w:rsidR="006074A5" w:rsidRDefault="006074A5" w:rsidP="006074A5">
      <w:pPr>
        <w:pStyle w:val="Footnote"/>
        <w:bidi/>
      </w:pPr>
      <w:r>
        <w:rPr>
          <w:rStyle w:val="ac"/>
          <w:rtl/>
        </w:rPr>
        <w:footnoteRef/>
      </w:r>
      <w:r>
        <w:rPr>
          <w:rtl/>
        </w:rPr>
        <w:t>וה</w:t>
      </w:r>
      <w:r>
        <w:rPr>
          <w:b/>
          <w:bCs/>
          <w:rtl/>
        </w:rPr>
        <w:t>רמב”ם</w:t>
      </w:r>
      <w:r>
        <w:rPr>
          <w:rtl/>
        </w:rPr>
        <w:t xml:space="preserve"> (אישות ד יז) והרא"ש (שם) פסקו דהוה ספק.</w:t>
      </w:r>
    </w:p>
  </w:footnote>
  <w:footnote w:id="2658">
    <w:p w14:paraId="09489EA0" w14:textId="77777777" w:rsidR="006074A5" w:rsidRDefault="006074A5" w:rsidP="006074A5">
      <w:pPr>
        <w:pStyle w:val="Footnote"/>
        <w:bidi/>
      </w:pPr>
      <w:r>
        <w:rPr>
          <w:rStyle w:val="ac"/>
          <w:rtl/>
        </w:rPr>
        <w:footnoteRef/>
      </w:r>
      <w:r>
        <w:rPr>
          <w:rtl/>
        </w:rPr>
        <w:t>וב</w:t>
      </w:r>
      <w:r>
        <w:rPr>
          <w:b/>
          <w:bCs/>
          <w:rtl/>
        </w:rPr>
        <w:t>הג' מים חיים</w:t>
      </w:r>
      <w:r>
        <w:rPr>
          <w:rtl/>
        </w:rPr>
        <w:t xml:space="preserve"> (גיטין שם) כת' דהא דאי' בסוגיין דהולד ממזר ואין לו תקנה, היינו דהוה ספק ממזר. ולצד דלא תפסי קידושין אינו ממזר.</w:t>
      </w:r>
    </w:p>
  </w:footnote>
  <w:footnote w:id="2659">
    <w:p w14:paraId="41FA1D57" w14:textId="77777777" w:rsidR="006074A5" w:rsidRDefault="006074A5" w:rsidP="006074A5">
      <w:pPr>
        <w:pStyle w:val="Footnote"/>
        <w:bidi/>
      </w:pPr>
      <w:r>
        <w:rPr>
          <w:rStyle w:val="ac"/>
          <w:rtl/>
        </w:rPr>
        <w:footnoteRef/>
      </w:r>
      <w:r>
        <w:rPr>
          <w:rtl/>
        </w:rPr>
        <w:t>[וכ"מ ב</w:t>
      </w:r>
      <w:r>
        <w:rPr>
          <w:b/>
          <w:bCs/>
          <w:rtl/>
        </w:rPr>
        <w:t>תוס</w:t>
      </w:r>
      <w:r>
        <w:rPr>
          <w:rtl/>
        </w:rPr>
        <w:t xml:space="preserve">' (כאן ד"ה משום) דקי"ל דתפסי קידושין, דלא שייר בקנינו]. ודלא כשאר </w:t>
      </w:r>
      <w:r>
        <w:rPr>
          <w:b/>
          <w:bCs/>
          <w:rtl/>
        </w:rPr>
        <w:t>ראשונים</w:t>
      </w:r>
      <w:r>
        <w:rPr>
          <w:rtl/>
        </w:rPr>
        <w:t xml:space="preserve"> (הנ"ל) דנקטו דאף למסקנא הוה ספק.</w:t>
      </w:r>
    </w:p>
  </w:footnote>
  <w:footnote w:id="2660">
    <w:p w14:paraId="33447BCE" w14:textId="77777777" w:rsidR="006074A5" w:rsidRDefault="006074A5" w:rsidP="006074A5">
      <w:pPr>
        <w:pStyle w:val="Footnote"/>
        <w:bidi/>
      </w:pPr>
      <w:r>
        <w:rPr>
          <w:rStyle w:val="ac"/>
          <w:rtl/>
        </w:rPr>
        <w:footnoteRef/>
      </w:r>
      <w:r>
        <w:rPr>
          <w:rtl/>
        </w:rPr>
        <w:t>וה</w:t>
      </w:r>
      <w:r>
        <w:rPr>
          <w:b/>
          <w:bCs/>
          <w:rtl/>
        </w:rPr>
        <w:t>אבנ"מ</w:t>
      </w:r>
      <w:r>
        <w:rPr>
          <w:rtl/>
        </w:rPr>
        <w:t xml:space="preserve"> חידש דדוקא למ"ד דאף חצי שפחה אינה בת קידושין אמרי' דאין בנו מתייחס אחריו. אבל לדידן קי"ל דחצי שפחה תפסי קידושין [דגלי קרא בשפחה חרופה], ודוקא חצי עבד יש חסרון. וע"כ דהוה חסרון אחר דלא אתי צד עבדות ומקדש, וכיון דלא מצי עביד, אף שלוחו לא מצי עביד. ונחשב כחסרון בהיכי תמצי ובנו מתייחס אחריו, דהוה כחש"ו דאשתקל דעתיה ויש לו יורשים.</w:t>
      </w:r>
    </w:p>
  </w:footnote>
  <w:footnote w:id="2661">
    <w:p w14:paraId="654E6892" w14:textId="77777777" w:rsidR="006074A5" w:rsidRDefault="006074A5" w:rsidP="006074A5">
      <w:pPr>
        <w:pStyle w:val="Footnote"/>
        <w:bidi/>
      </w:pPr>
      <w:r>
        <w:rPr>
          <w:rStyle w:val="ac"/>
          <w:rtl/>
        </w:rPr>
        <w:footnoteRef/>
      </w:r>
      <w:r>
        <w:rPr>
          <w:rtl/>
        </w:rPr>
        <w:t>וה</w:t>
      </w:r>
      <w:r>
        <w:rPr>
          <w:b/>
          <w:bCs/>
          <w:rtl/>
        </w:rPr>
        <w:t>גר"ח</w:t>
      </w:r>
      <w:r>
        <w:rPr>
          <w:rtl/>
        </w:rPr>
        <w:t xml:space="preserve"> (סטנסל קע) הביא בשם ה</w:t>
      </w:r>
      <w:r>
        <w:rPr>
          <w:b/>
          <w:bCs/>
          <w:rtl/>
        </w:rPr>
        <w:t>ג"ר אליהו ברוך</w:t>
      </w:r>
      <w:r>
        <w:rPr>
          <w:rtl/>
        </w:rPr>
        <w:t xml:space="preserve"> דחצי איש שקידש לא אמרי' דצד פנוי שבו בה על א"א, דאין זה 'אשת רעהו' [ועפ"ז תי' קושיית ה</w:t>
      </w:r>
      <w:r>
        <w:rPr>
          <w:b/>
          <w:bCs/>
          <w:rtl/>
        </w:rPr>
        <w:t>אבנ"מ</w:t>
      </w:r>
      <w:r>
        <w:rPr>
          <w:rtl/>
        </w:rPr>
        <w:t xml:space="preserve"> (לא כג) במקדש לחצאי אמאי לא יחשב קידושין שאינן מסורין לביאה. וצ”ל דבסוגיין חצי עבד גרע].</w:t>
      </w:r>
    </w:p>
  </w:footnote>
  <w:footnote w:id="2662">
    <w:p w14:paraId="0C0EA7F9" w14:textId="77777777" w:rsidR="006074A5" w:rsidRDefault="006074A5" w:rsidP="006074A5">
      <w:pPr>
        <w:pStyle w:val="Footnote"/>
        <w:bidi/>
      </w:pPr>
      <w:r>
        <w:rPr>
          <w:rStyle w:val="ac"/>
          <w:rtl/>
        </w:rPr>
        <w:footnoteRef/>
      </w:r>
      <w:r>
        <w:rPr>
          <w:rtl/>
        </w:rPr>
        <w:t>וכאיש אחר. ואפשר דתליא דחקירת ה</w:t>
      </w:r>
      <w:r>
        <w:rPr>
          <w:b/>
          <w:bCs/>
          <w:rtl/>
        </w:rPr>
        <w:t>אחרונים</w:t>
      </w:r>
      <w:r>
        <w:rPr>
          <w:rtl/>
        </w:rPr>
        <w:t xml:space="preserve"> (תשב"ץ ב ד, הו' בש"ש בהקדמה מ) בגדר חצי עבד אי הוה הרכבה מזגית או שכונית.</w:t>
      </w:r>
    </w:p>
  </w:footnote>
  <w:footnote w:id="2663">
    <w:p w14:paraId="294EA365" w14:textId="77777777" w:rsidR="006074A5" w:rsidRDefault="006074A5" w:rsidP="006074A5">
      <w:pPr>
        <w:pStyle w:val="Footnote"/>
        <w:bidi/>
      </w:pPr>
      <w:r>
        <w:rPr>
          <w:rStyle w:val="ac"/>
          <w:rtl/>
        </w:rPr>
        <w:footnoteRef/>
      </w:r>
      <w:r>
        <w:rPr>
          <w:rtl/>
        </w:rPr>
        <w:t>ואסורה לבעל [לצד שהיה בן חורין]. ומשום איסור בועל לצד עבדות, וכתב דתליא בדברי ר”ת (בתוס' כתובות ג:) שעכו”ם הבא על א"א ונתגייר מותרת לו. [וה"ה עבד שנשתחרר, ע' בסמוך]. [ויש שהעירו ע"פ דברי ה</w:t>
      </w:r>
      <w:r>
        <w:rPr>
          <w:b/>
          <w:bCs/>
          <w:rtl/>
        </w:rPr>
        <w:t>אחרונים</w:t>
      </w:r>
      <w:r>
        <w:rPr>
          <w:rtl/>
        </w:rPr>
        <w:t xml:space="preserve"> דלדעת ר”ת אסורה לבעל משום דנחשב 'בגידה', ותימה לומר דצד עבדות חשיב 'בגידה' בצד חירות שבו].</w:t>
      </w:r>
    </w:p>
  </w:footnote>
  <w:footnote w:id="2664">
    <w:p w14:paraId="48DF2C69" w14:textId="77777777" w:rsidR="006074A5" w:rsidRDefault="006074A5" w:rsidP="006074A5">
      <w:pPr>
        <w:pStyle w:val="Footnote"/>
        <w:bidi/>
      </w:pPr>
      <w:r>
        <w:rPr>
          <w:rStyle w:val="ac"/>
          <w:rtl/>
        </w:rPr>
        <w:footnoteRef/>
      </w:r>
      <w:r>
        <w:rPr>
          <w:rtl/>
        </w:rPr>
        <w:t>ורע"א דן דבאמת דעת רבא לא תפסי קידושין. והגמ' (קידו') קאי למ"ד דתפסי קידושין.</w:t>
      </w:r>
    </w:p>
  </w:footnote>
  <w:footnote w:id="2665">
    <w:p w14:paraId="34B7A65D" w14:textId="77777777" w:rsidR="006074A5" w:rsidRDefault="006074A5" w:rsidP="006074A5">
      <w:pPr>
        <w:pStyle w:val="Footnote"/>
        <w:bidi/>
      </w:pPr>
      <w:r>
        <w:rPr>
          <w:rStyle w:val="ac"/>
          <w:rtl/>
        </w:rPr>
        <w:footnoteRef/>
      </w:r>
      <w:r>
        <w:rPr>
          <w:rtl/>
        </w:rPr>
        <w:t>דמח' אביי ורבא במקדש א' מב' אחיות דלא ידעינן, ואינו מסור לביאה מחמת ספק. אבל אילו תפסי קידושי תרוייהו, דהוה תורת ודאי כו"ע מודו דל"ה קידושין.</w:t>
      </w:r>
    </w:p>
  </w:footnote>
  <w:footnote w:id="2666">
    <w:p w14:paraId="04761F0C" w14:textId="77777777" w:rsidR="006074A5" w:rsidRDefault="006074A5" w:rsidP="006074A5">
      <w:pPr>
        <w:pStyle w:val="Footnote"/>
        <w:bidi/>
      </w:pPr>
      <w:r>
        <w:rPr>
          <w:rStyle w:val="ac"/>
          <w:rtl/>
        </w:rPr>
        <w:footnoteRef/>
      </w:r>
      <w:r>
        <w:rPr>
          <w:rtl/>
        </w:rPr>
        <w:t>ורק צד הבן חורין קידש.</w:t>
      </w:r>
    </w:p>
  </w:footnote>
  <w:footnote w:id="2667">
    <w:p w14:paraId="4291B9FE" w14:textId="77777777" w:rsidR="006074A5" w:rsidRDefault="006074A5" w:rsidP="006074A5">
      <w:pPr>
        <w:pStyle w:val="Footnote"/>
        <w:bidi/>
      </w:pPr>
      <w:r>
        <w:rPr>
          <w:rStyle w:val="ac"/>
          <w:rtl/>
        </w:rPr>
        <w:footnoteRef/>
      </w:r>
      <w:r>
        <w:rPr>
          <w:rtl/>
        </w:rPr>
        <w:t>ולכאורה הוא טעם בפנ"ע [אף אי הוה סיבה], דרק מניעת קידושין דעריות שייך לממזרות. ולא במקום דלא שייך קידושין כלל.</w:t>
      </w:r>
    </w:p>
  </w:footnote>
  <w:footnote w:id="2668">
    <w:p w14:paraId="6B992CAC" w14:textId="77777777" w:rsidR="006074A5" w:rsidRDefault="006074A5" w:rsidP="006074A5">
      <w:pPr>
        <w:pStyle w:val="Footnote"/>
        <w:bidi/>
      </w:pPr>
      <w:r>
        <w:rPr>
          <w:rStyle w:val="ac"/>
          <w:rtl/>
        </w:rPr>
        <w:footnoteRef/>
      </w:r>
      <w:r>
        <w:rPr>
          <w:rtl/>
        </w:rPr>
        <w:t>ובזה נח' בסוגיין דמ"מ הוא אדם, ושייך אצלו ממזרות. או דילמא כיון דהוא בהמה ל"ש שיחול ע"ז שם א"א.</w:t>
      </w:r>
    </w:p>
  </w:footnote>
  <w:footnote w:id="2669">
    <w:p w14:paraId="6E53B5CC" w14:textId="77777777" w:rsidR="006074A5" w:rsidRDefault="006074A5" w:rsidP="006074A5">
      <w:pPr>
        <w:pStyle w:val="Footnote"/>
        <w:bidi/>
      </w:pPr>
      <w:r>
        <w:rPr>
          <w:rStyle w:val="ac"/>
          <w:rtl/>
        </w:rPr>
        <w:footnoteRef/>
      </w:r>
      <w:r>
        <w:rPr>
          <w:rtl/>
        </w:rPr>
        <w:t>וב</w:t>
      </w:r>
      <w:r>
        <w:rPr>
          <w:b/>
          <w:bCs/>
          <w:rtl/>
        </w:rPr>
        <w:t>חי' ר' ראובן</w:t>
      </w:r>
      <w:r>
        <w:rPr>
          <w:rtl/>
        </w:rPr>
        <w:t xml:space="preserve"> (בהג"ה) הביא בשם הג</w:t>
      </w:r>
      <w:r>
        <w:rPr>
          <w:b/>
          <w:bCs/>
          <w:rtl/>
        </w:rPr>
        <w:t>רז"ס</w:t>
      </w:r>
      <w:r>
        <w:rPr>
          <w:rtl/>
        </w:rPr>
        <w:t xml:space="preserve"> לתמוה דבעבד ע"כ יש חומר איסור א"א, דביאתו כישראל לחיוב מיתה [ואף דביאתו כבהמה, ולפ”ז ר”ת לא התיר בעבד וצ"ע]. ועוד הקשה דאיתא (סנהדרין נז:) דעכו”ם שבא על נערה המאורסה חייב מיתה, משום דיני ישראל. [וצ"ל דחומר הביאה לענין איסור בועל ולענין ממזרות, לא תליא בחיוב עונש על הביאה. וצ"ע].</w:t>
      </w:r>
    </w:p>
  </w:footnote>
  <w:footnote w:id="2670">
    <w:p w14:paraId="1C7241EE" w14:textId="77777777" w:rsidR="006074A5" w:rsidRDefault="006074A5" w:rsidP="006074A5">
      <w:pPr>
        <w:pStyle w:val="Footnote"/>
        <w:bidi/>
      </w:pPr>
      <w:r>
        <w:rPr>
          <w:rStyle w:val="ac"/>
          <w:rtl/>
        </w:rPr>
        <w:footnoteRef/>
      </w:r>
      <w:r>
        <w:rPr>
          <w:rtl/>
        </w:rPr>
        <w:t>ויש להעיר דבסוגיין מבואר משום שהבועל אינו ראוי לקידושין, ואילו בתוס' שם האשה אינה ראויה.</w:t>
      </w:r>
    </w:p>
  </w:footnote>
  <w:footnote w:id="2671">
    <w:p w14:paraId="665813D0" w14:textId="77777777" w:rsidR="006074A5" w:rsidRDefault="006074A5" w:rsidP="006074A5">
      <w:pPr>
        <w:pStyle w:val="Footnote"/>
        <w:bidi/>
      </w:pPr>
      <w:r>
        <w:rPr>
          <w:rStyle w:val="ac"/>
          <w:rtl/>
        </w:rPr>
        <w:footnoteRef/>
      </w:r>
      <w:r>
        <w:rPr>
          <w:rtl/>
        </w:rPr>
        <w:t>למ"ד אין קידושין תופסים ביבמה, וליבם נמי לאו בת קידושין אלא ביאה אית ביה.</w:t>
      </w:r>
    </w:p>
  </w:footnote>
  <w:footnote w:id="2672">
    <w:p w14:paraId="5BFCEFEC" w14:textId="77777777" w:rsidR="006074A5" w:rsidRDefault="006074A5" w:rsidP="006074A5">
      <w:pPr>
        <w:pStyle w:val="Footnote"/>
        <w:bidi/>
      </w:pPr>
      <w:r>
        <w:rPr>
          <w:rStyle w:val="ac"/>
          <w:rtl/>
        </w:rPr>
        <w:footnoteRef/>
      </w:r>
      <w:r>
        <w:rPr>
          <w:rtl/>
        </w:rPr>
        <w:t>שמוגדר שהאשה אינה שייכת כלל בקידושין. [וצ"ב]. ועוד צ"ע דבסוגיין קאי כלפי האיש, דאינו ראוי לקידושין, ותוס' שם למדו כן כלפי האשה. [ועמד בזה ר' ראובן כג]. וה</w:t>
      </w:r>
      <w:r>
        <w:rPr>
          <w:b/>
          <w:bCs/>
          <w:rtl/>
        </w:rPr>
        <w:t>אחרונים</w:t>
      </w:r>
      <w:r>
        <w:rPr>
          <w:rtl/>
        </w:rPr>
        <w:t xml:space="preserve"> דנו די"ל דתוס' למדו דגדר האיסור דיבמה לשוק אינו גדר ערוה לממזרות, כיון דהוה כלפי כו"ע [דומיא דנדה, ע' תוס' ב.], ולא שהאשה הזו אינה בת ממזרות.</w:t>
      </w:r>
    </w:p>
  </w:footnote>
  <w:footnote w:id="2673">
    <w:p w14:paraId="118D1704" w14:textId="77777777" w:rsidR="006074A5" w:rsidRDefault="006074A5" w:rsidP="006074A5">
      <w:pPr>
        <w:pStyle w:val="Footnote"/>
        <w:bidi/>
      </w:pPr>
      <w:r>
        <w:rPr>
          <w:rStyle w:val="ac"/>
          <w:rtl/>
        </w:rPr>
        <w:footnoteRef/>
      </w:r>
      <w:r>
        <w:rPr>
          <w:rtl/>
        </w:rPr>
        <w:t>כגון שומרת יבם של אביו (לקמן צז.). [ולחד מ"ד עיקר קרא דממזרות קאי בהכי. ויש לדחות דאיירי לאחר מיתה או חליצה].</w:t>
      </w:r>
    </w:p>
  </w:footnote>
  <w:footnote w:id="2674">
    <w:p w14:paraId="6CB8A59B" w14:textId="77777777" w:rsidR="006074A5" w:rsidRDefault="006074A5" w:rsidP="006074A5">
      <w:pPr>
        <w:pStyle w:val="Footnote"/>
        <w:bidi/>
      </w:pPr>
      <w:r>
        <w:rPr>
          <w:rStyle w:val="ac"/>
          <w:rtl/>
        </w:rPr>
        <w:footnoteRef/>
      </w:r>
      <w:r>
        <w:rPr>
          <w:rtl/>
        </w:rPr>
        <w:t>וי"ל דשם שומרת יבם הוא לזמן, ועומדת לחליצה. וא"כ עומדת ליאסר מחמת הערוה. ורק כלפי שם שומרת יבם אמרי' דהוה לזמן ומותר.</w:t>
      </w:r>
    </w:p>
  </w:footnote>
  <w:footnote w:id="2675">
    <w:p w14:paraId="02B60B25" w14:textId="77777777" w:rsidR="006074A5" w:rsidRDefault="006074A5" w:rsidP="006074A5">
      <w:pPr>
        <w:pStyle w:val="Footnote"/>
        <w:bidi/>
      </w:pPr>
      <w:r>
        <w:rPr>
          <w:rStyle w:val="ac"/>
          <w:rtl/>
        </w:rPr>
        <w:footnoteRef/>
      </w:r>
      <w:r>
        <w:rPr>
          <w:rtl/>
        </w:rPr>
        <w:t>פ</w:t>
      </w:r>
      <w:r>
        <w:rPr>
          <w:b/>
          <w:bCs/>
          <w:rtl/>
        </w:rPr>
        <w:t>רש"י</w:t>
      </w:r>
      <w:r>
        <w:rPr>
          <w:rtl/>
        </w:rPr>
        <w:t xml:space="preserve"> שהיה מעכו"ם ועבד הבא על בת ישראל. ו</w:t>
      </w:r>
      <w:r>
        <w:rPr>
          <w:b/>
          <w:bCs/>
          <w:rtl/>
        </w:rPr>
        <w:t>תוס</w:t>
      </w:r>
      <w:r>
        <w:rPr>
          <w:rtl/>
        </w:rPr>
        <w:t>' הוסיפו שהוא רב מרי בנו של איסור גיורא (דב”ב קמט.) [דהעכו"ם נתגייר אח"כ]. ו</w:t>
      </w:r>
      <w:r>
        <w:rPr>
          <w:b/>
          <w:bCs/>
          <w:rtl/>
        </w:rPr>
        <w:t>רשב"ם</w:t>
      </w:r>
      <w:r>
        <w:rPr>
          <w:rtl/>
        </w:rPr>
        <w:t xml:space="preserve"> (ב"ב שם) כת' דאיסור בא על רחל בת מר שמואל [דבנות שמואל נשבו, כתובות כג.] ונתעברה, ואח"כ נתגייר. ו</w:t>
      </w:r>
      <w:r>
        <w:rPr>
          <w:b/>
          <w:bCs/>
          <w:rtl/>
        </w:rPr>
        <w:t>תוס</w:t>
      </w:r>
      <w:r>
        <w:rPr>
          <w:rtl/>
        </w:rPr>
        <w:t>' (ב"ב שם) חלק דבנות שמואל לא נטמאו. ותוס' (שבת קנד.) תי' דשאר הבנות של שמואל אמרו שהם טהורות.</w:t>
      </w:r>
    </w:p>
  </w:footnote>
  <w:footnote w:id="2676">
    <w:p w14:paraId="1CD64A35" w14:textId="77777777" w:rsidR="006074A5" w:rsidRDefault="006074A5" w:rsidP="006074A5">
      <w:pPr>
        <w:pStyle w:val="Footnote"/>
        <w:bidi/>
      </w:pPr>
      <w:r>
        <w:rPr>
          <w:rStyle w:val="ac"/>
          <w:rtl/>
        </w:rPr>
        <w:footnoteRef/>
      </w:r>
      <w:r>
        <w:rPr>
          <w:rtl/>
        </w:rPr>
        <w:t>[וכן לישא ממזרת, למ"ד קהל גרים לא אקרי קהל מותר בממזרת. ואילו עכו"ם הבא על בת ישראל י"א דמתייחס לישראל ואסור בממזרת].</w:t>
      </w:r>
    </w:p>
  </w:footnote>
  <w:footnote w:id="2677">
    <w:p w14:paraId="63E99CD5" w14:textId="77777777" w:rsidR="006074A5" w:rsidRDefault="006074A5" w:rsidP="006074A5">
      <w:pPr>
        <w:pStyle w:val="Footnote"/>
        <w:bidi/>
      </w:pPr>
      <w:r>
        <w:rPr>
          <w:rStyle w:val="ac"/>
          <w:rtl/>
        </w:rPr>
        <w:footnoteRef/>
      </w:r>
      <w:r>
        <w:rPr>
          <w:rtl/>
        </w:rPr>
        <w:t xml:space="preserve">אבל </w:t>
      </w:r>
      <w:r>
        <w:rPr>
          <w:b/>
          <w:bCs/>
          <w:rtl/>
        </w:rPr>
        <w:t>רש"י</w:t>
      </w:r>
      <w:r>
        <w:rPr>
          <w:rtl/>
        </w:rPr>
        <w:t xml:space="preserve"> (קידושין ע:) כת' דמשפחת הורדוס מסתמא לא נשאו בנות ישראל. וה</w:t>
      </w:r>
      <w:r>
        <w:rPr>
          <w:b/>
          <w:bCs/>
          <w:rtl/>
        </w:rPr>
        <w:t>רמב"ן</w:t>
      </w:r>
      <w:r>
        <w:rPr>
          <w:rtl/>
        </w:rPr>
        <w:t xml:space="preserve"> (קידושין שם) כת' דכוונת הגמ' דחלק נשאו בנות ישראל וחלק שפחות, והוה כולם ספק עבדים.</w:t>
      </w:r>
    </w:p>
  </w:footnote>
  <w:footnote w:id="2678">
    <w:p w14:paraId="14329676" w14:textId="77777777" w:rsidR="006074A5" w:rsidRDefault="006074A5" w:rsidP="006074A5">
      <w:pPr>
        <w:pStyle w:val="Footnote"/>
        <w:bidi/>
      </w:pPr>
      <w:r>
        <w:rPr>
          <w:rStyle w:val="ac"/>
          <w:rtl/>
        </w:rPr>
        <w:footnoteRef/>
      </w:r>
      <w:r>
        <w:rPr>
          <w:rtl/>
        </w:rPr>
        <w:t>[וכ"כ ב</w:t>
      </w:r>
      <w:r>
        <w:rPr>
          <w:b/>
          <w:bCs/>
          <w:rtl/>
        </w:rPr>
        <w:t>הג' מיימונ'</w:t>
      </w:r>
      <w:r>
        <w:rPr>
          <w:rtl/>
        </w:rPr>
        <w:t xml:space="preserve"> (מלכים א ד) דנחשב חנופה משום שלא היה מהמשיאין לכהונה]. ו</w:t>
      </w:r>
      <w:r>
        <w:rPr>
          <w:b/>
          <w:bCs/>
          <w:rtl/>
        </w:rPr>
        <w:t>תוס</w:t>
      </w:r>
      <w:r>
        <w:rPr>
          <w:rtl/>
        </w:rPr>
        <w:t>' הק' דלא מסתבר דמשום איסור דרבנן נתחייבו כלייה. וצ"ב דהתם אתינן עלה משום חנופה, ולכאו' כוונת התוס' דבאיסור דרבנן רשאין שלא למחות ולהחניף לו. ועוד יש שפי' דכוונת התוס' לדייק מהגמ' (שם) דהגיע לקרא דמקרב אחיך תעמיד מלך. ומשמע דהנידון על עיקר הקרא.</w:t>
      </w:r>
    </w:p>
  </w:footnote>
  <w:footnote w:id="2679">
    <w:p w14:paraId="73C2E2BD" w14:textId="77777777" w:rsidR="006074A5" w:rsidRDefault="006074A5" w:rsidP="006074A5">
      <w:pPr>
        <w:pStyle w:val="Footnote"/>
        <w:bidi/>
      </w:pPr>
      <w:r>
        <w:rPr>
          <w:rStyle w:val="ac"/>
          <w:rtl/>
        </w:rPr>
        <w:footnoteRef/>
      </w:r>
      <w:r>
        <w:rPr>
          <w:rtl/>
        </w:rPr>
        <w:t>אבל ל"מ דפגום וכדו' פסול לזה [וצ”ע דבתוספת' תולה במשיאין לכהונה]. והחזו"א כ' דאף אילו אם אביו גיורת, דלא הקשו מדוד.</w:t>
      </w:r>
    </w:p>
  </w:footnote>
  <w:footnote w:id="2680">
    <w:p w14:paraId="16815D81" w14:textId="77777777" w:rsidR="006074A5" w:rsidRDefault="006074A5" w:rsidP="006074A5">
      <w:pPr>
        <w:pStyle w:val="Footnote"/>
        <w:bidi/>
      </w:pPr>
      <w:r>
        <w:rPr>
          <w:rStyle w:val="ac"/>
          <w:rtl/>
        </w:rPr>
        <w:footnoteRef/>
      </w:r>
      <w:r>
        <w:rPr>
          <w:rtl/>
        </w:rPr>
        <w:t>וה</w:t>
      </w:r>
      <w:r>
        <w:rPr>
          <w:b/>
          <w:bCs/>
          <w:rtl/>
        </w:rPr>
        <w:t>ריטב"א</w:t>
      </w:r>
      <w:r>
        <w:rPr>
          <w:rtl/>
        </w:rPr>
        <w:t xml:space="preserve"> ביאר דנכלל בפסוק תרתי, דמלך בעינן מקרב אחיך. ועוד דין דלא תוכל לתת עליך איש נכרי, בכל שררה בעינן שיהא אחיך ולא יהא נכרי. [וביאר דהא דנקטו בסוגיין הקרב אחיך כוונת הגמ' לסיפא דקרא].</w:t>
      </w:r>
    </w:p>
  </w:footnote>
  <w:footnote w:id="2681">
    <w:p w14:paraId="7BECE69E" w14:textId="77777777" w:rsidR="006074A5" w:rsidRDefault="006074A5" w:rsidP="006074A5">
      <w:pPr>
        <w:pStyle w:val="Footnote"/>
        <w:bidi/>
      </w:pPr>
      <w:r>
        <w:rPr>
          <w:rStyle w:val="ac"/>
          <w:rtl/>
        </w:rPr>
        <w:footnoteRef/>
      </w:r>
      <w:r>
        <w:rPr>
          <w:rtl/>
        </w:rPr>
        <w:t>וכ"מ מדברי ה</w:t>
      </w:r>
      <w:r>
        <w:rPr>
          <w:b/>
          <w:bCs/>
          <w:rtl/>
        </w:rPr>
        <w:t>תוס</w:t>
      </w:r>
      <w:r>
        <w:rPr>
          <w:rtl/>
        </w:rPr>
        <w:t>' (ע"פ הגמ' סוטה) דנתחייבו כלייה, משום דלא הוה מלך כדין. וכ"מ בגמ' (ב"ב ד.) גבי הורדוס, דלאו מלך הוא.</w:t>
      </w:r>
    </w:p>
  </w:footnote>
  <w:footnote w:id="2682">
    <w:p w14:paraId="4A58238C" w14:textId="77777777" w:rsidR="006074A5" w:rsidRDefault="006074A5" w:rsidP="006074A5">
      <w:pPr>
        <w:pStyle w:val="Footnote"/>
        <w:bidi/>
      </w:pPr>
      <w:r>
        <w:rPr>
          <w:rStyle w:val="ac"/>
          <w:rtl/>
        </w:rPr>
        <w:footnoteRef/>
      </w:r>
      <w:r>
        <w:rPr>
          <w:rtl/>
        </w:rPr>
        <w:t>וצ"ב דמיוחס לקהל מחמת אביו, ולא הוה קהל גרים.</w:t>
      </w:r>
    </w:p>
  </w:footnote>
  <w:footnote w:id="2683">
    <w:p w14:paraId="32589E48" w14:textId="77777777" w:rsidR="006074A5" w:rsidRDefault="006074A5" w:rsidP="006074A5">
      <w:pPr>
        <w:pStyle w:val="Footnote"/>
        <w:bidi/>
      </w:pPr>
      <w:r>
        <w:rPr>
          <w:rStyle w:val="ac"/>
          <w:rtl/>
        </w:rPr>
        <w:footnoteRef/>
      </w:r>
      <w:r>
        <w:rPr>
          <w:rtl/>
        </w:rPr>
        <w:t>וב</w:t>
      </w:r>
      <w:r>
        <w:rPr>
          <w:b/>
          <w:bCs/>
          <w:rtl/>
        </w:rPr>
        <w:t>פסקי תוס'</w:t>
      </w:r>
      <w:r>
        <w:rPr>
          <w:rtl/>
        </w:rPr>
        <w:t xml:space="preserve"> (סוטה מא) תי' דהיוצא משום יאוש בניו עבדים [והמציין פי' דכוונתו לתרץ קושיית תוס' דידן]. וצע"ג דכיון דאי"צ גט שחרור, היכן מצינו בת ישראל דבניה עבדים. [ואפשר דאיירי היכא דלא טבלה (ע' לקמן מז:)]. ועוד צ”ע דסוף סוף יש יאוש אף מהבנים, והם טבלו. ואולי צריך לדחוק דכוונתו למ"ד צריך גט שחרור. וע"ע גיטין מ אי מוריש איסור לחוד.</w:t>
      </w:r>
    </w:p>
  </w:footnote>
  <w:footnote w:id="2684">
    <w:p w14:paraId="0CBD03A1" w14:textId="77777777" w:rsidR="006074A5" w:rsidRDefault="006074A5" w:rsidP="006074A5">
      <w:pPr>
        <w:pStyle w:val="Footnote"/>
        <w:bidi/>
      </w:pPr>
      <w:r>
        <w:rPr>
          <w:rStyle w:val="ac"/>
          <w:rtl/>
        </w:rPr>
        <w:footnoteRef/>
      </w:r>
      <w:r>
        <w:rPr>
          <w:rtl/>
        </w:rPr>
        <w:t>וצ"ב דבגמ' (קידושין ע:) איירי בימי רב נחמן, ועד ימיו עברו כמה דורות שכבר הושפל גאותו, ועדיין לא חזר לידי אדוניו. וה</w:t>
      </w:r>
      <w:r>
        <w:rPr>
          <w:b/>
          <w:bCs/>
          <w:rtl/>
        </w:rPr>
        <w:t>חזו"א</w:t>
      </w:r>
      <w:r>
        <w:rPr>
          <w:rtl/>
        </w:rPr>
        <w:t xml:space="preserve"> ביאר דבדורות אח”כ לא ידעו מי היו היורשים [שנתערב זרע הורדוס], ולכן הוה יאוש שלא מדעת.</w:t>
      </w:r>
    </w:p>
  </w:footnote>
  <w:footnote w:id="2685">
    <w:p w14:paraId="4A40F84D" w14:textId="77777777" w:rsidR="006074A5" w:rsidRDefault="006074A5" w:rsidP="006074A5">
      <w:pPr>
        <w:pStyle w:val="Footnote"/>
        <w:bidi/>
      </w:pPr>
      <w:r>
        <w:rPr>
          <w:rStyle w:val="ac"/>
          <w:rtl/>
        </w:rPr>
        <w:footnoteRef/>
      </w:r>
      <w:r>
        <w:rPr>
          <w:rtl/>
        </w:rPr>
        <w:t>[וכן פורסי הוי מידי דשררה]. וכ"כ ב</w:t>
      </w:r>
      <w:r>
        <w:rPr>
          <w:b/>
          <w:bCs/>
          <w:rtl/>
        </w:rPr>
        <w:t>הג' מרדכי</w:t>
      </w:r>
      <w:r>
        <w:rPr>
          <w:rtl/>
        </w:rPr>
        <w:t xml:space="preserve"> (קיט, והו' בדרכ"מ חו"מ ז א, ע' סמ”ע שם ד).</w:t>
      </w:r>
    </w:p>
  </w:footnote>
  <w:footnote w:id="2686">
    <w:p w14:paraId="39828062" w14:textId="77777777" w:rsidR="006074A5" w:rsidRDefault="006074A5" w:rsidP="006074A5">
      <w:pPr>
        <w:pStyle w:val="Footnote"/>
        <w:bidi/>
      </w:pPr>
      <w:r>
        <w:rPr>
          <w:rStyle w:val="ac"/>
          <w:rtl/>
        </w:rPr>
        <w:footnoteRef/>
      </w:r>
      <w:r>
        <w:rPr>
          <w:rtl/>
        </w:rPr>
        <w:t>וה</w:t>
      </w:r>
      <w:r>
        <w:rPr>
          <w:b/>
          <w:bCs/>
          <w:rtl/>
        </w:rPr>
        <w:t>תומים</w:t>
      </w:r>
      <w:r>
        <w:rPr>
          <w:rtl/>
        </w:rPr>
        <w:t xml:space="preserve"> כתב דלפ"ז מוכח דסגי בקבלת סנהדרין וראשי חכמים, דאטו הסכימו ישראל בכל משובותיהם.</w:t>
      </w:r>
    </w:p>
  </w:footnote>
  <w:footnote w:id="2687">
    <w:p w14:paraId="5E840458" w14:textId="77777777" w:rsidR="006074A5" w:rsidRDefault="006074A5" w:rsidP="006074A5">
      <w:pPr>
        <w:pStyle w:val="Footnote"/>
        <w:bidi/>
      </w:pPr>
      <w:r>
        <w:rPr>
          <w:rStyle w:val="ac"/>
          <w:rtl/>
        </w:rPr>
        <w:footnoteRef/>
      </w:r>
      <w:r>
        <w:rPr>
          <w:rtl/>
        </w:rPr>
        <w:t>וה</w:t>
      </w:r>
      <w:r>
        <w:rPr>
          <w:b/>
          <w:bCs/>
          <w:rtl/>
        </w:rPr>
        <w:t>תומים</w:t>
      </w:r>
      <w:r>
        <w:rPr>
          <w:rtl/>
        </w:rPr>
        <w:t xml:space="preserve"> הק' דל"ש בעלות על עצמן לדון דיני נפשות, א"כ היאך מהני קבלה. ותי' דנמנו מפי המלך שבימיהם שהיו מלכי בית חשמונאי הכשרים.</w:t>
      </w:r>
    </w:p>
  </w:footnote>
  <w:footnote w:id="2688">
    <w:p w14:paraId="09A78E85" w14:textId="77777777" w:rsidR="006074A5" w:rsidRDefault="006074A5" w:rsidP="006074A5">
      <w:pPr>
        <w:pStyle w:val="Footnote"/>
        <w:bidi/>
      </w:pPr>
      <w:r>
        <w:rPr>
          <w:rStyle w:val="ac"/>
          <w:rtl/>
        </w:rPr>
        <w:footnoteRef/>
      </w:r>
      <w:r>
        <w:rPr>
          <w:rtl/>
        </w:rPr>
        <w:t>וה</w:t>
      </w:r>
      <w:r>
        <w:rPr>
          <w:b/>
          <w:bCs/>
          <w:rtl/>
        </w:rPr>
        <w:t>רמב"ן</w:t>
      </w:r>
      <w:r>
        <w:rPr>
          <w:rtl/>
        </w:rPr>
        <w:t xml:space="preserve"> הביא בשם </w:t>
      </w:r>
      <w:r>
        <w:rPr>
          <w:b/>
          <w:bCs/>
          <w:rtl/>
        </w:rPr>
        <w:t>תוס</w:t>
      </w:r>
      <w:r>
        <w:rPr>
          <w:rtl/>
        </w:rPr>
        <w:t>' (לקמן קב. ד"ה לענין) דאמו לאו דוקא, דהעיקר תלי באביו.</w:t>
      </w:r>
    </w:p>
  </w:footnote>
  <w:footnote w:id="2689">
    <w:p w14:paraId="7C134307" w14:textId="77777777" w:rsidR="006074A5" w:rsidRDefault="006074A5" w:rsidP="006074A5">
      <w:pPr>
        <w:pStyle w:val="Footnote"/>
        <w:bidi/>
      </w:pPr>
      <w:r>
        <w:rPr>
          <w:rStyle w:val="ac"/>
          <w:rtl/>
        </w:rPr>
        <w:footnoteRef/>
      </w:r>
      <w:r>
        <w:rPr>
          <w:rtl/>
        </w:rPr>
        <w:t>[ולכאורה בעינן שיהא 'מעשה גירות', ועוד בעינן כוונה לחלות גירות. ומשמע דטבילה לשם מצווה נחשב רצון ליהדות, וסגי בזה].</w:t>
      </w:r>
    </w:p>
  </w:footnote>
  <w:footnote w:id="2690">
    <w:p w14:paraId="09FF6506" w14:textId="77777777" w:rsidR="006074A5" w:rsidRDefault="006074A5" w:rsidP="006074A5">
      <w:pPr>
        <w:pStyle w:val="Footnote"/>
        <w:bidi/>
      </w:pPr>
      <w:r>
        <w:rPr>
          <w:rStyle w:val="ac"/>
          <w:rtl/>
        </w:rPr>
        <w:footnoteRef/>
      </w:r>
      <w:r>
        <w:rPr>
          <w:rtl/>
        </w:rPr>
        <w:t>ה</w:t>
      </w:r>
      <w:r>
        <w:rPr>
          <w:b/>
          <w:bCs/>
          <w:rtl/>
        </w:rPr>
        <w:t>אחרונים</w:t>
      </w:r>
      <w:r>
        <w:rPr>
          <w:rtl/>
        </w:rPr>
        <w:t xml:space="preserve"> (אחיעזר ג כו) הק' דכיון דהעבד גיירה ע"מ לינשא לו, א"כ נתגיירה ע"ד לעבור באיסור לא יהא קדש, וחסר בקבלת מצות.</w:t>
      </w:r>
    </w:p>
  </w:footnote>
  <w:footnote w:id="2691">
    <w:p w14:paraId="25D345DD" w14:textId="77777777" w:rsidR="006074A5" w:rsidRDefault="006074A5" w:rsidP="006074A5">
      <w:pPr>
        <w:pStyle w:val="Footnote"/>
        <w:bidi/>
      </w:pPr>
      <w:r>
        <w:rPr>
          <w:rStyle w:val="ac"/>
          <w:rtl/>
        </w:rPr>
        <w:footnoteRef/>
      </w:r>
      <w:r>
        <w:rPr>
          <w:rtl/>
        </w:rPr>
        <w:t>ולכאורה כוונתו בפני ג', וצ"ע במש"כ אע"פ שבשעת קבלה לא נזדמן להיות שם ג'. [ואולי צ"ל בשעת טבילה].</w:t>
      </w:r>
    </w:p>
  </w:footnote>
  <w:footnote w:id="2692">
    <w:p w14:paraId="352BE8FB" w14:textId="77777777" w:rsidR="006074A5" w:rsidRDefault="006074A5" w:rsidP="006074A5">
      <w:pPr>
        <w:pStyle w:val="Footnote"/>
        <w:bidi/>
      </w:pPr>
      <w:r>
        <w:rPr>
          <w:rStyle w:val="ac"/>
          <w:rtl/>
        </w:rPr>
        <w:footnoteRef/>
      </w:r>
      <w:r>
        <w:rPr>
          <w:rtl/>
        </w:rPr>
        <w:t>משמע דלא בעינן ג' משום 'מעשה הגירות', אלא משום דבעינן לכתחילה קבלת מצוות בשעת טבילה. אבל בתוס' משמע דלכתחילה אף הטבילה הוה חלק מהמעשה בי”ד.</w:t>
      </w:r>
    </w:p>
  </w:footnote>
  <w:footnote w:id="2693">
    <w:p w14:paraId="7095B9C6" w14:textId="77777777" w:rsidR="006074A5" w:rsidRDefault="006074A5" w:rsidP="006074A5">
      <w:pPr>
        <w:pStyle w:val="Footnote"/>
        <w:bidi/>
      </w:pPr>
      <w:r>
        <w:rPr>
          <w:rStyle w:val="ac"/>
          <w:rtl/>
        </w:rPr>
        <w:footnoteRef/>
      </w:r>
      <w:r>
        <w:rPr>
          <w:rtl/>
        </w:rPr>
        <w:t xml:space="preserve">והרמב"ן הביא </w:t>
      </w:r>
      <w:r>
        <w:rPr>
          <w:b/>
          <w:bCs/>
          <w:rtl/>
        </w:rPr>
        <w:t xml:space="preserve">בה"ג </w:t>
      </w:r>
      <w:r>
        <w:rPr>
          <w:rtl/>
        </w:rPr>
        <w:t>דלא קי"ל כסוגיין, דהאידנא קי"ל דגר צריך ג'. וכ”כ בס' ליק' הפרדס (לרש”י כז: בדה”ס) [והרמב"ן חלק דאין זה נכון].</w:t>
      </w:r>
    </w:p>
  </w:footnote>
  <w:footnote w:id="2694">
    <w:p w14:paraId="3B04E3E8" w14:textId="77777777" w:rsidR="006074A5" w:rsidRDefault="006074A5" w:rsidP="006074A5">
      <w:pPr>
        <w:pStyle w:val="Footnote"/>
        <w:bidi/>
      </w:pPr>
      <w:r>
        <w:rPr>
          <w:rStyle w:val="ac"/>
          <w:rtl/>
        </w:rPr>
        <w:footnoteRef/>
      </w:r>
      <w:r>
        <w:rPr>
          <w:rtl/>
        </w:rPr>
        <w:t>וה</w:t>
      </w:r>
      <w:r>
        <w:rPr>
          <w:b/>
          <w:bCs/>
          <w:rtl/>
        </w:rPr>
        <w:t>רמב"ן</w:t>
      </w:r>
      <w:r>
        <w:rPr>
          <w:rtl/>
        </w:rPr>
        <w:t xml:space="preserve"> הוכיח מהגמ' בקידושין דאף בדיעבד ל"מ גרות בלא ג', דלא נחשב בידו להתגייר לענין דבר שלא בא לעולם. אבל ב</w:t>
      </w:r>
      <w:r>
        <w:rPr>
          <w:b/>
          <w:bCs/>
          <w:rtl/>
        </w:rPr>
        <w:t>שיטה לנ"ל</w:t>
      </w:r>
      <w:r>
        <w:rPr>
          <w:rtl/>
        </w:rPr>
        <w:t xml:space="preserve"> (שם) כתב דלא נחשב בידו, משום דמסתמא לא יעשו שלא כדין.</w:t>
      </w:r>
    </w:p>
  </w:footnote>
  <w:footnote w:id="2695">
    <w:p w14:paraId="45A8023D" w14:textId="77777777" w:rsidR="006074A5" w:rsidRDefault="006074A5" w:rsidP="006074A5">
      <w:pPr>
        <w:pStyle w:val="Footnote"/>
        <w:bidi/>
      </w:pPr>
      <w:r>
        <w:rPr>
          <w:rStyle w:val="ac"/>
          <w:rtl/>
        </w:rPr>
        <w:footnoteRef/>
      </w:r>
      <w:r>
        <w:rPr>
          <w:rtl/>
        </w:rPr>
        <w:t>וכתב לדחוק דאיירי דלא טבל לקריו לעולם.</w:t>
      </w:r>
    </w:p>
  </w:footnote>
  <w:footnote w:id="2696">
    <w:p w14:paraId="596AB886" w14:textId="77777777" w:rsidR="006074A5" w:rsidRDefault="006074A5" w:rsidP="006074A5">
      <w:pPr>
        <w:pStyle w:val="Footnote"/>
        <w:bidi/>
      </w:pPr>
      <w:r>
        <w:rPr>
          <w:rStyle w:val="ac"/>
          <w:rtl/>
        </w:rPr>
        <w:footnoteRef/>
      </w:r>
      <w:r>
        <w:rPr>
          <w:rtl/>
        </w:rPr>
        <w:t>[וברמב”ן משמע דיישב דברי הרי”ף דאיירי שהיה קבלה לפני ג', אבל בעי טבילה בפני ג', אלא דלא פסלינן בזה בדיעבד].</w:t>
      </w:r>
    </w:p>
  </w:footnote>
  <w:footnote w:id="2697">
    <w:p w14:paraId="6E35C8C4" w14:textId="77777777" w:rsidR="006074A5" w:rsidRDefault="006074A5" w:rsidP="006074A5">
      <w:pPr>
        <w:pStyle w:val="Footnote"/>
        <w:bidi/>
      </w:pPr>
      <w:r>
        <w:rPr>
          <w:rStyle w:val="ac"/>
          <w:rtl/>
        </w:rPr>
        <w:footnoteRef/>
      </w:r>
      <w:r>
        <w:rPr>
          <w:rtl/>
        </w:rPr>
        <w:t>[וכ"כ ב</w:t>
      </w:r>
      <w:r>
        <w:rPr>
          <w:b/>
          <w:bCs/>
          <w:rtl/>
        </w:rPr>
        <w:t>חי' ר"א מן ההר,</w:t>
      </w:r>
      <w:r>
        <w:rPr>
          <w:rtl/>
        </w:rPr>
        <w:t xml:space="preserve"> וה</w:t>
      </w:r>
      <w:r>
        <w:rPr>
          <w:b/>
          <w:bCs/>
          <w:rtl/>
        </w:rPr>
        <w:t>מאירי</w:t>
      </w:r>
      <w:r>
        <w:rPr>
          <w:rtl/>
        </w:rPr>
        <w:t xml:space="preserve"> (שבת סט) כתב כן אף בדעת הרי”ף].</w:t>
      </w:r>
    </w:p>
  </w:footnote>
  <w:footnote w:id="2698">
    <w:p w14:paraId="2063EA1C" w14:textId="77777777" w:rsidR="006074A5" w:rsidRDefault="006074A5" w:rsidP="006074A5">
      <w:pPr>
        <w:pStyle w:val="Footnote"/>
        <w:bidi/>
      </w:pPr>
      <w:r>
        <w:rPr>
          <w:rStyle w:val="ac"/>
          <w:rtl/>
        </w:rPr>
        <w:footnoteRef/>
      </w:r>
      <w:r>
        <w:rPr>
          <w:rtl/>
        </w:rPr>
        <w:t>וה</w:t>
      </w:r>
      <w:r>
        <w:rPr>
          <w:b/>
          <w:bCs/>
          <w:rtl/>
        </w:rPr>
        <w:t xml:space="preserve">רמב"ן </w:t>
      </w:r>
      <w:r>
        <w:rPr>
          <w:rtl/>
        </w:rPr>
        <w:t>תמה ע"ז לימא מי לא שמר שבת. ועוד דמשמע דבסוגיין דטבלה לשם איתתא, ואפ"ה אכשרה משום האי טעמא.</w:t>
      </w:r>
    </w:p>
  </w:footnote>
  <w:footnote w:id="2699">
    <w:p w14:paraId="34190505" w14:textId="77777777" w:rsidR="006074A5" w:rsidRDefault="006074A5" w:rsidP="006074A5">
      <w:pPr>
        <w:pStyle w:val="Footnote"/>
        <w:bidi/>
      </w:pPr>
      <w:r>
        <w:rPr>
          <w:rStyle w:val="ac"/>
          <w:rtl/>
        </w:rPr>
        <w:footnoteRef/>
      </w:r>
      <w:r>
        <w:rPr>
          <w:rtl/>
        </w:rPr>
        <w:t>וכדעת רש"י (מד: ומה.) ודלא כרמב"ן (לעיל שם) דכל הדורות פגומים.</w:t>
      </w:r>
    </w:p>
  </w:footnote>
  <w:footnote w:id="2700">
    <w:p w14:paraId="3EE26A48" w14:textId="77777777" w:rsidR="006074A5" w:rsidRDefault="006074A5" w:rsidP="006074A5">
      <w:pPr>
        <w:pStyle w:val="Footnote"/>
        <w:bidi/>
      </w:pPr>
      <w:r>
        <w:rPr>
          <w:rStyle w:val="ac"/>
          <w:rtl/>
        </w:rPr>
        <w:footnoteRef/>
      </w:r>
      <w:r>
        <w:rPr>
          <w:rtl/>
        </w:rPr>
        <w:t xml:space="preserve">אבל </w:t>
      </w:r>
      <w:r>
        <w:rPr>
          <w:b/>
          <w:bCs/>
          <w:rtl/>
        </w:rPr>
        <w:t>רש"י</w:t>
      </w:r>
      <w:r>
        <w:rPr>
          <w:rtl/>
        </w:rPr>
        <w:t xml:space="preserve"> (קידושין סב:) כת' דגירות אינו בידו, דצריך ג' בטבילה. ומשמע דעיקר הטעם משום הטבילה.</w:t>
      </w:r>
    </w:p>
  </w:footnote>
  <w:footnote w:id="2701">
    <w:p w14:paraId="0F14215A" w14:textId="77777777" w:rsidR="006074A5" w:rsidRDefault="006074A5" w:rsidP="006074A5">
      <w:pPr>
        <w:pStyle w:val="Footnote"/>
        <w:bidi/>
      </w:pPr>
      <w:r>
        <w:rPr>
          <w:rStyle w:val="ac"/>
          <w:rtl/>
        </w:rPr>
        <w:footnoteRef/>
      </w:r>
      <w:r>
        <w:rPr>
          <w:rtl/>
        </w:rPr>
        <w:t xml:space="preserve">ומשמע דצריך א' דוקא. וצ"ב מה מהני א', ויל"ד אי הוה מדין דיין יחידי או תורת עדות [באיסורין]. </w:t>
      </w:r>
      <w:r>
        <w:rPr>
          <w:rFonts w:ascii="Narkisim" w:eastAsia="Narkisim" w:hAnsi="Narkisim"/>
          <w:rtl/>
        </w:rPr>
        <w:t>וה</w:t>
      </w:r>
      <w:r>
        <w:rPr>
          <w:rFonts w:ascii="Narkisim" w:eastAsia="Narkisim" w:hAnsi="Narkisim"/>
          <w:b/>
          <w:bCs/>
          <w:rtl/>
        </w:rPr>
        <w:t>או"ש</w:t>
      </w:r>
      <w:r>
        <w:rPr>
          <w:rFonts w:ascii="Narkisim" w:eastAsia="Narkisim" w:hAnsi="Narkisim"/>
          <w:rtl/>
        </w:rPr>
        <w:t xml:space="preserve"> (איסו"ב יג) כת' דגבי עכו"ם סגי בדיין א', וקודם שנתגייר היה עכו"ם.</w:t>
      </w:r>
      <w:r>
        <w:rPr>
          <w:rtl/>
        </w:rPr>
        <w:t>קא [או לבירור בעלמא].</w:t>
      </w:r>
    </w:p>
  </w:footnote>
  <w:footnote w:id="2702">
    <w:p w14:paraId="12504154" w14:textId="77777777" w:rsidR="006074A5" w:rsidRDefault="006074A5" w:rsidP="006074A5">
      <w:pPr>
        <w:pStyle w:val="Footnote"/>
        <w:bidi/>
      </w:pPr>
      <w:r>
        <w:rPr>
          <w:rStyle w:val="ac"/>
          <w:rtl/>
        </w:rPr>
        <w:footnoteRef/>
      </w:r>
      <w:r>
        <w:rPr>
          <w:rtl/>
        </w:rPr>
        <w:t>ונקט בפשיטות דצריך 'עדות' ולכאו' משום דחשיב דבר שבערוה. אך אי נימא דגירות לא הוה דבר שבערוה, א"כ בפשוטו לא בעי' עדות לקיומי. [ועוד דהוקש לדיני ממונות, דהוה דין].</w:t>
      </w:r>
    </w:p>
  </w:footnote>
  <w:footnote w:id="2703">
    <w:p w14:paraId="2BE6FFDE" w14:textId="77777777" w:rsidR="006074A5" w:rsidRDefault="006074A5" w:rsidP="006074A5">
      <w:pPr>
        <w:pStyle w:val="Footnote"/>
        <w:bidi/>
      </w:pPr>
      <w:r>
        <w:rPr>
          <w:rStyle w:val="ac"/>
          <w:rtl/>
        </w:rPr>
        <w:footnoteRef/>
      </w:r>
      <w:r>
        <w:rPr>
          <w:rtl/>
        </w:rPr>
        <w:t>וצ"ב דלכאורה אין חילוק ב'מעשה גירות' בין גר קטן לשאר גירות, אלא דבקטן ל”צ קבלת מצוות [משום שהבי”ד מזכין עבורו. ואפשר דתלי בב' תי' תוס' סנהדרין]. ויל"פ כוונתו דהכא ל"ש מעשה נוסף, ובמה יחשב מעשה הבי”ד.</w:t>
      </w:r>
    </w:p>
  </w:footnote>
  <w:footnote w:id="2704">
    <w:p w14:paraId="57F2C502" w14:textId="77777777" w:rsidR="006074A5" w:rsidRDefault="006074A5" w:rsidP="006074A5">
      <w:pPr>
        <w:pStyle w:val="Footnote"/>
        <w:bidi/>
      </w:pPr>
      <w:r>
        <w:rPr>
          <w:rStyle w:val="ac"/>
          <w:rtl/>
        </w:rPr>
        <w:footnoteRef/>
      </w:r>
      <w:r>
        <w:rPr>
          <w:rtl/>
        </w:rPr>
        <w:t>[אף לסוברים דצריך טבילה בפני ג']</w:t>
      </w:r>
    </w:p>
  </w:footnote>
  <w:footnote w:id="2705">
    <w:p w14:paraId="177CC402" w14:textId="77777777" w:rsidR="006074A5" w:rsidRDefault="006074A5" w:rsidP="006074A5">
      <w:pPr>
        <w:pStyle w:val="Footnote"/>
        <w:bidi/>
      </w:pPr>
      <w:r>
        <w:rPr>
          <w:rStyle w:val="ac"/>
          <w:rtl/>
        </w:rPr>
        <w:footnoteRef/>
      </w:r>
      <w:r>
        <w:rPr>
          <w:rtl/>
        </w:rPr>
        <w:t>וה</w:t>
      </w:r>
      <w:r>
        <w:rPr>
          <w:b/>
          <w:bCs/>
          <w:rtl/>
        </w:rPr>
        <w:t>קוב"ש</w:t>
      </w:r>
      <w:r>
        <w:rPr>
          <w:rtl/>
        </w:rPr>
        <w:t xml:space="preserve"> הביא מהי"מ דאי"צ דעת בי"ד לחלות הגירות. {ויש לדחות דאף הי”מ איירי שהיה קבלת מצוות בפני ג', והם פועלים את הגירות ע”י הטבילה שאח”כ. [ואף דהטבילה הוה בפני ג' אחרים]}.</w:t>
      </w:r>
    </w:p>
  </w:footnote>
  <w:footnote w:id="2706">
    <w:p w14:paraId="287831E2" w14:textId="77777777" w:rsidR="006074A5" w:rsidRDefault="006074A5" w:rsidP="006074A5">
      <w:pPr>
        <w:pStyle w:val="Footnote"/>
        <w:bidi/>
      </w:pPr>
      <w:r>
        <w:rPr>
          <w:rStyle w:val="ac"/>
          <w:rtl/>
        </w:rPr>
        <w:footnoteRef/>
      </w:r>
      <w:r>
        <w:rPr>
          <w:rtl/>
        </w:rPr>
        <w:t>ואפי' גר קטן לא הוה זכין. ופי' את הגמ' (כתובות יא.) דגר קטן הוה מדין זכין, דלאו זכין ממש.</w:t>
      </w:r>
    </w:p>
  </w:footnote>
  <w:footnote w:id="2707">
    <w:p w14:paraId="261E6493" w14:textId="77777777" w:rsidR="006074A5" w:rsidRDefault="006074A5" w:rsidP="006074A5">
      <w:pPr>
        <w:pStyle w:val="Footnote"/>
        <w:bidi/>
      </w:pPr>
      <w:r>
        <w:rPr>
          <w:rStyle w:val="ac"/>
          <w:rtl/>
        </w:rPr>
        <w:footnoteRef/>
      </w:r>
      <w:r>
        <w:rPr>
          <w:rtl/>
        </w:rPr>
        <w:t>וה</w:t>
      </w:r>
      <w:r>
        <w:rPr>
          <w:b/>
          <w:bCs/>
          <w:rtl/>
        </w:rPr>
        <w:t>קוב"ש</w:t>
      </w:r>
      <w:r>
        <w:rPr>
          <w:rtl/>
        </w:rPr>
        <w:t xml:space="preserve"> (שם) ביאר דנעשה גר ממילא, ואינו זכיית הבי"ד, אבל האחרונים כתבו לפרש דאף לתי' הזה הוה פעולת הבי"ד, אלא דאין בזה גדר 'זכין', אלא שהבי”ד פועלים ומכניסים.</w:t>
      </w:r>
    </w:p>
  </w:footnote>
  <w:footnote w:id="2708">
    <w:p w14:paraId="77051B17" w14:textId="77777777" w:rsidR="006074A5" w:rsidRDefault="006074A5" w:rsidP="006074A5">
      <w:pPr>
        <w:pStyle w:val="Footnote"/>
        <w:bidi/>
      </w:pPr>
      <w:r>
        <w:rPr>
          <w:rStyle w:val="ac"/>
          <w:rtl/>
        </w:rPr>
        <w:footnoteRef/>
      </w:r>
      <w:r>
        <w:rPr>
          <w:rtl/>
        </w:rPr>
        <w:t>וע”ע (לקמן מו:) בענין טבילה בלילה.</w:t>
      </w:r>
    </w:p>
  </w:footnote>
  <w:footnote w:id="2709">
    <w:p w14:paraId="19ED2A55" w14:textId="77777777" w:rsidR="006074A5" w:rsidRDefault="006074A5" w:rsidP="006074A5">
      <w:pPr>
        <w:pStyle w:val="Footnote"/>
        <w:bidi/>
      </w:pPr>
      <w:r>
        <w:rPr>
          <w:rStyle w:val="ac"/>
          <w:rtl/>
        </w:rPr>
        <w:footnoteRef/>
      </w:r>
      <w:r>
        <w:rPr>
          <w:rtl/>
        </w:rPr>
        <w:t>ודייק כן מפשטיה דקרא, דכתיב [גבי גירות] ושפטתם, דהוי שנים ואין בי"ד שקול.</w:t>
      </w:r>
    </w:p>
  </w:footnote>
  <w:footnote w:id="2710">
    <w:p w14:paraId="3A7DC4CA" w14:textId="77777777" w:rsidR="006074A5" w:rsidRDefault="006074A5" w:rsidP="006074A5">
      <w:pPr>
        <w:pStyle w:val="Footnote"/>
        <w:bidi/>
      </w:pPr>
      <w:r>
        <w:rPr>
          <w:rStyle w:val="ac"/>
          <w:rtl/>
        </w:rPr>
        <w:footnoteRef/>
      </w:r>
      <w:r>
        <w:rPr>
          <w:rtl/>
        </w:rPr>
        <w:t>לתקנת עזרא. וע' רשב"א לקמן מז: וביאו”ה (פח).</w:t>
      </w:r>
    </w:p>
  </w:footnote>
  <w:footnote w:id="2711">
    <w:p w14:paraId="05F33EEC" w14:textId="77777777" w:rsidR="006074A5" w:rsidRDefault="006074A5" w:rsidP="006074A5">
      <w:pPr>
        <w:pStyle w:val="Footnote"/>
        <w:bidi/>
      </w:pPr>
      <w:r>
        <w:rPr>
          <w:rStyle w:val="ac"/>
          <w:rtl/>
        </w:rPr>
        <w:footnoteRef/>
      </w:r>
      <w:r>
        <w:rPr>
          <w:rtl/>
        </w:rPr>
        <w:t>ולכאורה אף בדיעבד חציצה מעכבת. ויל"ד דחציצה במיעוט [המקפיד, או רובו שאינו מקפיד] הוה מדרבנן. א"כ מדאורייתא הוה גר.</w:t>
      </w:r>
    </w:p>
  </w:footnote>
  <w:footnote w:id="2712">
    <w:p w14:paraId="5FC1866D" w14:textId="77777777" w:rsidR="006074A5" w:rsidRDefault="006074A5" w:rsidP="006074A5">
      <w:pPr>
        <w:pStyle w:val="Footnote"/>
        <w:bidi/>
      </w:pPr>
      <w:r>
        <w:rPr>
          <w:rStyle w:val="ac"/>
          <w:rtl/>
        </w:rPr>
        <w:footnoteRef/>
      </w:r>
      <w:r>
        <w:rPr>
          <w:rtl/>
        </w:rPr>
        <w:t xml:space="preserve">[וקצת משמע דצריך למחול כדי שיוכל להתגייר. וצ"ב דאף אי נתגייר לבד, לכאורה שעבוד הממון אינו מעכב הגירות וכדאיתא בסוגיין. אלא שתובעו אח"כ דמי שוויו].  </w:t>
      </w:r>
    </w:p>
  </w:footnote>
  <w:footnote w:id="2713">
    <w:p w14:paraId="1E4EE143" w14:textId="77777777" w:rsidR="006074A5" w:rsidRDefault="006074A5" w:rsidP="006074A5">
      <w:pPr>
        <w:pStyle w:val="Footnote"/>
        <w:bidi/>
      </w:pPr>
      <w:r>
        <w:rPr>
          <w:rStyle w:val="ac"/>
          <w:rtl/>
        </w:rPr>
        <w:footnoteRef/>
      </w:r>
      <w:r>
        <w:rPr>
          <w:rtl/>
        </w:rPr>
        <w:t>אבל ה</w:t>
      </w:r>
      <w:r>
        <w:rPr>
          <w:b/>
          <w:bCs/>
          <w:rtl/>
        </w:rPr>
        <w:t>תוס' רי"ד</w:t>
      </w:r>
      <w:r>
        <w:rPr>
          <w:rtl/>
        </w:rPr>
        <w:t xml:space="preserve"> (ב"ק צ) כת' דהגוי יש לו קנין דמים, אלא דאין לו קנין הגוף שהוא קנין האיסור. ומש"ה אם ברח עבדו של גוי ונתגייר מותר בישראלית מפני שאין לרבו עליו קנין הגוף שהוא קנין איסור אלא קנין דמים בלבד.</w:t>
      </w:r>
    </w:p>
  </w:footnote>
  <w:footnote w:id="2714">
    <w:p w14:paraId="53247CC3" w14:textId="77777777" w:rsidR="006074A5" w:rsidRDefault="006074A5" w:rsidP="006074A5">
      <w:pPr>
        <w:pStyle w:val="Footnote"/>
        <w:bidi/>
      </w:pPr>
      <w:r>
        <w:rPr>
          <w:rStyle w:val="ac"/>
          <w:rtl/>
        </w:rPr>
        <w:footnoteRef/>
      </w:r>
      <w:r>
        <w:rPr>
          <w:rtl/>
        </w:rPr>
        <w:t>אך ה</w:t>
      </w:r>
      <w:r>
        <w:rPr>
          <w:b/>
          <w:bCs/>
          <w:rtl/>
        </w:rPr>
        <w:t>דב"א</w:t>
      </w:r>
      <w:r>
        <w:rPr>
          <w:rtl/>
        </w:rPr>
        <w:t xml:space="preserve"> הק' דה</w:t>
      </w:r>
      <w:r>
        <w:rPr>
          <w:b/>
          <w:bCs/>
          <w:rtl/>
        </w:rPr>
        <w:t>רמב"ן</w:t>
      </w:r>
      <w:r>
        <w:rPr>
          <w:rtl/>
        </w:rPr>
        <w:t xml:space="preserve"> (כאן) כת' כן בשם התוס', ודעת </w:t>
      </w:r>
      <w:r>
        <w:rPr>
          <w:b/>
          <w:bCs/>
          <w:rtl/>
        </w:rPr>
        <w:t>רש"י</w:t>
      </w:r>
      <w:r>
        <w:rPr>
          <w:rtl/>
        </w:rPr>
        <w:t xml:space="preserve"> ו</w:t>
      </w:r>
      <w:r>
        <w:rPr>
          <w:b/>
          <w:bCs/>
          <w:rtl/>
        </w:rPr>
        <w:t>תוס</w:t>
      </w:r>
      <w:r>
        <w:rPr>
          <w:rtl/>
        </w:rPr>
        <w:t>' (קידושין שם, ולקמן מח.) דיש לו קנין מעש"י ול"מ מחילה. וצ"ע.</w:t>
      </w:r>
    </w:p>
  </w:footnote>
  <w:footnote w:id="2715">
    <w:p w14:paraId="39D3323C" w14:textId="77777777" w:rsidR="006074A5" w:rsidRDefault="006074A5" w:rsidP="006074A5">
      <w:pPr>
        <w:pStyle w:val="Footnote"/>
        <w:bidi/>
      </w:pPr>
      <w:r>
        <w:rPr>
          <w:rStyle w:val="ac"/>
          <w:rtl/>
        </w:rPr>
        <w:footnoteRef/>
      </w:r>
      <w:r>
        <w:rPr>
          <w:rtl/>
        </w:rPr>
        <w:t>ודעת ה</w:t>
      </w:r>
      <w:r>
        <w:rPr>
          <w:b/>
          <w:bCs/>
          <w:rtl/>
        </w:rPr>
        <w:t>ריטב"א</w:t>
      </w:r>
      <w:r>
        <w:rPr>
          <w:rtl/>
        </w:rPr>
        <w:t xml:space="preserve"> (גיטין לז:) דהא דאי' דשבאי קנה למעש"י, הוה קנין ממון [קנין פירות], ולא שעבוד בעלמא. [ולא מהני מחילה].</w:t>
      </w:r>
    </w:p>
  </w:footnote>
  <w:footnote w:id="2716">
    <w:p w14:paraId="763B0920" w14:textId="77777777" w:rsidR="006074A5" w:rsidRDefault="006074A5" w:rsidP="006074A5">
      <w:pPr>
        <w:pStyle w:val="Footnote"/>
        <w:bidi/>
      </w:pPr>
      <w:r>
        <w:rPr>
          <w:rStyle w:val="ac"/>
          <w:rtl/>
        </w:rPr>
        <w:footnoteRef/>
      </w:r>
      <w:r>
        <w:rPr>
          <w:rtl/>
        </w:rPr>
        <w:t>וה</w:t>
      </w:r>
      <w:r>
        <w:rPr>
          <w:b/>
          <w:bCs/>
          <w:rtl/>
        </w:rPr>
        <w:t>תוס' רא"ש</w:t>
      </w:r>
      <w:r>
        <w:rPr>
          <w:rtl/>
        </w:rPr>
        <w:t xml:space="preserve"> (גיטין לז:) הביא הא דאי' בסוגיין [לכאו' כוונתו לקו' רב אחא בסמוך] דקנה גופו ע"י טבילה [כשקנה משבאי, וכדברי רש"י שם, הו' בסמוך]. ועוד הביא צד דטבילה אינה קנין, אלא דאהני טבילה להתחייב במצות כמו אשה, הילכך מהניא ליה נמי לקנות גופו.</w:t>
      </w:r>
    </w:p>
    <w:p w14:paraId="51DA0EF4" w14:textId="77777777" w:rsidR="006074A5" w:rsidRDefault="006074A5" w:rsidP="006074A5">
      <w:pPr>
        <w:pStyle w:val="Footnote"/>
        <w:bidi/>
      </w:pPr>
      <w:r>
        <w:rPr>
          <w:rtl/>
        </w:rPr>
        <w:tab/>
        <w:t>אבל ה</w:t>
      </w:r>
      <w:r>
        <w:rPr>
          <w:b/>
          <w:bCs/>
          <w:rtl/>
        </w:rPr>
        <w:t>תוס' רי"ד</w:t>
      </w:r>
      <w:r>
        <w:rPr>
          <w:rtl/>
        </w:rPr>
        <w:t xml:space="preserve"> (הנ"ל) כת' דהישראל יש לו על העבד קנין איסור [שאוסרו בבת חורין, ומש”ה אינו יכול להתגייר], וביאר דאף דהישראל קנה מנכרי, ואין לנכרי קנין איסור. מ"מ אצל ישראל קנין האיסור נמשך אחר קנין הדמים. [וצ"ע דלכאו' בסוגיין מבואר דהטעם משום שהטבילו לשם עבדות, ועי”ז נוצר קנין האיסור].</w:t>
      </w:r>
    </w:p>
  </w:footnote>
  <w:footnote w:id="2717">
    <w:p w14:paraId="357C8A12" w14:textId="77777777" w:rsidR="006074A5" w:rsidRDefault="006074A5" w:rsidP="006074A5">
      <w:pPr>
        <w:pStyle w:val="Footnote"/>
        <w:bidi/>
      </w:pPr>
      <w:r>
        <w:rPr>
          <w:rStyle w:val="ac"/>
          <w:rtl/>
        </w:rPr>
        <w:footnoteRef/>
      </w:r>
      <w:r>
        <w:rPr>
          <w:rtl/>
        </w:rPr>
        <w:t>וה</w:t>
      </w:r>
      <w:r>
        <w:rPr>
          <w:b/>
          <w:bCs/>
          <w:rtl/>
        </w:rPr>
        <w:t>חזו"א</w:t>
      </w:r>
      <w:r>
        <w:rPr>
          <w:rtl/>
        </w:rPr>
        <w:t xml:space="preserve"> (קלד א) כתב דע"י שמוכר עצמו ע"ד כן נחשב כקבלת מצוות בפני ג' [וצ"ב אמאי יש כאן ג'].</w:t>
      </w:r>
    </w:p>
  </w:footnote>
  <w:footnote w:id="2718">
    <w:p w14:paraId="05C9AFCE" w14:textId="77777777" w:rsidR="006074A5" w:rsidRDefault="006074A5" w:rsidP="006074A5">
      <w:pPr>
        <w:pStyle w:val="Footnote"/>
        <w:bidi/>
      </w:pPr>
      <w:r>
        <w:rPr>
          <w:rStyle w:val="ac"/>
          <w:rtl/>
        </w:rPr>
        <w:footnoteRef/>
      </w:r>
      <w:r>
        <w:rPr>
          <w:rtl/>
        </w:rPr>
        <w:t>כשמכר עצמו לעכו"ם. [ולכאורה צ"ל דאף באופן שנגנב נחשב עי"ז דין כיבוש. ויל"ד האם חל השתעבדות ע"י כיבוש].</w:t>
      </w:r>
    </w:p>
  </w:footnote>
  <w:footnote w:id="2719">
    <w:p w14:paraId="256A2E74" w14:textId="77777777" w:rsidR="006074A5" w:rsidRDefault="006074A5" w:rsidP="006074A5">
      <w:pPr>
        <w:pStyle w:val="Footnote"/>
        <w:bidi/>
      </w:pPr>
      <w:r>
        <w:rPr>
          <w:rStyle w:val="ac"/>
          <w:rtl/>
        </w:rPr>
        <w:footnoteRef/>
      </w:r>
      <w:r>
        <w:rPr>
          <w:rtl/>
        </w:rPr>
        <w:t xml:space="preserve">ועוד הקשה </w:t>
      </w:r>
      <w:r>
        <w:rPr>
          <w:b/>
          <w:bCs/>
          <w:rtl/>
        </w:rPr>
        <w:t xml:space="preserve">ר' שמעון </w:t>
      </w:r>
      <w:r>
        <w:rPr>
          <w:rtl/>
        </w:rPr>
        <w:t>שיתן לו כסף נוסף ויקנה. [ויל"ד אי אמרי' דמכח השעבוד מה שקנה עבד קנה רבו].</w:t>
      </w:r>
    </w:p>
  </w:footnote>
  <w:footnote w:id="2720">
    <w:p w14:paraId="7584EFF4" w14:textId="77777777" w:rsidR="006074A5" w:rsidRDefault="006074A5" w:rsidP="006074A5">
      <w:pPr>
        <w:pStyle w:val="Footnote"/>
        <w:bidi/>
      </w:pPr>
      <w:r>
        <w:rPr>
          <w:rStyle w:val="ac"/>
          <w:rtl/>
        </w:rPr>
        <w:footnoteRef/>
      </w:r>
      <w:r>
        <w:rPr>
          <w:rtl/>
        </w:rPr>
        <w:t>ואין לו זכות ממון, וזכות הממון מעכב.</w:t>
      </w:r>
    </w:p>
  </w:footnote>
  <w:footnote w:id="2721">
    <w:p w14:paraId="07F65F5A" w14:textId="77777777" w:rsidR="006074A5" w:rsidRDefault="006074A5" w:rsidP="006074A5">
      <w:pPr>
        <w:pStyle w:val="Footnote"/>
        <w:bidi/>
      </w:pPr>
      <w:r>
        <w:rPr>
          <w:rStyle w:val="ac"/>
          <w:rtl/>
        </w:rPr>
        <w:footnoteRef/>
      </w:r>
      <w:r>
        <w:rPr>
          <w:rtl/>
        </w:rPr>
        <w:t>וה</w:t>
      </w:r>
      <w:r>
        <w:rPr>
          <w:b/>
          <w:bCs/>
          <w:rtl/>
        </w:rPr>
        <w:t>גר"ח</w:t>
      </w:r>
      <w:r>
        <w:rPr>
          <w:rtl/>
        </w:rPr>
        <w:t xml:space="preserve"> נקט דרבא חידש דהקדש 'מפקיע' מדין, שעבוד. ולא רק דאין נפק"מ בשעבוד אחרי ההקדש. [וע"ע לקמן סז].</w:t>
      </w:r>
    </w:p>
  </w:footnote>
  <w:footnote w:id="2722">
    <w:p w14:paraId="11B4AEFA" w14:textId="77777777" w:rsidR="006074A5" w:rsidRDefault="006074A5" w:rsidP="006074A5">
      <w:pPr>
        <w:pStyle w:val="Footnote"/>
        <w:bidi/>
      </w:pPr>
      <w:r>
        <w:rPr>
          <w:rStyle w:val="ac"/>
          <w:rtl/>
        </w:rPr>
        <w:footnoteRef/>
      </w:r>
      <w:r>
        <w:rPr>
          <w:rtl/>
        </w:rPr>
        <w:t>[ואינו סוג גירות שונה, אלא דהבעלות קובע שהגירות לשם עבדות].</w:t>
      </w:r>
    </w:p>
  </w:footnote>
  <w:footnote w:id="2723">
    <w:p w14:paraId="5BA977E6" w14:textId="77777777" w:rsidR="006074A5" w:rsidRDefault="006074A5" w:rsidP="006074A5">
      <w:pPr>
        <w:pStyle w:val="Footnote"/>
        <w:bidi/>
      </w:pPr>
      <w:r>
        <w:rPr>
          <w:rStyle w:val="ac"/>
          <w:rtl/>
        </w:rPr>
        <w:footnoteRef/>
      </w:r>
      <w:r>
        <w:rPr>
          <w:rtl/>
        </w:rPr>
        <w:t xml:space="preserve">ובפשוטו משמע דכיון דחל קדושת הגוף, וכן איסור חמץ ושחרור, ממילא אין לו מהיכן לגבות. אך יש </w:t>
      </w:r>
      <w:r>
        <w:rPr>
          <w:b/>
          <w:bCs/>
          <w:rtl/>
        </w:rPr>
        <w:t>אחרונים</w:t>
      </w:r>
      <w:r>
        <w:rPr>
          <w:rtl/>
        </w:rPr>
        <w:t xml:space="preserve"> שדייקו דאתינן עלה משום גדר 'מפקיע', דמהדין השעבוד מונע דאין לו זכות למונעו ממנו. ויש דין מפקיע. וע"ע חי' ר' שמעון (מערכת הקנינים יא).</w:t>
      </w:r>
    </w:p>
  </w:footnote>
  <w:footnote w:id="2724">
    <w:p w14:paraId="0F698C8C" w14:textId="77777777" w:rsidR="006074A5" w:rsidRDefault="006074A5" w:rsidP="006074A5">
      <w:pPr>
        <w:pStyle w:val="Footnote"/>
        <w:bidi/>
      </w:pPr>
      <w:r>
        <w:rPr>
          <w:rStyle w:val="ac"/>
          <w:rtl/>
        </w:rPr>
        <w:footnoteRef/>
      </w:r>
      <w:r>
        <w:rPr>
          <w:rtl/>
        </w:rPr>
        <w:t>אבל אינו מזיק גמור, כיון דהוה רק הפקעת השעבוד.</w:t>
      </w:r>
    </w:p>
  </w:footnote>
  <w:footnote w:id="2725">
    <w:p w14:paraId="5F41901A" w14:textId="77777777" w:rsidR="006074A5" w:rsidRDefault="006074A5" w:rsidP="006074A5">
      <w:pPr>
        <w:pStyle w:val="Footnote"/>
        <w:bidi/>
      </w:pPr>
      <w:r>
        <w:rPr>
          <w:rStyle w:val="ac"/>
          <w:rtl/>
        </w:rPr>
        <w:footnoteRef/>
      </w:r>
      <w:r>
        <w:rPr>
          <w:rtl/>
        </w:rPr>
        <w:t>[ועד"ז מבואר גיטין מא.].</w:t>
      </w:r>
    </w:p>
  </w:footnote>
  <w:footnote w:id="2726">
    <w:p w14:paraId="71422CF4" w14:textId="77777777" w:rsidR="006074A5" w:rsidRDefault="006074A5" w:rsidP="006074A5">
      <w:pPr>
        <w:pStyle w:val="Footnote"/>
        <w:bidi/>
      </w:pPr>
      <w:r>
        <w:rPr>
          <w:rStyle w:val="ac"/>
          <w:rtl/>
        </w:rPr>
        <w:footnoteRef/>
      </w:r>
      <w:r>
        <w:rPr>
          <w:rtl/>
        </w:rPr>
        <w:t>וכדאי' (בסמוך) חזו דמנייכו קבעית.</w:t>
      </w:r>
    </w:p>
  </w:footnote>
  <w:footnote w:id="2727">
    <w:p w14:paraId="12C381FB" w14:textId="77777777" w:rsidR="006074A5" w:rsidRDefault="006074A5" w:rsidP="006074A5">
      <w:pPr>
        <w:pStyle w:val="Footnote"/>
        <w:bidi/>
      </w:pPr>
      <w:r>
        <w:rPr>
          <w:rStyle w:val="ac"/>
          <w:rtl/>
        </w:rPr>
        <w:footnoteRef/>
      </w:r>
      <w:r>
        <w:rPr>
          <w:rtl/>
        </w:rPr>
        <w:t>ויל"ד האם תליא במה דהבי"ד פועלים לגירות, או דהוה כעדות בעלמא.</w:t>
      </w:r>
    </w:p>
  </w:footnote>
  <w:footnote w:id="2728">
    <w:p w14:paraId="715E3F0A" w14:textId="77777777" w:rsidR="006074A5" w:rsidRDefault="006074A5" w:rsidP="006074A5">
      <w:pPr>
        <w:pStyle w:val="Footnote"/>
        <w:bidi/>
      </w:pPr>
      <w:r>
        <w:rPr>
          <w:rStyle w:val="ac"/>
          <w:rtl/>
        </w:rPr>
        <w:footnoteRef/>
      </w:r>
      <w:r>
        <w:rPr>
          <w:rtl/>
        </w:rPr>
        <w:t>אבל אם לא ידעו פטורין [ויל"ד האם תליא במח' הראשונים בדין גרמי בשוגג].</w:t>
      </w:r>
    </w:p>
  </w:footnote>
  <w:footnote w:id="2729">
    <w:p w14:paraId="47A56010" w14:textId="77777777" w:rsidR="006074A5" w:rsidRDefault="006074A5" w:rsidP="006074A5">
      <w:pPr>
        <w:pStyle w:val="Footnote"/>
        <w:bidi/>
      </w:pPr>
      <w:r>
        <w:rPr>
          <w:rStyle w:val="ac"/>
          <w:rtl/>
        </w:rPr>
        <w:footnoteRef/>
      </w:r>
      <w:r>
        <w:rPr>
          <w:rtl/>
        </w:rPr>
        <w:t>ו</w:t>
      </w:r>
      <w:r>
        <w:rPr>
          <w:b/>
          <w:bCs/>
          <w:rtl/>
        </w:rPr>
        <w:t>רש"י</w:t>
      </w:r>
      <w:r>
        <w:rPr>
          <w:rtl/>
        </w:rPr>
        <w:t xml:space="preserve"> (פסחים ל:) משמע דהטעם דכיון דמשועבד אינו ברשותו של זה, ומש"ה אינו יכול להקדיש. וע"ע קצות (קיז ב).</w:t>
      </w:r>
    </w:p>
  </w:footnote>
  <w:footnote w:id="2730">
    <w:p w14:paraId="2E63225A" w14:textId="77777777" w:rsidR="006074A5" w:rsidRDefault="006074A5" w:rsidP="006074A5">
      <w:pPr>
        <w:pStyle w:val="Footnote"/>
        <w:bidi/>
      </w:pPr>
      <w:r>
        <w:rPr>
          <w:rStyle w:val="ac"/>
          <w:rtl/>
        </w:rPr>
        <w:footnoteRef/>
      </w:r>
      <w:r>
        <w:rPr>
          <w:rtl/>
        </w:rPr>
        <w:t>וכדאי' (ב"מ קי:) דקרקע כיון דלגוביינא קיימא נחשב שעומד ברשות בעל חוב.</w:t>
      </w:r>
    </w:p>
  </w:footnote>
  <w:footnote w:id="2731">
    <w:p w14:paraId="2C2996B0" w14:textId="77777777" w:rsidR="006074A5" w:rsidRDefault="006074A5" w:rsidP="006074A5">
      <w:pPr>
        <w:pStyle w:val="Footnote"/>
        <w:bidi/>
      </w:pPr>
      <w:r>
        <w:rPr>
          <w:rStyle w:val="ac"/>
          <w:rtl/>
        </w:rPr>
        <w:footnoteRef/>
      </w:r>
      <w:r>
        <w:rPr>
          <w:rtl/>
        </w:rPr>
        <w:t>וה</w:t>
      </w:r>
      <w:r>
        <w:rPr>
          <w:b/>
          <w:bCs/>
          <w:rtl/>
        </w:rPr>
        <w:t>אחרונים</w:t>
      </w:r>
      <w:r>
        <w:rPr>
          <w:rtl/>
        </w:rPr>
        <w:t xml:space="preserve"> הביאו דמבואר מדבריו דגיטו וידו באין כא' הוה מגזיה"כ ד'לה לה', ולא מסברא [ואכ”מ].</w:t>
      </w:r>
    </w:p>
  </w:footnote>
  <w:footnote w:id="2732">
    <w:p w14:paraId="5286960F" w14:textId="77777777" w:rsidR="006074A5" w:rsidRDefault="006074A5" w:rsidP="006074A5">
      <w:pPr>
        <w:pStyle w:val="Footnote"/>
        <w:bidi/>
      </w:pPr>
      <w:r>
        <w:rPr>
          <w:rStyle w:val="ac"/>
          <w:rtl/>
        </w:rPr>
        <w:footnoteRef/>
      </w:r>
      <w:r>
        <w:rPr>
          <w:rtl/>
        </w:rPr>
        <w:t>וכת' דאע"ג דליתא בתורת שליחות מהני זכין, דלאו מתורת שליחות הוא.</w:t>
      </w:r>
    </w:p>
  </w:footnote>
  <w:footnote w:id="2733">
    <w:p w14:paraId="1037992A" w14:textId="77777777" w:rsidR="006074A5" w:rsidRDefault="006074A5" w:rsidP="006074A5">
      <w:pPr>
        <w:pStyle w:val="Footnote"/>
        <w:bidi/>
      </w:pPr>
      <w:r>
        <w:rPr>
          <w:rStyle w:val="ac"/>
          <w:rtl/>
        </w:rPr>
        <w:footnoteRef/>
      </w:r>
      <w:r>
        <w:rPr>
          <w:rtl/>
        </w:rPr>
        <w:t xml:space="preserve">וכ"ד </w:t>
      </w:r>
      <w:r>
        <w:rPr>
          <w:b/>
          <w:bCs/>
          <w:rtl/>
        </w:rPr>
        <w:t>ר"ת</w:t>
      </w:r>
      <w:r>
        <w:rPr>
          <w:rtl/>
        </w:rPr>
        <w:t xml:space="preserve"> (תוס' קידושין שם) דעכו"ם ל"ק בשטר. אבל ה</w:t>
      </w:r>
      <w:r>
        <w:rPr>
          <w:b/>
          <w:bCs/>
          <w:rtl/>
        </w:rPr>
        <w:t>רמב"ם</w:t>
      </w:r>
      <w:r>
        <w:rPr>
          <w:rtl/>
        </w:rPr>
        <w:t xml:space="preserve"> (מכירה א יז) ס"ל דעכו"ם קונה בשטר.</w:t>
      </w:r>
    </w:p>
  </w:footnote>
  <w:footnote w:id="2734">
    <w:p w14:paraId="3FFBA052" w14:textId="77777777" w:rsidR="006074A5" w:rsidRDefault="006074A5" w:rsidP="006074A5">
      <w:pPr>
        <w:pStyle w:val="Footnote"/>
        <w:bidi/>
      </w:pPr>
      <w:r>
        <w:rPr>
          <w:rStyle w:val="ac"/>
          <w:rtl/>
        </w:rPr>
        <w:footnoteRef/>
      </w:r>
      <w:r>
        <w:rPr>
          <w:rtl/>
        </w:rPr>
        <w:t>[ולכאורה סגי אף חליפין לקנין ממון לחוד. דליכא קנין איסור]. וצריך לפרש הא דבגמ' בסמוך דבעי גיטא דחירותא באופן אחר (ע' בסמוך).</w:t>
      </w:r>
    </w:p>
  </w:footnote>
  <w:footnote w:id="2735">
    <w:p w14:paraId="33424F3E" w14:textId="77777777" w:rsidR="006074A5" w:rsidRDefault="006074A5" w:rsidP="006074A5">
      <w:pPr>
        <w:pStyle w:val="Footnote"/>
        <w:bidi/>
      </w:pPr>
      <w:r>
        <w:rPr>
          <w:rStyle w:val="ac"/>
          <w:rtl/>
        </w:rPr>
        <w:footnoteRef/>
      </w:r>
      <w:r>
        <w:rPr>
          <w:rtl/>
        </w:rPr>
        <w:t>דעבד אין בנו מתייחס אחריו (כדלקמן סב., הו' לעיל כג.). [ועפ"ז עבד זה גרע מעכו"ם ומעבד, דאין לו חיוב מצוות. ואף אין לו יחס. וע' צריכותא דהגמ' שם].</w:t>
      </w:r>
    </w:p>
  </w:footnote>
  <w:footnote w:id="2736">
    <w:p w14:paraId="11E6D51E" w14:textId="77777777" w:rsidR="006074A5" w:rsidRDefault="006074A5" w:rsidP="006074A5">
      <w:pPr>
        <w:pStyle w:val="Footnote"/>
        <w:bidi/>
      </w:pPr>
      <w:r>
        <w:rPr>
          <w:rStyle w:val="ac"/>
          <w:rtl/>
        </w:rPr>
        <w:footnoteRef/>
      </w:r>
      <w:r>
        <w:rPr>
          <w:rtl/>
        </w:rPr>
        <w:t>ולכאו' כוונתו דכיון דהפקירה לא אמרי' דזכות הממון מעכב. [ואפשר דכוונתו דמהני נתינת רשות, וכמשמעות הריטב"א בסוגיין]. אבל ה</w:t>
      </w:r>
      <w:r>
        <w:rPr>
          <w:b/>
          <w:bCs/>
          <w:rtl/>
        </w:rPr>
        <w:t>או"ש</w:t>
      </w:r>
      <w:r>
        <w:rPr>
          <w:rtl/>
        </w:rPr>
        <w:t xml:space="preserve"> (עבדים ה ה) דייק מלשון הרמב"ן דאף הפקר ל"מ, וצריך דוקא גט שחרור.</w:t>
      </w:r>
    </w:p>
  </w:footnote>
  <w:footnote w:id="2737">
    <w:p w14:paraId="5F8AA056" w14:textId="77777777" w:rsidR="006074A5" w:rsidRDefault="006074A5" w:rsidP="006074A5">
      <w:pPr>
        <w:pStyle w:val="Footnote"/>
        <w:bidi/>
      </w:pPr>
      <w:r>
        <w:rPr>
          <w:rStyle w:val="ac"/>
          <w:rtl/>
        </w:rPr>
        <w:footnoteRef/>
      </w:r>
      <w:r>
        <w:rPr>
          <w:rtl/>
        </w:rPr>
        <w:t>אך מדברי המחנ"א משמע דנקט דכוונתו דחל קנין איסור בעודה נכרית.</w:t>
      </w:r>
    </w:p>
  </w:footnote>
  <w:footnote w:id="2738">
    <w:p w14:paraId="6435E52C" w14:textId="77777777" w:rsidR="006074A5" w:rsidRDefault="006074A5" w:rsidP="006074A5">
      <w:pPr>
        <w:pStyle w:val="Footnote"/>
        <w:bidi/>
      </w:pPr>
      <w:r>
        <w:rPr>
          <w:rStyle w:val="ac"/>
          <w:rtl/>
        </w:rPr>
        <w:footnoteRef/>
      </w:r>
      <w:r>
        <w:rPr>
          <w:rtl/>
        </w:rPr>
        <w:t>וה</w:t>
      </w:r>
      <w:r>
        <w:rPr>
          <w:b/>
          <w:bCs/>
          <w:rtl/>
        </w:rPr>
        <w:t>חזו"א</w:t>
      </w:r>
      <w:r>
        <w:rPr>
          <w:rtl/>
        </w:rPr>
        <w:t xml:space="preserve"> (ד) נסתפק דרב אחא לא בא לחלוק, אלא להקשות דבקרא ליכא ראיה [ומ”מ יש ראיה מהברייתא]. א”נ ס"ל דע”י הטבילה נשלם קנינו, וקודם לא נחשב קנין הגוף.</w:t>
      </w:r>
    </w:p>
  </w:footnote>
  <w:footnote w:id="2739">
    <w:p w14:paraId="02A5B256" w14:textId="77777777" w:rsidR="006074A5" w:rsidRDefault="006074A5" w:rsidP="006074A5">
      <w:pPr>
        <w:pStyle w:val="Footnote"/>
        <w:bidi/>
      </w:pPr>
      <w:r>
        <w:rPr>
          <w:rStyle w:val="ac"/>
          <w:rtl/>
        </w:rPr>
        <w:footnoteRef/>
      </w:r>
      <w:r>
        <w:rPr>
          <w:rtl/>
        </w:rPr>
        <w:t>וה</w:t>
      </w:r>
      <w:r>
        <w:rPr>
          <w:b/>
          <w:bCs/>
          <w:rtl/>
        </w:rPr>
        <w:t>תוס' רא"ש</w:t>
      </w:r>
      <w:r>
        <w:rPr>
          <w:rtl/>
        </w:rPr>
        <w:t xml:space="preserve"> (בתחילת דבריו) נקט דהוה קנין ממש, ואף כשקנה עבד משבאי וחזר והטבילו קנה גופו. וכמ"ש </w:t>
      </w:r>
      <w:r>
        <w:rPr>
          <w:b/>
          <w:bCs/>
          <w:rtl/>
        </w:rPr>
        <w:t>רש"י</w:t>
      </w:r>
      <w:r>
        <w:rPr>
          <w:rtl/>
        </w:rPr>
        <w:t xml:space="preserve"> (גיטין שם). וכ”כ להדיא ב</w:t>
      </w:r>
      <w:r>
        <w:rPr>
          <w:b/>
          <w:bCs/>
          <w:rtl/>
        </w:rPr>
        <w:t>חי' ר"א מן ההר</w:t>
      </w:r>
      <w:r>
        <w:rPr>
          <w:rtl/>
        </w:rPr>
        <w:t xml:space="preserve"> דהוה מעשה קנין (וע”ע מח.).</w:t>
      </w:r>
    </w:p>
  </w:footnote>
  <w:footnote w:id="2740">
    <w:p w14:paraId="29B74F8E" w14:textId="77777777" w:rsidR="006074A5" w:rsidRDefault="006074A5" w:rsidP="006074A5">
      <w:pPr>
        <w:pStyle w:val="Footnote"/>
        <w:bidi/>
      </w:pPr>
      <w:r>
        <w:rPr>
          <w:rStyle w:val="ac"/>
          <w:rtl/>
        </w:rPr>
        <w:footnoteRef/>
      </w:r>
      <w:r>
        <w:rPr>
          <w:rtl/>
        </w:rPr>
        <w:t>אבל מדברי ה</w:t>
      </w:r>
      <w:r>
        <w:rPr>
          <w:b/>
          <w:bCs/>
          <w:rtl/>
        </w:rPr>
        <w:t>תוס' רא"ש</w:t>
      </w:r>
      <w:r>
        <w:rPr>
          <w:rtl/>
        </w:rPr>
        <w:t xml:space="preserve"> משמע דהוה 'מיגו' דחל עבדות, עי"ז הוה 'מעשה קנין'.</w:t>
      </w:r>
    </w:p>
  </w:footnote>
  <w:footnote w:id="2741">
    <w:p w14:paraId="7873CAE9" w14:textId="77777777" w:rsidR="006074A5" w:rsidRDefault="006074A5" w:rsidP="006074A5">
      <w:pPr>
        <w:pStyle w:val="Footnote"/>
        <w:bidi/>
      </w:pPr>
      <w:r>
        <w:rPr>
          <w:rStyle w:val="ac"/>
          <w:rtl/>
        </w:rPr>
        <w:footnoteRef/>
      </w:r>
      <w:r>
        <w:rPr>
          <w:rtl/>
        </w:rPr>
        <w:t>וכ"כ ה</w:t>
      </w:r>
      <w:r>
        <w:rPr>
          <w:b/>
          <w:bCs/>
          <w:rtl/>
        </w:rPr>
        <w:t>חזו"א</w:t>
      </w:r>
      <w:r>
        <w:rPr>
          <w:rtl/>
        </w:rPr>
        <w:t xml:space="preserve"> (ג) דהנידון כשהעבד יטען כך אח"כ, דהעבד מוחזק בעצמו, ואינו יכול לשעבד מספק. וכתב דע"כ איירי דטוען שקיבל מצוות לפני ג'.</w:t>
      </w:r>
    </w:p>
  </w:footnote>
  <w:footnote w:id="2742">
    <w:p w14:paraId="0D3C32B3" w14:textId="77777777" w:rsidR="006074A5" w:rsidRDefault="006074A5" w:rsidP="006074A5">
      <w:pPr>
        <w:pStyle w:val="Footnote"/>
        <w:bidi/>
      </w:pPr>
      <w:r>
        <w:rPr>
          <w:rStyle w:val="ac"/>
          <w:rtl/>
        </w:rPr>
        <w:footnoteRef/>
      </w:r>
      <w:r>
        <w:rPr>
          <w:rtl/>
        </w:rPr>
        <w:t>וכ"כ ה</w:t>
      </w:r>
      <w:r>
        <w:rPr>
          <w:b/>
          <w:bCs/>
          <w:rtl/>
        </w:rPr>
        <w:t>ריטב"א</w:t>
      </w:r>
      <w:r>
        <w:rPr>
          <w:rtl/>
        </w:rPr>
        <w:t xml:space="preserve"> אהא דבסמוך בהדי דדלי רישא אנחו זולטא דטינא, לרווחא דמילתא להחזיקו כעבד. שלא יהא שום פתחון פה.</w:t>
      </w:r>
    </w:p>
  </w:footnote>
  <w:footnote w:id="2743">
    <w:p w14:paraId="5971BFCA" w14:textId="77777777" w:rsidR="006074A5" w:rsidRDefault="006074A5" w:rsidP="006074A5">
      <w:pPr>
        <w:pStyle w:val="Footnote"/>
        <w:bidi/>
      </w:pPr>
      <w:r>
        <w:rPr>
          <w:rStyle w:val="ac"/>
          <w:rtl/>
        </w:rPr>
        <w:footnoteRef/>
      </w:r>
      <w:r>
        <w:rPr>
          <w:rtl/>
        </w:rPr>
        <w:t>וה</w:t>
      </w:r>
      <w:r>
        <w:rPr>
          <w:b/>
          <w:bCs/>
          <w:rtl/>
        </w:rPr>
        <w:t xml:space="preserve">קה"י </w:t>
      </w:r>
      <w:r>
        <w:rPr>
          <w:rtl/>
        </w:rPr>
        <w:t>(לה) תי' דכיון דיש כאן ב' מעשים סותרים לא חל כלל שום א' [וכדין כל שאינו בזה אחר זה], ועכ”פ הגירות לא תחול.</w:t>
      </w:r>
    </w:p>
  </w:footnote>
  <w:footnote w:id="2744">
    <w:p w14:paraId="7BD77C26" w14:textId="77777777" w:rsidR="006074A5" w:rsidRDefault="006074A5" w:rsidP="006074A5">
      <w:pPr>
        <w:pStyle w:val="Footnote"/>
        <w:bidi/>
      </w:pPr>
      <w:r>
        <w:rPr>
          <w:rStyle w:val="ac"/>
          <w:rtl/>
        </w:rPr>
        <w:footnoteRef/>
      </w:r>
      <w:r>
        <w:rPr>
          <w:rtl/>
        </w:rPr>
        <w:t>ודן דאם נתן להם שכר הוה נוטל שכר לדון [ועי"ש שדן בזה]. וצ”ב דעבדים נתמעטו משמירה, וע"כ איירי שקבלו עליהם.</w:t>
      </w:r>
    </w:p>
  </w:footnote>
  <w:footnote w:id="2745">
    <w:p w14:paraId="14C2C0DB" w14:textId="77777777" w:rsidR="006074A5" w:rsidRDefault="006074A5" w:rsidP="006074A5">
      <w:pPr>
        <w:pStyle w:val="Footnote"/>
        <w:bidi/>
      </w:pPr>
      <w:r>
        <w:rPr>
          <w:rStyle w:val="ac"/>
          <w:rtl/>
        </w:rPr>
        <w:footnoteRef/>
      </w:r>
      <w:r>
        <w:rPr>
          <w:rtl/>
        </w:rPr>
        <w:t>וצ"ב דאי קנה גופו, א"כ לכאו' יקנה לעולם. ובגמ' משמע דדינא במלכותא נתן להם זכות רק לזמן, ואפ"ה נחשב קנין הגוף. וצ"ע.</w:t>
      </w:r>
    </w:p>
  </w:footnote>
  <w:footnote w:id="2746">
    <w:p w14:paraId="0E6D5F90" w14:textId="77777777" w:rsidR="006074A5" w:rsidRDefault="006074A5" w:rsidP="006074A5">
      <w:pPr>
        <w:pStyle w:val="Footnote"/>
        <w:bidi/>
      </w:pPr>
      <w:r>
        <w:rPr>
          <w:rStyle w:val="ac"/>
          <w:rtl/>
        </w:rPr>
        <w:footnoteRef/>
      </w:r>
      <w:r>
        <w:rPr>
          <w:rtl/>
        </w:rPr>
        <w:t>ולכאו' כוונתו דהמלך לא קנה את הגוף, ואפ"ה יכול למכור לישראל. אך מדברי רש"י (ד"ה בטפסא) משמע דהמלך קנה אותם עבדים. וקנין דינא דמלכותא עדיף.</w:t>
      </w:r>
    </w:p>
  </w:footnote>
  <w:footnote w:id="2747">
    <w:p w14:paraId="14F7CE2A" w14:textId="77777777" w:rsidR="006074A5" w:rsidRDefault="006074A5" w:rsidP="006074A5">
      <w:pPr>
        <w:pStyle w:val="Footnote"/>
        <w:bidi/>
      </w:pPr>
      <w:r>
        <w:rPr>
          <w:rStyle w:val="ac"/>
          <w:rtl/>
        </w:rPr>
        <w:footnoteRef/>
      </w:r>
      <w:r>
        <w:rPr>
          <w:rtl/>
        </w:rPr>
        <w:t>ופי' דדינא דמלכותא מהני מדין כיבוש [עי”ש שהאריך בזה טובא].</w:t>
      </w:r>
    </w:p>
  </w:footnote>
  <w:footnote w:id="2748">
    <w:p w14:paraId="01ACD33D" w14:textId="77777777" w:rsidR="006074A5" w:rsidRDefault="006074A5" w:rsidP="006074A5">
      <w:pPr>
        <w:pStyle w:val="Footnote"/>
        <w:bidi/>
      </w:pPr>
      <w:r>
        <w:rPr>
          <w:rStyle w:val="ac"/>
          <w:rtl/>
        </w:rPr>
        <w:footnoteRef/>
      </w:r>
      <w:r>
        <w:rPr>
          <w:rtl/>
        </w:rPr>
        <w:t>[וה</w:t>
      </w:r>
      <w:r>
        <w:rPr>
          <w:b/>
          <w:bCs/>
          <w:rtl/>
        </w:rPr>
        <w:t>ב”ח</w:t>
      </w:r>
      <w:r>
        <w:rPr>
          <w:rtl/>
        </w:rPr>
        <w:t xml:space="preserve"> חלק דאין ראיה מדברי הרשב”א].</w:t>
      </w:r>
    </w:p>
  </w:footnote>
  <w:footnote w:id="2749">
    <w:p w14:paraId="5E30848E" w14:textId="77777777" w:rsidR="006074A5" w:rsidRDefault="006074A5" w:rsidP="006074A5">
      <w:pPr>
        <w:pStyle w:val="Footnote"/>
        <w:bidi/>
      </w:pPr>
      <w:r>
        <w:rPr>
          <w:rStyle w:val="ac"/>
          <w:rtl/>
        </w:rPr>
        <w:footnoteRef/>
      </w:r>
      <w:r>
        <w:rPr>
          <w:rtl/>
        </w:rPr>
        <w:t>וצ"ב כוונתו, ומה הרויח בזה בסוגיין.</w:t>
      </w:r>
    </w:p>
  </w:footnote>
  <w:footnote w:id="2750">
    <w:p w14:paraId="065A1AAD" w14:textId="77777777" w:rsidR="006074A5" w:rsidRDefault="006074A5" w:rsidP="006074A5">
      <w:pPr>
        <w:pStyle w:val="Footnote"/>
        <w:bidi/>
      </w:pPr>
      <w:r>
        <w:rPr>
          <w:rStyle w:val="ac"/>
          <w:rtl/>
        </w:rPr>
        <w:footnoteRef/>
      </w:r>
      <w:r>
        <w:rPr>
          <w:rtl/>
        </w:rPr>
        <w:t>[ועכו"ם יכול למכור עצמו לישראל, אלא דהנידון מצד האומדנא. וצ"ל לפ"ז הא דאמרי' מוהרקייהו, דעי"ז נקבע האומדנא דנתכוונו למכור גופם].</w:t>
      </w:r>
    </w:p>
  </w:footnote>
  <w:footnote w:id="2751">
    <w:p w14:paraId="49BE1638" w14:textId="77777777" w:rsidR="006074A5" w:rsidRDefault="006074A5" w:rsidP="006074A5">
      <w:pPr>
        <w:pStyle w:val="Footnote"/>
        <w:bidi/>
      </w:pPr>
      <w:r>
        <w:rPr>
          <w:rStyle w:val="ac"/>
          <w:rtl/>
        </w:rPr>
        <w:footnoteRef/>
      </w:r>
      <w:r>
        <w:rPr>
          <w:rtl/>
        </w:rPr>
        <w:t>וכן ה</w:t>
      </w:r>
      <w:r>
        <w:rPr>
          <w:b/>
          <w:bCs/>
          <w:rtl/>
        </w:rPr>
        <w:t>ראב”ד</w:t>
      </w:r>
      <w:r>
        <w:rPr>
          <w:rtl/>
        </w:rPr>
        <w:t xml:space="preserve"> (עבדים א ח) וה</w:t>
      </w:r>
      <w:r>
        <w:rPr>
          <w:b/>
          <w:bCs/>
          <w:rtl/>
        </w:rPr>
        <w:t>רמב"ם</w:t>
      </w:r>
      <w:r>
        <w:rPr>
          <w:rtl/>
        </w:rPr>
        <w:t xml:space="preserve"> (מלוה ה יז). [והרמב"ם הביא דין זה בהלכות עבדים, דרשאי להשתעבד בו, ואין בזה משום לא תרדה בו בפרך. ובהלכות מלוה לענין ריבית. ובהלכות גזילה (ה טז) מדיני דינא דמלכותא].</w:t>
      </w:r>
    </w:p>
  </w:footnote>
  <w:footnote w:id="2752">
    <w:p w14:paraId="1C67451A" w14:textId="77777777" w:rsidR="006074A5" w:rsidRDefault="006074A5" w:rsidP="006074A5">
      <w:pPr>
        <w:pStyle w:val="Footnote"/>
        <w:bidi/>
      </w:pPr>
      <w:r>
        <w:rPr>
          <w:rStyle w:val="ac"/>
          <w:rtl/>
        </w:rPr>
        <w:footnoteRef/>
      </w:r>
      <w:r>
        <w:rPr>
          <w:rtl/>
        </w:rPr>
        <w:t>וכ”כ ה</w:t>
      </w:r>
      <w:r>
        <w:rPr>
          <w:b/>
          <w:bCs/>
          <w:rtl/>
        </w:rPr>
        <w:t>תוס' רא"ש</w:t>
      </w:r>
      <w:r>
        <w:rPr>
          <w:rtl/>
        </w:rPr>
        <w:t xml:space="preserve"> דאי גרסי' לה יל"פ דמחמת שעבד יתירתא אינן נראין כשכירים אלא ככבושים לעבדים. [ולכאו' מש"כ נראין היינו שנתפרש הדבר כן. ולא משום 'מיחזי' מדרבנן].</w:t>
      </w:r>
    </w:p>
  </w:footnote>
  <w:footnote w:id="2753">
    <w:p w14:paraId="40D2B95B" w14:textId="77777777" w:rsidR="006074A5" w:rsidRDefault="006074A5" w:rsidP="006074A5">
      <w:pPr>
        <w:pStyle w:val="Footnote"/>
        <w:bidi/>
      </w:pPr>
      <w:r>
        <w:rPr>
          <w:rStyle w:val="ac"/>
          <w:rtl/>
        </w:rPr>
        <w:footnoteRef/>
      </w:r>
      <w:r>
        <w:rPr>
          <w:rtl/>
        </w:rPr>
        <w:t>[ולפ"ז מעשה דהכא הוה מעשה דהגמ' (ב"מ עג:). ולרש"י צ"ל דהוה ב' מעשים, והכא קנו עכו”ם [לגופם], והתם נשתעבדו בישראל.</w:t>
      </w:r>
    </w:p>
  </w:footnote>
  <w:footnote w:id="2754">
    <w:p w14:paraId="6F1DB9C3" w14:textId="77777777" w:rsidR="006074A5" w:rsidRDefault="006074A5" w:rsidP="006074A5">
      <w:pPr>
        <w:pStyle w:val="Footnote"/>
        <w:bidi/>
      </w:pPr>
      <w:r>
        <w:rPr>
          <w:rStyle w:val="ac"/>
          <w:rtl/>
        </w:rPr>
        <w:footnoteRef/>
      </w:r>
      <w:r>
        <w:rPr>
          <w:rtl/>
        </w:rPr>
        <w:t>דגופו קנוי וכדין עבד עברי (קידושין טז.).</w:t>
      </w:r>
    </w:p>
  </w:footnote>
  <w:footnote w:id="2755">
    <w:p w14:paraId="626C68A5" w14:textId="77777777" w:rsidR="006074A5" w:rsidRDefault="006074A5" w:rsidP="006074A5">
      <w:pPr>
        <w:pStyle w:val="Footnote"/>
        <w:bidi/>
      </w:pPr>
      <w:r>
        <w:rPr>
          <w:rStyle w:val="ac"/>
          <w:rtl/>
        </w:rPr>
        <w:footnoteRef/>
      </w:r>
      <w:r>
        <w:rPr>
          <w:rtl/>
        </w:rPr>
        <w:t>וה</w:t>
      </w:r>
      <w:r>
        <w:rPr>
          <w:b/>
          <w:bCs/>
          <w:rtl/>
        </w:rPr>
        <w:t>ב"ח</w:t>
      </w:r>
      <w:r>
        <w:rPr>
          <w:rtl/>
        </w:rPr>
        <w:t xml:space="preserve"> (לרי"ף ב”מ ס: לג בדה”ר) הביא </w:t>
      </w:r>
      <w:r>
        <w:rPr>
          <w:b/>
          <w:bCs/>
          <w:rtl/>
        </w:rPr>
        <w:t>אלפסי ישן</w:t>
      </w:r>
      <w:r>
        <w:rPr>
          <w:rtl/>
        </w:rPr>
        <w:t xml:space="preserve"> דהא דאין ע"ע נוהג אלא בזמן שהיובל נוהג היינו בנמכר בגניבתו.</w:t>
      </w:r>
    </w:p>
  </w:footnote>
  <w:footnote w:id="2756">
    <w:p w14:paraId="73F7770D" w14:textId="77777777" w:rsidR="006074A5" w:rsidRDefault="006074A5" w:rsidP="006074A5">
      <w:pPr>
        <w:pStyle w:val="Footnote"/>
        <w:bidi/>
      </w:pPr>
      <w:r>
        <w:rPr>
          <w:rStyle w:val="ac"/>
          <w:rtl/>
        </w:rPr>
        <w:footnoteRef/>
      </w:r>
      <w:r>
        <w:rPr>
          <w:rtl/>
        </w:rPr>
        <w:t>[ע"פ פירושו דאיירי בישראל, אבל לדעת שאר ראשונים אין לזה מקור].</w:t>
      </w:r>
    </w:p>
  </w:footnote>
  <w:footnote w:id="2757">
    <w:p w14:paraId="779F2A40" w14:textId="77777777" w:rsidR="006074A5" w:rsidRDefault="006074A5" w:rsidP="006074A5">
      <w:pPr>
        <w:pStyle w:val="Footnote"/>
        <w:bidi/>
      </w:pPr>
      <w:r>
        <w:rPr>
          <w:rStyle w:val="ac"/>
          <w:rtl/>
        </w:rPr>
        <w:footnoteRef/>
      </w:r>
      <w:r>
        <w:rPr>
          <w:rtl/>
        </w:rPr>
        <w:t>וכדאיתא (ב"מ י., יב:, וכן גיטין סה.). והחזו"א כת' דאפשר דכוונתו בדינא דמלכותא. [אך לא משמע כן מדבריו].</w:t>
      </w:r>
    </w:p>
  </w:footnote>
  <w:footnote w:id="2758">
    <w:p w14:paraId="3024D542" w14:textId="77777777" w:rsidR="006074A5" w:rsidRDefault="006074A5" w:rsidP="006074A5">
      <w:pPr>
        <w:pStyle w:val="Footnote"/>
        <w:bidi/>
      </w:pPr>
      <w:r>
        <w:rPr>
          <w:rStyle w:val="ac"/>
          <w:rtl/>
        </w:rPr>
        <w:footnoteRef/>
      </w:r>
      <w:r>
        <w:rPr>
          <w:rtl/>
        </w:rPr>
        <w:t>וב</w:t>
      </w:r>
      <w:r>
        <w:rPr>
          <w:b/>
          <w:bCs/>
          <w:rtl/>
        </w:rPr>
        <w:t>שו"ת הרשב"א</w:t>
      </w:r>
      <w:r>
        <w:rPr>
          <w:rtl/>
        </w:rPr>
        <w:t xml:space="preserve"> (ב עב) כת' דל”ש אפי' קנין בגופו לענין פעולה, דאין עבד עברי נוהג בזה”ז.</w:t>
      </w:r>
    </w:p>
  </w:footnote>
  <w:footnote w:id="2759">
    <w:p w14:paraId="10161022" w14:textId="77777777" w:rsidR="006074A5" w:rsidRDefault="006074A5" w:rsidP="006074A5">
      <w:pPr>
        <w:pStyle w:val="Footnote"/>
        <w:bidi/>
      </w:pPr>
      <w:r>
        <w:rPr>
          <w:rStyle w:val="ac"/>
          <w:rtl/>
        </w:rPr>
        <w:footnoteRef/>
      </w:r>
      <w:r>
        <w:rPr>
          <w:rtl/>
        </w:rPr>
        <w:t>והביאו דכ"כ ה</w:t>
      </w:r>
      <w:r>
        <w:rPr>
          <w:b/>
          <w:bCs/>
          <w:rtl/>
        </w:rPr>
        <w:t>ריטב"א</w:t>
      </w:r>
      <w:r>
        <w:rPr>
          <w:rtl/>
        </w:rPr>
        <w:t xml:space="preserve"> (קידושין טז.) דל"ק גופו, ואם אמר באפי תרי זיל יצא.</w:t>
      </w:r>
    </w:p>
  </w:footnote>
  <w:footnote w:id="2760">
    <w:p w14:paraId="3975A2F2" w14:textId="77777777" w:rsidR="006074A5" w:rsidRDefault="006074A5" w:rsidP="006074A5">
      <w:pPr>
        <w:pStyle w:val="Footnote"/>
        <w:bidi/>
      </w:pPr>
      <w:r>
        <w:rPr>
          <w:rStyle w:val="ac"/>
          <w:rtl/>
        </w:rPr>
        <w:footnoteRef/>
      </w:r>
      <w:r>
        <w:rPr>
          <w:rtl/>
        </w:rPr>
        <w:t>ולכאו' מפורש בדברי הרמב"ן דלא סגי שיאמר 'זיל' שיוכל להתגייר.</w:t>
      </w:r>
    </w:p>
  </w:footnote>
  <w:footnote w:id="2761">
    <w:p w14:paraId="70F8F966" w14:textId="77777777" w:rsidR="006074A5" w:rsidRDefault="006074A5" w:rsidP="006074A5">
      <w:pPr>
        <w:pStyle w:val="Footnote"/>
        <w:bidi/>
      </w:pPr>
      <w:r>
        <w:rPr>
          <w:rStyle w:val="ac"/>
          <w:rtl/>
        </w:rPr>
        <w:footnoteRef/>
      </w:r>
      <w:r>
        <w:rPr>
          <w:rtl/>
        </w:rPr>
        <w:t>וסיים ולכן צריך לברר שמדעת רבם נתגיירו. ואל"כ ספיקא הוה. [ומבואר דאף בדיעבד לא חל]. ומשמע דסגי בנתינת רשות לחוד. ול"צ להפקיע את קנין הממון ממש.</w:t>
      </w:r>
    </w:p>
  </w:footnote>
  <w:footnote w:id="2762">
    <w:p w14:paraId="1A84B5F1" w14:textId="77777777" w:rsidR="006074A5" w:rsidRDefault="006074A5" w:rsidP="006074A5">
      <w:pPr>
        <w:pStyle w:val="Footnote"/>
        <w:bidi/>
      </w:pPr>
      <w:r>
        <w:rPr>
          <w:rStyle w:val="ac"/>
          <w:rtl/>
        </w:rPr>
        <w:footnoteRef/>
      </w:r>
      <w:r>
        <w:rPr>
          <w:rtl/>
        </w:rPr>
        <w:t>דהא מבואר בתחילת הסוגיה דאי קנה מעכו"ם מהני.</w:t>
      </w:r>
    </w:p>
  </w:footnote>
  <w:footnote w:id="2763">
    <w:p w14:paraId="7044AA00" w14:textId="77777777" w:rsidR="006074A5" w:rsidRDefault="006074A5" w:rsidP="006074A5">
      <w:pPr>
        <w:pStyle w:val="Footnote"/>
        <w:bidi/>
      </w:pPr>
      <w:r>
        <w:rPr>
          <w:rStyle w:val="ac"/>
          <w:rtl/>
        </w:rPr>
        <w:footnoteRef/>
      </w:r>
      <w:r>
        <w:rPr>
          <w:rtl/>
        </w:rPr>
        <w:t>וצ"ב דלכאו' עיקר הנפק”מ לקנין ממון [אלא די"ל דלא הוה נפק”מ לישראל].</w:t>
      </w:r>
    </w:p>
  </w:footnote>
  <w:footnote w:id="2764">
    <w:p w14:paraId="153ABED5" w14:textId="77777777" w:rsidR="006074A5" w:rsidRDefault="006074A5" w:rsidP="006074A5">
      <w:pPr>
        <w:pStyle w:val="Footnote"/>
        <w:bidi/>
      </w:pPr>
      <w:r>
        <w:rPr>
          <w:rStyle w:val="ac"/>
          <w:rtl/>
        </w:rPr>
        <w:footnoteRef/>
      </w:r>
      <w:r>
        <w:rPr>
          <w:rtl/>
        </w:rPr>
        <w:t>וה</w:t>
      </w:r>
      <w:r>
        <w:rPr>
          <w:b/>
          <w:bCs/>
          <w:rtl/>
        </w:rPr>
        <w:t>פני משה</w:t>
      </w:r>
      <w:r>
        <w:rPr>
          <w:rtl/>
        </w:rPr>
        <w:t xml:space="preserve"> דייק מדברי תוס' והראשונים דאיירי דיצאו [שעבר הזמן], ואח"כ נתגייר. והוכיח מזה דאף דהפקירו, ונתגייר אח"כ הדין עבדות מונע את הגירות.</w:t>
      </w:r>
    </w:p>
  </w:footnote>
  <w:footnote w:id="2765">
    <w:p w14:paraId="09B7BC89" w14:textId="77777777" w:rsidR="006074A5" w:rsidRDefault="006074A5" w:rsidP="006074A5">
      <w:pPr>
        <w:pStyle w:val="Footnote"/>
        <w:bidi/>
      </w:pPr>
      <w:r>
        <w:rPr>
          <w:rStyle w:val="ac"/>
          <w:rtl/>
        </w:rPr>
        <w:footnoteRef/>
      </w:r>
      <w:r>
        <w:rPr>
          <w:rtl/>
        </w:rPr>
        <w:t>ומבואר בדעת הפני משה, דהדין 'עבד' מהני לפרש את הגירות [אפי' בסתמא] כגירות עבדות [וכסברת הגר”ח הו' לעיל], ולא רק למנוע הגירות.</w:t>
      </w:r>
    </w:p>
  </w:footnote>
  <w:footnote w:id="2766">
    <w:p w14:paraId="68C88E5C" w14:textId="77777777" w:rsidR="006074A5" w:rsidRDefault="006074A5" w:rsidP="006074A5">
      <w:pPr>
        <w:pStyle w:val="Footnote"/>
        <w:bidi/>
      </w:pPr>
      <w:r>
        <w:rPr>
          <w:rStyle w:val="ac"/>
          <w:rtl/>
        </w:rPr>
        <w:footnoteRef/>
      </w:r>
      <w:r>
        <w:rPr>
          <w:rtl/>
        </w:rPr>
        <w:t>ורב א' הורה לגר שמל ולא טבל שאינו רשאי לשבות בשבת, דעדיין הוה בכלל עכו"ם, ועכו"ם ששבת חייב מיתה. וב</w:t>
      </w:r>
      <w:r>
        <w:rPr>
          <w:b/>
          <w:bCs/>
          <w:rtl/>
        </w:rPr>
        <w:t>שו"ת בנין ציון</w:t>
      </w:r>
      <w:r>
        <w:rPr>
          <w:rtl/>
        </w:rPr>
        <w:t xml:space="preserve"> (צא) כת' דכן הדין נותן, מוסד על אדני הדין ואמת. אבל הביא דהמנהג דלא כן, דמצד הסברא אחרי שמילת הגר נקרא ברית [שמברכים עלי' כורת הברית] ומתנגד אל השכל שיהא מוכרח להפר הברית של שבת.</w:t>
      </w:r>
    </w:p>
    <w:p w14:paraId="710A6145" w14:textId="77777777" w:rsidR="006074A5" w:rsidRDefault="006074A5" w:rsidP="006074A5">
      <w:pPr>
        <w:pStyle w:val="Footnote"/>
        <w:bidi/>
      </w:pPr>
      <w:r>
        <w:rPr>
          <w:rtl/>
        </w:rPr>
        <w:tab/>
        <w:t>והביא דאי' (שבת פז:) דבמרה נצטוו על שבת, אף דעדיין לא נכנסו לברית עד סיני. [ויל"ד דהתם נצטוו כן, אבל לדורות ל"ש גירות במקצת].</w:t>
      </w:r>
    </w:p>
  </w:footnote>
  <w:footnote w:id="2767">
    <w:p w14:paraId="36428BF4" w14:textId="77777777" w:rsidR="006074A5" w:rsidRDefault="006074A5" w:rsidP="006074A5">
      <w:pPr>
        <w:pStyle w:val="Footnote"/>
        <w:bidi/>
      </w:pPr>
      <w:r>
        <w:rPr>
          <w:rStyle w:val="ac"/>
          <w:rtl/>
        </w:rPr>
        <w:footnoteRef/>
      </w:r>
      <w:r>
        <w:rPr>
          <w:rtl/>
        </w:rPr>
        <w:t>ועפ"ז דנו דרשאי לשמור שבת. וה</w:t>
      </w:r>
      <w:r>
        <w:rPr>
          <w:b/>
          <w:bCs/>
          <w:rtl/>
        </w:rPr>
        <w:t>צפנת פענח</w:t>
      </w:r>
      <w:r>
        <w:rPr>
          <w:rtl/>
        </w:rPr>
        <w:t xml:space="preserve"> (תנינא עמ' מג) כת' דכשטבל לבסוף נעשה  גר למפרע משעת מילה.</w:t>
      </w:r>
    </w:p>
  </w:footnote>
  <w:footnote w:id="2768">
    <w:p w14:paraId="31FFDB18" w14:textId="77777777" w:rsidR="006074A5" w:rsidRDefault="006074A5" w:rsidP="006074A5">
      <w:pPr>
        <w:pStyle w:val="Footnote"/>
        <w:bidi/>
      </w:pPr>
      <w:r>
        <w:rPr>
          <w:rStyle w:val="ac"/>
          <w:rtl/>
        </w:rPr>
        <w:footnoteRef/>
      </w:r>
      <w:r>
        <w:rPr>
          <w:rtl/>
        </w:rPr>
        <w:t>יל"ד האם דוקא ע"י מילה [כמו שמצאנו במצרים, ויצאו משם עבדות], או דאף טבילה בלא מילה [לצד דהסדר אינו מעכב] פועל מקצת [וע' בסמוך דעת ר”ח]. וב</w:t>
      </w:r>
      <w:r>
        <w:rPr>
          <w:b/>
          <w:bCs/>
          <w:rtl/>
        </w:rPr>
        <w:t xml:space="preserve">זכר יצחק </w:t>
      </w:r>
      <w:r>
        <w:rPr>
          <w:rtl/>
        </w:rPr>
        <w:t>(כט-לא) האריך דע"י מילה יצא מדין ערלת דעכו"ם, והטבילה הוה מעשה הגירות.</w:t>
      </w:r>
    </w:p>
  </w:footnote>
  <w:footnote w:id="2769">
    <w:p w14:paraId="3F84FE30" w14:textId="77777777" w:rsidR="006074A5" w:rsidRDefault="006074A5" w:rsidP="006074A5">
      <w:pPr>
        <w:pStyle w:val="Footnote"/>
        <w:bidi/>
      </w:pPr>
      <w:r>
        <w:rPr>
          <w:rStyle w:val="ac"/>
          <w:rtl/>
        </w:rPr>
        <w:footnoteRef/>
      </w:r>
      <w:r>
        <w:rPr>
          <w:rtl/>
        </w:rPr>
        <w:t>וה</w:t>
      </w:r>
      <w:r>
        <w:rPr>
          <w:b/>
          <w:bCs/>
          <w:rtl/>
        </w:rPr>
        <w:t>דב"א</w:t>
      </w:r>
      <w:r>
        <w:rPr>
          <w:rtl/>
        </w:rPr>
        <w:t xml:space="preserve"> (ג יט) כת' דעיקר המושג של מקצת יהדות דבר מוזר הוא. ודברי הרשב"א הוה צריכותא בעלמא, ועוד דהרשב"א קאי דוקא על מילתו, דהוה מילת יהדות. אבל לא חל בו דיני גר כלל.</w:t>
      </w:r>
    </w:p>
  </w:footnote>
  <w:footnote w:id="2770">
    <w:p w14:paraId="6C184270" w14:textId="77777777" w:rsidR="006074A5" w:rsidRDefault="006074A5" w:rsidP="006074A5">
      <w:pPr>
        <w:pStyle w:val="Footnote"/>
        <w:bidi/>
      </w:pPr>
      <w:r>
        <w:rPr>
          <w:rStyle w:val="ac"/>
          <w:rtl/>
        </w:rPr>
        <w:footnoteRef/>
      </w:r>
      <w:r>
        <w:rPr>
          <w:rtl/>
        </w:rPr>
        <w:t>ואפשר דדמי לגמירות דעת של הקנין, דהוה עצם ההקנאה [ולא רק תנאי].</w:t>
      </w:r>
    </w:p>
  </w:footnote>
  <w:footnote w:id="2771">
    <w:p w14:paraId="79B9BC11" w14:textId="77777777" w:rsidR="006074A5" w:rsidRDefault="006074A5" w:rsidP="006074A5">
      <w:pPr>
        <w:pStyle w:val="Footnote"/>
        <w:bidi/>
      </w:pPr>
      <w:r>
        <w:rPr>
          <w:rStyle w:val="ac"/>
          <w:rtl/>
        </w:rPr>
        <w:footnoteRef/>
      </w:r>
      <w:r>
        <w:rPr>
          <w:rtl/>
        </w:rPr>
        <w:t>והביאו כן מדברי ה</w:t>
      </w:r>
      <w:r>
        <w:rPr>
          <w:b/>
          <w:bCs/>
          <w:rtl/>
        </w:rPr>
        <w:t>אחיעזר</w:t>
      </w:r>
      <w:r>
        <w:rPr>
          <w:rtl/>
        </w:rPr>
        <w:t xml:space="preserve"> (ג כו) וה</w:t>
      </w:r>
      <w:r>
        <w:rPr>
          <w:b/>
          <w:bCs/>
          <w:rtl/>
        </w:rPr>
        <w:t>חזו"א</w:t>
      </w:r>
      <w:r>
        <w:rPr>
          <w:rtl/>
        </w:rPr>
        <w:t xml:space="preserve"> (הו' לעיל כד:) דל"ש בזה דברים שבלב דחסר בעיקר הקבלה.</w:t>
      </w:r>
    </w:p>
  </w:footnote>
  <w:footnote w:id="2772">
    <w:p w14:paraId="6570E244" w14:textId="77777777" w:rsidR="006074A5" w:rsidRDefault="006074A5" w:rsidP="006074A5">
      <w:pPr>
        <w:pStyle w:val="Footnote"/>
        <w:bidi/>
      </w:pPr>
      <w:r>
        <w:rPr>
          <w:rStyle w:val="ac"/>
          <w:rtl/>
        </w:rPr>
        <w:footnoteRef/>
      </w:r>
      <w:r>
        <w:rPr>
          <w:rtl/>
        </w:rPr>
        <w:t>וה</w:t>
      </w:r>
      <w:r>
        <w:rPr>
          <w:b/>
          <w:bCs/>
          <w:rtl/>
        </w:rPr>
        <w:t>אמר"מ</w:t>
      </w:r>
      <w:r>
        <w:rPr>
          <w:rtl/>
        </w:rPr>
        <w:t xml:space="preserve"> (כב כה) הקשה דאחרי שנתקיים מצוות מילה כדין א"כ אין כאן ערלה. והיאך יתכן בהם מילה, הא הוה כחותך אצבע. ואולי יש לדחוק דכיון דלא נצטוו בפריעה. [לס"ד דהרמב"ן דאינה מילת ישראל].</w:t>
      </w:r>
    </w:p>
  </w:footnote>
  <w:footnote w:id="2773">
    <w:p w14:paraId="36A541EA" w14:textId="77777777" w:rsidR="006074A5" w:rsidRDefault="006074A5" w:rsidP="006074A5">
      <w:pPr>
        <w:pStyle w:val="Footnote"/>
        <w:bidi/>
      </w:pPr>
      <w:r>
        <w:rPr>
          <w:rStyle w:val="ac"/>
          <w:rtl/>
        </w:rPr>
        <w:footnoteRef/>
      </w:r>
      <w:r>
        <w:rPr>
          <w:rtl/>
        </w:rPr>
        <w:t>משמע מדבריו דכל מילה וטבילה הוה עצם הגירות. אבל הכא אף דהוה מילה ע"פ צווי, מ"מ לא נחשב מעשה גירות. אלא דכיון דאינו ערל סגי בזה לגירות דידיה.</w:t>
      </w:r>
    </w:p>
  </w:footnote>
  <w:footnote w:id="2774">
    <w:p w14:paraId="7CDE8778" w14:textId="77777777" w:rsidR="006074A5" w:rsidRDefault="006074A5" w:rsidP="006074A5">
      <w:pPr>
        <w:pStyle w:val="Footnote"/>
        <w:bidi/>
      </w:pPr>
      <w:r>
        <w:rPr>
          <w:rStyle w:val="ac"/>
          <w:rtl/>
        </w:rPr>
        <w:footnoteRef/>
      </w:r>
      <w:r>
        <w:rPr>
          <w:rtl/>
        </w:rPr>
        <w:t xml:space="preserve">והוסיף דאפי' בני קטורה דוקא הם נתחייבו ולא זרעם. [וכ"ד </w:t>
      </w:r>
      <w:r>
        <w:rPr>
          <w:b/>
          <w:bCs/>
          <w:rtl/>
        </w:rPr>
        <w:t>רש"י</w:t>
      </w:r>
      <w:r>
        <w:rPr>
          <w:rtl/>
        </w:rPr>
        <w:t xml:space="preserve"> (סנהדרין נט:), אבל דעת ה</w:t>
      </w:r>
      <w:r>
        <w:rPr>
          <w:b/>
          <w:bCs/>
          <w:rtl/>
        </w:rPr>
        <w:t>רמב"ם</w:t>
      </w:r>
      <w:r>
        <w:rPr>
          <w:rtl/>
        </w:rPr>
        <w:t xml:space="preserve"> (מלכים י ח) דכל דורותיהם חייבין למול. וה</w:t>
      </w:r>
      <w:r>
        <w:rPr>
          <w:b/>
          <w:bCs/>
          <w:rtl/>
        </w:rPr>
        <w:t>שאג”א</w:t>
      </w:r>
      <w:r>
        <w:rPr>
          <w:rtl/>
        </w:rPr>
        <w:t xml:space="preserve"> (מט) כת' דמ”מ לא נצטוו על הפריעה, ומש”ה הוה כערלים כלפי ישראל].</w:t>
      </w:r>
    </w:p>
  </w:footnote>
  <w:footnote w:id="2775">
    <w:p w14:paraId="00000228" w14:textId="77777777" w:rsidR="006074A5" w:rsidRDefault="006074A5" w:rsidP="006074A5">
      <w:pPr>
        <w:pStyle w:val="Footnote"/>
        <w:bidi/>
      </w:pPr>
      <w:r>
        <w:rPr>
          <w:rStyle w:val="ac"/>
          <w:rtl/>
        </w:rPr>
        <w:footnoteRef/>
      </w:r>
      <w:r>
        <w:rPr>
          <w:rtl/>
        </w:rPr>
        <w:t>וה</w:t>
      </w:r>
      <w:r>
        <w:rPr>
          <w:b/>
          <w:bCs/>
          <w:rtl/>
        </w:rPr>
        <w:t>גר"א</w:t>
      </w:r>
      <w:r>
        <w:rPr>
          <w:rtl/>
        </w:rPr>
        <w:t xml:space="preserve"> (רסח ד) כת' דדעת רבנן דאין דנים אפשר משאי אפשר. [וב</w:t>
      </w:r>
      <w:r>
        <w:rPr>
          <w:b/>
          <w:bCs/>
          <w:rtl/>
        </w:rPr>
        <w:t>גליון מהרש"א</w:t>
      </w:r>
      <w:r>
        <w:rPr>
          <w:rtl/>
        </w:rPr>
        <w:t xml:space="preserve"> ציין (הוריות ו) וכמה סוגיות דנח' התנאים אי דנים אפשר משאי אפשר].</w:t>
      </w:r>
    </w:p>
  </w:footnote>
  <w:footnote w:id="2776">
    <w:p w14:paraId="1B5F59E0" w14:textId="77777777" w:rsidR="006074A5" w:rsidRDefault="006074A5" w:rsidP="006074A5">
      <w:pPr>
        <w:pStyle w:val="Footnote"/>
        <w:bidi/>
      </w:pPr>
      <w:r>
        <w:rPr>
          <w:rStyle w:val="ac"/>
          <w:rtl/>
        </w:rPr>
        <w:footnoteRef/>
      </w:r>
      <w:r>
        <w:rPr>
          <w:rtl/>
        </w:rPr>
        <w:t>וראב"י מנה גר בכלל מחוסרי כיפורים. ובמס' גרים (ב ד) דעת ת"ק דמילה וטבילה מעכב והרצאת דמים אינו מעכב. וראב"י פליג דשלשתן מעכבין. ולכאורה דעת ת"ק דהוה חיוב קרבן בעלמא שנתחייב גר, ואינו חלק מהגירות.</w:t>
      </w:r>
    </w:p>
  </w:footnote>
  <w:footnote w:id="2777">
    <w:p w14:paraId="3407B9B3" w14:textId="77777777" w:rsidR="006074A5" w:rsidRDefault="006074A5" w:rsidP="006074A5">
      <w:pPr>
        <w:pStyle w:val="Footnote"/>
        <w:bidi/>
      </w:pPr>
      <w:r>
        <w:rPr>
          <w:rStyle w:val="ac"/>
          <w:rtl/>
        </w:rPr>
        <w:footnoteRef/>
      </w:r>
      <w:r>
        <w:rPr>
          <w:rtl/>
        </w:rPr>
        <w:t>והגמ' (כריתות ט.) מק' אלא מעתה האידנא דליכא קרבן לא נקבל גרים. ורב אחא בר יעקב תי' וכי יגור אתכם גר אשר בתוככם וגו' [וע"ע לקמן מז:]. ובברייתא (שם) אי' דמ"מ גר בזה"ז צריך שיפריש רובע לקינו [דאף דאינו מעכב בגירות, יש עליו חובת קרבן]. ור"ש חלק דרבן יוחנן בן זכאי נמנה עליו ובטלה מפני התקלה.</w:t>
      </w:r>
    </w:p>
  </w:footnote>
  <w:footnote w:id="2778">
    <w:p w14:paraId="276BC8B1" w14:textId="77777777" w:rsidR="006074A5" w:rsidRDefault="006074A5" w:rsidP="006074A5">
      <w:pPr>
        <w:pStyle w:val="Footnote"/>
        <w:bidi/>
      </w:pPr>
      <w:r>
        <w:rPr>
          <w:rStyle w:val="ac"/>
          <w:rtl/>
        </w:rPr>
        <w:footnoteRef/>
      </w:r>
      <w:r>
        <w:rPr>
          <w:rtl/>
        </w:rPr>
        <w:t>אך הרצאת דמים לדורות הוה ע"ג מזבח. ולא דמי למתן תורה שזרקו עליהם את הדם.</w:t>
      </w:r>
    </w:p>
  </w:footnote>
  <w:footnote w:id="2779">
    <w:p w14:paraId="6CFEFEC5" w14:textId="77777777" w:rsidR="006074A5" w:rsidRDefault="006074A5" w:rsidP="006074A5">
      <w:pPr>
        <w:pStyle w:val="Footnote"/>
        <w:bidi/>
      </w:pPr>
      <w:r>
        <w:rPr>
          <w:rStyle w:val="ac"/>
          <w:rtl/>
        </w:rPr>
        <w:footnoteRef/>
      </w:r>
      <w:r>
        <w:rPr>
          <w:rtl/>
        </w:rPr>
        <w:t>אך ה</w:t>
      </w:r>
      <w:r>
        <w:rPr>
          <w:b/>
          <w:bCs/>
          <w:rtl/>
        </w:rPr>
        <w:t>אחרונים</w:t>
      </w:r>
      <w:r>
        <w:rPr>
          <w:rtl/>
        </w:rPr>
        <w:t xml:space="preserve"> נקטו דמ”מ תפסי קידושין [וכדאי' בגמ' לקמן מז:, וכן פשיט"ל לגר"ח ועוד אחרונים]. וה</w:t>
      </w:r>
      <w:r>
        <w:rPr>
          <w:b/>
          <w:bCs/>
          <w:rtl/>
        </w:rPr>
        <w:t>או”ש</w:t>
      </w:r>
      <w:r>
        <w:rPr>
          <w:rtl/>
        </w:rPr>
        <w:t xml:space="preserve"> (איסו”ב יג במילואים) נקט דאי תפסי קידושין אינו פוסל אשה בביאתו. [וכדאי' לקמן סט. דעכו"ם פוסל משום דלא תפסי קידושין דאין לו אלמנות וגירושין]. ואילו השיטמ"ק נקט דפוסל אשה בביאתו. [ואפשר דהוה משום איסור לא תתחתן בם, דכיון דלא נתגייר לגמרי דינו כשאר פסולי קהל. ונחשב זר אצלה מעיקרא].</w:t>
      </w:r>
    </w:p>
  </w:footnote>
  <w:footnote w:id="2780">
    <w:p w14:paraId="0D80CEEB" w14:textId="77777777" w:rsidR="006074A5" w:rsidRDefault="006074A5" w:rsidP="006074A5">
      <w:pPr>
        <w:pStyle w:val="Footnote"/>
        <w:bidi/>
      </w:pPr>
      <w:r>
        <w:rPr>
          <w:rStyle w:val="ac"/>
          <w:rtl/>
        </w:rPr>
        <w:footnoteRef/>
      </w:r>
      <w:r>
        <w:rPr>
          <w:rtl/>
        </w:rPr>
        <w:t>[ויל”ד ד</w:t>
      </w:r>
      <w:r>
        <w:rPr>
          <w:b/>
          <w:bCs/>
          <w:rtl/>
        </w:rPr>
        <w:t>תוס</w:t>
      </w:r>
      <w:r>
        <w:rPr>
          <w:rtl/>
        </w:rPr>
        <w:t>' (ד"ה כי פליגי) כת' דלר”ע ילפי' דמל ולא טבל לא הוה גר לכל מילי, דילפי' מפסח. ולא אמרי' דהוה גזיה”כ לענין קדשים].</w:t>
      </w:r>
    </w:p>
  </w:footnote>
  <w:footnote w:id="2781">
    <w:p w14:paraId="218ED0E2" w14:textId="77777777" w:rsidR="006074A5" w:rsidRDefault="006074A5" w:rsidP="006074A5">
      <w:pPr>
        <w:pStyle w:val="Footnote"/>
        <w:bidi/>
      </w:pPr>
      <w:r>
        <w:rPr>
          <w:rStyle w:val="ac"/>
          <w:rtl/>
        </w:rPr>
        <w:footnoteRef/>
      </w:r>
      <w:r>
        <w:rPr>
          <w:rtl/>
        </w:rPr>
        <w:t>אך ה</w:t>
      </w:r>
      <w:r>
        <w:rPr>
          <w:b/>
          <w:bCs/>
          <w:rtl/>
        </w:rPr>
        <w:t>אבן עזרא</w:t>
      </w:r>
      <w:r>
        <w:rPr>
          <w:rtl/>
        </w:rPr>
        <w:t xml:space="preserve"> (שם ז) כת' דזרק על הזקנים [ולא על כל העם]. [וצ"ע מסוגיין דמבואר דצריך טבילה של כל ישראל להזאה זו].</w:t>
      </w:r>
    </w:p>
  </w:footnote>
  <w:footnote w:id="2782">
    <w:p w14:paraId="7EF03AD3" w14:textId="77777777" w:rsidR="006074A5" w:rsidRDefault="006074A5" w:rsidP="006074A5">
      <w:pPr>
        <w:pStyle w:val="Footnote"/>
        <w:bidi/>
      </w:pPr>
      <w:r>
        <w:rPr>
          <w:rStyle w:val="ac"/>
          <w:rtl/>
        </w:rPr>
        <w:footnoteRef/>
      </w:r>
      <w:r>
        <w:rPr>
          <w:rtl/>
        </w:rPr>
        <w:t>והו' ב</w:t>
      </w:r>
      <w:r>
        <w:rPr>
          <w:b/>
          <w:bCs/>
          <w:rtl/>
        </w:rPr>
        <w:t>רש"י</w:t>
      </w:r>
      <w:r>
        <w:rPr>
          <w:rtl/>
        </w:rPr>
        <w:t xml:space="preserve"> (עה"ת שם), וה</w:t>
      </w:r>
      <w:r>
        <w:rPr>
          <w:b/>
          <w:bCs/>
          <w:rtl/>
        </w:rPr>
        <w:t>מפרשים</w:t>
      </w:r>
      <w:r>
        <w:rPr>
          <w:rtl/>
        </w:rPr>
        <w:t xml:space="preserve"> הק' ד</w:t>
      </w:r>
      <w:r>
        <w:rPr>
          <w:b/>
          <w:bCs/>
          <w:rtl/>
        </w:rPr>
        <w:t>רש"י</w:t>
      </w:r>
      <w:r>
        <w:rPr>
          <w:rtl/>
        </w:rPr>
        <w:t xml:space="preserve"> (לעיל שם ו) הביא (סוגיין) דמכאן למדו רבותינו דאין הזאה בלא טבילה.</w:t>
      </w:r>
    </w:p>
  </w:footnote>
  <w:footnote w:id="2783">
    <w:p w14:paraId="610DB0DA" w14:textId="77777777" w:rsidR="006074A5" w:rsidRDefault="006074A5" w:rsidP="006074A5">
      <w:pPr>
        <w:pStyle w:val="Footnote"/>
        <w:bidi/>
      </w:pPr>
      <w:r>
        <w:rPr>
          <w:rStyle w:val="ac"/>
          <w:rtl/>
        </w:rPr>
        <w:footnoteRef/>
      </w:r>
      <w:r>
        <w:rPr>
          <w:rtl/>
        </w:rPr>
        <w:t>וע"ע ב</w:t>
      </w:r>
      <w:r>
        <w:rPr>
          <w:b/>
          <w:bCs/>
          <w:rtl/>
        </w:rPr>
        <w:t>רמב"ן</w:t>
      </w:r>
      <w:r>
        <w:rPr>
          <w:rtl/>
        </w:rPr>
        <w:t xml:space="preserve"> (שמות כד א) ושאר מפרשים שם.</w:t>
      </w:r>
    </w:p>
  </w:footnote>
  <w:footnote w:id="2784">
    <w:p w14:paraId="6546934E" w14:textId="77777777" w:rsidR="006074A5" w:rsidRDefault="006074A5" w:rsidP="006074A5">
      <w:pPr>
        <w:pStyle w:val="Footnote"/>
        <w:bidi/>
      </w:pPr>
      <w:r>
        <w:rPr>
          <w:rStyle w:val="ac"/>
          <w:rtl/>
        </w:rPr>
        <w:footnoteRef/>
      </w:r>
      <w:r>
        <w:rPr>
          <w:rtl/>
        </w:rPr>
        <w:t>וה</w:t>
      </w:r>
      <w:r>
        <w:rPr>
          <w:b/>
          <w:bCs/>
          <w:rtl/>
        </w:rPr>
        <w:t>תו"י</w:t>
      </w:r>
      <w:r>
        <w:rPr>
          <w:rtl/>
        </w:rPr>
        <w:t xml:space="preserve"> דן אי בעינן מילה לשמה. וה</w:t>
      </w:r>
      <w:r>
        <w:rPr>
          <w:b/>
          <w:bCs/>
          <w:rtl/>
        </w:rPr>
        <w:t>קובה"ע</w:t>
      </w:r>
      <w:r>
        <w:rPr>
          <w:rtl/>
        </w:rPr>
        <w:t xml:space="preserve"> (לח יג) תמה דבמילת גירות ודאי בעי לשמה [לשם יהדות, או לשם מעשה מילה]. וצע"ג.</w:t>
      </w:r>
    </w:p>
  </w:footnote>
  <w:footnote w:id="2785">
    <w:p w14:paraId="5F8DF7B1" w14:textId="77777777" w:rsidR="006074A5" w:rsidRDefault="006074A5" w:rsidP="006074A5">
      <w:pPr>
        <w:pStyle w:val="Footnote"/>
        <w:bidi/>
      </w:pPr>
      <w:r>
        <w:rPr>
          <w:rStyle w:val="ac"/>
          <w:rtl/>
        </w:rPr>
        <w:footnoteRef/>
      </w:r>
      <w:r>
        <w:rPr>
          <w:rtl/>
        </w:rPr>
        <w:t xml:space="preserve">וכן מבואר ממש"כ הרמב"ן (מז:) בשם </w:t>
      </w:r>
      <w:r>
        <w:rPr>
          <w:b/>
          <w:bCs/>
          <w:rtl/>
        </w:rPr>
        <w:t>תוס</w:t>
      </w:r>
      <w:r>
        <w:rPr>
          <w:rtl/>
        </w:rPr>
        <w:t>'.</w:t>
      </w:r>
    </w:p>
  </w:footnote>
  <w:footnote w:id="2786">
    <w:p w14:paraId="646431C4" w14:textId="77777777" w:rsidR="006074A5" w:rsidRDefault="006074A5" w:rsidP="006074A5">
      <w:pPr>
        <w:pStyle w:val="Footnote"/>
        <w:bidi/>
      </w:pPr>
      <w:r>
        <w:rPr>
          <w:rStyle w:val="ac"/>
          <w:rtl/>
        </w:rPr>
        <w:footnoteRef/>
      </w:r>
      <w:r>
        <w:rPr>
          <w:rtl/>
        </w:rPr>
        <w:t>והביא בשם ה</w:t>
      </w:r>
      <w:r>
        <w:rPr>
          <w:b/>
          <w:bCs/>
          <w:rtl/>
        </w:rPr>
        <w:t>ישועות יעקב</w:t>
      </w:r>
      <w:r>
        <w:rPr>
          <w:rtl/>
        </w:rPr>
        <w:t xml:space="preserve"> דלמנהגינו לברך אחר הטבילה ניחא.</w:t>
      </w:r>
    </w:p>
  </w:footnote>
  <w:footnote w:id="2787">
    <w:p w14:paraId="72D61EB1" w14:textId="77777777" w:rsidR="006074A5" w:rsidRDefault="006074A5" w:rsidP="006074A5">
      <w:pPr>
        <w:pStyle w:val="Footnote"/>
        <w:bidi/>
      </w:pPr>
      <w:r>
        <w:rPr>
          <w:rStyle w:val="ac"/>
          <w:rtl/>
        </w:rPr>
        <w:footnoteRef/>
      </w:r>
      <w:r>
        <w:rPr>
          <w:rtl/>
        </w:rPr>
        <w:t>וה</w:t>
      </w:r>
      <w:r>
        <w:rPr>
          <w:b/>
          <w:bCs/>
          <w:rtl/>
        </w:rPr>
        <w:t>מאירי</w:t>
      </w:r>
      <w:r>
        <w:rPr>
          <w:rtl/>
        </w:rPr>
        <w:t xml:space="preserve"> ביאר דהתם נראה ונדחה וחוזר ונראה, אבל זה דיחוי מעיקרא וונעשה תיקון גמור. וכן הטמא אינו דיחוי גמור, שהרי בן ברית הוא וראוי לכמה מצוות אף בלא טבילה. ואף לדברים שצריך טבילה, מ"מ ראוי אלא דאריא רביע עליה.</w:t>
      </w:r>
    </w:p>
  </w:footnote>
  <w:footnote w:id="2788">
    <w:p w14:paraId="1B645B1F" w14:textId="77777777" w:rsidR="006074A5" w:rsidRDefault="006074A5" w:rsidP="006074A5">
      <w:pPr>
        <w:pStyle w:val="Footnote"/>
        <w:bidi/>
      </w:pPr>
      <w:r>
        <w:rPr>
          <w:rStyle w:val="ac"/>
          <w:rtl/>
        </w:rPr>
        <w:footnoteRef/>
      </w:r>
      <w:r>
        <w:rPr>
          <w:rtl/>
        </w:rPr>
        <w:t>וכן ה</w:t>
      </w:r>
      <w:r>
        <w:rPr>
          <w:b/>
          <w:bCs/>
          <w:rtl/>
        </w:rPr>
        <w:t>ריטב"א</w:t>
      </w:r>
      <w:r>
        <w:rPr>
          <w:rtl/>
        </w:rPr>
        <w:t xml:space="preserve"> כתב דנראה דל"מ אף בדיעבד, דהטבילה הוא עיקר הגירות וכתחילת דין הוא, ואם דנו בלילה אין דיניהם דין.</w:t>
      </w:r>
    </w:p>
  </w:footnote>
  <w:footnote w:id="2789">
    <w:p w14:paraId="7408809C" w14:textId="77777777" w:rsidR="006074A5" w:rsidRDefault="006074A5" w:rsidP="006074A5">
      <w:pPr>
        <w:pStyle w:val="Footnote"/>
        <w:bidi/>
      </w:pPr>
      <w:r>
        <w:rPr>
          <w:rStyle w:val="ac"/>
          <w:rtl/>
        </w:rPr>
        <w:footnoteRef/>
      </w:r>
      <w:r>
        <w:rPr>
          <w:rtl/>
        </w:rPr>
        <w:t>ע' שרידי אש (ב סז וסח) ושיע' ר' ב"ב (לד, לה).</w:t>
      </w:r>
    </w:p>
  </w:footnote>
  <w:footnote w:id="2790">
    <w:p w14:paraId="053AE466" w14:textId="77777777" w:rsidR="006074A5" w:rsidRDefault="006074A5" w:rsidP="006074A5">
      <w:pPr>
        <w:pStyle w:val="Footnote"/>
        <w:bidi/>
      </w:pPr>
      <w:r>
        <w:rPr>
          <w:rStyle w:val="ac"/>
          <w:rtl/>
        </w:rPr>
        <w:footnoteRef/>
      </w:r>
      <w:r>
        <w:rPr>
          <w:rtl/>
        </w:rPr>
        <w:t>וב</w:t>
      </w:r>
      <w:r>
        <w:rPr>
          <w:b/>
          <w:bCs/>
          <w:rtl/>
        </w:rPr>
        <w:t>פרישה</w:t>
      </w:r>
      <w:r>
        <w:rPr>
          <w:rtl/>
        </w:rPr>
        <w:t xml:space="preserve"> כתב לענין בכור מכהנת דאי"צ ה' סלעים. וכ”כ הפוסקים לענין שלא לפסול את אשתו לכהונה.</w:t>
      </w:r>
    </w:p>
  </w:footnote>
  <w:footnote w:id="2791">
    <w:p w14:paraId="3F58DD1E" w14:textId="77777777" w:rsidR="006074A5" w:rsidRDefault="006074A5" w:rsidP="006074A5">
      <w:pPr>
        <w:pStyle w:val="Footnote"/>
        <w:bidi/>
      </w:pPr>
      <w:r>
        <w:rPr>
          <w:rStyle w:val="ac"/>
          <w:rtl/>
        </w:rPr>
        <w:footnoteRef/>
      </w:r>
      <w:r>
        <w:rPr>
          <w:rtl/>
        </w:rPr>
        <w:t>[ותלי במח' (שם) אי מדאורייתא צריך מומחים בדיני ממונות].</w:t>
      </w:r>
    </w:p>
  </w:footnote>
  <w:footnote w:id="2792">
    <w:p w14:paraId="4F27AD5A" w14:textId="77777777" w:rsidR="006074A5" w:rsidRDefault="006074A5" w:rsidP="006074A5">
      <w:pPr>
        <w:pStyle w:val="Footnote"/>
        <w:bidi/>
      </w:pPr>
      <w:r>
        <w:rPr>
          <w:rStyle w:val="ac"/>
          <w:rtl/>
        </w:rPr>
        <w:footnoteRef/>
      </w:r>
      <w:r>
        <w:rPr>
          <w:rtl/>
        </w:rPr>
        <w:t>וה</w:t>
      </w:r>
      <w:r>
        <w:rPr>
          <w:b/>
          <w:bCs/>
          <w:rtl/>
        </w:rPr>
        <w:t>אחרונים</w:t>
      </w:r>
      <w:r>
        <w:rPr>
          <w:rtl/>
        </w:rPr>
        <w:t xml:space="preserve"> (ע' גרנ"ט סנהדרין) חקרו בגדר שליחותייהו, האם נחשב ידה אריכתא דהבי"ד מומחין במקומן. או דנחשב תורת מינוי, ועי"ז מהני הבי"ד כאן.</w:t>
      </w:r>
    </w:p>
  </w:footnote>
  <w:footnote w:id="2793">
    <w:p w14:paraId="40322D49" w14:textId="77777777" w:rsidR="006074A5" w:rsidRDefault="006074A5" w:rsidP="006074A5">
      <w:pPr>
        <w:pStyle w:val="Footnote"/>
        <w:bidi/>
      </w:pPr>
      <w:r>
        <w:rPr>
          <w:rStyle w:val="ac"/>
          <w:rtl/>
        </w:rPr>
        <w:footnoteRef/>
      </w:r>
      <w:r>
        <w:rPr>
          <w:rtl/>
        </w:rPr>
        <w:t>וציין (לקמן פח. תוד"ה מתוך) דמהני ע"א במיתת הבעל. וה</w:t>
      </w:r>
      <w:r>
        <w:rPr>
          <w:b/>
          <w:bCs/>
          <w:rtl/>
        </w:rPr>
        <w:t xml:space="preserve">נתיבות </w:t>
      </w:r>
      <w:r>
        <w:rPr>
          <w:rtl/>
        </w:rPr>
        <w:t>חלק דאין כח ביד חכמים לעקור בקום ועשה (כדאיתא לקמן צ).</w:t>
      </w:r>
    </w:p>
  </w:footnote>
  <w:footnote w:id="2794">
    <w:p w14:paraId="60003052"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דלא מצאנו דין עדות לקיומי [דמהני טבילה בין הנשים, וכמ"ש תוס' מה: ד"ה מי].</w:t>
      </w:r>
    </w:p>
  </w:footnote>
  <w:footnote w:id="2795">
    <w:p w14:paraId="024A9BB9" w14:textId="77777777" w:rsidR="006074A5" w:rsidRDefault="006074A5" w:rsidP="006074A5">
      <w:pPr>
        <w:pStyle w:val="Footnote"/>
        <w:bidi/>
      </w:pPr>
      <w:r>
        <w:rPr>
          <w:rStyle w:val="ac"/>
          <w:rtl/>
        </w:rPr>
        <w:footnoteRef/>
      </w:r>
      <w:r>
        <w:rPr>
          <w:rtl/>
        </w:rPr>
        <w:t>ויש שדנו די"ל דבעי עדות כיון דהוה כשרות ופסלות האדם [ומצב בעצם, ולא רק דין חיצוני, ע"ע ש"ש ו טו]. ועוד דנו דדין תפיסת קידושין תלי בגירות, ומש"ה יחשב דבר שבערוה. [וע"ד מ"ש ה</w:t>
      </w:r>
      <w:r>
        <w:rPr>
          <w:b/>
          <w:bCs/>
          <w:rtl/>
        </w:rPr>
        <w:t>אתוון דאורייתא</w:t>
      </w:r>
      <w:r>
        <w:rPr>
          <w:rtl/>
        </w:rPr>
        <w:t xml:space="preserve"> (ח) לענין יבמה לשוק, הו' לעיל לט:]. וע”ע </w:t>
      </w:r>
      <w:r>
        <w:rPr>
          <w:b/>
          <w:bCs/>
          <w:rtl/>
        </w:rPr>
        <w:t>חמד”ש</w:t>
      </w:r>
      <w:r>
        <w:rPr>
          <w:rtl/>
        </w:rPr>
        <w:t xml:space="preserve"> (יו"ד כט).</w:t>
      </w:r>
    </w:p>
  </w:footnote>
  <w:footnote w:id="2796">
    <w:p w14:paraId="0344CB32" w14:textId="77777777" w:rsidR="006074A5" w:rsidRDefault="006074A5" w:rsidP="006074A5">
      <w:pPr>
        <w:pStyle w:val="Footnote"/>
        <w:bidi/>
      </w:pPr>
      <w:r>
        <w:rPr>
          <w:rStyle w:val="ac"/>
          <w:rtl/>
        </w:rPr>
        <w:footnoteRef/>
      </w:r>
      <w:r>
        <w:rPr>
          <w:rtl/>
        </w:rPr>
        <w:t>אך הביאו דה</w:t>
      </w:r>
      <w:r>
        <w:rPr>
          <w:b/>
          <w:bCs/>
          <w:rtl/>
        </w:rPr>
        <w:t>ראב"ד</w:t>
      </w:r>
      <w:r>
        <w:rPr>
          <w:rtl/>
        </w:rPr>
        <w:t xml:space="preserve"> (גיטין מ:, כא: בדה"ר) דשחרור עבד להתירו בבת חורין נחשב דבר שבערוה.</w:t>
      </w:r>
    </w:p>
  </w:footnote>
  <w:footnote w:id="2797">
    <w:p w14:paraId="0133FF7B" w14:textId="77777777" w:rsidR="006074A5" w:rsidRDefault="006074A5" w:rsidP="006074A5">
      <w:pPr>
        <w:pStyle w:val="Footnote"/>
        <w:bidi/>
      </w:pPr>
      <w:r>
        <w:rPr>
          <w:rStyle w:val="ac"/>
          <w:rtl/>
        </w:rPr>
        <w:footnoteRef/>
      </w:r>
      <w:r>
        <w:rPr>
          <w:rtl/>
        </w:rPr>
        <w:t>דאי בא לפנינו בחזקת ישראל נאמן.</w:t>
      </w:r>
    </w:p>
  </w:footnote>
  <w:footnote w:id="2798">
    <w:p w14:paraId="42DCD2A4" w14:textId="77777777" w:rsidR="006074A5" w:rsidRDefault="006074A5" w:rsidP="006074A5">
      <w:pPr>
        <w:pStyle w:val="Footnote"/>
        <w:bidi/>
      </w:pPr>
      <w:r>
        <w:rPr>
          <w:rStyle w:val="ac"/>
          <w:rtl/>
        </w:rPr>
        <w:footnoteRef/>
      </w:r>
      <w:r>
        <w:rPr>
          <w:rtl/>
        </w:rPr>
        <w:t>וה</w:t>
      </w:r>
      <w:r>
        <w:rPr>
          <w:b/>
          <w:bCs/>
          <w:rtl/>
        </w:rPr>
        <w:t>או"ש</w:t>
      </w:r>
      <w:r>
        <w:rPr>
          <w:rtl/>
        </w:rPr>
        <w:t xml:space="preserve"> (גירושין יב יב) כתב דמ"מ אחרי שיגיירוהו שוב, יהא נאמן [להכשיר את בניו, ואת אשתו של קודם]. וזה ראיית הנוב"י.</w:t>
      </w:r>
    </w:p>
  </w:footnote>
  <w:footnote w:id="2799">
    <w:p w14:paraId="2C89C24C" w14:textId="77777777" w:rsidR="006074A5" w:rsidRDefault="006074A5" w:rsidP="006074A5">
      <w:pPr>
        <w:pStyle w:val="Footnote"/>
        <w:bidi/>
      </w:pPr>
      <w:r>
        <w:rPr>
          <w:rStyle w:val="ac"/>
          <w:rtl/>
        </w:rPr>
        <w:footnoteRef/>
      </w:r>
      <w:r>
        <w:rPr>
          <w:rtl/>
        </w:rPr>
        <w:t>ובדברי ה</w:t>
      </w:r>
      <w:r>
        <w:rPr>
          <w:b/>
          <w:bCs/>
          <w:rtl/>
        </w:rPr>
        <w:t>נוב"י</w:t>
      </w:r>
      <w:r>
        <w:rPr>
          <w:rtl/>
        </w:rPr>
        <w:t xml:space="preserve"> (ק' נה) מבואר דהיינו דוקא כשבי"ד עדיין חי, ואפשר לברר אצלם.</w:t>
      </w:r>
    </w:p>
  </w:footnote>
  <w:footnote w:id="2800">
    <w:p w14:paraId="3BEFB846" w14:textId="77777777" w:rsidR="006074A5" w:rsidRDefault="006074A5" w:rsidP="006074A5">
      <w:pPr>
        <w:pStyle w:val="Footnote"/>
        <w:bidi/>
      </w:pPr>
      <w:r>
        <w:rPr>
          <w:rStyle w:val="ac"/>
          <w:rtl/>
        </w:rPr>
        <w:footnoteRef/>
      </w:r>
      <w:r>
        <w:rPr>
          <w:rtl/>
        </w:rPr>
        <w:t>ויש שהביאו דבשו"ת הרמב"ם ביאר דבחו"ל אין בי"ד קבועין וחיישינן שמא נתגייר בינו ובין עצמו.</w:t>
      </w:r>
    </w:p>
  </w:footnote>
  <w:footnote w:id="2801">
    <w:p w14:paraId="767D2706" w14:textId="77777777" w:rsidR="006074A5" w:rsidRDefault="006074A5" w:rsidP="006074A5">
      <w:pPr>
        <w:pStyle w:val="Footnote"/>
        <w:bidi/>
      </w:pPr>
      <w:r>
        <w:rPr>
          <w:rStyle w:val="ac"/>
          <w:rtl/>
        </w:rPr>
        <w:footnoteRef/>
      </w:r>
      <w:r>
        <w:rPr>
          <w:rtl/>
        </w:rPr>
        <w:t>דאי' התם חביבה ארץ ישראל שהיא מכשרת הגרים, דבאר”י מקבלין אותו מיד.</w:t>
      </w:r>
    </w:p>
  </w:footnote>
  <w:footnote w:id="2802">
    <w:p w14:paraId="3A4F09F7" w14:textId="77777777" w:rsidR="006074A5" w:rsidRDefault="006074A5" w:rsidP="006074A5">
      <w:pPr>
        <w:pStyle w:val="Footnote"/>
        <w:bidi/>
      </w:pPr>
      <w:r>
        <w:rPr>
          <w:rStyle w:val="ac"/>
          <w:rtl/>
        </w:rPr>
        <w:footnoteRef/>
      </w:r>
      <w:r>
        <w:rPr>
          <w:rtl/>
        </w:rPr>
        <w:t xml:space="preserve">משמע דהיינו מדין עד א' נאמן באיסורין [ודלא כנוב"י לעיל דגירות בעי עדים]. וצ"ע דדעת </w:t>
      </w:r>
      <w:r>
        <w:rPr>
          <w:b/>
          <w:bCs/>
          <w:rtl/>
        </w:rPr>
        <w:t>תוס</w:t>
      </w:r>
      <w:r>
        <w:rPr>
          <w:rtl/>
        </w:rPr>
        <w:t>' (קידושין סה, והמרדכי) דעד א' אינו נאמן לאסור כשאתחזק היתר. ואפשר דהכא הוה מדין 'בעלות'.</w:t>
      </w:r>
    </w:p>
  </w:footnote>
  <w:footnote w:id="2803">
    <w:p w14:paraId="053E1B15" w14:textId="77777777" w:rsidR="006074A5" w:rsidRDefault="006074A5" w:rsidP="006074A5">
      <w:pPr>
        <w:pStyle w:val="Footnote"/>
        <w:bidi/>
      </w:pPr>
      <w:r>
        <w:rPr>
          <w:rStyle w:val="ac"/>
          <w:rtl/>
        </w:rPr>
        <w:footnoteRef/>
      </w:r>
      <w:r>
        <w:rPr>
          <w:rtl/>
        </w:rPr>
        <w:t>והקשו דלמש"כ תוס' לעיל דנאמן מדין מיגו [דהפה שאסר שהיה עכו”ם, התיר שנתגייר], הרי הכא לא 'התיר'. וצ"ל דכלפי הבנים אינו נאמן שהיה עכו"ם כלל. [ויל"ד לפ"ז אם הבנים יודעים שהיה עכו"ם, א"כ כלפיהם אינו נאמן]. א"נ כיון דהחזיק עצמו זמן רב כישראל, הוה הפה שהתיר [ויל”ד אי תליא בנידון האם הפה שאסר בעי בי”ד].</w:t>
      </w:r>
    </w:p>
  </w:footnote>
  <w:footnote w:id="2804">
    <w:p w14:paraId="3AA199A5" w14:textId="77777777" w:rsidR="006074A5" w:rsidRDefault="006074A5" w:rsidP="006074A5">
      <w:pPr>
        <w:pStyle w:val="Footnote"/>
        <w:bidi/>
      </w:pPr>
      <w:r>
        <w:rPr>
          <w:rStyle w:val="ac"/>
          <w:rtl/>
        </w:rPr>
        <w:footnoteRef/>
      </w:r>
      <w:r>
        <w:rPr>
          <w:rtl/>
        </w:rPr>
        <w:t>[וע' מש"כ בסוגיא דהתם].</w:t>
      </w:r>
    </w:p>
  </w:footnote>
  <w:footnote w:id="2805">
    <w:p w14:paraId="64901E70" w14:textId="77777777" w:rsidR="006074A5" w:rsidRDefault="006074A5" w:rsidP="006074A5">
      <w:pPr>
        <w:pStyle w:val="Footnote"/>
        <w:bidi/>
      </w:pPr>
      <w:r>
        <w:rPr>
          <w:rStyle w:val="ac"/>
          <w:rtl/>
        </w:rPr>
        <w:footnoteRef/>
      </w:r>
      <w:r>
        <w:rPr>
          <w:rtl/>
        </w:rPr>
        <w:t>וה</w:t>
      </w:r>
      <w:r>
        <w:rPr>
          <w:b/>
          <w:bCs/>
          <w:rtl/>
        </w:rPr>
        <w:t>רא"ש</w:t>
      </w:r>
      <w:r>
        <w:rPr>
          <w:rtl/>
        </w:rPr>
        <w:t xml:space="preserve"> (כאן לה) הוסיף דאדם קרוב אצל עצמו, ואין אדם משים עצמו רשע [וכלשון הגמ' (לעיל כה:)]. וה</w:t>
      </w:r>
      <w:r>
        <w:rPr>
          <w:b/>
          <w:bCs/>
          <w:rtl/>
        </w:rPr>
        <w:t>מרדכי</w:t>
      </w:r>
      <w:r>
        <w:rPr>
          <w:rtl/>
        </w:rPr>
        <w:t xml:space="preserve"> (לז) תי' דהכא לא בעי לפסול את עצמו, אלא אדרבה הוא רוצה להכשיר ולהתגייר היטב. [וע"ד מש"כ תוס' (בכ”מ) לענין אין אדם משים עצמו רשע].</w:t>
      </w:r>
    </w:p>
  </w:footnote>
  <w:footnote w:id="2806">
    <w:p w14:paraId="07ECA42E" w14:textId="77777777" w:rsidR="006074A5" w:rsidRDefault="006074A5" w:rsidP="006074A5">
      <w:pPr>
        <w:pStyle w:val="Footnote"/>
        <w:bidi/>
      </w:pPr>
      <w:r>
        <w:rPr>
          <w:rStyle w:val="ac"/>
          <w:rtl/>
        </w:rPr>
        <w:footnoteRef/>
      </w:r>
      <w:r>
        <w:rPr>
          <w:rtl/>
        </w:rPr>
        <w:t>ע' קצות (לד ד, פ ב, רמא א), תרה"כ (א) חזו"א ועוד.</w:t>
      </w:r>
    </w:p>
  </w:footnote>
  <w:footnote w:id="2807">
    <w:p w14:paraId="1C6324FF" w14:textId="77777777" w:rsidR="006074A5" w:rsidRDefault="006074A5" w:rsidP="006074A5">
      <w:pPr>
        <w:pStyle w:val="Footnote"/>
        <w:bidi/>
      </w:pPr>
      <w:r>
        <w:rPr>
          <w:rStyle w:val="ac"/>
          <w:rtl/>
        </w:rPr>
        <w:footnoteRef/>
      </w:r>
      <w:r>
        <w:rPr>
          <w:rtl/>
        </w:rPr>
        <w:t>אך דעת ה</w:t>
      </w:r>
      <w:r>
        <w:rPr>
          <w:b/>
          <w:bCs/>
          <w:rtl/>
        </w:rPr>
        <w:t>ר"י באסאן</w:t>
      </w:r>
      <w:r>
        <w:rPr>
          <w:rtl/>
        </w:rPr>
        <w:t xml:space="preserve"> (א פ, ע' שעה"מ אישות ט טז) דשויא אנפשיה הוה גדר נדר. [וע"ע נוב"י ת כג ופתח"ת יו"ד א יח].</w:t>
      </w:r>
    </w:p>
  </w:footnote>
  <w:footnote w:id="2808">
    <w:p w14:paraId="228F0B87" w14:textId="77777777" w:rsidR="006074A5" w:rsidRDefault="006074A5" w:rsidP="006074A5">
      <w:pPr>
        <w:pStyle w:val="Footnote"/>
        <w:bidi/>
      </w:pPr>
      <w:r>
        <w:rPr>
          <w:rStyle w:val="ac"/>
          <w:rtl/>
        </w:rPr>
        <w:footnoteRef/>
      </w:r>
      <w:r>
        <w:rPr>
          <w:rtl/>
        </w:rPr>
        <w:t>וציין וכדאי' (כריתות יב) [דנאמן על עצמו יותר מק' עדים].</w:t>
      </w:r>
    </w:p>
  </w:footnote>
  <w:footnote w:id="2809">
    <w:p w14:paraId="64B9F90E" w14:textId="77777777" w:rsidR="006074A5" w:rsidRDefault="006074A5" w:rsidP="006074A5">
      <w:pPr>
        <w:pStyle w:val="Footnote"/>
        <w:bidi/>
      </w:pPr>
      <w:r>
        <w:rPr>
          <w:rStyle w:val="ac"/>
          <w:rtl/>
        </w:rPr>
        <w:footnoteRef/>
      </w:r>
      <w:r>
        <w:rPr>
          <w:rtl/>
        </w:rPr>
        <w:t>ובתי' א' תי' דלמ"ד דאף עכו"ם בבת ישראל קנאים פוגעים, ע"כ דהוא בכלל האיסור.</w:t>
      </w:r>
    </w:p>
  </w:footnote>
  <w:footnote w:id="2810">
    <w:p w14:paraId="4D948512" w14:textId="77777777" w:rsidR="006074A5" w:rsidRDefault="006074A5" w:rsidP="006074A5">
      <w:pPr>
        <w:pStyle w:val="Footnote"/>
        <w:bidi/>
      </w:pPr>
      <w:r>
        <w:rPr>
          <w:rStyle w:val="ac"/>
          <w:rtl/>
        </w:rPr>
        <w:footnoteRef/>
      </w:r>
      <w:r>
        <w:rPr>
          <w:rtl/>
        </w:rPr>
        <w:t>[והביא ד</w:t>
      </w:r>
      <w:r>
        <w:rPr>
          <w:b/>
          <w:bCs/>
          <w:rtl/>
        </w:rPr>
        <w:t>תוס</w:t>
      </w:r>
      <w:r>
        <w:rPr>
          <w:rtl/>
        </w:rPr>
        <w:t>' (ע”ז טו: ד”ה לעכו"ם) כת' דעכו"ם אינו מצווה על לפני עוור]. וה</w:t>
      </w:r>
      <w:r>
        <w:rPr>
          <w:b/>
          <w:bCs/>
          <w:rtl/>
        </w:rPr>
        <w:t>חמד"ש</w:t>
      </w:r>
      <w:r>
        <w:rPr>
          <w:rtl/>
        </w:rPr>
        <w:t xml:space="preserve"> תי' דעכו"ם מצווה על לפני עוור במקום שהשני אינו יודע דהוה איסור.</w:t>
      </w:r>
    </w:p>
  </w:footnote>
  <w:footnote w:id="2811">
    <w:p w14:paraId="55C1EE76" w14:textId="77777777" w:rsidR="006074A5" w:rsidRDefault="006074A5" w:rsidP="006074A5">
      <w:pPr>
        <w:pStyle w:val="Footnote"/>
        <w:bidi/>
      </w:pPr>
      <w:r>
        <w:rPr>
          <w:rStyle w:val="ac"/>
          <w:rtl/>
        </w:rPr>
        <w:footnoteRef/>
      </w:r>
      <w:r>
        <w:rPr>
          <w:rtl/>
        </w:rPr>
        <w:t>והשער"י הביא דהרא"ש מבואר דהוה משום נאמן על עצמו וכדין הודעת בע"ד, ודמי להא דאמרי' (קידושין סה.) קדשתי וכו'. וכתב דס”ל דל”מ נאמנות בעלים בדבר שבערוה.</w:t>
      </w:r>
    </w:p>
  </w:footnote>
  <w:footnote w:id="2812">
    <w:p w14:paraId="0BE6066D" w14:textId="77777777" w:rsidR="006074A5" w:rsidRDefault="006074A5" w:rsidP="006074A5">
      <w:pPr>
        <w:pStyle w:val="Footnote"/>
        <w:bidi/>
      </w:pPr>
      <w:r>
        <w:rPr>
          <w:rStyle w:val="ac"/>
          <w:rtl/>
        </w:rPr>
        <w:footnoteRef/>
      </w:r>
      <w:r>
        <w:rPr>
          <w:rtl/>
        </w:rPr>
        <w:t>וה</w:t>
      </w:r>
      <w:r>
        <w:rPr>
          <w:b/>
          <w:bCs/>
          <w:rtl/>
        </w:rPr>
        <w:t>בית מאיר</w:t>
      </w:r>
      <w:r>
        <w:rPr>
          <w:rtl/>
        </w:rPr>
        <w:t xml:space="preserve"> (ו יג) כתב דע"י שויא עכ"פ הוה ספק ממזר [וצ"ב]. אבל כשנאמן על בניו, ממילא נמשך הבני בנים הנולדים אח"כ.</w:t>
      </w:r>
    </w:p>
  </w:footnote>
  <w:footnote w:id="2813">
    <w:p w14:paraId="12914A1C" w14:textId="77777777" w:rsidR="006074A5" w:rsidRDefault="006074A5" w:rsidP="006074A5">
      <w:pPr>
        <w:pStyle w:val="Footnote"/>
        <w:bidi/>
      </w:pPr>
      <w:r>
        <w:rPr>
          <w:rStyle w:val="ac"/>
          <w:rtl/>
        </w:rPr>
        <w:footnoteRef/>
      </w:r>
      <w:r>
        <w:rPr>
          <w:rtl/>
        </w:rPr>
        <w:t>[וכה"ק הרא"ש דאדם קרוב אצל עצמו, ואין אדם משים עצמו רשע. ויל”ד אי עיקר הקו' משום רשעות].</w:t>
      </w:r>
    </w:p>
  </w:footnote>
  <w:footnote w:id="2814">
    <w:p w14:paraId="6AD4C4B9" w14:textId="77777777" w:rsidR="006074A5" w:rsidRDefault="006074A5" w:rsidP="006074A5">
      <w:pPr>
        <w:pStyle w:val="Footnote"/>
        <w:bidi/>
      </w:pPr>
      <w:r>
        <w:rPr>
          <w:rStyle w:val="ac"/>
          <w:rtl/>
        </w:rPr>
        <w:footnoteRef/>
      </w:r>
      <w:r>
        <w:rPr>
          <w:rtl/>
        </w:rPr>
        <w:t>[וכס"ד דתוס' כה:]. ומ"מ צ"ב כוונתו, האיך משים עצמו רשע. ואפשר דכוונתו דבנכרי ל"ש חסרון זה. א"נ לברר דהוחזק בטעות לא בעי עדות גמור.</w:t>
      </w:r>
    </w:p>
  </w:footnote>
  <w:footnote w:id="2815">
    <w:p w14:paraId="7F8BE204" w14:textId="77777777" w:rsidR="006074A5" w:rsidRDefault="006074A5" w:rsidP="006074A5">
      <w:pPr>
        <w:pStyle w:val="Footnote"/>
        <w:bidi/>
      </w:pPr>
      <w:r>
        <w:rPr>
          <w:rStyle w:val="ac"/>
          <w:rtl/>
        </w:rPr>
        <w:footnoteRef/>
      </w:r>
      <w:r>
        <w:rPr>
          <w:rtl/>
        </w:rPr>
        <w:t>וצ"ב דנימא פלגינן נאמנות, ויהא נאמן על הבכורה, ולא כלפי שאר הבנים. וב</w:t>
      </w:r>
      <w:r>
        <w:rPr>
          <w:b/>
          <w:bCs/>
          <w:rtl/>
        </w:rPr>
        <w:t>שו"ת רע"א</w:t>
      </w:r>
      <w:r>
        <w:rPr>
          <w:rtl/>
        </w:rPr>
        <w:t xml:space="preserve"> (ק' קי) כת' דבנאמנות יכיר לא אמרי' פלגינן. [ובזה נח' אידך תי'].</w:t>
      </w:r>
    </w:p>
  </w:footnote>
  <w:footnote w:id="2816">
    <w:p w14:paraId="346ABA8D" w14:textId="77777777" w:rsidR="006074A5" w:rsidRDefault="006074A5" w:rsidP="006074A5">
      <w:pPr>
        <w:pStyle w:val="Footnote"/>
        <w:bidi/>
      </w:pPr>
      <w:r>
        <w:rPr>
          <w:rStyle w:val="ac"/>
          <w:rtl/>
        </w:rPr>
        <w:footnoteRef/>
      </w:r>
      <w:r>
        <w:rPr>
          <w:rtl/>
        </w:rPr>
        <w:t>וכדאי' (ב"ב קכח:) דהאומר על תינוק בין הבנים קי"ל כר' יהודה. ואילו בעלמא משמע דלא קי"ל כר' יהודה.</w:t>
      </w:r>
    </w:p>
  </w:footnote>
  <w:footnote w:id="2817">
    <w:p w14:paraId="7D8379E0" w14:textId="77777777" w:rsidR="006074A5" w:rsidRDefault="006074A5" w:rsidP="006074A5">
      <w:pPr>
        <w:pStyle w:val="Footnote"/>
        <w:bidi/>
      </w:pPr>
      <w:r>
        <w:rPr>
          <w:rStyle w:val="ac"/>
          <w:rtl/>
        </w:rPr>
        <w:footnoteRef/>
      </w:r>
      <w:r>
        <w:rPr>
          <w:rtl/>
        </w:rPr>
        <w:t>ולא אמרי' דממ"נ נאמן, כיון דלדבריו אינו בנו ואין לו נאמנות. וע"ד הא דאמרי' בסוגיין. [וה</w:t>
      </w:r>
      <w:r>
        <w:rPr>
          <w:b/>
          <w:bCs/>
          <w:rtl/>
        </w:rPr>
        <w:t>אחרונים</w:t>
      </w:r>
      <w:r>
        <w:rPr>
          <w:rtl/>
        </w:rPr>
        <w:t xml:space="preserve"> דנו בדעת הרמב”ם שנאמן, האם נתחדש דין יכיר בכל מי שהוחזק כבנו. או דיש תורת נאמנות לומר שאינו בנו].</w:t>
      </w:r>
    </w:p>
  </w:footnote>
  <w:footnote w:id="2818">
    <w:p w14:paraId="37E79198" w14:textId="77777777" w:rsidR="006074A5" w:rsidRDefault="006074A5" w:rsidP="006074A5">
      <w:pPr>
        <w:pStyle w:val="Footnote"/>
        <w:bidi/>
      </w:pPr>
      <w:r>
        <w:rPr>
          <w:rStyle w:val="ac"/>
          <w:rtl/>
        </w:rPr>
        <w:footnoteRef/>
      </w:r>
      <w:r>
        <w:rPr>
          <w:rtl/>
        </w:rPr>
        <w:t xml:space="preserve">ויל"ד במה שורש הנידון האם יש יכיר בעכו"ם. ואפשר דפליגי האם 'יכיר' תליא בדין 'עדות' או דהוה כדין בעלות [ואף לעכו"ם שייך]. [אמנם </w:t>
      </w:r>
      <w:r>
        <w:rPr>
          <w:b/>
          <w:bCs/>
          <w:rtl/>
        </w:rPr>
        <w:t>תוס</w:t>
      </w:r>
      <w:r>
        <w:rPr>
          <w:rtl/>
        </w:rPr>
        <w:t xml:space="preserve">' (ב"ק פח: והמרדכי גיטין שכד והג"א א י) כת' דדעת </w:t>
      </w:r>
      <w:r>
        <w:rPr>
          <w:b/>
          <w:bCs/>
          <w:rtl/>
        </w:rPr>
        <w:t>רש"י</w:t>
      </w:r>
      <w:r>
        <w:rPr>
          <w:rtl/>
        </w:rPr>
        <w:t xml:space="preserve"> (גיטין ט:) דעכו"ם כשר לעדות, ולפ"ז הא דבסוגין דאין עדות לעכו"ם הוא סברא ביכיר].</w:t>
      </w:r>
    </w:p>
  </w:footnote>
  <w:footnote w:id="2819">
    <w:p w14:paraId="49C93A93" w14:textId="77777777" w:rsidR="006074A5" w:rsidRDefault="006074A5" w:rsidP="006074A5">
      <w:pPr>
        <w:pStyle w:val="Footnote"/>
        <w:bidi/>
      </w:pPr>
      <w:r>
        <w:rPr>
          <w:rStyle w:val="ac"/>
          <w:rtl/>
        </w:rPr>
        <w:footnoteRef/>
      </w:r>
      <w:r>
        <w:rPr>
          <w:rtl/>
        </w:rPr>
        <w:t>דהגזיה"כ להאמין לעדים נאמר רק להאמין למה שאמרו [ובעינן עדות חיובי]. [ולענין יכיר אפשר דאי"צ לזה, דהוה תורת נאמנות כעין בעלות, ולא דין עדות].</w:t>
      </w:r>
    </w:p>
  </w:footnote>
  <w:footnote w:id="2820">
    <w:p w14:paraId="47D908BF" w14:textId="77777777" w:rsidR="006074A5" w:rsidRDefault="006074A5" w:rsidP="006074A5">
      <w:pPr>
        <w:pStyle w:val="Footnote"/>
        <w:bidi/>
      </w:pPr>
      <w:r>
        <w:rPr>
          <w:rStyle w:val="ac"/>
          <w:rtl/>
        </w:rPr>
        <w:footnoteRef/>
      </w:r>
      <w:r>
        <w:rPr>
          <w:rtl/>
        </w:rPr>
        <w:t>וכן בפשוטו מבואר ב</w:t>
      </w:r>
      <w:r>
        <w:rPr>
          <w:b/>
          <w:bCs/>
          <w:rtl/>
        </w:rPr>
        <w:t>תוס'</w:t>
      </w:r>
      <w:r>
        <w:rPr>
          <w:rtl/>
        </w:rPr>
        <w:t xml:space="preserve"> (ד"ה כך), אלא דיש לפרש כוונת התוס' דהוה מיגו ע"י הכרת בכורה. [ואכמ"ל].</w:t>
      </w:r>
    </w:p>
  </w:footnote>
  <w:footnote w:id="2821">
    <w:p w14:paraId="6C315E14" w14:textId="77777777" w:rsidR="006074A5" w:rsidRDefault="006074A5" w:rsidP="006074A5">
      <w:pPr>
        <w:pStyle w:val="Footnote"/>
        <w:bidi/>
      </w:pPr>
      <w:r>
        <w:rPr>
          <w:rStyle w:val="ac"/>
          <w:rtl/>
        </w:rPr>
        <w:footnoteRef/>
      </w:r>
      <w:r>
        <w:rPr>
          <w:rtl/>
        </w:rPr>
        <w:t>[וב</w:t>
      </w:r>
      <w:r>
        <w:rPr>
          <w:b/>
          <w:bCs/>
          <w:rtl/>
        </w:rPr>
        <w:t xml:space="preserve">חי' ר' שמואל </w:t>
      </w:r>
      <w:r>
        <w:rPr>
          <w:rtl/>
        </w:rPr>
        <w:t>הביא דלדברי הראב"ד מבואר בסוגיין כריא"ז, ע' בסמוך].</w:t>
      </w:r>
    </w:p>
  </w:footnote>
  <w:footnote w:id="2822">
    <w:p w14:paraId="3CF3052D" w14:textId="77777777" w:rsidR="006074A5" w:rsidRDefault="006074A5" w:rsidP="006074A5">
      <w:pPr>
        <w:pStyle w:val="Footnote"/>
        <w:bidi/>
      </w:pPr>
      <w:r>
        <w:rPr>
          <w:rStyle w:val="ac"/>
          <w:rtl/>
        </w:rPr>
        <w:footnoteRef/>
      </w:r>
      <w:r>
        <w:rPr>
          <w:rtl/>
        </w:rPr>
        <w:t>[והקשו דהאבנ"מ סתר דבריו בקצות]. וי"ל דתליא במח' רבינא ורב נחמן בר יצחק, האם נאמר יכיר בעכו"ם.</w:t>
      </w:r>
    </w:p>
  </w:footnote>
  <w:footnote w:id="2823">
    <w:p w14:paraId="521A5601" w14:textId="77777777" w:rsidR="006074A5" w:rsidRDefault="006074A5" w:rsidP="006074A5">
      <w:pPr>
        <w:pStyle w:val="Footnote"/>
        <w:bidi/>
      </w:pPr>
      <w:r>
        <w:rPr>
          <w:rStyle w:val="ac"/>
          <w:rtl/>
        </w:rPr>
        <w:footnoteRef/>
      </w:r>
      <w:r>
        <w:rPr>
          <w:rtl/>
        </w:rPr>
        <w:t>אך לדעת הרמב"ם (הו' לעיל מה:) כיון דהוחזק כגר נאמן. וה</w:t>
      </w:r>
      <w:r>
        <w:rPr>
          <w:b/>
          <w:bCs/>
          <w:rtl/>
        </w:rPr>
        <w:t>חמד"ש</w:t>
      </w:r>
      <w:r>
        <w:rPr>
          <w:rtl/>
        </w:rPr>
        <w:t xml:space="preserve"> (כט) הביא דפשטות סוגיין משמע כדבריו.</w:t>
      </w:r>
    </w:p>
  </w:footnote>
  <w:footnote w:id="2824">
    <w:p w14:paraId="57624937" w14:textId="77777777" w:rsidR="006074A5" w:rsidRDefault="006074A5" w:rsidP="006074A5">
      <w:pPr>
        <w:pStyle w:val="Footnote"/>
        <w:bidi/>
      </w:pPr>
      <w:r>
        <w:rPr>
          <w:rStyle w:val="ac"/>
          <w:rtl/>
        </w:rPr>
        <w:footnoteRef/>
      </w:r>
      <w:r>
        <w:rPr>
          <w:rtl/>
        </w:rPr>
        <w:t>ולפ"ז אילו הבנים ישמעו לאחר זמן שאביהם היה נכרי מעיקרא, צריכים לחוש שמא לא נתגייר. [וצ"ע].</w:t>
      </w:r>
    </w:p>
  </w:footnote>
  <w:footnote w:id="2825">
    <w:p w14:paraId="709FAF8D" w14:textId="77777777" w:rsidR="006074A5" w:rsidRDefault="006074A5" w:rsidP="006074A5">
      <w:pPr>
        <w:pStyle w:val="Footnote"/>
        <w:bidi/>
      </w:pPr>
      <w:r>
        <w:rPr>
          <w:rStyle w:val="ac"/>
          <w:rtl/>
        </w:rPr>
        <w:footnoteRef/>
      </w:r>
      <w:r>
        <w:rPr>
          <w:rtl/>
        </w:rPr>
        <w:t>אך ה</w:t>
      </w:r>
      <w:r>
        <w:rPr>
          <w:b/>
          <w:bCs/>
          <w:rtl/>
        </w:rPr>
        <w:t>אחרונים</w:t>
      </w:r>
      <w:r>
        <w:rPr>
          <w:rtl/>
        </w:rPr>
        <w:t xml:space="preserve"> (ישועת יעקב ד בקצר כא) הביאו דה</w:t>
      </w:r>
      <w:r>
        <w:rPr>
          <w:b/>
          <w:bCs/>
          <w:rtl/>
        </w:rPr>
        <w:t>שאילתות</w:t>
      </w:r>
      <w:r>
        <w:rPr>
          <w:rtl/>
        </w:rPr>
        <w:t xml:space="preserve"> (וארא סוף מא) הביא מסוגיין דאי אית ליה זרעא לבנו, אבנו מהימן אבן בנו לא מהימן למפסליה. ואף שאמר שיש לו בני בנים א"ל נאמן אתה לפסול את בניך ואין אתה נאמן לפסול את בני בניך.</w:t>
      </w:r>
    </w:p>
  </w:footnote>
  <w:footnote w:id="2826">
    <w:p w14:paraId="391E95A1" w14:textId="77777777" w:rsidR="006074A5" w:rsidRDefault="006074A5" w:rsidP="006074A5">
      <w:pPr>
        <w:pStyle w:val="Footnote"/>
        <w:bidi/>
      </w:pPr>
      <w:r>
        <w:rPr>
          <w:rStyle w:val="ac"/>
          <w:rtl/>
        </w:rPr>
        <w:footnoteRef/>
      </w:r>
      <w:r>
        <w:rPr>
          <w:rtl/>
        </w:rPr>
        <w:t>ה</w:t>
      </w:r>
      <w:r>
        <w:rPr>
          <w:b/>
          <w:bCs/>
          <w:rtl/>
        </w:rPr>
        <w:t>קצות</w:t>
      </w:r>
      <w:r>
        <w:rPr>
          <w:rtl/>
        </w:rPr>
        <w:t xml:space="preserve"> (לג א) הביא ד</w:t>
      </w:r>
      <w:r>
        <w:rPr>
          <w:b/>
          <w:bCs/>
          <w:rtl/>
        </w:rPr>
        <w:t>רש"י</w:t>
      </w:r>
      <w:r>
        <w:rPr>
          <w:rtl/>
        </w:rPr>
        <w:t xml:space="preserve"> (קידושין עח:) כת' דהטעם דלרבנן אינו נאמן על בנו, משום דהוה קרוב. והק' א"כ יהא נאמן על בן בניו [בגדרי עדות, ואף בלא דין יכיר], למ”ד (ב”ב קכח.) דיכול להעיד לבן בנו. אך כת' דכבר הק' הראשונים (ר"ן קידושין שם לב. בדה"ר) במש"כ רש"י טעם הפסול משום דהוה קרוב, תיפו"ל דהוה עד א', ואין ערעור פחות מב'.</w:t>
      </w:r>
    </w:p>
  </w:footnote>
  <w:footnote w:id="2827">
    <w:p w14:paraId="655F206C" w14:textId="77777777" w:rsidR="006074A5" w:rsidRDefault="006074A5" w:rsidP="006074A5">
      <w:pPr>
        <w:pStyle w:val="Footnote"/>
        <w:bidi/>
      </w:pPr>
      <w:r>
        <w:rPr>
          <w:rStyle w:val="ac"/>
          <w:rtl/>
        </w:rPr>
        <w:footnoteRef/>
      </w:r>
      <w:r>
        <w:rPr>
          <w:rtl/>
        </w:rPr>
        <w:t>אבל ה</w:t>
      </w:r>
      <w:r>
        <w:rPr>
          <w:b/>
          <w:bCs/>
          <w:rtl/>
        </w:rPr>
        <w:t>קצות</w:t>
      </w:r>
      <w:r>
        <w:rPr>
          <w:rtl/>
        </w:rPr>
        <w:t xml:space="preserve"> (רעט ד) תמה אמאי נאמן, ותי' ע"פ הראשונים דעד א' נאמן לפסול אשה לכהונה.</w:t>
      </w:r>
    </w:p>
  </w:footnote>
  <w:footnote w:id="2828">
    <w:p w14:paraId="0D6BAE66" w14:textId="77777777" w:rsidR="006074A5" w:rsidRDefault="006074A5" w:rsidP="006074A5">
      <w:pPr>
        <w:pStyle w:val="Footnote"/>
        <w:bidi/>
      </w:pPr>
      <w:r>
        <w:rPr>
          <w:rStyle w:val="ac"/>
          <w:rtl/>
        </w:rPr>
        <w:footnoteRef/>
      </w:r>
      <w:r>
        <w:rPr>
          <w:rtl/>
        </w:rPr>
        <w:t>אבל ה</w:t>
      </w:r>
      <w:r>
        <w:rPr>
          <w:b/>
          <w:bCs/>
          <w:rtl/>
        </w:rPr>
        <w:t>קובה"ע</w:t>
      </w:r>
      <w:r>
        <w:rPr>
          <w:rtl/>
        </w:rPr>
        <w:t xml:space="preserve"> (מא א) כתב דע"כ איירי דאין לבנו אשה, דאף פסול אשת בנו הוה תולדה מפסול בנו.</w:t>
      </w:r>
    </w:p>
  </w:footnote>
  <w:footnote w:id="2829">
    <w:p w14:paraId="770E2664" w14:textId="77777777" w:rsidR="006074A5" w:rsidRDefault="006074A5" w:rsidP="006074A5">
      <w:pPr>
        <w:pStyle w:val="Footnote"/>
        <w:bidi/>
      </w:pPr>
      <w:r>
        <w:rPr>
          <w:rStyle w:val="ac"/>
          <w:rtl/>
        </w:rPr>
        <w:footnoteRef/>
      </w:r>
      <w:r>
        <w:rPr>
          <w:rtl/>
        </w:rPr>
        <w:t>[אבל בתוס' ורמב"ן משמע דהוה מדין שויא אנפשיה, ולכן ל”ש מתוך שאינו נאמן].</w:t>
      </w:r>
    </w:p>
  </w:footnote>
  <w:footnote w:id="2830">
    <w:p w14:paraId="74E3B207" w14:textId="77777777" w:rsidR="006074A5" w:rsidRDefault="006074A5" w:rsidP="006074A5">
      <w:pPr>
        <w:pStyle w:val="Footnote"/>
        <w:bidi/>
      </w:pPr>
      <w:r>
        <w:rPr>
          <w:rStyle w:val="ac"/>
          <w:rtl/>
        </w:rPr>
        <w:footnoteRef/>
      </w:r>
      <w:r>
        <w:rPr>
          <w:rtl/>
        </w:rPr>
        <w:t>ומוכח מזה דשויא אנפשיה הוה נאמנות אף כלפי אחרים.</w:t>
      </w:r>
    </w:p>
  </w:footnote>
  <w:footnote w:id="2831">
    <w:p w14:paraId="5E319F5E" w14:textId="77777777" w:rsidR="006074A5" w:rsidRDefault="006074A5" w:rsidP="006074A5">
      <w:pPr>
        <w:pStyle w:val="Footnote"/>
        <w:bidi/>
      </w:pPr>
      <w:r>
        <w:rPr>
          <w:rStyle w:val="ac"/>
          <w:rtl/>
        </w:rPr>
        <w:footnoteRef/>
      </w:r>
      <w:r>
        <w:rPr>
          <w:rtl/>
        </w:rPr>
        <w:t>אך יש שדנו דגדר יכיר לא תלי ביחס, אלא הוה גדר 'בעלות'. וכיון שהוא הולידו נאמן עליו. [וכמ”ש הקצות (רעז ב) דנאמן על בנו משפחה].</w:t>
      </w:r>
    </w:p>
  </w:footnote>
  <w:footnote w:id="2832">
    <w:p w14:paraId="30BBB77C" w14:textId="77777777" w:rsidR="006074A5" w:rsidRDefault="006074A5" w:rsidP="006074A5">
      <w:pPr>
        <w:pStyle w:val="Footnote"/>
        <w:bidi/>
      </w:pPr>
      <w:r>
        <w:rPr>
          <w:rStyle w:val="ac"/>
          <w:rtl/>
        </w:rPr>
        <w:footnoteRef/>
      </w:r>
      <w:r>
        <w:rPr>
          <w:rtl/>
        </w:rPr>
        <w:t>ועד"ז כת' ה</w:t>
      </w:r>
      <w:r>
        <w:rPr>
          <w:b/>
          <w:bCs/>
          <w:rtl/>
        </w:rPr>
        <w:t>רמב"ם</w:t>
      </w:r>
      <w:r>
        <w:rPr>
          <w:rtl/>
        </w:rPr>
        <w:t xml:space="preserve"> (שם ד) כשירצה העכו"ם להכנס לברית ולהסתופף תחת כנפי השכינה ויקבל עליו עול תורה, צריך מילה וטבילה והרצאת קרבן. [דעצם הגירות נקרא עול תורה].</w:t>
      </w:r>
    </w:p>
  </w:footnote>
  <w:footnote w:id="2833">
    <w:p w14:paraId="2C7ADDD3" w14:textId="77777777" w:rsidR="006074A5" w:rsidRDefault="006074A5" w:rsidP="006074A5">
      <w:pPr>
        <w:pStyle w:val="Footnote"/>
        <w:bidi/>
      </w:pPr>
      <w:r>
        <w:rPr>
          <w:rStyle w:val="ac"/>
          <w:rtl/>
        </w:rPr>
        <w:footnoteRef/>
      </w:r>
      <w:r>
        <w:rPr>
          <w:rtl/>
        </w:rPr>
        <w:t>לכאורה כוונתו קושי קיום המצוות, וכדאי' בגמ' (בע"ב, וברמב”ם בפרק יד). אך יש שדנו דקודם מודיעין 'עול תורה' [שהוא עיקר היהדות], ואח"כ קבלת מצוות. [אך בדברי הרמב"ם קשה לומר כן, דהא הרמב"ם הביא הפסוק (רות א יח) ותרא כי מתאמצת וכו' ותחדל לדבר אליה. דקאי לאחר שאמרה לה כל פרטי המצוות שהובא בגמ' בע"ב. ולאחר קבלת עול תורה אי"צ להזכיר המצוות].</w:t>
      </w:r>
    </w:p>
  </w:footnote>
  <w:footnote w:id="2834">
    <w:p w14:paraId="009CAFF6" w14:textId="77777777" w:rsidR="006074A5" w:rsidRDefault="006074A5" w:rsidP="006074A5">
      <w:pPr>
        <w:pStyle w:val="Footnote"/>
        <w:bidi/>
      </w:pPr>
      <w:r>
        <w:rPr>
          <w:rStyle w:val="ac"/>
          <w:rtl/>
        </w:rPr>
        <w:footnoteRef/>
      </w:r>
      <w:r>
        <w:rPr>
          <w:rtl/>
        </w:rPr>
        <w:t>וה</w:t>
      </w:r>
      <w:r>
        <w:rPr>
          <w:b/>
          <w:bCs/>
          <w:rtl/>
        </w:rPr>
        <w:t>מאירי</w:t>
      </w:r>
      <w:r>
        <w:rPr>
          <w:rtl/>
        </w:rPr>
        <w:t xml:space="preserve"> (מה:) כת' דמודיעין אותו וכו' ואם אמר אע"פ כן מקבלים הימנו ומלין אותו מיד וכו'. והוסיף דדברים אלו, דהיינו קבלת מצוות מילה וטבילה וכו'.</w:t>
      </w:r>
    </w:p>
  </w:footnote>
  <w:footnote w:id="2835">
    <w:p w14:paraId="16172EB6" w14:textId="77777777" w:rsidR="006074A5" w:rsidRDefault="006074A5" w:rsidP="006074A5">
      <w:pPr>
        <w:pStyle w:val="Footnote"/>
        <w:bidi/>
      </w:pPr>
      <w:r>
        <w:rPr>
          <w:rStyle w:val="ac"/>
          <w:rtl/>
        </w:rPr>
        <w:footnoteRef/>
      </w:r>
      <w:r>
        <w:rPr>
          <w:rtl/>
        </w:rPr>
        <w:t>משמע מדבריו דה'קבלה' הוא לעשות מעשה גירות כדין [וכעין לך חזק וקני], ולא שקיבל בפני בי"ד את עצם היהדות.</w:t>
      </w:r>
    </w:p>
  </w:footnote>
  <w:footnote w:id="2836">
    <w:p w14:paraId="1267B465" w14:textId="77777777" w:rsidR="006074A5" w:rsidRDefault="006074A5" w:rsidP="006074A5">
      <w:pPr>
        <w:pStyle w:val="Footnote"/>
        <w:bidi/>
      </w:pPr>
      <w:r>
        <w:rPr>
          <w:rStyle w:val="ac"/>
          <w:rtl/>
        </w:rPr>
        <w:footnoteRef/>
      </w:r>
      <w:r>
        <w:rPr>
          <w:rtl/>
        </w:rPr>
        <w:t>ואף דהטבילה לא היתה לפני בי"ד.</w:t>
      </w:r>
    </w:p>
  </w:footnote>
  <w:footnote w:id="2837">
    <w:p w14:paraId="2F802F1E" w14:textId="77777777" w:rsidR="006074A5" w:rsidRDefault="006074A5" w:rsidP="006074A5">
      <w:pPr>
        <w:pStyle w:val="Footnote"/>
        <w:bidi/>
      </w:pPr>
      <w:r>
        <w:rPr>
          <w:rStyle w:val="ac"/>
          <w:rtl/>
        </w:rPr>
        <w:footnoteRef/>
      </w:r>
      <w:r>
        <w:rPr>
          <w:rtl/>
        </w:rPr>
        <w:t>אבל ה</w:t>
      </w:r>
      <w:r>
        <w:rPr>
          <w:b/>
          <w:bCs/>
          <w:rtl/>
        </w:rPr>
        <w:t>ריטב"א</w:t>
      </w:r>
      <w:r>
        <w:rPr>
          <w:rtl/>
        </w:rPr>
        <w:t xml:space="preserve"> (ושא"ר שבת שם) העמידו בגר קטן, דהטבילו בי"ד [ואי"צ קבלת מצוות], ואף כשגדל לא ידע שיש שבת [ויש בזה חידוש דגר קטן אי”צ גדר קבלת מצוות כשגדל].</w:t>
      </w:r>
    </w:p>
  </w:footnote>
  <w:footnote w:id="2838">
    <w:p w14:paraId="639C585E" w14:textId="77777777" w:rsidR="006074A5" w:rsidRDefault="006074A5" w:rsidP="006074A5">
      <w:pPr>
        <w:pStyle w:val="Footnote"/>
        <w:bidi/>
      </w:pPr>
      <w:r>
        <w:rPr>
          <w:rStyle w:val="ac"/>
          <w:rtl/>
        </w:rPr>
        <w:footnoteRef/>
      </w:r>
      <w:r>
        <w:rPr>
          <w:rtl/>
        </w:rPr>
        <w:t>וה</w:t>
      </w:r>
      <w:r>
        <w:rPr>
          <w:b/>
          <w:bCs/>
          <w:rtl/>
        </w:rPr>
        <w:t>שו"ע</w:t>
      </w:r>
      <w:r>
        <w:rPr>
          <w:rtl/>
        </w:rPr>
        <w:t xml:space="preserve"> (יו"ד רסח יב) העתיק לא הודיעו שכר מצוות. וה</w:t>
      </w:r>
      <w:r>
        <w:rPr>
          <w:b/>
          <w:bCs/>
          <w:rtl/>
        </w:rPr>
        <w:t>חמד"ש</w:t>
      </w:r>
      <w:r>
        <w:rPr>
          <w:rtl/>
        </w:rPr>
        <w:t xml:space="preserve"> (כט) דייק דבעי </w:t>
      </w:r>
      <w:r>
        <w:rPr>
          <w:i/>
          <w:iCs/>
          <w:rtl/>
        </w:rPr>
        <w:t>קבלת</w:t>
      </w:r>
      <w:r>
        <w:rPr>
          <w:rtl/>
        </w:rPr>
        <w:t xml:space="preserve"> מצוות, אלא שלא הודיעו לו שכרן. אבל ה</w:t>
      </w:r>
      <w:r>
        <w:rPr>
          <w:b/>
          <w:bCs/>
          <w:rtl/>
        </w:rPr>
        <w:t>ב"ח</w:t>
      </w:r>
      <w:r>
        <w:rPr>
          <w:rtl/>
        </w:rPr>
        <w:t xml:space="preserve"> לא דייק כן [ומ"מ הב"ח פסק כדעת הראשונים דקבלת מצוות מעכבת].</w:t>
      </w:r>
    </w:p>
  </w:footnote>
  <w:footnote w:id="2839">
    <w:p w14:paraId="7FF6F4C2" w14:textId="77777777" w:rsidR="006074A5" w:rsidRDefault="006074A5" w:rsidP="006074A5">
      <w:pPr>
        <w:pStyle w:val="Footnote"/>
        <w:bidi/>
      </w:pPr>
      <w:r>
        <w:rPr>
          <w:rStyle w:val="ac"/>
          <w:rtl/>
        </w:rPr>
        <w:footnoteRef/>
      </w:r>
      <w:r>
        <w:rPr>
          <w:rtl/>
        </w:rPr>
        <w:t>ואפי' נודע שמתגייר בשביל דבר חוששין לו עד שיתבאר צדקותו. ואפי' חזר ועבד ע"ז הרי הוא כישראל מומר שקידושיו קידושין, ומצוה להחזיר אבידתו מאחר שטבל נעשה כישראל. ולפיכך קיימו שמשון ושלמה נשותיהן ואף שנגלה סודן.</w:t>
      </w:r>
    </w:p>
    <w:p w14:paraId="4018C07F" w14:textId="77777777" w:rsidR="006074A5" w:rsidRDefault="006074A5" w:rsidP="006074A5">
      <w:pPr>
        <w:pStyle w:val="Footnote"/>
        <w:bidi/>
      </w:pPr>
      <w:r>
        <w:rPr>
          <w:rtl/>
        </w:rPr>
        <w:tab/>
        <w:t>וה</w:t>
      </w:r>
      <w:r>
        <w:rPr>
          <w:b/>
          <w:bCs/>
          <w:rtl/>
        </w:rPr>
        <w:t>רמב"ם</w:t>
      </w:r>
      <w:r>
        <w:rPr>
          <w:rtl/>
        </w:rPr>
        <w:t xml:space="preserve"> (שם טו) כת' שכל החוזר מן העכו"ם בשביל דבר מהבלי העולם אינו מגירי הצדק וכו' ובי"ד חוששין להם לא דוחין אותן אחר שטבלו מכ"מ ולא מקרבין אותן עד שתראה אחריתם.</w:t>
      </w:r>
    </w:p>
    <w:p w14:paraId="109D9218" w14:textId="77777777" w:rsidR="006074A5" w:rsidRDefault="006074A5" w:rsidP="006074A5">
      <w:pPr>
        <w:pStyle w:val="Footnote"/>
        <w:bidi/>
      </w:pPr>
      <w:r>
        <w:rPr>
          <w:rtl/>
        </w:rPr>
        <w:tab/>
        <w:t>ומשמע ברמב"ם דבכה"ג אמרי' הוכיח סופו על תחילתו אי הוה גירות. [אך צ"ב א"כ אמאי מחזיר לו אבידתו, נימא דמספק אין להחזיר (ע' כתובות טו:), וכ"ש היכא דחזר ואבד ע"ז. אמנם הכס"מ (שם) כת' דהיכא דעבד ע"ז אין מחזירין לו אבידה. ולהחזיר אבידה קאי ארישא].</w:t>
      </w:r>
    </w:p>
  </w:footnote>
  <w:footnote w:id="2840">
    <w:p w14:paraId="07FA60EA" w14:textId="77777777" w:rsidR="006074A5" w:rsidRDefault="006074A5" w:rsidP="006074A5">
      <w:pPr>
        <w:pStyle w:val="Footnote"/>
        <w:bidi/>
      </w:pPr>
      <w:r>
        <w:rPr>
          <w:rStyle w:val="ac"/>
          <w:rtl/>
        </w:rPr>
        <w:footnoteRef/>
      </w:r>
      <w:r>
        <w:rPr>
          <w:rtl/>
        </w:rPr>
        <w:t>ומה שפסק (יד ח) דאם מקבל חוץ מדקדוק א' אין מקבלים, היינו דלכתחילה אסור לקבל אותו.</w:t>
      </w:r>
    </w:p>
  </w:footnote>
  <w:footnote w:id="2841">
    <w:p w14:paraId="2B649B58" w14:textId="77777777" w:rsidR="006074A5" w:rsidRDefault="006074A5" w:rsidP="006074A5">
      <w:pPr>
        <w:pStyle w:val="Footnote"/>
        <w:bidi/>
      </w:pPr>
      <w:r>
        <w:rPr>
          <w:rStyle w:val="ac"/>
          <w:rtl/>
        </w:rPr>
        <w:footnoteRef/>
      </w:r>
      <w:r>
        <w:rPr>
          <w:rtl/>
        </w:rPr>
        <w:t xml:space="preserve">אמנם היכא דלא עבדו ע"ז מבואר דהוכיח סופו על תחילתו שאינו גר. דודאי עיקר הגירות הוא </w:t>
      </w:r>
      <w:r>
        <w:rPr>
          <w:rtl/>
          <w:lang w:val="he-IL"/>
        </w:rPr>
        <w:t>שיעזוב ע"ז. ודוקא קבלת שאר מצוות פרטיות אינו מעכב</w:t>
      </w:r>
      <w:r>
        <w:rPr>
          <w:rFonts w:cs="Times New Roman"/>
          <w:rtl/>
          <w:lang w:val="he-IL"/>
        </w:rPr>
        <w:t>.</w:t>
      </w:r>
    </w:p>
  </w:footnote>
  <w:footnote w:id="2842">
    <w:p w14:paraId="4DA84A7F" w14:textId="77777777" w:rsidR="006074A5" w:rsidRDefault="006074A5" w:rsidP="006074A5">
      <w:pPr>
        <w:pStyle w:val="Footnote"/>
        <w:bidi/>
      </w:pPr>
      <w:r>
        <w:rPr>
          <w:rStyle w:val="ac"/>
          <w:rtl/>
        </w:rPr>
        <w:footnoteRef/>
      </w:r>
      <w:r>
        <w:rPr>
          <w:rtl/>
        </w:rPr>
        <w:t>דעצם הגירות הוא שבא להכנס לברית ולהסתופף תחת כנפי השכינה, ובכלל זה להכניס עצמו לכל דיני ישראל. אלא דקבלה מפורשת אינו מעכב. ולפ"ז היכא דמעשיו מוכיחין שלא קיבל מצוות אינו גר.</w:t>
      </w:r>
    </w:p>
  </w:footnote>
  <w:footnote w:id="2843">
    <w:p w14:paraId="4C3EC792" w14:textId="77777777" w:rsidR="006074A5" w:rsidRDefault="006074A5" w:rsidP="006074A5">
      <w:pPr>
        <w:pStyle w:val="Footnote"/>
        <w:bidi/>
      </w:pPr>
      <w:r>
        <w:rPr>
          <w:rStyle w:val="ac"/>
          <w:rtl/>
        </w:rPr>
        <w:footnoteRef/>
      </w:r>
      <w:r>
        <w:rPr>
          <w:rtl/>
        </w:rPr>
        <w:t>ובגמ' (כתובות יא.) מבואר דהגירות מהני מדין זכין [עי"ש].</w:t>
      </w:r>
    </w:p>
  </w:footnote>
  <w:footnote w:id="2844">
    <w:p w14:paraId="1F7B1949" w14:textId="77777777" w:rsidR="006074A5" w:rsidRDefault="006074A5" w:rsidP="006074A5">
      <w:pPr>
        <w:pStyle w:val="Footnote"/>
        <w:bidi/>
      </w:pPr>
      <w:r>
        <w:rPr>
          <w:rStyle w:val="ac"/>
          <w:rtl/>
        </w:rPr>
        <w:footnoteRef/>
      </w:r>
      <w:r>
        <w:rPr>
          <w:rtl/>
        </w:rPr>
        <w:t>לכאורה כוונתו דמותר לכתחילה לגיירו בלא להודיע [כיון דעכ"פ חל בדיעבד].</w:t>
      </w:r>
    </w:p>
  </w:footnote>
  <w:footnote w:id="2845">
    <w:p w14:paraId="5085D8EA" w14:textId="77777777" w:rsidR="006074A5" w:rsidRDefault="006074A5" w:rsidP="006074A5">
      <w:pPr>
        <w:pStyle w:val="Footnote"/>
        <w:bidi/>
      </w:pPr>
      <w:r>
        <w:rPr>
          <w:rStyle w:val="ac"/>
          <w:rtl/>
        </w:rPr>
        <w:footnoteRef/>
      </w:r>
      <w:r>
        <w:rPr>
          <w:rtl/>
        </w:rPr>
        <w:t>אך מבואר דחל גירות בעודו קטן, וצ"ב דעדיין מחוסר קבלת מצוות. ומדברי התוס' מבואר דכיון דעכשיו אינו בר קבלת מצוות אינו מעכב, ומצטרף קבלת מצוות שלבסוף למפרע.</w:t>
      </w:r>
    </w:p>
  </w:footnote>
  <w:footnote w:id="2846">
    <w:p w14:paraId="39DF6937" w14:textId="77777777" w:rsidR="006074A5" w:rsidRDefault="006074A5" w:rsidP="006074A5">
      <w:pPr>
        <w:pStyle w:val="Footnote"/>
        <w:bidi/>
      </w:pPr>
      <w:r>
        <w:rPr>
          <w:rStyle w:val="ac"/>
          <w:rtl/>
        </w:rPr>
        <w:footnoteRef/>
      </w:r>
      <w:r>
        <w:rPr>
          <w:rtl/>
        </w:rPr>
        <w:t>וכ"כ ה</w:t>
      </w:r>
      <w:r>
        <w:rPr>
          <w:b/>
          <w:bCs/>
          <w:rtl/>
        </w:rPr>
        <w:t>רמב"ם</w:t>
      </w:r>
      <w:r>
        <w:rPr>
          <w:rtl/>
        </w:rPr>
        <w:t xml:space="preserve"> (איסו"ב יד ו) דמודיעין אותו מקצת מצוות קלות פעם שניה כשעומד בתוך המים.</w:t>
      </w:r>
    </w:p>
  </w:footnote>
  <w:footnote w:id="2847">
    <w:p w14:paraId="4AD44583" w14:textId="77777777" w:rsidR="006074A5" w:rsidRDefault="006074A5" w:rsidP="006074A5">
      <w:pPr>
        <w:pStyle w:val="Footnote"/>
        <w:bidi/>
      </w:pPr>
      <w:r>
        <w:rPr>
          <w:rStyle w:val="ac"/>
          <w:rtl/>
        </w:rPr>
        <w:footnoteRef/>
      </w:r>
      <w:r>
        <w:rPr>
          <w:rtl/>
        </w:rPr>
        <w:t>ויל"ד אי מלו אותו לשם גירות קודם שקיבל עליו [וכגון שנסתפק האם רוצה להתגייר וכדו'], האם נימא דהוה כגבעוני מהול. או דסוף סוף הוה לשם יהדות.</w:t>
      </w:r>
    </w:p>
  </w:footnote>
  <w:footnote w:id="2848">
    <w:p w14:paraId="4C7B86F5" w14:textId="77777777" w:rsidR="006074A5" w:rsidRDefault="006074A5" w:rsidP="006074A5">
      <w:pPr>
        <w:pStyle w:val="Footnote"/>
        <w:bidi/>
      </w:pPr>
      <w:r>
        <w:rPr>
          <w:rStyle w:val="ac"/>
          <w:rtl/>
        </w:rPr>
        <w:footnoteRef/>
      </w:r>
      <w:r>
        <w:rPr>
          <w:rtl/>
        </w:rPr>
        <w:t>וע"ד מש"כ ה</w:t>
      </w:r>
      <w:r>
        <w:rPr>
          <w:b/>
          <w:bCs/>
          <w:rtl/>
        </w:rPr>
        <w:t>תוס</w:t>
      </w:r>
      <w:r>
        <w:rPr>
          <w:rtl/>
        </w:rPr>
        <w:t>' (שם) כת' דבדיעבד מהני קבלת מצוות בפני ג', ולאחר זמן יטבול שלא בפני בי"ד. ומ"מ לכתחילה צריך ג' בשעת טבילה. והרמב"ן ביאר דלכתחילה בעי' לחזור ולקבל מצוות בשעת טבילה ממש.</w:t>
      </w:r>
    </w:p>
  </w:footnote>
  <w:footnote w:id="2849">
    <w:p w14:paraId="39F55313" w14:textId="77777777" w:rsidR="006074A5" w:rsidRDefault="006074A5" w:rsidP="006074A5">
      <w:pPr>
        <w:pStyle w:val="Footnote"/>
        <w:bidi/>
      </w:pPr>
      <w:r>
        <w:rPr>
          <w:rStyle w:val="ac"/>
          <w:rtl/>
        </w:rPr>
        <w:footnoteRef/>
      </w:r>
      <w:r>
        <w:rPr>
          <w:rtl/>
        </w:rPr>
        <w:t>אבל מדברי ה</w:t>
      </w:r>
      <w:r>
        <w:rPr>
          <w:b/>
          <w:bCs/>
          <w:rtl/>
        </w:rPr>
        <w:t>ראשונים</w:t>
      </w:r>
      <w:r>
        <w:rPr>
          <w:rtl/>
        </w:rPr>
        <w:t xml:space="preserve"> (תוס' מה:) משמע דקבלת מצוות הוה מעיקרא, קודם לטבילה. [וכ"מ בברייתא דאיתא קיבל מלין אותו מיד. אך י”ל דהודעת מצוות הראשון בברייתא איירי שלא בפני ג', ומש”ה צריך לחזור ולהודיע בפני ג'. ואילו גמ' דלעיל איירי באופן דקיבל מצוות בפני ג'].</w:t>
      </w:r>
    </w:p>
  </w:footnote>
  <w:footnote w:id="2850">
    <w:p w14:paraId="1380D33A" w14:textId="77777777" w:rsidR="006074A5" w:rsidRDefault="006074A5" w:rsidP="006074A5">
      <w:pPr>
        <w:pStyle w:val="Footnote"/>
        <w:bidi/>
      </w:pPr>
      <w:r>
        <w:rPr>
          <w:rStyle w:val="ac"/>
          <w:rtl/>
        </w:rPr>
        <w:footnoteRef/>
      </w:r>
      <w:r>
        <w:rPr>
          <w:rtl/>
        </w:rPr>
        <w:t>וה</w:t>
      </w:r>
      <w:r>
        <w:rPr>
          <w:b/>
          <w:bCs/>
          <w:rtl/>
        </w:rPr>
        <w:t>מנחת יהודה</w:t>
      </w:r>
      <w:r>
        <w:rPr>
          <w:rtl/>
        </w:rPr>
        <w:t xml:space="preserve"> (בס' עמק השער לס' המקח ז) כת' דמודיעים לו בתחלת הגירות משום דבעינן רצון והסכמה על הגירות, ע"י ידיעת המצוות. אבל עיקר קבלת עול מצוות הוה בשעת מעשה הגירות. ודייק דבהודעה הראשון לא הוזכר דבעי ג' דיינים, ודוקא בקבלת מצוות בשעת טבילה מבואר דהבי"ד של ג' מודיעין לו.</w:t>
      </w:r>
    </w:p>
  </w:footnote>
  <w:footnote w:id="2851">
    <w:p w14:paraId="50340AF2" w14:textId="77777777" w:rsidR="006074A5" w:rsidRDefault="006074A5" w:rsidP="006074A5">
      <w:pPr>
        <w:pStyle w:val="Footnote"/>
        <w:bidi/>
      </w:pPr>
      <w:r>
        <w:rPr>
          <w:rStyle w:val="ac"/>
          <w:rtl/>
        </w:rPr>
        <w:footnoteRef/>
      </w:r>
      <w:r>
        <w:rPr>
          <w:rtl/>
        </w:rPr>
        <w:t>וה</w:t>
      </w:r>
      <w:r>
        <w:rPr>
          <w:b/>
          <w:bCs/>
          <w:rtl/>
        </w:rPr>
        <w:t>רמב"ם</w:t>
      </w:r>
      <w:r>
        <w:rPr>
          <w:rtl/>
        </w:rPr>
        <w:t xml:space="preserve"> השמיט תחום שבת, וב' קברות. [ולכאו' נקט דהתנא נקט דוגמא, והדיין רשאי ללמד איזה מקצת מצוות שרוצה].</w:t>
      </w:r>
    </w:p>
  </w:footnote>
  <w:footnote w:id="2852">
    <w:p w14:paraId="7794CC90" w14:textId="77777777" w:rsidR="006074A5" w:rsidRDefault="006074A5" w:rsidP="006074A5">
      <w:pPr>
        <w:pStyle w:val="Footnote"/>
        <w:bidi/>
      </w:pPr>
      <w:r>
        <w:rPr>
          <w:rStyle w:val="ac"/>
          <w:rtl/>
        </w:rPr>
        <w:footnoteRef/>
      </w:r>
      <w:r>
        <w:rPr>
          <w:rtl/>
        </w:rPr>
        <w:t>ואפשר דמש"ה מודיעין רק מקצת מצוות, ובאופן כללי מותר לספר לנכרי עיקרי מצוות התורה, שלא דרך לימוד ההלכות. [אך האגר"מ הק' דב' קברים נמסרו לבי"ד אינו מעיקרי הגירות]. וה</w:t>
      </w:r>
      <w:r>
        <w:rPr>
          <w:b/>
          <w:bCs/>
          <w:rtl/>
        </w:rPr>
        <w:t>צמח דוד</w:t>
      </w:r>
      <w:r>
        <w:rPr>
          <w:rtl/>
        </w:rPr>
        <w:t xml:space="preserve"> תי' דהכא איירי בשעת טבילה ממש, ובשעה זו מותר ללמדו. והאגר"מ כת' דודאי אף לרע"א מותר ללמדו לצורך הגירות, אלא דס"ל דה"מ כשבא להתגייר ממש, ולא הותר ללמדו סתם ע"ד שיתגייר אח"כ.</w:t>
      </w:r>
    </w:p>
  </w:footnote>
  <w:footnote w:id="2853">
    <w:p w14:paraId="2278AAAC" w14:textId="77777777" w:rsidR="006074A5" w:rsidRDefault="006074A5" w:rsidP="006074A5">
      <w:pPr>
        <w:pStyle w:val="Footnote"/>
        <w:bidi/>
      </w:pPr>
      <w:r>
        <w:rPr>
          <w:rStyle w:val="ac"/>
          <w:rtl/>
        </w:rPr>
        <w:footnoteRef/>
      </w:r>
      <w:r>
        <w:rPr>
          <w:rtl/>
        </w:rPr>
        <w:t>וה</w:t>
      </w:r>
      <w:r>
        <w:rPr>
          <w:b/>
          <w:bCs/>
          <w:rtl/>
        </w:rPr>
        <w:t>רמב"ם</w:t>
      </w:r>
      <w:r>
        <w:rPr>
          <w:rtl/>
        </w:rPr>
        <w:t xml:space="preserve"> (שם ה) כת' דאומרים לו דאין הקב"ה מביא עליהן רוב פורענות כדי שלא יאבדו. אלא כל העכו"ם כלין והן עומדין. ומאריכין בדבר הזה כדי לחבבן.</w:t>
      </w:r>
    </w:p>
  </w:footnote>
  <w:footnote w:id="2854">
    <w:p w14:paraId="0A3853CA" w14:textId="77777777" w:rsidR="006074A5" w:rsidRDefault="006074A5" w:rsidP="006074A5">
      <w:pPr>
        <w:pStyle w:val="Footnote"/>
        <w:bidi/>
      </w:pPr>
      <w:r>
        <w:rPr>
          <w:rStyle w:val="ac"/>
          <w:rtl/>
        </w:rPr>
        <w:footnoteRef/>
      </w:r>
      <w:r>
        <w:rPr>
          <w:rtl/>
        </w:rPr>
        <w:t>בטומאת העכו"ם עומד עליו וא"א ליטהר. וה</w:t>
      </w:r>
      <w:r>
        <w:rPr>
          <w:b/>
          <w:bCs/>
          <w:rtl/>
        </w:rPr>
        <w:t>אחרונים</w:t>
      </w:r>
      <w:r>
        <w:rPr>
          <w:rtl/>
        </w:rPr>
        <w:t xml:space="preserve"> (ע' גר"ח סטנסל תכד שחקר בזה) הביאו דהגדר טובל ושרץ בידו, </w:t>
      </w:r>
      <w:r>
        <w:rPr>
          <w:i/>
          <w:iCs/>
          <w:rtl/>
        </w:rPr>
        <w:t>דמעכב</w:t>
      </w:r>
      <w:r>
        <w:rPr>
          <w:rtl/>
        </w:rPr>
        <w:t xml:space="preserve"> שלא יחול הטהרה, ולא רק שחוזר ונטמא. [וכעי”ז כתבו ה</w:t>
      </w:r>
      <w:r>
        <w:rPr>
          <w:b/>
          <w:bCs/>
          <w:rtl/>
        </w:rPr>
        <w:t>רמב”ם</w:t>
      </w:r>
      <w:r>
        <w:rPr>
          <w:rtl/>
        </w:rPr>
        <w:t xml:space="preserve"> הל' תשובה (ה ג) ו</w:t>
      </w:r>
      <w:r>
        <w:rPr>
          <w:b/>
          <w:bCs/>
          <w:rtl/>
        </w:rPr>
        <w:t>שערי</w:t>
      </w:r>
      <w:r>
        <w:rPr>
          <w:rtl/>
        </w:rPr>
        <w:t xml:space="preserve"> </w:t>
      </w:r>
      <w:r>
        <w:rPr>
          <w:b/>
          <w:bCs/>
          <w:rtl/>
        </w:rPr>
        <w:t>תשובה</w:t>
      </w:r>
      <w:r>
        <w:rPr>
          <w:rtl/>
        </w:rPr>
        <w:t xml:space="preserve"> (א יא) דמי שעושה תשובה ואינו עוזב חטאו הוה כטובל ושרץ בידו, שאינו נטהר, וע”פ הגמ' תענית טז.].</w:t>
      </w:r>
    </w:p>
  </w:footnote>
  <w:footnote w:id="2855">
    <w:p w14:paraId="2DF334EA" w14:textId="77777777" w:rsidR="006074A5" w:rsidRDefault="006074A5" w:rsidP="006074A5">
      <w:pPr>
        <w:pStyle w:val="Footnote"/>
        <w:bidi/>
      </w:pPr>
      <w:r>
        <w:rPr>
          <w:rStyle w:val="ac"/>
          <w:rtl/>
        </w:rPr>
        <w:footnoteRef/>
      </w:r>
      <w:r>
        <w:rPr>
          <w:rtl/>
        </w:rPr>
        <w:t>וה</w:t>
      </w:r>
      <w:r>
        <w:rPr>
          <w:b/>
          <w:bCs/>
          <w:rtl/>
        </w:rPr>
        <w:t>רשב"א</w:t>
      </w:r>
      <w:r>
        <w:rPr>
          <w:rtl/>
        </w:rPr>
        <w:t xml:space="preserve"> כתב דאפי' הלוקח כלים חדשים צריך טבילה מהך טעמא. ולא הצריכו ב' טבילות קודם ואח”כ. [משמע דהוה טעם נוסף לטבילה מלבד עצם מעשה הגירות, אלא דהוה גדר בטבילת גירות. וע' זכר יצחק כח – לא, ובחי' ר' זלמן סנדר כט].</w:t>
      </w:r>
    </w:p>
  </w:footnote>
  <w:footnote w:id="2856">
    <w:p w14:paraId="6641C840" w14:textId="77777777" w:rsidR="006074A5" w:rsidRDefault="006074A5" w:rsidP="006074A5">
      <w:pPr>
        <w:pStyle w:val="Footnote"/>
        <w:bidi/>
      </w:pPr>
      <w:r>
        <w:rPr>
          <w:rStyle w:val="ac"/>
          <w:rtl/>
        </w:rPr>
        <w:footnoteRef/>
      </w:r>
      <w:r>
        <w:rPr>
          <w:rtl/>
        </w:rPr>
        <w:t>וה</w:t>
      </w:r>
      <w:r>
        <w:rPr>
          <w:b/>
          <w:bCs/>
          <w:rtl/>
        </w:rPr>
        <w:t>רשב"א</w:t>
      </w:r>
      <w:r>
        <w:rPr>
          <w:rtl/>
        </w:rPr>
        <w:t xml:space="preserve"> הקשה דמ"מ משום שיהוי מצווה היה צריך להקדים.</w:t>
      </w:r>
    </w:p>
  </w:footnote>
  <w:footnote w:id="2857">
    <w:p w14:paraId="04AC37E3" w14:textId="77777777" w:rsidR="006074A5" w:rsidRDefault="006074A5" w:rsidP="006074A5">
      <w:pPr>
        <w:pStyle w:val="Footnote"/>
        <w:bidi/>
      </w:pPr>
      <w:r>
        <w:rPr>
          <w:rStyle w:val="ac"/>
          <w:rtl/>
        </w:rPr>
        <w:footnoteRef/>
      </w:r>
      <w:r>
        <w:rPr>
          <w:rtl/>
        </w:rPr>
        <w:t>וצ"ב אף אחר טבילה יכול לפרוש, דטבילה בלא מילה אינה כלום.</w:t>
      </w:r>
    </w:p>
  </w:footnote>
  <w:footnote w:id="2858">
    <w:p w14:paraId="5DE8C3DF" w14:textId="77777777" w:rsidR="006074A5" w:rsidRDefault="006074A5" w:rsidP="006074A5">
      <w:pPr>
        <w:pStyle w:val="Footnote"/>
        <w:bidi/>
      </w:pPr>
      <w:r>
        <w:rPr>
          <w:rStyle w:val="ac"/>
          <w:rtl/>
        </w:rPr>
        <w:footnoteRef/>
      </w:r>
      <w:r>
        <w:rPr>
          <w:rtl/>
        </w:rPr>
        <w:t>וה</w:t>
      </w:r>
      <w:r>
        <w:rPr>
          <w:b/>
          <w:bCs/>
          <w:rtl/>
        </w:rPr>
        <w:t>רשב"א</w:t>
      </w:r>
      <w:r>
        <w:rPr>
          <w:rtl/>
        </w:rPr>
        <w:t xml:space="preserve"> כתב דלמ"ד עובר ירך אמו (ע' לעיל עח.) אין ראיה כלל [דהוה בכלל גירות האם]. [אלא דקו' התוס' למ"ד לאו ירך אמו, דמהני טבילת אמו]. וכת' די"ל דלמ"ד לאו ירך, בנה היינו בתה כדאמרי' (לעיל מה.) [לרש"י והרשב"א, ודלא כרמב"ן].</w:t>
      </w:r>
    </w:p>
  </w:footnote>
  <w:footnote w:id="2859">
    <w:p w14:paraId="45AF3BFF" w14:textId="77777777" w:rsidR="006074A5" w:rsidRDefault="006074A5" w:rsidP="006074A5">
      <w:pPr>
        <w:pStyle w:val="Footnote"/>
        <w:bidi/>
      </w:pPr>
      <w:r>
        <w:rPr>
          <w:rStyle w:val="ac"/>
          <w:rtl/>
        </w:rPr>
        <w:footnoteRef/>
      </w:r>
      <w:r>
        <w:rPr>
          <w:rtl/>
        </w:rPr>
        <w:t>וכמו שתוס' נקטו בקו'.</w:t>
      </w:r>
    </w:p>
  </w:footnote>
  <w:footnote w:id="2860">
    <w:p w14:paraId="6E9D7462" w14:textId="77777777" w:rsidR="006074A5" w:rsidRDefault="006074A5" w:rsidP="006074A5">
      <w:pPr>
        <w:pStyle w:val="Footnote"/>
        <w:bidi/>
      </w:pPr>
      <w:r>
        <w:rPr>
          <w:rStyle w:val="ac"/>
          <w:rtl/>
        </w:rPr>
        <w:footnoteRef/>
      </w:r>
      <w:r>
        <w:rPr>
          <w:rtl/>
        </w:rPr>
        <w:t>וה</w:t>
      </w:r>
      <w:r>
        <w:rPr>
          <w:b/>
          <w:bCs/>
          <w:rtl/>
        </w:rPr>
        <w:t>קובה”ע</w:t>
      </w:r>
      <w:r>
        <w:rPr>
          <w:rtl/>
        </w:rPr>
        <w:t xml:space="preserve"> (עג יב) דחה דאיירי בנתגיירה אמו קודם מ' יום, דהוה מיא בעלמא. ולכו"ע הוה בכלל גירות אמו.</w:t>
      </w:r>
    </w:p>
  </w:footnote>
  <w:footnote w:id="2861">
    <w:p w14:paraId="2986D022" w14:textId="77777777" w:rsidR="006074A5" w:rsidRDefault="006074A5" w:rsidP="006074A5">
      <w:pPr>
        <w:pStyle w:val="Footnote"/>
        <w:bidi/>
      </w:pPr>
      <w:r>
        <w:rPr>
          <w:rStyle w:val="ac"/>
          <w:rtl/>
        </w:rPr>
        <w:footnoteRef/>
      </w:r>
      <w:r>
        <w:rPr>
          <w:rtl/>
        </w:rPr>
        <w:t>דנח' רבי ור' אלעזר בר"ש, בקידוש הלחם דכבשי עצרת, דלדעת רבי שחיטת הכבשים בלא זריקה הלחם קדוש ואינו קדוש. וכן חליצה ורקיקה [דנפסלה לכהונה].</w:t>
      </w:r>
    </w:p>
  </w:footnote>
  <w:footnote w:id="2862">
    <w:p w14:paraId="33EB7DFF" w14:textId="77777777" w:rsidR="006074A5" w:rsidRDefault="006074A5" w:rsidP="006074A5">
      <w:pPr>
        <w:pStyle w:val="Footnote"/>
        <w:bidi/>
      </w:pPr>
      <w:r>
        <w:rPr>
          <w:rStyle w:val="ac"/>
          <w:rtl/>
        </w:rPr>
        <w:footnoteRef/>
      </w:r>
      <w:r>
        <w:rPr>
          <w:rtl/>
        </w:rPr>
        <w:t>עכ"פ היכא דאח"כ השלים את גירותו.</w:t>
      </w:r>
    </w:p>
  </w:footnote>
  <w:footnote w:id="2863">
    <w:p w14:paraId="6C4D6AB6" w14:textId="77777777" w:rsidR="006074A5" w:rsidRDefault="006074A5" w:rsidP="006074A5">
      <w:pPr>
        <w:pStyle w:val="Footnote"/>
        <w:bidi/>
      </w:pPr>
      <w:r>
        <w:rPr>
          <w:rStyle w:val="ac"/>
          <w:rtl/>
        </w:rPr>
        <w:footnoteRef/>
      </w:r>
      <w:r>
        <w:rPr>
          <w:rtl/>
        </w:rPr>
        <w:t>וצ"ב דלפ"ז הוה רק מקצת קרוב, ולא יהא חיוב כרת. וצ"ע.</w:t>
      </w:r>
    </w:p>
  </w:footnote>
  <w:footnote w:id="2864">
    <w:p w14:paraId="7103C877" w14:textId="77777777" w:rsidR="006074A5" w:rsidRDefault="006074A5" w:rsidP="006074A5">
      <w:pPr>
        <w:pStyle w:val="Footnote"/>
        <w:bidi/>
      </w:pPr>
      <w:r>
        <w:rPr>
          <w:rStyle w:val="ac"/>
          <w:rtl/>
        </w:rPr>
        <w:footnoteRef/>
      </w:r>
      <w:r>
        <w:rPr>
          <w:rtl/>
        </w:rPr>
        <w:t>וה</w:t>
      </w:r>
      <w:r>
        <w:rPr>
          <w:b/>
          <w:bCs/>
          <w:rtl/>
        </w:rPr>
        <w:t>רמב"ם</w:t>
      </w:r>
      <w:r>
        <w:rPr>
          <w:rtl/>
        </w:rPr>
        <w:t xml:space="preserve"> (איסו"ב ד ג) תי' שבימים וטבילה תלה הכתוב, שנאמר ורחצו במים, בנין אב לכל טמא שהוא בטומאתו עד שיטבול. ו</w:t>
      </w:r>
      <w:r>
        <w:rPr>
          <w:b/>
          <w:bCs/>
          <w:rtl/>
        </w:rPr>
        <w:t>ה"ה</w:t>
      </w:r>
      <w:r>
        <w:rPr>
          <w:rtl/>
        </w:rPr>
        <w:t xml:space="preserve"> ציין מקורו מה</w:t>
      </w:r>
      <w:r>
        <w:rPr>
          <w:b/>
          <w:bCs/>
          <w:rtl/>
        </w:rPr>
        <w:t>ספרא</w:t>
      </w:r>
      <w:r>
        <w:rPr>
          <w:rtl/>
        </w:rPr>
        <w:t>. וב</w:t>
      </w:r>
      <w:r>
        <w:rPr>
          <w:b/>
          <w:bCs/>
          <w:rtl/>
        </w:rPr>
        <w:t>ס' קרית מלך</w:t>
      </w:r>
      <w:r>
        <w:rPr>
          <w:rtl/>
        </w:rPr>
        <w:t xml:space="preserve"> כת' דליתא לפנינו. וע"ע חת"ס (יו"ד קצד).</w:t>
      </w:r>
    </w:p>
  </w:footnote>
  <w:footnote w:id="2865">
    <w:p w14:paraId="392E8347" w14:textId="77777777" w:rsidR="006074A5" w:rsidRDefault="006074A5" w:rsidP="006074A5">
      <w:pPr>
        <w:pStyle w:val="Footnote"/>
        <w:tabs>
          <w:tab w:val="left" w:pos="352"/>
        </w:tabs>
        <w:bidi/>
      </w:pPr>
      <w:r>
        <w:rPr>
          <w:rStyle w:val="ac"/>
          <w:rtl/>
        </w:rPr>
        <w:footnoteRef/>
      </w:r>
      <w:r>
        <w:rPr>
          <w:rtl/>
        </w:rPr>
        <w:t>ו</w:t>
      </w:r>
      <w:r>
        <w:rPr>
          <w:b/>
          <w:bCs/>
          <w:rtl/>
        </w:rPr>
        <w:t>תוס'</w:t>
      </w:r>
      <w:r>
        <w:rPr>
          <w:rtl/>
        </w:rPr>
        <w:t xml:space="preserve"> (חגיגה יא.) דחו דלאו מילתא היא, דיש חומרות לטהרות לענין כמה חציצות וכוונה (חולין לא.) מצינו לטהרות ולא לבעלה. [ויל”ד דלכאורה כל הני מדרבנן].</w:t>
      </w:r>
    </w:p>
  </w:footnote>
  <w:footnote w:id="2866">
    <w:p w14:paraId="486F12FC" w14:textId="77777777" w:rsidR="006074A5" w:rsidRDefault="006074A5" w:rsidP="006074A5">
      <w:pPr>
        <w:pStyle w:val="Footnote"/>
        <w:bidi/>
      </w:pPr>
      <w:r>
        <w:rPr>
          <w:rStyle w:val="ac"/>
          <w:rtl/>
        </w:rPr>
        <w:footnoteRef/>
      </w:r>
      <w:r>
        <w:rPr>
          <w:rtl/>
        </w:rPr>
        <w:t>והביא כן מדברי ה</w:t>
      </w:r>
      <w:r>
        <w:rPr>
          <w:b/>
          <w:bCs/>
          <w:rtl/>
        </w:rPr>
        <w:t>רא"ש</w:t>
      </w:r>
      <w:r>
        <w:rPr>
          <w:rtl/>
        </w:rPr>
        <w:t xml:space="preserve"> (נדה ד א) דלענין פולטת לא יתכן חילוק בין בעלה לטהרות, דאין נדה לחצאין. וחלק על ה</w:t>
      </w:r>
      <w:r>
        <w:rPr>
          <w:b/>
          <w:bCs/>
          <w:rtl/>
        </w:rPr>
        <w:t>ראב"ד</w:t>
      </w:r>
      <w:r>
        <w:rPr>
          <w:rtl/>
        </w:rPr>
        <w:t xml:space="preserve"> דפולטת סותר דוקא טהרות, דהוה דבר המטמא וסותר. ואפ”ה מותרת לבעלה. [ובקובה"ע דן דלענין חומרות דרבנן יש מקום לחלק].</w:t>
      </w:r>
    </w:p>
  </w:footnote>
  <w:footnote w:id="2867">
    <w:p w14:paraId="68381F5E" w14:textId="77777777" w:rsidR="006074A5" w:rsidRDefault="006074A5" w:rsidP="006074A5">
      <w:pPr>
        <w:pStyle w:val="Footnote"/>
        <w:bidi/>
      </w:pPr>
      <w:r>
        <w:rPr>
          <w:rStyle w:val="ac"/>
          <w:rtl/>
        </w:rPr>
        <w:footnoteRef/>
      </w:r>
      <w:r>
        <w:rPr>
          <w:rtl/>
        </w:rPr>
        <w:t>ו</w:t>
      </w:r>
      <w:r>
        <w:rPr>
          <w:b/>
          <w:bCs/>
          <w:rtl/>
        </w:rPr>
        <w:t>רש"י</w:t>
      </w:r>
      <w:r>
        <w:rPr>
          <w:rtl/>
        </w:rPr>
        <w:t xml:space="preserve"> (שבת סה:) הביא בשם רבינו הלוי דזבה צריכה ליטהר במים חיים. ו</w:t>
      </w:r>
      <w:r>
        <w:rPr>
          <w:b/>
          <w:bCs/>
          <w:rtl/>
        </w:rPr>
        <w:t>רש”י</w:t>
      </w:r>
      <w:r>
        <w:rPr>
          <w:rtl/>
        </w:rPr>
        <w:t xml:space="preserve"> דחה דלהדיא ב</w:t>
      </w:r>
      <w:r>
        <w:rPr>
          <w:b/>
          <w:bCs/>
          <w:rtl/>
        </w:rPr>
        <w:t>תוספתא</w:t>
      </w:r>
      <w:r>
        <w:rPr>
          <w:rtl/>
        </w:rPr>
        <w:t xml:space="preserve"> (מגילה) דזבה אי"צ מים חיים. ויש שחילקו דלבעלה ודאי ל”צ מים חיים, ורק לטהרות. ותלי בתי' התוס' דידן אי ילפי' זה מזה. [אך ה</w:t>
      </w:r>
      <w:r>
        <w:rPr>
          <w:b/>
          <w:bCs/>
          <w:rtl/>
        </w:rPr>
        <w:t>חת"ס</w:t>
      </w:r>
      <w:r>
        <w:rPr>
          <w:rtl/>
        </w:rPr>
        <w:t xml:space="preserve"> (יו"ד רב) כת' חילוק זו מדרבנן].</w:t>
      </w:r>
    </w:p>
  </w:footnote>
  <w:footnote w:id="2868">
    <w:p w14:paraId="4C184079" w14:textId="77777777" w:rsidR="006074A5" w:rsidRDefault="006074A5" w:rsidP="006074A5">
      <w:pPr>
        <w:pStyle w:val="Footnote"/>
        <w:bidi/>
      </w:pPr>
      <w:r>
        <w:rPr>
          <w:rStyle w:val="ac"/>
          <w:rtl/>
        </w:rPr>
        <w:footnoteRef/>
      </w:r>
      <w:r>
        <w:rPr>
          <w:rtl/>
        </w:rPr>
        <w:t>ואף לשמואל דהמפקיר עבדו יצא לחירות, היינו ע"י טבילה שאח"כ. אבל אם אינו טובל לכאורה יש עליו 'שם עבד'.</w:t>
      </w:r>
    </w:p>
  </w:footnote>
  <w:footnote w:id="2869">
    <w:p w14:paraId="596E4E4D" w14:textId="77777777" w:rsidR="006074A5" w:rsidRDefault="006074A5" w:rsidP="006074A5">
      <w:pPr>
        <w:pStyle w:val="Footnote"/>
        <w:bidi/>
      </w:pPr>
      <w:r>
        <w:rPr>
          <w:rStyle w:val="ac"/>
          <w:rtl/>
        </w:rPr>
        <w:footnoteRef/>
      </w:r>
      <w:r>
        <w:rPr>
          <w:rtl/>
        </w:rPr>
        <w:t>ולכן נחשב חוב הוא לו.</w:t>
      </w:r>
    </w:p>
  </w:footnote>
  <w:footnote w:id="2870">
    <w:p w14:paraId="77BED2D6" w14:textId="77777777" w:rsidR="006074A5" w:rsidRDefault="006074A5" w:rsidP="006074A5">
      <w:pPr>
        <w:pStyle w:val="Footnote"/>
        <w:bidi/>
      </w:pPr>
      <w:r>
        <w:rPr>
          <w:rStyle w:val="ac"/>
          <w:rtl/>
        </w:rPr>
        <w:footnoteRef/>
      </w:r>
      <w:r>
        <w:rPr>
          <w:rtl/>
        </w:rPr>
        <w:t>דאף עבד מחוייב במצוות ובטהרה. וכיון דמוכרח לטבול לקריו, יהא ישראל. אבל ה</w:t>
      </w:r>
      <w:r>
        <w:rPr>
          <w:b/>
          <w:bCs/>
          <w:rtl/>
        </w:rPr>
        <w:t>או"ש</w:t>
      </w:r>
      <w:r>
        <w:rPr>
          <w:rtl/>
        </w:rPr>
        <w:t xml:space="preserve"> (איסו"ב יג במילואים) כת' דבעבד ל"מ הא דטבל לקריו, כיון דמחוייב בעודו עבד בטבילה זו, ולא הוה הוכחה על יהדות.</w:t>
      </w:r>
    </w:p>
    <w:p w14:paraId="6EAB4709" w14:textId="77777777" w:rsidR="006074A5" w:rsidRDefault="006074A5" w:rsidP="006074A5">
      <w:pPr>
        <w:pStyle w:val="Footnote"/>
        <w:bidi/>
      </w:pPr>
      <w:r>
        <w:rPr>
          <w:rtl/>
        </w:rPr>
        <w:tab/>
        <w:t>[ולכאורה מבואר דהחזו"א נקט דסגי בהא דהו' 'מעשה יהדות', אף דאינו מחייב את תוצאת הגירות]. ועכ"פ יל"ד דיהני כוונה להדיא [הפכית] שלא יחשב טבילת ישראלות.</w:t>
      </w:r>
    </w:p>
  </w:footnote>
  <w:footnote w:id="2871">
    <w:p w14:paraId="3BD128AB" w14:textId="77777777" w:rsidR="006074A5" w:rsidRDefault="006074A5" w:rsidP="006074A5">
      <w:pPr>
        <w:pStyle w:val="Footnote"/>
        <w:bidi/>
      </w:pPr>
      <w:r>
        <w:rPr>
          <w:rStyle w:val="ac"/>
          <w:rtl/>
        </w:rPr>
        <w:footnoteRef/>
      </w:r>
      <w:r>
        <w:rPr>
          <w:rtl/>
        </w:rPr>
        <w:t>ועוד י"ל דאחרי שנתשחרר מחוייב לטבול, וכמ"ש הגר"ח. [ולכאורה כוונת הגר"ח להוכיח דמשמע דכבר נאסר ממילא].</w:t>
      </w:r>
    </w:p>
  </w:footnote>
  <w:footnote w:id="2872">
    <w:p w14:paraId="62120076" w14:textId="77777777" w:rsidR="006074A5" w:rsidRDefault="006074A5" w:rsidP="006074A5">
      <w:pPr>
        <w:pStyle w:val="Footnote"/>
        <w:bidi/>
      </w:pPr>
      <w:r>
        <w:rPr>
          <w:rStyle w:val="ac"/>
          <w:rtl/>
        </w:rPr>
        <w:footnoteRef/>
      </w:r>
      <w:r>
        <w:rPr>
          <w:rtl/>
        </w:rPr>
        <w:t>וה</w:t>
      </w:r>
      <w:r>
        <w:rPr>
          <w:b/>
          <w:bCs/>
          <w:rtl/>
        </w:rPr>
        <w:t>תוס' רא"ש</w:t>
      </w:r>
      <w:r>
        <w:rPr>
          <w:rtl/>
        </w:rPr>
        <w:t xml:space="preserve"> (קידושין סב:, וכן רשב"א שם) ביאר דכמו שאי"צ מילה [הטפת דם ברית], וסגי במילה שנעשית מתחילה כשנעשה עבד, אף אי"צ טבילה.</w:t>
      </w:r>
    </w:p>
  </w:footnote>
  <w:footnote w:id="2873">
    <w:p w14:paraId="67A88EA0" w14:textId="77777777" w:rsidR="006074A5" w:rsidRDefault="006074A5" w:rsidP="006074A5">
      <w:pPr>
        <w:pStyle w:val="Footnote"/>
        <w:bidi/>
      </w:pPr>
      <w:r>
        <w:rPr>
          <w:rStyle w:val="ac"/>
          <w:rtl/>
        </w:rPr>
        <w:footnoteRef/>
      </w:r>
      <w:r>
        <w:rPr>
          <w:rtl/>
        </w:rPr>
        <w:t>וכתב דאי"צ ג' בשחרורו כיון דכבר טבל מתחילה בפני בי"ד. [וצ"ב כוונתו, דהטבילה אינה מעכבת. ואפשר דס"ד דעצם השחרור בעי ג', דזהו 'מעשה הגירות'. וצ"ע. ובזה ניחא מש"כ אח"כ דלא יזדקקו לו ג' דהמשחרר עבדו עובר בעשה].</w:t>
      </w:r>
    </w:p>
  </w:footnote>
  <w:footnote w:id="2874">
    <w:p w14:paraId="48746F35" w14:textId="77777777" w:rsidR="006074A5" w:rsidRDefault="006074A5" w:rsidP="006074A5">
      <w:pPr>
        <w:pStyle w:val="Footnote"/>
        <w:bidi/>
      </w:pPr>
      <w:r>
        <w:rPr>
          <w:rStyle w:val="ac"/>
          <w:rtl/>
        </w:rPr>
        <w:footnoteRef/>
      </w:r>
      <w:r>
        <w:rPr>
          <w:rtl/>
        </w:rPr>
        <w:t>אלא כיון דהוה דרבנן בעלמא, לא הטריחו לצער עצמו, ולסכן עצמו במילה.</w:t>
      </w:r>
    </w:p>
  </w:footnote>
  <w:footnote w:id="2875">
    <w:p w14:paraId="35DB315A" w14:textId="77777777" w:rsidR="006074A5" w:rsidRDefault="006074A5" w:rsidP="006074A5">
      <w:pPr>
        <w:pStyle w:val="Footnote"/>
        <w:bidi/>
      </w:pPr>
      <w:r>
        <w:rPr>
          <w:rStyle w:val="ac"/>
          <w:rtl/>
        </w:rPr>
        <w:footnoteRef/>
      </w:r>
      <w:r>
        <w:rPr>
          <w:rtl/>
        </w:rPr>
        <w:t>וחייב במצוות כאשה, ומשמע דלא נתחייב יותר. ולא שהדין עבדות פוטרו ממצוות. וע' בסמוך מש"כ בזה האחרונים.</w:t>
      </w:r>
    </w:p>
  </w:footnote>
  <w:footnote w:id="2876">
    <w:p w14:paraId="35010F28" w14:textId="77777777" w:rsidR="006074A5" w:rsidRDefault="006074A5" w:rsidP="006074A5">
      <w:pPr>
        <w:pStyle w:val="Footnote"/>
        <w:bidi/>
      </w:pPr>
      <w:r>
        <w:rPr>
          <w:rStyle w:val="ac"/>
          <w:rtl/>
        </w:rPr>
        <w:footnoteRef/>
      </w:r>
      <w:r>
        <w:rPr>
          <w:rtl/>
        </w:rPr>
        <w:t>וכ”כ ה</w:t>
      </w:r>
      <w:r>
        <w:rPr>
          <w:b/>
          <w:bCs/>
          <w:rtl/>
        </w:rPr>
        <w:t>או"ש</w:t>
      </w:r>
      <w:r>
        <w:rPr>
          <w:rtl/>
        </w:rPr>
        <w:t xml:space="preserve"> (איסו"ב יג יב במילואים) דקודם טבילה תפסי קידושין. והביא מהגמ' (קידושין עב:) דלשמואל המפקיר עבדו יצא לחירות ואי"צ גט שחרור, ומש"ה אינו פוסל בביאתו. והאו"ש הק' דשמא לא טבל. וע"כ דאף קודם טבילה תפסי קידושין, ומש"ה אינו פוסל בביאתו. דהא דעכו"ם ועבד פוסל ילפי' (לקמן סט.) דאין לו אלמנות וגירושין בה.</w:t>
      </w:r>
    </w:p>
  </w:footnote>
  <w:footnote w:id="2877">
    <w:p w14:paraId="04AF339F" w14:textId="77777777" w:rsidR="006074A5" w:rsidRDefault="006074A5" w:rsidP="006074A5">
      <w:pPr>
        <w:pStyle w:val="Footnote"/>
        <w:bidi/>
      </w:pPr>
      <w:r>
        <w:rPr>
          <w:rStyle w:val="ac"/>
          <w:rtl/>
        </w:rPr>
        <w:footnoteRef/>
      </w:r>
      <w:r>
        <w:rPr>
          <w:rtl/>
        </w:rPr>
        <w:t>[והוא חידוש גדול דיש מצב דתפסי קידושין, אבל אינו ישראל גמור. אבל בתוס' והריטב"א מבואר דפשיט"ל דלא יתכן מצב כזה בדאורייתא].</w:t>
      </w:r>
    </w:p>
  </w:footnote>
  <w:footnote w:id="2878">
    <w:p w14:paraId="505C162E" w14:textId="77777777" w:rsidR="006074A5" w:rsidRDefault="006074A5" w:rsidP="006074A5">
      <w:pPr>
        <w:pStyle w:val="Footnote"/>
        <w:bidi/>
      </w:pPr>
      <w:r>
        <w:rPr>
          <w:rStyle w:val="ac"/>
          <w:rtl/>
        </w:rPr>
        <w:footnoteRef/>
      </w:r>
      <w:r>
        <w:rPr>
          <w:rtl/>
        </w:rPr>
        <w:t>ועבד יצא מכלל עכו"ם לענין 'יחס', ולולי הא דהוה עם הדומה לחמור היה תפסי קידושין. [וכן ביאר ה</w:t>
      </w:r>
      <w:r>
        <w:rPr>
          <w:b/>
          <w:bCs/>
          <w:rtl/>
        </w:rPr>
        <w:t>אמר"מ</w:t>
      </w:r>
      <w:r>
        <w:rPr>
          <w:rtl/>
        </w:rPr>
        <w:t xml:space="preserve"> (כב כ)].</w:t>
      </w:r>
    </w:p>
  </w:footnote>
  <w:footnote w:id="2879">
    <w:p w14:paraId="77CBBE1F" w14:textId="77777777" w:rsidR="006074A5" w:rsidRDefault="006074A5" w:rsidP="006074A5">
      <w:pPr>
        <w:pStyle w:val="Footnote"/>
        <w:bidi/>
      </w:pPr>
      <w:r>
        <w:rPr>
          <w:rStyle w:val="ac"/>
          <w:rtl/>
        </w:rPr>
        <w:footnoteRef/>
      </w:r>
      <w:r>
        <w:rPr>
          <w:rtl/>
        </w:rPr>
        <w:t>וה</w:t>
      </w:r>
      <w:r>
        <w:rPr>
          <w:b/>
          <w:bCs/>
          <w:rtl/>
        </w:rPr>
        <w:t>חזו"א</w:t>
      </w:r>
      <w:r>
        <w:rPr>
          <w:rtl/>
        </w:rPr>
        <w:t xml:space="preserve"> (בגליונות) הקשה עוד בשפחה ליכא תוספת מצוות. [וע”כ דהוה תוספת רק לענין שם קהל].</w:t>
      </w:r>
    </w:p>
  </w:footnote>
  <w:footnote w:id="2880">
    <w:p w14:paraId="5E499C2D" w14:textId="77777777" w:rsidR="006074A5" w:rsidRDefault="006074A5" w:rsidP="006074A5">
      <w:pPr>
        <w:pStyle w:val="Footnote"/>
        <w:bidi/>
      </w:pPr>
      <w:r>
        <w:rPr>
          <w:rStyle w:val="ac"/>
          <w:rtl/>
        </w:rPr>
        <w:footnoteRef/>
      </w:r>
      <w:r>
        <w:rPr>
          <w:rtl/>
        </w:rPr>
        <w:t>ועדיין חסר לו קדושת קהל.</w:t>
      </w:r>
    </w:p>
  </w:footnote>
  <w:footnote w:id="2881">
    <w:p w14:paraId="48F9605C" w14:textId="77777777" w:rsidR="006074A5" w:rsidRDefault="006074A5" w:rsidP="006074A5">
      <w:pPr>
        <w:pStyle w:val="Footnote"/>
        <w:bidi/>
      </w:pPr>
      <w:r>
        <w:rPr>
          <w:rStyle w:val="ac"/>
          <w:rtl/>
        </w:rPr>
        <w:footnoteRef/>
      </w:r>
      <w:r>
        <w:rPr>
          <w:rtl/>
        </w:rPr>
        <w:t>ונקט דהוה דאורייתא. וצ"ב דבריטב"א ותוס' הרא"ש להדיא דהוה דרבנן.</w:t>
      </w:r>
    </w:p>
  </w:footnote>
  <w:footnote w:id="2882">
    <w:p w14:paraId="21F2867C" w14:textId="77777777" w:rsidR="006074A5" w:rsidRDefault="006074A5" w:rsidP="006074A5">
      <w:pPr>
        <w:pStyle w:val="Footnote"/>
        <w:bidi/>
      </w:pPr>
      <w:r>
        <w:rPr>
          <w:rStyle w:val="ac"/>
          <w:rtl/>
        </w:rPr>
        <w:footnoteRef/>
      </w:r>
      <w:r>
        <w:rPr>
          <w:rtl/>
        </w:rPr>
        <w:t>וה</w:t>
      </w:r>
      <w:r>
        <w:rPr>
          <w:b/>
          <w:bCs/>
          <w:rtl/>
        </w:rPr>
        <w:t>אחרונים</w:t>
      </w:r>
      <w:r>
        <w:rPr>
          <w:rtl/>
        </w:rPr>
        <w:t xml:space="preserve"> הביאו לשון ה</w:t>
      </w:r>
      <w:r>
        <w:rPr>
          <w:b/>
          <w:bCs/>
          <w:rtl/>
        </w:rPr>
        <w:t>רמב"ם</w:t>
      </w:r>
      <w:r>
        <w:rPr>
          <w:rtl/>
        </w:rPr>
        <w:t xml:space="preserve"> (מחו"כ א ב) דקודם הבאת הקרבן אינו ככל </w:t>
      </w:r>
      <w:r>
        <w:rPr>
          <w:i/>
          <w:iCs/>
          <w:rtl/>
        </w:rPr>
        <w:t>כשרי</w:t>
      </w:r>
      <w:r>
        <w:rPr>
          <w:rtl/>
        </w:rPr>
        <w:t xml:space="preserve"> ישראל [משמע דגר גמור, אלא דאינו ככשרים].</w:t>
      </w:r>
    </w:p>
  </w:footnote>
  <w:footnote w:id="2883">
    <w:p w14:paraId="701E0D73" w14:textId="77777777" w:rsidR="006074A5" w:rsidRDefault="006074A5" w:rsidP="006074A5">
      <w:pPr>
        <w:pStyle w:val="Footnote"/>
        <w:bidi/>
      </w:pPr>
      <w:r>
        <w:rPr>
          <w:rStyle w:val="ac"/>
          <w:rtl/>
        </w:rPr>
        <w:footnoteRef/>
      </w:r>
      <w:r>
        <w:rPr>
          <w:rtl/>
        </w:rPr>
        <w:t>ולא קאי משום תקנת עזרא ליטהר לדברי תורה. דבזה י"ל דאי"צ טבילה גמורה.</w:t>
      </w:r>
    </w:p>
  </w:footnote>
  <w:footnote w:id="2884">
    <w:p w14:paraId="4BF6DCC7" w14:textId="77777777" w:rsidR="006074A5" w:rsidRDefault="006074A5" w:rsidP="006074A5">
      <w:pPr>
        <w:pStyle w:val="Footnote"/>
        <w:bidi/>
      </w:pPr>
      <w:r>
        <w:rPr>
          <w:rStyle w:val="ac"/>
          <w:rtl/>
        </w:rPr>
        <w:footnoteRef/>
      </w:r>
      <w:r>
        <w:rPr>
          <w:rtl/>
        </w:rPr>
        <w:t>דאי' (בסוטה) דכל א' קיבל שש מאות אלף ושלשת אלפים ותק"ן בריתות, שכולן נתערבו זה בזה. ולא נתערבו על הגרים.</w:t>
      </w:r>
    </w:p>
  </w:footnote>
  <w:footnote w:id="2885">
    <w:p w14:paraId="58809CA0" w14:textId="77777777" w:rsidR="006074A5" w:rsidRDefault="006074A5" w:rsidP="006074A5">
      <w:pPr>
        <w:pStyle w:val="Footnote"/>
        <w:bidi/>
      </w:pPr>
      <w:r>
        <w:rPr>
          <w:rStyle w:val="ac"/>
          <w:rtl/>
        </w:rPr>
        <w:footnoteRef/>
      </w:r>
      <w:r>
        <w:rPr>
          <w:rtl/>
        </w:rPr>
        <w:t>ו</w:t>
      </w:r>
      <w:r>
        <w:rPr>
          <w:b/>
          <w:bCs/>
          <w:rtl/>
        </w:rPr>
        <w:t>תוס'</w:t>
      </w:r>
      <w:r>
        <w:rPr>
          <w:rtl/>
        </w:rPr>
        <w:t xml:space="preserve"> (נדה יג:) דחו דלעולם קבלו ערבות על הגרים, אלא שלא הוזכר משום שלא ידעו חשבונם. [ועפ"ז מתיישב אף נשים. אך קשה דהגמ' נקטה מנין שהוא רחוק מאוד מהמנין האמיתי].</w:t>
      </w:r>
    </w:p>
  </w:footnote>
  <w:footnote w:id="2886">
    <w:p w14:paraId="59059A43" w14:textId="77777777" w:rsidR="006074A5" w:rsidRDefault="006074A5" w:rsidP="006074A5">
      <w:pPr>
        <w:pStyle w:val="Footnote"/>
        <w:bidi/>
      </w:pPr>
      <w:r>
        <w:rPr>
          <w:rStyle w:val="ac"/>
          <w:rtl/>
        </w:rPr>
        <w:footnoteRef/>
      </w:r>
      <w:r>
        <w:rPr>
          <w:rtl/>
        </w:rPr>
        <w:t>וה</w:t>
      </w:r>
      <w:r>
        <w:rPr>
          <w:b/>
          <w:bCs/>
          <w:rtl/>
        </w:rPr>
        <w:t>רא"ש</w:t>
      </w:r>
      <w:r>
        <w:rPr>
          <w:rtl/>
        </w:rPr>
        <w:t xml:space="preserve"> (ברכות כ: ג יג בסופו) הביא מח' בזה.</w:t>
      </w:r>
    </w:p>
  </w:footnote>
  <w:footnote w:id="2887">
    <w:p w14:paraId="46FBEB02" w14:textId="77777777" w:rsidR="006074A5" w:rsidRDefault="006074A5" w:rsidP="006074A5">
      <w:pPr>
        <w:pStyle w:val="Footnote"/>
        <w:bidi/>
      </w:pPr>
      <w:r>
        <w:rPr>
          <w:rStyle w:val="ac"/>
          <w:rtl/>
        </w:rPr>
        <w:footnoteRef/>
      </w:r>
      <w:r>
        <w:rPr>
          <w:rtl/>
        </w:rPr>
        <w:t>וכן פחות מבן כ' ויותר מבן ס'.</w:t>
      </w:r>
    </w:p>
  </w:footnote>
  <w:footnote w:id="2888">
    <w:p w14:paraId="4973906E" w14:textId="77777777" w:rsidR="006074A5" w:rsidRDefault="006074A5" w:rsidP="006074A5">
      <w:pPr>
        <w:pStyle w:val="Footnote"/>
        <w:bidi/>
      </w:pPr>
      <w:r>
        <w:rPr>
          <w:rStyle w:val="ac"/>
          <w:rtl/>
        </w:rPr>
        <w:footnoteRef/>
      </w:r>
      <w:r>
        <w:rPr>
          <w:rtl/>
        </w:rPr>
        <w:t>וצא ולמד מה אירע במדבר במעשה העגל ובקברות התאוה וכן רוב הנסיונות האספסוף היו בהן תחלה.</w:t>
      </w:r>
    </w:p>
  </w:footnote>
  <w:footnote w:id="2889">
    <w:p w14:paraId="7178AA98" w14:textId="77777777" w:rsidR="006074A5" w:rsidRDefault="006074A5" w:rsidP="006074A5">
      <w:pPr>
        <w:pStyle w:val="Footnote"/>
        <w:bidi/>
      </w:pPr>
      <w:r>
        <w:rPr>
          <w:rStyle w:val="ac"/>
          <w:rtl/>
        </w:rPr>
        <w:footnoteRef/>
      </w:r>
      <w:r>
        <w:rPr>
          <w:rtl/>
        </w:rPr>
        <w:t>וב</w:t>
      </w:r>
      <w:r>
        <w:rPr>
          <w:b/>
          <w:bCs/>
          <w:rtl/>
        </w:rPr>
        <w:t>חי' ר"א מן ההר</w:t>
      </w:r>
      <w:r>
        <w:rPr>
          <w:rtl/>
        </w:rPr>
        <w:t xml:space="preserve"> משמע דכיון דהוא מקפיד על אחרים ואינו מוחל, ואף עליו מקפידים על גזל פחות משווה פרוטה.</w:t>
      </w:r>
    </w:p>
  </w:footnote>
  <w:footnote w:id="2890">
    <w:p w14:paraId="3D3572DE" w14:textId="77777777" w:rsidR="006074A5" w:rsidRDefault="006074A5" w:rsidP="006074A5">
      <w:pPr>
        <w:pStyle w:val="Footnote"/>
        <w:bidi/>
      </w:pPr>
      <w:r>
        <w:rPr>
          <w:rStyle w:val="ac"/>
          <w:rtl/>
        </w:rPr>
        <w:footnoteRef/>
      </w:r>
      <w:r>
        <w:rPr>
          <w:rtl/>
        </w:rPr>
        <w:t>ו</w:t>
      </w:r>
      <w:r>
        <w:rPr>
          <w:b/>
          <w:bCs/>
          <w:rtl/>
        </w:rPr>
        <w:t>תוס'</w:t>
      </w:r>
      <w:r>
        <w:rPr>
          <w:rtl/>
        </w:rPr>
        <w:t xml:space="preserve"> (עירובין סב.) הקשו דאם הוא בעין אפי' ישראל צריך להחזיר.</w:t>
      </w:r>
    </w:p>
  </w:footnote>
  <w:footnote w:id="2891">
    <w:p w14:paraId="46848CFC" w14:textId="77777777" w:rsidR="006074A5" w:rsidRDefault="006074A5" w:rsidP="006074A5">
      <w:pPr>
        <w:pStyle w:val="Footnote"/>
        <w:bidi/>
      </w:pPr>
      <w:r>
        <w:rPr>
          <w:rStyle w:val="ac"/>
          <w:rtl/>
        </w:rPr>
        <w:footnoteRef/>
      </w:r>
      <w:r>
        <w:rPr>
          <w:rtl/>
        </w:rPr>
        <w:t>ותוס' (שם) הקשו לרש"י דאמאי נקטו כן דוקא בגזל מישראל.</w:t>
      </w:r>
    </w:p>
  </w:footnote>
  <w:footnote w:id="2892">
    <w:p w14:paraId="66216D52" w14:textId="77777777" w:rsidR="006074A5" w:rsidRDefault="006074A5" w:rsidP="006074A5">
      <w:pPr>
        <w:pStyle w:val="Footnote"/>
        <w:bidi/>
      </w:pPr>
      <w:r>
        <w:rPr>
          <w:rStyle w:val="ac"/>
          <w:rtl/>
        </w:rPr>
        <w:footnoteRef/>
      </w:r>
      <w:r>
        <w:rPr>
          <w:rtl/>
        </w:rPr>
        <w:t xml:space="preserve">אבל </w:t>
      </w:r>
      <w:r>
        <w:rPr>
          <w:b/>
          <w:bCs/>
          <w:rtl/>
        </w:rPr>
        <w:t xml:space="preserve">רש"י </w:t>
      </w:r>
      <w:r>
        <w:rPr>
          <w:rtl/>
        </w:rPr>
        <w:t>פי' יחוד אשת איש, דהוה דאורייתא.</w:t>
      </w:r>
    </w:p>
  </w:footnote>
  <w:footnote w:id="2893">
    <w:p w14:paraId="2B6BD176" w14:textId="77777777" w:rsidR="006074A5" w:rsidRDefault="006074A5" w:rsidP="006074A5">
      <w:pPr>
        <w:pStyle w:val="Footnote"/>
        <w:bidi/>
      </w:pPr>
      <w:r>
        <w:rPr>
          <w:rStyle w:val="ac"/>
          <w:rtl/>
        </w:rPr>
        <w:footnoteRef/>
      </w:r>
      <w:r>
        <w:rPr>
          <w:rtl/>
        </w:rPr>
        <w:t>וגזרום כבר בימי רות. א"נ הוה אסמכתא בעלמא.</w:t>
      </w:r>
    </w:p>
  </w:footnote>
  <w:footnote w:id="2894">
    <w:p w14:paraId="624F5A35" w14:textId="77777777" w:rsidR="006074A5" w:rsidRDefault="006074A5" w:rsidP="006074A5">
      <w:pPr>
        <w:pStyle w:val="Footnote"/>
        <w:bidi/>
      </w:pPr>
      <w:r>
        <w:rPr>
          <w:rStyle w:val="ac"/>
          <w:rtl/>
        </w:rPr>
        <w:footnoteRef/>
      </w:r>
      <w:r>
        <w:rPr>
          <w:rtl/>
        </w:rPr>
        <w:t>וצ"ב מ"ט הו' לאחר כל הנך.</w:t>
      </w:r>
    </w:p>
  </w:footnote>
  <w:footnote w:id="2895">
    <w:p w14:paraId="194481E4" w14:textId="77777777" w:rsidR="006074A5" w:rsidRDefault="006074A5" w:rsidP="006074A5">
      <w:pPr>
        <w:pStyle w:val="Footnote"/>
        <w:bidi/>
      </w:pPr>
      <w:r>
        <w:rPr>
          <w:rStyle w:val="ac"/>
          <w:rtl/>
        </w:rPr>
        <w:footnoteRef/>
      </w:r>
      <w:r>
        <w:rPr>
          <w:rtl/>
        </w:rPr>
        <w:t>[וכן אי' (מכות כג:) דנצטוו תרי"ג מצוות, ומוני המצוות האריכו לדון מה נכלל במנין זו].</w:t>
      </w:r>
    </w:p>
  </w:footnote>
  <w:footnote w:id="2896">
    <w:p w14:paraId="7437CB1C" w14:textId="77777777" w:rsidR="006074A5" w:rsidRDefault="006074A5" w:rsidP="006074A5">
      <w:pPr>
        <w:pStyle w:val="Footnote"/>
        <w:bidi/>
      </w:pPr>
      <w:r>
        <w:rPr>
          <w:rStyle w:val="ac"/>
          <w:rtl/>
        </w:rPr>
        <w:footnoteRef/>
      </w:r>
      <w:r>
        <w:rPr>
          <w:rtl/>
        </w:rPr>
        <w:t>ויל"ד דלכאו' מצוות תוכחה הוה מצווה כללית על הכל, ואינו מתחלק לפרטי התרי"ג מצוות.</w:t>
      </w:r>
    </w:p>
  </w:footnote>
  <w:footnote w:id="2897">
    <w:p w14:paraId="1B77F5B9" w14:textId="77777777" w:rsidR="006074A5" w:rsidRDefault="006074A5" w:rsidP="006074A5">
      <w:pPr>
        <w:pStyle w:val="Footnote"/>
        <w:bidi/>
      </w:pPr>
      <w:r>
        <w:rPr>
          <w:rStyle w:val="ac"/>
          <w:rtl/>
        </w:rPr>
        <w:footnoteRef/>
      </w:r>
      <w:r>
        <w:rPr>
          <w:rtl/>
        </w:rPr>
        <w:t>אך יש שהביאו מהגמ' (מח:) דיש עליהם עונש ששהו עצמן להכנס תחת כנפי השכינה.</w:t>
      </w:r>
    </w:p>
  </w:footnote>
  <w:footnote w:id="2898">
    <w:p w14:paraId="641A7A1E" w14:textId="77777777" w:rsidR="006074A5" w:rsidRDefault="006074A5" w:rsidP="006074A5">
      <w:pPr>
        <w:pStyle w:val="Footnote"/>
        <w:bidi/>
      </w:pPr>
      <w:r>
        <w:rPr>
          <w:rStyle w:val="ac"/>
          <w:rtl/>
        </w:rPr>
        <w:footnoteRef/>
      </w:r>
      <w:r>
        <w:rPr>
          <w:rtl/>
        </w:rPr>
        <w:t>אך ה</w:t>
      </w:r>
      <w:r>
        <w:rPr>
          <w:b/>
          <w:bCs/>
          <w:rtl/>
        </w:rPr>
        <w:t>ב"י</w:t>
      </w:r>
      <w:r>
        <w:rPr>
          <w:rtl/>
        </w:rPr>
        <w:t xml:space="preserve"> הביא כן מה</w:t>
      </w:r>
      <w:r>
        <w:rPr>
          <w:b/>
          <w:bCs/>
          <w:rtl/>
        </w:rPr>
        <w:t>רא"ש</w:t>
      </w:r>
      <w:r>
        <w:rPr>
          <w:rtl/>
        </w:rPr>
        <w:t xml:space="preserve"> (סוף בכורות) שהביא מה</w:t>
      </w:r>
      <w:r>
        <w:rPr>
          <w:b/>
          <w:bCs/>
          <w:rtl/>
        </w:rPr>
        <w:t>מכילתא</w:t>
      </w:r>
      <w:r>
        <w:rPr>
          <w:rtl/>
        </w:rPr>
        <w:t xml:space="preserve"> (שמות יב יז) ושמרתם את המצות, מצוה הבא לידך אל תחמיצנה.</w:t>
      </w:r>
    </w:p>
  </w:footnote>
  <w:footnote w:id="2899">
    <w:p w14:paraId="66CBCEC7" w14:textId="77777777" w:rsidR="006074A5" w:rsidRDefault="006074A5" w:rsidP="006074A5">
      <w:pPr>
        <w:pStyle w:val="Footnote"/>
        <w:bidi/>
      </w:pPr>
      <w:r>
        <w:rPr>
          <w:rStyle w:val="ac"/>
          <w:rtl/>
        </w:rPr>
        <w:footnoteRef/>
      </w:r>
      <w:r>
        <w:rPr>
          <w:rtl/>
        </w:rPr>
        <w:t>[והא דאיתא (לעיל יז.) דעשאום כגויים גמורים, קאי רק באותו דור, הפקיעו].</w:t>
      </w:r>
    </w:p>
  </w:footnote>
  <w:footnote w:id="2900">
    <w:p w14:paraId="33C88821" w14:textId="77777777" w:rsidR="006074A5" w:rsidRDefault="006074A5" w:rsidP="006074A5">
      <w:pPr>
        <w:pStyle w:val="Footnote"/>
        <w:bidi/>
      </w:pPr>
      <w:r>
        <w:rPr>
          <w:rStyle w:val="ac"/>
          <w:rtl/>
        </w:rPr>
        <w:footnoteRef/>
      </w:r>
      <w:r>
        <w:rPr>
          <w:rtl/>
        </w:rPr>
        <w:t>משמע דאם אח"כ קידש אחר, לא תפסי קידושי שני.</w:t>
      </w:r>
    </w:p>
  </w:footnote>
  <w:footnote w:id="2901">
    <w:p w14:paraId="2F1B19AE" w14:textId="77777777" w:rsidR="006074A5" w:rsidRDefault="006074A5" w:rsidP="006074A5">
      <w:pPr>
        <w:pStyle w:val="Footnote"/>
        <w:bidi/>
      </w:pPr>
      <w:r>
        <w:rPr>
          <w:rStyle w:val="ac"/>
          <w:rtl/>
        </w:rPr>
        <w:footnoteRef/>
      </w:r>
      <w:r>
        <w:rPr>
          <w:rtl/>
        </w:rPr>
        <w:t>ע"ד הא דאיתא (קידושין מט:).</w:t>
      </w:r>
    </w:p>
  </w:footnote>
  <w:footnote w:id="2902">
    <w:p w14:paraId="3DB4EAD3" w14:textId="77777777" w:rsidR="006074A5" w:rsidRDefault="006074A5" w:rsidP="006074A5">
      <w:pPr>
        <w:pStyle w:val="Footnote"/>
        <w:bidi/>
      </w:pPr>
      <w:r>
        <w:rPr>
          <w:rStyle w:val="ac"/>
          <w:rtl/>
        </w:rPr>
        <w:footnoteRef/>
      </w:r>
      <w:r>
        <w:rPr>
          <w:rtl/>
        </w:rPr>
        <w:t>ויל"ד דדוקא לענין יבום תליא בהא דיש איסור כרת בביאה. אבל לענין קידושין לא נחשב 'ערוה', ותפסי קידושין.</w:t>
      </w:r>
    </w:p>
  </w:footnote>
  <w:footnote w:id="2903">
    <w:p w14:paraId="60A1667C" w14:textId="77777777" w:rsidR="006074A5" w:rsidRDefault="006074A5" w:rsidP="006074A5">
      <w:pPr>
        <w:pStyle w:val="Footnote"/>
        <w:bidi/>
      </w:pPr>
      <w:r>
        <w:rPr>
          <w:rStyle w:val="ac"/>
          <w:rtl/>
        </w:rPr>
        <w:footnoteRef/>
      </w:r>
      <w:r>
        <w:rPr>
          <w:rtl/>
        </w:rPr>
        <w:t>אך כת' דאם דין המלכות שהוא קונה ומקנה כגוי, דינא דמלכותא דינא.</w:t>
      </w:r>
    </w:p>
  </w:footnote>
  <w:footnote w:id="2904">
    <w:p w14:paraId="2AE587FA" w14:textId="77777777" w:rsidR="006074A5" w:rsidRDefault="006074A5" w:rsidP="006074A5">
      <w:pPr>
        <w:pStyle w:val="Footnote"/>
        <w:bidi/>
      </w:pPr>
      <w:r>
        <w:rPr>
          <w:rStyle w:val="ac"/>
          <w:rtl/>
        </w:rPr>
        <w:footnoteRef/>
      </w:r>
      <w:r>
        <w:rPr>
          <w:rtl/>
        </w:rPr>
        <w:t>[וכן כל ישראל מומר שחזר]. וה</w:t>
      </w:r>
      <w:r>
        <w:rPr>
          <w:b/>
          <w:bCs/>
          <w:rtl/>
        </w:rPr>
        <w:t>גר”א</w:t>
      </w:r>
      <w:r>
        <w:rPr>
          <w:rtl/>
        </w:rPr>
        <w:t xml:space="preserve"> (יו"ד רסח ל) ציין מקור לזה מדברי אבות דר' נתן (ח ח).</w:t>
      </w:r>
    </w:p>
  </w:footnote>
  <w:footnote w:id="2905">
    <w:p w14:paraId="429E4EFF" w14:textId="77777777" w:rsidR="006074A5" w:rsidRDefault="006074A5" w:rsidP="006074A5">
      <w:pPr>
        <w:pStyle w:val="Footnote"/>
        <w:bidi/>
      </w:pPr>
      <w:r>
        <w:rPr>
          <w:rStyle w:val="ac"/>
          <w:rtl/>
        </w:rPr>
        <w:footnoteRef/>
      </w:r>
      <w:r>
        <w:rPr>
          <w:rtl/>
        </w:rPr>
        <w:t>וע"כ לאו דוקא, ואף בלוקח מעכו"ם יש לו זכות להטביל בע"כ [דאל"כ יש ליישב קושיות הראשונים מלקמן מח:].</w:t>
      </w:r>
    </w:p>
  </w:footnote>
  <w:footnote w:id="2906">
    <w:p w14:paraId="4E4969EC" w14:textId="77777777" w:rsidR="006074A5" w:rsidRDefault="006074A5" w:rsidP="006074A5">
      <w:pPr>
        <w:pStyle w:val="Footnote"/>
        <w:bidi/>
      </w:pPr>
      <w:r>
        <w:rPr>
          <w:rStyle w:val="ac"/>
          <w:rtl/>
        </w:rPr>
        <w:footnoteRef/>
      </w:r>
      <w:r>
        <w:rPr>
          <w:rtl/>
        </w:rPr>
        <w:t>וה</w:t>
      </w:r>
      <w:r>
        <w:rPr>
          <w:b/>
          <w:bCs/>
          <w:rtl/>
        </w:rPr>
        <w:t>אבי עזרי</w:t>
      </w:r>
      <w:r>
        <w:rPr>
          <w:rtl/>
        </w:rPr>
        <w:t xml:space="preserve"> (ס"ה מלכים) ביאר דכל גירות הוה מעשה בי"ד, וה"נ ל"ש, ומהני בע”כ. (וע"ע בסמוך).</w:t>
      </w:r>
    </w:p>
  </w:footnote>
  <w:footnote w:id="2907">
    <w:p w14:paraId="7171620A" w14:textId="77777777" w:rsidR="006074A5" w:rsidRDefault="006074A5" w:rsidP="006074A5">
      <w:pPr>
        <w:pStyle w:val="Footnote"/>
        <w:bidi/>
      </w:pPr>
      <w:r>
        <w:rPr>
          <w:rStyle w:val="ac"/>
          <w:rtl/>
        </w:rPr>
        <w:footnoteRef/>
      </w:r>
      <w:r>
        <w:rPr>
          <w:rtl/>
        </w:rPr>
        <w:t>וה</w:t>
      </w:r>
      <w:r>
        <w:rPr>
          <w:b/>
          <w:bCs/>
          <w:rtl/>
        </w:rPr>
        <w:t>חזו"א</w:t>
      </w:r>
      <w:r>
        <w:rPr>
          <w:rtl/>
        </w:rPr>
        <w:t xml:space="preserve"> דן דבמה שמכר עצמו נחשב כקבלה בפני ג' [ולפ"ז דוקא מוכר עצמו, ויל”ד דקונה משבאי]. וכת' דל"מ בראשונים לחלק בזה.</w:t>
      </w:r>
    </w:p>
  </w:footnote>
  <w:footnote w:id="2908">
    <w:p w14:paraId="25CB1BA3" w14:textId="77777777" w:rsidR="006074A5" w:rsidRDefault="006074A5" w:rsidP="006074A5">
      <w:pPr>
        <w:pStyle w:val="Footnote"/>
        <w:bidi/>
      </w:pPr>
      <w:r>
        <w:rPr>
          <w:rStyle w:val="ac"/>
          <w:rtl/>
        </w:rPr>
        <w:footnoteRef/>
      </w:r>
      <w:r>
        <w:rPr>
          <w:rtl/>
        </w:rPr>
        <w:t>וכל הגוים הבאין להתגייר נימולים בטובתם ורצונן ויראת שמים, אבל עבדים נימולים שלא לטובתם ושלא ברצונם.</w:t>
      </w:r>
    </w:p>
  </w:footnote>
  <w:footnote w:id="2909">
    <w:p w14:paraId="7BEFF562" w14:textId="77777777" w:rsidR="006074A5" w:rsidRDefault="006074A5" w:rsidP="006074A5">
      <w:pPr>
        <w:pStyle w:val="Footnote"/>
        <w:bidi/>
      </w:pPr>
      <w:r>
        <w:rPr>
          <w:rStyle w:val="ac"/>
          <w:rtl/>
        </w:rPr>
        <w:footnoteRef/>
      </w:r>
      <w:r>
        <w:rPr>
          <w:rtl/>
        </w:rPr>
        <w:t>[וה</w:t>
      </w:r>
      <w:r>
        <w:rPr>
          <w:b/>
          <w:bCs/>
          <w:rtl/>
        </w:rPr>
        <w:t>גר"א</w:t>
      </w:r>
      <w:r>
        <w:rPr>
          <w:rtl/>
        </w:rPr>
        <w:t xml:space="preserve"> (רסז ט) ציין לדברי ה</w:t>
      </w:r>
      <w:r>
        <w:rPr>
          <w:b/>
          <w:bCs/>
          <w:rtl/>
        </w:rPr>
        <w:t>תוס</w:t>
      </w:r>
      <w:r>
        <w:rPr>
          <w:rtl/>
        </w:rPr>
        <w:t>' (מח. ד"ה אלא), דמשמע דלרבנן ניחא].</w:t>
      </w:r>
    </w:p>
  </w:footnote>
  <w:footnote w:id="2910">
    <w:p w14:paraId="3FA5A125" w14:textId="77777777" w:rsidR="006074A5" w:rsidRDefault="006074A5" w:rsidP="006074A5">
      <w:pPr>
        <w:pStyle w:val="Footnote"/>
        <w:bidi/>
      </w:pPr>
      <w:r>
        <w:rPr>
          <w:rStyle w:val="ac"/>
          <w:rtl/>
        </w:rPr>
        <w:footnoteRef/>
      </w:r>
      <w:r>
        <w:rPr>
          <w:rtl/>
        </w:rPr>
        <w:t>ולכן אמרי' שם דעבד שטבל מגעו ביין אוסרת, עד שישתקע שם ע"ז ממנו [דהיינו י"ב חודש]. והראשונים ביארו דבגר כיון דנתגייר מרצונו לאלתר אינו עושה יי"נ, ובזה פי' בתוס' דאף עבד הוה מרצונו, אלא דמ"מ הוה מחמת אימה.</w:t>
      </w:r>
    </w:p>
  </w:footnote>
  <w:footnote w:id="2911">
    <w:p w14:paraId="5023DBB0" w14:textId="77777777" w:rsidR="006074A5" w:rsidRDefault="006074A5" w:rsidP="006074A5">
      <w:pPr>
        <w:pStyle w:val="Footnote"/>
        <w:bidi/>
      </w:pPr>
      <w:r>
        <w:rPr>
          <w:rStyle w:val="ac"/>
          <w:rtl/>
        </w:rPr>
        <w:footnoteRef/>
      </w:r>
      <w:r>
        <w:rPr>
          <w:rtl/>
        </w:rPr>
        <w:t>וכתב דלא מסתבר דשייך בזה דין זכין [להיות עבד]. [ויל"ד דיש לו זכות ממון לענין זה, ואפשר דקטן כה"ג אינו מחוסר קבלת מצות].</w:t>
      </w:r>
    </w:p>
  </w:footnote>
  <w:footnote w:id="2912">
    <w:p w14:paraId="0AAFC136" w14:textId="77777777" w:rsidR="006074A5" w:rsidRDefault="006074A5" w:rsidP="006074A5">
      <w:pPr>
        <w:pStyle w:val="Footnote"/>
        <w:bidi/>
      </w:pPr>
      <w:r>
        <w:rPr>
          <w:rStyle w:val="ac"/>
          <w:rtl/>
        </w:rPr>
        <w:footnoteRef/>
      </w:r>
      <w:r>
        <w:rPr>
          <w:rtl/>
        </w:rPr>
        <w:t>ונפק"מ דמגעו ביין אוסר וכו'.</w:t>
      </w:r>
    </w:p>
  </w:footnote>
  <w:footnote w:id="2913">
    <w:p w14:paraId="1393F908" w14:textId="77777777" w:rsidR="006074A5" w:rsidRDefault="006074A5" w:rsidP="006074A5">
      <w:pPr>
        <w:pStyle w:val="Footnote"/>
        <w:bidi/>
      </w:pPr>
      <w:r>
        <w:rPr>
          <w:rStyle w:val="ac"/>
          <w:rtl/>
        </w:rPr>
        <w:footnoteRef/>
      </w:r>
      <w:r>
        <w:rPr>
          <w:rtl/>
        </w:rPr>
        <w:t>וצ"ב דיתחייב לשלם על השעבוד עבדות דקנין מעש"י.</w:t>
      </w:r>
    </w:p>
  </w:footnote>
  <w:footnote w:id="2914">
    <w:p w14:paraId="2EC5552A" w14:textId="77777777" w:rsidR="006074A5" w:rsidRDefault="006074A5" w:rsidP="006074A5">
      <w:pPr>
        <w:pStyle w:val="Footnote"/>
        <w:bidi/>
      </w:pPr>
      <w:r>
        <w:rPr>
          <w:rStyle w:val="ac"/>
          <w:rtl/>
        </w:rPr>
        <w:footnoteRef/>
      </w:r>
      <w:r>
        <w:rPr>
          <w:rtl/>
        </w:rPr>
        <w:t>ולפ"ז אינו זכות האדון, אלא דין על בי"ד לכופו לכאורה.</w:t>
      </w:r>
    </w:p>
  </w:footnote>
  <w:footnote w:id="2915">
    <w:p w14:paraId="6360FB01" w14:textId="77777777" w:rsidR="006074A5" w:rsidRDefault="006074A5" w:rsidP="006074A5">
      <w:pPr>
        <w:pStyle w:val="Footnote"/>
        <w:bidi/>
      </w:pPr>
      <w:r>
        <w:rPr>
          <w:rStyle w:val="ac"/>
          <w:rtl/>
        </w:rPr>
        <w:footnoteRef/>
      </w:r>
      <w:r>
        <w:rPr>
          <w:rtl/>
        </w:rPr>
        <w:t>והביא דכ”מ ב</w:t>
      </w:r>
      <w:r>
        <w:rPr>
          <w:b/>
          <w:bCs/>
          <w:rtl/>
        </w:rPr>
        <w:t>תוס</w:t>
      </w:r>
      <w:r>
        <w:rPr>
          <w:rtl/>
        </w:rPr>
        <w:t>' (ב”ק פח.).</w:t>
      </w:r>
    </w:p>
  </w:footnote>
  <w:footnote w:id="2916">
    <w:p w14:paraId="1A8A51E6" w14:textId="77777777" w:rsidR="006074A5" w:rsidRDefault="006074A5" w:rsidP="006074A5">
      <w:pPr>
        <w:pStyle w:val="Footnote"/>
        <w:bidi/>
      </w:pPr>
      <w:r>
        <w:rPr>
          <w:rStyle w:val="ac"/>
          <w:rtl/>
        </w:rPr>
        <w:footnoteRef/>
      </w:r>
      <w:r>
        <w:rPr>
          <w:rtl/>
        </w:rPr>
        <w:t>ו</w:t>
      </w:r>
      <w:r>
        <w:rPr>
          <w:b/>
          <w:bCs/>
          <w:rtl/>
        </w:rPr>
        <w:t>רע"א</w:t>
      </w:r>
      <w:r>
        <w:rPr>
          <w:rtl/>
        </w:rPr>
        <w:t xml:space="preserve"> הביא דכ"מ ב</w:t>
      </w:r>
      <w:r>
        <w:rPr>
          <w:b/>
          <w:bCs/>
          <w:rtl/>
        </w:rPr>
        <w:t>תוי"ט</w:t>
      </w:r>
      <w:r>
        <w:rPr>
          <w:rtl/>
        </w:rPr>
        <w:t xml:space="preserve"> (ברכות ג ג) דילפי' לפטור. ורע"א חלק דלכאו' אינו כן. וע"ע קובה"ע (יא ג) וגרי"ז (ערכין ג.).</w:t>
      </w:r>
    </w:p>
  </w:footnote>
  <w:footnote w:id="2917">
    <w:p w14:paraId="477493AF" w14:textId="77777777" w:rsidR="006074A5" w:rsidRDefault="006074A5" w:rsidP="006074A5">
      <w:pPr>
        <w:pStyle w:val="Footnote"/>
        <w:bidi/>
      </w:pPr>
      <w:r>
        <w:rPr>
          <w:rStyle w:val="ac"/>
          <w:rtl/>
        </w:rPr>
        <w:footnoteRef/>
      </w:r>
      <w:r>
        <w:rPr>
          <w:rtl/>
        </w:rPr>
        <w:t>וה</w:t>
      </w:r>
      <w:r>
        <w:rPr>
          <w:b/>
          <w:bCs/>
          <w:rtl/>
        </w:rPr>
        <w:t>משנ"ל</w:t>
      </w:r>
      <w:r>
        <w:rPr>
          <w:rtl/>
        </w:rPr>
        <w:t xml:space="preserve"> (שם) הביא ד</w:t>
      </w:r>
      <w:r>
        <w:rPr>
          <w:b/>
          <w:bCs/>
          <w:rtl/>
        </w:rPr>
        <w:t>תוס</w:t>
      </w:r>
      <w:r>
        <w:rPr>
          <w:rtl/>
        </w:rPr>
        <w:t>' (חגיגה ב) דנו האם עבד חייב בפריה ורביה, ואף דקי"ל (לקמן סה:) דאשה פטורה. וכת' די"ל דעבד הוקש לאשה רק לענין מצוות עשה שהזמן גרמא, ולא שאר פטורים. ונשים פטורות משום דאינם בכלל וכבשוה, אבל עבדים שפיר הוה בכלל. ובשאר פטורים לא ילפי' מאשה.</w:t>
      </w:r>
    </w:p>
    <w:p w14:paraId="5E528414" w14:textId="77777777" w:rsidR="006074A5" w:rsidRDefault="006074A5" w:rsidP="006074A5">
      <w:pPr>
        <w:pStyle w:val="Footnote"/>
        <w:bidi/>
      </w:pPr>
      <w:r>
        <w:rPr>
          <w:rtl/>
        </w:rPr>
        <w:tab/>
        <w:t xml:space="preserve">אך </w:t>
      </w:r>
      <w:r>
        <w:rPr>
          <w:b/>
          <w:bCs/>
          <w:rtl/>
        </w:rPr>
        <w:t>רע"א</w:t>
      </w:r>
      <w:r>
        <w:rPr>
          <w:rtl/>
        </w:rPr>
        <w:t xml:space="preserve"> (ברכות כ) הק' דמ"מ כיון דילפי' מאשה נימא דדיו כאשה, והאיך נילף טפי.</w:t>
      </w:r>
    </w:p>
  </w:footnote>
  <w:footnote w:id="2918">
    <w:p w14:paraId="1EA1D580" w14:textId="77777777" w:rsidR="006074A5" w:rsidRDefault="006074A5" w:rsidP="006074A5">
      <w:pPr>
        <w:pStyle w:val="Footnote"/>
        <w:bidi/>
      </w:pPr>
      <w:r>
        <w:rPr>
          <w:rStyle w:val="ac"/>
          <w:rtl/>
        </w:rPr>
        <w:footnoteRef/>
      </w:r>
      <w:r>
        <w:rPr>
          <w:rtl/>
        </w:rPr>
        <w:t>ובערב פסח חייבת למול את בנה ועבדה, מדין מצוות אכילת פסח [למ”ד דהוה חובה]. וביאר בזה הא דאי' (לקמן עא:) דאביו ואמו היו בבית האסורין. [וכ”מ בחי' ר”א מן ההר (לקמן שם) וע"ע מש"כ שם].</w:t>
      </w:r>
    </w:p>
  </w:footnote>
  <w:footnote w:id="2919">
    <w:p w14:paraId="418847FF" w14:textId="77777777" w:rsidR="006074A5" w:rsidRDefault="006074A5" w:rsidP="006074A5">
      <w:pPr>
        <w:pStyle w:val="Footnote"/>
        <w:bidi/>
      </w:pPr>
      <w:r>
        <w:rPr>
          <w:rStyle w:val="ac"/>
          <w:rtl/>
        </w:rPr>
        <w:footnoteRef/>
      </w:r>
      <w:r>
        <w:rPr>
          <w:rtl/>
        </w:rPr>
        <w:t>ושוב הקשה ה</w:t>
      </w:r>
      <w:r>
        <w:rPr>
          <w:b/>
          <w:bCs/>
          <w:rtl/>
        </w:rPr>
        <w:t>מנח”ח</w:t>
      </w:r>
      <w:r>
        <w:rPr>
          <w:rtl/>
        </w:rPr>
        <w:t xml:space="preserve"> (יז כד) דהוה מצוות עשה דהזמן גרמא [וכקו' תוס' לקמן עב: וקידושין כט. ד”ה אותו], ומנלן דנשים חייבות.</w:t>
      </w:r>
    </w:p>
  </w:footnote>
  <w:footnote w:id="2920">
    <w:p w14:paraId="243ED9D4" w14:textId="77777777" w:rsidR="006074A5" w:rsidRDefault="006074A5" w:rsidP="006074A5">
      <w:pPr>
        <w:pStyle w:val="Footnote"/>
        <w:bidi/>
      </w:pPr>
      <w:r>
        <w:rPr>
          <w:rStyle w:val="ac"/>
          <w:rtl/>
        </w:rPr>
        <w:footnoteRef/>
      </w:r>
      <w:r>
        <w:rPr>
          <w:rtl/>
        </w:rPr>
        <w:t>[ומילת בנה אינה מעכבת בפסח. ורק מילת עבדה. וע' לקמן עא:].</w:t>
      </w:r>
    </w:p>
  </w:footnote>
  <w:footnote w:id="2921">
    <w:p w14:paraId="1A376BD7" w14:textId="77777777" w:rsidR="006074A5" w:rsidRDefault="006074A5" w:rsidP="006074A5">
      <w:pPr>
        <w:pStyle w:val="Footnote"/>
        <w:bidi/>
      </w:pPr>
      <w:r>
        <w:rPr>
          <w:rStyle w:val="ac"/>
          <w:rtl/>
        </w:rPr>
        <w:footnoteRef/>
      </w:r>
      <w:r>
        <w:rPr>
          <w:rtl/>
        </w:rPr>
        <w:t>וה</w:t>
      </w:r>
      <w:r>
        <w:rPr>
          <w:b/>
          <w:bCs/>
          <w:rtl/>
        </w:rPr>
        <w:t>אחרונים</w:t>
      </w:r>
      <w:r>
        <w:rPr>
          <w:rtl/>
        </w:rPr>
        <w:t xml:space="preserve"> (שאג"א נג) הק' דכיון דהרמב"ם דרש ולא עבד קטן, דאינו מעכב באכילת פסח, א"כ האיך דרשי' בסוגיין 'עבד איש' לבע"כ.</w:t>
      </w:r>
    </w:p>
  </w:footnote>
  <w:footnote w:id="2922">
    <w:p w14:paraId="5B30D811" w14:textId="77777777" w:rsidR="006074A5" w:rsidRDefault="006074A5" w:rsidP="006074A5">
      <w:pPr>
        <w:pStyle w:val="Footnote"/>
        <w:bidi/>
      </w:pPr>
      <w:r>
        <w:rPr>
          <w:rStyle w:val="ac"/>
          <w:rtl/>
        </w:rPr>
        <w:footnoteRef/>
      </w:r>
      <w:r>
        <w:rPr>
          <w:rtl/>
        </w:rPr>
        <w:t>ומבואר בסוגיין דהיינו מילת גירות. וה</w:t>
      </w:r>
      <w:r>
        <w:rPr>
          <w:b/>
          <w:bCs/>
          <w:rtl/>
        </w:rPr>
        <w:t>חזו"א</w:t>
      </w:r>
      <w:r>
        <w:rPr>
          <w:rtl/>
        </w:rPr>
        <w:t xml:space="preserve"> כת' דאף כשאינו נכנס למצוות חייב למולו, משום מצוות מילת עבדו [וע”ע בע”ב]. וצ"ב א"כ נימא דגלי קרא דכה"ג אתה מל בע"כ, וכת' דמ”מ מסתבר לגמ' דאיירי הכא ע”י גירות.</w:t>
      </w:r>
    </w:p>
  </w:footnote>
  <w:footnote w:id="2923">
    <w:p w14:paraId="7BDDF085" w14:textId="77777777" w:rsidR="006074A5" w:rsidRDefault="006074A5" w:rsidP="006074A5">
      <w:pPr>
        <w:pStyle w:val="Footnote"/>
        <w:bidi/>
      </w:pPr>
      <w:r>
        <w:rPr>
          <w:rStyle w:val="ac"/>
          <w:rtl/>
        </w:rPr>
        <w:footnoteRef/>
      </w:r>
      <w:r>
        <w:rPr>
          <w:rtl/>
        </w:rPr>
        <w:t>ה</w:t>
      </w:r>
      <w:r>
        <w:rPr>
          <w:b/>
          <w:bCs/>
          <w:rtl/>
        </w:rPr>
        <w:t>רמב”ם</w:t>
      </w:r>
      <w:r>
        <w:rPr>
          <w:rtl/>
        </w:rPr>
        <w:t xml:space="preserve"> (מילה א ב) כת' דאין מלין בנו של אדם שלא מדעתו [אא”כ עבר וביטל בי”ד מלים]. ובפשוטו כוונת הרמב”ם דהוה מצווה על האב, ומסברא אדם אחר אינו רשאי לחטוף. אך בס' </w:t>
      </w:r>
      <w:r>
        <w:rPr>
          <w:b/>
          <w:bCs/>
          <w:rtl/>
        </w:rPr>
        <w:t>קרית מלך</w:t>
      </w:r>
      <w:r>
        <w:rPr>
          <w:rtl/>
        </w:rPr>
        <w:t xml:space="preserve"> ציין דהרמב"ם פי' כן בסוגיין, דנתמעט דאין מלין בע"כ דאב.</w:t>
      </w:r>
    </w:p>
  </w:footnote>
  <w:footnote w:id="2924">
    <w:p w14:paraId="0C61112F" w14:textId="77777777" w:rsidR="006074A5" w:rsidRDefault="006074A5" w:rsidP="006074A5">
      <w:pPr>
        <w:pStyle w:val="Footnote"/>
        <w:bidi/>
      </w:pPr>
      <w:r>
        <w:rPr>
          <w:rStyle w:val="ac"/>
          <w:rtl/>
        </w:rPr>
        <w:footnoteRef/>
      </w:r>
      <w:r>
        <w:rPr>
          <w:rtl/>
        </w:rPr>
        <w:t>דאי שחררו לכאו' אינו מעכב באכילת פסחו.</w:t>
      </w:r>
    </w:p>
  </w:footnote>
  <w:footnote w:id="2925">
    <w:p w14:paraId="02DCFD16" w14:textId="77777777" w:rsidR="006074A5" w:rsidRDefault="006074A5" w:rsidP="006074A5">
      <w:pPr>
        <w:pStyle w:val="Footnote"/>
        <w:bidi/>
      </w:pPr>
      <w:r>
        <w:rPr>
          <w:rStyle w:val="ac"/>
          <w:rtl/>
        </w:rPr>
        <w:footnoteRef/>
      </w:r>
      <w:r>
        <w:rPr>
          <w:rtl/>
        </w:rPr>
        <w:t>והביא כן מר' ישמעאל ור"ע (בע"ב).</w:t>
      </w:r>
    </w:p>
  </w:footnote>
  <w:footnote w:id="2926">
    <w:p w14:paraId="72E5F3A1" w14:textId="77777777" w:rsidR="006074A5" w:rsidRDefault="006074A5" w:rsidP="006074A5">
      <w:pPr>
        <w:pStyle w:val="Footnote"/>
        <w:bidi/>
      </w:pPr>
      <w:r>
        <w:rPr>
          <w:rStyle w:val="ac"/>
          <w:rtl/>
        </w:rPr>
        <w:footnoteRef/>
      </w:r>
      <w:r>
        <w:rPr>
          <w:rtl/>
        </w:rPr>
        <w:t>ועבר ולא מל.</w:t>
      </w:r>
    </w:p>
  </w:footnote>
  <w:footnote w:id="2927">
    <w:p w14:paraId="7AC061FF" w14:textId="77777777" w:rsidR="006074A5" w:rsidRDefault="006074A5" w:rsidP="006074A5">
      <w:pPr>
        <w:pStyle w:val="Footnote"/>
        <w:bidi/>
      </w:pPr>
      <w:r>
        <w:rPr>
          <w:rStyle w:val="ac"/>
          <w:rtl/>
        </w:rPr>
        <w:footnoteRef/>
      </w:r>
      <w:r>
        <w:rPr>
          <w:rtl/>
        </w:rPr>
        <w:t>ומהני קבלת האב לגירות הבן, ואי"צ קבלת מצוות.</w:t>
      </w:r>
    </w:p>
  </w:footnote>
  <w:footnote w:id="2928">
    <w:p w14:paraId="417C63CE" w14:textId="77777777" w:rsidR="006074A5" w:rsidRDefault="006074A5" w:rsidP="006074A5">
      <w:pPr>
        <w:pStyle w:val="Footnote"/>
        <w:bidi/>
      </w:pPr>
      <w:r>
        <w:rPr>
          <w:rStyle w:val="ac"/>
          <w:rtl/>
        </w:rPr>
        <w:footnoteRef/>
      </w:r>
      <w:r>
        <w:rPr>
          <w:rtl/>
        </w:rPr>
        <w:t>והוסיף דאותם שנולדו בקדושה והם גדולים, הרי הם בכרת, ואין מילתן תלוי בו לעכבו לאכול בפסח [ורק בקטן].</w:t>
      </w:r>
    </w:p>
  </w:footnote>
  <w:footnote w:id="2929">
    <w:p w14:paraId="5C0DAC87" w14:textId="77777777" w:rsidR="006074A5" w:rsidRDefault="006074A5" w:rsidP="006074A5">
      <w:pPr>
        <w:pStyle w:val="Footnote"/>
        <w:bidi/>
      </w:pPr>
      <w:r>
        <w:rPr>
          <w:rStyle w:val="ac"/>
          <w:rtl/>
        </w:rPr>
        <w:footnoteRef/>
      </w:r>
      <w:r>
        <w:rPr>
          <w:rtl/>
        </w:rPr>
        <w:t>דלל"ק ברש"י מבואר דצריך מיעוט על כל גר, שא"א בע"כ. אך לל"ב י"ל דדוקא בנו ס"ד דהוה ברשותו, ויש לו קנין עליו לגיירו.</w:t>
      </w:r>
    </w:p>
  </w:footnote>
  <w:footnote w:id="2930">
    <w:p w14:paraId="13A096F4" w14:textId="77777777" w:rsidR="006074A5" w:rsidRDefault="006074A5" w:rsidP="006074A5">
      <w:pPr>
        <w:pStyle w:val="Footnote"/>
        <w:bidi/>
      </w:pPr>
      <w:r>
        <w:rPr>
          <w:rStyle w:val="ac"/>
          <w:rtl/>
        </w:rPr>
        <w:footnoteRef/>
      </w:r>
      <w:r>
        <w:rPr>
          <w:rtl/>
        </w:rPr>
        <w:t>לבושי מרדכי (ב”ק לז ב), אבי עזרי (מלכים י). [וע' מש"כ בזה לעיל מה: ומו:].</w:t>
      </w:r>
    </w:p>
  </w:footnote>
  <w:footnote w:id="2931">
    <w:p w14:paraId="12CBD54D" w14:textId="77777777" w:rsidR="006074A5" w:rsidRDefault="006074A5" w:rsidP="006074A5">
      <w:pPr>
        <w:pStyle w:val="Footnote"/>
        <w:bidi/>
      </w:pPr>
      <w:r>
        <w:rPr>
          <w:rStyle w:val="ac"/>
          <w:rtl/>
        </w:rPr>
        <w:footnoteRef/>
      </w:r>
      <w:r>
        <w:rPr>
          <w:rtl/>
        </w:rPr>
        <w:t>ומכאן הראשונים למדו דכ"ד הרי"ף ושא"ר.</w:t>
      </w:r>
    </w:p>
  </w:footnote>
  <w:footnote w:id="2932">
    <w:p w14:paraId="30C2A977" w14:textId="77777777" w:rsidR="006074A5" w:rsidRDefault="006074A5" w:rsidP="006074A5">
      <w:pPr>
        <w:pStyle w:val="Footnote"/>
        <w:bidi/>
      </w:pPr>
      <w:r>
        <w:rPr>
          <w:rStyle w:val="ac"/>
          <w:rtl/>
        </w:rPr>
        <w:footnoteRef/>
      </w:r>
      <w:r>
        <w:rPr>
          <w:rtl/>
        </w:rPr>
        <w:t>וצ"ב האיך מהני אם חוזר בו מקבלת המצוות.</w:t>
      </w:r>
    </w:p>
  </w:footnote>
  <w:footnote w:id="2933">
    <w:p w14:paraId="36EC0070" w14:textId="77777777" w:rsidR="006074A5" w:rsidRDefault="006074A5" w:rsidP="006074A5">
      <w:pPr>
        <w:pStyle w:val="Footnote"/>
        <w:bidi/>
      </w:pPr>
      <w:r>
        <w:rPr>
          <w:rStyle w:val="ac"/>
          <w:rtl/>
        </w:rPr>
        <w:footnoteRef/>
      </w:r>
      <w:r>
        <w:rPr>
          <w:rtl/>
        </w:rPr>
        <w:t>וראיה זו הוא לדעת הראשונים דלא תפסי קידושין קודם טבילת שחרור (ע' לעיל מז:).</w:t>
      </w:r>
    </w:p>
  </w:footnote>
  <w:footnote w:id="2934">
    <w:p w14:paraId="16D9AA19" w14:textId="77777777" w:rsidR="006074A5" w:rsidRDefault="006074A5" w:rsidP="006074A5">
      <w:pPr>
        <w:pStyle w:val="Footnote"/>
        <w:bidi/>
      </w:pPr>
      <w:r>
        <w:rPr>
          <w:rStyle w:val="ac"/>
          <w:rtl/>
        </w:rPr>
        <w:footnoteRef/>
      </w:r>
      <w:r>
        <w:rPr>
          <w:rtl/>
        </w:rPr>
        <w:t>וכמו שגר בעלמא לכתחילה צריך ג' בטבילה. ומבואר דכוונתו לשיטתו (לעיל מה:) דלאחר שקיבל מצוות בפני ג', צריך בטבילה ג' לכתחילה. [אך הכא לא שייך הסברא דלכחילה בעינן קבלת מצוות בשעת טבילה].</w:t>
      </w:r>
    </w:p>
  </w:footnote>
  <w:footnote w:id="2935">
    <w:p w14:paraId="375F39A7" w14:textId="77777777" w:rsidR="006074A5" w:rsidRDefault="006074A5" w:rsidP="006074A5">
      <w:pPr>
        <w:pStyle w:val="Footnote"/>
        <w:bidi/>
      </w:pPr>
      <w:r>
        <w:rPr>
          <w:rStyle w:val="ac"/>
          <w:rtl/>
        </w:rPr>
        <w:footnoteRef/>
      </w:r>
      <w:r>
        <w:rPr>
          <w:rtl/>
        </w:rPr>
        <w:t>וה</w:t>
      </w:r>
      <w:r>
        <w:rPr>
          <w:b/>
          <w:bCs/>
          <w:rtl/>
        </w:rPr>
        <w:t xml:space="preserve">גר"א </w:t>
      </w:r>
      <w:r>
        <w:rPr>
          <w:rtl/>
        </w:rPr>
        <w:t>ציין דאמרי' א' גר וכו', וקאי אטבילה. [משמע דהדין ג' מדיני הטבילה].</w:t>
      </w:r>
    </w:p>
  </w:footnote>
  <w:footnote w:id="2936">
    <w:p w14:paraId="5B339AD3" w14:textId="77777777" w:rsidR="006074A5" w:rsidRDefault="006074A5" w:rsidP="006074A5">
      <w:pPr>
        <w:pStyle w:val="Footnote"/>
        <w:bidi/>
      </w:pPr>
      <w:r>
        <w:rPr>
          <w:rStyle w:val="ac"/>
          <w:rtl/>
        </w:rPr>
        <w:footnoteRef/>
      </w:r>
      <w:r>
        <w:rPr>
          <w:rtl/>
        </w:rPr>
        <w:t>וה</w:t>
      </w:r>
      <w:r>
        <w:rPr>
          <w:b/>
          <w:bCs/>
          <w:rtl/>
        </w:rPr>
        <w:t>רמ"ך</w:t>
      </w:r>
      <w:r>
        <w:rPr>
          <w:rtl/>
        </w:rPr>
        <w:t xml:space="preserve"> השיג ולא נהירא, דכיון דקיבל מצוות בשעת טבילת עבדות בפני ג' וישראל גמור הוא, ולא מיקרי זה הטבילה גירות. ולא כתיב בה משפט, א"כ למה לה עוד ג'.</w:t>
      </w:r>
    </w:p>
  </w:footnote>
  <w:footnote w:id="2937">
    <w:p w14:paraId="65C784B7" w14:textId="77777777" w:rsidR="006074A5" w:rsidRDefault="006074A5" w:rsidP="006074A5">
      <w:pPr>
        <w:pStyle w:val="Footnote"/>
        <w:bidi/>
      </w:pPr>
      <w:r>
        <w:rPr>
          <w:rStyle w:val="ac"/>
          <w:rtl/>
        </w:rPr>
        <w:footnoteRef/>
      </w:r>
      <w:r>
        <w:rPr>
          <w:rtl/>
        </w:rPr>
        <w:t>וה</w:t>
      </w:r>
      <w:r>
        <w:rPr>
          <w:b/>
          <w:bCs/>
          <w:rtl/>
        </w:rPr>
        <w:t>ריטב"א</w:t>
      </w:r>
      <w:r>
        <w:rPr>
          <w:rtl/>
        </w:rPr>
        <w:t xml:space="preserve"> (גיטין לח. בהשמטות) כת' דאע"ג דעבד כנעני אין לו יד לזכות בעצמו, ול"מ מחילה דהוה כמתנה ואין לו יד לזכות, דידו כיד רבו. אבל במפקיר כיון דנסתלק זכותיה ממנו, הו"ל כמי שאין לו בעל וזכי בנפשיה.</w:t>
      </w:r>
    </w:p>
  </w:footnote>
  <w:footnote w:id="2938">
    <w:p w14:paraId="323B482F" w14:textId="77777777" w:rsidR="006074A5" w:rsidRDefault="006074A5" w:rsidP="006074A5">
      <w:pPr>
        <w:pStyle w:val="Footnote"/>
        <w:bidi/>
      </w:pPr>
      <w:r>
        <w:rPr>
          <w:rStyle w:val="ac"/>
          <w:rtl/>
        </w:rPr>
        <w:footnoteRef/>
      </w:r>
      <w:r>
        <w:rPr>
          <w:rtl/>
        </w:rPr>
        <w:t>דאילו בפשטות הגמ' והא קא גדיל הוה טעם להתיר דוקא לאחר שכבר גדל. ותוס' הק' דיכול לקצר במספריים, ותוס' הוכיחו דאף לקצר קצת אסור.</w:t>
      </w:r>
    </w:p>
  </w:footnote>
  <w:footnote w:id="2939">
    <w:p w14:paraId="274CF58A" w14:textId="77777777" w:rsidR="006074A5" w:rsidRDefault="006074A5" w:rsidP="006074A5">
      <w:pPr>
        <w:pStyle w:val="Footnote"/>
        <w:bidi/>
      </w:pPr>
      <w:r>
        <w:rPr>
          <w:rStyle w:val="ac"/>
          <w:rtl/>
        </w:rPr>
        <w:footnoteRef/>
      </w:r>
      <w:r>
        <w:rPr>
          <w:rtl/>
        </w:rPr>
        <w:t>ויל"ד אילו ס"ל דיש בזה משום צער, ואינו מתכוון ליפוי, יהא מותר. וקצת משמע דבעי שיהא צד הצלה, כדי לפרש את המעשה.</w:t>
      </w:r>
    </w:p>
  </w:footnote>
  <w:footnote w:id="2940">
    <w:p w14:paraId="4E746707" w14:textId="77777777" w:rsidR="006074A5" w:rsidRDefault="006074A5" w:rsidP="006074A5">
      <w:pPr>
        <w:pStyle w:val="Footnote"/>
        <w:bidi/>
      </w:pPr>
      <w:r>
        <w:rPr>
          <w:rStyle w:val="ac"/>
          <w:rtl/>
        </w:rPr>
        <w:footnoteRef/>
      </w:r>
      <w:r>
        <w:rPr>
          <w:rtl/>
        </w:rPr>
        <w:t>דרשי' ירח א', ימים ב' [חדשים], הרי ג' חדשים.</w:t>
      </w:r>
    </w:p>
  </w:footnote>
  <w:footnote w:id="2941">
    <w:p w14:paraId="62A164B6" w14:textId="77777777" w:rsidR="006074A5" w:rsidRDefault="006074A5" w:rsidP="006074A5">
      <w:pPr>
        <w:pStyle w:val="Footnote"/>
        <w:bidi/>
      </w:pPr>
      <w:r>
        <w:rPr>
          <w:rStyle w:val="ac"/>
          <w:rtl/>
        </w:rPr>
        <w:footnoteRef/>
      </w:r>
      <w:r>
        <w:rPr>
          <w:rtl/>
        </w:rPr>
        <w:t>וב</w:t>
      </w:r>
      <w:r>
        <w:rPr>
          <w:b/>
          <w:bCs/>
          <w:rtl/>
        </w:rPr>
        <w:t>ספרי</w:t>
      </w:r>
      <w:r>
        <w:rPr>
          <w:rtl/>
        </w:rPr>
        <w:t xml:space="preserve"> אי' כדי בגדי נויה שהיו עליה וחמדה, ותיקון הוולד. [משמע דהוה כמה טעמים בדאורייתא]. וב</w:t>
      </w:r>
      <w:r>
        <w:rPr>
          <w:b/>
          <w:bCs/>
          <w:rtl/>
        </w:rPr>
        <w:t>תרגום יונתן</w:t>
      </w:r>
      <w:r>
        <w:rPr>
          <w:rtl/>
        </w:rPr>
        <w:t xml:space="preserve"> (שם כא יג) ותשהי ג' ירחין דתדע אי מעברא.</w:t>
      </w:r>
    </w:p>
  </w:footnote>
  <w:footnote w:id="2942">
    <w:p w14:paraId="64A18CE8" w14:textId="77777777" w:rsidR="006074A5" w:rsidRDefault="006074A5" w:rsidP="006074A5">
      <w:pPr>
        <w:pStyle w:val="Footnote"/>
        <w:bidi/>
      </w:pPr>
      <w:r>
        <w:rPr>
          <w:rStyle w:val="ac"/>
          <w:rtl/>
        </w:rPr>
        <w:footnoteRef/>
      </w:r>
      <w:r>
        <w:rPr>
          <w:rtl/>
        </w:rPr>
        <w:t>ועפ"ז יש סמך דאורייתא לדין הבחנה [וע' מש"כ לעיל מב.].</w:t>
      </w:r>
    </w:p>
  </w:footnote>
  <w:footnote w:id="2943">
    <w:p w14:paraId="24A7849D" w14:textId="77777777" w:rsidR="006074A5" w:rsidRDefault="006074A5" w:rsidP="006074A5">
      <w:pPr>
        <w:pStyle w:val="Footnote"/>
        <w:bidi/>
      </w:pPr>
      <w:r>
        <w:rPr>
          <w:rStyle w:val="ac"/>
          <w:rtl/>
        </w:rPr>
        <w:footnoteRef/>
      </w:r>
      <w:r>
        <w:rPr>
          <w:rtl/>
        </w:rPr>
        <w:t>וה</w:t>
      </w:r>
      <w:r>
        <w:rPr>
          <w:b/>
          <w:bCs/>
          <w:rtl/>
        </w:rPr>
        <w:t>אמר"מ</w:t>
      </w:r>
      <w:r>
        <w:rPr>
          <w:rtl/>
        </w:rPr>
        <w:t xml:space="preserve"> (כב כג) נסתפק דלפ"ז אם חזר וטבל לעבדות יצטרך הטפת דם ברית, דהמילה הראשונה לא הוה מעשה גירות [למש"כ ה</w:t>
      </w:r>
      <w:r>
        <w:rPr>
          <w:b/>
          <w:bCs/>
          <w:rtl/>
        </w:rPr>
        <w:t>רמב"ן</w:t>
      </w:r>
      <w:r>
        <w:rPr>
          <w:rtl/>
        </w:rPr>
        <w:t xml:space="preserve"> מז: בשם התוס', אבל למש"כ הרמב"ן שם דכל שנעשה למצוות מילה סגי בזה].</w:t>
      </w:r>
    </w:p>
  </w:footnote>
  <w:footnote w:id="2944">
    <w:p w14:paraId="499736D4" w14:textId="77777777" w:rsidR="006074A5" w:rsidRDefault="006074A5" w:rsidP="006074A5">
      <w:pPr>
        <w:pStyle w:val="Footnote"/>
        <w:bidi/>
      </w:pPr>
      <w:r>
        <w:rPr>
          <w:rStyle w:val="ac"/>
          <w:rtl/>
        </w:rPr>
        <w:footnoteRef/>
      </w:r>
      <w:r>
        <w:rPr>
          <w:rtl/>
        </w:rPr>
        <w:t>וכתב דלא מסתבר דנחשב 'זכות' [להיות עבד] דנימא דמהני מדין זכין, וכדאי' בכתובות יא.</w:t>
      </w:r>
    </w:p>
  </w:footnote>
  <w:footnote w:id="2945">
    <w:p w14:paraId="491F3AE8" w14:textId="77777777" w:rsidR="006074A5" w:rsidRDefault="006074A5" w:rsidP="006074A5">
      <w:pPr>
        <w:pStyle w:val="Footnote"/>
        <w:bidi/>
      </w:pPr>
      <w:r>
        <w:rPr>
          <w:rStyle w:val="ac"/>
          <w:rtl/>
        </w:rPr>
        <w:footnoteRef/>
      </w:r>
      <w:r>
        <w:rPr>
          <w:rtl/>
        </w:rPr>
        <w:t>ועוד אברהם נצטווה, ואף דבימיו לא היה עדיין גירות.</w:t>
      </w:r>
    </w:p>
  </w:footnote>
  <w:footnote w:id="2946">
    <w:p w14:paraId="4E23B298" w14:textId="77777777" w:rsidR="006074A5" w:rsidRDefault="006074A5" w:rsidP="006074A5">
      <w:pPr>
        <w:pStyle w:val="Footnote"/>
        <w:bidi/>
      </w:pPr>
      <w:r>
        <w:rPr>
          <w:rStyle w:val="ac"/>
          <w:rtl/>
        </w:rPr>
        <w:footnoteRef/>
      </w:r>
      <w:r>
        <w:rPr>
          <w:rtl/>
        </w:rPr>
        <w:t>[וצ"ב דקודם מילה הוה עכו"ם גמור].</w:t>
      </w:r>
    </w:p>
  </w:footnote>
  <w:footnote w:id="2947">
    <w:p w14:paraId="4A8742AA" w14:textId="77777777" w:rsidR="006074A5" w:rsidRDefault="006074A5" w:rsidP="006074A5">
      <w:pPr>
        <w:pStyle w:val="Footnote"/>
        <w:bidi/>
      </w:pPr>
      <w:r>
        <w:rPr>
          <w:rStyle w:val="ac"/>
          <w:rtl/>
        </w:rPr>
        <w:footnoteRef/>
      </w:r>
      <w:r>
        <w:rPr>
          <w:rtl/>
        </w:rPr>
        <w:t>אפי' בנולד משפחה שטבלה, דנתחייב כבר במצוות.</w:t>
      </w:r>
    </w:p>
  </w:footnote>
  <w:footnote w:id="2948">
    <w:p w14:paraId="42155E9B" w14:textId="77777777" w:rsidR="006074A5" w:rsidRDefault="006074A5" w:rsidP="006074A5">
      <w:pPr>
        <w:pStyle w:val="Footnote"/>
        <w:bidi/>
      </w:pPr>
      <w:r>
        <w:rPr>
          <w:rStyle w:val="ac"/>
          <w:rtl/>
        </w:rPr>
        <w:footnoteRef/>
      </w:r>
      <w:r>
        <w:rPr>
          <w:rtl/>
        </w:rPr>
        <w:t>וכן ה</w:t>
      </w:r>
      <w:r>
        <w:rPr>
          <w:b/>
          <w:bCs/>
          <w:rtl/>
        </w:rPr>
        <w:t>חזו"א</w:t>
      </w:r>
      <w:r>
        <w:rPr>
          <w:rtl/>
        </w:rPr>
        <w:t xml:space="preserve"> (קלד אות א) נסתפק דמצוות המילה הוה על רבו, והעבד אינו מחוייב, ומש"ה לא יעכב בגירות. ודחה דלא משמע כן.</w:t>
      </w:r>
    </w:p>
  </w:footnote>
  <w:footnote w:id="2949">
    <w:p w14:paraId="48DB3AE6" w14:textId="77777777" w:rsidR="006074A5" w:rsidRDefault="006074A5" w:rsidP="006074A5">
      <w:pPr>
        <w:pStyle w:val="Footnote"/>
        <w:bidi/>
      </w:pPr>
      <w:r>
        <w:rPr>
          <w:rStyle w:val="ac"/>
          <w:rtl/>
        </w:rPr>
        <w:footnoteRef/>
      </w:r>
      <w:r>
        <w:rPr>
          <w:rtl/>
        </w:rPr>
        <w:t>כי היכי דלא מצינו הרצאת דמים בעבד.</w:t>
      </w:r>
    </w:p>
  </w:footnote>
  <w:footnote w:id="2950">
    <w:p w14:paraId="1D6F5430" w14:textId="77777777" w:rsidR="006074A5" w:rsidRDefault="006074A5" w:rsidP="006074A5">
      <w:pPr>
        <w:pStyle w:val="Footnote"/>
        <w:bidi/>
      </w:pPr>
      <w:r>
        <w:rPr>
          <w:rStyle w:val="ac"/>
          <w:rtl/>
        </w:rPr>
        <w:footnoteRef/>
      </w:r>
      <w:r>
        <w:rPr>
          <w:rtl/>
        </w:rPr>
        <w:t>אך בראשונים לא משמע כן. וה</w:t>
      </w:r>
      <w:r>
        <w:rPr>
          <w:b/>
          <w:bCs/>
          <w:rtl/>
        </w:rPr>
        <w:t>תוס' הרא"ש</w:t>
      </w:r>
      <w:r>
        <w:rPr>
          <w:rtl/>
        </w:rPr>
        <w:t xml:space="preserve"> (מז:) מבואר דבשעת עבדות ע"כ מלו, דאל"כ אינו עבד.</w:t>
      </w:r>
    </w:p>
  </w:footnote>
  <w:footnote w:id="2951">
    <w:p w14:paraId="52FD659E" w14:textId="77777777" w:rsidR="006074A5" w:rsidRDefault="006074A5" w:rsidP="006074A5">
      <w:pPr>
        <w:pStyle w:val="Footnote"/>
        <w:bidi/>
      </w:pPr>
      <w:r>
        <w:rPr>
          <w:rStyle w:val="ac"/>
          <w:rtl/>
        </w:rPr>
        <w:footnoteRef/>
      </w:r>
      <w:r>
        <w:rPr>
          <w:rtl/>
        </w:rPr>
        <w:t>וב</w:t>
      </w:r>
      <w:r>
        <w:rPr>
          <w:b/>
          <w:bCs/>
          <w:rtl/>
        </w:rPr>
        <w:t>זכרון שמואל</w:t>
      </w:r>
      <w:r>
        <w:rPr>
          <w:rtl/>
        </w:rPr>
        <w:t xml:space="preserve"> (מכתב יא) הביא סמך לזה מדברי </w:t>
      </w:r>
      <w:r>
        <w:rPr>
          <w:b/>
          <w:bCs/>
          <w:rtl/>
        </w:rPr>
        <w:t>תשוב' ר"ע גאון</w:t>
      </w:r>
      <w:r>
        <w:rPr>
          <w:rtl/>
        </w:rPr>
        <w:t xml:space="preserve"> דהלוקח עבד חייב 'להתייהד' לאלתר, ואם אינו מל עד י"ב חודש מגלגל עמו וכו'. [ופי' להתייהד גירות ע"י טבילה]. והדבר תימה א"כ היאך חוזר ומוכרו לעכו"ם. וצ"ל דהיינו לקבל עליו ז' מצוות, וכמ"ש ה</w:t>
      </w:r>
      <w:r>
        <w:rPr>
          <w:b/>
          <w:bCs/>
          <w:rtl/>
        </w:rPr>
        <w:t>רמב"ם</w:t>
      </w:r>
      <w:r>
        <w:rPr>
          <w:rtl/>
        </w:rPr>
        <w:t xml:space="preserve"> (שבת כ יד) דאם עדיין עובד ע"ז אסור להחזיקו אפי' יום א' בא"י.</w:t>
      </w:r>
    </w:p>
  </w:footnote>
  <w:footnote w:id="2952">
    <w:p w14:paraId="5E30305E" w14:textId="77777777" w:rsidR="006074A5" w:rsidRDefault="006074A5" w:rsidP="006074A5">
      <w:pPr>
        <w:pStyle w:val="Footnote"/>
        <w:bidi/>
      </w:pPr>
      <w:r>
        <w:rPr>
          <w:rStyle w:val="ac"/>
          <w:rtl/>
        </w:rPr>
        <w:footnoteRef/>
      </w:r>
      <w:r>
        <w:rPr>
          <w:rtl/>
        </w:rPr>
        <w:t xml:space="preserve">אבל דעת </w:t>
      </w:r>
      <w:r>
        <w:rPr>
          <w:b/>
          <w:bCs/>
          <w:rtl/>
        </w:rPr>
        <w:t>רבינו</w:t>
      </w:r>
      <w:r>
        <w:rPr>
          <w:rtl/>
        </w:rPr>
        <w:t xml:space="preserve"> </w:t>
      </w:r>
      <w:r>
        <w:rPr>
          <w:b/>
          <w:bCs/>
          <w:rtl/>
        </w:rPr>
        <w:t>ירוחם</w:t>
      </w:r>
      <w:r>
        <w:rPr>
          <w:rtl/>
        </w:rPr>
        <w:t xml:space="preserve"> (הו' בש"ך רסז ו) דכל מילת עבדים לא דחי שבת. דרק מילת ישראל דוחה שבת. </w:t>
      </w:r>
      <w:r>
        <w:rPr>
          <w:b/>
          <w:bCs/>
          <w:rtl/>
        </w:rPr>
        <w:t>והאחרונים</w:t>
      </w:r>
      <w:r>
        <w:rPr>
          <w:rtl/>
        </w:rPr>
        <w:t xml:space="preserve"> תמהו דבגמ' (שבת קלה:) להדיא דיליד ביתו [משפחה שטבלה] דחי לשבת.</w:t>
      </w:r>
    </w:p>
  </w:footnote>
  <w:footnote w:id="2953">
    <w:p w14:paraId="79BC7B68" w14:textId="77777777" w:rsidR="006074A5" w:rsidRDefault="006074A5" w:rsidP="006074A5">
      <w:pPr>
        <w:pStyle w:val="Footnote"/>
        <w:bidi/>
      </w:pPr>
      <w:r>
        <w:rPr>
          <w:rStyle w:val="ac"/>
          <w:rtl/>
        </w:rPr>
        <w:footnoteRef/>
      </w:r>
      <w:r>
        <w:rPr>
          <w:rtl/>
        </w:rPr>
        <w:t>ואף בקטן תוך ז' דעדיין לא חל שם 'ערל' (ע' לקמן ע ועא.). [ואפשר דבזה נסתפק הגר”ח].</w:t>
      </w:r>
    </w:p>
  </w:footnote>
  <w:footnote w:id="2954">
    <w:p w14:paraId="4ED74F40" w14:textId="77777777" w:rsidR="006074A5" w:rsidRDefault="006074A5" w:rsidP="006074A5">
      <w:pPr>
        <w:pStyle w:val="Footnote"/>
        <w:bidi/>
      </w:pPr>
      <w:r>
        <w:rPr>
          <w:rStyle w:val="ac"/>
          <w:rtl/>
        </w:rPr>
        <w:footnoteRef/>
      </w:r>
      <w:r>
        <w:rPr>
          <w:rtl/>
        </w:rPr>
        <w:t>ועי"ש שפי' דיש ב' גדרים בדין 'יום השמיני'.</w:t>
      </w:r>
    </w:p>
  </w:footnote>
  <w:footnote w:id="2955">
    <w:p w14:paraId="35081781" w14:textId="77777777" w:rsidR="006074A5" w:rsidRDefault="006074A5" w:rsidP="006074A5">
      <w:pPr>
        <w:pStyle w:val="Footnote"/>
        <w:bidi/>
      </w:pPr>
      <w:r>
        <w:rPr>
          <w:rStyle w:val="ac"/>
          <w:rtl/>
        </w:rPr>
        <w:footnoteRef/>
      </w:r>
      <w:r>
        <w:rPr>
          <w:rtl/>
        </w:rPr>
        <w:t>אבל ה</w:t>
      </w:r>
      <w:r>
        <w:rPr>
          <w:b/>
          <w:bCs/>
          <w:rtl/>
        </w:rPr>
        <w:t xml:space="preserve">גר"ח </w:t>
      </w:r>
      <w:r>
        <w:rPr>
          <w:rtl/>
        </w:rPr>
        <w:t>נקט דמהני הגירות על הקטן, ע"י מילה וטבילה. ובעבד קטן אי"צ קבלת מצוות. [דיש זכות לאדון לכופו, או מדין זכין].</w:t>
      </w:r>
    </w:p>
  </w:footnote>
  <w:footnote w:id="2956">
    <w:p w14:paraId="127A6DC2" w14:textId="77777777" w:rsidR="006074A5" w:rsidRDefault="006074A5" w:rsidP="006074A5">
      <w:pPr>
        <w:pStyle w:val="Footnote"/>
        <w:bidi/>
      </w:pPr>
      <w:r>
        <w:rPr>
          <w:rStyle w:val="ac"/>
          <w:rtl/>
        </w:rPr>
        <w:footnoteRef/>
      </w:r>
      <w:r>
        <w:rPr>
          <w:rtl/>
        </w:rPr>
        <w:t>וה</w:t>
      </w:r>
      <w:r>
        <w:rPr>
          <w:b/>
          <w:bCs/>
          <w:rtl/>
        </w:rPr>
        <w:t>ש"ך</w:t>
      </w:r>
      <w:r>
        <w:rPr>
          <w:rtl/>
        </w:rPr>
        <w:t xml:space="preserve"> חלק דלדבר מצווה מותר.</w:t>
      </w:r>
    </w:p>
  </w:footnote>
  <w:footnote w:id="2957">
    <w:p w14:paraId="7DD1604C" w14:textId="77777777" w:rsidR="006074A5" w:rsidRDefault="006074A5" w:rsidP="006074A5">
      <w:pPr>
        <w:pStyle w:val="Footnote"/>
        <w:bidi/>
      </w:pPr>
      <w:r>
        <w:rPr>
          <w:rStyle w:val="ac"/>
          <w:rtl/>
        </w:rPr>
        <w:footnoteRef/>
      </w:r>
      <w:r>
        <w:rPr>
          <w:rtl/>
        </w:rPr>
        <w:t>וצ"ב אמאי תוס' תלו הדבר בצווי לאברהם, כל א' יש צווי עליו.</w:t>
      </w:r>
    </w:p>
  </w:footnote>
  <w:footnote w:id="2958">
    <w:p w14:paraId="646845FC"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ע"פ דברי ה</w:t>
      </w:r>
      <w:r>
        <w:rPr>
          <w:b/>
          <w:bCs/>
          <w:rtl/>
        </w:rPr>
        <w:t>מרדכי</w:t>
      </w:r>
      <w:r>
        <w:rPr>
          <w:rtl/>
        </w:rPr>
        <w:t xml:space="preserve"> (ציצית תתקמד, הו' בפוסקים או"ח יג ג) דהיכא דנפסק חוטי הציצית בשבת, כיון דא"א לקשור בשבת רשאי ללבוש טליתו בלא ציצית. דאין איסור ללבוש בגד בלא ציצית, אלא דמצווה להטיל בו ציצית. [וה"נ אין איסור שיהא לו עבד ערל, אלא דהוה מצוות עשה למולו. והיכא דאנוס בדבר אי"צ לסלקו שלא יהא לו עבד ערל].</w:t>
      </w:r>
    </w:p>
    <w:p w14:paraId="0F51B07D" w14:textId="77777777" w:rsidR="006074A5" w:rsidRDefault="006074A5" w:rsidP="006074A5">
      <w:pPr>
        <w:pStyle w:val="Footnote"/>
        <w:bidi/>
      </w:pPr>
      <w:r>
        <w:rPr>
          <w:rtl/>
        </w:rPr>
        <w:tab/>
        <w:t>[ויש שדנו דהכא אינו אנוס, דרשאי למולו בע"כ, אלא דעצה טובה שלא למולו, וכמש"כ תוס' (בע"א)].</w:t>
      </w:r>
    </w:p>
  </w:footnote>
  <w:footnote w:id="2959">
    <w:p w14:paraId="4BEC5A04" w14:textId="77777777" w:rsidR="006074A5" w:rsidRDefault="006074A5" w:rsidP="006074A5">
      <w:pPr>
        <w:pStyle w:val="Footnote"/>
        <w:bidi/>
      </w:pPr>
      <w:r>
        <w:rPr>
          <w:rStyle w:val="ac"/>
          <w:rtl/>
        </w:rPr>
        <w:footnoteRef/>
      </w:r>
      <w:r>
        <w:rPr>
          <w:rtl/>
        </w:rPr>
        <w:t>וכ"ד ה</w:t>
      </w:r>
      <w:r>
        <w:rPr>
          <w:b/>
          <w:bCs/>
          <w:rtl/>
        </w:rPr>
        <w:t>מג"א</w:t>
      </w:r>
      <w:r>
        <w:rPr>
          <w:rtl/>
        </w:rPr>
        <w:t xml:space="preserve"> (יג ח) דקי"ל כדברי המרדכי דוקא במקום כבוד הבריות, דעכ"פ מדרבנן אסור ללבוש בגד בלא ציצית.  </w:t>
      </w:r>
    </w:p>
  </w:footnote>
  <w:footnote w:id="2960">
    <w:p w14:paraId="4546248B" w14:textId="77777777" w:rsidR="006074A5" w:rsidRDefault="006074A5" w:rsidP="006074A5">
      <w:pPr>
        <w:pStyle w:val="Footnote"/>
        <w:bidi/>
      </w:pPr>
      <w:r>
        <w:rPr>
          <w:rStyle w:val="ac"/>
          <w:rtl/>
        </w:rPr>
        <w:footnoteRef/>
      </w:r>
      <w:r>
        <w:rPr>
          <w:rtl/>
        </w:rPr>
        <w:t>וקאי לשיטתו [הו' לעיל מז:] דעבד בעי קבלת מצוות.</w:t>
      </w:r>
    </w:p>
  </w:footnote>
  <w:footnote w:id="2961">
    <w:p w14:paraId="2EF4C136" w14:textId="77777777" w:rsidR="006074A5" w:rsidRDefault="006074A5" w:rsidP="006074A5">
      <w:pPr>
        <w:pStyle w:val="Footnote"/>
        <w:bidi/>
      </w:pPr>
      <w:r>
        <w:rPr>
          <w:rStyle w:val="ac"/>
          <w:rtl/>
        </w:rPr>
        <w:footnoteRef/>
      </w:r>
      <w:r>
        <w:rPr>
          <w:rtl/>
        </w:rPr>
        <w:t>וכן הפשטות בכל מקום דהעבד מצווה ונענש. אמנם ב</w:t>
      </w:r>
      <w:r>
        <w:rPr>
          <w:b/>
          <w:bCs/>
          <w:rtl/>
        </w:rPr>
        <w:t>תשו' הגאונים</w:t>
      </w:r>
      <w:r>
        <w:rPr>
          <w:rtl/>
        </w:rPr>
        <w:t xml:space="preserve"> (שערי צדק ו ט) כת' דעבד שברח [או נשבה] ואכל גיעולי נכרים ושתה יין נסך אין מלקין אותו. דלאו ישראל הוא דאיפשר להלקותו על עבירות שעבר. אלא עבד כבהמה דמי, כל זמן שהוא תחת יד רבו חייב בו להנהיגו בכל מצות ושביתות שנוהגות בעבדים, כשם שחייב בן ישראל במצות בהמתו. וכיון שברח אין מחוייב במצות. ואפ"ה כשחזר בו חוזר למצותו כשאר עבדים. [ואי"צ לחזור ולטובלו, וכ”פ השו”ע (יו"ד רסז ח)]. וצע”ג.</w:t>
      </w:r>
    </w:p>
  </w:footnote>
  <w:footnote w:id="2962">
    <w:p w14:paraId="7EA510DA" w14:textId="77777777" w:rsidR="006074A5" w:rsidRDefault="006074A5" w:rsidP="006074A5">
      <w:pPr>
        <w:pStyle w:val="Footnote"/>
        <w:bidi/>
      </w:pPr>
      <w:r>
        <w:rPr>
          <w:rStyle w:val="ac"/>
          <w:rtl/>
        </w:rPr>
        <w:footnoteRef/>
      </w:r>
      <w:r>
        <w:rPr>
          <w:rtl/>
        </w:rPr>
        <w:t>וה</w:t>
      </w:r>
      <w:r>
        <w:rPr>
          <w:b/>
          <w:bCs/>
          <w:rtl/>
        </w:rPr>
        <w:t>קובה"ע</w:t>
      </w:r>
      <w:r>
        <w:rPr>
          <w:rtl/>
        </w:rPr>
        <w:t xml:space="preserve"> (לח טו) פי' דילפי' מלמען ינוח 'כמוך', דהעבד בעצמו מצווה על כך.</w:t>
      </w:r>
    </w:p>
  </w:footnote>
  <w:footnote w:id="2963">
    <w:p w14:paraId="1D846C0A" w14:textId="77777777" w:rsidR="006074A5" w:rsidRDefault="006074A5" w:rsidP="006074A5">
      <w:pPr>
        <w:pStyle w:val="Footnote"/>
        <w:bidi/>
      </w:pPr>
      <w:r>
        <w:rPr>
          <w:rStyle w:val="ac"/>
          <w:rtl/>
        </w:rPr>
        <w:footnoteRef/>
      </w:r>
      <w:r>
        <w:rPr>
          <w:rtl/>
        </w:rPr>
        <w:t>וכדאי' (לקמן קיד.) גבי קטן. ול"ד לעכו"ם, וכן גר תושב אדעתא דנפשיה קעביד.</w:t>
      </w:r>
    </w:p>
  </w:footnote>
  <w:footnote w:id="2964">
    <w:p w14:paraId="7C318463" w14:textId="77777777" w:rsidR="006074A5" w:rsidRDefault="006074A5" w:rsidP="006074A5">
      <w:pPr>
        <w:pStyle w:val="Footnote"/>
        <w:bidi/>
      </w:pPr>
      <w:r>
        <w:rPr>
          <w:rStyle w:val="ac"/>
          <w:rtl/>
        </w:rPr>
        <w:footnoteRef/>
      </w:r>
      <w:r>
        <w:rPr>
          <w:rtl/>
        </w:rPr>
        <w:t>ומשמע דעובר איסור, אלא דאינו מחוייב ע"כ [וצ"ע דהרב מצווה על שביתת עבדו לדעת הרמב"ם].</w:t>
      </w:r>
    </w:p>
  </w:footnote>
  <w:footnote w:id="2965">
    <w:p w14:paraId="12B0B21E" w14:textId="77777777" w:rsidR="006074A5" w:rsidRDefault="006074A5" w:rsidP="006074A5">
      <w:pPr>
        <w:pStyle w:val="Footnote"/>
        <w:bidi/>
      </w:pPr>
      <w:r>
        <w:rPr>
          <w:rStyle w:val="ac"/>
          <w:rtl/>
        </w:rPr>
        <w:footnoteRef/>
      </w:r>
      <w:r>
        <w:rPr>
          <w:rtl/>
        </w:rPr>
        <w:t>[ולפ"ז דין זה אינו נוהג בזה"ז].</w:t>
      </w:r>
    </w:p>
  </w:footnote>
  <w:footnote w:id="2966">
    <w:p w14:paraId="1FADEEF5" w14:textId="77777777" w:rsidR="006074A5" w:rsidRDefault="006074A5" w:rsidP="006074A5">
      <w:pPr>
        <w:pStyle w:val="Footnote"/>
        <w:bidi/>
      </w:pPr>
      <w:r>
        <w:rPr>
          <w:rStyle w:val="ac"/>
          <w:rtl/>
        </w:rPr>
        <w:footnoteRef/>
      </w:r>
      <w:r>
        <w:rPr>
          <w:rtl/>
        </w:rPr>
        <w:t>וכמו שהביא ה</w:t>
      </w:r>
      <w:r>
        <w:rPr>
          <w:b/>
          <w:bCs/>
          <w:rtl/>
        </w:rPr>
        <w:t>ב"י</w:t>
      </w:r>
      <w:r>
        <w:rPr>
          <w:rtl/>
        </w:rPr>
        <w:t xml:space="preserve"> (אה"ע מד) דעה מהראשונים לענין פסול עדות.</w:t>
      </w:r>
    </w:p>
  </w:footnote>
  <w:footnote w:id="2967">
    <w:p w14:paraId="6EB50079" w14:textId="77777777" w:rsidR="006074A5" w:rsidRDefault="006074A5" w:rsidP="006074A5">
      <w:pPr>
        <w:pStyle w:val="Footnote"/>
        <w:bidi/>
      </w:pPr>
      <w:r>
        <w:rPr>
          <w:rStyle w:val="ac"/>
          <w:rtl/>
        </w:rPr>
        <w:footnoteRef/>
      </w:r>
      <w:r>
        <w:rPr>
          <w:rtl/>
        </w:rPr>
        <w:t xml:space="preserve">ועוד יש שתי' דאסור לחלל שבת בפרהסיא, אבל בצינעא לא נאסר. וכמ"ש </w:t>
      </w:r>
      <w:r>
        <w:rPr>
          <w:b/>
          <w:bCs/>
          <w:rtl/>
        </w:rPr>
        <w:t>תוס</w:t>
      </w:r>
      <w:r>
        <w:rPr>
          <w:rtl/>
        </w:rPr>
        <w:t xml:space="preserve">' (סנהדרין עח: ד"ה לא) דדוקא מחלל שבת </w:t>
      </w:r>
      <w:r>
        <w:rPr>
          <w:i/>
          <w:iCs/>
          <w:rtl/>
        </w:rPr>
        <w:t>בפרהסיא</w:t>
      </w:r>
      <w:r>
        <w:rPr>
          <w:rtl/>
        </w:rPr>
        <w:t xml:space="preserve"> ככופר בעיקר.</w:t>
      </w:r>
    </w:p>
  </w:footnote>
  <w:footnote w:id="2968">
    <w:p w14:paraId="30E00922" w14:textId="77777777" w:rsidR="006074A5" w:rsidRDefault="006074A5" w:rsidP="006074A5">
      <w:pPr>
        <w:pStyle w:val="Footnote"/>
        <w:bidi/>
      </w:pPr>
      <w:r>
        <w:rPr>
          <w:rStyle w:val="ac"/>
          <w:rtl/>
        </w:rPr>
        <w:footnoteRef/>
      </w:r>
      <w:r>
        <w:rPr>
          <w:rtl/>
        </w:rPr>
        <w:t>אלא דרבו אינו מצווה עליו.</w:t>
      </w:r>
    </w:p>
  </w:footnote>
  <w:footnote w:id="2969">
    <w:p w14:paraId="1DCB3BD7" w14:textId="77777777" w:rsidR="006074A5" w:rsidRDefault="006074A5" w:rsidP="006074A5">
      <w:pPr>
        <w:pStyle w:val="Footnote"/>
        <w:bidi/>
      </w:pPr>
      <w:r>
        <w:rPr>
          <w:rStyle w:val="ac"/>
          <w:rtl/>
        </w:rPr>
        <w:footnoteRef/>
      </w:r>
      <w:r>
        <w:rPr>
          <w:rtl/>
        </w:rPr>
        <w:t>וה</w:t>
      </w:r>
      <w:r>
        <w:rPr>
          <w:b/>
          <w:bCs/>
          <w:rtl/>
        </w:rPr>
        <w:t>ביאו"ה</w:t>
      </w:r>
      <w:r>
        <w:rPr>
          <w:rtl/>
        </w:rPr>
        <w:t xml:space="preserve"> הוסיף דדוקא בעבד שקנוי גופו ויש עלי ושם עבד גילתה תורה דדי אם יקיים מקצת מצוות.</w:t>
      </w:r>
    </w:p>
  </w:footnote>
  <w:footnote w:id="2970">
    <w:p w14:paraId="18C35C75" w14:textId="77777777" w:rsidR="006074A5" w:rsidRDefault="006074A5" w:rsidP="006074A5">
      <w:pPr>
        <w:pStyle w:val="Footnote"/>
        <w:bidi/>
      </w:pPr>
      <w:r>
        <w:rPr>
          <w:rStyle w:val="ac"/>
          <w:rtl/>
        </w:rPr>
        <w:footnoteRef/>
      </w:r>
      <w:r>
        <w:rPr>
          <w:rtl/>
        </w:rPr>
        <w:t>ופסקא מלשון פסיקה [וקיבל על עצמו מעיקרא]. ו</w:t>
      </w:r>
      <w:r>
        <w:rPr>
          <w:b/>
          <w:bCs/>
          <w:rtl/>
        </w:rPr>
        <w:t>רש"י</w:t>
      </w:r>
      <w:r>
        <w:rPr>
          <w:rtl/>
        </w:rPr>
        <w:t xml:space="preserve"> פי' הטעם שמא יחזור ויתפייס. אבל היכא דלא קיבל מעיקרא לא סמכינן שמא יתפייס. {והחילוק באומדנא האם עומד להתפייס, ולפ"ז היכא דאמדי' שיתפייס [ע"ד הא דאי' בתוס' לעיל כד: ד"ה לא] ממתינים}.</w:t>
      </w:r>
    </w:p>
  </w:footnote>
  <w:footnote w:id="2971">
    <w:p w14:paraId="19BEB492" w14:textId="77777777" w:rsidR="006074A5" w:rsidRDefault="006074A5" w:rsidP="006074A5">
      <w:pPr>
        <w:pStyle w:val="Footnote"/>
        <w:bidi/>
      </w:pPr>
      <w:r>
        <w:rPr>
          <w:rStyle w:val="ac"/>
          <w:rtl/>
        </w:rPr>
        <w:footnoteRef/>
      </w:r>
      <w:r>
        <w:rPr>
          <w:rtl/>
        </w:rPr>
        <w:t>וב</w:t>
      </w:r>
      <w:r>
        <w:rPr>
          <w:b/>
          <w:bCs/>
          <w:rtl/>
        </w:rPr>
        <w:t>שאג"א</w:t>
      </w:r>
      <w:r>
        <w:rPr>
          <w:rtl/>
        </w:rPr>
        <w:t xml:space="preserve"> כתב עוד דאפי' לר' עקיבא דאין מקיימין, הוה רק איסור לקיים, ומשום דעבר איסור זו לא נאסר באכילת הפסח. [ולכאורה כוונתו דלא כר"י בתוס' דרמי עליה מצוות מילה. אלא כריב"ן דהוה דין בעלמא לגיירם]. וה</w:t>
      </w:r>
      <w:r>
        <w:rPr>
          <w:b/>
          <w:bCs/>
          <w:rtl/>
        </w:rPr>
        <w:t>אבי עזרי</w:t>
      </w:r>
      <w:r>
        <w:rPr>
          <w:rtl/>
        </w:rPr>
        <w:t xml:space="preserve"> תמה דלא גרע משפחותיו שלא טבלו דמעכב באכילת פסח. [והשאג"א רמז לזה, וצ"ב כוונתו].</w:t>
      </w:r>
    </w:p>
  </w:footnote>
  <w:footnote w:id="2972">
    <w:p w14:paraId="44220421" w14:textId="77777777" w:rsidR="006074A5" w:rsidRDefault="006074A5" w:rsidP="006074A5">
      <w:pPr>
        <w:pStyle w:val="Footnote"/>
        <w:bidi/>
      </w:pPr>
      <w:r>
        <w:rPr>
          <w:rStyle w:val="ac"/>
          <w:rtl/>
        </w:rPr>
        <w:footnoteRef/>
      </w:r>
      <w:r>
        <w:rPr>
          <w:rtl/>
        </w:rPr>
        <w:t>ויל"ד דסוף סוף הוה ביטול מצווה. ומבואר דכיון דהוה אונס לא איכפ"ל.</w:t>
      </w:r>
    </w:p>
  </w:footnote>
  <w:footnote w:id="2973">
    <w:p w14:paraId="68053D94" w14:textId="77777777" w:rsidR="006074A5" w:rsidRDefault="006074A5" w:rsidP="006074A5">
      <w:pPr>
        <w:pStyle w:val="Footnote"/>
        <w:bidi/>
      </w:pPr>
      <w:r>
        <w:rPr>
          <w:rStyle w:val="ac"/>
          <w:rtl/>
        </w:rPr>
        <w:footnoteRef/>
      </w:r>
      <w:r>
        <w:rPr>
          <w:rtl/>
        </w:rPr>
        <w:t>[ויל”ד שהתנאי עם הגוי].</w:t>
      </w:r>
    </w:p>
  </w:footnote>
  <w:footnote w:id="2974">
    <w:p w14:paraId="2C183D92" w14:textId="77777777" w:rsidR="006074A5" w:rsidRDefault="006074A5" w:rsidP="006074A5">
      <w:pPr>
        <w:pStyle w:val="Footnote"/>
        <w:bidi/>
      </w:pPr>
      <w:r>
        <w:rPr>
          <w:rStyle w:val="ac"/>
          <w:rtl/>
        </w:rPr>
        <w:footnoteRef/>
      </w:r>
      <w:r>
        <w:rPr>
          <w:rtl/>
        </w:rPr>
        <w:t>אבל לראשונים דיש קנין הגוף אף כשלא מל, ע"כ אינו רק שכיר בעלמא.</w:t>
      </w:r>
    </w:p>
  </w:footnote>
  <w:footnote w:id="2975">
    <w:p w14:paraId="38FEC59C" w14:textId="77777777" w:rsidR="006074A5" w:rsidRDefault="006074A5" w:rsidP="006074A5">
      <w:pPr>
        <w:pStyle w:val="Footnote"/>
        <w:bidi/>
      </w:pPr>
      <w:r>
        <w:rPr>
          <w:rStyle w:val="ac"/>
          <w:rtl/>
        </w:rPr>
        <w:footnoteRef/>
      </w:r>
      <w:r>
        <w:rPr>
          <w:rtl/>
        </w:rPr>
        <w:t>והרמב"ם הוסיף כשהוא גר תושב, ואין מקיימין עבד כזה אלא בזמן היובל. וה</w:t>
      </w:r>
      <w:r>
        <w:rPr>
          <w:b/>
          <w:bCs/>
          <w:rtl/>
        </w:rPr>
        <w:t>רמב"ם</w:t>
      </w:r>
      <w:r>
        <w:rPr>
          <w:rtl/>
        </w:rPr>
        <w:t xml:space="preserve"> (מילה א ו) כת' דאם העבד לא קיבל עליו ז' מצוות יהרג מיד, ואין מקבלין גר תושב אלא בזמן שהיובל נוהג. וה</w:t>
      </w:r>
      <w:r>
        <w:rPr>
          <w:b/>
          <w:bCs/>
          <w:rtl/>
        </w:rPr>
        <w:t>ראב”ד</w:t>
      </w:r>
      <w:r>
        <w:rPr>
          <w:rtl/>
        </w:rPr>
        <w:t xml:space="preserve"> השיג אין לנו עתה להרוג איש, אלא ימכר מיד.</w:t>
      </w:r>
    </w:p>
    <w:p w14:paraId="20EFB4A9" w14:textId="77777777" w:rsidR="006074A5" w:rsidRDefault="006074A5" w:rsidP="006074A5">
      <w:pPr>
        <w:pStyle w:val="Footnote"/>
        <w:bidi/>
      </w:pPr>
      <w:r>
        <w:rPr>
          <w:rtl/>
        </w:rPr>
        <w:tab/>
        <w:t>[ודברי הרמב"ם צ"ב דמשמע מדבריו דכיון דאין מקבלים גר תושב, מש"ה יהרג. ולכאו' ע"כ הרמב”ם קאי כשאינו רוצה לקבל עליו. אבל היכא דרוצה לקבל עליו, אלא דבזה”ז לא מקבלים, א”כ ימכר מיד. וכדעת הראב”ד].</w:t>
      </w:r>
    </w:p>
  </w:footnote>
  <w:footnote w:id="2976">
    <w:p w14:paraId="26F279B5" w14:textId="77777777" w:rsidR="006074A5" w:rsidRDefault="006074A5" w:rsidP="006074A5">
      <w:pPr>
        <w:pStyle w:val="Footnote"/>
        <w:bidi/>
      </w:pPr>
      <w:r>
        <w:rPr>
          <w:rStyle w:val="ac"/>
          <w:rtl/>
        </w:rPr>
        <w:footnoteRef/>
      </w:r>
      <w:r>
        <w:rPr>
          <w:rtl/>
        </w:rPr>
        <w:t>וב</w:t>
      </w:r>
      <w:r>
        <w:rPr>
          <w:b/>
          <w:bCs/>
          <w:rtl/>
        </w:rPr>
        <w:t>מס' גרים</w:t>
      </w:r>
      <w:r>
        <w:rPr>
          <w:rtl/>
        </w:rPr>
        <w:t xml:space="preserve"> (ב ה) הגירסא להיפך לר' יוסי נפרעין מן הגרים, ר' יהודה אומר אין נפרעין ממנו, אלא הרי הוא כבן יומו.</w:t>
      </w:r>
    </w:p>
  </w:footnote>
  <w:footnote w:id="2977">
    <w:p w14:paraId="3F33E514" w14:textId="77777777" w:rsidR="006074A5" w:rsidRDefault="006074A5" w:rsidP="006074A5">
      <w:pPr>
        <w:pStyle w:val="Footnote"/>
        <w:bidi/>
      </w:pPr>
      <w:r>
        <w:rPr>
          <w:rStyle w:val="ac"/>
          <w:rtl/>
        </w:rPr>
        <w:footnoteRef/>
      </w:r>
      <w:r>
        <w:rPr>
          <w:rtl/>
        </w:rPr>
        <w:t>וב</w:t>
      </w:r>
      <w:r>
        <w:rPr>
          <w:b/>
          <w:bCs/>
          <w:rtl/>
        </w:rPr>
        <w:t>מס' גרים</w:t>
      </w:r>
      <w:r>
        <w:rPr>
          <w:rtl/>
        </w:rPr>
        <w:t xml:space="preserve"> (שם) ר' חנינא בן גמליאל פי' שהן מחשבין, קודם לשנה וקודם לשתים, שאגבה את חובי ושאעשה את צרכי. ור' יוסי השיב דא"כ היה צריך להיות עונש ממון. אלא הם קוברים את בניהם, וע"כ דהעונש משום ז' מצוות שלא קיימו.</w:t>
      </w:r>
    </w:p>
  </w:footnote>
  <w:footnote w:id="2978">
    <w:p w14:paraId="44E7FF51" w14:textId="77777777" w:rsidR="006074A5" w:rsidRDefault="006074A5" w:rsidP="006074A5">
      <w:pPr>
        <w:pStyle w:val="Footnote"/>
        <w:bidi/>
      </w:pPr>
      <w:r>
        <w:rPr>
          <w:rStyle w:val="ac"/>
          <w:rtl/>
        </w:rPr>
        <w:footnoteRef/>
      </w:r>
      <w:r>
        <w:rPr>
          <w:rtl/>
        </w:rPr>
        <w:t>ה</w:t>
      </w:r>
      <w:r>
        <w:rPr>
          <w:b/>
          <w:bCs/>
          <w:rtl/>
        </w:rPr>
        <w:t>מאירי</w:t>
      </w:r>
      <w:r>
        <w:rPr>
          <w:rtl/>
        </w:rPr>
        <w:t xml:space="preserve"> כת' דלר' יוסי כקטן שנולד, ואינו נענש אף על מה ששהה עצמו מלהכנס.</w:t>
      </w:r>
    </w:p>
  </w:footnote>
  <w:footnote w:id="2979">
    <w:p w14:paraId="133A921B" w14:textId="77777777" w:rsidR="006074A5" w:rsidRDefault="006074A5" w:rsidP="006074A5">
      <w:pPr>
        <w:pStyle w:val="Footnote"/>
        <w:bidi/>
      </w:pPr>
      <w:r>
        <w:rPr>
          <w:rStyle w:val="ac"/>
          <w:rtl/>
        </w:rPr>
        <w:footnoteRef/>
      </w:r>
      <w:r>
        <w:rPr>
          <w:rtl/>
        </w:rPr>
        <w:t>והביאו מה</w:t>
      </w:r>
      <w:r>
        <w:rPr>
          <w:b/>
          <w:bCs/>
          <w:rtl/>
        </w:rPr>
        <w:t>חיד"א</w:t>
      </w:r>
      <w:r>
        <w:rPr>
          <w:rtl/>
        </w:rPr>
        <w:t xml:space="preserve"> (ס' מדבר קדימות ג) ע"פ הגמ' (שבת קמו.) דמזלייהו של הגרים עמד בהר סיני. [ואף דאם לא נתגייר, נתברר שלא עמד. לאחר שנתגייר נחשב מצווה קצת משעה ראשונה].</w:t>
      </w:r>
    </w:p>
  </w:footnote>
  <w:footnote w:id="2980">
    <w:p w14:paraId="4903DAD1" w14:textId="77777777" w:rsidR="006074A5" w:rsidRDefault="006074A5" w:rsidP="006074A5">
      <w:pPr>
        <w:pStyle w:val="Footnote"/>
        <w:bidi/>
      </w:pPr>
      <w:r>
        <w:rPr>
          <w:rStyle w:val="ac"/>
          <w:rtl/>
        </w:rPr>
        <w:footnoteRef/>
      </w:r>
      <w:r>
        <w:rPr>
          <w:rtl/>
        </w:rPr>
        <w:t>וה</w:t>
      </w:r>
      <w:r>
        <w:rPr>
          <w:b/>
          <w:bCs/>
          <w:rtl/>
        </w:rPr>
        <w:t>מהר"ל</w:t>
      </w:r>
      <w:r>
        <w:rPr>
          <w:rtl/>
        </w:rPr>
        <w:t xml:space="preserve"> בחי' אגדות (כאן) כת' דהא דשהו מלבא הוא דבר שגורם לריחוק מהש"י, ומש"ה צריך יסורים, שהם דבר המקרב להש"י. [ומשמע דכוונתו דאינו בגדר 'עונש', אלא דהריחוק הוה מציאות, וה יסורין הוה דרך להשיג קורבא]. וביאר מש"כ בפסוק תהי משכורתך שלמה, דאף שצריכה יסורין מחמת ששהתה מלבא, מ"מ לא ינכה מהשכר על שבא לחסות תחת כנפי השכינה. [אבל ה</w:t>
      </w:r>
      <w:r>
        <w:rPr>
          <w:b/>
          <w:bCs/>
          <w:rtl/>
        </w:rPr>
        <w:t xml:space="preserve">ערול"נ </w:t>
      </w:r>
      <w:r>
        <w:rPr>
          <w:rtl/>
        </w:rPr>
        <w:t>ביאר משכורתך שלימה שמיהרה להתגייר, ולא שהתה. וכן ל"ש שאר הטעמים].</w:t>
      </w:r>
    </w:p>
  </w:footnote>
  <w:footnote w:id="2981">
    <w:p w14:paraId="33EE68EE" w14:textId="77777777" w:rsidR="006074A5" w:rsidRDefault="006074A5" w:rsidP="006074A5">
      <w:pPr>
        <w:pStyle w:val="Footnote"/>
        <w:bidi/>
      </w:pPr>
      <w:r>
        <w:rPr>
          <w:rStyle w:val="ac"/>
          <w:rtl/>
        </w:rPr>
        <w:footnoteRef/>
      </w:r>
      <w:r>
        <w:rPr>
          <w:rtl/>
        </w:rPr>
        <w:t>וכדמשמע ב</w:t>
      </w:r>
      <w:r>
        <w:rPr>
          <w:b/>
          <w:bCs/>
          <w:rtl/>
        </w:rPr>
        <w:t>מאיר</w:t>
      </w:r>
      <w:r>
        <w:rPr>
          <w:rtl/>
        </w:rPr>
        <w:t>י (י:). וביארו ע”ד מש”כ תוס' (שם) דהאיסור לא יבנה מנתק לאיסור אשת אח. [אך לדעת ה</w:t>
      </w:r>
      <w:r>
        <w:rPr>
          <w:b/>
          <w:bCs/>
          <w:rtl/>
        </w:rPr>
        <w:t>רשב"א</w:t>
      </w:r>
      <w:r>
        <w:rPr>
          <w:rtl/>
        </w:rPr>
        <w:t xml:space="preserve"> (מא.) איסור אשת אח הותר בשעת נפילה, ולכאורה אינו חוזר אף אחר חליצה. וע"כ לא יבנה הוה איסור בפנ"ע].</w:t>
      </w:r>
    </w:p>
    <w:p w14:paraId="5C3C469B" w14:textId="77777777" w:rsidR="006074A5" w:rsidRDefault="006074A5" w:rsidP="006074A5">
      <w:pPr>
        <w:pStyle w:val="Footnote"/>
        <w:bidi/>
      </w:pPr>
      <w:r>
        <w:rPr>
          <w:rtl/>
        </w:rPr>
        <w:tab/>
        <w:t>אבל ה</w:t>
      </w:r>
      <w:r>
        <w:rPr>
          <w:b/>
          <w:bCs/>
          <w:rtl/>
        </w:rPr>
        <w:t>רמב"ן</w:t>
      </w:r>
      <w:r>
        <w:rPr>
          <w:rtl/>
        </w:rPr>
        <w:t xml:space="preserve"> (בסה"מ לאוין שהוסיף יד, הו' לעיל שם) הדגיש דלא הוה מחמת איסור אשת אח.</w:t>
      </w:r>
    </w:p>
  </w:footnote>
  <w:footnote w:id="2982">
    <w:p w14:paraId="0F6D817A" w14:textId="77777777" w:rsidR="006074A5" w:rsidRDefault="006074A5" w:rsidP="006074A5">
      <w:pPr>
        <w:pStyle w:val="Footnote"/>
        <w:bidi/>
      </w:pPr>
      <w:r>
        <w:rPr>
          <w:rStyle w:val="ac"/>
          <w:rtl/>
        </w:rPr>
        <w:footnoteRef/>
      </w:r>
      <w:r>
        <w:rPr>
          <w:rtl/>
        </w:rPr>
        <w:t>דה</w:t>
      </w:r>
      <w:r>
        <w:rPr>
          <w:b/>
          <w:bCs/>
          <w:rtl/>
        </w:rPr>
        <w:t>רמב"ם</w:t>
      </w:r>
      <w:r>
        <w:rPr>
          <w:rtl/>
        </w:rPr>
        <w:t xml:space="preserve"> (איסו"ב טו ב) כת' דבין בשוגג ובין במזיד ובין באונס הוה ממזר. והעונג יו"ט דן דה"מ שהוא מזיד, אבל היכא דתרוייהו אנוסים שמא עדיף.</w:t>
      </w:r>
    </w:p>
  </w:footnote>
  <w:footnote w:id="2983">
    <w:p w14:paraId="770CDEA3" w14:textId="77777777" w:rsidR="006074A5" w:rsidRDefault="006074A5" w:rsidP="006074A5">
      <w:pPr>
        <w:pStyle w:val="Footnote"/>
        <w:bidi/>
      </w:pPr>
      <w:r>
        <w:rPr>
          <w:rStyle w:val="ac"/>
          <w:rtl/>
        </w:rPr>
        <w:footnoteRef/>
      </w:r>
      <w:r>
        <w:rPr>
          <w:rtl/>
        </w:rPr>
        <w:t>אך הוכיח מכ"מ דהוה ממזר. עי"ש שטרח לדחות.</w:t>
      </w:r>
    </w:p>
    <w:p w14:paraId="43C611B2" w14:textId="77777777" w:rsidR="006074A5" w:rsidRDefault="006074A5" w:rsidP="006074A5">
      <w:pPr>
        <w:pStyle w:val="Footnote"/>
        <w:bidi/>
      </w:pPr>
      <w:r>
        <w:rPr>
          <w:rtl/>
        </w:rPr>
        <w:tab/>
        <w:t>וה</w:t>
      </w:r>
      <w:r>
        <w:rPr>
          <w:b/>
          <w:bCs/>
          <w:rtl/>
        </w:rPr>
        <w:t>שואל בשו"ת חכ"צ</w:t>
      </w:r>
      <w:r>
        <w:rPr>
          <w:rtl/>
        </w:rPr>
        <w:t xml:space="preserve"> (כא) דן היכא דהותר ע"פ רוב, כגון מים שאים להם סוף אינו ממזר. שהרי אינם חייבים קרבן [דכיון דעשו ע"פ הכרעת נחשב אונס, ע' תוס' לעיל לה:]. וה</w:t>
      </w:r>
      <w:r>
        <w:rPr>
          <w:b/>
          <w:bCs/>
          <w:rtl/>
        </w:rPr>
        <w:t>חכ”צ</w:t>
      </w:r>
      <w:r>
        <w:rPr>
          <w:rtl/>
        </w:rPr>
        <w:t xml:space="preserve"> כת' ישתקע הדבר. דודאי צריך כפרה ווידוי, והוה פטור רק מקרבן. הא אפי' שניהם אנוסים [ע"י עכו"ם] הולד ממזר, אף דאין חיוב קרבן. [ועוד דן דאפשר דחייבים קרבן אף דסמכא על הרוב, הא נתברר שהוא שלא כדין. וכמו עדי שקר]. [ומשמע דהחכ"צ חלק דאף עבירה באונס הוה עבירה. אבל אילו ליכא עבירה כלל לא].</w:t>
      </w:r>
    </w:p>
  </w:footnote>
  <w:footnote w:id="2984">
    <w:p w14:paraId="20A1A485" w14:textId="77777777" w:rsidR="006074A5" w:rsidRDefault="006074A5" w:rsidP="006074A5">
      <w:pPr>
        <w:pStyle w:val="Footnote"/>
        <w:bidi/>
      </w:pPr>
      <w:r>
        <w:rPr>
          <w:rStyle w:val="ac"/>
          <w:rtl/>
        </w:rPr>
        <w:footnoteRef/>
      </w:r>
      <w:r>
        <w:rPr>
          <w:rtl/>
        </w:rPr>
        <w:t>לקושיית התוס' (ט.) דאף לר"ע אמרי' עשה דוחה ל"ת. וכן לס"ד דהברייתא (ג:) דעשה דוחה ל"ת שיש בו כרת. וכן נקט בפשיטות בפסולי כהונה, היכא דעשה דוחה ל"ת, הולד לא יהא חלל.</w:t>
      </w:r>
    </w:p>
  </w:footnote>
  <w:footnote w:id="2985">
    <w:p w14:paraId="74314766" w14:textId="77777777" w:rsidR="006074A5" w:rsidRDefault="006074A5" w:rsidP="006074A5">
      <w:pPr>
        <w:pStyle w:val="Footnote"/>
        <w:bidi/>
      </w:pPr>
      <w:r>
        <w:rPr>
          <w:rStyle w:val="ac"/>
          <w:rtl/>
        </w:rPr>
        <w:footnoteRef/>
      </w:r>
      <w:r>
        <w:rPr>
          <w:rtl/>
        </w:rPr>
        <w:t>וה</w:t>
      </w:r>
      <w:r>
        <w:rPr>
          <w:b/>
          <w:bCs/>
          <w:rtl/>
        </w:rPr>
        <w:t>שעה"מ</w:t>
      </w:r>
      <w:r>
        <w:rPr>
          <w:rtl/>
        </w:rPr>
        <w:t xml:space="preserve"> (יבום ו יא בסופו) נסתפק היכא דהיבם ממזר או היבמה ממזרת, דעשה דוחה ל”ת בביאה ראשונה, האם אמרי' דכיון דליכא עבירה לא אמרי' דהולד הולך אחר הפגום. או דמ"מ הוה ממזר [וכמו ממזר שנשא גיורת]. [אך התם הוה חידוש טפי שהרי מתייחס אחר אביו ממזר].</w:t>
      </w:r>
    </w:p>
  </w:footnote>
  <w:footnote w:id="2986">
    <w:p w14:paraId="218D0007" w14:textId="77777777" w:rsidR="006074A5" w:rsidRDefault="006074A5" w:rsidP="006074A5">
      <w:pPr>
        <w:pStyle w:val="Footnote"/>
        <w:bidi/>
      </w:pPr>
      <w:r>
        <w:rPr>
          <w:rStyle w:val="ac"/>
          <w:rtl/>
        </w:rPr>
        <w:footnoteRef/>
      </w:r>
      <w:r>
        <w:rPr>
          <w:rtl/>
        </w:rPr>
        <w:t>וב</w:t>
      </w:r>
      <w:r>
        <w:rPr>
          <w:b/>
          <w:bCs/>
          <w:rtl/>
        </w:rPr>
        <w:t>חי' ר' שמעון</w:t>
      </w:r>
      <w:r>
        <w:rPr>
          <w:rtl/>
        </w:rPr>
        <w:t xml:space="preserve"> (א ב) הביא מהסוגיה (לעיל יד.), דמבואר דהעושה כדברי בי"ש הוה ממזר לדברי בית הלל, ואף אילו הדין לעשות כן משום לא תתגודדו. וה</w:t>
      </w:r>
      <w:r>
        <w:rPr>
          <w:b/>
          <w:bCs/>
          <w:rtl/>
        </w:rPr>
        <w:t>קובה"ע</w:t>
      </w:r>
      <w:r>
        <w:rPr>
          <w:rtl/>
        </w:rPr>
        <w:t xml:space="preserve"> (ג ט) הביא מהא דספק ממזר מותר, ואפ"ה אילו נתברר שהוא ממזר, ודאי דבניו הוה ממזרים. [וכן מוכח לקמן עח:].</w:t>
      </w:r>
    </w:p>
  </w:footnote>
  <w:footnote w:id="2987">
    <w:p w14:paraId="3946DCA4" w14:textId="77777777" w:rsidR="006074A5" w:rsidRDefault="006074A5" w:rsidP="006074A5">
      <w:pPr>
        <w:pStyle w:val="Footnote"/>
        <w:bidi/>
      </w:pPr>
      <w:r>
        <w:rPr>
          <w:rStyle w:val="ac"/>
          <w:rtl/>
        </w:rPr>
        <w:footnoteRef/>
      </w:r>
      <w:r>
        <w:rPr>
          <w:rtl/>
        </w:rPr>
        <w:t xml:space="preserve">וכ"כ </w:t>
      </w:r>
      <w:r>
        <w:rPr>
          <w:b/>
          <w:bCs/>
          <w:rtl/>
        </w:rPr>
        <w:t>תוס</w:t>
      </w:r>
      <w:r>
        <w:rPr>
          <w:rtl/>
        </w:rPr>
        <w:t xml:space="preserve">' (לעיל טז: ד"ה קסבר). [אבל </w:t>
      </w:r>
      <w:r>
        <w:rPr>
          <w:b/>
          <w:bCs/>
          <w:rtl/>
        </w:rPr>
        <w:t>תוס</w:t>
      </w:r>
      <w:r>
        <w:rPr>
          <w:rtl/>
        </w:rPr>
        <w:t>' (שם ד"ה אמוראי) כת' דמאי אולמי האי סתמא מהאי סתמא].</w:t>
      </w:r>
    </w:p>
  </w:footnote>
  <w:footnote w:id="2988">
    <w:p w14:paraId="6E8B6015" w14:textId="77777777" w:rsidR="006074A5" w:rsidRDefault="006074A5" w:rsidP="006074A5">
      <w:pPr>
        <w:pStyle w:val="Footnote"/>
        <w:bidi/>
      </w:pPr>
      <w:r>
        <w:rPr>
          <w:rStyle w:val="ac"/>
          <w:rtl/>
        </w:rPr>
        <w:footnoteRef/>
      </w:r>
      <w:r>
        <w:rPr>
          <w:rtl/>
        </w:rPr>
        <w:t xml:space="preserve">אבל </w:t>
      </w:r>
      <w:r>
        <w:rPr>
          <w:b/>
          <w:bCs/>
          <w:rtl/>
        </w:rPr>
        <w:t>תוס</w:t>
      </w:r>
      <w:r>
        <w:rPr>
          <w:rtl/>
        </w:rPr>
        <w:t>' (לעיל טז: ד”ה קסבר, וכ”מ בתוס' שם ד"ה אמוראי) כת' דכל הנידון האם הולד ממזר בעכו"ם הוא רק אליבא דר' עקיבא. [והגהש"ס שם כת' וצע"ג].</w:t>
      </w:r>
    </w:p>
    <w:p w14:paraId="73F20408" w14:textId="77777777" w:rsidR="006074A5" w:rsidRDefault="006074A5" w:rsidP="006074A5">
      <w:pPr>
        <w:pStyle w:val="Footnote"/>
        <w:bidi/>
      </w:pPr>
      <w:r>
        <w:rPr>
          <w:rtl/>
        </w:rPr>
        <w:tab/>
        <w:t>{ויש שפי' דהתוס' לא פליגי, וכוונת התוס' (שם) דסוגיית הגמ' (לעיל מה) קאי למ"ד דלר"ע דוקא חייבי לאוין דשאר, ואף דעכו"ם ועבד לא הוי שאר. מ"מ לדעת ר' עקיבא הוה סברא דכל היכא דלא תפסי קידושין [דמי לאנוסת אביו], ולא בעינן חומר כרת. וצ"ע}.</w:t>
      </w:r>
    </w:p>
  </w:footnote>
  <w:footnote w:id="2989">
    <w:p w14:paraId="2691913B" w14:textId="77777777" w:rsidR="006074A5" w:rsidRDefault="006074A5" w:rsidP="006074A5">
      <w:pPr>
        <w:pStyle w:val="Footnote"/>
        <w:bidi/>
      </w:pPr>
      <w:r>
        <w:rPr>
          <w:rStyle w:val="ac"/>
          <w:rtl/>
        </w:rPr>
        <w:footnoteRef/>
      </w:r>
      <w:r>
        <w:rPr>
          <w:rtl/>
        </w:rPr>
        <w:t>ועפ"ז מתיישב סתמא דמתני' (לקמן סט:) דהוה ממזר מעכו"ם ועבד, לצד דהוה שאר.</w:t>
      </w:r>
    </w:p>
  </w:footnote>
  <w:footnote w:id="2990">
    <w:p w14:paraId="397D54AF" w14:textId="77777777" w:rsidR="006074A5" w:rsidRDefault="006074A5" w:rsidP="006074A5">
      <w:pPr>
        <w:pStyle w:val="Footnote"/>
        <w:bidi/>
      </w:pPr>
      <w:r>
        <w:rPr>
          <w:rStyle w:val="ac"/>
          <w:rtl/>
        </w:rPr>
        <w:footnoteRef/>
      </w:r>
      <w:r>
        <w:rPr>
          <w:rtl/>
        </w:rPr>
        <w:t>[אמנם (לקמן סט:) יש סתם משנה דמעכו"ם ועבד הולד ממזר, והגמ' (ע.) מפרשת כר' עקיבא או משום דלא תפסי קידושין. ועכ”פ לא קי”ל כסתם משנה, וע”ע תוס' לעיל טז:].</w:t>
      </w:r>
    </w:p>
  </w:footnote>
  <w:footnote w:id="2991">
    <w:p w14:paraId="182685A8" w14:textId="77777777" w:rsidR="006074A5" w:rsidRDefault="006074A5" w:rsidP="006074A5">
      <w:pPr>
        <w:pStyle w:val="Footnote"/>
        <w:bidi/>
      </w:pPr>
      <w:r>
        <w:rPr>
          <w:rStyle w:val="ac"/>
          <w:rtl/>
        </w:rPr>
        <w:footnoteRef/>
      </w:r>
      <w:r>
        <w:rPr>
          <w:rtl/>
        </w:rPr>
        <w:t>והוה סימן [תלי תרוייהו ב'שם ערוה'], או דהממזרות הוה תולדה מהא דלא תפסי קידושין. [ויש הוסיפו דאם נחשב 'מום זר', ע"כ דל"ש בזה קידושין].</w:t>
      </w:r>
    </w:p>
  </w:footnote>
  <w:footnote w:id="2992">
    <w:p w14:paraId="18E24DD5" w14:textId="77777777" w:rsidR="006074A5" w:rsidRDefault="006074A5" w:rsidP="006074A5">
      <w:pPr>
        <w:pStyle w:val="Footnote"/>
        <w:bidi/>
      </w:pPr>
      <w:r>
        <w:rPr>
          <w:rStyle w:val="ac"/>
          <w:rtl/>
        </w:rPr>
        <w:footnoteRef/>
      </w:r>
      <w:r>
        <w:rPr>
          <w:rtl/>
        </w:rPr>
        <w:t xml:space="preserve">דר' יהושע צריך קרא לרבות חייבי כריתות דלא תפסי קידושין, אף דלא הוה ממזר. ועוד דר' יהושע ס”ל דלא הוה הא בהא תליא, וכמ"ש </w:t>
      </w:r>
      <w:r>
        <w:rPr>
          <w:b/>
          <w:bCs/>
          <w:rtl/>
        </w:rPr>
        <w:t>תוס</w:t>
      </w:r>
      <w:r>
        <w:rPr>
          <w:rtl/>
        </w:rPr>
        <w:t>' (לעיל מד:).</w:t>
      </w:r>
    </w:p>
  </w:footnote>
  <w:footnote w:id="2993">
    <w:p w14:paraId="3CD0A904" w14:textId="77777777" w:rsidR="006074A5" w:rsidRDefault="006074A5" w:rsidP="006074A5">
      <w:pPr>
        <w:pStyle w:val="Footnote"/>
        <w:bidi/>
      </w:pPr>
      <w:r>
        <w:rPr>
          <w:rStyle w:val="ac"/>
          <w:rtl/>
        </w:rPr>
        <w:footnoteRef/>
      </w:r>
      <w:r>
        <w:rPr>
          <w:rtl/>
        </w:rPr>
        <w:t xml:space="preserve">דתנן כל שאין לה עליו קדושין ויש לה על אחרים קדושין הולד ממזר. וקי"ל דכללא הוא דיש ממזר מכל חייבי כריתות שאין קדושין תופסין בהם. [ומשמע מדברי הרמב"ן דכללא דמתני' הוה לכו"ע, ואף דמבואר במשנה דקאי כשמעון התימני (וכמ"ש </w:t>
      </w:r>
      <w:r>
        <w:rPr>
          <w:b/>
          <w:bCs/>
          <w:rtl/>
        </w:rPr>
        <w:t>תוס</w:t>
      </w:r>
      <w:r>
        <w:rPr>
          <w:rtl/>
        </w:rPr>
        <w:t>' כאן ד"ה שמעון), מ"מ כללי דמתני' הוה ככו"ע].</w:t>
      </w:r>
    </w:p>
  </w:footnote>
  <w:footnote w:id="2994">
    <w:p w14:paraId="2BF0C09E" w14:textId="77777777" w:rsidR="006074A5" w:rsidRDefault="006074A5" w:rsidP="006074A5">
      <w:pPr>
        <w:pStyle w:val="Footnote"/>
        <w:bidi/>
      </w:pPr>
      <w:r>
        <w:rPr>
          <w:rStyle w:val="ac"/>
          <w:rtl/>
        </w:rPr>
        <w:footnoteRef/>
      </w:r>
      <w:r>
        <w:rPr>
          <w:rtl/>
        </w:rPr>
        <w:t xml:space="preserve">ועד"ז כת' </w:t>
      </w:r>
      <w:r>
        <w:rPr>
          <w:b/>
          <w:bCs/>
          <w:rtl/>
        </w:rPr>
        <w:t>רש"י</w:t>
      </w:r>
      <w:r>
        <w:rPr>
          <w:rtl/>
        </w:rPr>
        <w:t xml:space="preserve"> (קידושין שם) דמהכא ילפי' דכל שאין עליו קידושין הולד ממזר. והך כלל דתליא הא בהא הוה בתר דילפי' לה בסוגיין.</w:t>
      </w:r>
    </w:p>
  </w:footnote>
  <w:footnote w:id="2995">
    <w:p w14:paraId="4E1A2FC9" w14:textId="77777777" w:rsidR="006074A5" w:rsidRDefault="006074A5" w:rsidP="006074A5">
      <w:pPr>
        <w:pStyle w:val="Footnote"/>
        <w:bidi/>
      </w:pPr>
      <w:r>
        <w:rPr>
          <w:rStyle w:val="ac"/>
          <w:rtl/>
        </w:rPr>
        <w:footnoteRef/>
      </w:r>
      <w:r>
        <w:rPr>
          <w:rtl/>
        </w:rPr>
        <w:t xml:space="preserve">בברייתא (שם) דר' יהודה שם, אך </w:t>
      </w:r>
      <w:r>
        <w:rPr>
          <w:b/>
          <w:bCs/>
          <w:rtl/>
        </w:rPr>
        <w:t>תוס</w:t>
      </w:r>
      <w:r>
        <w:rPr>
          <w:rtl/>
        </w:rPr>
        <w:t>' (לעיל י.) כת' דמתני' דהתם פליג [בדעת ר' יהודה].</w:t>
      </w:r>
    </w:p>
  </w:footnote>
  <w:footnote w:id="2996">
    <w:p w14:paraId="5DA8094F" w14:textId="77777777" w:rsidR="006074A5" w:rsidRDefault="006074A5" w:rsidP="006074A5">
      <w:pPr>
        <w:pStyle w:val="Footnote"/>
        <w:bidi/>
      </w:pPr>
      <w:r>
        <w:rPr>
          <w:rStyle w:val="ac"/>
          <w:rtl/>
        </w:rPr>
        <w:footnoteRef/>
      </w:r>
      <w:r>
        <w:rPr>
          <w:rtl/>
        </w:rPr>
        <w:t xml:space="preserve">אבל פשטות הסוגיא קאי רק בדעת ר' יהושע, דמחייבי כריתות לא הוה ממזר. אבל לרבנן דהוה ממזר מחייבי כריתות יפרשו בשומרת יבם של אביו (וכמ"ש </w:t>
      </w:r>
      <w:r>
        <w:rPr>
          <w:b/>
          <w:bCs/>
          <w:rtl/>
        </w:rPr>
        <w:t>רש"י</w:t>
      </w:r>
      <w:r>
        <w:rPr>
          <w:rtl/>
        </w:rPr>
        <w:t xml:space="preserve"> ד"ה ור' יהושע).</w:t>
      </w:r>
    </w:p>
  </w:footnote>
  <w:footnote w:id="2997">
    <w:p w14:paraId="127A0CFE" w14:textId="77777777" w:rsidR="006074A5" w:rsidRDefault="006074A5" w:rsidP="006074A5">
      <w:pPr>
        <w:pStyle w:val="Footnote"/>
        <w:bidi/>
      </w:pPr>
      <w:r>
        <w:rPr>
          <w:rStyle w:val="ac"/>
          <w:rtl/>
        </w:rPr>
        <w:footnoteRef/>
      </w:r>
      <w:r>
        <w:rPr>
          <w:rtl/>
        </w:rPr>
        <w:t>ולר' ישבב סגי בחד ריבוי לאיסור עשה וחייבי לאוין.</w:t>
      </w:r>
    </w:p>
  </w:footnote>
  <w:footnote w:id="2998">
    <w:p w14:paraId="6F513853" w14:textId="77777777" w:rsidR="006074A5" w:rsidRDefault="006074A5" w:rsidP="006074A5">
      <w:pPr>
        <w:pStyle w:val="Footnote"/>
        <w:bidi/>
      </w:pPr>
      <w:r>
        <w:rPr>
          <w:rStyle w:val="ac"/>
          <w:rtl/>
        </w:rPr>
        <w:footnoteRef/>
      </w:r>
      <w:r>
        <w:rPr>
          <w:rtl/>
        </w:rPr>
        <w:t xml:space="preserve">וכ”כ </w:t>
      </w:r>
      <w:r>
        <w:rPr>
          <w:b/>
          <w:bCs/>
          <w:rtl/>
        </w:rPr>
        <w:t>רש"י</w:t>
      </w:r>
      <w:r>
        <w:rPr>
          <w:rtl/>
        </w:rPr>
        <w:t xml:space="preserve"> (בע"ב ד”ה והבא) דר"ע (דמתני' לעיל מד.) דס"ל דמחזיר גרושתו הוה ממזר אף דלאו חייבי לאוין דשאר. ומבואר דכוונת רש"י להביא דר"ע דמתני' דהתם פליג אמתני' דידן.</w:t>
      </w:r>
    </w:p>
  </w:footnote>
  <w:footnote w:id="2999">
    <w:p w14:paraId="19EAB001" w14:textId="77777777" w:rsidR="006074A5" w:rsidRDefault="006074A5" w:rsidP="006074A5">
      <w:pPr>
        <w:pStyle w:val="Footnote"/>
        <w:bidi/>
      </w:pPr>
      <w:r>
        <w:rPr>
          <w:rStyle w:val="ac"/>
          <w:rtl/>
        </w:rPr>
        <w:footnoteRef/>
      </w:r>
      <w:r>
        <w:rPr>
          <w:rtl/>
        </w:rPr>
        <w:t>וה</w:t>
      </w:r>
      <w:r>
        <w:rPr>
          <w:b/>
          <w:bCs/>
          <w:rtl/>
        </w:rPr>
        <w:t>ריטב"א</w:t>
      </w:r>
      <w:r>
        <w:rPr>
          <w:rtl/>
        </w:rPr>
        <w:t xml:space="preserve"> הקשה דהו"ל לגמ' להקשות סתירת המשניות בהדיא.</w:t>
      </w:r>
    </w:p>
  </w:footnote>
  <w:footnote w:id="3000">
    <w:p w14:paraId="5B6EE6E9" w14:textId="77777777" w:rsidR="006074A5" w:rsidRDefault="006074A5" w:rsidP="006074A5">
      <w:pPr>
        <w:pStyle w:val="Footnote"/>
        <w:bidi/>
      </w:pPr>
      <w:r>
        <w:rPr>
          <w:rStyle w:val="ac"/>
          <w:rtl/>
        </w:rPr>
        <w:footnoteRef/>
      </w:r>
      <w:r>
        <w:rPr>
          <w:rtl/>
        </w:rPr>
        <w:t xml:space="preserve">אך </w:t>
      </w:r>
      <w:r>
        <w:rPr>
          <w:b/>
          <w:bCs/>
          <w:rtl/>
        </w:rPr>
        <w:t>תוס</w:t>
      </w:r>
      <w:r>
        <w:rPr>
          <w:rtl/>
        </w:rPr>
        <w:t>' הביאו דהמשנה (לקמן צב.) מבואר דיש ממזר מיבמה לשוק, ומפורש בברייתא (שם) דקאי כר”ע, ובגמ' מבואר דהיינו מ"ד דלר”ע לא בעי שאר [ורבנן דפליגי התם ס”ל כר”ע בחייבי לאוין דשאר]. וצ"ל דהיינו דוקא הברייתא, אבל במשנה הוה ממזר מדרבנן (ועי”ש בתוס' ושא”ר, וכן תוס' דידן רמזו בזה).</w:t>
      </w:r>
    </w:p>
    <w:p w14:paraId="489D5C99" w14:textId="77777777" w:rsidR="006074A5" w:rsidRDefault="006074A5" w:rsidP="006074A5">
      <w:pPr>
        <w:pStyle w:val="Footnote"/>
        <w:bidi/>
      </w:pPr>
      <w:r>
        <w:rPr>
          <w:rtl/>
        </w:rPr>
        <w:tab/>
        <w:t>והמשנה (לקמן סט) גבי עכו”ם ועבד י"ל כמסקנא (לקמן ע.) דקאי אף לרבנן (וע”פ הגמ' לעיל מה:) {ואפשר דאף להו"א, קאי כר' עקיבא דחיי"ל דשאר, ול”צ איסור חמור כ”כ}.</w:t>
      </w:r>
    </w:p>
  </w:footnote>
  <w:footnote w:id="3001">
    <w:p w14:paraId="57F63F42" w14:textId="77777777" w:rsidR="006074A5" w:rsidRDefault="006074A5" w:rsidP="006074A5">
      <w:pPr>
        <w:pStyle w:val="Footnote"/>
        <w:bidi/>
      </w:pPr>
      <w:r>
        <w:rPr>
          <w:rStyle w:val="ac"/>
          <w:rtl/>
        </w:rPr>
        <w:footnoteRef/>
      </w:r>
      <w:r>
        <w:rPr>
          <w:rtl/>
        </w:rPr>
        <w:t>ויש שדנו דלכאורה הא דלא תפסי קידושין ביבמה לא הוה מחמת חומר האיסור, אלא משום דעדיין קנויה מחמת קנין אישות דאישות המת [וכדתנן קידושין ב. וקונה את עצמה בחליצה, אלמא דקודם חליצה אינה ברשות עצמה]. ומש"ה אף דלא תפסי קידושין, מ"מ לא הוה טעם לממזרות כלל.</w:t>
      </w:r>
    </w:p>
    <w:p w14:paraId="1CE5B37A" w14:textId="77777777" w:rsidR="006074A5" w:rsidRDefault="006074A5" w:rsidP="006074A5">
      <w:pPr>
        <w:pStyle w:val="Footnote"/>
        <w:bidi/>
      </w:pPr>
      <w:r>
        <w:rPr>
          <w:rtl/>
        </w:rPr>
        <w:tab/>
        <w:t>אך בגמ' (קידושין סח.) רב אחא בר יעקב למד דלא תפסי קידושין בחייבי מיתות וחייבי כריתות מק"ו מיבמה לשוק. ומבואר דהוה מחמת חומר האיסור. [וצ"ע].</w:t>
      </w:r>
    </w:p>
  </w:footnote>
  <w:footnote w:id="3002">
    <w:p w14:paraId="33230366" w14:textId="77777777" w:rsidR="006074A5" w:rsidRDefault="006074A5" w:rsidP="006074A5">
      <w:pPr>
        <w:pStyle w:val="Footnote"/>
        <w:bidi/>
      </w:pPr>
      <w:r>
        <w:rPr>
          <w:rStyle w:val="ac"/>
          <w:rtl/>
        </w:rPr>
        <w:footnoteRef/>
      </w:r>
      <w:r>
        <w:rPr>
          <w:rtl/>
        </w:rPr>
        <w:t>וקצת משמע דהוה רק ס"ד דדמי, אבל אליבא דאמת לא דמי. אבל בתוס' מבואר דבאמת דמי, אלא דיש סברא בפנ"ע, וכמ"ש ר"ת.</w:t>
      </w:r>
    </w:p>
  </w:footnote>
  <w:footnote w:id="3003">
    <w:p w14:paraId="61461CBF" w14:textId="77777777" w:rsidR="006074A5" w:rsidRDefault="006074A5" w:rsidP="006074A5">
      <w:pPr>
        <w:pStyle w:val="Footnote"/>
        <w:bidi/>
      </w:pPr>
      <w:r>
        <w:rPr>
          <w:rStyle w:val="ac"/>
          <w:rtl/>
        </w:rPr>
        <w:footnoteRef/>
      </w:r>
      <w:r>
        <w:rPr>
          <w:rtl/>
        </w:rPr>
        <w:t>אך ה</w:t>
      </w:r>
      <w:r>
        <w:rPr>
          <w:b/>
          <w:bCs/>
          <w:rtl/>
        </w:rPr>
        <w:t>אחרונים</w:t>
      </w:r>
      <w:r>
        <w:rPr>
          <w:rtl/>
        </w:rPr>
        <w:t xml:space="preserve"> העירו דבגמ' איירי שהבועל אינו בר קידושין כלל. ואילו הכא איירי שהאשה אינה בת קידושין.</w:t>
      </w:r>
    </w:p>
  </w:footnote>
  <w:footnote w:id="3004">
    <w:p w14:paraId="59C9AA2B" w14:textId="77777777" w:rsidR="006074A5" w:rsidRDefault="006074A5" w:rsidP="006074A5">
      <w:pPr>
        <w:pStyle w:val="Footnote"/>
        <w:bidi/>
      </w:pPr>
      <w:r>
        <w:rPr>
          <w:rStyle w:val="ac"/>
          <w:rtl/>
        </w:rPr>
        <w:footnoteRef/>
      </w:r>
      <w:r>
        <w:rPr>
          <w:rtl/>
        </w:rPr>
        <w:t>דלכאו' קשה דאף אשת איש לא תפסי בה קידושין לשום אדם, אלא דמקודשת לבעלה. וצ"ל דמש"ה חשיבא בת קידושין, משא"כ יבמה דעדיין אינה אשתו של היבם, ואף לא תפסי בה קידושין [מלבד מעשה יבום].</w:t>
      </w:r>
    </w:p>
  </w:footnote>
  <w:footnote w:id="3005">
    <w:p w14:paraId="28922B35" w14:textId="77777777" w:rsidR="006074A5" w:rsidRDefault="006074A5" w:rsidP="006074A5">
      <w:pPr>
        <w:pStyle w:val="Footnote"/>
        <w:bidi/>
      </w:pPr>
      <w:r>
        <w:rPr>
          <w:rStyle w:val="ac"/>
          <w:rtl/>
        </w:rPr>
        <w:footnoteRef/>
      </w:r>
      <w:r>
        <w:rPr>
          <w:rtl/>
        </w:rPr>
        <w:t>ולקמן (ס.) מבואר דכהן הבא על הנדה לא נעשית חללה, דאינה מאיסורי כהונה.</w:t>
      </w:r>
    </w:p>
  </w:footnote>
  <w:footnote w:id="3006">
    <w:p w14:paraId="0A906633" w14:textId="77777777" w:rsidR="006074A5" w:rsidRDefault="006074A5" w:rsidP="006074A5">
      <w:pPr>
        <w:pStyle w:val="Footnote"/>
        <w:bidi/>
      </w:pPr>
      <w:r>
        <w:rPr>
          <w:rStyle w:val="ac"/>
          <w:rtl/>
        </w:rPr>
        <w:footnoteRef/>
      </w:r>
      <w:r>
        <w:rPr>
          <w:rtl/>
        </w:rPr>
        <w:t>[משמע דהוה איסור דאורייתא מלבד הביאה. וצ"ע דלא מצאנו בזה איסור לינשא. וע"ע מה שהו' לעיל י.].</w:t>
      </w:r>
    </w:p>
  </w:footnote>
  <w:footnote w:id="3007">
    <w:p w14:paraId="60AD731D" w14:textId="77777777" w:rsidR="006074A5" w:rsidRDefault="006074A5" w:rsidP="006074A5">
      <w:pPr>
        <w:pStyle w:val="Footnote"/>
        <w:bidi/>
      </w:pPr>
      <w:r>
        <w:rPr>
          <w:rStyle w:val="ac"/>
          <w:rtl/>
        </w:rPr>
        <w:footnoteRef/>
      </w:r>
      <w:r>
        <w:rPr>
          <w:rtl/>
        </w:rPr>
        <w:t>ויש שדנו דכוונת רש"י בז' ימי טומאה, אבל כשעברו ימי טומאתה פשיטא דמקודשת, דבידה לטבול. [ועד"ז כת' ה</w:t>
      </w:r>
      <w:r>
        <w:rPr>
          <w:b/>
          <w:bCs/>
          <w:rtl/>
        </w:rPr>
        <w:t>שעה"מ</w:t>
      </w:r>
      <w:r>
        <w:rPr>
          <w:rtl/>
        </w:rPr>
        <w:t xml:space="preserve"> (אישות י קו' חופת חתנים ו) דאף למ”ד דל"מ חופת נדה, היכא דבידה לטבול ודאי נחשב ראוי לביאה].</w:t>
      </w:r>
    </w:p>
  </w:footnote>
  <w:footnote w:id="3008">
    <w:p w14:paraId="79260F66" w14:textId="77777777" w:rsidR="006074A5" w:rsidRDefault="006074A5" w:rsidP="006074A5">
      <w:pPr>
        <w:pStyle w:val="Footnote"/>
        <w:bidi/>
      </w:pPr>
      <w:r>
        <w:rPr>
          <w:rStyle w:val="ac"/>
          <w:rtl/>
        </w:rPr>
        <w:footnoteRef/>
      </w:r>
      <w:r>
        <w:rPr>
          <w:rtl/>
        </w:rPr>
        <w:t>וע"פ הא דמקדש א' מב' אחיות (קידושין נא:), וכדברי ה</w:t>
      </w:r>
      <w:r>
        <w:rPr>
          <w:b/>
          <w:bCs/>
          <w:rtl/>
        </w:rPr>
        <w:t>רשב"א</w:t>
      </w:r>
      <w:r>
        <w:rPr>
          <w:rtl/>
        </w:rPr>
        <w:t xml:space="preserve"> (שם) דמח' אביי ורבא הוה במקדש א' מב', דאינה ראוי לביאה בתורת ספק. אבל היכא דקידש שניהם, ואינה ראויה לביאה בתורת ודאי כו"ע מודו דלא תפסי קידושין. אך הוה דלא כמ"ש </w:t>
      </w:r>
      <w:r>
        <w:rPr>
          <w:b/>
          <w:bCs/>
          <w:rtl/>
        </w:rPr>
        <w:t>תוס</w:t>
      </w:r>
      <w:r>
        <w:rPr>
          <w:rtl/>
        </w:rPr>
        <w:t>' (שם) דהנידון דוקא היכא דנגרם האיסור ע"י הקידושין.</w:t>
      </w:r>
    </w:p>
  </w:footnote>
  <w:footnote w:id="3009">
    <w:p w14:paraId="4429C386" w14:textId="77777777" w:rsidR="006074A5" w:rsidRDefault="006074A5" w:rsidP="006074A5">
      <w:pPr>
        <w:pStyle w:val="Footnote"/>
        <w:bidi/>
      </w:pPr>
      <w:r>
        <w:rPr>
          <w:rStyle w:val="ac"/>
          <w:rtl/>
        </w:rPr>
        <w:footnoteRef/>
      </w:r>
      <w:r>
        <w:rPr>
          <w:rtl/>
        </w:rPr>
        <w:t>ובפשוטו מבואר דלדעת רש"י פקעו הקידושין, ומותרת לשוק בלא גט. {אך שמעתי לפרש דאף לדעת רש"י צריכה גט להתיר איסור האישות, דאשת איש לא נפקא בלא כלום. ואף במיתת הבעל צריך קרא להתיר. אלא דכשנעשית ערוה ואינה ראויה לו, עי"ז יפקע קנין הנישואין, כיון דאינה אשה הראויה לו כלל. ובזה רש"י הביא דגבי סוטה כתיב והביא האיש את אשתו, דחשיבה אשתו}.</w:t>
      </w:r>
    </w:p>
  </w:footnote>
  <w:footnote w:id="3010">
    <w:p w14:paraId="113ED51B"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במקום שנפקע הקידושין, האם נאסרת לקרובים, וכמו גט, או דהוה הפקעה בעלמא. (וע' מש"כ בזה לעיל ט. ויח.).</w:t>
      </w:r>
    </w:p>
  </w:footnote>
  <w:footnote w:id="3011">
    <w:p w14:paraId="32823617" w14:textId="77777777" w:rsidR="006074A5" w:rsidRDefault="006074A5" w:rsidP="006074A5">
      <w:pPr>
        <w:pStyle w:val="Footnote"/>
        <w:bidi/>
      </w:pPr>
      <w:r>
        <w:rPr>
          <w:rStyle w:val="ac"/>
          <w:rtl/>
        </w:rPr>
        <w:footnoteRef/>
      </w:r>
      <w:r>
        <w:rPr>
          <w:rtl/>
        </w:rPr>
        <w:t>ויש שפי' דהוה סברא דאישות לא פקעה בכדי (וכדאי' נדרים כט.). [ודעת רש"י דכיון דהאשה אינה ראויה, ולא הוה 'בכדי'].</w:t>
      </w:r>
    </w:p>
    <w:p w14:paraId="4861DC8F" w14:textId="77777777" w:rsidR="006074A5" w:rsidRDefault="006074A5" w:rsidP="006074A5">
      <w:pPr>
        <w:pStyle w:val="Footnote"/>
        <w:bidi/>
      </w:pPr>
      <w:r>
        <w:rPr>
          <w:rtl/>
        </w:rPr>
        <w:tab/>
        <w:t>ועוד יש שדנו דתוס' ס"ל דהא דאין קידושין תופסין בעריות הוא סברא במעשה תפיסת הקידושין, אבל בתר דכבר חלו הקידושין אין חסרון. [וע' בסמוך].</w:t>
      </w:r>
    </w:p>
  </w:footnote>
  <w:footnote w:id="3012">
    <w:p w14:paraId="6D57295F" w14:textId="77777777" w:rsidR="006074A5" w:rsidRDefault="006074A5" w:rsidP="006074A5">
      <w:pPr>
        <w:pStyle w:val="Footnote"/>
        <w:bidi/>
      </w:pPr>
      <w:r>
        <w:rPr>
          <w:rStyle w:val="ac"/>
          <w:rtl/>
        </w:rPr>
        <w:footnoteRef/>
      </w:r>
      <w:r>
        <w:rPr>
          <w:rtl/>
        </w:rPr>
        <w:t>וה</w:t>
      </w:r>
      <w:r>
        <w:rPr>
          <w:b/>
          <w:bCs/>
          <w:rtl/>
        </w:rPr>
        <w:t>אתוון</w:t>
      </w:r>
      <w:r>
        <w:rPr>
          <w:rtl/>
        </w:rPr>
        <w:t xml:space="preserve"> </w:t>
      </w:r>
      <w:r>
        <w:rPr>
          <w:b/>
          <w:bCs/>
          <w:rtl/>
        </w:rPr>
        <w:t>דאורייתא</w:t>
      </w:r>
      <w:r>
        <w:rPr>
          <w:rtl/>
        </w:rPr>
        <w:t xml:space="preserve"> (ט) הביא דנח' רש”י ותוס' האם אפשר ללמוד הפקעה [בדבר שכבר חל], ממניעתו [לכתחילה]. [והאריך לדמות לכמה סוגיות הש”ס, דכיון דחל לא פקע].</w:t>
      </w:r>
    </w:p>
  </w:footnote>
  <w:footnote w:id="3013">
    <w:p w14:paraId="43DB1008" w14:textId="77777777" w:rsidR="006074A5" w:rsidRDefault="006074A5" w:rsidP="006074A5">
      <w:pPr>
        <w:pStyle w:val="Footnote"/>
        <w:bidi/>
      </w:pPr>
      <w:r>
        <w:rPr>
          <w:rStyle w:val="ac"/>
          <w:rtl/>
        </w:rPr>
        <w:footnoteRef/>
      </w:r>
      <w:r>
        <w:rPr>
          <w:rtl/>
        </w:rPr>
        <w:t>וכן מבואר ב</w:t>
      </w:r>
      <w:r>
        <w:rPr>
          <w:b/>
          <w:bCs/>
          <w:rtl/>
        </w:rPr>
        <w:t>תוס</w:t>
      </w:r>
      <w:r>
        <w:rPr>
          <w:rtl/>
        </w:rPr>
        <w:t>' (לקמן פד:) דפצוע דכא ל"ש לומר במותר לה נאסרה ביבם לא כ"ש, דהך ק"ו שייך רק כשנעשית מעשה באשה. וה</w:t>
      </w:r>
      <w:r>
        <w:rPr>
          <w:b/>
          <w:bCs/>
          <w:rtl/>
        </w:rPr>
        <w:t>אחרונים</w:t>
      </w:r>
      <w:r>
        <w:rPr>
          <w:rtl/>
        </w:rPr>
        <w:t xml:space="preserve"> ביארו דדוקא היכא דהוה פגם באישות אמרי' ק”ו [ע' לעיל יא.].</w:t>
      </w:r>
    </w:p>
    <w:p w14:paraId="4602D9C0" w14:textId="77777777" w:rsidR="006074A5" w:rsidRDefault="006074A5" w:rsidP="006074A5">
      <w:pPr>
        <w:pStyle w:val="Footnote"/>
        <w:bidi/>
      </w:pPr>
      <w:r>
        <w:rPr>
          <w:rtl/>
        </w:rPr>
        <w:tab/>
        <w:t>וה</w:t>
      </w:r>
      <w:r>
        <w:rPr>
          <w:b/>
          <w:bCs/>
          <w:rtl/>
        </w:rPr>
        <w:t>מאירי</w:t>
      </w:r>
      <w:r>
        <w:rPr>
          <w:rtl/>
        </w:rPr>
        <w:t xml:space="preserve"> (לקמן עט:) חילק דסוטה שאני דאיסורא מדידה אתי, אבל פצוע דכא לא נולד בגופה מידי, והאיסור מחמת הבעל.</w:t>
      </w:r>
    </w:p>
  </w:footnote>
  <w:footnote w:id="3014">
    <w:p w14:paraId="7668623B" w14:textId="77777777" w:rsidR="006074A5" w:rsidRDefault="006074A5" w:rsidP="006074A5">
      <w:pPr>
        <w:pStyle w:val="Footnote"/>
        <w:bidi/>
      </w:pPr>
      <w:r>
        <w:rPr>
          <w:rStyle w:val="ac"/>
          <w:rtl/>
        </w:rPr>
        <w:footnoteRef/>
      </w:r>
      <w:r>
        <w:rPr>
          <w:rtl/>
        </w:rPr>
        <w:t>אך בגמ' (לקמן עט:) גבי נפילה ליבום דימו נעשה פצוע דכא אחרי נפילה ליבום, לדין נעשית ערוה אחרי נפילה ליבום. ולא חילקו בכל זה.</w:t>
      </w:r>
    </w:p>
  </w:footnote>
  <w:footnote w:id="3015">
    <w:p w14:paraId="1D8D5637" w14:textId="77777777" w:rsidR="006074A5" w:rsidRDefault="006074A5" w:rsidP="006074A5">
      <w:pPr>
        <w:pStyle w:val="Footnote"/>
        <w:bidi/>
      </w:pPr>
      <w:r>
        <w:rPr>
          <w:rStyle w:val="ac"/>
          <w:rtl/>
        </w:rPr>
        <w:footnoteRef/>
      </w:r>
      <w:r>
        <w:rPr>
          <w:rtl/>
        </w:rPr>
        <w:t>[וע"ד מש"כ הרמב"ן גבי נדה דחוזר לברייתו].</w:t>
      </w:r>
    </w:p>
  </w:footnote>
  <w:footnote w:id="3016">
    <w:p w14:paraId="52313B4B" w14:textId="77777777" w:rsidR="006074A5" w:rsidRDefault="006074A5" w:rsidP="006074A5">
      <w:pPr>
        <w:pStyle w:val="Footnote"/>
        <w:bidi/>
      </w:pPr>
      <w:r>
        <w:rPr>
          <w:rStyle w:val="ac"/>
          <w:rtl/>
        </w:rPr>
        <w:footnoteRef/>
      </w:r>
      <w:r>
        <w:rPr>
          <w:rtl/>
        </w:rPr>
        <w:t>גבי מקדש אחות היבמה, דלא פקע הזיקה [למ"ד יש זיקה] דאינו בדין שתוציא מקודשת למקודשת. [אמנם היכא דנשאה, כת' דנישואין אלימי ופקע הזיקה]. [אך ב</w:t>
      </w:r>
      <w:r>
        <w:rPr>
          <w:b/>
          <w:bCs/>
          <w:rtl/>
        </w:rPr>
        <w:t>רשב"א</w:t>
      </w:r>
      <w:r>
        <w:rPr>
          <w:rtl/>
        </w:rPr>
        <w:t xml:space="preserve"> (לעיל מא.) מבואר דהוה סברא בדרבנן. אבל מדברי ה</w:t>
      </w:r>
      <w:r>
        <w:rPr>
          <w:b/>
          <w:bCs/>
          <w:rtl/>
        </w:rPr>
        <w:t>ריטב"א</w:t>
      </w:r>
      <w:r>
        <w:rPr>
          <w:rtl/>
        </w:rPr>
        <w:t xml:space="preserve"> (לקמן עט:) מבואר דהך סברא מהני מדאוריתא. וי"ל דאף ה</w:t>
      </w:r>
      <w:r>
        <w:rPr>
          <w:b/>
          <w:bCs/>
          <w:rtl/>
        </w:rPr>
        <w:t>רשב"א</w:t>
      </w:r>
      <w:r>
        <w:rPr>
          <w:rtl/>
        </w:rPr>
        <w:t xml:space="preserve"> מודה באישות גמור, אלא דזיקה הוה כאישות רק מדרבנן].</w:t>
      </w:r>
    </w:p>
  </w:footnote>
  <w:footnote w:id="3017">
    <w:p w14:paraId="45BC98BE" w14:textId="77777777" w:rsidR="006074A5" w:rsidRDefault="006074A5" w:rsidP="006074A5">
      <w:pPr>
        <w:pStyle w:val="Footnote"/>
        <w:bidi/>
      </w:pPr>
      <w:r>
        <w:rPr>
          <w:rStyle w:val="ac"/>
          <w:rtl/>
        </w:rPr>
        <w:footnoteRef/>
      </w:r>
      <w:r>
        <w:rPr>
          <w:rtl/>
        </w:rPr>
        <w:t xml:space="preserve">כ"ה לשון </w:t>
      </w:r>
      <w:r>
        <w:rPr>
          <w:b/>
          <w:bCs/>
          <w:rtl/>
        </w:rPr>
        <w:t>רש"י</w:t>
      </w:r>
      <w:r>
        <w:rPr>
          <w:rtl/>
        </w:rPr>
        <w:t xml:space="preserve"> (קידושין שם), ו</w:t>
      </w:r>
      <w:r>
        <w:rPr>
          <w:b/>
          <w:bCs/>
          <w:rtl/>
        </w:rPr>
        <w:t>תוס</w:t>
      </w:r>
      <w:r>
        <w:rPr>
          <w:rtl/>
        </w:rPr>
        <w:t xml:space="preserve">' הביאו כן בשם </w:t>
      </w:r>
      <w:r>
        <w:rPr>
          <w:b/>
          <w:bCs/>
          <w:rtl/>
        </w:rPr>
        <w:t>רש"י</w:t>
      </w:r>
      <w:r>
        <w:rPr>
          <w:rtl/>
        </w:rPr>
        <w:t xml:space="preserve"> (כאן). [אך רש"י דידן כת' דתפסי בה קידושין לאחר שזינתה, כיון דלא פקעו מינה קידושין. משמע דהוה גילוי משום דראוי ליפקע. וי"ל דתוס' שם פי' כוונתו דעדיין תפוס בה הקידושין. אף דקידושין חדשים לא תפסי בה].</w:t>
      </w:r>
    </w:p>
  </w:footnote>
  <w:footnote w:id="3018">
    <w:p w14:paraId="6F3C8B76" w14:textId="77777777" w:rsidR="006074A5" w:rsidRDefault="006074A5" w:rsidP="006074A5">
      <w:pPr>
        <w:pStyle w:val="Footnote"/>
        <w:bidi/>
      </w:pPr>
      <w:r>
        <w:rPr>
          <w:rStyle w:val="ac"/>
          <w:rtl/>
        </w:rPr>
        <w:footnoteRef/>
      </w:r>
      <w:r>
        <w:rPr>
          <w:rtl/>
        </w:rPr>
        <w:t xml:space="preserve">אך </w:t>
      </w:r>
      <w:r>
        <w:rPr>
          <w:b/>
          <w:bCs/>
          <w:rtl/>
        </w:rPr>
        <w:t>תוס'</w:t>
      </w:r>
      <w:r>
        <w:rPr>
          <w:rtl/>
        </w:rPr>
        <w:t xml:space="preserve"> (דידן) לא פי' כן. וכן ה</w:t>
      </w:r>
      <w:r>
        <w:rPr>
          <w:b/>
          <w:bCs/>
          <w:rtl/>
        </w:rPr>
        <w:t>רמב"ן</w:t>
      </w:r>
      <w:r>
        <w:rPr>
          <w:rtl/>
        </w:rPr>
        <w:t xml:space="preserve"> (הנ"ל) ס"ל דלא כן [בדעת רש”י].</w:t>
      </w:r>
    </w:p>
  </w:footnote>
  <w:footnote w:id="3019">
    <w:p w14:paraId="00BF10ED" w14:textId="77777777" w:rsidR="006074A5" w:rsidRDefault="006074A5" w:rsidP="006074A5">
      <w:pPr>
        <w:pStyle w:val="Footnote"/>
        <w:bidi/>
      </w:pPr>
      <w:r>
        <w:rPr>
          <w:rStyle w:val="ac"/>
          <w:rtl/>
        </w:rPr>
        <w:footnoteRef/>
      </w:r>
      <w:r>
        <w:rPr>
          <w:rtl/>
        </w:rPr>
        <w:t>ולפ"ז מתורץ דאשת איש שנעשית נדה לא יפקע הקידושין, וליכא ס"ד שיהא ממזר. ואף כשמגרשה יוכל להחזירה. ודוקא פנויה בעלמא ס"ד שלא יחול קידושין.</w:t>
      </w:r>
    </w:p>
  </w:footnote>
  <w:footnote w:id="3020">
    <w:p w14:paraId="3CF90CAB" w14:textId="77777777" w:rsidR="006074A5" w:rsidRDefault="006074A5" w:rsidP="006074A5">
      <w:pPr>
        <w:pStyle w:val="Footnote"/>
        <w:bidi/>
      </w:pPr>
      <w:r>
        <w:rPr>
          <w:rStyle w:val="ac"/>
          <w:rtl/>
        </w:rPr>
        <w:footnoteRef/>
      </w:r>
      <w:r>
        <w:rPr>
          <w:rtl/>
        </w:rPr>
        <w:t>יש שנקטו דכוונת הר”ש לפרש דברי רש”י כתוס' דידן, כיון דלא פקע קידושיה, ילפי' דאף כשבא לקדש מקודשת. ולא משמע כלל בדבריו כך, אלא דהוה סברא דבעודו תחתיו לא הוה ממזר, וכמ"ש תוס' (שם לעיל) בדעת רש"י. ונוס, סברא דאין לומר דע”י גירושין יחול איסור נוסף.</w:t>
      </w:r>
    </w:p>
  </w:footnote>
  <w:footnote w:id="3021">
    <w:p w14:paraId="3967DB48" w14:textId="77777777" w:rsidR="006074A5" w:rsidRDefault="006074A5" w:rsidP="006074A5">
      <w:pPr>
        <w:pStyle w:val="Footnote"/>
        <w:bidi/>
      </w:pPr>
      <w:r>
        <w:rPr>
          <w:rStyle w:val="ac"/>
          <w:rtl/>
        </w:rPr>
        <w:footnoteRef/>
      </w:r>
      <w:r>
        <w:rPr>
          <w:rtl/>
        </w:rPr>
        <w:t>ו</w:t>
      </w:r>
      <w:r>
        <w:rPr>
          <w:b/>
          <w:bCs/>
          <w:rtl/>
        </w:rPr>
        <w:t>תוס'</w:t>
      </w:r>
      <w:r>
        <w:rPr>
          <w:rtl/>
        </w:rPr>
        <w:t xml:space="preserve"> כת' ד'איכא למימר' דתפסי בה נמי קידושין. [משמע דנסתפקו בזה לענין תפיסת קידושין].</w:t>
      </w:r>
    </w:p>
  </w:footnote>
  <w:footnote w:id="3022">
    <w:p w14:paraId="60543252" w14:textId="77777777" w:rsidR="006074A5" w:rsidRDefault="006074A5" w:rsidP="006074A5">
      <w:pPr>
        <w:pStyle w:val="Footnote"/>
        <w:bidi/>
      </w:pPr>
      <w:r>
        <w:rPr>
          <w:rStyle w:val="ac"/>
          <w:rtl/>
        </w:rPr>
        <w:footnoteRef/>
      </w:r>
      <w:r>
        <w:rPr>
          <w:rtl/>
        </w:rPr>
        <w:t>ומשמע מדבריהם דסברת 'מה גריעותא' מהני רק לענין הממזרות. אבל לענין תפיסת הקידושין שפיר לא תפסי בה קידושין. אלא דתוס' באו מצד אחר, דכיון דלא הוה ממזר, תפסי קידושין. [ויל"פ דאף בעודה תחתיו לא תפסי קידושין, ונהי דלא פקעי קידושיה, מ"מ אינו ראוי לתפיסת קידושין. ומש"ה בזה לא חשיב שנוסף איסור חדש בגירושין. ודוקא לענין ממזרות יש סברא דלא גרע].</w:t>
      </w:r>
    </w:p>
  </w:footnote>
  <w:footnote w:id="3023">
    <w:p w14:paraId="191B537A" w14:textId="77777777" w:rsidR="006074A5" w:rsidRDefault="006074A5" w:rsidP="006074A5">
      <w:pPr>
        <w:pStyle w:val="Footnote"/>
        <w:bidi/>
      </w:pPr>
      <w:r>
        <w:rPr>
          <w:rStyle w:val="ac"/>
          <w:rtl/>
        </w:rPr>
        <w:footnoteRef/>
      </w:r>
      <w:r>
        <w:rPr>
          <w:rtl/>
        </w:rPr>
        <w:t>[ויל"פ דלא חל חומרת 'ערוה', כיון דיש לו בה קידושין. אף דיש כאן מציאות דאיסור חייבי לאוין שראוי להיות ערוה, גדר ערוה תלי בתפיסת קידושין].</w:t>
      </w:r>
    </w:p>
  </w:footnote>
  <w:footnote w:id="3024">
    <w:p w14:paraId="485E2113" w14:textId="77777777" w:rsidR="006074A5" w:rsidRDefault="006074A5" w:rsidP="006074A5">
      <w:pPr>
        <w:pStyle w:val="Footnote"/>
        <w:bidi/>
      </w:pPr>
      <w:r>
        <w:rPr>
          <w:rStyle w:val="ac"/>
          <w:rtl/>
        </w:rPr>
        <w:footnoteRef/>
      </w:r>
      <w:r>
        <w:rPr>
          <w:rtl/>
        </w:rPr>
        <w:t>וכ"ד ה</w:t>
      </w:r>
      <w:r>
        <w:rPr>
          <w:b/>
          <w:bCs/>
          <w:rtl/>
        </w:rPr>
        <w:t>רמב"ם</w:t>
      </w:r>
      <w:r>
        <w:rPr>
          <w:rtl/>
        </w:rPr>
        <w:t xml:space="preserve"> (איסו"ב טו ב) דבכל חייבי לאוין אינו חייב בביאה בלא קידושין. והראשונים האריכו לדחות דבריו.</w:t>
      </w:r>
    </w:p>
  </w:footnote>
  <w:footnote w:id="3025">
    <w:p w14:paraId="5E27A0C1" w14:textId="77777777" w:rsidR="006074A5" w:rsidRDefault="006074A5" w:rsidP="006074A5">
      <w:pPr>
        <w:pStyle w:val="Footnote"/>
        <w:bidi/>
      </w:pPr>
      <w:r>
        <w:rPr>
          <w:rStyle w:val="ac"/>
          <w:rtl/>
        </w:rPr>
        <w:footnoteRef/>
      </w:r>
      <w:r>
        <w:rPr>
          <w:rtl/>
        </w:rPr>
        <w:t>ועוד כת' דלדעת שמואל מיבמה הוה ספק ממזר [ולרב ממזר ודאי], ע"ע בסמוך.</w:t>
      </w:r>
    </w:p>
  </w:footnote>
  <w:footnote w:id="3026">
    <w:p w14:paraId="314EF790" w14:textId="77777777" w:rsidR="006074A5" w:rsidRDefault="006074A5" w:rsidP="006074A5">
      <w:pPr>
        <w:pStyle w:val="Footnote"/>
        <w:bidi/>
      </w:pPr>
      <w:r>
        <w:rPr>
          <w:rStyle w:val="ac"/>
          <w:rtl/>
        </w:rPr>
        <w:footnoteRef/>
      </w:r>
      <w:r>
        <w:rPr>
          <w:rtl/>
        </w:rPr>
        <w:t>וכ"כ ב</w:t>
      </w:r>
      <w:r>
        <w:rPr>
          <w:b/>
          <w:bCs/>
          <w:rtl/>
        </w:rPr>
        <w:t xml:space="preserve">תוס' חד מקמאי </w:t>
      </w:r>
      <w:r>
        <w:rPr>
          <w:rtl/>
        </w:rPr>
        <w:t>(עה"ג, ונקטו דהוא בעל ההשלמה). והתוס' חד מקמאי הביא די"מ דאף לרב דאין קידושין תופסים, אבל לא הוה ממזר, דלא פליג אמתני'. וכן לשמואל. אך הביא דמדברי אביי משמע דמספק"ל אי כרב או כשמואל, משמע דלרב הוה ממזר.</w:t>
      </w:r>
    </w:p>
  </w:footnote>
  <w:footnote w:id="3027">
    <w:p w14:paraId="3D7C14EC" w14:textId="77777777" w:rsidR="006074A5" w:rsidRDefault="006074A5" w:rsidP="006074A5">
      <w:pPr>
        <w:pStyle w:val="Footnote"/>
        <w:bidi/>
      </w:pPr>
      <w:r>
        <w:rPr>
          <w:rStyle w:val="ac"/>
          <w:rtl/>
        </w:rPr>
        <w:footnoteRef/>
      </w:r>
      <w:r>
        <w:rPr>
          <w:rtl/>
        </w:rPr>
        <w:t>[ויל"ד דה"מ במה דילפי' משום קרא ד'טומאה', אבל הכא ילפי' משום עצם הלאו, ואין סברא שהוקש להחשב לאו קל].</w:t>
      </w:r>
    </w:p>
  </w:footnote>
  <w:footnote w:id="3028">
    <w:p w14:paraId="5C3B71C2" w14:textId="77777777" w:rsidR="006074A5" w:rsidRDefault="006074A5" w:rsidP="006074A5">
      <w:pPr>
        <w:pStyle w:val="Footnote"/>
        <w:bidi/>
      </w:pPr>
      <w:r>
        <w:rPr>
          <w:rStyle w:val="ac"/>
          <w:rtl/>
        </w:rPr>
        <w:footnoteRef/>
      </w:r>
      <w:r>
        <w:rPr>
          <w:rtl/>
        </w:rPr>
        <w:t>ור"ע תי' דבע"כ שבקיה לקרא, דדחיק ומוקי אנפשיה.</w:t>
      </w:r>
    </w:p>
  </w:footnote>
  <w:footnote w:id="3029">
    <w:p w14:paraId="6F87F903" w14:textId="77777777" w:rsidR="006074A5" w:rsidRDefault="006074A5" w:rsidP="006074A5">
      <w:pPr>
        <w:pStyle w:val="Footnote"/>
        <w:bidi/>
      </w:pPr>
      <w:r>
        <w:rPr>
          <w:rStyle w:val="ac"/>
          <w:rtl/>
        </w:rPr>
        <w:footnoteRef/>
      </w:r>
      <w:r>
        <w:rPr>
          <w:rtl/>
        </w:rPr>
        <w:t>ולר' ישבב סוטה לבעל הוה עשה, ולא תפסי בה קידושין [ול”ק כלל קו' התוס'].</w:t>
      </w:r>
    </w:p>
  </w:footnote>
  <w:footnote w:id="3030">
    <w:p w14:paraId="4E68EA9D" w14:textId="77777777" w:rsidR="006074A5" w:rsidRDefault="006074A5" w:rsidP="006074A5">
      <w:pPr>
        <w:pStyle w:val="Footnote"/>
        <w:bidi/>
      </w:pPr>
      <w:r>
        <w:rPr>
          <w:rStyle w:val="ac"/>
          <w:rtl/>
        </w:rPr>
        <w:footnoteRef/>
      </w:r>
      <w:r>
        <w:rPr>
          <w:rtl/>
        </w:rPr>
        <w:t xml:space="preserve">ומשמע דהטעם דקי"ל כוותיה, משום שתנא דמתני' [או דברייתא] לא מיעט להביא דבריו, ורק במקום שהכריע דהלכה כמותו. אבל </w:t>
      </w:r>
      <w:r>
        <w:rPr>
          <w:b/>
          <w:bCs/>
          <w:rtl/>
        </w:rPr>
        <w:t>רש"י</w:t>
      </w:r>
      <w:r>
        <w:rPr>
          <w:rtl/>
        </w:rPr>
        <w:t xml:space="preserve"> (גיטין סז.) פי' קב שלא לימד הרבה.</w:t>
      </w:r>
    </w:p>
    <w:p w14:paraId="29FD730F" w14:textId="77777777" w:rsidR="006074A5" w:rsidRDefault="006074A5" w:rsidP="006074A5">
      <w:pPr>
        <w:pStyle w:val="Footnote"/>
        <w:bidi/>
      </w:pPr>
      <w:r>
        <w:rPr>
          <w:rtl/>
        </w:rPr>
        <w:tab/>
        <w:t>וב</w:t>
      </w:r>
      <w:r>
        <w:rPr>
          <w:b/>
          <w:bCs/>
          <w:rtl/>
        </w:rPr>
        <w:t>שו"ת הרי"ד</w:t>
      </w:r>
      <w:r>
        <w:rPr>
          <w:rtl/>
        </w:rPr>
        <w:t xml:space="preserve"> (א) פי' דראב"י היה עושה משנתו סלת, שלא היה שונה אלא העיקר והצורך וההלכה, אבל דבר שאין בו צורך ואין הלכה כך לא היה שונה, כאדם המסלת קמחו ובורר מן הסאה קב ובעבור זה היתה משנתו משובחת.</w:t>
      </w:r>
    </w:p>
  </w:footnote>
  <w:footnote w:id="3031">
    <w:p w14:paraId="7B33E11C" w14:textId="77777777" w:rsidR="006074A5" w:rsidRDefault="006074A5" w:rsidP="006074A5">
      <w:pPr>
        <w:pStyle w:val="Footnote"/>
        <w:bidi/>
      </w:pPr>
      <w:r>
        <w:rPr>
          <w:rStyle w:val="ac"/>
          <w:rtl/>
        </w:rPr>
        <w:footnoteRef/>
      </w:r>
      <w:r>
        <w:rPr>
          <w:rtl/>
        </w:rPr>
        <w:t>וב</w:t>
      </w:r>
      <w:r>
        <w:rPr>
          <w:b/>
          <w:bCs/>
          <w:rtl/>
        </w:rPr>
        <w:t>הג' מהר"ב רנשבורג</w:t>
      </w:r>
      <w:r>
        <w:rPr>
          <w:rtl/>
        </w:rPr>
        <w:t xml:space="preserve"> דייק מהגירסא 'או בברייתא' דהלכה כמותו אף בברייתא. והביא דבכ"מ מבואר דקי"ל כוותיה אף בברייתא, ושוב הביא דיש בזה מח' הסוגיות.</w:t>
      </w:r>
    </w:p>
  </w:footnote>
  <w:footnote w:id="3032">
    <w:p w14:paraId="104FE723" w14:textId="77777777" w:rsidR="006074A5" w:rsidRDefault="006074A5" w:rsidP="006074A5">
      <w:pPr>
        <w:pStyle w:val="Footnote"/>
        <w:bidi/>
      </w:pPr>
      <w:r>
        <w:rPr>
          <w:rStyle w:val="ac"/>
          <w:rtl/>
        </w:rPr>
        <w:footnoteRef/>
      </w:r>
      <w:r>
        <w:rPr>
          <w:rtl/>
        </w:rPr>
        <w:t>כדאמרי' (חגיגה יד.) דר' יודא בן תימא וחביריו היו שונין שש מאות סדרי משנה. ועוד דר' יוסי [שהיה רבו של רבי] אמר בסוף כלים אשריך כלים שנכנסת בטומאה ויצאת בטהרה, דמוכח שהיה סדר משנה קודם לכן. אלא שרבי הוסיף וגרע במשניות.</w:t>
      </w:r>
    </w:p>
  </w:footnote>
  <w:footnote w:id="3033">
    <w:p w14:paraId="6462D5D9" w14:textId="77777777" w:rsidR="006074A5" w:rsidRDefault="006074A5" w:rsidP="006074A5">
      <w:pPr>
        <w:pStyle w:val="Footnote"/>
        <w:bidi/>
      </w:pPr>
      <w:r>
        <w:rPr>
          <w:rStyle w:val="ac"/>
          <w:rtl/>
        </w:rPr>
        <w:footnoteRef/>
      </w:r>
      <w:r>
        <w:rPr>
          <w:rtl/>
        </w:rPr>
        <w:t>וב</w:t>
      </w:r>
      <w:r>
        <w:rPr>
          <w:b/>
          <w:bCs/>
          <w:rtl/>
        </w:rPr>
        <w:t>הג' הראמ"ה</w:t>
      </w:r>
      <w:r>
        <w:rPr>
          <w:rtl/>
        </w:rPr>
        <w:t xml:space="preserve"> כת' דראב”י האריך ימים אחרי בן עזאי, וי”ל דבשעת כתיבת המגילה ראב"י עדיין לא אמר את הדין דלעיל (לז:).</w:t>
      </w:r>
    </w:p>
  </w:footnote>
  <w:footnote w:id="3034">
    <w:p w14:paraId="3EB2BF26" w14:textId="77777777" w:rsidR="006074A5" w:rsidRDefault="006074A5" w:rsidP="006074A5">
      <w:pPr>
        <w:pStyle w:val="Footnote"/>
        <w:bidi/>
      </w:pPr>
      <w:r>
        <w:rPr>
          <w:rStyle w:val="ac"/>
          <w:rtl/>
        </w:rPr>
        <w:footnoteRef/>
      </w:r>
      <w:r>
        <w:rPr>
          <w:rtl/>
        </w:rPr>
        <w:t>ועד"ז פ</w:t>
      </w:r>
      <w:r>
        <w:rPr>
          <w:b/>
          <w:bCs/>
          <w:rtl/>
        </w:rPr>
        <w:t>רש"י</w:t>
      </w:r>
      <w:r>
        <w:rPr>
          <w:rtl/>
        </w:rPr>
        <w:t xml:space="preserve"> (סוכה מה:) אספקלריא, מחיצה שחוצצת ביניהם לשכינה. ופי' מאירה כמראה זו שרואין בה, ויש צדיקים שאין מאירה להם כל כך, ואין יכולין לראות ממש.</w:t>
      </w:r>
    </w:p>
  </w:footnote>
  <w:footnote w:id="3035">
    <w:p w14:paraId="6A5BDC0F" w14:textId="77777777" w:rsidR="006074A5" w:rsidRDefault="006074A5" w:rsidP="006074A5">
      <w:pPr>
        <w:pStyle w:val="Footnote"/>
        <w:bidi/>
      </w:pPr>
      <w:r>
        <w:rPr>
          <w:rStyle w:val="ac"/>
          <w:rtl/>
        </w:rPr>
        <w:footnoteRef/>
      </w:r>
      <w:r>
        <w:rPr>
          <w:rtl/>
        </w:rPr>
        <w:t>ו</w:t>
      </w:r>
      <w:r>
        <w:rPr>
          <w:b/>
          <w:bCs/>
          <w:rtl/>
        </w:rPr>
        <w:t>רש"י</w:t>
      </w:r>
      <w:r>
        <w:rPr>
          <w:rtl/>
        </w:rPr>
        <w:t xml:space="preserve"> (יחזקאל א א) פי' הפסוק 'ואראה מראות אלקים', שקורא אותה מראות אלהים, כעין חלום ולא ממש. דראה מתוך אספקלריא שאינה מאירה.</w:t>
      </w:r>
    </w:p>
  </w:footnote>
  <w:footnote w:id="3036">
    <w:p w14:paraId="611621AF" w14:textId="77777777" w:rsidR="006074A5" w:rsidRDefault="006074A5" w:rsidP="006074A5">
      <w:pPr>
        <w:pStyle w:val="Footnote"/>
        <w:bidi/>
      </w:pPr>
      <w:r>
        <w:rPr>
          <w:rStyle w:val="ac"/>
          <w:rtl/>
        </w:rPr>
        <w:footnoteRef/>
      </w:r>
      <w:r>
        <w:rPr>
          <w:rtl/>
        </w:rPr>
        <w:t>זה כמו אדם זקן שראייתו כחוש, ונדמה לו כאילו ראה מראה וכו'. וכדאי' (הושע יב יא) וביד הנביאים אדמה.</w:t>
      </w:r>
    </w:p>
  </w:footnote>
  <w:footnote w:id="3037">
    <w:p w14:paraId="2917288B" w14:textId="77777777" w:rsidR="006074A5" w:rsidRDefault="006074A5" w:rsidP="006074A5">
      <w:pPr>
        <w:pStyle w:val="Footnote"/>
        <w:bidi/>
      </w:pPr>
      <w:r>
        <w:rPr>
          <w:rStyle w:val="ac"/>
          <w:rtl/>
        </w:rPr>
        <w:footnoteRef/>
      </w:r>
      <w:r>
        <w:rPr>
          <w:rtl/>
        </w:rPr>
        <w:t>ומשמע שכוונתו מראה מאחורי השכינה.</w:t>
      </w:r>
    </w:p>
  </w:footnote>
  <w:footnote w:id="3038">
    <w:p w14:paraId="787B1A89" w14:textId="77777777" w:rsidR="006074A5" w:rsidRDefault="006074A5" w:rsidP="006074A5">
      <w:pPr>
        <w:pStyle w:val="Footnote"/>
        <w:bidi/>
      </w:pPr>
      <w:r>
        <w:rPr>
          <w:rStyle w:val="ac"/>
          <w:rtl/>
        </w:rPr>
        <w:footnoteRef/>
      </w:r>
      <w:r>
        <w:rPr>
          <w:rtl/>
        </w:rPr>
        <w:t xml:space="preserve">וכ"כ </w:t>
      </w:r>
      <w:r>
        <w:rPr>
          <w:b/>
          <w:bCs/>
          <w:rtl/>
        </w:rPr>
        <w:t>תוס</w:t>
      </w:r>
      <w:r>
        <w:rPr>
          <w:rtl/>
        </w:rPr>
        <w:t xml:space="preserve">' (שבת קלג:) דבכמה דוכתין תניא מה שבהדיא בפסוק. ויש שתי' דלדעת </w:t>
      </w:r>
      <w:r>
        <w:rPr>
          <w:b/>
          <w:bCs/>
          <w:rtl/>
        </w:rPr>
        <w:t xml:space="preserve">רש"י </w:t>
      </w:r>
      <w:r>
        <w:rPr>
          <w:rtl/>
        </w:rPr>
        <w:t>'זיל קרי בי רב' הוא דבר הידוע טפי [וכדאי' (שבועות יד:), ובזה לא אמרי' דרבי שונה דבר ידוע כ"כ.</w:t>
      </w:r>
    </w:p>
  </w:footnote>
  <w:footnote w:id="3039">
    <w:p w14:paraId="4FE69A05" w14:textId="77777777" w:rsidR="006074A5" w:rsidRDefault="006074A5" w:rsidP="006074A5">
      <w:pPr>
        <w:pStyle w:val="Footnote"/>
        <w:bidi/>
      </w:pPr>
      <w:r>
        <w:rPr>
          <w:rStyle w:val="ac"/>
          <w:rtl/>
        </w:rPr>
        <w:footnoteRef/>
      </w:r>
      <w:r>
        <w:rPr>
          <w:rtl/>
        </w:rPr>
        <w:t>וה</w:t>
      </w:r>
      <w:r>
        <w:rPr>
          <w:b/>
          <w:bCs/>
          <w:rtl/>
        </w:rPr>
        <w:t>מהרש"א</w:t>
      </w:r>
      <w:r>
        <w:rPr>
          <w:rtl/>
        </w:rPr>
        <w:t xml:space="preserve"> הקשה אמאי פי' רש"י כהו"א. וה</w:t>
      </w:r>
      <w:r>
        <w:rPr>
          <w:b/>
          <w:bCs/>
          <w:rtl/>
        </w:rPr>
        <w:t>אחרונים</w:t>
      </w:r>
      <w:r>
        <w:rPr>
          <w:rtl/>
        </w:rPr>
        <w:t xml:space="preserve"> כתבו דכן דרך רש"י לנקוט כהו"א.</w:t>
      </w:r>
    </w:p>
  </w:footnote>
  <w:footnote w:id="3040">
    <w:p w14:paraId="5CAF9FA9" w14:textId="77777777" w:rsidR="006074A5" w:rsidRDefault="006074A5" w:rsidP="006074A5">
      <w:pPr>
        <w:pStyle w:val="Footnote"/>
        <w:bidi/>
      </w:pPr>
      <w:r>
        <w:rPr>
          <w:rStyle w:val="ac"/>
          <w:rtl/>
        </w:rPr>
        <w:footnoteRef/>
      </w:r>
      <w:r>
        <w:rPr>
          <w:rtl/>
        </w:rPr>
        <w:t>וי"ל דכוונת רש"י דמדרבנן נחשב דאין כאן זיקה.</w:t>
      </w:r>
    </w:p>
  </w:footnote>
  <w:footnote w:id="3041">
    <w:p w14:paraId="588CFB2C" w14:textId="77777777" w:rsidR="006074A5" w:rsidRDefault="006074A5" w:rsidP="006074A5">
      <w:pPr>
        <w:pStyle w:val="Footnote"/>
        <w:bidi/>
      </w:pPr>
      <w:r>
        <w:rPr>
          <w:rStyle w:val="ac"/>
          <w:rtl/>
        </w:rPr>
        <w:footnoteRef/>
      </w:r>
      <w:r>
        <w:rPr>
          <w:rtl/>
        </w:rPr>
        <w:t>ועד"ז כת' ה</w:t>
      </w:r>
      <w:r>
        <w:rPr>
          <w:b/>
          <w:bCs/>
          <w:rtl/>
        </w:rPr>
        <w:t>ישרש יעקב</w:t>
      </w:r>
      <w:r>
        <w:rPr>
          <w:rtl/>
        </w:rPr>
        <w:t xml:space="preserve"> דמיירי שבא עליה בשוגג או אונס שאינו קונה מדין קדושין.</w:t>
      </w:r>
    </w:p>
  </w:footnote>
  <w:footnote w:id="3042">
    <w:p w14:paraId="338CAC97" w14:textId="77777777" w:rsidR="006074A5" w:rsidRDefault="006074A5" w:rsidP="006074A5">
      <w:pPr>
        <w:pStyle w:val="Footnote"/>
        <w:bidi/>
      </w:pPr>
      <w:r>
        <w:rPr>
          <w:rStyle w:val="ac"/>
          <w:rtl/>
        </w:rPr>
        <w:footnoteRef/>
      </w:r>
      <w:r>
        <w:rPr>
          <w:rtl/>
        </w:rPr>
        <w:t>ורע"א הק' דהו"ל לגמ' לדייק ארישא, דהוה כר"ע. וכקו' התוס' (ד"ה ר”ג).</w:t>
      </w:r>
    </w:p>
  </w:footnote>
  <w:footnote w:id="3043">
    <w:p w14:paraId="36C5DC05" w14:textId="77777777" w:rsidR="006074A5" w:rsidRDefault="006074A5" w:rsidP="006074A5">
      <w:pPr>
        <w:pStyle w:val="Footnote"/>
        <w:bidi/>
      </w:pPr>
      <w:r>
        <w:rPr>
          <w:rStyle w:val="ac"/>
          <w:rtl/>
        </w:rPr>
        <w:footnoteRef/>
      </w:r>
      <w:r>
        <w:rPr>
          <w:rtl/>
        </w:rPr>
        <w:t>ועוד דנו ה</w:t>
      </w:r>
      <w:r>
        <w:rPr>
          <w:b/>
          <w:bCs/>
          <w:rtl/>
        </w:rPr>
        <w:t>אחרונים</w:t>
      </w:r>
      <w:r>
        <w:rPr>
          <w:rtl/>
        </w:rPr>
        <w:t xml:space="preserve"> לפרש דלריב"ן תפסי קידושין ביבמה, ואחרי מאמר לא גרע מחייבי לאוין (וכן משמע בתוס' ר"פ).</w:t>
      </w:r>
    </w:p>
  </w:footnote>
  <w:footnote w:id="3044">
    <w:p w14:paraId="5F968A60" w14:textId="77777777" w:rsidR="006074A5" w:rsidRDefault="006074A5" w:rsidP="006074A5">
      <w:pPr>
        <w:pStyle w:val="Footnote"/>
        <w:bidi/>
      </w:pPr>
      <w:r>
        <w:rPr>
          <w:rStyle w:val="ac"/>
          <w:rtl/>
        </w:rPr>
        <w:footnoteRef/>
      </w:r>
      <w:r>
        <w:rPr>
          <w:rtl/>
        </w:rPr>
        <w:t>והביא מדברי ה</w:t>
      </w:r>
      <w:r>
        <w:rPr>
          <w:b/>
          <w:bCs/>
          <w:rtl/>
        </w:rPr>
        <w:t xml:space="preserve">ירושלמי </w:t>
      </w:r>
      <w:r>
        <w:rPr>
          <w:rtl/>
        </w:rPr>
        <w:t>דמקשה כעי"ז, ותי' דלא אמרי' (ממה) נפשך בעריות. [והאריך שם דהבבלי לא ס"ל הך סברא].</w:t>
      </w:r>
    </w:p>
  </w:footnote>
  <w:footnote w:id="3045">
    <w:p w14:paraId="2D47678F" w14:textId="77777777" w:rsidR="006074A5" w:rsidRDefault="006074A5" w:rsidP="006074A5">
      <w:pPr>
        <w:pStyle w:val="Footnote"/>
        <w:bidi/>
      </w:pPr>
      <w:r>
        <w:rPr>
          <w:rStyle w:val="ac"/>
          <w:rtl/>
        </w:rPr>
        <w:footnoteRef/>
      </w:r>
      <w:r>
        <w:rPr>
          <w:rtl/>
        </w:rPr>
        <w:t>ולכאורה היינו כצד (נב:) דאחרי חליצה שייך מאמר (דרבנן), עי"ש. [אלא דיל"ד דאחרי יבום לא עדיף ממאמר אחר מאמר לר"ג. ורק אחרי חליצה תקנו. וי"ל דזהו סברת התוס'].</w:t>
      </w:r>
    </w:p>
  </w:footnote>
  <w:footnote w:id="3046">
    <w:p w14:paraId="275C94E5" w14:textId="77777777" w:rsidR="006074A5" w:rsidRDefault="006074A5" w:rsidP="006074A5">
      <w:pPr>
        <w:pStyle w:val="Footnote"/>
        <w:bidi/>
      </w:pPr>
      <w:r>
        <w:rPr>
          <w:rStyle w:val="ac"/>
          <w:rtl/>
        </w:rPr>
        <w:footnoteRef/>
      </w:r>
      <w:r>
        <w:rPr>
          <w:rtl/>
        </w:rPr>
        <w:t>[ובפשוטו י"ל דהוה סברא דרבנן בעלמא]. ועד"ז כת' ה</w:t>
      </w:r>
      <w:r>
        <w:rPr>
          <w:b/>
          <w:bCs/>
          <w:rtl/>
        </w:rPr>
        <w:t>חזו"א</w:t>
      </w:r>
      <w:r>
        <w:rPr>
          <w:rtl/>
        </w:rPr>
        <w:t xml:space="preserve"> (קלד מד.) דמאמר ל"מ בחייבי עשה. ולכאורה כוונתו דלא עדיף מביאה, דאם בעלו ל"ק (וכ”ש לצד דליכא זיקה ליבום). [אבל האחרונים דנו בזה, דדוקא קנין שהוא בעצם איסור אמרי' אם בעלו ל"ק].</w:t>
      </w:r>
    </w:p>
  </w:footnote>
  <w:footnote w:id="3047">
    <w:p w14:paraId="25C8D4A8" w14:textId="77777777" w:rsidR="006074A5" w:rsidRDefault="006074A5" w:rsidP="006074A5">
      <w:pPr>
        <w:pStyle w:val="Footnote"/>
        <w:bidi/>
      </w:pPr>
      <w:r>
        <w:rPr>
          <w:rStyle w:val="ac"/>
          <w:rtl/>
        </w:rPr>
        <w:footnoteRef/>
      </w:r>
      <w:r>
        <w:rPr>
          <w:rtl/>
        </w:rPr>
        <w:t>וה</w:t>
      </w:r>
      <w:r>
        <w:rPr>
          <w:b/>
          <w:bCs/>
          <w:rtl/>
        </w:rPr>
        <w:t>בי"מ</w:t>
      </w:r>
      <w:r>
        <w:rPr>
          <w:rtl/>
        </w:rPr>
        <w:t xml:space="preserve"> כת' דהוה מצי למימר דנפק"מ אי נאסרה לכהונה, ונפק"מ כשמת היבם. [וכת' דהברייתא דמבואר דנפק”מ לאיסור קרובותיה ס”ל דאין זיקה].</w:t>
      </w:r>
    </w:p>
  </w:footnote>
  <w:footnote w:id="3048">
    <w:p w14:paraId="2493051A" w14:textId="77777777" w:rsidR="006074A5" w:rsidRDefault="006074A5" w:rsidP="006074A5">
      <w:pPr>
        <w:pStyle w:val="Footnote"/>
        <w:bidi/>
      </w:pPr>
      <w:r>
        <w:rPr>
          <w:rStyle w:val="ac"/>
          <w:rtl/>
        </w:rPr>
        <w:footnoteRef/>
      </w:r>
      <w:r>
        <w:rPr>
          <w:rtl/>
        </w:rPr>
        <w:t>וה</w:t>
      </w:r>
      <w:r>
        <w:rPr>
          <w:b/>
          <w:bCs/>
          <w:rtl/>
        </w:rPr>
        <w:t>בי"ש</w:t>
      </w:r>
      <w:r>
        <w:rPr>
          <w:rtl/>
        </w:rPr>
        <w:t xml:space="preserve"> ציין למח' אי קי"ל דהיכא דתרוייהו פסולית צריכות חיזור. וה</w:t>
      </w:r>
      <w:r>
        <w:rPr>
          <w:b/>
          <w:bCs/>
          <w:rtl/>
        </w:rPr>
        <w:t>בי"מ</w:t>
      </w:r>
      <w:r>
        <w:rPr>
          <w:rtl/>
        </w:rPr>
        <w:t xml:space="preserve"> הק' דהכא הוה חליצה כשירה טפי [היכא דלא נתן גט לשניה], ואף לשמואל (לעיל כז.) צריך לחלוץ לכשירה.</w:t>
      </w:r>
    </w:p>
  </w:footnote>
  <w:footnote w:id="3049">
    <w:p w14:paraId="373788A4" w14:textId="77777777" w:rsidR="006074A5" w:rsidRDefault="006074A5" w:rsidP="006074A5">
      <w:pPr>
        <w:pStyle w:val="Footnote"/>
        <w:bidi/>
      </w:pPr>
      <w:r>
        <w:rPr>
          <w:rStyle w:val="ac"/>
          <w:rtl/>
        </w:rPr>
        <w:footnoteRef/>
      </w:r>
      <w:r>
        <w:rPr>
          <w:rtl/>
        </w:rPr>
        <w:t>ולכאו' כוונתו וכגון שהצרה אינה רוצה לינשא, וליכא איסור אחות זקוקתו משום חליצת חיזור. וכ"ד ה</w:t>
      </w:r>
      <w:r>
        <w:rPr>
          <w:b/>
          <w:bCs/>
          <w:rtl/>
        </w:rPr>
        <w:t>תוס' מהר"ם ור"פ</w:t>
      </w:r>
      <w:r>
        <w:rPr>
          <w:rtl/>
        </w:rPr>
        <w:t xml:space="preserve"> (כז. וכז:) דמשום חליצת חיזור נאסר בקרובות, אבל לא משום זיקה.</w:t>
      </w:r>
    </w:p>
  </w:footnote>
  <w:footnote w:id="3050">
    <w:p w14:paraId="6881DF61" w14:textId="77777777" w:rsidR="006074A5" w:rsidRDefault="006074A5" w:rsidP="006074A5">
      <w:pPr>
        <w:pStyle w:val="Footnote"/>
        <w:bidi/>
      </w:pPr>
      <w:r>
        <w:rPr>
          <w:rStyle w:val="ac"/>
          <w:rtl/>
        </w:rPr>
        <w:footnoteRef/>
      </w:r>
      <w:r>
        <w:rPr>
          <w:rtl/>
        </w:rPr>
        <w:t>ו</w:t>
      </w:r>
      <w:r>
        <w:rPr>
          <w:b/>
          <w:bCs/>
          <w:rtl/>
        </w:rPr>
        <w:t>רש"י</w:t>
      </w:r>
      <w:r>
        <w:rPr>
          <w:rtl/>
        </w:rPr>
        <w:t xml:space="preserve"> (נא: בסוה"ע) כת' [בשם מורו] דלבן עזאי אין מאמר אחר מאמר משום דאין קידושין אחר קידושין באשה א'. [ומשמע דרש”י פליג דמאמר לא דמיא לקידושין דעלמא].</w:t>
      </w:r>
    </w:p>
  </w:footnote>
  <w:footnote w:id="3051">
    <w:p w14:paraId="59638A57" w14:textId="77777777" w:rsidR="006074A5" w:rsidRDefault="006074A5" w:rsidP="006074A5">
      <w:pPr>
        <w:pStyle w:val="Footnote"/>
        <w:bidi/>
      </w:pPr>
      <w:r>
        <w:rPr>
          <w:rStyle w:val="ac"/>
          <w:rtl/>
        </w:rPr>
        <w:footnoteRef/>
      </w:r>
      <w:r>
        <w:rPr>
          <w:rtl/>
        </w:rPr>
        <w:t>אבל ה</w:t>
      </w:r>
      <w:r>
        <w:rPr>
          <w:b/>
          <w:bCs/>
          <w:rtl/>
        </w:rPr>
        <w:t>אחרונים</w:t>
      </w:r>
      <w:r>
        <w:rPr>
          <w:rtl/>
        </w:rPr>
        <w:t xml:space="preserve"> ביארו כוונת התו"י דע"י הגט נעקר המאמר למפרע. אבל אם לא גירש, נאסרה עליו. ומ"מ יש מאמר אחר מאמר, כיון דיש זכות לאח לאוסרה עליו, ה”נ חל קנין דידיה.</w:t>
      </w:r>
    </w:p>
  </w:footnote>
  <w:footnote w:id="3052">
    <w:p w14:paraId="5ABF2058" w14:textId="77777777" w:rsidR="006074A5" w:rsidRDefault="006074A5" w:rsidP="006074A5">
      <w:pPr>
        <w:pStyle w:val="Footnote"/>
        <w:bidi/>
      </w:pPr>
      <w:r>
        <w:rPr>
          <w:rStyle w:val="ac"/>
          <w:rtl/>
        </w:rPr>
        <w:footnoteRef/>
      </w:r>
      <w:r>
        <w:rPr>
          <w:rtl/>
        </w:rPr>
        <w:t>וכמו היכא דנעשית ערוה, דלדעת רש"י (מט:) פקעי הקידושין. [ואפשר דה"מ היכא דעכשיו האשה אינה ראויה, ואילו הכא אדרבה ראויה עכשיו לקידושין גמורין, וכדין חייבי לאוין].</w:t>
      </w:r>
    </w:p>
  </w:footnote>
  <w:footnote w:id="3053">
    <w:p w14:paraId="7148A9A8" w14:textId="77777777" w:rsidR="006074A5" w:rsidRDefault="006074A5" w:rsidP="006074A5">
      <w:pPr>
        <w:pStyle w:val="Footnote"/>
        <w:bidi/>
      </w:pPr>
      <w:r>
        <w:rPr>
          <w:rStyle w:val="ac"/>
          <w:rtl/>
        </w:rPr>
        <w:footnoteRef/>
      </w:r>
      <w:r>
        <w:rPr>
          <w:rtl/>
        </w:rPr>
        <w:t>ושמעתי לתרץ דכל תקנת מאמר תקנו במקום איסור אשת אח [וכמ"ש רש"י נב. דהתורה לא התירה אלא כסדר המצוה], ומש"ה ל"ש שיפקע עי"ז. ועוד יש שתי' דמאמר הוה מעין קנין יבום, וה</w:t>
      </w:r>
      <w:r>
        <w:rPr>
          <w:b/>
          <w:bCs/>
          <w:rtl/>
        </w:rPr>
        <w:t>מקנה</w:t>
      </w:r>
      <w:r>
        <w:rPr>
          <w:rtl/>
        </w:rPr>
        <w:t xml:space="preserve"> (קידושין סח) כת' דקנין יבום תפס אפי' במקום שאין קידושין תופסים [וכגון לס"ד דעשה דוחה ל"ת שיש בו כרת, ומותרת להתייבם. וכדלעיל ג:]. וא"כ אף כשנעשית ערוה לאחר זמן לא פקע ממנו המאמר.</w:t>
      </w:r>
    </w:p>
    <w:p w14:paraId="0BA17C22" w14:textId="77777777" w:rsidR="006074A5" w:rsidRDefault="006074A5" w:rsidP="006074A5">
      <w:pPr>
        <w:pStyle w:val="Footnote"/>
        <w:bidi/>
      </w:pPr>
      <w:r>
        <w:rPr>
          <w:rtl/>
        </w:rPr>
        <w:tab/>
        <w:t>[ועפ"ז העושה מאמר ביבמתו, ואח"כ נשא אחותה, אף דפקע הזיקה (כמ"ש תוס' יח: דהיכא דנשא פקע), מ"מ צריכה גט למאמרו].</w:t>
      </w:r>
    </w:p>
  </w:footnote>
  <w:footnote w:id="3054">
    <w:p w14:paraId="4D23DF9F" w14:textId="77777777" w:rsidR="006074A5" w:rsidRDefault="006074A5" w:rsidP="006074A5">
      <w:pPr>
        <w:pStyle w:val="Footnote"/>
        <w:bidi/>
      </w:pPr>
      <w:r>
        <w:rPr>
          <w:rStyle w:val="ac"/>
          <w:rtl/>
        </w:rPr>
        <w:footnoteRef/>
      </w:r>
      <w:r>
        <w:rPr>
          <w:rtl/>
        </w:rPr>
        <w:t>אבל ה</w:t>
      </w:r>
      <w:r>
        <w:rPr>
          <w:b/>
          <w:bCs/>
          <w:rtl/>
        </w:rPr>
        <w:t>רמב"ם</w:t>
      </w:r>
      <w:r>
        <w:rPr>
          <w:rtl/>
        </w:rPr>
        <w:t xml:space="preserve"> בהלכות (ה ג) סתם, ולא פירש להקדים גט או חליצה.</w:t>
      </w:r>
    </w:p>
  </w:footnote>
  <w:footnote w:id="3055">
    <w:p w14:paraId="7446A43C" w14:textId="77777777" w:rsidR="006074A5" w:rsidRDefault="006074A5" w:rsidP="006074A5">
      <w:pPr>
        <w:pStyle w:val="Footnote"/>
        <w:bidi/>
      </w:pPr>
      <w:r>
        <w:rPr>
          <w:rStyle w:val="ac"/>
          <w:rtl/>
        </w:rPr>
        <w:footnoteRef/>
      </w:r>
      <w:r>
        <w:rPr>
          <w:rtl/>
        </w:rPr>
        <w:t>וי"ל דרש"י (כאן) קאי כצד דגט מהני מדאורייתא. ואפ"ה רש"י חידש דע"י הגט הוה איסור בעלמא, וליכא לאו גמור דלא יבנה.</w:t>
      </w:r>
    </w:p>
  </w:footnote>
  <w:footnote w:id="3056">
    <w:p w14:paraId="55178AF4" w14:textId="77777777" w:rsidR="006074A5" w:rsidRDefault="006074A5" w:rsidP="006074A5">
      <w:pPr>
        <w:pStyle w:val="Footnote"/>
        <w:bidi/>
      </w:pPr>
      <w:r>
        <w:rPr>
          <w:rStyle w:val="ac"/>
          <w:rtl/>
        </w:rPr>
        <w:footnoteRef/>
      </w:r>
      <w:r>
        <w:rPr>
          <w:rtl/>
        </w:rPr>
        <w:t>ובפשוטו הוה גזירה בפנ"ע. אבל ה</w:t>
      </w:r>
      <w:r>
        <w:rPr>
          <w:b/>
          <w:bCs/>
          <w:rtl/>
        </w:rPr>
        <w:t>תוס' רא"ש</w:t>
      </w:r>
      <w:r>
        <w:rPr>
          <w:rtl/>
        </w:rPr>
        <w:t xml:space="preserve"> (כאן) בשם </w:t>
      </w:r>
      <w:r>
        <w:rPr>
          <w:b/>
          <w:bCs/>
          <w:rtl/>
        </w:rPr>
        <w:t>ר' מנחם</w:t>
      </w:r>
      <w:r>
        <w:rPr>
          <w:rtl/>
        </w:rPr>
        <w:t xml:space="preserve"> כת' דלגבי דידיה לא אמרי' מאי דעביד שקליה.</w:t>
      </w:r>
    </w:p>
  </w:footnote>
  <w:footnote w:id="3057">
    <w:p w14:paraId="033AA7E8" w14:textId="77777777" w:rsidR="006074A5" w:rsidRDefault="006074A5" w:rsidP="006074A5">
      <w:pPr>
        <w:pStyle w:val="Footnote"/>
        <w:bidi/>
      </w:pPr>
      <w:r>
        <w:rPr>
          <w:rStyle w:val="ac"/>
          <w:rtl/>
        </w:rPr>
        <w:footnoteRef/>
      </w:r>
      <w:r>
        <w:rPr>
          <w:rtl/>
        </w:rPr>
        <w:t>יל"ד דאפשר דלרש"י בעי גט עכ"פ מדרבנן [ולא מצאנו בשום מקום בפועל שיוצא לרש"י בלא גט].</w:t>
      </w:r>
    </w:p>
  </w:footnote>
  <w:footnote w:id="3058">
    <w:p w14:paraId="7C482D05" w14:textId="77777777" w:rsidR="006074A5" w:rsidRDefault="006074A5" w:rsidP="006074A5">
      <w:pPr>
        <w:pStyle w:val="Footnote"/>
        <w:bidi/>
      </w:pPr>
      <w:r>
        <w:rPr>
          <w:rStyle w:val="ac"/>
          <w:rtl/>
        </w:rPr>
        <w:footnoteRef/>
      </w:r>
      <w:r>
        <w:rPr>
          <w:rtl/>
        </w:rPr>
        <w:t>וכעי"ז ילה"ק בעשה מאמר ובעל, דמדאורי' נעשית ערוה. [אלא די"ל דגדר ביאה פסולה שאינה פוטרת, דנחשב לצד הזה דאינה ערוה].</w:t>
      </w:r>
    </w:p>
  </w:footnote>
  <w:footnote w:id="3059">
    <w:p w14:paraId="77F40C6E" w14:textId="77777777" w:rsidR="006074A5" w:rsidRDefault="006074A5" w:rsidP="006074A5">
      <w:pPr>
        <w:pStyle w:val="Footnote"/>
        <w:bidi/>
      </w:pPr>
      <w:r>
        <w:rPr>
          <w:rStyle w:val="ac"/>
          <w:rtl/>
        </w:rPr>
        <w:footnoteRef/>
      </w:r>
      <w:r>
        <w:rPr>
          <w:rtl/>
        </w:rPr>
        <w:t>אבל ב</w:t>
      </w:r>
      <w:r>
        <w:rPr>
          <w:b/>
          <w:bCs/>
          <w:rtl/>
        </w:rPr>
        <w:t>רש"י</w:t>
      </w:r>
      <w:r>
        <w:rPr>
          <w:rtl/>
        </w:rPr>
        <w:t xml:space="preserve"> (בע"א) משמע דמאמר וחלץ, אינו ניתר כלל ע"י המאמר.</w:t>
      </w:r>
    </w:p>
  </w:footnote>
  <w:footnote w:id="3060">
    <w:p w14:paraId="688DD337" w14:textId="77777777" w:rsidR="006074A5" w:rsidRDefault="006074A5" w:rsidP="006074A5">
      <w:pPr>
        <w:pStyle w:val="Footnote"/>
        <w:bidi/>
      </w:pPr>
      <w:r>
        <w:rPr>
          <w:rStyle w:val="ac"/>
          <w:rtl/>
        </w:rPr>
        <w:footnoteRef/>
      </w:r>
      <w:r>
        <w:rPr>
          <w:rtl/>
        </w:rPr>
        <w:t>דהחליצה אינו פועל על הצד שכבר נקנה ביבום.</w:t>
      </w:r>
    </w:p>
  </w:footnote>
  <w:footnote w:id="3061">
    <w:p w14:paraId="23ECDD8B" w14:textId="77777777" w:rsidR="006074A5" w:rsidRDefault="006074A5" w:rsidP="006074A5">
      <w:pPr>
        <w:pStyle w:val="Footnote"/>
        <w:bidi/>
      </w:pPr>
      <w:r>
        <w:rPr>
          <w:rStyle w:val="ac"/>
          <w:rtl/>
        </w:rPr>
        <w:footnoteRef/>
      </w:r>
      <w:r>
        <w:rPr>
          <w:rtl/>
        </w:rPr>
        <w:t>ו</w:t>
      </w:r>
      <w:r>
        <w:rPr>
          <w:b/>
          <w:bCs/>
          <w:rtl/>
        </w:rPr>
        <w:t xml:space="preserve">רש"י </w:t>
      </w:r>
      <w:r>
        <w:rPr>
          <w:rtl/>
        </w:rPr>
        <w:t>כתב אי לייבומי תרוייהו הו"ל בונה ב' בתים (דאורייתא). וצ“ב אמאי כתב כן, הרי אף א' אסור.</w:t>
      </w:r>
    </w:p>
  </w:footnote>
  <w:footnote w:id="3062">
    <w:p w14:paraId="50FBDAF0" w14:textId="77777777" w:rsidR="006074A5" w:rsidRDefault="006074A5" w:rsidP="006074A5">
      <w:pPr>
        <w:pStyle w:val="Footnote"/>
        <w:bidi/>
      </w:pPr>
      <w:r>
        <w:rPr>
          <w:rStyle w:val="ac"/>
          <w:rtl/>
        </w:rPr>
        <w:footnoteRef/>
      </w:r>
      <w:r>
        <w:rPr>
          <w:rtl/>
        </w:rPr>
        <w:t>וקצת משמע מרש"י דכל הטעם משום דעדיין אגידא במאמר, אבל אם מתה היבמה, לא נחשב ב' בתים.</w:t>
      </w:r>
    </w:p>
  </w:footnote>
  <w:footnote w:id="3063">
    <w:p w14:paraId="690B00ED" w14:textId="77777777" w:rsidR="006074A5" w:rsidRDefault="006074A5" w:rsidP="006074A5">
      <w:pPr>
        <w:pStyle w:val="Footnote"/>
        <w:bidi/>
      </w:pPr>
      <w:r>
        <w:rPr>
          <w:rStyle w:val="ac"/>
          <w:rtl/>
        </w:rPr>
        <w:footnoteRef/>
      </w:r>
      <w:r>
        <w:rPr>
          <w:rtl/>
        </w:rPr>
        <w:t>וה</w:t>
      </w:r>
      <w:r>
        <w:rPr>
          <w:b/>
          <w:bCs/>
          <w:rtl/>
        </w:rPr>
        <w:t>בית מאיר</w:t>
      </w:r>
      <w:r>
        <w:rPr>
          <w:rtl/>
        </w:rPr>
        <w:t xml:space="preserve"> (קע ח) כתב דגבי מאמר לזו ובעל לזו, ב' גיטין וחליצה, אי"צ חיזור וסגי בחליצה א', דכיון דהוה רק דרבנן לא בעי חיזור. וה</w:t>
      </w:r>
      <w:r>
        <w:rPr>
          <w:b/>
          <w:bCs/>
          <w:rtl/>
        </w:rPr>
        <w:t>ישרש יעקב</w:t>
      </w:r>
      <w:r>
        <w:rPr>
          <w:rtl/>
        </w:rPr>
        <w:t xml:space="preserve"> פליג.</w:t>
      </w:r>
    </w:p>
  </w:footnote>
  <w:footnote w:id="3064">
    <w:p w14:paraId="662F78D5" w14:textId="77777777" w:rsidR="006074A5" w:rsidRDefault="006074A5" w:rsidP="006074A5">
      <w:pPr>
        <w:pStyle w:val="Footnote"/>
        <w:bidi/>
      </w:pPr>
      <w:r>
        <w:rPr>
          <w:rStyle w:val="ac"/>
          <w:rtl/>
        </w:rPr>
        <w:footnoteRef/>
      </w:r>
      <w:r>
        <w:rPr>
          <w:rtl/>
        </w:rPr>
        <w:t xml:space="preserve">ע' </w:t>
      </w:r>
      <w:r>
        <w:rPr>
          <w:b/>
          <w:bCs/>
          <w:rtl/>
        </w:rPr>
        <w:t>שיעורי ר' דוד.</w:t>
      </w:r>
      <w:r>
        <w:rPr>
          <w:rtl/>
        </w:rPr>
        <w:t xml:space="preserve"> וע"ע לקמן נא: מש"כ ה</w:t>
      </w:r>
      <w:r>
        <w:rPr>
          <w:b/>
          <w:bCs/>
          <w:rtl/>
        </w:rPr>
        <w:t>מאירי</w:t>
      </w:r>
      <w:r>
        <w:rPr>
          <w:rtl/>
        </w:rPr>
        <w:t>.</w:t>
      </w:r>
    </w:p>
  </w:footnote>
  <w:footnote w:id="3065">
    <w:p w14:paraId="463B836E" w14:textId="77777777" w:rsidR="006074A5" w:rsidRDefault="006074A5" w:rsidP="006074A5">
      <w:pPr>
        <w:pStyle w:val="Footnote"/>
        <w:bidi/>
      </w:pPr>
      <w:r>
        <w:rPr>
          <w:rStyle w:val="ac"/>
          <w:rtl/>
        </w:rPr>
        <w:footnoteRef/>
      </w:r>
      <w:r>
        <w:rPr>
          <w:rtl/>
        </w:rPr>
        <w:t>וצ"ב דהו"ל למתני' חידוש טפי דשייך שיבואו עי"ז ליבום. [ואפשר דכוונתו ע"פ דברי הגמ' (נג.) דהתרת יבמה עדיפא].</w:t>
      </w:r>
    </w:p>
  </w:footnote>
  <w:footnote w:id="3066">
    <w:p w14:paraId="742DFD0E" w14:textId="77777777" w:rsidR="006074A5" w:rsidRDefault="006074A5" w:rsidP="006074A5">
      <w:pPr>
        <w:pStyle w:val="Footnote"/>
        <w:bidi/>
      </w:pPr>
      <w:r>
        <w:rPr>
          <w:rStyle w:val="ac"/>
          <w:rtl/>
        </w:rPr>
        <w:footnoteRef/>
      </w:r>
      <w:r>
        <w:rPr>
          <w:rtl/>
        </w:rPr>
        <w:t>וה</w:t>
      </w:r>
      <w:r>
        <w:rPr>
          <w:b/>
          <w:bCs/>
          <w:rtl/>
        </w:rPr>
        <w:t>רשב”א</w:t>
      </w:r>
      <w:r>
        <w:rPr>
          <w:rtl/>
        </w:rPr>
        <w:t xml:space="preserve"> כתב דאף לשיטת רש”י והרמב”ם דהיא אסורה, מ"מ הצרה מותרת. וכתב ואפי' נאמר דהצרה אסורה לעושה המאמר, מ"מ הצרה ודאי מותרת לאחיו. וע"ל נב: ובסו"ד כתב הרשב"א דמשמע ברש"י  כאן דבכל אופן אסור.</w:t>
      </w:r>
    </w:p>
    <w:p w14:paraId="23520A15" w14:textId="77777777" w:rsidR="006074A5" w:rsidRDefault="006074A5" w:rsidP="006074A5">
      <w:pPr>
        <w:pStyle w:val="Footnote"/>
        <w:bidi/>
      </w:pPr>
      <w:r>
        <w:rPr>
          <w:rtl/>
        </w:rPr>
        <w:tab/>
        <w:t>וב</w:t>
      </w:r>
      <w:r>
        <w:rPr>
          <w:b/>
          <w:bCs/>
          <w:rtl/>
        </w:rPr>
        <w:t>תורא"ש</w:t>
      </w:r>
      <w:r>
        <w:rPr>
          <w:rtl/>
        </w:rPr>
        <w:t xml:space="preserve"> כ' בשם </w:t>
      </w:r>
      <w:r>
        <w:rPr>
          <w:b/>
          <w:bCs/>
          <w:rtl/>
        </w:rPr>
        <w:t>ר' מנחם</w:t>
      </w:r>
      <w:r>
        <w:rPr>
          <w:rtl/>
        </w:rPr>
        <w:t xml:space="preserve"> דרבא קאי אמתני' שמת עושה המאמר, אבל לגבי דידיה לא אמרי' מאי דעביד שקליה וכן לגבי אחין נמי.</w:t>
      </w:r>
    </w:p>
  </w:footnote>
  <w:footnote w:id="3067">
    <w:p w14:paraId="1D59952F" w14:textId="77777777" w:rsidR="006074A5" w:rsidRDefault="006074A5" w:rsidP="006074A5">
      <w:pPr>
        <w:pStyle w:val="Footnote"/>
        <w:bidi/>
      </w:pPr>
      <w:r>
        <w:rPr>
          <w:rStyle w:val="ac"/>
          <w:rtl/>
        </w:rPr>
        <w:footnoteRef/>
      </w:r>
      <w:r>
        <w:rPr>
          <w:rtl/>
        </w:rPr>
        <w:t>אך לכאו' לא דמי לזיקה, דהוה זיקה א' לכולם, והגט דחי לזיקה. אבל המאמר הוה קנין ליבם זה, והאיך הגט דחי מאמר של חבירו. ולכאו' מוכח דמאמר הוה גדר יבום במקצת, ונחשב שליחותייהו דאחים. [ומ"מ צ"ע דלא מצאנו גדר שליחותייהו על גוף הקנין].</w:t>
      </w:r>
    </w:p>
  </w:footnote>
  <w:footnote w:id="3068">
    <w:p w14:paraId="10BCDF7A" w14:textId="77777777" w:rsidR="006074A5" w:rsidRDefault="006074A5" w:rsidP="006074A5">
      <w:pPr>
        <w:pStyle w:val="Footnote"/>
        <w:bidi/>
      </w:pPr>
      <w:r>
        <w:rPr>
          <w:rStyle w:val="ac"/>
          <w:rtl/>
        </w:rPr>
        <w:footnoteRef/>
      </w:r>
      <w:r>
        <w:rPr>
          <w:rtl/>
        </w:rPr>
        <w:t>ומשמע דקו' הגמ' דלא היה לחכמים לתקן נגד דין התורה [וע"ד סברת הט"ז יו"ד קיז]. ואילו מדברי רש"י משמע דקו' הגמ' דל"ש בזה גדר 'לא יבנה'.</w:t>
      </w:r>
    </w:p>
  </w:footnote>
  <w:footnote w:id="3069">
    <w:p w14:paraId="38D61606" w14:textId="77777777" w:rsidR="006074A5" w:rsidRDefault="006074A5" w:rsidP="006074A5">
      <w:pPr>
        <w:pStyle w:val="Footnote"/>
        <w:bidi/>
      </w:pPr>
      <w:r>
        <w:rPr>
          <w:rStyle w:val="ac"/>
          <w:rtl/>
        </w:rPr>
        <w:footnoteRef/>
      </w:r>
      <w:r>
        <w:rPr>
          <w:rtl/>
        </w:rPr>
        <w:t>פ</w:t>
      </w:r>
      <w:r>
        <w:rPr>
          <w:b/>
          <w:bCs/>
          <w:rtl/>
        </w:rPr>
        <w:t>רש"י</w:t>
      </w:r>
      <w:r>
        <w:rPr>
          <w:rtl/>
        </w:rPr>
        <w:t xml:space="preserve"> (ד"ה ומ"ט א"ר מאמר) לאסור חברתה. משמע דקושיית הגמ' אינה תקנו מאמר דבעי גט, אלא הא דמהני לאסור. וצ"ע.</w:t>
      </w:r>
    </w:p>
  </w:footnote>
  <w:footnote w:id="3070">
    <w:p w14:paraId="0817C1B2" w14:textId="77777777" w:rsidR="006074A5" w:rsidRDefault="006074A5" w:rsidP="006074A5">
      <w:pPr>
        <w:pStyle w:val="Footnote"/>
        <w:bidi/>
      </w:pPr>
      <w:r>
        <w:rPr>
          <w:rStyle w:val="ac"/>
          <w:rtl/>
        </w:rPr>
        <w:footnoteRef/>
      </w:r>
      <w:r>
        <w:rPr>
          <w:rtl/>
        </w:rPr>
        <w:t>וה</w:t>
      </w:r>
      <w:r>
        <w:rPr>
          <w:b/>
          <w:bCs/>
          <w:rtl/>
        </w:rPr>
        <w:t>מאירי</w:t>
      </w:r>
      <w:r>
        <w:rPr>
          <w:rtl/>
        </w:rPr>
        <w:t xml:space="preserve"> (ריש קידושין) כת' דכסף ושטר ל"מ ביבמה, אלא שמדרבנן מהני קנין מאמר לאוסרה לאחין. אלא שאין המאמר גומרין בה להקנותה לו לשום זכות בעולם. [ומשמע דמהני רק לאסור, ולא לקנות. ולכאו' מבואר דלא חל 'קנין אישות' ע"י המאמר].  </w:t>
      </w:r>
    </w:p>
  </w:footnote>
  <w:footnote w:id="3071">
    <w:p w14:paraId="126E7128" w14:textId="77777777" w:rsidR="006074A5" w:rsidRDefault="006074A5" w:rsidP="006074A5">
      <w:pPr>
        <w:pStyle w:val="Footnote"/>
        <w:bidi/>
      </w:pPr>
      <w:r>
        <w:rPr>
          <w:rStyle w:val="ac"/>
          <w:rtl/>
        </w:rPr>
        <w:footnoteRef/>
      </w:r>
      <w:r>
        <w:rPr>
          <w:rtl/>
        </w:rPr>
        <w:t>ובגמ' (לעיל יט:) נח' אי מהני מאמר בע"כ, אי ילפי' מיבום או מקידושין.</w:t>
      </w:r>
    </w:p>
  </w:footnote>
  <w:footnote w:id="3072">
    <w:p w14:paraId="31F7B471" w14:textId="77777777" w:rsidR="006074A5" w:rsidRDefault="006074A5" w:rsidP="006074A5">
      <w:pPr>
        <w:pStyle w:val="Footnote"/>
        <w:bidi/>
      </w:pPr>
      <w:r>
        <w:rPr>
          <w:rStyle w:val="ac"/>
          <w:rtl/>
        </w:rPr>
        <w:footnoteRef/>
      </w:r>
      <w:r>
        <w:rPr>
          <w:rtl/>
        </w:rPr>
        <w:t>ואף דאסור לייבם [משום הגט], מ"מ ס"ד דמהני יבום לקנות ולפוטרה.</w:t>
      </w:r>
    </w:p>
  </w:footnote>
  <w:footnote w:id="3073">
    <w:p w14:paraId="06D233A3" w14:textId="77777777" w:rsidR="006074A5" w:rsidRDefault="006074A5" w:rsidP="006074A5">
      <w:pPr>
        <w:pStyle w:val="Footnote"/>
        <w:bidi/>
      </w:pPr>
      <w:r>
        <w:rPr>
          <w:rStyle w:val="ac"/>
          <w:rtl/>
        </w:rPr>
        <w:footnoteRef/>
      </w:r>
      <w:r>
        <w:rPr>
          <w:rtl/>
        </w:rPr>
        <w:t>וכן מבואר במשנה דביאה באמצע יש אחריה, ותפס מאמר וגט [דאחיו או בצרות].</w:t>
      </w:r>
    </w:p>
  </w:footnote>
  <w:footnote w:id="3074">
    <w:p w14:paraId="4913ACDC" w14:textId="77777777" w:rsidR="006074A5" w:rsidRDefault="006074A5" w:rsidP="006074A5">
      <w:pPr>
        <w:pStyle w:val="Footnote"/>
        <w:bidi/>
      </w:pPr>
      <w:r>
        <w:rPr>
          <w:rStyle w:val="ac"/>
          <w:rtl/>
        </w:rPr>
        <w:footnoteRef/>
      </w:r>
      <w:r>
        <w:rPr>
          <w:rtl/>
        </w:rPr>
        <w:t>ויל"ד מ"ש מביאה פסולה בסוגיין דצריכה גט [וה</w:t>
      </w:r>
      <w:r>
        <w:rPr>
          <w:b/>
          <w:bCs/>
          <w:rtl/>
        </w:rPr>
        <w:t>מאירי</w:t>
      </w:r>
      <w:r>
        <w:rPr>
          <w:rtl/>
        </w:rPr>
        <w:t xml:space="preserve"> כת' דאיירי בלא נתכוון לקנין]. ו</w:t>
      </w:r>
      <w:r>
        <w:rPr>
          <w:b/>
          <w:bCs/>
          <w:rtl/>
        </w:rPr>
        <w:t>רש"י</w:t>
      </w:r>
      <w:r>
        <w:rPr>
          <w:rtl/>
        </w:rPr>
        <w:t xml:space="preserve"> (במשנה) פי' דאחר גט תפסי מאמר [אף לר"ע] דלא הוה חייבי לאוין גמורים. א"כ אף חייבי עשה לא הוה חייבי לאוין גמורין, א"כ נימא דאם בעלו קנו. [עכ"פ מגדרי מאמר דרבנן].</w:t>
      </w:r>
    </w:p>
    <w:p w14:paraId="12DB5A0D" w14:textId="77777777" w:rsidR="006074A5" w:rsidRDefault="006074A5" w:rsidP="006074A5">
      <w:pPr>
        <w:pStyle w:val="Footnote"/>
        <w:bidi/>
      </w:pPr>
      <w:r>
        <w:rPr>
          <w:rtl/>
        </w:rPr>
        <w:tab/>
        <w:t>וי"ל דהתם איירי שאסורה מדאורייתא, ומש"ה גרע. וכ"ש לצד [בספק הפרשת דרכים] דיש איסור אשת אח בחייבי עשה [דלא נפלו ליבום]. ועי"ל דדוקא במקום שנפלה מעיקרא ליבום, תקנו ביאה פסולה וכעין מאמר. אבל חייבי עשה דאף מעיקרא נפלו רק לחליצה לא תקנו גזירת ביאה פסולה.</w:t>
      </w:r>
    </w:p>
  </w:footnote>
  <w:footnote w:id="3075">
    <w:p w14:paraId="041A6E4E" w14:textId="77777777" w:rsidR="006074A5" w:rsidRDefault="006074A5" w:rsidP="006074A5">
      <w:pPr>
        <w:pStyle w:val="Footnote"/>
        <w:bidi/>
      </w:pPr>
      <w:r>
        <w:rPr>
          <w:rStyle w:val="ac"/>
          <w:rtl/>
        </w:rPr>
        <w:footnoteRef/>
      </w:r>
      <w:r>
        <w:rPr>
          <w:rtl/>
        </w:rPr>
        <w:t xml:space="preserve">וצ"ב האיך תפסי בה קידושין, הא </w:t>
      </w:r>
      <w:r>
        <w:rPr>
          <w:b/>
          <w:bCs/>
          <w:rtl/>
        </w:rPr>
        <w:t>רש"י</w:t>
      </w:r>
      <w:r>
        <w:rPr>
          <w:rtl/>
        </w:rPr>
        <w:t xml:space="preserve"> (נב.) כת' דבכל יבמה לא תפסי קידושין מדאורייתא, דהתורה לא התירה לעשות כאשתו אלא כסדר המצווה. ויש שחילקו דהיינו במקום מצוות יבום, דהתורה גילתה דאין כסף ושטר גומרים בה, אלא כסדר המצווה. ואילו במקום איסור עשה דליכא מצוות יבום, שפיר תפס קידושי כסף ושטר מדאורייתא. [אך בפשוטו נקטו האחרונים דכוונת רש"י דערות אשת אח מונע, דלא הותר אלא למצוות יבום. וכ"ש במקום איסור עשה דליכא מצוות יבום, נשאר דין אשת אח. ולא תפסי קידושין].</w:t>
      </w:r>
    </w:p>
  </w:footnote>
  <w:footnote w:id="3076">
    <w:p w14:paraId="0506680D" w14:textId="77777777" w:rsidR="006074A5" w:rsidRDefault="006074A5" w:rsidP="006074A5">
      <w:pPr>
        <w:pStyle w:val="Footnote"/>
        <w:bidi/>
      </w:pPr>
      <w:r>
        <w:rPr>
          <w:rStyle w:val="ac"/>
          <w:rtl/>
        </w:rPr>
        <w:footnoteRef/>
      </w:r>
      <w:r>
        <w:rPr>
          <w:rtl/>
        </w:rPr>
        <w:t>ובפשוטו הוה קידושין בעלמא, ונחשב דיש כאן הקמת שם, ואי"צ חליצה [אף דלא נעשית דרך יבום, ע' בסמוך]. [ובפשוטו אף קידושי כסף תפסי. וילד”ח דגלי קרא דאין כסף ושטר גומרים, דצריך דוקא קידושין דרך ביאה. וצ”ע]. אבל ב</w:t>
      </w:r>
      <w:r>
        <w:rPr>
          <w:b/>
          <w:bCs/>
          <w:rtl/>
        </w:rPr>
        <w:t>חי' ר' שמעון</w:t>
      </w:r>
      <w:r>
        <w:rPr>
          <w:rtl/>
        </w:rPr>
        <w:t xml:space="preserve"> (כא) חידש דהוה משום קנין יבום. ואף דלא נחשב קיום המצווה, קנין היבום לא תליא בקיום המצוה. אלא לענין לפטור צרתה בעינן קיום המצוה.</w:t>
      </w:r>
    </w:p>
  </w:footnote>
  <w:footnote w:id="3077">
    <w:p w14:paraId="61D279A9" w14:textId="77777777" w:rsidR="006074A5" w:rsidRDefault="006074A5" w:rsidP="006074A5">
      <w:pPr>
        <w:pStyle w:val="Footnote"/>
        <w:bidi/>
      </w:pPr>
      <w:r>
        <w:rPr>
          <w:rStyle w:val="ac"/>
          <w:rtl/>
        </w:rPr>
        <w:footnoteRef/>
      </w:r>
      <w:r>
        <w:rPr>
          <w:rtl/>
        </w:rPr>
        <w:t>וקונה דרך קידושין דעלמא כיון דלא רמי קמיה למצוות יבום. וה</w:t>
      </w:r>
      <w:r>
        <w:rPr>
          <w:b/>
          <w:bCs/>
          <w:rtl/>
        </w:rPr>
        <w:t>אבנ"מ</w:t>
      </w:r>
      <w:r>
        <w:rPr>
          <w:rtl/>
        </w:rPr>
        <w:t xml:space="preserve"> (קעד) הק' דמאמר ל"ק ביבמה מדאורייתא, ופ</w:t>
      </w:r>
      <w:r>
        <w:rPr>
          <w:b/>
          <w:bCs/>
          <w:rtl/>
        </w:rPr>
        <w:t>רש"י</w:t>
      </w:r>
      <w:r>
        <w:rPr>
          <w:rtl/>
        </w:rPr>
        <w:t xml:space="preserve"> (לקמן נב.)  דהתורה לא התירה אלא כסדר המצווה. וה</w:t>
      </w:r>
      <w:r>
        <w:rPr>
          <w:b/>
          <w:bCs/>
          <w:rtl/>
        </w:rPr>
        <w:t>אחרונים</w:t>
      </w:r>
      <w:r>
        <w:rPr>
          <w:rtl/>
        </w:rPr>
        <w:t xml:space="preserve"> ביארו דהרמב"ם ס"ל דהטעם דל"ק במאמר משום דגלי קרא דאין כסף ושטר גומרים בה. ודוקא היכא דזקוקה ליבום גלי קרא דל"מ קידושין, אבל היכא דאם בעלו ל"ק תפסי קידושין.  </w:t>
      </w:r>
    </w:p>
  </w:footnote>
  <w:footnote w:id="3078">
    <w:p w14:paraId="62923869" w14:textId="77777777" w:rsidR="006074A5" w:rsidRDefault="006074A5" w:rsidP="006074A5">
      <w:pPr>
        <w:pStyle w:val="Footnote"/>
        <w:bidi/>
      </w:pPr>
      <w:r>
        <w:rPr>
          <w:rStyle w:val="ac"/>
          <w:rtl/>
        </w:rPr>
        <w:footnoteRef/>
      </w:r>
      <w:r>
        <w:rPr>
          <w:rtl/>
        </w:rPr>
        <w:t>[וי"ל דמתני' ר"ע ומש”ה מדרבנן נחשב דלא תפסי קידושין. ועי"ל דאיירי בביאת שוגג או לשם זנות, וכמ"ש המאירי. אך לכאו' מבואר דאיירי אף בלאו הכי].</w:t>
      </w:r>
    </w:p>
  </w:footnote>
  <w:footnote w:id="3079">
    <w:p w14:paraId="1E8B0331" w14:textId="77777777" w:rsidR="006074A5" w:rsidRDefault="006074A5" w:rsidP="006074A5">
      <w:pPr>
        <w:pStyle w:val="Footnote"/>
        <w:bidi/>
      </w:pPr>
      <w:r>
        <w:rPr>
          <w:rStyle w:val="ac"/>
          <w:rtl/>
        </w:rPr>
        <w:footnoteRef/>
      </w:r>
      <w:r>
        <w:rPr>
          <w:rtl/>
        </w:rPr>
        <w:t>וה</w:t>
      </w:r>
      <w:r>
        <w:rPr>
          <w:b/>
          <w:bCs/>
          <w:rtl/>
        </w:rPr>
        <w:t>בי"מ</w:t>
      </w:r>
      <w:r>
        <w:rPr>
          <w:rtl/>
        </w:rPr>
        <w:t xml:space="preserve"> (קסא) כתב דלדעת רש"י אע"ג דלעיל (ג. ולא.) אמרי' אם אתה אומר חולצת חיישינן שתתייבם [ומשמע דקאי למסקנא], הכא הוה גזירה לגזירה.</w:t>
      </w:r>
    </w:p>
  </w:footnote>
  <w:footnote w:id="3080">
    <w:p w14:paraId="5606299E" w14:textId="77777777" w:rsidR="006074A5" w:rsidRDefault="006074A5" w:rsidP="006074A5">
      <w:pPr>
        <w:pStyle w:val="Footnote"/>
        <w:bidi/>
      </w:pPr>
      <w:r>
        <w:rPr>
          <w:rStyle w:val="ac"/>
          <w:rtl/>
        </w:rPr>
        <w:footnoteRef/>
      </w:r>
      <w:r>
        <w:rPr>
          <w:rtl/>
        </w:rPr>
        <w:t>וי"ל דהאיסור דאורייתא הוה אילו יחשב חליצה מדאורייתא, וכיון דיש איסור ופסול בדבר ל"ש לעבור על איסור הזה. וכוונת הב"ח דמ"מ יש דרבנן עפ"ז במה שחולץ בחינם.</w:t>
      </w:r>
    </w:p>
  </w:footnote>
  <w:footnote w:id="3081">
    <w:p w14:paraId="457782CA" w14:textId="77777777" w:rsidR="006074A5" w:rsidRDefault="006074A5" w:rsidP="006074A5">
      <w:pPr>
        <w:pStyle w:val="Footnote"/>
        <w:bidi/>
      </w:pPr>
      <w:r>
        <w:rPr>
          <w:rStyle w:val="ac"/>
          <w:rtl/>
        </w:rPr>
        <w:footnoteRef/>
      </w:r>
      <w:r>
        <w:rPr>
          <w:rtl/>
        </w:rPr>
        <w:t>וכת' אלא איידי דמפרש טעמי' דר"ג מפרש טעמא דרבנן. והרשב"א הו' דבספרים מדוייקים ליתא 'ורבנן וכו''.</w:t>
      </w:r>
    </w:p>
    <w:p w14:paraId="14E16AE8" w14:textId="77777777" w:rsidR="006074A5" w:rsidRDefault="006074A5" w:rsidP="006074A5">
      <w:pPr>
        <w:pStyle w:val="Footnote"/>
        <w:bidi/>
      </w:pPr>
      <w:r>
        <w:rPr>
          <w:rtl/>
        </w:rPr>
        <w:tab/>
        <w:t>ומשמע מדבריהם דרבנן ס"ל דיש גט אחר גט מסברא, ולא בעינן לומר דיבם הב' הוה 'צד אחר', דומיא דמאמר אחר הגט (וע' בסמוך).</w:t>
      </w:r>
    </w:p>
  </w:footnote>
  <w:footnote w:id="3082">
    <w:p w14:paraId="26CF12DC" w14:textId="77777777" w:rsidR="006074A5" w:rsidRDefault="006074A5" w:rsidP="006074A5">
      <w:pPr>
        <w:pStyle w:val="Footnote"/>
        <w:bidi/>
      </w:pPr>
      <w:r>
        <w:rPr>
          <w:rStyle w:val="ac"/>
          <w:rtl/>
        </w:rPr>
        <w:footnoteRef/>
      </w:r>
      <w:r>
        <w:rPr>
          <w:rtl/>
        </w:rPr>
        <w:t>ואין ספק מוציא מידי ודאי, למנוע שלא יקנה קנין גמור [ואף דהמאמר לא פקע ובעי גט, מ"מ כלפי הביאה נחשב שאין מונע].</w:t>
      </w:r>
    </w:p>
  </w:footnote>
  <w:footnote w:id="3083">
    <w:p w14:paraId="71134DD2" w14:textId="77777777" w:rsidR="006074A5" w:rsidRDefault="006074A5" w:rsidP="006074A5">
      <w:pPr>
        <w:pStyle w:val="Footnote"/>
        <w:bidi/>
      </w:pPr>
      <w:r>
        <w:rPr>
          <w:rStyle w:val="ac"/>
          <w:rtl/>
        </w:rPr>
        <w:footnoteRef/>
      </w:r>
      <w:r>
        <w:rPr>
          <w:rtl/>
        </w:rPr>
        <w:t>ודייקו דהמאירי כתב ד'מקום' הגט אינו סותר 'מקום' המאמר. ולא ש'חלות הגט' אינו סותר את המאמר.</w:t>
      </w:r>
    </w:p>
  </w:footnote>
  <w:footnote w:id="3084">
    <w:p w14:paraId="0C9D7192"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גט אחר גט, בחד יבם ויבמה, האם ל"מ כלל, דצד זה כבר נתפס או דאין נפק"מ].</w:t>
      </w:r>
    </w:p>
  </w:footnote>
  <w:footnote w:id="3085">
    <w:p w14:paraId="0F1AA052" w14:textId="77777777" w:rsidR="006074A5" w:rsidRDefault="006074A5" w:rsidP="006074A5">
      <w:pPr>
        <w:pStyle w:val="Footnote"/>
        <w:bidi/>
      </w:pPr>
      <w:r>
        <w:rPr>
          <w:rStyle w:val="ac"/>
          <w:rtl/>
        </w:rPr>
        <w:footnoteRef/>
      </w:r>
      <w:r>
        <w:rPr>
          <w:rtl/>
        </w:rPr>
        <w:t>[וע' מש"כ במשנה בשם שו"ת הרשב"א ד שג].</w:t>
      </w:r>
    </w:p>
  </w:footnote>
  <w:footnote w:id="3086">
    <w:p w14:paraId="0B8518B3" w14:textId="77777777" w:rsidR="006074A5" w:rsidRDefault="006074A5" w:rsidP="006074A5">
      <w:pPr>
        <w:pStyle w:val="Footnote"/>
        <w:bidi/>
      </w:pPr>
      <w:r>
        <w:rPr>
          <w:rStyle w:val="ac"/>
          <w:rtl/>
        </w:rPr>
        <w:footnoteRef/>
      </w:r>
      <w:r>
        <w:rPr>
          <w:rtl/>
        </w:rPr>
        <w:t>[אבל למ”ד אין זיקה, הוה רק סיבת אישות המת].</w:t>
      </w:r>
    </w:p>
  </w:footnote>
  <w:footnote w:id="3087">
    <w:p w14:paraId="0C113344" w14:textId="77777777" w:rsidR="006074A5" w:rsidRDefault="006074A5" w:rsidP="006074A5">
      <w:pPr>
        <w:pStyle w:val="Footnote"/>
        <w:bidi/>
      </w:pPr>
      <w:r>
        <w:rPr>
          <w:rStyle w:val="ac"/>
          <w:rtl/>
        </w:rPr>
        <w:footnoteRef/>
      </w:r>
      <w:r>
        <w:rPr>
          <w:rtl/>
        </w:rPr>
        <w:t>וצ"ב האם כוונתו דיש רק זיקה ליבמין, או דודאי דיש גם פטור לאישות המת, אלא דכיון דלא אלים, בעי ג"כ לפטור הזיקה דאחים.</w:t>
      </w:r>
    </w:p>
  </w:footnote>
  <w:footnote w:id="3088">
    <w:p w14:paraId="0AE87FF0" w14:textId="77777777" w:rsidR="006074A5" w:rsidRDefault="006074A5" w:rsidP="006074A5">
      <w:pPr>
        <w:pStyle w:val="Footnote"/>
        <w:bidi/>
      </w:pPr>
      <w:r>
        <w:rPr>
          <w:rStyle w:val="ac"/>
          <w:rtl/>
        </w:rPr>
        <w:footnoteRef/>
      </w:r>
      <w:r>
        <w:rPr>
          <w:rtl/>
        </w:rPr>
        <w:t>ואף דהגמ' (נ: ונא.) פי' דהמח' בגזירות, מ"מ סוף סוף לר"ג יש אלימות במאמר.</w:t>
      </w:r>
    </w:p>
  </w:footnote>
  <w:footnote w:id="3089">
    <w:p w14:paraId="1480D190" w14:textId="77777777" w:rsidR="006074A5" w:rsidRDefault="006074A5" w:rsidP="006074A5">
      <w:pPr>
        <w:pStyle w:val="Footnote"/>
        <w:bidi/>
      </w:pPr>
      <w:r>
        <w:rPr>
          <w:rStyle w:val="ac"/>
          <w:rtl/>
        </w:rPr>
        <w:footnoteRef/>
      </w:r>
      <w:r>
        <w:rPr>
          <w:rtl/>
          <w:lang w:val="he-IL"/>
        </w:rPr>
        <w:t>וה</w:t>
      </w:r>
      <w:r>
        <w:rPr>
          <w:b/>
          <w:bCs/>
          <w:rtl/>
          <w:lang w:val="he-IL"/>
        </w:rPr>
        <w:t>ירושלמי</w:t>
      </w:r>
      <w:r>
        <w:rPr>
          <w:rtl/>
          <w:lang w:val="he-IL"/>
        </w:rPr>
        <w:t xml:space="preserve"> פי' דר' שמעון ס"ל דהמאמר או קונה או לא קונה. דדרשי' 'ולקחה לו' זה המאמר, וכשם שהביאה גומרת בה כך המאמר גומר בה. או יבמה יבא עליה והרי היא לקוחה לו והמאמר לא הועיל בה כלום. ועד"ז אי' (שם בהמשך) אף לענין חליצה</w:t>
      </w:r>
      <w:r>
        <w:rPr>
          <w:rFonts w:cs="Times New Roman"/>
          <w:rtl/>
          <w:lang w:val="he-IL"/>
        </w:rPr>
        <w:t>.</w:t>
      </w:r>
    </w:p>
  </w:footnote>
  <w:footnote w:id="3090">
    <w:p w14:paraId="2CF43DB5" w14:textId="77777777" w:rsidR="006074A5" w:rsidRDefault="006074A5" w:rsidP="006074A5">
      <w:pPr>
        <w:pStyle w:val="Footnote"/>
        <w:bidi/>
      </w:pPr>
      <w:r>
        <w:rPr>
          <w:rStyle w:val="ac"/>
          <w:rtl/>
        </w:rPr>
        <w:footnoteRef/>
      </w:r>
      <w:r>
        <w:rPr>
          <w:rtl/>
        </w:rPr>
        <w:t>ואמאי הביאו מביאת בן ט'. אך י"ל דעדיף ליה להביא ממשנה [וי"ל דזה כוונת התוס'].</w:t>
      </w:r>
    </w:p>
  </w:footnote>
  <w:footnote w:id="3091">
    <w:p w14:paraId="30F00BAB" w14:textId="77777777" w:rsidR="006074A5" w:rsidRDefault="006074A5" w:rsidP="006074A5">
      <w:pPr>
        <w:pStyle w:val="Footnote"/>
        <w:bidi/>
      </w:pPr>
      <w:r>
        <w:rPr>
          <w:rStyle w:val="ac"/>
          <w:rtl/>
        </w:rPr>
        <w:footnoteRef/>
      </w:r>
      <w:r>
        <w:rPr>
          <w:rtl/>
        </w:rPr>
        <w:t>וה</w:t>
      </w:r>
      <w:r>
        <w:rPr>
          <w:b/>
          <w:bCs/>
          <w:rtl/>
        </w:rPr>
        <w:t>קר"א</w:t>
      </w:r>
      <w:r>
        <w:rPr>
          <w:rtl/>
        </w:rPr>
        <w:t xml:space="preserve"> תמה במה תלי הספק אי ביאת בן ט' קנה מדאורייתא, לנידון גבי מאמר, אי קנה מדאורייתא [מק"ו מקידושין] או דדרשי' אין כסף ושטר גומרים.</w:t>
      </w:r>
    </w:p>
  </w:footnote>
  <w:footnote w:id="3092">
    <w:p w14:paraId="03FC5A78" w14:textId="77777777" w:rsidR="006074A5" w:rsidRDefault="006074A5" w:rsidP="006074A5">
      <w:pPr>
        <w:pStyle w:val="Footnote"/>
        <w:bidi/>
      </w:pPr>
      <w:r>
        <w:rPr>
          <w:rStyle w:val="ac"/>
          <w:rtl/>
        </w:rPr>
        <w:footnoteRef/>
      </w:r>
      <w:r>
        <w:rPr>
          <w:rtl/>
        </w:rPr>
        <w:t>ובפשוטו הוה ספק בדרשא דקראי אי ילפי' דקנה קנין גמור או לא. אך יש שדנו דילפי' מדאורייתא דקנה, אלא דאינו גומר. ור' שמעון ס"ל דגדר הך קנין שאינו גמור להחשב ספק קנין מדאורייתא. ולא קנין במקצת. [ונפק"מ בגדרי ממה נפשך].</w:t>
      </w:r>
    </w:p>
  </w:footnote>
  <w:footnote w:id="3093">
    <w:p w14:paraId="03275BAE" w14:textId="77777777" w:rsidR="006074A5" w:rsidRDefault="006074A5" w:rsidP="006074A5">
      <w:pPr>
        <w:pStyle w:val="Footnote"/>
        <w:bidi/>
      </w:pPr>
      <w:r>
        <w:rPr>
          <w:rStyle w:val="ac"/>
          <w:rtl/>
        </w:rPr>
        <w:footnoteRef/>
      </w:r>
      <w:r>
        <w:rPr>
          <w:rtl/>
        </w:rPr>
        <w:t xml:space="preserve">ולא הוה ספק, אלא קנה מדאורייתא {במקצת} לענין דל"מ מאמר אחר. </w:t>
      </w:r>
      <w:r>
        <w:rPr>
          <w:rtl/>
          <w:lang w:val="he-IL"/>
        </w:rPr>
        <w:t>{ויש שפי' דמאמר וביאת בן ט' קונה את היבמה [בגדרי קידושין], אך אינו 'מתיר', ומש"ה אף מדאורייתא צריך חליצה. ועוד יש שפי' דמוציא בגט, והגט מהני לפטור מיבמתו. ואף דביבמה בעלמא גלי קרא דגט אינו פוטר, אלא כסדר המצוה. הכא נחשב שכנס כסדר המצוה, ומש"ה הגט מתיר}</w:t>
      </w:r>
      <w:r>
        <w:rPr>
          <w:rFonts w:cs="Times New Roman"/>
          <w:rtl/>
          <w:lang w:val="he-IL"/>
        </w:rPr>
        <w:t>.</w:t>
      </w:r>
    </w:p>
  </w:footnote>
  <w:footnote w:id="3094">
    <w:p w14:paraId="17F4CA86" w14:textId="77777777" w:rsidR="006074A5" w:rsidRDefault="006074A5" w:rsidP="006074A5">
      <w:pPr>
        <w:pStyle w:val="Footnote"/>
        <w:bidi/>
      </w:pPr>
      <w:r>
        <w:rPr>
          <w:rStyle w:val="ac"/>
          <w:rtl/>
        </w:rPr>
        <w:footnoteRef/>
      </w:r>
      <w:r>
        <w:rPr>
          <w:rtl/>
        </w:rPr>
        <w:t>והביא כן מה</w:t>
      </w:r>
      <w:r>
        <w:rPr>
          <w:b/>
          <w:bCs/>
          <w:rtl/>
        </w:rPr>
        <w:t>ירושלמי</w:t>
      </w:r>
      <w:r>
        <w:rPr>
          <w:rtl/>
        </w:rPr>
        <w:t xml:space="preserve"> (הנ"ל) דר' שמעון נסתפק האם דרשי' ולקחה זו המאמר, וכשם שביאה גומרת בה כך המאמר. או דמאמר לא הועיל כלום.</w:t>
      </w:r>
    </w:p>
  </w:footnote>
  <w:footnote w:id="3095">
    <w:p w14:paraId="250A45E2" w14:textId="77777777" w:rsidR="006074A5" w:rsidRDefault="006074A5" w:rsidP="006074A5">
      <w:pPr>
        <w:pStyle w:val="Footnote"/>
        <w:bidi/>
      </w:pPr>
      <w:r>
        <w:rPr>
          <w:rStyle w:val="ac"/>
          <w:rtl/>
        </w:rPr>
        <w:footnoteRef/>
      </w:r>
      <w:r>
        <w:rPr>
          <w:rtl/>
        </w:rPr>
        <w:t>וכעין לשון זה לקמן סח. (עי"ש בתוס').</w:t>
      </w:r>
    </w:p>
  </w:footnote>
  <w:footnote w:id="3096">
    <w:p w14:paraId="1627B95C" w14:textId="77777777" w:rsidR="006074A5" w:rsidRDefault="006074A5" w:rsidP="006074A5">
      <w:pPr>
        <w:pStyle w:val="Footnote"/>
        <w:bidi/>
      </w:pPr>
      <w:r>
        <w:rPr>
          <w:rStyle w:val="ac"/>
          <w:rtl/>
        </w:rPr>
        <w:footnoteRef/>
      </w:r>
      <w:r>
        <w:rPr>
          <w:rtl/>
        </w:rPr>
        <w:t xml:space="preserve">ויכול להוציא בגט [כשיגדל], וכ"כ </w:t>
      </w:r>
      <w:r>
        <w:rPr>
          <w:b/>
          <w:bCs/>
          <w:rtl/>
        </w:rPr>
        <w:t>רש"י</w:t>
      </w:r>
      <w:r>
        <w:rPr>
          <w:rtl/>
        </w:rPr>
        <w:t xml:space="preserve"> (קידושין י.). [אבל ה</w:t>
      </w:r>
      <w:r>
        <w:rPr>
          <w:b/>
          <w:bCs/>
          <w:rtl/>
        </w:rPr>
        <w:t>עונג יו"ט</w:t>
      </w:r>
      <w:r>
        <w:rPr>
          <w:rtl/>
        </w:rPr>
        <w:t xml:space="preserve"> (קעט) כתב דהוה רק </w:t>
      </w:r>
      <w:r>
        <w:rPr>
          <w:i/>
          <w:iCs/>
          <w:rtl/>
        </w:rPr>
        <w:t>קנין</w:t>
      </w:r>
      <w:r>
        <w:rPr>
          <w:rtl/>
        </w:rPr>
        <w:t xml:space="preserve"> יבום, ועדיין לא קיים המצוה דאינו ראוי להקמת שם. וה</w:t>
      </w:r>
      <w:r>
        <w:rPr>
          <w:b/>
          <w:bCs/>
          <w:rtl/>
        </w:rPr>
        <w:t>אמר”מ</w:t>
      </w:r>
      <w:r>
        <w:rPr>
          <w:rtl/>
        </w:rPr>
        <w:t xml:space="preserve"> (ו יב) דחה דמפורש ברש”י (קידושין י.) דלא כן. וע' מש"כ בזה לעיל כ.].</w:t>
      </w:r>
    </w:p>
  </w:footnote>
  <w:footnote w:id="3097">
    <w:p w14:paraId="0CFEB220" w14:textId="77777777" w:rsidR="006074A5" w:rsidRDefault="006074A5" w:rsidP="006074A5">
      <w:pPr>
        <w:pStyle w:val="Footnote"/>
        <w:bidi/>
      </w:pPr>
      <w:r>
        <w:rPr>
          <w:rStyle w:val="ac"/>
          <w:rtl/>
        </w:rPr>
        <w:footnoteRef/>
      </w:r>
      <w:r>
        <w:rPr>
          <w:rtl/>
        </w:rPr>
        <w:t>וה</w:t>
      </w:r>
      <w:r>
        <w:rPr>
          <w:b/>
          <w:bCs/>
          <w:rtl/>
        </w:rPr>
        <w:t>תוס' הרא"ש</w:t>
      </w:r>
      <w:r>
        <w:rPr>
          <w:rtl/>
        </w:rPr>
        <w:t xml:space="preserve"> (קידושין) דחה דאם איתא דקני לה מדאורי' לא מסתבר לפוטרו ממיתה.</w:t>
      </w:r>
    </w:p>
  </w:footnote>
  <w:footnote w:id="3098">
    <w:p w14:paraId="220435D7" w14:textId="77777777" w:rsidR="006074A5" w:rsidRDefault="006074A5" w:rsidP="006074A5">
      <w:pPr>
        <w:pStyle w:val="Footnote"/>
        <w:bidi/>
      </w:pPr>
      <w:r>
        <w:rPr>
          <w:rStyle w:val="ac"/>
          <w:rtl/>
        </w:rPr>
        <w:footnoteRef/>
      </w:r>
      <w:r>
        <w:rPr>
          <w:rtl/>
        </w:rPr>
        <w:t>דה</w:t>
      </w:r>
      <w:r>
        <w:rPr>
          <w:b/>
          <w:bCs/>
          <w:rtl/>
        </w:rPr>
        <w:t>רמב"ם</w:t>
      </w:r>
      <w:r>
        <w:rPr>
          <w:rtl/>
        </w:rPr>
        <w:t xml:space="preserve"> (איסו"ב ג א) כת' דהבא על אשת קטן, ואפי' יבמה שנפלה לו, מכין אותו מכות מרדות. והנוב"י הק' דלוקה משום איסור יבמה לשוק. וע"כ דהקנאה מדאורייתא. ועוד הביאו האחרונים מדברי הרמב"ם (סוטה ב ב, ע"פ התוספתא סוטה ה ג).</w:t>
      </w:r>
    </w:p>
  </w:footnote>
  <w:footnote w:id="3099">
    <w:p w14:paraId="16924622" w14:textId="77777777" w:rsidR="006074A5" w:rsidRDefault="006074A5" w:rsidP="006074A5">
      <w:pPr>
        <w:pStyle w:val="Footnote"/>
        <w:bidi/>
      </w:pPr>
      <w:r>
        <w:rPr>
          <w:rStyle w:val="ac"/>
          <w:rtl/>
        </w:rPr>
        <w:footnoteRef/>
      </w:r>
      <w:r>
        <w:rPr>
          <w:rtl/>
        </w:rPr>
        <w:t>לדעת רבנן. ולכאורה ר' שמעון לית ליה הך דרשא [לצד דביאת בן ט' קני], וס"ל דביאת בן ט' קני ביבמתו.</w:t>
      </w:r>
    </w:p>
  </w:footnote>
  <w:footnote w:id="3100">
    <w:p w14:paraId="049955B4" w14:textId="77777777" w:rsidR="006074A5" w:rsidRDefault="006074A5" w:rsidP="006074A5">
      <w:pPr>
        <w:pStyle w:val="Footnote"/>
        <w:bidi/>
      </w:pPr>
      <w:r>
        <w:rPr>
          <w:rStyle w:val="ac"/>
          <w:rtl/>
        </w:rPr>
        <w:footnoteRef/>
      </w:r>
      <w:r>
        <w:rPr>
          <w:rtl/>
        </w:rPr>
        <w:t xml:space="preserve">ועד"ז כת' </w:t>
      </w:r>
      <w:r>
        <w:rPr>
          <w:b/>
          <w:bCs/>
          <w:rtl/>
        </w:rPr>
        <w:t>רש"י</w:t>
      </w:r>
      <w:r>
        <w:rPr>
          <w:rtl/>
        </w:rPr>
        <w:t xml:space="preserve"> (סנהדרין נב:) דדרשי' פרט לאשת קטן, קמ"ל קרא דאין לקטן קידושין. [וכן משמע בגמ' לקמן סח.].</w:t>
      </w:r>
    </w:p>
  </w:footnote>
  <w:footnote w:id="3101">
    <w:p w14:paraId="09799B95" w14:textId="77777777" w:rsidR="006074A5" w:rsidRDefault="006074A5" w:rsidP="006074A5">
      <w:pPr>
        <w:pStyle w:val="Footnote"/>
        <w:bidi/>
      </w:pPr>
      <w:r>
        <w:rPr>
          <w:rStyle w:val="ac"/>
          <w:rtl/>
        </w:rPr>
        <w:footnoteRef/>
      </w:r>
      <w:r>
        <w:rPr>
          <w:rtl/>
        </w:rPr>
        <w:t>וה</w:t>
      </w:r>
      <w:r>
        <w:rPr>
          <w:b/>
          <w:bCs/>
          <w:rtl/>
        </w:rPr>
        <w:t>רמב"ן</w:t>
      </w:r>
      <w:r>
        <w:rPr>
          <w:rtl/>
        </w:rPr>
        <w:t xml:space="preserve"> (לקמן צו:) הביא מדברי </w:t>
      </w:r>
      <w:r>
        <w:rPr>
          <w:b/>
          <w:bCs/>
          <w:rtl/>
        </w:rPr>
        <w:t>רש"י</w:t>
      </w:r>
      <w:r>
        <w:rPr>
          <w:rtl/>
        </w:rPr>
        <w:t xml:space="preserve"> (שם ד"ה הרי) דכתב דיבמה הואיל וזקוקה לו שויוה רבנן כמאמר. משמע דל"ק מדאורייתא.</w:t>
      </w:r>
    </w:p>
  </w:footnote>
  <w:footnote w:id="3102">
    <w:p w14:paraId="195257A8" w14:textId="77777777" w:rsidR="006074A5" w:rsidRDefault="006074A5" w:rsidP="006074A5">
      <w:pPr>
        <w:pStyle w:val="Footnote"/>
        <w:bidi/>
      </w:pPr>
      <w:r>
        <w:rPr>
          <w:rStyle w:val="ac"/>
          <w:rtl/>
        </w:rPr>
        <w:footnoteRef/>
      </w:r>
      <w:r>
        <w:rPr>
          <w:rtl/>
        </w:rPr>
        <w:t>וה</w:t>
      </w:r>
      <w:r>
        <w:rPr>
          <w:b/>
          <w:bCs/>
          <w:rtl/>
        </w:rPr>
        <w:t>רש"ש</w:t>
      </w:r>
      <w:r>
        <w:rPr>
          <w:rtl/>
        </w:rPr>
        <w:t xml:space="preserve"> נסתפק דנתמעט רק ממיתה, אבל חייב כרת, וכ”כ ה</w:t>
      </w:r>
      <w:r>
        <w:rPr>
          <w:b/>
          <w:bCs/>
          <w:rtl/>
        </w:rPr>
        <w:t>או”ש</w:t>
      </w:r>
      <w:r>
        <w:rPr>
          <w:rtl/>
        </w:rPr>
        <w:t xml:space="preserve"> (יבום א יז וב</w:t>
      </w:r>
      <w:r>
        <w:rPr>
          <w:b/>
          <w:bCs/>
          <w:rtl/>
        </w:rPr>
        <w:t>משך חכמה</w:t>
      </w:r>
      <w:r>
        <w:rPr>
          <w:rtl/>
        </w:rPr>
        <w:t xml:space="preserve"> פ' קדושים), וה</w:t>
      </w:r>
      <w:r>
        <w:rPr>
          <w:b/>
          <w:bCs/>
          <w:rtl/>
        </w:rPr>
        <w:t>קוב”ש</w:t>
      </w:r>
      <w:r>
        <w:rPr>
          <w:rtl/>
        </w:rPr>
        <w:t xml:space="preserve"> (קידושין קיט). ונפק"מ אם בא אחר וקידשה דתפסי קידושין [למ”ד קידושין תופסים בשומרת יבם]. [דלא הוה איסור כרת. אך לדברי ה</w:t>
      </w:r>
      <w:r>
        <w:rPr>
          <w:b/>
          <w:bCs/>
          <w:rtl/>
        </w:rPr>
        <w:t>פנ”י</w:t>
      </w:r>
      <w:r>
        <w:rPr>
          <w:rtl/>
        </w:rPr>
        <w:t xml:space="preserve"> (גיטין מג:) לא תפסי קידושין מחמת קנין הקטן].</w:t>
      </w:r>
    </w:p>
    <w:p w14:paraId="06F9882C" w14:textId="77777777" w:rsidR="006074A5" w:rsidRDefault="006074A5" w:rsidP="006074A5">
      <w:pPr>
        <w:pStyle w:val="Footnote"/>
        <w:bidi/>
      </w:pPr>
      <w:r>
        <w:rPr>
          <w:rtl/>
        </w:rPr>
        <w:tab/>
        <w:t>אבל ה</w:t>
      </w:r>
      <w:r>
        <w:rPr>
          <w:b/>
          <w:bCs/>
          <w:rtl/>
        </w:rPr>
        <w:t>אבנ"מ</w:t>
      </w:r>
      <w:r>
        <w:rPr>
          <w:rtl/>
        </w:rPr>
        <w:t xml:space="preserve"> (א א) נקט דתפסי קידושין, דנתמעט אף מחיוב כרת, וכ"כ ה</w:t>
      </w:r>
      <w:r>
        <w:rPr>
          <w:b/>
          <w:bCs/>
          <w:rtl/>
        </w:rPr>
        <w:t>מנח"ח</w:t>
      </w:r>
      <w:r>
        <w:rPr>
          <w:rtl/>
        </w:rPr>
        <w:t xml:space="preserve"> (לה). [והרש"ש הביא דעד"ז נח' ה</w:t>
      </w:r>
      <w:r>
        <w:rPr>
          <w:b/>
          <w:bCs/>
          <w:rtl/>
        </w:rPr>
        <w:t>ראשונים</w:t>
      </w:r>
      <w:r>
        <w:rPr>
          <w:rtl/>
        </w:rPr>
        <w:t xml:space="preserve"> (לקמן צד:) לר"ע דחמותו לאחר מיתה אינה בשריפה, האם הוה חיוב כרת או איסור לאו בעלמא].</w:t>
      </w:r>
    </w:p>
  </w:footnote>
  <w:footnote w:id="3103">
    <w:p w14:paraId="2DE9C60B" w14:textId="77777777" w:rsidR="006074A5" w:rsidRDefault="006074A5" w:rsidP="006074A5">
      <w:pPr>
        <w:pStyle w:val="Footnote"/>
        <w:bidi/>
      </w:pPr>
      <w:r>
        <w:rPr>
          <w:rStyle w:val="ac"/>
          <w:rtl/>
        </w:rPr>
        <w:footnoteRef/>
      </w:r>
      <w:r>
        <w:rPr>
          <w:rtl/>
        </w:rPr>
        <w:t>וב</w:t>
      </w:r>
      <w:r>
        <w:rPr>
          <w:b/>
          <w:bCs/>
          <w:rtl/>
        </w:rPr>
        <w:t>קומץ המנחה</w:t>
      </w:r>
      <w:r>
        <w:rPr>
          <w:rtl/>
        </w:rPr>
        <w:t xml:space="preserve"> דייק כן מדברי ה</w:t>
      </w:r>
      <w:r>
        <w:rPr>
          <w:b/>
          <w:bCs/>
          <w:rtl/>
        </w:rPr>
        <w:t>רמב"ם</w:t>
      </w:r>
      <w:r>
        <w:rPr>
          <w:rtl/>
        </w:rPr>
        <w:t xml:space="preserve"> (יבום ה כא).</w:t>
      </w:r>
    </w:p>
  </w:footnote>
  <w:footnote w:id="3104">
    <w:p w14:paraId="7C5F6776" w14:textId="77777777" w:rsidR="006074A5" w:rsidRDefault="006074A5" w:rsidP="006074A5">
      <w:pPr>
        <w:pStyle w:val="Footnote"/>
        <w:bidi/>
      </w:pPr>
      <w:r>
        <w:rPr>
          <w:rStyle w:val="ac"/>
          <w:rtl/>
        </w:rPr>
        <w:footnoteRef/>
      </w:r>
      <w:r>
        <w:rPr>
          <w:rtl/>
        </w:rPr>
        <w:t>וכעין מש"כ ה</w:t>
      </w:r>
      <w:r>
        <w:rPr>
          <w:b/>
          <w:bCs/>
          <w:rtl/>
        </w:rPr>
        <w:t>גר"ח</w:t>
      </w:r>
      <w:r>
        <w:rPr>
          <w:rtl/>
        </w:rPr>
        <w:t xml:space="preserve"> (אישות ז טז) גבי מקדש עובר, דיש קנין, אבל אין 'אישות'.</w:t>
      </w:r>
    </w:p>
  </w:footnote>
  <w:footnote w:id="3105">
    <w:p w14:paraId="73112767" w14:textId="77777777" w:rsidR="006074A5" w:rsidRDefault="006074A5" w:rsidP="006074A5">
      <w:pPr>
        <w:pStyle w:val="Footnote"/>
        <w:bidi/>
      </w:pPr>
      <w:r>
        <w:rPr>
          <w:rStyle w:val="ac"/>
          <w:rtl/>
        </w:rPr>
        <w:footnoteRef/>
      </w:r>
      <w:r>
        <w:rPr>
          <w:rtl/>
        </w:rPr>
        <w:t>וה</w:t>
      </w:r>
      <w:r>
        <w:rPr>
          <w:b/>
          <w:bCs/>
          <w:rtl/>
        </w:rPr>
        <w:t>רמב"ן</w:t>
      </w:r>
      <w:r>
        <w:rPr>
          <w:rtl/>
        </w:rPr>
        <w:t xml:space="preserve"> כת' דזה מן הדברים המתמיהים שבפירושיו.</w:t>
      </w:r>
    </w:p>
  </w:footnote>
  <w:footnote w:id="3106">
    <w:p w14:paraId="74219F43" w14:textId="77777777" w:rsidR="006074A5" w:rsidRDefault="006074A5" w:rsidP="006074A5">
      <w:pPr>
        <w:pStyle w:val="Footnote"/>
        <w:bidi/>
      </w:pPr>
      <w:r>
        <w:rPr>
          <w:rStyle w:val="ac"/>
          <w:rtl/>
        </w:rPr>
        <w:footnoteRef/>
      </w:r>
      <w:r>
        <w:rPr>
          <w:rtl/>
        </w:rPr>
        <w:t>ויל"ד דכיון דהביאה הוה איסור, א"כ לא נימא הן הן עדי יחוד [ויבום כה”ג צריך עדות ממש].</w:t>
      </w:r>
    </w:p>
  </w:footnote>
  <w:footnote w:id="3107">
    <w:p w14:paraId="48E7CF7D" w14:textId="77777777" w:rsidR="006074A5" w:rsidRDefault="006074A5" w:rsidP="006074A5">
      <w:pPr>
        <w:pStyle w:val="Footnote"/>
        <w:bidi/>
      </w:pPr>
      <w:r>
        <w:rPr>
          <w:rStyle w:val="ac"/>
          <w:rtl/>
        </w:rPr>
        <w:footnoteRef/>
      </w:r>
      <w:r>
        <w:rPr>
          <w:rtl/>
        </w:rPr>
        <w:t>וה</w:t>
      </w:r>
      <w:r>
        <w:rPr>
          <w:b/>
          <w:bCs/>
          <w:rtl/>
        </w:rPr>
        <w:t>רש"ש</w:t>
      </w:r>
      <w:r>
        <w:rPr>
          <w:rtl/>
        </w:rPr>
        <w:t xml:space="preserve"> (כאן) דן בחרש שקידש, האם נאסרת כשזינתה.</w:t>
      </w:r>
    </w:p>
  </w:footnote>
  <w:footnote w:id="3108">
    <w:p w14:paraId="000FDBE2" w14:textId="77777777" w:rsidR="006074A5" w:rsidRDefault="006074A5" w:rsidP="006074A5">
      <w:pPr>
        <w:pStyle w:val="Footnote"/>
        <w:bidi/>
      </w:pPr>
      <w:r>
        <w:rPr>
          <w:rStyle w:val="ac"/>
          <w:rtl/>
        </w:rPr>
        <w:footnoteRef/>
      </w:r>
      <w:r>
        <w:rPr>
          <w:rtl/>
        </w:rPr>
        <w:t>אבל ה</w:t>
      </w:r>
      <w:r>
        <w:rPr>
          <w:b/>
          <w:bCs/>
          <w:rtl/>
        </w:rPr>
        <w:t>רמב"ם</w:t>
      </w:r>
      <w:r>
        <w:rPr>
          <w:rtl/>
        </w:rPr>
        <w:t xml:space="preserve"> (סוטה ב ד) כתב משום דאין לה רצון ליאסר על בעלה. ואילו יחשב רצון, תחשב סוטה ליאסר [ולפ"ז תאסר לכהונה. ומשמע דאילו היתה גדולה היתה נאסרת. אבל בלאו הכי צ"ע דדעת הרמב"ם (הו' לעיל לד:) דפיתוי קטנה אינה אונס ונאסרת. ואכ"מ].</w:t>
      </w:r>
    </w:p>
  </w:footnote>
  <w:footnote w:id="3109">
    <w:p w14:paraId="7B732F09" w14:textId="77777777" w:rsidR="006074A5" w:rsidRDefault="006074A5" w:rsidP="006074A5">
      <w:pPr>
        <w:pStyle w:val="Footnote"/>
        <w:bidi/>
      </w:pPr>
      <w:r>
        <w:rPr>
          <w:rStyle w:val="ac"/>
          <w:rtl/>
        </w:rPr>
        <w:footnoteRef/>
      </w:r>
      <w:r>
        <w:rPr>
          <w:rtl/>
        </w:rPr>
        <w:t>וה</w:t>
      </w:r>
      <w:r>
        <w:rPr>
          <w:b/>
          <w:bCs/>
          <w:rtl/>
        </w:rPr>
        <w:t>חזו"א</w:t>
      </w:r>
      <w:r>
        <w:rPr>
          <w:rtl/>
        </w:rPr>
        <w:t xml:space="preserve"> (קכג ג) הקשה דה</w:t>
      </w:r>
      <w:r>
        <w:rPr>
          <w:b/>
          <w:bCs/>
          <w:rtl/>
        </w:rPr>
        <w:t>רמב"ן</w:t>
      </w:r>
      <w:r>
        <w:rPr>
          <w:rtl/>
        </w:rPr>
        <w:t xml:space="preserve"> סתר למש"כ (לקמן צו., הו' לעיל בסמוך) דביאת קטן הוה רק כביאת שוגג, ול"ק אלא לדברים הכתובים. אבל ה</w:t>
      </w:r>
      <w:r>
        <w:rPr>
          <w:b/>
          <w:bCs/>
          <w:rtl/>
        </w:rPr>
        <w:t>ברכ”ש</w:t>
      </w:r>
      <w:r>
        <w:rPr>
          <w:rtl/>
        </w:rPr>
        <w:t xml:space="preserve"> נקט דמש”כ הרמב”ן דתליא בקנין גמור לאו דוקא, וכ”כ בחי' ר' שמואל (שם).</w:t>
      </w:r>
    </w:p>
  </w:footnote>
  <w:footnote w:id="3110">
    <w:p w14:paraId="0CE0667B" w14:textId="77777777" w:rsidR="006074A5" w:rsidRDefault="006074A5" w:rsidP="006074A5">
      <w:pPr>
        <w:pStyle w:val="Footnote"/>
        <w:bidi/>
      </w:pPr>
      <w:r>
        <w:rPr>
          <w:rStyle w:val="ac"/>
          <w:rtl/>
        </w:rPr>
        <w:footnoteRef/>
      </w:r>
      <w:r>
        <w:rPr>
          <w:rtl/>
        </w:rPr>
        <w:t>משנת ר' אהרן מילואים ט ט, וכ”כ בחי' ר' שמואל (טז ד).</w:t>
      </w:r>
    </w:p>
  </w:footnote>
  <w:footnote w:id="3111">
    <w:p w14:paraId="17C847B1" w14:textId="77777777" w:rsidR="006074A5" w:rsidRDefault="006074A5" w:rsidP="006074A5">
      <w:pPr>
        <w:pStyle w:val="Footnote"/>
        <w:bidi/>
      </w:pPr>
      <w:r>
        <w:rPr>
          <w:rStyle w:val="ac"/>
          <w:rtl/>
        </w:rPr>
        <w:footnoteRef/>
      </w:r>
      <w:r>
        <w:rPr>
          <w:rtl/>
        </w:rPr>
        <w:t>וה</w:t>
      </w:r>
      <w:r>
        <w:rPr>
          <w:b/>
          <w:bCs/>
          <w:rtl/>
        </w:rPr>
        <w:t>מאירי</w:t>
      </w:r>
      <w:r>
        <w:rPr>
          <w:rtl/>
        </w:rPr>
        <w:t xml:space="preserve"> (שם) כתב דאע"פ ששומרת יבם שזינתה מותרת ליבמה, דאינה אישות כלל. שהרי אם מתה מותר באמה (למ"ד אין זיקה לעיל יז:), מ"מ כל  שרואה אותה פרוצה יכול לקנות לה. והיא גרמה אחר כן ליאסר עליו ולהפסיד כתובתה בסתירתה.</w:t>
      </w:r>
    </w:p>
  </w:footnote>
  <w:footnote w:id="3112">
    <w:p w14:paraId="7972FDF4" w14:textId="77777777" w:rsidR="006074A5" w:rsidRDefault="006074A5" w:rsidP="006074A5">
      <w:pPr>
        <w:pStyle w:val="Footnote"/>
        <w:bidi/>
      </w:pPr>
      <w:r>
        <w:rPr>
          <w:rStyle w:val="ac"/>
          <w:rtl/>
        </w:rPr>
        <w:footnoteRef/>
      </w:r>
      <w:r>
        <w:rPr>
          <w:rtl/>
        </w:rPr>
        <w:t>והוכיח כן מהגמ' (לקמן צה.) למ"ד דמאמר קני מדאורייתא [ושוב דחה די"ל דאיירי בבא עליה בשוגג].</w:t>
      </w:r>
    </w:p>
  </w:footnote>
  <w:footnote w:id="3113">
    <w:p w14:paraId="4B8583BC" w14:textId="77777777" w:rsidR="006074A5" w:rsidRDefault="006074A5" w:rsidP="006074A5">
      <w:pPr>
        <w:pStyle w:val="Footnote"/>
        <w:bidi/>
      </w:pPr>
      <w:r>
        <w:rPr>
          <w:rStyle w:val="ac"/>
          <w:rtl/>
        </w:rPr>
        <w:footnoteRef/>
      </w:r>
      <w:r>
        <w:rPr>
          <w:rtl/>
        </w:rPr>
        <w:t>וה</w:t>
      </w:r>
      <w:r>
        <w:rPr>
          <w:b/>
          <w:bCs/>
          <w:rtl/>
        </w:rPr>
        <w:t>אחרונים</w:t>
      </w:r>
      <w:r>
        <w:rPr>
          <w:rtl/>
        </w:rPr>
        <w:t xml:space="preserve"> דייקו דשאר ראשונים לא הק' מדרב המנונא.</w:t>
      </w:r>
    </w:p>
  </w:footnote>
  <w:footnote w:id="3114">
    <w:p w14:paraId="5C1B9425" w14:textId="77777777" w:rsidR="006074A5" w:rsidRDefault="006074A5" w:rsidP="006074A5">
      <w:pPr>
        <w:pStyle w:val="Footnote"/>
        <w:bidi/>
      </w:pPr>
      <w:r>
        <w:rPr>
          <w:rStyle w:val="ac"/>
          <w:rtl/>
        </w:rPr>
        <w:footnoteRef/>
      </w:r>
      <w:r>
        <w:rPr>
          <w:rtl/>
        </w:rPr>
        <w:t>וה</w:t>
      </w:r>
      <w:r>
        <w:rPr>
          <w:b/>
          <w:bCs/>
          <w:rtl/>
        </w:rPr>
        <w:t>קה"י</w:t>
      </w:r>
      <w:r>
        <w:rPr>
          <w:rtl/>
        </w:rPr>
        <w:t xml:space="preserve"> (כא) הוכיח מדברי הירושלמי דאיסור יבמה לשוק הוה מחמת אישות המת, דלצד דהוה מחמת היבם א"א לומר דעובר משום איסור שוק, מחמת עצמו.</w:t>
      </w:r>
    </w:p>
  </w:footnote>
  <w:footnote w:id="3115">
    <w:p w14:paraId="290F28E8" w14:textId="77777777" w:rsidR="006074A5" w:rsidRDefault="006074A5" w:rsidP="006074A5">
      <w:pPr>
        <w:pStyle w:val="Footnote"/>
        <w:bidi/>
      </w:pPr>
      <w:r>
        <w:rPr>
          <w:rStyle w:val="ac"/>
          <w:rtl/>
        </w:rPr>
        <w:footnoteRef/>
      </w:r>
      <w:r>
        <w:rPr>
          <w:rtl/>
        </w:rPr>
        <w:t>וה</w:t>
      </w:r>
      <w:r>
        <w:rPr>
          <w:b/>
          <w:bCs/>
          <w:rtl/>
        </w:rPr>
        <w:t>קה”י</w:t>
      </w:r>
      <w:r>
        <w:rPr>
          <w:rtl/>
        </w:rPr>
        <w:t xml:space="preserve"> תמה מ”ש מהא דקטן הבא על הגדולה, וכן ביאת מעוברת לתוס' לה:, והקובה”ע (סד) עמד בזה.</w:t>
      </w:r>
    </w:p>
  </w:footnote>
  <w:footnote w:id="3116">
    <w:p w14:paraId="45A1217A" w14:textId="77777777" w:rsidR="006074A5" w:rsidRDefault="006074A5" w:rsidP="006074A5">
      <w:pPr>
        <w:pStyle w:val="Footnote"/>
        <w:bidi/>
      </w:pPr>
      <w:r>
        <w:rPr>
          <w:rStyle w:val="ac"/>
          <w:rtl/>
        </w:rPr>
        <w:footnoteRef/>
      </w:r>
      <w:r>
        <w:rPr>
          <w:rtl/>
        </w:rPr>
        <w:t>והוסיף ביותר לצד דע"י יבום או חליצה של א' מתברר שזקוקה רק לו.</w:t>
      </w:r>
    </w:p>
  </w:footnote>
  <w:footnote w:id="3117">
    <w:p w14:paraId="518E0CF3" w14:textId="77777777" w:rsidR="006074A5" w:rsidRDefault="006074A5" w:rsidP="006074A5">
      <w:pPr>
        <w:pStyle w:val="Footnote"/>
        <w:bidi/>
      </w:pPr>
      <w:r>
        <w:rPr>
          <w:rStyle w:val="ac"/>
          <w:rtl/>
        </w:rPr>
        <w:footnoteRef/>
      </w:r>
      <w:r>
        <w:rPr>
          <w:rtl/>
        </w:rPr>
        <w:t>לכאורה כוונתו לגירסא הב' (וצ"ע דהעתיק בדבריו הגירסא הא').</w:t>
      </w:r>
    </w:p>
  </w:footnote>
  <w:footnote w:id="3118">
    <w:p w14:paraId="5193B8FE" w14:textId="77777777" w:rsidR="006074A5" w:rsidRDefault="006074A5" w:rsidP="006074A5">
      <w:pPr>
        <w:pStyle w:val="Footnote"/>
        <w:bidi/>
      </w:pPr>
      <w:r>
        <w:rPr>
          <w:rStyle w:val="ac"/>
          <w:rtl/>
        </w:rPr>
        <w:footnoteRef/>
      </w:r>
      <w:r>
        <w:rPr>
          <w:rtl/>
        </w:rPr>
        <w:t>ודלא כדברי הראשונים דכוונת הגמ' להביא דין מאמר לר' שמעון (לעיל יט.).</w:t>
      </w:r>
    </w:p>
  </w:footnote>
  <w:footnote w:id="3119">
    <w:p w14:paraId="2B2CC5A3" w14:textId="77777777" w:rsidR="006074A5" w:rsidRDefault="006074A5" w:rsidP="006074A5">
      <w:pPr>
        <w:pStyle w:val="Footnote"/>
        <w:bidi/>
      </w:pPr>
      <w:r>
        <w:rPr>
          <w:rStyle w:val="ac"/>
          <w:rtl/>
        </w:rPr>
        <w:footnoteRef/>
      </w:r>
      <w:r>
        <w:rPr>
          <w:rtl/>
        </w:rPr>
        <w:t>ועוד כתב דר' נחמיה ס"ל דל"ש לגזור, כיון דמדאורייתא מידע ידיע. (ולכאורה זה ע"ד תוס' דידן).</w:t>
      </w:r>
    </w:p>
  </w:footnote>
  <w:footnote w:id="3120">
    <w:p w14:paraId="6FA6BE20" w14:textId="77777777" w:rsidR="006074A5" w:rsidRDefault="006074A5" w:rsidP="006074A5">
      <w:pPr>
        <w:pStyle w:val="Footnote"/>
        <w:bidi/>
      </w:pPr>
      <w:r>
        <w:rPr>
          <w:rStyle w:val="ac"/>
          <w:rtl/>
        </w:rPr>
        <w:footnoteRef/>
      </w:r>
      <w:r>
        <w:rPr>
          <w:rtl/>
        </w:rPr>
        <w:t>[ולפ"ז יתכן דלא תפטור לצרה מדאורייתא].</w:t>
      </w:r>
    </w:p>
  </w:footnote>
  <w:footnote w:id="3121">
    <w:p w14:paraId="6AD8CF81" w14:textId="77777777" w:rsidR="006074A5" w:rsidRDefault="006074A5" w:rsidP="006074A5">
      <w:pPr>
        <w:pStyle w:val="Footnote"/>
        <w:bidi/>
      </w:pPr>
      <w:r>
        <w:rPr>
          <w:rStyle w:val="ac"/>
          <w:rtl/>
        </w:rPr>
        <w:footnoteRef/>
      </w:r>
      <w:r>
        <w:rPr>
          <w:rtl/>
        </w:rPr>
        <w:t>אבל אי נימא דמהני רק לאוסרה יש ליישב דברי ר”י ב”ב. [ומשמע בתוס' דאין צד דמהני גט רק לאסור. א”נ כוונתם דר"י ב"ב פי' הטעם דילפי' מק”ו מגט].</w:t>
      </w:r>
    </w:p>
  </w:footnote>
  <w:footnote w:id="3122">
    <w:p w14:paraId="1A9D67B3" w14:textId="77777777" w:rsidR="006074A5" w:rsidRDefault="006074A5" w:rsidP="006074A5">
      <w:pPr>
        <w:pStyle w:val="Footnote"/>
        <w:bidi/>
      </w:pPr>
      <w:r>
        <w:rPr>
          <w:rStyle w:val="ac"/>
          <w:rtl/>
        </w:rPr>
        <w:footnoteRef/>
      </w:r>
      <w:r>
        <w:rPr>
          <w:rtl/>
        </w:rPr>
        <w:t>ואף דאסורה על היבם לא פקע הזיקה. [דהוה איסור בעלמא, ולא חייבי כריתות].{ואפשר דאם כנס אחר הגט קנאה. או שמא אמרי' דאם בעלו ל"ק, ואפ"ה לא פקע הזיקה}.</w:t>
      </w:r>
    </w:p>
  </w:footnote>
  <w:footnote w:id="3123">
    <w:p w14:paraId="239FFDCB" w14:textId="77777777" w:rsidR="006074A5" w:rsidRDefault="006074A5" w:rsidP="006074A5">
      <w:pPr>
        <w:pStyle w:val="Footnote"/>
        <w:bidi/>
      </w:pPr>
      <w:r>
        <w:rPr>
          <w:rStyle w:val="ac"/>
          <w:rtl/>
        </w:rPr>
        <w:footnoteRef/>
      </w:r>
      <w:r>
        <w:rPr>
          <w:rtl/>
        </w:rPr>
        <w:t xml:space="preserve">אבל </w:t>
      </w:r>
      <w:r>
        <w:rPr>
          <w:b/>
          <w:bCs/>
          <w:rtl/>
        </w:rPr>
        <w:t>רש"י</w:t>
      </w:r>
      <w:r>
        <w:rPr>
          <w:rtl/>
        </w:rPr>
        <w:t xml:space="preserve"> (שם) כת' דמאמר יבמין דרבנן. ומבואר דסוגיה דהתם קאי בגדרי הדרבנן, ובזה ילפי' ק”ו לאסור מדרבנן.</w:t>
      </w:r>
    </w:p>
  </w:footnote>
  <w:footnote w:id="3124">
    <w:p w14:paraId="4BD81E53" w14:textId="77777777" w:rsidR="006074A5" w:rsidRDefault="006074A5" w:rsidP="006074A5">
      <w:pPr>
        <w:pStyle w:val="Footnote"/>
        <w:bidi/>
      </w:pPr>
      <w:r>
        <w:rPr>
          <w:rStyle w:val="ac"/>
          <w:rtl/>
        </w:rPr>
        <w:footnoteRef/>
      </w:r>
      <w:r>
        <w:rPr>
          <w:rtl/>
        </w:rPr>
        <w:t xml:space="preserve">ולדברי </w:t>
      </w:r>
      <w:r>
        <w:rPr>
          <w:b/>
          <w:bCs/>
          <w:rtl/>
        </w:rPr>
        <w:t>תוס</w:t>
      </w:r>
      <w:r>
        <w:rPr>
          <w:rtl/>
        </w:rPr>
        <w:t>' (ד"ה כולהו) היינו בית שמאי. (ועי"ש במהרש"א). [ולפ"ז לבי"ש ילפי' אף גט מדאורייתא]. אבל לירושלמי דלר”ג דאורייתא א"ש טפי (דר”ג קאי בהדיא אף בגט).</w:t>
      </w:r>
    </w:p>
  </w:footnote>
  <w:footnote w:id="3125">
    <w:p w14:paraId="3D103E3A" w14:textId="77777777" w:rsidR="006074A5" w:rsidRDefault="006074A5" w:rsidP="006074A5">
      <w:pPr>
        <w:pStyle w:val="Footnote"/>
        <w:bidi/>
      </w:pPr>
      <w:r>
        <w:rPr>
          <w:rStyle w:val="ac"/>
          <w:rtl/>
        </w:rPr>
        <w:footnoteRef/>
      </w:r>
      <w:r>
        <w:rPr>
          <w:rtl/>
        </w:rPr>
        <w:t>וה</w:t>
      </w:r>
      <w:r>
        <w:rPr>
          <w:b/>
          <w:bCs/>
          <w:rtl/>
        </w:rPr>
        <w:t>תוס' רא"ש</w:t>
      </w:r>
      <w:r>
        <w:rPr>
          <w:rtl/>
        </w:rPr>
        <w:t xml:space="preserve"> (צה.) תמה דכיון דמאמר קונה מדאורייתא, א"כ חייב עליה משום אשת איש ואמאי חשיב איסור קל. וה</w:t>
      </w:r>
      <w:r>
        <w:rPr>
          <w:b/>
          <w:bCs/>
          <w:rtl/>
        </w:rPr>
        <w:t>מהרש"א</w:t>
      </w:r>
      <w:r>
        <w:rPr>
          <w:rtl/>
        </w:rPr>
        <w:t xml:space="preserve"> (שם) הוכיח דאינו חייב עליה משום א"א. ומשמע מדבריו דתלי במח' אי לבי”ש קונה קנין גמור, או לדחות בצרה. [וע' מש"כ לעיל כט: דנח' בזה הראשונים בהא (נדרים עה.) דאין חייבין סקילה כנערה המאורסה].</w:t>
      </w:r>
    </w:p>
  </w:footnote>
  <w:footnote w:id="3126">
    <w:p w14:paraId="33301C60" w14:textId="77777777" w:rsidR="006074A5" w:rsidRDefault="006074A5" w:rsidP="006074A5">
      <w:pPr>
        <w:pStyle w:val="Footnote"/>
        <w:bidi/>
      </w:pPr>
      <w:r>
        <w:rPr>
          <w:rStyle w:val="ac"/>
          <w:rtl/>
        </w:rPr>
        <w:footnoteRef/>
      </w:r>
      <w:r>
        <w:rPr>
          <w:rtl/>
        </w:rPr>
        <w:t>אך יש שפי' דתוס' קאי בדעת ר' נחמיה, וכ</w:t>
      </w:r>
      <w:r>
        <w:rPr>
          <w:b/>
          <w:bCs/>
          <w:rtl/>
        </w:rPr>
        <w:t>ר"י ב"ר ברוך</w:t>
      </w:r>
      <w:r>
        <w:rPr>
          <w:rtl/>
        </w:rPr>
        <w:t xml:space="preserve"> דס"ל דמאמר וגט קונה במקצת מדאורייתא. וקונה רק חד צד, ואינה אשת איש גמורה.</w:t>
      </w:r>
    </w:p>
  </w:footnote>
  <w:footnote w:id="3127">
    <w:p w14:paraId="57BD5887" w14:textId="77777777" w:rsidR="006074A5" w:rsidRDefault="006074A5" w:rsidP="006074A5">
      <w:pPr>
        <w:pStyle w:val="Footnote"/>
        <w:bidi/>
      </w:pPr>
      <w:r>
        <w:rPr>
          <w:rStyle w:val="ac"/>
          <w:rtl/>
        </w:rPr>
        <w:footnoteRef/>
      </w:r>
      <w:r>
        <w:rPr>
          <w:rtl/>
        </w:rPr>
        <w:t>וה</w:t>
      </w:r>
      <w:r>
        <w:rPr>
          <w:b/>
          <w:bCs/>
          <w:rtl/>
        </w:rPr>
        <w:t>תוס' רא"ש</w:t>
      </w:r>
      <w:r>
        <w:rPr>
          <w:rtl/>
        </w:rPr>
        <w:t xml:space="preserve"> (צה.) תמה דאם מאמר קונה מדאורייתא האיך מהני מאמר בתרא. [ואילו בגמ' שם מבואר דלרבנן מהני מאמר אחר מאמר, ואף דקנאה מדאורייתא לבי”ש. ולכאורה כ"ז צלד דמאמר הוה קנין יבום (וכדמשמע בתוס' לעיל כט.). אבל </w:t>
      </w:r>
      <w:r>
        <w:rPr>
          <w:b/>
          <w:bCs/>
          <w:rtl/>
        </w:rPr>
        <w:t>תו"י</w:t>
      </w:r>
      <w:r>
        <w:rPr>
          <w:rtl/>
        </w:rPr>
        <w:t xml:space="preserve"> (לעיל כט.) ס"ל דמאמר הוה גדר קידושין דעלמא. וא"כ פשוט דל"מ קידושין באשת איש].</w:t>
      </w:r>
    </w:p>
  </w:footnote>
  <w:footnote w:id="3128">
    <w:p w14:paraId="15FA2217" w14:textId="77777777" w:rsidR="006074A5" w:rsidRDefault="006074A5" w:rsidP="006074A5">
      <w:pPr>
        <w:pStyle w:val="Footnote"/>
        <w:bidi/>
      </w:pPr>
      <w:r>
        <w:rPr>
          <w:rStyle w:val="ac"/>
          <w:rtl/>
        </w:rPr>
        <w:footnoteRef/>
      </w:r>
      <w:r>
        <w:rPr>
          <w:rtl/>
        </w:rPr>
        <w:t>ויל"ד אי כוונת התוס' דגט מתיר לשוק [בלא חליצה ואף מדרבנן] או דלא תפס מאמר וגט אחר, ולעולם צריכה חליצה.</w:t>
      </w:r>
    </w:p>
  </w:footnote>
  <w:footnote w:id="3129">
    <w:p w14:paraId="37FA872D" w14:textId="77777777" w:rsidR="006074A5" w:rsidRDefault="006074A5" w:rsidP="006074A5">
      <w:pPr>
        <w:pStyle w:val="Footnote"/>
        <w:bidi/>
      </w:pPr>
      <w:r>
        <w:rPr>
          <w:rStyle w:val="ac"/>
          <w:rtl/>
        </w:rPr>
        <w:footnoteRef/>
      </w:r>
      <w:r>
        <w:rPr>
          <w:rtl/>
        </w:rPr>
        <w:t>וצ"ב כוונתו דלדעת תוס' י"ל דיש מאמר אחר גט.</w:t>
      </w:r>
    </w:p>
  </w:footnote>
  <w:footnote w:id="3130">
    <w:p w14:paraId="21209361" w14:textId="77777777" w:rsidR="006074A5" w:rsidRDefault="006074A5" w:rsidP="006074A5">
      <w:pPr>
        <w:pStyle w:val="Footnote"/>
        <w:bidi/>
      </w:pPr>
      <w:r>
        <w:rPr>
          <w:rStyle w:val="ac"/>
          <w:rtl/>
        </w:rPr>
        <w:footnoteRef/>
      </w:r>
      <w:r>
        <w:rPr>
          <w:rtl/>
        </w:rPr>
        <w:t>וה</w:t>
      </w:r>
      <w:r>
        <w:rPr>
          <w:b/>
          <w:bCs/>
          <w:rtl/>
        </w:rPr>
        <w:t>משנת ר' אהרן</w:t>
      </w:r>
      <w:r>
        <w:rPr>
          <w:rtl/>
        </w:rPr>
        <w:t xml:space="preserve"> (יח יא) כתב דלרבנן מאמר קנה מקצת (וכדמוכח בתוס' מהר"ם והר”פ), ואף לצד דקנה לא נפטרה לשוק. וממילא יש אחרי מאמר וביאה פסולה. ורק לר"ג דאין מאמר אחר מאמר, דמהני לגמרי כלפי דין מאמר אחריו, והא דאמרי' (לעיל נ:) משום גזירה, קאי רק לר"ג. וכיון דלר' נחמיה ביאה פסולה אין אחריה כלום, מוכח דכלפי הצד הזה נחשב דאינה זקוקה יותר, וכסברת ר"ג.</w:t>
      </w:r>
    </w:p>
  </w:footnote>
  <w:footnote w:id="3131">
    <w:p w14:paraId="79C2B565" w14:textId="77777777" w:rsidR="006074A5" w:rsidRDefault="006074A5" w:rsidP="006074A5">
      <w:pPr>
        <w:pStyle w:val="Footnote"/>
        <w:bidi/>
      </w:pPr>
      <w:r>
        <w:rPr>
          <w:rStyle w:val="ac"/>
          <w:rtl/>
        </w:rPr>
        <w:footnoteRef/>
      </w:r>
      <w:r>
        <w:rPr>
          <w:rtl/>
        </w:rPr>
        <w:t>וה</w:t>
      </w:r>
      <w:r>
        <w:rPr>
          <w:b/>
          <w:bCs/>
          <w:rtl/>
        </w:rPr>
        <w:t>תו"י</w:t>
      </w:r>
      <w:r>
        <w:rPr>
          <w:rtl/>
        </w:rPr>
        <w:t xml:space="preserve"> (לעיל כט:) כתבו דהגמ' (שם) 'פרחה' קאי למ"ד דקונה קנין גמור (ובזה מיבעי אי אמרי' פרחה). אבל </w:t>
      </w:r>
      <w:r>
        <w:rPr>
          <w:b/>
          <w:bCs/>
          <w:rtl/>
        </w:rPr>
        <w:t>רש"י</w:t>
      </w:r>
      <w:r>
        <w:rPr>
          <w:rtl/>
        </w:rPr>
        <w:t xml:space="preserve"> ו</w:t>
      </w:r>
      <w:r>
        <w:rPr>
          <w:b/>
          <w:bCs/>
          <w:rtl/>
        </w:rPr>
        <w:t>ריטב"א</w:t>
      </w:r>
      <w:r>
        <w:rPr>
          <w:rtl/>
        </w:rPr>
        <w:t xml:space="preserve"> (שם) נקטו דקאי למ"ד דאינו קונה קנין גמור.</w:t>
      </w:r>
    </w:p>
  </w:footnote>
  <w:footnote w:id="3132">
    <w:p w14:paraId="3DB5D6A2" w14:textId="77777777" w:rsidR="006074A5" w:rsidRDefault="006074A5" w:rsidP="006074A5">
      <w:pPr>
        <w:pStyle w:val="Footnote"/>
        <w:bidi/>
      </w:pPr>
      <w:r>
        <w:rPr>
          <w:rStyle w:val="ac"/>
          <w:rtl/>
        </w:rPr>
        <w:footnoteRef/>
      </w:r>
      <w:r>
        <w:rPr>
          <w:rtl/>
        </w:rPr>
        <w:t>אבל ה</w:t>
      </w:r>
      <w:r>
        <w:rPr>
          <w:b/>
          <w:bCs/>
          <w:rtl/>
        </w:rPr>
        <w:t>רמב"ן</w:t>
      </w:r>
      <w:r>
        <w:rPr>
          <w:rtl/>
        </w:rPr>
        <w:t xml:space="preserve"> (לעיל כט) כ' דאף לבית שמאי יש מצוה בביאה אחרי המאמר. ואפשר דהוה מצוות הקמת שם (ולא מצות קנין יבום), ואילו סוגיין שייכא למצוות קיום היבום.</w:t>
      </w:r>
    </w:p>
  </w:footnote>
  <w:footnote w:id="3133">
    <w:p w14:paraId="03F7D0E8" w14:textId="77777777" w:rsidR="006074A5" w:rsidRDefault="006074A5" w:rsidP="006074A5">
      <w:pPr>
        <w:pStyle w:val="Footnote"/>
        <w:bidi/>
      </w:pPr>
      <w:r>
        <w:rPr>
          <w:rStyle w:val="ac"/>
          <w:rtl/>
        </w:rPr>
        <w:footnoteRef/>
      </w:r>
      <w:r>
        <w:rPr>
          <w:rtl/>
        </w:rPr>
        <w:t xml:space="preserve">ולדעת </w:t>
      </w:r>
      <w:r>
        <w:rPr>
          <w:b/>
          <w:bCs/>
          <w:rtl/>
        </w:rPr>
        <w:t>תוס</w:t>
      </w:r>
      <w:r>
        <w:rPr>
          <w:rtl/>
        </w:rPr>
        <w:t>' (לעי' כט.) לבי"ש (למ"ד דהוה קנין במקצת) מאמר הוה גדר קנין יבום (וע' מש"כ שם). אבל ב</w:t>
      </w:r>
      <w:r>
        <w:rPr>
          <w:b/>
          <w:bCs/>
          <w:rtl/>
        </w:rPr>
        <w:t>תו"י</w:t>
      </w:r>
      <w:r>
        <w:rPr>
          <w:rtl/>
        </w:rPr>
        <w:t xml:space="preserve"> (שם) מבואר דהוה כקידושין בעלמא. ומשמע דאפי' הכי מקיים מצוות יבום אח"כ. [דלהך מ"ד לא אמרי' פרחה, או דכיון דאינו מקניני היבום לא אמרי' פרחה. וע”ע בסמוך מש”כ הגר”ח].</w:t>
      </w:r>
    </w:p>
  </w:footnote>
  <w:footnote w:id="3134">
    <w:p w14:paraId="551615C5" w14:textId="77777777" w:rsidR="006074A5" w:rsidRDefault="006074A5" w:rsidP="006074A5">
      <w:pPr>
        <w:pStyle w:val="Footnote"/>
        <w:bidi/>
      </w:pPr>
      <w:r>
        <w:rPr>
          <w:rStyle w:val="ac"/>
          <w:rtl/>
        </w:rPr>
        <w:footnoteRef/>
      </w:r>
      <w:r>
        <w:rPr>
          <w:rtl/>
        </w:rPr>
        <w:t>וצ"ב דא"כ אף בחד יבם ויבמה [ואפשר דכוונתו בביאה בע"כ, א"נ בב' יבמין או יבמות, ומ"מ אמרי' פרחה לענין מה שאינו כמצווה].</w:t>
      </w:r>
    </w:p>
  </w:footnote>
  <w:footnote w:id="3135">
    <w:p w14:paraId="4B4DF6F7" w14:textId="77777777" w:rsidR="006074A5" w:rsidRDefault="006074A5" w:rsidP="006074A5">
      <w:pPr>
        <w:pStyle w:val="Footnote"/>
        <w:bidi/>
      </w:pPr>
      <w:r>
        <w:rPr>
          <w:rStyle w:val="ac"/>
          <w:rtl/>
        </w:rPr>
        <w:footnoteRef/>
      </w:r>
      <w:r>
        <w:rPr>
          <w:rtl/>
        </w:rPr>
        <w:t>ולכאורה כוונתו לדידן, ולא לבית שמאי. [ולכן יש לגזור אטו ביאה שאחר מאמר, ומ"מ יל"ד בדבריו דהוה גזירה לגזירה].</w:t>
      </w:r>
    </w:p>
  </w:footnote>
  <w:footnote w:id="3136">
    <w:p w14:paraId="090837C0" w14:textId="77777777" w:rsidR="006074A5" w:rsidRDefault="006074A5" w:rsidP="006074A5">
      <w:pPr>
        <w:pStyle w:val="Footnote"/>
        <w:bidi/>
      </w:pPr>
      <w:r>
        <w:rPr>
          <w:rStyle w:val="ac"/>
          <w:rtl/>
        </w:rPr>
        <w:footnoteRef/>
      </w:r>
      <w:r>
        <w:rPr>
          <w:rtl/>
        </w:rPr>
        <w:t>[ולפ"ז סוגיין לבי”ש. א”נ כוונת הגר"א דלענין מסירה לחופה לא מצאנו דעדיין זקוקה].</w:t>
      </w:r>
    </w:p>
  </w:footnote>
  <w:footnote w:id="3137">
    <w:p w14:paraId="1B4F884F" w14:textId="77777777" w:rsidR="006074A5" w:rsidRDefault="006074A5" w:rsidP="006074A5">
      <w:pPr>
        <w:pStyle w:val="Footnote"/>
        <w:bidi/>
      </w:pPr>
      <w:r>
        <w:rPr>
          <w:rStyle w:val="ac"/>
          <w:rtl/>
        </w:rPr>
        <w:footnoteRef/>
      </w:r>
      <w:r>
        <w:rPr>
          <w:rtl/>
        </w:rPr>
        <w:t>דלבית הלל לא אמרי' פרחה. [אבל ה</w:t>
      </w:r>
      <w:r>
        <w:rPr>
          <w:b/>
          <w:bCs/>
          <w:rtl/>
        </w:rPr>
        <w:t>אמר"מ</w:t>
      </w:r>
      <w:r>
        <w:rPr>
          <w:rtl/>
        </w:rPr>
        <w:t xml:space="preserve"> (ה ד) הביא בשם ה</w:t>
      </w:r>
      <w:r>
        <w:rPr>
          <w:b/>
          <w:bCs/>
          <w:rtl/>
        </w:rPr>
        <w:t xml:space="preserve">מאירי </w:t>
      </w:r>
      <w:r>
        <w:rPr>
          <w:rtl/>
        </w:rPr>
        <w:t>להקש' אמאי השמיטו הפוסקים דין זה דאחרי מאמר ל"ק ביאה בע"כ. {ולא מצאתי שהקשה כן}. והאמר"מ תמה דהך דין קאי לבי"ש].</w:t>
      </w:r>
    </w:p>
  </w:footnote>
  <w:footnote w:id="3138">
    <w:p w14:paraId="552D0415" w14:textId="77777777" w:rsidR="006074A5" w:rsidRDefault="006074A5" w:rsidP="006074A5">
      <w:pPr>
        <w:pStyle w:val="Footnote"/>
        <w:bidi/>
      </w:pPr>
      <w:r>
        <w:rPr>
          <w:rStyle w:val="ac"/>
          <w:rtl/>
        </w:rPr>
        <w:footnoteRef/>
      </w:r>
      <w:r>
        <w:rPr>
          <w:rtl/>
        </w:rPr>
        <w:t>וה</w:t>
      </w:r>
      <w:r>
        <w:rPr>
          <w:b/>
          <w:bCs/>
          <w:rtl/>
        </w:rPr>
        <w:t xml:space="preserve">ריטב"א </w:t>
      </w:r>
      <w:r>
        <w:rPr>
          <w:rtl/>
        </w:rPr>
        <w:t>הוסיף וכי שביק בית הלל וכתב כבי"ש, וסוגיין דכולה תלמודא דמאמר דרבנן.</w:t>
      </w:r>
    </w:p>
  </w:footnote>
  <w:footnote w:id="3139">
    <w:p w14:paraId="3B027B1C" w14:textId="77777777" w:rsidR="006074A5" w:rsidRDefault="006074A5" w:rsidP="006074A5">
      <w:pPr>
        <w:pStyle w:val="Footnote"/>
        <w:bidi/>
      </w:pPr>
      <w:r>
        <w:rPr>
          <w:rStyle w:val="ac"/>
          <w:rtl/>
        </w:rPr>
        <w:footnoteRef/>
      </w:r>
      <w:r>
        <w:rPr>
          <w:rtl/>
        </w:rPr>
        <w:t>[וה</w:t>
      </w:r>
      <w:r>
        <w:rPr>
          <w:b/>
          <w:bCs/>
          <w:rtl/>
        </w:rPr>
        <w:t>רשב”א</w:t>
      </w:r>
      <w:r>
        <w:rPr>
          <w:rtl/>
        </w:rPr>
        <w:t xml:space="preserve"> הביא כדדרשי' ב</w:t>
      </w:r>
      <w:r>
        <w:rPr>
          <w:b/>
          <w:bCs/>
          <w:rtl/>
        </w:rPr>
        <w:t xml:space="preserve">ירושלמי </w:t>
      </w:r>
      <w:r>
        <w:rPr>
          <w:rtl/>
        </w:rPr>
        <w:t>ולקחה לו לאשה זה המאמר, אבל אינו גומר בה להוציאה בגט אלא הביאה].</w:t>
      </w:r>
    </w:p>
  </w:footnote>
  <w:footnote w:id="3140">
    <w:p w14:paraId="6939C712" w14:textId="77777777" w:rsidR="006074A5" w:rsidRDefault="006074A5" w:rsidP="006074A5">
      <w:pPr>
        <w:pStyle w:val="Footnote"/>
        <w:bidi/>
      </w:pPr>
      <w:r>
        <w:rPr>
          <w:rStyle w:val="ac"/>
          <w:rtl/>
        </w:rPr>
        <w:footnoteRef/>
      </w:r>
      <w:r>
        <w:rPr>
          <w:rtl/>
        </w:rPr>
        <w:t>ויל"ד דאם אינה נאסרת כלל, א"כ אמאי יחשב 'מעשה קידושין' [ואי' גיטין פב: דקידושין שאינו אוסר לשום אדם לא חשיב קידושין]. [וכן ילה"ק אף ביבם אחד, דסדר המצוה מדרבנן ע"י מאמר, ואף דלא נאסר על שום אדם]. וה</w:t>
      </w:r>
      <w:r>
        <w:rPr>
          <w:b/>
          <w:bCs/>
          <w:rtl/>
        </w:rPr>
        <w:t>אחרונים</w:t>
      </w:r>
      <w:r>
        <w:rPr>
          <w:rtl/>
        </w:rPr>
        <w:t xml:space="preserve"> ביארו דגדר מאמר לייחד עליו אישות של המת, ואינו סיבת קידושין חדש.</w:t>
      </w:r>
    </w:p>
    <w:p w14:paraId="6896FEF0" w14:textId="77777777" w:rsidR="006074A5" w:rsidRDefault="006074A5" w:rsidP="006074A5">
      <w:pPr>
        <w:pStyle w:val="Footnote"/>
        <w:bidi/>
      </w:pPr>
      <w:r>
        <w:rPr>
          <w:rtl/>
        </w:rPr>
        <w:tab/>
        <w:t>וב</w:t>
      </w:r>
      <w:r>
        <w:rPr>
          <w:b/>
          <w:bCs/>
          <w:rtl/>
        </w:rPr>
        <w:t>ספר קובץ</w:t>
      </w:r>
      <w:r>
        <w:rPr>
          <w:rtl/>
        </w:rPr>
        <w:t xml:space="preserve"> (לרמב"ם יבום ב א) העלה צד דאף לבית הלל מאמר קונה מה"ת [ומש"כ הרמב"ם 'מדברי סופרים' הוא שנלמד מדרשא]. אלא דהוה רק תחילת קנין, ואין מחמתו שום איסור.</w:t>
      </w:r>
    </w:p>
  </w:footnote>
  <w:footnote w:id="3141">
    <w:p w14:paraId="03BF31A1" w14:textId="77777777" w:rsidR="006074A5" w:rsidRDefault="006074A5" w:rsidP="006074A5">
      <w:pPr>
        <w:pStyle w:val="Footnote"/>
        <w:bidi/>
      </w:pPr>
      <w:r>
        <w:rPr>
          <w:rStyle w:val="ac"/>
          <w:rtl/>
        </w:rPr>
        <w:footnoteRef/>
      </w:r>
      <w:r>
        <w:rPr>
          <w:rtl/>
        </w:rPr>
        <w:t>וה</w:t>
      </w:r>
      <w:r>
        <w:rPr>
          <w:b/>
          <w:bCs/>
          <w:rtl/>
        </w:rPr>
        <w:t>אחרונים</w:t>
      </w:r>
      <w:r>
        <w:rPr>
          <w:rtl/>
        </w:rPr>
        <w:t xml:space="preserve"> כת' די"ל דזה הגדר אף במאמר דרבנן, דהא שנאסרה על האחים הוה תקנה נוספת. וכמ"ש ה</w:t>
      </w:r>
      <w:r>
        <w:rPr>
          <w:b/>
          <w:bCs/>
          <w:rtl/>
        </w:rPr>
        <w:t xml:space="preserve">מאירי </w:t>
      </w:r>
      <w:r>
        <w:rPr>
          <w:rtl/>
        </w:rPr>
        <w:t>(נ.) דעיקר תקנת מאמר נתקן שלא יבעול עד שיקדש, ותקנו שיהיו קידושין אלו קונין ביבמה קצת קנין, לחומרא ליאסר בקרובותיה וכו'. משמע דהוה גזירה נוספת, ע"פ הא (נ:) דגזרו משום ביאה אחר ביאה. [וע' מה שהו' לעיל שם].</w:t>
      </w:r>
    </w:p>
  </w:footnote>
  <w:footnote w:id="3142">
    <w:p w14:paraId="58DFAB4E" w14:textId="77777777" w:rsidR="006074A5" w:rsidRDefault="006074A5" w:rsidP="006074A5">
      <w:pPr>
        <w:pStyle w:val="Footnote"/>
        <w:bidi/>
      </w:pPr>
      <w:r>
        <w:rPr>
          <w:rStyle w:val="ac"/>
          <w:rtl/>
        </w:rPr>
        <w:footnoteRef/>
      </w:r>
      <w:r>
        <w:rPr>
          <w:rtl/>
        </w:rPr>
        <w:t>ובפשוטו משמע ברשב"א דאהדרי' קרא, ולוקה משום אשת אח שלא במקום מצווה.</w:t>
      </w:r>
    </w:p>
  </w:footnote>
  <w:footnote w:id="3143">
    <w:p w14:paraId="17BBA38F" w14:textId="77777777" w:rsidR="006074A5" w:rsidRDefault="006074A5" w:rsidP="006074A5">
      <w:pPr>
        <w:pStyle w:val="Footnote"/>
        <w:bidi/>
      </w:pPr>
      <w:r>
        <w:rPr>
          <w:rStyle w:val="ac"/>
          <w:rtl/>
        </w:rPr>
        <w:footnoteRef/>
      </w:r>
      <w:r>
        <w:rPr>
          <w:rtl/>
        </w:rPr>
        <w:t>וב</w:t>
      </w:r>
      <w:r>
        <w:rPr>
          <w:b/>
          <w:bCs/>
          <w:rtl/>
        </w:rPr>
        <w:t>חי' ר"א מן ההר</w:t>
      </w:r>
      <w:r>
        <w:rPr>
          <w:rtl/>
        </w:rPr>
        <w:t xml:space="preserve"> כתב דס"ד לא קנה מדרבנן, כיון דעבר על דברי חכמים עשאוה כבעילת זנות.</w:t>
      </w:r>
    </w:p>
  </w:footnote>
  <w:footnote w:id="3144">
    <w:p w14:paraId="147E5EB9" w14:textId="77777777" w:rsidR="006074A5" w:rsidRDefault="006074A5" w:rsidP="006074A5">
      <w:pPr>
        <w:pStyle w:val="Footnote"/>
        <w:bidi/>
      </w:pPr>
      <w:r>
        <w:rPr>
          <w:rStyle w:val="ac"/>
          <w:rtl/>
        </w:rPr>
        <w:footnoteRef/>
      </w:r>
      <w:r>
        <w:rPr>
          <w:rtl/>
        </w:rPr>
        <w:t>וה</w:t>
      </w:r>
      <w:r>
        <w:rPr>
          <w:b/>
          <w:bCs/>
          <w:rtl/>
        </w:rPr>
        <w:t>אחרונים</w:t>
      </w:r>
      <w:r>
        <w:rPr>
          <w:rtl/>
        </w:rPr>
        <w:t xml:space="preserve"> הקשו מ"ש מקטן ומעוברת דתוס' (לעיל לה:) כת' דהותר בשעת נפילה. ויל"פ דכוונת התוס' דהכא קנאה מדאורייתא ושלא כתיקון חכמים. ומש"ה מדרבנן לא הוה יבמה [ויעבור באיסור אשת אח], א"נ מש"ה תקנו דכלפי ביאה זו לא נחשב יבמה כלל [ודוחק].</w:t>
      </w:r>
    </w:p>
  </w:footnote>
  <w:footnote w:id="3145">
    <w:p w14:paraId="4F049468" w14:textId="77777777" w:rsidR="006074A5" w:rsidRDefault="006074A5" w:rsidP="006074A5">
      <w:pPr>
        <w:pStyle w:val="Footnote"/>
        <w:bidi/>
      </w:pPr>
      <w:r>
        <w:rPr>
          <w:rStyle w:val="ac"/>
          <w:rtl/>
        </w:rPr>
        <w:footnoteRef/>
      </w:r>
      <w:r>
        <w:rPr>
          <w:rtl/>
        </w:rPr>
        <w:t>וצריך לחלק מ"ש ביאה פסולה דאחרי גט ומאמר דאחיו. [ובפשוטו הטעם משום גזירות דהגמ' לעיל נ:, אך זה ל"ש הכא]. ויש לחלק בין היכא דיש קלישות בעיקר מצוות יבום, להיכא דהוה איסור מצד אחר. [וצ"ע].</w:t>
      </w:r>
    </w:p>
  </w:footnote>
  <w:footnote w:id="3146">
    <w:p w14:paraId="7DBE3245" w14:textId="77777777" w:rsidR="006074A5" w:rsidRDefault="006074A5" w:rsidP="006074A5">
      <w:pPr>
        <w:pStyle w:val="Footnote"/>
        <w:bidi/>
      </w:pPr>
      <w:r>
        <w:rPr>
          <w:rStyle w:val="ac"/>
          <w:rtl/>
        </w:rPr>
        <w:footnoteRef/>
      </w:r>
      <w:r>
        <w:rPr>
          <w:rtl/>
        </w:rPr>
        <w:t>דס"ד דמדרבנן לא קנה קנין אישות [ומשמע דמ"מ ודאי פטורה לשוק, ואי"צ יבום  או חליצה. ולכאורה מוכח מזה דכיון דייבם פקע הזיקה אף אי לא קנאה מדרבנן. וצ”ע].</w:t>
      </w:r>
    </w:p>
  </w:footnote>
  <w:footnote w:id="3147">
    <w:p w14:paraId="049B6EC4" w14:textId="77777777" w:rsidR="006074A5" w:rsidRDefault="006074A5" w:rsidP="006074A5">
      <w:pPr>
        <w:pStyle w:val="Footnote"/>
        <w:bidi/>
      </w:pPr>
      <w:r>
        <w:rPr>
          <w:rStyle w:val="ac"/>
          <w:rtl/>
        </w:rPr>
        <w:footnoteRef/>
      </w:r>
      <w:r>
        <w:rPr>
          <w:rtl/>
        </w:rPr>
        <w:t xml:space="preserve">וכן </w:t>
      </w:r>
      <w:r>
        <w:rPr>
          <w:b/>
          <w:bCs/>
          <w:rtl/>
        </w:rPr>
        <w:t xml:space="preserve">רש”י </w:t>
      </w:r>
      <w:r>
        <w:rPr>
          <w:rtl/>
        </w:rPr>
        <w:t>(חולין קמא:) כ' דמלקות מרדות אין לה קצבה, אלא עד שיקבל עליו. אך ה</w:t>
      </w:r>
      <w:r>
        <w:rPr>
          <w:b/>
          <w:bCs/>
          <w:rtl/>
        </w:rPr>
        <w:t>ראשונים</w:t>
      </w:r>
      <w:r>
        <w:rPr>
          <w:rtl/>
        </w:rPr>
        <w:t xml:space="preserve"> חילקו דה”מ קודם שעבר עבירה, אבל לאחר שעבר הוה גדר עונש, וכפי מרדו.</w:t>
      </w:r>
    </w:p>
  </w:footnote>
  <w:footnote w:id="3148">
    <w:p w14:paraId="59F505AE" w14:textId="77777777" w:rsidR="006074A5" w:rsidRDefault="006074A5" w:rsidP="006074A5">
      <w:pPr>
        <w:pStyle w:val="Footnote"/>
        <w:bidi/>
      </w:pPr>
      <w:r>
        <w:rPr>
          <w:rStyle w:val="ac"/>
          <w:rtl/>
        </w:rPr>
        <w:footnoteRef/>
      </w:r>
      <w:r>
        <w:rPr>
          <w:rtl/>
        </w:rPr>
        <w:t>וה</w:t>
      </w:r>
      <w:r>
        <w:rPr>
          <w:b/>
          <w:bCs/>
          <w:rtl/>
        </w:rPr>
        <w:t>ר"ן</w:t>
      </w:r>
      <w:r>
        <w:rPr>
          <w:rtl/>
        </w:rPr>
        <w:t xml:space="preserve"> (כתובות שם) הביא דכ"ד הרמב"ם (חמץ ו יב). וב</w:t>
      </w:r>
      <w:r>
        <w:rPr>
          <w:b/>
          <w:bCs/>
          <w:rtl/>
        </w:rPr>
        <w:t>שד"ח</w:t>
      </w:r>
      <w:r>
        <w:rPr>
          <w:rtl/>
        </w:rPr>
        <w:t xml:space="preserve"> (מע' המ"ם קפד האריך בזה).</w:t>
      </w:r>
    </w:p>
  </w:footnote>
  <w:footnote w:id="3149">
    <w:p w14:paraId="27E7D20F" w14:textId="77777777" w:rsidR="006074A5" w:rsidRDefault="006074A5" w:rsidP="006074A5">
      <w:pPr>
        <w:pStyle w:val="Footnote"/>
        <w:bidi/>
      </w:pPr>
      <w:r>
        <w:rPr>
          <w:rStyle w:val="ac"/>
          <w:rtl/>
        </w:rPr>
        <w:footnoteRef/>
      </w:r>
      <w:r>
        <w:rPr>
          <w:rtl/>
        </w:rPr>
        <w:t>וה</w:t>
      </w:r>
      <w:r>
        <w:rPr>
          <w:b/>
          <w:bCs/>
          <w:rtl/>
        </w:rPr>
        <w:t xml:space="preserve">מפרשים </w:t>
      </w:r>
      <w:r>
        <w:rPr>
          <w:rtl/>
        </w:rPr>
        <w:t xml:space="preserve">הקשו דסותר למש"כ </w:t>
      </w:r>
      <w:r>
        <w:rPr>
          <w:b/>
          <w:bCs/>
          <w:rtl/>
        </w:rPr>
        <w:t>תוס</w:t>
      </w:r>
      <w:r>
        <w:rPr>
          <w:rtl/>
        </w:rPr>
        <w:t>' קידושין בשם ר"ת (ודנו להגיה כאן 'ר"י').</w:t>
      </w:r>
    </w:p>
  </w:footnote>
  <w:footnote w:id="3150">
    <w:p w14:paraId="037247DE" w14:textId="77777777" w:rsidR="006074A5" w:rsidRDefault="006074A5" w:rsidP="006074A5">
      <w:pPr>
        <w:pStyle w:val="Footnote"/>
        <w:bidi/>
      </w:pPr>
      <w:r>
        <w:rPr>
          <w:rStyle w:val="ac"/>
          <w:rtl/>
        </w:rPr>
        <w:footnoteRef/>
      </w:r>
      <w:r>
        <w:rPr>
          <w:rtl/>
        </w:rPr>
        <w:t>ויש להקשות עוד דאי חשיב פריצות להעמיד עדי יחוד, א"כ עיקר מצוות יבום ניתן בצורה של פריצות. (ואפשר דזה כוונת הגר"א).</w:t>
      </w:r>
    </w:p>
  </w:footnote>
  <w:footnote w:id="3151">
    <w:p w14:paraId="523BCEE3" w14:textId="77777777" w:rsidR="006074A5" w:rsidRDefault="006074A5" w:rsidP="006074A5">
      <w:pPr>
        <w:pStyle w:val="Footnote"/>
        <w:bidi/>
      </w:pPr>
      <w:r>
        <w:rPr>
          <w:rStyle w:val="ac"/>
          <w:rtl/>
        </w:rPr>
        <w:footnoteRef/>
      </w:r>
      <w:r>
        <w:rPr>
          <w:rtl/>
        </w:rPr>
        <w:t>והוסיף דאף ר"ת לא ס"ל דבעי עדים, מדהק' התוס' בפשיטות. וציין לתוס' דידן. וה</w:t>
      </w:r>
      <w:r>
        <w:rPr>
          <w:b/>
          <w:bCs/>
          <w:rtl/>
        </w:rPr>
        <w:t>אחרונים</w:t>
      </w:r>
      <w:r>
        <w:rPr>
          <w:rtl/>
        </w:rPr>
        <w:t xml:space="preserve"> הק' דאדרבה קו' תוס' דיבום בעי עדים.</w:t>
      </w:r>
    </w:p>
  </w:footnote>
  <w:footnote w:id="3152">
    <w:p w14:paraId="5B7CBFFE" w14:textId="77777777" w:rsidR="006074A5" w:rsidRDefault="006074A5" w:rsidP="006074A5">
      <w:pPr>
        <w:pStyle w:val="Footnote"/>
        <w:bidi/>
      </w:pPr>
      <w:r>
        <w:rPr>
          <w:rStyle w:val="ac"/>
          <w:rtl/>
        </w:rPr>
        <w:footnoteRef/>
      </w:r>
      <w:r>
        <w:rPr>
          <w:rtl/>
        </w:rPr>
        <w:t>וה</w:t>
      </w:r>
      <w:r>
        <w:rPr>
          <w:b/>
          <w:bCs/>
          <w:rtl/>
        </w:rPr>
        <w:t>פתח"ת</w:t>
      </w:r>
      <w:r>
        <w:rPr>
          <w:rtl/>
        </w:rPr>
        <w:t xml:space="preserve"> (קסו ט) נקט דהיבם והיבמה צריכין לדעת שיש עדים, אבל אי עדים ראו מבחוץ ל"מ, וכמו גבי קידושין. ושוב דחה דודאי מהני עדים מבחוץ, דביבום ל"צ כוונת קנין וסגי בכוונת מעשה הביאה, אף שנתכוון לשם זנות. והרי יש כאן עדות לקיומי.</w:t>
      </w:r>
    </w:p>
  </w:footnote>
  <w:footnote w:id="3153">
    <w:p w14:paraId="5BDE51D5" w14:textId="77777777" w:rsidR="006074A5" w:rsidRDefault="006074A5" w:rsidP="006074A5">
      <w:pPr>
        <w:pStyle w:val="Footnote"/>
        <w:bidi/>
      </w:pPr>
      <w:r>
        <w:rPr>
          <w:rStyle w:val="ac"/>
          <w:rtl/>
        </w:rPr>
        <w:footnoteRef/>
      </w:r>
      <w:r>
        <w:rPr>
          <w:rtl/>
        </w:rPr>
        <w:t>וה</w:t>
      </w:r>
      <w:r>
        <w:rPr>
          <w:b/>
          <w:bCs/>
          <w:rtl/>
        </w:rPr>
        <w:t>אחרונים</w:t>
      </w:r>
      <w:r>
        <w:rPr>
          <w:rtl/>
        </w:rPr>
        <w:t xml:space="preserve"> (ע' אפיק"י ח"ב לה) דנו דבמקום דליכא אחים, לא הוה חב לאחריני [דבלאו הכי אסורה לעלמא, עכ"פ למ"ד אין קידושין תופסים ביבמה], ואף בדבר שבערוה מהני הודאתם במקום עדים כשאינו חב לאחריני. (וע' רשב"א קידושין סו).</w:t>
      </w:r>
    </w:p>
    <w:p w14:paraId="7AF63B0E" w14:textId="77777777" w:rsidR="006074A5" w:rsidRDefault="006074A5" w:rsidP="006074A5">
      <w:pPr>
        <w:pStyle w:val="Footnote"/>
        <w:bidi/>
      </w:pPr>
      <w:r>
        <w:rPr>
          <w:rtl/>
        </w:rPr>
        <w:tab/>
        <w:t>וה</w:t>
      </w:r>
      <w:r>
        <w:rPr>
          <w:b/>
          <w:bCs/>
          <w:rtl/>
        </w:rPr>
        <w:t>פתח"ת</w:t>
      </w:r>
      <w:r>
        <w:rPr>
          <w:rtl/>
        </w:rPr>
        <w:t xml:space="preserve"> (קסו ט) הביא בשם </w:t>
      </w:r>
      <w:r>
        <w:rPr>
          <w:b/>
          <w:bCs/>
          <w:rtl/>
        </w:rPr>
        <w:t>יד המלך</w:t>
      </w:r>
      <w:r>
        <w:rPr>
          <w:rtl/>
        </w:rPr>
        <w:t xml:space="preserve"> (יבום א)</w:t>
      </w:r>
      <w:r>
        <w:rPr>
          <w:b/>
          <w:bCs/>
          <w:rtl/>
        </w:rPr>
        <w:t xml:space="preserve"> </w:t>
      </w:r>
      <w:r>
        <w:rPr>
          <w:rtl/>
        </w:rPr>
        <w:t>דתלי אי קידושין תופסין ביבמה לשוק, א”כ יש נפק”מ לענין קידושין היכא דבא אחר וקידשה. [אבל ה</w:t>
      </w:r>
      <w:r>
        <w:rPr>
          <w:b/>
          <w:bCs/>
          <w:rtl/>
        </w:rPr>
        <w:t>חזו"א</w:t>
      </w:r>
      <w:r>
        <w:rPr>
          <w:rtl/>
        </w:rPr>
        <w:t xml:space="preserve"> (קל ו) תמה דאמאי לא יחשב דבר שבערוה משום קנין האישות].</w:t>
      </w:r>
    </w:p>
  </w:footnote>
  <w:footnote w:id="3154">
    <w:p w14:paraId="534490C1" w14:textId="77777777" w:rsidR="006074A5" w:rsidRDefault="006074A5" w:rsidP="006074A5">
      <w:pPr>
        <w:pStyle w:val="Footnote"/>
        <w:bidi/>
      </w:pPr>
      <w:r>
        <w:rPr>
          <w:rStyle w:val="ac"/>
          <w:rtl/>
        </w:rPr>
        <w:footnoteRef/>
      </w:r>
      <w:r>
        <w:rPr>
          <w:rtl/>
        </w:rPr>
        <w:t>דה</w:t>
      </w:r>
      <w:r>
        <w:rPr>
          <w:b/>
          <w:bCs/>
          <w:rtl/>
        </w:rPr>
        <w:t>שלט"ג</w:t>
      </w:r>
      <w:r>
        <w:rPr>
          <w:rtl/>
        </w:rPr>
        <w:t xml:space="preserve"> (לקמן לט. בדה"ר) כת' בשם ה</w:t>
      </w:r>
      <w:r>
        <w:rPr>
          <w:b/>
          <w:bCs/>
          <w:rtl/>
        </w:rPr>
        <w:t xml:space="preserve">ריא"ז </w:t>
      </w:r>
      <w:r>
        <w:rPr>
          <w:rtl/>
        </w:rPr>
        <w:t>דאם בא עליה שלא בפני עדים לא נקנית באותה ביאה. שכשם שקידושין וגירושין צריכין עדים, כך יבום וחליצה. וכ"ד ה</w:t>
      </w:r>
      <w:r>
        <w:rPr>
          <w:b/>
          <w:bCs/>
          <w:rtl/>
        </w:rPr>
        <w:t>מאירי</w:t>
      </w:r>
      <w:r>
        <w:rPr>
          <w:rtl/>
        </w:rPr>
        <w:t xml:space="preserve"> (קידושין ב.).</w:t>
      </w:r>
    </w:p>
  </w:footnote>
  <w:footnote w:id="3155">
    <w:p w14:paraId="087221F2" w14:textId="77777777" w:rsidR="006074A5" w:rsidRDefault="006074A5" w:rsidP="006074A5">
      <w:pPr>
        <w:pStyle w:val="Footnote"/>
        <w:bidi/>
      </w:pPr>
      <w:r>
        <w:rPr>
          <w:rStyle w:val="ac"/>
          <w:rtl/>
        </w:rPr>
        <w:footnoteRef/>
      </w:r>
      <w:r>
        <w:rPr>
          <w:rtl/>
        </w:rPr>
        <w:t>וכתב דכן בחליצה ל”צ עדים [ונח' בזה הראשונים והאחרונים, ע' לקמן קה.].</w:t>
      </w:r>
    </w:p>
  </w:footnote>
  <w:footnote w:id="3156">
    <w:p w14:paraId="1D8CEE9F" w14:textId="77777777" w:rsidR="006074A5" w:rsidRDefault="006074A5" w:rsidP="006074A5">
      <w:pPr>
        <w:pStyle w:val="Footnote"/>
        <w:bidi/>
      </w:pPr>
      <w:r>
        <w:rPr>
          <w:rStyle w:val="ac"/>
          <w:rtl/>
        </w:rPr>
        <w:footnoteRef/>
      </w:r>
      <w:r>
        <w:rPr>
          <w:rtl/>
        </w:rPr>
        <w:t>ובפשוטו כוונת הרשב"א דיבום הוה גדר קנין שונה, ודין עדות לקיומא נאמר דוקא בקנין קידושין. אך ה</w:t>
      </w:r>
      <w:r>
        <w:rPr>
          <w:b/>
          <w:bCs/>
          <w:rtl/>
        </w:rPr>
        <w:t>גר"ח</w:t>
      </w:r>
      <w:r>
        <w:rPr>
          <w:rtl/>
        </w:rPr>
        <w:t xml:space="preserve"> (סטנסל, והו' בקוב"ש [קוב"ב] גיטין ט) דן דדין עדות לקיומי הוה מגדרי דבר שבערוה, ולא הוה מדיני קידושין. [ומש"ה פי' באופ"א].</w:t>
      </w:r>
    </w:p>
  </w:footnote>
  <w:footnote w:id="3157">
    <w:p w14:paraId="42AB1BF5" w14:textId="77777777" w:rsidR="006074A5" w:rsidRDefault="006074A5" w:rsidP="006074A5">
      <w:pPr>
        <w:pStyle w:val="Footnote"/>
        <w:bidi/>
      </w:pPr>
      <w:r>
        <w:rPr>
          <w:rStyle w:val="ac"/>
          <w:rtl/>
        </w:rPr>
        <w:footnoteRef/>
      </w:r>
      <w:r>
        <w:rPr>
          <w:rtl/>
        </w:rPr>
        <w:t>וה</w:t>
      </w:r>
      <w:r>
        <w:rPr>
          <w:b/>
          <w:bCs/>
          <w:rtl/>
        </w:rPr>
        <w:t>ריא"ז</w:t>
      </w:r>
      <w:r>
        <w:rPr>
          <w:rtl/>
        </w:rPr>
        <w:t xml:space="preserve"> (לקמן קיא: יג ב י) ביאר דאיירי התם דיש עדי יחוד, ואפ"ה נאמנת לומר דלא נבעלה.</w:t>
      </w:r>
    </w:p>
  </w:footnote>
  <w:footnote w:id="3158">
    <w:p w14:paraId="395C69CF" w14:textId="77777777" w:rsidR="006074A5" w:rsidRDefault="006074A5" w:rsidP="006074A5">
      <w:pPr>
        <w:pStyle w:val="Footnote"/>
        <w:bidi/>
      </w:pPr>
      <w:r>
        <w:rPr>
          <w:rStyle w:val="ac"/>
          <w:rtl/>
        </w:rPr>
        <w:footnoteRef/>
      </w:r>
      <w:r>
        <w:rPr>
          <w:rtl/>
        </w:rPr>
        <w:t>וה</w:t>
      </w:r>
      <w:r>
        <w:rPr>
          <w:b/>
          <w:bCs/>
          <w:rtl/>
        </w:rPr>
        <w:t>שער"י</w:t>
      </w:r>
      <w:r>
        <w:rPr>
          <w:rtl/>
        </w:rPr>
        <w:t xml:space="preserve"> (שם) כתב דהראשונים דבעי עדות ביבום, הוא משום דעכ”פ צריך איזה כוונה, לשם מעשה ביאה.</w:t>
      </w:r>
    </w:p>
  </w:footnote>
  <w:footnote w:id="3159">
    <w:p w14:paraId="295401F1" w14:textId="77777777" w:rsidR="006074A5" w:rsidRDefault="006074A5" w:rsidP="006074A5">
      <w:pPr>
        <w:pStyle w:val="Footnote"/>
        <w:bidi/>
      </w:pPr>
      <w:r>
        <w:rPr>
          <w:rStyle w:val="ac"/>
          <w:rtl/>
        </w:rPr>
        <w:footnoteRef/>
      </w:r>
      <w:r>
        <w:rPr>
          <w:rtl/>
        </w:rPr>
        <w:t>וה</w:t>
      </w:r>
      <w:r>
        <w:rPr>
          <w:b/>
          <w:bCs/>
          <w:rtl/>
        </w:rPr>
        <w:t>יד המלך</w:t>
      </w:r>
      <w:r>
        <w:rPr>
          <w:rtl/>
        </w:rPr>
        <w:t xml:space="preserve"> (בפתח"ת שם) דן כשבא עליה בלא עדים האם נאסרת עליו, דכיון שלא בנה שוב לא יבנה [וצ"ב מה הצד בזה]. או שמא מותרת לו אח"כ לייבם בעדים. [וכן יל"ד האם מותרת לאחיו].</w:t>
      </w:r>
    </w:p>
  </w:footnote>
  <w:footnote w:id="3160">
    <w:p w14:paraId="16DB48EE" w14:textId="77777777" w:rsidR="006074A5" w:rsidRDefault="006074A5" w:rsidP="006074A5">
      <w:pPr>
        <w:pStyle w:val="Footnote"/>
        <w:bidi/>
      </w:pPr>
      <w:r>
        <w:rPr>
          <w:rStyle w:val="ac"/>
          <w:rtl/>
        </w:rPr>
        <w:footnoteRef/>
      </w:r>
      <w:r>
        <w:rPr>
          <w:rtl/>
        </w:rPr>
        <w:t>וב</w:t>
      </w:r>
      <w:r>
        <w:rPr>
          <w:b/>
          <w:bCs/>
          <w:rtl/>
        </w:rPr>
        <w:t>תוס' ר"י הזקן</w:t>
      </w:r>
      <w:r>
        <w:rPr>
          <w:rtl/>
        </w:rPr>
        <w:t xml:space="preserve"> (עה"ג קידושין יב:) כתב דהרמב"ם למד מדין (כתובות כח.) כהן שגירש דלא ידור במבוי, והשוה ערוה בכרת לכהן בלאו.</w:t>
      </w:r>
    </w:p>
    <w:p w14:paraId="758985C9" w14:textId="77777777" w:rsidR="006074A5" w:rsidRDefault="006074A5" w:rsidP="006074A5">
      <w:pPr>
        <w:pStyle w:val="Footnote"/>
        <w:bidi/>
      </w:pPr>
      <w:r>
        <w:rPr>
          <w:rtl/>
        </w:rPr>
        <w:tab/>
        <w:t>ו</w:t>
      </w:r>
      <w:r>
        <w:rPr>
          <w:b/>
          <w:bCs/>
          <w:rtl/>
        </w:rPr>
        <w:t>ה"ה</w:t>
      </w:r>
      <w:r>
        <w:rPr>
          <w:rtl/>
        </w:rPr>
        <w:t xml:space="preserve"> הביא דבע"ז (יז.) דרשי' ואל תקרב אל פתח ביתה, בזונה, תוך ד”א. (והגר"א כתב דהוה אסמכתא).</w:t>
      </w:r>
    </w:p>
  </w:footnote>
  <w:footnote w:id="3161">
    <w:p w14:paraId="37DE5A1E" w14:textId="77777777" w:rsidR="006074A5" w:rsidRDefault="006074A5" w:rsidP="006074A5">
      <w:pPr>
        <w:pStyle w:val="Footnote"/>
        <w:bidi/>
      </w:pPr>
      <w:r>
        <w:rPr>
          <w:rStyle w:val="ac"/>
          <w:rtl/>
        </w:rPr>
        <w:footnoteRef/>
      </w:r>
      <w:r>
        <w:rPr>
          <w:rtl/>
        </w:rPr>
        <w:t>וה</w:t>
      </w:r>
      <w:r>
        <w:rPr>
          <w:b/>
          <w:bCs/>
          <w:rtl/>
        </w:rPr>
        <w:t>מגדל עוז</w:t>
      </w:r>
      <w:r>
        <w:rPr>
          <w:rtl/>
        </w:rPr>
        <w:t xml:space="preserve"> הקשה וכי יש גס בה יותר מסוגיין דיצא עליו שם רע. [ואפשר דכוונת הראב"ד דרב ששת ראה לגזור, ואין בזה גזירה כללי].</w:t>
      </w:r>
    </w:p>
  </w:footnote>
  <w:footnote w:id="3162">
    <w:p w14:paraId="68341287" w14:textId="77777777" w:rsidR="006074A5" w:rsidRDefault="006074A5" w:rsidP="006074A5">
      <w:pPr>
        <w:pStyle w:val="Footnote"/>
        <w:bidi/>
      </w:pPr>
      <w:r>
        <w:rPr>
          <w:rStyle w:val="ac"/>
          <w:rtl/>
        </w:rPr>
        <w:footnoteRef/>
      </w:r>
      <w:r>
        <w:rPr>
          <w:rtl/>
        </w:rPr>
        <w:t>ועע"ש בפוסקים דהאריכו האם פליגי אף באינך, והיאך קיי"ל.</w:t>
      </w:r>
    </w:p>
  </w:footnote>
  <w:footnote w:id="3163">
    <w:p w14:paraId="30B7B8E2" w14:textId="77777777" w:rsidR="006074A5" w:rsidRDefault="006074A5" w:rsidP="006074A5">
      <w:pPr>
        <w:pStyle w:val="Footnote"/>
        <w:bidi/>
      </w:pPr>
      <w:r>
        <w:rPr>
          <w:rStyle w:val="ac"/>
          <w:rtl/>
        </w:rPr>
        <w:footnoteRef/>
      </w:r>
      <w:r>
        <w:rPr>
          <w:rtl/>
        </w:rPr>
        <w:t>וה</w:t>
      </w:r>
      <w:r>
        <w:rPr>
          <w:b/>
          <w:bCs/>
          <w:rtl/>
        </w:rPr>
        <w:t>גר"ח</w:t>
      </w:r>
      <w:r>
        <w:rPr>
          <w:rtl/>
        </w:rPr>
        <w:t xml:space="preserve"> (סטנסל פב) דן דאף קידושי ביאה נתמעט מהך דרשא, דאל"כ אמאי צריך ילפותא דמהני יבום בהעראה, תיפוק ליה משום קידושי ביאה [ויל”ד דמ”מ נפק”מ בשוגג, ובע”כ וכדו']. וכתב דלסברת רש"י י"ל דלהעראה לא הותר איסור אשת אח.</w:t>
      </w:r>
    </w:p>
  </w:footnote>
  <w:footnote w:id="3164">
    <w:p w14:paraId="133C88E6" w14:textId="77777777" w:rsidR="006074A5" w:rsidRDefault="006074A5" w:rsidP="006074A5">
      <w:pPr>
        <w:pStyle w:val="Footnote"/>
        <w:bidi/>
      </w:pPr>
      <w:r>
        <w:rPr>
          <w:rStyle w:val="ac"/>
          <w:rtl/>
        </w:rPr>
        <w:footnoteRef/>
      </w:r>
      <w:r>
        <w:rPr>
          <w:rtl/>
        </w:rPr>
        <w:t>אבל לדעת בית שמאי מאמר קונה מדאורייתא, והאחרונים העלו צד (למ"ד דאינו קנין גמור) דהוה מדין קידושין בעלמא (וכ"כ בתו"י כט. בשם רבינו נתנאל). וא"כ פליגי וס"ל דתפיס קידושי היבם [ומ"מ לא אמרי' דפרחה ממנה זיקת יבמין, וצריכה יבום].</w:t>
      </w:r>
    </w:p>
  </w:footnote>
  <w:footnote w:id="3165">
    <w:p w14:paraId="145CAE62" w14:textId="77777777" w:rsidR="006074A5" w:rsidRDefault="006074A5" w:rsidP="006074A5">
      <w:pPr>
        <w:pStyle w:val="Footnote"/>
        <w:bidi/>
      </w:pPr>
      <w:r>
        <w:rPr>
          <w:rStyle w:val="ac"/>
          <w:rtl/>
        </w:rPr>
        <w:footnoteRef/>
      </w:r>
      <w:r>
        <w:rPr>
          <w:rtl/>
        </w:rPr>
        <w:t>[ול</w:t>
      </w:r>
      <w:r>
        <w:rPr>
          <w:b/>
          <w:bCs/>
          <w:rtl/>
        </w:rPr>
        <w:t xml:space="preserve">רשב”א </w:t>
      </w:r>
      <w:r>
        <w:rPr>
          <w:rtl/>
        </w:rPr>
        <w:t>הוה מגזיה”כ דאין כסף ושטר תופסים בה].</w:t>
      </w:r>
    </w:p>
  </w:footnote>
  <w:footnote w:id="3166">
    <w:p w14:paraId="429A9C60" w14:textId="77777777" w:rsidR="006074A5" w:rsidRDefault="006074A5" w:rsidP="006074A5">
      <w:pPr>
        <w:pStyle w:val="Footnote"/>
        <w:bidi/>
      </w:pPr>
      <w:r>
        <w:rPr>
          <w:rStyle w:val="ac"/>
          <w:rtl/>
        </w:rPr>
        <w:footnoteRef/>
      </w:r>
      <w:r>
        <w:rPr>
          <w:rtl/>
        </w:rPr>
        <w:t>[וכדמבואר מדברי אבא שאול, ע' מש”כ לעיל לט:].</w:t>
      </w:r>
    </w:p>
  </w:footnote>
  <w:footnote w:id="3167">
    <w:p w14:paraId="406DE03F" w14:textId="77777777" w:rsidR="006074A5" w:rsidRDefault="006074A5" w:rsidP="006074A5">
      <w:pPr>
        <w:pStyle w:val="Footnote"/>
        <w:bidi/>
      </w:pPr>
      <w:r>
        <w:rPr>
          <w:rStyle w:val="ac"/>
          <w:rtl/>
        </w:rPr>
        <w:footnoteRef/>
      </w:r>
      <w:r>
        <w:rPr>
          <w:rtl/>
        </w:rPr>
        <w:t>וה</w:t>
      </w:r>
      <w:r>
        <w:rPr>
          <w:b/>
          <w:bCs/>
          <w:rtl/>
        </w:rPr>
        <w:t>אמר"מ</w:t>
      </w:r>
      <w:r>
        <w:rPr>
          <w:rtl/>
        </w:rPr>
        <w:t xml:space="preserve"> כתב דלשיטת רש"י ניחא, דבן ט' קנה יבמתו מדאורייתא. [וק"ק דמדרבנן נחשב רק מאמר, ועדיין שומרת יבם. והיאך התירו].</w:t>
      </w:r>
    </w:p>
  </w:footnote>
  <w:footnote w:id="3168">
    <w:p w14:paraId="5240B4C4" w14:textId="77777777" w:rsidR="006074A5" w:rsidRDefault="006074A5" w:rsidP="006074A5">
      <w:pPr>
        <w:pStyle w:val="Footnote"/>
        <w:bidi/>
      </w:pPr>
      <w:r>
        <w:rPr>
          <w:rStyle w:val="ac"/>
          <w:rtl/>
        </w:rPr>
        <w:footnoteRef/>
      </w:r>
      <w:r>
        <w:rPr>
          <w:rtl/>
        </w:rPr>
        <w:t>ועי"ש שהאריך דסיבת הכרת מונע לתפיסת הקידושין, ואפי' במקום דלא חל האיסור משום אין איסור חל על איסור, אל תפסי קידושין. וכן בסוגיין דהותר איסור אשת אח, מ"מ סיבת האיסור קיימת.</w:t>
      </w:r>
    </w:p>
  </w:footnote>
  <w:footnote w:id="3169">
    <w:p w14:paraId="1763A1EA" w14:textId="77777777" w:rsidR="006074A5" w:rsidRDefault="006074A5" w:rsidP="006074A5">
      <w:pPr>
        <w:pStyle w:val="Footnote"/>
        <w:bidi/>
      </w:pPr>
      <w:r>
        <w:rPr>
          <w:rStyle w:val="ac"/>
          <w:rtl/>
        </w:rPr>
        <w:footnoteRef/>
      </w:r>
      <w:r>
        <w:rPr>
          <w:rtl/>
        </w:rPr>
        <w:t>וב</w:t>
      </w:r>
      <w:r>
        <w:rPr>
          <w:b/>
          <w:bCs/>
          <w:rtl/>
        </w:rPr>
        <w:t xml:space="preserve">חי' ר"א מן ההר </w:t>
      </w:r>
      <w:r>
        <w:rPr>
          <w:rtl/>
        </w:rPr>
        <w:t>כתב וזיל בתר טעמא כיון דמהני (קידושי שטר) בעלמא, שייך חשש ביבמה.</w:t>
      </w:r>
    </w:p>
  </w:footnote>
  <w:footnote w:id="3170">
    <w:p w14:paraId="64475843" w14:textId="77777777" w:rsidR="006074A5" w:rsidRDefault="006074A5" w:rsidP="006074A5">
      <w:pPr>
        <w:pStyle w:val="Footnote"/>
        <w:bidi/>
      </w:pPr>
      <w:r>
        <w:rPr>
          <w:rStyle w:val="ac"/>
          <w:rtl/>
        </w:rPr>
        <w:footnoteRef/>
      </w:r>
      <w:r>
        <w:rPr>
          <w:rtl/>
        </w:rPr>
        <w:t xml:space="preserve">אבל </w:t>
      </w:r>
      <w:r>
        <w:rPr>
          <w:b/>
          <w:bCs/>
          <w:rtl/>
        </w:rPr>
        <w:t>ה"ה</w:t>
      </w:r>
      <w:r>
        <w:rPr>
          <w:rtl/>
        </w:rPr>
        <w:t xml:space="preserve"> כתב דאף לרמב"ם מהני בשטר. וב</w:t>
      </w:r>
      <w:r>
        <w:rPr>
          <w:b/>
          <w:bCs/>
          <w:rtl/>
        </w:rPr>
        <w:t>שו"ע</w:t>
      </w:r>
      <w:r>
        <w:rPr>
          <w:rtl/>
        </w:rPr>
        <w:t xml:space="preserve"> (קסו ב) כתב דמהני מאמר בכסף או בשטר, וה</w:t>
      </w:r>
      <w:r>
        <w:rPr>
          <w:b/>
          <w:bCs/>
          <w:rtl/>
        </w:rPr>
        <w:t>רמ"א</w:t>
      </w:r>
      <w:r>
        <w:rPr>
          <w:rtl/>
        </w:rPr>
        <w:t xml:space="preserve"> כתב וי"א דשטר נמי מקרי מאמר, וביאר ה</w:t>
      </w:r>
      <w:r>
        <w:rPr>
          <w:b/>
          <w:bCs/>
          <w:rtl/>
        </w:rPr>
        <w:t>גר"א</w:t>
      </w:r>
      <w:r>
        <w:rPr>
          <w:rtl/>
        </w:rPr>
        <w:t xml:space="preserve"> (ה) דכוונתו לחלוק דמהני רק בדיעבד, שהרי דעת הרמב"ם וטור דל"מ (וכמ"ש בחי' ר"א מן ההר).</w:t>
      </w:r>
    </w:p>
  </w:footnote>
  <w:footnote w:id="3171">
    <w:p w14:paraId="2011DC68" w14:textId="77777777" w:rsidR="006074A5" w:rsidRDefault="006074A5" w:rsidP="006074A5">
      <w:pPr>
        <w:pStyle w:val="Footnote"/>
        <w:bidi/>
      </w:pPr>
      <w:r>
        <w:rPr>
          <w:rStyle w:val="ac"/>
          <w:rtl/>
        </w:rPr>
        <w:footnoteRef/>
      </w:r>
      <w:r>
        <w:rPr>
          <w:rtl/>
        </w:rPr>
        <w:t>אבל ה</w:t>
      </w:r>
      <w:r>
        <w:rPr>
          <w:b/>
          <w:bCs/>
          <w:rtl/>
        </w:rPr>
        <w:t>פתח"ת</w:t>
      </w:r>
      <w:r>
        <w:rPr>
          <w:rtl/>
        </w:rPr>
        <w:t xml:space="preserve"> (ה) הביא בשם ה</w:t>
      </w:r>
      <w:r>
        <w:rPr>
          <w:b/>
          <w:bCs/>
          <w:rtl/>
        </w:rPr>
        <w:t>ברית אברהם</w:t>
      </w:r>
      <w:r>
        <w:rPr>
          <w:rtl/>
        </w:rPr>
        <w:t xml:space="preserve"> דב' יבמין הוה חב לאחריני (והוה תופס לבע”ח).</w:t>
      </w:r>
    </w:p>
  </w:footnote>
  <w:footnote w:id="3172">
    <w:p w14:paraId="684141FE" w14:textId="77777777" w:rsidR="006074A5" w:rsidRDefault="006074A5" w:rsidP="006074A5">
      <w:pPr>
        <w:pStyle w:val="Footnote"/>
        <w:bidi/>
      </w:pPr>
      <w:r>
        <w:rPr>
          <w:rStyle w:val="ac"/>
          <w:rtl/>
        </w:rPr>
        <w:footnoteRef/>
      </w:r>
      <w:r>
        <w:rPr>
          <w:rtl/>
        </w:rPr>
        <w:t>והביא דב</w:t>
      </w:r>
      <w:r>
        <w:rPr>
          <w:b/>
          <w:bCs/>
          <w:rtl/>
        </w:rPr>
        <w:t>תוס' חד מקמאי</w:t>
      </w:r>
      <w:r>
        <w:rPr>
          <w:rtl/>
        </w:rPr>
        <w:t xml:space="preserve"> (לקמן צו.) כתב דגט דבן ט' (למ"ד התם דמהני), איירי דוקא כשכותב בכתב ידו, דאין שליחות לקטן. [אף במידי דאית ליה. ומדרבנן פוסל רק גט שהיה מהני אילו היה גדול. ואף דבלאו הכי קטן אינו בר דעת לגרש, וכן ל”מ חליצה דידיה].</w:t>
      </w:r>
    </w:p>
  </w:footnote>
  <w:footnote w:id="3173">
    <w:p w14:paraId="2A8DA0AA" w14:textId="77777777" w:rsidR="006074A5" w:rsidRDefault="006074A5" w:rsidP="006074A5">
      <w:pPr>
        <w:pStyle w:val="Footnote"/>
        <w:bidi/>
      </w:pPr>
      <w:r>
        <w:rPr>
          <w:rStyle w:val="ac"/>
          <w:rtl/>
        </w:rPr>
        <w:footnoteRef/>
      </w:r>
      <w:r>
        <w:rPr>
          <w:rtl/>
        </w:rPr>
        <w:t xml:space="preserve">אבל </w:t>
      </w:r>
      <w:r>
        <w:rPr>
          <w:b/>
          <w:bCs/>
          <w:rtl/>
        </w:rPr>
        <w:t>רש"י</w:t>
      </w:r>
      <w:r>
        <w:rPr>
          <w:rtl/>
        </w:rPr>
        <w:t xml:space="preserve"> כתב ילכך תיבעי לך. והרש"ש הביא דמבואר בראשונים דלא גרסו לעיל 'א"ל חיישינן'. וב</w:t>
      </w:r>
      <w:r>
        <w:rPr>
          <w:b/>
          <w:bCs/>
          <w:rtl/>
        </w:rPr>
        <w:t>חי' ר"א מן ההר</w:t>
      </w:r>
      <w:r>
        <w:rPr>
          <w:rtl/>
        </w:rPr>
        <w:t xml:space="preserve"> כתב דלא איפשט.</w:t>
      </w:r>
    </w:p>
  </w:footnote>
  <w:footnote w:id="3174">
    <w:p w14:paraId="1659691C" w14:textId="77777777" w:rsidR="006074A5" w:rsidRDefault="006074A5" w:rsidP="006074A5">
      <w:pPr>
        <w:pStyle w:val="Footnote"/>
        <w:bidi/>
      </w:pPr>
      <w:r>
        <w:rPr>
          <w:rStyle w:val="ac"/>
          <w:rtl/>
        </w:rPr>
        <w:footnoteRef/>
      </w:r>
      <w:r>
        <w:rPr>
          <w:rtl/>
        </w:rPr>
        <w:t>עכ"פ לר"א דאפשר לגרש חוץ מפלוני. [ועוד יל"ד דבגט יבמין מסתבר דאין פסול כריתות, וע' בע"ב בשם הברכ"ש].</w:t>
      </w:r>
    </w:p>
  </w:footnote>
  <w:footnote w:id="3175">
    <w:p w14:paraId="7F22185B" w14:textId="77777777" w:rsidR="006074A5" w:rsidRDefault="006074A5" w:rsidP="006074A5">
      <w:pPr>
        <w:pStyle w:val="Footnote"/>
        <w:bidi/>
      </w:pPr>
      <w:r>
        <w:rPr>
          <w:rStyle w:val="ac"/>
          <w:rtl/>
        </w:rPr>
        <w:footnoteRef/>
      </w:r>
      <w:r>
        <w:rPr>
          <w:rtl/>
        </w:rPr>
        <w:t>ו</w:t>
      </w:r>
      <w:r>
        <w:rPr>
          <w:b/>
          <w:bCs/>
          <w:rtl/>
        </w:rPr>
        <w:t>תוס</w:t>
      </w:r>
      <w:r>
        <w:rPr>
          <w:rtl/>
        </w:rPr>
        <w:t>' (שם) כת' דאף לר"א אם אינה מותרת לשום אדם אינה גט. אבל התוס' הרא"ש שם כ' דמהני שלא תיפול ליבום. וה</w:t>
      </w:r>
      <w:r>
        <w:rPr>
          <w:b/>
          <w:bCs/>
          <w:rtl/>
        </w:rPr>
        <w:t>לבוש</w:t>
      </w:r>
      <w:r>
        <w:rPr>
          <w:rtl/>
        </w:rPr>
        <w:t xml:space="preserve"> (בשו”ת מהר”ם לובלין קכג) למד מהתם דיתכן גט שמגרשה ממנו, ומתירתה שלא תיפול ליבום, אך אינו מתיר לשוק [בחיי הבעל]. וה</w:t>
      </w:r>
      <w:r>
        <w:rPr>
          <w:b/>
          <w:bCs/>
          <w:rtl/>
        </w:rPr>
        <w:t xml:space="preserve">אחרונים </w:t>
      </w:r>
      <w:r>
        <w:rPr>
          <w:rtl/>
        </w:rPr>
        <w:t>דחו דבריו.</w:t>
      </w:r>
    </w:p>
  </w:footnote>
  <w:footnote w:id="3176">
    <w:p w14:paraId="5A0D5C4F" w14:textId="77777777" w:rsidR="006074A5" w:rsidRDefault="006074A5" w:rsidP="006074A5">
      <w:pPr>
        <w:pStyle w:val="Footnote"/>
        <w:bidi/>
      </w:pPr>
      <w:r>
        <w:rPr>
          <w:rStyle w:val="ac"/>
          <w:rtl/>
        </w:rPr>
        <w:footnoteRef/>
      </w:r>
      <w:r>
        <w:rPr>
          <w:rtl/>
        </w:rPr>
        <w:t>אבל ה</w:t>
      </w:r>
      <w:r>
        <w:rPr>
          <w:b/>
          <w:bCs/>
          <w:rtl/>
        </w:rPr>
        <w:t>שאג"א</w:t>
      </w:r>
      <w:r>
        <w:rPr>
          <w:rtl/>
        </w:rPr>
        <w:t xml:space="preserve"> (חדשות ב) נקט דאף לרמב"ם הוה דאורייתא, ואף דנקט לשון דבריהם.</w:t>
      </w:r>
    </w:p>
    <w:p w14:paraId="4D9B2947" w14:textId="77777777" w:rsidR="006074A5" w:rsidRDefault="006074A5" w:rsidP="006074A5">
      <w:pPr>
        <w:pStyle w:val="Footnote"/>
        <w:bidi/>
      </w:pPr>
      <w:r>
        <w:rPr>
          <w:rtl/>
        </w:rPr>
        <w:tab/>
        <w:t>וה</w:t>
      </w:r>
      <w:r>
        <w:rPr>
          <w:b/>
          <w:bCs/>
          <w:rtl/>
        </w:rPr>
        <w:t>קובה"ע</w:t>
      </w:r>
      <w:r>
        <w:rPr>
          <w:rtl/>
        </w:rPr>
        <w:t xml:space="preserve"> (סו ב) כתב דריח הגט פוסל מדאו' [אילו משכחת גרושה מאישה], אלא דמדאו' יש פסול כריתות, ואינה גרושה אף מאשה.</w:t>
      </w:r>
    </w:p>
  </w:footnote>
  <w:footnote w:id="3177">
    <w:p w14:paraId="548B55D1" w14:textId="77777777" w:rsidR="006074A5" w:rsidRDefault="006074A5" w:rsidP="006074A5">
      <w:pPr>
        <w:pStyle w:val="Footnote"/>
        <w:bidi/>
      </w:pPr>
      <w:r>
        <w:rPr>
          <w:rStyle w:val="ac"/>
          <w:rtl/>
        </w:rPr>
        <w:footnoteRef/>
      </w:r>
      <w:r>
        <w:rPr>
          <w:rtl/>
        </w:rPr>
        <w:t>ורב הונא בד"ר יהושע אמר דגט של קטן זוטר. ולר' גמליאל דאין גט אחר גט, ה"מ גדול אחר גדול וקטן אחר קטן, אבל גט של גדול מהני אחר של קטן. ולרבנן דיש גט אחר גט, אבל גט של קטן ל"מ אחר גט של גדול.</w:t>
      </w:r>
    </w:p>
  </w:footnote>
  <w:footnote w:id="3178">
    <w:p w14:paraId="006828A4" w14:textId="77777777" w:rsidR="006074A5" w:rsidRDefault="006074A5" w:rsidP="006074A5">
      <w:pPr>
        <w:pStyle w:val="Footnote"/>
        <w:bidi/>
      </w:pPr>
      <w:r>
        <w:rPr>
          <w:rStyle w:val="ac"/>
          <w:rtl/>
        </w:rPr>
        <w:footnoteRef/>
      </w:r>
      <w:r>
        <w:rPr>
          <w:rtl/>
        </w:rPr>
        <w:t>והאו"ש הק' דלמ"ד דגט ביבמה הוה מדין חליצה, הא בחליצה ל"מ שליחות (וכדאי' כתובות עד.). ותי' דלענין מעשה כתיבת הגט לא הוקש לחליצה.</w:t>
      </w:r>
    </w:p>
  </w:footnote>
  <w:footnote w:id="3179">
    <w:p w14:paraId="36EBDCC4" w14:textId="77777777" w:rsidR="006074A5" w:rsidRDefault="006074A5" w:rsidP="006074A5">
      <w:pPr>
        <w:pStyle w:val="Footnote"/>
        <w:bidi/>
      </w:pPr>
      <w:r>
        <w:rPr>
          <w:rStyle w:val="ac"/>
          <w:rtl/>
        </w:rPr>
        <w:footnoteRef/>
      </w:r>
      <w:r>
        <w:rPr>
          <w:rtl/>
        </w:rPr>
        <w:t>והביא דבירושלמי אי' דתלי במח' רבי ורבנן (לעיל יט:) האם מהני מאמר בע”כ, האם דמי לגט או וחליצה. דלרבנן מאמר הוי כקידושין, וכן גט כמו גט דאשה. ולרבי מאמר כמו יבום, וגט כחליצה.</w:t>
      </w:r>
    </w:p>
    <w:p w14:paraId="11812619" w14:textId="77777777" w:rsidR="006074A5" w:rsidRDefault="006074A5" w:rsidP="006074A5">
      <w:pPr>
        <w:pStyle w:val="Footnote"/>
        <w:bidi/>
      </w:pPr>
      <w:r>
        <w:rPr>
          <w:rtl/>
        </w:rPr>
        <w:tab/>
        <w:t>ועוד הביא דבגמ' (כתובות פב. לפרש”י) מבואר דמהני גט ביבמה בע"כ. וכת' דע"פ הנ"ל קאי כרבנן.</w:t>
      </w:r>
    </w:p>
  </w:footnote>
  <w:footnote w:id="3180">
    <w:p w14:paraId="229F353F" w14:textId="77777777" w:rsidR="006074A5" w:rsidRDefault="006074A5" w:rsidP="006074A5">
      <w:pPr>
        <w:pStyle w:val="Footnote"/>
        <w:bidi/>
      </w:pPr>
      <w:r>
        <w:rPr>
          <w:rStyle w:val="ac"/>
          <w:rtl/>
        </w:rPr>
        <w:footnoteRef/>
      </w:r>
      <w:r>
        <w:rPr>
          <w:rtl/>
        </w:rPr>
        <w:t>אבל ה</w:t>
      </w:r>
      <w:r>
        <w:rPr>
          <w:b/>
          <w:bCs/>
          <w:rtl/>
        </w:rPr>
        <w:t>רמב"ם</w:t>
      </w:r>
      <w:r>
        <w:rPr>
          <w:rtl/>
        </w:rPr>
        <w:t xml:space="preserve"> (גירושין ט כה) פסק דאם נתייחד עמה אחרי שצווה לכתוב גט הרי אלו לא יכתבו ויתנו, וק"ו הדברים אם הגט נכתב כבר [הוה גט ישן], כ"ש לזה שלא נכתב. וה</w:t>
      </w:r>
      <w:r>
        <w:rPr>
          <w:b/>
          <w:bCs/>
          <w:rtl/>
        </w:rPr>
        <w:t>רמב"ן</w:t>
      </w:r>
      <w:r>
        <w:rPr>
          <w:rtl/>
        </w:rPr>
        <w:t xml:space="preserve"> (גיטין שם) תמה דכיון דלא נכתב עדיין אינו גט ישן, ומה שייך ק”ו. וכתב ואפשר דכוונת הרמב"ם משום חשש לפיוס.</w:t>
      </w:r>
    </w:p>
  </w:footnote>
  <w:footnote w:id="3181">
    <w:p w14:paraId="50CA7326" w14:textId="77777777" w:rsidR="006074A5" w:rsidRDefault="006074A5" w:rsidP="006074A5">
      <w:pPr>
        <w:pStyle w:val="Footnote"/>
        <w:bidi/>
      </w:pPr>
      <w:r>
        <w:rPr>
          <w:rStyle w:val="ac"/>
          <w:rtl/>
        </w:rPr>
        <w:footnoteRef/>
      </w:r>
      <w:r>
        <w:rPr>
          <w:rtl/>
        </w:rPr>
        <w:t>אך אפשר דהיינו דוקא לאחר מעשה, אבל כשכונס אותה ע"ד שלא להתייחד עמה, אין זה צורת כניסת חופה כלל.</w:t>
      </w:r>
    </w:p>
  </w:footnote>
  <w:footnote w:id="3182">
    <w:p w14:paraId="01B05AAA" w14:textId="77777777" w:rsidR="006074A5" w:rsidRDefault="006074A5" w:rsidP="006074A5">
      <w:pPr>
        <w:pStyle w:val="Footnote"/>
        <w:bidi/>
      </w:pPr>
      <w:r>
        <w:rPr>
          <w:rStyle w:val="ac"/>
          <w:rtl/>
        </w:rPr>
        <w:footnoteRef/>
      </w:r>
      <w:r>
        <w:rPr>
          <w:rtl/>
        </w:rPr>
        <w:t>מבואר ברש"י דקאי על הבעל, שהבעל לא היה בעלים וראוי לגירושין אלו. [ואילו הרמב”ם תלה באשה].</w:t>
      </w:r>
    </w:p>
  </w:footnote>
  <w:footnote w:id="3183">
    <w:p w14:paraId="6592E7C6" w14:textId="77777777" w:rsidR="006074A5" w:rsidRDefault="006074A5" w:rsidP="006074A5">
      <w:pPr>
        <w:pStyle w:val="Footnote"/>
        <w:bidi/>
      </w:pPr>
      <w:r>
        <w:rPr>
          <w:rStyle w:val="ac"/>
          <w:rtl/>
        </w:rPr>
        <w:footnoteRef/>
      </w:r>
      <w:r>
        <w:rPr>
          <w:rtl/>
        </w:rPr>
        <w:t>אבל בארוסה ראויה לגירו'. [אבל לשון הגמ' 'בידו', קצת משמע דגט דאירוסין מהני רק מדין 'בידו'. וצ"ע].</w:t>
      </w:r>
    </w:p>
  </w:footnote>
  <w:footnote w:id="3184">
    <w:p w14:paraId="4FD283BA" w14:textId="77777777" w:rsidR="006074A5" w:rsidRDefault="006074A5" w:rsidP="006074A5">
      <w:pPr>
        <w:pStyle w:val="Footnote"/>
        <w:bidi/>
      </w:pPr>
      <w:r>
        <w:rPr>
          <w:rStyle w:val="ac"/>
          <w:rtl/>
        </w:rPr>
        <w:footnoteRef/>
      </w:r>
      <w:r>
        <w:rPr>
          <w:rtl/>
        </w:rPr>
        <w:t>וב</w:t>
      </w:r>
      <w:r>
        <w:rPr>
          <w:b/>
          <w:bCs/>
          <w:rtl/>
        </w:rPr>
        <w:t>חי' ר"א מן ההר</w:t>
      </w:r>
      <w:r>
        <w:rPr>
          <w:rtl/>
        </w:rPr>
        <w:t xml:space="preserve"> כתב דכיון דלא היתה בת גירושין, הוה כנכתב שלא לשם גירושין. אבל ה</w:t>
      </w:r>
      <w:r>
        <w:rPr>
          <w:b/>
          <w:bCs/>
          <w:rtl/>
        </w:rPr>
        <w:t>קרי"ס</w:t>
      </w:r>
      <w:r>
        <w:rPr>
          <w:rtl/>
        </w:rPr>
        <w:t xml:space="preserve"> כת' דהוה חסרון 'וכתב ונתן'. ועד"ז ה</w:t>
      </w:r>
      <w:r>
        <w:rPr>
          <w:b/>
          <w:bCs/>
          <w:rtl/>
        </w:rPr>
        <w:t xml:space="preserve">מהרי"ט </w:t>
      </w:r>
      <w:r>
        <w:rPr>
          <w:rtl/>
        </w:rPr>
        <w:t>(קידושין סב) כתב דדרשי' כי יקח אשה, וכתב לה ספר כריתות. שיהא בעל בשעת כתיבה ונתינה.</w:t>
      </w:r>
    </w:p>
  </w:footnote>
  <w:footnote w:id="3185">
    <w:p w14:paraId="5A145D85" w14:textId="77777777" w:rsidR="006074A5" w:rsidRDefault="006074A5" w:rsidP="006074A5">
      <w:pPr>
        <w:pStyle w:val="Footnote"/>
        <w:bidi/>
      </w:pPr>
      <w:r>
        <w:rPr>
          <w:rStyle w:val="ac"/>
          <w:rtl/>
        </w:rPr>
        <w:footnoteRef/>
      </w:r>
      <w:r>
        <w:rPr>
          <w:rtl/>
        </w:rPr>
        <w:t xml:space="preserve">וכ"כ </w:t>
      </w:r>
      <w:r>
        <w:rPr>
          <w:b/>
          <w:bCs/>
          <w:rtl/>
        </w:rPr>
        <w:t>תוס</w:t>
      </w:r>
      <w:r>
        <w:rPr>
          <w:rtl/>
        </w:rPr>
        <w:t>' (נזיר שם הו' בסמוך), וכ”מ ב</w:t>
      </w:r>
      <w:r>
        <w:rPr>
          <w:b/>
          <w:bCs/>
          <w:rtl/>
        </w:rPr>
        <w:t>ראשונים</w:t>
      </w:r>
      <w:r>
        <w:rPr>
          <w:rtl/>
        </w:rPr>
        <w:t xml:space="preserve"> (נדרים עב:). אבל ה</w:t>
      </w:r>
      <w:r>
        <w:rPr>
          <w:b/>
          <w:bCs/>
          <w:rtl/>
        </w:rPr>
        <w:t>משנ"ל</w:t>
      </w:r>
      <w:r>
        <w:rPr>
          <w:rtl/>
        </w:rPr>
        <w:t xml:space="preserve"> (אישות ט ו) הביא דה</w:t>
      </w:r>
      <w:r>
        <w:rPr>
          <w:b/>
          <w:bCs/>
          <w:rtl/>
        </w:rPr>
        <w:t>מהרי"ט</w:t>
      </w:r>
      <w:r>
        <w:rPr>
          <w:rtl/>
        </w:rPr>
        <w:t xml:space="preserve"> (חו"מ כג) פי' את הסוגייה בנזיר דבסתמא אין דעתו על מה דלא מצי עביד (והמשנ"ל האריך לחלוק ע”ז). וכ”כ האבנ”מ (לה יג) בשם </w:t>
      </w:r>
      <w:r>
        <w:rPr>
          <w:b/>
          <w:bCs/>
          <w:rtl/>
        </w:rPr>
        <w:t>רש"י</w:t>
      </w:r>
      <w:r>
        <w:rPr>
          <w:rtl/>
        </w:rPr>
        <w:t>.</w:t>
      </w:r>
    </w:p>
  </w:footnote>
  <w:footnote w:id="3186">
    <w:p w14:paraId="5A54A72F" w14:textId="77777777" w:rsidR="006074A5" w:rsidRDefault="006074A5" w:rsidP="006074A5">
      <w:pPr>
        <w:pStyle w:val="Footnote"/>
        <w:bidi/>
      </w:pPr>
      <w:r>
        <w:rPr>
          <w:rStyle w:val="ac"/>
          <w:rtl/>
        </w:rPr>
        <w:footnoteRef/>
      </w:r>
      <w:r>
        <w:rPr>
          <w:rtl/>
        </w:rPr>
        <w:t>וכתב דמעשים בכל יום דכותבים גט למומרים, אף דאיהו לא מצי עביד.</w:t>
      </w:r>
    </w:p>
  </w:footnote>
  <w:footnote w:id="3187">
    <w:p w14:paraId="7C9E972E" w14:textId="77777777" w:rsidR="006074A5" w:rsidRDefault="006074A5" w:rsidP="006074A5">
      <w:pPr>
        <w:pStyle w:val="Footnote"/>
        <w:bidi/>
      </w:pPr>
      <w:r>
        <w:rPr>
          <w:rStyle w:val="ac"/>
          <w:rtl/>
        </w:rPr>
        <w:footnoteRef/>
      </w:r>
      <w:r>
        <w:rPr>
          <w:rtl/>
        </w:rPr>
        <w:t xml:space="preserve">ועפ"ז דן שם במקום שהאשה נשתטית, ואין בידו לגרשה ל"מ [דנקט דאף בנשואה בעינן שיהא </w:t>
      </w:r>
      <w:r>
        <w:rPr>
          <w:i/>
          <w:iCs/>
          <w:rtl/>
        </w:rPr>
        <w:t>בידו</w:t>
      </w:r>
      <w:r>
        <w:rPr>
          <w:rtl/>
        </w:rPr>
        <w:t xml:space="preserve"> לגרש בשעת כתיבה]. ו</w:t>
      </w:r>
      <w:r>
        <w:rPr>
          <w:b/>
          <w:bCs/>
          <w:rtl/>
        </w:rPr>
        <w:t>רע"א</w:t>
      </w:r>
      <w:r>
        <w:rPr>
          <w:rtl/>
        </w:rPr>
        <w:t xml:space="preserve"> חלק דהוה מניעה מצד אחר, ודוקא בסוגיין דל"ש כלל גירושין דאין לו אישות בה.</w:t>
      </w:r>
    </w:p>
  </w:footnote>
  <w:footnote w:id="3188">
    <w:p w14:paraId="6B1AA922" w14:textId="77777777" w:rsidR="006074A5" w:rsidRDefault="006074A5" w:rsidP="006074A5">
      <w:pPr>
        <w:pStyle w:val="Footnote"/>
        <w:bidi/>
      </w:pPr>
      <w:r>
        <w:rPr>
          <w:rStyle w:val="ac"/>
          <w:rtl/>
        </w:rPr>
        <w:footnoteRef/>
      </w:r>
      <w:r>
        <w:rPr>
          <w:rtl/>
        </w:rPr>
        <w:t>ומשמע מדבריו דלהנך ראשונים אפשר לכתוב הגט לפני שנשא, וכל החסרון בנתינה [ורע"א תמה דזה דוחק גדול בסוגיין]. א"נ ע"כ החסרון לפ"ז בסוגיין כמ"ש הרמב"ם.</w:t>
      </w:r>
    </w:p>
  </w:footnote>
  <w:footnote w:id="3189">
    <w:p w14:paraId="78D76D11" w14:textId="77777777" w:rsidR="006074A5" w:rsidRDefault="006074A5" w:rsidP="006074A5">
      <w:pPr>
        <w:pStyle w:val="Footnote"/>
        <w:bidi/>
      </w:pPr>
      <w:r>
        <w:rPr>
          <w:rStyle w:val="ac"/>
          <w:rtl/>
        </w:rPr>
        <w:footnoteRef/>
      </w:r>
      <w:r>
        <w:rPr>
          <w:rtl/>
        </w:rPr>
        <w:t>וכ"פ ה</w:t>
      </w:r>
      <w:r>
        <w:rPr>
          <w:b/>
          <w:bCs/>
          <w:rtl/>
        </w:rPr>
        <w:t>רא"ש</w:t>
      </w:r>
      <w:r>
        <w:rPr>
          <w:rtl/>
        </w:rPr>
        <w:t>, והו' ב</w:t>
      </w:r>
      <w:r>
        <w:rPr>
          <w:b/>
          <w:bCs/>
          <w:rtl/>
        </w:rPr>
        <w:t xml:space="preserve">טור </w:t>
      </w:r>
      <w:r>
        <w:rPr>
          <w:rtl/>
        </w:rPr>
        <w:t>(קלב). וה</w:t>
      </w:r>
      <w:r>
        <w:rPr>
          <w:b/>
          <w:bCs/>
          <w:rtl/>
        </w:rPr>
        <w:t>ב"י</w:t>
      </w:r>
      <w:r>
        <w:rPr>
          <w:rtl/>
        </w:rPr>
        <w:t xml:space="preserve"> תמה דקי"ל דאין אדם מקנה דבר שלבל”ע, א"כ מאי נפק"מ בזה. וה</w:t>
      </w:r>
      <w:r>
        <w:rPr>
          <w:b/>
          <w:bCs/>
          <w:rtl/>
        </w:rPr>
        <w:t>ב”ח</w:t>
      </w:r>
      <w:r>
        <w:rPr>
          <w:rtl/>
        </w:rPr>
        <w:t xml:space="preserve"> (קלב) תי' דכיון דאיכא מ"ד דאדם מקנה דבר שלא בא לעולם קנתה האשה גט זה במקצת, לענין דפסלה מן הכהונה. וה</w:t>
      </w:r>
      <w:r>
        <w:rPr>
          <w:b/>
          <w:bCs/>
          <w:rtl/>
        </w:rPr>
        <w:t>ט"ז</w:t>
      </w:r>
      <w:r>
        <w:rPr>
          <w:rtl/>
        </w:rPr>
        <w:t xml:space="preserve"> חלק דאין זה משמעות הטור. [וע' מש"כ הט"ז, וה</w:t>
      </w:r>
      <w:r>
        <w:rPr>
          <w:b/>
          <w:bCs/>
          <w:rtl/>
        </w:rPr>
        <w:t>אחרונים</w:t>
      </w:r>
      <w:r>
        <w:rPr>
          <w:rtl/>
        </w:rPr>
        <w:t xml:space="preserve"> חלקו].</w:t>
      </w:r>
    </w:p>
    <w:p w14:paraId="7B801EC8" w14:textId="77777777" w:rsidR="006074A5" w:rsidRDefault="006074A5" w:rsidP="006074A5">
      <w:pPr>
        <w:pStyle w:val="Footnote"/>
        <w:bidi/>
      </w:pPr>
      <w:r>
        <w:rPr>
          <w:rtl/>
        </w:rPr>
        <w:tab/>
        <w:t>וה</w:t>
      </w:r>
      <w:r>
        <w:rPr>
          <w:b/>
          <w:bCs/>
          <w:rtl/>
        </w:rPr>
        <w:t>משנ"ל</w:t>
      </w:r>
      <w:r>
        <w:rPr>
          <w:rtl/>
        </w:rPr>
        <w:t xml:space="preserve"> (הו' בסמוך) תי' דנפק"מ במחוסר זמן, דזמן הוה ממילא, ומהני אף למ"ד אדם מקנה. וה</w:t>
      </w:r>
      <w:r>
        <w:rPr>
          <w:b/>
          <w:bCs/>
          <w:rtl/>
        </w:rPr>
        <w:t>אבנ"מ</w:t>
      </w:r>
      <w:r>
        <w:rPr>
          <w:rtl/>
        </w:rPr>
        <w:t xml:space="preserve"> (הו' בסמוך) כתב דנפק"מ היכא דהוה בידו [וכגון ביבמה, ע' בסמוך].</w:t>
      </w:r>
    </w:p>
  </w:footnote>
  <w:footnote w:id="3190">
    <w:p w14:paraId="7D29D75D" w14:textId="77777777" w:rsidR="006074A5" w:rsidRDefault="006074A5" w:rsidP="006074A5">
      <w:pPr>
        <w:pStyle w:val="Footnote"/>
        <w:bidi/>
      </w:pPr>
      <w:r>
        <w:rPr>
          <w:rStyle w:val="ac"/>
          <w:rtl/>
        </w:rPr>
        <w:footnoteRef/>
      </w:r>
      <w:r>
        <w:rPr>
          <w:rtl/>
        </w:rPr>
        <w:t xml:space="preserve">וכ"כ </w:t>
      </w:r>
      <w:r>
        <w:rPr>
          <w:b/>
          <w:bCs/>
          <w:rtl/>
        </w:rPr>
        <w:t>רע"א</w:t>
      </w:r>
      <w:r>
        <w:rPr>
          <w:rtl/>
        </w:rPr>
        <w:t xml:space="preserve"> (גיטין מ.) דלדעת ר' מאיר מהני לכתוב שטר קידושין לשפחה ויכתוב לאחר שתשתחררי [וכגון צאי בו והתקדשי בו]. ולר"מ נחשב לשמה. [ע"ע שם אליבא דרבנן, וע"ע </w:t>
      </w:r>
      <w:r>
        <w:rPr>
          <w:b/>
          <w:bCs/>
          <w:rtl/>
        </w:rPr>
        <w:t>קה"י</w:t>
      </w:r>
      <w:r>
        <w:rPr>
          <w:rtl/>
        </w:rPr>
        <w:t xml:space="preserve"> גיטין כח].</w:t>
      </w:r>
    </w:p>
  </w:footnote>
  <w:footnote w:id="3191">
    <w:p w14:paraId="4937FC9A" w14:textId="77777777" w:rsidR="006074A5" w:rsidRDefault="006074A5" w:rsidP="006074A5">
      <w:pPr>
        <w:pStyle w:val="Footnote"/>
        <w:bidi/>
      </w:pPr>
      <w:r>
        <w:rPr>
          <w:rStyle w:val="ac"/>
          <w:rtl/>
        </w:rPr>
        <w:footnoteRef/>
      </w:r>
      <w:r>
        <w:rPr>
          <w:rtl/>
        </w:rPr>
        <w:t>אך הא גופא צ"ב, דקודם שנשאה אינו בעלים לגרש, והיאך יכול לעשות 'מעשה גירושין' לר' מאיר. ומבואר דאין בזה חסרון, דלר' מאיר יש לו כח לעשות מעשה קנין ע"פ העתיד (וע"ש בקה"י). (וכן השער"י ו יז עמד קצת בזה).</w:t>
      </w:r>
    </w:p>
  </w:footnote>
  <w:footnote w:id="3192">
    <w:p w14:paraId="03E2767E" w14:textId="77777777" w:rsidR="006074A5" w:rsidRDefault="006074A5" w:rsidP="006074A5">
      <w:pPr>
        <w:pStyle w:val="Footnote"/>
        <w:bidi/>
      </w:pPr>
      <w:r>
        <w:rPr>
          <w:rStyle w:val="ac"/>
          <w:rtl/>
        </w:rPr>
        <w:footnoteRef/>
      </w:r>
      <w:r>
        <w:rPr>
          <w:rtl/>
        </w:rPr>
        <w:t>והאבנ"מ כתב דלדעת הרמב"ם התם איירי בשטר הקנאת עבד, דלא בעי לשמה. ורק להתירו בבת חורין ילפי' 'לה לה' מאשה דבעי לשמה. וע"ד מש"כ ב</w:t>
      </w:r>
      <w:r>
        <w:rPr>
          <w:b/>
          <w:bCs/>
          <w:rtl/>
        </w:rPr>
        <w:t>קצות</w:t>
      </w:r>
      <w:r>
        <w:rPr>
          <w:rtl/>
        </w:rPr>
        <w:t xml:space="preserve"> (ר ה) דיהני שטר שחרור שלא לשמה ע"י שמקנה לעבד [אלא דל”מ כה”ג גיטו וידו באין כא']. [והאחרונים האריכו בזה ואכ"מ].</w:t>
      </w:r>
    </w:p>
  </w:footnote>
  <w:footnote w:id="3193">
    <w:p w14:paraId="21E86B62" w14:textId="77777777" w:rsidR="006074A5" w:rsidRDefault="006074A5" w:rsidP="006074A5">
      <w:pPr>
        <w:pStyle w:val="Footnote"/>
        <w:bidi/>
      </w:pPr>
      <w:r>
        <w:rPr>
          <w:rStyle w:val="ac"/>
          <w:rtl/>
        </w:rPr>
        <w:footnoteRef/>
      </w:r>
      <w:r>
        <w:rPr>
          <w:rtl/>
        </w:rPr>
        <w:t>ולכאורה פשוט דאחרי שייבם הוה אשתו גמורה, וכבר אין זיקה. (ולכאורה זה כוונת התו"י), וצ”ב מה ספק הגמ' דתהני גט יבמין אחרי שנעשית אשתו גמורה. ומשמע דסגי בהא דיש לו בעלות לענין זה.</w:t>
      </w:r>
    </w:p>
  </w:footnote>
  <w:footnote w:id="3194">
    <w:p w14:paraId="6C6C5D80" w14:textId="77777777" w:rsidR="006074A5" w:rsidRDefault="006074A5" w:rsidP="006074A5">
      <w:pPr>
        <w:pStyle w:val="Footnote"/>
        <w:bidi/>
      </w:pPr>
      <w:r>
        <w:rPr>
          <w:rStyle w:val="ac"/>
          <w:rtl/>
        </w:rPr>
        <w:footnoteRef/>
      </w:r>
      <w:r>
        <w:rPr>
          <w:rtl/>
        </w:rPr>
        <w:t>ועפ"ז פסקו לחומרא, דהוה ספק דאורייתא. דאילו לתוס' הוה ספק דרבנן, ולקולא.</w:t>
      </w:r>
    </w:p>
  </w:footnote>
  <w:footnote w:id="3195">
    <w:p w14:paraId="144BDB9B" w14:textId="77777777" w:rsidR="006074A5" w:rsidRDefault="006074A5" w:rsidP="006074A5">
      <w:pPr>
        <w:pStyle w:val="Footnote"/>
        <w:bidi/>
      </w:pPr>
      <w:r>
        <w:rPr>
          <w:rStyle w:val="ac"/>
          <w:rtl/>
        </w:rPr>
        <w:footnoteRef/>
      </w:r>
      <w:r>
        <w:rPr>
          <w:rtl/>
        </w:rPr>
        <w:t>וה</w:t>
      </w:r>
      <w:r>
        <w:rPr>
          <w:b/>
          <w:bCs/>
          <w:rtl/>
        </w:rPr>
        <w:t>אחרונים</w:t>
      </w:r>
      <w:r>
        <w:rPr>
          <w:rtl/>
        </w:rPr>
        <w:t xml:space="preserve"> העמידו דמשמע דסברת הרשב"א משום החליצה, וסברת הרא"ש משום בידו לבוא עליה. (אבל בריטב"א כתב תרוייהו).</w:t>
      </w:r>
    </w:p>
  </w:footnote>
  <w:footnote w:id="3196">
    <w:p w14:paraId="3D34968F" w14:textId="77777777" w:rsidR="006074A5" w:rsidRDefault="006074A5" w:rsidP="006074A5">
      <w:pPr>
        <w:pStyle w:val="Footnote"/>
        <w:bidi/>
      </w:pPr>
      <w:r>
        <w:rPr>
          <w:rStyle w:val="ac"/>
          <w:rtl/>
        </w:rPr>
        <w:footnoteRef/>
      </w:r>
      <w:r>
        <w:rPr>
          <w:rtl/>
        </w:rPr>
        <w:t>וה</w:t>
      </w:r>
      <w:r>
        <w:rPr>
          <w:b/>
          <w:bCs/>
          <w:rtl/>
        </w:rPr>
        <w:t>ריטב”א</w:t>
      </w:r>
      <w:r>
        <w:rPr>
          <w:rtl/>
        </w:rPr>
        <w:t xml:space="preserve"> כת' דלפי פי' זה הוה ספיקא דאורייתא הוא ולחומרא. ואילו לפי' התוס' [דכל הספק בדרבנן] הוי ספיקא דרבנן ולקולא. [וקצת משמע דלפירושו דנידון הגמ' בין דאורי' או דרבנן, וכיון דעיקר הספק בדאורייתא, אבך בדרבנן לחומרא].</w:t>
      </w:r>
    </w:p>
  </w:footnote>
  <w:footnote w:id="3197">
    <w:p w14:paraId="2580D035" w14:textId="77777777" w:rsidR="006074A5" w:rsidRDefault="006074A5" w:rsidP="006074A5">
      <w:pPr>
        <w:pStyle w:val="Footnote"/>
        <w:bidi/>
      </w:pPr>
      <w:r>
        <w:rPr>
          <w:rStyle w:val="ac"/>
          <w:rtl/>
        </w:rPr>
        <w:footnoteRef/>
      </w:r>
      <w:r>
        <w:rPr>
          <w:rtl/>
        </w:rPr>
        <w:t>בפשוטו איירי שנוטל עיסה אחרת שכבר נתגלגלה. וצ"ב אמאי לא יטול מהקמח הזה ויפריש, דהא בידו לגלגלו. וה</w:t>
      </w:r>
      <w:r>
        <w:rPr>
          <w:b/>
          <w:bCs/>
          <w:rtl/>
        </w:rPr>
        <w:t>גר"א</w:t>
      </w:r>
      <w:r>
        <w:rPr>
          <w:rtl/>
        </w:rPr>
        <w:t xml:space="preserve"> (יו"ד שכז א) כת' דלאו דוקא נקטו. וכ"כ ה</w:t>
      </w:r>
      <w:r>
        <w:rPr>
          <w:b/>
          <w:bCs/>
          <w:rtl/>
        </w:rPr>
        <w:t>חזו"א</w:t>
      </w:r>
      <w:r>
        <w:rPr>
          <w:rtl/>
        </w:rPr>
        <w:t xml:space="preserve"> (קמח לדף סב), דהא אף העיסה שלא נתגלגלה לא נתחייב, ואין חילוק בין תלוש על מחובר למחובר על מחובר. ו</w:t>
      </w:r>
      <w:r>
        <w:rPr>
          <w:b/>
          <w:bCs/>
          <w:rtl/>
        </w:rPr>
        <w:t>רע"א</w:t>
      </w:r>
      <w:r>
        <w:rPr>
          <w:rtl/>
        </w:rPr>
        <w:t xml:space="preserve"> (יו"ד שכח לש"ך ז) עמד בזה, והביא דכ"כ הפרישה דבידו לקרוא שם על הקמח. והביא דהאורח מישור האריך בזה.</w:t>
      </w:r>
    </w:p>
  </w:footnote>
  <w:footnote w:id="3198">
    <w:p w14:paraId="59C03614" w14:textId="77777777" w:rsidR="006074A5" w:rsidRDefault="006074A5" w:rsidP="006074A5">
      <w:pPr>
        <w:pStyle w:val="Footnote"/>
        <w:bidi/>
      </w:pPr>
      <w:r>
        <w:rPr>
          <w:rStyle w:val="ac"/>
          <w:rtl/>
        </w:rPr>
        <w:footnoteRef/>
      </w:r>
      <w:r>
        <w:rPr>
          <w:rtl/>
        </w:rPr>
        <w:t>וז"ל ה</w:t>
      </w:r>
      <w:r>
        <w:rPr>
          <w:b/>
          <w:bCs/>
          <w:rtl/>
        </w:rPr>
        <w:t>תוס'</w:t>
      </w:r>
      <w:r>
        <w:rPr>
          <w:rtl/>
        </w:rPr>
        <w:t xml:space="preserve"> ומיהו בהאי טעמא לחוד לא סגי לן, לומר דמצי למיעבד שליח כיון דבידו ללוש וכו'.</w:t>
      </w:r>
    </w:p>
  </w:footnote>
  <w:footnote w:id="3199">
    <w:p w14:paraId="3DE77947" w14:textId="77777777" w:rsidR="006074A5" w:rsidRDefault="006074A5" w:rsidP="006074A5">
      <w:pPr>
        <w:pStyle w:val="Footnote"/>
        <w:bidi/>
      </w:pPr>
      <w:r>
        <w:rPr>
          <w:rStyle w:val="ac"/>
          <w:rtl/>
        </w:rPr>
        <w:footnoteRef/>
      </w:r>
      <w:r>
        <w:rPr>
          <w:rtl/>
        </w:rPr>
        <w:t>ועוד תי' ה</w:t>
      </w:r>
      <w:r>
        <w:rPr>
          <w:b/>
          <w:bCs/>
          <w:rtl/>
        </w:rPr>
        <w:t xml:space="preserve">חזו"א </w:t>
      </w:r>
      <w:r>
        <w:rPr>
          <w:rtl/>
        </w:rPr>
        <w:t>די"ל דבסוגיין הוה חסרון לשמה, ולזה ל"מ בידו. [וע"ע בסמוך].</w:t>
      </w:r>
    </w:p>
  </w:footnote>
  <w:footnote w:id="3200">
    <w:p w14:paraId="742474BA" w14:textId="77777777" w:rsidR="006074A5" w:rsidRDefault="006074A5" w:rsidP="006074A5">
      <w:pPr>
        <w:pStyle w:val="Footnote"/>
        <w:bidi/>
      </w:pPr>
      <w:r>
        <w:rPr>
          <w:rStyle w:val="ac"/>
          <w:rtl/>
        </w:rPr>
        <w:footnoteRef/>
      </w:r>
      <w:r>
        <w:rPr>
          <w:rtl/>
        </w:rPr>
        <w:t>וכן ה</w:t>
      </w:r>
      <w:r>
        <w:rPr>
          <w:b/>
          <w:bCs/>
          <w:rtl/>
        </w:rPr>
        <w:t>אורח מישור</w:t>
      </w:r>
      <w:r>
        <w:rPr>
          <w:rtl/>
        </w:rPr>
        <w:t xml:space="preserve"> (נזיר שם), וכ"מ ב</w:t>
      </w:r>
      <w:r>
        <w:rPr>
          <w:b/>
          <w:bCs/>
          <w:rtl/>
        </w:rPr>
        <w:t>חזו"א</w:t>
      </w:r>
      <w:r>
        <w:rPr>
          <w:rtl/>
        </w:rPr>
        <w:t xml:space="preserve"> (קידושין סב). וע"ע </w:t>
      </w:r>
      <w:r>
        <w:rPr>
          <w:b/>
          <w:bCs/>
          <w:rtl/>
        </w:rPr>
        <w:t>קר"א</w:t>
      </w:r>
      <w:r>
        <w:rPr>
          <w:rtl/>
        </w:rPr>
        <w:t xml:space="preserve"> (שם) ו</w:t>
      </w:r>
      <w:r>
        <w:rPr>
          <w:b/>
          <w:bCs/>
          <w:rtl/>
        </w:rPr>
        <w:t>קה"י</w:t>
      </w:r>
      <w:r>
        <w:rPr>
          <w:rtl/>
        </w:rPr>
        <w:t xml:space="preserve"> (נזיר ג) שהאריכו בזה.</w:t>
      </w:r>
    </w:p>
  </w:footnote>
  <w:footnote w:id="3201">
    <w:p w14:paraId="359EFEE7" w14:textId="77777777" w:rsidR="006074A5" w:rsidRDefault="006074A5" w:rsidP="006074A5">
      <w:pPr>
        <w:pStyle w:val="Footnote"/>
        <w:bidi/>
      </w:pPr>
      <w:r>
        <w:rPr>
          <w:rStyle w:val="ac"/>
          <w:rtl/>
        </w:rPr>
        <w:footnoteRef/>
      </w:r>
      <w:r>
        <w:rPr>
          <w:rtl/>
        </w:rPr>
        <w:t>וה</w:t>
      </w:r>
      <w:r>
        <w:rPr>
          <w:b/>
          <w:bCs/>
          <w:rtl/>
        </w:rPr>
        <w:t>אבנ"מ</w:t>
      </w:r>
      <w:r>
        <w:rPr>
          <w:rtl/>
        </w:rPr>
        <w:t xml:space="preserve"> נתקשה מ"ש. וכתב דמעשה ע"י השליח הוה תליא בדעת אחרת, ולכן לא נחשב בידו. [וצ”ב דמ”מ מצי עביד ע”י עצמו, וימנה שליח, וכסברת המשנ”ל בסמוך. ומשמע מדבריו דגדר בידו הוה כתחילת עשייה, וע”י שליח לא הוי תחילת עשייה].</w:t>
      </w:r>
    </w:p>
  </w:footnote>
  <w:footnote w:id="3202">
    <w:p w14:paraId="2FA5BD29" w14:textId="77777777" w:rsidR="006074A5" w:rsidRDefault="006074A5" w:rsidP="006074A5">
      <w:pPr>
        <w:pStyle w:val="Footnote"/>
        <w:bidi/>
      </w:pPr>
      <w:r>
        <w:rPr>
          <w:rStyle w:val="ac"/>
          <w:rtl/>
        </w:rPr>
        <w:footnoteRef/>
      </w:r>
      <w:r>
        <w:rPr>
          <w:rtl/>
        </w:rPr>
        <w:t>אך יל"ד דמ"מ יוכל לכתוב גט מעכשיו כיון דבידו לבא עליה [וכדין בידו בדבר שלא בא לעולם], וכיון דבידו לכתוב הגט יוכל לעשות שליח. [ולכאורה כוונתו דכתיבת הגט לא נחשב מעשה מצד עצמו. וכיון דאינו יכול לגרש, אינו יכול לעשות שליח].</w:t>
      </w:r>
    </w:p>
  </w:footnote>
  <w:footnote w:id="3203">
    <w:p w14:paraId="04568E30" w14:textId="77777777" w:rsidR="006074A5" w:rsidRDefault="006074A5" w:rsidP="006074A5">
      <w:pPr>
        <w:pStyle w:val="Footnote"/>
        <w:bidi/>
      </w:pPr>
      <w:r>
        <w:rPr>
          <w:rStyle w:val="ac"/>
          <w:rtl/>
        </w:rPr>
        <w:footnoteRef/>
      </w:r>
      <w:r>
        <w:rPr>
          <w:rtl/>
        </w:rPr>
        <w:t>ומשמע מדבריו דכוונתו להוכיח דיבמה לא נחשב בידו, משום שבידו לבא עליה.</w:t>
      </w:r>
    </w:p>
  </w:footnote>
  <w:footnote w:id="3204">
    <w:p w14:paraId="07997513" w14:textId="77777777" w:rsidR="006074A5" w:rsidRDefault="006074A5" w:rsidP="006074A5">
      <w:pPr>
        <w:pStyle w:val="Footnote"/>
        <w:bidi/>
      </w:pPr>
      <w:r>
        <w:rPr>
          <w:rStyle w:val="ac"/>
          <w:rtl/>
        </w:rPr>
        <w:footnoteRef/>
      </w:r>
      <w:r>
        <w:rPr>
          <w:rtl/>
        </w:rPr>
        <w:t>[ועי"ש דהאריך לענין הפרשת תרומה, האם נחשב שמתקן את גוף הפרי, או את איסור הטבל דעדיין אינו בעולם].</w:t>
      </w:r>
    </w:p>
  </w:footnote>
  <w:footnote w:id="3205">
    <w:p w14:paraId="252CFEC5" w14:textId="77777777" w:rsidR="006074A5" w:rsidRDefault="006074A5" w:rsidP="006074A5">
      <w:pPr>
        <w:pStyle w:val="Footnote"/>
        <w:bidi/>
      </w:pPr>
      <w:r>
        <w:rPr>
          <w:rStyle w:val="ac"/>
          <w:rtl/>
        </w:rPr>
        <w:footnoteRef/>
      </w:r>
      <w:r>
        <w:rPr>
          <w:rtl/>
        </w:rPr>
        <w:t>וה</w:t>
      </w:r>
      <w:r>
        <w:rPr>
          <w:b/>
          <w:bCs/>
          <w:rtl/>
        </w:rPr>
        <w:t>אחיעזר</w:t>
      </w:r>
      <w:r>
        <w:rPr>
          <w:rtl/>
        </w:rPr>
        <w:t xml:space="preserve"> (ב לח ח) תי' דגבי הפרשת חלה ותרומה מהני קריאת שם עכשיו, כיון דהוה בידו נחשב כמו שבא לעולם. אבל בגט לא שייך גירושין כלל קודם שקידש. ואף דיכול לכתוב גט קודם קידושין, ונחשב לשמה משום דהוה בידו. אך ודאי לא שייך מעשה גירושין קודם שיש אישות, ומש"ה לא מצי משוי שליח.</w:t>
      </w:r>
    </w:p>
  </w:footnote>
  <w:footnote w:id="3206">
    <w:p w14:paraId="4A368D21" w14:textId="77777777" w:rsidR="006074A5" w:rsidRDefault="006074A5" w:rsidP="006074A5">
      <w:pPr>
        <w:pStyle w:val="Footnote"/>
        <w:bidi/>
      </w:pPr>
      <w:r>
        <w:rPr>
          <w:rStyle w:val="ac"/>
          <w:rtl/>
        </w:rPr>
        <w:footnoteRef/>
      </w:r>
      <w:r>
        <w:rPr>
          <w:rtl/>
        </w:rPr>
        <w:t>וה</w:t>
      </w:r>
      <w:r>
        <w:rPr>
          <w:b/>
          <w:bCs/>
          <w:rtl/>
        </w:rPr>
        <w:t>נוב"י</w:t>
      </w:r>
      <w:r>
        <w:rPr>
          <w:rtl/>
        </w:rPr>
        <w:t xml:space="preserve"> (ת' נד יא) ביאר דהוי משום ספק ספיקא. ספק אי תפסי קידושין ביבמה, וספק שמא לאחר שיחלוץ יבמתיך עדיף.</w:t>
      </w:r>
    </w:p>
    <w:p w14:paraId="29D1025B" w14:textId="77777777" w:rsidR="006074A5" w:rsidRDefault="006074A5" w:rsidP="006074A5">
      <w:pPr>
        <w:pStyle w:val="Footnote"/>
        <w:bidi/>
      </w:pPr>
      <w:r>
        <w:rPr>
          <w:rtl/>
        </w:rPr>
        <w:tab/>
        <w:t>וה</w:t>
      </w:r>
      <w:r>
        <w:rPr>
          <w:b/>
          <w:bCs/>
          <w:rtl/>
        </w:rPr>
        <w:t>עונג יו"ט</w:t>
      </w:r>
      <w:r>
        <w:rPr>
          <w:rtl/>
        </w:rPr>
        <w:t xml:space="preserve"> (קמב) תי' דנחשב ודאי מגדרי חזקות, דמחזיקין מאיסור לאיסור, מאיסור יבמה לשוק לאיסור אשת איש.</w:t>
      </w:r>
    </w:p>
  </w:footnote>
  <w:footnote w:id="3207">
    <w:p w14:paraId="52542EF4" w14:textId="77777777" w:rsidR="006074A5" w:rsidRDefault="006074A5" w:rsidP="006074A5">
      <w:pPr>
        <w:pStyle w:val="Footnote"/>
        <w:bidi/>
      </w:pPr>
      <w:r>
        <w:rPr>
          <w:rStyle w:val="ac"/>
          <w:rtl/>
        </w:rPr>
        <w:footnoteRef/>
      </w:r>
      <w:r>
        <w:rPr>
          <w:rtl/>
        </w:rPr>
        <w:t>וה</w:t>
      </w:r>
      <w:r>
        <w:rPr>
          <w:b/>
          <w:bCs/>
          <w:rtl/>
        </w:rPr>
        <w:t>צפנת פענח</w:t>
      </w:r>
      <w:r>
        <w:rPr>
          <w:rtl/>
        </w:rPr>
        <w:t xml:space="preserve"> (שם) ציין בכ"מ דמצאנו דספק נחשב כבר משוייך לדבר. ויש שביארו דסגי שבמקצת בא לעולם, ואף ספק הוה כמו מקצת [וצ"ב]. ועוד יש שביארו דהחסרון בדבר שלא בא לעולם משום גמירות דעת, והכא עכ"פ גמר דעתו לקדש ספק קידושין. ומש"ה מקודשת אף בתורת ודאי. [וצ"ע].</w:t>
      </w:r>
    </w:p>
  </w:footnote>
  <w:footnote w:id="3208">
    <w:p w14:paraId="029A34F0" w14:textId="77777777" w:rsidR="006074A5" w:rsidRDefault="006074A5" w:rsidP="006074A5">
      <w:pPr>
        <w:pStyle w:val="Footnote"/>
        <w:bidi/>
      </w:pPr>
      <w:r>
        <w:rPr>
          <w:rStyle w:val="ac"/>
          <w:rtl/>
        </w:rPr>
        <w:footnoteRef/>
      </w:r>
      <w:r>
        <w:rPr>
          <w:rtl/>
        </w:rPr>
        <w:t xml:space="preserve">והביא דנח' בזה </w:t>
      </w:r>
      <w:r>
        <w:rPr>
          <w:b/>
          <w:bCs/>
          <w:rtl/>
        </w:rPr>
        <w:t xml:space="preserve">רש"י </w:t>
      </w:r>
      <w:r>
        <w:rPr>
          <w:rtl/>
        </w:rPr>
        <w:t>ו</w:t>
      </w:r>
      <w:r>
        <w:rPr>
          <w:b/>
          <w:bCs/>
          <w:rtl/>
        </w:rPr>
        <w:t>תוס</w:t>
      </w:r>
      <w:r>
        <w:rPr>
          <w:rtl/>
        </w:rPr>
        <w:t>' (לקמן צט:) האם מחמת ספק נחשב דיכול להקריב בעצמו, לענין לשלוח קרבנותיו והעורות שלו. [האם חסרון מחמת ספק נחשב 'מצי עביד' (וע' לעיל מא:)]. וה</w:t>
      </w:r>
      <w:r>
        <w:rPr>
          <w:b/>
          <w:bCs/>
          <w:rtl/>
        </w:rPr>
        <w:t>אבנ"מ</w:t>
      </w:r>
      <w:r>
        <w:rPr>
          <w:rtl/>
        </w:rPr>
        <w:t xml:space="preserve"> (לה יד) חלק דהמח' רש"י ותוס' הוה רק על הצד דהוא כהן, וה"נ על הצד שהיא אשתו יחשב מצי עביד (דחסרון בהיכי תמצא נחשב בידו), אבל על הצד דאינו אשתו לא תליא בדברי רש"י.</w:t>
      </w:r>
    </w:p>
  </w:footnote>
  <w:footnote w:id="3209">
    <w:p w14:paraId="70ED9D0C" w14:textId="77777777" w:rsidR="006074A5" w:rsidRDefault="006074A5" w:rsidP="006074A5">
      <w:pPr>
        <w:pStyle w:val="Footnote"/>
        <w:bidi/>
      </w:pPr>
      <w:r>
        <w:rPr>
          <w:rStyle w:val="ac"/>
          <w:rtl/>
        </w:rPr>
        <w:footnoteRef/>
      </w:r>
      <w:r>
        <w:rPr>
          <w:rtl/>
        </w:rPr>
        <w:t>ו</w:t>
      </w:r>
      <w:r>
        <w:rPr>
          <w:b/>
          <w:bCs/>
          <w:rtl/>
        </w:rPr>
        <w:t>רע"א</w:t>
      </w:r>
      <w:r>
        <w:rPr>
          <w:rtl/>
        </w:rPr>
        <w:t xml:space="preserve"> (עה"ג שם, וכן המגיה למשנ"ל) דן היכא דהוה ספיקא דדינא, אי אמרי' אם יבא אליהו.</w:t>
      </w:r>
    </w:p>
  </w:footnote>
  <w:footnote w:id="3210">
    <w:p w14:paraId="66AEC899" w14:textId="77777777" w:rsidR="006074A5" w:rsidRDefault="006074A5" w:rsidP="006074A5">
      <w:pPr>
        <w:pStyle w:val="Footnote"/>
        <w:bidi/>
      </w:pPr>
      <w:r>
        <w:rPr>
          <w:rStyle w:val="ac"/>
          <w:rtl/>
        </w:rPr>
        <w:footnoteRef/>
      </w:r>
      <w:r>
        <w:rPr>
          <w:rtl/>
        </w:rPr>
        <w:t>(שהרי במשנה קאי כשמת). ומשמע דהמאמר עדיין אוסר מחיים [ולא כסברת הראשונים דעבדא ביה מעשה].</w:t>
      </w:r>
    </w:p>
  </w:footnote>
  <w:footnote w:id="3211">
    <w:p w14:paraId="5A52946F" w14:textId="77777777" w:rsidR="006074A5" w:rsidRDefault="006074A5" w:rsidP="006074A5">
      <w:pPr>
        <w:pStyle w:val="Footnote"/>
        <w:bidi/>
      </w:pPr>
      <w:r>
        <w:rPr>
          <w:rStyle w:val="ac"/>
          <w:rtl/>
        </w:rPr>
        <w:footnoteRef/>
      </w:r>
      <w:r>
        <w:rPr>
          <w:rtl/>
        </w:rPr>
        <w:t>[וה</w:t>
      </w:r>
      <w:r>
        <w:rPr>
          <w:b/>
          <w:bCs/>
          <w:rtl/>
        </w:rPr>
        <w:t>חזו"א</w:t>
      </w:r>
      <w:r>
        <w:rPr>
          <w:rtl/>
        </w:rPr>
        <w:t xml:space="preserve"> (קכח ז) הביא בזה ג' דיעות אלו].</w:t>
      </w:r>
    </w:p>
  </w:footnote>
  <w:footnote w:id="3212">
    <w:p w14:paraId="2D155405" w14:textId="77777777" w:rsidR="006074A5" w:rsidRDefault="006074A5" w:rsidP="006074A5">
      <w:pPr>
        <w:pStyle w:val="Footnote"/>
        <w:bidi/>
      </w:pPr>
      <w:r>
        <w:rPr>
          <w:rStyle w:val="ac"/>
          <w:rtl/>
        </w:rPr>
        <w:footnoteRef/>
      </w:r>
      <w:r>
        <w:rPr>
          <w:rtl/>
        </w:rPr>
        <w:t>ובגמ' לעיל מה. נקטו לשון הזה דאין קידושין תופסין בכל חייבי לאוין.</w:t>
      </w:r>
    </w:p>
  </w:footnote>
  <w:footnote w:id="3213">
    <w:p w14:paraId="26451AA9" w14:textId="77777777" w:rsidR="006074A5" w:rsidRDefault="006074A5" w:rsidP="006074A5">
      <w:pPr>
        <w:pStyle w:val="Footnote"/>
        <w:bidi/>
      </w:pPr>
      <w:r>
        <w:rPr>
          <w:rStyle w:val="ac"/>
          <w:rtl/>
        </w:rPr>
        <w:footnoteRef/>
      </w:r>
      <w:r>
        <w:rPr>
          <w:rtl/>
        </w:rPr>
        <w:t>אבל ה</w:t>
      </w:r>
      <w:r>
        <w:rPr>
          <w:b/>
          <w:bCs/>
          <w:rtl/>
        </w:rPr>
        <w:t>ערול"נ</w:t>
      </w:r>
      <w:r>
        <w:rPr>
          <w:rtl/>
        </w:rPr>
        <w:t xml:space="preserve"> (מד.) כתב דכוונת ה</w:t>
      </w:r>
      <w:r>
        <w:rPr>
          <w:b/>
          <w:bCs/>
          <w:rtl/>
        </w:rPr>
        <w:t>רמב"ם</w:t>
      </w:r>
      <w:r>
        <w:rPr>
          <w:rtl/>
        </w:rPr>
        <w:t xml:space="preserve"> דלר"ע יש לאו דלא יבנה [ולשיטתו דאין קידושין תופסין בחייבי לאוין]. אבל הרמב"ם כתב כקודם מיתת אחיו, משמע חייבי כריתות.</w:t>
      </w:r>
    </w:p>
  </w:footnote>
  <w:footnote w:id="3214">
    <w:p w14:paraId="441C8CE0" w14:textId="77777777" w:rsidR="006074A5" w:rsidRDefault="006074A5" w:rsidP="006074A5">
      <w:pPr>
        <w:pStyle w:val="Footnote"/>
        <w:bidi/>
      </w:pPr>
      <w:r>
        <w:rPr>
          <w:rStyle w:val="ac"/>
          <w:rtl/>
        </w:rPr>
        <w:footnoteRef/>
      </w:r>
      <w:r>
        <w:rPr>
          <w:rtl/>
        </w:rPr>
        <w:t>ועוד פי' דלר' עקיבא אחרי חליצה, כיון דלא תפסי קידושין מהיבם, א"כ בטל ממנה שם 'יבמה', וה</w:t>
      </w:r>
      <w:r>
        <w:rPr>
          <w:b/>
          <w:bCs/>
          <w:rtl/>
        </w:rPr>
        <w:t xml:space="preserve">מהרש"ל </w:t>
      </w:r>
      <w:r>
        <w:rPr>
          <w:rtl/>
        </w:rPr>
        <w:t>(גיטין פ:) כתב דיבמה שנשאת לאחר אחרי חליצה, חוזר עליה האיסור אשת אח (כיון דםפקע ממנה שם יבמה).</w:t>
      </w:r>
    </w:p>
  </w:footnote>
  <w:footnote w:id="3215">
    <w:p w14:paraId="16555228" w14:textId="77777777" w:rsidR="006074A5" w:rsidRDefault="006074A5" w:rsidP="006074A5">
      <w:pPr>
        <w:pStyle w:val="Footnote"/>
        <w:bidi/>
      </w:pPr>
      <w:r>
        <w:rPr>
          <w:rStyle w:val="ac"/>
          <w:rtl/>
        </w:rPr>
        <w:footnoteRef/>
      </w:r>
      <w:r>
        <w:rPr>
          <w:rtl/>
        </w:rPr>
        <w:t>וה</w:t>
      </w:r>
      <w:r>
        <w:rPr>
          <w:b/>
          <w:bCs/>
          <w:rtl/>
        </w:rPr>
        <w:t>בני אהובה</w:t>
      </w:r>
      <w:r>
        <w:rPr>
          <w:rtl/>
        </w:rPr>
        <w:t xml:space="preserve"> (א יב) ביאר דר"ע ס"ל דהכתוב קראו בית, דכתיב בית חלוץ הנעל, א"כ אף בחליצה נאמר כיון שבנה דחליצה קנין ובנין הוא עד דהוי כגרושה. ושפיר קרינן כיון שבנה והוי בלאו.</w:t>
      </w:r>
    </w:p>
  </w:footnote>
  <w:footnote w:id="3216">
    <w:p w14:paraId="623D87C5" w14:textId="77777777" w:rsidR="006074A5" w:rsidRDefault="006074A5" w:rsidP="006074A5">
      <w:pPr>
        <w:pStyle w:val="Footnote"/>
        <w:bidi/>
      </w:pPr>
      <w:r>
        <w:rPr>
          <w:rStyle w:val="ac"/>
          <w:rtl/>
        </w:rPr>
        <w:footnoteRef/>
      </w:r>
      <w:r>
        <w:rPr>
          <w:rtl/>
        </w:rPr>
        <w:t>ומשמע דגדר הדרשא דהוה מעין מחזיר גרושתו משנישאת. [וצ"ב דבעלמא המגרש אשה רשאי להחזירה, ורק משום שנשאת לאחר הוה טומאה, וכעין סוטה. ומ"ש יבמה דבשילוח בעלמא יחשב כמו סוטה].</w:t>
      </w:r>
    </w:p>
  </w:footnote>
  <w:footnote w:id="3217">
    <w:p w14:paraId="6D8E7617" w14:textId="77777777" w:rsidR="006074A5" w:rsidRDefault="006074A5" w:rsidP="006074A5">
      <w:pPr>
        <w:pStyle w:val="Footnote"/>
        <w:bidi/>
      </w:pPr>
      <w:r>
        <w:rPr>
          <w:rStyle w:val="ac"/>
          <w:rtl/>
        </w:rPr>
        <w:footnoteRef/>
      </w:r>
      <w:r>
        <w:rPr>
          <w:rtl/>
        </w:rPr>
        <w:t>ומבואר בגמ' דאי דרשי' הך קרא הוה לאו גמור. אך אי נימא דהוה איסור בעלמא [או איסור עשה] ניחא דהוה איסור דאורייתא, ואפ"ה תפסי קידושין.</w:t>
      </w:r>
    </w:p>
  </w:footnote>
  <w:footnote w:id="3218">
    <w:p w14:paraId="0D555548" w14:textId="77777777" w:rsidR="006074A5" w:rsidRDefault="006074A5" w:rsidP="006074A5">
      <w:pPr>
        <w:pStyle w:val="Footnote"/>
        <w:bidi/>
      </w:pPr>
      <w:r>
        <w:rPr>
          <w:rStyle w:val="ac"/>
          <w:rtl/>
        </w:rPr>
        <w:footnoteRef/>
      </w:r>
      <w:r>
        <w:rPr>
          <w:rtl/>
        </w:rPr>
        <w:t>דקידושין לשם יבמות ל"מ, משום מקח טעות. דהרי ס"ל דלשם קידושין מהני. וודאי תפסי קידושין בחייבי לאוין [וכמ"ש רש"י].</w:t>
      </w:r>
    </w:p>
  </w:footnote>
  <w:footnote w:id="3219">
    <w:p w14:paraId="1DB567A0" w14:textId="77777777" w:rsidR="006074A5" w:rsidRDefault="006074A5" w:rsidP="006074A5">
      <w:pPr>
        <w:pStyle w:val="Footnote"/>
        <w:bidi/>
      </w:pPr>
      <w:r>
        <w:rPr>
          <w:rStyle w:val="ac"/>
          <w:rtl/>
        </w:rPr>
        <w:footnoteRef/>
      </w:r>
      <w:r>
        <w:rPr>
          <w:rtl/>
        </w:rPr>
        <w:t>ומשמע מדבריו דלאחר שנתקדשה לשוק ונתגרשה ל”ש מאמר לכו”ע.</w:t>
      </w:r>
    </w:p>
  </w:footnote>
  <w:footnote w:id="3220">
    <w:p w14:paraId="53552F01" w14:textId="77777777" w:rsidR="006074A5" w:rsidRDefault="006074A5" w:rsidP="006074A5">
      <w:pPr>
        <w:pStyle w:val="Footnote"/>
        <w:bidi/>
      </w:pPr>
      <w:r>
        <w:rPr>
          <w:rStyle w:val="ac"/>
          <w:rtl/>
        </w:rPr>
        <w:footnoteRef/>
      </w:r>
      <w:r>
        <w:rPr>
          <w:rtl/>
        </w:rPr>
        <w:t>ומבואר דלולי איסור 'לא יבנה' שייך קנין יבום לאחר חליצה. אך לאחר שנתחדש איסור לא יבנה לא הוה קנין יבום, אלא קידושין דעלמא בחייבי לאוין. [ויל"פ דגלי קרא דליכא קנין יבום. א”נ לא עדיף מכל חייבי עשה דבעלו ל”ק]. [ויל"ד מהא דמבואר (לעיל יא.) דחלץ וקידש ואח”כ נולד אח, נחשב מצאה בהיתר לר”ש].</w:t>
      </w:r>
    </w:p>
  </w:footnote>
  <w:footnote w:id="3221">
    <w:p w14:paraId="05F916F4" w14:textId="77777777" w:rsidR="006074A5" w:rsidRDefault="006074A5" w:rsidP="006074A5">
      <w:pPr>
        <w:pStyle w:val="Footnote"/>
        <w:bidi/>
      </w:pPr>
      <w:r>
        <w:rPr>
          <w:rStyle w:val="ac"/>
          <w:rtl/>
        </w:rPr>
        <w:footnoteRef/>
      </w:r>
      <w:r>
        <w:rPr>
          <w:rtl/>
        </w:rPr>
        <w:t>וה</w:t>
      </w:r>
      <w:r>
        <w:rPr>
          <w:b/>
          <w:bCs/>
          <w:rtl/>
        </w:rPr>
        <w:t>קצות</w:t>
      </w:r>
      <w:r>
        <w:rPr>
          <w:rtl/>
        </w:rPr>
        <w:t xml:space="preserve"> (ערה ד) כתב דקנין חזקה גרע, וכשאינו מתכוון לתקן אינו מעשה קנין כלל (ולכן ל"מ דעת אחרת מקנה). [אבל הגמ' דידן איירי בעודר, דהוה קנין חזקה, והשווה לדין קידושין].</w:t>
      </w:r>
    </w:p>
  </w:footnote>
  <w:footnote w:id="3222">
    <w:p w14:paraId="3FF23D19" w14:textId="77777777" w:rsidR="006074A5" w:rsidRDefault="006074A5" w:rsidP="006074A5">
      <w:pPr>
        <w:pStyle w:val="Footnote"/>
        <w:bidi/>
      </w:pPr>
      <w:r>
        <w:rPr>
          <w:rStyle w:val="ac"/>
          <w:rtl/>
        </w:rPr>
        <w:footnoteRef/>
      </w:r>
      <w:r>
        <w:rPr>
          <w:rtl/>
        </w:rPr>
        <w:t>ו</w:t>
      </w:r>
      <w:r>
        <w:rPr>
          <w:b/>
          <w:bCs/>
          <w:rtl/>
        </w:rPr>
        <w:t>תוס</w:t>
      </w:r>
      <w:r>
        <w:rPr>
          <w:rtl/>
        </w:rPr>
        <w:t>' (ב"ב) ביארו עד"ז הא דאי' (שם) דהמתקן בנכסי הגר אדעתא דציבי ל"ק, אף שהדקל מתקן בכך. דל”ק אא”כ נתכוון לקנות.</w:t>
      </w:r>
    </w:p>
  </w:footnote>
  <w:footnote w:id="3223">
    <w:p w14:paraId="4B1EB33C" w14:textId="77777777" w:rsidR="006074A5" w:rsidRDefault="006074A5" w:rsidP="006074A5">
      <w:pPr>
        <w:pStyle w:val="Footnote"/>
        <w:bidi/>
      </w:pPr>
      <w:r>
        <w:rPr>
          <w:rStyle w:val="ac"/>
          <w:rtl/>
        </w:rPr>
        <w:footnoteRef/>
      </w:r>
      <w:r>
        <w:rPr>
          <w:rtl/>
        </w:rPr>
        <w:t>דחצר מתורת יד איתרבאי (ב”מ י: ויב.). [ותוס' נקטו דלמסקנא משום ידה איתרבי. וע”ע מחנ"א משיכה ה ונתיבות ר בפתיחה].</w:t>
      </w:r>
    </w:p>
  </w:footnote>
  <w:footnote w:id="3224">
    <w:p w14:paraId="73CEE5C0" w14:textId="77777777" w:rsidR="006074A5" w:rsidRDefault="006074A5" w:rsidP="006074A5">
      <w:pPr>
        <w:pStyle w:val="Footnote"/>
        <w:bidi/>
      </w:pPr>
      <w:r>
        <w:rPr>
          <w:rStyle w:val="ac"/>
          <w:rtl/>
        </w:rPr>
        <w:footnoteRef/>
      </w:r>
      <w:r>
        <w:rPr>
          <w:rtl/>
        </w:rPr>
        <w:t>והא דחצר קונה לו שלא מדעתו היינו שאינו יודע אם הוא בחצרו, ואילו היה יודע היה רוצה לקנות.</w:t>
      </w:r>
    </w:p>
  </w:footnote>
  <w:footnote w:id="3225">
    <w:p w14:paraId="6350F899" w14:textId="77777777" w:rsidR="006074A5" w:rsidRDefault="006074A5" w:rsidP="006074A5">
      <w:pPr>
        <w:pStyle w:val="Footnote"/>
        <w:bidi/>
      </w:pPr>
      <w:r>
        <w:rPr>
          <w:rStyle w:val="ac"/>
          <w:rtl/>
        </w:rPr>
        <w:footnoteRef/>
      </w:r>
      <w:r>
        <w:rPr>
          <w:rtl/>
        </w:rPr>
        <w:t>וכמ"ש ה</w:t>
      </w:r>
      <w:r>
        <w:rPr>
          <w:b/>
          <w:bCs/>
          <w:rtl/>
        </w:rPr>
        <w:t>נתיבות</w:t>
      </w:r>
      <w:r>
        <w:rPr>
          <w:rtl/>
        </w:rPr>
        <w:t xml:space="preserve"> (רסח א, וכן בתור"ג קלט ו ועוד אחרונים) דקנין 'יד' מהני במקום שכל החפץ מונח תוך ידו, דלא גרע מחצירו. אבל אי אינו כולו בתוכו בעי קנין הגבהה.</w:t>
      </w:r>
    </w:p>
  </w:footnote>
  <w:footnote w:id="3226">
    <w:p w14:paraId="345DFD8B" w14:textId="77777777" w:rsidR="006074A5" w:rsidRDefault="006074A5" w:rsidP="006074A5">
      <w:pPr>
        <w:pStyle w:val="Footnote"/>
        <w:bidi/>
      </w:pPr>
      <w:r>
        <w:rPr>
          <w:rStyle w:val="ac"/>
          <w:rtl/>
        </w:rPr>
        <w:footnoteRef/>
      </w:r>
      <w:r>
        <w:rPr>
          <w:rtl/>
        </w:rPr>
        <w:t>וה</w:t>
      </w:r>
      <w:r>
        <w:rPr>
          <w:b/>
          <w:bCs/>
          <w:rtl/>
        </w:rPr>
        <w:t>רמב"ן</w:t>
      </w:r>
      <w:r>
        <w:rPr>
          <w:rtl/>
        </w:rPr>
        <w:t xml:space="preserve"> חלק דדבר פשוט שאין קנין שלא מדעת מועיל, ואפי' במטלטלין. וכת' דבתוס' משתבשים בזה. [עי"ש שתי' הגמ' ב"ק דאופ"א].</w:t>
      </w:r>
    </w:p>
  </w:footnote>
  <w:footnote w:id="3227">
    <w:p w14:paraId="14D48FEC" w14:textId="77777777" w:rsidR="006074A5" w:rsidRDefault="006074A5" w:rsidP="006074A5">
      <w:pPr>
        <w:pStyle w:val="Footnote"/>
        <w:bidi/>
      </w:pPr>
      <w:r>
        <w:rPr>
          <w:rStyle w:val="ac"/>
          <w:rtl/>
        </w:rPr>
        <w:footnoteRef/>
      </w:r>
      <w:r>
        <w:rPr>
          <w:rtl/>
        </w:rPr>
        <w:t>והוא חידוש, ובעלמא ל"מ בגדרי קנינים חילוקים בין קרקע למטלטלין. [וסברת בחזקת בעליה קאי גבי מוחזקות במקום ספיקות].</w:t>
      </w:r>
    </w:p>
  </w:footnote>
  <w:footnote w:id="3228">
    <w:p w14:paraId="39A1FCB8" w14:textId="77777777" w:rsidR="006074A5" w:rsidRDefault="006074A5" w:rsidP="006074A5">
      <w:pPr>
        <w:pStyle w:val="Footnote"/>
        <w:bidi/>
      </w:pPr>
      <w:r>
        <w:rPr>
          <w:rStyle w:val="ac"/>
          <w:rtl/>
        </w:rPr>
        <w:footnoteRef/>
      </w:r>
      <w:r>
        <w:rPr>
          <w:rtl/>
        </w:rPr>
        <w:t>אבל ה</w:t>
      </w:r>
      <w:r>
        <w:rPr>
          <w:b/>
          <w:bCs/>
          <w:rtl/>
        </w:rPr>
        <w:t>רמ"ה</w:t>
      </w:r>
      <w:r>
        <w:rPr>
          <w:rtl/>
        </w:rPr>
        <w:t xml:space="preserve"> (לעיל שם מא.) סתר משנתו, וכתב דמהני דעת אחרת מקנה (וכדעת הראב"ד).</w:t>
      </w:r>
    </w:p>
  </w:footnote>
  <w:footnote w:id="3229">
    <w:p w14:paraId="1668EA39" w14:textId="77777777" w:rsidR="006074A5" w:rsidRDefault="006074A5" w:rsidP="006074A5">
      <w:pPr>
        <w:pStyle w:val="Footnote"/>
        <w:bidi/>
      </w:pPr>
      <w:r>
        <w:rPr>
          <w:rStyle w:val="ac"/>
          <w:rtl/>
        </w:rPr>
        <w:footnoteRef/>
      </w:r>
      <w:r>
        <w:rPr>
          <w:rtl/>
        </w:rPr>
        <w:t>וצ"ל דמ"מ יש כאן טעות בזכיה, ומש"ה ס"ד דלא מהני. [ואפשר דנחשב טעות בחפץ, דסבור חפץ א' שהיה של ראובן, ונמצא חפץ שהיה של שמעון].</w:t>
      </w:r>
    </w:p>
  </w:footnote>
  <w:footnote w:id="3230">
    <w:p w14:paraId="51EE5C35" w14:textId="77777777" w:rsidR="006074A5" w:rsidRDefault="006074A5" w:rsidP="006074A5">
      <w:pPr>
        <w:pStyle w:val="Footnote"/>
        <w:bidi/>
      </w:pPr>
      <w:r>
        <w:rPr>
          <w:rStyle w:val="ac"/>
          <w:rtl/>
        </w:rPr>
        <w:footnoteRef/>
      </w:r>
      <w:r>
        <w:rPr>
          <w:rtl/>
        </w:rPr>
        <w:t>וכ"כ ה</w:t>
      </w:r>
      <w:r>
        <w:rPr>
          <w:b/>
          <w:bCs/>
          <w:rtl/>
        </w:rPr>
        <w:t>ריא"ז</w:t>
      </w:r>
      <w:r>
        <w:rPr>
          <w:rtl/>
        </w:rPr>
        <w:t xml:space="preserve"> (בשלט"ג יח. בדה"ר ב) דאם אמר אחרי חליצה פלונית יבמתי התקדשי לי, מקודשת מדאורייתא. ואם אמר במאמר יבמין מקודשת מדרבנן. ואם אמר בזיקת יבמין אי"צ גט.</w:t>
      </w:r>
    </w:p>
  </w:footnote>
  <w:footnote w:id="3231">
    <w:p w14:paraId="40542C61" w14:textId="77777777" w:rsidR="006074A5" w:rsidRDefault="006074A5" w:rsidP="006074A5">
      <w:pPr>
        <w:pStyle w:val="Footnote"/>
        <w:bidi/>
      </w:pPr>
      <w:r>
        <w:rPr>
          <w:rStyle w:val="ac"/>
          <w:rtl/>
        </w:rPr>
        <w:footnoteRef/>
      </w:r>
      <w:r>
        <w:rPr>
          <w:rtl/>
        </w:rPr>
        <w:t>וה</w:t>
      </w:r>
      <w:r>
        <w:rPr>
          <w:b/>
          <w:bCs/>
          <w:rtl/>
        </w:rPr>
        <w:t>רש"ש</w:t>
      </w:r>
      <w:r>
        <w:rPr>
          <w:rtl/>
        </w:rPr>
        <w:t xml:space="preserve"> הקשה דאחר חליצה, תו אינה מעוכבת מחמתו, והיאך תחשב זקוקה.</w:t>
      </w:r>
    </w:p>
  </w:footnote>
  <w:footnote w:id="3232">
    <w:p w14:paraId="783757E2" w14:textId="77777777" w:rsidR="006074A5" w:rsidRDefault="006074A5" w:rsidP="006074A5">
      <w:pPr>
        <w:pStyle w:val="Footnote"/>
        <w:bidi/>
      </w:pPr>
      <w:r>
        <w:rPr>
          <w:rStyle w:val="ac"/>
          <w:rtl/>
        </w:rPr>
        <w:footnoteRef/>
      </w:r>
      <w:r>
        <w:rPr>
          <w:rtl/>
        </w:rPr>
        <w:t>[ונפק"מ בחייבי עשה דזקוקה רק לחליצה, אי נימא דליכא זיקה ואין איסור אחות זקוקתו. וכן לאחר חליצה פסולה, שזקוקה לחליצת חיזור, למ”ד דאין איסורי זיקה].</w:t>
      </w:r>
    </w:p>
  </w:footnote>
  <w:footnote w:id="3233">
    <w:p w14:paraId="7E336059" w14:textId="77777777" w:rsidR="006074A5" w:rsidRDefault="006074A5" w:rsidP="006074A5">
      <w:pPr>
        <w:pStyle w:val="Footnote"/>
        <w:bidi/>
      </w:pPr>
      <w:r>
        <w:rPr>
          <w:rStyle w:val="ac"/>
          <w:rtl/>
        </w:rPr>
        <w:footnoteRef/>
      </w:r>
      <w:r>
        <w:rPr>
          <w:rtl/>
        </w:rPr>
        <w:t>עכ"פ היכא דליכא אחים וצרות [אך במקום אחים וצרות קי"ל דצריך חיזור, ע' לעיל כו: וכ”מ].</w:t>
      </w:r>
    </w:p>
  </w:footnote>
  <w:footnote w:id="3234">
    <w:p w14:paraId="1404423A" w14:textId="77777777" w:rsidR="006074A5" w:rsidRDefault="006074A5" w:rsidP="006074A5">
      <w:pPr>
        <w:pStyle w:val="Footnote"/>
        <w:bidi/>
      </w:pPr>
      <w:r>
        <w:rPr>
          <w:rStyle w:val="ac"/>
          <w:rtl/>
        </w:rPr>
        <w:footnoteRef/>
      </w:r>
      <w:r>
        <w:rPr>
          <w:rtl/>
        </w:rPr>
        <w:t>ולפ"ז היכא דליכא אחים, והותרה בחליצה פסולה זו, לא תפסי מאמר זו.</w:t>
      </w:r>
    </w:p>
  </w:footnote>
  <w:footnote w:id="3235">
    <w:p w14:paraId="026D6358" w14:textId="77777777" w:rsidR="006074A5" w:rsidRDefault="006074A5" w:rsidP="006074A5">
      <w:pPr>
        <w:pStyle w:val="Footnote"/>
        <w:bidi/>
      </w:pPr>
      <w:r>
        <w:rPr>
          <w:rStyle w:val="ac"/>
          <w:rtl/>
        </w:rPr>
        <w:footnoteRef/>
      </w:r>
      <w:r>
        <w:rPr>
          <w:rtl/>
        </w:rPr>
        <w:t xml:space="preserve">וע"ד מש"כ </w:t>
      </w:r>
      <w:r>
        <w:rPr>
          <w:b/>
          <w:bCs/>
          <w:rtl/>
        </w:rPr>
        <w:t>תוס</w:t>
      </w:r>
      <w:r>
        <w:rPr>
          <w:rtl/>
        </w:rPr>
        <w:t>' (ד"ה רבינא) לגבי תנאי.</w:t>
      </w:r>
    </w:p>
  </w:footnote>
  <w:footnote w:id="3236">
    <w:p w14:paraId="3988EA41" w14:textId="77777777" w:rsidR="006074A5" w:rsidRDefault="006074A5" w:rsidP="006074A5">
      <w:pPr>
        <w:pStyle w:val="Footnote"/>
        <w:bidi/>
      </w:pPr>
      <w:r>
        <w:rPr>
          <w:rStyle w:val="ac"/>
          <w:rtl/>
        </w:rPr>
        <w:footnoteRef/>
      </w:r>
      <w:r>
        <w:rPr>
          <w:rtl/>
        </w:rPr>
        <w:t>ע' ב</w:t>
      </w:r>
      <w:r>
        <w:rPr>
          <w:b/>
          <w:bCs/>
          <w:rtl/>
        </w:rPr>
        <w:t>רא"ש</w:t>
      </w:r>
      <w:r>
        <w:rPr>
          <w:rtl/>
        </w:rPr>
        <w:t xml:space="preserve"> (פ' מצוות חליצה) וה</w:t>
      </w:r>
      <w:r>
        <w:rPr>
          <w:b/>
          <w:bCs/>
          <w:rtl/>
        </w:rPr>
        <w:t>קובה"ע</w:t>
      </w:r>
      <w:r>
        <w:rPr>
          <w:rtl/>
        </w:rPr>
        <w:t xml:space="preserve"> (עו ו,ז) ו</w:t>
      </w:r>
      <w:r>
        <w:rPr>
          <w:b/>
          <w:bCs/>
          <w:rtl/>
        </w:rPr>
        <w:t>קוב"ש</w:t>
      </w:r>
      <w:r>
        <w:rPr>
          <w:rtl/>
        </w:rPr>
        <w:t xml:space="preserve"> (כתובות רנב) מנלן דל"מ שליחות בחליצה.</w:t>
      </w:r>
    </w:p>
  </w:footnote>
  <w:footnote w:id="3237">
    <w:p w14:paraId="548F9DCD" w14:textId="77777777" w:rsidR="006074A5" w:rsidRDefault="006074A5" w:rsidP="006074A5">
      <w:pPr>
        <w:pStyle w:val="Footnote"/>
        <w:bidi/>
      </w:pPr>
      <w:r>
        <w:rPr>
          <w:rStyle w:val="ac"/>
          <w:rtl/>
        </w:rPr>
        <w:footnoteRef/>
      </w:r>
      <w:r>
        <w:rPr>
          <w:rtl/>
        </w:rPr>
        <w:t>וכ"כ ה</w:t>
      </w:r>
      <w:r>
        <w:rPr>
          <w:b/>
          <w:bCs/>
          <w:rtl/>
        </w:rPr>
        <w:t>גר"ח</w:t>
      </w:r>
      <w:r>
        <w:rPr>
          <w:rtl/>
        </w:rPr>
        <w:t xml:space="preserve"> (הל' יבום ד) דבגירושין וקידושין צריך דעת בעלים על עצם הגירושין והקידושין, שהבעלים הם האוסרים והם המתירים, ועיקר הקידושין וגירושין נעשה ע"י הבעלים. [ול"מ גדול עומד ע"ג ומלמדו]. משא"כ בחליצה ועשיית לשמה, דל"צ דין דעת בעלים, וסגי כשמתכוון על עצם מעשה החליצה, והפטור ממילא בא מדין תורה.</w:t>
      </w:r>
    </w:p>
  </w:footnote>
  <w:footnote w:id="3238">
    <w:p w14:paraId="24A59851" w14:textId="77777777" w:rsidR="006074A5" w:rsidRDefault="006074A5" w:rsidP="006074A5">
      <w:pPr>
        <w:pStyle w:val="Footnote"/>
        <w:bidi/>
      </w:pPr>
      <w:r>
        <w:rPr>
          <w:rStyle w:val="ac"/>
          <w:rtl/>
        </w:rPr>
        <w:footnoteRef/>
      </w:r>
      <w:r>
        <w:rPr>
          <w:rtl/>
        </w:rPr>
        <w:t>וכמו שחיטה, שהאדם אינו פועל את ההיתר. ומש”ה פשוט דל"מ תנאי. [ואף דבעי כוונה].</w:t>
      </w:r>
    </w:p>
  </w:footnote>
  <w:footnote w:id="3239">
    <w:p w14:paraId="7FD122E7" w14:textId="77777777" w:rsidR="006074A5" w:rsidRDefault="006074A5" w:rsidP="006074A5">
      <w:pPr>
        <w:pStyle w:val="Footnote"/>
        <w:bidi/>
      </w:pPr>
      <w:r>
        <w:rPr>
          <w:rStyle w:val="ac"/>
          <w:rtl/>
        </w:rPr>
        <w:footnoteRef/>
      </w:r>
      <w:r>
        <w:rPr>
          <w:rtl/>
        </w:rPr>
        <w:t>ולכאו' הוה מדרבנן בעלמא. {ואפשר דמדרבנן חליצה נחשב חלות דידיה. א”נ הגדר 'חליצה כשירה', דנחשב כעין יבום ופוטר את עצם הזיקה, נחשב קנין דידיה ושייך תנאי. אלא דמהני מתיר דחליצה. ועוד י”ל דע”י תנאי נחשב חליצה שלא מרצון, ואינו בכלל הא חפץ ייבם, ועי”ז הוה כדין חליצה פסולה ממש}.</w:t>
      </w:r>
    </w:p>
  </w:footnote>
  <w:footnote w:id="3240">
    <w:p w14:paraId="15350310" w14:textId="77777777" w:rsidR="006074A5" w:rsidRDefault="006074A5" w:rsidP="006074A5">
      <w:pPr>
        <w:pStyle w:val="Footnote"/>
        <w:bidi/>
      </w:pPr>
      <w:r>
        <w:rPr>
          <w:rStyle w:val="ac"/>
          <w:rtl/>
        </w:rPr>
        <w:footnoteRef/>
      </w:r>
      <w:r>
        <w:rPr>
          <w:rtl/>
        </w:rPr>
        <w:t>וה</w:t>
      </w:r>
      <w:r>
        <w:rPr>
          <w:b/>
          <w:bCs/>
          <w:rtl/>
        </w:rPr>
        <w:t>מלחמות</w:t>
      </w:r>
      <w:r>
        <w:rPr>
          <w:rtl/>
        </w:rPr>
        <w:t xml:space="preserve"> הק' דאי לא סמכי' אטעמא דכתיבה בגמ', אטעמא דמאן קא סמכי'.</w:t>
      </w:r>
    </w:p>
  </w:footnote>
  <w:footnote w:id="3241">
    <w:p w14:paraId="2DC33C21" w14:textId="77777777" w:rsidR="006074A5" w:rsidRDefault="006074A5" w:rsidP="006074A5">
      <w:pPr>
        <w:pStyle w:val="Footnote"/>
        <w:bidi/>
      </w:pPr>
      <w:r>
        <w:rPr>
          <w:rStyle w:val="ac"/>
          <w:rtl/>
        </w:rPr>
        <w:footnoteRef/>
      </w:r>
      <w:r>
        <w:rPr>
          <w:rtl/>
        </w:rPr>
        <w:t>וה</w:t>
      </w:r>
      <w:r>
        <w:rPr>
          <w:b/>
          <w:bCs/>
          <w:rtl/>
        </w:rPr>
        <w:t>רמב"ן</w:t>
      </w:r>
      <w:r>
        <w:rPr>
          <w:rtl/>
        </w:rPr>
        <w:t xml:space="preserve"> פי' דלפ"ז כוונת הגמ' דאין דבר חמור מלאו בכל הבית.</w:t>
      </w:r>
    </w:p>
  </w:footnote>
  <w:footnote w:id="3242">
    <w:p w14:paraId="35E6841F" w14:textId="77777777" w:rsidR="006074A5" w:rsidRDefault="006074A5" w:rsidP="006074A5">
      <w:pPr>
        <w:pStyle w:val="Footnote"/>
        <w:bidi/>
      </w:pPr>
      <w:r>
        <w:rPr>
          <w:rStyle w:val="ac"/>
          <w:rtl/>
        </w:rPr>
        <w:footnoteRef/>
      </w:r>
      <w:r>
        <w:rPr>
          <w:rtl/>
        </w:rPr>
        <w:t>ויל"ד דהכא הוה עשה דשאר [דלדעת כל הראשונים לא יבנה נחשב שאר, ע' לעיל מט., וכמ”ש ה</w:t>
      </w:r>
      <w:r>
        <w:rPr>
          <w:b/>
          <w:bCs/>
          <w:rtl/>
        </w:rPr>
        <w:t>רשב”א</w:t>
      </w:r>
      <w:r>
        <w:rPr>
          <w:rtl/>
        </w:rPr>
        <w:t xml:space="preserve"> שם דלא סתים תנא כמ”ד דלא בעי שאר]. א"כ אף דיש לפשוט דלמ"ד דבעי שאר, משום דדמי לאנוסת אביו (ואף דליכא לאו), וספק הגמ' למ"ד דיליף מריבוי ו', האם מדמינן כל כה"ג. [וה</w:t>
      </w:r>
      <w:r>
        <w:rPr>
          <w:b/>
          <w:bCs/>
          <w:rtl/>
        </w:rPr>
        <w:t>ראשונים</w:t>
      </w:r>
      <w:r>
        <w:rPr>
          <w:rtl/>
        </w:rPr>
        <w:t xml:space="preserve"> דלא תי' כן, מבואר דס"ל דלמ"ד דבעי שאר לא היה צד כלל דחייבי עשה בכלל].</w:t>
      </w:r>
    </w:p>
  </w:footnote>
  <w:footnote w:id="3243">
    <w:p w14:paraId="676773B3" w14:textId="77777777" w:rsidR="006074A5" w:rsidRDefault="006074A5" w:rsidP="006074A5">
      <w:pPr>
        <w:pStyle w:val="Footnote"/>
        <w:bidi/>
      </w:pPr>
      <w:r>
        <w:rPr>
          <w:rStyle w:val="ac"/>
          <w:rtl/>
        </w:rPr>
        <w:footnoteRef/>
      </w:r>
      <w:r>
        <w:rPr>
          <w:rtl/>
        </w:rPr>
        <w:t>ו</w:t>
      </w:r>
      <w:r>
        <w:rPr>
          <w:b/>
          <w:bCs/>
          <w:rtl/>
        </w:rPr>
        <w:t>תוס'</w:t>
      </w:r>
      <w:r>
        <w:rPr>
          <w:rtl/>
        </w:rPr>
        <w:t xml:space="preserve"> כתובות שם דחו לזה, דמסתמא אליבא דכו"ע מסתפק.</w:t>
      </w:r>
    </w:p>
  </w:footnote>
  <w:footnote w:id="3244">
    <w:p w14:paraId="06CE7D16" w14:textId="77777777" w:rsidR="006074A5" w:rsidRDefault="006074A5" w:rsidP="006074A5">
      <w:pPr>
        <w:pStyle w:val="Footnote"/>
        <w:bidi/>
      </w:pPr>
      <w:r>
        <w:rPr>
          <w:rStyle w:val="ac"/>
          <w:rtl/>
        </w:rPr>
        <w:footnoteRef/>
      </w:r>
      <w:r>
        <w:rPr>
          <w:rtl/>
        </w:rPr>
        <w:t>[ואפשר דשא"ר פליגי אתוס' לעיל. א"נ ידחקו דמתני' דהכא קאי בב' יבמין, והסיפא קאי בפנ"ע, ע' רמב”ן במשנה, עכ”פ הוא דלא כרש”י. וצ"ע].</w:t>
      </w:r>
    </w:p>
  </w:footnote>
  <w:footnote w:id="3245">
    <w:p w14:paraId="3AA16D6A" w14:textId="77777777" w:rsidR="006074A5" w:rsidRDefault="006074A5" w:rsidP="006074A5">
      <w:pPr>
        <w:pStyle w:val="Footnote"/>
        <w:bidi/>
      </w:pPr>
      <w:r>
        <w:rPr>
          <w:rStyle w:val="ac"/>
          <w:rtl/>
        </w:rPr>
        <w:footnoteRef/>
      </w:r>
      <w:r>
        <w:rPr>
          <w:rtl/>
        </w:rPr>
        <w:t>ויל"ד דקי"ל הלכה כסתם משנה, ולא עדיף הך כללא [דר' מאיר בגזירותיו] מכללא דסתם משנה. [ועוד דקי"ל דסתם מתני' הוה ר' מאיר, ונימא דר' מאיר דמתני' פליג אאבא יוסי בשיטת ר' מאיר].</w:t>
      </w:r>
    </w:p>
  </w:footnote>
  <w:footnote w:id="3246">
    <w:p w14:paraId="5DEF4CBB" w14:textId="77777777" w:rsidR="006074A5" w:rsidRDefault="006074A5" w:rsidP="006074A5">
      <w:pPr>
        <w:pStyle w:val="Footnote"/>
        <w:bidi/>
      </w:pPr>
      <w:r>
        <w:rPr>
          <w:rStyle w:val="ac"/>
          <w:rtl/>
        </w:rPr>
        <w:footnoteRef/>
      </w:r>
      <w:r>
        <w:rPr>
          <w:rtl/>
        </w:rPr>
        <w:t>ותי' דר' מאיר הוא ר' נהוראי (כדאמרי' עירובין יג:), ואי' התם דלא ר' נהוראי אלא ר' נחמיה. [וא"כ ר' מאיר הוא ר' נחמיה], ודברי ר' נחמיה קחשיב בשיטה (נא:).</w:t>
      </w:r>
    </w:p>
  </w:footnote>
  <w:footnote w:id="3247">
    <w:p w14:paraId="287AE336" w14:textId="77777777" w:rsidR="006074A5" w:rsidRDefault="006074A5" w:rsidP="006074A5">
      <w:pPr>
        <w:pStyle w:val="Footnote"/>
        <w:bidi/>
      </w:pPr>
      <w:r>
        <w:rPr>
          <w:rStyle w:val="ac"/>
          <w:rtl/>
        </w:rPr>
        <w:footnoteRef/>
      </w:r>
      <w:r>
        <w:rPr>
          <w:rtl/>
        </w:rPr>
        <w:t>ד</w:t>
      </w:r>
      <w:r>
        <w:rPr>
          <w:b/>
          <w:bCs/>
          <w:rtl/>
        </w:rPr>
        <w:t>תוס</w:t>
      </w:r>
      <w:r>
        <w:rPr>
          <w:rtl/>
        </w:rPr>
        <w:t xml:space="preserve">' (לעיל לט:) דנו דהלכה כאבא שאול ע"פ סתם משנה, ואי סתר מתני' דהכא מאי אולמי דהאי סתמא. [וכ"ד </w:t>
      </w:r>
      <w:r>
        <w:rPr>
          <w:b/>
          <w:bCs/>
          <w:rtl/>
        </w:rPr>
        <w:t>רש"י</w:t>
      </w:r>
      <w:r>
        <w:rPr>
          <w:rtl/>
        </w:rPr>
        <w:t xml:space="preserve"> (שם, והו' בטור קסה) דהלכה כאבא שאול, אבל דעת ה</w:t>
      </w:r>
      <w:r>
        <w:rPr>
          <w:b/>
          <w:bCs/>
          <w:rtl/>
        </w:rPr>
        <w:t>רי"ף</w:t>
      </w:r>
      <w:r>
        <w:rPr>
          <w:rtl/>
        </w:rPr>
        <w:t xml:space="preserve"> וה</w:t>
      </w:r>
      <w:r>
        <w:rPr>
          <w:b/>
          <w:bCs/>
          <w:rtl/>
        </w:rPr>
        <w:t>רמב"ם</w:t>
      </w:r>
      <w:r>
        <w:rPr>
          <w:rtl/>
        </w:rPr>
        <w:t xml:space="preserve"> (א ב) דהלכה כרבנן].</w:t>
      </w:r>
    </w:p>
  </w:footnote>
  <w:footnote w:id="3248">
    <w:p w14:paraId="0D6B5820" w14:textId="77777777" w:rsidR="006074A5" w:rsidRDefault="006074A5" w:rsidP="006074A5">
      <w:pPr>
        <w:pStyle w:val="Footnote"/>
        <w:bidi/>
      </w:pPr>
      <w:r>
        <w:rPr>
          <w:rStyle w:val="ac"/>
          <w:rtl/>
        </w:rPr>
        <w:footnoteRef/>
      </w:r>
      <w:r>
        <w:rPr>
          <w:rtl/>
        </w:rPr>
        <w:t>וה</w:t>
      </w:r>
      <w:r>
        <w:rPr>
          <w:b/>
          <w:bCs/>
          <w:rtl/>
        </w:rPr>
        <w:t>נוב"י</w:t>
      </w:r>
      <w:r>
        <w:rPr>
          <w:rtl/>
        </w:rPr>
        <w:t xml:space="preserve"> (ק' נד) כתב דנוכל להעמיד את המשנה בכנס סתמא, ולא נתכוון לשם זנות. וחידש דאבא שאול מודה דאמרי' סתמא לשמה קאי. ודוקא לשם נוי וכו' נחשב פוגע בערוה. [עי"ש שהאריך בזה, וע' מה שהו' לעיל לט:].</w:t>
      </w:r>
    </w:p>
  </w:footnote>
  <w:footnote w:id="3249">
    <w:p w14:paraId="6A207E5E" w14:textId="77777777" w:rsidR="006074A5" w:rsidRDefault="006074A5" w:rsidP="006074A5">
      <w:pPr>
        <w:pStyle w:val="Footnote"/>
        <w:bidi/>
      </w:pPr>
      <w:r>
        <w:rPr>
          <w:rStyle w:val="ac"/>
          <w:rtl/>
        </w:rPr>
        <w:footnoteRef/>
      </w:r>
      <w:r>
        <w:rPr>
          <w:rtl/>
        </w:rPr>
        <w:t>[ולסוברים שקנאה בביאתו, א"כ קאי דוקא אולד מביאה ראשונה. דביאה שניה כבר נעשית כאשתו. ולדעת תוס' (לעיל כ) אף בגמר ביאה נעשית כאשתו, א"כ לא משכח"ל ולד, אלא לשאר ראשונים].</w:t>
      </w:r>
    </w:p>
  </w:footnote>
  <w:footnote w:id="3250">
    <w:p w14:paraId="7B9CC592" w14:textId="77777777" w:rsidR="006074A5" w:rsidRDefault="006074A5" w:rsidP="006074A5">
      <w:pPr>
        <w:pStyle w:val="Footnote"/>
        <w:bidi/>
      </w:pPr>
      <w:r>
        <w:rPr>
          <w:rStyle w:val="ac"/>
          <w:rtl/>
        </w:rPr>
        <w:footnoteRef/>
      </w:r>
      <w:r>
        <w:rPr>
          <w:rtl/>
        </w:rPr>
        <w:t>וה</w:t>
      </w:r>
      <w:r>
        <w:rPr>
          <w:b/>
          <w:bCs/>
          <w:rtl/>
        </w:rPr>
        <w:t>חזו"א</w:t>
      </w:r>
      <w:r>
        <w:rPr>
          <w:rtl/>
        </w:rPr>
        <w:t xml:space="preserve"> (קלד מא.) דן די"ל דכוונת אבא שאול ד</w:t>
      </w:r>
      <w:r>
        <w:rPr>
          <w:i/>
          <w:iCs/>
          <w:rtl/>
        </w:rPr>
        <w:t>בידי שמים</w:t>
      </w:r>
      <w:r>
        <w:rPr>
          <w:rtl/>
        </w:rPr>
        <w:t xml:space="preserve"> נחשב שעבר על איסור אשת אח, דכיון דכנס לשם נוי עבר על כוונת הבורא שהתיר כדי שיקיימו המצוה. והוא משתמש בהיתר וקנאה וביטל מצוות יבום. ולכן בדיני שמים נחשב כאילו לא הותר אצלו [אבל בדיני אדם לא עבר איסור, והולד כשר לקהל].</w:t>
      </w:r>
    </w:p>
  </w:footnote>
  <w:footnote w:id="3251">
    <w:p w14:paraId="485461AF" w14:textId="77777777" w:rsidR="006074A5" w:rsidRDefault="006074A5" w:rsidP="006074A5">
      <w:pPr>
        <w:pStyle w:val="Footnote"/>
        <w:bidi/>
      </w:pPr>
      <w:r>
        <w:rPr>
          <w:rStyle w:val="ac"/>
          <w:rtl/>
        </w:rPr>
        <w:footnoteRef/>
      </w:r>
      <w:r>
        <w:rPr>
          <w:rtl/>
        </w:rPr>
        <w:t>ולכאורה כוונתו דמהני ג"כ מחשבה נוספת, דפשיטא דכל המצוות צריך לכתחילה לכוון.</w:t>
      </w:r>
    </w:p>
  </w:footnote>
  <w:footnote w:id="3252">
    <w:p w14:paraId="683442ED" w14:textId="77777777" w:rsidR="006074A5" w:rsidRDefault="006074A5" w:rsidP="006074A5">
      <w:pPr>
        <w:pStyle w:val="Footnote"/>
        <w:bidi/>
      </w:pPr>
      <w:r>
        <w:rPr>
          <w:rStyle w:val="ac"/>
          <w:rtl/>
        </w:rPr>
        <w:footnoteRef/>
      </w:r>
      <w:r>
        <w:rPr>
          <w:rtl/>
        </w:rPr>
        <w:t>[וה</w:t>
      </w:r>
      <w:r>
        <w:rPr>
          <w:b/>
          <w:bCs/>
          <w:rtl/>
        </w:rPr>
        <w:t>גר"ח</w:t>
      </w:r>
      <w:r>
        <w:rPr>
          <w:rtl/>
        </w:rPr>
        <w:t xml:space="preserve"> (הל' יבום) ביאר עד"ז הצד בראשונים דלא בעי עדים].</w:t>
      </w:r>
    </w:p>
  </w:footnote>
  <w:footnote w:id="3253">
    <w:p w14:paraId="37F85B76" w14:textId="77777777" w:rsidR="006074A5" w:rsidRDefault="006074A5" w:rsidP="006074A5">
      <w:pPr>
        <w:pStyle w:val="Footnote"/>
        <w:bidi/>
      </w:pPr>
      <w:r>
        <w:rPr>
          <w:rStyle w:val="ac"/>
          <w:rtl/>
        </w:rPr>
        <w:footnoteRef/>
      </w:r>
      <w:r>
        <w:rPr>
          <w:rtl/>
        </w:rPr>
        <w:t>וה</w:t>
      </w:r>
      <w:r>
        <w:rPr>
          <w:b/>
          <w:bCs/>
          <w:rtl/>
        </w:rPr>
        <w:t>ר"ש איגר</w:t>
      </w:r>
      <w:r>
        <w:rPr>
          <w:rtl/>
        </w:rPr>
        <w:t xml:space="preserve"> נקט עוד דבא אמרי' (קידושין י.) דהבועל דעתו על גמר ביאה, דחשיב כוונה הפכית, דאין רצונו לקנות בתחילת ביאה. [וצ"ע דלכאו' הוה סתמא].</w:t>
      </w:r>
    </w:p>
  </w:footnote>
  <w:footnote w:id="3254">
    <w:p w14:paraId="4DD97DC8" w14:textId="77777777" w:rsidR="006074A5" w:rsidRDefault="006074A5" w:rsidP="006074A5">
      <w:pPr>
        <w:pStyle w:val="Footnote"/>
        <w:bidi/>
      </w:pPr>
      <w:r>
        <w:rPr>
          <w:rStyle w:val="ac"/>
          <w:rtl/>
        </w:rPr>
        <w:footnoteRef/>
      </w:r>
      <w:r>
        <w:rPr>
          <w:rtl/>
        </w:rPr>
        <w:t xml:space="preserve">והביא עד"ז מצאנו דחצר קונה שלא מדעתו, ואפ"ה היכא דגילה דעתו שאינו רוצה ל"ק. ע' </w:t>
      </w:r>
      <w:r>
        <w:rPr>
          <w:b/>
          <w:bCs/>
          <w:rtl/>
        </w:rPr>
        <w:t>תוס'</w:t>
      </w:r>
      <w:r>
        <w:rPr>
          <w:rtl/>
        </w:rPr>
        <w:t xml:space="preserve"> (ב"ב נד.).</w:t>
      </w:r>
    </w:p>
  </w:footnote>
  <w:footnote w:id="3255">
    <w:p w14:paraId="2BBB392D" w14:textId="77777777" w:rsidR="006074A5" w:rsidRDefault="006074A5" w:rsidP="006074A5">
      <w:pPr>
        <w:pStyle w:val="Footnote"/>
        <w:bidi/>
      </w:pPr>
      <w:r>
        <w:rPr>
          <w:rStyle w:val="ac"/>
          <w:rtl/>
        </w:rPr>
        <w:footnoteRef/>
      </w:r>
      <w:r>
        <w:rPr>
          <w:rtl/>
        </w:rPr>
        <w:t>ו</w:t>
      </w:r>
      <w:r>
        <w:rPr>
          <w:b/>
          <w:bCs/>
          <w:rtl/>
        </w:rPr>
        <w:t>רע"א</w:t>
      </w:r>
      <w:r>
        <w:rPr>
          <w:rtl/>
        </w:rPr>
        <w:t xml:space="preserve"> (שם) כתב ליישב דהעראה לא נחשב ביאה אא"כ אחשביה [ע"ע לקמן נה:].</w:t>
      </w:r>
    </w:p>
  </w:footnote>
  <w:footnote w:id="3256">
    <w:p w14:paraId="488D2CD1" w14:textId="77777777" w:rsidR="006074A5" w:rsidRDefault="006074A5" w:rsidP="006074A5">
      <w:pPr>
        <w:pStyle w:val="Footnote"/>
        <w:bidi/>
      </w:pPr>
      <w:r>
        <w:rPr>
          <w:rStyle w:val="ac"/>
          <w:rtl/>
        </w:rPr>
        <w:footnoteRef/>
      </w:r>
      <w:r>
        <w:rPr>
          <w:rtl/>
        </w:rPr>
        <w:t>ואילו מדברי הרדב"ז לכאורה מבואר דלמסקנת המשנה באמת ל"מ כוונת היבמה כלל [דאפי' תרוייהו שוגגין].</w:t>
      </w:r>
    </w:p>
  </w:footnote>
  <w:footnote w:id="3257">
    <w:p w14:paraId="6AFD33FA" w14:textId="77777777" w:rsidR="006074A5" w:rsidRDefault="006074A5" w:rsidP="006074A5">
      <w:pPr>
        <w:pStyle w:val="Footnote"/>
        <w:bidi/>
      </w:pPr>
      <w:r>
        <w:rPr>
          <w:rStyle w:val="ac"/>
          <w:rtl/>
        </w:rPr>
        <w:footnoteRef/>
      </w:r>
      <w:r>
        <w:rPr>
          <w:rtl/>
        </w:rPr>
        <w:t>ועד"ז נח' ה</w:t>
      </w:r>
      <w:r>
        <w:rPr>
          <w:b/>
          <w:bCs/>
          <w:rtl/>
        </w:rPr>
        <w:t>אחרונים</w:t>
      </w:r>
      <w:r>
        <w:rPr>
          <w:rtl/>
        </w:rPr>
        <w:t xml:space="preserve"> (הו' לקמן נה.) בביאת שוגג דידה, אי קנה קנין גמור או רק לדברים הכתובים בפרשה.</w:t>
      </w:r>
    </w:p>
  </w:footnote>
  <w:footnote w:id="3258">
    <w:p w14:paraId="0EBFE6CC" w14:textId="77777777" w:rsidR="006074A5" w:rsidRDefault="006074A5" w:rsidP="006074A5">
      <w:pPr>
        <w:pStyle w:val="Footnote"/>
        <w:bidi/>
      </w:pPr>
      <w:r>
        <w:rPr>
          <w:rStyle w:val="ac"/>
          <w:rtl/>
        </w:rPr>
        <w:footnoteRef/>
      </w:r>
      <w:r>
        <w:rPr>
          <w:rtl/>
        </w:rPr>
        <w:t>אך מדברי ה</w:t>
      </w:r>
      <w:r>
        <w:rPr>
          <w:b/>
          <w:bCs/>
          <w:rtl/>
        </w:rPr>
        <w:t>תוס</w:t>
      </w:r>
      <w:r>
        <w:rPr>
          <w:rtl/>
        </w:rPr>
        <w:t>' (לעיל לט:) משמע דצריך ששניהם יתכוונו לאבא שאול. וצ"ע דלכאורה אבא שאול לא פליג דמהני בע"כ.</w:t>
      </w:r>
    </w:p>
  </w:footnote>
  <w:footnote w:id="3259">
    <w:p w14:paraId="7305E604" w14:textId="77777777" w:rsidR="006074A5" w:rsidRDefault="006074A5" w:rsidP="006074A5">
      <w:pPr>
        <w:pStyle w:val="Footnote"/>
        <w:bidi/>
      </w:pPr>
      <w:r>
        <w:rPr>
          <w:rStyle w:val="ac"/>
          <w:rtl/>
        </w:rPr>
        <w:footnoteRef/>
      </w:r>
      <w:r>
        <w:rPr>
          <w:rtl/>
        </w:rPr>
        <w:t>אבל ציינו (בגליון התוס') ד</w:t>
      </w:r>
      <w:r>
        <w:rPr>
          <w:b/>
          <w:bCs/>
          <w:rtl/>
        </w:rPr>
        <w:t>רש"י</w:t>
      </w:r>
      <w:r>
        <w:rPr>
          <w:rtl/>
        </w:rPr>
        <w:t xml:space="preserve"> בכ"מ (ע"ז נד., פסחים טז:, מנחות כה:) כת' [בסוגיות אחרות] דמזיד ורצון חדא מילתא היא, אלא איידי דתנא אונס תנא רצון. [אך בסוגיין לכאו' מודה].</w:t>
      </w:r>
    </w:p>
  </w:footnote>
  <w:footnote w:id="3260">
    <w:p w14:paraId="4456135A" w14:textId="77777777" w:rsidR="006074A5" w:rsidRDefault="006074A5" w:rsidP="006074A5">
      <w:pPr>
        <w:pStyle w:val="Footnote"/>
        <w:bidi/>
      </w:pPr>
      <w:r>
        <w:rPr>
          <w:rStyle w:val="ac"/>
          <w:rtl/>
        </w:rPr>
        <w:footnoteRef/>
      </w:r>
      <w:r>
        <w:rPr>
          <w:rtl/>
        </w:rPr>
        <w:t>[והמנח"ח נקט דמעשה הביאה הוא המצווה, ולא הקנין].</w:t>
      </w:r>
    </w:p>
  </w:footnote>
  <w:footnote w:id="3261">
    <w:p w14:paraId="35312CC0" w14:textId="77777777" w:rsidR="006074A5" w:rsidRDefault="006074A5" w:rsidP="006074A5">
      <w:pPr>
        <w:pStyle w:val="Footnote"/>
        <w:bidi/>
      </w:pPr>
      <w:r>
        <w:rPr>
          <w:rStyle w:val="ac"/>
          <w:rtl/>
        </w:rPr>
        <w:footnoteRef/>
      </w:r>
      <w:r>
        <w:rPr>
          <w:rtl/>
        </w:rPr>
        <w:t>וכ"כ ה</w:t>
      </w:r>
      <w:r>
        <w:rPr>
          <w:b/>
          <w:bCs/>
          <w:rtl/>
        </w:rPr>
        <w:t>ברכ"ש</w:t>
      </w:r>
      <w:r>
        <w:rPr>
          <w:rtl/>
        </w:rPr>
        <w:t xml:space="preserve"> (ב) וה</w:t>
      </w:r>
      <w:r>
        <w:rPr>
          <w:b/>
          <w:bCs/>
          <w:rtl/>
        </w:rPr>
        <w:t>קובה"ע</w:t>
      </w:r>
      <w:r>
        <w:rPr>
          <w:rtl/>
        </w:rPr>
        <w:t xml:space="preserve"> (יא א) דל"ש בזה מצווה הבא בעבירה מטעם זה.</w:t>
      </w:r>
    </w:p>
  </w:footnote>
  <w:footnote w:id="3262">
    <w:p w14:paraId="3A8E9F69"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הלובש ציצית בלא כוונה האם יחשב כבגד בלא ציצית וביטל עשה. והאריכו האחרונים בענין זה].</w:t>
      </w:r>
    </w:p>
  </w:footnote>
  <w:footnote w:id="3263">
    <w:p w14:paraId="0C865AEF" w14:textId="77777777" w:rsidR="006074A5" w:rsidRDefault="006074A5" w:rsidP="006074A5">
      <w:pPr>
        <w:pStyle w:val="Footnote"/>
        <w:bidi/>
      </w:pPr>
      <w:r>
        <w:rPr>
          <w:rStyle w:val="ac"/>
          <w:rtl/>
        </w:rPr>
        <w:footnoteRef/>
      </w:r>
      <w:r>
        <w:rPr>
          <w:rtl/>
        </w:rPr>
        <w:t>וה</w:t>
      </w:r>
      <w:r>
        <w:rPr>
          <w:b/>
          <w:bCs/>
          <w:rtl/>
        </w:rPr>
        <w:t>קצות</w:t>
      </w:r>
      <w:r>
        <w:rPr>
          <w:rtl/>
        </w:rPr>
        <w:t xml:space="preserve"> (רעה ד) חלק דהיבמה אינה מקנה את עצמה.</w:t>
      </w:r>
    </w:p>
  </w:footnote>
  <w:footnote w:id="3264">
    <w:p w14:paraId="195B49DC" w14:textId="77777777" w:rsidR="006074A5" w:rsidRDefault="006074A5" w:rsidP="006074A5">
      <w:pPr>
        <w:pStyle w:val="Footnote"/>
        <w:bidi/>
      </w:pPr>
      <w:r>
        <w:rPr>
          <w:rStyle w:val="ac"/>
          <w:rtl/>
        </w:rPr>
        <w:footnoteRef/>
      </w:r>
      <w:r>
        <w:rPr>
          <w:rtl/>
        </w:rPr>
        <w:t>ודלא כ</w:t>
      </w:r>
      <w:r>
        <w:rPr>
          <w:b/>
          <w:bCs/>
          <w:rtl/>
        </w:rPr>
        <w:t>רמב"ם</w:t>
      </w:r>
      <w:r>
        <w:rPr>
          <w:rtl/>
        </w:rPr>
        <w:t xml:space="preserve"> (איסו"ב יח א) דדוקא באיסור השווה בכל.</w:t>
      </w:r>
    </w:p>
  </w:footnote>
  <w:footnote w:id="3265">
    <w:p w14:paraId="5E2D37E4" w14:textId="77777777" w:rsidR="006074A5" w:rsidRDefault="006074A5" w:rsidP="006074A5">
      <w:pPr>
        <w:pStyle w:val="Footnote"/>
        <w:bidi/>
      </w:pPr>
      <w:r>
        <w:rPr>
          <w:rStyle w:val="ac"/>
          <w:rtl/>
        </w:rPr>
        <w:footnoteRef/>
      </w:r>
      <w:r>
        <w:rPr>
          <w:rtl/>
        </w:rPr>
        <w:t>ואף דאסורה עליו [שהיא ממזרת], והוה ביאת איסור. מ"מ אינו פוסל אותה בתרומה, דהוא ישראל כשר. ודוקא גברא פסול פוגם לכהונה, ולא תלי בביאת האיסור [וע"ד מש"כ ה</w:t>
      </w:r>
      <w:r>
        <w:rPr>
          <w:b/>
          <w:bCs/>
          <w:rtl/>
        </w:rPr>
        <w:t>רמב"ם</w:t>
      </w:r>
      <w:r>
        <w:rPr>
          <w:rtl/>
        </w:rPr>
        <w:t xml:space="preserve"> (יח ה) דזונה תלי בפגם, שהרי הבא על נדה וכן קדישה מופקרת אינה נפסלת].</w:t>
      </w:r>
    </w:p>
  </w:footnote>
  <w:footnote w:id="3266">
    <w:p w14:paraId="07C5FDCC" w14:textId="77777777" w:rsidR="006074A5" w:rsidRDefault="006074A5" w:rsidP="006074A5">
      <w:pPr>
        <w:pStyle w:val="Footnote"/>
        <w:bidi/>
      </w:pPr>
      <w:r>
        <w:rPr>
          <w:rStyle w:val="ac"/>
          <w:rtl/>
        </w:rPr>
        <w:footnoteRef/>
      </w:r>
      <w:r>
        <w:rPr>
          <w:rtl/>
        </w:rPr>
        <w:t>אבל ה</w:t>
      </w:r>
      <w:r>
        <w:rPr>
          <w:b/>
          <w:bCs/>
          <w:rtl/>
        </w:rPr>
        <w:t>אמר"מ</w:t>
      </w:r>
      <w:r>
        <w:rPr>
          <w:rtl/>
        </w:rPr>
        <w:t xml:space="preserve"> (י ב) דן דאין איסור חללה חל על איסור זונה, וכיון דלא חל איסור חללות, הולד אינו חלל. והאריך בדין דאין איסור חל על איסור האם נימא דאפ"ה הוה חללה [דסיבת האיסור קיימת, וכמ"ש האחרונים הו' לעיל יג. גבי ממזרות], או דחללות תלי באיסור לכהונה. וכיון דלא חל האיסור בפועל ל"מ.</w:t>
      </w:r>
    </w:p>
  </w:footnote>
  <w:footnote w:id="3267">
    <w:p w14:paraId="51A63806" w14:textId="77777777" w:rsidR="006074A5" w:rsidRDefault="006074A5" w:rsidP="006074A5">
      <w:pPr>
        <w:pStyle w:val="Footnote"/>
        <w:bidi/>
      </w:pPr>
      <w:r>
        <w:rPr>
          <w:rStyle w:val="ac"/>
          <w:rtl/>
        </w:rPr>
        <w:footnoteRef/>
      </w:r>
      <w:r>
        <w:rPr>
          <w:rtl/>
        </w:rPr>
        <w:t>[וביארו דכיון נעשית זונה, ויש כח פוסל בביאה, אף הולד נפסל מכהונה].</w:t>
      </w:r>
    </w:p>
  </w:footnote>
  <w:footnote w:id="3268">
    <w:p w14:paraId="70C031DE" w14:textId="77777777" w:rsidR="006074A5" w:rsidRDefault="006074A5" w:rsidP="006074A5">
      <w:pPr>
        <w:pStyle w:val="Footnote"/>
        <w:bidi/>
      </w:pPr>
      <w:r>
        <w:rPr>
          <w:rStyle w:val="ac"/>
          <w:rtl/>
        </w:rPr>
        <w:footnoteRef/>
      </w:r>
      <w:r>
        <w:rPr>
          <w:rtl/>
        </w:rPr>
        <w:t>ונח' הראשונים האם הך ק"ו קיימא למסקנא (ע' מה שהו' לעיל מה.). [וי"ל דזהו הספק של רש"י כאן].</w:t>
      </w:r>
    </w:p>
  </w:footnote>
  <w:footnote w:id="3269">
    <w:p w14:paraId="1845FCE0" w14:textId="77777777" w:rsidR="006074A5" w:rsidRDefault="006074A5" w:rsidP="006074A5">
      <w:pPr>
        <w:pStyle w:val="Footnote"/>
        <w:bidi/>
      </w:pPr>
      <w:r>
        <w:rPr>
          <w:rStyle w:val="ac"/>
          <w:rtl/>
        </w:rPr>
        <w:footnoteRef/>
      </w:r>
      <w:r>
        <w:rPr>
          <w:rtl/>
        </w:rPr>
        <w:t>אבל הביא דה</w:t>
      </w:r>
      <w:r>
        <w:rPr>
          <w:b/>
          <w:bCs/>
          <w:rtl/>
        </w:rPr>
        <w:t>ריטב"א</w:t>
      </w:r>
      <w:r>
        <w:rPr>
          <w:rtl/>
        </w:rPr>
        <w:t xml:space="preserve"> (קידושין עח.) כתב דדוקא כשחזר ובא עליה, אבל באותו ביאה לא. דהא דהעראה שמה ביאה דוקא כשפירש. אבל כשגמר ביאתו לא נפסלה אלא בגמ"ב [וע"ע לקמן נה:].</w:t>
      </w:r>
    </w:p>
  </w:footnote>
  <w:footnote w:id="3270">
    <w:p w14:paraId="5002CE27" w14:textId="77777777" w:rsidR="006074A5" w:rsidRDefault="006074A5" w:rsidP="006074A5">
      <w:pPr>
        <w:pStyle w:val="Footnote"/>
        <w:bidi/>
      </w:pPr>
      <w:r>
        <w:rPr>
          <w:rStyle w:val="ac"/>
          <w:rtl/>
        </w:rPr>
        <w:footnoteRef/>
      </w:r>
      <w:r>
        <w:rPr>
          <w:rtl/>
        </w:rPr>
        <w:t>אבל בביאה השניה הולד אינו כהן [ואף דנעשית חללה רק בביאה זו], וכן דייק האמר"מ שם.</w:t>
      </w:r>
    </w:p>
  </w:footnote>
  <w:footnote w:id="3271">
    <w:p w14:paraId="16AB9187" w14:textId="77777777" w:rsidR="006074A5" w:rsidRDefault="006074A5" w:rsidP="006074A5">
      <w:pPr>
        <w:pStyle w:val="Footnote"/>
        <w:bidi/>
      </w:pPr>
      <w:r>
        <w:rPr>
          <w:rStyle w:val="ac"/>
          <w:rtl/>
        </w:rPr>
        <w:footnoteRef/>
      </w:r>
      <w:r>
        <w:rPr>
          <w:rtl/>
        </w:rPr>
        <w:t>וה</w:t>
      </w:r>
      <w:r>
        <w:rPr>
          <w:b/>
          <w:bCs/>
          <w:rtl/>
        </w:rPr>
        <w:t>קובה"ע</w:t>
      </w:r>
      <w:r>
        <w:rPr>
          <w:rtl/>
        </w:rPr>
        <w:t xml:space="preserve"> (מד) ביאר דפגם הממזרות מפקיע מדין קהל, א"כ כ"ש שמפקיע מ'שם כהונה'. [והאריך (שם, ובקוב"ב גיטין נט:) האם לוי ממזר הוה לוי].</w:t>
      </w:r>
    </w:p>
  </w:footnote>
  <w:footnote w:id="3272">
    <w:p w14:paraId="4EFA95F9" w14:textId="77777777" w:rsidR="006074A5" w:rsidRDefault="006074A5" w:rsidP="006074A5">
      <w:pPr>
        <w:pStyle w:val="Footnote"/>
        <w:bidi/>
      </w:pPr>
      <w:r>
        <w:rPr>
          <w:rStyle w:val="ac"/>
          <w:rtl/>
        </w:rPr>
        <w:footnoteRef/>
      </w:r>
      <w:r>
        <w:rPr>
          <w:rtl/>
        </w:rPr>
        <w:t xml:space="preserve">וצ"ע היכן מצאנו חילוקים בתוך דיני הכהונה. [אך ע' </w:t>
      </w:r>
      <w:r>
        <w:rPr>
          <w:b/>
          <w:bCs/>
          <w:rtl/>
        </w:rPr>
        <w:t>חלק"מ</w:t>
      </w:r>
      <w:r>
        <w:rPr>
          <w:rtl/>
        </w:rPr>
        <w:t xml:space="preserve"> (ה א) דחילק דפצוע דכא לאו בקדושתיה קאי, ומטמא למתים. ואפ"ה אוכל תרומה. ע"ע לקמן נז. ועו.].</w:t>
      </w:r>
    </w:p>
  </w:footnote>
  <w:footnote w:id="3273">
    <w:p w14:paraId="7E58588E" w14:textId="77777777" w:rsidR="006074A5" w:rsidRDefault="006074A5" w:rsidP="006074A5">
      <w:pPr>
        <w:pStyle w:val="Footnote"/>
        <w:bidi/>
      </w:pPr>
      <w:r>
        <w:rPr>
          <w:rStyle w:val="ac"/>
          <w:rtl/>
        </w:rPr>
        <w:footnoteRef/>
      </w:r>
      <w:r>
        <w:rPr>
          <w:rtl/>
        </w:rPr>
        <w:t>ולכאו' כוונתו דאי' התם דלכהונה בעינן זרעו מיוחס אחריו. אלא דמבואר (שם) דהוה מדרבנן.</w:t>
      </w:r>
    </w:p>
  </w:footnote>
  <w:footnote w:id="3274">
    <w:p w14:paraId="1E4A3D65" w14:textId="77777777" w:rsidR="006074A5" w:rsidRDefault="006074A5" w:rsidP="006074A5">
      <w:pPr>
        <w:pStyle w:val="Footnote"/>
        <w:bidi/>
      </w:pPr>
      <w:r>
        <w:rPr>
          <w:rStyle w:val="ac"/>
          <w:rtl/>
        </w:rPr>
        <w:footnoteRef/>
      </w:r>
      <w:r>
        <w:rPr>
          <w:rtl/>
        </w:rPr>
        <w:t>והביא עוד מהגמ' (קידושין עז:) ד'שם זנות פוסל בישראל', ומבואר דאיסור סוטה שייכא לאיסור זונה.</w:t>
      </w:r>
    </w:p>
  </w:footnote>
  <w:footnote w:id="3275">
    <w:p w14:paraId="2121FE45" w14:textId="77777777" w:rsidR="006074A5" w:rsidRDefault="006074A5" w:rsidP="006074A5">
      <w:pPr>
        <w:pStyle w:val="Footnote"/>
        <w:bidi/>
      </w:pPr>
      <w:r>
        <w:rPr>
          <w:rStyle w:val="ac"/>
          <w:rtl/>
        </w:rPr>
        <w:footnoteRef/>
      </w:r>
      <w:r>
        <w:rPr>
          <w:rtl/>
        </w:rPr>
        <w:t>וכ"כ ה</w:t>
      </w:r>
      <w:r>
        <w:rPr>
          <w:b/>
          <w:bCs/>
          <w:rtl/>
        </w:rPr>
        <w:t>רמב"ם</w:t>
      </w:r>
      <w:r>
        <w:rPr>
          <w:rtl/>
        </w:rPr>
        <w:t xml:space="preserve"> (יח ה). [ויישב עד"ז דלא תליא בגדרי ביאה לענין כה"ת, ע"ע נה:].</w:t>
      </w:r>
    </w:p>
  </w:footnote>
  <w:footnote w:id="3276">
    <w:p w14:paraId="302467D9" w14:textId="77777777" w:rsidR="006074A5" w:rsidRDefault="006074A5" w:rsidP="006074A5">
      <w:pPr>
        <w:pStyle w:val="Footnote"/>
        <w:bidi/>
      </w:pPr>
      <w:r>
        <w:rPr>
          <w:rStyle w:val="ac"/>
          <w:rtl/>
        </w:rPr>
        <w:footnoteRef/>
      </w:r>
      <w:r>
        <w:rPr>
          <w:rtl/>
        </w:rPr>
        <w:t>[ולא גרע מגדול עומד על גביו]. ועוד אפשר דכלפי האשה הוה קיום מצווה. ולא צווי.</w:t>
      </w:r>
    </w:p>
  </w:footnote>
  <w:footnote w:id="3277">
    <w:p w14:paraId="7FB0ADF2" w14:textId="77777777" w:rsidR="006074A5" w:rsidRDefault="006074A5" w:rsidP="006074A5">
      <w:pPr>
        <w:pStyle w:val="Footnote"/>
        <w:bidi/>
      </w:pPr>
      <w:r>
        <w:rPr>
          <w:rStyle w:val="ac"/>
          <w:rtl/>
        </w:rPr>
        <w:footnoteRef/>
      </w:r>
      <w:r>
        <w:rPr>
          <w:rtl/>
        </w:rPr>
        <w:t>וה</w:t>
      </w:r>
      <w:r>
        <w:rPr>
          <w:b/>
          <w:bCs/>
          <w:rtl/>
        </w:rPr>
        <w:t>רש"ש</w:t>
      </w:r>
      <w:r>
        <w:rPr>
          <w:rtl/>
        </w:rPr>
        <w:t xml:space="preserve"> תמה דלא ילפי' גזי"ש מעריות, אלא ביאה ביאה מחייבי לאוין (נה.).</w:t>
      </w:r>
    </w:p>
  </w:footnote>
  <w:footnote w:id="3278">
    <w:p w14:paraId="380E0D02" w14:textId="77777777" w:rsidR="006074A5" w:rsidRDefault="006074A5" w:rsidP="006074A5">
      <w:pPr>
        <w:pStyle w:val="Footnote"/>
        <w:bidi/>
      </w:pPr>
      <w:r>
        <w:rPr>
          <w:rStyle w:val="ac"/>
          <w:rtl/>
        </w:rPr>
        <w:footnoteRef/>
      </w:r>
      <w:r>
        <w:rPr>
          <w:rtl/>
        </w:rPr>
        <w:t>וצ"ל דשלא כדרך איתרבי בהדיא [כדאמרי' נד.], ואין ילפותא על אבר מת.</w:t>
      </w:r>
    </w:p>
  </w:footnote>
  <w:footnote w:id="3279">
    <w:p w14:paraId="0E15D561" w14:textId="77777777" w:rsidR="006074A5" w:rsidRDefault="006074A5" w:rsidP="006074A5">
      <w:pPr>
        <w:pStyle w:val="Footnote"/>
        <w:bidi/>
      </w:pPr>
      <w:r>
        <w:rPr>
          <w:rStyle w:val="ac"/>
          <w:rtl/>
        </w:rPr>
        <w:footnoteRef/>
      </w:r>
      <w:r>
        <w:rPr>
          <w:rtl/>
        </w:rPr>
        <w:t>ונחשב היבם כסריס כלפי ביאה זו, דאינו ראוי להקמת שם. [אך בפשוטו הדבר תמוה. דגברא זה הוא ראוי להקמת שם. אלא דעכשיו לא עשה מעשה ראוי, והא אף שלא כדרכה הוה חסרון במעשה].</w:t>
      </w:r>
    </w:p>
  </w:footnote>
  <w:footnote w:id="3280">
    <w:p w14:paraId="76A7A0EF" w14:textId="77777777" w:rsidR="006074A5" w:rsidRDefault="006074A5" w:rsidP="006074A5">
      <w:pPr>
        <w:pStyle w:val="Footnote"/>
        <w:bidi/>
      </w:pPr>
      <w:r>
        <w:rPr>
          <w:rStyle w:val="ac"/>
          <w:rtl/>
        </w:rPr>
        <w:footnoteRef/>
      </w:r>
      <w:r>
        <w:rPr>
          <w:rtl/>
        </w:rPr>
        <w:t>ויל"ד האם היינו אחרי שלא רמי עליו למסור נפשו. או אף אם רמי עליו, מ"מ אינו מעשה גמור דידיה.</w:t>
      </w:r>
    </w:p>
  </w:footnote>
  <w:footnote w:id="3281">
    <w:p w14:paraId="17D5E198" w14:textId="77777777" w:rsidR="006074A5" w:rsidRDefault="006074A5" w:rsidP="006074A5">
      <w:pPr>
        <w:pStyle w:val="Footnote"/>
        <w:bidi/>
      </w:pPr>
      <w:r>
        <w:rPr>
          <w:rStyle w:val="ac"/>
          <w:rtl/>
        </w:rPr>
        <w:footnoteRef/>
      </w:r>
      <w:r>
        <w:rPr>
          <w:rtl/>
        </w:rPr>
        <w:t>וכמ"ש ה</w:t>
      </w:r>
      <w:r>
        <w:rPr>
          <w:b/>
          <w:bCs/>
          <w:rtl/>
        </w:rPr>
        <w:t>רמב"ם</w:t>
      </w:r>
      <w:r>
        <w:rPr>
          <w:rtl/>
        </w:rPr>
        <w:t xml:space="preserve"> (יסוה"ת ה ד) דאם עבר בג' עבירות באונס נפשות [ועבר ולא נהרג] אינו חייב מיתה. אבל אם נתרפא בו חייב מיתה. וע' או"ש שם.</w:t>
      </w:r>
    </w:p>
  </w:footnote>
  <w:footnote w:id="3282">
    <w:p w14:paraId="033C45EF" w14:textId="77777777" w:rsidR="006074A5" w:rsidRDefault="006074A5" w:rsidP="006074A5">
      <w:pPr>
        <w:pStyle w:val="Footnote"/>
        <w:bidi/>
      </w:pPr>
      <w:r>
        <w:rPr>
          <w:rStyle w:val="ac"/>
          <w:rtl/>
        </w:rPr>
        <w:footnoteRef/>
      </w:r>
      <w:r>
        <w:rPr>
          <w:rtl/>
        </w:rPr>
        <w:t>והרמב"ן דימה לאנסוהו לעשות מעשה, ואע"פ שמדעת עצמו הוא הולך ועושה פטור בדיני אדם פטור. אף שהוא נותן דעתו ומקשה עצמו, שהרי אם תסלק אונסו מעליו אף הוא פורש.</w:t>
      </w:r>
    </w:p>
  </w:footnote>
  <w:footnote w:id="3283">
    <w:p w14:paraId="3A53A0C4" w14:textId="77777777" w:rsidR="006074A5" w:rsidRDefault="006074A5" w:rsidP="006074A5">
      <w:pPr>
        <w:pStyle w:val="Footnote"/>
        <w:bidi/>
      </w:pPr>
      <w:r>
        <w:rPr>
          <w:rStyle w:val="ac"/>
          <w:rtl/>
        </w:rPr>
        <w:footnoteRef/>
      </w:r>
      <w:r>
        <w:rPr>
          <w:rtl/>
        </w:rPr>
        <w:t>ועוד הביאו האחרונים דדמי להא דאי' (כתובות נא:) דיצר אלבשיה. [ויל"ד אי נחשב פטור אונס גמור. או דהוה רק סברא שלא יחשב מזיד].</w:t>
      </w:r>
    </w:p>
  </w:footnote>
  <w:footnote w:id="3284">
    <w:p w14:paraId="354B48DC" w14:textId="77777777" w:rsidR="006074A5" w:rsidRDefault="006074A5" w:rsidP="006074A5">
      <w:pPr>
        <w:pStyle w:val="Footnote"/>
        <w:bidi/>
      </w:pPr>
      <w:r>
        <w:rPr>
          <w:rStyle w:val="ac"/>
          <w:rtl/>
        </w:rPr>
        <w:footnoteRef/>
      </w:r>
      <w:r>
        <w:rPr>
          <w:rtl/>
        </w:rPr>
        <w:t>וה</w:t>
      </w:r>
      <w:r>
        <w:rPr>
          <w:b/>
          <w:bCs/>
          <w:rtl/>
        </w:rPr>
        <w:t>נו"כ</w:t>
      </w:r>
      <w:r>
        <w:rPr>
          <w:rtl/>
        </w:rPr>
        <w:t xml:space="preserve"> הקשו דהיאך נאמר דהוה בהתראה, דלא שייך קבלת התראה, דאין הקישוי מעשה, דנוכל לומר דיש כאן קבלת התראה [וכה"ק ה</w:t>
      </w:r>
      <w:r>
        <w:rPr>
          <w:b/>
          <w:bCs/>
          <w:rtl/>
        </w:rPr>
        <w:t>רמ"ך</w:t>
      </w:r>
      <w:r>
        <w:rPr>
          <w:rtl/>
        </w:rPr>
        <w:t>]. וה</w:t>
      </w:r>
      <w:r>
        <w:rPr>
          <w:b/>
          <w:bCs/>
          <w:rtl/>
        </w:rPr>
        <w:t>כס"מ</w:t>
      </w:r>
      <w:r>
        <w:rPr>
          <w:rtl/>
        </w:rPr>
        <w:t xml:space="preserve"> כתב דכוונת הרמב"ם דיש לו דין חיוב מיתת בי"ד, אלא דהוה שלא בהתראה. וה</w:t>
      </w:r>
      <w:r>
        <w:rPr>
          <w:b/>
          <w:bCs/>
          <w:rtl/>
        </w:rPr>
        <w:t>רדב"ז</w:t>
      </w:r>
      <w:r>
        <w:rPr>
          <w:rtl/>
        </w:rPr>
        <w:t xml:space="preserve"> תי' שצ"ל דאיירי דהתרו בו שלא יתקשה, ושוב נתקשה.</w:t>
      </w:r>
    </w:p>
  </w:footnote>
  <w:footnote w:id="3285">
    <w:p w14:paraId="2436FF9B" w14:textId="77777777" w:rsidR="006074A5" w:rsidRDefault="006074A5" w:rsidP="006074A5">
      <w:pPr>
        <w:pStyle w:val="Footnote"/>
        <w:bidi/>
      </w:pPr>
      <w:r>
        <w:rPr>
          <w:rStyle w:val="ac"/>
          <w:rtl/>
        </w:rPr>
        <w:footnoteRef/>
      </w:r>
      <w:r>
        <w:rPr>
          <w:rtl/>
        </w:rPr>
        <w:t>וכ"ד ה</w:t>
      </w:r>
      <w:r>
        <w:rPr>
          <w:b/>
          <w:bCs/>
          <w:rtl/>
        </w:rPr>
        <w:t>ראב"ד</w:t>
      </w:r>
      <w:r>
        <w:rPr>
          <w:rtl/>
        </w:rPr>
        <w:t xml:space="preserve"> (איסו"ב א ט), שכתב יש אונס שהוא פטור, כגון שהיה מתכוון לאשתו ותקפתו א' מהעריות או שדבקום עכו"ם.</w:t>
      </w:r>
    </w:p>
  </w:footnote>
  <w:footnote w:id="3286">
    <w:p w14:paraId="6CF8B56C"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בכ"מ היכא דיש אונס ורצון כא', האם יש פטור אונס. ע"ע כתובות נא:].</w:t>
      </w:r>
    </w:p>
  </w:footnote>
  <w:footnote w:id="3287">
    <w:p w14:paraId="1C54E174" w14:textId="77777777" w:rsidR="006074A5" w:rsidRDefault="006074A5" w:rsidP="006074A5">
      <w:pPr>
        <w:pStyle w:val="Footnote"/>
        <w:bidi/>
      </w:pPr>
      <w:r>
        <w:rPr>
          <w:rStyle w:val="ac"/>
          <w:rtl/>
        </w:rPr>
        <w:footnoteRef/>
      </w:r>
      <w:r>
        <w:rPr>
          <w:rtl/>
        </w:rPr>
        <w:t>אמנם ה</w:t>
      </w:r>
      <w:r>
        <w:rPr>
          <w:b/>
          <w:bCs/>
          <w:rtl/>
        </w:rPr>
        <w:t>ש"ך</w:t>
      </w:r>
      <w:r>
        <w:rPr>
          <w:rtl/>
        </w:rPr>
        <w:t xml:space="preserve"> (יו"ד קנז א) הביא בשם ה</w:t>
      </w:r>
      <w:r>
        <w:rPr>
          <w:b/>
          <w:bCs/>
          <w:rtl/>
        </w:rPr>
        <w:t>תה"ד</w:t>
      </w:r>
      <w:r>
        <w:rPr>
          <w:rtl/>
        </w:rPr>
        <w:t xml:space="preserve"> (קצט) דלא אמרי' ספק נפשות להקל במקום קידוש ד', דלענין קדוש השם לא הקפידה התורה על איבוד נפשות מישראל. [אך י"ל דהתם הוה רשות, ומ"מ אינו חייב למסור עצמו].</w:t>
      </w:r>
    </w:p>
  </w:footnote>
  <w:footnote w:id="3288">
    <w:p w14:paraId="7F59E44C" w14:textId="77777777" w:rsidR="006074A5" w:rsidRDefault="006074A5" w:rsidP="006074A5">
      <w:pPr>
        <w:pStyle w:val="Footnote"/>
        <w:bidi/>
      </w:pPr>
      <w:r>
        <w:rPr>
          <w:rStyle w:val="ac"/>
          <w:rtl/>
        </w:rPr>
        <w:footnoteRef/>
      </w:r>
      <w:r>
        <w:rPr>
          <w:rtl/>
        </w:rPr>
        <w:t>וכן דייק ה</w:t>
      </w:r>
      <w:r>
        <w:rPr>
          <w:b/>
          <w:bCs/>
          <w:rtl/>
        </w:rPr>
        <w:t>תוס' יוה"כ</w:t>
      </w:r>
      <w:r>
        <w:rPr>
          <w:rtl/>
        </w:rPr>
        <w:t xml:space="preserve"> (למהר"ם חביב יומא שם). אבל ה</w:t>
      </w:r>
      <w:r>
        <w:rPr>
          <w:b/>
          <w:bCs/>
          <w:rtl/>
        </w:rPr>
        <w:t>חזו"א</w:t>
      </w:r>
      <w:r>
        <w:rPr>
          <w:rtl/>
        </w:rPr>
        <w:t xml:space="preserve"> (גליונות) חלק דאין לדייק מסתימת הרמב"ם כיון שאינו מפורש בש"ס.</w:t>
      </w:r>
    </w:p>
  </w:footnote>
  <w:footnote w:id="3289">
    <w:p w14:paraId="36982A8D" w14:textId="77777777" w:rsidR="006074A5" w:rsidRDefault="006074A5" w:rsidP="006074A5">
      <w:pPr>
        <w:pStyle w:val="Footnote"/>
        <w:bidi/>
      </w:pPr>
      <w:r>
        <w:rPr>
          <w:rStyle w:val="ac"/>
          <w:rtl/>
        </w:rPr>
        <w:footnoteRef/>
      </w:r>
      <w:r>
        <w:rPr>
          <w:rtl/>
        </w:rPr>
        <w:t>אבל ה</w:t>
      </w:r>
      <w:r>
        <w:rPr>
          <w:b/>
          <w:bCs/>
          <w:rtl/>
        </w:rPr>
        <w:t>כס"מ</w:t>
      </w:r>
      <w:r>
        <w:rPr>
          <w:rtl/>
        </w:rPr>
        <w:t xml:space="preserve"> (יסוה"ת ה ה) דן דקי"ל דרציחה לא הותר כלל, אף היכא דהעכו"ם יבואו להרוג את כולם, דל"ש בזה מאי חזית.</w:t>
      </w:r>
    </w:p>
  </w:footnote>
  <w:footnote w:id="3290">
    <w:p w14:paraId="06A52F47" w14:textId="77777777" w:rsidR="006074A5" w:rsidRDefault="006074A5" w:rsidP="006074A5">
      <w:pPr>
        <w:pStyle w:val="Footnote"/>
        <w:bidi/>
      </w:pPr>
      <w:r>
        <w:rPr>
          <w:rStyle w:val="ac"/>
          <w:rtl/>
        </w:rPr>
        <w:footnoteRef/>
      </w:r>
      <w:r>
        <w:rPr>
          <w:rtl/>
        </w:rPr>
        <w:t>וב</w:t>
      </w:r>
      <w:r>
        <w:rPr>
          <w:b/>
          <w:bCs/>
          <w:rtl/>
        </w:rPr>
        <w:t>חי' תלמידי רבינו יונה</w:t>
      </w:r>
      <w:r>
        <w:rPr>
          <w:rtl/>
        </w:rPr>
        <w:t xml:space="preserve"> (ע"ז כז) פי' [בתחילת דבריו] דמא סומק טפי, שיחיה יותר ויקיים מצוות, ויעשה רצון הקב"ה יותר. וכתב דאף דהוה ספק, שב ואל תעשה עדיף ולא יעשה שום עבירה. [ושוב הביא את סברת רש"י דלא הותר, וקילסו].</w:t>
      </w:r>
    </w:p>
    <w:p w14:paraId="0A137849" w14:textId="77777777" w:rsidR="006074A5" w:rsidRDefault="006074A5" w:rsidP="006074A5">
      <w:pPr>
        <w:pStyle w:val="Footnote"/>
        <w:bidi/>
      </w:pPr>
      <w:r>
        <w:rPr>
          <w:rtl/>
        </w:rPr>
        <w:tab/>
        <w:t>וה</w:t>
      </w:r>
      <w:r>
        <w:rPr>
          <w:b/>
          <w:bCs/>
          <w:rtl/>
        </w:rPr>
        <w:t>רא"ה</w:t>
      </w:r>
      <w:r>
        <w:rPr>
          <w:rtl/>
        </w:rPr>
        <w:t xml:space="preserve"> (ע"ז שם) כ' דסומק טפי לאו דוקא, אפי' שקולים לא ניתן לדחות נפש בפני נפש.</w:t>
      </w:r>
    </w:p>
  </w:footnote>
  <w:footnote w:id="3291">
    <w:p w14:paraId="27FA328E" w14:textId="77777777" w:rsidR="006074A5" w:rsidRDefault="006074A5" w:rsidP="006074A5">
      <w:pPr>
        <w:pStyle w:val="Footnote"/>
        <w:bidi/>
      </w:pPr>
      <w:r>
        <w:rPr>
          <w:rStyle w:val="ac"/>
          <w:rtl/>
        </w:rPr>
        <w:footnoteRef/>
      </w:r>
      <w:r>
        <w:rPr>
          <w:rtl/>
        </w:rPr>
        <w:t>ויש שתי' דיש היתר לאבד עצמו [לאפרושי מאיסורא כדי שלא לעבור על איסור בידים], כיון שיודע שאח"כ יעשה מעשה איסור [שלא הותר משום פיקו"נ].</w:t>
      </w:r>
    </w:p>
  </w:footnote>
  <w:footnote w:id="3292">
    <w:p w14:paraId="4472479B" w14:textId="77777777" w:rsidR="006074A5" w:rsidRDefault="006074A5" w:rsidP="006074A5">
      <w:pPr>
        <w:pStyle w:val="Footnote"/>
        <w:bidi/>
      </w:pPr>
      <w:r>
        <w:rPr>
          <w:rStyle w:val="ac"/>
          <w:rtl/>
        </w:rPr>
        <w:footnoteRef/>
      </w:r>
      <w:r>
        <w:rPr>
          <w:rtl/>
        </w:rPr>
        <w:t>ועוד הקשה ה</w:t>
      </w:r>
      <w:r>
        <w:rPr>
          <w:b/>
          <w:bCs/>
          <w:rtl/>
        </w:rPr>
        <w:t>קובה"ע</w:t>
      </w:r>
      <w:r>
        <w:rPr>
          <w:rtl/>
        </w:rPr>
        <w:t xml:space="preserve"> (מח) דגבי אשה היא אף בשב ואל תעשה התורה החשיבה הנאה כמעשה, והיאך ילפי' מהתם. [ובפשוטו י"ל דכיון דילפי' יהרג ואל מרוצח, אמרי' דיו, ואף דלא דמי כל כך].</w:t>
      </w:r>
    </w:p>
  </w:footnote>
  <w:footnote w:id="3293">
    <w:p w14:paraId="6F31CCDD" w14:textId="77777777" w:rsidR="006074A5" w:rsidRDefault="006074A5" w:rsidP="006074A5">
      <w:pPr>
        <w:pStyle w:val="Footnote"/>
        <w:bidi/>
      </w:pPr>
      <w:r>
        <w:rPr>
          <w:rStyle w:val="ac"/>
          <w:rtl/>
        </w:rPr>
        <w:footnoteRef/>
      </w:r>
      <w:r>
        <w:rPr>
          <w:rtl/>
        </w:rPr>
        <w:t>ועוד כת' ה</w:t>
      </w:r>
      <w:r>
        <w:rPr>
          <w:b/>
          <w:bCs/>
          <w:rtl/>
        </w:rPr>
        <w:t>חזו"א</w:t>
      </w:r>
      <w:r>
        <w:rPr>
          <w:rtl/>
        </w:rPr>
        <w:t xml:space="preserve"> דמי שעולה לראש הגג שתפיל אותו הרוח חשיב רוצח, ואף דאין חיוב מיתה.</w:t>
      </w:r>
    </w:p>
  </w:footnote>
  <w:footnote w:id="3294">
    <w:p w14:paraId="648D2608" w14:textId="77777777" w:rsidR="006074A5" w:rsidRDefault="006074A5" w:rsidP="006074A5">
      <w:pPr>
        <w:pStyle w:val="Footnote"/>
        <w:bidi/>
      </w:pPr>
      <w:r>
        <w:rPr>
          <w:rStyle w:val="ac"/>
          <w:rtl/>
        </w:rPr>
        <w:footnoteRef/>
      </w:r>
      <w:r>
        <w:rPr>
          <w:rtl/>
        </w:rPr>
        <w:t xml:space="preserve">וכ"כ </w:t>
      </w:r>
      <w:r>
        <w:rPr>
          <w:b/>
          <w:bCs/>
          <w:rtl/>
        </w:rPr>
        <w:t>רבינו</w:t>
      </w:r>
      <w:r>
        <w:rPr>
          <w:rtl/>
        </w:rPr>
        <w:t xml:space="preserve"> </w:t>
      </w:r>
      <w:r>
        <w:rPr>
          <w:b/>
          <w:bCs/>
          <w:rtl/>
        </w:rPr>
        <w:t>יונה</w:t>
      </w:r>
      <w:r>
        <w:rPr>
          <w:rtl/>
        </w:rPr>
        <w:t xml:space="preserve"> (שע"ת ג קלט) דמלבין פני חבירו הוה אבק רציחה, ויהרג ואל יעבור [כדאי' ב"מ נט. יפיל עצמו לכבשן האש]. וה</w:t>
      </w:r>
      <w:r>
        <w:rPr>
          <w:b/>
          <w:bCs/>
          <w:rtl/>
        </w:rPr>
        <w:t>אחרונים</w:t>
      </w:r>
      <w:r>
        <w:rPr>
          <w:rtl/>
        </w:rPr>
        <w:t xml:space="preserve"> הק' דהתם ל"ש סברת מאי חזית דדמא דידך. [והאבה"א ור' שמעון (הו' בשיע' ר' שמואל סנהדרין) תי' דילפי' רציחה מעריות, דעצם העבירה יהרג ואל יעבור. ואף לולי סברת מאי חזית].</w:t>
      </w:r>
    </w:p>
  </w:footnote>
  <w:footnote w:id="3295">
    <w:p w14:paraId="15F8E28A" w14:textId="77777777" w:rsidR="006074A5" w:rsidRDefault="006074A5" w:rsidP="006074A5">
      <w:pPr>
        <w:pStyle w:val="Footnote"/>
        <w:bidi/>
      </w:pPr>
      <w:r>
        <w:rPr>
          <w:rStyle w:val="ac"/>
          <w:rtl/>
        </w:rPr>
        <w:footnoteRef/>
      </w:r>
      <w:r>
        <w:rPr>
          <w:rtl/>
        </w:rPr>
        <w:t>ויש שתי' ע"פ דברי ה</w:t>
      </w:r>
      <w:r>
        <w:rPr>
          <w:b/>
          <w:bCs/>
          <w:rtl/>
        </w:rPr>
        <w:t>ריטב"א</w:t>
      </w:r>
      <w:r>
        <w:rPr>
          <w:rtl/>
        </w:rPr>
        <w:t xml:space="preserve"> (פסחים כה.) בשם ה</w:t>
      </w:r>
      <w:r>
        <w:rPr>
          <w:b/>
          <w:bCs/>
          <w:rtl/>
        </w:rPr>
        <w:t>רא"ה</w:t>
      </w:r>
      <w:r>
        <w:rPr>
          <w:rtl/>
        </w:rPr>
        <w:t xml:space="preserve"> דאפי' אמרו לו עכו"ם תן לי כלי זיין להרוג ישראל [כשהעכו"ם אינו יכול ליטלו מעצמו] יהרג ואל יעבור. [ואף דמסירת כלי זיין לא הוה מעשה רציחה, אלא גרמא].</w:t>
      </w:r>
    </w:p>
  </w:footnote>
  <w:footnote w:id="3296">
    <w:p w14:paraId="0817959D" w14:textId="77777777" w:rsidR="006074A5" w:rsidRDefault="006074A5" w:rsidP="006074A5">
      <w:pPr>
        <w:pStyle w:val="Footnote"/>
        <w:bidi/>
      </w:pPr>
      <w:r>
        <w:rPr>
          <w:rStyle w:val="ac"/>
          <w:rtl/>
        </w:rPr>
        <w:footnoteRef/>
      </w:r>
      <w:r>
        <w:rPr>
          <w:rtl/>
        </w:rPr>
        <w:t>וציין לדברי ה</w:t>
      </w:r>
      <w:r>
        <w:rPr>
          <w:b/>
          <w:bCs/>
          <w:rtl/>
        </w:rPr>
        <w:t>ראשונים</w:t>
      </w:r>
      <w:r>
        <w:rPr>
          <w:rtl/>
        </w:rPr>
        <w:t xml:space="preserve"> (ע' ב"ק ל:, וע"ע ב"ק ס.) דכיון דמזיק בכובד נחשב דהאבן הוה מזיק בעצם.</w:t>
      </w:r>
    </w:p>
  </w:footnote>
  <w:footnote w:id="3297">
    <w:p w14:paraId="0BD35479" w14:textId="77777777" w:rsidR="006074A5" w:rsidRDefault="006074A5" w:rsidP="006074A5">
      <w:pPr>
        <w:pStyle w:val="Footnote"/>
        <w:bidi/>
      </w:pPr>
      <w:r>
        <w:rPr>
          <w:rStyle w:val="ac"/>
          <w:rtl/>
        </w:rPr>
        <w:footnoteRef/>
      </w:r>
      <w:r>
        <w:rPr>
          <w:rtl/>
        </w:rPr>
        <w:t xml:space="preserve">אבל </w:t>
      </w:r>
      <w:r>
        <w:rPr>
          <w:b/>
          <w:bCs/>
          <w:rtl/>
        </w:rPr>
        <w:t>ר"ח</w:t>
      </w:r>
      <w:r>
        <w:rPr>
          <w:rtl/>
        </w:rPr>
        <w:t xml:space="preserve"> (פסחים כה: עה"ג) כת' דהיכא דאמר ישמעאלי השמעי לי, תהרג. ודוקא היכא דתפסה בע"כ אמרי' דהוה קרקע עולם. [ולא חילק בין היכא שהמעשה הוה מגוף העבירה. וע"ד התי' הב' בתוס' דידן. וע' מאירי].</w:t>
      </w:r>
    </w:p>
  </w:footnote>
  <w:footnote w:id="3298">
    <w:p w14:paraId="455C4E6B" w14:textId="77777777" w:rsidR="006074A5" w:rsidRDefault="006074A5" w:rsidP="006074A5">
      <w:pPr>
        <w:pStyle w:val="Footnote"/>
        <w:bidi/>
      </w:pPr>
      <w:r>
        <w:rPr>
          <w:rStyle w:val="ac"/>
          <w:rtl/>
        </w:rPr>
        <w:footnoteRef/>
      </w:r>
      <w:r>
        <w:rPr>
          <w:rtl/>
        </w:rPr>
        <w:t xml:space="preserve">וכן להדיא בדברי </w:t>
      </w:r>
      <w:r>
        <w:rPr>
          <w:b/>
          <w:bCs/>
          <w:rtl/>
        </w:rPr>
        <w:t>תלמידי ר' יונה</w:t>
      </w:r>
      <w:r>
        <w:rPr>
          <w:rtl/>
        </w:rPr>
        <w:t xml:space="preserve"> (הנ"ל), דסברת רש"י הוה סברא בפנ"ע [ולא משום שב ואל תעשה] 'שאין האיסור תלוי בה כלל'.</w:t>
      </w:r>
    </w:p>
  </w:footnote>
  <w:footnote w:id="3299">
    <w:p w14:paraId="01393C03" w14:textId="77777777" w:rsidR="006074A5" w:rsidRDefault="006074A5" w:rsidP="006074A5">
      <w:pPr>
        <w:pStyle w:val="Footnote"/>
        <w:bidi/>
      </w:pPr>
      <w:r>
        <w:rPr>
          <w:rStyle w:val="ac"/>
          <w:rtl/>
        </w:rPr>
        <w:footnoteRef/>
      </w:r>
      <w:r>
        <w:rPr>
          <w:rtl/>
        </w:rPr>
        <w:t>וה</w:t>
      </w:r>
      <w:r>
        <w:rPr>
          <w:b/>
          <w:bCs/>
          <w:rtl/>
        </w:rPr>
        <w:t>רמב"ם</w:t>
      </w:r>
      <w:r>
        <w:rPr>
          <w:rtl/>
        </w:rPr>
        <w:t xml:space="preserve"> כת' דהוה אזהרה לבי"ד שלא יענשו האונס [ומנאו ב</w:t>
      </w:r>
      <w:r>
        <w:rPr>
          <w:b/>
          <w:bCs/>
          <w:rtl/>
        </w:rPr>
        <w:t>סה"מ</w:t>
      </w:r>
      <w:r>
        <w:rPr>
          <w:rtl/>
        </w:rPr>
        <w:t xml:space="preserve"> ל"ת רצד]. [וב</w:t>
      </w:r>
      <w:r>
        <w:rPr>
          <w:b/>
          <w:bCs/>
          <w:rtl/>
        </w:rPr>
        <w:t>ס' החינוך</w:t>
      </w:r>
      <w:r>
        <w:rPr>
          <w:rtl/>
        </w:rPr>
        <w:t xml:space="preserve"> (תקנו) כתב דאין לוקין עליו, כיון דאפשר לעבור בלא מעשה]. וה</w:t>
      </w:r>
      <w:r>
        <w:rPr>
          <w:b/>
          <w:bCs/>
          <w:rtl/>
        </w:rPr>
        <w:t>רמב"ן</w:t>
      </w:r>
      <w:r>
        <w:rPr>
          <w:rtl/>
        </w:rPr>
        <w:t xml:space="preserve"> (סה"מ שורש ח, ול"ת רצד) חלק דהוה פטור ואינו אזהרה.</w:t>
      </w:r>
    </w:p>
  </w:footnote>
  <w:footnote w:id="3300">
    <w:p w14:paraId="0BBFEA1A" w14:textId="77777777" w:rsidR="006074A5" w:rsidRDefault="006074A5" w:rsidP="006074A5">
      <w:pPr>
        <w:pStyle w:val="Footnote"/>
        <w:bidi/>
      </w:pPr>
      <w:r>
        <w:rPr>
          <w:rStyle w:val="ac"/>
          <w:rtl/>
        </w:rPr>
        <w:footnoteRef/>
      </w:r>
      <w:r>
        <w:rPr>
          <w:rtl/>
        </w:rPr>
        <w:t>ומסתבר בשאר עבירות בפרהסיא או בשעת גזירה, דחייב משום מצוות קידוש ד', אבל לא יחשב שעבר את גוף האיסור.</w:t>
      </w:r>
    </w:p>
  </w:footnote>
  <w:footnote w:id="3301">
    <w:p w14:paraId="5C84A4F6" w14:textId="77777777" w:rsidR="006074A5" w:rsidRDefault="006074A5" w:rsidP="006074A5">
      <w:pPr>
        <w:pStyle w:val="Footnote"/>
        <w:bidi/>
      </w:pPr>
      <w:r>
        <w:rPr>
          <w:rStyle w:val="ac"/>
          <w:rtl/>
        </w:rPr>
        <w:footnoteRef/>
      </w:r>
      <w:r>
        <w:rPr>
          <w:rtl/>
        </w:rPr>
        <w:t>ובגמ' (נדרים כז.) ילפי' מהך קרא לענין אונס בתנאים. וה</w:t>
      </w:r>
      <w:r>
        <w:rPr>
          <w:b/>
          <w:bCs/>
          <w:rtl/>
        </w:rPr>
        <w:t>חמד"ש</w:t>
      </w:r>
      <w:r>
        <w:rPr>
          <w:rtl/>
        </w:rPr>
        <w:t xml:space="preserve"> (לח) ביאר דילפי' דאונס אינו מיוחס עליו [לגמרי]. [ויש להאריך בזה].</w:t>
      </w:r>
    </w:p>
  </w:footnote>
  <w:footnote w:id="3302">
    <w:p w14:paraId="67B95B93" w14:textId="77777777" w:rsidR="006074A5" w:rsidRDefault="006074A5" w:rsidP="006074A5">
      <w:pPr>
        <w:pStyle w:val="Footnote"/>
        <w:bidi/>
      </w:pPr>
      <w:r>
        <w:rPr>
          <w:rStyle w:val="ac"/>
          <w:rtl/>
        </w:rPr>
        <w:footnoteRef/>
      </w:r>
      <w:r>
        <w:rPr>
          <w:rtl/>
        </w:rPr>
        <w:t>ולשון ה</w:t>
      </w:r>
      <w:r>
        <w:rPr>
          <w:b/>
          <w:bCs/>
          <w:rtl/>
        </w:rPr>
        <w:t xml:space="preserve">רשב"א </w:t>
      </w:r>
      <w:r>
        <w:rPr>
          <w:rtl/>
        </w:rPr>
        <w:t>שלא עשה זה אלא מחמת האונס, ואילו אתה מסלק האונס מעליו אינו עושה.</w:t>
      </w:r>
    </w:p>
  </w:footnote>
  <w:footnote w:id="3303">
    <w:p w14:paraId="4CFB15A1" w14:textId="77777777" w:rsidR="006074A5" w:rsidRDefault="006074A5" w:rsidP="006074A5">
      <w:pPr>
        <w:pStyle w:val="Footnote"/>
        <w:bidi/>
      </w:pPr>
      <w:r>
        <w:rPr>
          <w:rStyle w:val="ac"/>
          <w:rtl/>
        </w:rPr>
        <w:footnoteRef/>
      </w:r>
      <w:r>
        <w:rPr>
          <w:rtl/>
        </w:rPr>
        <w:t>ו</w:t>
      </w:r>
      <w:r>
        <w:rPr>
          <w:b/>
          <w:bCs/>
          <w:rtl/>
        </w:rPr>
        <w:t>תוס</w:t>
      </w:r>
      <w:r>
        <w:rPr>
          <w:rtl/>
        </w:rPr>
        <w:t>' (ב"ק לב. ד"ה איהו) כת' דרחמנא אחשביה להנאה מעשה, ומש"ה חייבת חטאת ומלקות [ולא אמרי' דהוה לאו שאין בו מעשה].</w:t>
      </w:r>
    </w:p>
  </w:footnote>
  <w:footnote w:id="3304">
    <w:p w14:paraId="5779ABA9" w14:textId="77777777" w:rsidR="006074A5" w:rsidRDefault="006074A5" w:rsidP="006074A5">
      <w:pPr>
        <w:pStyle w:val="Footnote"/>
        <w:bidi/>
      </w:pPr>
      <w:r>
        <w:rPr>
          <w:rStyle w:val="ac"/>
          <w:rtl/>
        </w:rPr>
        <w:footnoteRef/>
      </w:r>
      <w:r>
        <w:rPr>
          <w:rtl/>
        </w:rPr>
        <w:t>[ואפשר דמהני דעת בתחילת המעשה לכל התוצאות].</w:t>
      </w:r>
    </w:p>
  </w:footnote>
  <w:footnote w:id="3305">
    <w:p w14:paraId="71BB5AFE" w14:textId="77777777" w:rsidR="006074A5" w:rsidRDefault="006074A5" w:rsidP="006074A5">
      <w:pPr>
        <w:pStyle w:val="Footnote"/>
        <w:bidi/>
      </w:pPr>
      <w:r>
        <w:rPr>
          <w:rStyle w:val="ac"/>
          <w:rtl/>
        </w:rPr>
        <w:footnoteRef/>
      </w:r>
      <w:r>
        <w:rPr>
          <w:rtl/>
        </w:rPr>
        <w:t>אבל ברוח שאינו מצויה חייב רק בנזק. וה</w:t>
      </w:r>
      <w:r>
        <w:rPr>
          <w:b/>
          <w:bCs/>
          <w:rtl/>
        </w:rPr>
        <w:t>ריטב"א</w:t>
      </w:r>
      <w:r>
        <w:rPr>
          <w:rtl/>
        </w:rPr>
        <w:t xml:space="preserve"> כת' בשם הרמב"ן אפי' באונס גדול. ודעת </w:t>
      </w:r>
      <w:r>
        <w:rPr>
          <w:b/>
          <w:bCs/>
          <w:rtl/>
        </w:rPr>
        <w:t>תוס</w:t>
      </w:r>
      <w:r>
        <w:rPr>
          <w:rtl/>
        </w:rPr>
        <w:t>' (ב"ק כז: וכ"מ) דרק אונס דכעין גניבה.</w:t>
      </w:r>
    </w:p>
  </w:footnote>
  <w:footnote w:id="3306">
    <w:p w14:paraId="3B9EB1FE" w14:textId="77777777" w:rsidR="006074A5" w:rsidRDefault="006074A5" w:rsidP="006074A5">
      <w:pPr>
        <w:pStyle w:val="Footnote"/>
        <w:bidi/>
      </w:pPr>
      <w:r>
        <w:rPr>
          <w:rStyle w:val="ac"/>
          <w:rtl/>
        </w:rPr>
        <w:footnoteRef/>
      </w:r>
      <w:r>
        <w:rPr>
          <w:rtl/>
        </w:rPr>
        <w:t>וב</w:t>
      </w:r>
      <w:r>
        <w:rPr>
          <w:b/>
          <w:bCs/>
          <w:rtl/>
        </w:rPr>
        <w:t>שו"ת מהר"ם לובלין</w:t>
      </w:r>
      <w:r>
        <w:rPr>
          <w:rtl/>
        </w:rPr>
        <w:t xml:space="preserve"> (קטז) כת' דהוה ביאה, אלא דבזונה בעינן 'איש'.</w:t>
      </w:r>
    </w:p>
  </w:footnote>
  <w:footnote w:id="3307">
    <w:p w14:paraId="521F3085" w14:textId="77777777" w:rsidR="006074A5" w:rsidRDefault="006074A5" w:rsidP="006074A5">
      <w:pPr>
        <w:pStyle w:val="Footnote"/>
        <w:bidi/>
      </w:pPr>
      <w:r>
        <w:rPr>
          <w:rStyle w:val="ac"/>
          <w:rtl/>
        </w:rPr>
        <w:footnoteRef/>
      </w:r>
      <w:r>
        <w:rPr>
          <w:rtl/>
        </w:rPr>
        <w:t>ואף לענין בעולה לכה"ג תליא בשם זנות [ונחשב רק כמוכת עץ].</w:t>
      </w:r>
    </w:p>
  </w:footnote>
  <w:footnote w:id="3308">
    <w:p w14:paraId="11953097" w14:textId="77777777" w:rsidR="006074A5" w:rsidRDefault="006074A5" w:rsidP="006074A5">
      <w:pPr>
        <w:pStyle w:val="Footnote"/>
        <w:bidi/>
      </w:pPr>
      <w:r>
        <w:rPr>
          <w:rStyle w:val="ac"/>
          <w:rtl/>
        </w:rPr>
        <w:footnoteRef/>
      </w:r>
      <w:r>
        <w:rPr>
          <w:rtl/>
        </w:rPr>
        <w:t>והא דתקפתו יבמתו או עכו"ם מהני כוונת התוקף.</w:t>
      </w:r>
    </w:p>
  </w:footnote>
  <w:footnote w:id="3309">
    <w:p w14:paraId="2375D544" w14:textId="77777777" w:rsidR="006074A5" w:rsidRDefault="006074A5" w:rsidP="006074A5">
      <w:pPr>
        <w:pStyle w:val="Footnote"/>
        <w:bidi/>
      </w:pPr>
      <w:r>
        <w:rPr>
          <w:rStyle w:val="ac"/>
          <w:rtl/>
        </w:rPr>
        <w:footnoteRef/>
      </w:r>
      <w:r>
        <w:rPr>
          <w:rtl/>
        </w:rPr>
        <w:t>וי"ל דהיכא דבידו לטבול ולסלק ממנה שם נדה פשיטא דנחשב היתר לאחר מכאן. וקמ"ל דאף במה דתליא ביומי.</w:t>
      </w:r>
    </w:p>
    <w:p w14:paraId="7A836552" w14:textId="77777777" w:rsidR="006074A5" w:rsidRDefault="006074A5" w:rsidP="006074A5">
      <w:pPr>
        <w:pStyle w:val="Footnote"/>
        <w:bidi/>
      </w:pPr>
      <w:r>
        <w:rPr>
          <w:rtl/>
        </w:rPr>
        <w:tab/>
        <w:t>ועוד הביאו מדברי ה</w:t>
      </w:r>
      <w:r>
        <w:rPr>
          <w:b/>
          <w:bCs/>
          <w:rtl/>
        </w:rPr>
        <w:t>משנ"ל</w:t>
      </w:r>
      <w:r>
        <w:rPr>
          <w:rtl/>
        </w:rPr>
        <w:t xml:space="preserve"> (איסו"ב ט כט, הו' בפתח"ת קצ מג) דכשעברו ימי נדותה טומאתה הראשונה כבר פקעה, אלא שגזיה"כ היא דבעיא טבילה. ואם ראתה שוב הוה טומאה מחודשת. [ויש שפי' דפקע ממנה 'שם נדה', אלא דנשאר האיסור עד שתטבול ניחא טפי. ואפשר דתלי בתי' ה</w:t>
      </w:r>
      <w:r>
        <w:rPr>
          <w:b/>
          <w:bCs/>
          <w:rtl/>
        </w:rPr>
        <w:t>תוס'</w:t>
      </w:r>
      <w:r>
        <w:rPr>
          <w:rtl/>
        </w:rPr>
        <w:t xml:space="preserve"> (לעיל מז:)].</w:t>
      </w:r>
    </w:p>
  </w:footnote>
  <w:footnote w:id="3310">
    <w:p w14:paraId="1DD2EFE8"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בזה אף באשת איש, דמשמע (קידושין יג:) דמיתת הבעל הוה מתיר. ולא סגי בהא דליכא אישות.</w:t>
      </w:r>
    </w:p>
  </w:footnote>
  <w:footnote w:id="3311">
    <w:p w14:paraId="404A4729" w14:textId="77777777" w:rsidR="006074A5" w:rsidRDefault="006074A5" w:rsidP="006074A5">
      <w:pPr>
        <w:pStyle w:val="Footnote"/>
        <w:bidi/>
      </w:pPr>
      <w:r>
        <w:rPr>
          <w:rStyle w:val="ac"/>
          <w:rtl/>
        </w:rPr>
        <w:footnoteRef/>
      </w:r>
      <w:r>
        <w:rPr>
          <w:rtl/>
        </w:rPr>
        <w:t>וכן אשת אחיו שלא מעולמו לכאורה הוה רשות, ופטור מהמצוה.</w:t>
      </w:r>
    </w:p>
  </w:footnote>
  <w:footnote w:id="3312">
    <w:p w14:paraId="7C98CC5A" w14:textId="77777777" w:rsidR="006074A5" w:rsidRDefault="006074A5" w:rsidP="006074A5">
      <w:pPr>
        <w:pStyle w:val="Footnote"/>
        <w:bidi/>
      </w:pPr>
      <w:r>
        <w:rPr>
          <w:rStyle w:val="ac"/>
          <w:rtl/>
        </w:rPr>
        <w:footnoteRef/>
      </w:r>
      <w:r>
        <w:rPr>
          <w:rtl/>
        </w:rPr>
        <w:t>ויל"ד מחיים היכא דיש לו בנים, דעכשיו אינה עומדת ליבום. אבל אילו ימותו הבנים עומדת ליבום.</w:t>
      </w:r>
    </w:p>
  </w:footnote>
  <w:footnote w:id="3313">
    <w:p w14:paraId="0CE49E72" w14:textId="77777777" w:rsidR="006074A5" w:rsidRDefault="006074A5" w:rsidP="006074A5">
      <w:pPr>
        <w:pStyle w:val="Footnote"/>
        <w:bidi/>
      </w:pPr>
      <w:r>
        <w:rPr>
          <w:rStyle w:val="ac"/>
          <w:rtl/>
        </w:rPr>
        <w:footnoteRef/>
      </w:r>
      <w:r>
        <w:rPr>
          <w:rtl/>
        </w:rPr>
        <w:t>ומבואר דגדר האיסור קרובים אחר גירושין הוא במה שנאסר קודם, ולא פקע בגירושין. דאילו אמרי' דהאישות קיים לענין זה, א"כ יתחדש האיסור אחרי גירושין.</w:t>
      </w:r>
    </w:p>
  </w:footnote>
  <w:footnote w:id="3314">
    <w:p w14:paraId="399F37BB" w14:textId="77777777" w:rsidR="006074A5" w:rsidRDefault="006074A5" w:rsidP="006074A5">
      <w:pPr>
        <w:pStyle w:val="Footnote"/>
        <w:bidi/>
      </w:pPr>
      <w:r>
        <w:rPr>
          <w:rStyle w:val="ac"/>
          <w:rtl/>
        </w:rPr>
        <w:footnoteRef/>
      </w:r>
      <w:r>
        <w:rPr>
          <w:rtl/>
        </w:rPr>
        <w:t>וב</w:t>
      </w:r>
      <w:r>
        <w:rPr>
          <w:b/>
          <w:bCs/>
          <w:rtl/>
        </w:rPr>
        <w:t>משנת ר' אהרן</w:t>
      </w:r>
      <w:r>
        <w:rPr>
          <w:rtl/>
        </w:rPr>
        <w:t xml:space="preserve"> (א ב) האריך בזה, ודן דמצוותו בכך אינו חידוש של דחייה, וכוונת התוס' כאן דכיון דהותר אשת אח מאב ומאם [ע"פ הגמ' לקמן נה.], וכלפי הדין אשת אח מאם לא שייך לומר מצוותו בכך [אלא הוה גדר דחייה]. [וה</w:t>
      </w:r>
      <w:r>
        <w:rPr>
          <w:b/>
          <w:bCs/>
          <w:rtl/>
        </w:rPr>
        <w:t>אחרונים</w:t>
      </w:r>
      <w:r>
        <w:rPr>
          <w:rtl/>
        </w:rPr>
        <w:t xml:space="preserve"> האריכו האם נחשב כחד ערוה מאב ומאם, וע"ע יז:].</w:t>
      </w:r>
    </w:p>
  </w:footnote>
  <w:footnote w:id="3315">
    <w:p w14:paraId="2C29E33E" w14:textId="77777777" w:rsidR="006074A5" w:rsidRDefault="006074A5" w:rsidP="006074A5">
      <w:pPr>
        <w:pStyle w:val="Footnote"/>
        <w:bidi/>
      </w:pPr>
      <w:r>
        <w:rPr>
          <w:rStyle w:val="ac"/>
          <w:rtl/>
        </w:rPr>
        <w:footnoteRef/>
      </w:r>
      <w:r>
        <w:rPr>
          <w:rtl/>
        </w:rPr>
        <w:t>וה</w:t>
      </w:r>
      <w:r>
        <w:rPr>
          <w:b/>
          <w:bCs/>
          <w:rtl/>
        </w:rPr>
        <w:t>או"ש</w:t>
      </w:r>
      <w:r>
        <w:rPr>
          <w:rtl/>
        </w:rPr>
        <w:t xml:space="preserve"> (סוף קו' זיקה, הו' לעיל יג: ויז:) כתב דגדר מצוותו בכך דהאיסור אשת אח היא גורמת הדין יבום [דהא לבי"ש כשאין איסור אשת אח אין דין יבום]. וצ"ל דהיינו אחר מסקנת הגמ' דידן [דאת"ל דהותר לגמרי' אין מקום כלל לזה].</w:t>
      </w:r>
    </w:p>
  </w:footnote>
  <w:footnote w:id="3316">
    <w:p w14:paraId="5DFF80FC" w14:textId="77777777" w:rsidR="006074A5" w:rsidRDefault="006074A5" w:rsidP="006074A5">
      <w:pPr>
        <w:pStyle w:val="Footnote"/>
        <w:bidi/>
      </w:pPr>
      <w:r>
        <w:rPr>
          <w:rStyle w:val="ac"/>
          <w:rtl/>
        </w:rPr>
        <w:footnoteRef/>
      </w:r>
      <w:r>
        <w:rPr>
          <w:rtl/>
        </w:rPr>
        <w:t>וה</w:t>
      </w:r>
      <w:r>
        <w:rPr>
          <w:b/>
          <w:bCs/>
          <w:rtl/>
        </w:rPr>
        <w:t>נוב"י</w:t>
      </w:r>
      <w:r>
        <w:rPr>
          <w:rtl/>
        </w:rPr>
        <w:t xml:space="preserve"> (ת כג) כתב דאין פרוזדור לבהמה [כדאמרי' חולין סח.] ולכן ל"צ לכתוב 'מקור', אבל באשה בפרוזדור אינה העראה כלל.</w:t>
      </w:r>
    </w:p>
  </w:footnote>
  <w:footnote w:id="3317">
    <w:p w14:paraId="2E043DFB" w14:textId="77777777" w:rsidR="006074A5" w:rsidRDefault="006074A5" w:rsidP="006074A5">
      <w:pPr>
        <w:pStyle w:val="Footnote"/>
        <w:bidi/>
      </w:pPr>
      <w:r>
        <w:rPr>
          <w:rStyle w:val="ac"/>
          <w:rtl/>
        </w:rPr>
        <w:footnoteRef/>
      </w:r>
      <w:r>
        <w:rPr>
          <w:rtl/>
        </w:rPr>
        <w:t>ונפק"מ לדין יהרג ואל יעבור. וה</w:t>
      </w:r>
      <w:r>
        <w:rPr>
          <w:b/>
          <w:bCs/>
          <w:rtl/>
        </w:rPr>
        <w:t>ריטב"א</w:t>
      </w:r>
      <w:r>
        <w:rPr>
          <w:rtl/>
        </w:rPr>
        <w:t xml:space="preserve"> (פסחים כה.) הביא בשם ה</w:t>
      </w:r>
      <w:r>
        <w:rPr>
          <w:b/>
          <w:bCs/>
          <w:rtl/>
        </w:rPr>
        <w:t>רא"ה</w:t>
      </w:r>
      <w:r>
        <w:rPr>
          <w:rtl/>
        </w:rPr>
        <w:t xml:space="preserve"> דכיון דליכא תקלת אחרים לא אמרי' יהרג ואל יעבור. [וכת' דבנדה יהרג ואל יעבור, אך בהמשך דבריו כת' דדוקא היכא דיש פגם ולד. וצ"ע].</w:t>
      </w:r>
    </w:p>
  </w:footnote>
  <w:footnote w:id="3318">
    <w:p w14:paraId="73CA9861" w14:textId="77777777" w:rsidR="006074A5" w:rsidRDefault="006074A5" w:rsidP="006074A5">
      <w:pPr>
        <w:pStyle w:val="Footnote"/>
        <w:bidi/>
      </w:pPr>
      <w:r>
        <w:rPr>
          <w:rStyle w:val="ac"/>
          <w:rtl/>
        </w:rPr>
        <w:footnoteRef/>
      </w:r>
      <w:r>
        <w:rPr>
          <w:rtl/>
        </w:rPr>
        <w:t>ולס"ד דהגמ' (קידושין סז: סח.) הוה בכלל ההיקש דר' יונה, והגמ' מק' א"כ אמאי תפסי בה קידושין. אך י"ל דלמסקנא [דתפסי בה קידושין] הוה בגדר איסור ביאה לחוד. [וע' מש"כ בזה לעיל ב.].</w:t>
      </w:r>
    </w:p>
  </w:footnote>
  <w:footnote w:id="3319">
    <w:p w14:paraId="3E44A50B" w14:textId="77777777" w:rsidR="006074A5" w:rsidRDefault="006074A5" w:rsidP="006074A5">
      <w:pPr>
        <w:pStyle w:val="Footnote"/>
        <w:bidi/>
      </w:pPr>
      <w:r>
        <w:rPr>
          <w:rStyle w:val="ac"/>
          <w:rtl/>
        </w:rPr>
        <w:footnoteRef/>
      </w:r>
      <w:r>
        <w:rPr>
          <w:rtl/>
        </w:rPr>
        <w:t>וה</w:t>
      </w:r>
      <w:r>
        <w:rPr>
          <w:b/>
          <w:bCs/>
          <w:rtl/>
        </w:rPr>
        <w:t>ב"י</w:t>
      </w:r>
      <w:r>
        <w:rPr>
          <w:rtl/>
        </w:rPr>
        <w:t xml:space="preserve"> (יו"ד קצה, וש"ך וגר"א שם כ) נקט דאפי' קירבא לאשתו נדה הוה בכלל עריות. [וה</w:t>
      </w:r>
      <w:r>
        <w:rPr>
          <w:b/>
          <w:bCs/>
          <w:rtl/>
        </w:rPr>
        <w:t>מנח"ח</w:t>
      </w:r>
      <w:r>
        <w:rPr>
          <w:rtl/>
        </w:rPr>
        <w:t xml:space="preserve"> (רצו) דייק מדברי הרמב"ם בכ"מ דהוה בכלל עריות]. אבל ב</w:t>
      </w:r>
      <w:r>
        <w:rPr>
          <w:b/>
          <w:bCs/>
          <w:rtl/>
        </w:rPr>
        <w:t>שו"ת פנ"י</w:t>
      </w:r>
      <w:r>
        <w:rPr>
          <w:rtl/>
        </w:rPr>
        <w:t xml:space="preserve"> (ב אה"ע מד, וע' דרכי תשובה קנז ו) חלק. וכן ב</w:t>
      </w:r>
      <w:r>
        <w:rPr>
          <w:b/>
          <w:bCs/>
          <w:rtl/>
        </w:rPr>
        <w:t>שו"ת תורה לשמה</w:t>
      </w:r>
      <w:r>
        <w:rPr>
          <w:rtl/>
        </w:rPr>
        <w:t xml:space="preserve"> (לבן איש חי, תצד) פקפק בזה.</w:t>
      </w:r>
    </w:p>
  </w:footnote>
  <w:footnote w:id="3320">
    <w:p w14:paraId="6A7C6EBC" w14:textId="77777777" w:rsidR="006074A5" w:rsidRDefault="006074A5" w:rsidP="006074A5">
      <w:pPr>
        <w:pStyle w:val="Footnote"/>
        <w:bidi/>
      </w:pPr>
      <w:r>
        <w:rPr>
          <w:rStyle w:val="ac"/>
          <w:rtl/>
        </w:rPr>
        <w:footnoteRef/>
      </w:r>
      <w:r>
        <w:rPr>
          <w:rtl/>
        </w:rPr>
        <w:t>וצ"ב דודאי חייב לטמאות ע"פ חזקה ורוב. [ורק לענין להתיר איסור כהונה ס"ד לאסור].</w:t>
      </w:r>
    </w:p>
  </w:footnote>
  <w:footnote w:id="3321">
    <w:p w14:paraId="42B11709" w14:textId="77777777" w:rsidR="006074A5" w:rsidRDefault="006074A5" w:rsidP="006074A5">
      <w:pPr>
        <w:pStyle w:val="Footnote"/>
        <w:bidi/>
      </w:pPr>
      <w:r>
        <w:rPr>
          <w:rStyle w:val="ac"/>
          <w:rtl/>
        </w:rPr>
        <w:footnoteRef/>
      </w:r>
      <w:r>
        <w:rPr>
          <w:rtl/>
        </w:rPr>
        <w:t>[והביא כן מהגמ' (בכורות מז.) דלחד מ"ד נחשב הולד לוי].</w:t>
      </w:r>
    </w:p>
  </w:footnote>
  <w:footnote w:id="3322">
    <w:p w14:paraId="1ECD8DF6" w14:textId="77777777" w:rsidR="006074A5" w:rsidRDefault="006074A5" w:rsidP="006074A5">
      <w:pPr>
        <w:pStyle w:val="Footnote"/>
        <w:bidi/>
      </w:pPr>
      <w:r>
        <w:rPr>
          <w:rStyle w:val="ac"/>
          <w:rtl/>
        </w:rPr>
        <w:footnoteRef/>
      </w:r>
      <w:r>
        <w:rPr>
          <w:rtl/>
        </w:rPr>
        <w:t>אך בסוגיין יש משפחת אב, אלא דאינם גואלים בפועל. והוא תוספת חידוש דלא מצאנו.</w:t>
      </w:r>
    </w:p>
  </w:footnote>
  <w:footnote w:id="3323">
    <w:p w14:paraId="4ECBDA1A" w14:textId="77777777" w:rsidR="006074A5" w:rsidRDefault="006074A5" w:rsidP="006074A5">
      <w:pPr>
        <w:pStyle w:val="Footnote"/>
        <w:bidi/>
      </w:pPr>
      <w:r>
        <w:rPr>
          <w:rStyle w:val="ac"/>
          <w:rtl/>
        </w:rPr>
        <w:footnoteRef/>
      </w:r>
      <w:r>
        <w:rPr>
          <w:rtl/>
        </w:rPr>
        <w:t>ודלא כ</w:t>
      </w:r>
      <w:r>
        <w:rPr>
          <w:b/>
          <w:bCs/>
          <w:rtl/>
        </w:rPr>
        <w:t>גר"ח</w:t>
      </w:r>
      <w:r>
        <w:rPr>
          <w:rtl/>
        </w:rPr>
        <w:t xml:space="preserve"> (איסו"ב יז) שהאריך דמשפחת אם אינה קרויה משפחה כלל. [ואינה יורשת אותו כלל].</w:t>
      </w:r>
    </w:p>
  </w:footnote>
  <w:footnote w:id="3324">
    <w:p w14:paraId="7D7AF913" w14:textId="77777777" w:rsidR="006074A5" w:rsidRDefault="006074A5" w:rsidP="006074A5">
      <w:pPr>
        <w:pStyle w:val="Footnote"/>
        <w:bidi/>
      </w:pPr>
      <w:r>
        <w:rPr>
          <w:rStyle w:val="ac"/>
          <w:rtl/>
        </w:rPr>
        <w:footnoteRef/>
      </w:r>
      <w:r>
        <w:rPr>
          <w:rtl/>
        </w:rPr>
        <w:t>וכמ"ש ה</w:t>
      </w:r>
      <w:r>
        <w:rPr>
          <w:b/>
          <w:bCs/>
          <w:rtl/>
        </w:rPr>
        <w:t>תה"ד</w:t>
      </w:r>
      <w:r>
        <w:rPr>
          <w:rtl/>
        </w:rPr>
        <w:t xml:space="preserve"> (קב) דאשת אליהו מותרת דדרשי' אשת איש ולא אשת מלאך.</w:t>
      </w:r>
    </w:p>
  </w:footnote>
  <w:footnote w:id="3325">
    <w:p w14:paraId="71B241BD" w14:textId="77777777" w:rsidR="006074A5" w:rsidRDefault="006074A5" w:rsidP="006074A5">
      <w:pPr>
        <w:pStyle w:val="Footnote"/>
        <w:bidi/>
      </w:pPr>
      <w:r>
        <w:rPr>
          <w:rStyle w:val="ac"/>
          <w:rtl/>
        </w:rPr>
        <w:footnoteRef/>
      </w:r>
      <w:r>
        <w:rPr>
          <w:rtl/>
        </w:rPr>
        <w:t>[וכן הביאו ה</w:t>
      </w:r>
      <w:r>
        <w:rPr>
          <w:b/>
          <w:bCs/>
          <w:rtl/>
        </w:rPr>
        <w:t>אחרונים</w:t>
      </w:r>
      <w:r>
        <w:rPr>
          <w:rtl/>
        </w:rPr>
        <w:t xml:space="preserve"> מהגמ' (קידושין יד.)]. והביא עוד מדברי ה</w:t>
      </w:r>
      <w:r>
        <w:rPr>
          <w:b/>
          <w:bCs/>
          <w:rtl/>
        </w:rPr>
        <w:t>רמ"ה</w:t>
      </w:r>
      <w:r>
        <w:rPr>
          <w:rtl/>
        </w:rPr>
        <w:t xml:space="preserve"> (הו' בטור רסז) גבי גר שמת, והניח עבדים קטנים וגדלו (ע' גיטין לט), דההיתר הוה בשעת מיתה ממש.</w:t>
      </w:r>
    </w:p>
  </w:footnote>
  <w:footnote w:id="3326">
    <w:p w14:paraId="5E90E8F8" w14:textId="77777777" w:rsidR="006074A5" w:rsidRDefault="006074A5" w:rsidP="006074A5">
      <w:pPr>
        <w:pStyle w:val="Footnote"/>
        <w:bidi/>
      </w:pPr>
      <w:r>
        <w:rPr>
          <w:rStyle w:val="ac"/>
          <w:rtl/>
        </w:rPr>
        <w:footnoteRef/>
      </w:r>
      <w:r>
        <w:rPr>
          <w:rtl/>
        </w:rPr>
        <w:t>וה</w:t>
      </w:r>
      <w:r>
        <w:rPr>
          <w:b/>
          <w:bCs/>
          <w:rtl/>
        </w:rPr>
        <w:t>אחרונים</w:t>
      </w:r>
      <w:r>
        <w:rPr>
          <w:rtl/>
        </w:rPr>
        <w:t xml:space="preserve"> כתבו דהיינו הגדר שאר, וי"ל דגדר הקנין פקע, דקונה את עצמה במיתה.</w:t>
      </w:r>
    </w:p>
  </w:footnote>
  <w:footnote w:id="3327">
    <w:p w14:paraId="78464EED" w14:textId="77777777" w:rsidR="006074A5" w:rsidRDefault="006074A5" w:rsidP="006074A5">
      <w:pPr>
        <w:pStyle w:val="Footnote"/>
        <w:bidi/>
      </w:pPr>
      <w:r>
        <w:rPr>
          <w:rStyle w:val="ac"/>
          <w:rtl/>
        </w:rPr>
        <w:footnoteRef/>
      </w:r>
      <w:r>
        <w:rPr>
          <w:rtl/>
        </w:rPr>
        <w:t>ומ"מ אסורה אף בקרובים שנולדים אחרי מיתה וגירושין.</w:t>
      </w:r>
    </w:p>
  </w:footnote>
  <w:footnote w:id="3328">
    <w:p w14:paraId="3C4EDC53" w14:textId="77777777" w:rsidR="006074A5" w:rsidRDefault="006074A5" w:rsidP="006074A5">
      <w:pPr>
        <w:pStyle w:val="Footnote"/>
        <w:bidi/>
      </w:pPr>
      <w:r>
        <w:rPr>
          <w:rStyle w:val="ac"/>
          <w:rtl/>
        </w:rPr>
        <w:footnoteRef/>
      </w:r>
      <w:r>
        <w:rPr>
          <w:rtl/>
        </w:rPr>
        <w:t>וכ"כ ה</w:t>
      </w:r>
      <w:r>
        <w:rPr>
          <w:b/>
          <w:bCs/>
          <w:rtl/>
        </w:rPr>
        <w:t>רמב"ם</w:t>
      </w:r>
      <w:r>
        <w:rPr>
          <w:rtl/>
        </w:rPr>
        <w:t xml:space="preserve"> (פיה"מ מכות ג, ובהקדמה למנין המצוות) דלא ענש כרת אלא באזהרה מפורשת. וה</w:t>
      </w:r>
      <w:r>
        <w:rPr>
          <w:b/>
          <w:bCs/>
          <w:rtl/>
        </w:rPr>
        <w:t>לח"מ</w:t>
      </w:r>
      <w:r>
        <w:rPr>
          <w:rtl/>
        </w:rPr>
        <w:t xml:space="preserve"> (סנהד' יח ב) תמה בזה. וע"ע קה"י (מכות יב).</w:t>
      </w:r>
    </w:p>
  </w:footnote>
  <w:footnote w:id="3329">
    <w:p w14:paraId="38672A4E" w14:textId="77777777" w:rsidR="006074A5" w:rsidRDefault="006074A5" w:rsidP="006074A5">
      <w:pPr>
        <w:pStyle w:val="Footnote"/>
        <w:bidi/>
      </w:pPr>
      <w:r>
        <w:rPr>
          <w:rStyle w:val="ac"/>
          <w:rtl/>
        </w:rPr>
        <w:footnoteRef/>
      </w:r>
      <w:r>
        <w:rPr>
          <w:rtl/>
        </w:rPr>
        <w:t>וכ"מ ב</w:t>
      </w:r>
      <w:r>
        <w:rPr>
          <w:b/>
          <w:bCs/>
          <w:rtl/>
        </w:rPr>
        <w:t>רש"י</w:t>
      </w:r>
      <w:r>
        <w:rPr>
          <w:rtl/>
        </w:rPr>
        <w:t xml:space="preserve"> (זבחים קו., וכן רש"י כריתות ב. וג.).</w:t>
      </w:r>
    </w:p>
  </w:footnote>
  <w:footnote w:id="3330">
    <w:p w14:paraId="68CEB71E" w14:textId="77777777" w:rsidR="006074A5" w:rsidRDefault="006074A5" w:rsidP="006074A5">
      <w:pPr>
        <w:pStyle w:val="Footnote"/>
        <w:bidi/>
      </w:pPr>
      <w:r>
        <w:rPr>
          <w:rStyle w:val="ac"/>
          <w:rtl/>
        </w:rPr>
        <w:footnoteRef/>
      </w:r>
      <w:r>
        <w:rPr>
          <w:rtl/>
        </w:rPr>
        <w:t>ע' תוס' (לעיל ט.), ושיטמ"ק כריתות ב. בהשמטה.</w:t>
      </w:r>
    </w:p>
  </w:footnote>
  <w:footnote w:id="3331">
    <w:p w14:paraId="5D53F05C" w14:textId="77777777" w:rsidR="006074A5" w:rsidRDefault="006074A5" w:rsidP="006074A5">
      <w:pPr>
        <w:pStyle w:val="Footnote"/>
        <w:bidi/>
      </w:pPr>
      <w:r>
        <w:rPr>
          <w:rStyle w:val="ac"/>
          <w:rtl/>
        </w:rPr>
        <w:footnoteRef/>
      </w:r>
      <w:r>
        <w:rPr>
          <w:rtl/>
        </w:rPr>
        <w:t>וכן ה</w:t>
      </w:r>
      <w:r>
        <w:rPr>
          <w:b/>
          <w:bCs/>
          <w:rtl/>
        </w:rPr>
        <w:t>רמב"ן</w:t>
      </w:r>
      <w:r>
        <w:rPr>
          <w:rtl/>
        </w:rPr>
        <w:t xml:space="preserve"> (עה"ת ויקרא יח כט) כתב דדוקא גבי עריות דכתיב בהו ערירי, יש כרת לזרעם. ואפשר דהוקשו כל הערית אהדדי. אבל שאר חייבי כריתות כגון חלב ודם אין כרת לזרעם. [וע"ע </w:t>
      </w:r>
      <w:r>
        <w:rPr>
          <w:b/>
          <w:bCs/>
          <w:rtl/>
        </w:rPr>
        <w:t>יפ"ע</w:t>
      </w:r>
      <w:r>
        <w:rPr>
          <w:rtl/>
        </w:rPr>
        <w:t xml:space="preserve"> בדעת ה</w:t>
      </w:r>
      <w:r>
        <w:rPr>
          <w:b/>
          <w:bCs/>
          <w:rtl/>
        </w:rPr>
        <w:t>ירושלמי</w:t>
      </w:r>
      <w:r>
        <w:rPr>
          <w:rtl/>
        </w:rPr>
        <w:t>].</w:t>
      </w:r>
    </w:p>
  </w:footnote>
  <w:footnote w:id="3332">
    <w:p w14:paraId="7838D9ED" w14:textId="77777777" w:rsidR="006074A5" w:rsidRDefault="006074A5" w:rsidP="006074A5">
      <w:pPr>
        <w:pStyle w:val="Footnote"/>
        <w:bidi/>
      </w:pPr>
      <w:r>
        <w:rPr>
          <w:rStyle w:val="ac"/>
          <w:rtl/>
        </w:rPr>
        <w:footnoteRef/>
      </w:r>
      <w:r>
        <w:rPr>
          <w:rtl/>
        </w:rPr>
        <w:t>ויל"ד אי עכ"פ הוה איסור מדאורייתא [דלאיסור לא הוציאו מכלל שאר דיני שפחה ואישות].</w:t>
      </w:r>
    </w:p>
  </w:footnote>
  <w:footnote w:id="3333">
    <w:p w14:paraId="380D5781" w14:textId="77777777" w:rsidR="006074A5" w:rsidRDefault="006074A5" w:rsidP="006074A5">
      <w:pPr>
        <w:pStyle w:val="Footnote"/>
        <w:bidi/>
      </w:pPr>
      <w:r>
        <w:rPr>
          <w:rStyle w:val="ac"/>
          <w:rtl/>
        </w:rPr>
        <w:footnoteRef/>
      </w:r>
      <w:r>
        <w:rPr>
          <w:rtl/>
        </w:rPr>
        <w:t>מלבד האשם, ומלקות דידה. והא דאיתא בכריתות דכשהוא אינו בקרבן היא פטורה ממלקות, היינו מלקות דשפחה חרופה, אבל לוקה ככל שפחה [אא"כ הוא ממזר]. והגמ' לא נחית לפרש, דפשיטא הוא.</w:t>
      </w:r>
    </w:p>
    <w:p w14:paraId="72E2B3D2" w14:textId="77777777" w:rsidR="006074A5" w:rsidRDefault="006074A5" w:rsidP="006074A5">
      <w:pPr>
        <w:pStyle w:val="Footnote"/>
        <w:bidi/>
      </w:pPr>
      <w:r>
        <w:rPr>
          <w:rtl/>
        </w:rPr>
        <w:tab/>
        <w:t>וה</w:t>
      </w:r>
      <w:r>
        <w:rPr>
          <w:b/>
          <w:bCs/>
          <w:rtl/>
        </w:rPr>
        <w:t>ערול"נ</w:t>
      </w:r>
      <w:r>
        <w:rPr>
          <w:rtl/>
        </w:rPr>
        <w:t xml:space="preserve"> (בע"ב וכריתות ט.) כת' [בדעת רש"י בע"ב, ורש"י גיטין מג: וכריתות ט.) דלוקה על ההעראה משום לא יהיה קדש, ודוקא בגמר ביאה גלי דחייב אשם ולא מלקות. ויש שדייקו כן מדברי התו"י (בסוגיין).</w:t>
      </w:r>
    </w:p>
  </w:footnote>
  <w:footnote w:id="3334">
    <w:p w14:paraId="7E1975D2" w14:textId="77777777" w:rsidR="006074A5" w:rsidRDefault="006074A5" w:rsidP="006074A5">
      <w:pPr>
        <w:pStyle w:val="Footnote"/>
        <w:bidi/>
      </w:pPr>
      <w:r>
        <w:rPr>
          <w:rStyle w:val="ac"/>
          <w:rtl/>
        </w:rPr>
        <w:footnoteRef/>
      </w:r>
      <w:r>
        <w:rPr>
          <w:rtl/>
        </w:rPr>
        <w:t>ויל"ד למ"ד דאיירי בחצי שפחה דהוה כעין חצי שיעור.</w:t>
      </w:r>
    </w:p>
  </w:footnote>
  <w:footnote w:id="3335">
    <w:p w14:paraId="31CA0748" w14:textId="77777777" w:rsidR="006074A5" w:rsidRDefault="006074A5" w:rsidP="006074A5">
      <w:pPr>
        <w:pStyle w:val="Footnote"/>
        <w:bidi/>
      </w:pPr>
      <w:r>
        <w:rPr>
          <w:rStyle w:val="ac"/>
          <w:rtl/>
        </w:rPr>
        <w:footnoteRef/>
      </w:r>
      <w:r>
        <w:rPr>
          <w:rtl/>
        </w:rPr>
        <w:t>וה</w:t>
      </w:r>
      <w:r>
        <w:rPr>
          <w:b/>
          <w:bCs/>
          <w:rtl/>
        </w:rPr>
        <w:t>רש"ש</w:t>
      </w:r>
      <w:r>
        <w:rPr>
          <w:rtl/>
        </w:rPr>
        <w:t xml:space="preserve"> דן האם לצד דהוה מקודשת [בחצי שפחה] יש לה כל דיני א"א, ליאסר ע"י זנות וכו'. [וע' בסוגיא גיטין מג].</w:t>
      </w:r>
    </w:p>
  </w:footnote>
  <w:footnote w:id="3336">
    <w:p w14:paraId="2E8610BA" w14:textId="77777777" w:rsidR="006074A5" w:rsidRDefault="006074A5" w:rsidP="006074A5">
      <w:pPr>
        <w:pStyle w:val="Footnote"/>
        <w:bidi/>
      </w:pPr>
      <w:r>
        <w:rPr>
          <w:rStyle w:val="ac"/>
          <w:rtl/>
        </w:rPr>
        <w:footnoteRef/>
      </w:r>
      <w:r>
        <w:rPr>
          <w:rtl/>
        </w:rPr>
        <w:t>וה</w:t>
      </w:r>
      <w:r>
        <w:rPr>
          <w:b/>
          <w:bCs/>
          <w:rtl/>
        </w:rPr>
        <w:t>או"ז</w:t>
      </w:r>
      <w:r>
        <w:rPr>
          <w:rtl/>
        </w:rPr>
        <w:t xml:space="preserve"> (תרנ) הביא ד</w:t>
      </w:r>
      <w:r>
        <w:rPr>
          <w:b/>
          <w:bCs/>
          <w:rtl/>
        </w:rPr>
        <w:t>ר"ח</w:t>
      </w:r>
      <w:r>
        <w:rPr>
          <w:rtl/>
        </w:rPr>
        <w:t xml:space="preserve"> כתב דהוה מח' הסוגיות אי מהני העראה לקידושין.</w:t>
      </w:r>
    </w:p>
  </w:footnote>
  <w:footnote w:id="3337">
    <w:p w14:paraId="683C728E" w14:textId="77777777" w:rsidR="006074A5" w:rsidRDefault="006074A5" w:rsidP="006074A5">
      <w:pPr>
        <w:pStyle w:val="Footnote"/>
        <w:bidi/>
      </w:pPr>
      <w:r>
        <w:rPr>
          <w:rStyle w:val="ac"/>
          <w:rtl/>
        </w:rPr>
        <w:footnoteRef/>
      </w:r>
      <w:r>
        <w:rPr>
          <w:rtl/>
        </w:rPr>
        <w:t>[ותוס' קידושין הביאו כן בשם רשב"א. ואפשר דאף בתוס' דידן צריך לגרוס ר' שמשון].</w:t>
      </w:r>
    </w:p>
  </w:footnote>
  <w:footnote w:id="3338">
    <w:p w14:paraId="72039A42" w14:textId="77777777" w:rsidR="006074A5" w:rsidRDefault="006074A5" w:rsidP="006074A5">
      <w:pPr>
        <w:pStyle w:val="Footnote"/>
        <w:bidi/>
      </w:pPr>
      <w:r>
        <w:rPr>
          <w:rStyle w:val="ac"/>
          <w:rtl/>
        </w:rPr>
        <w:footnoteRef/>
      </w:r>
      <w:r>
        <w:rPr>
          <w:rtl/>
        </w:rPr>
        <w:t>וה</w:t>
      </w:r>
      <w:r>
        <w:rPr>
          <w:b/>
          <w:bCs/>
          <w:rtl/>
        </w:rPr>
        <w:t>אחרונים</w:t>
      </w:r>
      <w:r>
        <w:rPr>
          <w:rtl/>
        </w:rPr>
        <w:t xml:space="preserve"> דנו דבשעת קידושין לא ידעו העדים דהוה ביאה, וליכא עדים לקיומי. ואכ"מ.</w:t>
      </w:r>
    </w:p>
  </w:footnote>
  <w:footnote w:id="3339">
    <w:p w14:paraId="0F41CCAB" w14:textId="77777777" w:rsidR="006074A5" w:rsidRDefault="006074A5" w:rsidP="006074A5">
      <w:pPr>
        <w:pStyle w:val="Footnote"/>
        <w:bidi/>
      </w:pPr>
      <w:r>
        <w:rPr>
          <w:rStyle w:val="ac"/>
          <w:rtl/>
        </w:rPr>
        <w:footnoteRef/>
      </w:r>
      <w:r>
        <w:rPr>
          <w:rtl/>
        </w:rPr>
        <w:t>וכ"כ ה</w:t>
      </w:r>
      <w:r>
        <w:rPr>
          <w:b/>
          <w:bCs/>
          <w:rtl/>
        </w:rPr>
        <w:t>או"ז</w:t>
      </w:r>
      <w:r>
        <w:rPr>
          <w:rtl/>
        </w:rPr>
        <w:t xml:space="preserve"> דקרובים דבריהם. וכ"מ ב</w:t>
      </w:r>
      <w:r>
        <w:rPr>
          <w:b/>
          <w:bCs/>
          <w:rtl/>
        </w:rPr>
        <w:t>ריטב"א</w:t>
      </w:r>
      <w:r>
        <w:rPr>
          <w:rtl/>
        </w:rPr>
        <w:t xml:space="preserve"> ושא"ר דצירפו ב' התי'.</w:t>
      </w:r>
    </w:p>
  </w:footnote>
  <w:footnote w:id="3340">
    <w:p w14:paraId="6A5564CE" w14:textId="77777777" w:rsidR="006074A5" w:rsidRDefault="006074A5" w:rsidP="006074A5">
      <w:pPr>
        <w:pStyle w:val="Footnote"/>
        <w:bidi/>
      </w:pPr>
      <w:r>
        <w:rPr>
          <w:rStyle w:val="ac"/>
          <w:rtl/>
        </w:rPr>
        <w:footnoteRef/>
      </w:r>
      <w:r>
        <w:rPr>
          <w:rtl/>
        </w:rPr>
        <w:t>קנה בהעראה, ואפי' לבסוף גמר ביאתו ואומר שאינו רוצה לקנות אלא בגמר ביאה. [כ"ה לשון הריטב"א והנמוק"י].</w:t>
      </w:r>
    </w:p>
    <w:p w14:paraId="690924E0" w14:textId="77777777" w:rsidR="006074A5" w:rsidRDefault="006074A5" w:rsidP="006074A5">
      <w:pPr>
        <w:pStyle w:val="Footnote"/>
        <w:bidi/>
      </w:pPr>
      <w:r>
        <w:rPr>
          <w:rtl/>
        </w:rPr>
        <w:tab/>
        <w:t>והג</w:t>
      </w:r>
      <w:r>
        <w:rPr>
          <w:b/>
          <w:bCs/>
          <w:rtl/>
        </w:rPr>
        <w:t>ר"ש איגר</w:t>
      </w:r>
      <w:r>
        <w:rPr>
          <w:rtl/>
        </w:rPr>
        <w:t xml:space="preserve"> (שו"ת רע"א ק' רכא, הו' לעיל נג:) דייק מלשון הנמוק"י דכיון דדעתו לקנות בגמ"ב, מש"ה מהני בתחילת הביאה [דכיון דנתכוון לקנות לבסוף, עי"ז קונה בהעראה מדין קנין המועיל]. אבל אילו לא היה דעתו לקנות בגמ"ב ל"ק. והביא מכאן דהיכא שנתכוון שלא לקנות ל"ק ביבמה. [ו</w:t>
      </w:r>
      <w:r>
        <w:rPr>
          <w:b/>
          <w:bCs/>
          <w:rtl/>
        </w:rPr>
        <w:t>רע"א</w:t>
      </w:r>
      <w:r>
        <w:rPr>
          <w:rtl/>
        </w:rPr>
        <w:t xml:space="preserve"> (שם רכב יד) חלק דאף כשנתכוון שלא לקנות קנה. ואת"ל דל"ק, א"כ לא יהני מה דדעתו לקנות אח"כ, דמ"מ בשעת העראה יש לו כוונה הפכית שלא לקנות].</w:t>
      </w:r>
    </w:p>
  </w:footnote>
  <w:footnote w:id="3341">
    <w:p w14:paraId="1ED890C0" w14:textId="77777777" w:rsidR="006074A5" w:rsidRDefault="006074A5" w:rsidP="006074A5">
      <w:pPr>
        <w:pStyle w:val="Footnote"/>
        <w:bidi/>
      </w:pPr>
      <w:r>
        <w:rPr>
          <w:rStyle w:val="ac"/>
          <w:rtl/>
        </w:rPr>
        <w:footnoteRef/>
      </w:r>
      <w:r>
        <w:rPr>
          <w:rtl/>
        </w:rPr>
        <w:t>וכדאמרי' (קידושין שם) דכהן גדול אינו יכול לקדש בביאה, דבשעת גמ"ב הוה בעולה. [ע"ע בראשונים (לקמן נט: ס.) אי אנוסת עצמו הוה מדאורייתא או מדרבנן].</w:t>
      </w:r>
    </w:p>
  </w:footnote>
  <w:footnote w:id="3342">
    <w:p w14:paraId="7535D463" w14:textId="77777777" w:rsidR="006074A5" w:rsidRDefault="006074A5" w:rsidP="006074A5">
      <w:pPr>
        <w:pStyle w:val="Footnote"/>
        <w:bidi/>
      </w:pPr>
      <w:r>
        <w:rPr>
          <w:rStyle w:val="ac"/>
          <w:rtl/>
        </w:rPr>
        <w:footnoteRef/>
      </w:r>
      <w:r>
        <w:rPr>
          <w:rtl/>
        </w:rPr>
        <w:t>וה</w:t>
      </w:r>
      <w:r>
        <w:rPr>
          <w:b/>
          <w:bCs/>
          <w:rtl/>
        </w:rPr>
        <w:t>רמב"ן</w:t>
      </w:r>
      <w:r>
        <w:rPr>
          <w:rtl/>
        </w:rPr>
        <w:t xml:space="preserve"> (קידושין שם) ביאר דאף גמר ביאה הוה בכלל מצוות 'יבמה יבא עליה', שזהו ביאה האמורה בתורה אע"פ שרבתה תורה אף העראה. ועוד דכתיב להקים לאחיו שם ואין אשה מתעברת בהעראה. [ועד"ז כת' ה</w:t>
      </w:r>
      <w:r>
        <w:rPr>
          <w:b/>
          <w:bCs/>
          <w:rtl/>
        </w:rPr>
        <w:t>רמב"ן</w:t>
      </w:r>
      <w:r>
        <w:rPr>
          <w:rtl/>
        </w:rPr>
        <w:t xml:space="preserve"> (לעיל כ.) דעשה דוחה ל"ת מתיר אף גמר הביאה]. אבל דעת </w:t>
      </w:r>
      <w:r>
        <w:rPr>
          <w:b/>
          <w:bCs/>
          <w:rtl/>
        </w:rPr>
        <w:t>תוס</w:t>
      </w:r>
      <w:r>
        <w:rPr>
          <w:rtl/>
        </w:rPr>
        <w:t>' (לעיל כ: ד"ה אטו) דלא הותר גמר הביאה, וכוונת הגמ' גזירה אטו גמר ביאה. וע"כ איירי בפירש ולא גמר ביאתו, ומש"ה יקנה בתחילת ביאה, וכדעת ר"ש הזקן. ול"ק קו' הראשונים.</w:t>
      </w:r>
    </w:p>
  </w:footnote>
  <w:footnote w:id="3343">
    <w:p w14:paraId="2D21D479" w14:textId="77777777" w:rsidR="006074A5" w:rsidRDefault="006074A5" w:rsidP="006074A5">
      <w:pPr>
        <w:pStyle w:val="Footnote"/>
        <w:bidi/>
      </w:pPr>
      <w:r>
        <w:rPr>
          <w:rStyle w:val="ac"/>
          <w:rtl/>
        </w:rPr>
        <w:footnoteRef/>
      </w:r>
      <w:r>
        <w:rPr>
          <w:rtl/>
        </w:rPr>
        <w:t>ולדעת התוס' (הנ"ל) לכאו' י"ל דכוונת הגמ' דחזר וגמר ביאתו. וביאה שניה היינו גמר ביאה. [ונידון הסוגיא האם כהן לוקה משום חללה]. אבל ה</w:t>
      </w:r>
      <w:r>
        <w:rPr>
          <w:b/>
          <w:bCs/>
          <w:rtl/>
        </w:rPr>
        <w:t>רמב"ם</w:t>
      </w:r>
      <w:r>
        <w:rPr>
          <w:rtl/>
        </w:rPr>
        <w:t xml:space="preserve"> (איסו"ב יט ה) הביא את הסוגיא גבי הולד, דהולד מביאה ראשונה לא הוה חלל. וע"כ דביאה ראשונה כולל גמר הביאה, שמוליד.</w:t>
      </w:r>
    </w:p>
  </w:footnote>
  <w:footnote w:id="3344">
    <w:p w14:paraId="05E0FF33" w14:textId="77777777" w:rsidR="006074A5" w:rsidRDefault="006074A5" w:rsidP="006074A5">
      <w:pPr>
        <w:pStyle w:val="Footnote"/>
        <w:bidi/>
      </w:pPr>
      <w:r>
        <w:rPr>
          <w:rStyle w:val="ac"/>
          <w:rtl/>
        </w:rPr>
        <w:footnoteRef/>
      </w:r>
      <w:r>
        <w:rPr>
          <w:rtl/>
        </w:rPr>
        <w:t>וכ"כ ה</w:t>
      </w:r>
      <w:r>
        <w:rPr>
          <w:b/>
          <w:bCs/>
          <w:rtl/>
        </w:rPr>
        <w:t>קובה"ע</w:t>
      </w:r>
      <w:r>
        <w:rPr>
          <w:rtl/>
        </w:rPr>
        <w:t xml:space="preserve"> (עג א) [בדעת הרי"ף, ע' בסמוך] דדוקא היכא דאחשביה אמרי' דהעראה נחשב מעשה. ודייק כן מלשון הגמ' כל הבועל דעתו על גמר ביאה, משמע דהוה סברא בכל הבועל [אפי' דרך זנות], ולא נקט כל המקדש.</w:t>
      </w:r>
    </w:p>
  </w:footnote>
  <w:footnote w:id="3345">
    <w:p w14:paraId="23AB07D1" w14:textId="77777777" w:rsidR="006074A5" w:rsidRDefault="006074A5" w:rsidP="006074A5">
      <w:pPr>
        <w:pStyle w:val="Footnote"/>
        <w:bidi/>
      </w:pPr>
      <w:r>
        <w:rPr>
          <w:rStyle w:val="ac"/>
          <w:rtl/>
        </w:rPr>
        <w:footnoteRef/>
      </w:r>
      <w:r>
        <w:rPr>
          <w:rtl/>
        </w:rPr>
        <w:t>והביא כעי"ז גדר מקצת היום ככולו, דע"י מקצת נחשב שהיום הגיע. ולא נחשב 'יום' בפנ"ע.</w:t>
      </w:r>
    </w:p>
  </w:footnote>
  <w:footnote w:id="3346">
    <w:p w14:paraId="7357B0EB" w14:textId="77777777" w:rsidR="006074A5" w:rsidRDefault="006074A5" w:rsidP="006074A5">
      <w:pPr>
        <w:pStyle w:val="Footnote"/>
        <w:bidi/>
      </w:pPr>
      <w:r>
        <w:rPr>
          <w:rStyle w:val="ac"/>
          <w:rtl/>
        </w:rPr>
        <w:footnoteRef/>
      </w:r>
      <w:r>
        <w:rPr>
          <w:rtl/>
        </w:rPr>
        <w:t>ועוה"ק הקוב"ש דלכאו' יש לחלק כל כח וכח שבביאה (ע' לעיל לד.), ונימא שבגמר ביאה בכח הראשון נעשית זונה. ובכח השני תעשה חללה. והקוב"ש תי' דהא דמתחייב על כל כח וכח הוה דוקא היכא דיש ידיעות מחלקות, או שההתראה מחלקת. אבל אי לאו הכי נחשב מעשה א', ולא נחשב אוסר חדש.</w:t>
      </w:r>
    </w:p>
  </w:footnote>
  <w:footnote w:id="3347">
    <w:p w14:paraId="062B18F7" w14:textId="77777777" w:rsidR="006074A5" w:rsidRDefault="006074A5" w:rsidP="006074A5">
      <w:pPr>
        <w:pStyle w:val="Footnote"/>
        <w:bidi/>
      </w:pPr>
      <w:r>
        <w:rPr>
          <w:rStyle w:val="ac"/>
          <w:rtl/>
        </w:rPr>
        <w:footnoteRef/>
      </w:r>
      <w:r>
        <w:rPr>
          <w:rtl/>
        </w:rPr>
        <w:t>[מסברת חז"ל או קבלתם].</w:t>
      </w:r>
    </w:p>
  </w:footnote>
  <w:footnote w:id="3348">
    <w:p w14:paraId="3E697D4B" w14:textId="77777777" w:rsidR="006074A5" w:rsidRDefault="006074A5" w:rsidP="006074A5">
      <w:pPr>
        <w:pStyle w:val="Footnote"/>
        <w:bidi/>
      </w:pPr>
      <w:r>
        <w:rPr>
          <w:rStyle w:val="ac"/>
          <w:rtl/>
        </w:rPr>
        <w:footnoteRef/>
      </w:r>
      <w:r>
        <w:rPr>
          <w:rtl/>
        </w:rPr>
        <w:t>וה</w:t>
      </w:r>
      <w:r>
        <w:rPr>
          <w:b/>
          <w:bCs/>
          <w:rtl/>
        </w:rPr>
        <w:t>חזו"א</w:t>
      </w:r>
      <w:r>
        <w:rPr>
          <w:rtl/>
        </w:rPr>
        <w:t xml:space="preserve"> (בסוגריים) הוסיף אא"כ נאסרה בתוך המעשה ע"י סיבה אחרת כגון פשטה ידה וקבלה קידושין מאחר או פירסה נדה.</w:t>
      </w:r>
    </w:p>
  </w:footnote>
  <w:footnote w:id="3349">
    <w:p w14:paraId="6FF87D9C" w14:textId="77777777" w:rsidR="006074A5" w:rsidRDefault="006074A5" w:rsidP="006074A5">
      <w:pPr>
        <w:pStyle w:val="Footnote"/>
        <w:bidi/>
      </w:pPr>
      <w:r>
        <w:rPr>
          <w:rStyle w:val="ac"/>
          <w:rtl/>
        </w:rPr>
        <w:footnoteRef/>
      </w:r>
      <w:r>
        <w:rPr>
          <w:rtl/>
        </w:rPr>
        <w:t>וכ"ד ה</w:t>
      </w:r>
      <w:r>
        <w:rPr>
          <w:b/>
          <w:bCs/>
          <w:rtl/>
        </w:rPr>
        <w:t>רמב"ם</w:t>
      </w:r>
      <w:r>
        <w:rPr>
          <w:rtl/>
        </w:rPr>
        <w:t xml:space="preserve"> (אישות י א) דבהעראה נעשית נשואה, והרי היא כאשתו לכל דבר.</w:t>
      </w:r>
    </w:p>
  </w:footnote>
  <w:footnote w:id="3350">
    <w:p w14:paraId="2AF7C1EF" w14:textId="77777777" w:rsidR="006074A5" w:rsidRDefault="006074A5" w:rsidP="006074A5">
      <w:pPr>
        <w:pStyle w:val="Footnote"/>
        <w:bidi/>
      </w:pPr>
      <w:r>
        <w:rPr>
          <w:rStyle w:val="ac"/>
          <w:rtl/>
        </w:rPr>
        <w:footnoteRef/>
      </w:r>
      <w:r>
        <w:rPr>
          <w:rtl/>
        </w:rPr>
        <w:t>ויש שפי' דאף כשפירש דנתכוון להעראה אמרי' דבטלה דעתו [ד'כל' הבועל דעתו על גמ"ב]. אבל בפשוטו הביאו האחרונים דלדעת הר"נ והרי"ף כוונת הגמ' דהעראה לא הוה מעשה ביאה, ולא תלי בדעתו. וה</w:t>
      </w:r>
      <w:r>
        <w:rPr>
          <w:b/>
          <w:bCs/>
          <w:rtl/>
        </w:rPr>
        <w:t>קובה"ע</w:t>
      </w:r>
      <w:r>
        <w:rPr>
          <w:rtl/>
        </w:rPr>
        <w:t xml:space="preserve"> (עג א) ביאר דפי' כל הבועל [אפי' ביאת זנות] דעתו על גמר המעשה. ואין חשיבות להעראה.</w:t>
      </w:r>
    </w:p>
  </w:footnote>
  <w:footnote w:id="3351">
    <w:p w14:paraId="7DD7B5D4" w14:textId="77777777" w:rsidR="006074A5" w:rsidRDefault="006074A5" w:rsidP="006074A5">
      <w:pPr>
        <w:pStyle w:val="Footnote"/>
        <w:bidi/>
      </w:pPr>
      <w:r>
        <w:rPr>
          <w:rStyle w:val="ac"/>
          <w:rtl/>
        </w:rPr>
        <w:footnoteRef/>
      </w:r>
      <w:r>
        <w:rPr>
          <w:rtl/>
        </w:rPr>
        <w:t>[וה</w:t>
      </w:r>
      <w:r>
        <w:rPr>
          <w:b/>
          <w:bCs/>
          <w:rtl/>
        </w:rPr>
        <w:t>תו"י</w:t>
      </w:r>
      <w:r>
        <w:rPr>
          <w:rtl/>
        </w:rPr>
        <w:t xml:space="preserve"> ביאר דחשבינן להעראה כחופה]. וכ"פ ה</w:t>
      </w:r>
      <w:r>
        <w:rPr>
          <w:b/>
          <w:bCs/>
          <w:rtl/>
        </w:rPr>
        <w:t>רמ"א</w:t>
      </w:r>
      <w:r>
        <w:rPr>
          <w:rtl/>
        </w:rPr>
        <w:t xml:space="preserve"> (אה"ע לג). וה</w:t>
      </w:r>
      <w:r>
        <w:rPr>
          <w:b/>
          <w:bCs/>
          <w:rtl/>
        </w:rPr>
        <w:t>גר"א</w:t>
      </w:r>
      <w:r>
        <w:rPr>
          <w:rtl/>
        </w:rPr>
        <w:t xml:space="preserve"> (שם) חלק ע"ז [וכ"מ בתוס' נו. ד"ה כל].</w:t>
      </w:r>
    </w:p>
  </w:footnote>
  <w:footnote w:id="3352">
    <w:p w14:paraId="57677535" w14:textId="77777777" w:rsidR="006074A5" w:rsidRDefault="006074A5" w:rsidP="006074A5">
      <w:pPr>
        <w:pStyle w:val="Footnote"/>
        <w:bidi/>
      </w:pPr>
      <w:r>
        <w:rPr>
          <w:rStyle w:val="ac"/>
          <w:rtl/>
        </w:rPr>
        <w:footnoteRef/>
      </w:r>
      <w:r>
        <w:rPr>
          <w:rtl/>
        </w:rPr>
        <w:t>והרמב"ם (אישות ג ה) והטור (לג) כת' דמהני, ע' ב"י (שם). וע"ע שער המלך (אישות א ב ד"ה ואם בא) ובית הלוי (ג ז).</w:t>
      </w:r>
    </w:p>
  </w:footnote>
  <w:footnote w:id="3353">
    <w:p w14:paraId="37086160" w14:textId="77777777" w:rsidR="006074A5" w:rsidRDefault="006074A5" w:rsidP="006074A5">
      <w:pPr>
        <w:pStyle w:val="Footnote"/>
        <w:bidi/>
      </w:pPr>
      <w:r>
        <w:rPr>
          <w:rStyle w:val="ac"/>
          <w:rtl/>
        </w:rPr>
        <w:footnoteRef/>
      </w:r>
      <w:r>
        <w:rPr>
          <w:rtl/>
        </w:rPr>
        <w:t>והוה כבר בעולה [משנכנס מקצת העטרה]. וב</w:t>
      </w:r>
      <w:r>
        <w:rPr>
          <w:b/>
          <w:bCs/>
          <w:rtl/>
        </w:rPr>
        <w:t>תו"י</w:t>
      </w:r>
      <w:r>
        <w:rPr>
          <w:rtl/>
        </w:rPr>
        <w:t xml:space="preserve"> הקשה דא"כ אף יבמה לא יקנה אלא בגמר [וכתב דדעתו על גמר ביאה ממש, דראוי להקמת שם. וצ"ב], וא"כ היאך שייך עדל"ת בכה"ג, הרי בשעת גמר הוה בעולה ויש ל"ת ועשה]. ותי' דהגמ' כ. דעדל"ת קאי למ"ד נשיקה, דל"ש תחילה וסוף [ולר"ת הך מ"ד פליג על סברת 'כל הבועל']. [ועוד תי' דבעולת עצמו הוה דרבנן, ע"ע לקמן נט:].</w:t>
      </w:r>
    </w:p>
  </w:footnote>
  <w:footnote w:id="3354">
    <w:p w14:paraId="578C61A9" w14:textId="77777777" w:rsidR="006074A5" w:rsidRDefault="006074A5" w:rsidP="006074A5">
      <w:pPr>
        <w:pStyle w:val="Footnote"/>
        <w:bidi/>
      </w:pPr>
      <w:r>
        <w:rPr>
          <w:rStyle w:val="ac"/>
          <w:rtl/>
        </w:rPr>
        <w:footnoteRef/>
      </w:r>
      <w:r>
        <w:rPr>
          <w:rtl/>
        </w:rPr>
        <w:t>וכעי"ז הביא ה</w:t>
      </w:r>
      <w:r>
        <w:rPr>
          <w:b/>
          <w:bCs/>
          <w:rtl/>
        </w:rPr>
        <w:t>ריטב"א</w:t>
      </w:r>
      <w:r>
        <w:rPr>
          <w:rtl/>
        </w:rPr>
        <w:t xml:space="preserve"> בשם </w:t>
      </w:r>
      <w:r>
        <w:rPr>
          <w:b/>
          <w:bCs/>
          <w:rtl/>
        </w:rPr>
        <w:t>ר"ת</w:t>
      </w:r>
      <w:r>
        <w:rPr>
          <w:rtl/>
        </w:rPr>
        <w:t>, דמיבעי האם נשיקה או הכנסת עטרה. ותלי במח' האמורא' בסמוך. [אך מדברי התוס' משמע דהנידון אליבא דמ"ד הכנסת עטרה].</w:t>
      </w:r>
    </w:p>
  </w:footnote>
  <w:footnote w:id="3355">
    <w:p w14:paraId="3F8B7CAB" w14:textId="77777777" w:rsidR="006074A5" w:rsidRDefault="006074A5" w:rsidP="006074A5">
      <w:pPr>
        <w:pStyle w:val="Footnote"/>
        <w:bidi/>
      </w:pPr>
      <w:r>
        <w:rPr>
          <w:rStyle w:val="ac"/>
          <w:rtl/>
        </w:rPr>
        <w:footnoteRef/>
      </w:r>
      <w:r>
        <w:rPr>
          <w:rtl/>
        </w:rPr>
        <w:t>ולא נתפרש בדברי ר"ת להדיא מה הדין בעשה העראה ופירש, וב</w:t>
      </w:r>
      <w:r>
        <w:rPr>
          <w:b/>
          <w:bCs/>
          <w:rtl/>
        </w:rPr>
        <w:t xml:space="preserve">דבר"י </w:t>
      </w:r>
      <w:r>
        <w:rPr>
          <w:rtl/>
        </w:rPr>
        <w:t>נקט דבכה"ג אף לר"ת אחשביה להעראה.</w:t>
      </w:r>
    </w:p>
  </w:footnote>
  <w:footnote w:id="3356">
    <w:p w14:paraId="653A71A7" w14:textId="77777777" w:rsidR="006074A5" w:rsidRDefault="006074A5" w:rsidP="006074A5">
      <w:pPr>
        <w:pStyle w:val="Footnote"/>
        <w:bidi/>
      </w:pPr>
      <w:r>
        <w:rPr>
          <w:rStyle w:val="ac"/>
          <w:rtl/>
        </w:rPr>
        <w:footnoteRef/>
      </w:r>
      <w:r>
        <w:rPr>
          <w:rtl/>
        </w:rPr>
        <w:t>וצ"ב דבסוגיין קאי בדברי רבא, ורבא לשיטתו ניחא. וצ"ל דקו' הגמ' הניחא לרבא [לשיטתו], אלא היאך אביי יתרץ דרשת הפסוק. א"נ מח' משמש מת הוה מח' קדומה, אלא דרבא (שבועות שם) הביא ראיה כמ"ד דפטור. ואביי דחה ראייתו.</w:t>
      </w:r>
    </w:p>
  </w:footnote>
  <w:footnote w:id="3357">
    <w:p w14:paraId="0E270317" w14:textId="77777777" w:rsidR="006074A5" w:rsidRDefault="006074A5" w:rsidP="006074A5">
      <w:pPr>
        <w:pStyle w:val="Footnote"/>
        <w:bidi/>
      </w:pPr>
      <w:r>
        <w:rPr>
          <w:rStyle w:val="ac"/>
          <w:rtl/>
        </w:rPr>
        <w:footnoteRef/>
      </w:r>
      <w:r>
        <w:rPr>
          <w:rtl/>
        </w:rPr>
        <w:t>מהא דהוזהר שלא לפרוש באבר חי.</w:t>
      </w:r>
    </w:p>
  </w:footnote>
  <w:footnote w:id="3358">
    <w:p w14:paraId="09AE40A8" w14:textId="77777777" w:rsidR="006074A5" w:rsidRDefault="006074A5" w:rsidP="006074A5">
      <w:pPr>
        <w:pStyle w:val="Footnote"/>
        <w:bidi/>
      </w:pPr>
      <w:r>
        <w:rPr>
          <w:rStyle w:val="ac"/>
          <w:rtl/>
        </w:rPr>
        <w:footnoteRef/>
      </w:r>
      <w:r>
        <w:rPr>
          <w:rtl/>
        </w:rPr>
        <w:t>וה</w:t>
      </w:r>
      <w:r>
        <w:rPr>
          <w:b/>
          <w:bCs/>
          <w:rtl/>
        </w:rPr>
        <w:t>תוס' הרא"ש</w:t>
      </w:r>
      <w:r>
        <w:rPr>
          <w:rtl/>
        </w:rPr>
        <w:t xml:space="preserve"> ו</w:t>
      </w:r>
      <w:r>
        <w:rPr>
          <w:b/>
          <w:bCs/>
          <w:rtl/>
        </w:rPr>
        <w:t>ריטב"א</w:t>
      </w:r>
      <w:r>
        <w:rPr>
          <w:rtl/>
        </w:rPr>
        <w:t xml:space="preserve"> (שם) תי' דתרוייהו צריכי, דאי מהא (בסוגיין) דאשת איש הו"א מה לאשת איש שכן אוסרה מתירה ויש לה התר בחיי אוסרה (וכדפרכי' לעיל נד:). ואי מנדה הו"א מה לנדה שכן אינה במיתת בי"ד. וה</w:t>
      </w:r>
      <w:r>
        <w:rPr>
          <w:b/>
          <w:bCs/>
          <w:rtl/>
        </w:rPr>
        <w:t>בי"ש</w:t>
      </w:r>
      <w:r>
        <w:rPr>
          <w:rtl/>
        </w:rPr>
        <w:t xml:space="preserve"> (כ ה) רמז דלמסקנת סוגיין איצטריך קרא למשמש מתה. וע"כ משמש באבר מת ילפי' ממקו"א אחר.</w:t>
      </w:r>
    </w:p>
  </w:footnote>
  <w:footnote w:id="3359">
    <w:p w14:paraId="7CF32274" w14:textId="77777777" w:rsidR="006074A5" w:rsidRDefault="006074A5" w:rsidP="006074A5">
      <w:pPr>
        <w:pStyle w:val="Footnote"/>
        <w:bidi/>
      </w:pPr>
      <w:r>
        <w:rPr>
          <w:rStyle w:val="ac"/>
          <w:rtl/>
        </w:rPr>
        <w:footnoteRef/>
      </w:r>
      <w:r>
        <w:rPr>
          <w:rtl/>
        </w:rPr>
        <w:t>וה</w:t>
      </w:r>
      <w:r>
        <w:rPr>
          <w:b/>
          <w:bCs/>
          <w:rtl/>
        </w:rPr>
        <w:t>רש"ש</w:t>
      </w:r>
      <w:r>
        <w:rPr>
          <w:rtl/>
        </w:rPr>
        <w:t xml:space="preserve"> תמה דבהדיא הכתוב קראו שאר אף לאחר מיתה לענין לטמאות לה ויורשה.</w:t>
      </w:r>
    </w:p>
  </w:footnote>
  <w:footnote w:id="3360">
    <w:p w14:paraId="167DA98A" w14:textId="77777777" w:rsidR="006074A5" w:rsidRDefault="006074A5" w:rsidP="006074A5">
      <w:pPr>
        <w:pStyle w:val="Footnote"/>
        <w:bidi/>
      </w:pPr>
      <w:r>
        <w:rPr>
          <w:rStyle w:val="ac"/>
          <w:rtl/>
        </w:rPr>
        <w:footnoteRef/>
      </w:r>
      <w:r>
        <w:rPr>
          <w:rtl/>
        </w:rPr>
        <w:t>וה</w:t>
      </w:r>
      <w:r>
        <w:rPr>
          <w:b/>
          <w:bCs/>
          <w:rtl/>
        </w:rPr>
        <w:t xml:space="preserve">מהרש"א </w:t>
      </w:r>
      <w:r>
        <w:rPr>
          <w:rtl/>
        </w:rPr>
        <w:t>ו</w:t>
      </w:r>
      <w:r>
        <w:rPr>
          <w:b/>
          <w:bCs/>
          <w:rtl/>
        </w:rPr>
        <w:t>רש"ש</w:t>
      </w:r>
      <w:r>
        <w:rPr>
          <w:rtl/>
        </w:rPr>
        <w:t xml:space="preserve"> (שם) חילקו בין מיתת האשה למיתת הבעל. דהיכא דהבעל מת הותרה לינשא לאחר [כדילפי' קידושין יד.], וע"כ פקע שארות [ואף דעדיין אסורה בקרוביו]. ואילו הכא איירי כשהאשה מתה, וי"ל דהאישות קיים לאחר מיתה.</w:t>
      </w:r>
    </w:p>
    <w:p w14:paraId="6DDDCE19" w14:textId="77777777" w:rsidR="006074A5" w:rsidRDefault="006074A5" w:rsidP="006074A5">
      <w:pPr>
        <w:pStyle w:val="Footnote"/>
        <w:bidi/>
      </w:pPr>
      <w:r>
        <w:rPr>
          <w:rtl/>
        </w:rPr>
        <w:tab/>
        <w:t>וה</w:t>
      </w:r>
      <w:r>
        <w:rPr>
          <w:b/>
          <w:bCs/>
          <w:rtl/>
        </w:rPr>
        <w:t>קובה"ע</w:t>
      </w:r>
      <w:r>
        <w:rPr>
          <w:rtl/>
        </w:rPr>
        <w:t xml:space="preserve"> (מו ב) כת' דלפ"ז היכא דהבעל מת, האשה אינו מצווה לטמאות לו. דהא פקע שאר במיתת הבעל [והותרה לינשא לאחר]. אך כת' דאפשר דמודו למש"כ התוס' רא"ש דלענין טומאת קרובים תלי בהא דהוה שאר מחיים.</w:t>
      </w:r>
    </w:p>
  </w:footnote>
  <w:footnote w:id="3361">
    <w:p w14:paraId="71389369" w14:textId="77777777" w:rsidR="006074A5" w:rsidRDefault="006074A5" w:rsidP="006074A5">
      <w:pPr>
        <w:pStyle w:val="Footnote"/>
        <w:bidi/>
      </w:pPr>
      <w:r>
        <w:rPr>
          <w:rStyle w:val="ac"/>
          <w:rtl/>
        </w:rPr>
        <w:footnoteRef/>
      </w:r>
      <w:r>
        <w:rPr>
          <w:rtl/>
        </w:rPr>
        <w:t>אמנם ב</w:t>
      </w:r>
      <w:r>
        <w:rPr>
          <w:b/>
          <w:bCs/>
          <w:rtl/>
        </w:rPr>
        <w:t xml:space="preserve">חי' ר' ראובן </w:t>
      </w:r>
      <w:r>
        <w:rPr>
          <w:rtl/>
        </w:rPr>
        <w:t>(לה) כתב דכוונת תוס' דידן דקמ"ל דפקע שם 'שאר' מהמת [והאשה שמתה לא חשיבא אשת איש]. ואפ"ה לענין טומאת קרובים עדיין נחשב שהחי הוא 'שאר' של המת. [ובזה תוס' ב"ב כת' דאינו יורש בקבר, דפקע שם 'שאר' מהמת].</w:t>
      </w:r>
    </w:p>
  </w:footnote>
  <w:footnote w:id="3362">
    <w:p w14:paraId="227C0694" w14:textId="77777777" w:rsidR="006074A5" w:rsidRDefault="006074A5" w:rsidP="006074A5">
      <w:pPr>
        <w:pStyle w:val="Footnote"/>
        <w:bidi/>
      </w:pPr>
      <w:r>
        <w:rPr>
          <w:rStyle w:val="ac"/>
          <w:rtl/>
        </w:rPr>
        <w:footnoteRef/>
      </w:r>
      <w:r>
        <w:rPr>
          <w:rtl/>
        </w:rPr>
        <w:t>וה</w:t>
      </w:r>
      <w:r>
        <w:rPr>
          <w:b/>
          <w:bCs/>
          <w:rtl/>
        </w:rPr>
        <w:t>קובה"ע</w:t>
      </w:r>
      <w:r>
        <w:rPr>
          <w:rtl/>
        </w:rPr>
        <w:t xml:space="preserve"> (שם ג) הקשה דכיון דמתה אינה 'אשה', א"כ מ"ש מהא דחצי שפחה דנשתחררה [דנעשית 'חצי אשה'], ולחד מ"ד פקעי קידושין (כדאי' גיטין מג:).</w:t>
      </w:r>
    </w:p>
  </w:footnote>
  <w:footnote w:id="3363">
    <w:p w14:paraId="0B1510BE" w14:textId="77777777" w:rsidR="006074A5" w:rsidRDefault="006074A5" w:rsidP="006074A5">
      <w:pPr>
        <w:pStyle w:val="Footnote"/>
        <w:bidi/>
      </w:pPr>
      <w:r>
        <w:rPr>
          <w:rStyle w:val="ac"/>
          <w:rtl/>
        </w:rPr>
        <w:footnoteRef/>
      </w:r>
      <w:r>
        <w:rPr>
          <w:rtl/>
        </w:rPr>
        <w:t>וכ"כ ה</w:t>
      </w:r>
      <w:r>
        <w:rPr>
          <w:b/>
          <w:bCs/>
          <w:rtl/>
        </w:rPr>
        <w:t>רמב"ם</w:t>
      </w:r>
      <w:r>
        <w:rPr>
          <w:rtl/>
        </w:rPr>
        <w:t xml:space="preserve"> (איסו"ב א יב) דהבא על ערוה מן העריות והיא מתה פטור מכלום. אבל טריפה וגוסס חייב (וכדאי' בסנהד' עח.). וה"ה ציין לסוגיין.</w:t>
      </w:r>
    </w:p>
  </w:footnote>
  <w:footnote w:id="3364">
    <w:p w14:paraId="42300C9C" w14:textId="77777777" w:rsidR="006074A5" w:rsidRDefault="006074A5" w:rsidP="006074A5">
      <w:pPr>
        <w:pStyle w:val="Footnote"/>
        <w:bidi/>
      </w:pPr>
      <w:r>
        <w:rPr>
          <w:rStyle w:val="ac"/>
          <w:rtl/>
        </w:rPr>
        <w:footnoteRef/>
      </w:r>
      <w:r>
        <w:rPr>
          <w:rtl/>
        </w:rPr>
        <w:t>וס"ד דאף רובע טריפה יהא פטור [כיון דטריפה נחשב כמת], קמ"ל דתלי בהנאה, ואף בטריפה יש הנאה בביאתו. פ</w:t>
      </w:r>
      <w:r>
        <w:rPr>
          <w:b/>
          <w:bCs/>
          <w:rtl/>
        </w:rPr>
        <w:t>רש"י</w:t>
      </w:r>
      <w:r>
        <w:rPr>
          <w:rtl/>
        </w:rPr>
        <w:t xml:space="preserve"> דרובע את המת ליכא הנאה, שעבר חמימותו ולחלחותו ונצטנן. [וקצת משמע דהוה סברא. וא"כ אפשר דאשת איש לא תלי בהנאה, אלא משום דפקע שאר וכמ"ש תוס'. אבל ה</w:t>
      </w:r>
      <w:r>
        <w:rPr>
          <w:b/>
          <w:bCs/>
          <w:rtl/>
        </w:rPr>
        <w:t>רמ"ה</w:t>
      </w:r>
      <w:r>
        <w:rPr>
          <w:rtl/>
        </w:rPr>
        <w:t xml:space="preserve"> (סנהדרין עח.) הביא ממעשה הורדוס (שם סו:) דקאי באשת איש, וביאר דלית ליה הנאה וכעץ בעלמא חשוב ורחמנא פטריה. ומבואר דהך סברא הוה גדר טעמא דקרא דרחמנא פטריה].</w:t>
      </w:r>
    </w:p>
  </w:footnote>
  <w:footnote w:id="3365">
    <w:p w14:paraId="4860905E" w14:textId="77777777" w:rsidR="006074A5" w:rsidRDefault="006074A5" w:rsidP="006074A5">
      <w:pPr>
        <w:pStyle w:val="Footnote"/>
        <w:bidi/>
      </w:pPr>
      <w:r>
        <w:rPr>
          <w:rStyle w:val="ac"/>
          <w:rtl/>
        </w:rPr>
        <w:footnoteRef/>
      </w:r>
      <w:r>
        <w:rPr>
          <w:rtl/>
        </w:rPr>
        <w:t>וילפי' מהכא לשאר עריות, ואפי' זכור.</w:t>
      </w:r>
    </w:p>
  </w:footnote>
  <w:footnote w:id="3366">
    <w:p w14:paraId="3B8F3BDE" w14:textId="77777777" w:rsidR="006074A5" w:rsidRDefault="006074A5" w:rsidP="006074A5">
      <w:pPr>
        <w:pStyle w:val="Footnote"/>
        <w:bidi/>
      </w:pPr>
      <w:r>
        <w:rPr>
          <w:rStyle w:val="ac"/>
          <w:rtl/>
        </w:rPr>
        <w:footnoteRef/>
      </w:r>
      <w:r>
        <w:rPr>
          <w:rtl/>
        </w:rPr>
        <w:t>[ואינה נאסרת לבעל ע"י ביאה זו]. ויל"פ דלא נחשב מבלעדי אישך. [דאינו דרך אישות]. [ורבא פליג דנחשב 'משכבי אשה. ויל"פ דאף לבעל נחשב ביאת אישות]. {וא"כ אף למסקנא י"ל דסוטה בעינן 'ביאת אישות'}.</w:t>
      </w:r>
    </w:p>
  </w:footnote>
  <w:footnote w:id="3367">
    <w:p w14:paraId="00F885B3" w14:textId="77777777" w:rsidR="006074A5" w:rsidRDefault="006074A5" w:rsidP="006074A5">
      <w:pPr>
        <w:pStyle w:val="Footnote"/>
        <w:bidi/>
      </w:pPr>
      <w:r>
        <w:rPr>
          <w:rStyle w:val="ac"/>
          <w:rtl/>
        </w:rPr>
        <w:footnoteRef/>
      </w:r>
      <w:r>
        <w:rPr>
          <w:rtl/>
        </w:rPr>
        <w:t>וכמו דלרב ששת נתמעט גבי סוטה דאף דשלא כדרכה נחשב ביאה בשאר עריות, אינו בכלל פרשת סוטה ליאסר על בעלה.</w:t>
      </w:r>
    </w:p>
  </w:footnote>
  <w:footnote w:id="3368">
    <w:p w14:paraId="592DD388" w14:textId="77777777" w:rsidR="006074A5" w:rsidRDefault="006074A5" w:rsidP="006074A5">
      <w:pPr>
        <w:pStyle w:val="Footnote"/>
        <w:bidi/>
      </w:pPr>
      <w:r>
        <w:rPr>
          <w:rStyle w:val="ac"/>
          <w:rtl/>
        </w:rPr>
        <w:footnoteRef/>
      </w:r>
      <w:r>
        <w:rPr>
          <w:rtl/>
        </w:rPr>
        <w:t>פ</w:t>
      </w:r>
      <w:r>
        <w:rPr>
          <w:b/>
          <w:bCs/>
          <w:rtl/>
        </w:rPr>
        <w:t>רש"י</w:t>
      </w:r>
      <w:r>
        <w:rPr>
          <w:rtl/>
        </w:rPr>
        <w:t xml:space="preserve"> דלא מיתסרא עליו משום פריצות. [ולא קאי לעצם המעשה, דודאי מעשה פריצות אסור. וה</w:t>
      </w:r>
      <w:r>
        <w:rPr>
          <w:b/>
          <w:bCs/>
          <w:rtl/>
        </w:rPr>
        <w:t>רמב"ם</w:t>
      </w:r>
      <w:r>
        <w:rPr>
          <w:rtl/>
        </w:rPr>
        <w:t xml:space="preserve"> (איסו"ב כא א, וס' המצוות ל"ת שנג) פסק דהבא על הערוה דרך אברים, או שחיבק ונישק דרך תאוה ונהנה בקירוב בשר, לוקה מה"ת שנאמר לבלתי עשות מחקות התועבות וגו' ונאמר לא תקרבו לגלות ערוה, כלומר לא תקרבו לדברים המביאין לידי גילוי ערוה.</w:t>
      </w:r>
    </w:p>
    <w:p w14:paraId="4E18E864" w14:textId="77777777" w:rsidR="006074A5" w:rsidRDefault="006074A5" w:rsidP="006074A5">
      <w:pPr>
        <w:pStyle w:val="Footnote"/>
        <w:bidi/>
      </w:pPr>
      <w:r>
        <w:rPr>
          <w:rtl/>
        </w:rPr>
        <w:tab/>
        <w:t>והא דאי' בסוגיין דבנשיקה פטור [למ"ד העראה זו הכנסת עטרה], היינו דלא נחשב ביאה. אבל לוקה משום קריבא לעריות.</w:t>
      </w:r>
    </w:p>
  </w:footnote>
  <w:footnote w:id="3369">
    <w:p w14:paraId="2C981D6B" w14:textId="77777777" w:rsidR="006074A5" w:rsidRDefault="006074A5" w:rsidP="006074A5">
      <w:pPr>
        <w:pStyle w:val="Footnote"/>
        <w:bidi/>
      </w:pPr>
      <w:r>
        <w:rPr>
          <w:rStyle w:val="ac"/>
          <w:rtl/>
        </w:rPr>
        <w:footnoteRef/>
      </w:r>
      <w:r>
        <w:rPr>
          <w:rtl/>
        </w:rPr>
        <w:t>ועפ"ז ביאר ה</w:t>
      </w:r>
      <w:r>
        <w:rPr>
          <w:b/>
          <w:bCs/>
          <w:rtl/>
        </w:rPr>
        <w:t>משנ"ל</w:t>
      </w:r>
      <w:r>
        <w:rPr>
          <w:rtl/>
        </w:rPr>
        <w:t xml:space="preserve"> דאיצטריך קרא למעט קטן פחות מבן ט'. ואף דביאתו אינו אוסרתו ס"ד דשייך בזה קינוי וסתירה [לדעת הרמב"ם ורש"י, ודלא כתוס' (סוטה כו:) דהק' אמאי איצטריך קרא למעט].</w:t>
      </w:r>
    </w:p>
  </w:footnote>
  <w:footnote w:id="3370">
    <w:p w14:paraId="62AD6A96" w14:textId="77777777" w:rsidR="006074A5" w:rsidRDefault="006074A5" w:rsidP="006074A5">
      <w:pPr>
        <w:pStyle w:val="Footnote"/>
        <w:bidi/>
      </w:pPr>
      <w:r>
        <w:rPr>
          <w:rStyle w:val="ac"/>
          <w:rtl/>
        </w:rPr>
        <w:footnoteRef/>
      </w:r>
      <w:r>
        <w:rPr>
          <w:rtl/>
        </w:rPr>
        <w:t>ומבואר דכוונתו דבכל הנך מקנין להפסד כתובה, ואינה נאסרת עליו. [אבל האחרונים דנו דאף דבלא קינוי אינה נאסרת, היכא דקינה לה גרע].</w:t>
      </w:r>
    </w:p>
  </w:footnote>
  <w:footnote w:id="3371">
    <w:p w14:paraId="31DED8BB" w14:textId="77777777" w:rsidR="006074A5" w:rsidRDefault="006074A5" w:rsidP="006074A5">
      <w:pPr>
        <w:pStyle w:val="Footnote"/>
        <w:bidi/>
      </w:pPr>
      <w:r>
        <w:rPr>
          <w:rStyle w:val="ac"/>
          <w:rtl/>
        </w:rPr>
        <w:footnoteRef/>
      </w:r>
      <w:r>
        <w:rPr>
          <w:rtl/>
        </w:rPr>
        <w:t>ו</w:t>
      </w:r>
      <w:r>
        <w:rPr>
          <w:b/>
          <w:bCs/>
          <w:rtl/>
        </w:rPr>
        <w:t>תוס'</w:t>
      </w:r>
      <w:r>
        <w:rPr>
          <w:rtl/>
        </w:rPr>
        <w:t xml:space="preserve"> (שם) תמהו מה קינוי שייך היכא דאינה נאסרת בסתירתה. [ותוס' הביאו כדאי' (שם יח:) דאינו יכול להשקותה היכא דאינה נאסרת ע"י הזנות. והמשנ"ל תמה דאף אם אינו משקה, מ"מ שייך קינוי להפסד כתובתה].</w:t>
      </w:r>
    </w:p>
  </w:footnote>
  <w:footnote w:id="3372">
    <w:p w14:paraId="4D2D4869" w14:textId="77777777" w:rsidR="006074A5" w:rsidRDefault="006074A5" w:rsidP="006074A5">
      <w:pPr>
        <w:pStyle w:val="Footnote"/>
        <w:bidi/>
      </w:pPr>
      <w:r>
        <w:rPr>
          <w:rStyle w:val="ac"/>
          <w:rtl/>
        </w:rPr>
        <w:footnoteRef/>
      </w:r>
      <w:r>
        <w:rPr>
          <w:rtl/>
        </w:rPr>
        <w:t xml:space="preserve">וע"ע </w:t>
      </w:r>
      <w:r>
        <w:rPr>
          <w:b/>
          <w:bCs/>
          <w:rtl/>
        </w:rPr>
        <w:t>אגר"מ</w:t>
      </w:r>
      <w:r>
        <w:rPr>
          <w:rtl/>
        </w:rPr>
        <w:t xml:space="preserve"> (אה"ע ד מד בסו"ד) דיש לאסור מצד הבגידה בבעל. וכן מחמת ידיעת האיסור, שאסור לאשת איש לזנות.</w:t>
      </w:r>
    </w:p>
  </w:footnote>
  <w:footnote w:id="3373">
    <w:p w14:paraId="5D3FD31D" w14:textId="77777777" w:rsidR="006074A5" w:rsidRDefault="006074A5" w:rsidP="006074A5">
      <w:pPr>
        <w:pStyle w:val="Footnote"/>
        <w:bidi/>
      </w:pPr>
      <w:r>
        <w:rPr>
          <w:rStyle w:val="ac"/>
          <w:rtl/>
        </w:rPr>
        <w:footnoteRef/>
      </w:r>
      <w:r>
        <w:rPr>
          <w:rtl/>
        </w:rPr>
        <w:t>ו</w:t>
      </w:r>
      <w:r>
        <w:rPr>
          <w:b/>
          <w:bCs/>
          <w:rtl/>
        </w:rPr>
        <w:t xml:space="preserve">רש"י </w:t>
      </w:r>
      <w:r>
        <w:rPr>
          <w:rtl/>
        </w:rPr>
        <w:t>(שם) פי' שבשרו נשחף וכלה, ואין בו כח. ו</w:t>
      </w:r>
      <w:r>
        <w:rPr>
          <w:b/>
          <w:bCs/>
          <w:rtl/>
        </w:rPr>
        <w:t>תוס'</w:t>
      </w:r>
      <w:r>
        <w:rPr>
          <w:rtl/>
        </w:rPr>
        <w:t xml:space="preserve"> (שם ד"ה שחוף) כתבו דהמ"ל סריס. [ולפ"ז י"ל דיכול להתקשות, אלא דאינו יכול להוליד. אבל הרמב"ם כת' דהוה משמש מת].</w:t>
      </w:r>
    </w:p>
  </w:footnote>
  <w:footnote w:id="3374">
    <w:p w14:paraId="7492D9BF" w14:textId="77777777" w:rsidR="006074A5" w:rsidRDefault="006074A5" w:rsidP="006074A5">
      <w:pPr>
        <w:pStyle w:val="Footnote"/>
        <w:bidi/>
      </w:pPr>
      <w:r>
        <w:rPr>
          <w:rStyle w:val="ac"/>
          <w:rtl/>
        </w:rPr>
        <w:footnoteRef/>
      </w:r>
      <w:r>
        <w:rPr>
          <w:rtl/>
        </w:rPr>
        <w:t>וכמו שנחשב זנות ליפסל לתרומה.</w:t>
      </w:r>
    </w:p>
  </w:footnote>
  <w:footnote w:id="3375">
    <w:p w14:paraId="40B868E7" w14:textId="77777777" w:rsidR="006074A5" w:rsidRDefault="006074A5" w:rsidP="006074A5">
      <w:pPr>
        <w:pStyle w:val="Footnote"/>
        <w:bidi/>
      </w:pPr>
      <w:r>
        <w:rPr>
          <w:rStyle w:val="ac"/>
          <w:rtl/>
        </w:rPr>
        <w:footnoteRef/>
      </w:r>
      <w:r>
        <w:rPr>
          <w:rtl/>
        </w:rPr>
        <w:t>וה</w:t>
      </w:r>
      <w:r>
        <w:rPr>
          <w:b/>
          <w:bCs/>
          <w:rtl/>
        </w:rPr>
        <w:t>מנח"ח</w:t>
      </w:r>
      <w:r>
        <w:rPr>
          <w:rtl/>
        </w:rPr>
        <w:t xml:space="preserve"> חלק דתנן (סוטה יח:) זה הכלל דאם אינה נאסרת אין מגלגלין עליו [וכקו' התוס' כג: ע"ד רש"י גבי שומרת יבם].</w:t>
      </w:r>
    </w:p>
  </w:footnote>
  <w:footnote w:id="3376">
    <w:p w14:paraId="7D9D2AC6" w14:textId="77777777" w:rsidR="006074A5" w:rsidRDefault="006074A5" w:rsidP="006074A5">
      <w:pPr>
        <w:pStyle w:val="Footnote"/>
        <w:bidi/>
      </w:pPr>
      <w:r>
        <w:rPr>
          <w:rStyle w:val="ac"/>
          <w:rtl/>
        </w:rPr>
        <w:footnoteRef/>
      </w:r>
      <w:r>
        <w:rPr>
          <w:rtl/>
        </w:rPr>
        <w:t>אלא דבסוגיין קמ"ל קרא שכבת זרע, למעט דבר אחר. ונתמעט דרך אברים. אבל לא נתמעט שחוף.</w:t>
      </w:r>
    </w:p>
  </w:footnote>
  <w:footnote w:id="3377">
    <w:p w14:paraId="117EEB5D" w14:textId="77777777" w:rsidR="006074A5" w:rsidRDefault="006074A5" w:rsidP="006074A5">
      <w:pPr>
        <w:pStyle w:val="Footnote"/>
        <w:bidi/>
      </w:pPr>
      <w:r>
        <w:rPr>
          <w:rStyle w:val="ac"/>
          <w:rtl/>
        </w:rPr>
        <w:footnoteRef/>
      </w:r>
      <w:r>
        <w:rPr>
          <w:rtl/>
        </w:rPr>
        <w:t>אבל ה</w:t>
      </w:r>
      <w:r>
        <w:rPr>
          <w:b/>
          <w:bCs/>
          <w:rtl/>
        </w:rPr>
        <w:t>שיירי קרבן</w:t>
      </w:r>
      <w:r>
        <w:rPr>
          <w:rtl/>
        </w:rPr>
        <w:t xml:space="preserve"> (ו א) הביא דבירושלמי משמע דצריך דוקא שיוציא זרע, ואל"כ לא מקרי גמר ביאה. וכן משמע בדברי רש"י (בסוגיין, ע' ר"א מן ההר שחלק בזה) ופסקי הרי"ד.</w:t>
      </w:r>
    </w:p>
  </w:footnote>
  <w:footnote w:id="3378">
    <w:p w14:paraId="4D1804F5" w14:textId="77777777" w:rsidR="006074A5" w:rsidRDefault="006074A5" w:rsidP="006074A5">
      <w:pPr>
        <w:pStyle w:val="Footnote"/>
        <w:bidi/>
      </w:pPr>
      <w:r>
        <w:rPr>
          <w:rStyle w:val="ac"/>
          <w:rtl/>
        </w:rPr>
        <w:footnoteRef/>
      </w:r>
      <w:r>
        <w:rPr>
          <w:rtl/>
        </w:rPr>
        <w:t>ויל"ד דלכאו' י"ל דלהחשב גמר ביאה בעינן הוצאת זרע, אלא דנתחדש גדר ביאה מחודש של העראה.</w:t>
      </w:r>
    </w:p>
  </w:footnote>
  <w:footnote w:id="3379">
    <w:p w14:paraId="2D83115B" w14:textId="77777777" w:rsidR="006074A5" w:rsidRDefault="006074A5" w:rsidP="006074A5">
      <w:pPr>
        <w:pStyle w:val="Footnote"/>
        <w:bidi/>
      </w:pPr>
      <w:r>
        <w:rPr>
          <w:rStyle w:val="ac"/>
          <w:rtl/>
        </w:rPr>
        <w:footnoteRef/>
      </w:r>
      <w:r>
        <w:rPr>
          <w:rtl/>
        </w:rPr>
        <w:t>ויש שדנו דכוונת הרמב"ן דהוה חיוב לאו דאשת איש, ולא חיוב מיתה [שלא יסתור מש"כ לקמן צו]. ודוחק.</w:t>
      </w:r>
    </w:p>
  </w:footnote>
  <w:footnote w:id="3380">
    <w:p w14:paraId="183DAE8C" w14:textId="77777777" w:rsidR="006074A5" w:rsidRDefault="006074A5" w:rsidP="006074A5">
      <w:pPr>
        <w:pStyle w:val="Footnote"/>
        <w:bidi/>
      </w:pPr>
      <w:r>
        <w:rPr>
          <w:rStyle w:val="ac"/>
          <w:rtl/>
        </w:rPr>
        <w:footnoteRef/>
      </w:r>
      <w:r>
        <w:rPr>
          <w:rtl/>
        </w:rPr>
        <w:t>שה</w:t>
      </w:r>
      <w:r>
        <w:rPr>
          <w:b/>
          <w:bCs/>
          <w:rtl/>
        </w:rPr>
        <w:t>רמב"ן</w:t>
      </w:r>
      <w:r>
        <w:rPr>
          <w:rtl/>
        </w:rPr>
        <w:t xml:space="preserve"> (לקמן צו. בסו"ד) כת' דילפי' מגזיה"כ דביאת קטן בן ט' הוה כביאת שוגג [דאי"צ דעת] וקנאה לדברים הכתובים בפרשה. וכת' דלדעת רב יש גזיה"כ דבביאת קטן אין חייבין מיתה, אבל שאר שוגג אינו פטור ממיתה. אבל לשמואל כשם שפטרה לזו, אף שאר שוגגין.</w:t>
      </w:r>
    </w:p>
    <w:p w14:paraId="115DE636" w14:textId="77777777" w:rsidR="006074A5" w:rsidRDefault="006074A5" w:rsidP="006074A5">
      <w:pPr>
        <w:pStyle w:val="Footnote"/>
        <w:bidi/>
      </w:pPr>
      <w:r>
        <w:rPr>
          <w:rtl/>
        </w:rPr>
        <w:tab/>
        <w:t>והרמב"ן סיים דדילמא מהתם גמר לה, דביאת שוגג קנה לדברים הכתובים בפרשה.</w:t>
      </w:r>
    </w:p>
  </w:footnote>
  <w:footnote w:id="3381">
    <w:p w14:paraId="5A5565AE" w14:textId="77777777" w:rsidR="006074A5" w:rsidRDefault="006074A5" w:rsidP="006074A5">
      <w:pPr>
        <w:pStyle w:val="Footnote"/>
        <w:bidi/>
      </w:pPr>
      <w:r>
        <w:rPr>
          <w:rStyle w:val="ac"/>
          <w:rtl/>
        </w:rPr>
        <w:footnoteRef/>
      </w:r>
      <w:r>
        <w:rPr>
          <w:rtl/>
        </w:rPr>
        <w:t>וב</w:t>
      </w:r>
      <w:r>
        <w:rPr>
          <w:b/>
          <w:bCs/>
          <w:rtl/>
        </w:rPr>
        <w:t>חי' ר' שמואל</w:t>
      </w:r>
      <w:r>
        <w:rPr>
          <w:rtl/>
        </w:rPr>
        <w:t xml:space="preserve"> עמד בסתירת הרמב"ן מסוגיין. [וה</w:t>
      </w:r>
      <w:r>
        <w:rPr>
          <w:b/>
          <w:bCs/>
          <w:rtl/>
        </w:rPr>
        <w:t>רמב"ן</w:t>
      </w:r>
      <w:r>
        <w:rPr>
          <w:rtl/>
        </w:rPr>
        <w:t xml:space="preserve"> (לקמן צו. בסו"ד) כת' דילפי' כן מקטן, דנתמעט דליכא חיוב מיתה ביבמת קטן. וה"ה שאר יבום בלא קנין גמור. וי"ל דהרמב"ן בסוגיין קאי למש"כ (שם בתחילת דבריו) כתוס' דקטן נתמעט דל"ק יבמתו. א"כ ליכא גילוי בקטן].</w:t>
      </w:r>
    </w:p>
  </w:footnote>
  <w:footnote w:id="3382">
    <w:p w14:paraId="192AA9AB" w14:textId="77777777" w:rsidR="006074A5" w:rsidRDefault="006074A5" w:rsidP="006074A5">
      <w:pPr>
        <w:pStyle w:val="Footnote"/>
        <w:bidi/>
      </w:pPr>
      <w:r>
        <w:rPr>
          <w:rStyle w:val="ac"/>
          <w:rtl/>
        </w:rPr>
        <w:footnoteRef/>
      </w:r>
      <w:r>
        <w:rPr>
          <w:rtl/>
        </w:rPr>
        <w:t>[וכעי"ז מצאנו (לעיל יח:) גבי זיקה ככנוסה דיש ראשונים דאין חיוב מיתה, אף דקנאה לפוטרה. וכן במאמר לבית שמאי ע' מה שהו' לעיל כט].</w:t>
      </w:r>
    </w:p>
  </w:footnote>
  <w:footnote w:id="3383">
    <w:p w14:paraId="14BBB65A" w14:textId="77777777" w:rsidR="006074A5" w:rsidRDefault="006074A5" w:rsidP="006074A5">
      <w:pPr>
        <w:pStyle w:val="Footnote"/>
        <w:bidi/>
      </w:pPr>
      <w:r>
        <w:rPr>
          <w:rStyle w:val="ac"/>
          <w:rtl/>
        </w:rPr>
        <w:footnoteRef/>
      </w:r>
      <w:r>
        <w:rPr>
          <w:rtl/>
        </w:rPr>
        <w:t>וכדאי' לל"ב בסמוך.</w:t>
      </w:r>
    </w:p>
  </w:footnote>
  <w:footnote w:id="3384">
    <w:p w14:paraId="004F5B23" w14:textId="77777777" w:rsidR="006074A5" w:rsidRDefault="006074A5" w:rsidP="006074A5">
      <w:pPr>
        <w:pStyle w:val="Footnote"/>
        <w:bidi/>
      </w:pPr>
      <w:r>
        <w:rPr>
          <w:rStyle w:val="ac"/>
          <w:rtl/>
        </w:rPr>
        <w:footnoteRef/>
      </w:r>
      <w:r>
        <w:rPr>
          <w:rtl/>
        </w:rPr>
        <w:t>אך במשנה משמע דיש ס"ד דתלי בדעת דידה, דהוזכר היא שוגגת או מזידה.</w:t>
      </w:r>
    </w:p>
  </w:footnote>
  <w:footnote w:id="3385">
    <w:p w14:paraId="7F680947" w14:textId="77777777" w:rsidR="006074A5" w:rsidRDefault="006074A5" w:rsidP="006074A5">
      <w:pPr>
        <w:pStyle w:val="Footnote"/>
        <w:bidi/>
      </w:pPr>
      <w:r>
        <w:rPr>
          <w:rStyle w:val="ac"/>
          <w:rtl/>
        </w:rPr>
        <w:footnoteRef/>
      </w:r>
      <w:r>
        <w:rPr>
          <w:rtl/>
        </w:rPr>
        <w:t>וצ"ל דיש סברא לדרוש בקרא דביאה שאינו 'מעשה אישות' אינו עושה קנין אישות להיות אשתו גמורה.</w:t>
      </w:r>
    </w:p>
  </w:footnote>
  <w:footnote w:id="3386">
    <w:p w14:paraId="5538F882" w14:textId="77777777" w:rsidR="006074A5" w:rsidRDefault="006074A5" w:rsidP="006074A5">
      <w:pPr>
        <w:pStyle w:val="Footnote"/>
        <w:bidi/>
      </w:pPr>
      <w:r>
        <w:rPr>
          <w:rStyle w:val="ac"/>
          <w:rtl/>
        </w:rPr>
        <w:footnoteRef/>
      </w:r>
      <w:r>
        <w:rPr>
          <w:rtl/>
        </w:rPr>
        <w:t>לצד דבע"כ קונה לכל דבר.</w:t>
      </w:r>
    </w:p>
  </w:footnote>
  <w:footnote w:id="3387">
    <w:p w14:paraId="05A263EE" w14:textId="77777777" w:rsidR="006074A5" w:rsidRDefault="006074A5" w:rsidP="006074A5">
      <w:pPr>
        <w:pStyle w:val="Footnote"/>
        <w:bidi/>
      </w:pPr>
      <w:r>
        <w:rPr>
          <w:rStyle w:val="ac"/>
          <w:rtl/>
        </w:rPr>
        <w:footnoteRef/>
      </w:r>
      <w:r>
        <w:rPr>
          <w:rtl/>
        </w:rPr>
        <w:t>וי"ל דכל שגומר ביאתו, נחשב הכל ביאה א' חשובה, וסגי בזה לקנות. ואילו הירושלמי איירי בהערה ופירש. [וע"ד מה שהו' לעיל נה:].</w:t>
      </w:r>
    </w:p>
  </w:footnote>
  <w:footnote w:id="3388">
    <w:p w14:paraId="41E046A0" w14:textId="77777777" w:rsidR="006074A5" w:rsidRDefault="006074A5" w:rsidP="006074A5">
      <w:pPr>
        <w:pStyle w:val="Footnote"/>
        <w:bidi/>
      </w:pPr>
      <w:r>
        <w:rPr>
          <w:rStyle w:val="ac"/>
          <w:rtl/>
        </w:rPr>
        <w:footnoteRef/>
      </w:r>
      <w:r>
        <w:rPr>
          <w:rtl/>
        </w:rPr>
        <w:t>אך ב</w:t>
      </w:r>
      <w:r>
        <w:rPr>
          <w:b/>
          <w:bCs/>
          <w:rtl/>
        </w:rPr>
        <w:t>מדרש תנאים</w:t>
      </w:r>
      <w:r>
        <w:rPr>
          <w:rtl/>
        </w:rPr>
        <w:t xml:space="preserve"> (דברים כה ה) אי' ס"ד הרי שהיו ה' יבמים ליבמה א' קורא אני על כל א' וא' ולקחה לו לאשה, ת"ל יבמה יבא עליה. מגיד הכת' שכיון שבעל אחד מהן נפטרו כולם.</w:t>
      </w:r>
    </w:p>
  </w:footnote>
  <w:footnote w:id="3389">
    <w:p w14:paraId="5402458F" w14:textId="77777777" w:rsidR="006074A5" w:rsidRDefault="006074A5" w:rsidP="006074A5">
      <w:pPr>
        <w:pStyle w:val="Footnote"/>
        <w:bidi/>
      </w:pPr>
      <w:r>
        <w:rPr>
          <w:rStyle w:val="ac"/>
          <w:rtl/>
        </w:rPr>
        <w:footnoteRef/>
      </w:r>
      <w:r>
        <w:rPr>
          <w:rtl/>
        </w:rPr>
        <w:t>ולר' יוחנן (לעיל יא.) היבום הוה גדר בשליחותייהו [ע' מש"כ לעיל שם]. ואילו לר"ל הגדר דנתברר שאינה זקוקה לו. [אך לכו"ע הכא חייב מחמת אשת אח של החי].</w:t>
      </w:r>
    </w:p>
  </w:footnote>
  <w:footnote w:id="3390">
    <w:p w14:paraId="76336C31" w14:textId="77777777" w:rsidR="006074A5" w:rsidRDefault="006074A5" w:rsidP="006074A5">
      <w:pPr>
        <w:pStyle w:val="Footnote"/>
        <w:bidi/>
      </w:pPr>
      <w:r>
        <w:rPr>
          <w:rStyle w:val="ac"/>
          <w:rtl/>
        </w:rPr>
        <w:footnoteRef/>
      </w:r>
      <w:r>
        <w:rPr>
          <w:rtl/>
        </w:rPr>
        <w:t>וב</w:t>
      </w:r>
      <w:r>
        <w:rPr>
          <w:b/>
          <w:bCs/>
          <w:rtl/>
        </w:rPr>
        <w:t>חי' הגר"נ</w:t>
      </w:r>
      <w:r>
        <w:rPr>
          <w:rtl/>
        </w:rPr>
        <w:t xml:space="preserve"> (לעיל יח:) הביא בשם הברכ"ש דילפי' מהך קרא גדר מאמר לבי"ש דמפקיע זיקת היבום. דקנין היבם מצד עצמו פוטר את היבמה.</w:t>
      </w:r>
    </w:p>
  </w:footnote>
  <w:footnote w:id="3391">
    <w:p w14:paraId="2DCA8D90" w14:textId="77777777" w:rsidR="006074A5" w:rsidRDefault="006074A5" w:rsidP="006074A5">
      <w:pPr>
        <w:pStyle w:val="Footnote"/>
        <w:bidi/>
      </w:pPr>
      <w:r>
        <w:rPr>
          <w:rStyle w:val="ac"/>
          <w:rtl/>
        </w:rPr>
        <w:footnoteRef/>
      </w:r>
      <w:r>
        <w:rPr>
          <w:rtl/>
        </w:rPr>
        <w:t>וה</w:t>
      </w:r>
      <w:r>
        <w:rPr>
          <w:b/>
          <w:bCs/>
          <w:rtl/>
        </w:rPr>
        <w:t>כס"מ</w:t>
      </w:r>
      <w:r>
        <w:rPr>
          <w:rtl/>
        </w:rPr>
        <w:t xml:space="preserve"> (שם) כתב דכ"ד רש"י, אבל ה</w:t>
      </w:r>
      <w:r>
        <w:rPr>
          <w:b/>
          <w:bCs/>
          <w:rtl/>
        </w:rPr>
        <w:t>ריטב"א</w:t>
      </w:r>
      <w:r>
        <w:rPr>
          <w:rtl/>
        </w:rPr>
        <w:t xml:space="preserve"> (כאן) דייק מרש"י דקאי רק אביאת שוגג.</w:t>
      </w:r>
    </w:p>
  </w:footnote>
  <w:footnote w:id="3392">
    <w:p w14:paraId="4EA5873B" w14:textId="77777777" w:rsidR="006074A5" w:rsidRDefault="006074A5" w:rsidP="006074A5">
      <w:pPr>
        <w:pStyle w:val="Footnote"/>
        <w:bidi/>
      </w:pPr>
      <w:r>
        <w:rPr>
          <w:rStyle w:val="ac"/>
          <w:rtl/>
        </w:rPr>
        <w:footnoteRef/>
      </w:r>
      <w:r>
        <w:rPr>
          <w:rtl/>
        </w:rPr>
        <w:t>וי"ל דהראשונים לשיטתם דאף בקידושין מהני העראה [אלא דאין דעתו על גמ"ב]. וה</w:t>
      </w:r>
      <w:r>
        <w:rPr>
          <w:b/>
          <w:bCs/>
          <w:rtl/>
        </w:rPr>
        <w:t>רי"ף</w:t>
      </w:r>
      <w:r>
        <w:rPr>
          <w:rtl/>
        </w:rPr>
        <w:t xml:space="preserve"> לשיטתו (נה:) דל"מ ביאה אלא לנישואין.</w:t>
      </w:r>
    </w:p>
  </w:footnote>
  <w:footnote w:id="3393">
    <w:p w14:paraId="3F41CBEF" w14:textId="77777777" w:rsidR="006074A5" w:rsidRDefault="006074A5" w:rsidP="006074A5">
      <w:pPr>
        <w:pStyle w:val="Footnote"/>
        <w:bidi/>
      </w:pPr>
      <w:r>
        <w:rPr>
          <w:rStyle w:val="ac"/>
          <w:rtl/>
        </w:rPr>
        <w:footnoteRef/>
      </w:r>
      <w:r>
        <w:rPr>
          <w:rtl/>
        </w:rPr>
        <w:t>אבל ה</w:t>
      </w:r>
      <w:r>
        <w:rPr>
          <w:b/>
          <w:bCs/>
          <w:rtl/>
        </w:rPr>
        <w:t>חזו"א</w:t>
      </w:r>
      <w:r>
        <w:rPr>
          <w:rtl/>
        </w:rPr>
        <w:t xml:space="preserve"> (ועוד אחרונים) פי' דכוונת הב"י דהחילוק בין אירוסין לנישואין הוה לתרומה. אבל עיקר מח' רב ושמואל הוה לכל מילי דנישואין. אלא דלהלכה קי"ל כרב דביאה גרועה קני לכל, ורק בארוסה מעיקרא אינה אוכלת בתרומה, וכדברי הרמב"ן.</w:t>
      </w:r>
    </w:p>
  </w:footnote>
  <w:footnote w:id="3394">
    <w:p w14:paraId="5A396012" w14:textId="77777777" w:rsidR="006074A5" w:rsidRDefault="006074A5" w:rsidP="006074A5">
      <w:pPr>
        <w:pStyle w:val="Footnote"/>
        <w:bidi/>
      </w:pPr>
      <w:r>
        <w:rPr>
          <w:rStyle w:val="ac"/>
          <w:rtl/>
        </w:rPr>
        <w:footnoteRef/>
      </w:r>
      <w:r>
        <w:rPr>
          <w:rtl/>
        </w:rPr>
        <w:t>[וצ"ע דבגמ' אי' דלדעת שמואל קנה דוקא לדברים הכתובים בפרשה. ובשלמא לשא"ר מח' רב ושמואל בכל מילי. ורב מודה לשמואל ביבמה מהאירוסין דוקא לענין תרומה. אלא דקשה דהו"ל לרמב"ם להביא נידון זה בהלכות יבום, ולפסוק כרב].</w:t>
      </w:r>
    </w:p>
  </w:footnote>
  <w:footnote w:id="3395">
    <w:p w14:paraId="662780FB" w14:textId="77777777" w:rsidR="006074A5" w:rsidRDefault="006074A5" w:rsidP="006074A5">
      <w:pPr>
        <w:pStyle w:val="Footnote"/>
        <w:bidi/>
      </w:pPr>
      <w:r>
        <w:rPr>
          <w:rStyle w:val="ac"/>
          <w:rtl/>
        </w:rPr>
        <w:footnoteRef/>
      </w:r>
      <w:r>
        <w:rPr>
          <w:rtl/>
        </w:rPr>
        <w:t>וה</w:t>
      </w:r>
      <w:r>
        <w:rPr>
          <w:b/>
          <w:bCs/>
          <w:rtl/>
        </w:rPr>
        <w:t>הפלאה</w:t>
      </w:r>
      <w:r>
        <w:rPr>
          <w:rtl/>
        </w:rPr>
        <w:t xml:space="preserve"> (שם) דן דלפ"ז תלי במח' יש זיקה או אין זיקה. אבל ה</w:t>
      </w:r>
      <w:r>
        <w:rPr>
          <w:b/>
          <w:bCs/>
          <w:rtl/>
        </w:rPr>
        <w:t>אחרונים</w:t>
      </w:r>
      <w:r>
        <w:rPr>
          <w:rtl/>
        </w:rPr>
        <w:t xml:space="preserve"> דחו [ע"פ דברי השיטמ"ק נדרים עד] דהמח' לענין גדרי 'שאר', ואילו אכילת תרומה הוה משום 'קנין'. ומש"ה אינה אוכלת בתרומה.</w:t>
      </w:r>
    </w:p>
  </w:footnote>
  <w:footnote w:id="3396">
    <w:p w14:paraId="148C1359" w14:textId="77777777" w:rsidR="006074A5" w:rsidRDefault="006074A5" w:rsidP="006074A5">
      <w:pPr>
        <w:pStyle w:val="Footnote"/>
        <w:bidi/>
      </w:pPr>
      <w:r>
        <w:rPr>
          <w:rStyle w:val="ac"/>
          <w:rtl/>
        </w:rPr>
        <w:footnoteRef/>
      </w:r>
      <w:r>
        <w:rPr>
          <w:rtl/>
        </w:rPr>
        <w:t>[דיש לחרש דעת להחשב כוונת ביאה לקנות ביבום (ע' לעיל נד.) אלא דלא נחשב כוונת קנין ומצוות יבום].</w:t>
      </w:r>
    </w:p>
  </w:footnote>
  <w:footnote w:id="3397">
    <w:p w14:paraId="5CCF01F7" w14:textId="77777777" w:rsidR="006074A5" w:rsidRDefault="006074A5" w:rsidP="006074A5">
      <w:pPr>
        <w:pStyle w:val="Footnote"/>
        <w:bidi/>
      </w:pPr>
      <w:r>
        <w:rPr>
          <w:rStyle w:val="ac"/>
          <w:rtl/>
        </w:rPr>
        <w:footnoteRef/>
      </w:r>
      <w:r>
        <w:rPr>
          <w:rtl/>
        </w:rPr>
        <w:t xml:space="preserve">וכאילו התנה ע"מ שאין בה מום, וכמ"ש </w:t>
      </w:r>
      <w:r>
        <w:rPr>
          <w:b/>
          <w:bCs/>
          <w:rtl/>
        </w:rPr>
        <w:t>רע"א</w:t>
      </w:r>
      <w:r>
        <w:rPr>
          <w:rtl/>
        </w:rPr>
        <w:t xml:space="preserve"> (ת' נו) דמקח טעות דהוה מפרשת תנאים [וכיון דל"מ תנאי בחופה, ומש"ה ל"ש בזה אף גדר מקח טעות]. אבל ה</w:t>
      </w:r>
      <w:r>
        <w:rPr>
          <w:b/>
          <w:bCs/>
          <w:rtl/>
        </w:rPr>
        <w:t>בית הלוי</w:t>
      </w:r>
      <w:r>
        <w:rPr>
          <w:rtl/>
        </w:rPr>
        <w:t xml:space="preserve"> (ג ג) נקט דמקח טעות אינו מדין תנאי [ומ"מ י"ל דהקפידא מגדיר האם הוה שינוי בחפץ, וכעי"ז מצאנו בכמה מקומות גבי אונאה].</w:t>
      </w:r>
    </w:p>
  </w:footnote>
  <w:footnote w:id="3398">
    <w:p w14:paraId="0C8B4942" w14:textId="77777777" w:rsidR="006074A5" w:rsidRDefault="006074A5" w:rsidP="006074A5">
      <w:pPr>
        <w:pStyle w:val="Footnote"/>
        <w:bidi/>
      </w:pPr>
      <w:r>
        <w:rPr>
          <w:rStyle w:val="ac"/>
          <w:rtl/>
        </w:rPr>
        <w:footnoteRef/>
      </w:r>
      <w:r>
        <w:rPr>
          <w:rtl/>
        </w:rPr>
        <w:t>ועד"ז דעת ה</w:t>
      </w:r>
      <w:r>
        <w:rPr>
          <w:b/>
          <w:bCs/>
          <w:rtl/>
        </w:rPr>
        <w:t>ר"א מבורגוייל</w:t>
      </w:r>
      <w:r>
        <w:rPr>
          <w:rtl/>
        </w:rPr>
        <w:t xml:space="preserve"> (בתוס' לעיל ב:) גבי אילונית, דהיכא דידע והקפיד אינה צריכה גט. אבל אל"כ צריכה גט [אך משמע דהוה מספק].</w:t>
      </w:r>
    </w:p>
  </w:footnote>
  <w:footnote w:id="3399">
    <w:p w14:paraId="56862B5D" w14:textId="77777777" w:rsidR="006074A5" w:rsidRDefault="006074A5" w:rsidP="006074A5">
      <w:pPr>
        <w:pStyle w:val="Footnote"/>
        <w:bidi/>
      </w:pPr>
      <w:r>
        <w:rPr>
          <w:rStyle w:val="ac"/>
          <w:rtl/>
        </w:rPr>
        <w:footnoteRef/>
      </w:r>
      <w:r>
        <w:rPr>
          <w:rtl/>
        </w:rPr>
        <w:t>ועפ"ז ביארו ה</w:t>
      </w:r>
      <w:r>
        <w:rPr>
          <w:b/>
          <w:bCs/>
          <w:rtl/>
        </w:rPr>
        <w:t>אחרונים</w:t>
      </w:r>
      <w:r>
        <w:rPr>
          <w:rtl/>
        </w:rPr>
        <w:t xml:space="preserve"> דתנאי במומין הוה תנאי להבא, האם יראה ויקפיד. ומש"ה מהני מחילה שאינו מקפיד במום [כדאי' בכתובות עג., עי"ש ר"ן דתלי בקפידא. אך יש ראשונים שם דהוה קידושין מכאן ולהבא].</w:t>
      </w:r>
    </w:p>
  </w:footnote>
  <w:footnote w:id="3400">
    <w:p w14:paraId="743A6613" w14:textId="77777777" w:rsidR="006074A5" w:rsidRDefault="006074A5" w:rsidP="006074A5">
      <w:pPr>
        <w:pStyle w:val="Footnote"/>
        <w:bidi/>
      </w:pPr>
      <w:r>
        <w:rPr>
          <w:rStyle w:val="ac"/>
          <w:rtl/>
        </w:rPr>
        <w:footnoteRef/>
      </w:r>
      <w:r>
        <w:rPr>
          <w:rtl/>
        </w:rPr>
        <w:t>וכ"ה לשון הרמב"ן שאינה קונה לו מן הדין.</w:t>
      </w:r>
    </w:p>
    <w:p w14:paraId="7F6AD831" w14:textId="77777777" w:rsidR="006074A5" w:rsidRDefault="006074A5" w:rsidP="006074A5">
      <w:pPr>
        <w:pStyle w:val="Footnote"/>
        <w:bidi/>
      </w:pPr>
      <w:r>
        <w:rPr>
          <w:rtl/>
        </w:rPr>
        <w:tab/>
        <w:t>[אך בסוגיין היה אפשר לדחות דקנה בנישואין לכל דבר, אלא דיש חשש סמפון (וע' תוס'). אך לא משמע כן].</w:t>
      </w:r>
    </w:p>
  </w:footnote>
  <w:footnote w:id="3401">
    <w:p w14:paraId="40F4C237" w14:textId="77777777" w:rsidR="006074A5" w:rsidRDefault="006074A5" w:rsidP="006074A5">
      <w:pPr>
        <w:pStyle w:val="Footnote"/>
        <w:bidi/>
      </w:pPr>
      <w:r>
        <w:rPr>
          <w:rStyle w:val="ac"/>
          <w:rtl/>
        </w:rPr>
        <w:footnoteRef/>
      </w:r>
      <w:r>
        <w:rPr>
          <w:rtl/>
        </w:rPr>
        <w:t>וכן הביאו ה</w:t>
      </w:r>
      <w:r>
        <w:rPr>
          <w:b/>
          <w:bCs/>
          <w:rtl/>
        </w:rPr>
        <w:t>אחרונים</w:t>
      </w:r>
      <w:r>
        <w:rPr>
          <w:rtl/>
        </w:rPr>
        <w:t xml:space="preserve"> (קה"י קידושין יט ועוד) [מדברי המרדכי] דחופה ונישואין אינם 'מעשה קנין', אלא מציאות שעי"ז נוצר מצב נשואה.</w:t>
      </w:r>
    </w:p>
    <w:p w14:paraId="08CB9FE9" w14:textId="77777777" w:rsidR="006074A5" w:rsidRDefault="006074A5" w:rsidP="006074A5">
      <w:pPr>
        <w:pStyle w:val="Footnote"/>
        <w:bidi/>
      </w:pPr>
      <w:r>
        <w:rPr>
          <w:rtl/>
        </w:rPr>
        <w:tab/>
        <w:t>ועוד יש שדנו דיהני נישואי חרש ע"י גדול עומד על גביו (ע"ע לקמן קד:). אמנם ה</w:t>
      </w:r>
      <w:r>
        <w:rPr>
          <w:b/>
          <w:bCs/>
          <w:rtl/>
        </w:rPr>
        <w:t>גר"ח</w:t>
      </w:r>
      <w:r>
        <w:rPr>
          <w:rtl/>
        </w:rPr>
        <w:t xml:space="preserve"> (יבום ד) כת' דל"מ עומד ע"ג בדבר שצריך דעת בעלים. [ועד"ז כת' הבית מאיר (קכא ו)].</w:t>
      </w:r>
    </w:p>
  </w:footnote>
  <w:footnote w:id="3402">
    <w:p w14:paraId="06C25EA7" w14:textId="77777777" w:rsidR="006074A5" w:rsidRDefault="006074A5" w:rsidP="006074A5">
      <w:pPr>
        <w:pStyle w:val="Footnote"/>
        <w:bidi/>
      </w:pPr>
      <w:r>
        <w:rPr>
          <w:rStyle w:val="ac"/>
          <w:rtl/>
        </w:rPr>
        <w:footnoteRef/>
      </w:r>
      <w:r>
        <w:rPr>
          <w:rtl/>
        </w:rPr>
        <w:t>וה</w:t>
      </w:r>
      <w:r>
        <w:rPr>
          <w:b/>
          <w:bCs/>
          <w:rtl/>
        </w:rPr>
        <w:t>קר"א</w:t>
      </w:r>
      <w:r>
        <w:rPr>
          <w:rtl/>
        </w:rPr>
        <w:t xml:space="preserve"> כת' ליישב עד"ז קו' הגמ' (לעיל) לשמואל [דקאי בקשיא, ולא בתיובתא]. דכיון דהחרש נשאה והוה כאשתו תחתיו, מש"ה אוכלת כנשואה. [ועדיף מביאת שוגג דהוה מעשה בעלמא, ואינה תחתיו].</w:t>
      </w:r>
    </w:p>
  </w:footnote>
  <w:footnote w:id="3403">
    <w:p w14:paraId="69B5D833" w14:textId="77777777" w:rsidR="006074A5" w:rsidRDefault="006074A5" w:rsidP="006074A5">
      <w:pPr>
        <w:pStyle w:val="Footnote"/>
        <w:bidi/>
      </w:pPr>
      <w:r>
        <w:rPr>
          <w:rStyle w:val="ac"/>
          <w:rtl/>
        </w:rPr>
        <w:footnoteRef/>
      </w:r>
      <w:r>
        <w:rPr>
          <w:rtl/>
        </w:rPr>
        <w:t>[ואף קודם קידושין, ולאחר שגדל וקידשה מהני להחשב שהיתה תחילת הנישואין משעת קטנות וכתובתה מאתיים].</w:t>
      </w:r>
    </w:p>
  </w:footnote>
  <w:footnote w:id="3404">
    <w:p w14:paraId="00340AD3" w14:textId="77777777" w:rsidR="006074A5" w:rsidRDefault="006074A5" w:rsidP="006074A5">
      <w:pPr>
        <w:pStyle w:val="Footnote"/>
        <w:bidi/>
      </w:pPr>
      <w:r>
        <w:rPr>
          <w:rStyle w:val="ac"/>
          <w:rtl/>
        </w:rPr>
        <w:footnoteRef/>
      </w:r>
      <w:r>
        <w:rPr>
          <w:rtl/>
        </w:rPr>
        <w:t>דה</w:t>
      </w:r>
      <w:r>
        <w:rPr>
          <w:b/>
          <w:bCs/>
          <w:rtl/>
        </w:rPr>
        <w:t>מרדכי</w:t>
      </w:r>
      <w:r>
        <w:rPr>
          <w:rtl/>
        </w:rPr>
        <w:t xml:space="preserve"> (קידושין תקטז והג' מיימוניות אישות כב ב) הביא דדעת </w:t>
      </w:r>
      <w:r>
        <w:rPr>
          <w:b/>
          <w:bCs/>
          <w:rtl/>
        </w:rPr>
        <w:t>ר' אפרים ב"ר יצחק</w:t>
      </w:r>
      <w:r>
        <w:rPr>
          <w:rtl/>
        </w:rPr>
        <w:t xml:space="preserve"> דחופה במקום קנין קיימא, ול"מ בקטנה. והביא ד</w:t>
      </w:r>
      <w:r>
        <w:rPr>
          <w:b/>
          <w:bCs/>
          <w:rtl/>
        </w:rPr>
        <w:t>ר"ת</w:t>
      </w:r>
      <w:r>
        <w:rPr>
          <w:rtl/>
        </w:rPr>
        <w:t xml:space="preserve"> חלק דהיכא דהגיע הזמן מהני נישואין. [ובסוגיא (קידושין מה:) נתקדשה מדעת אביה, ונשאת שלא מדעת אביה איירי בחיי האב].</w:t>
      </w:r>
    </w:p>
  </w:footnote>
  <w:footnote w:id="3405">
    <w:p w14:paraId="67900283" w14:textId="77777777" w:rsidR="006074A5" w:rsidRDefault="006074A5" w:rsidP="006074A5">
      <w:pPr>
        <w:pStyle w:val="Footnote"/>
        <w:bidi/>
      </w:pPr>
      <w:r>
        <w:rPr>
          <w:rStyle w:val="ac"/>
          <w:rtl/>
        </w:rPr>
        <w:footnoteRef/>
      </w:r>
      <w:r>
        <w:rPr>
          <w:rtl/>
        </w:rPr>
        <w:t>אך ה</w:t>
      </w:r>
      <w:r>
        <w:rPr>
          <w:b/>
          <w:bCs/>
          <w:rtl/>
        </w:rPr>
        <w:t>או"ש</w:t>
      </w:r>
      <w:r>
        <w:rPr>
          <w:rtl/>
        </w:rPr>
        <w:t xml:space="preserve"> (אישות י) חילק דל"צ דעת האשה, דהוה זכות לה. אבל צריך דעת האיש.</w:t>
      </w:r>
    </w:p>
  </w:footnote>
  <w:footnote w:id="3406">
    <w:p w14:paraId="1ABD4ED5" w14:textId="77777777" w:rsidR="006074A5" w:rsidRDefault="006074A5" w:rsidP="006074A5">
      <w:pPr>
        <w:pStyle w:val="Footnote"/>
        <w:bidi/>
      </w:pPr>
      <w:r>
        <w:rPr>
          <w:rStyle w:val="ac"/>
          <w:rtl/>
        </w:rPr>
        <w:footnoteRef/>
      </w:r>
      <w:r>
        <w:rPr>
          <w:rtl/>
        </w:rPr>
        <w:t>פ</w:t>
      </w:r>
      <w:r>
        <w:rPr>
          <w:b/>
          <w:bCs/>
          <w:rtl/>
        </w:rPr>
        <w:t>רש"י</w:t>
      </w:r>
      <w:r>
        <w:rPr>
          <w:rtl/>
        </w:rPr>
        <w:t xml:space="preserve"> (שם) דאתו נישואין דרבנן ומהנו לתרומה דרבנן. [וכדאי' (שם) בקטנה שהשיאה אמה ואחיה שאוכלת בתרומה דרבנן].</w:t>
      </w:r>
    </w:p>
  </w:footnote>
  <w:footnote w:id="3407">
    <w:p w14:paraId="6B86112D" w14:textId="77777777" w:rsidR="006074A5" w:rsidRDefault="006074A5" w:rsidP="006074A5">
      <w:pPr>
        <w:pStyle w:val="Footnote"/>
        <w:bidi/>
      </w:pPr>
      <w:r>
        <w:rPr>
          <w:rStyle w:val="ac"/>
          <w:rtl/>
        </w:rPr>
        <w:footnoteRef/>
      </w:r>
      <w:r>
        <w:rPr>
          <w:rtl/>
        </w:rPr>
        <w:t>אבל בקטנה לא גזרו, דאף אי אכל, קטן אוכל נבילות אין בי"ד מצווין להפרישו.</w:t>
      </w:r>
    </w:p>
  </w:footnote>
  <w:footnote w:id="3408">
    <w:p w14:paraId="114DD659" w14:textId="77777777" w:rsidR="006074A5" w:rsidRDefault="006074A5" w:rsidP="006074A5">
      <w:pPr>
        <w:pStyle w:val="Footnote"/>
        <w:bidi/>
      </w:pPr>
      <w:r>
        <w:rPr>
          <w:rStyle w:val="ac"/>
          <w:rtl/>
        </w:rPr>
        <w:footnoteRef/>
      </w:r>
      <w:r>
        <w:rPr>
          <w:rtl/>
        </w:rPr>
        <w:t>ואף דמדאורייתא ארוסה אוכלת בתרומה ול"ש לגזור.</w:t>
      </w:r>
    </w:p>
    <w:p w14:paraId="7224D67E" w14:textId="77777777" w:rsidR="006074A5" w:rsidRDefault="006074A5" w:rsidP="006074A5">
      <w:pPr>
        <w:pStyle w:val="Footnote"/>
        <w:bidi/>
      </w:pPr>
      <w:r>
        <w:rPr>
          <w:rtl/>
        </w:rPr>
        <w:tab/>
        <w:t>וכן בגמ' (לעיל) ביבמה שנופלת לפני חרש, ומדאורייתא החרש קנאה [לדברים הכתובים בפרשה] כדין ביאת שוגג. ואף דהחרש הכניסה לחופה ונשאה [בנישואי חרש דרבנן] אינו מאכיל בתרומה. [היכא דנפלה מאירוסין. וכן לשמואל לל"ב].</w:t>
      </w:r>
    </w:p>
  </w:footnote>
  <w:footnote w:id="3409">
    <w:p w14:paraId="0A458887" w14:textId="77777777" w:rsidR="006074A5" w:rsidRDefault="006074A5" w:rsidP="006074A5">
      <w:pPr>
        <w:pStyle w:val="Footnote"/>
        <w:bidi/>
      </w:pPr>
      <w:r>
        <w:rPr>
          <w:rStyle w:val="ac"/>
          <w:rtl/>
        </w:rPr>
        <w:footnoteRef/>
      </w:r>
      <w:r>
        <w:rPr>
          <w:rtl/>
        </w:rPr>
        <w:t>ולכאו' הוה מסברא, ול"מ דצריך בזה ילפותא מקרא. [ובת כהן שנשאת לישראל דרשי' ושבה אל בית אביה, לחזור ולאכול. אבל להיפך ל"צ קרא].</w:t>
      </w:r>
    </w:p>
  </w:footnote>
  <w:footnote w:id="3410">
    <w:p w14:paraId="2893541F" w14:textId="77777777" w:rsidR="006074A5" w:rsidRDefault="006074A5" w:rsidP="006074A5">
      <w:pPr>
        <w:pStyle w:val="Footnote"/>
        <w:bidi/>
      </w:pPr>
      <w:r>
        <w:rPr>
          <w:rStyle w:val="ac"/>
          <w:rtl/>
        </w:rPr>
        <w:footnoteRef/>
      </w:r>
      <w:r>
        <w:rPr>
          <w:rtl/>
        </w:rPr>
        <w:t>אבל דעת רבה בסוגיין דמהני 'שכבר אכלה' אף היכא דפקע קנינו. וביארו דהיינו דוקא הכא דמדאו' אוכלת משעת אירוסין. ומדרבנן סמכו על סברת שכבר אכלה.</w:t>
      </w:r>
    </w:p>
  </w:footnote>
  <w:footnote w:id="3411">
    <w:p w14:paraId="370F0221" w14:textId="77777777" w:rsidR="006074A5" w:rsidRDefault="006074A5" w:rsidP="006074A5">
      <w:pPr>
        <w:pStyle w:val="Footnote"/>
        <w:bidi/>
      </w:pPr>
      <w:r>
        <w:rPr>
          <w:rStyle w:val="ac"/>
          <w:rtl/>
        </w:rPr>
        <w:footnoteRef/>
      </w:r>
      <w:r>
        <w:rPr>
          <w:rtl/>
        </w:rPr>
        <w:t>דהוה קנין כספו של כהן [וע' לקמן סו.].</w:t>
      </w:r>
    </w:p>
  </w:footnote>
  <w:footnote w:id="3412">
    <w:p w14:paraId="55D16FCC" w14:textId="77777777" w:rsidR="006074A5" w:rsidRDefault="006074A5" w:rsidP="006074A5">
      <w:pPr>
        <w:pStyle w:val="Footnote"/>
        <w:bidi/>
      </w:pPr>
      <w:r>
        <w:rPr>
          <w:rStyle w:val="ac"/>
          <w:rtl/>
        </w:rPr>
        <w:footnoteRef/>
      </w:r>
      <w:r>
        <w:rPr>
          <w:rtl/>
        </w:rPr>
        <w:t>וכ"ה לשון ה</w:t>
      </w:r>
      <w:r>
        <w:rPr>
          <w:b/>
          <w:bCs/>
          <w:rtl/>
        </w:rPr>
        <w:t>ר"ש</w:t>
      </w:r>
      <w:r>
        <w:rPr>
          <w:rtl/>
        </w:rPr>
        <w:t xml:space="preserve"> (תרומות ו ב) דנעשית כהנת בנשואיה. וכ"כ ה</w:t>
      </w:r>
      <w:r>
        <w:rPr>
          <w:b/>
          <w:bCs/>
          <w:rtl/>
        </w:rPr>
        <w:t>קרי"ס</w:t>
      </w:r>
      <w:r>
        <w:rPr>
          <w:rtl/>
        </w:rPr>
        <w:t xml:space="preserve"> (תרומות י). ובסוגיין מבואר דאף אוכלת משום בנה הוה כגדר זו, דחשיבא כהנת.</w:t>
      </w:r>
    </w:p>
  </w:footnote>
  <w:footnote w:id="3413">
    <w:p w14:paraId="5EBACDB5" w14:textId="77777777" w:rsidR="006074A5" w:rsidRDefault="006074A5" w:rsidP="006074A5">
      <w:pPr>
        <w:pStyle w:val="Footnote"/>
        <w:bidi/>
      </w:pPr>
      <w:r>
        <w:rPr>
          <w:rStyle w:val="ac"/>
          <w:rtl/>
        </w:rPr>
        <w:footnoteRef/>
      </w:r>
      <w:r>
        <w:rPr>
          <w:rtl/>
        </w:rPr>
        <w:t>אך בגמ' (לקמן עז. הנ"ל) הלשון דפקע קנייניה.</w:t>
      </w:r>
    </w:p>
  </w:footnote>
  <w:footnote w:id="3414">
    <w:p w14:paraId="3F728879" w14:textId="77777777" w:rsidR="006074A5" w:rsidRDefault="006074A5" w:rsidP="006074A5">
      <w:pPr>
        <w:pStyle w:val="Footnote"/>
        <w:bidi/>
      </w:pPr>
      <w:r>
        <w:rPr>
          <w:rStyle w:val="ac"/>
          <w:rtl/>
        </w:rPr>
        <w:footnoteRef/>
      </w:r>
      <w:r>
        <w:rPr>
          <w:rtl/>
        </w:rPr>
        <w:t>וה</w:t>
      </w:r>
      <w:r>
        <w:rPr>
          <w:b/>
          <w:bCs/>
          <w:rtl/>
        </w:rPr>
        <w:t>גר"ח</w:t>
      </w:r>
      <w:r>
        <w:rPr>
          <w:rtl/>
        </w:rPr>
        <w:t xml:space="preserve"> (איסו"ב א) הקשה מאי שיאטיה אונס דשרי בטומאה, לדין זונה לענין כהונה.</w:t>
      </w:r>
    </w:p>
  </w:footnote>
  <w:footnote w:id="3415">
    <w:p w14:paraId="27EA5D21" w14:textId="77777777" w:rsidR="006074A5" w:rsidRDefault="006074A5" w:rsidP="006074A5">
      <w:pPr>
        <w:pStyle w:val="Footnote"/>
        <w:bidi/>
      </w:pPr>
      <w:r>
        <w:rPr>
          <w:rStyle w:val="ac"/>
          <w:rtl/>
        </w:rPr>
        <w:footnoteRef/>
      </w:r>
      <w:r>
        <w:rPr>
          <w:rtl/>
        </w:rPr>
        <w:t>וב</w:t>
      </w:r>
      <w:r>
        <w:rPr>
          <w:b/>
          <w:bCs/>
          <w:rtl/>
        </w:rPr>
        <w:t>תוס' מהר"ם ור"פ</w:t>
      </w:r>
      <w:r>
        <w:rPr>
          <w:rtl/>
        </w:rPr>
        <w:t xml:space="preserve"> כת' דס"ד דכיון שמותרת לבעלה תיהוי האי ביאה כמאן דליתה ותינשא לכהונה, קמ"ל דלא נימא הכי. וב</w:t>
      </w:r>
      <w:r>
        <w:rPr>
          <w:b/>
          <w:bCs/>
          <w:rtl/>
        </w:rPr>
        <w:t>שו"ת הרשב"א</w:t>
      </w:r>
      <w:r>
        <w:rPr>
          <w:rtl/>
        </w:rPr>
        <w:t xml:space="preserve"> (ו סה) כתב דס"ד דגלי קרא דלא נעשית זונה באונס.</w:t>
      </w:r>
    </w:p>
  </w:footnote>
  <w:footnote w:id="3416">
    <w:p w14:paraId="6503864A" w14:textId="77777777" w:rsidR="006074A5" w:rsidRDefault="006074A5" w:rsidP="006074A5">
      <w:pPr>
        <w:pStyle w:val="Footnote"/>
        <w:bidi/>
      </w:pPr>
      <w:r>
        <w:rPr>
          <w:rStyle w:val="ac"/>
          <w:rtl/>
        </w:rPr>
        <w:footnoteRef/>
      </w:r>
      <w:r>
        <w:rPr>
          <w:rtl/>
        </w:rPr>
        <w:t>וכן דייק ה</w:t>
      </w:r>
      <w:r>
        <w:rPr>
          <w:b/>
          <w:bCs/>
          <w:rtl/>
        </w:rPr>
        <w:t>קר"א</w:t>
      </w:r>
      <w:r>
        <w:rPr>
          <w:rtl/>
        </w:rPr>
        <w:t>. וע"ע חזו"א (טו ז).</w:t>
      </w:r>
    </w:p>
  </w:footnote>
  <w:footnote w:id="3417">
    <w:p w14:paraId="5343B3C7" w14:textId="77777777" w:rsidR="006074A5" w:rsidRDefault="006074A5" w:rsidP="006074A5">
      <w:pPr>
        <w:pStyle w:val="Footnote"/>
        <w:bidi/>
      </w:pPr>
      <w:r>
        <w:rPr>
          <w:rStyle w:val="ac"/>
          <w:rtl/>
        </w:rPr>
        <w:footnoteRef/>
      </w:r>
      <w:r>
        <w:rPr>
          <w:rtl/>
        </w:rPr>
        <w:t>ו</w:t>
      </w:r>
      <w:r>
        <w:rPr>
          <w:b/>
          <w:bCs/>
          <w:rtl/>
        </w:rPr>
        <w:t>המלחמות</w:t>
      </w:r>
      <w:r>
        <w:rPr>
          <w:rtl/>
        </w:rPr>
        <w:t xml:space="preserve"> כתב דנקט אשת ישראל לרבותא לאפוקי דלא נימא דמתוך שמותרת לבעלה וכו' [וכסברת הבעה"מ].</w:t>
      </w:r>
    </w:p>
  </w:footnote>
  <w:footnote w:id="3418">
    <w:p w14:paraId="6754AC89" w14:textId="77777777" w:rsidR="006074A5" w:rsidRDefault="006074A5" w:rsidP="006074A5">
      <w:pPr>
        <w:pStyle w:val="Footnote"/>
        <w:bidi/>
      </w:pPr>
      <w:r>
        <w:rPr>
          <w:rStyle w:val="ac"/>
          <w:rtl/>
        </w:rPr>
        <w:footnoteRef/>
      </w:r>
      <w:r>
        <w:rPr>
          <w:rtl/>
        </w:rPr>
        <w:t>ועוד הביאו מהמשנה (נדה מד:) דבת ג' ויום א' נאסרת לכהן בזנות. והא פיתוי קטנה אונס הוא. [כדאי' לעיל לג:].</w:t>
      </w:r>
    </w:p>
  </w:footnote>
  <w:footnote w:id="3419">
    <w:p w14:paraId="366BFC68" w14:textId="77777777" w:rsidR="006074A5" w:rsidRDefault="006074A5" w:rsidP="006074A5">
      <w:pPr>
        <w:pStyle w:val="Footnote"/>
        <w:bidi/>
      </w:pPr>
      <w:r>
        <w:rPr>
          <w:rStyle w:val="ac"/>
          <w:rtl/>
        </w:rPr>
        <w:footnoteRef/>
      </w:r>
      <w:r>
        <w:rPr>
          <w:rtl/>
        </w:rPr>
        <w:t>וקשה דהו"ל לגמ' להביא סייעתא מהך משנה. וכה"ק בשו"ת הרשב"א למה ליה למנהר עיינין ממתני' סתומה דיבמות, לינהרינהו לעיינין ממתני' (כתובות יד: ונדה מד:). אלא ודאי דהנידון בא"א.</w:t>
      </w:r>
    </w:p>
  </w:footnote>
  <w:footnote w:id="3420">
    <w:p w14:paraId="67BEE630" w14:textId="77777777" w:rsidR="006074A5" w:rsidRDefault="006074A5" w:rsidP="006074A5">
      <w:pPr>
        <w:pStyle w:val="Footnote"/>
        <w:bidi/>
      </w:pPr>
      <w:r>
        <w:rPr>
          <w:rStyle w:val="ac"/>
          <w:rtl/>
        </w:rPr>
        <w:footnoteRef/>
      </w:r>
      <w:r>
        <w:rPr>
          <w:rtl/>
        </w:rPr>
        <w:t>וכתב וכ"ש פנוי הבא על הפנויה [לר"א לקמן נט: וסא:]. [ויל"ד האם חזר בו אף מזה במסקנא. אבל ה</w:t>
      </w:r>
      <w:r>
        <w:rPr>
          <w:b/>
          <w:bCs/>
          <w:rtl/>
        </w:rPr>
        <w:t>רשב"א</w:t>
      </w:r>
      <w:r>
        <w:rPr>
          <w:rtl/>
        </w:rPr>
        <w:t xml:space="preserve"> (נט:) מבואר דאף בפנוי הבא על הפנויה תליא בסוגיין. ויתבאר עוד לקמן שם].</w:t>
      </w:r>
    </w:p>
  </w:footnote>
  <w:footnote w:id="3421">
    <w:p w14:paraId="2191B96C" w14:textId="77777777" w:rsidR="006074A5" w:rsidRDefault="006074A5" w:rsidP="006074A5">
      <w:pPr>
        <w:pStyle w:val="Footnote"/>
        <w:bidi/>
      </w:pPr>
      <w:r>
        <w:rPr>
          <w:rStyle w:val="ac"/>
          <w:rtl/>
        </w:rPr>
        <w:footnoteRef/>
      </w:r>
      <w:r>
        <w:rPr>
          <w:rtl/>
        </w:rPr>
        <w:t>דכתיב גבי תרומה, וכהונה ילפי' מק"ו. ותוס' (לה.) כת' דנחשב גילוי מילתא ולוקין עליו. וע' בסמוך דיש ראשונים דס"ל דאין לוקין עליו.</w:t>
      </w:r>
    </w:p>
  </w:footnote>
  <w:footnote w:id="3422">
    <w:p w14:paraId="6E8332FB" w14:textId="77777777" w:rsidR="006074A5" w:rsidRDefault="006074A5" w:rsidP="006074A5">
      <w:pPr>
        <w:pStyle w:val="Footnote"/>
        <w:bidi/>
      </w:pPr>
      <w:r>
        <w:rPr>
          <w:rStyle w:val="ac"/>
          <w:rtl/>
        </w:rPr>
        <w:footnoteRef/>
      </w:r>
      <w:r>
        <w:rPr>
          <w:rtl/>
        </w:rPr>
        <w:t xml:space="preserve">ודלא כמ"ש </w:t>
      </w:r>
      <w:r>
        <w:rPr>
          <w:b/>
          <w:bCs/>
          <w:rtl/>
        </w:rPr>
        <w:t>תוס'</w:t>
      </w:r>
      <w:r>
        <w:rPr>
          <w:rtl/>
        </w:rPr>
        <w:t xml:space="preserve"> (לקמן סח: בשם ר"י, ותוס' לה. הביאו כן בשם רש"י) דחייבי כריתות חמירי דלא תפסי קידושין, ואף דלא הוה זר מעיקרא חשיב איש זר. [ולפ"ז הדרא קו' התוס', וכה"ק ה</w:t>
      </w:r>
      <w:r>
        <w:rPr>
          <w:b/>
          <w:bCs/>
          <w:rtl/>
        </w:rPr>
        <w:t xml:space="preserve">חזו"א </w:t>
      </w:r>
      <w:r>
        <w:rPr>
          <w:rtl/>
        </w:rPr>
        <w:t>טו ט].</w:t>
      </w:r>
    </w:p>
    <w:p w14:paraId="3A47C3B7" w14:textId="77777777" w:rsidR="006074A5" w:rsidRDefault="006074A5" w:rsidP="006074A5">
      <w:pPr>
        <w:pStyle w:val="Footnote"/>
        <w:bidi/>
      </w:pPr>
      <w:r>
        <w:rPr>
          <w:rtl/>
        </w:rPr>
        <w:tab/>
        <w:t xml:space="preserve">ודעת </w:t>
      </w:r>
      <w:r>
        <w:rPr>
          <w:b/>
          <w:bCs/>
          <w:rtl/>
        </w:rPr>
        <w:t>רש"י</w:t>
      </w:r>
      <w:r>
        <w:rPr>
          <w:rtl/>
        </w:rPr>
        <w:t xml:space="preserve"> (לעיל לה. ולקמן סח:) דחייבי כריתות ילפי' מ'כי תהיה אלמנה וגרושה', דלא תפסי קידושין, ואין להם אלמנות וגירושין בה. ובפשוטו אף ילפותא זו הוה מחמת עצם הביאה, ולא שייך לחלק בין אונס לרצון. ד'תהיה' דרשי' לשון ביאה, וכמו כי תהיה לאיש זר. [ואין חילוק בין ביאת אונס לרצון].</w:t>
      </w:r>
    </w:p>
  </w:footnote>
  <w:footnote w:id="3423">
    <w:p w14:paraId="6E2C191F" w14:textId="77777777" w:rsidR="006074A5" w:rsidRDefault="006074A5" w:rsidP="006074A5">
      <w:pPr>
        <w:pStyle w:val="Footnote"/>
        <w:bidi/>
      </w:pPr>
      <w:r>
        <w:rPr>
          <w:rStyle w:val="ac"/>
          <w:rtl/>
        </w:rPr>
        <w:footnoteRef/>
      </w:r>
      <w:r>
        <w:rPr>
          <w:rtl/>
        </w:rPr>
        <w:t>ו</w:t>
      </w:r>
      <w:r>
        <w:rPr>
          <w:b/>
          <w:bCs/>
          <w:rtl/>
        </w:rPr>
        <w:t>תוס'</w:t>
      </w:r>
      <w:r>
        <w:rPr>
          <w:rtl/>
        </w:rPr>
        <w:t xml:space="preserve"> דנו דלא משמע דהיא גופא אתא לאשמוע' בסוגיין, דבחייבי כריתות [שע"י קידושין] שייך 'איש זר', כיון דשייך ביה ממזרות [כיון דלא תפסי בה קידושין]. ותוס' דחו דא"כ לישמע' הכי בהדיא. וממילא ידענו דאין לחלק בין אונס לרצון באשת איש טפי משאר פסולי כהונה.</w:t>
      </w:r>
    </w:p>
  </w:footnote>
  <w:footnote w:id="3424">
    <w:p w14:paraId="2CCCABB4" w14:textId="77777777" w:rsidR="006074A5" w:rsidRDefault="006074A5" w:rsidP="006074A5">
      <w:pPr>
        <w:pStyle w:val="Footnote"/>
        <w:bidi/>
      </w:pPr>
      <w:r>
        <w:rPr>
          <w:rStyle w:val="ac"/>
          <w:rtl/>
        </w:rPr>
        <w:footnoteRef/>
      </w:r>
      <w:r>
        <w:rPr>
          <w:rtl/>
        </w:rPr>
        <w:t xml:space="preserve">ולא נתפרש בתוס' מהיכן ילפי' שאר חייבי כריתות דע"י קידושין [אשת אח ואחות אשתו], דלא הוה זר מעיקרא. ובפשוטו מבואר דלא פסלי. אך </w:t>
      </w:r>
      <w:r>
        <w:rPr>
          <w:b/>
          <w:bCs/>
          <w:rtl/>
        </w:rPr>
        <w:t>רש"י</w:t>
      </w:r>
      <w:r>
        <w:rPr>
          <w:rtl/>
        </w:rPr>
        <w:t xml:space="preserve"> (לקמן סח:) הביא דבגמ' (קידושין עז:) מבואר דכהן הבא על אחותו עשאה זונה. ועוד הביא רש"י מהמשנה (סט:) דלא משכח"ל דממזר מאכיל את אמו [אלא את אם אמו], דע"כ אמו פסולה לכהונה. ש"מ ביאת חייבי כריתות [שעושה ממזרות] פוסל את האשה.</w:t>
      </w:r>
    </w:p>
    <w:p w14:paraId="42E3F288" w14:textId="77777777" w:rsidR="006074A5" w:rsidRDefault="006074A5" w:rsidP="006074A5">
      <w:pPr>
        <w:pStyle w:val="Footnote"/>
        <w:bidi/>
      </w:pPr>
      <w:r>
        <w:rPr>
          <w:rtl/>
        </w:rPr>
        <w:tab/>
        <w:t xml:space="preserve">וי"ל דבכל הנך פוסל מדין 'זונה' [כיון דלא תפסי קידושין], ודוקא היכא דהוה מרצון. אבל באונס אינו נפסל. וע"ע </w:t>
      </w:r>
      <w:r>
        <w:rPr>
          <w:b/>
          <w:bCs/>
          <w:rtl/>
        </w:rPr>
        <w:t>מנח"ח</w:t>
      </w:r>
      <w:r>
        <w:rPr>
          <w:rtl/>
        </w:rPr>
        <w:t xml:space="preserve"> (רסו כז).</w:t>
      </w:r>
    </w:p>
  </w:footnote>
  <w:footnote w:id="3425">
    <w:p w14:paraId="3DDC1297" w14:textId="77777777" w:rsidR="006074A5" w:rsidRDefault="006074A5" w:rsidP="006074A5">
      <w:pPr>
        <w:pStyle w:val="Footnote"/>
        <w:bidi/>
      </w:pPr>
      <w:r>
        <w:rPr>
          <w:rStyle w:val="ac"/>
          <w:rtl/>
        </w:rPr>
        <w:footnoteRef/>
      </w:r>
      <w:r>
        <w:rPr>
          <w:rtl/>
        </w:rPr>
        <w:t>וכיון דאשכחן אשת כהן אפי' באונס אסורה, מעתה אין לנו לחלק בין אונס לרצון [אפי' באשת ישראל] לענין פסול כהונה. ומיהו ונטמאה דאיסור בועל מסתבר לדרוש דוקא היכא דאסר לבעל. [וכ"כ ה</w:t>
      </w:r>
      <w:r>
        <w:rPr>
          <w:b/>
          <w:bCs/>
          <w:rtl/>
        </w:rPr>
        <w:t>רא"ש</w:t>
      </w:r>
      <w:r>
        <w:rPr>
          <w:rtl/>
        </w:rPr>
        <w:t xml:space="preserve"> כאן].</w:t>
      </w:r>
    </w:p>
  </w:footnote>
  <w:footnote w:id="3426">
    <w:p w14:paraId="3EC1F3C3" w14:textId="77777777" w:rsidR="006074A5" w:rsidRDefault="006074A5" w:rsidP="006074A5">
      <w:pPr>
        <w:pStyle w:val="Footnote"/>
        <w:bidi/>
      </w:pPr>
      <w:r>
        <w:rPr>
          <w:rStyle w:val="ac"/>
          <w:rtl/>
        </w:rPr>
        <w:footnoteRef/>
      </w:r>
      <w:r>
        <w:rPr>
          <w:rtl/>
        </w:rPr>
        <w:t>דכלום לא נאסרה אלא מחמת הבעל, וכיון דלבעל מותרת לאחרים לא כ"ש. [וצ"ב דהא הבעל אינו כהן. וקצת משמע דפסול לכהונה הוה תולדה מהאיסור לבעל, דומיא דאיסור בועל]. וכת' דמש"ה רב ששת נקט אף שמותרת לבעלה אסורה לכהונה. שעיקר חידוש הוא שאע"פ שמותרת לאוסרה, אפ"ה אסורה לכהונה.</w:t>
      </w:r>
    </w:p>
  </w:footnote>
  <w:footnote w:id="3427">
    <w:p w14:paraId="31B14F91" w14:textId="77777777" w:rsidR="006074A5" w:rsidRDefault="006074A5" w:rsidP="006074A5">
      <w:pPr>
        <w:pStyle w:val="Footnote"/>
        <w:bidi/>
      </w:pPr>
      <w:r>
        <w:rPr>
          <w:rStyle w:val="ac"/>
          <w:rtl/>
        </w:rPr>
        <w:footnoteRef/>
      </w:r>
      <w:r>
        <w:rPr>
          <w:rtl/>
        </w:rPr>
        <w:t>ויש שפי' דחיוב כרת דאשת איש הוה מחמת הבעל. ולא מחמת גדרי קורבא [וצ"ע]. אך יותר נראה דכוונתו דבכל חייבי כריתות אינו פוסל, ולא דמי למי שהוא פסול לה [וכגון פסולי קהל].</w:t>
      </w:r>
    </w:p>
  </w:footnote>
  <w:footnote w:id="3428">
    <w:p w14:paraId="7A462B57" w14:textId="77777777" w:rsidR="006074A5" w:rsidRDefault="006074A5" w:rsidP="006074A5">
      <w:pPr>
        <w:pStyle w:val="Footnote"/>
        <w:bidi/>
      </w:pPr>
      <w:r>
        <w:rPr>
          <w:rStyle w:val="ac"/>
          <w:rtl/>
        </w:rPr>
        <w:footnoteRef/>
      </w:r>
      <w:r>
        <w:rPr>
          <w:rtl/>
        </w:rPr>
        <w:t>ובברייתא (לקמן סא:) נח' כמה תנאים מה נכלל בזונה דקרא. ובמשנה (סא.) אי' דנבעלה בעילת זנות, ופ</w:t>
      </w:r>
      <w:r>
        <w:rPr>
          <w:b/>
          <w:bCs/>
          <w:rtl/>
        </w:rPr>
        <w:t>רש"י</w:t>
      </w:r>
      <w:r>
        <w:rPr>
          <w:rtl/>
        </w:rPr>
        <w:t xml:space="preserve"> שנבעלה לפסול לה. ו</w:t>
      </w:r>
      <w:r>
        <w:rPr>
          <w:b/>
          <w:bCs/>
          <w:rtl/>
        </w:rPr>
        <w:t>תוס</w:t>
      </w:r>
      <w:r>
        <w:rPr>
          <w:rtl/>
        </w:rPr>
        <w:t>' וה</w:t>
      </w:r>
      <w:r>
        <w:rPr>
          <w:b/>
          <w:bCs/>
          <w:rtl/>
        </w:rPr>
        <w:t>ראשונים</w:t>
      </w:r>
      <w:r>
        <w:rPr>
          <w:rtl/>
        </w:rPr>
        <w:t xml:space="preserve"> נקטו דכוונתו לכל פסול לה. ותוס' חלקו דדוקא מחייבי כריתות הוה זונה. [ויתבאר לקמן].</w:t>
      </w:r>
    </w:p>
  </w:footnote>
  <w:footnote w:id="3429">
    <w:p w14:paraId="70F99540" w14:textId="77777777" w:rsidR="006074A5" w:rsidRDefault="006074A5" w:rsidP="006074A5">
      <w:pPr>
        <w:pStyle w:val="Footnote"/>
        <w:bidi/>
      </w:pPr>
      <w:r>
        <w:rPr>
          <w:rStyle w:val="ac"/>
          <w:rtl/>
        </w:rPr>
        <w:footnoteRef/>
      </w:r>
      <w:r>
        <w:rPr>
          <w:rtl/>
        </w:rPr>
        <w:t>ועוד חלק דבאשת ישראל אינו לוקה משום כי תהיה לאיש זר (הו' בסמוך).</w:t>
      </w:r>
    </w:p>
  </w:footnote>
  <w:footnote w:id="3430">
    <w:p w14:paraId="31DFA0C7" w14:textId="77777777" w:rsidR="006074A5" w:rsidRDefault="006074A5" w:rsidP="006074A5">
      <w:pPr>
        <w:pStyle w:val="Footnote"/>
        <w:bidi/>
      </w:pPr>
      <w:r>
        <w:rPr>
          <w:rStyle w:val="ac"/>
          <w:rtl/>
        </w:rPr>
        <w:footnoteRef/>
      </w:r>
      <w:r>
        <w:rPr>
          <w:rtl/>
        </w:rPr>
        <w:t xml:space="preserve">וכמ"ש </w:t>
      </w:r>
      <w:r>
        <w:rPr>
          <w:b/>
          <w:bCs/>
          <w:rtl/>
        </w:rPr>
        <w:t>תוס</w:t>
      </w:r>
      <w:r>
        <w:rPr>
          <w:rtl/>
        </w:rPr>
        <w:t>' (לקמן סח:). [וכן ה</w:t>
      </w:r>
      <w:r>
        <w:rPr>
          <w:b/>
          <w:bCs/>
          <w:rtl/>
        </w:rPr>
        <w:t>רא"ש</w:t>
      </w:r>
      <w:r>
        <w:rPr>
          <w:rtl/>
        </w:rPr>
        <w:t xml:space="preserve"> (בפסקים כאן) נסתפק בזה אי בחייבי כריתות שע"י קידושין לוקים משום איש זר].</w:t>
      </w:r>
    </w:p>
  </w:footnote>
  <w:footnote w:id="3431">
    <w:p w14:paraId="6B27B4C1" w14:textId="77777777" w:rsidR="006074A5" w:rsidRDefault="006074A5" w:rsidP="006074A5">
      <w:pPr>
        <w:pStyle w:val="Footnote"/>
        <w:bidi/>
      </w:pPr>
      <w:r>
        <w:rPr>
          <w:rStyle w:val="ac"/>
          <w:rtl/>
        </w:rPr>
        <w:footnoteRef/>
      </w:r>
      <w:r>
        <w:rPr>
          <w:rtl/>
        </w:rPr>
        <w:t>ולכאורה זה דלא כמו שנקטו ה</w:t>
      </w:r>
      <w:r>
        <w:rPr>
          <w:b/>
          <w:bCs/>
          <w:rtl/>
        </w:rPr>
        <w:t>אחרונים</w:t>
      </w:r>
      <w:r>
        <w:rPr>
          <w:rtl/>
        </w:rPr>
        <w:t xml:space="preserve"> דחומר דחייבי כריתות [כלפי תפיסת קידושין וכדו'], הוה משום עצם הערוה, וסיבת האיסור. ולא תליא בכוונתו.</w:t>
      </w:r>
    </w:p>
  </w:footnote>
  <w:footnote w:id="3432">
    <w:p w14:paraId="6D4E2E5F" w14:textId="77777777" w:rsidR="006074A5" w:rsidRDefault="006074A5" w:rsidP="006074A5">
      <w:pPr>
        <w:pStyle w:val="Footnote"/>
        <w:bidi/>
      </w:pPr>
      <w:r>
        <w:rPr>
          <w:rStyle w:val="ac"/>
          <w:rtl/>
        </w:rPr>
        <w:footnoteRef/>
      </w:r>
      <w:r>
        <w:rPr>
          <w:rtl/>
        </w:rPr>
        <w:t>אמנם דעת ה</w:t>
      </w:r>
      <w:r>
        <w:rPr>
          <w:b/>
          <w:bCs/>
          <w:rtl/>
        </w:rPr>
        <w:t>רמב"ם</w:t>
      </w:r>
      <w:r>
        <w:rPr>
          <w:rtl/>
        </w:rPr>
        <w:t xml:space="preserve"> (יח א) דלוקה משום זונה [והוה גילוי מילתא דהדרא לשם זונה], ועפ"ז לק"מ קו' התוס', דהוה בכלל הא דאי' בסוגיין.</w:t>
      </w:r>
    </w:p>
  </w:footnote>
  <w:footnote w:id="3433">
    <w:p w14:paraId="6B55DFD4" w14:textId="77777777" w:rsidR="006074A5" w:rsidRDefault="006074A5" w:rsidP="006074A5">
      <w:pPr>
        <w:pStyle w:val="Footnote"/>
        <w:bidi/>
      </w:pPr>
      <w:r>
        <w:rPr>
          <w:rStyle w:val="ac"/>
          <w:rtl/>
        </w:rPr>
        <w:footnoteRef/>
      </w:r>
      <w:r>
        <w:rPr>
          <w:rtl/>
        </w:rPr>
        <w:t>ומעשה הקידושין לא הוה חלק מהאיסור. [וע"ע קובה"ע נ].</w:t>
      </w:r>
    </w:p>
  </w:footnote>
  <w:footnote w:id="3434">
    <w:p w14:paraId="5878C8D1" w14:textId="77777777" w:rsidR="006074A5" w:rsidRDefault="006074A5" w:rsidP="006074A5">
      <w:pPr>
        <w:pStyle w:val="Footnote"/>
        <w:bidi/>
      </w:pPr>
      <w:r>
        <w:rPr>
          <w:rStyle w:val="ac"/>
          <w:rtl/>
        </w:rPr>
        <w:footnoteRef/>
      </w:r>
      <w:r>
        <w:rPr>
          <w:rtl/>
        </w:rPr>
        <w:t>[וה"נ כיון דהיא אשתו אינו יכול לקדשה, ונחשב כמו דלא תפסי קידושין].</w:t>
      </w:r>
    </w:p>
  </w:footnote>
  <w:footnote w:id="3435">
    <w:p w14:paraId="2CBCDD0F" w14:textId="77777777" w:rsidR="006074A5" w:rsidRDefault="006074A5" w:rsidP="006074A5">
      <w:pPr>
        <w:pStyle w:val="Footnote"/>
        <w:bidi/>
      </w:pPr>
      <w:r>
        <w:rPr>
          <w:rStyle w:val="ac"/>
          <w:rtl/>
        </w:rPr>
        <w:footnoteRef/>
      </w:r>
      <w:r>
        <w:rPr>
          <w:rtl/>
        </w:rPr>
        <w:t>וה</w:t>
      </w:r>
      <w:r>
        <w:rPr>
          <w:b/>
          <w:bCs/>
          <w:rtl/>
        </w:rPr>
        <w:t>אחרונים</w:t>
      </w:r>
      <w:r>
        <w:rPr>
          <w:rtl/>
        </w:rPr>
        <w:t xml:space="preserve"> (קובה"ע מה) הביאו לאו דזונה כולל עובדת כוכבים דלא תפסי קידוש' [וע"כ הוה בביאה לחוד], ואילו לאו דזונה בזונה ישראלית תלי בקידושין [וכמ"ש הרמב"ם]. ועוד הביאו ה</w:t>
      </w:r>
      <w:r>
        <w:rPr>
          <w:b/>
          <w:bCs/>
          <w:rtl/>
        </w:rPr>
        <w:t>אחרונים</w:t>
      </w:r>
      <w:r>
        <w:rPr>
          <w:rtl/>
        </w:rPr>
        <w:t xml:space="preserve"> דמבואר (לקמן צז.) דשומרת יבם של אביו לוקה ג', אף משום יבמה לשוק. ואף דלא תפסי בה קידושין [מצד אשת אחי אביו].</w:t>
      </w:r>
    </w:p>
  </w:footnote>
  <w:footnote w:id="3436">
    <w:p w14:paraId="647947D6" w14:textId="77777777" w:rsidR="006074A5" w:rsidRDefault="006074A5" w:rsidP="006074A5">
      <w:pPr>
        <w:pStyle w:val="Footnote"/>
        <w:bidi/>
      </w:pPr>
      <w:r>
        <w:rPr>
          <w:rStyle w:val="ac"/>
          <w:rtl/>
        </w:rPr>
        <w:footnoteRef/>
      </w:r>
      <w:r>
        <w:rPr>
          <w:rtl/>
        </w:rPr>
        <w:t>ויל"פ דמיגו דנאסרת עליו מדין סוטה, שוב אינה מיוחדת לו.</w:t>
      </w:r>
    </w:p>
  </w:footnote>
  <w:footnote w:id="3437">
    <w:p w14:paraId="1BC5D036" w14:textId="77777777" w:rsidR="006074A5" w:rsidRDefault="006074A5" w:rsidP="006074A5">
      <w:pPr>
        <w:pStyle w:val="Footnote"/>
        <w:bidi/>
      </w:pPr>
      <w:r>
        <w:rPr>
          <w:rStyle w:val="ac"/>
          <w:rtl/>
        </w:rPr>
        <w:footnoteRef/>
      </w:r>
      <w:r>
        <w:rPr>
          <w:rtl/>
        </w:rPr>
        <w:t>ועוד דאם בעלה הכהן חזר ובא עליה עשאה חללה. ומשום איסור חללה לכהן נימא דיפקע הקידושין.</w:t>
      </w:r>
    </w:p>
  </w:footnote>
  <w:footnote w:id="3438">
    <w:p w14:paraId="0ED15793" w14:textId="77777777" w:rsidR="006074A5" w:rsidRDefault="006074A5" w:rsidP="006074A5">
      <w:pPr>
        <w:pStyle w:val="Footnote"/>
        <w:bidi/>
      </w:pPr>
      <w:r>
        <w:rPr>
          <w:rStyle w:val="ac"/>
          <w:rtl/>
        </w:rPr>
        <w:footnoteRef/>
      </w:r>
      <w:r>
        <w:rPr>
          <w:rtl/>
        </w:rPr>
        <w:t>ולא אמרי' דגלי קרא דלא פקעי קידושיה, ומש"ה יתפוס קידושין בזונה לכהן. {אך אפשר דדוקא זונה דאשת איש שזינתה גלי קרא דתפסי קידושין. ואילו שאר זונה לא תפסי קידושין. אך לא מצאנו כן}.</w:t>
      </w:r>
    </w:p>
  </w:footnote>
  <w:footnote w:id="3439">
    <w:p w14:paraId="10195F79" w14:textId="77777777" w:rsidR="006074A5" w:rsidRDefault="006074A5" w:rsidP="006074A5">
      <w:pPr>
        <w:pStyle w:val="Footnote"/>
        <w:bidi/>
      </w:pPr>
      <w:r>
        <w:rPr>
          <w:rStyle w:val="ac"/>
          <w:rtl/>
        </w:rPr>
        <w:footnoteRef/>
      </w:r>
      <w:r>
        <w:rPr>
          <w:rtl/>
        </w:rPr>
        <w:t>וכעי"ז כת' ה</w:t>
      </w:r>
      <w:r>
        <w:rPr>
          <w:b/>
          <w:bCs/>
          <w:rtl/>
        </w:rPr>
        <w:t xml:space="preserve">ריטב"א </w:t>
      </w:r>
      <w:r>
        <w:rPr>
          <w:rtl/>
        </w:rPr>
        <w:t>דאשתו זונה אסורה לכל אדם, כשם שאסורה זונה דעלמא לכהן.</w:t>
      </w:r>
    </w:p>
  </w:footnote>
  <w:footnote w:id="3440">
    <w:p w14:paraId="387059DB" w14:textId="77777777" w:rsidR="006074A5" w:rsidRDefault="006074A5" w:rsidP="006074A5">
      <w:pPr>
        <w:pStyle w:val="Footnote"/>
        <w:bidi/>
      </w:pPr>
      <w:r>
        <w:rPr>
          <w:rStyle w:val="ac"/>
          <w:rtl/>
        </w:rPr>
        <w:footnoteRef/>
      </w:r>
      <w:r>
        <w:rPr>
          <w:rtl/>
        </w:rPr>
        <w:t>ולוקה משום לא יוכל בעלה [דסוטה]. [ואילו לרש"י לכאו' לוקה משום זונה לא יקחו. וצ"ע דבסוגיין לוקה ב' משום זונה וטומאה, וע"כ היינו משום לאו דסוטה].</w:t>
      </w:r>
    </w:p>
  </w:footnote>
  <w:footnote w:id="3441">
    <w:p w14:paraId="4934098A" w14:textId="77777777" w:rsidR="006074A5" w:rsidRDefault="006074A5" w:rsidP="006074A5">
      <w:pPr>
        <w:pStyle w:val="Footnote"/>
        <w:bidi/>
      </w:pPr>
      <w:r>
        <w:rPr>
          <w:rStyle w:val="ac"/>
          <w:rtl/>
        </w:rPr>
        <w:footnoteRef/>
      </w:r>
      <w:r>
        <w:rPr>
          <w:rtl/>
        </w:rPr>
        <w:t>וביאר דאע"ג דהתם אינו תחת בעלה, מ"מ שם זנות אשכחן ביה מוסיף בעלמא.</w:t>
      </w:r>
    </w:p>
  </w:footnote>
  <w:footnote w:id="3442">
    <w:p w14:paraId="6C5ECAF2" w14:textId="77777777" w:rsidR="006074A5" w:rsidRDefault="006074A5" w:rsidP="006074A5">
      <w:pPr>
        <w:pStyle w:val="Footnote"/>
        <w:bidi/>
      </w:pPr>
      <w:r>
        <w:rPr>
          <w:rStyle w:val="ac"/>
          <w:rtl/>
        </w:rPr>
        <w:footnoteRef/>
      </w:r>
      <w:r>
        <w:rPr>
          <w:rtl/>
        </w:rPr>
        <w:t>וכעי"ז נסתפק ה</w:t>
      </w:r>
      <w:r>
        <w:rPr>
          <w:b/>
          <w:bCs/>
          <w:rtl/>
        </w:rPr>
        <w:t>נמוק"י</w:t>
      </w:r>
      <w:r>
        <w:rPr>
          <w:rtl/>
        </w:rPr>
        <w:t xml:space="preserve"> (לעיל יא) האם אשת כהן שנאנסה פטורה מחליצה, דהוה טומאה כעריות כסוטה. [וה</w:t>
      </w:r>
      <w:r>
        <w:rPr>
          <w:b/>
          <w:bCs/>
          <w:rtl/>
        </w:rPr>
        <w:t>אחרונים</w:t>
      </w:r>
      <w:r>
        <w:rPr>
          <w:rtl/>
        </w:rPr>
        <w:t xml:space="preserve"> העמידו דבריו לאחיו כהן, שהרי מבואר (סוטה ה) מותרת לאחיו חלל].</w:t>
      </w:r>
    </w:p>
  </w:footnote>
  <w:footnote w:id="3443">
    <w:p w14:paraId="0B9CA1A0" w14:textId="77777777" w:rsidR="006074A5" w:rsidRDefault="006074A5" w:rsidP="006074A5">
      <w:pPr>
        <w:pStyle w:val="Footnote"/>
        <w:bidi/>
      </w:pPr>
      <w:r>
        <w:rPr>
          <w:rStyle w:val="ac"/>
          <w:rtl/>
        </w:rPr>
        <w:footnoteRef/>
      </w:r>
      <w:r>
        <w:rPr>
          <w:rtl/>
        </w:rPr>
        <w:t>וב</w:t>
      </w:r>
      <w:r>
        <w:rPr>
          <w:b/>
          <w:bCs/>
          <w:rtl/>
        </w:rPr>
        <w:t xml:space="preserve">חי' ר"א מן ההר </w:t>
      </w:r>
      <w:r>
        <w:rPr>
          <w:rtl/>
        </w:rPr>
        <w:t>הביא צד דאסורה מדרבנן.</w:t>
      </w:r>
    </w:p>
  </w:footnote>
  <w:footnote w:id="3444">
    <w:p w14:paraId="12F12668" w14:textId="77777777" w:rsidR="006074A5" w:rsidRDefault="006074A5" w:rsidP="006074A5">
      <w:pPr>
        <w:pStyle w:val="Footnote"/>
        <w:bidi/>
      </w:pPr>
      <w:r>
        <w:rPr>
          <w:rStyle w:val="ac"/>
          <w:rtl/>
        </w:rPr>
        <w:footnoteRef/>
      </w:r>
      <w:r>
        <w:rPr>
          <w:rtl/>
        </w:rPr>
        <w:t>אף לענין מלקות. והגר"ח תלה במח' הראשונים (ע' תוס' לעיל יא. ויא:) האם סוטה ספק לוקה, או דהוה עשה בעלמא. [והגר"ח נקט דאף סוטה בקינוי וסתירה וע"א תלי במח' הנ"ל].</w:t>
      </w:r>
    </w:p>
  </w:footnote>
  <w:footnote w:id="3445">
    <w:p w14:paraId="485B2EDC" w14:textId="77777777" w:rsidR="006074A5" w:rsidRDefault="006074A5" w:rsidP="006074A5">
      <w:pPr>
        <w:pStyle w:val="Footnote"/>
        <w:bidi/>
      </w:pPr>
      <w:r>
        <w:rPr>
          <w:rStyle w:val="ac"/>
          <w:rtl/>
        </w:rPr>
        <w:footnoteRef/>
      </w:r>
      <w:r>
        <w:rPr>
          <w:rtl/>
        </w:rPr>
        <w:t>דאילו משום גדרי נבעלה לחייבי כריתות [דלא תפסי קידושין] אין לחלק בין אונס לרצון (וכדמוכח בכתובות יד: הנ"ל).</w:t>
      </w:r>
    </w:p>
  </w:footnote>
  <w:footnote w:id="3446">
    <w:p w14:paraId="6D2187E9" w14:textId="77777777" w:rsidR="006074A5" w:rsidRDefault="006074A5" w:rsidP="006074A5">
      <w:pPr>
        <w:pStyle w:val="Footnote"/>
        <w:bidi/>
      </w:pPr>
      <w:r>
        <w:rPr>
          <w:rStyle w:val="ac"/>
          <w:rtl/>
        </w:rPr>
        <w:footnoteRef/>
      </w:r>
      <w:r>
        <w:rPr>
          <w:rtl/>
        </w:rPr>
        <w:t>וכעי"ז במשנה (מכות יג.) דנקט באלו הן הלוקין, גרושה וחלוצה לכהן. ו</w:t>
      </w:r>
      <w:r>
        <w:rPr>
          <w:b/>
          <w:bCs/>
          <w:rtl/>
        </w:rPr>
        <w:t>תוס'</w:t>
      </w:r>
      <w:r>
        <w:rPr>
          <w:rtl/>
        </w:rPr>
        <w:t xml:space="preserve"> (ושא"ר שם) כת' דנקטו אגב גרושה. (וע"ע לקמן פה:, סוטה מד., ומכות ב.).</w:t>
      </w:r>
    </w:p>
  </w:footnote>
  <w:footnote w:id="3447">
    <w:p w14:paraId="3A67D541" w14:textId="77777777" w:rsidR="006074A5" w:rsidRDefault="006074A5" w:rsidP="006074A5">
      <w:pPr>
        <w:pStyle w:val="Footnote"/>
        <w:bidi/>
      </w:pPr>
      <w:r>
        <w:rPr>
          <w:rStyle w:val="ac"/>
          <w:rtl/>
        </w:rPr>
        <w:footnoteRef/>
      </w:r>
      <w:r>
        <w:rPr>
          <w:rtl/>
        </w:rPr>
        <w:t>אך ה</w:t>
      </w:r>
      <w:r>
        <w:rPr>
          <w:b/>
          <w:bCs/>
          <w:rtl/>
        </w:rPr>
        <w:t>אחרונים</w:t>
      </w:r>
      <w:r>
        <w:rPr>
          <w:rtl/>
        </w:rPr>
        <w:t xml:space="preserve"> דנו די"ל דתקנו דחלוצה הוה כמו גרושה לכל דבר, ואף משתמרת תאסר משום לא פלוג. משא"כ מאמר ביבמתו. [ומדברי הראשונים מבואר דלא חילקו בזה].</w:t>
      </w:r>
    </w:p>
  </w:footnote>
  <w:footnote w:id="3448">
    <w:p w14:paraId="3C6CEFC3" w14:textId="77777777" w:rsidR="006074A5" w:rsidRDefault="006074A5" w:rsidP="006074A5">
      <w:pPr>
        <w:pStyle w:val="Footnote"/>
        <w:bidi/>
      </w:pPr>
      <w:r>
        <w:rPr>
          <w:rStyle w:val="ac"/>
          <w:rtl/>
        </w:rPr>
        <w:footnoteRef/>
      </w:r>
      <w:r>
        <w:rPr>
          <w:rtl/>
        </w:rPr>
        <w:t>וה</w:t>
      </w:r>
      <w:r>
        <w:rPr>
          <w:b/>
          <w:bCs/>
          <w:rtl/>
        </w:rPr>
        <w:t>תו"י</w:t>
      </w:r>
      <w:r>
        <w:rPr>
          <w:rtl/>
        </w:rPr>
        <w:t xml:space="preserve"> (לעיל מד.) כת' דלר"ע [דכתוב קראו ביתו] חלוצה אסורה לכהן מדאורייתא.</w:t>
      </w:r>
    </w:p>
  </w:footnote>
  <w:footnote w:id="3449">
    <w:p w14:paraId="3A36DAD1" w14:textId="77777777" w:rsidR="006074A5" w:rsidRDefault="006074A5" w:rsidP="006074A5">
      <w:pPr>
        <w:pStyle w:val="Footnote"/>
        <w:bidi/>
      </w:pPr>
      <w:r>
        <w:rPr>
          <w:rStyle w:val="ac"/>
          <w:rtl/>
        </w:rPr>
        <w:footnoteRef/>
      </w:r>
      <w:r>
        <w:rPr>
          <w:rtl/>
        </w:rPr>
        <w:t>אבל ה</w:t>
      </w:r>
      <w:r>
        <w:rPr>
          <w:b/>
          <w:bCs/>
          <w:rtl/>
        </w:rPr>
        <w:t>קר"א</w:t>
      </w:r>
      <w:r>
        <w:rPr>
          <w:rtl/>
        </w:rPr>
        <w:t xml:space="preserve"> דן דמשמע בגמ' דילפי' מק"ו והוה דאורייתא.</w:t>
      </w:r>
    </w:p>
  </w:footnote>
  <w:footnote w:id="3450">
    <w:p w14:paraId="657548A2" w14:textId="77777777" w:rsidR="006074A5" w:rsidRDefault="006074A5" w:rsidP="006074A5">
      <w:pPr>
        <w:pStyle w:val="Footnote"/>
        <w:bidi/>
      </w:pPr>
      <w:r>
        <w:rPr>
          <w:rStyle w:val="ac"/>
          <w:rtl/>
        </w:rPr>
        <w:footnoteRef/>
      </w:r>
      <w:r>
        <w:rPr>
          <w:rtl/>
        </w:rPr>
        <w:t>וכמו אילו נתקדשה לישראל [והברייתא בסמוך מדמה לנתקדשה לישראל, לל"ק דרש"י ותוס']. [וה</w:t>
      </w:r>
      <w:r>
        <w:rPr>
          <w:b/>
          <w:bCs/>
          <w:rtl/>
        </w:rPr>
        <w:t>אחרונים</w:t>
      </w:r>
      <w:r>
        <w:rPr>
          <w:rtl/>
        </w:rPr>
        <w:t xml:space="preserve"> הביאו דבתוס' (לקמן נט. ד"ה מהו) לכאורה מבואר דכשמשתמרת לביאת איסור נפסלת, אף באופן שלא תתחלל בביאה. ויש לדחות].</w:t>
      </w:r>
    </w:p>
  </w:footnote>
  <w:footnote w:id="3451">
    <w:p w14:paraId="5F705E58" w14:textId="77777777" w:rsidR="006074A5" w:rsidRDefault="006074A5" w:rsidP="006074A5">
      <w:pPr>
        <w:pStyle w:val="Footnote"/>
        <w:bidi/>
      </w:pPr>
      <w:r>
        <w:rPr>
          <w:rStyle w:val="ac"/>
          <w:rtl/>
        </w:rPr>
        <w:footnoteRef/>
      </w:r>
      <w:r>
        <w:rPr>
          <w:rtl/>
        </w:rPr>
        <w:t>ולשון הגמ' אין מאכילין, צל"פ דאין מניחין לאכול.</w:t>
      </w:r>
    </w:p>
  </w:footnote>
  <w:footnote w:id="3452">
    <w:p w14:paraId="74E03A98" w14:textId="77777777" w:rsidR="006074A5" w:rsidRDefault="006074A5" w:rsidP="006074A5">
      <w:pPr>
        <w:pStyle w:val="Footnote"/>
        <w:bidi/>
      </w:pPr>
      <w:r>
        <w:rPr>
          <w:rStyle w:val="ac"/>
          <w:rtl/>
        </w:rPr>
        <w:footnoteRef/>
      </w:r>
      <w:r>
        <w:rPr>
          <w:rtl/>
        </w:rPr>
        <w:t>ו</w:t>
      </w:r>
      <w:r>
        <w:rPr>
          <w:b/>
          <w:bCs/>
          <w:rtl/>
        </w:rPr>
        <w:t>רע"א</w:t>
      </w:r>
      <w:r>
        <w:rPr>
          <w:rtl/>
        </w:rPr>
        <w:t xml:space="preserve"> הק' דמ"מ [אף לל"ב דרש"י] סברת ר"מ הוה ג"כ בבת כהן, א"כ אמאי לא נקט ק"ו לפסול, דבת כהן שנתארסה לישראל נפסלת.</w:t>
      </w:r>
    </w:p>
  </w:footnote>
  <w:footnote w:id="3453">
    <w:p w14:paraId="5934D73F" w14:textId="77777777" w:rsidR="006074A5" w:rsidRDefault="006074A5" w:rsidP="006074A5">
      <w:pPr>
        <w:pStyle w:val="Footnote"/>
        <w:bidi/>
      </w:pPr>
      <w:r>
        <w:rPr>
          <w:rStyle w:val="ac"/>
          <w:rtl/>
        </w:rPr>
        <w:footnoteRef/>
      </w:r>
      <w:r>
        <w:rPr>
          <w:rtl/>
        </w:rPr>
        <w:t>היינו באירוסין. [ועוד דנו האחרונים אף בנישואין, וזה חידוש גדול].</w:t>
      </w:r>
    </w:p>
  </w:footnote>
  <w:footnote w:id="3454">
    <w:p w14:paraId="5B3279CE" w14:textId="77777777" w:rsidR="006074A5" w:rsidRDefault="006074A5" w:rsidP="006074A5">
      <w:pPr>
        <w:pStyle w:val="Footnote"/>
        <w:bidi/>
      </w:pPr>
      <w:r>
        <w:rPr>
          <w:rStyle w:val="ac"/>
          <w:rtl/>
        </w:rPr>
        <w:footnoteRef/>
      </w:r>
      <w:r>
        <w:rPr>
          <w:rtl/>
        </w:rPr>
        <w:t>ויש שתי' דרש"י סבר דהגעת זמן נחשב נישואין במקצת, ועי"ז מותרת בתרומה למשנה ראשונה, ואף דאין חיוב מזונות.</w:t>
      </w:r>
    </w:p>
  </w:footnote>
  <w:footnote w:id="3455">
    <w:p w14:paraId="3A77BF95" w14:textId="77777777" w:rsidR="006074A5" w:rsidRDefault="006074A5" w:rsidP="006074A5">
      <w:pPr>
        <w:pStyle w:val="Footnote"/>
        <w:bidi/>
      </w:pPr>
      <w:r>
        <w:rPr>
          <w:rStyle w:val="ac"/>
          <w:rtl/>
        </w:rPr>
        <w:footnoteRef/>
      </w:r>
      <w:r>
        <w:rPr>
          <w:rtl/>
        </w:rPr>
        <w:t>וה</w:t>
      </w:r>
      <w:r>
        <w:rPr>
          <w:b/>
          <w:bCs/>
          <w:rtl/>
        </w:rPr>
        <w:t>מנח"ח</w:t>
      </w:r>
      <w:r>
        <w:rPr>
          <w:rtl/>
        </w:rPr>
        <w:t xml:space="preserve"> (מו) כתב דבאשה אסורה עליו ל"ש חיוב עונה כלל [דהתורה לא חייבתו כלל. ולא אמרי' דרמי עליו חיוב, אלא דיש איסור לקיים], אבל מדאורייתא מתחייב בשאר וכסות [אלא דמדרבנן ביטלו חיוב מזונות]. {ויל"ד האם יש תביעה לינשא מכח חיוב שאר וכסות}.</w:t>
      </w:r>
    </w:p>
  </w:footnote>
  <w:footnote w:id="3456">
    <w:p w14:paraId="1EFD989D" w14:textId="77777777" w:rsidR="006074A5" w:rsidRDefault="006074A5" w:rsidP="006074A5">
      <w:pPr>
        <w:pStyle w:val="Footnote"/>
        <w:bidi/>
      </w:pPr>
      <w:r>
        <w:rPr>
          <w:rStyle w:val="ac"/>
          <w:rtl/>
        </w:rPr>
        <w:footnoteRef/>
      </w:r>
      <w:r>
        <w:rPr>
          <w:rtl/>
        </w:rPr>
        <w:t>וה</w:t>
      </w:r>
      <w:r>
        <w:rPr>
          <w:b/>
          <w:bCs/>
          <w:rtl/>
        </w:rPr>
        <w:t>אחרונים</w:t>
      </w:r>
      <w:r>
        <w:rPr>
          <w:rtl/>
        </w:rPr>
        <w:t xml:space="preserve"> דייקו מדברי ה</w:t>
      </w:r>
      <w:r>
        <w:rPr>
          <w:b/>
          <w:bCs/>
          <w:rtl/>
        </w:rPr>
        <w:t>רמב"ם</w:t>
      </w:r>
      <w:r>
        <w:rPr>
          <w:rtl/>
        </w:rPr>
        <w:t xml:space="preserve"> דס"ל דשם זונה אינו פוסל בתרומה, ולענין תרומה ילפי' מכי תהיה לאיש זר [וכתוס'].</w:t>
      </w:r>
    </w:p>
  </w:footnote>
  <w:footnote w:id="3457">
    <w:p w14:paraId="01D47E94" w14:textId="77777777" w:rsidR="006074A5" w:rsidRDefault="006074A5" w:rsidP="006074A5">
      <w:pPr>
        <w:pStyle w:val="Footnote"/>
        <w:bidi/>
      </w:pPr>
      <w:r>
        <w:rPr>
          <w:rStyle w:val="ac"/>
          <w:rtl/>
        </w:rPr>
        <w:footnoteRef/>
      </w:r>
      <w:r>
        <w:rPr>
          <w:rtl/>
        </w:rPr>
        <w:t>וה</w:t>
      </w:r>
      <w:r>
        <w:rPr>
          <w:b/>
          <w:bCs/>
          <w:rtl/>
        </w:rPr>
        <w:t>אחרונים</w:t>
      </w:r>
      <w:r>
        <w:rPr>
          <w:rtl/>
        </w:rPr>
        <w:t xml:space="preserve"> פי' דאף כוונת רש"י דפסולי קהל ילפי' מהך קרא דכי תהיה לאיש זר. אלא דבגמ' (סח:) אי' דילפי' לפסול לינשא לכהונה מק"ו, דהוה גילוי מילתא. ופ</w:t>
      </w:r>
      <w:r>
        <w:rPr>
          <w:b/>
          <w:bCs/>
          <w:rtl/>
        </w:rPr>
        <w:t>רש"י</w:t>
      </w:r>
      <w:r>
        <w:rPr>
          <w:rtl/>
        </w:rPr>
        <w:t xml:space="preserve"> (שם) דממילא כיון דאיפסלא לתרומה איפסלא לכהונה, דתרומה היינו קדושת כהונה.</w:t>
      </w:r>
    </w:p>
    <w:p w14:paraId="5008A871" w14:textId="77777777" w:rsidR="006074A5" w:rsidRDefault="006074A5" w:rsidP="006074A5">
      <w:pPr>
        <w:pStyle w:val="Footnote"/>
        <w:bidi/>
      </w:pPr>
      <w:r>
        <w:rPr>
          <w:rtl/>
        </w:rPr>
        <w:tab/>
        <w:t>וי"ל דכוונת רש"י דגדר הילפותא דנתחללה מקדושת הכהונה, ומש"ה הוה בכלל לאו דחללה. [וכן קצת משמע בתוס' לעיל טו:, ודלא כתוס' לעיל לה. ומד: דמבואר דהוה לאו חדש דכי תהיה לאיש זר וכו' לא תאכל].</w:t>
      </w:r>
    </w:p>
  </w:footnote>
  <w:footnote w:id="3458">
    <w:p w14:paraId="7732C520" w14:textId="77777777" w:rsidR="006074A5" w:rsidRDefault="006074A5" w:rsidP="006074A5">
      <w:pPr>
        <w:pStyle w:val="Footnote"/>
        <w:bidi/>
      </w:pPr>
      <w:r>
        <w:rPr>
          <w:rStyle w:val="ac"/>
          <w:rtl/>
        </w:rPr>
        <w:footnoteRef/>
      </w:r>
      <w:r>
        <w:rPr>
          <w:rtl/>
        </w:rPr>
        <w:t>ודלא כמ"ש ה</w:t>
      </w:r>
      <w:r>
        <w:rPr>
          <w:b/>
          <w:bCs/>
          <w:rtl/>
        </w:rPr>
        <w:t>רשב"א</w:t>
      </w:r>
      <w:r>
        <w:rPr>
          <w:rtl/>
        </w:rPr>
        <w:t xml:space="preserve"> (לקמן סח.) דמשום 'שם זונה' לא בעינן זר אצלה מעיקרא. [וצ"ע בסתירת דבריו].</w:t>
      </w:r>
    </w:p>
  </w:footnote>
  <w:footnote w:id="3459">
    <w:p w14:paraId="71C157CE" w14:textId="77777777" w:rsidR="006074A5" w:rsidRDefault="006074A5" w:rsidP="006074A5">
      <w:pPr>
        <w:pStyle w:val="Footnote"/>
        <w:bidi/>
      </w:pPr>
      <w:r>
        <w:rPr>
          <w:rStyle w:val="ac"/>
          <w:rtl/>
        </w:rPr>
        <w:footnoteRef/>
      </w:r>
      <w:r>
        <w:rPr>
          <w:rtl/>
        </w:rPr>
        <w:t>ועפ"ז כת' ה</w:t>
      </w:r>
      <w:r>
        <w:rPr>
          <w:b/>
          <w:bCs/>
          <w:rtl/>
        </w:rPr>
        <w:t>יראים</w:t>
      </w:r>
      <w:r>
        <w:rPr>
          <w:rtl/>
        </w:rPr>
        <w:t xml:space="preserve"> דאף איסור אשת איש נחשב זר מעיקרא, דמשכח"ל שקידשה אביה פחות מבת ג'. ודוקא מחזיר גרושתו שאיו יכול להיות זר מעיקרא.</w:t>
      </w:r>
    </w:p>
  </w:footnote>
  <w:footnote w:id="3460">
    <w:p w14:paraId="21526B5B" w14:textId="77777777" w:rsidR="006074A5" w:rsidRDefault="006074A5" w:rsidP="006074A5">
      <w:pPr>
        <w:pStyle w:val="Footnote"/>
        <w:bidi/>
      </w:pPr>
      <w:r>
        <w:rPr>
          <w:rStyle w:val="ac"/>
          <w:rtl/>
        </w:rPr>
        <w:footnoteRef/>
      </w:r>
      <w:r>
        <w:rPr>
          <w:rtl/>
        </w:rPr>
        <w:t>[ויש שפי' דהוה בכלל 'איש זר', דכיון דעכשיו הוה פסולי קהל חשיבי זר. אך מדברי הרשב"א משמע דמש"ה הוה 'זונה'. ושם זונה תלי היכא דמופקעת מכל הקהל].</w:t>
      </w:r>
    </w:p>
  </w:footnote>
  <w:footnote w:id="3461">
    <w:p w14:paraId="71ED3CBA" w14:textId="77777777" w:rsidR="006074A5" w:rsidRDefault="006074A5" w:rsidP="006074A5">
      <w:pPr>
        <w:pStyle w:val="Footnote"/>
        <w:bidi/>
      </w:pPr>
      <w:r>
        <w:rPr>
          <w:rStyle w:val="ac"/>
          <w:rtl/>
        </w:rPr>
        <w:footnoteRef/>
      </w:r>
      <w:r>
        <w:rPr>
          <w:rtl/>
        </w:rPr>
        <w:t>ואפשר דהגדר דלא נתחדש בו דין להאכיל קנין כספו.</w:t>
      </w:r>
    </w:p>
  </w:footnote>
  <w:footnote w:id="3462">
    <w:p w14:paraId="353F8E07" w14:textId="77777777" w:rsidR="006074A5" w:rsidRDefault="006074A5" w:rsidP="006074A5">
      <w:pPr>
        <w:pStyle w:val="Footnote"/>
        <w:bidi/>
      </w:pPr>
      <w:r>
        <w:rPr>
          <w:rStyle w:val="ac"/>
          <w:rtl/>
        </w:rPr>
        <w:footnoteRef/>
      </w:r>
      <w:r>
        <w:rPr>
          <w:rtl/>
        </w:rPr>
        <w:t>ואף דתרוייהו ילפי' משום 'קנין כספו' [ויתבאר עוד לקמן סו.]. ועוד הביאו האחרונים דיש פסוק נוסף באשה כל טהור בביתך [ובעזה"י יתבאר לקמן].</w:t>
      </w:r>
    </w:p>
  </w:footnote>
  <w:footnote w:id="3463">
    <w:p w14:paraId="62387018" w14:textId="77777777" w:rsidR="006074A5" w:rsidRDefault="006074A5" w:rsidP="006074A5">
      <w:pPr>
        <w:pStyle w:val="Footnote"/>
        <w:bidi/>
      </w:pPr>
      <w:r>
        <w:rPr>
          <w:rStyle w:val="ac"/>
          <w:rtl/>
        </w:rPr>
        <w:footnoteRef/>
      </w:r>
      <w:r>
        <w:rPr>
          <w:rtl/>
        </w:rPr>
        <w:t>וכיון דפצוע דכא אינו מוליד לא גזרו.</w:t>
      </w:r>
    </w:p>
  </w:footnote>
  <w:footnote w:id="3464">
    <w:p w14:paraId="2A31227C" w14:textId="77777777" w:rsidR="006074A5" w:rsidRDefault="006074A5" w:rsidP="006074A5">
      <w:pPr>
        <w:pStyle w:val="Footnote"/>
        <w:bidi/>
      </w:pPr>
      <w:r>
        <w:rPr>
          <w:rStyle w:val="ac"/>
          <w:rtl/>
        </w:rPr>
        <w:footnoteRef/>
      </w:r>
      <w:r>
        <w:rPr>
          <w:rtl/>
        </w:rPr>
        <w:t>וה</w:t>
      </w:r>
      <w:r>
        <w:rPr>
          <w:b/>
          <w:bCs/>
          <w:rtl/>
        </w:rPr>
        <w:t>יפ"ע</w:t>
      </w:r>
      <w:r>
        <w:rPr>
          <w:rtl/>
        </w:rPr>
        <w:t xml:space="preserve"> הביא דה</w:t>
      </w:r>
      <w:r>
        <w:rPr>
          <w:b/>
          <w:bCs/>
          <w:rtl/>
        </w:rPr>
        <w:t>ירושלמי</w:t>
      </w:r>
      <w:r>
        <w:rPr>
          <w:rtl/>
        </w:rPr>
        <w:t xml:space="preserve"> (ח ב) פשיט אסור בגיורת, דבקדושתיה. [והק' מהברייתא דלקמן. אך לל"ק דרש"י אתי שפיר, דקאי היכא דאמו מישראל].</w:t>
      </w:r>
    </w:p>
  </w:footnote>
  <w:footnote w:id="3465">
    <w:p w14:paraId="3A04B9C0" w14:textId="77777777" w:rsidR="006074A5" w:rsidRDefault="006074A5" w:rsidP="006074A5">
      <w:pPr>
        <w:pStyle w:val="Footnote"/>
        <w:bidi/>
      </w:pPr>
      <w:r>
        <w:rPr>
          <w:rStyle w:val="ac"/>
          <w:rtl/>
        </w:rPr>
        <w:footnoteRef/>
      </w:r>
      <w:r>
        <w:rPr>
          <w:rtl/>
        </w:rPr>
        <w:t>ועוד הביא ה</w:t>
      </w:r>
      <w:r>
        <w:rPr>
          <w:b/>
          <w:bCs/>
          <w:rtl/>
        </w:rPr>
        <w:t>שעה"מ</w:t>
      </w:r>
      <w:r>
        <w:rPr>
          <w:rtl/>
        </w:rPr>
        <w:t xml:space="preserve"> (טו ט) דבסוגיין לל"ב דרש"י מבואר דקי"ל דמותר בבת גרים לראב"י. [וא"כ הותר אף בגיורת. אך צ"ע דלכאו' גיורת חמירא מבת גרים, דגיורת הוה זונה. ואילו בת גר לגיורת לראב"י אינו מפורש בקרא. ולכאו' מבואר דלא חילקו בזה].</w:t>
      </w:r>
    </w:p>
  </w:footnote>
  <w:footnote w:id="3466">
    <w:p w14:paraId="6256D842" w14:textId="77777777" w:rsidR="006074A5" w:rsidRDefault="006074A5" w:rsidP="006074A5">
      <w:pPr>
        <w:pStyle w:val="Footnote"/>
        <w:bidi/>
      </w:pPr>
      <w:r>
        <w:rPr>
          <w:rStyle w:val="ac"/>
          <w:rtl/>
        </w:rPr>
        <w:footnoteRef/>
      </w:r>
      <w:r>
        <w:rPr>
          <w:rtl/>
        </w:rPr>
        <w:t>וה</w:t>
      </w:r>
      <w:r>
        <w:rPr>
          <w:b/>
          <w:bCs/>
          <w:rtl/>
        </w:rPr>
        <w:t>בי"ש</w:t>
      </w:r>
      <w:r>
        <w:rPr>
          <w:rtl/>
        </w:rPr>
        <w:t xml:space="preserve"> (ה א) דייק מדבריו דדוקא גיורת דאינו מפורש בקרא, אבל [לדעת הרמב"ם] אסור בגרושה וחללה דמפורש בקרא. וה</w:t>
      </w:r>
      <w:r>
        <w:rPr>
          <w:b/>
          <w:bCs/>
          <w:rtl/>
        </w:rPr>
        <w:t>אחרונים</w:t>
      </w:r>
      <w:r>
        <w:rPr>
          <w:rtl/>
        </w:rPr>
        <w:t xml:space="preserve"> חלקו דעיקר החילוק בין פסולי קהל, דשווין לכל. לאיסורי כהונה, שאינם שווין בכל. וכ"ד ה</w:t>
      </w:r>
      <w:r>
        <w:rPr>
          <w:b/>
          <w:bCs/>
          <w:rtl/>
        </w:rPr>
        <w:t>חלק"מ</w:t>
      </w:r>
      <w:r>
        <w:rPr>
          <w:rtl/>
        </w:rPr>
        <w:t xml:space="preserve"> (שם) דהותר בגרושה וחללה, דמה לי זונה ומה לי גרושה וחללה דכתיבא בחד קרא. [ודעת ה</w:t>
      </w:r>
      <w:r>
        <w:rPr>
          <w:b/>
          <w:bCs/>
          <w:rtl/>
        </w:rPr>
        <w:t xml:space="preserve">רמב"ם </w:t>
      </w:r>
      <w:r>
        <w:rPr>
          <w:rtl/>
        </w:rPr>
        <w:t>(יח ג) דגיורת לוקה משום זונה. וכ"ש בנתגיירה יותר מבת ג'].</w:t>
      </w:r>
    </w:p>
  </w:footnote>
  <w:footnote w:id="3467">
    <w:p w14:paraId="38B35031" w14:textId="77777777" w:rsidR="006074A5" w:rsidRDefault="006074A5" w:rsidP="006074A5">
      <w:pPr>
        <w:pStyle w:val="Footnote"/>
        <w:bidi/>
      </w:pPr>
      <w:r>
        <w:rPr>
          <w:rStyle w:val="ac"/>
          <w:rtl/>
        </w:rPr>
        <w:footnoteRef/>
      </w:r>
      <w:r>
        <w:rPr>
          <w:rtl/>
        </w:rPr>
        <w:t>ואף דלדעת הרמב"ם לוקה משום זונה, דגלי קרא דיחזקאל דהוה בכלל זונה, מ"מ אינו מפורש בקרא.</w:t>
      </w:r>
    </w:p>
  </w:footnote>
  <w:footnote w:id="3468">
    <w:p w14:paraId="52183713" w14:textId="77777777" w:rsidR="006074A5" w:rsidRDefault="006074A5" w:rsidP="006074A5">
      <w:pPr>
        <w:pStyle w:val="Footnote"/>
        <w:bidi/>
      </w:pPr>
      <w:r>
        <w:rPr>
          <w:rStyle w:val="ac"/>
          <w:rtl/>
        </w:rPr>
        <w:footnoteRef/>
      </w:r>
      <w:r>
        <w:rPr>
          <w:rtl/>
        </w:rPr>
        <w:t>דכיון דאתה מתירו בזונה, א"כ הוה כזר בעלמא.</w:t>
      </w:r>
    </w:p>
  </w:footnote>
  <w:footnote w:id="3469">
    <w:p w14:paraId="0605B47D" w14:textId="77777777" w:rsidR="006074A5" w:rsidRDefault="006074A5" w:rsidP="006074A5">
      <w:pPr>
        <w:pStyle w:val="Footnote"/>
        <w:bidi/>
      </w:pPr>
      <w:r>
        <w:rPr>
          <w:rStyle w:val="ac"/>
          <w:rtl/>
        </w:rPr>
        <w:footnoteRef/>
      </w:r>
      <w:r>
        <w:rPr>
          <w:rtl/>
        </w:rPr>
        <w:t>וצ"ב דעבד אוכל מחמת כהונה דאדוניו. ואילו פצוע דכא אוכל מחמת עצמו.</w:t>
      </w:r>
    </w:p>
  </w:footnote>
  <w:footnote w:id="3470">
    <w:p w14:paraId="23E9D80F" w14:textId="77777777" w:rsidR="006074A5" w:rsidRDefault="006074A5" w:rsidP="006074A5">
      <w:pPr>
        <w:pStyle w:val="Footnote"/>
        <w:bidi/>
      </w:pPr>
      <w:r>
        <w:rPr>
          <w:rStyle w:val="ac"/>
          <w:rtl/>
        </w:rPr>
        <w:footnoteRef/>
      </w:r>
      <w:r>
        <w:rPr>
          <w:rtl/>
        </w:rPr>
        <w:t>דהיכא דנתחללה בביאתה מבואר בכ"מ דפסולה לתרומה. אבל בת חלל י"ל דאסורה בתרומה מחמת דאינה כהנת. ומבואר הכא דאף בחלל זו יש פסול מתרומה.</w:t>
      </w:r>
    </w:p>
  </w:footnote>
  <w:footnote w:id="3471">
    <w:p w14:paraId="5D127736" w14:textId="77777777" w:rsidR="006074A5" w:rsidRDefault="006074A5" w:rsidP="006074A5">
      <w:pPr>
        <w:pStyle w:val="Footnote"/>
        <w:bidi/>
      </w:pPr>
      <w:r>
        <w:rPr>
          <w:rStyle w:val="ac"/>
          <w:rtl/>
        </w:rPr>
        <w:footnoteRef/>
      </w:r>
      <w:r>
        <w:rPr>
          <w:rtl/>
        </w:rPr>
        <w:t>[ועוד הביא ע"פ דברי האחרונים דלולי דברי התוס' היה אפ"ל דהוא דין דרבנן].</w:t>
      </w:r>
    </w:p>
  </w:footnote>
  <w:footnote w:id="3472">
    <w:p w14:paraId="28744290" w14:textId="77777777" w:rsidR="006074A5" w:rsidRDefault="006074A5" w:rsidP="006074A5">
      <w:pPr>
        <w:pStyle w:val="Footnote"/>
        <w:bidi/>
      </w:pPr>
      <w:r>
        <w:rPr>
          <w:rStyle w:val="ac"/>
          <w:rtl/>
        </w:rPr>
        <w:footnoteRef/>
      </w:r>
      <w:r>
        <w:rPr>
          <w:rtl/>
        </w:rPr>
        <w:t>וזונה פסולה בתרומה רק היכא דסיבת האכילה מחמת עצמה. ועוד יל"פ דגדר הפסול זונה, דמבטל ממנה שם כהנת [מחמת בעלה].</w:t>
      </w:r>
    </w:p>
  </w:footnote>
  <w:footnote w:id="3473">
    <w:p w14:paraId="0F2A5007" w14:textId="77777777" w:rsidR="006074A5" w:rsidRDefault="006074A5" w:rsidP="006074A5">
      <w:pPr>
        <w:pStyle w:val="Footnote"/>
        <w:bidi/>
      </w:pPr>
      <w:r>
        <w:rPr>
          <w:rStyle w:val="ac"/>
          <w:rtl/>
        </w:rPr>
        <w:footnoteRef/>
      </w:r>
      <w:r>
        <w:rPr>
          <w:rtl/>
        </w:rPr>
        <w:t>דר' יהודה אוסר בשניהם, ור' יוסי מתיר בשניהם. [אף דב' המחלוקות לכאורה אינם תלוים זה בזה כלל].</w:t>
      </w:r>
    </w:p>
  </w:footnote>
  <w:footnote w:id="3474">
    <w:p w14:paraId="654CDB7B" w14:textId="77777777" w:rsidR="006074A5" w:rsidRDefault="006074A5" w:rsidP="006074A5">
      <w:pPr>
        <w:pStyle w:val="Footnote"/>
        <w:bidi/>
      </w:pPr>
      <w:r>
        <w:rPr>
          <w:rStyle w:val="ac"/>
          <w:rtl/>
        </w:rPr>
        <w:footnoteRef/>
      </w:r>
      <w:r>
        <w:rPr>
          <w:rtl/>
        </w:rPr>
        <w:t>פ</w:t>
      </w:r>
      <w:r>
        <w:rPr>
          <w:b/>
          <w:bCs/>
          <w:rtl/>
        </w:rPr>
        <w:t>רש"י</w:t>
      </w:r>
      <w:r>
        <w:rPr>
          <w:rtl/>
        </w:rPr>
        <w:t xml:space="preserve"> זרע כחוש, כגון מן האם.</w:t>
      </w:r>
    </w:p>
  </w:footnote>
  <w:footnote w:id="3475">
    <w:p w14:paraId="508CEDB3" w14:textId="77777777" w:rsidR="006074A5" w:rsidRDefault="006074A5" w:rsidP="006074A5">
      <w:pPr>
        <w:pStyle w:val="Footnote"/>
        <w:bidi/>
      </w:pPr>
      <w:r>
        <w:rPr>
          <w:rStyle w:val="ac"/>
          <w:rtl/>
        </w:rPr>
        <w:footnoteRef/>
      </w:r>
      <w:r>
        <w:rPr>
          <w:rtl/>
        </w:rPr>
        <w:t>ולכאו' משמע דקאי לכל המ"ד, ואף לראב"י טעם האיסור משום זונה. אבל יש שפי' דכל הנידון בדעת ר' יוסי. אבל לר' יהודה ע"כ פסול מצד ק"ו דפגום (וכמ"ש תוס' כאן ד"ה ואי). וכן לראב"י גדר הפסול משום יחוס, דליכא צד זונה.</w:t>
      </w:r>
    </w:p>
  </w:footnote>
  <w:footnote w:id="3476">
    <w:p w14:paraId="4987DB12" w14:textId="77777777" w:rsidR="006074A5" w:rsidRDefault="006074A5" w:rsidP="006074A5">
      <w:pPr>
        <w:pStyle w:val="Footnote"/>
        <w:bidi/>
      </w:pPr>
      <w:r>
        <w:rPr>
          <w:rStyle w:val="ac"/>
          <w:rtl/>
        </w:rPr>
        <w:footnoteRef/>
      </w:r>
      <w:r>
        <w:rPr>
          <w:rtl/>
        </w:rPr>
        <w:t>ועד"ז יש להביא דעת ר' דוסתאי בן יהודה (קידושין עז.) דחלל שנשא בת ישראל, הולד אינו חלל. דבנות ישראל מקוה טהרה לחללים.</w:t>
      </w:r>
    </w:p>
  </w:footnote>
  <w:footnote w:id="3477">
    <w:p w14:paraId="7BEC22B8" w14:textId="77777777" w:rsidR="006074A5" w:rsidRDefault="006074A5" w:rsidP="006074A5">
      <w:pPr>
        <w:pStyle w:val="Footnote"/>
        <w:bidi/>
      </w:pPr>
      <w:r>
        <w:rPr>
          <w:rStyle w:val="ac"/>
          <w:rtl/>
        </w:rPr>
        <w:footnoteRef/>
      </w:r>
      <w:r>
        <w:rPr>
          <w:rtl/>
        </w:rPr>
        <w:t>ועד"ז הא דלעיל (מה:) דהיכא דאמו מישראל נחשב מקרב אחיך וראוי לשררה.</w:t>
      </w:r>
    </w:p>
  </w:footnote>
  <w:footnote w:id="3478">
    <w:p w14:paraId="2CFCDD3D" w14:textId="77777777" w:rsidR="006074A5" w:rsidRDefault="006074A5" w:rsidP="006074A5">
      <w:pPr>
        <w:pStyle w:val="Footnote"/>
        <w:bidi/>
      </w:pPr>
      <w:r>
        <w:rPr>
          <w:rStyle w:val="ac"/>
          <w:rtl/>
        </w:rPr>
        <w:footnoteRef/>
      </w:r>
      <w:r>
        <w:rPr>
          <w:rtl/>
        </w:rPr>
        <w:t>דקאי אדלעיל דתני כשהוא מתפלל אומר אלקי אבות ישראל.</w:t>
      </w:r>
    </w:p>
  </w:footnote>
  <w:footnote w:id="3479">
    <w:p w14:paraId="7BC03251" w14:textId="77777777" w:rsidR="006074A5" w:rsidRDefault="006074A5" w:rsidP="006074A5">
      <w:pPr>
        <w:pStyle w:val="Footnote"/>
        <w:bidi/>
      </w:pPr>
      <w:r>
        <w:rPr>
          <w:rStyle w:val="ac"/>
          <w:rtl/>
        </w:rPr>
        <w:footnoteRef/>
      </w:r>
      <w:r>
        <w:rPr>
          <w:rtl/>
        </w:rPr>
        <w:t>ועד"ז אי' (קידושין עח:) דקי"ל כר' יוסי, אלא דכהנים נהגו סלסול בעצמן כראב"י [מעלה ביוחסין]. ולכתחילה לא תנשא, ואם נשאת לא תצא.</w:t>
      </w:r>
    </w:p>
  </w:footnote>
  <w:footnote w:id="3480">
    <w:p w14:paraId="1757405E" w14:textId="77777777" w:rsidR="006074A5" w:rsidRDefault="006074A5" w:rsidP="006074A5">
      <w:pPr>
        <w:pStyle w:val="Footnote"/>
        <w:bidi/>
      </w:pPr>
      <w:r>
        <w:rPr>
          <w:rStyle w:val="ac"/>
          <w:rtl/>
        </w:rPr>
        <w:footnoteRef/>
      </w:r>
      <w:r>
        <w:rPr>
          <w:rtl/>
        </w:rPr>
        <w:t>[משמע מדבריו דאף דהחמירו ביוחסין, אינה נעשית חללה בביאתו. ועי"ל דדוקא לכתחילה עשו מעלה, אבל אם נשאת לא תצא].</w:t>
      </w:r>
    </w:p>
  </w:footnote>
  <w:footnote w:id="3481">
    <w:p w14:paraId="094D2234" w14:textId="77777777" w:rsidR="006074A5" w:rsidRDefault="006074A5" w:rsidP="006074A5">
      <w:pPr>
        <w:pStyle w:val="Footnote"/>
        <w:bidi/>
      </w:pPr>
      <w:r>
        <w:rPr>
          <w:rStyle w:val="ac"/>
          <w:rtl/>
        </w:rPr>
        <w:footnoteRef/>
      </w:r>
      <w:r>
        <w:rPr>
          <w:rtl/>
        </w:rPr>
        <w:t>ומשמע דאל"כ לא יתכן להכשיר לכהונה. [ואף דלר' יוסי קהל גרים לא איקרי קהל, ומותרת לכהונה].</w:t>
      </w:r>
    </w:p>
  </w:footnote>
  <w:footnote w:id="3482">
    <w:p w14:paraId="6F25E660" w14:textId="77777777" w:rsidR="006074A5" w:rsidRDefault="006074A5" w:rsidP="006074A5">
      <w:pPr>
        <w:pStyle w:val="Footnote"/>
        <w:bidi/>
      </w:pPr>
      <w:r>
        <w:rPr>
          <w:rStyle w:val="ac"/>
          <w:rtl/>
        </w:rPr>
        <w:footnoteRef/>
      </w:r>
      <w:r>
        <w:rPr>
          <w:rtl/>
        </w:rPr>
        <w:t>וכן תניא (קידושין עה.) דגר עד י' דורות מותר בממזרת. [אך י"ל דקאי לאחר מסקנת סוגיין, דנפשט להתירא].</w:t>
      </w:r>
    </w:p>
  </w:footnote>
  <w:footnote w:id="3483">
    <w:p w14:paraId="1C03E7A4" w14:textId="77777777" w:rsidR="006074A5" w:rsidRDefault="006074A5" w:rsidP="006074A5">
      <w:pPr>
        <w:pStyle w:val="Footnote"/>
        <w:bidi/>
      </w:pPr>
      <w:r>
        <w:rPr>
          <w:rStyle w:val="ac"/>
          <w:rtl/>
        </w:rPr>
        <w:footnoteRef/>
      </w:r>
      <w:r>
        <w:rPr>
          <w:rtl/>
        </w:rPr>
        <w:t>ויש שפי' דר' יוסי ס"ל דמשפחת גרים אינו פוסל לכהונה. אבל ראב"י ס"ל דמשפחת גרים פוסל לכהונה בבת גר וגיורת. וע"כ דהיכא דאמו מישראל מהני קדושת ישראל של האם לתת שם ישראל, ולא קהל גרים. והגמ' מסתפקת דאף בת גר וגיורת נהי דיש לו 'פסול גר', מ"מ בגדרי קהל הוה קהל [ליאסר בממזר]. דגדרי קהל ע"כ הולך אחר הזכר (ע' בסמוך).</w:t>
      </w:r>
    </w:p>
  </w:footnote>
  <w:footnote w:id="3484">
    <w:p w14:paraId="5CDA2E4E" w14:textId="77777777" w:rsidR="006074A5" w:rsidRDefault="006074A5" w:rsidP="006074A5">
      <w:pPr>
        <w:pStyle w:val="Footnote"/>
        <w:bidi/>
      </w:pPr>
      <w:r>
        <w:rPr>
          <w:rStyle w:val="ac"/>
          <w:rtl/>
        </w:rPr>
        <w:footnoteRef/>
      </w:r>
      <w:r>
        <w:rPr>
          <w:rtl/>
        </w:rPr>
        <w:t>ויל"פ ד'קהל' תלי בקדושת ישראל, והוה דבר חיובי. ומי שאין לו קדושה רשאי לינשא לפסולים. ואילו איסור גיורת לכהן הוה מחמת 'פגם' שבאה מהנכרי, וכשאמה מישראל היא כשירה [בהעדר] דאין לה פגם.</w:t>
      </w:r>
    </w:p>
    <w:p w14:paraId="392F5B3A" w14:textId="77777777" w:rsidR="006074A5" w:rsidRDefault="006074A5" w:rsidP="006074A5">
      <w:pPr>
        <w:pStyle w:val="Footnote"/>
        <w:bidi/>
      </w:pPr>
      <w:r>
        <w:rPr>
          <w:rtl/>
        </w:rPr>
        <w:tab/>
        <w:t>ולל"ב דרש"י הוה להיפך, דהיתר לכהונה הוה טפי מגדרי קהל דישראל בעלמא. ומש"ה גדרי קהל שייך לשון כשרות, וגדרי כהונה הוה תוספת קדושה.</w:t>
      </w:r>
    </w:p>
  </w:footnote>
  <w:footnote w:id="3485">
    <w:p w14:paraId="68CB8155" w14:textId="77777777" w:rsidR="006074A5" w:rsidRDefault="006074A5" w:rsidP="006074A5">
      <w:pPr>
        <w:pStyle w:val="Footnote"/>
        <w:bidi/>
      </w:pPr>
      <w:r>
        <w:rPr>
          <w:rStyle w:val="ac"/>
          <w:rtl/>
        </w:rPr>
        <w:footnoteRef/>
      </w:r>
      <w:r>
        <w:rPr>
          <w:rtl/>
        </w:rPr>
        <w:t>ו</w:t>
      </w:r>
      <w:r>
        <w:rPr>
          <w:b/>
          <w:bCs/>
          <w:rtl/>
        </w:rPr>
        <w:t>ה"ה</w:t>
      </w:r>
      <w:r>
        <w:rPr>
          <w:rtl/>
        </w:rPr>
        <w:t xml:space="preserve"> ציין מקורו מהא דעכו"ם הבא על בת ישראל, הבת חשיבא ישראל. ואסורה בממזר.</w:t>
      </w:r>
    </w:p>
  </w:footnote>
  <w:footnote w:id="3486">
    <w:p w14:paraId="622D7BBC" w14:textId="77777777" w:rsidR="006074A5" w:rsidRDefault="006074A5" w:rsidP="006074A5">
      <w:pPr>
        <w:pStyle w:val="Footnote"/>
        <w:bidi/>
      </w:pPr>
      <w:r>
        <w:rPr>
          <w:rStyle w:val="ac"/>
          <w:rtl/>
        </w:rPr>
        <w:footnoteRef/>
      </w:r>
      <w:r>
        <w:rPr>
          <w:rtl/>
        </w:rPr>
        <w:t>וה</w:t>
      </w:r>
      <w:r>
        <w:rPr>
          <w:b/>
          <w:bCs/>
          <w:rtl/>
        </w:rPr>
        <w:t>ר"ן</w:t>
      </w:r>
      <w:r>
        <w:rPr>
          <w:rtl/>
        </w:rPr>
        <w:t xml:space="preserve"> כ' דבשלמא עכו"ם הבא על בת ישראל, כיון דאינו מיוחס לעכו"ם, דינו כישראל גמור ואסור בממזרת. אבל בגר [דהוה ישראל] הבן מתייחס אחריו והוה גר.</w:t>
      </w:r>
    </w:p>
  </w:footnote>
  <w:footnote w:id="3487">
    <w:p w14:paraId="05F0BDAE" w14:textId="77777777" w:rsidR="006074A5" w:rsidRDefault="006074A5" w:rsidP="006074A5">
      <w:pPr>
        <w:pStyle w:val="Footnote"/>
        <w:bidi/>
      </w:pPr>
      <w:r>
        <w:rPr>
          <w:rStyle w:val="ac"/>
          <w:rtl/>
        </w:rPr>
        <w:footnoteRef/>
      </w:r>
      <w:r>
        <w:rPr>
          <w:rtl/>
        </w:rPr>
        <w:t>דתנן (קידושין סו:) כל מקום שיש קידושין ואין עבירה הולד הולך אחר הזכר. [אך בגמ' שם סז. מבואר דהך כללא לאו דוקא]. וה</w:t>
      </w:r>
      <w:r>
        <w:rPr>
          <w:b/>
          <w:bCs/>
          <w:rtl/>
        </w:rPr>
        <w:t>בי"ש</w:t>
      </w:r>
      <w:r>
        <w:rPr>
          <w:rtl/>
        </w:rPr>
        <w:t xml:space="preserve"> (ד לז) כתב דבגר לא נאמר הך כלל [דאחר הזכר], דהא גר נושא ממזרת [ויש קידושין ואין עבירה], ושדינן בתר הפגום.</w:t>
      </w:r>
    </w:p>
  </w:footnote>
  <w:footnote w:id="3488">
    <w:p w14:paraId="7FA982A4" w14:textId="77777777" w:rsidR="006074A5" w:rsidRDefault="006074A5" w:rsidP="006074A5">
      <w:pPr>
        <w:pStyle w:val="Footnote"/>
        <w:bidi/>
      </w:pPr>
      <w:r>
        <w:rPr>
          <w:rStyle w:val="ac"/>
          <w:rtl/>
        </w:rPr>
        <w:footnoteRef/>
      </w:r>
      <w:r>
        <w:rPr>
          <w:rtl/>
        </w:rPr>
        <w:t>וכן מבואר בתוס' (קידושין עד:).</w:t>
      </w:r>
    </w:p>
  </w:footnote>
  <w:footnote w:id="3489">
    <w:p w14:paraId="2505C3E4" w14:textId="77777777" w:rsidR="006074A5" w:rsidRDefault="006074A5" w:rsidP="006074A5">
      <w:pPr>
        <w:pStyle w:val="Footnote"/>
        <w:bidi/>
      </w:pPr>
      <w:r>
        <w:rPr>
          <w:rStyle w:val="ac"/>
          <w:rtl/>
        </w:rPr>
        <w:footnoteRef/>
      </w:r>
      <w:r>
        <w:rPr>
          <w:rtl/>
        </w:rPr>
        <w:t>וה</w:t>
      </w:r>
      <w:r>
        <w:rPr>
          <w:b/>
          <w:bCs/>
          <w:rtl/>
        </w:rPr>
        <w:t>ט"ז</w:t>
      </w:r>
      <w:r>
        <w:rPr>
          <w:rtl/>
        </w:rPr>
        <w:t xml:space="preserve"> (ד יג) כת' דכיון דאין עליו גיות כלל, ממילא הוה ישראל. וה</w:t>
      </w:r>
      <w:r>
        <w:rPr>
          <w:b/>
          <w:bCs/>
          <w:rtl/>
        </w:rPr>
        <w:t>גר"א</w:t>
      </w:r>
      <w:r>
        <w:rPr>
          <w:rtl/>
        </w:rPr>
        <w:t xml:space="preserve"> (ד נב) ביאר דאפי' לכהונה כשר ע"י אמו. וכן איתא (לעיל מה:) דכיון דאמו מישראל מקרב אחיך קרינן ביה.</w:t>
      </w:r>
    </w:p>
  </w:footnote>
  <w:footnote w:id="3490">
    <w:p w14:paraId="6938D479" w14:textId="77777777" w:rsidR="006074A5" w:rsidRDefault="006074A5" w:rsidP="006074A5">
      <w:pPr>
        <w:pStyle w:val="Footnote"/>
        <w:bidi/>
      </w:pPr>
      <w:r>
        <w:rPr>
          <w:rStyle w:val="ac"/>
          <w:rtl/>
        </w:rPr>
        <w:footnoteRef/>
      </w:r>
      <w:r>
        <w:rPr>
          <w:rtl/>
        </w:rPr>
        <w:t>והגר"ח הביא דמבואר (בכורות מז.) מבואר דנכרי הבא על בת לוי נחשב הולד לוי, דכיון דנולד מלויה ממילא יש דין לוי [ולא תלי' בדין משפחה].</w:t>
      </w:r>
    </w:p>
  </w:footnote>
  <w:footnote w:id="3491">
    <w:p w14:paraId="443C0D35" w14:textId="77777777" w:rsidR="006074A5" w:rsidRDefault="006074A5" w:rsidP="006074A5">
      <w:pPr>
        <w:pStyle w:val="Footnote"/>
        <w:bidi/>
      </w:pPr>
      <w:r>
        <w:rPr>
          <w:rStyle w:val="ac"/>
          <w:rtl/>
        </w:rPr>
        <w:footnoteRef/>
      </w:r>
      <w:r>
        <w:rPr>
          <w:rtl/>
        </w:rPr>
        <w:t>והקשה דגר הוה העדר קדושת קהל, ואין בזה סתירה לגדר קהל. ולכן פי' דעצם מה שמיוחס למשפחת אביו, עי"ז יצא ממציאות האם, ואינו בכלל דיני האם.</w:t>
      </w:r>
    </w:p>
  </w:footnote>
  <w:footnote w:id="3492">
    <w:p w14:paraId="4ED38FA2" w14:textId="77777777" w:rsidR="006074A5" w:rsidRDefault="006074A5" w:rsidP="006074A5">
      <w:pPr>
        <w:pStyle w:val="Footnote"/>
        <w:bidi/>
      </w:pPr>
      <w:r>
        <w:rPr>
          <w:rStyle w:val="ac"/>
          <w:rtl/>
        </w:rPr>
        <w:footnoteRef/>
      </w:r>
      <w:r>
        <w:rPr>
          <w:rtl/>
        </w:rPr>
        <w:t>וכן ה</w:t>
      </w:r>
      <w:r>
        <w:rPr>
          <w:b/>
          <w:bCs/>
          <w:rtl/>
        </w:rPr>
        <w:t>ריטב"א</w:t>
      </w:r>
      <w:r>
        <w:rPr>
          <w:rtl/>
        </w:rPr>
        <w:t xml:space="preserve"> בסוגיין כתב דפשטינן כשרות בלחוד איתוספה, וכן הילכתא [וכל"ק דרש"י].</w:t>
      </w:r>
    </w:p>
  </w:footnote>
  <w:footnote w:id="3493">
    <w:p w14:paraId="253A0A7A" w14:textId="77777777" w:rsidR="006074A5" w:rsidRDefault="006074A5" w:rsidP="006074A5">
      <w:pPr>
        <w:pStyle w:val="Footnote"/>
        <w:bidi/>
      </w:pPr>
      <w:r>
        <w:rPr>
          <w:rStyle w:val="ac"/>
          <w:rtl/>
        </w:rPr>
        <w:footnoteRef/>
      </w:r>
      <w:r>
        <w:rPr>
          <w:rtl/>
        </w:rPr>
        <w:t>ויש שהביאו דה</w:t>
      </w:r>
      <w:r>
        <w:rPr>
          <w:b/>
          <w:bCs/>
          <w:rtl/>
        </w:rPr>
        <w:t>רמב"ם</w:t>
      </w:r>
      <w:r>
        <w:rPr>
          <w:rtl/>
        </w:rPr>
        <w:t xml:space="preserve"> (תרומות ז יג) כת' 'בת גרים', ומשמע כל"ב דרש"י.</w:t>
      </w:r>
    </w:p>
  </w:footnote>
  <w:footnote w:id="3494">
    <w:p w14:paraId="3EB0AEE1" w14:textId="77777777" w:rsidR="006074A5" w:rsidRDefault="006074A5" w:rsidP="006074A5">
      <w:pPr>
        <w:pStyle w:val="Footnote"/>
        <w:bidi/>
      </w:pPr>
      <w:r>
        <w:rPr>
          <w:rStyle w:val="ac"/>
          <w:rtl/>
        </w:rPr>
        <w:footnoteRef/>
      </w:r>
      <w:r>
        <w:rPr>
          <w:rtl/>
        </w:rPr>
        <w:t>וכן ה</w:t>
      </w:r>
      <w:r>
        <w:rPr>
          <w:b/>
          <w:bCs/>
          <w:rtl/>
        </w:rPr>
        <w:t>גר"ח</w:t>
      </w:r>
      <w:r>
        <w:rPr>
          <w:rtl/>
        </w:rPr>
        <w:t xml:space="preserve"> (שם) כתב דלר' יוסי היתר כהונה לא תליא בדין קהל, ולכן לר' יוסי בת גרים מותרת בכהונה. אבל לראב"י דהיתר כהונה תליא בגדר קהל, ובזה מבואר בסוגיין דסגי באמו מישראל להחשב קהל. ומדראב"י נשמע לר' יוסי.</w:t>
      </w:r>
    </w:p>
  </w:footnote>
  <w:footnote w:id="3495">
    <w:p w14:paraId="1B31CF4C" w14:textId="77777777" w:rsidR="006074A5" w:rsidRDefault="006074A5" w:rsidP="006074A5">
      <w:pPr>
        <w:pStyle w:val="Footnote"/>
        <w:bidi/>
      </w:pPr>
      <w:r>
        <w:rPr>
          <w:rStyle w:val="ac"/>
          <w:rtl/>
        </w:rPr>
        <w:footnoteRef/>
      </w:r>
      <w:r>
        <w:rPr>
          <w:rtl/>
        </w:rPr>
        <w:t>ויל"פ דלראב"י יש שם פסול משום קהל גרים [וע"י אמו מישראל לא הוה קהל גרים]. אבל לר' יוסי גדר גיורת לא שייך כלל מחמת 'כלל'.</w:t>
      </w:r>
    </w:p>
  </w:footnote>
  <w:footnote w:id="3496">
    <w:p w14:paraId="60EA5D1D" w14:textId="77777777" w:rsidR="006074A5" w:rsidRDefault="006074A5" w:rsidP="006074A5">
      <w:pPr>
        <w:pStyle w:val="Footnote"/>
        <w:bidi/>
      </w:pPr>
      <w:r>
        <w:rPr>
          <w:rStyle w:val="ac"/>
          <w:rtl/>
        </w:rPr>
        <w:footnoteRef/>
      </w:r>
      <w:r>
        <w:rPr>
          <w:rtl/>
        </w:rPr>
        <w:t>וצ"ע דנימא דקרא לחדש דלאו בקדושתיה קאי. [וצ"ל דלא ניח"ל לפרש כן].</w:t>
      </w:r>
    </w:p>
  </w:footnote>
  <w:footnote w:id="3497">
    <w:p w14:paraId="1A031ED1" w14:textId="77777777" w:rsidR="006074A5" w:rsidRDefault="006074A5" w:rsidP="006074A5">
      <w:pPr>
        <w:pStyle w:val="Footnote"/>
        <w:bidi/>
      </w:pPr>
      <w:r>
        <w:rPr>
          <w:rStyle w:val="ac"/>
          <w:rtl/>
        </w:rPr>
        <w:footnoteRef/>
      </w:r>
      <w:r>
        <w:rPr>
          <w:rtl/>
        </w:rPr>
        <w:t>וה</w:t>
      </w:r>
      <w:r>
        <w:rPr>
          <w:b/>
          <w:bCs/>
          <w:rtl/>
        </w:rPr>
        <w:t xml:space="preserve">רמב"ן </w:t>
      </w:r>
      <w:r>
        <w:rPr>
          <w:rtl/>
        </w:rPr>
        <w:t>הק' אמאי ה</w:t>
      </w:r>
      <w:r>
        <w:rPr>
          <w:b/>
          <w:bCs/>
          <w:rtl/>
        </w:rPr>
        <w:t>רי"ף</w:t>
      </w:r>
      <w:r>
        <w:rPr>
          <w:rtl/>
        </w:rPr>
        <w:t xml:space="preserve"> השמיט המח', הרי נפק"מ האם תחשב נשואה ליורשה וכו'. אלא דסתם [בכתובות] דמהני חופה בכל אופן.</w:t>
      </w:r>
    </w:p>
  </w:footnote>
  <w:footnote w:id="3498">
    <w:p w14:paraId="04C20661" w14:textId="77777777" w:rsidR="006074A5" w:rsidRDefault="006074A5" w:rsidP="006074A5">
      <w:pPr>
        <w:pStyle w:val="Footnote"/>
        <w:bidi/>
      </w:pPr>
      <w:r>
        <w:rPr>
          <w:rStyle w:val="ac"/>
          <w:rtl/>
        </w:rPr>
        <w:footnoteRef/>
      </w:r>
      <w:r>
        <w:rPr>
          <w:rtl/>
        </w:rPr>
        <w:t>ולתוס' צ"ל דלרש"י תליא בדחיית הגמ' לרמי בר חמא.</w:t>
      </w:r>
    </w:p>
  </w:footnote>
  <w:footnote w:id="3499">
    <w:p w14:paraId="227B7189" w14:textId="77777777" w:rsidR="006074A5" w:rsidRDefault="006074A5" w:rsidP="006074A5">
      <w:pPr>
        <w:pStyle w:val="Footnote"/>
        <w:bidi/>
      </w:pPr>
      <w:r>
        <w:rPr>
          <w:rStyle w:val="ac"/>
          <w:rtl/>
        </w:rPr>
        <w:footnoteRef/>
      </w:r>
      <w:r>
        <w:rPr>
          <w:rtl/>
        </w:rPr>
        <w:t>ולפ"ז לכאו' מבואר ברמב"ם דחופה אינה קונה. [וה</w:t>
      </w:r>
      <w:r>
        <w:rPr>
          <w:b/>
          <w:bCs/>
          <w:rtl/>
        </w:rPr>
        <w:t>ר"ן</w:t>
      </w:r>
      <w:r>
        <w:rPr>
          <w:rtl/>
        </w:rPr>
        <w:t xml:space="preserve"> (קידושין ה. א: בדה"ר) כת' דלא מצא מה דעת הרמב"ם אי חופה קונה. וכת' דדבריו מטין שחופה אינו קונה].</w:t>
      </w:r>
    </w:p>
  </w:footnote>
  <w:footnote w:id="3500">
    <w:p w14:paraId="74BF5461" w14:textId="77777777" w:rsidR="006074A5" w:rsidRDefault="006074A5" w:rsidP="006074A5">
      <w:pPr>
        <w:pStyle w:val="Footnote"/>
        <w:bidi/>
      </w:pPr>
      <w:r>
        <w:rPr>
          <w:rStyle w:val="ac"/>
          <w:rtl/>
        </w:rPr>
        <w:footnoteRef/>
      </w:r>
      <w:r>
        <w:rPr>
          <w:rtl/>
        </w:rPr>
        <w:t>ויל"פ דהא דשמואל פליג בחופה דקודם קידושין, היינו משום דלא נחשב מציאות של חופה.</w:t>
      </w:r>
    </w:p>
  </w:footnote>
  <w:footnote w:id="3501">
    <w:p w14:paraId="6B15159B" w14:textId="77777777" w:rsidR="006074A5" w:rsidRDefault="006074A5" w:rsidP="006074A5">
      <w:pPr>
        <w:pStyle w:val="Footnote"/>
        <w:bidi/>
      </w:pPr>
      <w:r>
        <w:rPr>
          <w:rStyle w:val="ac"/>
          <w:rtl/>
        </w:rPr>
        <w:footnoteRef/>
      </w:r>
      <w:r>
        <w:rPr>
          <w:rtl/>
        </w:rPr>
        <w:t>ולכאורה הוה כעין אישות דבני נח. [ואף הגירושין תלי בהסכמה, וכעין גירושין דבני נח].</w:t>
      </w:r>
    </w:p>
  </w:footnote>
  <w:footnote w:id="3502">
    <w:p w14:paraId="22EACBA1" w14:textId="77777777" w:rsidR="006074A5" w:rsidRDefault="006074A5" w:rsidP="006074A5">
      <w:pPr>
        <w:pStyle w:val="Footnote"/>
        <w:bidi/>
      </w:pPr>
      <w:r>
        <w:rPr>
          <w:rStyle w:val="ac"/>
          <w:rtl/>
        </w:rPr>
        <w:footnoteRef/>
      </w:r>
      <w:r>
        <w:rPr>
          <w:rtl/>
        </w:rPr>
        <w:t>בפשוטו הוה חסרון רק ב'מעשה הנישואין', דחופה אינה מעשה נישואין, כיון דאינה עומדת [ע"פ דין] ליבעל. [וי"ל דזה תי' הרמב"ן]. אבל משמע בקושיית הרמב"ן דהחסרון חופה לפסולות דל"ש עצם הנישואין, כיון דאסורה לביאה.</w:t>
      </w:r>
    </w:p>
  </w:footnote>
  <w:footnote w:id="3503">
    <w:p w14:paraId="24929DC1" w14:textId="77777777" w:rsidR="006074A5" w:rsidRDefault="006074A5" w:rsidP="006074A5">
      <w:pPr>
        <w:pStyle w:val="Footnote"/>
        <w:bidi/>
      </w:pPr>
      <w:r>
        <w:rPr>
          <w:rStyle w:val="ac"/>
          <w:rtl/>
        </w:rPr>
        <w:footnoteRef/>
      </w:r>
      <w:r>
        <w:rPr>
          <w:rtl/>
        </w:rPr>
        <w:t>ועוד הביא הריטב"א י"מ דמדאורייתא לכו"ע יש חופה לפסולות, וסברת שמואל מדרבנן.</w:t>
      </w:r>
    </w:p>
  </w:footnote>
  <w:footnote w:id="3504">
    <w:p w14:paraId="27BACCC8" w14:textId="77777777" w:rsidR="006074A5" w:rsidRDefault="006074A5" w:rsidP="006074A5">
      <w:pPr>
        <w:pStyle w:val="Footnote"/>
        <w:bidi/>
      </w:pPr>
      <w:r>
        <w:rPr>
          <w:rStyle w:val="ac"/>
          <w:rtl/>
        </w:rPr>
        <w:footnoteRef/>
      </w:r>
      <w:r>
        <w:rPr>
          <w:rtl/>
        </w:rPr>
        <w:t>וה</w:t>
      </w:r>
      <w:r>
        <w:rPr>
          <w:b/>
          <w:bCs/>
          <w:rtl/>
        </w:rPr>
        <w:t>בי"מ</w:t>
      </w:r>
      <w:r>
        <w:rPr>
          <w:rtl/>
        </w:rPr>
        <w:t xml:space="preserve"> (סא) חילק דרק לענין לטמא וליורשה וכו' ס"ל לרמב"ם דלא קנה, אבל נחשבת נשואה דיכול לבוא עליה בלא חופה נוספת. וה</w:t>
      </w:r>
      <w:r>
        <w:rPr>
          <w:b/>
          <w:bCs/>
          <w:rtl/>
        </w:rPr>
        <w:t>גרנ"ט</w:t>
      </w:r>
      <w:r>
        <w:rPr>
          <w:rtl/>
        </w:rPr>
        <w:t xml:space="preserve"> (ריש כתובות) כתב דמסתבר להיפך, דלענין גדרי הממון יחשב נישואין, ורק לא לענין גדרי האישות.</w:t>
      </w:r>
    </w:p>
  </w:footnote>
  <w:footnote w:id="3505">
    <w:p w14:paraId="444EDC10" w14:textId="77777777" w:rsidR="006074A5" w:rsidRDefault="006074A5" w:rsidP="006074A5">
      <w:pPr>
        <w:pStyle w:val="Footnote"/>
        <w:bidi/>
      </w:pPr>
      <w:r>
        <w:rPr>
          <w:rStyle w:val="ac"/>
          <w:rtl/>
        </w:rPr>
        <w:footnoteRef/>
      </w:r>
      <w:r>
        <w:rPr>
          <w:rtl/>
        </w:rPr>
        <w:t>אך ה</w:t>
      </w:r>
      <w:r>
        <w:rPr>
          <w:b/>
          <w:bCs/>
          <w:rtl/>
        </w:rPr>
        <w:t>רא"ש</w:t>
      </w:r>
      <w:r>
        <w:rPr>
          <w:rtl/>
        </w:rPr>
        <w:t xml:space="preserve"> (ושא"ר שם) פי' את הספק באופן אחר.</w:t>
      </w:r>
    </w:p>
  </w:footnote>
  <w:footnote w:id="3506">
    <w:p w14:paraId="205D2FA0" w14:textId="77777777" w:rsidR="006074A5" w:rsidRDefault="006074A5" w:rsidP="006074A5">
      <w:pPr>
        <w:pStyle w:val="Footnote"/>
        <w:bidi/>
      </w:pPr>
      <w:r>
        <w:rPr>
          <w:rStyle w:val="ac"/>
          <w:rtl/>
        </w:rPr>
        <w:footnoteRef/>
      </w:r>
      <w:r>
        <w:rPr>
          <w:rtl/>
        </w:rPr>
        <w:t>ולכאו' לפ"ז חופת נדה יהני באופן שלא ידע שהיא נדה.</w:t>
      </w:r>
    </w:p>
  </w:footnote>
  <w:footnote w:id="3507">
    <w:p w14:paraId="31F8D07D" w14:textId="77777777" w:rsidR="006074A5" w:rsidRDefault="006074A5" w:rsidP="006074A5">
      <w:pPr>
        <w:pStyle w:val="Footnote"/>
        <w:bidi/>
      </w:pPr>
      <w:r>
        <w:rPr>
          <w:rStyle w:val="ac"/>
          <w:rtl/>
        </w:rPr>
        <w:footnoteRef/>
      </w:r>
      <w:r>
        <w:rPr>
          <w:rtl/>
        </w:rPr>
        <w:t>כן דייק ה</w:t>
      </w:r>
      <w:r>
        <w:rPr>
          <w:b/>
          <w:bCs/>
          <w:rtl/>
        </w:rPr>
        <w:t>שעה"מ</w:t>
      </w:r>
      <w:r>
        <w:rPr>
          <w:rtl/>
        </w:rPr>
        <w:t xml:space="preserve"> (חופת חתנים ב) מדברי התוס' [וכ"כ ב</w:t>
      </w:r>
      <w:r>
        <w:rPr>
          <w:b/>
          <w:bCs/>
          <w:rtl/>
        </w:rPr>
        <w:t>תוס' ריה"ז</w:t>
      </w:r>
      <w:r>
        <w:rPr>
          <w:rtl/>
        </w:rPr>
        <w:t xml:space="preserve"> שם]. ויל"ד אי תלי בספק הגמ' (קידושין י.) האם קידושי ביאה אירוסין עושה או נישואין, וקי"ל דאירוסין עושה.</w:t>
      </w:r>
    </w:p>
  </w:footnote>
  <w:footnote w:id="3508">
    <w:p w14:paraId="31630A34" w14:textId="77777777" w:rsidR="006074A5" w:rsidRDefault="006074A5" w:rsidP="006074A5">
      <w:pPr>
        <w:pStyle w:val="Footnote"/>
        <w:bidi/>
      </w:pPr>
      <w:r>
        <w:rPr>
          <w:rStyle w:val="ac"/>
          <w:rtl/>
        </w:rPr>
        <w:footnoteRef/>
      </w:r>
      <w:r>
        <w:rPr>
          <w:rtl/>
        </w:rPr>
        <w:t>ויל"ד האם כוונתו דהקנין נעשית רק ע"י דהוה נשואה, או דבסתמא דעתם לתרוייהו, וע"י החופה קנה אירוסין ונישואין.</w:t>
      </w:r>
    </w:p>
  </w:footnote>
  <w:footnote w:id="3509">
    <w:p w14:paraId="3F8B289C" w14:textId="77777777" w:rsidR="006074A5" w:rsidRDefault="006074A5" w:rsidP="006074A5">
      <w:pPr>
        <w:pStyle w:val="Footnote"/>
        <w:bidi/>
      </w:pPr>
      <w:r>
        <w:rPr>
          <w:rStyle w:val="ac"/>
          <w:rtl/>
        </w:rPr>
        <w:footnoteRef/>
      </w:r>
      <w:r>
        <w:rPr>
          <w:rtl/>
        </w:rPr>
        <w:t>וה</w:t>
      </w:r>
      <w:r>
        <w:rPr>
          <w:b/>
          <w:bCs/>
          <w:rtl/>
        </w:rPr>
        <w:t>מהרש"א</w:t>
      </w:r>
      <w:r>
        <w:rPr>
          <w:rtl/>
        </w:rPr>
        <w:t xml:space="preserve"> הקשה מ"ש מאוכלת מכח אביה. ותי' דהכא אוכלת מב' צדדים, אביה ובעלה. ועוד דבהגעת זמן ה"ל כמו נשואה דלא נפסלה אם כבר אכלה.</w:t>
      </w:r>
    </w:p>
  </w:footnote>
  <w:footnote w:id="3510">
    <w:p w14:paraId="58A1B998" w14:textId="77777777" w:rsidR="006074A5" w:rsidRDefault="006074A5" w:rsidP="006074A5">
      <w:pPr>
        <w:pStyle w:val="Footnote"/>
        <w:bidi/>
      </w:pPr>
      <w:r>
        <w:rPr>
          <w:rStyle w:val="ac"/>
          <w:rtl/>
        </w:rPr>
        <w:footnoteRef/>
      </w:r>
      <w:r>
        <w:rPr>
          <w:rtl/>
        </w:rPr>
        <w:t>וכ"כ ה</w:t>
      </w:r>
      <w:r>
        <w:rPr>
          <w:b/>
          <w:bCs/>
          <w:rtl/>
        </w:rPr>
        <w:t>תוס' מהר"ם ור"פ</w:t>
      </w:r>
      <w:r>
        <w:rPr>
          <w:rtl/>
        </w:rPr>
        <w:t xml:space="preserve"> דפסול משתמרת לביאה פסולה הוי מדרבנן, וכך נראה להם לחכמים לומר דחופה דקרובה לביאה פסלה טפי מקידושין. [וביאר דשמואל ס"ל דלא גזרינן חופה אטו ביאה].</w:t>
      </w:r>
    </w:p>
  </w:footnote>
  <w:footnote w:id="3511">
    <w:p w14:paraId="4F59DCA7" w14:textId="77777777" w:rsidR="006074A5" w:rsidRDefault="006074A5" w:rsidP="006074A5">
      <w:pPr>
        <w:pStyle w:val="Footnote"/>
        <w:bidi/>
      </w:pPr>
      <w:r>
        <w:rPr>
          <w:rStyle w:val="ac"/>
          <w:rtl/>
        </w:rPr>
        <w:footnoteRef/>
      </w:r>
      <w:r>
        <w:rPr>
          <w:rtl/>
        </w:rPr>
        <w:t>ועפ"ז יתכן דלא גזרו לפסול לכהונה, אלא לתרומה. [אך בגמ' לק' סח: לכאו' מבואר דתלי הא בהא].</w:t>
      </w:r>
    </w:p>
  </w:footnote>
  <w:footnote w:id="3512">
    <w:p w14:paraId="4572C3BE" w14:textId="77777777" w:rsidR="006074A5" w:rsidRDefault="006074A5" w:rsidP="006074A5">
      <w:pPr>
        <w:pStyle w:val="Footnote"/>
        <w:bidi/>
      </w:pPr>
      <w:r>
        <w:rPr>
          <w:rStyle w:val="ac"/>
          <w:rtl/>
        </w:rPr>
        <w:footnoteRef/>
      </w:r>
      <w:r>
        <w:rPr>
          <w:rtl/>
        </w:rPr>
        <w:t>דחל פסול מחמת שהיא משתמרת ומיוחדת לפסול. [וע' בצריכותא דהגמ' בסמוך].</w:t>
      </w:r>
    </w:p>
  </w:footnote>
  <w:footnote w:id="3513">
    <w:p w14:paraId="5ECC1807" w14:textId="77777777" w:rsidR="006074A5" w:rsidRDefault="006074A5" w:rsidP="006074A5">
      <w:pPr>
        <w:pStyle w:val="Footnote"/>
        <w:bidi/>
      </w:pPr>
      <w:r>
        <w:rPr>
          <w:rStyle w:val="ac"/>
          <w:rtl/>
        </w:rPr>
        <w:footnoteRef/>
      </w:r>
      <w:r>
        <w:rPr>
          <w:rtl/>
        </w:rPr>
        <w:t>[גבי הא דנשואה אינה חוזרת לבית אביה, ונחשב אישתני גופה].</w:t>
      </w:r>
    </w:p>
  </w:footnote>
  <w:footnote w:id="3514">
    <w:p w14:paraId="56C2B3BC" w14:textId="77777777" w:rsidR="006074A5" w:rsidRDefault="006074A5" w:rsidP="006074A5">
      <w:pPr>
        <w:pStyle w:val="Footnote"/>
        <w:bidi/>
      </w:pPr>
      <w:r>
        <w:rPr>
          <w:rStyle w:val="ac"/>
          <w:rtl/>
        </w:rPr>
        <w:footnoteRef/>
      </w:r>
      <w:r>
        <w:rPr>
          <w:rtl/>
        </w:rPr>
        <w:t>[וצ"ב כוונתו, וכי נחשב דעבר באיסור ביאה, וילקה משום לא יבא. אלא דנחשב קירוב כביאה, ושם 'זונה' לא תליא במעשה האיסור].</w:t>
      </w:r>
    </w:p>
    <w:p w14:paraId="0676226B" w14:textId="77777777" w:rsidR="006074A5" w:rsidRDefault="006074A5" w:rsidP="006074A5">
      <w:pPr>
        <w:pStyle w:val="Footnote"/>
        <w:bidi/>
      </w:pPr>
      <w:r>
        <w:rPr>
          <w:rtl/>
        </w:rPr>
        <w:tab/>
        <w:t xml:space="preserve">והשעה"מ הקשה מדברי </w:t>
      </w:r>
      <w:r>
        <w:rPr>
          <w:b/>
          <w:bCs/>
          <w:rtl/>
        </w:rPr>
        <w:t>תוס</w:t>
      </w:r>
      <w:r>
        <w:rPr>
          <w:rtl/>
        </w:rPr>
        <w:t>' (לקמן צז. ד"ה עריות) שהקש' דמשמע בקרא דאיסור אשה ובתה משום 'דגלי ערות שניהם', אבל נכנסה לחופה ולא נבעלה תהא מותרת [וע' תוס' ג.]. והקשה השעה"מ נימא דנחשב שגלי ערוותה ע"י החופה.</w:t>
      </w:r>
    </w:p>
  </w:footnote>
  <w:footnote w:id="3515">
    <w:p w14:paraId="7D1324A8" w14:textId="77777777" w:rsidR="006074A5" w:rsidRDefault="006074A5" w:rsidP="006074A5">
      <w:pPr>
        <w:pStyle w:val="Footnote"/>
        <w:bidi/>
      </w:pPr>
      <w:r>
        <w:rPr>
          <w:rStyle w:val="ac"/>
          <w:rtl/>
        </w:rPr>
        <w:footnoteRef/>
      </w:r>
      <w:r>
        <w:rPr>
          <w:rtl/>
        </w:rPr>
        <w:t>וע"י אישות לפסול נחשבת זונה. [ויל"ד כשנעשה פצוע דכא, אמאי אינו פוסל את אשתו, כיון שנשואה לפסול. ולא מסתבר דתליא ב'מעשה הנישואין'. וצ"ל דמהני לזה אישות הכשרות הקודמת, וצ"ב].</w:t>
      </w:r>
    </w:p>
  </w:footnote>
  <w:footnote w:id="3516">
    <w:p w14:paraId="62722D4D" w14:textId="77777777" w:rsidR="006074A5" w:rsidRDefault="006074A5" w:rsidP="006074A5">
      <w:pPr>
        <w:pStyle w:val="Footnote"/>
        <w:bidi/>
      </w:pPr>
      <w:r>
        <w:rPr>
          <w:rStyle w:val="ac"/>
          <w:rtl/>
        </w:rPr>
        <w:footnoteRef/>
      </w:r>
      <w:r>
        <w:rPr>
          <w:rtl/>
        </w:rPr>
        <w:t>ובשלמא לענין דיצאה מבית אביה, וכן לא נחשבת בתולה לענין מאתיים, תליא בגדרי האישות. אבל ליחשב 'נבעלה לזר' לא מצאנו.</w:t>
      </w:r>
    </w:p>
  </w:footnote>
  <w:footnote w:id="3517">
    <w:p w14:paraId="5140CEF2" w14:textId="77777777" w:rsidR="006074A5" w:rsidRDefault="006074A5" w:rsidP="006074A5">
      <w:pPr>
        <w:pStyle w:val="Footnote"/>
        <w:bidi/>
      </w:pPr>
      <w:r>
        <w:rPr>
          <w:rStyle w:val="ac"/>
          <w:rtl/>
        </w:rPr>
        <w:footnoteRef/>
      </w:r>
      <w:r>
        <w:rPr>
          <w:rtl/>
        </w:rPr>
        <w:t>וכתובתה מנה, וכ"פ ה</w:t>
      </w:r>
      <w:r>
        <w:rPr>
          <w:b/>
          <w:bCs/>
          <w:rtl/>
        </w:rPr>
        <w:t>רמב"ם</w:t>
      </w:r>
      <w:r>
        <w:rPr>
          <w:rtl/>
        </w:rPr>
        <w:t xml:space="preserve"> (אישות יא ב) אע"פ שהם בתולות הואיל ובחזקת שתבעל וכו' ובין נבעלו ובין לא נבעלו הרי הן כבעולות לכל דבר. [אבל יש </w:t>
      </w:r>
      <w:r>
        <w:rPr>
          <w:b/>
          <w:bCs/>
          <w:rtl/>
        </w:rPr>
        <w:t>ראשונים</w:t>
      </w:r>
      <w:r>
        <w:rPr>
          <w:rtl/>
        </w:rPr>
        <w:t xml:space="preserve"> (רשב"א כתובות יא.) דהוא משום דאין לה חיבת בתולה, כיון דנשאת].</w:t>
      </w:r>
    </w:p>
  </w:footnote>
  <w:footnote w:id="3518">
    <w:p w14:paraId="3E4FE9F0" w14:textId="77777777" w:rsidR="006074A5" w:rsidRDefault="006074A5" w:rsidP="006074A5">
      <w:pPr>
        <w:pStyle w:val="Footnote"/>
        <w:bidi/>
      </w:pPr>
      <w:r>
        <w:rPr>
          <w:rStyle w:val="ac"/>
          <w:rtl/>
        </w:rPr>
        <w:footnoteRef/>
      </w:r>
      <w:r>
        <w:rPr>
          <w:rtl/>
        </w:rPr>
        <w:t>[וצ"ל דנחשב נישואין משום שמיוחדת לביאה דאחר שתגדל].</w:t>
      </w:r>
    </w:p>
  </w:footnote>
  <w:footnote w:id="3519">
    <w:p w14:paraId="1ACE75BB" w14:textId="77777777" w:rsidR="006074A5" w:rsidRDefault="006074A5" w:rsidP="006074A5">
      <w:pPr>
        <w:pStyle w:val="Footnote"/>
        <w:bidi/>
      </w:pPr>
      <w:r>
        <w:rPr>
          <w:rStyle w:val="ac"/>
          <w:rtl/>
        </w:rPr>
        <w:footnoteRef/>
      </w:r>
      <w:r>
        <w:rPr>
          <w:rtl/>
        </w:rPr>
        <w:t>וב</w:t>
      </w:r>
      <w:r>
        <w:rPr>
          <w:b/>
          <w:bCs/>
          <w:rtl/>
        </w:rPr>
        <w:t xml:space="preserve">חי' ר"א מן ההר </w:t>
      </w:r>
      <w:r>
        <w:rPr>
          <w:rtl/>
        </w:rPr>
        <w:t>כתב דחופה לא פסלה אלא משום דתחילת ביאה היא.</w:t>
      </w:r>
    </w:p>
  </w:footnote>
  <w:footnote w:id="3520">
    <w:p w14:paraId="7D873CBB" w14:textId="77777777" w:rsidR="006074A5" w:rsidRDefault="006074A5" w:rsidP="006074A5">
      <w:pPr>
        <w:pStyle w:val="Footnote"/>
        <w:bidi/>
      </w:pPr>
      <w:r>
        <w:rPr>
          <w:rStyle w:val="ac"/>
          <w:rtl/>
        </w:rPr>
        <w:footnoteRef/>
      </w:r>
      <w:r>
        <w:rPr>
          <w:rtl/>
        </w:rPr>
        <w:t>אף דעיקר טעם משנה אחרונה משום סמפון, מ"מ ס"ל דלא פלוג. [אבל ה</w:t>
      </w:r>
      <w:r>
        <w:rPr>
          <w:b/>
          <w:bCs/>
          <w:rtl/>
        </w:rPr>
        <w:t>רשב"א</w:t>
      </w:r>
      <w:r>
        <w:rPr>
          <w:rtl/>
        </w:rPr>
        <w:t xml:space="preserve"> (שם יא.) כת' דבאופן דל"ש חששות אלו אוכלת].</w:t>
      </w:r>
    </w:p>
  </w:footnote>
  <w:footnote w:id="3521">
    <w:p w14:paraId="4831BBCF" w14:textId="77777777" w:rsidR="006074A5" w:rsidRDefault="006074A5" w:rsidP="006074A5">
      <w:pPr>
        <w:pStyle w:val="Footnote"/>
        <w:bidi/>
      </w:pPr>
      <w:r>
        <w:rPr>
          <w:rStyle w:val="ac"/>
          <w:rtl/>
        </w:rPr>
        <w:footnoteRef/>
      </w:r>
      <w:r>
        <w:rPr>
          <w:rtl/>
        </w:rPr>
        <w:t>וה</w:t>
      </w:r>
      <w:r>
        <w:rPr>
          <w:b/>
          <w:bCs/>
          <w:rtl/>
        </w:rPr>
        <w:t>חזו"א</w:t>
      </w:r>
      <w:r>
        <w:rPr>
          <w:rtl/>
        </w:rPr>
        <w:t xml:space="preserve"> הקשה דלשון 'ומודה לי אבא' משמע דשייך למח' דלעיל. וע"כ דהנידון משום דאינה ראוי לביאה נחשב חופה.</w:t>
      </w:r>
    </w:p>
  </w:footnote>
  <w:footnote w:id="3522">
    <w:p w14:paraId="36FEC100" w14:textId="77777777" w:rsidR="006074A5" w:rsidRDefault="006074A5" w:rsidP="006074A5">
      <w:pPr>
        <w:pStyle w:val="Footnote"/>
        <w:bidi/>
      </w:pPr>
      <w:r>
        <w:rPr>
          <w:rStyle w:val="ac"/>
          <w:rtl/>
        </w:rPr>
        <w:footnoteRef/>
      </w:r>
      <w:r>
        <w:rPr>
          <w:rtl/>
        </w:rPr>
        <w:t>וכת' דמדאיצטריך לתנא להזכיר כל הני כרוכלא, אלמא לא שמעינן חד מהשני. ואף דבתוליה חוזרין, וכן אין חייבין עליה וכו' אפשר דיחשב ביאה לאידך. ועפ"ז ביאר לשון שמואל הואיל ואין לה ביאה לידון ע"פ, ה"נ ליפסל.</w:t>
      </w:r>
    </w:p>
    <w:p w14:paraId="663EFDCE" w14:textId="77777777" w:rsidR="006074A5" w:rsidRDefault="006074A5" w:rsidP="006074A5">
      <w:pPr>
        <w:pStyle w:val="Footnote"/>
        <w:bidi/>
      </w:pPr>
      <w:r>
        <w:rPr>
          <w:rtl/>
        </w:rPr>
        <w:tab/>
        <w:t xml:space="preserve">[ויל"ד מלשון </w:t>
      </w:r>
      <w:r>
        <w:rPr>
          <w:b/>
          <w:bCs/>
          <w:rtl/>
        </w:rPr>
        <w:t>רש"י</w:t>
      </w:r>
      <w:r>
        <w:rPr>
          <w:rtl/>
        </w:rPr>
        <w:t xml:space="preserve"> (קידושין י:) דאינו ביאתו ביאה, דהא כנותן אצבע בעין ובתוליה חוזרין, משמע דהטעם דאינו ביאה תליא בהכי].</w:t>
      </w:r>
    </w:p>
  </w:footnote>
  <w:footnote w:id="3523">
    <w:p w14:paraId="199BBBC1" w14:textId="77777777" w:rsidR="006074A5" w:rsidRDefault="006074A5" w:rsidP="006074A5">
      <w:pPr>
        <w:pStyle w:val="Footnote"/>
        <w:bidi/>
      </w:pPr>
      <w:r>
        <w:rPr>
          <w:rStyle w:val="ac"/>
          <w:rtl/>
        </w:rPr>
        <w:footnoteRef/>
      </w:r>
      <w:r>
        <w:rPr>
          <w:rtl/>
        </w:rPr>
        <w:t>ואילו לדעת רש"י נתמעט רק מחיוב מיתה. עכ"פ בסוגיין אפ"ל אף לפרש"י דקמ"ל דחייבין מיתה.</w:t>
      </w:r>
    </w:p>
  </w:footnote>
  <w:footnote w:id="3524">
    <w:p w14:paraId="067E8E85" w14:textId="77777777" w:rsidR="006074A5" w:rsidRDefault="006074A5" w:rsidP="006074A5">
      <w:pPr>
        <w:pStyle w:val="Footnote"/>
        <w:bidi/>
      </w:pPr>
      <w:r>
        <w:rPr>
          <w:rStyle w:val="ac"/>
          <w:rtl/>
        </w:rPr>
        <w:footnoteRef/>
      </w:r>
      <w:r>
        <w:rPr>
          <w:rtl/>
        </w:rPr>
        <w:t>[ויל"ד דהתם נתכוון שהוא עושה חלות המאמר, אבל עיקר יבום הוה ממילא, א"כ ליכא כוונת קנין. אך מצאנו בכ"מ דהיכא דעשה ביאה מדעת קנה].</w:t>
      </w:r>
    </w:p>
  </w:footnote>
  <w:footnote w:id="3525">
    <w:p w14:paraId="402E28A8" w14:textId="77777777" w:rsidR="006074A5" w:rsidRDefault="006074A5" w:rsidP="006074A5">
      <w:pPr>
        <w:pStyle w:val="Footnote"/>
        <w:bidi/>
      </w:pPr>
      <w:r>
        <w:rPr>
          <w:rStyle w:val="ac"/>
          <w:rtl/>
        </w:rPr>
        <w:footnoteRef/>
      </w:r>
      <w:r>
        <w:rPr>
          <w:rtl/>
        </w:rPr>
        <w:t>והשעה"מ האריך אי לא פלוג בארוסה. והעלה צד דלמשנה אחרונה גזרו בכל ארוסה. [ולפ"ז תוס' דידן קאי כמשנה אחרונה, ודוחק].</w:t>
      </w:r>
    </w:p>
  </w:footnote>
  <w:footnote w:id="3526">
    <w:p w14:paraId="45DA928B" w14:textId="77777777" w:rsidR="006074A5" w:rsidRDefault="006074A5" w:rsidP="006074A5">
      <w:pPr>
        <w:pStyle w:val="Footnote"/>
        <w:bidi/>
      </w:pPr>
      <w:r>
        <w:rPr>
          <w:rStyle w:val="ac"/>
          <w:rtl/>
        </w:rPr>
        <w:footnoteRef/>
      </w:r>
      <w:r>
        <w:rPr>
          <w:rtl/>
        </w:rPr>
        <w:t>ועפ"ז פסק ה</w:t>
      </w:r>
      <w:r>
        <w:rPr>
          <w:b/>
          <w:bCs/>
          <w:rtl/>
        </w:rPr>
        <w:t>רמב"ם</w:t>
      </w:r>
      <w:r>
        <w:rPr>
          <w:rtl/>
        </w:rPr>
        <w:t xml:space="preserve"> (סוטה ד יז) דאינו מגלגל עליה זנות דשומרת יבם, אלא זנות תחת אחיו [שאם זינתה תחת אחיו אינה נופלת ליבום].</w:t>
      </w:r>
    </w:p>
    <w:p w14:paraId="6D34AC58" w14:textId="77777777" w:rsidR="006074A5" w:rsidRDefault="006074A5" w:rsidP="006074A5">
      <w:pPr>
        <w:pStyle w:val="Footnote"/>
        <w:bidi/>
      </w:pPr>
      <w:r>
        <w:rPr>
          <w:rtl/>
        </w:rPr>
        <w:tab/>
        <w:t>אבל ה</w:t>
      </w:r>
      <w:r>
        <w:rPr>
          <w:b/>
          <w:bCs/>
          <w:rtl/>
        </w:rPr>
        <w:t>רמב"ם</w:t>
      </w:r>
      <w:r>
        <w:rPr>
          <w:rtl/>
        </w:rPr>
        <w:t xml:space="preserve"> (סוטה ב ב) כת' דבשומרת יבם אינו משקה, ואסורה לו לעולם. וה</w:t>
      </w:r>
      <w:r>
        <w:rPr>
          <w:b/>
          <w:bCs/>
          <w:rtl/>
        </w:rPr>
        <w:t>מנח"ח</w:t>
      </w:r>
      <w:r>
        <w:rPr>
          <w:rtl/>
        </w:rPr>
        <w:t xml:space="preserve"> (שסה יז) נדחק להעמיד את דברי הרמב"ם כשבא עליה ביאה גרועה, דקנה לענין לגרשה בגט [ע' בגמ' בסמוך].</w:t>
      </w:r>
    </w:p>
  </w:footnote>
  <w:footnote w:id="3527">
    <w:p w14:paraId="18C4A19C" w14:textId="77777777" w:rsidR="006074A5" w:rsidRDefault="006074A5" w:rsidP="006074A5">
      <w:pPr>
        <w:pStyle w:val="Footnote"/>
        <w:bidi/>
      </w:pPr>
      <w:r>
        <w:rPr>
          <w:rStyle w:val="ac"/>
          <w:rtl/>
        </w:rPr>
        <w:footnoteRef/>
      </w:r>
      <w:r>
        <w:rPr>
          <w:rtl/>
        </w:rPr>
        <w:t>היינו ר' עקיבא דחייבי לאוין דלאו דשאר [דיבמה לשוק אינה שאר].</w:t>
      </w:r>
    </w:p>
  </w:footnote>
  <w:footnote w:id="3528">
    <w:p w14:paraId="4A78980A" w14:textId="77777777" w:rsidR="006074A5" w:rsidRDefault="006074A5" w:rsidP="006074A5">
      <w:pPr>
        <w:pStyle w:val="Footnote"/>
        <w:bidi/>
      </w:pPr>
      <w:r>
        <w:rPr>
          <w:rStyle w:val="ac"/>
          <w:rtl/>
        </w:rPr>
        <w:footnoteRef/>
      </w:r>
      <w:r>
        <w:rPr>
          <w:rtl/>
        </w:rPr>
        <w:t xml:space="preserve">ושמעתי עוד לפרש דלר' עקיבא איסור יבמה לשוק נחשב איסור עריות [דחיי"ל הוה עריות], ולכן יש דין סוטה מחמת הדין זיקה [ואף דאין איסור קרובים]. אבל לרבנן איסור יבמה לשוק נחשב איסור בעלמא ולא 'דין ערוה' [וע' לשון </w:t>
      </w:r>
      <w:r>
        <w:rPr>
          <w:b/>
          <w:bCs/>
          <w:rtl/>
        </w:rPr>
        <w:t>רש"י</w:t>
      </w:r>
      <w:r>
        <w:rPr>
          <w:rtl/>
        </w:rPr>
        <w:t xml:space="preserve"> סוטה יח:], ולכן לא נחשבת מיוחדת ליבם בגדרי עריות [ועד"ז יל"פ דברי ה</w:t>
      </w:r>
      <w:r>
        <w:rPr>
          <w:b/>
          <w:bCs/>
          <w:rtl/>
        </w:rPr>
        <w:t>רמב"ם</w:t>
      </w:r>
      <w:r>
        <w:rPr>
          <w:rtl/>
        </w:rPr>
        <w:t xml:space="preserve"> (בפיה"מ ס"פ ר"ג הו' לעיל נב:). עיי"ש].</w:t>
      </w:r>
    </w:p>
  </w:footnote>
  <w:footnote w:id="3529">
    <w:p w14:paraId="0F6DA495" w14:textId="77777777" w:rsidR="006074A5" w:rsidRDefault="006074A5" w:rsidP="006074A5">
      <w:pPr>
        <w:pStyle w:val="Footnote"/>
        <w:bidi/>
      </w:pPr>
      <w:r>
        <w:rPr>
          <w:rStyle w:val="ac"/>
          <w:rtl/>
        </w:rPr>
        <w:footnoteRef/>
      </w:r>
      <w:r>
        <w:rPr>
          <w:rtl/>
        </w:rPr>
        <w:t>[ועוד דר' עקיבא ס"ל אין זיקה, וכמ"ש רש"י יז:, וע' ראשונים כט:].</w:t>
      </w:r>
    </w:p>
  </w:footnote>
  <w:footnote w:id="3530">
    <w:p w14:paraId="7C4F9FA6" w14:textId="77777777" w:rsidR="006074A5" w:rsidRDefault="006074A5" w:rsidP="006074A5">
      <w:pPr>
        <w:pStyle w:val="Footnote"/>
        <w:bidi/>
      </w:pPr>
      <w:r>
        <w:rPr>
          <w:rStyle w:val="ac"/>
          <w:rtl/>
        </w:rPr>
        <w:footnoteRef/>
      </w:r>
      <w:r>
        <w:rPr>
          <w:rtl/>
        </w:rPr>
        <w:t>ע' שיעורי ר' שמואל (לעיל לב.).</w:t>
      </w:r>
    </w:p>
  </w:footnote>
  <w:footnote w:id="3531">
    <w:p w14:paraId="15AC9400" w14:textId="77777777" w:rsidR="006074A5" w:rsidRDefault="006074A5" w:rsidP="006074A5">
      <w:pPr>
        <w:pStyle w:val="Footnote"/>
        <w:bidi/>
      </w:pPr>
      <w:r>
        <w:rPr>
          <w:rStyle w:val="ac"/>
          <w:rtl/>
        </w:rPr>
        <w:footnoteRef/>
      </w:r>
      <w:r>
        <w:rPr>
          <w:rtl/>
        </w:rPr>
        <w:t>ומבואר דהא דאשת איש נאסרת על בעלה הוא משום חומר האיסור זנות [והוה ערוה מחמת חיוב כרת], ודלא כמ"ש ה</w:t>
      </w:r>
      <w:r>
        <w:rPr>
          <w:b/>
          <w:bCs/>
          <w:rtl/>
        </w:rPr>
        <w:t>אחרונים</w:t>
      </w:r>
      <w:r>
        <w:rPr>
          <w:rtl/>
        </w:rPr>
        <w:t xml:space="preserve"> (ע"פ דברי המהרי"ק קסז) דהוה מחמת הבגידה בבעל. [וצ"ל דיש ב' סיבות לאסור, ושומרת יבם לא נחשב תחת אשה להחשב בגידה].</w:t>
      </w:r>
    </w:p>
  </w:footnote>
  <w:footnote w:id="3532">
    <w:p w14:paraId="18B67EAC" w14:textId="77777777" w:rsidR="006074A5" w:rsidRDefault="006074A5" w:rsidP="006074A5">
      <w:pPr>
        <w:pStyle w:val="Footnote"/>
        <w:bidi/>
      </w:pPr>
      <w:r>
        <w:rPr>
          <w:rStyle w:val="ac"/>
          <w:rtl/>
        </w:rPr>
        <w:footnoteRef/>
      </w:r>
      <w:r>
        <w:rPr>
          <w:rtl/>
        </w:rPr>
        <w:t>ו</w:t>
      </w:r>
      <w:r>
        <w:rPr>
          <w:b/>
          <w:bCs/>
          <w:rtl/>
        </w:rPr>
        <w:t>רש"י</w:t>
      </w:r>
      <w:r>
        <w:rPr>
          <w:rtl/>
        </w:rPr>
        <w:t xml:space="preserve"> (שם) דחה די"ל דאף לולי רב המנונא [ואינה נאסרת עליו], מ"מ אם לא ירצה לכונסה מחמת הזנות הפסידה כתובתה. ותוס' דחו דמשמע דצריך קרא למעט דאינו משקה אותה.</w:t>
      </w:r>
    </w:p>
    <w:p w14:paraId="2C264894" w14:textId="77777777" w:rsidR="006074A5" w:rsidRDefault="006074A5" w:rsidP="006074A5">
      <w:pPr>
        <w:pStyle w:val="Footnote"/>
        <w:bidi/>
      </w:pPr>
      <w:r>
        <w:rPr>
          <w:rtl/>
        </w:rPr>
        <w:tab/>
        <w:t>וכ"כ ה</w:t>
      </w:r>
      <w:r>
        <w:rPr>
          <w:b/>
          <w:bCs/>
          <w:rtl/>
        </w:rPr>
        <w:t>משנ"ל</w:t>
      </w:r>
      <w:r>
        <w:rPr>
          <w:rtl/>
        </w:rPr>
        <w:t xml:space="preserve"> (סוטה א ג) דהא דמקנה ע"י שומרת יבם, דשייך קינוי אף במה שאינה נאסרת ומפסדת כתובתה, כדמוכח (לעיל נה:) דרך אברים. [והמנח"ח חלק. וע' מש"כ לעיל שם].</w:t>
      </w:r>
    </w:p>
  </w:footnote>
  <w:footnote w:id="3533">
    <w:p w14:paraId="53BB232A" w14:textId="77777777" w:rsidR="006074A5" w:rsidRDefault="006074A5" w:rsidP="006074A5">
      <w:pPr>
        <w:pStyle w:val="Footnote"/>
        <w:bidi/>
      </w:pPr>
      <w:r>
        <w:rPr>
          <w:rStyle w:val="ac"/>
          <w:rtl/>
        </w:rPr>
        <w:footnoteRef/>
      </w:r>
      <w:r>
        <w:rPr>
          <w:rtl/>
        </w:rPr>
        <w:t>[והגמ' (סוטה יח:) קאי כשלא קינה לה].</w:t>
      </w:r>
    </w:p>
  </w:footnote>
  <w:footnote w:id="3534">
    <w:p w14:paraId="4D40F473" w14:textId="77777777" w:rsidR="006074A5" w:rsidRDefault="006074A5" w:rsidP="006074A5">
      <w:pPr>
        <w:pStyle w:val="Footnote"/>
        <w:bidi/>
      </w:pPr>
      <w:r>
        <w:rPr>
          <w:rStyle w:val="ac"/>
          <w:rtl/>
        </w:rPr>
        <w:footnoteRef/>
      </w:r>
      <w:r>
        <w:rPr>
          <w:rtl/>
        </w:rPr>
        <w:t>[וא"כ לא משכחת לה ממזר לר' עקיבא, דמתחילת ביאה כבר פקע הזיקה ואינה שומרת יבם].</w:t>
      </w:r>
    </w:p>
  </w:footnote>
  <w:footnote w:id="3535">
    <w:p w14:paraId="4FEEB2B9" w14:textId="77777777" w:rsidR="006074A5" w:rsidRDefault="006074A5" w:rsidP="006074A5">
      <w:pPr>
        <w:pStyle w:val="Footnote"/>
        <w:bidi/>
      </w:pPr>
      <w:r>
        <w:rPr>
          <w:rStyle w:val="ac"/>
          <w:rtl/>
        </w:rPr>
        <w:footnoteRef/>
      </w:r>
      <w:r>
        <w:rPr>
          <w:rtl/>
        </w:rPr>
        <w:t>בשם חכם א', ורע"א הסכים לדבריו.</w:t>
      </w:r>
    </w:p>
  </w:footnote>
  <w:footnote w:id="3536">
    <w:p w14:paraId="134B3FF9" w14:textId="77777777" w:rsidR="006074A5" w:rsidRDefault="006074A5" w:rsidP="006074A5">
      <w:pPr>
        <w:pStyle w:val="Footnote"/>
        <w:bidi/>
      </w:pPr>
      <w:r>
        <w:rPr>
          <w:rStyle w:val="ac"/>
          <w:rtl/>
        </w:rPr>
        <w:footnoteRef/>
      </w:r>
      <w:r>
        <w:rPr>
          <w:rtl/>
        </w:rPr>
        <w:t>וכסברת ה</w:t>
      </w:r>
      <w:r>
        <w:rPr>
          <w:b/>
          <w:bCs/>
          <w:rtl/>
        </w:rPr>
        <w:t>ראב"ד</w:t>
      </w:r>
      <w:r>
        <w:rPr>
          <w:rtl/>
        </w:rPr>
        <w:t xml:space="preserve"> (הו' לעיל יא.), ואף דלעת שא"ר דן דבשומר"י שאני.</w:t>
      </w:r>
    </w:p>
  </w:footnote>
  <w:footnote w:id="3537">
    <w:p w14:paraId="48E1E1FD" w14:textId="77777777" w:rsidR="006074A5" w:rsidRDefault="006074A5" w:rsidP="006074A5">
      <w:pPr>
        <w:pStyle w:val="Footnote"/>
        <w:bidi/>
      </w:pPr>
      <w:r>
        <w:rPr>
          <w:rStyle w:val="ac"/>
          <w:rtl/>
        </w:rPr>
        <w:footnoteRef/>
      </w:r>
      <w:r>
        <w:rPr>
          <w:rtl/>
        </w:rPr>
        <w:t>אבל אי בעי חליצה ניחא, דמ"מ זקוקה לו. [ויל"ד בזה דהוה רק זיקת חליצה, ופקע לזיקת היבום].</w:t>
      </w:r>
    </w:p>
  </w:footnote>
  <w:footnote w:id="3538">
    <w:p w14:paraId="1CA77909" w14:textId="77777777" w:rsidR="006074A5" w:rsidRDefault="006074A5" w:rsidP="006074A5">
      <w:pPr>
        <w:pStyle w:val="Footnote"/>
        <w:bidi/>
      </w:pPr>
      <w:r>
        <w:rPr>
          <w:rStyle w:val="ac"/>
          <w:rtl/>
        </w:rPr>
        <w:footnoteRef/>
      </w:r>
      <w:r>
        <w:rPr>
          <w:rtl/>
        </w:rPr>
        <w:t>[וע' משנת ר' אהרן מילואים ט דהאריך]. ויל"ד דהשתא מספק נחשב אשתו, דהוה רק טומאת עשה, ואינה ערוה. וי"ל דכיון דמוחזקת כיבמתו יכול להשקות לברר היתר דידה [ואף דעל הצד דאסורה, אינה אשתו]. וצ"ע. והאחרונים נקטו דבעינן כח בעל להשקות.</w:t>
      </w:r>
    </w:p>
  </w:footnote>
  <w:footnote w:id="3539">
    <w:p w14:paraId="5FDB04BE" w14:textId="77777777" w:rsidR="006074A5" w:rsidRDefault="006074A5" w:rsidP="006074A5">
      <w:pPr>
        <w:pStyle w:val="Footnote"/>
        <w:bidi/>
      </w:pPr>
      <w:r>
        <w:rPr>
          <w:rStyle w:val="ac"/>
          <w:rtl/>
        </w:rPr>
        <w:footnoteRef/>
      </w:r>
      <w:r>
        <w:rPr>
          <w:rtl/>
        </w:rPr>
        <w:t>והאחיעזר דחה דע"י גלגול שאני.</w:t>
      </w:r>
    </w:p>
  </w:footnote>
  <w:footnote w:id="3540">
    <w:p w14:paraId="7051C8E2" w14:textId="77777777" w:rsidR="006074A5" w:rsidRDefault="006074A5" w:rsidP="006074A5">
      <w:pPr>
        <w:pStyle w:val="Footnote"/>
        <w:bidi/>
      </w:pPr>
      <w:r>
        <w:rPr>
          <w:rStyle w:val="ac"/>
          <w:rtl/>
        </w:rPr>
        <w:footnoteRef/>
      </w:r>
      <w:r>
        <w:rPr>
          <w:rtl/>
        </w:rPr>
        <w:t>ויל"ד דכיון דהיא בחזקת בתולה שפיר קנה בחופה. ועוד י"ל דהתורה נתנה זכות השקאה לברר שהיא אשתו כשירה, ולא איכפת לן דעד כמה שאסורה אינה אשתו.</w:t>
      </w:r>
    </w:p>
  </w:footnote>
  <w:footnote w:id="3541">
    <w:p w14:paraId="0C947A78" w14:textId="77777777" w:rsidR="006074A5" w:rsidRDefault="006074A5" w:rsidP="006074A5">
      <w:pPr>
        <w:pStyle w:val="Footnote"/>
        <w:bidi/>
      </w:pPr>
      <w:r>
        <w:rPr>
          <w:rStyle w:val="ac"/>
          <w:rtl/>
        </w:rPr>
        <w:footnoteRef/>
      </w:r>
      <w:r>
        <w:rPr>
          <w:rtl/>
        </w:rPr>
        <w:t>משום דהוה בעולה [אלא דדנו בזה האחרונים דמום שנעשית תחתיו לא נחשב מקח טעות], או מצד דאסורה עליו [ותליא בדין איסור לאו דלא הכיר בה].</w:t>
      </w:r>
    </w:p>
  </w:footnote>
  <w:footnote w:id="3542">
    <w:p w14:paraId="372B0484" w14:textId="77777777" w:rsidR="006074A5" w:rsidRDefault="006074A5" w:rsidP="006074A5">
      <w:pPr>
        <w:pStyle w:val="Footnote"/>
        <w:bidi/>
      </w:pPr>
      <w:r>
        <w:rPr>
          <w:rStyle w:val="ac"/>
          <w:rtl/>
        </w:rPr>
        <w:footnoteRef/>
      </w:r>
      <w:r>
        <w:rPr>
          <w:rtl/>
        </w:rPr>
        <w:t>דלא הוה גדר קנין [ע' מש"כ לעיל נו. בנישואין דחרש].</w:t>
      </w:r>
    </w:p>
  </w:footnote>
  <w:footnote w:id="3543">
    <w:p w14:paraId="08591B44" w14:textId="77777777" w:rsidR="006074A5" w:rsidRDefault="006074A5" w:rsidP="006074A5">
      <w:pPr>
        <w:pStyle w:val="Footnote"/>
        <w:bidi/>
      </w:pPr>
      <w:r>
        <w:rPr>
          <w:rStyle w:val="ac"/>
          <w:rtl/>
        </w:rPr>
        <w:footnoteRef/>
      </w:r>
      <w:r>
        <w:rPr>
          <w:rtl/>
        </w:rPr>
        <w:t>[אבל ה</w:t>
      </w:r>
      <w:r>
        <w:rPr>
          <w:b/>
          <w:bCs/>
          <w:rtl/>
        </w:rPr>
        <w:t>בית הלוי</w:t>
      </w:r>
      <w:r>
        <w:rPr>
          <w:rtl/>
        </w:rPr>
        <w:t xml:space="preserve"> (ג ג) כתב דמקח טעות אינו מדין תנאי].</w:t>
      </w:r>
    </w:p>
  </w:footnote>
  <w:footnote w:id="3544">
    <w:p w14:paraId="5D77B4FA" w14:textId="77777777" w:rsidR="006074A5" w:rsidRDefault="006074A5" w:rsidP="006074A5">
      <w:pPr>
        <w:pStyle w:val="Footnote"/>
        <w:bidi/>
      </w:pPr>
      <w:r>
        <w:rPr>
          <w:rStyle w:val="ac"/>
          <w:rtl/>
        </w:rPr>
        <w:footnoteRef/>
      </w:r>
      <w:r>
        <w:rPr>
          <w:rtl/>
        </w:rPr>
        <w:t>וה</w:t>
      </w:r>
      <w:r>
        <w:rPr>
          <w:b/>
          <w:bCs/>
          <w:rtl/>
        </w:rPr>
        <w:t xml:space="preserve">משנ"ל </w:t>
      </w:r>
      <w:r>
        <w:rPr>
          <w:rtl/>
        </w:rPr>
        <w:t>הק' דבגמ' בסוטה קאי לפרש הפסוקים [אבל סוגיין קאי שפיר בדרבנן], ופי' השגת הראב"ד באופ"א.</w:t>
      </w:r>
    </w:p>
  </w:footnote>
  <w:footnote w:id="3545">
    <w:p w14:paraId="5466BA47" w14:textId="77777777" w:rsidR="006074A5" w:rsidRDefault="006074A5" w:rsidP="006074A5">
      <w:pPr>
        <w:pStyle w:val="Footnote"/>
        <w:bidi/>
      </w:pPr>
      <w:r>
        <w:rPr>
          <w:rStyle w:val="ac"/>
          <w:rtl/>
        </w:rPr>
        <w:footnoteRef/>
      </w:r>
      <w:r>
        <w:rPr>
          <w:rtl/>
        </w:rPr>
        <w:t>וכן מצאנו דחל חיוב חטאת ע"י הידיעה, ולא נחשב 'בר כפרה' עד הידיעה.</w:t>
      </w:r>
    </w:p>
  </w:footnote>
  <w:footnote w:id="3546">
    <w:p w14:paraId="04051F5F" w14:textId="77777777" w:rsidR="006074A5" w:rsidRDefault="006074A5" w:rsidP="006074A5">
      <w:pPr>
        <w:pStyle w:val="Footnote"/>
        <w:bidi/>
      </w:pPr>
      <w:r>
        <w:rPr>
          <w:rStyle w:val="ac"/>
          <w:rtl/>
        </w:rPr>
        <w:footnoteRef/>
      </w:r>
      <w:r>
        <w:rPr>
          <w:rtl/>
        </w:rPr>
        <w:t>אף דהקשיא הוה אליבא דשמואל, הרשב"א נקט דהוה קו' על כל הך לישנא. וע"כ דל"ק עיקר. [אך הרמב"ם פסק כרב דל"ב, דקי"ל בעלמא דל"ב עיקר].</w:t>
      </w:r>
    </w:p>
  </w:footnote>
  <w:footnote w:id="3547">
    <w:p w14:paraId="5391305D" w14:textId="77777777" w:rsidR="006074A5" w:rsidRDefault="006074A5" w:rsidP="006074A5">
      <w:pPr>
        <w:pStyle w:val="Footnote"/>
        <w:bidi/>
      </w:pPr>
      <w:r>
        <w:rPr>
          <w:rStyle w:val="ac"/>
          <w:rtl/>
        </w:rPr>
        <w:footnoteRef/>
      </w:r>
      <w:r>
        <w:rPr>
          <w:rtl/>
        </w:rPr>
        <w:t>ואפ"ה נחשב קדמה שכיבת בעל. [אבל לל"ב דרש"י ניחא דכיון דל"ק אינו 'תחת אישך'].</w:t>
      </w:r>
    </w:p>
    <w:p w14:paraId="03F94A1D" w14:textId="77777777" w:rsidR="006074A5" w:rsidRDefault="006074A5" w:rsidP="006074A5">
      <w:pPr>
        <w:pStyle w:val="Footnote"/>
        <w:bidi/>
      </w:pPr>
      <w:r>
        <w:rPr>
          <w:rtl/>
        </w:rPr>
        <w:tab/>
        <w:t xml:space="preserve">ובס' </w:t>
      </w:r>
      <w:r>
        <w:rPr>
          <w:b/>
          <w:bCs/>
          <w:rtl/>
        </w:rPr>
        <w:t>יד המלך</w:t>
      </w:r>
      <w:r>
        <w:rPr>
          <w:rtl/>
        </w:rPr>
        <w:t xml:space="preserve"> (יבום א, בפתח"ת שם) כת' דהנידון אי יבום צריך עדים תלי במח' אי קידושין תפסי ביבמה לשוק, דלמ"ד דתפסי א"כ ע"י היבום נעשית דבר שבערוה. ואילו סוגיין כרב דס"ל דלא תפסי, וא"כ סבר דל"צ עדים. ועוד דסוגיין קאי כר"ע או כרב המנונא דשומר"י שזינתה נאסרת, וע"כ ס"ל דאין קידושין תופסים. א"כ אי"צ עדים.</w:t>
      </w:r>
    </w:p>
  </w:footnote>
  <w:footnote w:id="3548">
    <w:p w14:paraId="0D9CE459" w14:textId="77777777" w:rsidR="006074A5" w:rsidRDefault="006074A5" w:rsidP="006074A5">
      <w:pPr>
        <w:pStyle w:val="Footnote"/>
        <w:bidi/>
      </w:pPr>
      <w:r>
        <w:rPr>
          <w:rStyle w:val="ac"/>
          <w:rtl/>
        </w:rPr>
        <w:footnoteRef/>
      </w:r>
      <w:r>
        <w:rPr>
          <w:rtl/>
        </w:rPr>
        <w:t>ותי' דאחרי שנסתרה נחשב עדות נפשות לענין להשקות, ובנפשות ל"מ עדות מיוחדת [אף לברורי]. [ויל"ד דאינו עצם המחייב, אלא בירור תנאי בעלמא].</w:t>
      </w:r>
    </w:p>
  </w:footnote>
  <w:footnote w:id="3549">
    <w:p w14:paraId="56F0EB72" w14:textId="77777777" w:rsidR="006074A5" w:rsidRDefault="006074A5" w:rsidP="006074A5">
      <w:pPr>
        <w:pStyle w:val="Footnote"/>
        <w:bidi/>
      </w:pPr>
      <w:r>
        <w:rPr>
          <w:rStyle w:val="ac"/>
          <w:rtl/>
        </w:rPr>
        <w:footnoteRef/>
      </w:r>
      <w:r>
        <w:rPr>
          <w:rtl/>
        </w:rPr>
        <w:t>ושוב חלק הרשב"א על דברי השואל, וכתב דלא בעינן עדים ליבום כלל [הו' לעיל נב.].</w:t>
      </w:r>
    </w:p>
  </w:footnote>
  <w:footnote w:id="3550">
    <w:p w14:paraId="73854855" w14:textId="77777777" w:rsidR="006074A5" w:rsidRDefault="006074A5" w:rsidP="006074A5">
      <w:pPr>
        <w:pStyle w:val="Footnote"/>
        <w:bidi/>
      </w:pPr>
      <w:r>
        <w:rPr>
          <w:rStyle w:val="ac"/>
          <w:rtl/>
        </w:rPr>
        <w:footnoteRef/>
      </w:r>
      <w:r>
        <w:rPr>
          <w:rtl/>
        </w:rPr>
        <w:t>ובכלל גזיה"כ דאין כסף ושטר גומרין בה נתחדש דאף נישואין הוה רק ע"י פרשת יבום. [א"נ ל"מ נישואין דידיה באשה שהקנו לו מהשמים. וצ"ע].</w:t>
      </w:r>
    </w:p>
  </w:footnote>
  <w:footnote w:id="3551">
    <w:p w14:paraId="5B34CF80" w14:textId="77777777" w:rsidR="006074A5" w:rsidRDefault="006074A5" w:rsidP="006074A5">
      <w:pPr>
        <w:pStyle w:val="Footnote"/>
        <w:bidi/>
      </w:pPr>
      <w:r>
        <w:rPr>
          <w:rStyle w:val="ac"/>
          <w:rtl/>
        </w:rPr>
        <w:footnoteRef/>
      </w:r>
      <w:r>
        <w:rPr>
          <w:rtl/>
        </w:rPr>
        <w:t>אבל לל"ק דרש"י [וכ"ד התוס'] ל"מ שכיבת הראשון ליחשב קדמה. ויל"פ דס"ל דהדין 'קדמה' אינו דין באישות, אלא בעינן שהוא עצמו [הבעל המשקה] יהא קודם.</w:t>
      </w:r>
    </w:p>
  </w:footnote>
  <w:footnote w:id="3552">
    <w:p w14:paraId="14094DA0" w14:textId="77777777" w:rsidR="006074A5" w:rsidRDefault="006074A5" w:rsidP="006074A5">
      <w:pPr>
        <w:pStyle w:val="Footnote"/>
        <w:bidi/>
      </w:pPr>
      <w:r>
        <w:rPr>
          <w:rStyle w:val="ac"/>
          <w:rtl/>
        </w:rPr>
        <w:footnoteRef/>
      </w:r>
      <w:r>
        <w:rPr>
          <w:rtl/>
        </w:rPr>
        <w:t>וה</w:t>
      </w:r>
      <w:r>
        <w:rPr>
          <w:b/>
          <w:bCs/>
          <w:rtl/>
        </w:rPr>
        <w:t>רשב"א</w:t>
      </w:r>
      <w:r>
        <w:rPr>
          <w:rtl/>
        </w:rPr>
        <w:t xml:space="preserve"> הקשה א"כ תפשוט דפרחה זיקת יבמין, וחל זיקת אירוסין. ומיבעי לעיל כט:, וכתב דאה"נ לרב ששת תפשוט.</w:t>
      </w:r>
    </w:p>
  </w:footnote>
  <w:footnote w:id="3553">
    <w:p w14:paraId="43F3AAB9" w14:textId="77777777" w:rsidR="006074A5" w:rsidRDefault="006074A5" w:rsidP="006074A5">
      <w:pPr>
        <w:pStyle w:val="Footnote"/>
        <w:bidi/>
      </w:pPr>
      <w:r>
        <w:rPr>
          <w:rStyle w:val="ac"/>
          <w:rtl/>
        </w:rPr>
        <w:footnoteRef/>
      </w:r>
      <w:r>
        <w:rPr>
          <w:rtl/>
        </w:rPr>
        <w:t>וה</w:t>
      </w:r>
      <w:r>
        <w:rPr>
          <w:b/>
          <w:bCs/>
          <w:rtl/>
        </w:rPr>
        <w:t>ריטב"א</w:t>
      </w:r>
      <w:r>
        <w:rPr>
          <w:rtl/>
        </w:rPr>
        <w:t xml:space="preserve"> כתב דכאילו נתקדשה לישראל, והיא משתמרת לביאת זר. [צירף ב' הטעמים].</w:t>
      </w:r>
    </w:p>
  </w:footnote>
  <w:footnote w:id="3554">
    <w:p w14:paraId="75E94C80" w14:textId="77777777" w:rsidR="006074A5" w:rsidRDefault="006074A5" w:rsidP="006074A5">
      <w:pPr>
        <w:pStyle w:val="Footnote"/>
        <w:bidi/>
      </w:pPr>
      <w:r>
        <w:rPr>
          <w:rStyle w:val="ac"/>
          <w:rtl/>
        </w:rPr>
        <w:footnoteRef/>
      </w:r>
      <w:r>
        <w:rPr>
          <w:rtl/>
        </w:rPr>
        <w:t>ויל"פ דגדר זיקת ב' יבמין דכל א' אינו אוסר על חבירו, ולא אלים מחבירו. [והא דקנין זר פוסל הוה משום דמפקיע מקנין הכהן].</w:t>
      </w:r>
    </w:p>
  </w:footnote>
  <w:footnote w:id="3555">
    <w:p w14:paraId="1228CDC7" w14:textId="77777777" w:rsidR="006074A5" w:rsidRDefault="006074A5" w:rsidP="006074A5">
      <w:pPr>
        <w:pStyle w:val="Footnote"/>
        <w:bidi/>
      </w:pPr>
      <w:r>
        <w:rPr>
          <w:rStyle w:val="ac"/>
          <w:rtl/>
        </w:rPr>
        <w:footnoteRef/>
      </w:r>
      <w:r>
        <w:rPr>
          <w:rtl/>
        </w:rPr>
        <w:t>וה</w:t>
      </w:r>
      <w:r>
        <w:rPr>
          <w:b/>
          <w:bCs/>
          <w:rtl/>
        </w:rPr>
        <w:t>ריטב"א</w:t>
      </w:r>
      <w:r>
        <w:rPr>
          <w:rtl/>
        </w:rPr>
        <w:t xml:space="preserve"> כת' דקטנה בסוגיין לאו דוקא, וקאי אנערה.</w:t>
      </w:r>
    </w:p>
  </w:footnote>
  <w:footnote w:id="3556">
    <w:p w14:paraId="426B07C3" w14:textId="77777777" w:rsidR="006074A5" w:rsidRDefault="006074A5" w:rsidP="006074A5">
      <w:pPr>
        <w:pStyle w:val="Footnote"/>
        <w:bidi/>
      </w:pPr>
      <w:r>
        <w:rPr>
          <w:rStyle w:val="ac"/>
          <w:rtl/>
        </w:rPr>
        <w:footnoteRef/>
      </w:r>
      <w:r>
        <w:rPr>
          <w:rtl/>
        </w:rPr>
        <w:t>וה</w:t>
      </w:r>
      <w:r>
        <w:rPr>
          <w:b/>
          <w:bCs/>
          <w:rtl/>
        </w:rPr>
        <w:t xml:space="preserve">אחרונים </w:t>
      </w:r>
      <w:r>
        <w:rPr>
          <w:rtl/>
        </w:rPr>
        <w:t>כת' דאין להק' מאיסור סוטה, דהתם הוה גזיה"כ דחל בעודה תחת בעלה. אך בגמ' (לעיל נו:) מבואר דאשת כהן שנאנסה אף איסור זונה חל בעודה תחת בעלה. אך י"ל דכיון דחל איסור טומאה, עי"ז אסורה אף משום זונה. ועוה"ק ה</w:t>
      </w:r>
      <w:r>
        <w:rPr>
          <w:b/>
          <w:bCs/>
          <w:rtl/>
        </w:rPr>
        <w:t>אחרונים</w:t>
      </w:r>
      <w:r>
        <w:rPr>
          <w:rtl/>
        </w:rPr>
        <w:t xml:space="preserve"> בפצוע דכא דפצע אחר שנשאה (ע' לקמן ע. ועט:). וע' </w:t>
      </w:r>
      <w:r>
        <w:rPr>
          <w:b/>
          <w:bCs/>
          <w:rtl/>
        </w:rPr>
        <w:t>קוב"ש</w:t>
      </w:r>
      <w:r>
        <w:rPr>
          <w:rtl/>
        </w:rPr>
        <w:t xml:space="preserve"> (קוב"ב גיטין נ).</w:t>
      </w:r>
    </w:p>
  </w:footnote>
  <w:footnote w:id="3557">
    <w:p w14:paraId="1F158DB9" w14:textId="77777777" w:rsidR="006074A5" w:rsidRDefault="006074A5" w:rsidP="006074A5">
      <w:pPr>
        <w:pStyle w:val="Footnote"/>
        <w:bidi/>
      </w:pPr>
      <w:r>
        <w:rPr>
          <w:rStyle w:val="ac"/>
          <w:rtl/>
        </w:rPr>
        <w:footnoteRef/>
      </w:r>
      <w:r>
        <w:rPr>
          <w:rtl/>
        </w:rPr>
        <w:t>[וקנין של איסור כהונה פוסל לכהונה, ולא משום שנעשית כבעולה לו ונתחללה].</w:t>
      </w:r>
    </w:p>
  </w:footnote>
  <w:footnote w:id="3558">
    <w:p w14:paraId="18EAA96F" w14:textId="77777777" w:rsidR="006074A5" w:rsidRDefault="006074A5" w:rsidP="006074A5">
      <w:pPr>
        <w:pStyle w:val="Footnote"/>
        <w:bidi/>
      </w:pPr>
      <w:r>
        <w:rPr>
          <w:rStyle w:val="ac"/>
          <w:rtl/>
        </w:rPr>
        <w:footnoteRef/>
      </w:r>
      <w:r>
        <w:rPr>
          <w:rtl/>
        </w:rPr>
        <w:t>וה</w:t>
      </w:r>
      <w:r>
        <w:rPr>
          <w:b/>
          <w:bCs/>
          <w:rtl/>
        </w:rPr>
        <w:t>חלק"מ</w:t>
      </w:r>
      <w:r>
        <w:rPr>
          <w:rtl/>
        </w:rPr>
        <w:t xml:space="preserve"> (נה ט) כתב דבשעת חופה ל"ק כלל, אלא כשקידש חל החופה למפרע.</w:t>
      </w:r>
    </w:p>
  </w:footnote>
  <w:footnote w:id="3559">
    <w:p w14:paraId="7D72B5C7" w14:textId="77777777" w:rsidR="006074A5" w:rsidRDefault="006074A5" w:rsidP="006074A5">
      <w:pPr>
        <w:pStyle w:val="Footnote"/>
        <w:bidi/>
      </w:pPr>
      <w:r>
        <w:rPr>
          <w:rStyle w:val="ac"/>
          <w:rtl/>
        </w:rPr>
        <w:footnoteRef/>
      </w:r>
      <w:r>
        <w:rPr>
          <w:rtl/>
        </w:rPr>
        <w:t xml:space="preserve">אבל </w:t>
      </w:r>
      <w:r>
        <w:rPr>
          <w:b/>
          <w:bCs/>
          <w:rtl/>
        </w:rPr>
        <w:t>רש"י</w:t>
      </w:r>
      <w:r>
        <w:rPr>
          <w:rtl/>
        </w:rPr>
        <w:t xml:space="preserve"> (בע"ב) משמע דיש מח' אי מוכת עץ מותרת לכה"ג.</w:t>
      </w:r>
    </w:p>
  </w:footnote>
  <w:footnote w:id="3560">
    <w:p w14:paraId="34B484CF" w14:textId="77777777" w:rsidR="006074A5" w:rsidRDefault="006074A5" w:rsidP="006074A5">
      <w:pPr>
        <w:pStyle w:val="Footnote"/>
        <w:bidi/>
      </w:pPr>
      <w:r>
        <w:rPr>
          <w:rStyle w:val="ac"/>
          <w:rtl/>
        </w:rPr>
        <w:footnoteRef/>
      </w:r>
      <w:r>
        <w:rPr>
          <w:rtl/>
        </w:rPr>
        <w:t>וב</w:t>
      </w:r>
      <w:r>
        <w:rPr>
          <w:b/>
          <w:bCs/>
          <w:rtl/>
        </w:rPr>
        <w:t>ירושלמי</w:t>
      </w:r>
      <w:r>
        <w:rPr>
          <w:rtl/>
        </w:rPr>
        <w:t xml:space="preserve"> יש חד מ"ד גרס דר"א ור"ש מכשירין במוכת עץ ולא בבוגרת.</w:t>
      </w:r>
    </w:p>
  </w:footnote>
  <w:footnote w:id="3561">
    <w:p w14:paraId="0C57DA3C" w14:textId="77777777" w:rsidR="006074A5" w:rsidRDefault="006074A5" w:rsidP="006074A5">
      <w:pPr>
        <w:pStyle w:val="Footnote"/>
        <w:bidi/>
      </w:pPr>
      <w:r>
        <w:rPr>
          <w:rStyle w:val="ac"/>
          <w:rtl/>
        </w:rPr>
        <w:footnoteRef/>
      </w:r>
      <w:r>
        <w:rPr>
          <w:rtl/>
        </w:rPr>
        <w:t>וה</w:t>
      </w:r>
      <w:r>
        <w:rPr>
          <w:b/>
          <w:bCs/>
          <w:rtl/>
        </w:rPr>
        <w:t>ריטב"א</w:t>
      </w:r>
      <w:r>
        <w:rPr>
          <w:rtl/>
        </w:rPr>
        <w:t xml:space="preserve"> (נדה שם) כת' פי' א' דהברייתא לאפוקי קטן [פחות מבן ט'] הבא על הגדולה, א"נ גדול הבא על הקטנה [פחות מבת ג'] דלאו כלום הוא וכנותן אצבע בעין דמי. וכת' דיותר נר' דכל שנעשה מעשה ע"י איש, ולא לאפוקי מוכת עץ.</w:t>
      </w:r>
    </w:p>
  </w:footnote>
  <w:footnote w:id="3562">
    <w:p w14:paraId="215BEBE4" w14:textId="77777777" w:rsidR="006074A5" w:rsidRDefault="006074A5" w:rsidP="006074A5">
      <w:pPr>
        <w:pStyle w:val="Footnote"/>
        <w:bidi/>
      </w:pPr>
      <w:r>
        <w:rPr>
          <w:rStyle w:val="ac"/>
          <w:rtl/>
        </w:rPr>
        <w:footnoteRef/>
      </w:r>
      <w:r>
        <w:rPr>
          <w:rtl/>
        </w:rPr>
        <w:t>[אבל אילו נתקע מאיליו לא תפסל].</w:t>
      </w:r>
    </w:p>
  </w:footnote>
  <w:footnote w:id="3563">
    <w:p w14:paraId="5E75573A" w14:textId="77777777" w:rsidR="006074A5" w:rsidRDefault="006074A5" w:rsidP="006074A5">
      <w:pPr>
        <w:pStyle w:val="Footnote"/>
        <w:bidi/>
      </w:pPr>
      <w:r>
        <w:rPr>
          <w:rStyle w:val="ac"/>
          <w:rtl/>
        </w:rPr>
        <w:footnoteRef/>
      </w:r>
      <w:r>
        <w:rPr>
          <w:rtl/>
        </w:rPr>
        <w:t>ויל"ד דנפק"מ נכנסה לחופה ולא נבעלה. ולכאו' לא הוה בכלל עשה דבעולה. [ע' תוס' לעיל נז:]. [אך תמר היתה בעולה עכ"פ שלא כדרכה, ע' לעיל לד:, ובעל עושה בעולה שלא כדרכה (כדאי' קידושין ט:) וע"ע חי' ר' א"ל מלין א כז].</w:t>
      </w:r>
    </w:p>
  </w:footnote>
  <w:footnote w:id="3564">
    <w:p w14:paraId="56A03E43" w14:textId="77777777" w:rsidR="006074A5" w:rsidRDefault="006074A5" w:rsidP="006074A5">
      <w:pPr>
        <w:pStyle w:val="Footnote"/>
        <w:bidi/>
      </w:pPr>
      <w:r>
        <w:rPr>
          <w:rStyle w:val="ac"/>
          <w:rtl/>
        </w:rPr>
        <w:footnoteRef/>
      </w:r>
      <w:r>
        <w:rPr>
          <w:rtl/>
        </w:rPr>
        <w:t>[ולא מסתבר דעיקר קרא נאמר באיסור דתמיד הוה אין איסור חל על איסור].</w:t>
      </w:r>
    </w:p>
  </w:footnote>
  <w:footnote w:id="3565">
    <w:p w14:paraId="5C816349" w14:textId="77777777" w:rsidR="006074A5" w:rsidRDefault="006074A5" w:rsidP="006074A5">
      <w:pPr>
        <w:pStyle w:val="Footnote"/>
        <w:bidi/>
      </w:pPr>
      <w:r>
        <w:rPr>
          <w:rStyle w:val="ac"/>
          <w:rtl/>
        </w:rPr>
        <w:footnoteRef/>
      </w:r>
      <w:r>
        <w:rPr>
          <w:rtl/>
        </w:rPr>
        <w:t>ה</w:t>
      </w:r>
      <w:r>
        <w:rPr>
          <w:b/>
          <w:bCs/>
          <w:rtl/>
        </w:rPr>
        <w:t>אחרונים</w:t>
      </w:r>
      <w:r>
        <w:rPr>
          <w:rtl/>
        </w:rPr>
        <w:t xml:space="preserve"> (אתוון דאורייתא יח ו) הביאו מדברי התוס' דלחומרא מקשי' הוה בתורת ודאי. וכ"מ בתוס' בכמה מקומות.</w:t>
      </w:r>
    </w:p>
  </w:footnote>
  <w:footnote w:id="3566">
    <w:p w14:paraId="6ACAC447" w14:textId="77777777" w:rsidR="006074A5" w:rsidRDefault="006074A5" w:rsidP="006074A5">
      <w:pPr>
        <w:pStyle w:val="Footnote"/>
        <w:bidi/>
      </w:pPr>
      <w:r>
        <w:rPr>
          <w:rStyle w:val="ac"/>
          <w:rtl/>
        </w:rPr>
        <w:footnoteRef/>
      </w:r>
      <w:r>
        <w:rPr>
          <w:rtl/>
        </w:rPr>
        <w:t>וע' בגמ' (קידושין עז:) דדנו דגרושה לכה"ג הוה ק"ו מכהן הדיוט [והפסוק מיותר לדרשא, וילפי' מהתם חילוק לאוין]. [ויל"ד האם כוונת הגמ' שם מגדרי 'ק"ו', או דכה"ג לא פקע ממנו שם כהן הדיוט שקדם]. ומבואר מדברי התוס' דמ"מ [אחרי שנכתב לרבוי] הוה פרשה בפנ"ע. וצ"ע.</w:t>
      </w:r>
    </w:p>
  </w:footnote>
  <w:footnote w:id="3567">
    <w:p w14:paraId="7FD8D30C" w14:textId="77777777" w:rsidR="006074A5" w:rsidRDefault="006074A5" w:rsidP="006074A5">
      <w:pPr>
        <w:pStyle w:val="Footnote"/>
        <w:bidi/>
      </w:pPr>
      <w:r>
        <w:rPr>
          <w:rStyle w:val="ac"/>
          <w:rtl/>
        </w:rPr>
        <w:footnoteRef/>
      </w:r>
      <w:r>
        <w:rPr>
          <w:rtl/>
        </w:rPr>
        <w:t>וה</w:t>
      </w:r>
      <w:r>
        <w:rPr>
          <w:b/>
          <w:bCs/>
          <w:rtl/>
        </w:rPr>
        <w:t>תוס' רא"ש</w:t>
      </w:r>
      <w:r>
        <w:rPr>
          <w:rtl/>
        </w:rPr>
        <w:t xml:space="preserve"> כת' דתמעטו דמיה, אבל לא כלו לגמרי.</w:t>
      </w:r>
    </w:p>
  </w:footnote>
  <w:footnote w:id="3568">
    <w:p w14:paraId="3C256BEB" w14:textId="77777777" w:rsidR="006074A5" w:rsidRDefault="006074A5" w:rsidP="006074A5">
      <w:pPr>
        <w:pStyle w:val="Footnote"/>
        <w:bidi/>
      </w:pPr>
      <w:r>
        <w:rPr>
          <w:rStyle w:val="ac"/>
          <w:rtl/>
        </w:rPr>
        <w:footnoteRef/>
      </w:r>
      <w:r>
        <w:rPr>
          <w:rtl/>
        </w:rPr>
        <w:t>ולכאורה מבואר דנח' [אחרי הדרשות] איזה נחשב חסרון יותר גדול [בוגרת דיש שינוי בגוף, או שלא כדרכה, דהיה בה ביאה].</w:t>
      </w:r>
    </w:p>
  </w:footnote>
  <w:footnote w:id="3569">
    <w:p w14:paraId="02A9FA41" w14:textId="77777777" w:rsidR="006074A5" w:rsidRDefault="006074A5" w:rsidP="006074A5">
      <w:pPr>
        <w:pStyle w:val="Footnote"/>
        <w:bidi/>
      </w:pPr>
      <w:r>
        <w:rPr>
          <w:rStyle w:val="ac"/>
          <w:rtl/>
        </w:rPr>
        <w:footnoteRef/>
      </w:r>
      <w:r>
        <w:rPr>
          <w:rtl/>
        </w:rPr>
        <w:t>[וצ"ב דבוגרת דהוה מצב באשה, ואילו שלא כדרכה הוה משום זנות, דהא הבתולים שלימים].</w:t>
      </w:r>
    </w:p>
  </w:footnote>
  <w:footnote w:id="3570">
    <w:p w14:paraId="4DF247F5" w14:textId="77777777" w:rsidR="006074A5" w:rsidRDefault="006074A5" w:rsidP="006074A5">
      <w:pPr>
        <w:pStyle w:val="Footnote"/>
        <w:bidi/>
      </w:pPr>
      <w:r>
        <w:rPr>
          <w:rStyle w:val="ac"/>
          <w:rtl/>
        </w:rPr>
        <w:footnoteRef/>
      </w:r>
      <w:r>
        <w:rPr>
          <w:rtl/>
        </w:rPr>
        <w:t>ודוקא לכה"ג יש גזיה"כ דסגי במקצת בתולים. [ולר"מ להיפך, יש לה כתובה מדאורייתא. אף דנתמעטה מפרשת אונס ומפתה, ונאסרה לכה"ג].</w:t>
      </w:r>
    </w:p>
  </w:footnote>
  <w:footnote w:id="3571">
    <w:p w14:paraId="62BF729F" w14:textId="77777777" w:rsidR="006074A5" w:rsidRDefault="006074A5" w:rsidP="006074A5">
      <w:pPr>
        <w:pStyle w:val="Footnote"/>
        <w:bidi/>
      </w:pPr>
      <w:r>
        <w:rPr>
          <w:rStyle w:val="ac"/>
          <w:rtl/>
        </w:rPr>
        <w:footnoteRef/>
      </w:r>
      <w:r>
        <w:rPr>
          <w:rtl/>
        </w:rPr>
        <w:t>וה</w:t>
      </w:r>
      <w:r>
        <w:rPr>
          <w:b/>
          <w:bCs/>
          <w:rtl/>
        </w:rPr>
        <w:t>תוס' רא"ש</w:t>
      </w:r>
      <w:r>
        <w:rPr>
          <w:rtl/>
        </w:rPr>
        <w:t xml:space="preserve"> (נדה ח:) הביא מהגמ' (חגיגה) דנאסרת לכה"ג.</w:t>
      </w:r>
    </w:p>
  </w:footnote>
  <w:footnote w:id="3572">
    <w:p w14:paraId="659D2ED4" w14:textId="77777777" w:rsidR="006074A5" w:rsidRDefault="006074A5" w:rsidP="006074A5">
      <w:pPr>
        <w:pStyle w:val="Footnote"/>
        <w:bidi/>
      </w:pPr>
      <w:r>
        <w:rPr>
          <w:rStyle w:val="ac"/>
          <w:rtl/>
        </w:rPr>
        <w:footnoteRef/>
      </w:r>
      <w:r>
        <w:rPr>
          <w:rtl/>
        </w:rPr>
        <w:t>אך הביאו דב</w:t>
      </w:r>
      <w:r>
        <w:rPr>
          <w:b/>
          <w:bCs/>
          <w:rtl/>
        </w:rPr>
        <w:t>ירושלמי</w:t>
      </w:r>
      <w:r>
        <w:rPr>
          <w:rtl/>
        </w:rPr>
        <w:t xml:space="preserve"> דרשי' ריבוי להטיה. ומבואר דגרע מביאה שלא כדרך [דכלפי מקומו אינו ביאה גמורה].</w:t>
      </w:r>
    </w:p>
  </w:footnote>
  <w:footnote w:id="3573">
    <w:p w14:paraId="5A1A5886" w14:textId="77777777" w:rsidR="006074A5" w:rsidRDefault="006074A5" w:rsidP="006074A5">
      <w:pPr>
        <w:pStyle w:val="Footnote"/>
        <w:bidi/>
      </w:pPr>
      <w:r>
        <w:rPr>
          <w:rStyle w:val="ac"/>
          <w:rtl/>
        </w:rPr>
        <w:footnoteRef/>
      </w:r>
      <w:r>
        <w:rPr>
          <w:rtl/>
        </w:rPr>
        <w:t>ואף דהנישואין היתה רק אח"כ. [אם דעתו על גמ"ב. אבל האבנ"מ משמע דמהני אף אם חלו הקידושין רק בגמ"ב. וה</w:t>
      </w:r>
      <w:r>
        <w:rPr>
          <w:b/>
          <w:bCs/>
          <w:rtl/>
        </w:rPr>
        <w:t>אחרונים</w:t>
      </w:r>
      <w:r>
        <w:rPr>
          <w:rtl/>
        </w:rPr>
        <w:t xml:space="preserve"> תמהו דבעולה קודם קידושין ודאי אסורה עליו, ואף דהוה באותו מעשה. וסברת הגמ' דלא נשתנה הגוף מהני רק אחרי קידושין].</w:t>
      </w:r>
    </w:p>
  </w:footnote>
  <w:footnote w:id="3574">
    <w:p w14:paraId="3FC300E5" w14:textId="77777777" w:rsidR="006074A5" w:rsidRDefault="006074A5" w:rsidP="006074A5">
      <w:pPr>
        <w:pStyle w:val="Footnote"/>
        <w:bidi/>
      </w:pPr>
      <w:r>
        <w:rPr>
          <w:rStyle w:val="ac"/>
          <w:rtl/>
        </w:rPr>
        <w:footnoteRef/>
      </w:r>
      <w:r>
        <w:rPr>
          <w:rtl/>
        </w:rPr>
        <w:t>וה</w:t>
      </w:r>
      <w:r>
        <w:rPr>
          <w:b/>
          <w:bCs/>
          <w:rtl/>
        </w:rPr>
        <w:t>רשב"א</w:t>
      </w:r>
      <w:r>
        <w:rPr>
          <w:rtl/>
        </w:rPr>
        <w:t xml:space="preserve"> כת' דאף לרבי הו' ביאה לכל התורה לקנות ולעונשין, אלא דאחר אינו עושה בעולה שלא כדרכה.</w:t>
      </w:r>
    </w:p>
  </w:footnote>
  <w:footnote w:id="3575">
    <w:p w14:paraId="37062077" w14:textId="77777777" w:rsidR="006074A5" w:rsidRDefault="006074A5" w:rsidP="006074A5">
      <w:pPr>
        <w:pStyle w:val="Footnote"/>
        <w:bidi/>
      </w:pPr>
      <w:r>
        <w:rPr>
          <w:rStyle w:val="ac"/>
          <w:rtl/>
        </w:rPr>
        <w:footnoteRef/>
      </w:r>
      <w:r>
        <w:rPr>
          <w:rtl/>
        </w:rPr>
        <w:t>דהוה בתולה לדין קנס [וכרבי קידושין י.], ואסורה לכה"ג. [ותוס' הק' דהו"ל לגמ' להק' דתלי במח' דסוגיין אי בעולה שלא כדרכה אסורה לכה"ג]. ו</w:t>
      </w:r>
      <w:r>
        <w:rPr>
          <w:b/>
          <w:bCs/>
          <w:rtl/>
        </w:rPr>
        <w:t>רע"א</w:t>
      </w:r>
      <w:r>
        <w:rPr>
          <w:rtl/>
        </w:rPr>
        <w:t xml:space="preserve"> (בגליון המשנ"ל יח ב) כתב די"ל דרש"י מודה לסברת התוס', אלא דדחקו לישנא דהגמ' ד'בעולה לכה"ג', משמע בבעולה כבר.</w:t>
      </w:r>
    </w:p>
  </w:footnote>
  <w:footnote w:id="3576">
    <w:p w14:paraId="011855D1" w14:textId="77777777" w:rsidR="006074A5" w:rsidRDefault="006074A5" w:rsidP="006074A5">
      <w:pPr>
        <w:pStyle w:val="Footnote"/>
        <w:bidi/>
      </w:pPr>
      <w:r>
        <w:rPr>
          <w:rStyle w:val="ac"/>
          <w:rtl/>
        </w:rPr>
        <w:footnoteRef/>
      </w:r>
      <w:r>
        <w:rPr>
          <w:rtl/>
        </w:rPr>
        <w:t>ו</w:t>
      </w:r>
      <w:r>
        <w:rPr>
          <w:b/>
          <w:bCs/>
          <w:rtl/>
        </w:rPr>
        <w:t>רע"א</w:t>
      </w:r>
      <w:r>
        <w:rPr>
          <w:rtl/>
        </w:rPr>
        <w:t xml:space="preserve"> כת' דהיינו למ"ד העראה זו הכנסת עטרה. אבל למ"ד העראה נשיקה, א"כ נשעת העראה כבר נאסרה לכה"ג. וא"כ לא שייך חיוב קנס אגמר ביאה [וכדעת רש"י, ע' בסמוך]. דהוה אשה שאינה ראויה לו.</w:t>
      </w:r>
    </w:p>
  </w:footnote>
  <w:footnote w:id="3577">
    <w:p w14:paraId="1DA0EB93" w14:textId="77777777" w:rsidR="006074A5" w:rsidRDefault="006074A5" w:rsidP="006074A5">
      <w:pPr>
        <w:pStyle w:val="Footnote"/>
        <w:bidi/>
      </w:pPr>
      <w:r>
        <w:rPr>
          <w:rStyle w:val="ac"/>
          <w:rtl/>
        </w:rPr>
        <w:footnoteRef/>
      </w:r>
      <w:r>
        <w:rPr>
          <w:rtl/>
        </w:rPr>
        <w:t>וה</w:t>
      </w:r>
      <w:r>
        <w:rPr>
          <w:b/>
          <w:bCs/>
          <w:rtl/>
        </w:rPr>
        <w:t>קוב"ש</w:t>
      </w:r>
      <w:r>
        <w:rPr>
          <w:rtl/>
        </w:rPr>
        <w:t xml:space="preserve"> (כתובות נד) ביאר דהך דין ראויה לקיימו הוה דין באשה, דכיון דאשה זו ראויה לקיימו נתחייב קנס. ואילו לדעת ר"ח הוה דין דבעינן ראוי לקיום מצוות ולו תהיה לאשה. וע"ע יונת אלם (א) שהאריך עד"ז.</w:t>
      </w:r>
    </w:p>
  </w:footnote>
  <w:footnote w:id="3578">
    <w:p w14:paraId="417A262B" w14:textId="77777777" w:rsidR="006074A5" w:rsidRDefault="006074A5" w:rsidP="006074A5">
      <w:pPr>
        <w:pStyle w:val="Footnote"/>
        <w:bidi/>
      </w:pPr>
      <w:r>
        <w:rPr>
          <w:rStyle w:val="ac"/>
          <w:rtl/>
        </w:rPr>
        <w:footnoteRef/>
      </w:r>
      <w:r>
        <w:rPr>
          <w:rtl/>
        </w:rPr>
        <w:t>דיש תנאי וגזיה"כ שתהיה ראויה לקיימו.</w:t>
      </w:r>
    </w:p>
  </w:footnote>
  <w:footnote w:id="3579">
    <w:p w14:paraId="061714B5" w14:textId="77777777" w:rsidR="006074A5" w:rsidRDefault="006074A5" w:rsidP="006074A5">
      <w:pPr>
        <w:pStyle w:val="Footnote"/>
        <w:bidi/>
      </w:pPr>
      <w:r>
        <w:rPr>
          <w:rStyle w:val="ac"/>
          <w:rtl/>
        </w:rPr>
        <w:footnoteRef/>
      </w:r>
      <w:r>
        <w:rPr>
          <w:rtl/>
        </w:rPr>
        <w:t>וה</w:t>
      </w:r>
      <w:r>
        <w:rPr>
          <w:b/>
          <w:bCs/>
          <w:rtl/>
        </w:rPr>
        <w:t>רמב"ן</w:t>
      </w:r>
      <w:r>
        <w:rPr>
          <w:rtl/>
        </w:rPr>
        <w:t xml:space="preserve"> כת' דקי"ל דמוציא בגט. ואם נשא נשוי רק לענין קנס כמפותה.</w:t>
      </w:r>
    </w:p>
  </w:footnote>
  <w:footnote w:id="3580">
    <w:p w14:paraId="3E820DB7" w14:textId="77777777" w:rsidR="006074A5" w:rsidRDefault="006074A5" w:rsidP="006074A5">
      <w:pPr>
        <w:pStyle w:val="Footnote"/>
        <w:bidi/>
      </w:pPr>
      <w:r>
        <w:rPr>
          <w:rStyle w:val="ac"/>
          <w:rtl/>
        </w:rPr>
        <w:footnoteRef/>
      </w:r>
      <w:r>
        <w:rPr>
          <w:rtl/>
        </w:rPr>
        <w:t>ו</w:t>
      </w:r>
      <w:r>
        <w:rPr>
          <w:b/>
          <w:bCs/>
          <w:rtl/>
        </w:rPr>
        <w:t>תוס</w:t>
      </w:r>
      <w:r>
        <w:rPr>
          <w:rtl/>
        </w:rPr>
        <w:t>' (כתובות שם בסו"ד) כת' 'ור"ת לא פי' כן'. והמשנ"ל ביאר דכוונת התוס' להנ"ל.</w:t>
      </w:r>
    </w:p>
  </w:footnote>
  <w:footnote w:id="3581">
    <w:p w14:paraId="1E54F488" w14:textId="77777777" w:rsidR="006074A5" w:rsidRDefault="006074A5" w:rsidP="006074A5">
      <w:pPr>
        <w:pStyle w:val="Footnote"/>
        <w:bidi/>
      </w:pPr>
      <w:r>
        <w:rPr>
          <w:rStyle w:val="ac"/>
          <w:rtl/>
        </w:rPr>
        <w:footnoteRef/>
      </w:r>
      <w:r>
        <w:rPr>
          <w:rtl/>
        </w:rPr>
        <w:t>ועוד הביאו הראשונים מה</w:t>
      </w:r>
      <w:r>
        <w:rPr>
          <w:b/>
          <w:bCs/>
          <w:rtl/>
        </w:rPr>
        <w:t>גמ'</w:t>
      </w:r>
      <w:r>
        <w:rPr>
          <w:rtl/>
        </w:rPr>
        <w:t xml:space="preserve"> (ערכין טו. לפרש"י שם וכן כתובות מ:) דבא עליה א' שלא כדרכה, ואח"כ א' כדרכה, שניהם מתחייבין קנס. ו</w:t>
      </w:r>
      <w:r>
        <w:rPr>
          <w:b/>
          <w:bCs/>
          <w:rtl/>
        </w:rPr>
        <w:t>תוס</w:t>
      </w:r>
      <w:r>
        <w:rPr>
          <w:rtl/>
        </w:rPr>
        <w:t>' (שם ושם) הק' לרש"י בסנהדרין. ו</w:t>
      </w:r>
      <w:r>
        <w:rPr>
          <w:b/>
          <w:bCs/>
          <w:rtl/>
        </w:rPr>
        <w:t>ר"י</w:t>
      </w:r>
      <w:r>
        <w:rPr>
          <w:rtl/>
        </w:rPr>
        <w:t xml:space="preserve"> (ערכין שם) פי' דברי הגמ' באופ"א.</w:t>
      </w:r>
    </w:p>
  </w:footnote>
  <w:footnote w:id="3582">
    <w:p w14:paraId="3C35D116" w14:textId="77777777" w:rsidR="006074A5" w:rsidRDefault="006074A5" w:rsidP="006074A5">
      <w:pPr>
        <w:pStyle w:val="Footnote"/>
        <w:bidi/>
      </w:pPr>
      <w:r>
        <w:rPr>
          <w:rStyle w:val="ac"/>
          <w:rtl/>
        </w:rPr>
        <w:footnoteRef/>
      </w:r>
      <w:r>
        <w:rPr>
          <w:rtl/>
        </w:rPr>
        <w:t>וה</w:t>
      </w:r>
      <w:r>
        <w:rPr>
          <w:b/>
          <w:bCs/>
          <w:rtl/>
        </w:rPr>
        <w:t>שיטה לנ"ל</w:t>
      </w:r>
      <w:r>
        <w:rPr>
          <w:rtl/>
        </w:rPr>
        <w:t xml:space="preserve"> (קידושין שם) פי' דהתם איירי במקום בתולים, אלא שלא הוציא בתוליה [בהטייה], ושלא כדרכה לאו דוקא. ואילו הרמב"ם איירי שלא כדרכה ממש, דאינו מקום בתולים. [ועד"ז כת' ה</w:t>
      </w:r>
      <w:r>
        <w:rPr>
          <w:b/>
          <w:bCs/>
          <w:rtl/>
        </w:rPr>
        <w:t>מאירי</w:t>
      </w:r>
      <w:r>
        <w:rPr>
          <w:rtl/>
        </w:rPr>
        <w:t xml:space="preserve"> (סנהדרין עג:) דאיירי בהעראה, וכדברי הירושלמי].</w:t>
      </w:r>
    </w:p>
  </w:footnote>
  <w:footnote w:id="3583">
    <w:p w14:paraId="77A2FE00" w14:textId="77777777" w:rsidR="006074A5" w:rsidRDefault="006074A5" w:rsidP="006074A5">
      <w:pPr>
        <w:pStyle w:val="Footnote"/>
        <w:bidi/>
      </w:pPr>
      <w:r>
        <w:rPr>
          <w:rStyle w:val="ac"/>
          <w:rtl/>
        </w:rPr>
        <w:footnoteRef/>
      </w:r>
      <w:r>
        <w:rPr>
          <w:rtl/>
        </w:rPr>
        <w:t>וכה"ק ה</w:t>
      </w:r>
      <w:r>
        <w:rPr>
          <w:b/>
          <w:bCs/>
          <w:rtl/>
        </w:rPr>
        <w:t>ר"ן</w:t>
      </w:r>
      <w:r>
        <w:rPr>
          <w:rtl/>
        </w:rPr>
        <w:t xml:space="preserve"> (כתובות מ:, יד: בדה"ר) לדברי הרמב"ם. וכת' דאפשר דהרמב"ם למד כן מהגמ' (סנהדרין עג:), וכפ</w:t>
      </w:r>
      <w:r>
        <w:rPr>
          <w:b/>
          <w:bCs/>
          <w:rtl/>
        </w:rPr>
        <w:t>רש"י</w:t>
      </w:r>
      <w:r>
        <w:rPr>
          <w:rtl/>
        </w:rPr>
        <w:t xml:space="preserve"> (שם) דאינו מתחייב קנס בהעראה, ומינה דאף שלא כדרכה אינו מתחייב קנס, דקנס תלי בהוצאת בתולים. אך כת' דאין לדחות סוגיות מפורסמות בשביל זו שכבר פירשו התוס' בענין אחר.</w:t>
      </w:r>
    </w:p>
  </w:footnote>
  <w:footnote w:id="3584">
    <w:p w14:paraId="42F72B01" w14:textId="77777777" w:rsidR="006074A5" w:rsidRDefault="006074A5" w:rsidP="006074A5">
      <w:pPr>
        <w:pStyle w:val="Footnote"/>
        <w:bidi/>
      </w:pPr>
      <w:r>
        <w:rPr>
          <w:rStyle w:val="ac"/>
          <w:rtl/>
        </w:rPr>
        <w:footnoteRef/>
      </w:r>
      <w:r>
        <w:rPr>
          <w:rtl/>
        </w:rPr>
        <w:t>ודלא כ</w:t>
      </w:r>
      <w:r>
        <w:rPr>
          <w:b/>
          <w:bCs/>
          <w:rtl/>
        </w:rPr>
        <w:t>תוס' רי"ד</w:t>
      </w:r>
      <w:r>
        <w:rPr>
          <w:rtl/>
        </w:rPr>
        <w:t xml:space="preserve"> (כתובות ל.) שהיכא דליכא קנס ליכא מצוות ולו תהיה לאשה.</w:t>
      </w:r>
    </w:p>
  </w:footnote>
  <w:footnote w:id="3585">
    <w:p w14:paraId="1F399983" w14:textId="77777777" w:rsidR="006074A5" w:rsidRDefault="006074A5" w:rsidP="006074A5">
      <w:pPr>
        <w:pStyle w:val="Footnote"/>
        <w:bidi/>
      </w:pPr>
      <w:r>
        <w:rPr>
          <w:rStyle w:val="ac"/>
          <w:rtl/>
        </w:rPr>
        <w:footnoteRef/>
      </w:r>
      <w:r>
        <w:rPr>
          <w:rtl/>
        </w:rPr>
        <w:t>ותוס' הביאו גבי רודף אחר חייבי לאוין ואחר חייבי כריתות. וט"ס היא, דרודף קאי דוקא חייבי כריתות [כדאי' התם]. אך יל"פ כוונת התוס' לציין שם הסוגיא, דבסוגיא דהתם הוזכר ג"כ חייבי לאוין [דלא הוה רודף].</w:t>
      </w:r>
    </w:p>
  </w:footnote>
  <w:footnote w:id="3586">
    <w:p w14:paraId="7FC2E963" w14:textId="77777777" w:rsidR="006074A5" w:rsidRDefault="006074A5" w:rsidP="006074A5">
      <w:pPr>
        <w:pStyle w:val="Footnote"/>
        <w:bidi/>
      </w:pPr>
      <w:r>
        <w:rPr>
          <w:rStyle w:val="ac"/>
          <w:rtl/>
        </w:rPr>
        <w:footnoteRef/>
      </w:r>
      <w:r>
        <w:rPr>
          <w:rtl/>
        </w:rPr>
        <w:t>והוה מחייב בפנ"ע [ומבואר דמחלקים ביאה א' לב' מחייבים].</w:t>
      </w:r>
    </w:p>
  </w:footnote>
  <w:footnote w:id="3587">
    <w:p w14:paraId="73808102" w14:textId="77777777" w:rsidR="006074A5" w:rsidRDefault="006074A5" w:rsidP="006074A5">
      <w:pPr>
        <w:pStyle w:val="Footnote"/>
        <w:bidi/>
      </w:pPr>
      <w:r>
        <w:rPr>
          <w:rStyle w:val="ac"/>
          <w:rtl/>
        </w:rPr>
        <w:footnoteRef/>
      </w:r>
      <w:r>
        <w:rPr>
          <w:rtl/>
        </w:rPr>
        <w:t>ולצד דאף בעולה בהטיה כשירה לכה"ג, כ"ש בהעראה בעלמא.</w:t>
      </w:r>
    </w:p>
  </w:footnote>
  <w:footnote w:id="3588">
    <w:p w14:paraId="23E22848" w14:textId="77777777" w:rsidR="006074A5" w:rsidRDefault="006074A5" w:rsidP="006074A5">
      <w:pPr>
        <w:pStyle w:val="Footnote"/>
        <w:bidi/>
      </w:pPr>
      <w:r>
        <w:rPr>
          <w:rStyle w:val="ac"/>
          <w:rtl/>
        </w:rPr>
        <w:footnoteRef/>
      </w:r>
      <w:r>
        <w:rPr>
          <w:rtl/>
        </w:rPr>
        <w:t>וה</w:t>
      </w:r>
      <w:r>
        <w:rPr>
          <w:b/>
          <w:bCs/>
          <w:rtl/>
        </w:rPr>
        <w:t>רש"ש</w:t>
      </w:r>
      <w:r>
        <w:rPr>
          <w:rtl/>
        </w:rPr>
        <w:t xml:space="preserve"> כת' דוגמא לדבר גבי שחיטה, נקובת הושט דהוה טריפה אי הוה נקוב כבר. אבל במה שניקב בשחיטה [קודם רוב סימנים] הכל נחשב מעשה שחיטה. [וה"נ הכנסת עטרה משיר מקצת בתולים. והחיוב קנס על כל הביאה, דהכל נחשב מעשה הוצאת הבתולים, והכל נחשב מעשה חיוב ארוך].</w:t>
      </w:r>
    </w:p>
  </w:footnote>
  <w:footnote w:id="3589">
    <w:p w14:paraId="3630240E" w14:textId="77777777" w:rsidR="006074A5" w:rsidRDefault="006074A5" w:rsidP="006074A5">
      <w:pPr>
        <w:pStyle w:val="Footnote"/>
        <w:bidi/>
      </w:pPr>
      <w:r>
        <w:rPr>
          <w:rStyle w:val="ac"/>
          <w:rtl/>
        </w:rPr>
        <w:footnoteRef/>
      </w:r>
      <w:r>
        <w:rPr>
          <w:rtl/>
        </w:rPr>
        <w:t>ד</w:t>
      </w:r>
      <w:r>
        <w:rPr>
          <w:b/>
          <w:bCs/>
          <w:rtl/>
        </w:rPr>
        <w:t>תוס</w:t>
      </w:r>
      <w:r>
        <w:rPr>
          <w:rtl/>
        </w:rPr>
        <w:t>' (גיטין נג.) כת' דהיכא דנתחייב מיתה בשעת ניסוך, אינו חייב אף על ההגבהה. [דאילו אחר ניסך לא היה מתחייב מצד הגזילה, דהוה היזק שאינו ניכר. אלא כיון דניסך בידים קנסו שיחשב כאילו ניכר, ועי"ז נתחייב אף בגזילה. אלא דקלב"ם כאילו עשאו אחר ומש"ה אינו חייב].</w:t>
      </w:r>
    </w:p>
  </w:footnote>
  <w:footnote w:id="3590">
    <w:p w14:paraId="6FE3F504" w14:textId="77777777" w:rsidR="006074A5" w:rsidRDefault="006074A5" w:rsidP="006074A5">
      <w:pPr>
        <w:pStyle w:val="Footnote"/>
        <w:bidi/>
      </w:pPr>
      <w:r>
        <w:rPr>
          <w:rStyle w:val="ac"/>
          <w:rtl/>
        </w:rPr>
        <w:footnoteRef/>
      </w:r>
      <w:r>
        <w:rPr>
          <w:rtl/>
        </w:rPr>
        <w:t>וה</w:t>
      </w:r>
      <w:r>
        <w:rPr>
          <w:b/>
          <w:bCs/>
          <w:rtl/>
        </w:rPr>
        <w:t>אחרונים</w:t>
      </w:r>
      <w:r>
        <w:rPr>
          <w:rtl/>
        </w:rPr>
        <w:t xml:space="preserve"> ציינו למח' רש"י וריטב"א (מכות טז.) [וע"ע</w:t>
      </w:r>
      <w:r>
        <w:rPr>
          <w:b/>
          <w:bCs/>
          <w:rtl/>
        </w:rPr>
        <w:t xml:space="preserve"> דברי יחזקאל </w:t>
      </w:r>
      <w:r>
        <w:rPr>
          <w:rtl/>
        </w:rPr>
        <w:t>(כו) דהאריך בזה].</w:t>
      </w:r>
    </w:p>
  </w:footnote>
  <w:footnote w:id="3591">
    <w:p w14:paraId="173B82AE" w14:textId="77777777" w:rsidR="006074A5" w:rsidRDefault="006074A5" w:rsidP="006074A5">
      <w:pPr>
        <w:pStyle w:val="Footnote"/>
        <w:bidi/>
      </w:pPr>
      <w:r>
        <w:rPr>
          <w:rStyle w:val="ac"/>
          <w:rtl/>
        </w:rPr>
        <w:footnoteRef/>
      </w:r>
      <w:r>
        <w:rPr>
          <w:rtl/>
        </w:rPr>
        <w:t>וכתב דלדעת התוס' נחשב ב' מעשים.</w:t>
      </w:r>
    </w:p>
  </w:footnote>
  <w:footnote w:id="3592">
    <w:p w14:paraId="61111A29" w14:textId="77777777" w:rsidR="006074A5" w:rsidRDefault="006074A5" w:rsidP="006074A5">
      <w:pPr>
        <w:pStyle w:val="Footnote"/>
        <w:bidi/>
      </w:pPr>
      <w:r>
        <w:rPr>
          <w:rStyle w:val="ac"/>
          <w:rtl/>
        </w:rPr>
        <w:footnoteRef/>
      </w:r>
      <w:r>
        <w:rPr>
          <w:rtl/>
        </w:rPr>
        <w:t>אמנם בסוגיין בעולה לכה"ג הוה עשה. אבל ה</w:t>
      </w:r>
      <w:r>
        <w:rPr>
          <w:b/>
          <w:bCs/>
          <w:rtl/>
        </w:rPr>
        <w:t>רשב"א</w:t>
      </w:r>
      <w:r>
        <w:rPr>
          <w:rtl/>
        </w:rPr>
        <w:t xml:space="preserve"> ו</w:t>
      </w:r>
      <w:r>
        <w:rPr>
          <w:b/>
          <w:bCs/>
          <w:rtl/>
        </w:rPr>
        <w:t xml:space="preserve">ריטב"א </w:t>
      </w:r>
      <w:r>
        <w:rPr>
          <w:rtl/>
        </w:rPr>
        <w:t>(כאן) הקשו דעשה דאינו שווה בכל ידחה מפני עשה השווה בכל [ותי' כבסוגיא שם]. ולדברי ה</w:t>
      </w:r>
      <w:r>
        <w:rPr>
          <w:b/>
          <w:bCs/>
          <w:rtl/>
        </w:rPr>
        <w:t>רשב"א</w:t>
      </w:r>
      <w:r>
        <w:rPr>
          <w:rtl/>
        </w:rPr>
        <w:t xml:space="preserve"> (כתובות שם) עשה דוחה לא והבא מכלל עשה. [והאחרונים דנו האם בעולה לכה"ג נחשב עשה גמור].</w:t>
      </w:r>
    </w:p>
  </w:footnote>
  <w:footnote w:id="3593">
    <w:p w14:paraId="682585A3" w14:textId="77777777" w:rsidR="006074A5" w:rsidRDefault="006074A5" w:rsidP="006074A5">
      <w:pPr>
        <w:pStyle w:val="Footnote"/>
        <w:bidi/>
      </w:pPr>
      <w:r>
        <w:rPr>
          <w:rStyle w:val="ac"/>
          <w:rtl/>
        </w:rPr>
        <w:footnoteRef/>
      </w:r>
      <w:r>
        <w:rPr>
          <w:rtl/>
        </w:rPr>
        <w:t xml:space="preserve">וכה"ק </w:t>
      </w:r>
      <w:r>
        <w:rPr>
          <w:b/>
          <w:bCs/>
          <w:rtl/>
        </w:rPr>
        <w:t>תוס</w:t>
      </w:r>
      <w:r>
        <w:rPr>
          <w:rtl/>
        </w:rPr>
        <w:t>' (כתובות מ.) דנתמעט אשה שאינה ראוי לקיימו, ומה דנו עשה דוחה ל"ת. ותי' כתי' התוס' כאן.</w:t>
      </w:r>
    </w:p>
  </w:footnote>
  <w:footnote w:id="3594">
    <w:p w14:paraId="0284A9E4" w14:textId="77777777" w:rsidR="006074A5" w:rsidRDefault="006074A5" w:rsidP="006074A5">
      <w:pPr>
        <w:pStyle w:val="Footnote"/>
        <w:bidi/>
      </w:pPr>
      <w:r>
        <w:rPr>
          <w:rStyle w:val="ac"/>
          <w:rtl/>
        </w:rPr>
        <w:footnoteRef/>
      </w:r>
      <w:r>
        <w:rPr>
          <w:b/>
          <w:bCs/>
          <w:rtl/>
        </w:rPr>
        <w:t>תוס</w:t>
      </w:r>
      <w:r>
        <w:rPr>
          <w:rtl/>
        </w:rPr>
        <w:t>' (לקמן סא:) כתבו דפנוי לאו דוקא. {ויש שציינו לפרש הלשון 'פנוי' ע"פ דברי ה</w:t>
      </w:r>
      <w:r>
        <w:rPr>
          <w:b/>
          <w:bCs/>
          <w:rtl/>
        </w:rPr>
        <w:t>רמב"ם</w:t>
      </w:r>
      <w:r>
        <w:rPr>
          <w:rtl/>
        </w:rPr>
        <w:t xml:space="preserve"> (סו"ה איסו"ב) דאין מחשבת עריות מתגברת אלא בלב פנוי מן החכמה}.</w:t>
      </w:r>
    </w:p>
  </w:footnote>
  <w:footnote w:id="3595">
    <w:p w14:paraId="367643FB" w14:textId="77777777" w:rsidR="006074A5" w:rsidRDefault="006074A5" w:rsidP="006074A5">
      <w:pPr>
        <w:pStyle w:val="Footnote"/>
        <w:bidi/>
      </w:pPr>
      <w:r>
        <w:rPr>
          <w:rStyle w:val="ac"/>
          <w:rtl/>
        </w:rPr>
        <w:footnoteRef/>
      </w:r>
      <w:r>
        <w:rPr>
          <w:rtl/>
        </w:rPr>
        <w:t xml:space="preserve">ויש </w:t>
      </w:r>
      <w:r>
        <w:rPr>
          <w:b/>
          <w:bCs/>
          <w:rtl/>
        </w:rPr>
        <w:t>אחרונים</w:t>
      </w:r>
      <w:r>
        <w:rPr>
          <w:rtl/>
        </w:rPr>
        <w:t xml:space="preserve"> (ע' מקנה קו"א כו א ומנח"ח תקנט ותקע) שנקטו בדעת הרמב"ם דטעם האיסור משום דברי ראב"י (לעיל לז:) דנמצא אח נושא אחותו. ומש"ה ביאה שאינה ראויה להוליד לא הוה בכלל האיסור. והעירו דלדברי ה"ה מישך לדברי ר"א דביאת פנויה עשאה זונה, ומבואר בסוגיין דהוה אף שלא כדרכה.</w:t>
      </w:r>
    </w:p>
  </w:footnote>
  <w:footnote w:id="3596">
    <w:p w14:paraId="721AB7D8" w14:textId="77777777" w:rsidR="006074A5" w:rsidRDefault="006074A5" w:rsidP="006074A5">
      <w:pPr>
        <w:pStyle w:val="Footnote"/>
        <w:bidi/>
      </w:pPr>
      <w:r>
        <w:rPr>
          <w:rStyle w:val="ac"/>
          <w:rtl/>
        </w:rPr>
        <w:footnoteRef/>
      </w:r>
      <w:r>
        <w:rPr>
          <w:rtl/>
        </w:rPr>
        <w:t>[אבל ה</w:t>
      </w:r>
      <w:r>
        <w:rPr>
          <w:b/>
          <w:bCs/>
          <w:rtl/>
        </w:rPr>
        <w:t>תרגום</w:t>
      </w:r>
      <w:r>
        <w:rPr>
          <w:rtl/>
        </w:rPr>
        <w:t xml:space="preserve"> פי' הך קרא בשפחה ועבד].</w:t>
      </w:r>
    </w:p>
  </w:footnote>
  <w:footnote w:id="3597">
    <w:p w14:paraId="060BCB24" w14:textId="77777777" w:rsidR="006074A5" w:rsidRDefault="006074A5" w:rsidP="006074A5">
      <w:pPr>
        <w:pStyle w:val="Footnote"/>
        <w:bidi/>
      </w:pPr>
      <w:r>
        <w:rPr>
          <w:rStyle w:val="ac"/>
          <w:rtl/>
        </w:rPr>
        <w:footnoteRef/>
      </w:r>
      <w:r>
        <w:rPr>
          <w:rtl/>
        </w:rPr>
        <w:t>וה</w:t>
      </w:r>
      <w:r>
        <w:rPr>
          <w:b/>
          <w:bCs/>
          <w:rtl/>
        </w:rPr>
        <w:t>ראב"ד</w:t>
      </w:r>
      <w:r>
        <w:rPr>
          <w:rtl/>
        </w:rPr>
        <w:t xml:space="preserve"> השיג דקדישה הוה דוקא מזומנת המופקרת לכל אדם. אבל המייחדת עצמה לאיש א' אין בה לא מלקות ולא איסור לאו, והיא הפילגש. והביא ראיה דכל מפתה האיך משלם קנס, נימא דאין לוקה ומשלם. [והגמ' (כתובות לב) מק' כן דוקא בבא על אחותו]. וע"כ דפיתוי אינו קדישה.</w:t>
      </w:r>
    </w:p>
  </w:footnote>
  <w:footnote w:id="3598">
    <w:p w14:paraId="0D7CC653" w14:textId="77777777" w:rsidR="006074A5" w:rsidRDefault="006074A5" w:rsidP="006074A5">
      <w:pPr>
        <w:pStyle w:val="Footnote"/>
        <w:bidi/>
      </w:pPr>
      <w:r>
        <w:rPr>
          <w:rStyle w:val="ac"/>
          <w:rtl/>
        </w:rPr>
        <w:footnoteRef/>
      </w:r>
      <w:r>
        <w:rPr>
          <w:rtl/>
        </w:rPr>
        <w:t>ועפ"ז הביא דאף דעכו"ם הוה ביאת היתר מדאורייתא [ע' תוס' שם], ואפ"ה פוסל. וה</w:t>
      </w:r>
      <w:r>
        <w:rPr>
          <w:b/>
          <w:bCs/>
          <w:rtl/>
        </w:rPr>
        <w:t>תוס' רא"ש</w:t>
      </w:r>
      <w:r>
        <w:rPr>
          <w:rtl/>
        </w:rPr>
        <w:t xml:space="preserve"> סיים דמ"מ לענין ממזרות תימה לומר שנעשה ממזר כשבא מביאת היתר.</w:t>
      </w:r>
    </w:p>
  </w:footnote>
  <w:footnote w:id="3599">
    <w:p w14:paraId="06D11202" w14:textId="77777777" w:rsidR="006074A5" w:rsidRDefault="006074A5" w:rsidP="006074A5">
      <w:pPr>
        <w:pStyle w:val="Footnote"/>
        <w:bidi/>
      </w:pPr>
      <w:r>
        <w:rPr>
          <w:rStyle w:val="ac"/>
          <w:rtl/>
        </w:rPr>
        <w:footnoteRef/>
      </w:r>
      <w:r>
        <w:rPr>
          <w:rtl/>
        </w:rPr>
        <w:t>ומשמע מדבריו דהוה פסול זונה. [וכדעת ה</w:t>
      </w:r>
      <w:r>
        <w:rPr>
          <w:b/>
          <w:bCs/>
          <w:rtl/>
        </w:rPr>
        <w:t>רמב"ם</w:t>
      </w:r>
      <w:r>
        <w:rPr>
          <w:rtl/>
        </w:rPr>
        <w:t>, ודלא כ</w:t>
      </w:r>
      <w:r>
        <w:rPr>
          <w:b/>
          <w:bCs/>
          <w:rtl/>
        </w:rPr>
        <w:t>ראב"ד</w:t>
      </w:r>
      <w:r>
        <w:rPr>
          <w:rtl/>
        </w:rPr>
        <w:t xml:space="preserve"> (יח א) דהוה שם איסור אחר. אך דעת התורא"ש (בכ"מ) כדעת תוס' דפסולי קהל הוה משם איש זר].</w:t>
      </w:r>
    </w:p>
  </w:footnote>
  <w:footnote w:id="3600">
    <w:p w14:paraId="1DAC7E84" w14:textId="77777777" w:rsidR="006074A5" w:rsidRDefault="006074A5" w:rsidP="006074A5">
      <w:pPr>
        <w:pStyle w:val="Footnote"/>
        <w:bidi/>
      </w:pPr>
      <w:r>
        <w:rPr>
          <w:rStyle w:val="ac"/>
          <w:rtl/>
        </w:rPr>
        <w:footnoteRef/>
      </w:r>
      <w:r>
        <w:rPr>
          <w:rtl/>
        </w:rPr>
        <w:t>דאי מן התורה היה מותר היכי אמר רבי אלעזר דמקריא זונה.</w:t>
      </w:r>
    </w:p>
  </w:footnote>
  <w:footnote w:id="3601">
    <w:p w14:paraId="7D7E52BC" w14:textId="77777777" w:rsidR="006074A5" w:rsidRDefault="006074A5" w:rsidP="006074A5">
      <w:pPr>
        <w:pStyle w:val="Footnote"/>
        <w:bidi/>
      </w:pPr>
      <w:r>
        <w:rPr>
          <w:rStyle w:val="ac"/>
          <w:rtl/>
        </w:rPr>
        <w:footnoteRef/>
      </w:r>
      <w:r>
        <w:rPr>
          <w:rtl/>
        </w:rPr>
        <w:t>וכדאי' (סנהדרין נא.) דהברייתא דמוסר לזנות פנויה הוה דוקא לר' אלעזר. ולרבנן דוקא במוסר לביאת איסור.</w:t>
      </w:r>
    </w:p>
  </w:footnote>
  <w:footnote w:id="3602">
    <w:p w14:paraId="7238ECC1" w14:textId="77777777" w:rsidR="006074A5" w:rsidRDefault="006074A5" w:rsidP="006074A5">
      <w:pPr>
        <w:pStyle w:val="Footnote"/>
        <w:bidi/>
      </w:pPr>
      <w:r>
        <w:rPr>
          <w:rStyle w:val="ac"/>
          <w:rtl/>
        </w:rPr>
        <w:footnoteRef/>
      </w:r>
      <w:r>
        <w:rPr>
          <w:rtl/>
        </w:rPr>
        <w:t>ועי"ש ב</w:t>
      </w:r>
      <w:r>
        <w:rPr>
          <w:b/>
          <w:bCs/>
          <w:rtl/>
        </w:rPr>
        <w:t>תור"ג</w:t>
      </w:r>
      <w:r>
        <w:rPr>
          <w:rtl/>
        </w:rPr>
        <w:t xml:space="preserve"> דיישב דברי התוס' לענין כהונה, וללקות.</w:t>
      </w:r>
    </w:p>
  </w:footnote>
  <w:footnote w:id="3603">
    <w:p w14:paraId="0CDFAF10" w14:textId="77777777" w:rsidR="006074A5" w:rsidRDefault="006074A5" w:rsidP="006074A5">
      <w:pPr>
        <w:pStyle w:val="Footnote"/>
        <w:bidi/>
      </w:pPr>
      <w:r>
        <w:rPr>
          <w:rStyle w:val="ac"/>
          <w:rtl/>
        </w:rPr>
        <w:footnoteRef/>
      </w:r>
      <w:r>
        <w:rPr>
          <w:rtl/>
        </w:rPr>
        <w:t>וכדברי ה</w:t>
      </w:r>
      <w:r>
        <w:rPr>
          <w:b/>
          <w:bCs/>
          <w:rtl/>
        </w:rPr>
        <w:t>ראשונים</w:t>
      </w:r>
      <w:r>
        <w:rPr>
          <w:rtl/>
        </w:rPr>
        <w:t xml:space="preserve"> (הו' שם) דהנידון בכל 'שם זונה'. אבל יש ראשונים דהנידון שם רק באשת איש. [ולא שייך לסוגיין כלל, ועמד בזה המשנ"ל שם].</w:t>
      </w:r>
    </w:p>
  </w:footnote>
  <w:footnote w:id="3604">
    <w:p w14:paraId="7C4BB188" w14:textId="77777777" w:rsidR="006074A5" w:rsidRDefault="006074A5" w:rsidP="006074A5">
      <w:pPr>
        <w:pStyle w:val="Footnote"/>
        <w:bidi/>
      </w:pPr>
      <w:r>
        <w:rPr>
          <w:rStyle w:val="ac"/>
          <w:rtl/>
        </w:rPr>
        <w:footnoteRef/>
      </w:r>
      <w:r>
        <w:rPr>
          <w:rtl/>
        </w:rPr>
        <w:t>וכן ה</w:t>
      </w:r>
      <w:r>
        <w:rPr>
          <w:b/>
          <w:bCs/>
          <w:rtl/>
        </w:rPr>
        <w:t>ריטב"א</w:t>
      </w:r>
      <w:r>
        <w:rPr>
          <w:rtl/>
        </w:rPr>
        <w:t xml:space="preserve"> (נו:) כת' דכל הפוסלים בביאתן באונס לא הוה זונה, כ"ש פנוי הבא על הפנויה [דעדיף משאר פוסלים]. וי"ל דסברת הרשב"א דאונס הוה הפקר ופריצות טפי מצד הבועל. ואילו סברת הריטב"א אזלי' בתר הנבעלת, ואצלה לא הוה גדר הפקר.</w:t>
      </w:r>
    </w:p>
  </w:footnote>
  <w:footnote w:id="3605">
    <w:p w14:paraId="7EE69B80" w14:textId="77777777" w:rsidR="006074A5" w:rsidRDefault="006074A5" w:rsidP="006074A5">
      <w:pPr>
        <w:pStyle w:val="Footnote"/>
        <w:bidi/>
      </w:pPr>
      <w:r>
        <w:rPr>
          <w:rStyle w:val="ac"/>
          <w:rtl/>
        </w:rPr>
        <w:footnoteRef/>
      </w:r>
      <w:r>
        <w:rPr>
          <w:rtl/>
        </w:rPr>
        <w:t>והוכיח כן מהא דלקמן (סא:) כה"ג לא ישא קטנה [בנישואין דרבנן]. [ומבואר דס"ד דרשב"א דנישואין דרבנן מהני לפסולי כהונה, אלא שהקשה משם. וצ"ב מה ס"ד דיהני]. ובסו"ד ביאר דהתם כל שנבעלה בלא נישואין דאורייתא אסורה כבעולה.</w:t>
      </w:r>
    </w:p>
  </w:footnote>
  <w:footnote w:id="3606">
    <w:p w14:paraId="6FE86952" w14:textId="77777777" w:rsidR="006074A5" w:rsidRDefault="006074A5" w:rsidP="006074A5">
      <w:pPr>
        <w:pStyle w:val="Footnote"/>
        <w:bidi/>
      </w:pPr>
      <w:r>
        <w:rPr>
          <w:rStyle w:val="ac"/>
          <w:rtl/>
        </w:rPr>
        <w:footnoteRef/>
      </w:r>
      <w:r>
        <w:rPr>
          <w:rtl/>
        </w:rPr>
        <w:t>היינו מדרבנן, דמדאורייתא אינה אישות כלל. [ומבואר דס"ד דה</w:t>
      </w:r>
      <w:r>
        <w:rPr>
          <w:b/>
          <w:bCs/>
          <w:rtl/>
        </w:rPr>
        <w:t xml:space="preserve">ריטב"א </w:t>
      </w:r>
      <w:r>
        <w:rPr>
          <w:rtl/>
        </w:rPr>
        <w:t>דבעינן קידושין ע"פ דין, ולא שמיוחדת כאשתו].</w:t>
      </w:r>
    </w:p>
  </w:footnote>
  <w:footnote w:id="3607">
    <w:p w14:paraId="421D5750" w14:textId="77777777" w:rsidR="006074A5" w:rsidRDefault="006074A5" w:rsidP="006074A5">
      <w:pPr>
        <w:pStyle w:val="Footnote"/>
        <w:bidi/>
      </w:pPr>
      <w:r>
        <w:rPr>
          <w:rStyle w:val="ac"/>
          <w:rtl/>
        </w:rPr>
        <w:footnoteRef/>
      </w:r>
      <w:r>
        <w:rPr>
          <w:rtl/>
        </w:rPr>
        <w:t>[אף למ"ד דאסור בלא קידושין מ"מ אינו הפקר, וכ"ש למ"ד דשרי].</w:t>
      </w:r>
    </w:p>
  </w:footnote>
  <w:footnote w:id="3608">
    <w:p w14:paraId="7AAB80E2" w14:textId="77777777" w:rsidR="006074A5" w:rsidRDefault="006074A5" w:rsidP="006074A5">
      <w:pPr>
        <w:pStyle w:val="Footnote"/>
        <w:bidi/>
      </w:pPr>
      <w:r>
        <w:rPr>
          <w:rStyle w:val="ac"/>
          <w:rtl/>
        </w:rPr>
        <w:footnoteRef/>
      </w:r>
      <w:r>
        <w:rPr>
          <w:rtl/>
        </w:rPr>
        <w:t xml:space="preserve">וכתב דלפ"ז קטן שנשא סמוך לפרקו עשאה זונה, דלדעת הרמב"ם דהוה ביאת זנות. [דאל"כ לימא קטן]. אבל </w:t>
      </w:r>
      <w:r>
        <w:rPr>
          <w:b/>
          <w:bCs/>
          <w:rtl/>
        </w:rPr>
        <w:t>תוס</w:t>
      </w:r>
      <w:r>
        <w:rPr>
          <w:rtl/>
        </w:rPr>
        <w:t>' (לקמן סב:) כת' דתקנו לענין שלא יחשב בעילת זנות.</w:t>
      </w:r>
    </w:p>
  </w:footnote>
  <w:footnote w:id="3609">
    <w:p w14:paraId="207C62BA" w14:textId="77777777" w:rsidR="006074A5" w:rsidRDefault="006074A5" w:rsidP="006074A5">
      <w:pPr>
        <w:pStyle w:val="Footnote"/>
        <w:bidi/>
      </w:pPr>
      <w:r>
        <w:rPr>
          <w:rStyle w:val="ac"/>
          <w:rtl/>
        </w:rPr>
        <w:footnoteRef/>
      </w:r>
      <w:r>
        <w:rPr>
          <w:rtl/>
        </w:rPr>
        <w:t>וה</w:t>
      </w:r>
      <w:r>
        <w:rPr>
          <w:b/>
          <w:bCs/>
          <w:rtl/>
        </w:rPr>
        <w:t>רשב"א</w:t>
      </w:r>
      <w:r>
        <w:rPr>
          <w:rtl/>
        </w:rPr>
        <w:t xml:space="preserve"> (בע"ב) כתב דהוה בכלל קושיית הגמ'.</w:t>
      </w:r>
    </w:p>
  </w:footnote>
  <w:footnote w:id="3610">
    <w:p w14:paraId="5EE44087" w14:textId="77777777" w:rsidR="006074A5" w:rsidRDefault="006074A5" w:rsidP="006074A5">
      <w:pPr>
        <w:pStyle w:val="Footnote"/>
        <w:bidi/>
      </w:pPr>
      <w:r>
        <w:rPr>
          <w:rStyle w:val="ac"/>
          <w:rtl/>
        </w:rPr>
        <w:footnoteRef/>
      </w:r>
      <w:r>
        <w:rPr>
          <w:rtl/>
        </w:rPr>
        <w:t>וצ"ב כוונתו, דודאי מהני אף מדאורייתא, דהיאך יתקנו רבנן להתיר זונה דאורייתא. וצ"ל דכוונתו דכיון דקודם שתקנו רבנן אישות דרבנן אין היכי תמצא, ואינו ראוי למעטו. [ועוד יל"פ דמסרו הכתוב לחכמים לקבוע גדרי אישות, ובזה הותר מדאורייתא, אבל קודם שתקנו חז"ל לא היתה מציאות של אישות קלישתא. וקושיית הרשב"א דלא יתכן מיעוט על דבר שלא קיים].</w:t>
      </w:r>
    </w:p>
  </w:footnote>
  <w:footnote w:id="3611">
    <w:p w14:paraId="758C5567" w14:textId="77777777" w:rsidR="006074A5" w:rsidRDefault="006074A5" w:rsidP="006074A5">
      <w:pPr>
        <w:pStyle w:val="Footnote"/>
        <w:bidi/>
      </w:pPr>
      <w:r>
        <w:rPr>
          <w:rStyle w:val="ac"/>
          <w:rtl/>
        </w:rPr>
        <w:footnoteRef/>
      </w:r>
      <w:r>
        <w:rPr>
          <w:rtl/>
        </w:rPr>
        <w:t>וה</w:t>
      </w:r>
      <w:r>
        <w:rPr>
          <w:b/>
          <w:bCs/>
          <w:rtl/>
        </w:rPr>
        <w:t>שעה"מ</w:t>
      </w:r>
      <w:r>
        <w:rPr>
          <w:rtl/>
        </w:rPr>
        <w:t xml:space="preserve"> כת' דלצד דיש עשה דקדושים יהיו בכל חללה [ע' </w:t>
      </w:r>
      <w:r>
        <w:rPr>
          <w:b/>
          <w:bCs/>
          <w:rtl/>
        </w:rPr>
        <w:t>תוס</w:t>
      </w:r>
      <w:r>
        <w:rPr>
          <w:rtl/>
        </w:rPr>
        <w:t>' פד. ד"ה והא], ממ"נ ל"ת ועשה.</w:t>
      </w:r>
    </w:p>
  </w:footnote>
  <w:footnote w:id="3612">
    <w:p w14:paraId="23B552DF" w14:textId="77777777" w:rsidR="006074A5" w:rsidRDefault="006074A5" w:rsidP="006074A5">
      <w:pPr>
        <w:pStyle w:val="Footnote"/>
        <w:bidi/>
      </w:pPr>
      <w:r>
        <w:rPr>
          <w:rStyle w:val="ac"/>
          <w:rtl/>
        </w:rPr>
        <w:footnoteRef/>
      </w:r>
      <w:r>
        <w:rPr>
          <w:rtl/>
        </w:rPr>
        <w:t>וכדלעיל (כ:), ו</w:t>
      </w:r>
      <w:r>
        <w:rPr>
          <w:b/>
          <w:bCs/>
          <w:rtl/>
        </w:rPr>
        <w:t>רע"א</w:t>
      </w:r>
      <w:r>
        <w:rPr>
          <w:rtl/>
        </w:rPr>
        <w:t xml:space="preserve"> הוסיף מדאורייתא מותרת בביאה ראשונה. וציין למה שנסתפק ה</w:t>
      </w:r>
      <w:r>
        <w:rPr>
          <w:b/>
          <w:bCs/>
          <w:rtl/>
        </w:rPr>
        <w:t>פרשת דרכים</w:t>
      </w:r>
      <w:r>
        <w:rPr>
          <w:rtl/>
        </w:rPr>
        <w:t xml:space="preserve"> (הו' לעיל ג: וכ.) האם בחייבי לאו ועשה יש איסור אשת אח.</w:t>
      </w:r>
    </w:p>
  </w:footnote>
  <w:footnote w:id="3613">
    <w:p w14:paraId="7E38F1A0" w14:textId="77777777" w:rsidR="006074A5" w:rsidRDefault="006074A5" w:rsidP="006074A5">
      <w:pPr>
        <w:pStyle w:val="Footnote"/>
        <w:bidi/>
      </w:pPr>
      <w:r>
        <w:rPr>
          <w:rStyle w:val="ac"/>
          <w:rtl/>
        </w:rPr>
        <w:footnoteRef/>
      </w:r>
      <w:r>
        <w:rPr>
          <w:rtl/>
        </w:rPr>
        <w:t>אבל ה</w:t>
      </w:r>
      <w:r>
        <w:rPr>
          <w:b/>
          <w:bCs/>
          <w:rtl/>
        </w:rPr>
        <w:t>מאירי</w:t>
      </w:r>
      <w:r>
        <w:rPr>
          <w:rtl/>
        </w:rPr>
        <w:t xml:space="preserve"> העמיד דברי הרמב"ם בשלא כדרכה. וכ"כ ה</w:t>
      </w:r>
      <w:r>
        <w:rPr>
          <w:b/>
          <w:bCs/>
          <w:rtl/>
        </w:rPr>
        <w:t>קרי"ס</w:t>
      </w:r>
      <w:r>
        <w:rPr>
          <w:rtl/>
        </w:rPr>
        <w:t xml:space="preserve"> (איסו"ב יז).</w:t>
      </w:r>
    </w:p>
  </w:footnote>
  <w:footnote w:id="3614">
    <w:p w14:paraId="699A854D" w14:textId="77777777" w:rsidR="006074A5" w:rsidRDefault="006074A5" w:rsidP="006074A5">
      <w:pPr>
        <w:pStyle w:val="Footnote"/>
        <w:bidi/>
      </w:pPr>
      <w:r>
        <w:rPr>
          <w:rStyle w:val="ac"/>
          <w:rtl/>
        </w:rPr>
        <w:footnoteRef/>
      </w:r>
      <w:r>
        <w:rPr>
          <w:rtl/>
        </w:rPr>
        <w:t>וצ"ב דסוף סוף אין לה בתולים. ומבואר דכיון שלא נעשית בה מעשה הוצאת בתולים, ולכן נחשבת כשלימה. וכן מבואר (לקמן ס:) דמוכת עץ אתעבד מעשה. וכן הראשונים ביארו את הברייתא (נדה ח:) דאף מוכת עץ נחשב מעשה ע"י איש.</w:t>
      </w:r>
    </w:p>
  </w:footnote>
  <w:footnote w:id="3615">
    <w:p w14:paraId="67F8D6AD" w14:textId="77777777" w:rsidR="006074A5" w:rsidRDefault="006074A5" w:rsidP="006074A5">
      <w:pPr>
        <w:pStyle w:val="Footnote"/>
        <w:bidi/>
      </w:pPr>
      <w:r>
        <w:rPr>
          <w:rStyle w:val="ac"/>
          <w:rtl/>
        </w:rPr>
        <w:footnoteRef/>
      </w:r>
      <w:r>
        <w:rPr>
          <w:rtl/>
        </w:rPr>
        <w:t>וה</w:t>
      </w:r>
      <w:r>
        <w:rPr>
          <w:b/>
          <w:bCs/>
          <w:rtl/>
        </w:rPr>
        <w:t>שיטה ישנה</w:t>
      </w:r>
      <w:r>
        <w:rPr>
          <w:rtl/>
        </w:rPr>
        <w:t xml:space="preserve"> (בשיטמ"ק שם) כת' דהוה כבוגרת. וה</w:t>
      </w:r>
      <w:r>
        <w:rPr>
          <w:b/>
          <w:bCs/>
          <w:rtl/>
        </w:rPr>
        <w:t>מאירי</w:t>
      </w:r>
      <w:r>
        <w:rPr>
          <w:rtl/>
        </w:rPr>
        <w:t xml:space="preserve"> הביא ראיה מבהמה דסוגיין [וכרמב"ם, ודלא כרש"י].</w:t>
      </w:r>
    </w:p>
  </w:footnote>
  <w:footnote w:id="3616">
    <w:p w14:paraId="5050A6C7" w14:textId="77777777" w:rsidR="006074A5" w:rsidRDefault="006074A5" w:rsidP="006074A5">
      <w:pPr>
        <w:pStyle w:val="Footnote"/>
        <w:bidi/>
      </w:pPr>
      <w:r>
        <w:rPr>
          <w:rStyle w:val="ac"/>
          <w:rtl/>
        </w:rPr>
        <w:footnoteRef/>
      </w:r>
      <w:r>
        <w:rPr>
          <w:rtl/>
        </w:rPr>
        <w:t>ובפשוטו ממעכת באצבע הוה מוכת עץ ליפסל לכה"ג.</w:t>
      </w:r>
    </w:p>
  </w:footnote>
  <w:footnote w:id="3617">
    <w:p w14:paraId="411B0AC4" w14:textId="77777777" w:rsidR="006074A5" w:rsidRDefault="006074A5" w:rsidP="006074A5">
      <w:pPr>
        <w:pStyle w:val="Footnote"/>
        <w:bidi/>
      </w:pPr>
      <w:r>
        <w:rPr>
          <w:rStyle w:val="ac"/>
          <w:rtl/>
        </w:rPr>
        <w:footnoteRef/>
      </w:r>
      <w:r>
        <w:rPr>
          <w:rtl/>
        </w:rPr>
        <w:t>ומבואר (לעיל נד.) דנתכוון להטיח בבהמה נחשב נתכוון לשם ביאה בעלמא. ו</w:t>
      </w:r>
      <w:r>
        <w:rPr>
          <w:b/>
          <w:bCs/>
          <w:rtl/>
        </w:rPr>
        <w:t>תוס'</w:t>
      </w:r>
      <w:r>
        <w:rPr>
          <w:rtl/>
        </w:rPr>
        <w:t xml:space="preserve"> (סוטה כו: ד"ה למעוטי) כת' דדעת רבא דיש זנות לבהמה. אבל ה</w:t>
      </w:r>
      <w:r>
        <w:rPr>
          <w:b/>
          <w:bCs/>
          <w:rtl/>
        </w:rPr>
        <w:t>פסקי הרי"ד</w:t>
      </w:r>
      <w:r>
        <w:rPr>
          <w:rtl/>
        </w:rPr>
        <w:t xml:space="preserve"> (לעיל שם) חילק דנחשב 'ביאה' אבל לא זנות. וכ"מ לדעת הרמב"ם (יבום ב ד).</w:t>
      </w:r>
    </w:p>
  </w:footnote>
  <w:footnote w:id="3618">
    <w:p w14:paraId="4578DF50" w14:textId="77777777" w:rsidR="006074A5" w:rsidRDefault="006074A5" w:rsidP="006074A5">
      <w:pPr>
        <w:pStyle w:val="Footnote"/>
        <w:bidi/>
      </w:pPr>
      <w:r>
        <w:rPr>
          <w:rStyle w:val="ac"/>
          <w:rtl/>
        </w:rPr>
        <w:footnoteRef/>
      </w:r>
      <w:r>
        <w:rPr>
          <w:rtl/>
        </w:rPr>
        <w:t>ו</w:t>
      </w:r>
      <w:r>
        <w:rPr>
          <w:b/>
          <w:bCs/>
          <w:rtl/>
        </w:rPr>
        <w:t>רש"י</w:t>
      </w:r>
      <w:r>
        <w:rPr>
          <w:rtl/>
        </w:rPr>
        <w:t xml:space="preserve"> (שם) פי' דהא מהני תפיסה בקלב"מ.</w:t>
      </w:r>
    </w:p>
  </w:footnote>
  <w:footnote w:id="3619">
    <w:p w14:paraId="491BDF4C" w14:textId="77777777" w:rsidR="006074A5" w:rsidRDefault="006074A5" w:rsidP="006074A5">
      <w:pPr>
        <w:pStyle w:val="Footnote"/>
        <w:bidi/>
      </w:pPr>
      <w:r>
        <w:rPr>
          <w:rStyle w:val="ac"/>
          <w:rtl/>
        </w:rPr>
        <w:footnoteRef/>
      </w:r>
      <w:r>
        <w:rPr>
          <w:rtl/>
        </w:rPr>
        <w:t>וכן היא עצמה אינה מתחללת. והרמב"ן ביאר דלא דמי לאלמנה לכה"ג. [ומהני סברת סופה להיות תחתיו דלא ילפי' מאלמנה לכה"ג].</w:t>
      </w:r>
    </w:p>
  </w:footnote>
  <w:footnote w:id="3620">
    <w:p w14:paraId="4D523B47" w14:textId="77777777" w:rsidR="006074A5" w:rsidRDefault="006074A5" w:rsidP="006074A5">
      <w:pPr>
        <w:pStyle w:val="Footnote"/>
        <w:bidi/>
      </w:pPr>
      <w:r>
        <w:rPr>
          <w:rStyle w:val="ac"/>
          <w:rtl/>
        </w:rPr>
        <w:footnoteRef/>
      </w:r>
      <w:r>
        <w:rPr>
          <w:rtl/>
        </w:rPr>
        <w:t>אמנם ה</w:t>
      </w:r>
      <w:r>
        <w:rPr>
          <w:b/>
          <w:bCs/>
          <w:rtl/>
        </w:rPr>
        <w:t>קרית ספר</w:t>
      </w:r>
      <w:r>
        <w:rPr>
          <w:rtl/>
        </w:rPr>
        <w:t xml:space="preserve"> (שם) נקט דדעת הרמב"ם דכה"ג שנשא בוגרת או מוכת עץ לא חללה, ויקיים.</w:t>
      </w:r>
    </w:p>
  </w:footnote>
  <w:footnote w:id="3621">
    <w:p w14:paraId="66B8F65F" w14:textId="77777777" w:rsidR="006074A5" w:rsidRDefault="006074A5" w:rsidP="006074A5">
      <w:pPr>
        <w:pStyle w:val="Footnote"/>
        <w:bidi/>
      </w:pPr>
      <w:r>
        <w:rPr>
          <w:rStyle w:val="ac"/>
          <w:rtl/>
        </w:rPr>
        <w:footnoteRef/>
      </w:r>
      <w:r>
        <w:rPr>
          <w:rtl/>
        </w:rPr>
        <w:t>וכן לדעת</w:t>
      </w:r>
      <w:r>
        <w:rPr>
          <w:b/>
          <w:bCs/>
          <w:rtl/>
        </w:rPr>
        <w:t xml:space="preserve"> ר"ת</w:t>
      </w:r>
      <w:r>
        <w:rPr>
          <w:rtl/>
        </w:rPr>
        <w:t xml:space="preserve"> (הו' לעיל נט.) דאנוסת עצמו דרבנן, א"כ ודאי דהוה רק דרבנן.</w:t>
      </w:r>
    </w:p>
  </w:footnote>
  <w:footnote w:id="3622">
    <w:p w14:paraId="60D083B6" w14:textId="77777777" w:rsidR="006074A5" w:rsidRDefault="006074A5" w:rsidP="006074A5">
      <w:pPr>
        <w:pStyle w:val="Footnote"/>
        <w:bidi/>
      </w:pPr>
      <w:r>
        <w:rPr>
          <w:rStyle w:val="ac"/>
          <w:rtl/>
        </w:rPr>
        <w:footnoteRef/>
      </w:r>
      <w:r>
        <w:rPr>
          <w:rtl/>
        </w:rPr>
        <w:t>וצ"ב כוונתו, דהא קיי"ל יש חופה לפסולות [לעיל נז:, ועוד דסוגיין קאי לרב]. ומשמע דהוה סברא דלענין קנס בעי נישואין ממש.</w:t>
      </w:r>
    </w:p>
  </w:footnote>
  <w:footnote w:id="3623">
    <w:p w14:paraId="3A59B7DB" w14:textId="77777777" w:rsidR="006074A5" w:rsidRDefault="006074A5" w:rsidP="006074A5">
      <w:pPr>
        <w:pStyle w:val="Footnote"/>
        <w:bidi/>
      </w:pPr>
      <w:r>
        <w:rPr>
          <w:rStyle w:val="ac"/>
          <w:rtl/>
        </w:rPr>
        <w:footnoteRef/>
      </w:r>
      <w:r>
        <w:rPr>
          <w:rtl/>
        </w:rPr>
        <w:t>דאין רצון התורה בנישואין איסור. א"נ יל"פ דכיון דכנס באיסור לא חשיב אישות. ועויל"פ דבאיסור לא נחשב קיום עשה ד'ולו תהא לאשה' [וע"ד הא דאיתא לעיל כ: גבי יבום באיסור דאם בעלו לא קנו].</w:t>
      </w:r>
    </w:p>
  </w:footnote>
  <w:footnote w:id="3624">
    <w:p w14:paraId="1EEF2520" w14:textId="77777777" w:rsidR="006074A5" w:rsidRDefault="006074A5" w:rsidP="006074A5">
      <w:pPr>
        <w:pStyle w:val="Footnote"/>
        <w:bidi/>
      </w:pPr>
      <w:r>
        <w:rPr>
          <w:rStyle w:val="ac"/>
          <w:rtl/>
        </w:rPr>
        <w:footnoteRef/>
      </w:r>
      <w:r>
        <w:rPr>
          <w:rtl/>
        </w:rPr>
        <w:t>אבל קידושין לא מהני לפטור. [ויל"ד דיתחייב גם כתובה וגם קנס]. וה</w:t>
      </w:r>
      <w:r>
        <w:rPr>
          <w:b/>
          <w:bCs/>
          <w:rtl/>
        </w:rPr>
        <w:t xml:space="preserve">משנ"ל </w:t>
      </w:r>
      <w:r>
        <w:rPr>
          <w:rtl/>
        </w:rPr>
        <w:t>הקשה אמאי הרמב"ם השמיט הא דנשא נפטר מקנס.</w:t>
      </w:r>
    </w:p>
  </w:footnote>
  <w:footnote w:id="3625">
    <w:p w14:paraId="57700AED" w14:textId="77777777" w:rsidR="006074A5" w:rsidRDefault="006074A5" w:rsidP="006074A5">
      <w:pPr>
        <w:pStyle w:val="Footnote"/>
        <w:bidi/>
      </w:pPr>
      <w:r>
        <w:rPr>
          <w:rStyle w:val="ac"/>
          <w:rtl/>
        </w:rPr>
        <w:footnoteRef/>
      </w:r>
      <w:r>
        <w:rPr>
          <w:rtl/>
        </w:rPr>
        <w:t>וכן תי' התוס' רא"ש תי' א'.</w:t>
      </w:r>
    </w:p>
  </w:footnote>
  <w:footnote w:id="3626">
    <w:p w14:paraId="005FF8D3" w14:textId="77777777" w:rsidR="006074A5" w:rsidRDefault="006074A5" w:rsidP="006074A5">
      <w:pPr>
        <w:pStyle w:val="Footnote"/>
        <w:bidi/>
      </w:pPr>
      <w:r>
        <w:rPr>
          <w:rStyle w:val="ac"/>
          <w:rtl/>
        </w:rPr>
        <w:footnoteRef/>
      </w:r>
      <w:r>
        <w:rPr>
          <w:rtl/>
        </w:rPr>
        <w:t>שהחשיבו מעשה זה כתחילת אישות כשכונס אח"כ.</w:t>
      </w:r>
    </w:p>
  </w:footnote>
  <w:footnote w:id="3627">
    <w:p w14:paraId="7CD95824" w14:textId="77777777" w:rsidR="006074A5" w:rsidRDefault="006074A5" w:rsidP="006074A5">
      <w:pPr>
        <w:pStyle w:val="Footnote"/>
        <w:bidi/>
      </w:pPr>
      <w:r>
        <w:rPr>
          <w:rStyle w:val="ac"/>
          <w:rtl/>
        </w:rPr>
        <w:footnoteRef/>
      </w:r>
      <w:r>
        <w:rPr>
          <w:rtl/>
        </w:rPr>
        <w:t>דס"ל דבאיסור דאורייתא לא אמרי' אם נשא נשוי.</w:t>
      </w:r>
    </w:p>
  </w:footnote>
  <w:footnote w:id="3628">
    <w:p w14:paraId="391764B3" w14:textId="77777777" w:rsidR="006074A5" w:rsidRDefault="006074A5" w:rsidP="006074A5">
      <w:pPr>
        <w:pStyle w:val="Footnote"/>
        <w:bidi/>
      </w:pPr>
      <w:r>
        <w:rPr>
          <w:rStyle w:val="ac"/>
          <w:rtl/>
        </w:rPr>
        <w:footnoteRef/>
      </w:r>
      <w:r>
        <w:rPr>
          <w:rtl/>
        </w:rPr>
        <w:t>ורב ור' יוחנן ס"ל כר"א ור"ש. ומבואר מדבריו דר"א ור"ש (במשנה) דמכשירין בבוגרת הוה מדאורייתא, ומ"מ מדרבנן לא ישא.</w:t>
      </w:r>
    </w:p>
  </w:footnote>
  <w:footnote w:id="3629">
    <w:p w14:paraId="517F0669" w14:textId="77777777" w:rsidR="006074A5" w:rsidRDefault="006074A5" w:rsidP="006074A5">
      <w:pPr>
        <w:pStyle w:val="Footnote"/>
        <w:bidi/>
      </w:pPr>
      <w:r>
        <w:rPr>
          <w:rStyle w:val="ac"/>
          <w:rtl/>
        </w:rPr>
        <w:footnoteRef/>
      </w:r>
      <w:r>
        <w:rPr>
          <w:rtl/>
        </w:rPr>
        <w:t xml:space="preserve">והקשה אמאי לא קנסי' כיון דנשאה באיסור [וכמ"ש </w:t>
      </w:r>
      <w:r>
        <w:rPr>
          <w:b/>
          <w:bCs/>
          <w:rtl/>
        </w:rPr>
        <w:t>תוס</w:t>
      </w:r>
      <w:r>
        <w:rPr>
          <w:rtl/>
        </w:rPr>
        <w:t>' לעיל כג: ד"ה קדמו]. ותי' דכיון דאין איסור בעצם הנישואין, אלא שמבטל מצווה לא קנסו.</w:t>
      </w:r>
    </w:p>
  </w:footnote>
  <w:footnote w:id="3630">
    <w:p w14:paraId="1125CCC1" w14:textId="77777777" w:rsidR="006074A5" w:rsidRDefault="006074A5" w:rsidP="006074A5">
      <w:pPr>
        <w:pStyle w:val="Footnote"/>
        <w:bidi/>
      </w:pPr>
      <w:r>
        <w:rPr>
          <w:rStyle w:val="ac"/>
          <w:rtl/>
        </w:rPr>
        <w:footnoteRef/>
      </w:r>
      <w:r>
        <w:rPr>
          <w:rtl/>
        </w:rPr>
        <w:t xml:space="preserve">וכ"ד </w:t>
      </w:r>
      <w:r>
        <w:rPr>
          <w:b/>
          <w:bCs/>
          <w:rtl/>
        </w:rPr>
        <w:t>ר"ת</w:t>
      </w:r>
      <w:r>
        <w:rPr>
          <w:rtl/>
        </w:rPr>
        <w:t xml:space="preserve"> (הו' לעיל) דבעולת עצמו דרבנן. ולכאורה המקור של ר"ת מהכא, דכיון דאם נשא נשוי, ע"כ דהוה איסור דרבנן [וכסברת הרשב"א דל"מ סופה תחתיו באיסור מה"ת]. [ועיל"פ דסברת סופה להיות תחתיו מהני להתיר אף לכתחילה, ומש"ה מסתבר ליה דהוה איסור דרבנן].</w:t>
      </w:r>
    </w:p>
  </w:footnote>
  <w:footnote w:id="3631">
    <w:p w14:paraId="722CBD16" w14:textId="77777777" w:rsidR="006074A5" w:rsidRDefault="006074A5" w:rsidP="006074A5">
      <w:pPr>
        <w:pStyle w:val="Footnote"/>
        <w:bidi/>
      </w:pPr>
      <w:r>
        <w:rPr>
          <w:rStyle w:val="ac"/>
          <w:rtl/>
        </w:rPr>
        <w:footnoteRef/>
      </w:r>
      <w:r>
        <w:rPr>
          <w:rtl/>
        </w:rPr>
        <w:t>ולכאורה כוונתו דבגדר 'בעולה' אין חילוק בין בעולת עצמו לבעולת אחרים, וסופו שאינה בתולה תחתיו. ובזה תי' דיש חילוק דהוה גנאי.</w:t>
      </w:r>
    </w:p>
  </w:footnote>
  <w:footnote w:id="3632">
    <w:p w14:paraId="395EDEF1" w14:textId="77777777" w:rsidR="006074A5" w:rsidRDefault="006074A5" w:rsidP="006074A5">
      <w:pPr>
        <w:pStyle w:val="Footnote"/>
        <w:bidi/>
      </w:pPr>
      <w:r>
        <w:rPr>
          <w:rStyle w:val="ac"/>
          <w:rtl/>
        </w:rPr>
        <w:footnoteRef/>
      </w:r>
      <w:r>
        <w:rPr>
          <w:rtl/>
        </w:rPr>
        <w:t>וצ"ב כוונת הריטב"א, דהא כת' דסברת סופה להיות תחתיו מהני רק בדרבנן [דל"מ במוכת עץ אילו הוה דאורייתא], א"כ מה ס"ד דמהני בבעולת אחרים, דודאי הוה דאורייתא. וצ"ע.</w:t>
      </w:r>
    </w:p>
  </w:footnote>
  <w:footnote w:id="3633">
    <w:p w14:paraId="079B9766" w14:textId="77777777" w:rsidR="006074A5" w:rsidRDefault="006074A5" w:rsidP="006074A5">
      <w:pPr>
        <w:pStyle w:val="Footnote"/>
        <w:bidi/>
      </w:pPr>
      <w:r>
        <w:rPr>
          <w:rStyle w:val="ac"/>
          <w:rtl/>
        </w:rPr>
        <w:footnoteRef/>
      </w:r>
      <w:r>
        <w:rPr>
          <w:rtl/>
        </w:rPr>
        <w:t>והוסיף אף דקאי בקשיא ולא בתיובתא.</w:t>
      </w:r>
    </w:p>
  </w:footnote>
  <w:footnote w:id="3634">
    <w:p w14:paraId="770BE158" w14:textId="77777777" w:rsidR="006074A5" w:rsidRDefault="006074A5" w:rsidP="006074A5">
      <w:pPr>
        <w:pStyle w:val="Footnote"/>
        <w:bidi/>
      </w:pPr>
      <w:r>
        <w:rPr>
          <w:rStyle w:val="ac"/>
          <w:rtl/>
        </w:rPr>
        <w:footnoteRef/>
      </w:r>
      <w:r>
        <w:rPr>
          <w:rtl/>
        </w:rPr>
        <w:t>דלא הוה דרך אישות, והוה כבעולת אחרים.</w:t>
      </w:r>
    </w:p>
  </w:footnote>
  <w:footnote w:id="3635">
    <w:p w14:paraId="1DD0DD24" w14:textId="77777777" w:rsidR="006074A5" w:rsidRDefault="006074A5" w:rsidP="006074A5">
      <w:pPr>
        <w:pStyle w:val="Footnote"/>
        <w:bidi/>
      </w:pPr>
      <w:r>
        <w:rPr>
          <w:rStyle w:val="ac"/>
          <w:rtl/>
        </w:rPr>
        <w:footnoteRef/>
      </w:r>
      <w:r>
        <w:rPr>
          <w:rtl/>
        </w:rPr>
        <w:t>[וע"כ דהוה איסור לאו הבא בכלל עשה, ואיסור בעולה הוה על כל ביאה].</w:t>
      </w:r>
    </w:p>
  </w:footnote>
  <w:footnote w:id="3636">
    <w:p w14:paraId="70C05E67" w14:textId="77777777" w:rsidR="006074A5" w:rsidRDefault="006074A5" w:rsidP="006074A5">
      <w:pPr>
        <w:pStyle w:val="Footnote"/>
        <w:bidi/>
      </w:pPr>
      <w:r>
        <w:rPr>
          <w:rStyle w:val="ac"/>
          <w:rtl/>
        </w:rPr>
        <w:footnoteRef/>
      </w:r>
      <w:r>
        <w:rPr>
          <w:rtl/>
        </w:rPr>
        <w:t>[ואף דהוה איסור דאורייתא בכל ביאה, אפ"ה יש סברא שאינו עושה חללות. וצ"ב].</w:t>
      </w:r>
    </w:p>
  </w:footnote>
  <w:footnote w:id="3637">
    <w:p w14:paraId="1EF29BB1" w14:textId="77777777" w:rsidR="006074A5" w:rsidRDefault="006074A5" w:rsidP="006074A5">
      <w:pPr>
        <w:pStyle w:val="Footnote"/>
        <w:bidi/>
      </w:pPr>
      <w:r>
        <w:rPr>
          <w:rStyle w:val="ac"/>
          <w:rtl/>
        </w:rPr>
        <w:footnoteRef/>
      </w:r>
      <w:r>
        <w:rPr>
          <w:rtl/>
        </w:rPr>
        <w:t>ואילו בשאר איסורי כהונה פסק (שם ג) דבביאה בלא קידושין מחללה. [ואף דאינו לוקה אלא קידש ובעל, וכדאי' קידושין עח., אפ"ה מחללה].</w:t>
      </w:r>
    </w:p>
  </w:footnote>
  <w:footnote w:id="3638">
    <w:p w14:paraId="5C4B9BF5" w14:textId="77777777" w:rsidR="006074A5" w:rsidRDefault="006074A5" w:rsidP="006074A5">
      <w:pPr>
        <w:pStyle w:val="Footnote"/>
        <w:bidi/>
      </w:pPr>
      <w:r>
        <w:rPr>
          <w:rStyle w:val="ac"/>
          <w:rtl/>
        </w:rPr>
        <w:footnoteRef/>
      </w:r>
      <w:r>
        <w:rPr>
          <w:rtl/>
        </w:rPr>
        <w:t>ואף דדעת הרמב"ם דהוה איסור דאורייתא ד'לא יהא קדש', אך אינו איסור כהונה.</w:t>
      </w:r>
    </w:p>
  </w:footnote>
  <w:footnote w:id="3639">
    <w:p w14:paraId="5BAAEADB" w14:textId="77777777" w:rsidR="006074A5" w:rsidRDefault="006074A5" w:rsidP="006074A5">
      <w:pPr>
        <w:pStyle w:val="Footnote"/>
        <w:bidi/>
      </w:pPr>
      <w:r>
        <w:rPr>
          <w:rStyle w:val="ac"/>
          <w:rtl/>
        </w:rPr>
        <w:footnoteRef/>
      </w:r>
      <w:r>
        <w:rPr>
          <w:rtl/>
        </w:rPr>
        <w:t>[ועפ"ז דן בדברי ה</w:t>
      </w:r>
      <w:r>
        <w:rPr>
          <w:b/>
          <w:bCs/>
          <w:rtl/>
        </w:rPr>
        <w:t>ראשונים</w:t>
      </w:r>
      <w:r>
        <w:rPr>
          <w:rtl/>
        </w:rPr>
        <w:t xml:space="preserve"> (בסוגיא קידושין י.) בכה"ג שקידש בביאה]. וציין לספק הגמ' (נט.) בתר קידושין או נישואין. ושוב כתב דהרמב"ם נקט לשון נישואין לקידושין בכ"מ, וכן מבואר במגיד משנה. והמשנ"ל הביא מקור לדברי הרמב"ם מהגמ' (סא:) עי"ש.</w:t>
      </w:r>
    </w:p>
  </w:footnote>
  <w:footnote w:id="3640">
    <w:p w14:paraId="4700C021" w14:textId="77777777" w:rsidR="006074A5" w:rsidRDefault="006074A5" w:rsidP="006074A5">
      <w:pPr>
        <w:pStyle w:val="Footnote"/>
        <w:bidi/>
      </w:pPr>
      <w:r>
        <w:rPr>
          <w:rStyle w:val="ac"/>
          <w:rtl/>
        </w:rPr>
        <w:footnoteRef/>
      </w:r>
      <w:r>
        <w:rPr>
          <w:rtl/>
        </w:rPr>
        <w:t>ה</w:t>
      </w:r>
      <w:r>
        <w:rPr>
          <w:b/>
          <w:bCs/>
          <w:rtl/>
        </w:rPr>
        <w:t>מהר"ם</w:t>
      </w:r>
      <w:r>
        <w:rPr>
          <w:rtl/>
        </w:rPr>
        <w:t xml:space="preserve"> דן דנימא אה"נ, וכוונת הגמ' אהנך דבקרא הוה עשה בעלמא. וה</w:t>
      </w:r>
      <w:r>
        <w:rPr>
          <w:b/>
          <w:bCs/>
          <w:rtl/>
        </w:rPr>
        <w:t>אחרונים</w:t>
      </w:r>
      <w:r>
        <w:rPr>
          <w:rtl/>
        </w:rPr>
        <w:t xml:space="preserve"> (חזו"א) כת' דעיקר קו' התוס' בעלמא דבכ"מ מבואר דהוה חייבי עשה.</w:t>
      </w:r>
    </w:p>
  </w:footnote>
  <w:footnote w:id="3641">
    <w:p w14:paraId="02D79366" w14:textId="77777777" w:rsidR="006074A5" w:rsidRDefault="006074A5" w:rsidP="006074A5">
      <w:pPr>
        <w:pStyle w:val="Footnote"/>
        <w:bidi/>
      </w:pPr>
      <w:r>
        <w:rPr>
          <w:rStyle w:val="ac"/>
          <w:rtl/>
        </w:rPr>
        <w:footnoteRef/>
      </w:r>
      <w:r>
        <w:rPr>
          <w:rtl/>
        </w:rPr>
        <w:t>ולכאורה ה"ה על האשה, דחילול האשה תליא בחילול הולד [דילפי' בכה"ג ב' חילולין הוא עושה], ומ"מ עיקר סוגיין קאי על הולד.</w:t>
      </w:r>
    </w:p>
  </w:footnote>
  <w:footnote w:id="3642">
    <w:p w14:paraId="233E68A1" w14:textId="77777777" w:rsidR="006074A5" w:rsidRDefault="006074A5" w:rsidP="006074A5">
      <w:pPr>
        <w:pStyle w:val="Footnote"/>
        <w:bidi/>
      </w:pPr>
      <w:r>
        <w:rPr>
          <w:rStyle w:val="ac"/>
          <w:rtl/>
        </w:rPr>
        <w:footnoteRef/>
      </w:r>
      <w:r>
        <w:rPr>
          <w:rtl/>
        </w:rPr>
        <w:t>וה</w:t>
      </w:r>
      <w:r>
        <w:rPr>
          <w:b/>
          <w:bCs/>
          <w:rtl/>
        </w:rPr>
        <w:t>חזו"א</w:t>
      </w:r>
      <w:r>
        <w:rPr>
          <w:rtl/>
        </w:rPr>
        <w:t xml:space="preserve"> (יד ח) ביאר דכוונת התוס' דידן להקשות מהא דבעלמא (לקמן עז: וכתובות ל.) קרינן ליה חייבי עשה.</w:t>
      </w:r>
    </w:p>
  </w:footnote>
  <w:footnote w:id="3643">
    <w:p w14:paraId="2C40A14A" w14:textId="77777777" w:rsidR="006074A5" w:rsidRDefault="006074A5" w:rsidP="006074A5">
      <w:pPr>
        <w:pStyle w:val="Footnote"/>
        <w:bidi/>
      </w:pPr>
      <w:r>
        <w:rPr>
          <w:rStyle w:val="ac"/>
          <w:rtl/>
        </w:rPr>
        <w:footnoteRef/>
      </w:r>
      <w:r>
        <w:rPr>
          <w:rtl/>
        </w:rPr>
        <w:t>ודוקא לר' יהודה איצטריך, דס"ד דילפי' צד השווה מאיסור קהל ופסול כהונה. [כ"נ כוונתו, וקצת חסר בדברי התו"י].</w:t>
      </w:r>
    </w:p>
  </w:footnote>
  <w:footnote w:id="3644">
    <w:p w14:paraId="46785239" w14:textId="77777777" w:rsidR="006074A5" w:rsidRDefault="006074A5" w:rsidP="006074A5">
      <w:pPr>
        <w:pStyle w:val="Footnote"/>
        <w:bidi/>
      </w:pPr>
      <w:r>
        <w:rPr>
          <w:rStyle w:val="ac"/>
          <w:rtl/>
        </w:rPr>
        <w:footnoteRef/>
      </w:r>
      <w:r>
        <w:rPr>
          <w:rtl/>
        </w:rPr>
        <w:t>לכאו' משמע דהך ס"ד הוה דוקא כהן שבא על נדה. אבל זר שבא על נדה הולד לא יפסל לכהונה [מהך ק"ו]. אך לדברי הרמב"ן שייך לסוגיא (לעיל מד:) דילפי' פגום מק"ו, ואף במי שאינו כהן. [ולדברי הרמב"ן שם אף כל דורותיו יהיו פגומים, וצ"ע להך צד אף בנדה כן].</w:t>
      </w:r>
    </w:p>
  </w:footnote>
  <w:footnote w:id="3645">
    <w:p w14:paraId="10F73358" w14:textId="77777777" w:rsidR="006074A5" w:rsidRDefault="006074A5" w:rsidP="006074A5">
      <w:pPr>
        <w:pStyle w:val="Footnote"/>
        <w:bidi/>
      </w:pPr>
      <w:r>
        <w:rPr>
          <w:rStyle w:val="ac"/>
          <w:rtl/>
        </w:rPr>
        <w:footnoteRef/>
      </w:r>
      <w:r>
        <w:rPr>
          <w:rtl/>
        </w:rPr>
        <w:t>אך ב</w:t>
      </w:r>
      <w:r>
        <w:rPr>
          <w:b/>
          <w:bCs/>
          <w:rtl/>
        </w:rPr>
        <w:t>מס' כלה</w:t>
      </w:r>
      <w:r>
        <w:rPr>
          <w:rtl/>
        </w:rPr>
        <w:t xml:space="preserve"> (א) אי' דבני נדה הוה כממזרים אלא שאינם ממזרים. וכ"פ ה</w:t>
      </w:r>
      <w:r>
        <w:rPr>
          <w:b/>
          <w:bCs/>
          <w:rtl/>
        </w:rPr>
        <w:t>רמב"ם</w:t>
      </w:r>
      <w:r>
        <w:rPr>
          <w:rtl/>
        </w:rPr>
        <w:t xml:space="preserve"> (איסו"ב טו א) דהוה פגום. וה</w:t>
      </w:r>
      <w:r>
        <w:rPr>
          <w:b/>
          <w:bCs/>
          <w:rtl/>
        </w:rPr>
        <w:t>דרכ"מ</w:t>
      </w:r>
      <w:r>
        <w:rPr>
          <w:rtl/>
        </w:rPr>
        <w:t xml:space="preserve"> (ד ב) כת' דמ"מ אינו אסור לכהונה, אלא דראוי לרחקו.</w:t>
      </w:r>
    </w:p>
  </w:footnote>
  <w:footnote w:id="3646">
    <w:p w14:paraId="76797A40" w14:textId="77777777" w:rsidR="006074A5" w:rsidRDefault="006074A5" w:rsidP="006074A5">
      <w:pPr>
        <w:pStyle w:val="Footnote"/>
        <w:bidi/>
      </w:pPr>
      <w:r>
        <w:rPr>
          <w:rStyle w:val="ac"/>
          <w:rtl/>
        </w:rPr>
        <w:footnoteRef/>
      </w:r>
      <w:r>
        <w:rPr>
          <w:rtl/>
        </w:rPr>
        <w:t xml:space="preserve">ויל"פ ע"פ מש"כ </w:t>
      </w:r>
      <w:r>
        <w:rPr>
          <w:b/>
          <w:bCs/>
          <w:rtl/>
        </w:rPr>
        <w:t>תוס</w:t>
      </w:r>
      <w:r>
        <w:rPr>
          <w:rtl/>
        </w:rPr>
        <w:t>' (לעיל טו: ד"ה מה) דבחילול האשה אמרי' דאין חלל אלא מאיסורי כהונה. [שהיתה כשירה ונתחללה. אבל בחילול הולד שפיר ילפי' ק"ו לפסול אף היכא דלא הוה פסול כהונה. ולא שייך הך כללא. ודלא כראשונים (הו' בסמוך)].</w:t>
      </w:r>
    </w:p>
  </w:footnote>
  <w:footnote w:id="3647">
    <w:p w14:paraId="2D53EDCD" w14:textId="77777777" w:rsidR="006074A5" w:rsidRDefault="006074A5" w:rsidP="006074A5">
      <w:pPr>
        <w:pStyle w:val="Footnote"/>
        <w:bidi/>
      </w:pPr>
      <w:r>
        <w:rPr>
          <w:rStyle w:val="ac"/>
          <w:rtl/>
        </w:rPr>
        <w:footnoteRef/>
      </w:r>
      <w:r>
        <w:rPr>
          <w:rtl/>
        </w:rPr>
        <w:t>והגמ' בקידושין קאי כרבנן, וכ"כ הרשב"א. [ולפ"ז ראב"י ל"ל הך כללא, או שלמד מנדה לכל מקום דאין חללה אלא מאיסור כהונה].</w:t>
      </w:r>
    </w:p>
  </w:footnote>
  <w:footnote w:id="3648">
    <w:p w14:paraId="07D69164" w14:textId="77777777" w:rsidR="006074A5" w:rsidRDefault="006074A5" w:rsidP="006074A5">
      <w:pPr>
        <w:pStyle w:val="Footnote"/>
        <w:bidi/>
      </w:pPr>
      <w:r>
        <w:rPr>
          <w:rStyle w:val="ac"/>
          <w:rtl/>
        </w:rPr>
        <w:footnoteRef/>
      </w:r>
      <w:r>
        <w:rPr>
          <w:rtl/>
        </w:rPr>
        <w:t>וה</w:t>
      </w:r>
      <w:r>
        <w:rPr>
          <w:b/>
          <w:bCs/>
          <w:rtl/>
        </w:rPr>
        <w:t>בי"ש</w:t>
      </w:r>
      <w:r>
        <w:rPr>
          <w:rtl/>
        </w:rPr>
        <w:t xml:space="preserve"> כת' דאף לדעת הראשונים דבשאר פוסלים בביאתו [איש זר] אינו לוקה, מ"מ הולד יהא חלל.</w:t>
      </w:r>
    </w:p>
  </w:footnote>
  <w:footnote w:id="3649">
    <w:p w14:paraId="4D945A7B" w14:textId="77777777" w:rsidR="006074A5" w:rsidRDefault="006074A5" w:rsidP="006074A5">
      <w:pPr>
        <w:pStyle w:val="Footnote"/>
        <w:bidi/>
      </w:pPr>
      <w:r>
        <w:rPr>
          <w:rStyle w:val="ac"/>
          <w:rtl/>
        </w:rPr>
        <w:footnoteRef/>
      </w:r>
      <w:r>
        <w:rPr>
          <w:rtl/>
        </w:rPr>
        <w:t>ואף דהוה מיעוט בפרשה איסורי כהונה, גדר הדרשא דלא נעשית סיבה שתעשה עי"ז זונה.</w:t>
      </w:r>
    </w:p>
  </w:footnote>
  <w:footnote w:id="3650">
    <w:p w14:paraId="4F600084" w14:textId="77777777" w:rsidR="006074A5" w:rsidRDefault="006074A5" w:rsidP="006074A5">
      <w:pPr>
        <w:pStyle w:val="Footnote"/>
        <w:bidi/>
      </w:pPr>
      <w:r>
        <w:rPr>
          <w:rStyle w:val="ac"/>
          <w:rtl/>
        </w:rPr>
        <w:footnoteRef/>
      </w:r>
      <w:r>
        <w:rPr>
          <w:rtl/>
        </w:rPr>
        <w:t>אע"ג דבעת נידתה אסורה, מ"מ יש לה צד היתר. ועומדת ליטהר. [וכמ"ש הראשונים ע' בתוס' ב., ואפשר דילפי' מקרא דהכא דהוה גדר איסור שונה, ולא דעצם האיסור אסורה].</w:t>
      </w:r>
    </w:p>
  </w:footnote>
  <w:footnote w:id="3651">
    <w:p w14:paraId="3100AE02" w14:textId="77777777" w:rsidR="006074A5" w:rsidRDefault="006074A5" w:rsidP="006074A5">
      <w:pPr>
        <w:pStyle w:val="Footnote"/>
        <w:bidi/>
      </w:pPr>
      <w:r>
        <w:rPr>
          <w:rStyle w:val="ac"/>
          <w:rtl/>
        </w:rPr>
        <w:footnoteRef/>
      </w:r>
      <w:r>
        <w:rPr>
          <w:rtl/>
        </w:rPr>
        <w:t>[וע' לעיל נז: דיש ראשונים דנשואה נחשבת כבעולה בעצם, ויל"ע האם גם לענין סוגיין].</w:t>
      </w:r>
    </w:p>
  </w:footnote>
  <w:footnote w:id="3652">
    <w:p w14:paraId="02204558" w14:textId="77777777" w:rsidR="006074A5" w:rsidRDefault="006074A5" w:rsidP="006074A5">
      <w:pPr>
        <w:pStyle w:val="Footnote"/>
        <w:bidi/>
      </w:pPr>
      <w:r>
        <w:rPr>
          <w:rStyle w:val="ac"/>
          <w:rtl/>
        </w:rPr>
        <w:footnoteRef/>
      </w:r>
      <w:r>
        <w:rPr>
          <w:rtl/>
        </w:rPr>
        <w:t>אבל מסברא מוכת עץ הוה רק העדר בתולים. ולכאורה תליא בדברי ה</w:t>
      </w:r>
      <w:r>
        <w:rPr>
          <w:b/>
          <w:bCs/>
          <w:rtl/>
        </w:rPr>
        <w:t>ראשונים</w:t>
      </w:r>
      <w:r>
        <w:rPr>
          <w:rtl/>
        </w:rPr>
        <w:t xml:space="preserve"> (ע' רש"י ותוס' ותוס' רי"ד כתובות יא:) גבי מוכת עץ בבשר. [ע' מש"כ לעיל נט:].</w:t>
      </w:r>
    </w:p>
  </w:footnote>
  <w:footnote w:id="3653">
    <w:p w14:paraId="2B10E071" w14:textId="77777777" w:rsidR="006074A5" w:rsidRDefault="006074A5" w:rsidP="006074A5">
      <w:pPr>
        <w:pStyle w:val="Footnote"/>
        <w:bidi/>
      </w:pPr>
      <w:r>
        <w:rPr>
          <w:rStyle w:val="ac"/>
          <w:rtl/>
        </w:rPr>
        <w:footnoteRef/>
      </w:r>
      <w:r>
        <w:rPr>
          <w:rtl/>
        </w:rPr>
        <w:t>משא"כ שלא כדרכה, אף דנבעלה לאיש, ונעשה בה מעשה זנות, לא נפחת עי"ז הקורבה.</w:t>
      </w:r>
    </w:p>
  </w:footnote>
  <w:footnote w:id="3654">
    <w:p w14:paraId="417F0D9E" w14:textId="77777777" w:rsidR="006074A5" w:rsidRDefault="006074A5" w:rsidP="006074A5">
      <w:pPr>
        <w:pStyle w:val="Footnote"/>
        <w:bidi/>
      </w:pPr>
      <w:r>
        <w:rPr>
          <w:rStyle w:val="ac"/>
          <w:rtl/>
        </w:rPr>
        <w:footnoteRef/>
      </w:r>
      <w:r>
        <w:rPr>
          <w:rtl/>
        </w:rPr>
        <w:t>ופ</w:t>
      </w:r>
      <w:r>
        <w:rPr>
          <w:b/>
          <w:bCs/>
          <w:rtl/>
        </w:rPr>
        <w:t>רש"י</w:t>
      </w:r>
      <w:r>
        <w:rPr>
          <w:rtl/>
        </w:rPr>
        <w:t xml:space="preserve"> דבעי' הורתה ולידתה בקדושה. וכ"כ ה</w:t>
      </w:r>
      <w:r>
        <w:rPr>
          <w:b/>
          <w:bCs/>
          <w:rtl/>
        </w:rPr>
        <w:t>רמב"ם</w:t>
      </w:r>
      <w:r>
        <w:rPr>
          <w:rtl/>
        </w:rPr>
        <w:t xml:space="preserve"> (איסו"ב יט יב). וה</w:t>
      </w:r>
      <w:r>
        <w:rPr>
          <w:b/>
          <w:bCs/>
          <w:rtl/>
        </w:rPr>
        <w:t>חלק"מ</w:t>
      </w:r>
      <w:r>
        <w:rPr>
          <w:rtl/>
        </w:rPr>
        <w:t xml:space="preserve"> (ז כט) דייק דלא סגי שנולדה בקדושה, דבתר הריון אזלינן, ובעינן שיהא בקדושה. [אך ציין דהב"י (שם) לא דייק כן]. [ויל"ד אי תלי במח' דעובר ירך אמו, וכדאי' לק' עח. דלמ"ד לאו ירך אמו דנחשב גירות נפרד על העובר].</w:t>
      </w:r>
    </w:p>
  </w:footnote>
  <w:footnote w:id="3655">
    <w:p w14:paraId="423A4A94" w14:textId="77777777" w:rsidR="006074A5" w:rsidRDefault="006074A5" w:rsidP="006074A5">
      <w:pPr>
        <w:pStyle w:val="Footnote"/>
        <w:bidi/>
      </w:pPr>
      <w:r>
        <w:rPr>
          <w:rStyle w:val="ac"/>
          <w:rtl/>
        </w:rPr>
        <w:footnoteRef/>
      </w:r>
      <w:r>
        <w:rPr>
          <w:rtl/>
        </w:rPr>
        <w:t>ורישא דקרא אלמנה וגרושה לא יקחו להם לנשים, ובגמ' (שם עח:) אי' דרישא בכהן גדול [דאסור באלמנה] וסיפא בכהן הדיוט. ע' תוס' (שם).</w:t>
      </w:r>
    </w:p>
  </w:footnote>
  <w:footnote w:id="3656">
    <w:p w14:paraId="514BE3FC" w14:textId="77777777" w:rsidR="006074A5" w:rsidRDefault="006074A5" w:rsidP="006074A5">
      <w:pPr>
        <w:pStyle w:val="Footnote"/>
        <w:bidi/>
      </w:pPr>
      <w:r>
        <w:rPr>
          <w:rStyle w:val="ac"/>
          <w:rtl/>
        </w:rPr>
        <w:footnoteRef/>
      </w:r>
      <w:r>
        <w:rPr>
          <w:rtl/>
        </w:rPr>
        <w:t>פ</w:t>
      </w:r>
      <w:r>
        <w:rPr>
          <w:b/>
          <w:bCs/>
          <w:rtl/>
        </w:rPr>
        <w:t>רש"י</w:t>
      </w:r>
      <w:r>
        <w:rPr>
          <w:rtl/>
        </w:rPr>
        <w:t xml:space="preserve"> עיקר הזרע, דהיינו מן האב. [דישראל שנשא גיורת הבת כשירה לכהונה, דמתייחסת אחר אביה].</w:t>
      </w:r>
    </w:p>
  </w:footnote>
  <w:footnote w:id="3657">
    <w:p w14:paraId="67761AAE" w14:textId="77777777" w:rsidR="006074A5" w:rsidRDefault="006074A5" w:rsidP="006074A5">
      <w:pPr>
        <w:pStyle w:val="Footnote"/>
        <w:bidi/>
      </w:pPr>
      <w:r>
        <w:rPr>
          <w:rStyle w:val="ac"/>
          <w:rtl/>
        </w:rPr>
        <w:footnoteRef/>
      </w:r>
      <w:r>
        <w:rPr>
          <w:rtl/>
        </w:rPr>
        <w:t>פ</w:t>
      </w:r>
      <w:r>
        <w:rPr>
          <w:b/>
          <w:bCs/>
          <w:rtl/>
        </w:rPr>
        <w:t>רש"י</w:t>
      </w:r>
      <w:r>
        <w:rPr>
          <w:rtl/>
        </w:rPr>
        <w:t xml:space="preserve"> אפי' זרע כחוש, כגון מהאם. גר שנשא ישראלית. (וע' מש"כ בזה לעיל נז.).</w:t>
      </w:r>
    </w:p>
  </w:footnote>
  <w:footnote w:id="3658">
    <w:p w14:paraId="38EA60C6" w14:textId="77777777" w:rsidR="006074A5" w:rsidRDefault="006074A5" w:rsidP="006074A5">
      <w:pPr>
        <w:pStyle w:val="Footnote"/>
        <w:bidi/>
      </w:pPr>
      <w:r>
        <w:rPr>
          <w:rStyle w:val="ac"/>
          <w:rtl/>
        </w:rPr>
        <w:footnoteRef/>
      </w:r>
      <w:r>
        <w:rPr>
          <w:rtl/>
        </w:rPr>
        <w:t>פ</w:t>
      </w:r>
      <w:r>
        <w:rPr>
          <w:b/>
          <w:bCs/>
          <w:rtl/>
        </w:rPr>
        <w:t>רש"י</w:t>
      </w:r>
      <w:r>
        <w:rPr>
          <w:rtl/>
        </w:rPr>
        <w:t xml:space="preserve"> 'בתוליה שלה' יהו מזרע גידולי יהודי. שצמחו וגמרו בתוליה משבאה לכלל ישראל, דהיינו משנעשית בת ג' גמרו בתוליה לביאה. שמכאן ולהבא אם תבעל אין בתוליה חוזרין.</w:t>
      </w:r>
    </w:p>
  </w:footnote>
  <w:footnote w:id="3659">
    <w:p w14:paraId="128F646C" w14:textId="77777777" w:rsidR="006074A5" w:rsidRDefault="006074A5" w:rsidP="006074A5">
      <w:pPr>
        <w:pStyle w:val="Footnote"/>
        <w:bidi/>
      </w:pPr>
      <w:r>
        <w:rPr>
          <w:rStyle w:val="ac"/>
          <w:rtl/>
        </w:rPr>
        <w:footnoteRef/>
      </w:r>
      <w:r>
        <w:rPr>
          <w:rtl/>
        </w:rPr>
        <w:t>ומבואר בסוגיין דר"ש צריך קרא להכשיר, ולולי קרא ד'החיו לכם' לפנחס ס"ד לאסור. וצ"ב מנ"ל דהוה סברא פשוטה לפסול.</w:t>
      </w:r>
    </w:p>
  </w:footnote>
  <w:footnote w:id="3660">
    <w:p w14:paraId="220C4A91" w14:textId="77777777" w:rsidR="006074A5" w:rsidRDefault="006074A5" w:rsidP="006074A5">
      <w:pPr>
        <w:pStyle w:val="Footnote"/>
        <w:bidi/>
      </w:pPr>
      <w:r>
        <w:rPr>
          <w:rStyle w:val="ac"/>
          <w:rtl/>
        </w:rPr>
        <w:footnoteRef/>
      </w:r>
      <w:r>
        <w:rPr>
          <w:rtl/>
        </w:rPr>
        <w:t>לכאו' מבואר דאף לר' יהודה וראב"י גדר האיסור בבת גרים משום זונה. וצ"ל דהטעם משום דיש לו יחוס עכו"ם. [אך יש לדחות דלר' יהודה טעם הפסול דילפי' בצד השווה ד'פגום' פוסל, וכוונת התוס' דיש גילוי דהוה איסור דאורייתא. ודוקא לרבנן שנולדה בנכריות הוה שם זונה].</w:t>
      </w:r>
    </w:p>
  </w:footnote>
  <w:footnote w:id="3661">
    <w:p w14:paraId="4C957384" w14:textId="77777777" w:rsidR="006074A5" w:rsidRDefault="006074A5" w:rsidP="006074A5">
      <w:pPr>
        <w:pStyle w:val="Footnote"/>
        <w:bidi/>
      </w:pPr>
      <w:r>
        <w:rPr>
          <w:rStyle w:val="ac"/>
          <w:rtl/>
        </w:rPr>
        <w:footnoteRef/>
      </w:r>
      <w:r>
        <w:rPr>
          <w:rtl/>
        </w:rPr>
        <w:t>וכ"כ ה</w:t>
      </w:r>
      <w:r>
        <w:rPr>
          <w:b/>
          <w:bCs/>
          <w:rtl/>
        </w:rPr>
        <w:t>רשב"א</w:t>
      </w:r>
      <w:r>
        <w:rPr>
          <w:rtl/>
        </w:rPr>
        <w:t xml:space="preserve"> ו</w:t>
      </w:r>
      <w:r>
        <w:rPr>
          <w:b/>
          <w:bCs/>
          <w:rtl/>
        </w:rPr>
        <w:t>ריטב"א</w:t>
      </w:r>
      <w:r>
        <w:rPr>
          <w:rtl/>
        </w:rPr>
        <w:t xml:space="preserve"> ע"ד דעת הראב"ד דאסורה משם אחר [מדאורייתא], ובא יחזקאל והעמידו על הפסוק. [אך לכאו' אינו לוקה, כיון דליכא אזהרה בתורה]. אבל המנח"ח כת' דכוונת הראב"ד דהוה איסור מדברי קבלה.</w:t>
      </w:r>
    </w:p>
  </w:footnote>
  <w:footnote w:id="3662">
    <w:p w14:paraId="1C7D7CCD" w14:textId="77777777" w:rsidR="006074A5" w:rsidRDefault="006074A5" w:rsidP="006074A5">
      <w:pPr>
        <w:pStyle w:val="Footnote"/>
        <w:bidi/>
      </w:pPr>
      <w:r>
        <w:rPr>
          <w:rStyle w:val="ac"/>
          <w:rtl/>
        </w:rPr>
        <w:footnoteRef/>
      </w:r>
      <w:r>
        <w:rPr>
          <w:rtl/>
        </w:rPr>
        <w:t>אך יש לדחות דכוונת רש"י דפחותה מבת ג' כשירה, לאפוקי טפי מבת ג' דמחזקינן לה כזונה. [אך פחות מבת ג' ליכא צד לפסול משום זונה].</w:t>
      </w:r>
    </w:p>
  </w:footnote>
  <w:footnote w:id="3663">
    <w:p w14:paraId="152982E4" w14:textId="77777777" w:rsidR="006074A5" w:rsidRDefault="006074A5" w:rsidP="006074A5">
      <w:pPr>
        <w:pStyle w:val="Footnote"/>
        <w:bidi/>
      </w:pPr>
      <w:r>
        <w:rPr>
          <w:rStyle w:val="ac"/>
          <w:rtl/>
        </w:rPr>
        <w:footnoteRef/>
      </w:r>
      <w:r>
        <w:rPr>
          <w:rtl/>
        </w:rPr>
        <w:t>אבל דעת השואל ב</w:t>
      </w:r>
      <w:r>
        <w:rPr>
          <w:b/>
          <w:bCs/>
          <w:rtl/>
        </w:rPr>
        <w:t>שו"ת הרשב"א</w:t>
      </w:r>
      <w:r>
        <w:rPr>
          <w:rtl/>
        </w:rPr>
        <w:t xml:space="preserve"> (א אלף רלא) דביאה פחות מבת ג' פוסל להחשב בעולה לכה"ג. [והרשב"א האריך לדחות דבריו].</w:t>
      </w:r>
    </w:p>
  </w:footnote>
  <w:footnote w:id="3664">
    <w:p w14:paraId="748F2411" w14:textId="77777777" w:rsidR="006074A5" w:rsidRDefault="006074A5" w:rsidP="006074A5">
      <w:pPr>
        <w:pStyle w:val="Footnote"/>
        <w:bidi/>
      </w:pPr>
      <w:r>
        <w:rPr>
          <w:rStyle w:val="ac"/>
          <w:rtl/>
        </w:rPr>
        <w:footnoteRef/>
      </w:r>
      <w:r>
        <w:rPr>
          <w:rtl/>
        </w:rPr>
        <w:t>וב</w:t>
      </w:r>
      <w:r>
        <w:rPr>
          <w:b/>
          <w:bCs/>
          <w:rtl/>
        </w:rPr>
        <w:t xml:space="preserve">שו"ת הרשב"א </w:t>
      </w:r>
      <w:r>
        <w:rPr>
          <w:rtl/>
        </w:rPr>
        <w:t>(ג שעב) הוסיף דא"א דלא יהא שעה א' בהיתר ונעמידנו על חזקה, דחזקה דאורי' ורובא דאורייתא. ועוד במדין כתיב אשר לא ידעו משכב. ורובן של תינוקות פחות מג' אינן נבעלות, אפי' בעכו"ם.</w:t>
      </w:r>
    </w:p>
  </w:footnote>
  <w:footnote w:id="3665">
    <w:p w14:paraId="326785B4" w14:textId="77777777" w:rsidR="006074A5" w:rsidRDefault="006074A5" w:rsidP="006074A5">
      <w:pPr>
        <w:pStyle w:val="Footnote"/>
        <w:bidi/>
      </w:pPr>
      <w:r>
        <w:rPr>
          <w:rStyle w:val="ac"/>
          <w:rtl/>
        </w:rPr>
        <w:footnoteRef/>
      </w:r>
      <w:r>
        <w:rPr>
          <w:rtl/>
        </w:rPr>
        <w:t xml:space="preserve">אך </w:t>
      </w:r>
      <w:r>
        <w:rPr>
          <w:b/>
          <w:bCs/>
          <w:rtl/>
        </w:rPr>
        <w:t>תוס</w:t>
      </w:r>
      <w:r>
        <w:rPr>
          <w:rtl/>
        </w:rPr>
        <w:t>' (שם) פי' דברי הגמ' 'ההוא בברכה הוא דכתיב', שהקב"ה ברכו שיהיה כהן, ומיד היה יכול להיות כהן. אלא שתחילה צריך להלבישו ולמושחו ולחנכו. ושמא לא נתרצו לו כל ישראל באותה שעה מפני שהרג נשיא שבט עד ששם שלום בין השבטים בימי יהושע. ואז נתרצו לו ומשחוהו. וה</w:t>
      </w:r>
      <w:r>
        <w:rPr>
          <w:b/>
          <w:bCs/>
          <w:rtl/>
        </w:rPr>
        <w:t>אחרונים</w:t>
      </w:r>
      <w:r>
        <w:rPr>
          <w:rtl/>
        </w:rPr>
        <w:t xml:space="preserve"> דנו האם במינוי של הקב"ה כבר חל בו שאר דיני כהונה [ונאסר בגיורת], מלבד עבודת קרבנות.</w:t>
      </w:r>
    </w:p>
  </w:footnote>
  <w:footnote w:id="3666">
    <w:p w14:paraId="48812906" w14:textId="77777777" w:rsidR="006074A5" w:rsidRDefault="006074A5" w:rsidP="006074A5">
      <w:pPr>
        <w:pStyle w:val="Footnote"/>
        <w:bidi/>
      </w:pPr>
      <w:r>
        <w:rPr>
          <w:rStyle w:val="ac"/>
          <w:rtl/>
        </w:rPr>
        <w:footnoteRef/>
      </w:r>
      <w:r>
        <w:rPr>
          <w:rtl/>
        </w:rPr>
        <w:t>ועוד יש שדנו דמבואר בגמ' (זבחים שם) שנבחר לכהונה קודם, אלא דלא היה כשר לעבודה עד שעשה שלום. וי"ל דכיון דהתחיל המינוי, א"כ בגמר המינוי תאסר עליו. [ויל"ד אי אמרי' בזה נשאה בהיתר. אך י"ל דכיון דהתחיל המינוי כבר גרע].</w:t>
      </w:r>
    </w:p>
  </w:footnote>
  <w:footnote w:id="3667">
    <w:p w14:paraId="1E0FB4D5" w14:textId="77777777" w:rsidR="006074A5" w:rsidRDefault="006074A5" w:rsidP="006074A5">
      <w:pPr>
        <w:pStyle w:val="Footnote"/>
        <w:bidi/>
      </w:pPr>
      <w:r>
        <w:rPr>
          <w:rStyle w:val="ac"/>
          <w:rtl/>
        </w:rPr>
        <w:footnoteRef/>
      </w:r>
      <w:r>
        <w:rPr>
          <w:rtl/>
        </w:rPr>
        <w:t>ועד"ז הק' ה</w:t>
      </w:r>
      <w:r>
        <w:rPr>
          <w:b/>
          <w:bCs/>
          <w:rtl/>
        </w:rPr>
        <w:t>משנ"ל</w:t>
      </w:r>
      <w:r>
        <w:rPr>
          <w:rtl/>
        </w:rPr>
        <w:t xml:space="preserve"> (יז טו ד"ה וא"ת) למ"ד דכה"ג אסור בקטנה, האיך אמרו החיו לכם בקטנות. והא פנחס היה משוח מלחמה. ותי' דלמ"ד דעדיין לא נתכהן פנחס לא היה כהן, וע"כ דלא היה משוח מלחמה. [והלך למלחמה מטעם אחר].</w:t>
      </w:r>
    </w:p>
    <w:p w14:paraId="5B990733" w14:textId="77777777" w:rsidR="006074A5" w:rsidRDefault="006074A5" w:rsidP="006074A5">
      <w:pPr>
        <w:pStyle w:val="Footnote"/>
        <w:bidi/>
      </w:pPr>
      <w:r>
        <w:rPr>
          <w:rtl/>
        </w:rPr>
        <w:tab/>
        <w:t>ועוד תי' דה"ק החיו לכם כשתהיה גדולה [וראויה לקדש עצמה]. דאל"כ האיך קטנה גיורת תנשא, דקידושי קטנה הוה תקנ"ח. ועוד דגר קטן הוה תקנ"ח (ע' כתובות יא.). [אך י"ל שלקחום לעבדים, ואח"כ שחרר (למ"ד לעיל מז: דל"צ דעת). וכה"ג משכח"ל גיורת קטנה מדאורייתא].</w:t>
      </w:r>
    </w:p>
  </w:footnote>
  <w:footnote w:id="3668">
    <w:p w14:paraId="18B615BB" w14:textId="77777777" w:rsidR="006074A5" w:rsidRDefault="006074A5" w:rsidP="006074A5">
      <w:pPr>
        <w:pStyle w:val="Footnote"/>
        <w:bidi/>
      </w:pPr>
      <w:r>
        <w:rPr>
          <w:rStyle w:val="ac"/>
          <w:rtl/>
        </w:rPr>
        <w:footnoteRef/>
      </w:r>
      <w:r>
        <w:rPr>
          <w:rtl/>
        </w:rPr>
        <w:t>וה</w:t>
      </w:r>
      <w:r>
        <w:rPr>
          <w:b/>
          <w:bCs/>
          <w:rtl/>
        </w:rPr>
        <w:t>מל"ה</w:t>
      </w:r>
      <w:r>
        <w:rPr>
          <w:rtl/>
        </w:rPr>
        <w:t xml:space="preserve"> הק' מנ"ל דמועיל לזה ציץ. דגבי מדין בדקו הראויה להבעל, ולא הבעולות.</w:t>
      </w:r>
    </w:p>
  </w:footnote>
  <w:footnote w:id="3669">
    <w:p w14:paraId="1C6C777C" w14:textId="77777777" w:rsidR="006074A5" w:rsidRDefault="006074A5" w:rsidP="006074A5">
      <w:pPr>
        <w:pStyle w:val="Footnote"/>
        <w:bidi/>
      </w:pPr>
      <w:r>
        <w:rPr>
          <w:rStyle w:val="ac"/>
          <w:rtl/>
        </w:rPr>
        <w:footnoteRef/>
      </w:r>
      <w:r>
        <w:rPr>
          <w:rtl/>
        </w:rPr>
        <w:t>ויש להעיר דמשמע דאין חילוק בין כהן הדיוט לכה"ג, ואפשר דעדיפא מיניה קא דחי.</w:t>
      </w:r>
    </w:p>
  </w:footnote>
  <w:footnote w:id="3670">
    <w:p w14:paraId="08308DA4" w14:textId="77777777" w:rsidR="006074A5" w:rsidRDefault="006074A5" w:rsidP="006074A5">
      <w:pPr>
        <w:pStyle w:val="Footnote"/>
        <w:bidi/>
      </w:pPr>
      <w:r>
        <w:rPr>
          <w:rStyle w:val="ac"/>
          <w:rtl/>
        </w:rPr>
        <w:footnoteRef/>
      </w:r>
      <w:r>
        <w:rPr>
          <w:rtl/>
        </w:rPr>
        <w:t>ואפשר דהכוונה דלענין בדיעבד סמכינן אר' שמעון [וכעי"ז לעיל לז.].</w:t>
      </w:r>
    </w:p>
  </w:footnote>
  <w:footnote w:id="3671">
    <w:p w14:paraId="49B68BE4" w14:textId="77777777" w:rsidR="006074A5" w:rsidRDefault="006074A5" w:rsidP="006074A5">
      <w:pPr>
        <w:pStyle w:val="Footnote"/>
        <w:bidi/>
      </w:pPr>
      <w:r>
        <w:rPr>
          <w:rStyle w:val="ac"/>
          <w:rtl/>
        </w:rPr>
        <w:footnoteRef/>
      </w:r>
      <w:r>
        <w:rPr>
          <w:rtl/>
        </w:rPr>
        <w:t>יל"פ דהרשב"א לשיטתו דרק בדרבנן מהני סברת סופה להיות תחתיו.</w:t>
      </w:r>
    </w:p>
  </w:footnote>
  <w:footnote w:id="3672">
    <w:p w14:paraId="7B219652" w14:textId="77777777" w:rsidR="006074A5" w:rsidRDefault="006074A5" w:rsidP="006074A5">
      <w:pPr>
        <w:pStyle w:val="Footnote"/>
        <w:bidi/>
      </w:pPr>
      <w:r>
        <w:rPr>
          <w:rStyle w:val="ac"/>
          <w:rtl/>
        </w:rPr>
        <w:footnoteRef/>
      </w:r>
      <w:r>
        <w:rPr>
          <w:rtl/>
        </w:rPr>
        <w:t>וכ"כ ה</w:t>
      </w:r>
      <w:r>
        <w:rPr>
          <w:b/>
          <w:bCs/>
          <w:rtl/>
        </w:rPr>
        <w:t>רש"ש</w:t>
      </w:r>
      <w:r>
        <w:rPr>
          <w:rtl/>
        </w:rPr>
        <w:t xml:space="preserve"> (פסחים ט) לפרש דברי רש"י שם. [וצ"ע דרש"י כאן כת' להדיא להיפך].</w:t>
      </w:r>
    </w:p>
  </w:footnote>
  <w:footnote w:id="3673">
    <w:p w14:paraId="5290C897" w14:textId="77777777" w:rsidR="006074A5" w:rsidRDefault="006074A5" w:rsidP="006074A5">
      <w:pPr>
        <w:pStyle w:val="Footnote"/>
        <w:bidi/>
      </w:pPr>
      <w:r>
        <w:rPr>
          <w:rStyle w:val="ac"/>
          <w:rtl/>
        </w:rPr>
        <w:footnoteRef/>
      </w:r>
      <w:r>
        <w:rPr>
          <w:rtl/>
        </w:rPr>
        <w:t>דתוס' (כתובות טו.) הק' לר"ש מנ"ל דין קבוע.</w:t>
      </w:r>
    </w:p>
  </w:footnote>
  <w:footnote w:id="3674">
    <w:p w14:paraId="176C2BFD" w14:textId="77777777" w:rsidR="006074A5" w:rsidRDefault="006074A5" w:rsidP="006074A5">
      <w:pPr>
        <w:pStyle w:val="Footnote"/>
        <w:bidi/>
      </w:pPr>
      <w:r>
        <w:rPr>
          <w:rStyle w:val="ac"/>
          <w:rtl/>
        </w:rPr>
        <w:footnoteRef/>
      </w:r>
      <w:r>
        <w:rPr>
          <w:rtl/>
        </w:rPr>
        <w:t>וב</w:t>
      </w:r>
      <w:r>
        <w:rPr>
          <w:b/>
          <w:bCs/>
          <w:rtl/>
        </w:rPr>
        <w:t>תוס'</w:t>
      </w:r>
      <w:r>
        <w:rPr>
          <w:rtl/>
        </w:rPr>
        <w:t xml:space="preserve"> (נדה ע:) הביאו דלחד תי' אינו מטמא במגע ומשא.</w:t>
      </w:r>
    </w:p>
  </w:footnote>
  <w:footnote w:id="3675">
    <w:p w14:paraId="2BE0484D" w14:textId="77777777" w:rsidR="006074A5" w:rsidRDefault="006074A5" w:rsidP="006074A5">
      <w:pPr>
        <w:pStyle w:val="Footnote"/>
        <w:bidi/>
      </w:pPr>
      <w:r>
        <w:rPr>
          <w:rStyle w:val="ac"/>
          <w:rtl/>
        </w:rPr>
        <w:footnoteRef/>
      </w:r>
      <w:r>
        <w:rPr>
          <w:rtl/>
        </w:rPr>
        <w:t>ועכו"ם הוה כנבילה. [ואף דמטמא כדין אבי אבות הטומאה, לא הוה טומאת אדם כי ימות].</w:t>
      </w:r>
    </w:p>
  </w:footnote>
  <w:footnote w:id="3676">
    <w:p w14:paraId="56427F13" w14:textId="77777777" w:rsidR="006074A5" w:rsidRDefault="006074A5" w:rsidP="006074A5">
      <w:pPr>
        <w:pStyle w:val="Footnote"/>
        <w:bidi/>
      </w:pPr>
      <w:r>
        <w:rPr>
          <w:rStyle w:val="ac"/>
          <w:rtl/>
        </w:rPr>
        <w:footnoteRef/>
      </w:r>
      <w:r>
        <w:rPr>
          <w:rtl/>
        </w:rPr>
        <w:t>וכתב דמ"מ לענין הלכה דעת רוב ראשונים לאסור, ודן דאין להקל מכח ס"ס, בצירוף דעת הראב"ד דכהן שנטמא כבר אינו מצווה שוב שלא ליטמאות, שהרי בכל צד חלוקים עליהם כל חכמי ישראל.</w:t>
      </w:r>
    </w:p>
  </w:footnote>
  <w:footnote w:id="3677">
    <w:p w14:paraId="5011D238" w14:textId="77777777" w:rsidR="006074A5" w:rsidRDefault="006074A5" w:rsidP="006074A5">
      <w:pPr>
        <w:pStyle w:val="Footnote"/>
        <w:bidi/>
      </w:pPr>
      <w:r>
        <w:rPr>
          <w:rStyle w:val="ac"/>
          <w:rtl/>
        </w:rPr>
        <w:footnoteRef/>
      </w:r>
      <w:r>
        <w:rPr>
          <w:rtl/>
        </w:rPr>
        <w:t>וה</w:t>
      </w:r>
      <w:r>
        <w:rPr>
          <w:b/>
          <w:bCs/>
          <w:rtl/>
        </w:rPr>
        <w:t>ריטב"א</w:t>
      </w:r>
      <w:r>
        <w:rPr>
          <w:rtl/>
        </w:rPr>
        <w:t xml:space="preserve"> (ב"ב שם) כתב דאברהם אבינו היה נביא וקיים כל התורה דינו כישראל, וכן אדם הראשון היה נביא. וה</w:t>
      </w:r>
      <w:r>
        <w:rPr>
          <w:b/>
          <w:bCs/>
          <w:rtl/>
        </w:rPr>
        <w:t>רמב"ן</w:t>
      </w:r>
      <w:r>
        <w:rPr>
          <w:rtl/>
        </w:rPr>
        <w:t xml:space="preserve"> (ב"ב שם) כתב מפני כבודם שהרי קיימו וקבלו עליהם תורה. [וה</w:t>
      </w:r>
      <w:r>
        <w:rPr>
          <w:b/>
          <w:bCs/>
          <w:rtl/>
        </w:rPr>
        <w:t>משנ"ל</w:t>
      </w:r>
      <w:r>
        <w:rPr>
          <w:rtl/>
        </w:rPr>
        <w:t xml:space="preserve"> (ס' פרשת דרכים א) האריך לדון האם היו לאבות דין ישראל לקולא או רק לחומרא].</w:t>
      </w:r>
    </w:p>
  </w:footnote>
  <w:footnote w:id="3678">
    <w:p w14:paraId="56BA91C6" w14:textId="77777777" w:rsidR="006074A5" w:rsidRDefault="006074A5" w:rsidP="006074A5">
      <w:pPr>
        <w:pStyle w:val="Footnote"/>
        <w:bidi/>
      </w:pPr>
      <w:r>
        <w:rPr>
          <w:rStyle w:val="ac"/>
          <w:rtl/>
        </w:rPr>
        <w:footnoteRef/>
      </w:r>
      <w:r>
        <w:rPr>
          <w:rtl/>
        </w:rPr>
        <w:t>וה</w:t>
      </w:r>
      <w:r>
        <w:rPr>
          <w:b/>
          <w:bCs/>
          <w:rtl/>
        </w:rPr>
        <w:t>אחרונים</w:t>
      </w:r>
      <w:r>
        <w:rPr>
          <w:rtl/>
        </w:rPr>
        <w:t xml:space="preserve"> (קוב"ש שם) הק' דמבואר (שם) שציין אף קבר של יעקב. ול"מ שנקרא אדם.</w:t>
      </w:r>
    </w:p>
  </w:footnote>
  <w:footnote w:id="3679">
    <w:p w14:paraId="4E773431" w14:textId="77777777" w:rsidR="006074A5" w:rsidRDefault="006074A5" w:rsidP="006074A5">
      <w:pPr>
        <w:pStyle w:val="Footnote"/>
        <w:bidi/>
      </w:pPr>
      <w:r>
        <w:rPr>
          <w:rStyle w:val="ac"/>
          <w:rtl/>
        </w:rPr>
        <w:footnoteRef/>
      </w:r>
      <w:r>
        <w:rPr>
          <w:rtl/>
        </w:rPr>
        <w:t>ו</w:t>
      </w:r>
      <w:r>
        <w:rPr>
          <w:b/>
          <w:bCs/>
          <w:rtl/>
        </w:rPr>
        <w:t>תוס</w:t>
      </w:r>
      <w:r>
        <w:rPr>
          <w:rtl/>
        </w:rPr>
        <w:t>' (נדה) הביאו דהר"מ פונטייזא דחה דאדרבה דקודם שנאמרה פרשה זו ס"ד דאינו מטמא כלל. ואיתרבי רק לטומאת מגע. [וכמ"ש תוס' דידן].</w:t>
      </w:r>
    </w:p>
  </w:footnote>
  <w:footnote w:id="3680">
    <w:p w14:paraId="4E1A1EC8" w14:textId="77777777" w:rsidR="006074A5" w:rsidRDefault="006074A5" w:rsidP="006074A5">
      <w:pPr>
        <w:pStyle w:val="Footnote"/>
        <w:bidi/>
      </w:pPr>
      <w:r>
        <w:rPr>
          <w:rStyle w:val="ac"/>
          <w:rtl/>
        </w:rPr>
        <w:footnoteRef/>
      </w:r>
      <w:r>
        <w:rPr>
          <w:rtl/>
        </w:rPr>
        <w:t xml:space="preserve">אבל </w:t>
      </w:r>
      <w:r>
        <w:rPr>
          <w:b/>
          <w:bCs/>
          <w:rtl/>
        </w:rPr>
        <w:t>תוס</w:t>
      </w:r>
      <w:r>
        <w:rPr>
          <w:rtl/>
        </w:rPr>
        <w:t>' (נזיר שם) נקטו דאף כשהמת עדיין קיים אינו מטמא באוהל, כל שמת לפני הדיבור.</w:t>
      </w:r>
    </w:p>
  </w:footnote>
  <w:footnote w:id="3681">
    <w:p w14:paraId="5B1BB679" w14:textId="77777777" w:rsidR="006074A5" w:rsidRDefault="006074A5" w:rsidP="006074A5">
      <w:pPr>
        <w:pStyle w:val="Footnote"/>
        <w:bidi/>
      </w:pPr>
      <w:r>
        <w:rPr>
          <w:rStyle w:val="ac"/>
          <w:rtl/>
        </w:rPr>
        <w:footnoteRef/>
      </w:r>
      <w:r>
        <w:rPr>
          <w:rtl/>
        </w:rPr>
        <w:t>ו</w:t>
      </w:r>
      <w:r>
        <w:rPr>
          <w:b/>
          <w:bCs/>
          <w:rtl/>
        </w:rPr>
        <w:t>רע"א</w:t>
      </w:r>
      <w:r>
        <w:rPr>
          <w:rtl/>
        </w:rPr>
        <w:t xml:space="preserve"> ציין </w:t>
      </w:r>
      <w:r>
        <w:rPr>
          <w:b/>
          <w:bCs/>
          <w:rtl/>
        </w:rPr>
        <w:t>תוי"ט</w:t>
      </w:r>
      <w:r>
        <w:rPr>
          <w:rtl/>
        </w:rPr>
        <w:t xml:space="preserve"> (נגעים יב א) דנתמעט דאינו מטמא בנגעים, אתם קרויים אדם. [וה</w:t>
      </w:r>
      <w:r>
        <w:rPr>
          <w:b/>
          <w:bCs/>
          <w:rtl/>
        </w:rPr>
        <w:t>רע"ב</w:t>
      </w:r>
      <w:r>
        <w:rPr>
          <w:rtl/>
        </w:rPr>
        <w:t xml:space="preserve"> (שם) דריש ממקום אחר. וה</w:t>
      </w:r>
      <w:r>
        <w:rPr>
          <w:b/>
          <w:bCs/>
          <w:rtl/>
        </w:rPr>
        <w:t>מהר"ם מרוטנברג</w:t>
      </w:r>
      <w:r>
        <w:rPr>
          <w:rtl/>
        </w:rPr>
        <w:t xml:space="preserve"> (בתוי"ט שם ג א) כת' דעכו"ם נתמעט שאינו נטמא מכל הטומאות].</w:t>
      </w:r>
    </w:p>
  </w:footnote>
  <w:footnote w:id="3682">
    <w:p w14:paraId="5134154D" w14:textId="77777777" w:rsidR="006074A5" w:rsidRDefault="006074A5" w:rsidP="006074A5">
      <w:pPr>
        <w:pStyle w:val="Footnote"/>
        <w:bidi/>
      </w:pPr>
      <w:r>
        <w:rPr>
          <w:rStyle w:val="ac"/>
          <w:rtl/>
        </w:rPr>
        <w:footnoteRef/>
      </w:r>
      <w:r>
        <w:rPr>
          <w:rtl/>
        </w:rPr>
        <w:t>ומבואר בדברי ה</w:t>
      </w:r>
      <w:r>
        <w:rPr>
          <w:b/>
          <w:bCs/>
          <w:rtl/>
        </w:rPr>
        <w:t>רמב"ם</w:t>
      </w:r>
      <w:r>
        <w:rPr>
          <w:rtl/>
        </w:rPr>
        <w:t xml:space="preserve"> דלא נתחדש בעכו"ם טומאת קבר [אף לענין הנוגע בקבר, אבל ב</w:t>
      </w:r>
      <w:r>
        <w:rPr>
          <w:b/>
          <w:bCs/>
          <w:rtl/>
        </w:rPr>
        <w:t>שו"ת הרמב"ם</w:t>
      </w:r>
      <w:r>
        <w:rPr>
          <w:rtl/>
        </w:rPr>
        <w:t xml:space="preserve"> (פאר הדור נז) כתב דאסור לגעת בקבר וע' מנח"ח רסג]. וה</w:t>
      </w:r>
      <w:r>
        <w:rPr>
          <w:b/>
          <w:bCs/>
          <w:rtl/>
        </w:rPr>
        <w:t>גר"ח</w:t>
      </w:r>
      <w:r>
        <w:rPr>
          <w:rtl/>
        </w:rPr>
        <w:t xml:space="preserve"> (טו"מ ז ז) ביאר אמאי תלי' בטומאת אהל.</w:t>
      </w:r>
    </w:p>
  </w:footnote>
  <w:footnote w:id="3683">
    <w:p w14:paraId="5622008A" w14:textId="77777777" w:rsidR="006074A5" w:rsidRDefault="006074A5" w:rsidP="006074A5">
      <w:pPr>
        <w:pStyle w:val="Footnote"/>
        <w:bidi/>
      </w:pPr>
      <w:r>
        <w:rPr>
          <w:rStyle w:val="ac"/>
          <w:rtl/>
        </w:rPr>
        <w:footnoteRef/>
      </w:r>
      <w:r>
        <w:rPr>
          <w:rtl/>
        </w:rPr>
        <w:t>וה</w:t>
      </w:r>
      <w:r>
        <w:rPr>
          <w:b/>
          <w:bCs/>
          <w:rtl/>
        </w:rPr>
        <w:t>דגול מרבבה</w:t>
      </w:r>
      <w:r>
        <w:rPr>
          <w:rtl/>
        </w:rPr>
        <w:t xml:space="preserve"> כתב דאין מוחים במי שרוצה לסמוך להקל בצירוף דעת הראב"ד דכהנים בזה"ז מותרים ליטמא כיון דהוה טמאי מתים. ושוב חזר בו, דאפשר דהראב"ד קאמר רק לענין דאין לוקין, ואיסורא מיהא איכא.</w:t>
      </w:r>
    </w:p>
  </w:footnote>
  <w:footnote w:id="3684">
    <w:p w14:paraId="717B989A" w14:textId="77777777" w:rsidR="006074A5" w:rsidRDefault="006074A5" w:rsidP="006074A5">
      <w:pPr>
        <w:pStyle w:val="Footnote"/>
        <w:bidi/>
      </w:pPr>
      <w:r>
        <w:rPr>
          <w:rStyle w:val="ac"/>
          <w:rtl/>
        </w:rPr>
        <w:footnoteRef/>
      </w:r>
      <w:r>
        <w:rPr>
          <w:rtl/>
        </w:rPr>
        <w:t>וה</w:t>
      </w:r>
      <w:r>
        <w:rPr>
          <w:b/>
          <w:bCs/>
          <w:rtl/>
        </w:rPr>
        <w:t>חזו"א</w:t>
      </w:r>
      <w:r>
        <w:rPr>
          <w:rtl/>
        </w:rPr>
        <w:t xml:space="preserve"> (קלד) הקשה אמאי הביאו תוס' רק מהך משנה דרשב"ג, הא איתא שם כמה משניות דמדורי עכו"ם מטמא [באהל].</w:t>
      </w:r>
    </w:p>
  </w:footnote>
  <w:footnote w:id="3685">
    <w:p w14:paraId="2D9A506C" w14:textId="77777777" w:rsidR="006074A5" w:rsidRDefault="006074A5" w:rsidP="006074A5">
      <w:pPr>
        <w:pStyle w:val="Footnote"/>
        <w:bidi/>
      </w:pPr>
      <w:r>
        <w:rPr>
          <w:rStyle w:val="ac"/>
          <w:rtl/>
        </w:rPr>
        <w:footnoteRef/>
      </w:r>
      <w:r>
        <w:rPr>
          <w:rtl/>
        </w:rPr>
        <w:t>וכ"ד ה</w:t>
      </w:r>
      <w:r>
        <w:rPr>
          <w:b/>
          <w:bCs/>
          <w:rtl/>
        </w:rPr>
        <w:t>רי"ף</w:t>
      </w:r>
      <w:r>
        <w:rPr>
          <w:rtl/>
        </w:rPr>
        <w:t xml:space="preserve"> בכ"מ (סוף ב"ב ועוד) דאין הלכה כהך כלל דהלכה כרשב"ג במשנתינו, אבל </w:t>
      </w:r>
      <w:r>
        <w:rPr>
          <w:b/>
          <w:bCs/>
          <w:rtl/>
        </w:rPr>
        <w:t>תוס</w:t>
      </w:r>
      <w:r>
        <w:rPr>
          <w:rtl/>
        </w:rPr>
        <w:t>' נקטו הך כלל בכ"מ.</w:t>
      </w:r>
    </w:p>
  </w:footnote>
  <w:footnote w:id="3686">
    <w:p w14:paraId="140BF81C" w14:textId="77777777" w:rsidR="006074A5" w:rsidRDefault="006074A5" w:rsidP="006074A5">
      <w:pPr>
        <w:pStyle w:val="Footnote"/>
        <w:bidi/>
      </w:pPr>
      <w:r>
        <w:rPr>
          <w:rStyle w:val="ac"/>
          <w:rtl/>
        </w:rPr>
        <w:footnoteRef/>
      </w:r>
      <w:r>
        <w:rPr>
          <w:rtl/>
        </w:rPr>
        <w:t>אמנם דבר זה גופא צ"ב אמאי החמירו בארץ העמים לר' שמעון, כיון דעכו"ם אינו מטמא באהל.</w:t>
      </w:r>
    </w:p>
  </w:footnote>
  <w:footnote w:id="3687">
    <w:p w14:paraId="2A39F87B" w14:textId="77777777" w:rsidR="006074A5" w:rsidRDefault="006074A5" w:rsidP="006074A5">
      <w:pPr>
        <w:pStyle w:val="Footnote"/>
        <w:bidi/>
      </w:pPr>
      <w:r>
        <w:rPr>
          <w:rStyle w:val="ac"/>
          <w:rtl/>
        </w:rPr>
        <w:footnoteRef/>
      </w:r>
      <w:r>
        <w:rPr>
          <w:rtl/>
        </w:rPr>
        <w:t>[ואפשר דלתוס' לא נחשב מכשול, כיון דלא בשמים היא, ומלאך אינו נאמן בהלכה].</w:t>
      </w:r>
    </w:p>
  </w:footnote>
  <w:footnote w:id="3688">
    <w:p w14:paraId="0CFE43E7" w14:textId="77777777" w:rsidR="006074A5" w:rsidRDefault="006074A5" w:rsidP="006074A5">
      <w:pPr>
        <w:pStyle w:val="Footnote"/>
        <w:bidi/>
      </w:pPr>
      <w:r>
        <w:rPr>
          <w:rStyle w:val="ac"/>
          <w:rtl/>
        </w:rPr>
        <w:footnoteRef/>
      </w:r>
      <w:r>
        <w:rPr>
          <w:rtl/>
        </w:rPr>
        <w:t>והעירו (בשם החזון יחזקאל) דיש כאן חידוש במשנה, דאפי' דמעיקרא נפלה לזיקת יבום, אח"כ זקוקה רק לחליצה, ולא אמרי' כל העולה ליבום. [ע"פ מה שחידשו ה</w:t>
      </w:r>
      <w:r>
        <w:rPr>
          <w:b/>
          <w:bCs/>
          <w:rtl/>
        </w:rPr>
        <w:t>אחרונים</w:t>
      </w:r>
      <w:r>
        <w:rPr>
          <w:rtl/>
        </w:rPr>
        <w:t xml:space="preserve"> (הו' לעיל לו.) דבחייבי עשה לא אמרי' כל העולה ליבום, כיון דמעיקרא נופלת רק לחליצה, כדילפי' ועלתה יבמתו. וא"כ באופן שמעיקרא היה זיקת יבום, נימא כל העולה].</w:t>
      </w:r>
    </w:p>
    <w:p w14:paraId="117FB7C2" w14:textId="77777777" w:rsidR="006074A5" w:rsidRDefault="006074A5" w:rsidP="006074A5">
      <w:pPr>
        <w:pStyle w:val="Footnote"/>
        <w:bidi/>
      </w:pPr>
      <w:r>
        <w:rPr>
          <w:rtl/>
        </w:rPr>
        <w:tab/>
        <w:t>קמ"ל דאף בזה מהני חליצה. [ויל"פ דפקע זיקת יבום, ומכאן ולהבא חל זיקת 'ועלתה' לחליצה].</w:t>
      </w:r>
    </w:p>
  </w:footnote>
  <w:footnote w:id="3689">
    <w:p w14:paraId="6BB941D9" w14:textId="77777777" w:rsidR="006074A5" w:rsidRDefault="006074A5" w:rsidP="006074A5">
      <w:pPr>
        <w:pStyle w:val="Footnote"/>
        <w:bidi/>
      </w:pPr>
      <w:r>
        <w:rPr>
          <w:rStyle w:val="ac"/>
          <w:rtl/>
        </w:rPr>
        <w:footnoteRef/>
      </w:r>
      <w:r>
        <w:rPr>
          <w:rtl/>
        </w:rPr>
        <w:t>ואף דילפי' 'עליה', דאחות אשה הוה פטור, אבל בחייבי לאוין אין פטור. [וצ"ע לעיל שם אי הוה גזיה"כ וגילוי דלא אמרי' אישתרי].</w:t>
      </w:r>
    </w:p>
  </w:footnote>
  <w:footnote w:id="3690">
    <w:p w14:paraId="3D2020C3" w14:textId="77777777" w:rsidR="006074A5" w:rsidRDefault="006074A5" w:rsidP="006074A5">
      <w:pPr>
        <w:pStyle w:val="Footnote"/>
        <w:bidi/>
      </w:pPr>
      <w:r>
        <w:rPr>
          <w:rStyle w:val="ac"/>
          <w:rtl/>
        </w:rPr>
        <w:footnoteRef/>
      </w:r>
      <w:r>
        <w:rPr>
          <w:rtl/>
        </w:rPr>
        <w:t>ועוד תי' דיסוד הואיל ואישתרי, דאל"כ אמרי' הואיל ונאסר נאסר משום שניהם. אבל לצד דאף בחייבי עשה אין איסור אשת אח, א"כ הכא לא תאסר.</w:t>
      </w:r>
    </w:p>
  </w:footnote>
  <w:footnote w:id="3691">
    <w:p w14:paraId="1495A74B" w14:textId="77777777" w:rsidR="006074A5" w:rsidRDefault="006074A5" w:rsidP="006074A5">
      <w:pPr>
        <w:pStyle w:val="Footnote"/>
        <w:bidi/>
      </w:pPr>
      <w:r>
        <w:rPr>
          <w:rStyle w:val="ac"/>
          <w:rtl/>
        </w:rPr>
        <w:footnoteRef/>
      </w:r>
      <w:r>
        <w:rPr>
          <w:rtl/>
        </w:rPr>
        <w:t>וה</w:t>
      </w:r>
      <w:r>
        <w:rPr>
          <w:b/>
          <w:bCs/>
          <w:rtl/>
        </w:rPr>
        <w:t>אחיעזר</w:t>
      </w:r>
      <w:r>
        <w:rPr>
          <w:rtl/>
        </w:rPr>
        <w:t xml:space="preserve"> (לד) כתב דבאלמנה יש איסור על האישות [ולא על הביאה], ובזה ל"ש אישתרי. וב</w:t>
      </w:r>
      <w:r>
        <w:rPr>
          <w:b/>
          <w:bCs/>
          <w:rtl/>
        </w:rPr>
        <w:t>חי' ר' מאיר שמחה</w:t>
      </w:r>
      <w:r>
        <w:rPr>
          <w:rtl/>
        </w:rPr>
        <w:t xml:space="preserve"> (כאן) תי' דאישתרי שייך רק בעריות דהוה אותו חתיכה דאיסורא, משא"כ איסור אלמנה דאינו בחפץ. וה</w:t>
      </w:r>
      <w:r>
        <w:rPr>
          <w:b/>
          <w:bCs/>
          <w:rtl/>
        </w:rPr>
        <w:t>אמר"מ</w:t>
      </w:r>
      <w:r>
        <w:rPr>
          <w:rtl/>
        </w:rPr>
        <w:t xml:space="preserve"> (ה כב) כתב דכיון דילפי' מ'ועלתה' (לעיל כ:) דחייבי לאו ועשה חולצת, ונתחדש דלא הותר איסור זה, וכלפי איסור קל אין חילוק בין נעשה אח"כ.</w:t>
      </w:r>
    </w:p>
  </w:footnote>
  <w:footnote w:id="3692">
    <w:p w14:paraId="4C3FA28A" w14:textId="77777777" w:rsidR="006074A5" w:rsidRDefault="006074A5" w:rsidP="006074A5">
      <w:pPr>
        <w:pStyle w:val="Footnote"/>
        <w:bidi/>
      </w:pPr>
      <w:r>
        <w:rPr>
          <w:rStyle w:val="ac"/>
          <w:rtl/>
        </w:rPr>
        <w:footnoteRef/>
      </w:r>
      <w:r>
        <w:rPr>
          <w:rtl/>
        </w:rPr>
        <w:t>ועי"ש ב</w:t>
      </w:r>
      <w:r>
        <w:rPr>
          <w:b/>
          <w:bCs/>
          <w:rtl/>
        </w:rPr>
        <w:t>קוב"ש</w:t>
      </w:r>
      <w:r>
        <w:rPr>
          <w:rtl/>
        </w:rPr>
        <w:t xml:space="preserve"> שהביא נידון באיסור מינוי דיינים משום כסף, באופן כזה דהוה ראוי [וכן לענין בדיעבד].</w:t>
      </w:r>
    </w:p>
  </w:footnote>
  <w:footnote w:id="3693">
    <w:p w14:paraId="404B6E1C" w14:textId="77777777" w:rsidR="006074A5" w:rsidRDefault="006074A5" w:rsidP="006074A5">
      <w:pPr>
        <w:pStyle w:val="Footnote"/>
        <w:bidi/>
      </w:pPr>
      <w:r>
        <w:rPr>
          <w:rStyle w:val="ac"/>
          <w:rtl/>
        </w:rPr>
        <w:footnoteRef/>
      </w:r>
      <w:r>
        <w:rPr>
          <w:rtl/>
        </w:rPr>
        <w:t>ואסור לעמוד לפניו, וכמ"ש ה</w:t>
      </w:r>
      <w:r>
        <w:rPr>
          <w:b/>
          <w:bCs/>
          <w:rtl/>
        </w:rPr>
        <w:t>רמב"ם</w:t>
      </w:r>
      <w:r>
        <w:rPr>
          <w:rtl/>
        </w:rPr>
        <w:t xml:space="preserve"> (ע"ז ו ט).</w:t>
      </w:r>
    </w:p>
  </w:footnote>
  <w:footnote w:id="3694">
    <w:p w14:paraId="28CC0A2E" w14:textId="77777777" w:rsidR="006074A5" w:rsidRDefault="006074A5" w:rsidP="006074A5">
      <w:pPr>
        <w:pStyle w:val="Footnote"/>
        <w:bidi/>
      </w:pPr>
      <w:r>
        <w:rPr>
          <w:rStyle w:val="ac"/>
          <w:rtl/>
        </w:rPr>
        <w:footnoteRef/>
      </w:r>
      <w:r>
        <w:rPr>
          <w:rtl/>
        </w:rPr>
        <w:t xml:space="preserve">דגמ' (קידושין סו.) שכשלבש את הציץ מיחו בו, משום דהיו עדים דאמו נשבית, והיה תרי ותרי. ונזרקה בו אפיקורסות והרג את כל חכמי ישראל, מלבד שמעון בן שטח. ובגמ' (ברכות כט.) נח' אביי ורבא האם ינאי הוא </w:t>
      </w:r>
      <w:r>
        <w:rPr>
          <w:rFonts w:ascii="Narkisim" w:eastAsia="Narkisim" w:hAnsi="Narkisim"/>
          <w:rtl/>
        </w:rPr>
        <w:t>יוחנן כה"ג [ששימש כהן גדול פ' שנים, ולבסוף נעשה צדוקי], ולרבא ינאי לחוד ויוחנן לחוד. (ע"ע ס' ערכי התנאים והאמוראים ע' ינאי המלך).</w:t>
      </w:r>
    </w:p>
  </w:footnote>
  <w:footnote w:id="3695">
    <w:p w14:paraId="36AF50AB" w14:textId="77777777" w:rsidR="006074A5" w:rsidRDefault="006074A5" w:rsidP="006074A5">
      <w:pPr>
        <w:pStyle w:val="Footnote"/>
        <w:bidi/>
      </w:pPr>
      <w:r>
        <w:rPr>
          <w:rStyle w:val="ac"/>
          <w:rtl/>
        </w:rPr>
        <w:footnoteRef/>
      </w:r>
      <w:r>
        <w:rPr>
          <w:rtl/>
        </w:rPr>
        <w:t>וכדאי' (ע"ז ט.) דמלכות הורדוס היה ק"ג שנה בפני הבית.</w:t>
      </w:r>
    </w:p>
  </w:footnote>
  <w:footnote w:id="3696">
    <w:p w14:paraId="7EB66E4F" w14:textId="77777777" w:rsidR="006074A5" w:rsidRDefault="006074A5" w:rsidP="006074A5">
      <w:pPr>
        <w:pStyle w:val="Footnote"/>
        <w:bidi/>
      </w:pPr>
      <w:r>
        <w:rPr>
          <w:rStyle w:val="ac"/>
          <w:rtl/>
        </w:rPr>
        <w:footnoteRef/>
      </w:r>
      <w:r>
        <w:rPr>
          <w:rtl/>
        </w:rPr>
        <w:t>ולא אמרי' דבשעת גמר ביאה כבר קנאה, ואינו מקיים שום מצוה].</w:t>
      </w:r>
    </w:p>
  </w:footnote>
  <w:footnote w:id="3697">
    <w:p w14:paraId="37B2C3C3" w14:textId="77777777" w:rsidR="006074A5" w:rsidRDefault="006074A5" w:rsidP="006074A5">
      <w:pPr>
        <w:pStyle w:val="Footnote"/>
        <w:bidi/>
      </w:pPr>
      <w:r>
        <w:rPr>
          <w:rStyle w:val="ac"/>
          <w:rtl/>
        </w:rPr>
        <w:footnoteRef/>
      </w:r>
      <w:r>
        <w:rPr>
          <w:rtl/>
        </w:rPr>
        <w:t>ואפשר דכוונתו להוכיח מזה דהכל בכלל מצוות יבום, ולא שהקמת שם הוה מצווה בפנ"ע.</w:t>
      </w:r>
    </w:p>
  </w:footnote>
  <w:footnote w:id="3698">
    <w:p w14:paraId="600CDB71" w14:textId="77777777" w:rsidR="006074A5" w:rsidRDefault="006074A5" w:rsidP="006074A5">
      <w:pPr>
        <w:pStyle w:val="Footnote"/>
        <w:bidi/>
      </w:pPr>
      <w:r>
        <w:rPr>
          <w:rStyle w:val="ac"/>
          <w:rtl/>
        </w:rPr>
        <w:footnoteRef/>
      </w:r>
      <w:r>
        <w:rPr>
          <w:rtl/>
        </w:rPr>
        <w:t>ומשמע בתוס' דשייך להתיר נעשית כאשתו דאיסור אשת אח. וצ"ע.</w:t>
      </w:r>
    </w:p>
  </w:footnote>
  <w:footnote w:id="3699">
    <w:p w14:paraId="684B6274" w14:textId="77777777" w:rsidR="006074A5" w:rsidRDefault="006074A5" w:rsidP="006074A5">
      <w:pPr>
        <w:pStyle w:val="Footnote"/>
        <w:bidi/>
      </w:pPr>
      <w:r>
        <w:rPr>
          <w:rStyle w:val="ac"/>
          <w:rtl/>
        </w:rPr>
        <w:footnoteRef/>
      </w:r>
      <w:r>
        <w:rPr>
          <w:rtl/>
        </w:rPr>
        <w:t xml:space="preserve">ע' מה שהו' (לעיל נט.). אך יש </w:t>
      </w:r>
      <w:r>
        <w:rPr>
          <w:b/>
          <w:bCs/>
          <w:rtl/>
        </w:rPr>
        <w:t xml:space="preserve">אחרונים </w:t>
      </w:r>
      <w:r>
        <w:rPr>
          <w:rtl/>
        </w:rPr>
        <w:t>(חי' הגר"נ שצ, קובץ תשובות הגריש"א זצ"ל א קמד) שכתבו דכוונת התוס' דוקא באיסורי כה"ג דכתיב בקרא בלשון יקח. [וקו' התוס' דעכ"פ אלמנה לכה"ג כיון שנעשית כאשתו עי"ז הותר ביאה שניה. ולא לשאר איסורין].</w:t>
      </w:r>
    </w:p>
  </w:footnote>
  <w:footnote w:id="3700">
    <w:p w14:paraId="2F0CE544" w14:textId="77777777" w:rsidR="006074A5" w:rsidRDefault="006074A5" w:rsidP="006074A5">
      <w:pPr>
        <w:pStyle w:val="Footnote"/>
        <w:bidi/>
      </w:pPr>
      <w:r>
        <w:rPr>
          <w:rStyle w:val="ac"/>
          <w:rtl/>
        </w:rPr>
        <w:footnoteRef/>
      </w:r>
      <w:r>
        <w:rPr>
          <w:rtl/>
        </w:rPr>
        <w:t>ומשמע מזה דכוונת הקושיה דנילף מהדין עדל"ת דהותר איסור אלמנה לכה"ג במקום יבום. כדאמרי' גבי אשת אח דיבום.</w:t>
      </w:r>
    </w:p>
  </w:footnote>
  <w:footnote w:id="3701">
    <w:p w14:paraId="1CC4357A" w14:textId="77777777" w:rsidR="006074A5" w:rsidRDefault="006074A5" w:rsidP="006074A5">
      <w:pPr>
        <w:pStyle w:val="Footnote"/>
        <w:bidi/>
      </w:pPr>
      <w:r>
        <w:rPr>
          <w:rStyle w:val="ac"/>
          <w:rtl/>
        </w:rPr>
        <w:footnoteRef/>
      </w:r>
      <w:r>
        <w:rPr>
          <w:rtl/>
        </w:rPr>
        <w:t xml:space="preserve">ובפשוטו כהן הדיוט לאו דוקא. וכ"כ </w:t>
      </w:r>
      <w:r>
        <w:rPr>
          <w:b/>
          <w:bCs/>
          <w:rtl/>
        </w:rPr>
        <w:t>תוס</w:t>
      </w:r>
      <w:r>
        <w:rPr>
          <w:rtl/>
        </w:rPr>
        <w:t>' (בע"ב ד"ה לא). אבל ה</w:t>
      </w:r>
      <w:r>
        <w:rPr>
          <w:b/>
          <w:bCs/>
          <w:rtl/>
        </w:rPr>
        <w:t>פור"י</w:t>
      </w:r>
      <w:r>
        <w:rPr>
          <w:rtl/>
        </w:rPr>
        <w:t xml:space="preserve"> כתב די"ל דכהנים היו מורי הוראה בישראל, א"כ פעמים מותר לבטל [משום לימוד התורה, ע' כתובות סב:, קידושין כט:]. וקמ"ל דאיילונית לא ישא דהוה ביטול גמור.</w:t>
      </w:r>
    </w:p>
  </w:footnote>
  <w:footnote w:id="3702">
    <w:p w14:paraId="2E443FA5" w14:textId="77777777" w:rsidR="006074A5" w:rsidRDefault="006074A5" w:rsidP="006074A5">
      <w:pPr>
        <w:pStyle w:val="Footnote"/>
        <w:bidi/>
      </w:pPr>
      <w:r>
        <w:rPr>
          <w:rStyle w:val="ac"/>
          <w:rtl/>
        </w:rPr>
        <w:footnoteRef/>
      </w:r>
      <w:r>
        <w:rPr>
          <w:rtl/>
        </w:rPr>
        <w:t>משמע דגרע ממי שאינו נושא, דכיון שנושא מי שאינו בת בנים נחשב ביטול מצווה.</w:t>
      </w:r>
    </w:p>
  </w:footnote>
  <w:footnote w:id="3703">
    <w:p w14:paraId="0B4A6ADF" w14:textId="77777777" w:rsidR="006074A5" w:rsidRDefault="006074A5" w:rsidP="006074A5">
      <w:pPr>
        <w:pStyle w:val="Footnote"/>
        <w:bidi/>
      </w:pPr>
      <w:r>
        <w:rPr>
          <w:rStyle w:val="ac"/>
          <w:rtl/>
        </w:rPr>
        <w:footnoteRef/>
      </w:r>
      <w:r>
        <w:rPr>
          <w:rtl/>
        </w:rPr>
        <w:t>וכ"פ ה</w:t>
      </w:r>
      <w:r>
        <w:rPr>
          <w:b/>
          <w:bCs/>
          <w:rtl/>
        </w:rPr>
        <w:t>טור</w:t>
      </w:r>
      <w:r>
        <w:rPr>
          <w:rtl/>
        </w:rPr>
        <w:t xml:space="preserve"> (אה"ע כג) לא ישא קטנה שאינה ראויה לילד. וה</w:t>
      </w:r>
      <w:r>
        <w:rPr>
          <w:b/>
          <w:bCs/>
          <w:rtl/>
        </w:rPr>
        <w:t>ב"י</w:t>
      </w:r>
      <w:r>
        <w:rPr>
          <w:rtl/>
        </w:rPr>
        <w:t xml:space="preserve"> ציין מקורו מהגמ' (נדה יג:), ופ</w:t>
      </w:r>
      <w:r>
        <w:rPr>
          <w:b/>
          <w:bCs/>
          <w:rtl/>
        </w:rPr>
        <w:t>רש"י</w:t>
      </w:r>
      <w:r>
        <w:rPr>
          <w:rtl/>
        </w:rPr>
        <w:t xml:space="preserve"> (שם ד"ה ונסיבי) דהטעם מפני שהוא בטל מפריה ורביה כל ימי קטנותה.</w:t>
      </w:r>
    </w:p>
    <w:p w14:paraId="40F29CE4" w14:textId="77777777" w:rsidR="006074A5" w:rsidRDefault="006074A5" w:rsidP="006074A5">
      <w:pPr>
        <w:pStyle w:val="Footnote"/>
        <w:bidi/>
      </w:pPr>
      <w:r>
        <w:rPr>
          <w:rtl/>
        </w:rPr>
        <w:tab/>
        <w:t>[אך המ</w:t>
      </w:r>
      <w:r>
        <w:rPr>
          <w:b/>
          <w:bCs/>
          <w:rtl/>
        </w:rPr>
        <w:t>פרשים</w:t>
      </w:r>
      <w:r>
        <w:rPr>
          <w:rtl/>
        </w:rPr>
        <w:t xml:space="preserve"> דייקו דהטור כתבו בכלל איסור השחתת זרע [בסי' כג, ולא בסי' א בהלכות פריה ורביה]. ע' </w:t>
      </w:r>
      <w:r>
        <w:rPr>
          <w:b/>
          <w:bCs/>
          <w:rtl/>
        </w:rPr>
        <w:t>פרישה</w:t>
      </w:r>
      <w:r>
        <w:rPr>
          <w:rtl/>
        </w:rPr>
        <w:t xml:space="preserve"> ו</w:t>
      </w:r>
      <w:r>
        <w:rPr>
          <w:b/>
          <w:bCs/>
          <w:rtl/>
        </w:rPr>
        <w:t>ט"ז</w:t>
      </w:r>
      <w:r>
        <w:rPr>
          <w:rtl/>
        </w:rPr>
        <w:t xml:space="preserve"> ו</w:t>
      </w:r>
      <w:r>
        <w:rPr>
          <w:b/>
          <w:bCs/>
          <w:rtl/>
        </w:rPr>
        <w:t>ברכ"י</w:t>
      </w:r>
      <w:r>
        <w:rPr>
          <w:rtl/>
        </w:rPr>
        <w:t xml:space="preserve"> (שם). וה</w:t>
      </w:r>
      <w:r>
        <w:rPr>
          <w:b/>
          <w:bCs/>
          <w:rtl/>
        </w:rPr>
        <w:t>משנ"ל</w:t>
      </w:r>
      <w:r>
        <w:rPr>
          <w:rtl/>
        </w:rPr>
        <w:t xml:space="preserve"> (איסו"ב כא כו) תמה דהוה כדרך הארץ ול"ש השחתת זרע, וכמ"ש תוס' (לעיל יב:). וכן ילה"ק מסוגיין דמשמע דהוה משום מצוות פר"ו. וא"כ לאחר שקיים אין איסור בדבר].</w:t>
      </w:r>
    </w:p>
  </w:footnote>
  <w:footnote w:id="3704">
    <w:p w14:paraId="3679B34A" w14:textId="77777777" w:rsidR="006074A5" w:rsidRDefault="006074A5" w:rsidP="006074A5">
      <w:pPr>
        <w:pStyle w:val="Footnote"/>
        <w:bidi/>
      </w:pPr>
      <w:r>
        <w:rPr>
          <w:rStyle w:val="ac"/>
          <w:rtl/>
        </w:rPr>
        <w:footnoteRef/>
      </w:r>
      <w:r>
        <w:rPr>
          <w:rtl/>
        </w:rPr>
        <w:t>וה</w:t>
      </w:r>
      <w:r>
        <w:rPr>
          <w:b/>
          <w:bCs/>
          <w:rtl/>
        </w:rPr>
        <w:t>רמב"ם</w:t>
      </w:r>
      <w:r>
        <w:rPr>
          <w:rtl/>
        </w:rPr>
        <w:t xml:space="preserve"> (איסו"ב כא כו) כת' ולא ישא עקרה וזקנה שאינה ראויה לילד. [והשמיט קטנה]. וה</w:t>
      </w:r>
      <w:r>
        <w:rPr>
          <w:b/>
          <w:bCs/>
          <w:rtl/>
        </w:rPr>
        <w:t>משנ"ל</w:t>
      </w:r>
      <w:r>
        <w:rPr>
          <w:rtl/>
        </w:rPr>
        <w:t xml:space="preserve"> (שם) העלה צד דאיירי בקיים מצות פריה ורביה, אלא דמשום 'לערב אל תנח ידך' (ע' לקמן סב:) לא ישא זקנה ואיילונית, וקטנה מותר.</w:t>
      </w:r>
    </w:p>
  </w:footnote>
  <w:footnote w:id="3705">
    <w:p w14:paraId="75DFFD43" w14:textId="77777777" w:rsidR="006074A5" w:rsidRDefault="006074A5" w:rsidP="006074A5">
      <w:pPr>
        <w:pStyle w:val="Footnote"/>
        <w:bidi/>
      </w:pPr>
      <w:r>
        <w:rPr>
          <w:rStyle w:val="ac"/>
          <w:rtl/>
        </w:rPr>
        <w:footnoteRef/>
      </w:r>
      <w:r>
        <w:rPr>
          <w:rtl/>
        </w:rPr>
        <w:t>וכפשטות לשון המשנה אין זונה וכו', ועוד הביאו ה</w:t>
      </w:r>
      <w:r>
        <w:rPr>
          <w:b/>
          <w:bCs/>
          <w:rtl/>
        </w:rPr>
        <w:t>תוס</w:t>
      </w:r>
      <w:r>
        <w:rPr>
          <w:rtl/>
        </w:rPr>
        <w:t>' מהגמ' (ס: הסוף העמ') סופה להיות זונה תחתיו, מבואר דהוה שם זונה.</w:t>
      </w:r>
    </w:p>
  </w:footnote>
  <w:footnote w:id="3706">
    <w:p w14:paraId="2D03FC4F" w14:textId="77777777" w:rsidR="006074A5" w:rsidRDefault="006074A5" w:rsidP="006074A5">
      <w:pPr>
        <w:pStyle w:val="Footnote"/>
        <w:bidi/>
      </w:pPr>
      <w:r>
        <w:rPr>
          <w:rStyle w:val="ac"/>
          <w:rtl/>
        </w:rPr>
        <w:footnoteRef/>
      </w:r>
      <w:r>
        <w:rPr>
          <w:rtl/>
        </w:rPr>
        <w:t xml:space="preserve">ועד"ז כת' </w:t>
      </w:r>
      <w:r>
        <w:rPr>
          <w:b/>
          <w:bCs/>
          <w:rtl/>
        </w:rPr>
        <w:t>תוס</w:t>
      </w:r>
      <w:r>
        <w:rPr>
          <w:rtl/>
        </w:rPr>
        <w:t xml:space="preserve">' (תמורה כט:) דרבא ס"ל כמ"ד נשג"א, ומ"ד נשג"ז כאביי. אבל </w:t>
      </w:r>
      <w:r>
        <w:rPr>
          <w:b/>
          <w:bCs/>
          <w:rtl/>
        </w:rPr>
        <w:t>תוס</w:t>
      </w:r>
      <w:r>
        <w:rPr>
          <w:rtl/>
        </w:rPr>
        <w:t>' (סנהדרין פב.) כת' דדוחק להעמיד סוגיא דנשג"ז דלא כרבא.</w:t>
      </w:r>
    </w:p>
  </w:footnote>
  <w:footnote w:id="3707">
    <w:p w14:paraId="0CF33E0A" w14:textId="77777777" w:rsidR="006074A5" w:rsidRDefault="006074A5" w:rsidP="006074A5">
      <w:pPr>
        <w:pStyle w:val="Footnote"/>
        <w:bidi/>
      </w:pPr>
      <w:r>
        <w:rPr>
          <w:rStyle w:val="ac"/>
          <w:rtl/>
        </w:rPr>
        <w:footnoteRef/>
      </w:r>
      <w:r>
        <w:rPr>
          <w:rtl/>
        </w:rPr>
        <w:t>וכ"כ ה</w:t>
      </w:r>
      <w:r>
        <w:rPr>
          <w:b/>
          <w:bCs/>
          <w:rtl/>
        </w:rPr>
        <w:t>תוס' רי"ד</w:t>
      </w:r>
      <w:r>
        <w:rPr>
          <w:rtl/>
        </w:rPr>
        <w:t xml:space="preserve"> (ע"ז לו:) שהביא דברי רש"י דקאי בכהן ומשום גזירה משום זונה ישראלית שנבעלה לאסור לה. וחלק דאי בכהן מיירי יש בו לאו גמור מדאורייתא, כדתנן (כאן) וחכ"א אין זונה אלא הגיורת והמשוחררת ושנבעלה בעילת זנות. אלא ודאי בישראל קא מיירי.</w:t>
      </w:r>
    </w:p>
  </w:footnote>
  <w:footnote w:id="3708">
    <w:p w14:paraId="6A9FC937" w14:textId="77777777" w:rsidR="006074A5" w:rsidRDefault="006074A5" w:rsidP="006074A5">
      <w:pPr>
        <w:pStyle w:val="Footnote"/>
        <w:bidi/>
      </w:pPr>
      <w:r>
        <w:rPr>
          <w:rStyle w:val="ac"/>
          <w:rtl/>
        </w:rPr>
        <w:footnoteRef/>
      </w:r>
      <w:r>
        <w:rPr>
          <w:rtl/>
        </w:rPr>
        <w:t>ולא בעינן 'דרך קיחה', דדרך קיחה אינו תנאי בחיוב. אלא גדר שם האיסור.</w:t>
      </w:r>
    </w:p>
  </w:footnote>
  <w:footnote w:id="3709">
    <w:p w14:paraId="0EF73D0B" w14:textId="77777777" w:rsidR="006074A5" w:rsidRDefault="006074A5" w:rsidP="006074A5">
      <w:pPr>
        <w:pStyle w:val="Footnote"/>
        <w:bidi/>
      </w:pPr>
      <w:r>
        <w:rPr>
          <w:rStyle w:val="ac"/>
          <w:rtl/>
        </w:rPr>
        <w:footnoteRef/>
      </w:r>
      <w:r>
        <w:rPr>
          <w:rtl/>
        </w:rPr>
        <w:t>וצ"ע דאף בשם זונה דעכו"ם שטופים בזימה נילף דלא גרע עכו"ם מישראלית. ולכאו' משמע דהוה פרשה בפנ"ע בגיורת, ול"ש ללמוד לעכו"ם. ועיל"פ דסברת שטופים בזימה הוה רק כלפי קדושת ישראל. דכלפי ישראל אמרי' דהפקירות המופקעת מקידושין הוה זונה. אבל בעודה עכו"ם אין בזה פגם [דנילף מגיורת].</w:t>
      </w:r>
    </w:p>
  </w:footnote>
  <w:footnote w:id="3710">
    <w:p w14:paraId="3DED7E5A" w14:textId="77777777" w:rsidR="006074A5" w:rsidRDefault="006074A5" w:rsidP="006074A5">
      <w:pPr>
        <w:pStyle w:val="Footnote"/>
        <w:bidi/>
      </w:pPr>
      <w:r>
        <w:rPr>
          <w:rStyle w:val="ac"/>
          <w:rtl/>
        </w:rPr>
        <w:footnoteRef/>
      </w:r>
      <w:r>
        <w:rPr>
          <w:rtl/>
        </w:rPr>
        <w:t>אבל ה</w:t>
      </w:r>
      <w:r>
        <w:rPr>
          <w:b/>
          <w:bCs/>
          <w:rtl/>
        </w:rPr>
        <w:t>מנח"ח</w:t>
      </w:r>
      <w:r>
        <w:rPr>
          <w:rtl/>
        </w:rPr>
        <w:t xml:space="preserve"> (רסו טז) הביא דה</w:t>
      </w:r>
      <w:r>
        <w:rPr>
          <w:b/>
          <w:bCs/>
          <w:rtl/>
        </w:rPr>
        <w:t>מג"א</w:t>
      </w:r>
      <w:r>
        <w:rPr>
          <w:rtl/>
        </w:rPr>
        <w:t xml:space="preserve"> (קנג מח) הביא דאף לרמב"ם אינו חייב משום זונה [בעודה עכו"ם] אא"כ זינתה.</w:t>
      </w:r>
    </w:p>
  </w:footnote>
  <w:footnote w:id="3711">
    <w:p w14:paraId="5B1514BE" w14:textId="77777777" w:rsidR="006074A5" w:rsidRDefault="006074A5" w:rsidP="006074A5">
      <w:pPr>
        <w:pStyle w:val="Footnote"/>
        <w:bidi/>
      </w:pPr>
      <w:r>
        <w:rPr>
          <w:rStyle w:val="ac"/>
          <w:rtl/>
        </w:rPr>
        <w:footnoteRef/>
      </w:r>
      <w:r>
        <w:rPr>
          <w:rtl/>
        </w:rPr>
        <w:t>לכאורה משמע דדוקא נתברר שזינתה לוקה משום זונה. ו</w:t>
      </w:r>
      <w:r>
        <w:rPr>
          <w:b/>
          <w:bCs/>
          <w:rtl/>
        </w:rPr>
        <w:t>תוס'</w:t>
      </w:r>
      <w:r>
        <w:rPr>
          <w:rtl/>
        </w:rPr>
        <w:t xml:space="preserve"> (סנהדרין) ביארו דאיצטריך [גזיה"כ דבתולת ישראל] לאסור משומרת. והיכא דאינה משומרת אסורה [דמסתמא זינתה], אך אינה לוקה אא"כ נתברר שזינתה.</w:t>
      </w:r>
    </w:p>
  </w:footnote>
  <w:footnote w:id="3712">
    <w:p w14:paraId="52C992E4" w14:textId="77777777" w:rsidR="006074A5" w:rsidRDefault="006074A5" w:rsidP="006074A5">
      <w:pPr>
        <w:pStyle w:val="Footnote"/>
        <w:bidi/>
      </w:pPr>
      <w:r>
        <w:rPr>
          <w:rStyle w:val="ac"/>
          <w:rtl/>
        </w:rPr>
        <w:footnoteRef/>
      </w:r>
      <w:r>
        <w:rPr>
          <w:rtl/>
        </w:rPr>
        <w:t xml:space="preserve">ובצינעא הוה ביאת היתר מדאורייתא [כמ"ש </w:t>
      </w:r>
      <w:r>
        <w:rPr>
          <w:b/>
          <w:bCs/>
          <w:rtl/>
        </w:rPr>
        <w:t>תוס</w:t>
      </w:r>
      <w:r>
        <w:rPr>
          <w:rtl/>
        </w:rPr>
        <w:t>' לעיל טז:, אך יש ראשונים דהוה איסור דאורייתא]. [ואפשר דכוונת התוס' דוקא בנבעלה דרך הפקר. אך לא קי"ל כר"א דפנוי הבא על הפנויה עשאה זונה, ומ"ש בעכו"ם. ולא משמע דאיירי במופקרת לזנות].</w:t>
      </w:r>
    </w:p>
  </w:footnote>
  <w:footnote w:id="3713">
    <w:p w14:paraId="1A1514D0" w14:textId="77777777" w:rsidR="006074A5" w:rsidRDefault="006074A5" w:rsidP="006074A5">
      <w:pPr>
        <w:pStyle w:val="Footnote"/>
        <w:bidi/>
      </w:pPr>
      <w:r>
        <w:rPr>
          <w:rStyle w:val="ac"/>
          <w:rtl/>
        </w:rPr>
        <w:footnoteRef/>
      </w:r>
      <w:r>
        <w:rPr>
          <w:rtl/>
        </w:rPr>
        <w:t>אפשר דכוונתו דילפותא (לעיל מה., לקמן סט.) דכי תהיה אלמנה וגרושה קאי אף עכו"ם בעכו"ם.</w:t>
      </w:r>
    </w:p>
  </w:footnote>
  <w:footnote w:id="3714">
    <w:p w14:paraId="35CC3D30" w14:textId="77777777" w:rsidR="006074A5" w:rsidRDefault="006074A5" w:rsidP="006074A5">
      <w:pPr>
        <w:pStyle w:val="Footnote"/>
        <w:bidi/>
      </w:pPr>
      <w:r>
        <w:rPr>
          <w:rStyle w:val="ac"/>
          <w:rtl/>
        </w:rPr>
        <w:footnoteRef/>
      </w:r>
      <w:r>
        <w:rPr>
          <w:rtl/>
        </w:rPr>
        <w:t xml:space="preserve">אך </w:t>
      </w:r>
      <w:r>
        <w:rPr>
          <w:b/>
          <w:bCs/>
          <w:rtl/>
        </w:rPr>
        <w:t>רש"י</w:t>
      </w:r>
      <w:r>
        <w:rPr>
          <w:rtl/>
        </w:rPr>
        <w:t xml:space="preserve"> </w:t>
      </w:r>
      <w:r>
        <w:rPr>
          <w:rtl/>
          <w:lang w:val="he-IL"/>
        </w:rPr>
        <w:t xml:space="preserve">(עה"ת ויקרא כא ז) פי' זונה, שנבעלה בעילת ישראל האסור לה, כגון חייבי כריתות או נתין או ממזר. [משמע דוקא הנך]. אלא דיש </w:t>
      </w:r>
      <w:r>
        <w:rPr>
          <w:b/>
          <w:bCs/>
          <w:rtl/>
          <w:lang w:val="he-IL"/>
        </w:rPr>
        <w:t>ראשונים</w:t>
      </w:r>
      <w:r>
        <w:rPr>
          <w:rtl/>
          <w:lang w:val="he-IL"/>
        </w:rPr>
        <w:t xml:space="preserve"> (חזקוני) שגרסו רק תחילת דברי רש"י, ול"ג כגון וכו'. [וכרש"י כאן דכל פסול לה]</w:t>
      </w:r>
      <w:r>
        <w:rPr>
          <w:rFonts w:cs="Times New Roman"/>
          <w:rtl/>
          <w:lang w:val="he-IL"/>
        </w:rPr>
        <w:t>.</w:t>
      </w:r>
    </w:p>
    <w:p w14:paraId="77543B2B" w14:textId="77777777" w:rsidR="006074A5" w:rsidRDefault="006074A5" w:rsidP="006074A5">
      <w:pPr>
        <w:pStyle w:val="Footnote"/>
        <w:bidi/>
      </w:pPr>
      <w:r>
        <w:rPr>
          <w:rFonts w:cs="Times New Roman"/>
          <w:rtl/>
          <w:lang w:val="he-IL"/>
        </w:rPr>
        <w:tab/>
      </w:r>
      <w:r>
        <w:rPr>
          <w:rtl/>
          <w:lang w:val="he-IL"/>
        </w:rPr>
        <w:t>וה</w:t>
      </w:r>
      <w:r>
        <w:rPr>
          <w:b/>
          <w:bCs/>
          <w:rtl/>
          <w:lang w:val="he-IL"/>
        </w:rPr>
        <w:t>רמב"ן</w:t>
      </w:r>
      <w:r>
        <w:rPr>
          <w:rtl/>
          <w:lang w:val="he-IL"/>
        </w:rPr>
        <w:t xml:space="preserve"> (ויקרא יט כט) הביא דברי רש"י (הנ"ל), וחלק דדוקא חייבי כריתות וע"י ביאת עכו"ם ועבד לוקה משום זונה. אבל נתין וממזר הוה חייבי לאוין ואינו לוקה עליה. ואף שנפסלה מן התרומה ומן הכהונה מקרא (ויקרא כב יב, ע' לקמן סח:) כי תהיה לאיש זר, אבל אינו 'זונה</w:t>
      </w:r>
      <w:r>
        <w:rPr>
          <w:rFonts w:cs="Times New Roman"/>
          <w:rtl/>
          <w:lang w:val="he-IL"/>
        </w:rPr>
        <w:t>'.</w:t>
      </w:r>
    </w:p>
  </w:footnote>
  <w:footnote w:id="3715">
    <w:p w14:paraId="756ECD90" w14:textId="77777777" w:rsidR="006074A5" w:rsidRDefault="006074A5" w:rsidP="006074A5">
      <w:pPr>
        <w:pStyle w:val="Footnote"/>
        <w:bidi/>
      </w:pPr>
      <w:r>
        <w:rPr>
          <w:rStyle w:val="ac"/>
          <w:rtl/>
        </w:rPr>
        <w:footnoteRef/>
      </w:r>
      <w:r>
        <w:rPr>
          <w:rtl/>
        </w:rPr>
        <w:t>[לאפוקי פסולי כהונה דעושה חללה ולא זונה]. ובפשוטו דעת הרמב"ם דקי"ל דכל אשה האסורה הוה בכלל 'שם זונה', משום עצם האיסור. אבל ה</w:t>
      </w:r>
      <w:r>
        <w:rPr>
          <w:b/>
          <w:bCs/>
          <w:rtl/>
        </w:rPr>
        <w:t>גר"א</w:t>
      </w:r>
      <w:r>
        <w:rPr>
          <w:rtl/>
        </w:rPr>
        <w:t xml:space="preserve"> (שם) ביאר דדעת הרמב"ם דילפי' מק"ו דתרומה (לקמן סח:) לפרש מהו זונה האמורה בתורה.</w:t>
      </w:r>
    </w:p>
  </w:footnote>
  <w:footnote w:id="3716">
    <w:p w14:paraId="36D111B6" w14:textId="77777777" w:rsidR="006074A5" w:rsidRDefault="006074A5" w:rsidP="006074A5">
      <w:pPr>
        <w:pStyle w:val="Footnote"/>
        <w:bidi/>
      </w:pPr>
      <w:r>
        <w:rPr>
          <w:rStyle w:val="ac"/>
          <w:rtl/>
        </w:rPr>
        <w:footnoteRef/>
      </w:r>
      <w:r>
        <w:rPr>
          <w:rtl/>
        </w:rPr>
        <w:t>משמע אפי' מחזיר גרושתו ויבמה, והא דאיתא דאינו פוסל, היינו דאינו עושה חללות. [וה</w:t>
      </w:r>
      <w:r>
        <w:rPr>
          <w:b/>
          <w:bCs/>
          <w:rtl/>
        </w:rPr>
        <w:t xml:space="preserve">גר"א </w:t>
      </w:r>
      <w:r>
        <w:rPr>
          <w:rtl/>
        </w:rPr>
        <w:t>(לרמב"ם) כת' דילפי' דבעי זר מעיקרא מתרומה].</w:t>
      </w:r>
    </w:p>
  </w:footnote>
  <w:footnote w:id="3717">
    <w:p w14:paraId="0DA14B76" w14:textId="77777777" w:rsidR="006074A5" w:rsidRDefault="006074A5" w:rsidP="006074A5">
      <w:pPr>
        <w:pStyle w:val="Footnote"/>
        <w:bidi/>
      </w:pPr>
      <w:r>
        <w:rPr>
          <w:rStyle w:val="ac"/>
          <w:rtl/>
        </w:rPr>
        <w:footnoteRef/>
      </w:r>
      <w:r>
        <w:rPr>
          <w:rtl/>
        </w:rPr>
        <w:t xml:space="preserve">אבל </w:t>
      </w:r>
      <w:r>
        <w:rPr>
          <w:b/>
          <w:bCs/>
          <w:rtl/>
        </w:rPr>
        <w:t>ה"ה</w:t>
      </w:r>
      <w:r>
        <w:rPr>
          <w:rtl/>
        </w:rPr>
        <w:t xml:space="preserve"> (בתחילת דבריו) נקט דכוונת הראב"ד דמותרת לינשא לכהונה, ונפסלה רק מתרומה. [והאריך לתמוה ע"ז].</w:t>
      </w:r>
    </w:p>
  </w:footnote>
  <w:footnote w:id="3718">
    <w:p w14:paraId="7FD8A742" w14:textId="77777777" w:rsidR="006074A5" w:rsidRDefault="006074A5" w:rsidP="006074A5">
      <w:pPr>
        <w:pStyle w:val="Footnote"/>
        <w:bidi/>
      </w:pPr>
      <w:r>
        <w:rPr>
          <w:rStyle w:val="ac"/>
          <w:rtl/>
        </w:rPr>
        <w:footnoteRef/>
      </w:r>
      <w:r>
        <w:rPr>
          <w:rtl/>
        </w:rPr>
        <w:t>אך ע' רשב"א (לקמן ע.).</w:t>
      </w:r>
    </w:p>
  </w:footnote>
  <w:footnote w:id="3719">
    <w:p w14:paraId="3595946D" w14:textId="77777777" w:rsidR="006074A5" w:rsidRDefault="006074A5" w:rsidP="006074A5">
      <w:pPr>
        <w:pStyle w:val="Footnote"/>
        <w:bidi/>
      </w:pPr>
      <w:r>
        <w:rPr>
          <w:rStyle w:val="ac"/>
          <w:rtl/>
        </w:rPr>
        <w:footnoteRef/>
      </w:r>
      <w:r>
        <w:rPr>
          <w:rtl/>
        </w:rPr>
        <w:t>ועוד כת' ה</w:t>
      </w:r>
      <w:r>
        <w:rPr>
          <w:b/>
          <w:bCs/>
          <w:rtl/>
        </w:rPr>
        <w:t>רשב"א</w:t>
      </w:r>
      <w:r>
        <w:rPr>
          <w:rtl/>
        </w:rPr>
        <w:t xml:space="preserve"> דלל"ב (לעיל נו:) באונס לא הוה זונה. ומש"ה אתינן עלה משום כי תהיה לאיש זר.</w:t>
      </w:r>
    </w:p>
  </w:footnote>
  <w:footnote w:id="3720">
    <w:p w14:paraId="466BE068" w14:textId="77777777" w:rsidR="006074A5" w:rsidRDefault="006074A5" w:rsidP="006074A5">
      <w:pPr>
        <w:pStyle w:val="Footnote"/>
        <w:bidi/>
      </w:pPr>
      <w:r>
        <w:rPr>
          <w:rStyle w:val="ac"/>
          <w:rtl/>
        </w:rPr>
        <w:footnoteRef/>
      </w:r>
      <w:r>
        <w:rPr>
          <w:rtl/>
        </w:rPr>
        <w:t>וה</w:t>
      </w:r>
      <w:r>
        <w:rPr>
          <w:b/>
          <w:bCs/>
          <w:rtl/>
        </w:rPr>
        <w:t>טור</w:t>
      </w:r>
      <w:r>
        <w:rPr>
          <w:rtl/>
        </w:rPr>
        <w:t xml:space="preserve"> ו</w:t>
      </w:r>
      <w:r>
        <w:rPr>
          <w:b/>
          <w:bCs/>
          <w:rtl/>
        </w:rPr>
        <w:t>שו"ע</w:t>
      </w:r>
      <w:r>
        <w:rPr>
          <w:rtl/>
        </w:rPr>
        <w:t xml:space="preserve"> (שם) פסק דיבמה לשוק עשאה זונה, דהא לא תפסי בה קידושין. [וה</w:t>
      </w:r>
      <w:r>
        <w:rPr>
          <w:b/>
          <w:bCs/>
          <w:rtl/>
        </w:rPr>
        <w:t>פוסקים</w:t>
      </w:r>
      <w:r>
        <w:rPr>
          <w:rtl/>
        </w:rPr>
        <w:t xml:space="preserve"> דנו דקי"ל דצריכה גט מספק. וכת' דהוה לרווחא דמילתא].</w:t>
      </w:r>
    </w:p>
  </w:footnote>
  <w:footnote w:id="3721">
    <w:p w14:paraId="338CC236" w14:textId="77777777" w:rsidR="006074A5" w:rsidRDefault="006074A5" w:rsidP="006074A5">
      <w:pPr>
        <w:pStyle w:val="Footnote"/>
        <w:bidi/>
      </w:pPr>
      <w:r>
        <w:rPr>
          <w:rStyle w:val="ac"/>
          <w:rtl/>
        </w:rPr>
        <w:footnoteRef/>
      </w:r>
      <w:r>
        <w:rPr>
          <w:rtl/>
        </w:rPr>
        <w:t>וכן במשנה (לקמן ע.) מבואר דפצוע דכא פוסל בביאתו. [עי"ש רשב"א]. אך יש לדחות דסתם מתני' כר"ע דאין קידושין תופסין בחייבי לאוין.</w:t>
      </w:r>
    </w:p>
  </w:footnote>
  <w:footnote w:id="3722">
    <w:p w14:paraId="3A034F95" w14:textId="77777777" w:rsidR="006074A5" w:rsidRDefault="006074A5" w:rsidP="006074A5">
      <w:pPr>
        <w:pStyle w:val="Footnote"/>
        <w:bidi/>
      </w:pPr>
      <w:r>
        <w:rPr>
          <w:rStyle w:val="ac"/>
          <w:rtl/>
        </w:rPr>
        <w:footnoteRef/>
      </w:r>
      <w:r>
        <w:rPr>
          <w:rtl/>
        </w:rPr>
        <w:t xml:space="preserve">[וכמ"ש </w:t>
      </w:r>
      <w:r>
        <w:rPr>
          <w:b/>
          <w:bCs/>
          <w:rtl/>
        </w:rPr>
        <w:t>תוס</w:t>
      </w:r>
      <w:r>
        <w:rPr>
          <w:rtl/>
        </w:rPr>
        <w:t>' (לעיל מד: ד"ה הכא) דילפי' לפסול מתרומה מקרא דכי תהי' לאיש זר, וק"ו לכהונה].</w:t>
      </w:r>
    </w:p>
  </w:footnote>
  <w:footnote w:id="3723">
    <w:p w14:paraId="2C10E949" w14:textId="77777777" w:rsidR="006074A5" w:rsidRDefault="006074A5" w:rsidP="006074A5">
      <w:pPr>
        <w:pStyle w:val="Footnote"/>
        <w:bidi/>
      </w:pPr>
      <w:r>
        <w:rPr>
          <w:rStyle w:val="ac"/>
          <w:rtl/>
        </w:rPr>
        <w:footnoteRef/>
      </w:r>
      <w:r>
        <w:rPr>
          <w:rtl/>
        </w:rPr>
        <w:t>וה</w:t>
      </w:r>
      <w:r>
        <w:rPr>
          <w:b/>
          <w:bCs/>
          <w:rtl/>
        </w:rPr>
        <w:t>גר"א</w:t>
      </w:r>
      <w:r>
        <w:rPr>
          <w:rtl/>
        </w:rPr>
        <w:t xml:space="preserve"> (ו כט) כתב דלפ"ז ל"פ אלא בפי' המשנה. [ועיקר המח' בפי' הק"ו וגילוי מילתא (לקמן סח:), דלדעת הרמב"ם גלי דהוה זונה. ולדעת תוס' (לעיל מד:) גלי דלוקה משם חדש].</w:t>
      </w:r>
    </w:p>
  </w:footnote>
  <w:footnote w:id="3724">
    <w:p w14:paraId="1FD26D6A" w14:textId="77777777" w:rsidR="006074A5" w:rsidRDefault="006074A5" w:rsidP="006074A5">
      <w:pPr>
        <w:pStyle w:val="Footnote"/>
        <w:bidi/>
      </w:pPr>
      <w:r>
        <w:rPr>
          <w:rStyle w:val="ac"/>
          <w:rtl/>
        </w:rPr>
        <w:footnoteRef/>
      </w:r>
      <w:r>
        <w:rPr>
          <w:rtl/>
        </w:rPr>
        <w:t>דתנן הרי היא בחזקת בעולה לנתין ולממזר.</w:t>
      </w:r>
    </w:p>
  </w:footnote>
  <w:footnote w:id="3725">
    <w:p w14:paraId="66BC3174" w14:textId="77777777" w:rsidR="006074A5" w:rsidRDefault="006074A5" w:rsidP="006074A5">
      <w:pPr>
        <w:pStyle w:val="Footnote"/>
        <w:bidi/>
      </w:pPr>
      <w:r>
        <w:rPr>
          <w:rStyle w:val="ac"/>
          <w:rtl/>
        </w:rPr>
        <w:footnoteRef/>
      </w:r>
      <w:r>
        <w:rPr>
          <w:rtl/>
        </w:rPr>
        <w:t>אך ה</w:t>
      </w:r>
      <w:r>
        <w:rPr>
          <w:b/>
          <w:bCs/>
          <w:rtl/>
        </w:rPr>
        <w:t>פוסקים</w:t>
      </w:r>
      <w:r>
        <w:rPr>
          <w:rtl/>
        </w:rPr>
        <w:t xml:space="preserve"> דחו דהגאונים וראשונים העתיקו את כל הסוגיות בכתובות שם, ומבואר דקאי להלכה. [אמנם ה</w:t>
      </w:r>
      <w:r>
        <w:rPr>
          <w:b/>
          <w:bCs/>
          <w:rtl/>
        </w:rPr>
        <w:t>טור</w:t>
      </w:r>
      <w:r>
        <w:rPr>
          <w:rtl/>
        </w:rPr>
        <w:t xml:space="preserve"> ו</w:t>
      </w:r>
      <w:r>
        <w:rPr>
          <w:b/>
          <w:bCs/>
          <w:rtl/>
        </w:rPr>
        <w:t>שו"ע</w:t>
      </w:r>
      <w:r>
        <w:rPr>
          <w:rtl/>
        </w:rPr>
        <w:t xml:space="preserve"> (ו יח) הביאו אם היה עכו"ם או חלל או עבד. דהנך לכו"ע פוסלים בביאתן].</w:t>
      </w:r>
    </w:p>
  </w:footnote>
  <w:footnote w:id="3726">
    <w:p w14:paraId="5CC226F3" w14:textId="77777777" w:rsidR="006074A5" w:rsidRDefault="006074A5" w:rsidP="006074A5">
      <w:pPr>
        <w:pStyle w:val="Footnote"/>
        <w:bidi/>
      </w:pPr>
      <w:r>
        <w:rPr>
          <w:rStyle w:val="ac"/>
          <w:rtl/>
        </w:rPr>
        <w:footnoteRef/>
      </w:r>
      <w:r>
        <w:rPr>
          <w:rtl/>
        </w:rPr>
        <w:t>וכן משמע מסתימת דברי הב"י (שם), וכדעת המהרש"א (הנ"ל).</w:t>
      </w:r>
    </w:p>
  </w:footnote>
  <w:footnote w:id="3727">
    <w:p w14:paraId="1F5D2321" w14:textId="77777777" w:rsidR="006074A5" w:rsidRDefault="006074A5" w:rsidP="006074A5">
      <w:pPr>
        <w:pStyle w:val="Footnote"/>
        <w:bidi/>
      </w:pPr>
      <w:r>
        <w:rPr>
          <w:rStyle w:val="ac"/>
          <w:rtl/>
        </w:rPr>
        <w:footnoteRef/>
      </w:r>
      <w:r>
        <w:rPr>
          <w:rtl/>
        </w:rPr>
        <w:t>וה</w:t>
      </w:r>
      <w:r>
        <w:rPr>
          <w:b/>
          <w:bCs/>
          <w:rtl/>
        </w:rPr>
        <w:t>פוסקים</w:t>
      </w:r>
      <w:r>
        <w:rPr>
          <w:rtl/>
        </w:rPr>
        <w:t xml:space="preserve"> נקטו דמשום כי תהיה לאיש זר אינו לוקה. [וכת' דלא קי"ל כגמ' לקמן סח: דהוה גילוי מילתא, עי"ש]. וכ"ד ה</w:t>
      </w:r>
      <w:r>
        <w:rPr>
          <w:b/>
          <w:bCs/>
          <w:rtl/>
        </w:rPr>
        <w:t>ראב"ד</w:t>
      </w:r>
      <w:r>
        <w:rPr>
          <w:rtl/>
        </w:rPr>
        <w:t xml:space="preserve"> ו</w:t>
      </w:r>
      <w:r>
        <w:rPr>
          <w:b/>
          <w:bCs/>
          <w:rtl/>
        </w:rPr>
        <w:t>רמב"ן</w:t>
      </w:r>
      <w:r>
        <w:rPr>
          <w:rtl/>
        </w:rPr>
        <w:t xml:space="preserve"> (לעיל נו:) דמשום כי תהיה לאיש זר אינו לוקה. אבל דעת </w:t>
      </w:r>
      <w:r>
        <w:rPr>
          <w:b/>
          <w:bCs/>
          <w:rtl/>
        </w:rPr>
        <w:t>תוס</w:t>
      </w:r>
      <w:r>
        <w:rPr>
          <w:rtl/>
        </w:rPr>
        <w:t>' (לעיל לה. ומד:) לוקה משום כי תהיה לאיש זר, א"כ כל הנפק"מ משום מאי מתרינן ביה.</w:t>
      </w:r>
    </w:p>
  </w:footnote>
  <w:footnote w:id="3728">
    <w:p w14:paraId="53195D36" w14:textId="77777777" w:rsidR="006074A5" w:rsidRDefault="006074A5" w:rsidP="006074A5">
      <w:pPr>
        <w:pStyle w:val="Footnote"/>
        <w:bidi/>
      </w:pPr>
      <w:r>
        <w:rPr>
          <w:rStyle w:val="ac"/>
          <w:rtl/>
        </w:rPr>
        <w:footnoteRef/>
      </w:r>
      <w:r>
        <w:rPr>
          <w:rtl/>
        </w:rPr>
        <w:t>ולכאו' לוקה משום זונה. א"נ הוה אסמכתא בעלמא.</w:t>
      </w:r>
    </w:p>
  </w:footnote>
  <w:footnote w:id="3729">
    <w:p w14:paraId="0F19D19D" w14:textId="77777777" w:rsidR="006074A5" w:rsidRDefault="006074A5" w:rsidP="006074A5">
      <w:pPr>
        <w:pStyle w:val="Footnote"/>
        <w:bidi/>
      </w:pPr>
      <w:r>
        <w:rPr>
          <w:rStyle w:val="ac"/>
          <w:rtl/>
        </w:rPr>
        <w:footnoteRef/>
      </w:r>
      <w:r>
        <w:rPr>
          <w:rtl/>
        </w:rPr>
        <w:t>היכא דנשאה כשהיתה בת בנים. ויל"ד האם רשאי לישא זקינה, דעכשיו אינה בת פירצה. או דסגי שהיתה בת בנים מעיקרא. וכן יל"ד בבת בנים ואח"כ שתתה כוס עיקרין.</w:t>
      </w:r>
    </w:p>
  </w:footnote>
  <w:footnote w:id="3730">
    <w:p w14:paraId="6C8B2436" w14:textId="77777777" w:rsidR="006074A5" w:rsidRDefault="006074A5" w:rsidP="006074A5">
      <w:pPr>
        <w:pStyle w:val="Footnote"/>
        <w:bidi/>
      </w:pPr>
      <w:r>
        <w:rPr>
          <w:rStyle w:val="ac"/>
          <w:rtl/>
        </w:rPr>
        <w:footnoteRef/>
      </w:r>
      <w:r>
        <w:rPr>
          <w:rtl/>
        </w:rPr>
        <w:t xml:space="preserve">ודעת </w:t>
      </w:r>
      <w:r>
        <w:rPr>
          <w:b/>
          <w:bCs/>
          <w:rtl/>
        </w:rPr>
        <w:t>רש"י</w:t>
      </w:r>
      <w:r>
        <w:rPr>
          <w:rtl/>
        </w:rPr>
        <w:t xml:space="preserve"> (גיטין מו:) דאילונית בעי גט. וכ"כ ה</w:t>
      </w:r>
      <w:r>
        <w:rPr>
          <w:b/>
          <w:bCs/>
          <w:rtl/>
        </w:rPr>
        <w:t>ראשונים</w:t>
      </w:r>
      <w:r>
        <w:rPr>
          <w:rtl/>
        </w:rPr>
        <w:t xml:space="preserve"> (ב:) בשם </w:t>
      </w:r>
      <w:r>
        <w:rPr>
          <w:b/>
          <w:bCs/>
          <w:rtl/>
        </w:rPr>
        <w:t>ר"ת</w:t>
      </w:r>
      <w:r>
        <w:rPr>
          <w:rtl/>
        </w:rPr>
        <w:t>, וב</w:t>
      </w:r>
      <w:r>
        <w:rPr>
          <w:b/>
          <w:bCs/>
          <w:rtl/>
        </w:rPr>
        <w:t>תוס' חד מקמאי</w:t>
      </w:r>
      <w:r>
        <w:rPr>
          <w:rtl/>
        </w:rPr>
        <w:t xml:space="preserve"> (יב.) כתבו דבעי גט מדרבנן או מדאוריי' מספק. ול</w:t>
      </w:r>
      <w:r>
        <w:rPr>
          <w:b/>
          <w:bCs/>
          <w:rtl/>
        </w:rPr>
        <w:t>ר' אברהם מבורגוייל</w:t>
      </w:r>
      <w:r>
        <w:rPr>
          <w:rtl/>
        </w:rPr>
        <w:t xml:space="preserve"> אף איילונית צריך גט אם לא הקפיד הבעל [דומיא דשאר מום, ע' </w:t>
      </w:r>
      <w:r>
        <w:rPr>
          <w:b/>
          <w:bCs/>
          <w:rtl/>
        </w:rPr>
        <w:t>תוס</w:t>
      </w:r>
      <w:r>
        <w:rPr>
          <w:rtl/>
        </w:rPr>
        <w:t>' לעיל נו.].</w:t>
      </w:r>
    </w:p>
  </w:footnote>
  <w:footnote w:id="3731">
    <w:p w14:paraId="30F923F4" w14:textId="77777777" w:rsidR="006074A5" w:rsidRDefault="006074A5" w:rsidP="006074A5">
      <w:pPr>
        <w:pStyle w:val="Footnote"/>
        <w:bidi/>
      </w:pPr>
      <w:r>
        <w:rPr>
          <w:rStyle w:val="ac"/>
          <w:rtl/>
        </w:rPr>
        <w:footnoteRef/>
      </w:r>
      <w:r>
        <w:rPr>
          <w:rtl/>
        </w:rPr>
        <w:t>ויש לדחות דכוונת רש"י דכיון דראוי להתקיים אצלו, א"כ יתכן דאישות היבום תביא לידי הקמת שם [אבל לא בעי שתתקיים בפועל].</w:t>
      </w:r>
    </w:p>
  </w:footnote>
  <w:footnote w:id="3732">
    <w:p w14:paraId="60E516B0" w14:textId="77777777" w:rsidR="006074A5" w:rsidRDefault="006074A5" w:rsidP="006074A5">
      <w:pPr>
        <w:pStyle w:val="Footnote"/>
        <w:bidi/>
      </w:pPr>
      <w:r>
        <w:rPr>
          <w:rStyle w:val="ac"/>
          <w:rtl/>
        </w:rPr>
        <w:footnoteRef/>
      </w:r>
      <w:r>
        <w:rPr>
          <w:rtl/>
        </w:rPr>
        <w:t>[או עכ"פ עד שתהא בת י"א ויום א', כדאמרי' לעיל יב:].</w:t>
      </w:r>
    </w:p>
  </w:footnote>
  <w:footnote w:id="3733">
    <w:p w14:paraId="4FA44FFA" w14:textId="77777777" w:rsidR="006074A5" w:rsidRDefault="006074A5" w:rsidP="006074A5">
      <w:pPr>
        <w:pStyle w:val="Footnote"/>
        <w:bidi/>
      </w:pPr>
      <w:r>
        <w:rPr>
          <w:rStyle w:val="ac"/>
          <w:rtl/>
        </w:rPr>
        <w:footnoteRef/>
      </w:r>
      <w:r>
        <w:rPr>
          <w:rtl/>
        </w:rPr>
        <w:t>[ו</w:t>
      </w:r>
      <w:r>
        <w:rPr>
          <w:b/>
          <w:bCs/>
          <w:rtl/>
        </w:rPr>
        <w:t>תוס</w:t>
      </w:r>
      <w:r>
        <w:rPr>
          <w:rtl/>
        </w:rPr>
        <w:t>' חידשו דסגי דהיבם בר הקמת שם].</w:t>
      </w:r>
    </w:p>
  </w:footnote>
  <w:footnote w:id="3734">
    <w:p w14:paraId="6D9D1531" w14:textId="77777777" w:rsidR="006074A5" w:rsidRDefault="006074A5" w:rsidP="006074A5">
      <w:pPr>
        <w:pStyle w:val="Footnote"/>
        <w:bidi/>
      </w:pPr>
      <w:r>
        <w:rPr>
          <w:rStyle w:val="ac"/>
          <w:rtl/>
        </w:rPr>
        <w:footnoteRef/>
      </w:r>
      <w:r>
        <w:rPr>
          <w:rtl/>
        </w:rPr>
        <w:t>דומיא דס"ד דעדיין יבומין ראשונים עליה [לעיל לט.], דמ"מ נפטרה צרתה.</w:t>
      </w:r>
    </w:p>
  </w:footnote>
  <w:footnote w:id="3735">
    <w:p w14:paraId="3E42DDCE" w14:textId="77777777" w:rsidR="006074A5" w:rsidRDefault="006074A5" w:rsidP="006074A5">
      <w:pPr>
        <w:pStyle w:val="Footnote"/>
        <w:bidi/>
      </w:pPr>
      <w:r>
        <w:rPr>
          <w:rStyle w:val="ac"/>
          <w:rtl/>
        </w:rPr>
        <w:footnoteRef/>
      </w:r>
      <w:r>
        <w:rPr>
          <w:rtl/>
        </w:rPr>
        <w:t>ומשמע לפ"ז דיש ב' מצוות ביאת יבום, בביאה ראשונה הוה קיום המצוה והקנין. ומ"מ יש מצוות הקמת שם [ויל"ד דהוה מצוה בעלמא, ולא שייך ע"ז ביטול מצווה]. ועוד דנו ה</w:t>
      </w:r>
      <w:r>
        <w:rPr>
          <w:b/>
          <w:bCs/>
          <w:rtl/>
        </w:rPr>
        <w:t>אחרונים</w:t>
      </w:r>
      <w:r>
        <w:rPr>
          <w:rtl/>
        </w:rPr>
        <w:t xml:space="preserve"> ע"פ דברי ה</w:t>
      </w:r>
      <w:r>
        <w:rPr>
          <w:b/>
          <w:bCs/>
          <w:rtl/>
        </w:rPr>
        <w:t>רמב"ן</w:t>
      </w:r>
      <w:r>
        <w:rPr>
          <w:rtl/>
        </w:rPr>
        <w:t xml:space="preserve"> (כט.) דמאמר לבי"ש [אף למ"ד דקנאה לגמרי], מ"מ לא קיים מצוות יבום, וה"נ י"ל בהעראה וקטנה ושלא כדרכה. [ולפ"ז הפטור זיקה וקנין היבום לא שייך למצוות עשה דהתורה, ובזה לא איתרבי העראה. וצ"ע].</w:t>
      </w:r>
    </w:p>
  </w:footnote>
  <w:footnote w:id="3736">
    <w:p w14:paraId="2643FBFB" w14:textId="77777777" w:rsidR="006074A5" w:rsidRDefault="006074A5" w:rsidP="006074A5">
      <w:pPr>
        <w:pStyle w:val="Footnote"/>
        <w:bidi/>
      </w:pPr>
      <w:r>
        <w:rPr>
          <w:rStyle w:val="ac"/>
          <w:rtl/>
        </w:rPr>
        <w:footnoteRef/>
      </w:r>
      <w:r>
        <w:rPr>
          <w:rtl/>
        </w:rPr>
        <w:t>אך מ"מ יש גזירה שמא תפטור צרתה. [וי"ל דהראשונים קאי על הלשון 'פגע בערוה', אבל עיקר דברי ר"מ בכל אופן].</w:t>
      </w:r>
    </w:p>
  </w:footnote>
  <w:footnote w:id="3737">
    <w:p w14:paraId="1926A55A" w14:textId="77777777" w:rsidR="006074A5" w:rsidRDefault="006074A5" w:rsidP="006074A5">
      <w:pPr>
        <w:pStyle w:val="Footnote"/>
        <w:bidi/>
      </w:pPr>
      <w:r>
        <w:rPr>
          <w:rStyle w:val="ac"/>
          <w:rtl/>
        </w:rPr>
        <w:footnoteRef/>
      </w:r>
      <w:r>
        <w:rPr>
          <w:rtl/>
        </w:rPr>
        <w:t>וה</w:t>
      </w:r>
      <w:r>
        <w:rPr>
          <w:b/>
          <w:bCs/>
          <w:rtl/>
        </w:rPr>
        <w:t>ט"ז</w:t>
      </w:r>
      <w:r>
        <w:rPr>
          <w:rtl/>
        </w:rPr>
        <w:t xml:space="preserve"> (כו א) כתב דהלכה כר"ע דהיכא דנבעלה ב' פעמים, ועברה בלאו דלא יהא קדשה, אסורה לכהונה. [וה</w:t>
      </w:r>
      <w:r>
        <w:rPr>
          <w:b/>
          <w:bCs/>
          <w:rtl/>
        </w:rPr>
        <w:t>חזו"א</w:t>
      </w:r>
      <w:r>
        <w:rPr>
          <w:rtl/>
        </w:rPr>
        <w:t xml:space="preserve"> (טו א) כתב דכ"מ בתמורה דקי"ל כר"ע, ואפשר דרבנן לא פליגי]. [אבל שאר פוסקים לא הביאו דין זה].</w:t>
      </w:r>
    </w:p>
  </w:footnote>
  <w:footnote w:id="3738">
    <w:p w14:paraId="7AA22703" w14:textId="77777777" w:rsidR="006074A5" w:rsidRDefault="006074A5" w:rsidP="006074A5">
      <w:pPr>
        <w:pStyle w:val="Footnote"/>
        <w:bidi/>
      </w:pPr>
      <w:r>
        <w:rPr>
          <w:rStyle w:val="ac"/>
          <w:rtl/>
        </w:rPr>
        <w:footnoteRef/>
      </w:r>
      <w:r>
        <w:rPr>
          <w:rtl/>
        </w:rPr>
        <w:t xml:space="preserve">וכ"ד </w:t>
      </w:r>
      <w:r>
        <w:rPr>
          <w:b/>
          <w:bCs/>
          <w:rtl/>
        </w:rPr>
        <w:t>תוס</w:t>
      </w:r>
      <w:r>
        <w:rPr>
          <w:rtl/>
        </w:rPr>
        <w:t xml:space="preserve">' (סוטה כח.). [וכן תוס' יא. סוד"ה צרת כת' דליכא לאו בסוטה ספק]. אבל </w:t>
      </w:r>
      <w:r>
        <w:rPr>
          <w:b/>
          <w:bCs/>
          <w:rtl/>
        </w:rPr>
        <w:t>תוס</w:t>
      </w:r>
      <w:r>
        <w:rPr>
          <w:rtl/>
        </w:rPr>
        <w:t>' (לעיל יא: ד"ה מאי, ולקמן פה:) הביאו דלוקה.</w:t>
      </w:r>
    </w:p>
  </w:footnote>
  <w:footnote w:id="3739">
    <w:p w14:paraId="39BF9C92" w14:textId="77777777" w:rsidR="006074A5" w:rsidRDefault="006074A5" w:rsidP="006074A5">
      <w:pPr>
        <w:pStyle w:val="Footnote"/>
        <w:bidi/>
      </w:pPr>
      <w:r>
        <w:rPr>
          <w:rStyle w:val="ac"/>
          <w:rtl/>
        </w:rPr>
        <w:footnoteRef/>
      </w:r>
      <w:r>
        <w:rPr>
          <w:rtl/>
        </w:rPr>
        <w:t>וכעי"ז כתב ה</w:t>
      </w:r>
      <w:r>
        <w:rPr>
          <w:b/>
          <w:bCs/>
          <w:rtl/>
        </w:rPr>
        <w:t>גר"ח</w:t>
      </w:r>
      <w:r>
        <w:rPr>
          <w:rtl/>
        </w:rPr>
        <w:t xml:space="preserve"> (איסו"ב א כב) ליישב דברי ה</w:t>
      </w:r>
      <w:r>
        <w:rPr>
          <w:b/>
          <w:bCs/>
          <w:rtl/>
        </w:rPr>
        <w:t>רמב"ם</w:t>
      </w:r>
      <w:r>
        <w:rPr>
          <w:rtl/>
        </w:rPr>
        <w:t xml:space="preserve"> (שם) דכהן לוקה ע"י קינוי וסתירה וע"א, והקשה הראב"ד דאינה זונה אלא שם טומאה. ותי' הגר"ח דכיון דהוכרע דהוה טומאה, עי"ז הכהן עושה אותה חללה.</w:t>
      </w:r>
    </w:p>
  </w:footnote>
  <w:footnote w:id="3740">
    <w:p w14:paraId="06E657E5" w14:textId="77777777" w:rsidR="006074A5" w:rsidRDefault="006074A5" w:rsidP="006074A5">
      <w:pPr>
        <w:pStyle w:val="Footnote"/>
        <w:bidi/>
      </w:pPr>
      <w:r>
        <w:rPr>
          <w:rStyle w:val="ac"/>
          <w:rtl/>
        </w:rPr>
        <w:footnoteRef/>
      </w:r>
      <w:r>
        <w:rPr>
          <w:rtl/>
        </w:rPr>
        <w:t>וה</w:t>
      </w:r>
      <w:r>
        <w:rPr>
          <w:b/>
          <w:bCs/>
          <w:rtl/>
        </w:rPr>
        <w:t>אחרונים</w:t>
      </w:r>
      <w:r>
        <w:rPr>
          <w:rtl/>
        </w:rPr>
        <w:t xml:space="preserve"> (אחיעזר א א, קובה"ע טו) העמידו דנח' בזה הראשונים בגדר הא דהתורה עושה ספק סוטה כודאי, ד</w:t>
      </w:r>
      <w:r>
        <w:rPr>
          <w:b/>
          <w:bCs/>
          <w:rtl/>
        </w:rPr>
        <w:t>תוס</w:t>
      </w:r>
      <w:r>
        <w:rPr>
          <w:rtl/>
        </w:rPr>
        <w:t xml:space="preserve">' (לעיל יא. ד"ה צרת) כת' דאסרה התורה משום הספק [דטומאה כתיב על ודאי נבעלה]. ואילו </w:t>
      </w:r>
      <w:r>
        <w:rPr>
          <w:b/>
          <w:bCs/>
          <w:rtl/>
        </w:rPr>
        <w:t>תוס</w:t>
      </w:r>
      <w:r>
        <w:rPr>
          <w:rtl/>
        </w:rPr>
        <w:t>' (סוטה כח.) כת' דהתורה עושיתו לאו הבא מכלל עשה, ואפי' אם היא טהורה נענש בבי"ד של מעלה [כחייבי עשה]. ואף על הצד שלא זינתה, התורה טמאה [מחמת הספק].</w:t>
      </w:r>
    </w:p>
  </w:footnote>
  <w:footnote w:id="3741">
    <w:p w14:paraId="4DC6B146" w14:textId="77777777" w:rsidR="006074A5" w:rsidRDefault="006074A5" w:rsidP="006074A5">
      <w:pPr>
        <w:pStyle w:val="Footnote"/>
        <w:bidi/>
      </w:pPr>
      <w:r>
        <w:rPr>
          <w:rStyle w:val="ac"/>
          <w:rtl/>
        </w:rPr>
        <w:footnoteRef/>
      </w:r>
      <w:r>
        <w:rPr>
          <w:rtl/>
        </w:rPr>
        <w:t>ומש"ה כת' תוס' (סוטה הנ"ל) דהוה איסור עשה. ואילו התוס' דס"ל דסוטה ספק לוקה, ע"כ הוה משום הכרעה, שהוכרע כצד דבאמת נטמא.</w:t>
      </w:r>
    </w:p>
  </w:footnote>
  <w:footnote w:id="3742">
    <w:p w14:paraId="5A8BB666" w14:textId="77777777" w:rsidR="006074A5" w:rsidRDefault="006074A5" w:rsidP="006074A5">
      <w:pPr>
        <w:pStyle w:val="Footnote"/>
        <w:bidi/>
      </w:pPr>
      <w:r>
        <w:rPr>
          <w:rStyle w:val="ac"/>
          <w:rtl/>
        </w:rPr>
        <w:footnoteRef/>
      </w:r>
      <w:r>
        <w:rPr>
          <w:rtl/>
        </w:rPr>
        <w:t>ועד"ז כת' ה</w:t>
      </w:r>
      <w:r>
        <w:rPr>
          <w:b/>
          <w:bCs/>
          <w:rtl/>
        </w:rPr>
        <w:t>גר"ח</w:t>
      </w:r>
      <w:r>
        <w:rPr>
          <w:rtl/>
        </w:rPr>
        <w:t xml:space="preserve"> (איסו"ב א כב).</w:t>
      </w:r>
    </w:p>
  </w:footnote>
  <w:footnote w:id="3743">
    <w:p w14:paraId="3CE15D71" w14:textId="77777777" w:rsidR="006074A5" w:rsidRDefault="006074A5" w:rsidP="006074A5">
      <w:pPr>
        <w:pStyle w:val="Footnote"/>
        <w:bidi/>
      </w:pPr>
      <w:r>
        <w:rPr>
          <w:rStyle w:val="ac"/>
          <w:rtl/>
        </w:rPr>
        <w:footnoteRef/>
      </w:r>
      <w:r>
        <w:rPr>
          <w:rtl/>
        </w:rPr>
        <w:t>דמ"מ עבר על איסור הנהגה דספק כודאי. ולכאורה כוונתו כצד דהוה טומאה חדשה מחמת הספק. [ומ"מ יש בזה חידוש, דבכל ספק טומאה אחרי שנתברר, אמרי' דנעקר למפרע הדין ספק כודאי. ואף מי שנגע בו בשעת ספק אינו טמא. ואפשר דמ"מ נענש. וצריך תלמוד בגדרי 'למפרע'].</w:t>
      </w:r>
    </w:p>
  </w:footnote>
  <w:footnote w:id="3744">
    <w:p w14:paraId="2CCA9197" w14:textId="77777777" w:rsidR="006074A5" w:rsidRDefault="006074A5" w:rsidP="006074A5">
      <w:pPr>
        <w:pStyle w:val="Footnote"/>
        <w:bidi/>
      </w:pPr>
      <w:r>
        <w:rPr>
          <w:rStyle w:val="ac"/>
          <w:rtl/>
        </w:rPr>
        <w:footnoteRef/>
      </w:r>
      <w:r>
        <w:rPr>
          <w:rtl/>
        </w:rPr>
        <w:t>[שאינה זר מעיקרא].</w:t>
      </w:r>
    </w:p>
  </w:footnote>
  <w:footnote w:id="3745">
    <w:p w14:paraId="72402A04" w14:textId="77777777" w:rsidR="006074A5" w:rsidRDefault="006074A5" w:rsidP="006074A5">
      <w:pPr>
        <w:pStyle w:val="Footnote"/>
        <w:bidi/>
      </w:pPr>
      <w:r>
        <w:rPr>
          <w:rStyle w:val="ac"/>
          <w:rtl/>
        </w:rPr>
        <w:footnoteRef/>
      </w:r>
      <w:r>
        <w:rPr>
          <w:rtl/>
        </w:rPr>
        <w:t>ואילו סוטה ספק הוה איסור עשה. [וצ"ב היכן מרומז כן בדבריהם דבעינן דוקא חייבי לאוין].</w:t>
      </w:r>
    </w:p>
  </w:footnote>
  <w:footnote w:id="3746">
    <w:p w14:paraId="2298C554" w14:textId="77777777" w:rsidR="006074A5" w:rsidRDefault="006074A5" w:rsidP="006074A5">
      <w:pPr>
        <w:pStyle w:val="Footnote"/>
        <w:bidi/>
      </w:pPr>
      <w:r>
        <w:rPr>
          <w:rStyle w:val="ac"/>
          <w:rtl/>
        </w:rPr>
        <w:footnoteRef/>
      </w:r>
      <w:r>
        <w:rPr>
          <w:rtl/>
        </w:rPr>
        <w:t>אך פצוע דכא פוסל את אשתו (כדתנן לקמן ע.).</w:t>
      </w:r>
    </w:p>
  </w:footnote>
  <w:footnote w:id="3747">
    <w:p w14:paraId="59D6F451" w14:textId="77777777" w:rsidR="006074A5" w:rsidRDefault="006074A5" w:rsidP="006074A5">
      <w:pPr>
        <w:pStyle w:val="Footnote"/>
        <w:bidi/>
      </w:pPr>
      <w:r>
        <w:rPr>
          <w:rStyle w:val="ac"/>
          <w:rtl/>
        </w:rPr>
        <w:footnoteRef/>
      </w:r>
      <w:r>
        <w:rPr>
          <w:rtl/>
        </w:rPr>
        <w:t>וישא אשה דלאו בת בנים. וה</w:t>
      </w:r>
      <w:r>
        <w:rPr>
          <w:b/>
          <w:bCs/>
          <w:rtl/>
        </w:rPr>
        <w:t>נמוק"י</w:t>
      </w:r>
      <w:r>
        <w:rPr>
          <w:rtl/>
        </w:rPr>
        <w:t xml:space="preserve"> כת' היכא דיש לו בנים אין איסור לישא אשה דלאו בת בנים, דכל שהוא דרך פריה ורביה לא חשיב השחתת זרע.</w:t>
      </w:r>
    </w:p>
  </w:footnote>
  <w:footnote w:id="3748">
    <w:p w14:paraId="2667A83C" w14:textId="77777777" w:rsidR="006074A5" w:rsidRDefault="006074A5" w:rsidP="006074A5">
      <w:pPr>
        <w:pStyle w:val="Footnote"/>
        <w:bidi/>
      </w:pPr>
      <w:r>
        <w:rPr>
          <w:rStyle w:val="ac"/>
          <w:rtl/>
        </w:rPr>
        <w:footnoteRef/>
      </w:r>
      <w:r>
        <w:rPr>
          <w:rtl/>
        </w:rPr>
        <w:t>ומשמע דהוה גדר 'איסור', ולכאו' גרע מביטול מצווה.</w:t>
      </w:r>
    </w:p>
  </w:footnote>
  <w:footnote w:id="3749">
    <w:p w14:paraId="71ADD358" w14:textId="77777777" w:rsidR="006074A5" w:rsidRDefault="006074A5" w:rsidP="006074A5">
      <w:pPr>
        <w:pStyle w:val="Footnote"/>
        <w:bidi/>
      </w:pPr>
      <w:r>
        <w:rPr>
          <w:rStyle w:val="ac"/>
          <w:rtl/>
        </w:rPr>
        <w:footnoteRef/>
      </w:r>
      <w:r>
        <w:rPr>
          <w:rtl/>
        </w:rPr>
        <w:t>וביאר דאע"ג דבגמ' איתא הטעם משום שבת יצרה, מ"מ הרהור חמיר משבת יצרה.</w:t>
      </w:r>
    </w:p>
  </w:footnote>
  <w:footnote w:id="3750">
    <w:p w14:paraId="3491D719" w14:textId="77777777" w:rsidR="006074A5" w:rsidRDefault="006074A5" w:rsidP="006074A5">
      <w:pPr>
        <w:pStyle w:val="Footnote"/>
        <w:bidi/>
      </w:pPr>
      <w:r>
        <w:rPr>
          <w:rStyle w:val="ac"/>
          <w:rtl/>
        </w:rPr>
        <w:footnoteRef/>
      </w:r>
      <w:r>
        <w:rPr>
          <w:rtl/>
        </w:rPr>
        <w:t>וע' (סנהדרין לז.) בהא דנברא אדם יחידי.</w:t>
      </w:r>
    </w:p>
  </w:footnote>
  <w:footnote w:id="3751">
    <w:p w14:paraId="59F5A4EF" w14:textId="77777777" w:rsidR="006074A5" w:rsidRDefault="006074A5" w:rsidP="006074A5">
      <w:pPr>
        <w:pStyle w:val="Footnote"/>
        <w:bidi/>
      </w:pPr>
      <w:r>
        <w:rPr>
          <w:rStyle w:val="ac"/>
          <w:rtl/>
        </w:rPr>
        <w:footnoteRef/>
      </w:r>
      <w:r>
        <w:rPr>
          <w:rtl/>
        </w:rPr>
        <w:t>א"נ מאחר דמשה לא היה לו נקיבה, ע"כ לא נילף ממשה.</w:t>
      </w:r>
    </w:p>
  </w:footnote>
  <w:footnote w:id="3752">
    <w:p w14:paraId="3FC55046" w14:textId="77777777" w:rsidR="006074A5" w:rsidRDefault="006074A5" w:rsidP="006074A5">
      <w:pPr>
        <w:pStyle w:val="Footnote"/>
        <w:bidi/>
      </w:pPr>
      <w:r>
        <w:rPr>
          <w:rStyle w:val="ac"/>
          <w:rtl/>
        </w:rPr>
        <w:footnoteRef/>
      </w:r>
      <w:r>
        <w:rPr>
          <w:rtl/>
        </w:rPr>
        <w:t>וכ"כ ה</w:t>
      </w:r>
      <w:r>
        <w:rPr>
          <w:b/>
          <w:bCs/>
          <w:rtl/>
        </w:rPr>
        <w:t>ערוה"ש</w:t>
      </w:r>
      <w:r>
        <w:rPr>
          <w:rtl/>
        </w:rPr>
        <w:t xml:space="preserve"> (א יט) דהא דאמרי' קיים פו"ר, אין הכוונה שקיים מצות עשה זו. אלא כלומר שקיים פו"ר שעתה אינה מוטלת עליו מצות פו"ר. דכיון שעשה שבת בעולם שוב לא נתחייב במצוה זו.</w:t>
      </w:r>
    </w:p>
  </w:footnote>
  <w:footnote w:id="3753">
    <w:p w14:paraId="0FA5530B" w14:textId="77777777" w:rsidR="006074A5" w:rsidRDefault="006074A5" w:rsidP="006074A5">
      <w:pPr>
        <w:pStyle w:val="Footnote"/>
        <w:bidi/>
      </w:pPr>
      <w:r>
        <w:rPr>
          <w:rStyle w:val="ac"/>
          <w:rtl/>
        </w:rPr>
        <w:footnoteRef/>
      </w:r>
      <w:r>
        <w:rPr>
          <w:rtl/>
        </w:rPr>
        <w:t>אבל ה</w:t>
      </w:r>
      <w:r>
        <w:rPr>
          <w:b/>
          <w:bCs/>
          <w:rtl/>
        </w:rPr>
        <w:t>מהר"צ חיות</w:t>
      </w:r>
      <w:r>
        <w:rPr>
          <w:rtl/>
        </w:rPr>
        <w:t xml:space="preserve"> כתב דקיים עכ"פ שבת, ותו לא כפינן על פר"ו [וכמ"ש תוס' לגבי חצי עבד]. וצ"ב דבסוגיין משמע דאינו חייב, ולא שלא כייפינן.</w:t>
      </w:r>
    </w:p>
  </w:footnote>
  <w:footnote w:id="3754">
    <w:p w14:paraId="546F76A8" w14:textId="77777777" w:rsidR="006074A5" w:rsidRDefault="006074A5" w:rsidP="006074A5">
      <w:pPr>
        <w:pStyle w:val="Footnote"/>
        <w:bidi/>
      </w:pPr>
      <w:r>
        <w:rPr>
          <w:rStyle w:val="ac"/>
          <w:rtl/>
        </w:rPr>
        <w:footnoteRef/>
      </w:r>
      <w:r>
        <w:rPr>
          <w:rtl/>
        </w:rPr>
        <w:t>[ומש"ה לא אמרי' עשה דוחה ל"ת, דבשעת העראה ליכא עשה. ואינה בעידנא].</w:t>
      </w:r>
    </w:p>
  </w:footnote>
  <w:footnote w:id="3755">
    <w:p w14:paraId="5327E492" w14:textId="77777777" w:rsidR="006074A5" w:rsidRDefault="006074A5" w:rsidP="006074A5">
      <w:pPr>
        <w:pStyle w:val="Footnote"/>
        <w:bidi/>
      </w:pPr>
      <w:r>
        <w:rPr>
          <w:rStyle w:val="ac"/>
          <w:rtl/>
        </w:rPr>
        <w:footnoteRef/>
      </w:r>
      <w:r>
        <w:rPr>
          <w:rtl/>
        </w:rPr>
        <w:t>וה</w:t>
      </w:r>
      <w:r>
        <w:rPr>
          <w:b/>
          <w:bCs/>
          <w:rtl/>
        </w:rPr>
        <w:t>משנ"ל</w:t>
      </w:r>
      <w:r>
        <w:rPr>
          <w:rtl/>
        </w:rPr>
        <w:t xml:space="preserve"> (אישות טו ד) חלק דאין מציאות דתתעבר באמבטי, והביא כן מ</w:t>
      </w:r>
      <w:r>
        <w:rPr>
          <w:b/>
          <w:bCs/>
          <w:rtl/>
        </w:rPr>
        <w:t>תוס</w:t>
      </w:r>
      <w:r>
        <w:rPr>
          <w:rtl/>
        </w:rPr>
        <w:t>' (לעיל נה: ד"ה אינו) דבהעראה אין האשה מתעברת, וכ"ש באמבטי. [אבל ה</w:t>
      </w:r>
      <w:r>
        <w:rPr>
          <w:b/>
          <w:bCs/>
          <w:rtl/>
        </w:rPr>
        <w:t>שעה"מ</w:t>
      </w:r>
      <w:r>
        <w:rPr>
          <w:rtl/>
        </w:rPr>
        <w:t xml:space="preserve"> (איסו"ב ג טו) הוכיח מרש"י (לעיל לד:) דראוי להתעבר בהעראה]. וה</w:t>
      </w:r>
      <w:r>
        <w:rPr>
          <w:b/>
          <w:bCs/>
          <w:rtl/>
        </w:rPr>
        <w:t>חזו"א</w:t>
      </w:r>
      <w:r>
        <w:rPr>
          <w:rtl/>
        </w:rPr>
        <w:t xml:space="preserve"> (יד יא) דחה דאם מזריע בהעראה אינו מחמת הביאה, אלא מחמת חימום דרך אברים, ולכן לא נחשב ש"ז לענין שפחה חרופה. ואף אם תתעבר הוה בכח של קליטת אמבטי.</w:t>
      </w:r>
    </w:p>
  </w:footnote>
  <w:footnote w:id="3756">
    <w:p w14:paraId="3C789134" w14:textId="77777777" w:rsidR="006074A5" w:rsidRDefault="006074A5" w:rsidP="006074A5">
      <w:pPr>
        <w:pStyle w:val="Footnote"/>
        <w:bidi/>
      </w:pPr>
      <w:r>
        <w:rPr>
          <w:rStyle w:val="ac"/>
          <w:rtl/>
        </w:rPr>
        <w:footnoteRef/>
      </w:r>
      <w:r>
        <w:rPr>
          <w:rtl/>
        </w:rPr>
        <w:t>וצ"ב דבגמ' מבואר דהטעם משום דקיים קודם שנתגייר. וצ"ל דנחשב בנו משום דבגדרי בן נח קיים, אבל בגדרי ישראל צריך שעכשיו יהא ישראל הבא מכחו.</w:t>
      </w:r>
    </w:p>
  </w:footnote>
  <w:footnote w:id="3757">
    <w:p w14:paraId="78673B66" w14:textId="77777777" w:rsidR="006074A5" w:rsidRDefault="006074A5" w:rsidP="006074A5">
      <w:pPr>
        <w:pStyle w:val="Footnote"/>
        <w:bidi/>
      </w:pPr>
      <w:r>
        <w:rPr>
          <w:rStyle w:val="ac"/>
          <w:rtl/>
        </w:rPr>
        <w:footnoteRef/>
      </w:r>
      <w:r>
        <w:rPr>
          <w:rtl/>
        </w:rPr>
        <w:t>ועדיף מעבד דלא היה לו יחס מעולם.</w:t>
      </w:r>
    </w:p>
  </w:footnote>
  <w:footnote w:id="3758">
    <w:p w14:paraId="2B5EAB25" w14:textId="77777777" w:rsidR="006074A5" w:rsidRDefault="006074A5" w:rsidP="006074A5">
      <w:pPr>
        <w:pStyle w:val="Footnote"/>
        <w:bidi/>
      </w:pPr>
      <w:r>
        <w:rPr>
          <w:rStyle w:val="ac"/>
          <w:rtl/>
        </w:rPr>
        <w:footnoteRef/>
      </w:r>
      <w:r>
        <w:rPr>
          <w:rtl/>
        </w:rPr>
        <w:t>[דמה שהשני אינו בכור אינו מחמת דהראשון בכור, אלא דמ"מ ליכא הכא בכור].</w:t>
      </w:r>
    </w:p>
  </w:footnote>
  <w:footnote w:id="3759">
    <w:p w14:paraId="69D88447" w14:textId="77777777" w:rsidR="006074A5" w:rsidRDefault="006074A5" w:rsidP="006074A5">
      <w:pPr>
        <w:pStyle w:val="Footnote"/>
        <w:bidi/>
      </w:pPr>
      <w:r>
        <w:rPr>
          <w:rStyle w:val="ac"/>
          <w:rtl/>
        </w:rPr>
        <w:footnoteRef/>
      </w:r>
      <w:r>
        <w:rPr>
          <w:rtl/>
        </w:rPr>
        <w:t>וכן משמע ב</w:t>
      </w:r>
      <w:r>
        <w:rPr>
          <w:b/>
          <w:bCs/>
          <w:rtl/>
        </w:rPr>
        <w:t>גר"א</w:t>
      </w:r>
      <w:r>
        <w:rPr>
          <w:rtl/>
        </w:rPr>
        <w:t xml:space="preserve"> (א יז) שכתב דהסוגיא דבכורות משמע דלא כרמב"ם. וכוונתו דמשמע דתלי בהדדי, ולא משום שנתגייר אח"כ.</w:t>
      </w:r>
    </w:p>
  </w:footnote>
  <w:footnote w:id="3760">
    <w:p w14:paraId="32578FD4" w14:textId="77777777" w:rsidR="006074A5" w:rsidRDefault="006074A5" w:rsidP="006074A5">
      <w:pPr>
        <w:pStyle w:val="Footnote"/>
        <w:bidi/>
      </w:pPr>
      <w:r>
        <w:rPr>
          <w:rStyle w:val="ac"/>
          <w:rtl/>
        </w:rPr>
        <w:footnoteRef/>
      </w:r>
      <w:r>
        <w:rPr>
          <w:rtl/>
        </w:rPr>
        <w:t>וכ"כ ה</w:t>
      </w:r>
      <w:r>
        <w:rPr>
          <w:b/>
          <w:bCs/>
          <w:rtl/>
        </w:rPr>
        <w:t>גר"א</w:t>
      </w:r>
      <w:r>
        <w:rPr>
          <w:rtl/>
        </w:rPr>
        <w:t xml:space="preserve"> (שם). ומבואר מדבריהם דאף המח' דבכור לנחלה תליא האם הבן נתגייר, ודלא כר"א מן ההר. [ויל"ד אם נולד בן אחר הוה בכור, וכשיתגייר זה פקע בכורתו].</w:t>
      </w:r>
    </w:p>
  </w:footnote>
  <w:footnote w:id="3761">
    <w:p w14:paraId="64359167" w14:textId="77777777" w:rsidR="006074A5" w:rsidRDefault="006074A5" w:rsidP="006074A5">
      <w:pPr>
        <w:pStyle w:val="Footnote"/>
        <w:bidi/>
      </w:pPr>
      <w:r>
        <w:rPr>
          <w:rStyle w:val="ac"/>
          <w:rtl/>
        </w:rPr>
        <w:footnoteRef/>
      </w:r>
      <w:r>
        <w:rPr>
          <w:rtl/>
        </w:rPr>
        <w:t>אך צ"ע דלכאורה לדעת רש"י בסוגיין לא איירי שנתגייר הבן.</w:t>
      </w:r>
    </w:p>
  </w:footnote>
  <w:footnote w:id="3762">
    <w:p w14:paraId="76181101" w14:textId="77777777" w:rsidR="006074A5" w:rsidRDefault="006074A5" w:rsidP="006074A5">
      <w:pPr>
        <w:pStyle w:val="Footnote"/>
        <w:bidi/>
      </w:pPr>
      <w:r>
        <w:rPr>
          <w:rStyle w:val="ac"/>
          <w:rtl/>
        </w:rPr>
        <w:footnoteRef/>
      </w:r>
      <w:r>
        <w:rPr>
          <w:rtl/>
        </w:rPr>
        <w:t>וה</w:t>
      </w:r>
      <w:r>
        <w:rPr>
          <w:b/>
          <w:bCs/>
          <w:rtl/>
        </w:rPr>
        <w:t>שיטמ"ק</w:t>
      </w:r>
      <w:r>
        <w:rPr>
          <w:rtl/>
        </w:rPr>
        <w:t xml:space="preserve"> ביאר דכוונת התוס' להקשות דבסוגיא איירי קודם שנתגייר.</w:t>
      </w:r>
    </w:p>
  </w:footnote>
  <w:footnote w:id="3763">
    <w:p w14:paraId="1451457B" w14:textId="77777777" w:rsidR="006074A5" w:rsidRDefault="006074A5" w:rsidP="006074A5">
      <w:pPr>
        <w:pStyle w:val="Footnote"/>
        <w:bidi/>
      </w:pPr>
      <w:r>
        <w:rPr>
          <w:rStyle w:val="ac"/>
          <w:rtl/>
        </w:rPr>
        <w:footnoteRef/>
      </w:r>
      <w:r>
        <w:rPr>
          <w:rtl/>
        </w:rPr>
        <w:t>וב</w:t>
      </w:r>
      <w:r>
        <w:rPr>
          <w:b/>
          <w:bCs/>
          <w:rtl/>
        </w:rPr>
        <w:t>שיע' ר' דוד</w:t>
      </w:r>
      <w:r>
        <w:rPr>
          <w:rtl/>
        </w:rPr>
        <w:t xml:space="preserve"> הקשה דחצי עבד, לצד אין לו קידושין אין בנו מתייחס אחריו [כדאמרי' בגיטין מג.], ומ"מ פשיטא לתוס' דהצד בן חורין חייב במצוות פר"ו. [וצ"ל דדין צד בן חורין דידיה ככל ישראל, וחייב במצוות. ואם אינו ראוי שבנו יתייחס אחריו יחשב אונס].</w:t>
      </w:r>
    </w:p>
  </w:footnote>
  <w:footnote w:id="3764">
    <w:p w14:paraId="0CE34BBD" w14:textId="77777777" w:rsidR="006074A5" w:rsidRDefault="006074A5" w:rsidP="006074A5">
      <w:pPr>
        <w:pStyle w:val="Footnote"/>
        <w:bidi/>
      </w:pPr>
      <w:r>
        <w:rPr>
          <w:rStyle w:val="ac"/>
          <w:rtl/>
        </w:rPr>
        <w:footnoteRef/>
      </w:r>
      <w:r>
        <w:rPr>
          <w:rtl/>
        </w:rPr>
        <w:t>ודנו דאף לרב הונא דבמתו קיים פר"ו, היינו משום דבשעה אחת יצא יד"ח, אבל לא סגי במה שהיו לו בנים שאינם 'ישראלים'.</w:t>
      </w:r>
    </w:p>
  </w:footnote>
  <w:footnote w:id="3765">
    <w:p w14:paraId="06DD5327" w14:textId="77777777" w:rsidR="006074A5" w:rsidRDefault="006074A5" w:rsidP="006074A5">
      <w:pPr>
        <w:pStyle w:val="Footnote"/>
        <w:bidi/>
      </w:pPr>
      <w:r>
        <w:rPr>
          <w:rStyle w:val="ac"/>
          <w:rtl/>
        </w:rPr>
        <w:footnoteRef/>
      </w:r>
      <w:r>
        <w:rPr>
          <w:rtl/>
        </w:rPr>
        <w:t xml:space="preserve">ויש </w:t>
      </w:r>
      <w:r>
        <w:rPr>
          <w:b/>
          <w:bCs/>
          <w:rtl/>
        </w:rPr>
        <w:t>אחרונים</w:t>
      </w:r>
      <w:r>
        <w:rPr>
          <w:rtl/>
        </w:rPr>
        <w:t xml:space="preserve"> שהביאו מדברי הגר"א דאליבא דאמת אף לר"ל קיים מצוות פר"ו אם הבן לא נתגייר. ולא נראה כן, אלא סברת הרמב"ם דבעינן ישראלים לקיום המצווה. וסברת ר"ל דלא מהני מה שנתגייר אח"כ להחשב ישראל, דמכאן ולהבא אינו בנו.</w:t>
      </w:r>
    </w:p>
  </w:footnote>
  <w:footnote w:id="3766">
    <w:p w14:paraId="73CBA933" w14:textId="77777777" w:rsidR="006074A5" w:rsidRDefault="006074A5" w:rsidP="006074A5">
      <w:pPr>
        <w:pStyle w:val="Footnote"/>
        <w:bidi/>
      </w:pPr>
      <w:r>
        <w:rPr>
          <w:rStyle w:val="ac"/>
          <w:rtl/>
        </w:rPr>
        <w:footnoteRef/>
      </w:r>
      <w:r>
        <w:rPr>
          <w:rtl/>
        </w:rPr>
        <w:t>אמנם צ"ב אמאי לא אמרי' משום גר שנתגייר כקטן שנולד דמי.</w:t>
      </w:r>
    </w:p>
  </w:footnote>
  <w:footnote w:id="3767">
    <w:p w14:paraId="672705E8" w14:textId="77777777" w:rsidR="006074A5" w:rsidRDefault="006074A5" w:rsidP="006074A5">
      <w:pPr>
        <w:pStyle w:val="Footnote"/>
        <w:bidi/>
      </w:pPr>
      <w:r>
        <w:rPr>
          <w:rStyle w:val="ac"/>
          <w:rtl/>
        </w:rPr>
        <w:footnoteRef/>
      </w:r>
      <w:r>
        <w:rPr>
          <w:rtl/>
        </w:rPr>
        <w:t>שהרי מותר בקרובותיו מצד אביו, אפי' בבתו [כדאמרי' בסנהדרין נז:]</w:t>
      </w:r>
    </w:p>
  </w:footnote>
  <w:footnote w:id="3768">
    <w:p w14:paraId="5F1A8333" w14:textId="77777777" w:rsidR="006074A5" w:rsidRDefault="006074A5" w:rsidP="006074A5">
      <w:pPr>
        <w:pStyle w:val="Footnote"/>
        <w:bidi/>
      </w:pPr>
      <w:r>
        <w:rPr>
          <w:rStyle w:val="ac"/>
          <w:rtl/>
        </w:rPr>
        <w:footnoteRef/>
      </w:r>
      <w:r>
        <w:rPr>
          <w:rtl/>
        </w:rPr>
        <w:t>כדאי' (קידושין יח.).</w:t>
      </w:r>
    </w:p>
  </w:footnote>
  <w:footnote w:id="3769">
    <w:p w14:paraId="17282747" w14:textId="77777777" w:rsidR="006074A5" w:rsidRDefault="006074A5" w:rsidP="006074A5">
      <w:pPr>
        <w:pStyle w:val="Footnote"/>
        <w:bidi/>
      </w:pPr>
      <w:r>
        <w:rPr>
          <w:rStyle w:val="ac"/>
          <w:rtl/>
        </w:rPr>
        <w:footnoteRef/>
      </w:r>
      <w:r>
        <w:rPr>
          <w:rtl/>
        </w:rPr>
        <w:t>ויש שדנו דישמעאל היה בן הגר השפחה, ודינו כעבד. אך ה</w:t>
      </w:r>
      <w:r>
        <w:rPr>
          <w:b/>
          <w:bCs/>
          <w:rtl/>
        </w:rPr>
        <w:t>פרמ"ג</w:t>
      </w:r>
      <w:r>
        <w:rPr>
          <w:rtl/>
        </w:rPr>
        <w:t xml:space="preserve"> (או"ח קפו) הביא דמשמע במפרשים דאברהם גייר את הגר. וה</w:t>
      </w:r>
      <w:r>
        <w:rPr>
          <w:b/>
          <w:bCs/>
          <w:rtl/>
        </w:rPr>
        <w:t>ראשונים</w:t>
      </w:r>
      <w:r>
        <w:rPr>
          <w:rtl/>
        </w:rPr>
        <w:t xml:space="preserve"> הק' דמפורש בקרא שהיה מתייחס אחר אברהם.</w:t>
      </w:r>
    </w:p>
  </w:footnote>
  <w:footnote w:id="3770">
    <w:p w14:paraId="7A7789E8" w14:textId="77777777" w:rsidR="006074A5" w:rsidRDefault="006074A5" w:rsidP="006074A5">
      <w:pPr>
        <w:pStyle w:val="Footnote"/>
        <w:bidi/>
      </w:pPr>
      <w:r>
        <w:rPr>
          <w:rStyle w:val="ac"/>
          <w:rtl/>
        </w:rPr>
        <w:footnoteRef/>
      </w:r>
      <w:r>
        <w:rPr>
          <w:rtl/>
        </w:rPr>
        <w:t>וה</w:t>
      </w:r>
      <w:r>
        <w:rPr>
          <w:b/>
          <w:bCs/>
          <w:rtl/>
        </w:rPr>
        <w:t>פרמ"ג</w:t>
      </w:r>
      <w:r>
        <w:rPr>
          <w:rtl/>
        </w:rPr>
        <w:t xml:space="preserve"> תי' דהדרשא דמילת 'עם' קאי רק על אליעזר לחוד. ומצינו לשון רבים שקורים ליחיד דרך כבוד, אדוני ארץ (בראשית מב ל).</w:t>
      </w:r>
    </w:p>
  </w:footnote>
  <w:footnote w:id="3771">
    <w:p w14:paraId="56F2958C" w14:textId="77777777" w:rsidR="006074A5" w:rsidRDefault="006074A5" w:rsidP="006074A5">
      <w:pPr>
        <w:pStyle w:val="Footnote"/>
        <w:bidi/>
      </w:pPr>
      <w:r>
        <w:rPr>
          <w:rStyle w:val="ac"/>
          <w:rtl/>
        </w:rPr>
        <w:footnoteRef/>
      </w:r>
      <w:r>
        <w:rPr>
          <w:rtl/>
        </w:rPr>
        <w:t>וה</w:t>
      </w:r>
      <w:r>
        <w:rPr>
          <w:b/>
          <w:bCs/>
          <w:rtl/>
        </w:rPr>
        <w:t>רא"ש</w:t>
      </w:r>
      <w:r>
        <w:rPr>
          <w:rtl/>
        </w:rPr>
        <w:t xml:space="preserve"> (שם) כת' דקרי להו חמור משום שלא ראו את השכינה. ולא משום שישמעאל הוקש לענין יחס. [וצ"ב א"כ מנ"ל דאליעזר הוקש ליוחסין].</w:t>
      </w:r>
    </w:p>
  </w:footnote>
  <w:footnote w:id="3772">
    <w:p w14:paraId="335FF6E6" w14:textId="77777777" w:rsidR="006074A5" w:rsidRDefault="006074A5" w:rsidP="006074A5">
      <w:pPr>
        <w:pStyle w:val="Footnote"/>
        <w:bidi/>
      </w:pPr>
      <w:r>
        <w:rPr>
          <w:rStyle w:val="ac"/>
          <w:rtl/>
        </w:rPr>
        <w:footnoteRef/>
      </w:r>
      <w:r>
        <w:rPr>
          <w:rtl/>
        </w:rPr>
        <w:t>וה</w:t>
      </w:r>
      <w:r>
        <w:rPr>
          <w:b/>
          <w:bCs/>
          <w:rtl/>
        </w:rPr>
        <w:t>ריטב"א</w:t>
      </w:r>
      <w:r>
        <w:rPr>
          <w:rtl/>
        </w:rPr>
        <w:t xml:space="preserve"> כת' דהשני היה גוי בעלמא, ואף בנכרי דרשי' דליכא יחס. [וה</w:t>
      </w:r>
      <w:r>
        <w:rPr>
          <w:b/>
          <w:bCs/>
          <w:rtl/>
        </w:rPr>
        <w:t>שעה"מ</w:t>
      </w:r>
      <w:r>
        <w:rPr>
          <w:rtl/>
        </w:rPr>
        <w:t xml:space="preserve"> (איסו"ב טו ג) תמה דבסוגיין מבואר דקאי אעבדים, ואילו נכרי לא הוקש לבהמה].</w:t>
      </w:r>
    </w:p>
    <w:p w14:paraId="038FA3A2" w14:textId="77777777" w:rsidR="006074A5" w:rsidRDefault="006074A5" w:rsidP="006074A5">
      <w:pPr>
        <w:pStyle w:val="Footnote"/>
        <w:bidi/>
      </w:pPr>
      <w:r>
        <w:rPr>
          <w:rtl/>
        </w:rPr>
        <w:tab/>
        <w:t>וה</w:t>
      </w:r>
      <w:r>
        <w:rPr>
          <w:b/>
          <w:bCs/>
          <w:rtl/>
        </w:rPr>
        <w:t>פרמ"ג</w:t>
      </w:r>
      <w:r>
        <w:rPr>
          <w:rtl/>
        </w:rPr>
        <w:t xml:space="preserve"> הביא [בשם התורני המופלא הפרנס ומנהיג ר' מורי כהן] דלקח עבד אחר עם אליעזר.</w:t>
      </w:r>
    </w:p>
  </w:footnote>
  <w:footnote w:id="3773">
    <w:p w14:paraId="38853BAB" w14:textId="77777777" w:rsidR="006074A5" w:rsidRDefault="006074A5" w:rsidP="006074A5">
      <w:pPr>
        <w:pStyle w:val="Footnote"/>
        <w:bidi/>
      </w:pPr>
      <w:r>
        <w:rPr>
          <w:rStyle w:val="ac"/>
          <w:rtl/>
        </w:rPr>
        <w:footnoteRef/>
      </w:r>
      <w:r>
        <w:rPr>
          <w:rtl/>
        </w:rPr>
        <w:t>וה</w:t>
      </w:r>
      <w:r>
        <w:rPr>
          <w:b/>
          <w:bCs/>
          <w:rtl/>
        </w:rPr>
        <w:t xml:space="preserve">משנ"ל </w:t>
      </w:r>
      <w:r>
        <w:rPr>
          <w:rtl/>
        </w:rPr>
        <w:t>ביאר דכוונת התוס' דכנען היה עבד. אבל ה</w:t>
      </w:r>
      <w:r>
        <w:rPr>
          <w:b/>
          <w:bCs/>
          <w:rtl/>
        </w:rPr>
        <w:t>אבנ"מ</w:t>
      </w:r>
      <w:r>
        <w:rPr>
          <w:rtl/>
        </w:rPr>
        <w:t xml:space="preserve"> (א ב) תמה דרק עבד דישראל אין לו יחס, אבל כנען בנו מיוחס אחריו.</w:t>
      </w:r>
    </w:p>
  </w:footnote>
  <w:footnote w:id="3774">
    <w:p w14:paraId="6A4EE357" w14:textId="77777777" w:rsidR="006074A5" w:rsidRDefault="006074A5" w:rsidP="006074A5">
      <w:pPr>
        <w:pStyle w:val="Footnote"/>
        <w:bidi/>
      </w:pPr>
      <w:r>
        <w:rPr>
          <w:rStyle w:val="ac"/>
          <w:rtl/>
        </w:rPr>
        <w:footnoteRef/>
      </w:r>
      <w:r>
        <w:rPr>
          <w:rtl/>
        </w:rPr>
        <w:t>ולכן לא אמרי' דדיו כאשה דאינה מצווה.</w:t>
      </w:r>
    </w:p>
  </w:footnote>
  <w:footnote w:id="3775">
    <w:p w14:paraId="6F7460BC" w14:textId="77777777" w:rsidR="006074A5" w:rsidRDefault="006074A5" w:rsidP="006074A5">
      <w:pPr>
        <w:pStyle w:val="Footnote"/>
        <w:bidi/>
      </w:pPr>
      <w:r>
        <w:rPr>
          <w:rStyle w:val="ac"/>
          <w:rtl/>
        </w:rPr>
        <w:footnoteRef/>
      </w:r>
      <w:r>
        <w:rPr>
          <w:rtl/>
        </w:rPr>
        <w:t>וה</w:t>
      </w:r>
      <w:r>
        <w:rPr>
          <w:b/>
          <w:bCs/>
          <w:rtl/>
        </w:rPr>
        <w:t>ש"ך</w:t>
      </w:r>
      <w:r>
        <w:rPr>
          <w:rtl/>
        </w:rPr>
        <w:t xml:space="preserve"> (יו"ד רמה א בשם המהרש"ל) דן האם יש חיוב ללמד בן בתו תורה. כיון דבה מכח בתו, ואינו מחוייב בבת. [ויל"פ דנסתפק ע"ד זה].</w:t>
      </w:r>
    </w:p>
  </w:footnote>
  <w:footnote w:id="3776">
    <w:p w14:paraId="5EB00E39" w14:textId="77777777" w:rsidR="006074A5" w:rsidRDefault="006074A5" w:rsidP="006074A5">
      <w:pPr>
        <w:pStyle w:val="Footnote"/>
        <w:bidi/>
      </w:pPr>
      <w:r>
        <w:rPr>
          <w:rStyle w:val="ac"/>
          <w:rtl/>
        </w:rPr>
        <w:footnoteRef/>
      </w:r>
      <w:r>
        <w:rPr>
          <w:rtl/>
        </w:rPr>
        <w:t>וה</w:t>
      </w:r>
      <w:r>
        <w:rPr>
          <w:b/>
          <w:bCs/>
          <w:rtl/>
        </w:rPr>
        <w:t>בני אהובה</w:t>
      </w:r>
      <w:r>
        <w:rPr>
          <w:rtl/>
        </w:rPr>
        <w:t xml:space="preserve"> (טו ד בסו"ד) תמה בנשאת הבת לסריס אמאי יצא, וכי יש לנו לתלות שימות או יגרשנה. [א"כ עכשיו אינה ראויה להוליד. ובשלמא בן שנשא אילונית, ראוי לישא אשה אחרת על אשתו ולהוליד. ובמה שאינה מוליד בפועל לא איכפ"ל. אבל בת הנשאת לסריס, עכשיו אינה ראויה כלל].</w:t>
      </w:r>
    </w:p>
  </w:footnote>
  <w:footnote w:id="3777">
    <w:p w14:paraId="231E7959" w14:textId="77777777" w:rsidR="006074A5" w:rsidRDefault="006074A5" w:rsidP="006074A5">
      <w:pPr>
        <w:pStyle w:val="Footnote"/>
        <w:bidi/>
      </w:pPr>
      <w:r>
        <w:rPr>
          <w:rStyle w:val="ac"/>
          <w:rtl/>
        </w:rPr>
        <w:footnoteRef/>
      </w:r>
      <w:r>
        <w:rPr>
          <w:rtl/>
        </w:rPr>
        <w:t>והבי"ש ביאר דקפידת התורה כשאינו ראוי להוליד כלל.</w:t>
      </w:r>
    </w:p>
  </w:footnote>
  <w:footnote w:id="3778">
    <w:p w14:paraId="63222099" w14:textId="77777777" w:rsidR="006074A5" w:rsidRDefault="006074A5" w:rsidP="006074A5">
      <w:pPr>
        <w:pStyle w:val="Footnote"/>
        <w:bidi/>
      </w:pPr>
      <w:r>
        <w:rPr>
          <w:rStyle w:val="ac"/>
          <w:rtl/>
        </w:rPr>
        <w:footnoteRef/>
      </w:r>
      <w:r>
        <w:rPr>
          <w:rtl/>
        </w:rPr>
        <w:t>וה</w:t>
      </w:r>
      <w:r>
        <w:rPr>
          <w:b/>
          <w:bCs/>
          <w:rtl/>
        </w:rPr>
        <w:t>ערוה"ש</w:t>
      </w:r>
      <w:r>
        <w:rPr>
          <w:rtl/>
        </w:rPr>
        <w:t xml:space="preserve"> (א יח) ביאר דלא דמי לסריס ואילונית, שאינם ראוין. אבל בנשאו הבנים לסריס ואילונית הוא קיים המצוה כתיקונו, והם פשעו בנשואיהן. ואין סברא שהוא יפסיד מצותו בשביל מה שקלקלו בידיהם.</w:t>
      </w:r>
    </w:p>
  </w:footnote>
  <w:footnote w:id="3779">
    <w:p w14:paraId="2F49828C" w14:textId="77777777" w:rsidR="006074A5" w:rsidRDefault="006074A5" w:rsidP="006074A5">
      <w:pPr>
        <w:pStyle w:val="Footnote"/>
        <w:bidi/>
      </w:pPr>
      <w:r>
        <w:rPr>
          <w:rStyle w:val="ac"/>
          <w:rtl/>
        </w:rPr>
        <w:footnoteRef/>
      </w:r>
      <w:r>
        <w:rPr>
          <w:rtl/>
        </w:rPr>
        <w:t>או שנסתרס בחיי האב.</w:t>
      </w:r>
    </w:p>
  </w:footnote>
  <w:footnote w:id="3780">
    <w:p w14:paraId="3221FD17" w14:textId="77777777" w:rsidR="006074A5" w:rsidRDefault="006074A5" w:rsidP="006074A5">
      <w:pPr>
        <w:pStyle w:val="Footnote"/>
        <w:bidi/>
      </w:pPr>
      <w:r>
        <w:rPr>
          <w:rStyle w:val="ac"/>
          <w:rtl/>
        </w:rPr>
        <w:footnoteRef/>
      </w:r>
      <w:r>
        <w:rPr>
          <w:rtl/>
        </w:rPr>
        <w:t>ונוטל שכרו [כלפי שמיא] שכר מצווה שלם. [ואף באופן דמחיים ידע דקרוב הדבר שבנו לא ינשא, ולאחר זמן יתבטל מצוותו].</w:t>
      </w:r>
    </w:p>
  </w:footnote>
  <w:footnote w:id="3781">
    <w:p w14:paraId="5CF73917" w14:textId="77777777" w:rsidR="006074A5" w:rsidRDefault="006074A5" w:rsidP="006074A5">
      <w:pPr>
        <w:pStyle w:val="Footnote"/>
        <w:bidi/>
      </w:pPr>
      <w:r>
        <w:rPr>
          <w:rStyle w:val="ac"/>
          <w:rtl/>
        </w:rPr>
        <w:footnoteRef/>
      </w:r>
      <w:r>
        <w:rPr>
          <w:rtl/>
        </w:rPr>
        <w:t>אף דהוה לאחר מיתת האב, מ"מ נעקר המצווה, וכמי שלא קיימו מעיקרא.</w:t>
      </w:r>
    </w:p>
  </w:footnote>
  <w:footnote w:id="3782">
    <w:p w14:paraId="13560A1D" w14:textId="77777777" w:rsidR="006074A5" w:rsidRDefault="006074A5" w:rsidP="006074A5">
      <w:pPr>
        <w:pStyle w:val="Footnote"/>
        <w:bidi/>
      </w:pPr>
      <w:r>
        <w:rPr>
          <w:rStyle w:val="ac"/>
          <w:rtl/>
        </w:rPr>
        <w:footnoteRef/>
      </w:r>
      <w:r>
        <w:rPr>
          <w:rtl/>
        </w:rPr>
        <w:t>והוכיח כן דאל"כ לעולם ב' בנים יפטרו, דאי אפשר שלעתיד לא יצא מהם בן ובת. [ויש לדחות דכל זמן שלא יצא מהם אינו פוטר].</w:t>
      </w:r>
    </w:p>
  </w:footnote>
  <w:footnote w:id="3783">
    <w:p w14:paraId="66CEBD72" w14:textId="77777777" w:rsidR="006074A5" w:rsidRDefault="006074A5" w:rsidP="006074A5">
      <w:pPr>
        <w:pStyle w:val="Footnote"/>
        <w:bidi/>
      </w:pPr>
      <w:r>
        <w:rPr>
          <w:rStyle w:val="ac"/>
          <w:rtl/>
        </w:rPr>
        <w:footnoteRef/>
      </w:r>
      <w:r>
        <w:rPr>
          <w:rtl/>
        </w:rPr>
        <w:t>והבעה"מ ביאר דר' יהושע אמר כמנהג דרך ארץ. אבל לא שיתחייב לגרש משום הכי.</w:t>
      </w:r>
    </w:p>
  </w:footnote>
  <w:footnote w:id="3784">
    <w:p w14:paraId="2446A01F" w14:textId="77777777" w:rsidR="006074A5" w:rsidRDefault="006074A5" w:rsidP="006074A5">
      <w:pPr>
        <w:pStyle w:val="Footnote"/>
        <w:bidi/>
      </w:pPr>
      <w:r>
        <w:rPr>
          <w:rStyle w:val="ac"/>
          <w:rtl/>
        </w:rPr>
        <w:footnoteRef/>
      </w:r>
      <w:r>
        <w:rPr>
          <w:rtl/>
        </w:rPr>
        <w:t>וה</w:t>
      </w:r>
      <w:r>
        <w:rPr>
          <w:b/>
          <w:bCs/>
          <w:rtl/>
        </w:rPr>
        <w:t>בעה"מ</w:t>
      </w:r>
      <w:r>
        <w:rPr>
          <w:rtl/>
        </w:rPr>
        <w:t xml:space="preserve"> כת' דמ"מ דר' יהושע הוה דרבנן, ונפק"מ דתוך ג' רגלים דמתה אשתו (מו"ק כג:) אסור לישא, אא"כ לא קיים המצוה מדאורייתא.</w:t>
      </w:r>
    </w:p>
  </w:footnote>
  <w:footnote w:id="3785">
    <w:p w14:paraId="447999B5" w14:textId="77777777" w:rsidR="006074A5" w:rsidRDefault="006074A5" w:rsidP="006074A5">
      <w:pPr>
        <w:pStyle w:val="Footnote"/>
        <w:bidi/>
      </w:pPr>
      <w:r>
        <w:rPr>
          <w:rStyle w:val="ac"/>
          <w:rtl/>
        </w:rPr>
        <w:footnoteRef/>
      </w:r>
      <w:r>
        <w:rPr>
          <w:rtl/>
        </w:rPr>
        <w:t>דאף לדעת הרי"ף הא דר' יהושע הוא דלא כמתני'.</w:t>
      </w:r>
    </w:p>
  </w:footnote>
  <w:footnote w:id="3786">
    <w:p w14:paraId="080A836F" w14:textId="77777777" w:rsidR="006074A5" w:rsidRDefault="006074A5" w:rsidP="006074A5">
      <w:pPr>
        <w:pStyle w:val="Footnote"/>
        <w:bidi/>
      </w:pPr>
      <w:r>
        <w:rPr>
          <w:rStyle w:val="ac"/>
          <w:rtl/>
        </w:rPr>
        <w:footnoteRef/>
      </w:r>
      <w:r>
        <w:rPr>
          <w:rtl/>
        </w:rPr>
        <w:t>ונפק"מ דאי הוה חיוב דאורייתא היה מכין אותו, כענין שאמרו (כתובות פו.) עשה לולב ואינו עושה, מכין אותו עד שתצא נפשו, והיו משמתין ומחרימין ועושין הרדפה. אבל משום מצוה דרבנן דלאו תקנתא היא אלא כעין יישוב דרך ארץ אין מחמירין עליו כ"כ. [וע' מש"כ לקמן סד.].</w:t>
      </w:r>
    </w:p>
  </w:footnote>
  <w:footnote w:id="3787">
    <w:p w14:paraId="1660E22A" w14:textId="77777777" w:rsidR="006074A5" w:rsidRDefault="006074A5" w:rsidP="006074A5">
      <w:pPr>
        <w:pStyle w:val="Footnote"/>
        <w:bidi/>
      </w:pPr>
      <w:r>
        <w:rPr>
          <w:rStyle w:val="ac"/>
          <w:rtl/>
        </w:rPr>
        <w:footnoteRef/>
      </w:r>
      <w:r>
        <w:rPr>
          <w:rtl/>
        </w:rPr>
        <w:t>וכ"פ ה</w:t>
      </w:r>
      <w:r>
        <w:rPr>
          <w:b/>
          <w:bCs/>
          <w:rtl/>
        </w:rPr>
        <w:t>רמב"ם</w:t>
      </w:r>
      <w:r>
        <w:rPr>
          <w:rtl/>
        </w:rPr>
        <w:t xml:space="preserve"> (אישות טו ז) דלא ישא עקרה, אא"כ קיים פר"ו. וה</w:t>
      </w:r>
      <w:r>
        <w:rPr>
          <w:b/>
          <w:bCs/>
          <w:rtl/>
        </w:rPr>
        <w:t>רמ"ך</w:t>
      </w:r>
      <w:r>
        <w:rPr>
          <w:rtl/>
        </w:rPr>
        <w:t xml:space="preserve"> השיג דקי"ל כר' יהושע [וכמו שפסק ה</w:t>
      </w:r>
      <w:r>
        <w:rPr>
          <w:b/>
          <w:bCs/>
          <w:rtl/>
        </w:rPr>
        <w:t>רמב"ם</w:t>
      </w:r>
      <w:r>
        <w:rPr>
          <w:rtl/>
        </w:rPr>
        <w:t xml:space="preserve"> טו טז]. ו</w:t>
      </w:r>
      <w:r>
        <w:rPr>
          <w:b/>
          <w:bCs/>
          <w:rtl/>
        </w:rPr>
        <w:t>ה"ה</w:t>
      </w:r>
      <w:r>
        <w:rPr>
          <w:rtl/>
        </w:rPr>
        <w:t xml:space="preserve"> כתב דכוונת הרמב"ם דמדאורייתא לא ישא.</w:t>
      </w:r>
    </w:p>
    <w:p w14:paraId="1DD11883" w14:textId="77777777" w:rsidR="006074A5" w:rsidRDefault="006074A5" w:rsidP="006074A5">
      <w:pPr>
        <w:pStyle w:val="Footnote"/>
        <w:bidi/>
      </w:pPr>
      <w:r>
        <w:rPr>
          <w:rtl/>
        </w:rPr>
        <w:tab/>
        <w:t>וה</w:t>
      </w:r>
      <w:r>
        <w:rPr>
          <w:b/>
          <w:bCs/>
          <w:rtl/>
        </w:rPr>
        <w:t>רמב"ם</w:t>
      </w:r>
      <w:r>
        <w:rPr>
          <w:rtl/>
        </w:rPr>
        <w:t xml:space="preserve"> (שם) פסק דלא ישא קטנה, אע"ג דראויה לאחר זמן. וה</w:t>
      </w:r>
      <w:r>
        <w:rPr>
          <w:b/>
          <w:bCs/>
          <w:rtl/>
        </w:rPr>
        <w:t xml:space="preserve">משנ"ל </w:t>
      </w:r>
      <w:r>
        <w:rPr>
          <w:rtl/>
        </w:rPr>
        <w:t>(איסו"ב כא כו) הקשה דבהל' איסו"ב לא הזכיר כן, וכתב דשמא היינו במי שקיים כבר פר"ו. ואף דמצווה לישא בת בנים, סגי במה שראויה לאחר זמן [משום ענין בערב אל תנח ידך].</w:t>
      </w:r>
    </w:p>
  </w:footnote>
  <w:footnote w:id="3788">
    <w:p w14:paraId="79A6165A" w14:textId="77777777" w:rsidR="006074A5" w:rsidRDefault="006074A5" w:rsidP="006074A5">
      <w:pPr>
        <w:pStyle w:val="Footnote"/>
        <w:bidi/>
      </w:pPr>
      <w:r>
        <w:rPr>
          <w:rStyle w:val="ac"/>
          <w:rtl/>
        </w:rPr>
        <w:footnoteRef/>
      </w:r>
      <w:r>
        <w:rPr>
          <w:rtl/>
        </w:rPr>
        <w:t xml:space="preserve">וכ"כ </w:t>
      </w:r>
      <w:r>
        <w:rPr>
          <w:b/>
          <w:bCs/>
          <w:rtl/>
        </w:rPr>
        <w:t>תוס</w:t>
      </w:r>
      <w:r>
        <w:rPr>
          <w:rtl/>
        </w:rPr>
        <w:t>' (סא:) דהיכא דיש לו בנים לא ימכור ס"ת לישא בת בנים. ויש לדחות דתוס' קאי לתנא דמתני', ואילו ר' יהושע פליג. אך מדברי התוס' משמע דכו"ע מודו בזה.</w:t>
      </w:r>
    </w:p>
  </w:footnote>
  <w:footnote w:id="3789">
    <w:p w14:paraId="73B486CF" w14:textId="77777777" w:rsidR="006074A5" w:rsidRDefault="006074A5" w:rsidP="006074A5">
      <w:pPr>
        <w:pStyle w:val="Footnote"/>
        <w:bidi/>
      </w:pPr>
      <w:r>
        <w:rPr>
          <w:rStyle w:val="ac"/>
          <w:rtl/>
        </w:rPr>
        <w:footnoteRef/>
      </w:r>
      <w:r>
        <w:rPr>
          <w:rtl/>
        </w:rPr>
        <w:t>ולפ"ז אף מוכרים ס"ת להשיא אשה, אף דאינה מקיימת לפריה ורביה אלא מצוות שבת. ונחלקו בזה הפוסקים, ע' ט"ז (אה"ע א ב).</w:t>
      </w:r>
    </w:p>
  </w:footnote>
  <w:footnote w:id="3790">
    <w:p w14:paraId="6FA4A6D0" w14:textId="77777777" w:rsidR="006074A5" w:rsidRDefault="006074A5" w:rsidP="006074A5">
      <w:pPr>
        <w:pStyle w:val="Footnote"/>
        <w:bidi/>
      </w:pPr>
      <w:r>
        <w:rPr>
          <w:rStyle w:val="ac"/>
          <w:rtl/>
        </w:rPr>
        <w:footnoteRef/>
      </w:r>
      <w:r>
        <w:rPr>
          <w:rtl/>
        </w:rPr>
        <w:t>וה</w:t>
      </w:r>
      <w:r>
        <w:rPr>
          <w:b/>
          <w:bCs/>
          <w:rtl/>
        </w:rPr>
        <w:t>ט"ז</w:t>
      </w:r>
      <w:r>
        <w:rPr>
          <w:rtl/>
        </w:rPr>
        <w:t xml:space="preserve"> תי' דהרמב"ם איירי מדאורייתא. ומ"מ מדרבנן מחוייב. אך הק' דמ"מ האיך סתם השו"ע בזה להתיר. עי"ש.</w:t>
      </w:r>
    </w:p>
  </w:footnote>
  <w:footnote w:id="3791">
    <w:p w14:paraId="1AA05DE5" w14:textId="77777777" w:rsidR="006074A5" w:rsidRDefault="006074A5" w:rsidP="006074A5">
      <w:pPr>
        <w:pStyle w:val="Footnote"/>
        <w:bidi/>
      </w:pPr>
      <w:r>
        <w:rPr>
          <w:rStyle w:val="ac"/>
          <w:rtl/>
        </w:rPr>
        <w:footnoteRef/>
      </w:r>
      <w:r>
        <w:rPr>
          <w:rtl/>
        </w:rPr>
        <w:t>ועד"ז מבואר בדברי ה</w:t>
      </w:r>
      <w:r>
        <w:rPr>
          <w:b/>
          <w:bCs/>
          <w:rtl/>
        </w:rPr>
        <w:t>משנ"ל</w:t>
      </w:r>
      <w:r>
        <w:rPr>
          <w:rtl/>
        </w:rPr>
        <w:t xml:space="preserve"> (איסו"ב כא כו) דמשום ולערב אסור לישא זקינה ועקרה, אבל רשאי לישא קטנה, שתהא ראויה לילד לאחר זמן. והמשנ"ל כת' דמ"מ דעת הטור דאסור לישא קטנה, דהוה מהדברים המעכבים את המשיח. (וכדאי' נדה יג: ולקמן סד. עד שיכלו כל נשמות שבגוף).</w:t>
      </w:r>
    </w:p>
  </w:footnote>
  <w:footnote w:id="3792">
    <w:p w14:paraId="153ED610" w14:textId="77777777" w:rsidR="006074A5" w:rsidRDefault="006074A5" w:rsidP="006074A5">
      <w:pPr>
        <w:pStyle w:val="Footnote"/>
        <w:bidi/>
      </w:pPr>
      <w:r>
        <w:rPr>
          <w:rStyle w:val="ac"/>
          <w:rtl/>
        </w:rPr>
        <w:footnoteRef/>
      </w:r>
      <w:r>
        <w:rPr>
          <w:rtl/>
        </w:rPr>
        <w:t>והתה"ד איירי במקום שכבר קיים פריה ורביה, ומבואר דקודם שקיים חייב לישא אשה. ולא יחוש לקטטה. [וצ"ע בבי"ש א יז].</w:t>
      </w:r>
    </w:p>
  </w:footnote>
  <w:footnote w:id="3793">
    <w:p w14:paraId="26A6DC4F" w14:textId="77777777" w:rsidR="006074A5" w:rsidRDefault="006074A5" w:rsidP="006074A5">
      <w:pPr>
        <w:pStyle w:val="Footnote"/>
        <w:bidi/>
      </w:pPr>
      <w:r>
        <w:rPr>
          <w:rStyle w:val="ac"/>
          <w:rtl/>
        </w:rPr>
        <w:footnoteRef/>
      </w:r>
      <w:r>
        <w:rPr>
          <w:rtl/>
        </w:rPr>
        <w:t>והביא מהא (לעיל מד.) דמשיאין לו עצה הוגנת לחלוץ ולא לייבם, שלא להכניס קטטה בתוך ביתו. ואע"ג דחליצה במקום יבום לא הוה מצווה מן התורה (כדלעיל כא.), ואפי' לדחות ל"ת שיש בו כרת (וציין לסוגיא דלעיל ג: וח.). [יל"ד אי כוונתו לדעת הראשונים דפסקו כרבנן (ע' לעיל לט:), או אף לאבא שאול מצוות חליצה קודמת רק מדרבנן].</w:t>
      </w:r>
    </w:p>
    <w:p w14:paraId="6A5E9AE3" w14:textId="77777777" w:rsidR="006074A5" w:rsidRDefault="006074A5" w:rsidP="006074A5">
      <w:pPr>
        <w:pStyle w:val="Footnote"/>
        <w:bidi/>
      </w:pPr>
      <w:r>
        <w:rPr>
          <w:rtl/>
        </w:rPr>
        <w:tab/>
        <w:t>וה</w:t>
      </w:r>
      <w:r>
        <w:rPr>
          <w:b/>
          <w:bCs/>
          <w:rtl/>
        </w:rPr>
        <w:t>חלק"מ</w:t>
      </w:r>
      <w:r>
        <w:rPr>
          <w:rtl/>
        </w:rPr>
        <w:t xml:space="preserve"> (שם יב) כת' דראיה קלושה היא, דהא הרשות בידו לחלוץ או לייבם. והיכן מצאנו שמבטלין מצווה משום קטטה, ואפי' מוכרים ס"ת משום בת בנים. והט"ז דחה דמי שמתכוון למצווה מצוות יבום קודמת.</w:t>
      </w:r>
    </w:p>
  </w:footnote>
  <w:footnote w:id="3794">
    <w:p w14:paraId="4A68EEA6" w14:textId="77777777" w:rsidR="006074A5" w:rsidRDefault="006074A5" w:rsidP="006074A5">
      <w:pPr>
        <w:pStyle w:val="Footnote"/>
        <w:bidi/>
      </w:pPr>
      <w:r>
        <w:rPr>
          <w:rStyle w:val="ac"/>
          <w:rtl/>
        </w:rPr>
        <w:footnoteRef/>
      </w:r>
      <w:r>
        <w:rPr>
          <w:rtl/>
        </w:rPr>
        <w:t>כדאי' (לעיל סא:) אסור לישב בלא אשה, שנאמר לא טוב היות האדם לבדו. וגם אמרו כל השרוי בלא אשה שרוי בלא טובה ובלא ברכה ובלא שמחה ובלא שלום. ותו איכא למיחש שמא תתגבר יצרו עליו ובא לידי חטא. וכולי האי לא דחקינן משום קטטה.</w:t>
      </w:r>
    </w:p>
  </w:footnote>
  <w:footnote w:id="3795">
    <w:p w14:paraId="36983DA2" w14:textId="77777777" w:rsidR="006074A5" w:rsidRDefault="006074A5" w:rsidP="006074A5">
      <w:pPr>
        <w:pStyle w:val="Footnote"/>
        <w:bidi/>
      </w:pPr>
      <w:r>
        <w:rPr>
          <w:rStyle w:val="ac"/>
          <w:rtl/>
        </w:rPr>
        <w:footnoteRef/>
      </w:r>
      <w:r>
        <w:rPr>
          <w:rtl/>
        </w:rPr>
        <w:t>[וה</w:t>
      </w:r>
      <w:r>
        <w:rPr>
          <w:b/>
          <w:bCs/>
          <w:rtl/>
        </w:rPr>
        <w:t>טור</w:t>
      </w:r>
      <w:r>
        <w:rPr>
          <w:rtl/>
        </w:rPr>
        <w:t xml:space="preserve"> הוסיף בלא דירה].</w:t>
      </w:r>
    </w:p>
  </w:footnote>
  <w:footnote w:id="3796">
    <w:p w14:paraId="098135D7" w14:textId="77777777" w:rsidR="006074A5" w:rsidRDefault="006074A5" w:rsidP="006074A5">
      <w:pPr>
        <w:pStyle w:val="Footnote"/>
        <w:bidi/>
      </w:pPr>
      <w:r>
        <w:rPr>
          <w:rStyle w:val="ac"/>
          <w:rtl/>
        </w:rPr>
        <w:footnoteRef/>
      </w:r>
      <w:r>
        <w:rPr>
          <w:rtl/>
        </w:rPr>
        <w:t xml:space="preserve">אך </w:t>
      </w:r>
      <w:r>
        <w:rPr>
          <w:b/>
          <w:bCs/>
          <w:rtl/>
        </w:rPr>
        <w:t>ה"ה</w:t>
      </w:r>
      <w:r>
        <w:rPr>
          <w:rtl/>
        </w:rPr>
        <w:t xml:space="preserve"> כתב דהוה אסמכתא [אף לדעת הרמב"ם].</w:t>
      </w:r>
    </w:p>
  </w:footnote>
  <w:footnote w:id="3797">
    <w:p w14:paraId="3CFB1F3F" w14:textId="77777777" w:rsidR="006074A5" w:rsidRDefault="006074A5" w:rsidP="006074A5">
      <w:pPr>
        <w:pStyle w:val="Footnote"/>
        <w:bidi/>
      </w:pPr>
      <w:r>
        <w:rPr>
          <w:rStyle w:val="ac"/>
          <w:rtl/>
        </w:rPr>
        <w:footnoteRef/>
      </w:r>
      <w:r>
        <w:rPr>
          <w:rtl/>
        </w:rPr>
        <w:t>[וכ"מ ברש"י שבועות יח והוריות ח:]. אמנם ה</w:t>
      </w:r>
      <w:r>
        <w:rPr>
          <w:b/>
          <w:bCs/>
          <w:rtl/>
        </w:rPr>
        <w:t>תוס' הרא"ש</w:t>
      </w:r>
      <w:r>
        <w:rPr>
          <w:rtl/>
        </w:rPr>
        <w:t xml:space="preserve"> (הוריות ח:) כתב דוהזרתם הוה אסמכתא.</w:t>
      </w:r>
    </w:p>
  </w:footnote>
  <w:footnote w:id="3798">
    <w:p w14:paraId="08EA78D3" w14:textId="77777777" w:rsidR="006074A5" w:rsidRDefault="006074A5" w:rsidP="006074A5">
      <w:pPr>
        <w:pStyle w:val="Footnote"/>
        <w:bidi/>
      </w:pPr>
      <w:r>
        <w:rPr>
          <w:rStyle w:val="ac"/>
          <w:rtl/>
        </w:rPr>
        <w:footnoteRef/>
      </w:r>
      <w:r>
        <w:rPr>
          <w:rtl/>
        </w:rPr>
        <w:t>וה</w:t>
      </w:r>
      <w:r>
        <w:rPr>
          <w:b/>
          <w:bCs/>
          <w:rtl/>
        </w:rPr>
        <w:t>נוב"י</w:t>
      </w:r>
      <w:r>
        <w:rPr>
          <w:rtl/>
        </w:rPr>
        <w:t xml:space="preserve"> (יו"ד ק' נו) ביאר דחיישינן שמא תראה, אבל בלשעבר יש חזקת טהרה למ"ד וסתות דרבנן. [וע"ע בגר"ח איסו"ב ד וחזו"א יו"ד פ].</w:t>
      </w:r>
    </w:p>
  </w:footnote>
  <w:footnote w:id="3799">
    <w:p w14:paraId="2629EE53" w14:textId="77777777" w:rsidR="006074A5" w:rsidRDefault="006074A5" w:rsidP="006074A5">
      <w:pPr>
        <w:pStyle w:val="Footnote"/>
        <w:bidi/>
      </w:pPr>
      <w:r>
        <w:rPr>
          <w:rStyle w:val="ac"/>
          <w:rtl/>
        </w:rPr>
        <w:footnoteRef/>
      </w:r>
      <w:r>
        <w:rPr>
          <w:rtl/>
        </w:rPr>
        <w:t>וק"ק האיך התירו, דבמה נחשבת מיוחדת לו, הא פוטרה בלא גט.</w:t>
      </w:r>
    </w:p>
  </w:footnote>
  <w:footnote w:id="3800">
    <w:p w14:paraId="31A8BE6B" w14:textId="77777777" w:rsidR="006074A5" w:rsidRDefault="006074A5" w:rsidP="006074A5">
      <w:pPr>
        <w:pStyle w:val="Footnote"/>
        <w:bidi/>
      </w:pPr>
      <w:r>
        <w:rPr>
          <w:rStyle w:val="ac"/>
          <w:rtl/>
        </w:rPr>
        <w:footnoteRef/>
      </w:r>
      <w:r>
        <w:rPr>
          <w:rtl/>
        </w:rPr>
        <w:t>ומבואר דפשיטא לתוס' דבעולת עצמו כתובתה מנה. [ואף דמפתה כתובתה מאתיים, וכדמבואר בתוס' לעיל ס. עי"ש]. ושאני הכא דיש כאן אישות לענין זה. [ועוד אפשר דדיוק התוס' מהא דמבואר במשנה דשייך בזה שם נישואין בקטן שנשא].</w:t>
      </w:r>
    </w:p>
  </w:footnote>
  <w:footnote w:id="3801">
    <w:p w14:paraId="319DE7AA" w14:textId="77777777" w:rsidR="006074A5" w:rsidRDefault="006074A5" w:rsidP="006074A5">
      <w:pPr>
        <w:pStyle w:val="Footnote"/>
        <w:bidi/>
      </w:pPr>
      <w:r>
        <w:rPr>
          <w:rStyle w:val="ac"/>
          <w:rtl/>
        </w:rPr>
        <w:footnoteRef/>
      </w:r>
      <w:r>
        <w:rPr>
          <w:rtl/>
        </w:rPr>
        <w:t>ולפ"ז דוקא סמוך לפרקו [ויש פוסקים חצי שנה קודם גדלות], אבל סתימת התוס' (לקמן צו:) דכל קטן בן ט' חשיבא בעילת זנות.</w:t>
      </w:r>
    </w:p>
  </w:footnote>
  <w:footnote w:id="3802">
    <w:p w14:paraId="11CD219A" w14:textId="77777777" w:rsidR="006074A5" w:rsidRDefault="006074A5" w:rsidP="006074A5">
      <w:pPr>
        <w:pStyle w:val="Footnote"/>
        <w:bidi/>
      </w:pPr>
      <w:r>
        <w:rPr>
          <w:rStyle w:val="ac"/>
          <w:rtl/>
        </w:rPr>
        <w:footnoteRef/>
      </w:r>
      <w:r>
        <w:rPr>
          <w:rtl/>
        </w:rPr>
        <w:t>וה</w:t>
      </w:r>
      <w:r>
        <w:rPr>
          <w:b/>
          <w:bCs/>
          <w:rtl/>
        </w:rPr>
        <w:t>נוב"י</w:t>
      </w:r>
      <w:r>
        <w:rPr>
          <w:rtl/>
        </w:rPr>
        <w:t xml:space="preserve"> (ת' עח) כת' דאין רשות לכל חכמים שאחר התלמוד לומר דברים נגד התלמוד, והאומר דבר הסותר קוצו של יו"ד לא יחשב בכלל חכמי התלמוד. אמנם כשאנו מוצאים א' מחכמי ישראל המוחזק בתורה ויראה בלי ספק חייבין אנו למשכוני נפשין לתרץ דבריו. והאמת יורה דרכו כי החסיד צוה לזרעו לדורי דורות כי ראה ברוה"ק שזרעו לא יצלח מזווגים אלו וכו'. ודברי התלמוד ע"פ הכלל.</w:t>
      </w:r>
    </w:p>
  </w:footnote>
  <w:footnote w:id="3803">
    <w:p w14:paraId="058ED74F" w14:textId="77777777" w:rsidR="006074A5" w:rsidRDefault="006074A5" w:rsidP="006074A5">
      <w:pPr>
        <w:pStyle w:val="Footnote"/>
        <w:bidi/>
      </w:pPr>
      <w:r>
        <w:rPr>
          <w:rStyle w:val="ac"/>
          <w:rtl/>
        </w:rPr>
        <w:footnoteRef/>
      </w:r>
      <w:r>
        <w:rPr>
          <w:rtl/>
        </w:rPr>
        <w:t>וב</w:t>
      </w:r>
      <w:r>
        <w:rPr>
          <w:b/>
          <w:bCs/>
          <w:rtl/>
        </w:rPr>
        <w:t>חי' ר"א מן ההר</w:t>
      </w:r>
      <w:r>
        <w:rPr>
          <w:rtl/>
        </w:rPr>
        <w:t xml:space="preserve"> תי' דהכא אפשר בלא לשנות, שאני אומר לך בדרך שאתה אומר לה. וצ"ב.</w:t>
      </w:r>
    </w:p>
  </w:footnote>
  <w:footnote w:id="3804">
    <w:p w14:paraId="53E69451" w14:textId="77777777" w:rsidR="006074A5" w:rsidRDefault="006074A5" w:rsidP="006074A5">
      <w:pPr>
        <w:pStyle w:val="Footnote"/>
        <w:bidi/>
      </w:pPr>
      <w:r>
        <w:rPr>
          <w:rStyle w:val="ac"/>
          <w:rtl/>
        </w:rPr>
        <w:footnoteRef/>
      </w:r>
      <w:r>
        <w:rPr>
          <w:rtl/>
        </w:rPr>
        <w:t>דאי' דמי שיש לו אשה רעה אינו רואה פני גיהנום. ומ"ד ב' ס"ל דאשה רעה מצו' לגרשה. ואידך כתובתה מרובה או יש לו בנים ממנה.</w:t>
      </w:r>
    </w:p>
  </w:footnote>
  <w:footnote w:id="3805">
    <w:p w14:paraId="4FD4BE1E" w14:textId="77777777" w:rsidR="006074A5" w:rsidRDefault="006074A5" w:rsidP="006074A5">
      <w:pPr>
        <w:pStyle w:val="Footnote"/>
        <w:bidi/>
      </w:pPr>
      <w:r>
        <w:rPr>
          <w:rStyle w:val="ac"/>
          <w:rtl/>
        </w:rPr>
        <w:footnoteRef/>
      </w:r>
      <w:r>
        <w:rPr>
          <w:rtl/>
        </w:rPr>
        <w:t>אך הק' מהגמ' (גיטין נח.) [דמבואר דגירשה כשהלווהו]. וה</w:t>
      </w:r>
      <w:r>
        <w:rPr>
          <w:b/>
          <w:bCs/>
          <w:rtl/>
        </w:rPr>
        <w:t>באר היטב</w:t>
      </w:r>
      <w:r>
        <w:rPr>
          <w:rtl/>
        </w:rPr>
        <w:t xml:space="preserve"> תי' דאין למידין מדברי אגדה.</w:t>
      </w:r>
    </w:p>
  </w:footnote>
  <w:footnote w:id="3806">
    <w:p w14:paraId="2F8E64CF" w14:textId="77777777" w:rsidR="006074A5" w:rsidRDefault="006074A5" w:rsidP="006074A5">
      <w:pPr>
        <w:pStyle w:val="Footnote"/>
        <w:bidi/>
      </w:pPr>
      <w:r>
        <w:rPr>
          <w:rStyle w:val="ac"/>
          <w:rtl/>
        </w:rPr>
        <w:footnoteRef/>
      </w:r>
      <w:r>
        <w:rPr>
          <w:rtl/>
        </w:rPr>
        <w:t>ו</w:t>
      </w:r>
      <w:r>
        <w:rPr>
          <w:b/>
          <w:bCs/>
          <w:rtl/>
        </w:rPr>
        <w:t>רש"י</w:t>
      </w:r>
      <w:r>
        <w:rPr>
          <w:rtl/>
        </w:rPr>
        <w:t xml:space="preserve"> (שבת מה.) כת' דחברי הוא אומה שהיה עם הפרסיים. ורש"י (ביצה ו.) כת' חברי הם אומה רשעה שהיו בימי פרסיים. ורש"י (קידושין עב.) פי' חברין, אומה הסמוכה לפרסיים ומשחיתים הם וטרפנים הם יותר. ורש"י (שבת יא.) כת' חבר, אומה מבני פרסיים.</w:t>
      </w:r>
    </w:p>
  </w:footnote>
  <w:footnote w:id="3807">
    <w:p w14:paraId="04BE1FDC" w14:textId="77777777" w:rsidR="006074A5" w:rsidRDefault="006074A5" w:rsidP="006074A5">
      <w:pPr>
        <w:pStyle w:val="Footnote"/>
        <w:bidi/>
      </w:pPr>
      <w:r>
        <w:rPr>
          <w:rStyle w:val="ac"/>
          <w:rtl/>
        </w:rPr>
        <w:footnoteRef/>
      </w:r>
      <w:r>
        <w:rPr>
          <w:rtl/>
        </w:rPr>
        <w:t>וה</w:t>
      </w:r>
      <w:r>
        <w:rPr>
          <w:b/>
          <w:bCs/>
          <w:rtl/>
        </w:rPr>
        <w:t>מרדכי</w:t>
      </w:r>
      <w:r>
        <w:rPr>
          <w:rtl/>
        </w:rPr>
        <w:t xml:space="preserve"> (חולין תשלו) הביא שו"ת רש"י דהנותן תבא עליו ברכה.</w:t>
      </w:r>
    </w:p>
  </w:footnote>
  <w:footnote w:id="3808">
    <w:p w14:paraId="0CD8F96A" w14:textId="77777777" w:rsidR="006074A5" w:rsidRDefault="006074A5" w:rsidP="006074A5">
      <w:pPr>
        <w:pStyle w:val="Footnote"/>
        <w:bidi/>
      </w:pPr>
      <w:r>
        <w:rPr>
          <w:rStyle w:val="ac"/>
          <w:rtl/>
        </w:rPr>
        <w:footnoteRef/>
      </w:r>
      <w:r>
        <w:rPr>
          <w:rtl/>
        </w:rPr>
        <w:t>וב</w:t>
      </w:r>
      <w:r>
        <w:rPr>
          <w:b/>
          <w:bCs/>
          <w:rtl/>
        </w:rPr>
        <w:t>חי' ר"א מן ההר</w:t>
      </w:r>
      <w:r>
        <w:rPr>
          <w:rtl/>
        </w:rPr>
        <w:t xml:space="preserve"> כ' דכוונת בן עזאי מחמת חשק התורה אין לי הרהור. אבל אם יצרו מתגבר חייב לישא.</w:t>
      </w:r>
    </w:p>
  </w:footnote>
  <w:footnote w:id="3809">
    <w:p w14:paraId="7AE51DB6" w14:textId="77777777" w:rsidR="006074A5" w:rsidRDefault="006074A5" w:rsidP="006074A5">
      <w:pPr>
        <w:pStyle w:val="Footnote"/>
        <w:bidi/>
      </w:pPr>
      <w:r>
        <w:rPr>
          <w:rStyle w:val="ac"/>
          <w:rtl/>
        </w:rPr>
        <w:footnoteRef/>
      </w:r>
      <w:r>
        <w:rPr>
          <w:rtl/>
        </w:rPr>
        <w:t>אמנם ה</w:t>
      </w:r>
      <w:r>
        <w:rPr>
          <w:b/>
          <w:bCs/>
          <w:rtl/>
        </w:rPr>
        <w:t>רמב"ם</w:t>
      </w:r>
      <w:r>
        <w:rPr>
          <w:rtl/>
        </w:rPr>
        <w:t xml:space="preserve"> פסק דכל שאינו פוגע בביצים אינו בכלל לאו דסירוס. ועי"ש מה שכתבו ליישב דבריו מהסוגיא בשבת.</w:t>
      </w:r>
    </w:p>
  </w:footnote>
  <w:footnote w:id="3810">
    <w:p w14:paraId="42B1D6E3" w14:textId="77777777" w:rsidR="006074A5" w:rsidRDefault="006074A5" w:rsidP="006074A5">
      <w:pPr>
        <w:pStyle w:val="Footnote"/>
        <w:bidi/>
      </w:pPr>
      <w:r>
        <w:rPr>
          <w:rStyle w:val="ac"/>
          <w:rtl/>
        </w:rPr>
        <w:footnoteRef/>
      </w:r>
      <w:r>
        <w:rPr>
          <w:rtl/>
        </w:rPr>
        <w:t>וב</w:t>
      </w:r>
      <w:r>
        <w:rPr>
          <w:b/>
          <w:bCs/>
          <w:rtl/>
        </w:rPr>
        <w:t>הג' מיימוניות</w:t>
      </w:r>
      <w:r>
        <w:rPr>
          <w:rtl/>
        </w:rPr>
        <w:t xml:space="preserve"> הביא דה</w:t>
      </w:r>
      <w:r>
        <w:rPr>
          <w:b/>
          <w:bCs/>
          <w:rtl/>
        </w:rPr>
        <w:t>רא"ש</w:t>
      </w:r>
      <w:r>
        <w:rPr>
          <w:rtl/>
        </w:rPr>
        <w:t xml:space="preserve"> (קידושין א מב) הק' דלא ידע איזה קיצבה בדבר. דלא מצאנו להתיר בלא קיצבה אלא בבן עזאי. וה</w:t>
      </w:r>
      <w:r>
        <w:rPr>
          <w:b/>
          <w:bCs/>
          <w:rtl/>
        </w:rPr>
        <w:t>בי"ש</w:t>
      </w:r>
      <w:r>
        <w:rPr>
          <w:rtl/>
        </w:rPr>
        <w:t xml:space="preserve"> (א ה) הביא דדעת הרמב"ם דאין קיצבה בדבר, וכל אדם שיהא לו טירחא משום מזונות, ויצרו אינו מתגבר רשאי לבטל. [ובן עזאי כיון דנפשו חשקה בתורה הותר לו לבטל אף כשלא היה לו טירדא משום מזונות]. [והוא חידוש, ולולי דבריו הרמב"ם התיר רק להתאחר ודעתו לישא אח"כ, וכל מקום לפי הענין, דע"פ הסברא יוכל עדיין לישא ולקיים המצווה. ואילו הרא"ש קצב הדבר למספר שנים].</w:t>
      </w:r>
    </w:p>
  </w:footnote>
  <w:footnote w:id="3811">
    <w:p w14:paraId="3B8DA166" w14:textId="77777777" w:rsidR="006074A5" w:rsidRDefault="006074A5" w:rsidP="006074A5">
      <w:pPr>
        <w:pStyle w:val="Footnote"/>
        <w:bidi/>
      </w:pPr>
      <w:r>
        <w:rPr>
          <w:rStyle w:val="ac"/>
          <w:rtl/>
        </w:rPr>
        <w:footnoteRef/>
      </w:r>
      <w:r>
        <w:rPr>
          <w:rtl/>
        </w:rPr>
        <w:t>ודלא כבי"ש (הנ"ל) דהרמב"ם התיר לבטל לעולם.</w:t>
      </w:r>
    </w:p>
  </w:footnote>
  <w:footnote w:id="3812">
    <w:p w14:paraId="4375A537" w14:textId="77777777" w:rsidR="006074A5" w:rsidRDefault="006074A5" w:rsidP="006074A5">
      <w:pPr>
        <w:pStyle w:val="Footnote"/>
        <w:bidi/>
      </w:pPr>
      <w:r>
        <w:rPr>
          <w:rStyle w:val="ac"/>
          <w:rtl/>
        </w:rPr>
        <w:footnoteRef/>
      </w:r>
      <w:r>
        <w:rPr>
          <w:rtl/>
        </w:rPr>
        <w:t>וביאר דהא דצריך להתבטל מת"ת משום מצווה שא"א ע"י אחרים, הוא כמו שאר צרכי האדם ההכרחים, דמצות ת"ת לא חל עליו אלא בשעה שהוא פנוי מעשיית צרכיו. אבל במקום דהוה אפשר ע"י אחרים ומצות ת"ת אינו נדחה, א"כ רמי עליו חיוב ת"ת, והוה בגדר עוסק במצוה פטור מן המצוה.</w:t>
      </w:r>
    </w:p>
  </w:footnote>
  <w:footnote w:id="3813">
    <w:p w14:paraId="134FFCAF" w14:textId="77777777" w:rsidR="006074A5" w:rsidRDefault="006074A5" w:rsidP="006074A5">
      <w:pPr>
        <w:pStyle w:val="Footnote"/>
        <w:bidi/>
      </w:pPr>
      <w:r>
        <w:rPr>
          <w:rStyle w:val="ac"/>
          <w:rtl/>
        </w:rPr>
        <w:footnoteRef/>
      </w:r>
      <w:r>
        <w:rPr>
          <w:rtl/>
        </w:rPr>
        <w:t>דומיא דהא דאמרי' (זבחים קב, ע' ב"י או"ח פה) דלהרהר בבית הכסא לאונסו, אינו נחשב חטא.</w:t>
      </w:r>
    </w:p>
  </w:footnote>
  <w:footnote w:id="3814">
    <w:p w14:paraId="7E9D86E8" w14:textId="77777777" w:rsidR="006074A5" w:rsidRDefault="006074A5" w:rsidP="006074A5">
      <w:pPr>
        <w:pStyle w:val="Footnote"/>
        <w:bidi/>
      </w:pPr>
      <w:r>
        <w:rPr>
          <w:rStyle w:val="ac"/>
          <w:rtl/>
        </w:rPr>
        <w:footnoteRef/>
      </w:r>
      <w:r>
        <w:rPr>
          <w:rtl/>
        </w:rPr>
        <w:t>ע' עירובין סג. יומא נג., מדרש רבה (אחרי כ ו-י) ועוד.</w:t>
      </w:r>
    </w:p>
  </w:footnote>
  <w:footnote w:id="3815">
    <w:p w14:paraId="7C4D8177" w14:textId="77777777" w:rsidR="006074A5" w:rsidRDefault="006074A5" w:rsidP="006074A5">
      <w:pPr>
        <w:pStyle w:val="Footnote"/>
        <w:bidi/>
      </w:pPr>
      <w:r>
        <w:rPr>
          <w:rStyle w:val="ac"/>
          <w:rtl/>
        </w:rPr>
        <w:footnoteRef/>
      </w:r>
      <w:r>
        <w:rPr>
          <w:rtl/>
        </w:rPr>
        <w:t>וב</w:t>
      </w:r>
      <w:r>
        <w:rPr>
          <w:b/>
          <w:bCs/>
          <w:rtl/>
        </w:rPr>
        <w:t>ס' עיון יעקב</w:t>
      </w:r>
      <w:r>
        <w:rPr>
          <w:rtl/>
        </w:rPr>
        <w:t xml:space="preserve"> פי' דמ"ד שופך דמים, מ"מ אין חיוב מיתה על הריגת עוברין. וה</w:t>
      </w:r>
      <w:r>
        <w:rPr>
          <w:b/>
          <w:bCs/>
          <w:rtl/>
        </w:rPr>
        <w:t>דרישה</w:t>
      </w:r>
      <w:r>
        <w:rPr>
          <w:rtl/>
        </w:rPr>
        <w:t xml:space="preserve"> כת' דהלשון 'כאילו הוא שופך דמים' משמע רק דוגמא, ולא הוה חיוב ממש. ואילו הלשון 'חייב מיתה' משמע חיוב ממש. ועוד הביא דנח' בכ"מ בטעם מדוע מתו בני אהרן.</w:t>
      </w:r>
    </w:p>
  </w:footnote>
  <w:footnote w:id="3816">
    <w:p w14:paraId="446CB6EE" w14:textId="77777777" w:rsidR="006074A5" w:rsidRDefault="006074A5" w:rsidP="006074A5">
      <w:pPr>
        <w:pStyle w:val="Footnote"/>
        <w:bidi/>
      </w:pPr>
      <w:r>
        <w:rPr>
          <w:rStyle w:val="ac"/>
          <w:rtl/>
        </w:rPr>
        <w:footnoteRef/>
      </w:r>
      <w:r>
        <w:rPr>
          <w:rtl/>
        </w:rPr>
        <w:t>יל"ד האם רבבה היינו י' אלפים, וזה חידוש.</w:t>
      </w:r>
    </w:p>
  </w:footnote>
  <w:footnote w:id="3817">
    <w:p w14:paraId="19B29650" w14:textId="77777777" w:rsidR="006074A5" w:rsidRDefault="006074A5" w:rsidP="006074A5">
      <w:pPr>
        <w:pStyle w:val="Footnote"/>
        <w:bidi/>
      </w:pPr>
      <w:r>
        <w:rPr>
          <w:rStyle w:val="ac"/>
          <w:rtl/>
        </w:rPr>
        <w:footnoteRef/>
      </w:r>
      <w:r>
        <w:rPr>
          <w:rtl/>
        </w:rPr>
        <w:t>וה</w:t>
      </w:r>
      <w:r>
        <w:rPr>
          <w:b/>
          <w:bCs/>
          <w:rtl/>
        </w:rPr>
        <w:t>אבנ"נ</w:t>
      </w:r>
      <w:r>
        <w:rPr>
          <w:rtl/>
        </w:rPr>
        <w:t xml:space="preserve"> (אה"ע א ח) ביאר דל"ש כאן משום כופין על ממצוות דלגרש את אשתו נחשב צער גדול יותר מחומש נכסיו. [והביא דמבואר (סנהדרין כב.) דהתירו לדוד יחוד פנויה ולא התירו לגרש. וצריך להפסיד הון רב משום איסור יחוד דרבנן]. אלא דחמור מאוד שלא ימחה שמו. וכן שלא יקיים המצוה כל ימי חייו. [וע' בסמוך בשם הפתח"ת].</w:t>
      </w:r>
    </w:p>
  </w:footnote>
  <w:footnote w:id="3818">
    <w:p w14:paraId="733D4A55" w14:textId="77777777" w:rsidR="006074A5" w:rsidRDefault="006074A5" w:rsidP="006074A5">
      <w:pPr>
        <w:pStyle w:val="Footnote"/>
        <w:bidi/>
      </w:pPr>
      <w:r>
        <w:rPr>
          <w:rStyle w:val="ac"/>
          <w:rtl/>
        </w:rPr>
        <w:footnoteRef/>
      </w:r>
      <w:r>
        <w:rPr>
          <w:rtl/>
        </w:rPr>
        <w:t>ומבואר בדבריו דפליג [אבל יש אחרונים שדנו לחלק בין בן א', לכמה בנים].</w:t>
      </w:r>
    </w:p>
  </w:footnote>
  <w:footnote w:id="3819">
    <w:p w14:paraId="1159A5D4" w14:textId="77777777" w:rsidR="006074A5" w:rsidRDefault="006074A5" w:rsidP="006074A5">
      <w:pPr>
        <w:pStyle w:val="Footnote"/>
        <w:bidi/>
      </w:pPr>
      <w:r>
        <w:rPr>
          <w:rStyle w:val="ac"/>
          <w:rtl/>
        </w:rPr>
        <w:footnoteRef/>
      </w:r>
      <w:r>
        <w:rPr>
          <w:rtl/>
        </w:rPr>
        <w:t>וכת' דדעת ה</w:t>
      </w:r>
      <w:r>
        <w:rPr>
          <w:b/>
          <w:bCs/>
          <w:rtl/>
        </w:rPr>
        <w:t xml:space="preserve">ירושלמי </w:t>
      </w:r>
      <w:r>
        <w:rPr>
          <w:rtl/>
        </w:rPr>
        <w:t>כרבי אמי (סה.) דאסור לישא אשה על אשתו, וה</w:t>
      </w:r>
      <w:r>
        <w:rPr>
          <w:b/>
          <w:bCs/>
          <w:rtl/>
        </w:rPr>
        <w:t>פוסקים</w:t>
      </w:r>
      <w:r>
        <w:rPr>
          <w:rtl/>
        </w:rPr>
        <w:t xml:space="preserve"> פסקו כרבא דנושא על אשתו.</w:t>
      </w:r>
    </w:p>
  </w:footnote>
  <w:footnote w:id="3820">
    <w:p w14:paraId="373B6EBD" w14:textId="77777777" w:rsidR="006074A5" w:rsidRDefault="006074A5" w:rsidP="006074A5">
      <w:pPr>
        <w:pStyle w:val="Footnote"/>
        <w:bidi/>
      </w:pPr>
      <w:r>
        <w:rPr>
          <w:rStyle w:val="ac"/>
          <w:rtl/>
        </w:rPr>
        <w:footnoteRef/>
      </w:r>
      <w:r>
        <w:rPr>
          <w:rtl/>
        </w:rPr>
        <w:t>וכ"פ ה</w:t>
      </w:r>
      <w:r>
        <w:rPr>
          <w:b/>
          <w:bCs/>
          <w:rtl/>
        </w:rPr>
        <w:t>רמב"ם</w:t>
      </w:r>
      <w:r>
        <w:rPr>
          <w:rtl/>
        </w:rPr>
        <w:t xml:space="preserve"> (טו ז) ואם אמר איני בועלה אלא שוכן בעדים אין שומעין להן, אלא יוציא או ישא בת בנים. ו</w:t>
      </w:r>
      <w:r>
        <w:rPr>
          <w:b/>
          <w:bCs/>
          <w:rtl/>
        </w:rPr>
        <w:t>רע"א</w:t>
      </w:r>
      <w:r>
        <w:rPr>
          <w:rtl/>
        </w:rPr>
        <w:t xml:space="preserve"> ביאר דס"ד דכיון דהוא בלא אשה יש לסמוך דודאי ישא אחרת.</w:t>
      </w:r>
    </w:p>
  </w:footnote>
  <w:footnote w:id="3821">
    <w:p w14:paraId="7E140F64" w14:textId="77777777" w:rsidR="006074A5" w:rsidRDefault="006074A5" w:rsidP="006074A5">
      <w:pPr>
        <w:pStyle w:val="Footnote"/>
        <w:bidi/>
      </w:pPr>
      <w:r>
        <w:rPr>
          <w:rStyle w:val="ac"/>
          <w:rtl/>
        </w:rPr>
        <w:footnoteRef/>
      </w:r>
      <w:r>
        <w:rPr>
          <w:rtl/>
        </w:rPr>
        <w:t>וה</w:t>
      </w:r>
      <w:r>
        <w:rPr>
          <w:b/>
          <w:bCs/>
          <w:rtl/>
        </w:rPr>
        <w:t>ריטב"א</w:t>
      </w:r>
      <w:r>
        <w:rPr>
          <w:rtl/>
        </w:rPr>
        <w:t xml:space="preserve"> כתב דאף שהחרים רבינו גרשם שלא לישא אשה על אשתו, משום מצוה לא החרים. אבל ה</w:t>
      </w:r>
      <w:r>
        <w:rPr>
          <w:b/>
          <w:bCs/>
          <w:rtl/>
        </w:rPr>
        <w:t>או"ז</w:t>
      </w:r>
      <w:r>
        <w:rPr>
          <w:rtl/>
        </w:rPr>
        <w:t xml:space="preserve"> כת' דאף במקום מצוה החרים. והו' ב' דעות ב</w:t>
      </w:r>
      <w:r>
        <w:rPr>
          <w:b/>
          <w:bCs/>
          <w:rtl/>
        </w:rPr>
        <w:t>רמ"א</w:t>
      </w:r>
      <w:r>
        <w:rPr>
          <w:rtl/>
        </w:rPr>
        <w:t xml:space="preserve"> (א ח). ועוד נחלקו האם החרם הוה אף במקום יבום [ע' לעיל מד.].</w:t>
      </w:r>
    </w:p>
  </w:footnote>
  <w:footnote w:id="3822">
    <w:p w14:paraId="629F5B26" w14:textId="77777777" w:rsidR="006074A5" w:rsidRDefault="006074A5" w:rsidP="006074A5">
      <w:pPr>
        <w:pStyle w:val="Footnote"/>
        <w:bidi/>
      </w:pPr>
      <w:r>
        <w:rPr>
          <w:rStyle w:val="ac"/>
          <w:rtl/>
        </w:rPr>
        <w:footnoteRef/>
      </w:r>
      <w:r>
        <w:rPr>
          <w:rtl/>
        </w:rPr>
        <w:t>והביא דכ"מ מהא דאמרו רבנן לר' אבא בר זבדא (סד:) נסיב איתתא וכו'. משמע דהיו כופין אותו [לולי שהיה עקר].</w:t>
      </w:r>
    </w:p>
  </w:footnote>
  <w:footnote w:id="3823">
    <w:p w14:paraId="1678A955" w14:textId="77777777" w:rsidR="006074A5" w:rsidRDefault="006074A5" w:rsidP="006074A5">
      <w:pPr>
        <w:pStyle w:val="Footnote"/>
        <w:bidi/>
      </w:pPr>
      <w:r>
        <w:rPr>
          <w:rStyle w:val="ac"/>
          <w:rtl/>
        </w:rPr>
        <w:footnoteRef/>
      </w:r>
      <w:r>
        <w:rPr>
          <w:rtl/>
        </w:rPr>
        <w:t>וכמעשה דרב ששת (סב:) ורב אבא ב"ז (סד:). [וכ"פ ה</w:t>
      </w:r>
      <w:r>
        <w:rPr>
          <w:b/>
          <w:bCs/>
          <w:rtl/>
        </w:rPr>
        <w:t>שו"ע</w:t>
      </w:r>
      <w:r>
        <w:rPr>
          <w:rtl/>
        </w:rPr>
        <w:t xml:space="preserve"> (קנד), והגר"א ציין מקורו מדברי רב ששת לעיל סב:].</w:t>
      </w:r>
    </w:p>
  </w:footnote>
  <w:footnote w:id="3824">
    <w:p w14:paraId="2E04E444" w14:textId="77777777" w:rsidR="006074A5" w:rsidRDefault="006074A5" w:rsidP="006074A5">
      <w:pPr>
        <w:pStyle w:val="Footnote"/>
        <w:bidi/>
      </w:pPr>
      <w:r>
        <w:rPr>
          <w:rStyle w:val="ac"/>
          <w:rtl/>
        </w:rPr>
        <w:footnoteRef/>
      </w:r>
      <w:r>
        <w:rPr>
          <w:rtl/>
        </w:rPr>
        <w:t>וה</w:t>
      </w:r>
      <w:r>
        <w:rPr>
          <w:b/>
          <w:bCs/>
          <w:rtl/>
        </w:rPr>
        <w:t>תוי"ט</w:t>
      </w:r>
      <w:r>
        <w:rPr>
          <w:rtl/>
        </w:rPr>
        <w:t xml:space="preserve"> (בהקדמה) ציין דה</w:t>
      </w:r>
      <w:r>
        <w:rPr>
          <w:b/>
          <w:bCs/>
          <w:rtl/>
        </w:rPr>
        <w:t xml:space="preserve">רא"ש </w:t>
      </w:r>
      <w:r>
        <w:rPr>
          <w:rtl/>
        </w:rPr>
        <w:t>(כאן) מבואר דכופין על מצוות פר"ו. וכתב דאפשר דכיון דקי"ל ילמד תורה ואח"כ ישא אשה, וכן בן עזאי דנפשו חשקה בתורה, לא פסיקא ליה הך כפיה.</w:t>
      </w:r>
    </w:p>
  </w:footnote>
  <w:footnote w:id="3825">
    <w:p w14:paraId="0CB5DBFF" w14:textId="77777777" w:rsidR="006074A5" w:rsidRDefault="006074A5" w:rsidP="006074A5">
      <w:pPr>
        <w:pStyle w:val="Footnote"/>
        <w:bidi/>
      </w:pPr>
      <w:r>
        <w:rPr>
          <w:rStyle w:val="ac"/>
          <w:rtl/>
        </w:rPr>
        <w:footnoteRef/>
      </w:r>
      <w:r>
        <w:rPr>
          <w:rtl/>
        </w:rPr>
        <w:t>כיון דמותר להתאחר משום לימוד התורה [הו' לעיל סב:]. ועוד דאינו חייב לבזבז יותר מחומש נכסיו לקיום מצווה. ועוד דהוה ספיקא האם יבנה מאחרת. ובצירוף הי"מ דבחו"ל אינו נוהג דין זה. ועוד שמא נחשב חלה דאינו עולה מהמנין.</w:t>
      </w:r>
    </w:p>
  </w:footnote>
  <w:footnote w:id="3826">
    <w:p w14:paraId="37C59091" w14:textId="77777777" w:rsidR="006074A5" w:rsidRDefault="006074A5" w:rsidP="006074A5">
      <w:pPr>
        <w:pStyle w:val="Footnote"/>
        <w:bidi/>
      </w:pPr>
      <w:r>
        <w:rPr>
          <w:rStyle w:val="ac"/>
          <w:rtl/>
        </w:rPr>
        <w:footnoteRef/>
      </w:r>
      <w:r>
        <w:rPr>
          <w:rtl/>
        </w:rPr>
        <w:t xml:space="preserve">אבל </w:t>
      </w:r>
      <w:r>
        <w:rPr>
          <w:b/>
          <w:bCs/>
          <w:rtl/>
        </w:rPr>
        <w:t>תוס</w:t>
      </w:r>
      <w:r>
        <w:rPr>
          <w:rtl/>
        </w:rPr>
        <w:t>' (שם) כת' דאיירי רק במי שכבר קיים מצוות פר"ו, אבל אין בדין לעקור דין דאורייתא. ולדעת המרדכי אף במי שלא קיים.</w:t>
      </w:r>
    </w:p>
  </w:footnote>
  <w:footnote w:id="3827">
    <w:p w14:paraId="3147D6BB" w14:textId="77777777" w:rsidR="006074A5" w:rsidRDefault="006074A5" w:rsidP="006074A5">
      <w:pPr>
        <w:pStyle w:val="Footnote"/>
        <w:bidi/>
      </w:pPr>
      <w:r>
        <w:rPr>
          <w:rStyle w:val="ac"/>
          <w:rtl/>
        </w:rPr>
        <w:footnoteRef/>
      </w:r>
      <w:r>
        <w:rPr>
          <w:rtl/>
        </w:rPr>
        <w:t>אבל ילה"ק ע"ז דכל האמוראים דסוגיין ג"כ הוה בתר תקנה.</w:t>
      </w:r>
    </w:p>
  </w:footnote>
  <w:footnote w:id="3828">
    <w:p w14:paraId="2C05856C" w14:textId="77777777" w:rsidR="006074A5" w:rsidRDefault="006074A5" w:rsidP="006074A5">
      <w:pPr>
        <w:pStyle w:val="Footnote"/>
        <w:bidi/>
      </w:pPr>
      <w:r>
        <w:rPr>
          <w:rStyle w:val="ac"/>
          <w:rtl/>
        </w:rPr>
        <w:footnoteRef/>
      </w:r>
      <w:r>
        <w:rPr>
          <w:rtl/>
        </w:rPr>
        <w:t>ואף דלא דמי למורד, דצורת הכפייה משום שמא יחזור בו, והכא לא תליא בדידיה לחזור (ע' חזו"א).</w:t>
      </w:r>
    </w:p>
  </w:footnote>
  <w:footnote w:id="3829">
    <w:p w14:paraId="6ADC50A1" w14:textId="77777777" w:rsidR="006074A5" w:rsidRDefault="006074A5" w:rsidP="006074A5">
      <w:pPr>
        <w:pStyle w:val="Footnote"/>
        <w:bidi/>
      </w:pPr>
      <w:r>
        <w:rPr>
          <w:rStyle w:val="ac"/>
          <w:rtl/>
        </w:rPr>
        <w:footnoteRef/>
      </w:r>
      <w:r>
        <w:rPr>
          <w:rtl/>
        </w:rPr>
        <w:t>וה</w:t>
      </w:r>
      <w:r>
        <w:rPr>
          <w:b/>
          <w:bCs/>
          <w:rtl/>
        </w:rPr>
        <w:t>מרדכי</w:t>
      </w:r>
      <w:r>
        <w:rPr>
          <w:rtl/>
        </w:rPr>
        <w:t xml:space="preserve"> (כתובות שם, והג"א שם ז ג) כת' דעכ"פ כופין אותו ליתן כתובה, ואומרים לו דכבר חייבו חכמים שיתן ממון זה. וה</w:t>
      </w:r>
      <w:r>
        <w:rPr>
          <w:b/>
          <w:bCs/>
          <w:rtl/>
        </w:rPr>
        <w:t>אחרונים</w:t>
      </w:r>
      <w:r>
        <w:rPr>
          <w:rtl/>
        </w:rPr>
        <w:t xml:space="preserve"> הק' דלא ניתנה כתובה ליגבות עד שיתן גט. ו</w:t>
      </w:r>
      <w:r>
        <w:rPr>
          <w:b/>
          <w:bCs/>
          <w:rtl/>
        </w:rPr>
        <w:t>רע"א</w:t>
      </w:r>
      <w:r>
        <w:rPr>
          <w:rtl/>
        </w:rPr>
        <w:t xml:space="preserve"> (בשו"ת בית מאיר לט) תי' דכיון דמדינא יוציא ויתן כתובה כבר חל חיוב כתובה. [עי"ש שהאריכו בזה. ואכמ"ל].</w:t>
      </w:r>
    </w:p>
  </w:footnote>
  <w:footnote w:id="3830">
    <w:p w14:paraId="210E2CDF" w14:textId="77777777" w:rsidR="006074A5" w:rsidRDefault="006074A5" w:rsidP="006074A5">
      <w:pPr>
        <w:pStyle w:val="Footnote"/>
        <w:bidi/>
      </w:pPr>
      <w:r>
        <w:rPr>
          <w:rStyle w:val="ac"/>
          <w:rtl/>
        </w:rPr>
        <w:footnoteRef/>
      </w:r>
      <w:r>
        <w:rPr>
          <w:rtl/>
        </w:rPr>
        <w:t>ולא אמרי' דנחשב 'כדין', כיון דחייב לגרשה. והוה תלוי' וזבין. דמ"מ צורת כפייה זו הוה שלא כדין.</w:t>
      </w:r>
    </w:p>
  </w:footnote>
  <w:footnote w:id="3831">
    <w:p w14:paraId="37DC2E92" w14:textId="77777777" w:rsidR="006074A5" w:rsidRDefault="006074A5" w:rsidP="006074A5">
      <w:pPr>
        <w:pStyle w:val="Footnote"/>
        <w:bidi/>
      </w:pPr>
      <w:r>
        <w:rPr>
          <w:rStyle w:val="ac"/>
          <w:rtl/>
        </w:rPr>
        <w:footnoteRef/>
      </w:r>
      <w:r>
        <w:rPr>
          <w:rtl/>
        </w:rPr>
        <w:t>ועוד יש להביא דהגמ' (גיטין פח:) דנו דעכו"ם לאו בני עשוי, והגט יהא בטל מדאורייתא. ואף היכא דהוה 'כדין', וראוי לכפיית בי"ד. מ"מ אינו מחוייב בכפיית עכו"ם, ומש"ה נחשב אונס בדבר.</w:t>
      </w:r>
    </w:p>
  </w:footnote>
  <w:footnote w:id="3832">
    <w:p w14:paraId="14F35C6D" w14:textId="77777777" w:rsidR="006074A5" w:rsidRDefault="006074A5" w:rsidP="006074A5">
      <w:pPr>
        <w:pStyle w:val="Footnote"/>
        <w:bidi/>
      </w:pPr>
      <w:r>
        <w:rPr>
          <w:rStyle w:val="ac"/>
          <w:rtl/>
        </w:rPr>
        <w:footnoteRef/>
      </w:r>
      <w:r>
        <w:rPr>
          <w:rtl/>
        </w:rPr>
        <w:t>וה</w:t>
      </w:r>
      <w:r>
        <w:rPr>
          <w:b/>
          <w:bCs/>
          <w:rtl/>
        </w:rPr>
        <w:t xml:space="preserve">מפרשים </w:t>
      </w:r>
      <w:r>
        <w:rPr>
          <w:rtl/>
        </w:rPr>
        <w:t>פי' דכיון דמינהו לשם שמים יתקבלו תפילותיו יותר.</w:t>
      </w:r>
    </w:p>
  </w:footnote>
  <w:footnote w:id="3833">
    <w:p w14:paraId="572D7CB7" w14:textId="77777777" w:rsidR="006074A5" w:rsidRDefault="006074A5" w:rsidP="006074A5">
      <w:pPr>
        <w:pStyle w:val="Footnote"/>
        <w:bidi/>
      </w:pPr>
      <w:r>
        <w:rPr>
          <w:rStyle w:val="ac"/>
          <w:rtl/>
        </w:rPr>
        <w:footnoteRef/>
      </w:r>
      <w:r>
        <w:rPr>
          <w:rtl/>
        </w:rPr>
        <w:t>ורבה דחה דליתנהו להני כללי. ולכאו' למסקנא הנך כללים אינם כלום.</w:t>
      </w:r>
    </w:p>
  </w:footnote>
  <w:footnote w:id="3834">
    <w:p w14:paraId="07165E63" w14:textId="77777777" w:rsidR="006074A5" w:rsidRDefault="006074A5" w:rsidP="006074A5">
      <w:pPr>
        <w:pStyle w:val="Footnote"/>
        <w:bidi/>
      </w:pPr>
      <w:r>
        <w:rPr>
          <w:rStyle w:val="ac"/>
          <w:rtl/>
        </w:rPr>
        <w:footnoteRef/>
      </w:r>
      <w:r>
        <w:rPr>
          <w:rtl/>
        </w:rPr>
        <w:t>[ואף מספק אי תלי בדידה אין לה כתובה].</w:t>
      </w:r>
    </w:p>
  </w:footnote>
  <w:footnote w:id="3835">
    <w:p w14:paraId="002FB0A5" w14:textId="77777777" w:rsidR="006074A5" w:rsidRDefault="006074A5" w:rsidP="006074A5">
      <w:pPr>
        <w:pStyle w:val="Footnote"/>
        <w:bidi/>
      </w:pPr>
      <w:r>
        <w:rPr>
          <w:rStyle w:val="ac"/>
          <w:rtl/>
        </w:rPr>
        <w:footnoteRef/>
      </w:r>
      <w:r>
        <w:rPr>
          <w:rtl/>
        </w:rPr>
        <w:t>אלא דאינה ראויה להבנות ממנו. דאלו תלי בזכות דידה לא אמרי' דהאשה הוה שדהו של בעל ונסתחפה שדהו. [ואפשר משום דאמרי' דאף קודם נישואין לא היתה ראויה ליבנות ממנו].</w:t>
      </w:r>
    </w:p>
    <w:p w14:paraId="409851A7" w14:textId="77777777" w:rsidR="006074A5" w:rsidRDefault="006074A5" w:rsidP="006074A5">
      <w:pPr>
        <w:pStyle w:val="Footnote"/>
        <w:bidi/>
      </w:pPr>
      <w:r>
        <w:rPr>
          <w:rtl/>
        </w:rPr>
        <w:tab/>
        <w:t>ויש שפי' דנחשב שהאשה גורמת לסיום האישות ומש"ה אין לה זכות לכתובה. [וע"ד מה שדנו האחרונים דאמרי' דלא נתחייב כתובה לסוטה כיון דהיא גרמא להפסקת האישות. והא דאשת כהן שנאנסה יש לה כתובה הוא משום דאמרי' דנסתחפה שדהו ומזלו גרם].</w:t>
      </w:r>
    </w:p>
  </w:footnote>
  <w:footnote w:id="3836">
    <w:p w14:paraId="2E8157DA" w14:textId="77777777" w:rsidR="006074A5" w:rsidRDefault="006074A5" w:rsidP="006074A5">
      <w:pPr>
        <w:pStyle w:val="Footnote"/>
        <w:bidi/>
      </w:pPr>
      <w:r>
        <w:rPr>
          <w:rStyle w:val="ac"/>
          <w:rtl/>
        </w:rPr>
        <w:footnoteRef/>
      </w:r>
      <w:r>
        <w:rPr>
          <w:rtl/>
        </w:rPr>
        <w:t>והאשה אינה מצווה אף משום דר' יהושע דלערב אל תנח ידך. [ואף דהאשה מצווה משום 'שבת'].</w:t>
      </w:r>
    </w:p>
  </w:footnote>
  <w:footnote w:id="3837">
    <w:p w14:paraId="33140270" w14:textId="77777777" w:rsidR="006074A5" w:rsidRDefault="006074A5" w:rsidP="006074A5">
      <w:pPr>
        <w:pStyle w:val="Footnote"/>
        <w:bidi/>
      </w:pPr>
      <w:r>
        <w:rPr>
          <w:rStyle w:val="ac"/>
          <w:rtl/>
        </w:rPr>
        <w:footnoteRef/>
      </w:r>
      <w:r>
        <w:rPr>
          <w:rtl/>
        </w:rPr>
        <w:t>והוסיף ועוד דתפארת האדם בנים הרבה, ואין לנשים בהם שבח כלום אלא חוטרא לידה.</w:t>
      </w:r>
    </w:p>
  </w:footnote>
  <w:footnote w:id="3838">
    <w:p w14:paraId="21AE5E07" w14:textId="77777777" w:rsidR="006074A5" w:rsidRDefault="006074A5" w:rsidP="006074A5">
      <w:pPr>
        <w:pStyle w:val="Footnote"/>
        <w:bidi/>
      </w:pPr>
      <w:r>
        <w:rPr>
          <w:rStyle w:val="ac"/>
          <w:rtl/>
        </w:rPr>
        <w:footnoteRef/>
      </w:r>
      <w:r>
        <w:rPr>
          <w:rtl/>
        </w:rPr>
        <w:t>וצ"ב תמיהת הרמב"ן, די"ל דאם היא תובעת להתגרש, א"כ היא גורמת להפסקת האישות ואין לה זכות לכתובה. אבל אם היא רוצה להיות תחתיו אין לו זכות להוציא בלא כתובה. [ומבואר ברמב"ן דכשיש באישות זו חיוב כתובה לא תליא במי שתובע גירושין].</w:t>
      </w:r>
    </w:p>
  </w:footnote>
  <w:footnote w:id="3839">
    <w:p w14:paraId="3959F621" w14:textId="77777777" w:rsidR="006074A5" w:rsidRDefault="006074A5" w:rsidP="006074A5">
      <w:pPr>
        <w:pStyle w:val="Footnote"/>
        <w:bidi/>
      </w:pPr>
      <w:r>
        <w:rPr>
          <w:rStyle w:val="ac"/>
          <w:rtl/>
        </w:rPr>
        <w:footnoteRef/>
      </w:r>
      <w:r>
        <w:rPr>
          <w:rtl/>
        </w:rPr>
        <w:t>[וי"ל דאף כוונת רש"י כן, דמש"ה מק' ממתני'].</w:t>
      </w:r>
    </w:p>
  </w:footnote>
  <w:footnote w:id="3840">
    <w:p w14:paraId="4B4423AF" w14:textId="77777777" w:rsidR="006074A5" w:rsidRDefault="006074A5" w:rsidP="006074A5">
      <w:pPr>
        <w:pStyle w:val="Footnote"/>
        <w:bidi/>
      </w:pPr>
      <w:r>
        <w:rPr>
          <w:rStyle w:val="ac"/>
          <w:rtl/>
        </w:rPr>
        <w:footnoteRef/>
      </w:r>
      <w:r>
        <w:rPr>
          <w:rtl/>
        </w:rPr>
        <w:t>וב</w:t>
      </w:r>
      <w:r>
        <w:rPr>
          <w:b/>
          <w:bCs/>
          <w:rtl/>
        </w:rPr>
        <w:t>גמ'</w:t>
      </w:r>
      <w:r>
        <w:rPr>
          <w:rtl/>
        </w:rPr>
        <w:t xml:space="preserve"> (שבת קלד.) מבואר דפעמים שמת משום דעדיין לא נבלע הדם. וכה"ג ימתין עד שיבלע. ו</w:t>
      </w:r>
      <w:r>
        <w:rPr>
          <w:b/>
          <w:bCs/>
          <w:rtl/>
        </w:rPr>
        <w:t>תוס'</w:t>
      </w:r>
      <w:r>
        <w:rPr>
          <w:rtl/>
        </w:rPr>
        <w:t xml:space="preserve"> (חולין ד:) כת' דהא דאי' בכל מקום דמתו אחיו מחמת מילה, ה"מ כשמתו אחיו שנימולו כשהן גדולים ומתו. דאי בשמיני דלמא משום דלא נבלע בהם הדם. א"נ כגון שהציצו בהן וראו שנבלע בהן דמן [ואפי' הכי מתו].</w:t>
      </w:r>
    </w:p>
  </w:footnote>
  <w:footnote w:id="3841">
    <w:p w14:paraId="1019C64C" w14:textId="77777777" w:rsidR="006074A5" w:rsidRDefault="006074A5" w:rsidP="006074A5">
      <w:pPr>
        <w:pStyle w:val="Footnote"/>
        <w:bidi/>
      </w:pPr>
      <w:r>
        <w:rPr>
          <w:rStyle w:val="ac"/>
          <w:rtl/>
        </w:rPr>
        <w:footnoteRef/>
      </w:r>
      <w:r>
        <w:rPr>
          <w:rtl/>
        </w:rPr>
        <w:t>[ע"ע לקמן ע. ועא. בגדר מתו אחיו מחמת מילה, האם נחשב ערל].</w:t>
      </w:r>
    </w:p>
  </w:footnote>
  <w:footnote w:id="3842">
    <w:p w14:paraId="47D8FD4B" w14:textId="77777777" w:rsidR="006074A5" w:rsidRDefault="006074A5" w:rsidP="006074A5">
      <w:pPr>
        <w:pStyle w:val="Footnote"/>
        <w:bidi/>
      </w:pPr>
      <w:r>
        <w:rPr>
          <w:rStyle w:val="ac"/>
          <w:rtl/>
        </w:rPr>
        <w:footnoteRef/>
      </w:r>
      <w:r>
        <w:rPr>
          <w:rtl/>
        </w:rPr>
        <w:t>דדרשי' עליך הרגנו כל היום אמילה.</w:t>
      </w:r>
    </w:p>
  </w:footnote>
  <w:footnote w:id="3843">
    <w:p w14:paraId="6A79FC1D" w14:textId="77777777" w:rsidR="006074A5" w:rsidRDefault="006074A5" w:rsidP="006074A5">
      <w:pPr>
        <w:pStyle w:val="Footnote"/>
        <w:bidi/>
      </w:pPr>
      <w:r>
        <w:rPr>
          <w:rStyle w:val="ac"/>
          <w:rtl/>
        </w:rPr>
        <w:footnoteRef/>
      </w:r>
      <w:r>
        <w:rPr>
          <w:rtl/>
        </w:rPr>
        <w:t>וה</w:t>
      </w:r>
      <w:r>
        <w:rPr>
          <w:b/>
          <w:bCs/>
          <w:rtl/>
        </w:rPr>
        <w:t>חזו"א</w:t>
      </w:r>
      <w:r>
        <w:rPr>
          <w:rtl/>
        </w:rPr>
        <w:t xml:space="preserve"> (קלד) כתב דהיינו דוקא כשהוחזקו כך, אבל כשמתו ב' בניו, לא חיישינן לבני בניו דכל זמן שלא חזינן שהוריש לקותא זו לא מחזקינן. ועי"ש שהאריך בכמה אופנים.</w:t>
      </w:r>
    </w:p>
  </w:footnote>
  <w:footnote w:id="3844">
    <w:p w14:paraId="64C9C484" w14:textId="77777777" w:rsidR="006074A5" w:rsidRDefault="006074A5" w:rsidP="006074A5">
      <w:pPr>
        <w:pStyle w:val="Footnote"/>
        <w:bidi/>
      </w:pPr>
      <w:r>
        <w:rPr>
          <w:rStyle w:val="ac"/>
          <w:rtl/>
        </w:rPr>
        <w:footnoteRef/>
      </w:r>
      <w:r>
        <w:rPr>
          <w:rtl/>
        </w:rPr>
        <w:t>ומשמע דאילו הוחזק דאינו נכפה מהני לבטל החזקה [וכמו חזרה דשור המועד ווסתות]. לא אמרי' דיש 'נטייה' במשפחה.</w:t>
      </w:r>
    </w:p>
    <w:p w14:paraId="2B84EFF2" w14:textId="77777777" w:rsidR="006074A5" w:rsidRDefault="006074A5" w:rsidP="006074A5">
      <w:pPr>
        <w:pStyle w:val="Footnote"/>
        <w:bidi/>
      </w:pPr>
      <w:r>
        <w:rPr>
          <w:rtl/>
        </w:rPr>
        <w:tab/>
        <w:t>ויל"ד אם מל שלישי ורביעי וחי [וכן כשמל אחיו לפני שב' מתו], האם אמרי' ד'חזרה' מהחזקה, או דלעולם אמרי' דיש טבע במשפחה.</w:t>
      </w:r>
    </w:p>
  </w:footnote>
  <w:footnote w:id="3845">
    <w:p w14:paraId="25F5D149" w14:textId="77777777" w:rsidR="006074A5" w:rsidRDefault="006074A5" w:rsidP="006074A5">
      <w:pPr>
        <w:pStyle w:val="Footnote"/>
        <w:bidi/>
      </w:pPr>
      <w:r>
        <w:rPr>
          <w:rStyle w:val="ac"/>
          <w:rtl/>
        </w:rPr>
        <w:footnoteRef/>
      </w:r>
      <w:r>
        <w:rPr>
          <w:rtl/>
        </w:rPr>
        <w:t>וה</w:t>
      </w:r>
      <w:r>
        <w:rPr>
          <w:b/>
          <w:bCs/>
          <w:rtl/>
        </w:rPr>
        <w:t>חזו"א</w:t>
      </w:r>
      <w:r>
        <w:rPr>
          <w:rtl/>
        </w:rPr>
        <w:t xml:space="preserve"> כתב דלמש"כ עיקר 'משפחה' דסוגיין איירי בג' אחיות, וע"ז נאמר דבעי ג'.</w:t>
      </w:r>
    </w:p>
  </w:footnote>
  <w:footnote w:id="3846">
    <w:p w14:paraId="626AA41A" w14:textId="77777777" w:rsidR="006074A5" w:rsidRDefault="006074A5" w:rsidP="006074A5">
      <w:pPr>
        <w:pStyle w:val="Footnote"/>
        <w:bidi/>
      </w:pPr>
      <w:r>
        <w:rPr>
          <w:rStyle w:val="ac"/>
          <w:rtl/>
        </w:rPr>
        <w:footnoteRef/>
      </w:r>
      <w:r>
        <w:rPr>
          <w:rtl/>
        </w:rPr>
        <w:t>וכתב ה</w:t>
      </w:r>
      <w:r>
        <w:rPr>
          <w:b/>
          <w:bCs/>
          <w:rtl/>
        </w:rPr>
        <w:t>מצפ"א</w:t>
      </w:r>
      <w:r>
        <w:rPr>
          <w:rtl/>
        </w:rPr>
        <w:t xml:space="preserve"> דאה"נ הוה מקלקל [ולא קיים מצות מילה], וכוונת הגמ' או איסורא או סכנתא. [וצ"ב אי לא הוה סכנתא הוה מילה בזמנה ולא הוה איסורא].</w:t>
      </w:r>
    </w:p>
  </w:footnote>
  <w:footnote w:id="3847">
    <w:p w14:paraId="30265755" w14:textId="77777777" w:rsidR="006074A5" w:rsidRDefault="006074A5" w:rsidP="006074A5">
      <w:pPr>
        <w:pStyle w:val="Footnote"/>
        <w:bidi/>
      </w:pPr>
      <w:r>
        <w:rPr>
          <w:rStyle w:val="ac"/>
          <w:rtl/>
        </w:rPr>
        <w:footnoteRef/>
      </w:r>
      <w:r>
        <w:rPr>
          <w:rtl/>
        </w:rPr>
        <w:t xml:space="preserve">וע' </w:t>
      </w:r>
      <w:r>
        <w:rPr>
          <w:b/>
          <w:bCs/>
          <w:rtl/>
        </w:rPr>
        <w:t>רע"א</w:t>
      </w:r>
      <w:r>
        <w:rPr>
          <w:rtl/>
        </w:rPr>
        <w:t xml:space="preserve"> (יו"ד רסג) שדן האם בעי הטפת דם ברית מחמת שחילל שבת, ואי עביד לא מהני.</w:t>
      </w:r>
    </w:p>
  </w:footnote>
  <w:footnote w:id="3848">
    <w:p w14:paraId="49F12235" w14:textId="77777777" w:rsidR="006074A5" w:rsidRDefault="006074A5" w:rsidP="006074A5">
      <w:pPr>
        <w:pStyle w:val="Footnote"/>
        <w:bidi/>
      </w:pPr>
      <w:r>
        <w:rPr>
          <w:rStyle w:val="ac"/>
          <w:rtl/>
        </w:rPr>
        <w:footnoteRef/>
      </w:r>
      <w:r>
        <w:rPr>
          <w:rtl/>
        </w:rPr>
        <w:t>וא"כ י"ל דבעי הטפת דם ברית אח"כ.</w:t>
      </w:r>
    </w:p>
  </w:footnote>
  <w:footnote w:id="3849">
    <w:p w14:paraId="42BA2C49" w14:textId="77777777" w:rsidR="006074A5" w:rsidRDefault="006074A5" w:rsidP="006074A5">
      <w:pPr>
        <w:pStyle w:val="Footnote"/>
        <w:bidi/>
      </w:pPr>
      <w:r>
        <w:rPr>
          <w:rStyle w:val="ac"/>
          <w:rtl/>
        </w:rPr>
        <w:footnoteRef/>
      </w:r>
      <w:r>
        <w:rPr>
          <w:rtl/>
        </w:rPr>
        <w:t>ואף דעדיין אינו ראוי. אלא דמצווה במילה ולכן נחשב מילת מצווה [ואף דעשה בצורה של סכנה]. אבל לא חל עליו כלל מצוות מילה בזמנו, כיון דאינו ראוי לכך.[וי"ל דדמי להא דאמרי' לעיל כ: דחי"ע אם בעלו ל"ק, כיון דאינו יכול לבוא לידי מצווה נחשב שאינו מצוה].</w:t>
      </w:r>
    </w:p>
  </w:footnote>
  <w:footnote w:id="3850">
    <w:p w14:paraId="7B41CEF9" w14:textId="77777777" w:rsidR="006074A5" w:rsidRDefault="006074A5" w:rsidP="006074A5">
      <w:pPr>
        <w:pStyle w:val="Footnote"/>
        <w:bidi/>
      </w:pPr>
      <w:r>
        <w:rPr>
          <w:rStyle w:val="ac"/>
          <w:rtl/>
        </w:rPr>
        <w:footnoteRef/>
      </w:r>
      <w:r>
        <w:rPr>
          <w:rtl/>
        </w:rPr>
        <w:t>וזה חידוש דבפשוטו מילה בשבת נחשב הותרה, וכמו קרבן ציבור [ע' לעיל ה:]. [ואפשר דדמי למש"כ ה</w:t>
      </w:r>
      <w:r>
        <w:rPr>
          <w:b/>
          <w:bCs/>
          <w:rtl/>
        </w:rPr>
        <w:t xml:space="preserve">בית הלוי </w:t>
      </w:r>
      <w:r>
        <w:rPr>
          <w:rtl/>
        </w:rPr>
        <w:t>(ב ט ג) ע"פ רש"י לעיל לג: דאף דשחיטה כשירה בזר, מ"מ אינו מצווה על העבודה ונחשב חילול שבת].</w:t>
      </w:r>
    </w:p>
  </w:footnote>
  <w:footnote w:id="3851">
    <w:p w14:paraId="26AE1A39" w14:textId="77777777" w:rsidR="006074A5" w:rsidRDefault="006074A5" w:rsidP="006074A5">
      <w:pPr>
        <w:pStyle w:val="Footnote"/>
        <w:bidi/>
      </w:pPr>
      <w:r>
        <w:rPr>
          <w:rStyle w:val="ac"/>
          <w:rtl/>
        </w:rPr>
        <w:footnoteRef/>
      </w:r>
      <w:r>
        <w:rPr>
          <w:rtl/>
        </w:rPr>
        <w:t>וה</w:t>
      </w:r>
      <w:r>
        <w:rPr>
          <w:b/>
          <w:bCs/>
          <w:rtl/>
        </w:rPr>
        <w:t>גר"א</w:t>
      </w:r>
      <w:r>
        <w:rPr>
          <w:rtl/>
        </w:rPr>
        <w:t xml:space="preserve"> (ט ב) הביא מקור הרמב"ם מיהודה, דלחד מ"ד (סוטה י:) כיון שידעה שוב לא פסק. [אף דהוחזקה קטלנית בב' פעמים].</w:t>
      </w:r>
    </w:p>
  </w:footnote>
  <w:footnote w:id="3852">
    <w:p w14:paraId="0030C89D" w14:textId="77777777" w:rsidR="006074A5" w:rsidRDefault="006074A5" w:rsidP="006074A5">
      <w:pPr>
        <w:pStyle w:val="Footnote"/>
        <w:bidi/>
      </w:pPr>
      <w:r>
        <w:rPr>
          <w:rStyle w:val="ac"/>
          <w:rtl/>
        </w:rPr>
        <w:footnoteRef/>
      </w:r>
      <w:r>
        <w:rPr>
          <w:rtl/>
        </w:rPr>
        <w:t>ויל"ד דהתם הוה ספק סכנה, והיאך נכוף מספק, הרי אומר קים לי כהך מ"ד. [ומבואר דכיון דהכרעת הדין דאסור, א"כ כופין].</w:t>
      </w:r>
    </w:p>
  </w:footnote>
  <w:footnote w:id="3853">
    <w:p w14:paraId="6A8CE295" w14:textId="77777777" w:rsidR="006074A5" w:rsidRDefault="006074A5" w:rsidP="006074A5">
      <w:pPr>
        <w:pStyle w:val="Footnote"/>
        <w:bidi/>
      </w:pPr>
      <w:r>
        <w:rPr>
          <w:rStyle w:val="ac"/>
          <w:rtl/>
        </w:rPr>
        <w:footnoteRef/>
      </w:r>
      <w:r>
        <w:rPr>
          <w:rtl/>
        </w:rPr>
        <w:t>ובשו"ת הרמב"ם כת' דנהגו להקל בקטלנית, שיש לחוש בזה משום הפסד, שאם נאסור עליה נסכן בנות ישראל לצאת לתרבות רעה. ומ"מ המהדרים אינם מקדשים אותה, אבל אם תמצא מי שיקדש אותה אין כופין לגרש. ומתקדשת בפני עדים, ואח"כ באה לבי"ד לכתוב לה כתובה וכונסה. והעיד שכך עשו מעשה הרי"ף והר"י מגאש.</w:t>
      </w:r>
    </w:p>
  </w:footnote>
  <w:footnote w:id="3854">
    <w:p w14:paraId="39DD6D22" w14:textId="77777777" w:rsidR="006074A5" w:rsidRDefault="006074A5" w:rsidP="006074A5">
      <w:pPr>
        <w:pStyle w:val="Footnote"/>
        <w:bidi/>
      </w:pPr>
      <w:r>
        <w:rPr>
          <w:rStyle w:val="ac"/>
          <w:rtl/>
        </w:rPr>
        <w:footnoteRef/>
      </w:r>
      <w:r>
        <w:rPr>
          <w:rtl/>
        </w:rPr>
        <w:t>ועוד דעשה מעשה. ובגמ' (ב"ב קל:) א"ר יוחנן שלא יעשו מעשה על פיו עד שיאמר הלכה למעשה. [אך לאחר שדקדק ועשה מעשה לא חיישינן שחזר בו].</w:t>
      </w:r>
    </w:p>
  </w:footnote>
  <w:footnote w:id="3855">
    <w:p w14:paraId="7EB09501" w14:textId="77777777" w:rsidR="006074A5" w:rsidRDefault="006074A5" w:rsidP="006074A5">
      <w:pPr>
        <w:pStyle w:val="Footnote"/>
        <w:bidi/>
      </w:pPr>
      <w:r>
        <w:rPr>
          <w:rStyle w:val="ac"/>
          <w:rtl/>
        </w:rPr>
        <w:footnoteRef/>
      </w:r>
      <w:r>
        <w:rPr>
          <w:rtl/>
        </w:rPr>
        <w:t>ובשלמא באופן שר' אבין ור' יצחק אמרו תרוייהו בשם ר' יוחנן, י"ל דיש לסמוך על ר' אבין טפי, דשמא שמע שחזר בו ר' יוחנן. אבל בסוגיין אמאי לא יסמוך על ר' יצחק.</w:t>
      </w:r>
    </w:p>
  </w:footnote>
  <w:footnote w:id="3856">
    <w:p w14:paraId="57513788" w14:textId="77777777" w:rsidR="006074A5" w:rsidRDefault="006074A5" w:rsidP="006074A5">
      <w:pPr>
        <w:pStyle w:val="Footnote"/>
        <w:bidi/>
      </w:pPr>
      <w:r>
        <w:rPr>
          <w:rStyle w:val="ac"/>
          <w:rtl/>
        </w:rPr>
        <w:footnoteRef/>
      </w:r>
      <w:r>
        <w:rPr>
          <w:rtl/>
        </w:rPr>
        <w:t>וה</w:t>
      </w:r>
      <w:r>
        <w:rPr>
          <w:b/>
          <w:bCs/>
          <w:rtl/>
        </w:rPr>
        <w:t>רמ"א</w:t>
      </w:r>
      <w:r>
        <w:rPr>
          <w:rtl/>
        </w:rPr>
        <w:t xml:space="preserve"> (שם) כתב או מת בדבר, דלמ"ד מזל גורם מותרת. והגר"א ציין מקורו ב"מ קה: דבמכת מדינה לא תלינן משום מזל דידיה.</w:t>
      </w:r>
    </w:p>
  </w:footnote>
  <w:footnote w:id="3857">
    <w:p w14:paraId="61CC3319" w14:textId="77777777" w:rsidR="006074A5" w:rsidRDefault="006074A5" w:rsidP="006074A5">
      <w:pPr>
        <w:pStyle w:val="Footnote"/>
        <w:bidi/>
      </w:pPr>
      <w:r>
        <w:rPr>
          <w:rStyle w:val="ac"/>
          <w:rtl/>
        </w:rPr>
        <w:footnoteRef/>
      </w:r>
      <w:r>
        <w:rPr>
          <w:rtl/>
        </w:rPr>
        <w:t>וה</w:t>
      </w:r>
      <w:r>
        <w:rPr>
          <w:b/>
          <w:bCs/>
          <w:rtl/>
        </w:rPr>
        <w:t>אחרונים</w:t>
      </w:r>
      <w:r>
        <w:rPr>
          <w:rtl/>
        </w:rPr>
        <w:t xml:space="preserve"> הקשו דמשמע דהי"א לא פליגי בארוסה.</w:t>
      </w:r>
    </w:p>
  </w:footnote>
  <w:footnote w:id="3858">
    <w:p w14:paraId="71D125FD" w14:textId="77777777" w:rsidR="006074A5" w:rsidRDefault="006074A5" w:rsidP="006074A5">
      <w:pPr>
        <w:pStyle w:val="Footnote"/>
        <w:bidi/>
      </w:pPr>
      <w:r>
        <w:rPr>
          <w:rStyle w:val="ac"/>
          <w:rtl/>
        </w:rPr>
        <w:footnoteRef/>
      </w:r>
      <w:r>
        <w:rPr>
          <w:rtl/>
        </w:rPr>
        <w:t>וצ"ב דאף דאמרי' דהוחזקה ליגרש, ותלינן שתתגרש שוב, לא שייך איסור בדבר. וצ"ל דלאו אורח ארעא. א"נ חיישינן שימות, דהמזל יגרום שאם לא יגרש ימות.</w:t>
      </w:r>
    </w:p>
  </w:footnote>
  <w:footnote w:id="3859">
    <w:p w14:paraId="7FAB47ED" w14:textId="77777777" w:rsidR="006074A5" w:rsidRDefault="006074A5" w:rsidP="006074A5">
      <w:pPr>
        <w:pStyle w:val="Footnote"/>
        <w:bidi/>
      </w:pPr>
      <w:r>
        <w:rPr>
          <w:rStyle w:val="ac"/>
          <w:rtl/>
        </w:rPr>
        <w:footnoteRef/>
      </w:r>
      <w:r>
        <w:rPr>
          <w:rtl/>
        </w:rPr>
        <w:t>וה</w:t>
      </w:r>
      <w:r>
        <w:rPr>
          <w:b/>
          <w:bCs/>
          <w:rtl/>
        </w:rPr>
        <w:t>אחרונים</w:t>
      </w:r>
      <w:r>
        <w:rPr>
          <w:rtl/>
        </w:rPr>
        <w:t xml:space="preserve"> הביאו דאי' (לעיל ל.) דנתייבמה ב' פעמים, ומותרת לשלישי. וה</w:t>
      </w:r>
      <w:r>
        <w:rPr>
          <w:b/>
          <w:bCs/>
          <w:rtl/>
        </w:rPr>
        <w:t>חכ"צ</w:t>
      </w:r>
      <w:r>
        <w:rPr>
          <w:rtl/>
        </w:rPr>
        <w:t xml:space="preserve"> כתב דהגמ' דנה מצד דין צרת ערוה, ואה"נ אסורה מדין קטלנית. אבל ה</w:t>
      </w:r>
      <w:r>
        <w:rPr>
          <w:b/>
          <w:bCs/>
          <w:rtl/>
        </w:rPr>
        <w:t>שואל ומשיב</w:t>
      </w:r>
      <w:r>
        <w:rPr>
          <w:rtl/>
        </w:rPr>
        <w:t xml:space="preserve"> (א יד ח) כת' דביבום אחים לא נקראת קטלנית, דיבמין כחד חשיב, כדאמרי' קידושין יג: יבם לא מקרי אחר.</w:t>
      </w:r>
    </w:p>
  </w:footnote>
  <w:footnote w:id="3860">
    <w:p w14:paraId="68F35A63" w14:textId="77777777" w:rsidR="006074A5" w:rsidRDefault="006074A5" w:rsidP="006074A5">
      <w:pPr>
        <w:pStyle w:val="Footnote"/>
        <w:bidi/>
      </w:pPr>
      <w:r>
        <w:rPr>
          <w:rStyle w:val="ac"/>
          <w:rtl/>
        </w:rPr>
        <w:footnoteRef/>
      </w:r>
      <w:r>
        <w:rPr>
          <w:rtl/>
        </w:rPr>
        <w:t>וכת' דלא תדחה מצווה של תורה מפני חששא בעלמא. והעיד שלא שמע מעולם מי שחשש לזה במקום מצוה, דקי"ל מצוות יבום קודמת למצוות חליצה [ע"ע לעיל לט:].</w:t>
      </w:r>
    </w:p>
  </w:footnote>
  <w:footnote w:id="3861">
    <w:p w14:paraId="5ADF7B94" w14:textId="77777777" w:rsidR="006074A5" w:rsidRDefault="006074A5" w:rsidP="006074A5">
      <w:pPr>
        <w:pStyle w:val="Footnote"/>
        <w:bidi/>
      </w:pPr>
      <w:r>
        <w:rPr>
          <w:rStyle w:val="ac"/>
          <w:rtl/>
        </w:rPr>
        <w:footnoteRef/>
      </w:r>
      <w:r>
        <w:rPr>
          <w:rtl/>
        </w:rPr>
        <w:t>וה</w:t>
      </w:r>
      <w:r>
        <w:rPr>
          <w:b/>
          <w:bCs/>
          <w:rtl/>
        </w:rPr>
        <w:t>רמב"ן</w:t>
      </w:r>
      <w:r>
        <w:rPr>
          <w:rtl/>
        </w:rPr>
        <w:t xml:space="preserve"> (עה"ת) הקשה א"כ אמאי לא אמר לה יהודה שאסורה לשילה מדינא. כתב דלא שייך קטלנית כיון דמתו מחמת חטא.</w:t>
      </w:r>
    </w:p>
  </w:footnote>
  <w:footnote w:id="3862">
    <w:p w14:paraId="4A94C105" w14:textId="77777777" w:rsidR="006074A5" w:rsidRDefault="006074A5" w:rsidP="006074A5">
      <w:pPr>
        <w:pStyle w:val="Footnote"/>
        <w:bidi/>
      </w:pPr>
      <w:r>
        <w:rPr>
          <w:rStyle w:val="ac"/>
          <w:rtl/>
        </w:rPr>
        <w:footnoteRef/>
      </w:r>
      <w:r>
        <w:rPr>
          <w:rtl/>
        </w:rPr>
        <w:t>וה</w:t>
      </w:r>
      <w:r>
        <w:rPr>
          <w:b/>
          <w:bCs/>
          <w:rtl/>
        </w:rPr>
        <w:t>חכ"צ</w:t>
      </w:r>
      <w:r>
        <w:rPr>
          <w:rtl/>
        </w:rPr>
        <w:t xml:space="preserve"> דחה דשאני מצווה ועושה, והתם קודם מתן תורה. וה</w:t>
      </w:r>
      <w:r>
        <w:rPr>
          <w:b/>
          <w:bCs/>
          <w:rtl/>
        </w:rPr>
        <w:t>נוב"י</w:t>
      </w:r>
      <w:r>
        <w:rPr>
          <w:rtl/>
        </w:rPr>
        <w:t xml:space="preserve"> כתב דכיון דהיה קטן, חשש שמא ימצא סריס ולא קיים המצוה. [ואף דלענין איסורא אזלי' בתר רוב, אבל בסכנה חיישינן]. והוסיפו בשם ה</w:t>
      </w:r>
      <w:r>
        <w:rPr>
          <w:b/>
          <w:bCs/>
          <w:rtl/>
        </w:rPr>
        <w:t>גרי"ז</w:t>
      </w:r>
      <w:r>
        <w:rPr>
          <w:rtl/>
        </w:rPr>
        <w:t xml:space="preserve"> דבעודו קטן אינו מקיים מצוות יבום, ואף דאמרי' קטן הבא על הגדולה תגדלנו [ע' תוס' לעיל לה:], אינו מקיים מצוות יבום ויש חשש קטלנית. [ויל"ד דאם לא קנאה, ל"ש למ"ד מזל גורם].</w:t>
      </w:r>
    </w:p>
  </w:footnote>
  <w:footnote w:id="3863">
    <w:p w14:paraId="47BDB801" w14:textId="77777777" w:rsidR="006074A5" w:rsidRDefault="006074A5" w:rsidP="006074A5">
      <w:pPr>
        <w:pStyle w:val="Footnote"/>
        <w:bidi/>
      </w:pPr>
      <w:r>
        <w:rPr>
          <w:rStyle w:val="ac"/>
          <w:rtl/>
        </w:rPr>
        <w:footnoteRef/>
      </w:r>
      <w:r>
        <w:rPr>
          <w:rtl/>
        </w:rPr>
        <w:t>וכ"כ הרמב"ן (ב"מ קו: בסופו, הו' בסמוך).</w:t>
      </w:r>
    </w:p>
  </w:footnote>
  <w:footnote w:id="3864">
    <w:p w14:paraId="5448DA60" w14:textId="77777777" w:rsidR="006074A5" w:rsidRDefault="006074A5" w:rsidP="006074A5">
      <w:pPr>
        <w:pStyle w:val="Footnote"/>
        <w:bidi/>
      </w:pPr>
      <w:r>
        <w:rPr>
          <w:rStyle w:val="ac"/>
          <w:rtl/>
        </w:rPr>
        <w:footnoteRef/>
      </w:r>
      <w:r>
        <w:rPr>
          <w:rtl/>
        </w:rPr>
        <w:t>אבל בסוגיין משמע דדימו להדדי.</w:t>
      </w:r>
    </w:p>
  </w:footnote>
  <w:footnote w:id="3865">
    <w:p w14:paraId="09EE70D1" w14:textId="77777777" w:rsidR="006074A5" w:rsidRDefault="006074A5" w:rsidP="006074A5">
      <w:pPr>
        <w:pStyle w:val="Footnote"/>
        <w:bidi/>
      </w:pPr>
      <w:r>
        <w:rPr>
          <w:rStyle w:val="ac"/>
          <w:rtl/>
        </w:rPr>
        <w:footnoteRef/>
      </w:r>
      <w:r>
        <w:rPr>
          <w:rtl/>
        </w:rPr>
        <w:t>[וצ"ב דאף נישואין הוה בירור שהיא אשה כזו, ומ"ש בירור על טבע. ובשלמא שור המועד י"ל דכוונתו דנוצר עי"ז הרגל].</w:t>
      </w:r>
    </w:p>
  </w:footnote>
  <w:footnote w:id="3866">
    <w:p w14:paraId="1B6AB089" w14:textId="77777777" w:rsidR="006074A5" w:rsidRDefault="006074A5" w:rsidP="006074A5">
      <w:pPr>
        <w:pStyle w:val="Footnote"/>
        <w:bidi/>
      </w:pPr>
      <w:r>
        <w:rPr>
          <w:rStyle w:val="ac"/>
          <w:rtl/>
        </w:rPr>
        <w:footnoteRef/>
      </w:r>
      <w:r>
        <w:rPr>
          <w:rtl/>
        </w:rPr>
        <w:t>[דלרבי סגי שהוחזק ב' פעמים לחזרה, דהוה להחזיק ממון. ויל"ד האם תוס' חולק בזה, דלעקור חזקה ודאית בעי ג'].</w:t>
      </w:r>
    </w:p>
  </w:footnote>
  <w:footnote w:id="3867">
    <w:p w14:paraId="67032A7E" w14:textId="77777777" w:rsidR="006074A5" w:rsidRDefault="006074A5" w:rsidP="006074A5">
      <w:pPr>
        <w:pStyle w:val="Footnote"/>
        <w:bidi/>
      </w:pPr>
      <w:r>
        <w:rPr>
          <w:rStyle w:val="ac"/>
          <w:rtl/>
        </w:rPr>
        <w:footnoteRef/>
      </w:r>
      <w:r>
        <w:rPr>
          <w:rtl/>
        </w:rPr>
        <w:t>והביא דכ"מ מדברי ה</w:t>
      </w:r>
      <w:r>
        <w:rPr>
          <w:b/>
          <w:bCs/>
          <w:rtl/>
        </w:rPr>
        <w:t>מהר"ם מרוטנברג</w:t>
      </w:r>
      <w:r>
        <w:rPr>
          <w:rtl/>
        </w:rPr>
        <w:t xml:space="preserve"> (הו' ב</w:t>
      </w:r>
      <w:r>
        <w:rPr>
          <w:b/>
          <w:bCs/>
          <w:rtl/>
        </w:rPr>
        <w:t>טור</w:t>
      </w:r>
      <w:r>
        <w:rPr>
          <w:rtl/>
        </w:rPr>
        <w:t xml:space="preserve"> או"ח ס"ס קיד) דכשאומר אתה גיבור עד משיב הרוח צ' פעמים אמרי' דהורגל לשונו לומר כן. והוה כנגד ג' תפילות דל' ימים, וכדאמרי' (ב"ק כד.) קירב נגיחותיו לא כ"ש. והטור הביא ד</w:t>
      </w:r>
      <w:r>
        <w:rPr>
          <w:b/>
          <w:bCs/>
          <w:rtl/>
        </w:rPr>
        <w:t>ר' פרץ</w:t>
      </w:r>
      <w:r>
        <w:rPr>
          <w:rtl/>
        </w:rPr>
        <w:t xml:space="preserve"> חלק דהתם טעמא משום שהוחזק ליגח ואם הוחזק ג' רחוקות כ"ש בג' קרובות. אבל בתפלה תלוי בהרגל לשונו. [וה</w:t>
      </w:r>
      <w:r>
        <w:rPr>
          <w:b/>
          <w:bCs/>
          <w:rtl/>
        </w:rPr>
        <w:t>אחרונים</w:t>
      </w:r>
      <w:r>
        <w:rPr>
          <w:rtl/>
        </w:rPr>
        <w:t xml:space="preserve"> העמידו דהמהר"ם נקט דחזקת שור המועד הוא שהורגל בכך, ונשתנה טבעו. והר' פרץ פליג דהוחזק שהיה כן מעיקרא. ואכמ"ל].</w:t>
      </w:r>
    </w:p>
  </w:footnote>
  <w:footnote w:id="3868">
    <w:p w14:paraId="7F8222D9" w14:textId="77777777" w:rsidR="006074A5" w:rsidRDefault="006074A5" w:rsidP="006074A5">
      <w:pPr>
        <w:pStyle w:val="Footnote"/>
        <w:bidi/>
      </w:pPr>
      <w:r>
        <w:rPr>
          <w:rStyle w:val="ac"/>
          <w:rtl/>
        </w:rPr>
        <w:footnoteRef/>
      </w:r>
      <w:r>
        <w:rPr>
          <w:rtl/>
        </w:rPr>
        <w:t>[וה</w:t>
      </w:r>
      <w:r>
        <w:rPr>
          <w:b/>
          <w:bCs/>
          <w:rtl/>
        </w:rPr>
        <w:t xml:space="preserve">אחרונים </w:t>
      </w:r>
      <w:r>
        <w:rPr>
          <w:rtl/>
        </w:rPr>
        <w:t>שם חקרו האם הנידון דעי"ז נעשית הרגל, או דהוברר שהיתה כן מתחילה, ואכ"מ].</w:t>
      </w:r>
    </w:p>
  </w:footnote>
  <w:footnote w:id="3869">
    <w:p w14:paraId="3E7FE16F" w14:textId="77777777" w:rsidR="006074A5" w:rsidRDefault="006074A5" w:rsidP="006074A5">
      <w:pPr>
        <w:pStyle w:val="Footnote"/>
        <w:bidi/>
      </w:pPr>
      <w:r>
        <w:rPr>
          <w:rStyle w:val="ac"/>
          <w:rtl/>
        </w:rPr>
        <w:footnoteRef/>
      </w:r>
      <w:r>
        <w:rPr>
          <w:rtl/>
        </w:rPr>
        <w:t>וה</w:t>
      </w:r>
      <w:r>
        <w:rPr>
          <w:b/>
          <w:bCs/>
          <w:rtl/>
        </w:rPr>
        <w:t>ר"ש מדרויש</w:t>
      </w:r>
      <w:r>
        <w:rPr>
          <w:rtl/>
        </w:rPr>
        <w:t xml:space="preserve"> (בשיטמ"ק ב"ק כג: בשם גליון) כת' דאביי (שם) דרש גזיה"כ דמחייב בנגיחה רביעית. ולא תלי בגדרי חזקה ב' זימנין או ג'. ודוקא לרבא תלי בגדרי חזקה. ובסוגיין רבא אמר דסתם תנא כרשב"ג, לשיטתו דתליא במוחזקות. [דרבא אמר סתמי הוא. ולא הוה מדברי רב יוסף].</w:t>
      </w:r>
    </w:p>
  </w:footnote>
  <w:footnote w:id="3870">
    <w:p w14:paraId="4AF829E1" w14:textId="77777777" w:rsidR="006074A5" w:rsidRDefault="006074A5" w:rsidP="006074A5">
      <w:pPr>
        <w:pStyle w:val="Footnote"/>
        <w:bidi/>
      </w:pPr>
      <w:r>
        <w:rPr>
          <w:rStyle w:val="ac"/>
          <w:rtl/>
        </w:rPr>
        <w:footnoteRef/>
      </w:r>
      <w:r>
        <w:rPr>
          <w:rtl/>
        </w:rPr>
        <w:t>ומוגדר ספק, שמא הוה מקרה בעלמא [ומעמידים על חזקתו של קודם ב' השינויים].</w:t>
      </w:r>
    </w:p>
  </w:footnote>
  <w:footnote w:id="3871">
    <w:p w14:paraId="2D6B6C50" w14:textId="77777777" w:rsidR="006074A5" w:rsidRDefault="006074A5" w:rsidP="006074A5">
      <w:pPr>
        <w:pStyle w:val="Footnote"/>
        <w:bidi/>
      </w:pPr>
      <w:r>
        <w:rPr>
          <w:rStyle w:val="ac"/>
          <w:rtl/>
        </w:rPr>
        <w:footnoteRef/>
      </w:r>
      <w:r>
        <w:rPr>
          <w:rtl/>
        </w:rPr>
        <w:t>ודלא כאביי (ב"ק כג:) דילפי' ג' נגיחות מגזיה"כ. אלא כרבא (שם) דדרש ולא ישמרנו, האידנא חייב. ופ</w:t>
      </w:r>
      <w:r>
        <w:rPr>
          <w:b/>
          <w:bCs/>
          <w:rtl/>
        </w:rPr>
        <w:t>רש"י</w:t>
      </w:r>
      <w:r>
        <w:rPr>
          <w:rtl/>
        </w:rPr>
        <w:t xml:space="preserve"> דחייב בנגיחה ג' נזק שלם. ו</w:t>
      </w:r>
      <w:r>
        <w:rPr>
          <w:b/>
          <w:bCs/>
          <w:rtl/>
        </w:rPr>
        <w:t>תוס</w:t>
      </w:r>
      <w:r>
        <w:rPr>
          <w:rtl/>
        </w:rPr>
        <w:t>' (שם) האריכו לחלוק דלכו"ע אינו חייב עד נגיחה ד'. [והביאו דרש"י בעצמו חזר בו בב"ב כח.].</w:t>
      </w:r>
    </w:p>
  </w:footnote>
  <w:footnote w:id="3872">
    <w:p w14:paraId="0D270F29" w14:textId="77777777" w:rsidR="006074A5" w:rsidRDefault="006074A5" w:rsidP="006074A5">
      <w:pPr>
        <w:pStyle w:val="Footnote"/>
        <w:bidi/>
      </w:pPr>
      <w:r>
        <w:rPr>
          <w:rStyle w:val="ac"/>
          <w:rtl/>
        </w:rPr>
        <w:footnoteRef/>
      </w:r>
      <w:r>
        <w:rPr>
          <w:rtl/>
        </w:rPr>
        <w:t>וה</w:t>
      </w:r>
      <w:r>
        <w:rPr>
          <w:b/>
          <w:bCs/>
          <w:rtl/>
        </w:rPr>
        <w:t>ריטב"א</w:t>
      </w:r>
      <w:r>
        <w:rPr>
          <w:rtl/>
        </w:rPr>
        <w:t xml:space="preserve"> הוכיח דיש לה כתובה, דהא פסקו מזונות לחובה אשת אביי [ואף אחר שמת שלישי]. וכיון דאביי פסק כרשב"ג נחשב דלא הכיר בה. אבל ה</w:t>
      </w:r>
      <w:r>
        <w:rPr>
          <w:b/>
          <w:bCs/>
          <w:rtl/>
        </w:rPr>
        <w:t>רמב"ן</w:t>
      </w:r>
      <w:r>
        <w:rPr>
          <w:rtl/>
        </w:rPr>
        <w:t xml:space="preserve"> הק' דלא קרינן ביה כשתנשאי לאחר תטלי מה שכתוב ליכי, דאסורה לינשא [וכ"כ ה</w:t>
      </w:r>
      <w:r>
        <w:rPr>
          <w:b/>
          <w:bCs/>
          <w:rtl/>
        </w:rPr>
        <w:t>רא"ש</w:t>
      </w:r>
      <w:r>
        <w:rPr>
          <w:rtl/>
        </w:rPr>
        <w:t xml:space="preserve"> (כתובות ד ג) בשם ר' משה בר"י מנרבונא].</w:t>
      </w:r>
    </w:p>
    <w:p w14:paraId="2E7D400F" w14:textId="77777777" w:rsidR="006074A5" w:rsidRDefault="006074A5" w:rsidP="006074A5">
      <w:pPr>
        <w:pStyle w:val="Footnote"/>
        <w:bidi/>
      </w:pPr>
      <w:r>
        <w:rPr>
          <w:rtl/>
        </w:rPr>
        <w:tab/>
        <w:t>וה</w:t>
      </w:r>
      <w:r>
        <w:rPr>
          <w:b/>
          <w:bCs/>
          <w:rtl/>
        </w:rPr>
        <w:t xml:space="preserve">ריטב"א </w:t>
      </w:r>
      <w:r>
        <w:rPr>
          <w:rtl/>
        </w:rPr>
        <w:t>הוכיח דאף דאסורה לינשא, מ"מ אינה אגידא גביה, ומותרת לשוק אלא דדבר אחר מונעתה וכחולה ומינקת [וכ"כ ה</w:t>
      </w:r>
      <w:r>
        <w:rPr>
          <w:b/>
          <w:bCs/>
          <w:rtl/>
        </w:rPr>
        <w:t>רא"ש</w:t>
      </w:r>
      <w:r>
        <w:rPr>
          <w:rtl/>
        </w:rPr>
        <w:t xml:space="preserve"> שם]. והוכיח כן דמבואר (לקמן פה.) דאלמנה לכה"ג יש לה כתובה [כשנתאלמנה] ונימא דהוה קטלנית לרבי [למ"ד מזל גורם].</w:t>
      </w:r>
    </w:p>
  </w:footnote>
  <w:footnote w:id="3873">
    <w:p w14:paraId="160F40B7" w14:textId="77777777" w:rsidR="006074A5" w:rsidRDefault="006074A5" w:rsidP="006074A5">
      <w:pPr>
        <w:pStyle w:val="Footnote"/>
        <w:bidi/>
      </w:pPr>
      <w:r>
        <w:rPr>
          <w:rStyle w:val="ac"/>
          <w:rtl/>
        </w:rPr>
        <w:footnoteRef/>
      </w:r>
      <w:r>
        <w:rPr>
          <w:rtl/>
        </w:rPr>
        <w:t>ויל"ד אמאי תפסיד כתובתה, וכי משום שגרמא למיתתו [שלא מרצונה] לא יהא לה כתובה. ואפשר דהוה מקח טעות, כיון דיש לה טבע זה.</w:t>
      </w:r>
    </w:p>
  </w:footnote>
  <w:footnote w:id="3874">
    <w:p w14:paraId="623267F9" w14:textId="77777777" w:rsidR="006074A5" w:rsidRDefault="006074A5" w:rsidP="006074A5">
      <w:pPr>
        <w:pStyle w:val="Footnote"/>
        <w:bidi/>
      </w:pPr>
      <w:r>
        <w:rPr>
          <w:rStyle w:val="ac"/>
          <w:rtl/>
        </w:rPr>
        <w:footnoteRef/>
      </w:r>
      <w:r>
        <w:rPr>
          <w:rtl/>
        </w:rPr>
        <w:t>[ולכאורה ה"ה לרביעי] ומשמע דחזקת ג' פעמים אינו 'ודאי', אלא בגדר חשש. [א"נ לא סמכין על חזקות להתיר אשת איש בלא גט].</w:t>
      </w:r>
    </w:p>
  </w:footnote>
  <w:footnote w:id="3875">
    <w:p w14:paraId="42CB9DD7" w14:textId="77777777" w:rsidR="006074A5" w:rsidRDefault="006074A5" w:rsidP="006074A5">
      <w:pPr>
        <w:pStyle w:val="Footnote"/>
        <w:bidi/>
      </w:pPr>
      <w:r>
        <w:rPr>
          <w:rStyle w:val="ac"/>
          <w:rtl/>
        </w:rPr>
        <w:footnoteRef/>
      </w:r>
      <w:r>
        <w:rPr>
          <w:rtl/>
        </w:rPr>
        <w:t>וה</w:t>
      </w:r>
      <w:r>
        <w:rPr>
          <w:b/>
          <w:bCs/>
          <w:rtl/>
        </w:rPr>
        <w:t>תוס' הרא"ש</w:t>
      </w:r>
      <w:r>
        <w:rPr>
          <w:rtl/>
        </w:rPr>
        <w:t xml:space="preserve"> כתב דהוה כעין שניות (לקמן פה.) דאין לה כתובה משום קנס. [ולפ"ז נשאת למי שיש לה בנים יש לה כתובה מדינא].</w:t>
      </w:r>
    </w:p>
  </w:footnote>
  <w:footnote w:id="3876">
    <w:p w14:paraId="1873078A" w14:textId="77777777" w:rsidR="006074A5" w:rsidRDefault="006074A5" w:rsidP="006074A5">
      <w:pPr>
        <w:pStyle w:val="Footnote"/>
        <w:bidi/>
      </w:pPr>
      <w:r>
        <w:rPr>
          <w:rStyle w:val="ac"/>
          <w:rtl/>
        </w:rPr>
        <w:footnoteRef/>
      </w:r>
      <w:r>
        <w:rPr>
          <w:rtl/>
        </w:rPr>
        <w:t>ואף שהרשב"א חלק על דברי התוס', ונקט דחזקה דב' פעמים מהני להוציא ממון.</w:t>
      </w:r>
    </w:p>
  </w:footnote>
  <w:footnote w:id="3877">
    <w:p w14:paraId="0FF50916" w14:textId="77777777" w:rsidR="006074A5" w:rsidRDefault="006074A5" w:rsidP="006074A5">
      <w:pPr>
        <w:pStyle w:val="Footnote"/>
        <w:bidi/>
      </w:pPr>
      <w:r>
        <w:rPr>
          <w:rStyle w:val="ac"/>
          <w:rtl/>
        </w:rPr>
        <w:footnoteRef/>
      </w:r>
      <w:r>
        <w:rPr>
          <w:rtl/>
        </w:rPr>
        <w:t>ולכאורה היינו רק לצד דהעלו כתוס' דהוה מקח טעות, אבל למסקנת הרמב"ן והרשב"א דיש לה כתובה משני משום תקנה.</w:t>
      </w:r>
    </w:p>
  </w:footnote>
  <w:footnote w:id="3878">
    <w:p w14:paraId="466A3D33" w14:textId="77777777" w:rsidR="006074A5" w:rsidRDefault="006074A5" w:rsidP="006074A5">
      <w:pPr>
        <w:pStyle w:val="Footnote"/>
        <w:bidi/>
      </w:pPr>
      <w:r>
        <w:rPr>
          <w:rStyle w:val="ac"/>
          <w:rtl/>
        </w:rPr>
        <w:footnoteRef/>
      </w:r>
      <w:r>
        <w:rPr>
          <w:rtl/>
        </w:rPr>
        <w:t>אבל ה</w:t>
      </w:r>
      <w:r>
        <w:rPr>
          <w:b/>
          <w:bCs/>
          <w:rtl/>
        </w:rPr>
        <w:t>בי"ש</w:t>
      </w:r>
      <w:r>
        <w:rPr>
          <w:rtl/>
        </w:rPr>
        <w:t xml:space="preserve"> (ט ד) הביא בשם ה</w:t>
      </w:r>
      <w:r>
        <w:rPr>
          <w:b/>
          <w:bCs/>
          <w:rtl/>
        </w:rPr>
        <w:t>רא"ש</w:t>
      </w:r>
      <w:r>
        <w:rPr>
          <w:rtl/>
        </w:rPr>
        <w:t xml:space="preserve"> (כתובות מג:) דאף משני אינה מוציאה כתובה [מספק].</w:t>
      </w:r>
    </w:p>
  </w:footnote>
  <w:footnote w:id="3879">
    <w:p w14:paraId="74BAADCF" w14:textId="77777777" w:rsidR="006074A5" w:rsidRDefault="006074A5" w:rsidP="006074A5">
      <w:pPr>
        <w:pStyle w:val="Footnote"/>
        <w:bidi/>
      </w:pPr>
      <w:r>
        <w:rPr>
          <w:rStyle w:val="ac"/>
          <w:rtl/>
        </w:rPr>
        <w:footnoteRef/>
      </w:r>
      <w:r>
        <w:rPr>
          <w:rtl/>
        </w:rPr>
        <w:t>וה</w:t>
      </w:r>
      <w:r>
        <w:rPr>
          <w:b/>
          <w:bCs/>
          <w:rtl/>
        </w:rPr>
        <w:t>רמב"ן</w:t>
      </w:r>
      <w:r>
        <w:rPr>
          <w:rtl/>
        </w:rPr>
        <w:t xml:space="preserve"> (ב"מ שם) כת' דהלכה דזורעה פעם ג', דקי"ל כרשב"ג דבעינן ג' פעמים. ואף דבסוגיין פסקינן נשואין ומלקיות כרבי וסתות ושור המועד כרשב"ג. אבל בעלמא לא איפסיקא הלכתא כמאן. והביא מדברי הרי"ף (גיטין נב. כו. בדה"ר) דבכל מח' רבי ורשב"ג הלכתא כרשב"ג שהיה רבו ואביו [ואף דקי"ל כרבי מחבירו, אבל לא מרבו].</w:t>
      </w:r>
    </w:p>
    <w:p w14:paraId="38AAC7B3" w14:textId="77777777" w:rsidR="006074A5" w:rsidRDefault="006074A5" w:rsidP="006074A5">
      <w:pPr>
        <w:pStyle w:val="Footnote"/>
        <w:bidi/>
      </w:pPr>
      <w:r>
        <w:rPr>
          <w:rtl/>
        </w:rPr>
        <w:tab/>
        <w:t>אבל ה</w:t>
      </w:r>
      <w:r>
        <w:rPr>
          <w:b/>
          <w:bCs/>
          <w:rtl/>
        </w:rPr>
        <w:t>מאירי</w:t>
      </w:r>
      <w:r>
        <w:rPr>
          <w:rtl/>
        </w:rPr>
        <w:t xml:space="preserve"> (ב"מ שם) כת' דראוי לדמותו יותר לנשואין, דהוה כעין מיתה. ועוד שכל ספק ממון קולא לנתבע.</w:t>
      </w:r>
    </w:p>
  </w:footnote>
  <w:footnote w:id="3880">
    <w:p w14:paraId="0ABBEE47" w14:textId="77777777" w:rsidR="006074A5" w:rsidRDefault="006074A5" w:rsidP="006074A5">
      <w:pPr>
        <w:pStyle w:val="Footnote"/>
        <w:bidi/>
      </w:pPr>
      <w:r>
        <w:rPr>
          <w:rStyle w:val="ac"/>
          <w:rtl/>
        </w:rPr>
        <w:footnoteRef/>
      </w:r>
      <w:r>
        <w:rPr>
          <w:rtl/>
        </w:rPr>
        <w:t>וב</w:t>
      </w:r>
      <w:r>
        <w:rPr>
          <w:b/>
          <w:bCs/>
          <w:rtl/>
        </w:rPr>
        <w:t>הג' הראמ"ה</w:t>
      </w:r>
      <w:r>
        <w:rPr>
          <w:rtl/>
        </w:rPr>
        <w:t xml:space="preserve"> כת' דנראה דקאי דוקא במקום שיש רוב נגד החזקה.</w:t>
      </w:r>
    </w:p>
  </w:footnote>
  <w:footnote w:id="3881">
    <w:p w14:paraId="66B0E1DF" w14:textId="77777777" w:rsidR="006074A5" w:rsidRDefault="006074A5" w:rsidP="006074A5">
      <w:pPr>
        <w:pStyle w:val="Footnote"/>
        <w:bidi/>
      </w:pPr>
      <w:r>
        <w:rPr>
          <w:rStyle w:val="ac"/>
          <w:rtl/>
        </w:rPr>
        <w:footnoteRef/>
      </w:r>
      <w:r>
        <w:rPr>
          <w:rtl/>
        </w:rPr>
        <w:t>[ונח' תי' התוס' (ד"ה תצא וע' מהד"ב למהרש"א) האם יש חילוק בין להחזיק ולהוציא].</w:t>
      </w:r>
    </w:p>
  </w:footnote>
  <w:footnote w:id="3882">
    <w:p w14:paraId="2AD61E2D" w14:textId="77777777" w:rsidR="006074A5" w:rsidRDefault="006074A5" w:rsidP="006074A5">
      <w:pPr>
        <w:pStyle w:val="Footnote"/>
        <w:bidi/>
      </w:pPr>
      <w:r>
        <w:rPr>
          <w:rStyle w:val="ac"/>
          <w:rtl/>
        </w:rPr>
        <w:footnoteRef/>
      </w:r>
      <w:r>
        <w:rPr>
          <w:rtl/>
        </w:rPr>
        <w:t>ורוב זה נחשב מהיכי תיתי, ומהני להוציא ממון. ומ"מ תוס' הקשו דכיון דלענין איסורין נחשב דאיתרע הפשטות, כ"ש לענין ממון.</w:t>
      </w:r>
    </w:p>
    <w:p w14:paraId="735068FB" w14:textId="77777777" w:rsidR="006074A5" w:rsidRDefault="006074A5" w:rsidP="006074A5">
      <w:pPr>
        <w:pStyle w:val="Footnote"/>
        <w:bidi/>
      </w:pPr>
      <w:r>
        <w:rPr>
          <w:rtl/>
        </w:rPr>
        <w:tab/>
        <w:t>ויל"פ ע"פ דברי ה</w:t>
      </w:r>
      <w:r>
        <w:rPr>
          <w:b/>
          <w:bCs/>
          <w:rtl/>
        </w:rPr>
        <w:t>חזו"א</w:t>
      </w:r>
      <w:r>
        <w:rPr>
          <w:rtl/>
        </w:rPr>
        <w:t xml:space="preserve"> (עב ז) דכל המחדש דבר נחשב שמוציא ממון, וה"נ החזקה מחדשת להוציא אותה מכלל פשטות הנשים. ולא תליא בדין 'רוב' להוציא הממון. [וצ"ב א"כ מה הקשה בתוס'].</w:t>
      </w:r>
    </w:p>
  </w:footnote>
  <w:footnote w:id="3883">
    <w:p w14:paraId="6ED84DB5" w14:textId="77777777" w:rsidR="006074A5" w:rsidRDefault="006074A5" w:rsidP="006074A5">
      <w:pPr>
        <w:pStyle w:val="Footnote"/>
        <w:bidi/>
      </w:pPr>
      <w:r>
        <w:rPr>
          <w:rStyle w:val="ac"/>
          <w:rtl/>
        </w:rPr>
        <w:footnoteRef/>
      </w:r>
      <w:r>
        <w:rPr>
          <w:rtl/>
        </w:rPr>
        <w:t>אך ה</w:t>
      </w:r>
      <w:r>
        <w:rPr>
          <w:b/>
          <w:bCs/>
          <w:rtl/>
        </w:rPr>
        <w:t>שמעתתא</w:t>
      </w:r>
      <w:r>
        <w:rPr>
          <w:rtl/>
        </w:rPr>
        <w:t xml:space="preserve"> (שם) הביא דתוס' (דידן) נשאר בקושיה. ול"ל הך סברא. וכת' דמ"מ </w:t>
      </w:r>
      <w:r>
        <w:rPr>
          <w:b/>
          <w:bCs/>
          <w:rtl/>
        </w:rPr>
        <w:t>ר"י</w:t>
      </w:r>
      <w:r>
        <w:rPr>
          <w:rtl/>
        </w:rPr>
        <w:t xml:space="preserve"> שתי' דמהני ב' פעמים בשור המועד ס"ל כן.</w:t>
      </w:r>
    </w:p>
  </w:footnote>
  <w:footnote w:id="3884">
    <w:p w14:paraId="7B2A0193" w14:textId="77777777" w:rsidR="006074A5" w:rsidRDefault="006074A5" w:rsidP="006074A5">
      <w:pPr>
        <w:pStyle w:val="Footnote"/>
        <w:bidi/>
      </w:pPr>
      <w:r>
        <w:rPr>
          <w:rStyle w:val="ac"/>
          <w:rtl/>
        </w:rPr>
        <w:footnoteRef/>
      </w:r>
      <w:r>
        <w:rPr>
          <w:rtl/>
        </w:rPr>
        <w:t>וכתב דה"ה דמהני ס"ס להוציא כתובה, והביא מדברי ה</w:t>
      </w:r>
      <w:r>
        <w:rPr>
          <w:b/>
          <w:bCs/>
          <w:rtl/>
        </w:rPr>
        <w:t xml:space="preserve">רמב"ן </w:t>
      </w:r>
      <w:r>
        <w:rPr>
          <w:rtl/>
        </w:rPr>
        <w:t>דכיון דעומד ליגבות מהני מיגו, ולא נחשב מיגו להוציא.</w:t>
      </w:r>
    </w:p>
  </w:footnote>
  <w:footnote w:id="3885">
    <w:p w14:paraId="158B691A" w14:textId="77777777" w:rsidR="006074A5" w:rsidRDefault="006074A5" w:rsidP="006074A5">
      <w:pPr>
        <w:pStyle w:val="Footnote"/>
        <w:bidi/>
      </w:pPr>
      <w:r>
        <w:rPr>
          <w:rStyle w:val="ac"/>
          <w:rtl/>
        </w:rPr>
        <w:footnoteRef/>
      </w:r>
      <w:r>
        <w:rPr>
          <w:rtl/>
        </w:rPr>
        <w:t>ע"פ ה</w:t>
      </w:r>
      <w:r>
        <w:rPr>
          <w:b/>
          <w:bCs/>
          <w:rtl/>
        </w:rPr>
        <w:t>גמ</w:t>
      </w:r>
      <w:r>
        <w:rPr>
          <w:rtl/>
        </w:rPr>
        <w:t>' (חגיגה ג:) איזהו שוטה, דבחד מינייהו אמרי' אימור וכו', אבל כשמצטרף ג' קושיות אמרי' תי' א' שלשתם ולא ג' תי'.</w:t>
      </w:r>
    </w:p>
    <w:p w14:paraId="204BD84C" w14:textId="77777777" w:rsidR="006074A5" w:rsidRDefault="006074A5" w:rsidP="006074A5">
      <w:pPr>
        <w:pStyle w:val="Footnote"/>
        <w:bidi/>
      </w:pPr>
      <w:r>
        <w:rPr>
          <w:rtl/>
        </w:rPr>
        <w:tab/>
        <w:t>וכ"כ ה</w:t>
      </w:r>
      <w:r>
        <w:rPr>
          <w:b/>
          <w:bCs/>
          <w:rtl/>
        </w:rPr>
        <w:t xml:space="preserve">חזו"א </w:t>
      </w:r>
      <w:r>
        <w:rPr>
          <w:rtl/>
        </w:rPr>
        <w:t>(קח ד) דחזקת ג' פעמים הוא משום דאין דרך מקרה להתמיד ולשנות ג' פעמים בלא סיבה, לפיכך מחזקין סיבה א' לכל.</w:t>
      </w:r>
    </w:p>
  </w:footnote>
  <w:footnote w:id="3886">
    <w:p w14:paraId="18B5AAE3" w14:textId="77777777" w:rsidR="006074A5" w:rsidRDefault="006074A5" w:rsidP="006074A5">
      <w:pPr>
        <w:pStyle w:val="Footnote"/>
        <w:bidi/>
      </w:pPr>
      <w:r>
        <w:rPr>
          <w:rStyle w:val="ac"/>
          <w:rtl/>
        </w:rPr>
        <w:footnoteRef/>
      </w:r>
      <w:r>
        <w:rPr>
          <w:rtl/>
        </w:rPr>
        <w:t>[וה"נ בוסתות יטהר למפרע מה שנגע במעת לעת דנדה, דמי שיש לה וסת דיה שעתא].</w:t>
      </w:r>
    </w:p>
  </w:footnote>
  <w:footnote w:id="3887">
    <w:p w14:paraId="0C6980B0" w14:textId="77777777" w:rsidR="006074A5" w:rsidRDefault="006074A5" w:rsidP="006074A5">
      <w:pPr>
        <w:pStyle w:val="Footnote"/>
        <w:bidi/>
      </w:pPr>
      <w:r>
        <w:rPr>
          <w:rStyle w:val="ac"/>
          <w:rtl/>
        </w:rPr>
        <w:footnoteRef/>
      </w:r>
      <w:r>
        <w:rPr>
          <w:rtl/>
        </w:rPr>
        <w:t xml:space="preserve">והביא כן מהא דאמרי' גבי חזקת ג"ש (ב"ב כח.) דילפי' משור המועד, והוה בירור החזקה למפרע. וציין לדון עד"ז כשהוחזקו ג' קמיעות (ע' </w:t>
      </w:r>
      <w:r>
        <w:rPr>
          <w:b/>
          <w:bCs/>
          <w:rtl/>
        </w:rPr>
        <w:t>ט"ז</w:t>
      </w:r>
      <w:r>
        <w:rPr>
          <w:rtl/>
        </w:rPr>
        <w:t xml:space="preserve"> או"ח שא טו), דאמרי' דאף הראשונים הוחזקו עי"ז.</w:t>
      </w:r>
    </w:p>
  </w:footnote>
  <w:footnote w:id="3888">
    <w:p w14:paraId="467A9895" w14:textId="77777777" w:rsidR="006074A5" w:rsidRDefault="006074A5" w:rsidP="006074A5">
      <w:pPr>
        <w:pStyle w:val="Footnote"/>
        <w:bidi/>
      </w:pPr>
      <w:r>
        <w:rPr>
          <w:rStyle w:val="ac"/>
          <w:rtl/>
        </w:rPr>
        <w:footnoteRef/>
      </w:r>
      <w:r>
        <w:rPr>
          <w:rtl/>
        </w:rPr>
        <w:t>וה</w:t>
      </w:r>
      <w:r>
        <w:rPr>
          <w:b/>
          <w:bCs/>
          <w:rtl/>
        </w:rPr>
        <w:t>חזו"א</w:t>
      </w:r>
      <w:r>
        <w:rPr>
          <w:rtl/>
        </w:rPr>
        <w:t xml:space="preserve"> הוסיף דאילו יתברר דב' פעמים הראשונות היתה בריאה, ודאי לא הוה חזקה בשלישית.</w:t>
      </w:r>
    </w:p>
  </w:footnote>
  <w:footnote w:id="3889">
    <w:p w14:paraId="683C7241" w14:textId="77777777" w:rsidR="006074A5" w:rsidRDefault="006074A5" w:rsidP="006074A5">
      <w:pPr>
        <w:pStyle w:val="Footnote"/>
        <w:bidi/>
      </w:pPr>
      <w:r>
        <w:rPr>
          <w:rStyle w:val="ac"/>
          <w:rtl/>
        </w:rPr>
        <w:footnoteRef/>
      </w:r>
      <w:r>
        <w:rPr>
          <w:rtl/>
        </w:rPr>
        <w:t>ויש להקשות עוד דאפשר להעמיד עכשיו נידון על הראשון, ונוכל להוכיח ע"פ חזקת ג' פעמים דהוה עקרה. וצ"ל דלא שייך העמדת נידון על דבר שהיה בעבר [והחזקנוהו אחרת]. [ואפשר עד"ז ליישב אף קו' הקובה"ע, דל"ש הכרעת חזקה לדון על מה שהיה אתמול. ואף דכלפי השלישי דנים את שלשתם מחמת סיבת העקרות. אבל נידון הראשון כבר הוכרע, ולא נחשב נידון לפנינו].</w:t>
      </w:r>
    </w:p>
  </w:footnote>
  <w:footnote w:id="3890">
    <w:p w14:paraId="71F8178E" w14:textId="77777777" w:rsidR="006074A5" w:rsidRDefault="006074A5" w:rsidP="006074A5">
      <w:pPr>
        <w:pStyle w:val="Footnote"/>
        <w:bidi/>
      </w:pPr>
      <w:r>
        <w:rPr>
          <w:rStyle w:val="ac"/>
          <w:rtl/>
        </w:rPr>
        <w:footnoteRef/>
      </w:r>
      <w:r>
        <w:rPr>
          <w:rtl/>
        </w:rPr>
        <w:t>ועל הצד דהשתא הוא דכחשי אין כאן 'ג' מקרים' דיקבע עפ"ז חזקה.</w:t>
      </w:r>
    </w:p>
  </w:footnote>
  <w:footnote w:id="3891">
    <w:p w14:paraId="55AC8AA9" w14:textId="77777777" w:rsidR="006074A5" w:rsidRDefault="006074A5" w:rsidP="006074A5">
      <w:pPr>
        <w:pStyle w:val="Footnote"/>
        <w:bidi/>
      </w:pPr>
      <w:r>
        <w:rPr>
          <w:rStyle w:val="ac"/>
          <w:rtl/>
        </w:rPr>
        <w:footnoteRef/>
      </w:r>
      <w:r>
        <w:rPr>
          <w:rtl/>
        </w:rPr>
        <w:t>פ</w:t>
      </w:r>
      <w:r>
        <w:rPr>
          <w:b/>
          <w:bCs/>
          <w:rtl/>
        </w:rPr>
        <w:t>רש"י</w:t>
      </w:r>
      <w:r>
        <w:rPr>
          <w:rtl/>
        </w:rPr>
        <w:t xml:space="preserve"> שטוענת שאינו יורה כחץ. וכדאי' (נדרים צא.) דטוענת שקים לה שאינו יורה כחץ. ורש"י הביא מהגמ' (חגיגה טו.) דאינו ראוי להוליד. וע' תוס' (נדה מג.).</w:t>
      </w:r>
    </w:p>
  </w:footnote>
  <w:footnote w:id="3892">
    <w:p w14:paraId="57505AC5" w14:textId="77777777" w:rsidR="006074A5" w:rsidRDefault="006074A5" w:rsidP="006074A5">
      <w:pPr>
        <w:pStyle w:val="Footnote"/>
        <w:bidi/>
      </w:pPr>
      <w:r>
        <w:rPr>
          <w:rStyle w:val="ac"/>
          <w:rtl/>
        </w:rPr>
        <w:footnoteRef/>
      </w:r>
      <w:r>
        <w:rPr>
          <w:rtl/>
        </w:rPr>
        <w:t>ויל"ד דתקנת י' שנים הוה מחמת המצווה דידיה, ואמאי תלי בטענות דידה. ולכאו' מבואר דהוה אומדנא בעלמא.</w:t>
      </w:r>
    </w:p>
  </w:footnote>
  <w:footnote w:id="3893">
    <w:p w14:paraId="40B72E8E" w14:textId="77777777" w:rsidR="006074A5" w:rsidRDefault="006074A5" w:rsidP="006074A5">
      <w:pPr>
        <w:pStyle w:val="Footnote"/>
        <w:bidi/>
      </w:pPr>
      <w:r>
        <w:rPr>
          <w:rStyle w:val="ac"/>
          <w:rtl/>
        </w:rPr>
        <w:footnoteRef/>
      </w:r>
      <w:r>
        <w:rPr>
          <w:rtl/>
        </w:rPr>
        <w:t>אבל ב</w:t>
      </w:r>
      <w:r>
        <w:rPr>
          <w:b/>
          <w:bCs/>
          <w:rtl/>
        </w:rPr>
        <w:t>רמב"ם</w:t>
      </w:r>
      <w:r>
        <w:rPr>
          <w:rtl/>
        </w:rPr>
        <w:t xml:space="preserve"> (ועוד ראשונים) מבואר דאף דנאמנת [לענין כתובתה] דאינו יורה כחץ, מ"מ חייב להוציאה [שהוא עדיין מחוייב במצווה]. וכ"כ ה</w:t>
      </w:r>
      <w:r>
        <w:rPr>
          <w:b/>
          <w:bCs/>
          <w:rtl/>
        </w:rPr>
        <w:t>בי"ש</w:t>
      </w:r>
      <w:r>
        <w:rPr>
          <w:rtl/>
        </w:rPr>
        <w:t xml:space="preserve"> (קנד כג). וע' בסמוך.</w:t>
      </w:r>
    </w:p>
  </w:footnote>
  <w:footnote w:id="3894">
    <w:p w14:paraId="4E81C225" w14:textId="77777777" w:rsidR="006074A5" w:rsidRDefault="006074A5" w:rsidP="006074A5">
      <w:pPr>
        <w:pStyle w:val="Footnote"/>
        <w:bidi/>
      </w:pPr>
      <w:r>
        <w:rPr>
          <w:rStyle w:val="ac"/>
          <w:rtl/>
        </w:rPr>
        <w:footnoteRef/>
      </w:r>
      <w:r>
        <w:rPr>
          <w:rtl/>
        </w:rPr>
        <w:t>וה"ה כל עקרה אין לה כתובה. [והא דאי' (כתובות י:) גבי משפחת דורקטי, זכה במקחך. צ"ל דאינה עקרה ממש, אלא בניה מועטים].</w:t>
      </w:r>
    </w:p>
    <w:p w14:paraId="6301E6FF" w14:textId="77777777" w:rsidR="006074A5" w:rsidRDefault="006074A5" w:rsidP="006074A5">
      <w:pPr>
        <w:pStyle w:val="Footnote"/>
        <w:bidi/>
      </w:pPr>
      <w:r>
        <w:rPr>
          <w:rtl/>
        </w:rPr>
        <w:tab/>
        <w:t>ולדברי הר"י בר"מ מבואר דאם אף הוא אינו ראוי להוליד לא הוה מק"ט [אף דלא ידע, וסבור שראוי להוליד].</w:t>
      </w:r>
    </w:p>
  </w:footnote>
  <w:footnote w:id="3895">
    <w:p w14:paraId="5B07B182" w14:textId="77777777" w:rsidR="006074A5" w:rsidRDefault="006074A5" w:rsidP="006074A5">
      <w:pPr>
        <w:pStyle w:val="Footnote"/>
        <w:bidi/>
      </w:pPr>
      <w:r>
        <w:rPr>
          <w:rStyle w:val="ac"/>
          <w:rtl/>
        </w:rPr>
        <w:footnoteRef/>
      </w:r>
      <w:r>
        <w:rPr>
          <w:rtl/>
        </w:rPr>
        <w:t>[אך בגמ' משמע דאיירי שהיא טוענת ברי דממנו, שהוא אינו יורה כחץ. וצ"ע אמאי לא סגי שהיא תכחיש טענתו].</w:t>
      </w:r>
    </w:p>
  </w:footnote>
  <w:footnote w:id="3896">
    <w:p w14:paraId="51319F25" w14:textId="77777777" w:rsidR="006074A5" w:rsidRDefault="006074A5" w:rsidP="006074A5">
      <w:pPr>
        <w:pStyle w:val="Footnote"/>
        <w:bidi/>
      </w:pPr>
      <w:r>
        <w:rPr>
          <w:rStyle w:val="ac"/>
          <w:rtl/>
        </w:rPr>
        <w:footnoteRef/>
      </w:r>
      <w:r>
        <w:rPr>
          <w:rtl/>
        </w:rPr>
        <w:t>וכת' דע"כ אין זה כוונת ר' אחאי גאון [והראשונים הביאו את דברי ר' אחאי בכמה אופנים].</w:t>
      </w:r>
    </w:p>
  </w:footnote>
  <w:footnote w:id="3897">
    <w:p w14:paraId="77B31CE3" w14:textId="77777777" w:rsidR="006074A5" w:rsidRDefault="006074A5" w:rsidP="006074A5">
      <w:pPr>
        <w:pStyle w:val="Footnote"/>
        <w:bidi/>
      </w:pPr>
      <w:r>
        <w:rPr>
          <w:rStyle w:val="ac"/>
          <w:rtl/>
        </w:rPr>
        <w:footnoteRef/>
      </w:r>
      <w:r>
        <w:rPr>
          <w:rtl/>
        </w:rPr>
        <w:t>דאינו יורה כחץ [וה</w:t>
      </w:r>
      <w:r>
        <w:rPr>
          <w:b/>
          <w:bCs/>
          <w:rtl/>
        </w:rPr>
        <w:t>חזו"א</w:t>
      </w:r>
      <w:r>
        <w:rPr>
          <w:rtl/>
        </w:rPr>
        <w:t xml:space="preserve"> (קח ז) כתב דנכלל בזה כל החסרונות מצד הבעל, והכל נרגש אצל האשה].</w:t>
      </w:r>
    </w:p>
  </w:footnote>
  <w:footnote w:id="3898">
    <w:p w14:paraId="2D68377D" w14:textId="77777777" w:rsidR="006074A5" w:rsidRDefault="006074A5" w:rsidP="006074A5">
      <w:pPr>
        <w:pStyle w:val="Footnote"/>
        <w:bidi/>
      </w:pPr>
      <w:r>
        <w:rPr>
          <w:rStyle w:val="ac"/>
          <w:rtl/>
        </w:rPr>
        <w:footnoteRef/>
      </w:r>
      <w:r>
        <w:rPr>
          <w:rtl/>
        </w:rPr>
        <w:t>וה</w:t>
      </w:r>
      <w:r>
        <w:rPr>
          <w:b/>
          <w:bCs/>
          <w:rtl/>
        </w:rPr>
        <w:t>רמב"ם</w:t>
      </w:r>
      <w:r>
        <w:rPr>
          <w:rtl/>
        </w:rPr>
        <w:t xml:space="preserve"> כת' דיש לו להחרים על מי שטוענת דבר שאינה יודעת ודאי. ו</w:t>
      </w:r>
      <w:r>
        <w:rPr>
          <w:b/>
          <w:bCs/>
          <w:rtl/>
        </w:rPr>
        <w:t>ה"ה</w:t>
      </w:r>
      <w:r>
        <w:rPr>
          <w:rtl/>
        </w:rPr>
        <w:t xml:space="preserve"> (שם יג) ביאר דהכא אינו טוען ברי ולכן ל"ש שבועת היסת.</w:t>
      </w:r>
    </w:p>
  </w:footnote>
  <w:footnote w:id="3899">
    <w:p w14:paraId="1225762D" w14:textId="77777777" w:rsidR="006074A5" w:rsidRDefault="006074A5" w:rsidP="006074A5">
      <w:pPr>
        <w:pStyle w:val="Footnote"/>
        <w:bidi/>
      </w:pPr>
      <w:r>
        <w:rPr>
          <w:rStyle w:val="ac"/>
          <w:rtl/>
        </w:rPr>
        <w:footnoteRef/>
      </w:r>
      <w:r>
        <w:rPr>
          <w:rtl/>
        </w:rPr>
        <w:t>אך כת' דיש לה תוספת, וכדין אילונית. [והראב"ד השיג דבמגרש בע"כ יש לה עיקר כתובה, אבל אין לה תוספת. דע"ד כן לא הוסיף].</w:t>
      </w:r>
    </w:p>
  </w:footnote>
  <w:footnote w:id="3900">
    <w:p w14:paraId="423365ED" w14:textId="77777777" w:rsidR="006074A5" w:rsidRDefault="006074A5" w:rsidP="006074A5">
      <w:pPr>
        <w:pStyle w:val="Footnote"/>
        <w:bidi/>
      </w:pPr>
      <w:r>
        <w:rPr>
          <w:rStyle w:val="ac"/>
          <w:rtl/>
        </w:rPr>
        <w:footnoteRef/>
      </w:r>
      <w:r>
        <w:rPr>
          <w:rtl/>
        </w:rPr>
        <w:t>וה</w:t>
      </w:r>
      <w:r>
        <w:rPr>
          <w:b/>
          <w:bCs/>
          <w:rtl/>
        </w:rPr>
        <w:t>לח"מ</w:t>
      </w:r>
      <w:r>
        <w:rPr>
          <w:rtl/>
        </w:rPr>
        <w:t xml:space="preserve"> דן א"כ אמאי כייפינן לו להוציא, אם תלינן דאינו יורה. וה</w:t>
      </w:r>
      <w:r>
        <w:rPr>
          <w:b/>
          <w:bCs/>
          <w:rtl/>
        </w:rPr>
        <w:t>אחרונים</w:t>
      </w:r>
      <w:r>
        <w:rPr>
          <w:rtl/>
        </w:rPr>
        <w:t xml:space="preserve"> ביארו דדעת הרמב"ם דאמרי' דדוקא באשה זו אינו כחץ, משום דלא זכה ממנה. אבל באשה אחרת דיזכה ממנו יהא לו כח.</w:t>
      </w:r>
    </w:p>
  </w:footnote>
  <w:footnote w:id="3901">
    <w:p w14:paraId="48DA1D2C" w14:textId="77777777" w:rsidR="006074A5" w:rsidRDefault="006074A5" w:rsidP="006074A5">
      <w:pPr>
        <w:pStyle w:val="Footnote"/>
        <w:bidi/>
      </w:pPr>
      <w:r>
        <w:rPr>
          <w:rStyle w:val="ac"/>
          <w:rtl/>
        </w:rPr>
        <w:footnoteRef/>
      </w:r>
      <w:r>
        <w:rPr>
          <w:rtl/>
        </w:rPr>
        <w:t>אמנם שם מבואר דיש לה כתובה, וצ"ל דהכא אין לה כלל.</w:t>
      </w:r>
    </w:p>
  </w:footnote>
  <w:footnote w:id="3902">
    <w:p w14:paraId="729E0649" w14:textId="77777777" w:rsidR="006074A5" w:rsidRDefault="006074A5" w:rsidP="006074A5">
      <w:pPr>
        <w:pStyle w:val="Footnote"/>
        <w:bidi/>
      </w:pPr>
      <w:r>
        <w:rPr>
          <w:rStyle w:val="ac"/>
          <w:rtl/>
        </w:rPr>
        <w:footnoteRef/>
      </w:r>
      <w:r>
        <w:rPr>
          <w:rtl/>
        </w:rPr>
        <w:t>אבל בגמ' (נדרים צא., הו' בסו"ד התוס') מבואר דנאמנת יותר במקום שהבעל יודע, דחזקה שאינה מעיזה פניה. אבל סוגיין משום טענת ברי לחוד [וכ"כ המלחמות].</w:t>
      </w:r>
    </w:p>
  </w:footnote>
  <w:footnote w:id="3903">
    <w:p w14:paraId="33640E8A" w14:textId="77777777" w:rsidR="006074A5" w:rsidRDefault="006074A5" w:rsidP="006074A5">
      <w:pPr>
        <w:pStyle w:val="Footnote"/>
        <w:bidi/>
      </w:pPr>
      <w:r>
        <w:rPr>
          <w:rStyle w:val="ac"/>
          <w:rtl/>
        </w:rPr>
        <w:footnoteRef/>
      </w:r>
      <w:r>
        <w:rPr>
          <w:rtl/>
        </w:rPr>
        <w:t>אלא דכיון דטוען ברי דמחמתה רוצה להפסידה [כיון דשהה], וכיון דאף היא טוענת ברי דהוא עקור אינה מפסדת. [אבל אם היה טוען דאינו עקור, מ"מ לא זכה וצריך לשלם כתובה. וי"ל דכיון דטוען דמחמתה נאמן [כיון דשהה], אם היא אינה מכחישתו].</w:t>
      </w:r>
    </w:p>
  </w:footnote>
  <w:footnote w:id="3904">
    <w:p w14:paraId="208E8CE4" w14:textId="77777777" w:rsidR="006074A5" w:rsidRDefault="006074A5" w:rsidP="006074A5">
      <w:pPr>
        <w:pStyle w:val="Footnote"/>
        <w:bidi/>
      </w:pPr>
      <w:r>
        <w:rPr>
          <w:rStyle w:val="ac"/>
          <w:rtl/>
        </w:rPr>
        <w:footnoteRef/>
      </w:r>
      <w:r>
        <w:rPr>
          <w:rtl/>
        </w:rPr>
        <w:t>וצ"ב דטוען דיש בה מום, והוה מקח טעות מעיקרא. [ומשמע מדבריו דהנידון שהיא גרמא לגירושין, ולכן אין לה כתובה. וצ"ע.].</w:t>
      </w:r>
    </w:p>
  </w:footnote>
  <w:footnote w:id="3905">
    <w:p w14:paraId="17BFC89E" w14:textId="77777777" w:rsidR="006074A5" w:rsidRDefault="006074A5" w:rsidP="006074A5">
      <w:pPr>
        <w:pStyle w:val="Footnote"/>
        <w:bidi/>
      </w:pPr>
      <w:r>
        <w:rPr>
          <w:rStyle w:val="ac"/>
          <w:rtl/>
        </w:rPr>
        <w:footnoteRef/>
      </w:r>
      <w:r>
        <w:rPr>
          <w:rtl/>
        </w:rPr>
        <w:t>ו</w:t>
      </w:r>
      <w:r>
        <w:rPr>
          <w:b/>
          <w:bCs/>
          <w:rtl/>
        </w:rPr>
        <w:t>תוס</w:t>
      </w:r>
      <w:r>
        <w:rPr>
          <w:rtl/>
        </w:rPr>
        <w:t>' (בסו"ד) כת' דה"מ בדבר שהוא אינו מכיר. אבל היכא דטוענת שאינו יכול להזקק כלל, ומכחישתו בטענת ברי. א"כ נאמנת אף למשנה אחרונה, וכדאי' בגמ' (שם צא.) דאין האשה מעיזה פניה בפני בעלה, בדבר שהוא מכיר בשקרה.</w:t>
      </w:r>
    </w:p>
    <w:p w14:paraId="33801B4F" w14:textId="77777777" w:rsidR="006074A5" w:rsidRDefault="006074A5" w:rsidP="006074A5">
      <w:pPr>
        <w:pStyle w:val="Footnote"/>
        <w:bidi/>
      </w:pPr>
      <w:r>
        <w:rPr>
          <w:rtl/>
        </w:rPr>
        <w:tab/>
        <w:t xml:space="preserve">אבל </w:t>
      </w:r>
      <w:r>
        <w:rPr>
          <w:b/>
          <w:bCs/>
          <w:rtl/>
        </w:rPr>
        <w:t>רש"י</w:t>
      </w:r>
      <w:r>
        <w:rPr>
          <w:rtl/>
        </w:rPr>
        <w:t xml:space="preserve"> (לקמן קיב.) הביא דהמשנה איירי שהיא טוענת שאינו נזקק עמה כלל. [ולמשנה ראשונה נאמנת, ולמשנה אחרונה אינה נאמנת]. ותוס' (לקמן שם) דחה דבריו מהגמ' (שם צא.). וע"ע בסמוך דברי הראב"ד (לרי"ף), וע' רשב"א (נדרים).</w:t>
      </w:r>
    </w:p>
  </w:footnote>
  <w:footnote w:id="3906">
    <w:p w14:paraId="54A46B3B" w14:textId="77777777" w:rsidR="006074A5" w:rsidRDefault="006074A5" w:rsidP="006074A5">
      <w:pPr>
        <w:pStyle w:val="Footnote"/>
        <w:bidi/>
      </w:pPr>
      <w:r>
        <w:rPr>
          <w:rStyle w:val="ac"/>
          <w:rtl/>
        </w:rPr>
        <w:footnoteRef/>
      </w:r>
      <w:r>
        <w:rPr>
          <w:rtl/>
        </w:rPr>
        <w:t>ו</w:t>
      </w:r>
      <w:r>
        <w:rPr>
          <w:b/>
          <w:bCs/>
          <w:rtl/>
        </w:rPr>
        <w:t>תוס'</w:t>
      </w:r>
      <w:r>
        <w:rPr>
          <w:rtl/>
        </w:rPr>
        <w:t xml:space="preserve"> (בסמוך) העלו צד דה"מ כשלא באה מחמת טענה, אבל בטענה מעלייתא נאמנת. ותוס' דחו.</w:t>
      </w:r>
    </w:p>
  </w:footnote>
  <w:footnote w:id="3907">
    <w:p w14:paraId="42B2A5DA" w14:textId="77777777" w:rsidR="006074A5" w:rsidRDefault="006074A5" w:rsidP="006074A5">
      <w:pPr>
        <w:pStyle w:val="Footnote"/>
        <w:bidi/>
      </w:pPr>
      <w:r>
        <w:rPr>
          <w:rStyle w:val="ac"/>
          <w:rtl/>
        </w:rPr>
        <w:footnoteRef/>
      </w:r>
      <w:r>
        <w:rPr>
          <w:rtl/>
        </w:rPr>
        <w:t>[וב</w:t>
      </w:r>
      <w:r>
        <w:rPr>
          <w:b/>
          <w:bCs/>
          <w:rtl/>
        </w:rPr>
        <w:t>תוס' חד מקמאי</w:t>
      </w:r>
      <w:r>
        <w:rPr>
          <w:rtl/>
        </w:rPr>
        <w:t xml:space="preserve"> (סד:) כתב דלפ"ז משנה ראשונה איירי דלא באה מחמת טענה, וס"ל דאשה מיפקדה אפר"ו].</w:t>
      </w:r>
    </w:p>
  </w:footnote>
  <w:footnote w:id="3908">
    <w:p w14:paraId="5A9179DB" w14:textId="77777777" w:rsidR="006074A5" w:rsidRDefault="006074A5" w:rsidP="006074A5">
      <w:pPr>
        <w:pStyle w:val="Footnote"/>
        <w:bidi/>
      </w:pPr>
      <w:r>
        <w:rPr>
          <w:rStyle w:val="ac"/>
          <w:rtl/>
        </w:rPr>
        <w:footnoteRef/>
      </w:r>
      <w:r>
        <w:rPr>
          <w:rtl/>
        </w:rPr>
        <w:t>וה</w:t>
      </w:r>
      <w:r>
        <w:rPr>
          <w:b/>
          <w:bCs/>
          <w:rtl/>
        </w:rPr>
        <w:t>חזו"א</w:t>
      </w:r>
      <w:r>
        <w:rPr>
          <w:rtl/>
        </w:rPr>
        <w:t xml:space="preserve"> כת' (קח א) דצ"ל דאיירי דיש לו בן ובת.</w:t>
      </w:r>
    </w:p>
  </w:footnote>
  <w:footnote w:id="3909">
    <w:p w14:paraId="19FCA259" w14:textId="77777777" w:rsidR="006074A5" w:rsidRDefault="006074A5" w:rsidP="006074A5">
      <w:pPr>
        <w:pStyle w:val="Footnote"/>
        <w:bidi/>
      </w:pPr>
      <w:r>
        <w:rPr>
          <w:rStyle w:val="ac"/>
          <w:rtl/>
        </w:rPr>
        <w:footnoteRef/>
      </w:r>
      <w:r>
        <w:rPr>
          <w:rtl/>
        </w:rPr>
        <w:t>ותמה בזה על ה</w:t>
      </w:r>
      <w:r>
        <w:rPr>
          <w:b/>
          <w:bCs/>
          <w:rtl/>
        </w:rPr>
        <w:t>רמ"א</w:t>
      </w:r>
      <w:r>
        <w:rPr>
          <w:rtl/>
        </w:rPr>
        <w:t xml:space="preserve"> (קנד), עי"ש.</w:t>
      </w:r>
    </w:p>
  </w:footnote>
  <w:footnote w:id="3910">
    <w:p w14:paraId="0BECF75E" w14:textId="77777777" w:rsidR="006074A5" w:rsidRDefault="006074A5" w:rsidP="006074A5">
      <w:pPr>
        <w:pStyle w:val="Footnote"/>
        <w:bidi/>
      </w:pPr>
      <w:r>
        <w:rPr>
          <w:rStyle w:val="ac"/>
          <w:rtl/>
        </w:rPr>
        <w:footnoteRef/>
      </w:r>
      <w:r>
        <w:rPr>
          <w:rtl/>
        </w:rPr>
        <w:t>ואם לא נולד לו בנים משניה, או יגרש או ישא שלישית וכו'.</w:t>
      </w:r>
    </w:p>
  </w:footnote>
  <w:footnote w:id="3911">
    <w:p w14:paraId="1CDA8C1F" w14:textId="77777777" w:rsidR="006074A5" w:rsidRDefault="006074A5" w:rsidP="006074A5">
      <w:pPr>
        <w:pStyle w:val="Footnote"/>
        <w:bidi/>
      </w:pPr>
      <w:r>
        <w:rPr>
          <w:rStyle w:val="ac"/>
          <w:rtl/>
        </w:rPr>
        <w:footnoteRef/>
      </w:r>
      <w:r>
        <w:rPr>
          <w:rtl/>
        </w:rPr>
        <w:t>וצ"ל דכוונתו דאדעתא דהכי לא התנה.</w:t>
      </w:r>
    </w:p>
  </w:footnote>
  <w:footnote w:id="3912">
    <w:p w14:paraId="073E32DE" w14:textId="77777777" w:rsidR="006074A5" w:rsidRDefault="006074A5" w:rsidP="006074A5">
      <w:pPr>
        <w:pStyle w:val="Footnote"/>
        <w:bidi/>
      </w:pPr>
      <w:r>
        <w:rPr>
          <w:rStyle w:val="ac"/>
          <w:rtl/>
        </w:rPr>
        <w:footnoteRef/>
      </w:r>
      <w:r>
        <w:rPr>
          <w:rtl/>
        </w:rPr>
        <w:t>ונח' ה</w:t>
      </w:r>
      <w:r>
        <w:rPr>
          <w:b/>
          <w:bCs/>
          <w:rtl/>
        </w:rPr>
        <w:t>ראשונים</w:t>
      </w:r>
      <w:r>
        <w:rPr>
          <w:rtl/>
        </w:rPr>
        <w:t xml:space="preserve"> מי שאין לו לזון את אשתו, האם יכולה לתבוע להתגרש.</w:t>
      </w:r>
    </w:p>
  </w:footnote>
  <w:footnote w:id="3913">
    <w:p w14:paraId="78322B90" w14:textId="77777777" w:rsidR="006074A5" w:rsidRDefault="006074A5" w:rsidP="006074A5">
      <w:pPr>
        <w:pStyle w:val="Footnote"/>
        <w:bidi/>
      </w:pPr>
      <w:r>
        <w:rPr>
          <w:rStyle w:val="ac"/>
          <w:rtl/>
        </w:rPr>
        <w:footnoteRef/>
      </w:r>
      <w:r>
        <w:rPr>
          <w:rtl/>
        </w:rPr>
        <w:t>ו</w:t>
      </w:r>
      <w:r>
        <w:rPr>
          <w:b/>
          <w:bCs/>
          <w:rtl/>
        </w:rPr>
        <w:t>רש"י</w:t>
      </w:r>
      <w:r>
        <w:rPr>
          <w:rtl/>
        </w:rPr>
        <w:t xml:space="preserve"> (עה"ת בראשית א כח) על פסוק זה כת' ללמדך שהזכר כובש את הנקבה שלא תהא יצאנית, ועוד ללמדך שהאיש שדרכו לכבוש מצווה על פריה ורביה ולא האשה.</w:t>
      </w:r>
    </w:p>
  </w:footnote>
  <w:footnote w:id="3914">
    <w:p w14:paraId="37BE2701" w14:textId="77777777" w:rsidR="006074A5" w:rsidRDefault="006074A5" w:rsidP="006074A5">
      <w:pPr>
        <w:pStyle w:val="Footnote"/>
        <w:bidi/>
      </w:pPr>
      <w:r>
        <w:rPr>
          <w:rStyle w:val="ac"/>
          <w:rtl/>
        </w:rPr>
        <w:footnoteRef/>
      </w:r>
      <w:r>
        <w:rPr>
          <w:rtl/>
        </w:rPr>
        <w:t>וקאי התם בדבר המפורש בתורה. אבל דבר שאינו מפורש אמרי' מוטב שיהיו שוגגין.</w:t>
      </w:r>
    </w:p>
  </w:footnote>
  <w:footnote w:id="3915">
    <w:p w14:paraId="14EB163A" w14:textId="77777777" w:rsidR="006074A5" w:rsidRDefault="006074A5" w:rsidP="006074A5">
      <w:pPr>
        <w:pStyle w:val="Footnote"/>
        <w:bidi/>
      </w:pPr>
      <w:r>
        <w:rPr>
          <w:rStyle w:val="ac"/>
          <w:rtl/>
        </w:rPr>
        <w:footnoteRef/>
      </w:r>
      <w:r>
        <w:rPr>
          <w:rtl/>
        </w:rPr>
        <w:t xml:space="preserve">אף כשאינה באה מחמת טענה [ואף דהוא אונס בדבר]. אלא דאין כופין, וכמ"ש </w:t>
      </w:r>
      <w:r>
        <w:rPr>
          <w:b/>
          <w:bCs/>
          <w:rtl/>
        </w:rPr>
        <w:t>תוס</w:t>
      </w:r>
      <w:r>
        <w:rPr>
          <w:rtl/>
        </w:rPr>
        <w:t>' לעיל סד. [וע' פתח"ת קנד ז].</w:t>
      </w:r>
    </w:p>
  </w:footnote>
  <w:footnote w:id="3916">
    <w:p w14:paraId="19C05FC7" w14:textId="77777777" w:rsidR="006074A5" w:rsidRDefault="006074A5" w:rsidP="006074A5">
      <w:pPr>
        <w:pStyle w:val="Footnote"/>
        <w:bidi/>
      </w:pPr>
      <w:r>
        <w:rPr>
          <w:rStyle w:val="ac"/>
          <w:rtl/>
        </w:rPr>
        <w:footnoteRef/>
      </w:r>
      <w:r>
        <w:rPr>
          <w:rtl/>
        </w:rPr>
        <w:t>ויל"ד האם לא חשיב קיום כלל, או דלא סגי בהכי. [ונפק"מ מי שאינו יכול לגמור ביאתו, האם יש חיוב עכ"פ במה שיכול].</w:t>
      </w:r>
    </w:p>
  </w:footnote>
  <w:footnote w:id="3917">
    <w:p w14:paraId="04270B52" w14:textId="77777777" w:rsidR="006074A5" w:rsidRDefault="006074A5" w:rsidP="006074A5">
      <w:pPr>
        <w:pStyle w:val="Footnote"/>
        <w:bidi/>
      </w:pPr>
      <w:r>
        <w:rPr>
          <w:rStyle w:val="ac"/>
          <w:rtl/>
        </w:rPr>
        <w:footnoteRef/>
      </w:r>
      <w:r>
        <w:rPr>
          <w:rtl/>
        </w:rPr>
        <w:t>ובגמ' (קידושין יב:) אי' דאמרה לר' חייא שאמה אמרה לה שאביה קיבל בה קידושין כשהיתה קטנה. [כדי לפטור עצמה, מפני צער הלידה]. ור"ח אמר לה לאו כל כמינה דאימך דאסרת ליך עילואי. ו</w:t>
      </w:r>
      <w:r>
        <w:rPr>
          <w:b/>
          <w:bCs/>
          <w:rtl/>
        </w:rPr>
        <w:t>תוס</w:t>
      </w:r>
      <w:r>
        <w:rPr>
          <w:rtl/>
        </w:rPr>
        <w:t>' (כתובות סג:) הק' דהיתה יכולה לומר מאיס עלי, ועי"ז מחוייב לגרשה. וכת' דלא רצתה לומר מאיס עלי.</w:t>
      </w:r>
    </w:p>
  </w:footnote>
  <w:footnote w:id="3918">
    <w:p w14:paraId="68E9FAD7" w14:textId="77777777" w:rsidR="006074A5" w:rsidRDefault="006074A5" w:rsidP="006074A5">
      <w:pPr>
        <w:pStyle w:val="Footnote"/>
        <w:bidi/>
      </w:pPr>
      <w:r>
        <w:rPr>
          <w:rStyle w:val="ac"/>
          <w:rtl/>
        </w:rPr>
        <w:footnoteRef/>
      </w:r>
      <w:r>
        <w:rPr>
          <w:rtl/>
        </w:rPr>
        <w:t>ויל"ד האם משועבדת לבעלה שלא תשתה, ומשום מצוות ולערב אל תנח ידך.</w:t>
      </w:r>
    </w:p>
  </w:footnote>
  <w:footnote w:id="3919">
    <w:p w14:paraId="7348F0D4" w14:textId="77777777" w:rsidR="006074A5" w:rsidRDefault="006074A5" w:rsidP="006074A5">
      <w:pPr>
        <w:pStyle w:val="Footnote"/>
        <w:bidi/>
      </w:pPr>
      <w:r>
        <w:rPr>
          <w:rStyle w:val="ac"/>
          <w:rtl/>
        </w:rPr>
        <w:footnoteRef/>
      </w:r>
      <w:r>
        <w:rPr>
          <w:rtl/>
        </w:rPr>
        <w:t>לכאור' היינו משום מצוות פר"ו, אבל צ"ע היאך הותר איסור סירוס, לא ישמש ולא יסתכן. [וצ"ל דבסם שאני. וצ"ע מהגמ' שבת קי:].</w:t>
      </w:r>
    </w:p>
  </w:footnote>
  <w:footnote w:id="3920">
    <w:p w14:paraId="504BF657" w14:textId="77777777" w:rsidR="006074A5" w:rsidRDefault="006074A5" w:rsidP="006074A5">
      <w:pPr>
        <w:pStyle w:val="Footnote"/>
        <w:bidi/>
      </w:pPr>
      <w:r>
        <w:rPr>
          <w:rStyle w:val="ac"/>
          <w:rtl/>
        </w:rPr>
        <w:footnoteRef/>
      </w:r>
      <w:r>
        <w:rPr>
          <w:rtl/>
        </w:rPr>
        <w:t>ולר' יוחנן בן ברוקא אשה אסורה [ולכאורה משמע משום איסור סירוס]. ודוקא זקינה או עקרה מותרת לשתות. [ואף דעקר זכר יש איסור מסרס אחר מסרס, באשה ליכא איסור].</w:t>
      </w:r>
    </w:p>
  </w:footnote>
  <w:footnote w:id="3921">
    <w:p w14:paraId="0D36553B" w14:textId="77777777" w:rsidR="006074A5" w:rsidRDefault="006074A5" w:rsidP="006074A5">
      <w:pPr>
        <w:pStyle w:val="Footnote"/>
        <w:bidi/>
      </w:pPr>
      <w:r>
        <w:rPr>
          <w:rStyle w:val="ac"/>
          <w:rtl/>
        </w:rPr>
        <w:footnoteRef/>
      </w:r>
      <w:r>
        <w:rPr>
          <w:rtl/>
        </w:rPr>
        <w:t>וה</w:t>
      </w:r>
      <w:r>
        <w:rPr>
          <w:b/>
          <w:bCs/>
          <w:rtl/>
        </w:rPr>
        <w:t>רמב"ם</w:t>
      </w:r>
      <w:r>
        <w:rPr>
          <w:rtl/>
        </w:rPr>
        <w:t xml:space="preserve"> (איסו"ב טז) כתב דבסם הוה איסור ואין לוקין עליו. ובנשים מותר [דנחית דרגא].</w:t>
      </w:r>
    </w:p>
  </w:footnote>
  <w:footnote w:id="3922">
    <w:p w14:paraId="787061F1" w14:textId="77777777" w:rsidR="006074A5" w:rsidRDefault="006074A5" w:rsidP="006074A5">
      <w:pPr>
        <w:pStyle w:val="Footnote"/>
        <w:bidi/>
      </w:pPr>
      <w:r>
        <w:rPr>
          <w:rStyle w:val="ac"/>
          <w:rtl/>
        </w:rPr>
        <w:footnoteRef/>
      </w:r>
      <w:r>
        <w:rPr>
          <w:rtl/>
        </w:rPr>
        <w:t>וה</w:t>
      </w:r>
      <w:r>
        <w:rPr>
          <w:b/>
          <w:bCs/>
          <w:rtl/>
        </w:rPr>
        <w:t>מנח"ח</w:t>
      </w:r>
      <w:r>
        <w:rPr>
          <w:rtl/>
        </w:rPr>
        <w:t xml:space="preserve"> (רצא ג) נקט דיש מיעוט דאין איסור סירוס בנשים. ותמה על ה</w:t>
      </w:r>
      <w:r>
        <w:rPr>
          <w:b/>
          <w:bCs/>
          <w:rtl/>
        </w:rPr>
        <w:t>חינוך</w:t>
      </w:r>
      <w:r>
        <w:rPr>
          <w:rtl/>
        </w:rPr>
        <w:t xml:space="preserve"> (שם, וכן כמה ראשונים) דמשמע דהטעם משום דאינם מצוות בפר"ו [והוה רק ביטול פר"ו, ומשמע דאסורות בסירוס].</w:t>
      </w:r>
    </w:p>
  </w:footnote>
  <w:footnote w:id="3923">
    <w:p w14:paraId="0A6A4C85" w14:textId="77777777" w:rsidR="006074A5" w:rsidRDefault="006074A5" w:rsidP="006074A5">
      <w:pPr>
        <w:pStyle w:val="Footnote"/>
        <w:bidi/>
      </w:pPr>
      <w:r>
        <w:rPr>
          <w:rStyle w:val="ac"/>
          <w:rtl/>
        </w:rPr>
        <w:footnoteRef/>
      </w:r>
      <w:r>
        <w:rPr>
          <w:rtl/>
        </w:rPr>
        <w:t>ותוס' כת' דמי שיש לו בן ובת עדיין יש לו מצוות 'לערב אל נח ידך', והגמ' ניחא לה להק' מסירוס, דאיכא למ"ד דכיון דקיים פריה ורביה תו לא צריך.</w:t>
      </w:r>
    </w:p>
  </w:footnote>
  <w:footnote w:id="3924">
    <w:p w14:paraId="2B06486F" w14:textId="77777777" w:rsidR="006074A5" w:rsidRDefault="006074A5" w:rsidP="006074A5">
      <w:pPr>
        <w:pStyle w:val="Footnote"/>
        <w:bidi/>
      </w:pPr>
      <w:r>
        <w:rPr>
          <w:rStyle w:val="ac"/>
          <w:rtl/>
        </w:rPr>
        <w:footnoteRef/>
      </w:r>
      <w:r>
        <w:rPr>
          <w:rtl/>
        </w:rPr>
        <w:t>וצ"ל דכל זה בכלל קו' הגמ' כאן. ו</w:t>
      </w:r>
      <w:r>
        <w:rPr>
          <w:b/>
          <w:bCs/>
          <w:rtl/>
        </w:rPr>
        <w:t>רש"י</w:t>
      </w:r>
      <w:r>
        <w:rPr>
          <w:rtl/>
        </w:rPr>
        <w:t xml:space="preserve"> לא משמע כן.</w:t>
      </w:r>
    </w:p>
  </w:footnote>
  <w:footnote w:id="3925">
    <w:p w14:paraId="796D3703" w14:textId="77777777" w:rsidR="00F64AED" w:rsidRDefault="00F64AED" w:rsidP="00F64AED">
      <w:pPr>
        <w:pStyle w:val="Footnote"/>
        <w:bidi/>
      </w:pPr>
      <w:r>
        <w:rPr>
          <w:rStyle w:val="ac"/>
          <w:rtl/>
        </w:rPr>
        <w:footnoteRef/>
      </w:r>
      <w:r>
        <w:rPr>
          <w:rtl/>
        </w:rPr>
        <w:t>וה</w:t>
      </w:r>
      <w:r>
        <w:rPr>
          <w:b/>
          <w:bCs/>
          <w:rtl/>
        </w:rPr>
        <w:t xml:space="preserve">רשב"א </w:t>
      </w:r>
      <w:r>
        <w:rPr>
          <w:rtl/>
        </w:rPr>
        <w:t>(נדרים יא:) כת' דהטעם שתרומה אסור לזרים הוה מחמת שהתורה זיכתה לכהנים. ומש"ה מותר לעבדיו.</w:t>
      </w:r>
    </w:p>
  </w:footnote>
  <w:footnote w:id="3926">
    <w:p w14:paraId="6DE46812" w14:textId="77777777" w:rsidR="00F64AED" w:rsidRDefault="00F64AED" w:rsidP="00F64AED">
      <w:pPr>
        <w:pStyle w:val="Footnote"/>
        <w:bidi/>
      </w:pPr>
      <w:r>
        <w:rPr>
          <w:rStyle w:val="ac"/>
          <w:rtl/>
        </w:rPr>
        <w:footnoteRef/>
      </w:r>
      <w:r>
        <w:rPr>
          <w:rtl/>
        </w:rPr>
        <w:t>וכלשון ר' מאיר במשנה (שם יא:).</w:t>
      </w:r>
    </w:p>
  </w:footnote>
  <w:footnote w:id="3927">
    <w:p w14:paraId="6E796FA6" w14:textId="77777777" w:rsidR="00F64AED" w:rsidRDefault="00F64AED" w:rsidP="00F64AED">
      <w:pPr>
        <w:pStyle w:val="Footnote"/>
        <w:bidi/>
      </w:pPr>
      <w:r>
        <w:rPr>
          <w:rStyle w:val="ac"/>
          <w:rtl/>
        </w:rPr>
        <w:footnoteRef/>
      </w:r>
      <w:r>
        <w:rPr>
          <w:rtl/>
        </w:rPr>
        <w:t>וה</w:t>
      </w:r>
      <w:r>
        <w:rPr>
          <w:b/>
          <w:bCs/>
          <w:rtl/>
        </w:rPr>
        <w:t xml:space="preserve">קובה"ע </w:t>
      </w:r>
      <w:r>
        <w:rPr>
          <w:rtl/>
        </w:rPr>
        <w:t>(מז ג) כתב עפ"ז דלא שייך לומר דיש חזקה שיאכל בתרומה, דלא הוה דין בגופו. אלא תליא במי הבעלים. [ועפ"ז ביאר דברי תוס' גיטין יב:].</w:t>
      </w:r>
    </w:p>
  </w:footnote>
  <w:footnote w:id="3928">
    <w:p w14:paraId="43BD2FE9" w14:textId="77777777" w:rsidR="00F64AED" w:rsidRDefault="00F64AED" w:rsidP="00F64AED">
      <w:pPr>
        <w:pStyle w:val="Footnote"/>
        <w:bidi/>
      </w:pPr>
      <w:r>
        <w:rPr>
          <w:rStyle w:val="ac"/>
          <w:rtl/>
        </w:rPr>
        <w:footnoteRef/>
      </w:r>
      <w:r>
        <w:rPr>
          <w:rtl/>
        </w:rPr>
        <w:t>וה</w:t>
      </w:r>
      <w:r>
        <w:rPr>
          <w:b/>
          <w:bCs/>
          <w:rtl/>
        </w:rPr>
        <w:t>אחרונים</w:t>
      </w:r>
      <w:r>
        <w:rPr>
          <w:rtl/>
        </w:rPr>
        <w:t xml:space="preserve"> הביאו דכ"כ </w:t>
      </w:r>
      <w:r>
        <w:rPr>
          <w:b/>
          <w:bCs/>
          <w:rtl/>
        </w:rPr>
        <w:t>תוס</w:t>
      </w:r>
      <w:r>
        <w:rPr>
          <w:rtl/>
        </w:rPr>
        <w:t>' (גיטין יב:) דיש מצווה באכילת תרומה [גבי עבד]. וב</w:t>
      </w:r>
      <w:r>
        <w:rPr>
          <w:b/>
          <w:bCs/>
          <w:rtl/>
        </w:rPr>
        <w:t>דר"א</w:t>
      </w:r>
      <w:r>
        <w:rPr>
          <w:rtl/>
        </w:rPr>
        <w:t xml:space="preserve"> דחה דכוונת התוס' דהוה מצווה על האדון.</w:t>
      </w:r>
    </w:p>
  </w:footnote>
  <w:footnote w:id="3929">
    <w:p w14:paraId="4BE3DA2E" w14:textId="77777777" w:rsidR="00F64AED" w:rsidRDefault="00F64AED" w:rsidP="00F64AED">
      <w:pPr>
        <w:pStyle w:val="Footnote"/>
        <w:bidi/>
      </w:pPr>
      <w:r>
        <w:rPr>
          <w:rStyle w:val="ac"/>
          <w:rtl/>
        </w:rPr>
        <w:footnoteRef/>
      </w:r>
      <w:r>
        <w:rPr>
          <w:rtl/>
        </w:rPr>
        <w:t>וב</w:t>
      </w:r>
      <w:r>
        <w:rPr>
          <w:b/>
          <w:bCs/>
          <w:rtl/>
        </w:rPr>
        <w:t>דרך אמונה</w:t>
      </w:r>
      <w:r>
        <w:rPr>
          <w:rtl/>
        </w:rPr>
        <w:t xml:space="preserve"> דחה דמ"מ יש בזה פטור מחטאת כיון דאכלו ברשות.</w:t>
      </w:r>
    </w:p>
  </w:footnote>
  <w:footnote w:id="3930">
    <w:p w14:paraId="7F35FD0F" w14:textId="77777777" w:rsidR="00F64AED" w:rsidRDefault="00F64AED" w:rsidP="00F64AED">
      <w:pPr>
        <w:pStyle w:val="Footnote"/>
        <w:bidi/>
      </w:pPr>
      <w:r>
        <w:rPr>
          <w:rStyle w:val="ac"/>
          <w:rtl/>
        </w:rPr>
        <w:footnoteRef/>
      </w:r>
      <w:r>
        <w:rPr>
          <w:rtl/>
        </w:rPr>
        <w:t>וה</w:t>
      </w:r>
      <w:r>
        <w:rPr>
          <w:b/>
          <w:bCs/>
          <w:rtl/>
        </w:rPr>
        <w:t>משנ"ר</w:t>
      </w:r>
      <w:r>
        <w:rPr>
          <w:rtl/>
        </w:rPr>
        <w:t xml:space="preserve"> נסתפק היאך יברך, אקב"ו בקדושתו של אהרן, הרי אינם מזרעו של אהרן. או דילמא מ"מ אוכלים מחמת קדושת אהרן.</w:t>
      </w:r>
    </w:p>
  </w:footnote>
  <w:footnote w:id="3931">
    <w:p w14:paraId="553A2D4C" w14:textId="77777777" w:rsidR="00F64AED" w:rsidRDefault="00F64AED" w:rsidP="00F64AED">
      <w:pPr>
        <w:pStyle w:val="Footnote"/>
        <w:bidi/>
      </w:pPr>
      <w:r>
        <w:rPr>
          <w:rStyle w:val="ac"/>
          <w:rtl/>
        </w:rPr>
        <w:footnoteRef/>
      </w:r>
      <w:r>
        <w:rPr>
          <w:rtl/>
        </w:rPr>
        <w:t>אבל ה</w:t>
      </w:r>
      <w:r>
        <w:rPr>
          <w:b/>
          <w:bCs/>
          <w:rtl/>
        </w:rPr>
        <w:t>דרך אמונה</w:t>
      </w:r>
      <w:r>
        <w:rPr>
          <w:rtl/>
        </w:rPr>
        <w:t xml:space="preserve"> כתב ד'כל' קאי אפי' אתרומת חו"ל, אבל אשת כהן ועבד כהן אינו מברך. [אבל בת כהן הנשואה לכהן מברכת].</w:t>
      </w:r>
    </w:p>
  </w:footnote>
  <w:footnote w:id="3932">
    <w:p w14:paraId="33E89866" w14:textId="77777777" w:rsidR="00F64AED" w:rsidRDefault="00F64AED" w:rsidP="00F64AED">
      <w:pPr>
        <w:pStyle w:val="Footnote"/>
        <w:bidi/>
      </w:pPr>
      <w:r>
        <w:rPr>
          <w:rStyle w:val="ac"/>
          <w:rtl/>
        </w:rPr>
        <w:footnoteRef/>
      </w:r>
      <w:r>
        <w:rPr>
          <w:rtl/>
        </w:rPr>
        <w:t>וה</w:t>
      </w:r>
      <w:r>
        <w:rPr>
          <w:b/>
          <w:bCs/>
          <w:rtl/>
        </w:rPr>
        <w:t>מנח"ח</w:t>
      </w:r>
      <w:r>
        <w:rPr>
          <w:rtl/>
        </w:rPr>
        <w:t xml:space="preserve"> (כב יח) כתב דאשת כהן פטורה מפדיון פטר חמור, דדינה כבת כהן ויש עליה קדושה דבעלה.</w:t>
      </w:r>
    </w:p>
  </w:footnote>
  <w:footnote w:id="3933">
    <w:p w14:paraId="7D2B4815" w14:textId="77777777" w:rsidR="00F64AED" w:rsidRDefault="00F64AED" w:rsidP="00F64AED">
      <w:pPr>
        <w:pStyle w:val="Footnote"/>
        <w:bidi/>
      </w:pPr>
      <w:r>
        <w:rPr>
          <w:rStyle w:val="ac"/>
          <w:rtl/>
        </w:rPr>
        <w:footnoteRef/>
      </w:r>
      <w:r>
        <w:rPr>
          <w:rtl/>
        </w:rPr>
        <w:t>ומותר לשלם לה תשלומי תרומה, וכמו דמהני תשלום ע”י שמאכיל בהמת כהן.</w:t>
      </w:r>
    </w:p>
  </w:footnote>
  <w:footnote w:id="3934">
    <w:p w14:paraId="00795554" w14:textId="77777777" w:rsidR="00F64AED" w:rsidRDefault="00F64AED" w:rsidP="00F64AED">
      <w:pPr>
        <w:pStyle w:val="Footnote"/>
        <w:bidi/>
      </w:pPr>
      <w:r>
        <w:rPr>
          <w:rStyle w:val="ac"/>
          <w:rtl/>
        </w:rPr>
        <w:footnoteRef/>
      </w:r>
      <w:r>
        <w:rPr>
          <w:rtl/>
        </w:rPr>
        <w:t>ו</w:t>
      </w:r>
      <w:r>
        <w:rPr>
          <w:b/>
          <w:bCs/>
          <w:rtl/>
        </w:rPr>
        <w:t>רש"י</w:t>
      </w:r>
      <w:r>
        <w:rPr>
          <w:rtl/>
        </w:rPr>
        <w:t xml:space="preserve"> (עה"ת אמור כב יא) הביא את שני הדרשות.</w:t>
      </w:r>
    </w:p>
  </w:footnote>
  <w:footnote w:id="3935">
    <w:p w14:paraId="49CB2931" w14:textId="77777777" w:rsidR="00F64AED" w:rsidRDefault="00F64AED" w:rsidP="00F64AED">
      <w:pPr>
        <w:pStyle w:val="Footnote"/>
        <w:bidi/>
      </w:pPr>
      <w:r>
        <w:rPr>
          <w:rStyle w:val="ac"/>
          <w:rtl/>
        </w:rPr>
        <w:footnoteRef/>
      </w:r>
      <w:r>
        <w:rPr>
          <w:rtl/>
        </w:rPr>
        <w:t>וה</w:t>
      </w:r>
      <w:r>
        <w:rPr>
          <w:b/>
          <w:bCs/>
          <w:rtl/>
        </w:rPr>
        <w:t xml:space="preserve">תוס' הרא"ש </w:t>
      </w:r>
      <w:r>
        <w:rPr>
          <w:rtl/>
        </w:rPr>
        <w:t>הקשה ע"ז דבסוגיין מבואר דהוה דרשא גמורה, ולכן כתב דדרשת הספרי הוה אסמכתא. וכ"כ ב</w:t>
      </w:r>
      <w:r>
        <w:rPr>
          <w:b/>
          <w:bCs/>
          <w:rtl/>
        </w:rPr>
        <w:t>תוס' הרשב"א</w:t>
      </w:r>
      <w:r>
        <w:rPr>
          <w:rtl/>
        </w:rPr>
        <w:t xml:space="preserve"> (כתובות נח) ושוב תי' [ע"פ דברי ר"ת] דנהי דלא חשיבא אשתו קנין, כספו מיהא מקרי. [וצ”ב, ומשמע דילפי' מקרא דכל טהור, ומ”מ עי”ז הוה בכלל קרא דקנין כספו].</w:t>
      </w:r>
    </w:p>
  </w:footnote>
  <w:footnote w:id="3936">
    <w:p w14:paraId="11F8270E" w14:textId="77777777" w:rsidR="00F64AED" w:rsidRDefault="00F64AED" w:rsidP="00F64AED">
      <w:pPr>
        <w:pStyle w:val="Footnote"/>
        <w:bidi/>
      </w:pPr>
      <w:r>
        <w:rPr>
          <w:rStyle w:val="ac"/>
          <w:rtl/>
        </w:rPr>
        <w:footnoteRef/>
      </w:r>
      <w:r>
        <w:rPr>
          <w:rtl/>
        </w:rPr>
        <w:t>ובנשים שכופין להוציא נחשב דאין להם קנין, ואוכלת רק משום 'כל טהור בביתך'.</w:t>
      </w:r>
    </w:p>
  </w:footnote>
  <w:footnote w:id="3937">
    <w:p w14:paraId="77FEF263" w14:textId="77777777" w:rsidR="00F64AED" w:rsidRDefault="00F64AED" w:rsidP="00F64AED">
      <w:pPr>
        <w:pStyle w:val="Footnote"/>
        <w:bidi/>
      </w:pPr>
      <w:r>
        <w:rPr>
          <w:rStyle w:val="ac"/>
          <w:rtl/>
        </w:rPr>
        <w:footnoteRef/>
      </w:r>
      <w:r>
        <w:rPr>
          <w:rtl/>
        </w:rPr>
        <w:t>וה</w:t>
      </w:r>
      <w:r>
        <w:rPr>
          <w:b/>
          <w:bCs/>
          <w:rtl/>
        </w:rPr>
        <w:t>אחרונים</w:t>
      </w:r>
      <w:r>
        <w:rPr>
          <w:rtl/>
        </w:rPr>
        <w:t xml:space="preserve"> דייקו דה</w:t>
      </w:r>
      <w:r>
        <w:rPr>
          <w:b/>
          <w:bCs/>
          <w:rtl/>
        </w:rPr>
        <w:t>רמב"ם</w:t>
      </w:r>
      <w:r>
        <w:rPr>
          <w:rtl/>
        </w:rPr>
        <w:t xml:space="preserve"> (ז ח) הזכיר דרשא דקנין כספו רק לגבי עבדים שקנו עבדים, משמע דהיא אוכלת אף בלא קרא זה.</w:t>
      </w:r>
    </w:p>
  </w:footnote>
  <w:footnote w:id="3938">
    <w:p w14:paraId="0AA5C9E9" w14:textId="77777777" w:rsidR="00F64AED" w:rsidRDefault="00F64AED" w:rsidP="00F64AED">
      <w:pPr>
        <w:pStyle w:val="Footnote"/>
        <w:bidi/>
      </w:pPr>
      <w:r>
        <w:rPr>
          <w:rStyle w:val="ac"/>
          <w:rtl/>
        </w:rPr>
        <w:footnoteRef/>
      </w:r>
      <w:r>
        <w:rPr>
          <w:rtl/>
        </w:rPr>
        <w:t>וה</w:t>
      </w:r>
      <w:r>
        <w:rPr>
          <w:b/>
          <w:bCs/>
          <w:rtl/>
        </w:rPr>
        <w:t>רמב"ן</w:t>
      </w:r>
      <w:r>
        <w:rPr>
          <w:rtl/>
        </w:rPr>
        <w:t xml:space="preserve"> (כתובות נז:) הביא בשם רבותיו דאף רבה (נדרים עג:) סובר דארוסה אינה אוכלת בתרומה מדאורייתא. ואפ"ה בהגעת זמן אוכלת מדאורייתא. [ומש"ה תלה דין אכילת תרומה בהפרת נדרים בהגעת זמן]. והרמב"ן חלק.</w:t>
      </w:r>
    </w:p>
  </w:footnote>
  <w:footnote w:id="3939">
    <w:p w14:paraId="153FB28F" w14:textId="77777777" w:rsidR="00F64AED" w:rsidRDefault="00F64AED" w:rsidP="00F64AED">
      <w:pPr>
        <w:pStyle w:val="Footnote"/>
        <w:bidi/>
      </w:pPr>
      <w:r>
        <w:rPr>
          <w:rStyle w:val="ac"/>
          <w:rtl/>
        </w:rPr>
        <w:footnoteRef/>
      </w:r>
      <w:r>
        <w:rPr>
          <w:rtl/>
        </w:rPr>
        <w:t>וה</w:t>
      </w:r>
      <w:r>
        <w:rPr>
          <w:b/>
          <w:bCs/>
          <w:rtl/>
        </w:rPr>
        <w:t>שיטה לנ”ל</w:t>
      </w:r>
      <w:r>
        <w:rPr>
          <w:rtl/>
        </w:rPr>
        <w:t xml:space="preserve"> (קידושין שם) כת' דדעת בן בג בג דארוסה אינה קנין כספו, שאין קנינו גמור ליורשה ולמציאתה ולהפרת נדריה.</w:t>
      </w:r>
    </w:p>
  </w:footnote>
  <w:footnote w:id="3940">
    <w:p w14:paraId="47B1D34B" w14:textId="77777777" w:rsidR="00F64AED" w:rsidRDefault="00F64AED" w:rsidP="00F64AED">
      <w:pPr>
        <w:pStyle w:val="Footnote"/>
        <w:bidi/>
      </w:pPr>
      <w:r>
        <w:rPr>
          <w:rStyle w:val="ac"/>
          <w:rtl/>
        </w:rPr>
        <w:footnoteRef/>
      </w:r>
      <w:r>
        <w:rPr>
          <w:rtl/>
        </w:rPr>
        <w:t>וכ"מ לדעת הראשונים דכל דין אכילה בתרומה משום כל טהור, ואף ארוסה מדאורייתא. וקנין כספו הוה אסמכתא.</w:t>
      </w:r>
    </w:p>
  </w:footnote>
  <w:footnote w:id="3941">
    <w:p w14:paraId="0C03B8B2" w14:textId="77777777" w:rsidR="00F64AED" w:rsidRDefault="00F64AED" w:rsidP="00F64AED">
      <w:pPr>
        <w:pStyle w:val="Footnote"/>
        <w:bidi/>
      </w:pPr>
      <w:r>
        <w:rPr>
          <w:rStyle w:val="ac"/>
          <w:rtl/>
        </w:rPr>
        <w:footnoteRef/>
      </w:r>
      <w:r>
        <w:rPr>
          <w:rtl/>
        </w:rPr>
        <w:t>וכ"מ בשיטה לנ"ל (הנ"ל) דשייך לקנין ליורשה ולטמא לה. וה</w:t>
      </w:r>
      <w:r>
        <w:rPr>
          <w:b/>
          <w:bCs/>
          <w:rtl/>
        </w:rPr>
        <w:t>רשב"א</w:t>
      </w:r>
      <w:r>
        <w:rPr>
          <w:rtl/>
        </w:rPr>
        <w:t xml:space="preserve"> (נדרים כט:) כתב דאשה המתקדשת לאיש קנויה לו לגמרי וקנין כספו קרינן לה, ומהאי קרא אוכלת בתרומה. ועפ"ז כתב דאילו מתקדשת לזמן הוה קנין פירות בלבד. [ובאשה לא שייך לומר כן].</w:t>
      </w:r>
    </w:p>
  </w:footnote>
  <w:footnote w:id="3942">
    <w:p w14:paraId="05D12CFB" w14:textId="77777777" w:rsidR="00F64AED" w:rsidRDefault="00F64AED" w:rsidP="00F64AED">
      <w:pPr>
        <w:pStyle w:val="Footnote"/>
        <w:bidi/>
      </w:pPr>
      <w:r>
        <w:rPr>
          <w:rStyle w:val="ac"/>
          <w:rtl/>
        </w:rPr>
        <w:footnoteRef/>
      </w:r>
      <w:r>
        <w:rPr>
          <w:rtl/>
        </w:rPr>
        <w:t>משא"כ עבד עברי יוצא בגרעון כסף ושש ויובל, ולכן לא הוי קנין הגוף גמור.</w:t>
      </w:r>
    </w:p>
  </w:footnote>
  <w:footnote w:id="3943">
    <w:p w14:paraId="44B74205" w14:textId="77777777" w:rsidR="00F64AED" w:rsidRDefault="00F64AED" w:rsidP="00F64AED">
      <w:pPr>
        <w:pStyle w:val="Footnote"/>
        <w:bidi/>
      </w:pPr>
      <w:r>
        <w:rPr>
          <w:rStyle w:val="ac"/>
          <w:rtl/>
        </w:rPr>
        <w:footnoteRef/>
      </w:r>
      <w:r>
        <w:rPr>
          <w:rtl/>
        </w:rPr>
        <w:t>וה</w:t>
      </w:r>
      <w:r>
        <w:rPr>
          <w:b/>
          <w:bCs/>
          <w:rtl/>
        </w:rPr>
        <w:t>קובה"ע</w:t>
      </w:r>
      <w:r>
        <w:rPr>
          <w:rtl/>
        </w:rPr>
        <w:t xml:space="preserve"> (מז ז) כתב דלפ"ז הא דעבד כהן אוכל בתרומה, ואשת כהן שאוכלת הוה ב' דינים, דבעבד תליא במה שיש בו קנין [בעלות] ממון, ואילו באשה הוא משום שקנאה בכסף. [ובהשמטות הוסיף דדרשי' 'קנין' קאי אאשה, ו'כספו' קאי אעבד]. אבל הביא דבאבנ"מ משמע דשייכא להדדי.</w:t>
      </w:r>
    </w:p>
  </w:footnote>
  <w:footnote w:id="3944">
    <w:p w14:paraId="456C936E" w14:textId="77777777" w:rsidR="00F64AED" w:rsidRDefault="00F64AED" w:rsidP="00F64AED">
      <w:pPr>
        <w:pStyle w:val="Footnote"/>
        <w:bidi/>
      </w:pPr>
      <w:r>
        <w:rPr>
          <w:rStyle w:val="ac"/>
          <w:rtl/>
        </w:rPr>
        <w:footnoteRef/>
      </w:r>
      <w:r>
        <w:rPr>
          <w:rtl/>
        </w:rPr>
        <w:t>אבל ה</w:t>
      </w:r>
      <w:r>
        <w:rPr>
          <w:b/>
          <w:bCs/>
          <w:rtl/>
        </w:rPr>
        <w:t xml:space="preserve">אבי עזרי </w:t>
      </w:r>
      <w:r>
        <w:rPr>
          <w:rtl/>
        </w:rPr>
        <w:t>(עבדים ב) כתב דכוונת רש"י דאף קידושין ביאה הוה בגדר 'קנין' אישות, ולא איסור לחוד.</w:t>
      </w:r>
    </w:p>
  </w:footnote>
  <w:footnote w:id="3945">
    <w:p w14:paraId="7160C617" w14:textId="77777777" w:rsidR="00F64AED" w:rsidRDefault="00F64AED" w:rsidP="00F64AED">
      <w:pPr>
        <w:pStyle w:val="Footnote"/>
        <w:bidi/>
      </w:pPr>
      <w:r>
        <w:rPr>
          <w:rStyle w:val="ac"/>
          <w:rtl/>
        </w:rPr>
        <w:footnoteRef/>
      </w:r>
      <w:r>
        <w:rPr>
          <w:rtl/>
        </w:rPr>
        <w:t>דהא דמעש"י לבעלה הוה רק מדרבנן, ועוד מדאורייתא אף ארוסה אוכלת בתרומה, ואין לבעל בה שום קנין ממון.</w:t>
      </w:r>
    </w:p>
  </w:footnote>
  <w:footnote w:id="3946">
    <w:p w14:paraId="289C461C" w14:textId="77777777" w:rsidR="00F64AED" w:rsidRDefault="00F64AED" w:rsidP="00F64AED">
      <w:pPr>
        <w:pStyle w:val="Footnote"/>
        <w:bidi/>
      </w:pPr>
      <w:r>
        <w:rPr>
          <w:rStyle w:val="ac"/>
          <w:rtl/>
        </w:rPr>
        <w:footnoteRef/>
      </w:r>
      <w:r>
        <w:rPr>
          <w:rtl/>
        </w:rPr>
        <w:t>וה</w:t>
      </w:r>
      <w:r>
        <w:rPr>
          <w:b/>
          <w:bCs/>
          <w:rtl/>
        </w:rPr>
        <w:t>ראב"ד</w:t>
      </w:r>
      <w:r>
        <w:rPr>
          <w:rtl/>
        </w:rPr>
        <w:t xml:space="preserve"> כתב דיכול לומר איני עובד ואיני זן. [והכס"מ כתב דהרמב"ם מודה בזה].</w:t>
      </w:r>
    </w:p>
  </w:footnote>
  <w:footnote w:id="3947">
    <w:p w14:paraId="0E3A6D6D" w14:textId="77777777" w:rsidR="00F64AED" w:rsidRDefault="00F64AED" w:rsidP="00F64AED">
      <w:pPr>
        <w:pStyle w:val="Footnote"/>
        <w:bidi/>
      </w:pPr>
      <w:r>
        <w:rPr>
          <w:rStyle w:val="ac"/>
          <w:rtl/>
        </w:rPr>
        <w:footnoteRef/>
      </w:r>
      <w:r>
        <w:rPr>
          <w:rtl/>
        </w:rPr>
        <w:t>ויש שהקשו דלפ"ז צ"ב היאך למד הרמב"ם מכאן לכל מקום.</w:t>
      </w:r>
    </w:p>
  </w:footnote>
  <w:footnote w:id="3948">
    <w:p w14:paraId="7284AC7C" w14:textId="77777777" w:rsidR="00F64AED" w:rsidRDefault="00F64AED" w:rsidP="00F64AED">
      <w:pPr>
        <w:pStyle w:val="Footnote"/>
        <w:bidi/>
      </w:pPr>
      <w:r>
        <w:rPr>
          <w:rStyle w:val="ac"/>
          <w:rtl/>
        </w:rPr>
        <w:footnoteRef/>
      </w:r>
      <w:r>
        <w:rPr>
          <w:rtl/>
        </w:rPr>
        <w:t>[ולפ"ז לא איירי בחיוב מזונות מדין נכיס מלוג, אלא התחייבות בעלמא. ויל"ד עפ"ז הגזירה בסוף העמ', דלא תליא באישות כלל].</w:t>
      </w:r>
    </w:p>
  </w:footnote>
  <w:footnote w:id="3949">
    <w:p w14:paraId="66DA1299" w14:textId="77777777" w:rsidR="00F64AED" w:rsidRDefault="00F64AED" w:rsidP="00F64AED">
      <w:pPr>
        <w:pStyle w:val="Footnote"/>
        <w:bidi/>
      </w:pPr>
      <w:r>
        <w:rPr>
          <w:rStyle w:val="ac"/>
          <w:rtl/>
        </w:rPr>
        <w:footnoteRef/>
      </w:r>
      <w:r>
        <w:rPr>
          <w:rtl/>
        </w:rPr>
        <w:t>ומ"מ לענין מתנות כהונה שאין בהם קדושה [זרוע לחיים וקיבה, פדיון הבן] נותנים לכהנת הנשואה לישראל (כדאמרי' חולין קלב, וכ"פ הרמב"ם בכורים ט כ). [ואילו חללה אינה אוכלת, שאין חללים בכלל כהנים].</w:t>
      </w:r>
    </w:p>
  </w:footnote>
  <w:footnote w:id="3950">
    <w:p w14:paraId="570853AB" w14:textId="77777777" w:rsidR="00F64AED" w:rsidRDefault="00F64AED" w:rsidP="00F64AED">
      <w:pPr>
        <w:pStyle w:val="Footnote"/>
        <w:bidi/>
      </w:pPr>
      <w:r>
        <w:rPr>
          <w:rStyle w:val="ac"/>
          <w:rtl/>
        </w:rPr>
        <w:footnoteRef/>
      </w:r>
      <w:r>
        <w:rPr>
          <w:rtl/>
        </w:rPr>
        <w:t>ושוב כתב דכהן מאכיל את אשתו משום מעשה הקנין, ולא משום קנין האישות [הו' לעיל].</w:t>
      </w:r>
    </w:p>
  </w:footnote>
  <w:footnote w:id="3951">
    <w:p w14:paraId="757EAA06" w14:textId="77777777" w:rsidR="00F64AED" w:rsidRDefault="00F64AED" w:rsidP="00F64AED">
      <w:pPr>
        <w:pStyle w:val="Footnote"/>
        <w:bidi/>
      </w:pPr>
      <w:r>
        <w:rPr>
          <w:rStyle w:val="ac"/>
          <w:rtl/>
        </w:rPr>
        <w:footnoteRef/>
      </w:r>
      <w:r>
        <w:rPr>
          <w:rtl/>
        </w:rPr>
        <w:t xml:space="preserve">וכמ"ש </w:t>
      </w:r>
      <w:r>
        <w:rPr>
          <w:b/>
          <w:bCs/>
          <w:rtl/>
        </w:rPr>
        <w:t>רשב"ם</w:t>
      </w:r>
      <w:r>
        <w:rPr>
          <w:rtl/>
        </w:rPr>
        <w:t xml:space="preserve"> (ב"ב נ) דקנין פירות כקנין הגוף דמי, וכאילו קנה גופו, שאין הגוף עומד אלא לפירותיו, והלכך ראשון קרוי אדון.</w:t>
      </w:r>
    </w:p>
  </w:footnote>
  <w:footnote w:id="3952">
    <w:p w14:paraId="174D9F65" w14:textId="77777777" w:rsidR="00F64AED" w:rsidRDefault="00F64AED" w:rsidP="00F64AED">
      <w:pPr>
        <w:pStyle w:val="Footnote"/>
        <w:bidi/>
      </w:pPr>
      <w:r>
        <w:rPr>
          <w:rStyle w:val="ac"/>
          <w:rtl/>
        </w:rPr>
        <w:footnoteRef/>
      </w:r>
      <w:r>
        <w:rPr>
          <w:rtl/>
        </w:rPr>
        <w:t>[והביא בשם ה</w:t>
      </w:r>
      <w:r>
        <w:rPr>
          <w:b/>
          <w:bCs/>
          <w:rtl/>
        </w:rPr>
        <w:t>גר"ח</w:t>
      </w:r>
      <w:r>
        <w:rPr>
          <w:rtl/>
        </w:rPr>
        <w:t xml:space="preserve"> דיש ב' גדרי בעלות, דיש דינים דבעי שיהא בעלים לשימוש הזה, וכגון כפל דסגי בבעלות לענין תביעת כפל, ונחשב זכות בחפץ. אבל דין קנס ל' של עבד תליא בהא דיש שם בעלות על החפץ].</w:t>
      </w:r>
    </w:p>
  </w:footnote>
  <w:footnote w:id="3953">
    <w:p w14:paraId="17E898DF" w14:textId="77777777" w:rsidR="00F64AED" w:rsidRDefault="00F64AED" w:rsidP="00F64AED">
      <w:pPr>
        <w:pStyle w:val="Footnote"/>
        <w:bidi/>
      </w:pPr>
      <w:r>
        <w:rPr>
          <w:rStyle w:val="ac"/>
          <w:rtl/>
        </w:rPr>
        <w:footnoteRef/>
      </w:r>
      <w:r>
        <w:rPr>
          <w:rtl/>
        </w:rPr>
        <w:t>וב</w:t>
      </w:r>
      <w:r>
        <w:rPr>
          <w:b/>
          <w:bCs/>
          <w:rtl/>
        </w:rPr>
        <w:t>חי' ושיע' רב"ב</w:t>
      </w:r>
      <w:r>
        <w:rPr>
          <w:rtl/>
        </w:rPr>
        <w:t xml:space="preserve"> הוסיף דהאכלת תרומה אינו מזכותי האדון להאכיל את עבדו, אלא דהוא דין העבד, כיון דהוה עבד של כהן.</w:t>
      </w:r>
    </w:p>
  </w:footnote>
  <w:footnote w:id="3954">
    <w:p w14:paraId="513D58CF" w14:textId="77777777" w:rsidR="00F64AED" w:rsidRDefault="00F64AED" w:rsidP="00F64AED">
      <w:pPr>
        <w:pStyle w:val="Footnote"/>
        <w:bidi/>
      </w:pPr>
      <w:r>
        <w:rPr>
          <w:rStyle w:val="ac"/>
          <w:rtl/>
        </w:rPr>
        <w:footnoteRef/>
      </w:r>
      <w:r>
        <w:rPr>
          <w:rtl/>
        </w:rPr>
        <w:t>ומשמע דהדין קנין כספו תליא בגדרי הקנין שבכל חפץ [ולא שיש ב' דרשות בקרא דקנין כספו].</w:t>
      </w:r>
    </w:p>
  </w:footnote>
  <w:footnote w:id="3955">
    <w:p w14:paraId="3984E713" w14:textId="77777777" w:rsidR="00F64AED" w:rsidRDefault="00F64AED" w:rsidP="00F64AED">
      <w:pPr>
        <w:pStyle w:val="Footnote"/>
        <w:bidi/>
      </w:pPr>
      <w:r>
        <w:rPr>
          <w:rStyle w:val="ac"/>
          <w:rtl/>
        </w:rPr>
        <w:footnoteRef/>
      </w:r>
      <w:r>
        <w:rPr>
          <w:rtl/>
        </w:rPr>
        <w:t>ולכאורה יהא תלוי בגדרי ק"פ כקה"ג.</w:t>
      </w:r>
    </w:p>
  </w:footnote>
  <w:footnote w:id="3956">
    <w:p w14:paraId="3AA190A1" w14:textId="77777777" w:rsidR="00F64AED" w:rsidRDefault="00F64AED" w:rsidP="00F64AED">
      <w:pPr>
        <w:pStyle w:val="Footnote"/>
        <w:bidi/>
      </w:pPr>
      <w:r>
        <w:rPr>
          <w:rStyle w:val="ac"/>
          <w:rtl/>
        </w:rPr>
        <w:footnoteRef/>
      </w:r>
      <w:r>
        <w:rPr>
          <w:rtl/>
        </w:rPr>
        <w:t>ולשון התוס' דמשמע דלמ"ד קנין פירות לאו כקה"ג ניחא טפי הוה לרבותא. ואתי מב' צדדים.</w:t>
      </w:r>
    </w:p>
  </w:footnote>
  <w:footnote w:id="3957">
    <w:p w14:paraId="63364A53" w14:textId="77777777" w:rsidR="00F64AED" w:rsidRDefault="00F64AED" w:rsidP="00F64AED">
      <w:pPr>
        <w:pStyle w:val="Footnote"/>
        <w:bidi/>
      </w:pPr>
      <w:r>
        <w:rPr>
          <w:rStyle w:val="ac"/>
          <w:rtl/>
        </w:rPr>
        <w:footnoteRef/>
      </w:r>
      <w:r>
        <w:rPr>
          <w:rtl/>
        </w:rPr>
        <w:t>ו</w:t>
      </w:r>
      <w:r>
        <w:rPr>
          <w:b/>
          <w:bCs/>
          <w:rtl/>
        </w:rPr>
        <w:t>תוס</w:t>
      </w:r>
      <w:r>
        <w:rPr>
          <w:rtl/>
        </w:rPr>
        <w:t>' הקשו ממ"ד מעוכב גט שחרור אוכל בתרומה, אבל ה</w:t>
      </w:r>
      <w:r>
        <w:rPr>
          <w:b/>
          <w:bCs/>
          <w:rtl/>
        </w:rPr>
        <w:t>גמ'</w:t>
      </w:r>
      <w:r>
        <w:rPr>
          <w:rtl/>
        </w:rPr>
        <w:t xml:space="preserve"> (גיטין מב:) מסתפקת האם אוכל בתרומה. וה</w:t>
      </w:r>
      <w:r>
        <w:rPr>
          <w:b/>
          <w:bCs/>
          <w:rtl/>
        </w:rPr>
        <w:t>קובה"ע</w:t>
      </w:r>
      <w:r>
        <w:rPr>
          <w:rtl/>
        </w:rPr>
        <w:t xml:space="preserve"> (מז ז) נקט דספק הגמ' בנידון זה, האם סגי בקנין איסור לחוד להאכיל בתרומה.</w:t>
      </w:r>
    </w:p>
    <w:p w14:paraId="34CE4A30" w14:textId="77777777" w:rsidR="00F64AED" w:rsidRDefault="00F64AED" w:rsidP="00F64AED">
      <w:pPr>
        <w:pStyle w:val="Footnote"/>
        <w:bidi/>
      </w:pPr>
      <w:r>
        <w:rPr>
          <w:rtl/>
        </w:rPr>
        <w:tab/>
        <w:t>אבל ה</w:t>
      </w:r>
      <w:r>
        <w:rPr>
          <w:b/>
          <w:bCs/>
          <w:rtl/>
        </w:rPr>
        <w:t>אבנ"מ</w:t>
      </w:r>
      <w:r>
        <w:rPr>
          <w:rtl/>
        </w:rPr>
        <w:t xml:space="preserve"> מבואר דספק הגמ' דמעוכב גט שחרור נחשב שאינו בעלים גמור כיון דכופין לשחררו, אבל אילו אין דין כופין לכו”ע אוכל. [וה</w:t>
      </w:r>
      <w:r>
        <w:rPr>
          <w:b/>
          <w:bCs/>
          <w:rtl/>
        </w:rPr>
        <w:t>זכר יצחק</w:t>
      </w:r>
      <w:r>
        <w:rPr>
          <w:rtl/>
        </w:rPr>
        <w:t xml:space="preserve"> (לא) הקשה דאשת כהן דכופין לגרש אוכלת בתרומה, כדתנן (לקמן ע.) דאשת פצוע דכא אוכלת, דכבר אכלה. ותי' דאשת כהן אוכלת מקרא דכל טהור בביתך].</w:t>
      </w:r>
    </w:p>
  </w:footnote>
  <w:footnote w:id="3958">
    <w:p w14:paraId="6900ECD3" w14:textId="77777777" w:rsidR="00F64AED" w:rsidRDefault="00F64AED" w:rsidP="00F64AED">
      <w:pPr>
        <w:pStyle w:val="Footnote"/>
        <w:bidi/>
      </w:pPr>
      <w:r>
        <w:rPr>
          <w:rStyle w:val="ac"/>
          <w:rtl/>
        </w:rPr>
        <w:footnoteRef/>
      </w:r>
      <w:r>
        <w:rPr>
          <w:rtl/>
        </w:rPr>
        <w:t>וה</w:t>
      </w:r>
      <w:r>
        <w:rPr>
          <w:b/>
          <w:bCs/>
          <w:rtl/>
        </w:rPr>
        <w:t>אמר"מ</w:t>
      </w:r>
      <w:r>
        <w:rPr>
          <w:rtl/>
        </w:rPr>
        <w:t xml:space="preserve"> (שם כ) כתב בארוסה הקנין ממון שייך לעצמה, ולכן אינו מגרע כלל. משא"כ בעבד דהממון ואיסור שייכי להדדי.</w:t>
      </w:r>
    </w:p>
  </w:footnote>
  <w:footnote w:id="3959">
    <w:p w14:paraId="638A4F3D" w14:textId="77777777" w:rsidR="00F64AED" w:rsidRDefault="00F64AED" w:rsidP="00F64AED">
      <w:pPr>
        <w:pStyle w:val="Footnote"/>
        <w:bidi/>
      </w:pPr>
      <w:r>
        <w:rPr>
          <w:rStyle w:val="ac"/>
          <w:rtl/>
        </w:rPr>
        <w:footnoteRef/>
      </w:r>
      <w:r>
        <w:rPr>
          <w:rtl/>
        </w:rPr>
        <w:t>ויל"ד אי כוונתם דאתינן עלה מטעם חדש ד'כל טהור בביתך'. אך בפשוטו משמע דהוה מדין קנין כספו, אלא דכיון דהאשה ראויה להתקדש, אמרי' דגדר קנין כספו שהיא מתקדשת.</w:t>
      </w:r>
    </w:p>
  </w:footnote>
  <w:footnote w:id="3960">
    <w:p w14:paraId="4C0EC947" w14:textId="77777777" w:rsidR="00F64AED" w:rsidRDefault="00F64AED" w:rsidP="00F64AED">
      <w:pPr>
        <w:pStyle w:val="Footnote"/>
        <w:bidi/>
      </w:pPr>
      <w:r>
        <w:rPr>
          <w:rStyle w:val="ac"/>
          <w:rtl/>
        </w:rPr>
        <w:footnoteRef/>
      </w:r>
      <w:r>
        <w:rPr>
          <w:rtl/>
        </w:rPr>
        <w:t>דלדעת שמואל מהני ע”מ שאין לרבו רשות בו. ולדעת רב דוקא כשאומר מה שאת נותנת לפיך.</w:t>
      </w:r>
    </w:p>
  </w:footnote>
  <w:footnote w:id="3961">
    <w:p w14:paraId="6E4C74C5" w14:textId="77777777" w:rsidR="00F64AED" w:rsidRDefault="00F64AED" w:rsidP="00F64AED">
      <w:pPr>
        <w:pStyle w:val="Footnote"/>
        <w:bidi/>
      </w:pPr>
      <w:r>
        <w:rPr>
          <w:rStyle w:val="ac"/>
          <w:rtl/>
        </w:rPr>
        <w:footnoteRef/>
      </w:r>
      <w:r>
        <w:rPr>
          <w:rtl/>
        </w:rPr>
        <w:t>ומשמע מדבריו דגדר 'קנין כספו' תלי' במעשה הקנין [והאחרונים לא נקטו כן]. [ויל"ד דכהן שירש מאבי אמו ישראל אין מעשה קנין].</w:t>
      </w:r>
    </w:p>
  </w:footnote>
  <w:footnote w:id="3962">
    <w:p w14:paraId="06288A74" w14:textId="77777777" w:rsidR="00F64AED" w:rsidRDefault="00F64AED" w:rsidP="00F64AED">
      <w:pPr>
        <w:pStyle w:val="Footnote"/>
        <w:bidi/>
      </w:pPr>
      <w:r>
        <w:rPr>
          <w:rStyle w:val="ac"/>
          <w:rtl/>
        </w:rPr>
        <w:footnoteRef/>
      </w:r>
      <w:r>
        <w:rPr>
          <w:rtl/>
        </w:rPr>
        <w:t>אבל ה</w:t>
      </w:r>
      <w:r>
        <w:rPr>
          <w:b/>
          <w:bCs/>
          <w:rtl/>
        </w:rPr>
        <w:t xml:space="preserve">רמב"ן </w:t>
      </w:r>
      <w:r>
        <w:rPr>
          <w:rtl/>
        </w:rPr>
        <w:t>גרס בירושלמי באופ"א, דאף כשאין לו זכות כלל. וה</w:t>
      </w:r>
      <w:r>
        <w:rPr>
          <w:b/>
          <w:bCs/>
          <w:rtl/>
        </w:rPr>
        <w:t>אחרונים</w:t>
      </w:r>
      <w:r>
        <w:rPr>
          <w:rtl/>
        </w:rPr>
        <w:t xml:space="preserve"> האריכו בזה.</w:t>
      </w:r>
    </w:p>
  </w:footnote>
  <w:footnote w:id="3963">
    <w:p w14:paraId="5C54325F" w14:textId="77777777" w:rsidR="00F64AED" w:rsidRDefault="00F64AED" w:rsidP="00F64AED">
      <w:pPr>
        <w:pStyle w:val="Footnote"/>
        <w:bidi/>
      </w:pPr>
      <w:r>
        <w:rPr>
          <w:rStyle w:val="ac"/>
          <w:rtl/>
        </w:rPr>
        <w:footnoteRef/>
      </w:r>
      <w:r>
        <w:rPr>
          <w:rtl/>
        </w:rPr>
        <w:t>וה</w:t>
      </w:r>
      <w:r>
        <w:rPr>
          <w:b/>
          <w:bCs/>
          <w:rtl/>
        </w:rPr>
        <w:t xml:space="preserve">רמב"ן </w:t>
      </w:r>
      <w:r>
        <w:rPr>
          <w:rtl/>
        </w:rPr>
        <w:t>הוסיף דאף מעוכב גט שחרור אוכל בתרומה [הו' בתוד”ה אלמנה], וה"ה קנינו אוכל. אף דאין לרבו בו קנין ממון כלל.</w:t>
      </w:r>
    </w:p>
  </w:footnote>
  <w:footnote w:id="3964">
    <w:p w14:paraId="251D4320" w14:textId="77777777" w:rsidR="00F64AED" w:rsidRDefault="00F64AED" w:rsidP="00F64AED">
      <w:pPr>
        <w:pStyle w:val="Footnote"/>
        <w:bidi/>
      </w:pPr>
      <w:r>
        <w:rPr>
          <w:rStyle w:val="ac"/>
          <w:rtl/>
        </w:rPr>
        <w:footnoteRef/>
      </w:r>
      <w:r>
        <w:rPr>
          <w:rtl/>
        </w:rPr>
        <w:t>ומשמע בדברי ה</w:t>
      </w:r>
      <w:r>
        <w:rPr>
          <w:b/>
          <w:bCs/>
          <w:rtl/>
        </w:rPr>
        <w:t>רשב”א</w:t>
      </w:r>
      <w:r>
        <w:rPr>
          <w:rtl/>
        </w:rPr>
        <w:t xml:space="preserve"> דהסברא שכתב לעיל דאשה האוכלת הוה ככהנת, שייך אף בעבד האוכל. אבל י"ל דזהו מה שתי' בסמוך.</w:t>
      </w:r>
    </w:p>
  </w:footnote>
  <w:footnote w:id="3965">
    <w:p w14:paraId="6EA4E994" w14:textId="77777777" w:rsidR="00F64AED" w:rsidRDefault="00F64AED" w:rsidP="00F64AED">
      <w:pPr>
        <w:pStyle w:val="Footnote"/>
        <w:bidi/>
      </w:pPr>
      <w:r>
        <w:rPr>
          <w:rStyle w:val="ac"/>
          <w:rtl/>
        </w:rPr>
        <w:footnoteRef/>
      </w:r>
      <w:r>
        <w:rPr>
          <w:rtl/>
        </w:rPr>
        <w:t>והמנח"ח כת' שהוא דבר חדש שחידש החינוך מסברא, ולא מצא גילוי בש"ס או ברמב"ם. ודן עפ"ז בדברי התוס' (ד"ה מנין).</w:t>
      </w:r>
    </w:p>
  </w:footnote>
  <w:footnote w:id="3966">
    <w:p w14:paraId="47A1D37E" w14:textId="77777777" w:rsidR="00F64AED" w:rsidRDefault="00F64AED" w:rsidP="00F64AED">
      <w:pPr>
        <w:pStyle w:val="Footnote"/>
        <w:bidi/>
      </w:pPr>
      <w:r>
        <w:rPr>
          <w:rStyle w:val="ac"/>
          <w:rtl/>
        </w:rPr>
        <w:footnoteRef/>
      </w:r>
      <w:r>
        <w:rPr>
          <w:rtl/>
        </w:rPr>
        <w:t>כיון דצריך ריבוי אף לקנין הקנין. ומרבינן רק שהשני אוכל בתרומה, ואין לנו מקור שהוא אף מאכיל אחרים.</w:t>
      </w:r>
    </w:p>
    <w:p w14:paraId="263B6503" w14:textId="77777777" w:rsidR="00F64AED" w:rsidRDefault="00F64AED" w:rsidP="00F64AED">
      <w:pPr>
        <w:pStyle w:val="Footnote"/>
        <w:bidi/>
      </w:pPr>
      <w:r>
        <w:rPr>
          <w:rtl/>
        </w:rPr>
        <w:tab/>
        <w:t>וגם לצד דגדר אכילת קנין קנינו הוא מחמת האדון הראשון, י"ל דהשלישי מרוחק טפי. ואין לנו מקור לרבותו.</w:t>
      </w:r>
    </w:p>
  </w:footnote>
  <w:footnote w:id="3967">
    <w:p w14:paraId="4F9EEE91" w14:textId="77777777" w:rsidR="00F64AED" w:rsidRDefault="00F64AED" w:rsidP="00F64AED">
      <w:pPr>
        <w:pStyle w:val="Footnote"/>
        <w:bidi/>
      </w:pPr>
      <w:r>
        <w:rPr>
          <w:rStyle w:val="ac"/>
          <w:rtl/>
        </w:rPr>
        <w:footnoteRef/>
      </w:r>
      <w:r>
        <w:rPr>
          <w:rtl/>
        </w:rPr>
        <w:t>וכמו דנכרי אינו קונה כקה"ג (לעי' מז.).</w:t>
      </w:r>
    </w:p>
  </w:footnote>
  <w:footnote w:id="3968">
    <w:p w14:paraId="1F331FA6" w14:textId="77777777" w:rsidR="00F64AED" w:rsidRDefault="00F64AED" w:rsidP="00F64AED">
      <w:pPr>
        <w:pStyle w:val="Footnote"/>
        <w:bidi/>
      </w:pPr>
      <w:r>
        <w:rPr>
          <w:rStyle w:val="ac"/>
          <w:rtl/>
        </w:rPr>
        <w:footnoteRef/>
      </w:r>
      <w:r>
        <w:rPr>
          <w:rtl/>
        </w:rPr>
        <w:t>וכמ"ש האבנ"מ ע"פ דברי התוס'. [אבל לולי דבריו י"ל דסגי בהא דיש לו קנין מעש"י (ע' לעיל מז.), ונחשב כבעלים לענין להאכיל בתרומה].</w:t>
      </w:r>
    </w:p>
  </w:footnote>
  <w:footnote w:id="3969">
    <w:p w14:paraId="0751D729" w14:textId="77777777" w:rsidR="00F64AED" w:rsidRDefault="00F64AED" w:rsidP="00F64AED">
      <w:pPr>
        <w:pStyle w:val="Footnote"/>
        <w:bidi/>
      </w:pPr>
      <w:r>
        <w:rPr>
          <w:rStyle w:val="ac"/>
          <w:rtl/>
        </w:rPr>
        <w:footnoteRef/>
      </w:r>
      <w:r>
        <w:rPr>
          <w:rtl/>
        </w:rPr>
        <w:t>ונקטו דעבד שלא טבל אוכל בתרומה, וצ"ע דיש עליו שם 'ערל'. וערל אינו אוכל בתרומה.</w:t>
      </w:r>
    </w:p>
  </w:footnote>
  <w:footnote w:id="3970">
    <w:p w14:paraId="69B7E7AE" w14:textId="77777777" w:rsidR="00F64AED" w:rsidRDefault="00F64AED" w:rsidP="00F64AED">
      <w:pPr>
        <w:pStyle w:val="Footnote"/>
        <w:bidi/>
      </w:pPr>
      <w:r>
        <w:rPr>
          <w:rStyle w:val="ac"/>
          <w:rtl/>
        </w:rPr>
        <w:footnoteRef/>
      </w:r>
      <w:r>
        <w:rPr>
          <w:rtl/>
        </w:rPr>
        <w:t>ואף שאר מ"ד ס"ל דיש חילוק בין קנין האוכל לקנין שאינו אוכל.</w:t>
      </w:r>
    </w:p>
  </w:footnote>
  <w:footnote w:id="3971">
    <w:p w14:paraId="4F3FE95C" w14:textId="77777777" w:rsidR="00F64AED" w:rsidRDefault="00F64AED" w:rsidP="00F64AED">
      <w:pPr>
        <w:pStyle w:val="Footnote"/>
        <w:bidi/>
      </w:pPr>
      <w:r>
        <w:rPr>
          <w:rStyle w:val="ac"/>
          <w:rtl/>
        </w:rPr>
        <w:footnoteRef/>
      </w:r>
      <w:r>
        <w:rPr>
          <w:rtl/>
        </w:rPr>
        <w:t>ולפ"ז באופן שהקנין הראשון אינו אוכל, אף דאיתרבי שהקנין השני אוכל, אבל קנין שלישי ורביעי לא יאכלו מדאורייתא. [ובזה הסכים המנח"ח לסברת החינוך]. אמנם יותר נראה דגדר הילפותא דגלי קרא דאף כשאינו אוכל מאכיל, וע"כ דאוכל מחמת האדון. ואף קנין שלישי ורביעי יאכלו גם כשהקנין הראשון אינו אוכל.</w:t>
      </w:r>
    </w:p>
  </w:footnote>
  <w:footnote w:id="3972">
    <w:p w14:paraId="61E83E85" w14:textId="77777777" w:rsidR="00F64AED" w:rsidRDefault="00F64AED" w:rsidP="00F64AED">
      <w:pPr>
        <w:pStyle w:val="Footnote"/>
        <w:bidi/>
      </w:pPr>
      <w:r>
        <w:rPr>
          <w:rStyle w:val="ac"/>
          <w:rtl/>
        </w:rPr>
        <w:footnoteRef/>
      </w:r>
      <w:r>
        <w:rPr>
          <w:rtl/>
        </w:rPr>
        <w:t>וה</w:t>
      </w:r>
      <w:r>
        <w:rPr>
          <w:b/>
          <w:bCs/>
          <w:rtl/>
        </w:rPr>
        <w:t xml:space="preserve">מנח"ח </w:t>
      </w:r>
      <w:r>
        <w:rPr>
          <w:rtl/>
        </w:rPr>
        <w:t>(רפ כז) נסתפק אם עברו ואכלו האם חייבין בקרן וחומש, או דינם כמו האשה עצמה דאינה חייבת בתשלומי תרומה (כדתנן תרומות ז ב) [ע"ע לקמן סח:], ויש לעבד דין כהונה כמותה.</w:t>
      </w:r>
    </w:p>
  </w:footnote>
  <w:footnote w:id="3973">
    <w:p w14:paraId="25B354D3" w14:textId="77777777" w:rsidR="00F64AED" w:rsidRDefault="00F64AED" w:rsidP="00F64AED">
      <w:pPr>
        <w:pStyle w:val="Footnote"/>
        <w:bidi/>
      </w:pPr>
      <w:r>
        <w:rPr>
          <w:rStyle w:val="ac"/>
          <w:rtl/>
        </w:rPr>
        <w:footnoteRef/>
      </w:r>
      <w:r>
        <w:rPr>
          <w:rtl/>
        </w:rPr>
        <w:t>ולרבינא דוקא ב'קנין' אמרי' כן. ויל"פ דנחשב הקנין הראשון הוא המאכיל [וכמ”ש המנח”ח], אבל אכילה מחמת זרע הוה רק גורם ותנאי להאכלה, ועצם האכילה מחמת אביו [ולכן אף ממזר מאכיל]. ועוד דדוקא באכילה ע"י קנינו בעי שיהא אוכל.</w:t>
      </w:r>
    </w:p>
  </w:footnote>
  <w:footnote w:id="3974">
    <w:p w14:paraId="6BC9FAB1" w14:textId="77777777" w:rsidR="00F64AED" w:rsidRDefault="00F64AED" w:rsidP="00F64AED">
      <w:pPr>
        <w:pStyle w:val="Footnote"/>
        <w:bidi/>
      </w:pPr>
      <w:r>
        <w:rPr>
          <w:rStyle w:val="ac"/>
          <w:rtl/>
        </w:rPr>
        <w:footnoteRef/>
      </w:r>
      <w:r>
        <w:rPr>
          <w:rtl/>
        </w:rPr>
        <w:t>ולא נחשב אפי' משתמרת לביאה פסולה.</w:t>
      </w:r>
    </w:p>
  </w:footnote>
  <w:footnote w:id="3975">
    <w:p w14:paraId="3EA3428D" w14:textId="77777777" w:rsidR="00F64AED" w:rsidRDefault="00F64AED" w:rsidP="00F64AED">
      <w:pPr>
        <w:pStyle w:val="Footnote"/>
        <w:bidi/>
      </w:pPr>
      <w:r>
        <w:rPr>
          <w:rStyle w:val="ac"/>
          <w:rtl/>
        </w:rPr>
        <w:footnoteRef/>
      </w:r>
      <w:r>
        <w:rPr>
          <w:rtl/>
        </w:rPr>
        <w:t xml:space="preserve">וכן נקט </w:t>
      </w:r>
      <w:r>
        <w:rPr>
          <w:b/>
          <w:bCs/>
          <w:rtl/>
        </w:rPr>
        <w:t>רע"א</w:t>
      </w:r>
      <w:r>
        <w:rPr>
          <w:rtl/>
        </w:rPr>
        <w:t xml:space="preserve"> (שם) דהקשה דאף מלך נחשב 'פומייהו כאיב', ואף דאינו ראוי לתיקון לחליצה. [וע' קובה"ע ה ד,ה,יג].</w:t>
      </w:r>
    </w:p>
  </w:footnote>
  <w:footnote w:id="3976">
    <w:p w14:paraId="183CE495" w14:textId="77777777" w:rsidR="00F64AED" w:rsidRDefault="00F64AED" w:rsidP="00F64AED">
      <w:pPr>
        <w:pStyle w:val="Footnote"/>
        <w:bidi/>
      </w:pPr>
      <w:r>
        <w:rPr>
          <w:rStyle w:val="ac"/>
          <w:rtl/>
        </w:rPr>
        <w:footnoteRef/>
      </w:r>
      <w:r>
        <w:rPr>
          <w:rtl/>
        </w:rPr>
        <w:t xml:space="preserve">אבל </w:t>
      </w:r>
      <w:r>
        <w:rPr>
          <w:b/>
          <w:bCs/>
          <w:rtl/>
        </w:rPr>
        <w:t>רש”י</w:t>
      </w:r>
      <w:r>
        <w:rPr>
          <w:rtl/>
        </w:rPr>
        <w:t xml:space="preserve"> תלה בהא דעומד ליתקן. ומבואר דאף חסרון בהיכי תמצא נחשב 'אינו אוכל'].</w:t>
      </w:r>
    </w:p>
  </w:footnote>
  <w:footnote w:id="3977">
    <w:p w14:paraId="7319D4EF" w14:textId="77777777" w:rsidR="00F64AED" w:rsidRDefault="00F64AED" w:rsidP="00F64AED">
      <w:pPr>
        <w:pStyle w:val="Footnote"/>
        <w:bidi/>
      </w:pPr>
      <w:r>
        <w:rPr>
          <w:rStyle w:val="ac"/>
          <w:rtl/>
        </w:rPr>
        <w:footnoteRef/>
      </w:r>
      <w:r>
        <w:rPr>
          <w:rtl/>
        </w:rPr>
        <w:t>ו</w:t>
      </w:r>
      <w:r>
        <w:rPr>
          <w:b/>
          <w:bCs/>
          <w:rtl/>
        </w:rPr>
        <w:t>תוס</w:t>
      </w:r>
      <w:r>
        <w:rPr>
          <w:rtl/>
        </w:rPr>
        <w:t>' (שם) כת' דיצא מרשות בעלים לגמרי כשאר מלוה. אלא הוה חוב להחזירו.</w:t>
      </w:r>
    </w:p>
  </w:footnote>
  <w:footnote w:id="3978">
    <w:p w14:paraId="410AC67E" w14:textId="77777777" w:rsidR="00F64AED" w:rsidRDefault="00F64AED" w:rsidP="00F64AED">
      <w:pPr>
        <w:pStyle w:val="Footnote"/>
        <w:bidi/>
      </w:pPr>
      <w:r>
        <w:rPr>
          <w:rStyle w:val="ac"/>
          <w:rtl/>
        </w:rPr>
        <w:footnoteRef/>
      </w:r>
      <w:r>
        <w:rPr>
          <w:rtl/>
        </w:rPr>
        <w:t xml:space="preserve">ויש </w:t>
      </w:r>
      <w:r>
        <w:rPr>
          <w:b/>
          <w:bCs/>
          <w:rtl/>
        </w:rPr>
        <w:t>ראשונים</w:t>
      </w:r>
      <w:r>
        <w:rPr>
          <w:rtl/>
        </w:rPr>
        <w:t xml:space="preserve"> (ע' רמב"ן ותוס' ר"פ שם) דמבואר דאיירי שמחזירו בעין. ואפ"ה יש בזה משום ריבית. אבל ה</w:t>
      </w:r>
      <w:r>
        <w:rPr>
          <w:b/>
          <w:bCs/>
          <w:rtl/>
        </w:rPr>
        <w:t>ריטב"א</w:t>
      </w:r>
      <w:r>
        <w:rPr>
          <w:rtl/>
        </w:rPr>
        <w:t xml:space="preserve"> (שם) כת' [בדעת רש”י] דאיירי שיכול לסלקו בזוזי. אלא דסתמא דמילתא יחזיר בעין. [וה</w:t>
      </w:r>
      <w:r>
        <w:rPr>
          <w:b/>
          <w:bCs/>
          <w:rtl/>
        </w:rPr>
        <w:t>ריטב"א ישנים</w:t>
      </w:r>
      <w:r>
        <w:rPr>
          <w:rtl/>
        </w:rPr>
        <w:t xml:space="preserve"> (שם) כת' דכיון דמחזיר בעין לאו הלואה גמורה היא].</w:t>
      </w:r>
    </w:p>
  </w:footnote>
  <w:footnote w:id="3979">
    <w:p w14:paraId="556D9861" w14:textId="77777777" w:rsidR="00F64AED" w:rsidRDefault="00F64AED" w:rsidP="00F64AED">
      <w:pPr>
        <w:pStyle w:val="Footnote"/>
        <w:bidi/>
      </w:pPr>
      <w:r>
        <w:rPr>
          <w:rStyle w:val="ac"/>
          <w:rtl/>
        </w:rPr>
        <w:footnoteRef/>
      </w:r>
      <w:r>
        <w:rPr>
          <w:rtl/>
        </w:rPr>
        <w:t>והגמ' מק' דמבואר דמקבל צאן ברזל מנכרי אינו חייב בבכורה [ומבואר דעדיין נחשב של העכו"ם]. והגמ' דוחה דאפ”ה נחשב יד נכרי באמצע, דאי לא יהיב זוזי אתי נכרי ותפיס לבהמה.</w:t>
      </w:r>
    </w:p>
  </w:footnote>
  <w:footnote w:id="3980">
    <w:p w14:paraId="687B9B73" w14:textId="77777777" w:rsidR="00F64AED" w:rsidRDefault="00F64AED" w:rsidP="00F64AED">
      <w:pPr>
        <w:pStyle w:val="Footnote"/>
        <w:bidi/>
      </w:pPr>
      <w:r>
        <w:rPr>
          <w:rStyle w:val="ac"/>
          <w:rtl/>
        </w:rPr>
        <w:footnoteRef/>
      </w:r>
      <w:r>
        <w:rPr>
          <w:rtl/>
        </w:rPr>
        <w:t>וכ"כ ה</w:t>
      </w:r>
      <w:r>
        <w:rPr>
          <w:b/>
          <w:bCs/>
          <w:rtl/>
        </w:rPr>
        <w:t>חזו"א</w:t>
      </w:r>
      <w:r>
        <w:rPr>
          <w:rtl/>
        </w:rPr>
        <w:t xml:space="preserve"> (בכורות יט א, וחו”מ ליק' ז כב) דהנידון לפרש את האומדנא, דסתמא כפירושו שנתכוון לקנות את הצאן מעכשיו.</w:t>
      </w:r>
    </w:p>
  </w:footnote>
  <w:footnote w:id="3981">
    <w:p w14:paraId="69077F4A" w14:textId="77777777" w:rsidR="00F64AED" w:rsidRDefault="00F64AED" w:rsidP="00F64AED">
      <w:pPr>
        <w:pStyle w:val="Footnote"/>
        <w:bidi/>
      </w:pPr>
      <w:r>
        <w:rPr>
          <w:rStyle w:val="ac"/>
          <w:rtl/>
        </w:rPr>
        <w:footnoteRef/>
      </w:r>
      <w:r>
        <w:rPr>
          <w:rtl/>
        </w:rPr>
        <w:t>וכדאמרי' בסמוך דנחשב בעלות לענין תרומה (וע' בסמוך).</w:t>
      </w:r>
    </w:p>
  </w:footnote>
  <w:footnote w:id="3982">
    <w:p w14:paraId="5FAB2507" w14:textId="77777777" w:rsidR="00F64AED" w:rsidRDefault="00F64AED" w:rsidP="00F64AED">
      <w:pPr>
        <w:pStyle w:val="Footnote"/>
        <w:bidi/>
      </w:pPr>
      <w:r>
        <w:rPr>
          <w:rStyle w:val="ac"/>
          <w:rtl/>
        </w:rPr>
        <w:footnoteRef/>
      </w:r>
      <w:r>
        <w:rPr>
          <w:rtl/>
        </w:rPr>
        <w:t>וכ”כ ה</w:t>
      </w:r>
      <w:r>
        <w:rPr>
          <w:b/>
          <w:bCs/>
          <w:rtl/>
        </w:rPr>
        <w:t>מאירי</w:t>
      </w:r>
      <w:r>
        <w:rPr>
          <w:rtl/>
        </w:rPr>
        <w:t xml:space="preserve"> בשם </w:t>
      </w:r>
      <w:r>
        <w:rPr>
          <w:b/>
          <w:bCs/>
          <w:rtl/>
        </w:rPr>
        <w:t>גדולי</w:t>
      </w:r>
      <w:r>
        <w:rPr>
          <w:rtl/>
        </w:rPr>
        <w:t xml:space="preserve"> </w:t>
      </w:r>
      <w:r>
        <w:rPr>
          <w:b/>
          <w:bCs/>
          <w:rtl/>
        </w:rPr>
        <w:t>הדורות</w:t>
      </w:r>
      <w:r>
        <w:rPr>
          <w:rtl/>
        </w:rPr>
        <w:t xml:space="preserve"> דהא דאמרו ליטול כליה משום תקנתא דידה, דשבח בית אביה.</w:t>
      </w:r>
    </w:p>
  </w:footnote>
  <w:footnote w:id="3983">
    <w:p w14:paraId="43B87401" w14:textId="77777777" w:rsidR="00F64AED" w:rsidRDefault="00F64AED" w:rsidP="00F64AED">
      <w:pPr>
        <w:pStyle w:val="Footnote"/>
        <w:bidi/>
      </w:pPr>
      <w:r>
        <w:rPr>
          <w:rStyle w:val="ac"/>
          <w:rtl/>
        </w:rPr>
        <w:footnoteRef/>
      </w:r>
      <w:r>
        <w:rPr>
          <w:rtl/>
        </w:rPr>
        <w:t>שבח בית אביה. ה</w:t>
      </w:r>
      <w:r>
        <w:rPr>
          <w:b/>
          <w:bCs/>
          <w:rtl/>
        </w:rPr>
        <w:t>נמוק"י</w:t>
      </w:r>
      <w:r>
        <w:rPr>
          <w:rtl/>
        </w:rPr>
        <w:t xml:space="preserve"> פי' שיאהבנה בעל שני ויהיה לכבוד ולתפארת לאביה שנתנה לו כלים חשובים כאלה.</w:t>
      </w:r>
    </w:p>
  </w:footnote>
  <w:footnote w:id="3984">
    <w:p w14:paraId="16472AE0" w14:textId="77777777" w:rsidR="00F64AED" w:rsidRDefault="00F64AED" w:rsidP="00F64AED">
      <w:pPr>
        <w:pStyle w:val="Footnote"/>
        <w:bidi/>
      </w:pPr>
      <w:r>
        <w:rPr>
          <w:rStyle w:val="ac"/>
          <w:rtl/>
        </w:rPr>
        <w:footnoteRef/>
      </w:r>
      <w:r>
        <w:rPr>
          <w:rtl/>
        </w:rPr>
        <w:t>אבל ב</w:t>
      </w:r>
      <w:r>
        <w:rPr>
          <w:b/>
          <w:bCs/>
          <w:rtl/>
        </w:rPr>
        <w:t>רמב"ן</w:t>
      </w:r>
      <w:r>
        <w:rPr>
          <w:rtl/>
        </w:rPr>
        <w:t xml:space="preserve"> ו</w:t>
      </w:r>
      <w:r>
        <w:rPr>
          <w:b/>
          <w:bCs/>
          <w:rtl/>
        </w:rPr>
        <w:t>תוס' ר"פ</w:t>
      </w:r>
      <w:r>
        <w:rPr>
          <w:rtl/>
        </w:rPr>
        <w:t xml:space="preserve"> (ב"מ ע:) מבואר דמחזירו בעין. וע"ע ריטב"א שם.</w:t>
      </w:r>
    </w:p>
  </w:footnote>
  <w:footnote w:id="3985">
    <w:p w14:paraId="4344850D" w14:textId="77777777" w:rsidR="00F64AED" w:rsidRDefault="00F64AED" w:rsidP="00F64AED">
      <w:pPr>
        <w:pStyle w:val="Footnote"/>
        <w:bidi/>
      </w:pPr>
      <w:r>
        <w:rPr>
          <w:rStyle w:val="ac"/>
          <w:rtl/>
        </w:rPr>
        <w:footnoteRef/>
      </w:r>
      <w:r>
        <w:rPr>
          <w:rtl/>
        </w:rPr>
        <w:t>וה</w:t>
      </w:r>
      <w:r>
        <w:rPr>
          <w:b/>
          <w:bCs/>
          <w:rtl/>
        </w:rPr>
        <w:t>קרנ"ר</w:t>
      </w:r>
      <w:r>
        <w:rPr>
          <w:rtl/>
        </w:rPr>
        <w:t xml:space="preserve"> (שם) תי' דכוונת הגמ' דאילו יבואו לקונסו [שיצא לחירות מחמת מכירת העבד], א"כ לא ירצה ליתן דמים.</w:t>
      </w:r>
    </w:p>
  </w:footnote>
  <w:footnote w:id="3986">
    <w:p w14:paraId="36B12DF9" w14:textId="77777777" w:rsidR="00F64AED" w:rsidRDefault="00F64AED" w:rsidP="00F64AED">
      <w:pPr>
        <w:pStyle w:val="Footnote"/>
        <w:bidi/>
      </w:pPr>
      <w:r>
        <w:rPr>
          <w:rStyle w:val="ac"/>
          <w:rtl/>
        </w:rPr>
        <w:footnoteRef/>
      </w:r>
      <w:r>
        <w:rPr>
          <w:rtl/>
        </w:rPr>
        <w:t>[ועד"ז מבואר בריטב"א ע:]. ולכאורה מבואר דיש לה בעלות [שעבוד הגוף] על החפץ כל זמן שאינו מסלקו במילתא אחריתי. אך א"כ הבעל אינו יכול למוכרו כל זמן שלא סילק במילתא אחריתי, וקצת קשה מהא דאמרי' תניא כוותיה דר' יהודה [בסמוך].</w:t>
      </w:r>
    </w:p>
  </w:footnote>
  <w:footnote w:id="3987">
    <w:p w14:paraId="463D72A9" w14:textId="77777777" w:rsidR="00F64AED" w:rsidRDefault="00F64AED" w:rsidP="00F64AED">
      <w:pPr>
        <w:pStyle w:val="Footnote"/>
        <w:bidi/>
      </w:pPr>
      <w:r>
        <w:rPr>
          <w:rStyle w:val="ac"/>
          <w:rtl/>
        </w:rPr>
        <w:footnoteRef/>
      </w:r>
      <w:r>
        <w:rPr>
          <w:rtl/>
        </w:rPr>
        <w:t>משמע דאין לה תביעה לקבל כסף, וכ</w:t>
      </w:r>
      <w:r>
        <w:rPr>
          <w:b/>
          <w:bCs/>
          <w:rtl/>
        </w:rPr>
        <w:t xml:space="preserve">ריב"ש </w:t>
      </w:r>
      <w:r>
        <w:rPr>
          <w:rtl/>
        </w:rPr>
        <w:t>ודלא כתוס' חד מקמאי [א"נ כוונתם דבסתמא התביעה על מעות].</w:t>
      </w:r>
    </w:p>
  </w:footnote>
  <w:footnote w:id="3988">
    <w:p w14:paraId="3E64A8FE" w14:textId="77777777" w:rsidR="00F64AED" w:rsidRDefault="00F64AED" w:rsidP="00F64AED">
      <w:pPr>
        <w:pStyle w:val="Footnote"/>
        <w:bidi/>
      </w:pPr>
      <w:r>
        <w:rPr>
          <w:rStyle w:val="ac"/>
          <w:rtl/>
        </w:rPr>
        <w:footnoteRef/>
      </w:r>
      <w:r>
        <w:rPr>
          <w:rtl/>
        </w:rPr>
        <w:t>ועוד תי' ה</w:t>
      </w:r>
      <w:r>
        <w:rPr>
          <w:b/>
          <w:bCs/>
          <w:rtl/>
        </w:rPr>
        <w:t>אבנ"נ</w:t>
      </w:r>
      <w:r>
        <w:rPr>
          <w:rtl/>
        </w:rPr>
        <w:t xml:space="preserve"> (תמב ד) דכיון דאינו יכול לסלקו בזוזי אמרי' למפרע הוא גובה, ולכן אף דקודם גביה הוה של הבעל, מ"מ קושיית הגמ' שיאסר לאכול בתרומה דכיון שגבאו הוה של האשה למפרע ונמצא דאכל תרומה שלא כדין. [אבל ב</w:t>
      </w:r>
      <w:r>
        <w:rPr>
          <w:b/>
          <w:bCs/>
          <w:rtl/>
        </w:rPr>
        <w:t>חי' ר' שמעון (</w:t>
      </w:r>
      <w:r>
        <w:rPr>
          <w:rtl/>
        </w:rPr>
        <w:t>מערכת</w:t>
      </w:r>
      <w:r>
        <w:rPr>
          <w:b/>
          <w:bCs/>
          <w:rtl/>
        </w:rPr>
        <w:t xml:space="preserve"> </w:t>
      </w:r>
      <w:r>
        <w:rPr>
          <w:rtl/>
        </w:rPr>
        <w:t>הקנינים יא) נקט דלמפרע הוא גובה הוא רק כלפי המצב בחפץ שנגבה בפועל. והזמן של עד עכשיו אינו נגבה למפרע].</w:t>
      </w:r>
    </w:p>
  </w:footnote>
  <w:footnote w:id="3989">
    <w:p w14:paraId="36B3EBD2" w14:textId="77777777" w:rsidR="00F64AED" w:rsidRDefault="00F64AED" w:rsidP="00F64AED">
      <w:pPr>
        <w:pStyle w:val="Footnote"/>
        <w:bidi/>
      </w:pPr>
      <w:r>
        <w:rPr>
          <w:rStyle w:val="ac"/>
          <w:rtl/>
        </w:rPr>
        <w:footnoteRef/>
      </w:r>
      <w:r>
        <w:rPr>
          <w:rtl/>
        </w:rPr>
        <w:t>וכ"כ ה</w:t>
      </w:r>
      <w:r>
        <w:rPr>
          <w:b/>
          <w:bCs/>
          <w:rtl/>
        </w:rPr>
        <w:t>בית מאיר</w:t>
      </w:r>
      <w:r>
        <w:rPr>
          <w:rtl/>
        </w:rPr>
        <w:t xml:space="preserve"> (קטו). וכתב דהבעל אינו חייב בשמירה משום דהוה בבעלים [וכנכסי מלוג].</w:t>
      </w:r>
    </w:p>
  </w:footnote>
  <w:footnote w:id="3990">
    <w:p w14:paraId="2F6A9F12" w14:textId="77777777" w:rsidR="00F64AED" w:rsidRDefault="00F64AED" w:rsidP="00F64AED">
      <w:pPr>
        <w:pStyle w:val="Footnote"/>
        <w:bidi/>
      </w:pPr>
      <w:r>
        <w:rPr>
          <w:rStyle w:val="ac"/>
          <w:rtl/>
        </w:rPr>
        <w:footnoteRef/>
      </w:r>
      <w:r>
        <w:rPr>
          <w:rtl/>
        </w:rPr>
        <w:t>וב</w:t>
      </w:r>
      <w:r>
        <w:rPr>
          <w:b/>
          <w:bCs/>
          <w:rtl/>
        </w:rPr>
        <w:t>חי' ר' שמעון</w:t>
      </w:r>
      <w:r>
        <w:rPr>
          <w:rtl/>
        </w:rPr>
        <w:t xml:space="preserve"> (קו' השעבודים א) ביאר דנחשב שקנהו קנין גמור, והוה חוב להחזיר חפץ מסויים. [ומשמע דכוונתו דעי"ז נחשב שיש לה בעלות בעתיד, ובזה נח' האם מגרע לענין אכילת תרומה].</w:t>
      </w:r>
    </w:p>
  </w:footnote>
  <w:footnote w:id="3991">
    <w:p w14:paraId="28654FD4" w14:textId="77777777" w:rsidR="00F64AED" w:rsidRDefault="00F64AED" w:rsidP="00F64AED">
      <w:pPr>
        <w:pStyle w:val="Footnote"/>
        <w:bidi/>
      </w:pPr>
      <w:r>
        <w:rPr>
          <w:rStyle w:val="ac"/>
          <w:rtl/>
        </w:rPr>
        <w:footnoteRef/>
      </w:r>
      <w:r>
        <w:rPr>
          <w:rtl/>
        </w:rPr>
        <w:t>[ולכן כתב כשהאשה מתה אי"צ לדין ירושה, ונח' בזה האחרונים, וע' מש"כ בזה לעיל לח.].</w:t>
      </w:r>
    </w:p>
  </w:footnote>
  <w:footnote w:id="3992">
    <w:p w14:paraId="51B44D22" w14:textId="77777777" w:rsidR="00F64AED" w:rsidRDefault="00F64AED" w:rsidP="00F64AED">
      <w:pPr>
        <w:pStyle w:val="Footnote"/>
        <w:bidi/>
      </w:pPr>
      <w:r>
        <w:rPr>
          <w:rStyle w:val="ac"/>
          <w:rtl/>
        </w:rPr>
        <w:footnoteRef/>
      </w:r>
      <w:r>
        <w:rPr>
          <w:rtl/>
        </w:rPr>
        <w:t>ולא דמי לבל יראה, דילפי' דתלי ברשותו ואחריותו. ומשום גזיה"כ.</w:t>
      </w:r>
    </w:p>
  </w:footnote>
  <w:footnote w:id="3993">
    <w:p w14:paraId="0CFFF862" w14:textId="77777777" w:rsidR="00F64AED" w:rsidRDefault="00F64AED" w:rsidP="00F64AED">
      <w:pPr>
        <w:pStyle w:val="Footnote"/>
        <w:bidi/>
      </w:pPr>
      <w:r>
        <w:rPr>
          <w:rStyle w:val="ac"/>
          <w:rtl/>
        </w:rPr>
        <w:footnoteRef/>
      </w:r>
      <w:r>
        <w:rPr>
          <w:rtl/>
        </w:rPr>
        <w:t>ועפ"ז ביאר דאף אצל יורשים, דהיורשים אינם חייבין באחריות. ואפ"ה יש להם עדיין זכות זה [כדמבואר בסמוך]. וע"ד הא דאי' בשואל פרה (כתובות לד:) דהיורשין זוכין בזכות שאלה בלא חיוב האחריות, אף דזכות החפץ תלי באחריות.</w:t>
      </w:r>
    </w:p>
  </w:footnote>
  <w:footnote w:id="3994">
    <w:p w14:paraId="52E871B6" w14:textId="77777777" w:rsidR="00F64AED" w:rsidRDefault="00F64AED" w:rsidP="00F64AED">
      <w:pPr>
        <w:pStyle w:val="Footnote"/>
        <w:bidi/>
      </w:pPr>
      <w:r>
        <w:rPr>
          <w:rStyle w:val="ac"/>
          <w:rtl/>
        </w:rPr>
        <w:footnoteRef/>
      </w:r>
      <w:r>
        <w:rPr>
          <w:rtl/>
        </w:rPr>
        <w:t xml:space="preserve">וכעי"ז מצאנו למ"ד דבר הגורם לממון כממון כממון דמי, דנחשב החפץ כממון שלו, כיון דיש לו זכות על החפץ. ולמ"ד דגורם לממון לאו כממון, זכות זה לא נחשב גוף החפץ. </w:t>
      </w:r>
      <w:r>
        <w:rPr>
          <w:rtl/>
        </w:rPr>
        <w:tab/>
        <w:t>וה</w:t>
      </w:r>
      <w:r>
        <w:rPr>
          <w:b/>
          <w:bCs/>
          <w:rtl/>
        </w:rPr>
        <w:t>אחרונים</w:t>
      </w:r>
      <w:r>
        <w:rPr>
          <w:rtl/>
        </w:rPr>
        <w:t xml:space="preserve"> דנו ביסוד הדבר, האם הוא סברא דעי"ז מקנה לו זכות תביעה וחלק בחפץ. או [דאף בלא הקנאה שלו] דעצם תביעת החפץ נותן לו זכות בזה.</w:t>
      </w:r>
    </w:p>
  </w:footnote>
  <w:footnote w:id="3995">
    <w:p w14:paraId="3A5F301B" w14:textId="77777777" w:rsidR="00F64AED" w:rsidRDefault="00F64AED" w:rsidP="00F64AED">
      <w:pPr>
        <w:pStyle w:val="Footnote"/>
        <w:bidi/>
      </w:pPr>
      <w:r>
        <w:rPr>
          <w:rStyle w:val="ac"/>
          <w:rtl/>
        </w:rPr>
        <w:footnoteRef/>
      </w:r>
      <w:r>
        <w:rPr>
          <w:rtl/>
        </w:rPr>
        <w:t>וה</w:t>
      </w:r>
      <w:r>
        <w:rPr>
          <w:b/>
          <w:bCs/>
          <w:rtl/>
        </w:rPr>
        <w:t>רש"ס</w:t>
      </w:r>
      <w:r>
        <w:rPr>
          <w:rtl/>
        </w:rPr>
        <w:t xml:space="preserve"> פי' דה</w:t>
      </w:r>
      <w:r>
        <w:rPr>
          <w:b/>
          <w:bCs/>
          <w:rtl/>
        </w:rPr>
        <w:t>ירושלמי</w:t>
      </w:r>
      <w:r>
        <w:rPr>
          <w:rtl/>
        </w:rPr>
        <w:t xml:space="preserve"> (תרומות יא ו) מק' בזה מ"ש עבד שותפות כהן וישראל.</w:t>
      </w:r>
    </w:p>
  </w:footnote>
  <w:footnote w:id="3996">
    <w:p w14:paraId="70C53F3E" w14:textId="77777777" w:rsidR="00F64AED" w:rsidRDefault="00F64AED" w:rsidP="00F64AED">
      <w:pPr>
        <w:pStyle w:val="Footnote"/>
        <w:bidi/>
      </w:pPr>
      <w:r>
        <w:rPr>
          <w:rStyle w:val="ac"/>
          <w:rtl/>
        </w:rPr>
        <w:footnoteRef/>
      </w:r>
      <w:r>
        <w:rPr>
          <w:rtl/>
        </w:rPr>
        <w:t>ולכאורה כוונתם ע"פ הגמ' (נדרים מח:, ב”ב קלד.) דמתנה שאינו יכול למוכרו אינו מתנה. וה"נ לא נחשב שקנאו.</w:t>
      </w:r>
    </w:p>
  </w:footnote>
  <w:footnote w:id="3997">
    <w:p w14:paraId="5A1819A5" w14:textId="77777777" w:rsidR="00F64AED" w:rsidRDefault="00F64AED" w:rsidP="00F64AED">
      <w:pPr>
        <w:pStyle w:val="Footnote"/>
        <w:bidi/>
      </w:pPr>
      <w:r>
        <w:rPr>
          <w:rStyle w:val="ac"/>
          <w:rtl/>
        </w:rPr>
        <w:footnoteRef/>
      </w:r>
      <w:r>
        <w:rPr>
          <w:rtl/>
        </w:rPr>
        <w:t>ומש"ה המשכיר ומשאיל בהמה לעכו"ם עדיין מצווה על שביתתו בשבת. וכן אסור להשכיר בית לעכו"ם שמכניס לתוכו ע"ז, והמשכיר עובר משום לא תביא תועבה אל ביתך. [והגמ' שם דוחה דלענין ע"ז כו"ע מודו דחמיר].</w:t>
      </w:r>
    </w:p>
  </w:footnote>
  <w:footnote w:id="3998">
    <w:p w14:paraId="699CACF9" w14:textId="77777777" w:rsidR="00F64AED" w:rsidRDefault="00F64AED" w:rsidP="00F64AED">
      <w:pPr>
        <w:pStyle w:val="Footnote"/>
        <w:bidi/>
      </w:pPr>
      <w:r>
        <w:rPr>
          <w:rStyle w:val="ac"/>
          <w:rtl/>
        </w:rPr>
        <w:footnoteRef/>
      </w:r>
      <w:r>
        <w:rPr>
          <w:rtl/>
        </w:rPr>
        <w:t>וה</w:t>
      </w:r>
      <w:r>
        <w:rPr>
          <w:b/>
          <w:bCs/>
          <w:rtl/>
        </w:rPr>
        <w:t>תוס' רי"ד</w:t>
      </w:r>
      <w:r>
        <w:rPr>
          <w:rtl/>
        </w:rPr>
        <w:t xml:space="preserve"> (ע"ז) כת' דאיירי דקנה כרשינים מיד כהן.</w:t>
      </w:r>
    </w:p>
  </w:footnote>
  <w:footnote w:id="3999">
    <w:p w14:paraId="3AA4CB16" w14:textId="77777777" w:rsidR="00F64AED" w:rsidRDefault="00F64AED" w:rsidP="00F64AED">
      <w:pPr>
        <w:pStyle w:val="Footnote"/>
        <w:bidi/>
      </w:pPr>
      <w:r>
        <w:rPr>
          <w:rStyle w:val="ac"/>
          <w:rtl/>
        </w:rPr>
        <w:footnoteRef/>
      </w:r>
      <w:r>
        <w:rPr>
          <w:rtl/>
        </w:rPr>
        <w:t>וכ"כ ב</w:t>
      </w:r>
      <w:r>
        <w:rPr>
          <w:b/>
          <w:bCs/>
          <w:rtl/>
        </w:rPr>
        <w:t>חי' ר"א מן ההר</w:t>
      </w:r>
      <w:r>
        <w:rPr>
          <w:rtl/>
        </w:rPr>
        <w:t xml:space="preserve"> דקנין כספו דכהן הוא, וליכא גזל השבט דניחא ליה לכהן דלהוי כאילו הגיעה התרומה לידו שיתן בהעדפה [ומשמע מדבריו שמתקיים בכך נתינה]. והמאירי כתב דאע"פ שפורע חובו [שמזונותיו עליו] בתרומה, מסתמא מוחל חובו.</w:t>
      </w:r>
    </w:p>
  </w:footnote>
  <w:footnote w:id="4000">
    <w:p w14:paraId="5F0FE3C8" w14:textId="77777777" w:rsidR="00F64AED" w:rsidRDefault="00F64AED" w:rsidP="00F64AED">
      <w:pPr>
        <w:pStyle w:val="Footnote"/>
        <w:bidi/>
      </w:pPr>
      <w:r>
        <w:rPr>
          <w:rStyle w:val="ac"/>
          <w:rtl/>
        </w:rPr>
        <w:footnoteRef/>
      </w:r>
      <w:r>
        <w:rPr>
          <w:rtl/>
        </w:rPr>
        <w:t>וכה"ק ה</w:t>
      </w:r>
      <w:r>
        <w:rPr>
          <w:b/>
          <w:bCs/>
          <w:rtl/>
        </w:rPr>
        <w:t xml:space="preserve">מהר"י קורקוס </w:t>
      </w:r>
      <w:r>
        <w:rPr>
          <w:rtl/>
        </w:rPr>
        <w:t>(ט ז). אך ה</w:t>
      </w:r>
      <w:r>
        <w:rPr>
          <w:b/>
          <w:bCs/>
          <w:rtl/>
        </w:rPr>
        <w:t>ריטב"א</w:t>
      </w:r>
      <w:r>
        <w:rPr>
          <w:rtl/>
        </w:rPr>
        <w:t xml:space="preserve"> (ע"ז טו.) כת' דכיון דהגיע לעבד של כהן נחשב שקיים מצוות נתינה.</w:t>
      </w:r>
    </w:p>
  </w:footnote>
  <w:footnote w:id="4001">
    <w:p w14:paraId="7FA252DC" w14:textId="77777777" w:rsidR="00F64AED" w:rsidRDefault="00F64AED" w:rsidP="00F64AED">
      <w:pPr>
        <w:pStyle w:val="Footnote"/>
        <w:bidi/>
      </w:pPr>
      <w:r>
        <w:rPr>
          <w:rStyle w:val="ac"/>
          <w:rtl/>
        </w:rPr>
        <w:footnoteRef/>
      </w:r>
      <w:r>
        <w:rPr>
          <w:rtl/>
        </w:rPr>
        <w:t>ואף שקיבל עליו לזונו, גדר ההתחייבות לטרוח שיהא לה אוכל, והא אף שמעמידה לאכול מהפקר שפיר דמי.</w:t>
      </w:r>
    </w:p>
  </w:footnote>
  <w:footnote w:id="4002">
    <w:p w14:paraId="1151AEA5" w14:textId="77777777" w:rsidR="00F64AED" w:rsidRDefault="00F64AED" w:rsidP="00F64AED">
      <w:pPr>
        <w:pStyle w:val="Footnote"/>
        <w:bidi/>
      </w:pPr>
      <w:r>
        <w:rPr>
          <w:rStyle w:val="ac"/>
          <w:rtl/>
        </w:rPr>
        <w:footnoteRef/>
      </w:r>
      <w:r>
        <w:rPr>
          <w:rtl/>
        </w:rPr>
        <w:t>ומבואר בסוגיין עוד דאף היכא דהכהן שכרו וקיבל עליו לזון, ונהנה בכך אסור. וכה"ק ה</w:t>
      </w:r>
      <w:r>
        <w:rPr>
          <w:b/>
          <w:bCs/>
          <w:rtl/>
        </w:rPr>
        <w:t>תורת זרעים</w:t>
      </w:r>
      <w:r>
        <w:rPr>
          <w:rtl/>
        </w:rPr>
        <w:t xml:space="preserve"> (סוף תרומות) דנימא דהכהן נהנה הנאת מזונות, ולא יחשב הנאת כילוי דישראל משום נר לא'. ותי' דהנאת אכילת הבהמה הוה יותר עיקרי מאשר הנאת הדמים.</w:t>
      </w:r>
    </w:p>
    <w:p w14:paraId="05A5B900" w14:textId="77777777" w:rsidR="00F64AED" w:rsidRDefault="00F64AED" w:rsidP="00F64AED">
      <w:pPr>
        <w:pStyle w:val="Footnote"/>
        <w:bidi/>
      </w:pPr>
      <w:r>
        <w:rPr>
          <w:rtl/>
        </w:rPr>
        <w:tab/>
        <w:t>ועוד צ"ע דבסוגיין הכהן עושה מעשה להאכיל, ולדידיה שרי בהנאה, וישראל ממילא נהנה. [וה</w:t>
      </w:r>
      <w:r>
        <w:rPr>
          <w:b/>
          <w:bCs/>
          <w:rtl/>
        </w:rPr>
        <w:t>פוסקים</w:t>
      </w:r>
      <w:r>
        <w:rPr>
          <w:rtl/>
        </w:rPr>
        <w:t xml:space="preserve"> (או"ח תמח ז ומשנ"ב ל,לא) דנו האם צריך למנוע מעכו"ם להאכיל את בהמתו חמץ בפסח].</w:t>
      </w:r>
    </w:p>
    <w:p w14:paraId="41B6EC4C" w14:textId="77777777" w:rsidR="00F64AED" w:rsidRDefault="00F64AED" w:rsidP="00F64AED">
      <w:pPr>
        <w:pStyle w:val="Footnote"/>
        <w:bidi/>
      </w:pPr>
      <w:r>
        <w:rPr>
          <w:rtl/>
        </w:rPr>
        <w:tab/>
        <w:t>ויש שפי' ע"פ דברי הגרי"ז דמגדרי התרומה יש איסור 'אכילת ישראל', ואף אכילת בהמה. וי"ל דאף לכהן אסור להנות באכילת ישראל. [אך בתוס' משמע דהנידון משום הנאת הישראל].</w:t>
      </w:r>
    </w:p>
  </w:footnote>
  <w:footnote w:id="4003">
    <w:p w14:paraId="2193FB66" w14:textId="77777777" w:rsidR="00F64AED" w:rsidRDefault="00F64AED" w:rsidP="00F64AED">
      <w:pPr>
        <w:pStyle w:val="Footnote"/>
        <w:bidi/>
      </w:pPr>
      <w:r>
        <w:rPr>
          <w:rStyle w:val="ac"/>
          <w:rtl/>
        </w:rPr>
        <w:footnoteRef/>
      </w:r>
      <w:r>
        <w:rPr>
          <w:rtl/>
        </w:rPr>
        <w:t>[ולתי' התוס' הנאת כילוי]. וה</w:t>
      </w:r>
      <w:r>
        <w:rPr>
          <w:b/>
          <w:bCs/>
          <w:rtl/>
        </w:rPr>
        <w:t>קה"י</w:t>
      </w:r>
      <w:r>
        <w:rPr>
          <w:rtl/>
        </w:rPr>
        <w:t xml:space="preserve"> (מב) הק' דלס"ד דתוס' דאסור בכל הנאה, א"כ היאך הותר לזר למכור תרומה (שירש מאבי אמו כהן, וכדמבואר דכ"מ), הרי נהנה מדמיו. עי"ש.</w:t>
      </w:r>
    </w:p>
  </w:footnote>
  <w:footnote w:id="4004">
    <w:p w14:paraId="45203F16" w14:textId="77777777" w:rsidR="00F64AED" w:rsidRDefault="00F64AED" w:rsidP="00F64AED">
      <w:pPr>
        <w:pStyle w:val="Footnote"/>
        <w:bidi/>
      </w:pPr>
      <w:r>
        <w:rPr>
          <w:rStyle w:val="ac"/>
          <w:rtl/>
        </w:rPr>
        <w:footnoteRef/>
      </w:r>
      <w:r>
        <w:rPr>
          <w:rtl/>
        </w:rPr>
        <w:t xml:space="preserve">והביאו דמדברי </w:t>
      </w:r>
      <w:r>
        <w:rPr>
          <w:b/>
          <w:bCs/>
          <w:rtl/>
        </w:rPr>
        <w:t>ר' אשר מלוניל</w:t>
      </w:r>
      <w:r>
        <w:rPr>
          <w:rtl/>
        </w:rPr>
        <w:t xml:space="preserve"> וה</w:t>
      </w:r>
      <w:r>
        <w:rPr>
          <w:b/>
          <w:bCs/>
          <w:rtl/>
        </w:rPr>
        <w:t>מאירי</w:t>
      </w:r>
      <w:r>
        <w:rPr>
          <w:rtl/>
        </w:rPr>
        <w:t xml:space="preserve"> (ב"מ צ.) מבואר דצריך למונעה.</w:t>
      </w:r>
    </w:p>
  </w:footnote>
  <w:footnote w:id="4005">
    <w:p w14:paraId="01211054" w14:textId="77777777" w:rsidR="00F64AED" w:rsidRDefault="00F64AED" w:rsidP="00F64AED">
      <w:pPr>
        <w:pStyle w:val="Footnote"/>
        <w:bidi/>
      </w:pPr>
      <w:r>
        <w:rPr>
          <w:rStyle w:val="ac"/>
          <w:rtl/>
        </w:rPr>
        <w:footnoteRef/>
      </w:r>
      <w:r>
        <w:rPr>
          <w:rtl/>
        </w:rPr>
        <w:t>[ע' ביצה כא.]. וה</w:t>
      </w:r>
      <w:r>
        <w:rPr>
          <w:b/>
          <w:bCs/>
          <w:rtl/>
        </w:rPr>
        <w:t>מנח"ח</w:t>
      </w:r>
      <w:r>
        <w:rPr>
          <w:rtl/>
        </w:rPr>
        <w:t xml:space="preserve"> (רפ כד) כתב דנפק"מ לטעם הזה דאסור להאכיל אף לבהמת הקדש [והפקר], ואף דישראל אינו נהנה מאכילה זו. [ואף דמ"מ יש מעשה כילוי וע' דרך אמונה ו א]. אמנם ה</w:t>
      </w:r>
      <w:r>
        <w:rPr>
          <w:b/>
          <w:bCs/>
          <w:rtl/>
        </w:rPr>
        <w:t>משנ"ב</w:t>
      </w:r>
      <w:r>
        <w:rPr>
          <w:rtl/>
        </w:rPr>
        <w:t xml:space="preserve"> (תמח שעה"צ עה) הביא להסתפק האם מותר להאכיל כל איסור הנאה לבהמת הפקר, שממלא רצונו במה שמשביעה.</w:t>
      </w:r>
    </w:p>
  </w:footnote>
  <w:footnote w:id="4006">
    <w:p w14:paraId="6C7C181E" w14:textId="77777777" w:rsidR="00F64AED" w:rsidRDefault="00F64AED" w:rsidP="00F64AED">
      <w:pPr>
        <w:pStyle w:val="Footnote"/>
        <w:bidi/>
      </w:pPr>
      <w:r>
        <w:rPr>
          <w:rStyle w:val="ac"/>
          <w:rtl/>
        </w:rPr>
        <w:footnoteRef/>
      </w:r>
      <w:r>
        <w:rPr>
          <w:rtl/>
        </w:rPr>
        <w:t>[אך לדעת התוס' אכילת בהמה לא נחשב אכילה כלל, ולכן אין איסור מצד החפצא].</w:t>
      </w:r>
    </w:p>
  </w:footnote>
  <w:footnote w:id="4007">
    <w:p w14:paraId="6FB61A2D" w14:textId="77777777" w:rsidR="00F64AED" w:rsidRDefault="00F64AED" w:rsidP="00F64AED">
      <w:pPr>
        <w:pStyle w:val="Footnote"/>
        <w:bidi/>
      </w:pPr>
      <w:r>
        <w:rPr>
          <w:rStyle w:val="ac"/>
          <w:rtl/>
        </w:rPr>
        <w:footnoteRef/>
      </w:r>
      <w:r>
        <w:rPr>
          <w:rtl/>
        </w:rPr>
        <w:t>וצ"ב א"כ היכא דדעתו למוכרו לכהן.</w:t>
      </w:r>
    </w:p>
  </w:footnote>
  <w:footnote w:id="4008">
    <w:p w14:paraId="38172FA7" w14:textId="77777777" w:rsidR="00F64AED" w:rsidRDefault="00F64AED" w:rsidP="00F64AED">
      <w:pPr>
        <w:pStyle w:val="Footnote"/>
        <w:bidi/>
      </w:pPr>
      <w:r>
        <w:rPr>
          <w:rStyle w:val="ac"/>
          <w:rtl/>
        </w:rPr>
        <w:footnoteRef/>
      </w:r>
      <w:r>
        <w:rPr>
          <w:rtl/>
        </w:rPr>
        <w:t>ובגמ' (ע"ז מט.) איתא דפרה שנתפטמה מכרשיני עבודה זרה תליא בדין זה וזה גורם [וקי"ל דמותר].</w:t>
      </w:r>
    </w:p>
  </w:footnote>
  <w:footnote w:id="4009">
    <w:p w14:paraId="6C8BE485" w14:textId="77777777" w:rsidR="00F64AED" w:rsidRDefault="00F64AED" w:rsidP="00F64AED">
      <w:pPr>
        <w:pStyle w:val="Footnote"/>
        <w:bidi/>
      </w:pPr>
      <w:r>
        <w:rPr>
          <w:rStyle w:val="ac"/>
          <w:rtl/>
        </w:rPr>
        <w:footnoteRef/>
      </w:r>
      <w:r>
        <w:rPr>
          <w:rtl/>
        </w:rPr>
        <w:t>וה</w:t>
      </w:r>
      <w:r>
        <w:rPr>
          <w:b/>
          <w:bCs/>
          <w:rtl/>
        </w:rPr>
        <w:t xml:space="preserve">משנת ראשונה </w:t>
      </w:r>
      <w:r>
        <w:rPr>
          <w:rtl/>
        </w:rPr>
        <w:t>(יא ט) כתב דלפ"ז אם יש שותפות כהן בבהמה, מותר להאכילה אגב כהן. [ולא דמי לעבד של שותפין ע' סז.]. וכ”כ ב</w:t>
      </w:r>
      <w:r>
        <w:rPr>
          <w:b/>
          <w:bCs/>
          <w:rtl/>
        </w:rPr>
        <w:t>הג' ראמ"ה</w:t>
      </w:r>
      <w:r>
        <w:rPr>
          <w:rtl/>
        </w:rPr>
        <w:t>. [וכמה אחרונים דנו בזה, ופשטות ה</w:t>
      </w:r>
      <w:r>
        <w:rPr>
          <w:b/>
          <w:bCs/>
          <w:rtl/>
        </w:rPr>
        <w:t>ירושלמי</w:t>
      </w:r>
      <w:r>
        <w:rPr>
          <w:rtl/>
        </w:rPr>
        <w:t xml:space="preserve"> (שם ו) דאין מאכילין]. אבל ב</w:t>
      </w:r>
      <w:r>
        <w:rPr>
          <w:b/>
          <w:bCs/>
          <w:rtl/>
        </w:rPr>
        <w:t>דרך</w:t>
      </w:r>
      <w:r>
        <w:rPr>
          <w:rtl/>
        </w:rPr>
        <w:t xml:space="preserve"> </w:t>
      </w:r>
      <w:r>
        <w:rPr>
          <w:b/>
          <w:bCs/>
          <w:rtl/>
        </w:rPr>
        <w:t>אמונה</w:t>
      </w:r>
      <w:r>
        <w:rPr>
          <w:rtl/>
        </w:rPr>
        <w:t xml:space="preserve"> (ט ה) כתב דאסור משום דנחשב שיש צד הנאת כילוי דזרות.</w:t>
      </w:r>
    </w:p>
  </w:footnote>
  <w:footnote w:id="4010">
    <w:p w14:paraId="4DCAADC3" w14:textId="77777777" w:rsidR="00F64AED" w:rsidRDefault="00F64AED" w:rsidP="00F64AED">
      <w:pPr>
        <w:pStyle w:val="Footnote"/>
        <w:bidi/>
      </w:pPr>
      <w:r>
        <w:rPr>
          <w:rStyle w:val="ac"/>
          <w:rtl/>
        </w:rPr>
        <w:footnoteRef/>
      </w:r>
      <w:r>
        <w:rPr>
          <w:rtl/>
        </w:rPr>
        <w:t>וה</w:t>
      </w:r>
      <w:r>
        <w:rPr>
          <w:b/>
          <w:bCs/>
          <w:rtl/>
        </w:rPr>
        <w:t>משנ"ל</w:t>
      </w:r>
      <w:r>
        <w:rPr>
          <w:rtl/>
        </w:rPr>
        <w:t xml:space="preserve"> נסתפק בדעת הראשונים דהנאת כילוי תרומה אינה דאורייתא, האם הנאת כילוי דטבל (ע' בתוס' בסמוך) מודו דהוה דאורייתא, או ס"ל דאף בטבל הוה אסמכתא בעלמא.</w:t>
      </w:r>
    </w:p>
  </w:footnote>
  <w:footnote w:id="4011">
    <w:p w14:paraId="7378FDF5" w14:textId="77777777" w:rsidR="00F64AED" w:rsidRDefault="00F64AED" w:rsidP="00F64AED">
      <w:pPr>
        <w:pStyle w:val="Footnote"/>
        <w:bidi/>
      </w:pPr>
      <w:r>
        <w:rPr>
          <w:rStyle w:val="ac"/>
          <w:rtl/>
        </w:rPr>
        <w:footnoteRef/>
      </w:r>
      <w:r>
        <w:rPr>
          <w:rtl/>
        </w:rPr>
        <w:t>והביא מדברי ה</w:t>
      </w:r>
      <w:r>
        <w:rPr>
          <w:b/>
          <w:bCs/>
          <w:rtl/>
        </w:rPr>
        <w:t xml:space="preserve">ירושלמי </w:t>
      </w:r>
      <w:r>
        <w:rPr>
          <w:rtl/>
        </w:rPr>
        <w:t xml:space="preserve">[דהיכא דאין לו חולין] הותר לישראל להדליק נר חנוכה בשמן שריפה, וע”כ דהוה איסור דרבנן. [ודחה דמצוות לאו להנות ניתנו]. וע"ע </w:t>
      </w:r>
      <w:r>
        <w:rPr>
          <w:b/>
          <w:bCs/>
          <w:rtl/>
        </w:rPr>
        <w:t>פנ"י</w:t>
      </w:r>
      <w:r>
        <w:rPr>
          <w:rtl/>
        </w:rPr>
        <w:t xml:space="preserve"> (שבת כא.).</w:t>
      </w:r>
    </w:p>
  </w:footnote>
  <w:footnote w:id="4012">
    <w:p w14:paraId="03B3A455" w14:textId="77777777" w:rsidR="00F64AED" w:rsidRDefault="00F64AED" w:rsidP="00F64AED">
      <w:pPr>
        <w:pStyle w:val="Footnote"/>
        <w:bidi/>
      </w:pPr>
      <w:r>
        <w:rPr>
          <w:rStyle w:val="ac"/>
          <w:rtl/>
        </w:rPr>
        <w:footnoteRef/>
      </w:r>
      <w:r>
        <w:rPr>
          <w:rtl/>
        </w:rPr>
        <w:t>וכן ביאר ב</w:t>
      </w:r>
      <w:r>
        <w:rPr>
          <w:b/>
          <w:bCs/>
          <w:rtl/>
        </w:rPr>
        <w:t>חי' רבינו דוד</w:t>
      </w:r>
      <w:r>
        <w:rPr>
          <w:rtl/>
        </w:rPr>
        <w:t xml:space="preserve"> (פסחים לד) הטעם דנר לא' נר לק', דכל אותו הנאה היא צריכה בשביל הכהן, ואין משגיחין דיש הרבה ישראלים שנהנין. דכלפי הישראלים הוה כהנאה שאינה של כילוי, דהא אינו כלוי בשביל הישראל. וב</w:t>
      </w:r>
      <w:r>
        <w:rPr>
          <w:b/>
          <w:bCs/>
          <w:rtl/>
        </w:rPr>
        <w:t>חי' הר"ן</w:t>
      </w:r>
      <w:r>
        <w:rPr>
          <w:rtl/>
        </w:rPr>
        <w:t xml:space="preserve"> (שם) הוסיף דהנאת כילוי בשביל ישראל לבד אסור משום הפקעת ממונו של כהן.</w:t>
      </w:r>
    </w:p>
  </w:footnote>
  <w:footnote w:id="4013">
    <w:p w14:paraId="1DB3FBF7" w14:textId="77777777" w:rsidR="00F64AED" w:rsidRDefault="00F64AED" w:rsidP="00F64AED">
      <w:pPr>
        <w:pStyle w:val="Footnote"/>
        <w:bidi/>
      </w:pPr>
      <w:r>
        <w:rPr>
          <w:rStyle w:val="ac"/>
          <w:rtl/>
        </w:rPr>
        <w:footnoteRef/>
      </w:r>
      <w:r>
        <w:rPr>
          <w:rtl/>
        </w:rPr>
        <w:t>אבל בשאר איסורי הנאה [כגון אם נכרי ידליק ערלה], לא הותר לישראל להנות, דלא הותר עיקר ההנאה.</w:t>
      </w:r>
    </w:p>
  </w:footnote>
  <w:footnote w:id="4014">
    <w:p w14:paraId="1CD5F738" w14:textId="77777777" w:rsidR="00F64AED" w:rsidRDefault="00F64AED" w:rsidP="00F64AED">
      <w:pPr>
        <w:pStyle w:val="Footnote"/>
        <w:bidi/>
      </w:pPr>
      <w:r>
        <w:rPr>
          <w:rStyle w:val="ac"/>
          <w:rtl/>
        </w:rPr>
        <w:footnoteRef/>
      </w:r>
      <w:r>
        <w:rPr>
          <w:rtl/>
        </w:rPr>
        <w:t>וי"ל דזה קו' ה</w:t>
      </w:r>
      <w:r>
        <w:rPr>
          <w:b/>
          <w:bCs/>
          <w:rtl/>
        </w:rPr>
        <w:t>תוס</w:t>
      </w:r>
      <w:r>
        <w:rPr>
          <w:rtl/>
        </w:rPr>
        <w:t>' (ד"ה ישראל, ע' מה שהו' לעיל).</w:t>
      </w:r>
    </w:p>
  </w:footnote>
  <w:footnote w:id="4015">
    <w:p w14:paraId="5779D391" w14:textId="77777777" w:rsidR="00F64AED" w:rsidRDefault="00F64AED" w:rsidP="00F64AED">
      <w:pPr>
        <w:pStyle w:val="Footnote"/>
        <w:bidi/>
      </w:pPr>
      <w:r>
        <w:rPr>
          <w:rStyle w:val="ac"/>
          <w:rtl/>
        </w:rPr>
        <w:footnoteRef/>
      </w:r>
      <w:r>
        <w:rPr>
          <w:rtl/>
        </w:rPr>
        <w:t>וה</w:t>
      </w:r>
      <w:r>
        <w:rPr>
          <w:b/>
          <w:bCs/>
          <w:rtl/>
        </w:rPr>
        <w:t>אחרונים</w:t>
      </w:r>
      <w:r>
        <w:rPr>
          <w:rtl/>
        </w:rPr>
        <w:t xml:space="preserve"> ביארו דהוה ע"ד ההיתר דנר לא' נר למאה, ולא נחשב כילוי דישראל. [והוסיפו די"ל דהוה משום דנחשב מחוללת ועומדת, ע"פ הגמ' כריתות ז.].</w:t>
      </w:r>
    </w:p>
  </w:footnote>
  <w:footnote w:id="4016">
    <w:p w14:paraId="77B652AA" w14:textId="77777777" w:rsidR="00F64AED" w:rsidRDefault="00F64AED" w:rsidP="00F64AED">
      <w:pPr>
        <w:pStyle w:val="Footnote"/>
        <w:bidi/>
      </w:pPr>
      <w:r>
        <w:rPr>
          <w:rStyle w:val="ac"/>
          <w:rtl/>
        </w:rPr>
        <w:footnoteRef/>
      </w:r>
      <w:r>
        <w:rPr>
          <w:rtl/>
        </w:rPr>
        <w:t>ה</w:t>
      </w:r>
      <w:r>
        <w:rPr>
          <w:b/>
          <w:bCs/>
          <w:rtl/>
        </w:rPr>
        <w:t>רמב"ם</w:t>
      </w:r>
      <w:r>
        <w:rPr>
          <w:rtl/>
        </w:rPr>
        <w:t xml:space="preserve"> כתב כן בשם ה</w:t>
      </w:r>
      <w:r>
        <w:rPr>
          <w:b/>
          <w:bCs/>
          <w:rtl/>
        </w:rPr>
        <w:t>גאונים</w:t>
      </w:r>
      <w:r>
        <w:rPr>
          <w:rtl/>
        </w:rPr>
        <w:t>, וכתב דמנהג פשוט הוא זה [וכ"כ הרי"ף דנהגו כדברי הגאונים]. ו</w:t>
      </w:r>
      <w:r>
        <w:rPr>
          <w:b/>
          <w:bCs/>
          <w:rtl/>
        </w:rPr>
        <w:t xml:space="preserve">ה"ה </w:t>
      </w:r>
      <w:r>
        <w:rPr>
          <w:rtl/>
        </w:rPr>
        <w:t>ביאר</w:t>
      </w:r>
      <w:r>
        <w:rPr>
          <w:b/>
          <w:bCs/>
          <w:rtl/>
        </w:rPr>
        <w:t xml:space="preserve"> </w:t>
      </w:r>
      <w:r>
        <w:rPr>
          <w:rtl/>
        </w:rPr>
        <w:t>דכוונת הרמב"ם</w:t>
      </w:r>
      <w:r>
        <w:rPr>
          <w:b/>
          <w:bCs/>
          <w:rtl/>
        </w:rPr>
        <w:t xml:space="preserve"> </w:t>
      </w:r>
      <w:r>
        <w:rPr>
          <w:rtl/>
        </w:rPr>
        <w:t>דס"ל כרי"ף דדברי הגאונים הוה נגד הגמ', אלא דנהגו כן, ואדעתא דמנהג הכניסה לו. וסיים דבארצותינו לא נהגו כן.</w:t>
      </w:r>
    </w:p>
  </w:footnote>
  <w:footnote w:id="4017">
    <w:p w14:paraId="288E40AA" w14:textId="77777777" w:rsidR="00F64AED" w:rsidRDefault="00F64AED" w:rsidP="00F64AED">
      <w:pPr>
        <w:pStyle w:val="Footnote"/>
        <w:bidi/>
      </w:pPr>
      <w:r>
        <w:rPr>
          <w:rStyle w:val="ac"/>
          <w:rtl/>
        </w:rPr>
        <w:footnoteRef/>
      </w:r>
      <w:r>
        <w:rPr>
          <w:rtl/>
        </w:rPr>
        <w:t>וה</w:t>
      </w:r>
      <w:r>
        <w:rPr>
          <w:b/>
          <w:bCs/>
          <w:rtl/>
        </w:rPr>
        <w:t>ריטב"א</w:t>
      </w:r>
      <w:r>
        <w:rPr>
          <w:rtl/>
        </w:rPr>
        <w:t xml:space="preserve"> הביא דכ"מ בתוספתא הכניסה לו עבדים וכו' נערים נוטלתם זקנים. ודחה דקאי בהכניסום בלא שומא.</w:t>
      </w:r>
    </w:p>
  </w:footnote>
  <w:footnote w:id="4018">
    <w:p w14:paraId="74538BCD" w14:textId="77777777" w:rsidR="00F64AED" w:rsidRDefault="00F64AED" w:rsidP="00F64AED">
      <w:pPr>
        <w:pStyle w:val="Footnote"/>
        <w:bidi/>
      </w:pPr>
      <w:r>
        <w:rPr>
          <w:rStyle w:val="ac"/>
          <w:rtl/>
        </w:rPr>
        <w:footnoteRef/>
      </w:r>
      <w:r>
        <w:rPr>
          <w:rtl/>
        </w:rPr>
        <w:t>ומבואר ברש"י דראיית הגמ' מהא דכהן ששם מישראל שמאכיל בתרומה. ויל"ד אמאי לא הביא מהרישא דישראל שם מכהן שלא יאכילנו. וי"ל דהתם פשוט יותר דקנין הישראל פוסל מתרומה.</w:t>
      </w:r>
    </w:p>
  </w:footnote>
  <w:footnote w:id="4019">
    <w:p w14:paraId="442733B4" w14:textId="77777777" w:rsidR="00F64AED" w:rsidRDefault="00F64AED" w:rsidP="00F64AED">
      <w:pPr>
        <w:pStyle w:val="Footnote"/>
        <w:bidi/>
      </w:pPr>
      <w:r>
        <w:rPr>
          <w:rStyle w:val="ac"/>
          <w:rtl/>
        </w:rPr>
        <w:footnoteRef/>
      </w:r>
      <w:r>
        <w:rPr>
          <w:rtl/>
        </w:rPr>
        <w:t>והגמ' (ע"ז טו.) דשכירות קני קאי בשוכר, אבל שואל קונה.</w:t>
      </w:r>
    </w:p>
  </w:footnote>
  <w:footnote w:id="4020">
    <w:p w14:paraId="2EF76086" w14:textId="77777777" w:rsidR="00F64AED" w:rsidRDefault="00F64AED" w:rsidP="00F64AED">
      <w:pPr>
        <w:pStyle w:val="Footnote"/>
        <w:bidi/>
      </w:pPr>
      <w:r>
        <w:rPr>
          <w:rStyle w:val="ac"/>
          <w:rtl/>
        </w:rPr>
        <w:footnoteRef/>
      </w:r>
      <w:r>
        <w:rPr>
          <w:rtl/>
        </w:rPr>
        <w:t>ולא הוה גדר 'שם בעלים' לענין דבר זה.</w:t>
      </w:r>
    </w:p>
  </w:footnote>
  <w:footnote w:id="4021">
    <w:p w14:paraId="633ED03E" w14:textId="77777777" w:rsidR="00F64AED" w:rsidRDefault="00F64AED" w:rsidP="00F64AED">
      <w:pPr>
        <w:pStyle w:val="Footnote"/>
        <w:bidi/>
      </w:pPr>
      <w:r>
        <w:rPr>
          <w:rStyle w:val="ac"/>
          <w:rtl/>
        </w:rPr>
        <w:footnoteRef/>
      </w:r>
      <w:r>
        <w:rPr>
          <w:rtl/>
        </w:rPr>
        <w:t>דאין לו בעלות אלא חיוב אחריות, ואף דנחשב שם בעלים לתרומה, לענין שו"ע בעי בעלים גמור. [או משום סברא דלאו כל כמיניה].</w:t>
      </w:r>
    </w:p>
  </w:footnote>
  <w:footnote w:id="4022">
    <w:p w14:paraId="7BC7B303" w14:textId="77777777" w:rsidR="00F64AED" w:rsidRDefault="00F64AED" w:rsidP="00F64AED">
      <w:pPr>
        <w:pStyle w:val="Footnote"/>
        <w:bidi/>
      </w:pPr>
      <w:r>
        <w:rPr>
          <w:rStyle w:val="ac"/>
          <w:rtl/>
        </w:rPr>
        <w:footnoteRef/>
      </w:r>
      <w:r>
        <w:rPr>
          <w:rtl/>
        </w:rPr>
        <w:t>וה</w:t>
      </w:r>
      <w:r>
        <w:rPr>
          <w:b/>
          <w:bCs/>
          <w:rtl/>
        </w:rPr>
        <w:t>אבנ"מ</w:t>
      </w:r>
      <w:r>
        <w:rPr>
          <w:rtl/>
        </w:rPr>
        <w:t xml:space="preserve"> (צ כא) ביאר דלמ"ד 'הדין עמה' אלים שעבודא דאשה, והוה כבהמת ארנונה (פסחים ו) דכיון דמתחילה נמי היתה שלה ואינו יכול לסלק, נחשב כשלה. אבל קונמות מפקיע שעבוד [בסמוך], וכיון דפקע השעבוד הוה שלו. ולכן יוצאין בשן ועין לאיש.</w:t>
      </w:r>
    </w:p>
  </w:footnote>
  <w:footnote w:id="4023">
    <w:p w14:paraId="372B67C9" w14:textId="77777777" w:rsidR="00F64AED" w:rsidRDefault="00F64AED" w:rsidP="00F64AED">
      <w:pPr>
        <w:pStyle w:val="Footnote"/>
        <w:bidi/>
      </w:pPr>
      <w:r>
        <w:rPr>
          <w:rStyle w:val="ac"/>
          <w:rtl/>
        </w:rPr>
        <w:footnoteRef/>
      </w:r>
      <w:r>
        <w:rPr>
          <w:rtl/>
        </w:rPr>
        <w:t>וכן נקט ה</w:t>
      </w:r>
      <w:r>
        <w:rPr>
          <w:b/>
          <w:bCs/>
          <w:rtl/>
        </w:rPr>
        <w:t>מהרש"א</w:t>
      </w:r>
      <w:r>
        <w:rPr>
          <w:rtl/>
        </w:rPr>
        <w:t>. אבל ה</w:t>
      </w:r>
      <w:r>
        <w:rPr>
          <w:b/>
          <w:bCs/>
          <w:rtl/>
        </w:rPr>
        <w:t>אחרונים</w:t>
      </w:r>
      <w:r>
        <w:rPr>
          <w:rtl/>
        </w:rPr>
        <w:t xml:space="preserve"> דנו דהוה שלה רק מדין למפרע הוא גובה [ובינתיים לא נחשב שלה]. ולבית מאיר אינה 'שלה', אלא דשחרור הוה מעשה גביה.</w:t>
      </w:r>
    </w:p>
  </w:footnote>
  <w:footnote w:id="4024">
    <w:p w14:paraId="173960DD" w14:textId="77777777" w:rsidR="00F64AED" w:rsidRDefault="00F64AED" w:rsidP="00F64AED">
      <w:pPr>
        <w:pStyle w:val="Footnote"/>
        <w:bidi/>
      </w:pPr>
      <w:r>
        <w:rPr>
          <w:rStyle w:val="ac"/>
          <w:rtl/>
        </w:rPr>
        <w:footnoteRef/>
      </w:r>
      <w:r>
        <w:rPr>
          <w:rtl/>
        </w:rPr>
        <w:t>אבל ה</w:t>
      </w:r>
      <w:r>
        <w:rPr>
          <w:b/>
          <w:bCs/>
          <w:rtl/>
        </w:rPr>
        <w:t>תוס' הרא"ש</w:t>
      </w:r>
      <w:r>
        <w:rPr>
          <w:rtl/>
        </w:rPr>
        <w:t xml:space="preserve"> מפורש דלא כן.</w:t>
      </w:r>
    </w:p>
  </w:footnote>
  <w:footnote w:id="4025">
    <w:p w14:paraId="0F45C5C5" w14:textId="77777777" w:rsidR="00F64AED" w:rsidRDefault="00F64AED" w:rsidP="00F64AED">
      <w:pPr>
        <w:pStyle w:val="Footnote"/>
        <w:bidi/>
      </w:pPr>
      <w:r>
        <w:rPr>
          <w:rStyle w:val="ac"/>
          <w:rtl/>
        </w:rPr>
        <w:footnoteRef/>
      </w:r>
      <w:r>
        <w:rPr>
          <w:rtl/>
        </w:rPr>
        <w:t>וה</w:t>
      </w:r>
      <w:r>
        <w:rPr>
          <w:b/>
          <w:bCs/>
          <w:rtl/>
        </w:rPr>
        <w:t>אבנ"מ</w:t>
      </w:r>
      <w:r>
        <w:rPr>
          <w:rtl/>
        </w:rPr>
        <w:t xml:space="preserve"> (שם) כת' דניחא למ"ד (בע"א, וכ”ד רבא) דאף עבדי מלוג אוכלים משום קנין שקנה קנין [אלא משום גזירה, ובזה ל"ש גזירה דמחיים אוכלים משום קנין הבעל].</w:t>
      </w:r>
    </w:p>
  </w:footnote>
  <w:footnote w:id="4026">
    <w:p w14:paraId="02C0D4FC" w14:textId="77777777" w:rsidR="00F64AED" w:rsidRDefault="00F64AED" w:rsidP="00F64AED">
      <w:pPr>
        <w:pStyle w:val="Footnote"/>
        <w:bidi/>
      </w:pPr>
      <w:r>
        <w:rPr>
          <w:rStyle w:val="ac"/>
          <w:rtl/>
        </w:rPr>
        <w:footnoteRef/>
      </w:r>
      <w:r>
        <w:rPr>
          <w:rtl/>
        </w:rPr>
        <w:t>אמנם יל"ד בזה ע"פ מש"כ הראשונים בסוגיה בגיטין [ע' לעיל].</w:t>
      </w:r>
    </w:p>
  </w:footnote>
  <w:footnote w:id="4027">
    <w:p w14:paraId="3AB786C9" w14:textId="77777777" w:rsidR="00F64AED" w:rsidRDefault="00F64AED" w:rsidP="00F64AED">
      <w:pPr>
        <w:pStyle w:val="Footnote"/>
        <w:bidi/>
      </w:pPr>
      <w:r>
        <w:rPr>
          <w:rStyle w:val="ac"/>
          <w:rtl/>
        </w:rPr>
        <w:footnoteRef/>
      </w:r>
      <w:r>
        <w:rPr>
          <w:rtl/>
        </w:rPr>
        <w:t xml:space="preserve">וכ"מ מדברי </w:t>
      </w:r>
      <w:r>
        <w:rPr>
          <w:b/>
          <w:bCs/>
          <w:rtl/>
        </w:rPr>
        <w:t>רש"י</w:t>
      </w:r>
      <w:r>
        <w:rPr>
          <w:rtl/>
        </w:rPr>
        <w:t xml:space="preserve"> (כתובות פא).</w:t>
      </w:r>
    </w:p>
  </w:footnote>
  <w:footnote w:id="4028">
    <w:p w14:paraId="2DBAB28D" w14:textId="77777777" w:rsidR="00F64AED" w:rsidRDefault="00F64AED" w:rsidP="00F64AED">
      <w:pPr>
        <w:pStyle w:val="Footnote"/>
        <w:bidi/>
      </w:pPr>
      <w:r>
        <w:rPr>
          <w:rStyle w:val="ac"/>
          <w:rtl/>
        </w:rPr>
        <w:footnoteRef/>
      </w:r>
      <w:r>
        <w:rPr>
          <w:rtl/>
        </w:rPr>
        <w:t>וב</w:t>
      </w:r>
      <w:r>
        <w:rPr>
          <w:b/>
          <w:bCs/>
          <w:rtl/>
        </w:rPr>
        <w:t>פסקי הרי"ד</w:t>
      </w:r>
      <w:r>
        <w:rPr>
          <w:rtl/>
        </w:rPr>
        <w:t xml:space="preserve"> כתב והתניא 'נמי' כוותה.</w:t>
      </w:r>
    </w:p>
  </w:footnote>
  <w:footnote w:id="4029">
    <w:p w14:paraId="6E609A6B" w14:textId="77777777" w:rsidR="00F64AED" w:rsidRDefault="00F64AED" w:rsidP="00F64AED">
      <w:pPr>
        <w:pStyle w:val="Footnote"/>
        <w:bidi/>
      </w:pPr>
      <w:r>
        <w:rPr>
          <w:rStyle w:val="ac"/>
          <w:rtl/>
        </w:rPr>
        <w:footnoteRef/>
      </w:r>
      <w:r>
        <w:rPr>
          <w:rtl/>
        </w:rPr>
        <w:t>וביאר דהיכא דיחדו ע"י מעשה נאסר מדין אזמניה וצר ביה [דתשמישי קדושה]. אבל אם לא ייחדו לכך, אלא צר ביה לפי שעה ולא עשה תיקון בהזמנתו, לאו הזמנה היא ושרי. וכת' דאין חילוק בין יחוד קרקע למטלטלין. אך הביא דדעת הרי"ד לחלק דיחוד קרקע צריך מעשה, ויחוד מטלטלין אי"צ מעשה.</w:t>
      </w:r>
    </w:p>
  </w:footnote>
  <w:footnote w:id="4030">
    <w:p w14:paraId="0B10FADA" w14:textId="77777777" w:rsidR="00F64AED" w:rsidRDefault="00F64AED" w:rsidP="00F64AED">
      <w:pPr>
        <w:pStyle w:val="Footnote"/>
        <w:bidi/>
      </w:pPr>
      <w:r>
        <w:rPr>
          <w:rStyle w:val="ac"/>
          <w:rtl/>
        </w:rPr>
        <w:footnoteRef/>
      </w:r>
      <w:r>
        <w:rPr>
          <w:rtl/>
        </w:rPr>
        <w:t>וכדמבואר בפסחים דבמקום דאינו יכול לסלקו בזוזי אמרי' למפרע הוא גובה.</w:t>
      </w:r>
    </w:p>
    <w:p w14:paraId="257439F7" w14:textId="77777777" w:rsidR="00F64AED" w:rsidRDefault="00F64AED" w:rsidP="00F64AED">
      <w:pPr>
        <w:pStyle w:val="Footnote"/>
        <w:bidi/>
      </w:pPr>
      <w:r>
        <w:rPr>
          <w:rtl/>
        </w:rPr>
        <w:tab/>
        <w:t>וה</w:t>
      </w:r>
      <w:r>
        <w:rPr>
          <w:b/>
          <w:bCs/>
          <w:rtl/>
        </w:rPr>
        <w:t xml:space="preserve">קה"י </w:t>
      </w:r>
      <w:r>
        <w:rPr>
          <w:rtl/>
        </w:rPr>
        <w:t>(מא) תמה היאך שייך לומר למפרע הוא גובה [משעת נישואין] בנכסי צאן ברזל, הרי הכניסה לו שיהא שייך לבעל.</w:t>
      </w:r>
    </w:p>
  </w:footnote>
  <w:footnote w:id="4031">
    <w:p w14:paraId="76E0781E" w14:textId="77777777" w:rsidR="00F64AED" w:rsidRDefault="00F64AED" w:rsidP="00F64AED">
      <w:pPr>
        <w:pStyle w:val="Footnote"/>
        <w:bidi/>
      </w:pPr>
      <w:r>
        <w:rPr>
          <w:rStyle w:val="ac"/>
          <w:rtl/>
        </w:rPr>
        <w:footnoteRef/>
      </w:r>
      <w:r>
        <w:rPr>
          <w:rtl/>
        </w:rPr>
        <w:t>וה</w:t>
      </w:r>
      <w:r>
        <w:rPr>
          <w:b/>
          <w:bCs/>
          <w:rtl/>
        </w:rPr>
        <w:t>אבנ"מ</w:t>
      </w:r>
      <w:r>
        <w:rPr>
          <w:rtl/>
        </w:rPr>
        <w:t xml:space="preserve"> (צ כא) כתב דלפ"ז בעבדים תליא במח' האם גובים מהעבדים (ב"ק יב), ודעת רבא (שם) דכמקרקעי. ועפ"ז כתב דרבא לשיטתו הביא ראיה מהברייתא דעבדי צ"ב, ואין לחלק משום דמחוסר גוביינא. אבל להלכה דאין גובים מהעבדים, ולא אמרי' למפרע גובה.</w:t>
      </w:r>
    </w:p>
  </w:footnote>
  <w:footnote w:id="4032">
    <w:p w14:paraId="1C6D0A5E" w14:textId="77777777" w:rsidR="00F64AED" w:rsidRDefault="00F64AED" w:rsidP="00F64AED">
      <w:pPr>
        <w:pStyle w:val="Footnote"/>
        <w:bidi/>
      </w:pPr>
      <w:r>
        <w:rPr>
          <w:rStyle w:val="ac"/>
          <w:rtl/>
        </w:rPr>
        <w:footnoteRef/>
      </w:r>
      <w:r>
        <w:rPr>
          <w:rtl/>
        </w:rPr>
        <w:t>[ואמרי' דהקדש מפקיע שעבוד אף דלמפרע הוא גובה, ודוקא באפותיקי אמרי' דאם אינו יכול לסלקו הוה גביה גמורה].</w:t>
      </w:r>
    </w:p>
  </w:footnote>
  <w:footnote w:id="4033">
    <w:p w14:paraId="1E33682E" w14:textId="77777777" w:rsidR="00F64AED" w:rsidRDefault="00F64AED" w:rsidP="00F64AED">
      <w:pPr>
        <w:pStyle w:val="Footnote"/>
        <w:bidi/>
      </w:pPr>
      <w:r>
        <w:rPr>
          <w:rStyle w:val="ac"/>
          <w:rtl/>
        </w:rPr>
        <w:footnoteRef/>
      </w:r>
      <w:r>
        <w:rPr>
          <w:rtl/>
        </w:rPr>
        <w:t>אבל לתוס' (גיטין וכ"מ) למ"ד למפרע הוא גובה לא נפקע השעבוד [דסגי במעשה גבייה בעלמא, ואף דהוה הקדש. א"נ דנחשב גביה מונית, כיון דיש לו זכות ממון דעדיף לזכות ההקדש, ועי”ז מותר להשתמש].</w:t>
      </w:r>
    </w:p>
  </w:footnote>
  <w:footnote w:id="4034">
    <w:p w14:paraId="353070BF" w14:textId="77777777" w:rsidR="00F64AED" w:rsidRDefault="00F64AED" w:rsidP="00F64AED">
      <w:pPr>
        <w:pStyle w:val="Footnote"/>
        <w:bidi/>
      </w:pPr>
      <w:r>
        <w:rPr>
          <w:rStyle w:val="ac"/>
          <w:rtl/>
        </w:rPr>
        <w:footnoteRef/>
      </w:r>
      <w:r>
        <w:rPr>
          <w:rtl/>
        </w:rPr>
        <w:t>והוסיף עוד דהגדר למפרע הוא דהמעשה גביה שהיתה לבסוף מהני למפרע, והכא ליכא גבייה לבסוף.</w:t>
      </w:r>
    </w:p>
  </w:footnote>
  <w:footnote w:id="4035">
    <w:p w14:paraId="1E622688" w14:textId="77777777" w:rsidR="00F64AED" w:rsidRDefault="00F64AED" w:rsidP="00F64AED">
      <w:pPr>
        <w:pStyle w:val="Footnote"/>
        <w:bidi/>
      </w:pPr>
      <w:r>
        <w:rPr>
          <w:rStyle w:val="ac"/>
          <w:rtl/>
        </w:rPr>
        <w:footnoteRef/>
      </w:r>
      <w:r>
        <w:rPr>
          <w:rtl/>
        </w:rPr>
        <w:t>[ובשלמא בכלי א' דהוזל י"ל דנותנת דמים מגדרי גוד או איגוד]. [אבל בגמ' לא הוזכר דיש בזה תוספת חידוש].</w:t>
      </w:r>
    </w:p>
  </w:footnote>
  <w:footnote w:id="4036">
    <w:p w14:paraId="366CEC66" w14:textId="77777777" w:rsidR="00F64AED" w:rsidRDefault="00F64AED" w:rsidP="00F64AED">
      <w:pPr>
        <w:pStyle w:val="Footnote"/>
        <w:bidi/>
      </w:pPr>
      <w:r>
        <w:rPr>
          <w:rStyle w:val="ac"/>
          <w:rtl/>
        </w:rPr>
        <w:footnoteRef/>
      </w:r>
      <w:r>
        <w:rPr>
          <w:rtl/>
        </w:rPr>
        <w:t>ורב ששת (שם קמב.) לא חילק בזה, ונקט דלדעת ר' יוסי המזכה לעובר קנה. ואביי דחה דהוה ירושה מאליה.</w:t>
      </w:r>
    </w:p>
  </w:footnote>
  <w:footnote w:id="4037">
    <w:p w14:paraId="0BB5D95A" w14:textId="77777777" w:rsidR="00F64AED" w:rsidRDefault="00F64AED" w:rsidP="00F64AED">
      <w:pPr>
        <w:pStyle w:val="Footnote"/>
        <w:bidi/>
      </w:pPr>
      <w:r>
        <w:rPr>
          <w:rStyle w:val="ac"/>
          <w:rtl/>
        </w:rPr>
        <w:footnoteRef/>
      </w:r>
      <w:r>
        <w:rPr>
          <w:rtl/>
        </w:rPr>
        <w:t>וה</w:t>
      </w:r>
      <w:r>
        <w:rPr>
          <w:b/>
          <w:bCs/>
          <w:rtl/>
        </w:rPr>
        <w:t>מנח"ח</w:t>
      </w:r>
      <w:r>
        <w:rPr>
          <w:rtl/>
        </w:rPr>
        <w:t xml:space="preserve"> (רפ ה) דן דנימא דלמש"כ ה</w:t>
      </w:r>
      <w:r>
        <w:rPr>
          <w:b/>
          <w:bCs/>
          <w:rtl/>
        </w:rPr>
        <w:t>ר"ן</w:t>
      </w:r>
      <w:r>
        <w:rPr>
          <w:rtl/>
        </w:rPr>
        <w:t xml:space="preserve"> (נדרים מה: ר”פ השותפין) דאמרי' ברירה בשותפין, ונחשב בעלים ביום שמשתמש בו, א"כ יאכל בתרומה. דתרומה תליא בקנין הגוף, וכמי שנמכר וחזר ונמכר, וכששייך לכהן אוכל בתרומה. וכ' די"ל דהתו"כ קאי בחצי עבד [והביא דכ"כ בקרבן אהרן שם], דל”ש קנין הגוף על חצי בן חורין, דאין משוחרר משתעבד.</w:t>
      </w:r>
    </w:p>
    <w:p w14:paraId="5A60126F" w14:textId="77777777" w:rsidR="00F64AED" w:rsidRDefault="00F64AED" w:rsidP="00F64AED">
      <w:pPr>
        <w:pStyle w:val="Footnote"/>
        <w:bidi/>
      </w:pPr>
      <w:r>
        <w:rPr>
          <w:rtl/>
        </w:rPr>
        <w:tab/>
        <w:t>אבל ה</w:t>
      </w:r>
      <w:r>
        <w:rPr>
          <w:b/>
          <w:bCs/>
          <w:rtl/>
        </w:rPr>
        <w:t xml:space="preserve">אמר"מ </w:t>
      </w:r>
      <w:r>
        <w:rPr>
          <w:rtl/>
        </w:rPr>
        <w:t>(יג ו) כתב דלענין תרומה בעינן שיהא כספו לעולם, אבל אינו אוכל מחמת שקנוי לו לזמן [אבל נכסי לך ואחריך לפלוני הוה קנין לעולם, ועי”ש שדן בגדר אחריך].</w:t>
      </w:r>
    </w:p>
  </w:footnote>
  <w:footnote w:id="4038">
    <w:p w14:paraId="32B003C4" w14:textId="77777777" w:rsidR="00F64AED" w:rsidRDefault="00F64AED" w:rsidP="00F64AED">
      <w:pPr>
        <w:pStyle w:val="Footnote"/>
        <w:bidi/>
      </w:pPr>
      <w:r>
        <w:rPr>
          <w:rStyle w:val="ac"/>
          <w:rtl/>
        </w:rPr>
        <w:footnoteRef/>
      </w:r>
      <w:r>
        <w:rPr>
          <w:rtl/>
        </w:rPr>
        <w:t>והמנח"ח הביא דב</w:t>
      </w:r>
      <w:r>
        <w:rPr>
          <w:b/>
          <w:bCs/>
          <w:rtl/>
        </w:rPr>
        <w:t xml:space="preserve">קרבן אהרן </w:t>
      </w:r>
      <w:r>
        <w:rPr>
          <w:rtl/>
        </w:rPr>
        <w:t>ביאר דברי התו"כ בחצי עבד.</w:t>
      </w:r>
    </w:p>
  </w:footnote>
  <w:footnote w:id="4039">
    <w:p w14:paraId="258D4F12" w14:textId="77777777" w:rsidR="00F64AED" w:rsidRDefault="00F64AED" w:rsidP="00F64AED">
      <w:pPr>
        <w:pStyle w:val="Footnote"/>
        <w:bidi/>
      </w:pPr>
      <w:r>
        <w:rPr>
          <w:rStyle w:val="ac"/>
          <w:rtl/>
        </w:rPr>
        <w:footnoteRef/>
      </w:r>
      <w:r>
        <w:rPr>
          <w:rtl/>
        </w:rPr>
        <w:t>אך ה</w:t>
      </w:r>
      <w:r>
        <w:rPr>
          <w:b/>
          <w:bCs/>
          <w:rtl/>
        </w:rPr>
        <w:t>חזו"א</w:t>
      </w:r>
      <w:r>
        <w:rPr>
          <w:rtl/>
        </w:rPr>
        <w:t xml:space="preserve"> (שם) כתב דכוונת התוס' [דספק הגמ' שם] אם אכל תרומה, האם מתחייב קרן וחומש לפי כולו או חציו [אבל ודאי דאסור לכתחילה].</w:t>
      </w:r>
    </w:p>
  </w:footnote>
  <w:footnote w:id="4040">
    <w:p w14:paraId="391F295A" w14:textId="77777777" w:rsidR="00F64AED" w:rsidRDefault="00F64AED" w:rsidP="00F64AED">
      <w:pPr>
        <w:pStyle w:val="Footnote"/>
        <w:bidi/>
      </w:pPr>
      <w:r>
        <w:rPr>
          <w:rStyle w:val="ac"/>
          <w:rtl/>
        </w:rPr>
        <w:footnoteRef/>
      </w:r>
      <w:r>
        <w:rPr>
          <w:rtl/>
        </w:rPr>
        <w:t>אבל ה</w:t>
      </w:r>
      <w:r>
        <w:rPr>
          <w:b/>
          <w:bCs/>
          <w:rtl/>
        </w:rPr>
        <w:t>מהרש"א</w:t>
      </w:r>
      <w:r>
        <w:rPr>
          <w:rtl/>
        </w:rPr>
        <w:t xml:space="preserve"> (שם) כת' לא ידענא תמיהתו, דהא יש צד דקידושיו קידושין [מחמת צד בן חורין]. ודנים את כל העבד כא'.</w:t>
      </w:r>
    </w:p>
  </w:footnote>
  <w:footnote w:id="4041">
    <w:p w14:paraId="7B8223EE" w14:textId="77777777" w:rsidR="00F64AED" w:rsidRDefault="00F64AED" w:rsidP="00F64AED">
      <w:pPr>
        <w:pStyle w:val="Footnote"/>
        <w:bidi/>
      </w:pPr>
      <w:r>
        <w:rPr>
          <w:rStyle w:val="ac"/>
          <w:rtl/>
        </w:rPr>
        <w:footnoteRef/>
      </w:r>
      <w:r>
        <w:rPr>
          <w:rtl/>
        </w:rPr>
        <w:t>וצד חירות שייך לצד עבדות. [וצ”ב].</w:t>
      </w:r>
    </w:p>
  </w:footnote>
  <w:footnote w:id="4042">
    <w:p w14:paraId="4AA9512E" w14:textId="77777777" w:rsidR="00F64AED" w:rsidRDefault="00F64AED" w:rsidP="00F64AED">
      <w:pPr>
        <w:pStyle w:val="Footnote"/>
        <w:bidi/>
      </w:pPr>
      <w:r>
        <w:rPr>
          <w:rStyle w:val="ac"/>
          <w:rtl/>
        </w:rPr>
        <w:footnoteRef/>
      </w:r>
      <w:r>
        <w:rPr>
          <w:rtl/>
        </w:rPr>
        <w:t>[ויל"ד דבן חורין אינו קנין 'בעלים' על עצמו. ועוד החצי בן חורין אינו קנין של חצי העבד].</w:t>
      </w:r>
    </w:p>
  </w:footnote>
  <w:footnote w:id="4043">
    <w:p w14:paraId="5C9C24F4" w14:textId="77777777" w:rsidR="00F64AED" w:rsidRDefault="00F64AED" w:rsidP="00F64AED">
      <w:pPr>
        <w:pStyle w:val="Footnote"/>
        <w:bidi/>
      </w:pPr>
      <w:r>
        <w:rPr>
          <w:rStyle w:val="ac"/>
          <w:rtl/>
        </w:rPr>
        <w:footnoteRef/>
      </w:r>
      <w:r>
        <w:rPr>
          <w:rtl/>
        </w:rPr>
        <w:t>שיתייחד לאדון זה. וכיון דיש שותפין, אינו מיוחד לכל א'.</w:t>
      </w:r>
    </w:p>
  </w:footnote>
  <w:footnote w:id="4044">
    <w:p w14:paraId="6D429D46" w14:textId="77777777" w:rsidR="00F64AED" w:rsidRDefault="00F64AED" w:rsidP="00F64AED">
      <w:pPr>
        <w:pStyle w:val="Footnote"/>
        <w:bidi/>
      </w:pPr>
      <w:r>
        <w:rPr>
          <w:rStyle w:val="ac"/>
          <w:rtl/>
        </w:rPr>
        <w:footnoteRef/>
      </w:r>
      <w:r>
        <w:rPr>
          <w:rtl/>
        </w:rPr>
        <w:t xml:space="preserve">ומשמע דהרמב"ם קאי בשותפין דלכל א' החצי, ודלא כדעת </w:t>
      </w:r>
      <w:r>
        <w:rPr>
          <w:b/>
          <w:bCs/>
          <w:rtl/>
        </w:rPr>
        <w:t>תוס</w:t>
      </w:r>
      <w:r>
        <w:rPr>
          <w:rtl/>
        </w:rPr>
        <w:t>' (גיטין מב.) דדוקא היכא דהגוף לזה ופירות לזה.</w:t>
      </w:r>
    </w:p>
  </w:footnote>
  <w:footnote w:id="4045">
    <w:p w14:paraId="2F987134" w14:textId="77777777" w:rsidR="00F64AED" w:rsidRDefault="00F64AED" w:rsidP="00F64AED">
      <w:pPr>
        <w:pStyle w:val="Footnote"/>
        <w:bidi/>
      </w:pPr>
      <w:r>
        <w:rPr>
          <w:rStyle w:val="ac"/>
          <w:rtl/>
        </w:rPr>
        <w:footnoteRef/>
      </w:r>
      <w:r>
        <w:rPr>
          <w:rtl/>
        </w:rPr>
        <w:t>וכתב דאף אילו אמו כהנת [ובמעי כהנת הוה כהן], מ”מ לא ימלט דאם אביו או שם אבי אביו היתה זרה.</w:t>
      </w:r>
    </w:p>
  </w:footnote>
  <w:footnote w:id="4046">
    <w:p w14:paraId="063BAB97" w14:textId="77777777" w:rsidR="00F64AED" w:rsidRDefault="00F64AED" w:rsidP="00F64AED">
      <w:pPr>
        <w:pStyle w:val="Footnote"/>
        <w:bidi/>
      </w:pPr>
      <w:r>
        <w:rPr>
          <w:rStyle w:val="ac"/>
          <w:rtl/>
        </w:rPr>
        <w:footnoteRef/>
      </w:r>
      <w:r>
        <w:rPr>
          <w:rtl/>
        </w:rPr>
        <w:t>וה</w:t>
      </w:r>
      <w:r>
        <w:rPr>
          <w:b/>
          <w:bCs/>
          <w:rtl/>
        </w:rPr>
        <w:t>רדב"ז</w:t>
      </w:r>
      <w:r>
        <w:rPr>
          <w:rtl/>
        </w:rPr>
        <w:t xml:space="preserve"> (הו' בפתח"ת שעא) כתב דכוונת הרוקח ליכנס ע"ד ללדת שם. [וכ"פ ה</w:t>
      </w:r>
      <w:r>
        <w:rPr>
          <w:b/>
          <w:bCs/>
          <w:rtl/>
        </w:rPr>
        <w:t>משנ"ב</w:t>
      </w:r>
      <w:r>
        <w:rPr>
          <w:rtl/>
        </w:rPr>
        <w:t xml:space="preserve"> שמג ג]. ועפ”ז ל"ק מהא דעובר במעי זרה.</w:t>
      </w:r>
    </w:p>
    <w:p w14:paraId="3A326F36" w14:textId="77777777" w:rsidR="00F64AED" w:rsidRDefault="00F64AED" w:rsidP="00F64AED">
      <w:pPr>
        <w:pStyle w:val="Footnote"/>
        <w:bidi/>
      </w:pPr>
      <w:r>
        <w:rPr>
          <w:rtl/>
        </w:rPr>
        <w:tab/>
        <w:t>והקוב"ש הביא עוד בשם</w:t>
      </w:r>
      <w:r>
        <w:rPr>
          <w:b/>
          <w:bCs/>
          <w:rtl/>
        </w:rPr>
        <w:t xml:space="preserve"> ר' זלמן ליפשיץ</w:t>
      </w:r>
      <w:r>
        <w:rPr>
          <w:rtl/>
        </w:rPr>
        <w:t xml:space="preserve"> דאסור לגרום טומאה לכהן, ואם יטמא בעודו עובר ישאר טומאתו כשיולד.</w:t>
      </w:r>
    </w:p>
  </w:footnote>
  <w:footnote w:id="4047">
    <w:p w14:paraId="3BE13CAA" w14:textId="77777777" w:rsidR="00F64AED" w:rsidRDefault="00F64AED" w:rsidP="00F64AED">
      <w:pPr>
        <w:pStyle w:val="Footnote"/>
        <w:bidi/>
      </w:pPr>
      <w:r>
        <w:rPr>
          <w:rStyle w:val="ac"/>
          <w:rtl/>
        </w:rPr>
        <w:footnoteRef/>
      </w:r>
      <w:r>
        <w:rPr>
          <w:rtl/>
        </w:rPr>
        <w:t>ולכאורה כוונתו מדין רוב, ע' בסוף העמ'.</w:t>
      </w:r>
    </w:p>
  </w:footnote>
  <w:footnote w:id="4048">
    <w:p w14:paraId="4AE11BA0" w14:textId="77777777" w:rsidR="00F64AED" w:rsidRDefault="00F64AED" w:rsidP="00F64AED">
      <w:pPr>
        <w:pStyle w:val="Footnote"/>
        <w:bidi/>
      </w:pPr>
      <w:r>
        <w:rPr>
          <w:rStyle w:val="ac"/>
          <w:rtl/>
        </w:rPr>
        <w:footnoteRef/>
      </w:r>
      <w:r>
        <w:rPr>
          <w:rtl/>
        </w:rPr>
        <w:t>ועפ"ז במקום דליכא ספק ספיקא אסור. [ומשמע דנקט דהוה ס"ס, ולא רוב ע' בסמוך].</w:t>
      </w:r>
    </w:p>
  </w:footnote>
  <w:footnote w:id="4049">
    <w:p w14:paraId="38EDA91C" w14:textId="77777777" w:rsidR="00F64AED" w:rsidRDefault="00F64AED" w:rsidP="00F64AED">
      <w:pPr>
        <w:pStyle w:val="Footnote"/>
        <w:bidi/>
      </w:pPr>
      <w:r>
        <w:rPr>
          <w:rStyle w:val="ac"/>
          <w:rtl/>
        </w:rPr>
        <w:footnoteRef/>
      </w:r>
      <w:r>
        <w:rPr>
          <w:rtl/>
        </w:rPr>
        <w:t>וה</w:t>
      </w:r>
      <w:r>
        <w:rPr>
          <w:b/>
          <w:bCs/>
          <w:rtl/>
        </w:rPr>
        <w:t>ברכי יוסף</w:t>
      </w:r>
      <w:r>
        <w:rPr>
          <w:rtl/>
        </w:rPr>
        <w:t xml:space="preserve"> תי' דלמ"ד עובר ירך אמו לא נחשב טומאה בלועה.</w:t>
      </w:r>
    </w:p>
  </w:footnote>
  <w:footnote w:id="4050">
    <w:p w14:paraId="107D64CD" w14:textId="77777777" w:rsidR="00F64AED" w:rsidRDefault="00F64AED" w:rsidP="00F64AED">
      <w:pPr>
        <w:pStyle w:val="Footnote"/>
        <w:bidi/>
      </w:pPr>
      <w:r>
        <w:rPr>
          <w:rStyle w:val="ac"/>
          <w:rtl/>
        </w:rPr>
        <w:footnoteRef/>
      </w:r>
      <w:r>
        <w:rPr>
          <w:rtl/>
        </w:rPr>
        <w:t>וצ"ל דהרוקח פסק כמ”ד לאו ירך אמו [וע”ע לקמן עח. ותוס' סנהדרין פ]. אך ה</w:t>
      </w:r>
      <w:r>
        <w:rPr>
          <w:b/>
          <w:bCs/>
          <w:rtl/>
        </w:rPr>
        <w:t>ערול"נ</w:t>
      </w:r>
      <w:r>
        <w:rPr>
          <w:rtl/>
        </w:rPr>
        <w:t xml:space="preserve"> (ובבנין ציון חדשות צו) הק' דאי עובר ירך אמו, א"כ הוה נקיבה. והאיך נוכל לתפוס ב' הפכים. [והשואל בשו"ת בנין ציון נקט דהוה ירך אמו, ואפ"ה נחשב זכר. והביאו מקו' התוס' (לעיל מו:) דמעוברת שנתגיירה, הבן צריך מילה לגירות. ומבואר דנחשב 'זכר'].</w:t>
      </w:r>
    </w:p>
  </w:footnote>
  <w:footnote w:id="4051">
    <w:p w14:paraId="3590C6D8" w14:textId="77777777" w:rsidR="00F64AED" w:rsidRDefault="00F64AED" w:rsidP="00F64AED">
      <w:pPr>
        <w:pStyle w:val="Footnote"/>
        <w:bidi/>
      </w:pPr>
      <w:r>
        <w:rPr>
          <w:rStyle w:val="ac"/>
          <w:rtl/>
        </w:rPr>
        <w:footnoteRef/>
      </w:r>
      <w:r>
        <w:rPr>
          <w:rtl/>
        </w:rPr>
        <w:t>אבל הביאו בד</w:t>
      </w:r>
      <w:r>
        <w:rPr>
          <w:b/>
          <w:bCs/>
          <w:rtl/>
        </w:rPr>
        <w:t>פי' הריב"ן</w:t>
      </w:r>
      <w:r>
        <w:rPr>
          <w:rtl/>
        </w:rPr>
        <w:t xml:space="preserve"> כתב דכשהיא אוכלת משום בניה מהכהן, אף העובר נחשב כהן ומאכיל [בעבדי אביו]. וצ"ל דהברייתא קאי למ"ד אינו ילוד אינו מאכיל, וס"ל דאף בת כהן לכהן [ופליג אמתני'].</w:t>
      </w:r>
    </w:p>
  </w:footnote>
  <w:footnote w:id="4052">
    <w:p w14:paraId="0E29130E" w14:textId="77777777" w:rsidR="00F64AED" w:rsidRDefault="00F64AED" w:rsidP="00F64AED">
      <w:pPr>
        <w:pStyle w:val="Footnote"/>
        <w:bidi/>
      </w:pPr>
      <w:r>
        <w:rPr>
          <w:rStyle w:val="ac"/>
          <w:rtl/>
        </w:rPr>
        <w:footnoteRef/>
      </w:r>
      <w:r>
        <w:rPr>
          <w:rtl/>
        </w:rPr>
        <w:t>[ועד"ז יל"ד באלמנה ששוב נתקדשה לכהן, דהוה אשת כהן. אבל ל"מ כהונה זו לעובר בן של הראשון].</w:t>
      </w:r>
    </w:p>
  </w:footnote>
  <w:footnote w:id="4053">
    <w:p w14:paraId="58CCB79B" w14:textId="77777777" w:rsidR="00F64AED" w:rsidRDefault="00F64AED" w:rsidP="00F64AED">
      <w:pPr>
        <w:pStyle w:val="Footnote"/>
        <w:bidi/>
      </w:pPr>
      <w:r>
        <w:rPr>
          <w:rStyle w:val="ac"/>
          <w:rtl/>
        </w:rPr>
        <w:footnoteRef/>
      </w:r>
      <w:r>
        <w:rPr>
          <w:rtl/>
        </w:rPr>
        <w:t>ומשמע דאילו תלד זר פוסל. ודלא כמ"ש תוס' להוכיח מזר וממזר. [וה</w:t>
      </w:r>
      <w:r>
        <w:rPr>
          <w:b/>
          <w:bCs/>
          <w:rtl/>
        </w:rPr>
        <w:t>אחרונים</w:t>
      </w:r>
      <w:r>
        <w:rPr>
          <w:rtl/>
        </w:rPr>
        <w:t xml:space="preserve"> כת' דבעי זרע כהונה להאכיל את אמו, אבל ע"י בני בנים אפי' ממזר, נחשב שהבת הכהונת קיימת]. [וע"ע לקמן סט.].</w:t>
      </w:r>
    </w:p>
  </w:footnote>
  <w:footnote w:id="4054">
    <w:p w14:paraId="40ACA600" w14:textId="77777777" w:rsidR="00F64AED" w:rsidRDefault="00F64AED" w:rsidP="00F64AED">
      <w:pPr>
        <w:pStyle w:val="Footnote"/>
        <w:bidi/>
      </w:pPr>
      <w:r>
        <w:rPr>
          <w:rStyle w:val="ac"/>
          <w:rtl/>
        </w:rPr>
        <w:footnoteRef/>
      </w:r>
      <w:r>
        <w:rPr>
          <w:rtl/>
        </w:rPr>
        <w:t>ועוד יש להביא דבת כהן שנשאת לישראל אינה אוכלת בתרומה, ומאכלת את אמה. ואפי' כשנתחללה בביאת פסול כהונה.</w:t>
      </w:r>
    </w:p>
  </w:footnote>
  <w:footnote w:id="4055">
    <w:p w14:paraId="3A692F08" w14:textId="77777777" w:rsidR="00F64AED" w:rsidRDefault="00F64AED" w:rsidP="00F64AED">
      <w:pPr>
        <w:pStyle w:val="Footnote"/>
        <w:bidi/>
      </w:pPr>
      <w:r>
        <w:rPr>
          <w:rStyle w:val="ac"/>
          <w:rtl/>
        </w:rPr>
        <w:footnoteRef/>
      </w:r>
      <w:r>
        <w:rPr>
          <w:rtl/>
        </w:rPr>
        <w:t>אבל מ"ד בסוגיין דאף במעי כהנת אינו אוכל הוה מטעם אחר, דבעי 'ילוד' להחשב בעלים לדין קנין כספו. [א"נ בן כהנת לא נחשב כהן להאכיל, דבעי יחוס כהונה מאביו].</w:t>
      </w:r>
    </w:p>
  </w:footnote>
  <w:footnote w:id="4056">
    <w:p w14:paraId="703E285C" w14:textId="77777777" w:rsidR="00F64AED" w:rsidRDefault="00F64AED" w:rsidP="00F64AED">
      <w:pPr>
        <w:pStyle w:val="Footnote"/>
        <w:bidi/>
      </w:pPr>
      <w:r>
        <w:rPr>
          <w:rStyle w:val="ac"/>
          <w:rtl/>
        </w:rPr>
        <w:footnoteRef/>
      </w:r>
      <w:r>
        <w:rPr>
          <w:rtl/>
        </w:rPr>
        <w:t>ואף לר' יוסי משכח"ל וכגון שמת קודם מ' יום [דהוה מיא בעלמא, וע' תוס' חד מקמאי], ועכ"פ קודם ג' ימים דקליטת הזרע. [וע' מש”כ לעיל לז. בשם הנוב”י לענין יבום]. ואפ"ה יורש אח"כ.</w:t>
      </w:r>
    </w:p>
  </w:footnote>
  <w:footnote w:id="4057">
    <w:p w14:paraId="1B9F4530" w14:textId="77777777" w:rsidR="00F64AED" w:rsidRDefault="00F64AED" w:rsidP="00F64AED">
      <w:pPr>
        <w:pStyle w:val="Footnote"/>
        <w:bidi/>
      </w:pPr>
      <w:r>
        <w:rPr>
          <w:rStyle w:val="ac"/>
          <w:rtl/>
        </w:rPr>
        <w:footnoteRef/>
      </w:r>
      <w:r>
        <w:rPr>
          <w:rtl/>
        </w:rPr>
        <w:t>וה</w:t>
      </w:r>
      <w:r>
        <w:rPr>
          <w:b/>
          <w:bCs/>
          <w:rtl/>
        </w:rPr>
        <w:t>רמ"ה</w:t>
      </w:r>
      <w:r>
        <w:rPr>
          <w:rtl/>
        </w:rPr>
        <w:t xml:space="preserve"> (ב"ב שם סו"ס כט) הקשה כיון דעובר לית ליה זכייה עד שיולד, א"כ בן שנולד לאחר מיתת אביו אמאי ירית ליה לאבוה כלל, הא ליתיה בשעת מיתת אביו דליקני. ותי' דמוכח כן מהפסוק, מדאיצטריך למעט (שם קמב:) דנולד לאחר מיתת אביו אינו מקבל חלק בכורה, מכלל דיורש חלק פשוט. ועוד דכתיב איש כי ימות ובן אין לו אמר רחמנא מכל מקום בן קודם, דלא תלא רחמנא בדאיתיה בשעת מיתה.</w:t>
      </w:r>
    </w:p>
  </w:footnote>
  <w:footnote w:id="4058">
    <w:p w14:paraId="482E0E57" w14:textId="77777777" w:rsidR="00F64AED" w:rsidRDefault="00F64AED" w:rsidP="00F64AED">
      <w:pPr>
        <w:pStyle w:val="Footnote"/>
        <w:bidi/>
      </w:pPr>
      <w:r>
        <w:rPr>
          <w:rStyle w:val="ac"/>
          <w:rtl/>
        </w:rPr>
        <w:footnoteRef/>
      </w:r>
      <w:r>
        <w:rPr>
          <w:rtl/>
        </w:rPr>
        <w:t>וכה"ק ה</w:t>
      </w:r>
      <w:r>
        <w:rPr>
          <w:b/>
          <w:bCs/>
          <w:rtl/>
        </w:rPr>
        <w:t>קוב"ש</w:t>
      </w:r>
      <w:r>
        <w:rPr>
          <w:rtl/>
        </w:rPr>
        <w:t xml:space="preserve"> (ב יב ה) דיורש רק מכאן ולהבא, ובמה כחו יפה להוציא הנכסים.</w:t>
      </w:r>
    </w:p>
  </w:footnote>
  <w:footnote w:id="4059">
    <w:p w14:paraId="29E8F985" w14:textId="77777777" w:rsidR="00F64AED" w:rsidRDefault="00F64AED" w:rsidP="00F64AED">
      <w:pPr>
        <w:pStyle w:val="Footnote"/>
        <w:bidi/>
      </w:pPr>
      <w:r>
        <w:rPr>
          <w:rStyle w:val="ac"/>
          <w:rtl/>
        </w:rPr>
        <w:footnoteRef/>
      </w:r>
      <w:r>
        <w:rPr>
          <w:rtl/>
        </w:rPr>
        <w:t>ומכאן ולהבא זכותו עדיף. וה</w:t>
      </w:r>
      <w:r>
        <w:rPr>
          <w:b/>
          <w:bCs/>
          <w:rtl/>
        </w:rPr>
        <w:t>קוב"ש</w:t>
      </w:r>
      <w:r>
        <w:rPr>
          <w:rtl/>
        </w:rPr>
        <w:t xml:space="preserve"> (ב יב ה) כ' די"ל דוקא בבן דקם תחת אביו, והרי הוא כאילו אביו חי, וקם לתחיה ויקח הנכסים.</w:t>
      </w:r>
    </w:p>
    <w:p w14:paraId="69B93BF4" w14:textId="77777777" w:rsidR="00F64AED" w:rsidRDefault="00F64AED" w:rsidP="00F64AED">
      <w:pPr>
        <w:pStyle w:val="Footnote"/>
        <w:bidi/>
      </w:pPr>
      <w:r>
        <w:rPr>
          <w:rtl/>
        </w:rPr>
        <w:tab/>
        <w:t>{דאילו המת יקום לתחיה יזכה בנכסים. ויל"ד האם שייך קצת לגדרי למפרע, או דהוה מכאן ולהבא, ודמי לקנין אחריך. ובקובה"ע דן בגר שמת והניח עבדים, דלשמואל מפקיר עבדו אי"צ גט שחרור [וכן למ"ד עבדו דגר כאשתו, ע' גיטין לט], האם יחזרו וישתעבדו כשנולד אח”כ, דהאיך משוחרר חוזר ומשתעבד}.</w:t>
      </w:r>
    </w:p>
  </w:footnote>
  <w:footnote w:id="4060">
    <w:p w14:paraId="023DFB47" w14:textId="77777777" w:rsidR="00F64AED" w:rsidRDefault="00F64AED" w:rsidP="00F64AED">
      <w:pPr>
        <w:pStyle w:val="Footnote"/>
        <w:bidi/>
      </w:pPr>
      <w:r>
        <w:rPr>
          <w:rStyle w:val="ac"/>
          <w:rtl/>
        </w:rPr>
        <w:footnoteRef/>
      </w:r>
      <w:r>
        <w:rPr>
          <w:rtl/>
        </w:rPr>
        <w:t>ואפשר דע"ד הגר"ח נחשב 'שם יורש' למפרע [וממילא לא זכו היורשים האחרים בחלקו], ולא צריך 'בעלים' להגדרת שם יורש.</w:t>
      </w:r>
    </w:p>
  </w:footnote>
  <w:footnote w:id="4061">
    <w:p w14:paraId="1EDD7B08" w14:textId="77777777" w:rsidR="00F64AED" w:rsidRDefault="00F64AED" w:rsidP="00F64AED">
      <w:pPr>
        <w:pStyle w:val="Footnote"/>
        <w:bidi/>
      </w:pPr>
      <w:r>
        <w:rPr>
          <w:rStyle w:val="ac"/>
          <w:rtl/>
        </w:rPr>
        <w:footnoteRef/>
      </w:r>
      <w:r>
        <w:rPr>
          <w:rtl/>
        </w:rPr>
        <w:t>וחוששין למיעוט זכרים, אף במקום נקיבות ומפילות. אבל לתאומים לא חיישינן דהוה מיעוטא דמיעוטא.</w:t>
      </w:r>
    </w:p>
  </w:footnote>
  <w:footnote w:id="4062">
    <w:p w14:paraId="31C5AA24" w14:textId="77777777" w:rsidR="00F64AED" w:rsidRDefault="00F64AED" w:rsidP="00F64AED">
      <w:pPr>
        <w:pStyle w:val="Footnote"/>
        <w:bidi/>
      </w:pPr>
      <w:r>
        <w:rPr>
          <w:rStyle w:val="ac"/>
          <w:rtl/>
        </w:rPr>
        <w:footnoteRef/>
      </w:r>
      <w:r>
        <w:rPr>
          <w:rtl/>
        </w:rPr>
        <w:t>וה</w:t>
      </w:r>
      <w:r>
        <w:rPr>
          <w:b/>
          <w:bCs/>
          <w:rtl/>
        </w:rPr>
        <w:t>רשב"א</w:t>
      </w:r>
      <w:r>
        <w:rPr>
          <w:rtl/>
        </w:rPr>
        <w:t xml:space="preserve"> כת' ותדע לך דהיכא דאין לו אחין וכי יוכלו אחי המת או בני משפחה ליטול הנכסים ולומר עכשו אין זכיה לעובר ונטול את הנכסים אנו עד שיצא הוולד לאויר העולם. [משמע דגדר שאר משפחה פשיט"ל, והרשב"א חידש דאף בכולם בנים].</w:t>
      </w:r>
    </w:p>
  </w:footnote>
  <w:footnote w:id="4063">
    <w:p w14:paraId="071CF575" w14:textId="77777777" w:rsidR="00F64AED" w:rsidRDefault="00F64AED" w:rsidP="00F64AED">
      <w:pPr>
        <w:pStyle w:val="Footnote"/>
        <w:bidi/>
      </w:pPr>
      <w:r>
        <w:rPr>
          <w:rStyle w:val="ac"/>
          <w:rtl/>
        </w:rPr>
        <w:footnoteRef/>
      </w:r>
      <w:r>
        <w:rPr>
          <w:rtl/>
        </w:rPr>
        <w:t>וה</w:t>
      </w:r>
      <w:r>
        <w:rPr>
          <w:b/>
          <w:bCs/>
          <w:rtl/>
        </w:rPr>
        <w:t>קצות</w:t>
      </w:r>
      <w:r>
        <w:rPr>
          <w:rtl/>
        </w:rPr>
        <w:t xml:space="preserve"> (קי א) כת' דהיכא דיצא עליו בע"ח גובה [מיורשים הגדולים] למ"ד עובר אינו יורש. ולא הוה בכלל אין נפרעין מנכסי יתומים קטנים, דהעובר עדיין לא ירש. [וכיון דיש לבע"ח שטר וזכותו ודאי לא חששו כה”ג]. והנתיבות חלק.</w:t>
      </w:r>
    </w:p>
  </w:footnote>
  <w:footnote w:id="4064">
    <w:p w14:paraId="7D013CD4" w14:textId="77777777" w:rsidR="00F64AED" w:rsidRDefault="00F64AED" w:rsidP="00F64AED">
      <w:pPr>
        <w:pStyle w:val="Footnote"/>
        <w:bidi/>
      </w:pPr>
      <w:r>
        <w:rPr>
          <w:rStyle w:val="ac"/>
          <w:rtl/>
        </w:rPr>
        <w:footnoteRef/>
      </w:r>
      <w:r>
        <w:rPr>
          <w:rtl/>
        </w:rPr>
        <w:t>דהא השבח הוה של העובר, וכמ”ש תוס'. [ומבואר דנקט דאילו הוה מכאן ולהבא לא היה זוכה בו היורש].</w:t>
      </w:r>
    </w:p>
  </w:footnote>
  <w:footnote w:id="4065">
    <w:p w14:paraId="33877B1D" w14:textId="77777777" w:rsidR="00F64AED" w:rsidRDefault="00F64AED" w:rsidP="00F64AED">
      <w:pPr>
        <w:pStyle w:val="Footnote"/>
        <w:bidi/>
      </w:pPr>
      <w:r>
        <w:rPr>
          <w:rStyle w:val="ac"/>
          <w:rtl/>
        </w:rPr>
        <w:footnoteRef/>
      </w:r>
      <w:r>
        <w:rPr>
          <w:rtl/>
        </w:rPr>
        <w:t>ומשמע דהוה סברא בגדר שותפין, דאף דהוה משותף לתרוייהו, כיון דחלק העובר אינו קנין גמור מש"ה אינו משעבד ומגביל חלק האחים. ומש"ה מאכיל בתרומה. [וצ"ע]. [וע' תוס' רא"ש ב"ב קמב. הו' בהערה בסמוך].</w:t>
      </w:r>
    </w:p>
  </w:footnote>
  <w:footnote w:id="4066">
    <w:p w14:paraId="6F8AE92A" w14:textId="77777777" w:rsidR="00F64AED" w:rsidRDefault="00F64AED" w:rsidP="00F64AED">
      <w:pPr>
        <w:pStyle w:val="Footnote"/>
        <w:bidi/>
      </w:pPr>
      <w:r>
        <w:rPr>
          <w:rStyle w:val="ac"/>
          <w:rtl/>
        </w:rPr>
        <w:footnoteRef/>
      </w:r>
      <w:r>
        <w:rPr>
          <w:rtl/>
        </w:rPr>
        <w:t>אבל המשובב הביא דדעת הרמב"ם דאוכל בחזקת המשפחה.</w:t>
      </w:r>
    </w:p>
  </w:footnote>
  <w:footnote w:id="4067">
    <w:p w14:paraId="3F1FE419" w14:textId="77777777" w:rsidR="00F64AED" w:rsidRDefault="00F64AED" w:rsidP="00F64AED">
      <w:pPr>
        <w:pStyle w:val="Footnote"/>
        <w:bidi/>
      </w:pPr>
      <w:r>
        <w:rPr>
          <w:rStyle w:val="ac"/>
          <w:rtl/>
        </w:rPr>
        <w:footnoteRef/>
      </w:r>
      <w:r>
        <w:rPr>
          <w:rtl/>
        </w:rPr>
        <w:t>ובפשוטו הברייתא איירי באופן שכהן יורש [וה</w:t>
      </w:r>
      <w:r>
        <w:rPr>
          <w:b/>
          <w:bCs/>
          <w:rtl/>
        </w:rPr>
        <w:t>מאירי</w:t>
      </w:r>
      <w:r>
        <w:rPr>
          <w:rtl/>
        </w:rPr>
        <w:t xml:space="preserve"> כת' בשביל הכהנים הראויין לירש]. אבל רש"י הוסיף דמוכרח שיש יורשים.</w:t>
      </w:r>
    </w:p>
  </w:footnote>
  <w:footnote w:id="4068">
    <w:p w14:paraId="457E6607" w14:textId="77777777" w:rsidR="00F64AED" w:rsidRDefault="00F64AED" w:rsidP="00F64AED">
      <w:pPr>
        <w:pStyle w:val="Footnote"/>
        <w:bidi/>
      </w:pPr>
      <w:r>
        <w:rPr>
          <w:rStyle w:val="ac"/>
          <w:rtl/>
        </w:rPr>
        <w:footnoteRef/>
      </w:r>
      <w:r>
        <w:rPr>
          <w:rtl/>
        </w:rPr>
        <w:t xml:space="preserve">וכ"כ </w:t>
      </w:r>
      <w:r>
        <w:rPr>
          <w:b/>
          <w:bCs/>
          <w:rtl/>
        </w:rPr>
        <w:t>רבינו</w:t>
      </w:r>
      <w:r>
        <w:rPr>
          <w:rtl/>
        </w:rPr>
        <w:t xml:space="preserve"> </w:t>
      </w:r>
      <w:r>
        <w:rPr>
          <w:b/>
          <w:bCs/>
          <w:rtl/>
        </w:rPr>
        <w:t>יונה</w:t>
      </w:r>
      <w:r>
        <w:rPr>
          <w:rtl/>
        </w:rPr>
        <w:t xml:space="preserve"> (ב”ב שם) דלא אלימא הקנאת האדם במה שדעתו קרובה טפי מירושה הבא מאליה. [וע"ע רשב"א שם].</w:t>
      </w:r>
    </w:p>
  </w:footnote>
  <w:footnote w:id="4069">
    <w:p w14:paraId="1D1CF74F" w14:textId="77777777" w:rsidR="00F64AED" w:rsidRDefault="00F64AED" w:rsidP="00F64AED">
      <w:pPr>
        <w:pStyle w:val="Footnote"/>
        <w:bidi/>
      </w:pPr>
      <w:r>
        <w:rPr>
          <w:rStyle w:val="ac"/>
          <w:rtl/>
        </w:rPr>
        <w:footnoteRef/>
      </w:r>
      <w:r>
        <w:rPr>
          <w:rtl/>
        </w:rPr>
        <w:t>וכ"כ ה</w:t>
      </w:r>
      <w:r>
        <w:rPr>
          <w:b/>
          <w:bCs/>
          <w:rtl/>
        </w:rPr>
        <w:t>ריטב"א</w:t>
      </w:r>
      <w:r>
        <w:rPr>
          <w:rtl/>
        </w:rPr>
        <w:t xml:space="preserve"> (ב"ב שם) דהוה תקנ"ח במתנת שכיב מרע. [וע"ע ש"ך חו"מ רי א]. אבל </w:t>
      </w:r>
      <w:r>
        <w:rPr>
          <w:b/>
          <w:bCs/>
          <w:rtl/>
        </w:rPr>
        <w:t>רשב"ם</w:t>
      </w:r>
      <w:r>
        <w:rPr>
          <w:rtl/>
        </w:rPr>
        <w:t xml:space="preserve"> (שם) משמע דהוה מדינא, משום דגמר דעתו. וכ"כ ה</w:t>
      </w:r>
      <w:r>
        <w:rPr>
          <w:b/>
          <w:bCs/>
          <w:rtl/>
        </w:rPr>
        <w:t>תוס' רא"ש</w:t>
      </w:r>
      <w:r>
        <w:rPr>
          <w:rtl/>
        </w:rPr>
        <w:t xml:space="preserve"> (בשיטמ"ק שם) דש"מ דהא דאין אדם מקנה [ל]דבר שלא בא לעולם משום דלא גמר ומקנה. [ואכמ”ל]. [ומש"ה היכא דיש גמירות דעת גמור מהני]. וה</w:t>
      </w:r>
      <w:r>
        <w:rPr>
          <w:b/>
          <w:bCs/>
          <w:rtl/>
        </w:rPr>
        <w:t>ריטב"א</w:t>
      </w:r>
      <w:r>
        <w:rPr>
          <w:rtl/>
        </w:rPr>
        <w:t xml:space="preserve"> (ב"ב) דחה דטעמא דאין עובר קונה משום גריעותא דעובר דלא הוי בר זכיה, ולאו משום גריעותא דמקנה. וא"כ מה מהני דדעת שלו קרובה אצל בנו, לעשות את שאינו זוכה כזוכה.</w:t>
      </w:r>
    </w:p>
  </w:footnote>
  <w:footnote w:id="4070">
    <w:p w14:paraId="7B48403A" w14:textId="77777777" w:rsidR="00F64AED" w:rsidRDefault="00F64AED" w:rsidP="00F64AED">
      <w:pPr>
        <w:pStyle w:val="Footnote"/>
        <w:bidi/>
      </w:pPr>
      <w:r>
        <w:rPr>
          <w:rStyle w:val="ac"/>
          <w:rtl/>
        </w:rPr>
        <w:footnoteRef/>
      </w:r>
      <w:r>
        <w:rPr>
          <w:rtl/>
        </w:rPr>
        <w:t>ו</w:t>
      </w:r>
      <w:r>
        <w:rPr>
          <w:b/>
          <w:bCs/>
          <w:rtl/>
        </w:rPr>
        <w:t>מהר"י קורקוס</w:t>
      </w:r>
      <w:r>
        <w:rPr>
          <w:rtl/>
        </w:rPr>
        <w:t xml:space="preserve"> (תרומות הו' בסמוך) הביא דלדעת הרמב"ם יהני ירושה מאיליה.</w:t>
      </w:r>
    </w:p>
  </w:footnote>
  <w:footnote w:id="4071">
    <w:p w14:paraId="1DD4E98F" w14:textId="77777777" w:rsidR="00F64AED" w:rsidRDefault="00F64AED" w:rsidP="00F64AED">
      <w:pPr>
        <w:pStyle w:val="Footnote"/>
        <w:bidi/>
      </w:pPr>
      <w:r>
        <w:rPr>
          <w:rStyle w:val="ac"/>
          <w:rtl/>
        </w:rPr>
        <w:footnoteRef/>
      </w:r>
      <w:r>
        <w:rPr>
          <w:rtl/>
        </w:rPr>
        <w:t>וכן נטה ה</w:t>
      </w:r>
      <w:r>
        <w:rPr>
          <w:b/>
          <w:bCs/>
          <w:rtl/>
        </w:rPr>
        <w:t>ריטב"א</w:t>
      </w:r>
      <w:r>
        <w:rPr>
          <w:rtl/>
        </w:rPr>
        <w:t xml:space="preserve"> (ב"ב קמב:).</w:t>
      </w:r>
    </w:p>
  </w:footnote>
  <w:footnote w:id="4072">
    <w:p w14:paraId="0C10C96D" w14:textId="77777777" w:rsidR="00F64AED" w:rsidRDefault="00F64AED" w:rsidP="00F64AED">
      <w:pPr>
        <w:pStyle w:val="Footnote"/>
        <w:bidi/>
      </w:pPr>
      <w:r>
        <w:rPr>
          <w:rStyle w:val="ac"/>
          <w:rtl/>
        </w:rPr>
        <w:footnoteRef/>
      </w:r>
      <w:r>
        <w:rPr>
          <w:rtl/>
        </w:rPr>
        <w:t>וכ"ד ה</w:t>
      </w:r>
      <w:r>
        <w:rPr>
          <w:b/>
          <w:bCs/>
          <w:rtl/>
        </w:rPr>
        <w:t>עיטור</w:t>
      </w:r>
      <w:r>
        <w:rPr>
          <w:rtl/>
        </w:rPr>
        <w:t xml:space="preserve"> (ז זכוי ט: בדה"ס) דמסתברא אפי' בתוך מ' יום של יצירת הולד, ולא בעינן הכרת העובר. והו' ב</w:t>
      </w:r>
      <w:r>
        <w:rPr>
          <w:b/>
          <w:bCs/>
          <w:rtl/>
        </w:rPr>
        <w:t>טור</w:t>
      </w:r>
      <w:r>
        <w:rPr>
          <w:rtl/>
        </w:rPr>
        <w:t xml:space="preserve"> (חו"מ רי). וכ"כ ה</w:t>
      </w:r>
      <w:r>
        <w:rPr>
          <w:b/>
          <w:bCs/>
          <w:rtl/>
        </w:rPr>
        <w:t>מאירי</w:t>
      </w:r>
      <w:r>
        <w:rPr>
          <w:rtl/>
        </w:rPr>
        <w:t xml:space="preserve"> דתלי בקירוב הדעת, ואין חילוק בין קודם מ'. [אבל הריטב”א שם נקט דל”ש קירוב הדעת קודם מ']. ויל"ד האם כ"ז לצד דהוה תקנ"ח, אבל לענין ירושה ודאי תלי בהכרת העובר.</w:t>
      </w:r>
    </w:p>
  </w:footnote>
  <w:footnote w:id="4073">
    <w:p w14:paraId="7B0C1018" w14:textId="77777777" w:rsidR="00F64AED" w:rsidRDefault="00F64AED" w:rsidP="00F64AED">
      <w:pPr>
        <w:pStyle w:val="Footnote"/>
        <w:bidi/>
      </w:pPr>
      <w:r>
        <w:rPr>
          <w:rStyle w:val="ac"/>
          <w:rtl/>
        </w:rPr>
        <w:footnoteRef/>
      </w:r>
      <w:r>
        <w:rPr>
          <w:rtl/>
        </w:rPr>
        <w:t>ועוד קשה ד</w:t>
      </w:r>
      <w:r>
        <w:rPr>
          <w:b/>
          <w:bCs/>
          <w:rtl/>
        </w:rPr>
        <w:t>רש”י</w:t>
      </w:r>
      <w:r>
        <w:rPr>
          <w:rtl/>
        </w:rPr>
        <w:t xml:space="preserve"> (גיטין מז:) כת' דבשותפין אין לך כל חטה וחטה שאין חציה טבל וחציה חולין. [ומשמע דלא הוה ספק וברירה כלל. ותוס' שם חלקו בזה]. ויש שפי' דרש”י קאי הכא גבי תפוסת הבית, דגדר ירושה שעומד בחזקת כל האחים, ואינו מתחלק כל א' לפי חלקו.</w:t>
      </w:r>
    </w:p>
  </w:footnote>
  <w:footnote w:id="4074">
    <w:p w14:paraId="18D25D16" w14:textId="77777777" w:rsidR="00F64AED" w:rsidRDefault="00F64AED" w:rsidP="00F64AED">
      <w:pPr>
        <w:pStyle w:val="Footnote"/>
        <w:bidi/>
      </w:pPr>
      <w:r>
        <w:rPr>
          <w:rStyle w:val="ac"/>
          <w:rtl/>
        </w:rPr>
        <w:footnoteRef/>
      </w:r>
      <w:r>
        <w:rPr>
          <w:rtl/>
        </w:rPr>
        <w:t>[ולפ"ז הוה ספק, ואינו לוקה].</w:t>
      </w:r>
    </w:p>
  </w:footnote>
  <w:footnote w:id="4075">
    <w:p w14:paraId="5949CBEA" w14:textId="77777777" w:rsidR="00F64AED" w:rsidRDefault="00F64AED" w:rsidP="00F64AED">
      <w:pPr>
        <w:pStyle w:val="Footnote"/>
        <w:bidi/>
      </w:pPr>
      <w:r>
        <w:rPr>
          <w:rStyle w:val="ac"/>
          <w:rtl/>
        </w:rPr>
        <w:footnoteRef/>
      </w:r>
      <w:r>
        <w:rPr>
          <w:rtl/>
        </w:rPr>
        <w:t>ומ"מ היינו דוקא במין א', שחולקים עבדים כנגד עבדים (כדאי' בכורות נו:) [וע"ע רשב"א קידושין יז:]. אך בסוגיין (בע"ב) מבואר דחולקין אף בב' מינים.</w:t>
      </w:r>
    </w:p>
  </w:footnote>
  <w:footnote w:id="4076">
    <w:p w14:paraId="7F20AF50" w14:textId="77777777" w:rsidR="00F64AED" w:rsidRDefault="00F64AED" w:rsidP="00F64AED">
      <w:pPr>
        <w:pStyle w:val="Footnote"/>
        <w:bidi/>
      </w:pPr>
      <w:r>
        <w:rPr>
          <w:rStyle w:val="ac"/>
          <w:rtl/>
        </w:rPr>
        <w:footnoteRef/>
      </w:r>
      <w:r>
        <w:rPr>
          <w:rtl/>
        </w:rPr>
        <w:t>וה</w:t>
      </w:r>
      <w:r>
        <w:rPr>
          <w:b/>
          <w:bCs/>
          <w:rtl/>
        </w:rPr>
        <w:t>נתיבות</w:t>
      </w:r>
      <w:r>
        <w:rPr>
          <w:rtl/>
        </w:rPr>
        <w:t xml:space="preserve"> (קי א, הו' לעיל) הוכיח מזה דשאר האחים אינם זוכים, אלא מיתלא תליא. [ותוס' נקטו דזכו, דאל"כ היאך אוכל בתרומה]. וה</w:t>
      </w:r>
      <w:r>
        <w:rPr>
          <w:b/>
          <w:bCs/>
          <w:rtl/>
        </w:rPr>
        <w:t>או"ש</w:t>
      </w:r>
      <w:r>
        <w:rPr>
          <w:rtl/>
        </w:rPr>
        <w:t xml:space="preserve"> (נחלות א יג בהג”ה) כתב דמשמע מתוס' דכיון דסוף העובר לירש, א"כ אף השתא בני המשפחה אינם יורשים, והקשה דמי יחשב בעלים על הנכסים האלו בינתיים. [והאחרונים נקטו די”ל דעדיין שייך למת, כל זמן שיש לו נפק”מ בזה, וע' </w:t>
      </w:r>
      <w:r>
        <w:rPr>
          <w:b/>
          <w:bCs/>
          <w:rtl/>
        </w:rPr>
        <w:t xml:space="preserve">קוב”ש </w:t>
      </w:r>
      <w:r>
        <w:rPr>
          <w:rtl/>
        </w:rPr>
        <w:t>ח”ב יא].</w:t>
      </w:r>
    </w:p>
  </w:footnote>
  <w:footnote w:id="4077">
    <w:p w14:paraId="23F29211" w14:textId="77777777" w:rsidR="00F64AED" w:rsidRDefault="00F64AED" w:rsidP="00F64AED">
      <w:pPr>
        <w:pStyle w:val="Footnote"/>
        <w:bidi/>
      </w:pPr>
      <w:r>
        <w:rPr>
          <w:rStyle w:val="ac"/>
          <w:rtl/>
        </w:rPr>
        <w:footnoteRef/>
      </w:r>
      <w:r>
        <w:rPr>
          <w:rtl/>
        </w:rPr>
        <w:t>וצ"ע דבשלמא דיקלא ואלים מצטרף לגוף הדקל. אבל בכ"מ מבואר דפירות וכן מעשה ידים נחשב דבר בפני עצמו, ושייך למי שהיה בעלים אתמול.</w:t>
      </w:r>
    </w:p>
  </w:footnote>
  <w:footnote w:id="4078">
    <w:p w14:paraId="2BDA4F59" w14:textId="77777777" w:rsidR="00F64AED" w:rsidRDefault="00F64AED" w:rsidP="00F64AED">
      <w:pPr>
        <w:pStyle w:val="Footnote"/>
        <w:bidi/>
      </w:pPr>
      <w:r>
        <w:rPr>
          <w:rStyle w:val="ac"/>
          <w:rtl/>
        </w:rPr>
        <w:footnoteRef/>
      </w:r>
      <w:r>
        <w:rPr>
          <w:rtl/>
        </w:rPr>
        <w:t>והאו"ש הביא דב</w:t>
      </w:r>
      <w:r>
        <w:rPr>
          <w:b/>
          <w:bCs/>
          <w:rtl/>
        </w:rPr>
        <w:t>שו"ת ראש יוסף</w:t>
      </w:r>
      <w:r>
        <w:rPr>
          <w:rtl/>
        </w:rPr>
        <w:t xml:space="preserve"> (איסקאפי, בסופו) פסק דאחים שמכרו בנכסים טרם שנולד העובר מה שעשו עשוי. והאו”ש כת' דלא יתכן, ופליאה שפסק כן למעשה.</w:t>
      </w:r>
    </w:p>
  </w:footnote>
  <w:footnote w:id="4079">
    <w:p w14:paraId="7122D382" w14:textId="77777777" w:rsidR="00F64AED" w:rsidRDefault="00F64AED" w:rsidP="00F64AED">
      <w:pPr>
        <w:pStyle w:val="Footnote"/>
        <w:bidi/>
      </w:pPr>
      <w:r>
        <w:rPr>
          <w:rStyle w:val="ac"/>
          <w:rtl/>
        </w:rPr>
        <w:footnoteRef/>
      </w:r>
      <w:r>
        <w:rPr>
          <w:rtl/>
        </w:rPr>
        <w:t>וה</w:t>
      </w:r>
      <w:r>
        <w:rPr>
          <w:b/>
          <w:bCs/>
          <w:rtl/>
        </w:rPr>
        <w:t>חזו"א</w:t>
      </w:r>
      <w:r>
        <w:rPr>
          <w:rtl/>
        </w:rPr>
        <w:t xml:space="preserve"> (בגליונות הגר”ח) פי' דהרישא איירי כשהיורשים האחרים הם פסולים, וקמ"ל הרמב"ם דאינו אוכל מחמת הבנים.</w:t>
      </w:r>
    </w:p>
  </w:footnote>
  <w:footnote w:id="4080">
    <w:p w14:paraId="60191BAF" w14:textId="77777777" w:rsidR="00F64AED" w:rsidRDefault="00F64AED" w:rsidP="00F64AED">
      <w:pPr>
        <w:pStyle w:val="Footnote"/>
        <w:bidi/>
      </w:pPr>
      <w:r>
        <w:rPr>
          <w:rStyle w:val="ac"/>
          <w:rtl/>
        </w:rPr>
        <w:footnoteRef/>
      </w:r>
      <w:r>
        <w:rPr>
          <w:rtl/>
        </w:rPr>
        <w:t xml:space="preserve">וכ"כ </w:t>
      </w:r>
      <w:r>
        <w:rPr>
          <w:b/>
          <w:bCs/>
          <w:rtl/>
        </w:rPr>
        <w:t>מהר"י קורקוס</w:t>
      </w:r>
      <w:r>
        <w:rPr>
          <w:rtl/>
        </w:rPr>
        <w:t xml:space="preserve"> דהרישא איירי כשאין בנים, דאף אי הוה העובר נקבה שאר בני משפחה אין להם חלק. וי"ל דהרמב”ם ס"ל דיורש בירושה מאליה. וסמך אסוגיה דנדה דלא כסוגיין דאוכל בחזקת שאר בני משפחה.</w:t>
      </w:r>
    </w:p>
  </w:footnote>
  <w:footnote w:id="4081">
    <w:p w14:paraId="3E47F359" w14:textId="77777777" w:rsidR="00F64AED" w:rsidRDefault="00F64AED" w:rsidP="00F64AED">
      <w:pPr>
        <w:pStyle w:val="Footnote"/>
        <w:bidi/>
      </w:pPr>
      <w:r>
        <w:rPr>
          <w:rStyle w:val="ac"/>
          <w:rtl/>
        </w:rPr>
        <w:footnoteRef/>
      </w:r>
      <w:r>
        <w:rPr>
          <w:rtl/>
        </w:rPr>
        <w:t>ועוה"ק דכיון דהרמב"ם ס"ל דעובר אינו יורש, אמאי איצטריך טעם חדש דאינו ילוד אינו מאכיל.</w:t>
      </w:r>
    </w:p>
  </w:footnote>
  <w:footnote w:id="4082">
    <w:p w14:paraId="694F70F3" w14:textId="77777777" w:rsidR="00F64AED" w:rsidRDefault="00F64AED" w:rsidP="00F64AED">
      <w:pPr>
        <w:pStyle w:val="Footnote"/>
        <w:bidi/>
      </w:pPr>
      <w:r>
        <w:rPr>
          <w:rStyle w:val="ac"/>
          <w:rtl/>
        </w:rPr>
        <w:footnoteRef/>
      </w:r>
      <w:r>
        <w:rPr>
          <w:rtl/>
        </w:rPr>
        <w:t>והביא דכ"כ ה</w:t>
      </w:r>
      <w:r>
        <w:rPr>
          <w:b/>
          <w:bCs/>
          <w:rtl/>
        </w:rPr>
        <w:t>תוס' הרא"ש</w:t>
      </w:r>
      <w:r>
        <w:rPr>
          <w:rtl/>
        </w:rPr>
        <w:t xml:space="preserve"> (בשיטמ"ק ב"ב קמב.) דע"כ לא פליגי רבנן עליה דר' יוסי אלא לענין פיסול עבדים מאכילת תרומה, וביאר דרבנן סברי דעובר זוכה בירושה הבאה מאליה, ומ"מ עדיף כח אחים הנולדים מכח העובר, הילכך לא פסיל בשביל חלקו. [וע' לעיל בשם הנתיבות].</w:t>
      </w:r>
    </w:p>
  </w:footnote>
  <w:footnote w:id="4083">
    <w:p w14:paraId="27AD0F64" w14:textId="77777777" w:rsidR="00F64AED" w:rsidRDefault="00F64AED" w:rsidP="00F64AED">
      <w:pPr>
        <w:pStyle w:val="Footnote"/>
        <w:bidi/>
      </w:pPr>
      <w:r>
        <w:rPr>
          <w:rStyle w:val="ac"/>
          <w:rtl/>
        </w:rPr>
        <w:footnoteRef/>
      </w:r>
      <w:r>
        <w:rPr>
          <w:rtl/>
        </w:rPr>
        <w:t>והעיר דלפ"ז כהן וזר שותפין, ומת הזר והניח עובר, נימא דיאכל משום הכהן. [וכתב דצ"ל דשאני בסוגיין דכבר אכלו].</w:t>
      </w:r>
    </w:p>
  </w:footnote>
  <w:footnote w:id="4084">
    <w:p w14:paraId="3534457F" w14:textId="77777777" w:rsidR="00F64AED" w:rsidRDefault="00F64AED" w:rsidP="00F64AED">
      <w:pPr>
        <w:pStyle w:val="Footnote"/>
        <w:bidi/>
      </w:pPr>
      <w:r>
        <w:rPr>
          <w:rStyle w:val="ac"/>
          <w:rtl/>
        </w:rPr>
        <w:footnoteRef/>
      </w:r>
      <w:r>
        <w:rPr>
          <w:rtl/>
        </w:rPr>
        <w:t>וה</w:t>
      </w:r>
      <w:r>
        <w:rPr>
          <w:b/>
          <w:bCs/>
          <w:rtl/>
        </w:rPr>
        <w:t>קובה"ע</w:t>
      </w:r>
      <w:r>
        <w:rPr>
          <w:rtl/>
        </w:rPr>
        <w:t xml:space="preserve"> (מ ה) כתב דתליא האם יש דין יורש מאוחר במקום קרוב. ועד"ז דנו בכ"מ היכא דיורש המוקדם אינו יורש בפועל, האם אמרי' דיורש מאוחר זוכה, או כיון דהקרוב יש לו 'שם יורש', ממילא המאוחר אינו יורש כלל. [ונפק"מ באסר בקונם על הבן, לצד דאינו יורש באיסור הנאה. וכן ירושת שררה כשהבן אינו ראוי. ועוד נפק”מ בגדרי אין ספק מוציא מידי ודאי]. [ועי”ש שדן ע”פ כמה סוגיות].</w:t>
      </w:r>
    </w:p>
  </w:footnote>
  <w:footnote w:id="4085">
    <w:p w14:paraId="315AEEA2" w14:textId="77777777" w:rsidR="00F64AED" w:rsidRDefault="00F64AED" w:rsidP="00F64AED">
      <w:pPr>
        <w:pStyle w:val="Footnote"/>
        <w:bidi/>
      </w:pPr>
      <w:r>
        <w:rPr>
          <w:rStyle w:val="ac"/>
          <w:rtl/>
        </w:rPr>
        <w:footnoteRef/>
      </w:r>
      <w:r>
        <w:rPr>
          <w:rtl/>
        </w:rPr>
        <w:t>דשמואל ס"ל דלדעת רבנן עובר אינו שם יורש כלל. א"נ ס”ל דאף יורש מאוחר יש לו שם יורש, והיכא דהיורש המוקדם אינו יכול לזכות זכה.</w:t>
      </w:r>
    </w:p>
  </w:footnote>
  <w:footnote w:id="4086">
    <w:p w14:paraId="088179FF" w14:textId="77777777" w:rsidR="00F64AED" w:rsidRDefault="00F64AED" w:rsidP="00F64AED">
      <w:pPr>
        <w:pStyle w:val="Footnote"/>
        <w:bidi/>
      </w:pPr>
      <w:r>
        <w:rPr>
          <w:rStyle w:val="ac"/>
          <w:rtl/>
        </w:rPr>
        <w:footnoteRef/>
      </w:r>
      <w:r>
        <w:rPr>
          <w:rtl/>
        </w:rPr>
        <w:t>וה</w:t>
      </w:r>
      <w:r>
        <w:rPr>
          <w:b/>
          <w:bCs/>
          <w:rtl/>
        </w:rPr>
        <w:t>חזו"א</w:t>
      </w:r>
      <w:r>
        <w:rPr>
          <w:rtl/>
        </w:rPr>
        <w:t xml:space="preserve"> (בגליונות) השיג אמאי חידש הרמב"ם גדר בעלות מחודש זה, דלא הוזכר בגמ', וחידש פתרון דבעובר לא שייך גדר בעלות זו.</w:t>
      </w:r>
    </w:p>
  </w:footnote>
  <w:footnote w:id="4087">
    <w:p w14:paraId="6A31E781" w14:textId="77777777" w:rsidR="00F64AED" w:rsidRDefault="00F64AED" w:rsidP="00F64AED">
      <w:pPr>
        <w:pStyle w:val="Footnote"/>
        <w:bidi/>
      </w:pPr>
      <w:r>
        <w:rPr>
          <w:rStyle w:val="ac"/>
          <w:rtl/>
        </w:rPr>
        <w:footnoteRef/>
      </w:r>
      <w:r>
        <w:rPr>
          <w:rtl/>
        </w:rPr>
        <w:t>אך מצאנו (בע"ב) דעובר פסול את אמו, ואינו מאכיל. [וע"כ דהוה כלל רק בדין קנין כספו].</w:t>
      </w:r>
    </w:p>
  </w:footnote>
  <w:footnote w:id="4088">
    <w:p w14:paraId="178B1EBA" w14:textId="77777777" w:rsidR="00F64AED" w:rsidRDefault="00F64AED" w:rsidP="00F64AED">
      <w:pPr>
        <w:pStyle w:val="Footnote"/>
        <w:bidi/>
      </w:pPr>
      <w:r>
        <w:rPr>
          <w:rStyle w:val="ac"/>
          <w:rtl/>
        </w:rPr>
        <w:footnoteRef/>
      </w:r>
      <w:r>
        <w:rPr>
          <w:rtl/>
        </w:rPr>
        <w:t>ודלא כרמב"ם (הנ"ל).</w:t>
      </w:r>
    </w:p>
  </w:footnote>
  <w:footnote w:id="4089">
    <w:p w14:paraId="4F267766" w14:textId="77777777" w:rsidR="00F64AED" w:rsidRDefault="00F64AED" w:rsidP="00F64AED">
      <w:pPr>
        <w:pStyle w:val="Footnote"/>
        <w:bidi/>
      </w:pPr>
      <w:r>
        <w:rPr>
          <w:rStyle w:val="ac"/>
          <w:rtl/>
        </w:rPr>
        <w:footnoteRef/>
      </w:r>
      <w:r>
        <w:rPr>
          <w:rtl/>
        </w:rPr>
        <w:t>וא"כ לא דמי להא דלקמן קיט., דהתם הוה מיעוט שיפילו לבסוף. ובסוגיין אף אילו תפיל לבסוף, קודם שהפילה העובר כבר ירש.</w:t>
      </w:r>
    </w:p>
  </w:footnote>
  <w:footnote w:id="4090">
    <w:p w14:paraId="11BF55E1" w14:textId="77777777" w:rsidR="00F64AED" w:rsidRDefault="00F64AED" w:rsidP="00F64AED">
      <w:pPr>
        <w:pStyle w:val="Footnote"/>
        <w:bidi/>
      </w:pPr>
      <w:r>
        <w:rPr>
          <w:rStyle w:val="ac"/>
          <w:rtl/>
        </w:rPr>
        <w:footnoteRef/>
      </w:r>
      <w:r>
        <w:rPr>
          <w:rtl/>
        </w:rPr>
        <w:t>וא"כ מבואר בסוגיין דשייך גדר חוששין למיעוטא בספק ספיקא, ולכאורה מבואר דספק ספיקא מישך לתורת רוב.</w:t>
      </w:r>
    </w:p>
  </w:footnote>
  <w:footnote w:id="4091">
    <w:p w14:paraId="744E59B3" w14:textId="77777777" w:rsidR="00F64AED" w:rsidRDefault="00F64AED" w:rsidP="00F64AED">
      <w:pPr>
        <w:pStyle w:val="Footnote"/>
        <w:bidi/>
      </w:pPr>
      <w:r>
        <w:rPr>
          <w:rStyle w:val="ac"/>
          <w:rtl/>
        </w:rPr>
        <w:footnoteRef/>
      </w:r>
      <w:r>
        <w:rPr>
          <w:rtl/>
        </w:rPr>
        <w:t xml:space="preserve">[וכמ"ש </w:t>
      </w:r>
      <w:r>
        <w:rPr>
          <w:b/>
          <w:bCs/>
          <w:rtl/>
        </w:rPr>
        <w:t>תוס</w:t>
      </w:r>
      <w:r>
        <w:rPr>
          <w:rtl/>
        </w:rPr>
        <w:t>' (כתובות ט.) דל"ש ספק ספיקא במקום דא' מהספיקות אינו שקול, ועי"ש בשמעתתא דהאריך בזה].</w:t>
      </w:r>
    </w:p>
  </w:footnote>
  <w:footnote w:id="4092">
    <w:p w14:paraId="7CD4145F" w14:textId="77777777" w:rsidR="00F64AED" w:rsidRDefault="00F64AED" w:rsidP="00F64AED">
      <w:pPr>
        <w:pStyle w:val="Footnote"/>
        <w:bidi/>
      </w:pPr>
      <w:r>
        <w:rPr>
          <w:rStyle w:val="ac"/>
          <w:rtl/>
        </w:rPr>
        <w:footnoteRef/>
      </w:r>
      <w:r>
        <w:rPr>
          <w:rtl/>
        </w:rPr>
        <w:t>אבל בשאר ספק [כגון ספק תחתיו בכתובות ט.] א"א לצרף מיעוט דאונס, דמנין לנו שיהא מחצה על מחצה.</w:t>
      </w:r>
    </w:p>
  </w:footnote>
  <w:footnote w:id="4093">
    <w:p w14:paraId="6F1E7386" w14:textId="77777777" w:rsidR="00F64AED" w:rsidRDefault="00F64AED" w:rsidP="00F64AED">
      <w:pPr>
        <w:pStyle w:val="Footnote"/>
        <w:bidi/>
      </w:pPr>
      <w:r>
        <w:rPr>
          <w:rStyle w:val="ac"/>
          <w:rtl/>
        </w:rPr>
        <w:footnoteRef/>
      </w:r>
      <w:r>
        <w:rPr>
          <w:rtl/>
        </w:rPr>
        <w:t>והקצות הביא מדברי ה</w:t>
      </w:r>
      <w:r>
        <w:rPr>
          <w:b/>
          <w:bCs/>
          <w:rtl/>
        </w:rPr>
        <w:t>ריטב"א</w:t>
      </w:r>
      <w:r>
        <w:rPr>
          <w:rtl/>
        </w:rPr>
        <w:t xml:space="preserve"> ו</w:t>
      </w:r>
      <w:r>
        <w:rPr>
          <w:b/>
          <w:bCs/>
          <w:rtl/>
        </w:rPr>
        <w:t>נמוק"י</w:t>
      </w:r>
      <w:r>
        <w:rPr>
          <w:rtl/>
        </w:rPr>
        <w:t xml:space="preserve"> (לעיל לה:) דבחולץ למעוברת והפילה אמרי' השתא הוא דהפילה. ובאותו שעה היה ראוי לחיות. וה"נ בגמ' ב"ב י"ל דתלינן שמשעה ראשונה היה ראוי לחיות, ומש"ה יש לו זכיה [אף לסברת הרמב"ן, ולא אמרי' איגלאי שהפילה]. ואילו בסוגיין אמרי' דהשתא אינו ראוי לילד.</w:t>
      </w:r>
    </w:p>
  </w:footnote>
  <w:footnote w:id="4094">
    <w:p w14:paraId="7E42D4FC" w14:textId="77777777" w:rsidR="00F64AED" w:rsidRDefault="00F64AED" w:rsidP="00F64AED">
      <w:pPr>
        <w:pStyle w:val="Footnote"/>
        <w:bidi/>
      </w:pPr>
      <w:r>
        <w:rPr>
          <w:rStyle w:val="ac"/>
          <w:rtl/>
        </w:rPr>
        <w:footnoteRef/>
      </w:r>
      <w:r>
        <w:rPr>
          <w:rtl/>
        </w:rPr>
        <w:t>וה</w:t>
      </w:r>
      <w:r>
        <w:rPr>
          <w:b/>
          <w:bCs/>
          <w:rtl/>
        </w:rPr>
        <w:t>ריטב"א</w:t>
      </w:r>
      <w:r>
        <w:rPr>
          <w:rtl/>
        </w:rPr>
        <w:t xml:space="preserve"> תי' ב' תי' נוספים על קושיה זו. [ובשעה"מ האריך בדבריו]. ותימה אמאי לא ניחא ליה בתי' הגמ' לעיל.</w:t>
      </w:r>
    </w:p>
  </w:footnote>
  <w:footnote w:id="4095">
    <w:p w14:paraId="64F1CABF" w14:textId="77777777" w:rsidR="00F64AED" w:rsidRDefault="00F64AED" w:rsidP="00F64AED">
      <w:pPr>
        <w:pStyle w:val="Footnote"/>
        <w:bidi/>
      </w:pPr>
      <w:r>
        <w:rPr>
          <w:rStyle w:val="ac"/>
          <w:rtl/>
        </w:rPr>
        <w:footnoteRef/>
      </w:r>
      <w:r>
        <w:rPr>
          <w:rtl/>
        </w:rPr>
        <w:t>וכ"כ ה</w:t>
      </w:r>
      <w:r>
        <w:rPr>
          <w:b/>
          <w:bCs/>
          <w:rtl/>
        </w:rPr>
        <w:t>מרדכי</w:t>
      </w:r>
      <w:r>
        <w:rPr>
          <w:rtl/>
        </w:rPr>
        <w:t xml:space="preserve"> (חולין תשלז), והוסיף דמדאורייתא חייש למיעוטא.</w:t>
      </w:r>
    </w:p>
    <w:p w14:paraId="2AFBDD53" w14:textId="77777777" w:rsidR="00F64AED" w:rsidRDefault="00F64AED" w:rsidP="00F64AED">
      <w:pPr>
        <w:pStyle w:val="Footnote"/>
        <w:bidi/>
      </w:pPr>
      <w:r>
        <w:rPr>
          <w:rtl/>
        </w:rPr>
        <w:tab/>
        <w:t>ותוס' (בכ"מ) דנו בזה אי ר' מאיר חייש למיעוטא מדאורייתא או מדרבנן, ע"ע תוס' (לקמן קיט. סד"ה מחוורתא). ו</w:t>
      </w:r>
      <w:r>
        <w:rPr>
          <w:b/>
          <w:bCs/>
          <w:rtl/>
        </w:rPr>
        <w:t>תוס</w:t>
      </w:r>
      <w:r>
        <w:rPr>
          <w:rtl/>
        </w:rPr>
        <w:t>' (חולין יב. ד"ה פסח) כת' דר' מאיר חייש למיעוטא מדרבנן. וכן מוכח מדברי ה</w:t>
      </w:r>
      <w:r>
        <w:rPr>
          <w:b/>
          <w:bCs/>
          <w:rtl/>
        </w:rPr>
        <w:t>רמב"ן</w:t>
      </w:r>
      <w:r>
        <w:rPr>
          <w:rtl/>
        </w:rPr>
        <w:t xml:space="preserve"> דתי' דחייש רק לכתחילה. וה</w:t>
      </w:r>
      <w:r>
        <w:rPr>
          <w:b/>
          <w:bCs/>
          <w:rtl/>
        </w:rPr>
        <w:t xml:space="preserve">תוס' הרא”ש </w:t>
      </w:r>
      <w:r>
        <w:rPr>
          <w:rtl/>
        </w:rPr>
        <w:t>(בסוגין, ע' בסמוך) כת' דר' מאיר חייש למיעוטא מדרבנן. ואפ"ה כתב דברובא דאיתא קמן לא חייש למיעוטא [ודלא כמרדכי].</w:t>
      </w:r>
    </w:p>
    <w:p w14:paraId="1B668E20" w14:textId="77777777" w:rsidR="00F64AED" w:rsidRDefault="00F64AED" w:rsidP="00F64AED">
      <w:pPr>
        <w:pStyle w:val="Footnote"/>
        <w:bidi/>
      </w:pPr>
      <w:r>
        <w:rPr>
          <w:rtl/>
        </w:rPr>
        <w:tab/>
        <w:t>[ו</w:t>
      </w:r>
      <w:r>
        <w:rPr>
          <w:b/>
          <w:bCs/>
          <w:rtl/>
        </w:rPr>
        <w:t>תוס</w:t>
      </w:r>
      <w:r>
        <w:rPr>
          <w:rtl/>
        </w:rPr>
        <w:t>' (חולין פו: סוד”ה סמוך) כתבו דהיכא דאמרי' סמוך מיעוטא לחזקה חיישינן מדאורייתא, ועפ”ז יל”ד האם בסוגיין נחשב דיש חזקת היתר, וע' נוב”י יו”ד ת' רז וקובה”ע מז ג].</w:t>
      </w:r>
    </w:p>
  </w:footnote>
  <w:footnote w:id="4096">
    <w:p w14:paraId="4867145A" w14:textId="77777777" w:rsidR="00F64AED" w:rsidRDefault="00F64AED" w:rsidP="00F64AED">
      <w:pPr>
        <w:pStyle w:val="Footnote"/>
        <w:bidi/>
      </w:pPr>
      <w:r>
        <w:rPr>
          <w:rStyle w:val="ac"/>
          <w:rtl/>
        </w:rPr>
        <w:footnoteRef/>
      </w:r>
      <w:r>
        <w:rPr>
          <w:rtl/>
        </w:rPr>
        <w:t>ולכאורה קו' התוס' משום דמשמע (שם) דמשום מעלה ביוחסין או משום גזירה אטו קבוע. ואילו בעלמא אזלי' בתר רוב.</w:t>
      </w:r>
    </w:p>
  </w:footnote>
  <w:footnote w:id="4097">
    <w:p w14:paraId="35849969" w14:textId="77777777" w:rsidR="00F64AED" w:rsidRDefault="00F64AED" w:rsidP="00F64AED">
      <w:pPr>
        <w:pStyle w:val="Footnote"/>
        <w:bidi/>
      </w:pPr>
      <w:r>
        <w:rPr>
          <w:rStyle w:val="ac"/>
          <w:rtl/>
        </w:rPr>
        <w:footnoteRef/>
      </w:r>
      <w:r>
        <w:rPr>
          <w:rtl/>
        </w:rPr>
        <w:t>ומבואר דתרי רובי הוה הכרעת רוב עדיפא. ולא רק משום דעי"ז ל"ש גזירה משום קבוע. [וע' סוגיה דכתובות שם].</w:t>
      </w:r>
    </w:p>
  </w:footnote>
  <w:footnote w:id="4098">
    <w:p w14:paraId="3AFE2D62" w14:textId="77777777" w:rsidR="00F64AED" w:rsidRDefault="00F64AED" w:rsidP="00F64AED">
      <w:pPr>
        <w:pStyle w:val="Footnote"/>
        <w:bidi/>
      </w:pPr>
      <w:r>
        <w:rPr>
          <w:rStyle w:val="ac"/>
          <w:rtl/>
        </w:rPr>
        <w:footnoteRef/>
      </w:r>
      <w:r>
        <w:rPr>
          <w:rtl/>
        </w:rPr>
        <w:t>דנימא דהכרעת רוב אינה הכרעה אלימתא, וא"כ הסברא נותנת דנחוש כדי להחזיק הממון.</w:t>
      </w:r>
    </w:p>
  </w:footnote>
  <w:footnote w:id="4099">
    <w:p w14:paraId="441FD315" w14:textId="77777777" w:rsidR="00F64AED" w:rsidRDefault="00F64AED" w:rsidP="00F64AED">
      <w:pPr>
        <w:pStyle w:val="Footnote"/>
        <w:bidi/>
        <w:rPr>
          <w:rFonts w:cs="Times New Roman"/>
          <w:rtl/>
          <w:lang w:val="he-IL"/>
        </w:rPr>
      </w:pPr>
      <w:r>
        <w:rPr>
          <w:rStyle w:val="ac"/>
          <w:rtl/>
        </w:rPr>
        <w:footnoteRef/>
      </w:r>
      <w:r>
        <w:rPr>
          <w:rtl/>
          <w:lang w:val="he-IL"/>
        </w:rPr>
        <w:t>שהר"ן ביאר דהמח' ר' יוסי ור' מאיר (נדה נט:) הוה לשיטתם אי חיישי' למיעוטא</w:t>
      </w:r>
      <w:r>
        <w:rPr>
          <w:rFonts w:cs="Times New Roman"/>
          <w:rtl/>
          <w:lang w:val="he-IL"/>
        </w:rPr>
        <w:t>.</w:t>
      </w:r>
    </w:p>
  </w:footnote>
  <w:footnote w:id="4100">
    <w:p w14:paraId="13F1953D" w14:textId="77777777" w:rsidR="00F64AED" w:rsidRDefault="00F64AED" w:rsidP="00F64AED">
      <w:pPr>
        <w:pStyle w:val="Footnote"/>
        <w:bidi/>
      </w:pPr>
      <w:r>
        <w:rPr>
          <w:rStyle w:val="ac"/>
          <w:rtl/>
        </w:rPr>
        <w:footnoteRef/>
      </w:r>
      <w:r>
        <w:rPr>
          <w:rtl/>
        </w:rPr>
        <w:t>ויל"ד האם נחשב שהאפוטרופוס מוכר, ומדיני אפוטרופוס וזכין (ע' קידושין מב.). ולפ"ז מבואר דמהני מעשה האפוטרופוס אף במקום עובר [ולא אמרי' דלא בא לעולם, ול”מ זכין וקנין בשמו].</w:t>
      </w:r>
    </w:p>
  </w:footnote>
  <w:footnote w:id="4101">
    <w:p w14:paraId="35F6F903" w14:textId="77777777" w:rsidR="00F64AED" w:rsidRDefault="00F64AED" w:rsidP="00F64AED">
      <w:pPr>
        <w:pStyle w:val="Footnote"/>
        <w:bidi/>
      </w:pPr>
      <w:r>
        <w:rPr>
          <w:rStyle w:val="ac"/>
          <w:rtl/>
        </w:rPr>
        <w:footnoteRef/>
      </w:r>
      <w:r>
        <w:rPr>
          <w:rtl/>
        </w:rPr>
        <w:t>דהוה חלוקת השותפין מצד עצם השותפות.</w:t>
      </w:r>
    </w:p>
  </w:footnote>
  <w:footnote w:id="4102">
    <w:p w14:paraId="5EBBB63D" w14:textId="77777777" w:rsidR="00F64AED" w:rsidRDefault="00F64AED" w:rsidP="00F64AED">
      <w:pPr>
        <w:pStyle w:val="Footnote"/>
        <w:bidi/>
      </w:pPr>
      <w:r>
        <w:rPr>
          <w:rStyle w:val="ac"/>
          <w:rtl/>
        </w:rPr>
        <w:footnoteRef/>
      </w:r>
      <w:r>
        <w:rPr>
          <w:rtl/>
        </w:rPr>
        <w:t>דכל ב' מינים תלי בדין גוד או איגוד (וכדאי' ב"ב יג:).</w:t>
      </w:r>
    </w:p>
  </w:footnote>
  <w:footnote w:id="4103">
    <w:p w14:paraId="624B2D4E" w14:textId="77777777" w:rsidR="00F64AED" w:rsidRDefault="00F64AED" w:rsidP="00F64AED">
      <w:pPr>
        <w:pStyle w:val="Footnote"/>
        <w:bidi/>
      </w:pPr>
      <w:r>
        <w:rPr>
          <w:rStyle w:val="ac"/>
          <w:rtl/>
        </w:rPr>
        <w:footnoteRef/>
      </w:r>
      <w:r>
        <w:rPr>
          <w:rtl/>
        </w:rPr>
        <w:t>[וצ"ע א"כ אמאי תלי בדין חלוקה דרב נחמן, אף בלאו הכי יהיו רשאין למכור כפי שירצו לקנות שדות].</w:t>
      </w:r>
    </w:p>
  </w:footnote>
  <w:footnote w:id="4104">
    <w:p w14:paraId="7915FFCB" w14:textId="77777777" w:rsidR="00F64AED" w:rsidRDefault="00F64AED" w:rsidP="00F64AED">
      <w:pPr>
        <w:pStyle w:val="Footnote"/>
        <w:bidi/>
      </w:pPr>
      <w:r>
        <w:rPr>
          <w:rStyle w:val="ac"/>
          <w:rtl/>
        </w:rPr>
        <w:footnoteRef/>
      </w:r>
      <w:r>
        <w:rPr>
          <w:rtl/>
        </w:rPr>
        <w:t>ויל"ד ממש"כ הרשב"א דמהני חלוקה עבדים כנגד שדות, משום דאפוטרופוס רשאי למכור. והא תוס' (גיטין מ:) כת' דהוה משום הפקר בי"ד. [וי"ל דדעת הרשב"א דמהני משום כח אפוטרופוס].</w:t>
      </w:r>
    </w:p>
  </w:footnote>
  <w:footnote w:id="4105">
    <w:p w14:paraId="5C03159E" w14:textId="77777777" w:rsidR="00F64AED" w:rsidRDefault="00F64AED" w:rsidP="00F64AED">
      <w:pPr>
        <w:pStyle w:val="Footnote"/>
        <w:bidi/>
      </w:pPr>
      <w:r>
        <w:rPr>
          <w:rStyle w:val="ac"/>
          <w:rtl/>
        </w:rPr>
        <w:footnoteRef/>
      </w:r>
      <w:r>
        <w:rPr>
          <w:rtl/>
        </w:rPr>
        <w:t>משמע דהפקיעו את התרומה להיות חולין [ולא שהקנו את העבדים לבנות].</w:t>
      </w:r>
    </w:p>
  </w:footnote>
  <w:footnote w:id="4106">
    <w:p w14:paraId="7D612670" w14:textId="77777777" w:rsidR="00F64AED" w:rsidRDefault="00F64AED" w:rsidP="00F64AED">
      <w:pPr>
        <w:pStyle w:val="Footnote"/>
        <w:bidi/>
      </w:pPr>
      <w:r>
        <w:rPr>
          <w:rStyle w:val="ac"/>
          <w:rtl/>
        </w:rPr>
        <w:footnoteRef/>
      </w:r>
      <w:r>
        <w:rPr>
          <w:rtl/>
        </w:rPr>
        <w:t>ויש שדנו דעובר אינו מחוייב בתקנ"ח, וקו' הרשב"א דל"מ הפקר בי"ד בחלקו של עובר.</w:t>
      </w:r>
    </w:p>
  </w:footnote>
  <w:footnote w:id="4107">
    <w:p w14:paraId="130C80F0" w14:textId="77777777" w:rsidR="00F64AED" w:rsidRDefault="00F64AED" w:rsidP="00F64AED">
      <w:pPr>
        <w:pStyle w:val="Footnote"/>
        <w:bidi/>
      </w:pPr>
      <w:r>
        <w:rPr>
          <w:rStyle w:val="ac"/>
          <w:rtl/>
        </w:rPr>
        <w:footnoteRef/>
      </w:r>
      <w:r>
        <w:rPr>
          <w:rtl/>
        </w:rPr>
        <w:t>אך הביא דה</w:t>
      </w:r>
      <w:r>
        <w:rPr>
          <w:b/>
          <w:bCs/>
          <w:rtl/>
        </w:rPr>
        <w:t>רמב"ם</w:t>
      </w:r>
      <w:r>
        <w:rPr>
          <w:rtl/>
        </w:rPr>
        <w:t xml:space="preserve"> (תרומות ט י) פסק דקנין דרבנן ל"מ להאכיל בתרומה [גבי קנין כסף]. וה</w:t>
      </w:r>
      <w:r>
        <w:rPr>
          <w:b/>
          <w:bCs/>
          <w:rtl/>
        </w:rPr>
        <w:t>אחרונים</w:t>
      </w:r>
      <w:r>
        <w:rPr>
          <w:rtl/>
        </w:rPr>
        <w:t xml:space="preserve"> דנו די"ל דרק לגבי קנין כסף ס"ל כן].</w:t>
      </w:r>
    </w:p>
    <w:p w14:paraId="61BB408A" w14:textId="77777777" w:rsidR="00F64AED" w:rsidRDefault="00F64AED" w:rsidP="00F64AED">
      <w:pPr>
        <w:pStyle w:val="Footnote"/>
        <w:bidi/>
      </w:pPr>
      <w:r>
        <w:rPr>
          <w:rtl/>
        </w:rPr>
        <w:tab/>
        <w:t>והאבנ"מ כת' דלדעת הרמב"ם הספיקות מותרים מדאורייתא, ומש”ה כשיש שאר בנים אוכל בתרומה משום הילוד, ומדאורייתא העובר אינו פוסל, דשמא הוה נקיבה. ולענין הא דרבנן החמירו בספיקות אמרי' דמהני קנין דרבנן.</w:t>
      </w:r>
    </w:p>
  </w:footnote>
  <w:footnote w:id="4108">
    <w:p w14:paraId="67A7E7AA" w14:textId="77777777" w:rsidR="00F64AED" w:rsidRDefault="00F64AED" w:rsidP="00F64AED">
      <w:pPr>
        <w:pStyle w:val="Footnote"/>
        <w:bidi/>
      </w:pPr>
      <w:r>
        <w:rPr>
          <w:rStyle w:val="ac"/>
          <w:rtl/>
        </w:rPr>
        <w:footnoteRef/>
      </w:r>
      <w:r>
        <w:rPr>
          <w:rtl/>
        </w:rPr>
        <w:t>ובאמת ה</w:t>
      </w:r>
      <w:r>
        <w:rPr>
          <w:b/>
          <w:bCs/>
          <w:rtl/>
        </w:rPr>
        <w:t>רשב"א</w:t>
      </w:r>
      <w:r>
        <w:rPr>
          <w:rtl/>
        </w:rPr>
        <w:t xml:space="preserve"> הקשה כן רק במקום עובר, אבל במקום קטן ניחא ליה דמהני תקנ"ח להקנות, וצ"ב מ”ש.</w:t>
      </w:r>
    </w:p>
  </w:footnote>
  <w:footnote w:id="4109">
    <w:p w14:paraId="2F6F566D" w14:textId="77777777" w:rsidR="00F64AED" w:rsidRDefault="00F64AED" w:rsidP="00F64AED">
      <w:pPr>
        <w:pStyle w:val="Footnote"/>
        <w:bidi/>
      </w:pPr>
      <w:r>
        <w:rPr>
          <w:rStyle w:val="ac"/>
          <w:rtl/>
        </w:rPr>
        <w:footnoteRef/>
      </w:r>
      <w:r>
        <w:rPr>
          <w:rtl/>
        </w:rPr>
        <w:t>ולענין תרומה לא נתמעטו הבנות.</w:t>
      </w:r>
    </w:p>
  </w:footnote>
  <w:footnote w:id="4110">
    <w:p w14:paraId="5D535C20" w14:textId="77777777" w:rsidR="00F64AED" w:rsidRDefault="00F64AED" w:rsidP="00F64AED">
      <w:pPr>
        <w:pStyle w:val="Footnote"/>
        <w:bidi/>
      </w:pPr>
      <w:r>
        <w:rPr>
          <w:rStyle w:val="ac"/>
          <w:rtl/>
        </w:rPr>
        <w:footnoteRef/>
      </w:r>
      <w:r>
        <w:rPr>
          <w:rtl/>
        </w:rPr>
        <w:t>וכ"כ ה</w:t>
      </w:r>
      <w:r>
        <w:rPr>
          <w:b/>
          <w:bCs/>
          <w:rtl/>
        </w:rPr>
        <w:t>ר"ש משאנץ</w:t>
      </w:r>
      <w:r>
        <w:rPr>
          <w:rtl/>
        </w:rPr>
        <w:t xml:space="preserve"> (לתו"כ אמור ה ו) דבעלה כהן, ואביה מאכילים אותה.</w:t>
      </w:r>
    </w:p>
  </w:footnote>
  <w:footnote w:id="4111">
    <w:p w14:paraId="6202313B" w14:textId="77777777" w:rsidR="00F64AED" w:rsidRDefault="00F64AED" w:rsidP="00F64AED">
      <w:pPr>
        <w:pStyle w:val="Footnote"/>
        <w:bidi/>
      </w:pPr>
      <w:r>
        <w:rPr>
          <w:rStyle w:val="ac"/>
          <w:rtl/>
        </w:rPr>
        <w:footnoteRef/>
      </w:r>
      <w:r>
        <w:rPr>
          <w:rtl/>
        </w:rPr>
        <w:t>אמנם אף בת כהן בוגרת אוכלת בתרומה, ואף דלשאר מילי יצאה מרשות אביה.</w:t>
      </w:r>
    </w:p>
  </w:footnote>
  <w:footnote w:id="4112">
    <w:p w14:paraId="09279D12" w14:textId="77777777" w:rsidR="00F64AED" w:rsidRDefault="00F64AED" w:rsidP="00F64AED">
      <w:pPr>
        <w:pStyle w:val="Footnote"/>
        <w:bidi/>
      </w:pPr>
      <w:r>
        <w:rPr>
          <w:rStyle w:val="ac"/>
          <w:rtl/>
        </w:rPr>
        <w:footnoteRef/>
      </w:r>
      <w:r>
        <w:rPr>
          <w:rtl/>
        </w:rPr>
        <w:t>אבל לגבי תרומה אף בוגרת ואלמנה מהנישואין אוכלת.</w:t>
      </w:r>
    </w:p>
  </w:footnote>
  <w:footnote w:id="4113">
    <w:p w14:paraId="4FC17FF3" w14:textId="77777777" w:rsidR="00F64AED" w:rsidRDefault="00F64AED" w:rsidP="00F64AED">
      <w:pPr>
        <w:pStyle w:val="Footnote"/>
        <w:bidi/>
      </w:pPr>
      <w:r>
        <w:rPr>
          <w:rStyle w:val="ac"/>
          <w:rtl/>
        </w:rPr>
        <w:footnoteRef/>
      </w:r>
      <w:r>
        <w:rPr>
          <w:rtl/>
        </w:rPr>
        <w:t>אך י"ל דתוס' למדו כן מלשון הפסוק (ויקרא כב יג) ושבה אל בית אביה כנעוריה מלחם אביה תאכל. משמע שהגדר שחוזרת להיות ברשות אביה [לענין תרומה].</w:t>
      </w:r>
    </w:p>
  </w:footnote>
  <w:footnote w:id="4114">
    <w:p w14:paraId="4D5660E6" w14:textId="77777777" w:rsidR="00F64AED" w:rsidRDefault="00F64AED" w:rsidP="00F64AED">
      <w:pPr>
        <w:pStyle w:val="Footnote"/>
        <w:bidi/>
      </w:pPr>
      <w:r>
        <w:rPr>
          <w:rStyle w:val="ac"/>
          <w:rtl/>
        </w:rPr>
        <w:footnoteRef/>
      </w:r>
      <w:r>
        <w:rPr>
          <w:rtl/>
        </w:rPr>
        <w:t xml:space="preserve">והביאו בשם </w:t>
      </w:r>
      <w:r>
        <w:rPr>
          <w:b/>
          <w:bCs/>
          <w:rtl/>
        </w:rPr>
        <w:t>ר' חיים</w:t>
      </w:r>
      <w:r>
        <w:rPr>
          <w:rtl/>
        </w:rPr>
        <w:t xml:space="preserve"> (מבעלי התוס' עה"ת) כעי"ז [דבעודו קטן היה ברשות אביו]. ויש שהביאו דזה כוונת ה</w:t>
      </w:r>
      <w:r>
        <w:rPr>
          <w:b/>
          <w:bCs/>
          <w:rtl/>
        </w:rPr>
        <w:t>רא”ש</w:t>
      </w:r>
      <w:r>
        <w:rPr>
          <w:rtl/>
        </w:rPr>
        <w:t xml:space="preserve"> (עה”ת במדבר כה) שהק' דאף דפנחס לא נתכהן, דהא אביו כהן ולכל הפחות כהן הדיוט הוא, והוא מוזהר על טומאת מת.</w:t>
      </w:r>
    </w:p>
  </w:footnote>
  <w:footnote w:id="4115">
    <w:p w14:paraId="05D0264F" w14:textId="77777777" w:rsidR="00F64AED" w:rsidRDefault="00F64AED" w:rsidP="00F64AED">
      <w:pPr>
        <w:pStyle w:val="Footnote"/>
        <w:bidi/>
      </w:pPr>
      <w:r>
        <w:rPr>
          <w:rStyle w:val="ac"/>
          <w:rtl/>
        </w:rPr>
        <w:footnoteRef/>
      </w:r>
      <w:r>
        <w:rPr>
          <w:rtl/>
        </w:rPr>
        <w:t>ויש שביארו דזה כוונת המשנה (זבחים נה.) דקדשים נאכלין לכהנים 'ובניהם', וקשה תיפו"ל דבניהם הוה כהן מצד עצמו. אלא דיש ג"כ סיבת אכילה משום שהוא בן כהן.</w:t>
      </w:r>
    </w:p>
  </w:footnote>
  <w:footnote w:id="4116">
    <w:p w14:paraId="1D5A5482" w14:textId="77777777" w:rsidR="00F64AED" w:rsidRDefault="00F64AED" w:rsidP="00F64AED">
      <w:pPr>
        <w:pStyle w:val="Footnote"/>
        <w:bidi/>
      </w:pPr>
      <w:r>
        <w:rPr>
          <w:rStyle w:val="ac"/>
          <w:rtl/>
        </w:rPr>
        <w:footnoteRef/>
      </w:r>
      <w:r>
        <w:rPr>
          <w:rtl/>
        </w:rPr>
        <w:t>אבל ה</w:t>
      </w:r>
      <w:r>
        <w:rPr>
          <w:b/>
          <w:bCs/>
          <w:rtl/>
        </w:rPr>
        <w:t>רדב"ז</w:t>
      </w:r>
      <w:r>
        <w:rPr>
          <w:rtl/>
        </w:rPr>
        <w:t xml:space="preserve"> (ו ט) כת' דבת כהן שנשאת לזר אין לאו באכילת תרומה [ותמהו עליו מהגמ' סח.] ועוד כתב (שם) דחוזרת שאכלה במורם מהקדשים [חזה ושוק] אין מיתה אלא לאו.</w:t>
      </w:r>
    </w:p>
  </w:footnote>
  <w:footnote w:id="4117">
    <w:p w14:paraId="2D68AE5C" w14:textId="77777777" w:rsidR="00F64AED" w:rsidRDefault="00F64AED" w:rsidP="00F64AED">
      <w:pPr>
        <w:pStyle w:val="Footnote"/>
        <w:bidi/>
      </w:pPr>
      <w:r>
        <w:rPr>
          <w:rStyle w:val="ac"/>
          <w:rtl/>
        </w:rPr>
        <w:footnoteRef/>
      </w:r>
      <w:r>
        <w:rPr>
          <w:rtl/>
        </w:rPr>
        <w:t>דל"ש גזירה דסמפון, דאף אם יתבטל הקידושין תאכל, ול"ש גזירה שמא תשקה, דאף אחיה אוכלים. [ובכהן לא גזרו לא פלוג בארוסה, וע' מש”כ לעיל נז: ונח. אי גזרו לא פלוג].</w:t>
      </w:r>
    </w:p>
  </w:footnote>
  <w:footnote w:id="4118">
    <w:p w14:paraId="23F5BC91" w14:textId="77777777" w:rsidR="00F64AED" w:rsidRDefault="00F64AED" w:rsidP="00F64AED">
      <w:pPr>
        <w:pStyle w:val="Footnote"/>
        <w:bidi/>
      </w:pPr>
      <w:r>
        <w:rPr>
          <w:rStyle w:val="ac"/>
          <w:rtl/>
        </w:rPr>
        <w:footnoteRef/>
      </w:r>
      <w:r>
        <w:rPr>
          <w:rtl/>
        </w:rPr>
        <w:t>וצריך לחלק מהא דאמרי' (לעיל נו.) דכיון דמת פקע קנינו.</w:t>
      </w:r>
    </w:p>
  </w:footnote>
  <w:footnote w:id="4119">
    <w:p w14:paraId="254FC28C" w14:textId="77777777" w:rsidR="00F64AED" w:rsidRDefault="00F64AED" w:rsidP="00F64AED">
      <w:pPr>
        <w:pStyle w:val="Footnote"/>
        <w:bidi/>
      </w:pPr>
      <w:r>
        <w:rPr>
          <w:rStyle w:val="ac"/>
          <w:rtl/>
        </w:rPr>
        <w:footnoteRef/>
      </w:r>
      <w:r>
        <w:rPr>
          <w:rtl/>
        </w:rPr>
        <w:t xml:space="preserve">דכיון דחל בה </w:t>
      </w:r>
      <w:r>
        <w:rPr>
          <w:i/>
          <w:iCs/>
          <w:rtl/>
        </w:rPr>
        <w:t>פסול</w:t>
      </w:r>
      <w:r>
        <w:rPr>
          <w:rtl/>
        </w:rPr>
        <w:t xml:space="preserve"> זרות, שוב אינה ראויה לאכילת חזה ושוק. [והעירו דמבואר במפרשים (עה"ת) דבנות אהרן אכלו קדשים קלים במילואים, ולא אמרי' דחל בהו פסלות זרות, ואינם חוזרים לחזה ושוק. ויש לחלק].</w:t>
      </w:r>
    </w:p>
  </w:footnote>
  <w:footnote w:id="4120">
    <w:p w14:paraId="7FE72D5A" w14:textId="77777777" w:rsidR="00F64AED" w:rsidRDefault="00F64AED" w:rsidP="00F64AED">
      <w:pPr>
        <w:pStyle w:val="Footnote"/>
        <w:bidi/>
      </w:pPr>
      <w:r>
        <w:rPr>
          <w:rStyle w:val="ac"/>
          <w:rtl/>
        </w:rPr>
        <w:footnoteRef/>
      </w:r>
      <w:r>
        <w:rPr>
          <w:rtl/>
        </w:rPr>
        <w:t>שה</w:t>
      </w:r>
      <w:r>
        <w:rPr>
          <w:b/>
          <w:bCs/>
          <w:rtl/>
        </w:rPr>
        <w:t>רמב"ם</w:t>
      </w:r>
      <w:r>
        <w:rPr>
          <w:rtl/>
        </w:rPr>
        <w:t xml:space="preserve"> (תרומות ו ז) כת' דילפי' בכלל קרא [ובת כהן כי תהיה לאיש זר היא בתרומת הקדשים לא תאכל] אף דאם תנשא לישראל הרי היא אסורה לאכול במורם מן הקדשים שהוא חזה ושוק לעולם, ואף שגירשה או מת. [וגם ילפי' דהפסול לה פוסלה בביאתו. ולכאורה שניהם הוה ענין של חילול].</w:t>
      </w:r>
    </w:p>
  </w:footnote>
  <w:footnote w:id="4121">
    <w:p w14:paraId="62C3D43F" w14:textId="77777777" w:rsidR="00F64AED" w:rsidRDefault="00F64AED" w:rsidP="00F64AED">
      <w:pPr>
        <w:pStyle w:val="Footnote"/>
        <w:bidi/>
      </w:pPr>
      <w:r>
        <w:rPr>
          <w:rStyle w:val="ac"/>
          <w:rtl/>
        </w:rPr>
        <w:footnoteRef/>
      </w:r>
      <w:r>
        <w:rPr>
          <w:rtl/>
        </w:rPr>
        <w:t>כ"כ הדרך אמונה (ביאוה"ה ו יז).</w:t>
      </w:r>
    </w:p>
    <w:p w14:paraId="0DB26D26" w14:textId="77777777" w:rsidR="00F64AED" w:rsidRDefault="00F64AED" w:rsidP="00F64AED">
      <w:pPr>
        <w:pStyle w:val="Footnote"/>
        <w:bidi/>
      </w:pPr>
      <w:r>
        <w:rPr>
          <w:rtl/>
        </w:rPr>
        <w:tab/>
        <w:t>והביאוה"ה דן בת כהן שיש לה בן מכהן ואח"כ נשאת לישראל ומת, שחוזרת לאכול אף בחזה ושוק בשביל בנה (כדלקמן פז.), מה הדין אם אח"כ מת בנה. [האם אמרי' דכיון שכבר חזרה לאכול בחזה ושוק, שוב אוכלת אף מחמת בית אביה]. ושוב פשט דכל שנשאת לישראל כבר נפסלה מחזה ושוק של אביה. ואף שאכלה אח"כ בשביל בנה כהן.</w:t>
      </w:r>
    </w:p>
  </w:footnote>
  <w:footnote w:id="4122">
    <w:p w14:paraId="111212BD" w14:textId="77777777" w:rsidR="00F64AED" w:rsidRDefault="00F64AED" w:rsidP="00F64AED">
      <w:pPr>
        <w:pStyle w:val="Footnote"/>
        <w:bidi/>
      </w:pPr>
      <w:r>
        <w:rPr>
          <w:rStyle w:val="ac"/>
          <w:rtl/>
        </w:rPr>
        <w:footnoteRef/>
      </w:r>
      <w:r>
        <w:rPr>
          <w:rtl/>
        </w:rPr>
        <w:t>ו</w:t>
      </w:r>
      <w:r>
        <w:rPr>
          <w:b/>
          <w:bCs/>
          <w:rtl/>
        </w:rPr>
        <w:t>תוס</w:t>
      </w:r>
      <w:r>
        <w:rPr>
          <w:rtl/>
        </w:rPr>
        <w:t>' (נדה מד.) הקשה נימא דאינה חוזרת דכתיב אין לה, עיין עליה [כדאמרי' לעיל לה:]. ותי' דהך דרשא מהני לעיונא, אבל לא מיפטר מיבום עי"ז, וה"נ לא תפסל לתרומה משו"ה.</w:t>
      </w:r>
    </w:p>
  </w:footnote>
  <w:footnote w:id="4123">
    <w:p w14:paraId="7D659E85" w14:textId="77777777" w:rsidR="00F64AED" w:rsidRDefault="00F64AED" w:rsidP="00F64AED">
      <w:pPr>
        <w:pStyle w:val="Footnote"/>
        <w:bidi/>
      </w:pPr>
      <w:r>
        <w:rPr>
          <w:rStyle w:val="ac"/>
          <w:rtl/>
        </w:rPr>
        <w:footnoteRef/>
      </w:r>
      <w:r>
        <w:rPr>
          <w:rtl/>
        </w:rPr>
        <w:t>ולפ"ז הטעם דאינה חוזרת הוא משום 'שינוי הגוף', ולא משום גדר 'עובר כילוד'. [ויל"ד למסקנא האם הוה ב' גדרים, דהוה שינוי הגוף. וכן מבואר בדברי החת”ס (סט:) דמעוברת נחשב זרה טפי מאשר ילדה].</w:t>
      </w:r>
    </w:p>
  </w:footnote>
  <w:footnote w:id="4124">
    <w:p w14:paraId="3E7F478E" w14:textId="77777777" w:rsidR="00F64AED" w:rsidRDefault="00F64AED" w:rsidP="00F64AED">
      <w:pPr>
        <w:pStyle w:val="Footnote"/>
        <w:bidi/>
      </w:pPr>
      <w:r>
        <w:rPr>
          <w:rStyle w:val="ac"/>
          <w:rtl/>
        </w:rPr>
        <w:footnoteRef/>
      </w:r>
      <w:r>
        <w:rPr>
          <w:rtl/>
        </w:rPr>
        <w:t>ויל"ע דאיתא (לקמן סט:) דעד מ' יום מיא בעלמא הוא, ואינו פוסל. וא"כ כבר חזרה לרשות אביה. וכשהגיע מ' יום מתחדש האישות.</w:t>
      </w:r>
    </w:p>
  </w:footnote>
  <w:footnote w:id="4125">
    <w:p w14:paraId="33E8FA83" w14:textId="77777777" w:rsidR="00F64AED" w:rsidRDefault="00F64AED" w:rsidP="00F64AED">
      <w:pPr>
        <w:pStyle w:val="Footnote"/>
        <w:bidi/>
      </w:pPr>
      <w:r>
        <w:rPr>
          <w:rStyle w:val="ac"/>
          <w:rtl/>
        </w:rPr>
        <w:footnoteRef/>
      </w:r>
      <w:r>
        <w:rPr>
          <w:rtl/>
        </w:rPr>
        <w:t>[ועפ"ז יש שדנו דהיכא דעיברה באמבטי לא יפסול].</w:t>
      </w:r>
    </w:p>
  </w:footnote>
  <w:footnote w:id="4126">
    <w:p w14:paraId="0BDF4AF6" w14:textId="77777777" w:rsidR="00F64AED" w:rsidRDefault="00F64AED" w:rsidP="00F64AED">
      <w:pPr>
        <w:pStyle w:val="Footnote"/>
        <w:bidi/>
      </w:pPr>
      <w:r>
        <w:rPr>
          <w:rStyle w:val="ac"/>
          <w:rtl/>
        </w:rPr>
        <w:footnoteRef/>
      </w:r>
      <w:r>
        <w:rPr>
          <w:rtl/>
        </w:rPr>
        <w:t>וצ"ע האיך יחשב עי"ז קנין כספו.</w:t>
      </w:r>
    </w:p>
  </w:footnote>
  <w:footnote w:id="4127">
    <w:p w14:paraId="104B6AE7" w14:textId="77777777" w:rsidR="00F64AED" w:rsidRDefault="00F64AED" w:rsidP="00F64AED">
      <w:pPr>
        <w:pStyle w:val="Footnote"/>
        <w:bidi/>
      </w:pPr>
      <w:r>
        <w:rPr>
          <w:rStyle w:val="ac"/>
          <w:rtl/>
        </w:rPr>
        <w:footnoteRef/>
      </w:r>
      <w:r>
        <w:rPr>
          <w:rtl/>
        </w:rPr>
        <w:t>ולפ"ז מסתבר דעיברה באמבטי לא תאכל מחמת הזרע. אבל ה</w:t>
      </w:r>
      <w:r>
        <w:rPr>
          <w:b/>
          <w:bCs/>
          <w:rtl/>
        </w:rPr>
        <w:t>חזו"א</w:t>
      </w:r>
      <w:r>
        <w:rPr>
          <w:rtl/>
        </w:rPr>
        <w:t xml:space="preserve"> (טו ד,ה) נקט בפשיטות דאף בעיברה באמבטי אוכלת מחמתו. וצ"ע.</w:t>
      </w:r>
    </w:p>
  </w:footnote>
  <w:footnote w:id="4128">
    <w:p w14:paraId="3850E7DA" w14:textId="77777777" w:rsidR="00F64AED" w:rsidRDefault="00F64AED" w:rsidP="00F64AED">
      <w:pPr>
        <w:pStyle w:val="Footnote"/>
        <w:bidi/>
      </w:pPr>
      <w:r>
        <w:rPr>
          <w:rStyle w:val="ac"/>
          <w:rtl/>
        </w:rPr>
        <w:footnoteRef/>
      </w:r>
      <w:r>
        <w:rPr>
          <w:rtl/>
        </w:rPr>
        <w:t>ורמז לדבר דאנוסת אביו (לעיל ד.) הוה בכלל 'שאר' אביו. וה"נ נחשב קשר לכהן ע"י הזנות, וע"י הבן הנולד נמשך מצב הזונת. {ואי' (לעיל כב:) דכשנולד ממזר אי אפשר לתקן איסור הזנות [ע"י תשובה]. ויל"פ דנחשב דעצם הזנות ממשיך [וכמו כשאינו מחזיר הגזילה], ולא רק שנשאר תולדה מהאיסור}.</w:t>
      </w:r>
    </w:p>
  </w:footnote>
  <w:footnote w:id="4129">
    <w:p w14:paraId="12DB580F" w14:textId="77777777" w:rsidR="00F64AED" w:rsidRDefault="00F64AED" w:rsidP="00F64AED">
      <w:pPr>
        <w:pStyle w:val="Footnote"/>
        <w:bidi/>
      </w:pPr>
      <w:r>
        <w:rPr>
          <w:rStyle w:val="ac"/>
          <w:rtl/>
        </w:rPr>
        <w:footnoteRef/>
      </w:r>
      <w:r>
        <w:rPr>
          <w:rtl/>
        </w:rPr>
        <w:t>[וצ"ל דקנין כספו הוה רק ילפותא בקנין האישות. ואילו אוכלת מחמת בנה ילפי' ממקום אחר].</w:t>
      </w:r>
    </w:p>
  </w:footnote>
  <w:footnote w:id="4130">
    <w:p w14:paraId="03CE0454" w14:textId="77777777" w:rsidR="00F64AED" w:rsidRDefault="00F64AED" w:rsidP="00F64AED">
      <w:pPr>
        <w:pStyle w:val="Footnote"/>
        <w:bidi/>
      </w:pPr>
      <w:r>
        <w:rPr>
          <w:rStyle w:val="ac"/>
          <w:rtl/>
        </w:rPr>
        <w:footnoteRef/>
      </w:r>
      <w:r>
        <w:rPr>
          <w:rtl/>
        </w:rPr>
        <w:t>אמנם מבואר בתוס' שם דאביי פליג, ויל"ד במה פליג. [וע"ע לקמן עה.].</w:t>
      </w:r>
    </w:p>
  </w:footnote>
  <w:footnote w:id="4131">
    <w:p w14:paraId="1188CBEE" w14:textId="77777777" w:rsidR="00F64AED" w:rsidRDefault="00F64AED" w:rsidP="00F64AED">
      <w:pPr>
        <w:pStyle w:val="Footnote"/>
        <w:bidi/>
      </w:pPr>
      <w:r>
        <w:rPr>
          <w:rStyle w:val="ac"/>
          <w:rtl/>
        </w:rPr>
        <w:footnoteRef/>
      </w:r>
      <w:r>
        <w:rPr>
          <w:rtl/>
        </w:rPr>
        <w:t>וצ"ע דאף הבת נתחללה בביאתו, ופקע ממנה קדושת כהונה, דחללה לאו זרעה דאהרן כדאמרי' עד: ובכורות מז.</w:t>
      </w:r>
    </w:p>
  </w:footnote>
  <w:footnote w:id="4132">
    <w:p w14:paraId="480432E4" w14:textId="77777777" w:rsidR="00F64AED" w:rsidRDefault="00F64AED" w:rsidP="00F64AED">
      <w:pPr>
        <w:pStyle w:val="Footnote"/>
        <w:bidi/>
      </w:pPr>
      <w:r>
        <w:rPr>
          <w:rStyle w:val="ac"/>
          <w:rtl/>
        </w:rPr>
        <w:footnoteRef/>
      </w:r>
      <w:r>
        <w:rPr>
          <w:rtl/>
        </w:rPr>
        <w:t>ויש שדנו בבת כהן שיש לה בן מישראל, ונתעברה מכהן, ואח"כ מת בנה מישראל, האם חוזרת לאכול משום אביה [בעודה מעוברת מכהן].</w:t>
      </w:r>
    </w:p>
  </w:footnote>
  <w:footnote w:id="4133">
    <w:p w14:paraId="64212EF7" w14:textId="77777777" w:rsidR="00F64AED" w:rsidRDefault="00F64AED" w:rsidP="00F64AED">
      <w:pPr>
        <w:pStyle w:val="Footnote"/>
        <w:bidi/>
      </w:pPr>
      <w:r>
        <w:rPr>
          <w:rStyle w:val="ac"/>
          <w:rtl/>
        </w:rPr>
        <w:footnoteRef/>
      </w:r>
      <w:r>
        <w:rPr>
          <w:rtl/>
        </w:rPr>
        <w:t>ומשמע דגדר 'כנעוריה' הוא משום שיש 'זרות' בגופה, ולא משום שינוי הגוף כפשוטו.</w:t>
      </w:r>
    </w:p>
  </w:footnote>
  <w:footnote w:id="4134">
    <w:p w14:paraId="6813A746" w14:textId="77777777" w:rsidR="00F64AED" w:rsidRDefault="00F64AED" w:rsidP="00F64AED">
      <w:pPr>
        <w:pStyle w:val="Footnote"/>
        <w:bidi/>
      </w:pPr>
      <w:r>
        <w:rPr>
          <w:rStyle w:val="ac"/>
          <w:rtl/>
        </w:rPr>
        <w:footnoteRef/>
      </w:r>
      <w:r>
        <w:rPr>
          <w:rtl/>
        </w:rPr>
        <w:t>מבואר מדבריו דלא סמכינן בזה על חזקה דרבה דהביא ב' שערות [אבל לרש"י י"ל דאיירי דלא ידוע האם הוא בן י"ג ויום א'].</w:t>
      </w:r>
    </w:p>
  </w:footnote>
  <w:footnote w:id="4135">
    <w:p w14:paraId="550517B2" w14:textId="77777777" w:rsidR="00F64AED" w:rsidRDefault="00F64AED" w:rsidP="00F64AED">
      <w:pPr>
        <w:pStyle w:val="Footnote"/>
        <w:bidi/>
      </w:pPr>
      <w:r>
        <w:rPr>
          <w:rStyle w:val="ac"/>
          <w:rtl/>
        </w:rPr>
        <w:footnoteRef/>
      </w:r>
      <w:r>
        <w:rPr>
          <w:rtl/>
        </w:rPr>
        <w:t>[ובשלמא דברי הרמב”ם יל”פ דקאי בלא מת, וקמ"ל דהוה ספק וצריך לחלוץ שוב, ואסור להתייבם. אבל הרע”ב כתב ומת].</w:t>
      </w:r>
    </w:p>
  </w:footnote>
  <w:footnote w:id="4136">
    <w:p w14:paraId="3F6AFDC0" w14:textId="77777777" w:rsidR="00F64AED" w:rsidRDefault="00F64AED" w:rsidP="00F64AED">
      <w:pPr>
        <w:pStyle w:val="Footnote"/>
        <w:bidi/>
      </w:pPr>
      <w:r>
        <w:rPr>
          <w:rStyle w:val="ac"/>
          <w:rtl/>
        </w:rPr>
        <w:footnoteRef/>
      </w:r>
      <w:r>
        <w:rPr>
          <w:rtl/>
        </w:rPr>
        <w:t>ומשמע דקנין יבום הוה תורת קידושי ביאה, ונכלל בהא דאיתקיש הוויות להדדי. ועוד משמע ברש"י דהא דנעשית כאשתו לכל דבר אינו מאכיל בתרומה מצד עצמו [משום כל טהור 'בביתך'], אלא דעי"ז ילפי' דהוה קנין אישות, והיבום הוה כמו קידושי ביאה.</w:t>
      </w:r>
    </w:p>
  </w:footnote>
  <w:footnote w:id="4137">
    <w:p w14:paraId="069592C8" w14:textId="77777777" w:rsidR="00F64AED" w:rsidRDefault="00F64AED" w:rsidP="00F64AED">
      <w:pPr>
        <w:pStyle w:val="Footnote"/>
        <w:bidi/>
      </w:pPr>
      <w:r>
        <w:rPr>
          <w:rStyle w:val="ac"/>
          <w:rtl/>
        </w:rPr>
        <w:footnoteRef/>
      </w:r>
      <w:r>
        <w:rPr>
          <w:rtl/>
        </w:rPr>
        <w:t>דלא קי”ל כמ"ד (לעיל יח:) דזיקה ככנוסה, ולענין שאר דיני אישות נח' (לעיל יז:) אי יש זיקה, ואף למ"ד יש זיקה הוה רק מדרבנן.</w:t>
      </w:r>
    </w:p>
  </w:footnote>
  <w:footnote w:id="4138">
    <w:p w14:paraId="332CC8F1" w14:textId="77777777" w:rsidR="00F64AED" w:rsidRDefault="00F64AED" w:rsidP="00F64AED">
      <w:pPr>
        <w:pStyle w:val="Footnote"/>
        <w:bidi/>
      </w:pPr>
      <w:r>
        <w:rPr>
          <w:rStyle w:val="ac"/>
          <w:rtl/>
        </w:rPr>
        <w:footnoteRef/>
      </w:r>
      <w:r>
        <w:rPr>
          <w:rtl/>
        </w:rPr>
        <w:t>דומה להא דאמרי' לעיל נו. בביאה גרועה דכל שהבעל מאכיל, יבם מאכיל.</w:t>
      </w:r>
    </w:p>
  </w:footnote>
  <w:footnote w:id="4139">
    <w:p w14:paraId="58258790" w14:textId="77777777" w:rsidR="00F64AED" w:rsidRDefault="00F64AED" w:rsidP="00F64AED">
      <w:pPr>
        <w:pStyle w:val="Footnote"/>
        <w:bidi/>
      </w:pPr>
      <w:r>
        <w:rPr>
          <w:rStyle w:val="ac"/>
          <w:rtl/>
        </w:rPr>
        <w:footnoteRef/>
      </w:r>
      <w:r>
        <w:rPr>
          <w:rtl/>
        </w:rPr>
        <w:t>וכ"כ ה</w:t>
      </w:r>
      <w:r>
        <w:rPr>
          <w:b/>
          <w:bCs/>
          <w:rtl/>
        </w:rPr>
        <w:t>קובה"ע</w:t>
      </w:r>
      <w:r>
        <w:rPr>
          <w:rtl/>
        </w:rPr>
        <w:t xml:space="preserve"> (מז ח) דמשמע דאוכלת מחמת המת. וה</w:t>
      </w:r>
      <w:r>
        <w:rPr>
          <w:b/>
          <w:bCs/>
          <w:rtl/>
        </w:rPr>
        <w:t>אחרונים</w:t>
      </w:r>
      <w:r>
        <w:rPr>
          <w:rtl/>
        </w:rPr>
        <w:t xml:space="preserve"> העירו דהראשונים הזכירו בתוך דבריהם דהוה קנינו של יבם. ומה שכתבו דלא אלים מהבעל צ"ל דהוה כעין סברא של דיו.</w:t>
      </w:r>
    </w:p>
  </w:footnote>
  <w:footnote w:id="4140">
    <w:p w14:paraId="32CE7A20" w14:textId="77777777" w:rsidR="00F64AED" w:rsidRDefault="00F64AED" w:rsidP="00F64AED">
      <w:pPr>
        <w:pStyle w:val="Footnote"/>
        <w:bidi/>
      </w:pPr>
      <w:r>
        <w:rPr>
          <w:rStyle w:val="ac"/>
          <w:rtl/>
        </w:rPr>
        <w:footnoteRef/>
      </w:r>
      <w:r>
        <w:rPr>
          <w:rtl/>
        </w:rPr>
        <w:t>אך ב</w:t>
      </w:r>
      <w:r>
        <w:rPr>
          <w:b/>
          <w:bCs/>
          <w:rtl/>
        </w:rPr>
        <w:t>תו"כ</w:t>
      </w:r>
      <w:r>
        <w:rPr>
          <w:rtl/>
        </w:rPr>
        <w:t xml:space="preserve"> (אמור ה ו) דרשי' 'בלחמו' יצא מת שאין לו לחם. וה</w:t>
      </w:r>
      <w:r>
        <w:rPr>
          <w:b/>
          <w:bCs/>
          <w:rtl/>
        </w:rPr>
        <w:t>גר"א</w:t>
      </w:r>
      <w:r>
        <w:rPr>
          <w:rtl/>
        </w:rPr>
        <w:t xml:space="preserve"> פי' דמת אינו מאכיל.</w:t>
      </w:r>
    </w:p>
  </w:footnote>
  <w:footnote w:id="4141">
    <w:p w14:paraId="362FFD29" w14:textId="77777777" w:rsidR="00F64AED" w:rsidRDefault="00F64AED" w:rsidP="00F64AED">
      <w:pPr>
        <w:pStyle w:val="Footnote"/>
        <w:bidi/>
      </w:pPr>
      <w:r>
        <w:rPr>
          <w:rStyle w:val="ac"/>
          <w:rtl/>
        </w:rPr>
        <w:footnoteRef/>
      </w:r>
      <w:r>
        <w:rPr>
          <w:rtl/>
        </w:rPr>
        <w:t>וכ"כ ה</w:t>
      </w:r>
      <w:r>
        <w:rPr>
          <w:b/>
          <w:bCs/>
          <w:rtl/>
        </w:rPr>
        <w:t>תוס' הרא"ש</w:t>
      </w:r>
      <w:r>
        <w:rPr>
          <w:rtl/>
        </w:rPr>
        <w:t xml:space="preserve"> (שם) דעדיין לא פקע רשות הבעל.</w:t>
      </w:r>
    </w:p>
  </w:footnote>
  <w:footnote w:id="4142">
    <w:p w14:paraId="6A0FD812" w14:textId="77777777" w:rsidR="00F64AED" w:rsidRDefault="00F64AED" w:rsidP="00F64AED">
      <w:pPr>
        <w:pStyle w:val="Footnote"/>
        <w:bidi/>
      </w:pPr>
      <w:r>
        <w:rPr>
          <w:rStyle w:val="ac"/>
          <w:rtl/>
        </w:rPr>
        <w:footnoteRef/>
      </w:r>
      <w:r>
        <w:rPr>
          <w:rtl/>
        </w:rPr>
        <w:t>וכמו דנתמעט דבת כהן שומרת יבם אינה חוזרת לאכול מחמת אביה, ה"ה להיפך.</w:t>
      </w:r>
    </w:p>
  </w:footnote>
  <w:footnote w:id="4143">
    <w:p w14:paraId="7CE123FF" w14:textId="77777777" w:rsidR="00F64AED" w:rsidRDefault="00F64AED" w:rsidP="00F64AED">
      <w:pPr>
        <w:pStyle w:val="Footnote"/>
        <w:bidi/>
      </w:pPr>
      <w:r>
        <w:rPr>
          <w:rStyle w:val="ac"/>
          <w:rtl/>
        </w:rPr>
        <w:footnoteRef/>
      </w:r>
      <w:r>
        <w:rPr>
          <w:rtl/>
        </w:rPr>
        <w:t>עכ"פ מדאורייתא. [אך מדרבנן י"ל דלא תקנו אא"כ כבר אכלה בתרומה בהגעת זמן, וי"ל דאף בנשואה לא תקנו].</w:t>
      </w:r>
    </w:p>
  </w:footnote>
  <w:footnote w:id="4144">
    <w:p w14:paraId="642ED855" w14:textId="77777777" w:rsidR="00F64AED" w:rsidRDefault="00F64AED" w:rsidP="00F64AED">
      <w:pPr>
        <w:pStyle w:val="Footnote"/>
        <w:bidi/>
      </w:pPr>
      <w:r>
        <w:rPr>
          <w:rStyle w:val="ac"/>
          <w:rtl/>
        </w:rPr>
        <w:footnoteRef/>
      </w:r>
      <w:r>
        <w:rPr>
          <w:rtl/>
        </w:rPr>
        <w:t>ויש שדנו מ"ט עבדיה של ארוסה לא יאכלו בתרומה, דלכאורה בעבדים ל"ש שמא תשקה. ואפשר דלא עדיפי ממנה [וע"ד הא דאמרי' לעיל סו. דאינו אוכל אינו מאכיל]. וי"ל דגדר הגזירה דהחשיבו כמי שאינה נשואה לכהן.</w:t>
      </w:r>
    </w:p>
  </w:footnote>
  <w:footnote w:id="4145">
    <w:p w14:paraId="742E27E4" w14:textId="77777777" w:rsidR="00F64AED" w:rsidRDefault="00F64AED" w:rsidP="00F64AED">
      <w:pPr>
        <w:pStyle w:val="Footnote"/>
        <w:bidi/>
      </w:pPr>
      <w:r>
        <w:rPr>
          <w:rStyle w:val="ac"/>
          <w:rtl/>
        </w:rPr>
        <w:footnoteRef/>
      </w:r>
      <w:r>
        <w:rPr>
          <w:rtl/>
        </w:rPr>
        <w:t>וה</w:t>
      </w:r>
      <w:r>
        <w:rPr>
          <w:b/>
          <w:bCs/>
          <w:rtl/>
        </w:rPr>
        <w:t>ראשונים</w:t>
      </w:r>
      <w:r>
        <w:rPr>
          <w:rtl/>
        </w:rPr>
        <w:t xml:space="preserve"> דנו אי הוה דוקא למשנה ראשונה דבהגעת זמן אוכלת בתרומה. [ואכמ"ל].</w:t>
      </w:r>
    </w:p>
  </w:footnote>
  <w:footnote w:id="4146">
    <w:p w14:paraId="29BD4F10" w14:textId="77777777" w:rsidR="00F64AED" w:rsidRDefault="00F64AED" w:rsidP="00F64AED">
      <w:pPr>
        <w:pStyle w:val="Footnote"/>
        <w:bidi/>
      </w:pPr>
      <w:r>
        <w:rPr>
          <w:rStyle w:val="ac"/>
          <w:rtl/>
        </w:rPr>
        <w:footnoteRef/>
      </w:r>
      <w:r>
        <w:rPr>
          <w:rtl/>
        </w:rPr>
        <w:t>ואף דהגמ' (בסוף העמ') דורשת מ'ושבה אל בית אביה', מ"מ ילפי' דאף אירוסין פוסל מדין חזה ושוק.</w:t>
      </w:r>
    </w:p>
  </w:footnote>
  <w:footnote w:id="4147">
    <w:p w14:paraId="5E8EEEC1" w14:textId="77777777" w:rsidR="00F64AED" w:rsidRDefault="00F64AED" w:rsidP="00F64AED">
      <w:pPr>
        <w:pStyle w:val="Footnote"/>
        <w:bidi/>
      </w:pPr>
      <w:r>
        <w:rPr>
          <w:rStyle w:val="ac"/>
          <w:rtl/>
        </w:rPr>
        <w:footnoteRef/>
      </w:r>
      <w:r>
        <w:rPr>
          <w:rtl/>
        </w:rPr>
        <w:t>ואפשר דהוה הגדר מ"ט לא תקנו לו שיאכל עכ"פ מדרבנן בתרומה דרבנן. [ובגמ' גיטין נה. מבואר דהוה גזירה]. ויל"פ דהגדר דקנין דחרש לא נחשב 'קנין כספו' [דרבנן] אלא הוה גדר קנין מחודש. דלא תקנו גדר קנין כספו כיון דל"ש בזה מדאורייתא.</w:t>
      </w:r>
    </w:p>
  </w:footnote>
  <w:footnote w:id="4148">
    <w:p w14:paraId="2C6A4911" w14:textId="77777777" w:rsidR="00F64AED" w:rsidRDefault="00F64AED" w:rsidP="00F64AED">
      <w:pPr>
        <w:pStyle w:val="Footnote"/>
        <w:bidi/>
      </w:pPr>
      <w:r>
        <w:rPr>
          <w:rStyle w:val="ac"/>
          <w:rtl/>
        </w:rPr>
        <w:footnoteRef/>
      </w:r>
      <w:r>
        <w:rPr>
          <w:rtl/>
        </w:rPr>
        <w:t>[וכעי"ז כתב ה</w:t>
      </w:r>
      <w:r>
        <w:rPr>
          <w:b/>
          <w:bCs/>
          <w:rtl/>
        </w:rPr>
        <w:t>רמב"ן</w:t>
      </w:r>
      <w:r>
        <w:rPr>
          <w:rtl/>
        </w:rPr>
        <w:t xml:space="preserve"> (לקמן צו.) דהואיל ומדאורייתא קנויה לו מקנין אחיו, שהיא זקוקה לו, בקנין כל דהוא ליכול קמ"ל]. והביא דאף </w:t>
      </w:r>
      <w:r>
        <w:rPr>
          <w:b/>
          <w:bCs/>
          <w:rtl/>
        </w:rPr>
        <w:t>רש"י</w:t>
      </w:r>
      <w:r>
        <w:rPr>
          <w:rtl/>
        </w:rPr>
        <w:t xml:space="preserve"> (קידושין שם) פי' משום דזקוקה לו מדאורייתא. [ולא שקנאה מדאורייתא].</w:t>
      </w:r>
    </w:p>
  </w:footnote>
  <w:footnote w:id="4149">
    <w:p w14:paraId="0481DAAF" w14:textId="77777777" w:rsidR="00F64AED" w:rsidRDefault="00F64AED" w:rsidP="00F64AED">
      <w:pPr>
        <w:pStyle w:val="Footnote"/>
        <w:bidi/>
      </w:pPr>
      <w:r>
        <w:rPr>
          <w:rStyle w:val="ac"/>
          <w:rtl/>
        </w:rPr>
        <w:footnoteRef/>
      </w:r>
      <w:r>
        <w:rPr>
          <w:rtl/>
        </w:rPr>
        <w:t>וה</w:t>
      </w:r>
      <w:r>
        <w:rPr>
          <w:b/>
          <w:bCs/>
          <w:rtl/>
        </w:rPr>
        <w:t>שער"י</w:t>
      </w:r>
      <w:r>
        <w:rPr>
          <w:rtl/>
        </w:rPr>
        <w:t xml:space="preserve"> (ב ד) הקשה אף לתי' התוס' דל"מ חזקה כיון דגדול לפנינו, ניאמ דהוה תרתי לטיבותא, וכמו דאמרי' תרתי לריעותא נגד חזקה דמעיקרא, ועי”ש.</w:t>
      </w:r>
    </w:p>
  </w:footnote>
  <w:footnote w:id="4150">
    <w:p w14:paraId="04AF2652" w14:textId="77777777" w:rsidR="00F64AED" w:rsidRDefault="00F64AED" w:rsidP="00F64AED">
      <w:pPr>
        <w:pStyle w:val="Footnote"/>
        <w:bidi/>
      </w:pPr>
      <w:r>
        <w:rPr>
          <w:rStyle w:val="ac"/>
          <w:rtl/>
        </w:rPr>
        <w:footnoteRef/>
      </w:r>
      <w:r>
        <w:rPr>
          <w:rtl/>
        </w:rPr>
        <w:t>ואף במקום דליכא תרי ותרי [והא דכתבו תוס' בסמוך בתרי ותרי, כוונתם להוכיח דמהני חזקה בתרומה. אמנם נח' תי' ה</w:t>
      </w:r>
      <w:r>
        <w:rPr>
          <w:b/>
          <w:bCs/>
          <w:rtl/>
        </w:rPr>
        <w:t>תוס</w:t>
      </w:r>
      <w:r>
        <w:rPr>
          <w:rtl/>
        </w:rPr>
        <w:t>' שם האם איירי בתרומה דרבנן, במקום תרי ותרי. אבל בחזקה בעלמא ודאי אזלי' לגבי תרומה].</w:t>
      </w:r>
    </w:p>
  </w:footnote>
  <w:footnote w:id="4151">
    <w:p w14:paraId="4E5DDAD9" w14:textId="77777777" w:rsidR="00F64AED" w:rsidRDefault="00F64AED" w:rsidP="00F64AED">
      <w:pPr>
        <w:pStyle w:val="Footnote"/>
        <w:bidi/>
      </w:pPr>
      <w:r>
        <w:rPr>
          <w:rStyle w:val="ac"/>
          <w:rtl/>
        </w:rPr>
        <w:footnoteRef/>
      </w:r>
      <w:r>
        <w:rPr>
          <w:rtl/>
        </w:rPr>
        <w:t>אבל דעת ה</w:t>
      </w:r>
      <w:r>
        <w:rPr>
          <w:b/>
          <w:bCs/>
          <w:rtl/>
        </w:rPr>
        <w:t>תוס' רי"ד</w:t>
      </w:r>
      <w:r>
        <w:rPr>
          <w:rtl/>
        </w:rPr>
        <w:t xml:space="preserve"> (קידושין עט.) דבמקום שהספק בגופו, מעמידים כשעת מציאתן. [אף מדאורייתא]. [ע' נדה ד.]. וחילק דגבי בגרות ונדה, הבגרות והמטמא ברור אלא דלא ידעינן האם היה בשעת קידושין ובשעת מגע. וכה"ג חזקה דמעיקרא עדיף. אבל בספק דאיתיליד בגופא אזלי' בתר שעת מציאתו. [ויל"ד האם ספק בן ט' דסוגיין דמי לסימני בגרות או לספק חי ספק מת].</w:t>
      </w:r>
    </w:p>
  </w:footnote>
  <w:footnote w:id="4152">
    <w:p w14:paraId="01A1A67B" w14:textId="77777777" w:rsidR="00F64AED" w:rsidRDefault="00F64AED" w:rsidP="00F64AED">
      <w:pPr>
        <w:pStyle w:val="Footnote"/>
        <w:bidi/>
      </w:pPr>
      <w:r>
        <w:rPr>
          <w:rStyle w:val="ac"/>
          <w:rtl/>
        </w:rPr>
        <w:footnoteRef/>
      </w:r>
      <w:r>
        <w:rPr>
          <w:rtl/>
        </w:rPr>
        <w:t>וכת' דאף שאם היינו דנים אז, היינו מעמידין אותו בחזקתו הראשונה, השתא שבא לפנינו כשהוא ודאי בן ט' לגבי השתא חזקתו הראשונה הורעה. והמהרי"ט הק' דבכ"מ דנו על דבר, ואפ"ה מהני החזקה.</w:t>
      </w:r>
    </w:p>
  </w:footnote>
  <w:footnote w:id="4153">
    <w:p w14:paraId="317C6286" w14:textId="77777777" w:rsidR="00F64AED" w:rsidRDefault="00F64AED" w:rsidP="00F64AED">
      <w:pPr>
        <w:pStyle w:val="Footnote"/>
        <w:bidi/>
      </w:pPr>
      <w:r>
        <w:rPr>
          <w:rStyle w:val="ac"/>
          <w:rtl/>
        </w:rPr>
        <w:footnoteRef/>
      </w:r>
      <w:r>
        <w:rPr>
          <w:rtl/>
        </w:rPr>
        <w:t>וכדאי' (נדה ב:) דמטמאה מעת לעת, דכיון דמגופא קא חזיא אתרע לה חזקתה. ופ</w:t>
      </w:r>
      <w:r>
        <w:rPr>
          <w:b/>
          <w:bCs/>
          <w:rtl/>
        </w:rPr>
        <w:t>רש"י</w:t>
      </w:r>
      <w:r>
        <w:rPr>
          <w:rtl/>
        </w:rPr>
        <w:t xml:space="preserve"> כיון דמגופא קחזיא מועדת ועלולה היא לכך ואין לה חזקת טהרה.</w:t>
      </w:r>
    </w:p>
  </w:footnote>
  <w:footnote w:id="4154">
    <w:p w14:paraId="0BDC7E1C" w14:textId="77777777" w:rsidR="00F64AED" w:rsidRDefault="00F64AED" w:rsidP="00F64AED">
      <w:pPr>
        <w:pStyle w:val="Footnote"/>
        <w:bidi/>
      </w:pPr>
      <w:r>
        <w:rPr>
          <w:rStyle w:val="ac"/>
          <w:rtl/>
        </w:rPr>
        <w:footnoteRef/>
      </w:r>
      <w:r>
        <w:rPr>
          <w:rtl/>
        </w:rPr>
        <w:t>וכתב דדמי להא דאמרי' נדה ב מגופא קא חזיא ולא נחשב חזקה. [אמנם שם אמרי' דמהני חזקה לענין חולין, ועי"ש מש"כ בזה].</w:t>
      </w:r>
    </w:p>
  </w:footnote>
  <w:footnote w:id="4155">
    <w:p w14:paraId="24DEA578" w14:textId="77777777" w:rsidR="00F64AED" w:rsidRDefault="00F64AED" w:rsidP="00F64AED">
      <w:pPr>
        <w:pStyle w:val="Footnote"/>
        <w:bidi/>
      </w:pPr>
      <w:r>
        <w:rPr>
          <w:rStyle w:val="ac"/>
          <w:rtl/>
        </w:rPr>
        <w:footnoteRef/>
      </w:r>
      <w:r>
        <w:rPr>
          <w:rtl/>
        </w:rPr>
        <w:t>ועי"ש מש"כ ה</w:t>
      </w:r>
      <w:r>
        <w:rPr>
          <w:b/>
          <w:bCs/>
          <w:rtl/>
        </w:rPr>
        <w:t>ש"ך</w:t>
      </w:r>
      <w:r>
        <w:rPr>
          <w:rtl/>
        </w:rPr>
        <w:t xml:space="preserve"> בנה"כ. והאחרונים האריכו בזה טובא.</w:t>
      </w:r>
    </w:p>
  </w:footnote>
  <w:footnote w:id="4156">
    <w:p w14:paraId="0C7EABA6" w14:textId="77777777" w:rsidR="00F64AED" w:rsidRDefault="00F64AED" w:rsidP="00F64AED">
      <w:pPr>
        <w:pStyle w:val="Footnote"/>
        <w:bidi/>
      </w:pPr>
      <w:r>
        <w:rPr>
          <w:rStyle w:val="ac"/>
          <w:rtl/>
        </w:rPr>
        <w:footnoteRef/>
      </w:r>
      <w:r>
        <w:rPr>
          <w:rtl/>
        </w:rPr>
        <w:t>וה</w:t>
      </w:r>
      <w:r>
        <w:rPr>
          <w:b/>
          <w:bCs/>
          <w:rtl/>
        </w:rPr>
        <w:t>מהרי"ט</w:t>
      </w:r>
      <w:r>
        <w:rPr>
          <w:rtl/>
        </w:rPr>
        <w:t xml:space="preserve"> הביא בשם </w:t>
      </w:r>
      <w:r>
        <w:rPr>
          <w:b/>
          <w:bCs/>
          <w:rtl/>
        </w:rPr>
        <w:t>רבו</w:t>
      </w:r>
      <w:r>
        <w:rPr>
          <w:rtl/>
        </w:rPr>
        <w:t xml:space="preserve"> דלא דמי לתרתי לריעותא, דהכא בשעת ביאה היה ספק אם הוא בן ט', ואף דאם היינו באים לדון היו מסתפקים שהוא קטן [וצ”ב].</w:t>
      </w:r>
    </w:p>
  </w:footnote>
  <w:footnote w:id="4157">
    <w:p w14:paraId="728BC03A" w14:textId="77777777" w:rsidR="00F64AED" w:rsidRDefault="00F64AED" w:rsidP="00F64AED">
      <w:pPr>
        <w:pStyle w:val="Footnote"/>
        <w:bidi/>
      </w:pPr>
      <w:r>
        <w:rPr>
          <w:rStyle w:val="ac"/>
          <w:rtl/>
        </w:rPr>
        <w:footnoteRef/>
      </w:r>
      <w:r>
        <w:rPr>
          <w:rtl/>
        </w:rPr>
        <w:t>וה</w:t>
      </w:r>
      <w:r>
        <w:rPr>
          <w:b/>
          <w:bCs/>
          <w:rtl/>
        </w:rPr>
        <w:t>חזו"א</w:t>
      </w:r>
      <w:r>
        <w:rPr>
          <w:rtl/>
        </w:rPr>
        <w:t xml:space="preserve"> (פ יז) ו</w:t>
      </w:r>
      <w:r>
        <w:rPr>
          <w:b/>
          <w:bCs/>
          <w:rtl/>
        </w:rPr>
        <w:t xml:space="preserve">שער"י </w:t>
      </w:r>
      <w:r>
        <w:rPr>
          <w:rtl/>
        </w:rPr>
        <w:t>(ב ד) הקשו דהוה חומרא דוקא במעת לעת ולתרומה, ולא החמירו לפסול אוכלי התרומה. ועי"ש מה שביארו.</w:t>
      </w:r>
    </w:p>
  </w:footnote>
  <w:footnote w:id="4158">
    <w:p w14:paraId="765A6D1C" w14:textId="77777777" w:rsidR="00F64AED" w:rsidRDefault="00F64AED" w:rsidP="00F64AED">
      <w:pPr>
        <w:pStyle w:val="Footnote"/>
        <w:bidi/>
      </w:pPr>
      <w:r>
        <w:rPr>
          <w:rStyle w:val="ac"/>
          <w:rtl/>
        </w:rPr>
        <w:footnoteRef/>
      </w:r>
      <w:r>
        <w:rPr>
          <w:rtl/>
        </w:rPr>
        <w:t>וכוונתו לדברי ה</w:t>
      </w:r>
      <w:r>
        <w:rPr>
          <w:b/>
          <w:bCs/>
          <w:rtl/>
        </w:rPr>
        <w:t>רמב”ן</w:t>
      </w:r>
      <w:r>
        <w:rPr>
          <w:rtl/>
        </w:rPr>
        <w:t xml:space="preserve"> (נדה יח, וע”ע ריטב”א שם ועירובין לו וקידושין עט) דכיון דהספק על השליא, וודאי נגע בבית ל”מ חזקת הבית. והאריכו בזה האחרונים].</w:t>
      </w:r>
    </w:p>
  </w:footnote>
  <w:footnote w:id="4159">
    <w:p w14:paraId="0618D352" w14:textId="77777777" w:rsidR="00F64AED" w:rsidRDefault="00F64AED" w:rsidP="00F64AED">
      <w:pPr>
        <w:pStyle w:val="Footnote"/>
        <w:bidi/>
      </w:pPr>
      <w:r>
        <w:rPr>
          <w:rStyle w:val="ac"/>
          <w:rtl/>
        </w:rPr>
        <w:footnoteRef/>
      </w:r>
      <w:r>
        <w:rPr>
          <w:rtl/>
        </w:rPr>
        <w:t>וכ"מ ב</w:t>
      </w:r>
      <w:r>
        <w:rPr>
          <w:b/>
          <w:bCs/>
          <w:rtl/>
        </w:rPr>
        <w:t>תוס</w:t>
      </w:r>
      <w:r>
        <w:rPr>
          <w:rtl/>
        </w:rPr>
        <w:t>' (בכ"מ) דל"ל הך כללא [וכן תוס' (כאן) דמשמע דמהני חזקת האשה].</w:t>
      </w:r>
    </w:p>
  </w:footnote>
  <w:footnote w:id="4160">
    <w:p w14:paraId="016FA5EB" w14:textId="77777777" w:rsidR="00F64AED" w:rsidRDefault="00F64AED" w:rsidP="00F64AED">
      <w:pPr>
        <w:pStyle w:val="Footnote"/>
        <w:bidi/>
      </w:pPr>
      <w:r>
        <w:rPr>
          <w:rStyle w:val="ac"/>
          <w:rtl/>
        </w:rPr>
        <w:footnoteRef/>
      </w:r>
      <w:r>
        <w:rPr>
          <w:rtl/>
        </w:rPr>
        <w:t>וכיסוד זה כתב ב</w:t>
      </w:r>
      <w:r>
        <w:rPr>
          <w:b/>
          <w:bCs/>
          <w:rtl/>
        </w:rPr>
        <w:t>קובה"ע</w:t>
      </w:r>
      <w:r>
        <w:rPr>
          <w:rtl/>
        </w:rPr>
        <w:t xml:space="preserve"> (סז יב).</w:t>
      </w:r>
    </w:p>
  </w:footnote>
  <w:footnote w:id="4161">
    <w:p w14:paraId="333CD388" w14:textId="77777777" w:rsidR="00F64AED" w:rsidRDefault="00F64AED" w:rsidP="00F64AED">
      <w:pPr>
        <w:pStyle w:val="Footnote"/>
        <w:bidi/>
      </w:pPr>
      <w:r>
        <w:rPr>
          <w:rStyle w:val="ac"/>
          <w:rtl/>
        </w:rPr>
        <w:footnoteRef/>
      </w:r>
      <w:r>
        <w:rPr>
          <w:rtl/>
        </w:rPr>
        <w:t>וציינו דכעי"ז מצאנו גבי ספק בין השמשות, דה</w:t>
      </w:r>
      <w:r>
        <w:rPr>
          <w:b/>
          <w:bCs/>
          <w:rtl/>
        </w:rPr>
        <w:t>פוסקים</w:t>
      </w:r>
      <w:r>
        <w:rPr>
          <w:rtl/>
        </w:rPr>
        <w:t xml:space="preserve"> דנו דנימא חזקה דמעיקרא. ואכמ"ל.</w:t>
      </w:r>
    </w:p>
  </w:footnote>
  <w:footnote w:id="4162">
    <w:p w14:paraId="3F8BD3DC" w14:textId="77777777" w:rsidR="00F64AED" w:rsidRDefault="00F64AED" w:rsidP="00F64AED">
      <w:pPr>
        <w:pStyle w:val="Footnote"/>
        <w:bidi/>
      </w:pPr>
      <w:r>
        <w:rPr>
          <w:rStyle w:val="ac"/>
          <w:rtl/>
        </w:rPr>
        <w:footnoteRef/>
      </w:r>
      <w:r>
        <w:rPr>
          <w:rtl/>
        </w:rPr>
        <w:t>וא"כ י"ל דמש"ה איצטריך בסוגיין לפסול לתרומה [וכמש”כ תוס' מד:], וכ"כ כמה אחרונים בדעת הרמב”ם. אך עדיין קשה בגמ' (בע"ב) דהק' לכהונה מנ”ל, תיפו"ל משום זונה.</w:t>
      </w:r>
    </w:p>
  </w:footnote>
  <w:footnote w:id="4163">
    <w:p w14:paraId="724B80E3" w14:textId="77777777" w:rsidR="00F64AED" w:rsidRDefault="00F64AED" w:rsidP="00F64AED">
      <w:pPr>
        <w:pStyle w:val="Footnote"/>
        <w:bidi/>
      </w:pPr>
      <w:r>
        <w:rPr>
          <w:rStyle w:val="ac"/>
          <w:rtl/>
        </w:rPr>
        <w:footnoteRef/>
      </w:r>
      <w:r>
        <w:rPr>
          <w:rtl/>
        </w:rPr>
        <w:t>וכדעת רוב הראשונים (שם) דרבה קאי בכל זונה. ודלא כראשונים דקאי דוקא אשת איש שזינתה.</w:t>
      </w:r>
    </w:p>
  </w:footnote>
  <w:footnote w:id="4164">
    <w:p w14:paraId="559C8471" w14:textId="77777777" w:rsidR="00F64AED" w:rsidRDefault="00F64AED" w:rsidP="00F64AED">
      <w:pPr>
        <w:pStyle w:val="Footnote"/>
        <w:bidi/>
      </w:pPr>
      <w:r>
        <w:rPr>
          <w:rStyle w:val="ac"/>
          <w:rtl/>
        </w:rPr>
        <w:footnoteRef/>
      </w:r>
      <w:r>
        <w:rPr>
          <w:rtl/>
        </w:rPr>
        <w:t>וע' מנח"ח שסיכם את הדיעות בסוגיין.</w:t>
      </w:r>
    </w:p>
  </w:footnote>
  <w:footnote w:id="4165">
    <w:p w14:paraId="7091C62E" w14:textId="77777777" w:rsidR="00F64AED" w:rsidRDefault="00F64AED" w:rsidP="00F64AED">
      <w:pPr>
        <w:pStyle w:val="Footnote"/>
        <w:bidi/>
      </w:pPr>
      <w:r>
        <w:rPr>
          <w:rStyle w:val="ac"/>
          <w:rtl/>
        </w:rPr>
        <w:footnoteRef/>
      </w:r>
      <w:r>
        <w:rPr>
          <w:rtl/>
        </w:rPr>
        <w:t>ולפ”ז אף מחזיר גרושתו פוסלה משום זונה (ע' לקמן סט.).</w:t>
      </w:r>
    </w:p>
  </w:footnote>
  <w:footnote w:id="4166">
    <w:p w14:paraId="236CB877" w14:textId="77777777" w:rsidR="00F64AED" w:rsidRDefault="00F64AED" w:rsidP="00F64AED">
      <w:pPr>
        <w:pStyle w:val="Footnote"/>
        <w:bidi/>
      </w:pPr>
      <w:r>
        <w:rPr>
          <w:rStyle w:val="ac"/>
          <w:rtl/>
        </w:rPr>
        <w:footnoteRef/>
      </w:r>
      <w:r>
        <w:rPr>
          <w:rtl/>
        </w:rPr>
        <w:t>ואף דהסוגיא (סט.) קאי לענין שם 'איש זר'. מ"מ אף זונה תליא דוקא היכא דהוא 'פסול לה'. ומחזיר גרושתו דאינו זר מעיקרא לא הוה זונה. וצ"ע.</w:t>
      </w:r>
    </w:p>
  </w:footnote>
  <w:footnote w:id="4167">
    <w:p w14:paraId="1CED7A7C" w14:textId="77777777" w:rsidR="00F64AED" w:rsidRDefault="00F64AED" w:rsidP="00F64AED">
      <w:pPr>
        <w:pStyle w:val="Footnote"/>
        <w:bidi/>
      </w:pPr>
      <w:r>
        <w:rPr>
          <w:rStyle w:val="ac"/>
          <w:rtl/>
        </w:rPr>
        <w:footnoteRef/>
      </w:r>
      <w:r>
        <w:rPr>
          <w:rtl/>
        </w:rPr>
        <w:t>לרבנן דזונה תלי בתפיסת קידושין, ותוס' ביארו דכל היכא דלא תפסי קידושין נחשב 'זר אצלה', אף היכא דלא הוה זר מעיקרא.</w:t>
      </w:r>
    </w:p>
    <w:p w14:paraId="5D80A4F0" w14:textId="77777777" w:rsidR="00F64AED" w:rsidRDefault="00F64AED" w:rsidP="00F64AED">
      <w:pPr>
        <w:pStyle w:val="Footnote"/>
        <w:bidi/>
      </w:pPr>
      <w:r>
        <w:rPr>
          <w:rtl/>
        </w:rPr>
        <w:tab/>
        <w:t>[אבל לר' מתיא בן חרש (לעיל סא:) הוה זונה אף בבעלה בא עליה בדרך, וכ"ש מחזיר גרושתו. ואפ"ה אינה בכלל איש זר ליפסל לתרומה].</w:t>
      </w:r>
    </w:p>
  </w:footnote>
  <w:footnote w:id="4168">
    <w:p w14:paraId="2B446660" w14:textId="77777777" w:rsidR="00F64AED" w:rsidRDefault="00F64AED" w:rsidP="00F64AED">
      <w:pPr>
        <w:pStyle w:val="Footnote"/>
        <w:bidi/>
      </w:pPr>
      <w:r>
        <w:rPr>
          <w:rStyle w:val="ac"/>
          <w:rtl/>
        </w:rPr>
        <w:footnoteRef/>
      </w:r>
      <w:r>
        <w:rPr>
          <w:rtl/>
        </w:rPr>
        <w:t>וביאר כדין כל חלל, שהחלל כזר לכל דבר.</w:t>
      </w:r>
    </w:p>
    <w:p w14:paraId="7A184CE2" w14:textId="77777777" w:rsidR="00F64AED" w:rsidRDefault="00F64AED" w:rsidP="00F64AED">
      <w:pPr>
        <w:pStyle w:val="Footnote"/>
        <w:bidi/>
      </w:pPr>
      <w:r>
        <w:rPr>
          <w:rtl/>
        </w:rPr>
        <w:tab/>
        <w:t>ומשמע דזה הטעם שאינה אוכלת, שהחללות הוא שלילת כהונה (וכדלקמן עד: דלאו זרעיה דאהרן). וליכא סיבה חיובית שלא תאכל בתרומה. דיש שחקרו אי ביאת הזר הוא אוסר בתרומה. או דמהני לבטל קדושת הכהונה דמחמת בעלה אביה ובנה. ומשמעות הרמב"ם [צד שלישי] דהוה חילול לכהונה.</w:t>
      </w:r>
    </w:p>
  </w:footnote>
  <w:footnote w:id="4169">
    <w:p w14:paraId="114A7C68" w14:textId="77777777" w:rsidR="00F64AED" w:rsidRDefault="00F64AED" w:rsidP="00F64AED">
      <w:pPr>
        <w:pStyle w:val="Footnote"/>
        <w:bidi/>
      </w:pPr>
      <w:r>
        <w:rPr>
          <w:rStyle w:val="ac"/>
          <w:rtl/>
        </w:rPr>
        <w:footnoteRef/>
      </w:r>
      <w:r>
        <w:rPr>
          <w:rtl/>
        </w:rPr>
        <w:t>מחמת שם זונה או חללה (ע"ע לקמן אי זונה אוכלת בתרומה).</w:t>
      </w:r>
    </w:p>
  </w:footnote>
  <w:footnote w:id="4170">
    <w:p w14:paraId="71935075" w14:textId="77777777" w:rsidR="00F64AED" w:rsidRDefault="00F64AED" w:rsidP="00F64AED">
      <w:pPr>
        <w:pStyle w:val="Footnote"/>
        <w:bidi/>
      </w:pPr>
      <w:r>
        <w:rPr>
          <w:rStyle w:val="ac"/>
          <w:rtl/>
        </w:rPr>
        <w:footnoteRef/>
      </w:r>
      <w:r>
        <w:rPr>
          <w:rtl/>
        </w:rPr>
        <w:t>אבל לר' מתיא בן חרש הוה מכל האיסורין. [וע"ע סט. דהריטב"א כתב דאף לר' אלעזר].</w:t>
      </w:r>
    </w:p>
  </w:footnote>
  <w:footnote w:id="4171">
    <w:p w14:paraId="3B829EED" w14:textId="77777777" w:rsidR="00F64AED" w:rsidRDefault="00F64AED" w:rsidP="00F64AED">
      <w:pPr>
        <w:pStyle w:val="Footnote"/>
        <w:bidi/>
      </w:pPr>
      <w:r>
        <w:rPr>
          <w:rStyle w:val="ac"/>
          <w:rtl/>
        </w:rPr>
        <w:footnoteRef/>
      </w:r>
      <w:r>
        <w:rPr>
          <w:rtl/>
        </w:rPr>
        <w:t>וה</w:t>
      </w:r>
      <w:r>
        <w:rPr>
          <w:b/>
          <w:bCs/>
          <w:rtl/>
        </w:rPr>
        <w:t>ב"ח</w:t>
      </w:r>
      <w:r>
        <w:rPr>
          <w:rtl/>
        </w:rPr>
        <w:t xml:space="preserve"> הביא דכן מפורש ב</w:t>
      </w:r>
      <w:r>
        <w:rPr>
          <w:b/>
          <w:bCs/>
          <w:rtl/>
        </w:rPr>
        <w:t>תוס</w:t>
      </w:r>
      <w:r>
        <w:rPr>
          <w:rtl/>
        </w:rPr>
        <w:t>' (מד: ד"ה הכא והרא”ש כאן) דבסוגיין קאי משום איסור 'איש זר', ולא משום שם זונה.</w:t>
      </w:r>
    </w:p>
  </w:footnote>
  <w:footnote w:id="4172">
    <w:p w14:paraId="1D17BED8" w14:textId="77777777" w:rsidR="00F64AED" w:rsidRDefault="00F64AED" w:rsidP="00F64AED">
      <w:pPr>
        <w:pStyle w:val="Footnote"/>
        <w:bidi/>
      </w:pPr>
      <w:r>
        <w:rPr>
          <w:rStyle w:val="ac"/>
          <w:rtl/>
        </w:rPr>
        <w:footnoteRef/>
      </w:r>
      <w:r>
        <w:rPr>
          <w:rtl/>
        </w:rPr>
        <w:t>וכ"מ מסתימת ה</w:t>
      </w:r>
      <w:r>
        <w:rPr>
          <w:b/>
          <w:bCs/>
          <w:rtl/>
        </w:rPr>
        <w:t>טור</w:t>
      </w:r>
      <w:r>
        <w:rPr>
          <w:rtl/>
        </w:rPr>
        <w:t xml:space="preserve"> (שם) שהעמיד מח' הרמב"ם והרא"ש האם הוה זונה, ומאי נפק"מ בכך כיון דבלאו הכי אסור משם אחר. וע' פוסקים.</w:t>
      </w:r>
    </w:p>
  </w:footnote>
  <w:footnote w:id="4173">
    <w:p w14:paraId="330128A8" w14:textId="77777777" w:rsidR="00F64AED" w:rsidRDefault="00F64AED" w:rsidP="00F64AED">
      <w:pPr>
        <w:pStyle w:val="Footnote"/>
        <w:bidi/>
      </w:pPr>
      <w:r>
        <w:rPr>
          <w:rStyle w:val="ac"/>
          <w:rtl/>
        </w:rPr>
        <w:footnoteRef/>
      </w:r>
      <w:r>
        <w:rPr>
          <w:rtl/>
        </w:rPr>
        <w:t>וה</w:t>
      </w:r>
      <w:r>
        <w:rPr>
          <w:b/>
          <w:bCs/>
          <w:rtl/>
        </w:rPr>
        <w:t>ב"י</w:t>
      </w:r>
      <w:r>
        <w:rPr>
          <w:rtl/>
        </w:rPr>
        <w:t xml:space="preserve"> תמה [על הטור שהביא כן בשם הרא"ש] דה</w:t>
      </w:r>
      <w:r>
        <w:rPr>
          <w:b/>
          <w:bCs/>
          <w:rtl/>
        </w:rPr>
        <w:t>רא"ש</w:t>
      </w:r>
      <w:r>
        <w:rPr>
          <w:rtl/>
        </w:rPr>
        <w:t xml:space="preserve"> הביא את הברייתא הזו. [והב"ח הוכיח מזה דתרוייהו איתנהו].</w:t>
      </w:r>
    </w:p>
  </w:footnote>
  <w:footnote w:id="4174">
    <w:p w14:paraId="4E8173BF" w14:textId="77777777" w:rsidR="00F64AED" w:rsidRDefault="00F64AED" w:rsidP="00F64AED">
      <w:pPr>
        <w:pStyle w:val="Footnote"/>
        <w:bidi/>
      </w:pPr>
      <w:r>
        <w:rPr>
          <w:rStyle w:val="ac"/>
          <w:rtl/>
        </w:rPr>
        <w:footnoteRef/>
      </w:r>
      <w:r>
        <w:rPr>
          <w:rtl/>
        </w:rPr>
        <w:t xml:space="preserve">וצ"ב דא"כ אמאי בעי זר אצלה מעיקרא. וע' </w:t>
      </w:r>
      <w:r>
        <w:rPr>
          <w:b/>
          <w:bCs/>
          <w:rtl/>
        </w:rPr>
        <w:t>תוס</w:t>
      </w:r>
      <w:r>
        <w:rPr>
          <w:rtl/>
        </w:rPr>
        <w:t>' (לעיל מד: וקידושין עה:, ו</w:t>
      </w:r>
      <w:r>
        <w:rPr>
          <w:b/>
          <w:bCs/>
          <w:rtl/>
        </w:rPr>
        <w:t>תוס' הרא"ש</w:t>
      </w:r>
      <w:r>
        <w:rPr>
          <w:rtl/>
        </w:rPr>
        <w:t xml:space="preserve"> סט.) דכיון דהוה ממזר, פשיטא דפוסל בביאה.</w:t>
      </w:r>
    </w:p>
  </w:footnote>
  <w:footnote w:id="4175">
    <w:p w14:paraId="57424180" w14:textId="77777777" w:rsidR="00F64AED" w:rsidRDefault="00F64AED" w:rsidP="00F64AED">
      <w:pPr>
        <w:pStyle w:val="Footnote"/>
        <w:bidi/>
      </w:pPr>
      <w:r>
        <w:rPr>
          <w:rStyle w:val="ac"/>
          <w:rtl/>
        </w:rPr>
        <w:footnoteRef/>
      </w:r>
      <w:r>
        <w:rPr>
          <w:rtl/>
        </w:rPr>
        <w:t>ורק לאחר קרא דזונה ילפי' דבביאת חייבי כריתות נפסלת לתרומה. ועי"ז נפסלה לכהונה מק"ו. [ולכאו' לוקה ב', משום זונה ומשום איש זר. ואף דהוה מכח גילוי דזונה].</w:t>
      </w:r>
    </w:p>
  </w:footnote>
  <w:footnote w:id="4176">
    <w:p w14:paraId="23D7A08C" w14:textId="77777777" w:rsidR="00F64AED" w:rsidRDefault="00F64AED" w:rsidP="00F64AED">
      <w:pPr>
        <w:pStyle w:val="Footnote"/>
        <w:bidi/>
      </w:pPr>
      <w:r>
        <w:rPr>
          <w:rStyle w:val="ac"/>
          <w:rtl/>
        </w:rPr>
        <w:footnoteRef/>
      </w:r>
      <w:r>
        <w:rPr>
          <w:rtl/>
        </w:rPr>
        <w:t>וכ"ד ה</w:t>
      </w:r>
      <w:r>
        <w:rPr>
          <w:b/>
          <w:bCs/>
          <w:rtl/>
        </w:rPr>
        <w:t>מאירי</w:t>
      </w:r>
      <w:r>
        <w:rPr>
          <w:rtl/>
        </w:rPr>
        <w:t xml:space="preserve"> (לעיל טו:) דיבמה לשוק לכהונה אסירא משום זונה, אבל לא נפסלה לתרומה דהוה חייבי לאוין שבישראל שאין בו פגם יוחסין. וכ"כ ה</w:t>
      </w:r>
      <w:r>
        <w:rPr>
          <w:b/>
          <w:bCs/>
          <w:rtl/>
        </w:rPr>
        <w:t>מאירי</w:t>
      </w:r>
      <w:r>
        <w:rPr>
          <w:rtl/>
        </w:rPr>
        <w:t xml:space="preserve"> (בסוגיין) דאף לדעת הפוסקים שלא נעשית זונה לענין מלקות [לאכילת תרומה] אלא מחייבי כריתות, מ"מ כל שנבעלה לפסול לה נעשית זונה ליפסל לינשא לכהונה. [אך צ"ע אמאי קרי ליה 'זונה', דלכאו' הוה שם בפנ"ע ד'איש זר'].</w:t>
      </w:r>
    </w:p>
  </w:footnote>
  <w:footnote w:id="4177">
    <w:p w14:paraId="2236D48E" w14:textId="77777777" w:rsidR="00F64AED" w:rsidRDefault="00F64AED" w:rsidP="00F64AED">
      <w:pPr>
        <w:pStyle w:val="Footnote"/>
        <w:bidi/>
      </w:pPr>
      <w:r>
        <w:rPr>
          <w:rStyle w:val="ac"/>
          <w:rtl/>
        </w:rPr>
        <w:footnoteRef/>
      </w:r>
      <w:r>
        <w:rPr>
          <w:rtl/>
        </w:rPr>
        <w:t>ובגמ' (לקמן פז.) דרשי' דכשיש לה בן מכהן, חוזרת ואוכלת אף בחזה ושוק.</w:t>
      </w:r>
    </w:p>
  </w:footnote>
  <w:footnote w:id="4178">
    <w:p w14:paraId="2C85202E" w14:textId="77777777" w:rsidR="00F64AED" w:rsidRDefault="00F64AED" w:rsidP="00F64AED">
      <w:pPr>
        <w:pStyle w:val="Footnote"/>
        <w:bidi/>
      </w:pPr>
      <w:r>
        <w:rPr>
          <w:rStyle w:val="ac"/>
          <w:rtl/>
        </w:rPr>
        <w:footnoteRef/>
      </w:r>
      <w:r>
        <w:rPr>
          <w:rtl/>
        </w:rPr>
        <w:t>ובשלמא הגמ' דלעיל דנתמעטה מתרומה, י"ל דנהי דאסורה לכהן משום זונה, אפ"ה אוכלת בתרומה. [ו</w:t>
      </w:r>
      <w:r>
        <w:rPr>
          <w:b/>
          <w:bCs/>
          <w:rtl/>
        </w:rPr>
        <w:t>תוס</w:t>
      </w:r>
      <w:r>
        <w:rPr>
          <w:rtl/>
        </w:rPr>
        <w:t>' (מד: ולה. הו' לעיל) דנו האם 'שם זונה' נתמעט מאכילת תרומה]. אבל א"כ אמאי בעינן קרא גבי כהונה.</w:t>
      </w:r>
    </w:p>
  </w:footnote>
  <w:footnote w:id="4179">
    <w:p w14:paraId="0A306153" w14:textId="77777777" w:rsidR="00F64AED" w:rsidRDefault="00F64AED" w:rsidP="00F64AED">
      <w:pPr>
        <w:pStyle w:val="Footnote"/>
        <w:bidi/>
      </w:pPr>
      <w:r>
        <w:rPr>
          <w:rStyle w:val="ac"/>
          <w:rtl/>
        </w:rPr>
        <w:footnoteRef/>
      </w:r>
      <w:r>
        <w:rPr>
          <w:rtl/>
        </w:rPr>
        <w:t>[אך הרי"ף העתיק את סוגיין דהוה גילוי מילתא]. ולדעת תוס' (לעיל סא.) אף רבנן ס"ל דבפסולי קהל אינה נעשית זונה. א"כ אף לרבנן אתיא. אלא דבגמ' (בסמוך) הק' אף חייבי כריתות ועכו"ם ועבד.</w:t>
      </w:r>
    </w:p>
  </w:footnote>
  <w:footnote w:id="4180">
    <w:p w14:paraId="7D12741B" w14:textId="77777777" w:rsidR="00F64AED" w:rsidRDefault="00F64AED" w:rsidP="00F64AED">
      <w:pPr>
        <w:pStyle w:val="Footnote"/>
        <w:bidi/>
      </w:pPr>
      <w:r>
        <w:rPr>
          <w:rStyle w:val="ac"/>
          <w:rtl/>
        </w:rPr>
        <w:footnoteRef/>
      </w:r>
      <w:r>
        <w:rPr>
          <w:rtl/>
        </w:rPr>
        <w:t>וצ"ב קושייתו, דכשתנשא לכהן אוכלת בתרומה. [ואולי זה בכלל תי', ומ"מ הקשה דהשתא אסורה בתרומה].</w:t>
      </w:r>
    </w:p>
  </w:footnote>
  <w:footnote w:id="4181">
    <w:p w14:paraId="47FD3089" w14:textId="77777777" w:rsidR="00F64AED" w:rsidRDefault="00F64AED" w:rsidP="00F64AED">
      <w:pPr>
        <w:pStyle w:val="Footnote"/>
        <w:bidi/>
      </w:pPr>
      <w:r>
        <w:rPr>
          <w:rStyle w:val="ac"/>
          <w:rtl/>
        </w:rPr>
        <w:footnoteRef/>
      </w:r>
      <w:r>
        <w:rPr>
          <w:rtl/>
        </w:rPr>
        <w:t>וה</w:t>
      </w:r>
      <w:r>
        <w:rPr>
          <w:b/>
          <w:bCs/>
          <w:rtl/>
        </w:rPr>
        <w:t>ריטב"א</w:t>
      </w:r>
      <w:r>
        <w:rPr>
          <w:rtl/>
        </w:rPr>
        <w:t xml:space="preserve"> הביא </w:t>
      </w:r>
      <w:r>
        <w:rPr>
          <w:b/>
          <w:bCs/>
          <w:rtl/>
        </w:rPr>
        <w:t>י"א</w:t>
      </w:r>
      <w:r>
        <w:rPr>
          <w:rtl/>
        </w:rPr>
        <w:t xml:space="preserve"> דדרשי' לא תאכל לשון תשמיש, כדכתיב אכלה ומחתה פיה (משלי ל כ).</w:t>
      </w:r>
    </w:p>
  </w:footnote>
  <w:footnote w:id="4182">
    <w:p w14:paraId="573BD401" w14:textId="77777777" w:rsidR="00F64AED" w:rsidRDefault="00F64AED" w:rsidP="00F64AED">
      <w:pPr>
        <w:pStyle w:val="Footnote"/>
        <w:bidi/>
      </w:pPr>
      <w:r>
        <w:rPr>
          <w:rStyle w:val="ac"/>
          <w:rtl/>
        </w:rPr>
        <w:footnoteRef/>
      </w:r>
      <w:r>
        <w:rPr>
          <w:rtl/>
        </w:rPr>
        <w:t>אבל ה</w:t>
      </w:r>
      <w:r>
        <w:rPr>
          <w:b/>
          <w:bCs/>
          <w:rtl/>
        </w:rPr>
        <w:t>ערול"נ</w:t>
      </w:r>
      <w:r>
        <w:rPr>
          <w:rtl/>
        </w:rPr>
        <w:t xml:space="preserve"> (לקמן ע.) כת' דאף לרש"י הוה משום זונה, אלא דהתם קאי לענין תרומה. וכוונת רש"י דזונה פסולה לתרומה מדין חללה [וכמ"ש תוס' מד: לפרש בסוגיין]. ועוד כתב דכוונת רש"י דבביאה שניה נעשית חללה.</w:t>
      </w:r>
    </w:p>
  </w:footnote>
  <w:footnote w:id="4183">
    <w:p w14:paraId="2D411B35" w14:textId="77777777" w:rsidR="00F64AED" w:rsidRDefault="00F64AED" w:rsidP="00F64AED">
      <w:pPr>
        <w:pStyle w:val="Footnote"/>
        <w:bidi/>
      </w:pPr>
      <w:r>
        <w:rPr>
          <w:rStyle w:val="ac"/>
          <w:rtl/>
        </w:rPr>
        <w:footnoteRef/>
      </w:r>
      <w:r>
        <w:rPr>
          <w:rtl/>
        </w:rPr>
        <w:t>אך י"ל דכוונת התוס' דיליף מקרא שמתחללת, מחמת שם 'איש זר', ולא משום שם חללה.</w:t>
      </w:r>
    </w:p>
  </w:footnote>
  <w:footnote w:id="4184">
    <w:p w14:paraId="35BD88DC" w14:textId="77777777" w:rsidR="00F64AED" w:rsidRDefault="00F64AED" w:rsidP="00F64AED">
      <w:pPr>
        <w:pStyle w:val="Footnote"/>
        <w:bidi/>
      </w:pPr>
      <w:r>
        <w:rPr>
          <w:rStyle w:val="ac"/>
          <w:rtl/>
        </w:rPr>
        <w:footnoteRef/>
      </w:r>
      <w:r>
        <w:rPr>
          <w:rtl/>
        </w:rPr>
        <w:t>וה</w:t>
      </w:r>
      <w:r>
        <w:rPr>
          <w:b/>
          <w:bCs/>
          <w:rtl/>
        </w:rPr>
        <w:t>רמב"ם</w:t>
      </w:r>
      <w:r>
        <w:rPr>
          <w:rtl/>
        </w:rPr>
        <w:t xml:space="preserve"> כת' מפי השמועה למדנו שהזונה האמורה בתורה היא כל שאינה בת ישראל, או בת ישראל שנבעלה לאדם שהיא אסורה להנשא לו איסור השוה לכל וכו'.</w:t>
      </w:r>
    </w:p>
  </w:footnote>
  <w:footnote w:id="4185">
    <w:p w14:paraId="43383A23" w14:textId="77777777" w:rsidR="00F64AED" w:rsidRDefault="00F64AED" w:rsidP="00F64AED">
      <w:pPr>
        <w:pStyle w:val="Footnote"/>
        <w:bidi/>
      </w:pPr>
      <w:r>
        <w:rPr>
          <w:rStyle w:val="ac"/>
          <w:rtl/>
        </w:rPr>
        <w:footnoteRef/>
      </w:r>
      <w:r>
        <w:rPr>
          <w:rtl/>
        </w:rPr>
        <w:t>וכתי' הא' ברשב"א, אבל אין לומר כתי' הב', דהרמב"ם פסק דבאונס הוה זונה. [ואפשר דסוגיין כל"ק דרבה, ובאונס ודלא כהלכה].</w:t>
      </w:r>
    </w:p>
  </w:footnote>
  <w:footnote w:id="4186">
    <w:p w14:paraId="5F1B1EDD" w14:textId="77777777" w:rsidR="00F64AED" w:rsidRDefault="00F64AED" w:rsidP="00F64AED">
      <w:pPr>
        <w:pStyle w:val="Footnote"/>
        <w:bidi/>
      </w:pPr>
      <w:r>
        <w:rPr>
          <w:rStyle w:val="ac"/>
          <w:rtl/>
        </w:rPr>
        <w:footnoteRef/>
      </w:r>
      <w:r>
        <w:rPr>
          <w:rtl/>
        </w:rPr>
        <w:t>האם חייבין על בתו מק"ו דבת בתו, דגילוי מילתא בעלמא היא. ורבא ס"ל דאין מזהירין מהדין. ופ</w:t>
      </w:r>
      <w:r>
        <w:rPr>
          <w:b/>
          <w:bCs/>
          <w:rtl/>
        </w:rPr>
        <w:t>רש"י</w:t>
      </w:r>
      <w:r>
        <w:rPr>
          <w:rtl/>
        </w:rPr>
        <w:t xml:space="preserve"> דאביי ס"ל דהוה גילוי מילתא, ואין זה עונש מן הדין דהא בת בתו מקורבת דבתו היא דאתיא. ודוקא אחותך בת אביך ובת אמך חשיב עונש מן הדין, ואם באתה להביא בת אביו ובת אמו מק"ו הוה עונש מן הדין. דהא לאו מכח קורבה דהא אתיא, דזו קורבה מחמת עצמה וזו קורבה מחמת עצמה. אבל הבא על בת בתו אינה קרובה לו אלא משום בתו.</w:t>
      </w:r>
    </w:p>
    <w:p w14:paraId="2E7BEF6F" w14:textId="77777777" w:rsidR="00F64AED" w:rsidRDefault="00F64AED" w:rsidP="00F64AED">
      <w:pPr>
        <w:pStyle w:val="Footnote"/>
        <w:bidi/>
      </w:pPr>
      <w:r>
        <w:rPr>
          <w:rtl/>
        </w:rPr>
        <w:tab/>
        <w:t>ועוד נח' (שם נד.) הבא על אביו, האם ילפי' מק”ו מאחי אביו. [ועוד נח' (תמורה ט.) דאביי למד ממיר טוב בטוב מק"ו דטוב ברע, ולא הוה בכלל אין מזהירין מהדין. דלאו דינא הוא, דמי גרע מטוב ברע. ורבא פליג].</w:t>
      </w:r>
    </w:p>
  </w:footnote>
  <w:footnote w:id="4187">
    <w:p w14:paraId="639D456C" w14:textId="77777777" w:rsidR="00F64AED" w:rsidRDefault="00F64AED" w:rsidP="00F64AED">
      <w:pPr>
        <w:pStyle w:val="Footnote"/>
        <w:bidi/>
      </w:pPr>
      <w:r>
        <w:rPr>
          <w:rStyle w:val="ac"/>
          <w:rtl/>
        </w:rPr>
        <w:footnoteRef/>
      </w:r>
      <w:r>
        <w:rPr>
          <w:rtl/>
        </w:rPr>
        <w:t>ובגמ' (סנהדרין נד.) הו' דנח' אביי ורבא אי עונשין מהדין, וצ"ל דכוונת הגמ' דנח' האם ק"ו שהוא גילוי מילתא הוה בכלל אין עונשין מהדין.</w:t>
      </w:r>
    </w:p>
  </w:footnote>
  <w:footnote w:id="4188">
    <w:p w14:paraId="237D20BE" w14:textId="77777777" w:rsidR="00F64AED" w:rsidRDefault="00F64AED" w:rsidP="00F64AED">
      <w:pPr>
        <w:pStyle w:val="Footnote"/>
        <w:bidi/>
      </w:pPr>
      <w:r>
        <w:rPr>
          <w:rStyle w:val="ac"/>
          <w:rtl/>
        </w:rPr>
        <w:footnoteRef/>
      </w:r>
      <w:r>
        <w:rPr>
          <w:rtl/>
        </w:rPr>
        <w:t>וה</w:t>
      </w:r>
      <w:r>
        <w:rPr>
          <w:b/>
          <w:bCs/>
          <w:rtl/>
        </w:rPr>
        <w:t>ר"ש</w:t>
      </w:r>
      <w:r>
        <w:rPr>
          <w:rtl/>
        </w:rPr>
        <w:t xml:space="preserve"> (טבול יום ג ב) כת' דלוקין על טעם כעיקר [כשאוכל כזית], אף דילפי' מק"ו מנזיר. וביאר דהוה גילוי מילתא. וכת' דכוותה אשכחן (בסוגיין) דכהן חייב עליה בק"ו, וחשיב ליה גלוי מילתא. [אך יש לדחות דקאי התם בדעת אביי].</w:t>
      </w:r>
    </w:p>
  </w:footnote>
  <w:footnote w:id="4189">
    <w:p w14:paraId="125DF111" w14:textId="77777777" w:rsidR="00F64AED" w:rsidRDefault="00F64AED" w:rsidP="00F64AED">
      <w:pPr>
        <w:pStyle w:val="Footnote"/>
        <w:bidi/>
      </w:pPr>
      <w:r>
        <w:rPr>
          <w:rStyle w:val="ac"/>
          <w:rtl/>
        </w:rPr>
        <w:footnoteRef/>
      </w:r>
      <w:r>
        <w:rPr>
          <w:rtl/>
        </w:rPr>
        <w:t>וכ"כ ה</w:t>
      </w:r>
      <w:r>
        <w:rPr>
          <w:b/>
          <w:bCs/>
          <w:rtl/>
        </w:rPr>
        <w:t>מלחמות</w:t>
      </w:r>
      <w:r>
        <w:rPr>
          <w:rtl/>
        </w:rPr>
        <w:t xml:space="preserve"> (שם), אלא שנקט קרא 'אלמנה וגרושה'. וכן ה</w:t>
      </w:r>
      <w:r>
        <w:rPr>
          <w:b/>
          <w:bCs/>
          <w:rtl/>
        </w:rPr>
        <w:t>רמב"ן</w:t>
      </w:r>
      <w:r>
        <w:rPr>
          <w:rtl/>
        </w:rPr>
        <w:t xml:space="preserve"> (עה"ת ויקרא יט כט) כת' דמחייבי לאוין [ממזר וגר עמוני ומואבי] אינה זונה ואינו לוקה עליה, אלא שנפסלה מן התרומה ומן הכהונה.</w:t>
      </w:r>
    </w:p>
  </w:footnote>
  <w:footnote w:id="4190">
    <w:p w14:paraId="38F5DD10" w14:textId="77777777" w:rsidR="00F64AED" w:rsidRDefault="00F64AED" w:rsidP="00F64AED">
      <w:pPr>
        <w:pStyle w:val="Footnote"/>
        <w:bidi/>
      </w:pPr>
      <w:r>
        <w:rPr>
          <w:rStyle w:val="ac"/>
          <w:rtl/>
        </w:rPr>
        <w:footnoteRef/>
      </w:r>
      <w:r>
        <w:rPr>
          <w:rtl/>
        </w:rPr>
        <w:t>אך ה</w:t>
      </w:r>
      <w:r>
        <w:rPr>
          <w:b/>
          <w:bCs/>
          <w:rtl/>
        </w:rPr>
        <w:t>גר"א</w:t>
      </w:r>
      <w:r>
        <w:rPr>
          <w:rtl/>
        </w:rPr>
        <w:t xml:space="preserve"> (ו כט הב') כתב דאי"צ לזה [להעמיד סוגיין כאביי], דלא אמרו שלוקה אלא שנפסלה, דסוגיין קאי לענין תרומה. וה</w:t>
      </w:r>
      <w:r>
        <w:rPr>
          <w:b/>
          <w:bCs/>
          <w:rtl/>
        </w:rPr>
        <w:t>חזו”א</w:t>
      </w:r>
      <w:r>
        <w:rPr>
          <w:rtl/>
        </w:rPr>
        <w:t xml:space="preserve"> (טו טו) תמה ולא הגענו לדבריו, דאם לא מלקות לא שייך מזהירין מהדין.</w:t>
      </w:r>
    </w:p>
  </w:footnote>
  <w:footnote w:id="4191">
    <w:p w14:paraId="4B2E7804" w14:textId="77777777" w:rsidR="00F64AED" w:rsidRDefault="00F64AED" w:rsidP="00F64AED">
      <w:pPr>
        <w:pStyle w:val="Footnote"/>
        <w:bidi/>
      </w:pPr>
      <w:r>
        <w:rPr>
          <w:rStyle w:val="ac"/>
          <w:rtl/>
        </w:rPr>
        <w:footnoteRef/>
      </w:r>
      <w:r>
        <w:rPr>
          <w:rtl/>
        </w:rPr>
        <w:t>וה</w:t>
      </w:r>
      <w:r>
        <w:rPr>
          <w:b/>
          <w:bCs/>
          <w:rtl/>
        </w:rPr>
        <w:t>אחרונים</w:t>
      </w:r>
      <w:r>
        <w:rPr>
          <w:rtl/>
        </w:rPr>
        <w:t xml:space="preserve"> תמהו עליו דדעת </w:t>
      </w:r>
      <w:r>
        <w:rPr>
          <w:b/>
          <w:bCs/>
          <w:rtl/>
        </w:rPr>
        <w:t>תוס</w:t>
      </w:r>
      <w:r>
        <w:rPr>
          <w:rtl/>
        </w:rPr>
        <w:t>' (לה. ומד:) דלוקה.</w:t>
      </w:r>
    </w:p>
  </w:footnote>
  <w:footnote w:id="4192">
    <w:p w14:paraId="50BF1D0D" w14:textId="77777777" w:rsidR="00F64AED" w:rsidRDefault="00F64AED" w:rsidP="00F64AED">
      <w:pPr>
        <w:pStyle w:val="Footnote"/>
        <w:bidi/>
      </w:pPr>
      <w:r>
        <w:rPr>
          <w:rStyle w:val="ac"/>
          <w:rtl/>
        </w:rPr>
        <w:footnoteRef/>
      </w:r>
      <w:r>
        <w:rPr>
          <w:rtl/>
        </w:rPr>
        <w:t>וה</w:t>
      </w:r>
      <w:r>
        <w:rPr>
          <w:b/>
          <w:bCs/>
          <w:rtl/>
        </w:rPr>
        <w:t>חזו”א</w:t>
      </w:r>
      <w:r>
        <w:rPr>
          <w:rtl/>
        </w:rPr>
        <w:t xml:space="preserve"> (טו טו) כת' דלאו כולהו בחדא מחתא.</w:t>
      </w:r>
    </w:p>
  </w:footnote>
  <w:footnote w:id="4193">
    <w:p w14:paraId="4ECA4F44" w14:textId="77777777" w:rsidR="00F64AED" w:rsidRDefault="00F64AED" w:rsidP="00F64AED">
      <w:pPr>
        <w:pStyle w:val="Footnote"/>
        <w:bidi/>
      </w:pPr>
      <w:r>
        <w:rPr>
          <w:rStyle w:val="ac"/>
          <w:rtl/>
        </w:rPr>
        <w:footnoteRef/>
      </w:r>
      <w:r>
        <w:rPr>
          <w:rtl/>
        </w:rPr>
        <w:t>ותוס' כת' דס"ד דעכו"ם ועבד כיון דלא חמיר, לא חשיב זר אצלה. וצ"ע דאדרבה עכו"ם ועבד חמירי ול”ל קידושין כלל. והטעם דל"ל ממזרות אי' (לעיל מה:) משום דלא תפסי קידושין לכל העולם. [ויש שדנו דכוונת התוס' דס"ד דהוה כעין בהמה. ודוחק בדברי התוס'].</w:t>
      </w:r>
    </w:p>
  </w:footnote>
  <w:footnote w:id="4194">
    <w:p w14:paraId="424FD1D9" w14:textId="77777777" w:rsidR="00F64AED" w:rsidRDefault="00F64AED" w:rsidP="00F64AED">
      <w:pPr>
        <w:pStyle w:val="Footnote"/>
        <w:bidi/>
      </w:pPr>
      <w:r>
        <w:rPr>
          <w:rStyle w:val="ac"/>
          <w:rtl/>
        </w:rPr>
        <w:footnoteRef/>
      </w:r>
      <w:r>
        <w:rPr>
          <w:rtl/>
        </w:rPr>
        <w:t xml:space="preserve">וכן הביאו </w:t>
      </w:r>
      <w:r>
        <w:rPr>
          <w:b/>
          <w:bCs/>
          <w:rtl/>
        </w:rPr>
        <w:t>תוס'</w:t>
      </w:r>
      <w:r>
        <w:rPr>
          <w:rtl/>
        </w:rPr>
        <w:t xml:space="preserve"> (לעיל לה.) בשם רש"י דילפי' מאיש זר. [ודלא כמ"ש רש"י שם לפנינו בהמשך דילפי' אלמנה וגרושה, וכשיטתו בסוגיין].</w:t>
      </w:r>
    </w:p>
  </w:footnote>
  <w:footnote w:id="4195">
    <w:p w14:paraId="0B324C20" w14:textId="77777777" w:rsidR="00F64AED" w:rsidRDefault="00F64AED" w:rsidP="00F64AED">
      <w:pPr>
        <w:pStyle w:val="Footnote"/>
        <w:bidi/>
      </w:pPr>
      <w:r>
        <w:rPr>
          <w:rStyle w:val="ac"/>
          <w:rtl/>
        </w:rPr>
        <w:footnoteRef/>
      </w:r>
      <w:r>
        <w:rPr>
          <w:rtl/>
        </w:rPr>
        <w:t>וכ"מ מהא ד</w:t>
      </w:r>
      <w:r>
        <w:rPr>
          <w:b/>
          <w:bCs/>
          <w:rtl/>
        </w:rPr>
        <w:t>רש"י</w:t>
      </w:r>
      <w:r>
        <w:rPr>
          <w:rtl/>
        </w:rPr>
        <w:t xml:space="preserve"> (שם) הוצרך להביא כל סוגיין, והו"ל להביא רק קרא דאלמנה וגרושה, ואמאי הביא קרא ד'איש זר'.</w:t>
      </w:r>
    </w:p>
  </w:footnote>
  <w:footnote w:id="4196">
    <w:p w14:paraId="239F1662" w14:textId="77777777" w:rsidR="00F64AED" w:rsidRDefault="00F64AED" w:rsidP="00F64AED">
      <w:pPr>
        <w:pStyle w:val="Footnote"/>
        <w:bidi/>
      </w:pPr>
      <w:r>
        <w:rPr>
          <w:rStyle w:val="ac"/>
          <w:rtl/>
        </w:rPr>
        <w:footnoteRef/>
      </w:r>
      <w:r>
        <w:rPr>
          <w:rtl/>
        </w:rPr>
        <w:t>ומדברי ה</w:t>
      </w:r>
      <w:r>
        <w:rPr>
          <w:b/>
          <w:bCs/>
          <w:rtl/>
        </w:rPr>
        <w:t xml:space="preserve">תוס' חד מקמאי </w:t>
      </w:r>
      <w:r>
        <w:rPr>
          <w:rtl/>
        </w:rPr>
        <w:t>(נו:) נראה דבזה תלי הס"ד והמסקנא דהגמ' (שם), דכת' דפשיטא דביאת פסול פוסלה אפי' באונס, מקרא דאיש זר, אלא דאינו לוקה [דבאונס לא הוה זונה]. ורב עמרם חידש [ואנהרינהו לעיינין] דאף אשת איש דלא הוה זר אצלה מעיקרא, אפ”ה פוסל. ומשמע דקמ"ל דאפ"ה פוסל משום 'איש זר' וקמ"ל דאשת איש חמיר, ול"צ זר מעיקרא. [וילד"ח דכוונתו קמ"ל דפוסל משום טומאה. ולא משום איש זר}.</w:t>
      </w:r>
    </w:p>
  </w:footnote>
  <w:footnote w:id="4197">
    <w:p w14:paraId="292A6E44" w14:textId="77777777" w:rsidR="00F64AED" w:rsidRDefault="00F64AED" w:rsidP="00F64AED">
      <w:pPr>
        <w:pStyle w:val="Footnote"/>
        <w:bidi/>
      </w:pPr>
      <w:r>
        <w:rPr>
          <w:rStyle w:val="ac"/>
          <w:rtl/>
        </w:rPr>
        <w:footnoteRef/>
      </w:r>
      <w:r>
        <w:rPr>
          <w:rtl/>
        </w:rPr>
        <w:t>ותוס' הוכיחו כן מהגמ' (נו:) דיש חילוק בין נאנסו. ובקרא ד'איש זר' אין בזה חילוק, וע"כ אתינן עלה משום לאו דזונה. ותו' העלו צד דבזה נח' הלשונות האם חייבי כריתות הוה בכלל איש זר, ומש"ה תאסר באונס [וכת' דדוחק].</w:t>
      </w:r>
    </w:p>
  </w:footnote>
  <w:footnote w:id="4198">
    <w:p w14:paraId="5BD4F72D" w14:textId="77777777" w:rsidR="00F64AED" w:rsidRDefault="00F64AED" w:rsidP="00F64AED">
      <w:pPr>
        <w:pStyle w:val="Footnote"/>
        <w:bidi/>
      </w:pPr>
      <w:r>
        <w:rPr>
          <w:rStyle w:val="ac"/>
          <w:rtl/>
        </w:rPr>
        <w:footnoteRef/>
      </w:r>
      <w:r>
        <w:rPr>
          <w:rtl/>
        </w:rPr>
        <w:t>ואילו סוגיין בפסולי קהל דהוה חייבי לאוין ותפסי קידושין, ולא הוה בכלל שם זונה [וכמ"ש תוס' סא.].</w:t>
      </w:r>
    </w:p>
  </w:footnote>
  <w:footnote w:id="4199">
    <w:p w14:paraId="141B5656" w14:textId="77777777" w:rsidR="00F64AED" w:rsidRDefault="00F64AED" w:rsidP="00F64AED">
      <w:pPr>
        <w:pStyle w:val="Footnote"/>
        <w:bidi/>
      </w:pPr>
      <w:r>
        <w:rPr>
          <w:rStyle w:val="ac"/>
          <w:rtl/>
        </w:rPr>
        <w:footnoteRef/>
      </w:r>
      <w:r>
        <w:rPr>
          <w:rtl/>
        </w:rPr>
        <w:t>ואם חזר ובא עליה כהן נתחללה, דהוה פסולי כהונה. [וכדאי' קידושין עז:, ועפ”ז י"ל דזהו עיקר הנידון בגמ' קידושין, כלפי תרומה].</w:t>
      </w:r>
    </w:p>
  </w:footnote>
  <w:footnote w:id="4200">
    <w:p w14:paraId="77CBE4AD" w14:textId="77777777" w:rsidR="00F64AED" w:rsidRDefault="00F64AED" w:rsidP="00F64AED">
      <w:pPr>
        <w:pStyle w:val="Footnote"/>
        <w:bidi/>
      </w:pPr>
      <w:r>
        <w:rPr>
          <w:rStyle w:val="ac"/>
          <w:rtl/>
        </w:rPr>
        <w:footnoteRef/>
      </w:r>
      <w:r>
        <w:rPr>
          <w:rtl/>
        </w:rPr>
        <w:t>אך בגמ' (לה.) מבואר דבביאת אשת איש פסולה מתרומת בי נשיא. [ובגיר' דידן כ"ה במשנה לג:]. ומ"מ י"ל דשאני אשת איש [ע"פ הגמ' נו:].</w:t>
      </w:r>
    </w:p>
  </w:footnote>
  <w:footnote w:id="4201">
    <w:p w14:paraId="6410ACF8" w14:textId="77777777" w:rsidR="00F64AED" w:rsidRDefault="00F64AED" w:rsidP="00F64AED">
      <w:pPr>
        <w:pStyle w:val="Footnote"/>
        <w:bidi/>
      </w:pPr>
      <w:r>
        <w:rPr>
          <w:rStyle w:val="ac"/>
          <w:rtl/>
        </w:rPr>
        <w:footnoteRef/>
      </w:r>
      <w:r>
        <w:rPr>
          <w:rtl/>
        </w:rPr>
        <w:t>[וי"ל דבחייבי כריתות אינה נפסלת].</w:t>
      </w:r>
    </w:p>
  </w:footnote>
  <w:footnote w:id="4202">
    <w:p w14:paraId="6EC88420" w14:textId="77777777" w:rsidR="00F64AED" w:rsidRDefault="00F64AED" w:rsidP="00F64AED">
      <w:pPr>
        <w:pStyle w:val="Footnote"/>
        <w:bidi/>
      </w:pPr>
      <w:r>
        <w:rPr>
          <w:rStyle w:val="ac"/>
          <w:rtl/>
        </w:rPr>
        <w:footnoteRef/>
      </w:r>
      <w:r>
        <w:rPr>
          <w:rtl/>
        </w:rPr>
        <w:t>ומ"מ הולד ממזר, ותלה במה שנסתפק השעה"מ דאף במקום יבום הולד הוה ממזר. וה</w:t>
      </w:r>
      <w:r>
        <w:rPr>
          <w:b/>
          <w:bCs/>
          <w:rtl/>
        </w:rPr>
        <w:t>אחרונים</w:t>
      </w:r>
      <w:r>
        <w:rPr>
          <w:rtl/>
        </w:rPr>
        <w:t xml:space="preserve"> (מגיה שם) כת' דפשיטא דהוה ממזר, דבנו של ממזר הולד הוה ממזר בתולדה, ולא תליא בביאת האיסור כלל. וכל ספיקו של ה</w:t>
      </w:r>
      <w:r>
        <w:rPr>
          <w:b/>
          <w:bCs/>
          <w:rtl/>
        </w:rPr>
        <w:t>שעה"מ</w:t>
      </w:r>
      <w:r>
        <w:rPr>
          <w:rtl/>
        </w:rPr>
        <w:t xml:space="preserve"> שייך במקום דהוה ממזר מחמת ביאת האיסור. [ומשמע באבנ"מ דכיון דהוה ביאת היתר לא אמרי' דהולד הולך אחר הפגום].</w:t>
      </w:r>
    </w:p>
  </w:footnote>
  <w:footnote w:id="4203">
    <w:p w14:paraId="1D81BE42" w14:textId="77777777" w:rsidR="00F64AED" w:rsidRDefault="00F64AED" w:rsidP="00F64AED">
      <w:pPr>
        <w:pStyle w:val="Footnote"/>
        <w:bidi/>
      </w:pPr>
      <w:r>
        <w:rPr>
          <w:rStyle w:val="ac"/>
          <w:rtl/>
        </w:rPr>
        <w:footnoteRef/>
      </w:r>
      <w:r>
        <w:rPr>
          <w:rtl/>
        </w:rPr>
        <w:t>ותוס' תי' דמש"ה איצטריך לאו בזונה, דהך זונה אינה לוקה משום ק"ו דתרומה.</w:t>
      </w:r>
    </w:p>
  </w:footnote>
  <w:footnote w:id="4204">
    <w:p w14:paraId="156C9C8E" w14:textId="77777777" w:rsidR="00F64AED" w:rsidRDefault="00F64AED" w:rsidP="00F64AED">
      <w:pPr>
        <w:pStyle w:val="Footnote"/>
        <w:bidi/>
      </w:pPr>
      <w:r>
        <w:rPr>
          <w:rStyle w:val="ac"/>
          <w:rtl/>
        </w:rPr>
        <w:footnoteRef/>
      </w:r>
      <w:r>
        <w:rPr>
          <w:rtl/>
        </w:rPr>
        <w:t>וכ"כ ה</w:t>
      </w:r>
      <w:r>
        <w:rPr>
          <w:b/>
          <w:bCs/>
          <w:rtl/>
        </w:rPr>
        <w:t>מנח"ח</w:t>
      </w:r>
      <w:r>
        <w:rPr>
          <w:rtl/>
        </w:rPr>
        <w:t xml:space="preserve"> (קסו כג). אבל יש </w:t>
      </w:r>
      <w:r>
        <w:rPr>
          <w:b/>
          <w:bCs/>
          <w:rtl/>
        </w:rPr>
        <w:t>אחרונים</w:t>
      </w:r>
      <w:r>
        <w:rPr>
          <w:rtl/>
        </w:rPr>
        <w:t xml:space="preserve"> שנקטו דהוה גילוי על איש זר, דגלי קרא דאף עכו"ם ועבד דליכא אלמנות וגירושין הוה בכלל איש זר.</w:t>
      </w:r>
    </w:p>
  </w:footnote>
  <w:footnote w:id="4205">
    <w:p w14:paraId="02BEBE5E" w14:textId="77777777" w:rsidR="00F64AED" w:rsidRDefault="00F64AED" w:rsidP="00F64AED">
      <w:pPr>
        <w:pStyle w:val="Footnote"/>
        <w:bidi/>
      </w:pPr>
      <w:r>
        <w:rPr>
          <w:rStyle w:val="ac"/>
          <w:rtl/>
        </w:rPr>
        <w:footnoteRef/>
      </w:r>
      <w:r>
        <w:rPr>
          <w:rtl/>
        </w:rPr>
        <w:t>אך לחד תי' ב</w:t>
      </w:r>
      <w:r>
        <w:rPr>
          <w:b/>
          <w:bCs/>
          <w:rtl/>
        </w:rPr>
        <w:t>תוס</w:t>
      </w:r>
      <w:r>
        <w:rPr>
          <w:rtl/>
        </w:rPr>
        <w:t>' (שם) זונה מוזהרת בתרומה מדכלליה בהדי חללה [ולכאו' לוקה]. {א"כ כל הנפק"מ בהא דאינו לוקה ב'}.</w:t>
      </w:r>
    </w:p>
  </w:footnote>
  <w:footnote w:id="4206">
    <w:p w14:paraId="6A99DA43" w14:textId="77777777" w:rsidR="00F64AED" w:rsidRDefault="00F64AED" w:rsidP="00F64AED">
      <w:pPr>
        <w:pStyle w:val="Footnote"/>
        <w:bidi/>
      </w:pPr>
      <w:r>
        <w:rPr>
          <w:rStyle w:val="ac"/>
          <w:rtl/>
        </w:rPr>
        <w:footnoteRef/>
      </w:r>
      <w:r>
        <w:rPr>
          <w:rtl/>
        </w:rPr>
        <w:t>והעיר דלפ"ז חייבי לאוין [דפסולי קהל] חמירי מחייבי כריתות לענין מלקות. [ואילו מדברי רש”י משמע דנקט דילפי' כ”ש. {אך י”ל דאי משום ק"ו, אין לוקין מהדין}].</w:t>
      </w:r>
    </w:p>
  </w:footnote>
  <w:footnote w:id="4207">
    <w:p w14:paraId="2B572C70" w14:textId="77777777" w:rsidR="00F64AED" w:rsidRDefault="00F64AED" w:rsidP="00F64AED">
      <w:pPr>
        <w:pStyle w:val="Footnote"/>
        <w:bidi/>
      </w:pPr>
      <w:r>
        <w:rPr>
          <w:rStyle w:val="ac"/>
          <w:rtl/>
        </w:rPr>
        <w:footnoteRef/>
      </w:r>
      <w:r>
        <w:rPr>
          <w:rtl/>
        </w:rPr>
        <w:t>דלדעת רב לא תפסי בה קידושין, ושמואל נסתפק בזה. וה</w:t>
      </w:r>
      <w:r>
        <w:rPr>
          <w:b/>
          <w:bCs/>
          <w:rtl/>
        </w:rPr>
        <w:t>פוסקים</w:t>
      </w:r>
      <w:r>
        <w:rPr>
          <w:rtl/>
        </w:rPr>
        <w:t xml:space="preserve"> הק' דקי"ל דצריכה גט מספק. וה</w:t>
      </w:r>
      <w:r>
        <w:rPr>
          <w:b/>
          <w:bCs/>
          <w:rtl/>
        </w:rPr>
        <w:t>ב"ח</w:t>
      </w:r>
      <w:r>
        <w:rPr>
          <w:rtl/>
        </w:rPr>
        <w:t xml:space="preserve"> ו</w:t>
      </w:r>
      <w:r>
        <w:rPr>
          <w:b/>
          <w:bCs/>
          <w:rtl/>
        </w:rPr>
        <w:t>מהרש"ל</w:t>
      </w:r>
      <w:r>
        <w:rPr>
          <w:rtl/>
        </w:rPr>
        <w:t xml:space="preserve"> לטור כת' דהא דצריכה גט הוה לרווחא דמילתא, ומדינא לוקה משום זונה. [אבל ה</w:t>
      </w:r>
      <w:r>
        <w:rPr>
          <w:b/>
          <w:bCs/>
          <w:rtl/>
        </w:rPr>
        <w:t>אבנ"מ</w:t>
      </w:r>
      <w:r>
        <w:rPr>
          <w:rtl/>
        </w:rPr>
        <w:t xml:space="preserve"> (ו ד) ציין דמדברי ה</w:t>
      </w:r>
      <w:r>
        <w:rPr>
          <w:b/>
          <w:bCs/>
          <w:rtl/>
        </w:rPr>
        <w:t>רמב"ם</w:t>
      </w:r>
      <w:r>
        <w:rPr>
          <w:rtl/>
        </w:rPr>
        <w:t xml:space="preserve"> (אישות ד יד) מבואר דהוה ספק גמור].</w:t>
      </w:r>
    </w:p>
  </w:footnote>
  <w:footnote w:id="4208">
    <w:p w14:paraId="4A5084FA" w14:textId="77777777" w:rsidR="00F64AED" w:rsidRDefault="00F64AED" w:rsidP="00F64AED">
      <w:pPr>
        <w:pStyle w:val="Footnote"/>
        <w:bidi/>
      </w:pPr>
      <w:r>
        <w:rPr>
          <w:rStyle w:val="ac"/>
          <w:rtl/>
        </w:rPr>
        <w:footnoteRef/>
      </w:r>
      <w:r>
        <w:rPr>
          <w:rtl/>
        </w:rPr>
        <w:t>ובפשוטו כוונת הגמ' דעי"ז לוקה ב', אף משום לאו דחללה. וה</w:t>
      </w:r>
      <w:r>
        <w:rPr>
          <w:b/>
          <w:bCs/>
          <w:rtl/>
        </w:rPr>
        <w:t>רמב"ם</w:t>
      </w:r>
      <w:r>
        <w:rPr>
          <w:rtl/>
        </w:rPr>
        <w:t xml:space="preserve"> (יט ה) הביא דהולד מביאה ראשונה אינו חלל, שאינו מאיסורי כהונה [בשומרת יבם, דאילו מחייבי כריתות הוה ממזר]. והולד מביאה שניה הוה חלל.</w:t>
      </w:r>
    </w:p>
  </w:footnote>
  <w:footnote w:id="4209">
    <w:p w14:paraId="0E0A3ED1" w14:textId="77777777" w:rsidR="00F64AED" w:rsidRDefault="00F64AED" w:rsidP="00F64AED">
      <w:pPr>
        <w:pStyle w:val="Footnote"/>
        <w:bidi/>
      </w:pPr>
      <w:r>
        <w:rPr>
          <w:rStyle w:val="ac"/>
          <w:rtl/>
        </w:rPr>
        <w:footnoteRef/>
      </w:r>
      <w:r>
        <w:rPr>
          <w:rtl/>
        </w:rPr>
        <w:t>אך לדעת רש"י חייבי כריתות נלמד מקרא דאלמנות וגירושין, ואינו לוקה.</w:t>
      </w:r>
    </w:p>
  </w:footnote>
  <w:footnote w:id="4210">
    <w:p w14:paraId="3A18A328" w14:textId="77777777" w:rsidR="00F64AED" w:rsidRDefault="00F64AED" w:rsidP="00F64AED">
      <w:pPr>
        <w:pStyle w:val="Footnote"/>
        <w:bidi/>
      </w:pPr>
      <w:r>
        <w:rPr>
          <w:rStyle w:val="ac"/>
          <w:rtl/>
        </w:rPr>
        <w:footnoteRef/>
      </w:r>
      <w:r>
        <w:rPr>
          <w:rtl/>
        </w:rPr>
        <w:t>דגדר 'איש זר' דהוה זונה, ולא חללה.</w:t>
      </w:r>
    </w:p>
  </w:footnote>
  <w:footnote w:id="4211">
    <w:p w14:paraId="5E37F718" w14:textId="77777777" w:rsidR="00F64AED" w:rsidRDefault="00F64AED" w:rsidP="00F64AED">
      <w:pPr>
        <w:pStyle w:val="Footnote"/>
        <w:bidi/>
      </w:pPr>
      <w:r>
        <w:rPr>
          <w:rStyle w:val="ac"/>
          <w:rtl/>
        </w:rPr>
        <w:footnoteRef/>
      </w:r>
      <w:r>
        <w:rPr>
          <w:rtl/>
        </w:rPr>
        <w:t>אך לדעת הרמב"ם אף פסולי קהל הוה זונה, והגר”א ביאר דבסוגיין גלי קרא דהוה בכלל שם זונה. א”כ יל”ד דאף עכו"ם ועבד נימא דאיצטריך ק”ו וגילוי מילתא. אך ה</w:t>
      </w:r>
      <w:r>
        <w:rPr>
          <w:b/>
          <w:bCs/>
          <w:rtl/>
        </w:rPr>
        <w:t>רמב"ם</w:t>
      </w:r>
      <w:r>
        <w:rPr>
          <w:rtl/>
        </w:rPr>
        <w:t xml:space="preserve"> בפיה"מ (בסוף הפרק) ביאר דעכו"ם עושה זונה, דכיון דאינו ראוי לבא בישראל לפיכך ביאתו ביאת זנות.</w:t>
      </w:r>
    </w:p>
  </w:footnote>
  <w:footnote w:id="4212">
    <w:p w14:paraId="240F2B16" w14:textId="77777777" w:rsidR="00F64AED" w:rsidRDefault="00F64AED" w:rsidP="00F64AED">
      <w:pPr>
        <w:pStyle w:val="Footnote"/>
        <w:bidi/>
      </w:pPr>
      <w:r>
        <w:rPr>
          <w:rStyle w:val="ac"/>
          <w:rtl/>
        </w:rPr>
        <w:footnoteRef/>
      </w:r>
      <w:r>
        <w:rPr>
          <w:rtl/>
        </w:rPr>
        <w:t>שהעכו"ם שבא עליה נחשב בהמה. ומש"ה לא איכפ"ל שיש זרע.</w:t>
      </w:r>
    </w:p>
  </w:footnote>
  <w:footnote w:id="4213">
    <w:p w14:paraId="74F4BCE3" w14:textId="77777777" w:rsidR="00F64AED" w:rsidRDefault="00F64AED" w:rsidP="00F64AED">
      <w:pPr>
        <w:pStyle w:val="Footnote"/>
        <w:bidi/>
      </w:pPr>
      <w:r>
        <w:rPr>
          <w:rStyle w:val="ac"/>
          <w:rtl/>
        </w:rPr>
        <w:footnoteRef/>
      </w:r>
      <w:r>
        <w:rPr>
          <w:rtl/>
        </w:rPr>
        <w:t>דהכא הזרע אינו מיוחס לעכו"ם. ועוד יל"פ ע"פ הגמ' בכורות מז. [דעכו"ם הבא על בת לוי פטור מפדיון הבן] דכיון דאינו מיוחס אחר אביו נחשב כאמו ולוי.</w:t>
      </w:r>
    </w:p>
  </w:footnote>
  <w:footnote w:id="4214">
    <w:p w14:paraId="6BFF3EC2" w14:textId="77777777" w:rsidR="00F64AED" w:rsidRDefault="00F64AED" w:rsidP="00F64AED">
      <w:pPr>
        <w:pStyle w:val="Footnote"/>
        <w:bidi/>
      </w:pPr>
      <w:r>
        <w:rPr>
          <w:rStyle w:val="ac"/>
          <w:rtl/>
        </w:rPr>
        <w:footnoteRef/>
      </w:r>
      <w:r>
        <w:rPr>
          <w:rtl/>
        </w:rPr>
        <w:t>לכאו' הנידון האם ילפי' גזיה"כ דאינו פוסל.</w:t>
      </w:r>
    </w:p>
  </w:footnote>
  <w:footnote w:id="4215">
    <w:p w14:paraId="3A1780B4" w14:textId="77777777" w:rsidR="00F64AED" w:rsidRDefault="00F64AED" w:rsidP="00F64AED">
      <w:pPr>
        <w:pStyle w:val="Footnote"/>
        <w:bidi/>
      </w:pPr>
      <w:r>
        <w:rPr>
          <w:rStyle w:val="ac"/>
          <w:rtl/>
        </w:rPr>
        <w:footnoteRef/>
      </w:r>
      <w:r>
        <w:rPr>
          <w:rtl/>
        </w:rPr>
        <w:t>דמי שיש לה בן מכהן, ונשאת לישראל אינה אוכלת. וכשנתגרשה חוזרת לאכול משום בנה.</w:t>
      </w:r>
    </w:p>
  </w:footnote>
  <w:footnote w:id="4216">
    <w:p w14:paraId="32B14658" w14:textId="77777777" w:rsidR="00F64AED" w:rsidRDefault="00F64AED" w:rsidP="00F64AED">
      <w:pPr>
        <w:pStyle w:val="Footnote"/>
        <w:bidi/>
      </w:pPr>
      <w:r>
        <w:rPr>
          <w:rStyle w:val="ac"/>
          <w:rtl/>
        </w:rPr>
        <w:footnoteRef/>
      </w:r>
      <w:r>
        <w:rPr>
          <w:rtl/>
        </w:rPr>
        <w:t>ואף דבעודה אשת הישראל אינה אוכלת.</w:t>
      </w:r>
    </w:p>
  </w:footnote>
  <w:footnote w:id="4217">
    <w:p w14:paraId="55E46659" w14:textId="77777777" w:rsidR="00F64AED" w:rsidRDefault="00F64AED" w:rsidP="00F64AED">
      <w:pPr>
        <w:pStyle w:val="Footnote"/>
        <w:bidi/>
      </w:pPr>
      <w:r>
        <w:rPr>
          <w:rStyle w:val="ac"/>
          <w:rtl/>
        </w:rPr>
        <w:footnoteRef/>
      </w:r>
      <w:r>
        <w:rPr>
          <w:rtl/>
        </w:rPr>
        <w:t>וכ"כ הרשב”א וריטב”א [אך סדר דבריהם אינו ברור].</w:t>
      </w:r>
    </w:p>
  </w:footnote>
  <w:footnote w:id="4218">
    <w:p w14:paraId="36375001" w14:textId="77777777" w:rsidR="00F64AED" w:rsidRDefault="00F64AED" w:rsidP="00F64AED">
      <w:pPr>
        <w:pStyle w:val="Footnote"/>
        <w:bidi/>
      </w:pPr>
      <w:r>
        <w:rPr>
          <w:rStyle w:val="ac"/>
          <w:rtl/>
        </w:rPr>
        <w:footnoteRef/>
      </w:r>
      <w:r>
        <w:rPr>
          <w:rtl/>
        </w:rPr>
        <w:t>אבל תוס' בתחילת דבריהם משמע דקאי לתרוייהו.</w:t>
      </w:r>
    </w:p>
  </w:footnote>
  <w:footnote w:id="4219">
    <w:p w14:paraId="030510E1" w14:textId="77777777" w:rsidR="00F64AED" w:rsidRDefault="00F64AED" w:rsidP="00F64AED">
      <w:pPr>
        <w:pStyle w:val="Footnote"/>
        <w:bidi/>
      </w:pPr>
      <w:r>
        <w:rPr>
          <w:rStyle w:val="ac"/>
          <w:rtl/>
        </w:rPr>
        <w:footnoteRef/>
      </w:r>
      <w:r>
        <w:rPr>
          <w:rtl/>
        </w:rPr>
        <w:t>ובפשוטו קו' הגמ' בכל חייבי לאוין [שאינם פסולי קהל]. וכן אנוסת אביו ולא יבנה ויבמה לשוק [עכ"פ למ"ד דתפסי קידושין]. ורש"י הביא דקו' הגמ' ע"פ הברייתא (ע' לעיל מד:) דמחזיר גרושתו אינו פוסל. וי"ל דמש"ה נקטו מחזיר גרושתו טפי משאר לאוין.</w:t>
      </w:r>
    </w:p>
  </w:footnote>
  <w:footnote w:id="4220">
    <w:p w14:paraId="74654B65" w14:textId="77777777" w:rsidR="00F64AED" w:rsidRDefault="00F64AED" w:rsidP="00F64AED">
      <w:pPr>
        <w:pStyle w:val="Footnote"/>
        <w:bidi/>
      </w:pPr>
      <w:r>
        <w:rPr>
          <w:rStyle w:val="ac"/>
          <w:rtl/>
        </w:rPr>
        <w:footnoteRef/>
      </w:r>
      <w:r>
        <w:rPr>
          <w:rtl/>
        </w:rPr>
        <w:t>וע"ע ירושלמי (ד יג) [והמפרשים דנו במסקנת הירושלמי].</w:t>
      </w:r>
    </w:p>
  </w:footnote>
  <w:footnote w:id="4221">
    <w:p w14:paraId="6D0A62B8" w14:textId="77777777" w:rsidR="00F64AED" w:rsidRDefault="00F64AED" w:rsidP="00F64AED">
      <w:pPr>
        <w:pStyle w:val="Footnote"/>
        <w:bidi/>
      </w:pPr>
      <w:r>
        <w:rPr>
          <w:rStyle w:val="ac"/>
          <w:rtl/>
        </w:rPr>
        <w:footnoteRef/>
      </w:r>
      <w:r>
        <w:rPr>
          <w:rtl/>
        </w:rPr>
        <w:t>[ולא בשאר חייבי לאוין. ודלא כרמב"ם ע' בסמוך].</w:t>
      </w:r>
    </w:p>
  </w:footnote>
  <w:footnote w:id="4222">
    <w:p w14:paraId="427A1585" w14:textId="77777777" w:rsidR="00F64AED" w:rsidRDefault="00F64AED" w:rsidP="00F64AED">
      <w:pPr>
        <w:pStyle w:val="Footnote"/>
        <w:bidi/>
      </w:pPr>
      <w:r>
        <w:rPr>
          <w:rStyle w:val="ac"/>
          <w:rtl/>
        </w:rPr>
        <w:footnoteRef/>
      </w:r>
      <w:r>
        <w:rPr>
          <w:rtl/>
        </w:rPr>
        <w:t>וה</w:t>
      </w:r>
      <w:r>
        <w:rPr>
          <w:b/>
          <w:bCs/>
          <w:rtl/>
        </w:rPr>
        <w:t>רש"ש</w:t>
      </w:r>
      <w:r>
        <w:rPr>
          <w:rtl/>
        </w:rPr>
        <w:t xml:space="preserve"> הביא דנח' ר' מאיר ור' יהודה (כריתות ו:) האם בעי זר מעיקרא [לענין משיחת שמן המשחה], וי”ל דה”נ פליגי הכא.</w:t>
      </w:r>
    </w:p>
  </w:footnote>
  <w:footnote w:id="4223">
    <w:p w14:paraId="60985FB6" w14:textId="77777777" w:rsidR="00F64AED" w:rsidRDefault="00F64AED" w:rsidP="00F64AED">
      <w:pPr>
        <w:pStyle w:val="Footnote"/>
        <w:bidi/>
      </w:pPr>
      <w:r>
        <w:rPr>
          <w:rStyle w:val="ac"/>
          <w:rtl/>
        </w:rPr>
        <w:footnoteRef/>
      </w:r>
      <w:r>
        <w:rPr>
          <w:rtl/>
        </w:rPr>
        <w:t>הרמב"ם נקט לשון זה לאפוקי נדה, דאף דהוה איסור ביאה השווה לכל, אינה אסורה לינשא לו.</w:t>
      </w:r>
    </w:p>
  </w:footnote>
  <w:footnote w:id="4224">
    <w:p w14:paraId="509CC57F" w14:textId="77777777" w:rsidR="00F64AED" w:rsidRDefault="00F64AED" w:rsidP="00F64AED">
      <w:pPr>
        <w:pStyle w:val="Footnote"/>
        <w:bidi/>
      </w:pPr>
      <w:r>
        <w:rPr>
          <w:rStyle w:val="ac"/>
          <w:rtl/>
        </w:rPr>
        <w:footnoteRef/>
      </w:r>
      <w:r>
        <w:rPr>
          <w:rtl/>
        </w:rPr>
        <w:t>וה</w:t>
      </w:r>
      <w:r>
        <w:rPr>
          <w:b/>
          <w:bCs/>
          <w:rtl/>
        </w:rPr>
        <w:t>משנ"ל</w:t>
      </w:r>
      <w:r>
        <w:rPr>
          <w:rtl/>
        </w:rPr>
        <w:t xml:space="preserve"> (יט ה) כתב דאף דעת הרמב"ם דבעי זר מעיקרא, ומש"ה הבא על צרת יבמתו [איסור בית א' הוא בונה], אינו פוסלה. אך הקשה דהרמב"ם כת' דהבא על חלוצתו הוה דרבנן ובכלל שניות, ולכן לא פסלה. תיפו"ל דקודם חליצה היתה ראויה לו, ובעי זר מעיקרא.</w:t>
      </w:r>
    </w:p>
  </w:footnote>
  <w:footnote w:id="4225">
    <w:p w14:paraId="2951870F" w14:textId="77777777" w:rsidR="00F64AED" w:rsidRDefault="00F64AED" w:rsidP="00F64AED">
      <w:pPr>
        <w:pStyle w:val="Footnote"/>
        <w:bidi/>
      </w:pPr>
      <w:r>
        <w:rPr>
          <w:rStyle w:val="ac"/>
          <w:rtl/>
        </w:rPr>
        <w:footnoteRef/>
      </w:r>
      <w:r>
        <w:rPr>
          <w:rtl/>
        </w:rPr>
        <w:t>וה</w:t>
      </w:r>
      <w:r>
        <w:rPr>
          <w:b/>
          <w:bCs/>
          <w:rtl/>
        </w:rPr>
        <w:t>טור</w:t>
      </w:r>
      <w:r>
        <w:rPr>
          <w:rtl/>
        </w:rPr>
        <w:t xml:space="preserve"> כת' כן אף לדעת הרא”ש ותוס' דבעי זר מעיקרא. אבל בסוגיה (לעיל טו:) מבואר דיבמה לשוק לא פסלה. והאחרונים האריכו בזה.</w:t>
      </w:r>
    </w:p>
  </w:footnote>
  <w:footnote w:id="4226">
    <w:p w14:paraId="37B70FD5" w14:textId="77777777" w:rsidR="00F64AED" w:rsidRDefault="00F64AED" w:rsidP="00F64AED">
      <w:pPr>
        <w:pStyle w:val="Footnote"/>
        <w:bidi/>
      </w:pPr>
      <w:r>
        <w:rPr>
          <w:rStyle w:val="ac"/>
          <w:rtl/>
        </w:rPr>
        <w:footnoteRef/>
      </w:r>
      <w:r>
        <w:rPr>
          <w:rtl/>
        </w:rPr>
        <w:t>[ואף דאין הולד ממזר (כדלעיל מט:), עשאה זונה].</w:t>
      </w:r>
    </w:p>
  </w:footnote>
  <w:footnote w:id="4227">
    <w:p w14:paraId="04E73FDD" w14:textId="77777777" w:rsidR="00F64AED" w:rsidRDefault="00F64AED" w:rsidP="00F64AED">
      <w:pPr>
        <w:pStyle w:val="Footnote"/>
        <w:bidi/>
      </w:pPr>
      <w:r>
        <w:rPr>
          <w:rStyle w:val="ac"/>
          <w:rtl/>
        </w:rPr>
        <w:footnoteRef/>
      </w:r>
      <w:r>
        <w:rPr>
          <w:rtl/>
        </w:rPr>
        <w:t>[והגר"א האריך לדון האם ילפי' ק"ו לפסול הבת. וע' לעיל טו: ומד: ובחזו"א טו יג,טו ואכ”מ].</w:t>
      </w:r>
    </w:p>
  </w:footnote>
  <w:footnote w:id="4228">
    <w:p w14:paraId="3689C0D3" w14:textId="77777777" w:rsidR="00F64AED" w:rsidRDefault="00F64AED" w:rsidP="00F64AED">
      <w:pPr>
        <w:pStyle w:val="Footnote"/>
        <w:bidi/>
      </w:pPr>
      <w:r>
        <w:rPr>
          <w:rStyle w:val="ac"/>
          <w:rtl/>
        </w:rPr>
        <w:footnoteRef/>
      </w:r>
      <w:r>
        <w:rPr>
          <w:rtl/>
        </w:rPr>
        <w:t>וה</w:t>
      </w:r>
      <w:r>
        <w:rPr>
          <w:b/>
          <w:bCs/>
          <w:rtl/>
        </w:rPr>
        <w:t>קוב"ש</w:t>
      </w:r>
      <w:r>
        <w:rPr>
          <w:rtl/>
        </w:rPr>
        <w:t xml:space="preserve"> (ח"ב לש"ש יד) כתב לבאר דהגוף הזה הוא זר אצלה מעיקרא, וקודם שנעשה פצוע דכא הוה גוף אחר. [וכתב דזה דחוק]. ועוד פי' דזר אצלה מעיקרא לא תליא בהא דהאיסור קודם בזמן, אלא כיון דסיבת האיסור בגופו נחשב זר מעיקרא, ולא נחשב דבר חיצוני וכמחזיר גרושתו [וכעין מש”כ בקובה”ע].</w:t>
      </w:r>
    </w:p>
  </w:footnote>
  <w:footnote w:id="4229">
    <w:p w14:paraId="5DB739B0" w14:textId="77777777" w:rsidR="00F64AED" w:rsidRDefault="00F64AED" w:rsidP="00F64AED">
      <w:pPr>
        <w:pStyle w:val="Footnote"/>
        <w:bidi/>
      </w:pPr>
      <w:r>
        <w:rPr>
          <w:rStyle w:val="ac"/>
          <w:rtl/>
        </w:rPr>
        <w:footnoteRef/>
      </w:r>
      <w:r>
        <w:rPr>
          <w:rtl/>
        </w:rPr>
        <w:t>וכ"כ ה</w:t>
      </w:r>
      <w:r>
        <w:rPr>
          <w:b/>
          <w:bCs/>
          <w:rtl/>
        </w:rPr>
        <w:t>מאירי</w:t>
      </w:r>
      <w:r>
        <w:rPr>
          <w:rtl/>
        </w:rPr>
        <w:t xml:space="preserve"> בשם </w:t>
      </w:r>
      <w:r>
        <w:rPr>
          <w:b/>
          <w:bCs/>
          <w:rtl/>
        </w:rPr>
        <w:t>תוס</w:t>
      </w:r>
      <w:r>
        <w:rPr>
          <w:rtl/>
        </w:rPr>
        <w:t>' [ויל"ד האם כוונתו דדוקא פצוע דכא נחשבת זונה, ואילו שאר פסולי קהל הוה 'איש זר'. או דכל הקרא ד'איש זר' הוה גילוי דהוה זונה, וכמ"ש הגר"א לדעת הרמב"ם].</w:t>
      </w:r>
    </w:p>
  </w:footnote>
  <w:footnote w:id="4230">
    <w:p w14:paraId="592D0960" w14:textId="77777777" w:rsidR="00F64AED" w:rsidRDefault="00F64AED" w:rsidP="00F64AED">
      <w:pPr>
        <w:pStyle w:val="Footnote"/>
        <w:bidi/>
      </w:pPr>
      <w:r>
        <w:rPr>
          <w:rStyle w:val="ac"/>
          <w:rtl/>
        </w:rPr>
        <w:footnoteRef/>
      </w:r>
      <w:r>
        <w:rPr>
          <w:rtl/>
        </w:rPr>
        <w:t>ומחזיר גרושתו עשאה זונה, אלא דלא הוה 'איש זר'.</w:t>
      </w:r>
    </w:p>
  </w:footnote>
  <w:footnote w:id="4231">
    <w:p w14:paraId="2FCD8C0E" w14:textId="77777777" w:rsidR="00F64AED" w:rsidRDefault="00F64AED" w:rsidP="00F64AED">
      <w:pPr>
        <w:pStyle w:val="Footnote"/>
        <w:bidi/>
      </w:pPr>
      <w:r>
        <w:rPr>
          <w:rStyle w:val="ac"/>
          <w:rtl/>
        </w:rPr>
        <w:footnoteRef/>
      </w:r>
      <w:r>
        <w:rPr>
          <w:rtl/>
        </w:rPr>
        <w:t>אך קשה דבגמ' ילפי' מקרא ד'איש זר', ולגבי זונה מנ"ל דבעינן זר מעיקרא. ויש שדנו דכיון דמצאנו בזה חילוק בחד מקום, עי"ז ילפי' כן מסברא אף לענין זונה, דחייבי לאוין דלא הוה זר מעיקרא לא עשאו זונה.</w:t>
      </w:r>
    </w:p>
    <w:p w14:paraId="7B82C94D" w14:textId="77777777" w:rsidR="00F64AED" w:rsidRDefault="00F64AED" w:rsidP="00F64AED">
      <w:pPr>
        <w:pStyle w:val="Footnote"/>
        <w:bidi/>
      </w:pPr>
      <w:r>
        <w:rPr>
          <w:rtl/>
        </w:rPr>
        <w:tab/>
        <w:t>אך בגמ' (לעיל נו:) מבואר דאשת איש עשאה זונה, אף דלא הוה זר מעיקרא. וצ"ל דחייבי כריתות חמירי עשאה זונה בכל אופן.</w:t>
      </w:r>
    </w:p>
  </w:footnote>
  <w:footnote w:id="4232">
    <w:p w14:paraId="63719578" w14:textId="77777777" w:rsidR="00F64AED" w:rsidRDefault="00F64AED" w:rsidP="00F64AED">
      <w:pPr>
        <w:pStyle w:val="Footnote"/>
        <w:bidi/>
      </w:pPr>
      <w:r>
        <w:rPr>
          <w:rStyle w:val="ac"/>
          <w:rtl/>
        </w:rPr>
        <w:footnoteRef/>
      </w:r>
      <w:r>
        <w:rPr>
          <w:rtl/>
        </w:rPr>
        <w:t>וה</w:t>
      </w:r>
      <w:r>
        <w:rPr>
          <w:b/>
          <w:bCs/>
          <w:rtl/>
        </w:rPr>
        <w:t>רשב"א</w:t>
      </w:r>
      <w:r>
        <w:rPr>
          <w:rtl/>
        </w:rPr>
        <w:t xml:space="preserve"> הק' אמאי לא הוזכר בברייתא (סח.) פצוע דכא. וא"ת דשייר, מאי שייר דהאי שייר. ובהמשך דבריו כת' די"ל דהברייתא פליג דאף פסולי קהל צריך זר מעיקרא.</w:t>
      </w:r>
    </w:p>
  </w:footnote>
  <w:footnote w:id="4233">
    <w:p w14:paraId="177FF83C" w14:textId="77777777" w:rsidR="00F64AED" w:rsidRDefault="00F64AED" w:rsidP="00F64AED">
      <w:pPr>
        <w:pStyle w:val="Footnote"/>
        <w:bidi/>
      </w:pPr>
      <w:r>
        <w:rPr>
          <w:rStyle w:val="ac"/>
          <w:rtl/>
        </w:rPr>
        <w:footnoteRef/>
      </w:r>
      <w:r>
        <w:rPr>
          <w:rtl/>
        </w:rPr>
        <w:t>ומבואר דהגדר פנוי הבא על הפנויה הוא משום האיסור, ולא משום שהיא מפוקרת [דפצוע דכא אוסר אף את אשתו שנשאה קודם לכן בהיתר].</w:t>
      </w:r>
    </w:p>
  </w:footnote>
  <w:footnote w:id="4234">
    <w:p w14:paraId="2362CEE5" w14:textId="77777777" w:rsidR="00F64AED" w:rsidRDefault="00F64AED" w:rsidP="00F64AED">
      <w:pPr>
        <w:pStyle w:val="Footnote"/>
        <w:bidi/>
      </w:pPr>
      <w:r>
        <w:rPr>
          <w:rStyle w:val="ac"/>
          <w:rtl/>
        </w:rPr>
        <w:footnoteRef/>
      </w:r>
      <w:r>
        <w:rPr>
          <w:rtl/>
        </w:rPr>
        <w:t>ומשמע מלשון זה דזר אצלה מעיקרא מהני לשם זונה.</w:t>
      </w:r>
    </w:p>
  </w:footnote>
  <w:footnote w:id="4235">
    <w:p w14:paraId="20A7EA68" w14:textId="77777777" w:rsidR="00F64AED" w:rsidRDefault="00F64AED" w:rsidP="00F64AED">
      <w:pPr>
        <w:pStyle w:val="Footnote"/>
        <w:bidi/>
      </w:pPr>
      <w:r>
        <w:rPr>
          <w:rStyle w:val="ac"/>
          <w:rtl/>
        </w:rPr>
        <w:footnoteRef/>
      </w:r>
      <w:r>
        <w:rPr>
          <w:rtl/>
        </w:rPr>
        <w:t>ו</w:t>
      </w:r>
      <w:r>
        <w:rPr>
          <w:b/>
          <w:bCs/>
          <w:rtl/>
        </w:rPr>
        <w:t>רע"א</w:t>
      </w:r>
      <w:r>
        <w:rPr>
          <w:rtl/>
        </w:rPr>
        <w:t xml:space="preserve"> כוון לדבריו, והעלה צד דאיסור שאפשר מעיקרא הוה בכלל זר מעיקרא. ורק איסורים דע"י קדושין א"א מעיקרא. אך הק' דלא מצא מקור לגוף החילוק. ועוה"ק דפצוע דכא בידי שמים כשר ורק בידי אדם כשר. וא"כ א"א להיות זר מעיקרא. [ויל"ד בדעת היראים דאפשר בשעת לידה ממש. א"נ קודם בן ט' נחשב 'מעיקרא', דלא הותר אצלה מעולם].</w:t>
      </w:r>
    </w:p>
  </w:footnote>
  <w:footnote w:id="4236">
    <w:p w14:paraId="64D848A2" w14:textId="77777777" w:rsidR="00F64AED" w:rsidRDefault="00F64AED" w:rsidP="00F64AED">
      <w:pPr>
        <w:pStyle w:val="Footnote"/>
        <w:bidi/>
      </w:pPr>
      <w:r>
        <w:rPr>
          <w:rStyle w:val="ac"/>
          <w:rtl/>
        </w:rPr>
        <w:footnoteRef/>
      </w:r>
      <w:r>
        <w:rPr>
          <w:rtl/>
        </w:rPr>
        <w:t>משום זונה. [ויל"ד האם כוונת היראים דזונה ואיש זר מישך להדדי].</w:t>
      </w:r>
    </w:p>
  </w:footnote>
  <w:footnote w:id="4237">
    <w:p w14:paraId="5867592C" w14:textId="77777777" w:rsidR="00F64AED" w:rsidRDefault="00F64AED" w:rsidP="00F64AED">
      <w:pPr>
        <w:pStyle w:val="Footnote"/>
        <w:bidi/>
      </w:pPr>
      <w:r>
        <w:rPr>
          <w:rStyle w:val="ac"/>
          <w:rtl/>
        </w:rPr>
        <w:footnoteRef/>
      </w:r>
      <w:r>
        <w:rPr>
          <w:rtl/>
        </w:rPr>
        <w:t>[ואף אחות אשתו, אילו נולדה אחר שקידש אחותה. וכן אשת אח, כשאחיו קידש קודם שנולד. אך איסור חמותו אי אפשר זר מעיקרא. ואפשר דמ”מ הוה בכל ערות אשה ובתה].</w:t>
      </w:r>
    </w:p>
  </w:footnote>
  <w:footnote w:id="4238">
    <w:p w14:paraId="0FD4E386" w14:textId="77777777" w:rsidR="00F64AED" w:rsidRDefault="00F64AED" w:rsidP="00F64AED">
      <w:pPr>
        <w:pStyle w:val="Footnote"/>
        <w:bidi/>
      </w:pPr>
      <w:r>
        <w:rPr>
          <w:rStyle w:val="ac"/>
          <w:rtl/>
        </w:rPr>
        <w:footnoteRef/>
      </w:r>
      <w:r>
        <w:rPr>
          <w:rtl/>
        </w:rPr>
        <w:t>משא"כ מחזיר גרושתו בעינן משנשאת, וע"כ היא טפי מבת ג'.</w:t>
      </w:r>
    </w:p>
  </w:footnote>
  <w:footnote w:id="4239">
    <w:p w14:paraId="75294CCA" w14:textId="77777777" w:rsidR="00F64AED" w:rsidRDefault="00F64AED" w:rsidP="00F64AED">
      <w:pPr>
        <w:pStyle w:val="Footnote"/>
        <w:bidi/>
      </w:pPr>
      <w:r>
        <w:rPr>
          <w:rStyle w:val="ac"/>
          <w:rtl/>
        </w:rPr>
        <w:footnoteRef/>
      </w:r>
      <w:r>
        <w:rPr>
          <w:rtl/>
        </w:rPr>
        <w:t>אך דעת ר' דוסתאי בר"י (קידושין סד. ועז.) דבנות ישראל מקוה טהרה לחללים, וחלל אינו פוסל את האשה בביאתו. ועי"ש רש"י ותוס'.</w:t>
      </w:r>
    </w:p>
  </w:footnote>
  <w:footnote w:id="4240">
    <w:p w14:paraId="4C73DBAA" w14:textId="77777777" w:rsidR="00F64AED" w:rsidRDefault="00F64AED" w:rsidP="00F64AED">
      <w:pPr>
        <w:pStyle w:val="Footnote"/>
        <w:bidi/>
      </w:pPr>
      <w:r>
        <w:rPr>
          <w:rStyle w:val="ac"/>
          <w:rtl/>
        </w:rPr>
        <w:footnoteRef/>
      </w:r>
      <w:r>
        <w:rPr>
          <w:rtl/>
        </w:rPr>
        <w:t>[ולדעת תוס' (טו:) דכולהו משום חללות ניחא, וכמ”ש בראב”ד].</w:t>
      </w:r>
    </w:p>
  </w:footnote>
  <w:footnote w:id="4241">
    <w:p w14:paraId="13BEF362" w14:textId="77777777" w:rsidR="00F64AED" w:rsidRDefault="00F64AED" w:rsidP="00F64AED">
      <w:pPr>
        <w:pStyle w:val="Footnote"/>
        <w:bidi/>
      </w:pPr>
      <w:r>
        <w:rPr>
          <w:rStyle w:val="ac"/>
          <w:rtl/>
        </w:rPr>
        <w:footnoteRef/>
      </w:r>
      <w:r>
        <w:rPr>
          <w:rtl/>
        </w:rPr>
        <w:t>שהרי הבא על הנדה ועל הקדשה והנרבעת לבהמה נבעלה בעילה של איסור ולא נעשית זונה.</w:t>
      </w:r>
    </w:p>
  </w:footnote>
  <w:footnote w:id="4242">
    <w:p w14:paraId="1F8BBC4A" w14:textId="77777777" w:rsidR="00F64AED" w:rsidRDefault="00F64AED" w:rsidP="00F64AED">
      <w:pPr>
        <w:pStyle w:val="Footnote"/>
        <w:bidi/>
      </w:pPr>
      <w:r>
        <w:rPr>
          <w:rStyle w:val="ac"/>
          <w:rtl/>
        </w:rPr>
        <w:footnoteRef/>
      </w:r>
      <w:r>
        <w:rPr>
          <w:rtl/>
        </w:rPr>
        <w:t>ויש שהביאו דמ"מ מבואר דגדרי הפוסלים שייכי אהדדי.</w:t>
      </w:r>
    </w:p>
  </w:footnote>
  <w:footnote w:id="4243">
    <w:p w14:paraId="4EC31383" w14:textId="77777777" w:rsidR="00F64AED" w:rsidRDefault="00F64AED" w:rsidP="00F64AED">
      <w:pPr>
        <w:pStyle w:val="Footnote"/>
        <w:bidi/>
      </w:pPr>
      <w:r>
        <w:rPr>
          <w:rStyle w:val="ac"/>
          <w:rtl/>
        </w:rPr>
        <w:footnoteRef/>
      </w:r>
      <w:r>
        <w:rPr>
          <w:rtl/>
        </w:rPr>
        <w:t>וה</w:t>
      </w:r>
      <w:r>
        <w:rPr>
          <w:b/>
          <w:bCs/>
          <w:rtl/>
        </w:rPr>
        <w:t>קובה"ע</w:t>
      </w:r>
      <w:r>
        <w:rPr>
          <w:rtl/>
        </w:rPr>
        <w:t xml:space="preserve"> (שם) הקשה דנתין לכו"ע איסורו רק משום לא תתחתן [ע' לקמן עו.], ודרך חתנות. א"כ [לרשב"א] אמאי פסל בביאתו.</w:t>
      </w:r>
    </w:p>
  </w:footnote>
  <w:footnote w:id="4244">
    <w:p w14:paraId="2CD05E02" w14:textId="77777777" w:rsidR="00F64AED" w:rsidRDefault="00F64AED" w:rsidP="00F64AED">
      <w:pPr>
        <w:pStyle w:val="Footnote"/>
        <w:bidi/>
      </w:pPr>
      <w:r>
        <w:rPr>
          <w:rStyle w:val="ac"/>
          <w:rtl/>
        </w:rPr>
        <w:footnoteRef/>
      </w:r>
      <w:r>
        <w:rPr>
          <w:rtl/>
        </w:rPr>
        <w:t>וה</w:t>
      </w:r>
      <w:r>
        <w:rPr>
          <w:b/>
          <w:bCs/>
          <w:rtl/>
        </w:rPr>
        <w:t>בעה"מ</w:t>
      </w:r>
      <w:r>
        <w:rPr>
          <w:rtl/>
        </w:rPr>
        <w:t xml:space="preserve"> (יח: בדה”ר) תי' דהנידון התם דוקא באשת איש משום מתוך שמותרת לבעלה מותרת לכהונה.</w:t>
      </w:r>
    </w:p>
  </w:footnote>
  <w:footnote w:id="4245">
    <w:p w14:paraId="50B34F43" w14:textId="77777777" w:rsidR="00F64AED" w:rsidRDefault="00F64AED" w:rsidP="00F64AED">
      <w:pPr>
        <w:pStyle w:val="Footnote"/>
        <w:bidi/>
      </w:pPr>
      <w:r>
        <w:rPr>
          <w:rStyle w:val="ac"/>
          <w:rtl/>
        </w:rPr>
        <w:footnoteRef/>
      </w:r>
      <w:r>
        <w:rPr>
          <w:rtl/>
        </w:rPr>
        <w:t>[אך לדעת הרמב"ם דאף איש זר הוה 'שם זונה', א"כ צ”ע מהגמ' שם, והו"ל לגמ' להביא ממתני'].</w:t>
      </w:r>
    </w:p>
  </w:footnote>
  <w:footnote w:id="4246">
    <w:p w14:paraId="09F4A3B2" w14:textId="77777777" w:rsidR="00F64AED" w:rsidRDefault="00F64AED" w:rsidP="00F64AED">
      <w:pPr>
        <w:pStyle w:val="Footnote"/>
        <w:bidi/>
      </w:pPr>
      <w:r>
        <w:rPr>
          <w:rStyle w:val="ac"/>
          <w:rtl/>
        </w:rPr>
        <w:footnoteRef/>
      </w:r>
      <w:r>
        <w:rPr>
          <w:rtl/>
        </w:rPr>
        <w:t>משמע דתוס' קאי אף אאונס, וכשיטתם (לעיל נט: תוד”ה ורב) דאף באונס עשאה זונה. וע' מש”כ לעיל שם.</w:t>
      </w:r>
    </w:p>
  </w:footnote>
  <w:footnote w:id="4247">
    <w:p w14:paraId="09389BCA" w14:textId="77777777" w:rsidR="00F64AED" w:rsidRDefault="00F64AED" w:rsidP="00F64AED">
      <w:pPr>
        <w:pStyle w:val="Footnote"/>
        <w:bidi/>
      </w:pPr>
      <w:r>
        <w:rPr>
          <w:rStyle w:val="ac"/>
          <w:rtl/>
        </w:rPr>
        <w:footnoteRef/>
      </w:r>
      <w:r>
        <w:rPr>
          <w:rtl/>
        </w:rPr>
        <w:t>ויל"ד אי תוס' קאי אף בנישואי שוטה [וכן קצת משמע בירושלמי, ויש לדחות], דכיון דלא תקנו חכמים נישואין הוה בעילת זנות ועשאה זונה. או כל דהוה דרך אישות [אף בלא קידושין] לא הוה זונה. וע' מש"כ (לעיל נט:).</w:t>
      </w:r>
    </w:p>
  </w:footnote>
  <w:footnote w:id="4248">
    <w:p w14:paraId="5BBD49BB" w14:textId="77777777" w:rsidR="00F64AED" w:rsidRDefault="00F64AED" w:rsidP="00F64AED">
      <w:pPr>
        <w:pStyle w:val="Footnote"/>
        <w:bidi/>
      </w:pPr>
      <w:r>
        <w:rPr>
          <w:rStyle w:val="ac"/>
          <w:rtl/>
        </w:rPr>
        <w:footnoteRef/>
      </w:r>
      <w:r>
        <w:rPr>
          <w:rtl/>
        </w:rPr>
        <w:t>אמנם אי נבעלה לכהן נעשית חללה, דזונה הוה מפסולי כהונה.</w:t>
      </w:r>
    </w:p>
  </w:footnote>
  <w:footnote w:id="4249">
    <w:p w14:paraId="07C2715D" w14:textId="77777777" w:rsidR="00F64AED" w:rsidRDefault="00F64AED" w:rsidP="00F64AED">
      <w:pPr>
        <w:pStyle w:val="Footnote"/>
        <w:bidi/>
      </w:pPr>
      <w:r>
        <w:rPr>
          <w:rStyle w:val="ac"/>
          <w:rtl/>
        </w:rPr>
        <w:footnoteRef/>
      </w:r>
      <w:r>
        <w:rPr>
          <w:rtl/>
        </w:rPr>
        <w:t>ה</w:t>
      </w:r>
      <w:r>
        <w:rPr>
          <w:b/>
          <w:bCs/>
          <w:rtl/>
        </w:rPr>
        <w:t>משנ"ל</w:t>
      </w:r>
      <w:r>
        <w:rPr>
          <w:rtl/>
        </w:rPr>
        <w:t xml:space="preserve"> (איסו"ב יח ב בסו"ד) הביא את דברי התוס' דאף דהוה זונה אינה נפסלת לתרומה, וכת' והוא חידוש גדול בעיני.</w:t>
      </w:r>
    </w:p>
  </w:footnote>
  <w:footnote w:id="4250">
    <w:p w14:paraId="4983BBE0" w14:textId="77777777" w:rsidR="00F64AED" w:rsidRDefault="00F64AED" w:rsidP="00F64AED">
      <w:pPr>
        <w:pStyle w:val="Footnote"/>
        <w:bidi/>
      </w:pPr>
      <w:r>
        <w:rPr>
          <w:rStyle w:val="ac"/>
          <w:rtl/>
        </w:rPr>
        <w:footnoteRef/>
      </w:r>
      <w:r>
        <w:rPr>
          <w:rtl/>
        </w:rPr>
        <w:t xml:space="preserve">וע”ע </w:t>
      </w:r>
      <w:r>
        <w:rPr>
          <w:b/>
          <w:bCs/>
          <w:rtl/>
        </w:rPr>
        <w:t>תור”ג</w:t>
      </w:r>
      <w:r>
        <w:rPr>
          <w:rtl/>
        </w:rPr>
        <w:t xml:space="preserve"> (שם) שנדחק באופ”א.</w:t>
      </w:r>
    </w:p>
  </w:footnote>
  <w:footnote w:id="4251">
    <w:p w14:paraId="5DCB57F7" w14:textId="77777777" w:rsidR="00F64AED" w:rsidRDefault="00F64AED" w:rsidP="00F64AED">
      <w:pPr>
        <w:pStyle w:val="Footnote"/>
        <w:bidi/>
      </w:pPr>
      <w:r>
        <w:rPr>
          <w:rStyle w:val="ac"/>
          <w:rtl/>
        </w:rPr>
        <w:footnoteRef/>
      </w:r>
      <w:r>
        <w:rPr>
          <w:rtl/>
        </w:rPr>
        <w:t>עכ"פ באופן שמשעה ראשונה היה ראוי לילד.</w:t>
      </w:r>
    </w:p>
  </w:footnote>
  <w:footnote w:id="4252">
    <w:p w14:paraId="5CFA8588" w14:textId="77777777" w:rsidR="00F64AED" w:rsidRDefault="00F64AED" w:rsidP="00F64AED">
      <w:pPr>
        <w:pStyle w:val="Footnote"/>
        <w:bidi/>
      </w:pPr>
      <w:r>
        <w:rPr>
          <w:rStyle w:val="ac"/>
          <w:rtl/>
        </w:rPr>
        <w:footnoteRef/>
      </w:r>
      <w:r>
        <w:rPr>
          <w:rtl/>
        </w:rPr>
        <w:t>וה</w:t>
      </w:r>
      <w:r>
        <w:rPr>
          <w:b/>
          <w:bCs/>
          <w:rtl/>
        </w:rPr>
        <w:t>תוי"ט</w:t>
      </w:r>
      <w:r>
        <w:rPr>
          <w:rtl/>
        </w:rPr>
        <w:t xml:space="preserve"> ציין דכשכעס אחשורוש אמר להמן בלשון גנאי הגם לכבוש את המלכה (אסתר ז ח).</w:t>
      </w:r>
    </w:p>
  </w:footnote>
  <w:footnote w:id="4253">
    <w:p w14:paraId="11E19457" w14:textId="77777777" w:rsidR="00F64AED" w:rsidRDefault="00F64AED" w:rsidP="00F64AED">
      <w:pPr>
        <w:pStyle w:val="Footnote"/>
        <w:bidi/>
      </w:pPr>
      <w:r>
        <w:rPr>
          <w:rStyle w:val="ac"/>
          <w:rtl/>
        </w:rPr>
        <w:footnoteRef/>
      </w:r>
      <w:r>
        <w:rPr>
          <w:rtl/>
        </w:rPr>
        <w:t>וה</w:t>
      </w:r>
      <w:r>
        <w:rPr>
          <w:b/>
          <w:bCs/>
          <w:rtl/>
        </w:rPr>
        <w:t>רמ"ע מפאנו</w:t>
      </w:r>
      <w:r>
        <w:rPr>
          <w:rtl/>
        </w:rPr>
        <w:t xml:space="preserve"> (קטז) ביאר דעכו"ם ועבד הבא על בת ישראל הוה הרכבה זרה [שאין בהן קדושין לאלו ולא לאחרים ויש עבירה חמורה], ומש"ה אינו שייך כלל. וש"ז שלהם במעי ישראלית כיון שהסריחה בטלה מאליה, והויא כעפרא. ומדמינן לה לספנא מארעא, וכיתום בלא אב. דעובר ירך אמו הוא, וליכא למימר בהו ברא כרעא דאבוהי.</w:t>
      </w:r>
    </w:p>
  </w:footnote>
  <w:footnote w:id="4254">
    <w:p w14:paraId="16049098" w14:textId="77777777" w:rsidR="00F64AED" w:rsidRDefault="00F64AED" w:rsidP="00F64AED">
      <w:pPr>
        <w:pStyle w:val="Footnote"/>
        <w:bidi/>
      </w:pPr>
      <w:r>
        <w:rPr>
          <w:rStyle w:val="ac"/>
          <w:rtl/>
        </w:rPr>
        <w:footnoteRef/>
      </w:r>
      <w:r>
        <w:rPr>
          <w:rtl/>
        </w:rPr>
        <w:t>אבל השואל ב</w:t>
      </w:r>
      <w:r>
        <w:rPr>
          <w:b/>
          <w:bCs/>
          <w:rtl/>
        </w:rPr>
        <w:t>שו"ת הרי"ף</w:t>
      </w:r>
      <w:r>
        <w:rPr>
          <w:rtl/>
        </w:rPr>
        <w:t xml:space="preserve"> (הו' באו"ש ו יד) נסתפק בהניח בת הנשואה לישראל. וה</w:t>
      </w:r>
      <w:r>
        <w:rPr>
          <w:b/>
          <w:bCs/>
          <w:rtl/>
        </w:rPr>
        <w:t xml:space="preserve">רי"ף </w:t>
      </w:r>
      <w:r>
        <w:rPr>
          <w:rtl/>
        </w:rPr>
        <w:t>השיב דמאכלת את אמה בתרומה, דסתמא תנן אע"פ שנבעלה לפסול. [וצ"ב אמאי לא הביא משנה מפורשת דממזר]. [וע"ע רש"ש פו:].</w:t>
      </w:r>
    </w:p>
  </w:footnote>
  <w:footnote w:id="4255">
    <w:p w14:paraId="482BD988" w14:textId="77777777" w:rsidR="00F64AED" w:rsidRDefault="00F64AED" w:rsidP="00F64AED">
      <w:pPr>
        <w:pStyle w:val="Footnote"/>
        <w:bidi/>
      </w:pPr>
      <w:r>
        <w:rPr>
          <w:rStyle w:val="ac"/>
          <w:rtl/>
        </w:rPr>
        <w:footnoteRef/>
      </w:r>
      <w:r>
        <w:rPr>
          <w:rtl/>
        </w:rPr>
        <w:t>ובפשוטו משמע דקאי בכה"ג דסוגיין, דעכו"ם ועבד הבא על בת כהן דהולד ממזר. וצ"ב דאינו כהן כלל. ואפשר דכוונתם ע"פ הסוגיה (בכורות מז.) דעכו"ם הבא על בת לוי, אי”צ לפדות הולד [דאין לו משפחה אחרת, ולכן דינו כדין אמו. וע' גר”ח איסו”ב טו]. אך צ”ע דאיתא התם דבכהנת לא אמרי' כן, דכיון דנבעלה לפסול לה הוה זרה.</w:t>
      </w:r>
    </w:p>
    <w:p w14:paraId="554506BA" w14:textId="77777777" w:rsidR="00F64AED" w:rsidRDefault="00F64AED" w:rsidP="00F64AED">
      <w:pPr>
        <w:pStyle w:val="Footnote"/>
        <w:bidi/>
      </w:pPr>
      <w:r>
        <w:rPr>
          <w:rtl/>
        </w:rPr>
        <w:tab/>
        <w:t>ולכאו' צ"ל דאיירי בכהן הבא על אחותו, דהולד מביאה ראשונה הוה כהן וממזר [ע' ריטב"א לעיל נג:]. דהממזרות אינו סותר הא דאוכל בתרומה. אך צ”ב מה הביא מסוגיין, דאף ולד מעכו"ם. [אלא דלא גרע מכל זרע זרעה מזר שמאכיל בתרומה].</w:t>
      </w:r>
    </w:p>
  </w:footnote>
  <w:footnote w:id="4256">
    <w:p w14:paraId="542002FB" w14:textId="77777777" w:rsidR="00F64AED" w:rsidRDefault="00F64AED" w:rsidP="00F64AED">
      <w:pPr>
        <w:pStyle w:val="Footnote"/>
        <w:bidi/>
      </w:pPr>
      <w:r>
        <w:rPr>
          <w:rStyle w:val="ac"/>
          <w:rtl/>
        </w:rPr>
        <w:footnoteRef/>
      </w:r>
      <w:r>
        <w:rPr>
          <w:rtl/>
        </w:rPr>
        <w:t>ועיל”פ דזרע זרעה מאכיל, כיון דבא מכח הזרע שהוא כהן. אלא דהעלה צד דממזרות סתר לכהונה, ומש”ה לא מהני להאכיל.</w:t>
      </w:r>
    </w:p>
  </w:footnote>
  <w:footnote w:id="4257">
    <w:p w14:paraId="6B1F4939" w14:textId="77777777" w:rsidR="00F64AED" w:rsidRDefault="00F64AED" w:rsidP="00F64AED">
      <w:pPr>
        <w:pStyle w:val="Footnote"/>
        <w:bidi/>
      </w:pPr>
      <w:r>
        <w:rPr>
          <w:rStyle w:val="ac"/>
          <w:rtl/>
        </w:rPr>
        <w:footnoteRef/>
      </w:r>
      <w:r>
        <w:rPr>
          <w:rtl/>
        </w:rPr>
        <w:t>דהמשנה לא איירי במקרה כזה. [אבל הקוב"ש העמיד קושייתו ע"ד תוס' (ב"ב קט הו' בסמוך) דל"ש לרבות זרע פסול, בלא זרע זרעה].</w:t>
      </w:r>
    </w:p>
  </w:footnote>
  <w:footnote w:id="4258">
    <w:p w14:paraId="2A48FB15" w14:textId="77777777" w:rsidR="00F64AED" w:rsidRDefault="00F64AED" w:rsidP="00F64AED">
      <w:pPr>
        <w:pStyle w:val="Footnote"/>
        <w:bidi/>
      </w:pPr>
      <w:r>
        <w:rPr>
          <w:rStyle w:val="ac"/>
          <w:rtl/>
        </w:rPr>
        <w:footnoteRef/>
      </w:r>
      <w:r>
        <w:rPr>
          <w:rtl/>
        </w:rPr>
        <w:t>ולכאו' הו"ל להקשות טפי משוטה דמתני', דהוה כמה ביאות. וה</w:t>
      </w:r>
      <w:r>
        <w:rPr>
          <w:b/>
          <w:bCs/>
          <w:rtl/>
        </w:rPr>
        <w:t>מהרש”א</w:t>
      </w:r>
      <w:r>
        <w:rPr>
          <w:rtl/>
        </w:rPr>
        <w:t xml:space="preserve"> כתב דאיכא למימר דנקטו עיברה אטו אינך.</w:t>
      </w:r>
    </w:p>
  </w:footnote>
  <w:footnote w:id="4259">
    <w:p w14:paraId="4CD51358" w14:textId="77777777" w:rsidR="00F64AED" w:rsidRDefault="00F64AED" w:rsidP="00F64AED">
      <w:pPr>
        <w:pStyle w:val="Footnote"/>
        <w:bidi/>
      </w:pPr>
      <w:r>
        <w:rPr>
          <w:rStyle w:val="ac"/>
          <w:rtl/>
        </w:rPr>
        <w:footnoteRef/>
      </w:r>
      <w:r>
        <w:rPr>
          <w:rtl/>
        </w:rPr>
        <w:t>דבביאה ראשונה אינה מתעברת (כדאי' לעיל לד:).</w:t>
      </w:r>
    </w:p>
  </w:footnote>
  <w:footnote w:id="4260">
    <w:p w14:paraId="2553F215" w14:textId="77777777" w:rsidR="00F64AED" w:rsidRDefault="00F64AED" w:rsidP="00F64AED">
      <w:pPr>
        <w:pStyle w:val="Footnote"/>
        <w:bidi/>
      </w:pPr>
      <w:r>
        <w:rPr>
          <w:rStyle w:val="ac"/>
          <w:rtl/>
        </w:rPr>
        <w:footnoteRef/>
      </w:r>
      <w:r>
        <w:rPr>
          <w:rtl/>
        </w:rPr>
        <w:t>וה</w:t>
      </w:r>
      <w:r>
        <w:rPr>
          <w:b/>
          <w:bCs/>
          <w:rtl/>
        </w:rPr>
        <w:t>ריטב"א</w:t>
      </w:r>
      <w:r>
        <w:rPr>
          <w:rtl/>
        </w:rPr>
        <w:t xml:space="preserve"> ביאר דמש"ה הגמ' מק' אסיפא דישראל שבא על בת ישראל, ולא מרישא דאונס ומפתה. די"ל דקאי אאונס ומפתה דקרא דאיירי בבתולות, ומסתמא אינן ממעכות באצבע. [ומבואר דנקט דמיעכה באצבע יש לה קנס דאונס ומפתה].</w:t>
      </w:r>
    </w:p>
  </w:footnote>
  <w:footnote w:id="4261">
    <w:p w14:paraId="207AE4AD" w14:textId="77777777" w:rsidR="00F64AED" w:rsidRDefault="00F64AED" w:rsidP="00F64AED">
      <w:pPr>
        <w:pStyle w:val="Footnote"/>
        <w:bidi/>
      </w:pPr>
      <w:r>
        <w:rPr>
          <w:rStyle w:val="ac"/>
          <w:rtl/>
        </w:rPr>
        <w:footnoteRef/>
      </w:r>
      <w:r>
        <w:rPr>
          <w:rtl/>
        </w:rPr>
        <w:t>וצ"ע דהתם איירי שבמשך חייה תלד, והאיך נאמר כן על מעשה א'. ולכאורה כוונתו דהוה ספק המצוי.</w:t>
      </w:r>
    </w:p>
  </w:footnote>
  <w:footnote w:id="4262">
    <w:p w14:paraId="25A37A8B" w14:textId="77777777" w:rsidR="00F64AED" w:rsidRDefault="00F64AED" w:rsidP="00F64AED">
      <w:pPr>
        <w:pStyle w:val="Footnote"/>
        <w:bidi/>
      </w:pPr>
      <w:r>
        <w:rPr>
          <w:rStyle w:val="ac"/>
          <w:rtl/>
        </w:rPr>
        <w:footnoteRef/>
      </w:r>
      <w:r>
        <w:rPr>
          <w:rtl/>
        </w:rPr>
        <w:t>דחששו שמא ימות. [וע' בסוגיא שם].</w:t>
      </w:r>
    </w:p>
  </w:footnote>
  <w:footnote w:id="4263">
    <w:p w14:paraId="0BA0FB18" w14:textId="77777777" w:rsidR="00F64AED" w:rsidRDefault="00F64AED" w:rsidP="00F64AED">
      <w:pPr>
        <w:pStyle w:val="Footnote"/>
        <w:bidi/>
      </w:pPr>
      <w:r>
        <w:rPr>
          <w:rStyle w:val="ac"/>
          <w:rtl/>
        </w:rPr>
        <w:footnoteRef/>
      </w:r>
      <w:r>
        <w:rPr>
          <w:rtl/>
        </w:rPr>
        <w:t>ויש שדנו דכל שיש לה ולד מזר משלמת קרן וחומש. ורק בנישואין אמרי' דסופו לחזור. [אבל כשיש בן, אינו עומד למות בחייה, ואינה עומדת לחזור].</w:t>
      </w:r>
    </w:p>
  </w:footnote>
  <w:footnote w:id="4264">
    <w:p w14:paraId="39CD7DF8" w14:textId="77777777" w:rsidR="00F64AED" w:rsidRDefault="00F64AED" w:rsidP="00F64AED">
      <w:pPr>
        <w:pStyle w:val="Footnote"/>
        <w:bidi/>
      </w:pPr>
      <w:r>
        <w:rPr>
          <w:rStyle w:val="ac"/>
          <w:rtl/>
        </w:rPr>
        <w:footnoteRef/>
      </w:r>
      <w:r>
        <w:rPr>
          <w:rtl/>
        </w:rPr>
        <w:t>וכיון דהוה ספק, ואפ"ה רב סתם דהוה ממזר, ע”כ דודאן וספיקן מותרין זה בזה.</w:t>
      </w:r>
    </w:p>
  </w:footnote>
  <w:footnote w:id="4265">
    <w:p w14:paraId="1B665A0E" w14:textId="77777777" w:rsidR="00F64AED" w:rsidRDefault="00F64AED" w:rsidP="00F64AED">
      <w:pPr>
        <w:pStyle w:val="Footnote"/>
        <w:bidi/>
      </w:pPr>
      <w:r>
        <w:rPr>
          <w:rStyle w:val="ac"/>
          <w:rtl/>
        </w:rPr>
        <w:footnoteRef/>
      </w:r>
      <w:r>
        <w:rPr>
          <w:rtl/>
        </w:rPr>
        <w:t>והגמ' פי' דאיצטריך רב לומר דהוה ספק, דהא רוב פסולין אצלה [וס"ד דאזלי' בתר רוב להתיר בממזר]. ואי אשמוע' הא דסוגיין ס"ד דאיכא למיתלי באריס טפי [והוה צד רחוק שהולד ממזר, ומש”ה אסור בממזרת].</w:t>
      </w:r>
    </w:p>
  </w:footnote>
  <w:footnote w:id="4266">
    <w:p w14:paraId="40997F16" w14:textId="77777777" w:rsidR="00F64AED" w:rsidRDefault="00F64AED" w:rsidP="00F64AED">
      <w:pPr>
        <w:pStyle w:val="Footnote"/>
        <w:bidi/>
      </w:pPr>
      <w:r>
        <w:rPr>
          <w:rStyle w:val="ac"/>
          <w:rtl/>
        </w:rPr>
        <w:footnoteRef/>
      </w:r>
      <w:r>
        <w:rPr>
          <w:rtl/>
        </w:rPr>
        <w:t>דס"ד דהוה עכ"פ ספק בנו [דיש רגליים לדבר דהוה מהארוס]. קמ"ל דאין ספק יורש מוציא מידי ודאי יורשים, אף שהוא מוחזק.</w:t>
      </w:r>
    </w:p>
  </w:footnote>
  <w:footnote w:id="4267">
    <w:p w14:paraId="5BAD4B14" w14:textId="77777777" w:rsidR="00F64AED" w:rsidRDefault="00F64AED" w:rsidP="00F64AED">
      <w:pPr>
        <w:pStyle w:val="Footnote"/>
        <w:bidi/>
      </w:pPr>
      <w:r>
        <w:rPr>
          <w:rStyle w:val="ac"/>
          <w:rtl/>
        </w:rPr>
        <w:footnoteRef/>
      </w:r>
      <w:r>
        <w:rPr>
          <w:rtl/>
        </w:rPr>
        <w:t>והגמ' פי' דשמואל קמ"ל דקי"ל כר"ג דנאמנת, אפי' בארוסה דרוב פסולים אצלה.</w:t>
      </w:r>
    </w:p>
  </w:footnote>
  <w:footnote w:id="4268">
    <w:p w14:paraId="2226212C" w14:textId="77777777" w:rsidR="00F64AED" w:rsidRDefault="00F64AED" w:rsidP="00F64AED">
      <w:pPr>
        <w:pStyle w:val="Footnote"/>
        <w:bidi/>
      </w:pPr>
      <w:r>
        <w:rPr>
          <w:rStyle w:val="ac"/>
          <w:rtl/>
        </w:rPr>
        <w:footnoteRef/>
      </w:r>
      <w:r>
        <w:rPr>
          <w:rtl/>
        </w:rPr>
        <w:t>ו</w:t>
      </w:r>
      <w:r>
        <w:rPr>
          <w:b/>
          <w:bCs/>
          <w:rtl/>
        </w:rPr>
        <w:t>תוס</w:t>
      </w:r>
      <w:r>
        <w:rPr>
          <w:rtl/>
        </w:rPr>
        <w:t>' הביאו עוד דבגמ' (קידושין) הגירסא ארוסה שעיברה.</w:t>
      </w:r>
    </w:p>
  </w:footnote>
  <w:footnote w:id="4269">
    <w:p w14:paraId="2BD365D5" w14:textId="77777777" w:rsidR="00F64AED" w:rsidRDefault="00F64AED" w:rsidP="00F64AED">
      <w:pPr>
        <w:pStyle w:val="Footnote"/>
        <w:bidi/>
      </w:pPr>
      <w:r>
        <w:rPr>
          <w:rStyle w:val="ac"/>
          <w:rtl/>
        </w:rPr>
        <w:footnoteRef/>
      </w:r>
      <w:r>
        <w:rPr>
          <w:rtl/>
        </w:rPr>
        <w:t>וכיון דדיימא מעלמא היא אינה נאמנת דהוה מיניה. [וצ"ב דלר"ג נאמנת אף נגד רוב. ואפשר דהכא יש סברא מדאפקרה נפשא, ולזה ל"מ נאמנות שלא הפקירה עצמה. אלא דהיכא דידעי' שהוא ודאי בא עליה, מש"ה יש יותר סברא לתלות בדבר הידוע בודאי מאשר בספיקות בעלמא].</w:t>
      </w:r>
    </w:p>
  </w:footnote>
  <w:footnote w:id="4270">
    <w:p w14:paraId="67F675D7" w14:textId="77777777" w:rsidR="00F64AED" w:rsidRDefault="00F64AED" w:rsidP="00F64AED">
      <w:pPr>
        <w:pStyle w:val="Footnote"/>
        <w:bidi/>
      </w:pPr>
      <w:r>
        <w:rPr>
          <w:rStyle w:val="ac"/>
          <w:rtl/>
        </w:rPr>
        <w:footnoteRef/>
      </w:r>
      <w:r>
        <w:rPr>
          <w:rtl/>
        </w:rPr>
        <w:t>אא"כ בדקו את אמו ואמרה לכשר נבעלתי.</w:t>
      </w:r>
    </w:p>
  </w:footnote>
  <w:footnote w:id="4271">
    <w:p w14:paraId="7513B4A9" w14:textId="77777777" w:rsidR="00F64AED" w:rsidRDefault="00F64AED" w:rsidP="00F64AED">
      <w:pPr>
        <w:pStyle w:val="Footnote"/>
        <w:bidi/>
      </w:pPr>
      <w:r>
        <w:rPr>
          <w:rStyle w:val="ac"/>
          <w:rtl/>
        </w:rPr>
        <w:footnoteRef/>
      </w:r>
      <w:r>
        <w:rPr>
          <w:rtl/>
        </w:rPr>
        <w:t>וכצריכותא דהגמ' בקידושין.</w:t>
      </w:r>
    </w:p>
  </w:footnote>
  <w:footnote w:id="4272">
    <w:p w14:paraId="1006A564" w14:textId="77777777" w:rsidR="00F64AED" w:rsidRDefault="00F64AED" w:rsidP="00F64AED">
      <w:pPr>
        <w:pStyle w:val="Footnote"/>
        <w:bidi/>
      </w:pPr>
      <w:r>
        <w:rPr>
          <w:rStyle w:val="ac"/>
          <w:rtl/>
        </w:rPr>
        <w:footnoteRef/>
      </w:r>
      <w:r>
        <w:rPr>
          <w:rtl/>
        </w:rPr>
        <w:t>וצ"ע דבגמ' (שם) משמע דמותר בממזרת מדין ספק ממזר.</w:t>
      </w:r>
    </w:p>
  </w:footnote>
  <w:footnote w:id="4273">
    <w:p w14:paraId="6A03B9AE" w14:textId="77777777" w:rsidR="00F64AED" w:rsidRDefault="00F64AED" w:rsidP="00F64AED">
      <w:pPr>
        <w:pStyle w:val="Footnote"/>
        <w:bidi/>
      </w:pPr>
      <w:r>
        <w:rPr>
          <w:rStyle w:val="ac"/>
          <w:rtl/>
        </w:rPr>
        <w:footnoteRef/>
      </w:r>
      <w:r>
        <w:rPr>
          <w:rtl/>
        </w:rPr>
        <w:t>ה</w:t>
      </w:r>
      <w:r>
        <w:rPr>
          <w:b/>
          <w:bCs/>
          <w:rtl/>
        </w:rPr>
        <w:t>ריטב"א</w:t>
      </w:r>
      <w:r>
        <w:rPr>
          <w:rtl/>
        </w:rPr>
        <w:t xml:space="preserve"> כתב דהכא להאי היתירא לאו דוקא, דארוסתו אסורה מדרבנן קודם חופה.</w:t>
      </w:r>
    </w:p>
  </w:footnote>
  <w:footnote w:id="4274">
    <w:p w14:paraId="2BF72593" w14:textId="77777777" w:rsidR="00F64AED" w:rsidRDefault="00F64AED" w:rsidP="00F64AED">
      <w:pPr>
        <w:pStyle w:val="Footnote"/>
        <w:bidi/>
      </w:pPr>
      <w:r>
        <w:rPr>
          <w:rStyle w:val="ac"/>
          <w:rtl/>
        </w:rPr>
        <w:footnoteRef/>
      </w:r>
      <w:r>
        <w:rPr>
          <w:rtl/>
        </w:rPr>
        <w:t>והביא מכאן דפנויה אינה אסורה מדאורייתא מלא תהיה קדישה [ודלא כמ"ש התרגום דקאי בשפחה. ואכ"מ].</w:t>
      </w:r>
    </w:p>
  </w:footnote>
  <w:footnote w:id="4275">
    <w:p w14:paraId="43693851" w14:textId="77777777" w:rsidR="00F64AED" w:rsidRDefault="00F64AED" w:rsidP="00F64AED">
      <w:pPr>
        <w:pStyle w:val="Footnote"/>
        <w:bidi/>
      </w:pPr>
      <w:r>
        <w:rPr>
          <w:rStyle w:val="ac"/>
          <w:rtl/>
        </w:rPr>
        <w:footnoteRef/>
      </w:r>
      <w:r>
        <w:rPr>
          <w:rtl/>
        </w:rPr>
        <w:t>דכל אשה שעושה מעשה פריצות לא אמרי' דמסתמא הוה זונה, אלא מוקמי' אחזקת כשרות לשאר מילי.</w:t>
      </w:r>
    </w:p>
  </w:footnote>
  <w:footnote w:id="4276">
    <w:p w14:paraId="36A252F1" w14:textId="77777777" w:rsidR="00F64AED" w:rsidRDefault="00F64AED" w:rsidP="00F64AED">
      <w:pPr>
        <w:pStyle w:val="Footnote"/>
        <w:bidi/>
      </w:pPr>
      <w:r>
        <w:rPr>
          <w:rStyle w:val="ac"/>
          <w:rtl/>
        </w:rPr>
        <w:footnoteRef/>
      </w:r>
      <w:r>
        <w:rPr>
          <w:rtl/>
        </w:rPr>
        <w:t>[ואף שאינה אשתו ע"פ דין, מ"מ הך סברא קיימת]. וב</w:t>
      </w:r>
      <w:r>
        <w:rPr>
          <w:b/>
          <w:bCs/>
          <w:rtl/>
        </w:rPr>
        <w:t>שו"ת הרא"ש</w:t>
      </w:r>
      <w:r>
        <w:rPr>
          <w:rtl/>
        </w:rPr>
        <w:t xml:space="preserve"> (פב א, הו' ברמ"א קנו ט) כת' דבמיוחדת בביתו לא אמרי' מדאפקריה. {אבל ה</w:t>
      </w:r>
      <w:r>
        <w:rPr>
          <w:b/>
          <w:bCs/>
          <w:rtl/>
        </w:rPr>
        <w:t>פנים יפות</w:t>
      </w:r>
      <w:r>
        <w:rPr>
          <w:rtl/>
        </w:rPr>
        <w:t xml:space="preserve"> (לבעל ההפלאה, ויקרא יח ט) כתב דכשאסורה עליו מחייבי כריתות, אף דמיוחדת לו, לא אמרי' רוב בעילות אחר הבעל. וביאר דדוקא בבעלה חז"ל קבעו דרוב הנבעלות מבעליהן, דהא לא חילקה תורה אפי' באופן שנתייחדה לבעלה רק פעם א'. ומש"ה במי שאינה בעלה, וכ"ש היכא דהוה חייבי כריתות אדרבה לדידיה איסור כרת ואיכא למיתלי טפי באחריני}.</w:t>
      </w:r>
    </w:p>
  </w:footnote>
  <w:footnote w:id="4277">
    <w:p w14:paraId="0C54C763" w14:textId="77777777" w:rsidR="00F64AED" w:rsidRDefault="00F64AED" w:rsidP="00F64AED">
      <w:pPr>
        <w:pStyle w:val="Footnote"/>
        <w:bidi/>
      </w:pPr>
      <w:r>
        <w:rPr>
          <w:rStyle w:val="ac"/>
          <w:rtl/>
        </w:rPr>
        <w:footnoteRef/>
      </w:r>
      <w:r>
        <w:rPr>
          <w:rtl/>
        </w:rPr>
        <w:t>וה</w:t>
      </w:r>
      <w:r>
        <w:rPr>
          <w:b/>
          <w:bCs/>
          <w:rtl/>
        </w:rPr>
        <w:t>ש"ש</w:t>
      </w:r>
      <w:r>
        <w:rPr>
          <w:rtl/>
        </w:rPr>
        <w:t xml:space="preserve"> (ב כ) ביאר דלענין 'יכיר' סגי שסומך דעתו ומאמין לדבריה. והוא סבור שלא הפקירה עצמה. ועי"ז נחשב שיודע ומגיד בעצמו.</w:t>
      </w:r>
    </w:p>
  </w:footnote>
  <w:footnote w:id="4278">
    <w:p w14:paraId="2B71E0A8" w14:textId="77777777" w:rsidR="00F64AED" w:rsidRDefault="00F64AED" w:rsidP="00F64AED">
      <w:pPr>
        <w:pStyle w:val="Footnote"/>
        <w:bidi/>
      </w:pPr>
      <w:r>
        <w:rPr>
          <w:rStyle w:val="ac"/>
          <w:rtl/>
        </w:rPr>
        <w:footnoteRef/>
      </w:r>
      <w:r>
        <w:rPr>
          <w:rtl/>
        </w:rPr>
        <w:t>וה</w:t>
      </w:r>
      <w:r>
        <w:rPr>
          <w:b/>
          <w:bCs/>
          <w:rtl/>
        </w:rPr>
        <w:t>מרדכי</w:t>
      </w:r>
      <w:r>
        <w:rPr>
          <w:rtl/>
        </w:rPr>
        <w:t xml:space="preserve"> (יב) כתב דלפ”ז צ”ל מתני' (לעיל כב.) דיש לו בן מכל מקום איירי בשניהם חבושים בבית האסורין. [ועויל"ד היכא דבא עליה רוב בעילות]. עי"ש </w:t>
      </w:r>
      <w:r>
        <w:rPr>
          <w:b/>
          <w:bCs/>
          <w:rtl/>
        </w:rPr>
        <w:t>רע"א</w:t>
      </w:r>
      <w:r>
        <w:rPr>
          <w:rtl/>
        </w:rPr>
        <w:t>.</w:t>
      </w:r>
    </w:p>
  </w:footnote>
  <w:footnote w:id="4279">
    <w:p w14:paraId="4AC44FA4" w14:textId="77777777" w:rsidR="00F64AED" w:rsidRDefault="00F64AED" w:rsidP="00F64AED">
      <w:pPr>
        <w:pStyle w:val="Footnote"/>
        <w:bidi/>
      </w:pPr>
      <w:r>
        <w:rPr>
          <w:rStyle w:val="ac"/>
          <w:rtl/>
        </w:rPr>
        <w:footnoteRef/>
      </w:r>
      <w:r>
        <w:rPr>
          <w:rtl/>
        </w:rPr>
        <w:t>ונאמן אפי' בבנו שמוחזק בכשרות גמור, וכ"ש בזה דאתרע ליה.</w:t>
      </w:r>
    </w:p>
  </w:footnote>
  <w:footnote w:id="4280">
    <w:p w14:paraId="683032C6" w14:textId="77777777" w:rsidR="00F64AED" w:rsidRDefault="00F64AED" w:rsidP="00F64AED">
      <w:pPr>
        <w:pStyle w:val="Footnote"/>
        <w:bidi/>
      </w:pPr>
      <w:r>
        <w:rPr>
          <w:rStyle w:val="ac"/>
          <w:rtl/>
        </w:rPr>
        <w:footnoteRef/>
      </w:r>
      <w:r>
        <w:rPr>
          <w:rtl/>
        </w:rPr>
        <w:t>והוסיף וכ"ש היכא דטוענת שהיתה מזידה. דאינה נאמנת על עצמה [דאין אדם משים עצמו רשע, וע' מש"כ לעיל כה: ומז.].</w:t>
      </w:r>
    </w:p>
  </w:footnote>
  <w:footnote w:id="4281">
    <w:p w14:paraId="1C18BADC" w14:textId="77777777" w:rsidR="00F64AED" w:rsidRDefault="00F64AED" w:rsidP="00F64AED">
      <w:pPr>
        <w:pStyle w:val="Footnote"/>
        <w:bidi/>
      </w:pPr>
      <w:r>
        <w:rPr>
          <w:rStyle w:val="ac"/>
          <w:rtl/>
        </w:rPr>
        <w:footnoteRef/>
      </w:r>
      <w:r>
        <w:rPr>
          <w:rtl/>
        </w:rPr>
        <w:t>ותוס' נקטו דקו' זו שייכת אף אהא שהוא בנו, והא דאיצטריך ילפותא שבנו ממזר פוטר מהיבום, היינו לאפוקי דלא נילף אחוה מבני יעקב.</w:t>
      </w:r>
    </w:p>
  </w:footnote>
  <w:footnote w:id="4282">
    <w:p w14:paraId="7BC55718" w14:textId="77777777" w:rsidR="00F64AED" w:rsidRDefault="00F64AED" w:rsidP="00F64AED">
      <w:pPr>
        <w:pStyle w:val="Footnote"/>
        <w:bidi/>
      </w:pPr>
      <w:r>
        <w:rPr>
          <w:rStyle w:val="ac"/>
          <w:rtl/>
        </w:rPr>
        <w:footnoteRef/>
      </w:r>
      <w:r>
        <w:rPr>
          <w:rtl/>
        </w:rPr>
        <w:t>דאיצטריך לאפוקי דלא נילף אחוה מבני יעקב (וכמ"ש תוס' לעיל כב: ושם קטו.).</w:t>
      </w:r>
    </w:p>
  </w:footnote>
  <w:footnote w:id="4283">
    <w:p w14:paraId="5CAB375E" w14:textId="77777777" w:rsidR="00F64AED" w:rsidRDefault="00F64AED" w:rsidP="00F64AED">
      <w:pPr>
        <w:pStyle w:val="Footnote"/>
        <w:bidi/>
      </w:pPr>
      <w:r>
        <w:rPr>
          <w:rStyle w:val="ac"/>
          <w:rtl/>
        </w:rPr>
        <w:footnoteRef/>
      </w:r>
      <w:r>
        <w:rPr>
          <w:rtl/>
        </w:rPr>
        <w:t>וכדתנן (לעיל כב.) דבנו הוא לכל דבר. וב</w:t>
      </w:r>
      <w:r>
        <w:rPr>
          <w:b/>
          <w:bCs/>
          <w:rtl/>
        </w:rPr>
        <w:t>ירושלמי</w:t>
      </w:r>
      <w:r>
        <w:rPr>
          <w:rtl/>
        </w:rPr>
        <w:t xml:space="preserve"> (שם, הו' ברמב"ן ושאר ראשונים שם) איתא דאף לענין פר"ו. וה</w:t>
      </w:r>
      <w:r>
        <w:rPr>
          <w:b/>
          <w:bCs/>
          <w:rtl/>
        </w:rPr>
        <w:t>ראשונים</w:t>
      </w:r>
      <w:r>
        <w:rPr>
          <w:rtl/>
        </w:rPr>
        <w:t xml:space="preserve"> הביאו כן מהירושלמי בניחותא, אבל הרדב"ז הביא דגרסי' בירושלמי דהוה ספק. [עע"ש].</w:t>
      </w:r>
    </w:p>
    <w:p w14:paraId="2F77F089" w14:textId="77777777" w:rsidR="00F64AED" w:rsidRDefault="00F64AED" w:rsidP="00F64AED">
      <w:pPr>
        <w:pStyle w:val="Footnote"/>
        <w:bidi/>
      </w:pPr>
      <w:r>
        <w:rPr>
          <w:rtl/>
        </w:rPr>
        <w:tab/>
        <w:t>וב</w:t>
      </w:r>
      <w:r>
        <w:rPr>
          <w:b/>
          <w:bCs/>
          <w:rtl/>
        </w:rPr>
        <w:t>ס' חסידים</w:t>
      </w:r>
      <w:r>
        <w:rPr>
          <w:rtl/>
        </w:rPr>
        <w:t xml:space="preserve"> (תק) כת' דלא יצא יד"ח בממזר, דממזר לא חיי. וה</w:t>
      </w:r>
      <w:r>
        <w:rPr>
          <w:b/>
          <w:bCs/>
          <w:rtl/>
        </w:rPr>
        <w:t>בי"ש</w:t>
      </w:r>
      <w:r>
        <w:rPr>
          <w:rtl/>
        </w:rPr>
        <w:t xml:space="preserve"> (א יא) כת' דה"מ בממזר דלא ידיע (כדלקמן עח:), והרמ"א איירי בממזר ידוע.</w:t>
      </w:r>
    </w:p>
  </w:footnote>
  <w:footnote w:id="4284">
    <w:p w14:paraId="27537404" w14:textId="77777777" w:rsidR="00F64AED" w:rsidRDefault="00F64AED" w:rsidP="00F64AED">
      <w:pPr>
        <w:pStyle w:val="Footnote"/>
        <w:bidi/>
      </w:pPr>
      <w:r>
        <w:rPr>
          <w:rStyle w:val="ac"/>
          <w:rtl/>
        </w:rPr>
        <w:footnoteRef/>
      </w:r>
      <w:r>
        <w:rPr>
          <w:rtl/>
        </w:rPr>
        <w:t>ועד"ז יל"ד בהא דבני בנים כבנים לענין פריה ורביה (לעיל סב:). [ואפ"ה מהני רק בן במקום בת, ולא להשלים].</w:t>
      </w:r>
    </w:p>
  </w:footnote>
  <w:footnote w:id="4285">
    <w:p w14:paraId="4796726D" w14:textId="77777777" w:rsidR="00F64AED" w:rsidRDefault="00F64AED" w:rsidP="00F64AED">
      <w:pPr>
        <w:pStyle w:val="Footnote"/>
        <w:bidi/>
      </w:pPr>
      <w:r>
        <w:rPr>
          <w:rStyle w:val="ac"/>
          <w:rtl/>
        </w:rPr>
        <w:footnoteRef/>
      </w:r>
      <w:r>
        <w:rPr>
          <w:rtl/>
        </w:rPr>
        <w:t>ונפק"מ לראשונים (הו' לעיל) דבן שאינו אוכל אינו מאכיל, ודוקא בבן הבן אמרי' שמאכיל.</w:t>
      </w:r>
    </w:p>
  </w:footnote>
  <w:footnote w:id="4286">
    <w:p w14:paraId="71B0A98B" w14:textId="77777777" w:rsidR="00F64AED" w:rsidRDefault="00F64AED" w:rsidP="00F64AED">
      <w:pPr>
        <w:pStyle w:val="Footnote"/>
        <w:bidi/>
      </w:pPr>
      <w:r>
        <w:rPr>
          <w:rStyle w:val="ac"/>
          <w:rtl/>
        </w:rPr>
        <w:footnoteRef/>
      </w:r>
      <w:r>
        <w:rPr>
          <w:rtl/>
        </w:rPr>
        <w:t>ובפשוטו היינו ר' עקיבא דלאו דשאר. [וע' מש”כ בזה לעיל מה: די"ל דאף ר"ע דחיי"ל דשאר מ”מ ילפי' טפי מאשת אב, ולא בעינן שיהא דומה כ"כ. ויל"פ דזה כוונת התוס' טז:, ולפ"ז יל"פ דזה כוונת הגמ' כאן].</w:t>
      </w:r>
    </w:p>
  </w:footnote>
  <w:footnote w:id="4287">
    <w:p w14:paraId="2165338E" w14:textId="77777777" w:rsidR="00F64AED" w:rsidRDefault="00F64AED" w:rsidP="00F64AED">
      <w:pPr>
        <w:pStyle w:val="Footnote"/>
        <w:bidi/>
      </w:pPr>
      <w:r>
        <w:rPr>
          <w:rStyle w:val="ac"/>
          <w:rtl/>
        </w:rPr>
        <w:footnoteRef/>
      </w:r>
      <w:r>
        <w:rPr>
          <w:rtl/>
        </w:rPr>
        <w:t>ומש"ה נחשב (לקמן עא.) ליבו לשמים [דהוה כמומר לתאבון, ולא להכעיס]. אך ה</w:t>
      </w:r>
      <w:r>
        <w:rPr>
          <w:b/>
          <w:bCs/>
          <w:rtl/>
        </w:rPr>
        <w:t>קר"א</w:t>
      </w:r>
      <w:r>
        <w:rPr>
          <w:rtl/>
        </w:rPr>
        <w:t xml:space="preserve"> הק' דבגמ' (חולין ד:) משמע דיש רק ב' אופנים של ערל, מתו אחיו מחמת מילה, ומומר לערלות. (ע' ראש יוסף שם).</w:t>
      </w:r>
    </w:p>
  </w:footnote>
  <w:footnote w:id="4288">
    <w:p w14:paraId="4277A461" w14:textId="77777777" w:rsidR="00F64AED" w:rsidRDefault="00F64AED" w:rsidP="00F64AED">
      <w:pPr>
        <w:pStyle w:val="Footnote"/>
        <w:bidi/>
      </w:pPr>
      <w:r>
        <w:rPr>
          <w:rStyle w:val="ac"/>
          <w:rtl/>
        </w:rPr>
        <w:footnoteRef/>
      </w:r>
      <w:r>
        <w:rPr>
          <w:rtl/>
        </w:rPr>
        <w:t>ועוד קמ"ל דמשכח"ל דרך היתר.</w:t>
      </w:r>
    </w:p>
  </w:footnote>
  <w:footnote w:id="4289">
    <w:p w14:paraId="02E9F642" w14:textId="77777777" w:rsidR="00F64AED" w:rsidRDefault="00F64AED" w:rsidP="00F64AED">
      <w:pPr>
        <w:pStyle w:val="Footnote"/>
        <w:bidi/>
      </w:pPr>
      <w:r>
        <w:rPr>
          <w:rStyle w:val="ac"/>
          <w:rtl/>
        </w:rPr>
        <w:footnoteRef/>
      </w:r>
      <w:r>
        <w:rPr>
          <w:rtl/>
        </w:rPr>
        <w:t>ולדעת הרשב”א (עא.) אף לתרומה.</w:t>
      </w:r>
    </w:p>
  </w:footnote>
  <w:footnote w:id="4290">
    <w:p w14:paraId="6498ED5C" w14:textId="77777777" w:rsidR="00F64AED" w:rsidRDefault="00F64AED" w:rsidP="00F64AED">
      <w:pPr>
        <w:pStyle w:val="Footnote"/>
        <w:bidi/>
      </w:pPr>
      <w:r>
        <w:rPr>
          <w:rStyle w:val="ac"/>
          <w:rtl/>
        </w:rPr>
        <w:footnoteRef/>
      </w:r>
      <w:r>
        <w:rPr>
          <w:rtl/>
        </w:rPr>
        <w:t xml:space="preserve">ולכאו' פשוט דמאכילים תרומה לבהמתו של כהן ערל, וכמו עבדיו. [ואף דתוס' לעיל סו: כת' הטעם דאין מאכילים לבהמת כהן משום הנאת כילוי]. ויש לדחות דעבד כהן נתחדש דנחשב גדר אכילת כהן [וע”ע לעיל סו. בהקדמה].  </w:t>
      </w:r>
    </w:p>
  </w:footnote>
  <w:footnote w:id="4291">
    <w:p w14:paraId="59D6C2C8" w14:textId="77777777" w:rsidR="00F64AED" w:rsidRDefault="00F64AED" w:rsidP="00F64AED">
      <w:pPr>
        <w:pStyle w:val="Footnote"/>
        <w:bidi/>
      </w:pPr>
      <w:r>
        <w:rPr>
          <w:rStyle w:val="ac"/>
          <w:rtl/>
        </w:rPr>
        <w:footnoteRef/>
      </w:r>
      <w:r>
        <w:rPr>
          <w:rtl/>
        </w:rPr>
        <w:t>וביארו הא דאסור לסוך קטן ערל משום הנאת כילוי.</w:t>
      </w:r>
    </w:p>
  </w:footnote>
  <w:footnote w:id="4292">
    <w:p w14:paraId="1EFB53C4" w14:textId="77777777" w:rsidR="00F64AED" w:rsidRDefault="00F64AED" w:rsidP="00F64AED">
      <w:pPr>
        <w:pStyle w:val="Footnote"/>
        <w:bidi/>
      </w:pPr>
      <w:r>
        <w:rPr>
          <w:rStyle w:val="ac"/>
          <w:rtl/>
        </w:rPr>
        <w:footnoteRef/>
      </w:r>
      <w:r>
        <w:rPr>
          <w:rtl/>
        </w:rPr>
        <w:t>וה</w:t>
      </w:r>
      <w:r>
        <w:rPr>
          <w:b/>
          <w:bCs/>
          <w:rtl/>
        </w:rPr>
        <w:t>בעה"מ</w:t>
      </w:r>
      <w:r>
        <w:rPr>
          <w:rtl/>
        </w:rPr>
        <w:t xml:space="preserve"> הוכיח עוד מהגמ' (לקמן ק.) דמתו אחיו מחמת מילה אינו אוכל בתרומה. ולכאו' כוונתו דאי' (ק.) ד</w:t>
      </w:r>
      <w:r>
        <w:rPr>
          <w:rtl/>
          <w:lang w:val="he-IL"/>
        </w:rPr>
        <w:t>ערל משגרין לט תרומה לביתו, דהא אניס, ונפיש אונסיה. ופ</w:t>
      </w:r>
      <w:r>
        <w:rPr>
          <w:b/>
          <w:bCs/>
          <w:rtl/>
          <w:lang w:val="he-IL"/>
        </w:rPr>
        <w:t>רש"י</w:t>
      </w:r>
      <w:r>
        <w:rPr>
          <w:rtl/>
          <w:lang w:val="he-IL"/>
        </w:rPr>
        <w:t xml:space="preserve"> שמתו אחיו מחמת מילה</w:t>
      </w:r>
      <w:r>
        <w:rPr>
          <w:rFonts w:cs="Times New Roman"/>
          <w:rtl/>
          <w:lang w:val="he-IL"/>
        </w:rPr>
        <w:t xml:space="preserve">.  </w:t>
      </w:r>
    </w:p>
  </w:footnote>
  <w:footnote w:id="4293">
    <w:p w14:paraId="2AC94944" w14:textId="77777777" w:rsidR="00F64AED" w:rsidRDefault="00F64AED" w:rsidP="00F64AED">
      <w:pPr>
        <w:pStyle w:val="Footnote"/>
        <w:bidi/>
      </w:pPr>
      <w:r>
        <w:rPr>
          <w:rStyle w:val="ac"/>
          <w:rtl/>
        </w:rPr>
        <w:footnoteRef/>
      </w:r>
      <w:r>
        <w:rPr>
          <w:rtl/>
        </w:rPr>
        <w:t>וה</w:t>
      </w:r>
      <w:r>
        <w:rPr>
          <w:b/>
          <w:bCs/>
          <w:rtl/>
        </w:rPr>
        <w:t xml:space="preserve">גרי"ז </w:t>
      </w:r>
      <w:r>
        <w:rPr>
          <w:rtl/>
        </w:rPr>
        <w:t>פי' דאברהם לא מל לפני שנצטווה, ואף דקיים כל התורה, דקודם שנצטווה לא היה חפצא של ערלות.</w:t>
      </w:r>
    </w:p>
  </w:footnote>
  <w:footnote w:id="4294">
    <w:p w14:paraId="070C7EFD" w14:textId="77777777" w:rsidR="00F64AED" w:rsidRDefault="00F64AED" w:rsidP="00F64AED">
      <w:pPr>
        <w:pStyle w:val="Footnote"/>
        <w:bidi/>
      </w:pPr>
      <w:r>
        <w:rPr>
          <w:rStyle w:val="ac"/>
          <w:rtl/>
        </w:rPr>
        <w:footnoteRef/>
      </w:r>
      <w:r>
        <w:rPr>
          <w:rtl/>
        </w:rPr>
        <w:t>דאל"כ אף מומר לערלות, ואח"כ הזקין ונעשה סכנה למולו, נימא דמעכשיו מותר בתרומה. ולא מסתבר כלל. ועוד בכל לילה אסור למול, ונימא שיהא מותר בתרומה בלילה. [ויש שחילקו דדוקא היכא דהוא מרצונו היה מל שייך גדר אנוס. אבל היכא דהוא מומר לערלות, אף דהוה ג"כ אנוס ל"מ].</w:t>
      </w:r>
    </w:p>
  </w:footnote>
  <w:footnote w:id="4295">
    <w:p w14:paraId="057055C1" w14:textId="77777777" w:rsidR="00F64AED" w:rsidRDefault="00F64AED" w:rsidP="00F64AED">
      <w:pPr>
        <w:pStyle w:val="Footnote"/>
        <w:bidi/>
      </w:pPr>
      <w:r>
        <w:rPr>
          <w:rStyle w:val="ac"/>
          <w:rtl/>
        </w:rPr>
        <w:footnoteRef/>
      </w:r>
      <w:r>
        <w:rPr>
          <w:rtl/>
        </w:rPr>
        <w:t xml:space="preserve">והקשה מ"ש ממש"כ </w:t>
      </w:r>
      <w:r>
        <w:rPr>
          <w:b/>
          <w:bCs/>
          <w:rtl/>
        </w:rPr>
        <w:t>ריב"א</w:t>
      </w:r>
      <w:r>
        <w:rPr>
          <w:rtl/>
        </w:rPr>
        <w:t xml:space="preserve"> (בתוס' חולין קמא) דאין עדל"ת ועשה, מ"מ לא עבר אלאו, דהלא תעשה נדחה. וע"כ דמילה בפיקו"נ הוה פטור גמור, וכמ"ש ר"ת.  </w:t>
      </w:r>
    </w:p>
  </w:footnote>
  <w:footnote w:id="4296">
    <w:p w14:paraId="4196762D" w14:textId="77777777" w:rsidR="00F64AED" w:rsidRDefault="00F64AED" w:rsidP="00F64AED">
      <w:pPr>
        <w:pStyle w:val="Footnote"/>
        <w:bidi/>
      </w:pPr>
      <w:r>
        <w:rPr>
          <w:rStyle w:val="ac"/>
          <w:rtl/>
        </w:rPr>
        <w:footnoteRef/>
      </w:r>
      <w:r>
        <w:rPr>
          <w:rtl/>
        </w:rPr>
        <w:t>ומשמע דכוונתו דבאמת אינו מחוייב [כדמוכח מהא דמילת בניו אינה מעכבת כה”ג, ע' בסמוך], ואף דהוה רשות מעכב.</w:t>
      </w:r>
    </w:p>
  </w:footnote>
  <w:footnote w:id="4297">
    <w:p w14:paraId="44406481" w14:textId="77777777" w:rsidR="00F64AED" w:rsidRDefault="00F64AED" w:rsidP="00F64AED">
      <w:pPr>
        <w:pStyle w:val="Footnote"/>
        <w:bidi/>
      </w:pPr>
      <w:r>
        <w:rPr>
          <w:rStyle w:val="ac"/>
          <w:rtl/>
        </w:rPr>
        <w:footnoteRef/>
      </w:r>
      <w:r>
        <w:rPr>
          <w:rtl/>
        </w:rPr>
        <w:t>[ותוס' הביאו מהגמ' בחגיגה, וקצת משמע כוונתם להוכיח דמשום מצוות ראייה אינו חייב לקרוע. וע"ע תוס' מהר"ם ור"פ].</w:t>
      </w:r>
    </w:p>
    <w:p w14:paraId="755C7FA1" w14:textId="77777777" w:rsidR="00F64AED" w:rsidRDefault="00F64AED" w:rsidP="00F64AED">
      <w:pPr>
        <w:pStyle w:val="Footnote"/>
        <w:bidi/>
      </w:pPr>
      <w:r>
        <w:rPr>
          <w:rtl/>
        </w:rPr>
        <w:tab/>
        <w:t>וה</w:t>
      </w:r>
      <w:r>
        <w:rPr>
          <w:b/>
          <w:bCs/>
          <w:rtl/>
        </w:rPr>
        <w:t>ערול"נ</w:t>
      </w:r>
      <w:r>
        <w:rPr>
          <w:rtl/>
        </w:rPr>
        <w:t xml:space="preserve"> דן דיש לחלק דהיכא שביציו מבחוץ [וידוע שהוא זכר וערל] יתחייב לקרוע. ואילו בגמ' (עא: דיש לו בשעת אכילה ואין לו בשעת עשייה) י"ל דאיירי כשאינו ידוע האם הוא זכר. ומספיקא ודאי אינו מחוייב מן התורה לקרוע ולמול. ועוד כת' די"ל דאיירי שיש סכנה לקרוע.</w:t>
      </w:r>
    </w:p>
  </w:footnote>
  <w:footnote w:id="4298">
    <w:p w14:paraId="78992A5D" w14:textId="77777777" w:rsidR="00F64AED" w:rsidRDefault="00F64AED" w:rsidP="00F64AED">
      <w:pPr>
        <w:pStyle w:val="Footnote"/>
        <w:bidi/>
      </w:pPr>
      <w:r>
        <w:rPr>
          <w:rStyle w:val="ac"/>
          <w:rtl/>
        </w:rPr>
        <w:footnoteRef/>
      </w:r>
      <w:r>
        <w:rPr>
          <w:rtl/>
        </w:rPr>
        <w:t>ואף דכל מצוות מילה הוה חבלה, התם זהו מצוות התורה. אבל אינו מחוייב בשאר חבלה למצווה זו.</w:t>
      </w:r>
    </w:p>
  </w:footnote>
  <w:footnote w:id="4299">
    <w:p w14:paraId="26FB1AC3" w14:textId="77777777" w:rsidR="00F64AED" w:rsidRDefault="00F64AED" w:rsidP="00F64AED">
      <w:pPr>
        <w:pStyle w:val="Footnote"/>
        <w:bidi/>
      </w:pPr>
      <w:r>
        <w:rPr>
          <w:rStyle w:val="ac"/>
          <w:rtl/>
        </w:rPr>
        <w:footnoteRef/>
      </w:r>
      <w:r>
        <w:rPr>
          <w:rtl/>
        </w:rPr>
        <w:t>לרש"י קרא קאי בעבד עברי, ואף שיש לו בו קנין (ע' בסמוך) הכהן אינו מאכילו בתרומה, דאין גופו קנוי (וכגמ' בע"ב).</w:t>
      </w:r>
    </w:p>
    <w:p w14:paraId="0A3E70C0" w14:textId="77777777" w:rsidR="00F64AED" w:rsidRDefault="00F64AED" w:rsidP="00F64AED">
      <w:pPr>
        <w:pStyle w:val="Footnote"/>
        <w:bidi/>
      </w:pPr>
      <w:r>
        <w:rPr>
          <w:rtl/>
        </w:rPr>
        <w:tab/>
        <w:t>וה</w:t>
      </w:r>
      <w:r>
        <w:rPr>
          <w:b/>
          <w:bCs/>
          <w:rtl/>
        </w:rPr>
        <w:t>רמב"ם</w:t>
      </w:r>
      <w:r>
        <w:rPr>
          <w:rtl/>
        </w:rPr>
        <w:t xml:space="preserve"> (תרומות ו ה) כת' תושב זה שכיר עולם, שכיר זה שכיר שנים, ועבד עברי הרי הוא כתושב ושכיר. משמע דתושב ושכיר הוא שכיר בעלמא, והרמב"ם קמ"ל דה"ה עבד עברי. [ע"ע רדב"ז, וכן דייק מהר”י קורקוס, אך הק' מהגמ' קידושין ד. וזבחים פב:]. והכס"מ נדחק דאף הרמב"ם קאי בעבד עברי שמכרוהו בי"ד, והרמב"ם הוסיף דאף מוכר עצמו בעבד עברי הוא כתושב ושכיר.</w:t>
      </w:r>
    </w:p>
    <w:p w14:paraId="18783B49" w14:textId="77777777" w:rsidR="00F64AED" w:rsidRDefault="00F64AED" w:rsidP="00F64AED">
      <w:pPr>
        <w:pStyle w:val="Footnote"/>
        <w:bidi/>
      </w:pPr>
      <w:r>
        <w:rPr>
          <w:rtl/>
        </w:rPr>
        <w:tab/>
        <w:t>והמנח"ח (רפ) הק' דאין חילוק בין עבד עברי שמכרוהו בי"ד או מוכר את עצמו. אך שוב הביא (קידושין יד:) דדוקא מכרוהו בי"ד רבו מוסר לו שפחה, וברמב"ן וריטב"א (שם טז.) מבואר ד'קנין הגוף' דעבד עברי הוא משום שהותר בשפחה. א"כ מוכר עצמו ליכא קנין הגוף.</w:t>
      </w:r>
    </w:p>
  </w:footnote>
  <w:footnote w:id="4300">
    <w:p w14:paraId="57872893" w14:textId="77777777" w:rsidR="00F64AED" w:rsidRDefault="00F64AED" w:rsidP="00F64AED">
      <w:pPr>
        <w:pStyle w:val="Footnote"/>
        <w:bidi/>
      </w:pPr>
      <w:r>
        <w:rPr>
          <w:rStyle w:val="ac"/>
          <w:rtl/>
        </w:rPr>
        <w:footnoteRef/>
      </w:r>
      <w:r>
        <w:rPr>
          <w:rtl/>
        </w:rPr>
        <w:t>וה</w:t>
      </w:r>
      <w:r>
        <w:rPr>
          <w:b/>
          <w:bCs/>
          <w:rtl/>
        </w:rPr>
        <w:t>קוב"ש</w:t>
      </w:r>
      <w:r>
        <w:rPr>
          <w:rtl/>
        </w:rPr>
        <w:t xml:space="preserve"> (קוב"ב גיטין מו עמ' מא) דדן דיובל נחשב קנין לעולם, ויש דבר המתירו, משא"כ קנין לו' דהוה קנין לזמן.</w:t>
      </w:r>
    </w:p>
  </w:footnote>
  <w:footnote w:id="4301">
    <w:p w14:paraId="772C6D0F" w14:textId="77777777" w:rsidR="00F64AED" w:rsidRDefault="00F64AED" w:rsidP="00F64AED">
      <w:pPr>
        <w:pStyle w:val="Footnote"/>
        <w:bidi/>
      </w:pPr>
      <w:r>
        <w:rPr>
          <w:rStyle w:val="ac"/>
          <w:rtl/>
        </w:rPr>
        <w:footnoteRef/>
      </w:r>
      <w:r>
        <w:rPr>
          <w:rtl/>
        </w:rPr>
        <w:t>אמנם הרמב"ם (סה"מ קלד, וס' החינוך רפא) מנאו בפנ"ע במנין המצוות.</w:t>
      </w:r>
    </w:p>
  </w:footnote>
  <w:footnote w:id="4302">
    <w:p w14:paraId="7E60DA99" w14:textId="77777777" w:rsidR="00F64AED" w:rsidRDefault="00F64AED" w:rsidP="00F64AED">
      <w:pPr>
        <w:pStyle w:val="Footnote"/>
        <w:bidi/>
      </w:pPr>
      <w:r>
        <w:rPr>
          <w:rStyle w:val="ac"/>
          <w:rtl/>
        </w:rPr>
        <w:footnoteRef/>
      </w:r>
      <w:r>
        <w:rPr>
          <w:rtl/>
        </w:rPr>
        <w:t>ואף דהזהירה תורה דתושב כהן לא יאכל, הוה לאו בפנ"ע. ואינו גילוי להיפך.</w:t>
      </w:r>
    </w:p>
  </w:footnote>
  <w:footnote w:id="4303">
    <w:p w14:paraId="64AF0D0D" w14:textId="77777777" w:rsidR="00F64AED" w:rsidRDefault="00F64AED" w:rsidP="00F64AED">
      <w:pPr>
        <w:pStyle w:val="Footnote"/>
        <w:bidi/>
      </w:pPr>
      <w:r>
        <w:rPr>
          <w:rStyle w:val="ac"/>
          <w:rtl/>
        </w:rPr>
        <w:footnoteRef/>
      </w:r>
      <w:r>
        <w:rPr>
          <w:rtl/>
        </w:rPr>
        <w:t>ואף דאינו אוכל בתרומה [כמו אליבא דרבנן, דהא רבנן ל"ל הך דרשא].</w:t>
      </w:r>
    </w:p>
  </w:footnote>
  <w:footnote w:id="4304">
    <w:p w14:paraId="2A949419" w14:textId="77777777" w:rsidR="00F64AED" w:rsidRDefault="00F64AED" w:rsidP="00F64AED">
      <w:pPr>
        <w:pStyle w:val="Footnote"/>
        <w:bidi/>
      </w:pPr>
      <w:r>
        <w:rPr>
          <w:rStyle w:val="ac"/>
          <w:rtl/>
        </w:rPr>
        <w:footnoteRef/>
      </w:r>
      <w:r>
        <w:rPr>
          <w:rtl/>
        </w:rPr>
        <w:t xml:space="preserve">וכ"כ </w:t>
      </w:r>
      <w:r>
        <w:rPr>
          <w:b/>
          <w:bCs/>
          <w:rtl/>
        </w:rPr>
        <w:t>רש"י</w:t>
      </w:r>
      <w:r>
        <w:rPr>
          <w:rtl/>
        </w:rPr>
        <w:t xml:space="preserve"> (עה"ת ויקרא כב י) בא הכתוב ולמדך כאן שאין גופו קנוי לאדוניו לאכול בתרומתו.</w:t>
      </w:r>
    </w:p>
  </w:footnote>
  <w:footnote w:id="4305">
    <w:p w14:paraId="21025DE6" w14:textId="77777777" w:rsidR="00F64AED" w:rsidRDefault="00F64AED" w:rsidP="00F64AED">
      <w:pPr>
        <w:pStyle w:val="Footnote"/>
        <w:bidi/>
      </w:pPr>
      <w:r>
        <w:rPr>
          <w:rStyle w:val="ac"/>
          <w:rtl/>
        </w:rPr>
        <w:footnoteRef/>
      </w:r>
      <w:r>
        <w:rPr>
          <w:rtl/>
        </w:rPr>
        <w:t>ועוד הביאו לפרש כוונתו ע"פ הגמ' (ב"מ יב.).</w:t>
      </w:r>
    </w:p>
  </w:footnote>
  <w:footnote w:id="4306">
    <w:p w14:paraId="72D8F9B9" w14:textId="77777777" w:rsidR="00F64AED" w:rsidRDefault="00F64AED" w:rsidP="00F64AED">
      <w:pPr>
        <w:pStyle w:val="Footnote"/>
        <w:bidi/>
      </w:pPr>
      <w:r>
        <w:rPr>
          <w:rStyle w:val="ac"/>
          <w:rtl/>
        </w:rPr>
        <w:footnoteRef/>
      </w:r>
      <w:r>
        <w:rPr>
          <w:rtl/>
        </w:rPr>
        <w:t>וה</w:t>
      </w:r>
      <w:r>
        <w:rPr>
          <w:b/>
          <w:bCs/>
          <w:rtl/>
        </w:rPr>
        <w:t>מהרש"א</w:t>
      </w:r>
      <w:r>
        <w:rPr>
          <w:rtl/>
        </w:rPr>
        <w:t xml:space="preserve"> (גיטין מא:) נקט דעבד עברי מותר רק בשפחת רבו, וכשאין לאדון שפחה כנענית אסור. וה</w:t>
      </w:r>
      <w:r>
        <w:rPr>
          <w:b/>
          <w:bCs/>
          <w:rtl/>
        </w:rPr>
        <w:t>אחרונים</w:t>
      </w:r>
      <w:r>
        <w:rPr>
          <w:rtl/>
        </w:rPr>
        <w:t xml:space="preserve"> (שעה"מ עבדים ג ג) תמהו דבגמ' (תמורה ל.) מבואר דלא כן. וה</w:t>
      </w:r>
      <w:r>
        <w:rPr>
          <w:b/>
          <w:bCs/>
          <w:rtl/>
        </w:rPr>
        <w:t>קובה"ע</w:t>
      </w:r>
      <w:r>
        <w:rPr>
          <w:rtl/>
        </w:rPr>
        <w:t xml:space="preserve"> (הנ”ל) כת' דמ"מ י"ל דהוה גדר עבודת רבו.</w:t>
      </w:r>
    </w:p>
  </w:footnote>
  <w:footnote w:id="4307">
    <w:p w14:paraId="08F11EC1" w14:textId="77777777" w:rsidR="00F64AED" w:rsidRDefault="00F64AED" w:rsidP="00F64AED">
      <w:pPr>
        <w:pStyle w:val="Footnote"/>
        <w:bidi/>
      </w:pPr>
      <w:r>
        <w:rPr>
          <w:rStyle w:val="ac"/>
          <w:rtl/>
        </w:rPr>
        <w:footnoteRef/>
      </w:r>
      <w:r>
        <w:rPr>
          <w:rtl/>
        </w:rPr>
        <w:t xml:space="preserve">אבל דעת </w:t>
      </w:r>
      <w:r>
        <w:rPr>
          <w:b/>
          <w:bCs/>
          <w:rtl/>
        </w:rPr>
        <w:t>תוס</w:t>
      </w:r>
      <w:r>
        <w:rPr>
          <w:rtl/>
        </w:rPr>
        <w:t>' (בכ"מ) דמפקיר עבד עברי אי"צ גט שחרור [דקנין גופו הוה רק ממון, וכיון דהפקירו פקע ממונו].</w:t>
      </w:r>
    </w:p>
  </w:footnote>
  <w:footnote w:id="4308">
    <w:p w14:paraId="25357EFF" w14:textId="77777777" w:rsidR="00F64AED" w:rsidRDefault="00F64AED" w:rsidP="00F64AED">
      <w:pPr>
        <w:pStyle w:val="Footnote"/>
        <w:bidi/>
      </w:pPr>
      <w:r>
        <w:rPr>
          <w:rStyle w:val="ac"/>
          <w:rtl/>
        </w:rPr>
        <w:footnoteRef/>
      </w:r>
      <w:r>
        <w:rPr>
          <w:rtl/>
        </w:rPr>
        <w:t>[ע"פ דברי ה</w:t>
      </w:r>
      <w:r>
        <w:rPr>
          <w:b/>
          <w:bCs/>
          <w:rtl/>
        </w:rPr>
        <w:t>ר"ן</w:t>
      </w:r>
      <w:r>
        <w:rPr>
          <w:rtl/>
        </w:rPr>
        <w:t xml:space="preserve"> (נדרים כט:) דכל קנין דאינו עולמי מקרי קנין פירות].</w:t>
      </w:r>
    </w:p>
  </w:footnote>
  <w:footnote w:id="4309">
    <w:p w14:paraId="1055CEE9" w14:textId="77777777" w:rsidR="00F64AED" w:rsidRDefault="00F64AED" w:rsidP="00F64AED">
      <w:pPr>
        <w:pStyle w:val="Footnote"/>
        <w:bidi/>
      </w:pPr>
      <w:r>
        <w:rPr>
          <w:rStyle w:val="ac"/>
          <w:rtl/>
        </w:rPr>
        <w:footnoteRef/>
      </w:r>
      <w:r>
        <w:rPr>
          <w:rtl/>
        </w:rPr>
        <w:t>וה</w:t>
      </w:r>
      <w:r>
        <w:rPr>
          <w:b/>
          <w:bCs/>
          <w:rtl/>
        </w:rPr>
        <w:t>קר"א</w:t>
      </w:r>
      <w:r>
        <w:rPr>
          <w:rtl/>
        </w:rPr>
        <w:t xml:space="preserve"> תמה אמאי יפטר מחיובו משום דגופו קנוי [הרי מהני להוסיף חיובים].</w:t>
      </w:r>
    </w:p>
  </w:footnote>
  <w:footnote w:id="4310">
    <w:p w14:paraId="46EF850E" w14:textId="77777777" w:rsidR="00F64AED" w:rsidRDefault="00F64AED" w:rsidP="00F64AED">
      <w:pPr>
        <w:pStyle w:val="Footnote"/>
        <w:bidi/>
      </w:pPr>
      <w:r>
        <w:rPr>
          <w:rStyle w:val="ac"/>
          <w:rtl/>
        </w:rPr>
        <w:footnoteRef/>
      </w:r>
      <w:r>
        <w:rPr>
          <w:rtl/>
        </w:rPr>
        <w:t>וצ"ב דמידי קודשה אית ביה. ויש שפי' דמצה ומרור הוה חלק מקביעות החבורה של הפסח, ומש”ה ס”ד דאסור להאכילם.</w:t>
      </w:r>
    </w:p>
  </w:footnote>
  <w:footnote w:id="4311">
    <w:p w14:paraId="6DD03DB4" w14:textId="77777777" w:rsidR="00F64AED" w:rsidRDefault="00F64AED" w:rsidP="00F64AED">
      <w:pPr>
        <w:pStyle w:val="Footnote"/>
        <w:bidi/>
      </w:pPr>
      <w:r>
        <w:rPr>
          <w:rStyle w:val="ac"/>
          <w:rtl/>
        </w:rPr>
        <w:footnoteRef/>
      </w:r>
      <w:r>
        <w:rPr>
          <w:rtl/>
        </w:rPr>
        <w:t>אמנם בגמ' (שם כח: וקכ.) משמע דקאי אף אבן נכר, וכ"כ להדיא במאירי (שם כח: וקכ.). [וצ"ע דסותר משנתו, ואפשר דכוונתו דהוה מח' הסוגיות].</w:t>
      </w:r>
    </w:p>
  </w:footnote>
  <w:footnote w:id="4312">
    <w:p w14:paraId="68DC1780" w14:textId="77777777" w:rsidR="00F64AED" w:rsidRDefault="00F64AED" w:rsidP="00F64AED">
      <w:pPr>
        <w:pStyle w:val="Footnote"/>
        <w:bidi/>
      </w:pPr>
      <w:r>
        <w:rPr>
          <w:rStyle w:val="ac"/>
          <w:rtl/>
        </w:rPr>
        <w:footnoteRef/>
      </w:r>
      <w:r>
        <w:rPr>
          <w:rtl/>
        </w:rPr>
        <w:t>וכה”ק ר' דניאל הבבלי לר”א בן הרמב”ם, בשו"ת מעשה נסים (ו).</w:t>
      </w:r>
    </w:p>
  </w:footnote>
  <w:footnote w:id="4313">
    <w:p w14:paraId="5E7E861B" w14:textId="77777777" w:rsidR="00F64AED" w:rsidRDefault="00F64AED" w:rsidP="00F64AED">
      <w:pPr>
        <w:pStyle w:val="Footnote"/>
        <w:bidi/>
      </w:pPr>
      <w:r>
        <w:rPr>
          <w:rStyle w:val="ac"/>
          <w:rtl/>
        </w:rPr>
        <w:footnoteRef/>
      </w:r>
      <w:r>
        <w:rPr>
          <w:rtl/>
        </w:rPr>
        <w:t>אמנם כ"כ בחי' רבינו דוד וחי' הר"ן (פסחים כח:) דהא דילפי' דבזה"ז אוכל מצה ומרור בלא פסח, ילפי' רק למצה [דהך קרא כתיב במצה], ונקט מרור דרבנן אשגרת דלישנא.</w:t>
      </w:r>
    </w:p>
  </w:footnote>
  <w:footnote w:id="4314">
    <w:p w14:paraId="36EB9645" w14:textId="77777777" w:rsidR="00F64AED" w:rsidRDefault="00F64AED" w:rsidP="00F64AED">
      <w:pPr>
        <w:pStyle w:val="Footnote"/>
        <w:bidi/>
      </w:pPr>
      <w:r>
        <w:rPr>
          <w:rStyle w:val="ac"/>
          <w:rtl/>
        </w:rPr>
        <w:footnoteRef/>
      </w:r>
      <w:r>
        <w:rPr>
          <w:rtl/>
        </w:rPr>
        <w:t>וכ"ש בשעשה תשובה [וכמ"ש תוס'].</w:t>
      </w:r>
    </w:p>
  </w:footnote>
  <w:footnote w:id="4315">
    <w:p w14:paraId="06F0B474" w14:textId="77777777" w:rsidR="00F64AED" w:rsidRDefault="00F64AED" w:rsidP="00F64AED">
      <w:pPr>
        <w:pStyle w:val="Footnote"/>
        <w:bidi/>
      </w:pPr>
      <w:r>
        <w:rPr>
          <w:rStyle w:val="ac"/>
          <w:rtl/>
        </w:rPr>
        <w:footnoteRef/>
      </w:r>
      <w:r>
        <w:rPr>
          <w:rtl/>
        </w:rPr>
        <w:t>ו</w:t>
      </w:r>
      <w:r>
        <w:rPr>
          <w:b/>
          <w:bCs/>
          <w:rtl/>
        </w:rPr>
        <w:t>רע"א</w:t>
      </w:r>
      <w:r>
        <w:rPr>
          <w:rtl/>
        </w:rPr>
        <w:t xml:space="preserve"> (בגליון הרמב"ם) הביא דה</w:t>
      </w:r>
      <w:r>
        <w:rPr>
          <w:b/>
          <w:bCs/>
          <w:rtl/>
        </w:rPr>
        <w:t>רמב"ם</w:t>
      </w:r>
      <w:r>
        <w:rPr>
          <w:rtl/>
        </w:rPr>
        <w:t xml:space="preserve"> (נדרים י יב) כת' דהמאכיל לוקה, ומבואר דיש בו מעשה.</w:t>
      </w:r>
    </w:p>
  </w:footnote>
  <w:footnote w:id="4316">
    <w:p w14:paraId="5B478262" w14:textId="77777777" w:rsidR="00F64AED" w:rsidRDefault="00F64AED" w:rsidP="00F64AED">
      <w:pPr>
        <w:pStyle w:val="Footnote"/>
        <w:bidi/>
      </w:pPr>
      <w:r>
        <w:rPr>
          <w:rStyle w:val="ac"/>
          <w:rtl/>
        </w:rPr>
        <w:footnoteRef/>
      </w:r>
      <w:r>
        <w:rPr>
          <w:rtl/>
        </w:rPr>
        <w:t>וכדעת ה</w:t>
      </w:r>
      <w:r>
        <w:rPr>
          <w:b/>
          <w:bCs/>
          <w:rtl/>
        </w:rPr>
        <w:t>רמב"ם</w:t>
      </w:r>
      <w:r>
        <w:rPr>
          <w:rtl/>
        </w:rPr>
        <w:t xml:space="preserve"> (מלכים י ח) דכל בני קטורה לדורותיהם חייבין במילה. אבל שאר </w:t>
      </w:r>
      <w:r>
        <w:rPr>
          <w:b/>
          <w:bCs/>
          <w:rtl/>
        </w:rPr>
        <w:t>ראשונים</w:t>
      </w:r>
      <w:r>
        <w:rPr>
          <w:rtl/>
        </w:rPr>
        <w:t xml:space="preserve"> (רש"י סנהדרין נט:) דדוקא בני קטורה עצמן נתחייבו למול ולא לדורות. [מדין 'יליד ביתו']. ד'לזרעך אחריך' קאי על זרע יצחק בלבד, כדכתיב כי ביצחק יקרא לך זרע.</w:t>
      </w:r>
    </w:p>
    <w:p w14:paraId="6161C4F0" w14:textId="77777777" w:rsidR="00F64AED" w:rsidRDefault="00F64AED" w:rsidP="00F64AED">
      <w:pPr>
        <w:pStyle w:val="Footnote"/>
        <w:bidi/>
      </w:pPr>
      <w:r>
        <w:rPr>
          <w:rtl/>
        </w:rPr>
        <w:tab/>
        <w:t>וה</w:t>
      </w:r>
      <w:r>
        <w:rPr>
          <w:b/>
          <w:bCs/>
          <w:rtl/>
        </w:rPr>
        <w:t>ריטב"א</w:t>
      </w:r>
      <w:r>
        <w:rPr>
          <w:rtl/>
        </w:rPr>
        <w:t xml:space="preserve"> (ע"ז כז.) הביא מסוגיה זו להיפך, דמבואר (שם) דאף גבנוני מהול אינו מצווה במילה. אלא שנהגו כן. [וע' משנ"ל מלכים י ז ושאג"א מט].</w:t>
      </w:r>
    </w:p>
  </w:footnote>
  <w:footnote w:id="4317">
    <w:p w14:paraId="7ECD1522" w14:textId="77777777" w:rsidR="00F64AED" w:rsidRDefault="00F64AED" w:rsidP="00F64AED">
      <w:pPr>
        <w:pStyle w:val="Footnote"/>
        <w:bidi/>
      </w:pPr>
      <w:r>
        <w:rPr>
          <w:rStyle w:val="ac"/>
          <w:rtl/>
        </w:rPr>
        <w:footnoteRef/>
      </w:r>
      <w:r>
        <w:rPr>
          <w:rtl/>
        </w:rPr>
        <w:t>ותוס' תי' ד'וכל ערל' מיותר לישראל, ומש"ה מרבינן ערל ישראל.</w:t>
      </w:r>
    </w:p>
  </w:footnote>
  <w:footnote w:id="4318">
    <w:p w14:paraId="1CB0B36A" w14:textId="77777777" w:rsidR="00F64AED" w:rsidRDefault="00F64AED" w:rsidP="00F64AED">
      <w:pPr>
        <w:pStyle w:val="Footnote"/>
        <w:bidi/>
      </w:pPr>
      <w:r>
        <w:rPr>
          <w:rStyle w:val="ac"/>
          <w:rtl/>
        </w:rPr>
        <w:footnoteRef/>
      </w:r>
      <w:r>
        <w:rPr>
          <w:rtl/>
        </w:rPr>
        <w:t>ואף שיש מהן אומות שמולים כגון ערבים וגבעונים, אלא שהערלה קרויה על שם הגוים אע"פ שהם מולים.</w:t>
      </w:r>
    </w:p>
  </w:footnote>
  <w:footnote w:id="4319">
    <w:p w14:paraId="41DF98F0" w14:textId="77777777" w:rsidR="00F64AED" w:rsidRDefault="00F64AED" w:rsidP="00F64AED">
      <w:pPr>
        <w:pStyle w:val="Footnote"/>
        <w:bidi/>
      </w:pPr>
      <w:r>
        <w:rPr>
          <w:rStyle w:val="ac"/>
          <w:rtl/>
        </w:rPr>
        <w:footnoteRef/>
      </w:r>
      <w:r>
        <w:rPr>
          <w:rtl/>
        </w:rPr>
        <w:t>[וממשומד לא נפקא כדאמרי' לעיל].</w:t>
      </w:r>
    </w:p>
  </w:footnote>
  <w:footnote w:id="4320">
    <w:p w14:paraId="39FB0834" w14:textId="77777777" w:rsidR="00F64AED" w:rsidRDefault="00F64AED" w:rsidP="00F64AED">
      <w:pPr>
        <w:pStyle w:val="Footnote"/>
        <w:bidi/>
      </w:pPr>
      <w:r>
        <w:rPr>
          <w:rStyle w:val="ac"/>
          <w:rtl/>
        </w:rPr>
        <w:footnoteRef/>
      </w:r>
      <w:r>
        <w:rPr>
          <w:rtl/>
        </w:rPr>
        <w:t>וה</w:t>
      </w:r>
      <w:r>
        <w:rPr>
          <w:b/>
          <w:bCs/>
          <w:rtl/>
        </w:rPr>
        <w:t>מנח"ח</w:t>
      </w:r>
      <w:r>
        <w:rPr>
          <w:rtl/>
        </w:rPr>
        <w:t xml:space="preserve"> (רפב ד בסוגריים) כתב דלרמב"ם י"ל דהוה רק ספק ערלה כבושה, ודעת הרמב"ם דספיקות מדרבנן, ומה"ת לקולא. ולכן מיעטו קרא, ועי"ש מש"כ בזה.</w:t>
      </w:r>
    </w:p>
  </w:footnote>
  <w:footnote w:id="4321">
    <w:p w14:paraId="6E7684A3" w14:textId="77777777" w:rsidR="00F64AED" w:rsidRDefault="00F64AED" w:rsidP="00F64AED">
      <w:pPr>
        <w:pStyle w:val="Footnote"/>
        <w:bidi/>
      </w:pPr>
      <w:r>
        <w:rPr>
          <w:rStyle w:val="ac"/>
          <w:rtl/>
        </w:rPr>
        <w:footnoteRef/>
      </w:r>
      <w:r>
        <w:rPr>
          <w:rtl/>
        </w:rPr>
        <w:t xml:space="preserve">אך יש </w:t>
      </w:r>
      <w:r>
        <w:rPr>
          <w:b/>
          <w:bCs/>
          <w:rtl/>
        </w:rPr>
        <w:t>אחרונים</w:t>
      </w:r>
      <w:r>
        <w:rPr>
          <w:rtl/>
        </w:rPr>
        <w:t xml:space="preserve"> שדנו דאף סברת ר"ת דלא חל שם ערלה, משום שאינו מצווה למול [מחמת אונס או פטור וחי בהם].</w:t>
      </w:r>
    </w:p>
  </w:footnote>
  <w:footnote w:id="4322">
    <w:p w14:paraId="53CB4192" w14:textId="77777777" w:rsidR="00F64AED" w:rsidRDefault="00F64AED" w:rsidP="00F64AED">
      <w:pPr>
        <w:pStyle w:val="Footnote"/>
        <w:bidi/>
      </w:pPr>
      <w:r>
        <w:rPr>
          <w:rStyle w:val="ac"/>
          <w:rtl/>
        </w:rPr>
        <w:footnoteRef/>
      </w:r>
      <w:r>
        <w:rPr>
          <w:rtl/>
        </w:rPr>
        <w:t>וה</w:t>
      </w:r>
      <w:r>
        <w:rPr>
          <w:b/>
          <w:bCs/>
          <w:rtl/>
        </w:rPr>
        <w:t>גרי"ז</w:t>
      </w:r>
      <w:r>
        <w:rPr>
          <w:rtl/>
        </w:rPr>
        <w:t xml:space="preserve"> (עה"ת פר' לך) פי' הא דאברהם לא מל עד שהקב”ה צווה לו [ואף דקיים כה”ת אפי' עירוב תבשילים, כדאי' יומא כח:, וע' תוס' עא: ד”ה לא], משום דקודם שנצטווה לא היה ע”ז שם ערלה, ולא שייך מצוות מילה אלא כשיש ערלה. כלשון הרמב"ם.</w:t>
      </w:r>
    </w:p>
  </w:footnote>
  <w:footnote w:id="4323">
    <w:p w14:paraId="379F6EA8" w14:textId="77777777" w:rsidR="00F64AED" w:rsidRDefault="00F64AED" w:rsidP="00F64AED">
      <w:pPr>
        <w:pStyle w:val="Footnote"/>
        <w:bidi/>
      </w:pPr>
      <w:r>
        <w:rPr>
          <w:rStyle w:val="ac"/>
          <w:rtl/>
        </w:rPr>
        <w:footnoteRef/>
      </w:r>
      <w:r>
        <w:rPr>
          <w:rtl/>
        </w:rPr>
        <w:t>דהשם ערלה חל ע"י המצווה למול [או דהוה סימן דנחשב ערלה].</w:t>
      </w:r>
    </w:p>
  </w:footnote>
  <w:footnote w:id="4324">
    <w:p w14:paraId="7A64FD18" w14:textId="77777777" w:rsidR="00F64AED" w:rsidRDefault="00F64AED" w:rsidP="00F64AED">
      <w:pPr>
        <w:pStyle w:val="Footnote"/>
        <w:bidi/>
      </w:pPr>
      <w:r>
        <w:rPr>
          <w:rStyle w:val="ac"/>
          <w:rtl/>
        </w:rPr>
        <w:footnoteRef/>
      </w:r>
      <w:r>
        <w:rPr>
          <w:rtl/>
        </w:rPr>
        <w:t>אבל ה</w:t>
      </w:r>
      <w:r>
        <w:rPr>
          <w:b/>
          <w:bCs/>
          <w:rtl/>
        </w:rPr>
        <w:t>בית הלוי</w:t>
      </w:r>
      <w:r>
        <w:rPr>
          <w:rtl/>
        </w:rPr>
        <w:t xml:space="preserve"> (ב מז ד) כתב דמצוות מילה ב' ענינים וב' מצוות, מעשה המילה ושנהיו נימולים. ותוך ח' לרמ"א לא קיים מצווה כלל, אלא כשמגיע יום ח' מקיים המצוה הב'. וה</w:t>
      </w:r>
      <w:r>
        <w:rPr>
          <w:b/>
          <w:bCs/>
          <w:rtl/>
        </w:rPr>
        <w:t>גר"ח</w:t>
      </w:r>
      <w:r>
        <w:rPr>
          <w:rtl/>
        </w:rPr>
        <w:t xml:space="preserve"> (סטנסל פח) כתב דלרא"ש הטפת דם ברית לא בעי ח', וא"כ מילה תוך זמנו, לא גרע מהטפת דם ברית.</w:t>
      </w:r>
    </w:p>
  </w:footnote>
  <w:footnote w:id="4325">
    <w:p w14:paraId="0F4E684D" w14:textId="77777777" w:rsidR="00F64AED" w:rsidRDefault="00F64AED" w:rsidP="00F64AED">
      <w:pPr>
        <w:pStyle w:val="Footnote"/>
        <w:bidi/>
      </w:pPr>
      <w:r>
        <w:rPr>
          <w:rStyle w:val="ac"/>
          <w:rtl/>
        </w:rPr>
        <w:footnoteRef/>
      </w:r>
      <w:r>
        <w:rPr>
          <w:rtl/>
        </w:rPr>
        <w:t>וה</w:t>
      </w:r>
      <w:r>
        <w:rPr>
          <w:b/>
          <w:bCs/>
          <w:rtl/>
        </w:rPr>
        <w:t xml:space="preserve">ערול"נ </w:t>
      </w:r>
      <w:r>
        <w:rPr>
          <w:rtl/>
        </w:rPr>
        <w:t>כתב דהרמב"ם פסק כן רק לגבי סיכה, דס"ל דסיכה דרבנן, וס"ד לקולא. [ודלא כאחרונים דדעת הרמב"ם דסיכה דאורייתא].</w:t>
      </w:r>
    </w:p>
  </w:footnote>
  <w:footnote w:id="4326">
    <w:p w14:paraId="4E03F8B6" w14:textId="77777777" w:rsidR="00F64AED" w:rsidRDefault="00F64AED" w:rsidP="00F64AED">
      <w:pPr>
        <w:pStyle w:val="Footnote"/>
        <w:bidi/>
      </w:pPr>
      <w:r>
        <w:rPr>
          <w:rStyle w:val="ac"/>
          <w:rtl/>
        </w:rPr>
        <w:footnoteRef/>
      </w:r>
      <w:r>
        <w:rPr>
          <w:rtl/>
        </w:rPr>
        <w:t>וה</w:t>
      </w:r>
      <w:r>
        <w:rPr>
          <w:b/>
          <w:bCs/>
          <w:rtl/>
        </w:rPr>
        <w:t>מאירי</w:t>
      </w:r>
      <w:r>
        <w:rPr>
          <w:rtl/>
        </w:rPr>
        <w:t xml:space="preserve"> כתב דהמ"ל באכילה ושתייה, אלא דאין דרך קטן כ"כ באכילה ושתייה. [אבל לדעת ר"ת ספק הגמ' אף במתו אחיו מחמת מילה].</w:t>
      </w:r>
    </w:p>
  </w:footnote>
  <w:footnote w:id="4327">
    <w:p w14:paraId="09693470" w14:textId="77777777" w:rsidR="00F64AED" w:rsidRDefault="00F64AED" w:rsidP="00F64AED">
      <w:pPr>
        <w:pStyle w:val="Footnote"/>
        <w:bidi/>
      </w:pPr>
      <w:r>
        <w:rPr>
          <w:rStyle w:val="ac"/>
          <w:rtl/>
        </w:rPr>
        <w:footnoteRef/>
      </w:r>
      <w:r>
        <w:rPr>
          <w:rtl/>
        </w:rPr>
        <w:t>וכ"מ ב</w:t>
      </w:r>
      <w:r>
        <w:rPr>
          <w:b/>
          <w:bCs/>
          <w:rtl/>
        </w:rPr>
        <w:t>רש"י</w:t>
      </w:r>
      <w:r>
        <w:rPr>
          <w:rtl/>
        </w:rPr>
        <w:t xml:space="preserve"> (ב"מ נד:), עי”ש ריטב”א.</w:t>
      </w:r>
    </w:p>
  </w:footnote>
  <w:footnote w:id="4328">
    <w:p w14:paraId="240D69C2" w14:textId="77777777" w:rsidR="00F64AED" w:rsidRDefault="00F64AED" w:rsidP="00F64AED">
      <w:pPr>
        <w:pStyle w:val="Footnote"/>
        <w:bidi/>
      </w:pPr>
      <w:r>
        <w:rPr>
          <w:rStyle w:val="ac"/>
          <w:rtl/>
        </w:rPr>
        <w:footnoteRef/>
      </w:r>
      <w:r>
        <w:rPr>
          <w:rtl/>
        </w:rPr>
        <w:t>ו</w:t>
      </w:r>
      <w:r>
        <w:rPr>
          <w:b/>
          <w:bCs/>
          <w:rtl/>
        </w:rPr>
        <w:t>ר"ת</w:t>
      </w:r>
      <w:r>
        <w:rPr>
          <w:rtl/>
        </w:rPr>
        <w:t xml:space="preserve"> (בתוס' שם) כתב עפ"ז דבשאר איסורי אכילה אין איסור סיכה כשתיה, ומותר לסוך בחלב. וע"ע </w:t>
      </w:r>
      <w:r>
        <w:rPr>
          <w:b/>
          <w:bCs/>
          <w:rtl/>
        </w:rPr>
        <w:t>ט"ז</w:t>
      </w:r>
      <w:r>
        <w:rPr>
          <w:rtl/>
        </w:rPr>
        <w:t xml:space="preserve"> ו</w:t>
      </w:r>
      <w:r>
        <w:rPr>
          <w:b/>
          <w:bCs/>
          <w:rtl/>
        </w:rPr>
        <w:t>נה"כ</w:t>
      </w:r>
      <w:r>
        <w:rPr>
          <w:rtl/>
        </w:rPr>
        <w:t xml:space="preserve"> (יו"ד ס"ס קיז). אבל ה</w:t>
      </w:r>
      <w:r>
        <w:rPr>
          <w:b/>
          <w:bCs/>
          <w:rtl/>
        </w:rPr>
        <w:t>גר"א</w:t>
      </w:r>
      <w:r>
        <w:rPr>
          <w:rtl/>
        </w:rPr>
        <w:t xml:space="preserve"> (או"ח שכו י) אסר. [ועי"ש ב</w:t>
      </w:r>
      <w:r>
        <w:rPr>
          <w:b/>
          <w:bCs/>
          <w:rtl/>
        </w:rPr>
        <w:t>ביאו"ה</w:t>
      </w:r>
      <w:r>
        <w:rPr>
          <w:rtl/>
        </w:rPr>
        <w:t xml:space="preserve"> ד"ה בשאר].</w:t>
      </w:r>
    </w:p>
  </w:footnote>
  <w:footnote w:id="4329">
    <w:p w14:paraId="319EEC61" w14:textId="77777777" w:rsidR="00F64AED" w:rsidRDefault="00F64AED" w:rsidP="00F64AED">
      <w:pPr>
        <w:pStyle w:val="Footnote"/>
        <w:bidi/>
      </w:pPr>
      <w:r>
        <w:rPr>
          <w:rStyle w:val="ac"/>
          <w:rtl/>
        </w:rPr>
        <w:footnoteRef/>
      </w:r>
      <w:r>
        <w:rPr>
          <w:rtl/>
        </w:rPr>
        <w:t>ומדאורייתא אסור משום הנאת כילוי.</w:t>
      </w:r>
    </w:p>
  </w:footnote>
  <w:footnote w:id="4330">
    <w:p w14:paraId="38DF01DB" w14:textId="77777777" w:rsidR="00F64AED" w:rsidRDefault="00F64AED" w:rsidP="00F64AED">
      <w:pPr>
        <w:pStyle w:val="Footnote"/>
        <w:bidi/>
      </w:pPr>
      <w:r>
        <w:rPr>
          <w:rStyle w:val="ac"/>
          <w:rtl/>
        </w:rPr>
        <w:footnoteRef/>
      </w:r>
      <w:r>
        <w:rPr>
          <w:rtl/>
        </w:rPr>
        <w:t>וכ”ד ה</w:t>
      </w:r>
      <w:r>
        <w:rPr>
          <w:b/>
          <w:bCs/>
          <w:rtl/>
        </w:rPr>
        <w:t>רשב”א</w:t>
      </w:r>
      <w:r>
        <w:rPr>
          <w:rtl/>
        </w:rPr>
        <w:t xml:space="preserve"> (נדה לב.).</w:t>
      </w:r>
    </w:p>
  </w:footnote>
  <w:footnote w:id="4331">
    <w:p w14:paraId="5E57065F" w14:textId="77777777" w:rsidR="00F64AED" w:rsidRDefault="00F64AED" w:rsidP="00F64AED">
      <w:pPr>
        <w:pStyle w:val="Footnote"/>
        <w:bidi/>
      </w:pPr>
      <w:r>
        <w:rPr>
          <w:rStyle w:val="ac"/>
          <w:rtl/>
        </w:rPr>
        <w:footnoteRef/>
      </w:r>
      <w:r>
        <w:rPr>
          <w:rtl/>
        </w:rPr>
        <w:t>וה</w:t>
      </w:r>
      <w:r>
        <w:rPr>
          <w:b/>
          <w:bCs/>
          <w:rtl/>
        </w:rPr>
        <w:t>אחיעזר</w:t>
      </w:r>
      <w:r>
        <w:rPr>
          <w:rtl/>
        </w:rPr>
        <w:t xml:space="preserve"> (ג פא יט) הביא בשם ה</w:t>
      </w:r>
      <w:r>
        <w:rPr>
          <w:b/>
          <w:bCs/>
          <w:rtl/>
        </w:rPr>
        <w:t>אחרונים</w:t>
      </w:r>
      <w:r>
        <w:rPr>
          <w:rtl/>
        </w:rPr>
        <w:t xml:space="preserve"> לתרץ דמ"מ אסור משום הנאת כילוי. והאחיעזר חלק דלא מצאנו דערל אסור בהנאת כילוי של תרומה, וכמ"ש ה</w:t>
      </w:r>
      <w:r>
        <w:rPr>
          <w:b/>
          <w:bCs/>
          <w:rtl/>
        </w:rPr>
        <w:t>מנח"ח</w:t>
      </w:r>
      <w:r>
        <w:rPr>
          <w:rtl/>
        </w:rPr>
        <w:t xml:space="preserve"> (רפב י, הו' לעיל ע.).</w:t>
      </w:r>
    </w:p>
  </w:footnote>
  <w:footnote w:id="4332">
    <w:p w14:paraId="4B9C6638" w14:textId="77777777" w:rsidR="00F64AED" w:rsidRDefault="00F64AED" w:rsidP="00F64AED">
      <w:pPr>
        <w:pStyle w:val="Footnote"/>
        <w:bidi/>
      </w:pPr>
      <w:r>
        <w:rPr>
          <w:rStyle w:val="ac"/>
          <w:rtl/>
        </w:rPr>
        <w:footnoteRef/>
      </w:r>
      <w:r>
        <w:rPr>
          <w:rtl/>
        </w:rPr>
        <w:t>דהקטן אסור בסיכה [דמדרבנן נחשב שימוש של ערל], ולכן אסור לסוכו. [דסיכה אסור, ואף דערל מותר בהנאת כילוי]. ולדברי הגרי"ז אסור להאכיל תרומה לזר קטן [מדאורייתא], דנחשב שימוש אכילת תרומה. וה"ה סיכה [לרמב"ם דהוה דאורייתא, אבל שא"ר לא חילקו בזה ונקטו דאף בתרומה סיכה הוה דרבנן].</w:t>
      </w:r>
    </w:p>
  </w:footnote>
  <w:footnote w:id="4333">
    <w:p w14:paraId="4A0A47E9" w14:textId="77777777" w:rsidR="00F64AED" w:rsidRDefault="00F64AED" w:rsidP="00F64AED">
      <w:pPr>
        <w:pStyle w:val="Footnote"/>
        <w:bidi/>
      </w:pPr>
      <w:r>
        <w:rPr>
          <w:rStyle w:val="ac"/>
          <w:rtl/>
        </w:rPr>
        <w:footnoteRef/>
      </w:r>
      <w:r>
        <w:rPr>
          <w:rtl/>
        </w:rPr>
        <w:t>וה</w:t>
      </w:r>
      <w:r>
        <w:rPr>
          <w:b/>
          <w:bCs/>
          <w:rtl/>
        </w:rPr>
        <w:t>קה"י</w:t>
      </w:r>
      <w:r>
        <w:rPr>
          <w:rtl/>
        </w:rPr>
        <w:t xml:space="preserve"> (מג ג) ביאר דכיון דבניו [הטפלים לו] מנויים עמו, נחשב ערלות בפסח. אבל בפשוטו הטעם דכיון דיש ברשותו ערלות, הוה פסול. [ועפ"ז שמעתי לומר דהגדר דבאונס אינו מעכב, היינו משום דכיון דלא רמי עליה למול, לא נחשב דהערלות הוה ברשותו].</w:t>
      </w:r>
    </w:p>
  </w:footnote>
  <w:footnote w:id="4334">
    <w:p w14:paraId="0775A01F" w14:textId="77777777" w:rsidR="00F64AED" w:rsidRDefault="00F64AED" w:rsidP="00F64AED">
      <w:pPr>
        <w:pStyle w:val="Footnote"/>
        <w:bidi/>
      </w:pPr>
      <w:r>
        <w:rPr>
          <w:rStyle w:val="ac"/>
          <w:rtl/>
        </w:rPr>
        <w:footnoteRef/>
      </w:r>
      <w:r>
        <w:rPr>
          <w:rtl/>
        </w:rPr>
        <w:t>עכ"פ לצד דערלות שלא בזמנו אינו מעכב.</w:t>
      </w:r>
    </w:p>
  </w:footnote>
  <w:footnote w:id="4335">
    <w:p w14:paraId="468C7D02" w14:textId="77777777" w:rsidR="00F64AED" w:rsidRDefault="00F64AED" w:rsidP="00F64AED">
      <w:pPr>
        <w:pStyle w:val="Footnote"/>
        <w:bidi/>
      </w:pPr>
      <w:r>
        <w:rPr>
          <w:rStyle w:val="ac"/>
          <w:rtl/>
        </w:rPr>
        <w:footnoteRef/>
      </w:r>
      <w:r>
        <w:rPr>
          <w:rtl/>
        </w:rPr>
        <w:t>דיש צד דמילה בלילה נחשב מהול בדיעבד. ואילו תוך ח' י"מ דצריך הטפת דם ברית. והשאג"א דן דאף ליל שמיני נחשב שהגיע זמנו. (וע"ע לקמן עב:).</w:t>
      </w:r>
    </w:p>
  </w:footnote>
  <w:footnote w:id="4336">
    <w:p w14:paraId="16A494F7" w14:textId="77777777" w:rsidR="00F64AED" w:rsidRDefault="00F64AED" w:rsidP="00F64AED">
      <w:pPr>
        <w:pStyle w:val="Footnote"/>
        <w:bidi/>
      </w:pPr>
      <w:r>
        <w:rPr>
          <w:rStyle w:val="ac"/>
          <w:rtl/>
        </w:rPr>
        <w:footnoteRef/>
      </w:r>
      <w:r>
        <w:rPr>
          <w:rtl/>
        </w:rPr>
        <w:t>וה</w:t>
      </w:r>
      <w:r>
        <w:rPr>
          <w:b/>
          <w:bCs/>
          <w:rtl/>
        </w:rPr>
        <w:t xml:space="preserve">מנח"ח </w:t>
      </w:r>
      <w:r>
        <w:rPr>
          <w:rtl/>
        </w:rPr>
        <w:t>(רפב ט) דייק מלשון ה</w:t>
      </w:r>
      <w:r>
        <w:rPr>
          <w:b/>
          <w:bCs/>
          <w:rtl/>
        </w:rPr>
        <w:t>רמב"ם</w:t>
      </w:r>
      <w:r>
        <w:rPr>
          <w:rtl/>
        </w:rPr>
        <w:t xml:space="preserve"> (יא ז) דכל ז' סכין, מבואר דליל ח' אסור.</w:t>
      </w:r>
    </w:p>
  </w:footnote>
  <w:footnote w:id="4337">
    <w:p w14:paraId="42F37609" w14:textId="77777777" w:rsidR="00F64AED" w:rsidRDefault="00F64AED" w:rsidP="00F64AED">
      <w:pPr>
        <w:pStyle w:val="Footnote"/>
        <w:bidi/>
      </w:pPr>
      <w:r>
        <w:rPr>
          <w:rStyle w:val="ac"/>
          <w:rtl/>
        </w:rPr>
        <w:footnoteRef/>
      </w:r>
      <w:r>
        <w:rPr>
          <w:rtl/>
        </w:rPr>
        <w:t>וצ"ע א"כ כל היכא דהוה אנוס מעכב שעת אכילה. וטובא איכא דאינו מעכב בשעת עשייה [כיון שהוא אנוס], ומעכב בשעת אכילה.</w:t>
      </w:r>
    </w:p>
  </w:footnote>
  <w:footnote w:id="4338">
    <w:p w14:paraId="11041ADA" w14:textId="77777777" w:rsidR="00F64AED" w:rsidRDefault="00F64AED" w:rsidP="00F64AED">
      <w:pPr>
        <w:pStyle w:val="Footnote"/>
        <w:bidi/>
      </w:pPr>
      <w:r>
        <w:rPr>
          <w:rStyle w:val="ac"/>
          <w:rtl/>
        </w:rPr>
        <w:footnoteRef/>
      </w:r>
      <w:r>
        <w:rPr>
          <w:rtl/>
        </w:rPr>
        <w:t>ולכאורה היינו כשאין מנוי אחר [והוה פסול בבעלים, ולא בעצם הפסח]. [וי"ל דנלמד מהלשון 'מעכב', משמע דהוה פסול].</w:t>
      </w:r>
    </w:p>
  </w:footnote>
  <w:footnote w:id="4339">
    <w:p w14:paraId="6586E008" w14:textId="77777777" w:rsidR="00F64AED" w:rsidRDefault="00F64AED" w:rsidP="00F64AED">
      <w:pPr>
        <w:pStyle w:val="Footnote"/>
        <w:bidi/>
      </w:pPr>
      <w:r>
        <w:rPr>
          <w:rStyle w:val="ac"/>
          <w:rtl/>
        </w:rPr>
        <w:footnoteRef/>
      </w:r>
      <w:r>
        <w:rPr>
          <w:rtl/>
        </w:rPr>
        <w:t>ומבואר ב</w:t>
      </w:r>
      <w:r>
        <w:rPr>
          <w:b/>
          <w:bCs/>
          <w:rtl/>
        </w:rPr>
        <w:t>רש"י</w:t>
      </w:r>
      <w:r>
        <w:rPr>
          <w:rtl/>
        </w:rPr>
        <w:t xml:space="preserve"> (שבת קלה., עי”ש מלחמות וראשונים) דנימול מיד אחר לידתו. אבל </w:t>
      </w:r>
      <w:r>
        <w:rPr>
          <w:b/>
          <w:bCs/>
          <w:rtl/>
        </w:rPr>
        <w:t>רשב"ם</w:t>
      </w:r>
      <w:r>
        <w:rPr>
          <w:rtl/>
        </w:rPr>
        <w:t xml:space="preserve"> (ב"ב קכז.) כת' דנימול בח', אלא דאינו דוחה שבת.</w:t>
      </w:r>
    </w:p>
  </w:footnote>
  <w:footnote w:id="4340">
    <w:p w14:paraId="024D6DA6" w14:textId="77777777" w:rsidR="00F64AED" w:rsidRDefault="00F64AED" w:rsidP="00F64AED">
      <w:pPr>
        <w:pStyle w:val="Footnote"/>
        <w:bidi/>
      </w:pPr>
      <w:r>
        <w:rPr>
          <w:rStyle w:val="ac"/>
          <w:rtl/>
        </w:rPr>
        <w:footnoteRef/>
      </w:r>
      <w:r>
        <w:rPr>
          <w:rtl/>
        </w:rPr>
        <w:t>וה</w:t>
      </w:r>
      <w:r>
        <w:rPr>
          <w:b/>
          <w:bCs/>
          <w:rtl/>
        </w:rPr>
        <w:t>חש"ל</w:t>
      </w:r>
      <w:r>
        <w:rPr>
          <w:rtl/>
        </w:rPr>
        <w:t xml:space="preserve"> תי' דכל שאינו נימול בח' אינו מוטל על אביו יותר משאר ישראל [דקרא ד'כאשר יצווה' קאי במילה בזמנו, וציין למחה”ש תמד יא וס' הקובץ לרמב”ם ר”ה מילה], ומש"ה אינו מעכב באכילת פסחו. [וצ"ע דסתימת הראשונים אינו כן. ומילת עבדיו מעכב בפסח, אף היכא דלא הוה בזמנו].</w:t>
      </w:r>
    </w:p>
  </w:footnote>
  <w:footnote w:id="4341">
    <w:p w14:paraId="6F742B81" w14:textId="77777777" w:rsidR="00F64AED" w:rsidRDefault="00F64AED" w:rsidP="00F64AED">
      <w:pPr>
        <w:pStyle w:val="Footnote"/>
        <w:bidi/>
      </w:pPr>
      <w:r>
        <w:rPr>
          <w:rStyle w:val="ac"/>
          <w:rtl/>
        </w:rPr>
        <w:footnoteRef/>
      </w:r>
      <w:r>
        <w:rPr>
          <w:rtl/>
        </w:rPr>
        <w:t>וה</w:t>
      </w:r>
      <w:r>
        <w:rPr>
          <w:b/>
          <w:bCs/>
          <w:rtl/>
        </w:rPr>
        <w:t>קובה"ע</w:t>
      </w:r>
      <w:r>
        <w:rPr>
          <w:rtl/>
        </w:rPr>
        <w:t xml:space="preserve"> (מח יד) הביא מכאן סייעתא לדברי ה</w:t>
      </w:r>
      <w:r>
        <w:rPr>
          <w:b/>
          <w:bCs/>
          <w:rtl/>
        </w:rPr>
        <w:t>מרדכי</w:t>
      </w:r>
      <w:r>
        <w:rPr>
          <w:rtl/>
        </w:rPr>
        <w:t xml:space="preserve"> (מנחות תתקמד) דהיכא דהוה אונס מותר ללבוש טלית בלא ציצית. ואף דהגברא בר חיובא, וישנו לסיבת החיוב, אלא דלא רמי חיובא עליו.</w:t>
      </w:r>
    </w:p>
  </w:footnote>
  <w:footnote w:id="4342">
    <w:p w14:paraId="56B5E887" w14:textId="77777777" w:rsidR="00F64AED" w:rsidRDefault="00F64AED" w:rsidP="00F64AED">
      <w:pPr>
        <w:pStyle w:val="Footnote"/>
        <w:bidi/>
      </w:pPr>
      <w:r>
        <w:rPr>
          <w:rStyle w:val="ac"/>
          <w:rtl/>
        </w:rPr>
        <w:footnoteRef/>
      </w:r>
      <w:r>
        <w:rPr>
          <w:rtl/>
        </w:rPr>
        <w:t>וכעי"ז כ' ה</w:t>
      </w:r>
      <w:r>
        <w:rPr>
          <w:b/>
          <w:bCs/>
          <w:rtl/>
        </w:rPr>
        <w:t>קוב"ש</w:t>
      </w:r>
      <w:r>
        <w:rPr>
          <w:rtl/>
        </w:rPr>
        <w:t xml:space="preserve"> (ביצה נד) דמילת בניו הוה מצווה, דחייב להקדים מילת בניו לפסח, ולכן במקום אונס אינו מתחייב. אבל ערלות עצמו הוה איסור לאכול תרומה, ול”מ אונס לפטור באיסורא [ולא אמרי' כמאן דעביד].</w:t>
      </w:r>
    </w:p>
  </w:footnote>
  <w:footnote w:id="4343">
    <w:p w14:paraId="1BA66CC5" w14:textId="77777777" w:rsidR="00F64AED" w:rsidRDefault="00F64AED" w:rsidP="00F64AED">
      <w:pPr>
        <w:pStyle w:val="Footnote"/>
        <w:bidi/>
      </w:pPr>
      <w:r>
        <w:rPr>
          <w:rStyle w:val="ac"/>
          <w:rtl/>
        </w:rPr>
        <w:footnoteRef/>
      </w:r>
      <w:r>
        <w:rPr>
          <w:rtl/>
        </w:rPr>
        <w:t>ודעת ה</w:t>
      </w:r>
      <w:r>
        <w:rPr>
          <w:b/>
          <w:bCs/>
          <w:rtl/>
        </w:rPr>
        <w:t xml:space="preserve">ירושלמי </w:t>
      </w:r>
      <w:r>
        <w:rPr>
          <w:rtl/>
        </w:rPr>
        <w:t>(הו' בתוס' לעיל ע.) דיהבי' ל' יום.</w:t>
      </w:r>
    </w:p>
  </w:footnote>
  <w:footnote w:id="4344">
    <w:p w14:paraId="5AA7805B" w14:textId="77777777" w:rsidR="00F64AED" w:rsidRDefault="00F64AED" w:rsidP="00F64AED">
      <w:pPr>
        <w:pStyle w:val="Footnote"/>
        <w:bidi/>
      </w:pPr>
      <w:r>
        <w:rPr>
          <w:rStyle w:val="ac"/>
          <w:rtl/>
        </w:rPr>
        <w:footnoteRef/>
      </w:r>
      <w:r>
        <w:rPr>
          <w:rtl/>
        </w:rPr>
        <w:t>וה</w:t>
      </w:r>
      <w:r>
        <w:rPr>
          <w:b/>
          <w:bCs/>
          <w:rtl/>
        </w:rPr>
        <w:t>מנחת שלמה</w:t>
      </w:r>
      <w:r>
        <w:rPr>
          <w:rtl/>
        </w:rPr>
        <w:t xml:space="preserve"> (א ז) כת' דהוה הרחקה דפיקו"נ דקבעו חז"ל שיעור קצוב להרחיק כמה שאפשר מסכנה. והחשיבו בגדר סכנה. והביא עד"ז הא דקבעו שיעורים ביולדת ג', ז' ול' להחשב סכנה.</w:t>
      </w:r>
    </w:p>
  </w:footnote>
  <w:footnote w:id="4345">
    <w:p w14:paraId="66F40523" w14:textId="77777777" w:rsidR="00F64AED" w:rsidRDefault="00F64AED" w:rsidP="00F64AED">
      <w:pPr>
        <w:pStyle w:val="Footnote"/>
        <w:bidi/>
      </w:pPr>
      <w:r>
        <w:rPr>
          <w:rStyle w:val="ac"/>
          <w:rtl/>
        </w:rPr>
        <w:footnoteRef/>
      </w:r>
      <w:r>
        <w:rPr>
          <w:rtl/>
        </w:rPr>
        <w:t>והבנין ציון בתחילת דבריו נקט די"ל דהך דין הוה דוקא נתרפא לאחר שעבר ח'. אבל במקום שעדיין אפשר לקיים מילה בזמנו י"ל דלא העמידו דבריהם. אך בהמשך דבריו דחה דא"כ אף בסוגיין אמאי לא העמידו דנתרפא לאחר שחיטת הפסח ביום הח'.</w:t>
      </w:r>
    </w:p>
  </w:footnote>
  <w:footnote w:id="4346">
    <w:p w14:paraId="3A760700" w14:textId="77777777" w:rsidR="00F64AED" w:rsidRDefault="00F64AED" w:rsidP="00F64AED">
      <w:pPr>
        <w:pStyle w:val="Footnote"/>
        <w:bidi/>
      </w:pPr>
      <w:r>
        <w:rPr>
          <w:rStyle w:val="ac"/>
          <w:rtl/>
        </w:rPr>
        <w:footnoteRef/>
      </w:r>
      <w:r>
        <w:rPr>
          <w:rtl/>
        </w:rPr>
        <w:t>[ויל”ד לסברת המנח"ש דהוה הרחקה שקבעו חז"ל, א"כ מה הגמ' מק' מהפסוק. ואפשר דהקו' מהברייתא דלאחר שקבעו חז"ל אינו מעכב מדאורייתא].</w:t>
      </w:r>
    </w:p>
  </w:footnote>
  <w:footnote w:id="4347">
    <w:p w14:paraId="5CF76B6E" w14:textId="77777777" w:rsidR="00F64AED" w:rsidRDefault="00F64AED" w:rsidP="00F64AED">
      <w:pPr>
        <w:pStyle w:val="Footnote"/>
        <w:bidi/>
      </w:pPr>
      <w:r>
        <w:rPr>
          <w:rStyle w:val="ac"/>
          <w:rtl/>
        </w:rPr>
        <w:footnoteRef/>
      </w:r>
      <w:r>
        <w:rPr>
          <w:rtl/>
        </w:rPr>
        <w:t>ועוד דן (בסו"ד שם) היכא דמלו בשבת תוך ז' מהחולי, שיחשב חילול שבת. [וע"ע רש"י לעיל סד: דבמתו אחיו מחמת מילה אם עבר ומל הוה חילול שבת. וע' מש”כ שם בזה].</w:t>
      </w:r>
    </w:p>
  </w:footnote>
  <w:footnote w:id="4348">
    <w:p w14:paraId="1AE15266" w14:textId="77777777" w:rsidR="00F64AED" w:rsidRDefault="00F64AED" w:rsidP="00F64AED">
      <w:pPr>
        <w:pStyle w:val="Footnote"/>
        <w:bidi/>
      </w:pPr>
      <w:r>
        <w:rPr>
          <w:rStyle w:val="ac"/>
          <w:rtl/>
        </w:rPr>
        <w:footnoteRef/>
      </w:r>
      <w:r>
        <w:rPr>
          <w:rtl/>
        </w:rPr>
        <w:t>ואף דהוה רק מדרבנן, משום חשש שיבואו לחלל שבת. סוף סוף לא רמיא עליה.</w:t>
      </w:r>
    </w:p>
  </w:footnote>
  <w:footnote w:id="4349">
    <w:p w14:paraId="5122DB0F" w14:textId="77777777" w:rsidR="00F64AED" w:rsidRDefault="00F64AED" w:rsidP="00F64AED">
      <w:pPr>
        <w:pStyle w:val="Footnote"/>
        <w:bidi/>
      </w:pPr>
      <w:r>
        <w:rPr>
          <w:rStyle w:val="ac"/>
          <w:rtl/>
        </w:rPr>
        <w:footnoteRef/>
      </w:r>
      <w:r>
        <w:rPr>
          <w:rtl/>
        </w:rPr>
        <w:t>וה</w:t>
      </w:r>
      <w:r>
        <w:rPr>
          <w:b/>
          <w:bCs/>
          <w:rtl/>
        </w:rPr>
        <w:t>ערול"נ</w:t>
      </w:r>
      <w:r>
        <w:rPr>
          <w:rtl/>
        </w:rPr>
        <w:t xml:space="preserve"> הק' דאדרבה נימא דספק דאורייתא לחומרא. [וכשיטתו דהוה הלכה למשה מסיני].</w:t>
      </w:r>
    </w:p>
  </w:footnote>
  <w:footnote w:id="4350">
    <w:p w14:paraId="413ABDA5" w14:textId="77777777" w:rsidR="00F64AED" w:rsidRDefault="00F64AED" w:rsidP="00F64AED">
      <w:pPr>
        <w:pStyle w:val="Footnote"/>
        <w:bidi/>
      </w:pPr>
      <w:r>
        <w:rPr>
          <w:rStyle w:val="ac"/>
          <w:rtl/>
        </w:rPr>
        <w:footnoteRef/>
      </w:r>
      <w:r>
        <w:rPr>
          <w:rtl/>
        </w:rPr>
        <w:t>וה"ה כאב היד או שהוא כחוש.</w:t>
      </w:r>
    </w:p>
  </w:footnote>
  <w:footnote w:id="4351">
    <w:p w14:paraId="058A2BB3" w14:textId="77777777" w:rsidR="00F64AED" w:rsidRDefault="00F64AED" w:rsidP="00F64AED">
      <w:pPr>
        <w:pStyle w:val="Footnote"/>
        <w:bidi/>
      </w:pPr>
      <w:r>
        <w:rPr>
          <w:rStyle w:val="ac"/>
          <w:rtl/>
        </w:rPr>
        <w:footnoteRef/>
      </w:r>
      <w:r>
        <w:rPr>
          <w:rtl/>
        </w:rPr>
        <w:t>וה</w:t>
      </w:r>
      <w:r>
        <w:rPr>
          <w:b/>
          <w:bCs/>
          <w:rtl/>
        </w:rPr>
        <w:t>רמב"ם</w:t>
      </w:r>
      <w:r>
        <w:rPr>
          <w:rtl/>
        </w:rPr>
        <w:t xml:space="preserve"> (מילה א יח, הו' בשו”ע רסג א) כתב דצריל להזהר מאד בדברים האלו, שאין מלין אלא ולד שאין בו שום חולי. שסכנת נפשות דוחה את הכל. ואפשר למול לאחר זמן ואי אפשר להחזיר נפש אחת מישראל לעולם. וה</w:t>
      </w:r>
      <w:r>
        <w:rPr>
          <w:b/>
          <w:bCs/>
          <w:rtl/>
        </w:rPr>
        <w:t>גר"א</w:t>
      </w:r>
      <w:r>
        <w:rPr>
          <w:rtl/>
        </w:rPr>
        <w:t xml:space="preserve"> ציין כמ"ש (רסב ב, דיני חולי וכאיב עיניה). [ויל"ד האם כוונתו לכאיב עינא, או הא דיהבי' ז' ימים].</w:t>
      </w:r>
    </w:p>
  </w:footnote>
  <w:footnote w:id="4352">
    <w:p w14:paraId="20BB33D1" w14:textId="77777777" w:rsidR="00F64AED" w:rsidRDefault="00F64AED" w:rsidP="00F64AED">
      <w:pPr>
        <w:pStyle w:val="Footnote"/>
        <w:bidi/>
      </w:pPr>
      <w:r>
        <w:rPr>
          <w:rStyle w:val="ac"/>
          <w:rtl/>
        </w:rPr>
        <w:footnoteRef/>
      </w:r>
      <w:r>
        <w:rPr>
          <w:rtl/>
        </w:rPr>
        <w:t>וב</w:t>
      </w:r>
      <w:r>
        <w:rPr>
          <w:b/>
          <w:bCs/>
          <w:rtl/>
        </w:rPr>
        <w:t>הג' מיימוניות</w:t>
      </w:r>
      <w:r>
        <w:rPr>
          <w:rtl/>
        </w:rPr>
        <w:t xml:space="preserve"> (מילה א יז) הביא דר' שמחה נסתפק בזה אי דוקא עינים דשורייקי תליא בליבא.</w:t>
      </w:r>
    </w:p>
  </w:footnote>
  <w:footnote w:id="4353">
    <w:p w14:paraId="48BF9ED5" w14:textId="77777777" w:rsidR="00F64AED" w:rsidRDefault="00F64AED" w:rsidP="00F64AED">
      <w:pPr>
        <w:pStyle w:val="Footnote"/>
        <w:bidi/>
      </w:pPr>
      <w:r>
        <w:rPr>
          <w:rStyle w:val="ac"/>
          <w:rtl/>
        </w:rPr>
        <w:footnoteRef/>
      </w:r>
      <w:r>
        <w:rPr>
          <w:rtl/>
        </w:rPr>
        <w:t>וה</w:t>
      </w:r>
      <w:r>
        <w:rPr>
          <w:b/>
          <w:bCs/>
          <w:rtl/>
        </w:rPr>
        <w:t>ש"ך</w:t>
      </w:r>
      <w:r>
        <w:rPr>
          <w:rtl/>
        </w:rPr>
        <w:t xml:space="preserve"> (שם ד) כת' דדוקא כאב גדול דנחשב חולה כל גופו, וציין לשו"ע (או"ח שכח ט).</w:t>
      </w:r>
    </w:p>
  </w:footnote>
  <w:footnote w:id="4354">
    <w:p w14:paraId="7A3D3D46" w14:textId="77777777" w:rsidR="00F64AED" w:rsidRDefault="00F64AED" w:rsidP="00F64AED">
      <w:pPr>
        <w:pStyle w:val="Footnote"/>
        <w:bidi/>
      </w:pPr>
      <w:r>
        <w:rPr>
          <w:rStyle w:val="ac"/>
          <w:rtl/>
        </w:rPr>
        <w:footnoteRef/>
      </w:r>
      <w:r>
        <w:rPr>
          <w:rtl/>
        </w:rPr>
        <w:t>לדעת רבנן (לקמן עב:). [ועוד דמילה שלא בזמנו אינו דוחה יו"ט. ואפשר דמשום מצוות ק”פ דחי].</w:t>
      </w:r>
    </w:p>
  </w:footnote>
  <w:footnote w:id="4355">
    <w:p w14:paraId="1A6495DA" w14:textId="77777777" w:rsidR="00F64AED" w:rsidRDefault="00F64AED" w:rsidP="00F64AED">
      <w:pPr>
        <w:pStyle w:val="Footnote"/>
        <w:bidi/>
      </w:pPr>
      <w:r>
        <w:rPr>
          <w:rStyle w:val="ac"/>
          <w:rtl/>
        </w:rPr>
        <w:footnoteRef/>
      </w:r>
      <w:r>
        <w:rPr>
          <w:rtl/>
        </w:rPr>
        <w:t>אבל ה</w:t>
      </w:r>
      <w:r>
        <w:rPr>
          <w:b/>
          <w:bCs/>
          <w:rtl/>
        </w:rPr>
        <w:t>מנח”ח</w:t>
      </w:r>
      <w:r>
        <w:rPr>
          <w:rtl/>
        </w:rPr>
        <w:t xml:space="preserve"> (יז יג) כתב דאשה מצווה במילת עבדיה, ונתמעטה דוקא ממילת בניה. [א"כ סוגיא דהתם לא שייך לסוגיין].</w:t>
      </w:r>
    </w:p>
  </w:footnote>
  <w:footnote w:id="4356">
    <w:p w14:paraId="1FD58392" w14:textId="77777777" w:rsidR="00F64AED" w:rsidRDefault="00F64AED" w:rsidP="00F64AED">
      <w:pPr>
        <w:pStyle w:val="Footnote"/>
        <w:bidi/>
      </w:pPr>
      <w:r>
        <w:rPr>
          <w:rStyle w:val="ac"/>
          <w:rtl/>
        </w:rPr>
        <w:footnoteRef/>
      </w:r>
      <w:r>
        <w:rPr>
          <w:rtl/>
        </w:rPr>
        <w:t>ומבואר דערל [וכן היכא דמילת זכריו מעכב] חייב כרת בפסח, ולא אמרי' דפסול לפסח ומש"ה פטור. ושמעתי להוכיח דמצוות הפסח מחייבו למול את בנו ועבדו.</w:t>
      </w:r>
    </w:p>
  </w:footnote>
  <w:footnote w:id="4357">
    <w:p w14:paraId="5D25346E" w14:textId="77777777" w:rsidR="00F64AED" w:rsidRDefault="00F64AED" w:rsidP="00F64AED">
      <w:pPr>
        <w:pStyle w:val="Footnote"/>
        <w:bidi/>
      </w:pPr>
      <w:r>
        <w:rPr>
          <w:rStyle w:val="ac"/>
          <w:rtl/>
        </w:rPr>
        <w:footnoteRef/>
      </w:r>
      <w:r>
        <w:rPr>
          <w:rtl/>
        </w:rPr>
        <w:t>וה</w:t>
      </w:r>
      <w:r>
        <w:rPr>
          <w:b/>
          <w:bCs/>
          <w:rtl/>
        </w:rPr>
        <w:t>יעב"ץ</w:t>
      </w:r>
      <w:r>
        <w:rPr>
          <w:rtl/>
        </w:rPr>
        <w:t xml:space="preserve"> כתב דצריך לאם לרוחצו שלא יסתכן. [ולפ"ז יל"פ דאו אביו או אמו חבושים]. וצ”ע דודאי חייבים למול אף כשאמו אינה יכולה לרחוץ. ומבואר דאף אונס שא”א למול ע”פ הרגיל נחשב פטור, ואינו מעכבתו למול. וצ”ב. [וצ"ל דכיון דאח"כ תשתחרר, אי"צ למהר למול לפני הפסח, כיון דאפשר למול כדרכו אחרי הפסח].</w:t>
      </w:r>
    </w:p>
  </w:footnote>
  <w:footnote w:id="4358">
    <w:p w14:paraId="7759493B" w14:textId="77777777" w:rsidR="00F64AED" w:rsidRDefault="00F64AED" w:rsidP="00F64AED">
      <w:pPr>
        <w:pStyle w:val="Footnote"/>
        <w:bidi/>
      </w:pPr>
      <w:r>
        <w:rPr>
          <w:rStyle w:val="ac"/>
          <w:rtl/>
        </w:rPr>
        <w:footnoteRef/>
      </w:r>
      <w:r>
        <w:rPr>
          <w:rtl/>
        </w:rPr>
        <w:t>ועוד כת' ה</w:t>
      </w:r>
      <w:r>
        <w:rPr>
          <w:b/>
          <w:bCs/>
          <w:rtl/>
        </w:rPr>
        <w:t>מהר"ח או"ז</w:t>
      </w:r>
      <w:r>
        <w:rPr>
          <w:rtl/>
        </w:rPr>
        <w:t xml:space="preserve"> (שם) דהאב אינו חייב למול בעצמו, אלא להתעסק במילה. ודלא כ</w:t>
      </w:r>
      <w:r>
        <w:rPr>
          <w:b/>
          <w:bCs/>
          <w:rtl/>
        </w:rPr>
        <w:t>או"ז</w:t>
      </w:r>
      <w:r>
        <w:rPr>
          <w:rtl/>
        </w:rPr>
        <w:t xml:space="preserve"> (ב צו ה, הו' בדרכ"מ יו"ד רסד א עי"ש, וה</w:t>
      </w:r>
      <w:r>
        <w:rPr>
          <w:b/>
          <w:bCs/>
          <w:rtl/>
        </w:rPr>
        <w:t xml:space="preserve">ש"ך </w:t>
      </w:r>
      <w:r>
        <w:rPr>
          <w:rtl/>
        </w:rPr>
        <w:t>חו"מ שפב ד, ע' קצות שפב ב, והו' לעיל לט.).</w:t>
      </w:r>
    </w:p>
  </w:footnote>
  <w:footnote w:id="4359">
    <w:p w14:paraId="375B6481" w14:textId="77777777" w:rsidR="00F64AED" w:rsidRDefault="00F64AED" w:rsidP="00F64AED">
      <w:pPr>
        <w:pStyle w:val="Footnote"/>
        <w:bidi/>
      </w:pPr>
      <w:r>
        <w:rPr>
          <w:rStyle w:val="ac"/>
          <w:rtl/>
        </w:rPr>
        <w:footnoteRef/>
      </w:r>
      <w:r>
        <w:rPr>
          <w:rtl/>
        </w:rPr>
        <w:t>וכת' דלא דמי לפדיון לתלמוד תורה דהאם אינה חייבת כלל. דקרא ד'אותו' משמע דממעט דוקא היכא דאיתיה לאב. דהא כל התורה נאמרה בלשון זכר, והשווה התורה אשה לאיש. [ואף דדרשי' אותו שהאב מחוייב טפי]. [אך בדברי שאר ראשונים לכאו' מבואר דהיא נתמעטה לגמרי, ע' תוס' עב:].</w:t>
      </w:r>
    </w:p>
  </w:footnote>
  <w:footnote w:id="4360">
    <w:p w14:paraId="482B7D4F" w14:textId="77777777" w:rsidR="00F64AED" w:rsidRDefault="00F64AED" w:rsidP="00F64AED">
      <w:pPr>
        <w:pStyle w:val="Footnote"/>
        <w:bidi/>
      </w:pPr>
      <w:r>
        <w:rPr>
          <w:rStyle w:val="ac"/>
          <w:rtl/>
        </w:rPr>
        <w:footnoteRef/>
      </w:r>
      <w:r>
        <w:rPr>
          <w:rtl/>
        </w:rPr>
        <w:t>וה</w:t>
      </w:r>
      <w:r>
        <w:rPr>
          <w:b/>
          <w:bCs/>
          <w:rtl/>
        </w:rPr>
        <w:t>או”ש</w:t>
      </w:r>
      <w:r>
        <w:rPr>
          <w:rtl/>
        </w:rPr>
        <w:t xml:space="preserve"> (ק"פ ט ט) כתב עד”ז דאם חבוש ע”י ישראל, הבי"ד ודאי חייבים למולו. וע”כ איירי בחבוש ע”י עכו”ם. אך קי"ל (פסחים צא) דבחבוש ע"י עכו"ם אין שוחטים עליו הפסח כלל, דכתיב אשר פיהם דיבר שווא. וכתב דמש"ה הרמב"ם השמיט דין זה, דלא משכח”ל. וכן הרמב"ם השמיט הוציא את ראשו, דלא שכיח כלל.</w:t>
      </w:r>
    </w:p>
  </w:footnote>
  <w:footnote w:id="4361">
    <w:p w14:paraId="47730E60" w14:textId="77777777" w:rsidR="00F64AED" w:rsidRDefault="00F64AED" w:rsidP="00F64AED">
      <w:pPr>
        <w:pStyle w:val="Footnote"/>
        <w:bidi/>
      </w:pPr>
      <w:r>
        <w:rPr>
          <w:rStyle w:val="ac"/>
          <w:rtl/>
        </w:rPr>
        <w:footnoteRef/>
      </w:r>
      <w:r>
        <w:rPr>
          <w:rtl/>
        </w:rPr>
        <w:t>משמע בשמיני, והכא יצא מבית האסורין ביום השמיני. [אבל ב</w:t>
      </w:r>
      <w:r>
        <w:rPr>
          <w:b/>
          <w:bCs/>
          <w:rtl/>
        </w:rPr>
        <w:t>שו"ת תשב"ץ</w:t>
      </w:r>
      <w:r>
        <w:rPr>
          <w:rtl/>
        </w:rPr>
        <w:t xml:space="preserve"> (ג ח) דדייק מדברי הרמב"ם דאף אם האב מתעצל, ולא ימול בזמנו הבי"ד אינם חייבים. דמ”מ ימול אח”כ].</w:t>
      </w:r>
    </w:p>
  </w:footnote>
  <w:footnote w:id="4362">
    <w:p w14:paraId="23FB4814" w14:textId="77777777" w:rsidR="00F64AED" w:rsidRDefault="00F64AED" w:rsidP="00F64AED">
      <w:pPr>
        <w:pStyle w:val="Footnote"/>
        <w:bidi/>
      </w:pPr>
      <w:r>
        <w:rPr>
          <w:rStyle w:val="ac"/>
          <w:rtl/>
        </w:rPr>
        <w:footnoteRef/>
      </w:r>
      <w:r>
        <w:rPr>
          <w:rtl/>
        </w:rPr>
        <w:t>[וכן נקט בהג' יעב"ץ]. ולפ"ז הפטור דחבושים הוא משום דאינו עומד למול כלל. אבל מה שהוא עצמו אונס אינו פוטרו. [וע' בסמוך מש"כ המאירי].</w:t>
      </w:r>
    </w:p>
  </w:footnote>
  <w:footnote w:id="4363">
    <w:p w14:paraId="7A08DA83" w14:textId="77777777" w:rsidR="00F64AED" w:rsidRDefault="00F64AED" w:rsidP="00F64AED">
      <w:pPr>
        <w:pStyle w:val="Footnote"/>
        <w:bidi/>
      </w:pPr>
      <w:r>
        <w:rPr>
          <w:rStyle w:val="ac"/>
          <w:rtl/>
        </w:rPr>
        <w:footnoteRef/>
      </w:r>
      <w:r>
        <w:rPr>
          <w:rtl/>
        </w:rPr>
        <w:t>וכעי"ז כת' ה</w:t>
      </w:r>
      <w:r>
        <w:rPr>
          <w:b/>
          <w:bCs/>
          <w:rtl/>
        </w:rPr>
        <w:t>יונת אלם</w:t>
      </w:r>
      <w:r>
        <w:rPr>
          <w:rtl/>
        </w:rPr>
        <w:t xml:space="preserve"> (לג) דהאם חייבת למול מדין בי"ד, דלא גרע מכל ישראל [וע' בראשונים קידושין כט]. ועי"ז מעכב פסח של האב.</w:t>
      </w:r>
    </w:p>
  </w:footnote>
  <w:footnote w:id="4364">
    <w:p w14:paraId="40B3DD15" w14:textId="77777777" w:rsidR="00F64AED" w:rsidRDefault="00F64AED" w:rsidP="00F64AED">
      <w:pPr>
        <w:pStyle w:val="Footnote"/>
        <w:bidi/>
      </w:pPr>
      <w:r>
        <w:rPr>
          <w:rStyle w:val="ac"/>
          <w:rtl/>
        </w:rPr>
        <w:footnoteRef/>
      </w:r>
      <w:r>
        <w:rPr>
          <w:rtl/>
        </w:rPr>
        <w:t>וה</w:t>
      </w:r>
      <w:r>
        <w:rPr>
          <w:b/>
          <w:bCs/>
          <w:rtl/>
        </w:rPr>
        <w:t>אחרונים</w:t>
      </w:r>
      <w:r>
        <w:rPr>
          <w:rtl/>
        </w:rPr>
        <w:t xml:space="preserve"> (ערול"נ) דנו האם כוונתו האם ס”ל דנחשב דהאב קיים מצוותו ע”י שליח [דעיקר המצוה 'לדעוג' שימולו את הבן] ואפ"ה נחשב אונס דאין 'דרך' לעשות ע”י שליח. א"נ כדעת האו"ז (הנ"ל, הו' בדרכ"מ רסד א ו</w:t>
      </w:r>
      <w:r>
        <w:rPr>
          <w:b/>
          <w:bCs/>
          <w:rtl/>
        </w:rPr>
        <w:t>ש”ך</w:t>
      </w:r>
      <w:r>
        <w:rPr>
          <w:rtl/>
        </w:rPr>
        <w:t xml:space="preserve"> חו”מ שפב ד) דכשהאב מל ע”י שליח לא קיים את מצוותו.</w:t>
      </w:r>
    </w:p>
  </w:footnote>
  <w:footnote w:id="4365">
    <w:p w14:paraId="4F355475" w14:textId="77777777" w:rsidR="00F64AED" w:rsidRDefault="00F64AED" w:rsidP="00F64AED">
      <w:pPr>
        <w:pStyle w:val="Footnote"/>
        <w:bidi/>
      </w:pPr>
      <w:r>
        <w:rPr>
          <w:rStyle w:val="ac"/>
          <w:rtl/>
        </w:rPr>
        <w:footnoteRef/>
      </w:r>
      <w:r>
        <w:rPr>
          <w:rtl/>
        </w:rPr>
        <w:t>ויש להסתפק בכוונת הריטב"א האם חייב למול [ודלא כמ"ש תוס' ושא"ר שם] או רק ראוי למול.</w:t>
      </w:r>
    </w:p>
  </w:footnote>
  <w:footnote w:id="4366">
    <w:p w14:paraId="4BF5E093" w14:textId="77777777" w:rsidR="00F64AED" w:rsidRDefault="00F64AED" w:rsidP="00F64AED">
      <w:pPr>
        <w:pStyle w:val="Footnote"/>
        <w:bidi/>
      </w:pPr>
      <w:r>
        <w:rPr>
          <w:rStyle w:val="ac"/>
          <w:rtl/>
        </w:rPr>
        <w:footnoteRef/>
      </w:r>
      <w:r>
        <w:rPr>
          <w:rtl/>
        </w:rPr>
        <w:t>וה</w:t>
      </w:r>
      <w:r>
        <w:rPr>
          <w:b/>
          <w:bCs/>
          <w:rtl/>
        </w:rPr>
        <w:t>רמב"ן</w:t>
      </w:r>
      <w:r>
        <w:rPr>
          <w:rtl/>
        </w:rPr>
        <w:t xml:space="preserve"> שם כתב דאם חלצתו בר מימהל, [וצ"ב דבעינן ז' ימים], משא”כ מתו אחיו דאינו ראוי למול כלל.</w:t>
      </w:r>
    </w:p>
  </w:footnote>
  <w:footnote w:id="4367">
    <w:p w14:paraId="32B5399A" w14:textId="77777777" w:rsidR="00F64AED" w:rsidRDefault="00F64AED" w:rsidP="00F64AED">
      <w:pPr>
        <w:pStyle w:val="Footnote"/>
        <w:bidi/>
      </w:pPr>
      <w:r>
        <w:rPr>
          <w:rStyle w:val="ac"/>
          <w:rtl/>
        </w:rPr>
        <w:footnoteRef/>
      </w:r>
      <w:r>
        <w:rPr>
          <w:rtl/>
        </w:rPr>
        <w:t>וע' בסמוך דנחלקו הראשונים האם מילת הבנים עיכב במדבר, אף דלא היו יכולים למול.</w:t>
      </w:r>
    </w:p>
  </w:footnote>
  <w:footnote w:id="4368">
    <w:p w14:paraId="6D6F8662" w14:textId="77777777" w:rsidR="00F64AED" w:rsidRDefault="00F64AED" w:rsidP="00F64AED">
      <w:pPr>
        <w:pStyle w:val="Footnote"/>
        <w:bidi/>
      </w:pPr>
      <w:r>
        <w:rPr>
          <w:rStyle w:val="ac"/>
          <w:rtl/>
        </w:rPr>
        <w:footnoteRef/>
      </w:r>
      <w:r>
        <w:rPr>
          <w:rtl/>
        </w:rPr>
        <w:t>אולם ה</w:t>
      </w:r>
      <w:r>
        <w:rPr>
          <w:b/>
          <w:bCs/>
          <w:rtl/>
        </w:rPr>
        <w:t xml:space="preserve">שעה"מ </w:t>
      </w:r>
      <w:r>
        <w:rPr>
          <w:rtl/>
        </w:rPr>
        <w:t>(ק"פ ט ט) העלה צד דדוקא בשחיטת פסח [דכל הסוגיא קאי אשחיטה], אבל מעכב את אביו באכילה [והוה גדר שונה].</w:t>
      </w:r>
    </w:p>
  </w:footnote>
  <w:footnote w:id="4369">
    <w:p w14:paraId="6A835BB4" w14:textId="77777777" w:rsidR="00F64AED" w:rsidRDefault="00F64AED" w:rsidP="00F64AED">
      <w:pPr>
        <w:pStyle w:val="Footnote"/>
        <w:bidi/>
      </w:pPr>
      <w:r>
        <w:rPr>
          <w:rStyle w:val="ac"/>
          <w:rtl/>
        </w:rPr>
        <w:footnoteRef/>
      </w:r>
      <w:r>
        <w:rPr>
          <w:rtl/>
        </w:rPr>
        <w:t>ועי"ז מעכב האב [אף דהוא אנוס]. ועוד שמעתי דע"י שהוא מצווה למול [בפועל] מתייחס עליו הערלות.</w:t>
      </w:r>
    </w:p>
  </w:footnote>
  <w:footnote w:id="4370">
    <w:p w14:paraId="4C61FD34" w14:textId="77777777" w:rsidR="00F64AED" w:rsidRDefault="00F64AED" w:rsidP="00F64AED">
      <w:pPr>
        <w:pStyle w:val="Footnote"/>
        <w:bidi/>
      </w:pPr>
      <w:r>
        <w:rPr>
          <w:rStyle w:val="ac"/>
          <w:rtl/>
        </w:rPr>
        <w:footnoteRef/>
      </w:r>
      <w:r>
        <w:rPr>
          <w:rtl/>
        </w:rPr>
        <w:t>ועי"ז חייבת למול מהל' פסח.</w:t>
      </w:r>
    </w:p>
  </w:footnote>
  <w:footnote w:id="4371">
    <w:p w14:paraId="663B948C" w14:textId="77777777" w:rsidR="00F64AED" w:rsidRDefault="00F64AED" w:rsidP="00F64AED">
      <w:pPr>
        <w:pStyle w:val="Footnote"/>
        <w:bidi/>
      </w:pPr>
      <w:r>
        <w:rPr>
          <w:rStyle w:val="ac"/>
          <w:rtl/>
        </w:rPr>
        <w:footnoteRef/>
      </w:r>
      <w:r>
        <w:rPr>
          <w:rtl/>
        </w:rPr>
        <w:t>כדאמרי' (בע"א) דעכו"ם מהול דינו כערל [וה</w:t>
      </w:r>
      <w:r>
        <w:rPr>
          <w:b/>
          <w:bCs/>
          <w:rtl/>
        </w:rPr>
        <w:t xml:space="preserve">גר"ח </w:t>
      </w:r>
      <w:r>
        <w:rPr>
          <w:rtl/>
        </w:rPr>
        <w:t>הביא מכאן דהגדר דעצם הגיות הוה שם ערלות, ולא רק דלא מהני מילה דידיה. ודלא כרשב”א לעיל].</w:t>
      </w:r>
    </w:p>
  </w:footnote>
  <w:footnote w:id="4372">
    <w:p w14:paraId="16BEA4D7" w14:textId="77777777" w:rsidR="00F64AED" w:rsidRDefault="00F64AED" w:rsidP="00F64AED">
      <w:pPr>
        <w:pStyle w:val="Footnote"/>
        <w:bidi/>
      </w:pPr>
      <w:r>
        <w:rPr>
          <w:rStyle w:val="ac"/>
          <w:rtl/>
        </w:rPr>
        <w:footnoteRef/>
      </w:r>
      <w:r>
        <w:rPr>
          <w:rtl/>
        </w:rPr>
        <w:t>וב</w:t>
      </w:r>
      <w:r>
        <w:rPr>
          <w:b/>
          <w:bCs/>
          <w:rtl/>
        </w:rPr>
        <w:t>ספרי זוטא</w:t>
      </w:r>
      <w:r>
        <w:rPr>
          <w:rtl/>
        </w:rPr>
        <w:t xml:space="preserve"> (חוקת, הו' בילקוט) דדרשי' והזה הטהור על 'הטמא', דכל המטמאין אין מקבלים הזאה. [והמפרשים דנו דתיבת 'אין' הוה ט"ס, וילפי' דמקבלים הזאה].</w:t>
      </w:r>
    </w:p>
  </w:footnote>
  <w:footnote w:id="4373">
    <w:p w14:paraId="2AC687C0" w14:textId="77777777" w:rsidR="00F64AED" w:rsidRDefault="00F64AED" w:rsidP="00F64AED">
      <w:pPr>
        <w:pStyle w:val="Footnote"/>
        <w:bidi/>
      </w:pPr>
      <w:r>
        <w:rPr>
          <w:rStyle w:val="ac"/>
          <w:rtl/>
        </w:rPr>
        <w:footnoteRef/>
      </w:r>
      <w:r>
        <w:rPr>
          <w:rtl/>
        </w:rPr>
        <w:t>ו</w:t>
      </w:r>
      <w:r>
        <w:rPr>
          <w:b/>
          <w:bCs/>
          <w:rtl/>
        </w:rPr>
        <w:t>תוס'</w:t>
      </w:r>
      <w:r>
        <w:rPr>
          <w:rtl/>
        </w:rPr>
        <w:t xml:space="preserve"> (זבחים צג.) כת' דהיינו אחרי שנתן בתוכם אפר.</w:t>
      </w:r>
    </w:p>
  </w:footnote>
  <w:footnote w:id="4374">
    <w:p w14:paraId="1D529AB5" w14:textId="77777777" w:rsidR="00F64AED" w:rsidRDefault="00F64AED" w:rsidP="00F64AED">
      <w:pPr>
        <w:pStyle w:val="Footnote"/>
        <w:bidi/>
      </w:pPr>
      <w:r>
        <w:rPr>
          <w:rStyle w:val="ac"/>
          <w:rtl/>
        </w:rPr>
        <w:footnoteRef/>
      </w:r>
      <w:r>
        <w:rPr>
          <w:rtl/>
        </w:rPr>
        <w:t>ותוס' דימו דכל הטמאים. אבל ה</w:t>
      </w:r>
      <w:r>
        <w:rPr>
          <w:b/>
          <w:bCs/>
          <w:rtl/>
        </w:rPr>
        <w:t>זכר יצחק</w:t>
      </w:r>
      <w:r>
        <w:rPr>
          <w:rtl/>
        </w:rPr>
        <w:t xml:space="preserve"> (א עה) דייק מדברי </w:t>
      </w:r>
      <w:r>
        <w:rPr>
          <w:b/>
          <w:bCs/>
          <w:rtl/>
        </w:rPr>
        <w:t>רש”י</w:t>
      </w:r>
      <w:r>
        <w:rPr>
          <w:rtl/>
        </w:rPr>
        <w:t xml:space="preserve"> (זבחים צג.) דדוקא נדה דבידה לטבול, ולאחר ההזאה טובלת ונטהרת מהכל. דרש”י כת' שלא מצינו בתורה שהוזקקה לטבול לנדתה תחלה ולקבל הזאה וטהרה כשתטבול. והזכר יצחק נקט דתוך ימי נידותה ל"מ הזאה. [וביאר דיש חילוק בין עצם הטומאה, לבין היכא דהתחיל כבר טהרתה].</w:t>
      </w:r>
    </w:p>
  </w:footnote>
  <w:footnote w:id="4375">
    <w:p w14:paraId="0505CFF3" w14:textId="77777777" w:rsidR="00F64AED" w:rsidRDefault="00F64AED" w:rsidP="00F64AED">
      <w:pPr>
        <w:pStyle w:val="Footnote"/>
        <w:bidi/>
      </w:pPr>
      <w:r>
        <w:rPr>
          <w:rStyle w:val="ac"/>
          <w:rtl/>
        </w:rPr>
        <w:footnoteRef/>
      </w:r>
      <w:r>
        <w:rPr>
          <w:rtl/>
        </w:rPr>
        <w:t>והרמב"ם כת' כיצד זבים וזבות נדות ויולדות שנטמאו במת מזין עליהן, וטהורין מטומאת מת אף שהן טמאין טומאה אחרת. שנאמר והזה הטהור על הטמא ביום השלישי, הא למדת שהזייה מועלת לו אף שהוא טמא.</w:t>
      </w:r>
    </w:p>
  </w:footnote>
  <w:footnote w:id="4376">
    <w:p w14:paraId="4B07479D" w14:textId="77777777" w:rsidR="00F64AED" w:rsidRDefault="00F64AED" w:rsidP="00F64AED">
      <w:pPr>
        <w:pStyle w:val="Footnote"/>
        <w:bidi/>
      </w:pPr>
      <w:r>
        <w:rPr>
          <w:rStyle w:val="ac"/>
          <w:rtl/>
        </w:rPr>
        <w:footnoteRef/>
      </w:r>
      <w:r>
        <w:rPr>
          <w:rtl/>
        </w:rPr>
        <w:t>וס"ד דהגמ' דיש סברא דכיון דשייך למת, לא מהני ליטהר מהטומאה הנוספת, דהוה טובל ושרץ בידו.</w:t>
      </w:r>
    </w:p>
    <w:p w14:paraId="71531D8F" w14:textId="77777777" w:rsidR="00F64AED" w:rsidRDefault="00F64AED" w:rsidP="00F64AED">
      <w:pPr>
        <w:pStyle w:val="Footnote"/>
        <w:bidi/>
      </w:pPr>
      <w:r>
        <w:rPr>
          <w:rtl/>
        </w:rPr>
        <w:tab/>
        <w:t>ו</w:t>
      </w:r>
      <w:r>
        <w:rPr>
          <w:b/>
          <w:bCs/>
          <w:rtl/>
        </w:rPr>
        <w:t>תוס'</w:t>
      </w:r>
      <w:r>
        <w:rPr>
          <w:rtl/>
        </w:rPr>
        <w:t xml:space="preserve"> (חגיגה כג.) כת' דהיינו דוקא בשאר טומאה, אבל בטומאת מת נפסל.</w:t>
      </w:r>
    </w:p>
  </w:footnote>
  <w:footnote w:id="4377">
    <w:p w14:paraId="1CA1FAC0" w14:textId="77777777" w:rsidR="00F64AED" w:rsidRDefault="00F64AED" w:rsidP="00F64AED">
      <w:pPr>
        <w:pStyle w:val="Footnote"/>
        <w:bidi/>
      </w:pPr>
      <w:r>
        <w:rPr>
          <w:rStyle w:val="ac"/>
          <w:rtl/>
        </w:rPr>
        <w:footnoteRef/>
      </w:r>
      <w:r>
        <w:rPr>
          <w:rtl/>
        </w:rPr>
        <w:t>יל"ד האם הוא משום טומאת הערלות, או תנאי במעשה הזאה. [וצ"ב היאך נילף מגירות, דהוה עדיין עכו"ם].</w:t>
      </w:r>
    </w:p>
  </w:footnote>
  <w:footnote w:id="4378">
    <w:p w14:paraId="0D1D5EB6" w14:textId="77777777" w:rsidR="00F64AED" w:rsidRDefault="00F64AED" w:rsidP="00F64AED">
      <w:pPr>
        <w:pStyle w:val="Footnote"/>
        <w:bidi/>
      </w:pPr>
      <w:r>
        <w:rPr>
          <w:rStyle w:val="ac"/>
          <w:rtl/>
        </w:rPr>
        <w:footnoteRef/>
      </w:r>
      <w:r>
        <w:rPr>
          <w:rtl/>
        </w:rPr>
        <w:t>[ועפ"ז יתכן דתהני להזאות כשערל, ויטהר ע"י מילה. ולא משמע כן].</w:t>
      </w:r>
    </w:p>
  </w:footnote>
  <w:footnote w:id="4379">
    <w:p w14:paraId="3AC7201E" w14:textId="77777777" w:rsidR="00F64AED" w:rsidRDefault="00F64AED" w:rsidP="00F64AED">
      <w:pPr>
        <w:pStyle w:val="Footnote"/>
        <w:bidi/>
      </w:pPr>
      <w:r>
        <w:rPr>
          <w:rStyle w:val="ac"/>
          <w:rtl/>
        </w:rPr>
        <w:footnoteRef/>
      </w:r>
      <w:r>
        <w:rPr>
          <w:rtl/>
        </w:rPr>
        <w:t>[ואף לר' שמעון, וכדלעיל סא.].</w:t>
      </w:r>
    </w:p>
  </w:footnote>
  <w:footnote w:id="4380">
    <w:p w14:paraId="0427FAFD" w14:textId="77777777" w:rsidR="00F64AED" w:rsidRDefault="00F64AED" w:rsidP="00F64AED">
      <w:pPr>
        <w:pStyle w:val="Footnote"/>
        <w:bidi/>
      </w:pPr>
      <w:r>
        <w:rPr>
          <w:rStyle w:val="ac"/>
          <w:rtl/>
        </w:rPr>
        <w:footnoteRef/>
      </w:r>
      <w:r>
        <w:rPr>
          <w:rtl/>
        </w:rPr>
        <w:t>וה</w:t>
      </w:r>
      <w:r>
        <w:rPr>
          <w:b/>
          <w:bCs/>
          <w:rtl/>
        </w:rPr>
        <w:t>מנח"ח</w:t>
      </w:r>
      <w:r>
        <w:rPr>
          <w:rtl/>
        </w:rPr>
        <w:t xml:space="preserve"> (סוף מצוה ב) כתב לפ"ז דאף לדברי ה</w:t>
      </w:r>
      <w:r>
        <w:rPr>
          <w:b/>
          <w:bCs/>
          <w:rtl/>
        </w:rPr>
        <w:t>ראשונים</w:t>
      </w:r>
      <w:r>
        <w:rPr>
          <w:rtl/>
        </w:rPr>
        <w:t xml:space="preserve"> (מאירי מו:, ועי"ש ברמב"ן) דמהני מילת בני קטורה לכשתיגייר אח”כ, דנחשב לשם יהדות. הא מ"מ אין מצווה בפריעה [ומל ולא פרע כאילו לא מל], וכלפי הפריעה הוה כערבי מהול ומחוסר מילת יהדות.</w:t>
      </w:r>
    </w:p>
  </w:footnote>
  <w:footnote w:id="4381">
    <w:p w14:paraId="0CD47875" w14:textId="77777777" w:rsidR="00F64AED" w:rsidRDefault="00F64AED" w:rsidP="00F64AED">
      <w:pPr>
        <w:pStyle w:val="Footnote"/>
        <w:bidi/>
      </w:pPr>
      <w:r>
        <w:rPr>
          <w:rStyle w:val="ac"/>
          <w:rtl/>
        </w:rPr>
        <w:footnoteRef/>
      </w:r>
      <w:r>
        <w:rPr>
          <w:rtl/>
        </w:rPr>
        <w:t>ועוד תי' (הו' בשל"ה) דלא היה רשאי לחבול בעצמו. ועוד תי' דרק משעה שמל עצמו קיים כל התורה.</w:t>
      </w:r>
    </w:p>
  </w:footnote>
  <w:footnote w:id="4382">
    <w:p w14:paraId="4E1DCAFD" w14:textId="77777777" w:rsidR="00F64AED" w:rsidRDefault="00F64AED" w:rsidP="00F64AED">
      <w:pPr>
        <w:pStyle w:val="Footnote"/>
        <w:bidi/>
      </w:pPr>
      <w:r>
        <w:rPr>
          <w:rStyle w:val="ac"/>
          <w:rtl/>
        </w:rPr>
        <w:footnoteRef/>
      </w:r>
      <w:r>
        <w:rPr>
          <w:rtl/>
        </w:rPr>
        <w:t>וכ"כ ה</w:t>
      </w:r>
      <w:r>
        <w:rPr>
          <w:b/>
          <w:bCs/>
          <w:rtl/>
        </w:rPr>
        <w:t>ר"א מזרחי</w:t>
      </w:r>
      <w:r>
        <w:rPr>
          <w:rtl/>
        </w:rPr>
        <w:t xml:space="preserve"> (שם כה), וכן הו' ב</w:t>
      </w:r>
      <w:r>
        <w:rPr>
          <w:b/>
          <w:bCs/>
          <w:rtl/>
        </w:rPr>
        <w:t>של”ה</w:t>
      </w:r>
      <w:r>
        <w:rPr>
          <w:rtl/>
        </w:rPr>
        <w:t xml:space="preserve"> (תורה אור לך לך בהג') [וע' משפטי שמואל יג].</w:t>
      </w:r>
    </w:p>
  </w:footnote>
  <w:footnote w:id="4383">
    <w:p w14:paraId="6801255F" w14:textId="77777777" w:rsidR="00F64AED" w:rsidRDefault="00F64AED" w:rsidP="00F64AED">
      <w:pPr>
        <w:pStyle w:val="Footnote"/>
        <w:bidi/>
      </w:pPr>
      <w:r>
        <w:rPr>
          <w:rStyle w:val="ac"/>
          <w:rtl/>
        </w:rPr>
        <w:footnoteRef/>
      </w:r>
      <w:r>
        <w:rPr>
          <w:rtl/>
        </w:rPr>
        <w:t>וה</w:t>
      </w:r>
      <w:r>
        <w:rPr>
          <w:b/>
          <w:bCs/>
          <w:rtl/>
        </w:rPr>
        <w:t>גרי"ז</w:t>
      </w:r>
      <w:r>
        <w:rPr>
          <w:rtl/>
        </w:rPr>
        <w:t xml:space="preserve"> (הו' לעיל עא.) תי' דקודם דנצטווה לא היה שם ערלה. [אבל משעה שנחשב ערלה, ממילא שייך אף פריעה].</w:t>
      </w:r>
    </w:p>
  </w:footnote>
  <w:footnote w:id="4384">
    <w:p w14:paraId="0F03A912" w14:textId="77777777" w:rsidR="00F64AED" w:rsidRDefault="00F64AED" w:rsidP="00F64AED">
      <w:pPr>
        <w:pStyle w:val="Footnote"/>
        <w:bidi/>
      </w:pPr>
      <w:r>
        <w:rPr>
          <w:rStyle w:val="ac"/>
          <w:rtl/>
        </w:rPr>
        <w:footnoteRef/>
      </w:r>
      <w:r>
        <w:rPr>
          <w:rtl/>
        </w:rPr>
        <w:t>וצ"ב גדר זה. [עכ"פ מבואר בריטב"א דפריעת מילה הוה הגדרה במצוות מילה, ולא דין בפנ"ע].</w:t>
      </w:r>
    </w:p>
  </w:footnote>
  <w:footnote w:id="4385">
    <w:p w14:paraId="1A79DF2C" w14:textId="77777777" w:rsidR="00F64AED" w:rsidRDefault="00F64AED" w:rsidP="00F64AED">
      <w:pPr>
        <w:pStyle w:val="Footnote"/>
        <w:bidi/>
      </w:pPr>
      <w:r>
        <w:rPr>
          <w:rStyle w:val="ac"/>
          <w:rtl/>
        </w:rPr>
        <w:footnoteRef/>
      </w:r>
      <w:r>
        <w:rPr>
          <w:rtl/>
        </w:rPr>
        <w:t>[וכ"מ ב</w:t>
      </w:r>
      <w:r>
        <w:rPr>
          <w:b/>
          <w:bCs/>
          <w:rtl/>
        </w:rPr>
        <w:t>רמב"ן</w:t>
      </w:r>
      <w:r>
        <w:rPr>
          <w:rtl/>
        </w:rPr>
        <w:t xml:space="preserve"> דכתב (בתי' הב') דמשה נצטווה ע"פ הדיבור לעשות בכניסתן לארץ שעכשיו אינן מלים].</w:t>
      </w:r>
    </w:p>
  </w:footnote>
  <w:footnote w:id="4386">
    <w:p w14:paraId="50736756" w14:textId="77777777" w:rsidR="00F64AED" w:rsidRDefault="00F64AED" w:rsidP="00F64AED">
      <w:pPr>
        <w:pStyle w:val="Footnote"/>
        <w:bidi/>
      </w:pPr>
      <w:r>
        <w:rPr>
          <w:rStyle w:val="ac"/>
          <w:rtl/>
        </w:rPr>
        <w:footnoteRef/>
      </w:r>
      <w:r>
        <w:rPr>
          <w:rtl/>
        </w:rPr>
        <w:t xml:space="preserve">וצ"ב דהיוצאים ממצרים ודאי פרעו מיד בהר סיני [לפני העגל]. ומדברי </w:t>
      </w:r>
      <w:r>
        <w:rPr>
          <w:b/>
          <w:bCs/>
          <w:rtl/>
        </w:rPr>
        <w:t>תוס</w:t>
      </w:r>
      <w:r>
        <w:rPr>
          <w:rtl/>
        </w:rPr>
        <w:t>' ושא"ר מבואר דהיוצאים ממצרים אכלו בקדשים במדבר. [ועוד צ"ב לפ"ז מהו 'שנית'].</w:t>
      </w:r>
    </w:p>
  </w:footnote>
  <w:footnote w:id="4387">
    <w:p w14:paraId="76502B9A" w14:textId="77777777" w:rsidR="00F64AED" w:rsidRDefault="00F64AED" w:rsidP="00F64AED">
      <w:pPr>
        <w:pStyle w:val="Footnote"/>
        <w:bidi/>
      </w:pPr>
      <w:r>
        <w:rPr>
          <w:rStyle w:val="ac"/>
          <w:rtl/>
        </w:rPr>
        <w:footnoteRef/>
      </w:r>
      <w:r>
        <w:rPr>
          <w:rtl/>
        </w:rPr>
        <w:t>והגמ' מק' דנימא אנא עבדא פלגא מצווה אתון עבדיתו פלגא, ותי' דאיירי שלא הספיק [שאף אחר לא היה מספיק].</w:t>
      </w:r>
    </w:p>
  </w:footnote>
  <w:footnote w:id="4388">
    <w:p w14:paraId="7CA59938" w14:textId="77777777" w:rsidR="00F64AED" w:rsidRDefault="00F64AED" w:rsidP="00F64AED">
      <w:pPr>
        <w:pStyle w:val="Footnote"/>
        <w:bidi/>
      </w:pPr>
      <w:r>
        <w:rPr>
          <w:rStyle w:val="ac"/>
          <w:rtl/>
        </w:rPr>
        <w:footnoteRef/>
      </w:r>
      <w:r>
        <w:rPr>
          <w:rtl/>
        </w:rPr>
        <w:t>ו</w:t>
      </w:r>
      <w:r>
        <w:rPr>
          <w:b/>
          <w:bCs/>
          <w:rtl/>
        </w:rPr>
        <w:t>רע"א</w:t>
      </w:r>
      <w:r>
        <w:rPr>
          <w:rtl/>
        </w:rPr>
        <w:t xml:space="preserve"> (שם) הקשה דהוה מקלקל [ואכמ"ל]. אבל ה</w:t>
      </w:r>
      <w:r>
        <w:rPr>
          <w:b/>
          <w:bCs/>
          <w:rtl/>
        </w:rPr>
        <w:t xml:space="preserve">מאירי </w:t>
      </w:r>
      <w:r>
        <w:rPr>
          <w:rtl/>
        </w:rPr>
        <w:t>כתב דמ"מ מתקן הוא במה שעשה [משמע דאף דלא קיים המצווה, מ"מ עשה מקצת].</w:t>
      </w:r>
    </w:p>
  </w:footnote>
  <w:footnote w:id="4389">
    <w:p w14:paraId="77F3F74C" w14:textId="77777777" w:rsidR="00F64AED" w:rsidRDefault="00F64AED" w:rsidP="00F64AED">
      <w:pPr>
        <w:pStyle w:val="Footnote"/>
        <w:bidi/>
      </w:pPr>
      <w:r>
        <w:rPr>
          <w:rStyle w:val="ac"/>
          <w:rtl/>
        </w:rPr>
        <w:footnoteRef/>
      </w:r>
      <w:r>
        <w:rPr>
          <w:rtl/>
        </w:rPr>
        <w:t>ומפורש בגמ' (שבת) דאם אחר גמרו פטור. [וה</w:t>
      </w:r>
      <w:r>
        <w:rPr>
          <w:b/>
          <w:bCs/>
          <w:rtl/>
        </w:rPr>
        <w:t>ב"י</w:t>
      </w:r>
      <w:r>
        <w:rPr>
          <w:rtl/>
        </w:rPr>
        <w:t xml:space="preserve"> כתב דבריו לאסור לכתחילה. וה</w:t>
      </w:r>
      <w:r>
        <w:rPr>
          <w:b/>
          <w:bCs/>
          <w:rtl/>
        </w:rPr>
        <w:t>רמ"א</w:t>
      </w:r>
      <w:r>
        <w:rPr>
          <w:rtl/>
        </w:rPr>
        <w:t xml:space="preserve"> תמה דהיכא דגמר אחר ודאי שפיר דמי. והשאג"א חילק דאסור לסלק ידיו בלא שיסיים המילה, אבל היכא דסילק ידיו אדם אחר רשאי לסיים].</w:t>
      </w:r>
    </w:p>
    <w:p w14:paraId="6563057C" w14:textId="77777777" w:rsidR="00F64AED" w:rsidRDefault="00F64AED" w:rsidP="00F64AED">
      <w:pPr>
        <w:pStyle w:val="Footnote"/>
        <w:bidi/>
      </w:pPr>
      <w:r>
        <w:rPr>
          <w:rtl/>
        </w:rPr>
        <w:tab/>
        <w:t>אך ה</w:t>
      </w:r>
      <w:r>
        <w:rPr>
          <w:b/>
          <w:bCs/>
          <w:rtl/>
        </w:rPr>
        <w:t>יש"ש</w:t>
      </w:r>
      <w:r>
        <w:rPr>
          <w:rtl/>
        </w:rPr>
        <w:t xml:space="preserve"> העמיד דהתם לא גמר את המילה [ודלא כשיטה לר”ן ומאירי], אבל אם מל ולא פרע גרע.</w:t>
      </w:r>
    </w:p>
  </w:footnote>
  <w:footnote w:id="4390">
    <w:p w14:paraId="22D64F06" w14:textId="77777777" w:rsidR="00F64AED" w:rsidRDefault="00F64AED" w:rsidP="00F64AED">
      <w:pPr>
        <w:pStyle w:val="Footnote"/>
        <w:bidi/>
      </w:pPr>
      <w:r>
        <w:rPr>
          <w:rStyle w:val="ac"/>
          <w:rtl/>
        </w:rPr>
        <w:footnoteRef/>
      </w:r>
      <w:r>
        <w:rPr>
          <w:rtl/>
        </w:rPr>
        <w:t>וה</w:t>
      </w:r>
      <w:r>
        <w:rPr>
          <w:b/>
          <w:bCs/>
          <w:rtl/>
        </w:rPr>
        <w:t>מאירי</w:t>
      </w:r>
      <w:r>
        <w:rPr>
          <w:rtl/>
        </w:rPr>
        <w:t xml:space="preserve"> (שם) כת' דשם החסרון משום דעשה פריעה בלילה, ובלילה ל"מ. [ומשמע דאם היה פורע למחרת היה מהני, וכמ"ש הנוב"י].</w:t>
      </w:r>
    </w:p>
  </w:footnote>
  <w:footnote w:id="4391">
    <w:p w14:paraId="12A25F04" w14:textId="77777777" w:rsidR="00F64AED" w:rsidRDefault="00F64AED" w:rsidP="00F64AED">
      <w:pPr>
        <w:pStyle w:val="Footnote"/>
        <w:bidi/>
      </w:pPr>
      <w:r>
        <w:rPr>
          <w:rStyle w:val="ac"/>
          <w:rtl/>
        </w:rPr>
        <w:footnoteRef/>
      </w:r>
      <w:r>
        <w:rPr>
          <w:rtl/>
        </w:rPr>
        <w:t>לכאורה הוא הנמוק"י או רבו של הנמוק"י [אמנם חתן הנוב"י הביא שהוא הר"י מגאש].</w:t>
      </w:r>
    </w:p>
  </w:footnote>
  <w:footnote w:id="4392">
    <w:p w14:paraId="7A23DB04" w14:textId="77777777" w:rsidR="00F64AED" w:rsidRDefault="00F64AED" w:rsidP="00F64AED">
      <w:pPr>
        <w:pStyle w:val="Footnote"/>
        <w:bidi/>
      </w:pPr>
      <w:r>
        <w:rPr>
          <w:rStyle w:val="ac"/>
          <w:rtl/>
        </w:rPr>
        <w:footnoteRef/>
      </w:r>
      <w:r>
        <w:rPr>
          <w:rtl/>
        </w:rPr>
        <w:t>וה</w:t>
      </w:r>
      <w:r>
        <w:rPr>
          <w:b/>
          <w:bCs/>
          <w:rtl/>
        </w:rPr>
        <w:t>מגיה</w:t>
      </w:r>
      <w:r>
        <w:rPr>
          <w:rtl/>
        </w:rPr>
        <w:t xml:space="preserve"> נקט דיש כאן מח' בגדר מל ולא פרע, האם נחשב חצי מצווה לדחיית ל"ת. [וצ"ב הגדר בזה. ועוד יל"ד דמילה בשבת הותרה, ולכן כל דהוה מעשה המצוה דחי, ואף דלא נתקיים המצווה בכך]. אבל בפשוטו דנח' שם בגדר השבת אבידה, האם ההתעסקות נחשב מכשירין או גוף המצווה. ואכ"מ.</w:t>
      </w:r>
    </w:p>
  </w:footnote>
  <w:footnote w:id="4393">
    <w:p w14:paraId="4C961BFE" w14:textId="77777777" w:rsidR="00F64AED" w:rsidRDefault="00F64AED" w:rsidP="00F64AED">
      <w:pPr>
        <w:pStyle w:val="Footnote"/>
        <w:bidi/>
      </w:pPr>
      <w:r>
        <w:rPr>
          <w:rStyle w:val="ac"/>
          <w:rtl/>
        </w:rPr>
        <w:footnoteRef/>
      </w:r>
      <w:r>
        <w:rPr>
          <w:rtl/>
        </w:rPr>
        <w:t>ו</w:t>
      </w:r>
      <w:r>
        <w:rPr>
          <w:b/>
          <w:bCs/>
          <w:rtl/>
        </w:rPr>
        <w:t>תוס'</w:t>
      </w:r>
      <w:r>
        <w:rPr>
          <w:rtl/>
        </w:rPr>
        <w:t xml:space="preserve"> (שם בתי' הב') דחו דדרשי' עשה מצווה זו שבשבילה תכנס לארץ.</w:t>
      </w:r>
    </w:p>
  </w:footnote>
  <w:footnote w:id="4394">
    <w:p w14:paraId="35BCBCB6" w14:textId="77777777" w:rsidR="00F64AED" w:rsidRDefault="00F64AED" w:rsidP="00F64AED">
      <w:pPr>
        <w:pStyle w:val="Footnote"/>
        <w:bidi/>
      </w:pPr>
      <w:r>
        <w:rPr>
          <w:rStyle w:val="ac"/>
          <w:rtl/>
        </w:rPr>
        <w:footnoteRef/>
      </w:r>
      <w:r>
        <w:rPr>
          <w:rtl/>
        </w:rPr>
        <w:t>וצ”ב דעכ”פ המיעוט היה להם לעשות פסח. [והשעה"מ כת' דרוב רובם היו להם טפילים, והוה מיעוטא דמיעוטא בעלמא].</w:t>
      </w:r>
    </w:p>
  </w:footnote>
  <w:footnote w:id="4395">
    <w:p w14:paraId="24A05900" w14:textId="77777777" w:rsidR="00F64AED" w:rsidRDefault="00F64AED" w:rsidP="00F64AED">
      <w:pPr>
        <w:pStyle w:val="Footnote"/>
        <w:bidi/>
      </w:pPr>
      <w:r>
        <w:rPr>
          <w:rStyle w:val="ac"/>
          <w:rtl/>
        </w:rPr>
        <w:footnoteRef/>
      </w:r>
      <w:r>
        <w:rPr>
          <w:rtl/>
        </w:rPr>
        <w:t>והם היו הרוב. [דהנולדים במדבר נתחייבו במצוות רק לאחר י”ג שנים, ועוד שנים רבות שהיו מיעוט מהעם].</w:t>
      </w:r>
    </w:p>
    <w:p w14:paraId="36832865" w14:textId="77777777" w:rsidR="00F64AED" w:rsidRDefault="00F64AED" w:rsidP="00F64AED">
      <w:pPr>
        <w:pStyle w:val="Footnote"/>
        <w:bidi/>
      </w:pPr>
      <w:r>
        <w:rPr>
          <w:rtl/>
        </w:rPr>
        <w:tab/>
        <w:t>אבל ה</w:t>
      </w:r>
      <w:r>
        <w:rPr>
          <w:b/>
          <w:bCs/>
          <w:rtl/>
        </w:rPr>
        <w:t>מקנה</w:t>
      </w:r>
      <w:r>
        <w:rPr>
          <w:rtl/>
        </w:rPr>
        <w:t xml:space="preserve"> (שם) פי' דכוונת התוס' דכל היוצאים ממצרים מלו ולא פרעו, ובשעת מתן תורה נתחייבו בפריעה, ולא פרעו עד שנכנסו לארץ (ע' תוס' עא:). ומש"ה כולם נחשבו ערלים.</w:t>
      </w:r>
    </w:p>
    <w:p w14:paraId="60B18AE6" w14:textId="77777777" w:rsidR="00F64AED" w:rsidRDefault="00F64AED" w:rsidP="00F64AED">
      <w:pPr>
        <w:pStyle w:val="Footnote"/>
        <w:bidi/>
      </w:pPr>
      <w:r>
        <w:rPr>
          <w:rtl/>
        </w:rPr>
        <w:tab/>
        <w:t>ועוד יש שפי' שהצטרפו עליהם רוב ערב רב, והם לא מלו כראוי, ועי”ז הוה רוב פסולים. [ומבואר דאפ"ה חל הגירות, ומהני להחשב רוב הקהל ערלים].</w:t>
      </w:r>
    </w:p>
    <w:p w14:paraId="162A7C17" w14:textId="77777777" w:rsidR="00F64AED" w:rsidRDefault="00F64AED" w:rsidP="00F64AED">
      <w:pPr>
        <w:pStyle w:val="Footnote"/>
        <w:bidi/>
      </w:pPr>
      <w:r>
        <w:rPr>
          <w:rtl/>
        </w:rPr>
        <w:tab/>
        <w:t>וה</w:t>
      </w:r>
      <w:r>
        <w:rPr>
          <w:b/>
          <w:bCs/>
          <w:rtl/>
        </w:rPr>
        <w:t>חזו”א</w:t>
      </w:r>
      <w:r>
        <w:rPr>
          <w:rtl/>
        </w:rPr>
        <w:t xml:space="preserve"> (קידושין שם) כת' דתוס' סמכו דהיה גזיה”כ שלא נתחייבו בפסח בשאר שנים. ותוס' ביארו הטעם, כיון שיגיעו בסוף מ' יהיו רובם ערלים. ולא היה רצונו יתברך להתחיל בפסח ולחזור ולהפסיק במצוות פסח.</w:t>
      </w:r>
    </w:p>
  </w:footnote>
  <w:footnote w:id="4396">
    <w:p w14:paraId="76E72C5C" w14:textId="77777777" w:rsidR="00F64AED" w:rsidRDefault="00F64AED" w:rsidP="00F64AED">
      <w:pPr>
        <w:pStyle w:val="Footnote"/>
        <w:bidi/>
      </w:pPr>
      <w:r>
        <w:rPr>
          <w:rStyle w:val="ac"/>
          <w:rtl/>
        </w:rPr>
        <w:footnoteRef/>
      </w:r>
      <w:r>
        <w:rPr>
          <w:rtl/>
        </w:rPr>
        <w:t>ולכאורה לפ"ז כל חולי מחמת פשיעה יעכב בפסח.</w:t>
      </w:r>
    </w:p>
  </w:footnote>
  <w:footnote w:id="4397">
    <w:p w14:paraId="1D9DB37E" w14:textId="77777777" w:rsidR="00F64AED" w:rsidRDefault="00F64AED" w:rsidP="00F64AED">
      <w:pPr>
        <w:pStyle w:val="Footnote"/>
        <w:bidi/>
      </w:pPr>
      <w:r>
        <w:rPr>
          <w:rStyle w:val="ac"/>
          <w:rtl/>
        </w:rPr>
        <w:footnoteRef/>
      </w:r>
      <w:r>
        <w:rPr>
          <w:rtl/>
        </w:rPr>
        <w:t>עכ"פ מיוה"כ עד תמוז.</w:t>
      </w:r>
    </w:p>
  </w:footnote>
  <w:footnote w:id="4398">
    <w:p w14:paraId="45FBBC2B" w14:textId="77777777" w:rsidR="00F64AED" w:rsidRDefault="00F64AED" w:rsidP="00F64AED">
      <w:pPr>
        <w:pStyle w:val="Footnote"/>
        <w:bidi/>
      </w:pPr>
      <w:r>
        <w:rPr>
          <w:rStyle w:val="ac"/>
          <w:rtl/>
        </w:rPr>
        <w:footnoteRef/>
      </w:r>
      <w:r>
        <w:rPr>
          <w:rtl/>
        </w:rPr>
        <w:t>וה</w:t>
      </w:r>
      <w:r>
        <w:rPr>
          <w:b/>
          <w:bCs/>
          <w:rtl/>
        </w:rPr>
        <w:t>חזקוני</w:t>
      </w:r>
      <w:r>
        <w:rPr>
          <w:rtl/>
        </w:rPr>
        <w:t xml:space="preserve"> ו</w:t>
      </w:r>
      <w:r>
        <w:rPr>
          <w:b/>
          <w:bCs/>
          <w:rtl/>
        </w:rPr>
        <w:t>רבינו בחיי</w:t>
      </w:r>
      <w:r>
        <w:rPr>
          <w:rtl/>
        </w:rPr>
        <w:t xml:space="preserve"> (שם) פי' דהקב”ה השיב סלחתי פעם א' במעשה העגל ויתרתי להם. אבל עכשיו בעוון המרגלים לא אסלח להם אלא אפרע מהם, שהאנשים הרואים את כבודי וינסו אותי יענשו שימותו במדבר ובניהם יירשו את הארץ.</w:t>
      </w:r>
    </w:p>
  </w:footnote>
  <w:footnote w:id="4399">
    <w:p w14:paraId="656E9DD4" w14:textId="77777777" w:rsidR="00F64AED" w:rsidRDefault="00F64AED" w:rsidP="00F64AED">
      <w:pPr>
        <w:pStyle w:val="Footnote"/>
        <w:bidi/>
      </w:pPr>
      <w:r>
        <w:rPr>
          <w:rStyle w:val="ac"/>
          <w:rtl/>
        </w:rPr>
        <w:footnoteRef/>
      </w:r>
      <w:r>
        <w:rPr>
          <w:rtl/>
        </w:rPr>
        <w:t>[ולפ"ז צ"ל דלבני לוי נשבה רוח צפונית]. אבל ב</w:t>
      </w:r>
      <w:r>
        <w:rPr>
          <w:b/>
          <w:bCs/>
          <w:rtl/>
        </w:rPr>
        <w:t>ספורנו</w:t>
      </w:r>
      <w:r>
        <w:rPr>
          <w:rtl/>
        </w:rPr>
        <w:t xml:space="preserve"> (שם) כתב דמלו בניהם אע"פ שמתו הרבה מהם, שלא נשבו רוח צפונית. [וביארו דבמילה כתיב עליך הרגנו כל היום, זו דם מילה].</w:t>
      </w:r>
    </w:p>
  </w:footnote>
  <w:footnote w:id="4400">
    <w:p w14:paraId="5FA9B08B" w14:textId="77777777" w:rsidR="00F64AED" w:rsidRDefault="00F64AED" w:rsidP="00F64AED">
      <w:pPr>
        <w:pStyle w:val="Footnote"/>
        <w:bidi/>
      </w:pPr>
      <w:r>
        <w:rPr>
          <w:rStyle w:val="ac"/>
          <w:rtl/>
        </w:rPr>
        <w:footnoteRef/>
      </w:r>
      <w:r>
        <w:rPr>
          <w:rtl/>
        </w:rPr>
        <w:t>ה</w:t>
      </w:r>
      <w:r>
        <w:rPr>
          <w:b/>
          <w:bCs/>
          <w:rtl/>
        </w:rPr>
        <w:t>ריטב"א</w:t>
      </w:r>
      <w:r>
        <w:rPr>
          <w:rtl/>
        </w:rPr>
        <w:t xml:space="preserve"> כתב דמתוך שנוחה היא ויפה נבלעת בעננים מתפזרים ומאיר העולם, דרוח צפונית אינה תקיף.</w:t>
      </w:r>
    </w:p>
  </w:footnote>
  <w:footnote w:id="4401">
    <w:p w14:paraId="0BE6BF3B" w14:textId="77777777" w:rsidR="00F64AED" w:rsidRDefault="00F64AED" w:rsidP="00F64AED">
      <w:pPr>
        <w:pStyle w:val="Footnote"/>
        <w:bidi/>
      </w:pPr>
      <w:r>
        <w:rPr>
          <w:rStyle w:val="ac"/>
          <w:rtl/>
        </w:rPr>
        <w:footnoteRef/>
      </w:r>
      <w:r>
        <w:rPr>
          <w:rtl/>
        </w:rPr>
        <w:t>וצ"ב דהא לא קיימו מצוות מילה בשמיני.</w:t>
      </w:r>
    </w:p>
  </w:footnote>
  <w:footnote w:id="4402">
    <w:p w14:paraId="2E430224" w14:textId="77777777" w:rsidR="00F64AED" w:rsidRDefault="00F64AED" w:rsidP="00F64AED">
      <w:pPr>
        <w:pStyle w:val="Footnote"/>
        <w:bidi/>
      </w:pPr>
      <w:r>
        <w:rPr>
          <w:rStyle w:val="ac"/>
          <w:rtl/>
        </w:rPr>
        <w:footnoteRef/>
      </w:r>
      <w:r>
        <w:rPr>
          <w:rtl/>
        </w:rPr>
        <w:t>ומבואר דמותר לבטל מצות יום השמיני משום חשש זה. אבל המלא הרועים נקט דדוקא מילה שלא בזמנו רשאי להמתין, אבל לא יבטל מילה בשמיני משום זה. [וצ”ע].</w:t>
      </w:r>
    </w:p>
    <w:p w14:paraId="5BB5F266" w14:textId="77777777" w:rsidR="00F64AED" w:rsidRDefault="00F64AED" w:rsidP="00F64AED">
      <w:pPr>
        <w:pStyle w:val="Footnote"/>
        <w:bidi/>
      </w:pPr>
      <w:r>
        <w:rPr>
          <w:rtl/>
        </w:rPr>
        <w:tab/>
        <w:t>{והוכיח כן דאל"כ הול"ל לענין מילת זכריו מעכבת בפסח, כגון שהיה יומא דעיבא עד אחר זמן שחיטת הפסח. [אך י"ל דכ"ז בכלל כאיב עינא, ונכלל בזה שאר צדדי סכנה]}.</w:t>
      </w:r>
    </w:p>
  </w:footnote>
  <w:footnote w:id="4403">
    <w:p w14:paraId="6E210C4B" w14:textId="77777777" w:rsidR="00F64AED" w:rsidRDefault="00F64AED" w:rsidP="00F64AED">
      <w:pPr>
        <w:pStyle w:val="Footnote"/>
        <w:bidi/>
      </w:pPr>
      <w:r>
        <w:rPr>
          <w:rStyle w:val="ac"/>
          <w:rtl/>
        </w:rPr>
        <w:footnoteRef/>
      </w:r>
      <w:r>
        <w:rPr>
          <w:rtl/>
        </w:rPr>
        <w:t>ולכאורה לדעת ה</w:t>
      </w:r>
      <w:r>
        <w:rPr>
          <w:b/>
          <w:bCs/>
          <w:rtl/>
        </w:rPr>
        <w:t>ראשונים</w:t>
      </w:r>
      <w:r>
        <w:rPr>
          <w:rtl/>
        </w:rPr>
        <w:t xml:space="preserve"> (לעיל יב:) דדעת רבנן דאסור לשמש במוך משום שומר פתאים ד'. א"כ מבואר דשומר פתאים הוה חובה ולא רשות.</w:t>
      </w:r>
    </w:p>
  </w:footnote>
  <w:footnote w:id="4404">
    <w:p w14:paraId="04E17FE7" w14:textId="77777777" w:rsidR="00F64AED" w:rsidRDefault="00F64AED" w:rsidP="00F64AED">
      <w:pPr>
        <w:pStyle w:val="Footnote"/>
        <w:bidi/>
      </w:pPr>
      <w:r>
        <w:rPr>
          <w:rStyle w:val="ac"/>
          <w:rtl/>
        </w:rPr>
        <w:footnoteRef/>
      </w:r>
      <w:r>
        <w:rPr>
          <w:rtl/>
        </w:rPr>
        <w:t>משמע דכיון דהוה סכנה אסור בשבת [וכדמבואר לעיל סד:], ואף דמותר להסתכן, מ"מ לא יצא מחשש חילול שבת [לכתחילה, וצ”ב].</w:t>
      </w:r>
    </w:p>
  </w:footnote>
  <w:footnote w:id="4405">
    <w:p w14:paraId="59F46EB3" w14:textId="77777777" w:rsidR="00F64AED" w:rsidRDefault="00F64AED" w:rsidP="00F64AED">
      <w:pPr>
        <w:pStyle w:val="Footnote"/>
        <w:bidi/>
      </w:pPr>
      <w:r>
        <w:rPr>
          <w:rStyle w:val="ac"/>
          <w:rtl/>
        </w:rPr>
        <w:footnoteRef/>
      </w:r>
      <w:r>
        <w:rPr>
          <w:rtl/>
        </w:rPr>
        <w:t>וה</w:t>
      </w:r>
      <w:r>
        <w:rPr>
          <w:b/>
          <w:bCs/>
          <w:rtl/>
        </w:rPr>
        <w:t>מנח"ח</w:t>
      </w:r>
      <w:r>
        <w:rPr>
          <w:rtl/>
        </w:rPr>
        <w:t xml:space="preserve"> (רפב ז) כתב דהיינו משום דהוה רק ספק ערלה כבושה. אבל אילו היה ערלה כבושה, ונסתלק ע"י ההטפה, א"כ נימול מדאורייתא, והוה משוך מדרבנן. [אך כתב דאם נימול שלא כדין, א"כ ההטפה לא היתה משום סילוק הערלה, ובעי מילה].</w:t>
      </w:r>
    </w:p>
    <w:p w14:paraId="1147A232" w14:textId="77777777" w:rsidR="00F64AED" w:rsidRDefault="00F64AED" w:rsidP="00F64AED">
      <w:pPr>
        <w:pStyle w:val="Footnote"/>
        <w:bidi/>
      </w:pPr>
      <w:r>
        <w:rPr>
          <w:rtl/>
        </w:rPr>
        <w:tab/>
        <w:t>והאמר”מ חלק דהטפת דם ברית אינו מסלק את הערלה כלל. [ע' בסמוך].</w:t>
      </w:r>
    </w:p>
  </w:footnote>
  <w:footnote w:id="4406">
    <w:p w14:paraId="0426117D" w14:textId="77777777" w:rsidR="00F64AED" w:rsidRDefault="00F64AED" w:rsidP="00F64AED">
      <w:pPr>
        <w:pStyle w:val="Footnote"/>
        <w:bidi/>
      </w:pPr>
      <w:r>
        <w:rPr>
          <w:rStyle w:val="ac"/>
          <w:rtl/>
        </w:rPr>
        <w:footnoteRef/>
      </w:r>
      <w:r>
        <w:rPr>
          <w:rtl/>
        </w:rPr>
        <w:t>ודמי לכיסהו הרוח וחזר ונתגלה, דחייב שוב בכיסוי (חולין פז.). דאין דיחוי אצל מצוות, וה"נ מצוות מילה לא נדחית.</w:t>
      </w:r>
    </w:p>
  </w:footnote>
  <w:footnote w:id="4407">
    <w:p w14:paraId="43799A2A" w14:textId="77777777" w:rsidR="00F64AED" w:rsidRDefault="00F64AED" w:rsidP="00F64AED">
      <w:pPr>
        <w:pStyle w:val="Footnote"/>
        <w:bidi/>
      </w:pPr>
      <w:r>
        <w:rPr>
          <w:rStyle w:val="ac"/>
          <w:rtl/>
        </w:rPr>
        <w:footnoteRef/>
      </w:r>
      <w:r>
        <w:rPr>
          <w:rtl/>
        </w:rPr>
        <w:t>והשאג"א הוכיח כן דאל"כ משכח"ל מילת זכריו שבשעת עשייה אינו מעכב [שנולד מהול] ואח"כ נמשך, ויעכב בשעת אכילה.</w:t>
      </w:r>
    </w:p>
  </w:footnote>
  <w:footnote w:id="4408">
    <w:p w14:paraId="2B1C081D" w14:textId="77777777" w:rsidR="00F64AED" w:rsidRDefault="00F64AED" w:rsidP="00F64AED">
      <w:pPr>
        <w:pStyle w:val="Footnote"/>
        <w:bidi/>
      </w:pPr>
      <w:r>
        <w:rPr>
          <w:rStyle w:val="ac"/>
          <w:rtl/>
        </w:rPr>
        <w:footnoteRef/>
      </w:r>
      <w:r>
        <w:rPr>
          <w:rtl/>
        </w:rPr>
        <w:t>אך מדברי השאג"א משמע דהוה סברא דכיון דלא חל מצוות מילה בשעת לידה, תו לא נתחייב.</w:t>
      </w:r>
    </w:p>
  </w:footnote>
  <w:footnote w:id="4409">
    <w:p w14:paraId="6D70059E" w14:textId="77777777" w:rsidR="00F64AED" w:rsidRDefault="00F64AED" w:rsidP="00F64AED">
      <w:pPr>
        <w:pStyle w:val="Footnote"/>
        <w:bidi/>
      </w:pPr>
      <w:r>
        <w:rPr>
          <w:rStyle w:val="ac"/>
          <w:rtl/>
        </w:rPr>
        <w:footnoteRef/>
      </w:r>
      <w:r>
        <w:rPr>
          <w:rtl/>
        </w:rPr>
        <w:t>וב</w:t>
      </w:r>
      <w:r>
        <w:rPr>
          <w:b/>
          <w:bCs/>
          <w:rtl/>
        </w:rPr>
        <w:t>ירושלמי</w:t>
      </w:r>
      <w:r>
        <w:rPr>
          <w:rtl/>
        </w:rPr>
        <w:t xml:space="preserve"> (הו' באו"ש) נח' אי הוה משום קנס או משום גזירה. ונפק"מ להיכי דנמשכה לו מאליו, או משך לו אחר בע"כ. וה</w:t>
      </w:r>
      <w:r>
        <w:rPr>
          <w:b/>
          <w:bCs/>
          <w:rtl/>
        </w:rPr>
        <w:t>אחרונים</w:t>
      </w:r>
      <w:r>
        <w:rPr>
          <w:rtl/>
        </w:rPr>
        <w:t xml:space="preserve"> נקטו דסתימת הבבלי דאין חילוק בזה, דס"ל דהוה מטעם מראית העין [ולא משום קנס].</w:t>
      </w:r>
    </w:p>
  </w:footnote>
  <w:footnote w:id="4410">
    <w:p w14:paraId="7D946A5E" w14:textId="77777777" w:rsidR="00F64AED" w:rsidRDefault="00F64AED" w:rsidP="00F64AED">
      <w:pPr>
        <w:pStyle w:val="Footnote"/>
        <w:bidi/>
      </w:pPr>
      <w:r>
        <w:rPr>
          <w:rStyle w:val="ac"/>
          <w:rtl/>
        </w:rPr>
        <w:footnoteRef/>
      </w:r>
      <w:r>
        <w:rPr>
          <w:rtl/>
        </w:rPr>
        <w:t>[שמוציא את עצמו מכלל ישראל, ולא משום האיסור שבדבר]. ושמעתי דכעי"ז דעת הרמב"ם דבועל ארמית, אין לו חלק לעוה"ב, ואף דאין בזה איסור דאורייתא [אבל תוס' טז: הוכיחו מזה דפרהסיא אסור מדאורייתא].</w:t>
      </w:r>
    </w:p>
  </w:footnote>
  <w:footnote w:id="4411">
    <w:p w14:paraId="41C18E9C" w14:textId="77777777" w:rsidR="00F64AED" w:rsidRDefault="00F64AED" w:rsidP="00F64AED">
      <w:pPr>
        <w:pStyle w:val="Footnote"/>
        <w:bidi/>
      </w:pPr>
      <w:r>
        <w:rPr>
          <w:rStyle w:val="ac"/>
          <w:rtl/>
        </w:rPr>
        <w:footnoteRef/>
      </w:r>
      <w:r>
        <w:rPr>
          <w:rtl/>
        </w:rPr>
        <w:t xml:space="preserve">ועד"ז כת' </w:t>
      </w:r>
      <w:r>
        <w:rPr>
          <w:b/>
          <w:bCs/>
          <w:rtl/>
        </w:rPr>
        <w:t>ראנ"ח</w:t>
      </w:r>
      <w:r>
        <w:rPr>
          <w:rtl/>
        </w:rPr>
        <w:t xml:space="preserve"> (דרשות פ' וארא), וה</w:t>
      </w:r>
      <w:r>
        <w:rPr>
          <w:b/>
          <w:bCs/>
          <w:rtl/>
        </w:rPr>
        <w:t>משנ"ל</w:t>
      </w:r>
      <w:r>
        <w:rPr>
          <w:rtl/>
        </w:rPr>
        <w:t xml:space="preserve"> (מלכים י ז) תמה עליו דהוה מדרבנן, ואסמכתא. ועוה"ק דבני נח [וכגון קודם מתן תורה ובני קטורה] לא תקנו שמשוך צריך לחזור ולמול. [דדוקא בישראל נאמר גזירה זו, מידי דהוי אכמה גזירות וסייגים שעשו חכמים. אבל בבני נח לא מצאתי בשום מקום שעשו להם סייגים].</w:t>
      </w:r>
    </w:p>
  </w:footnote>
  <w:footnote w:id="4412">
    <w:p w14:paraId="3988D741" w14:textId="77777777" w:rsidR="00F64AED" w:rsidRDefault="00F64AED" w:rsidP="00F64AED">
      <w:pPr>
        <w:pStyle w:val="Footnote"/>
        <w:bidi/>
      </w:pPr>
      <w:r>
        <w:rPr>
          <w:rStyle w:val="ac"/>
          <w:rtl/>
        </w:rPr>
        <w:footnoteRef/>
      </w:r>
      <w:r>
        <w:rPr>
          <w:rtl/>
        </w:rPr>
        <w:t>אבל ב</w:t>
      </w:r>
      <w:r>
        <w:rPr>
          <w:b/>
          <w:bCs/>
          <w:rtl/>
        </w:rPr>
        <w:t>תוספתא</w:t>
      </w:r>
      <w:r>
        <w:rPr>
          <w:rtl/>
        </w:rPr>
        <w:t xml:space="preserve"> (שבת טז) איתא הולידה בנים ובנות 'ולא מתו' [ומשמע דהוה סכנה כפשוטו].</w:t>
      </w:r>
    </w:p>
  </w:footnote>
  <w:footnote w:id="4413">
    <w:p w14:paraId="51B6B79F" w14:textId="77777777" w:rsidR="00F64AED" w:rsidRDefault="00F64AED" w:rsidP="00F64AED">
      <w:pPr>
        <w:pStyle w:val="Footnote"/>
        <w:bidi/>
      </w:pPr>
      <w:r>
        <w:rPr>
          <w:rStyle w:val="ac"/>
          <w:rtl/>
        </w:rPr>
        <w:footnoteRef/>
      </w:r>
      <w:r>
        <w:rPr>
          <w:rtl/>
        </w:rPr>
        <w:t>וה</w:t>
      </w:r>
      <w:r>
        <w:rPr>
          <w:b/>
          <w:bCs/>
          <w:rtl/>
        </w:rPr>
        <w:t>ערול"נ</w:t>
      </w:r>
      <w:r>
        <w:rPr>
          <w:rtl/>
        </w:rPr>
        <w:t xml:space="preserve"> דן אמאי לא העמידו דקידש בת כהן, דמאכיל ממ”נ [ונקט דנחשב דהטומטום 'מאכיל', אע"פ שאינו ראוי לאישות. וה</w:t>
      </w:r>
      <w:r>
        <w:rPr>
          <w:b/>
          <w:bCs/>
          <w:rtl/>
        </w:rPr>
        <w:t>אחרונים</w:t>
      </w:r>
      <w:r>
        <w:rPr>
          <w:rtl/>
        </w:rPr>
        <w:t xml:space="preserve"> דנו דכיון דהיא בת כהן אוכלת מחמת אביה, וטומטום לא יפסלנה. {וע' מש”כ בזה לעיל סז:}].</w:t>
      </w:r>
    </w:p>
  </w:footnote>
  <w:footnote w:id="4414">
    <w:p w14:paraId="69AF34E3" w14:textId="77777777" w:rsidR="00F64AED" w:rsidRDefault="00F64AED" w:rsidP="00F64AED">
      <w:pPr>
        <w:pStyle w:val="Footnote"/>
        <w:bidi/>
      </w:pPr>
      <w:r>
        <w:rPr>
          <w:rStyle w:val="ac"/>
          <w:rtl/>
        </w:rPr>
        <w:footnoteRef/>
      </w:r>
      <w:r>
        <w:rPr>
          <w:rtl/>
        </w:rPr>
        <w:t>ואפשר דהסברא דעי”ז יש המשך לכהונה. ודומה לזה מצאנו לעיל סב: דהוליד סריס לא קיים פר"ו.</w:t>
      </w:r>
    </w:p>
  </w:footnote>
  <w:footnote w:id="4415">
    <w:p w14:paraId="018CD869" w14:textId="77777777" w:rsidR="00F64AED" w:rsidRDefault="00F64AED" w:rsidP="00F64AED">
      <w:pPr>
        <w:pStyle w:val="Footnote"/>
        <w:bidi/>
      </w:pPr>
      <w:r>
        <w:rPr>
          <w:rStyle w:val="ac"/>
          <w:rtl/>
        </w:rPr>
        <w:footnoteRef/>
      </w:r>
      <w:r>
        <w:rPr>
          <w:rtl/>
        </w:rPr>
        <w:t>ולפ"ז מדאורייתא מאכיל כדין ארוסה. אבל ל</w:t>
      </w:r>
      <w:r>
        <w:rPr>
          <w:b/>
          <w:bCs/>
          <w:rtl/>
        </w:rPr>
        <w:t>מהר"י קורקוס</w:t>
      </w:r>
      <w:r>
        <w:rPr>
          <w:rtl/>
        </w:rPr>
        <w:t xml:space="preserve"> י"ל דאף מדאורייתא אינו מאכיל.</w:t>
      </w:r>
    </w:p>
  </w:footnote>
  <w:footnote w:id="4416">
    <w:p w14:paraId="1356F5DC" w14:textId="77777777" w:rsidR="00F64AED" w:rsidRDefault="00F64AED" w:rsidP="00F64AED">
      <w:pPr>
        <w:pStyle w:val="Footnote"/>
        <w:bidi/>
      </w:pPr>
      <w:r>
        <w:rPr>
          <w:rStyle w:val="ac"/>
          <w:rtl/>
        </w:rPr>
        <w:footnoteRef/>
      </w:r>
      <w:r>
        <w:rPr>
          <w:rtl/>
        </w:rPr>
        <w:t>וציין דכעי"ז כתב ה</w:t>
      </w:r>
      <w:r>
        <w:rPr>
          <w:b/>
          <w:bCs/>
          <w:rtl/>
        </w:rPr>
        <w:t>תבואות שור</w:t>
      </w:r>
      <w:r>
        <w:rPr>
          <w:rtl/>
        </w:rPr>
        <w:t xml:space="preserve"> (כט) דבהמה דאישתני ויש לה מים בראש, חיישינן דאישתני והוה ממיעוט דטריפות. וה</w:t>
      </w:r>
      <w:r>
        <w:rPr>
          <w:b/>
          <w:bCs/>
          <w:rtl/>
        </w:rPr>
        <w:t>בית אפרים</w:t>
      </w:r>
      <w:r>
        <w:rPr>
          <w:rtl/>
        </w:rPr>
        <w:t xml:space="preserve"> (כללי חזקה יט, הו' לקמן פג:) הביא מקור לזה מסוגיין דכיון דאישתני חיישינן שמא הוא סריס, ולא אמרי' דרוב אינו סריס.</w:t>
      </w:r>
    </w:p>
  </w:footnote>
  <w:footnote w:id="4417">
    <w:p w14:paraId="0A22B7DE" w14:textId="77777777" w:rsidR="00F64AED" w:rsidRDefault="00F64AED" w:rsidP="00F64AED">
      <w:pPr>
        <w:pStyle w:val="Footnote"/>
        <w:bidi/>
      </w:pPr>
      <w:r>
        <w:rPr>
          <w:rStyle w:val="ac"/>
          <w:rtl/>
        </w:rPr>
        <w:footnoteRef/>
      </w:r>
      <w:r>
        <w:rPr>
          <w:rtl/>
        </w:rPr>
        <w:t>וע' תוס' (מה: ד”ה מי).</w:t>
      </w:r>
    </w:p>
  </w:footnote>
  <w:footnote w:id="4418">
    <w:p w14:paraId="70F46E70" w14:textId="77777777" w:rsidR="00F64AED" w:rsidRDefault="00F64AED" w:rsidP="00F64AED">
      <w:pPr>
        <w:pStyle w:val="Footnote"/>
        <w:bidi/>
      </w:pPr>
      <w:r>
        <w:rPr>
          <w:rStyle w:val="ac"/>
          <w:rtl/>
        </w:rPr>
        <w:footnoteRef/>
      </w:r>
      <w:r>
        <w:rPr>
          <w:rtl/>
        </w:rPr>
        <w:t>אבל העיר דבגמ' (לעיל מז:) וברמב"ם לא הוזכר דבעי ג' במילה.</w:t>
      </w:r>
    </w:p>
  </w:footnote>
  <w:footnote w:id="4419">
    <w:p w14:paraId="6C3DBC61" w14:textId="77777777" w:rsidR="00F64AED" w:rsidRDefault="00F64AED" w:rsidP="00F64AED">
      <w:pPr>
        <w:pStyle w:val="Footnote"/>
        <w:bidi/>
      </w:pPr>
      <w:r>
        <w:rPr>
          <w:rStyle w:val="ac"/>
          <w:rtl/>
        </w:rPr>
        <w:footnoteRef/>
      </w:r>
      <w:r>
        <w:rPr>
          <w:rtl/>
        </w:rPr>
        <w:t>וע"ד ה</w:t>
      </w:r>
      <w:r>
        <w:rPr>
          <w:b/>
          <w:bCs/>
          <w:rtl/>
        </w:rPr>
        <w:t xml:space="preserve">אחרונים </w:t>
      </w:r>
      <w:r>
        <w:rPr>
          <w:rtl/>
        </w:rPr>
        <w:t>הנ"ל דנולד מהול לא נחשב 'ערל', אלא דמחוסר מצוות מילה.</w:t>
      </w:r>
    </w:p>
  </w:footnote>
  <w:footnote w:id="4420">
    <w:p w14:paraId="1770B6DF" w14:textId="77777777" w:rsidR="00F64AED" w:rsidRDefault="00F64AED" w:rsidP="00F64AED">
      <w:pPr>
        <w:pStyle w:val="Footnote"/>
        <w:bidi/>
      </w:pPr>
      <w:r>
        <w:rPr>
          <w:rStyle w:val="ac"/>
          <w:rtl/>
        </w:rPr>
        <w:footnoteRef/>
      </w:r>
      <w:r>
        <w:rPr>
          <w:rtl/>
        </w:rPr>
        <w:t>[ומשמע מדבריו דאינו מעכב לגירות. וצ"ע. ועוד דלדבריו לכאו' צריך טבילה ואח"כ הטפת דם ברית, ול"ד לשאר גר שמילה קודם. ופשטות ה</w:t>
      </w:r>
      <w:r>
        <w:rPr>
          <w:b/>
          <w:bCs/>
          <w:rtl/>
        </w:rPr>
        <w:t>שו”ע</w:t>
      </w:r>
      <w:r>
        <w:rPr>
          <w:rtl/>
        </w:rPr>
        <w:t xml:space="preserve"> (יו"ד רסח א) דאף הטפת דם ברית קודם].</w:t>
      </w:r>
    </w:p>
  </w:footnote>
  <w:footnote w:id="4421">
    <w:p w14:paraId="5A245690" w14:textId="77777777" w:rsidR="00F64AED" w:rsidRDefault="00F64AED" w:rsidP="00F64AED">
      <w:pPr>
        <w:pStyle w:val="Footnote"/>
        <w:bidi/>
      </w:pPr>
      <w:r>
        <w:rPr>
          <w:rStyle w:val="ac"/>
          <w:rtl/>
        </w:rPr>
        <w:footnoteRef/>
      </w:r>
      <w:r>
        <w:rPr>
          <w:rtl/>
        </w:rPr>
        <w:t>וב</w:t>
      </w:r>
      <w:r>
        <w:rPr>
          <w:b/>
          <w:bCs/>
          <w:rtl/>
        </w:rPr>
        <w:t>שו"ת פנים מאירות</w:t>
      </w:r>
      <w:r>
        <w:rPr>
          <w:rtl/>
        </w:rPr>
        <w:t xml:space="preserve"> (ב לא הו' בפתחת רסו ט) הביא דפעמים שיש ב' עורות זה ע"ג זה, ולא נהגו ליזהר שלא למולו בשבת. וראוי להזהיר למוהל כשרואים שני עורות זה ע"ג זה שלא יפרעו עוד בשבת, וימתינו עד אחר השבת. וה</w:t>
      </w:r>
      <w:r>
        <w:rPr>
          <w:b/>
          <w:bCs/>
          <w:rtl/>
        </w:rPr>
        <w:t>מחה"ש</w:t>
      </w:r>
      <w:r>
        <w:rPr>
          <w:rtl/>
        </w:rPr>
        <w:t xml:space="preserve"> (שלא ד) חלק דאיירי הכא כשיש ב' עורות עליונים, ולא מדובר בקרום דק של הפריעה. עי"ש.</w:t>
      </w:r>
    </w:p>
  </w:footnote>
  <w:footnote w:id="4422">
    <w:p w14:paraId="3F19AC14" w14:textId="77777777" w:rsidR="00F64AED" w:rsidRDefault="00F64AED" w:rsidP="00F64AED">
      <w:pPr>
        <w:pStyle w:val="Footnote"/>
        <w:bidi/>
      </w:pPr>
      <w:r>
        <w:rPr>
          <w:rStyle w:val="ac"/>
          <w:rtl/>
        </w:rPr>
        <w:footnoteRef/>
      </w:r>
      <w:r>
        <w:rPr>
          <w:rtl/>
        </w:rPr>
        <w:t>ומדברי המחה"ש (הנ"ל) לכאורה מבואר דהוה עור חשוב, ואינו טפל להחשב עור הפריעה.</w:t>
      </w:r>
    </w:p>
  </w:footnote>
  <w:footnote w:id="4423">
    <w:p w14:paraId="56EB45F8" w14:textId="77777777" w:rsidR="00F64AED" w:rsidRDefault="00F64AED" w:rsidP="00F64AED">
      <w:pPr>
        <w:pStyle w:val="Footnote"/>
        <w:bidi/>
      </w:pPr>
      <w:r>
        <w:rPr>
          <w:rStyle w:val="ac"/>
          <w:rtl/>
        </w:rPr>
        <w:footnoteRef/>
      </w:r>
      <w:r>
        <w:rPr>
          <w:rtl/>
        </w:rPr>
        <w:t>[וה</w:t>
      </w:r>
      <w:r>
        <w:rPr>
          <w:b/>
          <w:bCs/>
          <w:rtl/>
        </w:rPr>
        <w:t>כס"מ</w:t>
      </w:r>
      <w:r>
        <w:rPr>
          <w:rtl/>
        </w:rPr>
        <w:t xml:space="preserve"> (מילה א ז) כת' דכן נוטה קצת דברי הרמב”ם. וכ”כ הקר”א בדעת הרמב”ם]. וה</w:t>
      </w:r>
      <w:r>
        <w:rPr>
          <w:b/>
          <w:bCs/>
          <w:rtl/>
        </w:rPr>
        <w:t>שו"ע</w:t>
      </w:r>
      <w:r>
        <w:rPr>
          <w:rtl/>
        </w:rPr>
        <w:t xml:space="preserve"> (יו"ד רסב ג, ואו"ח שלא ה) סתם בזה. וה</w:t>
      </w:r>
      <w:r>
        <w:rPr>
          <w:b/>
          <w:bCs/>
          <w:rtl/>
        </w:rPr>
        <w:t>ש”ך</w:t>
      </w:r>
      <w:r>
        <w:rPr>
          <w:rtl/>
        </w:rPr>
        <w:t xml:space="preserve"> ו</w:t>
      </w:r>
      <w:r>
        <w:rPr>
          <w:b/>
          <w:bCs/>
          <w:rtl/>
        </w:rPr>
        <w:t>ט”ז</w:t>
      </w:r>
      <w:r>
        <w:rPr>
          <w:rtl/>
        </w:rPr>
        <w:t xml:space="preserve"> הביאו ב' פירושי רש”י. וה</w:t>
      </w:r>
      <w:r>
        <w:rPr>
          <w:b/>
          <w:bCs/>
          <w:rtl/>
        </w:rPr>
        <w:t>מג"א</w:t>
      </w:r>
      <w:r>
        <w:rPr>
          <w:rtl/>
        </w:rPr>
        <w:t xml:space="preserve"> (שלא ד) פי' דב' עורות זה ע”ג זה.</w:t>
      </w:r>
    </w:p>
  </w:footnote>
  <w:footnote w:id="4424">
    <w:p w14:paraId="1AE8189B" w14:textId="77777777" w:rsidR="00F64AED" w:rsidRDefault="00F64AED" w:rsidP="00F64AED">
      <w:pPr>
        <w:pStyle w:val="Footnote"/>
        <w:bidi/>
      </w:pPr>
      <w:r>
        <w:rPr>
          <w:rStyle w:val="ac"/>
          <w:rtl/>
        </w:rPr>
        <w:footnoteRef/>
      </w:r>
      <w:r>
        <w:rPr>
          <w:rtl/>
        </w:rPr>
        <w:t>ויל"ד האם איזה שימול ראשון יצא יד"ח מילה [וצריך ביום]. א"נ יל"פ דאיירי שא' מהם ניכר יותר עיקרי ומל אותו כדין. וקמ"ל דאף השני צריך למול.</w:t>
      </w:r>
    </w:p>
    <w:p w14:paraId="5504C028" w14:textId="77777777" w:rsidR="00F64AED" w:rsidRDefault="00F64AED" w:rsidP="00F64AED">
      <w:pPr>
        <w:pStyle w:val="Footnote"/>
        <w:bidi/>
      </w:pPr>
      <w:r>
        <w:rPr>
          <w:rtl/>
        </w:rPr>
        <w:tab/>
        <w:t>אך ה</w:t>
      </w:r>
      <w:r>
        <w:rPr>
          <w:b/>
          <w:bCs/>
          <w:rtl/>
        </w:rPr>
        <w:t>מאירי</w:t>
      </w:r>
      <w:r>
        <w:rPr>
          <w:rtl/>
        </w:rPr>
        <w:t xml:space="preserve"> כת' דלענין דחיית שבת אינו דוחה, הואיל ולא נודע איזה עיקר [ולכאו' קאי לב' הפירושים]. ומשמע דכוונתו להק' דמילת הראשון הוה מילה כדין, ומ"ט לא ידחה. ותי' דלא נודע איזה עיקר. [וצ"ע שלענין לילה מל א' קודם, ואח"כ השני ימול בלילה. ולא אמרי' דשמא זהו העיקרי].</w:t>
      </w:r>
    </w:p>
  </w:footnote>
  <w:footnote w:id="4425">
    <w:p w14:paraId="324CB42B" w14:textId="77777777" w:rsidR="00F64AED" w:rsidRDefault="00F64AED" w:rsidP="00F64AED">
      <w:pPr>
        <w:pStyle w:val="Footnote"/>
        <w:bidi/>
      </w:pPr>
      <w:r>
        <w:rPr>
          <w:rStyle w:val="ac"/>
          <w:rtl/>
        </w:rPr>
        <w:footnoteRef/>
      </w:r>
      <w:r>
        <w:rPr>
          <w:rtl/>
        </w:rPr>
        <w:t>וה</w:t>
      </w:r>
      <w:r>
        <w:rPr>
          <w:b/>
          <w:bCs/>
          <w:rtl/>
        </w:rPr>
        <w:t>פוסקים</w:t>
      </w:r>
      <w:r>
        <w:rPr>
          <w:rtl/>
        </w:rPr>
        <w:t xml:space="preserve"> נקטו דלא נפסק, והוה ספק ולחומרא (וכ”כ הכס”מ א ז בדעת הרמב”ם. ע' בסמוך).</w:t>
      </w:r>
    </w:p>
  </w:footnote>
  <w:footnote w:id="4426">
    <w:p w14:paraId="43A8B634" w14:textId="77777777" w:rsidR="00F64AED" w:rsidRDefault="00F64AED" w:rsidP="00F64AED">
      <w:pPr>
        <w:pStyle w:val="Footnote"/>
        <w:bidi/>
      </w:pPr>
      <w:r>
        <w:rPr>
          <w:rStyle w:val="ac"/>
          <w:rtl/>
        </w:rPr>
        <w:footnoteRef/>
      </w:r>
      <w:r>
        <w:rPr>
          <w:rtl/>
        </w:rPr>
        <w:t>[ומש"ה לר"ש בר"ש מל בלילה, ורבנן פליגי משום דס”ל דאף מילה שלא בזמנו דוחה שבת].</w:t>
      </w:r>
    </w:p>
  </w:footnote>
  <w:footnote w:id="4427">
    <w:p w14:paraId="3A62C7E6" w14:textId="77777777" w:rsidR="00F64AED" w:rsidRDefault="00F64AED" w:rsidP="00F64AED">
      <w:pPr>
        <w:pStyle w:val="Footnote"/>
        <w:bidi/>
      </w:pPr>
      <w:r>
        <w:rPr>
          <w:rStyle w:val="ac"/>
          <w:rtl/>
        </w:rPr>
        <w:footnoteRef/>
      </w:r>
      <w:r>
        <w:rPr>
          <w:rtl/>
        </w:rPr>
        <w:t>וה</w:t>
      </w:r>
      <w:r>
        <w:rPr>
          <w:b/>
          <w:bCs/>
          <w:rtl/>
        </w:rPr>
        <w:t>רמב"ם</w:t>
      </w:r>
      <w:r>
        <w:rPr>
          <w:rtl/>
        </w:rPr>
        <w:t xml:space="preserve"> (מילה א ז) פסק דנימול בשמיני אבל אינו דוחה את השבת. וה</w:t>
      </w:r>
      <w:r>
        <w:rPr>
          <w:b/>
          <w:bCs/>
          <w:rtl/>
        </w:rPr>
        <w:t>כס”מ</w:t>
      </w:r>
      <w:r>
        <w:rPr>
          <w:rtl/>
        </w:rPr>
        <w:t xml:space="preserve"> נקט דכוונתו לחומרא, ומספק צריך למול בח', ומספק לא דחי שבת. אבל הגר"ח (מילה) כת' דדעת הרמב"ם כרשב"ם דצריך שמיני מדין אחר, ולא דחי שבת.</w:t>
      </w:r>
    </w:p>
  </w:footnote>
  <w:footnote w:id="4428">
    <w:p w14:paraId="7A9BA8AE" w14:textId="77777777" w:rsidR="00F64AED" w:rsidRDefault="00F64AED" w:rsidP="00F64AED">
      <w:pPr>
        <w:pStyle w:val="Footnote"/>
        <w:bidi/>
      </w:pPr>
      <w:r>
        <w:rPr>
          <w:rStyle w:val="ac"/>
          <w:rtl/>
        </w:rPr>
        <w:footnoteRef/>
      </w:r>
      <w:r>
        <w:rPr>
          <w:rtl/>
        </w:rPr>
        <w:t>ולא אמרי' בזה ניתנה תורה ונתחדש הלכה. וביאר דבזה נח' התנאים (בשבת שם). [אבל לשא"ר נח' בגדרי יום שמיני].</w:t>
      </w:r>
    </w:p>
  </w:footnote>
  <w:footnote w:id="4429">
    <w:p w14:paraId="40A30B27" w14:textId="77777777" w:rsidR="00F64AED" w:rsidRDefault="00F64AED" w:rsidP="00F64AED">
      <w:pPr>
        <w:pStyle w:val="Footnote"/>
        <w:bidi/>
      </w:pPr>
      <w:r>
        <w:rPr>
          <w:rStyle w:val="ac"/>
          <w:rtl/>
        </w:rPr>
        <w:footnoteRef/>
      </w:r>
      <w:r>
        <w:rPr>
          <w:rtl/>
        </w:rPr>
        <w:t>וה</w:t>
      </w:r>
      <w:r>
        <w:rPr>
          <w:b/>
          <w:bCs/>
          <w:rtl/>
        </w:rPr>
        <w:t>רשב"א</w:t>
      </w:r>
      <w:r>
        <w:rPr>
          <w:rtl/>
        </w:rPr>
        <w:t xml:space="preserve"> הביא גירסת </w:t>
      </w:r>
      <w:r>
        <w:rPr>
          <w:b/>
          <w:bCs/>
          <w:rtl/>
        </w:rPr>
        <w:t>ר"ח</w:t>
      </w:r>
      <w:r>
        <w:rPr>
          <w:rtl/>
        </w:rPr>
        <w:t xml:space="preserve"> ד'וה' דריש, וכדלקמן גבי נותר. [והקשה ע"ז]. ולפ"ז תליא במח' גבי נותר, וכ"כ ב</w:t>
      </w:r>
      <w:r>
        <w:rPr>
          <w:b/>
          <w:bCs/>
          <w:rtl/>
        </w:rPr>
        <w:t>שו"ת הרשב"א</w:t>
      </w:r>
      <w:r>
        <w:rPr>
          <w:rtl/>
        </w:rPr>
        <w:t xml:space="preserve"> (א תתעז).</w:t>
      </w:r>
    </w:p>
  </w:footnote>
  <w:footnote w:id="4430">
    <w:p w14:paraId="49EFBF65" w14:textId="77777777" w:rsidR="00F64AED" w:rsidRDefault="00F64AED" w:rsidP="00F64AED">
      <w:pPr>
        <w:pStyle w:val="Footnote"/>
        <w:bidi/>
      </w:pPr>
      <w:r>
        <w:rPr>
          <w:rStyle w:val="ac"/>
          <w:rtl/>
        </w:rPr>
        <w:footnoteRef/>
      </w:r>
      <w:r>
        <w:rPr>
          <w:rFonts w:ascii="Narkisim" w:eastAsia="Narkisim" w:hAnsi="Narkisim"/>
          <w:rtl/>
        </w:rPr>
        <w:t>וה</w:t>
      </w:r>
      <w:r>
        <w:rPr>
          <w:rFonts w:ascii="Narkisim" w:eastAsia="Narkisim" w:hAnsi="Narkisim"/>
          <w:b/>
          <w:bCs/>
          <w:rtl/>
        </w:rPr>
        <w:t>שעה"מ</w:t>
      </w:r>
      <w:r>
        <w:rPr>
          <w:rFonts w:ascii="Narkisim" w:eastAsia="Narkisim" w:hAnsi="Narkisim"/>
          <w:rtl/>
        </w:rPr>
        <w:t xml:space="preserve"> (מילה א א ד"ה ואולם) העלה צד דגדר הפטור 'ולא אותה', דילפי' מקרא דחשיב זמן גרמא.</w:t>
      </w:r>
    </w:p>
  </w:footnote>
  <w:footnote w:id="4431">
    <w:p w14:paraId="0D8E5292" w14:textId="77777777" w:rsidR="00F64AED" w:rsidRDefault="00F64AED" w:rsidP="00F64AED">
      <w:pPr>
        <w:pStyle w:val="Footnote"/>
        <w:bidi/>
      </w:pPr>
      <w:r>
        <w:rPr>
          <w:rStyle w:val="ac"/>
          <w:rtl/>
        </w:rPr>
        <w:footnoteRef/>
      </w:r>
      <w:r>
        <w:rPr>
          <w:rtl/>
        </w:rPr>
        <w:t>וה</w:t>
      </w:r>
      <w:r>
        <w:rPr>
          <w:b/>
          <w:bCs/>
          <w:rtl/>
        </w:rPr>
        <w:t xml:space="preserve">שאג"א </w:t>
      </w:r>
      <w:r>
        <w:rPr>
          <w:rtl/>
        </w:rPr>
        <w:t>(נג) כתב דכיון דנימול בלילה כשר בדיעבד, א"כ לא יחשב מצוות עשה שהזמן גרמא. דאף דהאשה אינה מצווה במצוות מילה ביום, מ"מ מצווה בעצם המילה, והמילה כשר בלילה. [ויל"ד בזה].</w:t>
      </w:r>
    </w:p>
  </w:footnote>
  <w:footnote w:id="4432">
    <w:p w14:paraId="28026C74" w14:textId="77777777" w:rsidR="00F64AED" w:rsidRDefault="00F64AED" w:rsidP="00F64AED">
      <w:pPr>
        <w:pStyle w:val="Footnote"/>
        <w:bidi/>
      </w:pPr>
      <w:r>
        <w:rPr>
          <w:rStyle w:val="ac"/>
          <w:rtl/>
        </w:rPr>
        <w:footnoteRef/>
      </w:r>
      <w:r>
        <w:rPr>
          <w:rtl/>
        </w:rPr>
        <w:t>משמע מדבריו דמצוות האב הוא על הטירחא, ולא על עצם המילה [וע"ע מש"כ בזה לעיל עא:], וכ”כ המקנה (שם).</w:t>
      </w:r>
    </w:p>
  </w:footnote>
  <w:footnote w:id="4433">
    <w:p w14:paraId="00076793" w14:textId="77777777" w:rsidR="00F64AED" w:rsidRDefault="00F64AED" w:rsidP="00F64AED">
      <w:pPr>
        <w:pStyle w:val="Footnote"/>
        <w:bidi/>
      </w:pPr>
      <w:r>
        <w:rPr>
          <w:rStyle w:val="ac"/>
          <w:rtl/>
        </w:rPr>
        <w:footnoteRef/>
      </w:r>
      <w:r>
        <w:rPr>
          <w:rtl/>
        </w:rPr>
        <w:t>אבל ה</w:t>
      </w:r>
      <w:r>
        <w:rPr>
          <w:b/>
          <w:bCs/>
          <w:rtl/>
        </w:rPr>
        <w:t>או"ז</w:t>
      </w:r>
      <w:r>
        <w:rPr>
          <w:rtl/>
        </w:rPr>
        <w:t xml:space="preserve"> (צו) כ' דאין לתרץ כיון דתלוי בלידת התינוק לא חשיב זמן גרמא [דאינו זמן קבוע]. דהא ציצית נמי אין חיובם אלא למי שיש לו ד' כנפות, והוה זמן גרמא [וצ"ב].</w:t>
      </w:r>
    </w:p>
  </w:footnote>
  <w:footnote w:id="4434">
    <w:p w14:paraId="371D262E" w14:textId="77777777" w:rsidR="00F64AED" w:rsidRDefault="00F64AED" w:rsidP="00F64AED">
      <w:pPr>
        <w:pStyle w:val="Footnote"/>
        <w:bidi/>
      </w:pPr>
      <w:r>
        <w:rPr>
          <w:rStyle w:val="ac"/>
          <w:rtl/>
        </w:rPr>
        <w:footnoteRef/>
      </w:r>
      <w:r>
        <w:rPr>
          <w:rtl/>
        </w:rPr>
        <w:t>ולא דמי לתפילין דנחשב זמן גרמא (קידושין לה. ועירובין צו:) משום דאינו מניח תפילין בלילה, דבתפילין כל יום הוה חיוב חדש. ואם עבר יומו, כשמניח למחרת אינו תשלומין. אלא חיוב חדש בפנ"ע.</w:t>
      </w:r>
    </w:p>
  </w:footnote>
  <w:footnote w:id="4435">
    <w:p w14:paraId="744E79E4" w14:textId="77777777" w:rsidR="00F64AED" w:rsidRDefault="00F64AED" w:rsidP="00F64AED">
      <w:pPr>
        <w:pStyle w:val="Footnote"/>
        <w:bidi/>
      </w:pPr>
      <w:r>
        <w:rPr>
          <w:rStyle w:val="ac"/>
          <w:rtl/>
        </w:rPr>
        <w:footnoteRef/>
      </w:r>
      <w:r>
        <w:rPr>
          <w:rtl/>
        </w:rPr>
        <w:t>ועפ"ז יישב דמצוות סמיכה בקרבן לא הוה זמן גרמא. ודלא כתוס' (קידושין לו.).</w:t>
      </w:r>
    </w:p>
  </w:footnote>
  <w:footnote w:id="4436">
    <w:p w14:paraId="01A71CBD" w14:textId="77777777" w:rsidR="00F64AED" w:rsidRDefault="00F64AED" w:rsidP="00F64AED">
      <w:pPr>
        <w:pStyle w:val="Footnote"/>
        <w:bidi/>
      </w:pPr>
      <w:r>
        <w:rPr>
          <w:rStyle w:val="ac"/>
          <w:rtl/>
        </w:rPr>
        <w:footnoteRef/>
      </w:r>
      <w:r>
        <w:rPr>
          <w:rtl/>
        </w:rPr>
        <w:t>וה</w:t>
      </w:r>
      <w:r>
        <w:rPr>
          <w:b/>
          <w:bCs/>
          <w:rtl/>
        </w:rPr>
        <w:t>תוס' הרא"ש</w:t>
      </w:r>
      <w:r>
        <w:rPr>
          <w:rtl/>
        </w:rPr>
        <w:t xml:space="preserve"> (שם) הוסיף וכמו פדיון הבן דאין זמנו אלא שלשים, ונחשב דאין הזמן גרמא.</w:t>
      </w:r>
    </w:p>
  </w:footnote>
  <w:footnote w:id="4437">
    <w:p w14:paraId="03062A59" w14:textId="77777777" w:rsidR="00F64AED" w:rsidRDefault="00F64AED" w:rsidP="00F64AED">
      <w:pPr>
        <w:pStyle w:val="Footnote"/>
        <w:bidi/>
      </w:pPr>
      <w:r>
        <w:rPr>
          <w:rStyle w:val="ac"/>
          <w:rtl/>
        </w:rPr>
        <w:footnoteRef/>
      </w:r>
      <w:r>
        <w:rPr>
          <w:rtl/>
        </w:rPr>
        <w:t>דכיון דלא הוה ערלה ל"ש מילה. אך פשטות הסוגיה (לעיל עא.) דהטעם דערלה שלא בזמנו לא הוה ערלה משום שעדיין אינו מצווה.</w:t>
      </w:r>
    </w:p>
  </w:footnote>
  <w:footnote w:id="4438">
    <w:p w14:paraId="1E9347D7" w14:textId="77777777" w:rsidR="00F64AED" w:rsidRDefault="00F64AED" w:rsidP="00F64AED">
      <w:pPr>
        <w:pStyle w:val="Footnote"/>
        <w:bidi/>
      </w:pPr>
      <w:r>
        <w:rPr>
          <w:rStyle w:val="ac"/>
          <w:rtl/>
        </w:rPr>
        <w:footnoteRef/>
      </w:r>
      <w:r>
        <w:rPr>
          <w:rFonts w:ascii="Narkisim" w:eastAsia="Narkisim" w:hAnsi="Narkisim"/>
          <w:rtl/>
        </w:rPr>
        <w:t>ועד"ז כת' ה</w:t>
      </w:r>
      <w:r>
        <w:rPr>
          <w:rFonts w:ascii="Narkisim" w:eastAsia="Narkisim" w:hAnsi="Narkisim"/>
          <w:b/>
          <w:bCs/>
          <w:rtl/>
        </w:rPr>
        <w:t>שעה"מ</w:t>
      </w:r>
      <w:r>
        <w:rPr>
          <w:rFonts w:ascii="Narkisim" w:eastAsia="Narkisim" w:hAnsi="Narkisim"/>
          <w:rtl/>
        </w:rPr>
        <w:t xml:space="preserve"> (פסוהמ"ק יט ה) לגבי מצוות שריפת קדשים.</w:t>
      </w:r>
    </w:p>
  </w:footnote>
  <w:footnote w:id="4439">
    <w:p w14:paraId="1337C83A" w14:textId="77777777" w:rsidR="00F64AED" w:rsidRDefault="00F64AED" w:rsidP="00F64AED">
      <w:pPr>
        <w:pStyle w:val="Footnote"/>
        <w:bidi/>
      </w:pPr>
      <w:r>
        <w:rPr>
          <w:rStyle w:val="ac"/>
          <w:rtl/>
        </w:rPr>
        <w:footnoteRef/>
      </w:r>
      <w:r>
        <w:rPr>
          <w:rtl/>
        </w:rPr>
        <w:t>וכדמבואר (שבת קלז. ופסחים עב:) דנחשב טעה בדבר מצווה ועשה מצווה.</w:t>
      </w:r>
    </w:p>
  </w:footnote>
  <w:footnote w:id="4440">
    <w:p w14:paraId="5E091E57" w14:textId="77777777" w:rsidR="00F64AED" w:rsidRDefault="00F64AED" w:rsidP="00F64AED">
      <w:pPr>
        <w:pStyle w:val="Footnote"/>
        <w:bidi/>
      </w:pPr>
      <w:r>
        <w:rPr>
          <w:rStyle w:val="ac"/>
          <w:rtl/>
        </w:rPr>
        <w:footnoteRef/>
      </w:r>
      <w:r>
        <w:rPr>
          <w:rtl/>
        </w:rPr>
        <w:t>אבל למסקנא נשרף בליל רביעי, דקמ"ל קרא דאינו נשרף בליל שלישי.</w:t>
      </w:r>
    </w:p>
  </w:footnote>
  <w:footnote w:id="4441">
    <w:p w14:paraId="1EDDD9D2" w14:textId="77777777" w:rsidR="00F64AED" w:rsidRDefault="00F64AED" w:rsidP="00F64AED">
      <w:pPr>
        <w:pStyle w:val="Footnote"/>
        <w:bidi/>
      </w:pPr>
      <w:r>
        <w:rPr>
          <w:rStyle w:val="ac"/>
          <w:rtl/>
        </w:rPr>
        <w:footnoteRef/>
      </w:r>
      <w:r>
        <w:rPr>
          <w:rtl/>
        </w:rPr>
        <w:t>[ואף דאסור לשרוף בלילה נחשב זמנו]. ומבואר דמצוות שריפה שלא בזמנו עדיין לא חל, ולא אמרי' דל מהכא מצוות שריפה בזמנו.</w:t>
      </w:r>
    </w:p>
  </w:footnote>
  <w:footnote w:id="4442">
    <w:p w14:paraId="3FF9FFCB" w14:textId="77777777" w:rsidR="00F64AED" w:rsidRDefault="00F64AED" w:rsidP="00F64AED">
      <w:pPr>
        <w:pStyle w:val="Footnote"/>
        <w:bidi/>
      </w:pPr>
      <w:r>
        <w:rPr>
          <w:rStyle w:val="ac"/>
          <w:rtl/>
        </w:rPr>
        <w:footnoteRef/>
      </w:r>
      <w:r>
        <w:rPr>
          <w:rtl/>
        </w:rPr>
        <w:t>אבל ה</w:t>
      </w:r>
      <w:r>
        <w:rPr>
          <w:b/>
          <w:bCs/>
          <w:rtl/>
        </w:rPr>
        <w:t>תוס' הרא"ש</w:t>
      </w:r>
      <w:r>
        <w:rPr>
          <w:rtl/>
        </w:rPr>
        <w:t xml:space="preserve"> (שבת כד:) הביא תי' דמותר לשרוף במוצאי יו”ט בלילה. וכ"כ ה</w:t>
      </w:r>
      <w:r>
        <w:rPr>
          <w:b/>
          <w:bCs/>
          <w:rtl/>
        </w:rPr>
        <w:t>רמב"ן</w:t>
      </w:r>
      <w:r>
        <w:rPr>
          <w:rtl/>
        </w:rPr>
        <w:t xml:space="preserve"> (ושא"ר שם) בתחילת דבריו, ודחו דבירושלמי מבואר דלא כן, אלא אין שורפין בתחילה בלילה. [וב</w:t>
      </w:r>
      <w:r>
        <w:rPr>
          <w:b/>
          <w:bCs/>
          <w:rtl/>
        </w:rPr>
        <w:t>ירושלמי</w:t>
      </w:r>
      <w:r>
        <w:rPr>
          <w:rtl/>
        </w:rPr>
        <w:t xml:space="preserve"> </w:t>
      </w:r>
      <w:r>
        <w:rPr>
          <w:u w:val="single"/>
          <w:rtl/>
        </w:rPr>
        <w:t>(</w:t>
      </w:r>
      <w:r>
        <w:rPr>
          <w:rtl/>
        </w:rPr>
        <w:t>שם) איתא דאף גבי תרומה, אבל האחרונים האריכו להוכיח דתרומה טמאה נשרפת בלילה].</w:t>
      </w:r>
    </w:p>
  </w:footnote>
  <w:footnote w:id="4443">
    <w:p w14:paraId="74D6D28E" w14:textId="77777777" w:rsidR="00F64AED" w:rsidRDefault="00F64AED" w:rsidP="00F64AED">
      <w:pPr>
        <w:pStyle w:val="Footnote"/>
        <w:bidi/>
      </w:pPr>
      <w:r>
        <w:rPr>
          <w:rStyle w:val="ac"/>
          <w:rtl/>
        </w:rPr>
        <w:footnoteRef/>
      </w:r>
      <w:r>
        <w:rPr>
          <w:rtl/>
        </w:rPr>
        <w:t xml:space="preserve">וכעי"ז כתבו </w:t>
      </w:r>
      <w:r>
        <w:rPr>
          <w:b/>
          <w:bCs/>
          <w:rtl/>
        </w:rPr>
        <w:t>תוס</w:t>
      </w:r>
      <w:r>
        <w:rPr>
          <w:rtl/>
        </w:rPr>
        <w:t>' (שבת כד: ד"ה בקר).</w:t>
      </w:r>
    </w:p>
  </w:footnote>
  <w:footnote w:id="4444">
    <w:p w14:paraId="70587A2F" w14:textId="77777777" w:rsidR="00F64AED" w:rsidRDefault="00F64AED" w:rsidP="00F64AED">
      <w:pPr>
        <w:pStyle w:val="Footnote"/>
        <w:bidi/>
      </w:pPr>
      <w:r>
        <w:rPr>
          <w:rStyle w:val="ac"/>
          <w:rtl/>
        </w:rPr>
        <w:footnoteRef/>
      </w:r>
      <w:r>
        <w:rPr>
          <w:rtl/>
        </w:rPr>
        <w:t>וחזקיה דרש עד בקר, ליתן בוקר שני [ולפ”ז י"ל דהוה גילוי במצוות שריפתו]. אבל רב אשי תי' דיו"ט הוה ל"ת ועשה [ולפ"ז ליכא מיעוט כלל שלא לשרוף ביו"ט].</w:t>
      </w:r>
    </w:p>
  </w:footnote>
  <w:footnote w:id="4445">
    <w:p w14:paraId="0D544CCC" w14:textId="77777777" w:rsidR="00F64AED" w:rsidRDefault="00F64AED" w:rsidP="00F64AED">
      <w:pPr>
        <w:pStyle w:val="Footnote"/>
        <w:bidi/>
      </w:pPr>
      <w:r>
        <w:rPr>
          <w:rStyle w:val="ac"/>
          <w:rtl/>
        </w:rPr>
        <w:footnoteRef/>
      </w:r>
      <w:r>
        <w:rPr>
          <w:rtl/>
        </w:rPr>
        <w:t>ומשמע דאם עבר ושרף ביו"ט לא קיים מצוות שריפת קדשים, דלא הגיע זמנו עד למחר. אבל בחי' הגר"ח (על הש"ס החדש) הו' בשם ה</w:t>
      </w:r>
      <w:r>
        <w:rPr>
          <w:b/>
          <w:bCs/>
          <w:rtl/>
        </w:rPr>
        <w:t>גרי"ז</w:t>
      </w:r>
      <w:r>
        <w:rPr>
          <w:rtl/>
        </w:rPr>
        <w:t xml:space="preserve"> דביאר דברי תוס' דהא דאינתיק לשריפה תליא במה דנאמר דין בקר במצוות שריפה, ולא משום עצם הדין שריפה שבהם.</w:t>
      </w:r>
    </w:p>
  </w:footnote>
  <w:footnote w:id="4446">
    <w:p w14:paraId="7612DAFD" w14:textId="77777777" w:rsidR="00F64AED" w:rsidRDefault="00F64AED" w:rsidP="00F64AED">
      <w:pPr>
        <w:pStyle w:val="Footnote"/>
        <w:bidi/>
      </w:pPr>
      <w:r>
        <w:rPr>
          <w:rStyle w:val="ac"/>
          <w:rtl/>
        </w:rPr>
        <w:footnoteRef/>
      </w:r>
      <w:r>
        <w:rPr>
          <w:rtl/>
        </w:rPr>
        <w:t>וכתב כן דאף פסח נחשב נותר בבוקר [של ט"ו], דאילו שרף ביו"ט מתקיים מצוות שריפה.</w:t>
      </w:r>
    </w:p>
  </w:footnote>
  <w:footnote w:id="4447">
    <w:p w14:paraId="4C68148B" w14:textId="77777777" w:rsidR="00F64AED" w:rsidRDefault="00F64AED" w:rsidP="00F64AED">
      <w:pPr>
        <w:pStyle w:val="Footnote"/>
        <w:bidi/>
      </w:pPr>
      <w:r>
        <w:rPr>
          <w:rStyle w:val="ac"/>
          <w:rtl/>
        </w:rPr>
        <w:footnoteRef/>
      </w:r>
      <w:r>
        <w:rPr>
          <w:rtl/>
        </w:rPr>
        <w:t>וה</w:t>
      </w:r>
      <w:r>
        <w:rPr>
          <w:b/>
          <w:bCs/>
          <w:rtl/>
        </w:rPr>
        <w:t>אתוון דאורייתא</w:t>
      </w:r>
      <w:r>
        <w:rPr>
          <w:rtl/>
        </w:rPr>
        <w:t xml:space="preserve"> (כב) הביא מכאן דכיון דארי' דאיסורא רביע עליה נחשב שלא הגיע זמנו, ועי"ש שדן בכמה סוגיות.</w:t>
      </w:r>
    </w:p>
  </w:footnote>
  <w:footnote w:id="4448">
    <w:p w14:paraId="4FE9036B" w14:textId="77777777" w:rsidR="00F64AED" w:rsidRDefault="00F64AED" w:rsidP="00F64AED">
      <w:pPr>
        <w:pStyle w:val="Footnote"/>
        <w:bidi/>
      </w:pPr>
      <w:r>
        <w:rPr>
          <w:rStyle w:val="ac"/>
          <w:rtl/>
        </w:rPr>
        <w:footnoteRef/>
      </w:r>
      <w:r>
        <w:rPr>
          <w:rtl/>
        </w:rPr>
        <w:t>וב</w:t>
      </w:r>
      <w:r>
        <w:rPr>
          <w:b/>
          <w:bCs/>
          <w:rtl/>
        </w:rPr>
        <w:t xml:space="preserve">שיטמ"ק </w:t>
      </w:r>
      <w:r>
        <w:rPr>
          <w:rtl/>
        </w:rPr>
        <w:t>(ב"ק קה: מר' ברוך בס' החכמה) הביא גירסא מתניתין היא, והביא שברייתות דתורת כהנים שהיו סדורות להם כמו המשניות, וכמ"ש רש"י (חולין סו.) דתורת כהנים דמקרי ספרא דבי רב לפי שהיה שגור בבית המדרש בפי כולם, אבל ברייתא דתנא דבי ר' ישמעאל לא היתה שגורה אלא בפי תלמידיו.</w:t>
      </w:r>
    </w:p>
  </w:footnote>
  <w:footnote w:id="4449">
    <w:p w14:paraId="3935016E" w14:textId="77777777" w:rsidR="00F64AED" w:rsidRDefault="00F64AED" w:rsidP="00F64AED">
      <w:pPr>
        <w:pStyle w:val="Footnote"/>
        <w:bidi/>
      </w:pPr>
      <w:r>
        <w:rPr>
          <w:rStyle w:val="ac"/>
          <w:rtl/>
        </w:rPr>
        <w:footnoteRef/>
      </w:r>
      <w:r>
        <w:rPr>
          <w:rtl/>
        </w:rPr>
        <w:t>וה</w:t>
      </w:r>
      <w:r>
        <w:rPr>
          <w:b/>
          <w:bCs/>
          <w:rtl/>
        </w:rPr>
        <w:t xml:space="preserve">רמב"ן </w:t>
      </w:r>
      <w:r>
        <w:rPr>
          <w:rtl/>
        </w:rPr>
        <w:t>(חולין עד.) הביא מכאן דבעלי הגמ' לא היו שונין ספרא וספרי.</w:t>
      </w:r>
    </w:p>
  </w:footnote>
  <w:footnote w:id="4450">
    <w:p w14:paraId="41849F78" w14:textId="77777777" w:rsidR="00F64AED" w:rsidRDefault="00F64AED" w:rsidP="00F64AED">
      <w:pPr>
        <w:pStyle w:val="Footnote"/>
        <w:bidi/>
      </w:pPr>
      <w:r>
        <w:rPr>
          <w:rStyle w:val="ac"/>
          <w:rtl/>
        </w:rPr>
        <w:footnoteRef/>
      </w:r>
      <w:r>
        <w:rPr>
          <w:rtl/>
        </w:rPr>
        <w:t>והגמ' הביאה דמחלל עבודה דכתיב (שם ז) בהביאכם בני נכר ערלי לב וערלי בשר להיות במקדשי לחלל את ביתי.</w:t>
      </w:r>
    </w:p>
  </w:footnote>
  <w:footnote w:id="4451">
    <w:p w14:paraId="17E69583" w14:textId="77777777" w:rsidR="00F64AED" w:rsidRDefault="00F64AED" w:rsidP="00F64AED">
      <w:pPr>
        <w:pStyle w:val="Footnote"/>
        <w:bidi/>
      </w:pPr>
      <w:r>
        <w:rPr>
          <w:rStyle w:val="ac"/>
          <w:rtl/>
        </w:rPr>
        <w:footnoteRef/>
      </w:r>
      <w:r>
        <w:rPr>
          <w:rtl/>
        </w:rPr>
        <w:t>ומש"ה ה</w:t>
      </w:r>
      <w:r>
        <w:rPr>
          <w:b/>
          <w:bCs/>
          <w:rtl/>
        </w:rPr>
        <w:t>רמב"ם</w:t>
      </w:r>
      <w:r>
        <w:rPr>
          <w:rtl/>
        </w:rPr>
        <w:t xml:space="preserve"> (פסה"מ יח יד) פסק דמחוסר כיפורים האוכל קודש לוקה. [אף דאינו חייב כרת, דדעת הרמב"ם דמחוסר כיפורים קליש טומאתו, והראב"ד פליג].</w:t>
      </w:r>
    </w:p>
    <w:p w14:paraId="0402910B" w14:textId="77777777" w:rsidR="00F64AED" w:rsidRDefault="00F64AED" w:rsidP="00F64AED">
      <w:pPr>
        <w:pStyle w:val="Footnote"/>
        <w:bidi/>
      </w:pPr>
      <w:r>
        <w:rPr>
          <w:rtl/>
        </w:rPr>
        <w:tab/>
        <w:t>ואילו גבי נכנס למקדש פסק ה</w:t>
      </w:r>
      <w:r>
        <w:rPr>
          <w:b/>
          <w:bCs/>
          <w:rtl/>
        </w:rPr>
        <w:t>רמב"ם</w:t>
      </w:r>
      <w:r>
        <w:rPr>
          <w:rtl/>
        </w:rPr>
        <w:t xml:space="preserve"> (ביאמ"ק ג ט) דמחוסר כפורים שנכנס למקדש אינו לוקה, אלא מכין אותו מכות מרדות. [וה</w:t>
      </w:r>
      <w:r>
        <w:rPr>
          <w:b/>
          <w:bCs/>
          <w:rtl/>
        </w:rPr>
        <w:t>ראב"ד</w:t>
      </w:r>
      <w:r>
        <w:rPr>
          <w:rtl/>
        </w:rPr>
        <w:t xml:space="preserve"> השיג דחייב כרת, וה</w:t>
      </w:r>
      <w:r>
        <w:rPr>
          <w:b/>
          <w:bCs/>
          <w:rtl/>
        </w:rPr>
        <w:t>כס"מ</w:t>
      </w:r>
      <w:r>
        <w:rPr>
          <w:rtl/>
        </w:rPr>
        <w:t xml:space="preserve"> כת' דתלי במח' (זבחים יז:) אי מחוסר כיפורים דזב כזב. ע' לעיל ז: ולקמן עד.].</w:t>
      </w:r>
    </w:p>
  </w:footnote>
  <w:footnote w:id="4452">
    <w:p w14:paraId="71830D4A" w14:textId="77777777" w:rsidR="00F64AED" w:rsidRDefault="00F64AED" w:rsidP="00F64AED">
      <w:pPr>
        <w:pStyle w:val="Footnote"/>
        <w:bidi/>
      </w:pPr>
      <w:r>
        <w:rPr>
          <w:rStyle w:val="ac"/>
          <w:rtl/>
        </w:rPr>
        <w:footnoteRef/>
      </w:r>
      <w:r>
        <w:rPr>
          <w:rtl/>
        </w:rPr>
        <w:t>ואף אי נימא דלכמה דינים מומר לערלות מאיס טפי. אבל אין סברא שיפסול לענין הזאה.</w:t>
      </w:r>
    </w:p>
  </w:footnote>
  <w:footnote w:id="4453">
    <w:p w14:paraId="4BA1B5DC" w14:textId="77777777" w:rsidR="00F64AED" w:rsidRDefault="00F64AED" w:rsidP="00F64AED">
      <w:pPr>
        <w:pStyle w:val="Footnote"/>
        <w:bidi/>
      </w:pPr>
      <w:r>
        <w:rPr>
          <w:rStyle w:val="ac"/>
          <w:rtl/>
        </w:rPr>
        <w:footnoteRef/>
      </w:r>
      <w:r>
        <w:rPr>
          <w:rtl/>
        </w:rPr>
        <w:t>אף שמתו אחיו מחמת מילה.</w:t>
      </w:r>
    </w:p>
  </w:footnote>
  <w:footnote w:id="4454">
    <w:p w14:paraId="15CA9B02" w14:textId="77777777" w:rsidR="00F64AED" w:rsidRDefault="00F64AED" w:rsidP="00F64AED">
      <w:pPr>
        <w:pStyle w:val="Footnote"/>
        <w:bidi/>
      </w:pPr>
      <w:r>
        <w:rPr>
          <w:rStyle w:val="ac"/>
          <w:rtl/>
        </w:rPr>
        <w:footnoteRef/>
      </w:r>
      <w:r>
        <w:rPr>
          <w:rtl/>
        </w:rPr>
        <w:t>וכ"ד ה</w:t>
      </w:r>
      <w:r>
        <w:rPr>
          <w:b/>
          <w:bCs/>
          <w:rtl/>
        </w:rPr>
        <w:t>פרי חדש</w:t>
      </w:r>
      <w:r>
        <w:rPr>
          <w:rtl/>
        </w:rPr>
        <w:t xml:space="preserve"> (קכח לט), והביא שה</w:t>
      </w:r>
      <w:r>
        <w:rPr>
          <w:b/>
          <w:bCs/>
          <w:rtl/>
        </w:rPr>
        <w:t>רמב"ם</w:t>
      </w:r>
      <w:r>
        <w:rPr>
          <w:rtl/>
        </w:rPr>
        <w:t xml:space="preserve"> (ביאת מקדש ו ח) כת' דערל שעבד חילל עבודתו, א"כ גרע מנושא נשים בעבירה ומטמא למתים ושוחט לעכו"ם בשוגג [דלא חילל, ואפ"ה לא ישא כפיו].</w:t>
      </w:r>
    </w:p>
  </w:footnote>
  <w:footnote w:id="4455">
    <w:p w14:paraId="18A9464A" w14:textId="77777777" w:rsidR="00F64AED" w:rsidRDefault="00F64AED" w:rsidP="00F64AED">
      <w:pPr>
        <w:pStyle w:val="Footnote"/>
        <w:bidi/>
      </w:pPr>
      <w:r>
        <w:rPr>
          <w:rStyle w:val="ac"/>
          <w:rtl/>
        </w:rPr>
        <w:footnoteRef/>
      </w:r>
      <w:r>
        <w:rPr>
          <w:rtl/>
        </w:rPr>
        <w:t>וה</w:t>
      </w:r>
      <w:r>
        <w:rPr>
          <w:b/>
          <w:bCs/>
          <w:rtl/>
        </w:rPr>
        <w:t>רמב"ן</w:t>
      </w:r>
      <w:r>
        <w:rPr>
          <w:rtl/>
        </w:rPr>
        <w:t xml:space="preserve"> כת' דאין לומר דההיא יוסף הבבלי היא ולא סבירא לן כוותיה. דעכ"פ תקשי להך ברייתא [דההיא ברייתא גופא אמרי' (לקמן) דליתני ערל אסור בתרומה ומותר בפרה ובמעשר]. ועוד דהו"ל לגמ' להעמיד ברייתא זו כיוסף הבבלי, והרי העמיד כר"ע מספק.</w:t>
      </w:r>
    </w:p>
  </w:footnote>
  <w:footnote w:id="4456">
    <w:p w14:paraId="30FA3EF4" w14:textId="77777777" w:rsidR="00F64AED" w:rsidRDefault="00F64AED" w:rsidP="00F64AED">
      <w:pPr>
        <w:pStyle w:val="Footnote"/>
        <w:bidi/>
      </w:pPr>
      <w:r>
        <w:rPr>
          <w:rStyle w:val="ac"/>
          <w:rtl/>
        </w:rPr>
        <w:footnoteRef/>
      </w:r>
      <w:r>
        <w:rPr>
          <w:rtl/>
        </w:rPr>
        <w:t>וה</w:t>
      </w:r>
      <w:r>
        <w:rPr>
          <w:b/>
          <w:bCs/>
          <w:rtl/>
        </w:rPr>
        <w:t>מנח"ח</w:t>
      </w:r>
      <w:r>
        <w:rPr>
          <w:rtl/>
        </w:rPr>
        <w:t xml:space="preserve"> (רפב יב) כתב דיש חיוב מיתה בידי שמים בערל לר' עקיבא, כטמא.</w:t>
      </w:r>
    </w:p>
  </w:footnote>
  <w:footnote w:id="4457">
    <w:p w14:paraId="0B4DE7B7" w14:textId="77777777" w:rsidR="00F64AED" w:rsidRDefault="00F64AED" w:rsidP="00F64AED">
      <w:pPr>
        <w:pStyle w:val="Footnote"/>
        <w:bidi/>
      </w:pPr>
      <w:r>
        <w:rPr>
          <w:rStyle w:val="ac"/>
          <w:rtl/>
        </w:rPr>
        <w:footnoteRef/>
      </w:r>
      <w:r>
        <w:rPr>
          <w:rtl/>
        </w:rPr>
        <w:t>[וכמו עכו"ם לר' מאיר דינו כטמא, ובכל דוכתי קיי"ל דאין לעכו"ם טומאה דאורייתא].</w:t>
      </w:r>
    </w:p>
  </w:footnote>
  <w:footnote w:id="4458">
    <w:p w14:paraId="46BF1F7D" w14:textId="77777777" w:rsidR="00F64AED" w:rsidRDefault="00F64AED" w:rsidP="00F64AED">
      <w:pPr>
        <w:pStyle w:val="Footnote"/>
        <w:bidi/>
      </w:pPr>
      <w:r>
        <w:rPr>
          <w:rStyle w:val="ac"/>
          <w:rtl/>
        </w:rPr>
        <w:footnoteRef/>
      </w:r>
      <w:r>
        <w:rPr>
          <w:rtl/>
        </w:rPr>
        <w:t>וכה"ק ותי' בירושלמי (ביכורים ב א).</w:t>
      </w:r>
    </w:p>
  </w:footnote>
  <w:footnote w:id="4459">
    <w:p w14:paraId="2D27C73E" w14:textId="77777777" w:rsidR="00F64AED" w:rsidRDefault="00F64AED" w:rsidP="00F64AED">
      <w:pPr>
        <w:pStyle w:val="Footnote"/>
        <w:bidi/>
      </w:pPr>
      <w:r>
        <w:rPr>
          <w:rStyle w:val="ac"/>
          <w:rtl/>
        </w:rPr>
        <w:footnoteRef/>
      </w:r>
      <w:r>
        <w:rPr>
          <w:rtl/>
        </w:rPr>
        <w:t>אבל ה</w:t>
      </w:r>
      <w:r>
        <w:rPr>
          <w:b/>
          <w:bCs/>
          <w:rtl/>
        </w:rPr>
        <w:t>ר"ש</w:t>
      </w:r>
      <w:r>
        <w:rPr>
          <w:rtl/>
        </w:rPr>
        <w:t xml:space="preserve"> (חלה שם) כתב דקאי למ"ד [ר' יוחנן] דחצי שיעור מדאורייתא. דלר"ל לא איצטריך. [דמ"ש מכל האיסורין, וכקו' התו"י]. וה</w:t>
      </w:r>
      <w:r>
        <w:rPr>
          <w:b/>
          <w:bCs/>
          <w:rtl/>
        </w:rPr>
        <w:t>תוי"ט</w:t>
      </w:r>
      <w:r>
        <w:rPr>
          <w:rtl/>
        </w:rPr>
        <w:t xml:space="preserve"> הקשה מ"ש ר' יוחנן לר"ל. וה</w:t>
      </w:r>
      <w:r>
        <w:rPr>
          <w:b/>
          <w:bCs/>
          <w:rtl/>
        </w:rPr>
        <w:t>זכרון שמואל</w:t>
      </w:r>
      <w:r>
        <w:rPr>
          <w:rtl/>
        </w:rPr>
        <w:t xml:space="preserve"> (שם) ביאר דלמ"ד מדרבנן הוה משום שמא יבא לשיעור שלם. ולא משום עצם האכילה, וא"כ הדרא קושיית התו”י, מ"ש הכא מבעלמא].</w:t>
      </w:r>
    </w:p>
  </w:footnote>
  <w:footnote w:id="4460">
    <w:p w14:paraId="6A135E47" w14:textId="77777777" w:rsidR="00F64AED" w:rsidRDefault="00F64AED" w:rsidP="00F64AED">
      <w:pPr>
        <w:pStyle w:val="Footnote"/>
        <w:bidi/>
      </w:pPr>
      <w:r>
        <w:rPr>
          <w:rStyle w:val="ac"/>
          <w:rtl/>
        </w:rPr>
        <w:footnoteRef/>
      </w:r>
      <w:r>
        <w:rPr>
          <w:rtl/>
        </w:rPr>
        <w:t>וקצת משמע מדבריו דכ"ז לצד דאיירי בזר האוכלה. אבל כהן טמא נחשב איסור השווה בכל.</w:t>
      </w:r>
    </w:p>
  </w:footnote>
  <w:footnote w:id="4461">
    <w:p w14:paraId="0414B1F3" w14:textId="77777777" w:rsidR="00F64AED" w:rsidRDefault="00F64AED" w:rsidP="00F64AED">
      <w:pPr>
        <w:pStyle w:val="Footnote"/>
        <w:bidi/>
      </w:pPr>
      <w:r>
        <w:rPr>
          <w:rStyle w:val="ac"/>
          <w:rtl/>
        </w:rPr>
        <w:footnoteRef/>
      </w:r>
      <w:r>
        <w:rPr>
          <w:rtl/>
        </w:rPr>
        <w:t xml:space="preserve">דומיא דגזל פחות משווה פרוטה, דאינו ממון, ולא שיעור במעשה גזילה. [אלא דאפ"ה כתב </w:t>
      </w:r>
      <w:r>
        <w:rPr>
          <w:b/>
          <w:bCs/>
          <w:rtl/>
        </w:rPr>
        <w:t>ה"ה</w:t>
      </w:r>
      <w:r>
        <w:rPr>
          <w:rtl/>
        </w:rPr>
        <w:t xml:space="preserve"> (גניבה א ב) דחצי שיעור אסור מה"ת].</w:t>
      </w:r>
    </w:p>
  </w:footnote>
  <w:footnote w:id="4462">
    <w:p w14:paraId="28FB56D3" w14:textId="77777777" w:rsidR="00F64AED" w:rsidRDefault="00F64AED" w:rsidP="00F64AED">
      <w:pPr>
        <w:pStyle w:val="Footnote"/>
        <w:bidi/>
      </w:pPr>
      <w:r>
        <w:rPr>
          <w:rStyle w:val="ac"/>
          <w:rtl/>
        </w:rPr>
        <w:footnoteRef/>
      </w:r>
      <w:r>
        <w:rPr>
          <w:rtl/>
        </w:rPr>
        <w:t>ואף דחסר מעצם איכות העבירה.</w:t>
      </w:r>
    </w:p>
  </w:footnote>
  <w:footnote w:id="4463">
    <w:p w14:paraId="4D3EA22F" w14:textId="77777777" w:rsidR="00F64AED" w:rsidRDefault="00F64AED" w:rsidP="00F64AED">
      <w:pPr>
        <w:pStyle w:val="Footnote"/>
        <w:bidi/>
      </w:pPr>
      <w:r>
        <w:rPr>
          <w:rStyle w:val="ac"/>
          <w:rtl/>
        </w:rPr>
        <w:footnoteRef/>
      </w:r>
      <w:r>
        <w:rPr>
          <w:rtl/>
        </w:rPr>
        <w:t>פ</w:t>
      </w:r>
      <w:r>
        <w:rPr>
          <w:b/>
          <w:bCs/>
          <w:rtl/>
        </w:rPr>
        <w:t>רש"י</w:t>
      </w:r>
      <w:r>
        <w:rPr>
          <w:rtl/>
        </w:rPr>
        <w:t xml:space="preserve"> דמעשר לא ניתן אלא לאכילה וכו' כר' מאיר דממון גבוה [ע' תוס']. וצ"ב דאף לר' יהודה לא ניתן לשאר שימושים. ובפשוטו סברת ר' מאיר כיון דהוה ממון גבוה ממילא אינו שלו לקנות עמו. ולשון רש"י משמע דסברת ר' מאיר דלא נחשב ממון משום דלא ניתן לשימוש סחורה, ולא ניתן אלא לאכילה וכו'.</w:t>
      </w:r>
    </w:p>
  </w:footnote>
  <w:footnote w:id="4464">
    <w:p w14:paraId="76E0D47D" w14:textId="77777777" w:rsidR="00F64AED" w:rsidRDefault="00F64AED" w:rsidP="00F64AED">
      <w:pPr>
        <w:pStyle w:val="Footnote"/>
        <w:bidi/>
      </w:pPr>
      <w:r>
        <w:rPr>
          <w:rStyle w:val="ac"/>
          <w:rtl/>
        </w:rPr>
        <w:footnoteRef/>
      </w:r>
      <w:r>
        <w:rPr>
          <w:rtl/>
        </w:rPr>
        <w:t>ואף שאינו נהנה מהמעשר [אלא מהבגד שנקנה מהמעשר], כיון דהוה לצורך הנאתו ס"ד דלא חשיב 'סחורה'. [ותוס' הק' דמשמע דבכל אופן הוה סחורה].</w:t>
      </w:r>
    </w:p>
  </w:footnote>
  <w:footnote w:id="4465">
    <w:p w14:paraId="2A44C36F" w14:textId="77777777" w:rsidR="00F64AED" w:rsidRDefault="00F64AED" w:rsidP="00F64AED">
      <w:pPr>
        <w:pStyle w:val="Footnote"/>
        <w:bidi/>
      </w:pPr>
      <w:r>
        <w:rPr>
          <w:rStyle w:val="ac"/>
          <w:rtl/>
        </w:rPr>
        <w:footnoteRef/>
      </w:r>
      <w:r>
        <w:rPr>
          <w:rtl/>
        </w:rPr>
        <w:t xml:space="preserve">וכ"כ </w:t>
      </w:r>
      <w:r>
        <w:rPr>
          <w:b/>
          <w:bCs/>
          <w:rtl/>
        </w:rPr>
        <w:t>תוס</w:t>
      </w:r>
      <w:r>
        <w:rPr>
          <w:rtl/>
        </w:rPr>
        <w:t>' (ע"ז סב: ותורא”ש כאן) דפשיטא דאינו מתחלל אלא על המעות, ומשמע מדבריהם דאף בזה העלו צד דמלבושים שרי. וע"ע תוס' הר"י מפריש (שם), והתוס' רא"ש (קידושין נו.) ור”ש (מעש”ש ה יב).</w:t>
      </w:r>
    </w:p>
  </w:footnote>
  <w:footnote w:id="4466">
    <w:p w14:paraId="2B0A5543" w14:textId="77777777" w:rsidR="00F64AED" w:rsidRDefault="00F64AED" w:rsidP="00F64AED">
      <w:pPr>
        <w:pStyle w:val="Footnote"/>
        <w:bidi/>
      </w:pPr>
      <w:r>
        <w:rPr>
          <w:rStyle w:val="ac"/>
          <w:rtl/>
        </w:rPr>
        <w:footnoteRef/>
      </w:r>
      <w:r>
        <w:rPr>
          <w:rtl/>
        </w:rPr>
        <w:t>ובתוס' בתחילת דבריהם משמע דקאי אף למ"ד ממון גבוה, וכ"כ תוס' ב"מ נג. בחד תי' דמותר מדאורייתא אף לר' מאיר.</w:t>
      </w:r>
    </w:p>
  </w:footnote>
  <w:footnote w:id="4467">
    <w:p w14:paraId="4675C04F" w14:textId="77777777" w:rsidR="00F64AED" w:rsidRDefault="00F64AED" w:rsidP="00F64AED">
      <w:pPr>
        <w:pStyle w:val="Footnote"/>
        <w:bidi/>
      </w:pPr>
      <w:r>
        <w:rPr>
          <w:rStyle w:val="ac"/>
          <w:rtl/>
        </w:rPr>
        <w:footnoteRef/>
      </w:r>
      <w:r>
        <w:rPr>
          <w:rtl/>
        </w:rPr>
        <w:t>וה</w:t>
      </w:r>
      <w:r>
        <w:rPr>
          <w:b/>
          <w:bCs/>
          <w:rtl/>
        </w:rPr>
        <w:t>רמב"ם</w:t>
      </w:r>
      <w:r>
        <w:rPr>
          <w:rtl/>
        </w:rPr>
        <w:t xml:space="preserve"> (מעש”ש ג י) כתב דאם עבר וקנה במעות מעשר, יאכל כנגדם. וה</w:t>
      </w:r>
      <w:r>
        <w:rPr>
          <w:b/>
          <w:bCs/>
          <w:rtl/>
        </w:rPr>
        <w:t>חינוך</w:t>
      </w:r>
      <w:r>
        <w:rPr>
          <w:rtl/>
        </w:rPr>
        <w:t xml:space="preserve"> (תרי) כ' דמשו"ה אינו לוקה דנחשב ניתן לתשלומין. [ומבואר דהוה מדאורייתא, וע' בסוגיא קידושין נו.].</w:t>
      </w:r>
    </w:p>
  </w:footnote>
  <w:footnote w:id="4468">
    <w:p w14:paraId="2E5F6FCA" w14:textId="77777777" w:rsidR="00F64AED" w:rsidRDefault="00F64AED" w:rsidP="00F64AED">
      <w:pPr>
        <w:pStyle w:val="Footnote"/>
        <w:bidi/>
      </w:pPr>
      <w:r>
        <w:rPr>
          <w:rStyle w:val="ac"/>
          <w:rtl/>
        </w:rPr>
        <w:footnoteRef/>
      </w:r>
      <w:r>
        <w:rPr>
          <w:rtl/>
        </w:rPr>
        <w:t>אבל ה</w:t>
      </w:r>
      <w:r>
        <w:rPr>
          <w:b/>
          <w:bCs/>
          <w:rtl/>
        </w:rPr>
        <w:t>רמב"ם</w:t>
      </w:r>
      <w:r>
        <w:rPr>
          <w:rtl/>
        </w:rPr>
        <w:t xml:space="preserve"> (מעש"ש ג י) כתב דאסור להוציאו לשאר צרכיו כגון ליקח כלים ובגדים, דדרשי' דבר שאינו 'מקיים' את הגוף.</w:t>
      </w:r>
    </w:p>
  </w:footnote>
  <w:footnote w:id="4469">
    <w:p w14:paraId="1E50711A" w14:textId="77777777" w:rsidR="00F64AED" w:rsidRDefault="00F64AED" w:rsidP="00F64AED">
      <w:pPr>
        <w:pStyle w:val="Footnote"/>
        <w:bidi/>
      </w:pPr>
      <w:r>
        <w:rPr>
          <w:rStyle w:val="ac"/>
          <w:rtl/>
        </w:rPr>
        <w:footnoteRef/>
      </w:r>
      <w:r>
        <w:rPr>
          <w:rtl/>
        </w:rPr>
        <w:t xml:space="preserve">וכ"כ </w:t>
      </w:r>
      <w:r>
        <w:rPr>
          <w:b/>
          <w:bCs/>
          <w:rtl/>
        </w:rPr>
        <w:t>תוס</w:t>
      </w:r>
      <w:r>
        <w:rPr>
          <w:rtl/>
        </w:rPr>
        <w:t>' (ב"מ) בחד תי'. וצ"ב דלר"מ דהוה ממון גבוה האיך רשאי ליקח בהם אפי' בגדים [אם אינו מתחלל], הא אפי' ליתן במתנה אינו רשאי.</w:t>
      </w:r>
    </w:p>
  </w:footnote>
  <w:footnote w:id="4470">
    <w:p w14:paraId="0F0FA852" w14:textId="77777777" w:rsidR="00F64AED" w:rsidRDefault="00F64AED" w:rsidP="00F64AED">
      <w:pPr>
        <w:pStyle w:val="Footnote"/>
        <w:bidi/>
      </w:pPr>
      <w:r>
        <w:rPr>
          <w:rStyle w:val="ac"/>
          <w:rtl/>
        </w:rPr>
        <w:footnoteRef/>
      </w:r>
      <w:r>
        <w:rPr>
          <w:rtl/>
        </w:rPr>
        <w:t>וה</w:t>
      </w:r>
      <w:r>
        <w:rPr>
          <w:b/>
          <w:bCs/>
          <w:rtl/>
        </w:rPr>
        <w:t>שער"י</w:t>
      </w:r>
      <w:r>
        <w:rPr>
          <w:rtl/>
        </w:rPr>
        <w:t xml:space="preserve"> (ו טז) דן דקי"ל (ביצה לח:) דממונא לא בטל, א"כ מה שייך ביטול במעש"ש למ"ד מעש"ש ממון גבוה, והרי עדיין שייך לבעלות מעש"ש. וכת' דדין ממון גבוה דמעש"ש תלי באיסור, ומהני ביטול ברוב לבטל את איסור המעשר.</w:t>
      </w:r>
    </w:p>
  </w:footnote>
  <w:footnote w:id="4471">
    <w:p w14:paraId="66B91C44" w14:textId="77777777" w:rsidR="00F64AED" w:rsidRDefault="00F64AED" w:rsidP="00F64AED">
      <w:pPr>
        <w:pStyle w:val="Footnote"/>
        <w:bidi/>
      </w:pPr>
      <w:r>
        <w:rPr>
          <w:rStyle w:val="ac"/>
          <w:rtl/>
        </w:rPr>
        <w:footnoteRef/>
      </w:r>
      <w:r>
        <w:rPr>
          <w:rtl/>
        </w:rPr>
        <w:t>אבל ה</w:t>
      </w:r>
      <w:r>
        <w:rPr>
          <w:b/>
          <w:bCs/>
          <w:rtl/>
        </w:rPr>
        <w:t xml:space="preserve">מהרש"א </w:t>
      </w:r>
      <w:r>
        <w:rPr>
          <w:rtl/>
        </w:rPr>
        <w:t>כתב דלרש"י מתני' אתי כר' מאיר דס"ל דאי"צ נט"י.</w:t>
      </w:r>
    </w:p>
  </w:footnote>
  <w:footnote w:id="4472">
    <w:p w14:paraId="667E4BAB" w14:textId="77777777" w:rsidR="00F64AED" w:rsidRDefault="00F64AED" w:rsidP="00F64AED">
      <w:pPr>
        <w:pStyle w:val="Footnote"/>
        <w:bidi/>
      </w:pPr>
      <w:r>
        <w:rPr>
          <w:rStyle w:val="ac"/>
          <w:rtl/>
        </w:rPr>
        <w:footnoteRef/>
      </w:r>
      <w:r>
        <w:rPr>
          <w:rtl/>
        </w:rPr>
        <w:t>ועוד הקשה דבמשנה איתא דמעש"ש ניתן לאכילה ושתייה וסיכה, ואמאי שייר הדלקת הנר. [ויש שתי' דבהנך יש מצווה. אבל הדלקת הנר, אף דאין איסור בדבר, מ"מ לא נחשב מצוות מעשר].</w:t>
      </w:r>
    </w:p>
  </w:footnote>
  <w:footnote w:id="4473">
    <w:p w14:paraId="1629DFB3" w14:textId="77777777" w:rsidR="00F64AED" w:rsidRDefault="00F64AED" w:rsidP="00F64AED">
      <w:pPr>
        <w:pStyle w:val="Footnote"/>
        <w:bidi/>
      </w:pPr>
      <w:r>
        <w:rPr>
          <w:rStyle w:val="ac"/>
          <w:rtl/>
        </w:rPr>
        <w:footnoteRef/>
      </w:r>
      <w:r>
        <w:rPr>
          <w:rtl/>
        </w:rPr>
        <w:t>וכה"ק ב</w:t>
      </w:r>
      <w:r>
        <w:rPr>
          <w:b/>
          <w:bCs/>
          <w:rtl/>
        </w:rPr>
        <w:t>משנה ראשונה</w:t>
      </w:r>
      <w:r>
        <w:rPr>
          <w:rtl/>
        </w:rPr>
        <w:t xml:space="preserve"> (שם). וכ"כ ה</w:t>
      </w:r>
      <w:r>
        <w:rPr>
          <w:b/>
          <w:bCs/>
          <w:rtl/>
        </w:rPr>
        <w:t>שנות אליהו</w:t>
      </w:r>
      <w:r>
        <w:rPr>
          <w:rtl/>
        </w:rPr>
        <w:t xml:space="preserve"> (שם) דמעש"ש טהור אסור בהדלקה.</w:t>
      </w:r>
    </w:p>
  </w:footnote>
  <w:footnote w:id="4474">
    <w:p w14:paraId="5F77A42D" w14:textId="77777777" w:rsidR="00F64AED" w:rsidRDefault="00F64AED" w:rsidP="00F64AED">
      <w:pPr>
        <w:pStyle w:val="Footnote"/>
        <w:bidi/>
      </w:pPr>
      <w:r>
        <w:rPr>
          <w:rStyle w:val="ac"/>
          <w:rtl/>
        </w:rPr>
        <w:footnoteRef/>
      </w:r>
      <w:r>
        <w:rPr>
          <w:rtl/>
        </w:rPr>
        <w:t>משמע דאילו היה מביא לירושלים, אי"צ לבערו המעולם [ואכ"מ].</w:t>
      </w:r>
    </w:p>
  </w:footnote>
  <w:footnote w:id="4475">
    <w:p w14:paraId="0BE23D80" w14:textId="77777777" w:rsidR="00F64AED" w:rsidRDefault="00F64AED" w:rsidP="00F64AED">
      <w:pPr>
        <w:pStyle w:val="Footnote"/>
        <w:bidi/>
      </w:pPr>
      <w:r>
        <w:rPr>
          <w:rStyle w:val="ac"/>
          <w:rtl/>
        </w:rPr>
        <w:footnoteRef/>
      </w:r>
      <w:r>
        <w:rPr>
          <w:rtl/>
        </w:rPr>
        <w:t>וה</w:t>
      </w:r>
      <w:r>
        <w:rPr>
          <w:b/>
          <w:bCs/>
          <w:rtl/>
        </w:rPr>
        <w:t>או"ש</w:t>
      </w:r>
      <w:r>
        <w:rPr>
          <w:rtl/>
        </w:rPr>
        <w:t xml:space="preserve"> (ביכורים שם) כת' דלמסקנא רבנן סמכי' אקרא דכתיב שמחה בגופיה. ואף דילפי' מלקות בהיקש לענין חוץ לחומה דכתיב בהאי ענינא, לא ילפי' ההיקש לענין אנינות.</w:t>
      </w:r>
    </w:p>
  </w:footnote>
  <w:footnote w:id="4476">
    <w:p w14:paraId="015E013D" w14:textId="77777777" w:rsidR="00F64AED" w:rsidRDefault="00F64AED" w:rsidP="00F64AED">
      <w:pPr>
        <w:pStyle w:val="Footnote"/>
        <w:bidi/>
      </w:pPr>
      <w:r>
        <w:rPr>
          <w:rStyle w:val="ac"/>
          <w:rtl/>
        </w:rPr>
        <w:footnoteRef/>
      </w:r>
      <w:r>
        <w:rPr>
          <w:rtl/>
        </w:rPr>
        <w:t xml:space="preserve">ועפ"ז לק"מ קושיית </w:t>
      </w:r>
      <w:r>
        <w:rPr>
          <w:b/>
          <w:bCs/>
          <w:rtl/>
        </w:rPr>
        <w:t>תוס</w:t>
      </w:r>
      <w:r>
        <w:rPr>
          <w:rtl/>
        </w:rPr>
        <w:t>' (ד"ה אסור) דשפיר איצטריך קרא להתיר שריפה, בדבר העומד לאכילה.</w:t>
      </w:r>
    </w:p>
  </w:footnote>
  <w:footnote w:id="4477">
    <w:p w14:paraId="0E623B4F" w14:textId="77777777" w:rsidR="00F64AED" w:rsidRDefault="00F64AED" w:rsidP="00F64AED">
      <w:pPr>
        <w:pStyle w:val="Footnote"/>
        <w:bidi/>
      </w:pPr>
      <w:r>
        <w:rPr>
          <w:rStyle w:val="ac"/>
          <w:rtl/>
        </w:rPr>
        <w:footnoteRef/>
      </w:r>
      <w:r>
        <w:rPr>
          <w:rtl/>
        </w:rPr>
        <w:t>והאו"ש מחק המילים 'וכן יראה לי'.</w:t>
      </w:r>
    </w:p>
  </w:footnote>
  <w:footnote w:id="4478">
    <w:p w14:paraId="6989F760" w14:textId="77777777" w:rsidR="00F64AED" w:rsidRDefault="00F64AED" w:rsidP="00F64AED">
      <w:pPr>
        <w:pStyle w:val="Footnote"/>
        <w:bidi/>
      </w:pPr>
      <w:r>
        <w:rPr>
          <w:rStyle w:val="ac"/>
          <w:rtl/>
        </w:rPr>
        <w:footnoteRef/>
      </w:r>
      <w:r>
        <w:rPr>
          <w:rtl/>
        </w:rPr>
        <w:t>אך ב</w:t>
      </w:r>
      <w:r>
        <w:rPr>
          <w:b/>
          <w:bCs/>
          <w:rtl/>
        </w:rPr>
        <w:t>הג' חש"ל</w:t>
      </w:r>
      <w:r>
        <w:rPr>
          <w:rtl/>
        </w:rPr>
        <w:t xml:space="preserve"> (לרמב"ם) ציין דהרמב"ם (ביכורים ג ו הנ"ל) נראה דל"ל הך היקש.</w:t>
      </w:r>
    </w:p>
  </w:footnote>
  <w:footnote w:id="4479">
    <w:p w14:paraId="6CE4139F" w14:textId="77777777" w:rsidR="00F64AED" w:rsidRDefault="00F64AED" w:rsidP="00F64AED">
      <w:pPr>
        <w:pStyle w:val="Footnote"/>
        <w:bidi/>
      </w:pPr>
      <w:r>
        <w:rPr>
          <w:rStyle w:val="ac"/>
          <w:rtl/>
        </w:rPr>
        <w:footnoteRef/>
      </w:r>
      <w:r>
        <w:rPr>
          <w:rtl/>
        </w:rPr>
        <w:t>ו</w:t>
      </w:r>
      <w:r>
        <w:rPr>
          <w:b/>
          <w:bCs/>
          <w:rtl/>
        </w:rPr>
        <w:t>מהר"י קורקוס</w:t>
      </w:r>
      <w:r>
        <w:rPr>
          <w:rtl/>
        </w:rPr>
        <w:t xml:space="preserve"> תי' דמ"מ עיקר קרא דלא בערתי קאי לענין אכילה [וכדאי' בסוגיין], וע”ז אמרי' דהוקש ביכורים למעש"ש.</w:t>
      </w:r>
    </w:p>
  </w:footnote>
  <w:footnote w:id="4480">
    <w:p w14:paraId="04D1B8F2" w14:textId="77777777" w:rsidR="00F64AED" w:rsidRDefault="00F64AED" w:rsidP="00F64AED">
      <w:pPr>
        <w:pStyle w:val="Footnote"/>
        <w:bidi/>
      </w:pPr>
      <w:r>
        <w:rPr>
          <w:rStyle w:val="ac"/>
          <w:rtl/>
        </w:rPr>
        <w:footnoteRef/>
      </w:r>
      <w:r>
        <w:rPr>
          <w:rtl/>
        </w:rPr>
        <w:t>והגמ' נקטה לה לסימנא בעלמא.</w:t>
      </w:r>
    </w:p>
  </w:footnote>
  <w:footnote w:id="4481">
    <w:p w14:paraId="7CB0CAE4" w14:textId="77777777" w:rsidR="00F64AED" w:rsidRDefault="00F64AED" w:rsidP="00F64AED">
      <w:pPr>
        <w:pStyle w:val="Footnote"/>
        <w:bidi/>
      </w:pPr>
      <w:r>
        <w:rPr>
          <w:rStyle w:val="ac"/>
          <w:rtl/>
        </w:rPr>
        <w:footnoteRef/>
      </w:r>
      <w:r>
        <w:rPr>
          <w:rtl/>
        </w:rPr>
        <w:t>וכ"כ ה</w:t>
      </w:r>
      <w:r>
        <w:rPr>
          <w:b/>
          <w:bCs/>
          <w:rtl/>
        </w:rPr>
        <w:t>ריטב"א</w:t>
      </w:r>
      <w:r>
        <w:rPr>
          <w:rtl/>
        </w:rPr>
        <w:t xml:space="preserve"> דבביכורים כתוב להדיא הבאת מקום, וכן וידוי אין ללמוד זמ"ז.</w:t>
      </w:r>
    </w:p>
  </w:footnote>
  <w:footnote w:id="4482">
    <w:p w14:paraId="256488C3" w14:textId="77777777" w:rsidR="00F64AED" w:rsidRDefault="00F64AED" w:rsidP="00F64AED">
      <w:pPr>
        <w:pStyle w:val="Footnote"/>
        <w:bidi/>
      </w:pPr>
      <w:r>
        <w:rPr>
          <w:rStyle w:val="ac"/>
          <w:rtl/>
        </w:rPr>
        <w:footnoteRef/>
      </w:r>
      <w:r>
        <w:rPr>
          <w:rtl/>
        </w:rPr>
        <w:t>כדאמרי' התם דלחם איקרי תודה, ותודה לא איקרי לחם.</w:t>
      </w:r>
    </w:p>
  </w:footnote>
  <w:footnote w:id="4483">
    <w:p w14:paraId="1CDF651A" w14:textId="77777777" w:rsidR="00F64AED" w:rsidRDefault="00F64AED" w:rsidP="00F64AED">
      <w:pPr>
        <w:pStyle w:val="Footnote"/>
        <w:bidi/>
      </w:pPr>
      <w:r>
        <w:rPr>
          <w:rStyle w:val="ac"/>
          <w:rtl/>
        </w:rPr>
        <w:footnoteRef/>
      </w:r>
      <w:r>
        <w:rPr>
          <w:rtl/>
        </w:rPr>
        <w:t>וה</w:t>
      </w:r>
      <w:r>
        <w:rPr>
          <w:b/>
          <w:bCs/>
          <w:rtl/>
        </w:rPr>
        <w:t>גרי"ז</w:t>
      </w:r>
      <w:r>
        <w:rPr>
          <w:rtl/>
        </w:rPr>
        <w:t xml:space="preserve"> (מכתב בסה"ס עמ' פ) כתב דהאוכל ביכורים משלם תשלומי תרומה, ונעשה תרומה [ולא ביכורים]. אבל ה</w:t>
      </w:r>
      <w:r>
        <w:rPr>
          <w:b/>
          <w:bCs/>
          <w:rtl/>
        </w:rPr>
        <w:t>מנח"ח</w:t>
      </w:r>
      <w:r>
        <w:rPr>
          <w:rtl/>
        </w:rPr>
        <w:t xml:space="preserve"> (רפא יד) כתב דתשלומי ביכורים ביכורים, אלא דאי"צ הנחה וקריאה. ונסתפק האם ניתן לאנשי משמר, או לכל כהן שרוצה.</w:t>
      </w:r>
    </w:p>
  </w:footnote>
  <w:footnote w:id="4484">
    <w:p w14:paraId="41365C21" w14:textId="77777777" w:rsidR="00F64AED" w:rsidRDefault="00F64AED" w:rsidP="00F64AED">
      <w:pPr>
        <w:pStyle w:val="Footnote"/>
        <w:bidi/>
      </w:pPr>
      <w:r>
        <w:rPr>
          <w:rStyle w:val="ac"/>
          <w:rtl/>
        </w:rPr>
        <w:footnoteRef/>
      </w:r>
      <w:r>
        <w:rPr>
          <w:rtl/>
        </w:rPr>
        <w:t>ורע"א כת' דיש ליישב קצת דברי רש"י בבכורות ע"פ דבריו ביבמות. [וע"פ דברי הר"ש בסמוך].</w:t>
      </w:r>
    </w:p>
  </w:footnote>
  <w:footnote w:id="4485">
    <w:p w14:paraId="5D7934FB" w14:textId="77777777" w:rsidR="00F64AED" w:rsidRDefault="00F64AED" w:rsidP="00F64AED">
      <w:pPr>
        <w:pStyle w:val="Footnote"/>
        <w:bidi/>
      </w:pPr>
      <w:r>
        <w:rPr>
          <w:rStyle w:val="ac"/>
          <w:rtl/>
        </w:rPr>
        <w:footnoteRef/>
      </w:r>
      <w:r>
        <w:rPr>
          <w:rtl/>
        </w:rPr>
        <w:t>אלא דה</w:t>
      </w:r>
      <w:r>
        <w:rPr>
          <w:b/>
          <w:bCs/>
          <w:rtl/>
        </w:rPr>
        <w:t>ראשונים</w:t>
      </w:r>
      <w:r>
        <w:rPr>
          <w:rtl/>
        </w:rPr>
        <w:t xml:space="preserve"> (ריטב"א שם, ותוס' שם קא.) חילקו בין נטמא התרומה קודם או נטמא הגוף קודם.</w:t>
      </w:r>
    </w:p>
  </w:footnote>
  <w:footnote w:id="4486">
    <w:p w14:paraId="0DF2569B" w14:textId="77777777" w:rsidR="00F64AED" w:rsidRDefault="00F64AED" w:rsidP="00F64AED">
      <w:pPr>
        <w:pStyle w:val="Footnote"/>
        <w:bidi/>
      </w:pPr>
      <w:r>
        <w:rPr>
          <w:rStyle w:val="ac"/>
          <w:rtl/>
        </w:rPr>
        <w:footnoteRef/>
      </w:r>
      <w:r>
        <w:rPr>
          <w:rtl/>
        </w:rPr>
        <w:t>וכן ה</w:t>
      </w:r>
      <w:r>
        <w:rPr>
          <w:b/>
          <w:bCs/>
          <w:rtl/>
        </w:rPr>
        <w:t>רמב"ם</w:t>
      </w:r>
      <w:r>
        <w:rPr>
          <w:rtl/>
        </w:rPr>
        <w:t xml:space="preserve"> (סנהדרין יט) מנה בלאו א' דערל שאכל תרומה וקדשים לוקה. ועפ"ז נקט הגרי"ז דלא הוה מדיני קרבנות, דנימא דצריך קרבו מתיריו [ולא דמי לאיסור אכילת קדשים בטומאה הוה אחרי זריקה (כדאי' זבחים לד, מכות יח)]. אלא תלי בשם קודש, ואף זריקת הדם יש 'שם קודש'.</w:t>
      </w:r>
    </w:p>
  </w:footnote>
  <w:footnote w:id="4487">
    <w:p w14:paraId="24F12E7C" w14:textId="77777777" w:rsidR="00F64AED" w:rsidRDefault="00F64AED" w:rsidP="00F64AED">
      <w:pPr>
        <w:pStyle w:val="Footnote"/>
        <w:bidi/>
      </w:pPr>
      <w:r>
        <w:rPr>
          <w:rStyle w:val="ac"/>
          <w:rtl/>
        </w:rPr>
        <w:footnoteRef/>
      </w:r>
      <w:r>
        <w:rPr>
          <w:rtl/>
        </w:rPr>
        <w:t>וה</w:t>
      </w:r>
      <w:r>
        <w:rPr>
          <w:b/>
          <w:bCs/>
          <w:rtl/>
        </w:rPr>
        <w:t>גרי"ז</w:t>
      </w:r>
      <w:r>
        <w:rPr>
          <w:rtl/>
        </w:rPr>
        <w:t xml:space="preserve"> הביא סמך דהגמ' (פסחים צו) עושה צריכותא דאיצטריך למכתב ערל ובן נכר גבי פסח, ואיסור בן נכר ודאי הוה דוקא בפסח. ומשמע דאף איסור ערל.</w:t>
      </w:r>
    </w:p>
  </w:footnote>
  <w:footnote w:id="4488">
    <w:p w14:paraId="53910B09" w14:textId="77777777" w:rsidR="00F64AED" w:rsidRDefault="00F64AED" w:rsidP="00F64AED">
      <w:pPr>
        <w:pStyle w:val="Footnote"/>
        <w:bidi/>
      </w:pPr>
      <w:r>
        <w:rPr>
          <w:rStyle w:val="ac"/>
          <w:rtl/>
        </w:rPr>
        <w:footnoteRef/>
      </w:r>
      <w:r>
        <w:rPr>
          <w:rtl/>
        </w:rPr>
        <w:t>[וכ"פ ה</w:t>
      </w:r>
      <w:r>
        <w:rPr>
          <w:b/>
          <w:bCs/>
          <w:rtl/>
        </w:rPr>
        <w:t>רמב"ם</w:t>
      </w:r>
      <w:r>
        <w:rPr>
          <w:rtl/>
        </w:rPr>
        <w:t xml:space="preserve"> דאינו חייב כרת (ביאמ"ק ג ט) כשנכנס למקדש או (פסוה"מ יח יד) אוכל קדשים].</w:t>
      </w:r>
    </w:p>
  </w:footnote>
  <w:footnote w:id="4489">
    <w:p w14:paraId="7E6136C0" w14:textId="77777777" w:rsidR="00F64AED" w:rsidRDefault="00F64AED" w:rsidP="00F64AED">
      <w:pPr>
        <w:pStyle w:val="Footnote"/>
        <w:bidi/>
      </w:pPr>
      <w:r>
        <w:rPr>
          <w:rStyle w:val="ac"/>
          <w:rtl/>
        </w:rPr>
        <w:footnoteRef/>
      </w:r>
      <w:r>
        <w:rPr>
          <w:rtl/>
        </w:rPr>
        <w:t>וה</w:t>
      </w:r>
      <w:r>
        <w:rPr>
          <w:b/>
          <w:bCs/>
          <w:rtl/>
        </w:rPr>
        <w:t>כס"מ</w:t>
      </w:r>
      <w:r>
        <w:rPr>
          <w:rtl/>
        </w:rPr>
        <w:t xml:space="preserve"> כתב דפסק דלא כר' עקיבא (דסוגיין), כיון דסתם לן תנא דפרה נעשית בטבו"י. וה</w:t>
      </w:r>
      <w:r>
        <w:rPr>
          <w:b/>
          <w:bCs/>
          <w:rtl/>
        </w:rPr>
        <w:t>חזו"א</w:t>
      </w:r>
      <w:r>
        <w:rPr>
          <w:rtl/>
        </w:rPr>
        <w:t xml:space="preserve"> (ח ט) תמה דלכו"ע נעשה בטבו"י, אלא דנח' האם ילפי' בק"ו. ובזה ל"מ סתם משנה.</w:t>
      </w:r>
    </w:p>
  </w:footnote>
  <w:footnote w:id="4490">
    <w:p w14:paraId="727E65D3" w14:textId="77777777" w:rsidR="00F64AED" w:rsidRDefault="00F64AED" w:rsidP="00F64AED">
      <w:pPr>
        <w:pStyle w:val="Footnote"/>
        <w:bidi/>
      </w:pPr>
      <w:r>
        <w:rPr>
          <w:rStyle w:val="ac"/>
          <w:rtl/>
        </w:rPr>
        <w:footnoteRef/>
      </w:r>
      <w:r>
        <w:rPr>
          <w:rtl/>
        </w:rPr>
        <w:t>וה</w:t>
      </w:r>
      <w:r>
        <w:rPr>
          <w:b/>
          <w:bCs/>
          <w:rtl/>
        </w:rPr>
        <w:t>כס”מ</w:t>
      </w:r>
      <w:r>
        <w:rPr>
          <w:rtl/>
        </w:rPr>
        <w:t xml:space="preserve"> (שם) הביא דלר”ע ערל כטמא, ועוד הביא מדר' יצחק. [פתח בר"ע, וסיים בדר' יצחק. וצ”ע כוונתו].</w:t>
      </w:r>
    </w:p>
    <w:p w14:paraId="76153614" w14:textId="77777777" w:rsidR="00F64AED" w:rsidRDefault="00F64AED" w:rsidP="00F64AED">
      <w:pPr>
        <w:pStyle w:val="Footnote"/>
        <w:bidi/>
      </w:pPr>
      <w:r>
        <w:rPr>
          <w:rtl/>
        </w:rPr>
        <w:tab/>
        <w:t>אבל ה</w:t>
      </w:r>
      <w:r>
        <w:rPr>
          <w:b/>
          <w:bCs/>
          <w:rtl/>
        </w:rPr>
        <w:t>מנח"ח</w:t>
      </w:r>
      <w:r>
        <w:rPr>
          <w:rtl/>
        </w:rPr>
        <w:t xml:space="preserve"> (רפב ג הו' בדרך אמונה) כת' ליישב דכוונת הרמב”ם דערל אינו חייב על אכילת מעשר חוץ לירושלים, וכדין טמא.</w:t>
      </w:r>
    </w:p>
  </w:footnote>
  <w:footnote w:id="4491">
    <w:p w14:paraId="26C882CC" w14:textId="77777777" w:rsidR="00F64AED" w:rsidRDefault="00F64AED" w:rsidP="00F64AED">
      <w:pPr>
        <w:pStyle w:val="Footnote"/>
        <w:bidi/>
      </w:pPr>
      <w:r>
        <w:rPr>
          <w:rStyle w:val="ac"/>
          <w:rtl/>
        </w:rPr>
        <w:footnoteRef/>
      </w:r>
      <w:r>
        <w:rPr>
          <w:rtl/>
        </w:rPr>
        <w:t>וע"ע לח"מ (חגיגה ב א ד”ה וכן הערל) שהאריך בסתירת פסקי הרמב"ם אי קי"ל דערל כטמא.</w:t>
      </w:r>
    </w:p>
  </w:footnote>
  <w:footnote w:id="4492">
    <w:p w14:paraId="754E8461" w14:textId="77777777" w:rsidR="00F64AED" w:rsidRDefault="00F64AED" w:rsidP="00F64AED">
      <w:pPr>
        <w:pStyle w:val="Footnote"/>
        <w:bidi/>
      </w:pPr>
      <w:r>
        <w:rPr>
          <w:rStyle w:val="ac"/>
          <w:rtl/>
        </w:rPr>
        <w:footnoteRef/>
      </w:r>
      <w:r>
        <w:rPr>
          <w:rtl/>
        </w:rPr>
        <w:t>וה</w:t>
      </w:r>
      <w:r>
        <w:rPr>
          <w:b/>
          <w:bCs/>
          <w:rtl/>
        </w:rPr>
        <w:t xml:space="preserve">משנ"ל </w:t>
      </w:r>
      <w:r>
        <w:rPr>
          <w:rtl/>
        </w:rPr>
        <w:t>(שם) נתקשה בזה, וכת' דמ"מ פשיטא דהנולד מפסולי כהונה דבמיתה. [וה</w:t>
      </w:r>
      <w:r>
        <w:rPr>
          <w:b/>
          <w:bCs/>
          <w:rtl/>
        </w:rPr>
        <w:t>מנח”ח</w:t>
      </w:r>
      <w:r>
        <w:rPr>
          <w:rtl/>
        </w:rPr>
        <w:t xml:space="preserve"> (רפג ג,יא) כת' דחיוב 'זר' הוה רק בזר מעיקרו]</w:t>
      </w:r>
    </w:p>
  </w:footnote>
  <w:footnote w:id="4493">
    <w:p w14:paraId="603966E3" w14:textId="77777777" w:rsidR="00F64AED" w:rsidRDefault="00F64AED" w:rsidP="00F64AED">
      <w:pPr>
        <w:pStyle w:val="Footnote"/>
        <w:bidi/>
      </w:pPr>
      <w:r>
        <w:rPr>
          <w:rStyle w:val="ac"/>
          <w:rtl/>
        </w:rPr>
        <w:footnoteRef/>
      </w:r>
      <w:r>
        <w:rPr>
          <w:rtl/>
        </w:rPr>
        <w:t>וה</w:t>
      </w:r>
      <w:r>
        <w:rPr>
          <w:b/>
          <w:bCs/>
          <w:rtl/>
        </w:rPr>
        <w:t>רשב"א</w:t>
      </w:r>
      <w:r>
        <w:rPr>
          <w:rtl/>
        </w:rPr>
        <w:t xml:space="preserve"> לשיטתו (לעיל ע.) דנבעלה לפסול לה הוה שם 'זונה'. [וע' מש"כ לעיל סח: סט.].</w:t>
      </w:r>
    </w:p>
  </w:footnote>
  <w:footnote w:id="4494">
    <w:p w14:paraId="152CF0CD" w14:textId="77777777" w:rsidR="00F64AED" w:rsidRDefault="00F64AED" w:rsidP="00F64AED">
      <w:pPr>
        <w:pStyle w:val="Footnote"/>
        <w:bidi/>
      </w:pPr>
      <w:r>
        <w:rPr>
          <w:rStyle w:val="ac"/>
          <w:rtl/>
        </w:rPr>
        <w:footnoteRef/>
      </w:r>
      <w:r>
        <w:rPr>
          <w:rtl/>
        </w:rPr>
        <w:t>וכ"כ ה</w:t>
      </w:r>
      <w:r>
        <w:rPr>
          <w:b/>
          <w:bCs/>
          <w:rtl/>
        </w:rPr>
        <w:t>ריטב"א</w:t>
      </w:r>
      <w:r>
        <w:rPr>
          <w:rtl/>
        </w:rPr>
        <w:t xml:space="preserve"> דהגמ' קאי אכולהו שנתחללו כשנבעלו לפסול, ולא דייקי בלישנא.</w:t>
      </w:r>
    </w:p>
  </w:footnote>
  <w:footnote w:id="4495">
    <w:p w14:paraId="781EB63F" w14:textId="77777777" w:rsidR="00F64AED" w:rsidRDefault="00F64AED" w:rsidP="00F64AED">
      <w:pPr>
        <w:pStyle w:val="Footnote"/>
        <w:bidi/>
      </w:pPr>
      <w:r>
        <w:rPr>
          <w:rStyle w:val="ac"/>
          <w:rtl/>
        </w:rPr>
        <w:footnoteRef/>
      </w:r>
      <w:r>
        <w:rPr>
          <w:rtl/>
        </w:rPr>
        <w:t>בפשטות משמע ד'שם זונה' מפקיע ממנה שם כהונה, אבל ע"פ הנ"ל י"ל דנחשב 'זרע פסול' [וכמו ממזר].</w:t>
      </w:r>
    </w:p>
  </w:footnote>
  <w:footnote w:id="4496">
    <w:p w14:paraId="4D427D8E" w14:textId="77777777" w:rsidR="00F64AED" w:rsidRDefault="00F64AED" w:rsidP="00F64AED">
      <w:pPr>
        <w:pStyle w:val="Footnote"/>
        <w:bidi/>
      </w:pPr>
      <w:r>
        <w:rPr>
          <w:rStyle w:val="ac"/>
          <w:rtl/>
        </w:rPr>
        <w:footnoteRef/>
      </w:r>
      <w:r>
        <w:rPr>
          <w:rtl/>
        </w:rPr>
        <w:t>ואף דביאת עכו"ם עשאה זונה או נתמעט מ'אלמנה וגרושה' (לעיל סט.), ולא הוה שם חללה.</w:t>
      </w:r>
    </w:p>
  </w:footnote>
  <w:footnote w:id="4497">
    <w:p w14:paraId="0AD7955E" w14:textId="77777777" w:rsidR="00F64AED" w:rsidRDefault="00F64AED" w:rsidP="00F64AED">
      <w:pPr>
        <w:pStyle w:val="Footnote"/>
        <w:bidi/>
      </w:pPr>
      <w:r>
        <w:rPr>
          <w:rStyle w:val="ac"/>
          <w:rtl/>
        </w:rPr>
        <w:footnoteRef/>
      </w:r>
      <w:r>
        <w:rPr>
          <w:rtl/>
        </w:rPr>
        <w:t>בפשוטו איירי בלא נודע, אבל תוס' שם כתבו דמקרא דדרשי' מבואר דאיירי אפי' נודע.</w:t>
      </w:r>
    </w:p>
  </w:footnote>
  <w:footnote w:id="4498">
    <w:p w14:paraId="0B89F664" w14:textId="77777777" w:rsidR="00F64AED" w:rsidRDefault="00F64AED" w:rsidP="00F64AED">
      <w:pPr>
        <w:pStyle w:val="Footnote"/>
        <w:bidi/>
      </w:pPr>
      <w:r>
        <w:rPr>
          <w:rStyle w:val="ac"/>
          <w:rtl/>
        </w:rPr>
        <w:footnoteRef/>
      </w:r>
      <w:r>
        <w:rPr>
          <w:rtl/>
        </w:rPr>
        <w:t>וה</w:t>
      </w:r>
      <w:r>
        <w:rPr>
          <w:b/>
          <w:bCs/>
          <w:rtl/>
        </w:rPr>
        <w:t>אחרונים</w:t>
      </w:r>
      <w:r>
        <w:rPr>
          <w:rtl/>
        </w:rPr>
        <w:t xml:space="preserve"> דנו האם חייב מלקות ומיתה. (וע' פסחים עב:).</w:t>
      </w:r>
    </w:p>
  </w:footnote>
  <w:footnote w:id="4499">
    <w:p w14:paraId="46BE197E" w14:textId="77777777" w:rsidR="00F64AED" w:rsidRDefault="00F64AED" w:rsidP="00F64AED">
      <w:pPr>
        <w:pStyle w:val="Footnote"/>
        <w:bidi/>
      </w:pPr>
      <w:r>
        <w:rPr>
          <w:rStyle w:val="ac"/>
          <w:rtl/>
        </w:rPr>
        <w:footnoteRef/>
      </w:r>
      <w:r>
        <w:rPr>
          <w:rtl/>
        </w:rPr>
        <w:t xml:space="preserve">ולפ"ז מבואר דאף בת כהן שנתחללה נחשב 'זרע פסול'. וילה"ק על מש"כ </w:t>
      </w:r>
      <w:r>
        <w:rPr>
          <w:b/>
          <w:bCs/>
          <w:rtl/>
        </w:rPr>
        <w:t>תוס</w:t>
      </w:r>
      <w:r>
        <w:rPr>
          <w:rtl/>
        </w:rPr>
        <w:t>' (ב"ב קט. הו' לעיל ע.) דלא בעי קרא לזרע פסול [לולי הא דדרשינן זרע זרעה], דבזרע לא משכחת לה זרע פסול [בלא שהאם נבעלה בזנות], והרי משכחת לה שהבת נפסלה אח"כ בזנות. וצ"ע.</w:t>
      </w:r>
    </w:p>
  </w:footnote>
  <w:footnote w:id="4500">
    <w:p w14:paraId="05E4D556" w14:textId="77777777" w:rsidR="00F64AED" w:rsidRDefault="00F64AED" w:rsidP="00F64AED">
      <w:pPr>
        <w:pStyle w:val="Footnote"/>
        <w:bidi/>
      </w:pPr>
      <w:r>
        <w:rPr>
          <w:rStyle w:val="ac"/>
          <w:rtl/>
        </w:rPr>
        <w:footnoteRef/>
      </w:r>
      <w:r>
        <w:rPr>
          <w:rtl/>
        </w:rPr>
        <w:t>וה</w:t>
      </w:r>
      <w:r>
        <w:rPr>
          <w:b/>
          <w:bCs/>
          <w:rtl/>
        </w:rPr>
        <w:t>אחרונים</w:t>
      </w:r>
      <w:r>
        <w:rPr>
          <w:rtl/>
        </w:rPr>
        <w:t xml:space="preserve"> חקרו האם כהנים הוה ג"כ לויים [אלא שנוסף עליהם שם כהונה], או דכיון שנתייחדו להיות כהנים כבר אינם בכלל לווים. ויש שהביאו מהא דחלל אין לו דין לוי, ע"כ דכהנים אינם לויים. [וע' בסמוך מש"כ תוס' בבכורות].</w:t>
      </w:r>
    </w:p>
  </w:footnote>
  <w:footnote w:id="4501">
    <w:p w14:paraId="36D9008F" w14:textId="77777777" w:rsidR="00F64AED" w:rsidRDefault="00F64AED" w:rsidP="00F64AED">
      <w:pPr>
        <w:pStyle w:val="Footnote"/>
        <w:bidi/>
      </w:pPr>
      <w:r>
        <w:rPr>
          <w:rStyle w:val="ac"/>
          <w:rtl/>
        </w:rPr>
        <w:footnoteRef/>
      </w:r>
      <w:r>
        <w:rPr>
          <w:rtl/>
        </w:rPr>
        <w:t>אבל ה</w:t>
      </w:r>
      <w:r>
        <w:rPr>
          <w:b/>
          <w:bCs/>
          <w:rtl/>
        </w:rPr>
        <w:t>פרמ"ג</w:t>
      </w:r>
      <w:r>
        <w:rPr>
          <w:rtl/>
        </w:rPr>
        <w:t xml:space="preserve"> (יו"ד סא שפ"ד יב) נסתפק האם חלל חייב מתנות [זרוע לחיים] כישראל, או דאינו בכלל 'עם', וכמו שבט לוי דלא איקרי עם. והביא מהגמ' בכורות הנ"ל דבן חללה חייב בפדיון הבן.</w:t>
      </w:r>
    </w:p>
  </w:footnote>
  <w:footnote w:id="4502">
    <w:p w14:paraId="3DF75041" w14:textId="77777777" w:rsidR="00F64AED" w:rsidRDefault="00F64AED" w:rsidP="00F64AED">
      <w:pPr>
        <w:pStyle w:val="Footnote"/>
        <w:bidi/>
      </w:pPr>
      <w:r>
        <w:rPr>
          <w:rStyle w:val="ac"/>
          <w:rtl/>
        </w:rPr>
        <w:footnoteRef/>
      </w:r>
      <w:r>
        <w:rPr>
          <w:rtl/>
        </w:rPr>
        <w:t>ובפשוטו כוונתם להק' דכהן הוה ג”כ לוי, ובזה חידשו דאפ”ה כיון דחל שם חללות פקע ממנו אף שם לוי. אבל ה</w:t>
      </w:r>
      <w:r>
        <w:rPr>
          <w:b/>
          <w:bCs/>
          <w:rtl/>
        </w:rPr>
        <w:t>גר"ח</w:t>
      </w:r>
      <w:r>
        <w:rPr>
          <w:rtl/>
        </w:rPr>
        <w:t xml:space="preserve"> (איסו"ב טו ט) כתב דתוס' ביארו מ"ט לא אמרי' דהוה לוי מחמת קודשת כהונתו, דבכלל שם כהן יש ג”כ לוי. אבל מצד עצם המשפחה, יש ג' משפחות כהונה לויה וישראלים, ודין כהונה מבטל דין לוי.</w:t>
      </w:r>
    </w:p>
  </w:footnote>
  <w:footnote w:id="4503">
    <w:p w14:paraId="53CEB371" w14:textId="77777777" w:rsidR="00F64AED" w:rsidRDefault="00F64AED" w:rsidP="00F64AED">
      <w:pPr>
        <w:pStyle w:val="Footnote"/>
        <w:bidi/>
      </w:pPr>
      <w:r>
        <w:rPr>
          <w:rStyle w:val="ac"/>
          <w:rtl/>
        </w:rPr>
        <w:footnoteRef/>
      </w:r>
      <w:r>
        <w:rPr>
          <w:rtl/>
        </w:rPr>
        <w:t>וללמוד בק"ו או שאר דרשא.</w:t>
      </w:r>
    </w:p>
  </w:footnote>
  <w:footnote w:id="4504">
    <w:p w14:paraId="3BC6CA1F" w14:textId="77777777" w:rsidR="00F64AED" w:rsidRDefault="00F64AED" w:rsidP="00F64AED">
      <w:pPr>
        <w:pStyle w:val="Footnote"/>
        <w:bidi/>
      </w:pPr>
      <w:r>
        <w:rPr>
          <w:rStyle w:val="ac"/>
          <w:rtl/>
        </w:rPr>
        <w:footnoteRef/>
      </w:r>
      <w:r>
        <w:rPr>
          <w:rtl/>
        </w:rPr>
        <w:t>דיש אופנים שמעש"ש בטל ברוב, ויש אופנים דחמיר. [ולכאורה מבואר מדבריו דדין דבר שיש לו מתירין הוה מדאורייתא. דהא הנידון כאן בילפותא].</w:t>
      </w:r>
    </w:p>
  </w:footnote>
  <w:footnote w:id="4505">
    <w:p w14:paraId="5444D975" w14:textId="77777777" w:rsidR="00F64AED" w:rsidRDefault="00F64AED" w:rsidP="00F64AED">
      <w:pPr>
        <w:pStyle w:val="Footnote"/>
        <w:bidi/>
      </w:pPr>
      <w:r>
        <w:rPr>
          <w:rStyle w:val="ac"/>
          <w:rtl/>
        </w:rPr>
        <w:footnoteRef/>
      </w:r>
      <w:r>
        <w:rPr>
          <w:rtl/>
        </w:rPr>
        <w:t>ומשמע דאף שפחה מטמאה לידה רק לאחר הך קרא.</w:t>
      </w:r>
    </w:p>
  </w:footnote>
  <w:footnote w:id="4506">
    <w:p w14:paraId="7057414E" w14:textId="77777777" w:rsidR="00F64AED" w:rsidRDefault="00F64AED" w:rsidP="00F64AED">
      <w:pPr>
        <w:pStyle w:val="Footnote"/>
        <w:bidi/>
      </w:pPr>
      <w:r>
        <w:rPr>
          <w:rStyle w:val="ac"/>
          <w:rtl/>
        </w:rPr>
        <w:footnoteRef/>
      </w:r>
      <w:r>
        <w:rPr>
          <w:rtl/>
        </w:rPr>
        <w:t>שכתב דאיירי שנתגיירה גדולה. [וצ"ב מי דחק את הגמ' להעמיד בנתגיירה גדולה, כדי להקשות].</w:t>
      </w:r>
    </w:p>
  </w:footnote>
  <w:footnote w:id="4507">
    <w:p w14:paraId="5E714B70" w14:textId="77777777" w:rsidR="00F64AED" w:rsidRDefault="00F64AED" w:rsidP="00F64AED">
      <w:pPr>
        <w:pStyle w:val="Footnote"/>
        <w:bidi/>
      </w:pPr>
      <w:r>
        <w:rPr>
          <w:rStyle w:val="ac"/>
          <w:rtl/>
        </w:rPr>
        <w:footnoteRef/>
      </w:r>
      <w:r>
        <w:rPr>
          <w:rtl/>
        </w:rPr>
        <w:t>ונקט דבביאת היתר אינה נפסלת בתרומה. [ודנו בזה האחרונים (ע' לעיל סח:), ודעת ה</w:t>
      </w:r>
      <w:r>
        <w:rPr>
          <w:b/>
          <w:bCs/>
          <w:rtl/>
        </w:rPr>
        <w:t>אבנ”מ</w:t>
      </w:r>
      <w:r>
        <w:rPr>
          <w:rtl/>
        </w:rPr>
        <w:t xml:space="preserve"> (קעד) דבביאת היתר מדין עדל”ת אינה נפסלת לכהונה. וה</w:t>
      </w:r>
      <w:r>
        <w:rPr>
          <w:b/>
          <w:bCs/>
          <w:rtl/>
        </w:rPr>
        <w:t>מגיה</w:t>
      </w:r>
      <w:r>
        <w:rPr>
          <w:rtl/>
        </w:rPr>
        <w:t xml:space="preserve"> (שם) חלק].</w:t>
      </w:r>
    </w:p>
  </w:footnote>
  <w:footnote w:id="4508">
    <w:p w14:paraId="3B67FC80" w14:textId="77777777" w:rsidR="00F64AED" w:rsidRDefault="00F64AED" w:rsidP="00F64AED">
      <w:pPr>
        <w:pStyle w:val="Footnote"/>
        <w:bidi/>
      </w:pPr>
      <w:r>
        <w:rPr>
          <w:rStyle w:val="ac"/>
          <w:rtl/>
        </w:rPr>
        <w:footnoteRef/>
      </w:r>
      <w:r>
        <w:rPr>
          <w:rtl/>
        </w:rPr>
        <w:t>ולכאורה כוונת הגמ' דאיסור יולדת מישך לאיסור נדה [ואף שאסורה בלא שראתה דם כלל].</w:t>
      </w:r>
    </w:p>
  </w:footnote>
  <w:footnote w:id="4509">
    <w:p w14:paraId="1F4E9B29" w14:textId="77777777" w:rsidR="00F64AED" w:rsidRDefault="00F64AED" w:rsidP="00F64AED">
      <w:pPr>
        <w:pStyle w:val="Footnote"/>
        <w:bidi/>
      </w:pPr>
      <w:r>
        <w:rPr>
          <w:rStyle w:val="ac"/>
          <w:rtl/>
        </w:rPr>
        <w:footnoteRef/>
      </w:r>
      <w:r>
        <w:rPr>
          <w:rtl/>
        </w:rPr>
        <w:t xml:space="preserve">אמנם נפק"מ גבי לדיני טומאה, דדם ימי טוהר אף אינו מטמא [להחשב נדה לטמא חולין ולטמא במשא]. אבל </w:t>
      </w:r>
      <w:r>
        <w:rPr>
          <w:b/>
          <w:bCs/>
          <w:rtl/>
        </w:rPr>
        <w:t>רש"י</w:t>
      </w:r>
      <w:r>
        <w:rPr>
          <w:rtl/>
        </w:rPr>
        <w:t xml:space="preserve"> כת' טהורה לבעלה.</w:t>
      </w:r>
    </w:p>
  </w:footnote>
  <w:footnote w:id="4510">
    <w:p w14:paraId="25A33383" w14:textId="77777777" w:rsidR="00F64AED" w:rsidRDefault="00F64AED" w:rsidP="00F64AED">
      <w:pPr>
        <w:pStyle w:val="Footnote"/>
        <w:bidi/>
      </w:pPr>
      <w:r>
        <w:rPr>
          <w:rStyle w:val="ac"/>
          <w:rtl/>
        </w:rPr>
        <w:footnoteRef/>
      </w:r>
      <w:r>
        <w:rPr>
          <w:rtl/>
        </w:rPr>
        <w:t>[ואינו דם נדה כלל, ובדם נדה אין צד היתר].</w:t>
      </w:r>
    </w:p>
  </w:footnote>
  <w:footnote w:id="4511">
    <w:p w14:paraId="00FBE43D" w14:textId="77777777" w:rsidR="00F64AED" w:rsidRDefault="00F64AED" w:rsidP="00F64AED">
      <w:pPr>
        <w:pStyle w:val="Footnote"/>
        <w:bidi/>
      </w:pPr>
      <w:r>
        <w:rPr>
          <w:rStyle w:val="ac"/>
          <w:rtl/>
        </w:rPr>
        <w:footnoteRef/>
      </w:r>
      <w:r>
        <w:rPr>
          <w:rtl/>
        </w:rPr>
        <w:t>וי"ל דזה תי' הגמ' מסתברא כי היכי.</w:t>
      </w:r>
    </w:p>
  </w:footnote>
  <w:footnote w:id="4512">
    <w:p w14:paraId="5A6F9BC0" w14:textId="77777777" w:rsidR="00F64AED" w:rsidRDefault="00F64AED" w:rsidP="00F64AED">
      <w:pPr>
        <w:pStyle w:val="Footnote"/>
        <w:bidi/>
      </w:pPr>
      <w:r>
        <w:rPr>
          <w:rStyle w:val="ac"/>
          <w:rtl/>
        </w:rPr>
        <w:footnoteRef/>
      </w:r>
      <w:r>
        <w:rPr>
          <w:rtl/>
        </w:rPr>
        <w:t>דע"י עצם האישות נחשב שהיא מצפה לביאתו. ואף שמסתמא לא עבדי איסורא. [ובשעה שנשאה בהיתר היה על דעת שלא יפסל, ולא דמי למתני' (נו:) שקידש באיסור].</w:t>
      </w:r>
    </w:p>
  </w:footnote>
  <w:footnote w:id="4513">
    <w:p w14:paraId="06B6F94F" w14:textId="77777777" w:rsidR="00F64AED" w:rsidRDefault="00F64AED" w:rsidP="00F64AED">
      <w:pPr>
        <w:pStyle w:val="Footnote"/>
        <w:bidi/>
      </w:pPr>
      <w:r>
        <w:rPr>
          <w:rStyle w:val="ac"/>
          <w:rtl/>
        </w:rPr>
        <w:footnoteRef/>
      </w:r>
      <w:r>
        <w:rPr>
          <w:rtl/>
        </w:rPr>
        <w:t>ובסוגיין איירי בנשואה לו. {ויש שדנו דע"י נישואין יחשב כביאה (ע' תוס' נז:), ועי"ז פסולה לעולם. ולכאורה כשנעשה פצוע דכא לכו"ע אינו פוסל. וע' מש"כ לעיל שם}.</w:t>
      </w:r>
    </w:p>
  </w:footnote>
  <w:footnote w:id="4514">
    <w:p w14:paraId="34870180" w14:textId="77777777" w:rsidR="00F64AED" w:rsidRDefault="00F64AED" w:rsidP="00F64AED">
      <w:pPr>
        <w:pStyle w:val="Footnote"/>
        <w:bidi/>
      </w:pPr>
      <w:r>
        <w:rPr>
          <w:rStyle w:val="ac"/>
          <w:rtl/>
        </w:rPr>
        <w:footnoteRef/>
      </w:r>
      <w:r>
        <w:rPr>
          <w:rtl/>
        </w:rPr>
        <w:t>ודעת ר' מאיר דאפ"ה הדין משתמרת פוסלת אותה מתרומת בית אביה.</w:t>
      </w:r>
    </w:p>
  </w:footnote>
  <w:footnote w:id="4515">
    <w:p w14:paraId="3A514F03" w14:textId="77777777" w:rsidR="00F64AED" w:rsidRDefault="00F64AED" w:rsidP="00F64AED">
      <w:pPr>
        <w:pStyle w:val="Footnote"/>
        <w:bidi/>
      </w:pPr>
      <w:r>
        <w:rPr>
          <w:rStyle w:val="ac"/>
          <w:rtl/>
        </w:rPr>
        <w:footnoteRef/>
      </w:r>
      <w:r>
        <w:rPr>
          <w:rtl/>
        </w:rPr>
        <w:t>וה</w:t>
      </w:r>
      <w:r>
        <w:rPr>
          <w:b/>
          <w:bCs/>
          <w:rtl/>
        </w:rPr>
        <w:t>חזו"א</w:t>
      </w:r>
      <w:r>
        <w:rPr>
          <w:rtl/>
        </w:rPr>
        <w:t xml:space="preserve"> ביאר דארוסה בת כהן לכהן אוכלת בתרומה מחמת בית אביה [ואירוסין לכהן אינו פוסל]. אבל אם נאמר דאף בכהן אירוסין פוסל [שיוצאת מבית אביה], א"כ אוכלת מכח הבעל. ומ"מ </w:t>
      </w:r>
      <w:r>
        <w:rPr>
          <w:b/>
          <w:bCs/>
          <w:rtl/>
        </w:rPr>
        <w:t>תוס</w:t>
      </w:r>
      <w:r>
        <w:rPr>
          <w:rtl/>
        </w:rPr>
        <w:t>' וה</w:t>
      </w:r>
      <w:r>
        <w:rPr>
          <w:b/>
          <w:bCs/>
          <w:rtl/>
        </w:rPr>
        <w:t>ראשונים</w:t>
      </w:r>
      <w:r>
        <w:rPr>
          <w:rtl/>
        </w:rPr>
        <w:t xml:space="preserve"> חילקו דכיון דכבר אכלה בתרומת בית אביה, יותר בקל [הקילו רבנן] שתאכל בתרומה. [וה"ה בסוגיין ד'כבר אכלה' מכח בעלה].</w:t>
      </w:r>
    </w:p>
  </w:footnote>
  <w:footnote w:id="4516">
    <w:p w14:paraId="5C50F2D1" w14:textId="77777777" w:rsidR="00F64AED" w:rsidRDefault="00F64AED" w:rsidP="00F64AED">
      <w:pPr>
        <w:pStyle w:val="Footnote"/>
        <w:bidi/>
      </w:pPr>
      <w:r>
        <w:rPr>
          <w:rStyle w:val="ac"/>
          <w:rtl/>
        </w:rPr>
        <w:footnoteRef/>
      </w:r>
      <w:r>
        <w:rPr>
          <w:rtl/>
        </w:rPr>
        <w:t>[אך ל"מ כן להדיא דלר"א ור"ש בת ישראל לכהן לא תאכל, אלא דהתם נח' בפירוש דברי הברייתא. ועוה"ק הראשונים דבפסולים ל"ש הגעת זמן. אבל אילו משכח"ל י"ל דאף משתמרת לביאה פסולה אוכלת מחמתו].</w:t>
      </w:r>
    </w:p>
  </w:footnote>
  <w:footnote w:id="4517">
    <w:p w14:paraId="288015C4" w14:textId="77777777" w:rsidR="00F64AED" w:rsidRDefault="00F64AED" w:rsidP="00F64AED">
      <w:pPr>
        <w:pStyle w:val="Footnote"/>
        <w:bidi/>
      </w:pPr>
      <w:r>
        <w:rPr>
          <w:rStyle w:val="ac"/>
          <w:rtl/>
        </w:rPr>
        <w:footnoteRef/>
      </w:r>
      <w:r>
        <w:rPr>
          <w:rtl/>
        </w:rPr>
        <w:t>ורבה (לעיל נו.) כתב דגבי חרש מהני סברת כבר אכלה [בדרבנן], אף דמת הבן, ופקע קנינו. [ואביי שם הקשה כבסוגיין דפקע קנינו].</w:t>
      </w:r>
    </w:p>
  </w:footnote>
  <w:footnote w:id="4518">
    <w:p w14:paraId="54CFD1E0" w14:textId="77777777" w:rsidR="00F64AED" w:rsidRDefault="00F64AED" w:rsidP="00F64AED">
      <w:pPr>
        <w:pStyle w:val="Footnote"/>
        <w:bidi/>
      </w:pPr>
      <w:r>
        <w:rPr>
          <w:rStyle w:val="ac"/>
          <w:rtl/>
        </w:rPr>
        <w:footnoteRef/>
      </w:r>
      <w:r>
        <w:rPr>
          <w:rtl/>
        </w:rPr>
        <w:t>[וכן משמע מקושיית ר' אלעזר, דאף שמת תאכל עי"ז מדאורייתא]. וה</w:t>
      </w:r>
      <w:r>
        <w:rPr>
          <w:b/>
          <w:bCs/>
          <w:rtl/>
        </w:rPr>
        <w:t>קובה"ע</w:t>
      </w:r>
      <w:r>
        <w:rPr>
          <w:rtl/>
        </w:rPr>
        <w:t xml:space="preserve"> (מז ד) ביאר דהאשה אוכלת כל זמן שלא פקע קנינה, דאשת כהן נחשב 'כהנת' ואוכלת בשביל עצמה. ואי"צ לבעלה בכל שעה ושעה שיאכילה עכשיו.</w:t>
      </w:r>
    </w:p>
  </w:footnote>
  <w:footnote w:id="4519">
    <w:p w14:paraId="43B357C4" w14:textId="77777777" w:rsidR="00F64AED" w:rsidRDefault="00F64AED" w:rsidP="00F64AED">
      <w:pPr>
        <w:pStyle w:val="Footnote"/>
        <w:bidi/>
      </w:pPr>
      <w:r>
        <w:rPr>
          <w:rStyle w:val="ac"/>
          <w:rtl/>
        </w:rPr>
        <w:footnoteRef/>
      </w:r>
      <w:r>
        <w:rPr>
          <w:rtl/>
        </w:rPr>
        <w:t>וע"ד הא דכתיב [בבת כהן לישראל] 'ושבה אל בית אביה' (כדדרשי' לעיל סז:). [והראשונים דימו ה"ה להיפך בת ישראל לכהן, דמש"ה אינה אוכלת].</w:t>
      </w:r>
    </w:p>
  </w:footnote>
  <w:footnote w:id="4520">
    <w:p w14:paraId="523AC86D" w14:textId="77777777" w:rsidR="00F64AED" w:rsidRDefault="00F64AED" w:rsidP="00F64AED">
      <w:pPr>
        <w:pStyle w:val="Footnote"/>
        <w:bidi/>
      </w:pPr>
      <w:r>
        <w:rPr>
          <w:rStyle w:val="ac"/>
          <w:rtl/>
        </w:rPr>
        <w:footnoteRef/>
      </w:r>
      <w:r>
        <w:rPr>
          <w:rtl/>
        </w:rPr>
        <w:t>ועוד יל"פ כוונת ר"א דכיון דהשתא הוה משתמרת לביאה פסולה, בטל ממנה הדין אכילה בתרומה, וכמו שמת שחוזרת לבית אביה.</w:t>
      </w:r>
    </w:p>
  </w:footnote>
  <w:footnote w:id="4521">
    <w:p w14:paraId="3427EFB7" w14:textId="77777777" w:rsidR="00F64AED" w:rsidRDefault="00F64AED" w:rsidP="00F64AED">
      <w:pPr>
        <w:pStyle w:val="Footnote"/>
        <w:bidi/>
      </w:pPr>
      <w:r>
        <w:rPr>
          <w:rStyle w:val="ac"/>
          <w:rtl/>
        </w:rPr>
        <w:footnoteRef/>
      </w:r>
      <w:r>
        <w:rPr>
          <w:rtl/>
        </w:rPr>
        <w:t>ומש"ה לאביי מאכיל בסוגיין, אף דאינו מאכיל במקום אחר. ועי"ז יש לו להאכיל, ומאכיל אף כשקידש אשה אח"כ.</w:t>
      </w:r>
    </w:p>
  </w:footnote>
  <w:footnote w:id="4522">
    <w:p w14:paraId="7B240B74" w14:textId="77777777" w:rsidR="00F64AED" w:rsidRDefault="00F64AED" w:rsidP="00F64AED">
      <w:pPr>
        <w:pStyle w:val="Footnote"/>
        <w:bidi/>
      </w:pPr>
      <w:r>
        <w:rPr>
          <w:rStyle w:val="ac"/>
          <w:rtl/>
        </w:rPr>
        <w:footnoteRef/>
      </w:r>
      <w:r>
        <w:rPr>
          <w:rtl/>
        </w:rPr>
        <w:t>ותחילת הנישואין מאכיל, כל זמן דלא פקע הדין להאכיל. וכמ”ש תוס' בדעת ר' יוחנן דסוגיין. [ומשמע דאף ר”א מודה לסברא זו, אלא דמהני להאכיל רק במי שאינו מאכיל במקום אחר לר”א ור”ש. ולא מהני לר”מ כשיש פוסל שמשתמרת לפסול].</w:t>
      </w:r>
    </w:p>
  </w:footnote>
  <w:footnote w:id="4523">
    <w:p w14:paraId="30D86863" w14:textId="77777777" w:rsidR="00F64AED" w:rsidRDefault="00F64AED" w:rsidP="00F64AED">
      <w:pPr>
        <w:pStyle w:val="Footnote"/>
        <w:bidi/>
      </w:pPr>
      <w:r>
        <w:rPr>
          <w:rStyle w:val="ac"/>
          <w:rtl/>
        </w:rPr>
        <w:footnoteRef/>
      </w:r>
      <w:r>
        <w:rPr>
          <w:rtl/>
        </w:rPr>
        <w:t>ודן אי למדו מדלא כתיב 'ו' לדכא, אך א"כ תליא בפלוגתא דר' יונתן ור' יאשיה (ב"מ צד:). ועוד דכיון דקיבלו חז"ל דג' אנשים נכללו באיסור הזה ראוי למנותו כג' לאוין.</w:t>
      </w:r>
    </w:p>
  </w:footnote>
  <w:footnote w:id="4524">
    <w:p w14:paraId="7929728E" w14:textId="77777777" w:rsidR="00F64AED" w:rsidRDefault="00F64AED" w:rsidP="00F64AED">
      <w:pPr>
        <w:pStyle w:val="Footnote"/>
        <w:bidi/>
      </w:pPr>
      <w:r>
        <w:rPr>
          <w:rStyle w:val="ac"/>
          <w:rtl/>
        </w:rPr>
        <w:footnoteRef/>
      </w:r>
      <w:r>
        <w:rPr>
          <w:rtl/>
        </w:rPr>
        <w:t>[ואפשר דזה כוונת הספרי דזהו הלכות רופאים].</w:t>
      </w:r>
    </w:p>
  </w:footnote>
  <w:footnote w:id="4525">
    <w:p w14:paraId="461CB48F" w14:textId="77777777" w:rsidR="00F64AED" w:rsidRDefault="00F64AED" w:rsidP="00F64AED">
      <w:pPr>
        <w:pStyle w:val="Footnote"/>
        <w:bidi/>
      </w:pPr>
      <w:r>
        <w:rPr>
          <w:rStyle w:val="ac"/>
          <w:rtl/>
        </w:rPr>
        <w:footnoteRef/>
      </w:r>
      <w:r>
        <w:rPr>
          <w:rtl/>
        </w:rPr>
        <w:t>וה</w:t>
      </w:r>
      <w:r>
        <w:rPr>
          <w:b/>
          <w:bCs/>
          <w:rtl/>
        </w:rPr>
        <w:t>כס"מ</w:t>
      </w:r>
      <w:r>
        <w:rPr>
          <w:rtl/>
        </w:rPr>
        <w:t xml:space="preserve"> (סוטה ב ו) כתב דאף דעת רש"י דמותר. וה</w:t>
      </w:r>
      <w:r>
        <w:rPr>
          <w:b/>
          <w:bCs/>
          <w:rtl/>
        </w:rPr>
        <w:t>פתח"ת</w:t>
      </w:r>
      <w:r>
        <w:rPr>
          <w:rtl/>
        </w:rPr>
        <w:t xml:space="preserve"> (ה ט) ציין בזה כמה </w:t>
      </w:r>
      <w:r>
        <w:rPr>
          <w:b/>
          <w:bCs/>
          <w:rtl/>
        </w:rPr>
        <w:t>אחרונים.</w:t>
      </w:r>
    </w:p>
  </w:footnote>
  <w:footnote w:id="4526">
    <w:p w14:paraId="5647BF45" w14:textId="77777777" w:rsidR="00F64AED" w:rsidRDefault="00F64AED" w:rsidP="00F64AED">
      <w:pPr>
        <w:pStyle w:val="Footnote"/>
        <w:bidi/>
      </w:pPr>
      <w:r>
        <w:rPr>
          <w:rStyle w:val="ac"/>
          <w:rtl/>
        </w:rPr>
        <w:footnoteRef/>
      </w:r>
      <w:r>
        <w:rPr>
          <w:rtl/>
        </w:rPr>
        <w:t>וה</w:t>
      </w:r>
      <w:r>
        <w:rPr>
          <w:b/>
          <w:bCs/>
          <w:rtl/>
        </w:rPr>
        <w:t>חת"ס</w:t>
      </w:r>
      <w:r>
        <w:rPr>
          <w:rtl/>
        </w:rPr>
        <w:t xml:space="preserve"> כת' דצ"ל דבזמן הגמ' הרופאים לא היו בקיאים ליטלו [ולכן נקטו דאינו חוזר להכשר]. אבל הרופאים בזמן הראשונים ידעו.</w:t>
      </w:r>
    </w:p>
  </w:footnote>
  <w:footnote w:id="4527">
    <w:p w14:paraId="1981946F" w14:textId="77777777" w:rsidR="00F64AED" w:rsidRDefault="00F64AED" w:rsidP="00F64AED">
      <w:pPr>
        <w:pStyle w:val="Footnote"/>
        <w:bidi/>
      </w:pPr>
      <w:r>
        <w:rPr>
          <w:rStyle w:val="ac"/>
          <w:rtl/>
        </w:rPr>
        <w:footnoteRef/>
      </w:r>
      <w:r>
        <w:rPr>
          <w:rtl/>
        </w:rPr>
        <w:t>וה</w:t>
      </w:r>
      <w:r>
        <w:rPr>
          <w:b/>
          <w:bCs/>
          <w:rtl/>
        </w:rPr>
        <w:t>מנח"ח</w:t>
      </w:r>
      <w:r>
        <w:rPr>
          <w:rtl/>
        </w:rPr>
        <w:t xml:space="preserve"> (שם) נסתפק אם נפצע, ושוב נכרת האבר ההוא בידי שמים, שיחזור להכשר [שכבר אינו 'פצוע', ומ"ש אילו נתרפא שחוזר להכשר]. אך דן דמשמע בדברי התוס' דכיון דנפסל אין לו תקנה. והביא דכעי"ז דנו ה</w:t>
      </w:r>
      <w:r>
        <w:rPr>
          <w:b/>
          <w:bCs/>
          <w:rtl/>
        </w:rPr>
        <w:t>פוסקים</w:t>
      </w:r>
      <w:r>
        <w:rPr>
          <w:rtl/>
        </w:rPr>
        <w:t xml:space="preserve"> (יו"ד מד ו) לגבי טריפות, כשניקב ואח"כ ניטל, ע' פלתי (מד ח).</w:t>
      </w:r>
    </w:p>
  </w:footnote>
  <w:footnote w:id="4528">
    <w:p w14:paraId="1B281C0D" w14:textId="77777777" w:rsidR="00F64AED" w:rsidRDefault="00F64AED" w:rsidP="00F64AED">
      <w:pPr>
        <w:pStyle w:val="Footnote"/>
        <w:bidi/>
      </w:pPr>
      <w:r>
        <w:rPr>
          <w:rStyle w:val="ac"/>
          <w:rtl/>
        </w:rPr>
        <w:footnoteRef/>
      </w:r>
      <w:r>
        <w:rPr>
          <w:rtl/>
        </w:rPr>
        <w:t>וב</w:t>
      </w:r>
      <w:r>
        <w:rPr>
          <w:b/>
          <w:bCs/>
          <w:rtl/>
        </w:rPr>
        <w:t>שו"ת הרא"ש</w:t>
      </w:r>
      <w:r>
        <w:rPr>
          <w:rtl/>
        </w:rPr>
        <w:t xml:space="preserve"> (לג) גרס בסו"ד הירושלמי אין 'ברתי' [ולא 'כרתי' כתוס'].</w:t>
      </w:r>
    </w:p>
  </w:footnote>
  <w:footnote w:id="4529">
    <w:p w14:paraId="6CC8DB43" w14:textId="77777777" w:rsidR="00F64AED" w:rsidRDefault="00F64AED" w:rsidP="00F64AED">
      <w:pPr>
        <w:pStyle w:val="Footnote"/>
        <w:bidi/>
      </w:pPr>
      <w:r>
        <w:rPr>
          <w:rStyle w:val="ac"/>
          <w:rtl/>
        </w:rPr>
        <w:footnoteRef/>
      </w:r>
      <w:r>
        <w:rPr>
          <w:rtl/>
        </w:rPr>
        <w:t>ויל"פ כמ"ש ה</w:t>
      </w:r>
      <w:r>
        <w:rPr>
          <w:b/>
          <w:bCs/>
          <w:rtl/>
        </w:rPr>
        <w:t>חזו"א</w:t>
      </w:r>
      <w:r>
        <w:rPr>
          <w:rtl/>
        </w:rPr>
        <w:t xml:space="preserve"> דחז"ל קיבלו דהשיעור בפגם נקבע לפי מה שיכול להוליד [אבל אם לא נעשה בו פגם באברים, אף שאינו יכול להוליד אינו בכלל פצוע דכא, וכמו שתה כוס עיקרין]. אבל ה</w:t>
      </w:r>
      <w:r>
        <w:rPr>
          <w:b/>
          <w:bCs/>
          <w:rtl/>
        </w:rPr>
        <w:t>אגר"מ</w:t>
      </w:r>
      <w:r>
        <w:rPr>
          <w:rtl/>
        </w:rPr>
        <w:t xml:space="preserve"> (שם) נקט דכל דאינו יכול להוליד [בידי אדם] נחשב פצוע דכא.</w:t>
      </w:r>
    </w:p>
  </w:footnote>
  <w:footnote w:id="4530">
    <w:p w14:paraId="7090908C" w14:textId="77777777" w:rsidR="00F64AED" w:rsidRDefault="00F64AED" w:rsidP="00F64AED">
      <w:pPr>
        <w:pStyle w:val="Footnote"/>
        <w:bidi/>
      </w:pPr>
      <w:r>
        <w:rPr>
          <w:rStyle w:val="ac"/>
          <w:rtl/>
        </w:rPr>
        <w:footnoteRef/>
      </w:r>
      <w:r>
        <w:rPr>
          <w:rtl/>
        </w:rPr>
        <w:t>וה</w:t>
      </w:r>
      <w:r>
        <w:rPr>
          <w:b/>
          <w:bCs/>
          <w:rtl/>
        </w:rPr>
        <w:t>אגר"מ</w:t>
      </w:r>
      <w:r>
        <w:rPr>
          <w:rtl/>
        </w:rPr>
        <w:t xml:space="preserve"> תי' דמי שנולד עם ביצה א' יכול להוליד, דניתן לו כל הכח בביצה זו. ודוקא מי שהיה לו וניטל אינו יכול להוליד. אבל כיון דאינו ניכר בצורת האברים היאך היה, ולכן אינו בכלל פצוע דכא דקרא.</w:t>
      </w:r>
    </w:p>
  </w:footnote>
  <w:footnote w:id="4531">
    <w:p w14:paraId="75064AC2" w14:textId="77777777" w:rsidR="00F64AED" w:rsidRDefault="00F64AED" w:rsidP="00F64AED">
      <w:pPr>
        <w:pStyle w:val="Footnote"/>
        <w:bidi/>
      </w:pPr>
      <w:r>
        <w:rPr>
          <w:rStyle w:val="ac"/>
          <w:rtl/>
        </w:rPr>
        <w:footnoteRef/>
      </w:r>
      <w:r>
        <w:rPr>
          <w:rtl/>
        </w:rPr>
        <w:t>משמע דהרופאים לא דקדקו בזה איזה לכרות. ויל"ד לפ"ז עדות ר"ת דכמה הולידו [וסתמא חלק מהם כרתו אף בימין], וקשה לר"י. אבל ה</w:t>
      </w:r>
      <w:r>
        <w:rPr>
          <w:b/>
          <w:bCs/>
          <w:rtl/>
        </w:rPr>
        <w:t>ראב"ד</w:t>
      </w:r>
      <w:r>
        <w:rPr>
          <w:rtl/>
        </w:rPr>
        <w:t xml:space="preserve"> כת' דאפשר דרק בכרתו שמאל הוליד.</w:t>
      </w:r>
    </w:p>
  </w:footnote>
  <w:footnote w:id="4532">
    <w:p w14:paraId="0D6EF714" w14:textId="77777777" w:rsidR="00F64AED" w:rsidRDefault="00F64AED" w:rsidP="00F64AED">
      <w:pPr>
        <w:pStyle w:val="Footnote"/>
        <w:bidi/>
      </w:pPr>
      <w:r>
        <w:rPr>
          <w:rStyle w:val="ac"/>
          <w:rtl/>
        </w:rPr>
        <w:footnoteRef/>
      </w:r>
      <w:r>
        <w:rPr>
          <w:rtl/>
        </w:rPr>
        <w:t>ובס' אגרות בקורת הביא תשו' מ</w:t>
      </w:r>
      <w:r>
        <w:rPr>
          <w:b/>
          <w:bCs/>
          <w:rtl/>
        </w:rPr>
        <w:t>מהרש"ח</w:t>
      </w:r>
      <w:r>
        <w:rPr>
          <w:rtl/>
        </w:rPr>
        <w:t xml:space="preserve"> (בעל תוס' חדשים, והו' בחת”ס אה”ע ק יז) דכל שהוא בכלל פצוע דכא ע"כ מקובל בידינו מסיני שאינו מוליד, דכלל גדול כל שמוליד אינו פסול. א"כ כל העדיות לא יזיזו זיז כל שהוא מתורתינו וקבלתינו האמתיות. ואילו היה שום מציאות רפואה למכתו לא הוה שתיק משה רבינו ע"ה מיניה. וכדאי' גבי טריפות שכת' ב</w:t>
      </w:r>
      <w:r>
        <w:rPr>
          <w:b/>
          <w:bCs/>
          <w:rtl/>
        </w:rPr>
        <w:t>שו"ת הרשב”א</w:t>
      </w:r>
      <w:r>
        <w:rPr>
          <w:rtl/>
        </w:rPr>
        <w:t xml:space="preserve"> (א צח) דאפי' ירבה כחול ימים לא יניח קבלה אמתיות שבידינו.</w:t>
      </w:r>
    </w:p>
  </w:footnote>
  <w:footnote w:id="4533">
    <w:p w14:paraId="750984D1" w14:textId="77777777" w:rsidR="00F64AED" w:rsidRDefault="00F64AED" w:rsidP="00F64AED">
      <w:pPr>
        <w:pStyle w:val="Footnote"/>
        <w:bidi/>
      </w:pPr>
      <w:r>
        <w:rPr>
          <w:rStyle w:val="ac"/>
          <w:rtl/>
        </w:rPr>
        <w:footnoteRef/>
      </w:r>
      <w:r>
        <w:rPr>
          <w:rtl/>
        </w:rPr>
        <w:t>ה</w:t>
      </w:r>
      <w:r>
        <w:rPr>
          <w:b/>
          <w:bCs/>
          <w:rtl/>
        </w:rPr>
        <w:t>חזו"א</w:t>
      </w:r>
      <w:r>
        <w:rPr>
          <w:rtl/>
        </w:rPr>
        <w:t xml:space="preserve"> כתב דע"כ היו בנ"א מוחזקים בכשרות, שנשאו בשוגג או נשאו לגיורות. דקודם שנתברר הדבר האיך נשאו.</w:t>
      </w:r>
    </w:p>
  </w:footnote>
  <w:footnote w:id="4534">
    <w:p w14:paraId="09393BDE" w14:textId="77777777" w:rsidR="00F64AED" w:rsidRDefault="00F64AED" w:rsidP="00F64AED">
      <w:pPr>
        <w:pStyle w:val="Footnote"/>
        <w:bidi/>
      </w:pPr>
      <w:r>
        <w:rPr>
          <w:rStyle w:val="ac"/>
          <w:rtl/>
        </w:rPr>
        <w:footnoteRef/>
      </w:r>
      <w:r>
        <w:rPr>
          <w:rtl/>
        </w:rPr>
        <w:t>[ובשו"ת חת"ס ביאר כוונת ר"ת דעל אדם א' אפשר לומר מ'אין הם', אבל היכא דחזינן כמה בני אדם אין לנו לומר מאין הם. וביאר דר"ת הביא סמך לפירושו בסוגיין דכשר. אבל אילו אי' ברור דהוה פצוע דכא לא יהני שום בירור].</w:t>
      </w:r>
    </w:p>
  </w:footnote>
  <w:footnote w:id="4535">
    <w:p w14:paraId="73BA6386" w14:textId="77777777" w:rsidR="00F64AED" w:rsidRDefault="00F64AED" w:rsidP="00F64AED">
      <w:pPr>
        <w:pStyle w:val="Footnote"/>
        <w:bidi/>
      </w:pPr>
      <w:r>
        <w:rPr>
          <w:rStyle w:val="ac"/>
          <w:rtl/>
        </w:rPr>
        <w:footnoteRef/>
      </w:r>
      <w:r>
        <w:rPr>
          <w:rtl/>
        </w:rPr>
        <w:t>ויתכן פצוע דכא שיוליד. וה</w:t>
      </w:r>
      <w:r>
        <w:rPr>
          <w:b/>
          <w:bCs/>
          <w:rtl/>
        </w:rPr>
        <w:t>ערול"נ</w:t>
      </w:r>
      <w:r>
        <w:rPr>
          <w:rtl/>
        </w:rPr>
        <w:t xml:space="preserve"> כתב דעל הרוב אינו מוליד, אבל יתכן שיוליד. [וכן ה</w:t>
      </w:r>
      <w:r>
        <w:rPr>
          <w:b/>
          <w:bCs/>
          <w:rtl/>
        </w:rPr>
        <w:t>מאירי</w:t>
      </w:r>
      <w:r>
        <w:rPr>
          <w:rtl/>
        </w:rPr>
        <w:t xml:space="preserve"> (עו.) כתב דבניו של פצוע דכא מותרין, מבואר דשייך שיהא לו בנים].</w:t>
      </w:r>
    </w:p>
  </w:footnote>
  <w:footnote w:id="4536">
    <w:p w14:paraId="50890E81" w14:textId="77777777" w:rsidR="00F64AED" w:rsidRDefault="00F64AED" w:rsidP="00F64AED">
      <w:pPr>
        <w:pStyle w:val="Footnote"/>
        <w:bidi/>
      </w:pPr>
      <w:r>
        <w:rPr>
          <w:rStyle w:val="ac"/>
          <w:rtl/>
        </w:rPr>
        <w:footnoteRef/>
      </w:r>
      <w:r>
        <w:rPr>
          <w:rtl/>
        </w:rPr>
        <w:t>וה</w:t>
      </w:r>
      <w:r>
        <w:rPr>
          <w:b/>
          <w:bCs/>
          <w:rtl/>
        </w:rPr>
        <w:t>חת"ס</w:t>
      </w:r>
      <w:r>
        <w:rPr>
          <w:rtl/>
        </w:rPr>
        <w:t xml:space="preserve"> הביא מהאחרונים שכתב דפצוע דכא יתכן שיוליד, כאשר נתבאר בשו"ע סי' ה, והחת"ס כת' דלא נתבאר ולא יתבאר.</w:t>
      </w:r>
    </w:p>
    <w:p w14:paraId="34FE4A66" w14:textId="77777777" w:rsidR="00F64AED" w:rsidRDefault="00F64AED" w:rsidP="00F64AED">
      <w:pPr>
        <w:pStyle w:val="Footnote"/>
        <w:bidi/>
      </w:pPr>
      <w:r>
        <w:rPr>
          <w:rtl/>
        </w:rPr>
        <w:tab/>
        <w:t>ובפשוטו דעת הלבוש דנמסר מהו פצוע דכא, ולא תליא בהא דאינו יכול להוליד, אלא דע"פ רוב כך הוא. ועוד יש שפי' דניטל הביצה, נחשב פגם גמור באבר ופסול בקהל, אף דמוליד [ע”י ביצה הב']. והא דמוליד הוה סימן שיש חסרון בביצה זו. דאילו היכא דחסר לגמרי לא איכפ"ל.</w:t>
      </w:r>
    </w:p>
  </w:footnote>
  <w:footnote w:id="4537">
    <w:p w14:paraId="1A78F53C" w14:textId="77777777" w:rsidR="00F64AED" w:rsidRDefault="00F64AED" w:rsidP="00F64AED">
      <w:pPr>
        <w:pStyle w:val="Footnote"/>
        <w:bidi/>
      </w:pPr>
      <w:r>
        <w:rPr>
          <w:rStyle w:val="ac"/>
          <w:rtl/>
        </w:rPr>
        <w:footnoteRef/>
      </w:r>
      <w:r>
        <w:rPr>
          <w:rtl/>
        </w:rPr>
        <w:t>וצ"ע לדעת הלבוש י"ל דדוקא בהך דסוגיין קים להו דאינו מוליד. א"נ ברוב סוגי פציעה כיון דשמענו דפוסל יש לנו להחזיק שאינו מוליד, אך כשנתברר לנו ע"פ רופאים שמוליד ע”כ יש לנו לומר דאופן זה שונה.</w:t>
      </w:r>
    </w:p>
  </w:footnote>
  <w:footnote w:id="4538">
    <w:p w14:paraId="2D64D1E5" w14:textId="77777777" w:rsidR="00F64AED" w:rsidRDefault="00F64AED" w:rsidP="00F64AED">
      <w:pPr>
        <w:pStyle w:val="Footnote"/>
        <w:bidi/>
      </w:pPr>
      <w:r>
        <w:rPr>
          <w:rStyle w:val="ac"/>
          <w:rtl/>
        </w:rPr>
        <w:footnoteRef/>
      </w:r>
      <w:r>
        <w:rPr>
          <w:rtl/>
        </w:rPr>
        <w:t>[בצורה טבעי, אבל כשמחוסר טיפול או תיקון תליא בנידון האם פצוע דכא חוזר להכשירו].</w:t>
      </w:r>
    </w:p>
  </w:footnote>
  <w:footnote w:id="4539">
    <w:p w14:paraId="0FD50287" w14:textId="77777777" w:rsidR="00F64AED" w:rsidRDefault="00F64AED" w:rsidP="00F64AED">
      <w:pPr>
        <w:pStyle w:val="Footnote"/>
        <w:bidi/>
      </w:pPr>
      <w:r>
        <w:rPr>
          <w:rStyle w:val="ac"/>
          <w:rtl/>
        </w:rPr>
        <w:footnoteRef/>
      </w:r>
      <w:r>
        <w:rPr>
          <w:rtl/>
        </w:rPr>
        <w:t>ע"ד מש"כ ה</w:t>
      </w:r>
      <w:r>
        <w:rPr>
          <w:b/>
          <w:bCs/>
          <w:rtl/>
        </w:rPr>
        <w:t>רמב"ם</w:t>
      </w:r>
      <w:r>
        <w:rPr>
          <w:rtl/>
        </w:rPr>
        <w:t xml:space="preserve"> (שחיטה י יג) [גבי טריפות] דאע"פ שיראה בדרכי הרפואה שבידינו שאפשר שתחיה מהם, אין לך אלא מה שמנו חכמים שנאמר ע"פ התורה אשר יורוך. וה</w:t>
      </w:r>
      <w:r>
        <w:rPr>
          <w:b/>
          <w:bCs/>
          <w:rtl/>
        </w:rPr>
        <w:t>אחרונים</w:t>
      </w:r>
      <w:r>
        <w:rPr>
          <w:rtl/>
        </w:rPr>
        <w:t xml:space="preserve"> הביאו כוונתו דנקבע גדרי טריפות ע"פ מה שמסרו לנו חז"ל, ולא תליא במה שנשתנה הטבעים. [אבל משמע דהכס"מ ציין לדברי שו"ת הרשב"א, ומשמע דהבין דברי הרמב"ם דהרופאים אינם נאמנים].</w:t>
      </w:r>
    </w:p>
  </w:footnote>
  <w:footnote w:id="4540">
    <w:p w14:paraId="79CEC1B1" w14:textId="77777777" w:rsidR="00F64AED" w:rsidRDefault="00F64AED" w:rsidP="00F64AED">
      <w:pPr>
        <w:pStyle w:val="Footnote"/>
        <w:bidi/>
      </w:pPr>
      <w:r>
        <w:rPr>
          <w:rStyle w:val="ac"/>
          <w:rtl/>
        </w:rPr>
        <w:footnoteRef/>
      </w:r>
      <w:r>
        <w:rPr>
          <w:rtl/>
        </w:rPr>
        <w:t>ואף אם בזמן הגמ' היה מוליד היה מוכח דאין זה פצוע דכא, בזה"ז נקבע לפי הגדרת המציאות שהיתה בזמן הגמ', והדין לא ישתנה. ואף דהיום יכול להוליד. [ונראה דזה כוונת החת"ס הנ"ל]. וע"ע חזו”א (יו"ד טריפות ה ג) בדין טריפות שנשתנו בזה”ז.</w:t>
      </w:r>
    </w:p>
  </w:footnote>
  <w:footnote w:id="4541">
    <w:p w14:paraId="0BE99C8A" w14:textId="77777777" w:rsidR="00F64AED" w:rsidRDefault="00F64AED" w:rsidP="00F64AED">
      <w:pPr>
        <w:pStyle w:val="Footnote"/>
        <w:bidi/>
      </w:pPr>
      <w:r>
        <w:rPr>
          <w:rStyle w:val="ac"/>
          <w:rtl/>
        </w:rPr>
        <w:footnoteRef/>
      </w:r>
      <w:r>
        <w:rPr>
          <w:rtl/>
        </w:rPr>
        <w:t>וכ"כ ה</w:t>
      </w:r>
      <w:r>
        <w:rPr>
          <w:b/>
          <w:bCs/>
          <w:rtl/>
        </w:rPr>
        <w:t>יעב"ץ</w:t>
      </w:r>
      <w:r>
        <w:rPr>
          <w:rtl/>
        </w:rPr>
        <w:t xml:space="preserve"> (אגרת ביקורת עמ' כו:) וז"ל דאין לנו לנטות ימין ושמאל מדברי רז"ל, ואין לנו להתחכם יותר, בין שאמרו שמוליד או אינו מוליד מה שהתירו הוא שמותר, ומה שאסרו אסור. ולא יועיל בזה חריצות הרופאים ונסיונותם. והלא דברים ק"ו מטריפה, וכאן לא נתנו לנו כלל מפורש כמו גבי טריפה, דכל שאין כמוהו מוליד טריפה, ואפי' ידענו שהוליד בלא שום ספק ופקפוק כלל אינו כשר מחמת זה, אלא נאמר דהוה מיעוטא דמיעוטא.</w:t>
      </w:r>
    </w:p>
  </w:footnote>
  <w:footnote w:id="4542">
    <w:p w14:paraId="1C2709B7" w14:textId="77777777" w:rsidR="00F64AED" w:rsidRDefault="00F64AED" w:rsidP="00F64AED">
      <w:pPr>
        <w:pStyle w:val="Footnote"/>
        <w:bidi/>
      </w:pPr>
      <w:r>
        <w:rPr>
          <w:rStyle w:val="ac"/>
          <w:rtl/>
        </w:rPr>
        <w:footnoteRef/>
      </w:r>
      <w:r>
        <w:rPr>
          <w:rtl/>
        </w:rPr>
        <w:t>וכמו טריפות באדם דנקבע משום דאינו יכול לחיות בפועל, ולכן אמרי' דנשתנה הדין. ודוקא בטריפות דבהמה אמרי' דנקבע הדין כפי שהיה בימי חז"ל.</w:t>
      </w:r>
    </w:p>
  </w:footnote>
  <w:footnote w:id="4543">
    <w:p w14:paraId="20AC7212" w14:textId="77777777" w:rsidR="00F64AED" w:rsidRDefault="00F64AED" w:rsidP="00F64AED">
      <w:pPr>
        <w:pStyle w:val="Footnote"/>
        <w:bidi/>
      </w:pPr>
      <w:r>
        <w:rPr>
          <w:rStyle w:val="ac"/>
          <w:rtl/>
        </w:rPr>
        <w:footnoteRef/>
      </w:r>
      <w:r>
        <w:rPr>
          <w:rtl/>
        </w:rPr>
        <w:t>וב</w:t>
      </w:r>
      <w:r>
        <w:rPr>
          <w:b/>
          <w:bCs/>
          <w:rtl/>
        </w:rPr>
        <w:t xml:space="preserve">חי' ר"א מן ההר </w:t>
      </w:r>
      <w:r>
        <w:rPr>
          <w:rtl/>
        </w:rPr>
        <w:t>כתב דאע"ג דדרשי' גבי פצוע דכא [לרבא בסמוך], ה"ה כרות שפכה. כמו לברייתא דדרשי' דומיא דממזר.</w:t>
      </w:r>
    </w:p>
  </w:footnote>
  <w:footnote w:id="4544">
    <w:p w14:paraId="12A0E60C" w14:textId="77777777" w:rsidR="00F64AED" w:rsidRDefault="00F64AED" w:rsidP="00F64AED">
      <w:pPr>
        <w:pStyle w:val="Footnote"/>
        <w:bidi/>
      </w:pPr>
      <w:r>
        <w:rPr>
          <w:rStyle w:val="ac"/>
          <w:rtl/>
        </w:rPr>
        <w:footnoteRef/>
      </w:r>
      <w:r>
        <w:rPr>
          <w:rtl/>
        </w:rPr>
        <w:t>וה</w:t>
      </w:r>
      <w:r>
        <w:rPr>
          <w:b/>
          <w:bCs/>
          <w:rtl/>
        </w:rPr>
        <w:t>פוסקים</w:t>
      </w:r>
      <w:r>
        <w:rPr>
          <w:rtl/>
        </w:rPr>
        <w:t xml:space="preserve"> (ע' פתח"ת ה ה) האריכו לדון בכמה אופנים. וכגון חולי מחמת מכה, והיכא שנגרם ע"י אדם, האם נחשב בידי אדם או בידי שמים.</w:t>
      </w:r>
    </w:p>
  </w:footnote>
  <w:footnote w:id="4545">
    <w:p w14:paraId="41A6151A" w14:textId="77777777" w:rsidR="00F64AED" w:rsidRDefault="00F64AED" w:rsidP="00F64AED">
      <w:pPr>
        <w:pStyle w:val="Footnote"/>
        <w:bidi/>
      </w:pPr>
      <w:r>
        <w:rPr>
          <w:rStyle w:val="ac"/>
          <w:rtl/>
        </w:rPr>
        <w:footnoteRef/>
      </w:r>
      <w:r>
        <w:rPr>
          <w:rtl/>
        </w:rPr>
        <w:t>וצ"ע דהברייתא יליף מממזר, דהוה מתחילת ברייתו.</w:t>
      </w:r>
    </w:p>
  </w:footnote>
  <w:footnote w:id="4546">
    <w:p w14:paraId="1B846FDF" w14:textId="77777777" w:rsidR="00F64AED" w:rsidRDefault="00F64AED" w:rsidP="00F64AED">
      <w:pPr>
        <w:pStyle w:val="Footnote"/>
        <w:bidi/>
      </w:pPr>
      <w:r>
        <w:rPr>
          <w:rStyle w:val="ac"/>
          <w:rtl/>
        </w:rPr>
        <w:footnoteRef/>
      </w:r>
      <w:r>
        <w:rPr>
          <w:rtl/>
        </w:rPr>
        <w:t>וה</w:t>
      </w:r>
      <w:r>
        <w:rPr>
          <w:b/>
          <w:bCs/>
          <w:rtl/>
        </w:rPr>
        <w:t>בית מאיר</w:t>
      </w:r>
      <w:r>
        <w:rPr>
          <w:rtl/>
        </w:rPr>
        <w:t xml:space="preserve"> כתב דעפ"ז יש ליישב קצת הסתירה ברש"י לגבי חולי, דרש"י לעיל איירי בחולי הידוע הבא מאליו.</w:t>
      </w:r>
    </w:p>
  </w:footnote>
  <w:footnote w:id="4547">
    <w:p w14:paraId="42C4874B" w14:textId="77777777" w:rsidR="00F64AED" w:rsidRDefault="00F64AED" w:rsidP="00F64AED">
      <w:pPr>
        <w:pStyle w:val="Footnote"/>
        <w:bidi/>
      </w:pPr>
      <w:r>
        <w:rPr>
          <w:rStyle w:val="ac"/>
          <w:rtl/>
        </w:rPr>
        <w:footnoteRef/>
      </w:r>
      <w:r>
        <w:rPr>
          <w:rtl/>
        </w:rPr>
        <w:t>וה</w:t>
      </w:r>
      <w:r>
        <w:rPr>
          <w:b/>
          <w:bCs/>
          <w:rtl/>
        </w:rPr>
        <w:t xml:space="preserve">אגר"מ </w:t>
      </w:r>
      <w:r>
        <w:rPr>
          <w:rtl/>
        </w:rPr>
        <w:t>(אה"ע ב ג) כתב לפרש כוונת הגמ' דילפי' מממזר לפסול. וקושיית הגמ' אמאי כתיב בממזר וילפי' פצוע דכא מממזר, דכתוב דורות בפצוע דכא ונילף ממזר מיניה.</w:t>
      </w:r>
    </w:p>
  </w:footnote>
  <w:footnote w:id="4548">
    <w:p w14:paraId="08871474" w14:textId="77777777" w:rsidR="00F64AED" w:rsidRDefault="00F64AED" w:rsidP="00F64AED">
      <w:pPr>
        <w:pStyle w:val="Footnote"/>
        <w:bidi/>
      </w:pPr>
      <w:r>
        <w:rPr>
          <w:rStyle w:val="ac"/>
          <w:rtl/>
        </w:rPr>
        <w:footnoteRef/>
      </w:r>
      <w:r>
        <w:rPr>
          <w:rtl/>
        </w:rPr>
        <w:t>ויש שפי' דמדמותר בממזרת, ע"כ דהוה פגם בכל במשפחה. דאל"כ הרי פוגם את בניו מקדושת ישראל. [ולא דמי לגר דמותר בממזרת, דאין לו קדושת קהל. משא"כ פצוע דכא דהיה לו דין קהל ונפסל, וע”י שנושא ממזרת מפקיע את גדר קהל מבניו].</w:t>
      </w:r>
    </w:p>
  </w:footnote>
  <w:footnote w:id="4549">
    <w:p w14:paraId="41284F34" w14:textId="77777777" w:rsidR="00F64AED" w:rsidRDefault="00F64AED" w:rsidP="00F64AED">
      <w:pPr>
        <w:pStyle w:val="Footnote"/>
        <w:bidi/>
      </w:pPr>
      <w:r>
        <w:rPr>
          <w:rStyle w:val="ac"/>
          <w:rtl/>
        </w:rPr>
        <w:footnoteRef/>
      </w:r>
      <w:r>
        <w:rPr>
          <w:rtl/>
        </w:rPr>
        <w:t>[ו</w:t>
      </w:r>
      <w:r>
        <w:rPr>
          <w:b/>
          <w:bCs/>
          <w:rtl/>
        </w:rPr>
        <w:t>רש"י</w:t>
      </w:r>
      <w:r>
        <w:rPr>
          <w:rtl/>
        </w:rPr>
        <w:t xml:space="preserve"> משמע דקושיית הגמ' דהול"ל כמה דורות. דפשיטא דבנו פסול, אך אין סברא שיפסול כל דורותיו].</w:t>
      </w:r>
    </w:p>
    <w:p w14:paraId="4273460C" w14:textId="77777777" w:rsidR="00F64AED" w:rsidRDefault="00F64AED" w:rsidP="00F64AED">
      <w:pPr>
        <w:pStyle w:val="Footnote"/>
        <w:bidi/>
      </w:pPr>
      <w:r>
        <w:rPr>
          <w:rtl/>
        </w:rPr>
        <w:tab/>
        <w:t>ויל"פ כוונת הגמ' דמסברא טעמא דקרא לפוסלו, אבל כיון דלא משכחת לה, לא נתחדש בתורה לפסול.</w:t>
      </w:r>
    </w:p>
  </w:footnote>
  <w:footnote w:id="4550">
    <w:p w14:paraId="5B531120" w14:textId="77777777" w:rsidR="00F64AED" w:rsidRDefault="00F64AED" w:rsidP="00F64AED">
      <w:pPr>
        <w:pStyle w:val="Footnote"/>
        <w:bidi/>
      </w:pPr>
      <w:r>
        <w:rPr>
          <w:rStyle w:val="ac"/>
          <w:rtl/>
        </w:rPr>
        <w:footnoteRef/>
      </w:r>
      <w:r>
        <w:rPr>
          <w:rtl/>
        </w:rPr>
        <w:t>ולפ"ז המאירי והלבוש שפסקו שהבן מותר קאי אף לדברי המקשן.</w:t>
      </w:r>
    </w:p>
  </w:footnote>
  <w:footnote w:id="4551">
    <w:p w14:paraId="1CC4DF81" w14:textId="77777777" w:rsidR="00F64AED" w:rsidRDefault="00F64AED" w:rsidP="00F64AED">
      <w:pPr>
        <w:pStyle w:val="Footnote"/>
        <w:bidi/>
      </w:pPr>
      <w:r>
        <w:rPr>
          <w:rStyle w:val="ac"/>
          <w:rtl/>
        </w:rPr>
        <w:footnoteRef/>
      </w:r>
      <w:r>
        <w:rPr>
          <w:rtl/>
        </w:rPr>
        <w:t>וכ"כ ה</w:t>
      </w:r>
      <w:r>
        <w:rPr>
          <w:b/>
          <w:bCs/>
          <w:rtl/>
        </w:rPr>
        <w:t>מרדכי</w:t>
      </w:r>
      <w:r>
        <w:rPr>
          <w:rtl/>
        </w:rPr>
        <w:t xml:space="preserve"> (סט) בשם ה</w:t>
      </w:r>
      <w:r>
        <w:rPr>
          <w:b/>
          <w:bCs/>
          <w:rtl/>
        </w:rPr>
        <w:t>יראים</w:t>
      </w:r>
      <w:r>
        <w:rPr>
          <w:rtl/>
        </w:rPr>
        <w:t xml:space="preserve"> דבעי נקב מפולש, כמו אתרוג (סוכה לו.). ובפשוטו נקטו הפוסקים דעד חלל גובתא כשר.אבל ה</w:t>
      </w:r>
      <w:r>
        <w:rPr>
          <w:b/>
          <w:bCs/>
          <w:rtl/>
        </w:rPr>
        <w:t>תוס'</w:t>
      </w:r>
      <w:r>
        <w:rPr>
          <w:rtl/>
        </w:rPr>
        <w:t xml:space="preserve"> </w:t>
      </w:r>
      <w:r>
        <w:rPr>
          <w:b/>
          <w:bCs/>
          <w:rtl/>
        </w:rPr>
        <w:t>הרא"ש</w:t>
      </w:r>
      <w:r>
        <w:rPr>
          <w:rtl/>
        </w:rPr>
        <w:t xml:space="preserve"> הק' דכיון דיוצא דרך שם אינו מתחמם ומזריע. וכן ה</w:t>
      </w:r>
      <w:r>
        <w:rPr>
          <w:b/>
          <w:bCs/>
          <w:rtl/>
        </w:rPr>
        <w:t>ב"ח</w:t>
      </w:r>
      <w:r>
        <w:rPr>
          <w:rtl/>
        </w:rPr>
        <w:t xml:space="preserve"> (ה, הו' בבי"ש ה ט) פוסל בנקב עד לחלל. וכת' דאף כוונת תוס' לפסול כה"ג. וכן דן ה</w:t>
      </w:r>
      <w:r>
        <w:rPr>
          <w:b/>
          <w:bCs/>
          <w:rtl/>
        </w:rPr>
        <w:t>חזו"א</w:t>
      </w:r>
      <w:r>
        <w:rPr>
          <w:rtl/>
        </w:rPr>
        <w:t xml:space="preserve"> (יב) דכוונת התוס' עד חלל הגיד, ואינו מפולש לגובתא.</w:t>
      </w:r>
    </w:p>
  </w:footnote>
  <w:footnote w:id="4552">
    <w:p w14:paraId="47BF1A66" w14:textId="77777777" w:rsidR="00F64AED" w:rsidRDefault="00F64AED" w:rsidP="00F64AED">
      <w:pPr>
        <w:pStyle w:val="Footnote"/>
        <w:bidi/>
      </w:pPr>
      <w:r>
        <w:rPr>
          <w:rStyle w:val="ac"/>
          <w:rtl/>
        </w:rPr>
        <w:footnoteRef/>
      </w:r>
      <w:r>
        <w:rPr>
          <w:rtl/>
        </w:rPr>
        <w:t>וה</w:t>
      </w:r>
      <w:r>
        <w:rPr>
          <w:b/>
          <w:bCs/>
          <w:rtl/>
        </w:rPr>
        <w:t>רשב"א</w:t>
      </w:r>
      <w:r>
        <w:rPr>
          <w:rtl/>
        </w:rPr>
        <w:t xml:space="preserve"> כתב דשמא סבר דלית הילכתא כמר בר ר' אשי בכולה תלמודא וכו' [ע' תוס' יומא פג.].</w:t>
      </w:r>
    </w:p>
  </w:footnote>
  <w:footnote w:id="4553">
    <w:p w14:paraId="0964A049" w14:textId="77777777" w:rsidR="00F64AED" w:rsidRDefault="00F64AED" w:rsidP="00F64AED">
      <w:pPr>
        <w:pStyle w:val="Footnote"/>
        <w:bidi/>
      </w:pPr>
      <w:r>
        <w:rPr>
          <w:rStyle w:val="ac"/>
          <w:rtl/>
        </w:rPr>
        <w:footnoteRef/>
      </w:r>
      <w:r>
        <w:rPr>
          <w:rtl/>
        </w:rPr>
        <w:t>וה</w:t>
      </w:r>
      <w:r>
        <w:rPr>
          <w:b/>
          <w:bCs/>
          <w:rtl/>
        </w:rPr>
        <w:t>חזו"א</w:t>
      </w:r>
      <w:r>
        <w:rPr>
          <w:rtl/>
        </w:rPr>
        <w:t xml:space="preserve"> (יב ז ובמכתבים שם) כת' דבדבר הזה נתשתנו הטבעים, ואצלינו אין בגיד אלא שביל א', והזרע והשתן נכנסין בו סמוך לגוף.</w:t>
      </w:r>
    </w:p>
  </w:footnote>
  <w:footnote w:id="4554">
    <w:p w14:paraId="7465D334" w14:textId="77777777" w:rsidR="00F64AED" w:rsidRDefault="00F64AED" w:rsidP="00F64AED">
      <w:pPr>
        <w:pStyle w:val="Footnote"/>
        <w:bidi/>
      </w:pPr>
      <w:r>
        <w:rPr>
          <w:rStyle w:val="ac"/>
          <w:rtl/>
        </w:rPr>
        <w:footnoteRef/>
      </w:r>
      <w:r>
        <w:rPr>
          <w:rtl/>
        </w:rPr>
        <w:t>ולא בעי פגם באברים. [משא"כ כוס עיקרין מחליש כח ההגוף, ואינו פועל באברים].</w:t>
      </w:r>
    </w:p>
  </w:footnote>
  <w:footnote w:id="4555">
    <w:p w14:paraId="0164650F" w14:textId="77777777" w:rsidR="00F64AED" w:rsidRDefault="00F64AED" w:rsidP="00F64AED">
      <w:pPr>
        <w:pStyle w:val="Footnote"/>
        <w:bidi/>
      </w:pPr>
      <w:r>
        <w:rPr>
          <w:rStyle w:val="ac"/>
          <w:rtl/>
        </w:rPr>
        <w:footnoteRef/>
      </w:r>
      <w:r>
        <w:rPr>
          <w:rtl/>
        </w:rPr>
        <w:t>וה</w:t>
      </w:r>
      <w:r>
        <w:rPr>
          <w:b/>
          <w:bCs/>
          <w:rtl/>
        </w:rPr>
        <w:t>אגר"מ</w:t>
      </w:r>
      <w:r>
        <w:rPr>
          <w:rtl/>
        </w:rPr>
        <w:t xml:space="preserve"> (אה"ע א ע וכ"מ) העיר דבגדים צבעונים שגורם הרהור יש ג"כ איסור 'ונשמרת' (וכדאי' כתובות מו). ומבואר דאף זה התירו. אך דייק דטפי הו"ל ע"י חימום בידו. והוכיח מסוגיין שיש איסור נוסף ניאוף ביד וברגל (וכדאי' נדה יג), ואיסור זה לא הותר אף לצורך.</w:t>
      </w:r>
    </w:p>
  </w:footnote>
  <w:footnote w:id="4556">
    <w:p w14:paraId="0385AAF9" w14:textId="77777777" w:rsidR="00F64AED" w:rsidRDefault="00F64AED" w:rsidP="00F64AED">
      <w:pPr>
        <w:pStyle w:val="Footnote"/>
        <w:bidi/>
      </w:pPr>
      <w:r>
        <w:rPr>
          <w:rStyle w:val="ac"/>
          <w:rtl/>
        </w:rPr>
        <w:footnoteRef/>
      </w:r>
      <w:r>
        <w:rPr>
          <w:rtl/>
        </w:rPr>
        <w:t xml:space="preserve">ויש </w:t>
      </w:r>
      <w:r>
        <w:rPr>
          <w:b/>
          <w:bCs/>
          <w:rtl/>
        </w:rPr>
        <w:t>אחרונים</w:t>
      </w:r>
      <w:r>
        <w:rPr>
          <w:rtl/>
        </w:rPr>
        <w:t xml:space="preserve"> שדחו דדוקא הכא אין איסור, משום דהוה בחזקת פצוע דכא. וזרע של פצוע דכא אינו ראוי להוליד.</w:t>
      </w:r>
    </w:p>
  </w:footnote>
  <w:footnote w:id="4557">
    <w:p w14:paraId="39FCC09D" w14:textId="77777777" w:rsidR="00F64AED" w:rsidRDefault="00F64AED" w:rsidP="00F64AED">
      <w:pPr>
        <w:pStyle w:val="Footnote"/>
        <w:bidi/>
      </w:pPr>
      <w:r>
        <w:rPr>
          <w:rStyle w:val="ac"/>
          <w:rtl/>
        </w:rPr>
        <w:footnoteRef/>
      </w:r>
      <w:r>
        <w:rPr>
          <w:rtl/>
        </w:rPr>
        <w:t>ואף דהוה ספק האם יוכשר עי"ז.</w:t>
      </w:r>
    </w:p>
  </w:footnote>
  <w:footnote w:id="4558">
    <w:p w14:paraId="3076282D" w14:textId="77777777" w:rsidR="00F64AED" w:rsidRDefault="00F64AED" w:rsidP="00F64AED">
      <w:pPr>
        <w:pStyle w:val="Footnote"/>
        <w:bidi/>
      </w:pPr>
      <w:r>
        <w:rPr>
          <w:rStyle w:val="ac"/>
          <w:rtl/>
        </w:rPr>
        <w:footnoteRef/>
      </w:r>
      <w:r>
        <w:rPr>
          <w:rtl/>
        </w:rPr>
        <w:t>וה</w:t>
      </w:r>
      <w:r>
        <w:rPr>
          <w:b/>
          <w:bCs/>
          <w:rtl/>
        </w:rPr>
        <w:t>בי"ש</w:t>
      </w:r>
      <w:r>
        <w:rPr>
          <w:rtl/>
        </w:rPr>
        <w:t xml:space="preserve"> (כה ב) דן היכא דנמצא דם על בדיקת האשה, האם רשאי לבדוק עצמו האם מוציא דם עם הזרע. והביא מסוגיין, וכת' דיש לדחות. וצ"ע. [ויל"ד אי איירי במקום חשש שתאסר לעולם משום רמ"ת. או אף להתיר לשעה מותר].</w:t>
      </w:r>
    </w:p>
  </w:footnote>
  <w:footnote w:id="4559">
    <w:p w14:paraId="3FF01878" w14:textId="77777777" w:rsidR="00F64AED" w:rsidRDefault="00F64AED" w:rsidP="00F64AED">
      <w:pPr>
        <w:pStyle w:val="Footnote"/>
        <w:bidi/>
      </w:pPr>
      <w:r>
        <w:rPr>
          <w:rStyle w:val="ac"/>
          <w:rtl/>
        </w:rPr>
        <w:footnoteRef/>
      </w:r>
      <w:r>
        <w:rPr>
          <w:rtl/>
        </w:rPr>
        <w:t>וה</w:t>
      </w:r>
      <w:r>
        <w:rPr>
          <w:b/>
          <w:bCs/>
          <w:rtl/>
        </w:rPr>
        <w:t>מהרש"א</w:t>
      </w:r>
      <w:r>
        <w:rPr>
          <w:rtl/>
        </w:rPr>
        <w:t xml:space="preserve"> (לד:) תי' דיעקב שלט בעצמו, ולא הוציא זרע בביאה ראשונה [כיון שאינו ראוי להוליד], וראובן נולד מביאה שניה.</w:t>
      </w:r>
    </w:p>
  </w:footnote>
  <w:footnote w:id="4560">
    <w:p w14:paraId="78E7906D" w14:textId="77777777" w:rsidR="00F64AED" w:rsidRDefault="00F64AED" w:rsidP="00F64AED">
      <w:pPr>
        <w:pStyle w:val="Footnote"/>
        <w:bidi/>
      </w:pPr>
      <w:r>
        <w:rPr>
          <w:rStyle w:val="ac"/>
          <w:rtl/>
        </w:rPr>
        <w:footnoteRef/>
      </w:r>
      <w:r>
        <w:rPr>
          <w:rtl/>
        </w:rPr>
        <w:t>וצ"ב דמבואר בדבריו דבא על רחל קודם שנתעברה לאה. וביאה זו אינה לכוונת בן שיוולד מרחל.</w:t>
      </w:r>
    </w:p>
  </w:footnote>
  <w:footnote w:id="4561">
    <w:p w14:paraId="669CA7D2" w14:textId="77777777" w:rsidR="00F64AED" w:rsidRDefault="00F64AED" w:rsidP="00F64AED">
      <w:pPr>
        <w:pStyle w:val="Footnote"/>
        <w:bidi/>
      </w:pPr>
      <w:r>
        <w:rPr>
          <w:rStyle w:val="ac"/>
          <w:rtl/>
        </w:rPr>
        <w:footnoteRef/>
      </w:r>
      <w:r>
        <w:rPr>
          <w:rtl/>
        </w:rPr>
        <w:t>וכעי"ז בטריפות, דניקב הריאה ודופן סותמתו כשר. אבל ניקב הוה טריפה, ואף דראוי לסתימה ע"י דופן [כיון דלא שכיח ואינו בידו].</w:t>
      </w:r>
    </w:p>
  </w:footnote>
  <w:footnote w:id="4562">
    <w:p w14:paraId="22DF17CE" w14:textId="77777777" w:rsidR="00F64AED" w:rsidRDefault="00F64AED" w:rsidP="00F64AED">
      <w:pPr>
        <w:pStyle w:val="Footnote"/>
        <w:bidi/>
      </w:pPr>
      <w:r>
        <w:rPr>
          <w:rStyle w:val="ac"/>
          <w:rtl/>
        </w:rPr>
        <w:footnoteRef/>
      </w:r>
      <w:r>
        <w:rPr>
          <w:rtl/>
        </w:rPr>
        <w:t>וה</w:t>
      </w:r>
      <w:r>
        <w:rPr>
          <w:b/>
          <w:bCs/>
          <w:rtl/>
        </w:rPr>
        <w:t xml:space="preserve">מרדכי </w:t>
      </w:r>
      <w:r>
        <w:rPr>
          <w:rtl/>
        </w:rPr>
        <w:t>הביא מה</w:t>
      </w:r>
      <w:r>
        <w:rPr>
          <w:b/>
          <w:bCs/>
          <w:rtl/>
        </w:rPr>
        <w:t>ספרי</w:t>
      </w:r>
      <w:r>
        <w:rPr>
          <w:rtl/>
        </w:rPr>
        <w:t xml:space="preserve"> דדוקא כרות שפכה, אבל פצוע דכא יש לו רפואה. אבל ה</w:t>
      </w:r>
      <w:r>
        <w:rPr>
          <w:b/>
          <w:bCs/>
          <w:rtl/>
        </w:rPr>
        <w:t xml:space="preserve">ריטב"א </w:t>
      </w:r>
      <w:r>
        <w:rPr>
          <w:rtl/>
        </w:rPr>
        <w:t>ו</w:t>
      </w:r>
      <w:r>
        <w:rPr>
          <w:b/>
          <w:bCs/>
          <w:rtl/>
        </w:rPr>
        <w:t>נמוק"י</w:t>
      </w:r>
      <w:r>
        <w:rPr>
          <w:rtl/>
        </w:rPr>
        <w:t xml:space="preserve"> כת' דפצוע דכא אין לו רפואה. וה</w:t>
      </w:r>
      <w:r>
        <w:rPr>
          <w:b/>
          <w:bCs/>
          <w:rtl/>
        </w:rPr>
        <w:t>נוב"י</w:t>
      </w:r>
      <w:r>
        <w:rPr>
          <w:rtl/>
        </w:rPr>
        <w:t xml:space="preserve"> (ק אה"ע ו) האריך בזה.</w:t>
      </w:r>
    </w:p>
  </w:footnote>
  <w:footnote w:id="4563">
    <w:p w14:paraId="63A0FE9E" w14:textId="77777777" w:rsidR="00F64AED" w:rsidRDefault="00F64AED" w:rsidP="00F64AED">
      <w:pPr>
        <w:pStyle w:val="Footnote"/>
        <w:bidi/>
      </w:pPr>
      <w:r>
        <w:rPr>
          <w:rStyle w:val="ac"/>
          <w:rtl/>
        </w:rPr>
        <w:footnoteRef/>
      </w:r>
      <w:r>
        <w:rPr>
          <w:rtl/>
        </w:rPr>
        <w:t>ומשמע מלשון הזה דהוה קביעה רפואית דאינו חוזר [וכ"כ החזו"א הנ"ל], אבל אין כלל דיני דכיון דחל תו לא פקע.</w:t>
      </w:r>
    </w:p>
  </w:footnote>
  <w:footnote w:id="4564">
    <w:p w14:paraId="3254E9DC" w14:textId="77777777" w:rsidR="00F64AED" w:rsidRDefault="00F64AED" w:rsidP="00F64AED">
      <w:pPr>
        <w:pStyle w:val="Footnote"/>
        <w:bidi/>
      </w:pPr>
      <w:r>
        <w:rPr>
          <w:rStyle w:val="ac"/>
          <w:rtl/>
        </w:rPr>
        <w:footnoteRef/>
      </w:r>
      <w:r>
        <w:rPr>
          <w:rtl/>
        </w:rPr>
        <w:t>וה</w:t>
      </w:r>
      <w:r>
        <w:rPr>
          <w:b/>
          <w:bCs/>
          <w:rtl/>
        </w:rPr>
        <w:t>בי"ש</w:t>
      </w:r>
      <w:r>
        <w:rPr>
          <w:rtl/>
        </w:rPr>
        <w:t xml:space="preserve"> (ה ג) כתב דאם הוליד לא תלינן דנתרפא אא"כ ידוע שנסתם.</w:t>
      </w:r>
    </w:p>
  </w:footnote>
  <w:footnote w:id="4565">
    <w:p w14:paraId="7E9C7D6D" w14:textId="77777777" w:rsidR="00F64AED" w:rsidRDefault="00F64AED" w:rsidP="00F64AED">
      <w:pPr>
        <w:pStyle w:val="Footnote"/>
        <w:bidi/>
      </w:pPr>
      <w:r>
        <w:rPr>
          <w:rStyle w:val="ac"/>
          <w:rtl/>
        </w:rPr>
        <w:footnoteRef/>
      </w:r>
      <w:r>
        <w:rPr>
          <w:rtl/>
        </w:rPr>
        <w:t>וכתב ה</w:t>
      </w:r>
      <w:r>
        <w:rPr>
          <w:b/>
          <w:bCs/>
          <w:rtl/>
        </w:rPr>
        <w:t>ב"י</w:t>
      </w:r>
      <w:r>
        <w:rPr>
          <w:rtl/>
        </w:rPr>
        <w:t xml:space="preserve"> דפליג אספרי. א"נ כוונת הספרי דכן דעת הרופאים, ולא הודו להם חכמי ישראל. ועוד כתבו ה</w:t>
      </w:r>
      <w:r>
        <w:rPr>
          <w:b/>
          <w:bCs/>
          <w:rtl/>
        </w:rPr>
        <w:t>אחרונים</w:t>
      </w:r>
      <w:r>
        <w:rPr>
          <w:rtl/>
        </w:rPr>
        <w:t xml:space="preserve"> דכוונת הספרי דאם נכרת ודאי לא שייך רפואה, אלא דהכא ניקב בעלמא. ואף דאסור מכלל כרות שפכה, מ"מ יש לו רפואה.</w:t>
      </w:r>
    </w:p>
  </w:footnote>
  <w:footnote w:id="4566">
    <w:p w14:paraId="5484BD00" w14:textId="77777777" w:rsidR="00F64AED" w:rsidRDefault="00F64AED" w:rsidP="00F64AED">
      <w:pPr>
        <w:pStyle w:val="Footnote"/>
        <w:bidi/>
      </w:pPr>
      <w:r>
        <w:rPr>
          <w:rStyle w:val="ac"/>
          <w:rtl/>
        </w:rPr>
        <w:footnoteRef/>
      </w:r>
      <w:r>
        <w:rPr>
          <w:rtl/>
        </w:rPr>
        <w:t>[ודע"י הסירכא ניכר דיש נקב, והוה טריפה].</w:t>
      </w:r>
    </w:p>
  </w:footnote>
  <w:footnote w:id="4567">
    <w:p w14:paraId="03539354" w14:textId="77777777" w:rsidR="00F64AED" w:rsidRDefault="00F64AED" w:rsidP="00F64AED">
      <w:pPr>
        <w:pStyle w:val="Footnote"/>
        <w:bidi/>
      </w:pPr>
      <w:r>
        <w:rPr>
          <w:rStyle w:val="ac"/>
          <w:rtl/>
        </w:rPr>
        <w:footnoteRef/>
      </w:r>
      <w:r>
        <w:rPr>
          <w:rtl/>
        </w:rPr>
        <w:t>וה</w:t>
      </w:r>
      <w:r>
        <w:rPr>
          <w:b/>
          <w:bCs/>
          <w:rtl/>
        </w:rPr>
        <w:t xml:space="preserve">מאירי </w:t>
      </w:r>
      <w:r>
        <w:rPr>
          <w:rtl/>
        </w:rPr>
        <w:t>ביאר כאדם הדורך במסילה ואינו בוקע עפרה כלום.</w:t>
      </w:r>
    </w:p>
  </w:footnote>
  <w:footnote w:id="4568">
    <w:p w14:paraId="3847A754" w14:textId="77777777" w:rsidR="00F64AED" w:rsidRDefault="00F64AED" w:rsidP="00F64AED">
      <w:pPr>
        <w:pStyle w:val="Footnote"/>
        <w:bidi/>
      </w:pPr>
      <w:r>
        <w:rPr>
          <w:rStyle w:val="ac"/>
          <w:rtl/>
        </w:rPr>
        <w:footnoteRef/>
      </w:r>
      <w:r>
        <w:rPr>
          <w:rtl/>
        </w:rPr>
        <w:t>ו</w:t>
      </w:r>
      <w:r>
        <w:rPr>
          <w:b/>
          <w:bCs/>
          <w:rtl/>
        </w:rPr>
        <w:t>תוס'</w:t>
      </w:r>
      <w:r>
        <w:rPr>
          <w:rtl/>
        </w:rPr>
        <w:t xml:space="preserve"> (לקמן שם) דנו אף באנדרוגינוס שנושא אשה יש בו ספק נשים מסוללות. [ואף שעושה דרך מעשה ביאה, על הצד שהוא נקיבה יפסול]. [ותוס' הביאו דמשמע דאין איסור, ולא ביארו מ"ט. וקצת משמע דלא החמירו בכה"ג]. אבל דעת הרמב"ם דאנדרוגינוס נושא לכתחילה, וה</w:t>
      </w:r>
      <w:r>
        <w:rPr>
          <w:b/>
          <w:bCs/>
          <w:rtl/>
        </w:rPr>
        <w:t>מגיד משנה</w:t>
      </w:r>
      <w:r>
        <w:rPr>
          <w:rtl/>
        </w:rPr>
        <w:t xml:space="preserve"> (איסו"ב א טו) ביאר דס"ל דלא נחשב נשים מסוללות, דאין בו מציאות זה. והלח"מ (שם) כת' דאף דלא קי"ל כוותיה לענין פסול כהונה. מ"מ איסורא איכא.</w:t>
      </w:r>
    </w:p>
  </w:footnote>
  <w:footnote w:id="4569">
    <w:p w14:paraId="2FEB02A2" w14:textId="77777777" w:rsidR="00F64AED" w:rsidRDefault="00F64AED" w:rsidP="00F64AED">
      <w:pPr>
        <w:pStyle w:val="Footnote"/>
        <w:bidi/>
      </w:pPr>
      <w:r>
        <w:rPr>
          <w:rStyle w:val="ac"/>
          <w:rtl/>
        </w:rPr>
        <w:footnoteRef/>
      </w:r>
      <w:r>
        <w:rPr>
          <w:rtl/>
        </w:rPr>
        <w:t>ומקורו מהתו"כ דבמצרים אשה היתה נושאת אשה, ואיש לאיש.</w:t>
      </w:r>
    </w:p>
  </w:footnote>
  <w:footnote w:id="4570">
    <w:p w14:paraId="65D0C569" w14:textId="77777777" w:rsidR="00F64AED" w:rsidRDefault="00F64AED" w:rsidP="00F64AED">
      <w:pPr>
        <w:pStyle w:val="Footnote"/>
        <w:bidi/>
      </w:pPr>
      <w:r>
        <w:rPr>
          <w:rStyle w:val="ac"/>
          <w:rtl/>
        </w:rPr>
        <w:footnoteRef/>
      </w:r>
      <w:r>
        <w:rPr>
          <w:rtl/>
        </w:rPr>
        <w:t>דכמעשה ארץ מצרים לא תעשו נחשב לאו שבכללות, וכ"כ ב</w:t>
      </w:r>
      <w:r>
        <w:rPr>
          <w:b/>
          <w:bCs/>
          <w:rtl/>
        </w:rPr>
        <w:t>סה"מ</w:t>
      </w:r>
      <w:r>
        <w:rPr>
          <w:rtl/>
        </w:rPr>
        <w:t xml:space="preserve"> (שם) דהוה אזהרה על כלל העריות. [והוה לאו דאורייתא, אלא דאין לוקין].</w:t>
      </w:r>
    </w:p>
  </w:footnote>
  <w:footnote w:id="4571">
    <w:p w14:paraId="15322EB4" w14:textId="77777777" w:rsidR="00F64AED" w:rsidRDefault="00F64AED" w:rsidP="00F64AED">
      <w:pPr>
        <w:pStyle w:val="Footnote"/>
        <w:bidi/>
      </w:pPr>
      <w:r>
        <w:rPr>
          <w:rStyle w:val="ac"/>
          <w:rtl/>
        </w:rPr>
        <w:footnoteRef/>
      </w:r>
      <w:r>
        <w:rPr>
          <w:rtl/>
        </w:rPr>
        <w:t>וה</w:t>
      </w:r>
      <w:r>
        <w:rPr>
          <w:b/>
          <w:bCs/>
          <w:rtl/>
        </w:rPr>
        <w:t>רמב"ם</w:t>
      </w:r>
      <w:r>
        <w:rPr>
          <w:rtl/>
        </w:rPr>
        <w:t xml:space="preserve"> (איסו"ב כא ח) כת' דנשים המסוללות הוה ממעשה מצרים, אבל אין מלקין עליו שאין לו לאו מיוחד, והרי אין שם ביאה כלל. לפיכך אין נאסרות לכהונה משום זנות, ולא תיאסר אשה על בעלה בזה שאין כאן זנות. [ויש שדייקו דלרב הונא נאסרת על בעלה מדין זנות].</w:t>
      </w:r>
    </w:p>
    <w:p w14:paraId="413675E6" w14:textId="77777777" w:rsidR="00F64AED" w:rsidRDefault="00F64AED" w:rsidP="00F64AED">
      <w:pPr>
        <w:pStyle w:val="Footnote"/>
        <w:bidi/>
      </w:pPr>
      <w:r>
        <w:rPr>
          <w:rtl/>
        </w:rPr>
        <w:tab/>
        <w:t>והרמב"ם כת' דיש לאיש להקפיד על אשתו מדבר זה.</w:t>
      </w:r>
    </w:p>
  </w:footnote>
  <w:footnote w:id="4572">
    <w:p w14:paraId="6155CF78" w14:textId="77777777" w:rsidR="00F64AED" w:rsidRDefault="00F64AED" w:rsidP="00F64AED">
      <w:pPr>
        <w:pStyle w:val="Footnote"/>
        <w:bidi/>
      </w:pPr>
      <w:r>
        <w:rPr>
          <w:rStyle w:val="ac"/>
          <w:rtl/>
        </w:rPr>
        <w:footnoteRef/>
      </w:r>
      <w:r>
        <w:rPr>
          <w:rtl/>
        </w:rPr>
        <w:t>וה</w:t>
      </w:r>
      <w:r>
        <w:rPr>
          <w:b/>
          <w:bCs/>
          <w:rtl/>
        </w:rPr>
        <w:t xml:space="preserve">רמב"ן </w:t>
      </w:r>
      <w:r>
        <w:rPr>
          <w:rtl/>
        </w:rPr>
        <w:t>ו</w:t>
      </w:r>
      <w:r>
        <w:rPr>
          <w:b/>
          <w:bCs/>
          <w:rtl/>
        </w:rPr>
        <w:t>רשב"א</w:t>
      </w:r>
      <w:r>
        <w:rPr>
          <w:rtl/>
        </w:rPr>
        <w:t xml:space="preserve"> (שבת סה.) הביא שהגמ' (לעיל ס.) מק' על רב הונא דאמר דראב"י סבר כר' אלעזר, ומי סבר כוותיה והא רב עמרם אמר רב אמר דאין הלכה כר' אלעזר. ומאי פירכא דרב הונא (בסוגיין) ע"כ ס"ל דהלכה כר"א. ודחה דקו' הגמ' מדברי רב דגברא רבה הוא, ורביהו דכולהו ולא פליגי עליה בסתם. א"נ הקו' לעיל לגמרא [לדידן], ולאו לדעת רב הונא.</w:t>
      </w:r>
    </w:p>
  </w:footnote>
  <w:footnote w:id="4573">
    <w:p w14:paraId="34052368" w14:textId="77777777" w:rsidR="00F64AED" w:rsidRDefault="00F64AED" w:rsidP="00F64AED">
      <w:pPr>
        <w:pStyle w:val="Footnote"/>
        <w:bidi/>
      </w:pPr>
      <w:r>
        <w:rPr>
          <w:rStyle w:val="ac"/>
          <w:rtl/>
        </w:rPr>
        <w:footnoteRef/>
      </w:r>
      <w:r>
        <w:rPr>
          <w:rtl/>
        </w:rPr>
        <w:t>ויל"ד דעכ"פ הוה כמוכת עץ (ע' לעיל נט). ואפשר דקאי כמ"ד (כתובות יא) דאין מוכת עץ בבשר [וכדעת הראשונים דאמרי' כן אף במקום השרת בתולים. ועד"ז אף ממעכת באצבע מותרת לכה"ג]. ועוד אפשר דלא השיר בתולים, ומ"מ נחשב שנעשה בה מעשה, והיה מקום לפסול. ובזה ניחא דהריטב"א דימה לבוגרת, ולא למוכת עץ.</w:t>
      </w:r>
    </w:p>
  </w:footnote>
  <w:footnote w:id="4574">
    <w:p w14:paraId="442C2D70" w14:textId="77777777" w:rsidR="00F64AED" w:rsidRDefault="00F64AED" w:rsidP="00F64AED">
      <w:pPr>
        <w:pStyle w:val="Footnote"/>
        <w:bidi/>
      </w:pPr>
      <w:r>
        <w:rPr>
          <w:rStyle w:val="ac"/>
          <w:rtl/>
        </w:rPr>
        <w:footnoteRef/>
      </w:r>
      <w:r>
        <w:rPr>
          <w:rtl/>
        </w:rPr>
        <w:t>וה</w:t>
      </w:r>
      <w:r>
        <w:rPr>
          <w:b/>
          <w:bCs/>
          <w:rtl/>
        </w:rPr>
        <w:t>ראב"ן</w:t>
      </w:r>
      <w:r>
        <w:rPr>
          <w:rtl/>
        </w:rPr>
        <w:t xml:space="preserve"> (כאן) ביאר [ראיית רב ששת] דלאו בקדושת ישראל קאי והוי כגר וכמשוחרר, אמטי להכי מותר בנתינה. אלא אי אמרת בקדושת ישראל קאי, כמו שאינו פצוע דכא אמאי מותר. אלא ודאי מדתני מותר שמעינן דלאו בקדושתיה קאי, כהן פצוע דכא נמי לאו בקדושתיה קאי ומותר בגיורת.</w:t>
      </w:r>
    </w:p>
  </w:footnote>
  <w:footnote w:id="4575">
    <w:p w14:paraId="6DD807AA" w14:textId="77777777" w:rsidR="00F64AED" w:rsidRDefault="00F64AED" w:rsidP="00F64AED">
      <w:pPr>
        <w:pStyle w:val="Footnote"/>
        <w:bidi/>
      </w:pPr>
      <w:r>
        <w:rPr>
          <w:rStyle w:val="ac"/>
          <w:rtl/>
        </w:rPr>
        <w:footnoteRef/>
      </w:r>
      <w:r>
        <w:rPr>
          <w:rtl/>
        </w:rPr>
        <w:t>ועד"ז אי' בגמ' (קידושין עד: וע"ע לקמן עח.) דאף לר' יהודה דקהל גרים איקרי קהל, ה"מ כשרים, אבל עמוני ומואבי מצרי ואדומי שאסורים בקהל, מותרים בממזרים. [דר' יהודה מודה בהנך דלא הוה קהל].</w:t>
      </w:r>
    </w:p>
  </w:footnote>
  <w:footnote w:id="4576">
    <w:p w14:paraId="13AAE6C4" w14:textId="77777777" w:rsidR="00F64AED" w:rsidRDefault="00F64AED" w:rsidP="00F64AED">
      <w:pPr>
        <w:pStyle w:val="Footnote"/>
        <w:bidi/>
      </w:pPr>
      <w:r>
        <w:rPr>
          <w:rStyle w:val="ac"/>
          <w:rtl/>
        </w:rPr>
        <w:footnoteRef/>
      </w:r>
      <w:r>
        <w:rPr>
          <w:rtl/>
        </w:rPr>
        <w:t>וה</w:t>
      </w:r>
      <w:r>
        <w:rPr>
          <w:b/>
          <w:bCs/>
          <w:rtl/>
        </w:rPr>
        <w:t>מאירי</w:t>
      </w:r>
      <w:r>
        <w:rPr>
          <w:rtl/>
        </w:rPr>
        <w:t xml:space="preserve"> כת' דאסור בגרושה וחללה וזונה מצד שאסור לו לבא בקהל, ולא מצד כהונתו. [ומש"ה הגמ' נקטה גיורת, דאין איסור מצד קהל. אך מ"מ בגרושה בת גרים].</w:t>
      </w:r>
    </w:p>
  </w:footnote>
  <w:footnote w:id="4577">
    <w:p w14:paraId="1E63B729" w14:textId="77777777" w:rsidR="00F64AED" w:rsidRDefault="00F64AED" w:rsidP="00F64AED">
      <w:pPr>
        <w:pStyle w:val="Footnote"/>
        <w:bidi/>
      </w:pPr>
      <w:r>
        <w:rPr>
          <w:rStyle w:val="ac"/>
          <w:rtl/>
        </w:rPr>
        <w:footnoteRef/>
      </w:r>
      <w:r>
        <w:rPr>
          <w:rtl/>
        </w:rPr>
        <w:t>[דאי' דמאכיל את אשתו כל זמן שלא ידעה]. אך ה</w:t>
      </w:r>
      <w:r>
        <w:rPr>
          <w:b/>
          <w:bCs/>
          <w:rtl/>
        </w:rPr>
        <w:t>מאירי</w:t>
      </w:r>
      <w:r>
        <w:rPr>
          <w:rtl/>
        </w:rPr>
        <w:t xml:space="preserve"> הביא את הצד דבקדושתיה קאי [ואסור בגיורת], וכת' דהיינו דהן ועבדיהן אוכלים בתרומה. [וצ"ב כוונתו דבזה ע"כ כו"ע מודו].</w:t>
      </w:r>
    </w:p>
  </w:footnote>
  <w:footnote w:id="4578">
    <w:p w14:paraId="72765E15" w14:textId="77777777" w:rsidR="00F64AED" w:rsidRDefault="00F64AED" w:rsidP="00F64AED">
      <w:pPr>
        <w:pStyle w:val="Footnote"/>
        <w:bidi/>
      </w:pPr>
      <w:r>
        <w:rPr>
          <w:rStyle w:val="ac"/>
          <w:rtl/>
        </w:rPr>
        <w:footnoteRef/>
      </w:r>
      <w:r>
        <w:rPr>
          <w:rtl/>
        </w:rPr>
        <w:t>וצ"ב דה"מ כשאוכלת מחמת הכהן. אבל הכא לאו בקדושתיה קאי, ואין לו קדושת כהונה מצד עצמו. א"כ האיך מהני לאכילת תרומה.</w:t>
      </w:r>
    </w:p>
  </w:footnote>
  <w:footnote w:id="4579">
    <w:p w14:paraId="420442B1" w14:textId="77777777" w:rsidR="00F64AED" w:rsidRDefault="00F64AED" w:rsidP="00F64AED">
      <w:pPr>
        <w:pStyle w:val="Footnote"/>
        <w:bidi/>
      </w:pPr>
      <w:r>
        <w:rPr>
          <w:rStyle w:val="ac"/>
          <w:rtl/>
        </w:rPr>
        <w:footnoteRef/>
      </w:r>
      <w:r>
        <w:rPr>
          <w:rtl/>
        </w:rPr>
        <w:t>אף דמרוח אשך הוה בפצוע דכא. וה</w:t>
      </w:r>
      <w:r>
        <w:rPr>
          <w:b/>
          <w:bCs/>
          <w:rtl/>
        </w:rPr>
        <w:t>רמב"ם</w:t>
      </w:r>
      <w:r>
        <w:rPr>
          <w:rtl/>
        </w:rPr>
        <w:t xml:space="preserve"> (ביאמ"ק ו יב) כת' דבעלי מומים מותרין בקדשי קדשים, והזכיר (שם ח יב) כרות שפכה בהדי בעלי מומים. וה</w:t>
      </w:r>
      <w:r>
        <w:rPr>
          <w:b/>
          <w:bCs/>
          <w:rtl/>
        </w:rPr>
        <w:t>פתח"ת</w:t>
      </w:r>
      <w:r>
        <w:rPr>
          <w:rtl/>
        </w:rPr>
        <w:t xml:space="preserve"> (שם) כתב דצ"ל דאיירי דפצוע דכא בידי שמים.</w:t>
      </w:r>
    </w:p>
  </w:footnote>
  <w:footnote w:id="4580">
    <w:p w14:paraId="387F4BE7" w14:textId="77777777" w:rsidR="00F64AED" w:rsidRDefault="00F64AED" w:rsidP="00F64AED">
      <w:pPr>
        <w:pStyle w:val="Footnote"/>
        <w:bidi/>
      </w:pPr>
      <w:r>
        <w:rPr>
          <w:rStyle w:val="ac"/>
          <w:rtl/>
        </w:rPr>
        <w:footnoteRef/>
      </w:r>
      <w:r>
        <w:rPr>
          <w:rtl/>
        </w:rPr>
        <w:t>וב</w:t>
      </w:r>
      <w:r>
        <w:rPr>
          <w:b/>
          <w:bCs/>
          <w:rtl/>
        </w:rPr>
        <w:t>שו"ת הרשב"א</w:t>
      </w:r>
      <w:r>
        <w:rPr>
          <w:rtl/>
        </w:rPr>
        <w:t xml:space="preserve"> (א אלף רא) למד דנתחלל מכהונתו משום ק"ו דאלמנה לכה"ג [ע"פ הסוגיה לעיל מד:].</w:t>
      </w:r>
    </w:p>
  </w:footnote>
  <w:footnote w:id="4581">
    <w:p w14:paraId="068FC153" w14:textId="77777777" w:rsidR="00F64AED" w:rsidRDefault="00F64AED" w:rsidP="00F64AED">
      <w:pPr>
        <w:pStyle w:val="Footnote"/>
        <w:bidi/>
      </w:pPr>
      <w:r>
        <w:rPr>
          <w:rStyle w:val="ac"/>
          <w:rtl/>
        </w:rPr>
        <w:footnoteRef/>
      </w:r>
      <w:r>
        <w:rPr>
          <w:rtl/>
        </w:rPr>
        <w:t>וה</w:t>
      </w:r>
      <w:r>
        <w:rPr>
          <w:b/>
          <w:bCs/>
          <w:rtl/>
        </w:rPr>
        <w:t>קובה"ע</w:t>
      </w:r>
      <w:r>
        <w:rPr>
          <w:rtl/>
        </w:rPr>
        <w:t xml:space="preserve"> (מד ד בסוגריים) הביא דא' מהתלמידים הק' מ"ט יפקע ממנו שם כהן [לאכילת תרומה], ומ"ש מפצו"ד דאוכל בתרומה. [ונהי דלאו בקדושתיה קאי לשאר דינים, וכנ"ל]. והקובה"ע כת' דפצו"ד עדיף משאר פסולי קהל, דבכל פסולי קהל נפקעה קדושתו לעולם, אבל פצוע דכא אין פסולו אלא לשעתו, דאם יוכל להתרפאות יחזור להכשרו.</w:t>
      </w:r>
    </w:p>
    <w:p w14:paraId="53F84FEA" w14:textId="77777777" w:rsidR="00F64AED" w:rsidRDefault="00F64AED" w:rsidP="00F64AED">
      <w:pPr>
        <w:pStyle w:val="Footnote"/>
        <w:bidi/>
      </w:pPr>
      <w:r>
        <w:rPr>
          <w:rtl/>
        </w:rPr>
        <w:tab/>
        <w:t>וצ"ע א"כ מ"ט אמרי דלאו בקדושתיה קאי. והקובה"ע ביאר דפצוע דכא דמי לגר דמותר בממזרת [דאין לו קדושת ישראל], אף דאין לו 'פסול' [דקי"ל דבת גרים תנשא לכהונה].</w:t>
      </w:r>
    </w:p>
    <w:p w14:paraId="781E97C6" w14:textId="77777777" w:rsidR="00F64AED" w:rsidRDefault="00F64AED" w:rsidP="00F64AED">
      <w:pPr>
        <w:pStyle w:val="Footnote"/>
        <w:bidi/>
      </w:pPr>
      <w:r>
        <w:rPr>
          <w:rtl/>
        </w:rPr>
        <w:tab/>
        <w:t>והקובה"ע כת' דנראה דאילו היה אפשר לצייר בפצוע דכא פסול שיוליד בנים, היו הבנים כשרין לבוא בקהל, ואפי' למ"ד דמותר בממזרת. דכיון דהוא פסול החוזר להכשירו אין לפסול בניו. [ע' סוגיה לעיל עה:].</w:t>
      </w:r>
    </w:p>
  </w:footnote>
  <w:footnote w:id="4582">
    <w:p w14:paraId="48B189FB" w14:textId="77777777" w:rsidR="00F64AED" w:rsidRDefault="00F64AED" w:rsidP="00F64AED">
      <w:pPr>
        <w:pStyle w:val="Footnote"/>
        <w:bidi/>
      </w:pPr>
      <w:r>
        <w:rPr>
          <w:rStyle w:val="ac"/>
          <w:rtl/>
        </w:rPr>
        <w:footnoteRef/>
      </w:r>
      <w:r>
        <w:rPr>
          <w:rtl/>
        </w:rPr>
        <w:t>וצ"ב מ"ש, ולכאורה כוונתו ע"ד החלק"מ (הנ"ל) דכיון דלאו בקדושתיה קאי אין לו כל מעלת כהונה. ואפ"ה אוכל בתרומה.</w:t>
      </w:r>
    </w:p>
  </w:footnote>
  <w:footnote w:id="4583">
    <w:p w14:paraId="5E07302F" w14:textId="77777777" w:rsidR="00F64AED" w:rsidRDefault="00F64AED" w:rsidP="00F64AED">
      <w:pPr>
        <w:pStyle w:val="Footnote"/>
        <w:bidi/>
      </w:pPr>
      <w:r>
        <w:rPr>
          <w:rStyle w:val="ac"/>
          <w:rtl/>
        </w:rPr>
        <w:footnoteRef/>
      </w:r>
      <w:r>
        <w:rPr>
          <w:rtl/>
        </w:rPr>
        <w:t>אבל ה</w:t>
      </w:r>
      <w:r>
        <w:rPr>
          <w:b/>
          <w:bCs/>
          <w:rtl/>
        </w:rPr>
        <w:t>מנח"ח</w:t>
      </w:r>
      <w:r>
        <w:rPr>
          <w:rtl/>
        </w:rPr>
        <w:t xml:space="preserve"> (רסד יא) נקט דאסור בפסולי כהונה. וכת' דמ"מ אם נשא ממזרת אינה נעשית זונה, כיון דמותרת לו. [כדאמרי' (לעיל נז.) פצוע דכא בבת גרים].</w:t>
      </w:r>
    </w:p>
  </w:footnote>
  <w:footnote w:id="4584">
    <w:p w14:paraId="54D05849" w14:textId="77777777" w:rsidR="00F64AED" w:rsidRDefault="00F64AED" w:rsidP="00F64AED">
      <w:pPr>
        <w:pStyle w:val="Footnote"/>
        <w:bidi/>
      </w:pPr>
      <w:r>
        <w:rPr>
          <w:rStyle w:val="ac"/>
          <w:rtl/>
        </w:rPr>
        <w:footnoteRef/>
      </w:r>
      <w:r>
        <w:rPr>
          <w:rtl/>
        </w:rPr>
        <w:t>ואפשר דהוה ק"ו, דאי הותר בפסולי קהל, כ"ש דאין לו דין כהונה. אך לכאו' אינו ראיה, דנהי דמופקע משם 'קהל' מנ"ל שיהא מופקע מקדושת הכהונה.</w:t>
      </w:r>
    </w:p>
  </w:footnote>
  <w:footnote w:id="4585">
    <w:p w14:paraId="57D7C0DC" w14:textId="77777777" w:rsidR="00F64AED" w:rsidRDefault="00F64AED" w:rsidP="00F64AED">
      <w:pPr>
        <w:pStyle w:val="Footnote"/>
        <w:bidi/>
      </w:pPr>
      <w:r>
        <w:rPr>
          <w:rStyle w:val="ac"/>
          <w:rtl/>
        </w:rPr>
        <w:footnoteRef/>
      </w:r>
      <w:r>
        <w:rPr>
          <w:rtl/>
        </w:rPr>
        <w:t xml:space="preserve">אבל </w:t>
      </w:r>
      <w:r>
        <w:rPr>
          <w:b/>
          <w:bCs/>
          <w:rtl/>
        </w:rPr>
        <w:t>תוס</w:t>
      </w:r>
      <w:r>
        <w:rPr>
          <w:rtl/>
        </w:rPr>
        <w:t>' (עט.) ו</w:t>
      </w:r>
      <w:r>
        <w:rPr>
          <w:b/>
          <w:bCs/>
          <w:rtl/>
        </w:rPr>
        <w:t xml:space="preserve">רמב"ן </w:t>
      </w:r>
      <w:r>
        <w:rPr>
          <w:rtl/>
        </w:rPr>
        <w:t>ו</w:t>
      </w:r>
      <w:r>
        <w:rPr>
          <w:b/>
          <w:bCs/>
          <w:rtl/>
        </w:rPr>
        <w:t>ראשונים</w:t>
      </w:r>
      <w:r>
        <w:rPr>
          <w:rtl/>
        </w:rPr>
        <w:t xml:space="preserve"> (שם) נקטו דהסוגיה שם אינה חולקת על סוגיין.</w:t>
      </w:r>
    </w:p>
  </w:footnote>
  <w:footnote w:id="4586">
    <w:p w14:paraId="0B0E97AF" w14:textId="77777777" w:rsidR="00F64AED" w:rsidRDefault="00F64AED" w:rsidP="00F64AED">
      <w:pPr>
        <w:pStyle w:val="Footnote"/>
        <w:bidi/>
      </w:pPr>
      <w:r>
        <w:rPr>
          <w:rStyle w:val="ac"/>
          <w:rtl/>
        </w:rPr>
        <w:footnoteRef/>
      </w:r>
      <w:r>
        <w:rPr>
          <w:rtl/>
        </w:rPr>
        <w:t>ומשמע דאם נשאת לא תצא. וצ"ע מ"ט.</w:t>
      </w:r>
    </w:p>
  </w:footnote>
  <w:footnote w:id="4587">
    <w:p w14:paraId="49DDCD4B" w14:textId="77777777" w:rsidR="00F64AED" w:rsidRDefault="00F64AED" w:rsidP="00F64AED">
      <w:pPr>
        <w:pStyle w:val="Footnote"/>
        <w:bidi/>
      </w:pPr>
      <w:r>
        <w:rPr>
          <w:rStyle w:val="ac"/>
          <w:rtl/>
        </w:rPr>
        <w:footnoteRef/>
      </w:r>
      <w:r>
        <w:rPr>
          <w:rtl/>
        </w:rPr>
        <w:t>וה</w:t>
      </w:r>
      <w:r>
        <w:rPr>
          <w:b/>
          <w:bCs/>
          <w:rtl/>
        </w:rPr>
        <w:t>ראב"ד</w:t>
      </w:r>
      <w:r>
        <w:rPr>
          <w:rtl/>
        </w:rPr>
        <w:t xml:space="preserve"> דחה דרבותא קמ"ל דאפילו לר"י דאמר קהל גרים אקרי קהל בגר כשר, אבל הני דפסולים לא, וכ"ש ממזרת דלאו קהל הוא כלל. וה</w:t>
      </w:r>
      <w:r>
        <w:rPr>
          <w:b/>
          <w:bCs/>
          <w:rtl/>
        </w:rPr>
        <w:t>חזו"א</w:t>
      </w:r>
      <w:r>
        <w:rPr>
          <w:rtl/>
        </w:rPr>
        <w:t xml:space="preserve"> כתב דהיינו רק לל"ב דרבא, דנתינים דאורייתא, אבל לל"ק דרבא דנתינים מותרין בקהל מדרבנן, א"כ לר' יהודה אסורין בממזר, וע"כ הברייתא דלא כר' יהודה.</w:t>
      </w:r>
    </w:p>
  </w:footnote>
  <w:footnote w:id="4588">
    <w:p w14:paraId="5D19A357" w14:textId="77777777" w:rsidR="00F64AED" w:rsidRDefault="00F64AED" w:rsidP="00F64AED">
      <w:pPr>
        <w:pStyle w:val="Footnote"/>
        <w:bidi/>
      </w:pPr>
      <w:r>
        <w:rPr>
          <w:rStyle w:val="ac"/>
          <w:rtl/>
        </w:rPr>
        <w:footnoteRef/>
      </w:r>
      <w:r>
        <w:rPr>
          <w:rtl/>
        </w:rPr>
        <w:t>ועוד הקשה ה</w:t>
      </w:r>
      <w:r>
        <w:rPr>
          <w:b/>
          <w:bCs/>
          <w:rtl/>
        </w:rPr>
        <w:t>ראב"ד</w:t>
      </w:r>
      <w:r>
        <w:rPr>
          <w:rtl/>
        </w:rPr>
        <w:t xml:space="preserve"> דממזר לאו קהל הוא. [משמע דדייק דלרמב"ם יש איסור אף מצד שיש על הממזר איסור פצוע דכא. וצ"ב].</w:t>
      </w:r>
    </w:p>
  </w:footnote>
  <w:footnote w:id="4589">
    <w:p w14:paraId="3B9C2C6E" w14:textId="77777777" w:rsidR="00F64AED" w:rsidRDefault="00F64AED" w:rsidP="00F64AED">
      <w:pPr>
        <w:pStyle w:val="Footnote"/>
        <w:bidi/>
      </w:pPr>
      <w:r>
        <w:rPr>
          <w:rStyle w:val="ac"/>
          <w:rtl/>
        </w:rPr>
        <w:footnoteRef/>
      </w:r>
      <w:r>
        <w:rPr>
          <w:rtl/>
        </w:rPr>
        <w:t>וצ"ב מ"ש אי ילפי' מדרשא, מ"מ הוה איסור זונה דאורייתא [ולוקה].</w:t>
      </w:r>
    </w:p>
    <w:p w14:paraId="71613A0C" w14:textId="77777777" w:rsidR="00F64AED" w:rsidRDefault="00F64AED" w:rsidP="00F64AED">
      <w:pPr>
        <w:pStyle w:val="Footnote"/>
        <w:bidi/>
      </w:pPr>
      <w:r>
        <w:rPr>
          <w:rtl/>
        </w:rPr>
        <w:tab/>
        <w:t xml:space="preserve">ויש </w:t>
      </w:r>
      <w:r>
        <w:rPr>
          <w:b/>
          <w:bCs/>
          <w:rtl/>
        </w:rPr>
        <w:t>אחרונים</w:t>
      </w:r>
      <w:r>
        <w:rPr>
          <w:rtl/>
        </w:rPr>
        <w:t xml:space="preserve"> שדנו דדעת הרמב"ם דמדאורייתא לאו בקדושתיה קאי, אלא שהגמ' מסתפקת האם אסרו מדרבנן.</w:t>
      </w:r>
    </w:p>
  </w:footnote>
  <w:footnote w:id="4590">
    <w:p w14:paraId="39FCC024" w14:textId="77777777" w:rsidR="00F64AED" w:rsidRDefault="00F64AED" w:rsidP="00F64AED">
      <w:pPr>
        <w:pStyle w:val="Footnote"/>
        <w:bidi/>
      </w:pPr>
      <w:r>
        <w:rPr>
          <w:rStyle w:val="ac"/>
          <w:rtl/>
        </w:rPr>
        <w:footnoteRef/>
      </w:r>
      <w:r>
        <w:rPr>
          <w:rtl/>
        </w:rPr>
        <w:t>וכתב דמ"מ אין נפק"מ בזה, דאסור בה משום איסור פצוע דכא [ונפק"מ רק בבת גרים].</w:t>
      </w:r>
    </w:p>
  </w:footnote>
  <w:footnote w:id="4591">
    <w:p w14:paraId="30640091" w14:textId="77777777" w:rsidR="00F64AED" w:rsidRDefault="00F64AED" w:rsidP="00F64AED">
      <w:pPr>
        <w:pStyle w:val="Footnote"/>
        <w:bidi/>
      </w:pPr>
      <w:r>
        <w:rPr>
          <w:rStyle w:val="ac"/>
          <w:rtl/>
        </w:rPr>
        <w:footnoteRef/>
      </w:r>
      <w:r>
        <w:rPr>
          <w:rtl/>
        </w:rPr>
        <w:t>וה</w:t>
      </w:r>
      <w:r>
        <w:rPr>
          <w:b/>
          <w:bCs/>
          <w:rtl/>
        </w:rPr>
        <w:t>אחרונים</w:t>
      </w:r>
      <w:r>
        <w:rPr>
          <w:rtl/>
        </w:rPr>
        <w:t xml:space="preserve"> הביאו דה</w:t>
      </w:r>
      <w:r>
        <w:rPr>
          <w:b/>
          <w:bCs/>
          <w:rtl/>
        </w:rPr>
        <w:t xml:space="preserve">רמב"ם </w:t>
      </w:r>
      <w:r>
        <w:rPr>
          <w:rtl/>
        </w:rPr>
        <w:t>למד מהגמ' לעיל נז. דלענין פסול כהונה לאו בקדושתיה קאי, ואף דבסוגיין לא איפשיטא. ומ"מ תמה ה</w:t>
      </w:r>
      <w:r>
        <w:rPr>
          <w:b/>
          <w:bCs/>
          <w:rtl/>
        </w:rPr>
        <w:t>חזו"א</w:t>
      </w:r>
      <w:r>
        <w:rPr>
          <w:rtl/>
        </w:rPr>
        <w:t xml:space="preserve"> דבירושלמי מבואר דהסברא להיפך דפסולי קהל פשוט טפי מפסולי כהונה.</w:t>
      </w:r>
    </w:p>
  </w:footnote>
  <w:footnote w:id="4592">
    <w:p w14:paraId="07768C34" w14:textId="77777777" w:rsidR="00F64AED" w:rsidRDefault="00F64AED" w:rsidP="00F64AED">
      <w:pPr>
        <w:pStyle w:val="Footnote"/>
        <w:bidi/>
      </w:pPr>
      <w:r>
        <w:rPr>
          <w:rStyle w:val="ac"/>
          <w:rtl/>
        </w:rPr>
        <w:footnoteRef/>
      </w:r>
      <w:r>
        <w:rPr>
          <w:rtl/>
        </w:rPr>
        <w:t>וכעי"ז כתב ה</w:t>
      </w:r>
      <w:r>
        <w:rPr>
          <w:b/>
          <w:bCs/>
          <w:rtl/>
        </w:rPr>
        <w:t xml:space="preserve">ערול"נ </w:t>
      </w:r>
      <w:r>
        <w:rPr>
          <w:rtl/>
        </w:rPr>
        <w:t>דהרמב"ם לשיטתו דאיסור גיורת לכהן משום דנבעלה בנכריותה, עפ"ז אסורה לכהן רק מספק [וכמ"ש הרשב"א לעיל ס:], וס"ל דפצוע דכא מותר בספיקות [דהוה ספק ספיקא].</w:t>
      </w:r>
    </w:p>
  </w:footnote>
  <w:footnote w:id="4593">
    <w:p w14:paraId="69ED4BFA" w14:textId="77777777" w:rsidR="00F64AED" w:rsidRDefault="00F64AED" w:rsidP="00F64AED">
      <w:pPr>
        <w:pStyle w:val="Footnote"/>
        <w:bidi/>
      </w:pPr>
      <w:r>
        <w:rPr>
          <w:rStyle w:val="ac"/>
          <w:rtl/>
        </w:rPr>
        <w:footnoteRef/>
      </w:r>
      <w:r>
        <w:rPr>
          <w:rtl/>
        </w:rPr>
        <w:t>וכ"כ ה</w:t>
      </w:r>
      <w:r>
        <w:rPr>
          <w:b/>
          <w:bCs/>
          <w:rtl/>
        </w:rPr>
        <w:t>נוב"י</w:t>
      </w:r>
      <w:r>
        <w:rPr>
          <w:rtl/>
        </w:rPr>
        <w:t xml:space="preserve"> בשם הרב מראדויל, והאריך לחלוק דהטעם דלאו בר אולודי לא קאי למסקנא. והקשה עוד דכיון דהאיסור משום שם שתוקי בישראל, לא תליא כלל במה שהוא פצוע דכא, וכי משום שהוא ג"כ סריס הותר יותר.</w:t>
      </w:r>
    </w:p>
  </w:footnote>
  <w:footnote w:id="4594">
    <w:p w14:paraId="4F88B2A6" w14:textId="77777777" w:rsidR="00F64AED" w:rsidRDefault="00F64AED" w:rsidP="00F64AED">
      <w:pPr>
        <w:pStyle w:val="Footnote"/>
        <w:bidi/>
      </w:pPr>
      <w:r>
        <w:rPr>
          <w:rStyle w:val="ac"/>
          <w:rtl/>
        </w:rPr>
        <w:footnoteRef/>
      </w:r>
      <w:r>
        <w:rPr>
          <w:rtl/>
        </w:rPr>
        <w:t>[אף דלא ידעינן מאיזה צד].</w:t>
      </w:r>
    </w:p>
  </w:footnote>
  <w:footnote w:id="4595">
    <w:p w14:paraId="4A3A7BAC" w14:textId="77777777" w:rsidR="00F64AED" w:rsidRDefault="00F64AED" w:rsidP="00F64AED">
      <w:pPr>
        <w:pStyle w:val="Footnote"/>
        <w:bidi/>
      </w:pPr>
      <w:r>
        <w:rPr>
          <w:rStyle w:val="ac"/>
          <w:rtl/>
        </w:rPr>
        <w:footnoteRef/>
      </w:r>
      <w:r>
        <w:rPr>
          <w:rtl/>
        </w:rPr>
        <w:t>וכעי"ז כתב ה</w:t>
      </w:r>
      <w:r>
        <w:rPr>
          <w:b/>
          <w:bCs/>
          <w:rtl/>
        </w:rPr>
        <w:t>חזו"א</w:t>
      </w:r>
      <w:r>
        <w:rPr>
          <w:rtl/>
        </w:rPr>
        <w:t xml:space="preserve"> (ד ה,ו) דהיתר ספק ממזר הוא משום דאיש הספק לא אסרתו תורה [דאינו פגם ושינוי כ"כ], ולא מצד ספק עבירה. [וה"נ אין שינוי לא מצד זה, ולא מצד זה, ולכן מותרין].</w:t>
      </w:r>
    </w:p>
  </w:footnote>
  <w:footnote w:id="4596">
    <w:p w14:paraId="40A74881" w14:textId="77777777" w:rsidR="00F64AED" w:rsidRDefault="00F64AED" w:rsidP="00F64AED">
      <w:pPr>
        <w:pStyle w:val="Footnote"/>
        <w:bidi/>
      </w:pPr>
      <w:r>
        <w:rPr>
          <w:rStyle w:val="ac"/>
          <w:rtl/>
        </w:rPr>
        <w:footnoteRef/>
      </w:r>
      <w:r>
        <w:rPr>
          <w:rtl/>
        </w:rPr>
        <w:t>וה</w:t>
      </w:r>
      <w:r>
        <w:rPr>
          <w:b/>
          <w:bCs/>
          <w:rtl/>
        </w:rPr>
        <w:t>חזו"א</w:t>
      </w:r>
      <w:r>
        <w:rPr>
          <w:rtl/>
        </w:rPr>
        <w:t xml:space="preserve"> ביאר דלא גזרו איסור דרבנן על הפצוע דכא כיון דאסור בקהל, והא דשתוקי אסור בממזר, האיסור מצד השתוקי [דהוא כשר טפי]. ומשום ספק איסור פצוע דכא לא גזרו, דלא נחשב פסול יוחסין. וגזרו הספיקות משום מעלת יוחסין.</w:t>
      </w:r>
    </w:p>
  </w:footnote>
  <w:footnote w:id="4597">
    <w:p w14:paraId="6C956097" w14:textId="77777777" w:rsidR="00F64AED" w:rsidRDefault="00F64AED" w:rsidP="00F64AED">
      <w:pPr>
        <w:pStyle w:val="Footnote"/>
        <w:bidi/>
      </w:pPr>
      <w:r>
        <w:rPr>
          <w:rStyle w:val="ac"/>
          <w:rtl/>
        </w:rPr>
        <w:footnoteRef/>
      </w:r>
      <w:r>
        <w:rPr>
          <w:rtl/>
        </w:rPr>
        <w:t>וב</w:t>
      </w:r>
      <w:r>
        <w:rPr>
          <w:b/>
          <w:bCs/>
          <w:rtl/>
        </w:rPr>
        <w:t>תוס' שאנץ</w:t>
      </w:r>
      <w:r>
        <w:rPr>
          <w:rtl/>
        </w:rPr>
        <w:t xml:space="preserve"> (כתובות כט.) כתב דיש מלקות מדרבנן, כעין דאורייתא.</w:t>
      </w:r>
    </w:p>
  </w:footnote>
  <w:footnote w:id="4598">
    <w:p w14:paraId="39A777FE" w14:textId="77777777" w:rsidR="00F64AED" w:rsidRDefault="00F64AED" w:rsidP="00F64AED">
      <w:pPr>
        <w:pStyle w:val="Footnote"/>
        <w:bidi/>
      </w:pPr>
      <w:r>
        <w:rPr>
          <w:rStyle w:val="ac"/>
          <w:rtl/>
        </w:rPr>
        <w:footnoteRef/>
      </w:r>
      <w:r>
        <w:rPr>
          <w:rtl/>
        </w:rPr>
        <w:t>וצ"ע אמאי נקט גזירת דוד, דהא עיקר הגזירה היתה גזירת יהושע (כדאי' לקמן עט.), אלא דדוד גזר בזמן שאין ביהמ"ק קיים. ואפשר דקאי עכשיו שאין ביהמ"ק קיים. א"נ קאי עכשיו לס"ד דהגמ' (לקמן עח:) דהוה גזירת דוד.</w:t>
      </w:r>
    </w:p>
  </w:footnote>
  <w:footnote w:id="4599">
    <w:p w14:paraId="68B31DEB" w14:textId="77777777" w:rsidR="00F64AED" w:rsidRDefault="00F64AED" w:rsidP="00F64AED">
      <w:pPr>
        <w:pStyle w:val="Footnote"/>
        <w:bidi/>
      </w:pPr>
      <w:r>
        <w:rPr>
          <w:rStyle w:val="ac"/>
          <w:rtl/>
        </w:rPr>
        <w:footnoteRef/>
      </w:r>
      <w:r>
        <w:rPr>
          <w:rtl/>
        </w:rPr>
        <w:t xml:space="preserve">ומשמע מדברי רש"י דגדר הגזירה דאף שנתגיירו תקנו כעין קודם גירות. [ומש"ה תלי דמשום אולודי]. וכ"כ </w:t>
      </w:r>
      <w:r>
        <w:rPr>
          <w:b/>
          <w:bCs/>
          <w:rtl/>
        </w:rPr>
        <w:t>ראב"ן</w:t>
      </w:r>
      <w:r>
        <w:rPr>
          <w:rtl/>
        </w:rPr>
        <w:t xml:space="preserve"> (כאן) דמשה ויהושע ודוד גזרו עליהם דאע"ג דנתגיירו שיהיו בארור ובעבדות כמעיקרא בגיותן, הילכך קיימי בלא תתחתן [מדרבנן, וכעין דאוריי']. וציין לדברי ה</w:t>
      </w:r>
      <w:r>
        <w:rPr>
          <w:b/>
          <w:bCs/>
          <w:rtl/>
        </w:rPr>
        <w:t>מדרש</w:t>
      </w:r>
      <w:r>
        <w:rPr>
          <w:rtl/>
        </w:rPr>
        <w:t xml:space="preserve"> (בראשית רבה נט, הו' ברש"י בראשית כד לט) דאברהם לא רצה להשיא לבנות כנען, דאין ברוך מידבק בארור.</w:t>
      </w:r>
    </w:p>
  </w:footnote>
  <w:footnote w:id="4600">
    <w:p w14:paraId="3A8FA79F" w14:textId="77777777" w:rsidR="00F64AED" w:rsidRDefault="00F64AED" w:rsidP="00F64AED">
      <w:pPr>
        <w:pStyle w:val="Footnote"/>
        <w:bidi/>
      </w:pPr>
      <w:r>
        <w:rPr>
          <w:rStyle w:val="ac"/>
          <w:rtl/>
        </w:rPr>
        <w:footnoteRef/>
      </w:r>
      <w:r>
        <w:rPr>
          <w:rtl/>
        </w:rPr>
        <w:t>[ולל"ב דרבא דהוה איסור דאורייתא, ודאי הוה בכל ז' אומות. אבל יל"ד לל"ק דרבא].</w:t>
      </w:r>
    </w:p>
  </w:footnote>
  <w:footnote w:id="4601">
    <w:p w14:paraId="341E6424" w14:textId="77777777" w:rsidR="00F64AED" w:rsidRDefault="00F64AED" w:rsidP="00F64AED">
      <w:pPr>
        <w:pStyle w:val="Footnote"/>
        <w:bidi/>
      </w:pPr>
      <w:r>
        <w:rPr>
          <w:rStyle w:val="ac"/>
          <w:rtl/>
        </w:rPr>
        <w:footnoteRef/>
      </w:r>
      <w:r>
        <w:rPr>
          <w:rtl/>
        </w:rPr>
        <w:t>אך ישראל הבא על נתינה, מדאורייתא לא הוה קהל גרים. ואילו מדרבנן הולד הולך אחר הפגום והוה נתין. וצ"ל דכה"ג נתין אסור בממזרת. [וצ"ע].</w:t>
      </w:r>
    </w:p>
    <w:p w14:paraId="0CF489B4" w14:textId="77777777" w:rsidR="00F64AED" w:rsidRDefault="00F64AED" w:rsidP="00F64AED">
      <w:pPr>
        <w:pStyle w:val="Footnote"/>
        <w:bidi/>
      </w:pPr>
      <w:r>
        <w:rPr>
          <w:rtl/>
        </w:rPr>
        <w:tab/>
        <w:t>וכן נתין הבא על בת ישראל, לדעת הרמב"ם כיון דאמו מישראל לא חשיב קהל גרים. וא"כ הבן יאסר בממזרת.</w:t>
      </w:r>
    </w:p>
  </w:footnote>
  <w:footnote w:id="4602">
    <w:p w14:paraId="1C5382F4" w14:textId="77777777" w:rsidR="00F64AED" w:rsidRDefault="00F64AED" w:rsidP="00F64AED">
      <w:pPr>
        <w:pStyle w:val="Footnote"/>
        <w:bidi/>
      </w:pPr>
      <w:r>
        <w:rPr>
          <w:rStyle w:val="ac"/>
          <w:rtl/>
        </w:rPr>
        <w:footnoteRef/>
      </w:r>
      <w:r>
        <w:rPr>
          <w:rtl/>
        </w:rPr>
        <w:t>וע"ד הא דאי' (קידושין עח.) דלדעת אביי אלמנה לכה"ג לוקה על קידושין לחוד, דכתיב לא יקח.</w:t>
      </w:r>
    </w:p>
  </w:footnote>
  <w:footnote w:id="4603">
    <w:p w14:paraId="4AD385D5" w14:textId="77777777" w:rsidR="00F64AED" w:rsidRDefault="00F64AED" w:rsidP="00F64AED">
      <w:pPr>
        <w:pStyle w:val="Footnote"/>
        <w:bidi/>
      </w:pPr>
      <w:r>
        <w:rPr>
          <w:rStyle w:val="ac"/>
          <w:rtl/>
        </w:rPr>
        <w:footnoteRef/>
      </w:r>
      <w:r>
        <w:rPr>
          <w:rtl/>
        </w:rPr>
        <w:t>וה</w:t>
      </w:r>
      <w:r>
        <w:rPr>
          <w:b/>
          <w:bCs/>
          <w:rtl/>
        </w:rPr>
        <w:t>נתיבות לשבת</w:t>
      </w:r>
      <w:r>
        <w:rPr>
          <w:rtl/>
        </w:rPr>
        <w:t xml:space="preserve"> (לבעל ההפלאה) הוכיח כן מה</w:t>
      </w:r>
      <w:r>
        <w:rPr>
          <w:b/>
          <w:bCs/>
          <w:rtl/>
        </w:rPr>
        <w:t>גמ'</w:t>
      </w:r>
      <w:r>
        <w:rPr>
          <w:rtl/>
        </w:rPr>
        <w:t xml:space="preserve"> (סוטה מד.) דממזרת ונתינה אינו חייב עד שיבעול.</w:t>
      </w:r>
    </w:p>
  </w:footnote>
  <w:footnote w:id="4604">
    <w:p w14:paraId="2FC22940" w14:textId="77777777" w:rsidR="00F64AED" w:rsidRDefault="00F64AED" w:rsidP="00F64AED">
      <w:pPr>
        <w:pStyle w:val="Footnote"/>
        <w:bidi/>
      </w:pPr>
      <w:r>
        <w:rPr>
          <w:rStyle w:val="ac"/>
          <w:rtl/>
        </w:rPr>
        <w:footnoteRef/>
      </w:r>
      <w:r>
        <w:rPr>
          <w:rtl/>
        </w:rPr>
        <w:t>וכ"כ ב</w:t>
      </w:r>
      <w:r>
        <w:rPr>
          <w:b/>
          <w:bCs/>
          <w:rtl/>
        </w:rPr>
        <w:t>פי' ר' חיים פלטיאל</w:t>
      </w:r>
      <w:r>
        <w:rPr>
          <w:rtl/>
        </w:rPr>
        <w:t xml:space="preserve"> (מבעלי התוס', נצבים כט י) דמדאורייתא אסור בז' אומות דרך חיתון, ודוד גזר גם דרך פלגשות וזנות. [ואף לל"ב דרבא גזר דוד איסור על הנתינים, דרך פילגש].</w:t>
      </w:r>
    </w:p>
  </w:footnote>
  <w:footnote w:id="4605">
    <w:p w14:paraId="46B5532B" w14:textId="77777777" w:rsidR="00F64AED" w:rsidRDefault="00F64AED" w:rsidP="00F64AED">
      <w:pPr>
        <w:pStyle w:val="Footnote"/>
        <w:bidi/>
      </w:pPr>
      <w:r>
        <w:rPr>
          <w:rStyle w:val="ac"/>
          <w:rtl/>
        </w:rPr>
        <w:footnoteRef/>
      </w:r>
      <w:r>
        <w:rPr>
          <w:rtl/>
        </w:rPr>
        <w:t>וכדאי' (קידושין עח.) גבי אלמנה לכה"ג. ועד"ז דעת הרמב"ם בשאר חייבי לאוין דאין לוקה אא"כ קידש.</w:t>
      </w:r>
    </w:p>
  </w:footnote>
  <w:footnote w:id="4606">
    <w:p w14:paraId="35446712" w14:textId="77777777" w:rsidR="00F64AED" w:rsidRDefault="00F64AED" w:rsidP="00F64AED">
      <w:pPr>
        <w:pStyle w:val="Footnote"/>
        <w:bidi/>
      </w:pPr>
      <w:r>
        <w:rPr>
          <w:rStyle w:val="ac"/>
          <w:rtl/>
        </w:rPr>
        <w:footnoteRef/>
      </w:r>
      <w:r>
        <w:rPr>
          <w:rtl/>
        </w:rPr>
        <w:t xml:space="preserve">וכן </w:t>
      </w:r>
      <w:r>
        <w:rPr>
          <w:b/>
          <w:bCs/>
          <w:rtl/>
        </w:rPr>
        <w:t>רש"י</w:t>
      </w:r>
      <w:r>
        <w:rPr>
          <w:rtl/>
        </w:rPr>
        <w:t xml:space="preserve"> (לקמן עח: וכתובות כט.) כתב דנתינים אסורים משום דדוד גזר עליהם. אבל רש"י (מכות יג. וסנהדרין נא) כת' דאסורין מדאורייתא משום לא תתחתן.</w:t>
      </w:r>
    </w:p>
  </w:footnote>
  <w:footnote w:id="4607">
    <w:p w14:paraId="1C32FE33" w14:textId="77777777" w:rsidR="00F64AED" w:rsidRDefault="00F64AED" w:rsidP="00F64AED">
      <w:pPr>
        <w:pStyle w:val="Footnote"/>
        <w:bidi/>
      </w:pPr>
      <w:r>
        <w:rPr>
          <w:rStyle w:val="ac"/>
          <w:rtl/>
        </w:rPr>
        <w:footnoteRef/>
      </w:r>
      <w:r>
        <w:rPr>
          <w:rtl/>
        </w:rPr>
        <w:t>וכה"ק ה</w:t>
      </w:r>
      <w:r>
        <w:rPr>
          <w:b/>
          <w:bCs/>
          <w:rtl/>
        </w:rPr>
        <w:t>רמ"ך</w:t>
      </w:r>
      <w:r>
        <w:rPr>
          <w:rtl/>
        </w:rPr>
        <w:t xml:space="preserve"> דדוקא לר' שמעון איירי בכל האומות, והלכה כרבים. ועוד הק' הגר"א דאנן לא קי"ל כר' שמעון דדריש טעמא דקרא. וה</w:t>
      </w:r>
      <w:r>
        <w:rPr>
          <w:b/>
          <w:bCs/>
          <w:rtl/>
        </w:rPr>
        <w:t xml:space="preserve">גליון </w:t>
      </w:r>
      <w:r>
        <w:rPr>
          <w:rtl/>
        </w:rPr>
        <w:t>ברמ"ך כתב דסוגיין דנו לענין להתחייב משעת קידושין, אבל מ"מ לוקה על הביאה.</w:t>
      </w:r>
    </w:p>
  </w:footnote>
  <w:footnote w:id="4608">
    <w:p w14:paraId="6B4EAA24" w14:textId="77777777" w:rsidR="00F64AED" w:rsidRDefault="00F64AED" w:rsidP="00F64AED">
      <w:pPr>
        <w:pStyle w:val="Footnote"/>
        <w:bidi/>
      </w:pPr>
      <w:r>
        <w:rPr>
          <w:rStyle w:val="ac"/>
          <w:rtl/>
        </w:rPr>
        <w:footnoteRef/>
      </w:r>
      <w:r>
        <w:rPr>
          <w:rtl/>
        </w:rPr>
        <w:t>וה</w:t>
      </w:r>
      <w:r>
        <w:rPr>
          <w:b/>
          <w:bCs/>
          <w:rtl/>
        </w:rPr>
        <w:t>אבנ"מ</w:t>
      </w:r>
      <w:r>
        <w:rPr>
          <w:rtl/>
        </w:rPr>
        <w:t xml:space="preserve"> (טז א) כתב דמהך סוגיה מוכח דאיירי בגיותן, דבגירות ליכא לרבויי שאר מסירין.</w:t>
      </w:r>
    </w:p>
  </w:footnote>
  <w:footnote w:id="4609">
    <w:p w14:paraId="43E20916" w14:textId="77777777" w:rsidR="00F64AED" w:rsidRDefault="00F64AED" w:rsidP="00F64AED">
      <w:pPr>
        <w:pStyle w:val="Footnote"/>
        <w:bidi/>
      </w:pPr>
      <w:r>
        <w:rPr>
          <w:rStyle w:val="ac"/>
          <w:rtl/>
        </w:rPr>
        <w:footnoteRef/>
      </w:r>
      <w:r>
        <w:rPr>
          <w:rtl/>
        </w:rPr>
        <w:t>וה</w:t>
      </w:r>
      <w:r>
        <w:rPr>
          <w:b/>
          <w:bCs/>
          <w:rtl/>
        </w:rPr>
        <w:t>טור"א</w:t>
      </w:r>
      <w:r>
        <w:rPr>
          <w:rtl/>
        </w:rPr>
        <w:t xml:space="preserve"> (שם) כת' דלל"ק דמדאורייתא האיסור בגיותן, נתגיירו מותרין. ובזמן שיהושע נשאה עדיין לא גזר מדרבנן [וצ"ל דנשאה קודם מעשה דנשיאים]. א"נ לא גזרו בכל ז' האומות, אלא בנתינים שאין ראויין לידבק בהם.</w:t>
      </w:r>
    </w:p>
  </w:footnote>
  <w:footnote w:id="4610">
    <w:p w14:paraId="51835AF2" w14:textId="77777777" w:rsidR="00F64AED" w:rsidRDefault="00F64AED" w:rsidP="00F64AED">
      <w:pPr>
        <w:pStyle w:val="Footnote"/>
        <w:bidi/>
      </w:pPr>
      <w:r>
        <w:rPr>
          <w:rStyle w:val="ac"/>
          <w:rtl/>
        </w:rPr>
        <w:footnoteRef/>
      </w:r>
      <w:r>
        <w:rPr>
          <w:rtl/>
        </w:rPr>
        <w:t>וה</w:t>
      </w:r>
      <w:r>
        <w:rPr>
          <w:b/>
          <w:bCs/>
          <w:rtl/>
        </w:rPr>
        <w:t>מאירי</w:t>
      </w:r>
      <w:r>
        <w:rPr>
          <w:rtl/>
        </w:rPr>
        <w:t xml:space="preserve"> כתב דכָלֵב נשא את בתיה בת פרעה, לפי שנתגיירה קודם שיצאו ממצרים, ולא היתה בכלל המצווה.</w:t>
      </w:r>
    </w:p>
  </w:footnote>
  <w:footnote w:id="4611">
    <w:p w14:paraId="3744DA78" w14:textId="77777777" w:rsidR="00F64AED" w:rsidRDefault="00F64AED" w:rsidP="00F64AED">
      <w:pPr>
        <w:pStyle w:val="Footnote"/>
        <w:bidi/>
      </w:pPr>
      <w:r>
        <w:rPr>
          <w:rStyle w:val="ac"/>
          <w:rtl/>
        </w:rPr>
        <w:footnoteRef/>
      </w:r>
      <w:r>
        <w:rPr>
          <w:rtl/>
        </w:rPr>
        <w:t>אך יל"ד דאדרבה מבואר (עט.) דהוה גזירה מדרבנן.</w:t>
      </w:r>
    </w:p>
  </w:footnote>
  <w:footnote w:id="4612">
    <w:p w14:paraId="677DFE4A" w14:textId="77777777" w:rsidR="00F64AED" w:rsidRDefault="00F64AED" w:rsidP="00F64AED">
      <w:pPr>
        <w:pStyle w:val="Footnote"/>
        <w:bidi/>
      </w:pPr>
      <w:r>
        <w:rPr>
          <w:rStyle w:val="ac"/>
          <w:rtl/>
        </w:rPr>
        <w:footnoteRef/>
      </w:r>
      <w:r>
        <w:rPr>
          <w:rtl/>
        </w:rPr>
        <w:t>דהוה בכלל י"ח דבר, אך מסקנת הגמ' דהיינו יחוד עכו"ם. דכבר גזרו בי"ד של חשמונאי לאסור משום נשג"ז.</w:t>
      </w:r>
    </w:p>
    <w:p w14:paraId="67914EC6" w14:textId="77777777" w:rsidR="00F64AED" w:rsidRDefault="00F64AED" w:rsidP="00F64AED">
      <w:pPr>
        <w:pStyle w:val="Footnote"/>
        <w:bidi/>
      </w:pPr>
      <w:r>
        <w:rPr>
          <w:rtl/>
        </w:rPr>
        <w:tab/>
        <w:t>וה</w:t>
      </w:r>
      <w:r>
        <w:rPr>
          <w:b/>
          <w:bCs/>
          <w:rtl/>
        </w:rPr>
        <w:t>תורת חיים</w:t>
      </w:r>
      <w:r>
        <w:rPr>
          <w:rtl/>
        </w:rPr>
        <w:t xml:space="preserve"> דייק מדברי רש"י והרמב"ם דגזירת נשג"ז הוא דוקא ברגיל בכך.</w:t>
      </w:r>
    </w:p>
  </w:footnote>
  <w:footnote w:id="4613">
    <w:p w14:paraId="4C87DF5D" w14:textId="77777777" w:rsidR="00F64AED" w:rsidRDefault="00F64AED" w:rsidP="00F64AED">
      <w:pPr>
        <w:pStyle w:val="Footnote"/>
        <w:bidi/>
      </w:pPr>
      <w:r>
        <w:rPr>
          <w:rStyle w:val="ac"/>
          <w:rtl/>
        </w:rPr>
        <w:footnoteRef/>
      </w:r>
      <w:r>
        <w:rPr>
          <w:rtl/>
        </w:rPr>
        <w:t>וה</w:t>
      </w:r>
      <w:r>
        <w:rPr>
          <w:b/>
          <w:bCs/>
          <w:rtl/>
        </w:rPr>
        <w:t>רמב"ן</w:t>
      </w:r>
      <w:r>
        <w:rPr>
          <w:rtl/>
        </w:rPr>
        <w:t xml:space="preserve"> (ע"ז שם) הק' דבסוגיין אי' דבגיותן לית להו חתנות.</w:t>
      </w:r>
    </w:p>
    <w:p w14:paraId="1390E009" w14:textId="77777777" w:rsidR="00F64AED" w:rsidRDefault="00F64AED" w:rsidP="00F64AED">
      <w:pPr>
        <w:pStyle w:val="Footnote"/>
        <w:bidi/>
      </w:pPr>
      <w:r>
        <w:rPr>
          <w:rtl/>
        </w:rPr>
        <w:tab/>
        <w:t>וה</w:t>
      </w:r>
      <w:r>
        <w:rPr>
          <w:b/>
          <w:bCs/>
          <w:rtl/>
        </w:rPr>
        <w:t>תוס' רי"ד</w:t>
      </w:r>
      <w:r>
        <w:rPr>
          <w:rtl/>
        </w:rPr>
        <w:t xml:space="preserve"> (שם) כת' דהגמ' שם לא ס"ל כסוגיין דבגיותן לית להו חתנות, דהו"ל לתרוצי דאורייתא בגירותן אתי אינהו גזור אפי' בגיותן [וע"ד קו' התוס' כאן]. [והגמ' שם ס"ל דלא אזהר רחמנא אלא בגיותן, ובגירותן ליכא איסור דאורייתא, ונתינים דוד גזר עליהם. וכלישנא קמא דהכא].</w:t>
      </w:r>
    </w:p>
  </w:footnote>
  <w:footnote w:id="4614">
    <w:p w14:paraId="37EF664D" w14:textId="77777777" w:rsidR="00F64AED" w:rsidRDefault="00F64AED" w:rsidP="00F64AED">
      <w:pPr>
        <w:pStyle w:val="Footnote"/>
        <w:bidi/>
      </w:pPr>
      <w:r>
        <w:rPr>
          <w:rStyle w:val="ac"/>
          <w:rtl/>
        </w:rPr>
        <w:footnoteRef/>
      </w:r>
      <w:r>
        <w:rPr>
          <w:rtl/>
        </w:rPr>
        <w:t>ומשמע דאיסור בי"ד של שם הוה בעכו"ם ובת ישראל [ותמר היתה בתו שם (וכ"כ האור החיים שם), או שנתגיירה כשנשאת לבני יהודה]. וה</w:t>
      </w:r>
      <w:r>
        <w:rPr>
          <w:b/>
          <w:bCs/>
          <w:rtl/>
        </w:rPr>
        <w:t>מפרשים</w:t>
      </w:r>
      <w:r>
        <w:rPr>
          <w:rtl/>
        </w:rPr>
        <w:t xml:space="preserve"> העירו דבימי שם עדיין לא היו ישראל. וצ"ל דהיה איסור על עדת ה'.</w:t>
      </w:r>
    </w:p>
    <w:p w14:paraId="7634782D" w14:textId="77777777" w:rsidR="00F64AED" w:rsidRDefault="00F64AED" w:rsidP="00F64AED">
      <w:pPr>
        <w:pStyle w:val="Footnote"/>
        <w:bidi/>
      </w:pPr>
      <w:r>
        <w:rPr>
          <w:rtl/>
        </w:rPr>
        <w:tab/>
        <w:t>אבל יש שפי' דבי"ד של שם גזרו בכל זנות פנויה (וכ"מ בגור אריה שם). אך בסוגיה דע"ז והראשונים לא משמע כן.</w:t>
      </w:r>
    </w:p>
  </w:footnote>
  <w:footnote w:id="4615">
    <w:p w14:paraId="55F35F3E" w14:textId="77777777" w:rsidR="00F64AED" w:rsidRDefault="00F64AED" w:rsidP="00F64AED">
      <w:pPr>
        <w:pStyle w:val="Footnote"/>
        <w:bidi/>
      </w:pPr>
      <w:r>
        <w:rPr>
          <w:rStyle w:val="ac"/>
          <w:rtl/>
        </w:rPr>
        <w:footnoteRef/>
      </w:r>
      <w:r>
        <w:rPr>
          <w:rtl/>
        </w:rPr>
        <w:t>והוה איסור דרבנן (וכמ"ש תוס' לעיל טז: דמדאורייתא ביאת היתר. ו</w:t>
      </w:r>
      <w:r>
        <w:rPr>
          <w:b/>
          <w:bCs/>
          <w:rtl/>
        </w:rPr>
        <w:t>תוס</w:t>
      </w:r>
      <w:r>
        <w:rPr>
          <w:rtl/>
        </w:rPr>
        <w:t>' (קידושין עה:) דנו דשמא יש בזה איסור עשה מהך קרא דהוציאוה ותשרף [ואף דהוה בי"ד של שם, הא הסכימה תורה לאיסור זה].</w:t>
      </w:r>
    </w:p>
    <w:p w14:paraId="7499A1F7" w14:textId="77777777" w:rsidR="00F64AED" w:rsidRDefault="00F64AED" w:rsidP="00F64AED">
      <w:pPr>
        <w:pStyle w:val="Footnote"/>
        <w:bidi/>
      </w:pPr>
      <w:r>
        <w:rPr>
          <w:rtl/>
        </w:rPr>
        <w:tab/>
        <w:t>ולשון הגמ' (שם) דעכו"ם על בת ישראל 'מדאורייתא'. וה</w:t>
      </w:r>
      <w:r>
        <w:rPr>
          <w:b/>
          <w:bCs/>
          <w:rtl/>
        </w:rPr>
        <w:t>תוס' רי"ד</w:t>
      </w:r>
      <w:r>
        <w:rPr>
          <w:rtl/>
        </w:rPr>
        <w:t xml:space="preserve"> (שם ורש"ש שם) ביאר דלבי"ד של שם קרי דאורייתא.</w:t>
      </w:r>
    </w:p>
  </w:footnote>
  <w:footnote w:id="4616">
    <w:p w14:paraId="44E775C5" w14:textId="77777777" w:rsidR="00F64AED" w:rsidRDefault="00F64AED" w:rsidP="00F64AED">
      <w:pPr>
        <w:pStyle w:val="Footnote"/>
        <w:bidi/>
      </w:pPr>
      <w:r>
        <w:rPr>
          <w:rStyle w:val="ac"/>
          <w:rtl/>
        </w:rPr>
        <w:footnoteRef/>
      </w:r>
      <w:r>
        <w:rPr>
          <w:rtl/>
        </w:rPr>
        <w:t>דהבועל ארמית קנאים פוגעים בו. [בישראל על עכו"ם. ומדברי ה</w:t>
      </w:r>
      <w:r>
        <w:rPr>
          <w:b/>
          <w:bCs/>
          <w:rtl/>
        </w:rPr>
        <w:t>תוס</w:t>
      </w:r>
      <w:r>
        <w:rPr>
          <w:rtl/>
        </w:rPr>
        <w:t>' (לעיל טז: ד"ה קסבר) מבואר דה"ה עכו"ם על בת ישראל קנאים פוגעים. וע' מה שהו' לעיל שם].</w:t>
      </w:r>
    </w:p>
    <w:p w14:paraId="7E9DD5E9" w14:textId="77777777" w:rsidR="00F64AED" w:rsidRDefault="00F64AED" w:rsidP="00F64AED">
      <w:pPr>
        <w:pStyle w:val="Footnote"/>
        <w:bidi/>
      </w:pPr>
      <w:r>
        <w:rPr>
          <w:rtl/>
        </w:rPr>
        <w:tab/>
      </w:r>
      <w:r>
        <w:rPr>
          <w:rtl/>
          <w:lang w:val="he-IL"/>
        </w:rPr>
        <w:t>וב</w:t>
      </w:r>
      <w:r>
        <w:rPr>
          <w:b/>
          <w:bCs/>
          <w:rtl/>
          <w:lang w:val="he-IL"/>
        </w:rPr>
        <w:t>תוס' ר"ש</w:t>
      </w:r>
      <w:r>
        <w:rPr>
          <w:rtl/>
          <w:lang w:val="he-IL"/>
        </w:rPr>
        <w:t xml:space="preserve"> (ע"ז לו:) כת' דהתורה התירה יפת תאר [דרך זנות], אף במלחמה בפרהסיא, דדבמלחמה הוי בפרהסיא ואסור מדאוריתא [ולא דיברה תורה אלא כנגד יצה"ר. ואף דבצינעה לאו דאורייתא</w:t>
      </w:r>
      <w:r>
        <w:rPr>
          <w:rFonts w:cs="Times New Roman"/>
          <w:rtl/>
          <w:lang w:val="he-IL"/>
        </w:rPr>
        <w:t>.</w:t>
      </w:r>
    </w:p>
  </w:footnote>
  <w:footnote w:id="4617">
    <w:p w14:paraId="08245990" w14:textId="77777777" w:rsidR="00F64AED" w:rsidRDefault="00F64AED" w:rsidP="00F64AED">
      <w:pPr>
        <w:pStyle w:val="Footnote"/>
        <w:bidi/>
      </w:pPr>
      <w:r>
        <w:rPr>
          <w:rStyle w:val="ac"/>
          <w:rtl/>
        </w:rPr>
        <w:footnoteRef/>
      </w:r>
      <w:r>
        <w:rPr>
          <w:rtl/>
        </w:rPr>
        <w:t>אבל משמע ב</w:t>
      </w:r>
      <w:r>
        <w:rPr>
          <w:b/>
          <w:bCs/>
          <w:rtl/>
        </w:rPr>
        <w:t>טור</w:t>
      </w:r>
      <w:r>
        <w:rPr>
          <w:rtl/>
        </w:rPr>
        <w:t xml:space="preserve"> דלוקה משום בתך לא תתן [והוה ג"כ לאו]. וע' בפוסקים איזה נפק"מ יש בזה.</w:t>
      </w:r>
    </w:p>
  </w:footnote>
  <w:footnote w:id="4618">
    <w:p w14:paraId="758C9DFC" w14:textId="77777777" w:rsidR="00F64AED" w:rsidRDefault="00F64AED" w:rsidP="00F64AED">
      <w:pPr>
        <w:pStyle w:val="Footnote"/>
        <w:bidi/>
      </w:pPr>
      <w:r>
        <w:rPr>
          <w:rStyle w:val="ac"/>
          <w:rtl/>
        </w:rPr>
        <w:footnoteRef/>
      </w:r>
      <w:r>
        <w:rPr>
          <w:rtl/>
        </w:rPr>
        <w:t>ולדעת הרמב"ם י"ל דסוגיה דהתם כל"ק דרבא הכא [ומש"ה פסק כל"ק דרבא]. אבל תוס' טרחו ליישב סוגיה דהתם כמסקנא דהכא.</w:t>
      </w:r>
    </w:p>
  </w:footnote>
  <w:footnote w:id="4619">
    <w:p w14:paraId="2E95C0FD" w14:textId="77777777" w:rsidR="00F64AED" w:rsidRDefault="00F64AED" w:rsidP="00F64AED">
      <w:pPr>
        <w:pStyle w:val="Footnote"/>
        <w:bidi/>
      </w:pPr>
      <w:r>
        <w:rPr>
          <w:rStyle w:val="ac"/>
          <w:rtl/>
        </w:rPr>
        <w:footnoteRef/>
      </w:r>
      <w:r>
        <w:rPr>
          <w:rtl/>
        </w:rPr>
        <w:t>ואפשר דל"ש לשון 'חתנות', אלא לשון 'קיחה' [וק"ק דהגמ' בע"ז נוקטת לשון חתנות].</w:t>
      </w:r>
    </w:p>
  </w:footnote>
  <w:footnote w:id="4620">
    <w:p w14:paraId="421967E0" w14:textId="77777777" w:rsidR="00F64AED" w:rsidRDefault="00F64AED" w:rsidP="00F64AED">
      <w:pPr>
        <w:pStyle w:val="Footnote"/>
        <w:bidi/>
      </w:pPr>
      <w:r>
        <w:rPr>
          <w:rStyle w:val="ac"/>
          <w:rtl/>
        </w:rPr>
        <w:footnoteRef/>
      </w:r>
      <w:r>
        <w:rPr>
          <w:rtl/>
        </w:rPr>
        <w:t>אף דלשון 'לא תתחתן' ל"ש בנכרי, מ"מ נקט לה אגב.</w:t>
      </w:r>
    </w:p>
  </w:footnote>
  <w:footnote w:id="4621">
    <w:p w14:paraId="63B2DE87" w14:textId="77777777" w:rsidR="00F64AED" w:rsidRDefault="00F64AED" w:rsidP="00F64AED">
      <w:pPr>
        <w:pStyle w:val="Footnote"/>
        <w:bidi/>
      </w:pPr>
      <w:r>
        <w:rPr>
          <w:rStyle w:val="ac"/>
          <w:rtl/>
        </w:rPr>
        <w:footnoteRef/>
      </w:r>
      <w:r>
        <w:rPr>
          <w:rtl/>
        </w:rPr>
        <w:t>ומשמע דדעת רש"י דכל איסור דאורייתא לא חשיב 'חיתון' [ואף דתפסי קידושין]. וה</w:t>
      </w:r>
      <w:r>
        <w:rPr>
          <w:b/>
          <w:bCs/>
          <w:rtl/>
        </w:rPr>
        <w:t>רמב"ן</w:t>
      </w:r>
      <w:r>
        <w:rPr>
          <w:rtl/>
        </w:rPr>
        <w:t xml:space="preserve"> הק' דבז' אומות כתיב 'לא תתחתן', אף דהוה באיסור. [ואף לל"ב דקרא דלא תתחתן איירי בגירותן, גלי קרא דיש איסור דאורייתא, א"כ שוב ל"ש בהם חיתון].</w:t>
      </w:r>
    </w:p>
    <w:p w14:paraId="600FDF4C" w14:textId="77777777" w:rsidR="00F64AED" w:rsidRDefault="00F64AED" w:rsidP="00F64AED">
      <w:pPr>
        <w:pStyle w:val="Footnote"/>
        <w:bidi/>
      </w:pPr>
      <w:r>
        <w:rPr>
          <w:rtl/>
        </w:rPr>
        <w:tab/>
        <w:t>{ואפשר דכיון דלולי האיסור שייך חיתון, שפיר צוותה תורה לא תתחתן. [וי"ל דהוה בגדר אי עבד לא מהני, דגלי קרא דלא יהא לך תורת חיתון. וא"כ י"ל דרבא לטעמיה תמורה ד: דאי עבד לא מהני]}.</w:t>
      </w:r>
    </w:p>
  </w:footnote>
  <w:footnote w:id="4622">
    <w:p w14:paraId="5BF642EB" w14:textId="77777777" w:rsidR="00F64AED" w:rsidRDefault="00F64AED" w:rsidP="00F64AED">
      <w:pPr>
        <w:pStyle w:val="Footnote"/>
        <w:bidi/>
      </w:pPr>
      <w:r>
        <w:rPr>
          <w:rStyle w:val="ac"/>
          <w:rtl/>
        </w:rPr>
        <w:footnoteRef/>
      </w:r>
      <w:r>
        <w:rPr>
          <w:rtl/>
        </w:rPr>
        <w:t>ועבר איסור כשלקחה. ובספרים ביארו דשלמה עשה כן לתקן לשם שמים.</w:t>
      </w:r>
    </w:p>
    <w:p w14:paraId="1172292F" w14:textId="77777777" w:rsidR="00F64AED" w:rsidRDefault="00F64AED" w:rsidP="00F64AED">
      <w:pPr>
        <w:pStyle w:val="Footnote"/>
        <w:bidi/>
      </w:pPr>
      <w:r>
        <w:rPr>
          <w:rtl/>
        </w:rPr>
        <w:tab/>
        <w:t>[אך בגמ' (שבת נו:) אי' דבשעה שנשא שלמה את בת פרעה ירד גבריאל ונעץ קנה בים ועלה בו שירטון ועליו נבנה כרך גדול של רומי].</w:t>
      </w:r>
    </w:p>
  </w:footnote>
  <w:footnote w:id="4623">
    <w:p w14:paraId="63A2B48F" w14:textId="77777777" w:rsidR="00F64AED" w:rsidRDefault="00F64AED" w:rsidP="00F64AED">
      <w:pPr>
        <w:pStyle w:val="Footnote"/>
        <w:bidi/>
      </w:pPr>
      <w:r>
        <w:rPr>
          <w:rStyle w:val="ac"/>
          <w:rtl/>
        </w:rPr>
        <w:footnoteRef/>
      </w:r>
      <w:r>
        <w:rPr>
          <w:rtl/>
        </w:rPr>
        <w:t>וה</w:t>
      </w:r>
      <w:r>
        <w:rPr>
          <w:b/>
          <w:bCs/>
          <w:rtl/>
        </w:rPr>
        <w:t>רמב"ם</w:t>
      </w:r>
      <w:r>
        <w:rPr>
          <w:rtl/>
        </w:rPr>
        <w:t xml:space="preserve"> (יב ז) כתב דעוון זה יש בו הפסד שאין בכל העריות שהבן מהגויה אינו בנו. ודבר זה גורם להדבק בגויים. וכ"כ (בהל' יג) גבי שפחה דנמצא גורם לזרע הקדש להתחלל ולהיות עבדים. [ומשמע קצת דדורש כן מקרא דכי יסיר, וכמ"ש </w:t>
      </w:r>
      <w:r>
        <w:rPr>
          <w:b/>
          <w:bCs/>
          <w:rtl/>
        </w:rPr>
        <w:t>תוס</w:t>
      </w:r>
      <w:r>
        <w:rPr>
          <w:rtl/>
        </w:rPr>
        <w:t>' (לעיל יז.) לר"ת דכי יסיר הוה הסרה, במה שהזרע אינו מתייחס אחריו. אבל ה</w:t>
      </w:r>
      <w:r>
        <w:rPr>
          <w:b/>
          <w:bCs/>
          <w:rtl/>
        </w:rPr>
        <w:t>אחרונים</w:t>
      </w:r>
      <w:r>
        <w:rPr>
          <w:rtl/>
        </w:rPr>
        <w:t xml:space="preserve"> נקטו דלדעת הרמב"ם אינו איסור דאורייתא, וכדאי' בגמ' (ע"ז הנ"ל), אלא גזירה דרבנן. ומ"מ יש בזה חומר גדול].</w:t>
      </w:r>
    </w:p>
  </w:footnote>
  <w:footnote w:id="4624">
    <w:p w14:paraId="73F5AC89" w14:textId="77777777" w:rsidR="00F64AED" w:rsidRDefault="00F64AED" w:rsidP="00F64AED">
      <w:pPr>
        <w:pStyle w:val="Footnote"/>
        <w:bidi/>
      </w:pPr>
      <w:r>
        <w:rPr>
          <w:rStyle w:val="ac"/>
          <w:rtl/>
        </w:rPr>
        <w:footnoteRef/>
      </w:r>
      <w:r>
        <w:rPr>
          <w:rtl/>
        </w:rPr>
        <w:t>והגמ' (בע"א) הק' האיך קרי חיתון בנכרית.</w:t>
      </w:r>
    </w:p>
  </w:footnote>
  <w:footnote w:id="4625">
    <w:p w14:paraId="32E8F4C3" w14:textId="77777777" w:rsidR="00F64AED" w:rsidRDefault="00F64AED" w:rsidP="00F64AED">
      <w:pPr>
        <w:pStyle w:val="Footnote"/>
        <w:bidi/>
      </w:pPr>
      <w:r>
        <w:rPr>
          <w:rStyle w:val="ac"/>
          <w:rtl/>
        </w:rPr>
        <w:footnoteRef/>
      </w:r>
      <w:r>
        <w:rPr>
          <w:rtl/>
        </w:rPr>
        <w:t>וב</w:t>
      </w:r>
      <w:r>
        <w:rPr>
          <w:b/>
          <w:bCs/>
          <w:rtl/>
        </w:rPr>
        <w:t>חי' ר' שמואל</w:t>
      </w:r>
      <w:r>
        <w:rPr>
          <w:rtl/>
        </w:rPr>
        <w:t xml:space="preserve"> דייק מהרשב"א הנ"ל דפליג, וס"ל דיש איסור מצרי אף בגוייה, דמשמע דאין תוספת איסור בגיורת.</w:t>
      </w:r>
    </w:p>
  </w:footnote>
  <w:footnote w:id="4626">
    <w:p w14:paraId="2E02B362" w14:textId="77777777" w:rsidR="00F64AED" w:rsidRDefault="00F64AED" w:rsidP="00F64AED">
      <w:pPr>
        <w:pStyle w:val="Footnote"/>
        <w:bidi/>
      </w:pPr>
      <w:r>
        <w:rPr>
          <w:rStyle w:val="ac"/>
          <w:rtl/>
        </w:rPr>
        <w:footnoteRef/>
      </w:r>
      <w:r>
        <w:rPr>
          <w:rtl/>
        </w:rPr>
        <w:t>וה</w:t>
      </w:r>
      <w:r>
        <w:rPr>
          <w:b/>
          <w:bCs/>
          <w:rtl/>
        </w:rPr>
        <w:t>מנח"ח</w:t>
      </w:r>
      <w:r>
        <w:rPr>
          <w:rtl/>
        </w:rPr>
        <w:t xml:space="preserve"> (תקנט) דן דעכו"ם פצוע דכא הבא על בת ישראל לוקה אף משום פצוע דכא.</w:t>
      </w:r>
    </w:p>
  </w:footnote>
  <w:footnote w:id="4627">
    <w:p w14:paraId="38A88893" w14:textId="77777777" w:rsidR="00F64AED" w:rsidRDefault="00F64AED" w:rsidP="00F64AED">
      <w:pPr>
        <w:pStyle w:val="Footnote"/>
        <w:bidi/>
      </w:pPr>
      <w:r>
        <w:rPr>
          <w:rStyle w:val="ac"/>
          <w:rtl/>
        </w:rPr>
        <w:footnoteRef/>
      </w:r>
      <w:r>
        <w:rPr>
          <w:rtl/>
        </w:rPr>
        <w:t>ויל"ד האם יש איסור מצרי ועמוני בעבדים, ולכאו' תלי בב' סברות אלו. [ואפשר דתליא בספק הירושלמי (הו' לקמן עז:) האם מונים דורות בעבדים].</w:t>
      </w:r>
    </w:p>
  </w:footnote>
  <w:footnote w:id="4628">
    <w:p w14:paraId="348C3E4E" w14:textId="77777777" w:rsidR="00F64AED" w:rsidRDefault="00F64AED" w:rsidP="00F64AED">
      <w:pPr>
        <w:pStyle w:val="Footnote"/>
        <w:bidi/>
      </w:pPr>
      <w:r>
        <w:rPr>
          <w:rStyle w:val="ac"/>
          <w:rtl/>
        </w:rPr>
        <w:footnoteRef/>
      </w:r>
      <w:r>
        <w:rPr>
          <w:rtl/>
        </w:rPr>
        <w:t>אבל בפרהסיא קנאים פוגעים, ובגמ' (סנהדרין פא) אי' דיש ג"כ חיוב כרת [מדברי קבלה].</w:t>
      </w:r>
    </w:p>
  </w:footnote>
  <w:footnote w:id="4629">
    <w:p w14:paraId="033EF415" w14:textId="77777777" w:rsidR="00F64AED" w:rsidRDefault="00F64AED" w:rsidP="00F64AED">
      <w:pPr>
        <w:pStyle w:val="Footnote"/>
        <w:bidi/>
      </w:pPr>
      <w:r>
        <w:rPr>
          <w:rStyle w:val="ac"/>
          <w:rtl/>
        </w:rPr>
        <w:footnoteRef/>
      </w:r>
      <w:r>
        <w:rPr>
          <w:rtl/>
        </w:rPr>
        <w:t xml:space="preserve">וכ"כ </w:t>
      </w:r>
      <w:r>
        <w:rPr>
          <w:b/>
          <w:bCs/>
          <w:rtl/>
        </w:rPr>
        <w:t>תוס</w:t>
      </w:r>
      <w:r>
        <w:rPr>
          <w:rtl/>
        </w:rPr>
        <w:t>' (לעיל טז: ד"ה קסבר) דמדאורייתא הוה ביאת היתר בצינעא. אבל בחי' ה</w:t>
      </w:r>
      <w:r>
        <w:rPr>
          <w:b/>
          <w:bCs/>
          <w:rtl/>
        </w:rPr>
        <w:t>ר"ן</w:t>
      </w:r>
      <w:r>
        <w:rPr>
          <w:rtl/>
        </w:rPr>
        <w:t xml:space="preserve"> (סנהדרין פא) נסתפק האם יש חיוב כרת בצינעא. וכ"כ ה</w:t>
      </w:r>
      <w:r>
        <w:rPr>
          <w:b/>
          <w:bCs/>
          <w:rtl/>
        </w:rPr>
        <w:t>רמב"ם</w:t>
      </w:r>
      <w:r>
        <w:rPr>
          <w:rtl/>
        </w:rPr>
        <w:t xml:space="preserve"> בסה"מ (ל"ת נב) דיש כרת אף בצינעא.</w:t>
      </w:r>
    </w:p>
  </w:footnote>
  <w:footnote w:id="4630">
    <w:p w14:paraId="21267085" w14:textId="77777777" w:rsidR="00F64AED" w:rsidRDefault="00F64AED" w:rsidP="00F64AED">
      <w:pPr>
        <w:pStyle w:val="Footnote"/>
        <w:bidi/>
      </w:pPr>
      <w:r>
        <w:rPr>
          <w:rStyle w:val="ac"/>
          <w:rtl/>
        </w:rPr>
        <w:footnoteRef/>
      </w:r>
      <w:r>
        <w:rPr>
          <w:rtl/>
        </w:rPr>
        <w:t>כמבואר בקרא דבנה לה בית גדול.</w:t>
      </w:r>
    </w:p>
  </w:footnote>
  <w:footnote w:id="4631">
    <w:p w14:paraId="5AB75C35" w14:textId="77777777" w:rsidR="00F64AED" w:rsidRDefault="00F64AED" w:rsidP="00F64AED">
      <w:pPr>
        <w:pStyle w:val="Footnote"/>
        <w:bidi/>
      </w:pPr>
      <w:r>
        <w:rPr>
          <w:rStyle w:val="ac"/>
          <w:rtl/>
        </w:rPr>
        <w:footnoteRef/>
      </w:r>
      <w:r>
        <w:rPr>
          <w:rtl/>
        </w:rPr>
        <w:t>ויש לחלק בין פרהסיא דמצוות קידוש ד', לדין קנאים פוגעים בו, דתליא בעצם המעשה ובשעת מעשה.</w:t>
      </w:r>
    </w:p>
  </w:footnote>
  <w:footnote w:id="4632">
    <w:p w14:paraId="47594F72" w14:textId="77777777" w:rsidR="00F64AED" w:rsidRDefault="00F64AED" w:rsidP="00F64AED">
      <w:pPr>
        <w:pStyle w:val="Footnote"/>
        <w:bidi/>
      </w:pPr>
      <w:r>
        <w:rPr>
          <w:rStyle w:val="ac"/>
          <w:rtl/>
        </w:rPr>
        <w:footnoteRef/>
      </w:r>
      <w:r>
        <w:rPr>
          <w:rtl/>
        </w:rPr>
        <w:t>וה</w:t>
      </w:r>
      <w:r>
        <w:rPr>
          <w:b/>
          <w:bCs/>
          <w:rtl/>
        </w:rPr>
        <w:t>לח"מ</w:t>
      </w:r>
      <w:r>
        <w:rPr>
          <w:rtl/>
        </w:rPr>
        <w:t xml:space="preserve"> (שם) השיג על דבריו.</w:t>
      </w:r>
    </w:p>
  </w:footnote>
  <w:footnote w:id="4633">
    <w:p w14:paraId="48499B5C" w14:textId="77777777" w:rsidR="00F64AED" w:rsidRDefault="00F64AED" w:rsidP="00F64AED">
      <w:pPr>
        <w:pStyle w:val="Footnote"/>
        <w:bidi/>
      </w:pPr>
      <w:r>
        <w:rPr>
          <w:rStyle w:val="ac"/>
          <w:rtl/>
        </w:rPr>
        <w:footnoteRef/>
      </w:r>
      <w:r>
        <w:rPr>
          <w:rtl/>
        </w:rPr>
        <w:t>וה</w:t>
      </w:r>
      <w:r>
        <w:rPr>
          <w:b/>
          <w:bCs/>
          <w:rtl/>
        </w:rPr>
        <w:t>מאירי</w:t>
      </w:r>
      <w:r>
        <w:rPr>
          <w:rtl/>
        </w:rPr>
        <w:t xml:space="preserve"> כת' שבא עליה דרך יחוד ולא נשאה. וכדכתיב דבק שלמה לאהבה ולא לאישות.</w:t>
      </w:r>
    </w:p>
  </w:footnote>
  <w:footnote w:id="4634">
    <w:p w14:paraId="4AD9F52F" w14:textId="77777777" w:rsidR="00F64AED" w:rsidRDefault="00F64AED" w:rsidP="00F64AED">
      <w:pPr>
        <w:pStyle w:val="Footnote"/>
        <w:bidi/>
      </w:pPr>
      <w:r>
        <w:rPr>
          <w:rStyle w:val="ac"/>
          <w:rtl/>
        </w:rPr>
        <w:footnoteRef/>
      </w:r>
      <w:r>
        <w:rPr>
          <w:rtl/>
        </w:rPr>
        <w:t>דלדברי התוס' קו' הגמ' דלא נשא באיסור. אבל לרש"י י"ל דהוה באיסור, אלא דקו' הגמ' מהלשון חיתון. ורב פפא תי' דמשום אהבה קרי ליה חיתון [וכ"כ המהרש"א ח"א בדעת רש"י].</w:t>
      </w:r>
    </w:p>
  </w:footnote>
  <w:footnote w:id="4635">
    <w:p w14:paraId="269FE0F8" w14:textId="77777777" w:rsidR="00F64AED" w:rsidRDefault="00F64AED" w:rsidP="00F64AED">
      <w:pPr>
        <w:pStyle w:val="Footnote"/>
        <w:bidi/>
      </w:pPr>
      <w:r>
        <w:rPr>
          <w:rStyle w:val="ac"/>
          <w:rtl/>
        </w:rPr>
        <w:footnoteRef/>
      </w:r>
      <w:r>
        <w:rPr>
          <w:rtl/>
        </w:rPr>
        <w:t>וכ"כ ה</w:t>
      </w:r>
      <w:r>
        <w:rPr>
          <w:b/>
          <w:bCs/>
          <w:rtl/>
        </w:rPr>
        <w:t>מהרש"א</w:t>
      </w:r>
      <w:r>
        <w:rPr>
          <w:rtl/>
        </w:rPr>
        <w:t xml:space="preserve"> ח"א אף בדעת תוס' דע"כ למסקנא גיירה, דבנכרית בזנות נמי הוה אסירא ליה. (ולכאו' כוונתו דהוה בפרהסיא [וכקו' הקובה"ע הנ"ל]).</w:t>
      </w:r>
    </w:p>
  </w:footnote>
  <w:footnote w:id="4636">
    <w:p w14:paraId="5E865C37" w14:textId="77777777" w:rsidR="00F64AED" w:rsidRDefault="00F64AED" w:rsidP="00F64AED">
      <w:pPr>
        <w:pStyle w:val="Footnote"/>
        <w:bidi/>
      </w:pPr>
      <w:r>
        <w:rPr>
          <w:rStyle w:val="ac"/>
          <w:rtl/>
        </w:rPr>
        <w:footnoteRef/>
      </w:r>
      <w:r>
        <w:rPr>
          <w:rtl/>
        </w:rPr>
        <w:t>וכן ה</w:t>
      </w:r>
      <w:r>
        <w:rPr>
          <w:b/>
          <w:bCs/>
          <w:rtl/>
        </w:rPr>
        <w:t>לח"מ</w:t>
      </w:r>
      <w:r>
        <w:rPr>
          <w:rtl/>
        </w:rPr>
        <w:t xml:space="preserve"> (יג יד) נקט דאף דהוה דרך זנות, מ"מ יש עבירה בדבר.</w:t>
      </w:r>
    </w:p>
  </w:footnote>
  <w:footnote w:id="4637">
    <w:p w14:paraId="638C86D1" w14:textId="77777777" w:rsidR="00F64AED" w:rsidRDefault="00F64AED" w:rsidP="00F64AED">
      <w:pPr>
        <w:pStyle w:val="Footnote"/>
        <w:bidi/>
      </w:pPr>
      <w:r>
        <w:rPr>
          <w:rStyle w:val="ac"/>
          <w:rtl/>
        </w:rPr>
        <w:footnoteRef/>
      </w:r>
      <w:r>
        <w:rPr>
          <w:rtl/>
        </w:rPr>
        <w:t>וגר שנתגייר שלא בפני בי"ד חוששים לו לחומרא, ועי"ש ברמב"ם.</w:t>
      </w:r>
    </w:p>
  </w:footnote>
  <w:footnote w:id="4638">
    <w:p w14:paraId="211CDBCA" w14:textId="77777777" w:rsidR="00F64AED" w:rsidRDefault="00F64AED" w:rsidP="00F64AED">
      <w:pPr>
        <w:pStyle w:val="Footnote"/>
        <w:bidi/>
      </w:pPr>
      <w:r>
        <w:rPr>
          <w:rStyle w:val="ac"/>
          <w:rtl/>
        </w:rPr>
        <w:footnoteRef/>
      </w:r>
      <w:r>
        <w:rPr>
          <w:rtl/>
        </w:rPr>
        <w:t>וכתב דמ"מ קיים נשותיו אע"פ שנגלה סודן, דגר שלא בדקו אחריו בדיעבד הוה גר, ואפי' נודע שבשביל דבר התגייר, כבר יצא מכלל עכו"ם, ואע"פ שחזר ועבד ע"ז הרי הוא כישראל משומד [עי"ש, ואכ"מ].</w:t>
      </w:r>
    </w:p>
  </w:footnote>
  <w:footnote w:id="4639">
    <w:p w14:paraId="6B28A261" w14:textId="77777777" w:rsidR="00F64AED" w:rsidRDefault="00F64AED" w:rsidP="00F64AED">
      <w:pPr>
        <w:pStyle w:val="Footnote"/>
        <w:bidi/>
      </w:pPr>
      <w:r>
        <w:rPr>
          <w:rStyle w:val="ac"/>
          <w:rtl/>
        </w:rPr>
        <w:footnoteRef/>
      </w:r>
      <w:r>
        <w:rPr>
          <w:rtl/>
        </w:rPr>
        <w:t>ודלא כדברי המגיד משנה דמקור הרמב"ם מסוגיין. [וכת' דאפשר לדחוק בדבריו דכוונתו ע"ד הא דאי' בסוגיין].</w:t>
      </w:r>
    </w:p>
  </w:footnote>
  <w:footnote w:id="4640">
    <w:p w14:paraId="10EA66D1" w14:textId="77777777" w:rsidR="00F64AED" w:rsidRDefault="00F64AED" w:rsidP="00F64AED">
      <w:pPr>
        <w:pStyle w:val="Footnote"/>
        <w:bidi/>
      </w:pPr>
      <w:r>
        <w:rPr>
          <w:rStyle w:val="ac"/>
          <w:rtl/>
        </w:rPr>
        <w:footnoteRef/>
      </w:r>
      <w:r>
        <w:rPr>
          <w:rtl/>
        </w:rPr>
        <w:t>ונהג איסור מצרי בערב רב [ואף דהצטרפו לישראל קודם מתן תורה]. אך הביאו מה</w:t>
      </w:r>
      <w:r>
        <w:rPr>
          <w:b/>
          <w:bCs/>
          <w:rtl/>
        </w:rPr>
        <w:t>זוהר</w:t>
      </w:r>
      <w:r>
        <w:rPr>
          <w:rtl/>
        </w:rPr>
        <w:t xml:space="preserve"> דהערב רב היה משאר אומות, ולא מצריים.</w:t>
      </w:r>
    </w:p>
  </w:footnote>
  <w:footnote w:id="4641">
    <w:p w14:paraId="0B7711E8" w14:textId="77777777" w:rsidR="00F64AED" w:rsidRDefault="00F64AED" w:rsidP="00F64AED">
      <w:pPr>
        <w:pStyle w:val="Footnote"/>
        <w:bidi/>
      </w:pPr>
      <w:r>
        <w:rPr>
          <w:rStyle w:val="ac"/>
          <w:rtl/>
        </w:rPr>
        <w:footnoteRef/>
      </w:r>
      <w:r>
        <w:rPr>
          <w:rtl/>
        </w:rPr>
        <w:t>וה</w:t>
      </w:r>
      <w:r>
        <w:rPr>
          <w:b/>
          <w:bCs/>
          <w:rtl/>
        </w:rPr>
        <w:t>רוקח</w:t>
      </w:r>
      <w:r>
        <w:rPr>
          <w:rtl/>
        </w:rPr>
        <w:t xml:space="preserve"> (בפי' הסידור מד עמ' שה) הביא שיצא הים וטיבע הנשאר בעיר מצרים, כדכתיב כי ה' נלחם להם במצרים.</w:t>
      </w:r>
    </w:p>
    <w:p w14:paraId="71F6AAAC" w14:textId="77777777" w:rsidR="00F64AED" w:rsidRDefault="00F64AED" w:rsidP="00F64AED">
      <w:pPr>
        <w:pStyle w:val="Footnote"/>
        <w:bidi/>
      </w:pPr>
      <w:r>
        <w:rPr>
          <w:rtl/>
        </w:rPr>
        <w:tab/>
        <w:t>[וביאר דמיד כשבאו ישראל והמצריים לים הים הטביע את הנשאר במצריים. ואח"כ עברו ישראל ואח"כ הים ניער את חיל פרעה. ומש"ה סדר התפילה 'וזידים טיבעת, וידידים העברת, ויכסו מים צריהם אחד מהם לא נותר', קודם נטבעו הזדים, ואח"כ עברו ידידים, ואח"כ ויכסו מים].</w:t>
      </w:r>
    </w:p>
  </w:footnote>
  <w:footnote w:id="4642">
    <w:p w14:paraId="1EFE8DEF" w14:textId="77777777" w:rsidR="00F64AED" w:rsidRDefault="00F64AED" w:rsidP="00F64AED">
      <w:pPr>
        <w:pStyle w:val="Footnote"/>
        <w:bidi/>
      </w:pPr>
      <w:r>
        <w:rPr>
          <w:rStyle w:val="ac"/>
          <w:rtl/>
        </w:rPr>
        <w:footnoteRef/>
      </w:r>
      <w:r>
        <w:rPr>
          <w:rtl/>
        </w:rPr>
        <w:t>וה</w:t>
      </w:r>
      <w:r>
        <w:rPr>
          <w:b/>
          <w:bCs/>
          <w:rtl/>
        </w:rPr>
        <w:t>גר"א</w:t>
      </w:r>
      <w:r>
        <w:rPr>
          <w:rtl/>
        </w:rPr>
        <w:t xml:space="preserve"> (ד יח) הביא מדברי הרמב"ן ורשב"א [דחלקו על רש"י] סייעתא לסוברים דנתבלבלו באומות [ע' תוס']. וה</w:t>
      </w:r>
      <w:r>
        <w:rPr>
          <w:b/>
          <w:bCs/>
          <w:rtl/>
        </w:rPr>
        <w:t>אחרונים</w:t>
      </w:r>
      <w:r>
        <w:rPr>
          <w:rtl/>
        </w:rPr>
        <w:t xml:space="preserve"> (רש"ש) תמהו דהיינו בימי סנחרב, וסוגיין קאי בימי שלמה, דקדים טובא.</w:t>
      </w:r>
    </w:p>
  </w:footnote>
  <w:footnote w:id="4643">
    <w:p w14:paraId="2697D0A2" w14:textId="77777777" w:rsidR="00F64AED" w:rsidRDefault="00F64AED" w:rsidP="00F64AED">
      <w:pPr>
        <w:pStyle w:val="Footnote"/>
        <w:bidi/>
      </w:pPr>
      <w:r>
        <w:rPr>
          <w:rStyle w:val="ac"/>
          <w:rtl/>
        </w:rPr>
        <w:footnoteRef/>
      </w:r>
      <w:r>
        <w:rPr>
          <w:rtl/>
        </w:rPr>
        <w:t>וה</w:t>
      </w:r>
      <w:r>
        <w:rPr>
          <w:b/>
          <w:bCs/>
          <w:rtl/>
        </w:rPr>
        <w:t>מרדכי</w:t>
      </w:r>
      <w:r>
        <w:rPr>
          <w:rtl/>
        </w:rPr>
        <w:t xml:space="preserve"> (עא) הק' דבגמ' (ע"ז י:) מבואר דאנטונינוס ידע שהוא מזרע אדום. ותי' דבלבול אינו מועיל לזרע המלוכה, דמתוך חשיבותם הם ניכרים בכל המקומות.</w:t>
      </w:r>
    </w:p>
  </w:footnote>
  <w:footnote w:id="4644">
    <w:p w14:paraId="292BA348" w14:textId="77777777" w:rsidR="00F64AED" w:rsidRDefault="00F64AED" w:rsidP="00F64AED">
      <w:pPr>
        <w:pStyle w:val="Footnote"/>
        <w:bidi/>
      </w:pPr>
      <w:r>
        <w:rPr>
          <w:rStyle w:val="ac"/>
          <w:rtl/>
        </w:rPr>
        <w:footnoteRef/>
      </w:r>
      <w:r>
        <w:rPr>
          <w:rtl/>
        </w:rPr>
        <w:t>עי"ש שציין לדברי הפוסקים בזה.</w:t>
      </w:r>
    </w:p>
  </w:footnote>
  <w:footnote w:id="4645">
    <w:p w14:paraId="0A23BF20" w14:textId="77777777" w:rsidR="00F64AED" w:rsidRDefault="00F64AED" w:rsidP="00F64AED">
      <w:pPr>
        <w:pStyle w:val="Footnote"/>
        <w:bidi/>
      </w:pPr>
      <w:r>
        <w:rPr>
          <w:rStyle w:val="ac"/>
          <w:rtl/>
        </w:rPr>
        <w:footnoteRef/>
      </w:r>
      <w:r>
        <w:rPr>
          <w:rtl/>
        </w:rPr>
        <w:t>[ואף מי שחזר למקומו נחשב קביעות חדש, ולא שנשאר קבוע]. אבל ב</w:t>
      </w:r>
      <w:r>
        <w:rPr>
          <w:b/>
          <w:bCs/>
          <w:rtl/>
        </w:rPr>
        <w:t>רמב"ם</w:t>
      </w:r>
      <w:r>
        <w:rPr>
          <w:rtl/>
        </w:rPr>
        <w:t xml:space="preserve"> משמע דהוה פריש בשעה שבא לפנינו.</w:t>
      </w:r>
    </w:p>
  </w:footnote>
  <w:footnote w:id="4646">
    <w:p w14:paraId="1867EA6C" w14:textId="77777777" w:rsidR="00F64AED" w:rsidRDefault="00F64AED" w:rsidP="00F64AED">
      <w:pPr>
        <w:pStyle w:val="Footnote"/>
        <w:bidi/>
      </w:pPr>
      <w:r>
        <w:rPr>
          <w:rStyle w:val="ac"/>
          <w:rtl/>
        </w:rPr>
        <w:footnoteRef/>
      </w:r>
      <w:r>
        <w:rPr>
          <w:rtl/>
        </w:rPr>
        <w:t>וה</w:t>
      </w:r>
      <w:r>
        <w:rPr>
          <w:b/>
          <w:bCs/>
          <w:rtl/>
        </w:rPr>
        <w:t>מנח"ח</w:t>
      </w:r>
      <w:r>
        <w:rPr>
          <w:rtl/>
        </w:rPr>
        <w:t xml:space="preserve"> הק' דנימא דור שלישי [ודאי] יבא, ולא ספק [לדעת הרמב"ם דכל ספיקות דרשי' ודאי ולא ספק].</w:t>
      </w:r>
    </w:p>
  </w:footnote>
  <w:footnote w:id="4647">
    <w:p w14:paraId="6598E2C3" w14:textId="77777777" w:rsidR="00F64AED" w:rsidRDefault="00F64AED" w:rsidP="00F64AED">
      <w:pPr>
        <w:pStyle w:val="Footnote"/>
        <w:bidi/>
      </w:pPr>
      <w:r>
        <w:rPr>
          <w:rStyle w:val="ac"/>
          <w:rtl/>
        </w:rPr>
        <w:footnoteRef/>
      </w:r>
      <w:r>
        <w:rPr>
          <w:rtl/>
        </w:rPr>
        <w:t>ודן ע"פ מח' הראשונים בגמ' (קידושין עג.) בדרשת חמישה 'קהל'.</w:t>
      </w:r>
    </w:p>
  </w:footnote>
  <w:footnote w:id="4648">
    <w:p w14:paraId="35402F27" w14:textId="77777777" w:rsidR="00F64AED" w:rsidRDefault="00F64AED" w:rsidP="00F64AED">
      <w:pPr>
        <w:pStyle w:val="Footnote"/>
        <w:bidi/>
      </w:pPr>
      <w:r>
        <w:rPr>
          <w:rStyle w:val="ac"/>
          <w:rtl/>
        </w:rPr>
        <w:footnoteRef/>
      </w:r>
      <w:r>
        <w:rPr>
          <w:rtl/>
        </w:rPr>
        <w:t>וכדאמרי' (בכורות מז.) דבת לוי דנתעברה מעכו"ם הבן פטור מפדיון, דדינו כלוי. [וה"נ הוה זכר 'עמונית'].</w:t>
      </w:r>
    </w:p>
  </w:footnote>
  <w:footnote w:id="4649">
    <w:p w14:paraId="7A5DBC9D" w14:textId="77777777" w:rsidR="00F64AED" w:rsidRDefault="00F64AED" w:rsidP="00F64AED">
      <w:pPr>
        <w:pStyle w:val="Footnote"/>
        <w:bidi/>
      </w:pPr>
      <w:r>
        <w:rPr>
          <w:rStyle w:val="ac"/>
          <w:rtl/>
        </w:rPr>
        <w:footnoteRef/>
      </w:r>
      <w:r>
        <w:rPr>
          <w:rtl/>
        </w:rPr>
        <w:t>ודור שלישי מותר. וה</w:t>
      </w:r>
      <w:r>
        <w:rPr>
          <w:b/>
          <w:bCs/>
          <w:rtl/>
        </w:rPr>
        <w:t>רש"ש</w:t>
      </w:r>
      <w:r>
        <w:rPr>
          <w:rtl/>
        </w:rPr>
        <w:t xml:space="preserve"> הק' אמאי נקט הלשון 'אלא עד ג' דורות', הא קי"ל (חולין נה) דלחומרא אמרינן עד ועד בכלל, א"כ משמע דדור שלישי אסור [ומפורש בקרא להתיר]. ואין לומר דליכא למיטעי, דזיל קרי בי רב. דהא בעינן (לקמן עח) תיבת 'להם' לומר דמהם מנה.</w:t>
      </w:r>
    </w:p>
  </w:footnote>
  <w:footnote w:id="4650">
    <w:p w14:paraId="7919BDE1" w14:textId="77777777" w:rsidR="00F64AED" w:rsidRDefault="00F64AED" w:rsidP="00F64AED">
      <w:pPr>
        <w:pStyle w:val="Footnote"/>
        <w:bidi/>
      </w:pPr>
      <w:r>
        <w:rPr>
          <w:rStyle w:val="ac"/>
          <w:rtl/>
        </w:rPr>
        <w:footnoteRef/>
      </w:r>
      <w:r>
        <w:rPr>
          <w:rtl/>
        </w:rPr>
        <w:t>וכתב דאין לוקין עליו, דהוה לאו שאין בו מעשה.</w:t>
      </w:r>
    </w:p>
  </w:footnote>
  <w:footnote w:id="4651">
    <w:p w14:paraId="6B9661D6" w14:textId="77777777" w:rsidR="00F64AED" w:rsidRDefault="00F64AED" w:rsidP="00F64AED">
      <w:pPr>
        <w:pStyle w:val="Footnote"/>
        <w:bidi/>
      </w:pPr>
      <w:r>
        <w:rPr>
          <w:rStyle w:val="ac"/>
          <w:rtl/>
        </w:rPr>
        <w:footnoteRef/>
      </w:r>
      <w:r>
        <w:rPr>
          <w:rtl/>
        </w:rPr>
        <w:t>וה</w:t>
      </w:r>
      <w:r>
        <w:rPr>
          <w:b/>
          <w:bCs/>
          <w:rtl/>
        </w:rPr>
        <w:t>רמב"ן</w:t>
      </w:r>
      <w:r>
        <w:rPr>
          <w:rtl/>
        </w:rPr>
        <w:t xml:space="preserve"> (דברים כג ג) פי' 'ממזר', מוזר מאחיו ויודעיו שלא יודע מאין בא. [וביאר דהבא על אשת אביו ומוליד ירחיק את הנולד ולא יודה בו, לבשתו ולכלמתו מן המעשה הרע שעשה, וגם אמו תשליכנו בלילה. והוה ממזר בעיר מולדתו]. והביא הפסוק (זכריה ט ו) וישב ממזר באשדוד והכרתי גאון פלשתים, פי' שלא ישב באשדוד זולתי איש נכרי וזר שיעבור בו, כי יכרית גאון פלשתים ממנו.</w:t>
      </w:r>
    </w:p>
  </w:footnote>
  <w:footnote w:id="4652">
    <w:p w14:paraId="03344DC0" w14:textId="77777777" w:rsidR="00F64AED" w:rsidRDefault="00F64AED" w:rsidP="00F64AED">
      <w:pPr>
        <w:pStyle w:val="Footnote"/>
        <w:bidi/>
      </w:pPr>
      <w:r>
        <w:rPr>
          <w:rStyle w:val="ac"/>
          <w:rtl/>
        </w:rPr>
        <w:footnoteRef/>
      </w:r>
      <w:r>
        <w:rPr>
          <w:rtl/>
        </w:rPr>
        <w:t>וה</w:t>
      </w:r>
      <w:r>
        <w:rPr>
          <w:b/>
          <w:bCs/>
          <w:rtl/>
        </w:rPr>
        <w:t>פני משה</w:t>
      </w:r>
      <w:r>
        <w:rPr>
          <w:rtl/>
        </w:rPr>
        <w:t xml:space="preserve"> (לירושלמי) כת' דהוה ריבוי דנשאר זר עד סוף הדורות.</w:t>
      </w:r>
    </w:p>
  </w:footnote>
  <w:footnote w:id="4653">
    <w:p w14:paraId="08976DBC" w14:textId="77777777" w:rsidR="00F64AED" w:rsidRDefault="00F64AED" w:rsidP="00F64AED">
      <w:pPr>
        <w:pStyle w:val="Footnote"/>
        <w:bidi/>
      </w:pPr>
      <w:r>
        <w:rPr>
          <w:rStyle w:val="ac"/>
          <w:rtl/>
        </w:rPr>
        <w:footnoteRef/>
      </w:r>
      <w:r>
        <w:rPr>
          <w:rtl/>
        </w:rPr>
        <w:t>כדכתיב (דברים ב כח, כט) אוכל בכסף תשברני ואכלתי וכו' כאשר עשו לי וכו' והמואבים היושבים בער.</w:t>
      </w:r>
    </w:p>
  </w:footnote>
  <w:footnote w:id="4654">
    <w:p w14:paraId="34597481" w14:textId="77777777" w:rsidR="00F64AED" w:rsidRDefault="00F64AED" w:rsidP="00F64AED">
      <w:pPr>
        <w:pStyle w:val="Footnote"/>
        <w:bidi/>
      </w:pPr>
      <w:r>
        <w:rPr>
          <w:rStyle w:val="ac"/>
          <w:rtl/>
        </w:rPr>
        <w:footnoteRef/>
      </w:r>
      <w:r>
        <w:rPr>
          <w:rtl/>
        </w:rPr>
        <w:t>וה</w:t>
      </w:r>
      <w:r>
        <w:rPr>
          <w:b/>
          <w:bCs/>
          <w:rtl/>
        </w:rPr>
        <w:t>רמב"ן</w:t>
      </w:r>
      <w:r>
        <w:rPr>
          <w:rtl/>
        </w:rPr>
        <w:t xml:space="preserve"> (שם) הוסיף דב' אומות האלו קבלו חסד מאברהם, שהציל את אביהם [לוט] מן החרב והשבי, והיו חייבים לעשות טובה עם ישראל. והם עשו ההיפך.</w:t>
      </w:r>
    </w:p>
  </w:footnote>
  <w:footnote w:id="4655">
    <w:p w14:paraId="66D753F7" w14:textId="77777777" w:rsidR="00F64AED" w:rsidRDefault="00F64AED" w:rsidP="00F64AED">
      <w:pPr>
        <w:pStyle w:val="Footnote"/>
        <w:bidi/>
      </w:pPr>
      <w:r>
        <w:rPr>
          <w:rStyle w:val="ac"/>
          <w:rtl/>
        </w:rPr>
        <w:footnoteRef/>
      </w:r>
      <w:r>
        <w:rPr>
          <w:rtl/>
        </w:rPr>
        <w:t>וכ"כ ה</w:t>
      </w:r>
      <w:r>
        <w:rPr>
          <w:b/>
          <w:bCs/>
          <w:rtl/>
        </w:rPr>
        <w:t>סמ"ג</w:t>
      </w:r>
      <w:r>
        <w:rPr>
          <w:rtl/>
        </w:rPr>
        <w:t xml:space="preserve"> (לאוין קיג) דטעם א' קאי אעמון, וא' אמואב. ומשני הטעמים יש ללמוד שנשים מותרות שאין דרכן לקדם ולא לשכור.</w:t>
      </w:r>
    </w:p>
  </w:footnote>
  <w:footnote w:id="4656">
    <w:p w14:paraId="6DBD16E3" w14:textId="77777777" w:rsidR="00F64AED" w:rsidRDefault="00F64AED" w:rsidP="00F64AED">
      <w:pPr>
        <w:pStyle w:val="Footnote"/>
        <w:bidi/>
      </w:pPr>
      <w:r>
        <w:rPr>
          <w:rStyle w:val="ac"/>
          <w:rtl/>
        </w:rPr>
        <w:footnoteRef/>
      </w:r>
      <w:r>
        <w:rPr>
          <w:rtl/>
        </w:rPr>
        <w:t>אבל ב</w:t>
      </w:r>
      <w:r>
        <w:rPr>
          <w:b/>
          <w:bCs/>
          <w:rtl/>
        </w:rPr>
        <w:t>חי' ר' שמואל</w:t>
      </w:r>
      <w:r>
        <w:rPr>
          <w:rtl/>
        </w:rPr>
        <w:t xml:space="preserve"> כתב דמסתבר דכיון דעמונית אינה בכלל 'עם העמוני', א"כ אף לענין איסור קריאה לא נכלל. [ומ"מ היינו רק אחרי שנתגיירה, אבל עמונית נכרית יש עליה שם 'עם עמוני', וא"כ תליא בנידון המנח"ח האם אסור לדרוש בשלומה, ולקבל גיורת].</w:t>
      </w:r>
    </w:p>
  </w:footnote>
  <w:footnote w:id="4657">
    <w:p w14:paraId="0A23F70F" w14:textId="77777777" w:rsidR="00F64AED" w:rsidRDefault="00F64AED" w:rsidP="00F64AED">
      <w:pPr>
        <w:pStyle w:val="Footnote"/>
        <w:bidi/>
      </w:pPr>
      <w:r>
        <w:rPr>
          <w:rStyle w:val="ac"/>
          <w:rtl/>
        </w:rPr>
        <w:footnoteRef/>
      </w:r>
      <w:r>
        <w:rPr>
          <w:rtl/>
        </w:rPr>
        <w:t>דתליא באיסור חיתון. ובחי' ר' שמואל [קו' פסולי קהל] כתב דאין עליה שם 'עם עמוני'.</w:t>
      </w:r>
    </w:p>
  </w:footnote>
  <w:footnote w:id="4658">
    <w:p w14:paraId="20C99FD7" w14:textId="77777777" w:rsidR="00F64AED" w:rsidRDefault="00F64AED" w:rsidP="00F64AED">
      <w:pPr>
        <w:pStyle w:val="Footnote"/>
        <w:bidi/>
      </w:pPr>
      <w:r>
        <w:rPr>
          <w:rStyle w:val="ac"/>
          <w:rtl/>
        </w:rPr>
        <w:footnoteRef/>
      </w:r>
      <w:r>
        <w:rPr>
          <w:rtl/>
        </w:rPr>
        <w:t>דהגמ' (כתובות ז:) פי' דבועז לקח י' אנשים לפרסומי מילתא לדרוש עמוני ולא עמונית.</w:t>
      </w:r>
    </w:p>
  </w:footnote>
  <w:footnote w:id="4659">
    <w:p w14:paraId="7205C714" w14:textId="77777777" w:rsidR="00F64AED" w:rsidRDefault="00F64AED" w:rsidP="00F64AED">
      <w:pPr>
        <w:pStyle w:val="Footnote"/>
        <w:bidi/>
      </w:pPr>
      <w:r>
        <w:rPr>
          <w:rStyle w:val="ac"/>
          <w:rtl/>
        </w:rPr>
        <w:footnoteRef/>
      </w:r>
      <w:r>
        <w:rPr>
          <w:rtl/>
        </w:rPr>
        <w:t>ופ</w:t>
      </w:r>
      <w:r>
        <w:rPr>
          <w:b/>
          <w:bCs/>
          <w:rtl/>
        </w:rPr>
        <w:t>רש"י</w:t>
      </w:r>
      <w:r>
        <w:rPr>
          <w:rtl/>
        </w:rPr>
        <w:t xml:space="preserve"> (שם) את זרעי, שטעה בעמוני ולא עמונית. וה</w:t>
      </w:r>
      <w:r>
        <w:rPr>
          <w:b/>
          <w:bCs/>
          <w:rtl/>
        </w:rPr>
        <w:t>מהרש"א</w:t>
      </w:r>
      <w:r>
        <w:rPr>
          <w:rtl/>
        </w:rPr>
        <w:t xml:space="preserve"> דייק דאף הגואל לא חשש לאיסור ביאה, אלא במה שהזרע יהא אסור. וביאר דאף דהביאה מותרת מדין עדל"ת, מ"מ הולד יחשב עמוני, אחר הפגום. [וה</w:t>
      </w:r>
      <w:r>
        <w:rPr>
          <w:b/>
          <w:bCs/>
          <w:rtl/>
        </w:rPr>
        <w:t>אחרונים</w:t>
      </w:r>
      <w:r>
        <w:rPr>
          <w:rtl/>
        </w:rPr>
        <w:t xml:space="preserve"> הביאו עד"ז דאף ממזר שייבם מדין עדל"ת לא אמרי' דהוה ביאת היתר, ולא אמרי' דהולד אחר הפגום. אבל ה</w:t>
      </w:r>
      <w:r>
        <w:rPr>
          <w:b/>
          <w:bCs/>
          <w:rtl/>
        </w:rPr>
        <w:t>שעה"מ</w:t>
      </w:r>
      <w:r>
        <w:rPr>
          <w:rtl/>
        </w:rPr>
        <w:t xml:space="preserve"> (סו"ה יבום) ו</w:t>
      </w:r>
      <w:r>
        <w:rPr>
          <w:b/>
          <w:bCs/>
          <w:rtl/>
        </w:rPr>
        <w:t>אבנ"מ</w:t>
      </w:r>
      <w:r>
        <w:rPr>
          <w:rtl/>
        </w:rPr>
        <w:t xml:space="preserve"> (קעד) הסתפקו בזה (הו' לעיל כ. וסח:)].</w:t>
      </w:r>
    </w:p>
  </w:footnote>
  <w:footnote w:id="4660">
    <w:p w14:paraId="62B35182" w14:textId="77777777" w:rsidR="00F64AED" w:rsidRDefault="00F64AED" w:rsidP="00F64AED">
      <w:pPr>
        <w:pStyle w:val="Footnote"/>
        <w:bidi/>
      </w:pPr>
      <w:r>
        <w:rPr>
          <w:rStyle w:val="ac"/>
          <w:rtl/>
        </w:rPr>
        <w:footnoteRef/>
      </w:r>
      <w:r>
        <w:rPr>
          <w:rtl/>
        </w:rPr>
        <w:t>אבל ה</w:t>
      </w:r>
      <w:r>
        <w:rPr>
          <w:b/>
          <w:bCs/>
          <w:rtl/>
        </w:rPr>
        <w:t>אחרונים</w:t>
      </w:r>
      <w:r>
        <w:rPr>
          <w:rtl/>
        </w:rPr>
        <w:t xml:space="preserve"> דנו ע"פ </w:t>
      </w:r>
      <w:r>
        <w:rPr>
          <w:b/>
          <w:bCs/>
          <w:rtl/>
        </w:rPr>
        <w:t>תוס</w:t>
      </w:r>
      <w:r>
        <w:rPr>
          <w:rtl/>
        </w:rPr>
        <w:t>' (קידושין לח.) דלכאו' נקטו דכבר נגזר הך גזירה בשעת כניסתם לארץ.</w:t>
      </w:r>
    </w:p>
  </w:footnote>
  <w:footnote w:id="4661">
    <w:p w14:paraId="144AE330" w14:textId="77777777" w:rsidR="00F64AED" w:rsidRDefault="00F64AED" w:rsidP="00F64AED">
      <w:pPr>
        <w:pStyle w:val="Footnote"/>
        <w:bidi/>
      </w:pPr>
      <w:r>
        <w:rPr>
          <w:rStyle w:val="ac"/>
          <w:rtl/>
        </w:rPr>
        <w:footnoteRef/>
      </w:r>
      <w:r>
        <w:rPr>
          <w:rtl/>
        </w:rPr>
        <w:t>וכמ"ש ה</w:t>
      </w:r>
      <w:r>
        <w:rPr>
          <w:b/>
          <w:bCs/>
          <w:rtl/>
        </w:rPr>
        <w:t xml:space="preserve">רמב"ן </w:t>
      </w:r>
      <w:r>
        <w:rPr>
          <w:rtl/>
        </w:rPr>
        <w:t>(עה"ת בראשית לח ח) דכן היה קודם מתן תורה, אלא דהתורה לא התירא האיסור בשאר קרובים. [ומבואר במהרש"א דאף דהתורה לא התירא איסורי קרובים, לענין עשה דוחה ל"ת מהני. וצ"ב דהא אין בזה עשה דאורייתא].</w:t>
      </w:r>
    </w:p>
  </w:footnote>
  <w:footnote w:id="4662">
    <w:p w14:paraId="17FA5EB0" w14:textId="77777777" w:rsidR="00F64AED" w:rsidRDefault="00F64AED" w:rsidP="00F64AED">
      <w:pPr>
        <w:pStyle w:val="Footnote"/>
        <w:bidi/>
      </w:pPr>
      <w:r>
        <w:rPr>
          <w:rStyle w:val="ac"/>
          <w:rtl/>
        </w:rPr>
        <w:footnoteRef/>
      </w:r>
      <w:r>
        <w:rPr>
          <w:rtl/>
        </w:rPr>
        <w:t>ומש"ה הגואל חשש שיפסלו את הזרע, ולא חשש משום שאסורה עליו [וכקו' המהרש"א הנ"ל]. [ובועז לא חשש לדבר זה, כיון דע"פ דין מותרין בבי"ד של דורו, אין לו לחשוש לבי"ד בעתיד].</w:t>
      </w:r>
    </w:p>
  </w:footnote>
  <w:footnote w:id="4663">
    <w:p w14:paraId="7B0F4CE4" w14:textId="77777777" w:rsidR="00F64AED" w:rsidRDefault="00F64AED" w:rsidP="00F64AED">
      <w:pPr>
        <w:pStyle w:val="Footnote"/>
        <w:bidi/>
      </w:pPr>
      <w:r>
        <w:rPr>
          <w:rStyle w:val="ac"/>
          <w:rtl/>
        </w:rPr>
        <w:footnoteRef/>
      </w:r>
      <w:r>
        <w:rPr>
          <w:rtl/>
        </w:rPr>
        <w:t>והביא דכ"כ ה</w:t>
      </w:r>
      <w:r>
        <w:rPr>
          <w:b/>
          <w:bCs/>
          <w:rtl/>
        </w:rPr>
        <w:t>סמ"ג</w:t>
      </w:r>
      <w:r>
        <w:rPr>
          <w:rtl/>
        </w:rPr>
        <w:t xml:space="preserve"> (לאוין קיג) דשמואל קיבל כן בהלכה למשה מסיני, עמוני ולא עמונית. [אבל בסוגיין לא משמע דהוה הלכה למשנה מסיני. וע"ע גמ' ותוס' (בע"ב) גבי מצרי ולא מצרית].</w:t>
      </w:r>
    </w:p>
  </w:footnote>
  <w:footnote w:id="4664">
    <w:p w14:paraId="1505C78F" w14:textId="77777777" w:rsidR="00F64AED" w:rsidRDefault="00F64AED" w:rsidP="00F64AED">
      <w:pPr>
        <w:pStyle w:val="Footnote"/>
        <w:bidi/>
      </w:pPr>
      <w:r>
        <w:rPr>
          <w:rStyle w:val="ac"/>
          <w:rtl/>
        </w:rPr>
        <w:footnoteRef/>
      </w:r>
      <w:r>
        <w:rPr>
          <w:rtl/>
        </w:rPr>
        <w:t>ה</w:t>
      </w:r>
      <w:r>
        <w:rPr>
          <w:b/>
          <w:bCs/>
          <w:rtl/>
        </w:rPr>
        <w:t>פור"י</w:t>
      </w:r>
      <w:r>
        <w:rPr>
          <w:rtl/>
        </w:rPr>
        <w:t xml:space="preserve"> כת' דאפשר דהכוונה דשמואל כת' ספר רות, וכדאי' (ב"ב יד:). ובמדרש (לקח טוב רות ד כא, מדרש רבה רות ח) הנה באתי במגילת ספר, מגילת זה ספר רות, ספר זה ספר שמואל שכתוב בו (שמואל א טז א) ראיתי בבניו לי מלך. [ודלא כגמ' בסמוך דדרשי' אספר תורה].</w:t>
      </w:r>
    </w:p>
  </w:footnote>
  <w:footnote w:id="4665">
    <w:p w14:paraId="19C56ED3" w14:textId="77777777" w:rsidR="00F64AED" w:rsidRDefault="00F64AED" w:rsidP="00F64AED">
      <w:pPr>
        <w:pStyle w:val="Footnote"/>
        <w:bidi/>
      </w:pPr>
      <w:r>
        <w:rPr>
          <w:rStyle w:val="ac"/>
          <w:rtl/>
        </w:rPr>
        <w:footnoteRef/>
      </w:r>
      <w:r>
        <w:rPr>
          <w:rtl/>
        </w:rPr>
        <w:t>ו</w:t>
      </w:r>
      <w:r>
        <w:rPr>
          <w:b/>
          <w:bCs/>
          <w:rtl/>
        </w:rPr>
        <w:t>תוס' מהר"ם ור"פ</w:t>
      </w:r>
      <w:r>
        <w:rPr>
          <w:rtl/>
        </w:rPr>
        <w:t xml:space="preserve"> כתב [דקצת נוגע בדבר] דאל"כ לא מצאנו ידינו ורגלינו, דמעשים בכל יום ששומעים הוראה מפי חכם. [אך יש שדנו אחרי שפסק הלכה, האם אמרי' דהוה נוגע בדבר להחזיק דבריו, ואכ"מ].</w:t>
      </w:r>
    </w:p>
  </w:footnote>
  <w:footnote w:id="4666">
    <w:p w14:paraId="46395F22" w14:textId="77777777" w:rsidR="00F64AED" w:rsidRDefault="00F64AED" w:rsidP="00F64AED">
      <w:pPr>
        <w:pStyle w:val="Footnote"/>
        <w:bidi/>
      </w:pPr>
      <w:r>
        <w:rPr>
          <w:rStyle w:val="ac"/>
          <w:rtl/>
        </w:rPr>
        <w:footnoteRef/>
      </w:r>
      <w:r>
        <w:rPr>
          <w:rtl/>
        </w:rPr>
        <w:t>וכן דייק ה</w:t>
      </w:r>
      <w:r>
        <w:rPr>
          <w:b/>
          <w:bCs/>
          <w:rtl/>
        </w:rPr>
        <w:t>נוב"י</w:t>
      </w:r>
      <w:r>
        <w:rPr>
          <w:rtl/>
        </w:rPr>
        <w:t xml:space="preserve"> (יו"ד ת ל מבן המחבר) מדברי רש"י בסוגיין.</w:t>
      </w:r>
    </w:p>
  </w:footnote>
  <w:footnote w:id="4667">
    <w:p w14:paraId="220363F6" w14:textId="77777777" w:rsidR="00F64AED" w:rsidRDefault="00F64AED" w:rsidP="00F64AED">
      <w:pPr>
        <w:pStyle w:val="Footnote"/>
        <w:bidi/>
      </w:pPr>
      <w:r>
        <w:rPr>
          <w:rStyle w:val="ac"/>
          <w:rtl/>
        </w:rPr>
        <w:footnoteRef/>
      </w:r>
      <w:r>
        <w:rPr>
          <w:rtl/>
        </w:rPr>
        <w:t>ועפ"ז ביאר הא דאשה נאמנת שמת בעלה. אך הק' דבסוגיין לא איתחזק איסורא, ומנ"ל דמהני אף באתחזק איסורא. ועוד דן ע"פ דברי ה</w:t>
      </w:r>
      <w:r>
        <w:rPr>
          <w:b/>
          <w:bCs/>
          <w:rtl/>
        </w:rPr>
        <w:t xml:space="preserve">רי"ף </w:t>
      </w:r>
      <w:r>
        <w:rPr>
          <w:rtl/>
        </w:rPr>
        <w:t>(לעיל לט:) דאשתמודעינהו, דמשמע דגלוי מילתא אינו נאמן בנוגע. וע' מש"כ בזה שם].</w:t>
      </w:r>
    </w:p>
  </w:footnote>
  <w:footnote w:id="4668">
    <w:p w14:paraId="771E8837" w14:textId="77777777" w:rsidR="00F64AED" w:rsidRDefault="00F64AED" w:rsidP="00F64AED">
      <w:pPr>
        <w:pStyle w:val="Footnote"/>
        <w:bidi/>
      </w:pPr>
      <w:r>
        <w:rPr>
          <w:rStyle w:val="ac"/>
          <w:rtl/>
        </w:rPr>
        <w:footnoteRef/>
      </w:r>
      <w:r>
        <w:rPr>
          <w:rtl/>
        </w:rPr>
        <w:t>פ</w:t>
      </w:r>
      <w:r>
        <w:rPr>
          <w:b/>
          <w:bCs/>
          <w:rtl/>
        </w:rPr>
        <w:t>רש"י</w:t>
      </w:r>
      <w:r>
        <w:rPr>
          <w:rtl/>
        </w:rPr>
        <w:t xml:space="preserve"> דמעיקרא סבר 'עתה באתי', ואח"כ נתחדש לו דמרומז בתורה. וכ"כ רש"י (גיטין ס.).</w:t>
      </w:r>
    </w:p>
    <w:p w14:paraId="695C9A7E" w14:textId="77777777" w:rsidR="00F64AED" w:rsidRDefault="00F64AED" w:rsidP="00F64AED">
      <w:pPr>
        <w:pStyle w:val="Footnote"/>
        <w:bidi/>
      </w:pPr>
      <w:r>
        <w:rPr>
          <w:rtl/>
        </w:rPr>
        <w:tab/>
        <w:t>והגמ' (גיטין) מביאה שהתורה נקרית 'מגילה', ופ</w:t>
      </w:r>
      <w:r>
        <w:rPr>
          <w:b/>
          <w:bCs/>
          <w:rtl/>
        </w:rPr>
        <w:t>רש"י</w:t>
      </w:r>
      <w:r>
        <w:rPr>
          <w:rtl/>
        </w:rPr>
        <w:t xml:space="preserve"> דמתחילה נכתבה מגילת בראשית והדר מגילת נח והדר מגילת אברהם, והיינו דקאמר במגילת אברהם כתוב עלי.</w:t>
      </w:r>
    </w:p>
  </w:footnote>
  <w:footnote w:id="4669">
    <w:p w14:paraId="209FBF00" w14:textId="77777777" w:rsidR="00F64AED" w:rsidRDefault="00F64AED" w:rsidP="00F64AED">
      <w:pPr>
        <w:pStyle w:val="Footnote"/>
        <w:bidi/>
      </w:pPr>
      <w:r>
        <w:rPr>
          <w:rStyle w:val="ac"/>
          <w:rtl/>
        </w:rPr>
        <w:footnoteRef/>
      </w:r>
      <w:r>
        <w:rPr>
          <w:rtl/>
        </w:rPr>
        <w:t>ופ</w:t>
      </w:r>
      <w:r>
        <w:rPr>
          <w:b/>
          <w:bCs/>
          <w:rtl/>
        </w:rPr>
        <w:t>רש"י</w:t>
      </w:r>
      <w:r>
        <w:rPr>
          <w:rtl/>
        </w:rPr>
        <w:t xml:space="preserve"> (גיטין ס.) ואת שתי בנותיך הנמצאות, בזכות דוד שעתיד לצאת מרות המואביה, ונעמה העמונית אמו של רחבעם.</w:t>
      </w:r>
    </w:p>
  </w:footnote>
  <w:footnote w:id="4670">
    <w:p w14:paraId="2B6F13B4" w14:textId="77777777" w:rsidR="00F64AED" w:rsidRDefault="00F64AED" w:rsidP="00F64AED">
      <w:pPr>
        <w:pStyle w:val="Footnote"/>
        <w:bidi/>
      </w:pPr>
      <w:r>
        <w:rPr>
          <w:rStyle w:val="ac"/>
          <w:rtl/>
        </w:rPr>
        <w:footnoteRef/>
      </w:r>
      <w:r>
        <w:rPr>
          <w:rtl/>
        </w:rPr>
        <w:t>או דוקא באופן שצד הפסול הוה מחמת האב.</w:t>
      </w:r>
    </w:p>
  </w:footnote>
  <w:footnote w:id="4671">
    <w:p w14:paraId="5F53BCC7" w14:textId="77777777" w:rsidR="00F64AED" w:rsidRDefault="00F64AED" w:rsidP="00F64AED">
      <w:pPr>
        <w:pStyle w:val="Footnote"/>
        <w:bidi/>
      </w:pPr>
      <w:r>
        <w:rPr>
          <w:rStyle w:val="ac"/>
          <w:rtl/>
        </w:rPr>
        <w:footnoteRef/>
      </w:r>
      <w:r>
        <w:rPr>
          <w:rtl/>
        </w:rPr>
        <w:t>וה</w:t>
      </w:r>
      <w:r>
        <w:rPr>
          <w:b/>
          <w:bCs/>
          <w:rtl/>
        </w:rPr>
        <w:t>רא"ש</w:t>
      </w:r>
      <w:r>
        <w:rPr>
          <w:rtl/>
        </w:rPr>
        <w:t xml:space="preserve"> (לעיל שם) הק' על הרי"ף דליכא פירכא על הך ק"ו. [ולכאו' כוונת הבי"ש ליישב דמצאנו בזה פירכא].</w:t>
      </w:r>
    </w:p>
  </w:footnote>
  <w:footnote w:id="4672">
    <w:p w14:paraId="2A7DF6B6" w14:textId="77777777" w:rsidR="00F64AED" w:rsidRDefault="00F64AED" w:rsidP="00F64AED">
      <w:pPr>
        <w:pStyle w:val="Footnote"/>
        <w:bidi/>
      </w:pPr>
      <w:r>
        <w:rPr>
          <w:rStyle w:val="ac"/>
          <w:rtl/>
        </w:rPr>
        <w:footnoteRef/>
      </w:r>
      <w:r>
        <w:rPr>
          <w:rtl/>
        </w:rPr>
        <w:t>ועד"ז כת' ה</w:t>
      </w:r>
      <w:r>
        <w:rPr>
          <w:b/>
          <w:bCs/>
          <w:rtl/>
        </w:rPr>
        <w:t>באר היטב</w:t>
      </w:r>
      <w:r>
        <w:rPr>
          <w:rtl/>
        </w:rPr>
        <w:t xml:space="preserve"> (שם ה) [ליישב קו' הבי"ש] דעכו"ם ועבד יש לפסול מק"ו אחר, דאלמנה לכה"ג תפסי קידושין ובתה פסולה. ק"ו לעכו"ם ועבד דלא תפסי קידושין. עע"ש.</w:t>
      </w:r>
    </w:p>
  </w:footnote>
  <w:footnote w:id="4673">
    <w:p w14:paraId="3D6E647B" w14:textId="77777777" w:rsidR="00F64AED" w:rsidRDefault="00F64AED" w:rsidP="00F64AED">
      <w:pPr>
        <w:pStyle w:val="Footnote"/>
        <w:bidi/>
      </w:pPr>
      <w:r>
        <w:rPr>
          <w:rStyle w:val="ac"/>
          <w:rtl/>
        </w:rPr>
        <w:footnoteRef/>
      </w:r>
      <w:r>
        <w:rPr>
          <w:rtl/>
        </w:rPr>
        <w:t>ואפשר דהצד השווה הוה גילוי שלא נלמד מק"ו, וממילא נשאר באיסורה מקרא דלא דרשי' מצרי ולא מצרית. [ולכן לוקה].</w:t>
      </w:r>
    </w:p>
  </w:footnote>
  <w:footnote w:id="4674">
    <w:p w14:paraId="4F119DA5" w14:textId="77777777" w:rsidR="00F64AED" w:rsidRDefault="00F64AED" w:rsidP="00F64AED">
      <w:pPr>
        <w:pStyle w:val="Footnote"/>
        <w:bidi/>
      </w:pPr>
      <w:r>
        <w:rPr>
          <w:rStyle w:val="ac"/>
          <w:rtl/>
        </w:rPr>
        <w:footnoteRef/>
      </w:r>
      <w:r>
        <w:rPr>
          <w:rtl/>
        </w:rPr>
        <w:t>וה</w:t>
      </w:r>
      <w:r>
        <w:rPr>
          <w:b/>
          <w:bCs/>
          <w:rtl/>
        </w:rPr>
        <w:t>מהרש"ל</w:t>
      </w:r>
      <w:r>
        <w:rPr>
          <w:rtl/>
        </w:rPr>
        <w:t xml:space="preserve"> מחק מילים אלו. וביארו דכוונתו לפרש דברי רש"י ע"ד התוס' הרא"ש.</w:t>
      </w:r>
    </w:p>
  </w:footnote>
  <w:footnote w:id="4675">
    <w:p w14:paraId="71D9B069" w14:textId="77777777" w:rsidR="00F64AED" w:rsidRDefault="00F64AED" w:rsidP="00F64AED">
      <w:pPr>
        <w:pStyle w:val="Footnote"/>
        <w:bidi/>
      </w:pPr>
      <w:r>
        <w:rPr>
          <w:rStyle w:val="ac"/>
          <w:rtl/>
        </w:rPr>
        <w:footnoteRef/>
      </w:r>
      <w:r>
        <w:rPr>
          <w:rtl/>
        </w:rPr>
        <w:t>[ולדעת רש"י יל"פ דילפי' רק דאינו איסור עולם].</w:t>
      </w:r>
    </w:p>
  </w:footnote>
  <w:footnote w:id="4676">
    <w:p w14:paraId="47519472" w14:textId="77777777" w:rsidR="00F64AED" w:rsidRDefault="00F64AED" w:rsidP="00F64AED">
      <w:pPr>
        <w:pStyle w:val="Footnote"/>
        <w:bidi/>
      </w:pPr>
      <w:r>
        <w:rPr>
          <w:rStyle w:val="ac"/>
          <w:rtl/>
        </w:rPr>
        <w:footnoteRef/>
      </w:r>
      <w:r>
        <w:rPr>
          <w:rtl/>
        </w:rPr>
        <w:t>וכ"כ ה</w:t>
      </w:r>
      <w:r>
        <w:rPr>
          <w:b/>
          <w:bCs/>
          <w:rtl/>
        </w:rPr>
        <w:t>רשב"א</w:t>
      </w:r>
      <w:r>
        <w:rPr>
          <w:rtl/>
        </w:rPr>
        <w:t xml:space="preserve"> ו</w:t>
      </w:r>
      <w:r>
        <w:rPr>
          <w:b/>
          <w:bCs/>
          <w:rtl/>
        </w:rPr>
        <w:t>ריטב"א</w:t>
      </w:r>
      <w:r>
        <w:rPr>
          <w:rtl/>
        </w:rPr>
        <w:t xml:space="preserve"> (לעיל ע.) לגבי פצוע דכא, דלר"א עשאה זונה [אף דנשאה בהיתר].</w:t>
      </w:r>
    </w:p>
  </w:footnote>
  <w:footnote w:id="4677">
    <w:p w14:paraId="1FB8AD43" w14:textId="77777777" w:rsidR="00F64AED" w:rsidRDefault="00F64AED" w:rsidP="00F64AED">
      <w:pPr>
        <w:pStyle w:val="Footnote"/>
        <w:bidi/>
      </w:pPr>
      <w:r>
        <w:rPr>
          <w:rStyle w:val="ac"/>
          <w:rtl/>
        </w:rPr>
        <w:footnoteRef/>
      </w:r>
      <w:r>
        <w:rPr>
          <w:rtl/>
        </w:rPr>
        <w:t>וב</w:t>
      </w:r>
      <w:r>
        <w:rPr>
          <w:b/>
          <w:bCs/>
          <w:rtl/>
        </w:rPr>
        <w:t>תוס' מהר"ם ור"פ</w:t>
      </w:r>
      <w:r>
        <w:rPr>
          <w:rtl/>
        </w:rPr>
        <w:t xml:space="preserve"> כתב דילפי' כן ד'אלה' הפסיק הענין, והגמ' (לעיל ס.) קאי בקשיא [ולא בתיובתא] אמאי הפסיק.</w:t>
      </w:r>
    </w:p>
  </w:footnote>
  <w:footnote w:id="4678">
    <w:p w14:paraId="0ADBA0A2" w14:textId="77777777" w:rsidR="00F64AED" w:rsidRDefault="00F64AED" w:rsidP="00F64AED">
      <w:pPr>
        <w:pStyle w:val="Footnote"/>
        <w:bidi/>
      </w:pPr>
      <w:r>
        <w:rPr>
          <w:rStyle w:val="ac"/>
          <w:rtl/>
        </w:rPr>
        <w:footnoteRef/>
      </w:r>
      <w:r>
        <w:rPr>
          <w:rtl/>
        </w:rPr>
        <w:t>וה</w:t>
      </w:r>
      <w:r>
        <w:rPr>
          <w:b/>
          <w:bCs/>
          <w:rtl/>
        </w:rPr>
        <w:t>משנ"ל</w:t>
      </w:r>
      <w:r>
        <w:rPr>
          <w:rtl/>
        </w:rPr>
        <w:t xml:space="preserve"> הקשה [לריב"ם] דהו"ל לגמ' (כתובות ל וקידושין סח.) דיש איסור עשה בחלל דחייבי עשה. ואמאי נדחקו בבעולה לכה"ג, דהוה אינו שווה בכל. ותי' דהגמ' (שם) לר' עקיבא דאין קידושין תופסין בחייבי לאוין, ולר"ע ודאי הוה חלל גמור. עי"ש.</w:t>
      </w:r>
    </w:p>
  </w:footnote>
  <w:footnote w:id="4679">
    <w:p w14:paraId="26AE30A8" w14:textId="77777777" w:rsidR="00F64AED" w:rsidRDefault="00F64AED" w:rsidP="00F64AED">
      <w:pPr>
        <w:pStyle w:val="Footnote"/>
        <w:bidi/>
      </w:pPr>
      <w:r>
        <w:rPr>
          <w:rStyle w:val="ac"/>
          <w:rtl/>
        </w:rPr>
        <w:footnoteRef/>
      </w:r>
      <w:r>
        <w:rPr>
          <w:rtl/>
        </w:rPr>
        <w:t>וכן לשון התוס' רא"ש דלא חמירא מאמה.</w:t>
      </w:r>
    </w:p>
  </w:footnote>
  <w:footnote w:id="4680">
    <w:p w14:paraId="038D73A7" w14:textId="77777777" w:rsidR="00F64AED" w:rsidRDefault="00F64AED" w:rsidP="00F64AED">
      <w:pPr>
        <w:pStyle w:val="Footnote"/>
        <w:bidi/>
      </w:pPr>
      <w:r>
        <w:rPr>
          <w:rStyle w:val="ac"/>
          <w:rtl/>
        </w:rPr>
        <w:footnoteRef/>
      </w:r>
      <w:r>
        <w:rPr>
          <w:rtl/>
        </w:rPr>
        <w:t>היינו מצרי ואדומי [לדעת ה</w:t>
      </w:r>
      <w:r>
        <w:rPr>
          <w:b/>
          <w:bCs/>
          <w:rtl/>
        </w:rPr>
        <w:t>רמב"ם</w:t>
      </w:r>
      <w:r>
        <w:rPr>
          <w:rtl/>
        </w:rPr>
        <w:t xml:space="preserve"> (שם יח א) דהוה איסור זונה. אבל לדעת </w:t>
      </w:r>
      <w:r>
        <w:rPr>
          <w:b/>
          <w:bCs/>
          <w:rtl/>
        </w:rPr>
        <w:t>תוס</w:t>
      </w:r>
      <w:r>
        <w:rPr>
          <w:rtl/>
        </w:rPr>
        <w:t>' (טו:) נבעלה לפסולי קהל נחשב חללה. ואפשר דמ"מ יש להסתפק דבפסול קהל הפסול מחמת שהוא 'זר', ולא מחמת האיסור]. וכן לר' מתיא בן חרש (סא:) שבעלה בא עליה בדרך [לצד דנחשב עשה].</w:t>
      </w:r>
    </w:p>
  </w:footnote>
  <w:footnote w:id="4681">
    <w:p w14:paraId="649A803E" w14:textId="77777777" w:rsidR="00F64AED" w:rsidRDefault="00F64AED" w:rsidP="00F64AED">
      <w:pPr>
        <w:pStyle w:val="Footnote"/>
        <w:bidi/>
      </w:pPr>
      <w:r>
        <w:rPr>
          <w:rStyle w:val="ac"/>
          <w:rtl/>
        </w:rPr>
        <w:footnoteRef/>
      </w:r>
      <w:r>
        <w:rPr>
          <w:rtl/>
        </w:rPr>
        <w:t>וה</w:t>
      </w:r>
      <w:r>
        <w:rPr>
          <w:b/>
          <w:bCs/>
          <w:rtl/>
        </w:rPr>
        <w:t>אחרונים</w:t>
      </w:r>
      <w:r>
        <w:rPr>
          <w:rtl/>
        </w:rPr>
        <w:t xml:space="preserve"> האריכו בפירוש כלל זה, ע' </w:t>
      </w:r>
      <w:r>
        <w:rPr>
          <w:b/>
          <w:bCs/>
          <w:rtl/>
        </w:rPr>
        <w:t>חוות יאיר</w:t>
      </w:r>
      <w:r>
        <w:rPr>
          <w:rtl/>
        </w:rPr>
        <w:t xml:space="preserve"> (ס"ס קצב). ויש אחרונים שפי' דל"ש מחלוקת בעיקר ההלכה, האם נתקבל בזה הלממ"ס. אבל בפרטי הדין שייך מח'. [והכא משמע דהוה מח' בעיקר ההלכה]. וה</w:t>
      </w:r>
      <w:r>
        <w:rPr>
          <w:b/>
          <w:bCs/>
          <w:rtl/>
        </w:rPr>
        <w:t>גרי"ז</w:t>
      </w:r>
      <w:r>
        <w:rPr>
          <w:rtl/>
        </w:rPr>
        <w:t xml:space="preserve"> (יומא עמ' כו:) כתב דעצם ההלכה נשתכחה בימי אבל של משה [כדאמרי' בתמורה טז], אלא שבי"ד של יעב"ץ החזירום מפלפולו.</w:t>
      </w:r>
    </w:p>
  </w:footnote>
  <w:footnote w:id="4682">
    <w:p w14:paraId="1636BBAB" w14:textId="77777777" w:rsidR="00F64AED" w:rsidRDefault="00F64AED" w:rsidP="00F64AED">
      <w:pPr>
        <w:pStyle w:val="Footnote"/>
        <w:bidi/>
      </w:pPr>
      <w:r>
        <w:rPr>
          <w:rStyle w:val="ac"/>
          <w:rtl/>
        </w:rPr>
        <w:footnoteRef/>
      </w:r>
      <w:r>
        <w:rPr>
          <w:rtl/>
        </w:rPr>
        <w:t>דודאי כל פלוגתות שבש"ס תלי בהלכה למשה מסיני, שכל אחד קבל שיטתו מרבותיו בשם הלכה למשה מסיני.</w:t>
      </w:r>
    </w:p>
  </w:footnote>
  <w:footnote w:id="4683">
    <w:p w14:paraId="4CCA4D3C" w14:textId="77777777" w:rsidR="00F64AED" w:rsidRDefault="00F64AED" w:rsidP="00F64AED">
      <w:pPr>
        <w:pStyle w:val="Footnote"/>
        <w:bidi/>
      </w:pPr>
      <w:r>
        <w:rPr>
          <w:rStyle w:val="ac"/>
          <w:rtl/>
        </w:rPr>
        <w:footnoteRef/>
      </w:r>
      <w:r>
        <w:rPr>
          <w:rtl/>
        </w:rPr>
        <w:t>אך שוב דן די"ל דחכמים דמתני' קיבלו דברי ר"ש, דאמרו אם הלכה נקבל. ודוקא ר' יהודה (דברייתא בסמוך) פליג. [דהיה לו קבלה הפכית].</w:t>
      </w:r>
    </w:p>
  </w:footnote>
  <w:footnote w:id="4684">
    <w:p w14:paraId="0801E6E5" w14:textId="77777777" w:rsidR="00F64AED" w:rsidRDefault="00F64AED" w:rsidP="00F64AED">
      <w:pPr>
        <w:pStyle w:val="Footnote"/>
        <w:bidi/>
      </w:pPr>
      <w:r>
        <w:rPr>
          <w:rStyle w:val="ac"/>
          <w:rtl/>
        </w:rPr>
        <w:footnoteRef/>
      </w:r>
      <w:r>
        <w:rPr>
          <w:rtl/>
        </w:rPr>
        <w:t>אבל ה</w:t>
      </w:r>
      <w:r>
        <w:rPr>
          <w:b/>
          <w:bCs/>
          <w:rtl/>
        </w:rPr>
        <w:t>חוו"י</w:t>
      </w:r>
      <w:r>
        <w:rPr>
          <w:rtl/>
        </w:rPr>
        <w:t xml:space="preserve"> (שם אות נד) כתב דמבואר (בע"א) דקבלו משמואל, א"כ אינו הללמ"ס, וכמה דברים זכרו בש"ס בשם חגי זכריה ומלאכי ואינם הל"מ. והביא דכעי"ז (לעיל טז.) דנקטו הלשון הללמ"ס אף דהוה מדרבנן.</w:t>
      </w:r>
    </w:p>
    <w:p w14:paraId="4C03887A" w14:textId="77777777" w:rsidR="00F64AED" w:rsidRDefault="00F64AED" w:rsidP="00F64AED">
      <w:pPr>
        <w:pStyle w:val="Footnote"/>
        <w:bidi/>
      </w:pPr>
      <w:r>
        <w:rPr>
          <w:rtl/>
        </w:rPr>
        <w:tab/>
        <w:t>וה</w:t>
      </w:r>
      <w:r>
        <w:rPr>
          <w:b/>
          <w:bCs/>
          <w:rtl/>
        </w:rPr>
        <w:t>חוו"י</w:t>
      </w:r>
      <w:r>
        <w:rPr>
          <w:rtl/>
        </w:rPr>
        <w:t xml:space="preserve"> תמה לדעת הרמב"ם שעמוני ולא עמונית הוה הלכה למשה, ומבואר דהיה נשכח משאול ובי"ד וכל הדור ההוא, ונחלקו בו מצד הדקדוק והסברא, עד שחגר יתרא הישראלי חרבו ואמר קבלתו. ושוב דחה די"ל דאותו מחלוקת נעשה מדואג וסייעתו מתוך השנאה שהיו להם על דוד. [ומחמת שנאה שפיר שייך מחלוקת].</w:t>
      </w:r>
    </w:p>
  </w:footnote>
  <w:footnote w:id="4685">
    <w:p w14:paraId="3E978D62" w14:textId="77777777" w:rsidR="00F64AED" w:rsidRDefault="00F64AED" w:rsidP="00F64AED">
      <w:pPr>
        <w:pStyle w:val="Footnote"/>
        <w:bidi/>
      </w:pPr>
      <w:r>
        <w:rPr>
          <w:rStyle w:val="ac"/>
          <w:rtl/>
        </w:rPr>
        <w:footnoteRef/>
      </w:r>
      <w:r>
        <w:rPr>
          <w:rtl/>
        </w:rPr>
        <w:t>אבל בתוס' (שם) משמע דאינו מוכרח, ויתכן דנקבע בתר אמו, ואף דהאם מותרת.</w:t>
      </w:r>
    </w:p>
  </w:footnote>
  <w:footnote w:id="4686">
    <w:p w14:paraId="5717B301" w14:textId="77777777" w:rsidR="00F64AED" w:rsidRDefault="00F64AED" w:rsidP="00F64AED">
      <w:pPr>
        <w:pStyle w:val="Footnote"/>
        <w:bidi/>
      </w:pPr>
      <w:r>
        <w:rPr>
          <w:rStyle w:val="ac"/>
          <w:rtl/>
        </w:rPr>
        <w:footnoteRef/>
      </w:r>
      <w:r>
        <w:rPr>
          <w:rtl/>
        </w:rPr>
        <w:t>דאל"כ יוכל ליטהר ע"י עמונית שניה.</w:t>
      </w:r>
    </w:p>
  </w:footnote>
  <w:footnote w:id="4687">
    <w:p w14:paraId="433B155D" w14:textId="77777777" w:rsidR="00F64AED" w:rsidRDefault="00F64AED" w:rsidP="00F64AED">
      <w:pPr>
        <w:pStyle w:val="Footnote"/>
        <w:bidi/>
      </w:pPr>
      <w:r>
        <w:rPr>
          <w:rStyle w:val="ac"/>
          <w:rtl/>
        </w:rPr>
        <w:footnoteRef/>
      </w:r>
      <w:r>
        <w:rPr>
          <w:rtl/>
        </w:rPr>
        <w:t>לר' יהודה דאף מצרית אסורה עד דור שלישי.</w:t>
      </w:r>
    </w:p>
  </w:footnote>
  <w:footnote w:id="4688">
    <w:p w14:paraId="4CAF6F1F" w14:textId="77777777" w:rsidR="00F64AED" w:rsidRDefault="00F64AED" w:rsidP="00F64AED">
      <w:pPr>
        <w:pStyle w:val="Footnote"/>
        <w:bidi/>
      </w:pPr>
      <w:r>
        <w:rPr>
          <w:rStyle w:val="ac"/>
          <w:rtl/>
        </w:rPr>
        <w:footnoteRef/>
      </w:r>
      <w:r>
        <w:rPr>
          <w:rtl/>
        </w:rPr>
        <w:t>אלא דלא מהני להכשיר בניו לקהל.</w:t>
      </w:r>
    </w:p>
  </w:footnote>
  <w:footnote w:id="4689">
    <w:p w14:paraId="0146C60B" w14:textId="77777777" w:rsidR="00F64AED" w:rsidRDefault="00F64AED" w:rsidP="00F64AED">
      <w:pPr>
        <w:pStyle w:val="Footnote"/>
        <w:bidi/>
      </w:pPr>
      <w:r>
        <w:rPr>
          <w:rStyle w:val="ac"/>
          <w:rtl/>
        </w:rPr>
        <w:footnoteRef/>
      </w:r>
      <w:r>
        <w:rPr>
          <w:rtl/>
        </w:rPr>
        <w:t>אבל בפשוטו משמע דמשחרר, ואח"כ נושא [ומשמע דאף דאסור בגיורת, מותר בשפחה. וצ"ב].</w:t>
      </w:r>
    </w:p>
  </w:footnote>
  <w:footnote w:id="4690">
    <w:p w14:paraId="132835F1" w14:textId="77777777" w:rsidR="00F64AED" w:rsidRDefault="00F64AED" w:rsidP="00F64AED">
      <w:pPr>
        <w:pStyle w:val="Footnote"/>
        <w:bidi/>
      </w:pPr>
      <w:r>
        <w:rPr>
          <w:rStyle w:val="ac"/>
          <w:rtl/>
        </w:rPr>
        <w:footnoteRef/>
      </w:r>
      <w:r>
        <w:rPr>
          <w:rtl/>
        </w:rPr>
        <w:t>וה</w:t>
      </w:r>
      <w:r>
        <w:rPr>
          <w:b/>
          <w:bCs/>
          <w:rtl/>
        </w:rPr>
        <w:t xml:space="preserve">או"ש </w:t>
      </w:r>
      <w:r>
        <w:rPr>
          <w:rtl/>
        </w:rPr>
        <w:t>(איסו"ב יב, וכן עצי ארזים ד ב) הביא דדעת הבבלי דאינו עולה לדורות, דאל"כ משכחת לה לר' יהודה מצרי שלישי בעבדים [וכקו' הרשב"א].</w:t>
      </w:r>
    </w:p>
  </w:footnote>
  <w:footnote w:id="4691">
    <w:p w14:paraId="08AA1CE5" w14:textId="77777777" w:rsidR="00F64AED" w:rsidRDefault="00F64AED" w:rsidP="00F64AED">
      <w:pPr>
        <w:pStyle w:val="Footnote"/>
        <w:bidi/>
      </w:pPr>
      <w:r>
        <w:rPr>
          <w:rStyle w:val="ac"/>
          <w:rtl/>
        </w:rPr>
        <w:footnoteRef/>
      </w:r>
      <w:r>
        <w:rPr>
          <w:rtl/>
        </w:rPr>
        <w:t>ולכשיתגייר הוה מצרי ראשון [כיון דהוא עכו"ם], ולא אמרי' דדיו כאביו.</w:t>
      </w:r>
    </w:p>
  </w:footnote>
  <w:footnote w:id="4692">
    <w:p w14:paraId="012340F8" w14:textId="77777777" w:rsidR="00F64AED" w:rsidRDefault="00F64AED" w:rsidP="00F64AED">
      <w:pPr>
        <w:pStyle w:val="Footnote"/>
        <w:bidi/>
      </w:pPr>
      <w:r>
        <w:rPr>
          <w:rStyle w:val="ac"/>
          <w:rtl/>
        </w:rPr>
        <w:footnoteRef/>
      </w:r>
      <w:r>
        <w:rPr>
          <w:rtl/>
        </w:rPr>
        <w:t>וה</w:t>
      </w:r>
      <w:r>
        <w:rPr>
          <w:b/>
          <w:bCs/>
          <w:rtl/>
        </w:rPr>
        <w:t>אחרונים</w:t>
      </w:r>
      <w:r>
        <w:rPr>
          <w:rtl/>
        </w:rPr>
        <w:t xml:space="preserve"> (ע' אמר"מ כו) הביאו דכעי"ז מצאנו דעת ר' אליעזר דממזר שנשא שפחה הוה עבד ממזר. [וה</w:t>
      </w:r>
      <w:r>
        <w:rPr>
          <w:b/>
          <w:bCs/>
          <w:rtl/>
        </w:rPr>
        <w:t>אחרונים</w:t>
      </w:r>
      <w:r>
        <w:rPr>
          <w:rtl/>
        </w:rPr>
        <w:t xml:space="preserve"> דנו דמסתבר דאף לר"א אין יחס, ומ"מ יש פסול ממזרות. ואכ"מ].</w:t>
      </w:r>
    </w:p>
  </w:footnote>
  <w:footnote w:id="4693">
    <w:p w14:paraId="408015AA" w14:textId="77777777" w:rsidR="00F64AED" w:rsidRDefault="00F64AED" w:rsidP="00F64AED">
      <w:pPr>
        <w:pStyle w:val="Footnote"/>
        <w:bidi/>
      </w:pPr>
      <w:r>
        <w:rPr>
          <w:rStyle w:val="ac"/>
          <w:rtl/>
        </w:rPr>
        <w:footnoteRef/>
      </w:r>
      <w:r>
        <w:rPr>
          <w:rtl/>
        </w:rPr>
        <w:t>תוס' לשיטתו דנתינים דאורי', דלרש"י אסורין מדרבנן, ולר' יהודה מדאורייתא הוה קהל, ואסורה במצרי.</w:t>
      </w:r>
    </w:p>
  </w:footnote>
  <w:footnote w:id="4694">
    <w:p w14:paraId="0CCBF95C" w14:textId="77777777" w:rsidR="00F64AED" w:rsidRDefault="00F64AED" w:rsidP="00F64AED">
      <w:pPr>
        <w:pStyle w:val="Footnote"/>
        <w:bidi/>
      </w:pPr>
      <w:r>
        <w:rPr>
          <w:rStyle w:val="ac"/>
          <w:rtl/>
        </w:rPr>
        <w:footnoteRef/>
      </w:r>
      <w:r>
        <w:rPr>
          <w:rtl/>
        </w:rPr>
        <w:t>לרבה בר בר חנה אר"י שדינן בתר דידיה, ותוס' תי' דקאי כר' דימי אר"י דבתר דידה.</w:t>
      </w:r>
    </w:p>
  </w:footnote>
  <w:footnote w:id="4695">
    <w:p w14:paraId="0829F68C" w14:textId="77777777" w:rsidR="00F64AED" w:rsidRDefault="00F64AED" w:rsidP="00F64AED">
      <w:pPr>
        <w:pStyle w:val="Footnote"/>
        <w:bidi/>
      </w:pPr>
      <w:r>
        <w:rPr>
          <w:rStyle w:val="ac"/>
          <w:rtl/>
        </w:rPr>
        <w:footnoteRef/>
      </w:r>
      <w:r>
        <w:rPr>
          <w:rtl/>
        </w:rPr>
        <w:t>אלא תלי במח' בסמוך אי שדינן בתר דידיה או בתר דידה.</w:t>
      </w:r>
    </w:p>
  </w:footnote>
  <w:footnote w:id="4696">
    <w:p w14:paraId="4CE40E35" w14:textId="77777777" w:rsidR="00F64AED" w:rsidRDefault="00F64AED" w:rsidP="00F64AED">
      <w:pPr>
        <w:pStyle w:val="Footnote"/>
        <w:bidi/>
      </w:pPr>
      <w:r>
        <w:rPr>
          <w:rStyle w:val="ac"/>
          <w:rtl/>
        </w:rPr>
        <w:footnoteRef/>
      </w:r>
      <w:r>
        <w:rPr>
          <w:rtl/>
        </w:rPr>
        <w:t xml:space="preserve">אמנם </w:t>
      </w:r>
      <w:r>
        <w:rPr>
          <w:b/>
          <w:bCs/>
          <w:rtl/>
        </w:rPr>
        <w:t>ר"א מן ההר</w:t>
      </w:r>
      <w:r>
        <w:rPr>
          <w:rtl/>
        </w:rPr>
        <w:t xml:space="preserve"> כתב דר' דימי פליג (ע' בסמוך. וכ"מ ב</w:t>
      </w:r>
      <w:r>
        <w:rPr>
          <w:b/>
          <w:bCs/>
          <w:rtl/>
        </w:rPr>
        <w:t>רש"י</w:t>
      </w:r>
      <w:r>
        <w:rPr>
          <w:rtl/>
        </w:rPr>
        <w:t xml:space="preserve"> לעיל עו:) וא"כ י"ל דלא ס"ל בתר הפגום.</w:t>
      </w:r>
    </w:p>
  </w:footnote>
  <w:footnote w:id="4697">
    <w:p w14:paraId="6401EDAE" w14:textId="77777777" w:rsidR="00F64AED" w:rsidRDefault="00F64AED" w:rsidP="00F64AED">
      <w:pPr>
        <w:pStyle w:val="Footnote"/>
        <w:bidi/>
      </w:pPr>
      <w:r>
        <w:rPr>
          <w:rStyle w:val="ac"/>
          <w:rtl/>
        </w:rPr>
        <w:footnoteRef/>
      </w:r>
      <w:r>
        <w:rPr>
          <w:rtl/>
        </w:rPr>
        <w:t>אך ה</w:t>
      </w:r>
      <w:r>
        <w:rPr>
          <w:b/>
          <w:bCs/>
          <w:rtl/>
        </w:rPr>
        <w:t xml:space="preserve">מנח"ח </w:t>
      </w:r>
      <w:r>
        <w:rPr>
          <w:rtl/>
        </w:rPr>
        <w:t>(תקסג) העיר דלגבי מצרי הרמב"ם לא הזכיר דבעי קידושין, והקשה דלא גרע מחייבי לאוין.</w:t>
      </w:r>
    </w:p>
    <w:p w14:paraId="390811AA" w14:textId="77777777" w:rsidR="00F64AED" w:rsidRDefault="00F64AED" w:rsidP="00F64AED">
      <w:pPr>
        <w:pStyle w:val="Footnote"/>
        <w:bidi/>
      </w:pPr>
      <w:r>
        <w:rPr>
          <w:rtl/>
        </w:rPr>
        <w:tab/>
        <w:t>וה</w:t>
      </w:r>
      <w:r>
        <w:rPr>
          <w:b/>
          <w:bCs/>
          <w:rtl/>
        </w:rPr>
        <w:t>מקנה</w:t>
      </w:r>
      <w:r>
        <w:rPr>
          <w:rtl/>
        </w:rPr>
        <w:t xml:space="preserve"> (קידושין נא) נקט דבכל חייבי לאוין יש איסור דאורייתא אלא דאינו לוקה, ולפ"ז ניחא דאף מצרית יש איסור דאורייתא. [אבל כמה אחרונים הוכיחו דליכא איסור דאורייתא כלל בלא קידושין].</w:t>
      </w:r>
    </w:p>
  </w:footnote>
  <w:footnote w:id="4698">
    <w:p w14:paraId="059A7E5A" w14:textId="77777777" w:rsidR="00F64AED" w:rsidRDefault="00F64AED" w:rsidP="00F64AED">
      <w:pPr>
        <w:pStyle w:val="Footnote"/>
        <w:bidi/>
      </w:pPr>
      <w:r>
        <w:rPr>
          <w:rStyle w:val="ac"/>
          <w:rtl/>
        </w:rPr>
        <w:footnoteRef/>
      </w:r>
      <w:r>
        <w:rPr>
          <w:rtl/>
        </w:rPr>
        <w:t>אף אי ליכא איסור דאורייתא.</w:t>
      </w:r>
    </w:p>
  </w:footnote>
  <w:footnote w:id="4699">
    <w:p w14:paraId="12EE0323" w14:textId="77777777" w:rsidR="00F64AED" w:rsidRDefault="00F64AED" w:rsidP="00F64AED">
      <w:pPr>
        <w:pStyle w:val="Footnote"/>
        <w:bidi/>
      </w:pPr>
      <w:r>
        <w:rPr>
          <w:rStyle w:val="ac"/>
          <w:rtl/>
        </w:rPr>
        <w:footnoteRef/>
      </w:r>
      <w:r>
        <w:rPr>
          <w:rtl/>
        </w:rPr>
        <w:t>[ועי"ש דנח' הראשונים בדעת הרמב"ם בזה].</w:t>
      </w:r>
    </w:p>
  </w:footnote>
  <w:footnote w:id="4700">
    <w:p w14:paraId="4FFB1148" w14:textId="77777777" w:rsidR="00F64AED" w:rsidRDefault="00F64AED" w:rsidP="00F64AED">
      <w:pPr>
        <w:pStyle w:val="Footnote"/>
        <w:bidi/>
      </w:pPr>
      <w:r>
        <w:rPr>
          <w:rStyle w:val="ac"/>
          <w:rtl/>
        </w:rPr>
        <w:footnoteRef/>
      </w:r>
      <w:r>
        <w:rPr>
          <w:rtl/>
        </w:rPr>
        <w:t>דע"כ הכתוב אסר אף דלא שייך קידושין ובהכי חייב רחמנא. ועוד יש שפי' דבמקום דל"ש קידושין נחשב 'חתנות' אף בלא קידושין.</w:t>
      </w:r>
    </w:p>
    <w:p w14:paraId="6DD2E081" w14:textId="77777777" w:rsidR="00F64AED" w:rsidRDefault="00F64AED" w:rsidP="00F64AED">
      <w:pPr>
        <w:pStyle w:val="Footnote"/>
        <w:bidi/>
      </w:pPr>
      <w:r>
        <w:rPr>
          <w:rtl/>
        </w:rPr>
        <w:tab/>
        <w:t>וה</w:t>
      </w:r>
      <w:r>
        <w:rPr>
          <w:b/>
          <w:bCs/>
          <w:rtl/>
        </w:rPr>
        <w:t>מנח"ח</w:t>
      </w:r>
      <w:r>
        <w:rPr>
          <w:rtl/>
        </w:rPr>
        <w:t xml:space="preserve"> (תקס ח) חקר הבא על אחותו ממזרת, האם לוקה על איסור ממזרות בלא קידושין. דאיסור ממזרת בעלמא קי"ל דתפסי קידושין, אלא דבאשה זו לא תפסי מחמת ערות אחותו.</w:t>
      </w:r>
    </w:p>
  </w:footnote>
  <w:footnote w:id="4701">
    <w:p w14:paraId="4DFB9D8A" w14:textId="77777777" w:rsidR="00F64AED" w:rsidRDefault="00F64AED" w:rsidP="00F64AED">
      <w:pPr>
        <w:pStyle w:val="Footnote"/>
        <w:bidi/>
      </w:pPr>
      <w:r>
        <w:rPr>
          <w:rStyle w:val="ac"/>
          <w:rtl/>
        </w:rPr>
        <w:footnoteRef/>
      </w:r>
      <w:r>
        <w:rPr>
          <w:rtl/>
        </w:rPr>
        <w:t>ועוה"ק דמשכח"ל שתוקי כה"ג [ספק בן ט' לעכו"ם וספק בן ז'].</w:t>
      </w:r>
    </w:p>
  </w:footnote>
  <w:footnote w:id="4702">
    <w:p w14:paraId="48D78788" w14:textId="77777777" w:rsidR="00F64AED" w:rsidRDefault="00F64AED" w:rsidP="00F64AED">
      <w:pPr>
        <w:pStyle w:val="Footnote"/>
        <w:bidi/>
      </w:pPr>
      <w:r>
        <w:rPr>
          <w:rStyle w:val="ac"/>
          <w:rtl/>
        </w:rPr>
        <w:footnoteRef/>
      </w:r>
      <w:r>
        <w:rPr>
          <w:rtl/>
        </w:rPr>
        <w:t>ויש שתי' דקו' הגמ' אעיקר ממזר דכתיב בקרא באשת אב [או שומרת יבם של אביו], דהוה דאי. [אלא דילפי' מיניה לעכו"ם].</w:t>
      </w:r>
    </w:p>
  </w:footnote>
  <w:footnote w:id="4703">
    <w:p w14:paraId="0F77426D" w14:textId="77777777" w:rsidR="00F64AED" w:rsidRDefault="00F64AED" w:rsidP="00F64AED">
      <w:pPr>
        <w:pStyle w:val="Footnote"/>
        <w:bidi/>
      </w:pPr>
      <w:r>
        <w:rPr>
          <w:rStyle w:val="ac"/>
          <w:rtl/>
        </w:rPr>
        <w:footnoteRef/>
      </w:r>
      <w:r>
        <w:rPr>
          <w:rtl/>
        </w:rPr>
        <w:t>וא"כ תלי באב, המעוברת ממצרי, אף אם היא אינה מצרית.</w:t>
      </w:r>
    </w:p>
    <w:p w14:paraId="6D3C1727" w14:textId="77777777" w:rsidR="00F64AED" w:rsidRDefault="00F64AED" w:rsidP="00F64AED">
      <w:pPr>
        <w:pStyle w:val="Footnote"/>
        <w:bidi/>
      </w:pPr>
      <w:r>
        <w:rPr>
          <w:rtl/>
        </w:rPr>
        <w:tab/>
        <w:t>וה</w:t>
      </w:r>
      <w:r>
        <w:rPr>
          <w:b/>
          <w:bCs/>
          <w:rtl/>
        </w:rPr>
        <w:t>מנח"ח</w:t>
      </w:r>
      <w:r>
        <w:rPr>
          <w:rtl/>
        </w:rPr>
        <w:t xml:space="preserve"> כתב עוד דמי לא עסקינן דנתעברה בזנות, וא"כ ניזל בתר רוב העולם דאינם מצרים. [ודן האם חיישינן שמא אזלה לגביה, עכ"פ מדרבנן. ויל"ד דתליא ברוב בני העיר, ולא רוב העולם, ואכ"מ].</w:t>
      </w:r>
    </w:p>
  </w:footnote>
  <w:footnote w:id="4704">
    <w:p w14:paraId="35511EEA" w14:textId="77777777" w:rsidR="00F64AED" w:rsidRDefault="00F64AED" w:rsidP="00F64AED">
      <w:pPr>
        <w:pStyle w:val="Footnote"/>
        <w:bidi/>
      </w:pPr>
      <w:r>
        <w:rPr>
          <w:rStyle w:val="ac"/>
          <w:rtl/>
        </w:rPr>
        <w:footnoteRef/>
      </w:r>
      <w:r>
        <w:rPr>
          <w:rtl/>
        </w:rPr>
        <w:t>אך הביא דה</w:t>
      </w:r>
      <w:r>
        <w:rPr>
          <w:b/>
          <w:bCs/>
          <w:rtl/>
        </w:rPr>
        <w:t>חינוך</w:t>
      </w:r>
      <w:r>
        <w:rPr>
          <w:rtl/>
        </w:rPr>
        <w:t xml:space="preserve"> (שם בהמשך דבריו) כת' מצרי שנשא מצרית, ונתגיירו בעודה מעוברת, בנה שני. ומשמע דוקא דתרוייהו מצרים.  </w:t>
      </w:r>
    </w:p>
  </w:footnote>
  <w:footnote w:id="4705">
    <w:p w14:paraId="041BD8A5" w14:textId="77777777" w:rsidR="00F64AED" w:rsidRDefault="00F64AED" w:rsidP="00F64AED">
      <w:pPr>
        <w:pStyle w:val="Footnote"/>
        <w:bidi/>
      </w:pPr>
      <w:r>
        <w:rPr>
          <w:rStyle w:val="ac"/>
          <w:rtl/>
        </w:rPr>
        <w:footnoteRef/>
      </w:r>
      <w:r>
        <w:rPr>
          <w:rtl/>
        </w:rPr>
        <w:t>והמנח"ח לא פי' האם כוונתו אף למ"ד עובר לאו ירך אמו, או דקאי למ"ד ירך אמו. [וע' רש"ש סז. דכתב עיקר הסברא לגבי כהונה].</w:t>
      </w:r>
    </w:p>
  </w:footnote>
  <w:footnote w:id="4706">
    <w:p w14:paraId="3B52D90E" w14:textId="77777777" w:rsidR="00F64AED" w:rsidRDefault="00F64AED" w:rsidP="00F64AED">
      <w:pPr>
        <w:pStyle w:val="Footnote"/>
        <w:bidi/>
      </w:pPr>
      <w:r>
        <w:rPr>
          <w:rStyle w:val="ac"/>
          <w:rtl/>
        </w:rPr>
        <w:footnoteRef/>
      </w:r>
      <w:r>
        <w:rPr>
          <w:rtl/>
        </w:rPr>
        <w:t>וה</w:t>
      </w:r>
      <w:r>
        <w:rPr>
          <w:b/>
          <w:bCs/>
          <w:rtl/>
        </w:rPr>
        <w:t>מנח"ח</w:t>
      </w:r>
      <w:r>
        <w:rPr>
          <w:rtl/>
        </w:rPr>
        <w:t xml:space="preserve"> כתב כן לגבי מצרית, ויל"ד עמונית מעוברת שנתגיירה, האם הבן עמוני, או דכיון דהיא מותרת, אף הוא לא גרע. [ונח' בזה הקובה"ע וחי' ר' שמואל ע' בסמוך].</w:t>
      </w:r>
    </w:p>
  </w:footnote>
  <w:footnote w:id="4707">
    <w:p w14:paraId="745DC0E1" w14:textId="77777777" w:rsidR="00F64AED" w:rsidRDefault="00F64AED" w:rsidP="00F64AED">
      <w:pPr>
        <w:pStyle w:val="Footnote"/>
        <w:bidi/>
      </w:pPr>
      <w:r>
        <w:rPr>
          <w:rStyle w:val="ac"/>
          <w:rtl/>
        </w:rPr>
        <w:footnoteRef/>
      </w:r>
      <w:r>
        <w:rPr>
          <w:rtl/>
        </w:rPr>
        <w:t>אמנם ה</w:t>
      </w:r>
      <w:r>
        <w:rPr>
          <w:b/>
          <w:bCs/>
          <w:rtl/>
        </w:rPr>
        <w:t>גר"ח</w:t>
      </w:r>
      <w:r>
        <w:rPr>
          <w:rtl/>
        </w:rPr>
        <w:t xml:space="preserve"> (איסו"ב טו) כתב דאינו 'משפחת לויה', דמשפחה תליא באב, אלא חלות דין לוי. [ויל"ד האם עמוני תליא במשפחה].</w:t>
      </w:r>
    </w:p>
  </w:footnote>
  <w:footnote w:id="4708">
    <w:p w14:paraId="4BBD6CED" w14:textId="77777777" w:rsidR="00F64AED" w:rsidRDefault="00F64AED" w:rsidP="00F64AED">
      <w:pPr>
        <w:pStyle w:val="Footnote"/>
        <w:bidi/>
      </w:pPr>
      <w:r>
        <w:rPr>
          <w:rStyle w:val="ac"/>
          <w:rtl/>
        </w:rPr>
        <w:footnoteRef/>
      </w:r>
      <w:r>
        <w:rPr>
          <w:rtl/>
        </w:rPr>
        <w:t>דמנין הדורות הוה נידון בפנ"ע. [ועוד דנו ה</w:t>
      </w:r>
      <w:r>
        <w:rPr>
          <w:b/>
          <w:bCs/>
          <w:rtl/>
        </w:rPr>
        <w:t>אחרונים</w:t>
      </w:r>
      <w:r>
        <w:rPr>
          <w:rtl/>
        </w:rPr>
        <w:t xml:space="preserve"> דבעודו במעי אמו אין עליו שם עמוני, א"כ השם עמוני שבו הוא מחמת לידת אמו. ושפיר הוה דור שני. וע' בסמוך].</w:t>
      </w:r>
    </w:p>
  </w:footnote>
  <w:footnote w:id="4709">
    <w:p w14:paraId="3D089D3C" w14:textId="77777777" w:rsidR="00F64AED" w:rsidRDefault="00F64AED" w:rsidP="00F64AED">
      <w:pPr>
        <w:pStyle w:val="Footnote"/>
        <w:bidi/>
      </w:pPr>
      <w:r>
        <w:rPr>
          <w:rStyle w:val="ac"/>
          <w:rtl/>
        </w:rPr>
        <w:footnoteRef/>
      </w:r>
      <w:r>
        <w:rPr>
          <w:rtl/>
        </w:rPr>
        <w:t>אך יש לדחות שהתוס' איירי שאביו מצרי ומש"ה הוה מצרי, ואפ"ה דנו התוס' כיון דאמו מותרת אין לנו לומר שהיא ובנה חד.</w:t>
      </w:r>
    </w:p>
  </w:footnote>
  <w:footnote w:id="4710">
    <w:p w14:paraId="0E84D82C" w14:textId="77777777" w:rsidR="00F64AED" w:rsidRDefault="00F64AED" w:rsidP="00F64AED">
      <w:pPr>
        <w:pStyle w:val="Footnote"/>
        <w:bidi/>
      </w:pPr>
      <w:r>
        <w:rPr>
          <w:rStyle w:val="ac"/>
          <w:rtl/>
        </w:rPr>
        <w:footnoteRef/>
      </w:r>
      <w:r>
        <w:rPr>
          <w:rtl/>
        </w:rPr>
        <w:t>ובגמ' (קידושין סז.) מבואר דהך כלל לאו דוקא. וע' פנ"י (שם). וה</w:t>
      </w:r>
      <w:r>
        <w:rPr>
          <w:b/>
          <w:bCs/>
          <w:rtl/>
        </w:rPr>
        <w:t>בי"ש</w:t>
      </w:r>
      <w:r>
        <w:rPr>
          <w:rtl/>
        </w:rPr>
        <w:t xml:space="preserve"> (ד לז) כת' [בדעת הרמב"ם] די"ל כלל זה איתמר דוקא בישראל, ולא כשיש צד אחד גר. דהא גר בממזרת הולד ממזר אף דיש קדושין ואין עבירה.</w:t>
      </w:r>
    </w:p>
  </w:footnote>
  <w:footnote w:id="4711">
    <w:p w14:paraId="1965CD81" w14:textId="77777777" w:rsidR="00F64AED" w:rsidRDefault="00F64AED" w:rsidP="00F64AED">
      <w:pPr>
        <w:pStyle w:val="Footnote"/>
        <w:bidi/>
      </w:pPr>
      <w:r>
        <w:rPr>
          <w:rStyle w:val="ac"/>
          <w:rtl/>
        </w:rPr>
        <w:footnoteRef/>
      </w:r>
      <w:r>
        <w:rPr>
          <w:rtl/>
        </w:rPr>
        <w:t>[אך ה</w:t>
      </w:r>
      <w:r>
        <w:rPr>
          <w:b/>
          <w:bCs/>
          <w:rtl/>
        </w:rPr>
        <w:t>תוס' רא"ש</w:t>
      </w:r>
      <w:r>
        <w:rPr>
          <w:rtl/>
        </w:rPr>
        <w:t xml:space="preserve"> (לקמן פה:) כת' דגר שנשא נתינה, כיון דאין עבירה הולד הולך אחר הזכר. וצ"ע מ"ש מממזר].</w:t>
      </w:r>
    </w:p>
  </w:footnote>
  <w:footnote w:id="4712">
    <w:p w14:paraId="71898635" w14:textId="77777777" w:rsidR="00F64AED" w:rsidRDefault="00F64AED" w:rsidP="00F64AED">
      <w:pPr>
        <w:pStyle w:val="Footnote"/>
        <w:bidi/>
      </w:pPr>
      <w:r>
        <w:rPr>
          <w:rStyle w:val="ac"/>
          <w:rtl/>
        </w:rPr>
        <w:footnoteRef/>
      </w:r>
      <w:r>
        <w:rPr>
          <w:rtl/>
        </w:rPr>
        <w:t>וה</w:t>
      </w:r>
      <w:r>
        <w:rPr>
          <w:b/>
          <w:bCs/>
          <w:rtl/>
        </w:rPr>
        <w:t xml:space="preserve">בי"ש </w:t>
      </w:r>
      <w:r>
        <w:rPr>
          <w:rtl/>
        </w:rPr>
        <w:t>(ד ח) כתב דגר מצרי שנשא גיורת עמונית, יש קידושין ויש עבירה והולד הולך אחר הפגום. וה</w:t>
      </w:r>
      <w:r>
        <w:rPr>
          <w:b/>
          <w:bCs/>
          <w:rtl/>
        </w:rPr>
        <w:t>אבנ"מ</w:t>
      </w:r>
      <w:r>
        <w:rPr>
          <w:rtl/>
        </w:rPr>
        <w:t xml:space="preserve"> (ט) תמה דקהל גרים לא איקרי קהל, ואינה עבירה [ואפי' הכי אחר הפגום]. [ומדברי הבי"ש לכאורה מבואר דאף בגיורת נחשב עבירה ופגם].</w:t>
      </w:r>
    </w:p>
  </w:footnote>
  <w:footnote w:id="4713">
    <w:p w14:paraId="43EE8FDF" w14:textId="77777777" w:rsidR="00F64AED" w:rsidRDefault="00F64AED" w:rsidP="00F64AED">
      <w:pPr>
        <w:pStyle w:val="Footnote"/>
        <w:bidi/>
      </w:pPr>
      <w:r>
        <w:rPr>
          <w:rStyle w:val="ac"/>
          <w:rtl/>
        </w:rPr>
        <w:footnoteRef/>
      </w:r>
      <w:r>
        <w:rPr>
          <w:rtl/>
        </w:rPr>
        <w:t>דיש קידושין ויש עבירה הלך אחר הפסול.</w:t>
      </w:r>
    </w:p>
  </w:footnote>
  <w:footnote w:id="4714">
    <w:p w14:paraId="32123827" w14:textId="77777777" w:rsidR="00F64AED" w:rsidRDefault="00F64AED" w:rsidP="00F64AED">
      <w:pPr>
        <w:pStyle w:val="Footnote"/>
        <w:bidi/>
      </w:pPr>
      <w:r>
        <w:rPr>
          <w:rStyle w:val="ac"/>
          <w:rtl/>
        </w:rPr>
        <w:footnoteRef/>
      </w:r>
      <w:r>
        <w:rPr>
          <w:rtl/>
        </w:rPr>
        <w:t>ויש שפירשו דלא נחשב 'פגם', כיון דהוה אותו שם אומה. [משא"כ גר בעמוני, דהעמוני פגום טפי. אף דהגר מותר בפסולי קהל].</w:t>
      </w:r>
    </w:p>
  </w:footnote>
  <w:footnote w:id="4715">
    <w:p w14:paraId="0000F75B" w14:textId="77777777" w:rsidR="00F64AED" w:rsidRDefault="00F64AED" w:rsidP="00F64AED">
      <w:pPr>
        <w:pStyle w:val="Footnote"/>
        <w:bidi/>
      </w:pPr>
      <w:r>
        <w:rPr>
          <w:rStyle w:val="ac"/>
          <w:rtl/>
        </w:rPr>
        <w:footnoteRef/>
      </w:r>
      <w:r>
        <w:rPr>
          <w:rtl/>
        </w:rPr>
        <w:t>ובפשוטו הוה סברא דלא נאמר בכה"ג גזיה"כ דהלך אחר הפסול.</w:t>
      </w:r>
    </w:p>
  </w:footnote>
  <w:footnote w:id="4716">
    <w:p w14:paraId="401E009A" w14:textId="77777777" w:rsidR="00F64AED" w:rsidRDefault="00F64AED" w:rsidP="00F64AED">
      <w:pPr>
        <w:pStyle w:val="Footnote"/>
        <w:bidi/>
      </w:pPr>
      <w:r>
        <w:rPr>
          <w:rStyle w:val="ac"/>
          <w:rtl/>
        </w:rPr>
        <w:footnoteRef/>
      </w:r>
      <w:r>
        <w:rPr>
          <w:rtl/>
        </w:rPr>
        <w:t>וב</w:t>
      </w:r>
      <w:r>
        <w:rPr>
          <w:b/>
          <w:bCs/>
          <w:rtl/>
        </w:rPr>
        <w:t>משנת ר' אהרן</w:t>
      </w:r>
      <w:r>
        <w:rPr>
          <w:rtl/>
        </w:rPr>
        <w:t xml:space="preserve"> (כד ו) האריך לחקור האם היתר הדורות נקבע משום דהפסול נמשך ממנו [ובזה נח' בסוגיין האם פסול נמשך מהאב או מהאם], או דאף כשיש פוסל מצד אחר יש מכשיר של דורות. והביא מדברי ה</w:t>
      </w:r>
      <w:r>
        <w:rPr>
          <w:b/>
          <w:bCs/>
          <w:rtl/>
        </w:rPr>
        <w:t>תוס'</w:t>
      </w:r>
      <w:r>
        <w:rPr>
          <w:rtl/>
        </w:rPr>
        <w:t xml:space="preserve"> (ד"ה הו"א) דמעוברת שנתגיירה אין הפסול מחמתה, ואפי' הכי מהני נחשב מנין דורות.</w:t>
      </w:r>
    </w:p>
  </w:footnote>
  <w:footnote w:id="4717">
    <w:p w14:paraId="5A09E3AB" w14:textId="77777777" w:rsidR="00F64AED" w:rsidRDefault="00F64AED" w:rsidP="00F64AED">
      <w:pPr>
        <w:pStyle w:val="Footnote"/>
        <w:bidi/>
      </w:pPr>
      <w:r>
        <w:rPr>
          <w:rStyle w:val="ac"/>
          <w:rtl/>
        </w:rPr>
        <w:footnoteRef/>
      </w:r>
      <w:r>
        <w:rPr>
          <w:rtl/>
        </w:rPr>
        <w:t>ועפ"ז כתב ב</w:t>
      </w:r>
      <w:r>
        <w:rPr>
          <w:b/>
          <w:bCs/>
          <w:rtl/>
        </w:rPr>
        <w:t>חי' ר' שמואל</w:t>
      </w:r>
      <w:r>
        <w:rPr>
          <w:rtl/>
        </w:rPr>
        <w:t xml:space="preserve"> דמצרי שני שבא על עכו"ם משאר אומות, היה צריך הבן להיות מצרי ראשון [דמקבל שם מצרי, ובעכו"ם אין היתר דורות]. [אבל הביא דבשו"ע (ד ה) מבואר גר מצרי הבא על עכו"ם, הולד אינו מצרי, כיון דאינו מתייחס אחריו].</w:t>
      </w:r>
    </w:p>
  </w:footnote>
  <w:footnote w:id="4718">
    <w:p w14:paraId="48700903" w14:textId="77777777" w:rsidR="00F64AED" w:rsidRDefault="00F64AED" w:rsidP="00F64AED">
      <w:pPr>
        <w:pStyle w:val="Footnote"/>
        <w:bidi/>
      </w:pPr>
      <w:r>
        <w:rPr>
          <w:rStyle w:val="ac"/>
          <w:rtl/>
        </w:rPr>
        <w:footnoteRef/>
      </w:r>
      <w:r>
        <w:rPr>
          <w:rtl/>
        </w:rPr>
        <w:t>ויל"ד אי כוונת הגמ' שהיה צריך להיות עבד ממזר, או שיהא ממזר ועי"ז ע"כ לא יהא עבד. [דל"ש ממזרות אלא בישראל]. [והאחרונים דנו בזה בדעת ר"א קידושין סט.].</w:t>
      </w:r>
    </w:p>
  </w:footnote>
  <w:footnote w:id="4719">
    <w:p w14:paraId="0D169587" w14:textId="77777777" w:rsidR="00F64AED" w:rsidRDefault="00F64AED" w:rsidP="00F64AED">
      <w:pPr>
        <w:pStyle w:val="Footnote"/>
        <w:bidi/>
      </w:pPr>
      <w:r>
        <w:rPr>
          <w:rStyle w:val="ac"/>
          <w:rtl/>
        </w:rPr>
        <w:footnoteRef/>
      </w:r>
      <w:r>
        <w:rPr>
          <w:rtl/>
        </w:rPr>
        <w:t>ומשמע דהגדר משום דאינו מתייחס אחריו. וכדאי' (בגמ' קידושין סט.) דולד בימי שפחה כבימי בהמה. [ו</w:t>
      </w:r>
      <w:r>
        <w:rPr>
          <w:b/>
          <w:bCs/>
          <w:rtl/>
        </w:rPr>
        <w:t>רע"א</w:t>
      </w:r>
      <w:r>
        <w:rPr>
          <w:rtl/>
        </w:rPr>
        <w:t xml:space="preserve"> (בגהש"ס) ציין לגמ' לעיל כב: דילפי' מהך קרא דבנו משפחה לא הוה בנו לכל דבר. ויש שפי' כוונתו דאף דחיית הגמ' כאן דמש"ה אינו מתייחס אחריו].</w:t>
      </w:r>
    </w:p>
  </w:footnote>
  <w:footnote w:id="4720">
    <w:p w14:paraId="367322ED" w14:textId="77777777" w:rsidR="00F64AED" w:rsidRDefault="00F64AED" w:rsidP="00F64AED">
      <w:pPr>
        <w:pStyle w:val="Footnote"/>
        <w:bidi/>
      </w:pPr>
      <w:r>
        <w:rPr>
          <w:rStyle w:val="ac"/>
          <w:rtl/>
        </w:rPr>
        <w:footnoteRef/>
      </w:r>
      <w:r>
        <w:rPr>
          <w:rtl/>
        </w:rPr>
        <w:t>וה</w:t>
      </w:r>
      <w:r>
        <w:rPr>
          <w:b/>
          <w:bCs/>
          <w:rtl/>
        </w:rPr>
        <w:t>רמב"ן</w:t>
      </w:r>
      <w:r>
        <w:rPr>
          <w:rtl/>
        </w:rPr>
        <w:t xml:space="preserve"> ביאר דהא התם אין עבירה, והולד הולך אחר האם. שאלו הי' עבד שנשא ממזרת הולד ממזר אלמא בתר אימיה שדינן ליה. וביאר דלא הק' מממזר, דהתם הולכין בין אחר האם בין אחר האב דכתיב לו הלך אחר פסולו.</w:t>
      </w:r>
    </w:p>
  </w:footnote>
  <w:footnote w:id="4721">
    <w:p w14:paraId="7A0FB17D" w14:textId="77777777" w:rsidR="00F64AED" w:rsidRDefault="00F64AED" w:rsidP="00F64AED">
      <w:pPr>
        <w:pStyle w:val="Footnote"/>
        <w:bidi/>
      </w:pPr>
      <w:r>
        <w:rPr>
          <w:rStyle w:val="ac"/>
          <w:rtl/>
        </w:rPr>
        <w:footnoteRef/>
      </w:r>
      <w:r>
        <w:rPr>
          <w:rtl/>
        </w:rPr>
        <w:t>ואף דבכשר ופסול הולך אחר הפגום, בב' פסולים ס"ד דאזלי' רק בתר האשה. [וצ"ע].</w:t>
      </w:r>
    </w:p>
  </w:footnote>
  <w:footnote w:id="4722">
    <w:p w14:paraId="47190EFB" w14:textId="77777777" w:rsidR="00F64AED" w:rsidRDefault="00F64AED" w:rsidP="00F64AED">
      <w:pPr>
        <w:pStyle w:val="Footnote"/>
        <w:bidi/>
      </w:pPr>
      <w:r>
        <w:rPr>
          <w:rStyle w:val="ac"/>
          <w:rtl/>
        </w:rPr>
        <w:footnoteRef/>
      </w:r>
      <w:r>
        <w:rPr>
          <w:rtl/>
        </w:rPr>
        <w:t>[דשפחה לא תפסי קידושין, וכבהמה]. ואף דיש תקנה לשפחה בשחרור.</w:t>
      </w:r>
    </w:p>
  </w:footnote>
  <w:footnote w:id="4723">
    <w:p w14:paraId="276095B7" w14:textId="77777777" w:rsidR="00F64AED" w:rsidRDefault="00F64AED" w:rsidP="00F64AED">
      <w:pPr>
        <w:pStyle w:val="Footnote"/>
        <w:bidi/>
      </w:pPr>
      <w:r>
        <w:rPr>
          <w:rStyle w:val="ac"/>
          <w:rtl/>
        </w:rPr>
        <w:footnoteRef/>
      </w:r>
      <w:r>
        <w:rPr>
          <w:rtl/>
        </w:rPr>
        <w:t>וה</w:t>
      </w:r>
      <w:r>
        <w:rPr>
          <w:b/>
          <w:bCs/>
          <w:rtl/>
        </w:rPr>
        <w:t>רמב"ן</w:t>
      </w:r>
      <w:r>
        <w:rPr>
          <w:rtl/>
        </w:rPr>
        <w:t xml:space="preserve"> פי' דקים לגמ' דטעמיה משום דבתר אימיה שדינן ליה. והוכיח כן מהא דהגמ' תלי בעובר ירך אמו. [וצ"ב האיך למדו כן מדברי ר' דימי דנקטו אלמא בתר דידיה. ומשמע דכוונת הגמ' דקים להו לגמ', וקבלו שכ"ד ר' דימי].</w:t>
      </w:r>
    </w:p>
  </w:footnote>
  <w:footnote w:id="4724">
    <w:p w14:paraId="3F5C61DA" w14:textId="77777777" w:rsidR="00F64AED" w:rsidRDefault="00F64AED" w:rsidP="00F64AED">
      <w:pPr>
        <w:pStyle w:val="Footnote"/>
        <w:bidi/>
      </w:pPr>
      <w:r>
        <w:rPr>
          <w:rStyle w:val="ac"/>
          <w:rtl/>
        </w:rPr>
        <w:footnoteRef/>
      </w:r>
      <w:r>
        <w:rPr>
          <w:rtl/>
        </w:rPr>
        <w:t>וה</w:t>
      </w:r>
      <w:r>
        <w:rPr>
          <w:b/>
          <w:bCs/>
          <w:rtl/>
        </w:rPr>
        <w:t xml:space="preserve">גר"א </w:t>
      </w:r>
      <w:r>
        <w:rPr>
          <w:rtl/>
        </w:rPr>
        <w:t>כת'</w:t>
      </w:r>
      <w:r>
        <w:rPr>
          <w:b/>
          <w:bCs/>
          <w:rtl/>
        </w:rPr>
        <w:t xml:space="preserve"> </w:t>
      </w:r>
      <w:r>
        <w:rPr>
          <w:rtl/>
        </w:rPr>
        <w:t>דהוא דלא כמו שתוס' קידושין (הנ"ל) נדחק לחלק בין עם א' לב' עממין [ואף דרבה בב"ח ור' דימי ע"כ ס"ל כן].</w:t>
      </w:r>
    </w:p>
  </w:footnote>
  <w:footnote w:id="4725">
    <w:p w14:paraId="5622AFE7" w14:textId="77777777" w:rsidR="00F64AED" w:rsidRDefault="00F64AED" w:rsidP="00F64AED">
      <w:pPr>
        <w:pStyle w:val="Footnote"/>
        <w:bidi/>
      </w:pPr>
      <w:r>
        <w:rPr>
          <w:rStyle w:val="ac"/>
          <w:rtl/>
        </w:rPr>
        <w:footnoteRef/>
      </w:r>
      <w:r>
        <w:rPr>
          <w:rtl/>
        </w:rPr>
        <w:t>וכתב דבזה ניחא הלשון 'כי אתא', דפליג אדלעיל. [והאחרונים הקשו דבגמ' קידושין סז משמע דרבינא לא פליג אר' דימי ורבה בב"ח].</w:t>
      </w:r>
    </w:p>
  </w:footnote>
  <w:footnote w:id="4726">
    <w:p w14:paraId="0BC3043E" w14:textId="77777777" w:rsidR="00F64AED" w:rsidRDefault="00F64AED" w:rsidP="00F64AED">
      <w:pPr>
        <w:pStyle w:val="Footnote"/>
        <w:bidi/>
      </w:pPr>
      <w:r>
        <w:rPr>
          <w:rStyle w:val="ac"/>
          <w:rtl/>
        </w:rPr>
        <w:footnoteRef/>
      </w:r>
      <w:r>
        <w:rPr>
          <w:rtl/>
        </w:rPr>
        <w:t>וה</w:t>
      </w:r>
      <w:r>
        <w:rPr>
          <w:b/>
          <w:bCs/>
          <w:rtl/>
        </w:rPr>
        <w:t>חזו"א</w:t>
      </w:r>
      <w:r>
        <w:rPr>
          <w:rtl/>
        </w:rPr>
        <w:t xml:space="preserve"> (ד יא) ביאר דהכא לאו משום יחוס בתר אביו או אמו, אלא דההיתר נעשית מחמת ריחוק הדורות.</w:t>
      </w:r>
    </w:p>
  </w:footnote>
  <w:footnote w:id="4727">
    <w:p w14:paraId="53867166" w14:textId="77777777" w:rsidR="00F64AED" w:rsidRDefault="00F64AED" w:rsidP="00F64AED">
      <w:pPr>
        <w:pStyle w:val="Footnote"/>
        <w:bidi/>
      </w:pPr>
      <w:r>
        <w:rPr>
          <w:rStyle w:val="ac"/>
          <w:rtl/>
        </w:rPr>
        <w:footnoteRef/>
      </w:r>
      <w:r>
        <w:rPr>
          <w:rtl/>
        </w:rPr>
        <w:t>לדעת ה</w:t>
      </w:r>
      <w:r>
        <w:rPr>
          <w:b/>
          <w:bCs/>
          <w:rtl/>
        </w:rPr>
        <w:t>רמב"ן</w:t>
      </w:r>
      <w:r>
        <w:rPr>
          <w:rtl/>
        </w:rPr>
        <w:t xml:space="preserve"> דאמרי' כן אף לקולא. ולדעת ה</w:t>
      </w:r>
      <w:r>
        <w:rPr>
          <w:b/>
          <w:bCs/>
          <w:rtl/>
        </w:rPr>
        <w:t>רמב"ם</w:t>
      </w:r>
      <w:r>
        <w:rPr>
          <w:rtl/>
        </w:rPr>
        <w:t xml:space="preserve"> ביאר דע"י דירך אמו ראוי להחמיר שיחשב כשני אגב אמו. [אבל לידה ל"מ להחשב איתפלג דרא כלפי צד אביו].</w:t>
      </w:r>
    </w:p>
  </w:footnote>
  <w:footnote w:id="4728">
    <w:p w14:paraId="67B93CB4" w14:textId="77777777" w:rsidR="00F64AED" w:rsidRDefault="00F64AED" w:rsidP="00F64AED">
      <w:pPr>
        <w:pStyle w:val="Footnote"/>
        <w:bidi/>
      </w:pPr>
      <w:r>
        <w:rPr>
          <w:rStyle w:val="ac"/>
          <w:rtl/>
        </w:rPr>
        <w:footnoteRef/>
      </w:r>
      <w:r>
        <w:rPr>
          <w:rtl/>
        </w:rPr>
        <w:t>משמע דמ"ד עובר ירך אמו [ובנה אי"צ טבילה], ע"כ ס"ל דבתר דידה שדינן [במנין הדורות]. ואף בלא פסוק.</w:t>
      </w:r>
    </w:p>
  </w:footnote>
  <w:footnote w:id="4729">
    <w:p w14:paraId="485ABFC0" w14:textId="77777777" w:rsidR="00F64AED" w:rsidRDefault="00F64AED" w:rsidP="00F64AED">
      <w:pPr>
        <w:pStyle w:val="Footnote"/>
        <w:bidi/>
      </w:pPr>
      <w:r>
        <w:rPr>
          <w:rStyle w:val="ac"/>
          <w:rtl/>
        </w:rPr>
        <w:footnoteRef/>
      </w:r>
      <w:r>
        <w:rPr>
          <w:rtl/>
        </w:rPr>
        <w:t>מלבד לענין טריפה, כיון דיש לו חיות בפנ"ע ליכא למימר דנטרף עם אמו.</w:t>
      </w:r>
    </w:p>
  </w:footnote>
  <w:footnote w:id="4730">
    <w:p w14:paraId="5C7AF3FA" w14:textId="77777777" w:rsidR="00F64AED" w:rsidRDefault="00F64AED" w:rsidP="00F64AED">
      <w:pPr>
        <w:pStyle w:val="Footnote"/>
        <w:bidi/>
      </w:pPr>
      <w:r>
        <w:rPr>
          <w:rStyle w:val="ac"/>
          <w:rtl/>
        </w:rPr>
        <w:footnoteRef/>
      </w:r>
      <w:r>
        <w:rPr>
          <w:rtl/>
        </w:rPr>
        <w:t>ואפ"ה ולד הנוגחת והנרבעת אסור, כיון דעד עכשיו חיות הולד תלוי באמו.</w:t>
      </w:r>
    </w:p>
  </w:footnote>
  <w:footnote w:id="4731">
    <w:p w14:paraId="73EEA5BE" w14:textId="77777777" w:rsidR="00F64AED" w:rsidRDefault="00F64AED" w:rsidP="00F64AED">
      <w:pPr>
        <w:pStyle w:val="Footnote"/>
        <w:bidi/>
      </w:pPr>
      <w:r>
        <w:rPr>
          <w:rStyle w:val="ac"/>
          <w:rtl/>
        </w:rPr>
        <w:footnoteRef/>
      </w:r>
      <w:r>
        <w:rPr>
          <w:rtl/>
        </w:rPr>
        <w:t>וה</w:t>
      </w:r>
      <w:r>
        <w:rPr>
          <w:b/>
          <w:bCs/>
          <w:rtl/>
        </w:rPr>
        <w:t>אחרונים</w:t>
      </w:r>
      <w:r>
        <w:rPr>
          <w:rtl/>
        </w:rPr>
        <w:t xml:space="preserve"> דנו כשנתגיירה אמו פחות ממ' יום (דמיא בעלמא הוא כדלעיל סט:), די"ל דודאי מהני גירות אמו. [ע' קובה"ע עג יב וקוב"ש ב יא, וע' מש"כ לעיל סז.].</w:t>
      </w:r>
    </w:p>
  </w:footnote>
  <w:footnote w:id="4732">
    <w:p w14:paraId="255967C1" w14:textId="77777777" w:rsidR="00F64AED" w:rsidRDefault="00F64AED" w:rsidP="00F64AED">
      <w:pPr>
        <w:pStyle w:val="Footnote"/>
        <w:bidi/>
      </w:pPr>
      <w:r>
        <w:rPr>
          <w:rStyle w:val="ac"/>
          <w:rtl/>
        </w:rPr>
        <w:footnoteRef/>
      </w:r>
      <w:r>
        <w:rPr>
          <w:rtl/>
        </w:rPr>
        <w:t>וה</w:t>
      </w:r>
      <w:r>
        <w:rPr>
          <w:b/>
          <w:bCs/>
          <w:rtl/>
        </w:rPr>
        <w:t>תפארת למשה</w:t>
      </w:r>
      <w:r>
        <w:rPr>
          <w:rtl/>
        </w:rPr>
        <w:t xml:space="preserve"> (בפתח"ת יו"ד רסח ח) כת' דמעוברת שנתגיירה אינו יכול למחות. וביאר דקי"ל דעובר ירך אמו. [אבל למ"ד לאו ירך אמו והיינו רביתיה יכול למחות, וכ"כ האבנ"מ יג ד].</w:t>
      </w:r>
    </w:p>
  </w:footnote>
  <w:footnote w:id="4733">
    <w:p w14:paraId="71EE2928" w14:textId="77777777" w:rsidR="00F64AED" w:rsidRDefault="00F64AED" w:rsidP="00F64AED">
      <w:pPr>
        <w:pStyle w:val="Footnote"/>
        <w:bidi/>
      </w:pPr>
      <w:r>
        <w:rPr>
          <w:rStyle w:val="ac"/>
          <w:rtl/>
        </w:rPr>
        <w:footnoteRef/>
      </w:r>
      <w:r>
        <w:rPr>
          <w:rtl/>
        </w:rPr>
        <w:t>ומעשה הגירות תליא בדעת הבי"ד. [וע' מש"כ בזה לעי' מו:].</w:t>
      </w:r>
    </w:p>
  </w:footnote>
  <w:footnote w:id="4734">
    <w:p w14:paraId="58ADDFC3" w14:textId="77777777" w:rsidR="00F64AED" w:rsidRDefault="00F64AED" w:rsidP="00F64AED">
      <w:pPr>
        <w:pStyle w:val="Footnote"/>
        <w:bidi/>
      </w:pPr>
      <w:r>
        <w:rPr>
          <w:rStyle w:val="ac"/>
          <w:rtl/>
        </w:rPr>
        <w:footnoteRef/>
      </w:r>
      <w:r>
        <w:rPr>
          <w:rtl/>
        </w:rPr>
        <w:t>וה</w:t>
      </w:r>
      <w:r>
        <w:rPr>
          <w:b/>
          <w:bCs/>
          <w:rtl/>
        </w:rPr>
        <w:t>ריטב"א</w:t>
      </w:r>
      <w:r>
        <w:rPr>
          <w:rtl/>
        </w:rPr>
        <w:t xml:space="preserve"> (שם) כתב כמ"ד דעובר ירך אמו. אבל ה</w:t>
      </w:r>
      <w:r>
        <w:rPr>
          <w:b/>
          <w:bCs/>
          <w:rtl/>
        </w:rPr>
        <w:t>תוס' הרא"ש</w:t>
      </w:r>
      <w:r>
        <w:rPr>
          <w:rtl/>
        </w:rPr>
        <w:t xml:space="preserve"> (שם) כתב דמהני טבילתו מדין היינו רביתיה, ומבואר מדבריו דמהני מדאורייתא אף למ"ד לאו ירך אמו. [אמנם יש לדחות דלמסקנא אף למ"ד ירך אמו מהני משום טבילת האם, והיינו רביתיה].</w:t>
      </w:r>
    </w:p>
  </w:footnote>
  <w:footnote w:id="4735">
    <w:p w14:paraId="216E1BFA" w14:textId="77777777" w:rsidR="00F64AED" w:rsidRDefault="00F64AED" w:rsidP="00F64AED">
      <w:pPr>
        <w:pStyle w:val="Footnote"/>
        <w:bidi/>
      </w:pPr>
      <w:r>
        <w:rPr>
          <w:rStyle w:val="ac"/>
          <w:rtl/>
        </w:rPr>
        <w:footnoteRef/>
      </w:r>
      <w:r>
        <w:rPr>
          <w:rtl/>
        </w:rPr>
        <w:t>[להך תי' דגר קטן מדין זכין לא מהני מדאורייתא].</w:t>
      </w:r>
    </w:p>
    <w:p w14:paraId="1833FB06" w14:textId="77777777" w:rsidR="00F64AED" w:rsidRDefault="00F64AED" w:rsidP="00F64AED">
      <w:pPr>
        <w:pStyle w:val="Footnote"/>
        <w:bidi/>
      </w:pPr>
      <w:r>
        <w:rPr>
          <w:rtl/>
        </w:rPr>
        <w:tab/>
        <w:t>וה</w:t>
      </w:r>
      <w:r>
        <w:rPr>
          <w:b/>
          <w:bCs/>
          <w:rtl/>
        </w:rPr>
        <w:t>חזו"א</w:t>
      </w:r>
      <w:r>
        <w:rPr>
          <w:rtl/>
        </w:rPr>
        <w:t xml:space="preserve"> הקשה א"כ הוה גר, וכקטן שנולד, ואמאי יש לו שאר האם (לקמן צז:). וצ"ל דמ"מ הלידה הוה בגירות. ואכמ"ל.</w:t>
      </w:r>
    </w:p>
  </w:footnote>
  <w:footnote w:id="4736">
    <w:p w14:paraId="1D31C74F" w14:textId="77777777" w:rsidR="00F64AED" w:rsidRDefault="00F64AED" w:rsidP="00F64AED">
      <w:pPr>
        <w:pStyle w:val="Footnote"/>
        <w:bidi/>
      </w:pPr>
      <w:r>
        <w:rPr>
          <w:rStyle w:val="ac"/>
          <w:rtl/>
        </w:rPr>
        <w:footnoteRef/>
      </w:r>
      <w:r>
        <w:rPr>
          <w:rtl/>
        </w:rPr>
        <w:t>[ויל"ד האם מהני טבילת אמו, כשמתכוונת לגייר רק את העובר, והיא עצמה תשאר נכרית].</w:t>
      </w:r>
    </w:p>
  </w:footnote>
  <w:footnote w:id="4737">
    <w:p w14:paraId="19B7E909" w14:textId="77777777" w:rsidR="00F64AED" w:rsidRDefault="00F64AED" w:rsidP="00F64AED">
      <w:pPr>
        <w:pStyle w:val="Footnote"/>
        <w:bidi/>
      </w:pPr>
      <w:r>
        <w:rPr>
          <w:rStyle w:val="ac"/>
          <w:rtl/>
        </w:rPr>
        <w:footnoteRef/>
      </w:r>
      <w:r>
        <w:rPr>
          <w:rtl/>
        </w:rPr>
        <w:t>והביא כעי"ז לענין חטאת מעוברת, דאף למ"ד לאו ירך אמו, מהני זריקת דם [דאמו] עבור שניהם, והוה קרבן א'. וסיים דאנו אין לנו אלא מה שאמרו חכמים בגדרי הדברים לענין מה נחשב לעצמו, ולענין מה מעשה אמו.</w:t>
      </w:r>
    </w:p>
  </w:footnote>
  <w:footnote w:id="4738">
    <w:p w14:paraId="3F73AEC0" w14:textId="77777777" w:rsidR="00F64AED" w:rsidRDefault="00F64AED" w:rsidP="00F64AED">
      <w:pPr>
        <w:pStyle w:val="Footnote"/>
        <w:bidi/>
      </w:pPr>
      <w:r>
        <w:rPr>
          <w:rStyle w:val="ac"/>
          <w:rtl/>
        </w:rPr>
        <w:footnoteRef/>
      </w:r>
      <w:r>
        <w:rPr>
          <w:rtl/>
        </w:rPr>
        <w:t>ולכאורה לפ"ז אף כשהיא אינה מתגיירת, יהני שתטבול להחשב גירות לולד. אבל ה</w:t>
      </w:r>
      <w:r>
        <w:rPr>
          <w:b/>
          <w:bCs/>
          <w:rtl/>
        </w:rPr>
        <w:t>תפארת למשה</w:t>
      </w:r>
      <w:r>
        <w:rPr>
          <w:rtl/>
        </w:rPr>
        <w:t xml:space="preserve"> (בפתח"ת רסח ו) כת' דל"מ אא"כ היא מתגיירת.</w:t>
      </w:r>
    </w:p>
  </w:footnote>
  <w:footnote w:id="4739">
    <w:p w14:paraId="5403C33B" w14:textId="77777777" w:rsidR="00F64AED" w:rsidRDefault="00F64AED" w:rsidP="00F64AED">
      <w:pPr>
        <w:pStyle w:val="Footnote"/>
        <w:bidi/>
      </w:pPr>
      <w:r>
        <w:rPr>
          <w:rStyle w:val="ac"/>
          <w:rtl/>
        </w:rPr>
        <w:footnoteRef/>
      </w:r>
      <w:r>
        <w:rPr>
          <w:rtl/>
        </w:rPr>
        <w:t>אבל ה</w:t>
      </w:r>
      <w:r>
        <w:rPr>
          <w:b/>
          <w:bCs/>
          <w:rtl/>
        </w:rPr>
        <w:t>חזו"א</w:t>
      </w:r>
      <w:r>
        <w:rPr>
          <w:rtl/>
        </w:rPr>
        <w:t xml:space="preserve"> כתב דכוונת הרמב"ן דאם איתא דטבילה קודם מילה ל"מ, א"כ לא היה מהני טבילתו. אבל לעולם טבילת אמו גומרת בו.</w:t>
      </w:r>
    </w:p>
  </w:footnote>
  <w:footnote w:id="4740">
    <w:p w14:paraId="2F659337" w14:textId="77777777" w:rsidR="00F64AED" w:rsidRDefault="00F64AED" w:rsidP="00F64AED">
      <w:pPr>
        <w:pStyle w:val="Footnote"/>
        <w:bidi/>
      </w:pPr>
      <w:r>
        <w:rPr>
          <w:rStyle w:val="ac"/>
          <w:rtl/>
        </w:rPr>
        <w:footnoteRef/>
      </w:r>
      <w:r>
        <w:rPr>
          <w:rtl/>
        </w:rPr>
        <w:t xml:space="preserve">ובפשוטו כ"ה כוונת התוס'. אבל יש </w:t>
      </w:r>
      <w:r>
        <w:rPr>
          <w:b/>
          <w:bCs/>
          <w:rtl/>
        </w:rPr>
        <w:t>אחרונים</w:t>
      </w:r>
      <w:r>
        <w:rPr>
          <w:rtl/>
        </w:rPr>
        <w:t xml:space="preserve"> שפי' דכוונת התוס' דאף בתי' דבעי מילה לגירות, אלא כיון דלא אפשר הסדר אינו מעכב [וע' מש"כ לעיל שם].</w:t>
      </w:r>
    </w:p>
  </w:footnote>
  <w:footnote w:id="4741">
    <w:p w14:paraId="66CD6438" w14:textId="77777777" w:rsidR="00F64AED" w:rsidRDefault="00F64AED" w:rsidP="00F64AED">
      <w:pPr>
        <w:pStyle w:val="Footnote"/>
        <w:bidi/>
      </w:pPr>
      <w:r>
        <w:rPr>
          <w:rStyle w:val="ac"/>
          <w:rtl/>
        </w:rPr>
        <w:footnoteRef/>
      </w:r>
      <w:r>
        <w:rPr>
          <w:rtl/>
        </w:rPr>
        <w:t>ועוד הקשו ה</w:t>
      </w:r>
      <w:r>
        <w:rPr>
          <w:b/>
          <w:bCs/>
          <w:rtl/>
        </w:rPr>
        <w:t xml:space="preserve">אחרונים </w:t>
      </w:r>
      <w:r>
        <w:rPr>
          <w:rtl/>
        </w:rPr>
        <w:t>[אף בלאו המילה], כיון דמבואר בסוגיין דהוה גר ע"י טבילת העובר, א"כ נימא כקטן שנולד ואמאי מתייחס אחרי אמו. [וי"ל דמ"מ נולד מאמו אחרי שנתגייר, ודין כקטן שנולד מהני רק כלפי יחס שהיתה קודם].</w:t>
      </w:r>
    </w:p>
  </w:footnote>
  <w:footnote w:id="4742">
    <w:p w14:paraId="708A9DDE" w14:textId="77777777" w:rsidR="00F64AED" w:rsidRDefault="00F64AED" w:rsidP="00F64AED">
      <w:pPr>
        <w:pStyle w:val="Footnote"/>
        <w:bidi/>
      </w:pPr>
      <w:r>
        <w:rPr>
          <w:rStyle w:val="ac"/>
          <w:rtl/>
        </w:rPr>
        <w:footnoteRef/>
      </w:r>
      <w:r>
        <w:rPr>
          <w:rtl/>
        </w:rPr>
        <w:t>וביאר דבשאר חציצה אין חילוק בין גירות לטבילת טמאים (וכדלעיל מז:), אלא הכא משום דלא אפשר. [ואף לכתחילה מתגיירת כן].</w:t>
      </w:r>
    </w:p>
  </w:footnote>
  <w:footnote w:id="4743">
    <w:p w14:paraId="10D75293" w14:textId="77777777" w:rsidR="00F64AED" w:rsidRDefault="00F64AED" w:rsidP="00F64AED">
      <w:pPr>
        <w:pStyle w:val="Footnote"/>
        <w:bidi/>
      </w:pPr>
      <w:r>
        <w:rPr>
          <w:rStyle w:val="ac"/>
          <w:rtl/>
        </w:rPr>
        <w:footnoteRef/>
      </w:r>
      <w:r>
        <w:rPr>
          <w:rtl/>
        </w:rPr>
        <w:t>וה</w:t>
      </w:r>
      <w:r>
        <w:rPr>
          <w:b/>
          <w:bCs/>
          <w:rtl/>
        </w:rPr>
        <w:t>קובה"ע</w:t>
      </w:r>
      <w:r>
        <w:rPr>
          <w:rtl/>
        </w:rPr>
        <w:t xml:space="preserve"> (הוספות ד) עוד הקשה דנימא דרוב ככל [ועי"ש].</w:t>
      </w:r>
    </w:p>
  </w:footnote>
  <w:footnote w:id="4744">
    <w:p w14:paraId="2F878DDF" w14:textId="77777777" w:rsidR="00F64AED" w:rsidRDefault="00F64AED" w:rsidP="00F64AED">
      <w:pPr>
        <w:pStyle w:val="Footnote"/>
        <w:bidi/>
      </w:pPr>
      <w:r>
        <w:rPr>
          <w:rStyle w:val="ac"/>
          <w:rtl/>
        </w:rPr>
        <w:footnoteRef/>
      </w:r>
      <w:r>
        <w:rPr>
          <w:rtl/>
        </w:rPr>
        <w:t>והביא מה</w:t>
      </w:r>
      <w:r>
        <w:rPr>
          <w:b/>
          <w:bCs/>
          <w:rtl/>
        </w:rPr>
        <w:t xml:space="preserve">רי"א הלוי </w:t>
      </w:r>
      <w:r>
        <w:rPr>
          <w:rtl/>
        </w:rPr>
        <w:t xml:space="preserve">דהא דכולו חוצץ הוה לאחר שתקנו רבנן דרובו שאינו מקפיד חוצץ, עי"ז קפיד לסלק הרוב מעליו. [וע' </w:t>
      </w:r>
      <w:r>
        <w:rPr>
          <w:b/>
          <w:bCs/>
          <w:rtl/>
        </w:rPr>
        <w:t>קובה"ע</w:t>
      </w:r>
      <w:r>
        <w:rPr>
          <w:rtl/>
        </w:rPr>
        <w:t xml:space="preserve"> (הוס' ד) שדן שמקפיד משום הדין לא נחשב מקפיד]. וה</w:t>
      </w:r>
      <w:r>
        <w:rPr>
          <w:b/>
          <w:bCs/>
          <w:rtl/>
        </w:rPr>
        <w:t>אחיעזר</w:t>
      </w:r>
      <w:r>
        <w:rPr>
          <w:rtl/>
        </w:rPr>
        <w:t xml:space="preserve"> תמה דבסוגיין מבואר דאף בעובר חוצץ, ואף שהקילו בחציצה דרבנן.</w:t>
      </w:r>
    </w:p>
  </w:footnote>
  <w:footnote w:id="4745">
    <w:p w14:paraId="7E5A6DE3" w14:textId="77777777" w:rsidR="00F64AED" w:rsidRDefault="00F64AED" w:rsidP="00F64AED">
      <w:pPr>
        <w:pStyle w:val="Footnote"/>
        <w:bidi/>
      </w:pPr>
      <w:r>
        <w:rPr>
          <w:rStyle w:val="ac"/>
          <w:rtl/>
        </w:rPr>
        <w:footnoteRef/>
      </w:r>
      <w:r>
        <w:rPr>
          <w:rtl/>
        </w:rPr>
        <w:t>וה</w:t>
      </w:r>
      <w:r>
        <w:rPr>
          <w:b/>
          <w:bCs/>
          <w:rtl/>
        </w:rPr>
        <w:t>גרי"ז</w:t>
      </w:r>
      <w:r>
        <w:rPr>
          <w:rtl/>
        </w:rPr>
        <w:t xml:space="preserve"> נקט דכשיש חציצה על הרוב, סגי בביאת מים במיעוט [אבל עכ"פ בעי שכולו בתוך המים, דאם שערה אחת לא נכנס למים, חסר במעשה טבילה]. אבל יש לפרש דכיון דהחציצה נטפל לגוף, מהני ביאת מים ע"ג החציצה [וכמ"ש הקובה"ע], ונחשב ביאת מים על כולו. [ונפק"מ בזה אי בעינן ביאת מים על כל החציצה].</w:t>
      </w:r>
    </w:p>
  </w:footnote>
  <w:footnote w:id="4746">
    <w:p w14:paraId="6E36A169" w14:textId="77777777" w:rsidR="00F64AED" w:rsidRDefault="00F64AED" w:rsidP="00F64AED">
      <w:pPr>
        <w:pStyle w:val="Footnote"/>
        <w:bidi/>
      </w:pPr>
      <w:r>
        <w:rPr>
          <w:rStyle w:val="ac"/>
          <w:rtl/>
        </w:rPr>
        <w:footnoteRef/>
      </w:r>
      <w:r>
        <w:rPr>
          <w:rtl/>
        </w:rPr>
        <w:t>ולפ"ז סברת הגמ' דרביתיה אינו סברא בגדרי חציצה, אלא דנחשב כגוף א' לענין ביאת מים.</w:t>
      </w:r>
    </w:p>
  </w:footnote>
  <w:footnote w:id="4747">
    <w:p w14:paraId="40DB3467" w14:textId="77777777" w:rsidR="00F64AED" w:rsidRDefault="00F64AED" w:rsidP="00F64AED">
      <w:pPr>
        <w:pStyle w:val="Footnote"/>
        <w:bidi/>
      </w:pPr>
      <w:r>
        <w:rPr>
          <w:rStyle w:val="ac"/>
          <w:rtl/>
        </w:rPr>
        <w:footnoteRef/>
      </w:r>
      <w:r>
        <w:rPr>
          <w:rtl/>
        </w:rPr>
        <w:t>וה</w:t>
      </w:r>
      <w:r>
        <w:rPr>
          <w:b/>
          <w:bCs/>
          <w:rtl/>
        </w:rPr>
        <w:t>מנח"ח</w:t>
      </w:r>
      <w:r>
        <w:rPr>
          <w:rtl/>
        </w:rPr>
        <w:t xml:space="preserve"> כתב דלראשונים דדנים את רוב השער בפנ"ע לחציצה, א"כ ה"נ כל השער יחשב חציצה דאוריי'.</w:t>
      </w:r>
    </w:p>
  </w:footnote>
  <w:footnote w:id="4748">
    <w:p w14:paraId="3476259E" w14:textId="77777777" w:rsidR="00F64AED" w:rsidRDefault="00F64AED" w:rsidP="00F64AED">
      <w:pPr>
        <w:pStyle w:val="Footnote"/>
        <w:bidi/>
      </w:pPr>
      <w:r>
        <w:rPr>
          <w:rStyle w:val="ac"/>
          <w:rtl/>
        </w:rPr>
        <w:footnoteRef/>
      </w:r>
      <w:r>
        <w:rPr>
          <w:rtl/>
        </w:rPr>
        <w:t>ומ"מ משמע בגמ' דאילו היה רק רוב, אינו חוצץ, וצ"ב דהפסק אויר פוסל אף במיעוט.</w:t>
      </w:r>
    </w:p>
  </w:footnote>
  <w:footnote w:id="4749">
    <w:p w14:paraId="338DDBD7" w14:textId="77777777" w:rsidR="00F64AED" w:rsidRDefault="00F64AED" w:rsidP="00F64AED">
      <w:pPr>
        <w:pStyle w:val="Footnote"/>
        <w:bidi/>
      </w:pPr>
      <w:r>
        <w:rPr>
          <w:rStyle w:val="ac"/>
          <w:rtl/>
        </w:rPr>
        <w:footnoteRef/>
      </w:r>
      <w:r>
        <w:rPr>
          <w:rtl/>
        </w:rPr>
        <w:t>וה</w:t>
      </w:r>
      <w:r>
        <w:rPr>
          <w:b/>
          <w:bCs/>
          <w:rtl/>
        </w:rPr>
        <w:t xml:space="preserve">מרדכי </w:t>
      </w:r>
      <w:r>
        <w:rPr>
          <w:rtl/>
        </w:rPr>
        <w:t>(הל' נדה תשנא) הביא מכאן דבדבר שנעשה משום סכנה אינו חוצץ, דהוה רביתיה.</w:t>
      </w:r>
    </w:p>
  </w:footnote>
  <w:footnote w:id="4750">
    <w:p w14:paraId="64379ED8" w14:textId="77777777" w:rsidR="00F64AED" w:rsidRDefault="00F64AED" w:rsidP="00F64AED">
      <w:pPr>
        <w:pStyle w:val="Footnote"/>
        <w:bidi/>
      </w:pPr>
      <w:r>
        <w:rPr>
          <w:rStyle w:val="ac"/>
          <w:rtl/>
        </w:rPr>
        <w:footnoteRef/>
      </w:r>
      <w:r>
        <w:rPr>
          <w:rtl/>
        </w:rPr>
        <w:t>ומבואר דמחזקינן ליה באביו, ולא אמרי' דעכו"ם שטופי זימה הם, ע' לקמן צח. [ואפשר אחרי שנולד והוחזק כבנו, מהני חזקה זו].</w:t>
      </w:r>
    </w:p>
  </w:footnote>
  <w:footnote w:id="4751">
    <w:p w14:paraId="44D5B935" w14:textId="77777777" w:rsidR="00F64AED" w:rsidRDefault="00F64AED" w:rsidP="00F64AED">
      <w:pPr>
        <w:pStyle w:val="Footnote"/>
        <w:bidi/>
      </w:pPr>
      <w:r>
        <w:rPr>
          <w:rStyle w:val="ac"/>
          <w:rtl/>
        </w:rPr>
        <w:footnoteRef/>
      </w:r>
      <w:r>
        <w:rPr>
          <w:rtl/>
        </w:rPr>
        <w:t>אבל ה</w:t>
      </w:r>
      <w:r>
        <w:rPr>
          <w:b/>
          <w:bCs/>
          <w:rtl/>
        </w:rPr>
        <w:t>או"ש</w:t>
      </w:r>
      <w:r>
        <w:rPr>
          <w:rtl/>
        </w:rPr>
        <w:t xml:space="preserve"> (איסו"ב יב יט) דייק [מרש"י] דמשמע דעכו"ם עמוני שנשא משאר אומות לא אמרי' דבאומות הלך אחר הזכר, דאין לעכו"ם יחס לאב. [אבל הביא דברמב"ם ושא"פ מבואר דלא כן].</w:t>
      </w:r>
    </w:p>
  </w:footnote>
  <w:footnote w:id="4752">
    <w:p w14:paraId="562EFFF1" w14:textId="77777777" w:rsidR="00F64AED" w:rsidRDefault="00F64AED" w:rsidP="00F64AED">
      <w:pPr>
        <w:pStyle w:val="Footnote"/>
        <w:bidi/>
      </w:pPr>
      <w:r>
        <w:rPr>
          <w:rStyle w:val="ac"/>
          <w:rtl/>
        </w:rPr>
        <w:footnoteRef/>
      </w:r>
      <w:r>
        <w:rPr>
          <w:rtl/>
        </w:rPr>
        <w:t>וע"פ סברא זו אף בעכו"ם הבא על עמונית הבן כשר, וכ"כ בחי' ר' שמואל. [ודלא כקובה"ע].</w:t>
      </w:r>
    </w:p>
  </w:footnote>
  <w:footnote w:id="4753">
    <w:p w14:paraId="641DAAA6" w14:textId="77777777" w:rsidR="00F64AED" w:rsidRDefault="00F64AED" w:rsidP="00F64AED">
      <w:pPr>
        <w:pStyle w:val="Footnote"/>
        <w:bidi/>
      </w:pPr>
      <w:r>
        <w:rPr>
          <w:rStyle w:val="ac"/>
          <w:rtl/>
        </w:rPr>
        <w:footnoteRef/>
      </w:r>
      <w:r>
        <w:rPr>
          <w:rtl/>
        </w:rPr>
        <w:t>וכן הביא מהגמ' (גיטין נט:) דלוי ממזר אינו עולה כלוי. והקשה מזה ע"ד שו"ת הרשב"א (א רא) דדן שממזר כהן יחשב כהן.</w:t>
      </w:r>
    </w:p>
  </w:footnote>
  <w:footnote w:id="4754">
    <w:p w14:paraId="612883EF" w14:textId="77777777" w:rsidR="00F64AED" w:rsidRDefault="00F64AED" w:rsidP="00F64AED">
      <w:pPr>
        <w:pStyle w:val="Footnote"/>
        <w:bidi/>
      </w:pPr>
      <w:r>
        <w:rPr>
          <w:rStyle w:val="ac"/>
          <w:rtl/>
        </w:rPr>
        <w:footnoteRef/>
      </w:r>
      <w:r>
        <w:rPr>
          <w:rtl/>
        </w:rPr>
        <w:t>וב</w:t>
      </w:r>
      <w:r>
        <w:rPr>
          <w:b/>
          <w:bCs/>
          <w:rtl/>
        </w:rPr>
        <w:t>משנ"ל</w:t>
      </w:r>
      <w:r>
        <w:rPr>
          <w:rtl/>
        </w:rPr>
        <w:t xml:space="preserve"> (איסו"ב יט ה) נסתפק בכהן שנשא מצרית שניה, שהבן כשר [דלא שייך בזה אחר הפגום], שמא אינו כהן. [וה</w:t>
      </w:r>
      <w:r>
        <w:rPr>
          <w:b/>
          <w:bCs/>
          <w:rtl/>
        </w:rPr>
        <w:t>מנח"ח</w:t>
      </w:r>
      <w:r>
        <w:rPr>
          <w:rtl/>
        </w:rPr>
        <w:t xml:space="preserve"> רסד יא תמה עליו].</w:t>
      </w:r>
    </w:p>
  </w:footnote>
  <w:footnote w:id="4755">
    <w:p w14:paraId="6A5A5BA9" w14:textId="77777777" w:rsidR="00F64AED" w:rsidRDefault="00F64AED" w:rsidP="00F64AED">
      <w:pPr>
        <w:pStyle w:val="Footnote"/>
        <w:bidi/>
      </w:pPr>
      <w:r>
        <w:rPr>
          <w:rStyle w:val="ac"/>
          <w:rtl/>
        </w:rPr>
        <w:footnoteRef/>
      </w:r>
      <w:r>
        <w:rPr>
          <w:rtl/>
        </w:rPr>
        <w:t>וה</w:t>
      </w:r>
      <w:r>
        <w:rPr>
          <w:b/>
          <w:bCs/>
          <w:rtl/>
        </w:rPr>
        <w:t>קובה"ע</w:t>
      </w:r>
      <w:r>
        <w:rPr>
          <w:rtl/>
        </w:rPr>
        <w:t xml:space="preserve"> (מד ד בסוגריים) כתב דלכאורה בזה נח' ר' טרפון ור"א (קידושין סט. הו' בע"א) בממזר שנשא שפחה אי הוה עבד ממזר, האם הדין הלך אחר הפסול משנה סדר היחס, או רק מוסיף פגם. [ונקט דסברת ר"א דע"י הדין הלך אחר הפגום, נוצר יחס לאביו, אף דבכל שפחה אין יחס]. וכתב דלפ"ז י"ל דהתוספתא כר"א, ודלא כהלכה.</w:t>
      </w:r>
    </w:p>
  </w:footnote>
  <w:footnote w:id="4756">
    <w:p w14:paraId="277B5B8E" w14:textId="77777777" w:rsidR="00F64AED" w:rsidRDefault="00F64AED" w:rsidP="00F64AED">
      <w:pPr>
        <w:pStyle w:val="Footnote"/>
        <w:bidi/>
      </w:pPr>
      <w:r>
        <w:rPr>
          <w:rStyle w:val="ac"/>
          <w:rtl/>
        </w:rPr>
        <w:footnoteRef/>
      </w:r>
      <w:r>
        <w:rPr>
          <w:rtl/>
        </w:rPr>
        <w:t>ויש שדנו דמצרי במקום עמוני אינו פגם, ולא יהא הדין הלך אחר הפגום. ועוד יל"ד דיחס ב' אומות סותר זל"ז. [וע"ע חי' ר' שמואל קו' פסולי קהל ו].</w:t>
      </w:r>
    </w:p>
  </w:footnote>
  <w:footnote w:id="4757">
    <w:p w14:paraId="42742569" w14:textId="77777777" w:rsidR="00F64AED" w:rsidRDefault="00F64AED" w:rsidP="00F64AED">
      <w:pPr>
        <w:pStyle w:val="Footnote"/>
        <w:bidi/>
      </w:pPr>
      <w:r>
        <w:rPr>
          <w:rStyle w:val="ac"/>
          <w:rtl/>
        </w:rPr>
        <w:footnoteRef/>
      </w:r>
      <w:r>
        <w:rPr>
          <w:rtl/>
        </w:rPr>
        <w:t>ועד"ז הביאו בכ"מ דלאחר י' דורות כבר אינו מיוחס אחריו. [ובכ"מ בש"ס מצאנו יחוס עד דור י'. והיו י' דורות מאדם עד נח, ומנח עד אברהם וכו'. ו</w:t>
      </w:r>
      <w:r>
        <w:rPr>
          <w:b/>
          <w:bCs/>
          <w:rtl/>
        </w:rPr>
        <w:t>רש“י</w:t>
      </w:r>
      <w:r>
        <w:rPr>
          <w:rtl/>
        </w:rPr>
        <w:t xml:space="preserve"> (שמות יח ט) כת' דגיורא עד עשרה דרי לא תבזה ארמאה באפיה]. [והביאו בשם הגר"א שנולד מאב ואם, ובדור הבא הוה רבע, ודור י' הוה פחות מחלק מאלף].</w:t>
      </w:r>
    </w:p>
    <w:p w14:paraId="7CCC0A47" w14:textId="77777777" w:rsidR="00F64AED" w:rsidRDefault="00F64AED" w:rsidP="00F64AED">
      <w:pPr>
        <w:pStyle w:val="Footnote"/>
        <w:bidi/>
      </w:pPr>
      <w:r>
        <w:rPr>
          <w:rtl/>
        </w:rPr>
        <w:tab/>
        <w:t>{ועפ"ז י"ל דגדר ההיתר ממזרת אחר דור י' הוא שאין כח לאסור טפי. ולא דמי למצרי דיש 'דין היתר' דדור שלישי יבא [אף דעדיין שם מצרי עליו].</w:t>
      </w:r>
    </w:p>
  </w:footnote>
  <w:footnote w:id="4758">
    <w:p w14:paraId="3AB33D87" w14:textId="77777777" w:rsidR="00F64AED" w:rsidRDefault="00F64AED" w:rsidP="00F64AED">
      <w:pPr>
        <w:pStyle w:val="Footnote"/>
        <w:bidi/>
      </w:pPr>
      <w:r>
        <w:rPr>
          <w:rStyle w:val="ac"/>
          <w:rtl/>
        </w:rPr>
        <w:footnoteRef/>
      </w:r>
      <w:r>
        <w:rPr>
          <w:rtl/>
        </w:rPr>
        <w:t>יל"ד דהו"ל דיו כעמוני ומואבי, זכרים ולא נקבות. ולכאו' מבואר דעיקר הילפותא הוא בדין עד עולם [ולא שייך דיו בגזי"ש]. אלא דילפי' נמי בממזרות דלעולם זכרים ולא נקבות.</w:t>
      </w:r>
    </w:p>
  </w:footnote>
  <w:footnote w:id="4759">
    <w:p w14:paraId="094C4813" w14:textId="77777777" w:rsidR="00F64AED" w:rsidRDefault="00F64AED" w:rsidP="00F64AED">
      <w:pPr>
        <w:pStyle w:val="Footnote"/>
        <w:bidi/>
      </w:pPr>
      <w:r>
        <w:rPr>
          <w:rStyle w:val="ac"/>
          <w:rtl/>
        </w:rPr>
        <w:footnoteRef/>
      </w:r>
      <w:r>
        <w:rPr>
          <w:rtl/>
        </w:rPr>
        <w:t>וכמו במצרי שני [וע' מש"כ בזה בע"א].</w:t>
      </w:r>
    </w:p>
  </w:footnote>
  <w:footnote w:id="4760">
    <w:p w14:paraId="4E75C72F" w14:textId="77777777" w:rsidR="00F64AED" w:rsidRDefault="00F64AED" w:rsidP="00F64AED">
      <w:pPr>
        <w:pStyle w:val="Footnote"/>
        <w:bidi/>
      </w:pPr>
      <w:r>
        <w:rPr>
          <w:rStyle w:val="ac"/>
          <w:rtl/>
        </w:rPr>
        <w:footnoteRef/>
      </w:r>
      <w:r>
        <w:rPr>
          <w:rtl/>
        </w:rPr>
        <w:t>ועי"ש ב</w:t>
      </w:r>
      <w:r>
        <w:rPr>
          <w:b/>
          <w:bCs/>
          <w:rtl/>
        </w:rPr>
        <w:t>תו"י</w:t>
      </w:r>
      <w:r>
        <w:rPr>
          <w:rtl/>
        </w:rPr>
        <w:t xml:space="preserve"> דנסתפק בזה. [ולכאורה זה כוונתו, שהרי מבואר בהדיא דממזר זכר אסור לעולם, אלא דדן כשבא מכח ממזרת עשירית].</w:t>
      </w:r>
    </w:p>
  </w:footnote>
  <w:footnote w:id="4761">
    <w:p w14:paraId="17673E74" w14:textId="77777777" w:rsidR="00F64AED" w:rsidRDefault="00F64AED" w:rsidP="00F64AED">
      <w:pPr>
        <w:pStyle w:val="Footnote"/>
        <w:bidi/>
      </w:pPr>
      <w:r>
        <w:rPr>
          <w:rStyle w:val="ac"/>
          <w:rtl/>
        </w:rPr>
        <w:footnoteRef/>
      </w:r>
      <w:r>
        <w:rPr>
          <w:rtl/>
        </w:rPr>
        <w:t>אך בפשוטו אף למ"ד דון מינה ואוקי באתרא הוה גדר גזי"ש דילפי' דור עשירי בממזר מעמוני, אלא דגדר הפסול דומיא דממזר. [ובמה שנלמד מגזי"ש לא שייך 'דיו'].</w:t>
      </w:r>
    </w:p>
  </w:footnote>
  <w:footnote w:id="4762">
    <w:p w14:paraId="6ED39C97" w14:textId="77777777" w:rsidR="00F64AED" w:rsidRDefault="00F64AED" w:rsidP="00F64AED">
      <w:pPr>
        <w:pStyle w:val="Footnote"/>
        <w:bidi/>
      </w:pPr>
      <w:r>
        <w:rPr>
          <w:rStyle w:val="ac"/>
          <w:rtl/>
        </w:rPr>
        <w:footnoteRef/>
      </w:r>
      <w:r>
        <w:rPr>
          <w:rtl/>
        </w:rPr>
        <w:t xml:space="preserve">וכ"כ </w:t>
      </w:r>
      <w:r>
        <w:rPr>
          <w:b/>
          <w:bCs/>
          <w:rtl/>
        </w:rPr>
        <w:t>רש"י</w:t>
      </w:r>
      <w:r>
        <w:rPr>
          <w:rtl/>
        </w:rPr>
        <w:t xml:space="preserve"> (בכורות יז.) בהא דאי' דהמקבל צאן ברזל מעכו"ם, אפי' י' דורות פטורין ממעשר בהמה. וכת' </w:t>
      </w:r>
      <w:r>
        <w:rPr>
          <w:b/>
          <w:bCs/>
          <w:rtl/>
        </w:rPr>
        <w:t>רש"י</w:t>
      </w:r>
      <w:r>
        <w:rPr>
          <w:rtl/>
        </w:rPr>
        <w:t xml:space="preserve"> דה"ה עד עולם, וכדאי' גבי ממזר י' דורות, ואסורין עד עולם. [וצ"ב דהכא הוה גזיה"כ דילפי' מעמוני].</w:t>
      </w:r>
    </w:p>
  </w:footnote>
  <w:footnote w:id="4763">
    <w:p w14:paraId="472B2C64" w14:textId="77777777" w:rsidR="00F64AED" w:rsidRDefault="00F64AED" w:rsidP="00F64AED">
      <w:pPr>
        <w:pStyle w:val="Footnote"/>
        <w:bidi/>
      </w:pPr>
      <w:r>
        <w:rPr>
          <w:rStyle w:val="ac"/>
          <w:rtl/>
        </w:rPr>
        <w:footnoteRef/>
      </w:r>
      <w:r>
        <w:rPr>
          <w:rtl/>
        </w:rPr>
        <w:t>וכת' דר' מאיר (שם) דס"ל דלא היו טהורין לעתיד לבא ס"ל דון מינה ומינה, ונקיבות לאחר י' דורות מותרין וכר"ל.</w:t>
      </w:r>
    </w:p>
  </w:footnote>
  <w:footnote w:id="4764">
    <w:p w14:paraId="5E52C295" w14:textId="77777777" w:rsidR="00F64AED" w:rsidRDefault="00F64AED" w:rsidP="00F64AED">
      <w:pPr>
        <w:pStyle w:val="Footnote"/>
        <w:bidi/>
      </w:pPr>
      <w:r>
        <w:rPr>
          <w:rStyle w:val="ac"/>
          <w:rtl/>
        </w:rPr>
        <w:footnoteRef/>
      </w:r>
      <w:r>
        <w:rPr>
          <w:rtl/>
        </w:rPr>
        <w:t>ואף במקום שיש תרתי דסתרי מותר, דמותר בבת ישראל וממזרת בבת א'. [ואף דממ"נ יש בזה איסור]. וה</w:t>
      </w:r>
      <w:r>
        <w:rPr>
          <w:b/>
          <w:bCs/>
          <w:rtl/>
        </w:rPr>
        <w:t>רמב"ם</w:t>
      </w:r>
      <w:r>
        <w:rPr>
          <w:rtl/>
        </w:rPr>
        <w:t xml:space="preserve"> (טז א) כת' דפצוע דכא הותר בשתוקית, ואף דממ"נ יש בזה איסור [דס"ל דבקדושתיה קאי ואסור בממזרת, ע' לעיל עו.]. וע' שמעתתא א ו.</w:t>
      </w:r>
    </w:p>
  </w:footnote>
  <w:footnote w:id="4765">
    <w:p w14:paraId="27FFA832" w14:textId="77777777" w:rsidR="00F64AED" w:rsidRDefault="00F64AED" w:rsidP="00F64AED">
      <w:pPr>
        <w:pStyle w:val="Footnote"/>
        <w:bidi/>
      </w:pPr>
      <w:r>
        <w:rPr>
          <w:rStyle w:val="ac"/>
          <w:rtl/>
        </w:rPr>
        <w:footnoteRef/>
      </w:r>
      <w:r>
        <w:rPr>
          <w:rtl/>
        </w:rPr>
        <w:t>לחד מ"ד בקידושין שם.</w:t>
      </w:r>
    </w:p>
  </w:footnote>
  <w:footnote w:id="4766">
    <w:p w14:paraId="15E44661" w14:textId="77777777" w:rsidR="00F64AED" w:rsidRDefault="00F64AED" w:rsidP="00F64AED">
      <w:pPr>
        <w:pStyle w:val="Footnote"/>
        <w:bidi/>
      </w:pPr>
      <w:r>
        <w:rPr>
          <w:rStyle w:val="ac"/>
          <w:rtl/>
        </w:rPr>
        <w:footnoteRef/>
      </w:r>
      <w:r>
        <w:rPr>
          <w:rtl/>
        </w:rPr>
        <w:t>וה</w:t>
      </w:r>
      <w:r>
        <w:rPr>
          <w:b/>
          <w:bCs/>
          <w:rtl/>
        </w:rPr>
        <w:t>מנח"ח</w:t>
      </w:r>
      <w:r>
        <w:rPr>
          <w:rtl/>
        </w:rPr>
        <w:t xml:space="preserve"> (רסז) כת' דספק ממזר שבא על אשה לא נעשית ספק זונה דאורייתא, שהתורה התירה ספק ממזר ואינו בכלל 'איש זר' כלל, ואינה בכלל זונה. אך כיון דמדרבנן ספק ממזר אסור, נפסלה כמו שנבעלה לממזר דרבנן. [והמנח"ח דן האם נפסלת בתורת ודאי שנבעלה לשתוקי, דאסרו ודאי מחמת הספק. או דספק ממזר אסור רק בתורת ספק, ואף היא ספק דרבנן].</w:t>
      </w:r>
    </w:p>
  </w:footnote>
  <w:footnote w:id="4767">
    <w:p w14:paraId="716CC443" w14:textId="77777777" w:rsidR="00F64AED" w:rsidRDefault="00F64AED" w:rsidP="00F64AED">
      <w:pPr>
        <w:pStyle w:val="Footnote"/>
        <w:bidi/>
      </w:pPr>
      <w:r>
        <w:rPr>
          <w:rStyle w:val="ac"/>
          <w:rtl/>
        </w:rPr>
        <w:footnoteRef/>
      </w:r>
      <w:r>
        <w:rPr>
          <w:rtl/>
        </w:rPr>
        <w:t>ע' שער"י ג יא- יד.</w:t>
      </w:r>
    </w:p>
  </w:footnote>
  <w:footnote w:id="4768">
    <w:p w14:paraId="74B2340D" w14:textId="77777777" w:rsidR="00F64AED" w:rsidRDefault="00F64AED" w:rsidP="00F64AED">
      <w:pPr>
        <w:pStyle w:val="Footnote"/>
        <w:bidi/>
      </w:pPr>
      <w:r>
        <w:rPr>
          <w:rStyle w:val="ac"/>
          <w:rtl/>
        </w:rPr>
        <w:footnoteRef/>
      </w:r>
      <w:r>
        <w:rPr>
          <w:rtl/>
        </w:rPr>
        <w:t>וצ"ע דודאי מותר להאכיל את חבירו שאינו יודע שיש בזה צד ספק [כדאשכחן גבי ספק ערלה]. ואפשר דכיון דהמאכיל יודע, מהני הכרעת הספק אף למי שבא מכוחו. [משא"כ ממזר דאינו ידוע ליכא 'מאכיל'. ולפ"ז היכא דהממזר בעצמו יודע שיש בו ספק לכאורה מותר]. אך צ"ע דבערלה בחו"ל הותר להאכיל אף כשיודע בודאי שהוא ערלה. ולמאכיל ליכא ספק, ואף למי שאוכל לא נתעורר ספק.</w:t>
      </w:r>
    </w:p>
  </w:footnote>
  <w:footnote w:id="4769">
    <w:p w14:paraId="7383BE58" w14:textId="77777777" w:rsidR="00F64AED" w:rsidRDefault="00F64AED" w:rsidP="00F64AED">
      <w:pPr>
        <w:pStyle w:val="Footnote"/>
        <w:bidi/>
      </w:pPr>
      <w:r>
        <w:rPr>
          <w:rStyle w:val="ac"/>
          <w:rtl/>
        </w:rPr>
        <w:footnoteRef/>
      </w:r>
      <w:r>
        <w:rPr>
          <w:rtl/>
        </w:rPr>
        <w:t>אך יש שדנו דמשפחה שנטמעה הוה דין היתר נוסף. ואף לולי היתר ספק ממזר.</w:t>
      </w:r>
    </w:p>
  </w:footnote>
  <w:footnote w:id="4770">
    <w:p w14:paraId="202A3E44" w14:textId="77777777" w:rsidR="00F64AED" w:rsidRDefault="00F64AED" w:rsidP="00F64AED">
      <w:pPr>
        <w:pStyle w:val="Footnote"/>
        <w:bidi/>
      </w:pPr>
      <w:r>
        <w:rPr>
          <w:rStyle w:val="ac"/>
          <w:rtl/>
        </w:rPr>
        <w:footnoteRef/>
      </w:r>
      <w:r>
        <w:rPr>
          <w:rtl/>
        </w:rPr>
        <w:t>וכדאי' (קידושין ע:) דהקב"ה אינו משרה שכינתו אלא על משפחות המיוחסות. [וצ"ע דמבואר התם דאסור לגלות משפחות שיש צד פסול, אלא נותן לאחרים ליטמע ביניהן. ולא חששו מעלת יחוס המשפחה].</w:t>
      </w:r>
    </w:p>
  </w:footnote>
  <w:footnote w:id="4771">
    <w:p w14:paraId="0FA379C4" w14:textId="77777777" w:rsidR="00F64AED" w:rsidRDefault="00F64AED" w:rsidP="00F64AED">
      <w:pPr>
        <w:pStyle w:val="Footnote"/>
        <w:bidi/>
      </w:pPr>
      <w:r>
        <w:rPr>
          <w:rStyle w:val="ac"/>
          <w:rtl/>
        </w:rPr>
        <w:footnoteRef/>
      </w:r>
      <w:r>
        <w:rPr>
          <w:rtl/>
        </w:rPr>
        <w:t>ודנו הפוסקים האם הותר אף למי שיודע בפסולם. [ע' ר"ן שם, דרכ"מ ב ב, חזו"א א לב].</w:t>
      </w:r>
    </w:p>
  </w:footnote>
  <w:footnote w:id="4772">
    <w:p w14:paraId="0D831D7D" w14:textId="77777777" w:rsidR="00F64AED" w:rsidRDefault="00F64AED" w:rsidP="00F64AED">
      <w:pPr>
        <w:pStyle w:val="Footnote"/>
        <w:bidi/>
      </w:pPr>
      <w:r>
        <w:rPr>
          <w:rStyle w:val="ac"/>
          <w:rtl/>
        </w:rPr>
        <w:footnoteRef/>
      </w:r>
      <w:r>
        <w:rPr>
          <w:rtl/>
        </w:rPr>
        <w:t>וב</w:t>
      </w:r>
      <w:r>
        <w:rPr>
          <w:b/>
          <w:bCs/>
          <w:rtl/>
        </w:rPr>
        <w:t>ס' חסידים</w:t>
      </w:r>
      <w:r>
        <w:rPr>
          <w:rtl/>
        </w:rPr>
        <w:t xml:space="preserve"> (ריג) כת' דפעמים בא הריגת דבר או חרב, שנגזר לכלות הממזרים, ונגזר על כל העיר כדי שלא לביישם, שאם לא ימותו רק הממזרים היה נודע והיתה המשפחה מתביישת מפני חברתה. וכן אי' ב</w:t>
      </w:r>
      <w:r>
        <w:rPr>
          <w:b/>
          <w:bCs/>
          <w:rtl/>
        </w:rPr>
        <w:t>מדרש</w:t>
      </w:r>
      <w:r>
        <w:rPr>
          <w:rtl/>
        </w:rPr>
        <w:t xml:space="preserve"> (ויקרא רבה לב ו, הו' בסמוך) שא' לעיל שנה הקב"ה מביא דבר גדול לעולם ומכלה את הממזרים, ונוטל אף כשרים עמהם. דאף בשעה שהקב"ה מביא רעה לעולם מביאו בחכמה, שלא יתפרסמו החטאים.</w:t>
      </w:r>
    </w:p>
  </w:footnote>
  <w:footnote w:id="4773">
    <w:p w14:paraId="7A0EEA3F" w14:textId="77777777" w:rsidR="00F64AED" w:rsidRDefault="00F64AED" w:rsidP="00F64AED">
      <w:pPr>
        <w:pStyle w:val="Footnote"/>
        <w:bidi/>
      </w:pPr>
      <w:r>
        <w:rPr>
          <w:rStyle w:val="ac"/>
          <w:rtl/>
        </w:rPr>
        <w:footnoteRef/>
      </w:r>
      <w:r>
        <w:rPr>
          <w:rtl/>
        </w:rPr>
        <w:t>וה</w:t>
      </w:r>
      <w:r>
        <w:rPr>
          <w:b/>
          <w:bCs/>
          <w:rtl/>
        </w:rPr>
        <w:t>חזו"א</w:t>
      </w:r>
      <w:r>
        <w:rPr>
          <w:rtl/>
        </w:rPr>
        <w:t xml:space="preserve"> כתב דמשמע דלא תליא בר"ה ויוה"כ, אלא כך הוא המדה. ואף אם יש לו זכות לא מהני.</w:t>
      </w:r>
    </w:p>
  </w:footnote>
  <w:footnote w:id="4774">
    <w:p w14:paraId="293D68AD" w14:textId="77777777" w:rsidR="00F64AED" w:rsidRDefault="00F64AED" w:rsidP="00F64AED">
      <w:pPr>
        <w:pStyle w:val="Footnote"/>
        <w:bidi/>
      </w:pPr>
      <w:r>
        <w:rPr>
          <w:rStyle w:val="ac"/>
          <w:rtl/>
        </w:rPr>
        <w:footnoteRef/>
      </w:r>
      <w:r>
        <w:rPr>
          <w:rtl/>
        </w:rPr>
        <w:t>ובמדרש (ויקרא רבה לב ו) אמר רב דממזר אינו חי יותר על ל' יום. ור' חונאי אמר שהקב"ה מביא דבר גדול לעולם א' לעיל שנה ומכלה את הממזרים, והקב"ה עושה בחכמה ונוטל כשרים עמהם.</w:t>
      </w:r>
    </w:p>
  </w:footnote>
  <w:footnote w:id="4775">
    <w:p w14:paraId="33E57D01" w14:textId="77777777" w:rsidR="00F64AED" w:rsidRDefault="00F64AED" w:rsidP="00F64AED">
      <w:pPr>
        <w:pStyle w:val="Footnote"/>
        <w:bidi/>
      </w:pPr>
      <w:r>
        <w:rPr>
          <w:rStyle w:val="ac"/>
          <w:rtl/>
        </w:rPr>
        <w:footnoteRef/>
      </w:r>
      <w:r>
        <w:rPr>
          <w:rtl/>
        </w:rPr>
        <w:t>דהרבה שלוחין למקום לזווג ממזרת, או למנוע זרע.</w:t>
      </w:r>
    </w:p>
  </w:footnote>
  <w:footnote w:id="4776">
    <w:p w14:paraId="05F96622" w14:textId="77777777" w:rsidR="00F64AED" w:rsidRDefault="00F64AED" w:rsidP="00F64AED">
      <w:pPr>
        <w:pStyle w:val="Footnote"/>
        <w:bidi/>
      </w:pPr>
      <w:r>
        <w:rPr>
          <w:rStyle w:val="ac"/>
          <w:rtl/>
        </w:rPr>
        <w:footnoteRef/>
      </w:r>
      <w:r>
        <w:rPr>
          <w:rtl/>
        </w:rPr>
        <w:t>וה</w:t>
      </w:r>
      <w:r>
        <w:rPr>
          <w:b/>
          <w:bCs/>
          <w:rtl/>
        </w:rPr>
        <w:t>שעה"מ</w:t>
      </w:r>
      <w:r>
        <w:rPr>
          <w:rtl/>
        </w:rPr>
        <w:t xml:space="preserve"> הביא </w:t>
      </w:r>
      <w:r>
        <w:rPr>
          <w:b/>
          <w:bCs/>
          <w:rtl/>
        </w:rPr>
        <w:t>ילקוט</w:t>
      </w:r>
      <w:r>
        <w:rPr>
          <w:rtl/>
        </w:rPr>
        <w:t xml:space="preserve"> דהא דממזר לא חיי הוא מתפלת הנביאים ואילך כדי שלא ירבה ממזרים בישראל, ומדאורייתא חיי.</w:t>
      </w:r>
    </w:p>
    <w:p w14:paraId="4BCFE6DD" w14:textId="77777777" w:rsidR="00F64AED" w:rsidRDefault="00F64AED" w:rsidP="00F64AED">
      <w:pPr>
        <w:pStyle w:val="Footnote"/>
        <w:bidi/>
      </w:pPr>
      <w:r>
        <w:rPr>
          <w:rtl/>
        </w:rPr>
        <w:tab/>
        <w:t>וה</w:t>
      </w:r>
      <w:r>
        <w:rPr>
          <w:b/>
          <w:bCs/>
          <w:rtl/>
        </w:rPr>
        <w:t xml:space="preserve">קובה"ע </w:t>
      </w:r>
      <w:r>
        <w:rPr>
          <w:rtl/>
        </w:rPr>
        <w:t>כתב דלולי דין רוב, כל א' הוה בגדר ספק ממזר, ונתעורר הספק, וע"פ דברי ר' שמעון הותר.</w:t>
      </w:r>
    </w:p>
  </w:footnote>
  <w:footnote w:id="4777">
    <w:p w14:paraId="01D89530" w14:textId="77777777" w:rsidR="00F64AED" w:rsidRDefault="00F64AED" w:rsidP="00F64AED">
      <w:pPr>
        <w:pStyle w:val="Footnote"/>
        <w:bidi/>
      </w:pPr>
      <w:r>
        <w:rPr>
          <w:rStyle w:val="ac"/>
          <w:rtl/>
        </w:rPr>
        <w:footnoteRef/>
      </w:r>
      <w:r>
        <w:rPr>
          <w:rtl/>
        </w:rPr>
        <w:t>וה</w:t>
      </w:r>
      <w:r>
        <w:rPr>
          <w:b/>
          <w:bCs/>
          <w:rtl/>
        </w:rPr>
        <w:t>שעה"מ</w:t>
      </w:r>
      <w:r>
        <w:rPr>
          <w:rtl/>
        </w:rPr>
        <w:t xml:space="preserve"> (הנ"ל) הביא ילקוט דהא דממזר לא חיי הוא מתפלת הנביאים ואילך כדי שלא ירבה ממזרים בישראל.</w:t>
      </w:r>
    </w:p>
  </w:footnote>
  <w:footnote w:id="4778">
    <w:p w14:paraId="6CE0114D" w14:textId="77777777" w:rsidR="00F64AED" w:rsidRDefault="00F64AED" w:rsidP="00F64AED">
      <w:pPr>
        <w:pStyle w:val="Footnote"/>
        <w:bidi/>
      </w:pPr>
      <w:r>
        <w:rPr>
          <w:rStyle w:val="ac"/>
          <w:rtl/>
        </w:rPr>
        <w:footnoteRef/>
      </w:r>
      <w:r>
        <w:rPr>
          <w:rtl/>
        </w:rPr>
        <w:t>[וע' אהבת חסד ב ו שעמד בזה]. וב</w:t>
      </w:r>
      <w:r>
        <w:rPr>
          <w:b/>
          <w:bCs/>
          <w:rtl/>
        </w:rPr>
        <w:t>שו"ת חת"ס</w:t>
      </w:r>
      <w:r>
        <w:rPr>
          <w:rtl/>
        </w:rPr>
        <w:t xml:space="preserve"> (או"ח רח) כת' הטעם משום השבועה, שנשבעו נשיאי העדה להשאיר להם פליטה בארץ להיותם עכ"פ חוטבי עצים ושואבי מים. והעובר על זה ופסק לחיותם עובר על שבועה וחרם חייב מיתה [וכמו שמצאנו גבי עכן]. [וכת' דמדינא שאול היה חייב מיתה, אבל בניו לא נתחייבו. דאף בני עכן לא נענשו. והכא הרגו את הבנים משום הוראת שעה].</w:t>
      </w:r>
    </w:p>
  </w:footnote>
  <w:footnote w:id="4779">
    <w:p w14:paraId="6B04A006" w14:textId="77777777" w:rsidR="00F64AED" w:rsidRDefault="00F64AED" w:rsidP="00F64AED">
      <w:pPr>
        <w:pStyle w:val="Footnote"/>
        <w:bidi/>
      </w:pPr>
      <w:r>
        <w:rPr>
          <w:rStyle w:val="ac"/>
          <w:rtl/>
        </w:rPr>
        <w:footnoteRef/>
      </w:r>
      <w:r>
        <w:rPr>
          <w:rtl/>
        </w:rPr>
        <w:t>ותי' דכל הספד הוה התעוררות הנפש לעורר בכי [ול"ש בזה לשון מסויים]. אבל דוד שקינה קינה מיוחדת, מוכח דלא החשיבו, ובזה הוה זלזול בכבודו.</w:t>
      </w:r>
    </w:p>
  </w:footnote>
  <w:footnote w:id="4780">
    <w:p w14:paraId="2B7BEA10" w14:textId="77777777" w:rsidR="00F64AED" w:rsidRDefault="00F64AED" w:rsidP="00F64AED">
      <w:pPr>
        <w:pStyle w:val="Footnote"/>
        <w:bidi/>
      </w:pPr>
      <w:r>
        <w:rPr>
          <w:rStyle w:val="ac"/>
          <w:rtl/>
        </w:rPr>
        <w:footnoteRef/>
      </w:r>
      <w:r>
        <w:rPr>
          <w:rtl/>
        </w:rPr>
        <w:t>צ"ע דלכאורה ה"מ גדר עונש, ואילו הכא לכאורה הוה נקמה בעלמא. ולכאו' מבואר דכל קידוש ה' מותר.</w:t>
      </w:r>
    </w:p>
  </w:footnote>
  <w:footnote w:id="4781">
    <w:p w14:paraId="4BCF203C" w14:textId="77777777" w:rsidR="00F64AED" w:rsidRDefault="00F64AED" w:rsidP="00F64AED">
      <w:pPr>
        <w:pStyle w:val="Footnote"/>
        <w:bidi/>
      </w:pPr>
      <w:r>
        <w:rPr>
          <w:rStyle w:val="ac"/>
          <w:rtl/>
        </w:rPr>
        <w:footnoteRef/>
      </w:r>
      <w:r>
        <w:rPr>
          <w:rtl/>
        </w:rPr>
        <w:t>וה</w:t>
      </w:r>
      <w:r>
        <w:rPr>
          <w:b/>
          <w:bCs/>
          <w:rtl/>
        </w:rPr>
        <w:t>אחרונים</w:t>
      </w:r>
      <w:r>
        <w:rPr>
          <w:rtl/>
        </w:rPr>
        <w:t xml:space="preserve"> כתבו דלדעת </w:t>
      </w:r>
      <w:r>
        <w:rPr>
          <w:b/>
          <w:bCs/>
          <w:rtl/>
        </w:rPr>
        <w:t>תוס</w:t>
      </w:r>
      <w:r>
        <w:rPr>
          <w:rtl/>
        </w:rPr>
        <w:t>' (ע"ז, הנ"ל) דדרשי' בחטאו יומתו, ניחא דהוה אות א' בחטא'ו'.</w:t>
      </w:r>
    </w:p>
  </w:footnote>
  <w:footnote w:id="4782">
    <w:p w14:paraId="64146F04" w14:textId="77777777" w:rsidR="00F64AED" w:rsidRDefault="00F64AED" w:rsidP="00F64AED">
      <w:pPr>
        <w:pStyle w:val="Footnote"/>
        <w:bidi/>
      </w:pPr>
      <w:r>
        <w:rPr>
          <w:rStyle w:val="ac"/>
          <w:rtl/>
        </w:rPr>
        <w:footnoteRef/>
      </w:r>
      <w:r>
        <w:rPr>
          <w:rtl/>
        </w:rPr>
        <w:t>וקרי ליה עקירה משום דלא ידיע חובם</w:t>
      </w:r>
    </w:p>
  </w:footnote>
  <w:footnote w:id="4783">
    <w:p w14:paraId="7EF3E8C1" w14:textId="77777777" w:rsidR="00F64AED" w:rsidRDefault="00F64AED" w:rsidP="00F64AED">
      <w:pPr>
        <w:pStyle w:val="Footnote"/>
        <w:bidi/>
      </w:pPr>
      <w:r>
        <w:rPr>
          <w:rStyle w:val="ac"/>
          <w:rtl/>
        </w:rPr>
        <w:footnoteRef/>
      </w:r>
      <w:r>
        <w:rPr>
          <w:rtl/>
        </w:rPr>
        <w:t>דמאי חזית דדמא דהאי סמיק טפי. [אבל הם עצמם רשאים לברוח, דחייך קודמים. וכמ"ש הראשונים דהשבוי עצמו רשאי לברוח, ע' גיטין מה.].</w:t>
      </w:r>
    </w:p>
  </w:footnote>
  <w:footnote w:id="4784">
    <w:p w14:paraId="6E35416D" w14:textId="77777777" w:rsidR="00F64AED" w:rsidRDefault="00F64AED" w:rsidP="00F64AED">
      <w:pPr>
        <w:pStyle w:val="Footnote"/>
        <w:bidi/>
      </w:pPr>
      <w:r>
        <w:rPr>
          <w:rStyle w:val="ac"/>
          <w:rtl/>
        </w:rPr>
        <w:footnoteRef/>
      </w:r>
      <w:r>
        <w:rPr>
          <w:rtl/>
        </w:rPr>
        <w:t>וה</w:t>
      </w:r>
      <w:r>
        <w:rPr>
          <w:b/>
          <w:bCs/>
          <w:rtl/>
        </w:rPr>
        <w:t>פתח"ת</w:t>
      </w:r>
      <w:r>
        <w:rPr>
          <w:rtl/>
        </w:rPr>
        <w:t xml:space="preserve"> (קסג כז) ציין דכעי"ז אי' ב</w:t>
      </w:r>
      <w:r>
        <w:rPr>
          <w:b/>
          <w:bCs/>
          <w:rtl/>
        </w:rPr>
        <w:t>רמ"א</w:t>
      </w:r>
      <w:r>
        <w:rPr>
          <w:rtl/>
        </w:rPr>
        <w:t xml:space="preserve"> (שפח ב בסופו, וסמ"ע י) דכשרואה נזק שבא עליו [כגון מים השוטפים ובאים], מותר להציל עצמו אף שעי"ז ילך לאחרים. אבל היכא דכבר בא עליו המזיק, אינו רשאי לסלק עצמו כשגורם נזק לאחרים.</w:t>
      </w:r>
    </w:p>
    <w:p w14:paraId="0C1BE29E" w14:textId="77777777" w:rsidR="00F64AED" w:rsidRDefault="00F64AED" w:rsidP="00F64AED">
      <w:pPr>
        <w:pStyle w:val="Footnote"/>
        <w:bidi/>
      </w:pPr>
      <w:r>
        <w:rPr>
          <w:rtl/>
        </w:rPr>
        <w:tab/>
        <w:t>[ואפשר דבממון לא אמרי' חייך קודמין]. וה</w:t>
      </w:r>
      <w:r>
        <w:rPr>
          <w:b/>
          <w:bCs/>
          <w:rtl/>
        </w:rPr>
        <w:t>נוב"י</w:t>
      </w:r>
      <w:r>
        <w:rPr>
          <w:rtl/>
        </w:rPr>
        <w:t xml:space="preserve"> (ת יו"ד עד, מבן המחבר) כת' דבדברי מהר"י ב"ל נתחדש דאף אחרים רשאים להשתדל עבורו.</w:t>
      </w:r>
    </w:p>
  </w:footnote>
  <w:footnote w:id="4785">
    <w:p w14:paraId="24D19028" w14:textId="77777777" w:rsidR="00F64AED" w:rsidRDefault="00F64AED" w:rsidP="00F64AED">
      <w:pPr>
        <w:pStyle w:val="Footnote"/>
        <w:bidi/>
      </w:pPr>
      <w:r>
        <w:rPr>
          <w:rStyle w:val="ac"/>
          <w:rtl/>
        </w:rPr>
        <w:footnoteRef/>
      </w:r>
      <w:r>
        <w:rPr>
          <w:rtl/>
        </w:rPr>
        <w:t>וב</w:t>
      </w:r>
      <w:r>
        <w:rPr>
          <w:b/>
          <w:bCs/>
          <w:rtl/>
        </w:rPr>
        <w:t>שו"ת נוב"י</w:t>
      </w:r>
      <w:r>
        <w:rPr>
          <w:rtl/>
        </w:rPr>
        <w:t xml:space="preserve"> (בן המחבר שם, הו' בפתח"ת יו"ד קנז יג) כת' דאף שיש נערים קלים ועוברים על איזה מצות אין אנו רשאים לגרום למוסרם, להדיחם לגמרי מקהל ישראל. [בפרט שלא נתברר בעדות ברורה דעברו עבירה חמורה]. ושארית ישראל לא יעשו עולה כזו.</w:t>
      </w:r>
    </w:p>
  </w:footnote>
  <w:footnote w:id="4786">
    <w:p w14:paraId="16941052" w14:textId="77777777" w:rsidR="00F64AED" w:rsidRDefault="00F64AED" w:rsidP="00F64AED">
      <w:pPr>
        <w:pStyle w:val="Footnote"/>
        <w:bidi/>
      </w:pPr>
      <w:r>
        <w:rPr>
          <w:rStyle w:val="ac"/>
          <w:rtl/>
        </w:rPr>
        <w:footnoteRef/>
      </w:r>
      <w:r>
        <w:rPr>
          <w:rtl/>
        </w:rPr>
        <w:t>וכ"כ ב</w:t>
      </w:r>
      <w:r>
        <w:rPr>
          <w:b/>
          <w:bCs/>
          <w:rtl/>
        </w:rPr>
        <w:t>נוב"י</w:t>
      </w:r>
      <w:r>
        <w:rPr>
          <w:rtl/>
        </w:rPr>
        <w:t xml:space="preserve"> (הנ"ל) דכשיש גזירה כזו יש להשתדל [דרך שלילה] עבור אדם חשוב וכשר שלא יקחו אותו. כל זמן שלא קראו לו בפירוש, שרוצים אותו. אך אם קראו לו אינו רשאי [וכנ"ל]. וכת' וידעתי שבנדון זה קשה להורות, וע"ז אמרו חז"ל כשם שמצוה לומר דבר הנשמע כן מצוה שלא לומר דבר שאינו נשמע והמשכיל בעת ההיא ידום. [ואי"צ למחות במי שמשתדל להציל את הכשר]. אך אם רוצים למסור בידים צריך למחות.</w:t>
      </w:r>
    </w:p>
  </w:footnote>
  <w:footnote w:id="4787">
    <w:p w14:paraId="4942DFB2" w14:textId="77777777" w:rsidR="00F64AED" w:rsidRDefault="00F64AED" w:rsidP="00F64AED">
      <w:pPr>
        <w:pStyle w:val="Footnote"/>
        <w:bidi/>
      </w:pPr>
      <w:r>
        <w:rPr>
          <w:rStyle w:val="ac"/>
          <w:rtl/>
        </w:rPr>
        <w:footnoteRef/>
      </w:r>
      <w:r>
        <w:rPr>
          <w:rtl/>
        </w:rPr>
        <w:t>וב</w:t>
      </w:r>
      <w:r>
        <w:rPr>
          <w:b/>
          <w:bCs/>
          <w:rtl/>
        </w:rPr>
        <w:t>ירושלמי</w:t>
      </w:r>
      <w:r>
        <w:rPr>
          <w:rtl/>
        </w:rPr>
        <w:t xml:space="preserve"> (סנהדרין ו ז) אי' שהיו תלויין מט"ז ניסן עד י"ז מרחשון. אבל ה</w:t>
      </w:r>
      <w:r>
        <w:rPr>
          <w:b/>
          <w:bCs/>
          <w:rtl/>
        </w:rPr>
        <w:t>אברבנאל</w:t>
      </w:r>
      <w:r>
        <w:rPr>
          <w:rtl/>
        </w:rPr>
        <w:t xml:space="preserve"> (שמואל ב כא ט) כת' דלא הלינו אותם, ומיד שתלו אותם נתכפרו, וניתך עליהם גשמים. [ודלא כסוגיין].</w:t>
      </w:r>
    </w:p>
  </w:footnote>
  <w:footnote w:id="4788">
    <w:p w14:paraId="258C9B90" w14:textId="77777777" w:rsidR="00F64AED" w:rsidRDefault="00F64AED" w:rsidP="00F64AED">
      <w:pPr>
        <w:pStyle w:val="Footnote"/>
        <w:bidi/>
      </w:pPr>
      <w:r>
        <w:rPr>
          <w:rStyle w:val="ac"/>
          <w:rtl/>
        </w:rPr>
        <w:footnoteRef/>
      </w:r>
      <w:r>
        <w:rPr>
          <w:rtl/>
        </w:rPr>
        <w:t>וב</w:t>
      </w:r>
      <w:r>
        <w:rPr>
          <w:b/>
          <w:bCs/>
          <w:rtl/>
        </w:rPr>
        <w:t>ירושלמי</w:t>
      </w:r>
      <w:r>
        <w:rPr>
          <w:rtl/>
        </w:rPr>
        <w:t xml:space="preserve"> (שם) הביאו מכאן דגדול קידוש השם מחלול השם, דלא תלין הוה משום חילול השם [דכתיב כי קללת אלקים תלוי], ומשום קידוש השם הניחום תלויים.</w:t>
      </w:r>
    </w:p>
  </w:footnote>
  <w:footnote w:id="4789">
    <w:p w14:paraId="1E38AC5F" w14:textId="77777777" w:rsidR="00F64AED" w:rsidRDefault="00F64AED" w:rsidP="00F64AED">
      <w:pPr>
        <w:pStyle w:val="Footnote"/>
        <w:bidi/>
      </w:pPr>
      <w:r>
        <w:rPr>
          <w:rStyle w:val="ac"/>
          <w:rtl/>
        </w:rPr>
        <w:footnoteRef/>
      </w:r>
      <w:r>
        <w:rPr>
          <w:rtl/>
        </w:rPr>
        <w:t>ועד"ז כת' ה</w:t>
      </w:r>
      <w:r>
        <w:rPr>
          <w:b/>
          <w:bCs/>
          <w:rtl/>
        </w:rPr>
        <w:t>רמב"ן</w:t>
      </w:r>
      <w:r>
        <w:rPr>
          <w:rtl/>
        </w:rPr>
        <w:t xml:space="preserve"> (עה"ת דברים כא כב) דבני שאול הוקעו ע"י הגבעונים. ולא היו תלויים בבי"ד של ישראל, ולא מיד ישראל כלל.  אלא שדוד נתנם לגבעונים לעשות בהם כרצונם, והם הוקיעום, והגבעונים לא רצו לקברם לפרסם נקמתם מהם, שהנשארים ישמעו וייראו. [ומש"ה לא היה בכלל האיסור בל תלין. אך משמע מדברי הרמב"ן דאף הרוגי מלכות יש איסור בל תלין, דהוה ע"י ישראל].</w:t>
      </w:r>
    </w:p>
  </w:footnote>
  <w:footnote w:id="4790">
    <w:p w14:paraId="7F396FCE" w14:textId="77777777" w:rsidR="00F64AED" w:rsidRDefault="00F64AED" w:rsidP="00F64AED">
      <w:pPr>
        <w:pStyle w:val="Footnote"/>
        <w:bidi/>
      </w:pPr>
      <w:r>
        <w:rPr>
          <w:rStyle w:val="ac"/>
          <w:rtl/>
        </w:rPr>
        <w:footnoteRef/>
      </w:r>
      <w:r>
        <w:rPr>
          <w:rtl/>
        </w:rPr>
        <w:t>ולא מתפרש מקורו, וה</w:t>
      </w:r>
      <w:r>
        <w:rPr>
          <w:b/>
          <w:bCs/>
          <w:rtl/>
        </w:rPr>
        <w:t>אבה"א</w:t>
      </w:r>
      <w:r>
        <w:rPr>
          <w:rtl/>
        </w:rPr>
        <w:t xml:space="preserve"> כת' דמקורו מפשטיה דקרא דמעשה זו. [וצ"ע דהוה נגד הגמ'. ועוד לדברי הרמב"ן הנ"ל אין ראיה להרוגי מלך ישראל, אלא להרוגי עכו"ם].</w:t>
      </w:r>
    </w:p>
  </w:footnote>
  <w:footnote w:id="4791">
    <w:p w14:paraId="598333FC" w14:textId="77777777" w:rsidR="00F64AED" w:rsidRDefault="00F64AED" w:rsidP="00F64AED">
      <w:pPr>
        <w:pStyle w:val="Footnote"/>
        <w:bidi/>
      </w:pPr>
      <w:r>
        <w:rPr>
          <w:rStyle w:val="ac"/>
          <w:rtl/>
        </w:rPr>
        <w:footnoteRef/>
      </w:r>
      <w:r>
        <w:rPr>
          <w:rtl/>
        </w:rPr>
        <w:t>וה</w:t>
      </w:r>
      <w:r>
        <w:rPr>
          <w:b/>
          <w:bCs/>
          <w:rtl/>
        </w:rPr>
        <w:t>חת"ס</w:t>
      </w:r>
      <w:r>
        <w:rPr>
          <w:rtl/>
        </w:rPr>
        <w:t xml:space="preserve"> (או"ח רח) השיב לו דהכא לא נתחייבו מיתה מדין המלך, אלא מדין מעילה בשבועה וחרם. ומש"ה היה עקירת דבר מן התורה.</w:t>
      </w:r>
    </w:p>
  </w:footnote>
  <w:footnote w:id="4792">
    <w:p w14:paraId="196E3805" w14:textId="77777777" w:rsidR="00F64AED" w:rsidRDefault="00F64AED" w:rsidP="00F64AED">
      <w:pPr>
        <w:pStyle w:val="Footnote"/>
        <w:bidi/>
      </w:pPr>
      <w:r>
        <w:rPr>
          <w:rStyle w:val="ac"/>
          <w:rtl/>
        </w:rPr>
        <w:footnoteRef/>
      </w:r>
      <w:r>
        <w:rPr>
          <w:rtl/>
        </w:rPr>
        <w:t>ומבואר דשלמה העבידום כנושאי סבל וחוצבי הר, ולא רצה ליקח מבני ישראל. וצ"ב דלאחר שנתגיירו מצווה לאוהבו וכו' יותר מכל ישראל. [ומשמע דאפ"ה יש מעלה בישראל מחמת זה].</w:t>
      </w:r>
    </w:p>
  </w:footnote>
  <w:footnote w:id="4793">
    <w:p w14:paraId="3467D9C1" w14:textId="77777777" w:rsidR="00F64AED" w:rsidRDefault="00F64AED" w:rsidP="00F64AED">
      <w:pPr>
        <w:pStyle w:val="Footnote"/>
        <w:bidi/>
      </w:pPr>
      <w:r>
        <w:rPr>
          <w:rStyle w:val="ac"/>
          <w:rtl/>
        </w:rPr>
        <w:footnoteRef/>
      </w:r>
      <w:r>
        <w:rPr>
          <w:rtl/>
        </w:rPr>
        <w:t>ומשמע דגירות ל"צ בי"ד סמוכים. ודלא כתוס' (לעיל מו: מז.) דצריך סמוכים, או שליחותייהו עבדינן. [והרשב"א לשיטתו לעיל שם].</w:t>
      </w:r>
    </w:p>
  </w:footnote>
  <w:footnote w:id="4794">
    <w:p w14:paraId="0F1994F6" w14:textId="77777777" w:rsidR="00F64AED" w:rsidRDefault="00F64AED" w:rsidP="00F64AED">
      <w:pPr>
        <w:pStyle w:val="Footnote"/>
        <w:bidi/>
      </w:pPr>
      <w:r>
        <w:rPr>
          <w:rStyle w:val="ac"/>
          <w:rtl/>
        </w:rPr>
        <w:footnoteRef/>
      </w:r>
      <w:r>
        <w:rPr>
          <w:rtl/>
        </w:rPr>
        <w:t>ו</w:t>
      </w:r>
      <w:r>
        <w:rPr>
          <w:b/>
          <w:bCs/>
          <w:rtl/>
        </w:rPr>
        <w:t>ה"ה</w:t>
      </w:r>
      <w:r>
        <w:rPr>
          <w:rtl/>
        </w:rPr>
        <w:t xml:space="preserve"> כתב דהיינו בי"ד הדיוטות. אבל ה</w:t>
      </w:r>
      <w:r>
        <w:rPr>
          <w:b/>
          <w:bCs/>
          <w:rtl/>
        </w:rPr>
        <w:t>כס"מ</w:t>
      </w:r>
      <w:r>
        <w:rPr>
          <w:rtl/>
        </w:rPr>
        <w:t xml:space="preserve"> כתב דהוה הדיוטות שאינן בי"ד [וגרע מבי"ד מדיוטות בזה"ז דעושים שליחות קמאי].</w:t>
      </w:r>
    </w:p>
  </w:footnote>
  <w:footnote w:id="4795">
    <w:p w14:paraId="63745EA8" w14:textId="77777777" w:rsidR="00F64AED" w:rsidRDefault="00F64AED" w:rsidP="00F64AED">
      <w:pPr>
        <w:pStyle w:val="Footnote"/>
        <w:bidi/>
      </w:pPr>
      <w:r>
        <w:rPr>
          <w:rStyle w:val="ac"/>
          <w:rtl/>
        </w:rPr>
        <w:footnoteRef/>
      </w:r>
      <w:r>
        <w:rPr>
          <w:rtl/>
        </w:rPr>
        <w:t>ועוד פי' התוס' [ועוד יש לפרש] דהוה גזירה בפנ"ע לאסור בקהל, וקו' הגמ' דמסתמא כיון דגזר שעבוד גזר נמי איסור חיתון.</w:t>
      </w:r>
    </w:p>
  </w:footnote>
  <w:footnote w:id="4796">
    <w:p w14:paraId="02604334" w14:textId="77777777" w:rsidR="00F64AED" w:rsidRDefault="00F64AED" w:rsidP="00F64AED">
      <w:pPr>
        <w:pStyle w:val="Footnote"/>
        <w:bidi/>
      </w:pPr>
      <w:r>
        <w:rPr>
          <w:rStyle w:val="ac"/>
          <w:rtl/>
        </w:rPr>
        <w:footnoteRef/>
      </w:r>
      <w:r>
        <w:rPr>
          <w:rtl/>
        </w:rPr>
        <w:t>וכתב דמ"מ היינו כלפי בניהם שמתגיירים מחדש, וכמ"ש הראב"ד [ע' בסמוך]. ובזה גזר דוד דא"א להתגייר.</w:t>
      </w:r>
    </w:p>
  </w:footnote>
  <w:footnote w:id="4797">
    <w:p w14:paraId="41FED225" w14:textId="77777777" w:rsidR="00F64AED" w:rsidRDefault="00F64AED" w:rsidP="00F64AED">
      <w:pPr>
        <w:pStyle w:val="Footnote"/>
        <w:bidi/>
      </w:pPr>
      <w:r>
        <w:rPr>
          <w:rStyle w:val="ac"/>
          <w:rtl/>
        </w:rPr>
        <w:footnoteRef/>
      </w:r>
      <w:r>
        <w:rPr>
          <w:rtl/>
        </w:rPr>
        <w:t>ו</w:t>
      </w:r>
      <w:r>
        <w:rPr>
          <w:b/>
          <w:bCs/>
          <w:rtl/>
        </w:rPr>
        <w:t>רש"י</w:t>
      </w:r>
      <w:r>
        <w:rPr>
          <w:rtl/>
        </w:rPr>
        <w:t xml:space="preserve"> דייק מהפסוק (יהושע ט ד) ויעשה גם המה בערמה. [וכמו אומה הראשונה]. וב</w:t>
      </w:r>
      <w:r>
        <w:rPr>
          <w:b/>
          <w:bCs/>
          <w:rtl/>
        </w:rPr>
        <w:t>מדרש תנחומא</w:t>
      </w:r>
      <w:r>
        <w:rPr>
          <w:rtl/>
        </w:rPr>
        <w:t xml:space="preserve"> (נצבים ב) דרש מהו גם המה, ללמדך שבאו אצל משה ולא קבלן [ובמדרש משמע דהוה אותה אומה, ומשה כבר עשאום חוטבי עצים. אבל הרמב"ן ביאר כוונת המדרש דהוה אומה אחרת, ולא הצליחו לרמות את משה].</w:t>
      </w:r>
    </w:p>
  </w:footnote>
  <w:footnote w:id="4798">
    <w:p w14:paraId="67D0AE62" w14:textId="77777777" w:rsidR="00F64AED" w:rsidRDefault="00F64AED" w:rsidP="00F64AED">
      <w:pPr>
        <w:pStyle w:val="Footnote"/>
        <w:bidi/>
      </w:pPr>
      <w:r>
        <w:rPr>
          <w:rStyle w:val="ac"/>
          <w:rtl/>
        </w:rPr>
        <w:footnoteRef/>
      </w:r>
      <w:r>
        <w:rPr>
          <w:rtl/>
        </w:rPr>
        <w:t>ודוד גזר בזמן שאין ביהמ"ק קיים. בפשוטו משמע דגזר מעכשיו לזמן של אחר החורבן. אך יש שפי' דיהושע גזר בזמן המשכן ובזמן שילה. אבל בזמן נוב וגבעון הוה במה גדולה בעלמא, והותר התקנה. והוצרך דוד לגזור לדורו.</w:t>
      </w:r>
    </w:p>
  </w:footnote>
  <w:footnote w:id="4799">
    <w:p w14:paraId="4BBEC762" w14:textId="77777777" w:rsidR="00F64AED" w:rsidRDefault="00F64AED" w:rsidP="00F64AED">
      <w:pPr>
        <w:pStyle w:val="Footnote"/>
        <w:bidi/>
      </w:pPr>
      <w:r>
        <w:rPr>
          <w:rStyle w:val="ac"/>
          <w:rtl/>
        </w:rPr>
        <w:footnoteRef/>
      </w:r>
      <w:r>
        <w:rPr>
          <w:rtl/>
        </w:rPr>
        <w:t>ואף דלא מצאנו דמשה גזר חתנות, מ"מ הגמ' מקשה דע"י שגזר שעבוד נאסרו.</w:t>
      </w:r>
    </w:p>
  </w:footnote>
  <w:footnote w:id="4800">
    <w:p w14:paraId="70F3D603" w14:textId="77777777" w:rsidR="00F64AED" w:rsidRDefault="00F64AED" w:rsidP="00F64AED">
      <w:pPr>
        <w:pStyle w:val="Footnote"/>
        <w:bidi/>
      </w:pPr>
      <w:r>
        <w:rPr>
          <w:rStyle w:val="ac"/>
          <w:rtl/>
        </w:rPr>
        <w:footnoteRef/>
      </w:r>
      <w:r>
        <w:rPr>
          <w:rtl/>
        </w:rPr>
        <w:t>משמע דאילו הקנום להיות עבדים מיוחדים, ממילא יש בהם לא יהא קדוש. אלא דגזירת עבדות לא הוה הקנאה לאדם מסויים.</w:t>
      </w:r>
    </w:p>
  </w:footnote>
  <w:footnote w:id="4801">
    <w:p w14:paraId="55662201" w14:textId="77777777" w:rsidR="00F64AED" w:rsidRDefault="00F64AED" w:rsidP="00F64AED">
      <w:pPr>
        <w:pStyle w:val="Footnote"/>
        <w:bidi/>
      </w:pPr>
      <w:r>
        <w:rPr>
          <w:rStyle w:val="ac"/>
          <w:rtl/>
        </w:rPr>
        <w:footnoteRef/>
      </w:r>
      <w:r>
        <w:rPr>
          <w:rtl/>
        </w:rPr>
        <w:t>ויש שדנו דא"כ אינה בכלל לאו ד'לא תהיה קדשה', כיון דתפסי קידושין.</w:t>
      </w:r>
    </w:p>
  </w:footnote>
  <w:footnote w:id="4802">
    <w:p w14:paraId="4A337660" w14:textId="77777777" w:rsidR="00F64AED" w:rsidRDefault="00F64AED" w:rsidP="00F64AED">
      <w:pPr>
        <w:pStyle w:val="Footnote"/>
        <w:bidi/>
      </w:pPr>
      <w:r>
        <w:rPr>
          <w:rStyle w:val="ac"/>
          <w:rtl/>
        </w:rPr>
        <w:footnoteRef/>
      </w:r>
      <w:r>
        <w:rPr>
          <w:rtl/>
        </w:rPr>
        <w:t>ומש"ה דוד נתנם לעבודת הלוים. ולא שיהו כעבדים לכל דבריהם בין לתקנתם בין לקלקלתם. והמלחמות כת' דהטעם שגזרו עליהם עבדות, שלא ידבקו במשפחות המיוחסות שבישראל [ולהרחיקן מהם] אבל בפסולין לא גזר.</w:t>
      </w:r>
    </w:p>
  </w:footnote>
  <w:footnote w:id="4803">
    <w:p w14:paraId="33511DF0" w14:textId="77777777" w:rsidR="00F64AED" w:rsidRDefault="00F64AED" w:rsidP="00F64AED">
      <w:pPr>
        <w:pStyle w:val="Footnote"/>
        <w:bidi/>
      </w:pPr>
      <w:r>
        <w:rPr>
          <w:rStyle w:val="ac"/>
          <w:rtl/>
        </w:rPr>
        <w:footnoteRef/>
      </w:r>
      <w:r>
        <w:rPr>
          <w:rtl/>
        </w:rPr>
        <w:t>וב</w:t>
      </w:r>
      <w:r>
        <w:rPr>
          <w:b/>
          <w:bCs/>
          <w:rtl/>
        </w:rPr>
        <w:t>פי' ר' חיים פלטיאל</w:t>
      </w:r>
      <w:r>
        <w:rPr>
          <w:rtl/>
        </w:rPr>
        <w:t xml:space="preserve"> (מבעלי התוס', נצבים כט י) תי' דמדאורייתא אסור רק דרך חיתון, ודוד גזר גם דרך פלגשות וזנות. ובמשנה דידן משמע דקאי דרך זנות, ומש"ה הביא גזירת דוד. אבל במשנה במכות לוקה דרך חיתון.</w:t>
      </w:r>
    </w:p>
  </w:footnote>
  <w:footnote w:id="4804">
    <w:p w14:paraId="49F64A97" w14:textId="77777777" w:rsidR="00F64AED" w:rsidRDefault="00F64AED" w:rsidP="00F64AED">
      <w:pPr>
        <w:pStyle w:val="Footnote"/>
        <w:bidi/>
      </w:pPr>
      <w:r>
        <w:rPr>
          <w:rStyle w:val="ac"/>
          <w:rtl/>
        </w:rPr>
        <w:footnoteRef/>
      </w:r>
      <w:r>
        <w:rPr>
          <w:rtl/>
        </w:rPr>
        <w:t>וביאר לפי מעשיהם מקולקלים מכל האומות, ואינם ראויים לידבק באומה זו [אפי' נתגייר]. אבל זרע שנולד להם בקדושה משנתגיירו הרי הוא כישראל כשר.</w:t>
      </w:r>
    </w:p>
  </w:footnote>
  <w:footnote w:id="4805">
    <w:p w14:paraId="08986ADC" w14:textId="77777777" w:rsidR="00F64AED" w:rsidRDefault="00F64AED" w:rsidP="00F64AED">
      <w:pPr>
        <w:pStyle w:val="Footnote"/>
        <w:bidi/>
      </w:pPr>
      <w:r>
        <w:rPr>
          <w:rStyle w:val="ac"/>
          <w:rtl/>
        </w:rPr>
        <w:footnoteRef/>
      </w:r>
      <w:r>
        <w:rPr>
          <w:rtl/>
        </w:rPr>
        <w:t>לכאו' כוונתו דלא חל הגירות בימי יהושע, ואם יבא א' לפנינו ויתגייר, יש איסור דאורייתא. אבל בניו אסורין רק מדרבנן. אך יש שהביאו את דבריו דדור ראשון [שנתגיירו בימי יהושע] אסור מדאורייתא, ושאר דורותיו מדרבנן. [ולפ"ז מתני' דאלו הן הלוקין הוא אילו ימצא נתינה דאורייתא].</w:t>
      </w:r>
    </w:p>
  </w:footnote>
  <w:footnote w:id="4806">
    <w:p w14:paraId="5A4831E4" w14:textId="77777777" w:rsidR="00F64AED" w:rsidRDefault="00F64AED" w:rsidP="00F64AED">
      <w:pPr>
        <w:pStyle w:val="Footnote"/>
        <w:bidi/>
      </w:pPr>
      <w:r>
        <w:rPr>
          <w:rStyle w:val="ac"/>
          <w:rtl/>
        </w:rPr>
        <w:footnoteRef/>
      </w:r>
      <w:r>
        <w:rPr>
          <w:rtl/>
        </w:rPr>
        <w:t>ולכאו' תפסי קידושין, וכדמשמע בכל דוכתי דהוה חייבי לאוין דתפסי קידושין.</w:t>
      </w:r>
    </w:p>
  </w:footnote>
  <w:footnote w:id="4807">
    <w:p w14:paraId="1EAEEBF8" w14:textId="77777777" w:rsidR="00F64AED" w:rsidRDefault="00F64AED" w:rsidP="00F64AED">
      <w:pPr>
        <w:pStyle w:val="Footnote"/>
        <w:bidi/>
      </w:pPr>
      <w:r>
        <w:rPr>
          <w:rStyle w:val="ac"/>
          <w:rtl/>
        </w:rPr>
        <w:footnoteRef/>
      </w:r>
      <w:r>
        <w:rPr>
          <w:rtl/>
        </w:rPr>
        <w:t>וצ"ע גדר זה דהוה ישראל במקצת.</w:t>
      </w:r>
    </w:p>
  </w:footnote>
  <w:footnote w:id="4808">
    <w:p w14:paraId="379F5167" w14:textId="77777777" w:rsidR="00F64AED" w:rsidRDefault="00F64AED" w:rsidP="00F64AED">
      <w:pPr>
        <w:pStyle w:val="Footnote"/>
        <w:bidi/>
      </w:pPr>
      <w:r>
        <w:rPr>
          <w:rStyle w:val="ac"/>
          <w:rtl/>
        </w:rPr>
        <w:footnoteRef/>
      </w:r>
      <w:r>
        <w:rPr>
          <w:rtl/>
        </w:rPr>
        <w:t>וה</w:t>
      </w:r>
      <w:r>
        <w:rPr>
          <w:b/>
          <w:bCs/>
          <w:rtl/>
        </w:rPr>
        <w:t>רמב"ן</w:t>
      </w:r>
      <w:r>
        <w:rPr>
          <w:rtl/>
        </w:rPr>
        <w:t xml:space="preserve"> (מכות יג.) ביאר דאי לא קתני לה כלל חיישי' דילמא אגב דרגילי אינשי למתנינהו טעו בה תנאי. ולפיכך תנא סיפא לגלויי על רישא דלאו דוקא, וכל היכא דקתני לה בדאורייתא לאו דוקא אלא שגירות לשון התנא הוא.</w:t>
      </w:r>
    </w:p>
  </w:footnote>
  <w:footnote w:id="4809">
    <w:p w14:paraId="76029AC1" w14:textId="77777777" w:rsidR="00F64AED" w:rsidRDefault="00F64AED" w:rsidP="00F64AED">
      <w:pPr>
        <w:pStyle w:val="Footnote"/>
        <w:bidi/>
      </w:pPr>
      <w:r>
        <w:rPr>
          <w:rStyle w:val="ac"/>
          <w:rtl/>
        </w:rPr>
        <w:footnoteRef/>
      </w:r>
      <w:r>
        <w:rPr>
          <w:rtl/>
        </w:rPr>
        <w:t>דחלוצה מגרושה קא מרבינן לה, ומש"ה קתני לה בהדה בכל מקום, אבל נתינה לאו מממזרת אתיא, ולמאי הלכתא קתני לה הכי.</w:t>
      </w:r>
    </w:p>
  </w:footnote>
  <w:footnote w:id="4810">
    <w:p w14:paraId="5CF7E31C" w14:textId="77777777" w:rsidR="00F64AED" w:rsidRDefault="00F64AED" w:rsidP="00F64AED">
      <w:pPr>
        <w:pStyle w:val="Footnote"/>
        <w:bidi/>
      </w:pPr>
      <w:r>
        <w:rPr>
          <w:rStyle w:val="ac"/>
          <w:rtl/>
        </w:rPr>
        <w:footnoteRef/>
      </w:r>
      <w:r>
        <w:rPr>
          <w:rtl/>
        </w:rPr>
        <w:t>והיאך אנו יכולין לדחות דברי רב ששת ורבה ורב חסדא בלא ראיה גמורה.</w:t>
      </w:r>
    </w:p>
    <w:p w14:paraId="2CD092E6" w14:textId="77777777" w:rsidR="00F64AED" w:rsidRDefault="00F64AED" w:rsidP="00F64AED">
      <w:pPr>
        <w:pStyle w:val="Footnote"/>
        <w:bidi/>
      </w:pPr>
      <w:r>
        <w:rPr>
          <w:rtl/>
        </w:rPr>
        <w:tab/>
        <w:t>ועוד הביא ה</w:t>
      </w:r>
      <w:r>
        <w:rPr>
          <w:b/>
          <w:bCs/>
          <w:rtl/>
        </w:rPr>
        <w:t>מלחמות</w:t>
      </w:r>
      <w:r>
        <w:rPr>
          <w:rtl/>
        </w:rPr>
        <w:t xml:space="preserve"> דבגמ' (כתובות יד:) אי' איזו היא עיסה כל שאין בה לא משום ממזרת ולא משום נתינות, ובגמ' שם אי' דהוה דאורייתא.</w:t>
      </w:r>
    </w:p>
  </w:footnote>
  <w:footnote w:id="4811">
    <w:p w14:paraId="58A04058" w14:textId="77777777" w:rsidR="00F64AED" w:rsidRDefault="00F64AED" w:rsidP="00F64AED">
      <w:pPr>
        <w:pStyle w:val="Footnote"/>
        <w:bidi/>
      </w:pPr>
      <w:r>
        <w:rPr>
          <w:rStyle w:val="ac"/>
          <w:rtl/>
        </w:rPr>
        <w:footnoteRef/>
      </w:r>
      <w:r>
        <w:rPr>
          <w:rtl/>
        </w:rPr>
        <w:t>ו</w:t>
      </w:r>
      <w:r>
        <w:rPr>
          <w:b/>
          <w:bCs/>
          <w:rtl/>
        </w:rPr>
        <w:t>תוס</w:t>
      </w:r>
      <w:r>
        <w:rPr>
          <w:rtl/>
        </w:rPr>
        <w:t>' (גיטין מא.) הוכיחו כן מהא דחצי עבד לא התירו שישא נתינה.</w:t>
      </w:r>
    </w:p>
    <w:p w14:paraId="16D1520D" w14:textId="77777777" w:rsidR="00F64AED" w:rsidRDefault="00F64AED" w:rsidP="00F64AED">
      <w:pPr>
        <w:pStyle w:val="Footnote"/>
        <w:bidi/>
      </w:pPr>
      <w:r>
        <w:rPr>
          <w:rtl/>
        </w:rPr>
        <w:tab/>
        <w:t>ותוס' הק' דבגמ' (לקמן פה: ושם תוד"ה ממזרת) משמע דאף נתינה מרגלה ליה, שיוכל בנה ליטהר ע"י שפחה. ותוס' דחו דיש בזה איסור, אלא שאינה חוששת, כיון דיש בזה טהרה.</w:t>
      </w:r>
    </w:p>
  </w:footnote>
  <w:footnote w:id="4812">
    <w:p w14:paraId="77458DA4" w14:textId="77777777" w:rsidR="00F64AED" w:rsidRDefault="00F64AED" w:rsidP="00F64AED">
      <w:pPr>
        <w:pStyle w:val="Footnote"/>
        <w:bidi/>
      </w:pPr>
      <w:r>
        <w:rPr>
          <w:rStyle w:val="ac"/>
          <w:rtl/>
        </w:rPr>
        <w:footnoteRef/>
      </w:r>
      <w:r>
        <w:rPr>
          <w:rtl/>
        </w:rPr>
        <w:t>והפתח"ת ציין דה</w:t>
      </w:r>
      <w:r>
        <w:rPr>
          <w:b/>
          <w:bCs/>
          <w:rtl/>
        </w:rPr>
        <w:t>רמ"ע מפאנו</w:t>
      </w:r>
      <w:r>
        <w:rPr>
          <w:rtl/>
        </w:rPr>
        <w:t xml:space="preserve"> (מאמר חיקור דין) הביא בשם חז"ל על ישי אבי דוד, שבזקנותו חשש דילמא יש איסור עמונית ומואבית, ופירש מאשתו. אך לקיים 'ולערב אל תנח ידך' (לעיל סב:) ביקש לבא על שפחתו ושחררה על תנאי. והפתח"ת הביא דמבואר דלצד שיש לו איסור עמוני ומואבי, הותר בשפחה.</w:t>
      </w:r>
    </w:p>
  </w:footnote>
  <w:footnote w:id="4813">
    <w:p w14:paraId="4257D360" w14:textId="77777777" w:rsidR="00F64AED" w:rsidRDefault="00F64AED" w:rsidP="00F64AED">
      <w:pPr>
        <w:pStyle w:val="Footnote"/>
        <w:bidi/>
      </w:pPr>
      <w:r>
        <w:rPr>
          <w:rStyle w:val="ac"/>
          <w:rtl/>
        </w:rPr>
        <w:footnoteRef/>
      </w:r>
      <w:r>
        <w:rPr>
          <w:rtl/>
        </w:rPr>
        <w:t>בפשוטו משמע דמעולם לא גזרו איסור חיתון, אלא דהוה סברא שאין ראוי שיתחתנו. וכיון דהתירו השעבוד, ממילא מותרין בחיתון. ועיל"פ דלעולם הוה גזירה בפנ"ע, אלא כיון דתלו איסור חיתון בשעבוד, מש"ה הותר ממילא כשבטל האיסור חיתון. ועוד אפשר דלעולם צריך בי"ד שני להתיר, ובמקום שהגזירה תלי בדבר יש כח לבי"ד שני [אף שהוא קטן מהראשון] להתירו.</w:t>
      </w:r>
    </w:p>
  </w:footnote>
  <w:footnote w:id="4814">
    <w:p w14:paraId="3E54DB06" w14:textId="77777777" w:rsidR="00F64AED" w:rsidRDefault="00F64AED" w:rsidP="00F64AED">
      <w:pPr>
        <w:pStyle w:val="Footnote"/>
        <w:bidi/>
      </w:pPr>
      <w:r>
        <w:rPr>
          <w:rStyle w:val="ac"/>
          <w:rtl/>
        </w:rPr>
        <w:footnoteRef/>
      </w:r>
      <w:r>
        <w:rPr>
          <w:rtl/>
        </w:rPr>
        <w:t>ואף דביהמ"ק אינו קיים, ואין למי לעבוד, מ"מ עצם השעבוד קיים. ובזה פליג ר' חייא בר אבא.</w:t>
      </w:r>
    </w:p>
  </w:footnote>
  <w:footnote w:id="4815">
    <w:p w14:paraId="58634427" w14:textId="77777777" w:rsidR="00F64AED" w:rsidRDefault="00F64AED" w:rsidP="00F64AED">
      <w:pPr>
        <w:pStyle w:val="Footnote"/>
        <w:bidi/>
      </w:pPr>
      <w:r>
        <w:rPr>
          <w:rStyle w:val="ac"/>
          <w:rtl/>
        </w:rPr>
        <w:footnoteRef/>
      </w:r>
      <w:r>
        <w:rPr>
          <w:rtl/>
        </w:rPr>
        <w:t>אבל ה</w:t>
      </w:r>
      <w:r>
        <w:rPr>
          <w:b/>
          <w:bCs/>
          <w:rtl/>
        </w:rPr>
        <w:t>שיטמ"ק</w:t>
      </w:r>
      <w:r>
        <w:rPr>
          <w:rtl/>
        </w:rPr>
        <w:t xml:space="preserve"> (כתובות שם) ביאר דדעת רש"י דקו' הגמ' חלק מזבח מי יתיר, והוה חציו עבד וחציו בן חורין, ואכתי אסירי לבא בקהל משום צד עבדות שבהם. [דיש קנין איסור מחמת שעבוד למזבח. ויל"ד מי בעלים על קנין איסור זו, ולכאו' ל"ש קנין כזה להקדש, ע' גיטין לח:].</w:t>
      </w:r>
    </w:p>
  </w:footnote>
  <w:footnote w:id="4816">
    <w:p w14:paraId="733A773D" w14:textId="77777777" w:rsidR="00F64AED" w:rsidRDefault="00F64AED" w:rsidP="00F64AED">
      <w:pPr>
        <w:pStyle w:val="Footnote"/>
        <w:bidi/>
      </w:pPr>
      <w:r>
        <w:rPr>
          <w:rStyle w:val="ac"/>
          <w:rtl/>
        </w:rPr>
        <w:footnoteRef/>
      </w:r>
      <w:r>
        <w:rPr>
          <w:rtl/>
        </w:rPr>
        <w:t>וה</w:t>
      </w:r>
      <w:r>
        <w:rPr>
          <w:b/>
          <w:bCs/>
          <w:rtl/>
        </w:rPr>
        <w:t>מקד"ד</w:t>
      </w:r>
      <w:r>
        <w:rPr>
          <w:rtl/>
        </w:rPr>
        <w:t xml:space="preserve"> (קדשים לה) הביא דכ"מ ב</w:t>
      </w:r>
      <w:r>
        <w:rPr>
          <w:b/>
          <w:bCs/>
          <w:rtl/>
        </w:rPr>
        <w:t>רש"י</w:t>
      </w:r>
      <w:r>
        <w:rPr>
          <w:rtl/>
        </w:rPr>
        <w:t xml:space="preserve"> (כתובות קו.) דהפקירו מעות תרומת הלישכה למגיהי ספרים וכדו'. ועוד ציין (ב"מ קיח.) דתקנו שכר מהקדש לשומרי ספיחי שביעית מתרומת הלישכה. ומבואר דזוכה במעות משום הפקר בי"ד.</w:t>
      </w:r>
    </w:p>
  </w:footnote>
  <w:footnote w:id="4817">
    <w:p w14:paraId="24FD4EA8" w14:textId="77777777" w:rsidR="00F64AED" w:rsidRDefault="00F64AED" w:rsidP="00F64AED">
      <w:pPr>
        <w:pStyle w:val="Footnote"/>
        <w:bidi/>
      </w:pPr>
      <w:r>
        <w:rPr>
          <w:rStyle w:val="ac"/>
          <w:rtl/>
        </w:rPr>
        <w:footnoteRef/>
      </w:r>
      <w:r>
        <w:rPr>
          <w:rtl/>
        </w:rPr>
        <w:t>[ודעת ה</w:t>
      </w:r>
      <w:r>
        <w:rPr>
          <w:b/>
          <w:bCs/>
          <w:rtl/>
        </w:rPr>
        <w:t>רמ"ה</w:t>
      </w:r>
      <w:r>
        <w:rPr>
          <w:rtl/>
        </w:rPr>
        <w:t xml:space="preserve"> (בחי' מכת"י גיטין שם) דנחשב עקירת דבר מן התורה, אף דמהני ע"י הפקר בי"ד]. וה</w:t>
      </w:r>
      <w:r>
        <w:rPr>
          <w:b/>
          <w:bCs/>
          <w:rtl/>
        </w:rPr>
        <w:t>רמב"ם</w:t>
      </w:r>
      <w:r>
        <w:rPr>
          <w:rtl/>
        </w:rPr>
        <w:t xml:space="preserve"> (ממרים ב ד) כת' דלפי שעה יכולים לתקן ע"י הפקר בי"ד, ולא חשיב שמבטל תקנת בי"ד הראשון.</w:t>
      </w:r>
    </w:p>
  </w:footnote>
  <w:footnote w:id="4818">
    <w:p w14:paraId="24BF414C" w14:textId="77777777" w:rsidR="00F64AED" w:rsidRDefault="00F64AED" w:rsidP="00F64AED">
      <w:pPr>
        <w:pStyle w:val="Footnote"/>
        <w:bidi/>
      </w:pPr>
      <w:r>
        <w:rPr>
          <w:rStyle w:val="ac"/>
          <w:rtl/>
        </w:rPr>
        <w:footnoteRef/>
      </w:r>
      <w:r>
        <w:rPr>
          <w:rtl/>
        </w:rPr>
        <w:t>אמנם לכאורה יחשב פצוע דכא, דהוה בידי אדם, ויפסל.</w:t>
      </w:r>
    </w:p>
  </w:footnote>
  <w:footnote w:id="4819">
    <w:p w14:paraId="5838D846" w14:textId="77777777" w:rsidR="00F64AED" w:rsidRDefault="00F64AED" w:rsidP="00F64AED">
      <w:pPr>
        <w:pStyle w:val="Footnote"/>
        <w:bidi/>
      </w:pPr>
      <w:r>
        <w:rPr>
          <w:rStyle w:val="ac"/>
          <w:rtl/>
        </w:rPr>
        <w:footnoteRef/>
      </w:r>
      <w:r>
        <w:rPr>
          <w:rtl/>
        </w:rPr>
        <w:t>וכדאי' (לעיל סו. ולקמן קד:, וכן תוס' מד.).</w:t>
      </w:r>
    </w:p>
  </w:footnote>
  <w:footnote w:id="4820">
    <w:p w14:paraId="17CDE334" w14:textId="77777777" w:rsidR="00F64AED" w:rsidRDefault="00F64AED" w:rsidP="00F64AED">
      <w:pPr>
        <w:pStyle w:val="Footnote"/>
        <w:bidi/>
      </w:pPr>
      <w:r>
        <w:rPr>
          <w:rStyle w:val="ac"/>
          <w:rtl/>
        </w:rPr>
        <w:footnoteRef/>
      </w:r>
      <w:r>
        <w:rPr>
          <w:rtl/>
        </w:rPr>
        <w:t>אך הק' דלמ"ד (לעיל נד:) המשמש מת בעריות פטור, א"כ האיך עובר בלאו דפצוע דכא [בלא קישוי]. וכת' דאמרי' דבהכי חייב רחמנא. [אך יל"ד בסוגיות דלעיל עה. אמאי לא בדקו האם יוכל להקשות].</w:t>
      </w:r>
    </w:p>
  </w:footnote>
  <w:footnote w:id="4821">
    <w:p w14:paraId="5091F956" w14:textId="77777777" w:rsidR="00F64AED" w:rsidRDefault="00F64AED" w:rsidP="00F64AED">
      <w:pPr>
        <w:pStyle w:val="Footnote"/>
        <w:bidi/>
      </w:pPr>
      <w:r>
        <w:rPr>
          <w:rStyle w:val="ac"/>
          <w:rtl/>
        </w:rPr>
        <w:footnoteRef/>
      </w:r>
      <w:r>
        <w:rPr>
          <w:rtl/>
        </w:rPr>
        <w:t>ואפשר דאין כוונת ה</w:t>
      </w:r>
      <w:r>
        <w:rPr>
          <w:b/>
          <w:bCs/>
          <w:rtl/>
        </w:rPr>
        <w:t>רמב"ם</w:t>
      </w:r>
      <w:r>
        <w:rPr>
          <w:rtl/>
        </w:rPr>
        <w:t xml:space="preserve"> בכל סריס, אלא דיש נולד סריס דאינו מתקשה [והאחרונים לא הביאו סימן זה להוכיח דאינו סריס].</w:t>
      </w:r>
    </w:p>
  </w:footnote>
  <w:footnote w:id="4822">
    <w:p w14:paraId="0B1741F8" w14:textId="77777777" w:rsidR="00F64AED" w:rsidRDefault="00F64AED" w:rsidP="00F64AED">
      <w:pPr>
        <w:pStyle w:val="Footnote"/>
        <w:bidi/>
      </w:pPr>
      <w:r>
        <w:rPr>
          <w:rStyle w:val="ac"/>
          <w:rtl/>
        </w:rPr>
        <w:footnoteRef/>
      </w:r>
      <w:r>
        <w:rPr>
          <w:rtl/>
        </w:rPr>
        <w:t xml:space="preserve">וכ"ד </w:t>
      </w:r>
      <w:r>
        <w:rPr>
          <w:b/>
          <w:bCs/>
          <w:rtl/>
        </w:rPr>
        <w:t>רש"י</w:t>
      </w:r>
      <w:r>
        <w:rPr>
          <w:rtl/>
        </w:rPr>
        <w:t xml:space="preserve"> (סוטה כו.) דכל סריס אדם הוה פצוע דכא. ו</w:t>
      </w:r>
      <w:r>
        <w:rPr>
          <w:b/>
          <w:bCs/>
          <w:rtl/>
        </w:rPr>
        <w:t>תוס</w:t>
      </w:r>
      <w:r>
        <w:rPr>
          <w:rtl/>
        </w:rPr>
        <w:t>' (שם) חלקו דהשותה כוס של עיקרין לא שמענו שיהא אסור לקיימה. [דנתבאר (לעיל עה.) גדרי פצוע דכא דתלי בשלימות האברים].</w:t>
      </w:r>
    </w:p>
    <w:p w14:paraId="164A85E3" w14:textId="77777777" w:rsidR="00F64AED" w:rsidRDefault="00F64AED" w:rsidP="00F64AED">
      <w:pPr>
        <w:pStyle w:val="Footnote"/>
        <w:bidi/>
      </w:pPr>
      <w:r>
        <w:rPr>
          <w:rtl/>
        </w:rPr>
        <w:tab/>
        <w:t>וה</w:t>
      </w:r>
      <w:r>
        <w:rPr>
          <w:b/>
          <w:bCs/>
          <w:rtl/>
        </w:rPr>
        <w:t>קר"א</w:t>
      </w:r>
      <w:r>
        <w:rPr>
          <w:rtl/>
        </w:rPr>
        <w:t xml:space="preserve"> ו</w:t>
      </w:r>
      <w:r>
        <w:rPr>
          <w:b/>
          <w:bCs/>
          <w:rtl/>
        </w:rPr>
        <w:t>ערול"נ</w:t>
      </w:r>
      <w:r>
        <w:rPr>
          <w:rtl/>
        </w:rPr>
        <w:t xml:space="preserve"> הקשו דמשכח"ל סריס ע"י חולי בידי שמים היתה לו שעת הכושר, ומותר לבא בקהל, ואמאי לא העמידו את הברייתא בזה.</w:t>
      </w:r>
    </w:p>
  </w:footnote>
  <w:footnote w:id="4823">
    <w:p w14:paraId="43FF112F" w14:textId="77777777" w:rsidR="00F64AED" w:rsidRDefault="00F64AED" w:rsidP="00F64AED">
      <w:pPr>
        <w:pStyle w:val="Footnote"/>
        <w:bidi/>
      </w:pPr>
      <w:r>
        <w:rPr>
          <w:rStyle w:val="ac"/>
          <w:rtl/>
        </w:rPr>
        <w:footnoteRef/>
      </w:r>
      <w:r>
        <w:rPr>
          <w:rtl/>
        </w:rPr>
        <w:t>וקצת משמע מדברי רש"י דדוקא היכא דאבראי קיימא כחייבי כריתות [ואי"צ חליצה] חייבי באיסור אשת אח. אבל חייבי עשה [דרמיא קמיה לחליצה] ליכא איסור אשת אח. והפרשת דרכים נסתפק בזה (ע' מה שהו' לעיל ג: וכ:).</w:t>
      </w:r>
    </w:p>
  </w:footnote>
  <w:footnote w:id="4824">
    <w:p w14:paraId="2B430900" w14:textId="77777777" w:rsidR="00F64AED" w:rsidRDefault="00F64AED" w:rsidP="00F64AED">
      <w:pPr>
        <w:pStyle w:val="Footnote"/>
        <w:bidi/>
      </w:pPr>
      <w:r>
        <w:rPr>
          <w:rStyle w:val="ac"/>
          <w:rtl/>
        </w:rPr>
        <w:footnoteRef/>
      </w:r>
      <w:r>
        <w:rPr>
          <w:rtl/>
        </w:rPr>
        <w:t>וחלק דבמשנה משמע סריס אדם דומיא דסריס חמה שהיה סריס כשנשאה.</w:t>
      </w:r>
    </w:p>
  </w:footnote>
  <w:footnote w:id="4825">
    <w:p w14:paraId="45BCFF12" w14:textId="77777777" w:rsidR="00F64AED" w:rsidRDefault="00F64AED" w:rsidP="00F64AED">
      <w:pPr>
        <w:pStyle w:val="Footnote"/>
        <w:bidi/>
      </w:pPr>
      <w:r>
        <w:rPr>
          <w:rStyle w:val="ac"/>
          <w:rtl/>
        </w:rPr>
        <w:footnoteRef/>
      </w:r>
      <w:r>
        <w:rPr>
          <w:rtl/>
        </w:rPr>
        <w:t>וה</w:t>
      </w:r>
      <w:r>
        <w:rPr>
          <w:b/>
          <w:bCs/>
          <w:rtl/>
        </w:rPr>
        <w:t>אחרונים</w:t>
      </w:r>
      <w:r>
        <w:rPr>
          <w:rtl/>
        </w:rPr>
        <w:t xml:space="preserve"> (קוב"ש ח"ב גיטין נ) הק' דנימא דכיון שנשאה בהיתר, ולא יחול איסור פצוע דכא כלל, וכדאי' (לעיל נט וסא.) גבי איסורי כה"ג. ו</w:t>
      </w:r>
      <w:r>
        <w:rPr>
          <w:b/>
          <w:bCs/>
          <w:rtl/>
        </w:rPr>
        <w:t>תוס</w:t>
      </w:r>
      <w:r>
        <w:rPr>
          <w:rtl/>
        </w:rPr>
        <w:t>' (לעיל כ:) ביארו דכשנשאה בהיתר גמור [בלא דחיית לאו] ל"צ קרא דאינו נאסר. [ובפשוטו איירי בכל האיסורין]. ויש שהוכיחו מזה דתוס' קאי בפסולי כהונה. [וע' מש"כ לעיל כ: בהערה].</w:t>
      </w:r>
    </w:p>
  </w:footnote>
  <w:footnote w:id="4826">
    <w:p w14:paraId="7E92269C" w14:textId="77777777" w:rsidR="00F64AED" w:rsidRDefault="00F64AED" w:rsidP="00F64AED">
      <w:pPr>
        <w:pStyle w:val="Footnote"/>
        <w:bidi/>
      </w:pPr>
      <w:r>
        <w:rPr>
          <w:rStyle w:val="ac"/>
          <w:rtl/>
        </w:rPr>
        <w:footnoteRef/>
      </w:r>
      <w:r>
        <w:rPr>
          <w:rtl/>
        </w:rPr>
        <w:t>אלא דגלי קרא בסוטה דלא פקע קידושין, וילפי' אף דתפסי קידושין מכאן ולהבא. ואין הולד ממזר. [וע' מש"כ לעיל שם].</w:t>
      </w:r>
    </w:p>
  </w:footnote>
  <w:footnote w:id="4827">
    <w:p w14:paraId="47E01D0B" w14:textId="77777777" w:rsidR="00F64AED" w:rsidRDefault="00F64AED" w:rsidP="00F64AED">
      <w:pPr>
        <w:pStyle w:val="Footnote"/>
        <w:bidi/>
      </w:pPr>
      <w:r>
        <w:rPr>
          <w:rStyle w:val="ac"/>
          <w:rtl/>
        </w:rPr>
        <w:footnoteRef/>
      </w:r>
      <w:r>
        <w:rPr>
          <w:rtl/>
        </w:rPr>
        <w:t xml:space="preserve">וע' </w:t>
      </w:r>
      <w:r>
        <w:rPr>
          <w:b/>
          <w:bCs/>
          <w:rtl/>
        </w:rPr>
        <w:t>קה"י</w:t>
      </w:r>
      <w:r>
        <w:rPr>
          <w:rtl/>
        </w:rPr>
        <w:t xml:space="preserve"> (לז), וע"ע אתוון דאורייתא (ט).</w:t>
      </w:r>
    </w:p>
  </w:footnote>
  <w:footnote w:id="4828">
    <w:p w14:paraId="7BC6F7E6" w14:textId="77777777" w:rsidR="00F64AED" w:rsidRDefault="00F64AED" w:rsidP="00F64AED">
      <w:pPr>
        <w:pStyle w:val="Footnote"/>
        <w:bidi/>
      </w:pPr>
      <w:r>
        <w:rPr>
          <w:rStyle w:val="ac"/>
          <w:rtl/>
        </w:rPr>
        <w:footnoteRef/>
      </w:r>
      <w:r>
        <w:rPr>
          <w:rtl/>
        </w:rPr>
        <w:t>וכ"כ ה</w:t>
      </w:r>
      <w:r>
        <w:rPr>
          <w:b/>
          <w:bCs/>
          <w:rtl/>
        </w:rPr>
        <w:t>מאירי</w:t>
      </w:r>
      <w:r>
        <w:rPr>
          <w:rtl/>
        </w:rPr>
        <w:t xml:space="preserve"> (כאן) דסוטה שאני דאיסורא מדידה קאתי [ואילו זינתה תחת היבם היתה נאסרת עליו כמו שנאסרה לבעל], אבל הא לא איתיליד בגופה מידי ואיסורא מבעל קאתי.</w:t>
      </w:r>
    </w:p>
  </w:footnote>
  <w:footnote w:id="4829">
    <w:p w14:paraId="1B2128A5" w14:textId="77777777" w:rsidR="00F64AED" w:rsidRDefault="00F64AED" w:rsidP="00F64AED">
      <w:pPr>
        <w:pStyle w:val="Footnote"/>
        <w:bidi/>
      </w:pPr>
      <w:r>
        <w:rPr>
          <w:rStyle w:val="ac"/>
          <w:rtl/>
        </w:rPr>
        <w:footnoteRef/>
      </w:r>
      <w:r>
        <w:rPr>
          <w:rtl/>
        </w:rPr>
        <w:t>[משא"כ סוטה דודאי יש פגם באישות, ואף דגלי קרא דלא פקע הקידושין, מ"מ עצם האישות קיימת].</w:t>
      </w:r>
    </w:p>
  </w:footnote>
  <w:footnote w:id="4830">
    <w:p w14:paraId="6220FF9B" w14:textId="77777777" w:rsidR="00F64AED" w:rsidRDefault="00F64AED" w:rsidP="00F64AED">
      <w:pPr>
        <w:pStyle w:val="Footnote"/>
        <w:bidi/>
      </w:pPr>
      <w:r>
        <w:rPr>
          <w:rStyle w:val="ac"/>
          <w:rtl/>
        </w:rPr>
        <w:footnoteRef/>
      </w:r>
      <w:r>
        <w:rPr>
          <w:rtl/>
        </w:rPr>
        <w:t>דכיון דאינה עולה ליבום אינה עולה לחליצה (וכדלעיל ג.), כיון דלא תפסי קידושין (וכדלעיל כ.).</w:t>
      </w:r>
    </w:p>
  </w:footnote>
  <w:footnote w:id="4831">
    <w:p w14:paraId="26FAC9F5" w14:textId="77777777" w:rsidR="00F64AED" w:rsidRDefault="00F64AED" w:rsidP="00F64AED">
      <w:pPr>
        <w:pStyle w:val="Footnote"/>
        <w:bidi/>
      </w:pPr>
      <w:r>
        <w:rPr>
          <w:rStyle w:val="ac"/>
          <w:rtl/>
        </w:rPr>
        <w:footnoteRef/>
      </w:r>
      <w:r>
        <w:rPr>
          <w:rtl/>
        </w:rPr>
        <w:t>לולי פטור 'עליה'.</w:t>
      </w:r>
    </w:p>
  </w:footnote>
  <w:footnote w:id="4832">
    <w:p w14:paraId="7E227E03" w14:textId="77777777" w:rsidR="00F64AED" w:rsidRDefault="00F64AED" w:rsidP="00F64AED">
      <w:pPr>
        <w:pStyle w:val="Footnote"/>
        <w:bidi/>
      </w:pPr>
      <w:r>
        <w:rPr>
          <w:rStyle w:val="ac"/>
          <w:rtl/>
        </w:rPr>
        <w:footnoteRef/>
      </w:r>
      <w:r>
        <w:rPr>
          <w:rtl/>
        </w:rPr>
        <w:t>והראשונים דנו מנ"ל הא, וע' מה שהו' לעיל שם.</w:t>
      </w:r>
    </w:p>
  </w:footnote>
  <w:footnote w:id="4833">
    <w:p w14:paraId="0C493A45" w14:textId="77777777" w:rsidR="00F64AED" w:rsidRDefault="00F64AED" w:rsidP="00F64AED">
      <w:pPr>
        <w:pStyle w:val="Footnote"/>
        <w:bidi/>
      </w:pPr>
      <w:r>
        <w:rPr>
          <w:rStyle w:val="ac"/>
          <w:rtl/>
        </w:rPr>
        <w:footnoteRef/>
      </w:r>
      <w:r>
        <w:rPr>
          <w:rtl/>
        </w:rPr>
        <w:t>והאחרונים דנו האם תוס' נקטו דליכא פטור עליה [דמנ"ל ללמוד חייבי לאוין מחייבי כריתות]. או דאילו עשה דוחה ל"ת א"כ אין כאן איסור, ולא איכפ"ל דיש פטור עליה.</w:t>
      </w:r>
    </w:p>
  </w:footnote>
  <w:footnote w:id="4834">
    <w:p w14:paraId="704D223C" w14:textId="77777777" w:rsidR="00F64AED" w:rsidRDefault="00F64AED" w:rsidP="00F64AED">
      <w:pPr>
        <w:pStyle w:val="Footnote"/>
        <w:bidi/>
      </w:pPr>
      <w:r>
        <w:rPr>
          <w:rStyle w:val="ac"/>
          <w:rtl/>
        </w:rPr>
        <w:footnoteRef/>
      </w:r>
      <w:r>
        <w:rPr>
          <w:rtl/>
        </w:rPr>
        <w:t>וה</w:t>
      </w:r>
      <w:r>
        <w:rPr>
          <w:b/>
          <w:bCs/>
          <w:rtl/>
        </w:rPr>
        <w:t>מאירי</w:t>
      </w:r>
      <w:r>
        <w:rPr>
          <w:rtl/>
        </w:rPr>
        <w:t xml:space="preserve"> כתב דהיינו כשעדיין יכול להקשות, אבל בלא קישוי אם בעלו ל"ק. [וע' תוס' לעיל נג:].</w:t>
      </w:r>
    </w:p>
  </w:footnote>
  <w:footnote w:id="4835">
    <w:p w14:paraId="5A274857" w14:textId="77777777" w:rsidR="00F64AED" w:rsidRDefault="00F64AED" w:rsidP="00F64AED">
      <w:pPr>
        <w:pStyle w:val="Footnote"/>
        <w:bidi/>
      </w:pPr>
      <w:r>
        <w:rPr>
          <w:rStyle w:val="ac"/>
          <w:rtl/>
        </w:rPr>
        <w:footnoteRef/>
      </w:r>
      <w:r>
        <w:rPr>
          <w:rtl/>
        </w:rPr>
        <w:t>וכתב דמדאורייתא מהני, דכמה זקנים מולידים. {וצ"ב כוונתו, דאף אם אינו מוליד, לא מצאנו דסריס דהיה לו שעת הכושר אסור לייבם. [ולכאורה זקן נקבע ע"פ בריאותו, ולא לפי שנים. ואיירי הכא בזקנים דלאו בר אולודי, א"כ מה מהני דיש זקנים דמולידים]}.</w:t>
      </w:r>
    </w:p>
  </w:footnote>
  <w:footnote w:id="4836">
    <w:p w14:paraId="300F04DA" w14:textId="77777777" w:rsidR="00F64AED" w:rsidRDefault="00F64AED" w:rsidP="00F64AED">
      <w:pPr>
        <w:pStyle w:val="Footnote"/>
        <w:bidi/>
      </w:pPr>
      <w:r>
        <w:rPr>
          <w:rStyle w:val="ac"/>
          <w:rtl/>
        </w:rPr>
        <w:footnoteRef/>
      </w:r>
      <w:r>
        <w:rPr>
          <w:rtl/>
        </w:rPr>
        <w:t>וביאר דראויה לביאה טפי.</w:t>
      </w:r>
    </w:p>
  </w:footnote>
  <w:footnote w:id="4837">
    <w:p w14:paraId="4B39F177" w14:textId="77777777" w:rsidR="00F64AED" w:rsidRDefault="00F64AED" w:rsidP="00F64AED">
      <w:pPr>
        <w:pStyle w:val="Footnote"/>
        <w:bidi/>
      </w:pPr>
      <w:r>
        <w:rPr>
          <w:rStyle w:val="ac"/>
          <w:rtl/>
        </w:rPr>
        <w:footnoteRef/>
      </w:r>
      <w:r>
        <w:rPr>
          <w:rtl/>
        </w:rPr>
        <w:t>[אמנם מ"מ נחשב עצה שאינה הוגנת, ע' מש"כ בזה החזו"א, הו' לעיל מד.].</w:t>
      </w:r>
    </w:p>
  </w:footnote>
  <w:footnote w:id="4838">
    <w:p w14:paraId="08F14D02" w14:textId="77777777" w:rsidR="00F64AED" w:rsidRDefault="00F64AED" w:rsidP="00F64AED">
      <w:pPr>
        <w:pStyle w:val="Footnote"/>
        <w:bidi/>
      </w:pPr>
      <w:r>
        <w:rPr>
          <w:rStyle w:val="ac"/>
          <w:rtl/>
        </w:rPr>
        <w:footnoteRef/>
      </w:r>
      <w:r>
        <w:rPr>
          <w:rtl/>
        </w:rPr>
        <w:t>וה</w:t>
      </w:r>
      <w:r>
        <w:rPr>
          <w:b/>
          <w:bCs/>
          <w:rtl/>
        </w:rPr>
        <w:t>אחרונים</w:t>
      </w:r>
      <w:r>
        <w:rPr>
          <w:rtl/>
        </w:rPr>
        <w:t xml:space="preserve"> עמדו על לשון הגמ' ו'נידחי עשה דיבום' [ובפשוטו היה צ"ל דלא דחי מצוות יבום לאיסור פצוע דכא. או עכ"פ כיון דהוה פצוע דכא, פטור מיבום]. ומשמע דכיון דנפל ליבום, חל דין יבום, עד שידחנו איסור פצוע דכא [וערוה דחייבי לאוין לר"ע].</w:t>
      </w:r>
    </w:p>
  </w:footnote>
  <w:footnote w:id="4839">
    <w:p w14:paraId="2C23F2FC" w14:textId="77777777" w:rsidR="00F64AED" w:rsidRDefault="00F64AED" w:rsidP="00F64AED">
      <w:pPr>
        <w:pStyle w:val="Footnote"/>
        <w:bidi/>
      </w:pPr>
      <w:r>
        <w:rPr>
          <w:rStyle w:val="ac"/>
          <w:rtl/>
        </w:rPr>
        <w:footnoteRef/>
      </w:r>
      <w:r>
        <w:rPr>
          <w:rtl/>
        </w:rPr>
        <w:t>וכן מבואר בגמ' (לעיל ח. לחד לישנא) דילפי' 'עליה' לנשא מת ומת ואח"כ נשא חי [שנשא אחותה לאחר שנפלה ליבום], ומבואר דיש בזה פטור עליה.</w:t>
      </w:r>
    </w:p>
  </w:footnote>
  <w:footnote w:id="4840">
    <w:p w14:paraId="7A2D7C4B" w14:textId="77777777" w:rsidR="00F64AED" w:rsidRDefault="00F64AED" w:rsidP="00F64AED">
      <w:pPr>
        <w:pStyle w:val="Footnote"/>
        <w:bidi/>
      </w:pPr>
      <w:r>
        <w:rPr>
          <w:rStyle w:val="ac"/>
          <w:rtl/>
        </w:rPr>
        <w:footnoteRef/>
      </w:r>
      <w:r>
        <w:rPr>
          <w:rtl/>
        </w:rPr>
        <w:t>וכדאי' (לעיל כ.) דעריות דאינה עולה ליבום, אינו בכלל לקחת.</w:t>
      </w:r>
    </w:p>
  </w:footnote>
  <w:footnote w:id="4841">
    <w:p w14:paraId="3E0645C7" w14:textId="77777777" w:rsidR="00F64AED" w:rsidRDefault="00F64AED" w:rsidP="00F64AED">
      <w:pPr>
        <w:pStyle w:val="Footnote"/>
        <w:bidi/>
      </w:pPr>
      <w:r>
        <w:rPr>
          <w:rStyle w:val="ac"/>
          <w:rtl/>
        </w:rPr>
        <w:footnoteRef/>
      </w:r>
      <w:r>
        <w:rPr>
          <w:rtl/>
        </w:rPr>
        <w:t>וכדאיתא בגמ' (שם עד.), וכ"כ רש"י (לעיל יז:) [וע' כט: מש"כ הראשונים בזה].</w:t>
      </w:r>
    </w:p>
  </w:footnote>
  <w:footnote w:id="4842">
    <w:p w14:paraId="11AFB8F0" w14:textId="77777777" w:rsidR="00F64AED" w:rsidRDefault="00F64AED" w:rsidP="00F64AED">
      <w:pPr>
        <w:pStyle w:val="Footnote"/>
        <w:bidi/>
      </w:pPr>
      <w:r>
        <w:rPr>
          <w:rStyle w:val="ac"/>
          <w:rtl/>
        </w:rPr>
        <w:footnoteRef/>
      </w:r>
      <w:r>
        <w:rPr>
          <w:rtl/>
        </w:rPr>
        <w:t>(נדרים עה.). והרשב"א הביא דבמקצת ספרים גרסו הכא רבא, והיכי מקשה אביי לרבא [הא רבא לשיטתו י"ל דר"ע ס"ל דיש זיקה].</w:t>
      </w:r>
    </w:p>
  </w:footnote>
  <w:footnote w:id="4843">
    <w:p w14:paraId="1D569A45" w14:textId="77777777" w:rsidR="00F64AED" w:rsidRDefault="00F64AED" w:rsidP="00F64AED">
      <w:pPr>
        <w:pStyle w:val="Footnote"/>
        <w:bidi/>
      </w:pPr>
      <w:r>
        <w:rPr>
          <w:rStyle w:val="ac"/>
          <w:rtl/>
        </w:rPr>
        <w:footnoteRef/>
      </w:r>
      <w:r>
        <w:rPr>
          <w:rtl/>
        </w:rPr>
        <w:t>וה</w:t>
      </w:r>
      <w:r>
        <w:rPr>
          <w:b/>
          <w:bCs/>
          <w:rtl/>
        </w:rPr>
        <w:t>ריטב"א</w:t>
      </w:r>
      <w:r>
        <w:rPr>
          <w:rtl/>
        </w:rPr>
        <w:t xml:space="preserve"> הביא בשם </w:t>
      </w:r>
      <w:r>
        <w:rPr>
          <w:b/>
          <w:bCs/>
          <w:rtl/>
        </w:rPr>
        <w:t>רבו</w:t>
      </w:r>
      <w:r>
        <w:rPr>
          <w:rtl/>
        </w:rPr>
        <w:t xml:space="preserve"> להקשות דא"כ [הקדש אחות יבמתו] יכניס לחופה, וע"י נישואין נפטרת היבמה. [וכתב דלר' יהודה בן בתירא לא חיישינן לביטול מצוות יבמין. וע' בזה לעיל יז:].</w:t>
      </w:r>
    </w:p>
  </w:footnote>
  <w:footnote w:id="4844">
    <w:p w14:paraId="1E68FCB2" w14:textId="77777777" w:rsidR="00F64AED" w:rsidRDefault="00F64AED" w:rsidP="00F64AED">
      <w:pPr>
        <w:pStyle w:val="Footnote"/>
        <w:bidi/>
      </w:pPr>
      <w:r>
        <w:rPr>
          <w:rStyle w:val="ac"/>
          <w:rtl/>
        </w:rPr>
        <w:footnoteRef/>
      </w:r>
      <w:r>
        <w:rPr>
          <w:rtl/>
        </w:rPr>
        <w:t>וכמ"ש ה</w:t>
      </w:r>
      <w:r>
        <w:rPr>
          <w:b/>
          <w:bCs/>
          <w:rtl/>
        </w:rPr>
        <w:t>רשב"א</w:t>
      </w:r>
      <w:r>
        <w:rPr>
          <w:rtl/>
        </w:rPr>
        <w:t xml:space="preserve"> (יז: ומא.) בשם ה</w:t>
      </w:r>
      <w:r>
        <w:rPr>
          <w:b/>
          <w:bCs/>
          <w:rtl/>
        </w:rPr>
        <w:t xml:space="preserve">רמב"ן </w:t>
      </w:r>
      <w:r>
        <w:rPr>
          <w:rtl/>
        </w:rPr>
        <w:t xml:space="preserve">דאינו בדין שיוצא מקודשת מפני מקודשת. או כמ"ש </w:t>
      </w:r>
      <w:r>
        <w:rPr>
          <w:b/>
          <w:bCs/>
          <w:rtl/>
        </w:rPr>
        <w:t>תוס</w:t>
      </w:r>
      <w:r>
        <w:rPr>
          <w:rtl/>
        </w:rPr>
        <w:t xml:space="preserve">' (יח:) </w:t>
      </w:r>
      <w:r>
        <w:rPr>
          <w:i/>
          <w:iCs/>
          <w:rtl/>
        </w:rPr>
        <w:t>דנראה</w:t>
      </w:r>
      <w:r>
        <w:rPr>
          <w:rtl/>
        </w:rPr>
        <w:t xml:space="preserve"> כנושא אחות זקוקה.</w:t>
      </w:r>
    </w:p>
  </w:footnote>
  <w:footnote w:id="4845">
    <w:p w14:paraId="3CB2F1E9" w14:textId="77777777" w:rsidR="00F64AED" w:rsidRDefault="00F64AED" w:rsidP="00F64AED">
      <w:pPr>
        <w:pStyle w:val="Footnote"/>
        <w:bidi/>
      </w:pPr>
      <w:r>
        <w:rPr>
          <w:rStyle w:val="ac"/>
          <w:rtl/>
        </w:rPr>
        <w:footnoteRef/>
      </w:r>
      <w:r>
        <w:rPr>
          <w:rtl/>
        </w:rPr>
        <w:t>ומסקנת ה</w:t>
      </w:r>
      <w:r>
        <w:rPr>
          <w:b/>
          <w:bCs/>
          <w:rtl/>
        </w:rPr>
        <w:t>רשב"א</w:t>
      </w:r>
      <w:r>
        <w:rPr>
          <w:rtl/>
        </w:rPr>
        <w:t xml:space="preserve"> (מא.) דהוה דרבנן, וע"ע בסמוך.</w:t>
      </w:r>
    </w:p>
  </w:footnote>
  <w:footnote w:id="4846">
    <w:p w14:paraId="37F748CB" w14:textId="77777777" w:rsidR="00F64AED" w:rsidRDefault="00F64AED" w:rsidP="00F64AED">
      <w:pPr>
        <w:pStyle w:val="Footnote"/>
        <w:bidi/>
      </w:pPr>
      <w:r>
        <w:rPr>
          <w:rStyle w:val="ac"/>
          <w:rtl/>
        </w:rPr>
        <w:footnoteRef/>
      </w:r>
      <w:r>
        <w:rPr>
          <w:rtl/>
        </w:rPr>
        <w:t>דע"י סברת 'אינו בדין שיפקע הזיקה] עדיין ראויה ליבום, והיבום דוחה את האיסור [מדין עשה דוחה ל"ת]. ולא רק דמהני שלא נפקע הזיקה, ולא תצא בלא חליצה.</w:t>
      </w:r>
    </w:p>
  </w:footnote>
  <w:footnote w:id="4847">
    <w:p w14:paraId="24B062B9" w14:textId="77777777" w:rsidR="00F64AED" w:rsidRDefault="00F64AED" w:rsidP="00F64AED">
      <w:pPr>
        <w:pStyle w:val="Footnote"/>
        <w:bidi/>
      </w:pPr>
      <w:r>
        <w:rPr>
          <w:rStyle w:val="ac"/>
          <w:rtl/>
        </w:rPr>
        <w:footnoteRef/>
      </w:r>
      <w:r>
        <w:rPr>
          <w:rtl/>
        </w:rPr>
        <w:t>ועוד ילה"ק דבשעת תחילת נישואין היה ראוי, ואישות זו היתה ראויה להקמת שם. [וגם זה בכלל קושיית הריטב"א, ועכ"פ הגמ' מוכיחה דנחשב 'בר הקמת שם', ולא בעי שהיה בפועל]. ואפשר דלמ"ד נישואין מפילין אה"נ, אבל למה דקיי"ל דמיתה מפלת לא תליא כלל בתחילת נישואין.</w:t>
      </w:r>
    </w:p>
  </w:footnote>
  <w:footnote w:id="4848">
    <w:p w14:paraId="1DC817EB" w14:textId="77777777" w:rsidR="00F64AED" w:rsidRDefault="00F64AED" w:rsidP="00F64AED">
      <w:pPr>
        <w:pStyle w:val="Footnote"/>
        <w:bidi/>
      </w:pPr>
      <w:r>
        <w:rPr>
          <w:rStyle w:val="ac"/>
          <w:rtl/>
        </w:rPr>
        <w:footnoteRef/>
      </w:r>
      <w:r>
        <w:rPr>
          <w:rtl/>
        </w:rPr>
        <w:t>והקשה דנימא כ"ש כשמת היבם, דהוה כמו נסתרס, דמכאן ולהבא אינו ראוי להקמת שם [ובקידושין יד בעי ילפו' למיתת היבם].</w:t>
      </w:r>
    </w:p>
  </w:footnote>
  <w:footnote w:id="4849">
    <w:p w14:paraId="204A5B81" w14:textId="77777777" w:rsidR="00F64AED" w:rsidRDefault="00F64AED" w:rsidP="00F64AED">
      <w:pPr>
        <w:pStyle w:val="Footnote"/>
        <w:bidi/>
      </w:pPr>
      <w:r>
        <w:rPr>
          <w:rStyle w:val="ac"/>
          <w:rtl/>
        </w:rPr>
        <w:footnoteRef/>
      </w:r>
      <w:r>
        <w:rPr>
          <w:rtl/>
        </w:rPr>
        <w:t>והביא כעי"ז מצאנו בכמה מקומות, דיש חילוק בין היכא דהיה שעת הכושר וחל עליו הדין, לשעת הכושר קודם שחל דין זה.</w:t>
      </w:r>
    </w:p>
  </w:footnote>
  <w:footnote w:id="4850">
    <w:p w14:paraId="5FA52221" w14:textId="77777777" w:rsidR="00F64AED" w:rsidRDefault="00F64AED" w:rsidP="00F64AED">
      <w:pPr>
        <w:pStyle w:val="Footnote"/>
        <w:bidi/>
      </w:pPr>
      <w:r>
        <w:rPr>
          <w:rStyle w:val="ac"/>
          <w:rtl/>
        </w:rPr>
        <w:footnoteRef/>
      </w:r>
      <w:r>
        <w:rPr>
          <w:rtl/>
        </w:rPr>
        <w:t>ואף שהבהמה נמצאת עכשיו טריפה הגבינות מותרות. דכיון דהוחזק ע"פ רוב דאינו טריפה, אמרי' חזקה דנטרפה כמה שיותר מאוחר.</w:t>
      </w:r>
    </w:p>
  </w:footnote>
  <w:footnote w:id="4851">
    <w:p w14:paraId="5D1B23A7" w14:textId="77777777" w:rsidR="00F64AED" w:rsidRDefault="00F64AED" w:rsidP="00F64AED">
      <w:pPr>
        <w:pStyle w:val="Footnote"/>
        <w:bidi/>
      </w:pPr>
      <w:r>
        <w:rPr>
          <w:rStyle w:val="ac"/>
          <w:rtl/>
        </w:rPr>
        <w:footnoteRef/>
      </w:r>
      <w:r>
        <w:rPr>
          <w:rtl/>
        </w:rPr>
        <w:t>וה</w:t>
      </w:r>
      <w:r>
        <w:rPr>
          <w:b/>
          <w:bCs/>
          <w:rtl/>
        </w:rPr>
        <w:t>נוב"י</w:t>
      </w:r>
      <w:r>
        <w:rPr>
          <w:rtl/>
        </w:rPr>
        <w:t xml:space="preserve"> (ק ו) כתב דלא מצא מקורו של הרמב"ם דסריס אדם אינו מביא סימנים [שהרי במה שנפצעו אביריו אין מחלה על כל הגוף], אבל מי לנו גדול מהרמב"ם בקי בכל הש"ס וכו' וברפואות.</w:t>
      </w:r>
    </w:p>
    <w:p w14:paraId="7533AB6F" w14:textId="77777777" w:rsidR="00F64AED" w:rsidRDefault="00F64AED" w:rsidP="00F64AED">
      <w:pPr>
        <w:pStyle w:val="Footnote"/>
        <w:bidi/>
      </w:pPr>
      <w:r>
        <w:rPr>
          <w:rtl/>
        </w:rPr>
        <w:tab/>
        <w:t>וה</w:t>
      </w:r>
      <w:r>
        <w:rPr>
          <w:b/>
          <w:bCs/>
          <w:rtl/>
        </w:rPr>
        <w:t>בי"מ</w:t>
      </w:r>
      <w:r>
        <w:rPr>
          <w:rtl/>
        </w:rPr>
        <w:t xml:space="preserve"> (קעב ז) כתב דיש לדייק כן מסתימת הברייתא [בסמוך], דאין הסריס נעשה בן סורר וכו', ומשמע דאפי' סריס אדם.</w:t>
      </w:r>
    </w:p>
    <w:p w14:paraId="5A44C57F" w14:textId="77777777" w:rsidR="00F64AED" w:rsidRDefault="00F64AED" w:rsidP="00F64AED">
      <w:pPr>
        <w:pStyle w:val="Footnote"/>
        <w:bidi/>
      </w:pPr>
      <w:r>
        <w:rPr>
          <w:rtl/>
        </w:rPr>
        <w:tab/>
        <w:t>וה</w:t>
      </w:r>
      <w:r>
        <w:rPr>
          <w:b/>
          <w:bCs/>
          <w:rtl/>
        </w:rPr>
        <w:t>גר"א</w:t>
      </w:r>
      <w:r>
        <w:rPr>
          <w:rtl/>
        </w:rPr>
        <w:t xml:space="preserve"> (קעב טז) כתב דכ"מ מהא דלא העמידו את הברייתא דר' אליעזר בסריס אדם.</w:t>
      </w:r>
    </w:p>
  </w:footnote>
  <w:footnote w:id="4852">
    <w:p w14:paraId="1B5982DD" w14:textId="77777777" w:rsidR="00F64AED" w:rsidRDefault="00F64AED" w:rsidP="00F64AED">
      <w:pPr>
        <w:pStyle w:val="Footnote"/>
        <w:bidi/>
      </w:pPr>
      <w:r>
        <w:rPr>
          <w:rStyle w:val="ac"/>
          <w:rtl/>
        </w:rPr>
        <w:footnoteRef/>
      </w:r>
      <w:r>
        <w:rPr>
          <w:rtl/>
        </w:rPr>
        <w:t>וה</w:t>
      </w:r>
      <w:r>
        <w:rPr>
          <w:b/>
          <w:bCs/>
          <w:rtl/>
        </w:rPr>
        <w:t>נוב"י</w:t>
      </w:r>
      <w:r>
        <w:rPr>
          <w:rtl/>
        </w:rPr>
        <w:t xml:space="preserve"> (שם) הביא דה</w:t>
      </w:r>
      <w:r>
        <w:rPr>
          <w:b/>
          <w:bCs/>
          <w:rtl/>
        </w:rPr>
        <w:t xml:space="preserve">רב מראדויל </w:t>
      </w:r>
      <w:r>
        <w:rPr>
          <w:rtl/>
        </w:rPr>
        <w:t>דן דספק פצוע דכא שהביא שערות, נימא שמוכיח עליו דמותר בקהל. וכן הסכים הבית מאיר (שם). וה</w:t>
      </w:r>
      <w:r>
        <w:rPr>
          <w:b/>
          <w:bCs/>
          <w:rtl/>
        </w:rPr>
        <w:t xml:space="preserve">נוב"י </w:t>
      </w:r>
      <w:r>
        <w:rPr>
          <w:rtl/>
        </w:rPr>
        <w:t>כתב דמ"מ חיישינן שמא השערות הם שומא. אבל הביא בשם ה</w:t>
      </w:r>
      <w:r>
        <w:rPr>
          <w:b/>
          <w:bCs/>
          <w:rtl/>
        </w:rPr>
        <w:t xml:space="preserve">רב מבראד </w:t>
      </w:r>
      <w:r>
        <w:rPr>
          <w:rtl/>
        </w:rPr>
        <w:t>דיתכן שיש מיעוט סריסים מביאים שערות.</w:t>
      </w:r>
    </w:p>
  </w:footnote>
  <w:footnote w:id="4853">
    <w:p w14:paraId="53FE1713" w14:textId="77777777" w:rsidR="00F64AED" w:rsidRDefault="00F64AED" w:rsidP="00F64AED">
      <w:pPr>
        <w:pStyle w:val="Footnote"/>
        <w:bidi/>
      </w:pPr>
      <w:r>
        <w:rPr>
          <w:rStyle w:val="ac"/>
          <w:rtl/>
        </w:rPr>
        <w:footnoteRef/>
      </w:r>
      <w:r>
        <w:rPr>
          <w:rtl/>
        </w:rPr>
        <w:t>אבל ה</w:t>
      </w:r>
      <w:r>
        <w:rPr>
          <w:b/>
          <w:bCs/>
          <w:rtl/>
        </w:rPr>
        <w:t>שיטמ"ק</w:t>
      </w:r>
      <w:r>
        <w:rPr>
          <w:rtl/>
        </w:rPr>
        <w:t xml:space="preserve"> (ב"ב נו: בשם שיטה לנ"ל) כת' דביאת השערות הוא הגדלות, ולא רק ראיה על הגדלות [ונפק"מ לדין חצי דבר, עי"ש]. (ע' קוב"ש פסחים ב).</w:t>
      </w:r>
    </w:p>
  </w:footnote>
  <w:footnote w:id="4854">
    <w:p w14:paraId="55C815FC" w14:textId="77777777" w:rsidR="00F64AED" w:rsidRDefault="00F64AED" w:rsidP="00F64AED">
      <w:pPr>
        <w:pStyle w:val="Footnote"/>
        <w:bidi/>
      </w:pPr>
      <w:r>
        <w:rPr>
          <w:rStyle w:val="ac"/>
          <w:rtl/>
        </w:rPr>
        <w:footnoteRef/>
      </w:r>
      <w:r>
        <w:rPr>
          <w:rtl/>
        </w:rPr>
        <w:t>דשנים וסימנין לא כתיבי בקרא, אלא גדולה וקטנה כתיבא. והשערות הם סימן בעלמא שמסרו לנו סימנין להבחין בין גדולה לקטנה. וכמו שמסר סימן בבהמה טהורה, מעלת גרה ומפרסת פרסה בבהמה אותה תאכלו, והפרסות אינם דבר המכשיר, ואינם אלא סימן להבחין בין הבהמה הטהורה לטמאה.</w:t>
      </w:r>
    </w:p>
  </w:footnote>
  <w:footnote w:id="4855">
    <w:p w14:paraId="78003577" w14:textId="77777777" w:rsidR="00F64AED" w:rsidRDefault="00F64AED" w:rsidP="00F64AED">
      <w:pPr>
        <w:pStyle w:val="Footnote"/>
        <w:bidi/>
      </w:pPr>
      <w:r>
        <w:rPr>
          <w:rStyle w:val="ac"/>
          <w:rtl/>
        </w:rPr>
        <w:footnoteRef/>
      </w:r>
      <w:r>
        <w:rPr>
          <w:rtl/>
        </w:rPr>
        <w:t>ועוד הביא מהא דבנים כסימנים (ע' לעיל יב:) [והגר"ח הוכיח מכ"ז להיפך, ע' בסמוך]. וב</w:t>
      </w:r>
      <w:r>
        <w:rPr>
          <w:b/>
          <w:bCs/>
          <w:rtl/>
        </w:rPr>
        <w:t xml:space="preserve">חי' ר' ראובן </w:t>
      </w:r>
      <w:r>
        <w:rPr>
          <w:rtl/>
        </w:rPr>
        <w:t>האריך בזה (הו' לעיל יב:).</w:t>
      </w:r>
    </w:p>
  </w:footnote>
  <w:footnote w:id="4856">
    <w:p w14:paraId="3B101D07" w14:textId="77777777" w:rsidR="00F64AED" w:rsidRDefault="00F64AED" w:rsidP="00F64AED">
      <w:pPr>
        <w:pStyle w:val="Footnote"/>
        <w:bidi/>
      </w:pPr>
      <w:r>
        <w:rPr>
          <w:rStyle w:val="ac"/>
          <w:rtl/>
        </w:rPr>
        <w:footnoteRef/>
      </w:r>
      <w:r>
        <w:rPr>
          <w:rtl/>
        </w:rPr>
        <w:t>ובגמ' (שם) אי' דאמרי' כן דוקא לענין מיאון, אבל לחליצה בודקים. וה</w:t>
      </w:r>
      <w:r>
        <w:rPr>
          <w:b/>
          <w:bCs/>
          <w:rtl/>
        </w:rPr>
        <w:t>אחרונים</w:t>
      </w:r>
      <w:r>
        <w:rPr>
          <w:rtl/>
        </w:rPr>
        <w:t xml:space="preserve"> נקטו בדעת כמה </w:t>
      </w:r>
      <w:r>
        <w:rPr>
          <w:b/>
          <w:bCs/>
          <w:rtl/>
        </w:rPr>
        <w:t>ראשונים</w:t>
      </w:r>
      <w:r>
        <w:rPr>
          <w:rtl/>
        </w:rPr>
        <w:t xml:space="preserve"> דל"מ חזקה זו בדאורייתא. [ע' מג"א לט א, ושו"ת רע"א ק ז]. אבל דעת ה</w:t>
      </w:r>
      <w:r>
        <w:rPr>
          <w:b/>
          <w:bCs/>
          <w:rtl/>
        </w:rPr>
        <w:t>רמב"ן</w:t>
      </w:r>
      <w:r>
        <w:rPr>
          <w:rtl/>
        </w:rPr>
        <w:t xml:space="preserve"> (חולין ג:, ומלחמות שם י. ד. בדה"ס) דלא סמכי' אחזקה היכא דאפשר לברורי.</w:t>
      </w:r>
    </w:p>
  </w:footnote>
  <w:footnote w:id="4857">
    <w:p w14:paraId="743666B0" w14:textId="77777777" w:rsidR="00F64AED" w:rsidRDefault="00F64AED" w:rsidP="00F64AED">
      <w:pPr>
        <w:pStyle w:val="Footnote"/>
        <w:bidi/>
      </w:pPr>
      <w:r>
        <w:rPr>
          <w:rStyle w:val="ac"/>
          <w:rtl/>
        </w:rPr>
        <w:footnoteRef/>
      </w:r>
      <w:r>
        <w:rPr>
          <w:rtl/>
        </w:rPr>
        <w:t>וה</w:t>
      </w:r>
      <w:r>
        <w:rPr>
          <w:b/>
          <w:bCs/>
          <w:rtl/>
        </w:rPr>
        <w:t>גר"ח</w:t>
      </w:r>
      <w:r>
        <w:rPr>
          <w:rtl/>
        </w:rPr>
        <w:t xml:space="preserve"> (שם) העמיד מח' הראשונים האם בכל קטן השנים הוה חלק מסימני גדלות, או דהוה רק תנאי שלא נאמר דהוה שומא, אבל אילו יביאו סימנים תוך י"ג יהני [וע' מש"כ בזה לעיל יב:].</w:t>
      </w:r>
    </w:p>
  </w:footnote>
  <w:footnote w:id="4858">
    <w:p w14:paraId="660E6346" w14:textId="77777777" w:rsidR="00F64AED" w:rsidRDefault="00F64AED" w:rsidP="00F64AED">
      <w:pPr>
        <w:pStyle w:val="Footnote"/>
        <w:bidi/>
      </w:pPr>
      <w:r>
        <w:rPr>
          <w:rStyle w:val="ac"/>
          <w:rtl/>
        </w:rPr>
        <w:footnoteRef/>
      </w:r>
      <w:r>
        <w:rPr>
          <w:rtl/>
        </w:rPr>
        <w:t>דה</w:t>
      </w:r>
      <w:r>
        <w:rPr>
          <w:b/>
          <w:bCs/>
          <w:rtl/>
        </w:rPr>
        <w:t>רמ"ה</w:t>
      </w:r>
      <w:r>
        <w:rPr>
          <w:rtl/>
        </w:rPr>
        <w:t xml:space="preserve"> (שם אות קמ) כת' דכי מעכבי שערות במאן דחזי לשערות דכל כמה דלא מייתי שערות בחזקת קטן, אבל סריס גדלות דידיה תליא בשנים לחוד. וסימני סריס לגלוי' דמכי אתיליד הו' סריס, ולאו בר אתויי שערות.</w:t>
      </w:r>
    </w:p>
  </w:footnote>
  <w:footnote w:id="4859">
    <w:p w14:paraId="51035FA7" w14:textId="77777777" w:rsidR="00F64AED" w:rsidRDefault="00F64AED" w:rsidP="00F64AED">
      <w:pPr>
        <w:pStyle w:val="Footnote"/>
        <w:bidi/>
      </w:pPr>
      <w:r>
        <w:rPr>
          <w:rStyle w:val="ac"/>
          <w:rtl/>
        </w:rPr>
        <w:footnoteRef/>
      </w:r>
      <w:r>
        <w:rPr>
          <w:rtl/>
        </w:rPr>
        <w:t xml:space="preserve">וכן </w:t>
      </w:r>
      <w:r>
        <w:rPr>
          <w:b/>
          <w:bCs/>
          <w:rtl/>
        </w:rPr>
        <w:t>תוס</w:t>
      </w:r>
      <w:r>
        <w:rPr>
          <w:rtl/>
        </w:rPr>
        <w:t>' (נדה מז:) נקטו דסוגיין קאי בזכר, וה</w:t>
      </w:r>
      <w:r>
        <w:rPr>
          <w:b/>
          <w:bCs/>
          <w:rtl/>
        </w:rPr>
        <w:t>רש"ש</w:t>
      </w:r>
      <w:r>
        <w:rPr>
          <w:rtl/>
        </w:rPr>
        <w:t xml:space="preserve"> הוכיח דס"ל כדעת הרמב"ן.</w:t>
      </w:r>
    </w:p>
  </w:footnote>
  <w:footnote w:id="4860">
    <w:p w14:paraId="097960BD" w14:textId="77777777" w:rsidR="00F64AED" w:rsidRDefault="00F64AED" w:rsidP="00F64AED">
      <w:pPr>
        <w:pStyle w:val="Footnote"/>
        <w:bidi/>
      </w:pPr>
      <w:r>
        <w:rPr>
          <w:rStyle w:val="ac"/>
          <w:rtl/>
        </w:rPr>
        <w:footnoteRef/>
      </w:r>
      <w:r>
        <w:rPr>
          <w:rtl/>
        </w:rPr>
        <w:t>[עכ"פ למ"ד תוך הזמן כלאחר הזמן].</w:t>
      </w:r>
    </w:p>
  </w:footnote>
  <w:footnote w:id="4861">
    <w:p w14:paraId="1080E8B0" w14:textId="77777777" w:rsidR="00F64AED" w:rsidRDefault="00F64AED" w:rsidP="00F64AED">
      <w:pPr>
        <w:pStyle w:val="Footnote"/>
        <w:bidi/>
      </w:pPr>
      <w:r>
        <w:rPr>
          <w:rStyle w:val="ac"/>
          <w:rtl/>
        </w:rPr>
        <w:footnoteRef/>
      </w:r>
      <w:r>
        <w:rPr>
          <w:rtl/>
        </w:rPr>
        <w:t>וה</w:t>
      </w:r>
      <w:r>
        <w:rPr>
          <w:b/>
          <w:bCs/>
          <w:rtl/>
        </w:rPr>
        <w:t>משנ"ל</w:t>
      </w:r>
      <w:r>
        <w:rPr>
          <w:rtl/>
        </w:rPr>
        <w:t xml:space="preserve"> (עבדים ד א) הביא כן מדברי ה</w:t>
      </w:r>
      <w:r>
        <w:rPr>
          <w:b/>
          <w:bCs/>
          <w:rtl/>
        </w:rPr>
        <w:t>ריטב"א</w:t>
      </w:r>
      <w:r>
        <w:rPr>
          <w:rtl/>
        </w:rPr>
        <w:t xml:space="preserve"> (קידושין ד, ע' בסמוך), ותמה דהוה נגד פשטות הגמ' דידן. אבל לדברי ה</w:t>
      </w:r>
      <w:r>
        <w:rPr>
          <w:b/>
          <w:bCs/>
          <w:rtl/>
        </w:rPr>
        <w:t xml:space="preserve">רמב"ן </w:t>
      </w:r>
      <w:r>
        <w:rPr>
          <w:rtl/>
        </w:rPr>
        <w:t>הגמ' קאי בזכר [דגדלות דידיה תליא בסימנים לחוד, ורק בקטנה תליא בנערות או בגרות]. [אבל הריטב"א בסוגיין לא ס"ל כן, וע' בסמוך].</w:t>
      </w:r>
    </w:p>
  </w:footnote>
  <w:footnote w:id="4862">
    <w:p w14:paraId="3C6B59FD" w14:textId="77777777" w:rsidR="00F64AED" w:rsidRDefault="00F64AED" w:rsidP="00F64AED">
      <w:pPr>
        <w:pStyle w:val="Footnote"/>
        <w:bidi/>
      </w:pPr>
      <w:r>
        <w:rPr>
          <w:rStyle w:val="ac"/>
          <w:rtl/>
        </w:rPr>
        <w:footnoteRef/>
      </w:r>
      <w:r>
        <w:rPr>
          <w:rtl/>
        </w:rPr>
        <w:t>וה</w:t>
      </w:r>
      <w:r>
        <w:rPr>
          <w:b/>
          <w:bCs/>
          <w:rtl/>
        </w:rPr>
        <w:t xml:space="preserve">גר"ח </w:t>
      </w:r>
      <w:r>
        <w:rPr>
          <w:rtl/>
        </w:rPr>
        <w:t>הביא כן ממש"כ ה</w:t>
      </w:r>
      <w:r>
        <w:rPr>
          <w:b/>
          <w:bCs/>
          <w:rtl/>
        </w:rPr>
        <w:t>רמב"ם</w:t>
      </w:r>
      <w:r>
        <w:rPr>
          <w:rtl/>
        </w:rPr>
        <w:t xml:space="preserve"> (ב יד,כה) דסריס ואנדרוגינוס נעשים גדול מבן י"ב או י"ג. ואף דסימני הסריסות היו מקטנותו, ע"י שהוחזק סריס הוה גדול ע"י שנים לחוד. [דסימני הסריס אינם בעיקרם דין סימני גדלות]. [וע' לשון הרמ"ה, הו' לעיל].</w:t>
      </w:r>
    </w:p>
  </w:footnote>
  <w:footnote w:id="4863">
    <w:p w14:paraId="7D6825A2" w14:textId="77777777" w:rsidR="00F64AED" w:rsidRDefault="00F64AED" w:rsidP="00F64AED">
      <w:pPr>
        <w:pStyle w:val="Footnote"/>
        <w:bidi/>
      </w:pPr>
      <w:r>
        <w:rPr>
          <w:rStyle w:val="ac"/>
          <w:rtl/>
        </w:rPr>
        <w:footnoteRef/>
      </w:r>
      <w:r>
        <w:rPr>
          <w:rtl/>
        </w:rPr>
        <w:t>דהללמ"ס דע"י שנתברר דהוא סריס, ותליא בהבאת סימני סריס בפועל.</w:t>
      </w:r>
    </w:p>
  </w:footnote>
  <w:footnote w:id="4864">
    <w:p w14:paraId="1F78B92E" w14:textId="77777777" w:rsidR="00F64AED" w:rsidRDefault="00F64AED" w:rsidP="00F64AED">
      <w:pPr>
        <w:pStyle w:val="Footnote"/>
        <w:bidi/>
      </w:pPr>
      <w:r>
        <w:rPr>
          <w:rStyle w:val="ac"/>
          <w:rtl/>
        </w:rPr>
        <w:footnoteRef/>
      </w:r>
      <w:r>
        <w:rPr>
          <w:rtl/>
        </w:rPr>
        <w:t>ומשמע כוונתו דחל למפרע ע"י הסריסות, ואפי' הכי חייב מלקות וחטאת על מה שאכל חלב. דע"י הבאת שערות משתנה ההגדרה שלו, ואף על הזמן שהיה. [ויל"ד עפ"ז מש"כ תוס' דנחשב איגלאי מילתא למפרע, וביארו האחרונים דלא תליא בעתידות].</w:t>
      </w:r>
    </w:p>
  </w:footnote>
  <w:footnote w:id="4865">
    <w:p w14:paraId="7564E0F7" w14:textId="77777777" w:rsidR="00F64AED" w:rsidRDefault="00F64AED" w:rsidP="00F64AED">
      <w:pPr>
        <w:pStyle w:val="Footnote"/>
        <w:bidi/>
      </w:pPr>
      <w:r>
        <w:rPr>
          <w:rStyle w:val="ac"/>
          <w:rtl/>
        </w:rPr>
        <w:footnoteRef/>
      </w:r>
      <w:r>
        <w:rPr>
          <w:rtl/>
        </w:rPr>
        <w:t>ולפ"ז הא דאי' בגמ' אכל חלב מבן י"ב, היינו משהביאה סימני אילונית. וקמ"ל דאפי' מבן י"ב.</w:t>
      </w:r>
    </w:p>
  </w:footnote>
  <w:footnote w:id="4866">
    <w:p w14:paraId="3A1759F8" w14:textId="77777777" w:rsidR="00F64AED" w:rsidRDefault="00F64AED" w:rsidP="00F64AED">
      <w:pPr>
        <w:pStyle w:val="Footnote"/>
        <w:bidi/>
      </w:pPr>
      <w:r>
        <w:rPr>
          <w:rStyle w:val="ac"/>
          <w:rtl/>
        </w:rPr>
        <w:footnoteRef/>
      </w:r>
      <w:r>
        <w:rPr>
          <w:rtl/>
        </w:rPr>
        <w:t>וה</w:t>
      </w:r>
      <w:r>
        <w:rPr>
          <w:b/>
          <w:bCs/>
          <w:rtl/>
        </w:rPr>
        <w:t>גר"ח</w:t>
      </w:r>
      <w:r>
        <w:rPr>
          <w:rtl/>
        </w:rPr>
        <w:t xml:space="preserve"> הק' דבסריס אדם מאי איכא למימר, דהא הסריסות נעשית בידי אדם, ולא יחשב סימן. ומבואר דאזלי' בתר שנים.</w:t>
      </w:r>
    </w:p>
  </w:footnote>
  <w:footnote w:id="4867">
    <w:p w14:paraId="2CE34AD9" w14:textId="77777777" w:rsidR="00F64AED" w:rsidRDefault="00F64AED" w:rsidP="00F64AED">
      <w:pPr>
        <w:pStyle w:val="Footnote"/>
        <w:bidi/>
      </w:pPr>
      <w:r>
        <w:rPr>
          <w:rStyle w:val="ac"/>
          <w:rtl/>
        </w:rPr>
        <w:footnoteRef/>
      </w:r>
      <w:r>
        <w:rPr>
          <w:rtl/>
        </w:rPr>
        <w:t>דכיון דחזינן שהוא סריס, ושונה מכל העולם. עי"ז חיישינן למיעוטא דאף בשאר דברים יש בו שינויים. [ומש"ה לא שייך חזקה שהיה מביא סימנים, וכיון דליכא חזקה דינו כודאי קטן].</w:t>
      </w:r>
    </w:p>
  </w:footnote>
  <w:footnote w:id="4868">
    <w:p w14:paraId="26BB32D0" w14:textId="77777777" w:rsidR="00F64AED" w:rsidRDefault="00F64AED" w:rsidP="00F64AED">
      <w:pPr>
        <w:pStyle w:val="Footnote"/>
        <w:bidi/>
      </w:pPr>
      <w:r>
        <w:rPr>
          <w:rStyle w:val="ac"/>
          <w:rtl/>
        </w:rPr>
        <w:footnoteRef/>
      </w:r>
      <w:r>
        <w:rPr>
          <w:rtl/>
        </w:rPr>
        <w:t>ליישב קו' תוס' (ד"ה אילונית) לדעת הרמב"ם, ע' בסמוך.</w:t>
      </w:r>
    </w:p>
  </w:footnote>
  <w:footnote w:id="4869">
    <w:p w14:paraId="76991014" w14:textId="77777777" w:rsidR="00F64AED" w:rsidRDefault="00F64AED" w:rsidP="00F64AED">
      <w:pPr>
        <w:pStyle w:val="Footnote"/>
        <w:bidi/>
      </w:pPr>
      <w:r>
        <w:rPr>
          <w:rStyle w:val="ac"/>
          <w:rtl/>
        </w:rPr>
        <w:footnoteRef/>
      </w:r>
      <w:r>
        <w:rPr>
          <w:rtl/>
        </w:rPr>
        <w:t>וכתב דרב פליג וס"ל דאמרי' דמהני איגלאי מילתא למפרע להחשב גדלות. ושוב כתב הגר"ח די"ל דאף רב ס"ל דהיכא דבעינן לסימנים לא אמרי' איגלאי מילתא למפרע, אלא דס"ל דלא בעינן כלל הבאת סימני סריס, אלא שיתברר דהוא סריס. ודין סריס דנעשה גדול בשנים לחוד, ורק דלא ידענו. [אבל בעיבור בנים יודה דלא אמרי' למפרע, וע' בסמוך].</w:t>
      </w:r>
    </w:p>
  </w:footnote>
  <w:footnote w:id="4870">
    <w:p w14:paraId="690ACA25" w14:textId="77777777" w:rsidR="00F64AED" w:rsidRDefault="00F64AED" w:rsidP="00F64AED">
      <w:pPr>
        <w:pStyle w:val="Footnote"/>
        <w:bidi/>
      </w:pPr>
      <w:r>
        <w:rPr>
          <w:rStyle w:val="ac"/>
          <w:rtl/>
        </w:rPr>
        <w:footnoteRef/>
      </w:r>
      <w:r>
        <w:rPr>
          <w:rtl/>
        </w:rPr>
        <w:t>ואף דקי"ל כשמואל בדיני, מ"מ לענין איסורא איתשיל ומש"ה הלכה כרב.</w:t>
      </w:r>
    </w:p>
  </w:footnote>
  <w:footnote w:id="4871">
    <w:p w14:paraId="5DF9E972" w14:textId="77777777" w:rsidR="00F64AED" w:rsidRDefault="00F64AED" w:rsidP="00F64AED">
      <w:pPr>
        <w:pStyle w:val="Footnote"/>
        <w:bidi/>
      </w:pPr>
      <w:r>
        <w:rPr>
          <w:rStyle w:val="ac"/>
          <w:rtl/>
        </w:rPr>
        <w:footnoteRef/>
      </w:r>
      <w:r>
        <w:rPr>
          <w:rtl/>
        </w:rPr>
        <w:t>וכת' ה</w:t>
      </w:r>
      <w:r>
        <w:rPr>
          <w:b/>
          <w:bCs/>
          <w:rtl/>
        </w:rPr>
        <w:t>רמב"ם</w:t>
      </w:r>
      <w:r>
        <w:rPr>
          <w:rtl/>
        </w:rPr>
        <w:t xml:space="preserve"> דייק כן מהא דאי' (בסמוך) לרב אילונית לר"מ אין לה קנס, משמע דהק' דוקא אליבא דרב. ועי"ש שהביא עוד.</w:t>
      </w:r>
    </w:p>
  </w:footnote>
  <w:footnote w:id="4872">
    <w:p w14:paraId="577DABDB" w14:textId="77777777" w:rsidR="00F64AED" w:rsidRDefault="00F64AED" w:rsidP="00F64AED">
      <w:pPr>
        <w:pStyle w:val="Footnote"/>
        <w:bidi/>
      </w:pPr>
      <w:r>
        <w:rPr>
          <w:rStyle w:val="ac"/>
          <w:rtl/>
        </w:rPr>
        <w:footnoteRef/>
      </w:r>
      <w:r>
        <w:rPr>
          <w:rtl/>
        </w:rPr>
        <w:t>דאף ה</w:t>
      </w:r>
      <w:r>
        <w:rPr>
          <w:b/>
          <w:bCs/>
          <w:rtl/>
        </w:rPr>
        <w:t>טור</w:t>
      </w:r>
      <w:r>
        <w:rPr>
          <w:rtl/>
        </w:rPr>
        <w:t xml:space="preserve"> (קעז) נקט כל הנך לשונות כרמב"ם, ואף דפסק (חו"מ רלה בשם הרמ"ה) דמהני למפרע.</w:t>
      </w:r>
    </w:p>
  </w:footnote>
  <w:footnote w:id="4873">
    <w:p w14:paraId="0B36CA8D" w14:textId="77777777" w:rsidR="00F64AED" w:rsidRDefault="00F64AED" w:rsidP="00F64AED">
      <w:pPr>
        <w:pStyle w:val="Footnote"/>
        <w:bidi/>
      </w:pPr>
      <w:r>
        <w:rPr>
          <w:rStyle w:val="ac"/>
          <w:rtl/>
        </w:rPr>
        <w:footnoteRef/>
      </w:r>
      <w:r>
        <w:rPr>
          <w:rtl/>
        </w:rPr>
        <w:t>וה</w:t>
      </w:r>
      <w:r>
        <w:rPr>
          <w:b/>
          <w:bCs/>
          <w:rtl/>
        </w:rPr>
        <w:t>יש"ש</w:t>
      </w:r>
      <w:r>
        <w:rPr>
          <w:rtl/>
        </w:rPr>
        <w:t xml:space="preserve"> הק' כן, והוכיח מדברי הרמב"ם דס"ל כשמואל דל"מ למפרע.</w:t>
      </w:r>
    </w:p>
  </w:footnote>
  <w:footnote w:id="4874">
    <w:p w14:paraId="50053C78" w14:textId="77777777" w:rsidR="00F64AED" w:rsidRDefault="00F64AED" w:rsidP="00F64AED">
      <w:pPr>
        <w:pStyle w:val="Footnote"/>
        <w:bidi/>
      </w:pPr>
      <w:r>
        <w:rPr>
          <w:rStyle w:val="ac"/>
          <w:rtl/>
        </w:rPr>
        <w:footnoteRef/>
      </w:r>
      <w:r>
        <w:rPr>
          <w:rtl/>
        </w:rPr>
        <w:t>וע"ד מש"כ תוס' (בע"ב) דבמקצת סימני סריס הוה ספק.</w:t>
      </w:r>
    </w:p>
  </w:footnote>
  <w:footnote w:id="4875">
    <w:p w14:paraId="73ED98BD" w14:textId="77777777" w:rsidR="00F64AED" w:rsidRDefault="00F64AED" w:rsidP="00F64AED">
      <w:pPr>
        <w:pStyle w:val="Footnote"/>
        <w:bidi/>
      </w:pPr>
      <w:r>
        <w:rPr>
          <w:rStyle w:val="ac"/>
          <w:rtl/>
        </w:rPr>
        <w:footnoteRef/>
      </w:r>
      <w:r>
        <w:rPr>
          <w:rtl/>
        </w:rPr>
        <w:t>והביא דה</w:t>
      </w:r>
      <w:r>
        <w:rPr>
          <w:b/>
          <w:bCs/>
          <w:rtl/>
        </w:rPr>
        <w:t>דרישה</w:t>
      </w:r>
      <w:r>
        <w:rPr>
          <w:rtl/>
        </w:rPr>
        <w:t xml:space="preserve"> תי' דמיירי דלא בא עליה הראשון אחר י"ב שנים, דליכא צד קידושין דאורייתא. ועוד תי' דאם תמצא אילונית אי"צ גט אלא מדרבנן לדעת כמה פוסקים, ולדעת תוס' (לעיל ב:) ודאי אילונית אי"צ גט כלל. וא"כ הוה רק ספק דרבנן. [אך נפק"מ היכא דקיבל עליו]. ועי"ש עוד.</w:t>
      </w:r>
    </w:p>
  </w:footnote>
  <w:footnote w:id="4876">
    <w:p w14:paraId="7D097FFF" w14:textId="77777777" w:rsidR="00F64AED" w:rsidRDefault="00F64AED" w:rsidP="00F64AED">
      <w:pPr>
        <w:pStyle w:val="Footnote"/>
        <w:bidi/>
      </w:pPr>
      <w:r>
        <w:rPr>
          <w:rStyle w:val="ac"/>
          <w:rtl/>
        </w:rPr>
        <w:footnoteRef/>
      </w:r>
      <w:r>
        <w:rPr>
          <w:rtl/>
        </w:rPr>
        <w:t>ואפשר דהתם איירי שמת ולא הגיע לגדלות, ודוקא היכא דלבסוף הגיע לכלל שנים נעשה גדול 'למפרע'.</w:t>
      </w:r>
    </w:p>
  </w:footnote>
  <w:footnote w:id="4877">
    <w:p w14:paraId="708044DB" w14:textId="77777777" w:rsidR="00F64AED" w:rsidRDefault="00F64AED" w:rsidP="00F64AED">
      <w:pPr>
        <w:pStyle w:val="Footnote"/>
        <w:bidi/>
      </w:pPr>
      <w:r>
        <w:rPr>
          <w:rStyle w:val="ac"/>
          <w:rtl/>
        </w:rPr>
        <w:footnoteRef/>
      </w:r>
      <w:r>
        <w:rPr>
          <w:rtl/>
        </w:rPr>
        <w:t>וה</w:t>
      </w:r>
      <w:r>
        <w:rPr>
          <w:b/>
          <w:bCs/>
          <w:rtl/>
        </w:rPr>
        <w:t>שער המלך</w:t>
      </w:r>
      <w:r>
        <w:rPr>
          <w:rtl/>
        </w:rPr>
        <w:t xml:space="preserve"> (אישות ב ג) כת' דאף לענין חיוב מיתה י"ל כן, דתתחייב למפרע משום נערה המאורסה. [ודלא כקו' המהרי"ט קידו' ה. דהוה התראת ספק. והשעה"מ הק' דהמהרי"ט עצמו קידו' סג. הביא דברי תוס' דידן].</w:t>
      </w:r>
    </w:p>
  </w:footnote>
  <w:footnote w:id="4878">
    <w:p w14:paraId="03DE8311" w14:textId="77777777" w:rsidR="00F64AED" w:rsidRDefault="00F64AED" w:rsidP="00F64AED">
      <w:pPr>
        <w:pStyle w:val="Footnote"/>
        <w:bidi/>
      </w:pPr>
      <w:r>
        <w:rPr>
          <w:rStyle w:val="ac"/>
          <w:rtl/>
        </w:rPr>
        <w:footnoteRef/>
      </w:r>
      <w:r>
        <w:rPr>
          <w:rtl/>
        </w:rPr>
        <w:t>אבל ה</w:t>
      </w:r>
      <w:r>
        <w:rPr>
          <w:b/>
          <w:bCs/>
          <w:rtl/>
        </w:rPr>
        <w:t>חת"ס</w:t>
      </w:r>
      <w:r>
        <w:rPr>
          <w:rtl/>
        </w:rPr>
        <w:t xml:space="preserve"> כת' דדוקא הכא אמרי' דמהני סופו לגלות ממילא, כיון דרוב המאחרים להביא סימנים הוה סריס. ונחשב מזיד במה שפשע לעבור על הרוב. והביא סמך לסברא זו מדברי ה</w:t>
      </w:r>
      <w:r>
        <w:rPr>
          <w:b/>
          <w:bCs/>
          <w:rtl/>
        </w:rPr>
        <w:t>בי"ש</w:t>
      </w:r>
      <w:r>
        <w:rPr>
          <w:rtl/>
        </w:rPr>
        <w:t xml:space="preserve"> (קנה יט) [וכן ע' תוס' בע"ב]. [ויל"ד ממתי נחשב מתאחר דנימא שרובם סריסים, ובסוגיין משמע דאף כשאוכלת בת י"ב ויום א'].</w:t>
      </w:r>
    </w:p>
  </w:footnote>
  <w:footnote w:id="4879">
    <w:p w14:paraId="0A56E03F" w14:textId="77777777" w:rsidR="00F64AED" w:rsidRDefault="00F64AED" w:rsidP="00F64AED">
      <w:pPr>
        <w:pStyle w:val="Footnote"/>
        <w:bidi/>
      </w:pPr>
      <w:r>
        <w:rPr>
          <w:rStyle w:val="ac"/>
          <w:rtl/>
        </w:rPr>
        <w:footnoteRef/>
      </w:r>
      <w:r>
        <w:rPr>
          <w:rtl/>
        </w:rPr>
        <w:t>אלא דבכל מעשה מסויים הוה ספק.</w:t>
      </w:r>
    </w:p>
  </w:footnote>
  <w:footnote w:id="4880">
    <w:p w14:paraId="41E585C9" w14:textId="77777777" w:rsidR="00F64AED" w:rsidRDefault="00F64AED" w:rsidP="00F64AED">
      <w:pPr>
        <w:pStyle w:val="Footnote"/>
        <w:bidi/>
      </w:pPr>
      <w:r>
        <w:rPr>
          <w:rStyle w:val="ac"/>
          <w:rtl/>
        </w:rPr>
        <w:footnoteRef/>
      </w:r>
      <w:r>
        <w:rPr>
          <w:rtl/>
        </w:rPr>
        <w:t>ולמש"כ יש בזה ב' נידונים, מצד גדרי המזיד, ומצד צורת ההתראה. ומ"מ סברת תוס' שם דלא נחשב מזיד כיון דהוה ספק, ותוס' דידן מבואר דחייב עליו. ואפשר דהיינו דוקא בדבר התלוי בעתיד, אבל בסוגיין הוה ספק לשעבר.</w:t>
      </w:r>
    </w:p>
  </w:footnote>
  <w:footnote w:id="4881">
    <w:p w14:paraId="1D4A5301" w14:textId="77777777" w:rsidR="00F64AED" w:rsidRDefault="00F64AED" w:rsidP="00F64AED">
      <w:pPr>
        <w:pStyle w:val="Footnote"/>
        <w:bidi/>
      </w:pPr>
      <w:r>
        <w:rPr>
          <w:rStyle w:val="ac"/>
          <w:rtl/>
        </w:rPr>
        <w:footnoteRef/>
      </w:r>
      <w:r>
        <w:rPr>
          <w:rtl/>
        </w:rPr>
        <w:t>וה</w:t>
      </w:r>
      <w:r>
        <w:rPr>
          <w:b/>
          <w:bCs/>
          <w:rtl/>
        </w:rPr>
        <w:t>שאג"א</w:t>
      </w:r>
      <w:r>
        <w:rPr>
          <w:rtl/>
        </w:rPr>
        <w:t xml:space="preserve"> (שם) נקט דאף למ"ד דמהני התראת ספק, מ"מ אינו חייב אא"כ המותרה ידע ודאי, וכל המח' היכא דהמתרה אינו יודע בודאי. וכדעת </w:t>
      </w:r>
      <w:r>
        <w:rPr>
          <w:b/>
          <w:bCs/>
          <w:rtl/>
        </w:rPr>
        <w:t xml:space="preserve">רש"י </w:t>
      </w:r>
      <w:r>
        <w:rPr>
          <w:rtl/>
        </w:rPr>
        <w:t xml:space="preserve">(שבועות לז. וכתובות לג) דאף בכה"ג נחשב התראת ספק. אבל </w:t>
      </w:r>
      <w:r>
        <w:rPr>
          <w:b/>
          <w:bCs/>
          <w:rtl/>
        </w:rPr>
        <w:t>תוס</w:t>
      </w:r>
      <w:r>
        <w:rPr>
          <w:rtl/>
        </w:rPr>
        <w:t>' (שם ושם) חלקו דלא מקרי התראת ספק כיון דלמותרה אין ספק [ולדעת תוס' ע"כ מהני התראה אף כשאינו יודע, עכ"פ למ"ד שמיה התראה].</w:t>
      </w:r>
    </w:p>
  </w:footnote>
  <w:footnote w:id="4882">
    <w:p w14:paraId="475EFED1" w14:textId="77777777" w:rsidR="00F64AED" w:rsidRDefault="00F64AED" w:rsidP="00F64AED">
      <w:pPr>
        <w:pStyle w:val="Footnote"/>
        <w:bidi/>
      </w:pPr>
      <w:r>
        <w:rPr>
          <w:rStyle w:val="ac"/>
          <w:rtl/>
        </w:rPr>
        <w:footnoteRef/>
      </w:r>
      <w:r>
        <w:rPr>
          <w:rtl/>
        </w:rPr>
        <w:t>וכ"כ ב</w:t>
      </w:r>
      <w:r>
        <w:rPr>
          <w:b/>
          <w:bCs/>
          <w:rtl/>
        </w:rPr>
        <w:t>שער"י</w:t>
      </w:r>
      <w:r>
        <w:rPr>
          <w:rtl/>
        </w:rPr>
        <w:t xml:space="preserve"> (א ד) דנחשב מזיד גמור, כיון שיודע דהוה ספק ושני הצדדים שווים. ובשעה שיתגלה יושלם חיובו.</w:t>
      </w:r>
    </w:p>
    <w:p w14:paraId="22626D45" w14:textId="77777777" w:rsidR="00F64AED" w:rsidRDefault="00F64AED" w:rsidP="00F64AED">
      <w:pPr>
        <w:pStyle w:val="Footnote"/>
        <w:bidi/>
      </w:pPr>
      <w:r>
        <w:rPr>
          <w:rtl/>
        </w:rPr>
        <w:tab/>
        <w:t>[וזה חידוש גדול, דלכאורה גדר ספק דאורי' לחומרא הוה רק דין לחשוש לצד איסור. אבל אינו איסור גמור מצד עצמו. ואף דפשע בצד הספק, הוא לא עבר במתכוון ומזיד].</w:t>
      </w:r>
    </w:p>
  </w:footnote>
  <w:footnote w:id="4883">
    <w:p w14:paraId="3506C5A3" w14:textId="77777777" w:rsidR="00F64AED" w:rsidRDefault="00F64AED" w:rsidP="00F64AED">
      <w:pPr>
        <w:pStyle w:val="Footnote"/>
        <w:bidi/>
      </w:pPr>
      <w:r>
        <w:rPr>
          <w:rStyle w:val="ac"/>
          <w:rtl/>
        </w:rPr>
        <w:footnoteRef/>
      </w:r>
      <w:r>
        <w:rPr>
          <w:rtl/>
        </w:rPr>
        <w:t>וה</w:t>
      </w:r>
      <w:r>
        <w:rPr>
          <w:b/>
          <w:bCs/>
          <w:rtl/>
        </w:rPr>
        <w:t>נוב"י</w:t>
      </w:r>
      <w:r>
        <w:rPr>
          <w:rtl/>
        </w:rPr>
        <w:t xml:space="preserve"> (ת עז) כתב דדוקא לענין מלקות, אבל לענין מיתה אינה התראה.</w:t>
      </w:r>
    </w:p>
    <w:p w14:paraId="5FD8C253" w14:textId="77777777" w:rsidR="00F64AED" w:rsidRDefault="00F64AED" w:rsidP="00F64AED">
      <w:pPr>
        <w:pStyle w:val="Footnote"/>
        <w:bidi/>
      </w:pPr>
      <w:r>
        <w:rPr>
          <w:rtl/>
        </w:rPr>
        <w:tab/>
        <w:t>וב</w:t>
      </w:r>
      <w:r>
        <w:rPr>
          <w:b/>
          <w:bCs/>
          <w:rtl/>
        </w:rPr>
        <w:t>חי' ר' שמעון</w:t>
      </w:r>
      <w:r>
        <w:rPr>
          <w:rtl/>
        </w:rPr>
        <w:t xml:space="preserve"> (יבמות לא ג) חידש דעונשי התורה נקבעו במה שנחשב מזיד, ואינם דוקא משום דעבר אמימרא דרחמנא.</w:t>
      </w:r>
    </w:p>
  </w:footnote>
  <w:footnote w:id="4884">
    <w:p w14:paraId="19A3C844" w14:textId="77777777" w:rsidR="00F64AED" w:rsidRDefault="00F64AED" w:rsidP="00F64AED">
      <w:pPr>
        <w:pStyle w:val="Footnote"/>
        <w:bidi/>
      </w:pPr>
      <w:r>
        <w:rPr>
          <w:rStyle w:val="ac"/>
          <w:rtl/>
        </w:rPr>
        <w:footnoteRef/>
      </w:r>
      <w:r>
        <w:rPr>
          <w:rtl/>
        </w:rPr>
        <w:t>[וכעי"ז ילה"ק בכל התראת ספק. ושמעתי בשם ר' נחום דספק התלוי בעתיד אף לרמב"ם צריך לחשוש מדאורי' [וכעין שמא ימות חיישינן], ורק בספק העומד לפנינו אמרי' דהתורה התירה את הספיקות.</w:t>
      </w:r>
    </w:p>
  </w:footnote>
  <w:footnote w:id="4885">
    <w:p w14:paraId="3B469193" w14:textId="77777777" w:rsidR="00F64AED" w:rsidRDefault="00F64AED" w:rsidP="00F64AED">
      <w:pPr>
        <w:pStyle w:val="Footnote"/>
        <w:bidi/>
      </w:pPr>
      <w:r>
        <w:rPr>
          <w:rStyle w:val="ac"/>
          <w:rtl/>
        </w:rPr>
        <w:footnoteRef/>
      </w:r>
      <w:r>
        <w:rPr>
          <w:rtl/>
        </w:rPr>
        <w:t>אבל ה</w:t>
      </w:r>
      <w:r>
        <w:rPr>
          <w:b/>
          <w:bCs/>
          <w:rtl/>
        </w:rPr>
        <w:t>תוס' מהר"ם ור"פ</w:t>
      </w:r>
      <w:r>
        <w:rPr>
          <w:rtl/>
        </w:rPr>
        <w:t xml:space="preserve"> דחה דלא איירי לקרבן, דבית המקדש בימיהם לא הוה.</w:t>
      </w:r>
    </w:p>
  </w:footnote>
  <w:footnote w:id="4886">
    <w:p w14:paraId="1D4B8913" w14:textId="77777777" w:rsidR="00F64AED" w:rsidRDefault="00F64AED" w:rsidP="00F64AED">
      <w:pPr>
        <w:pStyle w:val="Footnote"/>
        <w:bidi/>
      </w:pPr>
      <w:r>
        <w:rPr>
          <w:rStyle w:val="ac"/>
          <w:rtl/>
        </w:rPr>
        <w:footnoteRef/>
      </w:r>
      <w:r>
        <w:rPr>
          <w:rtl/>
        </w:rPr>
        <w:t>והביא כן מה</w:t>
      </w:r>
      <w:r>
        <w:rPr>
          <w:b/>
          <w:bCs/>
          <w:rtl/>
        </w:rPr>
        <w:t>גמ</w:t>
      </w:r>
      <w:r>
        <w:rPr>
          <w:rtl/>
        </w:rPr>
        <w:t>' (שבועות יח.) דלענין קרבן סגי שנתקיים התנאי שאינו אונס. [אבל לענין עונשי התורה לא מסתבר דנחשב 'מזיד' ע"י תקנת חכמים].</w:t>
      </w:r>
    </w:p>
  </w:footnote>
  <w:footnote w:id="4887">
    <w:p w14:paraId="75D65B1E" w14:textId="77777777" w:rsidR="00F64AED" w:rsidRDefault="00F64AED" w:rsidP="00F64AED">
      <w:pPr>
        <w:pStyle w:val="Footnote"/>
        <w:bidi/>
      </w:pPr>
      <w:r>
        <w:rPr>
          <w:rStyle w:val="ac"/>
          <w:rtl/>
        </w:rPr>
        <w:footnoteRef/>
      </w:r>
      <w:r>
        <w:rPr>
          <w:rtl/>
        </w:rPr>
        <w:t>כיון דהאיסור הוה איסור גמור מצד עצמו [אלא שלא ידוע לנו]. ועוד יל"פ דסגי במה שמתרה בו בלשון ודאי, דאם הוא גדול הככר אסור לו [ולשון תנאי לשעבר ג"כ נחשב התראה ודאית].</w:t>
      </w:r>
    </w:p>
  </w:footnote>
  <w:footnote w:id="4888">
    <w:p w14:paraId="3B727719" w14:textId="77777777" w:rsidR="00F64AED" w:rsidRDefault="00F64AED" w:rsidP="00F64AED">
      <w:pPr>
        <w:pStyle w:val="Footnote"/>
        <w:bidi/>
      </w:pPr>
      <w:r>
        <w:rPr>
          <w:rStyle w:val="ac"/>
          <w:rtl/>
        </w:rPr>
        <w:footnoteRef/>
      </w:r>
      <w:r>
        <w:rPr>
          <w:rtl/>
        </w:rPr>
        <w:t>וה</w:t>
      </w:r>
      <w:r>
        <w:rPr>
          <w:b/>
          <w:bCs/>
          <w:rtl/>
        </w:rPr>
        <w:t>שער"י</w:t>
      </w:r>
      <w:r>
        <w:rPr>
          <w:rtl/>
        </w:rPr>
        <w:t xml:space="preserve"> הוסיף דכיון דאינו תלוי כלל בעתידות, העלם הידיעה אינו מגרע כלל לעצם הדין. אבל תנאי חסר קיום התנאי, ועצם האיסור תליא בעתיד, ולכן נחשב התראת ספק.</w:t>
      </w:r>
    </w:p>
  </w:footnote>
  <w:footnote w:id="4889">
    <w:p w14:paraId="314FD4D2" w14:textId="77777777" w:rsidR="00F64AED" w:rsidRDefault="00F64AED" w:rsidP="00F64AED">
      <w:pPr>
        <w:pStyle w:val="Footnote"/>
        <w:bidi/>
      </w:pPr>
      <w:r>
        <w:rPr>
          <w:rStyle w:val="ac"/>
          <w:rtl/>
        </w:rPr>
        <w:footnoteRef/>
      </w:r>
      <w:r>
        <w:rPr>
          <w:rtl/>
        </w:rPr>
        <w:t>לגבי מופלא הסמוך לאיש, דלא ידעינן האם יביא שערות אחרי שנה.</w:t>
      </w:r>
    </w:p>
  </w:footnote>
  <w:footnote w:id="4890">
    <w:p w14:paraId="5EA454DA" w14:textId="77777777" w:rsidR="00F64AED" w:rsidRDefault="00F64AED" w:rsidP="00F64AED">
      <w:pPr>
        <w:pStyle w:val="Footnote"/>
        <w:bidi/>
      </w:pPr>
      <w:r>
        <w:rPr>
          <w:rStyle w:val="ac"/>
          <w:rtl/>
        </w:rPr>
        <w:footnoteRef/>
      </w:r>
      <w:r>
        <w:rPr>
          <w:rtl/>
        </w:rPr>
        <w:t>ועוד ציין ל</w:t>
      </w:r>
      <w:r>
        <w:rPr>
          <w:b/>
          <w:bCs/>
          <w:rtl/>
        </w:rPr>
        <w:t>תוס'</w:t>
      </w:r>
      <w:r>
        <w:rPr>
          <w:rtl/>
        </w:rPr>
        <w:t xml:space="preserve"> (גיטין לג.) דדנו דנזיר ששותה יין הוה התראת ספק דשמא ישאל על נזירותו. [וי"ל דהתם תליא בעתיד, וע"פ דברי האחרונים הנ"ל].</w:t>
      </w:r>
    </w:p>
  </w:footnote>
  <w:footnote w:id="4891">
    <w:p w14:paraId="615823DB" w14:textId="77777777" w:rsidR="00F64AED" w:rsidRDefault="00F64AED" w:rsidP="00F64AED">
      <w:pPr>
        <w:pStyle w:val="Footnote"/>
        <w:bidi/>
      </w:pPr>
      <w:r>
        <w:rPr>
          <w:rStyle w:val="ac"/>
          <w:rtl/>
        </w:rPr>
        <w:footnoteRef/>
      </w:r>
      <w:r>
        <w:rPr>
          <w:rtl/>
        </w:rPr>
        <w:t>ומשמע כוונתו דיש ב' גדרים התראת ספק, דבנדה הוה ספק בעצם האיסור, ואילו בסוגיין ספק בדין עונש [ונקט דאף קטן מצווה, אלא דאין בו דין עונשים].</w:t>
      </w:r>
    </w:p>
    <w:p w14:paraId="0D6481A5" w14:textId="77777777" w:rsidR="00F64AED" w:rsidRDefault="00F64AED" w:rsidP="00F64AED">
      <w:pPr>
        <w:pStyle w:val="Footnote"/>
        <w:bidi/>
      </w:pPr>
      <w:r>
        <w:rPr>
          <w:rtl/>
        </w:rPr>
        <w:tab/>
        <w:t>וה</w:t>
      </w:r>
      <w:r>
        <w:rPr>
          <w:b/>
          <w:bCs/>
          <w:rtl/>
        </w:rPr>
        <w:t>אחרונים</w:t>
      </w:r>
      <w:r>
        <w:rPr>
          <w:rtl/>
        </w:rPr>
        <w:t xml:space="preserve"> האריכו לדון האם נחשב התראת ספק במקום שסבור שלא יוכלו להענישו [כגון שהעדים היו קרובים וכדו' ע' שבועות לז:], ו</w:t>
      </w:r>
      <w:r>
        <w:rPr>
          <w:b/>
          <w:bCs/>
          <w:rtl/>
        </w:rPr>
        <w:t>רע"א</w:t>
      </w:r>
      <w:r>
        <w:rPr>
          <w:rtl/>
        </w:rPr>
        <w:t xml:space="preserve"> הביא דלא נחשב התראת ספק ממש"כ תוס' דידן, וכ"ש במקום דהוה בר עונשים, אלא דהוה ספק אם לבי"ד כח להענישו.</w:t>
      </w:r>
    </w:p>
  </w:footnote>
  <w:footnote w:id="4892">
    <w:p w14:paraId="63CE5ECC" w14:textId="77777777" w:rsidR="00F64AED" w:rsidRDefault="00F64AED" w:rsidP="00F64AED">
      <w:pPr>
        <w:pStyle w:val="Footnote"/>
        <w:bidi/>
      </w:pPr>
      <w:r>
        <w:rPr>
          <w:rStyle w:val="ac"/>
          <w:rtl/>
        </w:rPr>
        <w:footnoteRef/>
      </w:r>
      <w:r>
        <w:rPr>
          <w:rtl/>
        </w:rPr>
        <w:t>שהרי נצטוונו לא תאכילום.</w:t>
      </w:r>
    </w:p>
  </w:footnote>
  <w:footnote w:id="4893">
    <w:p w14:paraId="7F17995D" w14:textId="77777777" w:rsidR="00F64AED" w:rsidRDefault="00F64AED" w:rsidP="00F64AED">
      <w:pPr>
        <w:pStyle w:val="Footnote"/>
        <w:bidi/>
      </w:pPr>
      <w:r>
        <w:rPr>
          <w:rStyle w:val="ac"/>
          <w:rtl/>
        </w:rPr>
        <w:footnoteRef/>
      </w:r>
      <w:r>
        <w:rPr>
          <w:rtl/>
        </w:rPr>
        <w:t>[וצ"ב דאם הקטן ישאל, יאמרו לו דאין צווי עליו בדבר. וה"נ סבור שמותר לו, ולא ידע דיש לו 'דעת' להיות בכלל המצווים].</w:t>
      </w:r>
    </w:p>
  </w:footnote>
  <w:footnote w:id="4894">
    <w:p w14:paraId="47637C25" w14:textId="77777777" w:rsidR="00F64AED" w:rsidRDefault="00F64AED" w:rsidP="00F64AED">
      <w:pPr>
        <w:pStyle w:val="Footnote"/>
        <w:bidi/>
      </w:pPr>
      <w:r>
        <w:rPr>
          <w:rStyle w:val="ac"/>
          <w:rtl/>
        </w:rPr>
        <w:footnoteRef/>
      </w:r>
      <w:r>
        <w:rPr>
          <w:rtl/>
        </w:rPr>
        <w:t>וה</w:t>
      </w:r>
      <w:r>
        <w:rPr>
          <w:b/>
          <w:bCs/>
          <w:rtl/>
        </w:rPr>
        <w:t>משנ"ל</w:t>
      </w:r>
      <w:r>
        <w:rPr>
          <w:rtl/>
        </w:rPr>
        <w:t xml:space="preserve"> (עבדים ד א) תמה ע"ד הרמב"ן. וה</w:t>
      </w:r>
      <w:r>
        <w:rPr>
          <w:b/>
          <w:bCs/>
          <w:rtl/>
        </w:rPr>
        <w:t>נוב"י</w:t>
      </w:r>
      <w:r>
        <w:rPr>
          <w:rtl/>
        </w:rPr>
        <w:t xml:space="preserve"> (ת' מג) ביאר דכיון דבעלמא לא הוה בוגרת בפחות מי"ב שנים וחצי, מש"ה אף זו אי אפשר לה להחשב בוגרת עד י"ב וחצי, ולא נעשית נערה בלא סימנים. ונשארה קטנה עד י"ב וחצי.</w:t>
      </w:r>
    </w:p>
  </w:footnote>
  <w:footnote w:id="4895">
    <w:p w14:paraId="4E9E7EEB" w14:textId="77777777" w:rsidR="00F64AED" w:rsidRDefault="00F64AED" w:rsidP="00F64AED">
      <w:pPr>
        <w:pStyle w:val="Footnote"/>
        <w:bidi/>
      </w:pPr>
      <w:r>
        <w:rPr>
          <w:rStyle w:val="ac"/>
          <w:rtl/>
        </w:rPr>
        <w:footnoteRef/>
      </w:r>
      <w:r>
        <w:rPr>
          <w:rtl/>
        </w:rPr>
        <w:t xml:space="preserve">אבל לרש"י ותוס' [ופשטות הסוגיה] מבואר דע"י שנים [או סימנים] הוה גדלות, ולא מחמת השם 'נערה'.  </w:t>
      </w:r>
    </w:p>
  </w:footnote>
  <w:footnote w:id="4896">
    <w:p w14:paraId="3177D14B" w14:textId="77777777" w:rsidR="00F64AED" w:rsidRDefault="00F64AED" w:rsidP="00F64AED">
      <w:pPr>
        <w:pStyle w:val="Footnote"/>
        <w:bidi/>
      </w:pPr>
      <w:r>
        <w:rPr>
          <w:rStyle w:val="ac"/>
          <w:rtl/>
        </w:rPr>
        <w:footnoteRef/>
      </w:r>
      <w:r>
        <w:rPr>
          <w:rtl/>
        </w:rPr>
        <w:t>וה</w:t>
      </w:r>
      <w:r>
        <w:rPr>
          <w:b/>
          <w:bCs/>
          <w:rtl/>
        </w:rPr>
        <w:t>גרנ"ט</w:t>
      </w:r>
      <w:r>
        <w:rPr>
          <w:rtl/>
        </w:rPr>
        <w:t xml:space="preserve"> (צד) תי' דהתם קאי לענין יציאת אמה, דתליא ב'נערות'. וצריך דוקא 'סימנים', ולא סגי בגדלות.</w:t>
      </w:r>
    </w:p>
  </w:footnote>
  <w:footnote w:id="4897">
    <w:p w14:paraId="5CA4EE81" w14:textId="77777777" w:rsidR="00F64AED" w:rsidRDefault="00F64AED" w:rsidP="00F64AED">
      <w:pPr>
        <w:pStyle w:val="Footnote"/>
        <w:bidi/>
      </w:pPr>
      <w:r>
        <w:rPr>
          <w:rStyle w:val="ac"/>
          <w:rtl/>
        </w:rPr>
        <w:footnoteRef/>
      </w:r>
      <w:r>
        <w:rPr>
          <w:rtl/>
        </w:rPr>
        <w:t>וצ"ע דבגמ' איתא דמקטנות יצאת לבגרות, משמע דאין זמן באמצע [ולא רק שלא נתחדש 'שם נערות' ביניהם].</w:t>
      </w:r>
    </w:p>
  </w:footnote>
  <w:footnote w:id="4898">
    <w:p w14:paraId="3E5EB6E9" w14:textId="77777777" w:rsidR="00F64AED" w:rsidRDefault="00F64AED" w:rsidP="00F64AED">
      <w:pPr>
        <w:pStyle w:val="Footnote"/>
        <w:bidi/>
      </w:pPr>
      <w:r>
        <w:rPr>
          <w:rStyle w:val="ac"/>
          <w:rtl/>
        </w:rPr>
        <w:footnoteRef/>
      </w:r>
      <w:r>
        <w:rPr>
          <w:rtl/>
        </w:rPr>
        <w:t>וכשמואל דהוה גדלות מכאן ולהבא [וכ"כ היש"ש]. דאילו לרב הוה רק עד בת י"ב.</w:t>
      </w:r>
    </w:p>
  </w:footnote>
  <w:footnote w:id="4899">
    <w:p w14:paraId="529BDFA3" w14:textId="77777777" w:rsidR="00F64AED" w:rsidRDefault="00F64AED" w:rsidP="00F64AED">
      <w:pPr>
        <w:pStyle w:val="Footnote"/>
        <w:bidi/>
      </w:pPr>
      <w:r>
        <w:rPr>
          <w:rStyle w:val="ac"/>
          <w:rtl/>
        </w:rPr>
        <w:footnoteRef/>
      </w:r>
      <w:r>
        <w:rPr>
          <w:rtl/>
        </w:rPr>
        <w:t>[ע' לעיל דכ"ד ה</w:t>
      </w:r>
      <w:r>
        <w:rPr>
          <w:b/>
          <w:bCs/>
          <w:rtl/>
        </w:rPr>
        <w:t>ראב"ד</w:t>
      </w:r>
      <w:r>
        <w:rPr>
          <w:rtl/>
        </w:rPr>
        <w:t>, ודלא כרמ"ה]. אבל הקשו ה</w:t>
      </w:r>
      <w:r>
        <w:rPr>
          <w:b/>
          <w:bCs/>
          <w:rtl/>
        </w:rPr>
        <w:t>אחרונים</w:t>
      </w:r>
      <w:r>
        <w:rPr>
          <w:rtl/>
        </w:rPr>
        <w:t xml:space="preserve"> דקי"ל כרב באיסורי. וה</w:t>
      </w:r>
      <w:r>
        <w:rPr>
          <w:b/>
          <w:bCs/>
          <w:rtl/>
        </w:rPr>
        <w:t>נוב"י</w:t>
      </w:r>
      <w:r>
        <w:rPr>
          <w:rtl/>
        </w:rPr>
        <w:t xml:space="preserve"> תי' דהרמב"ם פי' דהתניא כוותיה, דמקטנותה יצתה לבגר קאי כשמואל [וזהו שאמר רב יוסף כל כי הני מילי וכו', לסייע לדברי עצמו דלשמואל ניחא. אבל לרב כיון דגדולה למפרע לא אמרי' דיצאה לבגר. ובמסקנא נדחו דברי רב].</w:t>
      </w:r>
    </w:p>
  </w:footnote>
  <w:footnote w:id="4900">
    <w:p w14:paraId="40DF45A2" w14:textId="77777777" w:rsidR="00F64AED" w:rsidRDefault="00F64AED" w:rsidP="00F64AED">
      <w:pPr>
        <w:pStyle w:val="Footnote"/>
        <w:bidi/>
      </w:pPr>
      <w:r>
        <w:rPr>
          <w:rStyle w:val="ac"/>
          <w:rtl/>
        </w:rPr>
        <w:footnoteRef/>
      </w:r>
      <w:r>
        <w:rPr>
          <w:rtl/>
        </w:rPr>
        <w:t>לדעת ה</w:t>
      </w:r>
      <w:r>
        <w:rPr>
          <w:b/>
          <w:bCs/>
          <w:rtl/>
        </w:rPr>
        <w:t>רמב"ם</w:t>
      </w:r>
      <w:r>
        <w:rPr>
          <w:rtl/>
        </w:rPr>
        <w:t xml:space="preserve"> [דאף לאחר י"ב ומחצה] יש ימי נערות מהבאת סימני גדלות.</w:t>
      </w:r>
    </w:p>
  </w:footnote>
  <w:footnote w:id="4901">
    <w:p w14:paraId="507F3463" w14:textId="77777777" w:rsidR="00F64AED" w:rsidRDefault="00F64AED" w:rsidP="00F64AED">
      <w:pPr>
        <w:pStyle w:val="Footnote"/>
        <w:bidi/>
      </w:pPr>
      <w:r>
        <w:rPr>
          <w:rStyle w:val="ac"/>
          <w:rtl/>
        </w:rPr>
        <w:footnoteRef/>
      </w:r>
      <w:r>
        <w:rPr>
          <w:rtl/>
        </w:rPr>
        <w:t>והגר"ח כתב כעי"ז לענין בנים כסימנים (לעיל יב:), דאינה גדולה עד לידת הבנים, דמתברר דהבנים בני קיימא. אבל ע"י הלידה היה ראוי להיות גדולה מתחילת העיבור, ולא שייך ימי נערות.</w:t>
      </w:r>
    </w:p>
  </w:footnote>
  <w:footnote w:id="4902">
    <w:p w14:paraId="3B09A051" w14:textId="77777777" w:rsidR="00F64AED" w:rsidRDefault="00F64AED" w:rsidP="00F64AED">
      <w:pPr>
        <w:pStyle w:val="Footnote"/>
        <w:bidi/>
      </w:pPr>
      <w:r>
        <w:rPr>
          <w:rStyle w:val="ac"/>
          <w:rtl/>
        </w:rPr>
        <w:footnoteRef/>
      </w:r>
      <w:r>
        <w:rPr>
          <w:rtl/>
        </w:rPr>
        <w:t xml:space="preserve">ומבואר בדברי </w:t>
      </w:r>
      <w:r>
        <w:rPr>
          <w:b/>
          <w:bCs/>
          <w:rtl/>
        </w:rPr>
        <w:t xml:space="preserve">רע"א </w:t>
      </w:r>
      <w:r>
        <w:rPr>
          <w:rtl/>
        </w:rPr>
        <w:t>דנערה המאורסה נחשב איסור שונה מזנות דאשת איש, ולא רק חיוב מיתה שונה.</w:t>
      </w:r>
    </w:p>
  </w:footnote>
  <w:footnote w:id="4903">
    <w:p w14:paraId="7B5821E8" w14:textId="77777777" w:rsidR="00F64AED" w:rsidRDefault="00F64AED" w:rsidP="00F64AED">
      <w:pPr>
        <w:pStyle w:val="Footnote"/>
        <w:bidi/>
      </w:pPr>
      <w:r>
        <w:rPr>
          <w:rStyle w:val="ac"/>
          <w:rtl/>
        </w:rPr>
        <w:footnoteRef/>
      </w:r>
      <w:r>
        <w:rPr>
          <w:rtl/>
        </w:rPr>
        <w:t>[וה</w:t>
      </w:r>
      <w:r>
        <w:rPr>
          <w:b/>
          <w:bCs/>
          <w:rtl/>
        </w:rPr>
        <w:t>ריטב"א</w:t>
      </w:r>
      <w:r>
        <w:rPr>
          <w:rtl/>
        </w:rPr>
        <w:t xml:space="preserve"> הוסיף דדהיאך אפשר דגיבור ואיש מלחמה ועושה עסקיו בשוק, ונידון כספק נפל].</w:t>
      </w:r>
    </w:p>
  </w:footnote>
  <w:footnote w:id="4904">
    <w:p w14:paraId="7F19C35A" w14:textId="77777777" w:rsidR="00F64AED" w:rsidRDefault="00F64AED" w:rsidP="00F64AED">
      <w:pPr>
        <w:pStyle w:val="Footnote"/>
        <w:bidi/>
      </w:pPr>
      <w:r>
        <w:rPr>
          <w:rStyle w:val="ac"/>
          <w:rtl/>
        </w:rPr>
        <w:footnoteRef/>
      </w:r>
      <w:r>
        <w:rPr>
          <w:rtl/>
        </w:rPr>
        <w:t>וה</w:t>
      </w:r>
      <w:r>
        <w:rPr>
          <w:b/>
          <w:bCs/>
          <w:rtl/>
        </w:rPr>
        <w:t>קובה"ע</w:t>
      </w:r>
      <w:r>
        <w:rPr>
          <w:rtl/>
        </w:rPr>
        <w:t xml:space="preserve"> (סח ג) כת' [ליישב] דכעי"ז מצאנו דגוסס אינו מוגדר כחי לכל דבר.</w:t>
      </w:r>
    </w:p>
  </w:footnote>
  <w:footnote w:id="4905">
    <w:p w14:paraId="1A68607D" w14:textId="77777777" w:rsidR="00F64AED" w:rsidRDefault="00F64AED" w:rsidP="00F64AED">
      <w:pPr>
        <w:pStyle w:val="Footnote"/>
        <w:bidi/>
      </w:pPr>
      <w:r>
        <w:rPr>
          <w:rStyle w:val="ac"/>
          <w:rtl/>
        </w:rPr>
        <w:footnoteRef/>
      </w:r>
      <w:r>
        <w:rPr>
          <w:rtl/>
        </w:rPr>
        <w:t>וה</w:t>
      </w:r>
      <w:r>
        <w:rPr>
          <w:b/>
          <w:bCs/>
          <w:rtl/>
        </w:rPr>
        <w:t>אחרונים</w:t>
      </w:r>
      <w:r>
        <w:rPr>
          <w:rtl/>
        </w:rPr>
        <w:t xml:space="preserve"> דנו בזה"ז דיש תחבולות להציל, האם נחשב כחי גמור, או דאף דאין לו דין חי מותר לחלל שבת משום סברת חלל עליו שבת א', כדי שישמור שבתות הרבה. וה</w:t>
      </w:r>
      <w:r>
        <w:rPr>
          <w:b/>
          <w:bCs/>
          <w:rtl/>
        </w:rPr>
        <w:t xml:space="preserve">חזו"א </w:t>
      </w:r>
      <w:r>
        <w:rPr>
          <w:rtl/>
        </w:rPr>
        <w:t>כתב [דאפי' בלא תחבולות] בזה"ז מצוי שחי, וע"כ דנשתנו הטבעים, והרבה נגמרים לז', ואישתהי.</w:t>
      </w:r>
    </w:p>
  </w:footnote>
  <w:footnote w:id="4906">
    <w:p w14:paraId="314A5A93" w14:textId="77777777" w:rsidR="00F64AED" w:rsidRDefault="00F64AED" w:rsidP="00F64AED">
      <w:pPr>
        <w:pStyle w:val="Footnote"/>
        <w:bidi/>
      </w:pPr>
      <w:r>
        <w:rPr>
          <w:rStyle w:val="ac"/>
          <w:rtl/>
        </w:rPr>
        <w:footnoteRef/>
      </w:r>
      <w:r>
        <w:rPr>
          <w:rtl/>
        </w:rPr>
        <w:t>וה</w:t>
      </w:r>
      <w:r>
        <w:rPr>
          <w:b/>
          <w:bCs/>
          <w:rtl/>
        </w:rPr>
        <w:t>קוב"ש</w:t>
      </w:r>
      <w:r>
        <w:rPr>
          <w:rtl/>
        </w:rPr>
        <w:t xml:space="preserve"> (ב"ב סח) תמה דאינו כחי, ולמה תחוש לסכנתו. [וי"ל דהוה איסור דרבנן והתירו משום הכי].</w:t>
      </w:r>
    </w:p>
  </w:footnote>
  <w:footnote w:id="4907">
    <w:p w14:paraId="0C8197F7" w14:textId="77777777" w:rsidR="00F64AED" w:rsidRDefault="00F64AED" w:rsidP="00F64AED">
      <w:pPr>
        <w:pStyle w:val="Footnote"/>
        <w:bidi/>
      </w:pPr>
      <w:r>
        <w:rPr>
          <w:rStyle w:val="ac"/>
          <w:rtl/>
        </w:rPr>
        <w:footnoteRef/>
      </w:r>
      <w:r>
        <w:rPr>
          <w:rtl/>
        </w:rPr>
        <w:t>דטלטול מוקצה עדיף דלהוציא חלב מדדיה דהותר כלאחר יד, משום צערא.</w:t>
      </w:r>
    </w:p>
  </w:footnote>
  <w:footnote w:id="4908">
    <w:p w14:paraId="62AF9B0C" w14:textId="77777777" w:rsidR="00F64AED" w:rsidRDefault="00F64AED" w:rsidP="00F64AED">
      <w:pPr>
        <w:pStyle w:val="Footnote"/>
        <w:bidi/>
      </w:pPr>
      <w:r>
        <w:rPr>
          <w:rStyle w:val="ac"/>
          <w:rtl/>
        </w:rPr>
        <w:footnoteRef/>
      </w:r>
      <w:r>
        <w:rPr>
          <w:rtl/>
        </w:rPr>
        <w:t>וה</w:t>
      </w:r>
      <w:r>
        <w:rPr>
          <w:b/>
          <w:bCs/>
          <w:rtl/>
        </w:rPr>
        <w:t>יד אליה</w:t>
      </w:r>
      <w:r>
        <w:rPr>
          <w:rtl/>
        </w:rPr>
        <w:t xml:space="preserve"> (הו' בשו"ת רע"א צט) כתב דרק י"ב חודש אמרי' אישתהי ולא פחות. [וה</w:t>
      </w:r>
      <w:r>
        <w:rPr>
          <w:b/>
          <w:bCs/>
          <w:rtl/>
        </w:rPr>
        <w:t>רש"ש</w:t>
      </w:r>
      <w:r>
        <w:rPr>
          <w:rtl/>
        </w:rPr>
        <w:t xml:space="preserve"> (לעיל מב.) כתב ליישב בזה הסוגיה שם].</w:t>
      </w:r>
    </w:p>
  </w:footnote>
  <w:footnote w:id="4909">
    <w:p w14:paraId="05DBFDAB" w14:textId="77777777" w:rsidR="00F64AED" w:rsidRDefault="00F64AED" w:rsidP="00F64AED">
      <w:pPr>
        <w:pStyle w:val="Footnote"/>
        <w:bidi/>
      </w:pPr>
      <w:r>
        <w:rPr>
          <w:rStyle w:val="ac"/>
          <w:rtl/>
        </w:rPr>
        <w:footnoteRef/>
      </w:r>
      <w:r>
        <w:rPr>
          <w:rtl/>
        </w:rPr>
        <w:t>וה</w:t>
      </w:r>
      <w:r>
        <w:rPr>
          <w:b/>
          <w:bCs/>
          <w:rtl/>
        </w:rPr>
        <w:t>בי"ש</w:t>
      </w:r>
      <w:r>
        <w:rPr>
          <w:rtl/>
        </w:rPr>
        <w:t xml:space="preserve"> (ד יח) כת' דהיינו עד י"ב חודש, אבל בחודש י' שכיח הוא. [אבל בגמ' (נדה כז.) משמע דאינו כן, וה</w:t>
      </w:r>
      <w:r>
        <w:rPr>
          <w:b/>
          <w:bCs/>
          <w:rtl/>
        </w:rPr>
        <w:t>חזו"א</w:t>
      </w:r>
      <w:r>
        <w:rPr>
          <w:rtl/>
        </w:rPr>
        <w:t xml:space="preserve"> כתב דנשתנו הטבעים].</w:t>
      </w:r>
    </w:p>
  </w:footnote>
  <w:footnote w:id="4910">
    <w:p w14:paraId="639F4895" w14:textId="77777777" w:rsidR="00F64AED" w:rsidRDefault="00F64AED" w:rsidP="00F64AED">
      <w:pPr>
        <w:pStyle w:val="Footnote"/>
        <w:bidi/>
      </w:pPr>
      <w:r>
        <w:rPr>
          <w:rStyle w:val="ac"/>
          <w:rtl/>
        </w:rPr>
        <w:footnoteRef/>
      </w:r>
      <w:r>
        <w:rPr>
          <w:rtl/>
        </w:rPr>
        <w:t>וה</w:t>
      </w:r>
      <w:r>
        <w:rPr>
          <w:b/>
          <w:bCs/>
          <w:rtl/>
        </w:rPr>
        <w:t>מהרי"ל</w:t>
      </w:r>
      <w:r>
        <w:rPr>
          <w:rtl/>
        </w:rPr>
        <w:t xml:space="preserve"> (מנהגים הל' יו"ט כה) הביא מעשה שהיה דאישתהי. ודן דאף בבהמה נימא דאישתהי, ומאתמול גמרה. [ויל"ד דמ"מ הוה נגד רוב]. ו</w:t>
      </w:r>
      <w:r>
        <w:rPr>
          <w:b/>
          <w:bCs/>
          <w:rtl/>
        </w:rPr>
        <w:t>ראב"ן</w:t>
      </w:r>
      <w:r>
        <w:rPr>
          <w:rtl/>
        </w:rPr>
        <w:t xml:space="preserve"> (כאן, וציינו מהר"ב רנשבורג) הביא מספרי הרפואות דנעשית כן כשאמו פגעה בסוס זכר תחילה.</w:t>
      </w:r>
    </w:p>
  </w:footnote>
  <w:footnote w:id="4911">
    <w:p w14:paraId="70B0768F" w14:textId="77777777" w:rsidR="00F64AED" w:rsidRDefault="00F64AED" w:rsidP="00F64AED">
      <w:pPr>
        <w:pStyle w:val="Footnote"/>
        <w:bidi/>
      </w:pPr>
      <w:r>
        <w:rPr>
          <w:rStyle w:val="ac"/>
          <w:rtl/>
        </w:rPr>
        <w:footnoteRef/>
      </w:r>
      <w:r>
        <w:rPr>
          <w:rtl/>
        </w:rPr>
        <w:t>ותוס' הביאו דרשב"ג פליג את"ק בין לקולא ובין לחומרא דתלי בל' יום. דבבן ח' מהני ל' יום לצאת מיד ספק נפל. וכן בולד בעלמא חיישי' שמא הוא נפל עד ל' יום. ויל"ד האם סברת רשב"ג [לשיטתו] דכל ולד חיישי' שמא הוה בר ח' ואישתהי. אך מדברי התוס' משמע דהוה מח' בפנ"ע.</w:t>
      </w:r>
    </w:p>
  </w:footnote>
  <w:footnote w:id="4912">
    <w:p w14:paraId="3CC14482" w14:textId="77777777" w:rsidR="00F64AED" w:rsidRDefault="00F64AED" w:rsidP="00F64AED">
      <w:pPr>
        <w:pStyle w:val="Footnote"/>
        <w:bidi/>
      </w:pPr>
      <w:r>
        <w:rPr>
          <w:rStyle w:val="ac"/>
          <w:rtl/>
        </w:rPr>
        <w:footnoteRef/>
      </w:r>
      <w:r>
        <w:rPr>
          <w:rtl/>
        </w:rPr>
        <w:t>ו</w:t>
      </w:r>
      <w:r>
        <w:rPr>
          <w:b/>
          <w:bCs/>
          <w:rtl/>
        </w:rPr>
        <w:t>תוס</w:t>
      </w:r>
      <w:r>
        <w:rPr>
          <w:rtl/>
        </w:rPr>
        <w:t>' (ד"ה כיון) הקשו מה רשב"ג בא להוסיף על רבי. אבל ב</w:t>
      </w:r>
      <w:r>
        <w:rPr>
          <w:b/>
          <w:bCs/>
          <w:rtl/>
        </w:rPr>
        <w:t>הג' חת"ס</w:t>
      </w:r>
      <w:r>
        <w:rPr>
          <w:rtl/>
        </w:rPr>
        <w:t xml:space="preserve"> כתב דאף לרבי בעי נגמרו סימניו ושהא, דלהוסיף ולפרש.</w:t>
      </w:r>
    </w:p>
  </w:footnote>
  <w:footnote w:id="4913">
    <w:p w14:paraId="5D6E131B" w14:textId="77777777" w:rsidR="00F64AED" w:rsidRDefault="00F64AED" w:rsidP="00F64AED">
      <w:pPr>
        <w:pStyle w:val="Footnote"/>
        <w:bidi/>
      </w:pPr>
      <w:r>
        <w:rPr>
          <w:rStyle w:val="ac"/>
          <w:rtl/>
        </w:rPr>
        <w:footnoteRef/>
      </w:r>
      <w:r>
        <w:rPr>
          <w:rtl/>
        </w:rPr>
        <w:t>אבל ב</w:t>
      </w:r>
      <w:r>
        <w:rPr>
          <w:b/>
          <w:bCs/>
          <w:rtl/>
        </w:rPr>
        <w:t xml:space="preserve">חי' ר"א מן ההר </w:t>
      </w:r>
      <w:r>
        <w:rPr>
          <w:rtl/>
        </w:rPr>
        <w:t>כתב דשהה ל' יום עדיף מנגמרו סימניו.</w:t>
      </w:r>
    </w:p>
  </w:footnote>
  <w:footnote w:id="4914">
    <w:p w14:paraId="62DFD184" w14:textId="77777777" w:rsidR="00F64AED" w:rsidRDefault="00F64AED" w:rsidP="00F64AED">
      <w:pPr>
        <w:pStyle w:val="Footnote"/>
        <w:bidi/>
      </w:pPr>
      <w:r>
        <w:rPr>
          <w:rStyle w:val="ac"/>
          <w:rtl/>
        </w:rPr>
        <w:footnoteRef/>
      </w:r>
      <w:r>
        <w:rPr>
          <w:rtl/>
        </w:rPr>
        <w:t xml:space="preserve">אך הק' דדעת </w:t>
      </w:r>
      <w:r>
        <w:rPr>
          <w:b/>
          <w:bCs/>
          <w:rtl/>
        </w:rPr>
        <w:t>תוס</w:t>
      </w:r>
      <w:r>
        <w:rPr>
          <w:rtl/>
        </w:rPr>
        <w:t>' (חולין יא. ד"ה אתיא ונדה ב: ד"ה דאיכא) דל"מ חזקה מכח רוב [דתוס' נקטו לאסור הגבינות. והתוס' הרא"ש שם דפליג].</w:t>
      </w:r>
    </w:p>
  </w:footnote>
  <w:footnote w:id="4915">
    <w:p w14:paraId="3F75A592" w14:textId="77777777" w:rsidR="00F64AED" w:rsidRDefault="00F64AED" w:rsidP="00F64AED">
      <w:pPr>
        <w:pStyle w:val="Footnote"/>
        <w:bidi/>
      </w:pPr>
      <w:r>
        <w:rPr>
          <w:rStyle w:val="ac"/>
          <w:rtl/>
        </w:rPr>
        <w:footnoteRef/>
      </w:r>
      <w:r>
        <w:rPr>
          <w:rtl/>
        </w:rPr>
        <w:t>וכת' וכרב (קידושין עט.) דאמרי' חזקה דהשתא, ואף שמואל (שם) דפליג היינו משום דיש ספק בזמן השינוי. אבל במקום דיש לתלות דלא היה שינוי כלל יודה. [אך ה</w:t>
      </w:r>
      <w:r>
        <w:rPr>
          <w:b/>
          <w:bCs/>
          <w:rtl/>
        </w:rPr>
        <w:t>שמעתתא</w:t>
      </w:r>
      <w:r>
        <w:rPr>
          <w:rtl/>
        </w:rPr>
        <w:t xml:space="preserve"> (ג טז) דן דשמואל פליג על כל דין חזקה דהשתא].</w:t>
      </w:r>
    </w:p>
  </w:footnote>
  <w:footnote w:id="4916">
    <w:p w14:paraId="1F5DAC1B" w14:textId="77777777" w:rsidR="00F64AED" w:rsidRDefault="00F64AED" w:rsidP="00F64AED">
      <w:pPr>
        <w:pStyle w:val="Footnote"/>
        <w:bidi/>
      </w:pPr>
      <w:r>
        <w:rPr>
          <w:rStyle w:val="ac"/>
          <w:rtl/>
        </w:rPr>
        <w:footnoteRef/>
      </w:r>
      <w:r>
        <w:rPr>
          <w:rtl/>
        </w:rPr>
        <w:t>וה</w:t>
      </w:r>
      <w:r>
        <w:rPr>
          <w:b/>
          <w:bCs/>
          <w:rtl/>
        </w:rPr>
        <w:t xml:space="preserve">קרנ"ר </w:t>
      </w:r>
      <w:r>
        <w:rPr>
          <w:rtl/>
        </w:rPr>
        <w:t>כתב דלר' יוחנן ניחא דסגי בסימן א' דאינו עושה כיפה. [ולא סמכינן על הסימן הזה עד שיגדל].</w:t>
      </w:r>
    </w:p>
  </w:footnote>
  <w:footnote w:id="4917">
    <w:p w14:paraId="67A04805" w14:textId="77777777" w:rsidR="00F64AED" w:rsidRDefault="00F64AED" w:rsidP="00F64AED">
      <w:pPr>
        <w:pStyle w:val="Footnote"/>
        <w:bidi/>
      </w:pPr>
      <w:r>
        <w:rPr>
          <w:rStyle w:val="ac"/>
          <w:rtl/>
        </w:rPr>
        <w:footnoteRef/>
      </w:r>
      <w:r>
        <w:rPr>
          <w:rtl/>
        </w:rPr>
        <w:t>ובעודו קטן מיתלי תלי האם יהא סריס כשיגדל. ויל"ד א"כ אף היכא דמת הקטן קודם שגדל נימא דאיגלאי דאינה זקוקה לו. וא"כ נימא דחיישינן שמא ימות.</w:t>
      </w:r>
    </w:p>
  </w:footnote>
  <w:footnote w:id="4918">
    <w:p w14:paraId="0AF7DB36" w14:textId="77777777" w:rsidR="00F64AED" w:rsidRDefault="00F64AED" w:rsidP="00F64AED">
      <w:pPr>
        <w:pStyle w:val="Footnote"/>
        <w:bidi/>
      </w:pPr>
      <w:r>
        <w:rPr>
          <w:rStyle w:val="ac"/>
          <w:rtl/>
        </w:rPr>
        <w:footnoteRef/>
      </w:r>
      <w:r>
        <w:rPr>
          <w:rtl/>
        </w:rPr>
        <w:t>וה</w:t>
      </w:r>
      <w:r>
        <w:rPr>
          <w:b/>
          <w:bCs/>
          <w:rtl/>
        </w:rPr>
        <w:t>ברכ"ש</w:t>
      </w:r>
      <w:r>
        <w:rPr>
          <w:rtl/>
        </w:rPr>
        <w:t xml:space="preserve"> (ס"ס א) הביא דברי רע"א, והאריך ביסוד זה.</w:t>
      </w:r>
    </w:p>
  </w:footnote>
  <w:footnote w:id="4919">
    <w:p w14:paraId="61A14F9A" w14:textId="77777777" w:rsidR="00F64AED" w:rsidRDefault="00F64AED" w:rsidP="00F64AED">
      <w:pPr>
        <w:pStyle w:val="Footnote"/>
        <w:bidi/>
      </w:pPr>
      <w:r>
        <w:rPr>
          <w:rStyle w:val="ac"/>
          <w:rtl/>
        </w:rPr>
        <w:footnoteRef/>
      </w:r>
      <w:r>
        <w:rPr>
          <w:rtl/>
        </w:rPr>
        <w:t xml:space="preserve">[וע"ע </w:t>
      </w:r>
      <w:r>
        <w:rPr>
          <w:b/>
          <w:bCs/>
          <w:rtl/>
        </w:rPr>
        <w:t>חוו"ד</w:t>
      </w:r>
      <w:r>
        <w:rPr>
          <w:rtl/>
        </w:rPr>
        <w:t xml:space="preserve"> יו"ד נ].</w:t>
      </w:r>
    </w:p>
  </w:footnote>
  <w:footnote w:id="4920">
    <w:p w14:paraId="0477AE80" w14:textId="77777777" w:rsidR="00F64AED" w:rsidRDefault="00F64AED" w:rsidP="00F64AED">
      <w:pPr>
        <w:pStyle w:val="Footnote"/>
        <w:bidi/>
      </w:pPr>
      <w:r>
        <w:rPr>
          <w:rStyle w:val="ac"/>
          <w:rtl/>
        </w:rPr>
        <w:footnoteRef/>
      </w:r>
      <w:r>
        <w:rPr>
          <w:rtl/>
        </w:rPr>
        <w:t>ורע"א הק' האיך למדו דין זה מכאן. הא משכח"ל שהביא ב' שערות קודם שנת י"ג. דל"מ לענין סימני גדלות [דכיון דהביאו קודם פרקן הויין כשומא בעלמא], אבל לענין סוגיין עכ"פ הוי קצת ראיה שאינו סריס ובעינן שיולדו כולם.</w:t>
      </w:r>
    </w:p>
    <w:p w14:paraId="7E6E1905" w14:textId="77777777" w:rsidR="00F64AED" w:rsidRDefault="00F64AED" w:rsidP="00F64AED">
      <w:pPr>
        <w:pStyle w:val="Footnote"/>
        <w:bidi/>
      </w:pPr>
      <w:r>
        <w:rPr>
          <w:rtl/>
        </w:rPr>
        <w:tab/>
        <w:t>ועוד כת' דיש לאשכוחי דהב' שערות אינם כשיעור (המבואר במתני' נדה נב:) כדי שיקרצו בצפורן וכו'. ואילו לענין סריס אפשר דמהני. וצלע"ג.</w:t>
      </w:r>
    </w:p>
  </w:footnote>
  <w:footnote w:id="4921">
    <w:p w14:paraId="60C2E1AE" w14:textId="77777777" w:rsidR="00F64AED" w:rsidRDefault="00F64AED" w:rsidP="00F64AED">
      <w:pPr>
        <w:pStyle w:val="Footnote"/>
        <w:bidi/>
      </w:pPr>
      <w:r>
        <w:rPr>
          <w:rStyle w:val="ac"/>
          <w:rtl/>
        </w:rPr>
        <w:footnoteRef/>
      </w:r>
      <w:r>
        <w:rPr>
          <w:rtl/>
        </w:rPr>
        <w:t>אך ה</w:t>
      </w:r>
      <w:r>
        <w:rPr>
          <w:b/>
          <w:bCs/>
          <w:rtl/>
        </w:rPr>
        <w:t>גר"א</w:t>
      </w:r>
      <w:r>
        <w:rPr>
          <w:rtl/>
        </w:rPr>
        <w:t xml:space="preserve"> (קנה סב) השווה את דברי הרמב"ם בפיה"מ להלכות. וציין דמקור הרמב"ם מקושיית תוס' דידן.</w:t>
      </w:r>
    </w:p>
  </w:footnote>
  <w:footnote w:id="4922">
    <w:p w14:paraId="2F58BCA2" w14:textId="77777777" w:rsidR="00F64AED" w:rsidRDefault="00F64AED" w:rsidP="00F64AED">
      <w:pPr>
        <w:pStyle w:val="Footnote"/>
        <w:bidi/>
      </w:pPr>
      <w:r>
        <w:rPr>
          <w:rStyle w:val="ac"/>
          <w:rtl/>
        </w:rPr>
        <w:footnoteRef/>
      </w:r>
      <w:r>
        <w:rPr>
          <w:rtl/>
        </w:rPr>
        <w:t>דאי הוה מחמת אישות המת לכאורה ל"ש גדר סוטה. וכ"כ האתוון דאורייתא (ח).</w:t>
      </w:r>
    </w:p>
  </w:footnote>
  <w:footnote w:id="4923">
    <w:p w14:paraId="7A496652" w14:textId="77777777" w:rsidR="00F64AED" w:rsidRDefault="00F64AED" w:rsidP="00F64AED">
      <w:pPr>
        <w:pStyle w:val="Footnote"/>
        <w:bidi/>
      </w:pPr>
      <w:r>
        <w:rPr>
          <w:rStyle w:val="ac"/>
          <w:rtl/>
        </w:rPr>
        <w:footnoteRef/>
      </w:r>
      <w:r>
        <w:rPr>
          <w:rtl/>
        </w:rPr>
        <w:t>אך ה</w:t>
      </w:r>
      <w:r>
        <w:rPr>
          <w:b/>
          <w:bCs/>
          <w:rtl/>
        </w:rPr>
        <w:t>אחרונים</w:t>
      </w:r>
      <w:r>
        <w:rPr>
          <w:rtl/>
        </w:rPr>
        <w:t xml:space="preserve"> הק' דלא מצאנו דרב המנונא ס"ל כתנאים דיש זיקה (ע' לעיל יז: וכט: וסז:). [ובגמ' לקמן צו. יש צד דרב סבר כרב המנונא, ואף דס"ל לעיל יז: דאין זיקה].</w:t>
      </w:r>
    </w:p>
  </w:footnote>
  <w:footnote w:id="4924">
    <w:p w14:paraId="6CE73EF7" w14:textId="77777777" w:rsidR="00F64AED" w:rsidRDefault="00F64AED" w:rsidP="00F64AED">
      <w:pPr>
        <w:pStyle w:val="Footnote"/>
        <w:bidi/>
      </w:pPr>
      <w:r>
        <w:rPr>
          <w:rStyle w:val="ac"/>
          <w:rtl/>
        </w:rPr>
        <w:footnoteRef/>
      </w:r>
      <w:r>
        <w:rPr>
          <w:rtl/>
        </w:rPr>
        <w:t>ע"כ דהוה מחמת האישות ליבם, ולא מיעוט בגדרי היבום.</w:t>
      </w:r>
    </w:p>
  </w:footnote>
  <w:footnote w:id="4925">
    <w:p w14:paraId="7E676836" w14:textId="77777777" w:rsidR="00F64AED" w:rsidRDefault="00F64AED" w:rsidP="00F64AED">
      <w:pPr>
        <w:pStyle w:val="Footnote"/>
        <w:bidi/>
      </w:pPr>
      <w:r>
        <w:rPr>
          <w:rStyle w:val="ac"/>
          <w:rtl/>
        </w:rPr>
        <w:footnoteRef/>
      </w:r>
      <w:r>
        <w:rPr>
          <w:rtl/>
        </w:rPr>
        <w:t>פי' דדינה כזנות אשת איש. ומש"ה אסורה לכהונה.</w:t>
      </w:r>
    </w:p>
    <w:p w14:paraId="6015E1C4" w14:textId="77777777" w:rsidR="00F64AED" w:rsidRDefault="00F64AED" w:rsidP="00F64AED">
      <w:pPr>
        <w:pStyle w:val="Footnote"/>
        <w:bidi/>
      </w:pPr>
      <w:r>
        <w:rPr>
          <w:rtl/>
        </w:rPr>
        <w:tab/>
        <w:t>וה</w:t>
      </w:r>
      <w:r>
        <w:rPr>
          <w:b/>
          <w:bCs/>
          <w:rtl/>
        </w:rPr>
        <w:t>אחרונים</w:t>
      </w:r>
      <w:r>
        <w:rPr>
          <w:rtl/>
        </w:rPr>
        <w:t xml:space="preserve"> הק' דדעת </w:t>
      </w:r>
      <w:r>
        <w:rPr>
          <w:b/>
          <w:bCs/>
          <w:rtl/>
        </w:rPr>
        <w:t>רש"י</w:t>
      </w:r>
      <w:r>
        <w:rPr>
          <w:rtl/>
        </w:rPr>
        <w:t xml:space="preserve"> (לעיל סא.) דכל הנבעלה לפסול לה הוה זונה [אף חייבי לאוין, עי"ש תוס'], ואילו רש"י כאן משמע דדוקא למ"ד דאסורה לבעלה אסורה לכהונה. וי"ל דרש"י הכא קאי כמ"ד (סא:) דדוקא אשת איש שזינתה הוה זונה, זונה כשמה.</w:t>
      </w:r>
    </w:p>
    <w:p w14:paraId="428309AC" w14:textId="77777777" w:rsidR="00F64AED" w:rsidRDefault="00F64AED" w:rsidP="00F64AED">
      <w:pPr>
        <w:pStyle w:val="Footnote"/>
        <w:bidi/>
      </w:pPr>
      <w:r>
        <w:rPr>
          <w:rtl/>
        </w:rPr>
        <w:tab/>
        <w:t>א"נ רש"י קאי דוקא כשנבעלה מאיש הפסול לה, אבל שומרת יבם הוה איסור לפי שעה.</w:t>
      </w:r>
    </w:p>
  </w:footnote>
  <w:footnote w:id="4926">
    <w:p w14:paraId="3816F3C9" w14:textId="77777777" w:rsidR="00F64AED" w:rsidRDefault="00F64AED" w:rsidP="00F64AED">
      <w:pPr>
        <w:pStyle w:val="Footnote"/>
        <w:bidi/>
      </w:pPr>
      <w:r>
        <w:rPr>
          <w:rStyle w:val="ac"/>
          <w:rtl/>
        </w:rPr>
        <w:footnoteRef/>
      </w:r>
      <w:r>
        <w:rPr>
          <w:rtl/>
        </w:rPr>
        <w:t>וצ"ב דאשת איש שזינתה הוה זונה משום דהוה חייבי כריתות ומשום דלא תפסי קידושין.</w:t>
      </w:r>
    </w:p>
  </w:footnote>
  <w:footnote w:id="4927">
    <w:p w14:paraId="639339DD" w14:textId="77777777" w:rsidR="00F64AED" w:rsidRDefault="00F64AED" w:rsidP="00F64AED">
      <w:pPr>
        <w:pStyle w:val="Footnote"/>
        <w:bidi/>
      </w:pPr>
      <w:r>
        <w:rPr>
          <w:rStyle w:val="ac"/>
          <w:rtl/>
        </w:rPr>
        <w:footnoteRef/>
      </w:r>
      <w:r>
        <w:rPr>
          <w:rtl/>
        </w:rPr>
        <w:t>ה</w:t>
      </w:r>
      <w:r>
        <w:rPr>
          <w:b/>
          <w:bCs/>
          <w:rtl/>
        </w:rPr>
        <w:t>חזו"א</w:t>
      </w:r>
      <w:r>
        <w:rPr>
          <w:rtl/>
        </w:rPr>
        <w:t xml:space="preserve"> כת' דהיינו למ"ד אף חייבי לאוין דלאו דשאר. [וע' לעיל מט].</w:t>
      </w:r>
    </w:p>
  </w:footnote>
  <w:footnote w:id="4928">
    <w:p w14:paraId="221FB6F1" w14:textId="77777777" w:rsidR="00F64AED" w:rsidRDefault="00F64AED" w:rsidP="00F64AED">
      <w:pPr>
        <w:pStyle w:val="Footnote"/>
        <w:bidi/>
      </w:pPr>
      <w:r>
        <w:rPr>
          <w:rStyle w:val="ac"/>
          <w:rtl/>
        </w:rPr>
        <w:footnoteRef/>
      </w:r>
      <w:r>
        <w:rPr>
          <w:rtl/>
        </w:rPr>
        <w:t>וה</w:t>
      </w:r>
      <w:r>
        <w:rPr>
          <w:b/>
          <w:bCs/>
          <w:rtl/>
        </w:rPr>
        <w:t>ריטב"א</w:t>
      </w:r>
      <w:r>
        <w:rPr>
          <w:rtl/>
        </w:rPr>
        <w:t xml:space="preserve"> (כאן) כת' דהא דאמרי' </w:t>
      </w:r>
      <w:r>
        <w:rPr>
          <w:i/>
          <w:iCs/>
          <w:rtl/>
        </w:rPr>
        <w:t>לימא</w:t>
      </w:r>
      <w:r>
        <w:rPr>
          <w:rtl/>
        </w:rPr>
        <w:t xml:space="preserve"> תהוי תיובתא [ולא הוה תיובתא גמורה], דאיהו קאמר לר"ע. והריטב"א סיים דרישא דמתני' ר"ע. [וצ"ב כוונתו, דא"כ אדרבה קשיא מהך משנה. ועוד דלר"ע ודאי אסורה ליבם, וכדאי' במשנה סוטה שם].</w:t>
      </w:r>
    </w:p>
  </w:footnote>
  <w:footnote w:id="4929">
    <w:p w14:paraId="35BA055B" w14:textId="77777777" w:rsidR="00F64AED" w:rsidRDefault="00F64AED" w:rsidP="00F64AED">
      <w:pPr>
        <w:pStyle w:val="Footnote"/>
        <w:bidi/>
      </w:pPr>
      <w:r>
        <w:rPr>
          <w:rStyle w:val="ac"/>
          <w:rtl/>
        </w:rPr>
        <w:footnoteRef/>
      </w:r>
      <w:r>
        <w:rPr>
          <w:rtl/>
        </w:rPr>
        <w:t>או דאף יבמה לשוק נחשב איסור דשייך זר מעיקרא, ע"פ מש"כ היראים.</w:t>
      </w:r>
    </w:p>
  </w:footnote>
  <w:footnote w:id="4930">
    <w:p w14:paraId="3C6C4AAD" w14:textId="77777777" w:rsidR="00F64AED" w:rsidRDefault="00F64AED" w:rsidP="00F64AED">
      <w:pPr>
        <w:pStyle w:val="Footnote"/>
        <w:bidi/>
      </w:pPr>
      <w:r>
        <w:rPr>
          <w:rStyle w:val="ac"/>
          <w:rtl/>
        </w:rPr>
        <w:footnoteRef/>
      </w:r>
      <w:r>
        <w:rPr>
          <w:rtl/>
        </w:rPr>
        <w:t>והוסיף דגדולה מזו כת' ה</w:t>
      </w:r>
      <w:r>
        <w:rPr>
          <w:b/>
          <w:bCs/>
          <w:rtl/>
        </w:rPr>
        <w:t>תוס</w:t>
      </w:r>
      <w:r>
        <w:rPr>
          <w:rtl/>
        </w:rPr>
        <w:t>' (סט.) דאפי' פנוי הבא על הפנויה אינו פוסל מתרומה. [ועי"ש מש"כ האחרונים דלא קאי כתוס' מד: דשם זונה פוסל מתרומה].</w:t>
      </w:r>
    </w:p>
  </w:footnote>
  <w:footnote w:id="4931">
    <w:p w14:paraId="2179A7CA" w14:textId="77777777" w:rsidR="00F64AED" w:rsidRDefault="00F64AED" w:rsidP="00F64AED">
      <w:pPr>
        <w:pStyle w:val="Footnote"/>
        <w:bidi/>
      </w:pPr>
      <w:r>
        <w:rPr>
          <w:rStyle w:val="ac"/>
          <w:rtl/>
        </w:rPr>
        <w:footnoteRef/>
      </w:r>
      <w:r>
        <w:rPr>
          <w:rtl/>
        </w:rPr>
        <w:t>ויל"ד דתנן (לעיל ע.) דאף לאחר שנעשה פצוע דכא מאכיל את אשתו, ואמאי איצטריך לחזור ולשנות במשנה זו. וי"ל דשאני התם שכבר אכלה (כדלעיל עה. ונז.). [אך לפ"ז מבואר דהוה סברא בדאורייתא].</w:t>
      </w:r>
    </w:p>
  </w:footnote>
  <w:footnote w:id="4932">
    <w:p w14:paraId="5326BB29" w14:textId="77777777" w:rsidR="00F64AED" w:rsidRDefault="00F64AED" w:rsidP="00F64AED">
      <w:pPr>
        <w:pStyle w:val="Footnote"/>
        <w:bidi/>
      </w:pPr>
      <w:r>
        <w:rPr>
          <w:rStyle w:val="ac"/>
          <w:rtl/>
        </w:rPr>
        <w:footnoteRef/>
      </w:r>
      <w:r>
        <w:rPr>
          <w:rtl/>
        </w:rPr>
        <w:t>ודרשינן 'יליד ביתו' אף על אשתו. [דיליד ביתו הוה גילוי על דין קנין כספו].</w:t>
      </w:r>
    </w:p>
  </w:footnote>
  <w:footnote w:id="4933">
    <w:p w14:paraId="0FE6F860" w14:textId="77777777" w:rsidR="00F64AED" w:rsidRDefault="00F64AED" w:rsidP="00F64AED">
      <w:pPr>
        <w:pStyle w:val="Footnote"/>
        <w:bidi/>
      </w:pPr>
      <w:r>
        <w:rPr>
          <w:rStyle w:val="ac"/>
          <w:rtl/>
        </w:rPr>
        <w:footnoteRef/>
      </w:r>
      <w:r>
        <w:rPr>
          <w:rtl/>
        </w:rPr>
        <w:t xml:space="preserve">וכ"כ </w:t>
      </w:r>
      <w:r>
        <w:rPr>
          <w:b/>
          <w:bCs/>
          <w:rtl/>
        </w:rPr>
        <w:t>תוס'</w:t>
      </w:r>
      <w:r>
        <w:rPr>
          <w:rtl/>
        </w:rPr>
        <w:t xml:space="preserve"> (ד"ה ואין) דר"ל נדחק ליישב דברי ר' יוסי במשנה, אף דס"ל (בברייתא פג.) דהוה ספק.</w:t>
      </w:r>
    </w:p>
  </w:footnote>
  <w:footnote w:id="4934">
    <w:p w14:paraId="2AD3449B" w14:textId="77777777" w:rsidR="00F64AED" w:rsidRDefault="00F64AED" w:rsidP="00F64AED">
      <w:pPr>
        <w:pStyle w:val="Footnote"/>
        <w:bidi/>
      </w:pPr>
      <w:r>
        <w:rPr>
          <w:rStyle w:val="ac"/>
          <w:rtl/>
        </w:rPr>
        <w:footnoteRef/>
      </w:r>
      <w:r>
        <w:rPr>
          <w:rtl/>
        </w:rPr>
        <w:t>וה</w:t>
      </w:r>
      <w:r>
        <w:rPr>
          <w:b/>
          <w:bCs/>
          <w:rtl/>
        </w:rPr>
        <w:t>משנ"ל</w:t>
      </w:r>
      <w:r>
        <w:rPr>
          <w:rtl/>
        </w:rPr>
        <w:t xml:space="preserve"> (תרומות ז יז) הביא דכמה ספיקות החמירו בתרומה. והמשנ"ל הק' דאיתא (לעיל סז: סח.) דספק בן ט' פוסל בתרומה.</w:t>
      </w:r>
    </w:p>
    <w:p w14:paraId="05FBBDF6" w14:textId="77777777" w:rsidR="00F64AED" w:rsidRDefault="00F64AED" w:rsidP="00F64AED">
      <w:pPr>
        <w:pStyle w:val="Footnote"/>
        <w:bidi/>
      </w:pPr>
      <w:r>
        <w:rPr>
          <w:rtl/>
        </w:rPr>
        <w:tab/>
        <w:t>וה</w:t>
      </w:r>
      <w:r>
        <w:rPr>
          <w:b/>
          <w:bCs/>
          <w:rtl/>
        </w:rPr>
        <w:t xml:space="preserve">אבנ"מ </w:t>
      </w:r>
      <w:r>
        <w:rPr>
          <w:rtl/>
        </w:rPr>
        <w:t>(שו"ת טז) הקשה דגזרו דארוסה בת ישראל אינה אוכלת בתרומה משום סמפון, הא אף אילו נמצא סמפון צריכה גט מספק (לחד מ"ד כתובות עג). וכתב דצ"ל דר"ל ס"ל כמ"ד (שם) דאי"צ גט מספק [אלא מדרבנן]. {אך יל"ד דהאיך גזרו בכל ארוסה אף דליכא ריעותא, וכי גרע מספק דאוכלת. ואפשר דהיכא דנתברר הדבר לבסוף חמיר}.</w:t>
      </w:r>
    </w:p>
    <w:p w14:paraId="25B33D11" w14:textId="77777777" w:rsidR="00F64AED" w:rsidRDefault="00F64AED" w:rsidP="00F64AED">
      <w:pPr>
        <w:pStyle w:val="Footnote"/>
        <w:bidi/>
      </w:pPr>
      <w:r>
        <w:rPr>
          <w:rtl/>
        </w:rPr>
        <w:tab/>
        <w:t>וה</w:t>
      </w:r>
      <w:r>
        <w:rPr>
          <w:b/>
          <w:bCs/>
          <w:rtl/>
        </w:rPr>
        <w:t>משנ"ל</w:t>
      </w:r>
      <w:r>
        <w:rPr>
          <w:rtl/>
        </w:rPr>
        <w:t xml:space="preserve"> הק' מהגמ' (קידושין מה) דנשאת שלא מדעת אביה, דחיישי' שמא יבא האב וימחה. ומש"ה אסורה בתרומה מספק. ומבואר התם דהיה מעשה בימי רב [בזה"ז] וחששו להכי. ועוד דהתם הוה ודאי ארוסה וספק נשואה, וא"כ הוה ספק דרבנן. [והאבנ"מ תי' דהתם לא הוה משום ספק, כיון דהאב יכול למחות מש"ה לא סמכא דעתיה דבעל ולא בדיק, ושייך גזירת סמפון].</w:t>
      </w:r>
    </w:p>
  </w:footnote>
  <w:footnote w:id="4935">
    <w:p w14:paraId="683A7F94" w14:textId="77777777" w:rsidR="00F64AED" w:rsidRDefault="00F64AED" w:rsidP="00F64AED">
      <w:pPr>
        <w:pStyle w:val="Footnote"/>
        <w:bidi/>
      </w:pPr>
      <w:r>
        <w:rPr>
          <w:rStyle w:val="ac"/>
          <w:rtl/>
        </w:rPr>
        <w:footnoteRef/>
      </w:r>
      <w:r>
        <w:rPr>
          <w:rtl/>
        </w:rPr>
        <w:t>והביא דדמי למש"כ ה</w:t>
      </w:r>
      <w:r>
        <w:rPr>
          <w:b/>
          <w:bCs/>
          <w:rtl/>
        </w:rPr>
        <w:t xml:space="preserve">רמב"ן </w:t>
      </w:r>
      <w:r>
        <w:rPr>
          <w:rtl/>
        </w:rPr>
        <w:t>(נדה יח) דהיכא דודאי נגע לא מהני חזקת העיסה. אבל הקשה לדעת הסוברים דמהני חזקה להכריע אף במקום ספיקות.</w:t>
      </w:r>
    </w:p>
  </w:footnote>
  <w:footnote w:id="4936">
    <w:p w14:paraId="273D38C5" w14:textId="77777777" w:rsidR="00F64AED" w:rsidRDefault="00F64AED" w:rsidP="00F64AED">
      <w:pPr>
        <w:pStyle w:val="Footnote"/>
        <w:bidi/>
      </w:pPr>
      <w:r>
        <w:rPr>
          <w:rStyle w:val="ac"/>
          <w:rtl/>
        </w:rPr>
        <w:footnoteRef/>
      </w:r>
      <w:r>
        <w:rPr>
          <w:rtl/>
        </w:rPr>
        <w:t>וה</w:t>
      </w:r>
      <w:r>
        <w:rPr>
          <w:b/>
          <w:bCs/>
          <w:rtl/>
        </w:rPr>
        <w:t>כס"מ</w:t>
      </w:r>
      <w:r>
        <w:rPr>
          <w:rtl/>
        </w:rPr>
        <w:t xml:space="preserve"> תמה דלענין קדושת הארץ פסק הרמב"ם דתרומה בזה"ז דרבנן. וה</w:t>
      </w:r>
      <w:r>
        <w:rPr>
          <w:b/>
          <w:bCs/>
          <w:rtl/>
        </w:rPr>
        <w:t xml:space="preserve">משנ"ל </w:t>
      </w:r>
      <w:r>
        <w:rPr>
          <w:rtl/>
        </w:rPr>
        <w:t>כתב דלק"מ, דר"י הוכיח דר' יוסי מתיר מתורת ודאי מדין תרומה, אבל לא תליא בהדדי כלל.</w:t>
      </w:r>
    </w:p>
  </w:footnote>
  <w:footnote w:id="4937">
    <w:p w14:paraId="72B79589" w14:textId="77777777" w:rsidR="00F64AED" w:rsidRDefault="00F64AED" w:rsidP="00F64AED">
      <w:pPr>
        <w:pStyle w:val="Footnote"/>
        <w:bidi/>
      </w:pPr>
      <w:r>
        <w:rPr>
          <w:rStyle w:val="ac"/>
          <w:rtl/>
        </w:rPr>
        <w:footnoteRef/>
      </w:r>
      <w:r>
        <w:rPr>
          <w:rtl/>
        </w:rPr>
        <w:t>[ע' תוס' ד"ה אמר, ובסוגיא פב:].</w:t>
      </w:r>
    </w:p>
  </w:footnote>
  <w:footnote w:id="4938">
    <w:p w14:paraId="07F09CEA" w14:textId="77777777" w:rsidR="00F64AED" w:rsidRDefault="00F64AED" w:rsidP="00F64AED">
      <w:pPr>
        <w:pStyle w:val="Footnote"/>
        <w:bidi/>
      </w:pPr>
      <w:r>
        <w:rPr>
          <w:rStyle w:val="ac"/>
          <w:rtl/>
        </w:rPr>
        <w:footnoteRef/>
      </w:r>
      <w:r>
        <w:rPr>
          <w:rtl/>
        </w:rPr>
        <w:t>ותקנו כעין דאורייתא.</w:t>
      </w:r>
    </w:p>
  </w:footnote>
  <w:footnote w:id="4939">
    <w:p w14:paraId="34C05F1A" w14:textId="77777777" w:rsidR="00F64AED" w:rsidRDefault="00F64AED" w:rsidP="00F64AED">
      <w:pPr>
        <w:pStyle w:val="Footnote"/>
        <w:bidi/>
      </w:pPr>
      <w:r>
        <w:rPr>
          <w:rStyle w:val="ac"/>
          <w:rtl/>
        </w:rPr>
        <w:footnoteRef/>
      </w:r>
      <w:r>
        <w:rPr>
          <w:rtl/>
        </w:rPr>
        <w:t xml:space="preserve">וכ"כ </w:t>
      </w:r>
      <w:r>
        <w:rPr>
          <w:b/>
          <w:bCs/>
          <w:rtl/>
        </w:rPr>
        <w:t>תוס'</w:t>
      </w:r>
      <w:r>
        <w:rPr>
          <w:rtl/>
        </w:rPr>
        <w:t xml:space="preserve"> (ר"ה שם) בתחילת דבריהם.</w:t>
      </w:r>
    </w:p>
  </w:footnote>
  <w:footnote w:id="4940">
    <w:p w14:paraId="530D34B9" w14:textId="77777777" w:rsidR="00F64AED" w:rsidRDefault="00F64AED" w:rsidP="00F64AED">
      <w:pPr>
        <w:pStyle w:val="Footnote"/>
        <w:bidi/>
      </w:pPr>
      <w:r>
        <w:rPr>
          <w:rStyle w:val="ac"/>
          <w:rtl/>
        </w:rPr>
        <w:footnoteRef/>
      </w:r>
      <w:r>
        <w:rPr>
          <w:rtl/>
        </w:rPr>
        <w:t xml:space="preserve">ויש </w:t>
      </w:r>
      <w:r>
        <w:rPr>
          <w:b/>
          <w:bCs/>
          <w:rtl/>
        </w:rPr>
        <w:t>ראשונים</w:t>
      </w:r>
      <w:r>
        <w:rPr>
          <w:rtl/>
        </w:rPr>
        <w:t xml:space="preserve"> (ע' מאירי מכות יט., ר' יונתן עירובין ג א, ראשונים ב"מ פח: בשם ה</w:t>
      </w:r>
      <w:r>
        <w:rPr>
          <w:b/>
          <w:bCs/>
          <w:rtl/>
        </w:rPr>
        <w:t>ראב"ד</w:t>
      </w:r>
      <w:r>
        <w:rPr>
          <w:rtl/>
        </w:rPr>
        <w:t>) לחלק דכל ז' מינים מדאורייתא, ושאר פירות דרבנן. ועוד חילק הראב"ד בין תרומות ומעשרות. [עי"ש במקו"צ דעת שא"ר בזה].</w:t>
      </w:r>
    </w:p>
  </w:footnote>
  <w:footnote w:id="4941">
    <w:p w14:paraId="3CAC739A" w14:textId="77777777" w:rsidR="00F64AED" w:rsidRDefault="00F64AED" w:rsidP="00F64AED">
      <w:pPr>
        <w:pStyle w:val="Footnote"/>
        <w:bidi/>
      </w:pPr>
      <w:r>
        <w:rPr>
          <w:rStyle w:val="ac"/>
          <w:rtl/>
        </w:rPr>
        <w:footnoteRef/>
      </w:r>
      <w:r>
        <w:rPr>
          <w:rtl/>
        </w:rPr>
        <w:t>דבסוגיין הוה גזירה שמא יאכיל בדאורייתא, ומש"ה אין לחלק בזה. [ולא הוה טעמים שהחמירו טפי בספיקות].</w:t>
      </w:r>
    </w:p>
  </w:footnote>
  <w:footnote w:id="4942">
    <w:p w14:paraId="3EDB9EFB" w14:textId="77777777" w:rsidR="00F64AED" w:rsidRDefault="00F64AED" w:rsidP="00F64AED">
      <w:pPr>
        <w:pStyle w:val="Footnote"/>
        <w:bidi/>
      </w:pPr>
      <w:r>
        <w:rPr>
          <w:rStyle w:val="ac"/>
          <w:rtl/>
        </w:rPr>
        <w:footnoteRef/>
      </w:r>
      <w:r>
        <w:rPr>
          <w:rtl/>
        </w:rPr>
        <w:t>ו</w:t>
      </w:r>
      <w:r>
        <w:rPr>
          <w:b/>
          <w:bCs/>
          <w:rtl/>
        </w:rPr>
        <w:t>תוס</w:t>
      </w:r>
      <w:r>
        <w:rPr>
          <w:rtl/>
        </w:rPr>
        <w:t>' (ד"ה אמר, וסוד"ה ואין, וכן ד"ה והלא) כת' דר"ל נקט דהך ברייתא הוה אליבא דר' יוסי. [ור' יוסי ס"ל כר' מאיר בדין דרכו לימנות].</w:t>
      </w:r>
    </w:p>
  </w:footnote>
  <w:footnote w:id="4943">
    <w:p w14:paraId="0A6EDA54" w14:textId="77777777" w:rsidR="00F64AED" w:rsidRDefault="00F64AED" w:rsidP="00F64AED">
      <w:pPr>
        <w:pStyle w:val="Footnote"/>
        <w:bidi/>
      </w:pPr>
      <w:r>
        <w:rPr>
          <w:rStyle w:val="ac"/>
          <w:rtl/>
        </w:rPr>
        <w:footnoteRef/>
      </w:r>
      <w:r>
        <w:rPr>
          <w:rtl/>
        </w:rPr>
        <w:t>ו</w:t>
      </w:r>
      <w:r>
        <w:rPr>
          <w:b/>
          <w:bCs/>
          <w:rtl/>
        </w:rPr>
        <w:t>רש"י</w:t>
      </w:r>
      <w:r>
        <w:rPr>
          <w:rtl/>
        </w:rPr>
        <w:t xml:space="preserve"> כת' אי נמי אתית לבטולי לאו איסורא הוא. וקצת משמע דלכחילה לא נתבטל. אלא דלא הוה איסור כ"כ. [וצ"ע]. אך אף אי הוה דבר שבמנין מ"מ הוה רק מדרבנן, וליכא צד דהוה דאורייתא.</w:t>
      </w:r>
    </w:p>
  </w:footnote>
  <w:footnote w:id="4944">
    <w:p w14:paraId="59BA8582" w14:textId="77777777" w:rsidR="00F64AED" w:rsidRDefault="00F64AED" w:rsidP="00F64AED">
      <w:pPr>
        <w:pStyle w:val="Footnote"/>
        <w:bidi/>
      </w:pPr>
      <w:r>
        <w:rPr>
          <w:rStyle w:val="ac"/>
          <w:rtl/>
        </w:rPr>
        <w:footnoteRef/>
      </w:r>
      <w:r>
        <w:rPr>
          <w:rtl/>
        </w:rPr>
        <w:t>ו</w:t>
      </w:r>
      <w:r>
        <w:rPr>
          <w:b/>
          <w:bCs/>
          <w:rtl/>
        </w:rPr>
        <w:t>תוס</w:t>
      </w:r>
      <w:r>
        <w:rPr>
          <w:rtl/>
        </w:rPr>
        <w:t>' (לקמן פב. ד"ה בטומאת) עמדו בכעי"ז, דסברת ר' יהודה דבטומאה דרבנן אינו בטל [במין במינו] משום דגזרו דרבנן אטו דאורייתא.</w:t>
      </w:r>
    </w:p>
  </w:footnote>
  <w:footnote w:id="4945">
    <w:p w14:paraId="63A0A085" w14:textId="77777777" w:rsidR="00F64AED" w:rsidRDefault="00F64AED" w:rsidP="00F64AED">
      <w:pPr>
        <w:pStyle w:val="Footnote"/>
        <w:bidi/>
      </w:pPr>
      <w:r>
        <w:rPr>
          <w:rStyle w:val="ac"/>
          <w:rtl/>
        </w:rPr>
        <w:footnoteRef/>
      </w:r>
      <w:r>
        <w:rPr>
          <w:rtl/>
        </w:rPr>
        <w:t>והראב"ד (כתוב שם) הק' דא"כ האיך ר' יוחנן הק' מאת שדרכו. הא אפי' אילו עגול הוה 'את שדרכו', ר' יוחנן לא גזר דרבנן אטו דאורייתא. והוה ליה למימר 'ועוד מי סברת' [ולהקשות לדבריו דר"ל].</w:t>
      </w:r>
    </w:p>
  </w:footnote>
  <w:footnote w:id="4946">
    <w:p w14:paraId="243AF56B" w14:textId="77777777" w:rsidR="00F64AED" w:rsidRDefault="00F64AED" w:rsidP="00F64AED">
      <w:pPr>
        <w:pStyle w:val="Footnote"/>
        <w:bidi/>
      </w:pPr>
      <w:r>
        <w:rPr>
          <w:rStyle w:val="ac"/>
          <w:rtl/>
        </w:rPr>
        <w:footnoteRef/>
      </w:r>
      <w:r>
        <w:rPr>
          <w:rtl/>
        </w:rPr>
        <w:t>ו</w:t>
      </w:r>
      <w:r>
        <w:rPr>
          <w:b/>
          <w:bCs/>
          <w:rtl/>
        </w:rPr>
        <w:t>תוס'</w:t>
      </w:r>
      <w:r>
        <w:rPr>
          <w:rtl/>
        </w:rPr>
        <w:t xml:space="preserve"> תי' דבר פלוגתיה דר' יהודה הוא ר' יוסי. [ע' מפרשים]. וה</w:t>
      </w:r>
      <w:r>
        <w:rPr>
          <w:b/>
          <w:bCs/>
          <w:rtl/>
        </w:rPr>
        <w:t>תוס' רא"ש</w:t>
      </w:r>
      <w:r>
        <w:rPr>
          <w:rtl/>
        </w:rPr>
        <w:t xml:space="preserve"> כת' דבר פלוגתיה דר' יהודה הוא ר' מאיר. וכת' דאף ר' יוסי ס"ל כר' מאיר מדנקט עיגול [וכמ"ש בסו"ד התוס'].</w:t>
      </w:r>
    </w:p>
  </w:footnote>
  <w:footnote w:id="4947">
    <w:p w14:paraId="04E5E151" w14:textId="77777777" w:rsidR="00F64AED" w:rsidRDefault="00F64AED" w:rsidP="00F64AED">
      <w:pPr>
        <w:pStyle w:val="Footnote"/>
        <w:bidi/>
      </w:pPr>
      <w:r>
        <w:rPr>
          <w:rStyle w:val="ac"/>
          <w:rtl/>
        </w:rPr>
        <w:footnoteRef/>
      </w:r>
      <w:r>
        <w:rPr>
          <w:rtl/>
        </w:rPr>
        <w:t>והמשנ"ל כת' דנראה דאף איסור חדש, למ"ד דחדש בחו"ל מדרבנן. ה"ה בזה"ז דרבנן.</w:t>
      </w:r>
    </w:p>
  </w:footnote>
  <w:footnote w:id="4948">
    <w:p w14:paraId="020192EE" w14:textId="77777777" w:rsidR="00F64AED" w:rsidRDefault="00F64AED" w:rsidP="00F64AED">
      <w:pPr>
        <w:pStyle w:val="Footnote"/>
        <w:bidi/>
      </w:pPr>
      <w:r>
        <w:rPr>
          <w:rStyle w:val="ac"/>
          <w:rtl/>
        </w:rPr>
        <w:footnoteRef/>
      </w:r>
      <w:r>
        <w:rPr>
          <w:rtl/>
        </w:rPr>
        <w:t>ושמואל סבר כוותיה בחדא, דלא מהני ספק ספיקא בע"ז. ומהני בשאר איסורי התורה.</w:t>
      </w:r>
    </w:p>
  </w:footnote>
  <w:footnote w:id="4949">
    <w:p w14:paraId="116E7846" w14:textId="77777777" w:rsidR="00F64AED" w:rsidRDefault="00F64AED" w:rsidP="00F64AED">
      <w:pPr>
        <w:pStyle w:val="Footnote"/>
        <w:bidi/>
      </w:pPr>
      <w:r>
        <w:rPr>
          <w:rStyle w:val="ac"/>
          <w:rtl/>
        </w:rPr>
        <w:footnoteRef/>
      </w:r>
      <w:r>
        <w:rPr>
          <w:rtl/>
        </w:rPr>
        <w:t>ע"פ הגמ' (זבחים עד.) מריבוא לג' ומג' למקום אחר מותר.</w:t>
      </w:r>
    </w:p>
  </w:footnote>
  <w:footnote w:id="4950">
    <w:p w14:paraId="5608D7AB" w14:textId="77777777" w:rsidR="00F64AED" w:rsidRDefault="00F64AED" w:rsidP="00F64AED">
      <w:pPr>
        <w:pStyle w:val="Footnote"/>
        <w:bidi/>
      </w:pPr>
      <w:r>
        <w:rPr>
          <w:rStyle w:val="ac"/>
          <w:rtl/>
        </w:rPr>
        <w:footnoteRef/>
      </w:r>
      <w:r>
        <w:rPr>
          <w:rtl/>
        </w:rPr>
        <w:t>אבל לשון ה</w:t>
      </w:r>
      <w:r>
        <w:rPr>
          <w:b/>
          <w:bCs/>
          <w:rtl/>
        </w:rPr>
        <w:t>ריטב"א</w:t>
      </w:r>
      <w:r>
        <w:rPr>
          <w:rtl/>
        </w:rPr>
        <w:t xml:space="preserve"> (וכן הרשב"א בתוה"ב כב: בדה"ס) דרוב התערובת הראשון נתערב בב', ויל"ד האם הוא דוקא.</w:t>
      </w:r>
    </w:p>
  </w:footnote>
  <w:footnote w:id="4951">
    <w:p w14:paraId="2C469B7B" w14:textId="77777777" w:rsidR="00F64AED" w:rsidRDefault="00F64AED" w:rsidP="00F64AED">
      <w:pPr>
        <w:pStyle w:val="Footnote"/>
        <w:bidi/>
      </w:pPr>
      <w:r>
        <w:rPr>
          <w:rStyle w:val="ac"/>
          <w:rtl/>
        </w:rPr>
        <w:footnoteRef/>
      </w:r>
      <w:r>
        <w:rPr>
          <w:rtl/>
        </w:rPr>
        <w:t>דכיון דנוצר הספק בב' שלבים נידון כב' [קבוצות] רוב נגד המיעוט, ואף דאילו היה נופל בבת א' הוה הכל ספק א'.</w:t>
      </w:r>
    </w:p>
  </w:footnote>
  <w:footnote w:id="4952">
    <w:p w14:paraId="2BC787CA" w14:textId="77777777" w:rsidR="00F64AED" w:rsidRDefault="00F64AED" w:rsidP="00F64AED">
      <w:pPr>
        <w:pStyle w:val="Footnote"/>
        <w:bidi/>
      </w:pPr>
      <w:r>
        <w:rPr>
          <w:rStyle w:val="ac"/>
          <w:rtl/>
        </w:rPr>
        <w:footnoteRef/>
      </w:r>
      <w:r>
        <w:rPr>
          <w:rtl/>
        </w:rPr>
        <w:t>ודלא כ</w:t>
      </w:r>
      <w:r>
        <w:rPr>
          <w:b/>
          <w:bCs/>
          <w:rtl/>
        </w:rPr>
        <w:t>רשב"ם</w:t>
      </w:r>
      <w:r>
        <w:rPr>
          <w:rtl/>
        </w:rPr>
        <w:t xml:space="preserve"> (הו' בתוס', ובבעה"מ פסחים כז. ו: בדה"ר) דאיירי בכל האיסורין. וע"ע רמ"א (או"ח תמז א) ופוסקים.</w:t>
      </w:r>
    </w:p>
  </w:footnote>
  <w:footnote w:id="4953">
    <w:p w14:paraId="20B11C83" w14:textId="77777777" w:rsidR="00F64AED" w:rsidRDefault="00F64AED" w:rsidP="00F64AED">
      <w:pPr>
        <w:pStyle w:val="Footnote"/>
        <w:bidi/>
      </w:pPr>
      <w:r>
        <w:rPr>
          <w:rStyle w:val="ac"/>
          <w:rtl/>
        </w:rPr>
        <w:footnoteRef/>
      </w:r>
      <w:r>
        <w:rPr>
          <w:rtl/>
        </w:rPr>
        <w:t>וכיון דתופס את דמיו מדאורייתא, החשיבו דיחשב פדיון ויצא לחולין. אבל בשאר איסורין לא חידשו שיחשב פדיון. וע"ע שער"י (ג כה ד"ה ויש לפרש כן).</w:t>
      </w:r>
    </w:p>
  </w:footnote>
  <w:footnote w:id="4954">
    <w:p w14:paraId="459F960C" w14:textId="77777777" w:rsidR="00F64AED" w:rsidRDefault="00F64AED" w:rsidP="00F64AED">
      <w:pPr>
        <w:pStyle w:val="Footnote"/>
        <w:bidi/>
      </w:pPr>
      <w:r>
        <w:rPr>
          <w:rStyle w:val="ac"/>
          <w:rtl/>
        </w:rPr>
        <w:footnoteRef/>
      </w:r>
      <w:r>
        <w:rPr>
          <w:rtl/>
        </w:rPr>
        <w:t>דהא אינו בעין. ומ"מ משמע בתוס' דבעינן ג"כ שנתערב, אבל קודם שנתערב ל"מ להוליך מעות כדי שלא יהנה. [וצ"ע מ"ש]. אך מדברי רש"י (פסחים כו) משמע דאף כשהוא בעין.</w:t>
      </w:r>
    </w:p>
  </w:footnote>
  <w:footnote w:id="4955">
    <w:p w14:paraId="164C16A4" w14:textId="77777777" w:rsidR="00F64AED" w:rsidRDefault="00F64AED" w:rsidP="00F64AED">
      <w:pPr>
        <w:pStyle w:val="Footnote"/>
        <w:bidi/>
      </w:pPr>
      <w:r>
        <w:rPr>
          <w:rStyle w:val="ac"/>
          <w:rtl/>
        </w:rPr>
        <w:footnoteRef/>
      </w:r>
      <w:r>
        <w:rPr>
          <w:rtl/>
        </w:rPr>
        <w:t>ודעת ה</w:t>
      </w:r>
      <w:r>
        <w:rPr>
          <w:b/>
          <w:bCs/>
          <w:rtl/>
        </w:rPr>
        <w:t>ריטב"א</w:t>
      </w:r>
      <w:r>
        <w:rPr>
          <w:rtl/>
        </w:rPr>
        <w:t xml:space="preserve"> ו</w:t>
      </w:r>
      <w:r>
        <w:rPr>
          <w:b/>
          <w:bCs/>
          <w:rtl/>
        </w:rPr>
        <w:t>ר"ן</w:t>
      </w:r>
      <w:r>
        <w:rPr>
          <w:rtl/>
        </w:rPr>
        <w:t xml:space="preserve"> (ע"ז שם, והמהר"ם חלאוה פסחים כו) דדוקא התם דנתערב שבח בעלמא, ואין בהם ממשות איסור ע"ז [אלא הנאה בעלמא]. אבל באיסור ממש ליכא תקנה. דאין פדיון לע"ז, אלא דהכא אין כאן אלא הנאת ע"ז בעלמא, וע"י שהוליך הנאה אזל ליה הנאה שהיה בו.</w:t>
      </w:r>
    </w:p>
  </w:footnote>
  <w:footnote w:id="4956">
    <w:p w14:paraId="000D419D" w14:textId="77777777" w:rsidR="00F64AED" w:rsidRDefault="00F64AED" w:rsidP="00F64AED">
      <w:pPr>
        <w:pStyle w:val="Footnote"/>
        <w:bidi/>
      </w:pPr>
      <w:r>
        <w:rPr>
          <w:rStyle w:val="ac"/>
          <w:rtl/>
        </w:rPr>
        <w:footnoteRef/>
      </w:r>
      <w:r>
        <w:rPr>
          <w:rtl/>
        </w:rPr>
        <w:t>דהרשב"א הק' דר' מאיר ליתא, והיכי פליגי אליביה.</w:t>
      </w:r>
    </w:p>
  </w:footnote>
  <w:footnote w:id="4957">
    <w:p w14:paraId="179AC1B6" w14:textId="77777777" w:rsidR="00F64AED" w:rsidRDefault="00F64AED" w:rsidP="00F64AED">
      <w:pPr>
        <w:pStyle w:val="Footnote"/>
        <w:bidi/>
      </w:pPr>
      <w:r>
        <w:rPr>
          <w:rStyle w:val="ac"/>
          <w:rtl/>
        </w:rPr>
        <w:footnoteRef/>
      </w:r>
      <w:r>
        <w:rPr>
          <w:rtl/>
        </w:rPr>
        <w:t>וכגון אגוזי פרך ורמוני בדן באר"י באותן הזמנים.</w:t>
      </w:r>
    </w:p>
  </w:footnote>
  <w:footnote w:id="4958">
    <w:p w14:paraId="270613E6" w14:textId="77777777" w:rsidR="00F64AED" w:rsidRDefault="00F64AED" w:rsidP="00F64AED">
      <w:pPr>
        <w:pStyle w:val="Footnote"/>
        <w:bidi/>
      </w:pPr>
      <w:r>
        <w:rPr>
          <w:rStyle w:val="ac"/>
          <w:rtl/>
        </w:rPr>
        <w:footnoteRef/>
      </w:r>
      <w:r>
        <w:rPr>
          <w:rtl/>
        </w:rPr>
        <w:t>ויל"ד מדברי הירושלמי (הו' בתוס') דרק י' דברים הוה ראוי להתכבד. [אך יש שפי' דכוונת הירושלמי די' דברים שהוזכרו במשנה וברייתא].</w:t>
      </w:r>
    </w:p>
  </w:footnote>
  <w:footnote w:id="4959">
    <w:p w14:paraId="2F362934" w14:textId="77777777" w:rsidR="00F64AED" w:rsidRDefault="00F64AED" w:rsidP="00F64AED">
      <w:pPr>
        <w:pStyle w:val="Footnote"/>
        <w:bidi/>
      </w:pPr>
      <w:r>
        <w:rPr>
          <w:rStyle w:val="ac"/>
          <w:rtl/>
        </w:rPr>
        <w:footnoteRef/>
      </w:r>
      <w:r>
        <w:rPr>
          <w:rtl/>
        </w:rPr>
        <w:t>וכן הגיה ה</w:t>
      </w:r>
      <w:r>
        <w:rPr>
          <w:b/>
          <w:bCs/>
          <w:rtl/>
        </w:rPr>
        <w:t>מרומי שדה</w:t>
      </w:r>
      <w:r>
        <w:rPr>
          <w:rtl/>
        </w:rPr>
        <w:t xml:space="preserve"> (הו' ברש"ש) בתוס' דידן דחוויר טפי.</w:t>
      </w:r>
    </w:p>
  </w:footnote>
  <w:footnote w:id="4960">
    <w:p w14:paraId="4BD77E91" w14:textId="77777777" w:rsidR="00F64AED" w:rsidRDefault="00F64AED" w:rsidP="00F64AED">
      <w:pPr>
        <w:pStyle w:val="Footnote"/>
        <w:bidi/>
      </w:pPr>
      <w:r>
        <w:rPr>
          <w:rStyle w:val="ac"/>
          <w:rtl/>
        </w:rPr>
        <w:footnoteRef/>
      </w:r>
      <w:r>
        <w:rPr>
          <w:rtl/>
        </w:rPr>
        <w:t>ומשמע מדברי התוס' דנקטו דסברת רש"י דמהדין שלא יתבטל, אלא דהקילו משום הפסד מרובה. אך פשטות דברי רש"י משמע להיפך, דמהדין שלא יתבטל. והחמירו במקום דליכא הפסד גדול.</w:t>
      </w:r>
    </w:p>
  </w:footnote>
  <w:footnote w:id="4961">
    <w:p w14:paraId="251F4FE1" w14:textId="77777777" w:rsidR="00F64AED" w:rsidRDefault="00F64AED" w:rsidP="00F64AED">
      <w:pPr>
        <w:pStyle w:val="Footnote"/>
        <w:bidi/>
      </w:pPr>
      <w:r>
        <w:rPr>
          <w:rStyle w:val="ac"/>
          <w:rtl/>
        </w:rPr>
        <w:footnoteRef/>
      </w:r>
      <w:r>
        <w:rPr>
          <w:rtl/>
          <w:lang w:val="he-IL"/>
        </w:rPr>
        <w:t>ו</w:t>
      </w:r>
      <w:r>
        <w:rPr>
          <w:b/>
          <w:bCs/>
          <w:rtl/>
          <w:lang w:val="he-IL"/>
        </w:rPr>
        <w:t>תוס</w:t>
      </w:r>
      <w:r>
        <w:rPr>
          <w:rtl/>
          <w:lang w:val="he-IL"/>
        </w:rPr>
        <w:t>' (זבחים עב.) כת' דחתיכה בעלמא דחשובה להתכבד בפני האורחים חשיבא 'את שדרכו למנות'. ומבואר דראויה להתכבד הוה משום דרכו לימנות, וכר' מאיר. דעדיפי מאת שדרכו וחשיבי כאגוזי פרך. [וכ"כ המלחמות דחתיכה נחשב 'את שדרכו']</w:t>
      </w:r>
      <w:r>
        <w:rPr>
          <w:rFonts w:cs="Times New Roman"/>
          <w:rtl/>
          <w:lang w:val="he-IL"/>
        </w:rPr>
        <w:t>.</w:t>
      </w:r>
    </w:p>
    <w:p w14:paraId="3D481DFD" w14:textId="77777777" w:rsidR="00F64AED" w:rsidRDefault="00F64AED" w:rsidP="00F64AED">
      <w:pPr>
        <w:pStyle w:val="Footnote"/>
        <w:bidi/>
      </w:pPr>
      <w:r>
        <w:rPr>
          <w:rFonts w:cs="Times New Roman"/>
          <w:rtl/>
          <w:lang w:val="he-IL"/>
        </w:rPr>
        <w:tab/>
      </w:r>
      <w:r>
        <w:rPr>
          <w:rtl/>
          <w:lang w:val="he-IL"/>
        </w:rPr>
        <w:t>אבל ה</w:t>
      </w:r>
      <w:r>
        <w:rPr>
          <w:b/>
          <w:bCs/>
          <w:rtl/>
          <w:lang w:val="he-IL"/>
        </w:rPr>
        <w:t>מאירי</w:t>
      </w:r>
      <w:r>
        <w:rPr>
          <w:rtl/>
          <w:lang w:val="he-IL"/>
        </w:rPr>
        <w:t xml:space="preserve"> מבואר דהוה דין אחר, ולא תליא בדרכו לימנות. ועד"ז כ' ה</w:t>
      </w:r>
      <w:r>
        <w:rPr>
          <w:b/>
          <w:bCs/>
          <w:rtl/>
          <w:lang w:val="he-IL"/>
        </w:rPr>
        <w:t>חוו"ד</w:t>
      </w:r>
      <w:r>
        <w:rPr>
          <w:rtl/>
          <w:lang w:val="he-IL"/>
        </w:rPr>
        <w:t xml:space="preserve"> (קא א) בדעת הרשב"א</w:t>
      </w:r>
      <w:r>
        <w:rPr>
          <w:rFonts w:cs="Times New Roman"/>
          <w:rtl/>
          <w:lang w:val="he-IL"/>
        </w:rPr>
        <w:t>.</w:t>
      </w:r>
    </w:p>
  </w:footnote>
  <w:footnote w:id="4962">
    <w:p w14:paraId="12B3560B" w14:textId="77777777" w:rsidR="00F64AED" w:rsidRDefault="00F64AED" w:rsidP="00F64AED">
      <w:pPr>
        <w:pStyle w:val="Footnote"/>
        <w:bidi/>
      </w:pPr>
      <w:r>
        <w:rPr>
          <w:rStyle w:val="ac"/>
          <w:rtl/>
        </w:rPr>
        <w:footnoteRef/>
      </w:r>
      <w:r>
        <w:rPr>
          <w:rtl/>
        </w:rPr>
        <w:t>ו</w:t>
      </w:r>
      <w:r>
        <w:rPr>
          <w:b/>
          <w:bCs/>
          <w:rtl/>
          <w:lang w:val="he-IL"/>
        </w:rPr>
        <w:t>תוס</w:t>
      </w:r>
      <w:r>
        <w:rPr>
          <w:rtl/>
          <w:lang w:val="he-IL"/>
        </w:rPr>
        <w:t>' (זבחים שם) כת' דאפ"ה איסורי הנאה חשיב ראוי להתכבד, כיון דאי היתה בטילה היתה ראויה להתכבד, הלכך לא בטלה</w:t>
      </w:r>
      <w:r>
        <w:rPr>
          <w:rFonts w:cs="Times New Roman"/>
          <w:rtl/>
          <w:lang w:val="he-IL"/>
        </w:rPr>
        <w:t>.</w:t>
      </w:r>
    </w:p>
  </w:footnote>
  <w:footnote w:id="4963">
    <w:p w14:paraId="04F8A364" w14:textId="77777777" w:rsidR="00F64AED" w:rsidRDefault="00F64AED" w:rsidP="00F64AED">
      <w:pPr>
        <w:pStyle w:val="Footnote"/>
        <w:bidi/>
      </w:pPr>
      <w:r>
        <w:rPr>
          <w:rStyle w:val="ac"/>
          <w:rtl/>
        </w:rPr>
        <w:footnoteRef/>
      </w:r>
      <w:r>
        <w:rPr>
          <w:rtl/>
        </w:rPr>
        <w:t>ויסוד זה כת' ה</w:t>
      </w:r>
      <w:r>
        <w:rPr>
          <w:b/>
          <w:bCs/>
          <w:rtl/>
        </w:rPr>
        <w:t>ראשונים</w:t>
      </w:r>
      <w:r>
        <w:rPr>
          <w:rtl/>
        </w:rPr>
        <w:t xml:space="preserve"> (ונפסק ב</w:t>
      </w:r>
      <w:r>
        <w:rPr>
          <w:b/>
          <w:bCs/>
          <w:rtl/>
        </w:rPr>
        <w:t>שו"ע</w:t>
      </w:r>
      <w:r>
        <w:rPr>
          <w:rtl/>
        </w:rPr>
        <w:t xml:space="preserve"> יו"ד קא ב) דחתיכה הבלועה מאיסור לא נחשב ראוי להתכבד, כיון דהחתיכה אינה אסורה מצד עצמה. [אבל בפשוטו טומאה נחשב אסורה מצד עצמה, דהחתיכה בעצמה נאסרת ואין לה תקנה].</w:t>
      </w:r>
    </w:p>
  </w:footnote>
  <w:footnote w:id="4964">
    <w:p w14:paraId="51A0DA11" w14:textId="77777777" w:rsidR="00F64AED" w:rsidRDefault="00F64AED" w:rsidP="00F64AED">
      <w:pPr>
        <w:pStyle w:val="Footnote"/>
        <w:bidi/>
      </w:pPr>
      <w:r>
        <w:rPr>
          <w:rStyle w:val="ac"/>
          <w:rtl/>
        </w:rPr>
        <w:footnoteRef/>
      </w:r>
      <w:r>
        <w:rPr>
          <w:rtl/>
        </w:rPr>
        <w:t>[דגדר הביטול הוה על שם האיסור, ולא על המין].</w:t>
      </w:r>
    </w:p>
  </w:footnote>
  <w:footnote w:id="4965">
    <w:p w14:paraId="22DA947F" w14:textId="77777777" w:rsidR="00F64AED" w:rsidRDefault="00F64AED" w:rsidP="00F64AED">
      <w:pPr>
        <w:pStyle w:val="Footnote"/>
        <w:bidi/>
      </w:pPr>
      <w:r>
        <w:rPr>
          <w:rStyle w:val="ac"/>
          <w:rtl/>
        </w:rPr>
        <w:footnoteRef/>
      </w:r>
      <w:r>
        <w:rPr>
          <w:rtl/>
        </w:rPr>
        <w:t>[ואף מין במינו דהטעם אינו ניכר, מ"מ הטעם מתערב בכולו].</w:t>
      </w:r>
    </w:p>
  </w:footnote>
  <w:footnote w:id="4966">
    <w:p w14:paraId="367F8934" w14:textId="77777777" w:rsidR="00F64AED" w:rsidRDefault="00F64AED" w:rsidP="00F64AED">
      <w:pPr>
        <w:pStyle w:val="Footnote"/>
        <w:bidi/>
      </w:pPr>
      <w:r>
        <w:rPr>
          <w:rStyle w:val="ac"/>
          <w:rtl/>
        </w:rPr>
        <w:footnoteRef/>
      </w:r>
      <w:r>
        <w:rPr>
          <w:rtl/>
        </w:rPr>
        <w:t>וה</w:t>
      </w:r>
      <w:r>
        <w:rPr>
          <w:b/>
          <w:bCs/>
          <w:rtl/>
        </w:rPr>
        <w:t>קובה"ע</w:t>
      </w:r>
      <w:r>
        <w:rPr>
          <w:rtl/>
        </w:rPr>
        <w:t xml:space="preserve"> (ס ה) ביאר דלח המיעוט מתבטל לרוב, כמו בצק בסידקי העריבה, ונעשה כמוה. [והוה גדר ביטול שונה].</w:t>
      </w:r>
    </w:p>
  </w:footnote>
  <w:footnote w:id="4967">
    <w:p w14:paraId="55BF6B27" w14:textId="77777777" w:rsidR="00F64AED" w:rsidRDefault="00F64AED" w:rsidP="00F64AED">
      <w:pPr>
        <w:pStyle w:val="Footnote"/>
        <w:bidi/>
      </w:pPr>
      <w:r>
        <w:rPr>
          <w:rStyle w:val="ac"/>
          <w:rtl/>
        </w:rPr>
        <w:footnoteRef/>
      </w:r>
      <w:r>
        <w:rPr>
          <w:rtl/>
        </w:rPr>
        <w:t>ודעת ה</w:t>
      </w:r>
      <w:r>
        <w:rPr>
          <w:b/>
          <w:bCs/>
          <w:rtl/>
        </w:rPr>
        <w:t>תוס' רי"ד</w:t>
      </w:r>
      <w:r>
        <w:rPr>
          <w:rtl/>
        </w:rPr>
        <w:t xml:space="preserve"> (ב"ב לא ושו"ת הרי"ד א) דאם אדם א' אכל את כל התערובת חייב חטאת.</w:t>
      </w:r>
    </w:p>
  </w:footnote>
  <w:footnote w:id="4968">
    <w:p w14:paraId="2B7E9A26" w14:textId="77777777" w:rsidR="00F64AED" w:rsidRDefault="00F64AED" w:rsidP="00F64AED">
      <w:pPr>
        <w:pStyle w:val="Footnote"/>
        <w:bidi/>
      </w:pPr>
      <w:r>
        <w:rPr>
          <w:rStyle w:val="ac"/>
          <w:rtl/>
        </w:rPr>
        <w:footnoteRef/>
      </w:r>
      <w:r>
        <w:rPr>
          <w:rtl/>
        </w:rPr>
        <w:t>דה</w:t>
      </w:r>
      <w:r>
        <w:rPr>
          <w:b/>
          <w:bCs/>
          <w:rtl/>
        </w:rPr>
        <w:t>גר"א</w:t>
      </w:r>
      <w:r>
        <w:rPr>
          <w:rtl/>
        </w:rPr>
        <w:t xml:space="preserve"> (יו"ד קט ה) כתב דטעם הביטול דאומר על כל א' דזהו ההיתר. וכת' (שם ו) דטעם הרא"ש דגזיה"כ דאחרי רבים להטות. [אמנם ע' היטב בדברי הרשב"א תוה"ב נראה דהוה דרבנן].</w:t>
      </w:r>
    </w:p>
  </w:footnote>
  <w:footnote w:id="4969">
    <w:p w14:paraId="32EC7B9F" w14:textId="77777777" w:rsidR="00F64AED" w:rsidRDefault="00F64AED" w:rsidP="00F64AED">
      <w:pPr>
        <w:pStyle w:val="Footnote"/>
        <w:bidi/>
      </w:pPr>
      <w:r>
        <w:rPr>
          <w:rStyle w:val="ac"/>
          <w:rtl/>
        </w:rPr>
        <w:footnoteRef/>
      </w:r>
      <w:r>
        <w:rPr>
          <w:rtl/>
        </w:rPr>
        <w:t>דבגמ' (בכורות כג) איתא אף אחרי שנתבטל ברוב, עדיין מטמא במשא [לצד דטומאה כמאן דאיתא, וחוזר וניעור]. דכיון דנושא את כולו כא' נחשב דאין כאן ספק, וכלפי זה ל"מ הביטול.</w:t>
      </w:r>
    </w:p>
  </w:footnote>
  <w:footnote w:id="4970">
    <w:p w14:paraId="354F581B" w14:textId="77777777" w:rsidR="00F64AED" w:rsidRDefault="00F64AED" w:rsidP="00F64AED">
      <w:pPr>
        <w:pStyle w:val="Footnote"/>
        <w:bidi/>
      </w:pPr>
      <w:r>
        <w:rPr>
          <w:rStyle w:val="ac"/>
          <w:rtl/>
        </w:rPr>
        <w:footnoteRef/>
      </w:r>
      <w:r>
        <w:rPr>
          <w:rtl/>
        </w:rPr>
        <w:t>[אמנם ע' בסוגיה בבכורות שם דמבואר דהנידון כמאן דאיתא ביטול דלח תליא בנידון בביטול יבש].</w:t>
      </w:r>
    </w:p>
  </w:footnote>
  <w:footnote w:id="4971">
    <w:p w14:paraId="3FF3D961" w14:textId="77777777" w:rsidR="00F64AED" w:rsidRDefault="00F64AED" w:rsidP="00F64AED">
      <w:pPr>
        <w:pStyle w:val="Footnote"/>
        <w:bidi/>
      </w:pPr>
      <w:r>
        <w:rPr>
          <w:rStyle w:val="ac"/>
          <w:rtl/>
        </w:rPr>
        <w:footnoteRef/>
      </w:r>
      <w:r>
        <w:rPr>
          <w:rtl/>
        </w:rPr>
        <w:t>וה</w:t>
      </w:r>
      <w:r>
        <w:rPr>
          <w:b/>
          <w:bCs/>
          <w:rtl/>
        </w:rPr>
        <w:t>מהר"ם</w:t>
      </w:r>
      <w:r>
        <w:rPr>
          <w:rtl/>
        </w:rPr>
        <w:t xml:space="preserve"> ו</w:t>
      </w:r>
      <w:r>
        <w:rPr>
          <w:b/>
          <w:bCs/>
          <w:rtl/>
        </w:rPr>
        <w:t>חזו"א</w:t>
      </w:r>
      <w:r>
        <w:rPr>
          <w:rtl/>
        </w:rPr>
        <w:t xml:space="preserve"> (קלד) כת' דלפ"ז איירי בגרעין שלם, דקמח בקמח מיקרי מין במינו, לרבא (ע"ז סו) דבתר שמא אזלינן.</w:t>
      </w:r>
    </w:p>
  </w:footnote>
  <w:footnote w:id="4972">
    <w:p w14:paraId="08E7225A" w14:textId="77777777" w:rsidR="00F64AED" w:rsidRDefault="00F64AED" w:rsidP="00F64AED">
      <w:pPr>
        <w:pStyle w:val="Footnote"/>
        <w:bidi/>
      </w:pPr>
      <w:r>
        <w:rPr>
          <w:rStyle w:val="ac"/>
          <w:rtl/>
        </w:rPr>
        <w:footnoteRef/>
      </w:r>
      <w:r>
        <w:rPr>
          <w:rtl/>
        </w:rPr>
        <w:t>ויש דין טעם כעיקר, וכזית כדי אכילת פרס, וכדמבואר בגמ' פסחים שם. וה</w:t>
      </w:r>
      <w:r>
        <w:rPr>
          <w:b/>
          <w:bCs/>
          <w:rtl/>
        </w:rPr>
        <w:t>חזו"א</w:t>
      </w:r>
      <w:r>
        <w:rPr>
          <w:rtl/>
        </w:rPr>
        <w:t xml:space="preserve"> (קלד) העיר דאף שאיננו בטוחים שנתערב על תכונה משותפת קבועה, אמרי' כזית כא"פ וטעכ"ע. ואף דאין בלילתו מעורבת כלח, מ"מ נחשב תערובת לח.</w:t>
      </w:r>
    </w:p>
  </w:footnote>
  <w:footnote w:id="4973">
    <w:p w14:paraId="261D8E72" w14:textId="77777777" w:rsidR="00F64AED" w:rsidRDefault="00F64AED" w:rsidP="00F64AED">
      <w:pPr>
        <w:pStyle w:val="Footnote"/>
        <w:bidi/>
      </w:pPr>
      <w:r>
        <w:rPr>
          <w:rStyle w:val="ac"/>
          <w:rtl/>
        </w:rPr>
        <w:footnoteRef/>
      </w:r>
      <w:r>
        <w:rPr>
          <w:rtl/>
        </w:rPr>
        <w:t>וכעי"ז כתב ה</w:t>
      </w:r>
      <w:r>
        <w:rPr>
          <w:b/>
          <w:bCs/>
          <w:rtl/>
        </w:rPr>
        <w:t>חזו"א</w:t>
      </w:r>
      <w:r>
        <w:rPr>
          <w:rtl/>
        </w:rPr>
        <w:t xml:space="preserve"> דלא שייך בקמח ביטול יבש דכל משהו אינו ניכר בפנ"ע לדון עליו.</w:t>
      </w:r>
    </w:p>
  </w:footnote>
  <w:footnote w:id="4974">
    <w:p w14:paraId="56EE6449" w14:textId="77777777" w:rsidR="00F64AED" w:rsidRDefault="00F64AED" w:rsidP="00F64AED">
      <w:pPr>
        <w:pStyle w:val="Footnote"/>
        <w:bidi/>
      </w:pPr>
      <w:r>
        <w:rPr>
          <w:rStyle w:val="ac"/>
          <w:rtl/>
        </w:rPr>
        <w:footnoteRef/>
      </w:r>
      <w:r>
        <w:rPr>
          <w:rtl/>
        </w:rPr>
        <w:t>ולא הוה רבנן דמשנה (זבחים עז) דיש ביטול מין במינו.</w:t>
      </w:r>
    </w:p>
  </w:footnote>
  <w:footnote w:id="4975">
    <w:p w14:paraId="128A1931" w14:textId="77777777" w:rsidR="00F64AED" w:rsidRDefault="00F64AED" w:rsidP="00F64AED">
      <w:pPr>
        <w:pStyle w:val="Footnote"/>
        <w:bidi/>
      </w:pPr>
      <w:r>
        <w:rPr>
          <w:rStyle w:val="ac"/>
          <w:rtl/>
        </w:rPr>
        <w:footnoteRef/>
      </w:r>
      <w:r>
        <w:rPr>
          <w:rtl/>
        </w:rPr>
        <w:t>וה</w:t>
      </w:r>
      <w:r>
        <w:rPr>
          <w:b/>
          <w:bCs/>
          <w:rtl/>
        </w:rPr>
        <w:t>ריטב"א</w:t>
      </w:r>
      <w:r>
        <w:rPr>
          <w:rtl/>
        </w:rPr>
        <w:t xml:space="preserve"> הק' דלפ"ז העיקר חסר, דקו' הגמ' מ"ט לא בטל בסיפא [כיון דנימוח, ורבנן ס"ל בעלמא דמין במינו בטל]. ועיקר התי' דרבנן דהכא ס"ל דמין במינו אינו בטל, ופליגי ברישא מטעם אחר. [האם באיסור דרבנן מין במינו בטל].</w:t>
      </w:r>
    </w:p>
    <w:p w14:paraId="56F52A04" w14:textId="77777777" w:rsidR="00F64AED" w:rsidRDefault="00F64AED" w:rsidP="00F64AED">
      <w:pPr>
        <w:pStyle w:val="Footnote"/>
        <w:bidi/>
      </w:pPr>
      <w:r>
        <w:rPr>
          <w:rtl/>
        </w:rPr>
        <w:tab/>
        <w:t>והריטב"א תי' דעיקר מימרא דרב שישא קאי בעלמא לפרש ברייתא זו מ"ש רישא ומ"ש סיפא. אלא דהביאום כאן ליישב דעת ר"ל. [ושוב הק' דמ"מ העיקר חסר, דהו"ל לפרש דרבנן ס"ל דבדאורייתא מין במינו אינו בטל].</w:t>
      </w:r>
    </w:p>
  </w:footnote>
  <w:footnote w:id="4976">
    <w:p w14:paraId="1659C4A8" w14:textId="77777777" w:rsidR="00F64AED" w:rsidRDefault="00F64AED" w:rsidP="00F64AED">
      <w:pPr>
        <w:pStyle w:val="Footnote"/>
        <w:bidi/>
      </w:pPr>
      <w:r>
        <w:rPr>
          <w:rStyle w:val="ac"/>
          <w:rtl/>
        </w:rPr>
        <w:footnoteRef/>
      </w:r>
      <w:r>
        <w:rPr>
          <w:rtl/>
        </w:rPr>
        <w:t>והריטב"א הק' לפרש"י דסברת ר' יוחנן משום הפסד, דהו"ל לגמ' לפרש. ועוד דכיו"ב אמר רב אשי (בסמוך), ולא קאי.</w:t>
      </w:r>
    </w:p>
  </w:footnote>
  <w:footnote w:id="4977">
    <w:p w14:paraId="0CDA1569" w14:textId="77777777" w:rsidR="00F64AED" w:rsidRDefault="00F64AED" w:rsidP="00F64AED">
      <w:pPr>
        <w:pStyle w:val="Footnote"/>
        <w:bidi/>
      </w:pPr>
      <w:r>
        <w:rPr>
          <w:rStyle w:val="ac"/>
          <w:rtl/>
        </w:rPr>
        <w:footnoteRef/>
      </w:r>
      <w:r>
        <w:rPr>
          <w:rtl/>
        </w:rPr>
        <w:t>אבל ה</w:t>
      </w:r>
      <w:r>
        <w:rPr>
          <w:b/>
          <w:bCs/>
          <w:rtl/>
        </w:rPr>
        <w:t>ראב"ד</w:t>
      </w:r>
      <w:r>
        <w:rPr>
          <w:rtl/>
        </w:rPr>
        <w:t xml:space="preserve"> (כתוב שם) כלל בקו' הגמ' מ"ש סיפא, דליכא חילוק ביניהם אלא טומאה וטהרה, ואי רישא בנימוחה אף סיפא נימוחה.</w:t>
      </w:r>
    </w:p>
  </w:footnote>
  <w:footnote w:id="4978">
    <w:p w14:paraId="25740F59" w14:textId="77777777" w:rsidR="00F64AED" w:rsidRDefault="00F64AED" w:rsidP="00F64AED">
      <w:pPr>
        <w:pStyle w:val="Footnote"/>
        <w:bidi/>
      </w:pPr>
      <w:r>
        <w:rPr>
          <w:rStyle w:val="ac"/>
          <w:rtl/>
        </w:rPr>
        <w:footnoteRef/>
      </w:r>
      <w:r>
        <w:rPr>
          <w:rtl/>
        </w:rPr>
        <w:t>וקשה א"כ הו"ל לחלק בחד גוונא בין נימוחה ללא נימוחה. וה</w:t>
      </w:r>
      <w:r>
        <w:rPr>
          <w:b/>
          <w:bCs/>
          <w:rtl/>
        </w:rPr>
        <w:t>בעה"מ</w:t>
      </w:r>
      <w:r>
        <w:rPr>
          <w:rtl/>
        </w:rPr>
        <w:t xml:space="preserve"> תי' דרישא רבותא קמ"ל דאע"ג דכולהו קדשים נינהו תעלה [בנימוחה]. וסיפא רבותא קמ"ל דאע"ג דאיכא רובה חולין לא תעלה, שהחולין קרובים ליבטל יותר מן הקדש (וציין כעי"ז במשנה תרומות ה ד דטהורה בטהורה עדיפא ליה). [וצ"ב סברת קרובים ליבטל, דהנידון לבטל את הקודש].</w:t>
      </w:r>
    </w:p>
  </w:footnote>
  <w:footnote w:id="4979">
    <w:p w14:paraId="707D97A1" w14:textId="77777777" w:rsidR="00F64AED" w:rsidRDefault="00F64AED" w:rsidP="00F64AED">
      <w:pPr>
        <w:pStyle w:val="Footnote"/>
        <w:bidi/>
      </w:pPr>
      <w:r>
        <w:rPr>
          <w:rStyle w:val="ac"/>
          <w:rtl/>
        </w:rPr>
        <w:footnoteRef/>
      </w:r>
      <w:r>
        <w:rPr>
          <w:rtl/>
        </w:rPr>
        <w:t>אבל היכא דהוה דרכה לימנות אינו בטל, ותוס' פי' דאף דטומאת משקין דרבנן, במקום שיש טומאת קדשים דאורייתא החמירו. [וכדאי' לעיל פא.]. [וצ"ע דמצאנו כמה קולות שהקילו בטומאת משקין מבשאר טומאות, ולא גזרו בכל מקום].</w:t>
      </w:r>
    </w:p>
  </w:footnote>
  <w:footnote w:id="4980">
    <w:p w14:paraId="1D2EF493" w14:textId="77777777" w:rsidR="00F64AED" w:rsidRDefault="00F64AED" w:rsidP="00F64AED">
      <w:pPr>
        <w:pStyle w:val="Footnote"/>
        <w:bidi/>
      </w:pPr>
      <w:r>
        <w:rPr>
          <w:rStyle w:val="ac"/>
          <w:rtl/>
        </w:rPr>
        <w:footnoteRef/>
      </w:r>
      <w:r>
        <w:rPr>
          <w:rtl/>
        </w:rPr>
        <w:t>וה</w:t>
      </w:r>
      <w:r>
        <w:rPr>
          <w:b/>
          <w:bCs/>
          <w:rtl/>
        </w:rPr>
        <w:t>ראב"ד</w:t>
      </w:r>
      <w:r>
        <w:rPr>
          <w:rtl/>
        </w:rPr>
        <w:t xml:space="preserve"> ביאר דעד"ז לא קשה דעיקר התי' חסר, דר' יוחנן (לעיל) הק' לר"ל מהך ברייתא. ותי' בנימוחה. והק' א"כ מ"ש סיפא. ורב שישא תי' [ברייתא דלעיל אליבא דר"ל] מטעם אחר, דטומאה דרבנן בטל [אף דהוה את שדרכו לימנות]. ומש"ה אי"צ להעמיד בנימוחה.</w:t>
      </w:r>
    </w:p>
  </w:footnote>
  <w:footnote w:id="4981">
    <w:p w14:paraId="2D697343" w14:textId="77777777" w:rsidR="00F64AED" w:rsidRDefault="00F64AED" w:rsidP="00F64AED">
      <w:pPr>
        <w:pStyle w:val="Footnote"/>
        <w:bidi/>
      </w:pPr>
      <w:r>
        <w:rPr>
          <w:rStyle w:val="ac"/>
          <w:rtl/>
        </w:rPr>
        <w:footnoteRef/>
      </w:r>
      <w:r>
        <w:rPr>
          <w:rtl/>
        </w:rPr>
        <w:t>וה</w:t>
      </w:r>
      <w:r>
        <w:rPr>
          <w:b/>
          <w:bCs/>
          <w:rtl/>
        </w:rPr>
        <w:t>ראב"ד</w:t>
      </w:r>
      <w:r>
        <w:rPr>
          <w:rtl/>
        </w:rPr>
        <w:t xml:space="preserve"> ביאר דגבי עיגול החמירו, דליכא הפסד מרובה [דהא חזי לכהן]. אבל במקום שאסור לא גזרו להפסיד קדשים. [וע"ד מש"כ רש"י (פא:), אלא דרש"י נקט הסברא דליכא הפסד לחוד. והראב"ד נקט דהוה טעם דגזרו דרבנן אטו דאורייתא].</w:t>
      </w:r>
    </w:p>
  </w:footnote>
  <w:footnote w:id="4982">
    <w:p w14:paraId="41778C3C" w14:textId="77777777" w:rsidR="00F64AED" w:rsidRDefault="00F64AED" w:rsidP="00F64AED">
      <w:pPr>
        <w:pStyle w:val="Footnote"/>
        <w:bidi/>
      </w:pPr>
      <w:r>
        <w:rPr>
          <w:rStyle w:val="ac"/>
          <w:rtl/>
        </w:rPr>
        <w:footnoteRef/>
      </w:r>
      <w:r>
        <w:rPr>
          <w:rtl/>
        </w:rPr>
        <w:t>וה</w:t>
      </w:r>
      <w:r>
        <w:rPr>
          <w:b/>
          <w:bCs/>
          <w:rtl/>
        </w:rPr>
        <w:t>בעה"מ</w:t>
      </w:r>
      <w:r>
        <w:rPr>
          <w:rtl/>
        </w:rPr>
        <w:t xml:space="preserve"> כת' דרבא [רבה] ס"ל כר"ל [ואיירי בלא נימוח אלא באיסור דרבנן], ועד כאן לא גזר ר"ל אלא בתרומה דעון מיתה, אבל באיסור לאו מחמרינן בהקדש. הואיל ומיבדל בדילי אינשי מיניה.</w:t>
      </w:r>
    </w:p>
    <w:p w14:paraId="224BAACC" w14:textId="77777777" w:rsidR="00F64AED" w:rsidRDefault="00F64AED" w:rsidP="00F64AED">
      <w:pPr>
        <w:pStyle w:val="Footnote"/>
        <w:bidi/>
      </w:pPr>
      <w:r>
        <w:rPr>
          <w:rtl/>
        </w:rPr>
        <w:tab/>
        <w:t>וכת' דרב אשי מתרץ אליבא דר' יוחנן, כלומר כי קאמר ר"י הלא אני שונה חתיכה בחתיכות עולה.</w:t>
      </w:r>
    </w:p>
    <w:p w14:paraId="4BE41526" w14:textId="77777777" w:rsidR="00F64AED" w:rsidRDefault="00F64AED" w:rsidP="00F64AED">
      <w:pPr>
        <w:pStyle w:val="Footnote"/>
        <w:bidi/>
      </w:pPr>
      <w:r>
        <w:rPr>
          <w:rtl/>
        </w:rPr>
        <w:tab/>
        <w:t>וה</w:t>
      </w:r>
      <w:r>
        <w:rPr>
          <w:b/>
          <w:bCs/>
          <w:rtl/>
        </w:rPr>
        <w:t>ראב"ד</w:t>
      </w:r>
      <w:r>
        <w:rPr>
          <w:rtl/>
        </w:rPr>
        <w:t xml:space="preserve"> (כתוב שם) השיג דדבר זר הוא שיהא חד תי' אליבא דר' יוחנן, וחד תי' אליבא דר"ל.</w:t>
      </w:r>
    </w:p>
  </w:footnote>
  <w:footnote w:id="4983">
    <w:p w14:paraId="080C1FC3" w14:textId="77777777" w:rsidR="00F64AED" w:rsidRDefault="00F64AED" w:rsidP="00F64AED">
      <w:pPr>
        <w:pStyle w:val="Footnote"/>
        <w:bidi/>
      </w:pPr>
      <w:r>
        <w:rPr>
          <w:rStyle w:val="ac"/>
          <w:rtl/>
        </w:rPr>
        <w:footnoteRef/>
      </w:r>
      <w:r>
        <w:rPr>
          <w:rtl/>
        </w:rPr>
        <w:t>פ</w:t>
      </w:r>
      <w:r>
        <w:rPr>
          <w:b/>
          <w:bCs/>
          <w:rtl/>
        </w:rPr>
        <w:t>רש"י</w:t>
      </w:r>
      <w:r>
        <w:rPr>
          <w:rtl/>
        </w:rPr>
        <w:t xml:space="preserve"> טמא שאכל קדשים בכרת. [אבל זר שאכל קודש לוקה].</w:t>
      </w:r>
    </w:p>
  </w:footnote>
  <w:footnote w:id="4984">
    <w:p w14:paraId="542B1DDB" w14:textId="77777777" w:rsidR="00F64AED" w:rsidRDefault="00F64AED" w:rsidP="00F64AED">
      <w:pPr>
        <w:pStyle w:val="Footnote"/>
        <w:bidi/>
      </w:pPr>
      <w:r>
        <w:rPr>
          <w:rStyle w:val="ac"/>
          <w:rtl/>
        </w:rPr>
        <w:footnoteRef/>
      </w:r>
      <w:r>
        <w:rPr>
          <w:rtl/>
        </w:rPr>
        <w:t>ותוס' העלו צד ד'את שדרכו' חמיר. ועד"ז כת' ה</w:t>
      </w:r>
      <w:r>
        <w:rPr>
          <w:b/>
          <w:bCs/>
          <w:rtl/>
        </w:rPr>
        <w:t>מלחמות</w:t>
      </w:r>
      <w:r>
        <w:rPr>
          <w:rtl/>
        </w:rPr>
        <w:t xml:space="preserve"> דלהך תי' הברייתא הוה רבנן דאמרי אינו מקדש אלא ו' דברים, וסיפא באיסור כרת החמירו יותר. [ודלא כמ"ש </w:t>
      </w:r>
      <w:r>
        <w:rPr>
          <w:b/>
          <w:bCs/>
          <w:rtl/>
        </w:rPr>
        <w:t>תוס'</w:t>
      </w:r>
      <w:r>
        <w:rPr>
          <w:rtl/>
        </w:rPr>
        <w:t xml:space="preserve"> (פא. ד"ה והלא) דהך ברייתא כמ"ד דרכו לימנות].</w:t>
      </w:r>
    </w:p>
  </w:footnote>
  <w:footnote w:id="4985">
    <w:p w14:paraId="1525463C" w14:textId="77777777" w:rsidR="00F64AED" w:rsidRDefault="00F64AED" w:rsidP="00F64AED">
      <w:pPr>
        <w:pStyle w:val="Footnote"/>
        <w:bidi/>
      </w:pPr>
      <w:r>
        <w:rPr>
          <w:rStyle w:val="ac"/>
          <w:rtl/>
        </w:rPr>
        <w:footnoteRef/>
      </w:r>
      <w:r>
        <w:rPr>
          <w:rtl/>
        </w:rPr>
        <w:t>וב</w:t>
      </w:r>
      <w:r>
        <w:rPr>
          <w:b/>
          <w:bCs/>
          <w:rtl/>
        </w:rPr>
        <w:t xml:space="preserve">חי' ר"א מן ההר </w:t>
      </w:r>
      <w:r>
        <w:rPr>
          <w:rtl/>
        </w:rPr>
        <w:t>כת' וש"מ דאפי' בחששות דרבנן אמרי' כן, דכל מה שאסרו חכמים מחמת איסור כרת, ה"ה שאותו מאמר חכמים נמשך ג"כ ממה שהוא איסור לאו. [משמע דראוי לתקן יותר לאיסור כרת מאיסור לאו, אלא דתקנה שתקנו לכרת 'נמשך' אף ללאו. וצ"ת].</w:t>
      </w:r>
    </w:p>
  </w:footnote>
  <w:footnote w:id="4986">
    <w:p w14:paraId="52041FF2" w14:textId="77777777" w:rsidR="00F64AED" w:rsidRDefault="00F64AED" w:rsidP="00F64AED">
      <w:pPr>
        <w:pStyle w:val="Footnote"/>
        <w:bidi/>
      </w:pPr>
      <w:r>
        <w:rPr>
          <w:rStyle w:val="ac"/>
          <w:rtl/>
        </w:rPr>
        <w:footnoteRef/>
      </w:r>
      <w:r>
        <w:rPr>
          <w:rtl/>
        </w:rPr>
        <w:t>ובכמה דינים החמירו במלאכת שבת טפי ממלאכת יו"ט [ע' לקמן קיד., רש"י ביצה כא.]. וכן הגמ' (ב"מ צ.) האם גזרו אמירה לנכרי דוקא במקום איסור כרת דשבת [אך תוס' שם כת' דגזרו יו"ט {ואף חוה"מ} אטו שבת]. [וע"ע ב"מ נה:].</w:t>
      </w:r>
    </w:p>
    <w:p w14:paraId="034A70F1" w14:textId="77777777" w:rsidR="00F64AED" w:rsidRDefault="00F64AED" w:rsidP="00F64AED">
      <w:pPr>
        <w:pStyle w:val="Footnote"/>
        <w:bidi/>
      </w:pPr>
      <w:r>
        <w:rPr>
          <w:rtl/>
        </w:rPr>
        <w:tab/>
        <w:t>אך הביא דבכמה דינים החמירו טפי ביו"ט שלא יזלזלו בו (ע' ביצה ב:, רשב"א ביצה ביצה לה:).</w:t>
      </w:r>
    </w:p>
  </w:footnote>
  <w:footnote w:id="4987">
    <w:p w14:paraId="59DB81D9" w14:textId="77777777" w:rsidR="00F64AED" w:rsidRDefault="00F64AED" w:rsidP="00F64AED">
      <w:pPr>
        <w:pStyle w:val="Footnote"/>
        <w:bidi/>
      </w:pPr>
      <w:r>
        <w:rPr>
          <w:rStyle w:val="ac"/>
          <w:rtl/>
        </w:rPr>
        <w:footnoteRef/>
      </w:r>
      <w:r>
        <w:rPr>
          <w:rtl/>
        </w:rPr>
        <w:t>וכן ה</w:t>
      </w:r>
      <w:r>
        <w:rPr>
          <w:b/>
          <w:bCs/>
          <w:rtl/>
        </w:rPr>
        <w:t>תה"ד</w:t>
      </w:r>
      <w:r>
        <w:rPr>
          <w:rtl/>
        </w:rPr>
        <w:t xml:space="preserve"> (א רנ) עמד בזה, וכתב דאין להוציא מכאן פסק להלכה, דאין לדמות גזירות דרבנן זה לזה.</w:t>
      </w:r>
    </w:p>
  </w:footnote>
  <w:footnote w:id="4988">
    <w:p w14:paraId="551159CB" w14:textId="77777777" w:rsidR="00F64AED" w:rsidRDefault="00F64AED" w:rsidP="00F64AED">
      <w:pPr>
        <w:pStyle w:val="Footnote"/>
        <w:bidi/>
      </w:pPr>
      <w:r>
        <w:rPr>
          <w:rStyle w:val="ac"/>
          <w:rtl/>
        </w:rPr>
        <w:footnoteRef/>
      </w:r>
      <w:r>
        <w:rPr>
          <w:rtl/>
        </w:rPr>
        <w:t>[ויש טעם נוסף שלא יתבטל]. פ</w:t>
      </w:r>
      <w:r>
        <w:rPr>
          <w:b/>
          <w:bCs/>
          <w:rtl/>
        </w:rPr>
        <w:t>רש"י</w:t>
      </w:r>
      <w:r>
        <w:rPr>
          <w:rtl/>
        </w:rPr>
        <w:t xml:space="preserve"> בנימוחה. וכ"כ ה</w:t>
      </w:r>
      <w:r>
        <w:rPr>
          <w:b/>
          <w:bCs/>
          <w:rtl/>
        </w:rPr>
        <w:t>ראב"ד</w:t>
      </w:r>
      <w:r>
        <w:rPr>
          <w:rtl/>
        </w:rPr>
        <w:t xml:space="preserve"> דאף לל"א ברש"י דרבה קאי בלא נימוחה, רב אשי קאי בנימוחה. וה</w:t>
      </w:r>
      <w:r>
        <w:rPr>
          <w:b/>
          <w:bCs/>
          <w:rtl/>
        </w:rPr>
        <w:t xml:space="preserve">מלחמות </w:t>
      </w:r>
      <w:r>
        <w:rPr>
          <w:rtl/>
        </w:rPr>
        <w:t>כת' דקאי כרבנן דאף דרכו לימנות בטל.</w:t>
      </w:r>
    </w:p>
  </w:footnote>
  <w:footnote w:id="4989">
    <w:p w14:paraId="15AEAA2C" w14:textId="77777777" w:rsidR="00F64AED" w:rsidRDefault="00F64AED" w:rsidP="00F64AED">
      <w:pPr>
        <w:pStyle w:val="Footnote"/>
        <w:bidi/>
      </w:pPr>
      <w:r>
        <w:rPr>
          <w:rStyle w:val="ac"/>
          <w:rtl/>
        </w:rPr>
        <w:footnoteRef/>
      </w:r>
      <w:r>
        <w:rPr>
          <w:rtl/>
        </w:rPr>
        <w:t>ואף דכל דין ביטול הוה היתר גמור, מ"מ החמירו חכמים שלא יתבטל כדי שיאכלנו בהיתר גמור.</w:t>
      </w:r>
    </w:p>
  </w:footnote>
  <w:footnote w:id="4990">
    <w:p w14:paraId="68C32343" w14:textId="77777777" w:rsidR="00F64AED" w:rsidRDefault="00F64AED" w:rsidP="00F64AED">
      <w:pPr>
        <w:pStyle w:val="Footnote"/>
        <w:bidi/>
      </w:pPr>
      <w:r>
        <w:rPr>
          <w:rStyle w:val="ac"/>
          <w:rtl/>
        </w:rPr>
        <w:footnoteRef/>
      </w:r>
      <w:r>
        <w:rPr>
          <w:rtl/>
        </w:rPr>
        <w:t>[מלשון בדה מליבו]. וכן אי' בכמה מקומות [וכמה מהם על דברי רב אשי] (צויינו עה"ג פסחים יא.). וי"ג ברותא. וה</w:t>
      </w:r>
      <w:r>
        <w:rPr>
          <w:b/>
          <w:bCs/>
          <w:rtl/>
        </w:rPr>
        <w:t>ערוך</w:t>
      </w:r>
      <w:r>
        <w:rPr>
          <w:rtl/>
        </w:rPr>
        <w:t xml:space="preserve"> (ערך בר ד, הו' עה"ג ב"מ ט.) פי' דהוה דעת חיצונית [לשון בר]. וביאר דבמקום שטעו חכמים ולא דברו כהלכה לא רצה לגנותם לומר שטעו].</w:t>
      </w:r>
    </w:p>
  </w:footnote>
  <w:footnote w:id="4991">
    <w:p w14:paraId="212CB3E8" w14:textId="77777777" w:rsidR="00F64AED" w:rsidRDefault="00F64AED" w:rsidP="00F64AED">
      <w:pPr>
        <w:pStyle w:val="Footnote"/>
        <w:bidi/>
      </w:pPr>
      <w:r>
        <w:rPr>
          <w:rStyle w:val="ac"/>
          <w:rtl/>
        </w:rPr>
        <w:footnoteRef/>
      </w:r>
      <w:r>
        <w:rPr>
          <w:rtl/>
        </w:rPr>
        <w:t>וה</w:t>
      </w:r>
      <w:r>
        <w:rPr>
          <w:b/>
          <w:bCs/>
          <w:rtl/>
        </w:rPr>
        <w:t>ריטב"א</w:t>
      </w:r>
      <w:r>
        <w:rPr>
          <w:rtl/>
        </w:rPr>
        <w:t xml:space="preserve"> (כאן וב"מ עא.) כת' דרב אשי לא אמרה מעולם [אלא א' מתלמידיו אמרה מעצמו, או דשמעה מכללא, וטעה. ובדאוה על שמו].</w:t>
      </w:r>
    </w:p>
  </w:footnote>
  <w:footnote w:id="4992">
    <w:p w14:paraId="4AFE9AB4" w14:textId="77777777" w:rsidR="00F64AED" w:rsidRDefault="00F64AED" w:rsidP="00F64AED">
      <w:pPr>
        <w:pStyle w:val="Footnote"/>
        <w:bidi/>
      </w:pPr>
      <w:r>
        <w:rPr>
          <w:rStyle w:val="ac"/>
          <w:rtl/>
        </w:rPr>
        <w:footnoteRef/>
      </w:r>
      <w:r>
        <w:rPr>
          <w:rtl/>
        </w:rPr>
        <w:t>ואף דהוה נותן טעם בר נותן טעם [ומבואר דנ"ט בר נ"ט הוה מדין ביטול].</w:t>
      </w:r>
    </w:p>
  </w:footnote>
  <w:footnote w:id="4993">
    <w:p w14:paraId="2481D9E9" w14:textId="77777777" w:rsidR="00F64AED" w:rsidRDefault="00F64AED" w:rsidP="00F64AED">
      <w:pPr>
        <w:pStyle w:val="Footnote"/>
        <w:bidi/>
      </w:pPr>
      <w:r>
        <w:rPr>
          <w:rStyle w:val="ac"/>
          <w:rtl/>
        </w:rPr>
        <w:footnoteRef/>
      </w:r>
      <w:r>
        <w:rPr>
          <w:rtl/>
        </w:rPr>
        <w:t>וה</w:t>
      </w:r>
      <w:r>
        <w:rPr>
          <w:b/>
          <w:bCs/>
          <w:rtl/>
        </w:rPr>
        <w:t>ראשונים</w:t>
      </w:r>
      <w:r>
        <w:rPr>
          <w:rtl/>
        </w:rPr>
        <w:t xml:space="preserve"> הקשו דהוה מין בשאינו מינו, ודבר שיש לו מתירין בטל בשאינו מינו. וה</w:t>
      </w:r>
      <w:r>
        <w:rPr>
          <w:b/>
          <w:bCs/>
          <w:rtl/>
        </w:rPr>
        <w:t>ר"ן</w:t>
      </w:r>
      <w:r>
        <w:rPr>
          <w:rtl/>
        </w:rPr>
        <w:t xml:space="preserve"> (נדרים נב.) תי' דהתם דיש לו צד היתר אף עכשיו החמירו טפי בביטולו, ואף בשאינו מינו.</w:t>
      </w:r>
    </w:p>
  </w:footnote>
  <w:footnote w:id="4994">
    <w:p w14:paraId="2491966A" w14:textId="77777777" w:rsidR="00F64AED" w:rsidRDefault="00F64AED" w:rsidP="00F64AED">
      <w:pPr>
        <w:pStyle w:val="Footnote"/>
        <w:bidi/>
      </w:pPr>
      <w:r>
        <w:rPr>
          <w:rStyle w:val="ac"/>
          <w:rtl/>
        </w:rPr>
        <w:footnoteRef/>
      </w:r>
      <w:r>
        <w:rPr>
          <w:rtl/>
        </w:rPr>
        <w:t>וכן מבואר ב</w:t>
      </w:r>
      <w:r>
        <w:rPr>
          <w:b/>
          <w:bCs/>
          <w:rtl/>
        </w:rPr>
        <w:t>תוס</w:t>
      </w:r>
      <w:r>
        <w:rPr>
          <w:rtl/>
        </w:rPr>
        <w:t>' (פסחים ט. ד"ה היינו) דהוה משום ספק דרבנן לקולא. וה</w:t>
      </w:r>
      <w:r>
        <w:rPr>
          <w:b/>
          <w:bCs/>
          <w:rtl/>
        </w:rPr>
        <w:t>מאירי</w:t>
      </w:r>
      <w:r>
        <w:rPr>
          <w:rtl/>
        </w:rPr>
        <w:t xml:space="preserve"> (שם) חלק שזה אינו בכלל ספק, אלא תלי' בודאי שזה נכנס לזה וזה לזה, ותולין להקל. וכל שאתה תולה להקל הרי הוא כודאי [ומש"ה אי"צ בדיקת חמץ. ולא משום 'ספק דרבנן'].</w:t>
      </w:r>
    </w:p>
    <w:p w14:paraId="00442106" w14:textId="77777777" w:rsidR="00F64AED" w:rsidRDefault="00F64AED" w:rsidP="00F64AED">
      <w:pPr>
        <w:pStyle w:val="Footnote"/>
        <w:bidi/>
      </w:pPr>
      <w:r>
        <w:rPr>
          <w:rtl/>
        </w:rPr>
        <w:tab/>
        <w:t>וה</w:t>
      </w:r>
      <w:r>
        <w:rPr>
          <w:b/>
          <w:bCs/>
          <w:rtl/>
        </w:rPr>
        <w:t>פרמ"ג</w:t>
      </w:r>
      <w:r>
        <w:rPr>
          <w:rtl/>
        </w:rPr>
        <w:t xml:space="preserve"> (ש"ד קיא א) דייק מדברי הש"ך דשאני אומר הוה משום ספק דרבנן. אך (שם ב) הביא דקיל מספק דרבנן. וכ"כ הט"ז (יו"ד קיא א בסו"ד) דשאני אומר קיל מספק דרבנן.</w:t>
      </w:r>
    </w:p>
  </w:footnote>
  <w:footnote w:id="4995">
    <w:p w14:paraId="50B3A5B7" w14:textId="77777777" w:rsidR="00F64AED" w:rsidRDefault="00F64AED" w:rsidP="00F64AED">
      <w:pPr>
        <w:pStyle w:val="Footnote"/>
        <w:bidi/>
      </w:pPr>
      <w:r>
        <w:rPr>
          <w:rStyle w:val="ac"/>
          <w:rtl/>
        </w:rPr>
        <w:footnoteRef/>
      </w:r>
      <w:r>
        <w:rPr>
          <w:rtl/>
        </w:rPr>
        <w:t>[ועי"ז הוה כתערובת ב' חתיכות, וכיון דהפסק בין שניהם א"א להתיר את שניהם. א"נ נחשב איקבע איסורא].</w:t>
      </w:r>
    </w:p>
  </w:footnote>
  <w:footnote w:id="4996">
    <w:p w14:paraId="16E942B6" w14:textId="77777777" w:rsidR="00F64AED" w:rsidRDefault="00F64AED" w:rsidP="00F64AED">
      <w:pPr>
        <w:pStyle w:val="Footnote"/>
        <w:bidi/>
      </w:pPr>
      <w:r>
        <w:rPr>
          <w:rStyle w:val="ac"/>
          <w:rtl/>
        </w:rPr>
        <w:footnoteRef/>
      </w:r>
      <w:r>
        <w:rPr>
          <w:rtl/>
        </w:rPr>
        <w:t>וכשאני דן על זה אני אומר שנכנס לשניה, ואצל שניה אני אומר לא בזו אלא בחבירתה.</w:t>
      </w:r>
    </w:p>
  </w:footnote>
  <w:footnote w:id="4997">
    <w:p w14:paraId="0DB11131" w14:textId="77777777" w:rsidR="00F64AED" w:rsidRDefault="00F64AED" w:rsidP="00F64AED">
      <w:pPr>
        <w:pStyle w:val="Footnote"/>
        <w:bidi/>
      </w:pPr>
      <w:r>
        <w:rPr>
          <w:rStyle w:val="ac"/>
          <w:rtl/>
        </w:rPr>
        <w:footnoteRef/>
      </w:r>
      <w:r>
        <w:rPr>
          <w:rtl/>
        </w:rPr>
        <w:t>דהוה ליה להזכיר.</w:t>
      </w:r>
    </w:p>
  </w:footnote>
  <w:footnote w:id="4998">
    <w:p w14:paraId="5CED4CCE" w14:textId="77777777" w:rsidR="00F64AED" w:rsidRDefault="00F64AED" w:rsidP="00F64AED">
      <w:pPr>
        <w:pStyle w:val="Footnote"/>
        <w:bidi/>
      </w:pPr>
      <w:r>
        <w:rPr>
          <w:rStyle w:val="ac"/>
          <w:rtl/>
        </w:rPr>
        <w:footnoteRef/>
      </w:r>
      <w:r>
        <w:rPr>
          <w:rtl/>
        </w:rPr>
        <w:t>ואפי' רבנן ס"ל דהיכא דאין כתב מוכיח, אף שידוע שאישתקד היתה מלאה, חיישינן שמא פינן דאזלי' בתר רוב פירות. ואית לן למיתלי באשתקד היתה מלאה ופינה.</w:t>
      </w:r>
    </w:p>
  </w:footnote>
  <w:footnote w:id="4999">
    <w:p w14:paraId="16A86A08" w14:textId="77777777" w:rsidR="00F64AED" w:rsidRDefault="00F64AED" w:rsidP="00F64AED">
      <w:pPr>
        <w:pStyle w:val="Footnote"/>
        <w:bidi/>
      </w:pPr>
      <w:r>
        <w:rPr>
          <w:rStyle w:val="ac"/>
          <w:rtl/>
        </w:rPr>
        <w:footnoteRef/>
      </w:r>
      <w:r>
        <w:rPr>
          <w:rtl/>
        </w:rPr>
        <w:t>וצ"ב דמה איכפת לן להיכן נפלה החולין [אלא דהוה הוכחה להיכן נפל התרומה]. ויל"פ דהעמדת הספק 'איזה' נפל, ולא האם נפל לכאן. ועוד שמעתי לפרש דיש ב' טעמים לאסור, א' דידעינן שנפל סאה של תרומה לא' מהם. וב' דנפל לתוכו סאה, ולא ידעינן מהו. וצריך פעמיים שאני אומר על כל העמדת ספק.</w:t>
      </w:r>
    </w:p>
  </w:footnote>
  <w:footnote w:id="5000">
    <w:p w14:paraId="55F87DA9" w14:textId="77777777" w:rsidR="00F64AED" w:rsidRDefault="00F64AED" w:rsidP="00F64AED">
      <w:pPr>
        <w:pStyle w:val="Footnote"/>
        <w:bidi/>
      </w:pPr>
      <w:r>
        <w:rPr>
          <w:rStyle w:val="ac"/>
          <w:rtl/>
        </w:rPr>
        <w:footnoteRef/>
      </w:r>
      <w:r>
        <w:rPr>
          <w:rtl/>
        </w:rPr>
        <w:t>וה</w:t>
      </w:r>
      <w:r>
        <w:rPr>
          <w:b/>
          <w:bCs/>
          <w:rtl/>
        </w:rPr>
        <w:t>מגיני שלמה</w:t>
      </w:r>
      <w:r>
        <w:rPr>
          <w:rtl/>
        </w:rPr>
        <w:t xml:space="preserve"> (פסחים ט:) כת' דל"ש בזה חזקה דאותה סאה שנתערב ל"ש חזקה והיא עומדת באיסורה. ואוסר את הקופה בתערובת.</w:t>
      </w:r>
    </w:p>
  </w:footnote>
  <w:footnote w:id="5001">
    <w:p w14:paraId="38F9A48C" w14:textId="77777777" w:rsidR="00F64AED" w:rsidRDefault="00F64AED" w:rsidP="00F64AED">
      <w:pPr>
        <w:pStyle w:val="Footnote"/>
        <w:bidi/>
      </w:pPr>
      <w:r>
        <w:rPr>
          <w:rStyle w:val="ac"/>
          <w:rtl/>
        </w:rPr>
        <w:footnoteRef/>
      </w:r>
      <w:r>
        <w:rPr>
          <w:rtl/>
        </w:rPr>
        <w:t>היכא שנפל חתיכה, ואינו ידוע האם נפל לקדירה של איסור או של היתר. [אבל כשספק אם נפל לכאורה אזלי' בתר חזקה].</w:t>
      </w:r>
    </w:p>
  </w:footnote>
  <w:footnote w:id="5002">
    <w:p w14:paraId="5C2A54C4" w14:textId="77777777" w:rsidR="00F64AED" w:rsidRDefault="00F64AED" w:rsidP="00F64AED">
      <w:pPr>
        <w:pStyle w:val="Footnote"/>
        <w:bidi/>
      </w:pPr>
      <w:r>
        <w:rPr>
          <w:rStyle w:val="ac"/>
          <w:rtl/>
        </w:rPr>
        <w:footnoteRef/>
      </w:r>
      <w:r>
        <w:rPr>
          <w:rtl/>
        </w:rPr>
        <w:t>או שתוס' נסתפקו בזה.</w:t>
      </w:r>
    </w:p>
  </w:footnote>
  <w:footnote w:id="5003">
    <w:p w14:paraId="5F02CF19" w14:textId="77777777" w:rsidR="00F64AED" w:rsidRDefault="00F64AED" w:rsidP="00F64AED">
      <w:pPr>
        <w:pStyle w:val="Footnote"/>
        <w:bidi/>
      </w:pPr>
      <w:r>
        <w:rPr>
          <w:rStyle w:val="ac"/>
          <w:rtl/>
        </w:rPr>
        <w:footnoteRef/>
      </w:r>
      <w:r>
        <w:rPr>
          <w:rtl/>
        </w:rPr>
        <w:t xml:space="preserve">וכ"כ </w:t>
      </w:r>
      <w:r>
        <w:rPr>
          <w:b/>
          <w:bCs/>
          <w:rtl/>
        </w:rPr>
        <w:t>רע"א</w:t>
      </w:r>
      <w:r>
        <w:rPr>
          <w:rtl/>
        </w:rPr>
        <w:t xml:space="preserve"> (חולין צז.) דל"ש חזקת היתר, אא"כ יש דין חענ"ן [חתיכה עצמה נעשית נבילה, דאף ההיתר נהפך לאיסור. ויש חזקה דלא נהפך לאיסור].</w:t>
      </w:r>
    </w:p>
  </w:footnote>
  <w:footnote w:id="5004">
    <w:p w14:paraId="09CFE181" w14:textId="77777777" w:rsidR="00F64AED" w:rsidRDefault="00F64AED" w:rsidP="00F64AED">
      <w:pPr>
        <w:pStyle w:val="Footnote"/>
        <w:bidi/>
      </w:pPr>
      <w:r>
        <w:rPr>
          <w:rStyle w:val="ac"/>
          <w:rtl/>
        </w:rPr>
        <w:footnoteRef/>
      </w:r>
      <w:r>
        <w:rPr>
          <w:rtl/>
        </w:rPr>
        <w:t>[וצ"ב דאף אילו יש חזקה דלא חל דין 'מדומע', מ"מ תיפוק ליה מצד האיסור שנתערב. וע"כ דיש חזקה דלא נאסר מחמת הספק].</w:t>
      </w:r>
    </w:p>
  </w:footnote>
  <w:footnote w:id="5005">
    <w:p w14:paraId="070AC92A" w14:textId="77777777" w:rsidR="00F64AED" w:rsidRDefault="00F64AED" w:rsidP="00F64AED">
      <w:pPr>
        <w:pStyle w:val="Footnote"/>
        <w:bidi/>
      </w:pPr>
      <w:r>
        <w:rPr>
          <w:rStyle w:val="ac"/>
          <w:rtl/>
        </w:rPr>
        <w:footnoteRef/>
      </w:r>
      <w:r>
        <w:rPr>
          <w:rtl/>
        </w:rPr>
        <w:t>אבל הקשה דבשאר איסורין חנ"ן הוה רק דרבנן.</w:t>
      </w:r>
    </w:p>
  </w:footnote>
  <w:footnote w:id="5006">
    <w:p w14:paraId="43D405AF" w14:textId="77777777" w:rsidR="00F64AED" w:rsidRDefault="00F64AED" w:rsidP="00F64AED">
      <w:pPr>
        <w:pStyle w:val="Footnote"/>
        <w:bidi/>
      </w:pPr>
      <w:r>
        <w:rPr>
          <w:rStyle w:val="ac"/>
          <w:rtl/>
        </w:rPr>
        <w:footnoteRef/>
      </w:r>
      <w:r>
        <w:rPr>
          <w:rtl/>
        </w:rPr>
        <w:t>אך ה</w:t>
      </w:r>
      <w:r>
        <w:rPr>
          <w:b/>
          <w:bCs/>
          <w:rtl/>
        </w:rPr>
        <w:t>שער"י</w:t>
      </w:r>
      <w:r>
        <w:rPr>
          <w:rtl/>
        </w:rPr>
        <w:t xml:space="preserve"> (ב יא) כתב דבניקור לא נחשב תערובת האוסרת, כיון דניכר למומחה.</w:t>
      </w:r>
    </w:p>
  </w:footnote>
  <w:footnote w:id="5007">
    <w:p w14:paraId="37EAD19B" w14:textId="77777777" w:rsidR="00F64AED" w:rsidRDefault="00F64AED" w:rsidP="00F64AED">
      <w:pPr>
        <w:pStyle w:val="Footnote"/>
        <w:bidi/>
      </w:pPr>
      <w:r>
        <w:rPr>
          <w:rStyle w:val="ac"/>
          <w:rtl/>
        </w:rPr>
        <w:footnoteRef/>
      </w:r>
      <w:r>
        <w:rPr>
          <w:rtl/>
        </w:rPr>
        <w:t>וה</w:t>
      </w:r>
      <w:r>
        <w:rPr>
          <w:b/>
          <w:bCs/>
          <w:rtl/>
        </w:rPr>
        <w:t>אבה"א</w:t>
      </w:r>
      <w:r>
        <w:rPr>
          <w:rtl/>
        </w:rPr>
        <w:t xml:space="preserve"> (שם) כתב דכיון דכבר קנאוה בכיבוש, לא מהני קנין חזקה כיון דבלאו הכי הוה שלהם. אבל ה</w:t>
      </w:r>
      <w:r>
        <w:rPr>
          <w:b/>
          <w:bCs/>
          <w:rtl/>
        </w:rPr>
        <w:t>קובה"ע</w:t>
      </w:r>
      <w:r>
        <w:rPr>
          <w:rtl/>
        </w:rPr>
        <w:t xml:space="preserve"> (סב) כתב דכוונת הרמב"ם דבימי עזרא הוזקקו לקדש, ואילו בימי יהושע לא צריך לקדש.</w:t>
      </w:r>
    </w:p>
  </w:footnote>
  <w:footnote w:id="5008">
    <w:p w14:paraId="467808A4" w14:textId="77777777" w:rsidR="00F64AED" w:rsidRDefault="00F64AED" w:rsidP="00F64AED">
      <w:pPr>
        <w:pStyle w:val="Footnote"/>
        <w:bidi/>
      </w:pPr>
      <w:r>
        <w:rPr>
          <w:rStyle w:val="ac"/>
          <w:rtl/>
        </w:rPr>
        <w:footnoteRef/>
      </w:r>
      <w:r>
        <w:rPr>
          <w:rtl/>
        </w:rPr>
        <w:t>ו</w:t>
      </w:r>
      <w:r>
        <w:rPr>
          <w:b/>
          <w:bCs/>
          <w:rtl/>
        </w:rPr>
        <w:t>תוס'</w:t>
      </w:r>
      <w:r>
        <w:rPr>
          <w:rtl/>
        </w:rPr>
        <w:t xml:space="preserve"> הביאו משם לחלק בין תרומה לחלה, וכ"כ ה</w:t>
      </w:r>
      <w:r>
        <w:rPr>
          <w:b/>
          <w:bCs/>
          <w:rtl/>
        </w:rPr>
        <w:t xml:space="preserve">ראב"ד </w:t>
      </w:r>
      <w:r>
        <w:rPr>
          <w:rtl/>
        </w:rPr>
        <w:t>דאם איתא בחלה הוא דאיתא. אבל ה</w:t>
      </w:r>
      <w:r>
        <w:rPr>
          <w:b/>
          <w:bCs/>
          <w:rtl/>
        </w:rPr>
        <w:t xml:space="preserve">רמב"ם </w:t>
      </w:r>
      <w:r>
        <w:rPr>
          <w:rtl/>
        </w:rPr>
        <w:t>פסק כמ"ד דאף תרומה נלמד מדין חלה.</w:t>
      </w:r>
    </w:p>
  </w:footnote>
  <w:footnote w:id="5009">
    <w:p w14:paraId="05F0538C" w14:textId="77777777" w:rsidR="00F64AED" w:rsidRDefault="00F64AED" w:rsidP="00F64AED">
      <w:pPr>
        <w:pStyle w:val="Footnote"/>
        <w:bidi/>
      </w:pPr>
      <w:r>
        <w:rPr>
          <w:rStyle w:val="ac"/>
          <w:rtl/>
        </w:rPr>
        <w:footnoteRef/>
      </w:r>
      <w:r>
        <w:rPr>
          <w:rtl/>
        </w:rPr>
        <w:t>ולא נקט דר' יוחנן אליבא דנפשיה פליג.</w:t>
      </w:r>
    </w:p>
  </w:footnote>
  <w:footnote w:id="5010">
    <w:p w14:paraId="6FC1DEC6" w14:textId="77777777" w:rsidR="00F64AED" w:rsidRDefault="00F64AED" w:rsidP="00F64AED">
      <w:pPr>
        <w:pStyle w:val="Footnote"/>
        <w:bidi/>
      </w:pPr>
      <w:r>
        <w:rPr>
          <w:rStyle w:val="ac"/>
          <w:rtl/>
        </w:rPr>
        <w:footnoteRef/>
      </w:r>
      <w:r>
        <w:rPr>
          <w:rtl/>
        </w:rPr>
        <w:t>וה</w:t>
      </w:r>
      <w:r>
        <w:rPr>
          <w:b/>
          <w:bCs/>
          <w:rtl/>
        </w:rPr>
        <w:t>גר"א</w:t>
      </w:r>
      <w:r>
        <w:rPr>
          <w:rtl/>
        </w:rPr>
        <w:t xml:space="preserve"> (יו"ד שלא ו) כתב דראיית הגמ' בהא דר' יוסי מקיש קדושה שניה לראשוננה, משמע דהוה דאורייתא. וה</w:t>
      </w:r>
      <w:r>
        <w:rPr>
          <w:b/>
          <w:bCs/>
          <w:rtl/>
        </w:rPr>
        <w:t>חזו"א</w:t>
      </w:r>
      <w:r>
        <w:rPr>
          <w:rtl/>
        </w:rPr>
        <w:t xml:space="preserve"> (קלד) הקשה דברמב"ם מבואר דקידוש שני מהני דאורייתא, ומ"מ לא נתחייבו בתרומות.</w:t>
      </w:r>
    </w:p>
  </w:footnote>
  <w:footnote w:id="5011">
    <w:p w14:paraId="7B8C459E" w14:textId="77777777" w:rsidR="00F64AED" w:rsidRDefault="00F64AED" w:rsidP="00F64AED">
      <w:pPr>
        <w:pStyle w:val="Footnote"/>
        <w:bidi/>
      </w:pPr>
      <w:r>
        <w:rPr>
          <w:rStyle w:val="ac"/>
          <w:rtl/>
        </w:rPr>
        <w:footnoteRef/>
      </w:r>
      <w:r>
        <w:rPr>
          <w:rtl/>
        </w:rPr>
        <w:t>[ואפשר דדעת ר' יוסי דאינו דאורייתא, אלא חומר כדאורייתא].</w:t>
      </w:r>
    </w:p>
  </w:footnote>
  <w:footnote w:id="5012">
    <w:p w14:paraId="4F57A99F" w14:textId="77777777" w:rsidR="00F64AED" w:rsidRDefault="00F64AED" w:rsidP="00F64AED">
      <w:pPr>
        <w:pStyle w:val="Footnote"/>
        <w:bidi/>
      </w:pPr>
      <w:r>
        <w:rPr>
          <w:rStyle w:val="ac"/>
          <w:rtl/>
        </w:rPr>
        <w:footnoteRef/>
      </w:r>
      <w:r>
        <w:rPr>
          <w:rtl/>
        </w:rPr>
        <w:t>אולם ה</w:t>
      </w:r>
      <w:r>
        <w:rPr>
          <w:b/>
          <w:bCs/>
          <w:rtl/>
        </w:rPr>
        <w:t>רדב"ז</w:t>
      </w:r>
      <w:r>
        <w:rPr>
          <w:rtl/>
        </w:rPr>
        <w:t xml:space="preserve"> (תרומות ספ"א) כתב דמהני קדושת עזרא דאילו היו באין [אח”כ] כולם היה קדוש.</w:t>
      </w:r>
    </w:p>
  </w:footnote>
  <w:footnote w:id="5013">
    <w:p w14:paraId="71130FE7" w14:textId="77777777" w:rsidR="00F64AED" w:rsidRDefault="00F64AED" w:rsidP="00F64AED">
      <w:pPr>
        <w:pStyle w:val="Footnote"/>
        <w:bidi/>
      </w:pPr>
      <w:r>
        <w:rPr>
          <w:rStyle w:val="ac"/>
          <w:rtl/>
        </w:rPr>
        <w:footnoteRef/>
      </w:r>
      <w:r>
        <w:rPr>
          <w:rtl/>
        </w:rPr>
        <w:t>וה</w:t>
      </w:r>
      <w:r>
        <w:rPr>
          <w:b/>
          <w:bCs/>
          <w:rtl/>
        </w:rPr>
        <w:t>רמב"ם</w:t>
      </w:r>
      <w:r>
        <w:rPr>
          <w:rtl/>
        </w:rPr>
        <w:t xml:space="preserve"> הוכיח והרי הוא אומר והשימותי ואמרו חכמים אע"פ ששוממין בקדושתן הן עומדים. [ומשמע דסברת הרמב"ם דגדר קדושת שכינה שונה, ואילו לתוס' הקדושה מיתלא במחיצות, ולא בארץ].</w:t>
      </w:r>
    </w:p>
  </w:footnote>
  <w:footnote w:id="5014">
    <w:p w14:paraId="0355F447" w14:textId="77777777" w:rsidR="00F64AED" w:rsidRDefault="00F64AED" w:rsidP="00F64AED">
      <w:pPr>
        <w:pStyle w:val="Footnote"/>
        <w:bidi/>
      </w:pPr>
      <w:r>
        <w:rPr>
          <w:rStyle w:val="ac"/>
          <w:rtl/>
        </w:rPr>
        <w:footnoteRef/>
      </w:r>
      <w:r>
        <w:rPr>
          <w:rtl/>
        </w:rPr>
        <w:t>מדאורייתא, והוה חולין בעזרה אא"כ קידשום (ע' ב"ב פא:).</w:t>
      </w:r>
    </w:p>
  </w:footnote>
  <w:footnote w:id="5015">
    <w:p w14:paraId="1388F5E0" w14:textId="77777777" w:rsidR="00F64AED" w:rsidRDefault="00F64AED" w:rsidP="00F64AED">
      <w:pPr>
        <w:pStyle w:val="Footnote"/>
        <w:bidi/>
      </w:pPr>
      <w:r>
        <w:rPr>
          <w:rStyle w:val="ac"/>
          <w:rtl/>
        </w:rPr>
        <w:footnoteRef/>
      </w:r>
      <w:r>
        <w:rPr>
          <w:rtl/>
        </w:rPr>
        <w:t>ולענין לקט שכחה ופאה, ה</w:t>
      </w:r>
      <w:r>
        <w:rPr>
          <w:b/>
          <w:bCs/>
          <w:rtl/>
        </w:rPr>
        <w:t>מנח"ח</w:t>
      </w:r>
      <w:r>
        <w:rPr>
          <w:rtl/>
        </w:rPr>
        <w:t xml:space="preserve"> (רטז טו) כת' דחייבין בזה"ז, ושוב חזר בו (במצוה תקצב) והביא מדברי ה</w:t>
      </w:r>
      <w:r>
        <w:rPr>
          <w:b/>
          <w:bCs/>
          <w:rtl/>
        </w:rPr>
        <w:t xml:space="preserve">פאת השולחן </w:t>
      </w:r>
      <w:r>
        <w:rPr>
          <w:rtl/>
        </w:rPr>
        <w:t>דאין חיוב לקט שכחה ופאה מדאורייתא בזה”ז, דתליא בדין תרומה.</w:t>
      </w:r>
    </w:p>
  </w:footnote>
  <w:footnote w:id="5016">
    <w:p w14:paraId="084D610E" w14:textId="77777777" w:rsidR="00F64AED" w:rsidRDefault="00F64AED" w:rsidP="00F64AED">
      <w:pPr>
        <w:pStyle w:val="Footnote"/>
        <w:bidi/>
      </w:pPr>
      <w:r>
        <w:rPr>
          <w:rStyle w:val="ac"/>
          <w:rtl/>
        </w:rPr>
        <w:footnoteRef/>
      </w:r>
      <w:r>
        <w:rPr>
          <w:rtl/>
        </w:rPr>
        <w:t>דהרי ההיתר אינו יותר חשוב. ומשמע דנחשב ביטול כיון דאינו משפיע עליו לאוסרו. [ואפשר כוונתו דהוה קבוע במקומו, ואין כח לאיסור הבא לאוסרו].</w:t>
      </w:r>
    </w:p>
  </w:footnote>
  <w:footnote w:id="5017">
    <w:p w14:paraId="1B90FEED" w14:textId="77777777" w:rsidR="00F64AED" w:rsidRDefault="00F64AED" w:rsidP="00F64AED">
      <w:pPr>
        <w:pStyle w:val="Footnote"/>
        <w:bidi/>
      </w:pPr>
      <w:r>
        <w:rPr>
          <w:rStyle w:val="ac"/>
          <w:rtl/>
        </w:rPr>
        <w:footnoteRef/>
      </w:r>
      <w:r>
        <w:rPr>
          <w:rtl/>
        </w:rPr>
        <w:t>ואף דמין באינו מינו בלח ניכר טעמו, לא אסרו חכמים אלא כשהדבר בעין.</w:t>
      </w:r>
    </w:p>
  </w:footnote>
  <w:footnote w:id="5018">
    <w:p w14:paraId="24907D5A" w14:textId="77777777" w:rsidR="00F64AED" w:rsidRDefault="00F64AED" w:rsidP="00F64AED">
      <w:pPr>
        <w:pStyle w:val="Footnote"/>
        <w:bidi/>
      </w:pPr>
      <w:r>
        <w:rPr>
          <w:rStyle w:val="ac"/>
          <w:rtl/>
        </w:rPr>
        <w:footnoteRef/>
      </w:r>
      <w:r>
        <w:rPr>
          <w:rtl/>
        </w:rPr>
        <w:t>אבל ה</w:t>
      </w:r>
      <w:r>
        <w:rPr>
          <w:b/>
          <w:bCs/>
          <w:rtl/>
        </w:rPr>
        <w:t xml:space="preserve">רמב"ן </w:t>
      </w:r>
      <w:r>
        <w:rPr>
          <w:rtl/>
        </w:rPr>
        <w:t>כתב דשאובין הוה עיקרו דרבנן. וצ"ב דהרמב"ן בעצמו פי' דאיירי במי פירות.</w:t>
      </w:r>
    </w:p>
  </w:footnote>
  <w:footnote w:id="5019">
    <w:p w14:paraId="5625A276" w14:textId="77777777" w:rsidR="00F64AED" w:rsidRDefault="00F64AED" w:rsidP="00F64AED">
      <w:pPr>
        <w:pStyle w:val="Footnote"/>
        <w:bidi/>
      </w:pPr>
      <w:r>
        <w:rPr>
          <w:rStyle w:val="ac"/>
          <w:rtl/>
        </w:rPr>
        <w:footnoteRef/>
      </w:r>
      <w:r>
        <w:rPr>
          <w:rtl/>
        </w:rPr>
        <w:t>וצ"ב דלהו"א לרש"י איירי בלא שאני אומר [ולדברי הריטב"א ניחא]. ושמעתי דאף לס"ד מהני שאני אומר כלפי חומרת ששים ומאה, אלא דעיקר ההיתר ברוב הוה אף בלא שאני אומר. [ובזה ניחא אף לס"ד דהמשנה נקטה הלשון שאני אומר].</w:t>
      </w:r>
    </w:p>
  </w:footnote>
  <w:footnote w:id="5020">
    <w:p w14:paraId="7CD66E9E" w14:textId="77777777" w:rsidR="00F64AED" w:rsidRDefault="00F64AED" w:rsidP="00F64AED">
      <w:pPr>
        <w:pStyle w:val="Footnote"/>
        <w:bidi/>
      </w:pPr>
      <w:r>
        <w:rPr>
          <w:rStyle w:val="ac"/>
          <w:rtl/>
        </w:rPr>
        <w:footnoteRef/>
      </w:r>
      <w:r>
        <w:rPr>
          <w:b/>
          <w:bCs/>
          <w:rtl/>
          <w:lang w:val="he-IL"/>
        </w:rPr>
        <w:t>תוס'</w:t>
      </w:r>
      <w:r>
        <w:rPr>
          <w:rtl/>
          <w:lang w:val="he-IL"/>
        </w:rPr>
        <w:t xml:space="preserve"> (זבחים עח: ד"ה דלי [הא'], צוין בגהש"ס) כת' לא איירי ביין, דביין אף ברוב עדיין שם יין על הכל</w:t>
      </w:r>
      <w:r>
        <w:rPr>
          <w:rFonts w:cs="Times New Roman"/>
          <w:rtl/>
          <w:lang w:val="he-IL"/>
        </w:rPr>
        <w:t>.</w:t>
      </w:r>
    </w:p>
  </w:footnote>
  <w:footnote w:id="5021">
    <w:p w14:paraId="495E96DD" w14:textId="77777777" w:rsidR="00F64AED" w:rsidRDefault="00F64AED" w:rsidP="00F64AED">
      <w:pPr>
        <w:pStyle w:val="Footnote"/>
        <w:bidi/>
      </w:pPr>
      <w:r>
        <w:rPr>
          <w:rStyle w:val="ac"/>
          <w:rtl/>
        </w:rPr>
        <w:footnoteRef/>
      </w:r>
      <w:r>
        <w:rPr>
          <w:rtl/>
        </w:rPr>
        <w:t>משמע מרש"י דכשיש מ' סאה, כל סאה ממנו הוה מקוה ראויה. (וכ"כ ה</w:t>
      </w:r>
      <w:r>
        <w:rPr>
          <w:b/>
          <w:bCs/>
          <w:rtl/>
        </w:rPr>
        <w:t>שער"י</w:t>
      </w:r>
      <w:r>
        <w:rPr>
          <w:rtl/>
        </w:rPr>
        <w:t xml:space="preserve"> ג יז).</w:t>
      </w:r>
    </w:p>
  </w:footnote>
  <w:footnote w:id="5022">
    <w:p w14:paraId="4CCE72AD" w14:textId="77777777" w:rsidR="00F64AED" w:rsidRDefault="00F64AED" w:rsidP="00F64AED">
      <w:pPr>
        <w:pStyle w:val="Footnote"/>
        <w:bidi/>
      </w:pPr>
      <w:r>
        <w:rPr>
          <w:rStyle w:val="ac"/>
          <w:rtl/>
        </w:rPr>
        <w:footnoteRef/>
      </w:r>
      <w:r>
        <w:rPr>
          <w:rtl/>
        </w:rPr>
        <w:t>אבל ה</w:t>
      </w:r>
      <w:r>
        <w:rPr>
          <w:b/>
          <w:bCs/>
          <w:rtl/>
        </w:rPr>
        <w:t>חזו"א</w:t>
      </w:r>
      <w:r>
        <w:rPr>
          <w:rtl/>
        </w:rPr>
        <w:t xml:space="preserve"> כתב דהוה דרבנן, דאין סברא מדאורייתא לחלק בדין ביטול בין כשיש שיעור מקוה.</w:t>
      </w:r>
    </w:p>
  </w:footnote>
  <w:footnote w:id="5023">
    <w:p w14:paraId="2712413F" w14:textId="77777777" w:rsidR="00F64AED" w:rsidRDefault="00F64AED" w:rsidP="00F64AED">
      <w:pPr>
        <w:pStyle w:val="Footnote"/>
        <w:bidi/>
      </w:pPr>
      <w:r>
        <w:rPr>
          <w:rStyle w:val="ac"/>
          <w:rtl/>
        </w:rPr>
        <w:footnoteRef/>
      </w:r>
      <w:r>
        <w:rPr>
          <w:rtl/>
        </w:rPr>
        <w:t>ועי"ש שהאריך בגדרי רוב ככל, מתי נחשב דאף המיעוט הוה חלק מהרוב.</w:t>
      </w:r>
    </w:p>
  </w:footnote>
  <w:footnote w:id="5024">
    <w:p w14:paraId="025DE508" w14:textId="77777777" w:rsidR="00F64AED" w:rsidRDefault="00F64AED" w:rsidP="00F64AED">
      <w:pPr>
        <w:pStyle w:val="Footnote"/>
        <w:bidi/>
      </w:pPr>
      <w:r>
        <w:rPr>
          <w:rStyle w:val="ac"/>
          <w:rtl/>
        </w:rPr>
        <w:footnoteRef/>
      </w:r>
      <w:r>
        <w:rPr>
          <w:rtl/>
        </w:rPr>
        <w:t xml:space="preserve">ועוה"ק </w:t>
      </w:r>
      <w:r>
        <w:rPr>
          <w:b/>
          <w:bCs/>
          <w:rtl/>
        </w:rPr>
        <w:t>תוס'</w:t>
      </w:r>
      <w:r>
        <w:rPr>
          <w:rtl/>
        </w:rPr>
        <w:t xml:space="preserve"> (זבחים עח:) דביין כה"ג הכל יחשב יין גמור לברך בפה”ג [דהוה פחות משיעור מזיגה], ואינו טובל במים. וע"כ איירי ביין רפי או שאר מי פירות.</w:t>
      </w:r>
    </w:p>
  </w:footnote>
  <w:footnote w:id="5025">
    <w:p w14:paraId="672820E5" w14:textId="77777777" w:rsidR="00F64AED" w:rsidRDefault="00F64AED" w:rsidP="00F64AED">
      <w:pPr>
        <w:pStyle w:val="Footnote"/>
        <w:bidi/>
      </w:pPr>
      <w:r>
        <w:rPr>
          <w:rStyle w:val="ac"/>
          <w:rtl/>
        </w:rPr>
        <w:footnoteRef/>
      </w:r>
      <w:r>
        <w:rPr>
          <w:rtl/>
        </w:rPr>
        <w:t>וכן דייק ה</w:t>
      </w:r>
      <w:r>
        <w:rPr>
          <w:b/>
          <w:bCs/>
          <w:rtl/>
        </w:rPr>
        <w:t>משכנות יעקב</w:t>
      </w:r>
      <w:r>
        <w:rPr>
          <w:rtl/>
        </w:rPr>
        <w:t xml:space="preserve"> (יו"ד מו) מדברי </w:t>
      </w:r>
      <w:r>
        <w:rPr>
          <w:b/>
          <w:bCs/>
          <w:rtl/>
        </w:rPr>
        <w:t>רש"י</w:t>
      </w:r>
      <w:r>
        <w:rPr>
          <w:rtl/>
        </w:rPr>
        <w:t xml:space="preserve"> (ד"ה מאי) דכתב פסול שאיבה. וצ"ע דרש"י כתב להדיא דאיירי במי פירות.</w:t>
      </w:r>
    </w:p>
  </w:footnote>
  <w:footnote w:id="5026">
    <w:p w14:paraId="0982EBDB" w14:textId="77777777" w:rsidR="00F64AED" w:rsidRDefault="00F64AED" w:rsidP="00F64AED">
      <w:pPr>
        <w:pStyle w:val="Footnote"/>
        <w:bidi/>
      </w:pPr>
      <w:r>
        <w:rPr>
          <w:rStyle w:val="ac"/>
          <w:rtl/>
        </w:rPr>
        <w:footnoteRef/>
      </w:r>
      <w:r>
        <w:rPr>
          <w:rtl/>
        </w:rPr>
        <w:t>בחלק מהדורות, והו' גם ברשב"א שער המים (ז ב, ושו"ת א תתיח), ע"ע ב"י (יו"ד רא טו).</w:t>
      </w:r>
    </w:p>
  </w:footnote>
  <w:footnote w:id="5027">
    <w:p w14:paraId="7E9EE1EF" w14:textId="77777777" w:rsidR="00F64AED" w:rsidRDefault="00F64AED" w:rsidP="00F64AED">
      <w:pPr>
        <w:pStyle w:val="Footnote"/>
        <w:bidi/>
      </w:pPr>
      <w:r>
        <w:rPr>
          <w:rStyle w:val="ac"/>
          <w:rtl/>
        </w:rPr>
        <w:footnoteRef/>
      </w:r>
      <w:r>
        <w:rPr>
          <w:rtl/>
        </w:rPr>
        <w:t>וה</w:t>
      </w:r>
      <w:r>
        <w:rPr>
          <w:b/>
          <w:bCs/>
          <w:rtl/>
        </w:rPr>
        <w:t>ראב"ד</w:t>
      </w:r>
      <w:r>
        <w:rPr>
          <w:rtl/>
        </w:rPr>
        <w:t xml:space="preserve"> כת' דמקוה שיש בו מ' סאה, כמה שמוסיף עליו שאובין אינו פוסל. ודוקא הכא שנתן ונטל פוסל. ומש"ה היכא דהוסיף למקוה כשר הרבה שאובין, ואח"כ נתמעטו מימיו עד מ' סאה, הוה כמי שנטל. [דלא נשאר רוב מ' סאה מי גשמים]. (עי”ש כמה מהדורות בזה).</w:t>
      </w:r>
    </w:p>
  </w:footnote>
  <w:footnote w:id="5028">
    <w:p w14:paraId="304E8290" w14:textId="77777777" w:rsidR="00F64AED" w:rsidRDefault="00F64AED" w:rsidP="00F64AED">
      <w:pPr>
        <w:pStyle w:val="Footnote"/>
        <w:bidi/>
      </w:pPr>
      <w:r>
        <w:rPr>
          <w:rStyle w:val="ac"/>
          <w:rtl/>
        </w:rPr>
        <w:footnoteRef/>
      </w:r>
      <w:r>
        <w:rPr>
          <w:rtl/>
        </w:rPr>
        <w:t>וקצת משמע דהוה גדר השקה, דפקע מהם שם שאובים, ואח”כ משמע דהוה גדר ביטול ברוב, ולא אמרי' חוזר וניעור.</w:t>
      </w:r>
    </w:p>
  </w:footnote>
  <w:footnote w:id="5029">
    <w:p w14:paraId="4EF3A827" w14:textId="77777777" w:rsidR="00F64AED" w:rsidRDefault="00F64AED" w:rsidP="00F64AED">
      <w:pPr>
        <w:pStyle w:val="Footnote"/>
        <w:bidi/>
      </w:pPr>
      <w:r>
        <w:rPr>
          <w:rStyle w:val="ac"/>
          <w:rtl/>
        </w:rPr>
        <w:footnoteRef/>
      </w:r>
      <w:r>
        <w:rPr>
          <w:rtl/>
        </w:rPr>
        <w:t>אבל ה</w:t>
      </w:r>
      <w:r>
        <w:rPr>
          <w:b/>
          <w:bCs/>
          <w:rtl/>
        </w:rPr>
        <w:t>רמב"ם</w:t>
      </w:r>
      <w:r>
        <w:rPr>
          <w:rtl/>
        </w:rPr>
        <w:t xml:space="preserve"> (מקואות ז ו) כתב דמי שאובים מעלין את המקוה, אם נפלו, וחזר ולקח סאה.</w:t>
      </w:r>
    </w:p>
  </w:footnote>
  <w:footnote w:id="5030">
    <w:p w14:paraId="7486B1D6" w14:textId="77777777" w:rsidR="00F64AED" w:rsidRDefault="00F64AED" w:rsidP="00F64AED">
      <w:pPr>
        <w:pStyle w:val="Footnote"/>
        <w:bidi/>
      </w:pPr>
      <w:r>
        <w:rPr>
          <w:rStyle w:val="ac"/>
          <w:rtl/>
        </w:rPr>
        <w:footnoteRef/>
      </w:r>
      <w:r>
        <w:rPr>
          <w:rtl/>
        </w:rPr>
        <w:t>[ותליא במח' הראשונים אי שאובין דאורייתא או דרבנן]. וה</w:t>
      </w:r>
      <w:r>
        <w:rPr>
          <w:b/>
          <w:bCs/>
          <w:rtl/>
        </w:rPr>
        <w:t>ראב"ד</w:t>
      </w:r>
      <w:r>
        <w:rPr>
          <w:rtl/>
        </w:rPr>
        <w:t xml:space="preserve"> (שם ג) הוכיח מסוגיין דאפי' רוב שאובין דרבנן.</w:t>
      </w:r>
    </w:p>
  </w:footnote>
  <w:footnote w:id="5031">
    <w:p w14:paraId="6E615E7E" w14:textId="77777777" w:rsidR="00F64AED" w:rsidRDefault="00F64AED" w:rsidP="00F64AED">
      <w:pPr>
        <w:pStyle w:val="Footnote"/>
        <w:bidi/>
      </w:pPr>
      <w:r>
        <w:rPr>
          <w:rStyle w:val="ac"/>
          <w:rtl/>
        </w:rPr>
        <w:footnoteRef/>
      </w:r>
      <w:r>
        <w:rPr>
          <w:rtl/>
        </w:rPr>
        <w:t>אבל במקואות שלנו שמחליפים את המים, א"כ לא ישאר כ"א סאין מי גשמים [ואף כשהושק לבור אחר, המים מתחלפים], וה</w:t>
      </w:r>
      <w:r>
        <w:rPr>
          <w:b/>
          <w:bCs/>
          <w:rtl/>
        </w:rPr>
        <w:t>פוסקים</w:t>
      </w:r>
      <w:r>
        <w:rPr>
          <w:rtl/>
        </w:rPr>
        <w:t xml:space="preserve"> דנו באופנים לתקן אף לדעת הראב"ד.</w:t>
      </w:r>
    </w:p>
  </w:footnote>
  <w:footnote w:id="5032">
    <w:p w14:paraId="2872FC70" w14:textId="77777777" w:rsidR="00F64AED" w:rsidRDefault="00F64AED" w:rsidP="00F64AED">
      <w:pPr>
        <w:pStyle w:val="Footnote"/>
        <w:bidi/>
      </w:pPr>
      <w:r>
        <w:rPr>
          <w:rStyle w:val="ac"/>
          <w:rtl/>
        </w:rPr>
        <w:footnoteRef/>
      </w:r>
      <w:r>
        <w:rPr>
          <w:rtl/>
        </w:rPr>
        <w:t>וה</w:t>
      </w:r>
      <w:r>
        <w:rPr>
          <w:b/>
          <w:bCs/>
          <w:rtl/>
        </w:rPr>
        <w:t xml:space="preserve">חזו"א </w:t>
      </w:r>
      <w:r>
        <w:rPr>
          <w:rtl/>
        </w:rPr>
        <w:t>(מקואות שם) נסתפק במי גשמים שנפלו למי פירות, עד שיש רוב, אי אמרי' קמא קמא בטיל ופסול מדאורייתא. וכתב דאפשר דע"י ביטול המי פירות מפסידין חשיבותם. אבל המים לא נעשה למי פירות.</w:t>
      </w:r>
    </w:p>
  </w:footnote>
  <w:footnote w:id="5033">
    <w:p w14:paraId="5E4B277B" w14:textId="77777777" w:rsidR="00F64AED" w:rsidRDefault="00F64AED" w:rsidP="00F64AED">
      <w:pPr>
        <w:pStyle w:val="Footnote"/>
        <w:bidi/>
      </w:pPr>
      <w:r>
        <w:rPr>
          <w:rStyle w:val="ac"/>
          <w:rtl/>
        </w:rPr>
        <w:footnoteRef/>
      </w:r>
      <w:r>
        <w:rPr>
          <w:rtl/>
        </w:rPr>
        <w:t xml:space="preserve">וע"ע </w:t>
      </w:r>
      <w:r>
        <w:rPr>
          <w:b/>
          <w:bCs/>
          <w:rtl/>
        </w:rPr>
        <w:t>או"ש</w:t>
      </w:r>
      <w:r>
        <w:rPr>
          <w:rtl/>
        </w:rPr>
        <w:t xml:space="preserve"> (מאכ"א טו י).</w:t>
      </w:r>
    </w:p>
  </w:footnote>
  <w:footnote w:id="5034">
    <w:p w14:paraId="04368EE0" w14:textId="77777777" w:rsidR="00F64AED" w:rsidRDefault="00F64AED" w:rsidP="00F64AED">
      <w:pPr>
        <w:pStyle w:val="Footnote"/>
        <w:bidi/>
      </w:pPr>
      <w:r>
        <w:rPr>
          <w:rStyle w:val="ac"/>
          <w:rtl/>
        </w:rPr>
        <w:footnoteRef/>
      </w:r>
      <w:r>
        <w:rPr>
          <w:rtl/>
        </w:rPr>
        <w:t xml:space="preserve">ובפשוטו נח' בזה </w:t>
      </w:r>
      <w:r>
        <w:rPr>
          <w:b/>
          <w:bCs/>
          <w:rtl/>
        </w:rPr>
        <w:t>רש”י</w:t>
      </w:r>
      <w:r>
        <w:rPr>
          <w:rtl/>
        </w:rPr>
        <w:t xml:space="preserve"> ו</w:t>
      </w:r>
      <w:r>
        <w:rPr>
          <w:b/>
          <w:bCs/>
          <w:rtl/>
        </w:rPr>
        <w:t>תוס'</w:t>
      </w:r>
      <w:r>
        <w:rPr>
          <w:rtl/>
        </w:rPr>
        <w:t xml:space="preserve"> (זבחים עט: ד"ה תנן) אי שייך ביטול באפר פרה. וכן נח' (זבחים עח.) דל</w:t>
      </w:r>
      <w:r>
        <w:rPr>
          <w:b/>
          <w:bCs/>
          <w:rtl/>
        </w:rPr>
        <w:t>רש"</w:t>
      </w:r>
      <w:r>
        <w:rPr>
          <w:rtl/>
        </w:rPr>
        <w:t>י כשנתבטל היתר באיסור, מצטרף לשיעור כזית ללקות, ו</w:t>
      </w:r>
      <w:r>
        <w:rPr>
          <w:b/>
          <w:bCs/>
          <w:rtl/>
        </w:rPr>
        <w:t>תוס</w:t>
      </w:r>
      <w:r>
        <w:rPr>
          <w:rtl/>
        </w:rPr>
        <w:t>' פליג.</w:t>
      </w:r>
    </w:p>
  </w:footnote>
  <w:footnote w:id="5035">
    <w:p w14:paraId="3C13DE26" w14:textId="77777777" w:rsidR="00F64AED" w:rsidRDefault="00F64AED" w:rsidP="00F64AED">
      <w:pPr>
        <w:pStyle w:val="Footnote"/>
        <w:bidi/>
      </w:pPr>
      <w:r>
        <w:rPr>
          <w:rStyle w:val="ac"/>
          <w:rtl/>
        </w:rPr>
        <w:footnoteRef/>
      </w:r>
      <w:r>
        <w:rPr>
          <w:rtl/>
        </w:rPr>
        <w:t>ודוקא כשגודל בלא הפסק לא אמרי' קמא קמא בטל [ומשמע בתוס' דר"י לא ס"ל חילוק זה].</w:t>
      </w:r>
    </w:p>
  </w:footnote>
  <w:footnote w:id="5036">
    <w:p w14:paraId="613E292D" w14:textId="77777777" w:rsidR="00F64AED" w:rsidRDefault="00F64AED" w:rsidP="00F64AED">
      <w:pPr>
        <w:pStyle w:val="Footnote"/>
        <w:bidi/>
      </w:pPr>
      <w:r>
        <w:rPr>
          <w:rStyle w:val="ac"/>
          <w:rtl/>
        </w:rPr>
        <w:footnoteRef/>
      </w:r>
      <w:r>
        <w:rPr>
          <w:rtl/>
        </w:rPr>
        <w:t>ו</w:t>
      </w:r>
      <w:r>
        <w:rPr>
          <w:b/>
          <w:bCs/>
          <w:rtl/>
        </w:rPr>
        <w:t xml:space="preserve">רע"א </w:t>
      </w:r>
      <w:r>
        <w:rPr>
          <w:rtl/>
        </w:rPr>
        <w:t>כתב דבלשון רש"י יל"פ עד שינטל י"ט סאין מים, ולא י"ט פעם בדוקא [וכן קצת משמע מדברי הר”ש (מקואות ז ב) דדנים את מה שנטל לפי חשבון]. אבל הקשה דבשו"ע מפורש דלא כן.</w:t>
      </w:r>
    </w:p>
  </w:footnote>
  <w:footnote w:id="5037">
    <w:p w14:paraId="28BE873B" w14:textId="77777777" w:rsidR="00F64AED" w:rsidRDefault="00F64AED" w:rsidP="00F64AED">
      <w:pPr>
        <w:pStyle w:val="Footnote"/>
        <w:bidi/>
      </w:pPr>
      <w:r>
        <w:rPr>
          <w:rStyle w:val="ac"/>
          <w:rtl/>
        </w:rPr>
        <w:footnoteRef/>
      </w:r>
      <w:r>
        <w:rPr>
          <w:rtl/>
        </w:rPr>
        <w:t xml:space="preserve">וכתב </w:t>
      </w:r>
      <w:r>
        <w:rPr>
          <w:b/>
          <w:bCs/>
          <w:rtl/>
        </w:rPr>
        <w:t>ר"ש איגר</w:t>
      </w:r>
      <w:r>
        <w:rPr>
          <w:rtl/>
        </w:rPr>
        <w:t xml:space="preserve"> דע"כ חששו שמא יקח הכל ממין אחר.</w:t>
      </w:r>
    </w:p>
  </w:footnote>
  <w:footnote w:id="5038">
    <w:p w14:paraId="30569AC8" w14:textId="77777777" w:rsidR="00F64AED" w:rsidRDefault="00F64AED" w:rsidP="00F64AED">
      <w:pPr>
        <w:pStyle w:val="Footnote"/>
        <w:bidi/>
      </w:pPr>
      <w:r>
        <w:rPr>
          <w:rStyle w:val="ac"/>
          <w:rtl/>
        </w:rPr>
        <w:footnoteRef/>
      </w:r>
      <w:r>
        <w:rPr>
          <w:rtl/>
        </w:rPr>
        <w:t>ה</w:t>
      </w:r>
      <w:r>
        <w:rPr>
          <w:b/>
          <w:bCs/>
          <w:rtl/>
        </w:rPr>
        <w:t>תוס' רא"ש</w:t>
      </w:r>
      <w:r>
        <w:rPr>
          <w:rtl/>
        </w:rPr>
        <w:t xml:space="preserve"> הק' אמאי פשיט"ל לגמ' דהך בבא הוה סיום דברי ר' יוסי, והא ר' יהודה מפסיק ביניהם. ותי' דדעת ר' יהודה (לעיל עב.) דהוה ספק, ומש"ה כיון דדייק דנושא לכתחילה ע"כ דהוה מדברי ר' יוסי.</w:t>
      </w:r>
    </w:p>
  </w:footnote>
  <w:footnote w:id="5039">
    <w:p w14:paraId="057CB4EA" w14:textId="77777777" w:rsidR="00F64AED" w:rsidRDefault="00F64AED" w:rsidP="00F64AED">
      <w:pPr>
        <w:pStyle w:val="Footnote"/>
        <w:bidi/>
      </w:pPr>
      <w:r>
        <w:rPr>
          <w:rStyle w:val="ac"/>
          <w:rtl/>
        </w:rPr>
        <w:footnoteRef/>
      </w:r>
      <w:r>
        <w:rPr>
          <w:rtl/>
        </w:rPr>
        <w:t>ונפק"מ לתרומה דאורייתא. וה</w:t>
      </w:r>
      <w:r>
        <w:rPr>
          <w:b/>
          <w:bCs/>
          <w:rtl/>
        </w:rPr>
        <w:t>בעה"מ</w:t>
      </w:r>
      <w:r>
        <w:rPr>
          <w:rtl/>
        </w:rPr>
        <w:t xml:space="preserve"> כת' דמשמע דאי בא אחר וקידש לא תפסי קידושי שני. וה</w:t>
      </w:r>
      <w:r>
        <w:rPr>
          <w:b/>
          <w:bCs/>
          <w:rtl/>
        </w:rPr>
        <w:t>מאירי</w:t>
      </w:r>
      <w:r>
        <w:rPr>
          <w:rtl/>
        </w:rPr>
        <w:t xml:space="preserve"> כת' דהוה כאומר התקדשי לחציי דמהני בדיעבד. [דאנדרוגינוס נחשב 'חצי זכר' ע' בסמוך]. אך צ"ב דאף אי הוה חצי אמאי לא יקדש לכתחילה.</w:t>
      </w:r>
    </w:p>
  </w:footnote>
  <w:footnote w:id="5040">
    <w:p w14:paraId="1C3528B6" w14:textId="77777777" w:rsidR="00F64AED" w:rsidRDefault="00F64AED" w:rsidP="00F64AED">
      <w:pPr>
        <w:pStyle w:val="Footnote"/>
        <w:bidi/>
      </w:pPr>
      <w:r>
        <w:rPr>
          <w:rStyle w:val="ac"/>
          <w:rtl/>
        </w:rPr>
        <w:footnoteRef/>
      </w:r>
      <w:r>
        <w:rPr>
          <w:rtl/>
        </w:rPr>
        <w:t>וה</w:t>
      </w:r>
      <w:r>
        <w:rPr>
          <w:b/>
          <w:bCs/>
          <w:rtl/>
        </w:rPr>
        <w:t xml:space="preserve">נוב"י </w:t>
      </w:r>
      <w:r>
        <w:rPr>
          <w:rtl/>
        </w:rPr>
        <w:t>כתב דצ"ל לפ"ז דזהו תי' הגמ', והמקשן דהוכיח מהלשון 'נושא' לא ס"ל סברא זו.</w:t>
      </w:r>
    </w:p>
  </w:footnote>
  <w:footnote w:id="5041">
    <w:p w14:paraId="3E678E55" w14:textId="77777777" w:rsidR="00F64AED" w:rsidRDefault="00F64AED" w:rsidP="00F64AED">
      <w:pPr>
        <w:pStyle w:val="Footnote"/>
        <w:bidi/>
      </w:pPr>
      <w:r>
        <w:rPr>
          <w:rStyle w:val="ac"/>
          <w:rtl/>
        </w:rPr>
        <w:footnoteRef/>
      </w:r>
      <w:r>
        <w:rPr>
          <w:rtl/>
        </w:rPr>
        <w:t>וה</w:t>
      </w:r>
      <w:r>
        <w:rPr>
          <w:b/>
          <w:bCs/>
          <w:rtl/>
        </w:rPr>
        <w:t>נוב"י</w:t>
      </w:r>
      <w:r>
        <w:rPr>
          <w:rtl/>
        </w:rPr>
        <w:t xml:space="preserve"> כת' דמ"מ אינו מצווה לישא [וכמ"ש תוס' בתי' הב'], ולכן אין לברך ברכות נישואין. [וכיון דא"א לברך לא נאמר איסור כלה בלא ברכה]. [אמנם לכאורה כל סריס אינו מצווה על פריה ורביה, ומ"מ מברכים בחופתו. ואולי נחשב בכלל המצווים, משא"כ אנדרוגינוס דהוה ספק נקיבה].</w:t>
      </w:r>
    </w:p>
  </w:footnote>
  <w:footnote w:id="5042">
    <w:p w14:paraId="25CC1FE8" w14:textId="77777777" w:rsidR="00F64AED" w:rsidRDefault="00F64AED" w:rsidP="00F64AED">
      <w:pPr>
        <w:pStyle w:val="Footnote"/>
        <w:bidi/>
      </w:pPr>
      <w:r>
        <w:rPr>
          <w:rStyle w:val="ac"/>
          <w:rtl/>
        </w:rPr>
        <w:footnoteRef/>
      </w:r>
      <w:r>
        <w:rPr>
          <w:rtl/>
        </w:rPr>
        <w:t>ו</w:t>
      </w:r>
      <w:r>
        <w:rPr>
          <w:b/>
          <w:bCs/>
          <w:rtl/>
        </w:rPr>
        <w:t>רש"י</w:t>
      </w:r>
      <w:r>
        <w:rPr>
          <w:rtl/>
        </w:rPr>
        <w:t xml:space="preserve"> כת' דמסקנת הגמ' קשיא לר"ל, דדוחק לומר דנושא הוה בדיעבד.</w:t>
      </w:r>
    </w:p>
    <w:p w14:paraId="22F0D6A2" w14:textId="77777777" w:rsidR="00F64AED" w:rsidRDefault="00F64AED" w:rsidP="00F64AED">
      <w:pPr>
        <w:pStyle w:val="Footnote"/>
        <w:bidi/>
      </w:pPr>
      <w:r>
        <w:rPr>
          <w:rtl/>
        </w:rPr>
        <w:tab/>
        <w:t>אך בפרק אנדרוגינוס (ביכורים ד ב) אי' נושא אבל לא נישא, וה</w:t>
      </w:r>
      <w:r>
        <w:rPr>
          <w:b/>
          <w:bCs/>
          <w:rtl/>
        </w:rPr>
        <w:t>ר"ש</w:t>
      </w:r>
      <w:r>
        <w:rPr>
          <w:rtl/>
        </w:rPr>
        <w:t xml:space="preserve"> הק' דתנא דהתם ס"ל דהוה ספק. ומבואר דהך לשון משמע בדיעבד. וכת' דהמקשן בסוגיין לא שמיע ליה ברייתא דהתם.</w:t>
      </w:r>
    </w:p>
  </w:footnote>
  <w:footnote w:id="5043">
    <w:p w14:paraId="0C66C60B" w14:textId="77777777" w:rsidR="00F64AED" w:rsidRDefault="00F64AED" w:rsidP="00F64AED">
      <w:pPr>
        <w:pStyle w:val="Footnote"/>
        <w:bidi/>
      </w:pPr>
      <w:r>
        <w:rPr>
          <w:rStyle w:val="ac"/>
          <w:rtl/>
        </w:rPr>
        <w:footnoteRef/>
      </w:r>
      <w:r>
        <w:rPr>
          <w:rtl/>
        </w:rPr>
        <w:t>וה</w:t>
      </w:r>
      <w:r>
        <w:rPr>
          <w:b/>
          <w:bCs/>
          <w:rtl/>
        </w:rPr>
        <w:t>ר"ש</w:t>
      </w:r>
      <w:r>
        <w:rPr>
          <w:rtl/>
        </w:rPr>
        <w:t xml:space="preserve"> (שם) נקט דאי נתקדש צריך גט, דהא ספק אשה הוא. [וצ"ב מאי נפק"מ אם הוא אשת איש, הא בלא”ה אסור בביאה משום ספק איש. ואפשר דנפק"מ דנפסל מתרומה].</w:t>
      </w:r>
    </w:p>
  </w:footnote>
  <w:footnote w:id="5044">
    <w:p w14:paraId="5DC84885" w14:textId="77777777" w:rsidR="00F64AED" w:rsidRDefault="00F64AED" w:rsidP="00F64AED">
      <w:pPr>
        <w:pStyle w:val="Footnote"/>
        <w:bidi/>
      </w:pPr>
      <w:r>
        <w:rPr>
          <w:rStyle w:val="ac"/>
          <w:rtl/>
        </w:rPr>
        <w:footnoteRef/>
      </w:r>
      <w:r>
        <w:rPr>
          <w:rtl/>
        </w:rPr>
        <w:t>ולכאורה משמע דהוה קנס בעלמא. [אבל עצם הנישואין חל על הצד שהוא נקיבה, דבפועל הוה ראוי לביאה].</w:t>
      </w:r>
    </w:p>
    <w:p w14:paraId="6792FCD1" w14:textId="77777777" w:rsidR="00F64AED" w:rsidRDefault="00F64AED" w:rsidP="00F64AED">
      <w:pPr>
        <w:pStyle w:val="Footnote"/>
        <w:bidi/>
      </w:pPr>
      <w:r>
        <w:rPr>
          <w:rtl/>
        </w:rPr>
        <w:tab/>
        <w:t>ואפשר דלדעת הרמב"ם (הו' בסמוך) [דאף לצד שהוא נקיבה] חייבין על ביאתו סקילה כזכר [מגזיה"כ], א"כ לא תפסי קידושין כחייבי כריתות.</w:t>
      </w:r>
    </w:p>
  </w:footnote>
  <w:footnote w:id="5045">
    <w:p w14:paraId="0CF9CA5A" w14:textId="77777777" w:rsidR="00F64AED" w:rsidRDefault="00F64AED" w:rsidP="00F64AED">
      <w:pPr>
        <w:pStyle w:val="Footnote"/>
        <w:bidi/>
      </w:pPr>
      <w:r>
        <w:rPr>
          <w:rStyle w:val="ac"/>
          <w:rtl/>
        </w:rPr>
        <w:footnoteRef/>
      </w:r>
      <w:r>
        <w:rPr>
          <w:rtl/>
        </w:rPr>
        <w:t>ומבואר בדברי המאירי דמהני התקדשי לחציי וחל הקידושין בחציו. [אך פשטות הגמ' (קידו' ז.) דהאומר התקדשי לחציי כאומר שישא אחרת, ובאמת חל קידושין בכולו. אלא דבגמ' (גיטין מג.) גבי חצי עבד מבואר דשייך לקידושין בחציו].</w:t>
      </w:r>
    </w:p>
  </w:footnote>
  <w:footnote w:id="5046">
    <w:p w14:paraId="65D48BCD" w14:textId="77777777" w:rsidR="00F64AED" w:rsidRDefault="00F64AED" w:rsidP="00F64AED">
      <w:pPr>
        <w:pStyle w:val="Footnote"/>
        <w:bidi/>
      </w:pPr>
      <w:r>
        <w:rPr>
          <w:rStyle w:val="ac"/>
          <w:rtl/>
        </w:rPr>
        <w:footnoteRef/>
      </w:r>
      <w:r>
        <w:rPr>
          <w:rtl/>
        </w:rPr>
        <w:t>וכ"כ ה</w:t>
      </w:r>
      <w:r>
        <w:rPr>
          <w:b/>
          <w:bCs/>
          <w:rtl/>
        </w:rPr>
        <w:t>לח"מ</w:t>
      </w:r>
      <w:r>
        <w:rPr>
          <w:rtl/>
        </w:rPr>
        <w:t xml:space="preserve"> (שופר ב ב) בדעת הרמב"ם דהנידון על מצוות פריה ורביה. וצ"ע דדעת הרמב”ם דהוה סריס.</w:t>
      </w:r>
    </w:p>
  </w:footnote>
  <w:footnote w:id="5047">
    <w:p w14:paraId="26041EA7" w14:textId="77777777" w:rsidR="00F64AED" w:rsidRDefault="00F64AED" w:rsidP="00F64AED">
      <w:pPr>
        <w:pStyle w:val="Footnote"/>
        <w:bidi/>
      </w:pPr>
      <w:r>
        <w:rPr>
          <w:rStyle w:val="ac"/>
          <w:rtl/>
        </w:rPr>
        <w:footnoteRef/>
      </w:r>
      <w:r>
        <w:rPr>
          <w:rtl/>
        </w:rPr>
        <w:t>ומקורו מה</w:t>
      </w:r>
      <w:r>
        <w:rPr>
          <w:b/>
          <w:bCs/>
          <w:rtl/>
        </w:rPr>
        <w:t>תוספתא</w:t>
      </w:r>
      <w:r>
        <w:rPr>
          <w:rtl/>
        </w:rPr>
        <w:t xml:space="preserve"> הו' ב</w:t>
      </w:r>
      <w:r>
        <w:rPr>
          <w:b/>
          <w:bCs/>
          <w:rtl/>
        </w:rPr>
        <w:t xml:space="preserve">רי"ף </w:t>
      </w:r>
      <w:r>
        <w:rPr>
          <w:rtl/>
        </w:rPr>
        <w:t>(ספ"ק ג: בדה”ס) ו</w:t>
      </w:r>
      <w:r>
        <w:rPr>
          <w:b/>
          <w:bCs/>
          <w:rtl/>
        </w:rPr>
        <w:t>רא”ש</w:t>
      </w:r>
      <w:r>
        <w:rPr>
          <w:rtl/>
        </w:rPr>
        <w:t xml:space="preserve"> (א ט). וה</w:t>
      </w:r>
      <w:r>
        <w:rPr>
          <w:b/>
          <w:bCs/>
          <w:rtl/>
        </w:rPr>
        <w:t>יש”ש</w:t>
      </w:r>
      <w:r>
        <w:rPr>
          <w:rtl/>
        </w:rPr>
        <w:t xml:space="preserve"> (ח לה) הק' דהרא”ש הביא תוספתא זו, והאיך הביא הטור בשמו להיפך. [וכן ה</w:t>
      </w:r>
      <w:r>
        <w:rPr>
          <w:b/>
          <w:bCs/>
          <w:rtl/>
        </w:rPr>
        <w:t>גר"א</w:t>
      </w:r>
      <w:r>
        <w:rPr>
          <w:rtl/>
        </w:rPr>
        <w:t xml:space="preserve"> קעב יח תמה בזה].</w:t>
      </w:r>
    </w:p>
    <w:p w14:paraId="0718A4B8" w14:textId="77777777" w:rsidR="00F64AED" w:rsidRDefault="00F64AED" w:rsidP="00F64AED">
      <w:pPr>
        <w:pStyle w:val="Footnote"/>
        <w:bidi/>
      </w:pPr>
      <w:r>
        <w:rPr>
          <w:rtl/>
        </w:rPr>
        <w:tab/>
        <w:t>וה</w:t>
      </w:r>
      <w:r>
        <w:rPr>
          <w:b/>
          <w:bCs/>
          <w:rtl/>
        </w:rPr>
        <w:t>בי”ש</w:t>
      </w:r>
      <w:r>
        <w:rPr>
          <w:rtl/>
        </w:rPr>
        <w:t xml:space="preserve"> (קעב י) כת' דדעת תוס' דקי"ל כמשנה, ואין הלכה כתוספתא זו. וצ"ב מנ"ל דפליגי האם מוליד. וה</w:t>
      </w:r>
      <w:r>
        <w:rPr>
          <w:b/>
          <w:bCs/>
          <w:rtl/>
        </w:rPr>
        <w:t>ערוה"ש</w:t>
      </w:r>
      <w:r>
        <w:rPr>
          <w:rtl/>
        </w:rPr>
        <w:t xml:space="preserve"> תי' דלמ"ד דהוה ספק ע"כ אינו מוליד. אבל למ"ד דהוה זכר אין לנו לתלות שאינו מוליד כל זמן שאין לו סימני סריס.</w:t>
      </w:r>
    </w:p>
    <w:p w14:paraId="5773D539" w14:textId="77777777" w:rsidR="00F64AED" w:rsidRDefault="00F64AED" w:rsidP="00F64AED">
      <w:pPr>
        <w:pStyle w:val="Footnote"/>
        <w:bidi/>
      </w:pPr>
      <w:r>
        <w:rPr>
          <w:rtl/>
        </w:rPr>
        <w:tab/>
        <w:t>אמנם בפרק אנדרוגינוס (ביכורים ד ב) אי' דזוקק ליבום כאנשים. [אך בתוספתא (ביכורים ב ד) אי' דאינו זוקק ליבום כנשים].</w:t>
      </w:r>
      <w:r>
        <w:rPr>
          <w:rtl/>
        </w:rPr>
        <w:tab/>
      </w:r>
    </w:p>
  </w:footnote>
  <w:footnote w:id="5048">
    <w:p w14:paraId="11C7D642" w14:textId="77777777" w:rsidR="00F64AED" w:rsidRDefault="00F64AED" w:rsidP="00F64AED">
      <w:pPr>
        <w:pStyle w:val="Footnote"/>
        <w:bidi/>
      </w:pPr>
      <w:r>
        <w:rPr>
          <w:rStyle w:val="ac"/>
          <w:rtl/>
        </w:rPr>
        <w:footnoteRef/>
      </w:r>
      <w:r>
        <w:rPr>
          <w:rtl/>
        </w:rPr>
        <w:t>וה</w:t>
      </w:r>
      <w:r>
        <w:rPr>
          <w:b/>
          <w:bCs/>
          <w:rtl/>
        </w:rPr>
        <w:t>יש"ש</w:t>
      </w:r>
      <w:r>
        <w:rPr>
          <w:rtl/>
        </w:rPr>
        <w:t xml:space="preserve"> הוכיח דאינו מוליד, דהא נח' כמה תנאים אי אנדרוגינוס כזכר או נקיבה, ולא הוכיחו מהא דמוליד [כזכר]. אך יש שהביאו מספרי הרפואה דהיה מעשה שנשא אשה והוליד כזכר, ובאו עליו דרך נקבותו מוליד כנקיבה. [ויש לו כח הולדה כזכר ובנקיבה].</w:t>
      </w:r>
    </w:p>
  </w:footnote>
  <w:footnote w:id="5049">
    <w:p w14:paraId="3A7360B1" w14:textId="77777777" w:rsidR="00F64AED" w:rsidRDefault="00F64AED" w:rsidP="00F64AED">
      <w:pPr>
        <w:pStyle w:val="Footnote"/>
        <w:bidi/>
      </w:pPr>
      <w:r>
        <w:rPr>
          <w:rStyle w:val="ac"/>
          <w:rtl/>
        </w:rPr>
        <w:footnoteRef/>
      </w:r>
      <w:r>
        <w:rPr>
          <w:rtl/>
        </w:rPr>
        <w:t>וה</w:t>
      </w:r>
      <w:r>
        <w:rPr>
          <w:b/>
          <w:bCs/>
          <w:rtl/>
        </w:rPr>
        <w:t>בי"ש</w:t>
      </w:r>
      <w:r>
        <w:rPr>
          <w:rtl/>
        </w:rPr>
        <w:t xml:space="preserve"> (קעב י) הביא דכ"כ </w:t>
      </w:r>
      <w:r>
        <w:rPr>
          <w:b/>
          <w:bCs/>
          <w:rtl/>
        </w:rPr>
        <w:t>ר' ירוחם</w:t>
      </w:r>
      <w:r>
        <w:rPr>
          <w:rtl/>
        </w:rPr>
        <w:t xml:space="preserve"> בשם ה</w:t>
      </w:r>
      <w:r>
        <w:rPr>
          <w:b/>
          <w:bCs/>
          <w:rtl/>
        </w:rPr>
        <w:t>רמ"ה</w:t>
      </w:r>
      <w:r>
        <w:rPr>
          <w:rtl/>
        </w:rPr>
        <w:t xml:space="preserve"> דחולץ וחולצין לאשתו. וכ"כ ה</w:t>
      </w:r>
      <w:r>
        <w:rPr>
          <w:b/>
          <w:bCs/>
          <w:rtl/>
        </w:rPr>
        <w:t>נמוק"י</w:t>
      </w:r>
      <w:r>
        <w:rPr>
          <w:rtl/>
        </w:rPr>
        <w:t xml:space="preserve"> (במשנה) דאנדרוגינוס נושא, ואחיו חולץ או מייבם את אשתו. [ולא הוה אפי' ספק סריס].</w:t>
      </w:r>
    </w:p>
  </w:footnote>
  <w:footnote w:id="5050">
    <w:p w14:paraId="77514169" w14:textId="77777777" w:rsidR="00F64AED" w:rsidRDefault="00F64AED" w:rsidP="00F64AED">
      <w:pPr>
        <w:pStyle w:val="Footnote"/>
        <w:bidi/>
      </w:pPr>
      <w:r>
        <w:rPr>
          <w:rStyle w:val="ac"/>
          <w:rtl/>
        </w:rPr>
        <w:footnoteRef/>
      </w:r>
      <w:r>
        <w:rPr>
          <w:rtl/>
        </w:rPr>
        <w:t>אך בפרק אנדרוגינוס הגירסא ר' מאיר אומר אנדרוגינוס בריה. [ולכאורה ט"ס היא כדאי' בסוגיין, וכן הר”ש שם גרס ר' יוסי. אך י"ל דליתא לברייתא מקמי מתני', ודחו דר' יוסי לא ס"ל כן אלא תנא אחר].</w:t>
      </w:r>
    </w:p>
  </w:footnote>
  <w:footnote w:id="5051">
    <w:p w14:paraId="0347548E" w14:textId="77777777" w:rsidR="00F64AED" w:rsidRDefault="00F64AED" w:rsidP="00F64AED">
      <w:pPr>
        <w:pStyle w:val="Footnote"/>
        <w:bidi/>
      </w:pPr>
      <w:r>
        <w:rPr>
          <w:rStyle w:val="ac"/>
          <w:rtl/>
        </w:rPr>
        <w:footnoteRef/>
      </w:r>
      <w:r>
        <w:rPr>
          <w:rtl/>
        </w:rPr>
        <w:t>והחילוק בין טומטום לאנדרוגינוס הוא דטומטום הוה ספק פרטי על כל א'. וה</w:t>
      </w:r>
      <w:r>
        <w:rPr>
          <w:b/>
          <w:bCs/>
          <w:rtl/>
        </w:rPr>
        <w:t>ר"ש</w:t>
      </w:r>
      <w:r>
        <w:rPr>
          <w:rtl/>
        </w:rPr>
        <w:t xml:space="preserve"> (ביכורים) כת' דדוחק לומר דכוונת הברייתא ['אינו כן'] דטומטום ספק שלו יכול להתברר אם נקרע [וימצא זכר ודאי או נקבה ודאית], משא"כ באנדרוגינוס דלעולם עומד בספק. דאין הלשון משמע כן כלל.</w:t>
      </w:r>
    </w:p>
  </w:footnote>
  <w:footnote w:id="5052">
    <w:p w14:paraId="6283855B" w14:textId="77777777" w:rsidR="00F64AED" w:rsidRDefault="00F64AED" w:rsidP="00F64AED">
      <w:pPr>
        <w:pStyle w:val="Footnote"/>
        <w:bidi/>
      </w:pPr>
      <w:r>
        <w:rPr>
          <w:rStyle w:val="ac"/>
          <w:rtl/>
        </w:rPr>
        <w:footnoteRef/>
      </w:r>
      <w:r>
        <w:rPr>
          <w:rtl/>
        </w:rPr>
        <w:t>ודייק הלשון 'ולא הכריעו', והול"ל דלא 'הכירו', אלא שאין סימניו מכריעים כלל, ואין נקיבה אלא במוכרעת בסימנים לנקיבה, ואין זכר אלא במוכרע בסימנים לזכר.</w:t>
      </w:r>
    </w:p>
  </w:footnote>
  <w:footnote w:id="5053">
    <w:p w14:paraId="6A9FCF9F" w14:textId="77777777" w:rsidR="00F64AED" w:rsidRDefault="00F64AED" w:rsidP="00F64AED">
      <w:pPr>
        <w:pStyle w:val="Footnote"/>
        <w:bidi/>
      </w:pPr>
      <w:r>
        <w:rPr>
          <w:rStyle w:val="ac"/>
          <w:rtl/>
        </w:rPr>
        <w:footnoteRef/>
      </w:r>
      <w:r>
        <w:rPr>
          <w:rtl/>
        </w:rPr>
        <w:t>[וסוף סוף יש לו זכרות]. והביאו דכוותיה (בשבת קלז.) מרבינן מהמול לכם כל זכר.</w:t>
      </w:r>
    </w:p>
  </w:footnote>
  <w:footnote w:id="5054">
    <w:p w14:paraId="0FECF642" w14:textId="77777777" w:rsidR="00F64AED" w:rsidRDefault="00F64AED" w:rsidP="00F64AED">
      <w:pPr>
        <w:pStyle w:val="Footnote"/>
        <w:bidi/>
      </w:pPr>
      <w:r>
        <w:rPr>
          <w:rStyle w:val="ac"/>
          <w:rtl/>
        </w:rPr>
        <w:footnoteRef/>
      </w:r>
      <w:r>
        <w:rPr>
          <w:rtl/>
        </w:rPr>
        <w:t>ואף לצד דכלפי שמיא הוה נקיבה [דהוה ספיקא דדינא, ואנן לא ידעינן], יש גזיה"כ דחייב עליו. [אך לצד דהוה זכר לא איצטריך קרא].</w:t>
      </w:r>
    </w:p>
  </w:footnote>
  <w:footnote w:id="5055">
    <w:p w14:paraId="10B0003F" w14:textId="77777777" w:rsidR="00F64AED" w:rsidRDefault="00F64AED" w:rsidP="00F64AED">
      <w:pPr>
        <w:pStyle w:val="Footnote"/>
        <w:bidi/>
      </w:pPr>
      <w:r>
        <w:rPr>
          <w:rStyle w:val="ac"/>
          <w:rtl/>
        </w:rPr>
        <w:footnoteRef/>
      </w:r>
      <w:r>
        <w:rPr>
          <w:rtl/>
        </w:rPr>
        <w:t>וה</w:t>
      </w:r>
      <w:r>
        <w:rPr>
          <w:b/>
          <w:bCs/>
          <w:rtl/>
        </w:rPr>
        <w:t>מנח"ח</w:t>
      </w:r>
      <w:r>
        <w:rPr>
          <w:rtl/>
        </w:rPr>
        <w:t xml:space="preserve"> (רט יא) כתב דכיון דהוה ריבוי בפנ"ע, א"כ י"ל דעכו"ם לא נתרבו בזה.</w:t>
      </w:r>
    </w:p>
  </w:footnote>
  <w:footnote w:id="5056">
    <w:p w14:paraId="4B062230" w14:textId="77777777" w:rsidR="00F64AED" w:rsidRDefault="00F64AED" w:rsidP="00F64AED">
      <w:pPr>
        <w:pStyle w:val="Footnote"/>
        <w:bidi/>
      </w:pPr>
      <w:r>
        <w:rPr>
          <w:rStyle w:val="ac"/>
          <w:rtl/>
        </w:rPr>
        <w:footnoteRef/>
      </w:r>
      <w:r>
        <w:rPr>
          <w:rtl/>
        </w:rPr>
        <w:t>ונפק"מ דאמו יושבת עליו לזכר ולנקבה ולנדה. [דאילו הוה בריה אמו אינה טמאה לידה כלל]. והיכא דאמר הריני נזיר שאין זה לא איש ולא אשה הרי זה [ספק] נזיר. [דומיה דכוי, עי"ש].</w:t>
      </w:r>
    </w:p>
  </w:footnote>
  <w:footnote w:id="5057">
    <w:p w14:paraId="455A7935" w14:textId="77777777" w:rsidR="00F64AED" w:rsidRDefault="00F64AED" w:rsidP="00F64AED">
      <w:pPr>
        <w:pStyle w:val="Footnote"/>
        <w:bidi/>
      </w:pPr>
      <w:r>
        <w:rPr>
          <w:rStyle w:val="ac"/>
          <w:rtl/>
        </w:rPr>
        <w:footnoteRef/>
      </w:r>
      <w:r>
        <w:rPr>
          <w:rtl/>
        </w:rPr>
        <w:t>והוה 'בריה' משונה שיש לו דינים חדשים. ואף דתוס' הוכיחו דלדעת רב [שפסק כר' יוסי] אינו בריה משונה, אבל לדעת ת"ק י"ל דהוה בריה. [אבל הר"ש שם נקט דלדעת ת"ק הוה ספק].</w:t>
      </w:r>
    </w:p>
  </w:footnote>
  <w:footnote w:id="5058">
    <w:p w14:paraId="3AE8C411" w14:textId="77777777" w:rsidR="00F64AED" w:rsidRDefault="00F64AED" w:rsidP="00F64AED">
      <w:pPr>
        <w:pStyle w:val="Footnote"/>
        <w:bidi/>
      </w:pPr>
      <w:r>
        <w:rPr>
          <w:rStyle w:val="ac"/>
          <w:rtl/>
        </w:rPr>
        <w:footnoteRef/>
      </w:r>
      <w:r>
        <w:rPr>
          <w:rtl/>
        </w:rPr>
        <w:t>ו</w:t>
      </w:r>
      <w:r>
        <w:rPr>
          <w:b/>
          <w:bCs/>
          <w:rtl/>
        </w:rPr>
        <w:t>ה"ה</w:t>
      </w:r>
      <w:r>
        <w:rPr>
          <w:rtl/>
        </w:rPr>
        <w:t xml:space="preserve"> כת' דדעת הרמב"ם דקי"ל (בסוגיין) כמ"ד דבריה הוה. [וכדעת הראשונים דקי"ל דליתא למתני' מקמי ברייתא. ע' בסמוך]. ועוד כת' דאפשר דאפי' למ"ד חציו זכר מוציא את מינו, ואינו דומה לחציו עבד. שיש חילוק בין מה שהוא בידי אדם למה שהוא בידי שמים. {דאנדרוגינוס הוה חצי בידי שמים, ולכאורה כוונתו דהוה הרכבה מזגית וגדר החצי דהוה מין חדש. ואילו חצי עבד הוה בידי אדם, ודינו כתערובת [הרכבה שכונית, ע' תשב"ץ ב ד הו' בש”ש בהקדמה]}.</w:t>
      </w:r>
    </w:p>
  </w:footnote>
  <w:footnote w:id="5059">
    <w:p w14:paraId="0EB6838A" w14:textId="77777777" w:rsidR="00F64AED" w:rsidRDefault="00F64AED" w:rsidP="00F64AED">
      <w:pPr>
        <w:pStyle w:val="Footnote"/>
        <w:bidi/>
      </w:pPr>
      <w:r>
        <w:rPr>
          <w:rStyle w:val="ac"/>
          <w:rtl/>
        </w:rPr>
        <w:footnoteRef/>
      </w:r>
      <w:r>
        <w:rPr>
          <w:rtl/>
        </w:rPr>
        <w:t>וה</w:t>
      </w:r>
      <w:r>
        <w:rPr>
          <w:b/>
          <w:bCs/>
          <w:rtl/>
        </w:rPr>
        <w:t>ראב"ד</w:t>
      </w:r>
      <w:r>
        <w:rPr>
          <w:rtl/>
        </w:rPr>
        <w:t xml:space="preserve"> חשש דקי"ל כתנא דהתם דהוה חצי. [וצ"ב אמאי שבק לסוגיין דהלכה כר' יוסי דמתני' או דברייתא].</w:t>
      </w:r>
    </w:p>
    <w:p w14:paraId="0AE103ED" w14:textId="77777777" w:rsidR="00F64AED" w:rsidRDefault="00F64AED" w:rsidP="00F64AED">
      <w:pPr>
        <w:pStyle w:val="Footnote"/>
        <w:bidi/>
      </w:pPr>
      <w:r>
        <w:rPr>
          <w:rtl/>
        </w:rPr>
        <w:tab/>
        <w:t>ו</w:t>
      </w:r>
      <w:r>
        <w:rPr>
          <w:b/>
          <w:bCs/>
          <w:rtl/>
        </w:rPr>
        <w:t>ה"ה</w:t>
      </w:r>
      <w:r>
        <w:rPr>
          <w:rtl/>
        </w:rPr>
        <w:t xml:space="preserve"> ציין דנח' בזה התנאים בסוגיין. ובס' יום תרועה (ר"ה כט.) השיג דאינו בסוגיין בתלמודא דידן, אלא בירושלמי (כאן, הו' בסמוך) דיש לו צד זכר וצד נקיבה. [אבל הרמב"ם ביאר דברי הירושלמי באופ"א, הו' בסמוך].</w:t>
      </w:r>
    </w:p>
    <w:p w14:paraId="756056D0" w14:textId="77777777" w:rsidR="00F64AED" w:rsidRDefault="00F64AED" w:rsidP="00F64AED">
      <w:pPr>
        <w:pStyle w:val="Footnote"/>
        <w:bidi/>
      </w:pPr>
      <w:r>
        <w:rPr>
          <w:rtl/>
        </w:rPr>
        <w:tab/>
        <w:t>וב</w:t>
      </w:r>
      <w:r>
        <w:rPr>
          <w:b/>
          <w:bCs/>
          <w:rtl/>
        </w:rPr>
        <w:t>ירושלמי</w:t>
      </w:r>
      <w:r>
        <w:rPr>
          <w:rtl/>
        </w:rPr>
        <w:t xml:space="preserve"> (חגיגה א א) נתמעט 'ערל זכר', עד שיהא כולו זכר. ור' יהודה דרש 'ערל', אפי' מקצתו ערל.</w:t>
      </w:r>
    </w:p>
  </w:footnote>
  <w:footnote w:id="5060">
    <w:p w14:paraId="0BEF60DA" w14:textId="77777777" w:rsidR="00F64AED" w:rsidRDefault="00F64AED" w:rsidP="00F64AED">
      <w:pPr>
        <w:pStyle w:val="Footnote"/>
        <w:bidi/>
      </w:pPr>
      <w:r>
        <w:rPr>
          <w:rStyle w:val="ac"/>
          <w:rtl/>
        </w:rPr>
        <w:footnoteRef/>
      </w:r>
      <w:r>
        <w:rPr>
          <w:rtl/>
        </w:rPr>
        <w:t>וכ"כ ה</w:t>
      </w:r>
      <w:r>
        <w:rPr>
          <w:b/>
          <w:bCs/>
          <w:rtl/>
        </w:rPr>
        <w:t>מאירי</w:t>
      </w:r>
      <w:r>
        <w:rPr>
          <w:rtl/>
        </w:rPr>
        <w:t xml:space="preserve"> (פב:) דדינו כחצי איש. [וכ"כ המאירי (ר"ה כט., ב"ב קכז.) דאנדרוגינוס הוא מי שהוא חציו איש וחציו אשה].</w:t>
      </w:r>
    </w:p>
  </w:footnote>
  <w:footnote w:id="5061">
    <w:p w14:paraId="79634543" w14:textId="77777777" w:rsidR="00F64AED" w:rsidRDefault="00F64AED" w:rsidP="00F64AED">
      <w:pPr>
        <w:pStyle w:val="Footnote"/>
        <w:bidi/>
      </w:pPr>
      <w:r>
        <w:rPr>
          <w:rStyle w:val="ac"/>
          <w:rtl/>
        </w:rPr>
        <w:footnoteRef/>
      </w:r>
      <w:r>
        <w:rPr>
          <w:rtl/>
        </w:rPr>
        <w:t>וכדעת הראב”ד, ודלא כרמב”ם ושו”ע.</w:t>
      </w:r>
    </w:p>
  </w:footnote>
  <w:footnote w:id="5062">
    <w:p w14:paraId="706512C6" w14:textId="77777777" w:rsidR="00F64AED" w:rsidRDefault="00F64AED" w:rsidP="00F64AED">
      <w:pPr>
        <w:pStyle w:val="Footnote"/>
        <w:bidi/>
      </w:pPr>
      <w:r>
        <w:rPr>
          <w:rStyle w:val="ac"/>
          <w:rtl/>
        </w:rPr>
        <w:footnoteRef/>
      </w:r>
      <w:r>
        <w:rPr>
          <w:rtl/>
        </w:rPr>
        <w:t>וה</w:t>
      </w:r>
      <w:r>
        <w:rPr>
          <w:b/>
          <w:bCs/>
          <w:rtl/>
        </w:rPr>
        <w:t>באר היטב</w:t>
      </w:r>
      <w:r>
        <w:rPr>
          <w:rtl/>
        </w:rPr>
        <w:t xml:space="preserve"> הביא ששמע דהוה חודש זכר וחודש נקיבה. ותמה ע"ז. וע' מור וקציעה.</w:t>
      </w:r>
    </w:p>
  </w:footnote>
  <w:footnote w:id="5063">
    <w:p w14:paraId="708E2472" w14:textId="77777777" w:rsidR="00F64AED" w:rsidRDefault="00F64AED" w:rsidP="00F64AED">
      <w:pPr>
        <w:pStyle w:val="Footnote"/>
        <w:bidi/>
      </w:pPr>
      <w:r>
        <w:rPr>
          <w:rStyle w:val="ac"/>
          <w:rtl/>
        </w:rPr>
        <w:footnoteRef/>
      </w:r>
      <w:r>
        <w:rPr>
          <w:rtl/>
        </w:rPr>
        <w:t>בפשוטו נקטו פסקי הלכות בעלמא. וה</w:t>
      </w:r>
      <w:r>
        <w:rPr>
          <w:b/>
          <w:bCs/>
          <w:rtl/>
        </w:rPr>
        <w:t>רמב"ן</w:t>
      </w:r>
      <w:r>
        <w:rPr>
          <w:rtl/>
        </w:rPr>
        <w:t xml:space="preserve"> כת' דבכל הנך הוזכר ר' יוסי בהדי ר' שמעון. [ואפ"ה נקט הכלל דהלכה כר' יוסי, דהלכה כוותיה טפי וכדאי' עירובין מו:].</w:t>
      </w:r>
    </w:p>
  </w:footnote>
  <w:footnote w:id="5064">
    <w:p w14:paraId="1819269F" w14:textId="77777777" w:rsidR="00F64AED" w:rsidRDefault="00F64AED" w:rsidP="00F64AED">
      <w:pPr>
        <w:pStyle w:val="Footnote"/>
        <w:bidi/>
      </w:pPr>
      <w:r>
        <w:rPr>
          <w:rStyle w:val="ac"/>
          <w:rtl/>
        </w:rPr>
        <w:footnoteRef/>
      </w:r>
      <w:r>
        <w:rPr>
          <w:rtl/>
        </w:rPr>
        <w:t>וה</w:t>
      </w:r>
      <w:r>
        <w:rPr>
          <w:b/>
          <w:bCs/>
          <w:rtl/>
        </w:rPr>
        <w:t>שו"ע</w:t>
      </w:r>
      <w:r>
        <w:rPr>
          <w:rtl/>
        </w:rPr>
        <w:t xml:space="preserve"> (מד ה) כת' דצריכין גט מספק [וכרמב”ם], וה</w:t>
      </w:r>
      <w:r>
        <w:rPr>
          <w:b/>
          <w:bCs/>
          <w:rtl/>
        </w:rPr>
        <w:t>רמ"א</w:t>
      </w:r>
      <w:r>
        <w:rPr>
          <w:rtl/>
        </w:rPr>
        <w:t xml:space="preserve"> הביא דעת תוס' דהוה ודאי זכר. ואם נתקדש אי"צ גט.</w:t>
      </w:r>
    </w:p>
  </w:footnote>
  <w:footnote w:id="5065">
    <w:p w14:paraId="17EB6952" w14:textId="77777777" w:rsidR="00F64AED" w:rsidRDefault="00F64AED" w:rsidP="00F64AED">
      <w:pPr>
        <w:pStyle w:val="Footnote"/>
        <w:bidi/>
      </w:pPr>
      <w:r>
        <w:rPr>
          <w:rStyle w:val="ac"/>
          <w:rtl/>
        </w:rPr>
        <w:footnoteRef/>
      </w:r>
      <w:r>
        <w:rPr>
          <w:rtl/>
        </w:rPr>
        <w:t>ומשמע דקו' הראב"ד בין בטומטום ובין באנדרוגינוס. [וה</w:t>
      </w:r>
      <w:r>
        <w:rPr>
          <w:b/>
          <w:bCs/>
          <w:rtl/>
        </w:rPr>
        <w:t>חלק"מ</w:t>
      </w:r>
      <w:r>
        <w:rPr>
          <w:rtl/>
        </w:rPr>
        <w:t xml:space="preserve"> (מד ה) הוסיף דאם יקרע הטומטום ויתברר שהוא נקיבה צריכה גט ודאי].</w:t>
      </w:r>
    </w:p>
  </w:footnote>
  <w:footnote w:id="5066">
    <w:p w14:paraId="3D34342C" w14:textId="77777777" w:rsidR="00F64AED" w:rsidRDefault="00F64AED" w:rsidP="00F64AED">
      <w:pPr>
        <w:pStyle w:val="Footnote"/>
        <w:bidi/>
      </w:pPr>
      <w:r>
        <w:rPr>
          <w:rStyle w:val="ac"/>
          <w:rtl/>
        </w:rPr>
        <w:footnoteRef/>
      </w:r>
      <w:r>
        <w:rPr>
          <w:rtl/>
        </w:rPr>
        <w:t>כ"כ ה</w:t>
      </w:r>
      <w:r>
        <w:rPr>
          <w:b/>
          <w:bCs/>
          <w:rtl/>
        </w:rPr>
        <w:t>פני משה</w:t>
      </w:r>
      <w:r>
        <w:rPr>
          <w:rtl/>
        </w:rPr>
        <w:t>, וכ"מ ב</w:t>
      </w:r>
      <w:r>
        <w:rPr>
          <w:b/>
          <w:bCs/>
          <w:rtl/>
        </w:rPr>
        <w:t>רמב"ם</w:t>
      </w:r>
      <w:r>
        <w:rPr>
          <w:rtl/>
        </w:rPr>
        <w:t xml:space="preserve"> (הו' בסמוך). וה</w:t>
      </w:r>
      <w:r>
        <w:rPr>
          <w:b/>
          <w:bCs/>
          <w:rtl/>
        </w:rPr>
        <w:t>כס”מ</w:t>
      </w:r>
      <w:r>
        <w:rPr>
          <w:rtl/>
        </w:rPr>
        <w:t xml:space="preserve"> (שם) הק' דאף  כשנבעל לכשר, כיון דחייבין על ביאתו סקילה וכרת, מש"ה יעשה זונה. וכת' דאפשר דכיון דאיסור בעילה אינה אלא מצד זכרות שבו אין זכר פוסל זכר מן הכהונה.</w:t>
      </w:r>
    </w:p>
  </w:footnote>
  <w:footnote w:id="5067">
    <w:p w14:paraId="16C25D78" w14:textId="77777777" w:rsidR="00F64AED" w:rsidRDefault="00F64AED" w:rsidP="00F64AED">
      <w:pPr>
        <w:pStyle w:val="Footnote"/>
        <w:bidi/>
      </w:pPr>
      <w:r>
        <w:rPr>
          <w:rStyle w:val="ac"/>
          <w:rtl/>
        </w:rPr>
        <w:footnoteRef/>
      </w:r>
      <w:r>
        <w:rPr>
          <w:rtl/>
        </w:rPr>
        <w:t>אם זכר הוא אין זכר פוסל זכר. אם נקיבה היא אין נקיבה פוסלת נקיבה.</w:t>
      </w:r>
    </w:p>
  </w:footnote>
  <w:footnote w:id="5068">
    <w:p w14:paraId="39888422" w14:textId="77777777" w:rsidR="00F64AED" w:rsidRDefault="00F64AED" w:rsidP="00F64AED">
      <w:pPr>
        <w:pStyle w:val="Footnote"/>
        <w:bidi/>
      </w:pPr>
      <w:r>
        <w:rPr>
          <w:rStyle w:val="ac"/>
          <w:rtl/>
        </w:rPr>
        <w:footnoteRef/>
      </w:r>
      <w:r>
        <w:rPr>
          <w:rtl/>
        </w:rPr>
        <w:t>וה</w:t>
      </w:r>
      <w:r>
        <w:rPr>
          <w:b/>
          <w:bCs/>
          <w:rtl/>
        </w:rPr>
        <w:t>אחרונים</w:t>
      </w:r>
      <w:r>
        <w:rPr>
          <w:rtl/>
        </w:rPr>
        <w:t xml:space="preserve"> (מהר”ם חביב יום תרועה ר”ה כט.) הביאו מהתם מקור לדברי הראב"ד דיש לו צד זכרות וצד נקבות.</w:t>
      </w:r>
    </w:p>
  </w:footnote>
  <w:footnote w:id="5069">
    <w:p w14:paraId="4541E764" w14:textId="77777777" w:rsidR="00F64AED" w:rsidRDefault="00F64AED" w:rsidP="00F64AED">
      <w:pPr>
        <w:pStyle w:val="Footnote"/>
        <w:bidi/>
      </w:pPr>
      <w:r>
        <w:rPr>
          <w:rStyle w:val="ac"/>
          <w:rtl/>
        </w:rPr>
        <w:footnoteRef/>
      </w:r>
      <w:r>
        <w:rPr>
          <w:rtl/>
        </w:rPr>
        <w:t>דומיא דרישא שכת' הרמב"ם דזכר שבא על זכרותו של אנדרוגינוס פוסלו. והכס"מ דן להגיה אף ברישא דדוקא דרך נקבות.</w:t>
      </w:r>
    </w:p>
    <w:p w14:paraId="0C56B568" w14:textId="77777777" w:rsidR="00F64AED" w:rsidRDefault="00F64AED" w:rsidP="00F64AED">
      <w:pPr>
        <w:pStyle w:val="Footnote"/>
        <w:bidi/>
      </w:pPr>
      <w:r>
        <w:rPr>
          <w:rtl/>
        </w:rPr>
        <w:tab/>
        <w:t>וה</w:t>
      </w:r>
      <w:r>
        <w:rPr>
          <w:b/>
          <w:bCs/>
          <w:rtl/>
        </w:rPr>
        <w:t>גר"ח</w:t>
      </w:r>
      <w:r>
        <w:rPr>
          <w:rtl/>
        </w:rPr>
        <w:t xml:space="preserve"> (על הש"ס) ביאר [דעת הרמב"ם] דברישא פסול משום ספק נקיבה, ונפסל בביאה שלא כדרכה. אבל בסיפא אמרי' ממ"נ, ואין אשה פוסלת אשה. אלא אנדרוגינוס פוסל משום דברי הירושלמי דנתחדש דיש לא' צד זכרות לפסול צד נקבות דחבירו. ובהך חידוש לא נתחדש דיש חידוש אף שלא כדרכה.</w:t>
      </w:r>
    </w:p>
  </w:footnote>
  <w:footnote w:id="5070">
    <w:p w14:paraId="757A1498" w14:textId="77777777" w:rsidR="00F64AED" w:rsidRDefault="00F64AED" w:rsidP="00F64AED">
      <w:pPr>
        <w:pStyle w:val="Footnote"/>
        <w:bidi/>
      </w:pPr>
      <w:r>
        <w:rPr>
          <w:rStyle w:val="ac"/>
          <w:rtl/>
        </w:rPr>
        <w:footnoteRef/>
      </w:r>
      <w:r>
        <w:rPr>
          <w:rtl/>
        </w:rPr>
        <w:t>דהרמב"ם פי' כוונת הירושלמי באופן שבא 'צד זכרות' על 'צד נקבות'. ואילו הראב"ד ביאר מסקנת הירושלמי דלא שייך בזה ממ"נ כלל, אלא כל א' יש בו צד זכרות וצד נקבות [וכשיטתו בהל' שופר].</w:t>
      </w:r>
    </w:p>
  </w:footnote>
  <w:footnote w:id="5071">
    <w:p w14:paraId="677505CD" w14:textId="77777777" w:rsidR="00F64AED" w:rsidRDefault="00F64AED" w:rsidP="00F64AED">
      <w:pPr>
        <w:pStyle w:val="Footnote"/>
        <w:bidi/>
      </w:pPr>
      <w:r>
        <w:rPr>
          <w:rStyle w:val="ac"/>
          <w:rtl/>
        </w:rPr>
        <w:footnoteRef/>
      </w:r>
      <w:r>
        <w:rPr>
          <w:rtl/>
        </w:rPr>
        <w:t>ויל"ד בזה דאין איסור לעשות מלאכה לפני שבת שנמשך בשבת, דהוה מלאכת חול [וע”ד מש”כ ה</w:t>
      </w:r>
      <w:r>
        <w:rPr>
          <w:b/>
          <w:bCs/>
          <w:rtl/>
        </w:rPr>
        <w:t>נמוק”י</w:t>
      </w:r>
      <w:r>
        <w:rPr>
          <w:rtl/>
        </w:rPr>
        <w:t xml:space="preserve"> ב"ק פ"ב דהוה כזורק חץ]. אבל בשביעית נקבע להחשב מלאכת שביעית ע"פ הקרקע. אבל לעולם האיסור מלאכה הוה רק על העושה.</w:t>
      </w:r>
    </w:p>
  </w:footnote>
  <w:footnote w:id="5072">
    <w:p w14:paraId="0F6C699C" w14:textId="77777777" w:rsidR="00F64AED" w:rsidRDefault="00F64AED" w:rsidP="00F64AED">
      <w:pPr>
        <w:pStyle w:val="Footnote"/>
        <w:bidi/>
      </w:pPr>
      <w:r>
        <w:rPr>
          <w:rStyle w:val="ac"/>
          <w:rtl/>
        </w:rPr>
        <w:footnoteRef/>
      </w:r>
      <w:r>
        <w:rPr>
          <w:rtl/>
        </w:rPr>
        <w:t>ויסוד זה כתב ה</w:t>
      </w:r>
      <w:r>
        <w:rPr>
          <w:b/>
          <w:bCs/>
          <w:rtl/>
        </w:rPr>
        <w:t>מנח"ח</w:t>
      </w:r>
      <w:r>
        <w:rPr>
          <w:rtl/>
        </w:rPr>
        <w:t xml:space="preserve"> (שכו) דיש דין שביתת הקרקע בשביעית, ודמי למצוות שביתת בהמתו. אבל ה</w:t>
      </w:r>
      <w:r>
        <w:rPr>
          <w:b/>
          <w:bCs/>
          <w:rtl/>
        </w:rPr>
        <w:t>אבי עזרי</w:t>
      </w:r>
      <w:r>
        <w:rPr>
          <w:rtl/>
        </w:rPr>
        <w:t xml:space="preserve"> (שמיטה) תמה דלא מצאנו דין למנוע מאחרים שלא יעשו מלאכה בשדהו בשביעית.</w:t>
      </w:r>
    </w:p>
  </w:footnote>
  <w:footnote w:id="5073">
    <w:p w14:paraId="4D1C3ADF" w14:textId="77777777" w:rsidR="00F64AED" w:rsidRDefault="00F64AED" w:rsidP="00F64AED">
      <w:pPr>
        <w:pStyle w:val="Footnote"/>
        <w:bidi/>
      </w:pPr>
      <w:r>
        <w:rPr>
          <w:rStyle w:val="ac"/>
          <w:rtl/>
        </w:rPr>
        <w:footnoteRef/>
      </w:r>
      <w:r>
        <w:rPr>
          <w:rtl/>
        </w:rPr>
        <w:t>וה</w:t>
      </w:r>
      <w:r>
        <w:rPr>
          <w:b/>
          <w:bCs/>
          <w:rtl/>
        </w:rPr>
        <w:t>מנח"ח</w:t>
      </w:r>
      <w:r>
        <w:rPr>
          <w:rtl/>
        </w:rPr>
        <w:t xml:space="preserve"> (שכו ו) דן לדעת ר"ת האם מותר ליטע לפני שביעית דהקליטה תהיה בשביעית [אי אמרי' דהוה כמו שבת דמותר לעשות מלאכה עד חשיכה, או דכבר נצטוונו בשביתת קרקע בשביעית].</w:t>
      </w:r>
    </w:p>
  </w:footnote>
  <w:footnote w:id="5074">
    <w:p w14:paraId="4F0B5580" w14:textId="77777777" w:rsidR="00F64AED" w:rsidRDefault="00F64AED" w:rsidP="00F64AED">
      <w:pPr>
        <w:pStyle w:val="Footnote"/>
        <w:bidi/>
      </w:pPr>
      <w:r>
        <w:rPr>
          <w:rStyle w:val="ac"/>
          <w:rtl/>
        </w:rPr>
        <w:footnoteRef/>
      </w:r>
      <w:r>
        <w:rPr>
          <w:rtl/>
        </w:rPr>
        <w:t>דעכ"פ מבואר במשנה לר"ת דמותר ליטע תוך ל', ואין בזה איסור.</w:t>
      </w:r>
    </w:p>
  </w:footnote>
  <w:footnote w:id="5075">
    <w:p w14:paraId="00DBFD33" w14:textId="77777777" w:rsidR="00F64AED" w:rsidRDefault="00F64AED" w:rsidP="00F64AED">
      <w:pPr>
        <w:pStyle w:val="Footnote"/>
        <w:bidi/>
      </w:pPr>
      <w:r>
        <w:rPr>
          <w:rStyle w:val="ac"/>
          <w:rtl/>
        </w:rPr>
        <w:footnoteRef/>
      </w:r>
      <w:r>
        <w:rPr>
          <w:rtl/>
        </w:rPr>
        <w:t>וה</w:t>
      </w:r>
      <w:r>
        <w:rPr>
          <w:b/>
          <w:bCs/>
          <w:rtl/>
        </w:rPr>
        <w:t>ראשונים</w:t>
      </w:r>
      <w:r>
        <w:rPr>
          <w:rtl/>
        </w:rPr>
        <w:t xml:space="preserve"> (ב"ב כב:) האריכו בגדרי דינא דגרמי, ואכ"מ. [ועוד דנו הראשונים (ב"ב ב: וב"ק ק.) האם נחשב היזק ניכר ואכ”מ].</w:t>
      </w:r>
    </w:p>
  </w:footnote>
  <w:footnote w:id="5076">
    <w:p w14:paraId="128D3E02" w14:textId="77777777" w:rsidR="00F64AED" w:rsidRDefault="00F64AED" w:rsidP="00F64AED">
      <w:pPr>
        <w:pStyle w:val="Footnote"/>
        <w:bidi/>
      </w:pPr>
      <w:r>
        <w:rPr>
          <w:rStyle w:val="ac"/>
          <w:rtl/>
        </w:rPr>
        <w:footnoteRef/>
      </w:r>
      <w:r>
        <w:rPr>
          <w:rtl/>
        </w:rPr>
        <w:t>ועד"ז נח' ב</w:t>
      </w:r>
      <w:r>
        <w:rPr>
          <w:b/>
          <w:bCs/>
          <w:rtl/>
        </w:rPr>
        <w:t>ירושלמי</w:t>
      </w:r>
      <w:r>
        <w:rPr>
          <w:rtl/>
        </w:rPr>
        <w:t xml:space="preserve"> (כלאים ז ד) דדעת ר' יוחנן דר' יוסי מודה דהענבים אסורות. ור"א פליג דהאוסר אינו נאסר, ושאינו אוסר נאסר. [וכן בגמ' מנחות משמע דהמקשן הוא ר"א. ומדברי התוס' משמע דלמסקנא אמרי' הך ק”ו. אך יל”ד דהגמ' הוה דחייה בעלמא, ומשמע דרב (שם) לית ליה הך ק”ו].</w:t>
      </w:r>
    </w:p>
  </w:footnote>
  <w:footnote w:id="5077">
    <w:p w14:paraId="4F909A35" w14:textId="77777777" w:rsidR="00F64AED" w:rsidRDefault="00F64AED" w:rsidP="00F64AED">
      <w:pPr>
        <w:pStyle w:val="Footnote"/>
        <w:bidi/>
      </w:pPr>
      <w:r>
        <w:rPr>
          <w:rStyle w:val="ac"/>
          <w:rtl/>
        </w:rPr>
        <w:footnoteRef/>
      </w:r>
      <w:r>
        <w:rPr>
          <w:rtl/>
        </w:rPr>
        <w:t>אבל ה</w:t>
      </w:r>
      <w:r>
        <w:rPr>
          <w:b/>
          <w:bCs/>
          <w:rtl/>
        </w:rPr>
        <w:t>שיטמ"ק</w:t>
      </w:r>
      <w:r>
        <w:rPr>
          <w:rtl/>
        </w:rPr>
        <w:t xml:space="preserve"> (שם ב וד בשם ר' שמשון והשר מקוצי) ביאר דקו' הגמ' דנימא ק"ו להחמיר ולאסור את הגפנים. [אף דאין אדם אוסר דבר שאינו שלו. דהא חזינן דנאסר התבואה]. ובזה תי' הגמ' דנאסר התבואה משום קנס. [אבל מדינא הגפנים והתבואה מותרין].</w:t>
      </w:r>
    </w:p>
  </w:footnote>
  <w:footnote w:id="5078">
    <w:p w14:paraId="7978D388" w14:textId="77777777" w:rsidR="00F64AED" w:rsidRDefault="00F64AED" w:rsidP="00F64AED">
      <w:pPr>
        <w:pStyle w:val="Footnote"/>
        <w:bidi/>
      </w:pPr>
      <w:r>
        <w:rPr>
          <w:rStyle w:val="ac"/>
          <w:rtl/>
        </w:rPr>
        <w:footnoteRef/>
      </w:r>
      <w:r>
        <w:rPr>
          <w:rtl/>
        </w:rPr>
        <w:t>ועוד פי' ה</w:t>
      </w:r>
      <w:r>
        <w:rPr>
          <w:b/>
          <w:bCs/>
          <w:rtl/>
        </w:rPr>
        <w:t>שיטמ"ק</w:t>
      </w:r>
      <w:r>
        <w:rPr>
          <w:rtl/>
        </w:rPr>
        <w:t xml:space="preserve"> (שם) בשם </w:t>
      </w:r>
      <w:r>
        <w:rPr>
          <w:b/>
          <w:bCs/>
          <w:rtl/>
        </w:rPr>
        <w:t>ר' חיים כהן</w:t>
      </w:r>
      <w:r>
        <w:rPr>
          <w:rtl/>
        </w:rPr>
        <w:t xml:space="preserve"> דכוונת הגמ' דכל המינים מדאורייתא, אלא דהגפנים והתבואה לא נאסרו משום דאין אדם אוסר דבר שאינו שלו. וקנסו את התבואה מדרבנן. ועוד הביא השיטמ"ק שם בשם ר' שמשון באופן אחר קצת.</w:t>
      </w:r>
    </w:p>
  </w:footnote>
  <w:footnote w:id="5079">
    <w:p w14:paraId="2B57FCB2" w14:textId="77777777" w:rsidR="00F64AED" w:rsidRDefault="00F64AED" w:rsidP="00F64AED">
      <w:pPr>
        <w:pStyle w:val="Footnote"/>
        <w:bidi/>
      </w:pPr>
      <w:r>
        <w:rPr>
          <w:rStyle w:val="ac"/>
          <w:rtl/>
        </w:rPr>
        <w:footnoteRef/>
      </w:r>
      <w:r>
        <w:rPr>
          <w:rtl/>
        </w:rPr>
        <w:t>ובאיסור דרבנן לא שייך ק"ו, ואף דהאוסר אינו נאסר, התבואה אסורה.</w:t>
      </w:r>
    </w:p>
  </w:footnote>
  <w:footnote w:id="5080">
    <w:p w14:paraId="69860EE8" w14:textId="77777777" w:rsidR="00F64AED" w:rsidRDefault="00F64AED" w:rsidP="00F64AED">
      <w:pPr>
        <w:pStyle w:val="Footnote"/>
        <w:bidi/>
      </w:pPr>
      <w:r>
        <w:rPr>
          <w:rStyle w:val="ac"/>
          <w:rtl/>
        </w:rPr>
        <w:footnoteRef/>
      </w:r>
      <w:r>
        <w:rPr>
          <w:rtl/>
        </w:rPr>
        <w:t>והוכיח כן מהגמ' (מכות כא:) דלוקה על כלאים בשביעית [לר”ע], ואף דאיתא במשנה (כלאים ז ד) דלר' עקיבא זורע כלאים בשביעית לא נתקדש, דנחשב שאינו שלו.</w:t>
      </w:r>
    </w:p>
    <w:p w14:paraId="56F6B6BE" w14:textId="77777777" w:rsidR="00F64AED" w:rsidRDefault="00F64AED" w:rsidP="00F64AED">
      <w:pPr>
        <w:pStyle w:val="Footnote"/>
        <w:bidi/>
      </w:pPr>
      <w:r>
        <w:rPr>
          <w:rtl/>
        </w:rPr>
        <w:tab/>
        <w:t>ועוד הביא ממתני' (כלאים ד ז) דשלו ושל חבירו מצטרפין לה' גפנים להיות כרם. והק' לשיטת תוס' כיון דאין כלאים למה יצטרפו. והביא מהירושלמי (הו' בר"ש) דקאי אפי' למ"ד אין אדם אוסר דבר שאינו שלו, ודן דע"כ לתוס' איירי דוקא למ”ד אדם אוסר. [</w:t>
      </w:r>
      <w:r>
        <w:rPr>
          <w:b/>
          <w:bCs/>
          <w:rtl/>
        </w:rPr>
        <w:t>ובנו</w:t>
      </w:r>
      <w:r>
        <w:rPr>
          <w:rtl/>
        </w:rPr>
        <w:t xml:space="preserve"> (בסוגריים) דחה דשמא לענין צירוף לעשות שם כרם שאני].</w:t>
      </w:r>
    </w:p>
  </w:footnote>
  <w:footnote w:id="5081">
    <w:p w14:paraId="51CD7668" w14:textId="77777777" w:rsidR="00F64AED" w:rsidRDefault="00F64AED" w:rsidP="00F64AED">
      <w:pPr>
        <w:pStyle w:val="Footnote"/>
        <w:bidi/>
      </w:pPr>
      <w:r>
        <w:rPr>
          <w:rStyle w:val="ac"/>
          <w:rtl/>
        </w:rPr>
        <w:footnoteRef/>
      </w:r>
      <w:r>
        <w:rPr>
          <w:rtl/>
        </w:rPr>
        <w:t>והקשה מכאן לדברי ה</w:t>
      </w:r>
      <w:r>
        <w:rPr>
          <w:b/>
          <w:bCs/>
          <w:rtl/>
        </w:rPr>
        <w:t xml:space="preserve">אחרונים </w:t>
      </w:r>
      <w:r>
        <w:rPr>
          <w:rtl/>
        </w:rPr>
        <w:t>דבמקום אין איסור חל על איסור, דאיסורא מיהא איכא. וע' מש"כ בזה לעיל לב:.</w:t>
      </w:r>
    </w:p>
  </w:footnote>
  <w:footnote w:id="5082">
    <w:p w14:paraId="52445663" w14:textId="77777777" w:rsidR="00F64AED" w:rsidRDefault="00F64AED" w:rsidP="00F64AED">
      <w:pPr>
        <w:pStyle w:val="Footnote"/>
        <w:bidi/>
      </w:pPr>
      <w:r>
        <w:rPr>
          <w:rStyle w:val="ac"/>
          <w:rtl/>
        </w:rPr>
        <w:footnoteRef/>
      </w:r>
      <w:r>
        <w:rPr>
          <w:rtl/>
        </w:rPr>
        <w:t xml:space="preserve">ויל"ד דכוונת התוס' דאמרי' חנ"ן, ואף ההיתר מצטרף לשיעור האיסור. וכולו נהפך לאיסור.  </w:t>
      </w:r>
    </w:p>
  </w:footnote>
  <w:footnote w:id="5083">
    <w:p w14:paraId="22B2EF4E" w14:textId="77777777" w:rsidR="00F64AED" w:rsidRDefault="00F64AED" w:rsidP="00F64AED">
      <w:pPr>
        <w:pStyle w:val="Footnote"/>
        <w:bidi/>
      </w:pPr>
      <w:r>
        <w:rPr>
          <w:rStyle w:val="ac"/>
          <w:rtl/>
        </w:rPr>
        <w:footnoteRef/>
      </w:r>
      <w:r>
        <w:rPr>
          <w:rtl/>
        </w:rPr>
        <w:t xml:space="preserve">אבל </w:t>
      </w:r>
      <w:r>
        <w:rPr>
          <w:b/>
          <w:bCs/>
          <w:rtl/>
        </w:rPr>
        <w:t>תוס</w:t>
      </w:r>
      <w:r>
        <w:rPr>
          <w:rtl/>
        </w:rPr>
        <w:t>' (ב”מ ל.) בחד תי' העמידו בשותף.</w:t>
      </w:r>
    </w:p>
  </w:footnote>
  <w:footnote w:id="5084">
    <w:p w14:paraId="459346EC" w14:textId="77777777" w:rsidR="00F64AED" w:rsidRDefault="00F64AED" w:rsidP="00F64AED">
      <w:pPr>
        <w:pStyle w:val="Footnote"/>
        <w:bidi/>
      </w:pPr>
      <w:r>
        <w:rPr>
          <w:rStyle w:val="ac"/>
          <w:rtl/>
        </w:rPr>
        <w:footnoteRef/>
      </w:r>
      <w:r>
        <w:rPr>
          <w:rtl/>
        </w:rPr>
        <w:t>[וכן הביא מס' האשכול מהד' נחל אשכול]. ונקט דלדעת ה</w:t>
      </w:r>
      <w:r>
        <w:rPr>
          <w:b/>
          <w:bCs/>
          <w:rtl/>
        </w:rPr>
        <w:t>ר"ש</w:t>
      </w:r>
      <w:r>
        <w:rPr>
          <w:rtl/>
        </w:rPr>
        <w:t xml:space="preserve"> דהמח' כאן בגזיה"כ ד'כרמך' לא שייך להתם, דהתם ליכא קרא.</w:t>
      </w:r>
    </w:p>
  </w:footnote>
  <w:footnote w:id="5085">
    <w:p w14:paraId="3E149F6E" w14:textId="77777777" w:rsidR="00F64AED" w:rsidRDefault="00F64AED" w:rsidP="00F64AED">
      <w:pPr>
        <w:pStyle w:val="Footnote"/>
        <w:bidi/>
      </w:pPr>
      <w:r>
        <w:rPr>
          <w:rStyle w:val="ac"/>
          <w:rtl/>
        </w:rPr>
        <w:footnoteRef/>
      </w:r>
      <w:r>
        <w:rPr>
          <w:rtl/>
        </w:rPr>
        <w:t>וה</w:t>
      </w:r>
      <w:r>
        <w:rPr>
          <w:b/>
          <w:bCs/>
          <w:rtl/>
        </w:rPr>
        <w:t>אחרונים</w:t>
      </w:r>
      <w:r>
        <w:rPr>
          <w:rtl/>
        </w:rPr>
        <w:t xml:space="preserve"> הקשו דסריס חמה יש לו רפואה, א"כ יתכן דאח"כ נתרפא.</w:t>
      </w:r>
    </w:p>
  </w:footnote>
  <w:footnote w:id="5086">
    <w:p w14:paraId="383514AE" w14:textId="77777777" w:rsidR="00F64AED" w:rsidRDefault="00F64AED" w:rsidP="00F64AED">
      <w:pPr>
        <w:pStyle w:val="Footnote"/>
        <w:bidi/>
      </w:pPr>
      <w:r>
        <w:rPr>
          <w:rStyle w:val="ac"/>
          <w:rtl/>
        </w:rPr>
        <w:footnoteRef/>
      </w:r>
      <w:r>
        <w:rPr>
          <w:rtl/>
        </w:rPr>
        <w:t xml:space="preserve">וצ"ב היכן היה לו שעת הכושר. הרי בשעה שהוא טומטום ג"כ אינו ראוי להוליד. וי"ל דמ"מ הסריסות של אח"כ לא היתה משעת לידה, ולא בעי שעת הכושר בפועל. וכעי”ז בנסתרס כשהוא קטן, ע' </w:t>
      </w:r>
      <w:r>
        <w:rPr>
          <w:b/>
          <w:bCs/>
          <w:rtl/>
        </w:rPr>
        <w:t>קר”א</w:t>
      </w:r>
      <w:r>
        <w:rPr>
          <w:rtl/>
        </w:rPr>
        <w:t xml:space="preserve"> (עט:). [ולמש"כ ה</w:t>
      </w:r>
      <w:r>
        <w:rPr>
          <w:b/>
          <w:bCs/>
          <w:rtl/>
        </w:rPr>
        <w:t>ב"ח</w:t>
      </w:r>
      <w:r>
        <w:rPr>
          <w:rtl/>
        </w:rPr>
        <w:t xml:space="preserve"> (הו' פב:) דהיכא דאינו סריס משעת לידה זוקק ליבום, אף דלא היה לו שעת הכושר ניחא].</w:t>
      </w:r>
    </w:p>
  </w:footnote>
  <w:footnote w:id="5087">
    <w:p w14:paraId="67672941" w14:textId="77777777" w:rsidR="00F64AED" w:rsidRDefault="00F64AED" w:rsidP="00F64AED">
      <w:pPr>
        <w:pStyle w:val="Footnote"/>
        <w:bidi/>
      </w:pPr>
      <w:r>
        <w:rPr>
          <w:rStyle w:val="ac"/>
          <w:rtl/>
        </w:rPr>
        <w:footnoteRef/>
      </w:r>
      <w:r>
        <w:rPr>
          <w:rtl/>
        </w:rPr>
        <w:t>ומבואר ד</w:t>
      </w:r>
      <w:r>
        <w:rPr>
          <w:b/>
          <w:bCs/>
          <w:rtl/>
        </w:rPr>
        <w:t>רע"א</w:t>
      </w:r>
      <w:r>
        <w:rPr>
          <w:rtl/>
        </w:rPr>
        <w:t xml:space="preserve"> נקט דהוה באיסור פצוע דכא, כיון דנעשית ע"י מעשה הקריעה [ואף דלא פגע באברים]. וצ"ע.</w:t>
      </w:r>
    </w:p>
  </w:footnote>
  <w:footnote w:id="5088">
    <w:p w14:paraId="7BA69ED7" w14:textId="77777777" w:rsidR="00F64AED" w:rsidRDefault="00F64AED" w:rsidP="00F64AED">
      <w:pPr>
        <w:pStyle w:val="Footnote"/>
        <w:bidi/>
      </w:pPr>
      <w:r>
        <w:rPr>
          <w:rStyle w:val="ac"/>
          <w:rtl/>
        </w:rPr>
        <w:footnoteRef/>
      </w:r>
      <w:r>
        <w:rPr>
          <w:rtl/>
        </w:rPr>
        <w:t>ואף דבעלמא אין חיישינן למיעוטא, כיון דאישתני יצא מהרוב. [ולא ידעינן באלו שיש להם שינוי זה, האם יש להם שינוי נוסף].</w:t>
      </w:r>
    </w:p>
  </w:footnote>
  <w:footnote w:id="5089">
    <w:p w14:paraId="4228A474" w14:textId="77777777" w:rsidR="00F64AED" w:rsidRDefault="00F64AED" w:rsidP="00F64AED">
      <w:pPr>
        <w:pStyle w:val="Footnote"/>
        <w:bidi/>
      </w:pPr>
      <w:r>
        <w:rPr>
          <w:rStyle w:val="ac"/>
          <w:rtl/>
        </w:rPr>
        <w:footnoteRef/>
      </w:r>
      <w:r>
        <w:rPr>
          <w:rtl/>
        </w:rPr>
        <w:t>ועוד תי' התוס' דכוונת הגמ' דהך תנא סבר כר"א בדין שרץ ונעלם, דבעי שידע במה נטמא. ולא ס"ל כוותיה בדין אנדרוגינוס.</w:t>
      </w:r>
    </w:p>
  </w:footnote>
  <w:footnote w:id="5090">
    <w:p w14:paraId="2C39C3D8" w14:textId="77777777" w:rsidR="00F64AED" w:rsidRDefault="00F64AED" w:rsidP="00F64AED">
      <w:pPr>
        <w:pStyle w:val="Footnote"/>
        <w:bidi/>
      </w:pPr>
      <w:r>
        <w:rPr>
          <w:rStyle w:val="ac"/>
          <w:rtl/>
        </w:rPr>
        <w:footnoteRef/>
      </w:r>
      <w:r>
        <w:rPr>
          <w:rtl/>
        </w:rPr>
        <w:t>דהא ליכא מיעוט התם שלא יטמא. [ע' ערול"נ שם].</w:t>
      </w:r>
    </w:p>
  </w:footnote>
  <w:footnote w:id="5091">
    <w:p w14:paraId="3F1AF6CE" w14:textId="77777777" w:rsidR="00F64AED" w:rsidRDefault="00F64AED" w:rsidP="00F64AED">
      <w:pPr>
        <w:pStyle w:val="Footnote"/>
        <w:bidi/>
      </w:pPr>
      <w:r>
        <w:rPr>
          <w:rStyle w:val="ac"/>
          <w:rtl/>
        </w:rPr>
        <w:footnoteRef/>
      </w:r>
      <w:r>
        <w:rPr>
          <w:rtl/>
          <w:lang w:val="he-IL"/>
        </w:rPr>
        <w:t xml:space="preserve">וכת' דבקרבנות נאמר זכר תמים ונקבה תמימה עד שיהיה זכר ודאי או נקבה ודאית. </w:t>
      </w:r>
      <w:r>
        <w:rPr>
          <w:rtl/>
        </w:rPr>
        <w:t>וה</w:t>
      </w:r>
      <w:r>
        <w:rPr>
          <w:b/>
          <w:bCs/>
          <w:rtl/>
        </w:rPr>
        <w:t>אחרונים</w:t>
      </w:r>
      <w:r>
        <w:rPr>
          <w:rtl/>
        </w:rPr>
        <w:t xml:space="preserve"> דייקו מדברי הרמב"ם דע"י הספק הוה בריה בפנ"ע. [אך גדר בריה זו הוה מחמת הספק זכר ספק נקיבה, ולא שמצד עצמו הוה מין בפנ"ע].</w:t>
      </w:r>
    </w:p>
    <w:p w14:paraId="087B25AA" w14:textId="77777777" w:rsidR="00F64AED" w:rsidRDefault="00F64AED" w:rsidP="00F64AED">
      <w:pPr>
        <w:pStyle w:val="Footnote"/>
        <w:bidi/>
      </w:pPr>
      <w:r>
        <w:rPr>
          <w:rtl/>
        </w:rPr>
        <w:tab/>
        <w:t>וה</w:t>
      </w:r>
      <w:r>
        <w:rPr>
          <w:b/>
          <w:bCs/>
          <w:rtl/>
        </w:rPr>
        <w:t>רמב"ם</w:t>
      </w:r>
      <w:r>
        <w:rPr>
          <w:rtl/>
        </w:rPr>
        <w:t xml:space="preserve"> (שם) כת' דאף עוף טומטום ואנדרוגינוס נתמעט, ואף דבעופות כשר בין זכר ובין נקיבה. [ונקט דת"ק פליגי אר"א].</w:t>
      </w:r>
    </w:p>
  </w:footnote>
  <w:footnote w:id="5092">
    <w:p w14:paraId="7760A2A7" w14:textId="77777777" w:rsidR="00F64AED" w:rsidRDefault="00F64AED" w:rsidP="00F64AED">
      <w:pPr>
        <w:pStyle w:val="Footnote"/>
        <w:bidi/>
      </w:pPr>
      <w:r>
        <w:rPr>
          <w:rStyle w:val="ac"/>
          <w:rtl/>
        </w:rPr>
        <w:footnoteRef/>
      </w:r>
      <w:r>
        <w:rPr>
          <w:rtl/>
        </w:rPr>
        <w:t>ויל"ד אי דמי לקדשים שמתו, דדנו שיפקע הקדושה.</w:t>
      </w:r>
    </w:p>
  </w:footnote>
  <w:footnote w:id="5093">
    <w:p w14:paraId="6F0D60F6" w14:textId="77777777" w:rsidR="006C4368" w:rsidRDefault="006C4368" w:rsidP="006C4368">
      <w:pPr>
        <w:pStyle w:val="Footnote"/>
        <w:bidi/>
      </w:pPr>
      <w:r>
        <w:rPr>
          <w:rStyle w:val="ac"/>
          <w:rtl/>
        </w:rPr>
        <w:footnoteRef/>
      </w:r>
      <w:r>
        <w:rPr>
          <w:rtl/>
        </w:rPr>
        <w:t>וה</w:t>
      </w:r>
      <w:r>
        <w:rPr>
          <w:b/>
          <w:bCs/>
          <w:rtl/>
        </w:rPr>
        <w:t>ראשונים</w:t>
      </w:r>
      <w:r>
        <w:rPr>
          <w:rtl/>
        </w:rPr>
        <w:t xml:space="preserve"> הק' א"כ אמאי הקדים אסורות לאלו ואלו [ולא נקט כסדר קמא]. וה</w:t>
      </w:r>
      <w:r>
        <w:rPr>
          <w:b/>
          <w:bCs/>
          <w:rtl/>
        </w:rPr>
        <w:t>ריטב"א</w:t>
      </w:r>
      <w:r>
        <w:rPr>
          <w:rtl/>
        </w:rPr>
        <w:t xml:space="preserve"> תי' דלא פירש מידי אמותרות לאלו ואלו, אלא כללו שאר כל הנשים, ומש”ה נקט בסוף.</w:t>
      </w:r>
    </w:p>
  </w:footnote>
  <w:footnote w:id="5094">
    <w:p w14:paraId="6F4DA571" w14:textId="77777777" w:rsidR="006C4368" w:rsidRDefault="006C4368" w:rsidP="006C4368">
      <w:pPr>
        <w:pStyle w:val="Footnote"/>
        <w:bidi/>
      </w:pPr>
      <w:r>
        <w:rPr>
          <w:rStyle w:val="ac"/>
          <w:rtl/>
        </w:rPr>
        <w:footnoteRef/>
      </w:r>
      <w:r>
        <w:rPr>
          <w:rtl/>
        </w:rPr>
        <w:t>ולתי' הראשון משום דאוושו ליה מפרש מה דפתח ברישא.</w:t>
      </w:r>
    </w:p>
  </w:footnote>
  <w:footnote w:id="5095">
    <w:p w14:paraId="10D0C56F" w14:textId="77777777" w:rsidR="006C4368" w:rsidRDefault="006C4368" w:rsidP="006C4368">
      <w:pPr>
        <w:pStyle w:val="Footnote"/>
        <w:bidi/>
      </w:pPr>
      <w:r>
        <w:rPr>
          <w:rStyle w:val="ac"/>
          <w:rtl/>
        </w:rPr>
        <w:footnoteRef/>
      </w:r>
      <w:r>
        <w:rPr>
          <w:rtl/>
        </w:rPr>
        <w:t>כ"ה ב</w:t>
      </w:r>
      <w:r>
        <w:rPr>
          <w:b/>
          <w:bCs/>
          <w:rtl/>
        </w:rPr>
        <w:t>פיה"מ</w:t>
      </w:r>
      <w:r>
        <w:rPr>
          <w:rtl/>
        </w:rPr>
        <w:t xml:space="preserve"> (מהד' הישנה) דמשמע במשנה דכהנת כשירה אסורה לחלל. והרשב"א תמה אמאי נקט גירסת הירושלמי, הא אנן סמכינן אתלמוד ערוך שבידינו.</w:t>
      </w:r>
    </w:p>
    <w:p w14:paraId="3432DDA9" w14:textId="77777777" w:rsidR="006C4368" w:rsidRDefault="006C4368" w:rsidP="006C4368">
      <w:pPr>
        <w:pStyle w:val="Footnote"/>
        <w:bidi/>
      </w:pPr>
      <w:r>
        <w:rPr>
          <w:rtl/>
        </w:rPr>
        <w:tab/>
        <w:t>אבל ב</w:t>
      </w:r>
      <w:r>
        <w:rPr>
          <w:b/>
          <w:bCs/>
          <w:rtl/>
        </w:rPr>
        <w:t>מהד' בתרא לפיה"מ</w:t>
      </w:r>
      <w:r>
        <w:rPr>
          <w:rtl/>
        </w:rPr>
        <w:t xml:space="preserve"> (התרגומים החדשים) כת' [להיפך] דמשמע במשנה דכהנת כשירה מותרת לינשא לחלל. וזה דבר נכון, לפי שכלל הוא אצלינו לא הוזהרו כשרות להנשא לפסולים.</w:t>
      </w:r>
    </w:p>
  </w:footnote>
  <w:footnote w:id="5096">
    <w:p w14:paraId="1E6E67ED" w14:textId="77777777" w:rsidR="006C4368" w:rsidRDefault="006C4368" w:rsidP="006C4368">
      <w:pPr>
        <w:pStyle w:val="Footnote"/>
        <w:bidi/>
      </w:pPr>
      <w:r>
        <w:rPr>
          <w:rStyle w:val="ac"/>
          <w:rtl/>
        </w:rPr>
        <w:footnoteRef/>
      </w:r>
      <w:r>
        <w:rPr>
          <w:rtl/>
        </w:rPr>
        <w:t>ויש שהביאו מדברי רש”י דגדר 'איש זר' הוה פסול חללות. אך צ”ע דתלי חלל בדין איש זר, ואדרבה הו"ל לתלות איש זר ב'ולא יחלל'.</w:t>
      </w:r>
    </w:p>
  </w:footnote>
  <w:footnote w:id="5097">
    <w:p w14:paraId="0C95A62C" w14:textId="77777777" w:rsidR="006C4368" w:rsidRDefault="006C4368" w:rsidP="006C4368">
      <w:pPr>
        <w:pStyle w:val="Footnote"/>
        <w:bidi/>
      </w:pPr>
      <w:r>
        <w:rPr>
          <w:rStyle w:val="ac"/>
          <w:rtl/>
        </w:rPr>
        <w:footnoteRef/>
      </w:r>
      <w:r>
        <w:rPr>
          <w:rtl/>
        </w:rPr>
        <w:t xml:space="preserve">וכדעת </w:t>
      </w:r>
      <w:r>
        <w:rPr>
          <w:b/>
          <w:bCs/>
          <w:rtl/>
        </w:rPr>
        <w:t>תוס'</w:t>
      </w:r>
      <w:r>
        <w:rPr>
          <w:rtl/>
        </w:rPr>
        <w:t xml:space="preserve"> (לעיל לה. ומד:) דאף איסור לכהונה ילפי' מקרא ד'כי תהיה לאיש זר וכו' לא תאכל', דהוה גילוי מילתא דהוה בכלל אכילה. אך דעת </w:t>
      </w:r>
      <w:r>
        <w:rPr>
          <w:b/>
          <w:bCs/>
          <w:rtl/>
        </w:rPr>
        <w:t>רש"י</w:t>
      </w:r>
      <w:r>
        <w:rPr>
          <w:rtl/>
        </w:rPr>
        <w:t xml:space="preserve"> (לעיל סא.) דהוה זונה. ולכאו' כוונתו דכוונת הגמ' (לעיל סח:) דהוה גילוי מילתא, דגלי קרא דהוה בכלל זונה.</w:t>
      </w:r>
    </w:p>
  </w:footnote>
  <w:footnote w:id="5098">
    <w:p w14:paraId="6414ACDD" w14:textId="77777777" w:rsidR="006C4368" w:rsidRDefault="006C4368" w:rsidP="006C4368">
      <w:pPr>
        <w:pStyle w:val="Footnote"/>
        <w:bidi/>
      </w:pPr>
      <w:r>
        <w:rPr>
          <w:rStyle w:val="ac"/>
          <w:rtl/>
        </w:rPr>
        <w:footnoteRef/>
      </w:r>
      <w:r>
        <w:rPr>
          <w:rtl/>
        </w:rPr>
        <w:t>[וע"ד דעת הראב"ד ע"פ ה"ה, ע' בסמוך]. אך לכאו' הוה להיפך, ד'איש זר' קאי לענין איסור אכילה. ואילו לא יחלל ילפי' דהוה גדר חללות, והוה בכלל חללה לא יקח.</w:t>
      </w:r>
    </w:p>
  </w:footnote>
  <w:footnote w:id="5099">
    <w:p w14:paraId="0838940C" w14:textId="77777777" w:rsidR="006C4368" w:rsidRDefault="006C4368" w:rsidP="006C4368">
      <w:pPr>
        <w:pStyle w:val="Footnote"/>
        <w:bidi/>
      </w:pPr>
      <w:r>
        <w:rPr>
          <w:rStyle w:val="ac"/>
          <w:rtl/>
        </w:rPr>
        <w:footnoteRef/>
      </w:r>
      <w:r>
        <w:rPr>
          <w:rtl/>
        </w:rPr>
        <w:t>דאין היקש למחצה. ועוד דהברייתא (לעיל סח.) קאי ליפסל לכהונה. ועוד דיש ללמוד ק"ו מגרושה, דכיון דפוסל בתרומה יפסול לכהונה.</w:t>
      </w:r>
    </w:p>
  </w:footnote>
  <w:footnote w:id="5100">
    <w:p w14:paraId="7D944A33" w14:textId="77777777" w:rsidR="006C4368" w:rsidRDefault="006C4368" w:rsidP="006C4368">
      <w:pPr>
        <w:pStyle w:val="Footnote"/>
        <w:bidi/>
      </w:pPr>
      <w:r>
        <w:rPr>
          <w:rStyle w:val="ac"/>
          <w:rtl/>
        </w:rPr>
        <w:footnoteRef/>
      </w:r>
      <w:r>
        <w:rPr>
          <w:rtl/>
        </w:rPr>
        <w:t>ובגמ' (לעיל יג:, יומא יג.) דרשי' חוצה לרבות את הארוסה.</w:t>
      </w:r>
    </w:p>
  </w:footnote>
  <w:footnote w:id="5101">
    <w:p w14:paraId="3CEF8F6C" w14:textId="77777777" w:rsidR="006C4368" w:rsidRDefault="006C4368" w:rsidP="006C4368">
      <w:pPr>
        <w:pStyle w:val="Footnote"/>
        <w:bidi/>
      </w:pPr>
      <w:r>
        <w:rPr>
          <w:rStyle w:val="ac"/>
          <w:rtl/>
        </w:rPr>
        <w:footnoteRef/>
      </w:r>
      <w:r>
        <w:rPr>
          <w:rtl/>
        </w:rPr>
        <w:t>וכן בגמ' דידן (עירובין כז. וכ"מ) א"ר יוחנן אין למידין מן הכללות, ואפי' במקום שנאמר בו חוץ.</w:t>
      </w:r>
    </w:p>
  </w:footnote>
  <w:footnote w:id="5102">
    <w:p w14:paraId="4D5DF6AE" w14:textId="77777777" w:rsidR="006C4368" w:rsidRDefault="006C4368" w:rsidP="006C4368">
      <w:pPr>
        <w:pStyle w:val="Footnote"/>
        <w:bidi/>
      </w:pPr>
      <w:r>
        <w:rPr>
          <w:rStyle w:val="ac"/>
          <w:rtl/>
        </w:rPr>
        <w:footnoteRef/>
      </w:r>
      <w:r>
        <w:rPr>
          <w:rtl/>
        </w:rPr>
        <w:t>וע"ע רשב"א (נדרים מז:).</w:t>
      </w:r>
    </w:p>
  </w:footnote>
  <w:footnote w:id="5103">
    <w:p w14:paraId="28CD3FE3" w14:textId="77777777" w:rsidR="006C4368" w:rsidRDefault="006C4368" w:rsidP="006C4368">
      <w:pPr>
        <w:pStyle w:val="Footnote"/>
        <w:bidi/>
      </w:pPr>
      <w:r>
        <w:rPr>
          <w:rStyle w:val="ac"/>
          <w:rtl/>
        </w:rPr>
        <w:footnoteRef/>
      </w:r>
      <w:r>
        <w:rPr>
          <w:rtl/>
        </w:rPr>
        <w:t>ואף שע"פ דין הבעל אינו מתחייב לפרוע, דהוה מבריח ארי והניח מעותיו על קרן הצבי. וכמ"ש רש"י דהבעל לא ביקש ממנו לפרוע.</w:t>
      </w:r>
    </w:p>
  </w:footnote>
  <w:footnote w:id="5104">
    <w:p w14:paraId="6518B6AA" w14:textId="77777777" w:rsidR="006C4368" w:rsidRDefault="006C4368" w:rsidP="006C4368">
      <w:pPr>
        <w:pStyle w:val="Footnote"/>
        <w:bidi/>
      </w:pPr>
      <w:r>
        <w:rPr>
          <w:rStyle w:val="ac"/>
          <w:rtl/>
        </w:rPr>
        <w:footnoteRef/>
      </w:r>
      <w:r>
        <w:rPr>
          <w:rtl/>
        </w:rPr>
        <w:t>דחש"ו ואשה ועבד פגיעתן רעה. [אך כל זה באשה כשירה, אבל שניות אין לבעל זכות לאכול פירות משלה, א"כ לכאורה לא הוה נכסי מלוג כלל. והבע"ח יגבה מהקרקע שלה].</w:t>
      </w:r>
    </w:p>
  </w:footnote>
  <w:footnote w:id="5105">
    <w:p w14:paraId="00247160" w14:textId="77777777" w:rsidR="006C4368" w:rsidRDefault="006C4368" w:rsidP="006C4368">
      <w:pPr>
        <w:pStyle w:val="Footnote"/>
        <w:bidi/>
      </w:pPr>
      <w:r>
        <w:rPr>
          <w:rStyle w:val="ac"/>
          <w:rtl/>
        </w:rPr>
        <w:footnoteRef/>
      </w:r>
      <w:r>
        <w:rPr>
          <w:rtl/>
        </w:rPr>
        <w:t>ומשמע דאיירי דוקא בסתמא, וכשיטת הרשב"א. אבל היכא דהלווה להדיא לאשה ודאי דגובה ממנה. [ולפ"ז פשיטא דרש"י לשיטתו לא ס"ל כן].</w:t>
      </w:r>
    </w:p>
  </w:footnote>
  <w:footnote w:id="5106">
    <w:p w14:paraId="111E2CA5" w14:textId="77777777" w:rsidR="006C4368" w:rsidRDefault="006C4368" w:rsidP="006C4368">
      <w:pPr>
        <w:pStyle w:val="Footnote"/>
        <w:bidi/>
      </w:pPr>
      <w:r>
        <w:rPr>
          <w:rStyle w:val="ac"/>
          <w:rtl/>
        </w:rPr>
        <w:footnoteRef/>
      </w:r>
      <w:r>
        <w:rPr>
          <w:rtl/>
        </w:rPr>
        <w:t>וכת' דלמדנו מדברי רש"י דאין לבעל חוב על הבעל תביעה, ואין האשה כשלוחו של בעל בענין זה כיון שהוא לא אמר לו.</w:t>
      </w:r>
    </w:p>
  </w:footnote>
  <w:footnote w:id="5107">
    <w:p w14:paraId="4DA37555" w14:textId="77777777" w:rsidR="006C4368" w:rsidRDefault="006C4368" w:rsidP="006C4368">
      <w:pPr>
        <w:pStyle w:val="Footnote"/>
        <w:bidi/>
      </w:pPr>
      <w:r>
        <w:rPr>
          <w:rStyle w:val="ac"/>
          <w:rtl/>
        </w:rPr>
        <w:footnoteRef/>
      </w:r>
      <w:r>
        <w:rPr>
          <w:rtl/>
        </w:rPr>
        <w:t>דאיסור שניות נחשב איסור קל מדרבנן, ולא גזרו שיהא כעין עריות דאורייתא.</w:t>
      </w:r>
    </w:p>
  </w:footnote>
  <w:footnote w:id="5108">
    <w:p w14:paraId="12D9195A" w14:textId="77777777" w:rsidR="006C4368" w:rsidRDefault="006C4368" w:rsidP="006C4368">
      <w:pPr>
        <w:pStyle w:val="Footnote"/>
        <w:bidi/>
      </w:pPr>
      <w:r>
        <w:rPr>
          <w:rStyle w:val="ac"/>
          <w:rtl/>
        </w:rPr>
        <w:footnoteRef/>
      </w:r>
      <w:r>
        <w:rPr>
          <w:rtl/>
        </w:rPr>
        <w:t>ומדאורייתא מתייבמת משום עשה דוחה ל”ת בביאה ראשונה. ואם בעלו קנו.</w:t>
      </w:r>
    </w:p>
  </w:footnote>
  <w:footnote w:id="5109">
    <w:p w14:paraId="2DAE44B9" w14:textId="77777777" w:rsidR="006C4368" w:rsidRDefault="006C4368" w:rsidP="006C4368">
      <w:pPr>
        <w:pStyle w:val="Footnote"/>
        <w:bidi/>
      </w:pPr>
      <w:r>
        <w:rPr>
          <w:rStyle w:val="ac"/>
          <w:rtl/>
        </w:rPr>
        <w:footnoteRef/>
      </w:r>
      <w:r>
        <w:rPr>
          <w:rtl/>
        </w:rPr>
        <w:t>ומש"ה דרשי' אטומאת כהנים [וכדאי' בגמ' ב”מ שם דהיה כהן והאבידה בבית הקברות הוה עשה ול”ת, דיש עשה דקדושים יהיו].</w:t>
      </w:r>
    </w:p>
  </w:footnote>
  <w:footnote w:id="5110">
    <w:p w14:paraId="118F3B6F" w14:textId="77777777" w:rsidR="006C4368" w:rsidRDefault="006C4368" w:rsidP="006C4368">
      <w:pPr>
        <w:pStyle w:val="Footnote"/>
        <w:bidi/>
      </w:pPr>
      <w:r>
        <w:rPr>
          <w:rStyle w:val="ac"/>
          <w:rtl/>
        </w:rPr>
        <w:footnoteRef/>
      </w:r>
      <w:r>
        <w:rPr>
          <w:rtl/>
        </w:rPr>
        <w:t>ומדאורייתא עשה דוחה ל"ת, ואם בעלו קנו. [ואילו לתוס' אם בעלו ל"ק]. וה</w:t>
      </w:r>
      <w:r>
        <w:rPr>
          <w:b/>
          <w:bCs/>
          <w:rtl/>
        </w:rPr>
        <w:t>רש"ש</w:t>
      </w:r>
      <w:r>
        <w:rPr>
          <w:rtl/>
        </w:rPr>
        <w:t xml:space="preserve"> (לעיל כ.) הק' דהפוסקים השמיטו מח' רש"י ותוס'.</w:t>
      </w:r>
    </w:p>
  </w:footnote>
  <w:footnote w:id="5111">
    <w:p w14:paraId="3EE7DD14" w14:textId="77777777" w:rsidR="006C4368" w:rsidRDefault="006C4368" w:rsidP="006C4368">
      <w:pPr>
        <w:pStyle w:val="Footnote"/>
        <w:bidi/>
      </w:pPr>
      <w:r>
        <w:rPr>
          <w:rStyle w:val="ac"/>
          <w:rtl/>
        </w:rPr>
        <w:footnoteRef/>
      </w:r>
      <w:r>
        <w:rPr>
          <w:rtl/>
        </w:rPr>
        <w:t>וכ"כ ה</w:t>
      </w:r>
      <w:r>
        <w:rPr>
          <w:b/>
          <w:bCs/>
          <w:rtl/>
        </w:rPr>
        <w:t>רשב"א</w:t>
      </w:r>
      <w:r>
        <w:rPr>
          <w:rtl/>
        </w:rPr>
        <w:t xml:space="preserve"> דאליבא דאמת אין צד שיהא מותר [בחלל שנשא כשירה], דהא נבעלה לפסול לה וכל שנבעלה לפסול לה פסלה ואפי' מתרומה דבי נשא. אלא אורחא דמלתא קא מקשה, כלומר וכי תימא קסבר האי תנא דנשואין הראשונים מפילין ואפי' בכה"ג.</w:t>
      </w:r>
    </w:p>
  </w:footnote>
  <w:footnote w:id="5112">
    <w:p w14:paraId="6019143E" w14:textId="77777777" w:rsidR="006C4368" w:rsidRDefault="006C4368" w:rsidP="006C4368">
      <w:pPr>
        <w:pStyle w:val="Footnote"/>
        <w:bidi/>
      </w:pPr>
      <w:r>
        <w:rPr>
          <w:rStyle w:val="ac"/>
          <w:rtl/>
        </w:rPr>
        <w:footnoteRef/>
      </w:r>
      <w:r>
        <w:rPr>
          <w:rtl/>
        </w:rPr>
        <w:t>אך כ"ז בכהן הדיוט שנשא בתולה, דלאחיו הכהן גדול הוה כאילו נתמנה לאחר שנזקקה לו. אבל היכא דנתחלל אח"כ ל"מ סברא זו. א"כ מה מק' הגמ' דבחלל שנשא כשירה חזינן דל"מ נישואין מפילין לקולא.</w:t>
      </w:r>
    </w:p>
    <w:p w14:paraId="3D2A6F68" w14:textId="77777777" w:rsidR="006C4368" w:rsidRDefault="006C4368" w:rsidP="006C4368">
      <w:pPr>
        <w:pStyle w:val="Footnote"/>
        <w:bidi/>
      </w:pPr>
      <w:r>
        <w:rPr>
          <w:rtl/>
        </w:rPr>
        <w:tab/>
        <w:t>ואפשר דבכל איסורי כהונה היכא דנשאה בהיתר מהני [וכמ"ש תוס' לעיל כ:]. [ודוקא בקידש לחוד יש חילוק בין נשתנה הגוף]. אך צ"ע מהא דנעשית סוטה תחתיו נאסרת עליו, וכן אשת כהן שנאנסה דאסורה עליו משום זונה וסוטה וטומאה (כדלעיל נו:). וי"ל דשאני התם דגלי קרא דאסורה עליו.</w:t>
      </w:r>
    </w:p>
  </w:footnote>
  <w:footnote w:id="5113">
    <w:p w14:paraId="2000BD4D" w14:textId="77777777" w:rsidR="006C4368" w:rsidRDefault="006C4368" w:rsidP="006C4368">
      <w:pPr>
        <w:pStyle w:val="Footnote"/>
        <w:bidi/>
      </w:pPr>
      <w:r>
        <w:rPr>
          <w:rStyle w:val="ac"/>
          <w:rtl/>
        </w:rPr>
        <w:footnoteRef/>
      </w:r>
      <w:r>
        <w:rPr>
          <w:rtl/>
        </w:rPr>
        <w:t>אבל דעת רבה (שם) דלא חל איסור פצוע דכא, ומש"ה זקוקה לחליצה. [וי"ל דס"ד דהגמ' כמו רבה].</w:t>
      </w:r>
    </w:p>
  </w:footnote>
  <w:footnote w:id="5114">
    <w:p w14:paraId="576B089D" w14:textId="77777777" w:rsidR="006C4368" w:rsidRDefault="006C4368" w:rsidP="006C4368">
      <w:pPr>
        <w:pStyle w:val="Footnote"/>
        <w:bidi/>
      </w:pPr>
      <w:r>
        <w:rPr>
          <w:rStyle w:val="ac"/>
          <w:rtl/>
        </w:rPr>
        <w:footnoteRef/>
      </w:r>
      <w:r>
        <w:rPr>
          <w:rtl/>
        </w:rPr>
        <w:t xml:space="preserve">וכ"כ </w:t>
      </w:r>
      <w:r>
        <w:rPr>
          <w:b/>
          <w:bCs/>
          <w:rtl/>
        </w:rPr>
        <w:t>רש"י</w:t>
      </w:r>
      <w:r>
        <w:rPr>
          <w:rtl/>
        </w:rPr>
        <w:t xml:space="preserve"> (לעיל עו: וסוטה ט) [וסתר משנתו, וע' מה שהו' לעיל שם]. אך ב</w:t>
      </w:r>
      <w:r>
        <w:rPr>
          <w:b/>
          <w:bCs/>
          <w:rtl/>
        </w:rPr>
        <w:t>חי' ר"א מן ההר</w:t>
      </w:r>
      <w:r>
        <w:rPr>
          <w:rtl/>
        </w:rPr>
        <w:t xml:space="preserve"> (שם) מבואר דהרמב"ם נקט כן בדעת רבינא, ולא בדעת ר' דימי.</w:t>
      </w:r>
    </w:p>
  </w:footnote>
  <w:footnote w:id="5115">
    <w:p w14:paraId="4036607A" w14:textId="77777777" w:rsidR="006C4368" w:rsidRDefault="006C4368" w:rsidP="006C4368">
      <w:pPr>
        <w:pStyle w:val="Footnote"/>
        <w:bidi/>
      </w:pPr>
      <w:r>
        <w:rPr>
          <w:rStyle w:val="ac"/>
          <w:rtl/>
        </w:rPr>
        <w:footnoteRef/>
      </w:r>
      <w:r>
        <w:rPr>
          <w:rtl/>
        </w:rPr>
        <w:t>וה</w:t>
      </w:r>
      <w:r>
        <w:rPr>
          <w:b/>
          <w:bCs/>
          <w:rtl/>
        </w:rPr>
        <w:t>תו"י</w:t>
      </w:r>
      <w:r>
        <w:rPr>
          <w:rtl/>
        </w:rPr>
        <w:t xml:space="preserve"> (הנדמ"ח) ציין דפליג אתוס'.</w:t>
      </w:r>
    </w:p>
  </w:footnote>
  <w:footnote w:id="5116">
    <w:p w14:paraId="01200250" w14:textId="77777777" w:rsidR="006C4368" w:rsidRDefault="006C4368" w:rsidP="006C4368">
      <w:pPr>
        <w:pStyle w:val="Footnote"/>
        <w:bidi/>
      </w:pPr>
      <w:r>
        <w:rPr>
          <w:rStyle w:val="ac"/>
          <w:rtl/>
        </w:rPr>
        <w:footnoteRef/>
      </w:r>
      <w:r>
        <w:rPr>
          <w:rtl/>
        </w:rPr>
        <w:t>ובפשוטו הוה סברא בילפותא דהק"ו, דילפי' באשה שהיא נאסרת לבעל, כ"ש שהאשה תאסר ליבם. אבל פצוע דכא גדר הפסול אצל הבעל [שהשינוי בגוף שלו], ובזה ליכא למילף דיהא חלות איסור אף לאחרים.</w:t>
      </w:r>
    </w:p>
  </w:footnote>
  <w:footnote w:id="5117">
    <w:p w14:paraId="4405704F" w14:textId="77777777" w:rsidR="006C4368" w:rsidRDefault="006C4368" w:rsidP="006C4368">
      <w:pPr>
        <w:pStyle w:val="Footnote"/>
        <w:bidi/>
      </w:pPr>
      <w:r>
        <w:rPr>
          <w:rStyle w:val="ac"/>
          <w:rtl/>
        </w:rPr>
        <w:footnoteRef/>
      </w:r>
      <w:r>
        <w:rPr>
          <w:rtl/>
        </w:rPr>
        <w:t xml:space="preserve">והביא דכ"כ </w:t>
      </w:r>
      <w:r>
        <w:rPr>
          <w:b/>
          <w:bCs/>
          <w:rtl/>
        </w:rPr>
        <w:t>רש"י</w:t>
      </w:r>
      <w:r>
        <w:rPr>
          <w:rtl/>
        </w:rPr>
        <w:t xml:space="preserve"> (סוטה ו. ד"ה ליכא איסורא) [דגדר הק"ו] שהרי מחמת נשואין הראשונים נזקקת ליבם, ואם על הבעל נתקלקלה, ק"ו ליבם. וביאר דהיבם בא מכח אישות הבעל.</w:t>
      </w:r>
    </w:p>
  </w:footnote>
  <w:footnote w:id="5118">
    <w:p w14:paraId="1FB257DA" w14:textId="77777777" w:rsidR="006C4368" w:rsidRDefault="006C4368" w:rsidP="006C4368">
      <w:pPr>
        <w:pStyle w:val="Footnote"/>
        <w:bidi/>
      </w:pPr>
      <w:r>
        <w:rPr>
          <w:rStyle w:val="ac"/>
          <w:rtl/>
        </w:rPr>
        <w:footnoteRef/>
      </w:r>
      <w:r>
        <w:rPr>
          <w:rtl/>
        </w:rPr>
        <w:t>וכן פגום לכהונה, כגון בן עכו"ם הבא על בת ישראל (לעיל מד:). ופרש"י (מה. ד"ה שבנה) דהבן אינו פסול לכהונה, דלא הוזהרו כשירות לינשא לפסולים.</w:t>
      </w:r>
    </w:p>
  </w:footnote>
  <w:footnote w:id="5119">
    <w:p w14:paraId="17E0FA46" w14:textId="77777777" w:rsidR="006C4368" w:rsidRDefault="006C4368" w:rsidP="006C4368">
      <w:pPr>
        <w:pStyle w:val="Footnote"/>
        <w:bidi/>
      </w:pPr>
      <w:r>
        <w:rPr>
          <w:rStyle w:val="ac"/>
          <w:rtl/>
        </w:rPr>
        <w:footnoteRef/>
      </w:r>
      <w:r>
        <w:rPr>
          <w:rtl/>
        </w:rPr>
        <w:t>וכן גר נחשב 'פסול' לכהונה. ויל”ד מאיזה שם איסור הוא. ולכאורה הוה משום שם 'זונה' [וכדלעיל סא. דגיורת הוה זונה, דהוה פגום כמו זונה. ו</w:t>
      </w:r>
      <w:r>
        <w:rPr>
          <w:b/>
          <w:bCs/>
          <w:rtl/>
        </w:rPr>
        <w:t>תוס'</w:t>
      </w:r>
      <w:r>
        <w:rPr>
          <w:rtl/>
        </w:rPr>
        <w:t xml:space="preserve"> פי' דבאו מעם השטופין בזימה].</w:t>
      </w:r>
      <w:r>
        <w:rPr>
          <w:rtl/>
        </w:rPr>
        <w:tab/>
      </w:r>
    </w:p>
  </w:footnote>
  <w:footnote w:id="5120">
    <w:p w14:paraId="2CEE0C20" w14:textId="77777777" w:rsidR="006C4368" w:rsidRDefault="006C4368" w:rsidP="006C4368">
      <w:pPr>
        <w:pStyle w:val="Footnote"/>
        <w:bidi/>
      </w:pPr>
      <w:r>
        <w:rPr>
          <w:rStyle w:val="ac"/>
          <w:rtl/>
        </w:rPr>
        <w:footnoteRef/>
      </w:r>
      <w:r>
        <w:rPr>
          <w:rtl/>
        </w:rPr>
        <w:t>{ובגמ' (קידושין עג.) רבא אמר דטבא ליה עבדי דגר כשר בכהנת ובממזרת, אך כל זה דיש היתר בפועל. אבל בשורש הדבר הוה פגום, אלא שהאשה אינה מצווה}.</w:t>
      </w:r>
    </w:p>
  </w:footnote>
  <w:footnote w:id="5121">
    <w:p w14:paraId="4353E00C" w14:textId="77777777" w:rsidR="006C4368" w:rsidRDefault="006C4368" w:rsidP="006C4368">
      <w:pPr>
        <w:pStyle w:val="Footnote"/>
        <w:bidi/>
      </w:pPr>
      <w:r>
        <w:rPr>
          <w:rStyle w:val="ac"/>
          <w:rtl/>
        </w:rPr>
        <w:footnoteRef/>
      </w:r>
      <w:r>
        <w:rPr>
          <w:rtl/>
        </w:rPr>
        <w:t>ואף דאין אצלה עשה שידחה, אלא דדי לבא מן הדין וכו'. וכת' דאף דאצל האיש הוא רק דרך דיחוי תיתי מהי תיתי כיון דהוא אינו מוזהר היא ג"כ אינה מוזהרת.</w:t>
      </w:r>
    </w:p>
  </w:footnote>
  <w:footnote w:id="5122">
    <w:p w14:paraId="03C6FD96" w14:textId="77777777" w:rsidR="006C4368" w:rsidRDefault="006C4368" w:rsidP="006C4368">
      <w:pPr>
        <w:pStyle w:val="Footnote"/>
        <w:bidi/>
      </w:pPr>
      <w:r>
        <w:rPr>
          <w:rStyle w:val="ac"/>
          <w:rtl/>
        </w:rPr>
        <w:footnoteRef/>
      </w:r>
      <w:r>
        <w:rPr>
          <w:rtl/>
        </w:rPr>
        <w:t>וה</w:t>
      </w:r>
      <w:r>
        <w:rPr>
          <w:b/>
          <w:bCs/>
          <w:rtl/>
        </w:rPr>
        <w:t>רמב"ן</w:t>
      </w:r>
      <w:r>
        <w:rPr>
          <w:rtl/>
        </w:rPr>
        <w:t xml:space="preserve"> הוסיף דאיסור לפני עוור הוא שוה בכל. ועוה"ק ה</w:t>
      </w:r>
      <w:r>
        <w:rPr>
          <w:b/>
          <w:bCs/>
          <w:rtl/>
        </w:rPr>
        <w:t>רמב"ן</w:t>
      </w:r>
      <w:r>
        <w:rPr>
          <w:rtl/>
        </w:rPr>
        <w:t xml:space="preserve"> דמדמי (בסמוך) ללאו דטומאה. מי דמי התם משום קדושה דכהנים הוא, וכהנות לית להו קדושה זו. אבל הכא דאיהו מוזהר, ומשום לתא דידיה היא מוזהרת [משום לפני עוור]. ואמאי לא תהא מדה זו נוהגת בהן.</w:t>
      </w:r>
    </w:p>
  </w:footnote>
  <w:footnote w:id="5123">
    <w:p w14:paraId="03FB1313" w14:textId="77777777" w:rsidR="006C4368" w:rsidRDefault="006C4368" w:rsidP="006C4368">
      <w:pPr>
        <w:pStyle w:val="Footnote"/>
        <w:bidi/>
      </w:pPr>
      <w:r>
        <w:rPr>
          <w:rStyle w:val="ac"/>
          <w:rtl/>
        </w:rPr>
        <w:footnoteRef/>
      </w:r>
      <w:r>
        <w:rPr>
          <w:rtl/>
        </w:rPr>
        <w:t>וה</w:t>
      </w:r>
      <w:r>
        <w:rPr>
          <w:b/>
          <w:bCs/>
          <w:rtl/>
        </w:rPr>
        <w:t>רמב"ן</w:t>
      </w:r>
      <w:r>
        <w:rPr>
          <w:rtl/>
        </w:rPr>
        <w:t xml:space="preserve"> הוסיף דהא דמדמי (בסמוך) ללאו דטומאה, משום דאין נשים [בין כהנת ובין ישראליות] בכלל כל עסק דין כהנים.</w:t>
      </w:r>
    </w:p>
  </w:footnote>
  <w:footnote w:id="5124">
    <w:p w14:paraId="5217807D" w14:textId="77777777" w:rsidR="006C4368" w:rsidRDefault="006C4368" w:rsidP="006C4368">
      <w:pPr>
        <w:pStyle w:val="Footnote"/>
        <w:bidi/>
      </w:pPr>
      <w:r>
        <w:rPr>
          <w:rStyle w:val="ac"/>
          <w:rtl/>
        </w:rPr>
        <w:footnoteRef/>
      </w:r>
      <w:r>
        <w:rPr>
          <w:rtl/>
        </w:rPr>
        <w:t>וכ"כ ה</w:t>
      </w:r>
      <w:r>
        <w:rPr>
          <w:b/>
          <w:bCs/>
          <w:rtl/>
        </w:rPr>
        <w:t>רמב"ם</w:t>
      </w:r>
      <w:r>
        <w:rPr>
          <w:rtl/>
        </w:rPr>
        <w:t xml:space="preserve"> (פיה"מ תרומות ו ג) דהעובר על לפני עוור אינו נענש. [וכ"כ ברמב"ם נזירות ה כ]. אבל ה</w:t>
      </w:r>
      <w:r>
        <w:rPr>
          <w:b/>
          <w:bCs/>
          <w:rtl/>
        </w:rPr>
        <w:t>רשב"א</w:t>
      </w:r>
      <w:r>
        <w:rPr>
          <w:rtl/>
        </w:rPr>
        <w:t xml:space="preserve"> (נדרים טו.) הביא צד דלוקה משום לפני עוור. [והרשב"א דחה צד זה בסוגיה שם מטעם אחר].</w:t>
      </w:r>
    </w:p>
  </w:footnote>
  <w:footnote w:id="5125">
    <w:p w14:paraId="6AA92B47" w14:textId="77777777" w:rsidR="006C4368" w:rsidRDefault="006C4368" w:rsidP="006C4368">
      <w:pPr>
        <w:pStyle w:val="Footnote"/>
        <w:bidi/>
      </w:pPr>
      <w:r>
        <w:rPr>
          <w:rStyle w:val="ac"/>
          <w:rtl/>
        </w:rPr>
        <w:footnoteRef/>
      </w:r>
      <w:r>
        <w:rPr>
          <w:rtl/>
        </w:rPr>
        <w:t>וה</w:t>
      </w:r>
      <w:r>
        <w:rPr>
          <w:b/>
          <w:bCs/>
          <w:rtl/>
        </w:rPr>
        <w:t xml:space="preserve">אחרונים </w:t>
      </w:r>
      <w:r>
        <w:rPr>
          <w:rtl/>
        </w:rPr>
        <w:t>(אחיעזר) הביאו דהוה תי' נוסף ברמב"ן על קו' הנ"ל. אבל ברמב"ן (לפנינו) לכאורה הוה המשך הסבר בהא דהגמ' מדמה איסורי ביאה להא דנשים אינן מצוות בלאו דטומאת כהנים. [וצ"ב דהתם איירי באופן דליכא לפני עוור].</w:t>
      </w:r>
    </w:p>
  </w:footnote>
  <w:footnote w:id="5126">
    <w:p w14:paraId="76EE23E6" w14:textId="77777777" w:rsidR="006C4368" w:rsidRDefault="006C4368" w:rsidP="006C4368">
      <w:pPr>
        <w:pStyle w:val="Footnote"/>
        <w:bidi/>
      </w:pPr>
      <w:r>
        <w:rPr>
          <w:rStyle w:val="ac"/>
          <w:rtl/>
        </w:rPr>
        <w:footnoteRef/>
      </w:r>
      <w:r>
        <w:rPr>
          <w:rtl/>
        </w:rPr>
        <w:t>וה</w:t>
      </w:r>
      <w:r>
        <w:rPr>
          <w:b/>
          <w:bCs/>
          <w:rtl/>
        </w:rPr>
        <w:t>אחרונים</w:t>
      </w:r>
      <w:r>
        <w:rPr>
          <w:rtl/>
        </w:rPr>
        <w:t xml:space="preserve"> ציינו דה</w:t>
      </w:r>
      <w:r>
        <w:rPr>
          <w:b/>
          <w:bCs/>
          <w:rtl/>
        </w:rPr>
        <w:t>מאירי</w:t>
      </w:r>
      <w:r>
        <w:rPr>
          <w:rtl/>
        </w:rPr>
        <w:t xml:space="preserve"> (בסוגיין, וכן שא”ר שהעתיקו רק תחילת דברי הרמב”ן) נקט דיש לפני עוור, אף במצווה דאינו שווה בכל ואינו שייך אצלו.</w:t>
      </w:r>
    </w:p>
  </w:footnote>
  <w:footnote w:id="5127">
    <w:p w14:paraId="28E417FB" w14:textId="77777777" w:rsidR="006C4368" w:rsidRDefault="006C4368" w:rsidP="006C4368">
      <w:pPr>
        <w:pStyle w:val="Footnote"/>
        <w:bidi/>
      </w:pPr>
      <w:r>
        <w:rPr>
          <w:rStyle w:val="ac"/>
          <w:rtl/>
        </w:rPr>
        <w:footnoteRef/>
      </w:r>
      <w:r>
        <w:rPr>
          <w:rtl/>
        </w:rPr>
        <w:t>וה</w:t>
      </w:r>
      <w:r>
        <w:rPr>
          <w:b/>
          <w:bCs/>
          <w:rtl/>
        </w:rPr>
        <w:t>אחרונים</w:t>
      </w:r>
      <w:r>
        <w:rPr>
          <w:rtl/>
        </w:rPr>
        <w:t xml:space="preserve"> הק' מדברי ה</w:t>
      </w:r>
      <w:r>
        <w:rPr>
          <w:b/>
          <w:bCs/>
          <w:rtl/>
        </w:rPr>
        <w:t>תוס'</w:t>
      </w:r>
      <w:r>
        <w:rPr>
          <w:rtl/>
        </w:rPr>
        <w:t xml:space="preserve"> (ב"מ י: ושא”ר שם) דכהן ששלח ישראל לקדש גרושה, דשליח לאו בר חיובא, אבל עובר משום לפני עוור.</w:t>
      </w:r>
    </w:p>
  </w:footnote>
  <w:footnote w:id="5128">
    <w:p w14:paraId="5178C18A" w14:textId="77777777" w:rsidR="006C4368" w:rsidRDefault="006C4368" w:rsidP="006C4368">
      <w:pPr>
        <w:pStyle w:val="Footnote"/>
        <w:bidi/>
      </w:pPr>
      <w:r>
        <w:rPr>
          <w:rStyle w:val="ac"/>
          <w:rtl/>
        </w:rPr>
        <w:footnoteRef/>
      </w:r>
      <w:r>
        <w:rPr>
          <w:rtl/>
        </w:rPr>
        <w:t xml:space="preserve">ועוד הביא בשם שו"ת </w:t>
      </w:r>
      <w:r>
        <w:rPr>
          <w:b/>
          <w:bCs/>
          <w:rtl/>
        </w:rPr>
        <w:t>חת"ס</w:t>
      </w:r>
      <w:r>
        <w:rPr>
          <w:rtl/>
        </w:rPr>
        <w:t xml:space="preserve"> (חו"מ רב) דאשה נתמעטה ממצות עשה שזמן גרמא, וכיון דיש בה צד קולא איצטריך ללמוד שמצווה בכל אזהרה בתורה [מהיקש]. אבל איסור לפני עוור מחמת עשה שאין הזמן גרמא לא נתרבתה.</w:t>
      </w:r>
    </w:p>
  </w:footnote>
  <w:footnote w:id="5129">
    <w:p w14:paraId="20A59E4E" w14:textId="77777777" w:rsidR="006C4368" w:rsidRDefault="006C4368" w:rsidP="006C4368">
      <w:pPr>
        <w:pStyle w:val="Footnote"/>
        <w:bidi/>
      </w:pPr>
      <w:r>
        <w:rPr>
          <w:rStyle w:val="ac"/>
          <w:rtl/>
        </w:rPr>
        <w:footnoteRef/>
      </w:r>
      <w:r>
        <w:rPr>
          <w:rtl/>
        </w:rPr>
        <w:t>ועד"ז חידש הר"י מפונוביז' בכוונת תוס' (ב"מ י:) דיש ב' גדרים.</w:t>
      </w:r>
    </w:p>
  </w:footnote>
  <w:footnote w:id="5130">
    <w:p w14:paraId="0CB6E1A4" w14:textId="77777777" w:rsidR="006C4368" w:rsidRDefault="006C4368" w:rsidP="006C4368">
      <w:pPr>
        <w:pStyle w:val="Footnote"/>
        <w:bidi/>
      </w:pPr>
      <w:r>
        <w:rPr>
          <w:rStyle w:val="ac"/>
          <w:rtl/>
        </w:rPr>
        <w:footnoteRef/>
      </w:r>
      <w:r>
        <w:rPr>
          <w:rtl/>
        </w:rPr>
        <w:t>ולפ"ז האמונת שמואל איירי באופן שהעובר מזיד, ומש"ה ליכא מכשול.</w:t>
      </w:r>
    </w:p>
  </w:footnote>
  <w:footnote w:id="5131">
    <w:p w14:paraId="5EFB191B" w14:textId="77777777" w:rsidR="006C4368" w:rsidRDefault="006C4368" w:rsidP="006C4368">
      <w:pPr>
        <w:pStyle w:val="Footnote"/>
        <w:bidi/>
      </w:pPr>
      <w:r>
        <w:rPr>
          <w:rStyle w:val="ac"/>
          <w:rtl/>
        </w:rPr>
        <w:footnoteRef/>
      </w:r>
      <w:r>
        <w:rPr>
          <w:rtl/>
        </w:rPr>
        <w:t>וכן מבואר מדברי המנח"ח (הנ"ל) דהגדר דאיסור האשה תלי באיש.</w:t>
      </w:r>
    </w:p>
  </w:footnote>
  <w:footnote w:id="5132">
    <w:p w14:paraId="61FF1A6A" w14:textId="77777777" w:rsidR="006C4368" w:rsidRDefault="006C4368" w:rsidP="006C4368">
      <w:pPr>
        <w:pStyle w:val="Footnote"/>
        <w:bidi/>
      </w:pPr>
      <w:r>
        <w:rPr>
          <w:rStyle w:val="ac"/>
          <w:rtl/>
        </w:rPr>
        <w:footnoteRef/>
      </w:r>
      <w:r>
        <w:rPr>
          <w:rtl/>
        </w:rPr>
        <w:t>ועפ"ז יישב שהאשה האומרת טמאה אני לך לא אמרי' שוי' אנפשה חתיכה דאיסורה, דלא הוה איסור על האשה אלא על הבעל.</w:t>
      </w:r>
    </w:p>
  </w:footnote>
  <w:footnote w:id="5133">
    <w:p w14:paraId="12A54D25" w14:textId="77777777" w:rsidR="006C4368" w:rsidRDefault="006C4368" w:rsidP="006C4368">
      <w:pPr>
        <w:pStyle w:val="Footnote"/>
        <w:bidi/>
      </w:pPr>
      <w:r>
        <w:rPr>
          <w:rStyle w:val="ac"/>
          <w:rtl/>
        </w:rPr>
        <w:footnoteRef/>
      </w:r>
      <w:r>
        <w:rPr>
          <w:rtl/>
        </w:rPr>
        <w:t>וכ"כ ה</w:t>
      </w:r>
      <w:r>
        <w:rPr>
          <w:b/>
          <w:bCs/>
          <w:rtl/>
        </w:rPr>
        <w:t>שיטמ"ק</w:t>
      </w:r>
      <w:r>
        <w:rPr>
          <w:rtl/>
        </w:rPr>
        <w:t xml:space="preserve"> (שם בשם שיטה) דכל היכא דהוא מוזהר היא מוזהרת, פי' דוקא כשהוא צריך לנהוג בה איסור. אבל הכא אי"צ לנהוג איסור מטעם דלא מהימנא, גם היא אינה מוזהרת. וה</w:t>
      </w:r>
      <w:r>
        <w:rPr>
          <w:b/>
          <w:bCs/>
          <w:rtl/>
        </w:rPr>
        <w:t>שיטה</w:t>
      </w:r>
      <w:r>
        <w:rPr>
          <w:rtl/>
        </w:rPr>
        <w:t xml:space="preserve"> ביאר דהתם ל"ש משום לפני עור, שהרי בעל כרחה נבעלת לו. ועד"ז כת' הקר"א (שם).</w:t>
      </w:r>
    </w:p>
    <w:p w14:paraId="6A8D48D9" w14:textId="77777777" w:rsidR="006C4368" w:rsidRDefault="006C4368" w:rsidP="006C4368">
      <w:pPr>
        <w:pStyle w:val="Footnote"/>
        <w:bidi/>
      </w:pPr>
      <w:r>
        <w:rPr>
          <w:rtl/>
        </w:rPr>
        <w:tab/>
        <w:t>וב</w:t>
      </w:r>
      <w:r>
        <w:rPr>
          <w:b/>
          <w:bCs/>
          <w:rtl/>
        </w:rPr>
        <w:t>הג' ברוך טעם</w:t>
      </w:r>
      <w:r>
        <w:rPr>
          <w:rtl/>
        </w:rPr>
        <w:t xml:space="preserve"> (לטור"א חגיגה יד: הו' בסמוך) הביא דה</w:t>
      </w:r>
      <w:r>
        <w:rPr>
          <w:b/>
          <w:bCs/>
          <w:rtl/>
        </w:rPr>
        <w:t xml:space="preserve">רשב"א </w:t>
      </w:r>
      <w:r>
        <w:rPr>
          <w:rtl/>
        </w:rPr>
        <w:t>(כתובות ט., והו' בשיטמ"ק שם) כת' כעין סברא הנ"ל, דס”ד דהגמ' דלא אסרו את בת שבע על דוד כיון דלא היו עדים. והרשב"א ביאר דאף דדוד ידע, כיון דלא נאסרה על אוריה [דאין דבר שבערוה פחות מב'], וא"כ אף לדוד לא נאסרה בידיעתו שלו [ואף אם היה מודה בפני בי"ד] שאין הדבר תלוי בו אלא בבעל. דדוקא היכא דאסור לבעל אסורה לבועל, משא"כ היכי שהבעל אי"צ להאמין ולכך אינה אסורה לו, ומש"ה מותרת גם לבועל [אף שיודע בעצמו]. [אבל למסקנא שם לא תלי בהכי. והברוך טעם ביאר דדוקא התם גבי סוטה לא תלי בהא].</w:t>
      </w:r>
    </w:p>
  </w:footnote>
  <w:footnote w:id="5134">
    <w:p w14:paraId="4930A6D1" w14:textId="77777777" w:rsidR="006C4368" w:rsidRDefault="006C4368" w:rsidP="006C4368">
      <w:pPr>
        <w:pStyle w:val="Footnote"/>
        <w:bidi/>
      </w:pPr>
      <w:r>
        <w:rPr>
          <w:rStyle w:val="ac"/>
          <w:rtl/>
        </w:rPr>
        <w:footnoteRef/>
      </w:r>
      <w:r>
        <w:rPr>
          <w:rtl/>
        </w:rPr>
        <w:t>וע"ד סברת המנח"ח (הנ"ל) דתלי באיסור בפועל.</w:t>
      </w:r>
    </w:p>
  </w:footnote>
  <w:footnote w:id="5135">
    <w:p w14:paraId="6A7C6EAC" w14:textId="77777777" w:rsidR="006C4368" w:rsidRDefault="006C4368" w:rsidP="006C4368">
      <w:pPr>
        <w:pStyle w:val="Footnote"/>
        <w:bidi/>
        <w:rPr>
          <w:rFonts w:ascii="Narkisim" w:eastAsia="Narkisim" w:hAnsi="Narkisim"/>
        </w:rPr>
      </w:pPr>
      <w:r>
        <w:rPr>
          <w:rStyle w:val="ac"/>
          <w:rtl/>
        </w:rPr>
        <w:footnoteRef/>
      </w:r>
      <w:r>
        <w:rPr>
          <w:rFonts w:ascii="Narkisim" w:eastAsia="Narkisim" w:hAnsi="Narkisim"/>
          <w:rtl/>
        </w:rPr>
        <w:t>דלחד לישנא (לעיל נו:) היכא דנאנסה אינו בכלל לאו דזונה, אלא לאו דטומאה. {אך הר"א נקט בלשונו 'זונה'. וכן הראשונים (הנ"ל, בדעת הר"א) נקטו הפסוק 'לא יקחו'}.</w:t>
      </w:r>
    </w:p>
  </w:footnote>
  <w:footnote w:id="5136">
    <w:p w14:paraId="42AEB904" w14:textId="77777777" w:rsidR="006C4368" w:rsidRDefault="006C4368" w:rsidP="006C4368">
      <w:pPr>
        <w:pStyle w:val="Footnote"/>
        <w:bidi/>
      </w:pPr>
      <w:r>
        <w:rPr>
          <w:rStyle w:val="ac"/>
          <w:rtl/>
        </w:rPr>
        <w:footnoteRef/>
      </w:r>
      <w:r>
        <w:rPr>
          <w:rtl/>
        </w:rPr>
        <w:t>וילפי' אף לולי הא דהאשה מוזהרת על ידו. אבל ה</w:t>
      </w:r>
      <w:r>
        <w:rPr>
          <w:b/>
          <w:bCs/>
          <w:rtl/>
        </w:rPr>
        <w:t>שיטמ"ק</w:t>
      </w:r>
      <w:r>
        <w:rPr>
          <w:rtl/>
        </w:rPr>
        <w:t xml:space="preserve"> (ב"מ ל. בשם התוס' שאנץ) כת' דבתולה לכה"ג הוה עשה אף על האשה משום סוגיין. ואף דבסוגיין ילפי' מלא יקחו, נראה דאף עשה דכה"ג בכלל.</w:t>
      </w:r>
    </w:p>
  </w:footnote>
  <w:footnote w:id="5137">
    <w:p w14:paraId="43FCA3F2" w14:textId="77777777" w:rsidR="006C4368" w:rsidRDefault="006C4368" w:rsidP="006C4368">
      <w:pPr>
        <w:pStyle w:val="Footnote"/>
        <w:bidi/>
      </w:pPr>
      <w:r>
        <w:rPr>
          <w:rStyle w:val="ac"/>
          <w:rtl/>
        </w:rPr>
        <w:footnoteRef/>
      </w:r>
      <w:r>
        <w:rPr>
          <w:rtl/>
        </w:rPr>
        <w:t>וה</w:t>
      </w:r>
      <w:r>
        <w:rPr>
          <w:b/>
          <w:bCs/>
          <w:rtl/>
        </w:rPr>
        <w:t>קוב"ש</w:t>
      </w:r>
      <w:r>
        <w:rPr>
          <w:rtl/>
        </w:rPr>
        <w:t xml:space="preserve"> (כתובות כז) הק' דא"כ היכא דהכהן קטן, האשה לא תהא מוזהרת עליו. ועוד דן אף בקו' הרמב”ן משום לפני עוור, נפק”מ בקטן, דליכא לפני עוור במכשיל קטן.</w:t>
      </w:r>
    </w:p>
  </w:footnote>
  <w:footnote w:id="5138">
    <w:p w14:paraId="4E2A5E6B" w14:textId="77777777" w:rsidR="006C4368" w:rsidRDefault="006C4368" w:rsidP="006C4368">
      <w:pPr>
        <w:pStyle w:val="Footnote"/>
        <w:bidi/>
      </w:pPr>
      <w:r>
        <w:rPr>
          <w:rStyle w:val="ac"/>
          <w:rtl/>
        </w:rPr>
        <w:footnoteRef/>
      </w:r>
      <w:r>
        <w:rPr>
          <w:rtl/>
        </w:rPr>
        <w:t>וא"כ עיקר הנאמנות צריך כלפיו, ול"ש לומר דמיגו דנאמנת כלפי עצמה נאמנת כלפיו. [אך לכאורה היא מותרת כלפי עצמה, ולא אמרי' דכיון דהבעל סבור שאסורה, היא מוזהרת על ידו. שהרי היא יודעת שהוא טועה בדבר].</w:t>
      </w:r>
    </w:p>
  </w:footnote>
  <w:footnote w:id="5139">
    <w:p w14:paraId="4A75111A" w14:textId="77777777" w:rsidR="006C4368" w:rsidRDefault="006C4368" w:rsidP="006C4368">
      <w:pPr>
        <w:pStyle w:val="Footnote"/>
        <w:bidi/>
      </w:pPr>
      <w:r>
        <w:rPr>
          <w:rStyle w:val="ac"/>
          <w:rtl/>
        </w:rPr>
        <w:footnoteRef/>
      </w:r>
      <w:r>
        <w:rPr>
          <w:rtl/>
        </w:rPr>
        <w:t>קמ"ל דהאשה מוזהרת, ובפשוטו גלי קרא דהושוו איש ואשה. [וכ"כ ה</w:t>
      </w:r>
      <w:r>
        <w:rPr>
          <w:b/>
          <w:bCs/>
          <w:rtl/>
        </w:rPr>
        <w:t>מאירי</w:t>
      </w:r>
      <w:r>
        <w:rPr>
          <w:rtl/>
        </w:rPr>
        <w:t xml:space="preserve"> </w:t>
      </w:r>
      <w:r>
        <w:rPr>
          <w:rtl/>
          <w:lang w:val="he-IL"/>
        </w:rPr>
        <w:t>דאין בזה חלוק בין לאו השוה בכל, ללאו שאינו שוה בכל]. אבל מדברי הרא"מ (הנ"ל) מבואר דהוה גדר חדש דהוזהרו ע"י האנשים</w:t>
      </w:r>
      <w:r>
        <w:rPr>
          <w:rFonts w:cs="Times New Roman"/>
          <w:rtl/>
          <w:lang w:val="he-IL"/>
        </w:rPr>
        <w:t>.</w:t>
      </w:r>
    </w:p>
  </w:footnote>
  <w:footnote w:id="5140">
    <w:p w14:paraId="081DF14F" w14:textId="77777777" w:rsidR="006C4368" w:rsidRDefault="006C4368" w:rsidP="006C4368">
      <w:pPr>
        <w:pStyle w:val="Footnote"/>
        <w:bidi/>
      </w:pPr>
      <w:r>
        <w:rPr>
          <w:rStyle w:val="ac"/>
          <w:rtl/>
        </w:rPr>
        <w:footnoteRef/>
      </w:r>
      <w:r>
        <w:rPr>
          <w:rtl/>
        </w:rPr>
        <w:t>וי"ל דבסוגיין קאי קודם שידעינן שנתרבו נשים, וס"ד דהוה איסור דוקא על הכהן.</w:t>
      </w:r>
    </w:p>
  </w:footnote>
  <w:footnote w:id="5141">
    <w:p w14:paraId="7FBF1586" w14:textId="77777777" w:rsidR="006C4368" w:rsidRDefault="006C4368" w:rsidP="006C4368">
      <w:pPr>
        <w:pStyle w:val="Footnote"/>
        <w:bidi/>
      </w:pPr>
      <w:r>
        <w:rPr>
          <w:rStyle w:val="ac"/>
          <w:rtl/>
        </w:rPr>
        <w:footnoteRef/>
      </w:r>
      <w:r>
        <w:rPr>
          <w:rtl/>
        </w:rPr>
        <w:t>[ומש"ה קיל, ולכו"ע תפסי בה קידושין, ואף למ"ד אליבא דר"ע דלא תפסי קידושין בחייבי עשה].</w:t>
      </w:r>
    </w:p>
    <w:p w14:paraId="60A9ADDD" w14:textId="77777777" w:rsidR="006C4368" w:rsidRDefault="006C4368" w:rsidP="006C4368">
      <w:pPr>
        <w:pStyle w:val="Footnote"/>
        <w:bidi/>
      </w:pPr>
      <w:r>
        <w:rPr>
          <w:rtl/>
        </w:rPr>
        <w:tab/>
        <w:t>ו</w:t>
      </w:r>
      <w:r>
        <w:rPr>
          <w:b/>
          <w:bCs/>
          <w:rtl/>
        </w:rPr>
        <w:t>רע"א</w:t>
      </w:r>
      <w:r>
        <w:rPr>
          <w:rtl/>
        </w:rPr>
        <w:t xml:space="preserve"> (כתובות שם) חילק דכוונת התוס' דהלאו הוה שווה בכל. אבל י"ל דהעשה [דבתולה יקח] קאי רק עליו, והיא אינו מצווה כלל [ואף למסקנא]. [היפך דברי התוס' חגיגה הנ"ל].</w:t>
      </w:r>
    </w:p>
  </w:footnote>
  <w:footnote w:id="5142">
    <w:p w14:paraId="687FDE9C" w14:textId="77777777" w:rsidR="006C4368" w:rsidRDefault="006C4368" w:rsidP="006C4368">
      <w:pPr>
        <w:pStyle w:val="Footnote"/>
        <w:bidi/>
      </w:pPr>
      <w:r>
        <w:rPr>
          <w:rStyle w:val="ac"/>
          <w:rtl/>
        </w:rPr>
        <w:footnoteRef/>
      </w:r>
      <w:r>
        <w:rPr>
          <w:rtl/>
        </w:rPr>
        <w:t>וצ"ל דכיון דלא משכחת אצלו איסור זה, אינו בכלל האזהרה. [וכן מצאנו (ב"מ י:) לענין שליחות לדבר עבירה ולפני עוור, דישראל שמקדש גרושה לכהן נחשב לאו בר חיובא].</w:t>
      </w:r>
    </w:p>
    <w:p w14:paraId="0C8BF306" w14:textId="77777777" w:rsidR="006C4368" w:rsidRDefault="006C4368" w:rsidP="006C4368">
      <w:pPr>
        <w:pStyle w:val="Footnote"/>
        <w:bidi/>
      </w:pPr>
      <w:r>
        <w:rPr>
          <w:rtl/>
        </w:rPr>
        <w:tab/>
        <w:t>אך א"כ הדר קוש' דאלמנה לכה"ג לא משכח"ל אצל זכרים מישראל. {ואפשר דכיון דמשכח"ל אצל רובם סגי בהכי, וערול”נ}.</w:t>
      </w:r>
    </w:p>
  </w:footnote>
  <w:footnote w:id="5143">
    <w:p w14:paraId="6FF6D351" w14:textId="77777777" w:rsidR="006C4368" w:rsidRDefault="006C4368" w:rsidP="006C4368">
      <w:pPr>
        <w:pStyle w:val="Footnote"/>
        <w:bidi/>
      </w:pPr>
      <w:r>
        <w:rPr>
          <w:rStyle w:val="ac"/>
          <w:rtl/>
        </w:rPr>
        <w:footnoteRef/>
      </w:r>
      <w:r>
        <w:rPr>
          <w:rtl/>
        </w:rPr>
        <w:t>בפשוטו מבואר דליכא חסרון כלל בגדרי היבום, ויש לה כל דיני אישות ליבם.</w:t>
      </w:r>
    </w:p>
    <w:p w14:paraId="6B15B5B9" w14:textId="77777777" w:rsidR="006C4368" w:rsidRDefault="006C4368" w:rsidP="006C4368">
      <w:pPr>
        <w:pStyle w:val="Footnote"/>
        <w:bidi/>
      </w:pPr>
      <w:r>
        <w:rPr>
          <w:rtl/>
        </w:rPr>
        <w:tab/>
        <w:t>ויש שדנו ע"פ דברי ה</w:t>
      </w:r>
      <w:r>
        <w:rPr>
          <w:b/>
          <w:bCs/>
          <w:rtl/>
        </w:rPr>
        <w:t>דרכ"מ</w:t>
      </w:r>
      <w:r>
        <w:rPr>
          <w:rtl/>
        </w:rPr>
        <w:t xml:space="preserve"> (טו א, הו' לעיל כא.) שדן במקדש את השניות, ובא אחר וקידשה צריכה גט משני. דמשמע בטור דמדרבנן הוה כמו עריות ולא תפסי קידושין לראשון, ורק כלפי דאורייתא תפסי. א"נ ה"נ מדרבנן צריך שהיבם יקדש אותה קידושין בעלמא. [ולא משמע כן בשום דוכתא].</w:t>
      </w:r>
    </w:p>
  </w:footnote>
  <w:footnote w:id="5144">
    <w:p w14:paraId="3AE9583E" w14:textId="77777777" w:rsidR="006C4368" w:rsidRDefault="006C4368" w:rsidP="006C4368">
      <w:pPr>
        <w:pStyle w:val="Footnote"/>
        <w:bidi/>
      </w:pPr>
      <w:r>
        <w:rPr>
          <w:rStyle w:val="ac"/>
          <w:rtl/>
        </w:rPr>
        <w:footnoteRef/>
      </w:r>
      <w:r>
        <w:rPr>
          <w:rtl/>
        </w:rPr>
        <w:t>[יל"ד מנ"ל לרמב"ן, די"ל דאיירי שכנסה ביאה ראשונה [דאשה הקנו לו מהשמים], ואם בא לקיימה בביאה שניה תקנו כתובה].</w:t>
      </w:r>
    </w:p>
  </w:footnote>
  <w:footnote w:id="5145">
    <w:p w14:paraId="24EB1ADE" w14:textId="77777777" w:rsidR="006C4368" w:rsidRDefault="006C4368" w:rsidP="006C4368">
      <w:pPr>
        <w:pStyle w:val="Footnote"/>
        <w:bidi/>
      </w:pPr>
      <w:r>
        <w:rPr>
          <w:rStyle w:val="ac"/>
          <w:rtl/>
        </w:rPr>
        <w:footnoteRef/>
      </w:r>
      <w:r>
        <w:rPr>
          <w:rtl/>
        </w:rPr>
        <w:t>וכ"כ ה</w:t>
      </w:r>
      <w:r>
        <w:rPr>
          <w:b/>
          <w:bCs/>
          <w:rtl/>
        </w:rPr>
        <w:t>ריטב"א</w:t>
      </w:r>
      <w:r>
        <w:rPr>
          <w:rtl/>
        </w:rPr>
        <w:t xml:space="preserve"> דאיירי כשכנסה ובא לגרשה. והיא תובעת כתובה בתקנתא דרבנן.</w:t>
      </w:r>
    </w:p>
  </w:footnote>
  <w:footnote w:id="5146">
    <w:p w14:paraId="6A72700B" w14:textId="77777777" w:rsidR="006C4368" w:rsidRDefault="006C4368" w:rsidP="006C4368">
      <w:pPr>
        <w:pStyle w:val="Footnote"/>
        <w:bidi/>
      </w:pPr>
      <w:r>
        <w:rPr>
          <w:rStyle w:val="ac"/>
          <w:rtl/>
        </w:rPr>
        <w:footnoteRef/>
      </w:r>
      <w:r>
        <w:rPr>
          <w:rtl/>
        </w:rPr>
        <w:t xml:space="preserve"> ואי לא חשו לתקן לאשה זו [כיון דתחילת האישות באיסור], א"כ מנ"ל דתקנו שיהא משהה בלא כתובה.</w:t>
      </w:r>
    </w:p>
  </w:footnote>
  <w:footnote w:id="5147">
    <w:p w14:paraId="43413515" w14:textId="77777777" w:rsidR="006C4368" w:rsidRDefault="006C4368" w:rsidP="006C4368">
      <w:pPr>
        <w:pStyle w:val="Footnote"/>
        <w:bidi/>
      </w:pPr>
      <w:r>
        <w:rPr>
          <w:rStyle w:val="ac"/>
          <w:rtl/>
        </w:rPr>
        <w:footnoteRef/>
      </w:r>
      <w:r>
        <w:rPr>
          <w:rtl/>
        </w:rPr>
        <w:t>וביאר דכיון דלא היה לה כתובה מאחיו, אף מהיבם אינה קלה בעיניו להוציאה. [וצ”ב].</w:t>
      </w:r>
    </w:p>
  </w:footnote>
  <w:footnote w:id="5148">
    <w:p w14:paraId="379E2D5D" w14:textId="77777777" w:rsidR="006C4368" w:rsidRDefault="006C4368" w:rsidP="006C4368">
      <w:pPr>
        <w:pStyle w:val="Footnote"/>
        <w:bidi/>
      </w:pPr>
      <w:r>
        <w:rPr>
          <w:rStyle w:val="ac"/>
          <w:rtl/>
        </w:rPr>
        <w:footnoteRef/>
      </w:r>
      <w:r>
        <w:rPr>
          <w:rtl/>
        </w:rPr>
        <w:t>וה</w:t>
      </w:r>
      <w:r>
        <w:rPr>
          <w:b/>
          <w:bCs/>
          <w:rtl/>
        </w:rPr>
        <w:t>אחרונים</w:t>
      </w:r>
      <w:r>
        <w:rPr>
          <w:rtl/>
        </w:rPr>
        <w:t xml:space="preserve"> (או"ש ב יז) הק' מנ"ל לדייק כן. וכת' דהראשונים נקטו דאיירי בלא ייבמה, ומש"ה פשיט"ל דיש לה כתובה.</w:t>
      </w:r>
    </w:p>
  </w:footnote>
  <w:footnote w:id="5149">
    <w:p w14:paraId="4A3F0E3E" w14:textId="77777777" w:rsidR="006C4368" w:rsidRDefault="006C4368" w:rsidP="006C4368">
      <w:pPr>
        <w:pStyle w:val="Footnote"/>
        <w:bidi/>
      </w:pPr>
      <w:r>
        <w:rPr>
          <w:rStyle w:val="ac"/>
          <w:rtl/>
        </w:rPr>
        <w:footnoteRef/>
      </w:r>
      <w:r>
        <w:rPr>
          <w:rtl/>
        </w:rPr>
        <w:t>[דאם בעלו קנו, וכדלעיל כ:]. וה</w:t>
      </w:r>
      <w:r>
        <w:rPr>
          <w:b/>
          <w:bCs/>
          <w:rtl/>
        </w:rPr>
        <w:t>מאירי</w:t>
      </w:r>
      <w:r>
        <w:rPr>
          <w:rtl/>
        </w:rPr>
        <w:t xml:space="preserve"> כת' הואיל ומתיבמת אצלו שלא כדין. [משמע שייבם]. אבל ה</w:t>
      </w:r>
      <w:r>
        <w:rPr>
          <w:b/>
          <w:bCs/>
          <w:rtl/>
        </w:rPr>
        <w:t>רשב"א</w:t>
      </w:r>
      <w:r>
        <w:rPr>
          <w:rtl/>
        </w:rPr>
        <w:t xml:space="preserve"> כת' דלא אתעבדא איסורא כלל, משמע דאיירי שלא ייבמה. והיש"ש כת' דאפשר דאף כוונת הרשב"א דלא עבדא איסורא אצל הראשון, ולעולם איירי שייבמה באיסור. אך הריטב"א סיים אבל אם בא היבם לכונסה קנסינן ליה.</w:t>
      </w:r>
    </w:p>
  </w:footnote>
  <w:footnote w:id="5150">
    <w:p w14:paraId="701248F9" w14:textId="77777777" w:rsidR="006C4368" w:rsidRDefault="006C4368" w:rsidP="006C4368">
      <w:pPr>
        <w:pStyle w:val="Footnote"/>
        <w:bidi/>
      </w:pPr>
      <w:r>
        <w:rPr>
          <w:rStyle w:val="ac"/>
          <w:rtl/>
        </w:rPr>
        <w:footnoteRef/>
      </w:r>
      <w:r>
        <w:rPr>
          <w:rtl/>
        </w:rPr>
        <w:t>והיש"ש הוסיף דאף שאר אשה שקלקלה דרכה אחר מות בעלה לא הפסידה כתובה הראשונה. וה</w:t>
      </w:r>
      <w:r>
        <w:rPr>
          <w:b/>
          <w:bCs/>
          <w:rtl/>
        </w:rPr>
        <w:t>או"ש</w:t>
      </w:r>
      <w:r>
        <w:rPr>
          <w:rtl/>
        </w:rPr>
        <w:t xml:space="preserve"> (שם) דן דלכאורה תלי בגדר חיוב כתובה דהבעל במקום יבם, דנח' בגמ' (כתובות פא.) אי יבם כאחר דמי, והבעל נתחייב לה כתובה והוה כאילו חוזרת ומכנסת ליבם. [וכמ"ש </w:t>
      </w:r>
      <w:r>
        <w:rPr>
          <w:b/>
          <w:bCs/>
          <w:rtl/>
        </w:rPr>
        <w:t>תוס</w:t>
      </w:r>
      <w:r>
        <w:rPr>
          <w:rtl/>
        </w:rPr>
        <w:t>' כתובות פ: ד"ה יורשי]. ולמ"ד יבם לאו כאחר, ליכא חיוב כתובה עד שהיבם מגרש.</w:t>
      </w:r>
    </w:p>
  </w:footnote>
  <w:footnote w:id="5151">
    <w:p w14:paraId="08865A3E" w14:textId="77777777" w:rsidR="006C4368" w:rsidRDefault="006C4368" w:rsidP="006C4368">
      <w:pPr>
        <w:pStyle w:val="Footnote"/>
        <w:bidi/>
      </w:pPr>
      <w:r>
        <w:rPr>
          <w:rStyle w:val="ac"/>
          <w:rtl/>
        </w:rPr>
        <w:footnoteRef/>
      </w:r>
      <w:r>
        <w:rPr>
          <w:rtl/>
        </w:rPr>
        <w:t>ויל"ד דעכ"פ לאחר שגירשה תגבה למפרע.</w:t>
      </w:r>
    </w:p>
  </w:footnote>
  <w:footnote w:id="5152">
    <w:p w14:paraId="2540B1A6" w14:textId="77777777" w:rsidR="006C4368" w:rsidRDefault="006C4368" w:rsidP="006C4368">
      <w:pPr>
        <w:pStyle w:val="Footnote"/>
        <w:bidi/>
      </w:pPr>
      <w:r>
        <w:rPr>
          <w:rStyle w:val="ac"/>
          <w:rtl/>
        </w:rPr>
        <w:footnoteRef/>
      </w:r>
      <w:r>
        <w:rPr>
          <w:rtl/>
        </w:rPr>
        <w:t>ולפ"ז דוקא כשהלך למדינת הים, אבל היכא דישבו כאן ומאיזה טעם לוותה ואכלה ודאי קנסינן ליה. ואילו לדברי הריטב"א י"ל דכל מזונות לשעבר יש לה. [וצ"ע].</w:t>
      </w:r>
    </w:p>
  </w:footnote>
  <w:footnote w:id="5153">
    <w:p w14:paraId="3DEBFED4" w14:textId="77777777" w:rsidR="006C4368" w:rsidRDefault="006C4368" w:rsidP="006C4368">
      <w:pPr>
        <w:pStyle w:val="Footnote"/>
        <w:bidi/>
      </w:pPr>
      <w:r>
        <w:rPr>
          <w:rStyle w:val="ac"/>
          <w:rtl/>
        </w:rPr>
        <w:footnoteRef/>
      </w:r>
      <w:r>
        <w:rPr>
          <w:rtl/>
        </w:rPr>
        <w:t>ומשמע דס"ד דאף לאחר מיתה אין לה. [כיון דביטלו תקנת מזונות באשה זו]. {ואפשר דהנידון האם תקנת מזונות אלמנה מישך לגדר מזונות אשת איש, או דהוה תקנ"ח בפנ"ע. ואכ"מ}.</w:t>
      </w:r>
    </w:p>
  </w:footnote>
  <w:footnote w:id="5154">
    <w:p w14:paraId="219BD678" w14:textId="77777777" w:rsidR="006C4368" w:rsidRDefault="006C4368" w:rsidP="006C4368">
      <w:pPr>
        <w:pStyle w:val="Footnote"/>
        <w:bidi/>
      </w:pPr>
      <w:r>
        <w:rPr>
          <w:rStyle w:val="ac"/>
          <w:rtl/>
        </w:rPr>
        <w:footnoteRef/>
      </w:r>
      <w:r>
        <w:rPr>
          <w:rtl/>
        </w:rPr>
        <w:t xml:space="preserve">אך </w:t>
      </w:r>
      <w:r>
        <w:rPr>
          <w:b/>
          <w:bCs/>
          <w:rtl/>
        </w:rPr>
        <w:t>ה"ה</w:t>
      </w:r>
      <w:r>
        <w:rPr>
          <w:rtl/>
        </w:rPr>
        <w:t xml:space="preserve"> הביא דהרי"ף הביא רק ל"ק. וכת' דכן נראה עיקר, דהא משמע דלישני לא פליגן במידי.</w:t>
      </w:r>
    </w:p>
  </w:footnote>
  <w:footnote w:id="5155">
    <w:p w14:paraId="727F900F" w14:textId="77777777" w:rsidR="006C4368" w:rsidRDefault="006C4368" w:rsidP="006C4368">
      <w:pPr>
        <w:pStyle w:val="Footnote"/>
        <w:bidi/>
      </w:pPr>
      <w:r>
        <w:rPr>
          <w:rStyle w:val="ac"/>
          <w:rtl/>
        </w:rPr>
        <w:footnoteRef/>
      </w:r>
      <w:r>
        <w:rPr>
          <w:rtl/>
        </w:rPr>
        <w:t>ולצד (לעיל סה.) דאף בממון יש חזקה בתרי זימני. וה</w:t>
      </w:r>
      <w:r>
        <w:rPr>
          <w:b/>
          <w:bCs/>
          <w:rtl/>
        </w:rPr>
        <w:t>רמב"ן</w:t>
      </w:r>
      <w:r>
        <w:rPr>
          <w:rtl/>
        </w:rPr>
        <w:t xml:space="preserve"> (כתובות מג:) הכריע דיש לה כתובה משני, דלענין ממון לא הוחזקה קטלנית אלא בג' פעמים.</w:t>
      </w:r>
    </w:p>
  </w:footnote>
  <w:footnote w:id="5156">
    <w:p w14:paraId="22C680D1" w14:textId="77777777" w:rsidR="006C4368" w:rsidRDefault="006C4368" w:rsidP="006C4368">
      <w:pPr>
        <w:pStyle w:val="Footnote"/>
        <w:bidi/>
      </w:pPr>
      <w:r>
        <w:rPr>
          <w:rStyle w:val="ac"/>
          <w:rtl/>
        </w:rPr>
        <w:footnoteRef/>
      </w:r>
      <w:r>
        <w:rPr>
          <w:rtl/>
        </w:rPr>
        <w:t>[דנתברר למפרע דמעין דידה גרם, והוה כשאר מומין. ודעת ר' משה בר"י מנרבונא (בראשונים שם) משום דלא קרינן כשתנשאי לחאר תטלי וכו', דאסורה לינשא]. אך יש ראשונים (ע' ר"ן כתובות מג: טו. בדה"ר) דקטלנית אינה מפסדת כתובתה משני.</w:t>
      </w:r>
    </w:p>
  </w:footnote>
  <w:footnote w:id="5157">
    <w:p w14:paraId="3448A506" w14:textId="77777777" w:rsidR="006C4368" w:rsidRDefault="006C4368" w:rsidP="006C4368">
      <w:pPr>
        <w:pStyle w:val="Footnote"/>
        <w:bidi/>
      </w:pPr>
      <w:r>
        <w:rPr>
          <w:rStyle w:val="ac"/>
          <w:rtl/>
        </w:rPr>
        <w:footnoteRef/>
      </w:r>
      <w:r>
        <w:rPr>
          <w:rtl/>
        </w:rPr>
        <w:t xml:space="preserve">וכ"כ </w:t>
      </w:r>
      <w:r>
        <w:rPr>
          <w:b/>
          <w:bCs/>
          <w:rtl/>
        </w:rPr>
        <w:t>ר"ת</w:t>
      </w:r>
      <w:r>
        <w:rPr>
          <w:rtl/>
        </w:rPr>
        <w:t xml:space="preserve"> (בתוס' שם קח. ד”ה הא בתו"ד) דע"כ איירי בפסקו לה. ור"ת כת' דאפ"ה [היכא דלא הוה דרך הלואה] נחשב מבריח ארי, ואין כאן ודאי הפסד. דסבור שהיא תצמצם במזונותיה אם לא תמצא מי שילווה לה.</w:t>
      </w:r>
    </w:p>
  </w:footnote>
  <w:footnote w:id="5158">
    <w:p w14:paraId="61EF9B83" w14:textId="77777777" w:rsidR="006C4368" w:rsidRDefault="006C4368" w:rsidP="006C4368">
      <w:pPr>
        <w:pStyle w:val="Footnote"/>
        <w:bidi/>
      </w:pPr>
      <w:r>
        <w:rPr>
          <w:rStyle w:val="ac"/>
          <w:rtl/>
        </w:rPr>
        <w:footnoteRef/>
      </w:r>
      <w:r>
        <w:rPr>
          <w:rtl/>
        </w:rPr>
        <w:t>דהיכא דהאשה לוותה ע"מ שתשלם המלוה תובע מהאשה, והאשה תובעת מהבעל. ודוקא היכא דהלווה בסתם אמרי' דהוה על דעת הבעל, והניח מעותיו על קרן הצבי. וכן ה</w:t>
      </w:r>
      <w:r>
        <w:rPr>
          <w:b/>
          <w:bCs/>
          <w:rtl/>
        </w:rPr>
        <w:t>רי"ף</w:t>
      </w:r>
      <w:r>
        <w:rPr>
          <w:rtl/>
        </w:rPr>
        <w:t xml:space="preserve"> (כתובות שם סג. בדה"ר) חילק היכא דלוותה ואכלה, והביא כדאמרי' בסוגיין דלוותה ואכלה מתחייב.</w:t>
      </w:r>
    </w:p>
  </w:footnote>
  <w:footnote w:id="5159">
    <w:p w14:paraId="402DE39B" w14:textId="77777777" w:rsidR="006C4368" w:rsidRDefault="006C4368" w:rsidP="006C4368">
      <w:pPr>
        <w:pStyle w:val="Footnote"/>
        <w:bidi/>
      </w:pPr>
      <w:r>
        <w:rPr>
          <w:rStyle w:val="ac"/>
          <w:rtl/>
        </w:rPr>
        <w:footnoteRef/>
      </w:r>
      <w:r>
        <w:rPr>
          <w:rtl/>
        </w:rPr>
        <w:t>אבל לדברי התוס' זהו ספק דהגמ' בהלך למדינת הים.</w:t>
      </w:r>
    </w:p>
  </w:footnote>
  <w:footnote w:id="5160">
    <w:p w14:paraId="3B81842E" w14:textId="77777777" w:rsidR="006C4368" w:rsidRDefault="006C4368" w:rsidP="006C4368">
      <w:pPr>
        <w:pStyle w:val="Footnote"/>
        <w:bidi/>
      </w:pPr>
      <w:r>
        <w:rPr>
          <w:rStyle w:val="ac"/>
          <w:rtl/>
        </w:rPr>
        <w:footnoteRef/>
      </w:r>
      <w:r>
        <w:rPr>
          <w:rtl/>
        </w:rPr>
        <w:t>וכ"כ ה</w:t>
      </w:r>
      <w:r>
        <w:rPr>
          <w:b/>
          <w:bCs/>
          <w:rtl/>
        </w:rPr>
        <w:t>רמב"ן</w:t>
      </w:r>
      <w:r>
        <w:rPr>
          <w:rtl/>
        </w:rPr>
        <w:t xml:space="preserve"> (כתובות צו. הו' בר”ן שם וברמ”א ע ח) דאפי' מכרה בנכסיה בטובת הנאה ולא תבעה מזונות הפסידה מיד, שדרך הנשים לגלגל עם בעליהן ולסייע להם. [והמגיה לריטב"א הק' דהתם הטעם משום דהוה לה לתבוע מזונות יש ראיה שמחלה, אבל הכא דאף אי תבעה אין לה, אמאי יש לנו לומר שנתכוונה למחילה].</w:t>
      </w:r>
    </w:p>
  </w:footnote>
  <w:footnote w:id="5161">
    <w:p w14:paraId="72B8AE80" w14:textId="77777777" w:rsidR="006C4368" w:rsidRDefault="006C4368" w:rsidP="006C4368">
      <w:pPr>
        <w:pStyle w:val="Footnote"/>
        <w:bidi/>
      </w:pPr>
      <w:r>
        <w:rPr>
          <w:rStyle w:val="ac"/>
          <w:rtl/>
        </w:rPr>
        <w:footnoteRef/>
      </w:r>
      <w:r>
        <w:rPr>
          <w:rtl/>
        </w:rPr>
        <w:t>צ"ב דהא איירי כשהלך למדינת הים ואינו כאן. וי"ל דמ"מ הניח אותה כדי שתאכל.</w:t>
      </w:r>
    </w:p>
  </w:footnote>
  <w:footnote w:id="5162">
    <w:p w14:paraId="320B63E1" w14:textId="77777777" w:rsidR="006C4368" w:rsidRDefault="006C4368" w:rsidP="006C4368">
      <w:pPr>
        <w:pStyle w:val="Footnote"/>
        <w:bidi/>
      </w:pPr>
      <w:r>
        <w:rPr>
          <w:rStyle w:val="ac"/>
          <w:rtl/>
        </w:rPr>
        <w:footnoteRef/>
      </w:r>
      <w:r>
        <w:rPr>
          <w:rtl/>
        </w:rPr>
        <w:t>וכ"כ ה</w:t>
      </w:r>
      <w:r>
        <w:rPr>
          <w:b/>
          <w:bCs/>
          <w:rtl/>
        </w:rPr>
        <w:t>תוס' רא"ש</w:t>
      </w:r>
      <w:r>
        <w:rPr>
          <w:rtl/>
        </w:rPr>
        <w:t xml:space="preserve"> דנראה שהשניה אינה יכולה לעכב על ידו שלא יאכל הפירות, אע"פ שאינו משלם לה כלל אם נשבית, שא"כ הייתה מייפה כח האשה. שכל הנשים חפיצות בכך שלא יאכל הבעל הפירות ולא יתחייב בפרקונה, ואנן לאשה הוא דקנסינן ולא לאיש.</w:t>
      </w:r>
    </w:p>
  </w:footnote>
  <w:footnote w:id="5163">
    <w:p w14:paraId="7A03807B" w14:textId="77777777" w:rsidR="006C4368" w:rsidRDefault="006C4368" w:rsidP="006C4368">
      <w:pPr>
        <w:pStyle w:val="Footnote"/>
        <w:bidi/>
      </w:pPr>
      <w:r>
        <w:rPr>
          <w:rStyle w:val="ac"/>
          <w:rtl/>
        </w:rPr>
        <w:footnoteRef/>
      </w:r>
      <w:r>
        <w:rPr>
          <w:rtl/>
        </w:rPr>
        <w:t>וכ"כ ה</w:t>
      </w:r>
      <w:r>
        <w:rPr>
          <w:b/>
          <w:bCs/>
          <w:rtl/>
        </w:rPr>
        <w:t>רמב"ם</w:t>
      </w:r>
      <w:r>
        <w:rPr>
          <w:rtl/>
        </w:rPr>
        <w:t xml:space="preserve"> (אישות כד ד) דכשכופין להוציא, מוציאין ממנו כל הפירות שאכל מכל נכסיה. וע' או"ש (אישות יב ד) שהעמיד מח' זו.</w:t>
      </w:r>
    </w:p>
    <w:p w14:paraId="7364F567" w14:textId="77777777" w:rsidR="006C4368" w:rsidRDefault="006C4368" w:rsidP="006C4368">
      <w:pPr>
        <w:pStyle w:val="Footnote"/>
        <w:bidi/>
      </w:pPr>
      <w:r>
        <w:rPr>
          <w:rtl/>
        </w:rPr>
        <w:tab/>
        <w:t>[ומשמע מדבריו דכל זמן שהיא תחתיו אין מוציאין מידו. דנכסי מלוג שאכל שלא כדין דינם כנכסי צאן ברזל דאמרי' דלא ניתנה כתובה ליגבות מחיים. ואם מתה הבעל יורשם].</w:t>
      </w:r>
    </w:p>
  </w:footnote>
  <w:footnote w:id="5164">
    <w:p w14:paraId="0327610A" w14:textId="77777777" w:rsidR="006C4368" w:rsidRDefault="006C4368" w:rsidP="006C4368">
      <w:pPr>
        <w:pStyle w:val="Footnote"/>
        <w:bidi/>
      </w:pPr>
      <w:r>
        <w:rPr>
          <w:rStyle w:val="ac"/>
          <w:rtl/>
        </w:rPr>
        <w:footnoteRef/>
      </w:r>
      <w:r>
        <w:rPr>
          <w:rtl/>
        </w:rPr>
        <w:t>אפי' מה שאכל שלא כדין.</w:t>
      </w:r>
    </w:p>
  </w:footnote>
  <w:footnote w:id="5165">
    <w:p w14:paraId="18C27069" w14:textId="77777777" w:rsidR="006C4368" w:rsidRDefault="006C4368" w:rsidP="006C4368">
      <w:pPr>
        <w:pStyle w:val="Footnote"/>
        <w:bidi/>
      </w:pPr>
      <w:r>
        <w:rPr>
          <w:rStyle w:val="ac"/>
          <w:rtl/>
        </w:rPr>
        <w:footnoteRef/>
      </w:r>
      <w:r>
        <w:rPr>
          <w:rtl/>
        </w:rPr>
        <w:t>אך לכאו' כ"ז פירות שאכל, ומכאן ולהבא הבעל אינו רשאי לאכול פירות. ולכאורה אף מה שעדיין בעין צריך להחזיר.</w:t>
      </w:r>
    </w:p>
  </w:footnote>
  <w:footnote w:id="5166">
    <w:p w14:paraId="765F3353" w14:textId="77777777" w:rsidR="006C4368" w:rsidRDefault="006C4368" w:rsidP="006C4368">
      <w:pPr>
        <w:pStyle w:val="Footnote"/>
        <w:bidi/>
      </w:pPr>
      <w:r>
        <w:rPr>
          <w:rStyle w:val="ac"/>
          <w:rtl/>
        </w:rPr>
        <w:footnoteRef/>
      </w:r>
      <w:r>
        <w:rPr>
          <w:rtl/>
        </w:rPr>
        <w:t>דפ</w:t>
      </w:r>
      <w:r>
        <w:rPr>
          <w:b/>
          <w:bCs/>
          <w:rtl/>
        </w:rPr>
        <w:t>רש"י</w:t>
      </w:r>
      <w:r>
        <w:rPr>
          <w:rtl/>
        </w:rPr>
        <w:t xml:space="preserve"> (שם ד"ה קנסום) דבלאות דנכסי מלוג שהוציא שלא ברשות. וכ”כ (ד"ה ולדידיה) בלאות דנכסי צ"ב שהוציא ברשות.</w:t>
      </w:r>
    </w:p>
  </w:footnote>
  <w:footnote w:id="5167">
    <w:p w14:paraId="3D40FD6D" w14:textId="77777777" w:rsidR="006C4368" w:rsidRDefault="006C4368" w:rsidP="006C4368">
      <w:pPr>
        <w:pStyle w:val="Footnote"/>
        <w:bidi/>
      </w:pPr>
      <w:r>
        <w:rPr>
          <w:rStyle w:val="ac"/>
          <w:rtl/>
        </w:rPr>
        <w:footnoteRef/>
      </w:r>
      <w:r>
        <w:rPr>
          <w:rtl/>
        </w:rPr>
        <w:t xml:space="preserve">אבל </w:t>
      </w:r>
      <w:r>
        <w:rPr>
          <w:b/>
          <w:bCs/>
          <w:rtl/>
        </w:rPr>
        <w:t>תוס'</w:t>
      </w:r>
      <w:r>
        <w:rPr>
          <w:rtl/>
        </w:rPr>
        <w:t xml:space="preserve"> הק' רק דמשמע שם דסתם בלאות לא איירי בקיימין. [ולא הק' מעצם הדין, די"ל דהכא קנסו טפי].</w:t>
      </w:r>
    </w:p>
  </w:footnote>
  <w:footnote w:id="5168">
    <w:p w14:paraId="01470542" w14:textId="77777777" w:rsidR="006C4368" w:rsidRDefault="006C4368" w:rsidP="006C4368">
      <w:pPr>
        <w:pStyle w:val="Footnote"/>
        <w:bidi/>
      </w:pPr>
      <w:r>
        <w:rPr>
          <w:rStyle w:val="ac"/>
          <w:rtl/>
        </w:rPr>
        <w:footnoteRef/>
      </w:r>
      <w:r>
        <w:rPr>
          <w:rtl/>
        </w:rPr>
        <w:t>וה</w:t>
      </w:r>
      <w:r>
        <w:rPr>
          <w:b/>
          <w:bCs/>
          <w:rtl/>
        </w:rPr>
        <w:t xml:space="preserve">רשב"א </w:t>
      </w:r>
      <w:r>
        <w:rPr>
          <w:rtl/>
        </w:rPr>
        <w:t>כת' די"ל דלדעת רש"י נח' בזה רב כהנא ורב נחמן בכתובות שם.</w:t>
      </w:r>
    </w:p>
  </w:footnote>
  <w:footnote w:id="5169">
    <w:p w14:paraId="1CA17378" w14:textId="77777777" w:rsidR="006C4368" w:rsidRDefault="006C4368" w:rsidP="006C4368">
      <w:pPr>
        <w:pStyle w:val="Footnote"/>
        <w:bidi/>
      </w:pPr>
      <w:r>
        <w:rPr>
          <w:rStyle w:val="ac"/>
          <w:rtl/>
        </w:rPr>
        <w:footnoteRef/>
      </w:r>
      <w:r>
        <w:rPr>
          <w:rtl/>
        </w:rPr>
        <w:t>והגמ' פי' דלמד כן דומיא דאילונית דהטעם דאין לה כתובה משום דהוה מקח טעות.</w:t>
      </w:r>
    </w:p>
  </w:footnote>
  <w:footnote w:id="5170">
    <w:p w14:paraId="78D788CD" w14:textId="77777777" w:rsidR="006C4368" w:rsidRDefault="006C4368" w:rsidP="006C4368">
      <w:pPr>
        <w:pStyle w:val="Footnote"/>
        <w:bidi/>
      </w:pPr>
      <w:r>
        <w:rPr>
          <w:rStyle w:val="ac"/>
          <w:rtl/>
        </w:rPr>
        <w:footnoteRef/>
      </w:r>
      <w:r>
        <w:rPr>
          <w:rtl/>
        </w:rPr>
        <w:t>וה</w:t>
      </w:r>
      <w:r>
        <w:rPr>
          <w:b/>
          <w:bCs/>
          <w:rtl/>
        </w:rPr>
        <w:t>רי"ף</w:t>
      </w:r>
      <w:r>
        <w:rPr>
          <w:rtl/>
        </w:rPr>
        <w:t xml:space="preserve"> (שם ס. בדה"ס) כת' דמ"מ יש לה תוספת כתובה, וכדין אילונית משום חיבת ביאה. וה</w:t>
      </w:r>
      <w:r>
        <w:rPr>
          <w:b/>
          <w:bCs/>
          <w:rtl/>
        </w:rPr>
        <w:t>ראב"ד</w:t>
      </w:r>
      <w:r>
        <w:rPr>
          <w:rtl/>
        </w:rPr>
        <w:t xml:space="preserve"> (בריטב"א שם) הק' דהוה מקח טעות, והיאך יש להן תוספת כתובה. ובשלמא שניות משכח"ל בשהכיר בה.</w:t>
      </w:r>
    </w:p>
  </w:footnote>
  <w:footnote w:id="5171">
    <w:p w14:paraId="7FA80D61" w14:textId="77777777" w:rsidR="006C4368" w:rsidRDefault="006C4368" w:rsidP="006C4368">
      <w:pPr>
        <w:pStyle w:val="Footnote"/>
        <w:bidi/>
      </w:pPr>
      <w:r>
        <w:rPr>
          <w:rStyle w:val="ac"/>
          <w:rtl/>
        </w:rPr>
        <w:footnoteRef/>
      </w:r>
      <w:r>
        <w:rPr>
          <w:rtl/>
        </w:rPr>
        <w:t>וה</w:t>
      </w:r>
      <w:r>
        <w:rPr>
          <w:b/>
          <w:bCs/>
          <w:rtl/>
        </w:rPr>
        <w:t>רמב"ם</w:t>
      </w:r>
      <w:r>
        <w:rPr>
          <w:rtl/>
        </w:rPr>
        <w:t xml:space="preserve"> (כד ד) חילק דה"מ חייבי לאוין. אבל חייבי עשה לחוד, אף בלא הכיר בה לא הוה מקח טעות.</w:t>
      </w:r>
    </w:p>
  </w:footnote>
  <w:footnote w:id="5172">
    <w:p w14:paraId="6D162FDB" w14:textId="77777777" w:rsidR="006C4368" w:rsidRDefault="006C4368" w:rsidP="006C4368">
      <w:pPr>
        <w:pStyle w:val="Footnote"/>
        <w:bidi/>
      </w:pPr>
      <w:r>
        <w:rPr>
          <w:rStyle w:val="ac"/>
          <w:rtl/>
        </w:rPr>
        <w:footnoteRef/>
      </w:r>
      <w:r>
        <w:rPr>
          <w:rtl/>
        </w:rPr>
        <w:t>{ואפשר דגדר הקנס בשניות דעשאום כמי שלא הכיר בה}.</w:t>
      </w:r>
    </w:p>
  </w:footnote>
  <w:footnote w:id="5173">
    <w:p w14:paraId="0736DAE0" w14:textId="77777777" w:rsidR="006C4368" w:rsidRDefault="006C4368" w:rsidP="006C4368">
      <w:pPr>
        <w:pStyle w:val="Footnote"/>
        <w:bidi/>
      </w:pPr>
      <w:r>
        <w:rPr>
          <w:rStyle w:val="ac"/>
          <w:rtl/>
        </w:rPr>
        <w:footnoteRef/>
      </w:r>
      <w:r>
        <w:rPr>
          <w:rtl/>
        </w:rPr>
        <w:t>ודעת תוס' דהבעל אוכל פירות. ואילו לדעת רש”י (הנ”ל) דאינו אוכל פירות.</w:t>
      </w:r>
    </w:p>
  </w:footnote>
  <w:footnote w:id="5174">
    <w:p w14:paraId="5E776FA8" w14:textId="77777777" w:rsidR="006C4368" w:rsidRDefault="006C4368" w:rsidP="006C4368">
      <w:pPr>
        <w:pStyle w:val="Footnote"/>
        <w:bidi/>
      </w:pPr>
      <w:r>
        <w:rPr>
          <w:rStyle w:val="ac"/>
          <w:rtl/>
        </w:rPr>
        <w:footnoteRef/>
      </w:r>
      <w:r>
        <w:rPr>
          <w:rtl/>
        </w:rPr>
        <w:t>וכ"ה ב</w:t>
      </w:r>
      <w:r>
        <w:rPr>
          <w:b/>
          <w:bCs/>
          <w:rtl/>
        </w:rPr>
        <w:t>ריטב"א</w:t>
      </w:r>
      <w:r>
        <w:rPr>
          <w:rtl/>
        </w:rPr>
        <w:t>. אבל ה</w:t>
      </w:r>
      <w:r>
        <w:rPr>
          <w:b/>
          <w:bCs/>
          <w:rtl/>
        </w:rPr>
        <w:t>נמוק"י</w:t>
      </w:r>
      <w:r>
        <w:rPr>
          <w:rtl/>
        </w:rPr>
        <w:t xml:space="preserve"> העתיק ולא יורשה [ולא] מטמא לה. דאף לזה אינה כאשתו. וכן ה</w:t>
      </w:r>
      <w:r>
        <w:rPr>
          <w:b/>
          <w:bCs/>
          <w:rtl/>
        </w:rPr>
        <w:t>גר"א</w:t>
      </w:r>
      <w:r>
        <w:rPr>
          <w:rtl/>
        </w:rPr>
        <w:t xml:space="preserve"> (קטז ד) הביא את דברי הנמוק"י. (וע' חזו"א עט י).</w:t>
      </w:r>
    </w:p>
  </w:footnote>
  <w:footnote w:id="5175">
    <w:p w14:paraId="27036749" w14:textId="77777777" w:rsidR="006C4368" w:rsidRDefault="006C4368" w:rsidP="006C4368">
      <w:pPr>
        <w:pStyle w:val="Footnote"/>
        <w:bidi/>
      </w:pPr>
      <w:r>
        <w:rPr>
          <w:rStyle w:val="ac"/>
          <w:rtl/>
        </w:rPr>
        <w:footnoteRef/>
      </w:r>
      <w:r>
        <w:rPr>
          <w:rtl/>
        </w:rPr>
        <w:t>ומדברי הרמב"ן מבואר דשניות לא נחשב אשתו פסולה. [דלא תקנו מדרבנן שיחשב 'פסולה'].</w:t>
      </w:r>
    </w:p>
  </w:footnote>
  <w:footnote w:id="5176">
    <w:p w14:paraId="489E1A89" w14:textId="77777777" w:rsidR="006C4368" w:rsidRDefault="006C4368" w:rsidP="006C4368">
      <w:pPr>
        <w:pStyle w:val="Footnote"/>
        <w:bidi/>
      </w:pPr>
      <w:r>
        <w:rPr>
          <w:rStyle w:val="ac"/>
          <w:rtl/>
        </w:rPr>
        <w:footnoteRef/>
      </w:r>
      <w:r>
        <w:rPr>
          <w:rtl/>
        </w:rPr>
        <w:t>ועד"ז כת' ה</w:t>
      </w:r>
      <w:r>
        <w:rPr>
          <w:b/>
          <w:bCs/>
          <w:rtl/>
        </w:rPr>
        <w:t>ריטב"א</w:t>
      </w:r>
      <w:r>
        <w:rPr>
          <w:rtl/>
        </w:rPr>
        <w:t xml:space="preserve"> דהא דאי' בתוספתא דזכאי במעש"י, איירי שזן אותה בשתיקה, דזוכה במעש"י שעשתה כל אותו זמן. והו' ב</w:t>
      </w:r>
      <w:r>
        <w:rPr>
          <w:b/>
          <w:bCs/>
          <w:rtl/>
        </w:rPr>
        <w:t>רמ"א</w:t>
      </w:r>
      <w:r>
        <w:rPr>
          <w:rtl/>
        </w:rPr>
        <w:t xml:space="preserve"> (קטז א). ולא אמרי' שמחל לה לגמרי, אלא גובה ממנו מעש"י או תתן מזונותיה. [משמע מדבריו דיכולה להחזיר עכשיו דמי מזונות, ועי"ז תזכה במעש"י למפרע].</w:t>
      </w:r>
    </w:p>
  </w:footnote>
  <w:footnote w:id="5177">
    <w:p w14:paraId="746CCA64" w14:textId="77777777" w:rsidR="006C4368" w:rsidRDefault="006C4368" w:rsidP="006C4368">
      <w:pPr>
        <w:pStyle w:val="Footnote"/>
        <w:bidi/>
      </w:pPr>
      <w:r>
        <w:rPr>
          <w:rStyle w:val="ac"/>
          <w:rtl/>
        </w:rPr>
        <w:footnoteRef/>
      </w:r>
      <w:r>
        <w:rPr>
          <w:rtl/>
        </w:rPr>
        <w:t>וה</w:t>
      </w:r>
      <w:r>
        <w:rPr>
          <w:b/>
          <w:bCs/>
          <w:rtl/>
        </w:rPr>
        <w:t>רמב”ן</w:t>
      </w:r>
      <w:r>
        <w:rPr>
          <w:rtl/>
        </w:rPr>
        <w:t xml:space="preserve"> כת' דאפי' בשאר הנשים נמי קרוב הדבר לדון כן כשתבעה ולא רצה לזון ועשתה לעצמה ובאו לבי"ד אין לו זכות על מעש"י. ואף שלא אמרה איני ניזונת ואיני עושה.</w:t>
      </w:r>
    </w:p>
  </w:footnote>
  <w:footnote w:id="5178">
    <w:p w14:paraId="0C9D4941" w14:textId="77777777" w:rsidR="006C4368" w:rsidRDefault="006C4368" w:rsidP="006C4368">
      <w:pPr>
        <w:pStyle w:val="Footnote"/>
        <w:bidi/>
      </w:pPr>
      <w:r>
        <w:rPr>
          <w:rStyle w:val="ac"/>
          <w:rtl/>
        </w:rPr>
        <w:footnoteRef/>
      </w:r>
      <w:r>
        <w:rPr>
          <w:rtl/>
        </w:rPr>
        <w:t>ויל"ד האם הוה קנס בעלמא שלא יעבוד, או דמדרבנן תקנו לחלל קדושת כהונתו לענין עבודה. [ויל"ד א"כ האיך סגי דמדיר הנאה].</w:t>
      </w:r>
    </w:p>
  </w:footnote>
  <w:footnote w:id="5179">
    <w:p w14:paraId="090FFDE3" w14:textId="77777777" w:rsidR="006C4368" w:rsidRDefault="006C4368" w:rsidP="006C4368">
      <w:pPr>
        <w:pStyle w:val="Footnote"/>
        <w:bidi/>
      </w:pPr>
      <w:r>
        <w:rPr>
          <w:rStyle w:val="ac"/>
          <w:rtl/>
        </w:rPr>
        <w:footnoteRef/>
      </w:r>
      <w:r>
        <w:rPr>
          <w:rtl/>
        </w:rPr>
        <w:t>וכ"כ ה</w:t>
      </w:r>
      <w:r>
        <w:rPr>
          <w:b/>
          <w:bCs/>
          <w:rtl/>
        </w:rPr>
        <w:t>רע"ב</w:t>
      </w:r>
      <w:r>
        <w:rPr>
          <w:rtl/>
        </w:rPr>
        <w:t xml:space="preserve"> דחלוצה עשאוה כשל תורה לענין זה. וה</w:t>
      </w:r>
      <w:r>
        <w:rPr>
          <w:b/>
          <w:bCs/>
          <w:rtl/>
        </w:rPr>
        <w:t xml:space="preserve">תוי"ט </w:t>
      </w:r>
      <w:r>
        <w:rPr>
          <w:rtl/>
        </w:rPr>
        <w:t>הק' מנ"ל דעשו חלוצה כשל תורה יותר מן השניות, ובהדיא אי' בגמרא [לאידך לישנא] דמשום הך קושיא צריכין לטעם אחר דשהוא מרגילה והיא מרגילתו. [וי"ל דכוונת הרע"ב דהך לישנא פליג, וכרשב"א].</w:t>
      </w:r>
    </w:p>
  </w:footnote>
  <w:footnote w:id="5180">
    <w:p w14:paraId="458B9494" w14:textId="77777777" w:rsidR="006C4368" w:rsidRDefault="006C4368" w:rsidP="006C4368">
      <w:pPr>
        <w:pStyle w:val="Footnote"/>
        <w:bidi/>
      </w:pPr>
      <w:r>
        <w:rPr>
          <w:rStyle w:val="ac"/>
          <w:rtl/>
        </w:rPr>
        <w:footnoteRef/>
      </w:r>
      <w:r>
        <w:rPr>
          <w:rtl/>
        </w:rPr>
        <w:t>דהרמב"ם לא כתב הך טעם דמרגילתו, וכתב סתם דין חייבי לאוין ולא הזכיר דין חלוצה כלל. וסתימת דבריו דכל שאינו חייבי לאוין הוה בכלל שניות.</w:t>
      </w:r>
    </w:p>
  </w:footnote>
  <w:footnote w:id="5181">
    <w:p w14:paraId="16CFC490" w14:textId="77777777" w:rsidR="006C4368" w:rsidRDefault="006C4368" w:rsidP="006C4368">
      <w:pPr>
        <w:pStyle w:val="Footnote"/>
        <w:bidi/>
      </w:pPr>
      <w:r>
        <w:rPr>
          <w:rStyle w:val="ac"/>
          <w:rtl/>
        </w:rPr>
        <w:footnoteRef/>
      </w:r>
      <w:r>
        <w:rPr>
          <w:rtl/>
        </w:rPr>
        <w:t>ואף דנח' בזה הלשונות, הוה ספיקא דלישני, ומספיקא לא מפקינן ממונא.</w:t>
      </w:r>
    </w:p>
  </w:footnote>
  <w:footnote w:id="5182">
    <w:p w14:paraId="3BB49723" w14:textId="77777777" w:rsidR="006C4368" w:rsidRDefault="006C4368" w:rsidP="006C4368">
      <w:pPr>
        <w:pStyle w:val="Footnote"/>
        <w:bidi/>
      </w:pPr>
      <w:r>
        <w:rPr>
          <w:rStyle w:val="ac"/>
          <w:rtl/>
        </w:rPr>
        <w:footnoteRef/>
      </w:r>
      <w:r>
        <w:rPr>
          <w:rtl/>
        </w:rPr>
        <w:t>שכן דרך בכל מקום לשנות חלוצה בהדי גרושה. וב</w:t>
      </w:r>
      <w:r>
        <w:rPr>
          <w:b/>
          <w:bCs/>
          <w:rtl/>
        </w:rPr>
        <w:t>בדק הבית</w:t>
      </w:r>
      <w:r>
        <w:rPr>
          <w:rtl/>
        </w:rPr>
        <w:t xml:space="preserve"> כת' דעי"ל דהמשנה ס"ל כטעם דזו היא מרגילתו, לא קי"ל כוותה.</w:t>
      </w:r>
    </w:p>
    <w:p w14:paraId="1A16F6DA" w14:textId="77777777" w:rsidR="006C4368" w:rsidRDefault="006C4368" w:rsidP="006C4368">
      <w:pPr>
        <w:pStyle w:val="Footnote"/>
        <w:bidi/>
      </w:pPr>
      <w:r>
        <w:rPr>
          <w:rtl/>
        </w:rPr>
        <w:tab/>
        <w:t>אבל ה</w:t>
      </w:r>
      <w:r>
        <w:rPr>
          <w:b/>
          <w:bCs/>
          <w:rtl/>
        </w:rPr>
        <w:t>חזו"א</w:t>
      </w:r>
      <w:r>
        <w:rPr>
          <w:rtl/>
        </w:rPr>
        <w:t xml:space="preserve"> (עט ט) הק' דל"ש לומר שנקט לה אגב אלא במקום דלא עסק בדין זה [דחלוצה ל"ש במכות, והביאו אגב]. אבל הכא עסק בדין כתובה לחלק בין דאורייתא לדרבנן, והאיך יביא דין שאינו. וע”כ דב' הלשונות לא פליגי לדינא, דדין חלוצה כדין גרושה. ודוקא שניות דהוה איסור מחודש צריכין חיזוק. [וע"ד מש"כ הרשב"א בתי' הב'].</w:t>
      </w:r>
    </w:p>
  </w:footnote>
  <w:footnote w:id="5183">
    <w:p w14:paraId="7E08DA90" w14:textId="77777777" w:rsidR="006C4368" w:rsidRDefault="006C4368" w:rsidP="006C4368">
      <w:pPr>
        <w:pStyle w:val="Footnote"/>
        <w:bidi/>
      </w:pPr>
      <w:r>
        <w:rPr>
          <w:rStyle w:val="ac"/>
          <w:rtl/>
        </w:rPr>
        <w:footnoteRef/>
      </w:r>
      <w:r>
        <w:rPr>
          <w:rtl/>
        </w:rPr>
        <w:t>וה</w:t>
      </w:r>
      <w:r>
        <w:rPr>
          <w:b/>
          <w:bCs/>
          <w:rtl/>
        </w:rPr>
        <w:t>ריטב"א</w:t>
      </w:r>
      <w:r>
        <w:rPr>
          <w:rtl/>
        </w:rPr>
        <w:t xml:space="preserve"> כת' דיש לפרש דהאי מאי בינייהו אינו לשון שאלה אלא לשון בירור. ויש כיוצא בזה בתלמוד.</w:t>
      </w:r>
    </w:p>
  </w:footnote>
  <w:footnote w:id="5184">
    <w:p w14:paraId="34B5D08E" w14:textId="77777777" w:rsidR="006C4368" w:rsidRDefault="006C4368" w:rsidP="006C4368">
      <w:pPr>
        <w:pStyle w:val="Footnote"/>
        <w:bidi/>
      </w:pPr>
      <w:r>
        <w:rPr>
          <w:rStyle w:val="ac"/>
          <w:rtl/>
        </w:rPr>
        <w:footnoteRef/>
      </w:r>
      <w:r>
        <w:rPr>
          <w:rtl/>
        </w:rPr>
        <w:t>אך הק' דמבואר (גיטין מא.) דא"כ חצי עבד יש לו תקנה לישא נתינה.</w:t>
      </w:r>
    </w:p>
  </w:footnote>
  <w:footnote w:id="5185">
    <w:p w14:paraId="3E0EB65F" w14:textId="77777777" w:rsidR="006C4368" w:rsidRDefault="006C4368" w:rsidP="006C4368">
      <w:pPr>
        <w:pStyle w:val="Footnote"/>
        <w:bidi/>
      </w:pPr>
      <w:r>
        <w:rPr>
          <w:rStyle w:val="ac"/>
          <w:rtl/>
        </w:rPr>
        <w:footnoteRef/>
      </w:r>
      <w:r>
        <w:rPr>
          <w:rtl/>
        </w:rPr>
        <w:t>וה</w:t>
      </w:r>
      <w:r>
        <w:rPr>
          <w:b/>
          <w:bCs/>
          <w:rtl/>
        </w:rPr>
        <w:t>תוס' רא”ש</w:t>
      </w:r>
      <w:r>
        <w:rPr>
          <w:rtl/>
        </w:rPr>
        <w:t xml:space="preserve"> הביא בשם </w:t>
      </w:r>
      <w:r>
        <w:rPr>
          <w:b/>
          <w:bCs/>
          <w:rtl/>
        </w:rPr>
        <w:t>ר' שמשון הזקן</w:t>
      </w:r>
      <w:r>
        <w:rPr>
          <w:rtl/>
        </w:rPr>
        <w:t xml:space="preserve"> דנתינה מרגילתו [אף דאסורה בעבד], כדי להתייחס מישראל. ויכולה להכשיר בני בתה בקהל ע"י שבתה תנשא למשוחרר או לגר. וגר שנשא נתינה יש קידושין ואין עבירה, ומש"ה הולד הולך אחר הזכר (כדתנן קידושין סו:), והוה גר ומותר בישראלית. וכיון שיש הכשר למקצת זרעה [לבנותיה] היא מרגילתו. ואף דאין תקנה לבנה. [ותימה דגר שנשא ממזרת הולד הולך אחר הפגום, וכדאי' (קידושין סז.) דיש בזה ריבוי. ומ"ש נשא נתינה].</w:t>
      </w:r>
    </w:p>
  </w:footnote>
  <w:footnote w:id="5186">
    <w:p w14:paraId="55772BBC" w14:textId="77777777" w:rsidR="006C4368" w:rsidRDefault="006C4368" w:rsidP="006C4368">
      <w:pPr>
        <w:pStyle w:val="Footnote"/>
        <w:bidi/>
      </w:pPr>
      <w:r>
        <w:rPr>
          <w:rStyle w:val="ac"/>
          <w:rtl/>
        </w:rPr>
        <w:footnoteRef/>
      </w:r>
      <w:r>
        <w:rPr>
          <w:rtl/>
        </w:rPr>
        <w:t>תוס' נקטו דבני ישראל מקוה טהרה [דהוה לכו”ע], ובנות ישראל מקוה [לר' דוסתאי]. ויל"ד אי הוה הכל קו' א' לר' דוסתאי. או דהוה ב' קו', ותי' דאף דהוה מקוה טהרה [מפסול חללות], מ"מ מקפיד על העדר כהונה. [ואף דבלאו הכי בני בנותיו לא יהיו כהנים אם ישאו ישראלים, הכא מקפיד כיון דאף בני בניו אינם כהנים].</w:t>
      </w:r>
    </w:p>
  </w:footnote>
  <w:footnote w:id="5187">
    <w:p w14:paraId="57D5A13D" w14:textId="77777777" w:rsidR="006C4368" w:rsidRDefault="006C4368" w:rsidP="006C4368">
      <w:pPr>
        <w:pStyle w:val="Footnote"/>
        <w:bidi/>
      </w:pPr>
      <w:r>
        <w:rPr>
          <w:rStyle w:val="ac"/>
          <w:rtl/>
        </w:rPr>
        <w:footnoteRef/>
      </w:r>
      <w:r>
        <w:rPr>
          <w:rtl/>
        </w:rPr>
        <w:t>ויל"ד האם דעת תוס' דכהונה הוה דוקא כשעובר ברצף מאב לבנו, ולא סגי דהוה משפחת כהונה. ועויל"פ דגדר מקוה טהרה שמתייחס אחר אמו לענין זה [והוא חידוש]. וה</w:t>
      </w:r>
      <w:r>
        <w:rPr>
          <w:b/>
          <w:bCs/>
          <w:rtl/>
        </w:rPr>
        <w:t>גר"ח</w:t>
      </w:r>
      <w:r>
        <w:rPr>
          <w:rtl/>
        </w:rPr>
        <w:t xml:space="preserve"> (איסו"ב יז ב) מבואר דמקוה טהרה מהני לתקן שאין כאן 'פסול חללות', ועדיין הוה משפחת חלל.</w:t>
      </w:r>
    </w:p>
  </w:footnote>
  <w:footnote w:id="5188">
    <w:p w14:paraId="3997881D" w14:textId="77777777" w:rsidR="006C4368" w:rsidRDefault="006C4368" w:rsidP="006C4368">
      <w:pPr>
        <w:pStyle w:val="Footnote"/>
        <w:bidi/>
      </w:pPr>
      <w:r>
        <w:rPr>
          <w:rStyle w:val="ac"/>
          <w:rtl/>
        </w:rPr>
        <w:footnoteRef/>
      </w:r>
      <w:r>
        <w:rPr>
          <w:rtl/>
        </w:rPr>
        <w:t>ותוס' הק' דנימא דלר"ע קאי כר' טרפון, ודלא כר"א.</w:t>
      </w:r>
    </w:p>
  </w:footnote>
  <w:footnote w:id="5189">
    <w:p w14:paraId="054D8A0B" w14:textId="77777777" w:rsidR="006C4368" w:rsidRDefault="006C4368" w:rsidP="006C4368">
      <w:pPr>
        <w:pStyle w:val="Footnote"/>
        <w:bidi/>
      </w:pPr>
      <w:r>
        <w:rPr>
          <w:rStyle w:val="ac"/>
          <w:rtl/>
        </w:rPr>
        <w:footnoteRef/>
      </w:r>
      <w:r>
        <w:rPr>
          <w:rtl/>
        </w:rPr>
        <w:t>אך ילה"ק בתי' הגמ' 'אלא אמר', משמע דהדר מתי' קמא. וצ”ב אמאי הוה חזרה, דלכאורה רק מוסיף נפק"מ נוסף למ"ד אחר.</w:t>
      </w:r>
    </w:p>
  </w:footnote>
  <w:footnote w:id="5190">
    <w:p w14:paraId="0AB582BE" w14:textId="77777777" w:rsidR="006C4368" w:rsidRDefault="006C4368" w:rsidP="006C4368">
      <w:pPr>
        <w:pStyle w:val="Footnote"/>
        <w:bidi/>
      </w:pPr>
      <w:r>
        <w:rPr>
          <w:rStyle w:val="ac"/>
          <w:rtl/>
        </w:rPr>
        <w:footnoteRef/>
      </w:r>
      <w:r>
        <w:rPr>
          <w:rtl/>
        </w:rPr>
        <w:t>וה</w:t>
      </w:r>
      <w:r>
        <w:rPr>
          <w:b/>
          <w:bCs/>
          <w:rtl/>
        </w:rPr>
        <w:t>רשב"א</w:t>
      </w:r>
      <w:r>
        <w:rPr>
          <w:rtl/>
        </w:rPr>
        <w:t xml:space="preserve"> הק' דהו"ל לגמ' להק' אליבא דרב מאי איכא למימר.</w:t>
      </w:r>
    </w:p>
  </w:footnote>
  <w:footnote w:id="5191">
    <w:p w14:paraId="70657615" w14:textId="77777777" w:rsidR="006C4368" w:rsidRDefault="006C4368" w:rsidP="006C4368">
      <w:pPr>
        <w:pStyle w:val="Footnote"/>
        <w:bidi/>
      </w:pPr>
      <w:r>
        <w:rPr>
          <w:rStyle w:val="ac"/>
          <w:rtl/>
        </w:rPr>
        <w:footnoteRef/>
      </w:r>
      <w:r>
        <w:rPr>
          <w:rtl/>
        </w:rPr>
        <w:t>והריטב”א כת' דלמ”ד דמוציאה מדאורייתא, א"כ נעשית חללה מדאורייתא. ודלא כרמב"ן.</w:t>
      </w:r>
    </w:p>
  </w:footnote>
  <w:footnote w:id="5192">
    <w:p w14:paraId="7F6FF345" w14:textId="77777777" w:rsidR="006C4368" w:rsidRDefault="006C4368" w:rsidP="006C4368">
      <w:pPr>
        <w:pStyle w:val="Footnote"/>
        <w:bidi/>
      </w:pPr>
      <w:r>
        <w:rPr>
          <w:rStyle w:val="ac"/>
          <w:rtl/>
        </w:rPr>
        <w:footnoteRef/>
      </w:r>
      <w:r>
        <w:rPr>
          <w:rtl/>
        </w:rPr>
        <w:t>וכן יש ליישב דברי רש"י דרוצה לשתות להתירה.</w:t>
      </w:r>
    </w:p>
  </w:footnote>
  <w:footnote w:id="5193">
    <w:p w14:paraId="04D490C9" w14:textId="77777777" w:rsidR="006C4368" w:rsidRDefault="006C4368" w:rsidP="006C4368">
      <w:pPr>
        <w:pStyle w:val="Footnote"/>
        <w:bidi/>
      </w:pPr>
      <w:r>
        <w:rPr>
          <w:rStyle w:val="ac"/>
          <w:rtl/>
        </w:rPr>
        <w:footnoteRef/>
      </w:r>
      <w:r>
        <w:rPr>
          <w:rtl/>
        </w:rPr>
        <w:t>ואפשר דה"מ כשבא עליה בע"כ. והכא איירי שכנסה מדעתה, ותלי בתרוייהו. ומש"ה הדרינן לכללא דשטר העומד ליגבות כגבוי.</w:t>
      </w:r>
    </w:p>
  </w:footnote>
  <w:footnote w:id="5194">
    <w:p w14:paraId="69C32617" w14:textId="77777777" w:rsidR="006C4368" w:rsidRDefault="006C4368" w:rsidP="006C4368">
      <w:pPr>
        <w:pStyle w:val="Footnote"/>
        <w:bidi/>
      </w:pPr>
      <w:r>
        <w:rPr>
          <w:rStyle w:val="ac"/>
          <w:rtl/>
        </w:rPr>
        <w:footnoteRef/>
      </w:r>
      <w:r>
        <w:rPr>
          <w:rtl/>
        </w:rPr>
        <w:t>וה</w:t>
      </w:r>
      <w:r>
        <w:rPr>
          <w:b/>
          <w:bCs/>
          <w:rtl/>
        </w:rPr>
        <w:t>רמב”ן</w:t>
      </w:r>
      <w:r>
        <w:rPr>
          <w:rtl/>
        </w:rPr>
        <w:t xml:space="preserve"> (הנ"ל) תי' דאיירי בלא גירשה. וכת' דבדין הוא דלוקמה במסקנא בספק סוטתו שגירשה, אלא עדיפא טפי מוקי לה בסוטה ודאי.</w:t>
      </w:r>
    </w:p>
  </w:footnote>
  <w:footnote w:id="5195">
    <w:p w14:paraId="7E992D99" w14:textId="77777777" w:rsidR="006C4368" w:rsidRDefault="006C4368" w:rsidP="006C4368">
      <w:pPr>
        <w:pStyle w:val="Footnote"/>
        <w:bidi/>
      </w:pPr>
      <w:r>
        <w:rPr>
          <w:rStyle w:val="ac"/>
          <w:rtl/>
        </w:rPr>
        <w:footnoteRef/>
      </w:r>
      <w:r>
        <w:rPr>
          <w:rtl/>
        </w:rPr>
        <w:t>ו</w:t>
      </w:r>
      <w:r>
        <w:rPr>
          <w:b/>
          <w:bCs/>
          <w:rtl/>
        </w:rPr>
        <w:t>תוס'</w:t>
      </w:r>
      <w:r>
        <w:rPr>
          <w:rtl/>
        </w:rPr>
        <w:t xml:space="preserve"> בסמוך ניח"ל להעמיד אפי' בבת ישראל.</w:t>
      </w:r>
    </w:p>
  </w:footnote>
  <w:footnote w:id="5196">
    <w:p w14:paraId="55774057" w14:textId="77777777" w:rsidR="006C4368" w:rsidRDefault="006C4368" w:rsidP="006C4368">
      <w:pPr>
        <w:pStyle w:val="Footnote"/>
        <w:bidi/>
      </w:pPr>
      <w:r>
        <w:rPr>
          <w:rStyle w:val="ac"/>
          <w:rtl/>
        </w:rPr>
        <w:footnoteRef/>
      </w:r>
      <w:r>
        <w:rPr>
          <w:rtl/>
        </w:rPr>
        <w:t>ומבואר דאף לר"ע [דכל חייבי לאוין לא תפסי קידושין, והוה זונה], אפ"ה בסוטה שייך מח' רבנן ור' מתיא, דהוה זונה אף דתפסי קידושין.</w:t>
      </w:r>
    </w:p>
  </w:footnote>
  <w:footnote w:id="5197">
    <w:p w14:paraId="5AEC29E3" w14:textId="77777777" w:rsidR="006C4368" w:rsidRDefault="006C4368" w:rsidP="006C4368">
      <w:pPr>
        <w:pStyle w:val="Footnote"/>
        <w:bidi/>
      </w:pPr>
      <w:r>
        <w:rPr>
          <w:rStyle w:val="ac"/>
          <w:rtl/>
        </w:rPr>
        <w:footnoteRef/>
      </w:r>
      <w:r>
        <w:rPr>
          <w:rtl/>
        </w:rPr>
        <w:t>ויל"ד דא"כ אף 'שם זנות' לא יחשב גנאי, שהיא יודעת שהיא טהורה [וע' חי' ר' שמואל ז ה מה שדן בזה]. ואפשר דנחשב גנאי כלפי אחרים.</w:t>
      </w:r>
    </w:p>
  </w:footnote>
  <w:footnote w:id="5198">
    <w:p w14:paraId="310FD2F7" w14:textId="77777777" w:rsidR="006C4368" w:rsidRDefault="006C4368" w:rsidP="006C4368">
      <w:pPr>
        <w:pStyle w:val="Footnote"/>
        <w:bidi/>
      </w:pPr>
      <w:r>
        <w:rPr>
          <w:rStyle w:val="ac"/>
          <w:rtl/>
        </w:rPr>
        <w:footnoteRef/>
      </w:r>
      <w:r>
        <w:rPr>
          <w:rtl/>
        </w:rPr>
        <w:t>וה</w:t>
      </w:r>
      <w:r>
        <w:rPr>
          <w:b/>
          <w:bCs/>
          <w:rtl/>
        </w:rPr>
        <w:t>מהרש"א</w:t>
      </w:r>
      <w:r>
        <w:rPr>
          <w:rtl/>
        </w:rPr>
        <w:t xml:space="preserve"> הק' מדברי ה</w:t>
      </w:r>
      <w:r>
        <w:rPr>
          <w:b/>
          <w:bCs/>
          <w:rtl/>
        </w:rPr>
        <w:t>תוס'</w:t>
      </w:r>
      <w:r>
        <w:rPr>
          <w:rtl/>
        </w:rPr>
        <w:t xml:space="preserve"> (ד"ה ממזרת) דאף אלמנה לכה"ג וגרושה לכהן הדיוט נימא דלא מרגלה ליה משום פסול האשה, דיש ב' לאוין. וכת' דתוס' התם קאי לתי' הא' דתוס' דדוקא משום פסול זנות לא מרגלה. או כפרש"י.</w:t>
      </w:r>
    </w:p>
  </w:footnote>
  <w:footnote w:id="5199">
    <w:p w14:paraId="471D1DFB" w14:textId="77777777" w:rsidR="006C4368" w:rsidRDefault="006C4368" w:rsidP="006C4368">
      <w:pPr>
        <w:pStyle w:val="Footnote"/>
        <w:bidi/>
      </w:pPr>
      <w:r>
        <w:rPr>
          <w:rStyle w:val="ac"/>
          <w:rtl/>
        </w:rPr>
        <w:footnoteRef/>
      </w:r>
      <w:r>
        <w:rPr>
          <w:rtl/>
        </w:rPr>
        <w:t xml:space="preserve">וכמ"ש </w:t>
      </w:r>
      <w:r>
        <w:rPr>
          <w:b/>
          <w:bCs/>
          <w:rtl/>
        </w:rPr>
        <w:t>תוס'</w:t>
      </w:r>
      <w:r>
        <w:rPr>
          <w:rtl/>
        </w:rPr>
        <w:t xml:space="preserve"> (לעיל יא: ד”ה מאי) דבעלה בא עליה בדרך לוקה. ודלא כ</w:t>
      </w:r>
      <w:r>
        <w:rPr>
          <w:b/>
          <w:bCs/>
          <w:rtl/>
        </w:rPr>
        <w:t>תוס</w:t>
      </w:r>
      <w:r>
        <w:rPr>
          <w:rtl/>
        </w:rPr>
        <w:t>' (לעיל סט. ד"ה כי) דהוה עשה. וע"ע תוס' (לעיל יא.).</w:t>
      </w:r>
    </w:p>
  </w:footnote>
  <w:footnote w:id="5200">
    <w:p w14:paraId="4313EE44" w14:textId="77777777" w:rsidR="006C4368" w:rsidRDefault="006C4368" w:rsidP="006C4368">
      <w:pPr>
        <w:pStyle w:val="Footnote"/>
        <w:bidi/>
      </w:pPr>
      <w:r>
        <w:rPr>
          <w:rStyle w:val="ac"/>
          <w:rtl/>
        </w:rPr>
        <w:footnoteRef/>
      </w:r>
      <w:r>
        <w:rPr>
          <w:rtl/>
        </w:rPr>
        <w:t>וה</w:t>
      </w:r>
      <w:r>
        <w:rPr>
          <w:b/>
          <w:bCs/>
          <w:rtl/>
        </w:rPr>
        <w:t>רש"ש</w:t>
      </w:r>
      <w:r>
        <w:rPr>
          <w:rtl/>
        </w:rPr>
        <w:t xml:space="preserve"> (הנ"ל) הביא מדבריהם אדרבה דהוה עשה.</w:t>
      </w:r>
    </w:p>
  </w:footnote>
  <w:footnote w:id="5201">
    <w:p w14:paraId="6EA87680" w14:textId="77777777" w:rsidR="006C4368" w:rsidRDefault="006C4368" w:rsidP="006C4368">
      <w:pPr>
        <w:pStyle w:val="Footnote"/>
        <w:bidi/>
      </w:pPr>
      <w:r>
        <w:rPr>
          <w:rStyle w:val="ac"/>
          <w:rtl/>
        </w:rPr>
        <w:footnoteRef/>
      </w:r>
      <w:r>
        <w:rPr>
          <w:rtl/>
        </w:rPr>
        <w:t>וה</w:t>
      </w:r>
      <w:r>
        <w:rPr>
          <w:b/>
          <w:bCs/>
          <w:rtl/>
        </w:rPr>
        <w:t>רמב"ן</w:t>
      </w:r>
      <w:r>
        <w:rPr>
          <w:rtl/>
        </w:rPr>
        <w:t xml:space="preserve"> ביאר דהא מפרש בהו קרא דתפסי בהו קדושי [ע' לעיל מט:], ולעולם אין לך ממזר במקום קדושין.</w:t>
      </w:r>
    </w:p>
  </w:footnote>
  <w:footnote w:id="5202">
    <w:p w14:paraId="4FD6F77F" w14:textId="77777777" w:rsidR="006C4368" w:rsidRDefault="006C4368" w:rsidP="006C4368">
      <w:pPr>
        <w:pStyle w:val="Footnote"/>
        <w:bidi/>
      </w:pPr>
      <w:r>
        <w:rPr>
          <w:rStyle w:val="ac"/>
          <w:rtl/>
        </w:rPr>
        <w:footnoteRef/>
      </w:r>
      <w:r>
        <w:rPr>
          <w:rtl/>
        </w:rPr>
        <w:t>ולכאורה איירי אף בגירשה והחזירה (ע' לעיל), וא"כ מבואר דאפ"ה תפסי בה קידושין. ו</w:t>
      </w:r>
      <w:r>
        <w:rPr>
          <w:b/>
          <w:bCs/>
          <w:rtl/>
        </w:rPr>
        <w:t>תוס</w:t>
      </w:r>
      <w:r>
        <w:rPr>
          <w:rtl/>
        </w:rPr>
        <w:t xml:space="preserve">' (קידושין סח.) דנו בזה בדעת רש"י. [אבל </w:t>
      </w:r>
      <w:r>
        <w:rPr>
          <w:b/>
          <w:bCs/>
          <w:rtl/>
        </w:rPr>
        <w:t>תוס</w:t>
      </w:r>
      <w:r>
        <w:rPr>
          <w:rtl/>
        </w:rPr>
        <w:t>' (לעיל מט:) מבואר דפשיט”ל דתפסי קידושין אף לרש”י].</w:t>
      </w:r>
    </w:p>
  </w:footnote>
  <w:footnote w:id="5203">
    <w:p w14:paraId="04E1ABAA" w14:textId="77777777" w:rsidR="006C4368" w:rsidRDefault="006C4368" w:rsidP="006C4368">
      <w:pPr>
        <w:pStyle w:val="Footnote"/>
        <w:bidi/>
      </w:pPr>
      <w:r>
        <w:rPr>
          <w:rStyle w:val="ac"/>
          <w:rtl/>
        </w:rPr>
        <w:footnoteRef/>
      </w:r>
      <w:r>
        <w:rPr>
          <w:rtl/>
        </w:rPr>
        <w:t>אך ציין ד</w:t>
      </w:r>
      <w:r>
        <w:rPr>
          <w:b/>
          <w:bCs/>
          <w:rtl/>
        </w:rPr>
        <w:t>תוס</w:t>
      </w:r>
      <w:r>
        <w:rPr>
          <w:rtl/>
        </w:rPr>
        <w:t>' (מנחות סה:) כת' דאין לחוש במאי דתני ליה בתר תנאי בתראי, דה"נ תני מילתיה דר' יוסי בתר רבי יוסי בר' יהודה.</w:t>
      </w:r>
    </w:p>
  </w:footnote>
  <w:footnote w:id="5204">
    <w:p w14:paraId="60835B25" w14:textId="77777777" w:rsidR="006C4368" w:rsidRDefault="006C4368" w:rsidP="006C4368">
      <w:pPr>
        <w:pStyle w:val="Footnote"/>
        <w:bidi/>
      </w:pPr>
      <w:r>
        <w:rPr>
          <w:rStyle w:val="ac"/>
          <w:rtl/>
        </w:rPr>
        <w:footnoteRef/>
      </w:r>
      <w:r>
        <w:rPr>
          <w:rtl/>
        </w:rPr>
        <w:t>והגמ' (נדרים) דוחה דמפקיר נכסי ועי"ז הוה עני וחזי ליה.</w:t>
      </w:r>
    </w:p>
  </w:footnote>
  <w:footnote w:id="5205">
    <w:p w14:paraId="2A4C71BC" w14:textId="77777777" w:rsidR="006C4368" w:rsidRDefault="006C4368" w:rsidP="006C4368">
      <w:pPr>
        <w:pStyle w:val="Footnote"/>
        <w:bidi/>
      </w:pPr>
      <w:r>
        <w:rPr>
          <w:rStyle w:val="ac"/>
          <w:rtl/>
        </w:rPr>
        <w:footnoteRef/>
      </w:r>
      <w:r>
        <w:rPr>
          <w:rtl/>
        </w:rPr>
        <w:t>ורבנן ס"ל דנחשדו, דטריחא ליה מילתא ולא מפריש. והגר"א גרס דסניא ליה מילתא.</w:t>
      </w:r>
    </w:p>
  </w:footnote>
  <w:footnote w:id="5206">
    <w:p w14:paraId="51B40439" w14:textId="77777777" w:rsidR="006C4368" w:rsidRDefault="006C4368" w:rsidP="006C4368">
      <w:pPr>
        <w:pStyle w:val="Footnote"/>
        <w:bidi/>
      </w:pPr>
      <w:r>
        <w:rPr>
          <w:rStyle w:val="ac"/>
          <w:rtl/>
        </w:rPr>
        <w:footnoteRef/>
      </w:r>
      <w:r>
        <w:rPr>
          <w:rtl/>
        </w:rPr>
        <w:t>וה</w:t>
      </w:r>
      <w:r>
        <w:rPr>
          <w:b/>
          <w:bCs/>
          <w:rtl/>
        </w:rPr>
        <w:t>אחרונים</w:t>
      </w:r>
      <w:r>
        <w:rPr>
          <w:rtl/>
        </w:rPr>
        <w:t xml:space="preserve"> הביאו דכ"כ </w:t>
      </w:r>
      <w:r>
        <w:rPr>
          <w:b/>
          <w:bCs/>
          <w:rtl/>
        </w:rPr>
        <w:t>רש”י</w:t>
      </w:r>
      <w:r>
        <w:rPr>
          <w:rtl/>
        </w:rPr>
        <w:t xml:space="preserve"> (סנהד' פג. ד”ה תרומה חוצה לארץ) דתרומה מעורבת בו.</w:t>
      </w:r>
    </w:p>
    <w:p w14:paraId="0212F120" w14:textId="77777777" w:rsidR="006C4368" w:rsidRDefault="006C4368" w:rsidP="006C4368">
      <w:pPr>
        <w:pStyle w:val="Footnote"/>
        <w:bidi/>
      </w:pPr>
      <w:r>
        <w:rPr>
          <w:rtl/>
        </w:rPr>
        <w:tab/>
        <w:t>וב</w:t>
      </w:r>
      <w:r>
        <w:rPr>
          <w:b/>
          <w:bCs/>
          <w:rtl/>
        </w:rPr>
        <w:t>תור"כ</w:t>
      </w:r>
      <w:r>
        <w:rPr>
          <w:rtl/>
        </w:rPr>
        <w:t xml:space="preserve"> (אמור ו) אי' יכול יהיו חייבין חומש על תרומה שבטבל ת"ל וכו' על המורם וכו'. [משמע דיש שם תרומה בעודו טבל, אלא דנתמעט מחיוב חומש].</w:t>
      </w:r>
    </w:p>
    <w:p w14:paraId="2BB91A1D" w14:textId="77777777" w:rsidR="006C4368" w:rsidRDefault="006C4368" w:rsidP="006C4368">
      <w:pPr>
        <w:pStyle w:val="Footnote"/>
        <w:bidi/>
      </w:pPr>
      <w:r>
        <w:rPr>
          <w:rtl/>
        </w:rPr>
        <w:tab/>
        <w:t>וה</w:t>
      </w:r>
      <w:r>
        <w:rPr>
          <w:b/>
          <w:bCs/>
          <w:rtl/>
        </w:rPr>
        <w:t>אתוון דאורייתא</w:t>
      </w:r>
      <w:r>
        <w:rPr>
          <w:rtl/>
        </w:rPr>
        <w:t xml:space="preserve"> (ב) חקר עוד בהא דתרומה אסור בזרים, אי הוה איסור חדש משעת הפרשה, או שאיסור טבל במקומו עומד [כלפי זרים], ובשעת הפרשה הותר לכהנים [עי”ש]. וה</w:t>
      </w:r>
      <w:r>
        <w:rPr>
          <w:b/>
          <w:bCs/>
          <w:rtl/>
        </w:rPr>
        <w:t>רא"ש</w:t>
      </w:r>
      <w:r>
        <w:rPr>
          <w:rtl/>
        </w:rPr>
        <w:t xml:space="preserve"> (נדרים יב.) כת' דתרומה נחשב דבר האסור [ולא דבר הנדור] כיון דאסור ועומד בטבלו [עי”ש ר”ן]. אך הביא דלדעת רש"י אדרבה איסור טבל הוה מחמת איסור תרומה [ולא להיפך].</w:t>
      </w:r>
    </w:p>
  </w:footnote>
  <w:footnote w:id="5207">
    <w:p w14:paraId="772B9AEF" w14:textId="77777777" w:rsidR="006C4368" w:rsidRDefault="006C4368" w:rsidP="006C4368">
      <w:pPr>
        <w:pStyle w:val="Footnote"/>
        <w:bidi/>
      </w:pPr>
      <w:r>
        <w:rPr>
          <w:rStyle w:val="ac"/>
          <w:rtl/>
        </w:rPr>
        <w:footnoteRef/>
      </w:r>
      <w:r>
        <w:rPr>
          <w:rtl/>
        </w:rPr>
        <w:t>וה</w:t>
      </w:r>
      <w:r>
        <w:rPr>
          <w:b/>
          <w:bCs/>
          <w:rtl/>
        </w:rPr>
        <w:t>אחרונים</w:t>
      </w:r>
      <w:r>
        <w:rPr>
          <w:rtl/>
        </w:rPr>
        <w:t xml:space="preserve"> הביאו עוד דמבואר (נדרים פה., קידושין נח.) דהגונב טבל אינו מתחייב לבעלים על חלק התרומות ומעשרות שבו [אלא משום טובת הנאה ממון וכו'], ומבואר דאינו של בעלים בגדרי הממון.</w:t>
      </w:r>
    </w:p>
  </w:footnote>
  <w:footnote w:id="5208">
    <w:p w14:paraId="5EE3AFD8" w14:textId="77777777" w:rsidR="006C4368" w:rsidRDefault="006C4368" w:rsidP="006C4368">
      <w:pPr>
        <w:pStyle w:val="Footnote"/>
        <w:bidi/>
      </w:pPr>
      <w:r>
        <w:rPr>
          <w:rStyle w:val="ac"/>
          <w:rtl/>
        </w:rPr>
        <w:footnoteRef/>
      </w:r>
      <w:r>
        <w:rPr>
          <w:rtl/>
        </w:rPr>
        <w:t>וכן מבואר מקו' התוס' דטבל יהא מותר לכהן, דנקטו דכל האיסור טבל ילפי' מהתם לפרש”י. ולא רק חיוב מיתה.</w:t>
      </w:r>
    </w:p>
  </w:footnote>
  <w:footnote w:id="5209">
    <w:p w14:paraId="5FDDD665" w14:textId="77777777" w:rsidR="006C4368" w:rsidRDefault="006C4368" w:rsidP="006C4368">
      <w:pPr>
        <w:pStyle w:val="Footnote"/>
        <w:bidi/>
      </w:pPr>
      <w:r>
        <w:rPr>
          <w:rStyle w:val="ac"/>
          <w:rtl/>
        </w:rPr>
        <w:footnoteRef/>
      </w:r>
      <w:r>
        <w:rPr>
          <w:rtl/>
        </w:rPr>
        <w:t>וה</w:t>
      </w:r>
      <w:r>
        <w:rPr>
          <w:b/>
          <w:bCs/>
          <w:rtl/>
        </w:rPr>
        <w:t>אחרונים</w:t>
      </w:r>
      <w:r>
        <w:rPr>
          <w:rtl/>
        </w:rPr>
        <w:t xml:space="preserve"> הק' דא"כ לא ילקה עד שיאכל שיעור כדי שיהא מתוכו כזית תרומה.  </w:t>
      </w:r>
    </w:p>
  </w:footnote>
  <w:footnote w:id="5210">
    <w:p w14:paraId="5C76D43B" w14:textId="77777777" w:rsidR="006C4368" w:rsidRDefault="006C4368" w:rsidP="006C4368">
      <w:pPr>
        <w:pStyle w:val="Footnote"/>
        <w:bidi/>
      </w:pPr>
      <w:r>
        <w:rPr>
          <w:rStyle w:val="ac"/>
          <w:rtl/>
        </w:rPr>
        <w:footnoteRef/>
      </w:r>
      <w:r>
        <w:rPr>
          <w:rtl/>
        </w:rPr>
        <w:t>ובדברי הר"ן נראה דהוה גדר בהא דילפי' מקרא דחילול.</w:t>
      </w:r>
    </w:p>
  </w:footnote>
  <w:footnote w:id="5211">
    <w:p w14:paraId="55B8B8B8" w14:textId="77777777" w:rsidR="006C4368" w:rsidRDefault="006C4368" w:rsidP="006C4368">
      <w:pPr>
        <w:pStyle w:val="Footnote"/>
        <w:bidi/>
      </w:pPr>
      <w:r>
        <w:rPr>
          <w:rStyle w:val="ac"/>
          <w:rtl/>
        </w:rPr>
        <w:footnoteRef/>
      </w:r>
      <w:r>
        <w:rPr>
          <w:rtl/>
        </w:rPr>
        <w:t>וכת' דטבל עומד להפרשת תרומה, ומש"ה חל עליו חיוב מיתה דתרומה [לדעת רש"י]. אבל טבל שלא הופרש ממנו מעשר ראשון לא מחייב מיתה משום תרומת מעשר שבו, דלא חל חיוביה עד שיפריש המעשר.</w:t>
      </w:r>
    </w:p>
    <w:p w14:paraId="2A934A27" w14:textId="77777777" w:rsidR="006C4368" w:rsidRDefault="006C4368" w:rsidP="006C4368">
      <w:pPr>
        <w:pStyle w:val="Footnote"/>
        <w:bidi/>
      </w:pPr>
      <w:r>
        <w:rPr>
          <w:rtl/>
        </w:rPr>
        <w:tab/>
        <w:t>וביאר שכשכתוב מיתה בתרומה, ה"ה עד שלא הופרשה. דכיון שחייבתו תורה להפרישה, וכל העומד ליגזז כגזוז דמי. אבל טבל שלא הופרש ממנו מעשר ראשון לא מחייב מיתה משום תרומת מעשר שבו, דאכתי לא חל חיובו עד שיפריש המעשר, ואז חל החיוב על הלוי להפרישה. ומש"ה ס"ד דלא טביל עד דמייתי לה מהקישא.</w:t>
      </w:r>
    </w:p>
  </w:footnote>
  <w:footnote w:id="5212">
    <w:p w14:paraId="6F9095CD" w14:textId="77777777" w:rsidR="006C4368" w:rsidRDefault="006C4368" w:rsidP="006C4368">
      <w:pPr>
        <w:pStyle w:val="Footnote"/>
        <w:bidi/>
      </w:pPr>
      <w:r>
        <w:rPr>
          <w:rStyle w:val="ac"/>
          <w:rtl/>
        </w:rPr>
        <w:footnoteRef/>
      </w:r>
      <w:r>
        <w:rPr>
          <w:rtl/>
        </w:rPr>
        <w:t>וכ"כ (שם בסו"ד) בדעת הרמב"ם, ע' בסמוך.</w:t>
      </w:r>
    </w:p>
  </w:footnote>
  <w:footnote w:id="5213">
    <w:p w14:paraId="18CFDF4C" w14:textId="77777777" w:rsidR="006C4368" w:rsidRDefault="006C4368" w:rsidP="006C4368">
      <w:pPr>
        <w:pStyle w:val="Footnote"/>
        <w:bidi/>
      </w:pPr>
      <w:r>
        <w:rPr>
          <w:rStyle w:val="ac"/>
          <w:rtl/>
        </w:rPr>
        <w:footnoteRef/>
      </w:r>
      <w:r>
        <w:rPr>
          <w:rtl/>
        </w:rPr>
        <w:t>וכ"כ ה</w:t>
      </w:r>
      <w:r>
        <w:rPr>
          <w:b/>
          <w:bCs/>
          <w:rtl/>
        </w:rPr>
        <w:t>רדב"ז</w:t>
      </w:r>
      <w:r>
        <w:rPr>
          <w:rtl/>
        </w:rPr>
        <w:t xml:space="preserve"> (מאכ"א י כ, הו' בסמוך) בדעת הרמב"ם. וה</w:t>
      </w:r>
      <w:r>
        <w:rPr>
          <w:b/>
          <w:bCs/>
          <w:rtl/>
        </w:rPr>
        <w:t>אחרונים</w:t>
      </w:r>
      <w:r>
        <w:rPr>
          <w:rtl/>
        </w:rPr>
        <w:t xml:space="preserve"> (מנח”ח ועוד) דייקו כן מדברי ה</w:t>
      </w:r>
      <w:r>
        <w:rPr>
          <w:b/>
          <w:bCs/>
          <w:rtl/>
        </w:rPr>
        <w:t>רמב”ם</w:t>
      </w:r>
      <w:r>
        <w:rPr>
          <w:rtl/>
        </w:rPr>
        <w:t xml:space="preserve"> (מעשר ט ה) שכת' שאינו רשאי להפריש תרומת מעשר קודם המעשר לכתחלה. [אבל הכס"מ (מעשר שם ו, הו' בסמוך) נקט דלא כן בדעת הרמב"ם.</w:t>
      </w:r>
    </w:p>
  </w:footnote>
  <w:footnote w:id="5214">
    <w:p w14:paraId="79B629F7" w14:textId="77777777" w:rsidR="006C4368" w:rsidRDefault="006C4368" w:rsidP="006C4368">
      <w:pPr>
        <w:pStyle w:val="Footnote"/>
        <w:bidi/>
      </w:pPr>
      <w:r>
        <w:rPr>
          <w:rStyle w:val="ac"/>
          <w:rtl/>
        </w:rPr>
        <w:footnoteRef/>
      </w:r>
      <w:r>
        <w:rPr>
          <w:rtl/>
        </w:rPr>
        <w:t>והביא דכ"מ ב</w:t>
      </w:r>
      <w:r>
        <w:rPr>
          <w:b/>
          <w:bCs/>
          <w:rtl/>
        </w:rPr>
        <w:t>פיה"מ לרמב"ם</w:t>
      </w:r>
      <w:r>
        <w:rPr>
          <w:rtl/>
        </w:rPr>
        <w:t xml:space="preserve"> (דמאי ה א) וז"ל דאי אפשר להפריש תרומת מעשר לפני המעשר שהיא תרומתו. ועוד הביאו דה</w:t>
      </w:r>
      <w:r>
        <w:rPr>
          <w:b/>
          <w:bCs/>
          <w:rtl/>
        </w:rPr>
        <w:t>רמב"ם</w:t>
      </w:r>
      <w:r>
        <w:rPr>
          <w:rtl/>
        </w:rPr>
        <w:t xml:space="preserve"> (מעשר א ג) כת' לויים וכהנים מפרישין מעשר ראשון כדי להפריש ממנו תרומת מעשר.</w:t>
      </w:r>
    </w:p>
  </w:footnote>
  <w:footnote w:id="5215">
    <w:p w14:paraId="5C74F43F" w14:textId="77777777" w:rsidR="006C4368" w:rsidRDefault="006C4368" w:rsidP="006C4368">
      <w:pPr>
        <w:pStyle w:val="Footnote"/>
        <w:bidi/>
      </w:pPr>
      <w:r>
        <w:rPr>
          <w:rStyle w:val="ac"/>
          <w:rtl/>
        </w:rPr>
        <w:footnoteRef/>
      </w:r>
      <w:r>
        <w:rPr>
          <w:rtl/>
        </w:rPr>
        <w:t>ויל"ד דהיינו לולי דרשא דסוגיין, אבל לאחר דילפי' דיש איסור טבל אפי' משום מעשר, ע"כ דחמיר ממה שיש בו.</w:t>
      </w:r>
    </w:p>
  </w:footnote>
  <w:footnote w:id="5216">
    <w:p w14:paraId="0DCAF71F" w14:textId="77777777" w:rsidR="006C4368" w:rsidRDefault="006C4368" w:rsidP="006C4368">
      <w:pPr>
        <w:pStyle w:val="Footnote"/>
        <w:bidi/>
      </w:pPr>
      <w:r>
        <w:rPr>
          <w:rStyle w:val="ac"/>
          <w:rtl/>
        </w:rPr>
        <w:footnoteRef/>
      </w:r>
      <w:r>
        <w:rPr>
          <w:rtl/>
        </w:rPr>
        <w:t>וע"ד הא דאי' (חולין קכ.) דכהנים אוכלים מליקה דמשולחן גבוה זכו [ומש"ה לא נחשב שאוכלים נבילה].</w:t>
      </w:r>
    </w:p>
    <w:p w14:paraId="3E7718C2" w14:textId="77777777" w:rsidR="006C4368" w:rsidRDefault="006C4368" w:rsidP="006C4368">
      <w:pPr>
        <w:pStyle w:val="Footnote"/>
        <w:bidi/>
      </w:pPr>
      <w:r>
        <w:rPr>
          <w:rtl/>
        </w:rPr>
        <w:tab/>
        <w:t>וכ"כ ה</w:t>
      </w:r>
      <w:r>
        <w:rPr>
          <w:b/>
          <w:bCs/>
          <w:rtl/>
        </w:rPr>
        <w:t>אתוון דאורייתא</w:t>
      </w:r>
      <w:r>
        <w:rPr>
          <w:rtl/>
        </w:rPr>
        <w:t xml:space="preserve"> (ב) בדעת רש"י דכמו דמצינו בקדשים דקודם הזריקה וההקטרה הוי הכל לגבוה, ואחרי הזריקה וההקטרה  הכהנים והבעלים זכי משלחן גבוה, ה"נ אפשר דהתרומה המעורבת בטבל היא חלק גבוה, וע"כ אסורה אז לכל, ואחרי ההפרשה אז הכהנים משלחן גבוה קזכי.</w:t>
      </w:r>
    </w:p>
  </w:footnote>
  <w:footnote w:id="5217">
    <w:p w14:paraId="79FDA2AA" w14:textId="77777777" w:rsidR="006C4368" w:rsidRDefault="006C4368" w:rsidP="006C4368">
      <w:pPr>
        <w:pStyle w:val="Footnote"/>
        <w:bidi/>
      </w:pPr>
      <w:r>
        <w:rPr>
          <w:rStyle w:val="ac"/>
          <w:rtl/>
        </w:rPr>
        <w:footnoteRef/>
      </w:r>
      <w:r>
        <w:rPr>
          <w:rtl/>
        </w:rPr>
        <w:t>ואפשר דיש חילוק דהתם איירי בלאו, דמסתבר להעמיד במידי דהלאו הוה אזהרה ועונש. אבל הכא איירי ללמוד חיוב מיתה, ודיינו להוסיף חומר באיסור שכבר אסרה תורה.</w:t>
      </w:r>
    </w:p>
  </w:footnote>
  <w:footnote w:id="5218">
    <w:p w14:paraId="12564BF2" w14:textId="77777777" w:rsidR="006C4368" w:rsidRDefault="006C4368" w:rsidP="006C4368">
      <w:pPr>
        <w:pStyle w:val="Footnote"/>
        <w:bidi/>
      </w:pPr>
      <w:r>
        <w:rPr>
          <w:rStyle w:val="ac"/>
          <w:rtl/>
        </w:rPr>
        <w:footnoteRef/>
      </w:r>
      <w:r>
        <w:rPr>
          <w:rtl/>
        </w:rPr>
        <w:t>ובגמ' (מכות טז:) אמר רב דלוקה על טבל דמעשר עני. וה</w:t>
      </w:r>
      <w:r>
        <w:rPr>
          <w:b/>
          <w:bCs/>
          <w:rtl/>
        </w:rPr>
        <w:t>אחרונים</w:t>
      </w:r>
      <w:r>
        <w:rPr>
          <w:rtl/>
        </w:rPr>
        <w:t xml:space="preserve"> כת' דקצת יש לדייק דאינו חייב מיתה בידי שמים, אלא מלקות. [ע' מצפ"א].</w:t>
      </w:r>
    </w:p>
  </w:footnote>
  <w:footnote w:id="5219">
    <w:p w14:paraId="13AC43E1" w14:textId="77777777" w:rsidR="006C4368" w:rsidRDefault="006C4368" w:rsidP="006C4368">
      <w:pPr>
        <w:pStyle w:val="Footnote"/>
        <w:bidi/>
      </w:pPr>
      <w:r>
        <w:rPr>
          <w:rStyle w:val="ac"/>
          <w:rtl/>
        </w:rPr>
        <w:footnoteRef/>
      </w:r>
      <w:r>
        <w:rPr>
          <w:rtl/>
        </w:rPr>
        <w:t>דפי' גלתה 'מעוני', על שאכלו מעשר עני. והביאו ר' ביבי ור' הונא בשם רב דהאוכל טבל של מעשר עני חייב מיתה.</w:t>
      </w:r>
    </w:p>
  </w:footnote>
  <w:footnote w:id="5220">
    <w:p w14:paraId="52B4D4B8" w14:textId="77777777" w:rsidR="006C4368" w:rsidRDefault="006C4368" w:rsidP="006C4368">
      <w:pPr>
        <w:pStyle w:val="Footnote"/>
        <w:bidi/>
      </w:pPr>
      <w:r>
        <w:rPr>
          <w:rStyle w:val="ac"/>
          <w:rtl/>
        </w:rPr>
        <w:footnoteRef/>
      </w:r>
      <w:r>
        <w:rPr>
          <w:rtl/>
        </w:rPr>
        <w:t>וכ"כ ה</w:t>
      </w:r>
      <w:r>
        <w:rPr>
          <w:b/>
          <w:bCs/>
          <w:rtl/>
        </w:rPr>
        <w:t>רמב"ם</w:t>
      </w:r>
      <w:r>
        <w:rPr>
          <w:rtl/>
        </w:rPr>
        <w:t xml:space="preserve"> (סנהדרין יט ב אות ה) דהאוכל טבל שלא הורם ממנו תרומה גדולה ותרומת מעשר חייב מיתה ביד"ש. וכן ב</w:t>
      </w:r>
      <w:r>
        <w:rPr>
          <w:b/>
          <w:bCs/>
          <w:rtl/>
        </w:rPr>
        <w:t>סה"מ</w:t>
      </w:r>
      <w:r>
        <w:rPr>
          <w:rtl/>
        </w:rPr>
        <w:t xml:space="preserve"> (ל"ת קנג), ופיה"מ (מכות ג ב).</w:t>
      </w:r>
    </w:p>
  </w:footnote>
  <w:footnote w:id="5221">
    <w:p w14:paraId="7E5189B5" w14:textId="77777777" w:rsidR="006C4368" w:rsidRDefault="006C4368" w:rsidP="006C4368">
      <w:pPr>
        <w:pStyle w:val="Footnote"/>
        <w:bidi/>
      </w:pPr>
      <w:r>
        <w:rPr>
          <w:rStyle w:val="ac"/>
          <w:rtl/>
        </w:rPr>
        <w:footnoteRef/>
      </w:r>
      <w:r>
        <w:rPr>
          <w:rtl/>
        </w:rPr>
        <w:t>וה</w:t>
      </w:r>
      <w:r>
        <w:rPr>
          <w:b/>
          <w:bCs/>
          <w:rtl/>
        </w:rPr>
        <w:t xml:space="preserve">רדב"ז </w:t>
      </w:r>
      <w:r>
        <w:rPr>
          <w:rtl/>
        </w:rPr>
        <w:t xml:space="preserve">ביאר כוונתו דהקדים והפריש תרומת מעשר, ועדיין מעשר ראשון בתוך הכרי [וכנ"ל]. אבל יש </w:t>
      </w:r>
      <w:r>
        <w:rPr>
          <w:b/>
          <w:bCs/>
          <w:rtl/>
        </w:rPr>
        <w:t>אחרונים</w:t>
      </w:r>
      <w:r>
        <w:rPr>
          <w:rtl/>
        </w:rPr>
        <w:t xml:space="preserve"> דלאחר שהפריש תרומה גדולה אינו חייב מיתה על הטבל [דעדיין אינו טבול לתרומת מעשר], אלא כשמפריש מעשר ראשון מתחייב עליו מיתה.</w:t>
      </w:r>
    </w:p>
  </w:footnote>
  <w:footnote w:id="5222">
    <w:p w14:paraId="191CD00E" w14:textId="77777777" w:rsidR="006C4368" w:rsidRDefault="006C4368" w:rsidP="006C4368">
      <w:pPr>
        <w:pStyle w:val="Footnote"/>
        <w:bidi/>
      </w:pPr>
      <w:r>
        <w:rPr>
          <w:rStyle w:val="ac"/>
          <w:rtl/>
        </w:rPr>
        <w:footnoteRef/>
      </w:r>
      <w:r>
        <w:rPr>
          <w:rtl/>
        </w:rPr>
        <w:t>וה</w:t>
      </w:r>
      <w:r>
        <w:rPr>
          <w:b/>
          <w:bCs/>
          <w:rtl/>
        </w:rPr>
        <w:t>מגדל עוז</w:t>
      </w:r>
      <w:r>
        <w:rPr>
          <w:rtl/>
        </w:rPr>
        <w:t xml:space="preserve"> הק' דהוה גמ' מפורשת בסוגיין, ואמאי תלה בסברא. והכס"מ יישב דהא דאין בו מיתה אינו מפורש בסוגיין.</w:t>
      </w:r>
    </w:p>
  </w:footnote>
  <w:footnote w:id="5223">
    <w:p w14:paraId="016660C3" w14:textId="77777777" w:rsidR="006C4368" w:rsidRDefault="006C4368" w:rsidP="006C4368">
      <w:pPr>
        <w:pStyle w:val="Footnote"/>
        <w:bidi/>
      </w:pPr>
      <w:r>
        <w:rPr>
          <w:rStyle w:val="ac"/>
          <w:rtl/>
        </w:rPr>
        <w:footnoteRef/>
      </w:r>
      <w:r>
        <w:rPr>
          <w:rtl/>
        </w:rPr>
        <w:t>ע"ד הא דאי' (תרומות ג ג) גבי שותפין דלרבנן סתמא הוה כנתינת רשות.</w:t>
      </w:r>
    </w:p>
  </w:footnote>
  <w:footnote w:id="5224">
    <w:p w14:paraId="4F9ACABE" w14:textId="77777777" w:rsidR="006C4368" w:rsidRDefault="006C4368" w:rsidP="006C4368">
      <w:pPr>
        <w:pStyle w:val="Footnote"/>
        <w:bidi/>
      </w:pPr>
      <w:r>
        <w:rPr>
          <w:rStyle w:val="ac"/>
          <w:rtl/>
        </w:rPr>
        <w:footnoteRef/>
      </w:r>
      <w:r>
        <w:rPr>
          <w:rtl/>
        </w:rPr>
        <w:t>דבשליח אמרי' לתקוני שדרתיך. ועוד דאין שליח לדבר עבירה.</w:t>
      </w:r>
    </w:p>
  </w:footnote>
  <w:footnote w:id="5225">
    <w:p w14:paraId="0060B3D2" w14:textId="77777777" w:rsidR="006C4368" w:rsidRDefault="006C4368" w:rsidP="006C4368">
      <w:pPr>
        <w:pStyle w:val="Footnote"/>
        <w:bidi/>
      </w:pPr>
      <w:r>
        <w:rPr>
          <w:rStyle w:val="ac"/>
          <w:rtl/>
        </w:rPr>
        <w:footnoteRef/>
      </w:r>
      <w:r>
        <w:rPr>
          <w:rtl/>
        </w:rPr>
        <w:t>וה</w:t>
      </w:r>
      <w:r>
        <w:rPr>
          <w:b/>
          <w:bCs/>
          <w:rtl/>
        </w:rPr>
        <w:t>חזו”א</w:t>
      </w:r>
      <w:r>
        <w:rPr>
          <w:rtl/>
        </w:rPr>
        <w:t xml:space="preserve"> הביא מהגמ' (שבת לד.) דהבעל שואל עשרתם [משמע דהדרך שהאשה מעשרת לבד]. וכן בגמ' (כתובות עב.) פלוני תיקן לי את הכרי [דהוה דרך לעשר, אף ע”י שליח דהאשה].</w:t>
      </w:r>
    </w:p>
  </w:footnote>
  <w:footnote w:id="5226">
    <w:p w14:paraId="18DF213C" w14:textId="77777777" w:rsidR="006C4368" w:rsidRDefault="006C4368" w:rsidP="006C4368">
      <w:pPr>
        <w:pStyle w:val="Footnote"/>
        <w:bidi/>
      </w:pPr>
      <w:r>
        <w:rPr>
          <w:rStyle w:val="ac"/>
          <w:rtl/>
        </w:rPr>
        <w:footnoteRef/>
      </w:r>
      <w:r>
        <w:rPr>
          <w:rtl/>
        </w:rPr>
        <w:t>וכ"כ ה</w:t>
      </w:r>
      <w:r>
        <w:rPr>
          <w:b/>
          <w:bCs/>
          <w:rtl/>
        </w:rPr>
        <w:t>מאירי</w:t>
      </w:r>
      <w:r>
        <w:rPr>
          <w:rtl/>
        </w:rPr>
        <w:t xml:space="preserve"> דוקא על מה שהיא אוכלת אבל לא על הכל, אלא לעיסתה. וה</w:t>
      </w:r>
      <w:r>
        <w:rPr>
          <w:b/>
          <w:bCs/>
          <w:rtl/>
        </w:rPr>
        <w:t>חזו"א</w:t>
      </w:r>
      <w:r>
        <w:rPr>
          <w:rtl/>
        </w:rPr>
        <w:t xml:space="preserve"> דן דעכ"פ תוכל לעשר קדירה שמבשלת, דהוה כעיסתה.</w:t>
      </w:r>
    </w:p>
  </w:footnote>
  <w:footnote w:id="5227">
    <w:p w14:paraId="430AB924" w14:textId="77777777" w:rsidR="006C4368" w:rsidRDefault="006C4368" w:rsidP="006C4368">
      <w:pPr>
        <w:pStyle w:val="Footnote"/>
        <w:bidi/>
      </w:pPr>
      <w:r>
        <w:rPr>
          <w:rStyle w:val="ac"/>
          <w:rtl/>
        </w:rPr>
        <w:footnoteRef/>
      </w:r>
      <w:r>
        <w:rPr>
          <w:rtl/>
        </w:rPr>
        <w:t>אך ה</w:t>
      </w:r>
      <w:r>
        <w:rPr>
          <w:b/>
          <w:bCs/>
          <w:rtl/>
        </w:rPr>
        <w:t xml:space="preserve">אחיעזר </w:t>
      </w:r>
      <w:r>
        <w:rPr>
          <w:rtl/>
        </w:rPr>
        <w:t>הביא דה</w:t>
      </w:r>
      <w:r>
        <w:rPr>
          <w:b/>
          <w:bCs/>
          <w:rtl/>
        </w:rPr>
        <w:t>מהרי"ט</w:t>
      </w:r>
      <w:r>
        <w:rPr>
          <w:rtl/>
        </w:rPr>
        <w:t xml:space="preserve"> (א קנ) נסתפק האם אורח יש לו רשות לעשות בזה דבר אחר.</w:t>
      </w:r>
    </w:p>
  </w:footnote>
  <w:footnote w:id="5228">
    <w:p w14:paraId="0D6D60B8" w14:textId="77777777" w:rsidR="006C4368" w:rsidRDefault="006C4368" w:rsidP="006C4368">
      <w:pPr>
        <w:pStyle w:val="Footnote"/>
        <w:bidi/>
      </w:pPr>
      <w:r>
        <w:rPr>
          <w:rStyle w:val="ac"/>
          <w:rtl/>
        </w:rPr>
        <w:footnoteRef/>
      </w:r>
      <w:r>
        <w:rPr>
          <w:rtl/>
        </w:rPr>
        <w:t>וה</w:t>
      </w:r>
      <w:r>
        <w:rPr>
          <w:b/>
          <w:bCs/>
          <w:rtl/>
        </w:rPr>
        <w:t>חזו"א</w:t>
      </w:r>
      <w:r>
        <w:rPr>
          <w:rtl/>
        </w:rPr>
        <w:t xml:space="preserve"> (הנ"ל) תמה דעכ"פ מה שרוצה לאכול יכולה לתרום, וכירושלמי (הנ"ל).</w:t>
      </w:r>
    </w:p>
  </w:footnote>
  <w:footnote w:id="5229">
    <w:p w14:paraId="38243934" w14:textId="77777777" w:rsidR="006C4368" w:rsidRDefault="006C4368" w:rsidP="006C4368">
      <w:pPr>
        <w:pStyle w:val="Footnote"/>
        <w:bidi/>
      </w:pPr>
      <w:r>
        <w:rPr>
          <w:rStyle w:val="ac"/>
          <w:rtl/>
        </w:rPr>
        <w:footnoteRef/>
      </w:r>
      <w:r>
        <w:rPr>
          <w:rtl/>
        </w:rPr>
        <w:t>[ויש לדחות דאיירי שאינה יודעת לעשר כדין. ואף דאין כאן דין איסור, אלא תנא סימנא בעלמא נקט].</w:t>
      </w:r>
    </w:p>
  </w:footnote>
  <w:footnote w:id="5230">
    <w:p w14:paraId="60B348DE" w14:textId="77777777" w:rsidR="006C4368" w:rsidRDefault="006C4368" w:rsidP="006C4368">
      <w:pPr>
        <w:pStyle w:val="Footnote"/>
        <w:bidi/>
      </w:pPr>
      <w:r>
        <w:rPr>
          <w:rStyle w:val="ac"/>
          <w:rtl/>
        </w:rPr>
        <w:footnoteRef/>
      </w:r>
      <w:r>
        <w:rPr>
          <w:rtl/>
        </w:rPr>
        <w:t>וה</w:t>
      </w:r>
      <w:r>
        <w:rPr>
          <w:b/>
          <w:bCs/>
          <w:rtl/>
        </w:rPr>
        <w:t>רמב”ן</w:t>
      </w:r>
      <w:r>
        <w:rPr>
          <w:rtl/>
        </w:rPr>
        <w:t xml:space="preserve"> כת' עוד שיכולנו לפרש דכולה מתניתין בחלוקת מעשר, ודלא כר"מ.</w:t>
      </w:r>
    </w:p>
  </w:footnote>
  <w:footnote w:id="5231">
    <w:p w14:paraId="58FF69B4" w14:textId="77777777" w:rsidR="006C4368" w:rsidRDefault="006C4368" w:rsidP="006C4368">
      <w:pPr>
        <w:pStyle w:val="Footnote"/>
        <w:bidi/>
      </w:pPr>
      <w:r>
        <w:rPr>
          <w:rStyle w:val="ac"/>
          <w:rtl/>
        </w:rPr>
        <w:footnoteRef/>
      </w:r>
      <w:r>
        <w:rPr>
          <w:rtl/>
        </w:rPr>
        <w:t>דה</w:t>
      </w:r>
      <w:r>
        <w:rPr>
          <w:b/>
          <w:bCs/>
          <w:rtl/>
        </w:rPr>
        <w:t>ירושלמי</w:t>
      </w:r>
      <w:r>
        <w:rPr>
          <w:rtl/>
        </w:rPr>
        <w:t xml:space="preserve"> מק' במעשר מה נפשך כהנת היא תאכל. לוייה היא תאכל.</w:t>
      </w:r>
    </w:p>
  </w:footnote>
  <w:footnote w:id="5232">
    <w:p w14:paraId="5986FE4C" w14:textId="77777777" w:rsidR="006C4368" w:rsidRDefault="006C4368" w:rsidP="006C4368">
      <w:pPr>
        <w:pStyle w:val="Footnote"/>
        <w:bidi/>
      </w:pPr>
      <w:r>
        <w:rPr>
          <w:rStyle w:val="ac"/>
          <w:rtl/>
        </w:rPr>
        <w:footnoteRef/>
      </w:r>
      <w:r>
        <w:rPr>
          <w:rtl/>
        </w:rPr>
        <w:t>אבל ה</w:t>
      </w:r>
      <w:r>
        <w:rPr>
          <w:b/>
          <w:bCs/>
          <w:rtl/>
        </w:rPr>
        <w:t>פני משה</w:t>
      </w:r>
      <w:r>
        <w:rPr>
          <w:rtl/>
        </w:rPr>
        <w:t xml:space="preserve"> כת' דכוונת הירושלמי כבבלי דאין חולקין לה בגורן. וה"ה נשואה. [וצ"ע דהלשון 'אין נותנין' ל"ש בזה. ועוד דא"כ אף למ"ד שנותנין מעשר לכהן].</w:t>
      </w:r>
    </w:p>
  </w:footnote>
  <w:footnote w:id="5233">
    <w:p w14:paraId="2AD696A2" w14:textId="77777777" w:rsidR="006C4368" w:rsidRDefault="006C4368" w:rsidP="006C4368">
      <w:pPr>
        <w:pStyle w:val="Footnote"/>
        <w:bidi/>
      </w:pPr>
      <w:r>
        <w:rPr>
          <w:rStyle w:val="ac"/>
          <w:rtl/>
        </w:rPr>
        <w:footnoteRef/>
      </w:r>
      <w:r>
        <w:rPr>
          <w:rtl/>
        </w:rPr>
        <w:t>וכ"כ ה</w:t>
      </w:r>
      <w:r>
        <w:rPr>
          <w:b/>
          <w:bCs/>
          <w:rtl/>
        </w:rPr>
        <w:t>ריטב”א</w:t>
      </w:r>
      <w:r>
        <w:rPr>
          <w:rtl/>
        </w:rPr>
        <w:t xml:space="preserve"> דסברא הוא דהאירוסין אינו פוסל אלא בדבר האסור באכילה כתרומה. דהאירוסין אינו פוסל מדין חלוקה בגורן, דסוף סוף מותרת לאכול. [דנישואין לישראל מפקיע מקדושתה רק לענין אכילת תרומה, דדרשי' 'כי תהיה'. אבל במידי דלא תלי באכילה אינה מתחללת].</w:t>
      </w:r>
    </w:p>
  </w:footnote>
  <w:footnote w:id="5234">
    <w:p w14:paraId="055D8358" w14:textId="77777777" w:rsidR="006C4368" w:rsidRDefault="006C4368" w:rsidP="006C4368">
      <w:pPr>
        <w:pStyle w:val="Footnote"/>
        <w:bidi/>
      </w:pPr>
      <w:r>
        <w:rPr>
          <w:rStyle w:val="ac"/>
          <w:rtl/>
        </w:rPr>
        <w:footnoteRef/>
      </w:r>
      <w:r>
        <w:rPr>
          <w:rtl/>
        </w:rPr>
        <w:t>משמע דבתרומה כיון דפוסל באכילה, ממילא פוסל אף לחלק לה תרומה [דדין נתינת תרומה תלי בדין אכילה דידה]. אבל כיון דאף כהן רשאי לאכול מעשר הוה דין חלוקה בעלמא, ואירוסין אינו פוסל.</w:t>
      </w:r>
    </w:p>
  </w:footnote>
  <w:footnote w:id="5235">
    <w:p w14:paraId="6F848D2D" w14:textId="77777777" w:rsidR="006C4368" w:rsidRDefault="006C4368" w:rsidP="006C4368">
      <w:pPr>
        <w:pStyle w:val="Footnote"/>
        <w:bidi/>
      </w:pPr>
      <w:r>
        <w:rPr>
          <w:rStyle w:val="ac"/>
          <w:rtl/>
        </w:rPr>
        <w:footnoteRef/>
      </w:r>
      <w:r>
        <w:rPr>
          <w:rtl/>
        </w:rPr>
        <w:t>ואיירי במתנות [זרוע לחיים וקיבה], ונח' הראשונים האם אף בפדיון הבן אמרי' כן [ד</w:t>
      </w:r>
      <w:r>
        <w:rPr>
          <w:b/>
          <w:bCs/>
          <w:rtl/>
        </w:rPr>
        <w:t>תוס</w:t>
      </w:r>
      <w:r>
        <w:rPr>
          <w:rtl/>
        </w:rPr>
        <w:t>' (קידושין ח.) נקטו דנוטל, אבל דעת ה</w:t>
      </w:r>
      <w:r>
        <w:rPr>
          <w:b/>
          <w:bCs/>
          <w:rtl/>
        </w:rPr>
        <w:t>רא”ש</w:t>
      </w:r>
      <w:r>
        <w:rPr>
          <w:rtl/>
        </w:rPr>
        <w:t xml:space="preserve"> (בכורות הל' פדיון בכור ד) ו</w:t>
      </w:r>
      <w:r>
        <w:rPr>
          <w:b/>
          <w:bCs/>
          <w:rtl/>
        </w:rPr>
        <w:t>רמב”ם</w:t>
      </w:r>
      <w:r>
        <w:rPr>
          <w:rtl/>
        </w:rPr>
        <w:t xml:space="preserve"> (בכורים א י) דלא נאמר בפדיון הבן].</w:t>
      </w:r>
    </w:p>
    <w:p w14:paraId="4B28D8C1" w14:textId="77777777" w:rsidR="006C4368" w:rsidRDefault="006C4368" w:rsidP="006C4368">
      <w:pPr>
        <w:pStyle w:val="Footnote"/>
        <w:bidi/>
      </w:pPr>
      <w:r>
        <w:rPr>
          <w:rtl/>
        </w:rPr>
        <w:tab/>
        <w:t>ובדברי הרמב"ן מבואר דאף במעשר ראשון אמרי' כן. אבל ה</w:t>
      </w:r>
      <w:r>
        <w:rPr>
          <w:b/>
          <w:bCs/>
          <w:rtl/>
        </w:rPr>
        <w:t>ערוה"ש</w:t>
      </w:r>
      <w:r>
        <w:rPr>
          <w:rtl/>
        </w:rPr>
        <w:t xml:space="preserve"> (סא לג) כת' יראה לי דה"מ מתנות זרוע ולחיים וקיבה, אבל שאר מתנות כהונה ולויה כתרומות ומעשרות ופדיון הבן וחרמי כהנים ל"מ נתינה כשנתנו לכהנות ולויות. [דדרשי' בני אהרן ולא בנות אהרן].</w:t>
      </w:r>
    </w:p>
  </w:footnote>
  <w:footnote w:id="5236">
    <w:p w14:paraId="7910430B" w14:textId="77777777" w:rsidR="006C4368" w:rsidRDefault="006C4368" w:rsidP="006C4368">
      <w:pPr>
        <w:pStyle w:val="Footnote"/>
        <w:bidi/>
      </w:pPr>
      <w:r>
        <w:rPr>
          <w:rStyle w:val="ac"/>
          <w:rtl/>
        </w:rPr>
        <w:footnoteRef/>
      </w:r>
      <w:r>
        <w:rPr>
          <w:rtl/>
        </w:rPr>
        <w:t>ומבואר דהבעל זוכה בזה [ואי"צ לתת לאשה]. וה</w:t>
      </w:r>
      <w:r>
        <w:rPr>
          <w:b/>
          <w:bCs/>
          <w:rtl/>
        </w:rPr>
        <w:t>פרי חדש</w:t>
      </w:r>
      <w:r>
        <w:rPr>
          <w:rtl/>
        </w:rPr>
        <w:t xml:space="preserve"> (סא יג) ביאר דמסתמא אנן סהדי דמקנה אשתו לו, והוסיף דבעל כאשתו. אך כת' דאם אשתו גילתה דעתה דלא ניח"ל שימסרו המתנות לבעלה ל"מ.</w:t>
      </w:r>
    </w:p>
  </w:footnote>
  <w:footnote w:id="5237">
    <w:p w14:paraId="7FE90284" w14:textId="77777777" w:rsidR="006C4368" w:rsidRDefault="006C4368" w:rsidP="006C4368">
      <w:pPr>
        <w:pStyle w:val="Footnote"/>
        <w:bidi/>
      </w:pPr>
      <w:r>
        <w:rPr>
          <w:rStyle w:val="ac"/>
          <w:rtl/>
        </w:rPr>
        <w:footnoteRef/>
      </w:r>
      <w:r>
        <w:rPr>
          <w:rtl/>
        </w:rPr>
        <w:t>וה</w:t>
      </w:r>
      <w:r>
        <w:rPr>
          <w:b/>
          <w:bCs/>
          <w:rtl/>
        </w:rPr>
        <w:t xml:space="preserve">דרך אמונה </w:t>
      </w:r>
      <w:r>
        <w:rPr>
          <w:rtl/>
        </w:rPr>
        <w:t>דן האם אף בת כהן שייך טעם זה. והביא ד</w:t>
      </w:r>
      <w:r>
        <w:rPr>
          <w:b/>
          <w:bCs/>
          <w:rtl/>
        </w:rPr>
        <w:t>ר"א מן ההר</w:t>
      </w:r>
      <w:r>
        <w:rPr>
          <w:rtl/>
        </w:rPr>
        <w:t xml:space="preserve"> (לקמן ק.) כת' דחוששין שמא תתקדש לכהן.</w:t>
      </w:r>
    </w:p>
  </w:footnote>
  <w:footnote w:id="5238">
    <w:p w14:paraId="2912762B" w14:textId="77777777" w:rsidR="006C4368" w:rsidRDefault="006C4368" w:rsidP="006C4368">
      <w:pPr>
        <w:pStyle w:val="Footnote"/>
        <w:bidi/>
      </w:pPr>
      <w:r>
        <w:rPr>
          <w:rStyle w:val="ac"/>
          <w:rtl/>
        </w:rPr>
        <w:footnoteRef/>
      </w:r>
      <w:r>
        <w:rPr>
          <w:rtl/>
        </w:rPr>
        <w:t>וה</w:t>
      </w:r>
      <w:r>
        <w:rPr>
          <w:b/>
          <w:bCs/>
          <w:rtl/>
        </w:rPr>
        <w:t>ריטב"א</w:t>
      </w:r>
      <w:r>
        <w:rPr>
          <w:rtl/>
        </w:rPr>
        <w:t xml:space="preserve"> (כתובות כו.) הביא כן בשם </w:t>
      </w:r>
      <w:r>
        <w:rPr>
          <w:b/>
          <w:bCs/>
          <w:rtl/>
        </w:rPr>
        <w:t>רש"י</w:t>
      </w:r>
      <w:r>
        <w:rPr>
          <w:rtl/>
        </w:rPr>
        <w:t xml:space="preserve"> (כתובות שם). אבל רש"י לפנינו שם לא פירש כלל.</w:t>
      </w:r>
    </w:p>
  </w:footnote>
  <w:footnote w:id="5239">
    <w:p w14:paraId="444C1EF8" w14:textId="77777777" w:rsidR="006C4368" w:rsidRDefault="006C4368" w:rsidP="006C4368">
      <w:pPr>
        <w:pStyle w:val="Footnote"/>
        <w:bidi/>
      </w:pPr>
      <w:r>
        <w:rPr>
          <w:rStyle w:val="ac"/>
          <w:rtl/>
        </w:rPr>
        <w:footnoteRef/>
      </w:r>
      <w:r>
        <w:rPr>
          <w:rtl/>
        </w:rPr>
        <w:t>אבל ה</w:t>
      </w:r>
      <w:r>
        <w:rPr>
          <w:b/>
          <w:bCs/>
          <w:rtl/>
        </w:rPr>
        <w:t xml:space="preserve">מאירי </w:t>
      </w:r>
      <w:r>
        <w:rPr>
          <w:rtl/>
        </w:rPr>
        <w:t>דחה דלר"א בן עזריה מדאוריתא אף לכהן, וא"כ לדידיה מיהא מאי קנסא. ור"ע חלק עמו בדין תורה, אבל לענין קנס מודה.</w:t>
      </w:r>
    </w:p>
  </w:footnote>
  <w:footnote w:id="5240">
    <w:p w14:paraId="374CF7A5" w14:textId="77777777" w:rsidR="006C4368" w:rsidRDefault="006C4368" w:rsidP="006C4368">
      <w:pPr>
        <w:pStyle w:val="Footnote"/>
        <w:bidi/>
      </w:pPr>
      <w:r>
        <w:rPr>
          <w:rStyle w:val="ac"/>
          <w:rtl/>
        </w:rPr>
        <w:footnoteRef/>
      </w:r>
      <w:r>
        <w:rPr>
          <w:rtl/>
        </w:rPr>
        <w:t>ואין נותנים ללוי מעשר כלל. והא דאי' בכ"מ דנותנים ללוי, הכל כר"ע.</w:t>
      </w:r>
    </w:p>
  </w:footnote>
  <w:footnote w:id="5241">
    <w:p w14:paraId="1EC54FD5" w14:textId="77777777" w:rsidR="006C4368" w:rsidRDefault="006C4368" w:rsidP="006C4368">
      <w:pPr>
        <w:pStyle w:val="Footnote"/>
        <w:bidi/>
      </w:pPr>
      <w:r>
        <w:rPr>
          <w:rStyle w:val="ac"/>
          <w:rtl/>
        </w:rPr>
        <w:footnoteRef/>
      </w:r>
      <w:r>
        <w:rPr>
          <w:rtl/>
        </w:rPr>
        <w:t xml:space="preserve">וכ"כ </w:t>
      </w:r>
      <w:r>
        <w:rPr>
          <w:b/>
          <w:bCs/>
          <w:rtl/>
        </w:rPr>
        <w:t>תוס</w:t>
      </w:r>
      <w:r>
        <w:rPr>
          <w:rtl/>
        </w:rPr>
        <w:t>' (ב"ב פא:, וכתובות כו.) דבתר קנסא הוי לר"ע אף לכהן ולרבי אלעזר בן עזריה דוקא לכהן. ותוס' כתובות הביאו י"מ דגרסו דלכו"ע [אף לר"ע] לאחר קנס הוה לכהן ולא ללוי. ותוס' הק' ע"ז.</w:t>
      </w:r>
    </w:p>
  </w:footnote>
  <w:footnote w:id="5242">
    <w:p w14:paraId="12945E85" w14:textId="77777777" w:rsidR="006C4368" w:rsidRDefault="006C4368" w:rsidP="006C4368">
      <w:pPr>
        <w:pStyle w:val="Footnote"/>
        <w:bidi/>
      </w:pPr>
      <w:r>
        <w:rPr>
          <w:rStyle w:val="ac"/>
          <w:rtl/>
        </w:rPr>
        <w:footnoteRef/>
      </w:r>
      <w:r>
        <w:rPr>
          <w:rtl/>
        </w:rPr>
        <w:t>(וכדאי' שבת נד:).</w:t>
      </w:r>
    </w:p>
  </w:footnote>
  <w:footnote w:id="5243">
    <w:p w14:paraId="60FADA5F" w14:textId="77777777" w:rsidR="006C4368" w:rsidRDefault="006C4368" w:rsidP="006C4368">
      <w:pPr>
        <w:pStyle w:val="Footnote"/>
        <w:bidi/>
      </w:pPr>
      <w:r>
        <w:rPr>
          <w:rStyle w:val="ac"/>
          <w:rtl/>
        </w:rPr>
        <w:footnoteRef/>
      </w:r>
      <w:r>
        <w:rPr>
          <w:rtl/>
        </w:rPr>
        <w:t>וה</w:t>
      </w:r>
      <w:r>
        <w:rPr>
          <w:b/>
          <w:bCs/>
          <w:rtl/>
        </w:rPr>
        <w:t>חזו"א</w:t>
      </w:r>
      <w:r>
        <w:rPr>
          <w:rtl/>
        </w:rPr>
        <w:t xml:space="preserve"> (דמאי ב ג) כת' דלא קבע את הקנס לדורות, אלא תלה בבי"ד שבכל דור. ולאחר החורבן ראו שאין ראוי להחזיק כן, ובטלו את הקנס.</w:t>
      </w:r>
    </w:p>
  </w:footnote>
  <w:footnote w:id="5244">
    <w:p w14:paraId="12986859" w14:textId="77777777" w:rsidR="006C4368" w:rsidRDefault="006C4368" w:rsidP="006C4368">
      <w:pPr>
        <w:pStyle w:val="Footnote"/>
        <w:bidi/>
      </w:pPr>
      <w:r>
        <w:rPr>
          <w:rStyle w:val="ac"/>
          <w:rtl/>
        </w:rPr>
        <w:footnoteRef/>
      </w:r>
      <w:r>
        <w:rPr>
          <w:rtl/>
        </w:rPr>
        <w:t>ועפ"ז ניחא הא דבימי הגמ' נתנו ללויים. ודוקא בימי ביהמ"ק נתנו לכהנים.</w:t>
      </w:r>
    </w:p>
  </w:footnote>
  <w:footnote w:id="5245">
    <w:p w14:paraId="7BE7DF24" w14:textId="77777777" w:rsidR="006C4368" w:rsidRDefault="006C4368" w:rsidP="006C4368">
      <w:pPr>
        <w:pStyle w:val="Footnote"/>
        <w:bidi/>
      </w:pPr>
      <w:r>
        <w:rPr>
          <w:rStyle w:val="ac"/>
          <w:rtl/>
        </w:rPr>
        <w:footnoteRef/>
      </w:r>
      <w:r>
        <w:rPr>
          <w:rtl/>
        </w:rPr>
        <w:t>[כדאי' בפסוק במדבר יח כא, ולא היה להם נחלה בארץ]. ולא מסתבר שקנסום שיעבדו בחינם.</w:t>
      </w:r>
    </w:p>
  </w:footnote>
  <w:footnote w:id="5246">
    <w:p w14:paraId="09686CDB" w14:textId="77777777" w:rsidR="006C4368" w:rsidRDefault="006C4368" w:rsidP="006C4368">
      <w:pPr>
        <w:pStyle w:val="Footnote"/>
        <w:bidi/>
      </w:pPr>
      <w:r>
        <w:rPr>
          <w:rStyle w:val="ac"/>
          <w:rtl/>
        </w:rPr>
        <w:footnoteRef/>
      </w:r>
      <w:r>
        <w:rPr>
          <w:rtl/>
        </w:rPr>
        <w:t>ובגמ' (סוטה מז:) אי' דיוחנן כה”ג העביר וידוי מעשרות, שאין נותנין אותו כתיקונו, דנותנים לכהן ולא ללוי. [ויל"ד ע”פ תי' הריטב"א, דנתקיים הנתינה מדאורייתא מגדרי הפקר בי”ד].</w:t>
      </w:r>
    </w:p>
  </w:footnote>
  <w:footnote w:id="5247">
    <w:p w14:paraId="0624BBF1" w14:textId="77777777" w:rsidR="006C4368" w:rsidRDefault="006C4368" w:rsidP="006C4368">
      <w:pPr>
        <w:pStyle w:val="Footnote"/>
        <w:bidi/>
      </w:pPr>
      <w:r>
        <w:rPr>
          <w:rStyle w:val="ac"/>
          <w:rtl/>
        </w:rPr>
        <w:footnoteRef/>
      </w:r>
      <w:r>
        <w:rPr>
          <w:rtl/>
        </w:rPr>
        <w:t xml:space="preserve">וכ"כ </w:t>
      </w:r>
      <w:r>
        <w:rPr>
          <w:b/>
          <w:bCs/>
          <w:rtl/>
        </w:rPr>
        <w:t>תלמיד הרא"ה</w:t>
      </w:r>
      <w:r>
        <w:rPr>
          <w:rtl/>
        </w:rPr>
        <w:t xml:space="preserve"> (בשיטמ"ק כתובות שם) דהכא ממונא הוא והפקר ב"ד הפקר ואוקמינהו לפירות ברשותיה דכהנים כאילו הוו דידהו.</w:t>
      </w:r>
    </w:p>
  </w:footnote>
  <w:footnote w:id="5248">
    <w:p w14:paraId="4A4AD0BC" w14:textId="77777777" w:rsidR="006C4368" w:rsidRDefault="006C4368" w:rsidP="006C4368">
      <w:pPr>
        <w:pStyle w:val="Footnote"/>
        <w:bidi/>
      </w:pPr>
      <w:r>
        <w:rPr>
          <w:rStyle w:val="ac"/>
          <w:rtl/>
        </w:rPr>
        <w:footnoteRef/>
      </w:r>
      <w:r>
        <w:rPr>
          <w:rtl/>
        </w:rPr>
        <w:t>משמע דיש ללויים זכות במעשר קודם נתינה, והפקיעו זכות זה והקנום לכהן. ואח"כ עוד תקנו שקבלת הכהנים יחשב כאילו הלויים קבלו [מגדרי זכיה].</w:t>
      </w:r>
    </w:p>
    <w:p w14:paraId="3336A160" w14:textId="77777777" w:rsidR="006C4368" w:rsidRDefault="006C4368" w:rsidP="006C4368">
      <w:pPr>
        <w:pStyle w:val="Footnote"/>
        <w:bidi/>
      </w:pPr>
      <w:r>
        <w:rPr>
          <w:rtl/>
        </w:rPr>
        <w:tab/>
        <w:t>ועוד יל"פ דבשעת נתינה לכהן, נעשה כאילו זיכה עבור הלוי. ואח"כ הפקירו חכמים מהלוי, וזוכה בו הכהן. [ולא משמע כן בסדר דברי הריטב"א].</w:t>
      </w:r>
    </w:p>
  </w:footnote>
  <w:footnote w:id="5249">
    <w:p w14:paraId="51D9BAFD" w14:textId="77777777" w:rsidR="006C4368" w:rsidRDefault="006C4368" w:rsidP="006C4368">
      <w:pPr>
        <w:pStyle w:val="Footnote"/>
        <w:bidi/>
      </w:pPr>
      <w:r>
        <w:rPr>
          <w:rStyle w:val="ac"/>
          <w:rtl/>
        </w:rPr>
        <w:footnoteRef/>
      </w:r>
      <w:r>
        <w:rPr>
          <w:rtl/>
        </w:rPr>
        <w:t>וה</w:t>
      </w:r>
      <w:r>
        <w:rPr>
          <w:b/>
          <w:bCs/>
          <w:rtl/>
        </w:rPr>
        <w:t>אחרונים</w:t>
      </w:r>
      <w:r>
        <w:rPr>
          <w:rtl/>
        </w:rPr>
        <w:t xml:space="preserve"> (נהור שרגא) ציינו דנח' ה</w:t>
      </w:r>
      <w:r>
        <w:rPr>
          <w:b/>
          <w:bCs/>
          <w:rtl/>
        </w:rPr>
        <w:t>פוסקים</w:t>
      </w:r>
      <w:r>
        <w:rPr>
          <w:rtl/>
        </w:rPr>
        <w:t xml:space="preserve"> האם מהני שליחות לקבל מתנות כהונה, דבספרי דרשי' ונתן לכהן, לו לעצמו, ולא לשלוחו. וכ"פ ה</w:t>
      </w:r>
      <w:r>
        <w:rPr>
          <w:b/>
          <w:bCs/>
          <w:rtl/>
        </w:rPr>
        <w:t>מחנ"א</w:t>
      </w:r>
      <w:r>
        <w:rPr>
          <w:rtl/>
        </w:rPr>
        <w:t xml:space="preserve"> (מתנה ט בסופו) וה</w:t>
      </w:r>
      <w:r>
        <w:rPr>
          <w:b/>
          <w:bCs/>
          <w:rtl/>
        </w:rPr>
        <w:t>כרתי</w:t>
      </w:r>
      <w:r>
        <w:rPr>
          <w:rtl/>
        </w:rPr>
        <w:t xml:space="preserve"> (סא ט) דלא יצא כשזיכה ע"י שליח עד שיגיע ליד כהן [מלבד מכירי כהונה]. אבל ה</w:t>
      </w:r>
      <w:r>
        <w:rPr>
          <w:b/>
          <w:bCs/>
          <w:rtl/>
        </w:rPr>
        <w:t>פר"ח</w:t>
      </w:r>
      <w:r>
        <w:rPr>
          <w:rtl/>
        </w:rPr>
        <w:t xml:space="preserve"> (שם יג) כת' דאמרי' שלוחו כמותו. והא דנתמעט בספרי היינו בסתמא, משום דדילמא לא ניח"ל לכהן שימסרו המתנות ביד שלוחו אלא בידו. אבל אי מדעתיה שלח שלוחיה ליטלם שפיר דמי.</w:t>
      </w:r>
    </w:p>
  </w:footnote>
  <w:footnote w:id="5250">
    <w:p w14:paraId="28E750F5" w14:textId="77777777" w:rsidR="006C4368" w:rsidRDefault="006C4368" w:rsidP="006C4368">
      <w:pPr>
        <w:pStyle w:val="Footnote"/>
        <w:bidi/>
      </w:pPr>
      <w:r>
        <w:rPr>
          <w:rStyle w:val="ac"/>
          <w:rtl/>
        </w:rPr>
        <w:footnoteRef/>
      </w:r>
      <w:r>
        <w:rPr>
          <w:rtl/>
        </w:rPr>
        <w:t>ועד"ז הק' ה</w:t>
      </w:r>
      <w:r>
        <w:rPr>
          <w:b/>
          <w:bCs/>
          <w:rtl/>
        </w:rPr>
        <w:t>מנח"ח</w:t>
      </w:r>
      <w:r>
        <w:rPr>
          <w:rtl/>
        </w:rPr>
        <w:t xml:space="preserve"> (שצה טו) האיך עקרו מצוות עשה מה”ת, ולדברי ה</w:t>
      </w:r>
      <w:r>
        <w:rPr>
          <w:b/>
          <w:bCs/>
          <w:rtl/>
        </w:rPr>
        <w:t>ט"ז</w:t>
      </w:r>
      <w:r>
        <w:rPr>
          <w:rtl/>
        </w:rPr>
        <w:t xml:space="preserve"> (יו"ד קיז א) אין כח ביד חכמים לעקר מצווה המפורש בתורה. וכתב דלדעת הרמב”ם דתרומה בזה"ז דרבנן ניחא, דהם אמרו והם אמרו. ועפ"ז ביאר דעזרא לא קנס אלא לדורו. אבל לכשיהא תרו"מ דאורייתא יחזור הדין לתת ללויים.</w:t>
      </w:r>
    </w:p>
  </w:footnote>
  <w:footnote w:id="5251">
    <w:p w14:paraId="4D1980B3" w14:textId="77777777" w:rsidR="006C4368" w:rsidRDefault="006C4368" w:rsidP="006C4368">
      <w:pPr>
        <w:pStyle w:val="Footnote"/>
        <w:bidi/>
      </w:pPr>
      <w:r>
        <w:rPr>
          <w:rStyle w:val="ac"/>
          <w:rtl/>
        </w:rPr>
        <w:footnoteRef/>
      </w:r>
      <w:r>
        <w:rPr>
          <w:rtl/>
        </w:rPr>
        <w:t>אך צ"ע א"כ מהו מ"ד דקנסא לעניים, ובין לר"א ובין לר"ע ממ"נ עניים הוה זרים.</w:t>
      </w:r>
    </w:p>
  </w:footnote>
  <w:footnote w:id="5252">
    <w:p w14:paraId="666B279F" w14:textId="77777777" w:rsidR="006C4368" w:rsidRDefault="006C4368" w:rsidP="006C4368">
      <w:pPr>
        <w:pStyle w:val="Footnote"/>
        <w:bidi/>
      </w:pPr>
      <w:r>
        <w:rPr>
          <w:rStyle w:val="ac"/>
          <w:rtl/>
        </w:rPr>
        <w:footnoteRef/>
      </w:r>
      <w:r>
        <w:rPr>
          <w:rtl/>
        </w:rPr>
        <w:t>וה</w:t>
      </w:r>
      <w:r>
        <w:rPr>
          <w:b/>
          <w:bCs/>
          <w:rtl/>
        </w:rPr>
        <w:t>ריטב”א</w:t>
      </w:r>
      <w:r>
        <w:rPr>
          <w:rtl/>
        </w:rPr>
        <w:t xml:space="preserve"> הביא ראיה ממעשה דגינתא, דר”ע לית ליה קנס. ו</w:t>
      </w:r>
      <w:r>
        <w:rPr>
          <w:b/>
          <w:bCs/>
          <w:rtl/>
        </w:rPr>
        <w:t>תלמיד הרא"ה</w:t>
      </w:r>
      <w:r>
        <w:rPr>
          <w:rtl/>
        </w:rPr>
        <w:t xml:space="preserve"> (שם) כת' דהא בורכא, דזהו קושיית הגמ' (כאן) מדברי ר"ע. [ולכאורה הריטב"א לא גרס קו' זו בסוגיין].</w:t>
      </w:r>
    </w:p>
  </w:footnote>
  <w:footnote w:id="5253">
    <w:p w14:paraId="37DBDB60" w14:textId="77777777" w:rsidR="006C4368" w:rsidRDefault="006C4368" w:rsidP="006C4368">
      <w:pPr>
        <w:pStyle w:val="Footnote"/>
        <w:bidi/>
      </w:pPr>
      <w:r>
        <w:rPr>
          <w:rStyle w:val="ac"/>
          <w:rtl/>
        </w:rPr>
        <w:footnoteRef/>
      </w:r>
      <w:r>
        <w:rPr>
          <w:rtl/>
        </w:rPr>
        <w:t>ומה איכפ"ל אי נתכוון לקבל חלקו מהדין.</w:t>
      </w:r>
    </w:p>
  </w:footnote>
  <w:footnote w:id="5254">
    <w:p w14:paraId="087BB8D6" w14:textId="77777777" w:rsidR="006C4368" w:rsidRDefault="006C4368" w:rsidP="006C4368">
      <w:pPr>
        <w:pStyle w:val="Footnote"/>
        <w:bidi/>
      </w:pPr>
      <w:r>
        <w:rPr>
          <w:rStyle w:val="ac"/>
          <w:rtl/>
        </w:rPr>
        <w:footnoteRef/>
      </w:r>
      <w:r>
        <w:rPr>
          <w:rtl/>
        </w:rPr>
        <w:t>וה</w:t>
      </w:r>
      <w:r>
        <w:rPr>
          <w:b/>
          <w:bCs/>
          <w:rtl/>
        </w:rPr>
        <w:t>מהרש"א</w:t>
      </w:r>
      <w:r>
        <w:rPr>
          <w:rtl/>
        </w:rPr>
        <w:t xml:space="preserve"> (ח"א) דייק מלשון הגמ' דר"ע לא ידע דעת ראב"ע. והק' א"כ אמאי אהדר ליה פיתחא לבי קברא, דשמא בתורת קנסא שקיל.</w:t>
      </w:r>
    </w:p>
  </w:footnote>
  <w:footnote w:id="5255">
    <w:p w14:paraId="0D6E9DBF" w14:textId="77777777" w:rsidR="006C4368" w:rsidRDefault="006C4368" w:rsidP="006C4368">
      <w:pPr>
        <w:pStyle w:val="Footnote"/>
        <w:bidi/>
      </w:pPr>
      <w:r>
        <w:rPr>
          <w:rStyle w:val="ac"/>
          <w:rtl/>
        </w:rPr>
        <w:footnoteRef/>
      </w:r>
      <w:r>
        <w:rPr>
          <w:rtl/>
        </w:rPr>
        <w:t>וקנסא דעזרא לכהן דוקא.</w:t>
      </w:r>
    </w:p>
  </w:footnote>
  <w:footnote w:id="5256">
    <w:p w14:paraId="67A65E1C" w14:textId="77777777" w:rsidR="006C4368" w:rsidRDefault="006C4368" w:rsidP="006C4368">
      <w:pPr>
        <w:pStyle w:val="Footnote"/>
        <w:bidi/>
      </w:pPr>
      <w:r>
        <w:rPr>
          <w:rStyle w:val="ac"/>
          <w:rtl/>
        </w:rPr>
        <w:footnoteRef/>
      </w:r>
      <w:r>
        <w:rPr>
          <w:rtl/>
        </w:rPr>
        <w:t>וה</w:t>
      </w:r>
      <w:r>
        <w:rPr>
          <w:b/>
          <w:bCs/>
          <w:rtl/>
        </w:rPr>
        <w:t>תוס' רא"ש</w:t>
      </w:r>
      <w:r>
        <w:rPr>
          <w:rtl/>
        </w:rPr>
        <w:t xml:space="preserve"> (קיד' שם) כת' אפ"ה קנס עזרא את כולם, ואף הראשונים שעלו מעיקרא הפסידו, לפי שהראשונים היו מועטין ולא מספיקין לקרבנות שהקריבו. דעיקר העליה היתה עם עזרא.</w:t>
      </w:r>
    </w:p>
  </w:footnote>
  <w:footnote w:id="5257">
    <w:p w14:paraId="74753B13" w14:textId="77777777" w:rsidR="006C4368" w:rsidRDefault="006C4368" w:rsidP="006C4368">
      <w:pPr>
        <w:pStyle w:val="Footnote"/>
        <w:bidi/>
      </w:pPr>
      <w:r>
        <w:rPr>
          <w:rStyle w:val="ac"/>
          <w:rtl/>
        </w:rPr>
        <w:footnoteRef/>
      </w:r>
      <w:r>
        <w:rPr>
          <w:rtl/>
        </w:rPr>
        <w:t>וה</w:t>
      </w:r>
      <w:r>
        <w:rPr>
          <w:b/>
          <w:bCs/>
          <w:rtl/>
        </w:rPr>
        <w:t>תוס' רא"ש</w:t>
      </w:r>
      <w:r>
        <w:rPr>
          <w:rtl/>
        </w:rPr>
        <w:t xml:space="preserve"> (שם) ביאר ע"ד דברי הרמב"ן אף לדעת רש"י, דבעלייה של עזרא היו קצוצי בהונות.</w:t>
      </w:r>
    </w:p>
  </w:footnote>
  <w:footnote w:id="5258">
    <w:p w14:paraId="50683F1D" w14:textId="77777777" w:rsidR="006C4368" w:rsidRDefault="006C4368" w:rsidP="006C4368">
      <w:pPr>
        <w:pStyle w:val="Footnote"/>
        <w:bidi/>
      </w:pPr>
      <w:r>
        <w:rPr>
          <w:rStyle w:val="ac"/>
          <w:rtl/>
        </w:rPr>
        <w:footnoteRef/>
      </w:r>
      <w:r>
        <w:rPr>
          <w:rtl/>
        </w:rPr>
        <w:t>ואפשר דאף דכשר בזר, מ"מ הך מלאכה רמי על הלויים [לטרוח בדבר]. והא דבפועל נהגו שישראלים מיוחסים נגנו, אפשר דהוה משום שלא עלו לויים ראויים.</w:t>
      </w:r>
    </w:p>
  </w:footnote>
  <w:footnote w:id="5259">
    <w:p w14:paraId="4A4A1513" w14:textId="77777777" w:rsidR="006C4368" w:rsidRDefault="006C4368" w:rsidP="006C4368">
      <w:pPr>
        <w:pStyle w:val="Footnote"/>
        <w:bidi/>
      </w:pPr>
      <w:r>
        <w:rPr>
          <w:rStyle w:val="ac"/>
          <w:rtl/>
        </w:rPr>
        <w:footnoteRef/>
      </w:r>
      <w:r>
        <w:rPr>
          <w:rtl/>
        </w:rPr>
        <w:t>וכן אי' בפסוק (דברי הימים ב לד יג) ומהלוים סופרים ושטרים ושוערים.</w:t>
      </w:r>
    </w:p>
  </w:footnote>
  <w:footnote w:id="5260">
    <w:p w14:paraId="17175611" w14:textId="77777777" w:rsidR="006C4368" w:rsidRDefault="006C4368" w:rsidP="006C4368">
      <w:pPr>
        <w:pStyle w:val="Footnote"/>
        <w:bidi/>
      </w:pPr>
      <w:r>
        <w:rPr>
          <w:rStyle w:val="ac"/>
          <w:rtl/>
        </w:rPr>
        <w:footnoteRef/>
      </w:r>
      <w:r>
        <w:rPr>
          <w:rtl/>
        </w:rPr>
        <w:t>ובפסוק (דברי הימים ב יא יד) אי' [בימי רחבעם] כי עזבו הלוים את מגרשיהם ואחזתם [פ</w:t>
      </w:r>
      <w:r>
        <w:rPr>
          <w:b/>
          <w:bCs/>
          <w:rtl/>
        </w:rPr>
        <w:t xml:space="preserve">רש"י </w:t>
      </w:r>
      <w:r>
        <w:rPr>
          <w:rtl/>
        </w:rPr>
        <w:t>שבארץ עשרת השבטים], וילכו ליהודה ולירושלים, כי הזניחם ירבעם ובניו מכהן לה'. [שירבעם הכריחם להזניח עבודת ה', והם עזבו את מגרשיהם והלכו ליהודה.</w:t>
      </w:r>
    </w:p>
  </w:footnote>
  <w:footnote w:id="5261">
    <w:p w14:paraId="754D8DAF" w14:textId="77777777" w:rsidR="006C4368" w:rsidRDefault="006C4368" w:rsidP="006C4368">
      <w:pPr>
        <w:pStyle w:val="Footnote"/>
        <w:bidi/>
      </w:pPr>
      <w:r>
        <w:rPr>
          <w:rStyle w:val="ac"/>
          <w:rtl/>
        </w:rPr>
        <w:footnoteRef/>
      </w:r>
      <w:r>
        <w:rPr>
          <w:rtl/>
        </w:rPr>
        <w:t>ודרך הש"ס לקצר לשונות הפסוקים בכ”מ, ע' ריטב"א (ב"ב קכג:).</w:t>
      </w:r>
    </w:p>
  </w:footnote>
  <w:footnote w:id="5262">
    <w:p w14:paraId="3B4165AA" w14:textId="77777777" w:rsidR="006C4368" w:rsidRDefault="006C4368" w:rsidP="006C4368">
      <w:pPr>
        <w:pStyle w:val="Footnote"/>
        <w:bidi/>
      </w:pPr>
      <w:r>
        <w:rPr>
          <w:rStyle w:val="ac"/>
          <w:rtl/>
        </w:rPr>
        <w:footnoteRef/>
      </w:r>
      <w:r>
        <w:rPr>
          <w:rtl/>
        </w:rPr>
        <w:t>ולפ"ז הך פסוק קאי מעיקרא, שיעמידו שופטים מכל ישראל. [ואילו בגמ' משמע דהוה שינוי, דמעיקרא מלויים].</w:t>
      </w:r>
    </w:p>
  </w:footnote>
  <w:footnote w:id="5263">
    <w:p w14:paraId="56E60499" w14:textId="77777777" w:rsidR="006C4368" w:rsidRDefault="006C4368" w:rsidP="006C4368">
      <w:pPr>
        <w:pStyle w:val="Footnote"/>
        <w:bidi/>
      </w:pPr>
      <w:r>
        <w:rPr>
          <w:rStyle w:val="ac"/>
          <w:rtl/>
        </w:rPr>
        <w:footnoteRef/>
      </w:r>
      <w:r>
        <w:rPr>
          <w:rtl/>
        </w:rPr>
        <w:t>ויל"ד דבמשנה דידן נקטו נשאת. ואפשר דאורחא דמילתא נקט. ועוד אפשר דקמ"ל דניסת ללוי אינה אוכלת בתרומה מחמת בנה.</w:t>
      </w:r>
    </w:p>
  </w:footnote>
  <w:footnote w:id="5264">
    <w:p w14:paraId="514B3341" w14:textId="77777777" w:rsidR="006C4368" w:rsidRDefault="006C4368" w:rsidP="006C4368">
      <w:pPr>
        <w:pStyle w:val="Footnote"/>
        <w:bidi/>
      </w:pPr>
      <w:r>
        <w:rPr>
          <w:rStyle w:val="ac"/>
          <w:rtl/>
        </w:rPr>
        <w:footnoteRef/>
      </w:r>
      <w:r>
        <w:rPr>
          <w:rtl/>
        </w:rPr>
        <w:t>האם אמרי' דסוף סוף יש זרע מכהן [ועי"ז יש קשר לכהן]. ולכאורה עיקר הספק של הרש"ש הוה אף כשיש לה בן כהן כשר, ואח"כ נתחללה בביאתה. האם אמרי' דנשאר לה סיבת כהונה מחמת בנה. אלא דהרש"ש נסתפק עוד דאף חלל יאכיל, דמ"מ הוה זרע של כהן.</w:t>
      </w:r>
    </w:p>
  </w:footnote>
  <w:footnote w:id="5265">
    <w:p w14:paraId="4CFA1E01" w14:textId="77777777" w:rsidR="006C4368" w:rsidRDefault="006C4368" w:rsidP="006C4368">
      <w:pPr>
        <w:pStyle w:val="Footnote"/>
        <w:bidi/>
      </w:pPr>
      <w:r>
        <w:rPr>
          <w:rStyle w:val="ac"/>
          <w:rtl/>
        </w:rPr>
        <w:footnoteRef/>
      </w:r>
      <w:r>
        <w:rPr>
          <w:rtl/>
        </w:rPr>
        <w:t>למ"ד מזל גורם. דלמ"ד מעין משכח"ל שמת באופן שלא הוחזקה קטלנית.</w:t>
      </w:r>
    </w:p>
  </w:footnote>
  <w:footnote w:id="5266">
    <w:p w14:paraId="325DDA97" w14:textId="77777777" w:rsidR="006C4368" w:rsidRDefault="006C4368" w:rsidP="006C4368">
      <w:pPr>
        <w:pStyle w:val="Footnote"/>
        <w:bidi/>
      </w:pPr>
      <w:r>
        <w:rPr>
          <w:rStyle w:val="ac"/>
          <w:rtl/>
        </w:rPr>
        <w:footnoteRef/>
      </w:r>
      <w:r>
        <w:rPr>
          <w:rtl/>
        </w:rPr>
        <w:t>וה</w:t>
      </w:r>
      <w:r>
        <w:rPr>
          <w:b/>
          <w:bCs/>
          <w:rtl/>
        </w:rPr>
        <w:t>דרך אמונה</w:t>
      </w:r>
      <w:r>
        <w:rPr>
          <w:rtl/>
        </w:rPr>
        <w:t xml:space="preserve"> כת' דכללו של דבר תמיד הולכין אחר הולד האחרון.</w:t>
      </w:r>
    </w:p>
    <w:p w14:paraId="55979E9B" w14:textId="77777777" w:rsidR="006C4368" w:rsidRDefault="006C4368" w:rsidP="006C4368">
      <w:pPr>
        <w:pStyle w:val="Footnote"/>
        <w:bidi/>
      </w:pPr>
      <w:r>
        <w:rPr>
          <w:rtl/>
        </w:rPr>
        <w:tab/>
        <w:t>והדר"א הק' על סברת הערול"נ דא"כ ברישא דמתני' בבת ישראל הו"ל למנקט רבותא טפי דאע"פ שבנה האחרון כהן ואכלה עד עתה עבור בעלה, אפ"ה כשמת לא תאכל מפני בנה שמישראל.</w:t>
      </w:r>
    </w:p>
  </w:footnote>
  <w:footnote w:id="5267">
    <w:p w14:paraId="34AC92A6" w14:textId="77777777" w:rsidR="006C4368" w:rsidRDefault="006C4368" w:rsidP="006C4368">
      <w:pPr>
        <w:pStyle w:val="Footnote"/>
        <w:bidi/>
      </w:pPr>
      <w:r>
        <w:rPr>
          <w:rStyle w:val="ac"/>
          <w:rtl/>
        </w:rPr>
        <w:footnoteRef/>
      </w:r>
      <w:r>
        <w:rPr>
          <w:rtl/>
        </w:rPr>
        <w:t>וה</w:t>
      </w:r>
      <w:r>
        <w:rPr>
          <w:b/>
          <w:bCs/>
          <w:rtl/>
        </w:rPr>
        <w:t>דרך אמונה</w:t>
      </w:r>
      <w:r>
        <w:rPr>
          <w:rtl/>
        </w:rPr>
        <w:t xml:space="preserve"> (בביאוה"ה שם) הק' דאין זה מדויק, דהרי הבן מאכיל אפי' במקום שהאב אינו מאכילה, כגון באונס ומפתה. וצ"ל דה"ק כמו שהאכילה אביו אילו היה נושאה.</w:t>
      </w:r>
    </w:p>
  </w:footnote>
  <w:footnote w:id="5268">
    <w:p w14:paraId="5B82CB30" w14:textId="77777777" w:rsidR="006C4368" w:rsidRDefault="006C4368" w:rsidP="006C4368">
      <w:pPr>
        <w:pStyle w:val="Footnote"/>
        <w:bidi/>
      </w:pPr>
      <w:r>
        <w:rPr>
          <w:rStyle w:val="ac"/>
          <w:rtl/>
        </w:rPr>
        <w:footnoteRef/>
      </w:r>
      <w:r>
        <w:rPr>
          <w:rtl/>
        </w:rPr>
        <w:t>ואף כשיש לה בנים עדיין שייך לדון עליה מצד עצמה [רשות אביה], ולא אמרי' דכל הנידון עכשיו מחמת הבנים.</w:t>
      </w:r>
    </w:p>
  </w:footnote>
  <w:footnote w:id="5269">
    <w:p w14:paraId="43B9C4F5" w14:textId="77777777" w:rsidR="006C4368" w:rsidRDefault="006C4368" w:rsidP="006C4368">
      <w:pPr>
        <w:pStyle w:val="Footnote"/>
        <w:bidi/>
      </w:pPr>
      <w:r>
        <w:rPr>
          <w:rStyle w:val="ac"/>
          <w:rtl/>
        </w:rPr>
        <w:footnoteRef/>
      </w:r>
      <w:r>
        <w:rPr>
          <w:rtl/>
        </w:rPr>
        <w:t>דאי בן 'פוסל' מתרומת בית אביה, א"כ מה מהני שיש ג"כ בן מכהן. ואי בן מכהן ל"מ להאכיל לחוד [שהרי יש בן מישראל], א"כ מה מהני דהיא ג"כ מבית כהן.</w:t>
      </w:r>
    </w:p>
  </w:footnote>
  <w:footnote w:id="5270">
    <w:p w14:paraId="48C5C0A6" w14:textId="77777777" w:rsidR="006C4368" w:rsidRDefault="006C4368" w:rsidP="006C4368">
      <w:pPr>
        <w:pStyle w:val="Footnote"/>
        <w:bidi/>
      </w:pPr>
      <w:r>
        <w:rPr>
          <w:rStyle w:val="ac"/>
          <w:rtl/>
        </w:rPr>
        <w:footnoteRef/>
      </w:r>
      <w:r>
        <w:rPr>
          <w:rtl/>
        </w:rPr>
        <w:t>ויל"ד אי דוקא נשאת [ונכנסה לרשות הבעל], או אף בת כהן שנולד לה בן בזנות [ועי”ז הבן פוסל], ואח"כ מת בנה, האם הוה בגדר חזרה. וכן יל"ד היכא דנתעברה והפילה, האם אמרי' דיצאת ע”י העיבור לחוד.</w:t>
      </w:r>
    </w:p>
  </w:footnote>
  <w:footnote w:id="5271">
    <w:p w14:paraId="657C6B62" w14:textId="77777777" w:rsidR="006C4368" w:rsidRDefault="006C4368" w:rsidP="006C4368">
      <w:pPr>
        <w:pStyle w:val="Footnote"/>
        <w:bidi/>
      </w:pPr>
      <w:r>
        <w:rPr>
          <w:rStyle w:val="ac"/>
          <w:rtl/>
        </w:rPr>
        <w:footnoteRef/>
      </w:r>
      <w:r>
        <w:rPr>
          <w:rtl/>
        </w:rPr>
        <w:t>ומשמע בהך פסוק דאף בן כהן נחשב 'אתך' [וי"ל דבוגרת לא גרע מבן כהן, דאינו רשות אביו לשאר מילי. אך יש שחילקו דדוקא בנים קטנים הוה ברשות אביהם]. וכ"כ ה</w:t>
      </w:r>
      <w:r>
        <w:rPr>
          <w:b/>
          <w:bCs/>
          <w:rtl/>
        </w:rPr>
        <w:t>משך חכמה</w:t>
      </w:r>
      <w:r>
        <w:rPr>
          <w:rtl/>
        </w:rPr>
        <w:t xml:space="preserve"> (קרח יח יא) דאף קודם שנתכהן פנחס היה אוכל בחזה ושוק מדין בן כהן.</w:t>
      </w:r>
    </w:p>
  </w:footnote>
  <w:footnote w:id="5272">
    <w:p w14:paraId="71306896" w14:textId="77777777" w:rsidR="006C4368" w:rsidRDefault="006C4368" w:rsidP="006C4368">
      <w:pPr>
        <w:pStyle w:val="Footnote"/>
        <w:bidi/>
      </w:pPr>
      <w:r>
        <w:rPr>
          <w:rStyle w:val="ac"/>
          <w:rtl/>
        </w:rPr>
        <w:footnoteRef/>
      </w:r>
      <w:r>
        <w:rPr>
          <w:rtl/>
        </w:rPr>
        <w:t>וצ"ע דלא מצאנו דגדר הפרת נדרי ביתו דכופה להאכילה. [והיכן מצאנו שהאב כופה את בתו כלל].</w:t>
      </w:r>
    </w:p>
  </w:footnote>
  <w:footnote w:id="5273">
    <w:p w14:paraId="69294876" w14:textId="77777777" w:rsidR="006C4368" w:rsidRDefault="006C4368" w:rsidP="006C4368">
      <w:pPr>
        <w:pStyle w:val="Footnote"/>
        <w:bidi/>
      </w:pPr>
      <w:r>
        <w:rPr>
          <w:rStyle w:val="ac"/>
          <w:rtl/>
        </w:rPr>
        <w:footnoteRef/>
      </w:r>
      <w:r>
        <w:rPr>
          <w:rtl/>
        </w:rPr>
        <w:t>וה</w:t>
      </w:r>
      <w:r>
        <w:rPr>
          <w:b/>
          <w:bCs/>
          <w:rtl/>
        </w:rPr>
        <w:t xml:space="preserve">מאירי </w:t>
      </w:r>
      <w:r>
        <w:rPr>
          <w:rtl/>
        </w:rPr>
        <w:t>ביאר דהתרומה הוה ממון כהן, עד שיכול לקדש בה את האשה, והוא שקראוה כאן לחם הקנוי לאביה. אבל חזה ושוק ושאר מיני קדשים אינו זוכה בו אלא משולחן גבוה ואינו מקדש בהם את האשה.</w:t>
      </w:r>
    </w:p>
  </w:footnote>
  <w:footnote w:id="5274">
    <w:p w14:paraId="6FCDCE60" w14:textId="77777777" w:rsidR="006C4368" w:rsidRDefault="006C4368" w:rsidP="006C4368">
      <w:pPr>
        <w:pStyle w:val="Footnote"/>
        <w:bidi/>
      </w:pPr>
      <w:r>
        <w:rPr>
          <w:rStyle w:val="ac"/>
          <w:rtl/>
        </w:rPr>
        <w:footnoteRef/>
      </w:r>
      <w:r>
        <w:rPr>
          <w:rtl/>
        </w:rPr>
        <w:t>אבל ה</w:t>
      </w:r>
      <w:r>
        <w:rPr>
          <w:b/>
          <w:bCs/>
          <w:rtl/>
        </w:rPr>
        <w:t>רמב"ם</w:t>
      </w:r>
      <w:r>
        <w:rPr>
          <w:rtl/>
        </w:rPr>
        <w:t xml:space="preserve"> (תרומות יב יט) כת' [גבי תרומה] שעל שלחן המקום הם אוכלין ועל שלחנו הם שותים, ומתנות אלו לה' הם והוא זיכה להן שנאמר ואני נתתי לך את משמרת תרומותי.</w:t>
      </w:r>
    </w:p>
    <w:p w14:paraId="45732E36" w14:textId="77777777" w:rsidR="006C4368" w:rsidRDefault="006C4368" w:rsidP="006C4368">
      <w:pPr>
        <w:pStyle w:val="Footnote"/>
        <w:bidi/>
      </w:pPr>
      <w:r>
        <w:rPr>
          <w:rtl/>
        </w:rPr>
        <w:tab/>
        <w:t>וב</w:t>
      </w:r>
      <w:r>
        <w:rPr>
          <w:b/>
          <w:bCs/>
          <w:rtl/>
        </w:rPr>
        <w:t>ספרי</w:t>
      </w:r>
      <w:r>
        <w:rPr>
          <w:rtl/>
        </w:rPr>
        <w:t xml:space="preserve"> (קרח קיט) דרשי' אני חלקך ונחלתך, על שולחני אתה אוכל ועל שולחני אתה שותה. וכן הוא אומר חלקם נתתי אותה מאשי (ויקרא ו י) אשי ה' ונחלתו יאכלון (דברים יח א). וה</w:t>
      </w:r>
      <w:r>
        <w:rPr>
          <w:b/>
          <w:bCs/>
          <w:rtl/>
        </w:rPr>
        <w:t>אתוון דאורייתא</w:t>
      </w:r>
      <w:r>
        <w:rPr>
          <w:rtl/>
        </w:rPr>
        <w:t xml:space="preserve"> (ב) ביאר דאפ"ה לאחר שהגיע ליד כהן הוה ממון הדיוט. ועד"ז כת' </w:t>
      </w:r>
      <w:r>
        <w:rPr>
          <w:b/>
          <w:bCs/>
          <w:rtl/>
        </w:rPr>
        <w:t>תוס</w:t>
      </w:r>
      <w:r>
        <w:rPr>
          <w:rtl/>
        </w:rPr>
        <w:t>' (מנחות עג. ד”ה ואפי') גבי גזל הגר, דקודם חלוקה הוה משולחן גבוה, אבל לאחר שהגיע לידם נעשית ממון כהן. [אך צ"ע מדברי רש"י דידן].</w:t>
      </w:r>
    </w:p>
  </w:footnote>
  <w:footnote w:id="5275">
    <w:p w14:paraId="6EC0B8D6" w14:textId="77777777" w:rsidR="006C4368" w:rsidRDefault="006C4368" w:rsidP="006C4368">
      <w:pPr>
        <w:pStyle w:val="Footnote"/>
        <w:bidi/>
      </w:pPr>
      <w:r>
        <w:rPr>
          <w:rStyle w:val="ac"/>
          <w:rtl/>
        </w:rPr>
        <w:footnoteRef/>
      </w:r>
      <w:r>
        <w:rPr>
          <w:rtl/>
        </w:rPr>
        <w:t xml:space="preserve">{קצת משמע מהגמ' דהק' משום ק"ו דתרומה, ויל"ד דהו"ל להק' בפשיטות מנ"ל דמתים כחיים לענין יבום. ואילו בגמ' משמע דידעי' ממילא, אלא כיון דהקשה מק"ו איצטריך סברת דרכי נועם. אך </w:t>
      </w:r>
      <w:r>
        <w:rPr>
          <w:b/>
          <w:bCs/>
          <w:rtl/>
        </w:rPr>
        <w:t>רש”י</w:t>
      </w:r>
      <w:r>
        <w:rPr>
          <w:rtl/>
        </w:rPr>
        <w:t xml:space="preserve"> (בע"א בתחילת הסוגיה) כת' דילפי' מתים כחיים מדרכי נועם}.</w:t>
      </w:r>
    </w:p>
  </w:footnote>
  <w:footnote w:id="5276">
    <w:p w14:paraId="727FE72B" w14:textId="77777777" w:rsidR="006C4368" w:rsidRDefault="006C4368" w:rsidP="006C4368">
      <w:pPr>
        <w:pStyle w:val="Footnote"/>
        <w:bidi/>
      </w:pPr>
      <w:r>
        <w:rPr>
          <w:rStyle w:val="ac"/>
          <w:rtl/>
        </w:rPr>
        <w:footnoteRef/>
      </w:r>
      <w:r>
        <w:rPr>
          <w:rtl/>
        </w:rPr>
        <w:t>ואפי' מת בעלה ואח"כ מת בנה זמן קצר אח"כ, ועדיין לא הוחזקה בהיתר לשוק. [יל"ד אי הטעם דסוף סוף חל היתר לשוק אפי' רגע א', ואינו דרכי נועם שתצא מיד היתר לשוק. או דילפי' מדרכי נועם דגדר ההיתר דתליא במיתת הבעל].</w:t>
      </w:r>
    </w:p>
  </w:footnote>
  <w:footnote w:id="5277">
    <w:p w14:paraId="2FD45F86" w14:textId="77777777" w:rsidR="006C4368" w:rsidRDefault="006C4368" w:rsidP="006C4368">
      <w:pPr>
        <w:pStyle w:val="Footnote"/>
        <w:bidi/>
      </w:pPr>
      <w:r>
        <w:rPr>
          <w:rStyle w:val="ac"/>
          <w:rtl/>
        </w:rPr>
        <w:footnoteRef/>
      </w:r>
      <w:r>
        <w:rPr>
          <w:rtl/>
        </w:rPr>
        <w:t>דילפינן דזמן חלות הזיקה הוא בשעת מיתה ולא אח"כ. ודרכי נועם אינו טעם כלל, אלא הוכחה וראיה שכך הוא הדין.</w:t>
      </w:r>
    </w:p>
  </w:footnote>
  <w:footnote w:id="5278">
    <w:p w14:paraId="016157BF" w14:textId="77777777" w:rsidR="006C4368" w:rsidRDefault="006C4368" w:rsidP="006C4368">
      <w:pPr>
        <w:pStyle w:val="Footnote"/>
        <w:bidi/>
      </w:pPr>
      <w:r>
        <w:rPr>
          <w:rStyle w:val="ac"/>
          <w:rtl/>
        </w:rPr>
        <w:footnoteRef/>
      </w:r>
      <w:r>
        <w:rPr>
          <w:rtl/>
        </w:rPr>
        <w:t>וה</w:t>
      </w:r>
      <w:r>
        <w:rPr>
          <w:b/>
          <w:bCs/>
          <w:rtl/>
        </w:rPr>
        <w:t>רמב"ן</w:t>
      </w:r>
      <w:r>
        <w:rPr>
          <w:rtl/>
        </w:rPr>
        <w:t xml:space="preserve"> (שם) תי' דיכולה להמתין מלהנשא כל זמן שחמיה קיים. אבל בסוגיין כל אשה שיש לה בן ל"ש לומר שלא תנשא כל זמן שהבן קיים.</w:t>
      </w:r>
    </w:p>
  </w:footnote>
  <w:footnote w:id="5279">
    <w:p w14:paraId="0E6FF97B" w14:textId="77777777" w:rsidR="006C4368" w:rsidRDefault="006C4368" w:rsidP="006C4368">
      <w:pPr>
        <w:pStyle w:val="Footnote"/>
        <w:bidi/>
      </w:pPr>
      <w:r>
        <w:rPr>
          <w:rStyle w:val="ac"/>
          <w:rtl/>
        </w:rPr>
        <w:footnoteRef/>
      </w:r>
      <w:r>
        <w:rPr>
          <w:rtl/>
        </w:rPr>
        <w:t>וכן הביאו ה</w:t>
      </w:r>
      <w:r>
        <w:rPr>
          <w:b/>
          <w:bCs/>
          <w:rtl/>
        </w:rPr>
        <w:t>ראשונים</w:t>
      </w:r>
      <w:r>
        <w:rPr>
          <w:rtl/>
        </w:rPr>
        <w:t xml:space="preserve"> (שם) בשם ה</w:t>
      </w:r>
      <w:r>
        <w:rPr>
          <w:b/>
          <w:bCs/>
          <w:rtl/>
        </w:rPr>
        <w:t>ירושלמי</w:t>
      </w:r>
      <w:r>
        <w:rPr>
          <w:rtl/>
        </w:rPr>
        <w:t>.</w:t>
      </w:r>
    </w:p>
  </w:footnote>
  <w:footnote w:id="5280">
    <w:p w14:paraId="78C294E9" w14:textId="77777777" w:rsidR="006C4368" w:rsidRDefault="006C4368" w:rsidP="006C4368">
      <w:pPr>
        <w:pStyle w:val="Footnote"/>
        <w:bidi/>
      </w:pPr>
      <w:r>
        <w:rPr>
          <w:rStyle w:val="ac"/>
          <w:rtl/>
        </w:rPr>
        <w:footnoteRef/>
      </w:r>
      <w:r>
        <w:rPr>
          <w:rtl/>
        </w:rPr>
        <w:t>[אפי' שאח"כ מתה אחותה וכדו']. דכל יבמה אין אני קורא בה בשעת נפילה יבמה יבא עליה הרי היא כאשת אח שיש לה בנים.</w:t>
      </w:r>
    </w:p>
  </w:footnote>
  <w:footnote w:id="5281">
    <w:p w14:paraId="5BD7A0F2" w14:textId="77777777" w:rsidR="006C4368" w:rsidRDefault="006C4368" w:rsidP="006C4368">
      <w:pPr>
        <w:pStyle w:val="Footnote"/>
        <w:bidi/>
      </w:pPr>
      <w:r>
        <w:rPr>
          <w:rStyle w:val="ac"/>
          <w:rtl/>
        </w:rPr>
        <w:footnoteRef/>
      </w:r>
      <w:r>
        <w:rPr>
          <w:rtl/>
        </w:rPr>
        <w:t>ועפ"ז תוס' דנו דבנדה חוזרת ליזקק לו, דלבעלה נמי צריכה להמתין עד שתטהר.</w:t>
      </w:r>
    </w:p>
  </w:footnote>
  <w:footnote w:id="5282">
    <w:p w14:paraId="7A465487" w14:textId="77777777" w:rsidR="006C4368" w:rsidRDefault="006C4368" w:rsidP="006C4368">
      <w:pPr>
        <w:pStyle w:val="Footnote"/>
        <w:bidi/>
      </w:pPr>
      <w:r>
        <w:rPr>
          <w:rStyle w:val="ac"/>
          <w:rtl/>
        </w:rPr>
        <w:footnoteRef/>
      </w:r>
      <w:r>
        <w:rPr>
          <w:rtl/>
        </w:rPr>
        <w:t>וה</w:t>
      </w:r>
      <w:r>
        <w:rPr>
          <w:b/>
          <w:bCs/>
          <w:rtl/>
        </w:rPr>
        <w:t>קובה"ע</w:t>
      </w:r>
      <w:r>
        <w:rPr>
          <w:rtl/>
        </w:rPr>
        <w:t xml:space="preserve"> הק' דבגמ' (לעיל מא.) מבואר דסברת ר"א דמגרש את אשתו והחזירה פטור למ"ד נישואין מפילין (כדלקמן קט.) הוה משום דנאסרה. וכת' דצ"ל דילפי' מקרא דדרכי נועם דהיכא דהיתה שעת נפילה ונתבטלה הנפילה שעה אחת, שוב לא תיזקק לעולם. ולמ"ד נישואין מפילין מיקרי שעת נפילה בחיי הבעל [דהיה בה דין נפילה על להבא], וכשנתגרשה בטלה הנפילה לגמרי, ומש"ה פטורה עולמית [אף דבזה ל"ש סברת דרכי נועם].</w:t>
      </w:r>
    </w:p>
    <w:p w14:paraId="7725BF78" w14:textId="77777777" w:rsidR="006C4368" w:rsidRDefault="006C4368" w:rsidP="006C4368">
      <w:pPr>
        <w:pStyle w:val="Footnote"/>
        <w:bidi/>
      </w:pPr>
      <w:r>
        <w:rPr>
          <w:rtl/>
        </w:rPr>
        <w:tab/>
        <w:t>ועוה"ק ה</w:t>
      </w:r>
      <w:r>
        <w:rPr>
          <w:b/>
          <w:bCs/>
          <w:rtl/>
        </w:rPr>
        <w:t>אחרונים</w:t>
      </w:r>
      <w:r>
        <w:rPr>
          <w:rtl/>
        </w:rPr>
        <w:t xml:space="preserve"> דבגמ' (לעיל ל.) דימו היכא דנאסרה בנפילה ראשונה, וחזרה והותרה בנפילה שניה. ומה שייך התם גדר דרכי נועם [וע' מש"כ לעיל ל., וע"ע דברי רש"י לעיל ב:].</w:t>
      </w:r>
    </w:p>
  </w:footnote>
  <w:footnote w:id="5283">
    <w:p w14:paraId="7E2F4551" w14:textId="77777777" w:rsidR="006C4368" w:rsidRDefault="006C4368" w:rsidP="006C4368">
      <w:pPr>
        <w:pStyle w:val="Footnote"/>
        <w:bidi/>
      </w:pPr>
      <w:r>
        <w:rPr>
          <w:rStyle w:val="ac"/>
          <w:rtl/>
        </w:rPr>
        <w:footnoteRef/>
      </w:r>
      <w:r>
        <w:rPr>
          <w:rtl/>
        </w:rPr>
        <w:t>וה</w:t>
      </w:r>
      <w:r>
        <w:rPr>
          <w:b/>
          <w:bCs/>
          <w:rtl/>
        </w:rPr>
        <w:t>קובה"ע</w:t>
      </w:r>
      <w:r>
        <w:rPr>
          <w:rtl/>
        </w:rPr>
        <w:t xml:space="preserve"> ביאר דאיסור אשת אח שלא ניתר בשעת נפילה שוב אינו ניתר לעולם. וכת' דשמא הילכתא גמירי לה הכי. [וכן ה</w:t>
      </w:r>
      <w:r>
        <w:rPr>
          <w:b/>
          <w:bCs/>
          <w:rtl/>
        </w:rPr>
        <w:t>תוס' מהר"ם ור"פ</w:t>
      </w:r>
      <w:r>
        <w:rPr>
          <w:rtl/>
        </w:rPr>
        <w:t xml:space="preserve"> מבואר דבא לשלול צד דנאסרה הוה משום הילכתא, דגמרא גמיר לה].</w:t>
      </w:r>
    </w:p>
  </w:footnote>
  <w:footnote w:id="5284">
    <w:p w14:paraId="768335D3" w14:textId="77777777" w:rsidR="006C4368" w:rsidRDefault="006C4368" w:rsidP="006C4368">
      <w:pPr>
        <w:pStyle w:val="Footnote"/>
        <w:bidi/>
      </w:pPr>
      <w:r>
        <w:rPr>
          <w:rStyle w:val="ac"/>
          <w:rtl/>
        </w:rPr>
        <w:footnoteRef/>
      </w:r>
      <w:r>
        <w:rPr>
          <w:rtl/>
        </w:rPr>
        <w:t>וכן הוכיח ב</w:t>
      </w:r>
      <w:r>
        <w:rPr>
          <w:b/>
          <w:bCs/>
          <w:rtl/>
        </w:rPr>
        <w:t>תוס' מהר"ם ור"פ</w:t>
      </w:r>
      <w:r>
        <w:rPr>
          <w:rtl/>
        </w:rPr>
        <w:t xml:space="preserve"> (לעיל ט:) דאי מילתיה דרב [דנאסרה] גמרא גמיר לה, ולא מכח הפסוק דדרכי נועם. א"כ אף לענין מתים כחיים לייתי מילתיה דרב [דנאסרה]. אלא ודאי מילתיה דרב מתוך הפסוק דדרכי נועם, ולכך ניח"ל להביא הפסוק [ולא דברי רב דנאסרה].</w:t>
      </w:r>
    </w:p>
  </w:footnote>
  <w:footnote w:id="5285">
    <w:p w14:paraId="22B4D42B" w14:textId="77777777" w:rsidR="006C4368" w:rsidRDefault="006C4368" w:rsidP="006C4368">
      <w:pPr>
        <w:pStyle w:val="Footnote"/>
        <w:bidi/>
      </w:pPr>
      <w:r>
        <w:rPr>
          <w:rStyle w:val="ac"/>
          <w:rtl/>
        </w:rPr>
        <w:footnoteRef/>
      </w:r>
      <w:r>
        <w:rPr>
          <w:rtl/>
        </w:rPr>
        <w:t>וצ"ב דאם לא חלצה מאי איכא למימר. ואפשר דכוונתו דהוה סברא דאורייתא שנתקן שתחלוץ, א"נ אין בזה משום דרכי נועם כיון דבידה להמתין. [ויל"ד מדברי הראשונים גבי מעוברת].</w:t>
      </w:r>
    </w:p>
  </w:footnote>
  <w:footnote w:id="5286">
    <w:p w14:paraId="0E3C3A7C" w14:textId="77777777" w:rsidR="006C4368" w:rsidRDefault="006C4368" w:rsidP="006C4368">
      <w:pPr>
        <w:pStyle w:val="Footnote"/>
        <w:bidi/>
      </w:pPr>
      <w:r>
        <w:rPr>
          <w:rStyle w:val="ac"/>
          <w:rtl/>
        </w:rPr>
        <w:footnoteRef/>
      </w:r>
      <w:r>
        <w:rPr>
          <w:rtl/>
        </w:rPr>
        <w:t>ויל"ד לס"ד דמת הבן נופלת ליבום, האם הגדר דהוה כמי שהבעל מת מעכשיו מכאן ולהבא, או דע"י דליכא זרע, חל כעין למפרע. [דלאחר שפקע אישות המת האיך יחזור ויתחדש].</w:t>
      </w:r>
    </w:p>
  </w:footnote>
  <w:footnote w:id="5287">
    <w:p w14:paraId="379C57C0" w14:textId="77777777" w:rsidR="006C4368" w:rsidRDefault="006C4368" w:rsidP="006C4368">
      <w:pPr>
        <w:pStyle w:val="Footnote"/>
        <w:bidi/>
      </w:pPr>
      <w:r>
        <w:rPr>
          <w:rStyle w:val="ac"/>
          <w:rtl/>
        </w:rPr>
        <w:footnoteRef/>
      </w:r>
      <w:r>
        <w:rPr>
          <w:rtl/>
        </w:rPr>
        <w:t>והתם ע"כ הוה סימן וגילוי לפרש את הפסוק דד' מינים.</w:t>
      </w:r>
    </w:p>
  </w:footnote>
  <w:footnote w:id="5288">
    <w:p w14:paraId="03DF3D24" w14:textId="77777777" w:rsidR="006C4368" w:rsidRDefault="006C4368" w:rsidP="006C4368">
      <w:pPr>
        <w:pStyle w:val="Footnote"/>
        <w:bidi/>
      </w:pPr>
      <w:r>
        <w:rPr>
          <w:rStyle w:val="ac"/>
          <w:rtl/>
        </w:rPr>
        <w:footnoteRef/>
      </w:r>
      <w:r>
        <w:rPr>
          <w:rtl/>
        </w:rPr>
        <w:t>וב</w:t>
      </w:r>
      <w:r>
        <w:rPr>
          <w:b/>
          <w:bCs/>
          <w:rtl/>
        </w:rPr>
        <w:t>שו"ת הרדב"ז</w:t>
      </w:r>
      <w:r>
        <w:rPr>
          <w:rtl/>
        </w:rPr>
        <w:t xml:space="preserve"> (ג תרכז [אלף נב]) דן האם מחוייב להפסיד אבר להצלת חבירו. דכתיב דרכיה דרכי נועם, וצריך שמשפטי תורתינו יהיו מסכימים אל השכל והסברא. ובזה לא יעלה על דעתנו שיניח אדם לסמא את עינו או לחתוך את ידו או רגלו כדי שלא ימיתו את חבירו [אלא הוה מדת חסידות, ואשרי חלקו מי שיוכל לעמוד בזה].</w:t>
      </w:r>
    </w:p>
    <w:p w14:paraId="26394022" w14:textId="77777777" w:rsidR="006C4368" w:rsidRDefault="006C4368" w:rsidP="006C4368">
      <w:pPr>
        <w:pStyle w:val="Footnote"/>
        <w:bidi/>
      </w:pPr>
      <w:r>
        <w:rPr>
          <w:rtl/>
        </w:rPr>
        <w:tab/>
        <w:t>וב</w:t>
      </w:r>
      <w:r>
        <w:rPr>
          <w:b/>
          <w:bCs/>
          <w:rtl/>
        </w:rPr>
        <w:t>שו"ת חכ"צ</w:t>
      </w:r>
      <w:r>
        <w:rPr>
          <w:rtl/>
        </w:rPr>
        <w:t xml:space="preserve"> (מו) דן במראות דמים, מראה לבן או ירוק כשנתייבש הוה אדום, דאם האשה טמאה אין כאן דרכי נועם. שדעת הפוסקים דמתירין אותה [בעודו לח], ואם תתעבר ואח"כ תמצא אודם, ונימא דשימשו נדה והולידו בן הנדה ואין זה דרכי נועם.</w:t>
      </w:r>
    </w:p>
  </w:footnote>
  <w:footnote w:id="5289">
    <w:p w14:paraId="7D5E18B6" w14:textId="77777777" w:rsidR="006C4368" w:rsidRDefault="006C4368" w:rsidP="006C4368">
      <w:pPr>
        <w:pStyle w:val="Footnote"/>
        <w:bidi/>
      </w:pPr>
      <w:r>
        <w:rPr>
          <w:rStyle w:val="ac"/>
          <w:rtl/>
        </w:rPr>
        <w:footnoteRef/>
      </w:r>
      <w:r>
        <w:rPr>
          <w:rtl/>
        </w:rPr>
        <w:t>וה</w:t>
      </w:r>
      <w:r>
        <w:rPr>
          <w:b/>
          <w:bCs/>
          <w:rtl/>
        </w:rPr>
        <w:t>מאירי</w:t>
      </w:r>
      <w:r>
        <w:rPr>
          <w:rtl/>
        </w:rPr>
        <w:t xml:space="preserve"> הוסיף דיבואו לידי קטטה.</w:t>
      </w:r>
    </w:p>
  </w:footnote>
  <w:footnote w:id="5290">
    <w:p w14:paraId="1DE6FF72" w14:textId="77777777" w:rsidR="006C4368" w:rsidRDefault="006C4368" w:rsidP="006C4368">
      <w:pPr>
        <w:pStyle w:val="Footnote"/>
        <w:bidi/>
      </w:pPr>
      <w:r>
        <w:rPr>
          <w:rStyle w:val="ac"/>
          <w:rtl/>
        </w:rPr>
        <w:footnoteRef/>
      </w:r>
      <w:r>
        <w:rPr>
          <w:rtl/>
        </w:rPr>
        <w:t>ו</w:t>
      </w:r>
      <w:r>
        <w:rPr>
          <w:b/>
          <w:bCs/>
          <w:rtl/>
        </w:rPr>
        <w:t>תוס'</w:t>
      </w:r>
      <w:r>
        <w:rPr>
          <w:rtl/>
        </w:rPr>
        <w:t xml:space="preserve"> (בתי' הא') כת' דיש תקנה ע"י גירושין, ומש"ה לא פקע הזיקה.</w:t>
      </w:r>
    </w:p>
  </w:footnote>
  <w:footnote w:id="5291">
    <w:p w14:paraId="41E27FAC" w14:textId="77777777" w:rsidR="006C4368" w:rsidRDefault="006C4368" w:rsidP="006C4368">
      <w:pPr>
        <w:pStyle w:val="Footnote"/>
        <w:bidi/>
      </w:pPr>
      <w:r>
        <w:rPr>
          <w:rStyle w:val="ac"/>
          <w:rtl/>
        </w:rPr>
        <w:footnoteRef/>
      </w:r>
      <w:r>
        <w:rPr>
          <w:rtl/>
        </w:rPr>
        <w:t>ו</w:t>
      </w:r>
      <w:r>
        <w:rPr>
          <w:b/>
          <w:bCs/>
          <w:rtl/>
        </w:rPr>
        <w:t>רע"א</w:t>
      </w:r>
      <w:r>
        <w:rPr>
          <w:rtl/>
        </w:rPr>
        <w:t xml:space="preserve"> (במקו"א) הק' סתם [ולא תלה בדבריו ברש"י ותוס'], ומשמע מדבריו דאף לשמואל קשה. דכיון דנתקדשה קודם שזקוקה ליבום ל"ש לדרוש גזיה"כ.</w:t>
      </w:r>
    </w:p>
  </w:footnote>
  <w:footnote w:id="5292">
    <w:p w14:paraId="2948B95C" w14:textId="77777777" w:rsidR="006C4368" w:rsidRDefault="006C4368" w:rsidP="006C4368">
      <w:pPr>
        <w:pStyle w:val="Footnote"/>
        <w:bidi/>
      </w:pPr>
      <w:r>
        <w:rPr>
          <w:rStyle w:val="ac"/>
          <w:rtl/>
        </w:rPr>
        <w:footnoteRef/>
      </w:r>
      <w:r>
        <w:rPr>
          <w:rtl/>
        </w:rPr>
        <w:t>ולא נדרוש 'לא תהיה' לענין דלא פקע הזיקה, אלא גלי קרא רק דלא תפסי קידושין.</w:t>
      </w:r>
    </w:p>
  </w:footnote>
  <w:footnote w:id="5293">
    <w:p w14:paraId="65FBCA06" w14:textId="77777777" w:rsidR="006C4368" w:rsidRDefault="006C4368" w:rsidP="006C4368">
      <w:pPr>
        <w:pStyle w:val="Footnote"/>
        <w:bidi/>
      </w:pPr>
      <w:r>
        <w:rPr>
          <w:rStyle w:val="ac"/>
          <w:rtl/>
        </w:rPr>
        <w:footnoteRef/>
      </w:r>
      <w:r>
        <w:rPr>
          <w:rtl/>
        </w:rPr>
        <w:t>ורש"י שפירש שנשאת לא ס"ל כתי' הב' בתוס' (שם), אלא כתי' הא' דאפשר לתקן ע"י גירושין שיגרשה המקדש ומש"ה לא פקע הזיקה ואינו דומה לקידש אחותה.</w:t>
      </w:r>
    </w:p>
  </w:footnote>
  <w:footnote w:id="5294">
    <w:p w14:paraId="07822C96" w14:textId="77777777" w:rsidR="006C4368" w:rsidRDefault="006C4368" w:rsidP="006C4368">
      <w:pPr>
        <w:pStyle w:val="Footnote"/>
        <w:bidi/>
      </w:pPr>
      <w:r>
        <w:rPr>
          <w:rStyle w:val="ac"/>
          <w:rtl/>
        </w:rPr>
        <w:footnoteRef/>
      </w:r>
      <w:r>
        <w:rPr>
          <w:rtl/>
        </w:rPr>
        <w:t>משמע כוונתו דדרשי' לקרא כי תהיה אלמנה, דתלי במה שעכשיו היא אלמנה, ועכשיו אין לה זרע. משא"כ גבי יבום תלי בשעת מיתה. [והא דאי' מתים כחיים לאו דוקא].</w:t>
      </w:r>
    </w:p>
  </w:footnote>
  <w:footnote w:id="5295">
    <w:p w14:paraId="76E2FC84" w14:textId="77777777" w:rsidR="006C4368" w:rsidRDefault="006C4368" w:rsidP="006C4368">
      <w:pPr>
        <w:pStyle w:val="Footnote"/>
        <w:bidi/>
      </w:pPr>
      <w:r>
        <w:rPr>
          <w:rStyle w:val="ac"/>
          <w:rtl/>
        </w:rPr>
        <w:footnoteRef/>
      </w:r>
      <w:r>
        <w:rPr>
          <w:rtl/>
        </w:rPr>
        <w:t>ונפק"מ באחות אשתו, וכן ייבם אשת אחיו [מנישואין] דל"ש גירש זה ונשא זה, דאי"צ גט משני. [ע' בסוגיה לקמן שם].</w:t>
      </w:r>
    </w:p>
  </w:footnote>
  <w:footnote w:id="5296">
    <w:p w14:paraId="7CFE5D38" w14:textId="77777777" w:rsidR="006C4368" w:rsidRDefault="006C4368" w:rsidP="006C4368">
      <w:pPr>
        <w:pStyle w:val="Footnote"/>
        <w:bidi/>
      </w:pPr>
      <w:r>
        <w:rPr>
          <w:rStyle w:val="ac"/>
          <w:rtl/>
        </w:rPr>
        <w:footnoteRef/>
      </w:r>
      <w:r>
        <w:rPr>
          <w:rtl/>
        </w:rPr>
        <w:t>[לענין הא דצריכה גט, אך לא הוזכר בגמ' דמש"ה נאסרת על בעלה. והיה אפ"ל דפשיטא דנאסרת משום סוטה, והגמ' קאי רק לענין הגט. אך מ"מ מאחר דהצריכו גט לכאורה ממילא אסורה עליו אף מטעם גזירה זו. ויש לדחות דהחמירו משום חומר אשת איש, ולא החמירו לחוש שמא יאמרו שמחזיר גרושתו. וע"ע לקמן פח: שדנו בסברות אלו].</w:t>
      </w:r>
    </w:p>
  </w:footnote>
  <w:footnote w:id="5297">
    <w:p w14:paraId="454B248E" w14:textId="77777777" w:rsidR="006C4368" w:rsidRDefault="006C4368" w:rsidP="006C4368">
      <w:pPr>
        <w:pStyle w:val="Footnote"/>
        <w:bidi/>
      </w:pPr>
      <w:r>
        <w:rPr>
          <w:rStyle w:val="ac"/>
          <w:rtl/>
        </w:rPr>
        <w:footnoteRef/>
      </w:r>
      <w:r>
        <w:rPr>
          <w:rtl/>
        </w:rPr>
        <w:t>דה</w:t>
      </w:r>
      <w:r>
        <w:rPr>
          <w:b/>
          <w:bCs/>
          <w:rtl/>
        </w:rPr>
        <w:t>רמב"ם</w:t>
      </w:r>
      <w:r>
        <w:rPr>
          <w:rtl/>
        </w:rPr>
        <w:t xml:space="preserve"> (גירושין י ד) כת' דכל מי שנשאת בגט בטל הר"ז צריכה גט מבעל שני מדבריהן כדי שלא יאמרו אשת איש יוצאה בלא גט, וכו' ונאסרה על שניהם לעולם אף שנבעלה בשגגה, כדי שלא יאמרו החזיר זה גרושתו אחר שנשאת.</w:t>
      </w:r>
    </w:p>
    <w:p w14:paraId="6EC6351F" w14:textId="77777777" w:rsidR="006C4368" w:rsidRDefault="006C4368" w:rsidP="006C4368">
      <w:pPr>
        <w:pStyle w:val="Footnote"/>
        <w:bidi/>
      </w:pPr>
      <w:r>
        <w:rPr>
          <w:rtl/>
        </w:rPr>
        <w:tab/>
        <w:t>והרמב"ם קאי ע"פ המשנה (גיטין עט:, הו' לקמן צא:) בגיטין פסולין דתצא מזה ומזה וכל הדרכים האלו בה. והרמב"ם נקט דכן הדין בכל גט שהוא בטל [פסול מדאורייתא, דלא קי"ל כר' מאיר דהמשנה ממטבע בפסולים דרבנן הולד ממזר].</w:t>
      </w:r>
    </w:p>
  </w:footnote>
  <w:footnote w:id="5298">
    <w:p w14:paraId="44F0E8C9" w14:textId="77777777" w:rsidR="006C4368" w:rsidRDefault="006C4368" w:rsidP="006C4368">
      <w:pPr>
        <w:pStyle w:val="Footnote"/>
        <w:bidi/>
      </w:pPr>
      <w:r>
        <w:rPr>
          <w:rStyle w:val="ac"/>
          <w:rtl/>
        </w:rPr>
        <w:footnoteRef/>
      </w:r>
      <w:r>
        <w:rPr>
          <w:rtl/>
        </w:rPr>
        <w:t>[ויתבאר לקמן פט.]. ו</w:t>
      </w:r>
      <w:r>
        <w:rPr>
          <w:b/>
          <w:bCs/>
          <w:rtl/>
        </w:rPr>
        <w:t>תוס</w:t>
      </w:r>
      <w:r>
        <w:rPr>
          <w:rtl/>
        </w:rPr>
        <w:t>' (צב:) הביאו דביבמה שנשאת לשוק, למ"ד דאינה נאסרת משום סוטה, מותרת ליבם [מלבד גזירת 'מיחלף']. ולא גזרו שמא יאמרו חלץ זה, דלמסקנא לא אמרי' הכי אלא במקום קנס [שנאסרת מדין סוטה].</w:t>
      </w:r>
    </w:p>
  </w:footnote>
  <w:footnote w:id="5299">
    <w:p w14:paraId="691F510A" w14:textId="77777777" w:rsidR="006C4368" w:rsidRDefault="006C4368" w:rsidP="006C4368">
      <w:pPr>
        <w:pStyle w:val="Footnote"/>
        <w:bidi/>
      </w:pPr>
      <w:r>
        <w:rPr>
          <w:rStyle w:val="ac"/>
          <w:rtl/>
        </w:rPr>
        <w:footnoteRef/>
      </w:r>
      <w:r>
        <w:rPr>
          <w:rtl/>
        </w:rPr>
        <w:t>וה</w:t>
      </w:r>
      <w:r>
        <w:rPr>
          <w:b/>
          <w:bCs/>
          <w:rtl/>
        </w:rPr>
        <w:t>ב"י</w:t>
      </w:r>
      <w:r>
        <w:rPr>
          <w:rtl/>
        </w:rPr>
        <w:t xml:space="preserve"> כת' דעכ"פ אף לדברי רש"י (בסוגיין) הוה מדרבנן, ומעתה יש לנו לעיין ולכוין דבריו אלה עם אלה.</w:t>
      </w:r>
    </w:p>
  </w:footnote>
  <w:footnote w:id="5300">
    <w:p w14:paraId="7174EDA8" w14:textId="77777777" w:rsidR="006C4368" w:rsidRDefault="006C4368" w:rsidP="006C4368">
      <w:pPr>
        <w:pStyle w:val="Footnote"/>
        <w:bidi/>
      </w:pPr>
      <w:r>
        <w:rPr>
          <w:rStyle w:val="ac"/>
          <w:rtl/>
        </w:rPr>
        <w:footnoteRef/>
      </w:r>
      <w:r>
        <w:rPr>
          <w:rtl/>
        </w:rPr>
        <w:t>אך יל"ד דמשמע בסוגיין דעיקר הקנס על האשה, דהו"ל לדייק ולינשא. [ולא אשני שנשאה]. וקנס זה שייך אף הכא.</w:t>
      </w:r>
    </w:p>
  </w:footnote>
  <w:footnote w:id="5301">
    <w:p w14:paraId="2DCE3DFE" w14:textId="77777777" w:rsidR="006C4368" w:rsidRDefault="006C4368" w:rsidP="006C4368">
      <w:pPr>
        <w:pStyle w:val="Footnote"/>
        <w:bidi/>
      </w:pPr>
      <w:r>
        <w:rPr>
          <w:rStyle w:val="ac"/>
          <w:rtl/>
        </w:rPr>
        <w:footnoteRef/>
      </w:r>
      <w:r>
        <w:rPr>
          <w:rtl/>
        </w:rPr>
        <w:t>אך פשטות הגמ' (צא:) דהך מ"ד ס"ל דקנסו אף היכא דאמרי' מאי הו"ל למיעבד.</w:t>
      </w:r>
    </w:p>
  </w:footnote>
  <w:footnote w:id="5302">
    <w:p w14:paraId="5C2D0BC5" w14:textId="77777777" w:rsidR="006C4368" w:rsidRDefault="006C4368" w:rsidP="006C4368">
      <w:pPr>
        <w:pStyle w:val="Footnote"/>
        <w:bidi/>
      </w:pPr>
      <w:r>
        <w:rPr>
          <w:rStyle w:val="ac"/>
          <w:rtl/>
        </w:rPr>
        <w:footnoteRef/>
      </w:r>
      <w:r>
        <w:rPr>
          <w:rtl/>
        </w:rPr>
        <w:t>והעירו דכ"ז אי הוה קנס בעלמא, דעבדא איסורא. אבל ל"ש לאסור משום סוטה [דרבנן] בכניסת חופה לחוד.</w:t>
      </w:r>
    </w:p>
    <w:p w14:paraId="47295DE1" w14:textId="77777777" w:rsidR="006C4368" w:rsidRDefault="006C4368" w:rsidP="006C4368">
      <w:pPr>
        <w:pStyle w:val="Footnote"/>
        <w:bidi/>
      </w:pPr>
      <w:r>
        <w:rPr>
          <w:rtl/>
        </w:rPr>
        <w:tab/>
        <w:t>[ועוד דלר' יוסי בן כיפר דמחזיר גרושתו מהאירוסין מותר, לכאורה אף בנכנסה לחופה ולא נבעלה מותרת (וכ"כ ה</w:t>
      </w:r>
      <w:r>
        <w:rPr>
          <w:b/>
          <w:bCs/>
          <w:rtl/>
        </w:rPr>
        <w:t>קר"א</w:t>
      </w:r>
      <w:r>
        <w:rPr>
          <w:rtl/>
        </w:rPr>
        <w:t xml:space="preserve"> לקמן צה.). ולא שייך הך גזירה. אך י"ל דלמסקנא קאי אף לרבנן].</w:t>
      </w:r>
    </w:p>
  </w:footnote>
  <w:footnote w:id="5303">
    <w:p w14:paraId="19036E5C" w14:textId="77777777" w:rsidR="006C4368" w:rsidRDefault="006C4368" w:rsidP="006C4368">
      <w:pPr>
        <w:pStyle w:val="Footnote"/>
        <w:bidi/>
      </w:pPr>
      <w:r>
        <w:rPr>
          <w:rStyle w:val="ac"/>
          <w:rtl/>
        </w:rPr>
        <w:footnoteRef/>
      </w:r>
      <w:r>
        <w:rPr>
          <w:rtl/>
        </w:rPr>
        <w:t>וה</w:t>
      </w:r>
      <w:r>
        <w:rPr>
          <w:b/>
          <w:bCs/>
          <w:rtl/>
        </w:rPr>
        <w:t>רשב"א</w:t>
      </w:r>
      <w:r>
        <w:rPr>
          <w:rtl/>
        </w:rPr>
        <w:t xml:space="preserve"> הוסיף כל שיחד לה קרקע בכתובתה. [אך לשון זה קאי בעלמא אעיקר כתובה]. וה</w:t>
      </w:r>
      <w:r>
        <w:rPr>
          <w:b/>
          <w:bCs/>
          <w:rtl/>
        </w:rPr>
        <w:t>בית מאיר</w:t>
      </w:r>
      <w:r>
        <w:rPr>
          <w:rtl/>
        </w:rPr>
        <w:t xml:space="preserve"> (קטו ה) ביאר שהכניסה לו כספים, וייחד קרקע כנגדם. אבל ה</w:t>
      </w:r>
      <w:r>
        <w:rPr>
          <w:b/>
          <w:bCs/>
          <w:rtl/>
        </w:rPr>
        <w:t>חזו"א</w:t>
      </w:r>
      <w:r>
        <w:rPr>
          <w:rtl/>
        </w:rPr>
        <w:t xml:space="preserve"> (עט) כת' דייחד לאו דוקא. ואכמ"ל.</w:t>
      </w:r>
    </w:p>
  </w:footnote>
  <w:footnote w:id="5304">
    <w:p w14:paraId="33AD8F4C" w14:textId="77777777" w:rsidR="006C4368" w:rsidRDefault="006C4368" w:rsidP="006C4368">
      <w:pPr>
        <w:pStyle w:val="Footnote"/>
        <w:bidi/>
      </w:pPr>
      <w:r>
        <w:rPr>
          <w:rStyle w:val="ac"/>
          <w:rtl/>
        </w:rPr>
        <w:footnoteRef/>
      </w:r>
      <w:r>
        <w:rPr>
          <w:rtl/>
        </w:rPr>
        <w:t>וה</w:t>
      </w:r>
      <w:r>
        <w:rPr>
          <w:b/>
          <w:bCs/>
          <w:rtl/>
        </w:rPr>
        <w:t>ריטב"א</w:t>
      </w:r>
      <w:r>
        <w:rPr>
          <w:rtl/>
        </w:rPr>
        <w:t xml:space="preserve"> הביא דעד"ז נח' [הרמב"ן והרשב"א] (כתובות נד: הו' בה"ה אישות טו א) האם נדוניא הוה בכלל תנאי כתובה ככתובה למוכרת ומוחלת ועוברת על דת.</w:t>
      </w:r>
    </w:p>
  </w:footnote>
  <w:footnote w:id="5305">
    <w:p w14:paraId="245F2237" w14:textId="77777777" w:rsidR="006C4368" w:rsidRDefault="006C4368" w:rsidP="006C4368">
      <w:pPr>
        <w:pStyle w:val="Footnote"/>
        <w:bidi/>
      </w:pPr>
      <w:r>
        <w:rPr>
          <w:rStyle w:val="ac"/>
          <w:rtl/>
        </w:rPr>
        <w:footnoteRef/>
      </w:r>
      <w:r>
        <w:rPr>
          <w:rtl/>
        </w:rPr>
        <w:t>והגמ' דוחה דס"ד דאף דקנסו לדידה, לא קנסו לבניה.</w:t>
      </w:r>
    </w:p>
  </w:footnote>
  <w:footnote w:id="5306">
    <w:p w14:paraId="70B05605" w14:textId="77777777" w:rsidR="006C4368" w:rsidRDefault="006C4368" w:rsidP="006C4368">
      <w:pPr>
        <w:pStyle w:val="Footnote"/>
        <w:bidi/>
      </w:pPr>
      <w:r>
        <w:rPr>
          <w:rStyle w:val="ac"/>
          <w:rtl/>
        </w:rPr>
        <w:footnoteRef/>
      </w:r>
      <w:r>
        <w:rPr>
          <w:rtl/>
        </w:rPr>
        <w:t>וה</w:t>
      </w:r>
      <w:r>
        <w:rPr>
          <w:b/>
          <w:bCs/>
          <w:rtl/>
        </w:rPr>
        <w:t>מאירי</w:t>
      </w:r>
      <w:r>
        <w:rPr>
          <w:rtl/>
        </w:rPr>
        <w:t xml:space="preserve"> (והיש"ש) דחה דאף מנה ומאתיים הוה בכלל כתובת בנין דכרין. [וי"ל דראיית הרשב"א מקו' הגמ' דהוה פשיטא, ונימא דאיצטריך לכתובת בנין דכרין דנדוניא. אבל הריטב"א הביא את הראייה מגוף המשנה].</w:t>
      </w:r>
    </w:p>
  </w:footnote>
  <w:footnote w:id="5307">
    <w:p w14:paraId="37E0E6F1" w14:textId="77777777" w:rsidR="006C4368" w:rsidRDefault="006C4368" w:rsidP="006C4368">
      <w:pPr>
        <w:pStyle w:val="Footnote"/>
        <w:bidi/>
      </w:pPr>
      <w:r>
        <w:rPr>
          <w:rStyle w:val="ac"/>
          <w:rtl/>
        </w:rPr>
        <w:footnoteRef/>
      </w:r>
      <w:r>
        <w:rPr>
          <w:rtl/>
        </w:rPr>
        <w:t>היינו מה שהבעל ליקט, ונכנסו לרשותו. ואפי' הם בעין. [וכ"כ ה</w:t>
      </w:r>
      <w:r>
        <w:rPr>
          <w:b/>
          <w:bCs/>
          <w:rtl/>
        </w:rPr>
        <w:t>גר"א</w:t>
      </w:r>
      <w:r>
        <w:rPr>
          <w:rtl/>
        </w:rPr>
        <w:t xml:space="preserve"> (יז קסו) שציין דכ"פ ה</w:t>
      </w:r>
      <w:r>
        <w:rPr>
          <w:b/>
          <w:bCs/>
          <w:rtl/>
        </w:rPr>
        <w:t>שו"ע</w:t>
      </w:r>
      <w:r>
        <w:rPr>
          <w:rtl/>
        </w:rPr>
        <w:t xml:space="preserve"> (קנה י) גבי ממאנת].</w:t>
      </w:r>
    </w:p>
  </w:footnote>
  <w:footnote w:id="5308">
    <w:p w14:paraId="4A087F65" w14:textId="77777777" w:rsidR="006C4368" w:rsidRDefault="006C4368" w:rsidP="006C4368">
      <w:pPr>
        <w:pStyle w:val="Footnote"/>
        <w:bidi/>
      </w:pPr>
      <w:r>
        <w:rPr>
          <w:rStyle w:val="ac"/>
          <w:rtl/>
        </w:rPr>
        <w:footnoteRef/>
      </w:r>
      <w:r>
        <w:rPr>
          <w:rtl/>
        </w:rPr>
        <w:t>וה</w:t>
      </w:r>
      <w:r>
        <w:rPr>
          <w:b/>
          <w:bCs/>
          <w:rtl/>
        </w:rPr>
        <w:t>רשב"א</w:t>
      </w:r>
      <w:r>
        <w:rPr>
          <w:rtl/>
        </w:rPr>
        <w:t xml:space="preserve"> כת' (בשם הירושלמי) דהא דאי' דאין מוציאין ממנו פירות שאכל, ה"מ מה שאכל קודם שבא הראשון.</w:t>
      </w:r>
    </w:p>
  </w:footnote>
  <w:footnote w:id="5309">
    <w:p w14:paraId="430C2959" w14:textId="77777777" w:rsidR="006C4368" w:rsidRDefault="006C4368" w:rsidP="006C4368">
      <w:pPr>
        <w:pStyle w:val="Footnote"/>
        <w:bidi/>
      </w:pPr>
      <w:r>
        <w:rPr>
          <w:rStyle w:val="ac"/>
          <w:rtl/>
        </w:rPr>
        <w:footnoteRef/>
      </w:r>
      <w:r>
        <w:rPr>
          <w:rtl/>
        </w:rPr>
        <w:t>ע"ד הא דאיתא באילונית. (ע' ב"מ סז.). ועוד אפשר דהכא תקנו אישות דרבנן לשני [דכיון דנשאת ע"פ בי"ד], שהרי הצריכו גט משני.</w:t>
      </w:r>
    </w:p>
  </w:footnote>
  <w:footnote w:id="5310">
    <w:p w14:paraId="449B0523" w14:textId="77777777" w:rsidR="006C4368" w:rsidRDefault="006C4368" w:rsidP="006C4368">
      <w:pPr>
        <w:pStyle w:val="Footnote"/>
        <w:bidi/>
      </w:pPr>
      <w:r>
        <w:rPr>
          <w:rStyle w:val="ac"/>
          <w:rtl/>
        </w:rPr>
        <w:footnoteRef/>
      </w:r>
      <w:r>
        <w:rPr>
          <w:rtl/>
        </w:rPr>
        <w:t>ופ</w:t>
      </w:r>
      <w:r>
        <w:rPr>
          <w:b/>
          <w:bCs/>
          <w:rtl/>
        </w:rPr>
        <w:t>רש"י</w:t>
      </w:r>
      <w:r>
        <w:rPr>
          <w:rtl/>
        </w:rPr>
        <w:t xml:space="preserve"> שאם ילדה משני הוה ממזר גמור, וכדמבואר בגמ' (פט:). ובמשנה (גיטין עט:) אי' בגט הפסול מדרבנן, כל הדרכים האלו בה [למ"ד כל המשנה ממטבע שטבעו חכמים בגיטין הולד ממזר]. ופ</w:t>
      </w:r>
      <w:r>
        <w:rPr>
          <w:b/>
          <w:bCs/>
          <w:rtl/>
        </w:rPr>
        <w:t>רש"י</w:t>
      </w:r>
      <w:r>
        <w:rPr>
          <w:rtl/>
        </w:rPr>
        <w:t xml:space="preserve"> אף התם דהולד משני ממזר גמור, ומראשון ממזר מדרבנן. ו</w:t>
      </w:r>
      <w:r>
        <w:rPr>
          <w:b/>
          <w:bCs/>
          <w:rtl/>
        </w:rPr>
        <w:t>תוס'</w:t>
      </w:r>
      <w:r>
        <w:rPr>
          <w:rtl/>
        </w:rPr>
        <w:t xml:space="preserve"> (ושא"ר) חלקו דהתם הוה להיפך, דהולד משני הוה ממזר דרבנן, ומראשון ממזר גמור.</w:t>
      </w:r>
    </w:p>
  </w:footnote>
  <w:footnote w:id="5311">
    <w:p w14:paraId="0A20E656" w14:textId="77777777" w:rsidR="006C4368" w:rsidRDefault="006C4368" w:rsidP="006C4368">
      <w:pPr>
        <w:pStyle w:val="Footnote"/>
        <w:bidi/>
      </w:pPr>
      <w:r>
        <w:rPr>
          <w:rStyle w:val="ac"/>
          <w:rtl/>
        </w:rPr>
        <w:footnoteRef/>
      </w:r>
      <w:r>
        <w:rPr>
          <w:rtl/>
        </w:rPr>
        <w:t>ודעת שמואל ור' יוחנן (שם) דממזר דרבנן אסור בבת ישראל ובממזרת. [אבל רב חסדא נקט דיש כח לחכמים להתירו בממזרת].</w:t>
      </w:r>
    </w:p>
  </w:footnote>
  <w:footnote w:id="5312">
    <w:p w14:paraId="2B3123D2" w14:textId="77777777" w:rsidR="006C4368" w:rsidRDefault="006C4368" w:rsidP="006C4368">
      <w:pPr>
        <w:pStyle w:val="Footnote"/>
        <w:bidi/>
      </w:pPr>
      <w:r>
        <w:rPr>
          <w:rStyle w:val="ac"/>
          <w:rtl/>
        </w:rPr>
        <w:footnoteRef/>
      </w:r>
      <w:r>
        <w:rPr>
          <w:rtl/>
        </w:rPr>
        <w:t>ואף דהוה סוטה דרבנן [דמדאורייתא מותרת לו, שנשאת בטעות].</w:t>
      </w:r>
    </w:p>
  </w:footnote>
  <w:footnote w:id="5313">
    <w:p w14:paraId="1737FA12" w14:textId="77777777" w:rsidR="006C4368" w:rsidRDefault="006C4368" w:rsidP="006C4368">
      <w:pPr>
        <w:pStyle w:val="Footnote"/>
        <w:bidi/>
      </w:pPr>
      <w:r>
        <w:rPr>
          <w:rStyle w:val="ac"/>
          <w:rtl/>
        </w:rPr>
        <w:footnoteRef/>
      </w:r>
      <w:r>
        <w:rPr>
          <w:rtl/>
        </w:rPr>
        <w:t>וכן דייק ה</w:t>
      </w:r>
      <w:r>
        <w:rPr>
          <w:b/>
          <w:bCs/>
          <w:rtl/>
        </w:rPr>
        <w:t>חלק"מ</w:t>
      </w:r>
      <w:r>
        <w:rPr>
          <w:rtl/>
        </w:rPr>
        <w:t xml:space="preserve"> (ד יז) דמדברי </w:t>
      </w:r>
      <w:r>
        <w:rPr>
          <w:b/>
          <w:bCs/>
          <w:rtl/>
        </w:rPr>
        <w:t>ר"ח</w:t>
      </w:r>
      <w:r>
        <w:rPr>
          <w:rtl/>
        </w:rPr>
        <w:t xml:space="preserve"> מבואר דהוה ממזר משום איסור סוטה, ואף </w:t>
      </w:r>
      <w:r>
        <w:rPr>
          <w:b/>
          <w:bCs/>
          <w:rtl/>
        </w:rPr>
        <w:t>תוס'</w:t>
      </w:r>
      <w:r>
        <w:rPr>
          <w:rtl/>
        </w:rPr>
        <w:t xml:space="preserve"> חלקו דדוקא הכא קנסו [ולעולם גדר הקנס משום איסור סוטה]. אבל ה</w:t>
      </w:r>
      <w:r>
        <w:rPr>
          <w:b/>
          <w:bCs/>
          <w:rtl/>
        </w:rPr>
        <w:t>בי"ש</w:t>
      </w:r>
      <w:r>
        <w:rPr>
          <w:rtl/>
        </w:rPr>
        <w:t xml:space="preserve"> (שם כז) חלק דאין ראיה מדברי ר"ח.</w:t>
      </w:r>
    </w:p>
  </w:footnote>
  <w:footnote w:id="5314">
    <w:p w14:paraId="598142A7" w14:textId="77777777" w:rsidR="006C4368" w:rsidRDefault="006C4368" w:rsidP="006C4368">
      <w:pPr>
        <w:pStyle w:val="Footnote"/>
        <w:bidi/>
      </w:pPr>
      <w:r>
        <w:rPr>
          <w:rStyle w:val="ac"/>
          <w:rtl/>
        </w:rPr>
        <w:footnoteRef/>
      </w:r>
      <w:r>
        <w:rPr>
          <w:rtl/>
        </w:rPr>
        <w:t>וה</w:t>
      </w:r>
      <w:r>
        <w:rPr>
          <w:b/>
          <w:bCs/>
          <w:rtl/>
        </w:rPr>
        <w:t>תוס' חד מקמאי</w:t>
      </w:r>
      <w:r>
        <w:rPr>
          <w:rtl/>
        </w:rPr>
        <w:t xml:space="preserve"> (לעיל מט.) חילק דדוקא סוטה שנשאת דרך נישואין הוה הולד ממזר מדרבנן, אבל היכא דבא עליה דרך זנות הולד רבא (שם) אמר דהולד כשר. [והביא דהולד ממזר מדרבנן משום גזירה שיאמרו גירש זה, ע' לקמן פח:]. ושוב כת' וי"ל [והוגה וי"מ] דדוקא היכא שנשאת לשני ע"פ בי"ד. [עי"ש שהאריך].</w:t>
      </w:r>
    </w:p>
  </w:footnote>
  <w:footnote w:id="5315">
    <w:p w14:paraId="4EE6F0C3" w14:textId="77777777" w:rsidR="006C4368" w:rsidRDefault="006C4368" w:rsidP="006C4368">
      <w:pPr>
        <w:pStyle w:val="Footnote"/>
        <w:bidi/>
      </w:pPr>
      <w:r>
        <w:rPr>
          <w:rStyle w:val="ac"/>
          <w:rtl/>
        </w:rPr>
        <w:footnoteRef/>
      </w:r>
      <w:r>
        <w:rPr>
          <w:rtl/>
        </w:rPr>
        <w:t>וכ"כ ה</w:t>
      </w:r>
      <w:r>
        <w:rPr>
          <w:b/>
          <w:bCs/>
          <w:rtl/>
        </w:rPr>
        <w:t>רמב"ן</w:t>
      </w:r>
      <w:r>
        <w:rPr>
          <w:rtl/>
        </w:rPr>
        <w:t xml:space="preserve"> (הנ"ל) דמשגרש שני אין הולד ממזר מראשון, דכל תקנת חכמים אסמכוה אמילי דטעמי.</w:t>
      </w:r>
    </w:p>
  </w:footnote>
  <w:footnote w:id="5316">
    <w:p w14:paraId="0CAF387E" w14:textId="77777777" w:rsidR="006C4368" w:rsidRDefault="006C4368" w:rsidP="006C4368">
      <w:pPr>
        <w:pStyle w:val="Footnote"/>
        <w:bidi/>
      </w:pPr>
      <w:r>
        <w:rPr>
          <w:rStyle w:val="ac"/>
          <w:rtl/>
        </w:rPr>
        <w:footnoteRef/>
      </w:r>
      <w:r>
        <w:rPr>
          <w:rtl/>
        </w:rPr>
        <w:t>וה"ה לאחר שמת הראשון.</w:t>
      </w:r>
    </w:p>
  </w:footnote>
  <w:footnote w:id="5317">
    <w:p w14:paraId="3916F079" w14:textId="77777777" w:rsidR="006C4368" w:rsidRDefault="006C4368" w:rsidP="006C4368">
      <w:pPr>
        <w:pStyle w:val="Footnote"/>
        <w:bidi/>
      </w:pPr>
      <w:r>
        <w:rPr>
          <w:rStyle w:val="ac"/>
          <w:rtl/>
        </w:rPr>
        <w:footnoteRef/>
      </w:r>
      <w:r>
        <w:rPr>
          <w:rtl/>
        </w:rPr>
        <w:t>דכיון דמהני גט דשני [אף שאינה אשתו כלל] שהולד לא יהא ממזר, כ"ש דיהני גט גמור דראשון להציל שלא יהא ממזר אח"כ, ומנ"ל דיהא ממזר דרבנן. ומי הפריד בין בעל לבועל, לומר דולד מבועל הוה ממזר טפי מבעל, ומשמעות המשנה דשווין הם. וכן ה</w:t>
      </w:r>
      <w:r>
        <w:rPr>
          <w:b/>
          <w:bCs/>
          <w:rtl/>
        </w:rPr>
        <w:t>גר"א</w:t>
      </w:r>
      <w:r>
        <w:rPr>
          <w:rtl/>
        </w:rPr>
        <w:t xml:space="preserve"> (שם) כת' דדבריהם [של מהרלב"ח והבי"ש] אין להם קיום, ונופלים מעצמם.</w:t>
      </w:r>
    </w:p>
  </w:footnote>
  <w:footnote w:id="5318">
    <w:p w14:paraId="40141C5C" w14:textId="77777777" w:rsidR="006C4368" w:rsidRDefault="006C4368" w:rsidP="006C4368">
      <w:pPr>
        <w:pStyle w:val="Footnote"/>
        <w:bidi/>
      </w:pPr>
      <w:r>
        <w:rPr>
          <w:rStyle w:val="ac"/>
          <w:rtl/>
        </w:rPr>
        <w:footnoteRef/>
      </w:r>
      <w:r>
        <w:rPr>
          <w:rtl/>
        </w:rPr>
        <w:t>וה</w:t>
      </w:r>
      <w:r>
        <w:rPr>
          <w:b/>
          <w:bCs/>
          <w:rtl/>
        </w:rPr>
        <w:t>רמב"ן</w:t>
      </w:r>
      <w:r>
        <w:rPr>
          <w:rtl/>
        </w:rPr>
        <w:t xml:space="preserve"> הביא עוד מה</w:t>
      </w:r>
      <w:r>
        <w:rPr>
          <w:b/>
          <w:bCs/>
          <w:rtl/>
        </w:rPr>
        <w:t>תוספתא</w:t>
      </w:r>
      <w:r>
        <w:rPr>
          <w:rtl/>
        </w:rPr>
        <w:t xml:space="preserve"> דאם קיים היה ואח"כ מת, ולדות בחיי בעלה ממזרים, ולאחר מיתת בעלה כשרים. ולתוס' צ"ל דקאי מדאורייתא. א"נ שלא נתברר שהיה קיים, אלא שעד מעיד כן.</w:t>
      </w:r>
    </w:p>
  </w:footnote>
  <w:footnote w:id="5319">
    <w:p w14:paraId="5E90DD6C" w14:textId="77777777" w:rsidR="006C4368" w:rsidRDefault="006C4368" w:rsidP="006C4368">
      <w:pPr>
        <w:pStyle w:val="Footnote"/>
        <w:bidi/>
      </w:pPr>
      <w:r>
        <w:rPr>
          <w:rStyle w:val="ac"/>
          <w:rtl/>
        </w:rPr>
        <w:footnoteRef/>
      </w:r>
      <w:r>
        <w:rPr>
          <w:rtl/>
        </w:rPr>
        <w:t>וה</w:t>
      </w:r>
      <w:r>
        <w:rPr>
          <w:b/>
          <w:bCs/>
          <w:rtl/>
        </w:rPr>
        <w:t>ט"ז</w:t>
      </w:r>
      <w:r>
        <w:rPr>
          <w:rtl/>
        </w:rPr>
        <w:t xml:space="preserve"> תי' דהיה פשוט לתוס' מסברא דל"מ גט של השני כלל, דלא תקנו גט אלא משום חשד. א"כ הא דאי' במשנה דהולד ממזר מראשון אין לחלק בזה כלל.</w:t>
      </w:r>
    </w:p>
  </w:footnote>
  <w:footnote w:id="5320">
    <w:p w14:paraId="768B5691" w14:textId="77777777" w:rsidR="006C4368" w:rsidRDefault="006C4368" w:rsidP="006C4368">
      <w:pPr>
        <w:pStyle w:val="Footnote"/>
        <w:bidi/>
      </w:pPr>
      <w:r>
        <w:rPr>
          <w:rStyle w:val="ac"/>
          <w:rtl/>
        </w:rPr>
        <w:footnoteRef/>
      </w:r>
      <w:r>
        <w:rPr>
          <w:rtl/>
        </w:rPr>
        <w:t>וה</w:t>
      </w:r>
      <w:r>
        <w:rPr>
          <w:b/>
          <w:bCs/>
          <w:rtl/>
        </w:rPr>
        <w:t>ערול"נ</w:t>
      </w:r>
      <w:r>
        <w:rPr>
          <w:rtl/>
        </w:rPr>
        <w:t xml:space="preserve"> כת' דהוה דיבור בפנ"ע, ד"ה מן התרומה, תרומה דרבנן [וכדאי' בגמ' צא.]. ולא הוה משום קנס.</w:t>
      </w:r>
    </w:p>
  </w:footnote>
  <w:footnote w:id="5321">
    <w:p w14:paraId="5A84ECD0" w14:textId="77777777" w:rsidR="006C4368" w:rsidRDefault="006C4368" w:rsidP="006C4368">
      <w:pPr>
        <w:pStyle w:val="Footnote"/>
        <w:bidi/>
      </w:pPr>
      <w:r>
        <w:rPr>
          <w:rStyle w:val="ac"/>
          <w:rtl/>
        </w:rPr>
        <w:footnoteRef/>
      </w:r>
      <w:r>
        <w:rPr>
          <w:rtl/>
        </w:rPr>
        <w:t>כיון דלא הוה זר אצלה מעיקרא [ומש"ה לא ילפי' מקרא ד'איש זר'], וכ"כ רש"י (לעיל יג:) דהנבעלה לחייבי כריתות [אשת אח שלא במקום יבום] נפסלת לכהונה, אבל אוכלת בתרומה דבי נשא. וכ"ד ה</w:t>
      </w:r>
      <w:r>
        <w:rPr>
          <w:b/>
          <w:bCs/>
          <w:rtl/>
        </w:rPr>
        <w:t>י"מ</w:t>
      </w:r>
      <w:r>
        <w:rPr>
          <w:rtl/>
        </w:rPr>
        <w:t xml:space="preserve"> ברש"י (לעיל סח:). אך </w:t>
      </w:r>
      <w:r>
        <w:rPr>
          <w:b/>
          <w:bCs/>
          <w:rtl/>
        </w:rPr>
        <w:t>רש"י</w:t>
      </w:r>
      <w:r>
        <w:rPr>
          <w:rtl/>
        </w:rPr>
        <w:t xml:space="preserve"> (סח:) הוכיח (מהגמ' לה. וכ"מ) דחייבי כריתות נפסלו מקרא דאלמנה וגרושה [ועי"ש תוס'].</w:t>
      </w:r>
    </w:p>
  </w:footnote>
  <w:footnote w:id="5322">
    <w:p w14:paraId="387DD662" w14:textId="77777777" w:rsidR="006C4368" w:rsidRDefault="006C4368" w:rsidP="006C4368">
      <w:pPr>
        <w:pStyle w:val="Footnote"/>
        <w:bidi/>
      </w:pPr>
      <w:r>
        <w:rPr>
          <w:rStyle w:val="ac"/>
          <w:rtl/>
        </w:rPr>
        <w:footnoteRef/>
      </w:r>
      <w:r>
        <w:rPr>
          <w:rtl/>
        </w:rPr>
        <w:t>אך י"ל דתלי במח' אמוראים (לעיל נו:).</w:t>
      </w:r>
    </w:p>
  </w:footnote>
  <w:footnote w:id="5323">
    <w:p w14:paraId="4E9639E1" w14:textId="77777777" w:rsidR="006C4368" w:rsidRDefault="006C4368" w:rsidP="006C4368">
      <w:pPr>
        <w:pStyle w:val="Footnote"/>
        <w:bidi/>
      </w:pPr>
      <w:r>
        <w:rPr>
          <w:rStyle w:val="ac"/>
          <w:rtl/>
        </w:rPr>
        <w:footnoteRef/>
      </w:r>
      <w:r>
        <w:rPr>
          <w:rtl/>
        </w:rPr>
        <w:t>ויכולה לטעון טענת ברי על פיהם, אף שלא נתקבלה עדותם בבי"ד.</w:t>
      </w:r>
    </w:p>
  </w:footnote>
  <w:footnote w:id="5324">
    <w:p w14:paraId="74374321" w14:textId="77777777" w:rsidR="006C4368" w:rsidRDefault="006C4368" w:rsidP="006C4368">
      <w:pPr>
        <w:pStyle w:val="Footnote"/>
        <w:bidi/>
      </w:pPr>
      <w:r>
        <w:rPr>
          <w:rStyle w:val="ac"/>
          <w:rtl/>
        </w:rPr>
        <w:footnoteRef/>
      </w:r>
      <w:r>
        <w:rPr>
          <w:rtl/>
        </w:rPr>
        <w:t>וקי"ל דיחיד שעשה בהוראת בי"ד חייב קרבן. וע"ע לקמן צב.</w:t>
      </w:r>
    </w:p>
  </w:footnote>
  <w:footnote w:id="5325">
    <w:p w14:paraId="07173364" w14:textId="77777777" w:rsidR="006C4368" w:rsidRDefault="006C4368" w:rsidP="006C4368">
      <w:pPr>
        <w:pStyle w:val="Footnote"/>
        <w:bidi/>
      </w:pPr>
      <w:r>
        <w:rPr>
          <w:rStyle w:val="ac"/>
          <w:rtl/>
        </w:rPr>
        <w:footnoteRef/>
      </w:r>
      <w:r>
        <w:rPr>
          <w:rtl/>
        </w:rPr>
        <w:t>דעליהם נאמר קרבן העלם דבר, כדדרשינן בתו"כ עדת ישראל עדה המיוחדת בישראל זו סנהדרי גדולה.</w:t>
      </w:r>
    </w:p>
  </w:footnote>
  <w:footnote w:id="5326">
    <w:p w14:paraId="201B341C" w14:textId="77777777" w:rsidR="006C4368" w:rsidRDefault="006C4368" w:rsidP="006C4368">
      <w:pPr>
        <w:pStyle w:val="Footnote"/>
        <w:bidi/>
      </w:pPr>
      <w:r>
        <w:rPr>
          <w:rStyle w:val="ac"/>
          <w:rtl/>
        </w:rPr>
        <w:footnoteRef/>
      </w:r>
      <w:r>
        <w:rPr>
          <w:rtl/>
        </w:rPr>
        <w:t>והחזו"א חלק ע"ד החלק"מ בזה.</w:t>
      </w:r>
    </w:p>
  </w:footnote>
  <w:footnote w:id="5327">
    <w:p w14:paraId="4EAAD32A" w14:textId="77777777" w:rsidR="006C4368" w:rsidRDefault="006C4368" w:rsidP="006C4368">
      <w:pPr>
        <w:pStyle w:val="Footnote"/>
        <w:bidi/>
      </w:pPr>
      <w:r>
        <w:rPr>
          <w:rStyle w:val="ac"/>
          <w:rtl/>
        </w:rPr>
        <w:footnoteRef/>
      </w:r>
      <w:r>
        <w:rPr>
          <w:rtl/>
        </w:rPr>
        <w:t>ולא הקילו בזה דעד נעשה דיין, אף דהוה דרבנן.</w:t>
      </w:r>
    </w:p>
  </w:footnote>
  <w:footnote w:id="5328">
    <w:p w14:paraId="0A73C68E" w14:textId="77777777" w:rsidR="006C4368" w:rsidRDefault="006C4368" w:rsidP="006C4368">
      <w:pPr>
        <w:pStyle w:val="Footnote"/>
        <w:bidi/>
      </w:pPr>
      <w:r>
        <w:rPr>
          <w:rStyle w:val="ac"/>
          <w:rtl/>
        </w:rPr>
        <w:footnoteRef/>
      </w:r>
      <w:r>
        <w:rPr>
          <w:rtl/>
        </w:rPr>
        <w:t>והב"י הביא כן מ</w:t>
      </w:r>
      <w:r>
        <w:rPr>
          <w:b/>
          <w:bCs/>
          <w:rtl/>
        </w:rPr>
        <w:t>שו"ת הר"ן</w:t>
      </w:r>
      <w:r>
        <w:rPr>
          <w:rtl/>
        </w:rPr>
        <w:t xml:space="preserve"> (מז) דבעדות אשה אי"צ שיעיד העד בבי"ד, ואף עדותו חוץ לבי"ד כיון שהאשה עשתה מעשה ע"פ אמרי' דהוה כתרי, ואין מקום של עד המכחיש במקום תרי. וכ"כ ה</w:t>
      </w:r>
      <w:r>
        <w:rPr>
          <w:b/>
          <w:bCs/>
          <w:rtl/>
        </w:rPr>
        <w:t>מאירי</w:t>
      </w:r>
      <w:r>
        <w:rPr>
          <w:rtl/>
        </w:rPr>
        <w:t xml:space="preserve"> (לקמן צב.) דבדיעבד מותר.</w:t>
      </w:r>
    </w:p>
    <w:p w14:paraId="1694F654" w14:textId="77777777" w:rsidR="006C4368" w:rsidRDefault="006C4368" w:rsidP="006C4368">
      <w:pPr>
        <w:pStyle w:val="Footnote"/>
        <w:bidi/>
      </w:pPr>
      <w:r>
        <w:rPr>
          <w:rtl/>
        </w:rPr>
        <w:tab/>
        <w:t>אבל הב"י הביא דב</w:t>
      </w:r>
      <w:r>
        <w:rPr>
          <w:b/>
          <w:bCs/>
          <w:rtl/>
        </w:rPr>
        <w:t>שו"ת הרשב"א</w:t>
      </w:r>
      <w:r>
        <w:rPr>
          <w:rtl/>
        </w:rPr>
        <w:t xml:space="preserve"> (מיוחסות קיט) דכל שלא עמדה בפני בי"ד אין עדותו כלום.</w:t>
      </w:r>
    </w:p>
  </w:footnote>
  <w:footnote w:id="5329">
    <w:p w14:paraId="6BBAA597" w14:textId="77777777" w:rsidR="006C4368" w:rsidRDefault="006C4368" w:rsidP="006C4368">
      <w:pPr>
        <w:pStyle w:val="Footnote"/>
        <w:bidi/>
      </w:pPr>
      <w:r>
        <w:rPr>
          <w:rStyle w:val="ac"/>
          <w:rtl/>
        </w:rPr>
        <w:footnoteRef/>
      </w:r>
      <w:r>
        <w:rPr>
          <w:rtl/>
        </w:rPr>
        <w:t>ודומה לשאר הוראת איסור והיתר.</w:t>
      </w:r>
    </w:p>
  </w:footnote>
  <w:footnote w:id="5330">
    <w:p w14:paraId="726F9115" w14:textId="77777777" w:rsidR="006C4368" w:rsidRDefault="006C4368" w:rsidP="006C4368">
      <w:pPr>
        <w:pStyle w:val="Footnote"/>
        <w:bidi/>
      </w:pPr>
      <w:r>
        <w:rPr>
          <w:rStyle w:val="ac"/>
          <w:rtl/>
        </w:rPr>
        <w:footnoteRef/>
      </w:r>
      <w:r>
        <w:rPr>
          <w:rtl/>
        </w:rPr>
        <w:t>[כיון דעשה המעשה מרצון, אלא שסמך על העדים שהחתיכה מותרת. ולא דמי להיכא דכפו נכרים, דהוה אונס בגוף המעשה].</w:t>
      </w:r>
    </w:p>
  </w:footnote>
  <w:footnote w:id="5331">
    <w:p w14:paraId="3D1DBCF4" w14:textId="77777777" w:rsidR="006C4368" w:rsidRDefault="006C4368" w:rsidP="006C4368">
      <w:pPr>
        <w:pStyle w:val="Footnote"/>
        <w:bidi/>
      </w:pPr>
      <w:r>
        <w:rPr>
          <w:rStyle w:val="ac"/>
          <w:rtl/>
        </w:rPr>
        <w:footnoteRef/>
      </w:r>
      <w:r>
        <w:rPr>
          <w:rtl/>
        </w:rPr>
        <w:t>וביארו ד</w:t>
      </w:r>
      <w:r>
        <w:rPr>
          <w:b/>
          <w:bCs/>
          <w:rtl/>
        </w:rPr>
        <w:t>תוס</w:t>
      </w:r>
      <w:r>
        <w:rPr>
          <w:rtl/>
        </w:rPr>
        <w:t>' (לה:) איירי לענין יבום דהוה טעה בדבר מצווה.</w:t>
      </w:r>
    </w:p>
    <w:p w14:paraId="38E6ACE4" w14:textId="77777777" w:rsidR="006C4368" w:rsidRDefault="006C4368" w:rsidP="006C4368">
      <w:pPr>
        <w:pStyle w:val="Footnote"/>
        <w:bidi/>
      </w:pPr>
      <w:r>
        <w:rPr>
          <w:rtl/>
        </w:rPr>
        <w:tab/>
        <w:t>וה</w:t>
      </w:r>
      <w:r>
        <w:rPr>
          <w:b/>
          <w:bCs/>
          <w:rtl/>
        </w:rPr>
        <w:t>נוב"י</w:t>
      </w:r>
      <w:r>
        <w:rPr>
          <w:rtl/>
        </w:rPr>
        <w:t xml:space="preserve"> הביא צד דכוונת התוס' משום דזריזין מקדימין למצוות [ומש"ה אינו רשאי להמתין]. אך דחה דלא משמע כן בתוס'.</w:t>
      </w:r>
    </w:p>
  </w:footnote>
  <w:footnote w:id="5332">
    <w:p w14:paraId="04836EEA" w14:textId="77777777" w:rsidR="006C4368" w:rsidRDefault="006C4368" w:rsidP="006C4368">
      <w:pPr>
        <w:pStyle w:val="Footnote"/>
        <w:bidi/>
      </w:pPr>
      <w:r>
        <w:rPr>
          <w:rStyle w:val="ac"/>
          <w:rtl/>
        </w:rPr>
        <w:footnoteRef/>
      </w:r>
      <w:r>
        <w:rPr>
          <w:rtl/>
        </w:rPr>
        <w:t>וה</w:t>
      </w:r>
      <w:r>
        <w:rPr>
          <w:b/>
          <w:bCs/>
          <w:rtl/>
        </w:rPr>
        <w:t>שואל</w:t>
      </w:r>
      <w:r>
        <w:rPr>
          <w:rtl/>
        </w:rPr>
        <w:t xml:space="preserve"> (בשו"ת נוב"י, הו' בסמוך) תי' אף שמותרת להנשא ואי"צ להמתין ולמידק בתר שני עדים, מ"מ אם היתה רוצה לאמתוני ולמידק לא מיחו בידה חכמים, ולכן מקרי שוגגת ולא אנוסה. משא"כ אשה שלא בשעת וסתה מיחו בידה חכמים מלבדוק, שאמרו דאם תבדוק לבו נוקפו ופורש. ושפיר מיקרי אונס. והנוב"י הסכים לדבריו, אך הק' מדברי התוס' (לה:).</w:t>
      </w:r>
    </w:p>
  </w:footnote>
  <w:footnote w:id="5333">
    <w:p w14:paraId="4142B072" w14:textId="77777777" w:rsidR="006C4368" w:rsidRDefault="006C4368" w:rsidP="006C4368">
      <w:pPr>
        <w:pStyle w:val="Footnote"/>
        <w:bidi/>
      </w:pPr>
      <w:r>
        <w:rPr>
          <w:rStyle w:val="ac"/>
          <w:rtl/>
        </w:rPr>
        <w:footnoteRef/>
      </w:r>
      <w:r>
        <w:rPr>
          <w:rtl/>
        </w:rPr>
        <w:t>וה</w:t>
      </w:r>
      <w:r>
        <w:rPr>
          <w:b/>
          <w:bCs/>
          <w:rtl/>
        </w:rPr>
        <w:t>נוב"י</w:t>
      </w:r>
      <w:r>
        <w:rPr>
          <w:rtl/>
        </w:rPr>
        <w:t xml:space="preserve"> ביאר עפ"ז הא דאף מי שעשה ע"פ הוראת בי"ד חייב קרבן [למ"ד יחיד שעשה בהוראתם חייב], ואף שהוא אונס, שהרי כתיב ע"פ התורה אשר יורוך. מ"מ אונס זה ע"פ טעות בא שהבי"ד טעו בהוראה, ולכך מיחשב שגגה.</w:t>
      </w:r>
    </w:p>
    <w:p w14:paraId="3677CA0D" w14:textId="77777777" w:rsidR="006C4368" w:rsidRDefault="006C4368" w:rsidP="006C4368">
      <w:pPr>
        <w:pStyle w:val="Footnote"/>
        <w:bidi/>
      </w:pPr>
      <w:r>
        <w:rPr>
          <w:rtl/>
        </w:rPr>
        <w:tab/>
        <w:t>[ובגמ' (יומא פ.) אי' דאף מי שאכל חלב והבי"ד הכריעו דהוה פחות מכשיעור, ואח"כ באו בי"ד אחר וקבע שהשיעור קטן יותר מתחייב קרבן. ואף דבשעה שאכלו הוה פחות מכשיעור. אך הגמ' דוחה דלא שב מידיעתו. {ויש לדחות דהתם ממ"נ הוה חצי שיעור, ולא הוה דבר המותר לכתחילה. ועי"ש גבו"א}. וע' קוב"ש (ב קו' ד"ס ד) שהאריך האם הכרעת בי"ד האחרון מהני מכאן ולהבא או למפרע].</w:t>
      </w:r>
    </w:p>
  </w:footnote>
  <w:footnote w:id="5334">
    <w:p w14:paraId="2C8F16E3" w14:textId="77777777" w:rsidR="006C4368" w:rsidRDefault="006C4368" w:rsidP="006C4368">
      <w:pPr>
        <w:pStyle w:val="Footnote"/>
        <w:bidi/>
      </w:pPr>
      <w:r>
        <w:rPr>
          <w:rStyle w:val="ac"/>
          <w:rtl/>
        </w:rPr>
        <w:footnoteRef/>
      </w:r>
      <w:r>
        <w:rPr>
          <w:rtl/>
        </w:rPr>
        <w:t>ו</w:t>
      </w:r>
      <w:r>
        <w:rPr>
          <w:b/>
          <w:bCs/>
          <w:rtl/>
        </w:rPr>
        <w:t>ר' שמואל</w:t>
      </w:r>
      <w:r>
        <w:rPr>
          <w:rtl/>
        </w:rPr>
        <w:t xml:space="preserve"> תי' דרוב הוה הכרעה של בירור ע"פ סברא, ומהדין יש לה לסמוך על סברא זו. אבל עדות הוה גזיה"כ, ומהסברא לא היה לה לסמוך על העדים.</w:t>
      </w:r>
    </w:p>
  </w:footnote>
  <w:footnote w:id="5335">
    <w:p w14:paraId="086DC4DB" w14:textId="77777777" w:rsidR="006C4368" w:rsidRDefault="006C4368" w:rsidP="006C4368">
      <w:pPr>
        <w:pStyle w:val="Footnote"/>
        <w:bidi/>
      </w:pPr>
      <w:r>
        <w:rPr>
          <w:rStyle w:val="ac"/>
          <w:rtl/>
        </w:rPr>
        <w:footnoteRef/>
      </w:r>
      <w:r>
        <w:rPr>
          <w:rtl/>
        </w:rPr>
        <w:t>ואפשר דלא נחשב אונס על גוף המעשה, שאינה חייבת לינשא. אלא דיש פטור אונס נוסף במי שעשה ע"פ דיני הכרעות של התורה. [ובזה בענין שהסיבה תהא קיימת].</w:t>
      </w:r>
    </w:p>
  </w:footnote>
  <w:footnote w:id="5336">
    <w:p w14:paraId="7625B67C" w14:textId="77777777" w:rsidR="006C4368" w:rsidRDefault="006C4368" w:rsidP="006C4368">
      <w:pPr>
        <w:pStyle w:val="Footnote"/>
        <w:bidi/>
      </w:pPr>
      <w:r>
        <w:rPr>
          <w:rStyle w:val="ac"/>
          <w:rtl/>
        </w:rPr>
        <w:footnoteRef/>
      </w:r>
      <w:r>
        <w:rPr>
          <w:rtl/>
        </w:rPr>
        <w:t>וב</w:t>
      </w:r>
      <w:r>
        <w:rPr>
          <w:b/>
          <w:bCs/>
          <w:rtl/>
        </w:rPr>
        <w:t>שיעורי ר' שמואל</w:t>
      </w:r>
      <w:r>
        <w:rPr>
          <w:rtl/>
        </w:rPr>
        <w:t xml:space="preserve"> (לעיל לה:) הביא דברי הנוב"י דאף לאחר שנתברר שהיא אינה מהרוב, מ"מ לא נסתר עיקר הרוב.</w:t>
      </w:r>
    </w:p>
  </w:footnote>
  <w:footnote w:id="5337">
    <w:p w14:paraId="1FD6A457" w14:textId="77777777" w:rsidR="006C4368" w:rsidRDefault="006C4368" w:rsidP="006C4368">
      <w:pPr>
        <w:pStyle w:val="Footnote"/>
        <w:bidi/>
      </w:pPr>
      <w:r>
        <w:rPr>
          <w:rStyle w:val="ac"/>
          <w:rtl/>
        </w:rPr>
        <w:footnoteRef/>
      </w:r>
      <w:r>
        <w:rPr>
          <w:rtl/>
        </w:rPr>
        <w:t>אך עוד ילה"ק דכשבא עדים לפנינו, מלבד הדין לעשות ע"פ עדות, נאמר חזקת כשרות שהעדים כשרים. ונימא דהוא אנוס שסמך על חזקה. [וסיבת החזקה עדיין קיימת].</w:t>
      </w:r>
    </w:p>
  </w:footnote>
  <w:footnote w:id="5338">
    <w:p w14:paraId="086B69A9" w14:textId="77777777" w:rsidR="006C4368" w:rsidRDefault="006C4368" w:rsidP="006C4368">
      <w:pPr>
        <w:pStyle w:val="Footnote"/>
        <w:bidi/>
      </w:pPr>
      <w:r>
        <w:rPr>
          <w:rStyle w:val="ac"/>
          <w:rtl/>
        </w:rPr>
        <w:footnoteRef/>
      </w:r>
      <w:r>
        <w:rPr>
          <w:rtl/>
        </w:rPr>
        <w:t>וה</w:t>
      </w:r>
      <w:r>
        <w:rPr>
          <w:b/>
          <w:bCs/>
          <w:rtl/>
        </w:rPr>
        <w:t>רש"ש</w:t>
      </w:r>
      <w:r>
        <w:rPr>
          <w:rtl/>
        </w:rPr>
        <w:t xml:space="preserve"> כת' עוד (עד"ז) כגון שיש כאן ב' עדים, א' אומר מת וא' אומר נהרג, דיש </w:t>
      </w:r>
      <w:r>
        <w:rPr>
          <w:b/>
          <w:bCs/>
          <w:rtl/>
        </w:rPr>
        <w:t>ראשונים</w:t>
      </w:r>
      <w:r>
        <w:rPr>
          <w:rtl/>
        </w:rPr>
        <w:t xml:space="preserve"> (וציין למש"כ התומים ל ד) דס"ל דאינו מצטרף להחשב ב' עדים. ואפ"ה נשאת ע"פ כל עד מתוכם, שהרי ממ"נ אינו חי. (וע' בסוגיה לקמן קיז:, ובשו"ע יז ט). א"נ בב' עדים שהוכחשו בבדיקות, דכשרים בדיני ממונות (כדאי' סנהדרין ל:). וכשרים אף בעדות אשה, דקי"ל (לקמן קכב:) דהוה כדיני ממונות. וכת' דמ"מ צריכה היתר בי"ד, דהוה קולא שהקילו חכמים דד"מ אי"צ דו"ח. ועשאו דינא דאשה ג"כ כד"מ לענין זה.</w:t>
      </w:r>
    </w:p>
  </w:footnote>
  <w:footnote w:id="5339">
    <w:p w14:paraId="1BC139E2" w14:textId="77777777" w:rsidR="006C4368" w:rsidRDefault="006C4368" w:rsidP="006C4368">
      <w:pPr>
        <w:pStyle w:val="Footnote"/>
        <w:bidi/>
      </w:pPr>
      <w:r>
        <w:rPr>
          <w:rStyle w:val="ac"/>
          <w:rtl/>
        </w:rPr>
        <w:footnoteRef/>
      </w:r>
      <w:r>
        <w:rPr>
          <w:rtl/>
        </w:rPr>
        <w:t>דדיו להקל באיסור אשת איש ולעשותו כשאר איסורין המוחזקין כמותו. וכולי האי לא היו מקילין בדבר שבערוה ואיתחזק להאמין לעד.</w:t>
      </w:r>
    </w:p>
  </w:footnote>
  <w:footnote w:id="5340">
    <w:p w14:paraId="5ED66380" w14:textId="77777777" w:rsidR="006C4368" w:rsidRDefault="006C4368" w:rsidP="006C4368">
      <w:pPr>
        <w:pStyle w:val="Footnote"/>
        <w:bidi/>
      </w:pPr>
      <w:r>
        <w:rPr>
          <w:rStyle w:val="ac"/>
          <w:rtl/>
        </w:rPr>
        <w:footnoteRef/>
      </w:r>
      <w:r>
        <w:rPr>
          <w:rtl/>
        </w:rPr>
        <w:t>וע"ע קוב"ש (כתובות נט, הו' פח:).</w:t>
      </w:r>
    </w:p>
  </w:footnote>
  <w:footnote w:id="5341">
    <w:p w14:paraId="61B3FB84" w14:textId="77777777" w:rsidR="006C4368" w:rsidRDefault="006C4368" w:rsidP="006C4368">
      <w:pPr>
        <w:pStyle w:val="Footnote"/>
        <w:bidi/>
      </w:pPr>
      <w:r>
        <w:rPr>
          <w:rStyle w:val="ac"/>
          <w:rtl/>
        </w:rPr>
        <w:footnoteRef/>
      </w:r>
      <w:r>
        <w:rPr>
          <w:rtl/>
        </w:rPr>
        <w:t>אך אפ"ל דתחילת הגמ' לא חילקה בזה. ורק בהמשך הגמ' חילקו בין איתחזק.</w:t>
      </w:r>
    </w:p>
  </w:footnote>
  <w:footnote w:id="5342">
    <w:p w14:paraId="50C4E4DF" w14:textId="77777777" w:rsidR="006C4368" w:rsidRDefault="006C4368" w:rsidP="006C4368">
      <w:pPr>
        <w:pStyle w:val="Footnote"/>
        <w:bidi/>
      </w:pPr>
      <w:r>
        <w:rPr>
          <w:rStyle w:val="ac"/>
          <w:rtl/>
        </w:rPr>
        <w:footnoteRef/>
      </w:r>
      <w:r>
        <w:rPr>
          <w:rtl/>
        </w:rPr>
        <w:t>וה</w:t>
      </w:r>
      <w:r>
        <w:rPr>
          <w:b/>
          <w:bCs/>
          <w:rtl/>
        </w:rPr>
        <w:t>אחרונים</w:t>
      </w:r>
      <w:r>
        <w:rPr>
          <w:rtl/>
        </w:rPr>
        <w:t xml:space="preserve"> (ברכ"ש ב"מ ה, שיע' ר' ב"ב, ר' א"ל מלין א פב) חקרו בגדר ולא שיודיעוהו אחרים, האם הוה חסרון בנאמנות העדים. או דגלי קרא דקרבן תלי בידיעתו, וע"פ הודעת עדים אינו יודע.</w:t>
      </w:r>
    </w:p>
  </w:footnote>
  <w:footnote w:id="5343">
    <w:p w14:paraId="2C8D2AC3" w14:textId="77777777" w:rsidR="006C4368" w:rsidRDefault="006C4368" w:rsidP="006C4368">
      <w:pPr>
        <w:pStyle w:val="Footnote"/>
        <w:bidi/>
      </w:pPr>
      <w:r>
        <w:rPr>
          <w:rStyle w:val="ac"/>
          <w:rtl/>
        </w:rPr>
        <w:footnoteRef/>
      </w:r>
      <w:r>
        <w:rPr>
          <w:rtl/>
        </w:rPr>
        <w:t>ועד"ז אי' (קידו' סה:) דלאביי עד א' שאמר לו אכלת חלב והוא שותק חייב קרבן.</w:t>
      </w:r>
    </w:p>
  </w:footnote>
  <w:footnote w:id="5344">
    <w:p w14:paraId="3EAE35F5" w14:textId="77777777" w:rsidR="006C4368" w:rsidRDefault="006C4368" w:rsidP="006C4368">
      <w:pPr>
        <w:pStyle w:val="Footnote"/>
        <w:bidi/>
      </w:pPr>
      <w:r>
        <w:rPr>
          <w:rStyle w:val="ac"/>
          <w:rtl/>
        </w:rPr>
        <w:footnoteRef/>
      </w:r>
      <w:r>
        <w:rPr>
          <w:rtl/>
        </w:rPr>
        <w:t>ואפ"ה בסוגיין לא ילפי' מיניה עד א' באיסורין, דשאני הכא דהבעלים שותק.</w:t>
      </w:r>
    </w:p>
  </w:footnote>
  <w:footnote w:id="5345">
    <w:p w14:paraId="3C58DDE8" w14:textId="77777777" w:rsidR="006C4368" w:rsidRDefault="006C4368" w:rsidP="006C4368">
      <w:pPr>
        <w:pStyle w:val="Footnote"/>
        <w:bidi/>
      </w:pPr>
      <w:r>
        <w:rPr>
          <w:rStyle w:val="ac"/>
          <w:rtl/>
        </w:rPr>
        <w:footnoteRef/>
      </w:r>
      <w:r>
        <w:rPr>
          <w:rtl/>
        </w:rPr>
        <w:t>ו</w:t>
      </w:r>
      <w:r>
        <w:rPr>
          <w:b/>
          <w:bCs/>
          <w:rtl/>
        </w:rPr>
        <w:t>תוס'</w:t>
      </w:r>
      <w:r>
        <w:rPr>
          <w:rtl/>
        </w:rPr>
        <w:t xml:space="preserve"> הק' דל"מ מיגו במקום עדים.</w:t>
      </w:r>
    </w:p>
  </w:footnote>
  <w:footnote w:id="5346">
    <w:p w14:paraId="3845E852" w14:textId="77777777" w:rsidR="006C4368" w:rsidRDefault="006C4368" w:rsidP="006C4368">
      <w:pPr>
        <w:pStyle w:val="Footnote"/>
        <w:bidi/>
      </w:pPr>
      <w:r>
        <w:rPr>
          <w:rStyle w:val="ac"/>
          <w:rtl/>
        </w:rPr>
        <w:footnoteRef/>
      </w:r>
      <w:r>
        <w:rPr>
          <w:rtl/>
        </w:rPr>
        <w:t>וכ"כ ה</w:t>
      </w:r>
      <w:r>
        <w:rPr>
          <w:b/>
          <w:bCs/>
          <w:rtl/>
        </w:rPr>
        <w:t>מקנה</w:t>
      </w:r>
      <w:r>
        <w:rPr>
          <w:rtl/>
        </w:rPr>
        <w:t xml:space="preserve"> (קידושין סה:) דהיכא דב' עדים מעידים, הוה כאילו מעידים שהוא יודע שאכל. וקרינן ביה 'הודע'.</w:t>
      </w:r>
    </w:p>
  </w:footnote>
  <w:footnote w:id="5347">
    <w:p w14:paraId="6CEE5FDD" w14:textId="77777777" w:rsidR="006C4368" w:rsidRDefault="006C4368" w:rsidP="006C4368">
      <w:pPr>
        <w:pStyle w:val="Footnote"/>
        <w:bidi/>
      </w:pPr>
      <w:r>
        <w:rPr>
          <w:rStyle w:val="ac"/>
          <w:rtl/>
        </w:rPr>
        <w:footnoteRef/>
      </w:r>
      <w:r>
        <w:rPr>
          <w:rtl/>
        </w:rPr>
        <w:t>וה</w:t>
      </w:r>
      <w:r>
        <w:rPr>
          <w:b/>
          <w:bCs/>
          <w:rtl/>
        </w:rPr>
        <w:t>חזו"א</w:t>
      </w:r>
      <w:r>
        <w:rPr>
          <w:rtl/>
        </w:rPr>
        <w:t xml:space="preserve"> ביאר דבב' עדים עכשיו יודע ע"פ העדים. ואפי' שאומר שאינו מאמין, הודעת עדים חשיב ידיעה גמורה. אבל ע"א אף היכא דהתורה האמינתו, היינו דהתורה צוותה להתנהג באיסורין ע"פ ע"א, אבל לא נחשב ידיעה לענין שיהא הודע אליו, אלא חשיב הודיעוהו אחרים. וע"כ משום שתיקה.</w:t>
      </w:r>
    </w:p>
  </w:footnote>
  <w:footnote w:id="5348">
    <w:p w14:paraId="0FE08578" w14:textId="77777777" w:rsidR="006C4368" w:rsidRDefault="006C4368" w:rsidP="006C4368">
      <w:pPr>
        <w:pStyle w:val="Footnote"/>
        <w:bidi/>
      </w:pPr>
      <w:r>
        <w:rPr>
          <w:rStyle w:val="ac"/>
          <w:rtl/>
        </w:rPr>
        <w:footnoteRef/>
      </w:r>
      <w:r>
        <w:rPr>
          <w:rtl/>
        </w:rPr>
        <w:t>ויודע שהעדים שקרנים או שטעו. והבכור שור העלה צד דיש לו לתלות שהוא טועה, אך הביא דה</w:t>
      </w:r>
      <w:r>
        <w:rPr>
          <w:b/>
          <w:bCs/>
          <w:rtl/>
        </w:rPr>
        <w:t>רמב"ם</w:t>
      </w:r>
      <w:r>
        <w:rPr>
          <w:rtl/>
        </w:rPr>
        <w:t xml:space="preserve"> (יסוה"ת ח ג) כת' [גבי נביא שקר] הא למה זה דומה לעדים שהעידו לאדם על דבר שראה בעיניו שאינו כמו שראה, שאינו שומע להם אלא יודע בודאי שהן עדי שקר [ולא צריך לתלות שטועה].</w:t>
      </w:r>
    </w:p>
  </w:footnote>
  <w:footnote w:id="5349">
    <w:p w14:paraId="336CFA87" w14:textId="77777777" w:rsidR="006C4368" w:rsidRDefault="006C4368" w:rsidP="006C4368">
      <w:pPr>
        <w:pStyle w:val="Footnote"/>
        <w:bidi/>
      </w:pPr>
      <w:r>
        <w:rPr>
          <w:rStyle w:val="ac"/>
          <w:rtl/>
        </w:rPr>
        <w:footnoteRef/>
      </w:r>
      <w:r>
        <w:rPr>
          <w:rtl/>
        </w:rPr>
        <w:t>ועד"ז דן ה</w:t>
      </w:r>
      <w:r>
        <w:rPr>
          <w:b/>
          <w:bCs/>
          <w:rtl/>
        </w:rPr>
        <w:t>בכור שור</w:t>
      </w:r>
      <w:r>
        <w:rPr>
          <w:rtl/>
        </w:rPr>
        <w:t xml:space="preserve"> (והו' ברע"א יו"ד א יב) בדבר שיש עדים שהוא מותר והוא אמר שאסור, דשויא אנפשיה חתיכה דאיסורא, והוא יודע בעצמו שהוא מותר, האם יהא רשאי לאכול בינו לבין עצמו. [אך לצד דשויא אנפשיה הוה גדר נדר ודאי אסור]. וע' מש"כ בשו"ת הרמ"א (ב) ובט"ז (יו"ד קפה ב).</w:t>
      </w:r>
    </w:p>
  </w:footnote>
  <w:footnote w:id="5350">
    <w:p w14:paraId="76D3CDC7" w14:textId="77777777" w:rsidR="006C4368" w:rsidRDefault="006C4368" w:rsidP="006C4368">
      <w:pPr>
        <w:pStyle w:val="Footnote"/>
        <w:bidi/>
      </w:pPr>
      <w:r>
        <w:rPr>
          <w:rStyle w:val="ac"/>
          <w:rtl/>
        </w:rPr>
        <w:footnoteRef/>
      </w:r>
      <w:r>
        <w:rPr>
          <w:rtl/>
        </w:rPr>
        <w:t>וכ"כ ה</w:t>
      </w:r>
      <w:r>
        <w:rPr>
          <w:b/>
          <w:bCs/>
          <w:rtl/>
        </w:rPr>
        <w:t>חוות יאיר</w:t>
      </w:r>
      <w:r>
        <w:rPr>
          <w:rtl/>
        </w:rPr>
        <w:t xml:space="preserve"> (טו ד"ה האמנם) ע"פ מעשה דזכריה בן הקצב (במשנה כתובות כז:) שידע בבירור שאשתו טהורה, ואפ"ה אמרו דאינו נאמן ע"פ עצמו. והחוו"י ביאר דאסור בחדרי חדרים גזירה אטו פרהסיא. ויש </w:t>
      </w:r>
      <w:r>
        <w:rPr>
          <w:b/>
          <w:bCs/>
          <w:rtl/>
        </w:rPr>
        <w:t>אחרונים</w:t>
      </w:r>
      <w:r>
        <w:rPr>
          <w:rtl/>
        </w:rPr>
        <w:t xml:space="preserve"> שדחו דהתם באו להתיר דרך אישות, ונחשב פרהסיא. ועוד יש שדנו דגדר התקנה שהחמירו בשבויה, שמוטל על בי"ד להפרישם [ולא תלי בדידיה]. וע"ע חוו"ד (קפה ב).</w:t>
      </w:r>
    </w:p>
  </w:footnote>
  <w:footnote w:id="5351">
    <w:p w14:paraId="368A4919" w14:textId="77777777" w:rsidR="006C4368" w:rsidRDefault="006C4368" w:rsidP="006C4368">
      <w:pPr>
        <w:pStyle w:val="Footnote"/>
        <w:bidi/>
      </w:pPr>
      <w:r>
        <w:rPr>
          <w:rStyle w:val="ac"/>
          <w:rtl/>
        </w:rPr>
        <w:footnoteRef/>
      </w:r>
      <w:r>
        <w:rPr>
          <w:rtl/>
        </w:rPr>
        <w:t>וכ"כ לשון הגמ' (ב"ק מ.) דמחמר חמיר עילויה ולא בעי משכוניה.</w:t>
      </w:r>
    </w:p>
  </w:footnote>
  <w:footnote w:id="5352">
    <w:p w14:paraId="72231D05" w14:textId="77777777" w:rsidR="006C4368" w:rsidRDefault="006C4368" w:rsidP="006C4368">
      <w:pPr>
        <w:pStyle w:val="Footnote"/>
        <w:bidi/>
      </w:pPr>
      <w:r>
        <w:rPr>
          <w:rStyle w:val="ac"/>
          <w:rtl/>
        </w:rPr>
        <w:footnoteRef/>
      </w:r>
      <w:r>
        <w:rPr>
          <w:rtl/>
        </w:rPr>
        <w:t>אמנם ב</w:t>
      </w:r>
      <w:r>
        <w:rPr>
          <w:b/>
          <w:bCs/>
          <w:rtl/>
        </w:rPr>
        <w:t>רמב"ן</w:t>
      </w:r>
      <w:r>
        <w:rPr>
          <w:rtl/>
        </w:rPr>
        <w:t xml:space="preserve"> (מלחמות ב"ק לו:, יח: בדה"ר) מבואר דיש אופנים דממשכנים על קרבנות.</w:t>
      </w:r>
    </w:p>
  </w:footnote>
  <w:footnote w:id="5353">
    <w:p w14:paraId="481D39F5" w14:textId="77777777" w:rsidR="006C4368" w:rsidRDefault="006C4368" w:rsidP="006C4368">
      <w:pPr>
        <w:pStyle w:val="Footnote"/>
        <w:bidi/>
      </w:pPr>
      <w:r>
        <w:rPr>
          <w:rStyle w:val="ac"/>
          <w:rtl/>
        </w:rPr>
        <w:footnoteRef/>
      </w:r>
      <w:r>
        <w:rPr>
          <w:rtl/>
        </w:rPr>
        <w:t>והריטב"א כת' דמושכל ראשון הוא, ומש"ה לא פריך היא גופא מנ"ל [וכקו' הגמ' בסמוך].</w:t>
      </w:r>
    </w:p>
  </w:footnote>
  <w:footnote w:id="5354">
    <w:p w14:paraId="244550A2" w14:textId="77777777" w:rsidR="006C4368" w:rsidRDefault="006C4368" w:rsidP="006C4368">
      <w:pPr>
        <w:pStyle w:val="Footnote"/>
        <w:bidi/>
      </w:pPr>
      <w:r>
        <w:rPr>
          <w:rStyle w:val="ac"/>
          <w:rtl/>
        </w:rPr>
        <w:footnoteRef/>
      </w:r>
      <w:r>
        <w:rPr>
          <w:rtl/>
        </w:rPr>
        <w:t>וה</w:t>
      </w:r>
      <w:r>
        <w:rPr>
          <w:b/>
          <w:bCs/>
          <w:rtl/>
        </w:rPr>
        <w:t>תו"י</w:t>
      </w:r>
      <w:r>
        <w:rPr>
          <w:rtl/>
        </w:rPr>
        <w:t xml:space="preserve"> תמה על דבריו, דיזהר במה שיאכל.</w:t>
      </w:r>
    </w:p>
  </w:footnote>
  <w:footnote w:id="5355">
    <w:p w14:paraId="12332E85" w14:textId="77777777" w:rsidR="006C4368" w:rsidRDefault="006C4368" w:rsidP="006C4368">
      <w:pPr>
        <w:pStyle w:val="Footnote"/>
        <w:bidi/>
      </w:pPr>
      <w:r>
        <w:rPr>
          <w:rStyle w:val="ac"/>
          <w:rtl/>
        </w:rPr>
        <w:footnoteRef/>
      </w:r>
      <w:r>
        <w:rPr>
          <w:rtl/>
        </w:rPr>
        <w:t>בלא איתחזק איסורא.</w:t>
      </w:r>
    </w:p>
  </w:footnote>
  <w:footnote w:id="5356">
    <w:p w14:paraId="508C6BB9" w14:textId="77777777" w:rsidR="006C4368" w:rsidRDefault="006C4368" w:rsidP="006C4368">
      <w:pPr>
        <w:pStyle w:val="Footnote"/>
        <w:pageBreakBefore/>
        <w:bidi/>
      </w:pPr>
      <w:r>
        <w:rPr>
          <w:rStyle w:val="ac"/>
          <w:rtl/>
        </w:rPr>
        <w:footnoteRef/>
      </w:r>
      <w:r>
        <w:rPr>
          <w:rtl/>
        </w:rPr>
        <w:t xml:space="preserve">ואין ללמוד מנדה לשאר איסורין. אבל </w:t>
      </w:r>
      <w:r>
        <w:rPr>
          <w:b/>
          <w:bCs/>
          <w:rtl/>
        </w:rPr>
        <w:t>תוס'</w:t>
      </w:r>
      <w:r>
        <w:rPr>
          <w:rtl/>
        </w:rPr>
        <w:t xml:space="preserve"> (גיטין שם) כת' דילפי' דע"א נאמן [בלא איתחזק איסורא] מנדה. [ונדה הוה כמו היכא דלא איתחזק איסורא].</w:t>
      </w:r>
    </w:p>
  </w:footnote>
  <w:footnote w:id="5357">
    <w:p w14:paraId="360D7605" w14:textId="77777777" w:rsidR="006C4368" w:rsidRDefault="006C4368" w:rsidP="006C4368">
      <w:pPr>
        <w:pStyle w:val="Footnote"/>
        <w:bidi/>
      </w:pPr>
      <w:r>
        <w:rPr>
          <w:rStyle w:val="ac"/>
          <w:rtl/>
        </w:rPr>
        <w:footnoteRef/>
      </w:r>
      <w:r>
        <w:rPr>
          <w:rtl/>
        </w:rPr>
        <w:t>[יל"ד אי כוונתו משום שיש לה נאמנות על הגוף של עצמה, אך משמע מדבריו דנאמנת על האיסור של עצמה, וכשיטמ"ק. ולבעלה במיגו].</w:t>
      </w:r>
    </w:p>
  </w:footnote>
  <w:footnote w:id="5358">
    <w:p w14:paraId="3D75612D" w14:textId="77777777" w:rsidR="006C4368" w:rsidRDefault="006C4368" w:rsidP="006C4368">
      <w:pPr>
        <w:pStyle w:val="Footnote"/>
        <w:bidi/>
      </w:pPr>
      <w:r>
        <w:rPr>
          <w:rStyle w:val="ac"/>
          <w:rtl/>
        </w:rPr>
        <w:footnoteRef/>
      </w:r>
      <w:r>
        <w:rPr>
          <w:rtl/>
        </w:rPr>
        <w:t>[וע"ע ריטב"א קידושין סה:]. אף דהוחזק איסור במקום זה, כיון דבחתיכה עצמה לא אתחזק איסורא. וכן הוא מעשים בכל יום דאל"כ במקולין שיש שם נבלה לא יקנה משם בשר אלא בעדים.</w:t>
      </w:r>
    </w:p>
  </w:footnote>
  <w:footnote w:id="5359">
    <w:p w14:paraId="5B1DE080" w14:textId="77777777" w:rsidR="006C4368" w:rsidRDefault="006C4368" w:rsidP="006C4368">
      <w:pPr>
        <w:pStyle w:val="Footnote"/>
        <w:bidi/>
      </w:pPr>
      <w:r>
        <w:rPr>
          <w:rStyle w:val="ac"/>
          <w:rtl/>
        </w:rPr>
        <w:footnoteRef/>
      </w:r>
      <w:r>
        <w:rPr>
          <w:rtl/>
        </w:rPr>
        <w:t>וה</w:t>
      </w:r>
      <w:r>
        <w:rPr>
          <w:b/>
          <w:bCs/>
          <w:rtl/>
        </w:rPr>
        <w:t>פנ"י</w:t>
      </w:r>
      <w:r>
        <w:rPr>
          <w:rtl/>
        </w:rPr>
        <w:t xml:space="preserve"> (קידושין סג:, ורע"א כתובות יג:) דנו דרובא וחזקה רובא עדיף, א"כ האיך עד נאמן נגד רוב.</w:t>
      </w:r>
    </w:p>
  </w:footnote>
  <w:footnote w:id="5360">
    <w:p w14:paraId="243A7095" w14:textId="77777777" w:rsidR="006C4368" w:rsidRDefault="006C4368" w:rsidP="006C4368">
      <w:pPr>
        <w:pStyle w:val="Footnote"/>
        <w:bidi/>
      </w:pPr>
      <w:r>
        <w:rPr>
          <w:rStyle w:val="ac"/>
          <w:rtl/>
        </w:rPr>
        <w:footnoteRef/>
      </w:r>
      <w:r>
        <w:rPr>
          <w:rtl/>
        </w:rPr>
        <w:t>וביאר בזה דברי התוס' דאינה בחזקת שתהא רואה בכל שעה.</w:t>
      </w:r>
    </w:p>
  </w:footnote>
  <w:footnote w:id="5361">
    <w:p w14:paraId="70FDD50C" w14:textId="77777777" w:rsidR="006C4368" w:rsidRDefault="006C4368" w:rsidP="006C4368">
      <w:pPr>
        <w:pStyle w:val="Footnote"/>
        <w:bidi/>
      </w:pPr>
      <w:r>
        <w:rPr>
          <w:rStyle w:val="ac"/>
          <w:rtl/>
        </w:rPr>
        <w:footnoteRef/>
      </w:r>
      <w:r>
        <w:rPr>
          <w:rtl/>
        </w:rPr>
        <w:t>וה</w:t>
      </w:r>
      <w:r>
        <w:rPr>
          <w:b/>
          <w:bCs/>
          <w:rtl/>
        </w:rPr>
        <w:t>רמב"ן</w:t>
      </w:r>
      <w:r>
        <w:rPr>
          <w:rtl/>
        </w:rPr>
        <w:t xml:space="preserve"> (גיטין ב:) הביא דיש דל"ג דבר שבערוה, אלא משום איתחזק איסורא. ואי גרסינן לה צ"ל והוה דבר שבערוה, דהוה קו' בפנ"ע. וחדא ועוד קאמר [וכמ"ש הרמב"ן בסוגיין].</w:t>
      </w:r>
    </w:p>
  </w:footnote>
  <w:footnote w:id="5362">
    <w:p w14:paraId="54E33428" w14:textId="77777777" w:rsidR="006C4368" w:rsidRDefault="006C4368" w:rsidP="006C4368">
      <w:pPr>
        <w:pStyle w:val="Footnote"/>
        <w:bidi/>
      </w:pPr>
      <w:r>
        <w:rPr>
          <w:rStyle w:val="ac"/>
          <w:rtl/>
        </w:rPr>
        <w:footnoteRef/>
      </w:r>
      <w:r>
        <w:rPr>
          <w:rtl/>
        </w:rPr>
        <w:t>וה</w:t>
      </w:r>
      <w:r>
        <w:rPr>
          <w:b/>
          <w:bCs/>
          <w:rtl/>
        </w:rPr>
        <w:t xml:space="preserve">רמב"ן </w:t>
      </w:r>
      <w:r>
        <w:rPr>
          <w:rtl/>
        </w:rPr>
        <w:t>הוכיח כן, דהא עד א' אינו נאמן אפי' להחמיר, וכדאי' (קידושין סה:) בעד א' דאשתך זינתה. [ומבואר ברמב"ן דל"ש איתחזק היתירא, וכ"כ הרשב"א קידושין שם].</w:t>
      </w:r>
    </w:p>
    <w:p w14:paraId="2B54B3AE" w14:textId="77777777" w:rsidR="006C4368" w:rsidRDefault="006C4368" w:rsidP="006C4368">
      <w:pPr>
        <w:pStyle w:val="Footnote"/>
        <w:bidi/>
      </w:pPr>
      <w:r>
        <w:rPr>
          <w:rtl/>
        </w:rPr>
        <w:tab/>
        <w:t xml:space="preserve">[והרמב"ן הוכיח דכיון דעד א' אינו נאמן לאסור, כ"ש דאינו נאמן להתיר. אבל דעת </w:t>
      </w:r>
      <w:r>
        <w:rPr>
          <w:b/>
          <w:bCs/>
          <w:rtl/>
        </w:rPr>
        <w:t>תוס'</w:t>
      </w:r>
      <w:r>
        <w:rPr>
          <w:rtl/>
        </w:rPr>
        <w:t xml:space="preserve"> (קידושין שם) דאף באיסורין עד א' נאמן להתיר ולא לאסור. היפך סברת הרמב"ן. והרמב"ן קידושין שם פליג].</w:t>
      </w:r>
    </w:p>
  </w:footnote>
  <w:footnote w:id="5363">
    <w:p w14:paraId="6B7DE92F" w14:textId="77777777" w:rsidR="006C4368" w:rsidRDefault="006C4368" w:rsidP="006C4368">
      <w:pPr>
        <w:pStyle w:val="Footnote"/>
        <w:bidi/>
      </w:pPr>
      <w:r>
        <w:rPr>
          <w:rStyle w:val="ac"/>
          <w:rtl/>
        </w:rPr>
        <w:footnoteRef/>
      </w:r>
      <w:r>
        <w:rPr>
          <w:rtl/>
        </w:rPr>
        <w:t>אבל ה</w:t>
      </w:r>
      <w:r>
        <w:rPr>
          <w:b/>
          <w:bCs/>
          <w:rtl/>
        </w:rPr>
        <w:t>רמב"ן</w:t>
      </w:r>
      <w:r>
        <w:rPr>
          <w:rtl/>
        </w:rPr>
        <w:t xml:space="preserve"> (גיטין סד.) כת' דהשולח שליח לקדש ומת, אילו קרובותיה מעידים שלא נתקדשו מותר, דעד א' נאמן באיסורין. [ודלא כתוס' שם דלא סמכינן אדיבורייהו].</w:t>
      </w:r>
    </w:p>
    <w:p w14:paraId="58679B25" w14:textId="77777777" w:rsidR="006C4368" w:rsidRDefault="006C4368" w:rsidP="006C4368">
      <w:pPr>
        <w:pStyle w:val="Footnote"/>
        <w:bidi/>
      </w:pPr>
      <w:r>
        <w:rPr>
          <w:rtl/>
        </w:rPr>
        <w:tab/>
        <w:t>וה</w:t>
      </w:r>
      <w:r>
        <w:rPr>
          <w:b/>
          <w:bCs/>
          <w:rtl/>
        </w:rPr>
        <w:t>ר"ן</w:t>
      </w:r>
      <w:r>
        <w:rPr>
          <w:rtl/>
        </w:rPr>
        <w:t xml:space="preserve"> (גיטין סד. ל. בדה"ר) חלק [דאי יש צד איסור מדינא] עד א' אינו נאמן, דהוה דבר שבערוה ואינו פחות משנים, אע"ג דלא איתחזק איסורא. [והביא ראיה דעד א' אינו נאמן אפי' לאסור (קידושין סה:, וכנ"ל), באשתך זינתה]. [ודברי הרמב"ן סתרי שיטתו בסוגיין].</w:t>
      </w:r>
    </w:p>
    <w:p w14:paraId="19B7CA03" w14:textId="77777777" w:rsidR="006C4368" w:rsidRDefault="006C4368" w:rsidP="006C4368">
      <w:pPr>
        <w:pStyle w:val="Footnote"/>
        <w:bidi/>
      </w:pPr>
      <w:r>
        <w:rPr>
          <w:rtl/>
        </w:rPr>
        <w:tab/>
        <w:t>וה</w:t>
      </w:r>
      <w:r>
        <w:rPr>
          <w:b/>
          <w:bCs/>
          <w:rtl/>
        </w:rPr>
        <w:t>אחרונים</w:t>
      </w:r>
      <w:r>
        <w:rPr>
          <w:rtl/>
        </w:rPr>
        <w:t xml:space="preserve"> הביאו עוד מדברי ה</w:t>
      </w:r>
      <w:r>
        <w:rPr>
          <w:b/>
          <w:bCs/>
          <w:rtl/>
        </w:rPr>
        <w:t>ר"ן</w:t>
      </w:r>
      <w:r>
        <w:rPr>
          <w:rtl/>
        </w:rPr>
        <w:t xml:space="preserve"> (קידושין סג: כז. בדה"ר) דכשאינו יודע למי קידש נאמן עד א', ואע"פ שאין דבר שבערוה פחות מב', התם הוא להוציאה מחזקתה אבל זה שמעמידה בחזקתה אלא שאומר שנתקדשה לו. משמע דעד א' נאמן בדבר שבערוה להחזיקו אחזקתו. ו</w:t>
      </w:r>
      <w:r>
        <w:rPr>
          <w:b/>
          <w:bCs/>
          <w:rtl/>
        </w:rPr>
        <w:t>רע"א</w:t>
      </w:r>
      <w:r>
        <w:rPr>
          <w:rtl/>
        </w:rPr>
        <w:t xml:space="preserve"> הק' דסתר לדברי הר"ן (הנ"ל). (וע"ע בית הלוי ב לז, חי' ר' שלמה גיטין ג).</w:t>
      </w:r>
    </w:p>
  </w:footnote>
  <w:footnote w:id="5364">
    <w:p w14:paraId="3ACD9A53" w14:textId="77777777" w:rsidR="006C4368" w:rsidRDefault="006C4368" w:rsidP="006C4368">
      <w:pPr>
        <w:pStyle w:val="Footnote"/>
        <w:bidi/>
      </w:pPr>
      <w:r>
        <w:rPr>
          <w:rStyle w:val="ac"/>
          <w:rtl/>
        </w:rPr>
        <w:footnoteRef/>
      </w:r>
      <w:r>
        <w:rPr>
          <w:rtl/>
        </w:rPr>
        <w:t>[ולא דמי לממון שמ"מ בעי הכרעה האם הוא ממון שלו או אחר].</w:t>
      </w:r>
    </w:p>
  </w:footnote>
  <w:footnote w:id="5365">
    <w:p w14:paraId="7CA635B2" w14:textId="77777777" w:rsidR="006C4368" w:rsidRDefault="006C4368" w:rsidP="006C4368">
      <w:pPr>
        <w:pStyle w:val="Footnote"/>
        <w:bidi/>
      </w:pPr>
      <w:r>
        <w:rPr>
          <w:rStyle w:val="ac"/>
          <w:rtl/>
        </w:rPr>
        <w:footnoteRef/>
      </w:r>
      <w:r>
        <w:rPr>
          <w:rtl/>
        </w:rPr>
        <w:t>ולא דמי לגדר עד א' נאמן באיסורין היכא דלא איתחזק איסורא, דנאמן בגוף האיסור, כיון דאין חזקה. אבל בדבר שבערוה עד א' אינו נאמן כלל.</w:t>
      </w:r>
    </w:p>
  </w:footnote>
  <w:footnote w:id="5366">
    <w:p w14:paraId="0F66DBD0" w14:textId="77777777" w:rsidR="006C4368" w:rsidRDefault="006C4368" w:rsidP="006C4368">
      <w:pPr>
        <w:pStyle w:val="Footnote"/>
        <w:bidi/>
      </w:pPr>
      <w:r>
        <w:rPr>
          <w:rStyle w:val="ac"/>
          <w:rtl/>
        </w:rPr>
        <w:footnoteRef/>
      </w:r>
      <w:r>
        <w:rPr>
          <w:rtl/>
        </w:rPr>
        <w:t>וכן נקט ה</w:t>
      </w:r>
      <w:r>
        <w:rPr>
          <w:b/>
          <w:bCs/>
          <w:rtl/>
        </w:rPr>
        <w:t>חכ"צ</w:t>
      </w:r>
      <w:r>
        <w:rPr>
          <w:rtl/>
        </w:rPr>
        <w:t xml:space="preserve"> (עט) דבעלים נאמן שנתנסך יינו [לאסור את המותר], אף בדבר שאינו בידו. וה</w:t>
      </w:r>
      <w:r>
        <w:rPr>
          <w:b/>
          <w:bCs/>
          <w:rtl/>
        </w:rPr>
        <w:t>חוו"ד</w:t>
      </w:r>
      <w:r>
        <w:rPr>
          <w:rtl/>
        </w:rPr>
        <w:t xml:space="preserve"> (קכז א) חלק דדוקא בידו, דומיא דלהתיר את האיסור. והחוו"ד כת' דעיקר הטעם דבידו הוי כבעלים הוא מטעם שהבעלים הימנוהו על שלהן שיהיה כמו שיאמר, כמו שליש.</w:t>
      </w:r>
    </w:p>
  </w:footnote>
  <w:footnote w:id="5367">
    <w:p w14:paraId="780B6EA2" w14:textId="77777777" w:rsidR="006C4368" w:rsidRDefault="006C4368" w:rsidP="006C4368">
      <w:pPr>
        <w:pStyle w:val="Footnote"/>
        <w:bidi/>
      </w:pPr>
      <w:r>
        <w:rPr>
          <w:rStyle w:val="ac"/>
          <w:rtl/>
        </w:rPr>
        <w:footnoteRef/>
      </w:r>
      <w:r>
        <w:rPr>
          <w:rtl/>
        </w:rPr>
        <w:t>[והט"ז כת' דיש תקנה ליתן או למכור את הבשר לעד, ועי"ז יהא נאמן עליו].</w:t>
      </w:r>
    </w:p>
  </w:footnote>
  <w:footnote w:id="5368">
    <w:p w14:paraId="69A04645" w14:textId="77777777" w:rsidR="006C4368" w:rsidRDefault="006C4368" w:rsidP="006C4368">
      <w:pPr>
        <w:pStyle w:val="Footnote"/>
        <w:bidi/>
      </w:pPr>
      <w:r>
        <w:rPr>
          <w:rStyle w:val="ac"/>
          <w:rtl/>
        </w:rPr>
        <w:footnoteRef/>
      </w:r>
      <w:r>
        <w:rPr>
          <w:rtl/>
        </w:rPr>
        <w:t>ועד"ז כת' ה</w:t>
      </w:r>
      <w:r>
        <w:rPr>
          <w:b/>
          <w:bCs/>
          <w:rtl/>
        </w:rPr>
        <w:t>חוו"ד</w:t>
      </w:r>
      <w:r>
        <w:rPr>
          <w:rtl/>
        </w:rPr>
        <w:t xml:space="preserve"> (קכז) [לולי דבריהם] דנאמן בדבר שבידו, וכיון שבידו לשנות החזקה הוי החזקה כחזקה העשויה להשתנות דלא הוי חזקה [וציין לתוס' קידושין סד.]. ועד א' נאמן בדבר דלא אתחזיק.</w:t>
      </w:r>
    </w:p>
  </w:footnote>
  <w:footnote w:id="5369">
    <w:p w14:paraId="44B4A400" w14:textId="77777777" w:rsidR="006C4368" w:rsidRDefault="006C4368" w:rsidP="006C4368">
      <w:pPr>
        <w:pStyle w:val="Footnote"/>
        <w:bidi/>
      </w:pPr>
      <w:r>
        <w:rPr>
          <w:rStyle w:val="ac"/>
          <w:rtl/>
        </w:rPr>
        <w:footnoteRef/>
      </w:r>
      <w:r>
        <w:rPr>
          <w:rtl/>
        </w:rPr>
        <w:t>וא"כ לא יהא נאמן אף על של עצמו, וא"א לאכול אלא מה ששחט בעצמו או ראוהו שוחט.</w:t>
      </w:r>
    </w:p>
    <w:p w14:paraId="61047328" w14:textId="77777777" w:rsidR="006C4368" w:rsidRDefault="006C4368" w:rsidP="006C4368">
      <w:pPr>
        <w:pStyle w:val="Footnote"/>
        <w:bidi/>
      </w:pPr>
      <w:r>
        <w:rPr>
          <w:rtl/>
        </w:rPr>
        <w:tab/>
        <w:t>וכה"ק ה</w:t>
      </w:r>
      <w:r>
        <w:rPr>
          <w:b/>
          <w:bCs/>
          <w:rtl/>
        </w:rPr>
        <w:t>או"ז</w:t>
      </w:r>
      <w:r>
        <w:rPr>
          <w:rtl/>
        </w:rPr>
        <w:t xml:space="preserve"> (הו' בהג' אשר"י חולין א יד) וה</w:t>
      </w:r>
      <w:r>
        <w:rPr>
          <w:b/>
          <w:bCs/>
          <w:rtl/>
        </w:rPr>
        <w:t>מרדכי</w:t>
      </w:r>
      <w:r>
        <w:rPr>
          <w:rtl/>
        </w:rPr>
        <w:t xml:space="preserve"> (חולין תקעט). והאו"ז נשאר בקו'. והמרדכי (בסו"ד) הביא דלדברי </w:t>
      </w:r>
      <w:r>
        <w:rPr>
          <w:b/>
          <w:bCs/>
          <w:rtl/>
        </w:rPr>
        <w:t>ר"ת</w:t>
      </w:r>
      <w:r>
        <w:rPr>
          <w:rtl/>
        </w:rPr>
        <w:t xml:space="preserve"> כיון דהיה בידו שעה א' נאמן לעולם. ועוד הביא בשם </w:t>
      </w:r>
      <w:r>
        <w:rPr>
          <w:b/>
          <w:bCs/>
          <w:rtl/>
        </w:rPr>
        <w:t>ר' ברוך</w:t>
      </w:r>
      <w:r>
        <w:rPr>
          <w:rtl/>
        </w:rPr>
        <w:t xml:space="preserve"> דסמכינן על רוב מצויין אצל שחיטה מומחין.</w:t>
      </w:r>
    </w:p>
    <w:p w14:paraId="02C2B999" w14:textId="77777777" w:rsidR="006C4368" w:rsidRDefault="006C4368" w:rsidP="006C4368">
      <w:pPr>
        <w:pStyle w:val="Footnote"/>
        <w:bidi/>
      </w:pPr>
      <w:r>
        <w:rPr>
          <w:rtl/>
        </w:rPr>
        <w:tab/>
        <w:t>והביא דה</w:t>
      </w:r>
      <w:r>
        <w:rPr>
          <w:b/>
          <w:bCs/>
          <w:rtl/>
        </w:rPr>
        <w:t>ר"א ממיץ</w:t>
      </w:r>
      <w:r>
        <w:rPr>
          <w:rtl/>
        </w:rPr>
        <w:t xml:space="preserve"> תי' דאפ"ה אדם שמכירים בו שהוא נאמן מהני. [וציין לגמ' נדה מח: דר"א מסר לאמו לבדוק]. וסומכים על עד א' נאמן וכשר, ואפי' אשה. ודוקא בני אדם ריקים, דומיא דשנים שהתורה הכשירה כל ב' עדים כמו שהן, אמרי' דעד א' אינו נאמן כנגד איתחזק. וה</w:t>
      </w:r>
      <w:r>
        <w:rPr>
          <w:b/>
          <w:bCs/>
          <w:rtl/>
        </w:rPr>
        <w:t>פנ"י</w:t>
      </w:r>
      <w:r>
        <w:rPr>
          <w:rtl/>
        </w:rPr>
        <w:t xml:space="preserve"> (ריש חולין) חלק דמבואר בסוגיין דהיכא דאיתחזק איסורא צריך ב' עדים, וכמו בדבר שבערוה. [וע"כ הוה משום בידו].</w:t>
      </w:r>
    </w:p>
    <w:p w14:paraId="0356E3EC" w14:textId="77777777" w:rsidR="006C4368" w:rsidRDefault="006C4368" w:rsidP="006C4368">
      <w:pPr>
        <w:pStyle w:val="Footnote"/>
        <w:bidi/>
      </w:pPr>
      <w:r>
        <w:rPr>
          <w:rtl/>
        </w:rPr>
        <w:tab/>
        <w:t>ועוד חידש ה</w:t>
      </w:r>
      <w:r>
        <w:rPr>
          <w:b/>
          <w:bCs/>
          <w:rtl/>
        </w:rPr>
        <w:t>פנ"י</w:t>
      </w:r>
      <w:r>
        <w:rPr>
          <w:rtl/>
        </w:rPr>
        <w:t xml:space="preserve"> (שם) דדוקא איתחזק איסורא וליכא ספק לפנינו כלל ל"מ עד א', אבל הכא שיש בשר לפנינו איתרע טובא חזקת איסור דמחיים. ומידי ספק לא נפקא, ומש"ה עד א' נאמן. [ואף דבמקום ספיקות יש הכרעת חזקת איסור, אפ"ה עד א' נאמן].</w:t>
      </w:r>
    </w:p>
  </w:footnote>
  <w:footnote w:id="5370">
    <w:p w14:paraId="37729733" w14:textId="77777777" w:rsidR="006C4368" w:rsidRDefault="006C4368" w:rsidP="006C4368">
      <w:pPr>
        <w:pStyle w:val="Footnote"/>
        <w:bidi/>
      </w:pPr>
      <w:r>
        <w:rPr>
          <w:rStyle w:val="ac"/>
          <w:rtl/>
        </w:rPr>
        <w:footnoteRef/>
      </w:r>
      <w:r>
        <w:rPr>
          <w:rtl/>
        </w:rPr>
        <w:t xml:space="preserve">ולדעת </w:t>
      </w:r>
      <w:r>
        <w:rPr>
          <w:b/>
          <w:bCs/>
          <w:rtl/>
        </w:rPr>
        <w:t>רש"י</w:t>
      </w:r>
      <w:r>
        <w:rPr>
          <w:rtl/>
        </w:rPr>
        <w:t xml:space="preserve"> (שם) יש בו חזקת אבר מן החי, ו</w:t>
      </w:r>
      <w:r>
        <w:rPr>
          <w:b/>
          <w:bCs/>
          <w:rtl/>
        </w:rPr>
        <w:t>תוס</w:t>
      </w:r>
      <w:r>
        <w:rPr>
          <w:rtl/>
        </w:rPr>
        <w:t>' (ביצה שם ושבועות כד.) כת' דהוה חזקת אינו זבוח.</w:t>
      </w:r>
    </w:p>
  </w:footnote>
  <w:footnote w:id="5371">
    <w:p w14:paraId="421F4E6B" w14:textId="77777777" w:rsidR="006C4368" w:rsidRDefault="006C4368" w:rsidP="006C4368">
      <w:pPr>
        <w:pStyle w:val="Footnote"/>
        <w:bidi/>
      </w:pPr>
      <w:r>
        <w:rPr>
          <w:rStyle w:val="ac"/>
          <w:rtl/>
        </w:rPr>
        <w:footnoteRef/>
      </w:r>
      <w:r>
        <w:rPr>
          <w:rtl/>
        </w:rPr>
        <w:t>וה</w:t>
      </w:r>
      <w:r>
        <w:rPr>
          <w:b/>
          <w:bCs/>
          <w:rtl/>
        </w:rPr>
        <w:t>רמב"ן</w:t>
      </w:r>
      <w:r>
        <w:rPr>
          <w:rtl/>
        </w:rPr>
        <w:t xml:space="preserve"> כת' דבכל סתם בשר חזקה הוא ששחט, ובידו לתקן הוה. וכת' דמ"מ במוצא במקום שיש לחוש לנבילה ולשחיטת נכרי אינו נאמן [להך מ"ד].</w:t>
      </w:r>
    </w:p>
  </w:footnote>
  <w:footnote w:id="5372">
    <w:p w14:paraId="461033B1" w14:textId="77777777" w:rsidR="006C4368" w:rsidRDefault="006C4368" w:rsidP="006C4368">
      <w:pPr>
        <w:pStyle w:val="Footnote"/>
        <w:bidi/>
      </w:pPr>
      <w:r>
        <w:rPr>
          <w:rStyle w:val="ac"/>
          <w:rtl/>
        </w:rPr>
        <w:footnoteRef/>
      </w:r>
      <w:r>
        <w:rPr>
          <w:rtl/>
        </w:rPr>
        <w:t>[ויל"ד אי זה כוונת הרמב"ן דהוה בידו לתקן. אך לא משמע כן בדבריו].</w:t>
      </w:r>
    </w:p>
  </w:footnote>
  <w:footnote w:id="5373">
    <w:p w14:paraId="769BD873" w14:textId="77777777" w:rsidR="006C4368" w:rsidRDefault="006C4368" w:rsidP="006C4368">
      <w:pPr>
        <w:pStyle w:val="Footnote"/>
        <w:bidi/>
      </w:pPr>
      <w:r>
        <w:rPr>
          <w:rStyle w:val="ac"/>
          <w:rtl/>
        </w:rPr>
        <w:footnoteRef/>
      </w:r>
      <w:r>
        <w:rPr>
          <w:rtl/>
        </w:rPr>
        <w:t>והוכיח שם דל"מ בדבר שבערוה.</w:t>
      </w:r>
    </w:p>
  </w:footnote>
  <w:footnote w:id="5374">
    <w:p w14:paraId="53CBBB19" w14:textId="77777777" w:rsidR="006C4368" w:rsidRDefault="006C4368" w:rsidP="006C4368">
      <w:pPr>
        <w:pStyle w:val="Footnote"/>
        <w:bidi/>
      </w:pPr>
      <w:r>
        <w:rPr>
          <w:rStyle w:val="ac"/>
          <w:rtl/>
        </w:rPr>
        <w:footnoteRef/>
      </w:r>
      <w:r>
        <w:rPr>
          <w:rtl/>
        </w:rPr>
        <w:t xml:space="preserve">אבל </w:t>
      </w:r>
      <w:r>
        <w:rPr>
          <w:b/>
          <w:bCs/>
          <w:rtl/>
        </w:rPr>
        <w:t>תוס</w:t>
      </w:r>
      <w:r>
        <w:rPr>
          <w:rtl/>
        </w:rPr>
        <w:t>' (מנחות עא: ותמורה כז:) כת' דבעלים יכול לפדות בפרוטה אף פחות משוויו, ואחר אינו פודה אלא בשוויו. [ואכמ"ל].</w:t>
      </w:r>
    </w:p>
  </w:footnote>
  <w:footnote w:id="5375">
    <w:p w14:paraId="49D589B8" w14:textId="77777777" w:rsidR="006C4368" w:rsidRDefault="006C4368" w:rsidP="006C4368">
      <w:pPr>
        <w:pStyle w:val="Footnote"/>
        <w:bidi/>
      </w:pPr>
      <w:r>
        <w:rPr>
          <w:rStyle w:val="ac"/>
          <w:rtl/>
        </w:rPr>
        <w:footnoteRef/>
      </w:r>
      <w:r>
        <w:rPr>
          <w:rtl/>
        </w:rPr>
        <w:t>ויל"ד מהא דאי' (ב"ק עו.) מעיקרא תורא דראובן, והשתא תורא דראובן. אך נח' הראשונים אי אמרי' כן בקדשי מזבח. ואכמ"ל.</w:t>
      </w:r>
    </w:p>
  </w:footnote>
  <w:footnote w:id="5376">
    <w:p w14:paraId="2011374E" w14:textId="77777777" w:rsidR="006C4368" w:rsidRDefault="006C4368" w:rsidP="006C4368">
      <w:pPr>
        <w:pStyle w:val="Footnote"/>
        <w:bidi/>
      </w:pPr>
      <w:r>
        <w:rPr>
          <w:rStyle w:val="ac"/>
          <w:rtl/>
        </w:rPr>
        <w:footnoteRef/>
      </w:r>
      <w:r>
        <w:rPr>
          <w:rtl/>
        </w:rPr>
        <w:t>ה</w:t>
      </w:r>
      <w:r>
        <w:rPr>
          <w:b/>
          <w:bCs/>
          <w:rtl/>
        </w:rPr>
        <w:t>ריטב"א</w:t>
      </w:r>
      <w:r>
        <w:rPr>
          <w:rtl/>
        </w:rPr>
        <w:t xml:space="preserve"> ביאר דנשאלין על ההקדש (וכבי"ה נזיר ל:) כל זמן שלא הגיע ליד גזבר. [וע"ד הא דאי' נדרים נט. דתרומה דאתי ליד כהן אין נשאלין]. וע"ע ש"ך (חו"מ רנה ו).</w:t>
      </w:r>
    </w:p>
  </w:footnote>
  <w:footnote w:id="5377">
    <w:p w14:paraId="4F836E8C" w14:textId="77777777" w:rsidR="006C4368" w:rsidRDefault="006C4368" w:rsidP="006C4368">
      <w:pPr>
        <w:pStyle w:val="Footnote"/>
        <w:bidi/>
      </w:pPr>
      <w:r>
        <w:rPr>
          <w:rStyle w:val="ac"/>
          <w:rtl/>
        </w:rPr>
        <w:footnoteRef/>
      </w:r>
      <w:r>
        <w:rPr>
          <w:rtl/>
        </w:rPr>
        <w:t>ולא דמי לשליח שאומר טעיתי ולא נתכוונתי לקדשה [אלא למשלח], דלפי דברי העד לא היה איסור כלל מעולם.</w:t>
      </w:r>
    </w:p>
  </w:footnote>
  <w:footnote w:id="5378">
    <w:p w14:paraId="0034C815" w14:textId="77777777" w:rsidR="006C4368" w:rsidRDefault="006C4368" w:rsidP="006C4368">
      <w:pPr>
        <w:pStyle w:val="Footnote"/>
        <w:bidi/>
      </w:pPr>
      <w:r>
        <w:rPr>
          <w:rStyle w:val="ac"/>
          <w:rtl/>
        </w:rPr>
        <w:footnoteRef/>
      </w:r>
      <w:r>
        <w:rPr>
          <w:rtl/>
        </w:rPr>
        <w:t>ובגמ' (נדרים לה.) נח' בזה ר' מאיר ורבנן.</w:t>
      </w:r>
    </w:p>
    <w:p w14:paraId="03EC6B3B" w14:textId="77777777" w:rsidR="006C4368" w:rsidRDefault="006C4368" w:rsidP="006C4368">
      <w:pPr>
        <w:pStyle w:val="Footnote"/>
        <w:bidi/>
      </w:pPr>
      <w:r>
        <w:rPr>
          <w:rtl/>
        </w:rPr>
        <w:tab/>
        <w:t>ו</w:t>
      </w:r>
      <w:r>
        <w:rPr>
          <w:b/>
          <w:bCs/>
          <w:rtl/>
        </w:rPr>
        <w:t>רש"י</w:t>
      </w:r>
      <w:r>
        <w:rPr>
          <w:rtl/>
        </w:rPr>
        <w:t xml:space="preserve"> (שבועות כב.) ביאר דהצד דמביא קרבן מעילה, שהקונם לשון הקדש הוא. והצד דאין מעילה בקונמות, דלא קרינן ביה מקדשי ה', שהרי חולין הוא אצל כל אדם. [לכאורה היינו בקונם פרטי. ואפשר דכוונתו דהוה חד פרשה].</w:t>
      </w:r>
    </w:p>
  </w:footnote>
  <w:footnote w:id="5379">
    <w:p w14:paraId="1FDA603F" w14:textId="77777777" w:rsidR="006C4368" w:rsidRDefault="006C4368" w:rsidP="006C4368">
      <w:pPr>
        <w:pStyle w:val="Footnote"/>
        <w:bidi/>
      </w:pPr>
      <w:r>
        <w:rPr>
          <w:rStyle w:val="ac"/>
          <w:rtl/>
        </w:rPr>
        <w:footnoteRef/>
      </w:r>
      <w:r>
        <w:rPr>
          <w:rtl/>
        </w:rPr>
        <w:t>ומבואר דגדר 'קונם' דחל קדושה בחפצא, ושייך פדיון על הקדושה. [ולא הוה איסור אכילה לחוד]. וע"ע קובה"ע (נד טו).</w:t>
      </w:r>
    </w:p>
    <w:p w14:paraId="17AB2060" w14:textId="77777777" w:rsidR="006C4368" w:rsidRDefault="006C4368" w:rsidP="006C4368">
      <w:pPr>
        <w:pStyle w:val="Footnote"/>
        <w:bidi/>
      </w:pPr>
      <w:r>
        <w:rPr>
          <w:rtl/>
        </w:rPr>
        <w:tab/>
        <w:t>וה</w:t>
      </w:r>
      <w:r>
        <w:rPr>
          <w:b/>
          <w:bCs/>
          <w:rtl/>
        </w:rPr>
        <w:t>ר"ן</w:t>
      </w:r>
      <w:r>
        <w:rPr>
          <w:rtl/>
        </w:rPr>
        <w:t xml:space="preserve"> (נדרים לה.) ו</w:t>
      </w:r>
      <w:r>
        <w:rPr>
          <w:b/>
          <w:bCs/>
          <w:rtl/>
        </w:rPr>
        <w:t>רש"י</w:t>
      </w:r>
      <w:r>
        <w:rPr>
          <w:rtl/>
        </w:rPr>
        <w:t xml:space="preserve"> (כתובות נט:) כת' דהטעם דאין פדיון בקונם [למ"ד אין מעילה בקונמות], דאינו הקדש גמור לתפוס פדיונו.</w:t>
      </w:r>
    </w:p>
  </w:footnote>
  <w:footnote w:id="5380">
    <w:p w14:paraId="1B05BB1C" w14:textId="77777777" w:rsidR="006C4368" w:rsidRDefault="006C4368" w:rsidP="006C4368">
      <w:pPr>
        <w:pStyle w:val="Footnote"/>
        <w:bidi/>
      </w:pPr>
      <w:r>
        <w:rPr>
          <w:rStyle w:val="ac"/>
          <w:rtl/>
        </w:rPr>
        <w:footnoteRef/>
      </w:r>
      <w:r>
        <w:rPr>
          <w:rtl/>
        </w:rPr>
        <w:t xml:space="preserve">ויל"ד בכוונת </w:t>
      </w:r>
      <w:r>
        <w:rPr>
          <w:b/>
          <w:bCs/>
          <w:rtl/>
        </w:rPr>
        <w:t>רש"י</w:t>
      </w:r>
      <w:r>
        <w:rPr>
          <w:rtl/>
        </w:rPr>
        <w:t xml:space="preserve"> (שבועות הנ"ל) דקונם לשון הקדש, האם כוונתו דחל דין הקדש. או דילפי' קונם מהקדש, דילפי' מהא דהוה לשון הקדש. וכ"מ מהמשך דברי רש"י דאידך מ"ד ס"ל דלא הוה קדשי ה' [משמע נהי דהוה הקדש, הא אינו מיוחד לה'].</w:t>
      </w:r>
    </w:p>
  </w:footnote>
  <w:footnote w:id="5381">
    <w:p w14:paraId="45E7F428" w14:textId="77777777" w:rsidR="006C4368" w:rsidRDefault="006C4368" w:rsidP="006C4368">
      <w:pPr>
        <w:pStyle w:val="Footnote"/>
        <w:bidi/>
      </w:pPr>
      <w:r>
        <w:rPr>
          <w:rStyle w:val="ac"/>
          <w:rtl/>
        </w:rPr>
        <w:footnoteRef/>
      </w:r>
      <w:r>
        <w:rPr>
          <w:rtl/>
        </w:rPr>
        <w:t>ופ</w:t>
      </w:r>
      <w:r>
        <w:rPr>
          <w:b/>
          <w:bCs/>
          <w:rtl/>
        </w:rPr>
        <w:t>רש"י</w:t>
      </w:r>
      <w:r>
        <w:rPr>
          <w:rtl/>
        </w:rPr>
        <w:t xml:space="preserve"> (גיטין פט: ד"ה קנסוה רבנן) דהאי דשריוה בהעדאת עד א' משום עיגונא אקילו בה, והיא גופה תידוק במילתא ע"י עוברים ושבים ותנסיב. והיכא דלא דייקא שפיר קנסוה.</w:t>
      </w:r>
    </w:p>
  </w:footnote>
  <w:footnote w:id="5382">
    <w:p w14:paraId="6E8E6F98" w14:textId="77777777" w:rsidR="006C4368" w:rsidRDefault="006C4368" w:rsidP="006C4368">
      <w:pPr>
        <w:pStyle w:val="Footnote"/>
        <w:bidi/>
      </w:pPr>
      <w:r>
        <w:rPr>
          <w:rStyle w:val="ac"/>
          <w:rtl/>
        </w:rPr>
        <w:footnoteRef/>
      </w:r>
      <w:r>
        <w:rPr>
          <w:rtl/>
        </w:rPr>
        <w:t>וה</w:t>
      </w:r>
      <w:r>
        <w:rPr>
          <w:b/>
          <w:bCs/>
          <w:rtl/>
        </w:rPr>
        <w:t>ריטב"א</w:t>
      </w:r>
      <w:r>
        <w:rPr>
          <w:rtl/>
        </w:rPr>
        <w:t xml:space="preserve"> הק' דהו"ל לגמ' להק' ממתני'.</w:t>
      </w:r>
    </w:p>
  </w:footnote>
  <w:footnote w:id="5383">
    <w:p w14:paraId="695C0045" w14:textId="77777777" w:rsidR="006C4368" w:rsidRDefault="006C4368" w:rsidP="006C4368">
      <w:pPr>
        <w:pStyle w:val="Footnote"/>
        <w:bidi/>
      </w:pPr>
      <w:r>
        <w:rPr>
          <w:rStyle w:val="ac"/>
          <w:rtl/>
        </w:rPr>
        <w:footnoteRef/>
      </w:r>
      <w:r>
        <w:rPr>
          <w:rtl/>
        </w:rPr>
        <w:t>[וכה"ג יש עדות עד א' בדאורייתא]. וה</w:t>
      </w:r>
      <w:r>
        <w:rPr>
          <w:b/>
          <w:bCs/>
          <w:rtl/>
        </w:rPr>
        <w:t>ריטב"א</w:t>
      </w:r>
      <w:r>
        <w:rPr>
          <w:rtl/>
        </w:rPr>
        <w:t xml:space="preserve"> הביא ראיה מדברי עולא (בע"ב) דאמר כל מקום שהאמינה תורה עד א' הרי כאן ב'. מבואר דבעדות אשה האמינה תורה לעד, ומדאורייתא. [ודלא כ</w:t>
      </w:r>
      <w:r>
        <w:rPr>
          <w:b/>
          <w:bCs/>
          <w:rtl/>
        </w:rPr>
        <w:t>רמב"ם</w:t>
      </w:r>
      <w:r>
        <w:rPr>
          <w:rtl/>
        </w:rPr>
        <w:t xml:space="preserve"> (עדות ה ב) דב' מקומות האמינה תורה, ובמקום א' הוה מדרבנן. וכ"כ </w:t>
      </w:r>
      <w:r>
        <w:rPr>
          <w:b/>
          <w:bCs/>
          <w:rtl/>
        </w:rPr>
        <w:t>תוס</w:t>
      </w:r>
      <w:r>
        <w:rPr>
          <w:rtl/>
        </w:rPr>
        <w:t>' (כתובות כב:) דבעדות אשה הוה מדרבנן.</w:t>
      </w:r>
    </w:p>
  </w:footnote>
  <w:footnote w:id="5384">
    <w:p w14:paraId="09834032" w14:textId="77777777" w:rsidR="006C4368" w:rsidRDefault="006C4368" w:rsidP="006C4368">
      <w:pPr>
        <w:pStyle w:val="Footnote"/>
        <w:bidi/>
      </w:pPr>
      <w:r>
        <w:rPr>
          <w:rStyle w:val="ac"/>
          <w:rtl/>
        </w:rPr>
        <w:footnoteRef/>
      </w:r>
      <w:r>
        <w:rPr>
          <w:rtl/>
        </w:rPr>
        <w:t>לכאורה משמע דלצד דהוה משום דייקא, מהני דייקא לחוד, ולא הוה משום עבידא לאיגלויי כלל. וספק הגמ' בעיקר הנאמנות אי הוה משום צירוף. אך יש לדחות דודאי בעינן צירוף ב' הטעמים, וספק הגמ' איזה טעם עיקרי.</w:t>
      </w:r>
    </w:p>
  </w:footnote>
  <w:footnote w:id="5385">
    <w:p w14:paraId="0B426B93" w14:textId="77777777" w:rsidR="006C4368" w:rsidRDefault="006C4368" w:rsidP="006C4368">
      <w:pPr>
        <w:pStyle w:val="Footnote"/>
        <w:bidi/>
      </w:pPr>
      <w:r>
        <w:rPr>
          <w:rStyle w:val="ac"/>
          <w:rtl/>
        </w:rPr>
        <w:footnoteRef/>
      </w:r>
      <w:r>
        <w:rPr>
          <w:rtl/>
        </w:rPr>
        <w:t>דה</w:t>
      </w:r>
      <w:r>
        <w:rPr>
          <w:b/>
          <w:bCs/>
          <w:rtl/>
        </w:rPr>
        <w:t>ריטב"א</w:t>
      </w:r>
      <w:r>
        <w:rPr>
          <w:rtl/>
        </w:rPr>
        <w:t xml:space="preserve"> הביא דהק' דאם איתא דדבר שבערוה אינה פחות משנים א"כ היאך משיאין אשה שמת בעלה ע"פ עד א', ואפי' בגוי מסיח לפי תומו נאמן.</w:t>
      </w:r>
    </w:p>
  </w:footnote>
  <w:footnote w:id="5386">
    <w:p w14:paraId="0E259CBB" w14:textId="77777777" w:rsidR="006C4368" w:rsidRDefault="006C4368" w:rsidP="006C4368">
      <w:pPr>
        <w:pStyle w:val="Footnote"/>
        <w:bidi/>
      </w:pPr>
      <w:r>
        <w:rPr>
          <w:rStyle w:val="ac"/>
          <w:rtl/>
        </w:rPr>
        <w:footnoteRef/>
      </w:r>
      <w:r>
        <w:rPr>
          <w:rtl/>
        </w:rPr>
        <w:t>ודוקא בדבר שהוא משום עדות בעינן שנים, ואין עד אחד נאמן. [אבל הכא אינו משום עדות].</w:t>
      </w:r>
    </w:p>
  </w:footnote>
  <w:footnote w:id="5387">
    <w:p w14:paraId="53FA597F" w14:textId="77777777" w:rsidR="006C4368" w:rsidRDefault="006C4368" w:rsidP="006C4368">
      <w:pPr>
        <w:pStyle w:val="Footnote"/>
        <w:bidi/>
      </w:pPr>
      <w:r>
        <w:rPr>
          <w:rStyle w:val="ac"/>
          <w:rtl/>
        </w:rPr>
        <w:footnoteRef/>
      </w:r>
      <w:r>
        <w:rPr>
          <w:rtl/>
        </w:rPr>
        <w:t>ה</w:t>
      </w:r>
      <w:r>
        <w:rPr>
          <w:b/>
          <w:bCs/>
          <w:rtl/>
        </w:rPr>
        <w:t>פנים יפות</w:t>
      </w:r>
      <w:r>
        <w:rPr>
          <w:rtl/>
        </w:rPr>
        <w:t xml:space="preserve"> (דברים יט טו). ו</w:t>
      </w:r>
      <w:r>
        <w:rPr>
          <w:b/>
          <w:bCs/>
          <w:rtl/>
        </w:rPr>
        <w:t>רע"א</w:t>
      </w:r>
      <w:r>
        <w:rPr>
          <w:rtl/>
        </w:rPr>
        <w:t xml:space="preserve"> (בע"ב, ק' קכד) תמה עד"ז, אמאי נקטו תוס' דנאמן רק מדרבנן.</w:t>
      </w:r>
    </w:p>
  </w:footnote>
  <w:footnote w:id="5388">
    <w:p w14:paraId="46483361" w14:textId="77777777" w:rsidR="006C4368" w:rsidRDefault="006C4368" w:rsidP="006C4368">
      <w:pPr>
        <w:pStyle w:val="Footnote"/>
        <w:bidi/>
      </w:pPr>
      <w:r>
        <w:rPr>
          <w:rStyle w:val="ac"/>
          <w:rtl/>
        </w:rPr>
        <w:footnoteRef/>
      </w:r>
      <w:r>
        <w:rPr>
          <w:rtl/>
        </w:rPr>
        <w:t>ומש"ה מתחייב אשם תלוי ולא חטאת.</w:t>
      </w:r>
    </w:p>
  </w:footnote>
  <w:footnote w:id="5389">
    <w:p w14:paraId="5AE7ECB3" w14:textId="77777777" w:rsidR="006C4368" w:rsidRDefault="006C4368" w:rsidP="006C4368">
      <w:pPr>
        <w:pStyle w:val="Footnote"/>
        <w:bidi/>
      </w:pPr>
      <w:r>
        <w:rPr>
          <w:rStyle w:val="ac"/>
          <w:rtl/>
        </w:rPr>
        <w:footnoteRef/>
      </w:r>
      <w:r>
        <w:rPr>
          <w:rtl/>
        </w:rPr>
        <w:t>וה</w:t>
      </w:r>
      <w:r>
        <w:rPr>
          <w:b/>
          <w:bCs/>
          <w:rtl/>
        </w:rPr>
        <w:t>קובה"ע</w:t>
      </w:r>
      <w:r>
        <w:rPr>
          <w:rtl/>
        </w:rPr>
        <w:t xml:space="preserve"> (סז יא) חלק דעד א' אינו נאמן בדבר שבערוה כלל, אף היכא דלא איתחזק איסורא. אא"כ מעיד דאין כאן דבר שבערוה [ע' מה שהו' לעיל]. אבל במיתת הבעל ע"כ צריך עדותו להתיר.</w:t>
      </w:r>
    </w:p>
  </w:footnote>
  <w:footnote w:id="5390">
    <w:p w14:paraId="0E706E6A" w14:textId="77777777" w:rsidR="006C4368" w:rsidRDefault="006C4368" w:rsidP="006C4368">
      <w:pPr>
        <w:pStyle w:val="Footnote"/>
        <w:bidi/>
      </w:pPr>
      <w:r>
        <w:rPr>
          <w:rStyle w:val="ac"/>
          <w:rtl/>
        </w:rPr>
        <w:footnoteRef/>
      </w:r>
      <w:r>
        <w:rPr>
          <w:rtl/>
        </w:rPr>
        <w:t>דאילו יש עוררין לא היתה נשאת.</w:t>
      </w:r>
    </w:p>
    <w:p w14:paraId="0A4894C1" w14:textId="77777777" w:rsidR="006C4368" w:rsidRDefault="006C4368" w:rsidP="006C4368">
      <w:pPr>
        <w:pStyle w:val="Footnote"/>
        <w:bidi/>
      </w:pPr>
      <w:r>
        <w:rPr>
          <w:rtl/>
        </w:rPr>
        <w:tab/>
        <w:t>ועוד י"ל דהתירו חכמים ע"פ העד אף קודם שהוחזק הדבר בעיני העולם שהבעל מת. וכן פעמים שיש עוררין, ולא הוחזק. וכה"ג הוצרכו חכמים לטעם דיש כח ביד חכמים לעקור דבר מהתורה [משום לא פלוג], או אפקעינהו לקידושין. [ואילו בא הבעל אח"כ אמרי' דנתברר דהוחזק בטעות].</w:t>
      </w:r>
    </w:p>
  </w:footnote>
  <w:footnote w:id="5391">
    <w:p w14:paraId="1D7F6517" w14:textId="77777777" w:rsidR="006C4368" w:rsidRDefault="006C4368" w:rsidP="006C4368">
      <w:pPr>
        <w:pStyle w:val="Footnote"/>
        <w:bidi/>
      </w:pPr>
      <w:r>
        <w:rPr>
          <w:rStyle w:val="ac"/>
          <w:rtl/>
        </w:rPr>
        <w:footnoteRef/>
      </w:r>
      <w:r>
        <w:rPr>
          <w:rtl/>
        </w:rPr>
        <w:t xml:space="preserve">וכמ"ש </w:t>
      </w:r>
      <w:r>
        <w:rPr>
          <w:b/>
          <w:bCs/>
          <w:rtl/>
        </w:rPr>
        <w:t>תוס'</w:t>
      </w:r>
      <w:r>
        <w:rPr>
          <w:rtl/>
        </w:rPr>
        <w:t xml:space="preserve"> (גיטין ד. ד"ה מודה). וכת' דאפי' משה ואהרן העידו, ואפי' יש לנו כמה הוכחות לזה שאמת הדבר, אף דהדבר אמיתי מ"מ אין לקיים שום דבר בלתי ב' עדים. והביא מהגמ' (כתובות כא.) נכי ריבעא דממונא אפומא דחד סהדא.</w:t>
      </w:r>
    </w:p>
    <w:p w14:paraId="3B55E6F1" w14:textId="77777777" w:rsidR="006C4368" w:rsidRDefault="006C4368" w:rsidP="006C4368">
      <w:pPr>
        <w:pStyle w:val="Footnote"/>
        <w:bidi/>
      </w:pPr>
      <w:r>
        <w:rPr>
          <w:rtl/>
        </w:rPr>
        <w:tab/>
        <w:t>והביא דה</w:t>
      </w:r>
      <w:r>
        <w:rPr>
          <w:b/>
          <w:bCs/>
          <w:rtl/>
        </w:rPr>
        <w:t>רמב"ם</w:t>
      </w:r>
      <w:r>
        <w:rPr>
          <w:rtl/>
        </w:rPr>
        <w:t xml:space="preserve"> (סה"מ ל"ת רפח, חינוך תקכג) מנה מצווה לא יקום עד אחד באיש, שהזהירנו שלא לכרות הגדרים או לחייב ממון בעדות עד א', ואפי' היה בתכלית הכשרות.</w:t>
      </w:r>
    </w:p>
  </w:footnote>
  <w:footnote w:id="5392">
    <w:p w14:paraId="69897F3E" w14:textId="77777777" w:rsidR="006C4368" w:rsidRDefault="006C4368" w:rsidP="006C4368">
      <w:pPr>
        <w:pStyle w:val="Footnote"/>
        <w:bidi/>
      </w:pPr>
      <w:r>
        <w:rPr>
          <w:rStyle w:val="ac"/>
          <w:rtl/>
        </w:rPr>
        <w:footnoteRef/>
      </w:r>
      <w:r>
        <w:rPr>
          <w:rtl/>
        </w:rPr>
        <w:t>ולא הקילו אפי' משום תקנת עגונות [לעשות אפקעינהו], דאדרבה החמירו הרבה בעריות.</w:t>
      </w:r>
    </w:p>
  </w:footnote>
  <w:footnote w:id="5393">
    <w:p w14:paraId="5AE3699A" w14:textId="77777777" w:rsidR="006C4368" w:rsidRDefault="006C4368" w:rsidP="006C4368">
      <w:pPr>
        <w:pStyle w:val="Footnote"/>
        <w:bidi/>
      </w:pPr>
      <w:r>
        <w:rPr>
          <w:rStyle w:val="ac"/>
          <w:rtl/>
        </w:rPr>
        <w:footnoteRef/>
      </w:r>
      <w:r>
        <w:rPr>
          <w:rtl/>
        </w:rPr>
        <w:t>אי משום דייקא ומינסבא או משום מילתא דעבידא לאיגלוי'.</w:t>
      </w:r>
    </w:p>
  </w:footnote>
  <w:footnote w:id="5394">
    <w:p w14:paraId="6157315A" w14:textId="77777777" w:rsidR="006C4368" w:rsidRDefault="006C4368" w:rsidP="006C4368">
      <w:pPr>
        <w:pStyle w:val="Footnote"/>
        <w:bidi/>
      </w:pPr>
      <w:r>
        <w:rPr>
          <w:rStyle w:val="ac"/>
          <w:rtl/>
        </w:rPr>
        <w:footnoteRef/>
      </w:r>
      <w:r>
        <w:rPr>
          <w:rtl/>
        </w:rPr>
        <w:t>וה</w:t>
      </w:r>
      <w:r>
        <w:rPr>
          <w:b/>
          <w:bCs/>
          <w:rtl/>
        </w:rPr>
        <w:t xml:space="preserve">רמב"ם </w:t>
      </w:r>
      <w:r>
        <w:rPr>
          <w:rtl/>
        </w:rPr>
        <w:t>כת' ואל יקשה בעיניך שהתירו חכמים הערוה החמורה בעדות אשה או עבד או שפחה או גוי מסיח לפי תומו (כדלקמן קכא:), ועד מפי עד ומפי הכתב ובלא דרישה וחקירה. [וה</w:t>
      </w:r>
      <w:r>
        <w:rPr>
          <w:b/>
          <w:bCs/>
          <w:rtl/>
        </w:rPr>
        <w:t>נוב"י</w:t>
      </w:r>
      <w:r>
        <w:rPr>
          <w:rtl/>
        </w:rPr>
        <w:t xml:space="preserve"> (ק' לג) דייק דהרמב"ם הק' דוקא מהא דהכשירו פסולים, ולא מהא דמהני עד א' כשר. אך בהמשך דבריו כת' לפיכך האמינו עד א'. משמע עד כשר. וע' בסמוך].</w:t>
      </w:r>
    </w:p>
  </w:footnote>
  <w:footnote w:id="5395">
    <w:p w14:paraId="690D45ED" w14:textId="77777777" w:rsidR="006C4368" w:rsidRDefault="006C4368" w:rsidP="006C4368">
      <w:pPr>
        <w:pStyle w:val="Footnote"/>
        <w:bidi/>
      </w:pPr>
      <w:r>
        <w:rPr>
          <w:rStyle w:val="ac"/>
          <w:rtl/>
        </w:rPr>
        <w:footnoteRef/>
      </w:r>
      <w:r>
        <w:rPr>
          <w:rtl/>
        </w:rPr>
        <w:t>וה</w:t>
      </w:r>
      <w:r>
        <w:rPr>
          <w:b/>
          <w:bCs/>
          <w:rtl/>
        </w:rPr>
        <w:t>אבה"א</w:t>
      </w:r>
      <w:r>
        <w:rPr>
          <w:rtl/>
        </w:rPr>
        <w:t xml:space="preserve"> ביאר דגדר מילתא דעבידא לאיגלויי לא הוה נאמנות לגוף העד. שהרי אמרה תורה גזיה"כ שלא נאמין לקרובים אפי' כמשה ואהרן (וכדאי' ב"ב קנט., ע' הג' אשר"י גיטין א י), אבל היכא דיש חזקה דלא מרעי נפשייהו וכגון בערכאות, אין אנו מאמינים לערכאות לומר שהוא איש נאמן, ואין אנו סומכין על נאמנותו, אלא על חזקה שלו דלא מרעי נפשייהו. ובזה אינו סותר לדין עדות בתורה. [וע"ע בסמוך בשם החת"ס].</w:t>
      </w:r>
    </w:p>
  </w:footnote>
  <w:footnote w:id="5396">
    <w:p w14:paraId="3D407515" w14:textId="77777777" w:rsidR="006C4368" w:rsidRDefault="006C4368" w:rsidP="006C4368">
      <w:pPr>
        <w:pStyle w:val="Footnote"/>
        <w:bidi/>
      </w:pPr>
      <w:r>
        <w:rPr>
          <w:rStyle w:val="ac"/>
          <w:rtl/>
        </w:rPr>
        <w:footnoteRef/>
      </w:r>
      <w:r>
        <w:rPr>
          <w:rtl/>
        </w:rPr>
        <w:t>וה</w:t>
      </w:r>
      <w:r>
        <w:rPr>
          <w:b/>
          <w:bCs/>
          <w:rtl/>
        </w:rPr>
        <w:t>הג' מיימוני</w:t>
      </w:r>
      <w:r>
        <w:rPr>
          <w:rtl/>
        </w:rPr>
        <w:t xml:space="preserve"> ציין לדברי ה</w:t>
      </w:r>
      <w:r>
        <w:rPr>
          <w:b/>
          <w:bCs/>
          <w:rtl/>
        </w:rPr>
        <w:t>רי"ף</w:t>
      </w:r>
      <w:r>
        <w:rPr>
          <w:rtl/>
        </w:rPr>
        <w:t xml:space="preserve"> (לעיל לט: יג. בדה"ס), ועוד ציין לגמ' (ר"ה כב:) דעד א' נאמן להעיד שבי"ד קדשו את החודש, דעבידא לאיגלויי. [וכת' דיש בזה נפק"מ לדאורייתא]. [ועוד ציינו לגמ' (בכורות לו:) גבי מומי בכור, אך י"ל דהתם איירי בדרבנן].</w:t>
      </w:r>
    </w:p>
  </w:footnote>
  <w:footnote w:id="5397">
    <w:p w14:paraId="6CD87441" w14:textId="77777777" w:rsidR="006C4368" w:rsidRDefault="006C4368" w:rsidP="006C4368">
      <w:pPr>
        <w:pStyle w:val="Footnote"/>
        <w:bidi/>
      </w:pPr>
      <w:r>
        <w:rPr>
          <w:rStyle w:val="ac"/>
          <w:rtl/>
        </w:rPr>
        <w:footnoteRef/>
      </w:r>
      <w:r>
        <w:rPr>
          <w:rtl/>
        </w:rPr>
        <w:t>והאמינו בו עד א' מפי שפחה ומן הכתב ובלא דרישה וחקירה.</w:t>
      </w:r>
    </w:p>
  </w:footnote>
  <w:footnote w:id="5398">
    <w:p w14:paraId="46F0C258" w14:textId="77777777" w:rsidR="006C4368" w:rsidRDefault="006C4368" w:rsidP="006C4368">
      <w:pPr>
        <w:pStyle w:val="Footnote"/>
        <w:bidi/>
      </w:pPr>
      <w:r>
        <w:rPr>
          <w:rStyle w:val="ac"/>
          <w:rtl/>
        </w:rPr>
        <w:footnoteRef/>
      </w:r>
      <w:r>
        <w:rPr>
          <w:rtl/>
        </w:rPr>
        <w:t>ו</w:t>
      </w:r>
      <w:r>
        <w:rPr>
          <w:b/>
          <w:bCs/>
          <w:rtl/>
        </w:rPr>
        <w:t>ה"ה</w:t>
      </w:r>
      <w:r>
        <w:rPr>
          <w:rtl/>
        </w:rPr>
        <w:t xml:space="preserve"> כת' דהרמב"ם נקט טעם עבידא לאיגלויי, שכן סמכו על טעם זה בדברים אחרים, וכגון בהכרת שמות בגיטין ובחליצה (ע' רי"ף לעיל לט:, ורמב"ם יבום ד א). וכת' דמ"מ הרמב"ם לא הכריע היכא דיש נפק"מ בין הטעמים האלו, ועד א' במקום קטטה הוה ספק לדינא. [אבל נקט טעם זה עיקר לפרש].</w:t>
      </w:r>
    </w:p>
  </w:footnote>
  <w:footnote w:id="5399">
    <w:p w14:paraId="1D5C96FE" w14:textId="77777777" w:rsidR="006C4368" w:rsidRDefault="006C4368" w:rsidP="006C4368">
      <w:pPr>
        <w:pStyle w:val="Footnote"/>
        <w:bidi/>
      </w:pPr>
      <w:r>
        <w:rPr>
          <w:rStyle w:val="ac"/>
          <w:rtl/>
        </w:rPr>
        <w:footnoteRef/>
      </w:r>
      <w:r>
        <w:rPr>
          <w:rtl/>
        </w:rPr>
        <w:t>וצ"ע דברי הגמ' (לקמן צג:) דדנו דזימנין סניא או רחמא ולא דייק. וכ"ז אי סמכי' אהא דדיקא ומינסבא לחוד, אבל אי עיקר הטעם משום דעבידא לאיגלויי, וכי העד יודע האם תדייק או לא.</w:t>
      </w:r>
    </w:p>
  </w:footnote>
  <w:footnote w:id="5400">
    <w:p w14:paraId="04194CC5" w14:textId="77777777" w:rsidR="006C4368" w:rsidRDefault="006C4368" w:rsidP="006C4368">
      <w:pPr>
        <w:pStyle w:val="Footnote"/>
        <w:bidi/>
      </w:pPr>
      <w:r>
        <w:rPr>
          <w:rStyle w:val="ac"/>
          <w:rtl/>
        </w:rPr>
        <w:footnoteRef/>
      </w:r>
      <w:r>
        <w:rPr>
          <w:rtl/>
        </w:rPr>
        <w:t>ומש"ה לא תי' דהטעם משום מילתא דעבידא לאיגלויי, ובדוכתא אחריתי (לקמן צג: קטו. וקטז:) כת' הטעם דעבידא לאיגלויי.</w:t>
      </w:r>
    </w:p>
  </w:footnote>
  <w:footnote w:id="5401">
    <w:p w14:paraId="59A2C169" w14:textId="77777777" w:rsidR="006C4368" w:rsidRDefault="006C4368" w:rsidP="006C4368">
      <w:pPr>
        <w:pStyle w:val="Footnote"/>
        <w:bidi/>
      </w:pPr>
      <w:r>
        <w:rPr>
          <w:rStyle w:val="ac"/>
          <w:rtl/>
        </w:rPr>
        <w:footnoteRef/>
      </w:r>
      <w:r>
        <w:rPr>
          <w:rtl/>
        </w:rPr>
        <w:t>וכת' דאף דנוכל לדחוק קיים דברי הרמב"ם, אין טוב להניח דברי רבותי ולהוציא ההלכות מפשטן. ועוד דהוה ספק להלכה אי עד א' משום מילתא דעבידא לאיגלויי או משום דדייקא ומינסבא. ומשום הכי לא מהני עד א' במלחמה וביבמה [ובקטטה].</w:t>
      </w:r>
    </w:p>
  </w:footnote>
  <w:footnote w:id="5402">
    <w:p w14:paraId="53E2BA8D" w14:textId="77777777" w:rsidR="006C4368" w:rsidRDefault="006C4368" w:rsidP="006C4368">
      <w:pPr>
        <w:pStyle w:val="Footnote"/>
        <w:bidi/>
      </w:pPr>
      <w:r>
        <w:rPr>
          <w:rStyle w:val="ac"/>
          <w:rtl/>
        </w:rPr>
        <w:footnoteRef/>
      </w:r>
      <w:r>
        <w:rPr>
          <w:rtl/>
        </w:rPr>
        <w:t>דמריש לישניה ומסיפיה משמע דהוה מדרבנן, שכתב אל יקשה בעיניך שהתירו חכמים וכו' לפיכך הקילו חכמים וכו'. ואילו באמצע לישניה כתב שלא הקפידה תורה וכו', משמע איפכא דהוי מן התורה.</w:t>
      </w:r>
    </w:p>
    <w:p w14:paraId="3C1B9228" w14:textId="77777777" w:rsidR="006C4368" w:rsidRDefault="006C4368" w:rsidP="006C4368">
      <w:pPr>
        <w:pStyle w:val="Footnote"/>
        <w:bidi/>
      </w:pPr>
      <w:r>
        <w:rPr>
          <w:rtl/>
        </w:rPr>
        <w:tab/>
        <w:t>וה</w:t>
      </w:r>
      <w:r>
        <w:rPr>
          <w:b/>
          <w:bCs/>
          <w:rtl/>
        </w:rPr>
        <w:t>צפנת פענח</w:t>
      </w:r>
      <w:r>
        <w:rPr>
          <w:rtl/>
        </w:rPr>
        <w:t xml:space="preserve"> תי' דכוונת הרמב"ם דמה"ת מהני משום גילוי מלתא, ומדרבנן עשו דהוה גדר כעדות. [והביא דכ"מ ב</w:t>
      </w:r>
      <w:r>
        <w:rPr>
          <w:b/>
          <w:bCs/>
          <w:rtl/>
        </w:rPr>
        <w:t>רמב"ם</w:t>
      </w:r>
      <w:r>
        <w:rPr>
          <w:rtl/>
        </w:rPr>
        <w:t xml:space="preserve"> (עדות ה ב) דהוה עדות מדרבנן]. והביא דכן אי' בגמ' (גיטין ד.) דע"א נאמן בעדות אשה דאקילו רבנן, והיינו דיש לו תורת עדות מדרבנן.</w:t>
      </w:r>
    </w:p>
  </w:footnote>
  <w:footnote w:id="5403">
    <w:p w14:paraId="08C2E7B2" w14:textId="77777777" w:rsidR="006C4368" w:rsidRDefault="006C4368" w:rsidP="006C4368">
      <w:pPr>
        <w:pStyle w:val="Footnote"/>
        <w:bidi/>
      </w:pPr>
      <w:r>
        <w:rPr>
          <w:rStyle w:val="ac"/>
          <w:rtl/>
        </w:rPr>
        <w:footnoteRef/>
      </w:r>
      <w:r>
        <w:rPr>
          <w:rtl/>
        </w:rPr>
        <w:t>ואילו בא עד א' ולב הדיין נוקפו [ואינו מאמינו] לא יתיר את האשה. דתלי בסברא דמילתא דעבידא לאיגלויי, והוה רק אומד הדעת, ואם לבו נוקפו בטל האומד. והיתר של ע"א נמסר לבי"ד, וחכמים אמרו שבי"ד שבכל מקום יתירו עפ"י האומדנא דמילתא דעבידא לאיגלויי.</w:t>
      </w:r>
    </w:p>
  </w:footnote>
  <w:footnote w:id="5404">
    <w:p w14:paraId="383F3F01" w14:textId="77777777" w:rsidR="006C4368" w:rsidRDefault="006C4368" w:rsidP="006C4368">
      <w:pPr>
        <w:pStyle w:val="Footnote"/>
        <w:bidi/>
      </w:pPr>
      <w:r>
        <w:rPr>
          <w:rStyle w:val="ac"/>
          <w:rtl/>
        </w:rPr>
        <w:footnoteRef/>
      </w:r>
      <w:r>
        <w:rPr>
          <w:rtl/>
        </w:rPr>
        <w:t>וכ"כ ה</w:t>
      </w:r>
      <w:r>
        <w:rPr>
          <w:b/>
          <w:bCs/>
          <w:rtl/>
        </w:rPr>
        <w:t>קרי"ס</w:t>
      </w:r>
      <w:r>
        <w:rPr>
          <w:rtl/>
        </w:rPr>
        <w:t xml:space="preserve"> (גירושין ר"פ יג) דעד א' שהעיד שמת בעלה מותרת מן התורה, שהרי יש לה עד.</w:t>
      </w:r>
    </w:p>
  </w:footnote>
  <w:footnote w:id="5405">
    <w:p w14:paraId="6D60CAB3" w14:textId="77777777" w:rsidR="006C4368" w:rsidRDefault="006C4368" w:rsidP="006C4368">
      <w:pPr>
        <w:pStyle w:val="Footnote"/>
        <w:bidi/>
      </w:pPr>
      <w:r>
        <w:rPr>
          <w:rStyle w:val="ac"/>
          <w:rtl/>
        </w:rPr>
        <w:footnoteRef/>
      </w:r>
      <w:r>
        <w:rPr>
          <w:rtl/>
        </w:rPr>
        <w:t>וכדאי' בגמ' (ר"ה כב:) דעד א' נאמן להעיד [אפי' בסוף העולם] שקדשו את החודש, דכל מילתא דעבידא לאגלויי לא משקרי אינשי.</w:t>
      </w:r>
    </w:p>
  </w:footnote>
  <w:footnote w:id="5406">
    <w:p w14:paraId="354D1DDA" w14:textId="77777777" w:rsidR="006C4368" w:rsidRDefault="006C4368" w:rsidP="006C4368">
      <w:pPr>
        <w:pStyle w:val="Footnote"/>
        <w:bidi/>
      </w:pPr>
      <w:r>
        <w:rPr>
          <w:rStyle w:val="ac"/>
          <w:rtl/>
        </w:rPr>
        <w:footnoteRef/>
      </w:r>
      <w:r>
        <w:rPr>
          <w:rtl/>
        </w:rPr>
        <w:t>וה</w:t>
      </w:r>
      <w:r>
        <w:rPr>
          <w:b/>
          <w:bCs/>
          <w:rtl/>
        </w:rPr>
        <w:t>גר"א</w:t>
      </w:r>
      <w:r>
        <w:rPr>
          <w:rtl/>
        </w:rPr>
        <w:t xml:space="preserve"> (ל לו) כת' דדוקא באיסורין מהני עבידא לאיגלויי, וכדאי' (ר"ה כב:).</w:t>
      </w:r>
    </w:p>
  </w:footnote>
  <w:footnote w:id="5407">
    <w:p w14:paraId="6A7F1287" w14:textId="77777777" w:rsidR="006C4368" w:rsidRDefault="006C4368" w:rsidP="006C4368">
      <w:pPr>
        <w:pStyle w:val="Footnote"/>
        <w:bidi/>
      </w:pPr>
      <w:r>
        <w:rPr>
          <w:rStyle w:val="ac"/>
          <w:rtl/>
        </w:rPr>
        <w:footnoteRef/>
      </w:r>
      <w:r>
        <w:rPr>
          <w:rtl/>
        </w:rPr>
        <w:t>וכדאי' (לקמן קיז. וכתובות קז) דאין האחין יורדים לנחלה ע"פ, אף דשמעו שמת בע"א.</w:t>
      </w:r>
    </w:p>
    <w:p w14:paraId="27F6B92F" w14:textId="77777777" w:rsidR="006C4368" w:rsidRDefault="006C4368" w:rsidP="006C4368">
      <w:pPr>
        <w:pStyle w:val="Footnote"/>
        <w:bidi/>
      </w:pPr>
      <w:r>
        <w:rPr>
          <w:rtl/>
        </w:rPr>
        <w:tab/>
        <w:t>וה</w:t>
      </w:r>
      <w:r>
        <w:rPr>
          <w:b/>
          <w:bCs/>
          <w:rtl/>
        </w:rPr>
        <w:t>גר"א</w:t>
      </w:r>
      <w:r>
        <w:rPr>
          <w:rtl/>
        </w:rPr>
        <w:t xml:space="preserve"> (ל לו בליקוט) הביא מדלא פשט (לקמן קטו.) דע"א במיתת הבעל לא הוה משום עבידא לאיגלויי, מהא דאין יורדים לנחלה על פיו. [והגר"א העלה צד דזהו ספק הגמ' לקמן שם]. וה</w:t>
      </w:r>
      <w:r>
        <w:rPr>
          <w:b/>
          <w:bCs/>
          <w:rtl/>
        </w:rPr>
        <w:t>גר"א</w:t>
      </w:r>
      <w:r>
        <w:rPr>
          <w:rtl/>
        </w:rPr>
        <w:t xml:space="preserve"> (שם בתחילת דבריו) כת' דאף דמיבעי אי עד א' נאמן משום דעבידא לאיגלויי, משמע דפשוט דעבידא לאיגלויי, אלא דהספק האם מטעם זה התירו [וציין לתוס' לקמן צג:].</w:t>
      </w:r>
    </w:p>
  </w:footnote>
  <w:footnote w:id="5408">
    <w:p w14:paraId="3F2B0861" w14:textId="77777777" w:rsidR="006C4368" w:rsidRDefault="006C4368" w:rsidP="006C4368">
      <w:pPr>
        <w:pStyle w:val="Footnote"/>
        <w:bidi/>
      </w:pPr>
      <w:r>
        <w:rPr>
          <w:rStyle w:val="ac"/>
          <w:rtl/>
        </w:rPr>
        <w:footnoteRef/>
      </w:r>
      <w:r>
        <w:rPr>
          <w:rtl/>
        </w:rPr>
        <w:t>והביא דכ"כ ה</w:t>
      </w:r>
      <w:r>
        <w:rPr>
          <w:b/>
          <w:bCs/>
          <w:rtl/>
        </w:rPr>
        <w:t>רמב"ם</w:t>
      </w:r>
      <w:r>
        <w:rPr>
          <w:rtl/>
        </w:rPr>
        <w:t xml:space="preserve"> (עדות ה ב) דעד א' נאמן מדבריהם בעדות אשה. [ודלא כתשב"ץ בדעת הרמב"ם]. ולדעת התשב"ץ צ"ל דכוונת הרמב"ם דבסוטה ועגלה ערופה התורה האמינתו, ואילו בעדות אשה תלי במציאות, וחכמים קבעו שהוא נאמן. ועוד יש שפי' דכל שאינו מפורש בתורה קרי 'מדבריהם'. [וק"ק דאף עד דסוטה ועגלה ערופה ילפי' מדרשא].</w:t>
      </w:r>
    </w:p>
  </w:footnote>
  <w:footnote w:id="5409">
    <w:p w14:paraId="70ED55F0" w14:textId="77777777" w:rsidR="006C4368" w:rsidRDefault="006C4368" w:rsidP="006C4368">
      <w:pPr>
        <w:pStyle w:val="Footnote"/>
        <w:bidi/>
      </w:pPr>
      <w:r>
        <w:rPr>
          <w:rStyle w:val="ac"/>
          <w:rtl/>
        </w:rPr>
        <w:footnoteRef/>
      </w:r>
      <w:r>
        <w:rPr>
          <w:rtl/>
        </w:rPr>
        <w:t>וב</w:t>
      </w:r>
      <w:r>
        <w:rPr>
          <w:b/>
          <w:bCs/>
          <w:rtl/>
        </w:rPr>
        <w:t>פסיקתא זוטרתא</w:t>
      </w:r>
      <w:r>
        <w:rPr>
          <w:rtl/>
        </w:rPr>
        <w:t xml:space="preserve"> (לקח טוב, שופטים) אי' אבל קם הוא לעדות אשה להשיאה.</w:t>
      </w:r>
    </w:p>
  </w:footnote>
  <w:footnote w:id="5410">
    <w:p w14:paraId="5C06DD2F" w14:textId="77777777" w:rsidR="006C4368" w:rsidRDefault="006C4368" w:rsidP="006C4368">
      <w:pPr>
        <w:pStyle w:val="Footnote"/>
        <w:bidi/>
      </w:pPr>
      <w:r>
        <w:rPr>
          <w:rStyle w:val="ac"/>
          <w:rtl/>
        </w:rPr>
        <w:footnoteRef/>
      </w:r>
      <w:r>
        <w:rPr>
          <w:rtl/>
        </w:rPr>
        <w:t>[והנוב"י האריך לדון אי ר' יוסי בהמשך הספרי פליג]. וה</w:t>
      </w:r>
      <w:r>
        <w:rPr>
          <w:b/>
          <w:bCs/>
          <w:rtl/>
        </w:rPr>
        <w:t>פור"י</w:t>
      </w:r>
      <w:r>
        <w:rPr>
          <w:rtl/>
        </w:rPr>
        <w:t xml:space="preserve"> הביא דבגמ' (שבועות לב.) יש מ"ד דע"א קם לממון.</w:t>
      </w:r>
    </w:p>
  </w:footnote>
  <w:footnote w:id="5411">
    <w:p w14:paraId="0E603DCD" w14:textId="77777777" w:rsidR="006C4368" w:rsidRDefault="006C4368" w:rsidP="006C4368">
      <w:pPr>
        <w:pStyle w:val="Footnote"/>
        <w:bidi/>
      </w:pPr>
      <w:r>
        <w:rPr>
          <w:rStyle w:val="ac"/>
          <w:rtl/>
        </w:rPr>
        <w:footnoteRef/>
      </w:r>
      <w:r>
        <w:rPr>
          <w:rtl/>
        </w:rPr>
        <w:t>וה</w:t>
      </w:r>
      <w:r>
        <w:rPr>
          <w:b/>
          <w:bCs/>
          <w:rtl/>
        </w:rPr>
        <w:t>ריטב"א</w:t>
      </w:r>
      <w:r>
        <w:rPr>
          <w:rtl/>
        </w:rPr>
        <w:t xml:space="preserve"> הק' דהו"ל לגמ' לפרש. והגמ' (לקמן צ:) מק' מביטלו מבוטל, והו"ל להביא ממתני' דפירקין.</w:t>
      </w:r>
    </w:p>
  </w:footnote>
  <w:footnote w:id="5412">
    <w:p w14:paraId="1D2FA044" w14:textId="77777777" w:rsidR="006C4368" w:rsidRDefault="006C4368" w:rsidP="006C4368">
      <w:pPr>
        <w:pStyle w:val="Footnote"/>
        <w:bidi/>
      </w:pPr>
      <w:r>
        <w:rPr>
          <w:rStyle w:val="ac"/>
          <w:rtl/>
        </w:rPr>
        <w:footnoteRef/>
      </w:r>
      <w:r>
        <w:rPr>
          <w:rtl/>
        </w:rPr>
        <w:t>תדע דמי שתבע במים שאין להם סוף לא אפקעינהו לקידושין. וכן אשת מומר לא התירו בלא גט.</w:t>
      </w:r>
    </w:p>
  </w:footnote>
  <w:footnote w:id="5413">
    <w:p w14:paraId="47240C6C" w14:textId="77777777" w:rsidR="006C4368" w:rsidRDefault="006C4368" w:rsidP="006C4368">
      <w:pPr>
        <w:pStyle w:val="Footnote"/>
        <w:bidi/>
      </w:pPr>
      <w:r>
        <w:rPr>
          <w:rStyle w:val="ac"/>
          <w:rtl/>
        </w:rPr>
        <w:footnoteRef/>
      </w:r>
      <w:r>
        <w:rPr>
          <w:rtl/>
        </w:rPr>
        <w:t>וקצת משמע דלא הוה גדר אפקעינהו בעלמא. אלא דמגדרי אפקעינהו יש כח ביד חכמים להאמין לעד.</w:t>
      </w:r>
    </w:p>
  </w:footnote>
  <w:footnote w:id="5414">
    <w:p w14:paraId="4CFD5C28" w14:textId="77777777" w:rsidR="006C4368" w:rsidRDefault="006C4368" w:rsidP="006C4368">
      <w:pPr>
        <w:pStyle w:val="Footnote"/>
        <w:bidi/>
      </w:pPr>
      <w:r>
        <w:rPr>
          <w:rStyle w:val="ac"/>
          <w:rtl/>
        </w:rPr>
        <w:footnoteRef/>
      </w:r>
      <w:r>
        <w:rPr>
          <w:rtl/>
        </w:rPr>
        <w:t>וה</w:t>
      </w:r>
      <w:r>
        <w:rPr>
          <w:b/>
          <w:bCs/>
          <w:rtl/>
        </w:rPr>
        <w:t>חת"ס</w:t>
      </w:r>
      <w:r>
        <w:rPr>
          <w:rtl/>
        </w:rPr>
        <w:t xml:space="preserve"> (ב צז) כת' דרש"י קאי למ"ד (בכורות שם) דהקילו בעדות אשה דמהני עד מפי עד טפי מכל מקום. אבל קי"ל דמהני עד מפי עד בשאר עדות באיסורין. א"כ אינו קולא מיוחדת בעדות אשה, וי"ל דהוה משום דייקא וכדאי' בסוגיין. וכן ס"ל הש"ס בשאר מקומות.</w:t>
      </w:r>
    </w:p>
  </w:footnote>
  <w:footnote w:id="5415">
    <w:p w14:paraId="2EC54AF7" w14:textId="77777777" w:rsidR="006C4368" w:rsidRDefault="006C4368" w:rsidP="006C4368">
      <w:pPr>
        <w:pStyle w:val="Footnote"/>
        <w:bidi/>
      </w:pPr>
      <w:r>
        <w:rPr>
          <w:rStyle w:val="ac"/>
          <w:rtl/>
        </w:rPr>
        <w:footnoteRef/>
      </w:r>
      <w:r>
        <w:rPr>
          <w:rtl/>
        </w:rPr>
        <w:t xml:space="preserve">וכ"כ </w:t>
      </w:r>
      <w:r>
        <w:rPr>
          <w:b/>
          <w:bCs/>
          <w:rtl/>
        </w:rPr>
        <w:t>מהר"י ברונא</w:t>
      </w:r>
      <w:r>
        <w:rPr>
          <w:rtl/>
        </w:rPr>
        <w:t xml:space="preserve"> (נה) דבעד מפי עד ל"ש סברת דייקא ומינסבא וסברת מילתא דעבידא לאיגלויי, ומש"ה הוצרך רש"י לטעם נוסף דאפקעינהו לקידושין.</w:t>
      </w:r>
    </w:p>
  </w:footnote>
  <w:footnote w:id="5416">
    <w:p w14:paraId="61D9B6CD" w14:textId="77777777" w:rsidR="006C4368" w:rsidRDefault="006C4368" w:rsidP="006C4368">
      <w:pPr>
        <w:pStyle w:val="Footnote"/>
        <w:bidi/>
      </w:pPr>
      <w:r>
        <w:rPr>
          <w:rStyle w:val="ac"/>
          <w:rtl/>
        </w:rPr>
        <w:footnoteRef/>
      </w:r>
      <w:r>
        <w:rPr>
          <w:rtl/>
        </w:rPr>
        <w:t>ובגמ' (בע"ב) אי' דהא דצריכה גט משני הוה משום גזירה או קנס בעלמא. ולא אמרי' דהפקיעו קידושי ראשון, וצריכה גט משני מדינא. וכן (לקמן פט:) מבואר דהולד מהשני הוה ממזר דאורייתא, ומראשון הוה ממזר דרבנן.</w:t>
      </w:r>
    </w:p>
  </w:footnote>
  <w:footnote w:id="5417">
    <w:p w14:paraId="7846C4D7" w14:textId="77777777" w:rsidR="006C4368" w:rsidRDefault="006C4368" w:rsidP="006C4368">
      <w:pPr>
        <w:pStyle w:val="Footnote"/>
        <w:bidi/>
      </w:pPr>
      <w:r>
        <w:rPr>
          <w:rStyle w:val="ac"/>
          <w:rtl/>
        </w:rPr>
        <w:footnoteRef/>
      </w:r>
      <w:r>
        <w:rPr>
          <w:rtl/>
        </w:rPr>
        <w:t>וכ"כ ב</w:t>
      </w:r>
      <w:r>
        <w:rPr>
          <w:b/>
          <w:bCs/>
          <w:rtl/>
        </w:rPr>
        <w:t>שו"ת הרשב"א</w:t>
      </w:r>
      <w:r>
        <w:rPr>
          <w:rtl/>
        </w:rPr>
        <w:t xml:space="preserve"> (הנ"ל) ביאר דכי לא דייקא אמרינן תצא מזה ומזה, ולא אפקעינהו לקידושין.</w:t>
      </w:r>
    </w:p>
    <w:p w14:paraId="4DFA5B4C" w14:textId="77777777" w:rsidR="006C4368" w:rsidRDefault="006C4368" w:rsidP="006C4368">
      <w:pPr>
        <w:pStyle w:val="Footnote"/>
        <w:bidi/>
      </w:pPr>
      <w:r>
        <w:rPr>
          <w:rtl/>
        </w:rPr>
        <w:tab/>
        <w:t>וה</w:t>
      </w:r>
      <w:r>
        <w:rPr>
          <w:b/>
          <w:bCs/>
          <w:rtl/>
        </w:rPr>
        <w:t>שבות יעקב</w:t>
      </w:r>
      <w:r>
        <w:rPr>
          <w:rtl/>
        </w:rPr>
        <w:t xml:space="preserve"> (ב קטז, והו' במגיה לאבנ"מ ק א) כת' דהיכא דנתברר שלא דייקא קנסוה, ולא הפקיעו לקידושין. וע"ע בית מאיר (יז ג).</w:t>
      </w:r>
    </w:p>
  </w:footnote>
  <w:footnote w:id="5418">
    <w:p w14:paraId="188D61BB" w14:textId="77777777" w:rsidR="006C4368" w:rsidRDefault="006C4368" w:rsidP="006C4368">
      <w:pPr>
        <w:pStyle w:val="Footnote"/>
        <w:bidi/>
      </w:pPr>
      <w:r>
        <w:rPr>
          <w:rStyle w:val="ac"/>
          <w:rtl/>
        </w:rPr>
        <w:footnoteRef/>
      </w:r>
      <w:r>
        <w:rPr>
          <w:rtl/>
        </w:rPr>
        <w:t>וב</w:t>
      </w:r>
      <w:r>
        <w:rPr>
          <w:b/>
          <w:bCs/>
          <w:rtl/>
        </w:rPr>
        <w:t>חי' ר' מאיר שמחה</w:t>
      </w:r>
      <w:r>
        <w:rPr>
          <w:rtl/>
        </w:rPr>
        <w:t xml:space="preserve"> ביאר (ע"פ דברי הרשב"א הנ"ל) דלא מצאנו בכל הש"ס דהתירו אשת איש ע"י הפקעת קידושין, דאם כן יקלקלו חכמים יותר מהתיקון, דיאמרו אשת איש יוצאה בלא גט. [והיכא דביטל גט שלא בפניו, דחכמים הפקיעו את הקידושין, אבל השליח צריך לתת את הגט לאשה כצורת גט כשר. וכן בשאר מקומות.</w:t>
      </w:r>
    </w:p>
    <w:p w14:paraId="02EB04BA" w14:textId="77777777" w:rsidR="006C4368" w:rsidRDefault="006C4368" w:rsidP="006C4368">
      <w:pPr>
        <w:pStyle w:val="Footnote"/>
        <w:bidi/>
      </w:pPr>
      <w:r>
        <w:rPr>
          <w:rtl/>
        </w:rPr>
        <w:tab/>
        <w:t>ובסוגיין חששו לתקנת עגונות והתירו אותה [ע"י אפקעינהו], ע"פ העדות שמת הבעל. אבל היכא דאח"כ הבעל בא לפנינו לא התירו, דא"כ נמצא אשת איש יוצאת בלא גט.</w:t>
      </w:r>
    </w:p>
  </w:footnote>
  <w:footnote w:id="5419">
    <w:p w14:paraId="0D20F31E" w14:textId="77777777" w:rsidR="006C4368" w:rsidRDefault="006C4368" w:rsidP="006C4368">
      <w:pPr>
        <w:pStyle w:val="Footnote"/>
        <w:bidi/>
      </w:pPr>
      <w:r>
        <w:rPr>
          <w:rStyle w:val="ac"/>
          <w:rtl/>
        </w:rPr>
        <w:footnoteRef/>
      </w:r>
      <w:r>
        <w:rPr>
          <w:rtl/>
        </w:rPr>
        <w:t>וכן האריך ה</w:t>
      </w:r>
      <w:r>
        <w:rPr>
          <w:b/>
          <w:bCs/>
          <w:rtl/>
        </w:rPr>
        <w:t>עונג יו"ט</w:t>
      </w:r>
      <w:r>
        <w:rPr>
          <w:rtl/>
        </w:rPr>
        <w:t xml:space="preserve"> (קלא). וכ"כ ה</w:t>
      </w:r>
      <w:r>
        <w:rPr>
          <w:b/>
          <w:bCs/>
          <w:rtl/>
        </w:rPr>
        <w:t>שואל</w:t>
      </w:r>
      <w:r>
        <w:rPr>
          <w:rtl/>
        </w:rPr>
        <w:t xml:space="preserve"> [הרב מרדכי בער] בשו"ת נוב"י (חו"מ ת' סב) וביאר דהפקיעו הקידושין למפרע רק אם הבעל הוא חי, ולא יבוא לידי בירור שהוא חי. [דאם באמת כבר מת אי"צ אפקעינהו]. אבל אם יבא הבעל או שיתברר ע"י עדים שהוא חי אז לא הפקיעו הקידושין.</w:t>
      </w:r>
    </w:p>
  </w:footnote>
  <w:footnote w:id="5420">
    <w:p w14:paraId="441B8B6F" w14:textId="77777777" w:rsidR="006C4368" w:rsidRDefault="006C4368" w:rsidP="006C4368">
      <w:pPr>
        <w:pStyle w:val="Footnote"/>
        <w:bidi/>
      </w:pPr>
      <w:r>
        <w:rPr>
          <w:rStyle w:val="ac"/>
          <w:rtl/>
        </w:rPr>
        <w:footnoteRef/>
      </w:r>
      <w:r>
        <w:rPr>
          <w:rtl/>
        </w:rPr>
        <w:t>וכ"כ ה</w:t>
      </w:r>
      <w:r>
        <w:rPr>
          <w:b/>
          <w:bCs/>
          <w:rtl/>
        </w:rPr>
        <w:t>הפלאה</w:t>
      </w:r>
      <w:r>
        <w:rPr>
          <w:rtl/>
        </w:rPr>
        <w:t xml:space="preserve"> (נתיבות לשבת יז ג) דכיון דאפקעינהו ליכא חזקה איסור.</w:t>
      </w:r>
    </w:p>
  </w:footnote>
  <w:footnote w:id="5421">
    <w:p w14:paraId="6FC1015F" w14:textId="77777777" w:rsidR="006C4368" w:rsidRDefault="006C4368" w:rsidP="006C4368">
      <w:pPr>
        <w:pStyle w:val="Footnote"/>
        <w:bidi/>
      </w:pPr>
      <w:r>
        <w:rPr>
          <w:rStyle w:val="ac"/>
          <w:rtl/>
        </w:rPr>
        <w:footnoteRef/>
      </w:r>
      <w:r>
        <w:rPr>
          <w:rtl/>
        </w:rPr>
        <w:t>לצד (הו' לעיל) דעד א' נאמן בדבר שבערוה היכא דלא איתחזק.</w:t>
      </w:r>
    </w:p>
  </w:footnote>
  <w:footnote w:id="5422">
    <w:p w14:paraId="5A5E852F" w14:textId="77777777" w:rsidR="006C4368" w:rsidRDefault="006C4368" w:rsidP="006C4368">
      <w:pPr>
        <w:pStyle w:val="Footnote"/>
        <w:bidi/>
      </w:pPr>
      <w:r>
        <w:rPr>
          <w:rStyle w:val="ac"/>
          <w:rtl/>
        </w:rPr>
        <w:footnoteRef/>
      </w:r>
      <w:r>
        <w:rPr>
          <w:rtl/>
        </w:rPr>
        <w:t>וצ"ל דכיון דמסתמא מת, אמרי' דמסתמא לא יבא. ולא אמרי' [דממ"נ] על הצד שהוא חי יש לחוש שיבא.</w:t>
      </w:r>
    </w:p>
  </w:footnote>
  <w:footnote w:id="5423">
    <w:p w14:paraId="772836A9" w14:textId="77777777" w:rsidR="006C4368" w:rsidRDefault="006C4368" w:rsidP="006C4368">
      <w:pPr>
        <w:pStyle w:val="Footnote"/>
        <w:bidi/>
      </w:pPr>
      <w:r>
        <w:rPr>
          <w:rStyle w:val="ac"/>
          <w:rtl/>
        </w:rPr>
        <w:footnoteRef/>
      </w:r>
      <w:r>
        <w:rPr>
          <w:rtl/>
        </w:rPr>
        <w:t>דאילו העיד לאשה, אף שלא העיד לבי"ד לא נחשב שכובש עדותו. שהרי יכולה לינשא ע"פ מה ששמעה ממנו.</w:t>
      </w:r>
    </w:p>
  </w:footnote>
  <w:footnote w:id="5424">
    <w:p w14:paraId="5CC5E263" w14:textId="77777777" w:rsidR="006C4368" w:rsidRDefault="006C4368" w:rsidP="006C4368">
      <w:pPr>
        <w:pStyle w:val="Footnote"/>
        <w:bidi/>
      </w:pPr>
      <w:r>
        <w:rPr>
          <w:rStyle w:val="ac"/>
          <w:rtl/>
        </w:rPr>
        <w:footnoteRef/>
      </w:r>
      <w:r>
        <w:rPr>
          <w:rtl/>
        </w:rPr>
        <w:t>ו</w:t>
      </w:r>
      <w:r>
        <w:rPr>
          <w:b/>
          <w:bCs/>
          <w:rtl/>
        </w:rPr>
        <w:t>תוס</w:t>
      </w:r>
      <w:r>
        <w:rPr>
          <w:rtl/>
        </w:rPr>
        <w:t>' הק' דהתם מבואר להיפך, דעד שכשר מדאורייתא ופסול מדרבנן יש שבועת העדות, כיון דמדאורייתא הוה עד. ותוס' תי' דאינו סותר, דהתם מדאורייתא מיהא מהני עדותו.</w:t>
      </w:r>
    </w:p>
  </w:footnote>
  <w:footnote w:id="5425">
    <w:p w14:paraId="2E8AC682" w14:textId="77777777" w:rsidR="006C4368" w:rsidRDefault="006C4368" w:rsidP="006C4368">
      <w:pPr>
        <w:pStyle w:val="Footnote"/>
        <w:bidi/>
      </w:pPr>
      <w:r>
        <w:rPr>
          <w:rStyle w:val="ac"/>
          <w:rtl/>
        </w:rPr>
        <w:footnoteRef/>
      </w:r>
      <w:r>
        <w:rPr>
          <w:rtl/>
        </w:rPr>
        <w:t>וצ"ב דכיון דל"מ העדות מדאורייתא, א"כ דומה כאילו חכמים אמרו שאם יעשה מעשה זו, יתקנו שיתנו לו ממון. וכי שייך בזה גדרי שבועת העדות.</w:t>
      </w:r>
    </w:p>
    <w:p w14:paraId="1CEE3B33" w14:textId="77777777" w:rsidR="006C4368" w:rsidRDefault="006C4368" w:rsidP="006C4368">
      <w:pPr>
        <w:pStyle w:val="Footnote"/>
        <w:bidi/>
      </w:pPr>
      <w:r>
        <w:rPr>
          <w:rtl/>
        </w:rPr>
        <w:tab/>
        <w:t>[ואי נימא דעיקר העדות והנאמנות מדאורייתא לענין גדרי האיסור, אלא דל"מ בדבר שבערוה. וחכמים תקנו דאילו יתברר כן [בגדרי האיסור] מותרת לינשא, א"כ הוה בגדרי עדות מדאורייתא, וסוף סוף יש לו ממון בזה. אף דהוה מצד אחר. אבל בדברי התוס' (שם) משמע דרבנן אכשרוהו לעד, ועי"ז הוה 'עד' לענין שבועת העדות. ואפשר דגדר יש כח ביד חכמים, שקבעו שעד א' יחשב 'עד'].</w:t>
      </w:r>
    </w:p>
  </w:footnote>
  <w:footnote w:id="5426">
    <w:p w14:paraId="7A61E26C" w14:textId="77777777" w:rsidR="006C4368" w:rsidRDefault="006C4368" w:rsidP="006C4368">
      <w:pPr>
        <w:pStyle w:val="Footnote"/>
        <w:bidi/>
      </w:pPr>
      <w:r>
        <w:rPr>
          <w:rStyle w:val="ac"/>
          <w:rtl/>
        </w:rPr>
        <w:footnoteRef/>
      </w:r>
      <w:r>
        <w:rPr>
          <w:rtl/>
        </w:rPr>
        <w:t>ועד"ז הק' בעד א' בסוטה, דנאמן אף מדאורייתא. ואף אשה ועבד ושאר פסולים כשרים לזה.</w:t>
      </w:r>
    </w:p>
  </w:footnote>
  <w:footnote w:id="5427">
    <w:p w14:paraId="183853B4" w14:textId="77777777" w:rsidR="006C4368" w:rsidRDefault="006C4368" w:rsidP="006C4368">
      <w:pPr>
        <w:pStyle w:val="Footnote"/>
        <w:bidi/>
      </w:pPr>
      <w:r>
        <w:rPr>
          <w:rStyle w:val="ac"/>
          <w:rtl/>
        </w:rPr>
        <w:footnoteRef/>
      </w:r>
      <w:r>
        <w:rPr>
          <w:rtl/>
        </w:rPr>
        <w:t>דדוקא עד א' כשר, כיון דבעלמא הוי בר הגדה, ואף הכא מצטרף עם אחר לעדות.</w:t>
      </w:r>
    </w:p>
  </w:footnote>
  <w:footnote w:id="5428">
    <w:p w14:paraId="43EFEDA4" w14:textId="77777777" w:rsidR="006C4368" w:rsidRDefault="006C4368" w:rsidP="006C4368">
      <w:pPr>
        <w:pStyle w:val="Footnote"/>
        <w:bidi/>
      </w:pPr>
      <w:r>
        <w:rPr>
          <w:rStyle w:val="ac"/>
          <w:rtl/>
        </w:rPr>
        <w:footnoteRef/>
      </w:r>
      <w:r>
        <w:rPr>
          <w:rtl/>
        </w:rPr>
        <w:t>וכת' דהכי דייקא המשנה (שבועות ל. הנ"ל) דאינה נוהגת אלא בראויין להעיד. [דהוה תנאי נוסף שיהא ראוי להעיד, מלבד הא דבעינן שיהא הפסד בכבישת עדותם]. [ועד"ז כת' ה</w:t>
      </w:r>
      <w:r>
        <w:rPr>
          <w:b/>
          <w:bCs/>
          <w:rtl/>
        </w:rPr>
        <w:t>תוי"ט</w:t>
      </w:r>
      <w:r>
        <w:rPr>
          <w:rtl/>
        </w:rPr>
        <w:t xml:space="preserve"> (הוריות ב ה) גבי מלך].</w:t>
      </w:r>
    </w:p>
    <w:p w14:paraId="667C90D5" w14:textId="77777777" w:rsidR="006C4368" w:rsidRDefault="006C4368" w:rsidP="006C4368">
      <w:pPr>
        <w:pStyle w:val="Footnote"/>
        <w:bidi/>
      </w:pPr>
      <w:r>
        <w:rPr>
          <w:rtl/>
        </w:rPr>
        <w:tab/>
        <w:t>ומשמע דכוונתו דלא נתחדש פרשת שבועת העדות אלא במי שראוי לרוב עדויות. אבל אשה וגזלן וכדו' אינם בכלל הפרשה, אף דמשכח"ל עדות זו דראויין לה. אך יש שנקטו כוונתו דהגדר דאין עליו שם 'עד'. [דעד כשר נחשב 'עד', אבל כשהכשירו אשה ופסולים לא נתנו עליהם גדר עד. וכמ"ש הש"ש, הו' בסמוך].</w:t>
      </w:r>
    </w:p>
  </w:footnote>
  <w:footnote w:id="5429">
    <w:p w14:paraId="53CD1691" w14:textId="77777777" w:rsidR="006C4368" w:rsidRDefault="006C4368" w:rsidP="006C4368">
      <w:pPr>
        <w:pStyle w:val="Footnote"/>
        <w:bidi/>
      </w:pPr>
      <w:r>
        <w:rPr>
          <w:rStyle w:val="ac"/>
          <w:rtl/>
        </w:rPr>
        <w:footnoteRef/>
      </w:r>
      <w:r>
        <w:rPr>
          <w:rtl/>
        </w:rPr>
        <w:t>ודלא כתוס' (שבועות הנ"ל).</w:t>
      </w:r>
    </w:p>
  </w:footnote>
  <w:footnote w:id="5430">
    <w:p w14:paraId="7DE794AF" w14:textId="77777777" w:rsidR="006C4368" w:rsidRDefault="006C4368" w:rsidP="006C4368">
      <w:pPr>
        <w:pStyle w:val="Footnote"/>
        <w:bidi/>
      </w:pPr>
      <w:r>
        <w:rPr>
          <w:rStyle w:val="ac"/>
          <w:rtl/>
        </w:rPr>
        <w:footnoteRef/>
      </w:r>
      <w:r>
        <w:rPr>
          <w:rtl/>
        </w:rPr>
        <w:t xml:space="preserve">וכ"כ </w:t>
      </w:r>
      <w:r>
        <w:rPr>
          <w:b/>
          <w:bCs/>
          <w:rtl/>
        </w:rPr>
        <w:t>רע"א</w:t>
      </w:r>
      <w:r>
        <w:rPr>
          <w:rtl/>
        </w:rPr>
        <w:t xml:space="preserve"> (קעט) דענין שבועת העדות הוה דוקא עד כשר, דיש ע"ז שם עדות. אבל בקרוב או פסול דאין עליו שם עדות, אלא דבסוטה האמינתו תורה משום רגלים לדבר וניכר שהאמת כן, בזה ליכא קרבן שבועה.</w:t>
      </w:r>
    </w:p>
  </w:footnote>
  <w:footnote w:id="5431">
    <w:p w14:paraId="383FFFE0" w14:textId="77777777" w:rsidR="006C4368" w:rsidRDefault="006C4368" w:rsidP="006C4368">
      <w:pPr>
        <w:pStyle w:val="Footnote"/>
        <w:bidi/>
      </w:pPr>
      <w:r>
        <w:rPr>
          <w:rStyle w:val="ac"/>
          <w:rtl/>
        </w:rPr>
        <w:footnoteRef/>
      </w:r>
      <w:r>
        <w:rPr>
          <w:rtl/>
        </w:rPr>
        <w:t>וה</w:t>
      </w:r>
      <w:r>
        <w:rPr>
          <w:b/>
          <w:bCs/>
          <w:rtl/>
        </w:rPr>
        <w:t>ריטב"א</w:t>
      </w:r>
      <w:r>
        <w:rPr>
          <w:rtl/>
        </w:rPr>
        <w:t xml:space="preserve"> ביאר דהקילו בזה לחשבו פרסום, ולדונו כעדות ברור כל זמן שלא באו עליו עדי הכחשה.</w:t>
      </w:r>
    </w:p>
  </w:footnote>
  <w:footnote w:id="5432">
    <w:p w14:paraId="0A48096C" w14:textId="77777777" w:rsidR="006C4368" w:rsidRDefault="006C4368" w:rsidP="006C4368">
      <w:pPr>
        <w:pStyle w:val="Footnote"/>
        <w:bidi/>
      </w:pPr>
      <w:r>
        <w:rPr>
          <w:rStyle w:val="ac"/>
          <w:rtl/>
        </w:rPr>
        <w:footnoteRef/>
      </w:r>
      <w:r>
        <w:rPr>
          <w:rtl/>
        </w:rPr>
        <w:t>וה</w:t>
      </w:r>
      <w:r>
        <w:rPr>
          <w:b/>
          <w:bCs/>
          <w:rtl/>
        </w:rPr>
        <w:t>חזו"א</w:t>
      </w:r>
      <w:r>
        <w:rPr>
          <w:rtl/>
        </w:rPr>
        <w:t xml:space="preserve"> (כ ט) הביא עוד מ</w:t>
      </w:r>
      <w:r>
        <w:rPr>
          <w:b/>
          <w:bCs/>
          <w:rtl/>
        </w:rPr>
        <w:t>תוס'</w:t>
      </w:r>
      <w:r>
        <w:rPr>
          <w:rtl/>
        </w:rPr>
        <w:t xml:space="preserve"> (לקמן צג: סוד"ה עד) דאף יבמה דייקא [אף דאם תתייבם ליכא חומר בסופה], משום שמא יחלוץ ותהא מותרת לשוק.</w:t>
      </w:r>
    </w:p>
  </w:footnote>
  <w:footnote w:id="5433">
    <w:p w14:paraId="089E2DEF" w14:textId="77777777" w:rsidR="006C4368" w:rsidRDefault="006C4368" w:rsidP="006C4368">
      <w:pPr>
        <w:pStyle w:val="Footnote"/>
        <w:bidi/>
      </w:pPr>
      <w:r>
        <w:rPr>
          <w:rStyle w:val="ac"/>
          <w:rtl/>
        </w:rPr>
        <w:footnoteRef/>
      </w:r>
      <w:r>
        <w:rPr>
          <w:rtl/>
        </w:rPr>
        <w:t xml:space="preserve">וכן </w:t>
      </w:r>
      <w:r>
        <w:rPr>
          <w:b/>
          <w:bCs/>
          <w:rtl/>
        </w:rPr>
        <w:t>רע"א</w:t>
      </w:r>
      <w:r>
        <w:rPr>
          <w:rtl/>
        </w:rPr>
        <w:t xml:space="preserve"> (ק' קכה, פח: בסופו) הסכים לדבריו דההיתר נגמר מיד, כיון דמסתמא תידוק לא משקר העד.</w:t>
      </w:r>
    </w:p>
    <w:p w14:paraId="3754D80E" w14:textId="77777777" w:rsidR="006C4368" w:rsidRDefault="006C4368" w:rsidP="006C4368">
      <w:pPr>
        <w:pStyle w:val="Footnote"/>
        <w:bidi/>
      </w:pPr>
      <w:r>
        <w:rPr>
          <w:rtl/>
        </w:rPr>
        <w:tab/>
        <w:t>ולפ"ז עיקר ההיתר ע"פ העד. וה</w:t>
      </w:r>
      <w:r>
        <w:rPr>
          <w:b/>
          <w:bCs/>
          <w:rtl/>
        </w:rPr>
        <w:t>חזו"א</w:t>
      </w:r>
      <w:r>
        <w:rPr>
          <w:rtl/>
        </w:rPr>
        <w:t xml:space="preserve"> (שם) הק' דהיכא דהעד מסיח לפי תומו מאי איכא למימר. ועוה"ק דבגמ' (לעיל כה.) אי' דלאו עליה [על העד] סמכינן, דאשה דייקא ומינסבא.</w:t>
      </w:r>
    </w:p>
  </w:footnote>
  <w:footnote w:id="5434">
    <w:p w14:paraId="4CF16DB2" w14:textId="77777777" w:rsidR="006C4368" w:rsidRDefault="006C4368" w:rsidP="006C4368">
      <w:pPr>
        <w:pStyle w:val="Footnote"/>
        <w:bidi/>
      </w:pPr>
      <w:r>
        <w:rPr>
          <w:rStyle w:val="ac"/>
          <w:rtl/>
        </w:rPr>
        <w:footnoteRef/>
      </w:r>
      <w:r>
        <w:rPr>
          <w:rtl/>
        </w:rPr>
        <w:t>ומדקדקת ומעלה כל המאורעות שיוכלו לקלקלה בהשענה על שקר.</w:t>
      </w:r>
    </w:p>
  </w:footnote>
  <w:footnote w:id="5435">
    <w:p w14:paraId="650A32FC" w14:textId="77777777" w:rsidR="006C4368" w:rsidRDefault="006C4368" w:rsidP="006C4368">
      <w:pPr>
        <w:pStyle w:val="Footnote"/>
        <w:bidi/>
      </w:pPr>
      <w:r>
        <w:rPr>
          <w:rStyle w:val="ac"/>
          <w:rtl/>
        </w:rPr>
        <w:footnoteRef/>
      </w:r>
      <w:r>
        <w:rPr>
          <w:rtl/>
        </w:rPr>
        <w:t>ולפ"ז לכאורה ההיתר חל לאחר זמן קצר אחר עדות העד. [דודאי צריך איזה פרק זמן עד שתברר ויתיישב הדבר אצלה. ולא נתפרש השיעור בזה].</w:t>
      </w:r>
    </w:p>
  </w:footnote>
  <w:footnote w:id="5436">
    <w:p w14:paraId="5352C7E9" w14:textId="77777777" w:rsidR="006C4368" w:rsidRDefault="006C4368" w:rsidP="006C4368">
      <w:pPr>
        <w:pStyle w:val="Footnote"/>
        <w:bidi/>
      </w:pPr>
      <w:r>
        <w:rPr>
          <w:rStyle w:val="ac"/>
          <w:rtl/>
        </w:rPr>
        <w:footnoteRef/>
      </w:r>
      <w:r>
        <w:rPr>
          <w:rtl/>
        </w:rPr>
        <w:t xml:space="preserve">אך </w:t>
      </w:r>
      <w:r>
        <w:rPr>
          <w:b/>
          <w:bCs/>
          <w:rtl/>
        </w:rPr>
        <w:t>רע"א</w:t>
      </w:r>
      <w:r>
        <w:rPr>
          <w:rtl/>
        </w:rPr>
        <w:t xml:space="preserve"> הוכיח דבאופן שנשאת אח"כ לאחר אמרי' דדייקא, דיש חומר בסופה שתאסר אבעל זה. [ואף שכבר אסורה לראשון]. וע"ע חזו"א (כ ט).</w:t>
      </w:r>
    </w:p>
  </w:footnote>
  <w:footnote w:id="5437">
    <w:p w14:paraId="29CC11BC" w14:textId="77777777" w:rsidR="006C4368" w:rsidRDefault="006C4368" w:rsidP="006C4368">
      <w:pPr>
        <w:pStyle w:val="Footnote"/>
        <w:bidi/>
      </w:pPr>
      <w:r>
        <w:rPr>
          <w:rStyle w:val="ac"/>
          <w:rtl/>
        </w:rPr>
        <w:footnoteRef/>
      </w:r>
      <w:r>
        <w:rPr>
          <w:rtl/>
        </w:rPr>
        <w:t>ולפ"ז כשבאו ב' עדים, וא' פסול והאשה אינה יודעת בפסולו ל"מ. וצ"ע.</w:t>
      </w:r>
    </w:p>
  </w:footnote>
  <w:footnote w:id="5438">
    <w:p w14:paraId="14D115D8" w14:textId="77777777" w:rsidR="006C4368" w:rsidRDefault="006C4368" w:rsidP="006C4368">
      <w:pPr>
        <w:pStyle w:val="Footnote"/>
        <w:bidi/>
      </w:pPr>
      <w:r>
        <w:rPr>
          <w:rStyle w:val="ac"/>
          <w:rtl/>
        </w:rPr>
        <w:footnoteRef/>
      </w:r>
      <w:r>
        <w:rPr>
          <w:rtl/>
        </w:rPr>
        <w:t xml:space="preserve">וכ"כ </w:t>
      </w:r>
      <w:r>
        <w:rPr>
          <w:b/>
          <w:bCs/>
          <w:rtl/>
        </w:rPr>
        <w:t>תוס'</w:t>
      </w:r>
      <w:r>
        <w:rPr>
          <w:rtl/>
        </w:rPr>
        <w:t xml:space="preserve"> (ע"ז יג.) דיש כח בידם לעקור היכא דנראה טעם קצת, כדמוכח בסוגיין גבי משיאין האשה על פי עד א'.</w:t>
      </w:r>
    </w:p>
  </w:footnote>
  <w:footnote w:id="5439">
    <w:p w14:paraId="343FA9F4" w14:textId="77777777" w:rsidR="006C4368" w:rsidRDefault="006C4368" w:rsidP="006C4368">
      <w:pPr>
        <w:pStyle w:val="Footnote"/>
        <w:bidi/>
      </w:pPr>
      <w:r>
        <w:rPr>
          <w:rStyle w:val="ac"/>
          <w:rtl/>
        </w:rPr>
        <w:footnoteRef/>
      </w:r>
      <w:r>
        <w:rPr>
          <w:rtl/>
        </w:rPr>
        <w:t>אלמא ודאי במקום שיש פנים וטעם יש כח לעקור, ודייקא ומינסבא מתוך חומר שהחמרת.</w:t>
      </w:r>
    </w:p>
  </w:footnote>
  <w:footnote w:id="5440">
    <w:p w14:paraId="0967CF1C" w14:textId="77777777" w:rsidR="006C4368" w:rsidRDefault="006C4368" w:rsidP="006C4368">
      <w:pPr>
        <w:pStyle w:val="Footnote"/>
        <w:bidi/>
      </w:pPr>
      <w:r>
        <w:rPr>
          <w:rStyle w:val="ac"/>
          <w:rtl/>
        </w:rPr>
        <w:footnoteRef/>
      </w:r>
      <w:r>
        <w:rPr>
          <w:rtl/>
        </w:rPr>
        <w:t>אמש"כ ה</w:t>
      </w:r>
      <w:r>
        <w:rPr>
          <w:b/>
          <w:bCs/>
          <w:rtl/>
        </w:rPr>
        <w:t>רמב"ם</w:t>
      </w:r>
      <w:r>
        <w:rPr>
          <w:rtl/>
        </w:rPr>
        <w:t xml:space="preserve"> דהנודר לצום, ונמצא חנוכה ופורים, ידחה נדרו מפני הימים האלו, הואיל ואיסור הצום בהם מדברי סופרים הרי הן צריכין חזוק. וידחה נדרו מפני גזירת חכמים. [ואכמ"ל].</w:t>
      </w:r>
    </w:p>
    <w:p w14:paraId="6E811400" w14:textId="77777777" w:rsidR="006C4368" w:rsidRDefault="006C4368" w:rsidP="006C4368">
      <w:pPr>
        <w:pStyle w:val="Footnote"/>
        <w:bidi/>
      </w:pPr>
      <w:r>
        <w:rPr>
          <w:rtl/>
        </w:rPr>
        <w:tab/>
        <w:t>והכס"מ כת' דאע"ג דאסיקנא (לקמן צ:) דאין כח ביד חכמים לעקור דבר מה"ת בקום ועשה,</w:t>
      </w:r>
    </w:p>
  </w:footnote>
  <w:footnote w:id="5441">
    <w:p w14:paraId="68E931FE" w14:textId="77777777" w:rsidR="006C4368" w:rsidRDefault="006C4368" w:rsidP="006C4368">
      <w:pPr>
        <w:pStyle w:val="Footnote"/>
        <w:bidi/>
      </w:pPr>
      <w:r>
        <w:rPr>
          <w:rStyle w:val="ac"/>
          <w:rtl/>
        </w:rPr>
        <w:footnoteRef/>
      </w:r>
      <w:r>
        <w:rPr>
          <w:rtl/>
        </w:rPr>
        <w:t>י"ל דהא אמרינן התם דבמיגדר מילתא מצו עקרי מידי דאורייתא, אפילו בקום עשה. וכל חיזוק בדברי חכמים נחשב מיגדר מילתא, שאם היו מזלזלים באחד מדבריהם אתו לזלזולי בכלהו. ועוד תי' ע"פ תוס' בנזיר דבמקום שיש פנים וטעם בדבר ודאי לכ"ע יש כח לעקור.</w:t>
      </w:r>
    </w:p>
  </w:footnote>
  <w:footnote w:id="5442">
    <w:p w14:paraId="552FCFFD" w14:textId="77777777" w:rsidR="006C4368" w:rsidRDefault="006C4368" w:rsidP="006C4368">
      <w:pPr>
        <w:pStyle w:val="Footnote"/>
        <w:bidi/>
      </w:pPr>
      <w:r>
        <w:rPr>
          <w:rStyle w:val="ac"/>
          <w:rtl/>
        </w:rPr>
        <w:footnoteRef/>
      </w:r>
      <w:r>
        <w:rPr>
          <w:rtl/>
        </w:rPr>
        <w:t>וכ"מ מדברי הכס"מ הנ"ל דחיזוק דברי סופרים נחשב פנים וטעם בדבר.</w:t>
      </w:r>
    </w:p>
  </w:footnote>
  <w:footnote w:id="5443">
    <w:p w14:paraId="264AFA46" w14:textId="77777777" w:rsidR="006C4368" w:rsidRDefault="006C4368" w:rsidP="006C4368">
      <w:pPr>
        <w:pStyle w:val="Footnote"/>
        <w:bidi/>
      </w:pPr>
      <w:r>
        <w:rPr>
          <w:rStyle w:val="ac"/>
          <w:rtl/>
        </w:rPr>
        <w:footnoteRef/>
      </w:r>
      <w:r>
        <w:rPr>
          <w:rtl/>
        </w:rPr>
        <w:t>וצ"ב דאי ליכא סיבה וטעם לתקן, אמאי יתקנו [וצל"ד בכל הנך בסוגיין לקמן אי יש טעם לתקנתם]. ודוחק לחלק דגדרי 'לא פלוג' חשיב סיבה חשובה טפי מכל הנך דאין כח לחכמים לתקן.</w:t>
      </w:r>
    </w:p>
  </w:footnote>
  <w:footnote w:id="5444">
    <w:p w14:paraId="25700F58" w14:textId="77777777" w:rsidR="006C4368" w:rsidRDefault="006C4368" w:rsidP="006C4368">
      <w:pPr>
        <w:pStyle w:val="Footnote"/>
        <w:bidi/>
      </w:pPr>
      <w:r>
        <w:rPr>
          <w:rStyle w:val="ac"/>
          <w:rtl/>
        </w:rPr>
        <w:footnoteRef/>
      </w:r>
      <w:r>
        <w:rPr>
          <w:rtl/>
        </w:rPr>
        <w:t>ועפ"ז כת' דכל הספיקות בנאמנות העד, דיש ספק בתקנתם אי הוה בכלל הנאמנות, הוה ספיקא דאוריי'.</w:t>
      </w:r>
    </w:p>
  </w:footnote>
  <w:footnote w:id="5445">
    <w:p w14:paraId="57097A7C" w14:textId="77777777" w:rsidR="006C4368" w:rsidRDefault="006C4368" w:rsidP="006C4368">
      <w:pPr>
        <w:pStyle w:val="Footnote"/>
        <w:bidi/>
      </w:pPr>
      <w:r>
        <w:rPr>
          <w:rStyle w:val="ac"/>
          <w:rtl/>
        </w:rPr>
        <w:footnoteRef/>
      </w:r>
      <w:r>
        <w:rPr>
          <w:rtl/>
        </w:rPr>
        <w:t>וה</w:t>
      </w:r>
      <w:r>
        <w:rPr>
          <w:b/>
          <w:bCs/>
          <w:rtl/>
        </w:rPr>
        <w:t>מהרצ"ח</w:t>
      </w:r>
      <w:r>
        <w:rPr>
          <w:rtl/>
        </w:rPr>
        <w:t xml:space="preserve"> (ב"ק שם) ביאר דהוה כמו עדים שהעידו על עץ שהוא אבן, דאין בזה גדר עדות.</w:t>
      </w:r>
    </w:p>
  </w:footnote>
  <w:footnote w:id="5446">
    <w:p w14:paraId="21ACC6E2" w14:textId="77777777" w:rsidR="006C4368" w:rsidRDefault="006C4368" w:rsidP="006C4368">
      <w:pPr>
        <w:pStyle w:val="Footnote"/>
        <w:bidi/>
      </w:pPr>
      <w:r>
        <w:rPr>
          <w:rStyle w:val="ac"/>
          <w:rtl/>
        </w:rPr>
        <w:footnoteRef/>
      </w:r>
      <w:r>
        <w:rPr>
          <w:rtl/>
        </w:rPr>
        <w:t>ולא יתברר לעולם שאינו עבד. ד</w:t>
      </w:r>
      <w:r>
        <w:rPr>
          <w:b/>
          <w:bCs/>
          <w:rtl/>
        </w:rPr>
        <w:t>רש"י</w:t>
      </w:r>
      <w:r>
        <w:rPr>
          <w:rtl/>
        </w:rPr>
        <w:t xml:space="preserve"> כת' דערעור דפגם משפחה גילוי מלתא בעלמא, דדבר העשוי ליגלות הוא שיבדקו עד שיברר הדבר. ו</w:t>
      </w:r>
      <w:r>
        <w:rPr>
          <w:b/>
          <w:bCs/>
          <w:rtl/>
        </w:rPr>
        <w:t>תוס</w:t>
      </w:r>
      <w:r>
        <w:rPr>
          <w:rtl/>
        </w:rPr>
        <w:t>' תמהו דאילו יש ב' עדים, האיך יתברר לעולם.</w:t>
      </w:r>
    </w:p>
  </w:footnote>
  <w:footnote w:id="5447">
    <w:p w14:paraId="7C568BCA" w14:textId="77777777" w:rsidR="006C4368" w:rsidRDefault="006C4368" w:rsidP="006C4368">
      <w:pPr>
        <w:pStyle w:val="Footnote"/>
        <w:bidi/>
      </w:pPr>
      <w:r>
        <w:rPr>
          <w:rStyle w:val="ac"/>
          <w:rtl/>
        </w:rPr>
        <w:footnoteRef/>
      </w:r>
      <w:r>
        <w:rPr>
          <w:rtl/>
        </w:rPr>
        <w:t>וה</w:t>
      </w:r>
      <w:r>
        <w:rPr>
          <w:b/>
          <w:bCs/>
          <w:rtl/>
        </w:rPr>
        <w:t>ש"ך</w:t>
      </w:r>
      <w:r>
        <w:rPr>
          <w:rtl/>
        </w:rPr>
        <w:t xml:space="preserve"> הביא דה</w:t>
      </w:r>
      <w:r>
        <w:rPr>
          <w:b/>
          <w:bCs/>
          <w:rtl/>
        </w:rPr>
        <w:t>מהרי"ק</w:t>
      </w:r>
      <w:r>
        <w:rPr>
          <w:rtl/>
        </w:rPr>
        <w:t xml:space="preserve"> (קעא) כת' דהיכא דלא אתא בתורת עדות, אלא גילוי מילתא בעלמא, סברא הוא להאמין יותר המרובים מהמועטים. דכל היכא שאין עדות ממש הלך אחר רוב דעות. והש"ך כת' דה"ה כאן. [וצ"ב כוונתו אמאי חשיב שלא באו בתורת עדות].</w:t>
      </w:r>
    </w:p>
  </w:footnote>
  <w:footnote w:id="5448">
    <w:p w14:paraId="1F3DAD5C" w14:textId="77777777" w:rsidR="006C4368" w:rsidRDefault="006C4368" w:rsidP="006C4368">
      <w:pPr>
        <w:pStyle w:val="Footnote"/>
        <w:bidi/>
      </w:pPr>
      <w:r>
        <w:rPr>
          <w:rStyle w:val="ac"/>
          <w:rtl/>
        </w:rPr>
        <w:footnoteRef/>
      </w:r>
      <w:r>
        <w:rPr>
          <w:rtl/>
        </w:rPr>
        <w:t>וה</w:t>
      </w:r>
      <w:r>
        <w:rPr>
          <w:b/>
          <w:bCs/>
          <w:rtl/>
        </w:rPr>
        <w:t>נוב"י</w:t>
      </w:r>
      <w:r>
        <w:rPr>
          <w:rtl/>
        </w:rPr>
        <w:t xml:space="preserve"> (ק' סה) תי' דתוס' כתובות ס"ל דבא הרוג ברגליו הוה דוקא היכא דהבי"ד בעצמם מכירין אותו. ואילו בכתובות איירי שהדיינים אינם מכירים, ומש"ה אף אילו יבדקו ויתברר שכל העולם יכחישו לשנים, אפ"ה תרי ככו"ע. ולא נתברר כלל לדיינים שאינם יודעים.</w:t>
      </w:r>
    </w:p>
  </w:footnote>
  <w:footnote w:id="5449">
    <w:p w14:paraId="1C306855" w14:textId="77777777" w:rsidR="006C4368" w:rsidRDefault="006C4368" w:rsidP="006C4368">
      <w:pPr>
        <w:pStyle w:val="Footnote"/>
        <w:bidi/>
      </w:pPr>
      <w:r>
        <w:rPr>
          <w:rStyle w:val="ac"/>
          <w:rtl/>
        </w:rPr>
        <w:footnoteRef/>
      </w:r>
      <w:r>
        <w:rPr>
          <w:rtl/>
        </w:rPr>
        <w:t>וכגון הכרת הכתב לקיום החותמות. [ותוס' כתובות איירי בעדות דלא תלי בהכרה, ול"מ להכחיש עדים].</w:t>
      </w:r>
    </w:p>
  </w:footnote>
  <w:footnote w:id="5450">
    <w:p w14:paraId="081F4A6B" w14:textId="77777777" w:rsidR="006C4368" w:rsidRDefault="006C4368" w:rsidP="006C4368">
      <w:pPr>
        <w:pStyle w:val="Footnote"/>
        <w:bidi/>
      </w:pPr>
      <w:r>
        <w:rPr>
          <w:rStyle w:val="ac"/>
          <w:rtl/>
        </w:rPr>
        <w:footnoteRef/>
      </w:r>
      <w:r>
        <w:rPr>
          <w:rtl/>
        </w:rPr>
        <w:t>וב</w:t>
      </w:r>
      <w:r>
        <w:rPr>
          <w:b/>
          <w:bCs/>
          <w:rtl/>
        </w:rPr>
        <w:t>שו"ת מהרי"א הלוי</w:t>
      </w:r>
      <w:r>
        <w:rPr>
          <w:rtl/>
        </w:rPr>
        <w:t xml:space="preserve"> (ב כ) חילק שבדבר שהוא לפנינו תלי ברוב דעות לומר את דעתם. ודוקא לברר מעשה שהיה בעבר אמרי' דתרי כמאה.</w:t>
      </w:r>
    </w:p>
  </w:footnote>
  <w:footnote w:id="5451">
    <w:p w14:paraId="33768D90" w14:textId="77777777" w:rsidR="006C4368" w:rsidRDefault="006C4368" w:rsidP="006C4368">
      <w:pPr>
        <w:pStyle w:val="Footnote"/>
        <w:bidi/>
      </w:pPr>
      <w:r>
        <w:rPr>
          <w:rStyle w:val="ac"/>
          <w:rtl/>
        </w:rPr>
        <w:footnoteRef/>
      </w:r>
      <w:r>
        <w:rPr>
          <w:rtl/>
        </w:rPr>
        <w:t>ו</w:t>
      </w:r>
      <w:r>
        <w:rPr>
          <w:b/>
          <w:bCs/>
          <w:rtl/>
        </w:rPr>
        <w:t>ר"ח</w:t>
      </w:r>
      <w:r>
        <w:rPr>
          <w:rtl/>
        </w:rPr>
        <w:t xml:space="preserve"> ביאר דאל"כ הוה חד כנגד תרי, דמאן דנסבה לא מהימן. [ומבואר מדברי ר"ח דמי שנושאה אינו נאמן להעיד כלל, וכלפיו העדים נאמנים. אך קשה דמשמע לעיל כה דהוה נידון לעז. וה</w:t>
      </w:r>
      <w:r>
        <w:rPr>
          <w:b/>
          <w:bCs/>
          <w:rtl/>
        </w:rPr>
        <w:t>פנ"י</w:t>
      </w:r>
      <w:r>
        <w:rPr>
          <w:rtl/>
        </w:rPr>
        <w:t xml:space="preserve"> (כתובות כב:) דן דר"ח לא דן משום סוגיה דלעיל דאיירי בעד א', אלא הק' מסברא דכיון שנשאה נתברר שהוא נוגע בעדותו. דבשלמא עד א', אפי' עד פסול כשר. אבל הכא איירי בתרי ותרי, ואילו הך עד הוה נוגע בדבר לא יצטרף להכחיש את העדים].</w:t>
      </w:r>
    </w:p>
  </w:footnote>
  <w:footnote w:id="5452">
    <w:p w14:paraId="6621AAF9" w14:textId="77777777" w:rsidR="006C4368" w:rsidRDefault="006C4368" w:rsidP="006C4368">
      <w:pPr>
        <w:pStyle w:val="Footnote"/>
        <w:bidi/>
      </w:pPr>
      <w:r>
        <w:rPr>
          <w:rStyle w:val="ac"/>
          <w:rtl/>
        </w:rPr>
        <w:footnoteRef/>
      </w:r>
      <w:r>
        <w:rPr>
          <w:rtl/>
        </w:rPr>
        <w:t>ולכאורה כוונתו דמשמע בגמ' דהותרה לינשא ע"י עד זה [ומש"ה קרי לה א' מעדיה]. ומש"ה שייך לעז, אף שאח"כ נתברר ע"י עדים אחרים.</w:t>
      </w:r>
    </w:p>
  </w:footnote>
  <w:footnote w:id="5453">
    <w:p w14:paraId="34A8EE3F" w14:textId="77777777" w:rsidR="006C4368" w:rsidRDefault="006C4368" w:rsidP="006C4368">
      <w:pPr>
        <w:pStyle w:val="Footnote"/>
        <w:bidi/>
      </w:pPr>
      <w:r>
        <w:rPr>
          <w:rStyle w:val="ac"/>
          <w:rtl/>
        </w:rPr>
        <w:footnoteRef/>
      </w:r>
      <w:r>
        <w:rPr>
          <w:rtl/>
        </w:rPr>
        <w:t>וה</w:t>
      </w:r>
      <w:r>
        <w:rPr>
          <w:b/>
          <w:bCs/>
          <w:rtl/>
        </w:rPr>
        <w:t>ר"א ברודא</w:t>
      </w:r>
      <w:r>
        <w:rPr>
          <w:rtl/>
        </w:rPr>
        <w:t xml:space="preserve"> כת' דה</w:t>
      </w:r>
      <w:r>
        <w:rPr>
          <w:b/>
          <w:bCs/>
          <w:rtl/>
        </w:rPr>
        <w:t>ראשונים</w:t>
      </w:r>
      <w:r>
        <w:rPr>
          <w:rtl/>
        </w:rPr>
        <w:t xml:space="preserve"> הק' בנשאת ואח"כ באו עדים [וכדברי ר"מ בר"י, ע"ע בסמוך], דאיירי שנשאת בהיתר.</w:t>
      </w:r>
    </w:p>
  </w:footnote>
  <w:footnote w:id="5454">
    <w:p w14:paraId="4FC8ADEB" w14:textId="77777777" w:rsidR="006C4368" w:rsidRDefault="006C4368" w:rsidP="006C4368">
      <w:pPr>
        <w:pStyle w:val="Footnote"/>
        <w:bidi/>
      </w:pPr>
      <w:r>
        <w:rPr>
          <w:rStyle w:val="ac"/>
          <w:rtl/>
        </w:rPr>
        <w:footnoteRef/>
      </w:r>
      <w:r>
        <w:rPr>
          <w:rtl/>
        </w:rPr>
        <w:t>וכ"כ ה</w:t>
      </w:r>
      <w:r>
        <w:rPr>
          <w:b/>
          <w:bCs/>
          <w:rtl/>
        </w:rPr>
        <w:t>חכ"צ</w:t>
      </w:r>
      <w:r>
        <w:rPr>
          <w:rtl/>
        </w:rPr>
        <w:t xml:space="preserve"> (ג) דכ"ד הראשונים הנ"ל, או שהקשו אליבא דמ"ד (רב כהנא לעיל כה:) דכנס מוציא.</w:t>
      </w:r>
    </w:p>
  </w:footnote>
  <w:footnote w:id="5455">
    <w:p w14:paraId="60C4F1B4" w14:textId="77777777" w:rsidR="006C4368" w:rsidRDefault="006C4368" w:rsidP="006C4368">
      <w:pPr>
        <w:pStyle w:val="Footnote"/>
        <w:bidi/>
      </w:pPr>
      <w:r>
        <w:rPr>
          <w:rStyle w:val="ac"/>
          <w:rtl/>
        </w:rPr>
        <w:footnoteRef/>
      </w:r>
      <w:r>
        <w:rPr>
          <w:rtl/>
        </w:rPr>
        <w:t>דהאיסור לאשה ילפי' (לעיל פד:) דכל היכא דהוא מוזהר היא מוזהרת.</w:t>
      </w:r>
    </w:p>
  </w:footnote>
  <w:footnote w:id="5456">
    <w:p w14:paraId="7E795E5A" w14:textId="77777777" w:rsidR="006C4368" w:rsidRDefault="006C4368" w:rsidP="006C4368">
      <w:pPr>
        <w:pStyle w:val="Footnote"/>
        <w:bidi/>
      </w:pPr>
      <w:r>
        <w:rPr>
          <w:rStyle w:val="ac"/>
          <w:rtl/>
        </w:rPr>
        <w:footnoteRef/>
      </w:r>
      <w:r>
        <w:rPr>
          <w:rtl/>
        </w:rPr>
        <w:t>וה</w:t>
      </w:r>
      <w:r>
        <w:rPr>
          <w:b/>
          <w:bCs/>
          <w:rtl/>
        </w:rPr>
        <w:t>נוב"י</w:t>
      </w:r>
      <w:r>
        <w:rPr>
          <w:rtl/>
        </w:rPr>
        <w:t xml:space="preserve"> השיב דדברי הרא"מ תלי בב' הלשונות דרבה (לעיל נו:), והגמ' מק' שיתיישב אליבא דכו"ע.</w:t>
      </w:r>
    </w:p>
  </w:footnote>
  <w:footnote w:id="5457">
    <w:p w14:paraId="1125AC57" w14:textId="77777777" w:rsidR="006C4368" w:rsidRDefault="006C4368" w:rsidP="006C4368">
      <w:pPr>
        <w:pStyle w:val="Footnote"/>
        <w:bidi/>
      </w:pPr>
      <w:r>
        <w:rPr>
          <w:rStyle w:val="ac"/>
          <w:rtl/>
        </w:rPr>
        <w:footnoteRef/>
      </w:r>
      <w:r>
        <w:rPr>
          <w:rtl/>
        </w:rPr>
        <w:t xml:space="preserve">ועד"ז כת' </w:t>
      </w:r>
      <w:r>
        <w:rPr>
          <w:b/>
          <w:bCs/>
          <w:rtl/>
        </w:rPr>
        <w:t>רש"י</w:t>
      </w:r>
      <w:r>
        <w:rPr>
          <w:rtl/>
        </w:rPr>
        <w:t xml:space="preserve"> (כתובות כב:) שנשאת לא' מעדיה שאמרו מת, דאין אשם תלוי אלא למי שלבו נוקפו וזה אומר ברי לי. והיא אומרת ברי לי, אין לבי נוקפי שברי לי אילו היה קיים היה בא.</w:t>
      </w:r>
    </w:p>
    <w:p w14:paraId="6D515301" w14:textId="77777777" w:rsidR="006C4368" w:rsidRDefault="006C4368" w:rsidP="006C4368">
      <w:pPr>
        <w:pStyle w:val="Footnote"/>
        <w:bidi/>
      </w:pPr>
      <w:r>
        <w:rPr>
          <w:rtl/>
        </w:rPr>
        <w:tab/>
        <w:t>[ובסוגיין איירי שבא איש לפנינו, ותרי ותרי אי הוה בעלה, והיא טוענת דע"י סימנים אינה בעלה. אבל התם איירי שאינו לפנינו ותרי ותרי האם מת במקום אחר, ואף בזה אין ליבה נוקפה, ע"פ האומדנא שהיה לו לבא. ואף דלא התירו עגונה ע"פ סברא זו דאילו היה קיים היה בא. וכדאי' (לקמן קטו.) דאמרי' שמא נעשה בעל מום, ומחמת כיסופא אזל לעלמא].</w:t>
      </w:r>
    </w:p>
  </w:footnote>
  <w:footnote w:id="5458">
    <w:p w14:paraId="63EA3F8D" w14:textId="77777777" w:rsidR="006C4368" w:rsidRDefault="006C4368" w:rsidP="006C4368">
      <w:pPr>
        <w:pStyle w:val="Footnote"/>
        <w:bidi/>
      </w:pPr>
      <w:r>
        <w:rPr>
          <w:rStyle w:val="ac"/>
          <w:rtl/>
        </w:rPr>
        <w:footnoteRef/>
      </w:r>
      <w:r>
        <w:rPr>
          <w:rtl/>
        </w:rPr>
        <w:t>וה</w:t>
      </w:r>
      <w:r>
        <w:rPr>
          <w:b/>
          <w:bCs/>
          <w:rtl/>
        </w:rPr>
        <w:t>גר"ח</w:t>
      </w:r>
      <w:r>
        <w:rPr>
          <w:rtl/>
        </w:rPr>
        <w:t xml:space="preserve"> מוולאזין ב</w:t>
      </w:r>
      <w:r>
        <w:rPr>
          <w:b/>
          <w:bCs/>
          <w:rtl/>
        </w:rPr>
        <w:t>שו"ת חוט המשולש</w:t>
      </w:r>
      <w:r>
        <w:rPr>
          <w:rtl/>
        </w:rPr>
        <w:t xml:space="preserve"> (י ד"ה וגדולה) חידש [ע"פ דברי רש"י לקמן קיב] דהאשה נאמנת על עצמה, וכיון דיש לה טענת ברי לעצמה נאמנת אף לאחרים. דעי"ז הוה חתיכה דהתירא, ומותרת אף לעלמא. [ובהמשך דבריו ביאר דה"מ בדבר שמוקמינן אחזקה, והבע"ד נאמן להחזיק דלא הוה כמו חזקתו. אבל היכא דצריך עדות ל"מ].</w:t>
      </w:r>
    </w:p>
  </w:footnote>
  <w:footnote w:id="5459">
    <w:p w14:paraId="2C94FD88" w14:textId="77777777" w:rsidR="006C4368" w:rsidRDefault="006C4368" w:rsidP="006C4368">
      <w:pPr>
        <w:pStyle w:val="Footnote"/>
        <w:bidi/>
      </w:pPr>
      <w:r>
        <w:rPr>
          <w:rStyle w:val="ac"/>
          <w:rtl/>
        </w:rPr>
        <w:footnoteRef/>
      </w:r>
      <w:r>
        <w:rPr>
          <w:rtl/>
        </w:rPr>
        <w:t xml:space="preserve">אך לשון הגמ' גבי הבעל דנשאת לא' מעדיה, שמעיד בבירור שמת בעלה. וקצת משמע דדוקא כלפי האשה מהני שאין ליבה נוקפה. אבל לא התירו לבעל אלא לעדיה. אבל </w:t>
      </w:r>
      <w:r>
        <w:rPr>
          <w:b/>
          <w:bCs/>
          <w:rtl/>
        </w:rPr>
        <w:t>רש"י</w:t>
      </w:r>
      <w:r>
        <w:rPr>
          <w:rtl/>
        </w:rPr>
        <w:t xml:space="preserve"> (כתובות שם) כת' לא' מעדיה, דאין אשם תלוי נוהג אלא בליבו נוקפו.</w:t>
      </w:r>
    </w:p>
  </w:footnote>
  <w:footnote w:id="5460">
    <w:p w14:paraId="6ACF272A" w14:textId="77777777" w:rsidR="006C4368" w:rsidRDefault="006C4368" w:rsidP="006C4368">
      <w:pPr>
        <w:pStyle w:val="Footnote"/>
        <w:bidi/>
      </w:pPr>
      <w:r>
        <w:rPr>
          <w:rStyle w:val="ac"/>
          <w:rtl/>
        </w:rPr>
        <w:footnoteRef/>
      </w:r>
      <w:r>
        <w:rPr>
          <w:rtl/>
        </w:rPr>
        <w:t>וה</w:t>
      </w:r>
      <w:r>
        <w:rPr>
          <w:b/>
          <w:bCs/>
          <w:rtl/>
        </w:rPr>
        <w:t>ריטב"א</w:t>
      </w:r>
      <w:r>
        <w:rPr>
          <w:rtl/>
        </w:rPr>
        <w:t xml:space="preserve"> הוסיף וכ"ש אי קאי בחזקת אשת איש [לדברי הראשונים דלמ"ד תרי ותרי ספיקא דרבנן קאי בחזקת אשת איש מדאורייתא].</w:t>
      </w:r>
    </w:p>
  </w:footnote>
  <w:footnote w:id="5461">
    <w:p w14:paraId="281E7184" w14:textId="77777777" w:rsidR="006C4368" w:rsidRDefault="006C4368" w:rsidP="006C4368">
      <w:pPr>
        <w:pStyle w:val="Footnote"/>
        <w:bidi/>
      </w:pPr>
      <w:r>
        <w:rPr>
          <w:rStyle w:val="ac"/>
          <w:rtl/>
        </w:rPr>
        <w:footnoteRef/>
      </w:r>
      <w:r>
        <w:rPr>
          <w:rtl/>
        </w:rPr>
        <w:t>וה</w:t>
      </w:r>
      <w:r>
        <w:rPr>
          <w:b/>
          <w:bCs/>
          <w:rtl/>
        </w:rPr>
        <w:t>ריטב"א</w:t>
      </w:r>
      <w:r>
        <w:rPr>
          <w:rtl/>
        </w:rPr>
        <w:t xml:space="preserve"> (כתובות כב:) כת' דמ"מ איסורא דאורייתא או דרבנן איכא. [משמע דנסתפק האם ספק דאורייתא לחומרא מדאורייתא או מדרבנן, וע' בסמוך]. [ולכאורה דעת רש"י דבספק דאורייתא רשאי לסמוך על סברא דידיה, היכא דנראה לו שהדבר מותר, עכ"פ מדאורייתא. ובי"ד אינם מפרישים אותו].</w:t>
      </w:r>
    </w:p>
  </w:footnote>
  <w:footnote w:id="5462">
    <w:p w14:paraId="32F5A727" w14:textId="77777777" w:rsidR="006C4368" w:rsidRDefault="006C4368" w:rsidP="006C4368">
      <w:pPr>
        <w:pStyle w:val="Footnote"/>
        <w:bidi/>
      </w:pPr>
      <w:r>
        <w:rPr>
          <w:rStyle w:val="ac"/>
          <w:rtl/>
        </w:rPr>
        <w:footnoteRef/>
      </w:r>
      <w:r>
        <w:rPr>
          <w:rtl/>
        </w:rPr>
        <w:t>וביאר דהיא לבד אינה נאמנת, כיון דיש עדים דמסייעי אמרה בדדמי. [וצ"ב האיך תהא נאמנת נגד עדים].</w:t>
      </w:r>
    </w:p>
  </w:footnote>
  <w:footnote w:id="5463">
    <w:p w14:paraId="151A409D" w14:textId="77777777" w:rsidR="006C4368" w:rsidRDefault="006C4368" w:rsidP="006C4368">
      <w:pPr>
        <w:pStyle w:val="Footnote"/>
        <w:bidi/>
      </w:pPr>
      <w:r>
        <w:rPr>
          <w:rStyle w:val="ac"/>
          <w:rtl/>
        </w:rPr>
        <w:footnoteRef/>
      </w:r>
      <w:r>
        <w:rPr>
          <w:rtl/>
        </w:rPr>
        <w:t>אך פיסקא זו אינה בכל ספרי הרמב"ם, וה</w:t>
      </w:r>
      <w:r>
        <w:rPr>
          <w:b/>
          <w:bCs/>
          <w:rtl/>
        </w:rPr>
        <w:t>מהרי"ט</w:t>
      </w:r>
      <w:r>
        <w:rPr>
          <w:rtl/>
        </w:rPr>
        <w:t xml:space="preserve"> (ב יו"ד א) כת' דהוה הגהת תלמיד, שהרי בתחילת ההלכה (שם) כת' הרמב"ם דספק עריות ושבת לקולא מדאורייתא. ויש </w:t>
      </w:r>
      <w:r>
        <w:rPr>
          <w:b/>
          <w:bCs/>
          <w:rtl/>
        </w:rPr>
        <w:t>אחרונים</w:t>
      </w:r>
      <w:r>
        <w:rPr>
          <w:rtl/>
        </w:rPr>
        <w:t xml:space="preserve"> (מעשה רקח שם) שביארו שכוונת הרמב"ם באופן דאיקבע איסורא ומתחייב אשם תלוי. [וכ"נ מדברי הגרי"ז]. [אבל יש אחרונים שנקטו דבכל האיסורין דאיקבע איסורא מספק לחומרא, דילפי' מפרשת אשם תלוי. ולא רק באיסורין דיש חיוב חטאת].</w:t>
      </w:r>
    </w:p>
  </w:footnote>
  <w:footnote w:id="5464">
    <w:p w14:paraId="2B2D786A" w14:textId="77777777" w:rsidR="006C4368" w:rsidRDefault="006C4368" w:rsidP="006C4368">
      <w:pPr>
        <w:pStyle w:val="Footnote"/>
        <w:bidi/>
      </w:pPr>
      <w:r>
        <w:rPr>
          <w:rStyle w:val="ac"/>
          <w:rtl/>
        </w:rPr>
        <w:footnoteRef/>
      </w:r>
      <w:r>
        <w:rPr>
          <w:rtl/>
        </w:rPr>
        <w:t>[והביאו מקור לזה מה</w:t>
      </w:r>
      <w:r>
        <w:rPr>
          <w:b/>
          <w:bCs/>
          <w:rtl/>
        </w:rPr>
        <w:t>ירושלמי</w:t>
      </w:r>
      <w:r>
        <w:rPr>
          <w:rtl/>
        </w:rPr>
        <w:t xml:space="preserve"> כתובות ב ב עי"ש]. ואשם תלוי דוקא, ודלא כתוס' כתובות.</w:t>
      </w:r>
    </w:p>
  </w:footnote>
  <w:footnote w:id="5465">
    <w:p w14:paraId="0A7148E3" w14:textId="77777777" w:rsidR="006C4368" w:rsidRDefault="006C4368" w:rsidP="006C4368">
      <w:pPr>
        <w:pStyle w:val="Footnote"/>
        <w:bidi/>
      </w:pPr>
      <w:r>
        <w:rPr>
          <w:rStyle w:val="ac"/>
          <w:rtl/>
        </w:rPr>
        <w:footnoteRef/>
      </w:r>
      <w:r>
        <w:rPr>
          <w:rtl/>
        </w:rPr>
        <w:t>אך צ"ב דסוף סוף מדרבנן הוה לחומרא [וכמ"ש הריטב"א כתובות הנ"ל]. ומשמע דכוונתו דבאיסור דרבנן אמרי' דאם נשאת לא תצא.</w:t>
      </w:r>
    </w:p>
  </w:footnote>
  <w:footnote w:id="5466">
    <w:p w14:paraId="3705DFCB" w14:textId="77777777" w:rsidR="006C4368" w:rsidRDefault="006C4368" w:rsidP="006C4368">
      <w:pPr>
        <w:pStyle w:val="Footnote"/>
        <w:bidi/>
      </w:pPr>
      <w:r>
        <w:rPr>
          <w:rStyle w:val="ac"/>
          <w:rtl/>
        </w:rPr>
        <w:footnoteRef/>
      </w:r>
      <w:r>
        <w:rPr>
          <w:rtl/>
        </w:rPr>
        <w:t>[ואף דספק ממזר מותר מדאורייתא, אסורים מדרבנן].</w:t>
      </w:r>
    </w:p>
  </w:footnote>
  <w:footnote w:id="5467">
    <w:p w14:paraId="7767327A" w14:textId="77777777" w:rsidR="006C4368" w:rsidRDefault="006C4368" w:rsidP="006C4368">
      <w:pPr>
        <w:pStyle w:val="Footnote"/>
        <w:bidi/>
      </w:pPr>
      <w:r>
        <w:rPr>
          <w:rStyle w:val="ac"/>
          <w:rtl/>
        </w:rPr>
        <w:footnoteRef/>
      </w:r>
      <w:r>
        <w:rPr>
          <w:rtl/>
        </w:rPr>
        <w:t>דה</w:t>
      </w:r>
      <w:r>
        <w:rPr>
          <w:b/>
          <w:bCs/>
          <w:rtl/>
        </w:rPr>
        <w:t>רמב"ם</w:t>
      </w:r>
      <w:r>
        <w:rPr>
          <w:rtl/>
        </w:rPr>
        <w:t xml:space="preserve"> פסק דאם היא אינה טוענת ברי ונשאת, הולד ספק ממזר. משמע דהיכא דטוענת ברי לא הוה ספק ממזר.</w:t>
      </w:r>
    </w:p>
    <w:p w14:paraId="4D087A51" w14:textId="77777777" w:rsidR="006C4368" w:rsidRDefault="006C4368" w:rsidP="006C4368">
      <w:pPr>
        <w:pStyle w:val="Footnote"/>
        <w:bidi/>
      </w:pPr>
      <w:r>
        <w:rPr>
          <w:rtl/>
        </w:rPr>
        <w:tab/>
        <w:t>וה</w:t>
      </w:r>
      <w:r>
        <w:rPr>
          <w:b/>
          <w:bCs/>
          <w:rtl/>
        </w:rPr>
        <w:t>בי"ש</w:t>
      </w:r>
      <w:r>
        <w:rPr>
          <w:rtl/>
        </w:rPr>
        <w:t xml:space="preserve"> (קנב ה) הק' [בדברי הרמב"ם הנ"ל] דכשהיא אינה טוענת ברי, ל"ש דייקא ומינסבא. א"כ עומדת בחזקת א"א [וכקו' התוס' כאן], והוה ודאי ממזר. וכת' דאפשר דאף כשהיא אמרה שאינה יודעת, הואיל ונשאת אח"כ הוי כוודאי. דאמרי' מדנשאת אח"כ ע"כ נתברר לה שמותרת, דאל"כ לא היתה נישאת.</w:t>
      </w:r>
    </w:p>
  </w:footnote>
  <w:footnote w:id="5468">
    <w:p w14:paraId="594942FA" w14:textId="77777777" w:rsidR="006C4368" w:rsidRDefault="006C4368" w:rsidP="006C4368">
      <w:pPr>
        <w:pStyle w:val="Footnote"/>
        <w:bidi/>
      </w:pPr>
      <w:r>
        <w:rPr>
          <w:rStyle w:val="ac"/>
          <w:rtl/>
        </w:rPr>
        <w:footnoteRef/>
      </w:r>
      <w:r>
        <w:rPr>
          <w:rtl/>
        </w:rPr>
        <w:t>ועד"ז כת' ה</w:t>
      </w:r>
      <w:r>
        <w:rPr>
          <w:b/>
          <w:bCs/>
          <w:rtl/>
        </w:rPr>
        <w:t>חמד"ש</w:t>
      </w:r>
      <w:r>
        <w:rPr>
          <w:rtl/>
        </w:rPr>
        <w:t xml:space="preserve"> (כתובות), אך הק' דכ"ז לדעת התוס' דהוה ספק ממזר. אבל לדעת הראשונים דקאי בחטאת, א"כ הוה ודאי ממזר.</w:t>
      </w:r>
    </w:p>
    <w:p w14:paraId="6A9B4A95" w14:textId="77777777" w:rsidR="006C4368" w:rsidRDefault="006C4368" w:rsidP="006C4368">
      <w:pPr>
        <w:pStyle w:val="Footnote"/>
        <w:bidi/>
      </w:pPr>
      <w:r>
        <w:rPr>
          <w:rtl/>
        </w:rPr>
        <w:tab/>
        <w:t>וה</w:t>
      </w:r>
      <w:r>
        <w:rPr>
          <w:b/>
          <w:bCs/>
          <w:rtl/>
        </w:rPr>
        <w:t>בית מאיר</w:t>
      </w:r>
      <w:r>
        <w:rPr>
          <w:rtl/>
        </w:rPr>
        <w:t xml:space="preserve"> (קנב ג) כת' דצ"ל דנשאת וטוענים תרוייהו ברי, ע"י חזקה דתרוייהו הספק נעשית גם לנו ודאי. [והוחזקו דהוה בהיתר].</w:t>
      </w:r>
    </w:p>
  </w:footnote>
  <w:footnote w:id="5469">
    <w:p w14:paraId="62892732" w14:textId="77777777" w:rsidR="006C4368" w:rsidRDefault="006C4368" w:rsidP="006C4368">
      <w:pPr>
        <w:pStyle w:val="Footnote"/>
        <w:bidi/>
      </w:pPr>
      <w:r>
        <w:rPr>
          <w:rStyle w:val="ac"/>
          <w:rtl/>
        </w:rPr>
        <w:footnoteRef/>
      </w:r>
      <w:r>
        <w:rPr>
          <w:rtl/>
        </w:rPr>
        <w:t>ותוס' כת' דה"נ אפשר לברר ע"י הזמה. וצ"ב אמאי נחשב אפשר לברר ע"י עדות לשעבר. וכל האוכל חלב נימא דשמא יתברר שהיו עדים על חתיכה זו מעיקרא. ואפשר דעיקר הטעם דכיון דהעד עומד לפנינו נחשב דנשאר קצת מהאיסור, ושייך ע"ז בירור. אלא דתוס' נתקשו דאינו חוזר ומגיד, ומה שייך בירור ע"י שהעד לפנינו. ותי' דאפשר ע"י הזמה.</w:t>
      </w:r>
    </w:p>
  </w:footnote>
  <w:footnote w:id="5470">
    <w:p w14:paraId="42B186AD" w14:textId="77777777" w:rsidR="006C4368" w:rsidRDefault="006C4368" w:rsidP="006C4368">
      <w:pPr>
        <w:pStyle w:val="Footnote"/>
        <w:bidi/>
      </w:pPr>
      <w:r>
        <w:rPr>
          <w:rStyle w:val="ac"/>
          <w:rtl/>
        </w:rPr>
        <w:footnoteRef/>
      </w:r>
      <w:r>
        <w:rPr>
          <w:rtl/>
        </w:rPr>
        <w:t>אלא דתוס' תי' די"ל דרב ס"ל כאידך מ"ד. ואף דרבא (שם) נקט דדעת רב דדרשי' מצוות. צ"ל דקו' הגמ' כאן כאידך מ"ד אליבא דרב.</w:t>
      </w:r>
    </w:p>
  </w:footnote>
  <w:footnote w:id="5471">
    <w:p w14:paraId="2F8868B3" w14:textId="77777777" w:rsidR="006C4368" w:rsidRDefault="006C4368" w:rsidP="006C4368">
      <w:pPr>
        <w:pStyle w:val="Footnote"/>
        <w:bidi/>
      </w:pPr>
      <w:r>
        <w:rPr>
          <w:rStyle w:val="ac"/>
          <w:rtl/>
        </w:rPr>
        <w:footnoteRef/>
      </w:r>
      <w:r>
        <w:rPr>
          <w:rtl/>
        </w:rPr>
        <w:t>ואף למש"כ התוס' (בסמוך) דכיון דדייקא ומינסבא איתרע חזקת אשת איש, מ"מ חשיב איקבע איסורא.</w:t>
      </w:r>
    </w:p>
  </w:footnote>
  <w:footnote w:id="5472">
    <w:p w14:paraId="1F256A4E" w14:textId="77777777" w:rsidR="006C4368" w:rsidRDefault="006C4368" w:rsidP="006C4368">
      <w:pPr>
        <w:pStyle w:val="Footnote"/>
        <w:bidi/>
      </w:pPr>
      <w:r>
        <w:rPr>
          <w:rStyle w:val="ac"/>
          <w:rtl/>
        </w:rPr>
        <w:footnoteRef/>
      </w:r>
      <w:r>
        <w:rPr>
          <w:rtl/>
        </w:rPr>
        <w:t>וה</w:t>
      </w:r>
      <w:r>
        <w:rPr>
          <w:b/>
          <w:bCs/>
          <w:rtl/>
        </w:rPr>
        <w:t>לח"מ</w:t>
      </w:r>
      <w:r>
        <w:rPr>
          <w:rtl/>
        </w:rPr>
        <w:t xml:space="preserve"> כת' דהרמב"ם לשיטתו דעד א' בהכחשה כמאן דאיתא [ע"ע בסמוך ולקמן קיז, ואכמ"ל].</w:t>
      </w:r>
    </w:p>
  </w:footnote>
  <w:footnote w:id="5473">
    <w:p w14:paraId="796BEC8D" w14:textId="77777777" w:rsidR="006C4368" w:rsidRDefault="006C4368" w:rsidP="006C4368">
      <w:pPr>
        <w:pStyle w:val="Footnote"/>
        <w:bidi/>
      </w:pPr>
      <w:r>
        <w:rPr>
          <w:rStyle w:val="ac"/>
          <w:rtl/>
        </w:rPr>
        <w:footnoteRef/>
      </w:r>
      <w:r>
        <w:rPr>
          <w:rtl/>
        </w:rPr>
        <w:t>וה</w:t>
      </w:r>
      <w:r>
        <w:rPr>
          <w:b/>
          <w:bCs/>
          <w:rtl/>
        </w:rPr>
        <w:t>ש"ש</w:t>
      </w:r>
      <w:r>
        <w:rPr>
          <w:rtl/>
        </w:rPr>
        <w:t xml:space="preserve"> (א ח) הביא מ</w:t>
      </w:r>
      <w:r>
        <w:rPr>
          <w:b/>
          <w:bCs/>
          <w:rtl/>
        </w:rPr>
        <w:t>תוס</w:t>
      </w:r>
      <w:r>
        <w:rPr>
          <w:rtl/>
        </w:rPr>
        <w:t>' (כתובות כב:, שכת' כמו כאן) דתו"ת לא נחשב ב' חתיכות [לרב נחמן, ודוקא למ"ד אפשר לברר מהני כה"ג]. והביא דכ"מ במשנה (טהרות ה ט). וכת' דצ"ל דאף הרמב"ם איירי כשיש לפנינו ב' חתיכות, ונחלקו העדים על החתיכות.</w:t>
      </w:r>
    </w:p>
  </w:footnote>
  <w:footnote w:id="5474">
    <w:p w14:paraId="3C5EE298" w14:textId="77777777" w:rsidR="006C4368" w:rsidRDefault="006C4368" w:rsidP="006C4368">
      <w:pPr>
        <w:pStyle w:val="Footnote"/>
        <w:bidi/>
      </w:pPr>
      <w:r>
        <w:rPr>
          <w:rStyle w:val="ac"/>
          <w:rtl/>
        </w:rPr>
        <w:footnoteRef/>
      </w:r>
      <w:r>
        <w:rPr>
          <w:rtl/>
        </w:rPr>
        <w:t>וה</w:t>
      </w:r>
      <w:r>
        <w:rPr>
          <w:b/>
          <w:bCs/>
          <w:rtl/>
        </w:rPr>
        <w:t>פרמ"ג</w:t>
      </w:r>
      <w:r>
        <w:rPr>
          <w:rtl/>
        </w:rPr>
        <w:t xml:space="preserve"> (תרפח מ"ז ד) חקר עד א' בהכחשה באיסור דרבנן, האם אמרי' ספק דרבנן לקולא, או דכיון דאיקבע איסורא אסור. והביא מח' הרמב"ם והראב"ד הנ"ל.</w:t>
      </w:r>
    </w:p>
  </w:footnote>
  <w:footnote w:id="5475">
    <w:p w14:paraId="1F27C759" w14:textId="77777777" w:rsidR="006C4368" w:rsidRDefault="006C4368" w:rsidP="006C4368">
      <w:pPr>
        <w:pStyle w:val="Footnote"/>
        <w:bidi/>
      </w:pPr>
      <w:r>
        <w:rPr>
          <w:rStyle w:val="ac"/>
          <w:rtl/>
        </w:rPr>
        <w:footnoteRef/>
      </w:r>
      <w:r>
        <w:rPr>
          <w:rtl/>
        </w:rPr>
        <w:t>וה</w:t>
      </w:r>
      <w:r>
        <w:rPr>
          <w:b/>
          <w:bCs/>
          <w:rtl/>
        </w:rPr>
        <w:t>תוס' רא"ש</w:t>
      </w:r>
      <w:r>
        <w:rPr>
          <w:rtl/>
        </w:rPr>
        <w:t xml:space="preserve"> (כתובות שם) ביאר דאיכא איסור אשם תלוי, דכיון דמספק"ל אם היא אשת איש אסורה מספיקא, אלא גזיה"כ דאינו מביא אשם תלוי להגין עליו מן היסורין אלא בחתיכה מב' חתיכות.</w:t>
      </w:r>
    </w:p>
  </w:footnote>
  <w:footnote w:id="5476">
    <w:p w14:paraId="54176AE9" w14:textId="77777777" w:rsidR="006C4368" w:rsidRDefault="006C4368" w:rsidP="006C4368">
      <w:pPr>
        <w:pStyle w:val="Footnote"/>
        <w:bidi/>
      </w:pPr>
      <w:r>
        <w:rPr>
          <w:rStyle w:val="ac"/>
          <w:rtl/>
        </w:rPr>
        <w:footnoteRef/>
      </w:r>
      <w:r>
        <w:rPr>
          <w:rtl/>
        </w:rPr>
        <w:t xml:space="preserve">וכ"ד </w:t>
      </w:r>
      <w:r>
        <w:rPr>
          <w:b/>
          <w:bCs/>
          <w:rtl/>
        </w:rPr>
        <w:t>תוס</w:t>
      </w:r>
      <w:r>
        <w:rPr>
          <w:rtl/>
        </w:rPr>
        <w:t>' בכ"מ דלמסקנא תרי ותרי ספיקא דרבנן (וע' מש"כ לעיל לא.). אבל ה</w:t>
      </w:r>
      <w:r>
        <w:rPr>
          <w:b/>
          <w:bCs/>
          <w:rtl/>
        </w:rPr>
        <w:t>רמב"ן</w:t>
      </w:r>
      <w:r>
        <w:rPr>
          <w:rtl/>
        </w:rPr>
        <w:t xml:space="preserve"> (בכ"מ) דן אי קי"ל דספיקא דאורייתא. והרמב"ן (קידושין סו.) הביא </w:t>
      </w:r>
      <w:r>
        <w:rPr>
          <w:b/>
          <w:bCs/>
          <w:rtl/>
        </w:rPr>
        <w:t>י"מ</w:t>
      </w:r>
      <w:r>
        <w:rPr>
          <w:rtl/>
        </w:rPr>
        <w:t xml:space="preserve"> דהכריעו מסוגיין דקי"ל תו"ת ספיקא דאורייתא.</w:t>
      </w:r>
    </w:p>
  </w:footnote>
  <w:footnote w:id="5477">
    <w:p w14:paraId="216D54B9" w14:textId="77777777" w:rsidR="006C4368" w:rsidRDefault="006C4368" w:rsidP="006C4368">
      <w:pPr>
        <w:pStyle w:val="Footnote"/>
        <w:bidi/>
      </w:pPr>
      <w:r>
        <w:rPr>
          <w:rStyle w:val="ac"/>
          <w:rtl/>
        </w:rPr>
        <w:footnoteRef/>
      </w:r>
      <w:r>
        <w:rPr>
          <w:rtl/>
        </w:rPr>
        <w:t>וצ"ב היכי קטלינן להו, הא מדרבנן הוה ספיקא, והחמירו שלא להעמיד על חזקה. א"כ אף לענין נפשות יש להחמיר. [וע' מש"כ לעיל לא. דנח' הראשונים במה החמירו רבנן]. ואפשר דכוונת התוס' דמדאורייתא יש בזה חיוב מיתה, ומש"ה מוטל על בי"ד להפרישו.</w:t>
      </w:r>
    </w:p>
  </w:footnote>
  <w:footnote w:id="5478">
    <w:p w14:paraId="7A57FC25" w14:textId="77777777" w:rsidR="006C4368" w:rsidRDefault="006C4368" w:rsidP="006C4368">
      <w:pPr>
        <w:pStyle w:val="Footnote"/>
        <w:bidi/>
      </w:pPr>
      <w:r>
        <w:rPr>
          <w:rStyle w:val="ac"/>
          <w:rtl/>
        </w:rPr>
        <w:footnoteRef/>
      </w:r>
      <w:r>
        <w:rPr>
          <w:rtl/>
        </w:rPr>
        <w:t>וה</w:t>
      </w:r>
      <w:r>
        <w:rPr>
          <w:b/>
          <w:bCs/>
          <w:rtl/>
        </w:rPr>
        <w:t>קובה"ע</w:t>
      </w:r>
      <w:r>
        <w:rPr>
          <w:rtl/>
        </w:rPr>
        <w:t xml:space="preserve"> (סז ה) ביאר [לדעת המהרש"א] דדוקא מאן דמספק"ל צריך להעמיד דבר בחזקתו, אבל למי שברור לו ליכא אצלו כלל דין חזקה. אבל הטוענת ברי נגד עדים, כיון דהעדים מבררים את גוף הדבר מחזיקין אותה שהיא משקרת. ומש"ה כייפינן לה ע"פ העדים. אבל חזקה לא הוה בירור על גוף המעשה, ולא מחזיקינן שמשקרת.</w:t>
      </w:r>
    </w:p>
    <w:p w14:paraId="1C710776" w14:textId="77777777" w:rsidR="006C4368" w:rsidRDefault="006C4368" w:rsidP="006C4368">
      <w:pPr>
        <w:pStyle w:val="Footnote"/>
        <w:bidi/>
      </w:pPr>
      <w:r>
        <w:rPr>
          <w:rtl/>
        </w:rPr>
        <w:tab/>
        <w:t>וכת' דדעת התוס' דאף דחזקה אינו מברר, אפ"ה כיון דנאמר דין בתורת ודאי ל"מ טענת ברי. [והביא עד"ז דין סוטה, שהתורה עשתה ספק כודאי, ול"מ טענת ברי שלה. כיון דאצלינו הוה דין ודאי].</w:t>
      </w:r>
    </w:p>
  </w:footnote>
  <w:footnote w:id="5479">
    <w:p w14:paraId="373802A0" w14:textId="77777777" w:rsidR="006C4368" w:rsidRDefault="006C4368" w:rsidP="006C4368">
      <w:pPr>
        <w:pStyle w:val="Footnote"/>
        <w:bidi/>
      </w:pPr>
      <w:r>
        <w:rPr>
          <w:rStyle w:val="ac"/>
          <w:rtl/>
        </w:rPr>
        <w:footnoteRef/>
      </w:r>
      <w:r>
        <w:rPr>
          <w:rtl/>
        </w:rPr>
        <w:t>וה</w:t>
      </w:r>
      <w:r>
        <w:rPr>
          <w:b/>
          <w:bCs/>
          <w:rtl/>
        </w:rPr>
        <w:t>פנ"י</w:t>
      </w:r>
      <w:r>
        <w:rPr>
          <w:rtl/>
        </w:rPr>
        <w:t xml:space="preserve"> כת' דאף דקי"ל דברי ושמא ל"מ לגבי חזקת ממון, ואף באיסורין לא מהני טענת ברי אפי' בהדי חזקת כשרות [ע' כתובות יג.], היינו דאינם נאמנים לעלמא, אבל נאמנים לגבי נפשייהו דלא עבדי איסורא. ומש"ה הבי"ד אינם נזקקין להם כיון דאיכא למימר קושטא קאמרי ומספיקא לא קטלינן להו, והתורה אמרה נקי אל תהרוג.</w:t>
      </w:r>
    </w:p>
    <w:p w14:paraId="7AC975E9" w14:textId="77777777" w:rsidR="006C4368" w:rsidRDefault="006C4368" w:rsidP="006C4368">
      <w:pPr>
        <w:pStyle w:val="Footnote"/>
        <w:bidi/>
      </w:pPr>
      <w:r>
        <w:rPr>
          <w:rtl/>
        </w:rPr>
        <w:tab/>
        <w:t>וה</w:t>
      </w:r>
      <w:r>
        <w:rPr>
          <w:b/>
          <w:bCs/>
          <w:rtl/>
        </w:rPr>
        <w:t>פנ"י</w:t>
      </w:r>
      <w:r>
        <w:rPr>
          <w:rtl/>
        </w:rPr>
        <w:t xml:space="preserve"> כת' דעפ"ז יש טעם לשבח בהא שעונש בי"ד צריך שיקבל עליו התראה ויאמר אעפ"כ. [שנדע שאינו טוען ברי שהוא מותר]. וה</w:t>
      </w:r>
      <w:r>
        <w:rPr>
          <w:b/>
          <w:bCs/>
          <w:rtl/>
        </w:rPr>
        <w:t>אחרונים</w:t>
      </w:r>
      <w:r>
        <w:rPr>
          <w:rtl/>
        </w:rPr>
        <w:t xml:space="preserve"> (תרוה"כ לא ד"ה איברא, תמד"ש, בית יעקב, שער"י ו יח וחזו"א) תמהו דא"כ יבטלו כל מיתות בי"ד, דברובן יכול למימר ברי לי דהתירא היה. ובודאי לא סמכינן על קבלת התראה לענין זה. [וצ"ל דאף הפנ"י איירי דוקא כשטוען ברי, דע"י טענתו נתעורר ספק. אבל היכא דליכא ספק לפנינו, והוא אינו מעורר ספק בטענתו, א"כ מוקמינן אחזקה אף כלפיו, ומש"ה קטלינן ליה].</w:t>
      </w:r>
    </w:p>
  </w:footnote>
  <w:footnote w:id="5480">
    <w:p w14:paraId="1DBD57EB" w14:textId="77777777" w:rsidR="006C4368" w:rsidRDefault="006C4368" w:rsidP="006C4368">
      <w:pPr>
        <w:pStyle w:val="Footnote"/>
        <w:bidi/>
      </w:pPr>
      <w:r>
        <w:rPr>
          <w:rStyle w:val="ac"/>
          <w:rtl/>
        </w:rPr>
        <w:footnoteRef/>
      </w:r>
      <w:r>
        <w:rPr>
          <w:rtl/>
        </w:rPr>
        <w:t>והביא דעד"ז מצאנו בדיני ממונות, דהיכא דליכא ספק לפנינו ובא אדם ותפס מחבירו וטוען ברי לי שאתה חייב לי מפקינן מיניה, ולא משגחינן בטענת ברי דידיה. ודוקא בתרי ותרי [או שנולד ספק לפנינו] מהני תפיסה בטענת ברי [לדעת כמה ראשונים].</w:t>
      </w:r>
    </w:p>
  </w:footnote>
  <w:footnote w:id="5481">
    <w:p w14:paraId="03E297FC" w14:textId="77777777" w:rsidR="006C4368" w:rsidRDefault="006C4368" w:rsidP="006C4368">
      <w:pPr>
        <w:pStyle w:val="Footnote"/>
        <w:bidi/>
      </w:pPr>
      <w:r>
        <w:rPr>
          <w:rStyle w:val="ac"/>
          <w:rtl/>
        </w:rPr>
        <w:footnoteRef/>
      </w:r>
      <w:r>
        <w:rPr>
          <w:rtl/>
        </w:rPr>
        <w:t>וכ"כ ה</w:t>
      </w:r>
      <w:r>
        <w:rPr>
          <w:b/>
          <w:bCs/>
          <w:rtl/>
        </w:rPr>
        <w:t>חזו"א</w:t>
      </w:r>
      <w:r>
        <w:rPr>
          <w:rtl/>
        </w:rPr>
        <w:t xml:space="preserve"> (נט מא) דבתרי ותרי לא חשיבא חזקה קמייתא, ומש"ה מהני ברי לי.</w:t>
      </w:r>
    </w:p>
  </w:footnote>
  <w:footnote w:id="5482">
    <w:p w14:paraId="26ED4835" w14:textId="77777777" w:rsidR="006C4368" w:rsidRDefault="006C4368" w:rsidP="006C4368">
      <w:pPr>
        <w:pStyle w:val="Footnote"/>
        <w:bidi/>
      </w:pPr>
      <w:r>
        <w:rPr>
          <w:rStyle w:val="ac"/>
          <w:rtl/>
        </w:rPr>
        <w:footnoteRef/>
      </w:r>
      <w:r>
        <w:rPr>
          <w:rtl/>
        </w:rPr>
        <w:t xml:space="preserve">וע"ע </w:t>
      </w:r>
      <w:r>
        <w:rPr>
          <w:b/>
          <w:bCs/>
          <w:rtl/>
        </w:rPr>
        <w:t>בכור שור</w:t>
      </w:r>
      <w:r>
        <w:rPr>
          <w:rtl/>
        </w:rPr>
        <w:t xml:space="preserve"> (פז: הו' לעיל שם) האם רשאי לעשות ע"פ עצמו בחדרי חדרים.</w:t>
      </w:r>
    </w:p>
  </w:footnote>
  <w:footnote w:id="5483">
    <w:p w14:paraId="77F7F2CA" w14:textId="77777777" w:rsidR="006C4368" w:rsidRDefault="006C4368" w:rsidP="006C4368">
      <w:pPr>
        <w:pStyle w:val="Footnote"/>
        <w:bidi/>
      </w:pPr>
      <w:r>
        <w:rPr>
          <w:rStyle w:val="ac"/>
          <w:rtl/>
        </w:rPr>
        <w:footnoteRef/>
      </w:r>
      <w:r>
        <w:rPr>
          <w:rtl/>
        </w:rPr>
        <w:t>וע"ע ש"ש (ו כב) ורע"א (ק' קלו) דל"מ חזקת סברא להכריע בתרי ותרי. [ואכמ"ל].</w:t>
      </w:r>
    </w:p>
  </w:footnote>
  <w:footnote w:id="5484">
    <w:p w14:paraId="7E2A31E8" w14:textId="77777777" w:rsidR="006C4368" w:rsidRDefault="006C4368" w:rsidP="006C4368">
      <w:pPr>
        <w:pStyle w:val="Footnote"/>
        <w:bidi/>
      </w:pPr>
      <w:r>
        <w:rPr>
          <w:rStyle w:val="ac"/>
          <w:rtl/>
        </w:rPr>
        <w:footnoteRef/>
      </w:r>
      <w:r>
        <w:rPr>
          <w:rtl/>
        </w:rPr>
        <w:t>דבמקום תרי ותרי מוקמינן אחזקה דמעיקרא, ומסלקין את העדות. ול"מ חזקת האומדנא להכריע במקום עדות. אבל מהני [לולי העדות] כנגד חזקה דמעיקרא. ועד"ז כת' ה</w:t>
      </w:r>
      <w:r>
        <w:rPr>
          <w:b/>
          <w:bCs/>
          <w:rtl/>
        </w:rPr>
        <w:t>קוב"ש</w:t>
      </w:r>
      <w:r>
        <w:rPr>
          <w:rtl/>
        </w:rPr>
        <w:t xml:space="preserve"> (ב"ב קלג) דבספק הנוטה ורגליים לדבר לא מוקמי' אחזקה, ואף שאינו בירור גמור. ואף דל"מ אומדנא נגד העדים. אבל הכא אינו מסלק הספק, ואי"צ להכריע נגד העדים.</w:t>
      </w:r>
    </w:p>
  </w:footnote>
  <w:footnote w:id="5485">
    <w:p w14:paraId="33C97B4E" w14:textId="77777777" w:rsidR="006C4368" w:rsidRDefault="006C4368" w:rsidP="006C4368">
      <w:pPr>
        <w:pStyle w:val="Footnote"/>
        <w:bidi/>
      </w:pPr>
      <w:r>
        <w:rPr>
          <w:rStyle w:val="ac"/>
          <w:rtl/>
        </w:rPr>
        <w:footnoteRef/>
      </w:r>
      <w:r>
        <w:rPr>
          <w:rtl/>
        </w:rPr>
        <w:t>אך ה</w:t>
      </w:r>
      <w:r>
        <w:rPr>
          <w:b/>
          <w:bCs/>
          <w:rtl/>
        </w:rPr>
        <w:t>קוב"ש</w:t>
      </w:r>
      <w:r>
        <w:rPr>
          <w:rtl/>
        </w:rPr>
        <w:t xml:space="preserve"> הק' דלענין נכרי מסיח לפי תומו עדות אשה באמת קיל מכל האיסורין, דבכל איסורין דאורייתא אינו נאמן. וצ"ע.</w:t>
      </w:r>
    </w:p>
  </w:footnote>
  <w:footnote w:id="5486">
    <w:p w14:paraId="538C3A13" w14:textId="77777777" w:rsidR="006C4368" w:rsidRDefault="006C4368" w:rsidP="006C4368">
      <w:pPr>
        <w:pStyle w:val="Footnote"/>
        <w:bidi/>
      </w:pPr>
      <w:r>
        <w:rPr>
          <w:rStyle w:val="ac"/>
          <w:rtl/>
        </w:rPr>
        <w:footnoteRef/>
      </w:r>
      <w:r>
        <w:rPr>
          <w:rtl/>
        </w:rPr>
        <w:t>דאין סברא לומר דמשום עיגונא נקל בעדות אשה יותר מבכל האיסורין. [ועד"ז כת' הרשב"א וריטב"א לפרש דברי הגמ' לעיל פז: (דלא כרש"י ותוס' שם), אלא דמדברי הרשב"א והריטב"א נראה דלמסקנא הוה נאמנות מצד אחר. והקוב"ש ביאר דלדברי תוס' כתובות מסקנת הגמ' דלא איתחזק איסורא דאשת איש, כיון דדייקא ומינסבא].</w:t>
      </w:r>
    </w:p>
  </w:footnote>
  <w:footnote w:id="5487">
    <w:p w14:paraId="459CC378" w14:textId="77777777" w:rsidR="006C4368" w:rsidRDefault="006C4368" w:rsidP="006C4368">
      <w:pPr>
        <w:pStyle w:val="Footnote"/>
        <w:bidi/>
      </w:pPr>
      <w:r>
        <w:rPr>
          <w:rStyle w:val="ac"/>
          <w:rtl/>
        </w:rPr>
        <w:footnoteRef/>
      </w:r>
      <w:r>
        <w:rPr>
          <w:rtl/>
        </w:rPr>
        <w:t>ה</w:t>
      </w:r>
      <w:r>
        <w:rPr>
          <w:b/>
          <w:bCs/>
          <w:rtl/>
        </w:rPr>
        <w:t>חכ"צ</w:t>
      </w:r>
      <w:r>
        <w:rPr>
          <w:rtl/>
        </w:rPr>
        <w:t xml:space="preserve"> (ג ד"ה ומה שהקשה עוד) כת' דכ"ז למ"ד נשאת ע"פ עדים מותרת לחזור לו. אבל אנן קי"ל (לקמן צא:) דאף ע"פ עדים אסורה. א"כ אף בזה שייך דייקא. [אך יל"ד דמ"מ היכא דסומכת על עדות גמורה אינה צריכה לבדוק, וכדאי' (צא:) דמאי הו"ל למיעבד].</w:t>
      </w:r>
    </w:p>
    <w:p w14:paraId="2A03A0E5" w14:textId="77777777" w:rsidR="006C4368" w:rsidRDefault="006C4368" w:rsidP="006C4368">
      <w:pPr>
        <w:pStyle w:val="Footnote"/>
        <w:bidi/>
      </w:pPr>
      <w:r>
        <w:rPr>
          <w:rtl/>
        </w:rPr>
        <w:tab/>
        <w:t>וה</w:t>
      </w:r>
      <w:r>
        <w:rPr>
          <w:b/>
          <w:bCs/>
          <w:rtl/>
        </w:rPr>
        <w:t>ריטב"א</w:t>
      </w:r>
      <w:r>
        <w:rPr>
          <w:rtl/>
        </w:rPr>
        <w:t xml:space="preserve"> (כתובות כב:) הק' אמאי בעינן בסוגיין עדים, הא כיון דאומרת ברי לי, האשה שאומרת דמת בעלי נשאת ע"פ עצמה. ותי' דבעלמא דייקא ומינסבא, אבל הכא כיון דאיכא עדים סמכא אעדים. [אך קו' הריטב"א צ"ב, דאיירי בסוגיין דב' עדים מכחישין אותה. וכה"ג ודאי צריך עדות].</w:t>
      </w:r>
    </w:p>
  </w:footnote>
  <w:footnote w:id="5488">
    <w:p w14:paraId="684043E9" w14:textId="77777777" w:rsidR="006C4368" w:rsidRDefault="006C4368" w:rsidP="006C4368">
      <w:pPr>
        <w:pStyle w:val="Footnote"/>
        <w:bidi/>
      </w:pPr>
      <w:r>
        <w:rPr>
          <w:rStyle w:val="ac"/>
          <w:rtl/>
        </w:rPr>
        <w:footnoteRef/>
      </w:r>
      <w:r>
        <w:rPr>
          <w:rtl/>
        </w:rPr>
        <w:t>ועוד הביא ה</w:t>
      </w:r>
      <w:r>
        <w:rPr>
          <w:b/>
          <w:bCs/>
          <w:rtl/>
        </w:rPr>
        <w:t>מהרש"א</w:t>
      </w:r>
      <w:r>
        <w:rPr>
          <w:rtl/>
        </w:rPr>
        <w:t xml:space="preserve"> ד</w:t>
      </w:r>
      <w:r>
        <w:rPr>
          <w:b/>
          <w:bCs/>
          <w:rtl/>
        </w:rPr>
        <w:t>תוס</w:t>
      </w:r>
      <w:r>
        <w:rPr>
          <w:rtl/>
        </w:rPr>
        <w:t>' (לקמן צג: ד"ה מאי) נקטו דאף גבי יבם בתרי ותרי ואומרים ברי לי לא תצא, וכמו בסוגיין. ואף דתוס' (שם ד"ה עד) דנו דל"ש ביבמה דייקא, דהיכא דבא בעלה חוזרת לו. וע"כ דאף היכא דלא איתרע החזקה מהני ברי בתרי ותרי [וסותר למש"כ בסוגיין].</w:t>
      </w:r>
    </w:p>
  </w:footnote>
  <w:footnote w:id="5489">
    <w:p w14:paraId="047A2FDE" w14:textId="77777777" w:rsidR="006C4368" w:rsidRDefault="006C4368" w:rsidP="006C4368">
      <w:pPr>
        <w:pStyle w:val="Footnote"/>
        <w:bidi/>
      </w:pPr>
      <w:r>
        <w:rPr>
          <w:rStyle w:val="ac"/>
          <w:rtl/>
        </w:rPr>
        <w:footnoteRef/>
      </w:r>
      <w:r>
        <w:rPr>
          <w:rtl/>
        </w:rPr>
        <w:t>אבל ה</w:t>
      </w:r>
      <w:r>
        <w:rPr>
          <w:b/>
          <w:bCs/>
          <w:rtl/>
        </w:rPr>
        <w:t>קרנ"ר</w:t>
      </w:r>
      <w:r>
        <w:rPr>
          <w:rtl/>
        </w:rPr>
        <w:t xml:space="preserve"> כת' דה"מ תרי ותרי דהתם, אבל הכא שבעלה בא לפנינו ולא ידעינן ליה דאיכא תרי ותרי, א"כ שוב ל"ש שיתברר [דתרי כמאה, ואין גלוי לכל העולם]. ומש"ה ליכא חומר בסופה. וביאר דזה קו' המהרש"א. [אך תוס' נקטו דמ"מ אילו יזומו או יפסלו בגזלנות יש חומר בסופה].</w:t>
      </w:r>
    </w:p>
  </w:footnote>
  <w:footnote w:id="5490">
    <w:p w14:paraId="5E8B128A" w14:textId="77777777" w:rsidR="006C4368" w:rsidRDefault="006C4368" w:rsidP="006C4368">
      <w:pPr>
        <w:pStyle w:val="Footnote"/>
        <w:bidi/>
      </w:pPr>
      <w:r>
        <w:rPr>
          <w:rStyle w:val="ac"/>
          <w:rtl/>
        </w:rPr>
        <w:footnoteRef/>
      </w:r>
      <w:r>
        <w:rPr>
          <w:rtl/>
        </w:rPr>
        <w:t>ודנו דמשמע (בע"א) דגזרו חומר בסופה, כדי להקל עליה בתחילתה [משום עיגונא, שתוכל לינשא ע"פ עד א']. ויל"ד האם אף בתרי ותרי תקנו כדי להקל, שיהא חומר בסופה כדי להרע לחזקתה, שתוכל לסמוך על טענת ברי דידה. או דילמא החומר בסופה בתרי ותרי הוה קנס לחוד.</w:t>
      </w:r>
    </w:p>
    <w:p w14:paraId="18532F7F" w14:textId="77777777" w:rsidR="006C4368" w:rsidRDefault="006C4368" w:rsidP="006C4368">
      <w:pPr>
        <w:pStyle w:val="Footnote"/>
        <w:bidi/>
      </w:pPr>
      <w:r>
        <w:rPr>
          <w:rtl/>
        </w:rPr>
        <w:tab/>
        <w:t>והעירו דבתרי ותרי וטענת ברי לכתחילה לא תנשא, ורק נשאת לא תצא. א"כ ל"ש לומר דהקילו משום עיגונא. אך בנשאת ע"פ עדים ואח"כ מכחישים, לא תצא [אף לכתחילה].</w:t>
      </w:r>
    </w:p>
  </w:footnote>
  <w:footnote w:id="5491">
    <w:p w14:paraId="4A51DC2D" w14:textId="77777777" w:rsidR="006C4368" w:rsidRDefault="006C4368" w:rsidP="006C4368">
      <w:pPr>
        <w:pStyle w:val="Footnote"/>
        <w:bidi/>
      </w:pPr>
      <w:r>
        <w:rPr>
          <w:rStyle w:val="ac"/>
          <w:rtl/>
        </w:rPr>
        <w:footnoteRef/>
      </w:r>
      <w:r>
        <w:rPr>
          <w:rtl/>
        </w:rPr>
        <w:t>ומבואר דתוס' דידן ס"ל דאף היכא דאינה טוענת ברי, אפי' אמרי' דדייקא ומינסבא. וכדמבואר (בע"א) דנשאת ע"פ עד א' ואמרי' דדייקא ומינסבא. ואף דאי"צ לטעון 'ברי'. [אלא דאנן אמדינן שהיא תברר, ואין לבה נוקפה]. וכ"כ ה</w:t>
      </w:r>
      <w:r>
        <w:rPr>
          <w:b/>
          <w:bCs/>
          <w:rtl/>
        </w:rPr>
        <w:t>בי"ש</w:t>
      </w:r>
      <w:r>
        <w:rPr>
          <w:rtl/>
        </w:rPr>
        <w:t xml:space="preserve"> (קנב ה) דאף שאינה טוענת ברי, אמרי' דע"כ דייקא.</w:t>
      </w:r>
    </w:p>
  </w:footnote>
  <w:footnote w:id="5492">
    <w:p w14:paraId="4178774D" w14:textId="77777777" w:rsidR="006C4368" w:rsidRDefault="006C4368" w:rsidP="006C4368">
      <w:pPr>
        <w:pStyle w:val="Footnote"/>
        <w:bidi/>
      </w:pPr>
      <w:r>
        <w:rPr>
          <w:rStyle w:val="ac"/>
          <w:rtl/>
        </w:rPr>
        <w:footnoteRef/>
      </w:r>
      <w:r>
        <w:rPr>
          <w:rtl/>
        </w:rPr>
        <w:t>ושוב תי' דאיירי שנשאת ע"פ עצמה [שאומרת דמת בעלה], ואח"כ באו תרי ותרי. דשייך דייקא קודם שבאו העדים.</w:t>
      </w:r>
    </w:p>
  </w:footnote>
  <w:footnote w:id="5493">
    <w:p w14:paraId="45858D5A" w14:textId="77777777" w:rsidR="006C4368" w:rsidRDefault="006C4368" w:rsidP="006C4368">
      <w:pPr>
        <w:pStyle w:val="Footnote"/>
        <w:bidi/>
      </w:pPr>
      <w:r>
        <w:rPr>
          <w:rStyle w:val="ac"/>
          <w:rtl/>
        </w:rPr>
        <w:footnoteRef/>
      </w:r>
      <w:r>
        <w:rPr>
          <w:rtl/>
        </w:rPr>
        <w:t>דיש 'חזקה' ע"פ מה שנהגה היתר, ונחשב 'מוחזק' בהיתר, ואין מוציאין מידו. [ומבואר בדבריהם דסברא זו מהני מדאורייתא].</w:t>
      </w:r>
    </w:p>
  </w:footnote>
  <w:footnote w:id="5494">
    <w:p w14:paraId="2F8CA15E" w14:textId="77777777" w:rsidR="006C4368" w:rsidRDefault="006C4368" w:rsidP="006C4368">
      <w:pPr>
        <w:pStyle w:val="Footnote"/>
        <w:bidi/>
      </w:pPr>
      <w:r>
        <w:rPr>
          <w:rStyle w:val="ac"/>
          <w:rtl/>
        </w:rPr>
        <w:footnoteRef/>
      </w:r>
      <w:r>
        <w:rPr>
          <w:rtl/>
        </w:rPr>
        <w:t>וה</w:t>
      </w:r>
      <w:r>
        <w:rPr>
          <w:b/>
          <w:bCs/>
          <w:rtl/>
        </w:rPr>
        <w:t>חכ"צ</w:t>
      </w:r>
      <w:r>
        <w:rPr>
          <w:rtl/>
        </w:rPr>
        <w:t xml:space="preserve"> כת' דכ"ה דעת ר' יצחק ב"ב, אבל ר"י בעל התוס' (שם) פליג, דעדיין קיימא בחזקתה.</w:t>
      </w:r>
    </w:p>
  </w:footnote>
  <w:footnote w:id="5495">
    <w:p w14:paraId="41176DA9" w14:textId="77777777" w:rsidR="006C4368" w:rsidRDefault="006C4368" w:rsidP="006C4368">
      <w:pPr>
        <w:pStyle w:val="Footnote"/>
        <w:bidi/>
      </w:pPr>
      <w:r>
        <w:rPr>
          <w:rStyle w:val="ac"/>
          <w:rtl/>
        </w:rPr>
        <w:footnoteRef/>
      </w:r>
      <w:r>
        <w:rPr>
          <w:rtl/>
        </w:rPr>
        <w:t>ו</w:t>
      </w:r>
      <w:r>
        <w:rPr>
          <w:b/>
          <w:bCs/>
          <w:rtl/>
        </w:rPr>
        <w:t>תוס</w:t>
      </w:r>
      <w:r>
        <w:rPr>
          <w:rtl/>
        </w:rPr>
        <w:t>' (שם) ס"ד דהטעם משום דאינה מעיזה פניה לומר שנתגרשה. ותוס' דחו דשלא בפני בעלה מעיזה ומעיזה, ועוד היכא דאיכא עדים דקא מסייעי לה מעיזה ומעיזה.</w:t>
      </w:r>
    </w:p>
  </w:footnote>
  <w:footnote w:id="5496">
    <w:p w14:paraId="3AD6D66B" w14:textId="77777777" w:rsidR="006C4368" w:rsidRDefault="006C4368" w:rsidP="006C4368">
      <w:pPr>
        <w:pStyle w:val="Footnote"/>
        <w:bidi/>
      </w:pPr>
      <w:r>
        <w:rPr>
          <w:rStyle w:val="ac"/>
          <w:rtl/>
        </w:rPr>
        <w:footnoteRef/>
      </w:r>
      <w:r>
        <w:rPr>
          <w:rtl/>
        </w:rPr>
        <w:t>ואף דטוענים ברי לכתחילה לא תנשא, כיון דאצל הבי"ד הוה תרי ותרי. [ורק בדיעבד שכבר נשא סמכינן אטענת ברי, שלא להוציא אשתו מתחת ידו. ואפשר דהוה משום מעלה ביוחסין שלא תינשא לכתחילה].</w:t>
      </w:r>
    </w:p>
  </w:footnote>
  <w:footnote w:id="5497">
    <w:p w14:paraId="5EECA188" w14:textId="77777777" w:rsidR="006C4368" w:rsidRDefault="006C4368" w:rsidP="006C4368">
      <w:pPr>
        <w:pStyle w:val="Footnote"/>
        <w:bidi/>
      </w:pPr>
      <w:r>
        <w:rPr>
          <w:rStyle w:val="ac"/>
          <w:rtl/>
        </w:rPr>
        <w:footnoteRef/>
      </w:r>
      <w:r>
        <w:rPr>
          <w:rtl/>
        </w:rPr>
        <w:t>כ"ה מסקנת הר"א ברודא והחכ"צ (בשו"ת חכ"צ ב-ג).</w:t>
      </w:r>
    </w:p>
    <w:p w14:paraId="36FDD65E" w14:textId="77777777" w:rsidR="006C4368" w:rsidRDefault="006C4368" w:rsidP="006C4368">
      <w:pPr>
        <w:pStyle w:val="Footnote"/>
        <w:bidi/>
      </w:pPr>
      <w:r>
        <w:rPr>
          <w:rtl/>
        </w:rPr>
        <w:tab/>
        <w:t>והחכ"צ הביא דה</w:t>
      </w:r>
      <w:r>
        <w:rPr>
          <w:b/>
          <w:bCs/>
          <w:rtl/>
        </w:rPr>
        <w:t>ר"א ברודא</w:t>
      </w:r>
      <w:r>
        <w:rPr>
          <w:rtl/>
        </w:rPr>
        <w:t xml:space="preserve"> נקט דאף היכא דנשאת בלא היתר חכם, ואח"כ נתברר ע"פ עדים [שמת בעלה מעיקרא] כופין להוציא. כיון דתחילת הנישואין היה באיסור. וה</w:t>
      </w:r>
      <w:r>
        <w:rPr>
          <w:b/>
          <w:bCs/>
          <w:rtl/>
        </w:rPr>
        <w:t>חכ"צ</w:t>
      </w:r>
      <w:r>
        <w:rPr>
          <w:rtl/>
        </w:rPr>
        <w:t xml:space="preserve"> חלק דאין כופין לגרש שהרי איגלאי מילתא למפרע דבהיתר נישאת. ועוד דבכמה איסורין דרבנן אם נשאת לא תצא, ומנ"ל דהחמירו בזה.</w:t>
      </w:r>
    </w:p>
  </w:footnote>
  <w:footnote w:id="5498">
    <w:p w14:paraId="4315A692" w14:textId="77777777" w:rsidR="006C4368" w:rsidRDefault="006C4368" w:rsidP="006C4368">
      <w:pPr>
        <w:pStyle w:val="Footnote"/>
        <w:bidi/>
      </w:pPr>
      <w:r>
        <w:rPr>
          <w:rStyle w:val="ac"/>
          <w:rtl/>
        </w:rPr>
        <w:footnoteRef/>
      </w:r>
      <w:r>
        <w:rPr>
          <w:rtl/>
        </w:rPr>
        <w:t>וכדעת תוס' דל"מ טענת ברי היכא שיש חזקה. [ודלא כרשב"א קידושין והמהרש"א הנ"ל].</w:t>
      </w:r>
    </w:p>
  </w:footnote>
  <w:footnote w:id="5499">
    <w:p w14:paraId="30A40163" w14:textId="77777777" w:rsidR="006C4368" w:rsidRDefault="006C4368" w:rsidP="006C4368">
      <w:pPr>
        <w:pStyle w:val="Footnote"/>
        <w:bidi/>
      </w:pPr>
      <w:r>
        <w:rPr>
          <w:rStyle w:val="ac"/>
          <w:rtl/>
        </w:rPr>
        <w:footnoteRef/>
      </w:r>
      <w:r>
        <w:rPr>
          <w:rtl/>
        </w:rPr>
        <w:t>וה</w:t>
      </w:r>
      <w:r>
        <w:rPr>
          <w:b/>
          <w:bCs/>
          <w:rtl/>
        </w:rPr>
        <w:t>ריטב"א</w:t>
      </w:r>
      <w:r>
        <w:rPr>
          <w:rtl/>
        </w:rPr>
        <w:t xml:space="preserve"> (ב"ב שם) ביאר דהיכא דהוכחשו דברי הבי"ד [בתורת ודאי] לא חיישינן לזילותא דבי"ד. ודוקא היכא דעדיין הוה ספק.</w:t>
      </w:r>
    </w:p>
    <w:p w14:paraId="1ED5FE58" w14:textId="77777777" w:rsidR="006C4368" w:rsidRDefault="006C4368" w:rsidP="006C4368">
      <w:pPr>
        <w:pStyle w:val="Footnote"/>
        <w:bidi/>
      </w:pPr>
      <w:r>
        <w:rPr>
          <w:rtl/>
        </w:rPr>
        <w:tab/>
        <w:t>ועד"ז מבאר ה</w:t>
      </w:r>
      <w:r>
        <w:rPr>
          <w:b/>
          <w:bCs/>
          <w:rtl/>
        </w:rPr>
        <w:t>מאירי</w:t>
      </w:r>
      <w:r>
        <w:rPr>
          <w:rtl/>
        </w:rPr>
        <w:t xml:space="preserve"> (שם) דלמ"ד דחיישינן לזילותא דבי"ד </w:t>
      </w:r>
      <w:r>
        <w:rPr>
          <w:rFonts w:ascii="Narkisim" w:eastAsia="Narkisim" w:hAnsi="Narkisim"/>
          <w:rtl/>
        </w:rPr>
        <w:t>יהא זה מוחזק לו עד שיתברר. כיון דהעדים כולם מוכחשים [</w:t>
      </w:r>
      <w:r>
        <w:rPr>
          <w:rtl/>
        </w:rPr>
        <w:t>אמרי' קם דינא] עד שיתברר בראיה ברורה. דכשמביא ראיה סותר את הדין, ואין בזה משום קם דינא.</w:t>
      </w:r>
    </w:p>
  </w:footnote>
  <w:footnote w:id="5500">
    <w:p w14:paraId="128B4579" w14:textId="77777777" w:rsidR="006C4368" w:rsidRDefault="006C4368" w:rsidP="006C4368">
      <w:pPr>
        <w:pStyle w:val="Footnote"/>
        <w:bidi/>
      </w:pPr>
      <w:r>
        <w:rPr>
          <w:rStyle w:val="ac"/>
          <w:rtl/>
        </w:rPr>
        <w:footnoteRef/>
      </w:r>
      <w:r>
        <w:rPr>
          <w:rtl/>
        </w:rPr>
        <w:t>והגמ' (שם) דוחה דלא חיישינן לזילותא דבי"ד, ולא פי' במה דחו הראיה מר' מנחם בר"י. [ובפשוטו משמע שם דקי"ל כאינך תנאים].</w:t>
      </w:r>
    </w:p>
  </w:footnote>
  <w:footnote w:id="5501">
    <w:p w14:paraId="03F4DBB9" w14:textId="77777777" w:rsidR="006C4368" w:rsidRDefault="006C4368" w:rsidP="006C4368">
      <w:pPr>
        <w:pStyle w:val="Footnote"/>
        <w:bidi/>
      </w:pPr>
      <w:r>
        <w:rPr>
          <w:rStyle w:val="ac"/>
          <w:rtl/>
        </w:rPr>
        <w:footnoteRef/>
      </w:r>
      <w:r>
        <w:rPr>
          <w:rtl/>
        </w:rPr>
        <w:t>אך צ"ע דלרבנן הקילו אף בנשאת באיסור שלא תצא. א"כ מנ"ל דר' מנחם בר"י ס"ל הך חששא.</w:t>
      </w:r>
    </w:p>
  </w:footnote>
  <w:footnote w:id="5502">
    <w:p w14:paraId="639DF47D" w14:textId="77777777" w:rsidR="006C4368" w:rsidRDefault="006C4368" w:rsidP="006C4368">
      <w:pPr>
        <w:pStyle w:val="Footnote"/>
        <w:bidi/>
      </w:pPr>
      <w:r>
        <w:rPr>
          <w:rStyle w:val="ac"/>
          <w:rtl/>
        </w:rPr>
        <w:footnoteRef/>
      </w:r>
      <w:r>
        <w:rPr>
          <w:rtl/>
        </w:rPr>
        <w:t>וה</w:t>
      </w:r>
      <w:r>
        <w:rPr>
          <w:b/>
          <w:bCs/>
          <w:rtl/>
        </w:rPr>
        <w:t>ר"א ברודא</w:t>
      </w:r>
      <w:r>
        <w:rPr>
          <w:rtl/>
        </w:rPr>
        <w:t xml:space="preserve"> כת' כן משום דבנשאת ואח"כ באו עדים ליכא 'דייקא', ומש"ה עומדת בחזקת אשת איש.</w:t>
      </w:r>
    </w:p>
  </w:footnote>
  <w:footnote w:id="5503">
    <w:p w14:paraId="3DB946A9" w14:textId="77777777" w:rsidR="006C4368" w:rsidRDefault="006C4368" w:rsidP="006C4368">
      <w:pPr>
        <w:pStyle w:val="Footnote"/>
        <w:bidi/>
      </w:pPr>
      <w:r>
        <w:rPr>
          <w:rStyle w:val="ac"/>
          <w:rtl/>
        </w:rPr>
        <w:footnoteRef/>
      </w:r>
      <w:r>
        <w:rPr>
          <w:rtl/>
        </w:rPr>
        <w:t>דה</w:t>
      </w:r>
      <w:r>
        <w:rPr>
          <w:b/>
          <w:bCs/>
          <w:rtl/>
        </w:rPr>
        <w:t>רשב"א</w:t>
      </w:r>
      <w:r>
        <w:rPr>
          <w:rtl/>
        </w:rPr>
        <w:t xml:space="preserve"> (שם בסו"ד) כת' דבסוגיה (לקמן צג:) היכא דנתייבמה אמרי' מאי חזית דסמכת אהני. [ולא הזכיר כדברי ה</w:t>
      </w:r>
      <w:r>
        <w:rPr>
          <w:b/>
          <w:bCs/>
          <w:rtl/>
        </w:rPr>
        <w:t>תוס</w:t>
      </w:r>
      <w:r>
        <w:rPr>
          <w:rtl/>
        </w:rPr>
        <w:t>' (צג: ד"ה מאי) באומרת ברי ונשאת לעדיה]. ותדע לך דהא ר' מנחם בר"י מודה דאם נשאת עד שלא באו הני, דאמרי לא תצא. ו</w:t>
      </w:r>
      <w:r>
        <w:rPr>
          <w:b/>
          <w:bCs/>
          <w:rtl/>
        </w:rPr>
        <w:t>מהר"י בירב</w:t>
      </w:r>
      <w:r>
        <w:rPr>
          <w:rtl/>
        </w:rPr>
        <w:t xml:space="preserve"> (נו) כת' דודאי דאף הרשב"א איירי בטוענים ברי. והשעה"מ תמה א"כ מה הביא מדברי ר"מ בר"י, דבטוענים ברי להדיא דלא תצא. ומשמע ברשב"א דהוה חידוש משום שנשאת בהיתר. ומינה למד לרבנן. והשעה"מ הביא דכ"כ ה</w:t>
      </w:r>
      <w:r>
        <w:rPr>
          <w:b/>
          <w:bCs/>
          <w:rtl/>
        </w:rPr>
        <w:t>רדב"ז</w:t>
      </w:r>
      <w:r>
        <w:rPr>
          <w:rtl/>
        </w:rPr>
        <w:t xml:space="preserve"> (ד נז [אלף קכט]) בשם הרשב"א.</w:t>
      </w:r>
    </w:p>
  </w:footnote>
  <w:footnote w:id="5504">
    <w:p w14:paraId="07D8A6C7" w14:textId="77777777" w:rsidR="006C4368" w:rsidRDefault="006C4368" w:rsidP="006C4368">
      <w:pPr>
        <w:pStyle w:val="Footnote"/>
        <w:bidi/>
      </w:pPr>
      <w:r>
        <w:rPr>
          <w:rStyle w:val="ac"/>
          <w:rtl/>
        </w:rPr>
        <w:footnoteRef/>
      </w:r>
      <w:r>
        <w:rPr>
          <w:rtl/>
        </w:rPr>
        <w:t>אך צ"ב טעם הדבר, ומשמע דכיון דנשאת הוחזקה אשתו של שני. ואין מוציאין מחזקתו. [וצ"ע].</w:t>
      </w:r>
    </w:p>
  </w:footnote>
  <w:footnote w:id="5505">
    <w:p w14:paraId="1D82CA8E" w14:textId="77777777" w:rsidR="006C4368" w:rsidRDefault="006C4368" w:rsidP="006C4368">
      <w:pPr>
        <w:pStyle w:val="Footnote"/>
        <w:bidi/>
      </w:pPr>
      <w:r>
        <w:rPr>
          <w:rStyle w:val="ac"/>
          <w:rtl/>
        </w:rPr>
        <w:footnoteRef/>
      </w:r>
      <w:r>
        <w:rPr>
          <w:rtl/>
        </w:rPr>
        <w:t>וה</w:t>
      </w:r>
      <w:r>
        <w:rPr>
          <w:b/>
          <w:bCs/>
          <w:rtl/>
        </w:rPr>
        <w:t>רמב"ם</w:t>
      </w:r>
      <w:r>
        <w:rPr>
          <w:rtl/>
        </w:rPr>
        <w:t xml:space="preserve"> (סה"מ עשה לב, וס' החינוך רסט) כת' דיש מצווה לכבד את הכהן, ואפי' ימאנו אותו לא נשמע מהם. והביא מה</w:t>
      </w:r>
      <w:r>
        <w:rPr>
          <w:b/>
          <w:bCs/>
          <w:rtl/>
        </w:rPr>
        <w:t>תו"כ</w:t>
      </w:r>
      <w:r>
        <w:rPr>
          <w:rtl/>
        </w:rPr>
        <w:t xml:space="preserve"> (אמור פרק א יג, דהו' ברייתא דסוגיין) [שאם אינו רוצה דפנו] ת"ל וקדשתו בע"כ וכו' להזהיר בי"ד על כך. והרמב"ם ביאר כי זה צווי נצטוינו בו ואינו בבחירת הכהן.</w:t>
      </w:r>
    </w:p>
    <w:p w14:paraId="3DA16E25" w14:textId="77777777" w:rsidR="006C4368" w:rsidRDefault="006C4368" w:rsidP="006C4368">
      <w:pPr>
        <w:pStyle w:val="Footnote"/>
        <w:bidi/>
      </w:pPr>
      <w:r>
        <w:rPr>
          <w:rtl/>
        </w:rPr>
        <w:tab/>
        <w:t>אבל ה</w:t>
      </w:r>
      <w:r>
        <w:rPr>
          <w:b/>
          <w:bCs/>
          <w:rtl/>
        </w:rPr>
        <w:t>מרדכי</w:t>
      </w:r>
      <w:r>
        <w:rPr>
          <w:rtl/>
        </w:rPr>
        <w:t xml:space="preserve"> (גיטין תסא בשם רבינו פטר) דכהן יכול למחול קדושתו [לשרת את רבו כדו']. וה</w:t>
      </w:r>
      <w:r>
        <w:rPr>
          <w:b/>
          <w:bCs/>
          <w:rtl/>
        </w:rPr>
        <w:t>לבוש</w:t>
      </w:r>
      <w:r>
        <w:rPr>
          <w:rtl/>
        </w:rPr>
        <w:t xml:space="preserve"> ביאר [דברי המרדכי] דדרשי' וקדשתו, אתה מצווה להקדישו, אבל הוא אינו מצווה שיחזיק עצמו בקדושה. וה</w:t>
      </w:r>
      <w:r>
        <w:rPr>
          <w:b/>
          <w:bCs/>
          <w:rtl/>
        </w:rPr>
        <w:t>ט"ז</w:t>
      </w:r>
      <w:r>
        <w:rPr>
          <w:rtl/>
        </w:rPr>
        <w:t xml:space="preserve"> (או"ח קכח לט) הק' דדרשי' כאן 'וקדשתו בע"כ', דכופין אותו שיגרש [דדפנו, ומיסרין אותו ביסורין] ואמאי לא נימא שהוא מוחל על קדושתו. והט"ז תי' דדוקא התם מהני מחילה כיון דיש לו הנאה בזה.</w:t>
      </w:r>
    </w:p>
    <w:p w14:paraId="750B62FF" w14:textId="77777777" w:rsidR="006C4368" w:rsidRDefault="006C4368" w:rsidP="006C4368">
      <w:pPr>
        <w:pStyle w:val="Footnote"/>
        <w:bidi/>
      </w:pPr>
      <w:r>
        <w:rPr>
          <w:rtl/>
        </w:rPr>
        <w:tab/>
        <w:t>וה</w:t>
      </w:r>
      <w:r>
        <w:rPr>
          <w:b/>
          <w:bCs/>
          <w:rtl/>
        </w:rPr>
        <w:t>פוסקים</w:t>
      </w:r>
      <w:r>
        <w:rPr>
          <w:rtl/>
        </w:rPr>
        <w:t xml:space="preserve"> תי' דבאיסורי התורה ודאי ל"מ מחילה על הכהונה. ודוקא במה שהתורה נתנה לו לטובתו [כגון מנה יפה תחילה] דעת ר' פטר דמהני מחילה.</w:t>
      </w:r>
    </w:p>
  </w:footnote>
  <w:footnote w:id="5506">
    <w:p w14:paraId="50E1BD82" w14:textId="77777777" w:rsidR="006C4368" w:rsidRDefault="006C4368" w:rsidP="006C4368">
      <w:pPr>
        <w:pStyle w:val="Footnote"/>
        <w:bidi/>
      </w:pPr>
      <w:r>
        <w:rPr>
          <w:rStyle w:val="ac"/>
          <w:rtl/>
        </w:rPr>
        <w:footnoteRef/>
      </w:r>
      <w:r>
        <w:rPr>
          <w:rtl/>
        </w:rPr>
        <w:t>ומבואר דלא איצטריך קרא, ולא היה ס"ד דמהני מחילה על מעלת כהונתו. [ע' לעיל]. ויל"ד לדברי הרמב"ם (בהערה קודמת) דאיצטריך ילפי' מינה דל"מ מחילה אף על דין כבוד הכהנים. ואפשר דאף זה סברא, וסמך בעלמא.</w:t>
      </w:r>
    </w:p>
  </w:footnote>
  <w:footnote w:id="5507">
    <w:p w14:paraId="7F2FFB37" w14:textId="77777777" w:rsidR="006C4368" w:rsidRDefault="006C4368" w:rsidP="006C4368">
      <w:pPr>
        <w:pStyle w:val="Footnote"/>
        <w:bidi/>
      </w:pPr>
      <w:r>
        <w:rPr>
          <w:rStyle w:val="ac"/>
          <w:rtl/>
        </w:rPr>
        <w:footnoteRef/>
      </w:r>
      <w:r>
        <w:rPr>
          <w:rtl/>
        </w:rPr>
        <w:t>והביא דכ"ד רש"י (קידושין עג.). וכן רש"י (חולין כב:).</w:t>
      </w:r>
    </w:p>
  </w:footnote>
  <w:footnote w:id="5508">
    <w:p w14:paraId="6EC568C2" w14:textId="77777777" w:rsidR="006C4368" w:rsidRDefault="006C4368" w:rsidP="006C4368">
      <w:pPr>
        <w:pStyle w:val="Footnote"/>
        <w:bidi/>
      </w:pPr>
      <w:r>
        <w:rPr>
          <w:rStyle w:val="ac"/>
          <w:rtl/>
        </w:rPr>
        <w:footnoteRef/>
      </w:r>
      <w:r>
        <w:rPr>
          <w:rtl/>
        </w:rPr>
        <w:t>בפשוטו משמע דבאו עכשיו עדים שהיה חי בשעה שנשאת [ע"פ עדים הראשונים], ואיירי בנשאת ואח"כ באו עדים. דאי באו עדים ואח"כ נשאת א"כ אין חילוק בין כהן לישראל, דעדים מעידים בשעה זו בעלה קיים. [ולא שמענו שהחמירו טפי בכהן בספק אשת איש, כיון דאילו אסורה עליו הוה ג"כ זונה]. {ודוחק להעמיד קרא דבאו עדים ואח"כ נשאת, ומוטל על בי"ד להוציאם. אלא אדהכי מת בעלה, ומש"ה אשת ישראל אי"צ להוציא מדאורייתא}. וע"כ צ"ל דנשאת ואח"כ באו עדים שחי היה ואח"כ מת, והנידון משום איסור זונה לכהן.</w:t>
      </w:r>
    </w:p>
    <w:p w14:paraId="2650DD61" w14:textId="77777777" w:rsidR="006C4368" w:rsidRDefault="006C4368" w:rsidP="006C4368">
      <w:pPr>
        <w:pStyle w:val="Footnote"/>
        <w:bidi/>
      </w:pPr>
      <w:r>
        <w:rPr>
          <w:rtl/>
        </w:rPr>
        <w:tab/>
        <w:t>[וילה"ע דכה"ג גדר 'דייקא ומינסבא' הוה ממה שנשארת תחת בעלה, וא"כ י"ל דבי"ד מצויין להפרישם קודם שבאו לידי בירור זה, דעדיין הוה בחזקת איסור].</w:t>
      </w:r>
    </w:p>
  </w:footnote>
  <w:footnote w:id="5509">
    <w:p w14:paraId="0749924E" w14:textId="77777777" w:rsidR="006C4368" w:rsidRDefault="006C4368" w:rsidP="006C4368">
      <w:pPr>
        <w:pStyle w:val="Footnote"/>
        <w:bidi/>
      </w:pPr>
      <w:r>
        <w:rPr>
          <w:rStyle w:val="ac"/>
          <w:rtl/>
        </w:rPr>
        <w:footnoteRef/>
      </w:r>
      <w:r>
        <w:rPr>
          <w:rtl/>
        </w:rPr>
        <w:t>ומדרבנן אף ישראל תצא מזה ומזה, ואסורה לשני לעולם מדין סוטה לבועל. אבל הך דרשא מדאורייתא, ואינה סוטה מדאורייתא כיון שהיא אנוסה [וכמ"ש רש"י לעיל יא., וה</w:t>
      </w:r>
      <w:r>
        <w:rPr>
          <w:b/>
          <w:bCs/>
          <w:rtl/>
        </w:rPr>
        <w:t>רש"ש</w:t>
      </w:r>
      <w:r>
        <w:rPr>
          <w:rtl/>
        </w:rPr>
        <w:t xml:space="preserve"> כת' כן בלשון אפשר, ע' בסמוך]. ואסורה רק לכהן משום זונה. [וכ"כ בקו' המהרח"ש, והוסיף דכיון דלא נתברר לבסוף שבא בעלה אף לא גזרו מדרבנן דתצא מזה ומזה].</w:t>
      </w:r>
    </w:p>
    <w:p w14:paraId="2C7E796D" w14:textId="77777777" w:rsidR="006C4368" w:rsidRDefault="006C4368" w:rsidP="006C4368">
      <w:pPr>
        <w:pStyle w:val="Footnote"/>
        <w:bidi/>
      </w:pPr>
      <w:r>
        <w:rPr>
          <w:rtl/>
        </w:rPr>
        <w:tab/>
        <w:t>[ובשעה שנשאת הוה ע"פ ב' עדים, ורק אח"כ הכחישום והוה תרי ותרי. אך באופן דבאו עדים ואח"כ נשאת (ע' הערה לעיל) במקום תרי ותרי י"ל דלא חשיב אונס. וה</w:t>
      </w:r>
      <w:r>
        <w:rPr>
          <w:b/>
          <w:bCs/>
          <w:rtl/>
        </w:rPr>
        <w:t>אחרונים</w:t>
      </w:r>
      <w:r>
        <w:rPr>
          <w:rtl/>
        </w:rPr>
        <w:t xml:space="preserve"> (מהרח"ש) הק' דלל"ב איירי בסוגיין בבאו עדים ואח"כ נשאת. וע"כ דהך תי' איירי באופ"א].</w:t>
      </w:r>
    </w:p>
    <w:p w14:paraId="0B052231" w14:textId="77777777" w:rsidR="006C4368" w:rsidRDefault="006C4368" w:rsidP="006C4368">
      <w:pPr>
        <w:pStyle w:val="Footnote"/>
        <w:bidi/>
      </w:pPr>
      <w:r>
        <w:rPr>
          <w:rtl/>
        </w:rPr>
        <w:tab/>
        <w:t>אך יש שהעירו דאיירי בטוענת ברי ונשאת לא' מעדיה, ועל הצד שבאמת חי נמצא ששקרו במזיד, ותאסר מדין סוטה דאורייתא. [אך י"ל שאף שהאשה שקרה, מ"מ נשאת ע"פ העדים. וכיון שהיא אנוסה אינה נאסרת, אף אי הבועל הוא מזיד לגמ' כתובות ט. ואכמ"ל].</w:t>
      </w:r>
    </w:p>
  </w:footnote>
  <w:footnote w:id="5510">
    <w:p w14:paraId="5EFD723D" w14:textId="77777777" w:rsidR="006C4368" w:rsidRDefault="006C4368" w:rsidP="006C4368">
      <w:pPr>
        <w:pStyle w:val="Footnote"/>
        <w:bidi/>
      </w:pPr>
      <w:r>
        <w:rPr>
          <w:rStyle w:val="ac"/>
          <w:rtl/>
        </w:rPr>
        <w:footnoteRef/>
      </w:r>
      <w:r>
        <w:rPr>
          <w:rtl/>
        </w:rPr>
        <w:t>ויש לדחות דאיירי שאף הכהן טוען ברי. ומהני מה שנשאת לראשון דאמרי' דכלפי השני נשאת לא תצא.</w:t>
      </w:r>
    </w:p>
  </w:footnote>
  <w:footnote w:id="5511">
    <w:p w14:paraId="3C147018" w14:textId="77777777" w:rsidR="006C4368" w:rsidRDefault="006C4368" w:rsidP="006C4368">
      <w:pPr>
        <w:pStyle w:val="Footnote"/>
        <w:bidi/>
      </w:pPr>
      <w:r>
        <w:rPr>
          <w:rStyle w:val="ac"/>
          <w:rtl/>
        </w:rPr>
        <w:footnoteRef/>
      </w:r>
      <w:r>
        <w:rPr>
          <w:rtl/>
        </w:rPr>
        <w:t>וב</w:t>
      </w:r>
      <w:r>
        <w:rPr>
          <w:b/>
          <w:bCs/>
          <w:rtl/>
        </w:rPr>
        <w:t>נמוק"י הגרי"ב</w:t>
      </w:r>
      <w:r>
        <w:rPr>
          <w:rtl/>
        </w:rPr>
        <w:t xml:space="preserve"> הביא דהך ברייתא הוה בתו"כ (אמור) ומש"ה הק' לרב, וכמ"ש הרמב"ם (בהקדמה) דרב חיבר את התו"כ.</w:t>
      </w:r>
    </w:p>
  </w:footnote>
  <w:footnote w:id="5512">
    <w:p w14:paraId="771D0BB4" w14:textId="77777777" w:rsidR="006C4368" w:rsidRDefault="006C4368" w:rsidP="006C4368">
      <w:pPr>
        <w:pStyle w:val="Footnote"/>
        <w:bidi/>
      </w:pPr>
      <w:r>
        <w:rPr>
          <w:rStyle w:val="ac"/>
          <w:rtl/>
        </w:rPr>
        <w:footnoteRef/>
      </w:r>
      <w:r>
        <w:rPr>
          <w:rtl/>
        </w:rPr>
        <w:t>וה</w:t>
      </w:r>
      <w:r>
        <w:rPr>
          <w:b/>
          <w:bCs/>
          <w:rtl/>
        </w:rPr>
        <w:t>שערי חיים</w:t>
      </w:r>
      <w:r>
        <w:rPr>
          <w:rtl/>
        </w:rPr>
        <w:t xml:space="preserve"> ביאר דהוה הלכה מחודשת בכהונה שמוטל על הבי"ד לשמור ולדאוג שיתקיים קדושת הכהונה. ומש"ה הוה ספק של הבי"ד, ול"מ טענת ברי דידהו.</w:t>
      </w:r>
    </w:p>
    <w:p w14:paraId="3056E111" w14:textId="77777777" w:rsidR="006C4368" w:rsidRDefault="006C4368" w:rsidP="006C4368">
      <w:pPr>
        <w:pStyle w:val="Footnote"/>
        <w:bidi/>
      </w:pPr>
      <w:r>
        <w:rPr>
          <w:rtl/>
        </w:rPr>
        <w:tab/>
        <w:t>והשערי חיים ביאר עד"ז גדרי תקנת שבויה דאינם נאמנים על עצמן [בדין דרבנן]. וה</w:t>
      </w:r>
      <w:r>
        <w:rPr>
          <w:b/>
          <w:bCs/>
          <w:rtl/>
        </w:rPr>
        <w:t>עורך</w:t>
      </w:r>
      <w:r>
        <w:rPr>
          <w:rtl/>
        </w:rPr>
        <w:t xml:space="preserve"> העיר דכ"ז תלי בתי' הגמ' כאן, ולאידך לישני אין חילוק בין אפרושי מאיסורא דאיסור אשת איש לאיסור כהונה.</w:t>
      </w:r>
    </w:p>
  </w:footnote>
  <w:footnote w:id="5513">
    <w:p w14:paraId="10051994" w14:textId="77777777" w:rsidR="006C4368" w:rsidRDefault="006C4368" w:rsidP="006C4368">
      <w:pPr>
        <w:pStyle w:val="Footnote"/>
        <w:bidi/>
      </w:pPr>
      <w:r>
        <w:rPr>
          <w:rStyle w:val="ac"/>
          <w:rtl/>
        </w:rPr>
        <w:footnoteRef/>
      </w:r>
      <w:r>
        <w:rPr>
          <w:rtl/>
        </w:rPr>
        <w:t>ויש שפי' דהבי"ד יש להם גדר אפוטרופוס לשמור על קדושתו. וכמו שמוטל על אפוטרופוס של יתומים להפך בזכות היתומים בכל דרך שאפשר, ואף ע"י עדות הכחשה והזמה.</w:t>
      </w:r>
    </w:p>
  </w:footnote>
  <w:footnote w:id="5514">
    <w:p w14:paraId="2EB2F26C" w14:textId="77777777" w:rsidR="006C4368" w:rsidRDefault="006C4368" w:rsidP="006C4368">
      <w:pPr>
        <w:pStyle w:val="Footnote"/>
        <w:bidi/>
      </w:pPr>
      <w:r>
        <w:rPr>
          <w:rStyle w:val="ac"/>
          <w:rtl/>
        </w:rPr>
        <w:footnoteRef/>
      </w:r>
      <w:r>
        <w:rPr>
          <w:rtl/>
        </w:rPr>
        <w:t>ולכאורה כוונתו דילפי' איסור אף באשת איש כה"ג, מק"ו מאיסור כהונה. [ודלא כאחרונים הנ"ל דהוה דין מיוחד בכהונה].</w:t>
      </w:r>
    </w:p>
  </w:footnote>
  <w:footnote w:id="5515">
    <w:p w14:paraId="220AE0CB" w14:textId="77777777" w:rsidR="006C4368" w:rsidRDefault="006C4368" w:rsidP="006C4368">
      <w:pPr>
        <w:pStyle w:val="Footnote"/>
        <w:bidi/>
      </w:pPr>
      <w:r>
        <w:rPr>
          <w:rStyle w:val="ac"/>
          <w:rtl/>
        </w:rPr>
        <w:footnoteRef/>
      </w:r>
      <w:r>
        <w:rPr>
          <w:rtl/>
        </w:rPr>
        <w:t>אבל לדעת ה</w:t>
      </w:r>
      <w:r>
        <w:rPr>
          <w:b/>
          <w:bCs/>
          <w:rtl/>
        </w:rPr>
        <w:t>רמב"ם</w:t>
      </w:r>
      <w:r>
        <w:rPr>
          <w:rtl/>
        </w:rPr>
        <w:t xml:space="preserve"> (יב יט) היכא דאומרת ברי לי לא תצא, וכמו בתרי ותרי.</w:t>
      </w:r>
    </w:p>
  </w:footnote>
  <w:footnote w:id="5516">
    <w:p w14:paraId="165E9122" w14:textId="77777777" w:rsidR="006C4368" w:rsidRDefault="006C4368" w:rsidP="006C4368">
      <w:pPr>
        <w:pStyle w:val="Footnote"/>
        <w:bidi/>
      </w:pPr>
      <w:r>
        <w:rPr>
          <w:rStyle w:val="ac"/>
          <w:rtl/>
        </w:rPr>
        <w:footnoteRef/>
      </w:r>
      <w:r>
        <w:rPr>
          <w:rtl/>
        </w:rPr>
        <w:t>ובסוטה דרשי' דעד א' נאמן מדאורייתא. ואילו בסוגיין קאי בנאמנות ע"א בדרבנן [לדעת רוב הראשונים, ע' בע"א]. וכמ"ש ה</w:t>
      </w:r>
      <w:r>
        <w:rPr>
          <w:b/>
          <w:bCs/>
          <w:rtl/>
        </w:rPr>
        <w:t>רמב"ם</w:t>
      </w:r>
      <w:r>
        <w:rPr>
          <w:rtl/>
        </w:rPr>
        <w:t xml:space="preserve"> (עדות ה ב) דבב' מקומות האמינה תורה לעד, בסוטה ועגלה ערופה, ומדבריהם בעדות אשה. [ואף זה בכלל הלשון האמינה 'תורה'].</w:t>
      </w:r>
    </w:p>
    <w:p w14:paraId="44F28078" w14:textId="77777777" w:rsidR="006C4368" w:rsidRDefault="006C4368" w:rsidP="006C4368">
      <w:pPr>
        <w:pStyle w:val="Footnote"/>
        <w:bidi/>
      </w:pPr>
      <w:r>
        <w:rPr>
          <w:rtl/>
        </w:rPr>
        <w:tab/>
        <w:t>[ופשיט"ל לגמ' דאין לחלק בין מקום שהאמינה תורה לנאמנות דרבנן. א"נ קי"ל לגמ' דעולא קאי אתרוייהו].</w:t>
      </w:r>
    </w:p>
  </w:footnote>
  <w:footnote w:id="5517">
    <w:p w14:paraId="26376180" w14:textId="77777777" w:rsidR="006C4368" w:rsidRDefault="006C4368" w:rsidP="006C4368">
      <w:pPr>
        <w:pStyle w:val="Footnote"/>
        <w:bidi/>
      </w:pPr>
      <w:r>
        <w:rPr>
          <w:rStyle w:val="ac"/>
          <w:rtl/>
        </w:rPr>
        <w:footnoteRef/>
      </w:r>
      <w:r>
        <w:rPr>
          <w:rtl/>
        </w:rPr>
        <w:t>ונח' [האמוראים סוטה לא:] אי איירי בבת א' או בזה אחר זה, ועוד דנו ה</w:t>
      </w:r>
      <w:r>
        <w:rPr>
          <w:b/>
          <w:bCs/>
          <w:rtl/>
        </w:rPr>
        <w:t>תוס'</w:t>
      </w:r>
      <w:r>
        <w:rPr>
          <w:rtl/>
        </w:rPr>
        <w:t xml:space="preserve"> אי בעינן דוקא שהתירו לינשא. ויתבאר לקמן.</w:t>
      </w:r>
    </w:p>
  </w:footnote>
  <w:footnote w:id="5518">
    <w:p w14:paraId="35A4202D" w14:textId="77777777" w:rsidR="006C4368" w:rsidRDefault="006C4368" w:rsidP="006C4368">
      <w:pPr>
        <w:pStyle w:val="Footnote"/>
        <w:bidi/>
      </w:pPr>
      <w:r>
        <w:rPr>
          <w:rStyle w:val="ac"/>
          <w:rtl/>
        </w:rPr>
        <w:footnoteRef/>
      </w:r>
      <w:r>
        <w:rPr>
          <w:b/>
          <w:bCs/>
          <w:rtl/>
        </w:rPr>
        <w:t>תוס</w:t>
      </w:r>
      <w:r>
        <w:rPr>
          <w:rtl/>
        </w:rPr>
        <w:t>' (כריתות יא: ד"ה אמרו לו), ה</w:t>
      </w:r>
      <w:r>
        <w:rPr>
          <w:b/>
          <w:bCs/>
          <w:rtl/>
        </w:rPr>
        <w:t>רא"ש</w:t>
      </w:r>
      <w:r>
        <w:rPr>
          <w:rtl/>
        </w:rPr>
        <w:t xml:space="preserve"> (גיטין ה ט, והמרדכי כאן עג) בחלוקה הו'. וה</w:t>
      </w:r>
      <w:r>
        <w:rPr>
          <w:b/>
          <w:bCs/>
          <w:rtl/>
        </w:rPr>
        <w:t>רמ"ה</w:t>
      </w:r>
      <w:r>
        <w:rPr>
          <w:rtl/>
        </w:rPr>
        <w:t xml:space="preserve"> (בטור חו"מ מו לו, אך השו"ע שם לז פסק דלא כן).</w:t>
      </w:r>
    </w:p>
  </w:footnote>
  <w:footnote w:id="5519">
    <w:p w14:paraId="74732C6C" w14:textId="77777777" w:rsidR="006C4368" w:rsidRDefault="006C4368" w:rsidP="006C4368">
      <w:pPr>
        <w:pStyle w:val="Footnote"/>
        <w:bidi/>
      </w:pPr>
      <w:r>
        <w:rPr>
          <w:rStyle w:val="ac"/>
          <w:rtl/>
        </w:rPr>
        <w:footnoteRef/>
      </w:r>
      <w:r>
        <w:rPr>
          <w:rtl/>
        </w:rPr>
        <w:t>וכ"כ ה</w:t>
      </w:r>
      <w:r>
        <w:rPr>
          <w:b/>
          <w:bCs/>
          <w:rtl/>
        </w:rPr>
        <w:t>ריטב"א</w:t>
      </w:r>
      <w:r>
        <w:rPr>
          <w:rtl/>
        </w:rPr>
        <w:t xml:space="preserve"> (כתובות כב:) דבאיסורין אם באו ב' עדים בזה אחר זה, הולכים אחר הראשון אפי' להקל. ואין דבריו של השני במקום ראשון כלום. וכתב דפשטא דמימרא דעולא משמע בכל מקום. [וסתר דבריו כאן].</w:t>
      </w:r>
    </w:p>
    <w:p w14:paraId="017C0F6B" w14:textId="77777777" w:rsidR="006C4368" w:rsidRDefault="006C4368" w:rsidP="006C4368">
      <w:pPr>
        <w:pStyle w:val="Footnote"/>
        <w:bidi/>
      </w:pPr>
      <w:r>
        <w:rPr>
          <w:rtl/>
        </w:rPr>
        <w:tab/>
        <w:t xml:space="preserve">[והריטב"א הביא </w:t>
      </w:r>
      <w:r>
        <w:rPr>
          <w:b/>
          <w:bCs/>
          <w:rtl/>
        </w:rPr>
        <w:t>י"מ</w:t>
      </w:r>
      <w:r>
        <w:rPr>
          <w:rtl/>
        </w:rPr>
        <w:t xml:space="preserve"> דבעדות אשה לא האמינה תורה לעד, אלא דאפקעינהו לקידושין [ומש"ה אינו בכלל כל מקום שהאמינה תורה. וצ"ע מסוגיין]. והריטב"א הכריע דאף עדות אשה מהני עד א' מה"ת (וכשיטתו גיטין ב: הו' בע"א)].</w:t>
      </w:r>
    </w:p>
  </w:footnote>
  <w:footnote w:id="5520">
    <w:p w14:paraId="0F6829CE" w14:textId="77777777" w:rsidR="006C4368" w:rsidRDefault="006C4368" w:rsidP="006C4368">
      <w:pPr>
        <w:pStyle w:val="Footnote"/>
        <w:bidi/>
      </w:pPr>
      <w:r>
        <w:rPr>
          <w:rStyle w:val="ac"/>
          <w:rtl/>
        </w:rPr>
        <w:footnoteRef/>
      </w:r>
      <w:r>
        <w:rPr>
          <w:rtl/>
        </w:rPr>
        <w:t>וחלק על ה</w:t>
      </w:r>
      <w:r>
        <w:rPr>
          <w:b/>
          <w:bCs/>
          <w:rtl/>
        </w:rPr>
        <w:t>יש"ש</w:t>
      </w:r>
      <w:r>
        <w:rPr>
          <w:rtl/>
        </w:rPr>
        <w:t xml:space="preserve"> וה</w:t>
      </w:r>
      <w:r>
        <w:rPr>
          <w:b/>
          <w:bCs/>
          <w:rtl/>
        </w:rPr>
        <w:t>ב"ח</w:t>
      </w:r>
      <w:r>
        <w:rPr>
          <w:rtl/>
        </w:rPr>
        <w:t xml:space="preserve"> דנקטו דהעד נאמן להכחיש [לדברי הריטב"א], ודלא כשו"ע.</w:t>
      </w:r>
    </w:p>
  </w:footnote>
  <w:footnote w:id="5521">
    <w:p w14:paraId="2A188494" w14:textId="77777777" w:rsidR="006C4368" w:rsidRDefault="006C4368" w:rsidP="006C4368">
      <w:pPr>
        <w:pStyle w:val="Footnote"/>
        <w:bidi/>
      </w:pPr>
      <w:r>
        <w:rPr>
          <w:rStyle w:val="ac"/>
          <w:rtl/>
        </w:rPr>
        <w:footnoteRef/>
      </w:r>
      <w:r>
        <w:rPr>
          <w:rtl/>
        </w:rPr>
        <w:t>והש"ך כת' די"ל דכוונת הריטב"א דכל מקום שחידשה התורה להדיא דעד א' נאמן, אמרי' דא' כב'. אבל באיסורין מסברא ידעינן.</w:t>
      </w:r>
    </w:p>
    <w:p w14:paraId="09A2DE59" w14:textId="77777777" w:rsidR="006C4368" w:rsidRDefault="006C4368" w:rsidP="006C4368">
      <w:pPr>
        <w:pStyle w:val="Footnote"/>
        <w:bidi/>
      </w:pPr>
      <w:r>
        <w:rPr>
          <w:rtl/>
        </w:rPr>
        <w:tab/>
        <w:t>וה</w:t>
      </w:r>
      <w:r>
        <w:rPr>
          <w:b/>
          <w:bCs/>
          <w:rtl/>
        </w:rPr>
        <w:t>פלתי</w:t>
      </w:r>
      <w:r>
        <w:rPr>
          <w:rtl/>
        </w:rPr>
        <w:t xml:space="preserve"> (לט ז) כת' דגבי עגלה ערופה הוה קרא מיותר להכשיר עד אחד [הא כללא עד א' נאמן באיסורין, ואמאי צריך פסוק], אלא דיחדה התורה קרא להורות דעד א' בזה דינו כשנים.</w:t>
      </w:r>
    </w:p>
  </w:footnote>
  <w:footnote w:id="5522">
    <w:p w14:paraId="4838BD7B" w14:textId="77777777" w:rsidR="006C4368" w:rsidRDefault="006C4368" w:rsidP="006C4368">
      <w:pPr>
        <w:pStyle w:val="Footnote"/>
        <w:bidi/>
      </w:pPr>
      <w:r>
        <w:rPr>
          <w:rStyle w:val="ac"/>
          <w:rtl/>
        </w:rPr>
        <w:footnoteRef/>
      </w:r>
      <w:r>
        <w:rPr>
          <w:rtl/>
        </w:rPr>
        <w:t>ואילו היו ג' מכחישים אסורה, דהוה רוב לאסור. ואזלי' בתר רוב דיעות. וכ"ד הרמ"ה (הו' בר' ירוחם). ואילו לדברי רש"י כל זמן שטוענת ברי א"א להכחישה.</w:t>
      </w:r>
    </w:p>
  </w:footnote>
  <w:footnote w:id="5523">
    <w:p w14:paraId="43CA0245" w14:textId="77777777" w:rsidR="006C4368" w:rsidRDefault="006C4368" w:rsidP="006C4368">
      <w:pPr>
        <w:pStyle w:val="Footnote"/>
        <w:bidi/>
      </w:pPr>
      <w:r>
        <w:rPr>
          <w:rStyle w:val="ac"/>
          <w:rtl/>
        </w:rPr>
        <w:footnoteRef/>
      </w:r>
      <w:r>
        <w:rPr>
          <w:rtl/>
        </w:rPr>
        <w:t>אבל ה</w:t>
      </w:r>
      <w:r>
        <w:rPr>
          <w:b/>
          <w:bCs/>
          <w:rtl/>
        </w:rPr>
        <w:t>מהרח"ש</w:t>
      </w:r>
      <w:r>
        <w:rPr>
          <w:rtl/>
        </w:rPr>
        <w:t xml:space="preserve"> דייק מדברי רש"י שהאשה אינה מצטרפת להחשב רוב דיעות, ודלא כמ"ש רבינו ירוחם.</w:t>
      </w:r>
    </w:p>
  </w:footnote>
  <w:footnote w:id="5524">
    <w:p w14:paraId="37C5E67C" w14:textId="77777777" w:rsidR="006C4368" w:rsidRDefault="006C4368" w:rsidP="006C4368">
      <w:pPr>
        <w:pStyle w:val="Footnote"/>
        <w:bidi/>
      </w:pPr>
      <w:r>
        <w:rPr>
          <w:rStyle w:val="ac"/>
          <w:rtl/>
        </w:rPr>
        <w:footnoteRef/>
      </w:r>
      <w:r>
        <w:rPr>
          <w:rtl/>
        </w:rPr>
        <w:t>משמע דדוקא כשטוענת 'ברי' ממש, וכאן לא סגי בהא דאין ליבה נוקפה.</w:t>
      </w:r>
    </w:p>
    <w:p w14:paraId="3E27FF95" w14:textId="77777777" w:rsidR="006C4368" w:rsidRDefault="006C4368" w:rsidP="006C4368">
      <w:pPr>
        <w:pStyle w:val="Footnote"/>
        <w:bidi/>
      </w:pPr>
      <w:r>
        <w:rPr>
          <w:rtl/>
        </w:rPr>
        <w:tab/>
        <w:t>והמהרח"ש הק' דהניחא לדידה, אבל האיך הבעל מותר בה.</w:t>
      </w:r>
    </w:p>
  </w:footnote>
  <w:footnote w:id="5525">
    <w:p w14:paraId="1F84DD7C" w14:textId="77777777" w:rsidR="006C4368" w:rsidRDefault="006C4368" w:rsidP="006C4368">
      <w:pPr>
        <w:pStyle w:val="Footnote"/>
        <w:bidi/>
      </w:pPr>
      <w:r>
        <w:rPr>
          <w:rStyle w:val="ac"/>
          <w:rtl/>
        </w:rPr>
        <w:footnoteRef/>
      </w:r>
      <w:r>
        <w:rPr>
          <w:rtl/>
        </w:rPr>
        <w:t>וה</w:t>
      </w:r>
      <w:r>
        <w:rPr>
          <w:b/>
          <w:bCs/>
          <w:rtl/>
        </w:rPr>
        <w:t>מהר"י בן לב</w:t>
      </w:r>
      <w:r>
        <w:rPr>
          <w:rtl/>
        </w:rPr>
        <w:t xml:space="preserve"> (ג ד, הו' במראות הצובאות) כת' דדוקא כשנשאת כבר, אבל אילו באו הפסולים קודם שנשאת לא תנשא.</w:t>
      </w:r>
    </w:p>
  </w:footnote>
  <w:footnote w:id="5526">
    <w:p w14:paraId="4731962B" w14:textId="77777777" w:rsidR="006C4368" w:rsidRDefault="006C4368" w:rsidP="006C4368">
      <w:pPr>
        <w:pStyle w:val="Footnote"/>
        <w:bidi/>
      </w:pPr>
      <w:r>
        <w:rPr>
          <w:rStyle w:val="ac"/>
          <w:rtl/>
        </w:rPr>
        <w:footnoteRef/>
      </w:r>
      <w:r>
        <w:rPr>
          <w:rtl/>
        </w:rPr>
        <w:t>וה</w:t>
      </w:r>
      <w:r>
        <w:rPr>
          <w:b/>
          <w:bCs/>
          <w:rtl/>
        </w:rPr>
        <w:t>רמב"ם</w:t>
      </w:r>
      <w:r>
        <w:rPr>
          <w:rtl/>
        </w:rPr>
        <w:t xml:space="preserve"> (יב כ) מבואר דהיכא דנשאת ע"פ עצמה, ואח"כ באו ב' פסולים והכחישו אותה תצא. [ואף שטוענת ברי]. וה</w:t>
      </w:r>
      <w:r>
        <w:rPr>
          <w:b/>
          <w:bCs/>
          <w:rtl/>
        </w:rPr>
        <w:t>פוסקים</w:t>
      </w:r>
      <w:r>
        <w:rPr>
          <w:rtl/>
        </w:rPr>
        <w:t xml:space="preserve"> (מראות הצובאות, גר"א קכב) הביאו דלא ס"ל כרש"י דפסולים אינם נאמנים לאסור. אלא כריטב"א דהנידון בסוגיין משום דע"י הכחשתה הוה תרי ותרי.</w:t>
      </w:r>
    </w:p>
  </w:footnote>
  <w:footnote w:id="5527">
    <w:p w14:paraId="545ACB55" w14:textId="77777777" w:rsidR="006C4368" w:rsidRDefault="006C4368" w:rsidP="006C4368">
      <w:pPr>
        <w:pStyle w:val="Footnote"/>
        <w:bidi/>
      </w:pPr>
      <w:r>
        <w:rPr>
          <w:rStyle w:val="ac"/>
          <w:rtl/>
        </w:rPr>
        <w:footnoteRef/>
      </w:r>
      <w:r>
        <w:rPr>
          <w:rtl/>
        </w:rPr>
        <w:t>וה</w:t>
      </w:r>
      <w:r>
        <w:rPr>
          <w:b/>
          <w:bCs/>
          <w:rtl/>
        </w:rPr>
        <w:t>רמב"ן</w:t>
      </w:r>
      <w:r>
        <w:rPr>
          <w:rtl/>
        </w:rPr>
        <w:t xml:space="preserve"> כת' דלפ"ז נשאת לאו דוקא, אלא התירוה לינשא (כדלקמן קיז:).</w:t>
      </w:r>
    </w:p>
  </w:footnote>
  <w:footnote w:id="5528">
    <w:p w14:paraId="3A37624E" w14:textId="77777777" w:rsidR="006C4368" w:rsidRDefault="006C4368" w:rsidP="006C4368">
      <w:pPr>
        <w:pStyle w:val="Footnote"/>
        <w:bidi/>
      </w:pPr>
      <w:r>
        <w:rPr>
          <w:rStyle w:val="ac"/>
          <w:rtl/>
        </w:rPr>
        <w:footnoteRef/>
      </w:r>
      <w:r>
        <w:rPr>
          <w:rtl/>
        </w:rPr>
        <w:t>ואפ"ה בפסולי עדות אם נשאת לא תצא.</w:t>
      </w:r>
    </w:p>
  </w:footnote>
  <w:footnote w:id="5529">
    <w:p w14:paraId="79C32FC9" w14:textId="77777777" w:rsidR="006C4368" w:rsidRDefault="006C4368" w:rsidP="006C4368">
      <w:pPr>
        <w:pStyle w:val="Footnote"/>
        <w:bidi/>
      </w:pPr>
      <w:r>
        <w:rPr>
          <w:rStyle w:val="ac"/>
          <w:rtl/>
        </w:rPr>
        <w:footnoteRef/>
      </w:r>
      <w:r>
        <w:rPr>
          <w:rtl/>
        </w:rPr>
        <w:t>וה</w:t>
      </w:r>
      <w:r>
        <w:rPr>
          <w:b/>
          <w:bCs/>
          <w:rtl/>
        </w:rPr>
        <w:t xml:space="preserve">רמב"ם </w:t>
      </w:r>
      <w:r>
        <w:rPr>
          <w:rtl/>
        </w:rPr>
        <w:t>לא הוצרך לפרש כן.</w:t>
      </w:r>
    </w:p>
  </w:footnote>
  <w:footnote w:id="5530">
    <w:p w14:paraId="500D2FF9" w14:textId="77777777" w:rsidR="006C4368" w:rsidRDefault="006C4368" w:rsidP="006C4368">
      <w:pPr>
        <w:pStyle w:val="Footnote"/>
        <w:bidi/>
      </w:pPr>
      <w:r>
        <w:rPr>
          <w:rStyle w:val="ac"/>
          <w:rtl/>
        </w:rPr>
        <w:footnoteRef/>
      </w:r>
      <w:r>
        <w:rPr>
          <w:rtl/>
        </w:rPr>
        <w:t>וצ"ב אמאי הוה שקול, דאי עדות עדיף מנאמנות בעלמא, נימא שהעד הראשון מהני. והגר"ח ביאר דעדות לא עדיף מנאמנות בעלמא, אלא דבתורת עדות לא נאמר דין רוב. [ולא שרוב לא מהני כנגד העדות]. עי"ש שהאריך.</w:t>
      </w:r>
    </w:p>
  </w:footnote>
  <w:footnote w:id="5531">
    <w:p w14:paraId="24F64A56" w14:textId="77777777" w:rsidR="006C4368" w:rsidRDefault="006C4368" w:rsidP="006C4368">
      <w:pPr>
        <w:pStyle w:val="Footnote"/>
        <w:bidi/>
      </w:pPr>
      <w:r>
        <w:rPr>
          <w:rStyle w:val="ac"/>
          <w:rtl/>
        </w:rPr>
        <w:footnoteRef/>
      </w:r>
      <w:r>
        <w:rPr>
          <w:rtl/>
        </w:rPr>
        <w:t>בעד א' בסוטה מדאורייתא, ובעדות מיתה מדרבנן.</w:t>
      </w:r>
    </w:p>
  </w:footnote>
  <w:footnote w:id="5532">
    <w:p w14:paraId="178E87C8" w14:textId="77777777" w:rsidR="006C4368" w:rsidRDefault="006C4368" w:rsidP="006C4368">
      <w:pPr>
        <w:pStyle w:val="Footnote"/>
        <w:bidi/>
      </w:pPr>
      <w:r>
        <w:rPr>
          <w:rStyle w:val="ac"/>
          <w:rtl/>
        </w:rPr>
        <w:footnoteRef/>
      </w:r>
      <w:r>
        <w:rPr>
          <w:rtl/>
        </w:rPr>
        <w:t>ואף דפסולים הוה תורת נאמנות, מ"מ כיון דאיהו הוה עד כשר, חיילא בנאמנותו תורת עדות. ומש"ה ל"ש רוב.</w:t>
      </w:r>
    </w:p>
  </w:footnote>
  <w:footnote w:id="5533">
    <w:p w14:paraId="51FBC285" w14:textId="77777777" w:rsidR="006C4368" w:rsidRDefault="006C4368" w:rsidP="006C4368">
      <w:pPr>
        <w:pStyle w:val="Footnote"/>
        <w:bidi/>
      </w:pPr>
      <w:r>
        <w:rPr>
          <w:rStyle w:val="ac"/>
          <w:rtl/>
        </w:rPr>
        <w:footnoteRef/>
      </w:r>
      <w:r>
        <w:rPr>
          <w:rtl/>
        </w:rPr>
        <w:t>וה</w:t>
      </w:r>
      <w:r>
        <w:rPr>
          <w:b/>
          <w:bCs/>
          <w:rtl/>
        </w:rPr>
        <w:t>ברכ"ש</w:t>
      </w:r>
      <w:r>
        <w:rPr>
          <w:rtl/>
        </w:rPr>
        <w:t xml:space="preserve"> (יא ג) כת' דאף לל"ק דהוה תורת נאמנות, מ"מ מבואר דיש חיוב קרבן שבועה (הו' בע"ב) בעד א' דעדות אשה. וביאר דאף לל"ק יש לו 'שם עד'.</w:t>
      </w:r>
    </w:p>
  </w:footnote>
  <w:footnote w:id="5534">
    <w:p w14:paraId="4262515E" w14:textId="77777777" w:rsidR="006C4368" w:rsidRDefault="006C4368" w:rsidP="006C4368">
      <w:pPr>
        <w:pStyle w:val="Footnote"/>
        <w:bidi/>
      </w:pPr>
      <w:r>
        <w:rPr>
          <w:rStyle w:val="ac"/>
          <w:rtl/>
        </w:rPr>
        <w:footnoteRef/>
      </w:r>
      <w:r>
        <w:rPr>
          <w:rtl/>
        </w:rPr>
        <w:t>וכן מבואר ברש"י, דרש"י פי' דאתי למימר מותר להחזיר גרושתו משנתארסה. [ואילו קו' הגמ' מתחילה שיאמרו שמתירין איסור אשת איש בלא גט, ולא משום דילמדו דליכא איסור אשת איש].</w:t>
      </w:r>
    </w:p>
  </w:footnote>
  <w:footnote w:id="5535">
    <w:p w14:paraId="50D84FF3" w14:textId="77777777" w:rsidR="006C4368" w:rsidRDefault="006C4368" w:rsidP="006C4368">
      <w:pPr>
        <w:pStyle w:val="Footnote"/>
        <w:bidi/>
      </w:pPr>
      <w:r>
        <w:rPr>
          <w:rStyle w:val="ac"/>
          <w:rtl/>
        </w:rPr>
        <w:footnoteRef/>
      </w:r>
      <w:r>
        <w:rPr>
          <w:rtl/>
        </w:rPr>
        <w:t>וכה"ק ה</w:t>
      </w:r>
      <w:r>
        <w:rPr>
          <w:b/>
          <w:bCs/>
          <w:rtl/>
        </w:rPr>
        <w:t>ריטב"א</w:t>
      </w:r>
      <w:r>
        <w:rPr>
          <w:rtl/>
        </w:rPr>
        <w:t xml:space="preserve"> [ולא נתפרש בדברי הריטב"א האם זהו קו' הגמ', וקצת משמע מדבריו דהוה מצי להקשות].</w:t>
      </w:r>
    </w:p>
  </w:footnote>
  <w:footnote w:id="5536">
    <w:p w14:paraId="157FFE16" w14:textId="77777777" w:rsidR="006C4368" w:rsidRDefault="006C4368" w:rsidP="006C4368">
      <w:pPr>
        <w:pStyle w:val="Footnote"/>
        <w:bidi/>
      </w:pPr>
      <w:r>
        <w:rPr>
          <w:rStyle w:val="ac"/>
          <w:rtl/>
        </w:rPr>
        <w:footnoteRef/>
      </w:r>
      <w:r>
        <w:rPr>
          <w:rtl/>
        </w:rPr>
        <w:t>ואהני גט להתיר איסור אשת איש. ולא איכפ"ל שמא יאמרו שעובר משום מחזיר גרושתו. אלא דחששו שמא ילמדו להתיר איסור מחזיר גרושתו.</w:t>
      </w:r>
    </w:p>
  </w:footnote>
  <w:footnote w:id="5537">
    <w:p w14:paraId="6A435F8A" w14:textId="77777777" w:rsidR="006C4368" w:rsidRDefault="006C4368" w:rsidP="006C4368">
      <w:pPr>
        <w:pStyle w:val="Footnote"/>
        <w:bidi/>
      </w:pPr>
      <w:r>
        <w:rPr>
          <w:rStyle w:val="ac"/>
          <w:rtl/>
        </w:rPr>
        <w:footnoteRef/>
      </w:r>
      <w:r>
        <w:rPr>
          <w:rtl/>
        </w:rPr>
        <w:t xml:space="preserve">ועוד מה הועילו בגט זה, שהרי ממ"נ אינה מתיר כלפי הראשון. אלא שמוריד מאיסור אשת איש דבחנק וכרת לאיסור לאו. ויש </w:t>
      </w:r>
      <w:r>
        <w:rPr>
          <w:b/>
          <w:bCs/>
          <w:rtl/>
        </w:rPr>
        <w:t>אחרונים</w:t>
      </w:r>
      <w:r>
        <w:rPr>
          <w:rtl/>
        </w:rPr>
        <w:t xml:space="preserve"> שתי' דחששו משום איסור חמור, אבל לא חששו משום קול שעובר באיסור קל.</w:t>
      </w:r>
    </w:p>
  </w:footnote>
  <w:footnote w:id="5538">
    <w:p w14:paraId="35B53143" w14:textId="77777777" w:rsidR="006C4368" w:rsidRDefault="006C4368" w:rsidP="006C4368">
      <w:pPr>
        <w:pStyle w:val="Footnote"/>
        <w:bidi/>
      </w:pPr>
      <w:r>
        <w:rPr>
          <w:rStyle w:val="ac"/>
          <w:rtl/>
        </w:rPr>
        <w:footnoteRef/>
      </w:r>
      <w:r>
        <w:rPr>
          <w:rtl/>
        </w:rPr>
        <w:t>[יל"ד דאדרבה נשאת בע"א הוה ע"פ בי"ד, ומעשה בי"ד יש קול טפי].</w:t>
      </w:r>
    </w:p>
  </w:footnote>
  <w:footnote w:id="5539">
    <w:p w14:paraId="032FA20C" w14:textId="77777777" w:rsidR="006C4368" w:rsidRDefault="006C4368" w:rsidP="006C4368">
      <w:pPr>
        <w:pStyle w:val="Footnote"/>
        <w:bidi/>
      </w:pPr>
      <w:r>
        <w:rPr>
          <w:rStyle w:val="ac"/>
          <w:rtl/>
        </w:rPr>
        <w:footnoteRef/>
      </w:r>
      <w:r>
        <w:rPr>
          <w:rtl/>
        </w:rPr>
        <w:t>וה</w:t>
      </w:r>
      <w:r>
        <w:rPr>
          <w:b/>
          <w:bCs/>
          <w:rtl/>
        </w:rPr>
        <w:t>ריטב"א</w:t>
      </w:r>
      <w:r>
        <w:rPr>
          <w:rtl/>
        </w:rPr>
        <w:t xml:space="preserve"> הק' דהו"ל לדייק מפשטא דמתני' דקתני אע"פ שנתן לה, מבואר דאי"צ ליתן לה גט. ותי' דהוה דחי דה"ק אע"פ שנותן לה גט.</w:t>
      </w:r>
    </w:p>
  </w:footnote>
  <w:footnote w:id="5540">
    <w:p w14:paraId="55685D81" w14:textId="77777777" w:rsidR="006C4368" w:rsidRDefault="006C4368" w:rsidP="006C4368">
      <w:pPr>
        <w:pStyle w:val="Footnote"/>
        <w:bidi/>
      </w:pPr>
      <w:r>
        <w:rPr>
          <w:rStyle w:val="ac"/>
          <w:rtl/>
        </w:rPr>
        <w:footnoteRef/>
      </w:r>
      <w:r>
        <w:rPr>
          <w:rtl/>
        </w:rPr>
        <w:t>וה</w:t>
      </w:r>
      <w:r>
        <w:rPr>
          <w:b/>
          <w:bCs/>
          <w:rtl/>
        </w:rPr>
        <w:t xml:space="preserve">ריטב"א </w:t>
      </w:r>
      <w:r>
        <w:rPr>
          <w:rtl/>
        </w:rPr>
        <w:t>ביאר דשורת הדין יתלו בקידושי טעות, ולא יתלו שאשת איש יוצאת בלא גט. אלא כדי לקונסה תלו חכמים שיאמרו העולם דאשת איש יוצאת בלא גט. וה</w:t>
      </w:r>
      <w:r>
        <w:rPr>
          <w:b/>
          <w:bCs/>
          <w:rtl/>
        </w:rPr>
        <w:t>ריטב"א</w:t>
      </w:r>
      <w:r>
        <w:rPr>
          <w:rtl/>
        </w:rPr>
        <w:t xml:space="preserve"> תמה דכיון דהעולם אינם אומרים כן, א"כ האיך יתלו תקנתם בבוקי סריקי [דברים ריקים] שיאמרו העולם דבר שאינם אומרים. [אך לכאורה י"ל דאף דרוב בני אדם אינם אומרים כן, מ"מ איכא מיעוטא שיטעו בטעות בזו. והחמירו חכמים לחשוש אף לקול זו או חששא רחוקה זו].</w:t>
      </w:r>
    </w:p>
  </w:footnote>
  <w:footnote w:id="5541">
    <w:p w14:paraId="1FD81215" w14:textId="77777777" w:rsidR="006C4368" w:rsidRDefault="006C4368" w:rsidP="006C4368">
      <w:pPr>
        <w:pStyle w:val="Footnote"/>
        <w:bidi/>
      </w:pPr>
      <w:r>
        <w:rPr>
          <w:rStyle w:val="ac"/>
          <w:rtl/>
        </w:rPr>
        <w:footnoteRef/>
      </w:r>
      <w:r>
        <w:rPr>
          <w:rtl/>
        </w:rPr>
        <w:t xml:space="preserve">אך בדעת שאר ראשונים י"ל דיתכן דהולד ממזר מראשון, אף בלא שתקנו גט מהשני. וכ"ה לדעת </w:t>
      </w:r>
      <w:r>
        <w:rPr>
          <w:b/>
          <w:bCs/>
          <w:rtl/>
        </w:rPr>
        <w:t>תוס</w:t>
      </w:r>
      <w:r>
        <w:rPr>
          <w:rtl/>
        </w:rPr>
        <w:t>' (פז: וצב.) דהממזרות הוה מחמת איסור סוטה. אבל לדעת הראשונים (הו' לעיל שם) דגדר הממזרות משום אישות השני, לכאורה יתכן רק היכא דצריכה גט מדרבנן. [וי"ל דאף הא דהוה ממזר מראשון, כל זה לאחר קנס דיאמרו גירש ראשון וכו'].</w:t>
      </w:r>
    </w:p>
  </w:footnote>
  <w:footnote w:id="5542">
    <w:p w14:paraId="3F3A6F8B" w14:textId="77777777" w:rsidR="006C4368" w:rsidRDefault="006C4368" w:rsidP="006C4368">
      <w:pPr>
        <w:pStyle w:val="Footnote"/>
        <w:bidi/>
      </w:pPr>
      <w:r>
        <w:rPr>
          <w:rStyle w:val="ac"/>
          <w:rtl/>
        </w:rPr>
        <w:footnoteRef/>
      </w:r>
      <w:r>
        <w:rPr>
          <w:rtl/>
        </w:rPr>
        <w:t>יל"ד האם כוונת הרמב"ם דכיון דהיתה נשואה לשני גזרו שמא יאמרו שנתגרשה מראשון, או דע"י שהשני נותן גט מיחזי כאשתו. וה</w:t>
      </w:r>
      <w:r>
        <w:rPr>
          <w:b/>
          <w:bCs/>
          <w:rtl/>
        </w:rPr>
        <w:t>משנ"ל</w:t>
      </w:r>
      <w:r>
        <w:rPr>
          <w:rtl/>
        </w:rPr>
        <w:t xml:space="preserve"> דן דעפ"ז היכא דמת השני קודם שגירש, תהא מותרת לראשון.</w:t>
      </w:r>
    </w:p>
  </w:footnote>
  <w:footnote w:id="5543">
    <w:p w14:paraId="3FD5FF03" w14:textId="77777777" w:rsidR="006C4368" w:rsidRDefault="006C4368" w:rsidP="006C4368">
      <w:pPr>
        <w:pStyle w:val="Footnote"/>
        <w:bidi/>
      </w:pPr>
      <w:r>
        <w:rPr>
          <w:rStyle w:val="ac"/>
          <w:rtl/>
        </w:rPr>
        <w:footnoteRef/>
      </w:r>
      <w:r>
        <w:rPr>
          <w:rtl/>
        </w:rPr>
        <w:t xml:space="preserve">וכ"מ בדברי </w:t>
      </w:r>
      <w:r>
        <w:rPr>
          <w:b/>
          <w:bCs/>
          <w:rtl/>
        </w:rPr>
        <w:t>רש"י</w:t>
      </w:r>
      <w:r>
        <w:rPr>
          <w:rtl/>
        </w:rPr>
        <w:t xml:space="preserve"> (לקמן צא: ד"ה חוץ מא"א) שכת' וכיון דבעינן גיטא, אלמא מילתא הוא ומיתסרא אקמא. וע"ע </w:t>
      </w:r>
      <w:r>
        <w:rPr>
          <w:b/>
          <w:bCs/>
          <w:rtl/>
        </w:rPr>
        <w:t>תוס' חד מקמאי</w:t>
      </w:r>
      <w:r>
        <w:rPr>
          <w:rtl/>
        </w:rPr>
        <w:t xml:space="preserve"> (לקמן צד:).</w:t>
      </w:r>
    </w:p>
  </w:footnote>
  <w:footnote w:id="5544">
    <w:p w14:paraId="0FA4F5ED" w14:textId="77777777" w:rsidR="006C4368" w:rsidRDefault="006C4368" w:rsidP="006C4368">
      <w:pPr>
        <w:pStyle w:val="Footnote"/>
        <w:bidi/>
      </w:pPr>
      <w:r>
        <w:rPr>
          <w:rStyle w:val="ac"/>
          <w:rtl/>
        </w:rPr>
        <w:footnoteRef/>
      </w:r>
      <w:r>
        <w:rPr>
          <w:rtl/>
        </w:rPr>
        <w:t>והק' דכיון דהרמב"ם כת' שהיא שוגגת אמאי אסורה לשני. ואי לא חשיבא שוגגת, א"כ תאסר לתרוייהו, דקי"ל אסורה לבעל ולבועל.</w:t>
      </w:r>
    </w:p>
    <w:p w14:paraId="467B44C9" w14:textId="77777777" w:rsidR="006C4368" w:rsidRDefault="006C4368" w:rsidP="006C4368">
      <w:pPr>
        <w:pStyle w:val="Footnote"/>
        <w:bidi/>
      </w:pPr>
      <w:r>
        <w:rPr>
          <w:rtl/>
        </w:rPr>
        <w:tab/>
        <w:t>וה</w:t>
      </w:r>
      <w:r>
        <w:rPr>
          <w:b/>
          <w:bCs/>
          <w:rtl/>
        </w:rPr>
        <w:t>משנ"ל</w:t>
      </w:r>
      <w:r>
        <w:rPr>
          <w:rtl/>
        </w:rPr>
        <w:t xml:space="preserve"> תי' דקנסו מדרבנן להחשב כסוטה כלפי השני, דעבד איסורא. אבל הראשון לא פשע. ומש"ה הוצרך לטעם דגזירת מחזיר גרושתו.</w:t>
      </w:r>
    </w:p>
    <w:p w14:paraId="020ABC00" w14:textId="77777777" w:rsidR="006C4368" w:rsidRDefault="006C4368" w:rsidP="006C4368">
      <w:pPr>
        <w:pStyle w:val="Footnote"/>
        <w:bidi/>
      </w:pPr>
      <w:r>
        <w:rPr>
          <w:rtl/>
        </w:rPr>
        <w:tab/>
        <w:t>וכת' דמשמעות סתמיות שאר הראשונים דאסורה לראשון משום קנס, דקנסוה רבנן לדידה שלא תנשא לא לראשון ולא לשני, אף שהיא שוגגת. וכת' דכן נ"ל מהירושלמי.</w:t>
      </w:r>
    </w:p>
  </w:footnote>
  <w:footnote w:id="5545">
    <w:p w14:paraId="70DAEB78" w14:textId="77777777" w:rsidR="006C4368" w:rsidRDefault="006C4368" w:rsidP="006C4368">
      <w:pPr>
        <w:pStyle w:val="Footnote"/>
        <w:bidi/>
      </w:pPr>
      <w:r>
        <w:rPr>
          <w:rStyle w:val="ac"/>
          <w:rtl/>
        </w:rPr>
        <w:footnoteRef/>
      </w:r>
      <w:r>
        <w:rPr>
          <w:rtl/>
        </w:rPr>
        <w:t>ומותרת לחזור לו, ולא אסרי' משום סוטה דרבנן.</w:t>
      </w:r>
    </w:p>
  </w:footnote>
  <w:footnote w:id="5546">
    <w:p w14:paraId="19883F87" w14:textId="77777777" w:rsidR="006C4368" w:rsidRDefault="006C4368" w:rsidP="006C4368">
      <w:pPr>
        <w:pStyle w:val="Footnote"/>
        <w:bidi/>
      </w:pPr>
      <w:r>
        <w:rPr>
          <w:rStyle w:val="ac"/>
          <w:rtl/>
        </w:rPr>
        <w:footnoteRef/>
      </w:r>
      <w:r>
        <w:rPr>
          <w:rtl/>
        </w:rPr>
        <w:t>וב</w:t>
      </w:r>
      <w:r>
        <w:rPr>
          <w:b/>
          <w:bCs/>
          <w:rtl/>
        </w:rPr>
        <w:t>תוס' חד מקמאי</w:t>
      </w:r>
      <w:r>
        <w:rPr>
          <w:rtl/>
        </w:rPr>
        <w:t xml:space="preserve"> (שם) האריך לדון א"כ אמאי אסורה עליו, דנקט דהא דאסורה עליו הוה משום גזירה דגירש זה [וכרמב"ם הנ"ל].</w:t>
      </w:r>
    </w:p>
  </w:footnote>
  <w:footnote w:id="5547">
    <w:p w14:paraId="1AF9DBDD" w14:textId="77777777" w:rsidR="006C4368" w:rsidRDefault="006C4368" w:rsidP="006C4368">
      <w:pPr>
        <w:pStyle w:val="Footnote"/>
        <w:bidi/>
      </w:pPr>
      <w:r>
        <w:rPr>
          <w:rStyle w:val="ac"/>
          <w:rtl/>
        </w:rPr>
        <w:footnoteRef/>
      </w:r>
      <w:r>
        <w:rPr>
          <w:rtl/>
        </w:rPr>
        <w:t>וכן מבואר ב</w:t>
      </w:r>
      <w:r>
        <w:rPr>
          <w:b/>
          <w:bCs/>
          <w:rtl/>
        </w:rPr>
        <w:t>ריטב"א</w:t>
      </w:r>
      <w:r>
        <w:rPr>
          <w:rtl/>
        </w:rPr>
        <w:t xml:space="preserve"> (לקמן צד:) דמותר באחותה. אך </w:t>
      </w:r>
      <w:r>
        <w:rPr>
          <w:b/>
          <w:bCs/>
          <w:rtl/>
        </w:rPr>
        <w:t>רש"י</w:t>
      </w:r>
      <w:r>
        <w:rPr>
          <w:rtl/>
        </w:rPr>
        <w:t xml:space="preserve"> (לקמן צה: ד"ה אלא כי היכי) כת' [עכ"פ לחד מ"ד] דאהנו אישות דשני ליאסר בקרובותיה. [ויתבאר לקמן שם. ויל"ד אי אידך מ"ד פליג בזה].</w:t>
      </w:r>
    </w:p>
  </w:footnote>
  <w:footnote w:id="5548">
    <w:p w14:paraId="7E745B23" w14:textId="77777777" w:rsidR="006C4368" w:rsidRDefault="006C4368" w:rsidP="006C4368">
      <w:pPr>
        <w:pStyle w:val="Footnote"/>
        <w:bidi/>
      </w:pPr>
      <w:r>
        <w:rPr>
          <w:rStyle w:val="ac"/>
          <w:rtl/>
        </w:rPr>
        <w:footnoteRef/>
      </w:r>
      <w:r>
        <w:rPr>
          <w:rtl/>
        </w:rPr>
        <w:t>אבל ע"י שנתן לה גט [אף משום גזירה] אסור בקרובותיה (וכדאי' קידושין סה.) דמיחזי כאשתו. וכן מבואר בגמ' (צד:) דלר"ע דצריך גט נאסר בקרובותיה. [וה</w:t>
      </w:r>
      <w:r>
        <w:rPr>
          <w:b/>
          <w:bCs/>
          <w:rtl/>
        </w:rPr>
        <w:t>ריטב"א</w:t>
      </w:r>
      <w:r>
        <w:rPr>
          <w:rtl/>
        </w:rPr>
        <w:t xml:space="preserve"> (צד:) ביאר שאילו נותן גט עשיתו כמקיים קדושיו, ואסור בקרובותיה מדין אחות גרושתו].</w:t>
      </w:r>
    </w:p>
  </w:footnote>
  <w:footnote w:id="5549">
    <w:p w14:paraId="50D95436" w14:textId="77777777" w:rsidR="006C4368" w:rsidRDefault="006C4368" w:rsidP="006C4368">
      <w:pPr>
        <w:pStyle w:val="Footnote"/>
        <w:bidi/>
      </w:pPr>
      <w:r>
        <w:rPr>
          <w:rStyle w:val="ac"/>
          <w:rtl/>
        </w:rPr>
        <w:footnoteRef/>
      </w:r>
      <w:r>
        <w:rPr>
          <w:rtl/>
        </w:rPr>
        <w:t>וה</w:t>
      </w:r>
      <w:r>
        <w:rPr>
          <w:b/>
          <w:bCs/>
          <w:rtl/>
        </w:rPr>
        <w:t>שואל</w:t>
      </w:r>
      <w:r>
        <w:rPr>
          <w:rtl/>
        </w:rPr>
        <w:t xml:space="preserve"> (שם) דן היכא דנשאת ואח"כ בא בעלה [ואינו רוצה לקבל גט], י"ל דהשני לא יוכל לינשא לאחרת, שיאמרו גירש זה, ועובר משום חרם דרבינו גרשם ונושא ב' נשים. ו</w:t>
      </w:r>
      <w:r>
        <w:rPr>
          <w:b/>
          <w:bCs/>
          <w:rtl/>
        </w:rPr>
        <w:t>רע"א</w:t>
      </w:r>
      <w:r>
        <w:rPr>
          <w:rtl/>
        </w:rPr>
        <w:t xml:space="preserve"> חלק דדוקא משום דעברה איסורא קנסוה לחוש לזה. אבל לא קנסו לבעל. ורע"א הביא עוד כמה צירופים בדין חדר"ג.</w:t>
      </w:r>
    </w:p>
  </w:footnote>
  <w:footnote w:id="5550">
    <w:p w14:paraId="3C807741" w14:textId="77777777" w:rsidR="006C4368" w:rsidRDefault="006C4368" w:rsidP="006C4368">
      <w:pPr>
        <w:pStyle w:val="Footnote"/>
        <w:bidi/>
      </w:pPr>
      <w:r>
        <w:rPr>
          <w:rStyle w:val="ac"/>
          <w:rtl/>
        </w:rPr>
        <w:footnoteRef/>
      </w:r>
      <w:r>
        <w:rPr>
          <w:rtl/>
        </w:rPr>
        <w:t xml:space="preserve">וע"ע </w:t>
      </w:r>
      <w:r>
        <w:rPr>
          <w:b/>
          <w:bCs/>
          <w:rtl/>
        </w:rPr>
        <w:t>תוס'</w:t>
      </w:r>
      <w:r>
        <w:rPr>
          <w:rtl/>
        </w:rPr>
        <w:t xml:space="preserve"> (גיטין צ.) היכא דהצריכו גט משום קול בעלמא או לעז האם הצריכו ג' חדשי הבחנה.</w:t>
      </w:r>
    </w:p>
  </w:footnote>
  <w:footnote w:id="5551">
    <w:p w14:paraId="276BD813" w14:textId="77777777" w:rsidR="006C4368" w:rsidRDefault="006C4368" w:rsidP="006C4368">
      <w:pPr>
        <w:pStyle w:val="Footnote"/>
        <w:bidi/>
      </w:pPr>
      <w:r>
        <w:rPr>
          <w:rStyle w:val="ac"/>
          <w:rtl/>
        </w:rPr>
        <w:footnoteRef/>
      </w:r>
      <w:r>
        <w:rPr>
          <w:rtl/>
        </w:rPr>
        <w:t>ובפשוטו תקנת הגט הוה כדי להתירה לשלישי. אבל מדברי ה</w:t>
      </w:r>
      <w:r>
        <w:rPr>
          <w:b/>
          <w:bCs/>
          <w:rtl/>
        </w:rPr>
        <w:t>רמב"ן</w:t>
      </w:r>
      <w:r>
        <w:rPr>
          <w:rtl/>
        </w:rPr>
        <w:t xml:space="preserve"> (לק' צה: וכאן) משמע דתקנו חכמים שיתן גט [כדי לאוסרה על ראשון], ואף היכא דאינה רוצה לינשא.</w:t>
      </w:r>
    </w:p>
  </w:footnote>
  <w:footnote w:id="5552">
    <w:p w14:paraId="6F4D141C" w14:textId="77777777" w:rsidR="006C4368" w:rsidRDefault="006C4368" w:rsidP="006C4368">
      <w:pPr>
        <w:pStyle w:val="Footnote"/>
        <w:bidi/>
      </w:pPr>
      <w:r>
        <w:rPr>
          <w:rStyle w:val="ac"/>
          <w:rtl/>
        </w:rPr>
        <w:footnoteRef/>
      </w:r>
      <w:r>
        <w:rPr>
          <w:rtl/>
        </w:rPr>
        <w:t>וציין לדברי ה</w:t>
      </w:r>
      <w:r>
        <w:rPr>
          <w:b/>
          <w:bCs/>
          <w:rtl/>
        </w:rPr>
        <w:t>מג"א</w:t>
      </w:r>
      <w:r>
        <w:rPr>
          <w:rtl/>
        </w:rPr>
        <w:t xml:space="preserve"> (שהודפס בתוספתא נזיקין בסוה"ס, הו' ברע"א כתובות סג:) שדן באשה שזינתה תחת בעלה, האם כופין את הבעל לגרש או דאי"צ ליתן גט, שהיא גרמא לעצמה ליאסר, ותשב עגונה כל ימיה. [וציין לדברי כמה שו"ת בזה].</w:t>
      </w:r>
    </w:p>
  </w:footnote>
  <w:footnote w:id="5553">
    <w:p w14:paraId="7B0973C0" w14:textId="77777777" w:rsidR="006C4368" w:rsidRDefault="006C4368" w:rsidP="006C4368">
      <w:pPr>
        <w:pStyle w:val="Footnote"/>
        <w:bidi/>
      </w:pPr>
      <w:r>
        <w:rPr>
          <w:rStyle w:val="ac"/>
          <w:rtl/>
        </w:rPr>
        <w:footnoteRef/>
      </w:r>
      <w:r>
        <w:rPr>
          <w:rtl/>
        </w:rPr>
        <w:t>ה</w:t>
      </w:r>
      <w:r>
        <w:rPr>
          <w:b/>
          <w:bCs/>
          <w:rtl/>
        </w:rPr>
        <w:t>רמב"ן</w:t>
      </w:r>
      <w:r>
        <w:rPr>
          <w:rtl/>
        </w:rPr>
        <w:t xml:space="preserve"> (כתובות קי:) כתב דמי שכותב כן הוה טעות.</w:t>
      </w:r>
    </w:p>
  </w:footnote>
  <w:footnote w:id="5554">
    <w:p w14:paraId="34AA7713" w14:textId="77777777" w:rsidR="006C4368" w:rsidRDefault="006C4368" w:rsidP="006C4368">
      <w:pPr>
        <w:pStyle w:val="Footnote"/>
        <w:bidi/>
      </w:pPr>
      <w:r>
        <w:rPr>
          <w:rStyle w:val="ac"/>
          <w:rtl/>
        </w:rPr>
        <w:footnoteRef/>
      </w:r>
      <w:r>
        <w:rPr>
          <w:rtl/>
        </w:rPr>
        <w:t>ו</w:t>
      </w:r>
      <w:r>
        <w:rPr>
          <w:b/>
          <w:bCs/>
          <w:rtl/>
        </w:rPr>
        <w:t>תוס</w:t>
      </w:r>
      <w:r>
        <w:rPr>
          <w:rtl/>
        </w:rPr>
        <w:t>' (כתובות) פי' דאף דכמה סוגיות משמע דכתובה דרבנן, קי"ל כרשב"ג במשנתינו (כתובות קי:) גבי מעות קפוטקיא.</w:t>
      </w:r>
    </w:p>
  </w:footnote>
  <w:footnote w:id="5555">
    <w:p w14:paraId="0AA6E427" w14:textId="77777777" w:rsidR="006C4368" w:rsidRDefault="006C4368" w:rsidP="006C4368">
      <w:pPr>
        <w:pStyle w:val="Footnote"/>
        <w:bidi/>
      </w:pPr>
      <w:r>
        <w:rPr>
          <w:rStyle w:val="ac"/>
          <w:rtl/>
        </w:rPr>
        <w:footnoteRef/>
      </w:r>
      <w:r>
        <w:rPr>
          <w:rtl/>
        </w:rPr>
        <w:t xml:space="preserve">[וכ"ד </w:t>
      </w:r>
      <w:r>
        <w:rPr>
          <w:b/>
          <w:bCs/>
          <w:rtl/>
        </w:rPr>
        <w:t>תוס'</w:t>
      </w:r>
      <w:r>
        <w:rPr>
          <w:rtl/>
        </w:rPr>
        <w:t xml:space="preserve"> (בכ"מ) דשיעור כתובה במנה צורי]. אבל ה</w:t>
      </w:r>
      <w:r>
        <w:rPr>
          <w:b/>
          <w:bCs/>
          <w:rtl/>
        </w:rPr>
        <w:t>רא"ש</w:t>
      </w:r>
      <w:r>
        <w:rPr>
          <w:rtl/>
        </w:rPr>
        <w:t xml:space="preserve"> הביא בשם ה</w:t>
      </w:r>
      <w:r>
        <w:rPr>
          <w:b/>
          <w:bCs/>
          <w:rtl/>
        </w:rPr>
        <w:t xml:space="preserve">גאונים </w:t>
      </w:r>
      <w:r>
        <w:rPr>
          <w:rtl/>
        </w:rPr>
        <w:t>דגובה חמישים כסף מדינה [וכ"ד ה</w:t>
      </w:r>
      <w:r>
        <w:rPr>
          <w:b/>
          <w:bCs/>
          <w:rtl/>
        </w:rPr>
        <w:t>רמב"ם</w:t>
      </w:r>
      <w:r>
        <w:rPr>
          <w:rtl/>
        </w:rPr>
        <w:t xml:space="preserve"> (אישות י ח), וע' שיטמ"ק כתובות שם].</w:t>
      </w:r>
    </w:p>
  </w:footnote>
  <w:footnote w:id="5556">
    <w:p w14:paraId="3F8B7440" w14:textId="77777777" w:rsidR="006C4368" w:rsidRDefault="006C4368" w:rsidP="006C4368">
      <w:pPr>
        <w:pStyle w:val="Footnote"/>
        <w:bidi/>
      </w:pPr>
      <w:r>
        <w:rPr>
          <w:rStyle w:val="ac"/>
          <w:rtl/>
        </w:rPr>
        <w:footnoteRef/>
      </w:r>
      <w:r>
        <w:rPr>
          <w:rtl/>
        </w:rPr>
        <w:t>וה</w:t>
      </w:r>
      <w:r>
        <w:rPr>
          <w:b/>
          <w:bCs/>
          <w:rtl/>
        </w:rPr>
        <w:t>פרישה</w:t>
      </w:r>
      <w:r>
        <w:rPr>
          <w:rtl/>
        </w:rPr>
        <w:t xml:space="preserve"> הק' דא"כ אף באלמנה צריך לכתוב 'דאורייתא', ולא נהגו כן. וה</w:t>
      </w:r>
      <w:r>
        <w:rPr>
          <w:b/>
          <w:bCs/>
          <w:rtl/>
        </w:rPr>
        <w:t>בי"ש</w:t>
      </w:r>
      <w:r>
        <w:rPr>
          <w:rtl/>
        </w:rPr>
        <w:t xml:space="preserve"> (סו יד) כתב דבאלמנה לכו"ע גובים כסף מדינה [אבל הק' דנהגו לגבות לאלמנה חצי מלבתולה. וכתב דמ"מ לא תקנו כן].</w:t>
      </w:r>
    </w:p>
  </w:footnote>
  <w:footnote w:id="5557">
    <w:p w14:paraId="63F78B0C" w14:textId="77777777" w:rsidR="006C4368" w:rsidRDefault="006C4368" w:rsidP="006C4368">
      <w:pPr>
        <w:pStyle w:val="Footnote"/>
        <w:bidi/>
      </w:pPr>
      <w:r>
        <w:rPr>
          <w:rStyle w:val="ac"/>
          <w:rtl/>
        </w:rPr>
        <w:footnoteRef/>
      </w:r>
      <w:r>
        <w:rPr>
          <w:rtl/>
        </w:rPr>
        <w:t>משמע דאיירי שנטלה מהשני, ואף דנתברר אח"כ שלא היתה נשואה לו מעולם, מ"מ מה שנטלה ממנו בחזקת אישות אין מוציאין. [ויל"ד אי הוה מגדרי מחילה כיון דהוה בחזקת אישות, ע"ד הא דאי' באילונית (ב"מ סז.), או דהוה מגדרי הקנס].</w:t>
      </w:r>
    </w:p>
  </w:footnote>
  <w:footnote w:id="5558">
    <w:p w14:paraId="2A9E365C" w14:textId="77777777" w:rsidR="006C4368" w:rsidRDefault="006C4368" w:rsidP="006C4368">
      <w:pPr>
        <w:pStyle w:val="Footnote"/>
        <w:bidi/>
      </w:pPr>
      <w:r>
        <w:rPr>
          <w:rStyle w:val="ac"/>
          <w:rtl/>
        </w:rPr>
        <w:footnoteRef/>
      </w:r>
      <w:r>
        <w:rPr>
          <w:rtl/>
        </w:rPr>
        <w:t>יל"ע דלא ניתנה כתובה ליגבות מחיים [ואף דיש מקומות דמהני תפיסה מחיים, הוה בתורת משכון לחיוב של אח"כ].</w:t>
      </w:r>
    </w:p>
  </w:footnote>
  <w:footnote w:id="5559">
    <w:p w14:paraId="12982996" w14:textId="77777777" w:rsidR="006C4368" w:rsidRDefault="006C4368" w:rsidP="006C4368">
      <w:pPr>
        <w:pStyle w:val="Footnote"/>
        <w:bidi/>
      </w:pPr>
      <w:r>
        <w:rPr>
          <w:rStyle w:val="ac"/>
          <w:rtl/>
        </w:rPr>
        <w:footnoteRef/>
      </w:r>
      <w:r>
        <w:rPr>
          <w:rtl/>
        </w:rPr>
        <w:t>קמ"ל דגדר הקנס להפקיע את החיוב. א"נ קמ"ל דבכלל הקנס דמחוייבת להחזיר.</w:t>
      </w:r>
    </w:p>
  </w:footnote>
  <w:footnote w:id="5560">
    <w:p w14:paraId="728021E0" w14:textId="77777777" w:rsidR="006C4368" w:rsidRDefault="006C4368" w:rsidP="006C4368">
      <w:pPr>
        <w:pStyle w:val="Footnote"/>
        <w:bidi/>
      </w:pPr>
      <w:r>
        <w:rPr>
          <w:rStyle w:val="ac"/>
          <w:rtl/>
        </w:rPr>
        <w:footnoteRef/>
      </w:r>
      <w:r>
        <w:rPr>
          <w:rtl/>
        </w:rPr>
        <w:t xml:space="preserve">וכ"כ </w:t>
      </w:r>
      <w:r>
        <w:rPr>
          <w:b/>
          <w:bCs/>
          <w:rtl/>
        </w:rPr>
        <w:t>רש"י</w:t>
      </w:r>
      <w:r>
        <w:rPr>
          <w:rtl/>
        </w:rPr>
        <w:t xml:space="preserve"> (שבת כה:) וה</w:t>
      </w:r>
      <w:r>
        <w:rPr>
          <w:b/>
          <w:bCs/>
          <w:rtl/>
        </w:rPr>
        <w:t>ר"י בן מלכי צדק</w:t>
      </w:r>
      <w:r>
        <w:rPr>
          <w:rtl/>
        </w:rPr>
        <w:t xml:space="preserve"> (תרומות ב ב) ועוד ראשונים.</w:t>
      </w:r>
    </w:p>
  </w:footnote>
  <w:footnote w:id="5561">
    <w:p w14:paraId="38A08C08" w14:textId="77777777" w:rsidR="006C4368" w:rsidRDefault="006C4368" w:rsidP="006C4368">
      <w:pPr>
        <w:pStyle w:val="Footnote"/>
        <w:bidi/>
      </w:pPr>
      <w:r>
        <w:rPr>
          <w:rStyle w:val="ac"/>
          <w:rtl/>
        </w:rPr>
        <w:footnoteRef/>
      </w:r>
      <w:r>
        <w:rPr>
          <w:rtl/>
        </w:rPr>
        <w:t>אך ה</w:t>
      </w:r>
      <w:r>
        <w:rPr>
          <w:b/>
          <w:bCs/>
          <w:rtl/>
        </w:rPr>
        <w:t>ערול"נ</w:t>
      </w:r>
      <w:r>
        <w:rPr>
          <w:rtl/>
        </w:rPr>
        <w:t xml:space="preserve"> כת' דתלי במח' האמוראים (פסחים שם), ורב הונא בדר"י (שם) ביאר באופ"א. וי"ל דדרשת 'ולא לאורו' הוה לכתחילה, ואף כשהיה בו שעת הכושר. [וכ"מ מדברי הר"י במ"צ שם שהביא דרשת רב הונא בדר"י].</w:t>
      </w:r>
    </w:p>
  </w:footnote>
  <w:footnote w:id="5562">
    <w:p w14:paraId="0228D9EA" w14:textId="77777777" w:rsidR="006C4368" w:rsidRDefault="006C4368" w:rsidP="006C4368">
      <w:pPr>
        <w:pStyle w:val="Footnote"/>
        <w:bidi/>
      </w:pPr>
      <w:r>
        <w:rPr>
          <w:rStyle w:val="ac"/>
          <w:rtl/>
        </w:rPr>
        <w:footnoteRef/>
      </w:r>
      <w:r>
        <w:rPr>
          <w:rtl/>
        </w:rPr>
        <w:t>וה</w:t>
      </w:r>
      <w:r>
        <w:rPr>
          <w:b/>
          <w:bCs/>
          <w:rtl/>
        </w:rPr>
        <w:t>קוב"ש</w:t>
      </w:r>
      <w:r>
        <w:rPr>
          <w:rtl/>
        </w:rPr>
        <w:t xml:space="preserve"> (פסחים קנ, וקובה"ע ס ב) הק' דסוף סוף מפריש לאורו, ומהיכן ילפי' חילוק דשעת הכושר. ותי' דהיכא שהיה לו שעת הכושר מקרי 'בר נתינה'. ועוד פי' דגדר הך מיעוט שלא יחול מתחלה דין קריאת שם על התבואה. אבל היכא דהיה שעת הכושר כבר חל דין תרומה, ותו לא פקע. וע"ע פרי יצחק (א לז).</w:t>
      </w:r>
    </w:p>
  </w:footnote>
  <w:footnote w:id="5563">
    <w:p w14:paraId="743C92AA" w14:textId="77777777" w:rsidR="006C4368" w:rsidRDefault="006C4368" w:rsidP="006C4368">
      <w:pPr>
        <w:pStyle w:val="Footnote"/>
        <w:bidi/>
      </w:pPr>
      <w:r>
        <w:rPr>
          <w:rStyle w:val="ac"/>
          <w:rtl/>
        </w:rPr>
        <w:footnoteRef/>
      </w:r>
      <w:r>
        <w:rPr>
          <w:rtl/>
        </w:rPr>
        <w:t>והביא דעד"ז אי' (נזיר יז.) במקבל נזירות כשעומד בבית הקברות, דנחשב מטמא נזיר.</w:t>
      </w:r>
    </w:p>
  </w:footnote>
  <w:footnote w:id="5564">
    <w:p w14:paraId="52D3677D" w14:textId="77777777" w:rsidR="006C4368" w:rsidRDefault="006C4368" w:rsidP="006C4368">
      <w:pPr>
        <w:pStyle w:val="Footnote"/>
        <w:bidi/>
      </w:pPr>
      <w:r>
        <w:rPr>
          <w:rStyle w:val="ac"/>
          <w:rtl/>
        </w:rPr>
        <w:footnoteRef/>
      </w:r>
      <w:r>
        <w:rPr>
          <w:rtl/>
        </w:rPr>
        <w:t>וכיון שכבר הפריש תרומה גדולה ל"ש גזירה דלא היה לו שעת הכושר.</w:t>
      </w:r>
    </w:p>
  </w:footnote>
  <w:footnote w:id="5565">
    <w:p w14:paraId="13360E30" w14:textId="77777777" w:rsidR="006C4368" w:rsidRDefault="006C4368" w:rsidP="006C4368">
      <w:pPr>
        <w:pStyle w:val="Footnote"/>
        <w:bidi/>
      </w:pPr>
      <w:r>
        <w:rPr>
          <w:rStyle w:val="ac"/>
          <w:rtl/>
        </w:rPr>
        <w:footnoteRef/>
      </w:r>
      <w:r>
        <w:rPr>
          <w:rtl/>
        </w:rPr>
        <w:t>ואף דעי"ז מפריש תרומת מעשר בטומאה, בשעת הפרשת המעשר לא חיישינן להכי.</w:t>
      </w:r>
    </w:p>
  </w:footnote>
  <w:footnote w:id="5566">
    <w:p w14:paraId="1BCB10DF" w14:textId="77777777" w:rsidR="006C4368" w:rsidRDefault="006C4368" w:rsidP="006C4368">
      <w:pPr>
        <w:pStyle w:val="Footnote"/>
        <w:bidi/>
      </w:pPr>
      <w:r>
        <w:rPr>
          <w:rStyle w:val="ac"/>
          <w:rtl/>
        </w:rPr>
        <w:footnoteRef/>
      </w:r>
      <w:r>
        <w:rPr>
          <w:rtl/>
        </w:rPr>
        <w:t>למש"כ ה</w:t>
      </w:r>
      <w:r>
        <w:rPr>
          <w:b/>
          <w:bCs/>
          <w:rtl/>
        </w:rPr>
        <w:t>ג"ר בונם איגר</w:t>
      </w:r>
      <w:r>
        <w:rPr>
          <w:rtl/>
        </w:rPr>
        <w:t xml:space="preserve"> (בחי' רע"א קיד' מו:, הו' בע"ב) התורם מהרע על היפה יש מצווה לישאל על תרומתו, לעקור מה שעשה באיסור, וכדי לתרום מהיפה. א"כ צ"ע במתני' אמאי לא אמרי' דחייב לישאל. ואפשר דאיירי כשאינו יכול לישאל, וכגון שכבר נתנו לכהן.</w:t>
      </w:r>
    </w:p>
    <w:p w14:paraId="5852EEC9" w14:textId="77777777" w:rsidR="006C4368" w:rsidRDefault="006C4368" w:rsidP="006C4368">
      <w:pPr>
        <w:pStyle w:val="Footnote"/>
        <w:bidi/>
      </w:pPr>
      <w:r>
        <w:rPr>
          <w:rtl/>
        </w:rPr>
        <w:tab/>
        <w:t>ועוד יש שדנו דה"מ כשנתכוון לתרום מהרעה. אבל כשנתכוון מהיפה לא עבר. ואין חיוב לתקנו. [ואף דקנסו מדרבנן בסוגיין].</w:t>
      </w:r>
    </w:p>
  </w:footnote>
  <w:footnote w:id="5567">
    <w:p w14:paraId="009F8292" w14:textId="77777777" w:rsidR="006C4368" w:rsidRDefault="006C4368" w:rsidP="006C4368">
      <w:pPr>
        <w:pStyle w:val="Footnote"/>
        <w:bidi/>
      </w:pPr>
      <w:r>
        <w:rPr>
          <w:rStyle w:val="ac"/>
          <w:rtl/>
        </w:rPr>
        <w:footnoteRef/>
      </w:r>
      <w:r>
        <w:rPr>
          <w:rtl/>
        </w:rPr>
        <w:t>וה</w:t>
      </w:r>
      <w:r>
        <w:rPr>
          <w:b/>
          <w:bCs/>
          <w:rtl/>
        </w:rPr>
        <w:t>מאירי</w:t>
      </w:r>
      <w:r>
        <w:rPr>
          <w:rtl/>
        </w:rPr>
        <w:t xml:space="preserve"> (קידושין מו:) הק' מ"ש משקדים המרים דאין עליו שם אוכלין. ותי' דשקדים המרים מין בפני עצמו הוא שתולדתו בכך אבל קישות תולדה שלו מתוקה אלא שלאי זו סבה נתחדש בה מרירות.</w:t>
      </w:r>
    </w:p>
  </w:footnote>
  <w:footnote w:id="5568">
    <w:p w14:paraId="0260BD96" w14:textId="77777777" w:rsidR="006C4368" w:rsidRDefault="006C4368" w:rsidP="006C4368">
      <w:pPr>
        <w:pStyle w:val="Footnote"/>
        <w:bidi/>
      </w:pPr>
      <w:r>
        <w:rPr>
          <w:rStyle w:val="ac"/>
          <w:rtl/>
        </w:rPr>
        <w:footnoteRef/>
      </w:r>
      <w:r>
        <w:rPr>
          <w:rtl/>
        </w:rPr>
        <w:t>וה</w:t>
      </w:r>
      <w:r>
        <w:rPr>
          <w:b/>
          <w:bCs/>
          <w:rtl/>
        </w:rPr>
        <w:t>רמב"ן</w:t>
      </w:r>
      <w:r>
        <w:rPr>
          <w:rtl/>
        </w:rPr>
        <w:t xml:space="preserve"> (ב"ב פד:) הביא מקור לדברי התוס' מה</w:t>
      </w:r>
      <w:r>
        <w:rPr>
          <w:b/>
          <w:bCs/>
          <w:rtl/>
        </w:rPr>
        <w:t>תוספתא</w:t>
      </w:r>
      <w:r>
        <w:rPr>
          <w:rtl/>
        </w:rPr>
        <w:t xml:space="preserve"> (תרומות ד) דחילק בין היה סבור להפריש יין על יין. אך תוס' (בהמשך) הביאו להיפך מהתוספתא, דעל דין זה דיין ונמצא חומץ אי' בתוספתא דברי רבי שרבי אומר יין וחומץ שני מינין וחכמים אומרים מין א'. עי"ש שדחו [אך י"ל דהוה מימרא בפנ"ע].</w:t>
      </w:r>
    </w:p>
  </w:footnote>
  <w:footnote w:id="5569">
    <w:p w14:paraId="5455CCDA" w14:textId="77777777" w:rsidR="006C4368" w:rsidRDefault="006C4368" w:rsidP="006C4368">
      <w:pPr>
        <w:pStyle w:val="Footnote"/>
        <w:bidi/>
      </w:pPr>
      <w:r>
        <w:rPr>
          <w:rStyle w:val="ac"/>
          <w:rtl/>
        </w:rPr>
        <w:footnoteRef/>
      </w:r>
      <w:r>
        <w:rPr>
          <w:rtl/>
        </w:rPr>
        <w:t>וה</w:t>
      </w:r>
      <w:r>
        <w:rPr>
          <w:b/>
          <w:bCs/>
          <w:rtl/>
        </w:rPr>
        <w:t>מאירי</w:t>
      </w:r>
      <w:r>
        <w:rPr>
          <w:rtl/>
        </w:rPr>
        <w:t xml:space="preserve"> (קידושין מו:) הביא דיין וחומץ הוה ב' מינים לענין תערובת יין נסך (בסוגיה ע"ז סו.).</w:t>
      </w:r>
    </w:p>
  </w:footnote>
  <w:footnote w:id="5570">
    <w:p w14:paraId="7AA0B6B8" w14:textId="77777777" w:rsidR="006C4368" w:rsidRDefault="006C4368" w:rsidP="006C4368">
      <w:pPr>
        <w:pStyle w:val="Footnote"/>
        <w:bidi/>
      </w:pPr>
      <w:r>
        <w:rPr>
          <w:rStyle w:val="ac"/>
          <w:rtl/>
        </w:rPr>
        <w:footnoteRef/>
      </w:r>
      <w:r>
        <w:rPr>
          <w:rtl/>
        </w:rPr>
        <w:t>ולכאורה לפ"ז הוה ספק דאורייתא [וכ"מ ב</w:t>
      </w:r>
      <w:r>
        <w:rPr>
          <w:b/>
          <w:bCs/>
          <w:rtl/>
        </w:rPr>
        <w:t>רמב"ם</w:t>
      </w:r>
      <w:r>
        <w:rPr>
          <w:rtl/>
        </w:rPr>
        <w:t xml:space="preserve"> (שם ה כב) דהוה ספק דאורייתא], ודלא כסוגיין דהוה תקנה דרבנן.</w:t>
      </w:r>
    </w:p>
    <w:p w14:paraId="028EBB8A" w14:textId="77777777" w:rsidR="006C4368" w:rsidRDefault="006C4368" w:rsidP="006C4368">
      <w:pPr>
        <w:pStyle w:val="Footnote"/>
        <w:bidi/>
      </w:pPr>
      <w:r>
        <w:rPr>
          <w:rtl/>
        </w:rPr>
        <w:tab/>
        <w:t>והר"ש כת' דע"פ הגמ' דידן י"ל דעשו אותו כספק אוכלין משום שתרם בטעות [והוה גדר הקנס] [וכ"כ תוס' ב"ב קמג. בכוונת הירושלמי]. אבל הביא דבירושלמי מבואר דבכל התורה הוה ספק אוכלין.</w:t>
      </w:r>
    </w:p>
  </w:footnote>
  <w:footnote w:id="5571">
    <w:p w14:paraId="38BD5900" w14:textId="77777777" w:rsidR="006C4368" w:rsidRDefault="006C4368" w:rsidP="006C4368">
      <w:pPr>
        <w:pStyle w:val="Footnote"/>
        <w:bidi/>
      </w:pPr>
      <w:r>
        <w:rPr>
          <w:rStyle w:val="ac"/>
          <w:rtl/>
        </w:rPr>
        <w:footnoteRef/>
      </w:r>
      <w:r>
        <w:rPr>
          <w:rtl/>
        </w:rPr>
        <w:t>וה</w:t>
      </w:r>
      <w:r>
        <w:rPr>
          <w:b/>
          <w:bCs/>
          <w:rtl/>
        </w:rPr>
        <w:t>פרמ"ג</w:t>
      </w:r>
      <w:r>
        <w:rPr>
          <w:rtl/>
        </w:rPr>
        <w:t xml:space="preserve"> (יו"ד צו שפ"ד י) כבר עמד בזה, והביא דבתוס' מבואר דטעימה אסור אף באיסור דרבנן. וע"ע תבו"ש (מב ד).</w:t>
      </w:r>
    </w:p>
  </w:footnote>
  <w:footnote w:id="5572">
    <w:p w14:paraId="530C33DC" w14:textId="77777777" w:rsidR="006C4368" w:rsidRDefault="006C4368" w:rsidP="006C4368">
      <w:pPr>
        <w:pStyle w:val="Footnote"/>
        <w:bidi/>
      </w:pPr>
      <w:r>
        <w:rPr>
          <w:rStyle w:val="ac"/>
          <w:rtl/>
        </w:rPr>
        <w:footnoteRef/>
      </w:r>
      <w:r>
        <w:rPr>
          <w:rtl/>
        </w:rPr>
        <w:t xml:space="preserve">ועד"ז דעת </w:t>
      </w:r>
      <w:r>
        <w:rPr>
          <w:b/>
          <w:bCs/>
          <w:rtl/>
        </w:rPr>
        <w:t>ר"י</w:t>
      </w:r>
      <w:r>
        <w:rPr>
          <w:rtl/>
        </w:rPr>
        <w:t xml:space="preserve"> (בתוס' בע"ב) [בסיפא דמהנקוב על שאינו נקוב].</w:t>
      </w:r>
    </w:p>
  </w:footnote>
  <w:footnote w:id="5573">
    <w:p w14:paraId="162E6E1E" w14:textId="77777777" w:rsidR="006C4368" w:rsidRDefault="006C4368" w:rsidP="006C4368">
      <w:pPr>
        <w:pStyle w:val="Footnote"/>
        <w:bidi/>
      </w:pPr>
      <w:r>
        <w:rPr>
          <w:rStyle w:val="ac"/>
          <w:rtl/>
        </w:rPr>
        <w:footnoteRef/>
      </w:r>
      <w:r>
        <w:rPr>
          <w:rtl/>
        </w:rPr>
        <w:t>וצ"ע אי הוה מקח טעות ע"פ דין, א"כ אמאי יתן לכהן. [ול"מ בשאר תרומה בטעות שיתן לכהן], וכן אמאי הקילו לאוכלו בלא הפרשה. ואדרבה כיון דההפרשה בטילה משום טעות א"כ אין עליו שם תרומה כלל. ועוד ילה"ק דבגמ' מבואר דהוה מזיד, ולא שוגג.</w:t>
      </w:r>
    </w:p>
  </w:footnote>
  <w:footnote w:id="5574">
    <w:p w14:paraId="0E433DA8" w14:textId="77777777" w:rsidR="006C4368" w:rsidRDefault="006C4368" w:rsidP="006C4368">
      <w:pPr>
        <w:pStyle w:val="Footnote"/>
        <w:bidi/>
      </w:pPr>
      <w:r>
        <w:rPr>
          <w:rStyle w:val="ac"/>
          <w:rtl/>
        </w:rPr>
        <w:footnoteRef/>
      </w:r>
      <w:r>
        <w:rPr>
          <w:rtl/>
        </w:rPr>
        <w:t>דדין התרומה בא מחמת הטבל שמתקן.</w:t>
      </w:r>
    </w:p>
  </w:footnote>
  <w:footnote w:id="5575">
    <w:p w14:paraId="44A117D1" w14:textId="77777777" w:rsidR="006C4368" w:rsidRDefault="006C4368" w:rsidP="006C4368">
      <w:pPr>
        <w:pStyle w:val="Footnote"/>
        <w:bidi/>
      </w:pPr>
      <w:r>
        <w:rPr>
          <w:rStyle w:val="ac"/>
          <w:rtl/>
        </w:rPr>
        <w:footnoteRef/>
      </w:r>
      <w:r>
        <w:rPr>
          <w:rtl/>
        </w:rPr>
        <w:t>דהא לא קי"ל כרב חסדא דס"ל דבי"ד מתנין לעקור דבר מן התורה.</w:t>
      </w:r>
    </w:p>
    <w:p w14:paraId="731B9932" w14:textId="77777777" w:rsidR="006C4368" w:rsidRDefault="006C4368" w:rsidP="006C4368">
      <w:pPr>
        <w:pStyle w:val="Footnote"/>
        <w:bidi/>
      </w:pPr>
      <w:r>
        <w:rPr>
          <w:rtl/>
        </w:rPr>
        <w:tab/>
        <w:t>ולרב נתן בר"א ע"כ בסוגיין אף בחד מנא הדין דתרומה ויחזור ויתרום, א"כ אין הוכחה לחילוק זה דבחד מנא לא ציית. [ואף דיש לחלק דהיכא דחל תרומה מהתורה לא עקרו משום הך חשש. ואילו התם דמדאורייתא לא חל תרומה י"ל דלא יתקנו תרומה ויחזור ויתרום מחמת חששא דבחד מנא לא ציית. אך מ"מ אין ראיה לחילוק זה מתוך הסוגיה].</w:t>
      </w:r>
    </w:p>
  </w:footnote>
  <w:footnote w:id="5576">
    <w:p w14:paraId="04D0FF11" w14:textId="77777777" w:rsidR="006C4368" w:rsidRDefault="006C4368" w:rsidP="006C4368">
      <w:pPr>
        <w:pStyle w:val="Footnote"/>
        <w:bidi/>
      </w:pPr>
      <w:r>
        <w:rPr>
          <w:rStyle w:val="ac"/>
          <w:rtl/>
        </w:rPr>
        <w:footnoteRef/>
      </w:r>
      <w:r>
        <w:rPr>
          <w:rtl/>
        </w:rPr>
        <w:t>ואילו לדעת רב (שם) הטעם דהמפריש חלה קמח הוה גזל ביד כהן, משום דאמרי' דגמר ונתן לשם פקדון. דאמרי' דיודע ואינו יודע, ונעשה כאומר אי חלה היא תהוי חלה ואי לא תהוי פקדון. משא"כ משאינו נקוב [על הנקוב] הוי תרומה וחוזר ותורם, דהוה טועה גמור ונתכוון לשם תרומה גמורה. ואנו מקיימין מחשבתו ואמרינן ליה דליהדר וליתרום ומיצת ציית.</w:t>
      </w:r>
    </w:p>
  </w:footnote>
  <w:footnote w:id="5577">
    <w:p w14:paraId="60D5D1DE" w14:textId="77777777" w:rsidR="006C4368" w:rsidRDefault="006C4368" w:rsidP="006C4368">
      <w:pPr>
        <w:pStyle w:val="Footnote"/>
        <w:bidi/>
      </w:pPr>
      <w:r>
        <w:rPr>
          <w:rStyle w:val="ac"/>
          <w:rtl/>
        </w:rPr>
        <w:footnoteRef/>
      </w:r>
      <w:r>
        <w:rPr>
          <w:rtl/>
        </w:rPr>
        <w:t xml:space="preserve">וכן משמע מדברי </w:t>
      </w:r>
      <w:r>
        <w:rPr>
          <w:b/>
          <w:bCs/>
          <w:rtl/>
        </w:rPr>
        <w:t>רש"י</w:t>
      </w:r>
      <w:r>
        <w:rPr>
          <w:rtl/>
        </w:rPr>
        <w:t xml:space="preserve"> (כאן) דכת' דהוה טבל גמור, אלא דתקנו ליתן לכהן הואיל וקרא עליו שם תרומה [משמע דלא חל הפרשתו כלל על הפירות האלו]. וכן </w:t>
      </w:r>
      <w:r>
        <w:rPr>
          <w:b/>
          <w:bCs/>
          <w:rtl/>
        </w:rPr>
        <w:t>רש"י</w:t>
      </w:r>
      <w:r>
        <w:rPr>
          <w:rtl/>
        </w:rPr>
        <w:t xml:space="preserve"> (קידושין מו: ד"ה תרומה היא) כת' שאין כהן חייב להחזירה. וכת' דלא תאכל לכהן, דהא טבל גמור הוא שלא חל שם תרומה עליה. משמע דלא חל קדושת תרומה כלל [אף בגדרי דרבנן], אלא לענין נתינה לכהן.</w:t>
      </w:r>
    </w:p>
  </w:footnote>
  <w:footnote w:id="5578">
    <w:p w14:paraId="05E10F50" w14:textId="77777777" w:rsidR="006C4368" w:rsidRDefault="006C4368" w:rsidP="006C4368">
      <w:pPr>
        <w:pStyle w:val="Footnote"/>
        <w:bidi/>
      </w:pPr>
      <w:r>
        <w:rPr>
          <w:rStyle w:val="ac"/>
          <w:rtl/>
        </w:rPr>
        <w:footnoteRef/>
      </w:r>
      <w:r>
        <w:rPr>
          <w:rtl/>
        </w:rPr>
        <w:t>ולכאורה מבואר דמתקיים בזה קצת ענין הפרשת תרומה, דהפריש מהטבל דבר לתת לכהן. ואף דלא חל קדושת תרומה בהפרשתו, עכ"פ מהני לתקן את הטבל. [ולכאורה מבואר דגדר איסור טבל {עכ"פ מדרבנן} הוא משום דצריך לקיים בו מצוות הפרשת תרומה. ולא משום שיש בתוכו צד קדושת תרומה (ע' מש"כ לעיל פו.). דאי יש בטבל מקצת קדושת תרומה, וגדר ההפרשה הוא ליחד פירות בחיוב תרומה. א"כ הכא דלא חל קדושה על הפירות האיך יסתלק האיסור מהטבל. ויש לדחות דמ"מ הם אמרו והם אמרו דאי"צ להטריחו כל כך, ופטרו את הטבל ע"י הפרשה זו].</w:t>
      </w:r>
    </w:p>
  </w:footnote>
  <w:footnote w:id="5579">
    <w:p w14:paraId="2615257D" w14:textId="77777777" w:rsidR="006C4368" w:rsidRDefault="006C4368" w:rsidP="006C4368">
      <w:pPr>
        <w:pStyle w:val="Footnote"/>
        <w:bidi/>
      </w:pPr>
      <w:r>
        <w:rPr>
          <w:rStyle w:val="ac"/>
          <w:rtl/>
        </w:rPr>
        <w:footnoteRef/>
      </w:r>
      <w:r>
        <w:rPr>
          <w:rtl/>
        </w:rPr>
        <w:t>ולכאורה דעת הריב"ן (ורש"י) דל"ש 'קדושת תרומה' בדבר שהוא טבל מדאורייתא.</w:t>
      </w:r>
    </w:p>
  </w:footnote>
  <w:footnote w:id="5580">
    <w:p w14:paraId="144BF372" w14:textId="77777777" w:rsidR="006C4368" w:rsidRDefault="006C4368" w:rsidP="006C4368">
      <w:pPr>
        <w:pStyle w:val="Footnote"/>
        <w:bidi/>
      </w:pPr>
      <w:r>
        <w:rPr>
          <w:rStyle w:val="ac"/>
          <w:rtl/>
        </w:rPr>
        <w:footnoteRef/>
      </w:r>
      <w:r>
        <w:rPr>
          <w:b/>
          <w:bCs/>
          <w:rtl/>
        </w:rPr>
        <w:t>תוס'</w:t>
      </w:r>
      <w:r>
        <w:rPr>
          <w:rtl/>
        </w:rPr>
        <w:t xml:space="preserve"> (ב"מ נו.) הק' דנימא שנושא חטאו כשאכלו בלא הפרשה אחרת. וי"ל דמשמע בקרא דאהפרשה גרידא איכא נשיאות חטא.</w:t>
      </w:r>
    </w:p>
  </w:footnote>
  <w:footnote w:id="5581">
    <w:p w14:paraId="40C71762" w14:textId="77777777" w:rsidR="006C4368" w:rsidRDefault="006C4368" w:rsidP="006C4368">
      <w:pPr>
        <w:pStyle w:val="Footnote"/>
        <w:bidi/>
      </w:pPr>
      <w:r>
        <w:rPr>
          <w:rStyle w:val="ac"/>
          <w:rtl/>
        </w:rPr>
        <w:footnoteRef/>
      </w:r>
      <w:r>
        <w:rPr>
          <w:rtl/>
        </w:rPr>
        <w:t>דרבא אמר כל מילתא דאמר רחמנא לא תעבד, אי עבד לא מהני. ואביי פליג א"כ אמאי לקי, וע"כ דאהני מעשיו. ודעת רבא דאף דלא מהני לוקה, משום דעבר אמימרא דרחמנא.</w:t>
      </w:r>
    </w:p>
  </w:footnote>
  <w:footnote w:id="5582">
    <w:p w14:paraId="30D8E292" w14:textId="77777777" w:rsidR="006C4368" w:rsidRDefault="006C4368" w:rsidP="006C4368">
      <w:pPr>
        <w:pStyle w:val="Footnote"/>
        <w:bidi/>
      </w:pPr>
      <w:r>
        <w:rPr>
          <w:rStyle w:val="ac"/>
          <w:rtl/>
        </w:rPr>
        <w:footnoteRef/>
      </w:r>
      <w:r>
        <w:rPr>
          <w:rtl/>
        </w:rPr>
        <w:t>וה</w:t>
      </w:r>
      <w:r>
        <w:rPr>
          <w:b/>
          <w:bCs/>
          <w:rtl/>
        </w:rPr>
        <w:t>שיטמ"ק</w:t>
      </w:r>
      <w:r>
        <w:rPr>
          <w:rtl/>
        </w:rPr>
        <w:t xml:space="preserve"> (תמורה ה. כה) כת' דמשמע דיש נשיאות חטא גדול משאר עבירה. משום דאהנו מעשיו.</w:t>
      </w:r>
    </w:p>
  </w:footnote>
  <w:footnote w:id="5583">
    <w:p w14:paraId="0B78B7F6" w14:textId="77777777" w:rsidR="006C4368" w:rsidRDefault="006C4368" w:rsidP="006C4368">
      <w:pPr>
        <w:pStyle w:val="Footnote"/>
        <w:bidi/>
      </w:pPr>
      <w:r>
        <w:rPr>
          <w:rStyle w:val="ac"/>
          <w:rtl/>
        </w:rPr>
        <w:footnoteRef/>
      </w:r>
      <w:r>
        <w:rPr>
          <w:rtl/>
        </w:rPr>
        <w:t>ו</w:t>
      </w:r>
      <w:r>
        <w:rPr>
          <w:b/>
          <w:bCs/>
          <w:rtl/>
        </w:rPr>
        <w:t>ר' בונים איגר</w:t>
      </w:r>
      <w:r>
        <w:rPr>
          <w:rtl/>
        </w:rPr>
        <w:t xml:space="preserve"> (בחי' רע"א קידושין) ביאר דאם עבר ותרם מהרעה, יכול לתקן ע"י שאלה ונעקר התרומה. וכוונת התוס' דאם מניח את התרומה, ואינו נשאל עליו ולתקן מה שעשה עובר עדיין בחטא. משא"כ מי שעבר אמימרא דרחמנא ולא חל המעשה, אין העבירה חמור כ"כ.</w:t>
      </w:r>
    </w:p>
  </w:footnote>
  <w:footnote w:id="5584">
    <w:p w14:paraId="3135FF55" w14:textId="77777777" w:rsidR="006C4368" w:rsidRDefault="006C4368" w:rsidP="006C4368">
      <w:pPr>
        <w:pStyle w:val="Footnote"/>
        <w:bidi/>
      </w:pPr>
      <w:r>
        <w:rPr>
          <w:rStyle w:val="ac"/>
          <w:rtl/>
        </w:rPr>
        <w:footnoteRef/>
      </w:r>
      <w:r>
        <w:rPr>
          <w:rtl/>
        </w:rPr>
        <w:t>ועד"ז ב</w:t>
      </w:r>
      <w:r>
        <w:rPr>
          <w:b/>
          <w:bCs/>
          <w:rtl/>
        </w:rPr>
        <w:t>הג' ראמ"ה</w:t>
      </w:r>
      <w:r>
        <w:rPr>
          <w:rtl/>
        </w:rPr>
        <w:t xml:space="preserve"> (קידושין) תי' דליכא איסור אלא מצווה שלהא מחלבו. ולא גרע מלא הפריש כלל.</w:t>
      </w:r>
    </w:p>
    <w:p w14:paraId="7F9124BC" w14:textId="77777777" w:rsidR="006C4368" w:rsidRDefault="006C4368" w:rsidP="006C4368">
      <w:pPr>
        <w:pStyle w:val="Footnote"/>
        <w:bidi/>
      </w:pPr>
      <w:r>
        <w:rPr>
          <w:rtl/>
        </w:rPr>
        <w:tab/>
        <w:t>וה</w:t>
      </w:r>
      <w:r>
        <w:rPr>
          <w:b/>
          <w:bCs/>
          <w:rtl/>
        </w:rPr>
        <w:t>מקור ברוך</w:t>
      </w:r>
      <w:r>
        <w:rPr>
          <w:rtl/>
        </w:rPr>
        <w:t xml:space="preserve"> (לא) דן דהך דין מהיפה הוה דין בנתינה, ולא בהפרשה. ומש"ה בהפרשה לא עבר אמימרא דרחמנא. דהוה גרמא בעלמא.</w:t>
      </w:r>
    </w:p>
  </w:footnote>
  <w:footnote w:id="5585">
    <w:p w14:paraId="7E3B3DB9" w14:textId="77777777" w:rsidR="006C4368" w:rsidRDefault="006C4368" w:rsidP="006C4368">
      <w:pPr>
        <w:pStyle w:val="Footnote"/>
        <w:bidi/>
      </w:pPr>
      <w:r>
        <w:rPr>
          <w:rStyle w:val="ac"/>
          <w:rtl/>
        </w:rPr>
        <w:footnoteRef/>
      </w:r>
      <w:r>
        <w:rPr>
          <w:rtl/>
        </w:rPr>
        <w:t>וה</w:t>
      </w:r>
      <w:r>
        <w:rPr>
          <w:b/>
          <w:bCs/>
          <w:rtl/>
        </w:rPr>
        <w:t>תוס' הרא"ש</w:t>
      </w:r>
      <w:r>
        <w:rPr>
          <w:rtl/>
        </w:rPr>
        <w:t xml:space="preserve"> (קידושין) תי' דאם אינו קדוש, הוה כאדם המטלטל תבואתו ממקום למקום, ולא קרינן 'בהרימכם', ולא שייך נשיאות חטא. וה</w:t>
      </w:r>
      <w:r>
        <w:rPr>
          <w:b/>
          <w:bCs/>
          <w:rtl/>
        </w:rPr>
        <w:t>תוס' הרא"ש</w:t>
      </w:r>
      <w:r>
        <w:rPr>
          <w:rtl/>
        </w:rPr>
        <w:t xml:space="preserve"> (ב"ב פד:) ביאר דל"ד לכה"ג שמקדש אלמנה, דבקידושין עובר בלא יקח. אבל הכא אם אינו קדוש א"כ לא עשה כלום. כי לא נתכוון שלא יהא תרומה.</w:t>
      </w:r>
    </w:p>
  </w:footnote>
  <w:footnote w:id="5586">
    <w:p w14:paraId="41BBE51B" w14:textId="77777777" w:rsidR="006C4368" w:rsidRDefault="006C4368" w:rsidP="006C4368">
      <w:pPr>
        <w:pStyle w:val="Footnote"/>
        <w:bidi/>
      </w:pPr>
      <w:r>
        <w:rPr>
          <w:rStyle w:val="ac"/>
          <w:rtl/>
        </w:rPr>
        <w:footnoteRef/>
      </w:r>
      <w:r>
        <w:rPr>
          <w:rtl/>
        </w:rPr>
        <w:t>ור"א מן ההר כת' דהוה עקירה בידים דמפקי לחולין, ואכלי זרים.</w:t>
      </w:r>
    </w:p>
  </w:footnote>
  <w:footnote w:id="5587">
    <w:p w14:paraId="6051233C" w14:textId="77777777" w:rsidR="006C4368" w:rsidRDefault="006C4368" w:rsidP="006C4368">
      <w:pPr>
        <w:pStyle w:val="Footnote"/>
        <w:bidi/>
      </w:pPr>
      <w:r>
        <w:rPr>
          <w:rStyle w:val="ac"/>
          <w:rtl/>
        </w:rPr>
        <w:footnoteRef/>
      </w:r>
      <w:r>
        <w:rPr>
          <w:rtl/>
        </w:rPr>
        <w:t>יל"ד אי כוונת הרשב"א דלא הוה 'עקירה' אלא שעושה צווי החכמים נגד דברי התורה. או דלא עקרו מדעתן, אלא לצורך דברי תורה.</w:t>
      </w:r>
    </w:p>
  </w:footnote>
  <w:footnote w:id="5588">
    <w:p w14:paraId="23C19A40" w14:textId="77777777" w:rsidR="006C4368" w:rsidRDefault="006C4368" w:rsidP="006C4368">
      <w:pPr>
        <w:pStyle w:val="Footnote"/>
        <w:bidi/>
      </w:pPr>
      <w:r>
        <w:rPr>
          <w:rStyle w:val="ac"/>
          <w:rtl/>
        </w:rPr>
        <w:footnoteRef/>
      </w:r>
      <w:r>
        <w:rPr>
          <w:rtl/>
        </w:rPr>
        <w:t>וע"ע בסמוך איזה בי"ד ראוי לעשות הפקר בי"ד.</w:t>
      </w:r>
    </w:p>
  </w:footnote>
  <w:footnote w:id="5589">
    <w:p w14:paraId="554760D7" w14:textId="77777777" w:rsidR="006C4368" w:rsidRDefault="006C4368" w:rsidP="006C4368">
      <w:pPr>
        <w:pStyle w:val="Footnote"/>
        <w:bidi/>
      </w:pPr>
      <w:r>
        <w:rPr>
          <w:rStyle w:val="ac"/>
          <w:rtl/>
        </w:rPr>
        <w:footnoteRef/>
      </w:r>
      <w:r>
        <w:rPr>
          <w:rtl/>
        </w:rPr>
        <w:t>וכדאי' בגמ' (שבת כג.) שמברך על נר חנוכה, והגמ' שואלת והיכן צונו. רב אויא אמר מהפסוק (דברים יז יא) [ע"פ התורה אשר יורוך וכו'] לא תסור [מן הדבר אשר יגידו לך ימין ושמאל]. רב נחמיה אמר (דברים לב ז) שאל אביך ויגדך זקניך ויאמרו לך. [והרמב"ן דחה דהוה סמך בעלמא].</w:t>
      </w:r>
    </w:p>
  </w:footnote>
  <w:footnote w:id="5590">
    <w:p w14:paraId="2E5AFEE9" w14:textId="77777777" w:rsidR="006C4368" w:rsidRDefault="006C4368" w:rsidP="006C4368">
      <w:pPr>
        <w:pStyle w:val="Footnote"/>
        <w:bidi/>
      </w:pPr>
      <w:r>
        <w:rPr>
          <w:rStyle w:val="ac"/>
          <w:rtl/>
        </w:rPr>
        <w:footnoteRef/>
      </w:r>
      <w:r>
        <w:rPr>
          <w:rtl/>
        </w:rPr>
        <w:t>וז"ל ה</w:t>
      </w:r>
      <w:r>
        <w:rPr>
          <w:b/>
          <w:bCs/>
          <w:rtl/>
        </w:rPr>
        <w:t>רמב"ם</w:t>
      </w:r>
      <w:r>
        <w:rPr>
          <w:rtl/>
        </w:rPr>
        <w:t xml:space="preserve"> ויש מצוות אחרות שנתחדשו אחר מתן תורה וקבעו אותן נביאים וחכמים ופשטו בכל ישראל כגון מקרא מגלה ונר חנוכה ותענית תשעה באב וידים ועירובין. ויש לכל מצוה מאלו פירושין ודקדוקין וכו'. וע"ע ברמב"ם (ממרים א ב).</w:t>
      </w:r>
    </w:p>
  </w:footnote>
  <w:footnote w:id="5591">
    <w:p w14:paraId="73F1EC36" w14:textId="77777777" w:rsidR="006C4368" w:rsidRDefault="006C4368" w:rsidP="006C4368">
      <w:pPr>
        <w:pStyle w:val="Footnote"/>
        <w:bidi/>
      </w:pPr>
      <w:r>
        <w:rPr>
          <w:rStyle w:val="ac"/>
          <w:rtl/>
        </w:rPr>
        <w:footnoteRef/>
      </w:r>
      <w:r>
        <w:rPr>
          <w:rtl/>
        </w:rPr>
        <w:t>וכת' דלאו ד'לא תסור' הוה דוקא במה שאמרו בפירושי התורה כגון הדברים הנדרשים בתורה בגז"ש או בבנין אב ושאר י"ג מידות שהתורה נדרשת בהן, או במשמעות לשון הכתוב עצמו וכן במה שקבלו הלכה למשה מסיני תורה שבעל פה.</w:t>
      </w:r>
    </w:p>
  </w:footnote>
  <w:footnote w:id="5592">
    <w:p w14:paraId="22FFBCF8" w14:textId="77777777" w:rsidR="006C4368" w:rsidRDefault="006C4368" w:rsidP="006C4368">
      <w:pPr>
        <w:pStyle w:val="Footnote"/>
        <w:bidi/>
      </w:pPr>
      <w:r>
        <w:rPr>
          <w:rStyle w:val="ac"/>
          <w:rtl/>
        </w:rPr>
        <w:footnoteRef/>
      </w:r>
      <w:r>
        <w:rPr>
          <w:rtl/>
        </w:rPr>
        <w:t>וב</w:t>
      </w:r>
      <w:r>
        <w:rPr>
          <w:b/>
          <w:bCs/>
          <w:rtl/>
        </w:rPr>
        <w:t>קונ' דברי סופרים</w:t>
      </w:r>
      <w:r>
        <w:rPr>
          <w:rtl/>
        </w:rPr>
        <w:t xml:space="preserve"> (א לב) הביא בשם ה</w:t>
      </w:r>
      <w:r>
        <w:rPr>
          <w:b/>
          <w:bCs/>
          <w:rtl/>
        </w:rPr>
        <w:t>גר"ח</w:t>
      </w:r>
      <w:r>
        <w:rPr>
          <w:rtl/>
        </w:rPr>
        <w:t xml:space="preserve"> דאף הרמב"ן מודה שנצטווינו בסיני לשמוע לדברי חכמים, והעובר על דבריהן עובר על הציווי דלא תסור. והוה ציווי כללי מדאורייתא שלא לעבור על דבריהן, אלא דכוונת הרמב"ן דאיסורי דרבנן אין בהן איסור מצד עצמן.</w:t>
      </w:r>
    </w:p>
    <w:p w14:paraId="4801388E" w14:textId="77777777" w:rsidR="006C4368" w:rsidRDefault="006C4368" w:rsidP="006C4368">
      <w:pPr>
        <w:pStyle w:val="Footnote"/>
        <w:bidi/>
      </w:pPr>
      <w:r>
        <w:rPr>
          <w:rtl/>
        </w:rPr>
        <w:tab/>
        <w:t>ולדוגמא שבות דמלאכת שבת לא הוה בכלל איסור שבת [מדאורייתא], וכן שניות לעריות מדאורייתא אינן איסור ביאה. אלא שיש ציווי כללי מדאורייתא שלא לעבור על דברי חכמים. [ולדוגמא במלך שאסור להמרות את פיו].</w:t>
      </w:r>
    </w:p>
    <w:p w14:paraId="71E37DD8" w14:textId="77777777" w:rsidR="006C4368" w:rsidRDefault="006C4368" w:rsidP="006C4368">
      <w:pPr>
        <w:pStyle w:val="Footnote"/>
        <w:bidi/>
      </w:pPr>
      <w:r>
        <w:rPr>
          <w:rtl/>
        </w:rPr>
        <w:tab/>
        <w:t>וה</w:t>
      </w:r>
      <w:r>
        <w:rPr>
          <w:b/>
          <w:bCs/>
          <w:rtl/>
        </w:rPr>
        <w:t>רמב"ן</w:t>
      </w:r>
      <w:r>
        <w:rPr>
          <w:rtl/>
        </w:rPr>
        <w:t xml:space="preserve"> השיג אמש"כ ה</w:t>
      </w:r>
      <w:r>
        <w:rPr>
          <w:b/>
          <w:bCs/>
          <w:rtl/>
        </w:rPr>
        <w:t>רמב"ם</w:t>
      </w:r>
      <w:r>
        <w:rPr>
          <w:rtl/>
        </w:rPr>
        <w:t xml:space="preserve"> דמישך מדאורייתא לאיסורי ביאה [ומה"ט בסוטה אין המים בודקין את אשתו], וכן איסורי דרבנן שבג' דברים החמורין הוויין מאביזרייהו. וס"ל דנעשה זקן ממרא באיסור חמץ דרבנן, דאיסור חמץ יש בו צד כרת. והרמב"ן פליג דאין זה איסור חמץ כלל. ואינו שייך להכרת שיש באיסור חמץ.</w:t>
      </w:r>
    </w:p>
  </w:footnote>
  <w:footnote w:id="5593">
    <w:p w14:paraId="3F5FB4A4" w14:textId="77777777" w:rsidR="006C4368" w:rsidRDefault="006C4368" w:rsidP="006C4368">
      <w:pPr>
        <w:pStyle w:val="Footnote"/>
        <w:bidi/>
      </w:pPr>
      <w:r>
        <w:rPr>
          <w:rStyle w:val="ac"/>
          <w:rtl/>
        </w:rPr>
        <w:footnoteRef/>
      </w:r>
      <w:r>
        <w:rPr>
          <w:rtl/>
        </w:rPr>
        <w:t>ולכאורה מבואר ברש"י דסברת ר"א משום דחיישי' שמא תמאן. [וע"ע בסמוך קו' רע"א].</w:t>
      </w:r>
    </w:p>
  </w:footnote>
  <w:footnote w:id="5594">
    <w:p w14:paraId="55A1C414" w14:textId="77777777" w:rsidR="006C4368" w:rsidRDefault="006C4368" w:rsidP="006C4368">
      <w:pPr>
        <w:pStyle w:val="Footnote"/>
        <w:bidi/>
      </w:pPr>
      <w:r>
        <w:rPr>
          <w:rStyle w:val="ac"/>
          <w:rtl/>
        </w:rPr>
        <w:footnoteRef/>
      </w:r>
      <w:r>
        <w:rPr>
          <w:rtl/>
        </w:rPr>
        <w:t xml:space="preserve">(ע' לקמן קי:). וכן </w:t>
      </w:r>
      <w:r>
        <w:rPr>
          <w:b/>
          <w:bCs/>
          <w:rtl/>
        </w:rPr>
        <w:t>רש"י</w:t>
      </w:r>
      <w:r>
        <w:rPr>
          <w:rtl/>
        </w:rPr>
        <w:t xml:space="preserve"> (לעיל יח.) כת' דקידש קטנה לא הוה אישות גמורה לפטור אחותה, שמא מיאון. [וצ"ב אמאי הוצרך לזה, תיפו"ל דהוה מדרבנן, ולא אלים לפטור מדאורייתא. אלא דמדרבנן הוה גדר אישות ספק].</w:t>
      </w:r>
    </w:p>
  </w:footnote>
  <w:footnote w:id="5595">
    <w:p w14:paraId="39EC1E90" w14:textId="77777777" w:rsidR="006C4368" w:rsidRDefault="006C4368" w:rsidP="006C4368">
      <w:pPr>
        <w:pStyle w:val="Footnote"/>
        <w:bidi/>
      </w:pPr>
      <w:r>
        <w:rPr>
          <w:rStyle w:val="ac"/>
          <w:rtl/>
        </w:rPr>
        <w:footnoteRef/>
      </w:r>
      <w:r>
        <w:rPr>
          <w:rtl/>
        </w:rPr>
        <w:t>וכן לבי"ש כשנשאת.</w:t>
      </w:r>
    </w:p>
  </w:footnote>
  <w:footnote w:id="5596">
    <w:p w14:paraId="325D5859" w14:textId="77777777" w:rsidR="006C4368" w:rsidRDefault="006C4368" w:rsidP="006C4368">
      <w:pPr>
        <w:pStyle w:val="Footnote"/>
        <w:bidi/>
      </w:pPr>
      <w:r>
        <w:rPr>
          <w:rStyle w:val="ac"/>
          <w:rtl/>
        </w:rPr>
        <w:footnoteRef/>
      </w:r>
      <w:r>
        <w:rPr>
          <w:rtl/>
        </w:rPr>
        <w:t>ו</w:t>
      </w:r>
      <w:r>
        <w:rPr>
          <w:b/>
          <w:bCs/>
          <w:rtl/>
        </w:rPr>
        <w:t>רש"י</w:t>
      </w:r>
      <w:r>
        <w:rPr>
          <w:rtl/>
        </w:rPr>
        <w:t xml:space="preserve"> (כאן) איירי כשכבר מתה וכבר אינה יכולה למאן [ולא אמרי' שנתברר שהיא אשתו], ואפ"ה כת' שמא עתידה היתה למאן, ומש"ה חסר באישות.</w:t>
      </w:r>
    </w:p>
  </w:footnote>
  <w:footnote w:id="5597">
    <w:p w14:paraId="42132699" w14:textId="77777777" w:rsidR="006C4368" w:rsidRDefault="006C4368" w:rsidP="006C4368">
      <w:pPr>
        <w:pStyle w:val="Footnote"/>
        <w:bidi/>
      </w:pPr>
      <w:r>
        <w:rPr>
          <w:rStyle w:val="ac"/>
          <w:rtl/>
        </w:rPr>
        <w:footnoteRef/>
      </w:r>
      <w:r>
        <w:rPr>
          <w:rtl/>
        </w:rPr>
        <w:t>וה</w:t>
      </w:r>
      <w:r>
        <w:rPr>
          <w:b/>
          <w:bCs/>
          <w:rtl/>
        </w:rPr>
        <w:t xml:space="preserve">מרדכי </w:t>
      </w:r>
      <w:r>
        <w:rPr>
          <w:rtl/>
        </w:rPr>
        <w:t xml:space="preserve">(קידושין תקמו) הביא בשם </w:t>
      </w:r>
      <w:r>
        <w:rPr>
          <w:b/>
          <w:bCs/>
          <w:rtl/>
        </w:rPr>
        <w:t xml:space="preserve">רש"י </w:t>
      </w:r>
      <w:r>
        <w:rPr>
          <w:rtl/>
        </w:rPr>
        <w:t>דמהני חופה קודם קידושין. דומיא דקטן שנשא אשה, מהני מעשה הנישואין לכשיגדל ואח"כ יקדשנה. [וכתובתה מאתיים, דבזה אזלי' בתר קודם נישואין].</w:t>
      </w:r>
    </w:p>
  </w:footnote>
  <w:footnote w:id="5598">
    <w:p w14:paraId="73BC945F" w14:textId="77777777" w:rsidR="006C4368" w:rsidRDefault="006C4368" w:rsidP="006C4368">
      <w:pPr>
        <w:pStyle w:val="Footnote"/>
        <w:bidi/>
      </w:pPr>
      <w:r>
        <w:rPr>
          <w:rStyle w:val="ac"/>
          <w:rtl/>
        </w:rPr>
        <w:footnoteRef/>
      </w:r>
      <w:r>
        <w:rPr>
          <w:rtl/>
        </w:rPr>
        <w:t>וכת' דמשכח"ל ירושה במה שהרויחה ממעש"י.</w:t>
      </w:r>
    </w:p>
  </w:footnote>
  <w:footnote w:id="5599">
    <w:p w14:paraId="2494E3B8" w14:textId="77777777" w:rsidR="006C4368" w:rsidRDefault="006C4368" w:rsidP="006C4368">
      <w:pPr>
        <w:pStyle w:val="Footnote"/>
        <w:bidi/>
      </w:pPr>
      <w:r>
        <w:rPr>
          <w:rStyle w:val="ac"/>
          <w:rtl/>
        </w:rPr>
        <w:footnoteRef/>
      </w:r>
      <w:r>
        <w:rPr>
          <w:rtl/>
        </w:rPr>
        <w:t>ע"פ הצד (יתבאר לקמן צ.) דיש כח ביד חכמים לעקור את גוף הדין שבתורה. אבל בממונא אי"צ לעקור את דיני התורה.</w:t>
      </w:r>
    </w:p>
    <w:p w14:paraId="7EF0D033" w14:textId="77777777" w:rsidR="006C4368" w:rsidRDefault="006C4368" w:rsidP="006C4368">
      <w:pPr>
        <w:pStyle w:val="Footnote"/>
        <w:bidi/>
      </w:pPr>
      <w:r>
        <w:rPr>
          <w:rtl/>
        </w:rPr>
        <w:tab/>
        <w:t>אבל לצד דבכל דיני התורה לא שינו את עיקר הדין, אלא שהורו לעשות ע"פ דבריהם נגד דיני התורה. ויש כח ביד חכמים לתקן ולהתיר באכילה מה שאסרה תורה. אבל בממון כיון דחכמים הפקירו, א"כ אינו עובר על דיני התורה כלל.</w:t>
      </w:r>
    </w:p>
  </w:footnote>
  <w:footnote w:id="5600">
    <w:p w14:paraId="777023DE" w14:textId="77777777" w:rsidR="006C4368" w:rsidRDefault="006C4368" w:rsidP="006C4368">
      <w:pPr>
        <w:pStyle w:val="Footnote"/>
        <w:bidi/>
      </w:pPr>
      <w:r>
        <w:rPr>
          <w:rStyle w:val="ac"/>
          <w:rtl/>
        </w:rPr>
        <w:footnoteRef/>
      </w:r>
      <w:r>
        <w:rPr>
          <w:rtl/>
        </w:rPr>
        <w:t>ולא נחשב שלו לדאורייתא. והאחרונים האריכו מתי אמרי' כן.</w:t>
      </w:r>
    </w:p>
  </w:footnote>
  <w:footnote w:id="5601">
    <w:p w14:paraId="241CF8DB" w14:textId="77777777" w:rsidR="006C4368" w:rsidRDefault="006C4368" w:rsidP="006C4368">
      <w:pPr>
        <w:pStyle w:val="Footnote"/>
        <w:bidi/>
      </w:pPr>
      <w:r>
        <w:rPr>
          <w:rStyle w:val="ac"/>
          <w:rtl/>
        </w:rPr>
        <w:footnoteRef/>
      </w:r>
      <w:r>
        <w:rPr>
          <w:rtl/>
        </w:rPr>
        <w:t>וה</w:t>
      </w:r>
      <w:r>
        <w:rPr>
          <w:b/>
          <w:bCs/>
          <w:rtl/>
        </w:rPr>
        <w:t>ר"ן</w:t>
      </w:r>
      <w:r>
        <w:rPr>
          <w:rtl/>
        </w:rPr>
        <w:t xml:space="preserve"> (שם) הק' דכיון דתקנו זכין לקטן, נימא דקנאו מדין הפקר בי"ד, ויפדה בו מעשר דאורייתא. ותי' ומיהו אשכחן זכייה דרבנן דקלישה מזכייה דאורייתא, דהמוכר שט"ח וחזר ומחלו מחול. ומשום דמכירת שטרות דרבנן [וכדאי' (ב"ב קמז:) דבמתנת שכיב מרע תלי אי מתנת שכ"מ דאורייתא]. אלמא כיון דאכתי ממונא לא אתא לרשות זוכה ולא זכי ביה אלא מדרבנן לא אלימא זכייה דיליה כדאורייתא ומצי מחיל. [אך דחה די"ל דדוקא התם דזהו צורת התקנה, דהם אמרו והם אמרו].</w:t>
      </w:r>
    </w:p>
  </w:footnote>
  <w:footnote w:id="5602">
    <w:p w14:paraId="0683B11E" w14:textId="77777777" w:rsidR="006C4368" w:rsidRDefault="006C4368" w:rsidP="006C4368">
      <w:pPr>
        <w:pStyle w:val="Footnote"/>
        <w:bidi/>
      </w:pPr>
      <w:r>
        <w:rPr>
          <w:rStyle w:val="ac"/>
          <w:rtl/>
        </w:rPr>
        <w:footnoteRef/>
      </w:r>
      <w:r>
        <w:rPr>
          <w:rtl/>
        </w:rPr>
        <w:t xml:space="preserve">ויש שביארו דגדר איסור גזל הוא מה שאינו שלו בגדרי המשפט. והכא הוה שלו בגדרי משפטי רבנן. {וסמך לזה מלשון </w:t>
      </w:r>
      <w:r>
        <w:rPr>
          <w:b/>
          <w:bCs/>
          <w:rtl/>
        </w:rPr>
        <w:t>רשב"ם</w:t>
      </w:r>
      <w:r>
        <w:rPr>
          <w:rtl/>
        </w:rPr>
        <w:t xml:space="preserve"> (ב"ב נד:) [גבי דינא דמלכותא דינא] דאין למחזיק בממון חבירו ע"פ חוק המלך הנהוג בעיר משום גזל}. אך א"כ צ"ע דהו"ל לגמ' כאן לתרץ כן.</w:t>
      </w:r>
    </w:p>
  </w:footnote>
  <w:footnote w:id="5603">
    <w:p w14:paraId="052E9149" w14:textId="77777777" w:rsidR="006C4368" w:rsidRDefault="006C4368" w:rsidP="006C4368">
      <w:pPr>
        <w:pStyle w:val="Footnote"/>
        <w:bidi/>
      </w:pPr>
      <w:r>
        <w:rPr>
          <w:rStyle w:val="ac"/>
          <w:rtl/>
        </w:rPr>
        <w:footnoteRef/>
      </w:r>
      <w:r>
        <w:rPr>
          <w:rtl/>
        </w:rPr>
        <w:t>וזה תלוי לפי ערך הדינים ולפי ערך התקנה של חז"ל, אם תקנה פרטית או תקנה כללית. עי"ש שהאריך.</w:t>
      </w:r>
    </w:p>
  </w:footnote>
  <w:footnote w:id="5604">
    <w:p w14:paraId="668858A3" w14:textId="77777777" w:rsidR="006C4368" w:rsidRDefault="006C4368" w:rsidP="006C4368">
      <w:pPr>
        <w:pStyle w:val="Footnote"/>
        <w:bidi/>
      </w:pPr>
      <w:r>
        <w:rPr>
          <w:rStyle w:val="ac"/>
          <w:rtl/>
        </w:rPr>
        <w:footnoteRef/>
      </w:r>
      <w:r>
        <w:rPr>
          <w:rtl/>
        </w:rPr>
        <w:t>וה</w:t>
      </w:r>
      <w:r>
        <w:rPr>
          <w:b/>
          <w:bCs/>
          <w:rtl/>
        </w:rPr>
        <w:t>אחרונים</w:t>
      </w:r>
      <w:r>
        <w:rPr>
          <w:rtl/>
        </w:rPr>
        <w:t xml:space="preserve"> הביאו דמשמע מדבריו דנח' בזה הנך אמוראים אי מהני הפקר בי"ד להקנות.</w:t>
      </w:r>
    </w:p>
  </w:footnote>
  <w:footnote w:id="5605">
    <w:p w14:paraId="17BD4B1F" w14:textId="77777777" w:rsidR="006C4368" w:rsidRDefault="006C4368" w:rsidP="006C4368">
      <w:pPr>
        <w:pStyle w:val="Footnote"/>
        <w:bidi/>
      </w:pPr>
      <w:r>
        <w:rPr>
          <w:rStyle w:val="ac"/>
          <w:rtl/>
        </w:rPr>
        <w:footnoteRef/>
      </w:r>
      <w:r>
        <w:rPr>
          <w:rtl/>
        </w:rPr>
        <w:t>דמה אבות מנחילין ואומרים שדה פלוני לפלוני וזכה בו מיד ואף קודם שבא לידו, אף ראשים מנחילין לכל מי שירצו ואומרין ממון ראובן יהא לשמעון וזוכה בו שמעון מעתה. [וצ"ב כוונתו האיך האב מקנה לבנו בלא קנין. ולכאורה כוונתו משום הנחלת ר' יוחנן בן ברוקה (ב"ב קל.), עכ"פ בראוי ליורשו].</w:t>
      </w:r>
    </w:p>
  </w:footnote>
  <w:footnote w:id="5606">
    <w:p w14:paraId="53F798EF" w14:textId="77777777" w:rsidR="006C4368" w:rsidRDefault="006C4368" w:rsidP="006C4368">
      <w:pPr>
        <w:pStyle w:val="Footnote"/>
        <w:bidi/>
      </w:pPr>
      <w:r>
        <w:rPr>
          <w:rStyle w:val="ac"/>
          <w:rtl/>
        </w:rPr>
        <w:footnoteRef/>
      </w:r>
      <w:r>
        <w:rPr>
          <w:rtl/>
        </w:rPr>
        <w:t>ע"ע גר"ש איגר (בשו"ת רע"א רכא ו), והנתיבות (רלה יג) בשם הגט פשוט (קל), והמחנ"א (משיכה ב).</w:t>
      </w:r>
    </w:p>
  </w:footnote>
  <w:footnote w:id="5607">
    <w:p w14:paraId="5CB2FD43" w14:textId="77777777" w:rsidR="006C4368" w:rsidRDefault="006C4368" w:rsidP="006C4368">
      <w:pPr>
        <w:pStyle w:val="Footnote"/>
        <w:bidi/>
      </w:pPr>
      <w:r>
        <w:rPr>
          <w:rStyle w:val="ac"/>
          <w:rtl/>
        </w:rPr>
        <w:footnoteRef/>
      </w:r>
      <w:r>
        <w:rPr>
          <w:rtl/>
        </w:rPr>
        <w:t>דה</w:t>
      </w:r>
      <w:r>
        <w:rPr>
          <w:b/>
          <w:bCs/>
          <w:rtl/>
        </w:rPr>
        <w:t>רמב"ם</w:t>
      </w:r>
      <w:r>
        <w:rPr>
          <w:rtl/>
        </w:rPr>
        <w:t xml:space="preserve"> כת' דיש לדיין תמיד להפקיר ממון שיש לו בעלים ומאבד ונותן כפי מה שיראה לגדור פרצות הדת ולחזק הבדק או לקנוס אלם, ודרש מפסוק דכל אשר לא יבא יחרם [דעזרא]. [ומשמע דקאי לדורות].</w:t>
      </w:r>
    </w:p>
    <w:p w14:paraId="59AAD785" w14:textId="77777777" w:rsidR="006C4368" w:rsidRDefault="006C4368" w:rsidP="006C4368">
      <w:pPr>
        <w:pStyle w:val="Footnote"/>
        <w:bidi/>
      </w:pPr>
      <w:r>
        <w:rPr>
          <w:rtl/>
        </w:rPr>
        <w:tab/>
        <w:t>וה</w:t>
      </w:r>
      <w:r>
        <w:rPr>
          <w:b/>
          <w:bCs/>
          <w:rtl/>
        </w:rPr>
        <w:t>רמב"ם</w:t>
      </w:r>
      <w:r>
        <w:rPr>
          <w:rtl/>
        </w:rPr>
        <w:t xml:space="preserve"> סתם דכל דיין [ולעיל (שם ה) כת' בי"ד שבכל מקום ובכל זמן. ובהמשך (שם י) כת' ובלבד שהדיין ראוי, והשעה צריכה], וה</w:t>
      </w:r>
      <w:r>
        <w:rPr>
          <w:b/>
          <w:bCs/>
          <w:rtl/>
        </w:rPr>
        <w:t>נמוק"י</w:t>
      </w:r>
      <w:r>
        <w:rPr>
          <w:rtl/>
        </w:rPr>
        <w:t xml:space="preserve"> העתיק כל בי"ד חשוב. אבל ה</w:t>
      </w:r>
      <w:r>
        <w:rPr>
          <w:b/>
          <w:bCs/>
          <w:rtl/>
        </w:rPr>
        <w:t>רמב"ם</w:t>
      </w:r>
      <w:r>
        <w:rPr>
          <w:rtl/>
        </w:rPr>
        <w:t xml:space="preserve"> (שמיטה ט יז ע' ב"י חו"מ סז כא) כת' גבי פרוזבול דצריך חכמים גדולים ביותר כבי"ד של ר' אמי ור' אסי שהן ראויין להפקיע ממון בנ"א. משמע דשאר בי"ד אינם ראויין להפקיר. וה</w:t>
      </w:r>
      <w:r>
        <w:rPr>
          <w:b/>
          <w:bCs/>
          <w:rtl/>
        </w:rPr>
        <w:t>פוסקים</w:t>
      </w:r>
      <w:r>
        <w:rPr>
          <w:rtl/>
        </w:rPr>
        <w:t xml:space="preserve"> (שם) דנו [גבי פרוזבול] אי דוקא בבי"ד חשוב שבדור, או כל שבי"ד שבני העיר המחו עליהם (וכ"כ הסה"ת).</w:t>
      </w:r>
    </w:p>
  </w:footnote>
  <w:footnote w:id="5608">
    <w:p w14:paraId="0A1ADD8A" w14:textId="77777777" w:rsidR="006C4368" w:rsidRDefault="006C4368" w:rsidP="006C4368">
      <w:pPr>
        <w:pStyle w:val="Footnote"/>
        <w:bidi/>
      </w:pPr>
      <w:r>
        <w:rPr>
          <w:rStyle w:val="ac"/>
          <w:rtl/>
        </w:rPr>
        <w:footnoteRef/>
      </w:r>
      <w:r>
        <w:rPr>
          <w:rtl/>
        </w:rPr>
        <w:t>והביא כדאמרי' (מו"ק טז.) דמפקרינן [ממון של מי שמסרב לבא לדין].</w:t>
      </w:r>
    </w:p>
  </w:footnote>
  <w:footnote w:id="5609">
    <w:p w14:paraId="43B1B0E7" w14:textId="77777777" w:rsidR="006C4368" w:rsidRDefault="006C4368" w:rsidP="006C4368">
      <w:pPr>
        <w:pStyle w:val="Footnote"/>
        <w:bidi/>
      </w:pPr>
      <w:r>
        <w:rPr>
          <w:rStyle w:val="ac"/>
          <w:rtl/>
        </w:rPr>
        <w:footnoteRef/>
      </w:r>
      <w:r>
        <w:rPr>
          <w:rtl/>
        </w:rPr>
        <w:t>וה</w:t>
      </w:r>
      <w:r>
        <w:rPr>
          <w:b/>
          <w:bCs/>
          <w:rtl/>
        </w:rPr>
        <w:t>גליוני הש"ס</w:t>
      </w:r>
      <w:r>
        <w:rPr>
          <w:rtl/>
        </w:rPr>
        <w:t xml:space="preserve"> (שם) הק' מהא דאין כח לבי"ד השני לבטל דברי הראשון, אא"כ גדול ממנו בחכמה ובמנין. ואמאי צריך 'לבטל', נימא דדי להם שיכריזו שאינם מקיימים התקנה. [אך בתקנה בממון אה"נ בידם לבטלו, ולהפקיר הממון לשני].</w:t>
      </w:r>
    </w:p>
    <w:p w14:paraId="12DC697C" w14:textId="77777777" w:rsidR="006C4368" w:rsidRDefault="006C4368" w:rsidP="006C4368">
      <w:pPr>
        <w:pStyle w:val="Footnote"/>
        <w:bidi/>
      </w:pPr>
      <w:r>
        <w:rPr>
          <w:rtl/>
        </w:rPr>
        <w:tab/>
        <w:t>ואפשר דעיקר התקנה מכח הראשונים, ובי"ד שבכל דור הם מחזיקים בדיני התורה, ובכלל זה כל תקנת קדמאי, כל זמן שלא ישבו וביטלום.</w:t>
      </w:r>
    </w:p>
  </w:footnote>
  <w:footnote w:id="5610">
    <w:p w14:paraId="2CC76C2D" w14:textId="77777777" w:rsidR="006C4368" w:rsidRDefault="006C4368" w:rsidP="006C4368">
      <w:pPr>
        <w:pStyle w:val="Footnote"/>
        <w:bidi/>
      </w:pPr>
      <w:r>
        <w:rPr>
          <w:rStyle w:val="ac"/>
          <w:rtl/>
        </w:rPr>
        <w:footnoteRef/>
      </w:r>
      <w:r>
        <w:rPr>
          <w:rtl/>
        </w:rPr>
        <w:t>וכ"כ ה</w:t>
      </w:r>
      <w:r>
        <w:rPr>
          <w:b/>
          <w:bCs/>
          <w:rtl/>
        </w:rPr>
        <w:t>דבר אברהם</w:t>
      </w:r>
      <w:r>
        <w:rPr>
          <w:rtl/>
        </w:rPr>
        <w:t xml:space="preserve"> (א כט ד) דמבואר ברש"י שכל התקנות נוהנות וקיימות אינו משום שבי״ד הראשונים תיקנו לכל הדורות, אלא שכל התקנות המתוקנות משככר הימים מתחדשות בכל דור ודור ע״פ בי"ד של אותו הדור. דעיקר התקנה בשעה שניתקנה כך היה שיתקנוה כ״ד שככל דור ודור מחדש ויקבעוה להלכה, דאל״ה אמאי לימעלו ב״ד שבאותו דור אינהו מאי עבידתייהו.</w:t>
      </w:r>
    </w:p>
    <w:p w14:paraId="798DC1AD" w14:textId="77777777" w:rsidR="006C4368" w:rsidRDefault="006C4368" w:rsidP="006C4368">
      <w:pPr>
        <w:pStyle w:val="Footnote"/>
        <w:bidi/>
      </w:pPr>
      <w:r>
        <w:rPr>
          <w:rtl/>
        </w:rPr>
        <w:tab/>
        <w:t>[ועפ"ז חידש דהיכא דיש ספק בגוף התקנה, א"כ בי"ד האחרונים אינם חוזרים ומתקנים, ומותר בתורת ודאי].</w:t>
      </w:r>
    </w:p>
  </w:footnote>
  <w:footnote w:id="5611">
    <w:p w14:paraId="4E4C070D" w14:textId="77777777" w:rsidR="006C4368" w:rsidRDefault="006C4368" w:rsidP="006C4368">
      <w:pPr>
        <w:pStyle w:val="Footnote"/>
        <w:bidi/>
      </w:pPr>
      <w:r>
        <w:rPr>
          <w:rStyle w:val="ac"/>
          <w:rtl/>
        </w:rPr>
        <w:footnoteRef/>
      </w:r>
      <w:r>
        <w:rPr>
          <w:rtl/>
        </w:rPr>
        <w:t>וי"ל דהפקר בי"ד תלי ב'שררה', ובי"ד הראשונים אין להם כח שררה לדורות הבאים. אבל שאר תקנ"ח הוה מגדרי מסירת התורה.</w:t>
      </w:r>
    </w:p>
  </w:footnote>
  <w:footnote w:id="5612">
    <w:p w14:paraId="55B76BA4" w14:textId="77777777" w:rsidR="006C4368" w:rsidRDefault="006C4368" w:rsidP="006C4368">
      <w:pPr>
        <w:pStyle w:val="Footnote"/>
        <w:bidi/>
      </w:pPr>
      <w:r>
        <w:rPr>
          <w:rStyle w:val="ac"/>
          <w:rtl/>
        </w:rPr>
        <w:footnoteRef/>
      </w:r>
      <w:r>
        <w:rPr>
          <w:rtl/>
        </w:rPr>
        <w:t>וה</w:t>
      </w:r>
      <w:r>
        <w:rPr>
          <w:b/>
          <w:bCs/>
          <w:rtl/>
        </w:rPr>
        <w:t>שיטמ"ק</w:t>
      </w:r>
      <w:r>
        <w:rPr>
          <w:rtl/>
        </w:rPr>
        <w:t xml:space="preserve"> (כתובות ג.) הביא דברי תוס' דידן, וביאר עפ"ז הא דאי' (שם, גבי אפקעינהו לקידושין) דדוקא משום דמקדש אדעתא דרבנן. דכיון דהוה קידושין, ולא הפקיעו אלא ע"י הגט, היכי נימא הפקר בי"ד להפקיעו דהוה מתנה.</w:t>
      </w:r>
    </w:p>
    <w:p w14:paraId="78A95E52" w14:textId="77777777" w:rsidR="006C4368" w:rsidRDefault="006C4368" w:rsidP="006C4368">
      <w:pPr>
        <w:pStyle w:val="Footnote"/>
        <w:bidi/>
      </w:pPr>
      <w:r>
        <w:rPr>
          <w:rtl/>
        </w:rPr>
        <w:tab/>
        <w:t>וה</w:t>
      </w:r>
      <w:r>
        <w:rPr>
          <w:b/>
          <w:bCs/>
          <w:rtl/>
        </w:rPr>
        <w:t>אבנ"מ</w:t>
      </w:r>
      <w:r>
        <w:rPr>
          <w:rtl/>
        </w:rPr>
        <w:t xml:space="preserve"> (כח לג) כת' דהמוכר שטר חוב [לצד דמכירת שטרות דרבנן], לא אמרי' דמהני לדאורייתא משום הפקר בי"ד [ואם קידש אשה מקודשת], דהא אף בתר הכי אם חזרו ומחלו מחול. ולא אמרו הפקר בי"ד כה"ג. וע"ע משנ"ל (ק"פ ב יג) מש"כ ע"פ דברי התוס'.</w:t>
      </w:r>
    </w:p>
  </w:footnote>
  <w:footnote w:id="5613">
    <w:p w14:paraId="149477A3" w14:textId="77777777" w:rsidR="006C4368" w:rsidRDefault="006C4368" w:rsidP="006C4368">
      <w:pPr>
        <w:pStyle w:val="Footnote"/>
        <w:bidi/>
      </w:pPr>
      <w:r>
        <w:rPr>
          <w:rStyle w:val="ac"/>
          <w:rtl/>
        </w:rPr>
        <w:footnoteRef/>
      </w:r>
      <w:r>
        <w:rPr>
          <w:rtl/>
        </w:rPr>
        <w:t>וע"ע קהלת יעקב תוספת דרבנן (א נט), שו"ת קול אליהו (א חו"מ יא, וב יו"ד ו), בית יצחק (ב יו"ד יז).</w:t>
      </w:r>
    </w:p>
  </w:footnote>
  <w:footnote w:id="5614">
    <w:p w14:paraId="1EBE67D5" w14:textId="77777777" w:rsidR="006C4368" w:rsidRDefault="006C4368" w:rsidP="006C4368">
      <w:pPr>
        <w:pStyle w:val="Footnote"/>
        <w:bidi/>
      </w:pPr>
      <w:r>
        <w:rPr>
          <w:rStyle w:val="ac"/>
          <w:rtl/>
        </w:rPr>
        <w:footnoteRef/>
      </w:r>
      <w:r>
        <w:rPr>
          <w:rtl/>
        </w:rPr>
        <w:t>וכן אי' (עירובין יז:) לענין מת מצווה קנה מקומו.</w:t>
      </w:r>
    </w:p>
  </w:footnote>
  <w:footnote w:id="5615">
    <w:p w14:paraId="09A21207" w14:textId="77777777" w:rsidR="006C4368" w:rsidRDefault="006C4368" w:rsidP="006C4368">
      <w:pPr>
        <w:pStyle w:val="Footnote"/>
        <w:bidi/>
      </w:pPr>
      <w:r>
        <w:rPr>
          <w:rStyle w:val="ac"/>
          <w:rtl/>
        </w:rPr>
        <w:footnoteRef/>
      </w:r>
      <w:r>
        <w:rPr>
          <w:rtl/>
        </w:rPr>
        <w:t xml:space="preserve">וכ"כ </w:t>
      </w:r>
      <w:r>
        <w:rPr>
          <w:b/>
          <w:bCs/>
          <w:rtl/>
        </w:rPr>
        <w:t>רש"י</w:t>
      </w:r>
      <w:r>
        <w:rPr>
          <w:rtl/>
        </w:rPr>
        <w:t xml:space="preserve"> (עירובין שם) דאין לו יורשין. וכ"כ ה</w:t>
      </w:r>
      <w:r>
        <w:rPr>
          <w:b/>
          <w:bCs/>
          <w:rtl/>
        </w:rPr>
        <w:t>מפרש</w:t>
      </w:r>
      <w:r>
        <w:rPr>
          <w:rtl/>
        </w:rPr>
        <w:t xml:space="preserve"> ו</w:t>
      </w:r>
      <w:r>
        <w:rPr>
          <w:b/>
          <w:bCs/>
          <w:rtl/>
        </w:rPr>
        <w:t>תוס</w:t>
      </w:r>
      <w:r>
        <w:rPr>
          <w:rtl/>
        </w:rPr>
        <w:t>' (נזיר מג:). וב</w:t>
      </w:r>
      <w:r>
        <w:rPr>
          <w:b/>
          <w:bCs/>
          <w:rtl/>
        </w:rPr>
        <w:t>פי' הרא"ש</w:t>
      </w:r>
      <w:r>
        <w:rPr>
          <w:rtl/>
        </w:rPr>
        <w:t xml:space="preserve"> (נזיר) האריך בזה.</w:t>
      </w:r>
    </w:p>
  </w:footnote>
  <w:footnote w:id="5616">
    <w:p w14:paraId="299A3A23" w14:textId="77777777" w:rsidR="006C4368" w:rsidRDefault="006C4368" w:rsidP="006C4368">
      <w:pPr>
        <w:pStyle w:val="Footnote"/>
        <w:bidi/>
      </w:pPr>
      <w:r>
        <w:rPr>
          <w:rStyle w:val="ac"/>
          <w:rtl/>
        </w:rPr>
        <w:footnoteRef/>
      </w:r>
      <w:r>
        <w:rPr>
          <w:rtl/>
        </w:rPr>
        <w:t xml:space="preserve">אבל לפי' הא' כיון דאין לו יורשים [במקום הזה], קבורתו מוטל על המוצאו. ואף כהן מטמא לו [ואי"צ לשכור אחרים]. אך </w:t>
      </w:r>
      <w:r>
        <w:rPr>
          <w:b/>
          <w:bCs/>
          <w:rtl/>
        </w:rPr>
        <w:t>תוס</w:t>
      </w:r>
      <w:r>
        <w:rPr>
          <w:rtl/>
        </w:rPr>
        <w:t>' (נזיר שם) כת' דהיכא דהקרובים כאן [ואינן רשאין ליטמאות], חייבין לשכור אחרים לקוברו.</w:t>
      </w:r>
    </w:p>
  </w:footnote>
  <w:footnote w:id="5617">
    <w:p w14:paraId="1CB50EE8" w14:textId="77777777" w:rsidR="006C4368" w:rsidRDefault="006C4368" w:rsidP="006C4368">
      <w:pPr>
        <w:pStyle w:val="Footnote"/>
        <w:bidi/>
      </w:pPr>
      <w:r>
        <w:rPr>
          <w:rStyle w:val="ac"/>
          <w:rtl/>
        </w:rPr>
        <w:footnoteRef/>
      </w:r>
      <w:r>
        <w:rPr>
          <w:rtl/>
        </w:rPr>
        <w:t>וכ"כ ה</w:t>
      </w:r>
      <w:r>
        <w:rPr>
          <w:b/>
          <w:bCs/>
          <w:rtl/>
        </w:rPr>
        <w:t>רמב"ם</w:t>
      </w:r>
      <w:r>
        <w:rPr>
          <w:rtl/>
        </w:rPr>
        <w:t xml:space="preserve"> (שם א) דמתאבל על אשתו מדברי סופרים. אבל בגמ' (מו"ק כ:) מבואר דמתאבל על אשתו מדאורייתא. וה</w:t>
      </w:r>
      <w:r>
        <w:rPr>
          <w:b/>
          <w:bCs/>
          <w:rtl/>
        </w:rPr>
        <w:t>רדב"ז</w:t>
      </w:r>
      <w:r>
        <w:rPr>
          <w:rtl/>
        </w:rPr>
        <w:t xml:space="preserve"> כת' דהרמב"ם גרס שם אשתו בהדי הני דהוסיפו, ומדרבנן. אבל ה</w:t>
      </w:r>
      <w:r>
        <w:rPr>
          <w:b/>
          <w:bCs/>
          <w:rtl/>
        </w:rPr>
        <w:t>כס"מ</w:t>
      </w:r>
      <w:r>
        <w:rPr>
          <w:rtl/>
        </w:rPr>
        <w:t xml:space="preserve"> כת' דלעולם כוונת הרמב"ם דמתאבל מדאורייתא, אלא שכל דבר שאינו מפורש בתורה ממש מיקרי דברי סופרים.</w:t>
      </w:r>
    </w:p>
  </w:footnote>
  <w:footnote w:id="5618">
    <w:p w14:paraId="6909AAFA" w14:textId="77777777" w:rsidR="006C4368" w:rsidRDefault="006C4368" w:rsidP="006C4368">
      <w:pPr>
        <w:pStyle w:val="Footnote"/>
        <w:bidi/>
      </w:pPr>
      <w:r>
        <w:rPr>
          <w:rStyle w:val="ac"/>
          <w:rtl/>
        </w:rPr>
        <w:footnoteRef/>
      </w:r>
      <w:r>
        <w:rPr>
          <w:rtl/>
        </w:rPr>
        <w:t>כיון דגרס (מו"ק שם) דאינו מתאבל על אשתו מה"ת.</w:t>
      </w:r>
    </w:p>
  </w:footnote>
  <w:footnote w:id="5619">
    <w:p w14:paraId="32F12AB6" w14:textId="77777777" w:rsidR="006C4368" w:rsidRDefault="006C4368" w:rsidP="006C4368">
      <w:pPr>
        <w:pStyle w:val="Footnote"/>
        <w:bidi/>
      </w:pPr>
      <w:r>
        <w:rPr>
          <w:rStyle w:val="ac"/>
          <w:rtl/>
        </w:rPr>
        <w:footnoteRef/>
      </w:r>
      <w:r>
        <w:rPr>
          <w:rtl/>
        </w:rPr>
        <w:t>וה</w:t>
      </w:r>
      <w:r>
        <w:rPr>
          <w:b/>
          <w:bCs/>
          <w:rtl/>
        </w:rPr>
        <w:t>חת"ס</w:t>
      </w:r>
      <w:r>
        <w:rPr>
          <w:rtl/>
        </w:rPr>
        <w:t xml:space="preserve"> (אה"ע א קכא) כת' דלדעת הרמב"ם הגמ' מק' מאשתו קטנה דהוה תרי דרבנן. אבל ה"ה אשתו גדולה.</w:t>
      </w:r>
    </w:p>
  </w:footnote>
  <w:footnote w:id="5620">
    <w:p w14:paraId="6900658D" w14:textId="77777777" w:rsidR="006C4368" w:rsidRDefault="006C4368" w:rsidP="006C4368">
      <w:pPr>
        <w:pStyle w:val="Footnote"/>
        <w:bidi/>
      </w:pPr>
      <w:r>
        <w:rPr>
          <w:rStyle w:val="ac"/>
          <w:rtl/>
        </w:rPr>
        <w:footnoteRef/>
      </w:r>
      <w:r>
        <w:rPr>
          <w:rtl/>
        </w:rPr>
        <w:t>וכן ב</w:t>
      </w:r>
      <w:r>
        <w:rPr>
          <w:b/>
          <w:bCs/>
          <w:rtl/>
        </w:rPr>
        <w:t xml:space="preserve">שו"ת הרדב"ז </w:t>
      </w:r>
      <w:r>
        <w:rPr>
          <w:rtl/>
        </w:rPr>
        <w:t>(ללשונות הרמב"ם, שם) כת' דכוונת הרמב"ם דאינו מפורש בפסוק. וכת' דמש"כ הרמב"ם דעשאוה כמת מצווה, נתן הטעם למה דקדקו חכמים למצוא כן בכתוב. ועוד תי' דהרמב"ם איירי בין באשתו גדולה [דדרשו הסופרים מדאורייתא] ובין באשתו קטנה [מדרבנן, משום דעשאוה כמת מצווה].</w:t>
      </w:r>
    </w:p>
  </w:footnote>
  <w:footnote w:id="5621">
    <w:p w14:paraId="4F44BF78" w14:textId="77777777" w:rsidR="006C4368" w:rsidRDefault="006C4368" w:rsidP="006C4368">
      <w:pPr>
        <w:pStyle w:val="Footnote"/>
        <w:bidi/>
      </w:pPr>
      <w:r>
        <w:rPr>
          <w:rStyle w:val="ac"/>
          <w:rtl/>
        </w:rPr>
        <w:footnoteRef/>
      </w:r>
      <w:r>
        <w:rPr>
          <w:rtl/>
        </w:rPr>
        <w:t>אבל ב</w:t>
      </w:r>
      <w:r>
        <w:rPr>
          <w:b/>
          <w:bCs/>
          <w:rtl/>
        </w:rPr>
        <w:t>תרגום יונתן</w:t>
      </w:r>
      <w:r>
        <w:rPr>
          <w:rtl/>
        </w:rPr>
        <w:t xml:space="preserve"> כת' לאנתתא דקריבא לגופיה.</w:t>
      </w:r>
    </w:p>
  </w:footnote>
  <w:footnote w:id="5622">
    <w:p w14:paraId="1B7231FE" w14:textId="77777777" w:rsidR="006C4368" w:rsidRDefault="006C4368" w:rsidP="006C4368">
      <w:pPr>
        <w:pStyle w:val="Footnote"/>
        <w:bidi/>
      </w:pPr>
      <w:r>
        <w:rPr>
          <w:rStyle w:val="ac"/>
          <w:rtl/>
        </w:rPr>
        <w:footnoteRef/>
      </w:r>
      <w:r>
        <w:rPr>
          <w:rtl/>
        </w:rPr>
        <w:t xml:space="preserve">ולא משום גדר קורבא. {וע' </w:t>
      </w:r>
      <w:r>
        <w:rPr>
          <w:b/>
          <w:bCs/>
          <w:rtl/>
        </w:rPr>
        <w:t>רש"י</w:t>
      </w:r>
      <w:r>
        <w:rPr>
          <w:rtl/>
        </w:rPr>
        <w:t xml:space="preserve"> (ברכות כ.) שהק' דנילף דכבוד הבריות דוחה מהא דכהן מטמא לקרוביו. ורש"י תי' דאיסור טומאת קרובים הוה הותרה, ולא דחויה דכבוד הבריות. וי"ל דדעת הרמב"ם דמ"מ מישך אהדדי}.</w:t>
      </w:r>
    </w:p>
  </w:footnote>
  <w:footnote w:id="5623">
    <w:p w14:paraId="06F4971F" w14:textId="77777777" w:rsidR="006C4368" w:rsidRDefault="006C4368" w:rsidP="006C4368">
      <w:pPr>
        <w:pStyle w:val="Footnote"/>
        <w:bidi/>
      </w:pPr>
      <w:r>
        <w:rPr>
          <w:rStyle w:val="ac"/>
          <w:rtl/>
        </w:rPr>
        <w:footnoteRef/>
      </w:r>
      <w:r>
        <w:rPr>
          <w:rtl/>
        </w:rPr>
        <w:t>[והוה מעין טעמא דקרא]. וה</w:t>
      </w:r>
      <w:r>
        <w:rPr>
          <w:b/>
          <w:bCs/>
          <w:rtl/>
        </w:rPr>
        <w:t>אחרונים</w:t>
      </w:r>
      <w:r>
        <w:rPr>
          <w:rtl/>
        </w:rPr>
        <w:t xml:space="preserve"> העירו דכ"ז למ"ד ירושת הבעל דאורייתא, אבל למ"ד דיורשה מדרבנן ומטמא לה מדאורייתא, א"כ ע"כ לא תלי בהדדי. וצ"ע דבפשוטו ה</w:t>
      </w:r>
      <w:r>
        <w:rPr>
          <w:b/>
          <w:bCs/>
          <w:rtl/>
        </w:rPr>
        <w:t>רמב"ם</w:t>
      </w:r>
      <w:r>
        <w:rPr>
          <w:rtl/>
        </w:rPr>
        <w:t xml:space="preserve"> (אישות יב ג, ונחלות א ח) פסק כמ"ד ירושת הבעל דרבנן. [אך יש לדחות דנקט מדברי סופרים].</w:t>
      </w:r>
    </w:p>
  </w:footnote>
  <w:footnote w:id="5624">
    <w:p w14:paraId="70563C6D" w14:textId="77777777" w:rsidR="006C4368" w:rsidRDefault="006C4368" w:rsidP="006C4368">
      <w:pPr>
        <w:pStyle w:val="Footnote"/>
        <w:bidi/>
      </w:pPr>
      <w:r>
        <w:rPr>
          <w:rStyle w:val="ac"/>
          <w:rtl/>
        </w:rPr>
        <w:footnoteRef/>
      </w:r>
      <w:r>
        <w:rPr>
          <w:rtl/>
        </w:rPr>
        <w:t>[לכאורה הו"ל לתוס' להביא מכל סוטה דאורייתא, דאינו מטמא לאשתו פסולה, ולא הפסיד ירושתה. אך לא מצאנו דין זה להדיא דאינו מטמא לאשתו סוטה. וי"ל דאה"נ מטמא משום מת מצווה. ודוקא הכא תנן להדיא דלא פסל].</w:t>
      </w:r>
    </w:p>
  </w:footnote>
  <w:footnote w:id="5625">
    <w:p w14:paraId="37591C55" w14:textId="77777777" w:rsidR="006C4368" w:rsidRDefault="006C4368" w:rsidP="006C4368">
      <w:pPr>
        <w:pStyle w:val="Footnote"/>
        <w:bidi/>
      </w:pPr>
      <w:r>
        <w:rPr>
          <w:rStyle w:val="ac"/>
          <w:rtl/>
        </w:rPr>
        <w:footnoteRef/>
      </w:r>
      <w:r>
        <w:rPr>
          <w:rtl/>
        </w:rPr>
        <w:t xml:space="preserve">ועוד כת' </w:t>
      </w:r>
      <w:r>
        <w:rPr>
          <w:b/>
          <w:bCs/>
          <w:rtl/>
        </w:rPr>
        <w:t>תוס</w:t>
      </w:r>
      <w:r>
        <w:rPr>
          <w:rtl/>
        </w:rPr>
        <w:t>' (גיטין שם) דלשון אוכלת בגינו משמע דאפי' מאכילה בידים. [ועד"ז דן הרשב"א שם לפרש לדעת רש"י].</w:t>
      </w:r>
    </w:p>
  </w:footnote>
  <w:footnote w:id="5626">
    <w:p w14:paraId="70A0B0BC" w14:textId="77777777" w:rsidR="006C4368" w:rsidRDefault="006C4368" w:rsidP="006C4368">
      <w:pPr>
        <w:pStyle w:val="Footnote"/>
        <w:bidi/>
      </w:pPr>
      <w:r>
        <w:rPr>
          <w:rStyle w:val="ac"/>
          <w:rtl/>
        </w:rPr>
        <w:footnoteRef/>
      </w:r>
      <w:r>
        <w:rPr>
          <w:rtl/>
        </w:rPr>
        <w:t>ותוס' הוכיחו שאפי' אם רצה הכהן א"י למחול, משום דהוה כפרה. וה</w:t>
      </w:r>
      <w:r>
        <w:rPr>
          <w:b/>
          <w:bCs/>
          <w:rtl/>
        </w:rPr>
        <w:t>ר"ש</w:t>
      </w:r>
      <w:r>
        <w:rPr>
          <w:rtl/>
        </w:rPr>
        <w:t xml:space="preserve"> (שם ו א) דחה דאין לומר דהטעם דל"מ מחילה משום דהוה כפרה כקרבן, דהא הגוזל ונשבע מהני מחילה. אלא דהטעם דל"מ מחילה דבעי' דבר הראוי להיות קודש.</w:t>
      </w:r>
    </w:p>
  </w:footnote>
  <w:footnote w:id="5627">
    <w:p w14:paraId="5FA8FD8D" w14:textId="77777777" w:rsidR="006C4368" w:rsidRDefault="006C4368" w:rsidP="006C4368">
      <w:pPr>
        <w:pStyle w:val="Footnote"/>
        <w:bidi/>
      </w:pPr>
      <w:r>
        <w:rPr>
          <w:rStyle w:val="ac"/>
          <w:rtl/>
        </w:rPr>
        <w:footnoteRef/>
      </w:r>
      <w:r>
        <w:rPr>
          <w:b/>
          <w:bCs/>
          <w:rtl/>
        </w:rPr>
        <w:t>תוס</w:t>
      </w:r>
      <w:r>
        <w:rPr>
          <w:rtl/>
        </w:rPr>
        <w:t>' פי' לר' יוסי דמותר בהנאה, ומש"ה שייך בזה תשלומי נזיקין.</w:t>
      </w:r>
    </w:p>
  </w:footnote>
  <w:footnote w:id="5628">
    <w:p w14:paraId="711401BB" w14:textId="77777777" w:rsidR="006C4368" w:rsidRDefault="006C4368" w:rsidP="006C4368">
      <w:pPr>
        <w:pStyle w:val="Footnote"/>
        <w:bidi/>
      </w:pPr>
      <w:r>
        <w:rPr>
          <w:rStyle w:val="ac"/>
          <w:rtl/>
        </w:rPr>
        <w:footnoteRef/>
      </w:r>
      <w:r>
        <w:rPr>
          <w:rtl/>
        </w:rPr>
        <w:t xml:space="preserve">וכה"ק </w:t>
      </w:r>
      <w:r>
        <w:rPr>
          <w:b/>
          <w:bCs/>
          <w:rtl/>
        </w:rPr>
        <w:t>תוס</w:t>
      </w:r>
      <w:r>
        <w:rPr>
          <w:rtl/>
        </w:rPr>
        <w:t>' (כתובות ופסחים הנ"ל), ודחו בזה התי' הא' דגלי קרא.</w:t>
      </w:r>
    </w:p>
  </w:footnote>
  <w:footnote w:id="5629">
    <w:p w14:paraId="27935846" w14:textId="77777777" w:rsidR="006C4368" w:rsidRDefault="006C4368" w:rsidP="006C4368">
      <w:pPr>
        <w:pStyle w:val="Footnote"/>
        <w:bidi/>
      </w:pPr>
      <w:r>
        <w:rPr>
          <w:rStyle w:val="ac"/>
          <w:rtl/>
        </w:rPr>
        <w:footnoteRef/>
      </w:r>
      <w:r>
        <w:rPr>
          <w:rtl/>
        </w:rPr>
        <w:t>[ע' מהרש"א שם, ותוס' שאנץ פסחים כט. ור' דוד שם]. וכ"ד ה</w:t>
      </w:r>
      <w:r>
        <w:rPr>
          <w:b/>
          <w:bCs/>
          <w:rtl/>
        </w:rPr>
        <w:t xml:space="preserve">מלחמות </w:t>
      </w:r>
      <w:r>
        <w:rPr>
          <w:rtl/>
        </w:rPr>
        <w:t>(כתובות ל: יג: בדה"ר) דחייבי כריתות שוגגין לא הוקשו למזיד. וע"ע קצות (כח א).</w:t>
      </w:r>
    </w:p>
  </w:footnote>
  <w:footnote w:id="5630">
    <w:p w14:paraId="5AAE3A4A" w14:textId="77777777" w:rsidR="006C4368" w:rsidRDefault="006C4368" w:rsidP="006C4368">
      <w:pPr>
        <w:pStyle w:val="Footnote"/>
        <w:bidi/>
      </w:pPr>
      <w:r>
        <w:rPr>
          <w:rStyle w:val="ac"/>
          <w:rtl/>
        </w:rPr>
        <w:footnoteRef/>
      </w:r>
      <w:r>
        <w:rPr>
          <w:rtl/>
        </w:rPr>
        <w:t>אך ה</w:t>
      </w:r>
      <w:r>
        <w:rPr>
          <w:b/>
          <w:bCs/>
          <w:rtl/>
        </w:rPr>
        <w:t>גרי"ז</w:t>
      </w:r>
      <w:r>
        <w:rPr>
          <w:rtl/>
        </w:rPr>
        <w:t xml:space="preserve"> (מכתב בסוה"ס, הו' בסמוך) העמיד דדעת הרמב"ם דתשלומי מזיד הוה מדיני התרומה, אף דהוה גדר ממון.</w:t>
      </w:r>
    </w:p>
  </w:footnote>
  <w:footnote w:id="5631">
    <w:p w14:paraId="68FEFFF3" w14:textId="77777777" w:rsidR="006C4368" w:rsidRDefault="006C4368" w:rsidP="006C4368">
      <w:pPr>
        <w:pStyle w:val="Footnote"/>
        <w:bidi/>
      </w:pPr>
      <w:r>
        <w:rPr>
          <w:rStyle w:val="ac"/>
          <w:rtl/>
        </w:rPr>
        <w:footnoteRef/>
      </w:r>
      <w:r>
        <w:rPr>
          <w:rtl/>
        </w:rPr>
        <w:t>וה</w:t>
      </w:r>
      <w:r>
        <w:rPr>
          <w:b/>
          <w:bCs/>
          <w:rtl/>
        </w:rPr>
        <w:t>ריטב"א</w:t>
      </w:r>
      <w:r>
        <w:rPr>
          <w:rtl/>
        </w:rPr>
        <w:t xml:space="preserve"> (בסוגיין) כת' דחייב מדרבנן. [וצ"ע].</w:t>
      </w:r>
    </w:p>
  </w:footnote>
  <w:footnote w:id="5632">
    <w:p w14:paraId="19ADE9AB" w14:textId="77777777" w:rsidR="006C4368" w:rsidRDefault="006C4368" w:rsidP="006C4368">
      <w:pPr>
        <w:pStyle w:val="Footnote"/>
        <w:bidi/>
      </w:pPr>
      <w:r>
        <w:rPr>
          <w:rStyle w:val="ac"/>
          <w:rtl/>
        </w:rPr>
        <w:footnoteRef/>
      </w:r>
      <w:r>
        <w:rPr>
          <w:rtl/>
        </w:rPr>
        <w:t>ובפשוטו באוכל תרומה במזיד ליכא דין תשלומי תרומה כלל, ומשלם כדין מזיק ממון חבירו [באוכל תרומה שאתי ליד הכהן]. אך יש שהביאו כמה ראיות דאף במזיד נתחדש דין תשלום מחמת התרומה. והגרי"ז הביא דבירושלמי (פסחים ב ג) אי' דאף האוכל [במזיד] תרומה שאין בו שווה פרוטה חייב לשלם. וע"כ הוה דין תשלום מחמת התרומה.</w:t>
      </w:r>
    </w:p>
  </w:footnote>
  <w:footnote w:id="5633">
    <w:p w14:paraId="3FE9F72C" w14:textId="77777777" w:rsidR="006C4368" w:rsidRDefault="006C4368" w:rsidP="006C4368">
      <w:pPr>
        <w:pStyle w:val="Footnote"/>
        <w:bidi/>
      </w:pPr>
      <w:r>
        <w:rPr>
          <w:rStyle w:val="ac"/>
          <w:rtl/>
        </w:rPr>
        <w:footnoteRef/>
      </w:r>
      <w:r>
        <w:rPr>
          <w:rtl/>
        </w:rPr>
        <w:t>ו</w:t>
      </w:r>
      <w:r>
        <w:rPr>
          <w:b/>
          <w:bCs/>
          <w:rtl/>
        </w:rPr>
        <w:t>מהר"י קורקוס</w:t>
      </w:r>
      <w:r>
        <w:rPr>
          <w:rtl/>
        </w:rPr>
        <w:t xml:space="preserve"> (שם) תמה מנ"ל. וביאר דכיון דבאוכל בשוגג יש קנס לשלם חולין מתוקנים, כ"ש באוכל במזיד. [ואף דאין נעשין קודש].</w:t>
      </w:r>
    </w:p>
  </w:footnote>
  <w:footnote w:id="5634">
    <w:p w14:paraId="0DBC39B7" w14:textId="77777777" w:rsidR="006C4368" w:rsidRDefault="006C4368" w:rsidP="006C4368">
      <w:pPr>
        <w:pStyle w:val="Footnote"/>
        <w:bidi/>
      </w:pPr>
      <w:r>
        <w:rPr>
          <w:rStyle w:val="ac"/>
          <w:rtl/>
        </w:rPr>
        <w:footnoteRef/>
      </w:r>
      <w:r>
        <w:rPr>
          <w:rtl/>
        </w:rPr>
        <w:t>וע"כ דתשלומי אוכל במזיד הוה דין תשלומי תרומה.</w:t>
      </w:r>
    </w:p>
  </w:footnote>
  <w:footnote w:id="5635">
    <w:p w14:paraId="08FED615" w14:textId="77777777" w:rsidR="006C4368" w:rsidRDefault="006C4368" w:rsidP="006C4368">
      <w:pPr>
        <w:pStyle w:val="Footnote"/>
        <w:bidi/>
      </w:pPr>
      <w:r>
        <w:rPr>
          <w:rStyle w:val="ac"/>
          <w:rtl/>
        </w:rPr>
        <w:footnoteRef/>
      </w:r>
      <w:r>
        <w:rPr>
          <w:rtl/>
        </w:rPr>
        <w:t>פ</w:t>
      </w:r>
      <w:r>
        <w:rPr>
          <w:b/>
          <w:bCs/>
          <w:rtl/>
        </w:rPr>
        <w:t>רש"י</w:t>
      </w:r>
      <w:r>
        <w:rPr>
          <w:rtl/>
        </w:rPr>
        <w:t xml:space="preserve"> אמאי קנסת. אבל בפשוטו לשון זה משמע דלכתחילה יוכל להפריש.</w:t>
      </w:r>
    </w:p>
  </w:footnote>
  <w:footnote w:id="5636">
    <w:p w14:paraId="3367AABD" w14:textId="77777777" w:rsidR="006C4368" w:rsidRDefault="006C4368" w:rsidP="006C4368">
      <w:pPr>
        <w:pStyle w:val="Footnote"/>
        <w:bidi/>
      </w:pPr>
      <w:r>
        <w:rPr>
          <w:rStyle w:val="ac"/>
          <w:rtl/>
        </w:rPr>
        <w:footnoteRef/>
      </w:r>
      <w:r>
        <w:rPr>
          <w:rtl/>
        </w:rPr>
        <w:t>ו</w:t>
      </w:r>
      <w:r>
        <w:rPr>
          <w:b/>
          <w:bCs/>
          <w:rtl/>
        </w:rPr>
        <w:t>רש"י</w:t>
      </w:r>
      <w:r>
        <w:rPr>
          <w:rtl/>
        </w:rPr>
        <w:t xml:space="preserve"> (גיטין נד.) פי' מיהו חולין טמאין מיכוין לשלומי ולא ידע דהם נעשין תרומה.</w:t>
      </w:r>
    </w:p>
  </w:footnote>
  <w:footnote w:id="5637">
    <w:p w14:paraId="2B0DD699" w14:textId="77777777" w:rsidR="006C4368" w:rsidRDefault="006C4368" w:rsidP="006C4368">
      <w:pPr>
        <w:pStyle w:val="Footnote"/>
        <w:bidi/>
      </w:pPr>
      <w:r>
        <w:rPr>
          <w:rStyle w:val="ac"/>
          <w:rtl/>
        </w:rPr>
        <w:footnoteRef/>
      </w:r>
      <w:r>
        <w:rPr>
          <w:rtl/>
        </w:rPr>
        <w:t xml:space="preserve">וכ"כ </w:t>
      </w:r>
      <w:r>
        <w:rPr>
          <w:b/>
          <w:bCs/>
          <w:rtl/>
        </w:rPr>
        <w:t>רש"י</w:t>
      </w:r>
      <w:r>
        <w:rPr>
          <w:rtl/>
        </w:rPr>
        <w:t xml:space="preserve"> (גיטין נד.), ו</w:t>
      </w:r>
      <w:r>
        <w:rPr>
          <w:b/>
          <w:bCs/>
          <w:rtl/>
        </w:rPr>
        <w:t>תוס</w:t>
      </w:r>
      <w:r>
        <w:rPr>
          <w:rtl/>
        </w:rPr>
        <w:t>' (פסחים י.). וה</w:t>
      </w:r>
      <w:r>
        <w:rPr>
          <w:b/>
          <w:bCs/>
          <w:rtl/>
        </w:rPr>
        <w:t>גהש"ס</w:t>
      </w:r>
      <w:r>
        <w:rPr>
          <w:rtl/>
        </w:rPr>
        <w:t xml:space="preserve"> ציין עוד לדברי </w:t>
      </w:r>
      <w:r>
        <w:rPr>
          <w:b/>
          <w:bCs/>
          <w:rtl/>
        </w:rPr>
        <w:t>רש"י</w:t>
      </w:r>
      <w:r>
        <w:rPr>
          <w:rtl/>
        </w:rPr>
        <w:t xml:space="preserve"> (בכורות יב:) דהאוכל תרומה טמאה במיתה. [ובפשוטו משמע דאפי' טהור שאכל תרומה טמאה, ותמה דאי' (לעיל עג: וכ"מ) דתרומה טמאה הוה עשה].</w:t>
      </w:r>
    </w:p>
  </w:footnote>
  <w:footnote w:id="5638">
    <w:p w14:paraId="4CEE7F6D" w14:textId="77777777" w:rsidR="006C4368" w:rsidRDefault="006C4368" w:rsidP="006C4368">
      <w:pPr>
        <w:pStyle w:val="Footnote"/>
        <w:bidi/>
      </w:pPr>
      <w:r>
        <w:rPr>
          <w:rStyle w:val="ac"/>
          <w:rtl/>
        </w:rPr>
        <w:footnoteRef/>
      </w:r>
      <w:r>
        <w:rPr>
          <w:rtl/>
        </w:rPr>
        <w:t>ויל"ד אי כוונת הגמ' דנתחייב משעת הגבהה (ע' ראב"ד תרומות י כו), או דבאכילתו נתחייב.</w:t>
      </w:r>
    </w:p>
    <w:p w14:paraId="749B5C40" w14:textId="77777777" w:rsidR="006C4368" w:rsidRDefault="006C4368" w:rsidP="006C4368">
      <w:pPr>
        <w:pStyle w:val="Footnote"/>
        <w:bidi/>
      </w:pPr>
      <w:r>
        <w:rPr>
          <w:rtl/>
        </w:rPr>
        <w:tab/>
        <w:t>וה</w:t>
      </w:r>
      <w:r>
        <w:rPr>
          <w:b/>
          <w:bCs/>
          <w:rtl/>
        </w:rPr>
        <w:t>מחנ"א</w:t>
      </w:r>
      <w:r>
        <w:rPr>
          <w:rtl/>
        </w:rPr>
        <w:t xml:space="preserve"> (גזילה ז) דן הלוקח דבר שאינו שלו בשוגג, האם נתחייב כדין גזלן. והביא מסוגיה זו דאכל בשוגג [וסתמא איירי דלא ידע שהוא תרומה, וסבור שהוא שלו], ואפ"ה אמרי' לא גרע מגזלן. [עי"ש]. [והמחנ"א הביא עוד מדברי הריטב"א כתובות לד:, ועוד ציינו האחרונים לתוס' ותוס' ר"פ ב"ק סט., ע"ע קצות כה א].</w:t>
      </w:r>
    </w:p>
  </w:footnote>
  <w:footnote w:id="5639">
    <w:p w14:paraId="072EF36C" w14:textId="77777777" w:rsidR="006C4368" w:rsidRDefault="006C4368" w:rsidP="006C4368">
      <w:pPr>
        <w:pStyle w:val="Footnote"/>
        <w:bidi/>
      </w:pPr>
      <w:r>
        <w:rPr>
          <w:rStyle w:val="ac"/>
          <w:rtl/>
        </w:rPr>
        <w:footnoteRef/>
      </w:r>
      <w:r>
        <w:rPr>
          <w:rtl/>
        </w:rPr>
        <w:t>וה</w:t>
      </w:r>
      <w:r>
        <w:rPr>
          <w:b/>
          <w:bCs/>
          <w:rtl/>
        </w:rPr>
        <w:t>פנ"י</w:t>
      </w:r>
      <w:r>
        <w:rPr>
          <w:rtl/>
        </w:rPr>
        <w:t xml:space="preserve"> דייק כן מדברי </w:t>
      </w:r>
      <w:r>
        <w:rPr>
          <w:b/>
          <w:bCs/>
          <w:rtl/>
        </w:rPr>
        <w:t>רש"י</w:t>
      </w:r>
      <w:r>
        <w:rPr>
          <w:rtl/>
        </w:rPr>
        <w:t xml:space="preserve"> (פסחים שם) שכת' דנהי דאיכפר ליה אכילת תרומה [ע"י ששילם לפי מידה], מיהו ממונא הוא ולא גרע משאר ממונא כששעת הגזילה.</w:t>
      </w:r>
    </w:p>
  </w:footnote>
  <w:footnote w:id="5640">
    <w:p w14:paraId="2F3D2691" w14:textId="77777777" w:rsidR="006C4368" w:rsidRDefault="006C4368" w:rsidP="006C4368">
      <w:pPr>
        <w:pStyle w:val="Footnote"/>
        <w:bidi/>
      </w:pPr>
      <w:r>
        <w:rPr>
          <w:rStyle w:val="ac"/>
          <w:rtl/>
        </w:rPr>
        <w:footnoteRef/>
      </w:r>
      <w:r>
        <w:rPr>
          <w:rtl/>
        </w:rPr>
        <w:t>ומשלם מעות, ואי"צ להוסיף חומש. ורע"א תמה על לשון הגמ' דלא תבעי לך דלא גרע מגזלן, הא יש כמה נפק"מ.</w:t>
      </w:r>
    </w:p>
  </w:footnote>
  <w:footnote w:id="5641">
    <w:p w14:paraId="57FD4238" w14:textId="77777777" w:rsidR="006C4368" w:rsidRDefault="006C4368" w:rsidP="006C4368">
      <w:pPr>
        <w:pStyle w:val="Footnote"/>
        <w:bidi/>
      </w:pPr>
      <w:r>
        <w:rPr>
          <w:rStyle w:val="ac"/>
          <w:rtl/>
        </w:rPr>
        <w:footnoteRef/>
      </w:r>
      <w:r>
        <w:rPr>
          <w:rtl/>
        </w:rPr>
        <w:t>ומבואר דעיקר התשלום הוא בהעמדת הפירות [ועי"ז ממילא נעשין תרומה], דאת"ל דעיקר התשלום הוה ע"י שנעשין תרומה האיך יחשב תרומה כה"ג.</w:t>
      </w:r>
    </w:p>
  </w:footnote>
  <w:footnote w:id="5642">
    <w:p w14:paraId="29E24B5E" w14:textId="77777777" w:rsidR="006C4368" w:rsidRDefault="006C4368" w:rsidP="006C4368">
      <w:pPr>
        <w:pStyle w:val="Footnote"/>
        <w:bidi/>
      </w:pPr>
      <w:r>
        <w:rPr>
          <w:rStyle w:val="ac"/>
          <w:rtl/>
        </w:rPr>
        <w:footnoteRef/>
      </w:r>
      <w:r>
        <w:rPr>
          <w:rtl/>
        </w:rPr>
        <w:t>וה</w:t>
      </w:r>
      <w:r>
        <w:rPr>
          <w:b/>
          <w:bCs/>
          <w:rtl/>
        </w:rPr>
        <w:t>משנ"ל</w:t>
      </w:r>
      <w:r>
        <w:rPr>
          <w:rtl/>
        </w:rPr>
        <w:t xml:space="preserve"> דייק כן מדברי ה</w:t>
      </w:r>
      <w:r>
        <w:rPr>
          <w:b/>
          <w:bCs/>
          <w:rtl/>
        </w:rPr>
        <w:t xml:space="preserve">ר"ש </w:t>
      </w:r>
      <w:r>
        <w:rPr>
          <w:rtl/>
        </w:rPr>
        <w:t>(תרומות ו ד) דהגונב תרומה משלם כדמי תרומה, ודייק אילו האוכל בשוגג משלם כדמי חולין. וע"ש תוי"ט.</w:t>
      </w:r>
    </w:p>
  </w:footnote>
  <w:footnote w:id="5643">
    <w:p w14:paraId="697213A3" w14:textId="77777777" w:rsidR="006C4368" w:rsidRDefault="006C4368" w:rsidP="006C4368">
      <w:pPr>
        <w:pStyle w:val="Footnote"/>
        <w:bidi/>
      </w:pPr>
      <w:r>
        <w:rPr>
          <w:rStyle w:val="ac"/>
          <w:rtl/>
        </w:rPr>
        <w:footnoteRef/>
      </w:r>
      <w:r>
        <w:rPr>
          <w:rtl/>
        </w:rPr>
        <w:t xml:space="preserve">וצ"ב מ"ט ישלם יותר ממה שאכל. ובפשוטו הטעם </w:t>
      </w:r>
      <w:r>
        <w:rPr>
          <w:rFonts w:ascii="Narkisim" w:eastAsia="Narkisim" w:hAnsi="Narkisim"/>
          <w:rtl/>
        </w:rPr>
        <w:t>דכיון שהתשלומין נעשו תרומה, ע"י התשלום הפירות יהיו שווים כמו התרומה שאכל [וע"ע בסמוך].</w:t>
      </w:r>
    </w:p>
    <w:p w14:paraId="586840C9" w14:textId="77777777" w:rsidR="006C4368" w:rsidRDefault="006C4368" w:rsidP="006C4368">
      <w:pPr>
        <w:pStyle w:val="Footnote"/>
        <w:bidi/>
      </w:pPr>
      <w:r>
        <w:rPr>
          <w:rFonts w:ascii="Narkisim" w:eastAsia="Narkisim" w:hAnsi="Narkisim"/>
          <w:rtl/>
        </w:rPr>
        <w:tab/>
        <w:t>וה</w:t>
      </w:r>
      <w:r>
        <w:rPr>
          <w:rFonts w:ascii="Narkisim" w:eastAsia="Narkisim" w:hAnsi="Narkisim"/>
          <w:b/>
          <w:bCs/>
          <w:rtl/>
        </w:rPr>
        <w:t>קה"י</w:t>
      </w:r>
      <w:r>
        <w:rPr>
          <w:rFonts w:ascii="Narkisim" w:eastAsia="Narkisim" w:hAnsi="Narkisim"/>
          <w:rtl/>
        </w:rPr>
        <w:t xml:space="preserve"> (פסחים כז) ביאר דדין תשלומי תרומה אינו בגדרי השלמת הממון, אלא דין תשלום על הפירות. ויל"פ דגדר חיוב תשלומי תרומה הוא להשלים ל'רשות תרומה' את הפירות שחסר לה. {ולתרומה חסר פירות [חולין] בשיעור זה, שראויין להיות תרומה בשווי זה}.</w:t>
      </w:r>
    </w:p>
  </w:footnote>
  <w:footnote w:id="5644">
    <w:p w14:paraId="328A406D" w14:textId="77777777" w:rsidR="006C4368" w:rsidRDefault="006C4368" w:rsidP="006C4368">
      <w:pPr>
        <w:pStyle w:val="Footnote"/>
        <w:bidi/>
      </w:pPr>
      <w:r>
        <w:rPr>
          <w:rStyle w:val="ac"/>
          <w:rtl/>
        </w:rPr>
        <w:footnoteRef/>
      </w:r>
      <w:r>
        <w:rPr>
          <w:rtl/>
        </w:rPr>
        <w:t>והרי מה"ת ל"מ עדות בלא דרישה וחקירה, וחז"ל תיקנו להפקיע ממון עפ"י עדות כזה משום נעילת דלת, וכמו כן כל שטרות דעלמא במתו העדים, דלהרמב"ם מדינא לא מהני דהוי מפי כתבם.</w:t>
      </w:r>
    </w:p>
  </w:footnote>
  <w:footnote w:id="5645">
    <w:p w14:paraId="7CD67487" w14:textId="77777777" w:rsidR="006C4368" w:rsidRDefault="006C4368" w:rsidP="006C4368">
      <w:pPr>
        <w:pStyle w:val="Footnote"/>
        <w:bidi/>
      </w:pPr>
      <w:r>
        <w:rPr>
          <w:rStyle w:val="ac"/>
          <w:rtl/>
        </w:rPr>
        <w:footnoteRef/>
      </w:r>
      <w:r>
        <w:rPr>
          <w:rtl/>
        </w:rPr>
        <w:t>ורע"א חלק ע"ד ה</w:t>
      </w:r>
      <w:r>
        <w:rPr>
          <w:b/>
          <w:bCs/>
          <w:rtl/>
        </w:rPr>
        <w:t>שואל</w:t>
      </w:r>
      <w:r>
        <w:rPr>
          <w:rtl/>
        </w:rPr>
        <w:t xml:space="preserve"> (שם קד) דדן דהא דבמקום אונס מקבלים עדות שלא בפני בע"ד הוה מדינא, דאין לומר דהוה תקנ"ח דהא לא פשע. ו</w:t>
      </w:r>
      <w:r>
        <w:rPr>
          <w:b/>
          <w:bCs/>
          <w:rtl/>
        </w:rPr>
        <w:t>רע"א</w:t>
      </w:r>
      <w:r>
        <w:rPr>
          <w:rtl/>
        </w:rPr>
        <w:t xml:space="preserve"> חלק דאינו הכרח כלל וכלל. והאריכות בזה אך למותר.</w:t>
      </w:r>
    </w:p>
  </w:footnote>
  <w:footnote w:id="5646">
    <w:p w14:paraId="4A416491" w14:textId="77777777" w:rsidR="006C4368" w:rsidRDefault="006C4368" w:rsidP="006C4368">
      <w:pPr>
        <w:pStyle w:val="Footnote"/>
        <w:bidi/>
      </w:pPr>
      <w:r>
        <w:rPr>
          <w:rStyle w:val="ac"/>
          <w:rtl/>
        </w:rPr>
        <w:footnoteRef/>
      </w:r>
      <w:r>
        <w:rPr>
          <w:rtl/>
        </w:rPr>
        <w:t>ולענין דו"ח הוצרכו לעקור כל הדין משום נעילת דלת, ובענין קבלת עדות שלא בפניו ראו שאינו מההכרח לעקור לגמרי רק היכי דהעדים רדופים למדה"י ואין הבע"ד בעיר.</w:t>
      </w:r>
    </w:p>
  </w:footnote>
  <w:footnote w:id="5647">
    <w:p w14:paraId="49BBDC87" w14:textId="77777777" w:rsidR="006C4368" w:rsidRDefault="006C4368" w:rsidP="006C4368">
      <w:pPr>
        <w:pStyle w:val="Footnote"/>
        <w:bidi/>
      </w:pPr>
      <w:r>
        <w:rPr>
          <w:rStyle w:val="ac"/>
          <w:rtl/>
        </w:rPr>
        <w:footnoteRef/>
      </w:r>
      <w:r>
        <w:rPr>
          <w:rtl/>
        </w:rPr>
        <w:t>וב</w:t>
      </w:r>
      <w:r>
        <w:rPr>
          <w:b/>
          <w:bCs/>
          <w:rtl/>
        </w:rPr>
        <w:t>שו"ת זית רענן</w:t>
      </w:r>
      <w:r>
        <w:rPr>
          <w:rtl/>
        </w:rPr>
        <w:t xml:space="preserve"> (א יו"ד ה"ב ב ג) ביאר דסברת התוס' הוה דוקא כאן, דהישראל פשע בתשלומים, ואפ"ה לא הפקירו ממונו. והאיך יפקירו ממון הכהן מחמת זה. והו"ל להשוות מידותיהם.</w:t>
      </w:r>
    </w:p>
  </w:footnote>
  <w:footnote w:id="5648">
    <w:p w14:paraId="4707F651" w14:textId="77777777" w:rsidR="006C4368" w:rsidRDefault="006C4368" w:rsidP="006C4368">
      <w:pPr>
        <w:pStyle w:val="Footnote"/>
        <w:bidi/>
      </w:pPr>
      <w:r>
        <w:rPr>
          <w:rStyle w:val="ac"/>
          <w:rtl/>
        </w:rPr>
        <w:footnoteRef/>
      </w:r>
      <w:r>
        <w:rPr>
          <w:rtl/>
        </w:rPr>
        <w:t>{ובאכל תרומה של כהן, מתחייב ליתן לכהן זה בדוקא. אבל האוכל תרומה שלא הגיע ליד כהן משלם לאיזה כהן שירצה. א"כ כהן שקיבל תשלומים אלו מפסיד, דשמא יתנו לכהן אחר}.</w:t>
      </w:r>
    </w:p>
  </w:footnote>
  <w:footnote w:id="5649">
    <w:p w14:paraId="17816203" w14:textId="77777777" w:rsidR="006C4368" w:rsidRDefault="006C4368" w:rsidP="006C4368">
      <w:pPr>
        <w:pStyle w:val="Footnote"/>
        <w:bidi/>
      </w:pPr>
      <w:r>
        <w:rPr>
          <w:rStyle w:val="ac"/>
          <w:rtl/>
        </w:rPr>
        <w:footnoteRef/>
      </w:r>
      <w:r>
        <w:rPr>
          <w:rtl/>
        </w:rPr>
        <w:t>והוסיף דטבא ליה עבדי שיקבל פירות טהורים. [וצ"ב דלכאורה קו' התוס' דהפקירו ממונו מכאן ולהבא, א"כ מדאורייתא כבר נתקיים חיובו, אלא שיחייבוהו לשלם שוב מדרבנן. ואף בלא שיפקירו ממונו יכולים לתקן שיחזור ויתן]</w:t>
      </w:r>
    </w:p>
  </w:footnote>
  <w:footnote w:id="5650">
    <w:p w14:paraId="5999C5BC" w14:textId="77777777" w:rsidR="006C4368" w:rsidRDefault="006C4368" w:rsidP="006C4368">
      <w:pPr>
        <w:pStyle w:val="Footnote"/>
        <w:bidi/>
      </w:pPr>
      <w:r>
        <w:rPr>
          <w:rStyle w:val="ac"/>
          <w:rtl/>
        </w:rPr>
        <w:footnoteRef/>
      </w:r>
      <w:r>
        <w:rPr>
          <w:rtl/>
        </w:rPr>
        <w:t>אמנם הביאו ד</w:t>
      </w:r>
      <w:r>
        <w:rPr>
          <w:b/>
          <w:bCs/>
          <w:rtl/>
        </w:rPr>
        <w:t>רש"י</w:t>
      </w:r>
      <w:r>
        <w:rPr>
          <w:rtl/>
        </w:rPr>
        <w:t xml:space="preserve"> (זבחים עג: בסוגריים) אי' דהיכא דחכמים אמרו שלא יקריב, אם הקריב פסול מדאורייתא. [וע"ע שדי חמד מערכת כ נה, ושער"י ג טו]. אך בסוגיין איירי דחכמים תקנו לאחר כפרה.</w:t>
      </w:r>
    </w:p>
  </w:footnote>
  <w:footnote w:id="5651">
    <w:p w14:paraId="7B43A36C" w14:textId="77777777" w:rsidR="006C4368" w:rsidRDefault="006C4368" w:rsidP="006C4368">
      <w:pPr>
        <w:pStyle w:val="Footnote"/>
        <w:bidi/>
      </w:pPr>
      <w:r>
        <w:rPr>
          <w:rStyle w:val="ac"/>
          <w:rtl/>
        </w:rPr>
        <w:footnoteRef/>
      </w:r>
      <w:r>
        <w:rPr>
          <w:rtl/>
        </w:rPr>
        <w:t>דהשיטמ"ק הביא דהר"ר שמואל תמה [ע"ד רש"י הנ"ל] וכי יש כח ביד חכמים לעקור דבר מה"ת בקום ועשה, שמביא חולין בעזרה. [והביא מסוגיין].</w:t>
      </w:r>
    </w:p>
    <w:p w14:paraId="6CE1562D" w14:textId="77777777" w:rsidR="006C4368" w:rsidRDefault="006C4368" w:rsidP="006C4368">
      <w:pPr>
        <w:pStyle w:val="Footnote"/>
        <w:bidi/>
      </w:pPr>
      <w:r>
        <w:rPr>
          <w:rtl/>
        </w:rPr>
        <w:tab/>
        <w:t>ור"י אחיו (הריב"ם) תי' יביא קרבן אחר ויתנה שיהא נדבה [עי"ש]. והר' מנוח תי' דכיון דהפסול בא קודם שחיטה הפקר בי"ד הפקר, ואפקעוה לממוניה מיניה. ומש"ה אינו מתכפר, ומש"ה אינו מתכפר בדבר שאינו שלו. וציין דכה"ג אי' (גיטין נה.) בחטאת גזולה דאפקעוה רבנן לממוניה שלא יתכפר בו. אבל בסוגיין ל"ש הפקר בי"ד לאחר שנשחט בהיתר.</w:t>
      </w:r>
    </w:p>
  </w:footnote>
  <w:footnote w:id="5652">
    <w:p w14:paraId="1BB3E493" w14:textId="77777777" w:rsidR="006C4368" w:rsidRDefault="006C4368" w:rsidP="006C4368">
      <w:pPr>
        <w:pStyle w:val="Footnote"/>
        <w:bidi/>
      </w:pPr>
      <w:r>
        <w:rPr>
          <w:rStyle w:val="ac"/>
          <w:rtl/>
        </w:rPr>
        <w:footnoteRef/>
      </w:r>
      <w:r>
        <w:rPr>
          <w:rtl/>
        </w:rPr>
        <w:t>וכן פשיטא ליה ל</w:t>
      </w:r>
      <w:r>
        <w:rPr>
          <w:b/>
          <w:bCs/>
          <w:rtl/>
        </w:rPr>
        <w:t>אבנ"נ</w:t>
      </w:r>
      <w:r>
        <w:rPr>
          <w:rtl/>
        </w:rPr>
        <w:t xml:space="preserve"> (יו"ד קמא יא, הו' בע"ב), וכן </w:t>
      </w:r>
      <w:r>
        <w:rPr>
          <w:b/>
          <w:bCs/>
          <w:rtl/>
        </w:rPr>
        <w:t>רע"א</w:t>
      </w:r>
      <w:r>
        <w:rPr>
          <w:rtl/>
        </w:rPr>
        <w:t xml:space="preserve"> (מערכה פסחים פט).</w:t>
      </w:r>
    </w:p>
  </w:footnote>
  <w:footnote w:id="5653">
    <w:p w14:paraId="5F54A85A" w14:textId="77777777" w:rsidR="006C4368" w:rsidRDefault="006C4368" w:rsidP="006C4368">
      <w:pPr>
        <w:pStyle w:val="Footnote"/>
        <w:bidi/>
      </w:pPr>
      <w:r>
        <w:rPr>
          <w:rStyle w:val="ac"/>
          <w:rtl/>
        </w:rPr>
        <w:footnoteRef/>
      </w:r>
      <w:r>
        <w:rPr>
          <w:rtl/>
        </w:rPr>
        <w:t>[ואף היכא דחכמים התירו איסורים, והוראת החכמים להחזיקו בהיתר. אבל חכמים לא צוו לאכול דבר זה. ומהני היתר זה לעשות נגד דברי התוס'].</w:t>
      </w:r>
    </w:p>
  </w:footnote>
  <w:footnote w:id="5654">
    <w:p w14:paraId="4DCB7370" w14:textId="77777777" w:rsidR="006C4368" w:rsidRDefault="006C4368" w:rsidP="006C4368">
      <w:pPr>
        <w:pStyle w:val="Footnote"/>
        <w:bidi/>
      </w:pPr>
      <w:r>
        <w:rPr>
          <w:rStyle w:val="ac"/>
          <w:rtl/>
        </w:rPr>
        <w:footnoteRef/>
      </w:r>
      <w:r>
        <w:rPr>
          <w:rtl/>
        </w:rPr>
        <w:t>[והוה כמו ביטול מצווה באונס].</w:t>
      </w:r>
    </w:p>
  </w:footnote>
  <w:footnote w:id="5655">
    <w:p w14:paraId="11187B5D" w14:textId="77777777" w:rsidR="006C4368" w:rsidRDefault="006C4368" w:rsidP="006C4368">
      <w:pPr>
        <w:pStyle w:val="Footnote"/>
        <w:bidi/>
      </w:pPr>
      <w:r>
        <w:rPr>
          <w:rStyle w:val="ac"/>
          <w:rtl/>
        </w:rPr>
        <w:footnoteRef/>
      </w:r>
      <w:r>
        <w:rPr>
          <w:rtl/>
        </w:rPr>
        <w:t>וע"ד הא דאי' (זבחים פ., עירובין ק.) במקום ספק בל תוסיף או בל תגרע, דא"ר יהושע דשב ואל תעשה.</w:t>
      </w:r>
    </w:p>
  </w:footnote>
  <w:footnote w:id="5656">
    <w:p w14:paraId="734152EF" w14:textId="77777777" w:rsidR="006C4368" w:rsidRDefault="006C4368" w:rsidP="006C4368">
      <w:pPr>
        <w:pStyle w:val="Footnote"/>
        <w:bidi/>
      </w:pPr>
      <w:r>
        <w:rPr>
          <w:rStyle w:val="ac"/>
          <w:rtl/>
        </w:rPr>
        <w:footnoteRef/>
      </w:r>
      <w:r>
        <w:rPr>
          <w:rtl/>
        </w:rPr>
        <w:t>וכן כשנכנס לעזרה בלא קרבנות, ועי"ז עובר משום לא יראה פני ריקם. דעצם האיסור הוה בהעדר הקרבן [שב ואל תעשה], אלא שעובר ע"י שנכנס לעזרה [בקום ועשה]. וה</w:t>
      </w:r>
      <w:r>
        <w:rPr>
          <w:b/>
          <w:bCs/>
          <w:rtl/>
        </w:rPr>
        <w:t>רמב"ם</w:t>
      </w:r>
      <w:r>
        <w:rPr>
          <w:rtl/>
        </w:rPr>
        <w:t xml:space="preserve"> (הו' בע"ב) כת' דהוה לאו שאין בו מעשה. [ויתבאר עוד בע"ב].</w:t>
      </w:r>
    </w:p>
    <w:p w14:paraId="2C1784D9" w14:textId="77777777" w:rsidR="006C4368" w:rsidRDefault="006C4368" w:rsidP="006C4368">
      <w:pPr>
        <w:pStyle w:val="Footnote"/>
        <w:bidi/>
      </w:pPr>
      <w:r>
        <w:rPr>
          <w:rtl/>
        </w:rPr>
        <w:tab/>
        <w:t xml:space="preserve">ועוד הביא לבישת בגד בלא ציצית, ע' </w:t>
      </w:r>
      <w:r>
        <w:rPr>
          <w:b/>
          <w:bCs/>
          <w:rtl/>
        </w:rPr>
        <w:t>תוס</w:t>
      </w:r>
      <w:r>
        <w:rPr>
          <w:rtl/>
        </w:rPr>
        <w:t>' (בע"ב) ודברי השאג"א (הו' בסמוך).</w:t>
      </w:r>
    </w:p>
  </w:footnote>
  <w:footnote w:id="5657">
    <w:p w14:paraId="1D505393" w14:textId="77777777" w:rsidR="006C4368" w:rsidRDefault="006C4368" w:rsidP="006C4368">
      <w:pPr>
        <w:pStyle w:val="Footnote"/>
        <w:bidi/>
      </w:pPr>
      <w:r>
        <w:rPr>
          <w:rStyle w:val="ac"/>
          <w:rtl/>
        </w:rPr>
        <w:footnoteRef/>
      </w:r>
      <w:r>
        <w:rPr>
          <w:rtl/>
        </w:rPr>
        <w:t>ועד"ז חקר ה</w:t>
      </w:r>
      <w:r>
        <w:rPr>
          <w:b/>
          <w:bCs/>
          <w:rtl/>
        </w:rPr>
        <w:t>קובה"ע</w:t>
      </w:r>
      <w:r>
        <w:rPr>
          <w:rtl/>
        </w:rPr>
        <w:t xml:space="preserve"> (סט כט) בהא דכבוד הבריות דוחה בשב ואל תעשה (וכדאי' ברכות כ., ע' תוס' בע"ב) האם טעם החילוק מפני מדרגת חומר האיסורן של קום ועשה, ואילו עבירה דהוה שוא"ת קיל [ותלי בעצם העבירה]. או שהטעם (ע"ד הנ"ל) דהמצוה וכבוד הבריות הן שני דברים שאין דוחין זל"ז, וממילא שוא"ת עדיף. ונפק"מ דיהא תלוי באיזה אופן עוברין על המצוה, אם ע"י מעשה בידים או שיושב ואינו עושה כלום. [וע"ע מש"כ בתוס' בע"ב עד"ז].</w:t>
      </w:r>
    </w:p>
    <w:p w14:paraId="2DA2E09B" w14:textId="77777777" w:rsidR="006C4368" w:rsidRDefault="006C4368" w:rsidP="006C4368">
      <w:pPr>
        <w:pStyle w:val="Footnote"/>
        <w:bidi/>
      </w:pPr>
      <w:r>
        <w:rPr>
          <w:rtl/>
        </w:rPr>
        <w:tab/>
        <w:t>ו</w:t>
      </w:r>
      <w:r>
        <w:rPr>
          <w:b/>
          <w:bCs/>
          <w:rtl/>
        </w:rPr>
        <w:t>רש"י</w:t>
      </w:r>
      <w:r>
        <w:rPr>
          <w:rtl/>
        </w:rPr>
        <w:t xml:space="preserve"> (ברכות כ.) פי' דדברים רבים התירו לעקור דבר תורה מפני סייג ומפני כבוד הבריות, היכא דאינו עוקר דבר במעשה ידים, אלא יושב במקומו. ודבר תורה נעקר מאליו. וכגון תקיעת שופר ולולב בשבת, וסדין בציצית, ודכוותייהו טובא (וציין לסוגיין). [ומבואר דרש"י דימה הגדר דיש כח לעקור דבר מה"ת לגדר ההיתר כבוד הבריות. אך הקובה"ע דן דיש לחלק ביניהם, וע"ע בע"ב].</w:t>
      </w:r>
    </w:p>
    <w:p w14:paraId="5C8F689B" w14:textId="77777777" w:rsidR="006C4368" w:rsidRDefault="006C4368" w:rsidP="006C4368">
      <w:pPr>
        <w:pStyle w:val="Footnote"/>
        <w:bidi/>
      </w:pPr>
      <w:r>
        <w:rPr>
          <w:rtl/>
        </w:rPr>
        <w:tab/>
        <w:t xml:space="preserve">וע"ע </w:t>
      </w:r>
      <w:r>
        <w:rPr>
          <w:b/>
          <w:bCs/>
          <w:rtl/>
        </w:rPr>
        <w:t>קובה"ע</w:t>
      </w:r>
      <w:r>
        <w:rPr>
          <w:rtl/>
        </w:rPr>
        <w:t xml:space="preserve"> (שם ל, לא) מה שדן בזה. והביא </w:t>
      </w:r>
      <w:r>
        <w:rPr>
          <w:b/>
          <w:bCs/>
          <w:rtl/>
        </w:rPr>
        <w:t>תוס</w:t>
      </w:r>
      <w:r>
        <w:rPr>
          <w:rtl/>
        </w:rPr>
        <w:t>' (שבועות ל: ד"ה אבל, בתי' הב') דהיכא שחבירו עושה איסור על ידו בקום ועשה, נחשב גם אצלו לקו"ע. [ולא הותר משום כבוד הבריות].</w:t>
      </w:r>
    </w:p>
  </w:footnote>
  <w:footnote w:id="5658">
    <w:p w14:paraId="04ACFB66" w14:textId="77777777" w:rsidR="006C4368" w:rsidRDefault="006C4368" w:rsidP="006C4368">
      <w:pPr>
        <w:pStyle w:val="Footnote"/>
        <w:bidi/>
      </w:pPr>
      <w:r>
        <w:rPr>
          <w:rStyle w:val="ac"/>
          <w:rtl/>
        </w:rPr>
        <w:footnoteRef/>
      </w:r>
      <w:r>
        <w:rPr>
          <w:rtl/>
        </w:rPr>
        <w:t>וכגון מצוות ראייה (ע"ע בע"ב) דאסור ליכנס לעזרה בלא קרבן, אבל היכא דעקרו את מצוות הקרבן, שוב אינו מחוייב להביא קרבן ואין איסור ליכנס לעזרה.</w:t>
      </w:r>
    </w:p>
  </w:footnote>
  <w:footnote w:id="5659">
    <w:p w14:paraId="7B35198B" w14:textId="77777777" w:rsidR="006C4368" w:rsidRDefault="006C4368" w:rsidP="006C4368">
      <w:pPr>
        <w:pStyle w:val="Footnote"/>
        <w:bidi/>
      </w:pPr>
      <w:r>
        <w:rPr>
          <w:rStyle w:val="ac"/>
          <w:rtl/>
        </w:rPr>
        <w:footnoteRef/>
      </w:r>
      <w:r>
        <w:rPr>
          <w:rtl/>
        </w:rPr>
        <w:t>דה</w:t>
      </w:r>
      <w:r>
        <w:rPr>
          <w:b/>
          <w:bCs/>
          <w:rtl/>
        </w:rPr>
        <w:t>ר"ן</w:t>
      </w:r>
      <w:r>
        <w:rPr>
          <w:rtl/>
        </w:rPr>
        <w:t xml:space="preserve"> הק' לדעת הגאונים דאבילות יום ראשון דאורייתא, האיך התירו בחתן שמת לו מת שנוהג ז' ימי משתה, ועקרו אבילות. ותי' דיש כח ביד חכמים לעקור דבר מהתורה בשב ואל תעשה.</w:t>
      </w:r>
    </w:p>
  </w:footnote>
  <w:footnote w:id="5660">
    <w:p w14:paraId="3F21F11E" w14:textId="77777777" w:rsidR="006C4368" w:rsidRDefault="006C4368" w:rsidP="006C4368">
      <w:pPr>
        <w:pStyle w:val="Footnote"/>
        <w:bidi/>
      </w:pPr>
      <w:r>
        <w:rPr>
          <w:rStyle w:val="ac"/>
          <w:rtl/>
        </w:rPr>
        <w:footnoteRef/>
      </w:r>
      <w:r>
        <w:rPr>
          <w:rtl/>
        </w:rPr>
        <w:t>לכאורה כוונתו דעיקר 'שם אבילות' הוה קום ועשה, ונולד מזה גם איסורים [בשב ואל תעשה]. {אך היכא שאינו מתאבל ל"ש איסורים אלו מצד עצמן}.</w:t>
      </w:r>
    </w:p>
  </w:footnote>
  <w:footnote w:id="5661">
    <w:p w14:paraId="142BDD0C" w14:textId="77777777" w:rsidR="006C4368" w:rsidRDefault="006C4368" w:rsidP="006C4368">
      <w:pPr>
        <w:pStyle w:val="Footnote"/>
        <w:bidi/>
      </w:pPr>
      <w:r>
        <w:rPr>
          <w:rStyle w:val="ac"/>
          <w:rtl/>
        </w:rPr>
        <w:footnoteRef/>
      </w:r>
      <w:r>
        <w:rPr>
          <w:rtl/>
        </w:rPr>
        <w:t>[ומש"כ דאינו ראוי להתעסק בדברים של שמחה היינו דהוה איסור גמור באיסורין שהם בקום ועשה. אך בפשוטו כוונת הר"ן דעקרו את כל האיסורין, אך סוף סוף יש עליו 'שם אבל' מדאורייתא, ואינו ראוי שירבה בשמחה].</w:t>
      </w:r>
    </w:p>
    <w:p w14:paraId="71CBE455" w14:textId="77777777" w:rsidR="006C4368" w:rsidRDefault="006C4368" w:rsidP="006C4368">
      <w:pPr>
        <w:pStyle w:val="Footnote"/>
        <w:bidi/>
      </w:pPr>
      <w:r>
        <w:rPr>
          <w:rtl/>
        </w:rPr>
        <w:tab/>
        <w:t>עכ"פ מבואר דלא עקרו את עצם האבילות, אלא את איסור האבל.</w:t>
      </w:r>
    </w:p>
  </w:footnote>
  <w:footnote w:id="5662">
    <w:p w14:paraId="36037BF4" w14:textId="77777777" w:rsidR="006C4368" w:rsidRDefault="006C4368" w:rsidP="006C4368">
      <w:pPr>
        <w:pStyle w:val="Footnote"/>
        <w:bidi/>
      </w:pPr>
      <w:r>
        <w:rPr>
          <w:rStyle w:val="ac"/>
          <w:rtl/>
        </w:rPr>
        <w:footnoteRef/>
      </w:r>
      <w:r>
        <w:rPr>
          <w:rtl/>
        </w:rPr>
        <w:t>והביא דהכי חזינן בלולב דכשחל יום א' בשבת פטרו אותו מליטול משום גזירה שמא יעבירנו ד' אמות ברה"ר. וכן סדין בציצית פטרו אותו שילבישנו בלא ציצית, הרי שחייב מן התורה שלא ללבוש טלית של פשתן ביום בלא ציצית של תכלת ואפ"ה פטרו אותו ללבשו בלא תכלת משום גזירה. [ויל"פ דכוונתו להוכיח שהרי לובש את הבגד במעשה, וכקו' התוס' (בע"ב), וע"כ דעקרו לגמרי המצוה].</w:t>
      </w:r>
    </w:p>
  </w:footnote>
  <w:footnote w:id="5663">
    <w:p w14:paraId="3EB708D9" w14:textId="77777777" w:rsidR="006C4368" w:rsidRDefault="006C4368" w:rsidP="006C4368">
      <w:pPr>
        <w:pStyle w:val="Footnote"/>
        <w:bidi/>
      </w:pPr>
      <w:r>
        <w:rPr>
          <w:rStyle w:val="ac"/>
          <w:rtl/>
        </w:rPr>
        <w:footnoteRef/>
      </w:r>
      <w:r>
        <w:rPr>
          <w:rtl/>
        </w:rPr>
        <w:t>דדעת כמה ראשונים דחכמים תקנו לזרז את האדם לקרוא קר"ש קודם חצות. אך אילו הגיע חצות ודאי יקרא אח"כ לקיים את המצווה מדאורייתא. ולא עקרו כלל את המצווה דאורייתא. אבל רבינו יונה נקט דמשום סייג חכמים עקרו שלא יקרא אחר חצות.</w:t>
      </w:r>
    </w:p>
  </w:footnote>
  <w:footnote w:id="5664">
    <w:p w14:paraId="0EDB3212" w14:textId="77777777" w:rsidR="006C4368" w:rsidRDefault="006C4368" w:rsidP="006C4368">
      <w:pPr>
        <w:pStyle w:val="Footnote"/>
        <w:bidi/>
      </w:pPr>
      <w:r>
        <w:rPr>
          <w:rStyle w:val="ac"/>
          <w:rtl/>
        </w:rPr>
        <w:footnoteRef/>
      </w:r>
      <w:r>
        <w:rPr>
          <w:rtl/>
        </w:rPr>
        <w:t>ובשלמא בהזאה ולולב דסוגיין אסור מדרבנן משום גזירה, והעמידו דבריהם אף במקום המצווה דאורייתא. ושב ואל תעשה. אבל בקר"ש ודאי רשאי לקרוא כקורא בתורה, ואין איסור בדבר. וע"כ דעקרו את גוף המצווה מדאורייתא, וקבעו דאי"צ לקרוא.</w:t>
      </w:r>
    </w:p>
  </w:footnote>
  <w:footnote w:id="5665">
    <w:p w14:paraId="0A1C89B9" w14:textId="77777777" w:rsidR="006C4368" w:rsidRDefault="006C4368" w:rsidP="006C4368">
      <w:pPr>
        <w:pStyle w:val="Footnote"/>
        <w:bidi/>
      </w:pPr>
      <w:r>
        <w:rPr>
          <w:rStyle w:val="ac"/>
          <w:rtl/>
        </w:rPr>
        <w:footnoteRef/>
      </w:r>
      <w:r>
        <w:rPr>
          <w:rtl/>
        </w:rPr>
        <w:t>ויל"ד אי עקרו את המצווה, דאף אילו יקרא לא יצא יד"ח. או דפטרו אותו, ומ"מ אילו יקרא הוה כאינו מצווה ועושה [וכאשה].</w:t>
      </w:r>
    </w:p>
  </w:footnote>
  <w:footnote w:id="5666">
    <w:p w14:paraId="03DC45FE" w14:textId="77777777" w:rsidR="006C4368" w:rsidRDefault="006C4368" w:rsidP="006C4368">
      <w:pPr>
        <w:pStyle w:val="Footnote"/>
        <w:bidi/>
      </w:pPr>
      <w:r>
        <w:rPr>
          <w:rStyle w:val="ac"/>
          <w:rtl/>
        </w:rPr>
        <w:footnoteRef/>
      </w:r>
      <w:r>
        <w:rPr>
          <w:rtl/>
        </w:rPr>
        <w:t>ומשמע דהוה כלל בכל מקום שחכמים פסלו, עי"ש נחשב 'אינו ראוי' אף לדאורייתא. וה</w:t>
      </w:r>
      <w:r>
        <w:rPr>
          <w:b/>
          <w:bCs/>
          <w:rtl/>
        </w:rPr>
        <w:t>דב"א</w:t>
      </w:r>
      <w:r>
        <w:rPr>
          <w:rtl/>
        </w:rPr>
        <w:t xml:space="preserve"> (ב כו י) תמה דבכ"מ פסלו גט מדרבנן, ומגורשת מדאורייתא. [ואפשר דתוס' איירי דוקא במצוות, שחכמים קבעו שיקיים את הצווי דוקא באופן זה, והכתוב מסרו לחכמים. אבל גט הוה מתיר, ואף דחכמים הטילו בו חומרות מדרבנן, מהני קנין הגירושין מדאורייתא. א"נ דחכמים לא רצו לקבוע דיני הגירושין מדאורייתא, אלא הוסיפו חומרות].</w:t>
      </w:r>
    </w:p>
    <w:p w14:paraId="3475D533" w14:textId="77777777" w:rsidR="006C4368" w:rsidRDefault="006C4368" w:rsidP="006C4368">
      <w:pPr>
        <w:pStyle w:val="Footnote"/>
        <w:bidi/>
      </w:pPr>
      <w:r>
        <w:rPr>
          <w:rtl/>
        </w:rPr>
        <w:tab/>
        <w:t>והדב"א כת' דאפשר דתוס' קאי דוקא במצוות סוכה, דחכמים קבעו דאינו דרך דירה.</w:t>
      </w:r>
    </w:p>
  </w:footnote>
  <w:footnote w:id="5667">
    <w:p w14:paraId="2780DAA6" w14:textId="77777777" w:rsidR="006C4368" w:rsidRDefault="006C4368" w:rsidP="006C4368">
      <w:pPr>
        <w:pStyle w:val="Footnote"/>
        <w:bidi/>
      </w:pPr>
      <w:r>
        <w:rPr>
          <w:rStyle w:val="ac"/>
          <w:rtl/>
        </w:rPr>
        <w:footnoteRef/>
      </w:r>
      <w:r>
        <w:rPr>
          <w:rtl/>
        </w:rPr>
        <w:t>אך יש קצת חילוק בסוגיין איירי שפטרו וביטלו שלא יתחייב במצווה. ואילו התם קבעו דהמעשה שעשה ל"מ, ולא קיים המצווה. {ואפשר דהגדר דיש כח לחכמים לקובעו כאילו נתכוון שלא לשמה. ע"ד הא דתקנו בזבחים דסתמא לשמה. אבל ל"מ שיש להם כח בגוף המצווה}.</w:t>
      </w:r>
    </w:p>
  </w:footnote>
  <w:footnote w:id="5668">
    <w:p w14:paraId="1550D2F9" w14:textId="77777777" w:rsidR="006C4368" w:rsidRDefault="006C4368" w:rsidP="006C4368">
      <w:pPr>
        <w:pStyle w:val="Footnote"/>
        <w:bidi/>
      </w:pPr>
      <w:r>
        <w:rPr>
          <w:rStyle w:val="ac"/>
          <w:rtl/>
        </w:rPr>
        <w:footnoteRef/>
      </w:r>
      <w:r>
        <w:rPr>
          <w:rtl/>
        </w:rPr>
        <w:t>וכ"כ ה</w:t>
      </w:r>
      <w:r>
        <w:rPr>
          <w:b/>
          <w:bCs/>
          <w:rtl/>
        </w:rPr>
        <w:t>ר"ן</w:t>
      </w:r>
      <w:r>
        <w:rPr>
          <w:rtl/>
        </w:rPr>
        <w:t xml:space="preserve"> (פסחים קטז: כה: בדה"ר) בהא דכל שלא אמר ג' דברים אלו לא יצא יד"ח דהוה לאו דוקא. וה</w:t>
      </w:r>
      <w:r>
        <w:rPr>
          <w:b/>
          <w:bCs/>
          <w:rtl/>
        </w:rPr>
        <w:t>ר"ן</w:t>
      </w:r>
      <w:r>
        <w:rPr>
          <w:rtl/>
        </w:rPr>
        <w:t xml:space="preserve"> שם כת' דעד"ז (סוכה הנ"ל) דלא קיימת מצוות סוכה לאו דוקא. אלא שמדרבנן לא יצא, ולא הוה מצווה כתיקונו.</w:t>
      </w:r>
    </w:p>
  </w:footnote>
  <w:footnote w:id="5669">
    <w:p w14:paraId="58BA4491" w14:textId="77777777" w:rsidR="006C4368" w:rsidRDefault="006C4368" w:rsidP="006C4368">
      <w:pPr>
        <w:pStyle w:val="Footnote"/>
        <w:bidi/>
      </w:pPr>
      <w:r>
        <w:rPr>
          <w:rStyle w:val="ac"/>
          <w:rtl/>
        </w:rPr>
        <w:footnoteRef/>
      </w:r>
      <w:r>
        <w:rPr>
          <w:rtl/>
        </w:rPr>
        <w:t>אלא היכא דמקיים מקצת מהמצווה.</w:t>
      </w:r>
    </w:p>
  </w:footnote>
  <w:footnote w:id="5670">
    <w:p w14:paraId="7CE54BA9" w14:textId="77777777" w:rsidR="006C4368" w:rsidRDefault="006C4368" w:rsidP="006C4368">
      <w:pPr>
        <w:pStyle w:val="Footnote"/>
        <w:bidi/>
      </w:pPr>
      <w:r>
        <w:rPr>
          <w:rStyle w:val="ac"/>
          <w:rtl/>
        </w:rPr>
        <w:footnoteRef/>
      </w:r>
      <w:r>
        <w:rPr>
          <w:rtl/>
        </w:rPr>
        <w:t>דכת' דיש על כל מצות עשה אזהרת לאו כוללת, משום בל תגרע.</w:t>
      </w:r>
    </w:p>
  </w:footnote>
  <w:footnote w:id="5671">
    <w:p w14:paraId="03947C33" w14:textId="77777777" w:rsidR="006C4368" w:rsidRDefault="006C4368" w:rsidP="006C4368">
      <w:pPr>
        <w:pStyle w:val="Footnote"/>
        <w:bidi/>
      </w:pPr>
      <w:r>
        <w:rPr>
          <w:rStyle w:val="ac"/>
          <w:rtl/>
        </w:rPr>
        <w:footnoteRef/>
      </w:r>
      <w:r>
        <w:rPr>
          <w:rtl/>
        </w:rPr>
        <w:t>וכ"כ ה</w:t>
      </w:r>
      <w:r>
        <w:rPr>
          <w:b/>
          <w:bCs/>
          <w:rtl/>
        </w:rPr>
        <w:t>זכר יצחק</w:t>
      </w:r>
      <w:r>
        <w:rPr>
          <w:rtl/>
        </w:rPr>
        <w:t xml:space="preserve"> (ב ו) דאין כח לחכמים לעקור ל"ת, אף היכא דהוה בשב ואל תעשה. [וע"ע קובה"ע (שם יג) שהק' מכ"מ שעקרו לא תעשה בשב ואל תעשה].</w:t>
      </w:r>
    </w:p>
    <w:p w14:paraId="726D4FEB" w14:textId="77777777" w:rsidR="006C4368" w:rsidRDefault="006C4368" w:rsidP="006C4368">
      <w:pPr>
        <w:pStyle w:val="Footnote"/>
        <w:bidi/>
      </w:pPr>
      <w:r>
        <w:rPr>
          <w:rtl/>
        </w:rPr>
        <w:tab/>
        <w:t>אך צ"ע דבפשוטו ב</w:t>
      </w:r>
      <w:r>
        <w:rPr>
          <w:b/>
          <w:bCs/>
          <w:rtl/>
        </w:rPr>
        <w:t>ראשונים</w:t>
      </w:r>
      <w:r>
        <w:rPr>
          <w:rtl/>
        </w:rPr>
        <w:t xml:space="preserve"> מבואר דתלי בקום ועשה ושב ואל תעשה, א"כ יש כח ביד חכמים לעקור לאו שאין בו מעשה, אף דהוה לאו. [ואף אי נימא דהוה סברא בעצם האיסור, מ"מ נקבע החילוק בין קום ועשה לשב ואל תעשה, ולא בין לאו לעשה. ע"ע בע"ב].</w:t>
      </w:r>
    </w:p>
  </w:footnote>
  <w:footnote w:id="5672">
    <w:p w14:paraId="669FEEB1" w14:textId="77777777" w:rsidR="006C4368" w:rsidRDefault="006C4368" w:rsidP="006C4368">
      <w:pPr>
        <w:pStyle w:val="Footnote"/>
        <w:bidi/>
      </w:pPr>
      <w:r>
        <w:rPr>
          <w:rStyle w:val="ac"/>
          <w:rtl/>
        </w:rPr>
        <w:footnoteRef/>
      </w:r>
      <w:r>
        <w:rPr>
          <w:rtl/>
        </w:rPr>
        <w:t>כר' אליעזר ששחרר עבדו להשלימו לעשרה.</w:t>
      </w:r>
    </w:p>
  </w:footnote>
  <w:footnote w:id="5673">
    <w:p w14:paraId="2094F41D" w14:textId="77777777" w:rsidR="006C4368" w:rsidRDefault="006C4368" w:rsidP="006C4368">
      <w:pPr>
        <w:pStyle w:val="Footnote"/>
        <w:bidi/>
      </w:pPr>
      <w:r>
        <w:rPr>
          <w:rStyle w:val="ac"/>
          <w:rtl/>
        </w:rPr>
        <w:footnoteRef/>
      </w:r>
      <w:r>
        <w:rPr>
          <w:rtl/>
        </w:rPr>
        <w:t xml:space="preserve">[ויש </w:t>
      </w:r>
      <w:r>
        <w:rPr>
          <w:b/>
          <w:bCs/>
          <w:rtl/>
        </w:rPr>
        <w:t>אחרונים</w:t>
      </w:r>
      <w:r>
        <w:rPr>
          <w:rtl/>
        </w:rPr>
        <w:t xml:space="preserve"> שנקטו דהאיסור 'ביטול עשה' הוה מגדרי לאו הבא מכלל עשה].</w:t>
      </w:r>
    </w:p>
  </w:footnote>
  <w:footnote w:id="5674">
    <w:p w14:paraId="0D65C106" w14:textId="77777777" w:rsidR="006C4368" w:rsidRDefault="006C4368" w:rsidP="006C4368">
      <w:pPr>
        <w:pStyle w:val="Footnote"/>
        <w:bidi/>
      </w:pPr>
      <w:r>
        <w:rPr>
          <w:rStyle w:val="ac"/>
          <w:rtl/>
        </w:rPr>
        <w:footnoteRef/>
      </w:r>
      <w:r>
        <w:rPr>
          <w:rtl/>
        </w:rPr>
        <w:t xml:space="preserve">והביא דכיו"ב כת' </w:t>
      </w:r>
      <w:r>
        <w:rPr>
          <w:b/>
          <w:bCs/>
          <w:rtl/>
        </w:rPr>
        <w:t>תוס</w:t>
      </w:r>
      <w:r>
        <w:rPr>
          <w:rtl/>
        </w:rPr>
        <w:t>' (ברכות כ. ד"ה שב) דאף דנזיר הותר לטמא למת מצווה, לא ילפי' מיניה לשאר איסורי התורה דנדחו מפני כבוד הבריות. דמנזיר לא גמרינן, שכן ישנו בשאלה. [וכן לא גמרינן מכה"ג, שכן לאו שאינו שוה בכל].</w:t>
      </w:r>
    </w:p>
    <w:p w14:paraId="13AAB768" w14:textId="77777777" w:rsidR="006C4368" w:rsidRDefault="006C4368" w:rsidP="006C4368">
      <w:pPr>
        <w:pStyle w:val="Footnote"/>
        <w:bidi/>
      </w:pPr>
      <w:r>
        <w:rPr>
          <w:rtl/>
        </w:rPr>
        <w:tab/>
        <w:t>[ויל"ד אי כוונתו לציין סמך בעלמא דאיסור שישנו בשאלה קיל. ועוד אפשר דילפי' דיש כח ביד חכמים לעקור, דומיא דהא דנדחית מפני כבוד הבריות. אך לא שמענו דיש כח ביד חכמים לעקור איסור כהונה שאינו שווה בכל].</w:t>
      </w:r>
    </w:p>
  </w:footnote>
  <w:footnote w:id="5675">
    <w:p w14:paraId="174ADB6A" w14:textId="77777777" w:rsidR="006C4368" w:rsidRDefault="006C4368" w:rsidP="006C4368">
      <w:pPr>
        <w:pStyle w:val="Footnote"/>
        <w:bidi/>
      </w:pPr>
      <w:r>
        <w:rPr>
          <w:rStyle w:val="ac"/>
          <w:rtl/>
        </w:rPr>
        <w:footnoteRef/>
      </w:r>
      <w:r>
        <w:rPr>
          <w:rtl/>
        </w:rPr>
        <w:t>אפשר דהגדר דחכמים התירו לו את הנדר. [אך יל"ד דל"מ התרה בלא חרטה וכו'].</w:t>
      </w:r>
    </w:p>
  </w:footnote>
  <w:footnote w:id="5676">
    <w:p w14:paraId="2DD021B0" w14:textId="77777777" w:rsidR="006C4368" w:rsidRDefault="006C4368" w:rsidP="006C4368">
      <w:pPr>
        <w:pStyle w:val="Footnote"/>
        <w:bidi/>
      </w:pPr>
      <w:r>
        <w:rPr>
          <w:rStyle w:val="ac"/>
          <w:rtl/>
        </w:rPr>
        <w:footnoteRef/>
      </w:r>
      <w:r>
        <w:rPr>
          <w:rtl/>
        </w:rPr>
        <w:t>וכן היכא דנטמא בטומאה דרבנן (ע"ע פסחים טו.). וכן שומן הגיד (פסחים פג:) דאינו נאכל בקרבן פסח.</w:t>
      </w:r>
    </w:p>
  </w:footnote>
  <w:footnote w:id="5677">
    <w:p w14:paraId="24A92EE9" w14:textId="77777777" w:rsidR="006C4368" w:rsidRDefault="006C4368" w:rsidP="006C4368">
      <w:pPr>
        <w:pStyle w:val="Footnote"/>
        <w:bidi/>
      </w:pPr>
      <w:r>
        <w:rPr>
          <w:rStyle w:val="ac"/>
          <w:rtl/>
        </w:rPr>
        <w:footnoteRef/>
      </w:r>
      <w:r>
        <w:rPr>
          <w:rtl/>
        </w:rPr>
        <w:t>ועוד יש שהביאו מהא דיש מקומות שחכמים אסרו לקיים מצוות עונה, ומבטל לאו ד'לא יגרע'. ה</w:t>
      </w:r>
      <w:r>
        <w:rPr>
          <w:b/>
          <w:bCs/>
          <w:rtl/>
        </w:rPr>
        <w:t>נשמת אדם</w:t>
      </w:r>
      <w:r>
        <w:rPr>
          <w:rtl/>
        </w:rPr>
        <w:t xml:space="preserve"> (קמז) עמד בזה, ותי' דהיכא שהבעל אינו פנוי לא חל עליו מצוות עונה, בין שטרוד מחמת מלאכה או טרדה דמצוה.</w:t>
      </w:r>
    </w:p>
  </w:footnote>
  <w:footnote w:id="5678">
    <w:p w14:paraId="09796F8C" w14:textId="77777777" w:rsidR="006C4368" w:rsidRDefault="006C4368" w:rsidP="006C4368">
      <w:pPr>
        <w:pStyle w:val="Footnote"/>
        <w:bidi/>
      </w:pPr>
      <w:r>
        <w:rPr>
          <w:rStyle w:val="ac"/>
          <w:rtl/>
        </w:rPr>
        <w:footnoteRef/>
      </w:r>
      <w:r>
        <w:rPr>
          <w:rtl/>
        </w:rPr>
        <w:t>וה</w:t>
      </w:r>
      <w:r>
        <w:rPr>
          <w:b/>
          <w:bCs/>
          <w:rtl/>
        </w:rPr>
        <w:t>קובה"ע</w:t>
      </w:r>
      <w:r>
        <w:rPr>
          <w:rtl/>
        </w:rPr>
        <w:t xml:space="preserve"> (שם יג) הביא דבפי' ה</w:t>
      </w:r>
      <w:r>
        <w:rPr>
          <w:b/>
          <w:bCs/>
          <w:rtl/>
        </w:rPr>
        <w:t>רא"ש</w:t>
      </w:r>
      <w:r>
        <w:rPr>
          <w:rtl/>
        </w:rPr>
        <w:t xml:space="preserve"> (וכן הו' בשיטמ"ק שם) כת' דהיכא דחכמים תקנו שלא יביא קרבן אינו עובר משום בל תאחר, דיש כח ביד חכמים לעקור דבר מן התורה בשב ואל תעשה. ובסוגריים (מבנו) כת' דאפשר דעקרו את חיוב הבאת הקרבן, וממילא ליכא בל תאחר. [אך לשון הרא"ש משמע דעקרו בל תאחר].</w:t>
      </w:r>
    </w:p>
  </w:footnote>
  <w:footnote w:id="5679">
    <w:p w14:paraId="12B90B9A" w14:textId="77777777" w:rsidR="006C4368" w:rsidRDefault="006C4368" w:rsidP="006C4368">
      <w:pPr>
        <w:pStyle w:val="Footnote"/>
        <w:bidi/>
      </w:pPr>
      <w:r>
        <w:rPr>
          <w:rStyle w:val="ac"/>
          <w:rtl/>
        </w:rPr>
        <w:footnoteRef/>
      </w:r>
      <w:r>
        <w:rPr>
          <w:rtl/>
        </w:rPr>
        <w:t>ומש"ה בסוגיין הק' דוקא מהא דעקרו מצוות האכילה.</w:t>
      </w:r>
    </w:p>
  </w:footnote>
  <w:footnote w:id="5680">
    <w:p w14:paraId="5FFEE032" w14:textId="77777777" w:rsidR="006C4368" w:rsidRDefault="006C4368" w:rsidP="006C4368">
      <w:pPr>
        <w:pStyle w:val="Footnote"/>
        <w:bidi/>
      </w:pPr>
      <w:r>
        <w:rPr>
          <w:rStyle w:val="ac"/>
          <w:rtl/>
        </w:rPr>
        <w:footnoteRef/>
      </w:r>
      <w:r>
        <w:rPr>
          <w:rtl/>
        </w:rPr>
        <w:t>ועויל"פ דע"י תקנת חכמים נחשב שהבשר אינו ראוי לאכילה. ואין חיוב לאכול בשר קדשים שאינו ראוי לאכילה [אלא ע"י הדחק]. ועד"ז כת' ה</w:t>
      </w:r>
      <w:r>
        <w:rPr>
          <w:b/>
          <w:bCs/>
          <w:rtl/>
        </w:rPr>
        <w:t>מקד"ד</w:t>
      </w:r>
      <w:r>
        <w:rPr>
          <w:rtl/>
        </w:rPr>
        <w:t xml:space="preserve"> (קדשים כו א) דהיכא דהקרבן שנפסל מדרבנן [קודם זריקה], מביא אחר ושוחט [אפי' בשבת ויוה"כ]. דומיא דנמצא כחושה בבני המעיים (ע' מנחות סד.).</w:t>
      </w:r>
    </w:p>
  </w:footnote>
  <w:footnote w:id="5681">
    <w:p w14:paraId="4FEBC26B" w14:textId="77777777" w:rsidR="006C4368" w:rsidRDefault="006C4368" w:rsidP="006C4368">
      <w:pPr>
        <w:pStyle w:val="Footnote"/>
        <w:bidi/>
      </w:pPr>
      <w:r>
        <w:rPr>
          <w:rStyle w:val="ac"/>
          <w:rtl/>
        </w:rPr>
        <w:footnoteRef/>
      </w:r>
      <w:r>
        <w:rPr>
          <w:rtl/>
        </w:rPr>
        <w:t>והביא כן מהסוגיא (זבחים עט:) דם שנתערב, ישפך לאמה. ומשום גזירה.</w:t>
      </w:r>
    </w:p>
  </w:footnote>
  <w:footnote w:id="5682">
    <w:p w14:paraId="228E5E10" w14:textId="77777777" w:rsidR="006C4368" w:rsidRDefault="006C4368" w:rsidP="006C4368">
      <w:pPr>
        <w:pStyle w:val="Footnote"/>
        <w:bidi/>
      </w:pPr>
      <w:r>
        <w:rPr>
          <w:rStyle w:val="ac"/>
          <w:rtl/>
        </w:rPr>
        <w:footnoteRef/>
      </w:r>
      <w:r>
        <w:rPr>
          <w:rtl/>
        </w:rPr>
        <w:t>דומיא דהא דמותר לשרוף חמץ תרומה בערב פסח, היכא דלא ידעינן שלא יאכלנו.</w:t>
      </w:r>
    </w:p>
  </w:footnote>
  <w:footnote w:id="5683">
    <w:p w14:paraId="4ABB4176" w14:textId="77777777" w:rsidR="006C4368" w:rsidRDefault="006C4368" w:rsidP="006C4368">
      <w:pPr>
        <w:pStyle w:val="Footnote"/>
        <w:bidi/>
      </w:pPr>
      <w:r>
        <w:rPr>
          <w:rStyle w:val="ac"/>
          <w:rtl/>
        </w:rPr>
        <w:footnoteRef/>
      </w:r>
      <w:r>
        <w:rPr>
          <w:rtl/>
        </w:rPr>
        <w:t>ומשמע דכוונתו דיש כח מיוחד לגזור גזירות במקדש. [ואפשר דהטעם דעבודת הכהנים הוה ע"פ מינוי בי"ד של כהנים, ויש להם בעלות במצוות הקרבנות].</w:t>
      </w:r>
    </w:p>
  </w:footnote>
  <w:footnote w:id="5684">
    <w:p w14:paraId="0CCB27CF" w14:textId="77777777" w:rsidR="006C4368" w:rsidRDefault="006C4368" w:rsidP="006C4368">
      <w:pPr>
        <w:pStyle w:val="Footnote"/>
        <w:bidi/>
      </w:pPr>
      <w:r>
        <w:rPr>
          <w:rStyle w:val="ac"/>
          <w:rtl/>
        </w:rPr>
        <w:footnoteRef/>
      </w:r>
      <w:r>
        <w:rPr>
          <w:rtl/>
        </w:rPr>
        <w:t>ואפשר דמצוות אכילת קדשים לא הוה מסדרי העבודה, א"כ לא הוה בכלל דין הנ"ל.</w:t>
      </w:r>
    </w:p>
  </w:footnote>
  <w:footnote w:id="5685">
    <w:p w14:paraId="68C2DECD" w14:textId="77777777" w:rsidR="006C4368" w:rsidRDefault="006C4368" w:rsidP="006C4368">
      <w:pPr>
        <w:pStyle w:val="Footnote"/>
        <w:bidi/>
      </w:pPr>
      <w:r>
        <w:rPr>
          <w:rStyle w:val="ac"/>
          <w:rtl/>
        </w:rPr>
        <w:footnoteRef/>
      </w:r>
      <w:r>
        <w:rPr>
          <w:rtl/>
        </w:rPr>
        <w:t>ועד"ז אזמל, שאסרו להביא את הסכין, ועי"ז אינו יכול למול. ומיעקרה מצוות מילה בזמנה. דכיון דאינו רשאי להביא את הסכין, מתבטל מצוות מילה.</w:t>
      </w:r>
    </w:p>
  </w:footnote>
  <w:footnote w:id="5686">
    <w:p w14:paraId="16EA5DEE" w14:textId="77777777" w:rsidR="006C4368" w:rsidRDefault="006C4368" w:rsidP="006C4368">
      <w:pPr>
        <w:pStyle w:val="Footnote"/>
        <w:bidi/>
      </w:pPr>
      <w:r>
        <w:rPr>
          <w:rStyle w:val="ac"/>
          <w:rtl/>
        </w:rPr>
        <w:footnoteRef/>
      </w:r>
      <w:r>
        <w:rPr>
          <w:rtl/>
        </w:rPr>
        <w:t>אך לצד של הקובה"ע דגדר יש כח ביד חכמים בשב ואל תעשה, דאסרו לקיים מצווה זו. א"כ התם נמי הוה גדר דומה.</w:t>
      </w:r>
    </w:p>
    <w:p w14:paraId="382225D0" w14:textId="77777777" w:rsidR="006C4368" w:rsidRDefault="006C4368" w:rsidP="006C4368">
      <w:pPr>
        <w:pStyle w:val="Footnote"/>
        <w:bidi/>
      </w:pPr>
      <w:r>
        <w:rPr>
          <w:rtl/>
        </w:rPr>
        <w:tab/>
        <w:t>וה</w:t>
      </w:r>
      <w:r>
        <w:rPr>
          <w:b/>
          <w:bCs/>
          <w:rtl/>
        </w:rPr>
        <w:t>קובה"ע</w:t>
      </w:r>
      <w:r>
        <w:rPr>
          <w:rtl/>
        </w:rPr>
        <w:t xml:space="preserve"> (שם טו) כת' דאף דהוא אינו עובר כיון דהוה אונס בעשיית התנאי, מ"מ אין לחכמים לעשותו אונס ועי"ז לבטל דין התורה.</w:t>
      </w:r>
    </w:p>
  </w:footnote>
  <w:footnote w:id="5687">
    <w:p w14:paraId="111178CD" w14:textId="77777777" w:rsidR="006C4368" w:rsidRDefault="006C4368" w:rsidP="006C4368">
      <w:pPr>
        <w:pStyle w:val="Footnote"/>
        <w:bidi/>
      </w:pPr>
      <w:r>
        <w:rPr>
          <w:rStyle w:val="ac"/>
          <w:rtl/>
        </w:rPr>
        <w:footnoteRef/>
      </w:r>
      <w:r>
        <w:rPr>
          <w:rtl/>
        </w:rPr>
        <w:t>וכדאי' ב</w:t>
      </w:r>
      <w:r>
        <w:rPr>
          <w:b/>
          <w:bCs/>
          <w:rtl/>
        </w:rPr>
        <w:t>תוספתא</w:t>
      </w:r>
      <w:r>
        <w:rPr>
          <w:rtl/>
        </w:rPr>
        <w:t xml:space="preserve"> (מנחות ה, והו' ביצה כ:, נזיר כח:, מנחות מח) דבשבת לא יזרוק את הדם. {ויל"פ דנקט כבשי עצרת, דהוה שלמי ציבור ונאכלים לכהנים. אבל שאר קרבנות ציבור [הקרבים בשבת] הוה עולה [שאינה נאכלת] או חטאת [דפסול שלא לשמן]. ועי"ל דבכבשי עצרת הוה ברייתא להדיא}.</w:t>
      </w:r>
    </w:p>
  </w:footnote>
  <w:footnote w:id="5688">
    <w:p w14:paraId="66541AF3" w14:textId="77777777" w:rsidR="006C4368" w:rsidRDefault="006C4368" w:rsidP="006C4368">
      <w:pPr>
        <w:pStyle w:val="Footnote"/>
        <w:bidi/>
      </w:pPr>
      <w:r>
        <w:rPr>
          <w:rStyle w:val="ac"/>
          <w:rtl/>
        </w:rPr>
        <w:footnoteRef/>
      </w:r>
      <w:r>
        <w:rPr>
          <w:rtl/>
        </w:rPr>
        <w:t>וקצת יש להעיר דעכשיו מוטל עליו רק מצוות זריקה, דמצוות הקרבה ואכילת בשר לא שייך כלל קודם זריקה.</w:t>
      </w:r>
    </w:p>
  </w:footnote>
  <w:footnote w:id="5689">
    <w:p w14:paraId="439ACB3F" w14:textId="77777777" w:rsidR="006C4368" w:rsidRDefault="006C4368" w:rsidP="006C4368">
      <w:pPr>
        <w:pStyle w:val="Footnote"/>
        <w:bidi/>
      </w:pPr>
      <w:r>
        <w:rPr>
          <w:rStyle w:val="ac"/>
          <w:rtl/>
        </w:rPr>
        <w:footnoteRef/>
      </w:r>
      <w:r>
        <w:rPr>
          <w:rtl/>
        </w:rPr>
        <w:t>ובגמ' (שם מ.) יש כמה מ"ד בטעם הגזירה, ורש"י הביא המסקנא.</w:t>
      </w:r>
    </w:p>
  </w:footnote>
  <w:footnote w:id="5690">
    <w:p w14:paraId="24740A1A" w14:textId="77777777" w:rsidR="006C4368" w:rsidRDefault="006C4368" w:rsidP="006C4368">
      <w:pPr>
        <w:pStyle w:val="Footnote"/>
        <w:bidi/>
      </w:pPr>
      <w:r>
        <w:rPr>
          <w:rStyle w:val="ac"/>
          <w:rtl/>
        </w:rPr>
        <w:footnoteRef/>
      </w:r>
      <w:r>
        <w:rPr>
          <w:rtl/>
        </w:rPr>
        <w:t>יל"ד אי כל הנידון משום הברכה, אבל אילו מברך על בגד אחר מותר לכתחילה. או דמשום הך גזירה יש איסור דרבנן לקיים המצווה בפשתן. וכ"מ מדברי ה</w:t>
      </w:r>
      <w:r>
        <w:rPr>
          <w:b/>
          <w:bCs/>
          <w:rtl/>
        </w:rPr>
        <w:t>משנ"ב</w:t>
      </w:r>
      <w:r>
        <w:rPr>
          <w:rtl/>
        </w:rPr>
        <w:t xml:space="preserve"> (ט יט) דאיירי אף כשמברך על טלית. ואפ"ה דוקא כשאין לו בגד צמר יסמוך על המתירין. ולדעת ר"ת אינו רשאי ללבוש בגד זה. [וע"ע בסמוך בגדר עקירת דבר מה"ת].</w:t>
      </w:r>
    </w:p>
  </w:footnote>
  <w:footnote w:id="5691">
    <w:p w14:paraId="12B45599" w14:textId="77777777" w:rsidR="006C4368" w:rsidRDefault="006C4368" w:rsidP="006C4368">
      <w:pPr>
        <w:pStyle w:val="Footnote"/>
        <w:bidi/>
      </w:pPr>
      <w:r>
        <w:rPr>
          <w:rStyle w:val="ac"/>
          <w:rtl/>
        </w:rPr>
        <w:footnoteRef/>
      </w:r>
      <w:r>
        <w:rPr>
          <w:rtl/>
        </w:rPr>
        <w:t>וכ"כ ה</w:t>
      </w:r>
      <w:r>
        <w:rPr>
          <w:b/>
          <w:bCs/>
          <w:rtl/>
        </w:rPr>
        <w:t>עיטור</w:t>
      </w:r>
      <w:r>
        <w:rPr>
          <w:rtl/>
        </w:rPr>
        <w:t xml:space="preserve"> (ציצית עב. בדה"ס, והו' ברא"ש ציצית ובב"י ט) דעובר משום לא תשא. אבל לדעת רש"י והרי"ף מברך על מצוות לבן.</w:t>
      </w:r>
    </w:p>
    <w:p w14:paraId="2B44935E" w14:textId="77777777" w:rsidR="006C4368" w:rsidRDefault="006C4368" w:rsidP="006C4368">
      <w:pPr>
        <w:pStyle w:val="Footnote"/>
        <w:bidi/>
      </w:pPr>
      <w:r>
        <w:rPr>
          <w:rtl/>
        </w:rPr>
        <w:tab/>
        <w:t>וב</w:t>
      </w:r>
      <w:r>
        <w:rPr>
          <w:b/>
          <w:bCs/>
          <w:rtl/>
        </w:rPr>
        <w:t>שו"ת הרא"ש</w:t>
      </w:r>
      <w:r>
        <w:rPr>
          <w:rtl/>
        </w:rPr>
        <w:t xml:space="preserve"> (ב ח) הביא דבאשכנז וצרפת נהגו כר"ת שלא לעשות טלית של פשתן, אך כשהגיע לארץ הזאת [ספרד] ראה שנהגו בפשתן וחוטי פשתן, ע"פ דעת הרי"ף. וכת' שדקדק שלא לאסור עליהם טלית של פשתן, דבזה"ז שאין לנו תכלת ל"ש הך גזירה, ומש"ה התיר להם. וחידש דאף דאמרי' בעלמא דצריך מנין אחר להתיר הגזירה, הכא ליכא תקנה אלא גזירה, וידוע הטעם [וצ"ב, ע' מג"א (ט ז)].</w:t>
      </w:r>
    </w:p>
  </w:footnote>
  <w:footnote w:id="5692">
    <w:p w14:paraId="00D64D40" w14:textId="77777777" w:rsidR="006C4368" w:rsidRDefault="006C4368" w:rsidP="006C4368">
      <w:pPr>
        <w:pStyle w:val="Footnote"/>
        <w:bidi/>
      </w:pPr>
      <w:r>
        <w:rPr>
          <w:rStyle w:val="ac"/>
          <w:rtl/>
        </w:rPr>
        <w:footnoteRef/>
      </w:r>
      <w:r>
        <w:rPr>
          <w:rtl/>
        </w:rPr>
        <w:t>וע' בסמוך בשם הגר"ח, ודברי רע"א והאחרונים.</w:t>
      </w:r>
    </w:p>
  </w:footnote>
  <w:footnote w:id="5693">
    <w:p w14:paraId="385E4A65" w14:textId="77777777" w:rsidR="006C4368" w:rsidRDefault="006C4368" w:rsidP="006C4368">
      <w:pPr>
        <w:pStyle w:val="Footnote"/>
        <w:bidi/>
      </w:pPr>
      <w:r>
        <w:rPr>
          <w:rStyle w:val="ac"/>
          <w:rtl/>
        </w:rPr>
        <w:footnoteRef/>
      </w:r>
      <w:r>
        <w:rPr>
          <w:rtl/>
        </w:rPr>
        <w:t>היה לפניו ס' האשכול מהד' נחל אשכול [ויש שם אריכות עמ' 98-101 שאינו ברור כל כך].</w:t>
      </w:r>
    </w:p>
    <w:p w14:paraId="1458DCBC" w14:textId="77777777" w:rsidR="006C4368" w:rsidRDefault="006C4368" w:rsidP="006C4368">
      <w:pPr>
        <w:pStyle w:val="Footnote"/>
        <w:bidi/>
      </w:pPr>
      <w:r>
        <w:rPr>
          <w:rtl/>
        </w:rPr>
        <w:tab/>
        <w:t>וה</w:t>
      </w:r>
      <w:r>
        <w:rPr>
          <w:b/>
          <w:bCs/>
          <w:rtl/>
        </w:rPr>
        <w:t>אשכול</w:t>
      </w:r>
      <w:r>
        <w:rPr>
          <w:rtl/>
        </w:rPr>
        <w:t xml:space="preserve"> (עמ' 98 ומהד' אלבק עמ' עט.) כת' שבאיסור כלאים עומד, וכר"ל דאפשר לקיים שניהם במינו. אך יל"פ כוונתו שיש איסור כלאים דרבנן.</w:t>
      </w:r>
    </w:p>
  </w:footnote>
  <w:footnote w:id="5694">
    <w:p w14:paraId="3018E7A6" w14:textId="77777777" w:rsidR="006C4368" w:rsidRDefault="006C4368" w:rsidP="006C4368">
      <w:pPr>
        <w:pStyle w:val="Footnote"/>
        <w:bidi/>
      </w:pPr>
      <w:r>
        <w:rPr>
          <w:rStyle w:val="ac"/>
          <w:rtl/>
        </w:rPr>
        <w:footnoteRef/>
      </w:r>
      <w:r>
        <w:rPr>
          <w:rtl/>
        </w:rPr>
        <w:t>ולכאורה כוונתו דה</w:t>
      </w:r>
      <w:r>
        <w:rPr>
          <w:b/>
          <w:bCs/>
          <w:rtl/>
        </w:rPr>
        <w:t>אשכול</w:t>
      </w:r>
      <w:r>
        <w:rPr>
          <w:rtl/>
        </w:rPr>
        <w:t xml:space="preserve"> (בסו"ד עמ' 101, ובלשון דומה במהד' אלבק עמ' פה. ד"ה והדרינן) הביא ד</w:t>
      </w:r>
      <w:r>
        <w:rPr>
          <w:b/>
          <w:bCs/>
          <w:rtl/>
        </w:rPr>
        <w:t>י"ג</w:t>
      </w:r>
      <w:r>
        <w:rPr>
          <w:rtl/>
        </w:rPr>
        <w:t xml:space="preserve"> (במנחות שם) דסדין בציצית ביום פטור ובלילה חייב. והביא דה</w:t>
      </w:r>
      <w:r>
        <w:rPr>
          <w:b/>
          <w:bCs/>
          <w:rtl/>
        </w:rPr>
        <w:t>רב</w:t>
      </w:r>
      <w:r>
        <w:rPr>
          <w:rtl/>
        </w:rPr>
        <w:t xml:space="preserve"> (הר"י אלברגלוני, שהו' לעיל) תמה דלמ"ד דקי"ל כבי"ש, א"כ אף ביום חייב [ולוקה משום כלאים]. וה</w:t>
      </w:r>
      <w:r>
        <w:rPr>
          <w:b/>
          <w:bCs/>
          <w:rtl/>
        </w:rPr>
        <w:t>אשכול</w:t>
      </w:r>
      <w:r>
        <w:rPr>
          <w:rtl/>
        </w:rPr>
        <w:t xml:space="preserve"> חלק דבחוטי תכלת בשל פשתן אתי עשה ודחי לא תעשה. ואף שבי"ש פוטרין משום גזירה, מ"מ מן התורה יש מצוה אלא שחכמים פטרו אותו וכו' דמה"ת לא עבר אכלאים ומצווה עביד, אלא דחכמים אסרוה משום כלאים ובשב ואל תעשה יכולין לעקור דבר מה"ת. והעובר על דבריהם פטור ממלקות דאורייתא. ובלילה אינו מקיים מצוות ציצית, ולוקה.</w:t>
      </w:r>
    </w:p>
    <w:p w14:paraId="467B8C7E" w14:textId="77777777" w:rsidR="006C4368" w:rsidRDefault="006C4368" w:rsidP="006C4368">
      <w:pPr>
        <w:pStyle w:val="Footnote"/>
        <w:bidi/>
      </w:pPr>
      <w:r>
        <w:rPr>
          <w:rtl/>
        </w:rPr>
        <w:tab/>
        <w:t>והקובה"ע נקט דדעת 'הרב' דלבי"ש עקרו את המצווה, ולוקה. [אך אפשר לדחות כוונתו באופ"א].</w:t>
      </w:r>
    </w:p>
  </w:footnote>
  <w:footnote w:id="5695">
    <w:p w14:paraId="0CC998AA" w14:textId="77777777" w:rsidR="006C4368" w:rsidRDefault="006C4368" w:rsidP="006C4368">
      <w:pPr>
        <w:pStyle w:val="Footnote"/>
        <w:bidi/>
      </w:pPr>
      <w:r>
        <w:rPr>
          <w:rStyle w:val="ac"/>
          <w:rtl/>
        </w:rPr>
        <w:footnoteRef/>
      </w:r>
      <w:r>
        <w:rPr>
          <w:rtl/>
        </w:rPr>
        <w:t xml:space="preserve">ועיל"פ ע"פ דברי </w:t>
      </w:r>
      <w:r>
        <w:rPr>
          <w:b/>
          <w:bCs/>
          <w:rtl/>
        </w:rPr>
        <w:t>רע"א</w:t>
      </w:r>
      <w:r>
        <w:rPr>
          <w:rtl/>
        </w:rPr>
        <w:t xml:space="preserve"> (בשו"ע יא למג"א יג) דמדרבנן אסור ללבוש בגד בלא ציצית, ועי"ז אין כאן עדל"ת כלל [דאסור לו ללבוש].</w:t>
      </w:r>
    </w:p>
  </w:footnote>
  <w:footnote w:id="5696">
    <w:p w14:paraId="2CF271E6" w14:textId="77777777" w:rsidR="006C4368" w:rsidRDefault="006C4368" w:rsidP="006C4368">
      <w:pPr>
        <w:pStyle w:val="Footnote"/>
        <w:bidi/>
      </w:pPr>
      <w:r>
        <w:rPr>
          <w:rStyle w:val="ac"/>
          <w:rtl/>
        </w:rPr>
        <w:footnoteRef/>
      </w:r>
      <w:r>
        <w:rPr>
          <w:rtl/>
        </w:rPr>
        <w:t>אך העירו דגבי יבום חייבי לאוין מבואר (לעיל כ:) דאף דגזרו שחולצות [משום גזירה אטו ביאה שניה], אפ"ה אם בעלו קנו. [ולא אמרי' דעקרו את המצווה, והוה חייב לאוין]. וצ"ע מ"ש.</w:t>
      </w:r>
    </w:p>
  </w:footnote>
  <w:footnote w:id="5697">
    <w:p w14:paraId="6C084A9C" w14:textId="77777777" w:rsidR="006C4368" w:rsidRDefault="006C4368" w:rsidP="006C4368">
      <w:pPr>
        <w:pStyle w:val="Footnote"/>
        <w:bidi/>
      </w:pPr>
      <w:r>
        <w:rPr>
          <w:rStyle w:val="ac"/>
          <w:rtl/>
        </w:rPr>
        <w:footnoteRef/>
      </w:r>
      <w:r>
        <w:rPr>
          <w:rtl/>
        </w:rPr>
        <w:t>והגר"ח לא ניחא ליה סברא זו דעקרו את גוף המצווה. אלא דעקרו דאינו 'מחוייב' בפועל.</w:t>
      </w:r>
    </w:p>
  </w:footnote>
  <w:footnote w:id="5698">
    <w:p w14:paraId="15233C82" w14:textId="77777777" w:rsidR="006C4368" w:rsidRDefault="006C4368" w:rsidP="006C4368">
      <w:pPr>
        <w:pStyle w:val="Footnote"/>
        <w:bidi/>
      </w:pPr>
      <w:r>
        <w:rPr>
          <w:rStyle w:val="ac"/>
          <w:rtl/>
        </w:rPr>
        <w:footnoteRef/>
      </w:r>
      <w:r>
        <w:rPr>
          <w:rtl/>
        </w:rPr>
        <w:t>וה</w:t>
      </w:r>
      <w:r>
        <w:rPr>
          <w:b/>
          <w:bCs/>
          <w:rtl/>
        </w:rPr>
        <w:t>קובה"ע</w:t>
      </w:r>
      <w:r>
        <w:rPr>
          <w:rtl/>
        </w:rPr>
        <w:t xml:space="preserve"> דן לפ"ז ספק עשה לא ידחה ל"ת בתורת ודאי [ולוקה]. [ויל"ד בזה].</w:t>
      </w:r>
    </w:p>
  </w:footnote>
  <w:footnote w:id="5699">
    <w:p w14:paraId="03D50832" w14:textId="77777777" w:rsidR="006C4368" w:rsidRDefault="006C4368" w:rsidP="006C4368">
      <w:pPr>
        <w:pStyle w:val="Footnote"/>
        <w:bidi/>
      </w:pPr>
      <w:r>
        <w:rPr>
          <w:rStyle w:val="ac"/>
          <w:rtl/>
        </w:rPr>
        <w:footnoteRef/>
      </w:r>
      <w:r>
        <w:rPr>
          <w:rtl/>
        </w:rPr>
        <w:t>והביא דנח' הראשונים עד"ז, ד</w:t>
      </w:r>
      <w:r>
        <w:rPr>
          <w:b/>
          <w:bCs/>
          <w:rtl/>
        </w:rPr>
        <w:t>תוס'</w:t>
      </w:r>
      <w:r>
        <w:rPr>
          <w:rtl/>
        </w:rPr>
        <w:t xml:space="preserve"> (פסחים מז: ד"ה כתישה) הביאו בשם </w:t>
      </w:r>
      <w:r>
        <w:rPr>
          <w:b/>
          <w:bCs/>
          <w:rtl/>
        </w:rPr>
        <w:t>ר"ת</w:t>
      </w:r>
      <w:r>
        <w:rPr>
          <w:rtl/>
        </w:rPr>
        <w:t xml:space="preserve"> דאף לצד דעשה דכסוי הדם דוחה ל"ת דכלאים, מ"מ היכא דחרש בכלאים ביו"ט [דהאיסור יו"ט לא נדחה ע"י העשה], עי"ז יתחייב גם משום כלאים. דבפועל אסור לו חרישה זו, ולא אמרי' עדל"ת. אבל דעת </w:t>
      </w:r>
      <w:r>
        <w:rPr>
          <w:b/>
          <w:bCs/>
          <w:rtl/>
        </w:rPr>
        <w:t>ריב"א</w:t>
      </w:r>
      <w:r>
        <w:rPr>
          <w:rtl/>
        </w:rPr>
        <w:t xml:space="preserve"> (בתוס' חולין קמא.) דעשה במקום ל"ת ועשה, אף שאסור לו לקיים העשה [דאינו דוחה ל"ת ועשה], מ"מ אינו לוקה. דאמרי' עדל"ת אף במצווה שינו רשאי לקיים. ומ"מ יש בכחה לדחות לל"ת. [ויש דנו דכוונת ריב"א דאינו לוקה משום דל"ד ללאו דחסימה. ולעולם עובר באיסור לאו].</w:t>
      </w:r>
    </w:p>
  </w:footnote>
  <w:footnote w:id="5700">
    <w:p w14:paraId="1EA805C9" w14:textId="77777777" w:rsidR="006C4368" w:rsidRDefault="006C4368" w:rsidP="006C4368">
      <w:pPr>
        <w:pStyle w:val="Footnote"/>
        <w:bidi/>
      </w:pPr>
      <w:r>
        <w:rPr>
          <w:rStyle w:val="ac"/>
          <w:rtl/>
        </w:rPr>
        <w:footnoteRef/>
      </w:r>
      <w:r>
        <w:rPr>
          <w:rtl/>
        </w:rPr>
        <w:t>וה</w:t>
      </w:r>
      <w:r>
        <w:rPr>
          <w:b/>
          <w:bCs/>
          <w:rtl/>
        </w:rPr>
        <w:t>ראשונים</w:t>
      </w:r>
      <w:r>
        <w:rPr>
          <w:rtl/>
        </w:rPr>
        <w:t xml:space="preserve"> (שם ושם) דנו אמאי נקט ד' אמות ברה"ר, והול"ל איסור הוצאה מרה"י לרה"ר. [ואכמ"ל].</w:t>
      </w:r>
    </w:p>
  </w:footnote>
  <w:footnote w:id="5701">
    <w:p w14:paraId="2EF2BC86" w14:textId="77777777" w:rsidR="006C4368" w:rsidRDefault="006C4368" w:rsidP="006C4368">
      <w:pPr>
        <w:pStyle w:val="Footnote"/>
        <w:bidi/>
      </w:pPr>
      <w:r>
        <w:rPr>
          <w:rStyle w:val="ac"/>
          <w:rtl/>
        </w:rPr>
        <w:footnoteRef/>
      </w:r>
      <w:r>
        <w:rPr>
          <w:rtl/>
        </w:rPr>
        <w:t>וכת' דמש"ה שייך בזה חינוך לקטנים. [וה</w:t>
      </w:r>
      <w:r>
        <w:rPr>
          <w:b/>
          <w:bCs/>
          <w:rtl/>
        </w:rPr>
        <w:t>אחרונים</w:t>
      </w:r>
      <w:r>
        <w:rPr>
          <w:rtl/>
        </w:rPr>
        <w:t xml:space="preserve"> דנו דמ"מ י"ל דאינו מברך, דסוף סוף חכמים בטלו מעליו צווי זה. וע"ע בסמוך].</w:t>
      </w:r>
    </w:p>
  </w:footnote>
  <w:footnote w:id="5702">
    <w:p w14:paraId="3137259D" w14:textId="77777777" w:rsidR="006C4368" w:rsidRDefault="006C4368" w:rsidP="006C4368">
      <w:pPr>
        <w:pStyle w:val="Footnote"/>
        <w:bidi/>
      </w:pPr>
      <w:r>
        <w:rPr>
          <w:rStyle w:val="ac"/>
          <w:rtl/>
        </w:rPr>
        <w:footnoteRef/>
      </w:r>
      <w:r>
        <w:rPr>
          <w:rtl/>
        </w:rPr>
        <w:t>ויש שדנו דא"כ נימא דצריך לתקוע בבין השמשות, דהא לא גזרו שבות בבין השמשות. ומצד מצוות שופר, מי שלא תקע ביום מחוייב בביה"ש, שמא עדיין אפשר לקיים. [אך ודאי עיקר כוונתם בתקנה שלא יעשה כן. וצ"ע. ואכמ"ל].</w:t>
      </w:r>
    </w:p>
  </w:footnote>
  <w:footnote w:id="5703">
    <w:p w14:paraId="2BAAD612" w14:textId="77777777" w:rsidR="006C4368" w:rsidRDefault="006C4368" w:rsidP="006C4368">
      <w:pPr>
        <w:pStyle w:val="Footnote"/>
        <w:bidi/>
      </w:pPr>
      <w:r>
        <w:rPr>
          <w:rStyle w:val="ac"/>
          <w:rtl/>
        </w:rPr>
        <w:footnoteRef/>
      </w:r>
      <w:r>
        <w:rPr>
          <w:rtl/>
        </w:rPr>
        <w:t>[אך לפ"ז היכא דהוה ספק האם פסול, ספק פסול דרבנן לקולא. וממילא יצא יד"ח מדאורייתא בתורת ודאי].</w:t>
      </w:r>
    </w:p>
  </w:footnote>
  <w:footnote w:id="5704">
    <w:p w14:paraId="53E348CE" w14:textId="77777777" w:rsidR="006C4368" w:rsidRDefault="006C4368" w:rsidP="006C4368">
      <w:pPr>
        <w:pStyle w:val="Footnote"/>
        <w:bidi/>
      </w:pPr>
      <w:r>
        <w:rPr>
          <w:rStyle w:val="ac"/>
          <w:rtl/>
        </w:rPr>
        <w:footnoteRef/>
      </w:r>
      <w:r>
        <w:rPr>
          <w:rtl/>
        </w:rPr>
        <w:t>ויש שדחו דהתם נמי הוה גדר 'פסול', שקבעו דקר"ש לאחר חצות פסול. [ועדיין מחוייב במצוה, אלא דאי אפשר לקיימו].</w:t>
      </w:r>
    </w:p>
  </w:footnote>
  <w:footnote w:id="5705">
    <w:p w14:paraId="516CDFA0" w14:textId="77777777" w:rsidR="006C4368" w:rsidRDefault="006C4368" w:rsidP="006C4368">
      <w:pPr>
        <w:pStyle w:val="Footnote"/>
        <w:bidi/>
      </w:pPr>
      <w:r>
        <w:rPr>
          <w:rStyle w:val="ac"/>
          <w:rtl/>
        </w:rPr>
        <w:footnoteRef/>
      </w:r>
      <w:r>
        <w:rPr>
          <w:rtl/>
        </w:rPr>
        <w:t>דתקנו דלא ידחה ל"ת גזירה ביאה ראשונה אטו ביאה שניה.</w:t>
      </w:r>
    </w:p>
  </w:footnote>
  <w:footnote w:id="5706">
    <w:p w14:paraId="58CBE054" w14:textId="77777777" w:rsidR="006C4368" w:rsidRDefault="006C4368" w:rsidP="006C4368">
      <w:pPr>
        <w:pStyle w:val="Footnote"/>
        <w:bidi/>
      </w:pPr>
      <w:r>
        <w:rPr>
          <w:rStyle w:val="ac"/>
          <w:rtl/>
        </w:rPr>
        <w:footnoteRef/>
      </w:r>
      <w:r>
        <w:rPr>
          <w:rtl/>
        </w:rPr>
        <w:t>וה</w:t>
      </w:r>
      <w:r>
        <w:rPr>
          <w:b/>
          <w:bCs/>
          <w:rtl/>
        </w:rPr>
        <w:t>ב"י</w:t>
      </w:r>
      <w:r>
        <w:rPr>
          <w:rtl/>
        </w:rPr>
        <w:t xml:space="preserve"> (או"ח קצא) חלק דאי"צ לזה, דאף דעיקר ברכה"מ דאורייתא, מנין הברכות לא הוה מדאורייתא. וכדמשמע מדברי הרמב"ם.</w:t>
      </w:r>
    </w:p>
  </w:footnote>
  <w:footnote w:id="5707">
    <w:p w14:paraId="2069E33D" w14:textId="77777777" w:rsidR="006C4368" w:rsidRDefault="006C4368" w:rsidP="006C4368">
      <w:pPr>
        <w:pStyle w:val="Footnote"/>
        <w:bidi/>
      </w:pPr>
      <w:r>
        <w:rPr>
          <w:rStyle w:val="ac"/>
          <w:rtl/>
        </w:rPr>
        <w:footnoteRef/>
      </w:r>
      <w:r>
        <w:rPr>
          <w:rtl/>
        </w:rPr>
        <w:t>וה</w:t>
      </w:r>
      <w:r>
        <w:rPr>
          <w:b/>
          <w:bCs/>
          <w:rtl/>
        </w:rPr>
        <w:t>פנ"י</w:t>
      </w:r>
      <w:r>
        <w:rPr>
          <w:rtl/>
        </w:rPr>
        <w:t xml:space="preserve"> (ברכות שם) הק' דלא מסתבר דמשום הפסד ממון יעקרו דבר מהתורה. ודוקא משום חשש איסור [וסייג] מצאנו דעקרו דבר מה"ת.</w:t>
      </w:r>
    </w:p>
  </w:footnote>
  <w:footnote w:id="5708">
    <w:p w14:paraId="193F6425" w14:textId="77777777" w:rsidR="006C4368" w:rsidRDefault="006C4368" w:rsidP="006C4368">
      <w:pPr>
        <w:pStyle w:val="Footnote"/>
        <w:bidi/>
      </w:pPr>
      <w:r>
        <w:rPr>
          <w:rStyle w:val="ac"/>
          <w:rtl/>
        </w:rPr>
        <w:footnoteRef/>
      </w:r>
      <w:r>
        <w:rPr>
          <w:rtl/>
        </w:rPr>
        <w:t>ו</w:t>
      </w:r>
      <w:r>
        <w:rPr>
          <w:b/>
          <w:bCs/>
          <w:rtl/>
        </w:rPr>
        <w:t>רע"א</w:t>
      </w:r>
      <w:r>
        <w:rPr>
          <w:rtl/>
        </w:rPr>
        <w:t xml:space="preserve"> בגהש"ס (בע"א) ציין לדברי התוס'. ואפשר דכוונתו להק' דהתם משקה את הסוטה שלא ע"פ דיני התורה, א"כ יחשב קום ועשה. ואפ"ה כיון דעקרו פרט זה מהמצווה הוה שב ואל תעשה.</w:t>
      </w:r>
    </w:p>
  </w:footnote>
  <w:footnote w:id="5709">
    <w:p w14:paraId="2FF18FC5" w14:textId="77777777" w:rsidR="006C4368" w:rsidRDefault="006C4368" w:rsidP="006C4368">
      <w:pPr>
        <w:pStyle w:val="Footnote"/>
        <w:bidi/>
      </w:pPr>
      <w:r>
        <w:rPr>
          <w:rStyle w:val="ac"/>
          <w:rtl/>
        </w:rPr>
        <w:footnoteRef/>
      </w:r>
      <w:r>
        <w:rPr>
          <w:rtl/>
        </w:rPr>
        <w:t>דיש כח ביד חכמים שיעבור על דין תורה בלא מעשה. ואין כח היכא שעושה מעשה בקום ועשה נגד דין התורה.</w:t>
      </w:r>
    </w:p>
  </w:footnote>
  <w:footnote w:id="5710">
    <w:p w14:paraId="61255879" w14:textId="77777777" w:rsidR="006C4368" w:rsidRDefault="006C4368" w:rsidP="006C4368">
      <w:pPr>
        <w:pStyle w:val="Footnote"/>
        <w:bidi/>
      </w:pPr>
      <w:r>
        <w:rPr>
          <w:rStyle w:val="ac"/>
          <w:rtl/>
        </w:rPr>
        <w:footnoteRef/>
      </w:r>
      <w:r>
        <w:rPr>
          <w:rtl/>
        </w:rPr>
        <w:t>וביאר דכל כה"ג מעשה הראשון הגורם לחיוב ציווי של תורה אינה העבירה, אלא חסרון הציווי של תורה היא העבירה, שחיסר מצוה של תורה. והוה שב ואל תעשה, לפיכך אין לוקין עליו.</w:t>
      </w:r>
    </w:p>
  </w:footnote>
  <w:footnote w:id="5711">
    <w:p w14:paraId="70C006FA" w14:textId="77777777" w:rsidR="006C4368" w:rsidRDefault="006C4368" w:rsidP="006C4368">
      <w:pPr>
        <w:pStyle w:val="Footnote"/>
        <w:bidi/>
      </w:pPr>
      <w:r>
        <w:rPr>
          <w:rStyle w:val="ac"/>
          <w:rtl/>
        </w:rPr>
        <w:footnoteRef/>
      </w:r>
      <w:r>
        <w:rPr>
          <w:rtl/>
        </w:rPr>
        <w:t>אך לכאורה יש לדחות דהתם נמי ביטול המצווה אינה ברגע שנכנס לעזרה, אלא במה שיושב בעזרה ואינו מקריב. {ואילו יכנס בלא קרבן, ואח"כ חבירו יביא לו קרבן לכאורה לא עבר. ודוחק לומר דהלאו על שעת יציאה מהעזרה}.</w:t>
      </w:r>
    </w:p>
    <w:p w14:paraId="11D889AD" w14:textId="77777777" w:rsidR="006C4368" w:rsidRDefault="006C4368" w:rsidP="006C4368">
      <w:pPr>
        <w:pStyle w:val="Footnote"/>
        <w:bidi/>
      </w:pPr>
      <w:r>
        <w:rPr>
          <w:rtl/>
        </w:rPr>
        <w:tab/>
        <w:t>וב</w:t>
      </w:r>
      <w:r>
        <w:rPr>
          <w:b/>
          <w:bCs/>
          <w:rtl/>
        </w:rPr>
        <w:t>ס' ארצות החיים</w:t>
      </w:r>
      <w:r>
        <w:rPr>
          <w:rtl/>
        </w:rPr>
        <w:t xml:space="preserve"> (ח ב בסופו, הו' בקובה"ע) תי' דסברת הרמב"ם משום דחגיגה יש לה תשלומין כל שבעה, וכשנכנס לעזרה לא עשה שום עבירה [במה שנכנס בלא קרבן], דהא יש לו תשלומין. והעבירה הוה במה שעברו ימי החג, ואין בו מעשה.</w:t>
      </w:r>
    </w:p>
  </w:footnote>
  <w:footnote w:id="5712">
    <w:p w14:paraId="3B267835" w14:textId="77777777" w:rsidR="006C4368" w:rsidRDefault="006C4368" w:rsidP="006C4368">
      <w:pPr>
        <w:pStyle w:val="Footnote"/>
        <w:bidi/>
      </w:pPr>
      <w:r>
        <w:rPr>
          <w:rStyle w:val="ac"/>
          <w:rtl/>
        </w:rPr>
        <w:footnoteRef/>
      </w:r>
      <w:r>
        <w:rPr>
          <w:rtl/>
        </w:rPr>
        <w:t>[כדמוכח בגמ' שבת לז:]. ובפשוטו מבואר דמותר לכתחילה ללובשו, וכ"כ ה</w:t>
      </w:r>
      <w:r>
        <w:rPr>
          <w:b/>
          <w:bCs/>
          <w:rtl/>
        </w:rPr>
        <w:t>תוס' רא"ש</w:t>
      </w:r>
      <w:r>
        <w:rPr>
          <w:rtl/>
        </w:rPr>
        <w:t xml:space="preserve"> דאפי' לכתחילה יכול להתעטף. אבל ה</w:t>
      </w:r>
      <w:r>
        <w:rPr>
          <w:b/>
          <w:bCs/>
          <w:rtl/>
        </w:rPr>
        <w:t>שיטמ"ק</w:t>
      </w:r>
      <w:r>
        <w:rPr>
          <w:rtl/>
        </w:rPr>
        <w:t xml:space="preserve"> (עה"ג מנחות לז: ה) כת' דבמקום כבוד הבריות מותר ללובשו. וכ"כ ה</w:t>
      </w:r>
      <w:r>
        <w:rPr>
          <w:b/>
          <w:bCs/>
          <w:rtl/>
        </w:rPr>
        <w:t>מג"א</w:t>
      </w:r>
      <w:r>
        <w:rPr>
          <w:rtl/>
        </w:rPr>
        <w:t xml:space="preserve"> (יג ח) על דברי המרדכי דפשוט דעכ"פ יש בזה איסור מדרבנן [וכתב דלא כלבוש]. ועי"ש בפוסקים.</w:t>
      </w:r>
    </w:p>
  </w:footnote>
  <w:footnote w:id="5713">
    <w:p w14:paraId="4DDE523C" w14:textId="77777777" w:rsidR="006C4368" w:rsidRDefault="006C4368" w:rsidP="006C4368">
      <w:pPr>
        <w:pStyle w:val="Footnote"/>
        <w:bidi/>
      </w:pPr>
      <w:r>
        <w:rPr>
          <w:rStyle w:val="ac"/>
          <w:rtl/>
        </w:rPr>
        <w:footnoteRef/>
      </w:r>
      <w:r>
        <w:rPr>
          <w:rtl/>
        </w:rPr>
        <w:t>ו</w:t>
      </w:r>
      <w:r>
        <w:rPr>
          <w:b/>
          <w:bCs/>
          <w:rtl/>
        </w:rPr>
        <w:t>ר"י</w:t>
      </w:r>
      <w:r>
        <w:rPr>
          <w:rtl/>
        </w:rPr>
        <w:t xml:space="preserve"> חלק על ה</w:t>
      </w:r>
      <w:r>
        <w:rPr>
          <w:b/>
          <w:bCs/>
          <w:rtl/>
        </w:rPr>
        <w:t>ר' שלמה מדרוש</w:t>
      </w:r>
      <w:r>
        <w:rPr>
          <w:rtl/>
        </w:rPr>
        <w:t xml:space="preserve"> דאסור ללובשו בשבת, דעובר בעשה כיון שיש לו ד' כנפות בלא ציצית.</w:t>
      </w:r>
    </w:p>
  </w:footnote>
  <w:footnote w:id="5714">
    <w:p w14:paraId="65059E7D" w14:textId="77777777" w:rsidR="006C4368" w:rsidRDefault="006C4368" w:rsidP="006C4368">
      <w:pPr>
        <w:pStyle w:val="Footnote"/>
        <w:bidi/>
      </w:pPr>
      <w:r>
        <w:rPr>
          <w:rStyle w:val="ac"/>
          <w:rtl/>
        </w:rPr>
        <w:footnoteRef/>
      </w:r>
      <w:r>
        <w:rPr>
          <w:rtl/>
        </w:rPr>
        <w:t>וכתב וכן במזוזה ומעקה, ותדע דאטו אסור ליכנס בבית בלא מזוזה, אלא בעמוד ועשה קאי.</w:t>
      </w:r>
    </w:p>
  </w:footnote>
  <w:footnote w:id="5715">
    <w:p w14:paraId="239E0152" w14:textId="77777777" w:rsidR="006C4368" w:rsidRDefault="006C4368" w:rsidP="006C4368">
      <w:pPr>
        <w:pStyle w:val="Footnote"/>
        <w:bidi/>
      </w:pPr>
      <w:r>
        <w:rPr>
          <w:rStyle w:val="ac"/>
          <w:rtl/>
        </w:rPr>
        <w:footnoteRef/>
      </w:r>
      <w:r>
        <w:rPr>
          <w:rtl/>
        </w:rPr>
        <w:t>ונהי דאינה מעכבת את הלבן, מ"מ מוטל עליו מצוות התכלת, אלא דהוה אונס. והיה לנו לעגל את כנף הבגד שלא לבטל מצווה [אפי' באונס].</w:t>
      </w:r>
    </w:p>
  </w:footnote>
  <w:footnote w:id="5716">
    <w:p w14:paraId="7FA56D71" w14:textId="77777777" w:rsidR="006C4368" w:rsidRDefault="006C4368" w:rsidP="006C4368">
      <w:pPr>
        <w:pStyle w:val="Footnote"/>
        <w:bidi/>
      </w:pPr>
      <w:r>
        <w:rPr>
          <w:rStyle w:val="ac"/>
          <w:rtl/>
        </w:rPr>
        <w:footnoteRef/>
      </w:r>
      <w:r>
        <w:rPr>
          <w:rtl/>
        </w:rPr>
        <w:t>אבל לולי 'פטור אונס' הוה ביטול מצווה. ולא היה לו להכניס עצמו למקום אונס דביטול מצווה.</w:t>
      </w:r>
    </w:p>
  </w:footnote>
  <w:footnote w:id="5717">
    <w:p w14:paraId="08649345" w14:textId="77777777" w:rsidR="006C4368" w:rsidRDefault="006C4368" w:rsidP="006C4368">
      <w:pPr>
        <w:pStyle w:val="Footnote"/>
        <w:bidi/>
      </w:pPr>
      <w:r>
        <w:rPr>
          <w:rStyle w:val="ac"/>
          <w:rtl/>
        </w:rPr>
        <w:footnoteRef/>
      </w:r>
      <w:r>
        <w:rPr>
          <w:rtl/>
        </w:rPr>
        <w:t>וה</w:t>
      </w:r>
      <w:r>
        <w:rPr>
          <w:b/>
          <w:bCs/>
          <w:rtl/>
        </w:rPr>
        <w:t>קה"י</w:t>
      </w:r>
      <w:r>
        <w:rPr>
          <w:rtl/>
        </w:rPr>
        <w:t xml:space="preserve"> (ב"ב י) חילק דדוקא באופן דמצווה זו אי אפשר לקיים כלל [ולאחר השבת הוה מצווה אחרת]. אבל כיסוי הדם [כשאין לו עפר וכדו'], שאפשר לשחוט ולכסות בהמה זו לאחר זמן, אינו רשאי לשחוט עכשיו. [והביא מח' ראשונים בסברא זו, עי"ש].</w:t>
      </w:r>
    </w:p>
    <w:p w14:paraId="1572846D" w14:textId="77777777" w:rsidR="006C4368" w:rsidRDefault="006C4368" w:rsidP="006C4368">
      <w:pPr>
        <w:pStyle w:val="Footnote"/>
        <w:bidi/>
      </w:pPr>
      <w:r>
        <w:rPr>
          <w:rtl/>
        </w:rPr>
        <w:tab/>
        <w:t>וכ"מ מדברי ה</w:t>
      </w:r>
      <w:r>
        <w:rPr>
          <w:b/>
          <w:bCs/>
          <w:rtl/>
        </w:rPr>
        <w:t>שיטמ"ק</w:t>
      </w:r>
      <w:r>
        <w:rPr>
          <w:rtl/>
        </w:rPr>
        <w:t xml:space="preserve"> (מנחות הנ"ל) שכת' שבשבת שאינו בר עשייה אינו מוזהר. ודוקא בחול אמר רחמנא גדילים תעשה לך, בשעה שהוא בר עשייה. ואינו מוזהר על הלבישה, אלא מצווה על העשייה. [משמע דהטעם דמי שאינו 'בתורת' אינו מצווה].</w:t>
      </w:r>
    </w:p>
  </w:footnote>
  <w:footnote w:id="5718">
    <w:p w14:paraId="654F1293" w14:textId="77777777" w:rsidR="006C4368" w:rsidRDefault="006C4368" w:rsidP="006C4368">
      <w:pPr>
        <w:pStyle w:val="Footnote"/>
        <w:bidi/>
      </w:pPr>
      <w:r>
        <w:rPr>
          <w:rStyle w:val="ac"/>
          <w:rtl/>
        </w:rPr>
        <w:footnoteRef/>
      </w:r>
      <w:r>
        <w:rPr>
          <w:rtl/>
        </w:rPr>
        <w:t>וכ"כ השאג"א דאין שום איסור בלבישת הבגד בלי ציצית אלא שחיסר מצוה, והיכא דאין לו ל"ל בה.</w:t>
      </w:r>
    </w:p>
  </w:footnote>
  <w:footnote w:id="5719">
    <w:p w14:paraId="25888E76" w14:textId="77777777" w:rsidR="006C4368" w:rsidRDefault="006C4368" w:rsidP="006C4368">
      <w:pPr>
        <w:pStyle w:val="Footnote"/>
        <w:bidi/>
      </w:pPr>
      <w:r>
        <w:rPr>
          <w:rStyle w:val="ac"/>
          <w:rtl/>
        </w:rPr>
        <w:footnoteRef/>
      </w:r>
      <w:r>
        <w:rPr>
          <w:rtl/>
        </w:rPr>
        <w:t>ועיקר סברת המרדכי דליכא 'איסור עשה' שלא ללבוש בגד בלא ציצית. והוה רק מצוות עשה חיובי, ואם אינו יכול לקיים אי"צ לחפש 'פטור'. [וגדר ביטול מצווה הוה רק במה שיכול לקיים ואינו מקיים]. והמרדכי לא הזכיר משום 'פטור אונס'.</w:t>
      </w:r>
    </w:p>
    <w:p w14:paraId="02CDFE6B" w14:textId="77777777" w:rsidR="006C4368" w:rsidRDefault="006C4368" w:rsidP="006C4368">
      <w:pPr>
        <w:pStyle w:val="Footnote"/>
        <w:bidi/>
      </w:pPr>
      <w:r>
        <w:rPr>
          <w:rtl/>
        </w:rPr>
        <w:tab/>
        <w:t>אבל ב</w:t>
      </w:r>
      <w:r>
        <w:rPr>
          <w:b/>
          <w:bCs/>
          <w:rtl/>
        </w:rPr>
        <w:t>שיטמ"ק</w:t>
      </w:r>
      <w:r>
        <w:rPr>
          <w:rtl/>
        </w:rPr>
        <w:t xml:space="preserve"> (הנ"ל) משמע דעיקר הטעם משום פטור אונס, דאינו מצווה במצווה זו.</w:t>
      </w:r>
    </w:p>
  </w:footnote>
  <w:footnote w:id="5720">
    <w:p w14:paraId="33A5EF2B" w14:textId="77777777" w:rsidR="006C4368" w:rsidRDefault="006C4368" w:rsidP="006C4368">
      <w:pPr>
        <w:pStyle w:val="Footnote"/>
        <w:bidi/>
      </w:pPr>
      <w:r>
        <w:rPr>
          <w:rStyle w:val="ac"/>
          <w:rtl/>
        </w:rPr>
        <w:footnoteRef/>
      </w:r>
      <w:r>
        <w:rPr>
          <w:rtl/>
        </w:rPr>
        <w:t>אבל ה</w:t>
      </w:r>
      <w:r>
        <w:rPr>
          <w:b/>
          <w:bCs/>
          <w:rtl/>
        </w:rPr>
        <w:t>תוס' רא"ש</w:t>
      </w:r>
      <w:r>
        <w:rPr>
          <w:rtl/>
        </w:rPr>
        <w:t xml:space="preserve"> בסוגיין כת' כתוס' דידן, וכת' ומכאן הורה ריצב"א דאם נפסק ציצית בשבת או בי"ט יכול להתעטף בטליתו אפי' לכתחלה משום דלא מיחייב עד לאחר שנתעטף וכו' ובשבת וי"ט דאי אפשר לעשותו, ובשעת עיטוף ליכא עבירה, וגם אין עבירה שהוא מעוטף בו בלא ציצית כיון דא"א לעשותו. [ומבואר דב' הטעמים משלימים זל"ז].</w:t>
      </w:r>
    </w:p>
    <w:p w14:paraId="7FD5031C" w14:textId="77777777" w:rsidR="006C4368" w:rsidRDefault="006C4368" w:rsidP="006C4368">
      <w:pPr>
        <w:pStyle w:val="Footnote"/>
        <w:bidi/>
      </w:pPr>
      <w:r>
        <w:rPr>
          <w:rtl/>
        </w:rPr>
        <w:tab/>
        <w:t>וכתב דבחול 'אסור ללובשו בלא ציצית' כיון שהוא מחוייב לעשות ציצית כשילבשנו.</w:t>
      </w:r>
    </w:p>
  </w:footnote>
  <w:footnote w:id="5721">
    <w:p w14:paraId="29E54CBF" w14:textId="77777777" w:rsidR="006C4368" w:rsidRDefault="006C4368" w:rsidP="006C4368">
      <w:pPr>
        <w:pStyle w:val="Footnote"/>
        <w:bidi/>
      </w:pPr>
      <w:r>
        <w:rPr>
          <w:rStyle w:val="ac"/>
          <w:rtl/>
        </w:rPr>
        <w:footnoteRef/>
      </w:r>
      <w:r>
        <w:rPr>
          <w:rtl/>
        </w:rPr>
        <w:t>אך ה</w:t>
      </w:r>
      <w:r>
        <w:rPr>
          <w:b/>
          <w:bCs/>
          <w:rtl/>
        </w:rPr>
        <w:t>תורא"ש</w:t>
      </w:r>
      <w:r>
        <w:rPr>
          <w:rtl/>
        </w:rPr>
        <w:t xml:space="preserve"> הביא דברי המרדכי בשם הריצב"א. וא"כ י"ל דר"י במרדכי הוא ר' יצחק ב"ר אברהם [ריצב"א, נקרא ר"י הבחור], ואילו הר"י בתוס' הוא ר' יצחק בר שמואל [ר"י הזקן, בן אחותם של רשב"ם ור"ת].</w:t>
      </w:r>
    </w:p>
  </w:footnote>
  <w:footnote w:id="5722">
    <w:p w14:paraId="5CBE13BA" w14:textId="77777777" w:rsidR="006C4368" w:rsidRDefault="006C4368" w:rsidP="006C4368">
      <w:pPr>
        <w:pStyle w:val="Footnote"/>
        <w:bidi/>
      </w:pPr>
      <w:r>
        <w:rPr>
          <w:rStyle w:val="ac"/>
          <w:rtl/>
        </w:rPr>
        <w:footnoteRef/>
      </w:r>
      <w:r>
        <w:rPr>
          <w:rtl/>
        </w:rPr>
        <w:t>וה</w:t>
      </w:r>
      <w:r>
        <w:rPr>
          <w:b/>
          <w:bCs/>
          <w:rtl/>
        </w:rPr>
        <w:t>מגן גיבורים</w:t>
      </w:r>
      <w:r>
        <w:rPr>
          <w:rtl/>
        </w:rPr>
        <w:t xml:space="preserve"> (יג ו) תי' דאה"נ לקו' התוס' יש איסור בלבישה, ואף בשבת אסור ללבוש בגד בלא ציצית. אבל לתי' התוס' דמתחייב רק לאחר שלבש, א"כ לא עבר על איסור, אלא שחיסר מצווה. וע"ד סברת הר"י במרדכי. [וכ"מ בתורא"ש, כנ"ל].</w:t>
      </w:r>
    </w:p>
  </w:footnote>
  <w:footnote w:id="5723">
    <w:p w14:paraId="0307A655" w14:textId="77777777" w:rsidR="006C4368" w:rsidRDefault="006C4368" w:rsidP="006C4368">
      <w:pPr>
        <w:pStyle w:val="Footnote"/>
        <w:bidi/>
      </w:pPr>
      <w:r>
        <w:rPr>
          <w:rStyle w:val="ac"/>
          <w:rtl/>
        </w:rPr>
        <w:footnoteRef/>
      </w:r>
      <w:r>
        <w:rPr>
          <w:rtl/>
        </w:rPr>
        <w:t>וכה"ק ה</w:t>
      </w:r>
      <w:r>
        <w:rPr>
          <w:b/>
          <w:bCs/>
          <w:rtl/>
        </w:rPr>
        <w:t>מגן גיבורים</w:t>
      </w:r>
      <w:r>
        <w:rPr>
          <w:rtl/>
        </w:rPr>
        <w:t xml:space="preserve"> (הנ"ל), ותי' דע"ז גופיה אנו דנין אם יש לאל ידם לגזור בכה"ג דמבטל מ"ע בידים [ואולי כוונתו כקובה"ע]. ועוד תי' דל"מ גזירה דרבנן להחשב 'אי אפשר', ולא דמי לשבת דאי אפשר לקשור מדברי תורה. [וה</w:t>
      </w:r>
      <w:r>
        <w:rPr>
          <w:b/>
          <w:bCs/>
          <w:rtl/>
        </w:rPr>
        <w:t xml:space="preserve">אחרונים </w:t>
      </w:r>
      <w:r>
        <w:rPr>
          <w:rtl/>
        </w:rPr>
        <w:t>בכ"מ דנו מתי אמרי' דדבר האסור מדרבנן יחשב אינו ראוי מה"ת].</w:t>
      </w:r>
    </w:p>
  </w:footnote>
  <w:footnote w:id="5724">
    <w:p w14:paraId="5784C399" w14:textId="77777777" w:rsidR="006C4368" w:rsidRDefault="006C4368" w:rsidP="006C4368">
      <w:pPr>
        <w:pStyle w:val="Footnote"/>
        <w:bidi/>
      </w:pPr>
      <w:r>
        <w:rPr>
          <w:rStyle w:val="ac"/>
          <w:rtl/>
        </w:rPr>
        <w:footnoteRef/>
      </w:r>
      <w:r>
        <w:rPr>
          <w:rtl/>
        </w:rPr>
        <w:t>ועוה"ק א"כ אף בשבת לא ילבש את הבגד, ולא יכניס עצמו להיות אנוס. [ומ"ש דבי"ד אינם רשאים לעשותו אונס, ואילו יחיד רשאי לעשות עצמו אונס כה"ג]. {וי"ל דהוה סברא בגדר תקנ"ח דאין להם לתקן נגד דיני התורה, ומש"ה הוה סברא דוקא בבי"ד. ולא על היחיד}.</w:t>
      </w:r>
    </w:p>
    <w:p w14:paraId="1B50B1AF" w14:textId="77777777" w:rsidR="006C4368" w:rsidRDefault="006C4368" w:rsidP="006C4368">
      <w:pPr>
        <w:pStyle w:val="Footnote"/>
        <w:bidi/>
      </w:pPr>
      <w:r>
        <w:rPr>
          <w:rtl/>
        </w:rPr>
        <w:tab/>
        <w:t>והקובה"ע חילק דלגבי הבי"ד אילו לא פטרו אותו היה מקיים המצווה, ומש"ה נחשב שאונסים אותו מעצם המצווה. ואילו הלובש בגד בשבת מ"מ לא יקיים המצווה.</w:t>
      </w:r>
    </w:p>
  </w:footnote>
  <w:footnote w:id="5725">
    <w:p w14:paraId="01BD3CAD" w14:textId="77777777" w:rsidR="006C4368" w:rsidRDefault="006C4368" w:rsidP="006C4368">
      <w:pPr>
        <w:pStyle w:val="Footnote"/>
        <w:bidi/>
      </w:pPr>
      <w:r>
        <w:rPr>
          <w:rStyle w:val="ac"/>
          <w:rtl/>
        </w:rPr>
        <w:footnoteRef/>
      </w:r>
      <w:r>
        <w:rPr>
          <w:rtl/>
        </w:rPr>
        <w:t>ומש"ה חייב לפושטו אפי' בשוק, דאין חכמה ואין תבונה ואין עצה לנגד ה'. ודוקא בשב ואל תעשה הותר מפני כבוד הבריות.</w:t>
      </w:r>
    </w:p>
  </w:footnote>
  <w:footnote w:id="5726">
    <w:p w14:paraId="53CD71DE" w14:textId="77777777" w:rsidR="006C4368" w:rsidRDefault="006C4368" w:rsidP="006C4368">
      <w:pPr>
        <w:pStyle w:val="Footnote"/>
        <w:bidi/>
      </w:pPr>
      <w:r>
        <w:rPr>
          <w:rStyle w:val="ac"/>
          <w:rtl/>
        </w:rPr>
        <w:footnoteRef/>
      </w:r>
      <w:r>
        <w:rPr>
          <w:rtl/>
        </w:rPr>
        <w:t>וכן צויין בגליון (כאן). [וה</w:t>
      </w:r>
      <w:r>
        <w:rPr>
          <w:b/>
          <w:bCs/>
          <w:rtl/>
        </w:rPr>
        <w:t>קובה"ע</w:t>
      </w:r>
      <w:r>
        <w:rPr>
          <w:rtl/>
        </w:rPr>
        <w:t xml:space="preserve"> (סט יז) הביא דהוה ב' נוסחאות בתוס' אי הק' מדין כבוד הבריות. ומהא דנחשב מעשה לענין מלקות].</w:t>
      </w:r>
    </w:p>
  </w:footnote>
  <w:footnote w:id="5727">
    <w:p w14:paraId="0B963443" w14:textId="77777777" w:rsidR="006C4368" w:rsidRDefault="006C4368" w:rsidP="006C4368">
      <w:pPr>
        <w:pStyle w:val="Footnote"/>
        <w:bidi/>
      </w:pPr>
      <w:r>
        <w:rPr>
          <w:rStyle w:val="ac"/>
          <w:rtl/>
        </w:rPr>
        <w:footnoteRef/>
      </w:r>
      <w:r>
        <w:rPr>
          <w:rtl/>
        </w:rPr>
        <w:t xml:space="preserve">וכן הביאו </w:t>
      </w:r>
      <w:r>
        <w:rPr>
          <w:b/>
          <w:bCs/>
          <w:rtl/>
        </w:rPr>
        <w:t>תוס</w:t>
      </w:r>
      <w:r>
        <w:rPr>
          <w:rtl/>
        </w:rPr>
        <w:t>' (שבועות יז. ונזיר יז., והריטב"א מכות כא. בשם תוס', והו' בכס"מ כלאים י ל) דהמשהה עליו בגד כלאים ונזיר ששהה בטומאה נחשב לאו שיש בו מעשה [ולוקה ע"י התראה]. דשהייה נחשב מעשה כיון דתחילת הלבישה הוה ע"י מעשה.</w:t>
      </w:r>
    </w:p>
  </w:footnote>
  <w:footnote w:id="5728">
    <w:p w14:paraId="1C5F93F5" w14:textId="77777777" w:rsidR="006C4368" w:rsidRDefault="006C4368" w:rsidP="006C4368">
      <w:pPr>
        <w:pStyle w:val="Footnote"/>
        <w:bidi/>
      </w:pPr>
      <w:r>
        <w:rPr>
          <w:rStyle w:val="ac"/>
          <w:rtl/>
        </w:rPr>
        <w:footnoteRef/>
      </w:r>
      <w:r>
        <w:rPr>
          <w:rtl/>
        </w:rPr>
        <w:t>ואף דהיה אנוס דלא ידע שהוא כלאים, מעכשיו שנודע לו, המשך מה שהוא לבוש [ויכול לפושטו] נחשב 'מעשה'.</w:t>
      </w:r>
    </w:p>
    <w:p w14:paraId="19BBD887" w14:textId="77777777" w:rsidR="006C4368" w:rsidRDefault="006C4368" w:rsidP="006C4368">
      <w:pPr>
        <w:pStyle w:val="Footnote"/>
        <w:bidi/>
      </w:pPr>
      <w:r>
        <w:rPr>
          <w:rtl/>
        </w:rPr>
        <w:tab/>
        <w:t>ולכאורה משמע דוקא שהוא בעצמו לבשו. אך ה</w:t>
      </w:r>
      <w:r>
        <w:rPr>
          <w:b/>
          <w:bCs/>
          <w:rtl/>
        </w:rPr>
        <w:t>קובה"ע</w:t>
      </w:r>
      <w:r>
        <w:rPr>
          <w:rtl/>
        </w:rPr>
        <w:t xml:space="preserve"> (סט כ) הביא מהרמב"ם (כלאים י לא) דאף הלבישו חבירו. [אך הביא דהכס"מ העמיד כגון שסייע] בלבישה.</w:t>
      </w:r>
    </w:p>
  </w:footnote>
  <w:footnote w:id="5729">
    <w:p w14:paraId="566E6133" w14:textId="77777777" w:rsidR="006C4368" w:rsidRDefault="006C4368" w:rsidP="006C4368">
      <w:pPr>
        <w:pStyle w:val="Footnote"/>
        <w:bidi/>
      </w:pPr>
      <w:r>
        <w:rPr>
          <w:rStyle w:val="ac"/>
          <w:rtl/>
        </w:rPr>
        <w:footnoteRef/>
      </w:r>
      <w:r>
        <w:rPr>
          <w:rtl/>
        </w:rPr>
        <w:t>וה"נ אילו לבש בגד, ואח"כ נעשית כלאים לא יחשב מעשה. וה</w:t>
      </w:r>
      <w:r>
        <w:rPr>
          <w:b/>
          <w:bCs/>
          <w:rtl/>
        </w:rPr>
        <w:t>שאג"א</w:t>
      </w:r>
      <w:r>
        <w:rPr>
          <w:rtl/>
        </w:rPr>
        <w:t xml:space="preserve"> תמה דבגמ' (נזיר יז:) איירי שנזיר נכנס בשדה תיבה ומגדל, ואח"כ חבירו פרע המעזיבה. ואפ"ה נחשב 'מעשה', אף שתחילתו כניסתו היה בצורה שאינו מטמאו. ואפ"ה כשבא האיסור לאחר שעה חשבינן ליה כעושה מעשה מחמת תחילת המעשה של כניסה דהיתרא. [וכ"ש בציצית דבשעה שמתעטף בסדין בלא ציצית דעבידא דאתי בוודאי חיוב מצות ציצית עליו. ואינו דין שיהא נחשב לקום ועשה הא דעומד ומלובש בלא ציצית ע"י תחילת המעשה של העיטוף, אף שהיתה עדיין בהיתרא, דלא חלה עליו מצות ציצית].</w:t>
      </w:r>
    </w:p>
  </w:footnote>
  <w:footnote w:id="5730">
    <w:p w14:paraId="6393B72B" w14:textId="77777777" w:rsidR="006C4368" w:rsidRDefault="006C4368" w:rsidP="006C4368">
      <w:pPr>
        <w:pStyle w:val="Footnote"/>
        <w:bidi/>
      </w:pPr>
      <w:r>
        <w:rPr>
          <w:rStyle w:val="ac"/>
          <w:rtl/>
        </w:rPr>
        <w:footnoteRef/>
      </w:r>
      <w:r>
        <w:rPr>
          <w:rtl/>
        </w:rPr>
        <w:t>וצ"ב אמאי דימהו להדדי. ויל"פ דכיון דמצוות ציצית דוחה כלאים, ע"כ הוה בעידנא, ודמי להדדי. (ע' בסמוך).</w:t>
      </w:r>
    </w:p>
  </w:footnote>
  <w:footnote w:id="5731">
    <w:p w14:paraId="34E6DE10" w14:textId="77777777" w:rsidR="006C4368" w:rsidRDefault="006C4368" w:rsidP="006C4368">
      <w:pPr>
        <w:pStyle w:val="Footnote"/>
        <w:bidi/>
      </w:pPr>
      <w:r>
        <w:rPr>
          <w:rStyle w:val="ac"/>
          <w:rtl/>
        </w:rPr>
        <w:footnoteRef/>
      </w:r>
      <w:r>
        <w:rPr>
          <w:rtl/>
        </w:rPr>
        <w:t>ובגמ' (ביצה ח: שבת קלב:) אי' דעדל"ת בעינן בעידנא, דומיא דכלאים בציצית. [ועיקר בעידנא ילפי' מהכא].</w:t>
      </w:r>
    </w:p>
  </w:footnote>
  <w:footnote w:id="5732">
    <w:p w14:paraId="17E1E5CE" w14:textId="77777777" w:rsidR="006C4368" w:rsidRDefault="006C4368" w:rsidP="006C4368">
      <w:pPr>
        <w:pStyle w:val="Footnote"/>
        <w:bidi/>
      </w:pPr>
      <w:r>
        <w:rPr>
          <w:rStyle w:val="ac"/>
          <w:rtl/>
        </w:rPr>
        <w:footnoteRef/>
      </w:r>
      <w:r>
        <w:rPr>
          <w:rtl/>
        </w:rPr>
        <w:t>וה</w:t>
      </w:r>
      <w:r>
        <w:rPr>
          <w:b/>
          <w:bCs/>
          <w:rtl/>
        </w:rPr>
        <w:t>קובה"ע</w:t>
      </w:r>
      <w:r>
        <w:rPr>
          <w:rtl/>
        </w:rPr>
        <w:t xml:space="preserve"> (סט כז) תי' דאף דקיום מצוות ציצית הוא לאחר הלבישה, אבל מעשה המצוה המוטלת על האדם לעשות היא הלבישה, וחשיב בעידנא. [ועי"ש שהאריך ביסוד זה].</w:t>
      </w:r>
    </w:p>
  </w:footnote>
  <w:footnote w:id="5733">
    <w:p w14:paraId="5039C915" w14:textId="77777777" w:rsidR="006C4368" w:rsidRDefault="006C4368" w:rsidP="006C4368">
      <w:pPr>
        <w:pStyle w:val="Footnote"/>
        <w:bidi/>
      </w:pPr>
      <w:r>
        <w:rPr>
          <w:rStyle w:val="ac"/>
          <w:rtl/>
        </w:rPr>
        <w:footnoteRef/>
      </w:r>
      <w:r>
        <w:rPr>
          <w:rtl/>
        </w:rPr>
        <w:t>ו</w:t>
      </w:r>
      <w:r>
        <w:rPr>
          <w:b/>
          <w:bCs/>
          <w:rtl/>
        </w:rPr>
        <w:t>תוס</w:t>
      </w:r>
      <w:r>
        <w:rPr>
          <w:rtl/>
        </w:rPr>
        <w:t>' (זבחים צז: סוד"ה ואחד) הק' מה ס"ד דעשה דאכילת פסח [של המח בעצם] דחי לל"ת דשבירת עצמות, הא לא הוה בעידנא. והפסקי תוס' תי' דכיון דא"א בענין אחר ל"צ בעידנא.</w:t>
      </w:r>
    </w:p>
  </w:footnote>
  <w:footnote w:id="5734">
    <w:p w14:paraId="53E3FBC6" w14:textId="77777777" w:rsidR="006C4368" w:rsidRDefault="006C4368" w:rsidP="006C4368">
      <w:pPr>
        <w:pStyle w:val="Footnote"/>
        <w:bidi/>
      </w:pPr>
      <w:r>
        <w:rPr>
          <w:rStyle w:val="ac"/>
          <w:rtl/>
        </w:rPr>
        <w:footnoteRef/>
      </w:r>
      <w:r>
        <w:rPr>
          <w:rtl/>
        </w:rPr>
        <w:t>אך לכאורה כוונתו דעשה דוחה ל"ת כה"ג ולא בעינן שיהא בעידנא, אבל לא מהני שיחשב שהוא בעידנא. ואילו בגמ' (ביצה ושבת הנ"ל) מבואר דכלאים בציצית הוה בעידנא. [אך הטור"א הביא דכוונת הפסקי תוס' דהוה מכשירי מצווה, ונחשב בעידנא].</w:t>
      </w:r>
    </w:p>
  </w:footnote>
  <w:footnote w:id="5735">
    <w:p w14:paraId="6C3ED044" w14:textId="77777777" w:rsidR="006C4368" w:rsidRDefault="006C4368" w:rsidP="006C4368">
      <w:pPr>
        <w:pStyle w:val="Footnote"/>
        <w:bidi/>
      </w:pPr>
      <w:r>
        <w:rPr>
          <w:rStyle w:val="ac"/>
          <w:rtl/>
        </w:rPr>
        <w:footnoteRef/>
      </w:r>
      <w:r>
        <w:rPr>
          <w:rtl/>
        </w:rPr>
        <w:t>וה</w:t>
      </w:r>
      <w:r>
        <w:rPr>
          <w:b/>
          <w:bCs/>
          <w:rtl/>
        </w:rPr>
        <w:t>טור"א</w:t>
      </w:r>
      <w:r>
        <w:rPr>
          <w:rtl/>
        </w:rPr>
        <w:t xml:space="preserve"> דחה בזה דברי התוס' (גיטין מא. וכ"מ) דבחצי עבד ל"ש עשה דוחה ל"ת שישא לקיים פריה ורביה, דבתחילת ביאה מיעקר ללאו, וקיום המצווה בגמ"ב. והטור"א חלק דא"א בענין אחר, והוה הכשר מצווה ובעידנא. והאחרונים הביא דהתוס' פליג אפסקי תוס' (הנ"ל). [וכן תוס' זבחים הנ"ל לא ס"ל יסוד זה].</w:t>
      </w:r>
    </w:p>
  </w:footnote>
  <w:footnote w:id="5736">
    <w:p w14:paraId="40C8ABC7" w14:textId="77777777" w:rsidR="006C4368" w:rsidRDefault="006C4368" w:rsidP="006C4368">
      <w:pPr>
        <w:pStyle w:val="Footnote"/>
        <w:bidi/>
      </w:pPr>
      <w:r>
        <w:rPr>
          <w:rStyle w:val="ac"/>
          <w:rtl/>
        </w:rPr>
        <w:footnoteRef/>
      </w:r>
      <w:r>
        <w:rPr>
          <w:rtl/>
        </w:rPr>
        <w:t>וה</w:t>
      </w:r>
      <w:r>
        <w:rPr>
          <w:b/>
          <w:bCs/>
          <w:rtl/>
        </w:rPr>
        <w:t>רמב"ם</w:t>
      </w:r>
      <w:r>
        <w:rPr>
          <w:rtl/>
        </w:rPr>
        <w:t xml:space="preserve"> כת' דכיון שרואים בית דין שפרצו העם בדבר יש להן לגדור ולחזק הדבר כפי מה שיראה להם הכל הוראת שעה. והביא מהגמ' (סנהדרין מה:) דסקלו ותלו פ' נשים מכשפות באשקלון.</w:t>
      </w:r>
    </w:p>
  </w:footnote>
  <w:footnote w:id="5737">
    <w:p w14:paraId="6D72BA7F" w14:textId="77777777" w:rsidR="006C4368" w:rsidRDefault="006C4368" w:rsidP="006C4368">
      <w:pPr>
        <w:pStyle w:val="Footnote"/>
        <w:bidi/>
      </w:pPr>
      <w:r>
        <w:rPr>
          <w:rStyle w:val="ac"/>
          <w:rtl/>
        </w:rPr>
        <w:footnoteRef/>
      </w:r>
      <w:r>
        <w:rPr>
          <w:rtl/>
        </w:rPr>
        <w:t>וה</w:t>
      </w:r>
      <w:r>
        <w:rPr>
          <w:b/>
          <w:bCs/>
          <w:rtl/>
        </w:rPr>
        <w:t>ריטב"א</w:t>
      </w:r>
      <w:r>
        <w:rPr>
          <w:rtl/>
        </w:rPr>
        <w:t xml:space="preserve"> הביא </w:t>
      </w:r>
      <w:r>
        <w:rPr>
          <w:b/>
          <w:bCs/>
          <w:rtl/>
        </w:rPr>
        <w:t>י"מ</w:t>
      </w:r>
      <w:r>
        <w:rPr>
          <w:rtl/>
        </w:rPr>
        <w:t xml:space="preserve"> דלעולם שפיר גמרינן מינה, אך רק מיגדר מילתא לשעה. אבל אין לבי"ד רשות לעקור דבר מן התורה לדורות [בקום ועשה]. וכת' דכן הלכתא דבי"ד עוקרין בשב ואל תעשה או אפי' לא תעשה לצורך השעה או הפקר ממון לעולם.</w:t>
      </w:r>
    </w:p>
  </w:footnote>
  <w:footnote w:id="5738">
    <w:p w14:paraId="656985BB" w14:textId="77777777" w:rsidR="006C4368" w:rsidRDefault="006C4368" w:rsidP="006C4368">
      <w:pPr>
        <w:pStyle w:val="Footnote"/>
        <w:bidi/>
      </w:pPr>
      <w:r>
        <w:rPr>
          <w:rStyle w:val="ac"/>
          <w:rtl/>
        </w:rPr>
        <w:footnoteRef/>
      </w:r>
      <w:r>
        <w:rPr>
          <w:rtl/>
        </w:rPr>
        <w:t>באומרת טמאה אני לך, דהתירו (במשנה אחרונה שם) אף דשויא אנפשיה.</w:t>
      </w:r>
    </w:p>
  </w:footnote>
  <w:footnote w:id="5739">
    <w:p w14:paraId="1C3C50D8" w14:textId="77777777" w:rsidR="006C4368" w:rsidRDefault="006C4368" w:rsidP="006C4368">
      <w:pPr>
        <w:pStyle w:val="Footnote"/>
        <w:bidi/>
      </w:pPr>
      <w:r>
        <w:rPr>
          <w:rStyle w:val="ac"/>
          <w:rtl/>
        </w:rPr>
        <w:footnoteRef/>
      </w:r>
      <w:r>
        <w:rPr>
          <w:rtl/>
        </w:rPr>
        <w:t>דהאומרת טמאה אני לך מותרת לו. [ואף דשוויה חתיכה דאיסורא. וע' ר"ן ושא"ר שם כמה תי' בזה].</w:t>
      </w:r>
    </w:p>
  </w:footnote>
  <w:footnote w:id="5740">
    <w:p w14:paraId="50F63640" w14:textId="77777777" w:rsidR="006C4368" w:rsidRDefault="006C4368" w:rsidP="006C4368">
      <w:pPr>
        <w:pStyle w:val="Footnote"/>
        <w:bidi/>
      </w:pPr>
      <w:r>
        <w:rPr>
          <w:rStyle w:val="ac"/>
          <w:rtl/>
        </w:rPr>
        <w:footnoteRef/>
      </w:r>
      <w:r>
        <w:rPr>
          <w:rtl/>
        </w:rPr>
        <w:t>וכל שהן רואין להתיר לצורך מותר מן התורה, והכא נמי משום מיגדר מלתא שלא תהא כל אחת אומרת טמאה אני.</w:t>
      </w:r>
    </w:p>
  </w:footnote>
  <w:footnote w:id="5741">
    <w:p w14:paraId="108C0F8B" w14:textId="77777777" w:rsidR="006C4368" w:rsidRDefault="006C4368" w:rsidP="006C4368">
      <w:pPr>
        <w:pStyle w:val="Footnote"/>
        <w:bidi/>
      </w:pPr>
      <w:r>
        <w:rPr>
          <w:rStyle w:val="ac"/>
          <w:rtl/>
        </w:rPr>
        <w:footnoteRef/>
      </w:r>
      <w:r>
        <w:rPr>
          <w:rtl/>
        </w:rPr>
        <w:t>ולא שחכמים עוקרין דבר מן התורה מדעתן.</w:t>
      </w:r>
    </w:p>
  </w:footnote>
  <w:footnote w:id="5742">
    <w:p w14:paraId="683CF640" w14:textId="77777777" w:rsidR="006C4368" w:rsidRDefault="006C4368" w:rsidP="006C4368">
      <w:pPr>
        <w:pStyle w:val="Footnote"/>
        <w:bidi/>
      </w:pPr>
      <w:r>
        <w:rPr>
          <w:rStyle w:val="ac"/>
          <w:rtl/>
        </w:rPr>
        <w:footnoteRef/>
      </w:r>
      <w:r>
        <w:rPr>
          <w:rtl/>
        </w:rPr>
        <w:t>ד</w:t>
      </w:r>
      <w:r>
        <w:rPr>
          <w:b/>
          <w:bCs/>
          <w:rtl/>
        </w:rPr>
        <w:t>תוס'</w:t>
      </w:r>
      <w:r>
        <w:rPr>
          <w:rtl/>
        </w:rPr>
        <w:t xml:space="preserve"> (ב"מ כ.) כת' דמהני עדיו בחתומיו זכין בשחרור עבד, דיש כח ביד חכמים לעקור דבר מה"ת. ו</w:t>
      </w:r>
      <w:r>
        <w:rPr>
          <w:b/>
          <w:bCs/>
          <w:rtl/>
        </w:rPr>
        <w:t>תוס</w:t>
      </w:r>
      <w:r>
        <w:rPr>
          <w:rtl/>
        </w:rPr>
        <w:t>' (כתובות יא.) כת' דגר קטן מהני זכין דרבנן, משום דיש כח ביד חכמים. וה</w:t>
      </w:r>
      <w:r>
        <w:rPr>
          <w:b/>
          <w:bCs/>
          <w:rtl/>
        </w:rPr>
        <w:t>קצות</w:t>
      </w:r>
      <w:r>
        <w:rPr>
          <w:rtl/>
        </w:rPr>
        <w:t xml:space="preserve"> (לד א) כת' בדעת </w:t>
      </w:r>
      <w:r>
        <w:rPr>
          <w:b/>
          <w:bCs/>
          <w:rtl/>
        </w:rPr>
        <w:t>תוס</w:t>
      </w:r>
      <w:r>
        <w:rPr>
          <w:rtl/>
        </w:rPr>
        <w:t>' (קידושין סב:) דגירות בלא מומחים מהני ע"י תקנת שליחותייהו. [ע"ע רמב"ן לעיל מו: וגיטין פח:, וע"ע נתיבות א א]. ו</w:t>
      </w:r>
      <w:r>
        <w:rPr>
          <w:b/>
          <w:bCs/>
          <w:rtl/>
        </w:rPr>
        <w:t>תוס'</w:t>
      </w:r>
      <w:r>
        <w:rPr>
          <w:rtl/>
        </w:rPr>
        <w:t xml:space="preserve"> (ב"ק עג:) לדעת ר"ת תקנו דמהני חזרה תוך כדי דיבור, דיש כח ביד חכמים. וכן </w:t>
      </w:r>
      <w:r>
        <w:rPr>
          <w:b/>
          <w:bCs/>
          <w:rtl/>
        </w:rPr>
        <w:t>תוס</w:t>
      </w:r>
      <w:r>
        <w:rPr>
          <w:rtl/>
        </w:rPr>
        <w:t>' (לקמן קי., וב"ב מח: הו' בסמוך) דנו דיש אופן דהפקיעו מכאן ולהבא, וע"ע תוס' (ב"מ נג:).</w:t>
      </w:r>
    </w:p>
  </w:footnote>
  <w:footnote w:id="5743">
    <w:p w14:paraId="05BFDC48" w14:textId="77777777" w:rsidR="006C4368" w:rsidRDefault="006C4368" w:rsidP="006C4368">
      <w:pPr>
        <w:pStyle w:val="Footnote"/>
        <w:bidi/>
      </w:pPr>
      <w:r>
        <w:rPr>
          <w:rStyle w:val="ac"/>
          <w:rtl/>
        </w:rPr>
        <w:footnoteRef/>
      </w:r>
      <w:r>
        <w:rPr>
          <w:rtl/>
        </w:rPr>
        <w:t>וה</w:t>
      </w:r>
      <w:r>
        <w:rPr>
          <w:b/>
          <w:bCs/>
          <w:rtl/>
        </w:rPr>
        <w:t>תומים</w:t>
      </w:r>
      <w:r>
        <w:rPr>
          <w:rtl/>
        </w:rPr>
        <w:t xml:space="preserve"> (סה כא) הביא ד</w:t>
      </w:r>
      <w:r>
        <w:rPr>
          <w:b/>
          <w:bCs/>
          <w:rtl/>
        </w:rPr>
        <w:t>תוס</w:t>
      </w:r>
      <w:r>
        <w:rPr>
          <w:rtl/>
        </w:rPr>
        <w:t>' לשיטתם (לעיל פח. ד"ה מתוך ופט: ד"ה הניחא) דיש כח לחכמים לעקור בדבר הדומה ויש בו טעם, ואפי' בקום ועשה. [ומש"כ תוס' שיש 'גדר' לאו דוקא].</w:t>
      </w:r>
    </w:p>
    <w:p w14:paraId="2C726044" w14:textId="77777777" w:rsidR="006C4368" w:rsidRDefault="006C4368" w:rsidP="006C4368">
      <w:pPr>
        <w:pStyle w:val="Footnote"/>
        <w:bidi/>
      </w:pPr>
      <w:r>
        <w:rPr>
          <w:rtl/>
        </w:rPr>
        <w:tab/>
        <w:t>וכ"כ ה</w:t>
      </w:r>
      <w:r>
        <w:rPr>
          <w:b/>
          <w:bCs/>
          <w:rtl/>
        </w:rPr>
        <w:t>קצות</w:t>
      </w:r>
      <w:r>
        <w:rPr>
          <w:rtl/>
        </w:rPr>
        <w:t xml:space="preserve"> (לד א) דבדבר גדול כזה יש כח ביד חכמים לעקור דברי תורה אפילו בקום עשה. [וציין לתוס' (לעיל פח. ד"ה מתוך)].</w:t>
      </w:r>
    </w:p>
  </w:footnote>
  <w:footnote w:id="5744">
    <w:p w14:paraId="3AE3EDB1" w14:textId="77777777" w:rsidR="006C4368" w:rsidRDefault="006C4368" w:rsidP="006C4368">
      <w:pPr>
        <w:pStyle w:val="Footnote"/>
        <w:bidi/>
      </w:pPr>
      <w:r>
        <w:rPr>
          <w:rStyle w:val="ac"/>
          <w:rtl/>
        </w:rPr>
        <w:footnoteRef/>
      </w:r>
      <w:r>
        <w:rPr>
          <w:rtl/>
        </w:rPr>
        <w:t>וה</w:t>
      </w:r>
      <w:r>
        <w:rPr>
          <w:b/>
          <w:bCs/>
          <w:rtl/>
        </w:rPr>
        <w:t>ר"ן</w:t>
      </w:r>
      <w:r>
        <w:rPr>
          <w:rtl/>
        </w:rPr>
        <w:t xml:space="preserve"> (שם) תי' דמהני משום אפקעינהו, דאדעתא דרבנן מקדש [וכדאי' בסוגיין בסמוך, דלא תלי ביש כח ביד חכמים].</w:t>
      </w:r>
    </w:p>
  </w:footnote>
  <w:footnote w:id="5745">
    <w:p w14:paraId="552262BC" w14:textId="77777777" w:rsidR="006C4368" w:rsidRDefault="006C4368" w:rsidP="006C4368">
      <w:pPr>
        <w:pStyle w:val="Footnote"/>
        <w:bidi/>
      </w:pPr>
      <w:r>
        <w:rPr>
          <w:rStyle w:val="ac"/>
          <w:rtl/>
        </w:rPr>
        <w:footnoteRef/>
      </w:r>
      <w:r>
        <w:rPr>
          <w:rtl/>
        </w:rPr>
        <w:t>וה</w:t>
      </w:r>
      <w:r>
        <w:rPr>
          <w:b/>
          <w:bCs/>
          <w:rtl/>
        </w:rPr>
        <w:t>רמב"ן</w:t>
      </w:r>
      <w:r>
        <w:rPr>
          <w:rtl/>
        </w:rPr>
        <w:t xml:space="preserve"> (הנ"ל) כת' דגמרינן בי"ד מנביא. [דילפי' דאף בי"ד יש להם סמכות לזה, ולא רק נביא].</w:t>
      </w:r>
    </w:p>
  </w:footnote>
  <w:footnote w:id="5746">
    <w:p w14:paraId="2332B26C" w14:textId="77777777" w:rsidR="006C4368" w:rsidRDefault="006C4368" w:rsidP="006C4368">
      <w:pPr>
        <w:pStyle w:val="Footnote"/>
        <w:bidi/>
      </w:pPr>
      <w:r>
        <w:rPr>
          <w:rStyle w:val="ac"/>
          <w:rtl/>
        </w:rPr>
        <w:footnoteRef/>
      </w:r>
      <w:r>
        <w:rPr>
          <w:rtl/>
        </w:rPr>
        <w:t>[יל"פ דלא ידעינן שהוא צורך השעה, דכיון דנמסר לו בנבואה, זהו צווי הבורא וזהו צורך השעה].</w:t>
      </w:r>
    </w:p>
  </w:footnote>
  <w:footnote w:id="5747">
    <w:p w14:paraId="6AF390D4" w14:textId="77777777" w:rsidR="006C4368" w:rsidRDefault="006C4368" w:rsidP="006C4368">
      <w:pPr>
        <w:pStyle w:val="Footnote"/>
        <w:bidi/>
      </w:pPr>
      <w:r>
        <w:rPr>
          <w:rStyle w:val="ac"/>
          <w:rtl/>
        </w:rPr>
        <w:footnoteRef/>
      </w:r>
      <w:r>
        <w:rPr>
          <w:rtl/>
        </w:rPr>
        <w:t>ו</w:t>
      </w:r>
      <w:r>
        <w:rPr>
          <w:b/>
          <w:bCs/>
          <w:rtl/>
        </w:rPr>
        <w:t>תוס</w:t>
      </w:r>
      <w:r>
        <w:rPr>
          <w:rtl/>
        </w:rPr>
        <w:t>' הביאו דפ</w:t>
      </w:r>
      <w:r>
        <w:rPr>
          <w:b/>
          <w:bCs/>
          <w:rtl/>
        </w:rPr>
        <w:t>רש"י</w:t>
      </w:r>
      <w:r>
        <w:rPr>
          <w:rtl/>
        </w:rPr>
        <w:t xml:space="preserve"> (מלכים שם) וכדברך עשיתי שהקרבתי בשעת איסור הבמות. [וכ"מ בירושלמי (תענית ב ח, מגילה א יא), אבל הקרבן עדה שם פי' כתי' הב' בתוס'].</w:t>
      </w:r>
    </w:p>
    <w:p w14:paraId="1D080CAE" w14:textId="77777777" w:rsidR="006C4368" w:rsidRDefault="006C4368" w:rsidP="006C4368">
      <w:pPr>
        <w:pStyle w:val="Footnote"/>
        <w:bidi/>
      </w:pPr>
      <w:r>
        <w:rPr>
          <w:rtl/>
        </w:rPr>
        <w:tab/>
        <w:t>ומדברי הירושלמי משמע דהוה חידוש, דרשאים להקריב קרבן ע"פ נביא [בחוץ בזמן איסור הבמות]. וב</w:t>
      </w:r>
      <w:r>
        <w:rPr>
          <w:b/>
          <w:bCs/>
          <w:rtl/>
        </w:rPr>
        <w:t>ספרי</w:t>
      </w:r>
      <w:r>
        <w:rPr>
          <w:rtl/>
        </w:rPr>
        <w:t xml:space="preserve"> (ראה יח) ילפי' בכל מקום אשר תראה אי אתה מקריב אבל מעלה אתה בכל מקום שיאמר לך נביא כדרך שהעלה אליהו בהר הכרמל. משמע דגלי קרא דהותר איסור שחוטי חוץ. ולכאורה הוא דלא כתנא דסוגיין דילפי' דנביא רשאי לעקור דבר מה"ת, בכל דיני התורה. אבל ה</w:t>
      </w:r>
      <w:r>
        <w:rPr>
          <w:b/>
          <w:bCs/>
          <w:rtl/>
        </w:rPr>
        <w:t>גרי"ז</w:t>
      </w:r>
      <w:r>
        <w:rPr>
          <w:rtl/>
        </w:rPr>
        <w:t xml:space="preserve"> (זבחים קיב:) ביאר דאי הותר להקריב בחוץ משום יש כח לעקור דבר מהתורה, מ"מ לא יחשב 'קרבן', אלא דרשאי להקריבו. ונתחדש בספרי דיש לזה גדרי קרבן לגבוה.</w:t>
      </w:r>
    </w:p>
  </w:footnote>
  <w:footnote w:id="5748">
    <w:p w14:paraId="58DB25D5" w14:textId="77777777" w:rsidR="006C4368" w:rsidRDefault="006C4368" w:rsidP="006C4368">
      <w:pPr>
        <w:pStyle w:val="Footnote"/>
        <w:bidi/>
      </w:pPr>
      <w:r>
        <w:rPr>
          <w:rStyle w:val="ac"/>
          <w:rtl/>
        </w:rPr>
        <w:footnoteRef/>
      </w:r>
      <w:r>
        <w:rPr>
          <w:rtl/>
        </w:rPr>
        <w:t>וה</w:t>
      </w:r>
      <w:r>
        <w:rPr>
          <w:b/>
          <w:bCs/>
          <w:rtl/>
        </w:rPr>
        <w:t>צל"ח</w:t>
      </w:r>
      <w:r>
        <w:rPr>
          <w:rtl/>
        </w:rPr>
        <w:t xml:space="preserve"> (ברכות ו:) כת' די"ל דקודם הזמן הזה אליהו נצטווה להביא שחוטי חוץ, ולא נאמר על יום זה דוקא. [ועפ"ז ביאר הא דילפי' מאליהו שזמן מנחה הוא עת רצון, שנתפלל ונענה דוקא בשעה זו. וכת' דלצד דנאמר לאליהו דוקא בעת הזו, א"כ ילפי' מהא דנמסר הנבואה לעשות את השחוטי חוץ, ולהתפלל שירד האש דוקא בעת המנחה].</w:t>
      </w:r>
    </w:p>
  </w:footnote>
  <w:footnote w:id="5749">
    <w:p w14:paraId="6A47462D" w14:textId="77777777" w:rsidR="006C4368" w:rsidRDefault="006C4368" w:rsidP="006C4368">
      <w:pPr>
        <w:pStyle w:val="Footnote"/>
        <w:bidi/>
      </w:pPr>
      <w:r>
        <w:rPr>
          <w:rStyle w:val="ac"/>
          <w:rtl/>
        </w:rPr>
        <w:footnoteRef/>
      </w:r>
      <w:r>
        <w:rPr>
          <w:rtl/>
        </w:rPr>
        <w:t>ו</w:t>
      </w:r>
      <w:r>
        <w:rPr>
          <w:b/>
          <w:bCs/>
          <w:rtl/>
        </w:rPr>
        <w:t>רבינו בחיי</w:t>
      </w:r>
      <w:r>
        <w:rPr>
          <w:rtl/>
        </w:rPr>
        <w:t xml:space="preserve"> (נשא ז מח, וע"ע רלב"ג מלכים) פי' [לצד שלא נעשה ע"פ צווי] דכוונת אליהו שהכל נעשה לשם שמים.</w:t>
      </w:r>
    </w:p>
  </w:footnote>
  <w:footnote w:id="5750">
    <w:p w14:paraId="4B5C1878" w14:textId="77777777" w:rsidR="006C4368" w:rsidRDefault="006C4368" w:rsidP="006C4368">
      <w:pPr>
        <w:pStyle w:val="Footnote"/>
        <w:bidi/>
      </w:pPr>
      <w:r>
        <w:rPr>
          <w:rStyle w:val="ac"/>
          <w:rtl/>
        </w:rPr>
        <w:footnoteRef/>
      </w:r>
      <w:r>
        <w:rPr>
          <w:rtl/>
        </w:rPr>
        <w:t>בפשוטו הגמ' מק' מדברי רשב"ג. אבל ה</w:t>
      </w:r>
      <w:r>
        <w:rPr>
          <w:b/>
          <w:bCs/>
          <w:rtl/>
        </w:rPr>
        <w:t>מגיה למשנ"ל</w:t>
      </w:r>
      <w:r>
        <w:rPr>
          <w:rtl/>
        </w:rPr>
        <w:t xml:space="preserve"> (גירושין ו יח בסו"ד) הק' דקי"ל (שם לד.) כרבי, והאיך הביאו מדברי רשב"ג. וביאר דקו' הגמ' דבביטל בפני א' אף רבי מודה דתקנו אינו מבוטל. אך יש אחרונים שדייקו מתוס' (שם לב.) דלא הוה משום אפקעינהו [ע"ע בסמוך].</w:t>
      </w:r>
    </w:p>
  </w:footnote>
  <w:footnote w:id="5751">
    <w:p w14:paraId="2723918E" w14:textId="77777777" w:rsidR="006C4368" w:rsidRDefault="006C4368" w:rsidP="006C4368">
      <w:pPr>
        <w:pStyle w:val="Footnote"/>
        <w:bidi/>
      </w:pPr>
      <w:r>
        <w:rPr>
          <w:rStyle w:val="ac"/>
          <w:rtl/>
        </w:rPr>
        <w:footnoteRef/>
      </w:r>
      <w:r>
        <w:rPr>
          <w:rtl/>
        </w:rPr>
        <w:t xml:space="preserve">ולשון </w:t>
      </w:r>
      <w:r>
        <w:rPr>
          <w:b/>
          <w:bCs/>
          <w:rtl/>
        </w:rPr>
        <w:t>רש"י</w:t>
      </w:r>
      <w:r>
        <w:rPr>
          <w:rtl/>
        </w:rPr>
        <w:t xml:space="preserve"> דהפקיעו למפרע. וע"ע בסמוך בשם ההפלאה.</w:t>
      </w:r>
    </w:p>
  </w:footnote>
  <w:footnote w:id="5752">
    <w:p w14:paraId="1A93C5E3" w14:textId="77777777" w:rsidR="006C4368" w:rsidRDefault="006C4368" w:rsidP="006C4368">
      <w:pPr>
        <w:pStyle w:val="Footnote"/>
        <w:bidi/>
      </w:pPr>
      <w:r>
        <w:rPr>
          <w:rStyle w:val="ac"/>
          <w:rtl/>
        </w:rPr>
        <w:footnoteRef/>
      </w:r>
      <w:r>
        <w:rPr>
          <w:rtl/>
        </w:rPr>
        <w:t>ויש שפי' דמדאורייתא מהני משום אפקעינהו, אלא דתקנו אישות דרבנן. ואישות דרבנן התירו ע"י גט זה.</w:t>
      </w:r>
    </w:p>
  </w:footnote>
  <w:footnote w:id="5753">
    <w:p w14:paraId="321B4C04" w14:textId="77777777" w:rsidR="006C4368" w:rsidRDefault="006C4368" w:rsidP="006C4368">
      <w:pPr>
        <w:pStyle w:val="Footnote"/>
        <w:bidi/>
      </w:pPr>
      <w:r>
        <w:rPr>
          <w:rStyle w:val="ac"/>
          <w:rtl/>
        </w:rPr>
        <w:footnoteRef/>
      </w:r>
      <w:r>
        <w:rPr>
          <w:rtl/>
        </w:rPr>
        <w:t>ואף במקום עיגון, וכגון במים שאין להם סוף, וכן אשת מומר.</w:t>
      </w:r>
    </w:p>
  </w:footnote>
  <w:footnote w:id="5754">
    <w:p w14:paraId="5C3FF1EB" w14:textId="77777777" w:rsidR="006C4368" w:rsidRDefault="006C4368" w:rsidP="006C4368">
      <w:pPr>
        <w:pStyle w:val="Footnote"/>
        <w:bidi/>
      </w:pPr>
      <w:r>
        <w:rPr>
          <w:rStyle w:val="ac"/>
          <w:rtl/>
        </w:rPr>
        <w:footnoteRef/>
      </w:r>
      <w:r>
        <w:rPr>
          <w:rtl/>
        </w:rPr>
        <w:t>וגדר הדין מדרבנן דל"מ ביטול הגט, והגט מגרש.</w:t>
      </w:r>
    </w:p>
  </w:footnote>
  <w:footnote w:id="5755">
    <w:p w14:paraId="1C30B49E" w14:textId="77777777" w:rsidR="006C4368" w:rsidRDefault="006C4368" w:rsidP="006C4368">
      <w:pPr>
        <w:pStyle w:val="Footnote"/>
        <w:bidi/>
      </w:pPr>
      <w:r>
        <w:rPr>
          <w:rStyle w:val="ac"/>
          <w:rtl/>
        </w:rPr>
        <w:footnoteRef/>
      </w:r>
      <w:r>
        <w:rPr>
          <w:rtl/>
        </w:rPr>
        <w:t>ו</w:t>
      </w:r>
      <w:r>
        <w:rPr>
          <w:b/>
          <w:bCs/>
          <w:rtl/>
        </w:rPr>
        <w:t>תוס'</w:t>
      </w:r>
      <w:r>
        <w:rPr>
          <w:rtl/>
        </w:rPr>
        <w:t xml:space="preserve"> (לקמן קי.) נסתפקו בזה, האם כוונת הגמ' (שם) דאפקעינהו משום דאדעתא דרבנן מקדש [וסמך אהא דאמרי' כן בעלמא דאדעתא דרבנן מקדש], או משום דיש כח ביד חכמים לעקור דבר מה"ת.</w:t>
      </w:r>
    </w:p>
  </w:footnote>
  <w:footnote w:id="5756">
    <w:p w14:paraId="138DC8A0" w14:textId="77777777" w:rsidR="006C4368" w:rsidRDefault="006C4368" w:rsidP="006C4368">
      <w:pPr>
        <w:pStyle w:val="Footnote"/>
        <w:bidi/>
      </w:pPr>
      <w:r>
        <w:rPr>
          <w:rStyle w:val="ac"/>
          <w:rtl/>
        </w:rPr>
        <w:footnoteRef/>
      </w:r>
      <w:r>
        <w:rPr>
          <w:rtl/>
        </w:rPr>
        <w:t>ו</w:t>
      </w:r>
      <w:r>
        <w:rPr>
          <w:b/>
          <w:bCs/>
          <w:rtl/>
        </w:rPr>
        <w:t>תוס'</w:t>
      </w:r>
      <w:r>
        <w:rPr>
          <w:rtl/>
        </w:rPr>
        <w:t xml:space="preserve"> פי' דמ"מ הק' הגמ' קדיש בביאה מאי איכא למימר, דהא דיש כח ביד חכמים לעקור דבר מה"ת הוה היכא דליכא עבירה [אלא שהחזירו את הגריוא לטבל], אבל בביאה, וכי יעשה ביאתו ביאת עבירה. ותי' אה"נ, דשוויוה בעילת זנות.</w:t>
      </w:r>
    </w:p>
  </w:footnote>
  <w:footnote w:id="5757">
    <w:p w14:paraId="41565095" w14:textId="77777777" w:rsidR="006C4368" w:rsidRDefault="006C4368" w:rsidP="006C4368">
      <w:pPr>
        <w:pStyle w:val="Footnote"/>
        <w:bidi/>
      </w:pPr>
      <w:r>
        <w:rPr>
          <w:rStyle w:val="ac"/>
          <w:rtl/>
        </w:rPr>
        <w:footnoteRef/>
      </w:r>
      <w:r>
        <w:rPr>
          <w:rtl/>
        </w:rPr>
        <w:t>וה</w:t>
      </w:r>
      <w:r>
        <w:rPr>
          <w:b/>
          <w:bCs/>
          <w:rtl/>
        </w:rPr>
        <w:t>הפלאה</w:t>
      </w:r>
      <w:r>
        <w:rPr>
          <w:rtl/>
        </w:rPr>
        <w:t xml:space="preserve"> (כתובות ג.) כת' דהיכא דקידש כהוגן לא שייך שחכמים יפקיעו ויפקירו את הכסף שכבר אינו בעולם [ול"מ הפקר בי"ד למפרע, ודלא כמשמעות רש"י]. אלא דמהני משום שקידש בתנאי אדעתא דרבנן. אך אם יבוא לקדש שלא ע"ד דרבנן, חכמים יפקיעו את הקידושין [מעיקרא]. [והיכא דקדיש בביאה ואמר אדעתא דרבנן הוה תנאי, והגמ' מקשה דהיכא דקידש סתם האיך יפקיעו].</w:t>
      </w:r>
    </w:p>
  </w:footnote>
  <w:footnote w:id="5758">
    <w:p w14:paraId="275E2F49" w14:textId="77777777" w:rsidR="006C4368" w:rsidRDefault="006C4368" w:rsidP="006C4368">
      <w:pPr>
        <w:pStyle w:val="Footnote"/>
        <w:bidi/>
      </w:pPr>
      <w:r>
        <w:rPr>
          <w:rStyle w:val="ac"/>
          <w:rtl/>
        </w:rPr>
        <w:footnoteRef/>
      </w:r>
      <w:r>
        <w:rPr>
          <w:rtl/>
        </w:rPr>
        <w:t>וה</w:t>
      </w:r>
      <w:r>
        <w:rPr>
          <w:b/>
          <w:bCs/>
          <w:rtl/>
        </w:rPr>
        <w:t>אחרונים</w:t>
      </w:r>
      <w:r>
        <w:rPr>
          <w:rtl/>
        </w:rPr>
        <w:t xml:space="preserve"> הק' דאף קדיש בכספא ואח"כ בא עליה, הא הוה ביאת זנות. ותי' דלאחר שסבור שקידש הוה דרך אישות [דכבר מיוחדת לו], ולא נחשב ביאת זנות. אבל בביאת קידושין עדיין אינה מיוחדת [אא"כ חלו הקידושין]. וה</w:t>
      </w:r>
      <w:r>
        <w:rPr>
          <w:b/>
          <w:bCs/>
          <w:rtl/>
        </w:rPr>
        <w:t>שיטמ"ק</w:t>
      </w:r>
      <w:r>
        <w:rPr>
          <w:rtl/>
        </w:rPr>
        <w:t xml:space="preserve"> (כתובות שם) כת' דלא הוה ביאת זנות, שהוא נתכוון להיתר, אלא דחכמים עקרו לו. [וע"ע מנחת שלמה עו].</w:t>
      </w:r>
    </w:p>
  </w:footnote>
  <w:footnote w:id="5759">
    <w:p w14:paraId="6348BE1D" w14:textId="77777777" w:rsidR="006C4368" w:rsidRDefault="006C4368" w:rsidP="006C4368">
      <w:pPr>
        <w:pStyle w:val="Footnote"/>
        <w:bidi/>
      </w:pPr>
      <w:r>
        <w:rPr>
          <w:rStyle w:val="ac"/>
          <w:rtl/>
        </w:rPr>
        <w:footnoteRef/>
      </w:r>
      <w:r>
        <w:rPr>
          <w:rtl/>
        </w:rPr>
        <w:t>וכיון דביד חכמים להפקיע, מש"ה הוה אומדנא דדעתו בתנאי זה.</w:t>
      </w:r>
    </w:p>
  </w:footnote>
  <w:footnote w:id="5760">
    <w:p w14:paraId="78B23A05" w14:textId="77777777" w:rsidR="006C4368" w:rsidRDefault="006C4368" w:rsidP="006C4368">
      <w:pPr>
        <w:pStyle w:val="Footnote"/>
        <w:bidi/>
      </w:pPr>
      <w:r>
        <w:rPr>
          <w:rStyle w:val="ac"/>
          <w:rtl/>
        </w:rPr>
        <w:footnoteRef/>
      </w:r>
      <w:r>
        <w:rPr>
          <w:rtl/>
        </w:rPr>
        <w:t>וכן ה</w:t>
      </w:r>
      <w:r>
        <w:rPr>
          <w:b/>
          <w:bCs/>
          <w:rtl/>
        </w:rPr>
        <w:t>רמב"ם</w:t>
      </w:r>
      <w:r>
        <w:rPr>
          <w:rtl/>
        </w:rPr>
        <w:t xml:space="preserve"> (אישות א ב, ג כ) כתב דקידושי כסף הוה מדברי סופרים. והראב"ד ושא"ר השיגו. וה"ה וכס"מ כת' דכוונת הרמב"ם דהוה דאורייתא לכל דבר, אלא דנלמד ע"פ קבלת סופרים. וע"ע ש"ך (חו"מ לג א). ואכמ"ל.</w:t>
      </w:r>
    </w:p>
  </w:footnote>
  <w:footnote w:id="5761">
    <w:p w14:paraId="6868C9B3" w14:textId="77777777" w:rsidR="006C4368" w:rsidRDefault="006C4368" w:rsidP="006C4368">
      <w:pPr>
        <w:pStyle w:val="Footnote"/>
        <w:bidi/>
      </w:pPr>
      <w:r>
        <w:rPr>
          <w:rStyle w:val="ac"/>
          <w:rtl/>
        </w:rPr>
        <w:footnoteRef/>
      </w:r>
      <w:r>
        <w:rPr>
          <w:rtl/>
        </w:rPr>
        <w:t>והביא דה</w:t>
      </w:r>
      <w:r>
        <w:rPr>
          <w:b/>
          <w:bCs/>
          <w:rtl/>
        </w:rPr>
        <w:t>רמב"ם</w:t>
      </w:r>
      <w:r>
        <w:rPr>
          <w:rtl/>
        </w:rPr>
        <w:t xml:space="preserve"> (חובל ה א) כת' דהמכה דרך נציון עובר בלא תעשה, משמע דעיקר האיסור דוקא דרך מריבה, אבל כל היכא דהוה לתועלת אינו בכלל האיסור.</w:t>
      </w:r>
    </w:p>
  </w:footnote>
  <w:footnote w:id="5762">
    <w:p w14:paraId="170EC9D9" w14:textId="77777777" w:rsidR="006C4368" w:rsidRDefault="006C4368" w:rsidP="006C4368">
      <w:pPr>
        <w:pStyle w:val="Footnote"/>
        <w:bidi/>
      </w:pPr>
      <w:r>
        <w:rPr>
          <w:rStyle w:val="ac"/>
          <w:rtl/>
        </w:rPr>
        <w:footnoteRef/>
      </w:r>
      <w:r>
        <w:rPr>
          <w:rtl/>
        </w:rPr>
        <w:t>דלא מצאנו דאיסור חובל הותר משום מצוות מילה וכדו'. וכן הרב רודה את תלמידו אינו בכלל הלאו שהוא לתיקון הנחבל. ודוקא מלקות שבי"ד עונשין על העבר אי' (כתובות לב:) דאיסור הותר מכללו אצל מלקות.</w:t>
      </w:r>
    </w:p>
  </w:footnote>
  <w:footnote w:id="5763">
    <w:p w14:paraId="2D6239F0" w14:textId="77777777" w:rsidR="006C4368" w:rsidRDefault="006C4368" w:rsidP="006C4368">
      <w:pPr>
        <w:pStyle w:val="Footnote"/>
        <w:bidi/>
      </w:pPr>
      <w:r>
        <w:rPr>
          <w:rStyle w:val="ac"/>
          <w:rtl/>
        </w:rPr>
        <w:footnoteRef/>
      </w:r>
      <w:r>
        <w:rPr>
          <w:rtl/>
        </w:rPr>
        <w:t>ומשמע מדבריו דאף היכא דמכין על שעבר איסור [דומיא דסוגיין], כיון דהוה למיגדר מילתא נחשב תיקון. [ויל"ד דלא הוה תיקון אצל אדם זה, אלא שהדור צריכה לכך, שילמדו ויראו].</w:t>
      </w:r>
    </w:p>
  </w:footnote>
  <w:footnote w:id="5764">
    <w:p w14:paraId="2C557731" w14:textId="77777777" w:rsidR="006C4368" w:rsidRDefault="006C4368" w:rsidP="006C4368">
      <w:pPr>
        <w:pStyle w:val="Footnote"/>
        <w:bidi/>
      </w:pPr>
      <w:r>
        <w:rPr>
          <w:rStyle w:val="ac"/>
          <w:rtl/>
        </w:rPr>
        <w:footnoteRef/>
      </w:r>
      <w:r>
        <w:rPr>
          <w:rtl/>
        </w:rPr>
        <w:t>והכא אפי' נאנסה הוה זונה ואסורה לכהן. ועוד [אף לולי שהיה כהן, וכגון פצוע דכא דלאו בקדושתיה קאי] הוה סוטה מדרבנן.</w:t>
      </w:r>
    </w:p>
  </w:footnote>
  <w:footnote w:id="5765">
    <w:p w14:paraId="65CA65D2" w14:textId="77777777" w:rsidR="006C4368" w:rsidRDefault="006C4368" w:rsidP="006C4368">
      <w:pPr>
        <w:pStyle w:val="Footnote"/>
        <w:bidi/>
      </w:pPr>
      <w:r>
        <w:rPr>
          <w:rStyle w:val="ac"/>
          <w:rtl/>
        </w:rPr>
        <w:footnoteRef/>
      </w:r>
      <w:r>
        <w:rPr>
          <w:rtl/>
        </w:rPr>
        <w:t>ה</w:t>
      </w:r>
      <w:r>
        <w:rPr>
          <w:b/>
          <w:bCs/>
          <w:rtl/>
        </w:rPr>
        <w:t>רמב"ן</w:t>
      </w:r>
      <w:r>
        <w:rPr>
          <w:rtl/>
        </w:rPr>
        <w:t xml:space="preserve"> ו</w:t>
      </w:r>
      <w:r>
        <w:rPr>
          <w:b/>
          <w:bCs/>
          <w:rtl/>
        </w:rPr>
        <w:t>רשב"א</w:t>
      </w:r>
      <w:r>
        <w:rPr>
          <w:rtl/>
        </w:rPr>
        <w:t xml:space="preserve"> ביארו דאיצטריך דס"ד דקנסו אותה, והבעל יטול ממנה מציאתה. שלא תהא חוטאת נשכרת.</w:t>
      </w:r>
    </w:p>
  </w:footnote>
  <w:footnote w:id="5766">
    <w:p w14:paraId="20B10D05" w14:textId="77777777" w:rsidR="006C4368" w:rsidRDefault="006C4368" w:rsidP="006C4368">
      <w:pPr>
        <w:pStyle w:val="Footnote"/>
        <w:bidi/>
      </w:pPr>
      <w:r>
        <w:rPr>
          <w:rStyle w:val="ac"/>
          <w:rtl/>
        </w:rPr>
        <w:footnoteRef/>
      </w:r>
      <w:r>
        <w:rPr>
          <w:rtl/>
        </w:rPr>
        <w:t>ואף ה</w:t>
      </w:r>
      <w:r>
        <w:rPr>
          <w:b/>
          <w:bCs/>
          <w:rtl/>
        </w:rPr>
        <w:t>רמב"ן</w:t>
      </w:r>
      <w:r>
        <w:rPr>
          <w:rtl/>
        </w:rPr>
        <w:t xml:space="preserve"> (לעיל פד.) הביא את התוספתא [וכן רמז לזה כאן גבי שניות], ואפשר דחסר בדברי הרמב"ן בסוגיין [שהרמב"ן כת' דאלמנה לכה"ג יש לה כתובה ותנאי כתובה מלבד מזונות, וקצת סותר לתחילת דבריו].</w:t>
      </w:r>
    </w:p>
  </w:footnote>
  <w:footnote w:id="5767">
    <w:p w14:paraId="434D4997" w14:textId="77777777" w:rsidR="006C4368" w:rsidRDefault="006C4368" w:rsidP="006C4368">
      <w:pPr>
        <w:pStyle w:val="Footnote"/>
        <w:bidi/>
      </w:pPr>
      <w:r>
        <w:rPr>
          <w:rStyle w:val="ac"/>
          <w:rtl/>
        </w:rPr>
        <w:footnoteRef/>
      </w:r>
      <w:r>
        <w:rPr>
          <w:rtl/>
        </w:rPr>
        <w:t>וכ"פ ה</w:t>
      </w:r>
      <w:r>
        <w:rPr>
          <w:b/>
          <w:bCs/>
          <w:rtl/>
        </w:rPr>
        <w:t>שו"ע</w:t>
      </w:r>
      <w:r>
        <w:rPr>
          <w:rtl/>
        </w:rPr>
        <w:t xml:space="preserve"> (יו"ד רלד ה) דנשאת לחייבי לאוין או חייבי עשה הנדר מופר. וה</w:t>
      </w:r>
      <w:r>
        <w:rPr>
          <w:b/>
          <w:bCs/>
          <w:rtl/>
        </w:rPr>
        <w:t>כס"מ</w:t>
      </w:r>
      <w:r>
        <w:rPr>
          <w:rtl/>
        </w:rPr>
        <w:t xml:space="preserve"> (נדרים יא ח) כת' דנקטו בדיעבד, כיון דנשואיה באיסור. וה</w:t>
      </w:r>
      <w:r>
        <w:rPr>
          <w:b/>
          <w:bCs/>
          <w:rtl/>
        </w:rPr>
        <w:t>ש"ך</w:t>
      </w:r>
      <w:r>
        <w:rPr>
          <w:rtl/>
        </w:rPr>
        <w:t xml:space="preserve"> (רלד י) ביאר דכל שעתא בעמוד והוצא קאי, ומש"ה לכתחילה לא אמרי' ליה להפר [דומיא דמזונות לעיל פה.].</w:t>
      </w:r>
    </w:p>
  </w:footnote>
  <w:footnote w:id="5768">
    <w:p w14:paraId="070CF85B" w14:textId="77777777" w:rsidR="006C4368" w:rsidRDefault="006C4368" w:rsidP="006C4368">
      <w:pPr>
        <w:pStyle w:val="Footnote"/>
        <w:bidi/>
      </w:pPr>
      <w:r>
        <w:rPr>
          <w:rStyle w:val="ac"/>
          <w:rtl/>
        </w:rPr>
        <w:footnoteRef/>
      </w:r>
      <w:r>
        <w:rPr>
          <w:rtl/>
        </w:rPr>
        <w:t>וה</w:t>
      </w:r>
      <w:r>
        <w:rPr>
          <w:b/>
          <w:bCs/>
          <w:rtl/>
        </w:rPr>
        <w:t>ריטב"א</w:t>
      </w:r>
      <w:r>
        <w:rPr>
          <w:rtl/>
        </w:rPr>
        <w:t xml:space="preserve"> ביאר דכיון דיש לה כתובה וכל תנאי כתובה [חוץ ממזונות, כדי שלא נהא כגורמין לקיימה], אינו בדין שלא יהא הוא זכאי במציאתה.</w:t>
      </w:r>
    </w:p>
  </w:footnote>
  <w:footnote w:id="5769">
    <w:p w14:paraId="17A06E03" w14:textId="77777777" w:rsidR="006C4368" w:rsidRDefault="006C4368" w:rsidP="006C4368">
      <w:pPr>
        <w:pStyle w:val="Footnote"/>
        <w:bidi/>
      </w:pPr>
      <w:r>
        <w:rPr>
          <w:rStyle w:val="ac"/>
          <w:rtl/>
        </w:rPr>
        <w:footnoteRef/>
      </w:r>
      <w:r>
        <w:rPr>
          <w:rtl/>
        </w:rPr>
        <w:t>ואף דמדאורייתא הופר הנדר, תקנו חכמים שיחשב שלא היפר.</w:t>
      </w:r>
    </w:p>
  </w:footnote>
  <w:footnote w:id="5770">
    <w:p w14:paraId="00A9305A" w14:textId="77777777" w:rsidR="006C4368" w:rsidRDefault="006C4368" w:rsidP="006C4368">
      <w:pPr>
        <w:pStyle w:val="Footnote"/>
        <w:bidi/>
      </w:pPr>
      <w:r>
        <w:rPr>
          <w:rStyle w:val="ac"/>
          <w:rtl/>
        </w:rPr>
        <w:footnoteRef/>
      </w:r>
      <w:r>
        <w:rPr>
          <w:rtl/>
        </w:rPr>
        <w:t>מקרא ד'איש זר', ואף דאינה לוקה משום זונה. וכמ"ש ה</w:t>
      </w:r>
      <w:r>
        <w:rPr>
          <w:b/>
          <w:bCs/>
          <w:rtl/>
        </w:rPr>
        <w:t>מלחמות</w:t>
      </w:r>
      <w:r>
        <w:rPr>
          <w:rtl/>
        </w:rPr>
        <w:t xml:space="preserve"> (לעיל נו:).</w:t>
      </w:r>
    </w:p>
  </w:footnote>
  <w:footnote w:id="5771">
    <w:p w14:paraId="75B09634" w14:textId="77777777" w:rsidR="006C4368" w:rsidRDefault="006C4368" w:rsidP="006C4368">
      <w:pPr>
        <w:pStyle w:val="Footnote"/>
        <w:bidi/>
      </w:pPr>
      <w:r>
        <w:rPr>
          <w:rStyle w:val="ac"/>
          <w:rtl/>
        </w:rPr>
        <w:footnoteRef/>
      </w:r>
      <w:r>
        <w:rPr>
          <w:rtl/>
        </w:rPr>
        <w:t>ד</w:t>
      </w:r>
      <w:r>
        <w:rPr>
          <w:b/>
          <w:bCs/>
          <w:rtl/>
        </w:rPr>
        <w:t>תוס</w:t>
      </w:r>
      <w:r>
        <w:rPr>
          <w:rtl/>
        </w:rPr>
        <w:t>' כת' דאיצטריך (לעיל לה.) לחדש דאע"פ שמותרת לבעלה אסורה לכהונה. ואילו הכא איירי שאסורה לבעלה. ומשמע דכוונת התוס' כדברי ה</w:t>
      </w:r>
      <w:r>
        <w:rPr>
          <w:b/>
          <w:bCs/>
          <w:rtl/>
        </w:rPr>
        <w:t>בעה"מ</w:t>
      </w:r>
      <w:r>
        <w:rPr>
          <w:rtl/>
        </w:rPr>
        <w:t xml:space="preserve"> (לעיל נו:) דהנידון (שם) דמיגו דמותרת לבעלה תהא מותרת לכהונה.</w:t>
      </w:r>
    </w:p>
  </w:footnote>
  <w:footnote w:id="5772">
    <w:p w14:paraId="127F3ADC" w14:textId="77777777" w:rsidR="006C4368" w:rsidRDefault="006C4368" w:rsidP="006C4368">
      <w:pPr>
        <w:pStyle w:val="Footnote"/>
        <w:bidi/>
      </w:pPr>
      <w:r>
        <w:rPr>
          <w:rStyle w:val="ac"/>
          <w:rtl/>
        </w:rPr>
        <w:footnoteRef/>
      </w:r>
      <w:r>
        <w:rPr>
          <w:rtl/>
        </w:rPr>
        <w:t>דה</w:t>
      </w:r>
      <w:r>
        <w:rPr>
          <w:b/>
          <w:bCs/>
          <w:rtl/>
        </w:rPr>
        <w:t>רמב"ם</w:t>
      </w:r>
      <w:r>
        <w:rPr>
          <w:rtl/>
        </w:rPr>
        <w:t xml:space="preserve"> (שם) כת' דמעשר ראשון הוה חולין לכל דבר, 'לפיכך' בת לוי שנשבית או שנבעלה בעילת זנות נותנין לה המעשר ואוכלת.</w:t>
      </w:r>
    </w:p>
  </w:footnote>
  <w:footnote w:id="5773">
    <w:p w14:paraId="3601D394" w14:textId="77777777" w:rsidR="006C4368" w:rsidRDefault="006C4368" w:rsidP="006C4368">
      <w:pPr>
        <w:pStyle w:val="Footnote"/>
        <w:bidi/>
      </w:pPr>
      <w:r>
        <w:rPr>
          <w:rStyle w:val="ac"/>
          <w:rtl/>
        </w:rPr>
        <w:footnoteRef/>
      </w:r>
      <w:r>
        <w:rPr>
          <w:rtl/>
        </w:rPr>
        <w:t>וה</w:t>
      </w:r>
      <w:r>
        <w:rPr>
          <w:b/>
          <w:bCs/>
          <w:rtl/>
        </w:rPr>
        <w:t>דרך אמונה</w:t>
      </w:r>
      <w:r>
        <w:rPr>
          <w:rtl/>
        </w:rPr>
        <w:t xml:space="preserve"> (ביאוה"ה ר"ה מעשר בסו"ד) הוכיח דמתקיים דין נתינת מעשר לאשה, דאי הוה רק לבעל נמצא דהך קנס על הבעל.</w:t>
      </w:r>
    </w:p>
  </w:footnote>
  <w:footnote w:id="5774">
    <w:p w14:paraId="7F1E9D71" w14:textId="77777777" w:rsidR="006C4368" w:rsidRDefault="006C4368" w:rsidP="006C4368">
      <w:pPr>
        <w:pStyle w:val="Footnote"/>
        <w:bidi/>
      </w:pPr>
      <w:r>
        <w:rPr>
          <w:rStyle w:val="ac"/>
          <w:rtl/>
        </w:rPr>
        <w:footnoteRef/>
      </w:r>
      <w:r>
        <w:rPr>
          <w:rtl/>
        </w:rPr>
        <w:t>ולפ"ז לא קי"ל דקנסוה ממעשר. וה</w:t>
      </w:r>
      <w:r>
        <w:rPr>
          <w:b/>
          <w:bCs/>
          <w:rtl/>
        </w:rPr>
        <w:t>יש"ש</w:t>
      </w:r>
      <w:r>
        <w:rPr>
          <w:rtl/>
        </w:rPr>
        <w:t xml:space="preserve"> (י ט) תמה על ה</w:t>
      </w:r>
      <w:r>
        <w:rPr>
          <w:b/>
          <w:bCs/>
          <w:rtl/>
        </w:rPr>
        <w:t>רמב"ם</w:t>
      </w:r>
      <w:r>
        <w:rPr>
          <w:rtl/>
        </w:rPr>
        <w:t xml:space="preserve"> ו</w:t>
      </w:r>
      <w:r>
        <w:rPr>
          <w:b/>
          <w:bCs/>
          <w:rtl/>
        </w:rPr>
        <w:t>טור</w:t>
      </w:r>
      <w:r>
        <w:rPr>
          <w:rtl/>
        </w:rPr>
        <w:t xml:space="preserve"> (ושו"ע יז נו) שהביאו קנס במעשר, וכת' דאגב ריהטא כתבו ולא דק. [אך יל"פ דברי השו"ע כתי' הב' בתוס'].</w:t>
      </w:r>
    </w:p>
  </w:footnote>
  <w:footnote w:id="5775">
    <w:p w14:paraId="548AFF98" w14:textId="77777777" w:rsidR="006C4368" w:rsidRDefault="006C4368" w:rsidP="006C4368">
      <w:pPr>
        <w:pStyle w:val="Footnote"/>
        <w:bidi/>
      </w:pPr>
      <w:r>
        <w:rPr>
          <w:rStyle w:val="ac"/>
          <w:rtl/>
        </w:rPr>
        <w:footnoteRef/>
      </w:r>
      <w:r>
        <w:rPr>
          <w:rtl/>
        </w:rPr>
        <w:t>וה</w:t>
      </w:r>
      <w:r>
        <w:rPr>
          <w:b/>
          <w:bCs/>
          <w:rtl/>
        </w:rPr>
        <w:t xml:space="preserve">אחרונים </w:t>
      </w:r>
      <w:r>
        <w:rPr>
          <w:rtl/>
        </w:rPr>
        <w:t>דנו מהו הלשון ששמעה שמת בעלה, או בעד א'. האם היינו שמעה בב' עדים או בעד א'. או שמיעה בעלמא ועד א', אבל ב' עדים לא קנסו. וה</w:t>
      </w:r>
      <w:r>
        <w:rPr>
          <w:b/>
          <w:bCs/>
          <w:rtl/>
        </w:rPr>
        <w:t xml:space="preserve">גר"א </w:t>
      </w:r>
      <w:r>
        <w:rPr>
          <w:rtl/>
        </w:rPr>
        <w:t>(יו"ד שלא קיב, ואו"ש מעשר שם) כת' דדבריו מגומגמין, דהא קי"ל (בסמוך בסוף הע"ב) דאף נשאת בב' עדים קנסו, ולא אמרי' מאי הו"ל למיעבד. [וכ"פ ה</w:t>
      </w:r>
      <w:r>
        <w:rPr>
          <w:b/>
          <w:bCs/>
          <w:rtl/>
        </w:rPr>
        <w:t>שו"ע</w:t>
      </w:r>
      <w:r>
        <w:rPr>
          <w:rtl/>
        </w:rPr>
        <w:t xml:space="preserve"> (אה"ע יז נו) דקנסו בכל הדרכים דמתני' אפי' בב' עדים. דקאי אכל הנך משניות בגיטין].</w:t>
      </w:r>
    </w:p>
  </w:footnote>
  <w:footnote w:id="5776">
    <w:p w14:paraId="737C5AAF" w14:textId="77777777" w:rsidR="006C4368" w:rsidRDefault="006C4368" w:rsidP="006C4368">
      <w:pPr>
        <w:pStyle w:val="Footnote"/>
        <w:bidi/>
      </w:pPr>
      <w:r>
        <w:rPr>
          <w:rStyle w:val="ac"/>
          <w:rtl/>
        </w:rPr>
        <w:footnoteRef/>
      </w:r>
      <w:r>
        <w:rPr>
          <w:rtl/>
        </w:rPr>
        <w:t>ואפשר דרש"י הכריח כן מסוגיין, דאי הוה זונה [אף מדרבנן], א"כ אין מקום לחלק בין תרומה דאורייתא לתרומה דרבנן. וע"כ דהוה קנס בעלמא שלא תאכל בתרומה. ונהי דקנסו בתרומה דאורייתא, מנ"ל דקנסו בתרומה דרבנן. [ואפשר דהוה ס"ד בעלמא דאין בה משום זונה, קמ"ל דאסורה משום זונה ול"צ קנס].</w:t>
      </w:r>
    </w:p>
  </w:footnote>
  <w:footnote w:id="5777">
    <w:p w14:paraId="04AFDE12" w14:textId="77777777" w:rsidR="006C4368" w:rsidRDefault="006C4368" w:rsidP="006C4368">
      <w:pPr>
        <w:pStyle w:val="Footnote"/>
        <w:bidi/>
      </w:pPr>
      <w:r>
        <w:rPr>
          <w:rStyle w:val="ac"/>
          <w:rtl/>
        </w:rPr>
        <w:footnoteRef/>
      </w:r>
      <w:r>
        <w:rPr>
          <w:rtl/>
        </w:rPr>
        <w:t>וכדעת ה</w:t>
      </w:r>
      <w:r>
        <w:rPr>
          <w:b/>
          <w:bCs/>
          <w:rtl/>
        </w:rPr>
        <w:t>ראב"ד</w:t>
      </w:r>
      <w:r>
        <w:rPr>
          <w:rtl/>
        </w:rPr>
        <w:t xml:space="preserve"> (וה</w:t>
      </w:r>
      <w:r>
        <w:rPr>
          <w:b/>
          <w:bCs/>
          <w:rtl/>
        </w:rPr>
        <w:t>רמב"ן</w:t>
      </w:r>
      <w:r>
        <w:rPr>
          <w:rtl/>
        </w:rPr>
        <w:t xml:space="preserve"> ועוד ראשונים לעיל נו:) דלכו"ע אסורה בתרומה וכהונה, מקרא דאיש זר. וכל הנידון האם לוקה משום זונה.</w:t>
      </w:r>
    </w:p>
  </w:footnote>
  <w:footnote w:id="5778">
    <w:p w14:paraId="69E6FAA1" w14:textId="77777777" w:rsidR="006C4368" w:rsidRDefault="006C4368" w:rsidP="006C4368">
      <w:pPr>
        <w:pStyle w:val="Footnote"/>
        <w:bidi/>
      </w:pPr>
      <w:r>
        <w:rPr>
          <w:rStyle w:val="ac"/>
          <w:rtl/>
        </w:rPr>
        <w:footnoteRef/>
      </w:r>
      <w:r>
        <w:rPr>
          <w:rtl/>
        </w:rPr>
        <w:t>ולכאורה משמע דרש"י חילק בין כהונה לתרומה, דאסורה לכהונה משום זונה [אפי' באונס]. אבל בתרומה הוה רק גזירה [וכצד דאינה נאסרת בתרומה מחמת 'שם זונה']. אך צ"ע דמדברי הראשונים עולה להיפך, דמשום קרא דאיש זר פשיטא דאין חילוק בין אונס לרצון. ורק מקרא דזונה יש לחלק בזה.</w:t>
      </w:r>
    </w:p>
  </w:footnote>
  <w:footnote w:id="5779">
    <w:p w14:paraId="5D29E521" w14:textId="77777777" w:rsidR="006C4368" w:rsidRDefault="006C4368" w:rsidP="006C4368">
      <w:pPr>
        <w:pStyle w:val="Footnote"/>
        <w:bidi/>
      </w:pPr>
      <w:r>
        <w:rPr>
          <w:rStyle w:val="ac"/>
          <w:rtl/>
        </w:rPr>
        <w:footnoteRef/>
      </w:r>
      <w:r>
        <w:rPr>
          <w:rtl/>
        </w:rPr>
        <w:t>וה</w:t>
      </w:r>
      <w:r>
        <w:rPr>
          <w:b/>
          <w:bCs/>
          <w:rtl/>
        </w:rPr>
        <w:t>רש"ש</w:t>
      </w:r>
      <w:r>
        <w:rPr>
          <w:rtl/>
        </w:rPr>
        <w:t xml:space="preserve"> הק' דלישני ליה דס"ד דלא קנסו לזרעה (וכדתי' בסמוך). וכדאשכחן בכמה קנסות דלא קנסו בנו אחריו (ע' מו"ק יג., גיטין מד:, ובכורות לד:).</w:t>
      </w:r>
    </w:p>
  </w:footnote>
  <w:footnote w:id="5780">
    <w:p w14:paraId="2B47F962" w14:textId="77777777" w:rsidR="006C4368" w:rsidRDefault="006C4368" w:rsidP="006C4368">
      <w:pPr>
        <w:pStyle w:val="Footnote"/>
        <w:bidi/>
      </w:pPr>
      <w:r>
        <w:rPr>
          <w:rStyle w:val="ac"/>
          <w:rtl/>
        </w:rPr>
        <w:footnoteRef/>
      </w:r>
      <w:r>
        <w:rPr>
          <w:rtl/>
        </w:rPr>
        <w:t>מהד"ת וכו' לזרעה לא קנסו. קמ"ל דאף בניה אין נוטלין כתובת בנין דכרין. ויל"ד אי קמ"ל דיש קנס על בניה. או דלעולם הוה קנס על האשה [להפסיד תנאי הכתובה]. וס"ד דלא קנסו לאשה במקום שיש הפסד לבנים, קמ"ל דקנסו.</w:t>
      </w:r>
    </w:p>
  </w:footnote>
  <w:footnote w:id="5781">
    <w:p w14:paraId="0336E8A4" w14:textId="77777777" w:rsidR="006C4368" w:rsidRDefault="006C4368" w:rsidP="006C4368">
      <w:pPr>
        <w:pStyle w:val="Footnote"/>
        <w:bidi/>
      </w:pPr>
      <w:r>
        <w:rPr>
          <w:rStyle w:val="ac"/>
          <w:rtl/>
        </w:rPr>
        <w:footnoteRef/>
      </w:r>
      <w:r>
        <w:rPr>
          <w:rtl/>
        </w:rPr>
        <w:t>ופ</w:t>
      </w:r>
      <w:r>
        <w:rPr>
          <w:b/>
          <w:bCs/>
          <w:rtl/>
        </w:rPr>
        <w:t>רש"י</w:t>
      </w:r>
      <w:r>
        <w:rPr>
          <w:rtl/>
        </w:rPr>
        <w:t xml:space="preserve"> דדוקא מוחלת דהוקל בעיניה להפסיד בניה, אבל מוכרת דזוזי אנסוה לא הפסידה.</w:t>
      </w:r>
    </w:p>
  </w:footnote>
  <w:footnote w:id="5782">
    <w:p w14:paraId="6C878C5B" w14:textId="77777777" w:rsidR="006C4368" w:rsidRDefault="006C4368" w:rsidP="006C4368">
      <w:pPr>
        <w:pStyle w:val="Footnote"/>
        <w:bidi/>
      </w:pPr>
      <w:r>
        <w:rPr>
          <w:rStyle w:val="ac"/>
          <w:rtl/>
        </w:rPr>
        <w:footnoteRef/>
      </w:r>
      <w:r>
        <w:rPr>
          <w:rtl/>
        </w:rPr>
        <w:t>ויל"ד אי הוה קנס בפנ"ע להפסיד כל תנאי כתובה, אף חלק הבנים. או דמשום קנס החשיבו כמו שהוקל בעיניה, וכמו מוחלת כתובה.</w:t>
      </w:r>
    </w:p>
  </w:footnote>
  <w:footnote w:id="5783">
    <w:p w14:paraId="2720626B" w14:textId="77777777" w:rsidR="006C4368" w:rsidRDefault="006C4368" w:rsidP="006C4368">
      <w:pPr>
        <w:pStyle w:val="Footnote"/>
        <w:bidi/>
      </w:pPr>
      <w:r>
        <w:rPr>
          <w:rStyle w:val="ac"/>
          <w:rtl/>
        </w:rPr>
        <w:footnoteRef/>
      </w:r>
      <w:r>
        <w:rPr>
          <w:rtl/>
        </w:rPr>
        <w:t xml:space="preserve">ועד"ז הק' </w:t>
      </w:r>
      <w:r>
        <w:rPr>
          <w:b/>
          <w:bCs/>
          <w:rtl/>
        </w:rPr>
        <w:t>רע"א</w:t>
      </w:r>
      <w:r>
        <w:rPr>
          <w:rtl/>
        </w:rPr>
        <w:t xml:space="preserve"> דממ"נ, דלענין דנראית כמזידה ואסורה לבועל א"כ אינה אשת אחיו שהיתה בזנות עם אחיו. ולפי החשש שיאמרו גירש הראשון ונשא השני היא מותרת לו מיבום, ומאיזה צד נבוא עליו לאסרו ביבום.</w:t>
      </w:r>
    </w:p>
  </w:footnote>
  <w:footnote w:id="5784">
    <w:p w14:paraId="206C67E2" w14:textId="77777777" w:rsidR="006C4368" w:rsidRDefault="006C4368" w:rsidP="006C4368">
      <w:pPr>
        <w:pStyle w:val="Footnote"/>
        <w:bidi/>
      </w:pPr>
      <w:r>
        <w:rPr>
          <w:rStyle w:val="ac"/>
          <w:rtl/>
        </w:rPr>
        <w:footnoteRef/>
      </w:r>
      <w:r>
        <w:rPr>
          <w:rtl/>
        </w:rPr>
        <w:t>ויש שפי' דכיון דתקנו לה גט מהשני, א"כ תקנו גדר אישות לשני [ע' מש"כ לעיל פז: ופט.]. אך אינו אישות גמור [והרי היא אסורה עליו] ומש"ה אסורה לאחיו כדין אשת אח בלא נפילה גמורה ליבום.</w:t>
      </w:r>
    </w:p>
  </w:footnote>
  <w:footnote w:id="5785">
    <w:p w14:paraId="79DA07BD" w14:textId="77777777" w:rsidR="006C4368" w:rsidRDefault="006C4368" w:rsidP="006C4368">
      <w:pPr>
        <w:pStyle w:val="Footnote"/>
        <w:bidi/>
      </w:pPr>
      <w:r>
        <w:rPr>
          <w:rStyle w:val="ac"/>
          <w:rtl/>
        </w:rPr>
        <w:footnoteRef/>
      </w:r>
      <w:r>
        <w:rPr>
          <w:rtl/>
        </w:rPr>
        <w:t>ועוד דלשון המשנה (גיטין פ.) אם מתו חולצין ולא מייבמין.</w:t>
      </w:r>
    </w:p>
  </w:footnote>
  <w:footnote w:id="5786">
    <w:p w14:paraId="3C67D82B" w14:textId="77777777" w:rsidR="006C4368" w:rsidRDefault="006C4368" w:rsidP="006C4368">
      <w:pPr>
        <w:pStyle w:val="Footnote"/>
        <w:bidi/>
      </w:pPr>
      <w:r>
        <w:rPr>
          <w:rStyle w:val="ac"/>
          <w:rtl/>
        </w:rPr>
        <w:footnoteRef/>
      </w:r>
      <w:r>
        <w:rPr>
          <w:rtl/>
        </w:rPr>
        <w:t xml:space="preserve">ולכאורה אסורה בשאר קרובים של שני, משום גזירת גירש זה ונשא זה. אבל אחיו מותר משום ממ"נ. [אבל </w:t>
      </w:r>
      <w:r>
        <w:rPr>
          <w:b/>
          <w:bCs/>
          <w:rtl/>
        </w:rPr>
        <w:t>רע"א</w:t>
      </w:r>
      <w:r>
        <w:rPr>
          <w:rtl/>
        </w:rPr>
        <w:t xml:space="preserve"> (הו' לעיל פט.) נקט דמותרת בשאר קרובים דשני, דלא מצאנו דגזרו].</w:t>
      </w:r>
    </w:p>
  </w:footnote>
  <w:footnote w:id="5787">
    <w:p w14:paraId="76DCC2DC" w14:textId="77777777" w:rsidR="006C4368" w:rsidRDefault="006C4368" w:rsidP="006C4368">
      <w:pPr>
        <w:pStyle w:val="Footnote"/>
        <w:bidi/>
      </w:pPr>
      <w:r>
        <w:rPr>
          <w:rStyle w:val="ac"/>
          <w:rtl/>
        </w:rPr>
        <w:footnoteRef/>
      </w:r>
      <w:r>
        <w:rPr>
          <w:rtl/>
        </w:rPr>
        <w:t>וכן ה</w:t>
      </w:r>
      <w:r>
        <w:rPr>
          <w:b/>
          <w:bCs/>
          <w:rtl/>
        </w:rPr>
        <w:t>רש"ש</w:t>
      </w:r>
      <w:r>
        <w:rPr>
          <w:rtl/>
        </w:rPr>
        <w:t xml:space="preserve"> פי' דאינו בתורת יבום. [וציין דוכה"ג אי' (לקמן צז:)]. ונפק"מ שאינו קונה אותה בע"כ או בביאת שוגג או לפטור צרתה.</w:t>
      </w:r>
    </w:p>
  </w:footnote>
  <w:footnote w:id="5788">
    <w:p w14:paraId="0E2C5894" w14:textId="77777777" w:rsidR="006C4368" w:rsidRDefault="006C4368" w:rsidP="006C4368">
      <w:pPr>
        <w:pStyle w:val="Footnote"/>
        <w:bidi/>
      </w:pPr>
      <w:r>
        <w:rPr>
          <w:rStyle w:val="ac"/>
          <w:rtl/>
        </w:rPr>
        <w:footnoteRef/>
      </w:r>
      <w:r>
        <w:rPr>
          <w:rtl/>
        </w:rPr>
        <w:t>פ</w:t>
      </w:r>
      <w:r>
        <w:rPr>
          <w:b/>
          <w:bCs/>
          <w:rtl/>
        </w:rPr>
        <w:t>רש"י</w:t>
      </w:r>
      <w:r>
        <w:rPr>
          <w:rtl/>
        </w:rPr>
        <w:t xml:space="preserve"> (שם) דלר' שמעון מתייבמת, ולרבנן צרתה מתייבמת. ו</w:t>
      </w:r>
      <w:r>
        <w:rPr>
          <w:b/>
          <w:bCs/>
          <w:rtl/>
        </w:rPr>
        <w:t>תוס</w:t>
      </w:r>
      <w:r>
        <w:rPr>
          <w:rtl/>
        </w:rPr>
        <w:t>' (ר"י בתי' הא') כת' דלר' שמעון לכתחילה מתייבמת, ולרבנן בדיעבד. ועוד תי' ר"י דלר' שמעון הוה דוקא בדיעבד</w:t>
      </w:r>
    </w:p>
  </w:footnote>
  <w:footnote w:id="5789">
    <w:p w14:paraId="564ED38C" w14:textId="77777777" w:rsidR="006C4368" w:rsidRDefault="006C4368" w:rsidP="006C4368">
      <w:pPr>
        <w:pStyle w:val="Footnote"/>
        <w:bidi/>
      </w:pPr>
      <w:r>
        <w:rPr>
          <w:rStyle w:val="ac"/>
          <w:rtl/>
        </w:rPr>
        <w:footnoteRef/>
      </w:r>
      <w:r>
        <w:rPr>
          <w:rtl/>
        </w:rPr>
        <w:t xml:space="preserve">והביא דכ"ה הגירסא ברוב ספרים [וכ"ה לפנינו] אין הולד ממנו ממזר, ואילו </w:t>
      </w:r>
      <w:r>
        <w:rPr>
          <w:b/>
          <w:bCs/>
          <w:rtl/>
        </w:rPr>
        <w:t>רש"י</w:t>
      </w:r>
      <w:r>
        <w:rPr>
          <w:rtl/>
        </w:rPr>
        <w:t xml:space="preserve"> לא גרס 'ממנו'.</w:t>
      </w:r>
    </w:p>
  </w:footnote>
  <w:footnote w:id="5790">
    <w:p w14:paraId="29167B07" w14:textId="77777777" w:rsidR="006C4368" w:rsidRDefault="006C4368" w:rsidP="006C4368">
      <w:pPr>
        <w:pStyle w:val="Footnote"/>
        <w:bidi/>
      </w:pPr>
      <w:r>
        <w:rPr>
          <w:rStyle w:val="ac"/>
          <w:rtl/>
        </w:rPr>
        <w:footnoteRef/>
      </w:r>
      <w:r>
        <w:rPr>
          <w:rtl/>
        </w:rPr>
        <w:t>ויל"ד דפשיטא דכיון דאם בעלו קנו, ע"כ דלא הוה איסור ערוה.</w:t>
      </w:r>
    </w:p>
  </w:footnote>
  <w:footnote w:id="5791">
    <w:p w14:paraId="5E7A74DD" w14:textId="77777777" w:rsidR="006C4368" w:rsidRDefault="006C4368" w:rsidP="006C4368">
      <w:pPr>
        <w:pStyle w:val="Footnote"/>
        <w:bidi/>
      </w:pPr>
      <w:r>
        <w:rPr>
          <w:rStyle w:val="ac"/>
          <w:rtl/>
        </w:rPr>
        <w:footnoteRef/>
      </w:r>
      <w:r>
        <w:rPr>
          <w:rtl/>
        </w:rPr>
        <w:t>ו</w:t>
      </w:r>
      <w:r>
        <w:rPr>
          <w:b/>
          <w:bCs/>
          <w:rtl/>
        </w:rPr>
        <w:t>רע"א</w:t>
      </w:r>
      <w:r>
        <w:rPr>
          <w:rtl/>
        </w:rPr>
        <w:t xml:space="preserve"> הק' דה</w:t>
      </w:r>
      <w:r>
        <w:rPr>
          <w:b/>
          <w:bCs/>
          <w:rtl/>
        </w:rPr>
        <w:t>מהרש"א</w:t>
      </w:r>
      <w:r>
        <w:rPr>
          <w:rtl/>
        </w:rPr>
        <w:t xml:space="preserve"> בעצמו (לעיל שם) תמה בזה, וכת' דהגמ' הו"מ להק' כן. ובאמת לא יתכן שצריכה גט ומותרת לראשון. [והמהרש"א כאן קאי לשאר אחרונים שם, ע' מהרש"ל וב"ח].</w:t>
      </w:r>
    </w:p>
  </w:footnote>
  <w:footnote w:id="5792">
    <w:p w14:paraId="1AE21A67" w14:textId="77777777" w:rsidR="006C4368" w:rsidRDefault="006C4368" w:rsidP="006C4368">
      <w:pPr>
        <w:pStyle w:val="Footnote"/>
        <w:bidi/>
      </w:pPr>
      <w:r>
        <w:rPr>
          <w:rStyle w:val="ac"/>
          <w:rtl/>
        </w:rPr>
        <w:footnoteRef/>
      </w:r>
      <w:r>
        <w:rPr>
          <w:rtl/>
        </w:rPr>
        <w:t>ו</w:t>
      </w:r>
      <w:r>
        <w:rPr>
          <w:b/>
          <w:bCs/>
          <w:rtl/>
        </w:rPr>
        <w:t>תוס</w:t>
      </w:r>
      <w:r>
        <w:rPr>
          <w:rtl/>
        </w:rPr>
        <w:t xml:space="preserve">' (שם ד"ה וצריכה) פי' דבהך מתני' צריכה גט מראשון מדרבנן, ומשני מדאורייתא [היפך סוגיין]. אבל </w:t>
      </w:r>
      <w:r>
        <w:rPr>
          <w:b/>
          <w:bCs/>
          <w:rtl/>
        </w:rPr>
        <w:t>רש"י</w:t>
      </w:r>
      <w:r>
        <w:rPr>
          <w:rtl/>
        </w:rPr>
        <w:t xml:space="preserve"> (שם ד"ה תצא) כת' דקדושי שני לא הוה קידושין, וצריכה גט שמא יאמרו גירש זה ונשא זה (וכדלעיל פח:). עי"ש תוי"ט ופנ"י.</w:t>
      </w:r>
    </w:p>
  </w:footnote>
  <w:footnote w:id="5793">
    <w:p w14:paraId="6F1BAC45" w14:textId="77777777" w:rsidR="006C4368" w:rsidRDefault="006C4368" w:rsidP="006C4368">
      <w:pPr>
        <w:pStyle w:val="Footnote"/>
        <w:bidi/>
      </w:pPr>
      <w:r>
        <w:rPr>
          <w:rStyle w:val="ac"/>
          <w:rtl/>
        </w:rPr>
        <w:footnoteRef/>
      </w:r>
      <w:r>
        <w:rPr>
          <w:rtl/>
        </w:rPr>
        <w:t>ואף דכשיבואו עדי הזמה תלינן שהוא שטר מאוחר (וכדאי' בסוגיה סנהדרין לב., הו' בהמשך דברי התוס'). ו</w:t>
      </w:r>
      <w:r>
        <w:rPr>
          <w:b/>
          <w:bCs/>
          <w:rtl/>
        </w:rPr>
        <w:t>תוס'</w:t>
      </w:r>
      <w:r>
        <w:rPr>
          <w:rtl/>
        </w:rPr>
        <w:t xml:space="preserve"> (המשך דבריהם) כת' דשאני גט, דאף גט מאוחר צריך שיעמדו במקום זה בסוף הזמן. ולכאורה מבואר דעי"ז הוה יכול להזימה, דשטר מאוחר נחשב שמעיד על מה שראה לאחר זמן, ומש"ה בעינן שיהא במקום זה באותו זמן. [והוא חידוש].</w:t>
      </w:r>
    </w:p>
  </w:footnote>
  <w:footnote w:id="5794">
    <w:p w14:paraId="13ACBE84" w14:textId="77777777" w:rsidR="006C4368" w:rsidRDefault="006C4368" w:rsidP="006C4368">
      <w:pPr>
        <w:pStyle w:val="Footnote"/>
        <w:bidi/>
      </w:pPr>
      <w:r>
        <w:rPr>
          <w:rStyle w:val="ac"/>
          <w:rtl/>
        </w:rPr>
        <w:footnoteRef/>
      </w:r>
      <w:r>
        <w:rPr>
          <w:rtl/>
        </w:rPr>
        <w:t>ו</w:t>
      </w:r>
      <w:r>
        <w:rPr>
          <w:b/>
          <w:bCs/>
          <w:rtl/>
        </w:rPr>
        <w:t>תוס</w:t>
      </w:r>
      <w:r>
        <w:rPr>
          <w:rtl/>
        </w:rPr>
        <w:t>' כת' דשמא לאו דוקא סופר. אך בהמשך דבריהם כת' והא דגיטין המאוחרין כשרים, היינו כשהעדים והסופר היו בעיר. [וכ"כ תוס' בסו"ד].</w:t>
      </w:r>
    </w:p>
  </w:footnote>
  <w:footnote w:id="5795">
    <w:p w14:paraId="651593B6" w14:textId="77777777" w:rsidR="006C4368" w:rsidRDefault="006C4368" w:rsidP="006C4368">
      <w:pPr>
        <w:pStyle w:val="Footnote"/>
        <w:bidi/>
      </w:pPr>
      <w:r>
        <w:rPr>
          <w:rStyle w:val="ac"/>
          <w:rtl/>
        </w:rPr>
        <w:footnoteRef/>
      </w:r>
      <w:r>
        <w:rPr>
          <w:rtl/>
        </w:rPr>
        <w:t>ו</w:t>
      </w:r>
      <w:r>
        <w:rPr>
          <w:b/>
          <w:bCs/>
          <w:rtl/>
        </w:rPr>
        <w:t>רש"י</w:t>
      </w:r>
      <w:r>
        <w:rPr>
          <w:rtl/>
        </w:rPr>
        <w:t xml:space="preserve"> (במשנה גיטין עט:) הביא אוקימתא זו. משמע דהוה עיקר להלכה [אף דאמרי' בסוף העמוד דלא סמכינן אשינויא. צ"ל דהתם הוה חששא בעלמא].</w:t>
      </w:r>
    </w:p>
  </w:footnote>
  <w:footnote w:id="5796">
    <w:p w14:paraId="07D08B15" w14:textId="77777777" w:rsidR="006C4368" w:rsidRDefault="006C4368" w:rsidP="006C4368">
      <w:pPr>
        <w:pStyle w:val="Footnote"/>
        <w:bidi/>
      </w:pPr>
      <w:r>
        <w:rPr>
          <w:rStyle w:val="ac"/>
          <w:rtl/>
        </w:rPr>
        <w:footnoteRef/>
      </w:r>
      <w:r>
        <w:rPr>
          <w:rtl/>
        </w:rPr>
        <w:t>ויל"ד אי קאי דוקא בהא דהולד ממזר, אבל רבנן מודו בשאר קנסות. או דלרבנן יבמה לשוק קיל, ולא גזרו כל הנך קנסות.</w:t>
      </w:r>
    </w:p>
  </w:footnote>
  <w:footnote w:id="5797">
    <w:p w14:paraId="66744F90" w14:textId="77777777" w:rsidR="006C4368" w:rsidRDefault="006C4368" w:rsidP="006C4368">
      <w:pPr>
        <w:pStyle w:val="Footnote"/>
        <w:bidi/>
      </w:pPr>
      <w:r>
        <w:rPr>
          <w:rStyle w:val="ac"/>
          <w:rtl/>
        </w:rPr>
        <w:footnoteRef/>
      </w:r>
      <w:r>
        <w:rPr>
          <w:rtl/>
        </w:rPr>
        <w:t>וצ"ב דבתחילה כתב סברא דיש לה קצת סימני אילונית. וסיים משום דיש לזה קיצבה. ולכאורה סברת 'קיצבה' לחוד ל"מ, וכי צריכה להמתין הרבה שנים, ואין זה דרכי נועם. אלא דאיירי במקום שיש קצת ריעותא, ואף במקום ריעותא דוקא היכא דיש קיצבה שיתברר הדבר אמרי' דיש לה להמתין.</w:t>
      </w:r>
    </w:p>
  </w:footnote>
  <w:footnote w:id="5798">
    <w:p w14:paraId="171D243A" w14:textId="77777777" w:rsidR="006C4368" w:rsidRDefault="006C4368" w:rsidP="006C4368">
      <w:pPr>
        <w:pStyle w:val="Footnote"/>
        <w:bidi/>
      </w:pPr>
      <w:r>
        <w:rPr>
          <w:rStyle w:val="ac"/>
          <w:rtl/>
        </w:rPr>
        <w:footnoteRef/>
      </w:r>
      <w:r>
        <w:rPr>
          <w:rtl/>
        </w:rPr>
        <w:t>אך יש פוסקים שדימו (ע' בסמוך).</w:t>
      </w:r>
    </w:p>
  </w:footnote>
  <w:footnote w:id="5799">
    <w:p w14:paraId="54038189" w14:textId="77777777" w:rsidR="006C4368" w:rsidRDefault="006C4368" w:rsidP="006C4368">
      <w:pPr>
        <w:pStyle w:val="Footnote"/>
        <w:bidi/>
      </w:pPr>
      <w:r>
        <w:rPr>
          <w:rStyle w:val="ac"/>
          <w:rtl/>
        </w:rPr>
        <w:footnoteRef/>
      </w:r>
      <w:r>
        <w:rPr>
          <w:rtl/>
        </w:rPr>
        <w:t xml:space="preserve">ולמד כן מהך דרשא דאשר תלד פרט לאילונית. [אבל </w:t>
      </w:r>
      <w:r>
        <w:rPr>
          <w:b/>
          <w:bCs/>
          <w:rtl/>
        </w:rPr>
        <w:t>רש"י</w:t>
      </w:r>
      <w:r>
        <w:rPr>
          <w:rtl/>
        </w:rPr>
        <w:t xml:space="preserve"> דידן לא קאי כרב אסי, דלרב אסי כשנמצאת אילונית צרתה מותרת לשוק, אלא משום דהוה מקח טעות].</w:t>
      </w:r>
    </w:p>
  </w:footnote>
  <w:footnote w:id="5800">
    <w:p w14:paraId="258D5504" w14:textId="77777777" w:rsidR="006C4368" w:rsidRDefault="006C4368" w:rsidP="006C4368">
      <w:pPr>
        <w:pStyle w:val="Footnote"/>
        <w:bidi/>
      </w:pPr>
      <w:r>
        <w:rPr>
          <w:rStyle w:val="ac"/>
          <w:rtl/>
        </w:rPr>
        <w:footnoteRef/>
      </w:r>
      <w:r>
        <w:rPr>
          <w:rtl/>
        </w:rPr>
        <w:t>ו</w:t>
      </w:r>
      <w:r>
        <w:rPr>
          <w:b/>
          <w:bCs/>
          <w:rtl/>
        </w:rPr>
        <w:t>תוס'</w:t>
      </w:r>
      <w:r>
        <w:rPr>
          <w:rtl/>
        </w:rPr>
        <w:t xml:space="preserve"> (לעיל לב.) הביאו דפוטרת צרתה משום איסור אשת אח לחוד, כיון דפטורה מיבום. [וע"ע מש"כ לעיל בזה].</w:t>
      </w:r>
    </w:p>
  </w:footnote>
  <w:footnote w:id="5801">
    <w:p w14:paraId="3A0331AD" w14:textId="77777777" w:rsidR="006C4368" w:rsidRDefault="006C4368" w:rsidP="006C4368">
      <w:pPr>
        <w:pStyle w:val="Footnote"/>
        <w:bidi/>
      </w:pPr>
      <w:r>
        <w:rPr>
          <w:rStyle w:val="ac"/>
          <w:rtl/>
        </w:rPr>
        <w:footnoteRef/>
      </w:r>
      <w:r>
        <w:rPr>
          <w:rtl/>
        </w:rPr>
        <w:t>ע"ע</w:t>
      </w:r>
      <w:r>
        <w:rPr>
          <w:b/>
          <w:bCs/>
          <w:rtl/>
        </w:rPr>
        <w:t xml:space="preserve"> רמב"ן</w:t>
      </w:r>
      <w:r>
        <w:rPr>
          <w:rtl/>
        </w:rPr>
        <w:t xml:space="preserve"> (יב:) ו</w:t>
      </w:r>
      <w:r>
        <w:rPr>
          <w:b/>
          <w:bCs/>
          <w:rtl/>
        </w:rPr>
        <w:t>תוס</w:t>
      </w:r>
      <w:r>
        <w:rPr>
          <w:rtl/>
        </w:rPr>
        <w:t>' (לעיל ח. ד"ה תרי).</w:t>
      </w:r>
    </w:p>
  </w:footnote>
  <w:footnote w:id="5802">
    <w:p w14:paraId="27958EAB" w14:textId="77777777" w:rsidR="006C4368" w:rsidRDefault="006C4368" w:rsidP="006C4368">
      <w:pPr>
        <w:pStyle w:val="Footnote"/>
        <w:bidi/>
      </w:pPr>
      <w:r>
        <w:rPr>
          <w:rStyle w:val="ac"/>
          <w:rtl/>
        </w:rPr>
        <w:footnoteRef/>
      </w:r>
      <w:r>
        <w:rPr>
          <w:rtl/>
        </w:rPr>
        <w:t>וכתב דאפשר דזה דעת רבין א"ר יוחנן שסתם דוקא צרת אילונית. אבל שאר ה</w:t>
      </w:r>
      <w:r>
        <w:rPr>
          <w:b/>
          <w:bCs/>
          <w:rtl/>
        </w:rPr>
        <w:t>ראשונים</w:t>
      </w:r>
      <w:r>
        <w:rPr>
          <w:rtl/>
        </w:rPr>
        <w:t xml:space="preserve"> (לעיל יב:) נקטו בפשיטות דרבין קאי אף אצרת בתו אילונית.</w:t>
      </w:r>
    </w:p>
  </w:footnote>
  <w:footnote w:id="5803">
    <w:p w14:paraId="2F8F0147" w14:textId="77777777" w:rsidR="006C4368" w:rsidRDefault="006C4368" w:rsidP="006C4368">
      <w:pPr>
        <w:pStyle w:val="Footnote"/>
        <w:bidi/>
      </w:pPr>
      <w:r>
        <w:rPr>
          <w:rStyle w:val="ac"/>
          <w:rtl/>
        </w:rPr>
        <w:footnoteRef/>
      </w:r>
      <w:r>
        <w:rPr>
          <w:rtl/>
        </w:rPr>
        <w:t>אך בסוגיין איירי שנתברר שהיא אילונית, ולעולם לא היתה צרת ערוה הראויה לפוטרה, ולא שייך כאן חזקה דמעיקרא. אלא דהוה חזקה ע"פ הרוב, דהוחזקה דאינה אילונית.</w:t>
      </w:r>
    </w:p>
  </w:footnote>
  <w:footnote w:id="5804">
    <w:p w14:paraId="1C30BB64" w14:textId="77777777" w:rsidR="006C4368" w:rsidRDefault="006C4368" w:rsidP="006C4368">
      <w:pPr>
        <w:pStyle w:val="Footnote"/>
        <w:bidi/>
      </w:pPr>
      <w:r>
        <w:rPr>
          <w:rStyle w:val="ac"/>
          <w:rtl/>
        </w:rPr>
        <w:footnoteRef/>
      </w:r>
      <w:r>
        <w:rPr>
          <w:rtl/>
        </w:rPr>
        <w:t>דבסדר המשנה (שם עט:) הך בבא קודם לבבא דכונס את יבמתו.</w:t>
      </w:r>
    </w:p>
  </w:footnote>
  <w:footnote w:id="5805">
    <w:p w14:paraId="1491A075" w14:textId="77777777" w:rsidR="006C4368" w:rsidRDefault="006C4368" w:rsidP="006C4368">
      <w:pPr>
        <w:pStyle w:val="Footnote"/>
        <w:bidi/>
      </w:pPr>
      <w:r>
        <w:rPr>
          <w:rStyle w:val="ac"/>
          <w:rtl/>
        </w:rPr>
        <w:footnoteRef/>
      </w:r>
      <w:r>
        <w:rPr>
          <w:rtl/>
        </w:rPr>
        <w:t>ועד"ז כת' ה</w:t>
      </w:r>
      <w:r>
        <w:rPr>
          <w:b/>
          <w:bCs/>
          <w:rtl/>
        </w:rPr>
        <w:t>תו"י</w:t>
      </w:r>
      <w:r>
        <w:rPr>
          <w:rtl/>
        </w:rPr>
        <w:t xml:space="preserve"> (כאן) דאף כי מפסיל, לא אמרי' תצא מזה ומזה.</w:t>
      </w:r>
    </w:p>
  </w:footnote>
  <w:footnote w:id="5806">
    <w:p w14:paraId="31C553AA" w14:textId="77777777" w:rsidR="006C4368" w:rsidRDefault="006C4368" w:rsidP="006C4368">
      <w:pPr>
        <w:pStyle w:val="Footnote"/>
        <w:bidi/>
      </w:pPr>
      <w:r>
        <w:rPr>
          <w:rStyle w:val="ac"/>
          <w:rtl/>
        </w:rPr>
        <w:footnoteRef/>
      </w:r>
      <w:r>
        <w:rPr>
          <w:rtl/>
        </w:rPr>
        <w:t>[ואל"כ הוה גירושין בלא עדים]. וה</w:t>
      </w:r>
      <w:r>
        <w:rPr>
          <w:b/>
          <w:bCs/>
          <w:rtl/>
        </w:rPr>
        <w:t>רמב"ן</w:t>
      </w:r>
      <w:r>
        <w:rPr>
          <w:rtl/>
        </w:rPr>
        <w:t xml:space="preserve"> (בהמשך דבריו) כת' דהיכא דהעדים מכירין בטביעות עינא שמסר לה גט זה סגי בזה, אף בלא קריאה.</w:t>
      </w:r>
    </w:p>
  </w:footnote>
  <w:footnote w:id="5807">
    <w:p w14:paraId="7A276C35" w14:textId="77777777" w:rsidR="006C4368" w:rsidRDefault="006C4368" w:rsidP="006C4368">
      <w:pPr>
        <w:pStyle w:val="Footnote"/>
        <w:bidi/>
      </w:pPr>
      <w:r>
        <w:rPr>
          <w:rStyle w:val="ac"/>
          <w:rtl/>
        </w:rPr>
        <w:footnoteRef/>
      </w:r>
      <w:r>
        <w:rPr>
          <w:rtl/>
        </w:rPr>
        <w:t>ותוס' הביאו דר"י היה רגיל לקרוא קודם הנתינה ולאחר הנתינה. ובדיעבד סגי בחד.</w:t>
      </w:r>
    </w:p>
  </w:footnote>
  <w:footnote w:id="5808">
    <w:p w14:paraId="556F2A15" w14:textId="77777777" w:rsidR="006C4368" w:rsidRDefault="006C4368" w:rsidP="006C4368">
      <w:pPr>
        <w:pStyle w:val="Footnote"/>
        <w:bidi/>
      </w:pPr>
      <w:r>
        <w:rPr>
          <w:rStyle w:val="ac"/>
          <w:rtl/>
        </w:rPr>
        <w:footnoteRef/>
      </w:r>
      <w:r>
        <w:rPr>
          <w:rtl/>
        </w:rPr>
        <w:t>ומ"מ כת' ה</w:t>
      </w:r>
      <w:r>
        <w:rPr>
          <w:b/>
          <w:bCs/>
          <w:rtl/>
        </w:rPr>
        <w:t>ריטב"א</w:t>
      </w:r>
      <w:r>
        <w:rPr>
          <w:rtl/>
        </w:rPr>
        <w:t xml:space="preserve"> דשם עירו ושם עירה הוה מדרבנן, ואגב גררא נקט.</w:t>
      </w:r>
    </w:p>
  </w:footnote>
  <w:footnote w:id="5809">
    <w:p w14:paraId="24AE5926" w14:textId="77777777" w:rsidR="006C4368" w:rsidRDefault="006C4368" w:rsidP="006C4368">
      <w:pPr>
        <w:pStyle w:val="Footnote"/>
        <w:bidi/>
      </w:pPr>
      <w:r>
        <w:rPr>
          <w:rStyle w:val="ac"/>
          <w:rtl/>
        </w:rPr>
        <w:footnoteRef/>
      </w:r>
      <w:r>
        <w:rPr>
          <w:rtl/>
        </w:rPr>
        <w:t>ועפ"ז יישב הא דקי"ל כסוגיא לקמן צה: (ויתבאר לקמן).</w:t>
      </w:r>
    </w:p>
  </w:footnote>
  <w:footnote w:id="5810">
    <w:p w14:paraId="4F9EC166" w14:textId="77777777" w:rsidR="006C4368" w:rsidRDefault="006C4368" w:rsidP="006C4368">
      <w:pPr>
        <w:pStyle w:val="Footnote"/>
        <w:bidi/>
      </w:pPr>
      <w:r>
        <w:rPr>
          <w:rStyle w:val="ac"/>
          <w:rtl/>
        </w:rPr>
        <w:footnoteRef/>
      </w:r>
      <w:r>
        <w:rPr>
          <w:rtl/>
        </w:rPr>
        <w:t>היכא דל"ש איבעי לאימתוני. ואף דתי' הגמ' דבהנך איבעי לאמתוני, דחו דאנן אשנויי ניקום ונסמוך, ולאפוקי מתני' מפשטייהו ולהקל בדבר. מוטב להשוות מדותינו לומר שהמשניות בכל ענין נשנו, ולא פליגי רבנן שלא לתת דברינו לשיעורין.</w:t>
      </w:r>
    </w:p>
  </w:footnote>
  <w:footnote w:id="5811">
    <w:p w14:paraId="186E418B" w14:textId="77777777" w:rsidR="006C4368" w:rsidRDefault="006C4368" w:rsidP="006C4368">
      <w:pPr>
        <w:pStyle w:val="Footnote"/>
        <w:bidi/>
      </w:pPr>
      <w:r>
        <w:rPr>
          <w:rStyle w:val="ac"/>
          <w:rtl/>
        </w:rPr>
        <w:footnoteRef/>
      </w:r>
      <w:r>
        <w:rPr>
          <w:rtl/>
        </w:rPr>
        <w:t>ומבואר מדברי הבעה"מ דבשאר טעות השוו חכמים מדותיהם. אבל בעדים ודאי הוה אונס גמור, ולא הוה בכלל הלא פלוג. [והראב"ד חלק דרב הונא בדר"י החשיבו ע"פ עדים כי הנך מתני', ולא חשבו אותה [אנוסה] יותר מאלה].</w:t>
      </w:r>
    </w:p>
  </w:footnote>
  <w:footnote w:id="5812">
    <w:p w14:paraId="58D54304" w14:textId="77777777" w:rsidR="006C4368" w:rsidRDefault="006C4368" w:rsidP="006C4368">
      <w:pPr>
        <w:pStyle w:val="Footnote"/>
        <w:bidi/>
      </w:pPr>
      <w:r>
        <w:rPr>
          <w:rStyle w:val="ac"/>
          <w:rtl/>
        </w:rPr>
        <w:footnoteRef/>
      </w:r>
      <w:r>
        <w:rPr>
          <w:rtl/>
        </w:rPr>
        <w:t>וסיים דזה נראה לי וישר בעיני, אף שהוא שלא כפרש"י, ולא כפסק הרי"ף. וה</w:t>
      </w:r>
      <w:r>
        <w:rPr>
          <w:b/>
          <w:bCs/>
          <w:rtl/>
        </w:rPr>
        <w:t>ראב"ד</w:t>
      </w:r>
      <w:r>
        <w:rPr>
          <w:rtl/>
        </w:rPr>
        <w:t xml:space="preserve"> (כתוב שם) השיג חס ושלום להתיר עריות ולהכשיר פסולין, פן נכוה בגחלתן של ראשונים שהם אסרו והוא מתיר מדעתו. ואף דרב הונא אמר רב (בע"א) אמר הכי הלכתא, וכן רב ששת רצה להעמידה כדברי הכל. הא בתראי (רב פפא ור"ה בריה דר"י) לא עבדו בה עובדא.</w:t>
      </w:r>
    </w:p>
  </w:footnote>
  <w:footnote w:id="5813">
    <w:p w14:paraId="0878E246" w14:textId="77777777" w:rsidR="006C4368" w:rsidRDefault="006C4368" w:rsidP="006C4368">
      <w:pPr>
        <w:pStyle w:val="Footnote"/>
        <w:bidi/>
      </w:pPr>
      <w:r>
        <w:rPr>
          <w:rStyle w:val="ac"/>
          <w:rtl/>
        </w:rPr>
        <w:footnoteRef/>
      </w:r>
      <w:r>
        <w:rPr>
          <w:rtl/>
        </w:rPr>
        <w:t>וה</w:t>
      </w:r>
      <w:r>
        <w:rPr>
          <w:b/>
          <w:bCs/>
          <w:rtl/>
        </w:rPr>
        <w:t>תה"ד</w:t>
      </w:r>
      <w:r>
        <w:rPr>
          <w:rtl/>
        </w:rPr>
        <w:t xml:space="preserve"> (ב יד) הביא דהיכא שהיה טעות גמור בכתיבת השם בגט, אם נשאת תצא וכל הדרכים האלו בה. והביא דה</w:t>
      </w:r>
      <w:r>
        <w:rPr>
          <w:b/>
          <w:bCs/>
          <w:rtl/>
        </w:rPr>
        <w:t xml:space="preserve">שואל </w:t>
      </w:r>
      <w:r>
        <w:rPr>
          <w:rtl/>
        </w:rPr>
        <w:t>חלק דמאי הוה לה למיעבד עתה בזמנינו. והתה"ד השיב הלא ידעת דהרי"ף והרא"ש פסקו דבמסקנא לא אמרי מאי הו"ל למעבד, ואפי' נשאת ע"פ שנים עדים, דאנוסה גמורה היא, וכל הדרכים האלו בה.</w:t>
      </w:r>
    </w:p>
  </w:footnote>
  <w:footnote w:id="5814">
    <w:p w14:paraId="208D4789" w14:textId="77777777" w:rsidR="006C4368" w:rsidRDefault="006C4368" w:rsidP="006C4368">
      <w:pPr>
        <w:pStyle w:val="Footnote"/>
        <w:bidi/>
      </w:pPr>
      <w:r>
        <w:rPr>
          <w:rStyle w:val="ac"/>
          <w:rtl/>
        </w:rPr>
        <w:footnoteRef/>
      </w:r>
      <w:r>
        <w:rPr>
          <w:rtl/>
        </w:rPr>
        <w:t>וה</w:t>
      </w:r>
      <w:r>
        <w:rPr>
          <w:b/>
          <w:bCs/>
          <w:rtl/>
        </w:rPr>
        <w:t>רשב"א</w:t>
      </w:r>
      <w:r>
        <w:rPr>
          <w:rtl/>
        </w:rPr>
        <w:t xml:space="preserve"> (לקמן צה:) האריך אי אסורה משום שמא יאמרו גירש זה, או משום קנס. והוכיח מסברת מ"ד מאי הו"ל למיעבד, דע"כ הוה משום קנס. [ולא ניח"ל לומר דאידך מ"ד פליג בזה]. ובהמשך דבריו קצת משמע דגזרו ע"פ עדים אטו ע"פ עד א'.</w:t>
      </w:r>
    </w:p>
  </w:footnote>
  <w:footnote w:id="5815">
    <w:p w14:paraId="66FE1DC5" w14:textId="77777777" w:rsidR="006C4368" w:rsidRDefault="006C4368" w:rsidP="006C4368">
      <w:pPr>
        <w:pStyle w:val="Footnote"/>
        <w:bidi/>
      </w:pPr>
      <w:r>
        <w:rPr>
          <w:rStyle w:val="ac"/>
          <w:rtl/>
        </w:rPr>
        <w:footnoteRef/>
      </w:r>
      <w:r>
        <w:rPr>
          <w:rtl/>
        </w:rPr>
        <w:t>וה</w:t>
      </w:r>
      <w:r>
        <w:rPr>
          <w:b/>
          <w:bCs/>
          <w:rtl/>
        </w:rPr>
        <w:t>בית מאיר</w:t>
      </w:r>
      <w:r>
        <w:rPr>
          <w:rtl/>
        </w:rPr>
        <w:t xml:space="preserve"> ביאר דכל היכא דאפשר שהדבר יתברר קנסינן, דהו"ל לאמתוני. וכת' דהמושכל הפשוט בכל הנך מאי הו"ל למיעבד, והתרצן חילק ביניהם. ואשנויא לא סמכינן, אלא דאין חילוק ביניהם. ואף היכא דנראה לעינינו דמאי הו"ל למיעבד שייך קנס, משום איבעי לאימתוני. משא"כ נשאת ע"פ הוראת בי"ד [וטעו בדין, ע' בסמוך בשם שו"ת הרשב"א] דבזה ל"ש מאי הו"ל למיעבד, דאחרים הטעו אותה.</w:t>
      </w:r>
    </w:p>
  </w:footnote>
  <w:footnote w:id="5816">
    <w:p w14:paraId="3DC907F3" w14:textId="77777777" w:rsidR="006C4368" w:rsidRDefault="006C4368" w:rsidP="006C4368">
      <w:pPr>
        <w:pStyle w:val="Footnote"/>
        <w:bidi/>
      </w:pPr>
      <w:r>
        <w:rPr>
          <w:rStyle w:val="ac"/>
          <w:rtl/>
        </w:rPr>
        <w:footnoteRef/>
      </w:r>
      <w:r>
        <w:rPr>
          <w:rtl/>
        </w:rPr>
        <w:t xml:space="preserve">יל"ד אי הרשב"א איירי דוקא בקידושין, שהיתה לה חזקת כשרות. או אף בגירושין ומיתת הבעל, דבי"ד פסקו שהיא מותרת. ואח"כ נתברר שטעו בדין [בכשרות הגט או בדיני עדות המיתה] (ע' בסמוך בשם הרדב"ז). וע"ד הצריכותא של </w:t>
      </w:r>
      <w:r>
        <w:rPr>
          <w:b/>
          <w:bCs/>
          <w:rtl/>
        </w:rPr>
        <w:t>תוס</w:t>
      </w:r>
      <w:r>
        <w:rPr>
          <w:rtl/>
        </w:rPr>
        <w:t>' (ד"ה ת"ש כל עריות), אך למסקנא לא חילקו, ובאילונית קנסו אף היכא דהוה בחזקת היתר.</w:t>
      </w:r>
    </w:p>
  </w:footnote>
  <w:footnote w:id="5817">
    <w:p w14:paraId="6442D901" w14:textId="77777777" w:rsidR="006C4368" w:rsidRDefault="006C4368" w:rsidP="006C4368">
      <w:pPr>
        <w:pStyle w:val="Footnote"/>
        <w:bidi/>
      </w:pPr>
      <w:r>
        <w:rPr>
          <w:rStyle w:val="ac"/>
          <w:rtl/>
        </w:rPr>
        <w:footnoteRef/>
      </w:r>
      <w:r>
        <w:rPr>
          <w:rtl/>
        </w:rPr>
        <w:t>וה</w:t>
      </w:r>
      <w:r>
        <w:rPr>
          <w:b/>
          <w:bCs/>
          <w:rtl/>
        </w:rPr>
        <w:t>רשב"א</w:t>
      </w:r>
      <w:r>
        <w:rPr>
          <w:rtl/>
        </w:rPr>
        <w:t xml:space="preserve"> יישב הא דמיכל בת שאול שקידשה דוד במלוה ופרוטה (וכדאי' סנהדרין יט:), ושאול סבר דלא חלו הקידושין, ומסרה לפלטי בן ליש. ולא נאסרו בכך לדוד. ועוד תי' דהיתה אנוסה.</w:t>
      </w:r>
    </w:p>
    <w:p w14:paraId="738BF27F" w14:textId="77777777" w:rsidR="006C4368" w:rsidRDefault="006C4368" w:rsidP="006C4368">
      <w:pPr>
        <w:pStyle w:val="Footnote"/>
        <w:bidi/>
      </w:pPr>
      <w:r>
        <w:rPr>
          <w:rtl/>
        </w:rPr>
        <w:tab/>
        <w:t>[וה</w:t>
      </w:r>
      <w:r>
        <w:rPr>
          <w:b/>
          <w:bCs/>
          <w:rtl/>
        </w:rPr>
        <w:t>ט"ז</w:t>
      </w:r>
      <w:r>
        <w:rPr>
          <w:rtl/>
        </w:rPr>
        <w:t xml:space="preserve"> הק' דבגמ' (סנהדרין יט:) מבואר דלא נבעלה לפלטי. א"כ אמאי הוצרך לכל זה. אך האחרונים הביאו דב</w:t>
      </w:r>
      <w:r>
        <w:rPr>
          <w:b/>
          <w:bCs/>
          <w:rtl/>
        </w:rPr>
        <w:t>שו"ת הרשב"א</w:t>
      </w:r>
      <w:r>
        <w:rPr>
          <w:rtl/>
        </w:rPr>
        <w:t xml:space="preserve"> (א י) הק' מנ"ל לדוד שלא נבעלה לפלטי בן ליש. ותי' דידע ע"פ נביא. וי"ל דהכא קאי להתירה אף בלא נביא. אך </w:t>
      </w:r>
      <w:r>
        <w:rPr>
          <w:b/>
          <w:bCs/>
          <w:rtl/>
        </w:rPr>
        <w:t>תוס</w:t>
      </w:r>
      <w:r>
        <w:rPr>
          <w:rtl/>
        </w:rPr>
        <w:t>' (שבת יג:) כת' דלא נתייחד עמה. וה</w:t>
      </w:r>
      <w:r>
        <w:rPr>
          <w:b/>
          <w:bCs/>
          <w:rtl/>
        </w:rPr>
        <w:t>בית מאיר</w:t>
      </w:r>
      <w:r>
        <w:rPr>
          <w:rtl/>
        </w:rPr>
        <w:t xml:space="preserve"> (ס"ס יז) דן דאף אי נכנסה לחופה ונתייחדה, הא אין אוסרין על היחוד. ומה בכך דהיחוד היה דרך נישואין וחופה, כיון ששניהם החזיקו עצמן שהיא אסורה א"כ הוה יחוד בעלמא, ואין אוסרין].</w:t>
      </w:r>
    </w:p>
    <w:p w14:paraId="5AE2EAFF" w14:textId="77777777" w:rsidR="006C4368" w:rsidRDefault="006C4368" w:rsidP="006C4368">
      <w:pPr>
        <w:pStyle w:val="Footnote"/>
        <w:bidi/>
      </w:pPr>
      <w:r>
        <w:rPr>
          <w:rtl/>
        </w:rPr>
        <w:tab/>
        <w:t>וב</w:t>
      </w:r>
      <w:r>
        <w:rPr>
          <w:b/>
          <w:bCs/>
          <w:rtl/>
        </w:rPr>
        <w:t>שו"ת רע"א</w:t>
      </w:r>
      <w:r>
        <w:rPr>
          <w:rtl/>
        </w:rPr>
        <w:t xml:space="preserve"> (ק' רו) תמה מנ"ל לרשב"א דבימי דוד כבר תקנו הך קנס דתצא מזה ומזה וכל הדרכים האלו בה. ומדאורייתא ודאי הוה אנוסה ומותרת. [ובשו"ת הרשב"א (א י) דן רק מצד האיסור דאורייתא, דהוה אנוסה וכדאי' (לעיל לג:) דנתחלפו נשותיהם נחשב אונס].</w:t>
      </w:r>
    </w:p>
  </w:footnote>
  <w:footnote w:id="5818">
    <w:p w14:paraId="4E5E1207" w14:textId="77777777" w:rsidR="006C4368" w:rsidRDefault="006C4368" w:rsidP="006C4368">
      <w:pPr>
        <w:pStyle w:val="Footnote"/>
        <w:bidi/>
      </w:pPr>
      <w:r>
        <w:rPr>
          <w:rStyle w:val="ac"/>
          <w:rtl/>
        </w:rPr>
        <w:footnoteRef/>
      </w:r>
      <w:r>
        <w:rPr>
          <w:rtl/>
        </w:rPr>
        <w:t>ו</w:t>
      </w:r>
      <w:r>
        <w:rPr>
          <w:b/>
          <w:bCs/>
          <w:rtl/>
        </w:rPr>
        <w:t>רע"א</w:t>
      </w:r>
      <w:r>
        <w:rPr>
          <w:rtl/>
        </w:rPr>
        <w:t xml:space="preserve"> (שם) דייק מדברי הרשב"א דמותרת אף לשני [לאחר שהראשון מגרש], דלא קנסו ומ"ש. אך דייק דהרמ"א הדגיש דמותרת לראשון, וכת' דאפשר דס"ל דיש בזה מח' [דהמהרי"ק חולק], אלא דאין מוציאין מבעלה, ומש"ה עומדת בחזקת היתר לראשון. אבל לשני אסורה מספק.</w:t>
      </w:r>
    </w:p>
  </w:footnote>
  <w:footnote w:id="5819">
    <w:p w14:paraId="09E664C6" w14:textId="77777777" w:rsidR="006C4368" w:rsidRDefault="006C4368" w:rsidP="006C4368">
      <w:pPr>
        <w:pStyle w:val="Footnote"/>
        <w:bidi/>
      </w:pPr>
      <w:r>
        <w:rPr>
          <w:rStyle w:val="ac"/>
          <w:rtl/>
        </w:rPr>
        <w:footnoteRef/>
      </w:r>
      <w:r>
        <w:rPr>
          <w:rtl/>
        </w:rPr>
        <w:t>דאל"כ כל הנשים שזינו נתיר, ונאמר סבורה היתה שאין אסורה בכך. (וע"ע מהרי"ק קסז, ואכמ"ל).</w:t>
      </w:r>
    </w:p>
  </w:footnote>
  <w:footnote w:id="5820">
    <w:p w14:paraId="66B4A551" w14:textId="77777777" w:rsidR="006C4368" w:rsidRDefault="006C4368" w:rsidP="006C4368">
      <w:pPr>
        <w:pStyle w:val="Footnote"/>
        <w:bidi/>
      </w:pPr>
      <w:r>
        <w:rPr>
          <w:rStyle w:val="ac"/>
          <w:rtl/>
        </w:rPr>
        <w:footnoteRef/>
      </w:r>
      <w:r>
        <w:rPr>
          <w:rtl/>
        </w:rPr>
        <w:t>וב</w:t>
      </w:r>
      <w:r>
        <w:rPr>
          <w:b/>
          <w:bCs/>
          <w:rtl/>
        </w:rPr>
        <w:t>שו"ת שבות יעקב</w:t>
      </w:r>
      <w:r>
        <w:rPr>
          <w:rtl/>
        </w:rPr>
        <w:t xml:space="preserve"> (א סא) תי' דשאני נשאת ע"פ שגגת הוראה, מנשאת ע"פ עדים שקרים דהוי טעות. וכדאי' (בסמוך צב.) דנשאת ע"פ עדים חייבת קרבן, דהוה בטעות. אבל נשאת ע"פ הוראת בי"ד פטורה מקרבן. [ואף דלענין תצא מזה ומזה אדרבה נשאת ע"פ עד א' בהוראת בי"ד חמיר, היינו משום דהתירו רק ע"פ דייקא ומינסבא. אך צ"ע מנמצאת אילונית].</w:t>
      </w:r>
    </w:p>
  </w:footnote>
  <w:footnote w:id="5821">
    <w:p w14:paraId="3B3706C4" w14:textId="77777777" w:rsidR="006C4368" w:rsidRDefault="006C4368" w:rsidP="006C4368">
      <w:pPr>
        <w:pStyle w:val="Footnote"/>
        <w:bidi/>
      </w:pPr>
      <w:r>
        <w:rPr>
          <w:rStyle w:val="ac"/>
          <w:rtl/>
        </w:rPr>
        <w:footnoteRef/>
      </w:r>
      <w:r>
        <w:rPr>
          <w:rtl/>
        </w:rPr>
        <w:t>בציבור שחטאו ע"פ הוראת בי"ד. ואונס אי"צ קרבן, כדדרשינן האדם בשבועה פרט לאונס.</w:t>
      </w:r>
    </w:p>
    <w:p w14:paraId="490B6E16" w14:textId="77777777" w:rsidR="006C4368" w:rsidRDefault="006C4368" w:rsidP="006C4368">
      <w:pPr>
        <w:pStyle w:val="Footnote"/>
        <w:bidi/>
      </w:pPr>
      <w:r>
        <w:rPr>
          <w:rtl/>
        </w:rPr>
        <w:tab/>
        <w:t>וב</w:t>
      </w:r>
      <w:r>
        <w:rPr>
          <w:b/>
          <w:bCs/>
          <w:rtl/>
        </w:rPr>
        <w:t>שו"ת חוט המשולש</w:t>
      </w:r>
      <w:r>
        <w:rPr>
          <w:rtl/>
        </w:rPr>
        <w:t xml:space="preserve"> (א יג) דחה דאין לדמות חיוב קרבן, ואף דהוה שוגג בחיוב קרבן נחשב אונס בדין סוטה. וכהאי גוונא אשכחן טובא בש"ס, וציין דבסוגיין אמרי' מאי הוה לה למיעבד מינס אנסה, ואפ"ה הוה שוגג לענין קרבן.</w:t>
      </w:r>
    </w:p>
  </w:footnote>
  <w:footnote w:id="5822">
    <w:p w14:paraId="568B1683" w14:textId="77777777" w:rsidR="006C4368" w:rsidRDefault="006C4368" w:rsidP="006C4368">
      <w:pPr>
        <w:pStyle w:val="Footnote"/>
        <w:bidi/>
      </w:pPr>
      <w:r>
        <w:rPr>
          <w:rStyle w:val="ac"/>
          <w:rtl/>
        </w:rPr>
        <w:footnoteRef/>
      </w:r>
      <w:r>
        <w:rPr>
          <w:rtl/>
        </w:rPr>
        <w:t>ואפי' באונס גמור כגון צרת ערוה שנשאה לשוק ואח"כ נמצאת הצרה איילונית, דהוי אונס גמור, דלא הו"ל לאסוקי אדעתא שהרי רוב אינן איילונית.</w:t>
      </w:r>
    </w:p>
  </w:footnote>
  <w:footnote w:id="5823">
    <w:p w14:paraId="30EB753C" w14:textId="77777777" w:rsidR="006C4368" w:rsidRDefault="006C4368" w:rsidP="006C4368">
      <w:pPr>
        <w:pStyle w:val="Footnote"/>
        <w:bidi/>
      </w:pPr>
      <w:r>
        <w:rPr>
          <w:rStyle w:val="ac"/>
          <w:rtl/>
        </w:rPr>
        <w:footnoteRef/>
      </w:r>
      <w:r>
        <w:rPr>
          <w:rtl/>
        </w:rPr>
        <w:t>וביאר דאיכא למימר דהו"ל לאמתוני עד אשר ישאו ויתנו בדבר כל החכמים הבקיאים בהוראה ולא להשען על משענת הקנה הרצוץ הגס לבו בהוראה שוטה רשע וגס רוח.</w:t>
      </w:r>
    </w:p>
  </w:footnote>
  <w:footnote w:id="5824">
    <w:p w14:paraId="53FD49E0" w14:textId="77777777" w:rsidR="006C4368" w:rsidRDefault="006C4368" w:rsidP="006C4368">
      <w:pPr>
        <w:pStyle w:val="Footnote"/>
        <w:bidi/>
      </w:pPr>
      <w:r>
        <w:rPr>
          <w:rStyle w:val="ac"/>
          <w:rtl/>
        </w:rPr>
        <w:footnoteRef/>
      </w:r>
      <w:r>
        <w:rPr>
          <w:rtl/>
        </w:rPr>
        <w:t>ובפשוטו משמע דהרדב"ז אסר מדאורייתא. אך לכאורה אינו כן, וכוונתו ע"פ סוגיין דגזרו מדרבנן תצא מזה ומזה, דאיבע"ל לאיקרויי גיטא לחכם שלא יטעה. וכל שבי"ד זה טעו בדבר נתברר דלא היה אונס גמור, דהו"ל לילך לבי"ד גדול יותר.</w:t>
      </w:r>
    </w:p>
    <w:p w14:paraId="3707F05D" w14:textId="77777777" w:rsidR="006C4368" w:rsidRDefault="006C4368" w:rsidP="006C4368">
      <w:pPr>
        <w:pStyle w:val="Footnote"/>
        <w:bidi/>
      </w:pPr>
      <w:r>
        <w:rPr>
          <w:rtl/>
        </w:rPr>
        <w:tab/>
        <w:t xml:space="preserve">וכ"כ </w:t>
      </w:r>
      <w:r>
        <w:rPr>
          <w:b/>
          <w:bCs/>
          <w:rtl/>
        </w:rPr>
        <w:t>רע"א</w:t>
      </w:r>
      <w:r>
        <w:rPr>
          <w:rtl/>
        </w:rPr>
        <w:t xml:space="preserve"> (ק' רו) דבב' נשים שהוחלפו (לעיל לג:) אונס שרי לבעלה ישראל, ול"ש חשש דשמא יאמרו גירש הא' כיון דלא באה כלל להנשא, רק שהוחלפו דנדמה לה שזהו בעלה.</w:t>
      </w:r>
    </w:p>
  </w:footnote>
  <w:footnote w:id="5825">
    <w:p w14:paraId="469CFF65" w14:textId="77777777" w:rsidR="006C4368" w:rsidRDefault="006C4368" w:rsidP="006C4368">
      <w:pPr>
        <w:pStyle w:val="Footnote"/>
        <w:bidi/>
      </w:pPr>
      <w:r>
        <w:rPr>
          <w:rStyle w:val="ac"/>
          <w:rtl/>
        </w:rPr>
        <w:footnoteRef/>
      </w:r>
      <w:r>
        <w:rPr>
          <w:rtl/>
        </w:rPr>
        <w:t>וה</w:t>
      </w:r>
      <w:r>
        <w:rPr>
          <w:b/>
          <w:bCs/>
          <w:rtl/>
        </w:rPr>
        <w:t>נוב"י</w:t>
      </w:r>
      <w:r>
        <w:rPr>
          <w:rtl/>
        </w:rPr>
        <w:t xml:space="preserve"> (ת' ס"ס קלא, הו' בפתח"ת) כת' דאף ה</w:t>
      </w:r>
      <w:r>
        <w:rPr>
          <w:b/>
          <w:bCs/>
          <w:rtl/>
        </w:rPr>
        <w:t>רשב"א</w:t>
      </w:r>
      <w:r>
        <w:rPr>
          <w:rtl/>
        </w:rPr>
        <w:t xml:space="preserve"> [והרמ"א] איירי דוקא בבי"ד המומחה הממונים מז' טובי העיר, כמו שאול ובי"ד בימיהם שהיו ממונים מן העם. [אבל מורה בעלמא לא אמרי' כן]. ועוד כת' דה</w:t>
      </w:r>
      <w:r>
        <w:rPr>
          <w:b/>
          <w:bCs/>
          <w:rtl/>
        </w:rPr>
        <w:t>רשב"א</w:t>
      </w:r>
      <w:r>
        <w:rPr>
          <w:rtl/>
        </w:rPr>
        <w:t xml:space="preserve"> איירי דוקא בהוראה בטעות כמו שאול ובי"ד שפסקו שמלוה ופרוטה דעתיה אמלוה. אבל בטעות במוחש שעדים הטעום וכדו', הא נתברר דהוה טעות. וכה"ג איירי בסוגיין.</w:t>
      </w:r>
    </w:p>
  </w:footnote>
  <w:footnote w:id="5826">
    <w:p w14:paraId="0FFE96D8" w14:textId="77777777" w:rsidR="006C4368" w:rsidRDefault="006C4368" w:rsidP="006C4368">
      <w:pPr>
        <w:pStyle w:val="Footnote"/>
        <w:bidi/>
      </w:pPr>
      <w:r>
        <w:rPr>
          <w:rStyle w:val="ac"/>
          <w:rtl/>
        </w:rPr>
        <w:footnoteRef/>
      </w:r>
      <w:r>
        <w:rPr>
          <w:rtl/>
        </w:rPr>
        <w:t>אך בתנאי שהמורה מפורסם וראוי לעסוק בטיב גיטין וקידושין. [ולא כמעשה של המהרי"ק].</w:t>
      </w:r>
    </w:p>
  </w:footnote>
  <w:footnote w:id="5827">
    <w:p w14:paraId="34ED8515" w14:textId="77777777" w:rsidR="006C4368" w:rsidRDefault="006C4368" w:rsidP="006C4368">
      <w:pPr>
        <w:pStyle w:val="Footnote"/>
        <w:bidi/>
      </w:pPr>
      <w:r>
        <w:rPr>
          <w:rStyle w:val="ac"/>
          <w:rtl/>
        </w:rPr>
        <w:footnoteRef/>
      </w:r>
      <w:r>
        <w:rPr>
          <w:rtl/>
        </w:rPr>
        <w:t>וקאי אגמ' (קידושין סג:) דהאב אמר קדשתי את בתי ואינו יודע למי, ובא א' ואמר שקידשה וכנסה. ואח"כ נתברר דאחר קידשה, ונישואין אלו באיסור. וה</w:t>
      </w:r>
      <w:r>
        <w:rPr>
          <w:b/>
          <w:bCs/>
          <w:rtl/>
        </w:rPr>
        <w:t>חלק"מ</w:t>
      </w:r>
      <w:r>
        <w:rPr>
          <w:rtl/>
        </w:rPr>
        <w:t xml:space="preserve"> (שם מ בשם ר' ירוחם) כת' דתצא מזה ומזה. וה</w:t>
      </w:r>
      <w:r>
        <w:rPr>
          <w:b/>
          <w:bCs/>
          <w:rtl/>
        </w:rPr>
        <w:t>אבנ"מ</w:t>
      </w:r>
      <w:r>
        <w:rPr>
          <w:rtl/>
        </w:rPr>
        <w:t xml:space="preserve"> חלק דבקטנה חא אמרי' כן.</w:t>
      </w:r>
    </w:p>
    <w:p w14:paraId="17173B57" w14:textId="77777777" w:rsidR="006C4368" w:rsidRDefault="006C4368" w:rsidP="006C4368">
      <w:pPr>
        <w:pStyle w:val="Footnote"/>
        <w:bidi/>
      </w:pPr>
      <w:r>
        <w:rPr>
          <w:rtl/>
        </w:rPr>
        <w:tab/>
        <w:t>והאבנ"מ (בתחילת דבריו) כת' ע"פ דברי הרשב"א דכיון דנשאת ע"פ הוראה בטעות לא אמרי' תצא מזה ומזה [ואפי' בגדולה]. {ויל"ד דהתם נמי הוה ע"י עדות שקר, דסמכו על האומר שהוא קידש, ונמצא טעות [ע' בסמוך צב.]. ומ"ש מסוגיין דכה"ג החמירו. ולכאורה האבנ"מ נקט דבעד א' בסוגיין סמכו על הא דדייקא ומינסבא, ומש"ה לא הוה ע"פ הוראה}.</w:t>
      </w:r>
    </w:p>
  </w:footnote>
  <w:footnote w:id="5828">
    <w:p w14:paraId="714C41BC" w14:textId="77777777" w:rsidR="006C4368" w:rsidRDefault="006C4368" w:rsidP="006C4368">
      <w:pPr>
        <w:pStyle w:val="Footnote"/>
        <w:bidi/>
      </w:pPr>
      <w:r>
        <w:rPr>
          <w:rStyle w:val="ac"/>
          <w:rtl/>
        </w:rPr>
        <w:footnoteRef/>
      </w:r>
      <w:r>
        <w:rPr>
          <w:rtl/>
        </w:rPr>
        <w:t>וכת' דאפי' לדעת הרמב"ם דקטנה יש לה רצון ליאסר, ולא אמרי' פיתוי קטנה אונס. אך ה"מ מזיד, אבל הכא ל"ש בקטנה לומר דהיה לה לחקור והיה לה להמתין, דקטנה דלא ידעה במילי דאביה. ובקטנה לא גזרינן מידי, דלאו בת קנסא היא.</w:t>
      </w:r>
    </w:p>
  </w:footnote>
  <w:footnote w:id="5829">
    <w:p w14:paraId="1582ADEE" w14:textId="77777777" w:rsidR="006C4368" w:rsidRDefault="006C4368" w:rsidP="006C4368">
      <w:pPr>
        <w:pStyle w:val="Footnote"/>
        <w:bidi/>
      </w:pPr>
      <w:r>
        <w:rPr>
          <w:rStyle w:val="ac"/>
          <w:rtl/>
        </w:rPr>
        <w:footnoteRef/>
      </w:r>
      <w:r>
        <w:rPr>
          <w:rtl/>
        </w:rPr>
        <w:t>והביא מהגמ' (צד: בסוה"ע) דאשתו דבמזיד מיתסרא מדאורייתא, בשוגג גזרו בה רבנן.</w:t>
      </w:r>
    </w:p>
  </w:footnote>
  <w:footnote w:id="5830">
    <w:p w14:paraId="515734D7" w14:textId="77777777" w:rsidR="006C4368" w:rsidRDefault="006C4368" w:rsidP="006C4368">
      <w:pPr>
        <w:pStyle w:val="Footnote"/>
        <w:bidi/>
      </w:pPr>
      <w:r>
        <w:rPr>
          <w:rStyle w:val="ac"/>
          <w:rtl/>
        </w:rPr>
        <w:footnoteRef/>
      </w:r>
      <w:r>
        <w:rPr>
          <w:rtl/>
        </w:rPr>
        <w:t>וה</w:t>
      </w:r>
      <w:r>
        <w:rPr>
          <w:b/>
          <w:bCs/>
          <w:rtl/>
        </w:rPr>
        <w:t>ב"י</w:t>
      </w:r>
      <w:r>
        <w:rPr>
          <w:rtl/>
        </w:rPr>
        <w:t xml:space="preserve"> (יז לט) הביא בזה מח'. וה</w:t>
      </w:r>
      <w:r>
        <w:rPr>
          <w:b/>
          <w:bCs/>
          <w:rtl/>
        </w:rPr>
        <w:t>חלק"מ</w:t>
      </w:r>
      <w:r>
        <w:rPr>
          <w:rtl/>
        </w:rPr>
        <w:t xml:space="preserve"> (יז עח) האריך דל"צ קבלת עדות בבי"ד. וה</w:t>
      </w:r>
      <w:r>
        <w:rPr>
          <w:b/>
          <w:bCs/>
          <w:rtl/>
        </w:rPr>
        <w:t>בי"ש</w:t>
      </w:r>
      <w:r>
        <w:rPr>
          <w:rtl/>
        </w:rPr>
        <w:t xml:space="preserve"> (שם קכד) וה</w:t>
      </w:r>
      <w:r>
        <w:rPr>
          <w:b/>
          <w:bCs/>
          <w:rtl/>
        </w:rPr>
        <w:t>גר"א</w:t>
      </w:r>
      <w:r>
        <w:rPr>
          <w:rtl/>
        </w:rPr>
        <w:t xml:space="preserve"> (קלא) חלקו דצריך שיתקבל העדות בבי"ד. [והו' לעיל פז:].</w:t>
      </w:r>
    </w:p>
  </w:footnote>
  <w:footnote w:id="5831">
    <w:p w14:paraId="1992EA7C" w14:textId="77777777" w:rsidR="006C4368" w:rsidRDefault="006C4368" w:rsidP="006C4368">
      <w:pPr>
        <w:pStyle w:val="Footnote"/>
        <w:bidi/>
      </w:pPr>
      <w:r>
        <w:rPr>
          <w:rStyle w:val="ac"/>
          <w:rtl/>
        </w:rPr>
        <w:footnoteRef/>
      </w:r>
      <w:r>
        <w:rPr>
          <w:rtl/>
        </w:rPr>
        <w:t>ולכאורה היכא דנשאת ע"פ עד א' ובלא בי"ד, ובא בעלה לכו"ע חייבת חטאת. דלא נשאת ע"פ הוראת בי"ד. [ועוד אפשר דהיכא דלא נתקבל עדות העד, ואח"כ הוכחש. א"כ יחשב כמו שנשאת בלא עדות כלל. ודוקא היכא דלא הוכחש אמרי' דבדיעבד עושה ע"פ].</w:t>
      </w:r>
    </w:p>
  </w:footnote>
  <w:footnote w:id="5832">
    <w:p w14:paraId="343A4A60" w14:textId="77777777" w:rsidR="006C4368" w:rsidRDefault="006C4368" w:rsidP="006C4368">
      <w:pPr>
        <w:pStyle w:val="Footnote"/>
        <w:bidi/>
      </w:pPr>
      <w:r>
        <w:rPr>
          <w:rStyle w:val="ac"/>
          <w:rtl/>
        </w:rPr>
        <w:footnoteRef/>
      </w:r>
      <w:r>
        <w:rPr>
          <w:rtl/>
        </w:rPr>
        <w:t>וה</w:t>
      </w:r>
      <w:r>
        <w:rPr>
          <w:b/>
          <w:bCs/>
          <w:rtl/>
        </w:rPr>
        <w:t>רמב"ם</w:t>
      </w:r>
      <w:r>
        <w:rPr>
          <w:rtl/>
        </w:rPr>
        <w:t xml:space="preserve"> סתם ולא פירש עד א'. וקצת משמע דלדעת רב נחמן דהוה הוראה קאי אף בב' עדים. [וצ"ע].</w:t>
      </w:r>
    </w:p>
  </w:footnote>
  <w:footnote w:id="5833">
    <w:p w14:paraId="3B44089C" w14:textId="77777777" w:rsidR="006C4368" w:rsidRDefault="006C4368" w:rsidP="006C4368">
      <w:pPr>
        <w:pStyle w:val="Footnote"/>
        <w:bidi/>
      </w:pPr>
      <w:r>
        <w:rPr>
          <w:rStyle w:val="ac"/>
          <w:rtl/>
        </w:rPr>
        <w:footnoteRef/>
      </w:r>
      <w:r>
        <w:rPr>
          <w:rtl/>
        </w:rPr>
        <w:t>וה</w:t>
      </w:r>
      <w:r>
        <w:rPr>
          <w:b/>
          <w:bCs/>
          <w:rtl/>
        </w:rPr>
        <w:t>נוב"י</w:t>
      </w:r>
      <w:r>
        <w:rPr>
          <w:rtl/>
        </w:rPr>
        <w:t xml:space="preserve"> (יו"ד ת' צו) כת' דעיקר כוונת הרמב"ם דהוה טעות ולא אונס.</w:t>
      </w:r>
    </w:p>
  </w:footnote>
  <w:footnote w:id="5834">
    <w:p w14:paraId="3C0B2A4E" w14:textId="77777777" w:rsidR="006C4368" w:rsidRDefault="006C4368" w:rsidP="006C4368">
      <w:pPr>
        <w:pStyle w:val="Footnote"/>
        <w:bidi/>
      </w:pPr>
      <w:r>
        <w:rPr>
          <w:rStyle w:val="ac"/>
          <w:rtl/>
        </w:rPr>
        <w:footnoteRef/>
      </w:r>
      <w:r>
        <w:rPr>
          <w:rtl/>
        </w:rPr>
        <w:t>דלאחר שנתמנה הוה אלמנה, אלא משום שקידש בהיתר [כדלעיל נט.]. ואי נשאה קודם שנתמנה מתחייב ע"ז חטאת.</w:t>
      </w:r>
    </w:p>
  </w:footnote>
  <w:footnote w:id="5835">
    <w:p w14:paraId="1362BFD1" w14:textId="77777777" w:rsidR="006C4368" w:rsidRDefault="006C4368" w:rsidP="006C4368">
      <w:pPr>
        <w:pStyle w:val="Footnote"/>
        <w:bidi/>
      </w:pPr>
      <w:r>
        <w:rPr>
          <w:rStyle w:val="ac"/>
          <w:rtl/>
        </w:rPr>
        <w:footnoteRef/>
      </w:r>
      <w:r>
        <w:rPr>
          <w:rtl/>
        </w:rPr>
        <w:t>ועד"ז כת' ה</w:t>
      </w:r>
      <w:r>
        <w:rPr>
          <w:b/>
          <w:bCs/>
          <w:rtl/>
        </w:rPr>
        <w:t>חזו"א</w:t>
      </w:r>
      <w:r>
        <w:rPr>
          <w:rtl/>
        </w:rPr>
        <w:t xml:space="preserve"> (הוריות יד י), אבל ה</w:t>
      </w:r>
      <w:r>
        <w:rPr>
          <w:b/>
          <w:bCs/>
          <w:rtl/>
        </w:rPr>
        <w:t>חזו"א</w:t>
      </w:r>
      <w:r>
        <w:rPr>
          <w:rtl/>
        </w:rPr>
        <w:t xml:space="preserve"> (כז ח) כת' דל"ש דכה"ג יצטרף לרוב..</w:t>
      </w:r>
    </w:p>
  </w:footnote>
  <w:footnote w:id="5836">
    <w:p w14:paraId="4E65615C" w14:textId="77777777" w:rsidR="006C4368" w:rsidRDefault="006C4368" w:rsidP="006C4368">
      <w:pPr>
        <w:pStyle w:val="Footnote"/>
        <w:bidi/>
      </w:pPr>
      <w:r>
        <w:rPr>
          <w:rStyle w:val="ac"/>
          <w:rtl/>
        </w:rPr>
        <w:footnoteRef/>
      </w:r>
      <w:r>
        <w:rPr>
          <w:rtl/>
        </w:rPr>
        <w:t>וה</w:t>
      </w:r>
      <w:r>
        <w:rPr>
          <w:b/>
          <w:bCs/>
          <w:rtl/>
        </w:rPr>
        <w:t>נוב"י</w:t>
      </w:r>
      <w:r>
        <w:rPr>
          <w:rtl/>
        </w:rPr>
        <w:t xml:space="preserve"> (הנ"ל מבן המחבר, ות' קמז) דייק מדברי רש"י דנח' בזה הנך אמוראים [ו</w:t>
      </w:r>
      <w:r>
        <w:rPr>
          <w:b/>
          <w:bCs/>
          <w:rtl/>
        </w:rPr>
        <w:t>רש"י</w:t>
      </w:r>
      <w:r>
        <w:rPr>
          <w:rtl/>
        </w:rPr>
        <w:t xml:space="preserve"> (שבת קמה:) שכת' דהוה משום אפקעינהו קאי כרב נחמן].</w:t>
      </w:r>
    </w:p>
  </w:footnote>
  <w:footnote w:id="5837">
    <w:p w14:paraId="2254D540" w14:textId="77777777" w:rsidR="006C4368" w:rsidRDefault="006C4368" w:rsidP="006C4368">
      <w:pPr>
        <w:pStyle w:val="Footnote"/>
        <w:bidi/>
      </w:pPr>
      <w:r>
        <w:rPr>
          <w:rStyle w:val="ac"/>
          <w:rtl/>
        </w:rPr>
        <w:footnoteRef/>
      </w:r>
      <w:r>
        <w:rPr>
          <w:rtl/>
        </w:rPr>
        <w:t xml:space="preserve">אך בפשוטו </w:t>
      </w:r>
      <w:r>
        <w:rPr>
          <w:b/>
          <w:bCs/>
          <w:rtl/>
        </w:rPr>
        <w:t>תוס</w:t>
      </w:r>
      <w:r>
        <w:rPr>
          <w:rtl/>
        </w:rPr>
        <w:t>' (שם) הוה בירור בעלמא בפרטי הדין, ולפרש לשון המשנה. אבל לא נחשב שההיתר הוה ע"פ בי"ד.</w:t>
      </w:r>
    </w:p>
  </w:footnote>
  <w:footnote w:id="5838">
    <w:p w14:paraId="2B85AF06" w14:textId="77777777" w:rsidR="006C4368" w:rsidRDefault="006C4368" w:rsidP="006C4368">
      <w:pPr>
        <w:pStyle w:val="Footnote"/>
        <w:bidi/>
      </w:pPr>
      <w:r>
        <w:rPr>
          <w:rStyle w:val="ac"/>
          <w:rtl/>
        </w:rPr>
        <w:footnoteRef/>
      </w:r>
      <w:r>
        <w:rPr>
          <w:rtl/>
        </w:rPr>
        <w:t>ועוד יש שפי' (ע"ע אבנ"נ קא) דגדר דין עדות בכל התורה שנתברר הדבר לבי"ד, ומש"ה היכא דנמצא שקרנים נחשב טעות. [והיכא דהעדים שקרנים אין כאן עדות]. אבל שאר גדרי הכרעה בתורה הוה דין על הבי"ד לדון ע"פ רוב וחזקה, והיכא דנמצא שלא כן, סוף סוף ההכרעה קיימת. [וע"ד דברי הנוב"י (יו"ד ת' צו, הו' לעיל פז:)].</w:t>
      </w:r>
    </w:p>
    <w:p w14:paraId="42984A8D" w14:textId="77777777" w:rsidR="006C4368" w:rsidRDefault="006C4368" w:rsidP="006C4368">
      <w:pPr>
        <w:pStyle w:val="Footnote"/>
        <w:bidi/>
      </w:pPr>
      <w:r>
        <w:rPr>
          <w:rtl/>
        </w:rPr>
        <w:tab/>
        <w:t>ואף עד א' באיסורין לא הוה נאמנות על גוף המעשה (וכמ"ש האחרונים, הו' לעיל פח:), אלא דין הכרעה לסמוך על העד, ומש"ה אף כשהעד שקרן הוה 'הוראה' ולא טעות. וזעירי ורבא פליגי דבעדות אשה גדר עד א' דנאמן כב', ונאמן על גוף המעשה, ומש"ה נחשב 'טעות' ולא הוראה.</w:t>
      </w:r>
    </w:p>
  </w:footnote>
  <w:footnote w:id="5839">
    <w:p w14:paraId="6770E71A" w14:textId="77777777" w:rsidR="006C4368" w:rsidRDefault="006C4368" w:rsidP="006C4368">
      <w:pPr>
        <w:pStyle w:val="Footnote"/>
        <w:bidi/>
      </w:pPr>
      <w:r>
        <w:rPr>
          <w:rStyle w:val="ac"/>
          <w:rtl/>
        </w:rPr>
        <w:footnoteRef/>
      </w:r>
      <w:r>
        <w:rPr>
          <w:rtl/>
        </w:rPr>
        <w:t>וה</w:t>
      </w:r>
      <w:r>
        <w:rPr>
          <w:b/>
          <w:bCs/>
          <w:rtl/>
        </w:rPr>
        <w:t>צפנת פענח</w:t>
      </w:r>
      <w:r>
        <w:rPr>
          <w:rtl/>
        </w:rPr>
        <w:t xml:space="preserve"> (גירושין יב טז) הביא דנח' אי הוה גדר הוראה או גדר טעות, אם הוא דין או סברא. דר"נ נקט דהוה רק הוראה וסברא. ואידך ס"ל דטעות ר"ל דעד אחד נאמן הוא בגדר עדות רק שהעד היה שקרן והטעה את הבי"ד, וא"כ אין שייך בזה גדר הוראה. [ודן דנח' עד"ז במקומות אחרים].</w:t>
      </w:r>
    </w:p>
    <w:p w14:paraId="715EAF27" w14:textId="77777777" w:rsidR="006C4368" w:rsidRDefault="006C4368" w:rsidP="006C4368">
      <w:pPr>
        <w:pStyle w:val="Footnote"/>
        <w:bidi/>
      </w:pPr>
      <w:r>
        <w:rPr>
          <w:rtl/>
        </w:rPr>
        <w:tab/>
        <w:t>והצפנ"פ הוסיף דלרב נחמן נחשב שהתקנה נתקן ע"פ הבי"ד שבכל דור ודור [ע"ד הא דאי' (ב"מ צו:) שבי"ד שבכל דור הם המתקנים תקנת בממונות]. ומש"ה נחשב דהורו בי"ד [לסמוך על עדות העד] ועשה בהוראת בי"ד [ואף לצד דל"צ קבלת עדות בבי"ד].</w:t>
      </w:r>
    </w:p>
  </w:footnote>
  <w:footnote w:id="5840">
    <w:p w14:paraId="58725BC9" w14:textId="77777777" w:rsidR="006C4368" w:rsidRDefault="006C4368" w:rsidP="006C4368">
      <w:pPr>
        <w:pStyle w:val="Footnote"/>
        <w:bidi/>
      </w:pPr>
      <w:r>
        <w:rPr>
          <w:rStyle w:val="ac"/>
          <w:rtl/>
        </w:rPr>
        <w:footnoteRef/>
      </w:r>
      <w:r>
        <w:rPr>
          <w:rtl/>
        </w:rPr>
        <w:t>ועפ"ז יל"פ הנידון של רבא, דכיון דהבי"ד סמכו על האומדנא דדייקא ומינסבא, ואח"כ נמצא שהיה טעות. תו לא סמכינן עליהם באומדנא זו.</w:t>
      </w:r>
    </w:p>
  </w:footnote>
  <w:footnote w:id="5841">
    <w:p w14:paraId="36380829" w14:textId="77777777" w:rsidR="006C4368" w:rsidRDefault="006C4368" w:rsidP="006C4368">
      <w:pPr>
        <w:pStyle w:val="Footnote"/>
        <w:bidi/>
      </w:pPr>
      <w:r>
        <w:rPr>
          <w:rStyle w:val="ac"/>
          <w:rtl/>
        </w:rPr>
        <w:footnoteRef/>
      </w:r>
      <w:r>
        <w:rPr>
          <w:rtl/>
        </w:rPr>
        <w:t>וה</w:t>
      </w:r>
      <w:r>
        <w:rPr>
          <w:b/>
          <w:bCs/>
          <w:rtl/>
        </w:rPr>
        <w:t>חזון יחזקאל</w:t>
      </w:r>
      <w:r>
        <w:rPr>
          <w:rtl/>
        </w:rPr>
        <w:t xml:space="preserve"> (בתוספתא יא ה) פי' באופ"א, דודאי מהני הוראה השניה מכאן ולהבא, אלא דהנידון על ההוראה הראשונה. דבי"ד הורו להתיר, וחזרו לאיסור, וחזרו להתיר. ס"ד דעי"ז חוזר הוראתם הראשונה, ונפק"מ כשמקצת עשו מחמת הוראה הראשונה, ומקצת מחמת האחרון דמצטרף. קמ"ל דהוראה הראשונה אינו ניעור.</w:t>
      </w:r>
    </w:p>
  </w:footnote>
  <w:footnote w:id="5842">
    <w:p w14:paraId="1E9DD414" w14:textId="77777777" w:rsidR="006C4368" w:rsidRDefault="006C4368" w:rsidP="006C4368">
      <w:pPr>
        <w:pStyle w:val="Footnote"/>
        <w:bidi/>
      </w:pPr>
      <w:r>
        <w:rPr>
          <w:rStyle w:val="ac"/>
          <w:rtl/>
        </w:rPr>
        <w:footnoteRef/>
      </w:r>
      <w:r>
        <w:rPr>
          <w:rtl/>
        </w:rPr>
        <w:t>ומבואר דסמכינן על סברא שאינו מובהק של בי"ד, אלא דהיכא דכבר הוחזקו בטעות בהוראה זו ל"מ טעם שאינו מובהק.</w:t>
      </w:r>
    </w:p>
  </w:footnote>
  <w:footnote w:id="5843">
    <w:p w14:paraId="27DDCC2C" w14:textId="77777777" w:rsidR="006C4368" w:rsidRDefault="006C4368" w:rsidP="006C4368">
      <w:pPr>
        <w:pStyle w:val="Footnote"/>
        <w:bidi/>
      </w:pPr>
      <w:r>
        <w:rPr>
          <w:rStyle w:val="ac"/>
          <w:rtl/>
        </w:rPr>
        <w:footnoteRef/>
      </w:r>
      <w:r>
        <w:rPr>
          <w:rtl/>
        </w:rPr>
        <w:t>וה</w:t>
      </w:r>
      <w:r>
        <w:rPr>
          <w:b/>
          <w:bCs/>
          <w:rtl/>
        </w:rPr>
        <w:t>רמב"ן</w:t>
      </w:r>
      <w:r>
        <w:rPr>
          <w:rtl/>
        </w:rPr>
        <w:t xml:space="preserve"> כת' דכן מדוייק בלשון הגמ', דדוקא בהוראה אמצעית של איסור נקטו הלשון חזו 'טעמא'. [ולו"ד יל"פ הלשון דלהיתר נקרא 'הוראה', ואילו לאסור נקט הלשון חזו טעמא, שנתעורר אצלם ספק וממילא אסור].</w:t>
      </w:r>
    </w:p>
  </w:footnote>
  <w:footnote w:id="5844">
    <w:p w14:paraId="02EE83B6" w14:textId="77777777" w:rsidR="006C4368" w:rsidRDefault="006C4368" w:rsidP="006C4368">
      <w:pPr>
        <w:pStyle w:val="Footnote"/>
        <w:bidi/>
      </w:pPr>
      <w:r>
        <w:rPr>
          <w:rStyle w:val="ac"/>
          <w:rtl/>
        </w:rPr>
        <w:footnoteRef/>
      </w:r>
      <w:r>
        <w:rPr>
          <w:rtl/>
        </w:rPr>
        <w:t>וה</w:t>
      </w:r>
      <w:r>
        <w:rPr>
          <w:b/>
          <w:bCs/>
          <w:rtl/>
        </w:rPr>
        <w:t>מאירי</w:t>
      </w:r>
      <w:r>
        <w:rPr>
          <w:rtl/>
        </w:rPr>
        <w:t xml:space="preserve"> ביאר דאע"פ שבודאי טעינו תחלה שסמכנו בעד א', ואלו היתה הוראה היאך היינו שומעין להם [בדבר שהוא בתורת חידוש, דהאיך מתירין מאותו טעם עצמו]. ומה כחה של הוראה שניה יפה מן הראשונה. אלא ודאי דבדבר זה אינו תלוי בסברא אלא בעדות, ומש"ה אין זו הוראה אלא טעות. שטעינו ע"פ עדות הראשון, ונמצא שהעיד שקר. ואם הוא הוחזק לא הוחזקו האחרים.</w:t>
      </w:r>
    </w:p>
  </w:footnote>
  <w:footnote w:id="5845">
    <w:p w14:paraId="133F9AC9" w14:textId="77777777" w:rsidR="006C4368" w:rsidRDefault="006C4368" w:rsidP="006C4368">
      <w:pPr>
        <w:pStyle w:val="Footnote"/>
        <w:bidi/>
      </w:pPr>
      <w:r>
        <w:rPr>
          <w:rStyle w:val="ac"/>
          <w:rtl/>
        </w:rPr>
        <w:footnoteRef/>
      </w:r>
      <w:r>
        <w:rPr>
          <w:rtl/>
        </w:rPr>
        <w:t>ויל"ד האיך איירי, דאי לא נשאת מחמת עד הראשון, א"כ עדיין לא הושלם בירור של 'דייקא' מחמת הוראה הראשונה, דשמא האשה תזהר ולא תנשא. [וע' מש"כ בזה לעיל פח.].</w:t>
      </w:r>
    </w:p>
    <w:p w14:paraId="0A21D74F" w14:textId="77777777" w:rsidR="006C4368" w:rsidRDefault="006C4368" w:rsidP="006C4368">
      <w:pPr>
        <w:pStyle w:val="Footnote"/>
        <w:bidi/>
      </w:pPr>
      <w:r>
        <w:rPr>
          <w:rtl/>
        </w:rPr>
        <w:tab/>
        <w:t>ואם נשאת מחמת הוראת הראשון [וכן משמע בריטב"א שכת' שהיא לא דקדקה בפעם הראשון, ונתקלקלה בו], א"כ כשבאו ב' עדים אמרי' תצא מזה ומזה. וכשמת אח"כ באה לינשא לשלישי. אך ה</w:t>
      </w:r>
      <w:r>
        <w:rPr>
          <w:b/>
          <w:bCs/>
          <w:rtl/>
        </w:rPr>
        <w:t>אחרונים</w:t>
      </w:r>
      <w:r>
        <w:rPr>
          <w:rtl/>
        </w:rPr>
        <w:t xml:space="preserve"> הק' דכיון דכבר אסורה על בעלה [כשנשאת לראשון], א"כ שוב לא שייך דייקא משום חומר דסופה [ועד"ז נסתפק </w:t>
      </w:r>
      <w:r>
        <w:rPr>
          <w:b/>
          <w:bCs/>
          <w:rtl/>
        </w:rPr>
        <w:t>רע"א</w:t>
      </w:r>
      <w:r>
        <w:rPr>
          <w:rtl/>
        </w:rPr>
        <w:t xml:space="preserve"> (ק' קכג ד"ה וביותר, שם קל ד"ה עוד יש לדון דבמומר), וה</w:t>
      </w:r>
      <w:r>
        <w:rPr>
          <w:b/>
          <w:bCs/>
          <w:rtl/>
        </w:rPr>
        <w:t>עונג יו"ט</w:t>
      </w:r>
      <w:r>
        <w:rPr>
          <w:rtl/>
        </w:rPr>
        <w:t xml:space="preserve"> (קלב) הביא מסוגיין]. אך ה</w:t>
      </w:r>
      <w:r>
        <w:rPr>
          <w:b/>
          <w:bCs/>
          <w:rtl/>
        </w:rPr>
        <w:t>אחרונים</w:t>
      </w:r>
      <w:r>
        <w:rPr>
          <w:rtl/>
        </w:rPr>
        <w:t xml:space="preserve"> (נתיבות וחת"ס בשו"ת רע"א ק' קל) דנו דדייקא ומינסבא משום שיש חומר בסופה שתאסר על האחרון.</w:t>
      </w:r>
    </w:p>
    <w:p w14:paraId="4F4DA45A" w14:textId="77777777" w:rsidR="006C4368" w:rsidRDefault="006C4368" w:rsidP="006C4368">
      <w:pPr>
        <w:pStyle w:val="Footnote"/>
        <w:bidi/>
      </w:pPr>
      <w:r>
        <w:rPr>
          <w:rtl/>
        </w:rPr>
        <w:tab/>
        <w:t>[אך ה</w:t>
      </w:r>
      <w:r>
        <w:rPr>
          <w:b/>
          <w:bCs/>
          <w:rtl/>
        </w:rPr>
        <w:t>חזו"י</w:t>
      </w:r>
      <w:r>
        <w:rPr>
          <w:rtl/>
        </w:rPr>
        <w:t xml:space="preserve"> (בתוספתא יא ה) העמיד הנידון האם ע"י העד לבסוף אמרי' דלא תצא מחמת הוראה הראשונה. אך צ"ל דלא איירי דאומר השתא מת. דא"כ מה מהני עד בתרא].</w:t>
      </w:r>
    </w:p>
  </w:footnote>
  <w:footnote w:id="5846">
    <w:p w14:paraId="70A6E270" w14:textId="77777777" w:rsidR="006C4368" w:rsidRDefault="006C4368" w:rsidP="006C4368">
      <w:pPr>
        <w:pStyle w:val="Footnote"/>
        <w:bidi/>
      </w:pPr>
      <w:r>
        <w:rPr>
          <w:rStyle w:val="ac"/>
          <w:rtl/>
        </w:rPr>
        <w:footnoteRef/>
      </w:r>
      <w:r>
        <w:rPr>
          <w:rtl/>
        </w:rPr>
        <w:t>וה</w:t>
      </w:r>
      <w:r>
        <w:rPr>
          <w:b/>
          <w:bCs/>
          <w:rtl/>
        </w:rPr>
        <w:t>ריטב"א</w:t>
      </w:r>
      <w:r>
        <w:rPr>
          <w:rtl/>
        </w:rPr>
        <w:t xml:space="preserve"> ביאר דאי העד האחרון מעיד שמת מעיקרא [ועי"ז נתעורר עדות הראשונה], א"כ הוה תרי ותרי. ועכ"פ לכתחילה לא תנשא [אף כשאומרת ברי לי, וכדלעיל פח:].</w:t>
      </w:r>
    </w:p>
  </w:footnote>
  <w:footnote w:id="5847">
    <w:p w14:paraId="4D49E968" w14:textId="77777777" w:rsidR="006C4368" w:rsidRDefault="006C4368" w:rsidP="006C4368">
      <w:pPr>
        <w:pStyle w:val="Footnote"/>
        <w:bidi/>
      </w:pPr>
      <w:r>
        <w:rPr>
          <w:rStyle w:val="ac"/>
          <w:rtl/>
        </w:rPr>
        <w:footnoteRef/>
      </w:r>
      <w:r>
        <w:rPr>
          <w:rtl/>
        </w:rPr>
        <w:t>וביאר שהיתה מוחזקת אשת איש, ועד הראשון התיר, ובאו ב' עדים והעמידו אחזקתו. ואפ"ה מהני עד האחרון. [ומשמע דהנידון דל"מ להוציא הדבר מחזקתו. וצ"ב דלא אתינן עלה משום 'חזקה', אלא תרי ותרי וטענת ברי, כיון דדייקא ומינסבא מקליש לחזקת אשת איש].</w:t>
      </w:r>
    </w:p>
  </w:footnote>
  <w:footnote w:id="5848">
    <w:p w14:paraId="278C2B66" w14:textId="77777777" w:rsidR="006C4368" w:rsidRDefault="006C4368" w:rsidP="006C4368">
      <w:pPr>
        <w:pStyle w:val="Footnote"/>
        <w:bidi/>
      </w:pPr>
      <w:r>
        <w:rPr>
          <w:rStyle w:val="ac"/>
          <w:rtl/>
        </w:rPr>
        <w:footnoteRef/>
      </w:r>
      <w:r>
        <w:rPr>
          <w:rtl/>
        </w:rPr>
        <w:t>וצ"ב דב' עדים ודאי הוה בגדר טעות, והנידון כאן רק בגדר עדות עד א'. ותרי ותרי לא שייך כלל לגדרי נאמנות עד א'.</w:t>
      </w:r>
    </w:p>
  </w:footnote>
  <w:footnote w:id="5849">
    <w:p w14:paraId="4769C21E" w14:textId="77777777" w:rsidR="006C4368" w:rsidRDefault="006C4368" w:rsidP="006C4368">
      <w:pPr>
        <w:pStyle w:val="Footnote"/>
        <w:bidi/>
      </w:pPr>
      <w:r>
        <w:rPr>
          <w:rStyle w:val="ac"/>
          <w:rtl/>
        </w:rPr>
        <w:footnoteRef/>
      </w:r>
      <w:r>
        <w:rPr>
          <w:rtl/>
        </w:rPr>
        <w:t>ולא הוה בכלל ההיתר דעשה ע"פ הוראת בי"ד.</w:t>
      </w:r>
    </w:p>
    <w:p w14:paraId="3F48DF7A" w14:textId="77777777" w:rsidR="006C4368" w:rsidRDefault="006C4368" w:rsidP="006C4368">
      <w:pPr>
        <w:pStyle w:val="Footnote"/>
        <w:bidi/>
      </w:pPr>
      <w:r>
        <w:rPr>
          <w:rtl/>
        </w:rPr>
        <w:tab/>
        <w:t>וה</w:t>
      </w:r>
      <w:r>
        <w:rPr>
          <w:b/>
          <w:bCs/>
          <w:rtl/>
        </w:rPr>
        <w:t>נוב"י</w:t>
      </w:r>
      <w:r>
        <w:rPr>
          <w:rtl/>
        </w:rPr>
        <w:t xml:space="preserve"> (ת' חו"מ סב לבן המחבר) דן לצד דאפקעינהו רבנן לקידושין, ומש"ה אינה חייבת קרבן, א"כ מה לי אלמנה וכה"ג. וכת' דרבנן לא הפקיעו הקידושין אלא לעת הצורך והכרח, אבל קודם ההכרח למה יעשה לבעילת הבעל הראשון בעילת זנות. והפקיעו רק בשביל הנישואין לבעל השני. אך הק' דמ"ד דאף זינתה פטור מבואר דמיד הותרה [א"כ מ"ש אלמנה לכה"ג. וכן יל"ד היכא דזינתה ואח"כ נשאת אלמנה לכה"ג. וכן היכא דנשאת לאחר ומת, ואח"כ נשאת אלמנה לכה"ג].</w:t>
      </w:r>
    </w:p>
  </w:footnote>
  <w:footnote w:id="5850">
    <w:p w14:paraId="69B21858" w14:textId="77777777" w:rsidR="006C4368" w:rsidRDefault="006C4368" w:rsidP="006C4368">
      <w:pPr>
        <w:pStyle w:val="Footnote"/>
        <w:bidi/>
      </w:pPr>
      <w:r>
        <w:rPr>
          <w:rStyle w:val="ac"/>
          <w:rtl/>
        </w:rPr>
        <w:footnoteRef/>
      </w:r>
      <w:r>
        <w:rPr>
          <w:rtl/>
        </w:rPr>
        <w:t>פ</w:t>
      </w:r>
      <w:r>
        <w:rPr>
          <w:b/>
          <w:bCs/>
          <w:rtl/>
        </w:rPr>
        <w:t>רש"י</w:t>
      </w:r>
      <w:r>
        <w:rPr>
          <w:rtl/>
        </w:rPr>
        <w:t xml:space="preserve"> וכן דין יחיד התולה בבי"ד.</w:t>
      </w:r>
    </w:p>
  </w:footnote>
  <w:footnote w:id="5851">
    <w:p w14:paraId="705CDDAE" w14:textId="77777777" w:rsidR="006C4368" w:rsidRDefault="006C4368" w:rsidP="006C4368">
      <w:pPr>
        <w:pStyle w:val="Footnote"/>
        <w:bidi/>
      </w:pPr>
      <w:r>
        <w:rPr>
          <w:rStyle w:val="ac"/>
          <w:rtl/>
        </w:rPr>
        <w:footnoteRef/>
      </w:r>
      <w:r>
        <w:rPr>
          <w:rtl/>
        </w:rPr>
        <w:t>ולל"ב ר' דימי פליג דסגי באומר מותרין אתם, ולשמואל דוקא מותרין אתם לעשות.</w:t>
      </w:r>
    </w:p>
  </w:footnote>
  <w:footnote w:id="5852">
    <w:p w14:paraId="35B143C3" w14:textId="77777777" w:rsidR="006C4368" w:rsidRDefault="006C4368" w:rsidP="006C4368">
      <w:pPr>
        <w:pStyle w:val="Footnote"/>
        <w:bidi/>
      </w:pPr>
      <w:r>
        <w:rPr>
          <w:rStyle w:val="ac"/>
          <w:rtl/>
        </w:rPr>
        <w:footnoteRef/>
      </w:r>
      <w:r>
        <w:rPr>
          <w:rtl/>
        </w:rPr>
        <w:t>וה</w:t>
      </w:r>
      <w:r>
        <w:rPr>
          <w:b/>
          <w:bCs/>
          <w:rtl/>
        </w:rPr>
        <w:t>תוס'</w:t>
      </w:r>
      <w:r>
        <w:rPr>
          <w:rtl/>
        </w:rPr>
        <w:t xml:space="preserve"> (שם) פי' דהגמ' לא מק' לשמואל, די"ל דרב דימי בא לפרש דבריו. [ואילו לל"ב דהוה להיפך, נדחו דברי רב דימי].</w:t>
      </w:r>
    </w:p>
  </w:footnote>
  <w:footnote w:id="5853">
    <w:p w14:paraId="6C816AE0" w14:textId="77777777" w:rsidR="006C4368" w:rsidRDefault="006C4368" w:rsidP="006C4368">
      <w:pPr>
        <w:pStyle w:val="Footnote"/>
        <w:bidi/>
      </w:pPr>
      <w:r>
        <w:rPr>
          <w:rStyle w:val="ac"/>
          <w:rtl/>
        </w:rPr>
        <w:footnoteRef/>
      </w:r>
      <w:r>
        <w:rPr>
          <w:rtl/>
        </w:rPr>
        <w:t>פ</w:t>
      </w:r>
      <w:r>
        <w:rPr>
          <w:b/>
          <w:bCs/>
          <w:rtl/>
        </w:rPr>
        <w:t>רש"י</w:t>
      </w:r>
      <w:r>
        <w:rPr>
          <w:rtl/>
        </w:rPr>
        <w:t xml:space="preserve"> (שם) דדייקו מהלשון הורוה, משמע הוראה למעשה. וה</w:t>
      </w:r>
      <w:r>
        <w:rPr>
          <w:b/>
          <w:bCs/>
          <w:rtl/>
        </w:rPr>
        <w:t>תוס' רא"ש</w:t>
      </w:r>
      <w:r>
        <w:rPr>
          <w:rtl/>
        </w:rPr>
        <w:t xml:space="preserve"> בשם ה</w:t>
      </w:r>
      <w:r>
        <w:rPr>
          <w:b/>
          <w:bCs/>
          <w:rtl/>
        </w:rPr>
        <w:t>רמ"ה</w:t>
      </w:r>
      <w:r>
        <w:rPr>
          <w:rtl/>
        </w:rPr>
        <w:t xml:space="preserve"> פי' דבמה שהתירו אותה הוציאה מכלל אשת איש, ואפ"ה לא נחשב שהתירו אותה כלפי קלקול. אלמא לא מקרי תולה בבי"ד אלא באותו מעשה שהורו למעשה. ואף דהמעשה יוצא מכלל ההיתר. ומזה יש ללמוד דלא מיקריא הוראה עד שיפרשו היתר העשיה.</w:t>
      </w:r>
    </w:p>
  </w:footnote>
  <w:footnote w:id="5854">
    <w:p w14:paraId="3BEE07D0" w14:textId="77777777" w:rsidR="006C4368" w:rsidRDefault="006C4368" w:rsidP="006C4368">
      <w:pPr>
        <w:pStyle w:val="Footnote"/>
        <w:bidi/>
      </w:pPr>
      <w:r>
        <w:rPr>
          <w:rStyle w:val="ac"/>
          <w:rtl/>
        </w:rPr>
        <w:footnoteRef/>
      </w:r>
      <w:r>
        <w:rPr>
          <w:rtl/>
        </w:rPr>
        <w:t>וי"ג דאכל חלב ודם.</w:t>
      </w:r>
    </w:p>
  </w:footnote>
  <w:footnote w:id="5855">
    <w:p w14:paraId="35AE9AE4" w14:textId="77777777" w:rsidR="006C4368" w:rsidRDefault="006C4368" w:rsidP="006C4368">
      <w:pPr>
        <w:pStyle w:val="Footnote"/>
        <w:bidi/>
      </w:pPr>
      <w:r>
        <w:rPr>
          <w:rStyle w:val="ac"/>
          <w:rtl/>
        </w:rPr>
        <w:footnoteRef/>
      </w:r>
      <w:r>
        <w:rPr>
          <w:rtl/>
        </w:rPr>
        <w:t>וה</w:t>
      </w:r>
      <w:r>
        <w:rPr>
          <w:b/>
          <w:bCs/>
          <w:rtl/>
        </w:rPr>
        <w:t>נוב"י</w:t>
      </w:r>
      <w:r>
        <w:rPr>
          <w:rtl/>
        </w:rPr>
        <w:t xml:space="preserve"> (חו"מ ת' סב) כת' אני נבוך בגוף דברי הגמרא, ועדיין לא זכיתי להבין במאי יש לחלק בין זינתה לאלמנה לכה"ג, ואיזה סברא יש לחלק בין זה לזה. ואם בזנתה היא יכולה לומר אתון שויתון פנויה גם באלמנה לכה"ג יכולה שתאמר כן.</w:t>
      </w:r>
    </w:p>
  </w:footnote>
  <w:footnote w:id="5856">
    <w:p w14:paraId="0678FEFD" w14:textId="77777777" w:rsidR="006C4368" w:rsidRDefault="006C4368" w:rsidP="006C4368">
      <w:pPr>
        <w:pStyle w:val="Footnote"/>
        <w:bidi/>
      </w:pPr>
      <w:r>
        <w:rPr>
          <w:rStyle w:val="ac"/>
          <w:rtl/>
        </w:rPr>
        <w:footnoteRef/>
      </w:r>
      <w:r>
        <w:rPr>
          <w:rtl/>
        </w:rPr>
        <w:t>ויל"ד מה דעת ר"א דזנות אינו בכלל ההיתר, ואף לדברי הראשונים דזנות פנויה אינה לוקה. וי"ל דמ"מ לא הוה דרך היתר.</w:t>
      </w:r>
    </w:p>
  </w:footnote>
  <w:footnote w:id="5857">
    <w:p w14:paraId="6ADAE16F" w14:textId="77777777" w:rsidR="006C4368" w:rsidRDefault="006C4368" w:rsidP="006C4368">
      <w:pPr>
        <w:pStyle w:val="Footnote"/>
        <w:bidi/>
      </w:pPr>
      <w:r>
        <w:rPr>
          <w:rStyle w:val="ac"/>
          <w:rtl/>
        </w:rPr>
        <w:footnoteRef/>
      </w:r>
      <w:r>
        <w:rPr>
          <w:rtl/>
        </w:rPr>
        <w:t>אך הק' לדעת ה</w:t>
      </w:r>
      <w:r>
        <w:rPr>
          <w:b/>
          <w:bCs/>
          <w:rtl/>
        </w:rPr>
        <w:t xml:space="preserve">רמב"ם </w:t>
      </w:r>
      <w:r>
        <w:rPr>
          <w:rtl/>
        </w:rPr>
        <w:t>(אישות א ד) דפנויה שזינתה לוקה. והביא דה</w:t>
      </w:r>
      <w:r>
        <w:rPr>
          <w:b/>
          <w:bCs/>
          <w:rtl/>
        </w:rPr>
        <w:t>כס"מ</w:t>
      </w:r>
      <w:r>
        <w:rPr>
          <w:rtl/>
        </w:rPr>
        <w:t xml:space="preserve"> (נערה ב יז) כת' די"ל דהרמב"ם ס"ל כראב"ד דדוקא מופקרת לזנות. ועפ"ז חילק בסוגיין דדוקא זינתה מאדם א' פטורה, אבל אם זינתה מהרבה בני אדם חייבת חטאת.</w:t>
      </w:r>
    </w:p>
  </w:footnote>
  <w:footnote w:id="5858">
    <w:p w14:paraId="6A0761FF" w14:textId="77777777" w:rsidR="006C4368" w:rsidRDefault="006C4368" w:rsidP="006C4368">
      <w:pPr>
        <w:pStyle w:val="Footnote"/>
        <w:bidi/>
      </w:pPr>
      <w:r>
        <w:rPr>
          <w:rStyle w:val="ac"/>
          <w:rtl/>
        </w:rPr>
        <w:footnoteRef/>
      </w:r>
      <w:r>
        <w:rPr>
          <w:rtl/>
        </w:rPr>
        <w:t>ומש"ה הוסיפו הרי את מותרת לכל אדם [דכולל אף היתר זנות].</w:t>
      </w:r>
    </w:p>
  </w:footnote>
  <w:footnote w:id="5859">
    <w:p w14:paraId="38476B73" w14:textId="77777777" w:rsidR="006C4368" w:rsidRDefault="006C4368" w:rsidP="006C4368">
      <w:pPr>
        <w:pStyle w:val="Footnote"/>
        <w:bidi/>
      </w:pPr>
      <w:r>
        <w:rPr>
          <w:rStyle w:val="ac"/>
          <w:rtl/>
        </w:rPr>
        <w:footnoteRef/>
      </w:r>
      <w:r>
        <w:rPr>
          <w:rtl/>
        </w:rPr>
        <w:t>אבל המגרש את אשתו טוענין כל מה שאפשר לטעון, שמא שייר בגט.</w:t>
      </w:r>
    </w:p>
  </w:footnote>
  <w:footnote w:id="5860">
    <w:p w14:paraId="26F1DF43" w14:textId="77777777" w:rsidR="006C4368" w:rsidRDefault="006C4368" w:rsidP="006C4368">
      <w:pPr>
        <w:pStyle w:val="Footnote"/>
        <w:bidi/>
      </w:pPr>
      <w:r>
        <w:rPr>
          <w:rStyle w:val="ac"/>
          <w:rtl/>
        </w:rPr>
        <w:footnoteRef/>
      </w:r>
      <w:r>
        <w:rPr>
          <w:rtl/>
        </w:rPr>
        <w:t>וה</w:t>
      </w:r>
      <w:r>
        <w:rPr>
          <w:b/>
          <w:bCs/>
          <w:rtl/>
        </w:rPr>
        <w:t>רמב"ן</w:t>
      </w:r>
      <w:r>
        <w:rPr>
          <w:rtl/>
        </w:rPr>
        <w:t xml:space="preserve"> הק' שאם יש לדמותה להורוה בי"ד, א"כ אף כשכותב לכל גבר דתיצביין נימא ששייר בה אלמנה לכה"ג, דומיא דבי"ד שהתירוה לינשא לכל מי שתרצה. וה</w:t>
      </w:r>
      <w:r>
        <w:rPr>
          <w:b/>
          <w:bCs/>
          <w:rtl/>
        </w:rPr>
        <w:t>רשב"א</w:t>
      </w:r>
      <w:r>
        <w:rPr>
          <w:rtl/>
        </w:rPr>
        <w:t xml:space="preserve"> (שם) ביאר דגבי גט הבעל מסלק רשותו ממנה מהכל, ומתירה כאלו לא נתקדשה. והיא תחוש לעצמה.</w:t>
      </w:r>
    </w:p>
  </w:footnote>
  <w:footnote w:id="5861">
    <w:p w14:paraId="280EE7EE" w14:textId="77777777" w:rsidR="006C4368" w:rsidRDefault="006C4368" w:rsidP="006C4368">
      <w:pPr>
        <w:pStyle w:val="Footnote"/>
        <w:bidi/>
      </w:pPr>
      <w:r>
        <w:rPr>
          <w:rStyle w:val="ac"/>
          <w:rtl/>
        </w:rPr>
        <w:footnoteRef/>
      </w:r>
      <w:r>
        <w:rPr>
          <w:rtl/>
        </w:rPr>
        <w:t>ואף כשאומר מת בעלה, ולא הזכירו את הבן מותרת לינשא. דהבן בחזקת שהוא קיים. [וכ"פ ה</w:t>
      </w:r>
      <w:r>
        <w:rPr>
          <w:b/>
          <w:bCs/>
          <w:rtl/>
        </w:rPr>
        <w:t>רמב"ם</w:t>
      </w:r>
      <w:r>
        <w:rPr>
          <w:rtl/>
        </w:rPr>
        <w:t xml:space="preserve"> (יבום ג יז) וה</w:t>
      </w:r>
      <w:r>
        <w:rPr>
          <w:b/>
          <w:bCs/>
          <w:rtl/>
        </w:rPr>
        <w:t>שו"ע</w:t>
      </w:r>
      <w:r>
        <w:rPr>
          <w:rtl/>
        </w:rPr>
        <w:t xml:space="preserve"> (קנו י), ו</w:t>
      </w:r>
      <w:r>
        <w:rPr>
          <w:b/>
          <w:bCs/>
          <w:rtl/>
        </w:rPr>
        <w:t>ה"ה</w:t>
      </w:r>
      <w:r>
        <w:rPr>
          <w:rtl/>
        </w:rPr>
        <w:t xml:space="preserve"> וה</w:t>
      </w:r>
      <w:r>
        <w:rPr>
          <w:b/>
          <w:bCs/>
          <w:rtl/>
        </w:rPr>
        <w:t>גר"א</w:t>
      </w:r>
      <w:r>
        <w:rPr>
          <w:rtl/>
        </w:rPr>
        <w:t xml:space="preserve"> ציינו (גיטין כח.) דמוקמינן בחזקת חיים. וכ"כ ה</w:t>
      </w:r>
      <w:r>
        <w:rPr>
          <w:b/>
          <w:bCs/>
          <w:rtl/>
        </w:rPr>
        <w:t>נמוק"י</w:t>
      </w:r>
      <w:r>
        <w:rPr>
          <w:rtl/>
        </w:rPr>
        <w:t xml:space="preserve"> (כט: בדה"ר)].</w:t>
      </w:r>
    </w:p>
    <w:p w14:paraId="5EE46017" w14:textId="77777777" w:rsidR="006C4368" w:rsidRDefault="006C4368" w:rsidP="006C4368">
      <w:pPr>
        <w:pStyle w:val="Footnote"/>
        <w:bidi/>
      </w:pPr>
      <w:r>
        <w:rPr>
          <w:rtl/>
        </w:rPr>
        <w:tab/>
        <w:t>ובפשוטו נקט מת הבן אגב ההמשך. ולדברי הבעה"מ (ע' בסמוך) איירי באופן דשמענו דמתו תרוייהו, ויש בזה חידוש דעד א' נאמן לברר איזה מת קודם. (וע"ע לקמן צד.). ועוד מבואר בתוס' והראשונים (צד.) דאף כשידעינן ע"פ עד א' שמת, יש צד דשוב אינו נאמן איזה מת ראשון. [ולצד זה המשנה איירי בב' עדים].</w:t>
      </w:r>
    </w:p>
  </w:footnote>
  <w:footnote w:id="5862">
    <w:p w14:paraId="7A4728E5" w14:textId="77777777" w:rsidR="006C4368" w:rsidRDefault="006C4368" w:rsidP="006C4368">
      <w:pPr>
        <w:pStyle w:val="Footnote"/>
        <w:bidi/>
      </w:pPr>
      <w:r>
        <w:rPr>
          <w:rStyle w:val="ac"/>
          <w:rtl/>
        </w:rPr>
        <w:footnoteRef/>
      </w:r>
      <w:r>
        <w:rPr>
          <w:rtl/>
        </w:rPr>
        <w:t>ולכאורה דבר פשוט הוא דעד א' אינו נאמן לאסור את האשה, ולומר שמת בנה בחיי בעלה. וע"ד הא דאי' (קידושין סד., שו"ע קנז ו) דאינו נאמן להעיד שיש לבעלה אחים. וב</w:t>
      </w:r>
      <w:r>
        <w:rPr>
          <w:b/>
          <w:bCs/>
          <w:rtl/>
        </w:rPr>
        <w:t>שו"ת הרא"ש</w:t>
      </w:r>
      <w:r>
        <w:rPr>
          <w:rtl/>
        </w:rPr>
        <w:t xml:space="preserve"> (נב ה, הו' בב"י שם) ביאר דעומדת בחזקת היתר לשוק ולאו כ"כ לאוסרה. דעד א' אינו נאמן לאסור, אלא היכא דהלה שותק (וציין לגיטין נד.). וה</w:t>
      </w:r>
      <w:r>
        <w:rPr>
          <w:b/>
          <w:bCs/>
          <w:rtl/>
        </w:rPr>
        <w:t>גר"א</w:t>
      </w:r>
      <w:r>
        <w:rPr>
          <w:rtl/>
        </w:rPr>
        <w:t xml:space="preserve"> (שם) ציין לתוס' (קידושין סה:) דעד א' נאמן להתיר ולא לאסור.</w:t>
      </w:r>
    </w:p>
    <w:p w14:paraId="16F8D187" w14:textId="77777777" w:rsidR="006C4368" w:rsidRDefault="006C4368" w:rsidP="006C4368">
      <w:pPr>
        <w:pStyle w:val="Footnote"/>
        <w:bidi/>
      </w:pPr>
      <w:r>
        <w:rPr>
          <w:rtl/>
        </w:rPr>
        <w:tab/>
        <w:t>אך דעת ה</w:t>
      </w:r>
      <w:r>
        <w:rPr>
          <w:b/>
          <w:bCs/>
          <w:rtl/>
        </w:rPr>
        <w:t>רמב"ן</w:t>
      </w:r>
      <w:r>
        <w:rPr>
          <w:rtl/>
        </w:rPr>
        <w:t xml:space="preserve"> (ועוד ראשונים קידושין שם) דעד א' נאמן לאסור, ואפי' איתחזק היתר [והגמ' גיטין שם איירי בפועל דלא מרעי אומנותו]. וי"ל דס"ל דאיסור יבמה הוה דבר שבערוה (ע' מש"כ לקמן צג:), ומש"ה ע"א אינו נאמן.</w:t>
      </w:r>
    </w:p>
  </w:footnote>
  <w:footnote w:id="5863">
    <w:p w14:paraId="628AF717" w14:textId="77777777" w:rsidR="006C4368" w:rsidRDefault="006C4368" w:rsidP="006C4368">
      <w:pPr>
        <w:pStyle w:val="Footnote"/>
        <w:bidi/>
      </w:pPr>
      <w:r>
        <w:rPr>
          <w:rStyle w:val="ac"/>
          <w:rtl/>
        </w:rPr>
        <w:footnoteRef/>
      </w:r>
      <w:r>
        <w:rPr>
          <w:rtl/>
        </w:rPr>
        <w:t xml:space="preserve">וע"ד מש"כ </w:t>
      </w:r>
      <w:r>
        <w:rPr>
          <w:b/>
          <w:bCs/>
          <w:rtl/>
        </w:rPr>
        <w:t>תוס</w:t>
      </w:r>
      <w:r>
        <w:rPr>
          <w:rtl/>
        </w:rPr>
        <w:t>' (לקמן קיט. ד"ה אמאי) [אמתני' לקמן קיח:].</w:t>
      </w:r>
    </w:p>
  </w:footnote>
  <w:footnote w:id="5864">
    <w:p w14:paraId="08361F66" w14:textId="77777777" w:rsidR="006C4368" w:rsidRDefault="006C4368" w:rsidP="006C4368">
      <w:pPr>
        <w:pStyle w:val="Footnote"/>
        <w:bidi/>
      </w:pPr>
      <w:r>
        <w:rPr>
          <w:rStyle w:val="ac"/>
          <w:rtl/>
        </w:rPr>
        <w:footnoteRef/>
      </w:r>
      <w:r>
        <w:rPr>
          <w:rtl/>
        </w:rPr>
        <w:t>וה</w:t>
      </w:r>
      <w:r>
        <w:rPr>
          <w:b/>
          <w:bCs/>
          <w:rtl/>
        </w:rPr>
        <w:t>בעה"מ</w:t>
      </w:r>
      <w:r>
        <w:rPr>
          <w:rtl/>
        </w:rPr>
        <w:t xml:space="preserve"> כת' דאפ"ה העד נאמן לומר מת בעליך ואח"כ מת בניך [לצד דעד א' נאמן ביבמה], ואפי' לאפוקי מחזקת איסור.</w:t>
      </w:r>
    </w:p>
  </w:footnote>
  <w:footnote w:id="5865">
    <w:p w14:paraId="1F5F5111" w14:textId="77777777" w:rsidR="006C4368" w:rsidRDefault="006C4368" w:rsidP="006C4368">
      <w:pPr>
        <w:pStyle w:val="Footnote"/>
        <w:bidi/>
      </w:pPr>
      <w:r>
        <w:rPr>
          <w:rStyle w:val="ac"/>
          <w:rtl/>
        </w:rPr>
        <w:footnoteRef/>
      </w:r>
      <w:r>
        <w:rPr>
          <w:rtl/>
        </w:rPr>
        <w:t>ואדרבה מחזיקין מאיסור לאיסור.</w:t>
      </w:r>
    </w:p>
  </w:footnote>
  <w:footnote w:id="5866">
    <w:p w14:paraId="26B5B7D1" w14:textId="77777777" w:rsidR="006C4368" w:rsidRDefault="006C4368" w:rsidP="006C4368">
      <w:pPr>
        <w:pStyle w:val="Footnote"/>
        <w:bidi/>
      </w:pPr>
      <w:r>
        <w:rPr>
          <w:rStyle w:val="ac"/>
          <w:rtl/>
        </w:rPr>
        <w:footnoteRef/>
      </w:r>
      <w:r>
        <w:rPr>
          <w:rtl/>
        </w:rPr>
        <w:t>ועיל"פ דכוונת הבעה"מ דעד א' נאמן לברר במקום שאיתרע החזקה. ואף דיש לה חזקת היתר לשוק היכא דלא ידעינן מי מת קודם, אפ"ה עד א' נאמן לברר הספק דזקוקה ליבום. ועד א' נאמן במקום שיש ספק לפנינו, ואף שיש הכרעת חזקה שמותרת לשוק. ואף דעד א' אינו נאמן לעורר ספיקות נגד 'הוחזק היתר', נאמן נגד הכרעת החזקה. [והמלחמות פליג בזה].</w:t>
      </w:r>
    </w:p>
    <w:p w14:paraId="2459A113" w14:textId="77777777" w:rsidR="006C4368" w:rsidRDefault="006C4368" w:rsidP="006C4368">
      <w:pPr>
        <w:pStyle w:val="Footnote"/>
        <w:bidi/>
      </w:pPr>
      <w:r>
        <w:rPr>
          <w:rtl/>
        </w:rPr>
        <w:tab/>
        <w:t>אבל לשון הבעה"מ דאף כשהעד מעיד דמת בעלה ואח"כ מת בנה הוה נגד חזקה. [דמחזיקין מאיסור לאיסור שזקוקה ליבום].</w:t>
      </w:r>
    </w:p>
  </w:footnote>
  <w:footnote w:id="5867">
    <w:p w14:paraId="1D8508B5" w14:textId="77777777" w:rsidR="006C4368" w:rsidRDefault="006C4368" w:rsidP="006C4368">
      <w:pPr>
        <w:pStyle w:val="Footnote"/>
        <w:bidi/>
      </w:pPr>
      <w:r>
        <w:rPr>
          <w:rStyle w:val="ac"/>
          <w:rtl/>
        </w:rPr>
        <w:footnoteRef/>
      </w:r>
      <w:r>
        <w:rPr>
          <w:rtl/>
        </w:rPr>
        <w:t>ולכאורה לפ"ז צריך לגרוס במשנה מת בנו [דאיירי שהבעל הלך, וניתן לו בן מאשה אחרת. וי"ל דהו' בכלל קו' המלחמות]. אך י"ל דאיירי שהאשה הלכה עמהם, ונולד לה בן במדיה"י. אלא שאינה נאמנת בכך לפטור עצמה, אלא ע"י עדות העד.</w:t>
      </w:r>
    </w:p>
  </w:footnote>
  <w:footnote w:id="5868">
    <w:p w14:paraId="13ABC114" w14:textId="77777777" w:rsidR="006C4368" w:rsidRDefault="006C4368" w:rsidP="006C4368">
      <w:pPr>
        <w:pStyle w:val="Footnote"/>
        <w:bidi/>
      </w:pPr>
      <w:r>
        <w:rPr>
          <w:rStyle w:val="ac"/>
          <w:rtl/>
        </w:rPr>
        <w:footnoteRef/>
      </w:r>
      <w:r>
        <w:rPr>
          <w:rtl/>
        </w:rPr>
        <w:t>ואף דאינו נאמן שמת בנה, לא פלגינן לדבריו לומר שמת הבעל ומותרת ולשוק. וע"כ מאמינים לו להתירה ליבם.</w:t>
      </w:r>
    </w:p>
  </w:footnote>
  <w:footnote w:id="5869">
    <w:p w14:paraId="3F1ACE05" w14:textId="77777777" w:rsidR="006C4368" w:rsidRDefault="006C4368" w:rsidP="006C4368">
      <w:pPr>
        <w:pStyle w:val="Footnote"/>
        <w:bidi/>
      </w:pPr>
      <w:r>
        <w:rPr>
          <w:rStyle w:val="ac"/>
          <w:rtl/>
        </w:rPr>
        <w:footnoteRef/>
      </w:r>
      <w:r>
        <w:rPr>
          <w:rtl/>
        </w:rPr>
        <w:t>ונח' ה</w:t>
      </w:r>
      <w:r>
        <w:rPr>
          <w:b/>
          <w:bCs/>
          <w:rtl/>
        </w:rPr>
        <w:t>ראשונים</w:t>
      </w:r>
      <w:r>
        <w:rPr>
          <w:rtl/>
        </w:rPr>
        <w:t xml:space="preserve"> האם אסורה לראשון, אלא דאי"צ גט. או דאף לא גזרו ליאסר עליו. ע"ע לקמן.</w:t>
      </w:r>
    </w:p>
  </w:footnote>
  <w:footnote w:id="5870">
    <w:p w14:paraId="025E60AD" w14:textId="77777777" w:rsidR="006C4368" w:rsidRDefault="006C4368" w:rsidP="006C4368">
      <w:pPr>
        <w:pStyle w:val="Footnote"/>
        <w:bidi/>
      </w:pPr>
      <w:r>
        <w:rPr>
          <w:rStyle w:val="ac"/>
          <w:rtl/>
        </w:rPr>
        <w:footnoteRef/>
      </w:r>
      <w:r>
        <w:rPr>
          <w:rtl/>
        </w:rPr>
        <w:t>ו</w:t>
      </w:r>
      <w:r>
        <w:rPr>
          <w:b/>
          <w:bCs/>
          <w:rtl/>
        </w:rPr>
        <w:t>תוס'</w:t>
      </w:r>
      <w:r>
        <w:rPr>
          <w:rtl/>
        </w:rPr>
        <w:t xml:space="preserve"> כת' דא"כ אף ברישא [ביבמה] איירי בנשאת ע"פ עדים. ואין לפרש דהוה ממזר משום קנס.</w:t>
      </w:r>
    </w:p>
  </w:footnote>
  <w:footnote w:id="5871">
    <w:p w14:paraId="79AF6B91" w14:textId="77777777" w:rsidR="006C4368" w:rsidRDefault="006C4368" w:rsidP="006C4368">
      <w:pPr>
        <w:pStyle w:val="Footnote"/>
        <w:bidi/>
      </w:pPr>
      <w:r>
        <w:rPr>
          <w:rStyle w:val="ac"/>
          <w:rtl/>
        </w:rPr>
        <w:footnoteRef/>
      </w:r>
      <w:r>
        <w:rPr>
          <w:rtl/>
        </w:rPr>
        <w:t>ויל"ד אי קאי בכל י"ג דרכים, דלא גזרו אלא היכא דהבעל בא לפנינו. אבל במשנה מבואר דתצא משני [דהוה קנס, דמדינא מותרת לו דאנוסה היא, וכדאי' לעיל יא.]. ואפשר דקאי דוקא אממזר. {ויל"פ דהך ממזרות הוה משום גדרי סוטה. ולא גזרו טפי בבועל מאצל הבעל. וע"ד מש"כ תוס' לעיל ג:}.</w:t>
      </w:r>
    </w:p>
  </w:footnote>
  <w:footnote w:id="5872">
    <w:p w14:paraId="59BE85A6" w14:textId="77777777" w:rsidR="006C4368" w:rsidRDefault="006C4368" w:rsidP="006C4368">
      <w:pPr>
        <w:pStyle w:val="Footnote"/>
        <w:bidi/>
      </w:pPr>
      <w:r>
        <w:rPr>
          <w:rStyle w:val="ac"/>
          <w:rtl/>
        </w:rPr>
        <w:footnoteRef/>
      </w:r>
      <w:r>
        <w:rPr>
          <w:rtl/>
        </w:rPr>
        <w:t>משמע דעיקר הקנס לקנוס את הבעל השני. אבל משמעות כל הפרק דעיקר הקנס על האשה, כי היכי דתידוק. וקנסוה ליאסר על בעלה. [אבל ל"צ לקונסה אשני, דבלאו הכי לא היתה אשתו].</w:t>
      </w:r>
    </w:p>
  </w:footnote>
  <w:footnote w:id="5873">
    <w:p w14:paraId="7D1A1854" w14:textId="77777777" w:rsidR="006C4368" w:rsidRDefault="006C4368" w:rsidP="006C4368">
      <w:pPr>
        <w:pStyle w:val="Footnote"/>
        <w:bidi/>
      </w:pPr>
      <w:r>
        <w:rPr>
          <w:rStyle w:val="ac"/>
          <w:rtl/>
        </w:rPr>
        <w:footnoteRef/>
      </w:r>
      <w:r>
        <w:rPr>
          <w:rtl/>
        </w:rPr>
        <w:t>דהיכא שנעשית ערוה אפי' לאחר נפילה יש עליה גם איסור אשת אח. [ודלא כ</w:t>
      </w:r>
      <w:r>
        <w:rPr>
          <w:b/>
          <w:bCs/>
          <w:rtl/>
        </w:rPr>
        <w:t>רשב"א</w:t>
      </w:r>
      <w:r>
        <w:rPr>
          <w:rtl/>
        </w:rPr>
        <w:t xml:space="preserve"> (לעיל מא.) דהותרה ונאסרה וחזרה והותרה ליכא איסור אשת אח. וה</w:t>
      </w:r>
      <w:r>
        <w:rPr>
          <w:b/>
          <w:bCs/>
          <w:rtl/>
        </w:rPr>
        <w:t>אחיעזר</w:t>
      </w:r>
      <w:r>
        <w:rPr>
          <w:rtl/>
        </w:rPr>
        <w:t xml:space="preserve"> (א א יא) כת' ע"פ דברי הרשב"א דתלי במח' דהותרה ונאסרה אי חוזרת להיתירא. ועוד האריך דתלי בכמה סוגיות אי ערוה לאחר נפילה ילפי' מ'עליה'].</w:t>
      </w:r>
    </w:p>
  </w:footnote>
  <w:footnote w:id="5874">
    <w:p w14:paraId="6D244559" w14:textId="77777777" w:rsidR="006C4368" w:rsidRDefault="006C4368" w:rsidP="006C4368">
      <w:pPr>
        <w:pStyle w:val="Footnote"/>
        <w:bidi/>
      </w:pPr>
      <w:r>
        <w:rPr>
          <w:rStyle w:val="ac"/>
          <w:rtl/>
        </w:rPr>
        <w:footnoteRef/>
      </w:r>
      <w:r>
        <w:rPr>
          <w:rtl/>
        </w:rPr>
        <w:t>וה</w:t>
      </w:r>
      <w:r>
        <w:rPr>
          <w:b/>
          <w:bCs/>
          <w:rtl/>
        </w:rPr>
        <w:t xml:space="preserve">אחיעזר </w:t>
      </w:r>
      <w:r>
        <w:rPr>
          <w:rtl/>
        </w:rPr>
        <w:t>העלה צד דשומרת יבם שזינתה, אף שאסור ליבם כדין סוטה. מ"מ לא הוה טומאה כעריות לענין יבום. אך דחה דליכא פרשה בפנ"ע בשומר"י, אלא דלרב המנונא ור"ע יבמה הוה בכלל דין סוטה בעלמא.</w:t>
      </w:r>
    </w:p>
  </w:footnote>
  <w:footnote w:id="5875">
    <w:p w14:paraId="23856AD5" w14:textId="77777777" w:rsidR="006C4368" w:rsidRDefault="006C4368" w:rsidP="006C4368">
      <w:pPr>
        <w:pStyle w:val="Footnote"/>
        <w:bidi/>
      </w:pPr>
      <w:r>
        <w:rPr>
          <w:rStyle w:val="ac"/>
          <w:rtl/>
        </w:rPr>
        <w:footnoteRef/>
      </w:r>
      <w:r>
        <w:rPr>
          <w:rtl/>
        </w:rPr>
        <w:t>וה</w:t>
      </w:r>
      <w:r>
        <w:rPr>
          <w:b/>
          <w:bCs/>
          <w:rtl/>
        </w:rPr>
        <w:t>חזו"א</w:t>
      </w:r>
      <w:r>
        <w:rPr>
          <w:rtl/>
        </w:rPr>
        <w:t xml:space="preserve"> דן דשמא הוה ממזר מיבמה לשוק דוקא בשוגג [דבגמ' לעיל יד: וקידו' עו. הוה שוגג].</w:t>
      </w:r>
    </w:p>
    <w:p w14:paraId="50603ED3" w14:textId="77777777" w:rsidR="006C4368" w:rsidRDefault="006C4368" w:rsidP="006C4368">
      <w:pPr>
        <w:pStyle w:val="Footnote"/>
        <w:bidi/>
      </w:pPr>
      <w:r>
        <w:rPr>
          <w:rtl/>
        </w:rPr>
        <w:tab/>
        <w:t>ועוה"ק ה</w:t>
      </w:r>
      <w:r>
        <w:rPr>
          <w:b/>
          <w:bCs/>
          <w:rtl/>
        </w:rPr>
        <w:t>אחיעזר</w:t>
      </w:r>
      <w:r>
        <w:rPr>
          <w:rtl/>
        </w:rPr>
        <w:t xml:space="preserve"> דלר"ע נימא דיתפסו קידושין ביבמה לשוק, דבידו לקדש בביאה. ועי"ז הוה סוטה ופקע זיקה, ותפסי קידושין בגמר ביאה. [והביא דלענין דבר שלא בעולם אף היכא דבידו באיסור מהני. וכדאי' (בע"ב) דלמ"ד דתפסי קידושין הוה בידו. אף דהוה באיסור].</w:t>
      </w:r>
    </w:p>
  </w:footnote>
  <w:footnote w:id="5876">
    <w:p w14:paraId="17570F81" w14:textId="77777777" w:rsidR="006C4368" w:rsidRDefault="006C4368" w:rsidP="006C4368">
      <w:pPr>
        <w:pStyle w:val="Footnote"/>
        <w:bidi/>
      </w:pPr>
      <w:r>
        <w:rPr>
          <w:rStyle w:val="ac"/>
          <w:rtl/>
        </w:rPr>
        <w:footnoteRef/>
      </w:r>
      <w:r>
        <w:rPr>
          <w:rtl/>
        </w:rPr>
        <w:t>ועד"ז כת' ה</w:t>
      </w:r>
      <w:r>
        <w:rPr>
          <w:b/>
          <w:bCs/>
          <w:rtl/>
        </w:rPr>
        <w:t>אחיעזר</w:t>
      </w:r>
      <w:r>
        <w:rPr>
          <w:rtl/>
        </w:rPr>
        <w:t xml:space="preserve"> דכשנעשית סוטה לאחר שנפלה ליבום צריכה חליצה, דהא דמבואר (לעיל עט:) דכשנעשית ערוה פטורה בלא חליצה היינו בערוה. אבל הא דסוטה אי"צ חליצה הוה משום דאינה עולה ליבום [ודוקא בחייבי לאוין נתחדש ועלתה יבמתו השערה, כדלעיל כ., אבל סוטה כיון דאינה עולה ליבום פטורה מחליצה].</w:t>
      </w:r>
    </w:p>
    <w:p w14:paraId="01FA7C18" w14:textId="77777777" w:rsidR="006C4368" w:rsidRDefault="006C4368" w:rsidP="006C4368">
      <w:pPr>
        <w:pStyle w:val="Footnote"/>
        <w:bidi/>
      </w:pPr>
      <w:r>
        <w:rPr>
          <w:rtl/>
        </w:rPr>
        <w:tab/>
        <w:t>אך האחיעזר נקט דא"כ אין חיוב אשת אח. [ולכאורה תלי האם יש איסור אשת אח בחייבי לאו ועשה דאם בעלו ל"ק].</w:t>
      </w:r>
    </w:p>
  </w:footnote>
  <w:footnote w:id="5877">
    <w:p w14:paraId="017748FD" w14:textId="77777777" w:rsidR="006C4368" w:rsidRDefault="006C4368" w:rsidP="006C4368">
      <w:pPr>
        <w:pStyle w:val="Footnote"/>
        <w:bidi/>
      </w:pPr>
      <w:r>
        <w:rPr>
          <w:rStyle w:val="ac"/>
          <w:rtl/>
        </w:rPr>
        <w:footnoteRef/>
      </w:r>
      <w:r>
        <w:rPr>
          <w:rtl/>
        </w:rPr>
        <w:t>דאילו אי' לבעל מי לא בעי גט [עי"ש תוס']. וה</w:t>
      </w:r>
      <w:r>
        <w:rPr>
          <w:b/>
          <w:bCs/>
          <w:rtl/>
        </w:rPr>
        <w:t>חזו"א</w:t>
      </w:r>
      <w:r>
        <w:rPr>
          <w:rtl/>
        </w:rPr>
        <w:t xml:space="preserve"> ביאר דלא דמי להיכא דנעשית פצוע דכא, דמבואר (לעיל עט:) דלר"ע ל"צ חליצה. דהכא האיסור על היבם הוה רק מחמת אישות דאחיו.</w:t>
      </w:r>
    </w:p>
  </w:footnote>
  <w:footnote w:id="5878">
    <w:p w14:paraId="5837C217" w14:textId="77777777" w:rsidR="006C4368" w:rsidRDefault="006C4368" w:rsidP="006C4368">
      <w:pPr>
        <w:pStyle w:val="Footnote"/>
        <w:bidi/>
      </w:pPr>
      <w:r>
        <w:rPr>
          <w:rStyle w:val="ac"/>
          <w:rtl/>
        </w:rPr>
        <w:footnoteRef/>
      </w:r>
      <w:r>
        <w:rPr>
          <w:rtl/>
        </w:rPr>
        <w:t>ו</w:t>
      </w:r>
      <w:r>
        <w:rPr>
          <w:b/>
          <w:bCs/>
          <w:rtl/>
        </w:rPr>
        <w:t>תוס</w:t>
      </w:r>
      <w:r>
        <w:rPr>
          <w:rtl/>
        </w:rPr>
        <w:t>' (לעיל מט:) דנו דיבמה לשוק אין לה קידושין מכל העולם, ומ"ט הוה ממזר [וע"ד דברי הגמ' (לעיל מה:)]. ו</w:t>
      </w:r>
      <w:r>
        <w:rPr>
          <w:b/>
          <w:bCs/>
          <w:rtl/>
        </w:rPr>
        <w:t>ר"ת</w:t>
      </w:r>
      <w:r>
        <w:rPr>
          <w:rtl/>
        </w:rPr>
        <w:t xml:space="preserve"> תי' דיבמה עומדת לחלוץ ומש"ה חשיבא בת תפיסת קידושין. ור"י תי' דמ"ד דל"צ חייבי לאו דשאר לא יליף דומיא דאשת אב.</w:t>
      </w:r>
    </w:p>
  </w:footnote>
  <w:footnote w:id="5879">
    <w:p w14:paraId="6E1DD552" w14:textId="77777777" w:rsidR="006C4368" w:rsidRDefault="006C4368" w:rsidP="006C4368">
      <w:pPr>
        <w:pStyle w:val="Footnote"/>
        <w:bidi/>
      </w:pPr>
      <w:r>
        <w:rPr>
          <w:rStyle w:val="ac"/>
          <w:rtl/>
        </w:rPr>
        <w:footnoteRef/>
      </w:r>
      <w:r>
        <w:rPr>
          <w:rtl/>
        </w:rPr>
        <w:t>וכן המשנה (לעיל סט:) דמעכו"ם ועבד הוה ממזר. [וע"ע תוס' לעיל טז:]. אך יש מ"ד בגמ' (שם ע.) דאף רבנן מודו בעכו"ם ועבד.</w:t>
      </w:r>
    </w:p>
  </w:footnote>
  <w:footnote w:id="5880">
    <w:p w14:paraId="098DAA3F" w14:textId="77777777" w:rsidR="006C4368" w:rsidRDefault="006C4368" w:rsidP="006C4368">
      <w:pPr>
        <w:pStyle w:val="Footnote"/>
        <w:bidi/>
      </w:pPr>
      <w:r>
        <w:rPr>
          <w:rStyle w:val="ac"/>
          <w:rtl/>
        </w:rPr>
        <w:footnoteRef/>
      </w:r>
      <w:r>
        <w:rPr>
          <w:rtl/>
        </w:rPr>
        <w:t>ויבמה לשוק לא הוה חייבי לאוין דשאר, אלא דאפ"ה ס"ד דהוה ממזק דלא תפסי קידושין.</w:t>
      </w:r>
    </w:p>
    <w:p w14:paraId="1AC8E551" w14:textId="77777777" w:rsidR="006C4368" w:rsidRDefault="006C4368" w:rsidP="006C4368">
      <w:pPr>
        <w:pStyle w:val="Footnote"/>
        <w:bidi/>
      </w:pPr>
      <w:r>
        <w:rPr>
          <w:rtl/>
        </w:rPr>
        <w:tab/>
        <w:t xml:space="preserve">אבל </w:t>
      </w:r>
      <w:r>
        <w:rPr>
          <w:b/>
          <w:bCs/>
          <w:rtl/>
        </w:rPr>
        <w:t>רש"י</w:t>
      </w:r>
      <w:r>
        <w:rPr>
          <w:rtl/>
        </w:rPr>
        <w:t xml:space="preserve"> (שם) מבואר להיפך, דאיירי לר"ע דלא תפסי קידושין בחייבי לאוין [אף דלאו דשאר], ואפ"ה גלי קרא דתפסי קידושין ביבמה [ולא הוה ממזר]. דהתורה אסרה לקדש, דכתיב לא תהיה אשת המת. אלמא תפסי קידושין. [ומבואר דשומרת יבם עדיף מחייבי לאוין, ולא גרע].</w:t>
      </w:r>
    </w:p>
  </w:footnote>
  <w:footnote w:id="5881">
    <w:p w14:paraId="28121145" w14:textId="77777777" w:rsidR="006C4368" w:rsidRDefault="006C4368" w:rsidP="006C4368">
      <w:pPr>
        <w:pStyle w:val="Footnote"/>
        <w:bidi/>
      </w:pPr>
      <w:r>
        <w:rPr>
          <w:rStyle w:val="ac"/>
          <w:rtl/>
        </w:rPr>
        <w:footnoteRef/>
      </w:r>
      <w:r>
        <w:rPr>
          <w:rtl/>
        </w:rPr>
        <w:t>וכ"כ ב</w:t>
      </w:r>
      <w:r>
        <w:rPr>
          <w:b/>
          <w:bCs/>
          <w:rtl/>
        </w:rPr>
        <w:t>תוס' ריה"ז</w:t>
      </w:r>
      <w:r>
        <w:rPr>
          <w:rtl/>
        </w:rPr>
        <w:t xml:space="preserve"> (עה"ג קידושין סח.) דלא תפסי קידושין ביבמה והוה ממזר אליבא דרב. אף דהוה חייבי לאוין. וכן ב</w:t>
      </w:r>
      <w:r>
        <w:rPr>
          <w:b/>
          <w:bCs/>
          <w:rtl/>
        </w:rPr>
        <w:t>תוס' חד מקמאי</w:t>
      </w:r>
      <w:r>
        <w:rPr>
          <w:rtl/>
        </w:rPr>
        <w:t xml:space="preserve"> (לעיל מט:). וכ"כ ה</w:t>
      </w:r>
      <w:r>
        <w:rPr>
          <w:b/>
          <w:bCs/>
          <w:rtl/>
        </w:rPr>
        <w:t>ריא"ז</w:t>
      </w:r>
      <w:r>
        <w:rPr>
          <w:rtl/>
        </w:rPr>
        <w:t xml:space="preserve"> (כאן טו ויח, והו' בשלט"ג) דלשמואל הוה ספק אי תפסי קידושין, ומש"ה הולד ספק ממזר.</w:t>
      </w:r>
    </w:p>
    <w:p w14:paraId="582D4A6C" w14:textId="77777777" w:rsidR="006C4368" w:rsidRDefault="006C4368" w:rsidP="006C4368">
      <w:pPr>
        <w:pStyle w:val="Footnote"/>
        <w:bidi/>
      </w:pPr>
      <w:r>
        <w:rPr>
          <w:rtl/>
        </w:rPr>
        <w:tab/>
        <w:t>ועוד כת' ה</w:t>
      </w:r>
      <w:r>
        <w:rPr>
          <w:b/>
          <w:bCs/>
          <w:rtl/>
        </w:rPr>
        <w:t>ריא"ז</w:t>
      </w:r>
      <w:r>
        <w:rPr>
          <w:rtl/>
        </w:rPr>
        <w:t xml:space="preserve"> דע"י שזינתה נאסרת ליבם [וכדעת רב המנונא], דכיון שהיא ספק ערוה אסורה ליבם מספק. [אך הביא דדעת רוב הפסקנים דמותרת]. [וע"ד הא דאי' (סוטה יח:) דלר"ע אסורה ליבם, ה"נ אליבא דרב דלא תפסי קידושין נאסרת ליבם].</w:t>
      </w:r>
    </w:p>
    <w:p w14:paraId="5C8D0094" w14:textId="77777777" w:rsidR="006C4368" w:rsidRDefault="006C4368" w:rsidP="006C4368">
      <w:pPr>
        <w:pStyle w:val="Footnote"/>
        <w:bidi/>
      </w:pPr>
      <w:r>
        <w:rPr>
          <w:rtl/>
        </w:rPr>
        <w:tab/>
        <w:t>וה</w:t>
      </w:r>
      <w:r>
        <w:rPr>
          <w:b/>
          <w:bCs/>
          <w:rtl/>
        </w:rPr>
        <w:t>מרדכי</w:t>
      </w:r>
      <w:r>
        <w:rPr>
          <w:rtl/>
        </w:rPr>
        <w:t xml:space="preserve"> (נח בסופו) כת' דיבמה לשוק הוה דבר שבערוה, דבעניותינו צריכה גט, והולד ספק ממזר. וה</w:t>
      </w:r>
      <w:r>
        <w:rPr>
          <w:b/>
          <w:bCs/>
          <w:rtl/>
        </w:rPr>
        <w:t>נוב"י</w:t>
      </w:r>
      <w:r>
        <w:rPr>
          <w:rtl/>
        </w:rPr>
        <w:t xml:space="preserve"> (ק נד) תמה בדבריו.</w:t>
      </w:r>
    </w:p>
  </w:footnote>
  <w:footnote w:id="5882">
    <w:p w14:paraId="285C0476" w14:textId="77777777" w:rsidR="006C4368" w:rsidRDefault="006C4368" w:rsidP="006C4368">
      <w:pPr>
        <w:pStyle w:val="Footnote"/>
        <w:bidi/>
      </w:pPr>
      <w:r>
        <w:rPr>
          <w:rStyle w:val="ac"/>
          <w:rtl/>
        </w:rPr>
        <w:footnoteRef/>
      </w:r>
      <w:r>
        <w:rPr>
          <w:rtl/>
        </w:rPr>
        <w:t>ו</w:t>
      </w:r>
      <w:r>
        <w:rPr>
          <w:b/>
          <w:bCs/>
          <w:rtl/>
        </w:rPr>
        <w:t>תוס'</w:t>
      </w:r>
      <w:r>
        <w:rPr>
          <w:rtl/>
        </w:rPr>
        <w:t xml:space="preserve"> (בסמוך) הביאו דתלי בלשונות דיבמה נישואין יש בה, ולחד לישנא אף ע"י נישואין לא גזרו. ומתני' ר"ע [וכירושלמי].</w:t>
      </w:r>
    </w:p>
  </w:footnote>
  <w:footnote w:id="5883">
    <w:p w14:paraId="6D23DC69" w14:textId="77777777" w:rsidR="006C4368" w:rsidRDefault="006C4368" w:rsidP="006C4368">
      <w:pPr>
        <w:pStyle w:val="Footnote"/>
        <w:bidi/>
      </w:pPr>
      <w:r>
        <w:rPr>
          <w:rStyle w:val="ac"/>
          <w:rtl/>
        </w:rPr>
        <w:footnoteRef/>
      </w:r>
      <w:r>
        <w:rPr>
          <w:rtl/>
        </w:rPr>
        <w:t>וכן בכל דוכתא ממזר ואסור בממזרת אמרי', אבל לא תני תנא 'אינו ממזר' במי שאסור בכשרה.</w:t>
      </w:r>
    </w:p>
  </w:footnote>
  <w:footnote w:id="5884">
    <w:p w14:paraId="13CB952B" w14:textId="77777777" w:rsidR="006C4368" w:rsidRDefault="006C4368" w:rsidP="006C4368">
      <w:pPr>
        <w:pStyle w:val="Footnote"/>
        <w:bidi/>
      </w:pPr>
      <w:r>
        <w:rPr>
          <w:rStyle w:val="ac"/>
          <w:rtl/>
        </w:rPr>
        <w:footnoteRef/>
      </w:r>
      <w:r>
        <w:rPr>
          <w:rtl/>
        </w:rPr>
        <w:t xml:space="preserve">וכן </w:t>
      </w:r>
      <w:r>
        <w:rPr>
          <w:b/>
          <w:bCs/>
          <w:rtl/>
        </w:rPr>
        <w:t>תוס'</w:t>
      </w:r>
      <w:r>
        <w:rPr>
          <w:rtl/>
        </w:rPr>
        <w:t xml:space="preserve"> (בסו"ד) הביאו דיש [מ"ד] בירושלמי דלחכמים אין ממזר מיבמה, אבל תצא וכל הדרכים האלו בה חוץ ממזרות. [אך תוס' לא ניח"ל לפרש כן בכוונת הגמ' בגיטין].</w:t>
      </w:r>
    </w:p>
  </w:footnote>
  <w:footnote w:id="5885">
    <w:p w14:paraId="04265131" w14:textId="77777777" w:rsidR="006C4368" w:rsidRDefault="006C4368" w:rsidP="006C4368">
      <w:pPr>
        <w:pStyle w:val="Footnote"/>
        <w:bidi/>
      </w:pPr>
      <w:r>
        <w:rPr>
          <w:rStyle w:val="ac"/>
          <w:rtl/>
        </w:rPr>
        <w:footnoteRef/>
      </w:r>
      <w:r>
        <w:rPr>
          <w:rtl/>
        </w:rPr>
        <w:t>והדיוק 'נשאו' דוקא, ולא זינו נקטו משום רבנן. [דלר"ע אין בזה נפק"מ].</w:t>
      </w:r>
    </w:p>
  </w:footnote>
  <w:footnote w:id="5886">
    <w:p w14:paraId="4D056B9D" w14:textId="77777777" w:rsidR="006C4368" w:rsidRDefault="006C4368" w:rsidP="006C4368">
      <w:pPr>
        <w:pStyle w:val="Footnote"/>
        <w:bidi/>
      </w:pPr>
      <w:r>
        <w:rPr>
          <w:rStyle w:val="ac"/>
          <w:rtl/>
        </w:rPr>
        <w:footnoteRef/>
      </w:r>
      <w:r>
        <w:rPr>
          <w:rtl/>
        </w:rPr>
        <w:t>שכשם שתקנו לה גט כן תקנו שהולד ממזר, אבל משגרש אי אפשר לומר כן דלא גריעא מסוטה ודאי.</w:t>
      </w:r>
    </w:p>
  </w:footnote>
  <w:footnote w:id="5887">
    <w:p w14:paraId="63FE4352" w14:textId="77777777" w:rsidR="006C4368" w:rsidRDefault="006C4368" w:rsidP="006C4368">
      <w:pPr>
        <w:pStyle w:val="Footnote"/>
        <w:bidi/>
      </w:pPr>
      <w:r>
        <w:rPr>
          <w:rStyle w:val="ac"/>
          <w:rtl/>
        </w:rPr>
        <w:footnoteRef/>
      </w:r>
      <w:r>
        <w:rPr>
          <w:rtl/>
        </w:rPr>
        <w:t>או כמ"ד (לעיל צא.) דאף רבנן לא פליגי בנשאת בעדים. [וה</w:t>
      </w:r>
      <w:r>
        <w:rPr>
          <w:b/>
          <w:bCs/>
          <w:rtl/>
        </w:rPr>
        <w:t>ראשונים</w:t>
      </w:r>
      <w:r>
        <w:rPr>
          <w:rtl/>
        </w:rPr>
        <w:t xml:space="preserve"> (לקמן צה:) העלו צד דמ"מ הקילו טפי בנשאת בעדים. ואולי לענין ממזרות הקילו בזה].</w:t>
      </w:r>
    </w:p>
  </w:footnote>
  <w:footnote w:id="5888">
    <w:p w14:paraId="2C698019" w14:textId="77777777" w:rsidR="006C4368" w:rsidRDefault="006C4368" w:rsidP="006C4368">
      <w:pPr>
        <w:pStyle w:val="Footnote"/>
        <w:bidi/>
      </w:pPr>
      <w:r>
        <w:rPr>
          <w:rStyle w:val="ac"/>
          <w:rtl/>
        </w:rPr>
        <w:footnoteRef/>
      </w:r>
      <w:r>
        <w:rPr>
          <w:rtl/>
        </w:rPr>
        <w:t>ועיקר קו' התוס' דמדרבנן מ"ש רישא ומ"ש סיפא.</w:t>
      </w:r>
    </w:p>
  </w:footnote>
  <w:footnote w:id="5889">
    <w:p w14:paraId="66641AB8" w14:textId="77777777" w:rsidR="006C4368" w:rsidRDefault="006C4368" w:rsidP="006C4368">
      <w:pPr>
        <w:pStyle w:val="Footnote"/>
        <w:bidi/>
      </w:pPr>
      <w:r>
        <w:rPr>
          <w:rStyle w:val="ac"/>
          <w:rtl/>
        </w:rPr>
        <w:footnoteRef/>
      </w:r>
      <w:r>
        <w:rPr>
          <w:rtl/>
        </w:rPr>
        <w:t>וה</w:t>
      </w:r>
      <w:r>
        <w:rPr>
          <w:b/>
          <w:bCs/>
          <w:rtl/>
        </w:rPr>
        <w:t>מהרש"א</w:t>
      </w:r>
      <w:r>
        <w:rPr>
          <w:rtl/>
        </w:rPr>
        <w:t xml:space="preserve"> הביא דהגמ' (לקמן צג:) העמידה את המשנה [הרישא] בנשאת ע"פ עדים [לצד דל"מ עד א' ביבמה], א"כ לר"ש ל"ש קנס. וצ"ל דהוה ממזר מדאורייתא וכר"ע. וברישא איירי ביבמה לשוק קודם חליצה. ובסיפא איירי לאחר מיתת הראשון.</w:t>
      </w:r>
    </w:p>
  </w:footnote>
  <w:footnote w:id="5890">
    <w:p w14:paraId="2961E44E" w14:textId="77777777" w:rsidR="006C4368" w:rsidRDefault="006C4368" w:rsidP="006C4368">
      <w:pPr>
        <w:pStyle w:val="Footnote"/>
        <w:bidi/>
      </w:pPr>
      <w:r>
        <w:rPr>
          <w:rStyle w:val="ac"/>
          <w:rtl/>
        </w:rPr>
        <w:footnoteRef/>
      </w:r>
      <w:r>
        <w:rPr>
          <w:rtl/>
        </w:rPr>
        <w:t>וכהן שנשא ממזרת [אפי' ממזר דרבנן], הולד פסול מכהונה. דכיון דבא עליה עשאה זונה. [ועוד יש להביא מהגמ' (יד. יד:) דבני צרות דבי"ה מותרין לבי"ש. והגמ' נקטה דלאפוקי מר"ע דהוה חייבי לאוין. ואפשר דאלימא לתוס' להביא מברייתא].</w:t>
      </w:r>
    </w:p>
  </w:footnote>
  <w:footnote w:id="5891">
    <w:p w14:paraId="2B80478C" w14:textId="77777777" w:rsidR="006C4368" w:rsidRDefault="006C4368" w:rsidP="006C4368">
      <w:pPr>
        <w:pStyle w:val="Footnote"/>
        <w:bidi/>
      </w:pPr>
      <w:r>
        <w:rPr>
          <w:rStyle w:val="ac"/>
          <w:rtl/>
        </w:rPr>
        <w:footnoteRef/>
      </w:r>
      <w:r>
        <w:rPr>
          <w:rtl/>
        </w:rPr>
        <w:t>ויל"ד בסברא זו, דהתם כלפי בי"ד של בי"ש נודע הדבר דקאי באיסור יבמה לשוק. ואי יתגבר ידם יכופו אותה לצאת. אך מ"מ י"ל דכיון שהיא מבי"ד של בית הלל, כלפיה הוה כאילו לא נודע הדבר. [ועוד דלא כייפי להו לגזור עליהם קנס. אך זה אינו, שהרי הך קנס הוה מבי"ד קדום].</w:t>
      </w:r>
    </w:p>
  </w:footnote>
  <w:footnote w:id="5892">
    <w:p w14:paraId="73459D13" w14:textId="77777777" w:rsidR="006C4368" w:rsidRDefault="006C4368" w:rsidP="006C4368">
      <w:pPr>
        <w:pStyle w:val="Footnote"/>
        <w:bidi/>
      </w:pPr>
      <w:r>
        <w:rPr>
          <w:rStyle w:val="ac"/>
          <w:rtl/>
        </w:rPr>
        <w:footnoteRef/>
      </w:r>
      <w:r>
        <w:rPr>
          <w:rtl/>
        </w:rPr>
        <w:t>שנאמר דכלפי שמיא גלי שהיא אשת איש, וממילא קאי בכל הדרכים האלו.</w:t>
      </w:r>
    </w:p>
    <w:p w14:paraId="50A7CC3A" w14:textId="77777777" w:rsidR="006C4368" w:rsidRDefault="006C4368" w:rsidP="006C4368">
      <w:pPr>
        <w:pStyle w:val="Footnote"/>
        <w:bidi/>
      </w:pPr>
      <w:r>
        <w:rPr>
          <w:rtl/>
        </w:rPr>
        <w:tab/>
        <w:t>{אך היכא דאח"כ עמדו למנין, והכריעו הסנהדרין דאסורה, עי"ז הדין דתצא מזה ומזה וכו' והולד משני ממזר. ואף דנשאת ע"פ הוראת בי"ד. [וכדמבואר בפוסקים (הו' לעיל צא:) שחלקו ע"ד הרשב"א]. וצ"ע א"כ האיל בי"ש הניחום לשרת ע"ג מזבח, וכי לא סברו שיגבר ידם להכריע ההלכה לישראל}.</w:t>
      </w:r>
    </w:p>
  </w:footnote>
  <w:footnote w:id="5893">
    <w:p w14:paraId="50529D51" w14:textId="77777777" w:rsidR="006C4368" w:rsidRDefault="006C4368" w:rsidP="006C4368">
      <w:pPr>
        <w:pStyle w:val="Footnote"/>
        <w:bidi/>
      </w:pPr>
      <w:r>
        <w:rPr>
          <w:rStyle w:val="ac"/>
          <w:rtl/>
        </w:rPr>
        <w:footnoteRef/>
      </w:r>
      <w:r>
        <w:rPr>
          <w:rtl/>
        </w:rPr>
        <w:t>וע"ד סברת ה</w:t>
      </w:r>
      <w:r>
        <w:rPr>
          <w:b/>
          <w:bCs/>
          <w:rtl/>
        </w:rPr>
        <w:t>י"מ</w:t>
      </w:r>
      <w:r>
        <w:rPr>
          <w:rtl/>
        </w:rPr>
        <w:t xml:space="preserve"> (ברא"ש במשנה) דהיכא דהבעל מת [קודם שנודע] לא אמרי' דהוה ממזר מיבם. [אך תוס' לא ס"ל כהנך י"מ, וי"ל דתוס' נקטו הסברא דעומדת לצאת. והתם נמי היה עומד לכך שתצא].</w:t>
      </w:r>
    </w:p>
  </w:footnote>
  <w:footnote w:id="5894">
    <w:p w14:paraId="0C6A1AE0" w14:textId="77777777" w:rsidR="006C4368" w:rsidRDefault="006C4368" w:rsidP="006C4368">
      <w:pPr>
        <w:pStyle w:val="Footnote"/>
        <w:bidi/>
      </w:pPr>
      <w:r>
        <w:rPr>
          <w:rStyle w:val="ac"/>
          <w:rtl/>
        </w:rPr>
        <w:footnoteRef/>
      </w:r>
      <w:r>
        <w:rPr>
          <w:rtl/>
        </w:rPr>
        <w:t>וה</w:t>
      </w:r>
      <w:r>
        <w:rPr>
          <w:b/>
          <w:bCs/>
          <w:rtl/>
        </w:rPr>
        <w:t>רא"ש</w:t>
      </w:r>
      <w:r>
        <w:rPr>
          <w:rtl/>
        </w:rPr>
        <w:t xml:space="preserve"> כת' רק דהתם דליכא טעמא דמיחלפא כיון שלא נשאו בטעות אלא בהוראת בי"ד. והק"נ הוסיף את דברי התוס'.</w:t>
      </w:r>
    </w:p>
  </w:footnote>
  <w:footnote w:id="5895">
    <w:p w14:paraId="5D95ACCF" w14:textId="77777777" w:rsidR="006C4368" w:rsidRDefault="006C4368" w:rsidP="006C4368">
      <w:pPr>
        <w:pStyle w:val="Footnote"/>
        <w:bidi/>
      </w:pPr>
      <w:r>
        <w:rPr>
          <w:rStyle w:val="ac"/>
          <w:rtl/>
        </w:rPr>
        <w:footnoteRef/>
      </w:r>
      <w:r>
        <w:rPr>
          <w:rtl/>
        </w:rPr>
        <w:t>[ואילו אשת איש לדעת בי"ש, שנשאת לאחר ע"פ בי"ה ואח"כ מת הראשון, אף דאינה עומדת לצאת מ"מ לדעת בי"ש דינה דתצא מזה ומזה, והוה ממזר מדרבנן].</w:t>
      </w:r>
    </w:p>
    <w:p w14:paraId="52136C32" w14:textId="77777777" w:rsidR="006C4368" w:rsidRDefault="006C4368" w:rsidP="006C4368">
      <w:pPr>
        <w:pStyle w:val="Footnote"/>
        <w:bidi/>
      </w:pPr>
      <w:r>
        <w:rPr>
          <w:rtl/>
        </w:rPr>
        <w:tab/>
        <w:t>אך כל זה לל"ב (בגיטין) דהסברא ביבמה משום מיחלפא. אבל לדעת רב המנונא דשומר"י שזינתה אסורה, א"כ אף ביבמה שייך קנס דאשה שהלך בעלה למדינת הים, ואין לחלק ביניהם. א"כ לדעת רב המנונא קשה מהא דבי"ש.</w:t>
      </w:r>
    </w:p>
  </w:footnote>
  <w:footnote w:id="5896">
    <w:p w14:paraId="4E2AA2B0" w14:textId="77777777" w:rsidR="006C4368" w:rsidRDefault="006C4368" w:rsidP="006C4368">
      <w:pPr>
        <w:pStyle w:val="Footnote"/>
        <w:bidi/>
      </w:pPr>
      <w:r>
        <w:rPr>
          <w:rStyle w:val="ac"/>
          <w:rtl/>
        </w:rPr>
        <w:footnoteRef/>
      </w:r>
      <w:r>
        <w:rPr>
          <w:rtl/>
        </w:rPr>
        <w:t>כ"ה ברשב"א (שם), אבל בתוס' צויין צד., ולכאורה ט"ס היא.</w:t>
      </w:r>
    </w:p>
  </w:footnote>
  <w:footnote w:id="5897">
    <w:p w14:paraId="54B022B0" w14:textId="77777777" w:rsidR="006C4368" w:rsidRDefault="006C4368" w:rsidP="006C4368">
      <w:pPr>
        <w:pStyle w:val="Footnote"/>
        <w:bidi/>
      </w:pPr>
      <w:r>
        <w:rPr>
          <w:rStyle w:val="ac"/>
          <w:rtl/>
        </w:rPr>
        <w:footnoteRef/>
      </w:r>
      <w:r>
        <w:rPr>
          <w:rtl/>
        </w:rPr>
        <w:t>ולישנא מעליא נקט.</w:t>
      </w:r>
    </w:p>
  </w:footnote>
  <w:footnote w:id="5898">
    <w:p w14:paraId="042F913C" w14:textId="77777777" w:rsidR="006C4368" w:rsidRDefault="006C4368" w:rsidP="006C4368">
      <w:pPr>
        <w:pStyle w:val="Footnote"/>
        <w:bidi/>
      </w:pPr>
      <w:r>
        <w:rPr>
          <w:rStyle w:val="ac"/>
          <w:rtl/>
        </w:rPr>
        <w:footnoteRef/>
      </w:r>
      <w:r>
        <w:rPr>
          <w:rtl/>
        </w:rPr>
        <w:t>ו</w:t>
      </w:r>
      <w:r>
        <w:rPr>
          <w:b/>
          <w:bCs/>
          <w:rtl/>
        </w:rPr>
        <w:t>תוס'</w:t>
      </w:r>
      <w:r>
        <w:rPr>
          <w:rtl/>
        </w:rPr>
        <w:t xml:space="preserve"> וה</w:t>
      </w:r>
      <w:r>
        <w:rPr>
          <w:b/>
          <w:bCs/>
          <w:rtl/>
        </w:rPr>
        <w:t>ראשונים</w:t>
      </w:r>
      <w:r>
        <w:rPr>
          <w:rtl/>
        </w:rPr>
        <w:t xml:space="preserve"> (שם) פי' דהך לישנא ל"ל גזירה דמיחלפה באשה שהלך בעלה. ומש"ה ע"כ אסורה כדרב המנונא [ומש"ה אין חילוק בין נישאו לזינו]. וכמ"ש תוס' (כאן) דמ"ד דל"ל מיחלפה ול"ל דרב המנונא, ע"כ יעמיד את המשנה כר"ע. ולרבנן מותרת להתייבם.</w:t>
      </w:r>
    </w:p>
  </w:footnote>
  <w:footnote w:id="5899">
    <w:p w14:paraId="2FE34F5D" w14:textId="77777777" w:rsidR="006C4368" w:rsidRDefault="006C4368" w:rsidP="006C4368">
      <w:pPr>
        <w:pStyle w:val="Footnote"/>
        <w:bidi/>
      </w:pPr>
      <w:r>
        <w:rPr>
          <w:rStyle w:val="ac"/>
          <w:rtl/>
        </w:rPr>
        <w:footnoteRef/>
      </w:r>
      <w:r>
        <w:rPr>
          <w:rtl/>
        </w:rPr>
        <w:t>וה</w:t>
      </w:r>
      <w:r>
        <w:rPr>
          <w:b/>
          <w:bCs/>
          <w:rtl/>
        </w:rPr>
        <w:t>רמב"ן</w:t>
      </w:r>
      <w:r>
        <w:rPr>
          <w:rtl/>
        </w:rPr>
        <w:t xml:space="preserve"> (שם) כת' דהטעם דגזרו [גט משני] באשה שהלך בעלה משום שרצו לאוסרה על ראשון, דמתוך חומר שהחמרת עליה בסופה הקילו בתחילתה (וע"ד מש"כ הרמב"ן לעיל פט.). ואילו ביבמה ל"ש טעם זה. [דאף אי צריכה גט משני אינה נאסרת על היבם. א"נ כוונתו דביבמה לא הקילו מתחילתו, ע"ע לקמן צג: צד.].</w:t>
      </w:r>
    </w:p>
  </w:footnote>
  <w:footnote w:id="5900">
    <w:p w14:paraId="3E686ED6" w14:textId="77777777" w:rsidR="006C4368" w:rsidRDefault="006C4368" w:rsidP="006C4368">
      <w:pPr>
        <w:pStyle w:val="Footnote"/>
        <w:bidi/>
      </w:pPr>
      <w:r>
        <w:rPr>
          <w:rStyle w:val="ac"/>
          <w:rtl/>
        </w:rPr>
        <w:footnoteRef/>
      </w:r>
      <w:r>
        <w:rPr>
          <w:rtl/>
        </w:rPr>
        <w:t>וה</w:t>
      </w:r>
      <w:r>
        <w:rPr>
          <w:b/>
          <w:bCs/>
          <w:rtl/>
        </w:rPr>
        <w:t xml:space="preserve">רמב"ן </w:t>
      </w:r>
      <w:r>
        <w:rPr>
          <w:rtl/>
        </w:rPr>
        <w:t>כת' דהיינו למ"ד דאין קידושין תופסים ביבמה. אבל למ"ד תופסים ביבמה מדינא צריכה גט. אלא דמדינא יוציא זה ויקיים זה, וגזרו דתצא מזה ומזה וכל הדרכים האלו בה.</w:t>
      </w:r>
    </w:p>
  </w:footnote>
  <w:footnote w:id="5901">
    <w:p w14:paraId="4770EF98" w14:textId="77777777" w:rsidR="006C4368" w:rsidRDefault="006C4368" w:rsidP="006C4368">
      <w:pPr>
        <w:pStyle w:val="Footnote"/>
        <w:bidi/>
      </w:pPr>
      <w:r>
        <w:rPr>
          <w:rStyle w:val="ac"/>
          <w:rtl/>
        </w:rPr>
        <w:footnoteRef/>
      </w:r>
      <w:r>
        <w:rPr>
          <w:rtl/>
        </w:rPr>
        <w:t>לכאורה כוונת התוס' למשנה דריש פירקין (פז:). [וכ"ה ברשב"א גיטין. אבל בתוס' צויין למתני' דידן צב. דאי' תצא, אך לכאורה עיקר הדיוק ממתני' דכל הדרכים]. אך בסיפא דמתני' (שם) אי' הלכה וקלקלה [שחייבת חטאת], ולחד מ"ד היינו זינתה, ולא הוה בכלל רישא.</w:t>
      </w:r>
    </w:p>
  </w:footnote>
  <w:footnote w:id="5902">
    <w:p w14:paraId="52A46A9E" w14:textId="77777777" w:rsidR="006C4368" w:rsidRDefault="006C4368" w:rsidP="006C4368">
      <w:pPr>
        <w:pStyle w:val="Footnote"/>
        <w:bidi/>
      </w:pPr>
      <w:r>
        <w:rPr>
          <w:rStyle w:val="ac"/>
          <w:rtl/>
        </w:rPr>
        <w:footnoteRef/>
      </w:r>
      <w:r>
        <w:rPr>
          <w:rtl/>
        </w:rPr>
        <w:t>וה</w:t>
      </w:r>
      <w:r>
        <w:rPr>
          <w:b/>
          <w:bCs/>
          <w:rtl/>
        </w:rPr>
        <w:t>רשב"א</w:t>
      </w:r>
      <w:r>
        <w:rPr>
          <w:rtl/>
        </w:rPr>
        <w:t xml:space="preserve"> (גיטין שם) ביאר דלא הוצרך לשנות זנות, דפשיטא דאין חלוק בין נשאת לזנתה. ובכל ענין גזרו לאסור בשוגג כיון דבמזיד מיתסרא מן התורה.</w:t>
      </w:r>
    </w:p>
  </w:footnote>
  <w:footnote w:id="5903">
    <w:p w14:paraId="089B056B" w14:textId="77777777" w:rsidR="006C4368" w:rsidRDefault="006C4368" w:rsidP="006C4368">
      <w:pPr>
        <w:pStyle w:val="Footnote"/>
        <w:bidi/>
      </w:pPr>
      <w:r>
        <w:rPr>
          <w:rStyle w:val="ac"/>
          <w:rtl/>
        </w:rPr>
        <w:footnoteRef/>
      </w:r>
      <w:r>
        <w:rPr>
          <w:rtl/>
        </w:rPr>
        <w:t>וכדתנן (קידושין ב.) דהיבמה קונה את עצמה בחליצה ובמיתת היבם. מכלל דמעיקרא אינה ברשות עצמה לינשא. וכמו שהביאו האחרונים מדברי רש"י בתחילת המשנה, דא"א קונה את עצמה, להיות ברשותה לינשא לאחר. וה</w:t>
      </w:r>
      <w:r>
        <w:rPr>
          <w:b/>
          <w:bCs/>
          <w:rtl/>
        </w:rPr>
        <w:t>פנ"י</w:t>
      </w:r>
      <w:r>
        <w:rPr>
          <w:rtl/>
        </w:rPr>
        <w:t xml:space="preserve"> (גיטין מג:) כת' דלא תפסי קידושין אחר קידושין, כיון דנתקדשה לראשון הוה ברשותו, ואין לה יד להתקדש לאחר. [וה</w:t>
      </w:r>
      <w:r>
        <w:rPr>
          <w:b/>
          <w:bCs/>
          <w:rtl/>
        </w:rPr>
        <w:t>אבנ"מ</w:t>
      </w:r>
      <w:r>
        <w:rPr>
          <w:rtl/>
        </w:rPr>
        <w:t xml:space="preserve"> (מד ד) חלק דמבואר (קידו' סז:) דלא תפסי קידושין מחמת שהיא ערוה, ולא משום הקנין. וה</w:t>
      </w:r>
      <w:r>
        <w:rPr>
          <w:b/>
          <w:bCs/>
          <w:rtl/>
        </w:rPr>
        <w:t>אחרונים</w:t>
      </w:r>
      <w:r>
        <w:rPr>
          <w:rtl/>
        </w:rPr>
        <w:t xml:space="preserve"> דחו דתרוייהו איתנהו].</w:t>
      </w:r>
    </w:p>
  </w:footnote>
  <w:footnote w:id="5904">
    <w:p w14:paraId="3E2BA16E" w14:textId="77777777" w:rsidR="006C4368" w:rsidRDefault="006C4368" w:rsidP="006C4368">
      <w:pPr>
        <w:pStyle w:val="Footnote"/>
        <w:bidi/>
      </w:pPr>
      <w:r>
        <w:rPr>
          <w:rStyle w:val="ac"/>
          <w:rtl/>
        </w:rPr>
        <w:footnoteRef/>
      </w:r>
      <w:r>
        <w:rPr>
          <w:rtl/>
        </w:rPr>
        <w:t>וה</w:t>
      </w:r>
      <w:r>
        <w:rPr>
          <w:b/>
          <w:bCs/>
          <w:rtl/>
        </w:rPr>
        <w:t xml:space="preserve">רמב"ן </w:t>
      </w:r>
      <w:r>
        <w:rPr>
          <w:rtl/>
        </w:rPr>
        <w:t>(נה:) הביא מסוגיין (בע"א) דלר"ע הוה ממזר דאין קידושין תופסין בחייבי לאוין. והרמב"ן דחה די"ל דחייבי לאוין לאו דוקא, אלא חייבי עשה. א"נ גלי קרא דלא תפסי קידושין [כרב], ומש"ה הוה ממזר לר"ע, אף דהוה רק עשה.</w:t>
      </w:r>
    </w:p>
    <w:p w14:paraId="2ADCBE59" w14:textId="77777777" w:rsidR="006C4368" w:rsidRDefault="006C4368" w:rsidP="006C4368">
      <w:pPr>
        <w:pStyle w:val="Footnote"/>
        <w:bidi/>
      </w:pPr>
      <w:r>
        <w:rPr>
          <w:rtl/>
        </w:rPr>
        <w:tab/>
        <w:t>[ויל"ד דר"ע לא איצטריך קרא דלא תפסי בה קידושין. א"כ לר"ע ודאי הוה חייבי לאוין].</w:t>
      </w:r>
    </w:p>
  </w:footnote>
  <w:footnote w:id="5905">
    <w:p w14:paraId="717F1773" w14:textId="77777777" w:rsidR="006C4368" w:rsidRDefault="006C4368" w:rsidP="006C4368">
      <w:pPr>
        <w:pStyle w:val="Footnote"/>
        <w:bidi/>
      </w:pPr>
      <w:r>
        <w:rPr>
          <w:rStyle w:val="ac"/>
          <w:rtl/>
        </w:rPr>
        <w:footnoteRef/>
      </w:r>
      <w:r>
        <w:rPr>
          <w:rtl/>
        </w:rPr>
        <w:t>ו</w:t>
      </w:r>
      <w:r>
        <w:rPr>
          <w:b/>
          <w:bCs/>
          <w:rtl/>
        </w:rPr>
        <w:t>הפור"י</w:t>
      </w:r>
      <w:r>
        <w:rPr>
          <w:rtl/>
        </w:rPr>
        <w:t xml:space="preserve"> הק' דבמשנה (נדרים עד.) אי' דכשיש ב' יבמין יש לאחרים רשות בה [דאי בעי אסר בגט או מאמר]. אבל ביבם א' אין לאחרים רשות בה. ואת"ל תפסי קידושין, א"כ יש לאחרים רשות עליה.</w:t>
      </w:r>
    </w:p>
  </w:footnote>
  <w:footnote w:id="5906">
    <w:p w14:paraId="33B37CAE" w14:textId="77777777" w:rsidR="006C4368" w:rsidRDefault="006C4368" w:rsidP="006C4368">
      <w:pPr>
        <w:pStyle w:val="Footnote"/>
        <w:bidi/>
      </w:pPr>
      <w:r>
        <w:rPr>
          <w:rStyle w:val="ac"/>
          <w:rtl/>
        </w:rPr>
        <w:footnoteRef/>
      </w:r>
      <w:r>
        <w:rPr>
          <w:rtl/>
        </w:rPr>
        <w:t xml:space="preserve">ולא מצאנו מ"ד דס"ל דתפסי קידושין [בתורת ודאי]. אך </w:t>
      </w:r>
      <w:r>
        <w:rPr>
          <w:b/>
          <w:bCs/>
          <w:rtl/>
        </w:rPr>
        <w:t>רש"י</w:t>
      </w:r>
      <w:r>
        <w:rPr>
          <w:rtl/>
        </w:rPr>
        <w:t xml:space="preserve"> (לעיל מט:) כת' דדעת הברייתא (שם) דתפסי קידושין ביבמה, ומש"ה לא הוה הולד ממזר.</w:t>
      </w:r>
    </w:p>
  </w:footnote>
  <w:footnote w:id="5907">
    <w:p w14:paraId="07C2FA41" w14:textId="77777777" w:rsidR="006C4368" w:rsidRDefault="006C4368" w:rsidP="006C4368">
      <w:pPr>
        <w:pStyle w:val="Footnote"/>
        <w:bidi/>
      </w:pPr>
      <w:r>
        <w:rPr>
          <w:rStyle w:val="ac"/>
          <w:rtl/>
        </w:rPr>
        <w:footnoteRef/>
      </w:r>
      <w:r>
        <w:rPr>
          <w:rtl/>
        </w:rPr>
        <w:t>דליכא גזיה"כ דלא תפסי קידושין.</w:t>
      </w:r>
    </w:p>
  </w:footnote>
  <w:footnote w:id="5908">
    <w:p w14:paraId="5E073753" w14:textId="77777777" w:rsidR="006C4368" w:rsidRDefault="006C4368" w:rsidP="006C4368">
      <w:pPr>
        <w:pStyle w:val="Footnote"/>
        <w:bidi/>
      </w:pPr>
      <w:r>
        <w:rPr>
          <w:rStyle w:val="ac"/>
          <w:rtl/>
        </w:rPr>
        <w:footnoteRef/>
      </w:r>
      <w:r>
        <w:rPr>
          <w:rtl/>
        </w:rPr>
        <w:t>ולכאורה הוה דרשא נוספת מהך קרא, והו"ל לגמ' לומר דמספק"ל אי לא תהיה לכדרב או דגלי דלא הותרה לשוק ע"י קידושין.</w:t>
      </w:r>
    </w:p>
  </w:footnote>
  <w:footnote w:id="5909">
    <w:p w14:paraId="55E24F55" w14:textId="77777777" w:rsidR="006C4368" w:rsidRDefault="006C4368" w:rsidP="006C4368">
      <w:pPr>
        <w:pStyle w:val="Footnote"/>
        <w:bidi/>
      </w:pPr>
      <w:r>
        <w:rPr>
          <w:rStyle w:val="ac"/>
          <w:rtl/>
        </w:rPr>
        <w:footnoteRef/>
      </w:r>
      <w:r>
        <w:rPr>
          <w:rtl/>
        </w:rPr>
        <w:t>ויל"ד האם כוונת רש"י דיש לאו על הקידושין אף בלא בעל. [ולא מצאנו כן אלא באיסורי כהונה לאביי קידושין עח.].</w:t>
      </w:r>
    </w:p>
  </w:footnote>
  <w:footnote w:id="5910">
    <w:p w14:paraId="660A4419" w14:textId="77777777" w:rsidR="006C4368" w:rsidRDefault="006C4368" w:rsidP="006C4368">
      <w:pPr>
        <w:pStyle w:val="Footnote"/>
        <w:bidi/>
      </w:pPr>
      <w:r>
        <w:rPr>
          <w:rStyle w:val="ac"/>
          <w:rtl/>
        </w:rPr>
        <w:footnoteRef/>
      </w:r>
      <w:r>
        <w:rPr>
          <w:rtl/>
        </w:rPr>
        <w:t>דהוא נתכוון לקידושין ודאין, ולא לספק קידושין. וה</w:t>
      </w:r>
      <w:r>
        <w:rPr>
          <w:b/>
          <w:bCs/>
          <w:rtl/>
        </w:rPr>
        <w:t>משנ"ל</w:t>
      </w:r>
      <w:r>
        <w:rPr>
          <w:rtl/>
        </w:rPr>
        <w:t xml:space="preserve"> (אישות ז כ) דן היכא דהשליח קידש ספק קידושין דאמרי' לתקוני שדרתיך. והוה מקח טעות.</w:t>
      </w:r>
    </w:p>
    <w:p w14:paraId="32E35337" w14:textId="77777777" w:rsidR="006C4368" w:rsidRDefault="006C4368" w:rsidP="006C4368">
      <w:pPr>
        <w:pStyle w:val="Footnote"/>
        <w:bidi/>
      </w:pPr>
      <w:r>
        <w:rPr>
          <w:rtl/>
        </w:rPr>
        <w:tab/>
        <w:t>והביא דבחייבי לאוין קי"ל (כתובות קא:) דצריכה גט, וה</w:t>
      </w:r>
      <w:r>
        <w:rPr>
          <w:b/>
          <w:bCs/>
          <w:rtl/>
        </w:rPr>
        <w:t>ר"ן</w:t>
      </w:r>
      <w:r>
        <w:rPr>
          <w:rtl/>
        </w:rPr>
        <w:t xml:space="preserve"> (כתובות שם נט. בדה"ר) ביאר שלא היה הדבר מוטל עליהן לגלות, דסברי דאפשר שיערב עליו המקח ואף שיש איסור בדבר. [ודן אי הוה מספק או ודאי. והביא דב</w:t>
      </w:r>
      <w:r>
        <w:rPr>
          <w:b/>
          <w:bCs/>
          <w:rtl/>
        </w:rPr>
        <w:t>ס' תפארת צבי</w:t>
      </w:r>
      <w:r>
        <w:rPr>
          <w:rtl/>
        </w:rPr>
        <w:t xml:space="preserve"> כת' דצריכה גט רק מדרבנן. ואכמ"ל]. ועוד דן דהכא יש תקנה מדאורייתא ע"י גט, א"כ עדיף משאר חייבי לאוין.</w:t>
      </w:r>
    </w:p>
  </w:footnote>
  <w:footnote w:id="5911">
    <w:p w14:paraId="55FC408B" w14:textId="77777777" w:rsidR="006C4368" w:rsidRDefault="006C4368" w:rsidP="006C4368">
      <w:pPr>
        <w:pStyle w:val="Footnote"/>
        <w:bidi/>
      </w:pPr>
      <w:r>
        <w:rPr>
          <w:rStyle w:val="ac"/>
          <w:rtl/>
        </w:rPr>
        <w:footnoteRef/>
      </w:r>
      <w:r>
        <w:rPr>
          <w:rtl/>
        </w:rPr>
        <w:t>והגירסא (לפנינו שם) 'תהיה' אורחיה דקרא או לאשמעינן, משמע דתוס' נסתפקו אי הוה לאו על הקידושין או כשאר איסו"ב [ותהיה לאו דוקא]. אבל ה</w:t>
      </w:r>
      <w:r>
        <w:rPr>
          <w:b/>
          <w:bCs/>
          <w:rtl/>
        </w:rPr>
        <w:t>מהרש"ל</w:t>
      </w:r>
      <w:r>
        <w:rPr>
          <w:rtl/>
        </w:rPr>
        <w:t xml:space="preserve"> (עה"ג שם) וה</w:t>
      </w:r>
      <w:r>
        <w:rPr>
          <w:b/>
          <w:bCs/>
          <w:rtl/>
        </w:rPr>
        <w:t>ב"ח</w:t>
      </w:r>
      <w:r>
        <w:rPr>
          <w:rtl/>
        </w:rPr>
        <w:t xml:space="preserve"> (שם) מחקו 'או', והוה חד תי'.</w:t>
      </w:r>
    </w:p>
  </w:footnote>
  <w:footnote w:id="5912">
    <w:p w14:paraId="4944ECFC" w14:textId="77777777" w:rsidR="006C4368" w:rsidRDefault="006C4368" w:rsidP="006C4368">
      <w:pPr>
        <w:pStyle w:val="Footnote"/>
        <w:bidi/>
      </w:pPr>
      <w:r>
        <w:rPr>
          <w:rStyle w:val="ac"/>
          <w:rtl/>
        </w:rPr>
        <w:footnoteRef/>
      </w:r>
      <w:r>
        <w:rPr>
          <w:rtl/>
        </w:rPr>
        <w:t xml:space="preserve">ובשאר איסורין אינו לוקה על הקידושין [מלבד איסורי כהונה קידושין עח.]. וע"ע </w:t>
      </w:r>
      <w:r>
        <w:rPr>
          <w:b/>
          <w:bCs/>
          <w:rtl/>
        </w:rPr>
        <w:t>תוס</w:t>
      </w:r>
      <w:r>
        <w:rPr>
          <w:rtl/>
        </w:rPr>
        <w:t>' (לעיל י.) דשמא יש איסור דרבנן לקדש. וע' מש"כ שם.</w:t>
      </w:r>
    </w:p>
  </w:footnote>
  <w:footnote w:id="5913">
    <w:p w14:paraId="74446D3D" w14:textId="77777777" w:rsidR="006C4368" w:rsidRDefault="006C4368" w:rsidP="006C4368">
      <w:pPr>
        <w:pStyle w:val="Footnote"/>
        <w:bidi/>
      </w:pPr>
      <w:r>
        <w:rPr>
          <w:rStyle w:val="ac"/>
          <w:rtl/>
        </w:rPr>
        <w:footnoteRef/>
      </w:r>
      <w:r>
        <w:rPr>
          <w:rtl/>
        </w:rPr>
        <w:t>ולא ס"ל גזירת תצא מזה ומזה. [דרבנן ל"ל הך גזירה ביבמה].</w:t>
      </w:r>
    </w:p>
  </w:footnote>
  <w:footnote w:id="5914">
    <w:p w14:paraId="001FBA5F" w14:textId="77777777" w:rsidR="006C4368" w:rsidRDefault="006C4368" w:rsidP="006C4368">
      <w:pPr>
        <w:pStyle w:val="Footnote"/>
        <w:bidi/>
      </w:pPr>
      <w:r>
        <w:rPr>
          <w:rStyle w:val="ac"/>
          <w:rtl/>
        </w:rPr>
        <w:footnoteRef/>
      </w:r>
      <w:r>
        <w:rPr>
          <w:rtl/>
        </w:rPr>
        <w:t>וה</w:t>
      </w:r>
      <w:r>
        <w:rPr>
          <w:b/>
          <w:bCs/>
          <w:rtl/>
        </w:rPr>
        <w:t>רמ"א</w:t>
      </w:r>
      <w:r>
        <w:rPr>
          <w:rtl/>
        </w:rPr>
        <w:t xml:space="preserve"> (קנט א) כת' דצריך לחזור ולקדשה לאחר חליצה, שתהא מקודשת ודאי. וה</w:t>
      </w:r>
      <w:r>
        <w:rPr>
          <w:b/>
          <w:bCs/>
          <w:rtl/>
        </w:rPr>
        <w:t>גר"א</w:t>
      </w:r>
      <w:r>
        <w:rPr>
          <w:rtl/>
        </w:rPr>
        <w:t xml:space="preserve"> (קנט ז) כת' דהא לרוב האמוראים קידושין הראשונים אינן תופסין, ואף לשמואל אינו אלא ספק קידושין. [וצ"ב מאחר דפסקו להדיא כשמואל, מה הביא מדעת שאר אמוראים. ואפשר דשמואל נקט הלשון בעניותינו, משמע דביטל דעתו לדעת שאר אמוראים, אלא דהחמיר בדבר].</w:t>
      </w:r>
    </w:p>
  </w:footnote>
  <w:footnote w:id="5915">
    <w:p w14:paraId="5C3D6FB4" w14:textId="77777777" w:rsidR="006C4368" w:rsidRDefault="006C4368" w:rsidP="006C4368">
      <w:pPr>
        <w:pStyle w:val="Footnote"/>
        <w:bidi/>
      </w:pPr>
      <w:r>
        <w:rPr>
          <w:rStyle w:val="ac"/>
          <w:rtl/>
        </w:rPr>
        <w:footnoteRef/>
      </w:r>
      <w:r>
        <w:rPr>
          <w:rtl/>
        </w:rPr>
        <w:t>ובפשוטו ר' יוחנן בן זכאי (לעיל יד:) פליג דנעשה כדברי בית הלל, הולד פגום לדברי בי"ש. ופ</w:t>
      </w:r>
      <w:r>
        <w:rPr>
          <w:b/>
          <w:bCs/>
          <w:rtl/>
        </w:rPr>
        <w:t>רש"י</w:t>
      </w:r>
      <w:r>
        <w:rPr>
          <w:rtl/>
        </w:rPr>
        <w:t xml:space="preserve"> דהוה חללים לכהונה. [וע"ע מש"כ לעיל שם ומד: וסט.].</w:t>
      </w:r>
    </w:p>
  </w:footnote>
  <w:footnote w:id="5916">
    <w:p w14:paraId="3BF33824" w14:textId="77777777" w:rsidR="006C4368" w:rsidRDefault="006C4368" w:rsidP="006C4368">
      <w:pPr>
        <w:pStyle w:val="Footnote"/>
        <w:bidi/>
      </w:pPr>
      <w:r>
        <w:rPr>
          <w:rStyle w:val="ac"/>
          <w:rtl/>
        </w:rPr>
        <w:footnoteRef/>
      </w:r>
      <w:r>
        <w:rPr>
          <w:rtl/>
        </w:rPr>
        <w:t xml:space="preserve">וכ"כ </w:t>
      </w:r>
      <w:r>
        <w:rPr>
          <w:b/>
          <w:bCs/>
          <w:rtl/>
        </w:rPr>
        <w:t>ר' ירוחם</w:t>
      </w:r>
      <w:r>
        <w:rPr>
          <w:rtl/>
        </w:rPr>
        <w:t xml:space="preserve"> (כה ג ריט בדה"ס הו' בב"י קנט) דשומרת יבם שזינתה אסורה ליבם כהן, שנבעלה לפסול לה. והב"י כת' דדבר פשוט הוא.</w:t>
      </w:r>
    </w:p>
    <w:p w14:paraId="7CBD8694" w14:textId="77777777" w:rsidR="006C4368" w:rsidRDefault="006C4368" w:rsidP="006C4368">
      <w:pPr>
        <w:pStyle w:val="Footnote"/>
        <w:bidi/>
      </w:pPr>
      <w:r>
        <w:rPr>
          <w:rtl/>
        </w:rPr>
        <w:tab/>
        <w:t>וה</w:t>
      </w:r>
      <w:r>
        <w:rPr>
          <w:b/>
          <w:bCs/>
          <w:rtl/>
        </w:rPr>
        <w:t>אבנ"מ</w:t>
      </w:r>
      <w:r>
        <w:rPr>
          <w:rtl/>
        </w:rPr>
        <w:t xml:space="preserve"> (ו ד) הביא דכ"ד ה</w:t>
      </w:r>
      <w:r>
        <w:rPr>
          <w:b/>
          <w:bCs/>
          <w:rtl/>
        </w:rPr>
        <w:t>רמב"ם</w:t>
      </w:r>
      <w:r>
        <w:rPr>
          <w:rtl/>
        </w:rPr>
        <w:t xml:space="preserve"> (איסו"ב יט ה) דיבמה שבעלה לשוק נפסלה לכהונה. אבל </w:t>
      </w:r>
      <w:r>
        <w:rPr>
          <w:b/>
          <w:bCs/>
          <w:rtl/>
        </w:rPr>
        <w:t>רש"י</w:t>
      </w:r>
      <w:r>
        <w:rPr>
          <w:rtl/>
        </w:rPr>
        <w:t xml:space="preserve"> (לעיל טו: ד"ה היא) ו</w:t>
      </w:r>
      <w:r>
        <w:rPr>
          <w:b/>
          <w:bCs/>
          <w:rtl/>
        </w:rPr>
        <w:t>תוס'</w:t>
      </w:r>
      <w:r>
        <w:rPr>
          <w:rtl/>
        </w:rPr>
        <w:t xml:space="preserve"> (טו: ועז.) כת' דאינה נפסלת, דלאו זר אצלה מעיקרא. [ודוחק לומר דקאי כמ"ד דקידושין תפסי ביבמה].</w:t>
      </w:r>
    </w:p>
  </w:footnote>
  <w:footnote w:id="5917">
    <w:p w14:paraId="0DE0E33D" w14:textId="77777777" w:rsidR="006C4368" w:rsidRDefault="006C4368" w:rsidP="006C4368">
      <w:pPr>
        <w:pStyle w:val="Footnote"/>
        <w:bidi/>
      </w:pPr>
      <w:r>
        <w:rPr>
          <w:rStyle w:val="ac"/>
          <w:rtl/>
        </w:rPr>
        <w:footnoteRef/>
      </w:r>
      <w:r>
        <w:rPr>
          <w:rtl/>
        </w:rPr>
        <w:t>וכת' אבל אם היו לה בנים, היבם חולץ ומותרת לו. ולא קנסו להוציאה מתחת בעלה, דא"כ אתה מוציא לעז על בניה. וע"ע בסמוך.</w:t>
      </w:r>
    </w:p>
  </w:footnote>
  <w:footnote w:id="5918">
    <w:p w14:paraId="077A5E3A" w14:textId="77777777" w:rsidR="006C4368" w:rsidRDefault="006C4368" w:rsidP="006C4368">
      <w:pPr>
        <w:pStyle w:val="Footnote"/>
        <w:bidi/>
      </w:pPr>
      <w:r>
        <w:rPr>
          <w:rStyle w:val="ac"/>
          <w:rtl/>
        </w:rPr>
        <w:footnoteRef/>
      </w:r>
      <w:r>
        <w:rPr>
          <w:rtl/>
        </w:rPr>
        <w:t>משמע דוקא גירש, ואח"כ חלצה. אבל כשהיבם חלץ בעודה תחתיו שייך סברת איתגורי אתגר. [ומוציאין מידו]. וצ"ע.</w:t>
      </w:r>
    </w:p>
  </w:footnote>
  <w:footnote w:id="5919">
    <w:p w14:paraId="7C7D79FC" w14:textId="77777777" w:rsidR="006C4368" w:rsidRDefault="006C4368" w:rsidP="006C4368">
      <w:pPr>
        <w:pStyle w:val="Footnote"/>
        <w:bidi/>
      </w:pPr>
      <w:r>
        <w:rPr>
          <w:rStyle w:val="ac"/>
          <w:rtl/>
        </w:rPr>
        <w:footnoteRef/>
      </w:r>
      <w:r>
        <w:rPr>
          <w:rtl/>
        </w:rPr>
        <w:t>וה</w:t>
      </w:r>
      <w:r>
        <w:rPr>
          <w:b/>
          <w:bCs/>
          <w:rtl/>
        </w:rPr>
        <w:t>רמ"א</w:t>
      </w:r>
      <w:r>
        <w:rPr>
          <w:rtl/>
        </w:rPr>
        <w:t xml:space="preserve"> (קנט א) הביא י"א (ה</w:t>
      </w:r>
      <w:r>
        <w:rPr>
          <w:b/>
          <w:bCs/>
          <w:rtl/>
        </w:rPr>
        <w:t>תה"ד</w:t>
      </w:r>
      <w:r>
        <w:rPr>
          <w:rtl/>
        </w:rPr>
        <w:t xml:space="preserve"> רכב) דפליגי, דמוציאין אותה מהמקדש [לדעת הרא"ש].</w:t>
      </w:r>
    </w:p>
  </w:footnote>
  <w:footnote w:id="5920">
    <w:p w14:paraId="74BDAB1C" w14:textId="77777777" w:rsidR="006C4368" w:rsidRDefault="006C4368" w:rsidP="006C4368">
      <w:pPr>
        <w:pStyle w:val="Footnote"/>
        <w:bidi/>
      </w:pPr>
      <w:r>
        <w:rPr>
          <w:rStyle w:val="ac"/>
          <w:rtl/>
        </w:rPr>
        <w:footnoteRef/>
      </w:r>
      <w:r>
        <w:rPr>
          <w:rtl/>
        </w:rPr>
        <w:t>וב</w:t>
      </w:r>
      <w:r>
        <w:rPr>
          <w:b/>
          <w:bCs/>
          <w:rtl/>
        </w:rPr>
        <w:t>שו"ת שבות יעקב</w:t>
      </w:r>
      <w:r>
        <w:rPr>
          <w:rtl/>
        </w:rPr>
        <w:t xml:space="preserve"> (מ, הו' בפתח"ת קנז יא) כת' דהיכא שמת בחזקת שאין לו אחים, ונשאת לשוק. ואח"כ נתעורר חשש ע"פ אומדנא שמא איש זה הוא אחיו. צריכה חליצה, אך אין להחמיר להוציאה מבעלה, ולאחר החליצה יחזור ויקדש אותה [דספק דלא תפסי קידושין], ובכה"ג אי"צ להחמיר לאוסרה עליו, או להצריך שיגרש תחילה קודם החליצה. [וכת' דצריך להפרישה ג' חדשים, ואם עברו ג' חדשים עד החליצה יכול לקדשה מיד אחר החליצה, בפני ב' עדים, בלא ברכת אירוסין ונשואין].</w:t>
      </w:r>
    </w:p>
  </w:footnote>
  <w:footnote w:id="5921">
    <w:p w14:paraId="2B5A4709" w14:textId="77777777" w:rsidR="006C4368" w:rsidRDefault="006C4368" w:rsidP="006C4368">
      <w:pPr>
        <w:pStyle w:val="Footnote"/>
        <w:bidi/>
      </w:pPr>
      <w:r>
        <w:rPr>
          <w:rStyle w:val="ac"/>
          <w:rtl/>
        </w:rPr>
        <w:footnoteRef/>
      </w:r>
      <w:r>
        <w:rPr>
          <w:rtl/>
        </w:rPr>
        <w:t>ולכאורה הטעם משום דזכותו של יבם קודמת לזכות של המקדש. ומש"ה נחשב שהמקדש אוסר עליו, וכופין אותו לסלק איסורו.</w:t>
      </w:r>
    </w:p>
  </w:footnote>
  <w:footnote w:id="5922">
    <w:p w14:paraId="4163F378" w14:textId="77777777" w:rsidR="006C4368" w:rsidRDefault="006C4368" w:rsidP="006C4368">
      <w:pPr>
        <w:pStyle w:val="Footnote"/>
        <w:bidi/>
      </w:pPr>
      <w:r>
        <w:rPr>
          <w:rStyle w:val="ac"/>
          <w:rtl/>
        </w:rPr>
        <w:footnoteRef/>
      </w:r>
      <w:r>
        <w:rPr>
          <w:rtl/>
        </w:rPr>
        <w:t>ואף דל"ש כאן גירש זה ונשא זה. ומבואר ברמב"ן דהתם איירי בטעות [שסבורה שהיא צרת ערוה או שהותרה ע"י צרתה], ומש"ה בקידושין לחוד לא קנסו. אבל הכא איירי בנתקדשה במזיד, ומש"ה ס"ד טפי לקנוס.</w:t>
      </w:r>
    </w:p>
  </w:footnote>
  <w:footnote w:id="5923">
    <w:p w14:paraId="32801C36" w14:textId="77777777" w:rsidR="006C4368" w:rsidRDefault="006C4368" w:rsidP="006C4368">
      <w:pPr>
        <w:pStyle w:val="Footnote"/>
        <w:bidi/>
      </w:pPr>
      <w:r>
        <w:rPr>
          <w:rStyle w:val="ac"/>
          <w:rtl/>
        </w:rPr>
        <w:footnoteRef/>
      </w:r>
      <w:r>
        <w:rPr>
          <w:rtl/>
        </w:rPr>
        <w:t>וה</w:t>
      </w:r>
      <w:r>
        <w:rPr>
          <w:b/>
          <w:bCs/>
          <w:rtl/>
        </w:rPr>
        <w:t>רא"ש</w:t>
      </w:r>
      <w:r>
        <w:rPr>
          <w:rtl/>
        </w:rPr>
        <w:t xml:space="preserve"> הוסיף דאשת איש שנתקדשה כמו שאינה נאסרת לבעל, כמו כן אינה נאסרת למקדש, אילו הבעל ימות או יגרש.</w:t>
      </w:r>
    </w:p>
  </w:footnote>
  <w:footnote w:id="5924">
    <w:p w14:paraId="77C70062" w14:textId="77777777" w:rsidR="006C4368" w:rsidRDefault="006C4368" w:rsidP="006C4368">
      <w:pPr>
        <w:pStyle w:val="Footnote"/>
        <w:bidi/>
      </w:pPr>
      <w:r>
        <w:rPr>
          <w:rStyle w:val="ac"/>
          <w:rtl/>
        </w:rPr>
        <w:footnoteRef/>
      </w:r>
      <w:r>
        <w:rPr>
          <w:rtl/>
        </w:rPr>
        <w:t>ולפ"ז היכא דהעידו שאינה זקוקה ליבם, ואח"כ נתברר שמת בנה מותרת למקדש. לכאורה אפי' ביבם כהן.</w:t>
      </w:r>
    </w:p>
  </w:footnote>
  <w:footnote w:id="5925">
    <w:p w14:paraId="2866955B" w14:textId="77777777" w:rsidR="006C4368" w:rsidRDefault="006C4368" w:rsidP="006C4368">
      <w:pPr>
        <w:pStyle w:val="Footnote"/>
        <w:bidi/>
      </w:pPr>
      <w:r>
        <w:rPr>
          <w:rStyle w:val="ac"/>
          <w:rtl/>
        </w:rPr>
        <w:footnoteRef/>
      </w:r>
      <w:r>
        <w:rPr>
          <w:rtl/>
        </w:rPr>
        <w:t>וה</w:t>
      </w:r>
      <w:r>
        <w:rPr>
          <w:b/>
          <w:bCs/>
          <w:rtl/>
        </w:rPr>
        <w:t>קובה"ע</w:t>
      </w:r>
      <w:r>
        <w:rPr>
          <w:rtl/>
        </w:rPr>
        <w:t xml:space="preserve"> תמה על הרמב"ן דנשאר בקו', ואף דס"ל (קידושין עח. הנ"ל) דיש לאו בקידושין.</w:t>
      </w:r>
    </w:p>
  </w:footnote>
  <w:footnote w:id="5926">
    <w:p w14:paraId="027C9150" w14:textId="77777777" w:rsidR="006C4368" w:rsidRDefault="006C4368" w:rsidP="006C4368">
      <w:pPr>
        <w:pStyle w:val="Footnote"/>
        <w:bidi/>
      </w:pPr>
      <w:r>
        <w:rPr>
          <w:rStyle w:val="ac"/>
          <w:rtl/>
        </w:rPr>
        <w:footnoteRef/>
      </w:r>
      <w:r>
        <w:rPr>
          <w:rtl/>
        </w:rPr>
        <w:t>וב</w:t>
      </w:r>
      <w:r>
        <w:rPr>
          <w:b/>
          <w:bCs/>
          <w:rtl/>
        </w:rPr>
        <w:t>פסקי הריא"ז</w:t>
      </w:r>
      <w:r>
        <w:rPr>
          <w:rtl/>
        </w:rPr>
        <w:t xml:space="preserve"> (כאן יז) כת' דאם רוצה היבם יכול לעגנה עד שהמקדש יגרשנה בגט [ותאסר עליו] כדי שלא יהא חוטא נשכר, ואח"כ היבם חולץ לה ומתירה לעולם.</w:t>
      </w:r>
    </w:p>
  </w:footnote>
  <w:footnote w:id="5927">
    <w:p w14:paraId="7FDF67F3" w14:textId="77777777" w:rsidR="006C4368" w:rsidRDefault="006C4368" w:rsidP="006C4368">
      <w:pPr>
        <w:pStyle w:val="Footnote"/>
        <w:bidi/>
      </w:pPr>
      <w:r>
        <w:rPr>
          <w:rStyle w:val="ac"/>
          <w:rtl/>
        </w:rPr>
        <w:footnoteRef/>
      </w:r>
      <w:r>
        <w:rPr>
          <w:rtl/>
        </w:rPr>
        <w:t>וכ"כ ה</w:t>
      </w:r>
      <w:r>
        <w:rPr>
          <w:b/>
          <w:bCs/>
          <w:rtl/>
        </w:rPr>
        <w:t xml:space="preserve">רמב"ן </w:t>
      </w:r>
      <w:r>
        <w:rPr>
          <w:rtl/>
        </w:rPr>
        <w:t>דהיה נראה דאתגורי אתגר במה שכופין אותו לחלוץ בע"כ. [ולפ"ז לא אסרו כלל ליאסר על היבם. אבל פשטות לשון התוס' דהיכא דהיבם רוצה לייבם אסרוה למקדש].</w:t>
      </w:r>
    </w:p>
  </w:footnote>
  <w:footnote w:id="5928">
    <w:p w14:paraId="38A3D6D5" w14:textId="77777777" w:rsidR="006C4368" w:rsidRDefault="006C4368" w:rsidP="006C4368">
      <w:pPr>
        <w:pStyle w:val="Footnote"/>
        <w:bidi/>
      </w:pPr>
      <w:r>
        <w:rPr>
          <w:rStyle w:val="ac"/>
          <w:rtl/>
        </w:rPr>
        <w:footnoteRef/>
      </w:r>
      <w:r>
        <w:rPr>
          <w:rtl/>
        </w:rPr>
        <w:t>לכאורה מבואר בדבריו דבעלמא אשת כהן שנאסרת עליו, כופין אותו לגרש. ואף במקום שהאשה פשעה וגרמה לעצמה ליאסר. אלא דהכא יש סברא דאתגורי אתגר.</w:t>
      </w:r>
    </w:p>
    <w:p w14:paraId="00757609" w14:textId="77777777" w:rsidR="006C4368" w:rsidRDefault="006C4368" w:rsidP="006C4368">
      <w:pPr>
        <w:pStyle w:val="Footnote"/>
        <w:bidi/>
      </w:pPr>
      <w:r>
        <w:rPr>
          <w:rtl/>
        </w:rPr>
        <w:tab/>
        <w:t>אבל ה</w:t>
      </w:r>
      <w:r>
        <w:rPr>
          <w:b/>
          <w:bCs/>
          <w:rtl/>
        </w:rPr>
        <w:t>מג"א</w:t>
      </w:r>
      <w:r>
        <w:rPr>
          <w:rtl/>
        </w:rPr>
        <w:t xml:space="preserve"> (הודפס במג"א לתוספתא נזיקין בסוה"ס, הו' ברע"א לעיל פח: וכתובות סג:) דן באשה שזינתה תחת בעלה, האם כופין את הבעל לגרש או דאינו מחוייב ליתן גט. שהיא גרמה לעצמה ליאסר, ותשב עגונה כל ימיה. [ורע"א ציין לדברי כמה שו"ת בזה].</w:t>
      </w:r>
    </w:p>
    <w:p w14:paraId="353DE3C7" w14:textId="77777777" w:rsidR="006C4368" w:rsidRDefault="006C4368" w:rsidP="006C4368">
      <w:pPr>
        <w:pStyle w:val="Footnote"/>
        <w:bidi/>
      </w:pPr>
      <w:r>
        <w:rPr>
          <w:rtl/>
        </w:rPr>
        <w:tab/>
        <w:t>[ואפשר דשאני הכא שהיא מותרת ליבם לאחר מיתת המקדש. והיבם רשאי להמתין].</w:t>
      </w:r>
    </w:p>
  </w:footnote>
  <w:footnote w:id="5929">
    <w:p w14:paraId="22581F17" w14:textId="77777777" w:rsidR="006C4368" w:rsidRDefault="006C4368" w:rsidP="006C4368">
      <w:pPr>
        <w:pStyle w:val="Footnote"/>
        <w:bidi/>
      </w:pPr>
      <w:r>
        <w:rPr>
          <w:rStyle w:val="ac"/>
          <w:rtl/>
        </w:rPr>
        <w:footnoteRef/>
      </w:r>
      <w:r>
        <w:rPr>
          <w:rtl/>
        </w:rPr>
        <w:t>והביא עד"ז מצינו (לקמן קיא:) מבקשין ממנו.</w:t>
      </w:r>
    </w:p>
  </w:footnote>
  <w:footnote w:id="5930">
    <w:p w14:paraId="29AD7383" w14:textId="77777777" w:rsidR="006C4368" w:rsidRDefault="006C4368" w:rsidP="006C4368">
      <w:pPr>
        <w:pStyle w:val="Footnote"/>
        <w:bidi/>
      </w:pPr>
      <w:r>
        <w:rPr>
          <w:rStyle w:val="ac"/>
          <w:rtl/>
        </w:rPr>
        <w:footnoteRef/>
      </w:r>
      <w:r>
        <w:rPr>
          <w:rtl/>
        </w:rPr>
        <w:t>ועוד דבסוגיין קאי בלשון כפייה, ולא קאי בדיני קנס.</w:t>
      </w:r>
    </w:p>
  </w:footnote>
  <w:footnote w:id="5931">
    <w:p w14:paraId="7E35229E" w14:textId="77777777" w:rsidR="006C4368" w:rsidRDefault="006C4368" w:rsidP="006C4368">
      <w:pPr>
        <w:pStyle w:val="Footnote"/>
        <w:bidi/>
      </w:pPr>
      <w:r>
        <w:rPr>
          <w:rStyle w:val="ac"/>
          <w:rtl/>
        </w:rPr>
        <w:footnoteRef/>
      </w:r>
      <w:r>
        <w:rPr>
          <w:rtl/>
        </w:rPr>
        <w:t>אבל כת' דלא דנים אותה כמורדת. [ע"ע לקמן קיא. בנודרת הנאה מהיבם].</w:t>
      </w:r>
    </w:p>
  </w:footnote>
  <w:footnote w:id="5932">
    <w:p w14:paraId="577E0E88" w14:textId="77777777" w:rsidR="006C4368" w:rsidRDefault="006C4368" w:rsidP="006C4368">
      <w:pPr>
        <w:pStyle w:val="Footnote"/>
        <w:bidi/>
      </w:pPr>
      <w:r>
        <w:rPr>
          <w:rStyle w:val="ac"/>
          <w:rtl/>
        </w:rPr>
        <w:footnoteRef/>
      </w:r>
      <w:r>
        <w:rPr>
          <w:rtl/>
        </w:rPr>
        <w:t>וצ"ב דברי ר"ת שכת' דעובר משום לא יבנה, וקאי בכרת. הא לא יבנה הוה לאו או עשה בעלמא (ע' לעיל י: יא.). וביארו דכוונתו דה"מ בעודה עומדת במצב יבום. אבל לאחר שנשאת לאחר, פקע ממנה שם יבמה. והוה אשת אח שלא במקום מצווה. [וכ"ד ה</w:t>
      </w:r>
      <w:r>
        <w:rPr>
          <w:b/>
          <w:bCs/>
          <w:rtl/>
        </w:rPr>
        <w:t>מהרש"ל</w:t>
      </w:r>
      <w:r>
        <w:rPr>
          <w:rtl/>
        </w:rPr>
        <w:t xml:space="preserve"> (חכמ"ש גיטין פ:), וע' מש"כ לעיל י:].</w:t>
      </w:r>
    </w:p>
    <w:p w14:paraId="1A0054B2" w14:textId="77777777" w:rsidR="006C4368" w:rsidRDefault="006C4368" w:rsidP="006C4368">
      <w:pPr>
        <w:pStyle w:val="Footnote"/>
        <w:bidi/>
      </w:pPr>
      <w:r>
        <w:rPr>
          <w:rtl/>
        </w:rPr>
        <w:tab/>
        <w:t>[ו</w:t>
      </w:r>
      <w:r>
        <w:rPr>
          <w:b/>
          <w:bCs/>
          <w:rtl/>
        </w:rPr>
        <w:t>ר"ת</w:t>
      </w:r>
      <w:r>
        <w:rPr>
          <w:rtl/>
        </w:rPr>
        <w:t xml:space="preserve"> נקט הלשון 'מחזיר גרושתו', וצ"ע דהא לא גירשה. מ"מ אפשר דכוונתו (ע"ד הנ"ל) שחלוצתו שנשאת לאחר מישך לדין מחזיר גרושתו שנשאת לאחר. ועי"ז דמי לסוטה. וסוטה במקום יבום אינה זקוקה, ומש"ה פקע ממנה שם יבמה].</w:t>
      </w:r>
    </w:p>
  </w:footnote>
  <w:footnote w:id="5933">
    <w:p w14:paraId="19BDE99D" w14:textId="77777777" w:rsidR="006C4368" w:rsidRDefault="006C4368" w:rsidP="006C4368">
      <w:pPr>
        <w:pStyle w:val="Footnote"/>
        <w:bidi/>
      </w:pPr>
      <w:r>
        <w:rPr>
          <w:rStyle w:val="ac"/>
          <w:rtl/>
        </w:rPr>
        <w:footnoteRef/>
      </w:r>
      <w:r>
        <w:rPr>
          <w:rtl/>
        </w:rPr>
        <w:t>לכאורה הטעם דלא חששו שמא יאמרו גירשה זה אלא היכא דעבדא איסורה (כדאי' לעיל פט.).</w:t>
      </w:r>
    </w:p>
  </w:footnote>
  <w:footnote w:id="5934">
    <w:p w14:paraId="25B7E150" w14:textId="77777777" w:rsidR="006C4368" w:rsidRDefault="006C4368" w:rsidP="006C4368">
      <w:pPr>
        <w:pStyle w:val="Footnote"/>
        <w:bidi/>
      </w:pPr>
      <w:r>
        <w:rPr>
          <w:rStyle w:val="ac"/>
          <w:rtl/>
        </w:rPr>
        <w:footnoteRef/>
      </w:r>
      <w:r>
        <w:rPr>
          <w:rtl/>
        </w:rPr>
        <w:t>וה</w:t>
      </w:r>
      <w:r>
        <w:rPr>
          <w:b/>
          <w:bCs/>
          <w:rtl/>
        </w:rPr>
        <w:t>רא"ש</w:t>
      </w:r>
      <w:r>
        <w:rPr>
          <w:rtl/>
        </w:rPr>
        <w:t xml:space="preserve"> הוסיף דאין להחמיר ביבמה [דבמזיד אינה נאסרת עליו] טפי מאשת איש.</w:t>
      </w:r>
    </w:p>
  </w:footnote>
  <w:footnote w:id="5935">
    <w:p w14:paraId="1A4B7329" w14:textId="77777777" w:rsidR="006C4368" w:rsidRDefault="006C4368" w:rsidP="006C4368">
      <w:pPr>
        <w:pStyle w:val="Footnote"/>
        <w:bidi/>
      </w:pPr>
      <w:r>
        <w:rPr>
          <w:rStyle w:val="ac"/>
          <w:rtl/>
        </w:rPr>
        <w:footnoteRef/>
      </w:r>
      <w:r>
        <w:rPr>
          <w:rtl/>
        </w:rPr>
        <w:t>וכ"פ ה</w:t>
      </w:r>
      <w:r>
        <w:rPr>
          <w:b/>
          <w:bCs/>
          <w:rtl/>
        </w:rPr>
        <w:t>שו"ע</w:t>
      </w:r>
      <w:r>
        <w:rPr>
          <w:rtl/>
        </w:rPr>
        <w:t xml:space="preserve"> (קנט א) דאף בשוגג אסורה למקדש. והרמ"א הביא דעת הרא"ש. וה</w:t>
      </w:r>
      <w:r>
        <w:rPr>
          <w:b/>
          <w:bCs/>
          <w:rtl/>
        </w:rPr>
        <w:t>בי"ש</w:t>
      </w:r>
      <w:r>
        <w:rPr>
          <w:rtl/>
        </w:rPr>
        <w:t xml:space="preserve"> (א) הביא מדברי הראשונים דאף הגאונים מודו בשוגג. והבי"ש כת' דמ"מ היכא דנשאת ע"פ עד א' לא גזרו לאסור למקדש לעולם, וכדאי' בשו"ע (יז נח). ואיירי הכא בנשאת ע"י קול בעלמא וכדו'.</w:t>
      </w:r>
    </w:p>
  </w:footnote>
  <w:footnote w:id="5936">
    <w:p w14:paraId="5B8DAF1B" w14:textId="77777777" w:rsidR="006C4368" w:rsidRDefault="006C4368" w:rsidP="006C4368">
      <w:pPr>
        <w:pStyle w:val="Footnote"/>
        <w:bidi/>
      </w:pPr>
      <w:r>
        <w:rPr>
          <w:rStyle w:val="ac"/>
          <w:rtl/>
        </w:rPr>
        <w:footnoteRef/>
      </w:r>
      <w:r>
        <w:rPr>
          <w:rtl/>
        </w:rPr>
        <w:t>וסיים דהלכה למעשה בנשאת אפי' בשוגג, תצא מזה ומזה, וגזרו כל הדרכים האלו בה. נתקדשה מזיד אסורה למקדש שלא יהא חוטא נשכר [וכגאונים]. נתקדשה שוגג אם חלץ היבם מותרת למקדש.</w:t>
      </w:r>
    </w:p>
  </w:footnote>
  <w:footnote w:id="5937">
    <w:p w14:paraId="65837606" w14:textId="77777777" w:rsidR="006C4368" w:rsidRDefault="006C4368" w:rsidP="006C4368">
      <w:pPr>
        <w:pStyle w:val="Footnote"/>
        <w:bidi/>
      </w:pPr>
      <w:r>
        <w:rPr>
          <w:rStyle w:val="ac"/>
          <w:rtl/>
        </w:rPr>
        <w:footnoteRef/>
      </w:r>
      <w:r>
        <w:rPr>
          <w:rtl/>
        </w:rPr>
        <w:t xml:space="preserve">ע' </w:t>
      </w:r>
      <w:r>
        <w:rPr>
          <w:b/>
          <w:bCs/>
          <w:rtl/>
        </w:rPr>
        <w:t>רש"י</w:t>
      </w:r>
      <w:r>
        <w:rPr>
          <w:rtl/>
        </w:rPr>
        <w:t xml:space="preserve"> (חולין ה:). ועוד הביא דה</w:t>
      </w:r>
      <w:r>
        <w:rPr>
          <w:b/>
          <w:bCs/>
          <w:rtl/>
        </w:rPr>
        <w:t>ראב"ד</w:t>
      </w:r>
      <w:r>
        <w:rPr>
          <w:rtl/>
        </w:rPr>
        <w:t xml:space="preserve"> (הו' בב"י יו"ד שצו) כת' דאף בשוגג אמרי' דלא יהא חוטא נשכר.</w:t>
      </w:r>
    </w:p>
    <w:p w14:paraId="7F53AE80" w14:textId="77777777" w:rsidR="006C4368" w:rsidRDefault="006C4368" w:rsidP="006C4368">
      <w:pPr>
        <w:pStyle w:val="Footnote"/>
        <w:bidi/>
      </w:pPr>
      <w:r>
        <w:rPr>
          <w:rtl/>
        </w:rPr>
        <w:tab/>
        <w:t>וציין דה</w:t>
      </w:r>
      <w:r>
        <w:rPr>
          <w:b/>
          <w:bCs/>
          <w:rtl/>
        </w:rPr>
        <w:t>דרכ"מ</w:t>
      </w:r>
      <w:r>
        <w:rPr>
          <w:rtl/>
        </w:rPr>
        <w:t xml:space="preserve"> (יו"ד קפז ח) כת' [בסוגיא שם] דבשוגג לא חיישי' משום חוטא נשכר. ונסתפק בעבר במזיד האם מש"כ מוציאין אשה מבעלה מש"ה.</w:t>
      </w:r>
    </w:p>
  </w:footnote>
  <w:footnote w:id="5938">
    <w:p w14:paraId="485A5B09" w14:textId="77777777" w:rsidR="006C4368" w:rsidRDefault="006C4368" w:rsidP="006C4368">
      <w:pPr>
        <w:pStyle w:val="Footnote"/>
        <w:bidi/>
      </w:pPr>
      <w:r>
        <w:rPr>
          <w:rStyle w:val="ac"/>
          <w:rtl/>
        </w:rPr>
        <w:footnoteRef/>
      </w:r>
      <w:r>
        <w:rPr>
          <w:rtl/>
        </w:rPr>
        <w:t>דס"ד דאף דקידושין לא תפסי, אפ"ה חופה פועל אישות. {אפשר לפרש ע"פ סברת ה</w:t>
      </w:r>
      <w:r>
        <w:rPr>
          <w:b/>
          <w:bCs/>
          <w:rtl/>
        </w:rPr>
        <w:t>רמב"ן</w:t>
      </w:r>
      <w:r>
        <w:rPr>
          <w:rtl/>
        </w:rPr>
        <w:t xml:space="preserve"> (לעיל יח: וברשב"א לעיל מא.) דשומרת יבם שקידש את אחותה צריכה חליצה, שאינו בדין שיוציא מקודשת מפני מקודשת. אבל היכא דנשאה, אשתו עמו ותצא הלה. א"כ ה"נ נימא דע"י שנשאה עדיפא אישות השני על זיקת היבם. אך ילד"ח דהתם תפסי הקידושין, אלא דקידושין לא אלים לפטור את היבמה, ורק ע"י נישואין. אבל היכא דלא תפסי קידושין כלל, ל"ש נישואין בלא קידושין}.</w:t>
      </w:r>
    </w:p>
  </w:footnote>
  <w:footnote w:id="5939">
    <w:p w14:paraId="4D634FE5" w14:textId="77777777" w:rsidR="006C4368" w:rsidRDefault="006C4368" w:rsidP="006C4368">
      <w:pPr>
        <w:pStyle w:val="Footnote"/>
        <w:bidi/>
      </w:pPr>
      <w:r>
        <w:rPr>
          <w:rStyle w:val="ac"/>
          <w:rtl/>
        </w:rPr>
        <w:footnoteRef/>
      </w:r>
      <w:r>
        <w:rPr>
          <w:rtl/>
        </w:rPr>
        <w:t>וגירסת ה</w:t>
      </w:r>
      <w:r>
        <w:rPr>
          <w:b/>
          <w:bCs/>
          <w:rtl/>
        </w:rPr>
        <w:t>מהרש"ל</w:t>
      </w:r>
      <w:r>
        <w:rPr>
          <w:rtl/>
        </w:rPr>
        <w:t xml:space="preserve"> (חכמ"ש כאן וסוטה יח:) נישואין יש בה 'כ'זנות. וביאר דנכנסה לחופה ולא נבעלה גזרו אליבא דרב המנונא, וכמו זנות. [ועפ"ז מתיישב לשון רש"י דהוי כזנות, דאי זינתה פשיטא. ולא משמע דקמ"ל דנישואי שוגג כזנות מזיד].</w:t>
      </w:r>
    </w:p>
    <w:p w14:paraId="75FCE60B" w14:textId="77777777" w:rsidR="006C4368" w:rsidRDefault="006C4368" w:rsidP="006C4368">
      <w:pPr>
        <w:pStyle w:val="Footnote"/>
        <w:bidi/>
      </w:pPr>
      <w:r>
        <w:rPr>
          <w:rtl/>
        </w:rPr>
        <w:tab/>
        <w:t>וה</w:t>
      </w:r>
      <w:r>
        <w:rPr>
          <w:b/>
          <w:bCs/>
          <w:rtl/>
        </w:rPr>
        <w:t>רמב"ם</w:t>
      </w:r>
      <w:r>
        <w:rPr>
          <w:rtl/>
        </w:rPr>
        <w:t xml:space="preserve"> (ב יח) פסק [כתי' הג'] דיבמה שנשאת לאחר, ונבעלה לוקה ומוציאה בגט ונאסרה עליו. וה</w:t>
      </w:r>
      <w:r>
        <w:rPr>
          <w:b/>
          <w:bCs/>
          <w:rtl/>
        </w:rPr>
        <w:t>כס"מ</w:t>
      </w:r>
      <w:r>
        <w:rPr>
          <w:rtl/>
        </w:rPr>
        <w:t xml:space="preserve"> דייק דדוקא בעל נאסרה עליו, אבל כשלא בעל אינה נאסרת. אך דחה די"ל דנקט בעל משום מלקות. וה</w:t>
      </w:r>
      <w:r>
        <w:rPr>
          <w:b/>
          <w:bCs/>
          <w:rtl/>
        </w:rPr>
        <w:t>יש"ש</w:t>
      </w:r>
      <w:r>
        <w:rPr>
          <w:rtl/>
        </w:rPr>
        <w:t xml:space="preserve"> (כאן כג) כת' דנישואין הוה בכניסה לחופה, ועי"ז נאסרה עליו.</w:t>
      </w:r>
    </w:p>
  </w:footnote>
  <w:footnote w:id="5940">
    <w:p w14:paraId="02123CBF" w14:textId="77777777" w:rsidR="006C4368" w:rsidRDefault="006C4368" w:rsidP="006C4368">
      <w:pPr>
        <w:pStyle w:val="Footnote"/>
        <w:bidi/>
      </w:pPr>
      <w:r>
        <w:rPr>
          <w:rStyle w:val="ac"/>
          <w:rtl/>
        </w:rPr>
        <w:footnoteRef/>
      </w:r>
      <w:r>
        <w:rPr>
          <w:rtl/>
        </w:rPr>
        <w:t>וה</w:t>
      </w:r>
      <w:r>
        <w:rPr>
          <w:b/>
          <w:bCs/>
          <w:rtl/>
        </w:rPr>
        <w:t>ריטב"א</w:t>
      </w:r>
      <w:r>
        <w:rPr>
          <w:rtl/>
        </w:rPr>
        <w:t xml:space="preserve"> כת' דדוקא בזינתה במזיד. [אך מדברי </w:t>
      </w:r>
      <w:r>
        <w:rPr>
          <w:b/>
          <w:bCs/>
          <w:rtl/>
        </w:rPr>
        <w:t>רש"י</w:t>
      </w:r>
      <w:r>
        <w:rPr>
          <w:rtl/>
        </w:rPr>
        <w:t xml:space="preserve"> (גיטין פ:) משמע דלחד לישנא שם אף זינתה משום שסבורה שאי"צ חליצה ג"כ נאסרת. עי"ש]. וה</w:t>
      </w:r>
      <w:r>
        <w:rPr>
          <w:b/>
          <w:bCs/>
          <w:rtl/>
        </w:rPr>
        <w:t>ריטב"א</w:t>
      </w:r>
      <w:r>
        <w:rPr>
          <w:rtl/>
        </w:rPr>
        <w:t xml:space="preserve"> הק' אמאי נקט לשון 'נשואין', כיון שאינו אסור אלא בזנות, י"ל דלישנא מעליא נקט.</w:t>
      </w:r>
    </w:p>
  </w:footnote>
  <w:footnote w:id="5941">
    <w:p w14:paraId="10B10B89" w14:textId="77777777" w:rsidR="006C4368" w:rsidRDefault="006C4368" w:rsidP="006C4368">
      <w:pPr>
        <w:pStyle w:val="Footnote"/>
        <w:bidi/>
      </w:pPr>
      <w:r>
        <w:rPr>
          <w:rStyle w:val="ac"/>
          <w:rtl/>
        </w:rPr>
        <w:footnoteRef/>
      </w:r>
      <w:r>
        <w:rPr>
          <w:rtl/>
        </w:rPr>
        <w:t>רב, ור' יוחנן ור' ינאי (בסמוך) ס"ל דאין קדושין תופסים. [ועוד הביאו מהגמ' לקמן צה.]. ואף דאמימר (בסוגיין) פסק כשמואל, אביי (לעיל מט:) נסתפק אי כרב ושמואל. [וצ"ב דאמימר הוה בתראי].</w:t>
      </w:r>
    </w:p>
  </w:footnote>
  <w:footnote w:id="5942">
    <w:p w14:paraId="73143753" w14:textId="77777777" w:rsidR="006C4368" w:rsidRDefault="006C4368" w:rsidP="006C4368">
      <w:pPr>
        <w:pStyle w:val="Footnote"/>
        <w:bidi/>
      </w:pPr>
      <w:r>
        <w:rPr>
          <w:rStyle w:val="ac"/>
          <w:rtl/>
        </w:rPr>
        <w:footnoteRef/>
      </w:r>
      <w:r>
        <w:rPr>
          <w:rtl/>
        </w:rPr>
        <w:t>ובגמ' (לקמן צו.) נח' רב ושמואל 'יבמה הרי היא כאשת איש' והגמ' (בחד לישנא) פי' דנח' בזינתה וכדרב המנונא, ומבואר דהא דנאסרת ע"י זנות הוה משום דהוה כאשת איש.</w:t>
      </w:r>
    </w:p>
    <w:p w14:paraId="699B509A" w14:textId="77777777" w:rsidR="006C4368" w:rsidRDefault="006C4368" w:rsidP="006C4368">
      <w:pPr>
        <w:pStyle w:val="Footnote"/>
        <w:bidi/>
      </w:pPr>
      <w:r>
        <w:rPr>
          <w:rtl/>
        </w:rPr>
        <w:tab/>
        <w:t>וה</w:t>
      </w:r>
      <w:r>
        <w:rPr>
          <w:b/>
          <w:bCs/>
          <w:rtl/>
        </w:rPr>
        <w:t>אתוון דאורייתא</w:t>
      </w:r>
      <w:r>
        <w:rPr>
          <w:rtl/>
        </w:rPr>
        <w:t xml:space="preserve"> (ח) כת' דקצת נראה דנח' בחקירה בגדר האיסור יבמה לשוק, דדעת רב דהוה מחמת אישות שיש בינה ובין היבם, וע"כ מיפסלא בזנות, שהרי זנות אוסרת באישות.</w:t>
      </w:r>
    </w:p>
    <w:p w14:paraId="0670220E" w14:textId="77777777" w:rsidR="006C4368" w:rsidRDefault="006C4368" w:rsidP="006C4368">
      <w:pPr>
        <w:pStyle w:val="Footnote"/>
        <w:bidi/>
      </w:pPr>
      <w:r>
        <w:rPr>
          <w:rtl/>
        </w:rPr>
        <w:tab/>
        <w:t>ושמואל סבר דלא הוה מחמת אישות כלל, ואין בין היבם ליבמה ענין אישות כלל. אלא התורה אסרה לשוק באיסור ביאה גרידא. ואין כאן שום טעם שתיאסר בזנות. א"נ שמואל ס"ל דאסורה מחמת הבעל [המת], ול"ש שתאסר לבעל ע"י זנות. [והביא דנח' בזה כמה סוגיות אי הזיקה ליבם או לבעל הת]. [אך הביא דבגמ' (הנ"ל) משמע דדעת שמואל דלא הוה כאשת איש. ולא משום דשייכא ליבם].</w:t>
      </w:r>
    </w:p>
  </w:footnote>
  <w:footnote w:id="5943">
    <w:p w14:paraId="16D71B1A" w14:textId="77777777" w:rsidR="006C4368" w:rsidRDefault="006C4368" w:rsidP="006C4368">
      <w:pPr>
        <w:pStyle w:val="Footnote"/>
        <w:bidi/>
      </w:pPr>
      <w:r>
        <w:rPr>
          <w:rStyle w:val="ac"/>
          <w:rtl/>
        </w:rPr>
        <w:footnoteRef/>
      </w:r>
      <w:r>
        <w:rPr>
          <w:rtl/>
        </w:rPr>
        <w:t>ועוה"ק האיך ילפי' קל מחמור להחמיר עליו. ונסתפק (שם) האם ילפי' לאו גמור, דאף יבמה הוה בכלל סוטה גמור. או דילפי' שנאסרת באיסור בעלמא.</w:t>
      </w:r>
    </w:p>
  </w:footnote>
  <w:footnote w:id="5944">
    <w:p w14:paraId="553767C5" w14:textId="77777777" w:rsidR="006C4368" w:rsidRDefault="006C4368" w:rsidP="006C4368">
      <w:pPr>
        <w:pStyle w:val="Footnote"/>
        <w:bidi/>
      </w:pPr>
      <w:r>
        <w:rPr>
          <w:rStyle w:val="ac"/>
          <w:rtl/>
        </w:rPr>
        <w:footnoteRef/>
      </w:r>
      <w:r>
        <w:rPr>
          <w:rtl/>
        </w:rPr>
        <w:t>דילפי' משום טומאה כתיב בה כעריות או מדכתיב לאחר ולא ליבם. וע"כ דגזיה"כ הוא לענין זה דאישות הבעל והיבם חד הוא, והזיקה שזוקקת ליבום גורמת שע"י הזנות בחיי הבעל נאסרת ליבם.</w:t>
      </w:r>
    </w:p>
  </w:footnote>
  <w:footnote w:id="5945">
    <w:p w14:paraId="4994DAAA" w14:textId="77777777" w:rsidR="006C4368" w:rsidRDefault="006C4368" w:rsidP="006C4368">
      <w:pPr>
        <w:pStyle w:val="Footnote"/>
        <w:bidi/>
      </w:pPr>
      <w:r>
        <w:rPr>
          <w:rStyle w:val="ac"/>
          <w:rtl/>
        </w:rPr>
        <w:footnoteRef/>
      </w:r>
      <w:r>
        <w:rPr>
          <w:rtl/>
        </w:rPr>
        <w:t>וה</w:t>
      </w:r>
      <w:r>
        <w:rPr>
          <w:b/>
          <w:bCs/>
          <w:rtl/>
        </w:rPr>
        <w:t>אחרונים</w:t>
      </w:r>
      <w:r>
        <w:rPr>
          <w:rtl/>
        </w:rPr>
        <w:t xml:space="preserve"> ביארו דאנן קי"ל דשומר"י שזינתה אינה נאסרת ליבם מטעם אחר, דהך זנות לא הוה 'טומאה'. דדוקא זנות תחת בעלה נתרבה להחשב טומאה כעריות.</w:t>
      </w:r>
    </w:p>
  </w:footnote>
  <w:footnote w:id="5946">
    <w:p w14:paraId="6E958D63" w14:textId="77777777" w:rsidR="006C4368" w:rsidRDefault="006C4368" w:rsidP="006C4368">
      <w:pPr>
        <w:pStyle w:val="Footnote"/>
        <w:bidi/>
      </w:pPr>
      <w:r>
        <w:rPr>
          <w:rStyle w:val="ac"/>
          <w:rtl/>
        </w:rPr>
        <w:footnoteRef/>
      </w:r>
      <w:r>
        <w:rPr>
          <w:rtl/>
        </w:rPr>
        <w:t>וה</w:t>
      </w:r>
      <w:r>
        <w:rPr>
          <w:b/>
          <w:bCs/>
          <w:rtl/>
        </w:rPr>
        <w:t>אחיעזר</w:t>
      </w:r>
      <w:r>
        <w:rPr>
          <w:rtl/>
        </w:rPr>
        <w:t xml:space="preserve"> (שם ד"ה ונראה) כת' דאף לרב המנונא לא הוה אותו גדר כמו אשת איש, דבאשת איש הוה משום בגידה בבעלה, וכמ"ש ה</w:t>
      </w:r>
      <w:r>
        <w:rPr>
          <w:b/>
          <w:bCs/>
          <w:rtl/>
        </w:rPr>
        <w:t>מהרי"ק</w:t>
      </w:r>
      <w:r>
        <w:rPr>
          <w:rtl/>
        </w:rPr>
        <w:t xml:space="preserve"> (קסז, הו' בפוסקים קעח) דאף באומרת מותר נאסרת על בעלה, דהוה בכלל ומעלה מעל באישה. אך ה"מ באשת איש, אבל יבמה דאומרת מותר אינה נאסרת על היבם, דלא הוה 'אישה'. ורב המנונא איירי דוקא בזנות במזיד. [ויש שדנו להיפך, דבשומרת יבם ליכא חומר איסור אשת איש. וע"כ דנאסרת על היבם משום 'מעילה'. וע"ד דברי המהרי"ק].</w:t>
      </w:r>
    </w:p>
  </w:footnote>
  <w:footnote w:id="5947">
    <w:p w14:paraId="7A5E02CD" w14:textId="77777777" w:rsidR="006C4368" w:rsidRDefault="006C4368" w:rsidP="006C4368">
      <w:pPr>
        <w:pStyle w:val="Footnote"/>
        <w:bidi/>
      </w:pPr>
      <w:r>
        <w:rPr>
          <w:rStyle w:val="ac"/>
          <w:rtl/>
        </w:rPr>
        <w:footnoteRef/>
      </w:r>
      <w:r>
        <w:rPr>
          <w:rtl/>
        </w:rPr>
        <w:t>ומ"ד (שם) דלית הלכתא כרב המנונא ס"ל שאין קדושין תופסין ביבמה. [וצ"ע דל"מ מ"ד דס"ל להדיא דקידושין תופסים ביבמה, ואף לשמואל הוה ספק. וצ"ל דמ"מ כ"ד ר' ירמיה בסוטה שם].</w:t>
      </w:r>
    </w:p>
  </w:footnote>
  <w:footnote w:id="5948">
    <w:p w14:paraId="039E6BC9" w14:textId="77777777" w:rsidR="006C4368" w:rsidRDefault="006C4368" w:rsidP="006C4368">
      <w:pPr>
        <w:pStyle w:val="Footnote"/>
        <w:bidi/>
      </w:pPr>
      <w:r>
        <w:rPr>
          <w:rStyle w:val="ac"/>
          <w:rtl/>
        </w:rPr>
        <w:footnoteRef/>
      </w:r>
      <w:r>
        <w:rPr>
          <w:rtl/>
        </w:rPr>
        <w:t>וכן מבואר בגמ' (גיטין פ:, וב</w:t>
      </w:r>
      <w:r>
        <w:rPr>
          <w:b/>
          <w:bCs/>
          <w:rtl/>
        </w:rPr>
        <w:t>רש"י</w:t>
      </w:r>
      <w:r>
        <w:rPr>
          <w:rtl/>
        </w:rPr>
        <w:t xml:space="preserve"> לעיל צא:) דהמשניות דשומרת יבם תצא מזה ומזה קאי כר"ע.</w:t>
      </w:r>
    </w:p>
  </w:footnote>
  <w:footnote w:id="5949">
    <w:p w14:paraId="6F99B47D" w14:textId="77777777" w:rsidR="006C4368" w:rsidRDefault="006C4368" w:rsidP="006C4368">
      <w:pPr>
        <w:pStyle w:val="Footnote"/>
        <w:bidi/>
      </w:pPr>
      <w:r>
        <w:rPr>
          <w:rStyle w:val="ac"/>
          <w:rtl/>
        </w:rPr>
        <w:footnoteRef/>
      </w:r>
      <w:r>
        <w:rPr>
          <w:rtl/>
        </w:rPr>
        <w:t>[וע"ע מש"כ לעיל נא: ונח.]. וה</w:t>
      </w:r>
      <w:r>
        <w:rPr>
          <w:b/>
          <w:bCs/>
          <w:rtl/>
        </w:rPr>
        <w:t>ראשונים</w:t>
      </w:r>
      <w:r>
        <w:rPr>
          <w:rtl/>
        </w:rPr>
        <w:t xml:space="preserve"> (לעיל ט.) דנו מנ"ל דלר"ע חייבי לאוין הוה כעריות לכל דבר, ואף לפטור מיבום וחליצה.</w:t>
      </w:r>
    </w:p>
    <w:p w14:paraId="76AE21A2" w14:textId="77777777" w:rsidR="006C4368" w:rsidRDefault="006C4368" w:rsidP="006C4368">
      <w:pPr>
        <w:pStyle w:val="Footnote"/>
        <w:bidi/>
      </w:pPr>
      <w:r>
        <w:rPr>
          <w:rtl/>
        </w:rPr>
        <w:tab/>
        <w:t>וה</w:t>
      </w:r>
      <w:r>
        <w:rPr>
          <w:b/>
          <w:bCs/>
          <w:rtl/>
        </w:rPr>
        <w:t>תוס' רא"ש</w:t>
      </w:r>
      <w:r>
        <w:rPr>
          <w:rtl/>
        </w:rPr>
        <w:t xml:space="preserve"> (שם) כלל בדבריו דלר"ע שומרת יבם שזינתה אסורה ליבמה כאשת איש שזינתה. [ואף לענין זה אמרי' דחייבי לאוין כעריות]. והביא בשם </w:t>
      </w:r>
      <w:r>
        <w:rPr>
          <w:b/>
          <w:bCs/>
          <w:rtl/>
        </w:rPr>
        <w:t>רבינו מאיר</w:t>
      </w:r>
      <w:r>
        <w:rPr>
          <w:rtl/>
        </w:rPr>
        <w:t xml:space="preserve"> דלר' עקיבא איתקש כנף אביו (ע' לעיל מט.) אנוסת אביו ואשת אביו. דהוקש דאף אנוסת אביו [דהוה חייבי לאוין וכר' יהודה] הוה ערוה. [וצ"ל דילפי' מסברא אף חייבי לאוין שאינם שאר להך מ"ד. ועוד אפשר דמ"ד דילפי' חייבי לאוין דלאו דשאר הוקש לשומרת יבם של אביו, ואף איסור יבמה לשוק בעלמא הוה בכלל, ע' לקמן צז.].</w:t>
      </w:r>
    </w:p>
  </w:footnote>
  <w:footnote w:id="5950">
    <w:p w14:paraId="114D385E" w14:textId="77777777" w:rsidR="006C4368" w:rsidRDefault="006C4368" w:rsidP="006C4368">
      <w:pPr>
        <w:pStyle w:val="Footnote"/>
        <w:bidi/>
      </w:pPr>
      <w:r>
        <w:rPr>
          <w:rStyle w:val="ac"/>
          <w:rtl/>
        </w:rPr>
        <w:footnoteRef/>
      </w:r>
      <w:r>
        <w:rPr>
          <w:rtl/>
        </w:rPr>
        <w:t>וה</w:t>
      </w:r>
      <w:r>
        <w:rPr>
          <w:b/>
          <w:bCs/>
          <w:rtl/>
        </w:rPr>
        <w:t>גר"א</w:t>
      </w:r>
      <w:r>
        <w:rPr>
          <w:rtl/>
        </w:rPr>
        <w:t xml:space="preserve"> (שם יז) תי' דללישנא הב' זנות חמור מקידושין, ולדברי הגאונים שגזרו בקידושין כ"ש דגזרו בזנות.</w:t>
      </w:r>
    </w:p>
  </w:footnote>
  <w:footnote w:id="5951">
    <w:p w14:paraId="5A783302" w14:textId="77777777" w:rsidR="006C4368" w:rsidRDefault="006C4368" w:rsidP="006C4368">
      <w:pPr>
        <w:pStyle w:val="Footnote"/>
        <w:bidi/>
      </w:pPr>
      <w:r>
        <w:rPr>
          <w:rStyle w:val="ac"/>
          <w:rtl/>
        </w:rPr>
        <w:footnoteRef/>
      </w:r>
      <w:r>
        <w:rPr>
          <w:rtl/>
        </w:rPr>
        <w:t>ו</w:t>
      </w:r>
      <w:r>
        <w:rPr>
          <w:b/>
          <w:bCs/>
          <w:rtl/>
        </w:rPr>
        <w:t>רע"א</w:t>
      </w:r>
      <w:r>
        <w:rPr>
          <w:rtl/>
        </w:rPr>
        <w:t xml:space="preserve"> (אה"ע יא ב) הביא מדברי ה</w:t>
      </w:r>
      <w:r>
        <w:rPr>
          <w:b/>
          <w:bCs/>
          <w:rtl/>
        </w:rPr>
        <w:t>נמוק"י</w:t>
      </w:r>
      <w:r>
        <w:rPr>
          <w:rtl/>
        </w:rPr>
        <w:t xml:space="preserve"> (לעיל כד: ו. בדה"ר, ויסודו מהריטב"א שם) דמוכח דבאונס מותרת לבועל.</w:t>
      </w:r>
    </w:p>
  </w:footnote>
  <w:footnote w:id="5952">
    <w:p w14:paraId="5049AACB" w14:textId="77777777" w:rsidR="006C4368" w:rsidRDefault="006C4368" w:rsidP="006C4368">
      <w:pPr>
        <w:pStyle w:val="Footnote"/>
        <w:bidi/>
      </w:pPr>
      <w:r>
        <w:rPr>
          <w:rStyle w:val="ac"/>
          <w:rtl/>
        </w:rPr>
        <w:footnoteRef/>
      </w:r>
      <w:r>
        <w:rPr>
          <w:rtl/>
        </w:rPr>
        <w:t>וכן נקט הריטב"א בדעת רש"י, וכן האחרונים. אך לכאורה י"ל ד'נישואין יש לה' הוה רק לענין גט, ונותן לה שני גט ומותרת ליבם. [דלמ"ד דל"ל דרב המנונא אינה נאסרת על היבם, והמשנה דאף ביבמה תצא מזה ומזה קאי כר"ע. אך תוס' הק' דלס"ד דהגמ' גיטין המשנה שם לא כר' עקיבא].</w:t>
      </w:r>
    </w:p>
  </w:footnote>
  <w:footnote w:id="5953">
    <w:p w14:paraId="352A0A22" w14:textId="77777777" w:rsidR="006C4368" w:rsidRDefault="006C4368" w:rsidP="006C4368">
      <w:pPr>
        <w:pStyle w:val="Footnote"/>
        <w:bidi/>
      </w:pPr>
      <w:r>
        <w:rPr>
          <w:rStyle w:val="ac"/>
          <w:rtl/>
        </w:rPr>
        <w:footnoteRef/>
      </w:r>
      <w:r>
        <w:rPr>
          <w:rtl/>
        </w:rPr>
        <w:t>ולכאורה ה"ה בנשאת בטעות, וכגון שסבורה שאין לה יבם וכדו'.</w:t>
      </w:r>
    </w:p>
  </w:footnote>
  <w:footnote w:id="5954">
    <w:p w14:paraId="28D392C5" w14:textId="77777777" w:rsidR="006C4368" w:rsidRDefault="006C4368" w:rsidP="006C4368">
      <w:pPr>
        <w:pStyle w:val="Footnote"/>
        <w:bidi/>
      </w:pPr>
      <w:r>
        <w:rPr>
          <w:rStyle w:val="ac"/>
          <w:rtl/>
        </w:rPr>
        <w:footnoteRef/>
      </w:r>
      <w:r>
        <w:rPr>
          <w:rtl/>
        </w:rPr>
        <w:t>וע"ע לקמן צד: בשם פסקי הרי"ד דהיכא דניכר לכל דהוה זנות לא תקנו.</w:t>
      </w:r>
    </w:p>
  </w:footnote>
  <w:footnote w:id="5955">
    <w:p w14:paraId="57B24FEE" w14:textId="77777777" w:rsidR="006C4368" w:rsidRDefault="006C4368" w:rsidP="006C4368">
      <w:pPr>
        <w:pStyle w:val="Footnote"/>
        <w:bidi/>
      </w:pPr>
      <w:r>
        <w:rPr>
          <w:rStyle w:val="ac"/>
          <w:rtl/>
        </w:rPr>
        <w:footnoteRef/>
      </w:r>
      <w:r>
        <w:rPr>
          <w:rtl/>
        </w:rPr>
        <w:t>אך אינו מוכח, דמ"מ ל"ד לקנס דאשה שהלך בעלה. [אלא דרע"א דייק דל"ש הסברא דזנות בעלמא].</w:t>
      </w:r>
    </w:p>
  </w:footnote>
  <w:footnote w:id="5956">
    <w:p w14:paraId="6EB1386C" w14:textId="77777777" w:rsidR="006C4368" w:rsidRDefault="006C4368" w:rsidP="006C4368">
      <w:pPr>
        <w:pStyle w:val="Footnote"/>
        <w:bidi/>
      </w:pPr>
      <w:r>
        <w:rPr>
          <w:rStyle w:val="ac"/>
          <w:rtl/>
        </w:rPr>
        <w:footnoteRef/>
      </w:r>
      <w:r>
        <w:rPr>
          <w:rtl/>
        </w:rPr>
        <w:t>אבל אם נתקדשה ולא נשאת אם היה יבמה ישראל נותן לה המקדש גט ומותרת ליבם. ולמי שקידשה אסורה לו עולמית כדי שלא יהא חוטא נשכר. [וכרב אשי].</w:t>
      </w:r>
    </w:p>
  </w:footnote>
  <w:footnote w:id="5957">
    <w:p w14:paraId="1FCE74B5" w14:textId="77777777" w:rsidR="006C4368" w:rsidRDefault="006C4368" w:rsidP="006C4368">
      <w:pPr>
        <w:pStyle w:val="Footnote"/>
        <w:bidi/>
      </w:pPr>
      <w:r>
        <w:rPr>
          <w:rStyle w:val="ac"/>
          <w:rtl/>
        </w:rPr>
        <w:footnoteRef/>
      </w:r>
      <w:r>
        <w:rPr>
          <w:rtl/>
        </w:rPr>
        <w:t>יל"ד אי חייב לחלוץ לה, או דרשאי לייבם. [דכיון דלא גזרו תצא מזה ומזה, יתן בעלה גט ומותרת ליבם. אך י"ל דאי מחייבין לבעל ליתן גט נמצא מוציא לעז על בניה. וי"ל דכלפי היבם גזרו 'תצא', ודוקא כלפי הבעל שייך הגזירה משום הבנים].</w:t>
      </w:r>
    </w:p>
  </w:footnote>
  <w:footnote w:id="5958">
    <w:p w14:paraId="4E6005C4" w14:textId="77777777" w:rsidR="006C4368" w:rsidRDefault="006C4368" w:rsidP="006C4368">
      <w:pPr>
        <w:pStyle w:val="Footnote"/>
        <w:bidi/>
      </w:pPr>
      <w:r>
        <w:rPr>
          <w:rStyle w:val="ac"/>
          <w:rtl/>
        </w:rPr>
        <w:footnoteRef/>
      </w:r>
      <w:r>
        <w:rPr>
          <w:rtl/>
        </w:rPr>
        <w:t>והוסיף דאם היה בעלה [השני] כהן ויש לה בנים ממנו, אינה חולצת [דא"כ תאסר על הבעל] אלא פורש ממנה. ואסור לו לבא עליה כל ימיו של יבם, ואם מת היבם מותרת לבעלה. [משמע דאינו רשאי לגרש בגט, דעי"ז יוציאו לעז על בניה. אבל במה שמפרישין מבעלה לא יחששו. ויל"ד אם ירצה בעלה האם רשאי לגרש, די"ל דדוקא כשמוציאין ממנו בע"כ שייך הך גזירה. או כיון דמגרש מחמת שהפרישו אותה בע"כ שייך גזירה].</w:t>
      </w:r>
    </w:p>
    <w:p w14:paraId="54CA0B04" w14:textId="77777777" w:rsidR="006C4368" w:rsidRDefault="006C4368" w:rsidP="006C4368">
      <w:pPr>
        <w:pStyle w:val="Footnote"/>
        <w:bidi/>
      </w:pPr>
      <w:r>
        <w:rPr>
          <w:rtl/>
        </w:rPr>
        <w:tab/>
        <w:t>וכת' דאם מתו בניה בלא זרע בחיי היבם, תצא מבעל בגט ומיבם בחליצה. [ואף דבשעה שבא היבם היו בנים ולא קנסו, חל הך קנס לאחר זמן].</w:t>
      </w:r>
    </w:p>
  </w:footnote>
  <w:footnote w:id="5959">
    <w:p w14:paraId="661577FC" w14:textId="77777777" w:rsidR="006C4368" w:rsidRDefault="006C4368" w:rsidP="006C4368">
      <w:pPr>
        <w:pStyle w:val="Footnote"/>
        <w:bidi/>
      </w:pPr>
      <w:r>
        <w:rPr>
          <w:rStyle w:val="ac"/>
          <w:rtl/>
        </w:rPr>
        <w:footnoteRef/>
      </w:r>
      <w:r>
        <w:rPr>
          <w:rtl/>
        </w:rPr>
        <w:t>לכאורה משמע דגדר גזירת מחלפא, שתקנו דתפסי נישואין. [אך יש לדחות דהלשון לאו דוקא].</w:t>
      </w:r>
    </w:p>
  </w:footnote>
  <w:footnote w:id="5960">
    <w:p w14:paraId="60A8EF16" w14:textId="77777777" w:rsidR="006C4368" w:rsidRDefault="006C4368" w:rsidP="006C4368">
      <w:pPr>
        <w:pStyle w:val="Footnote"/>
        <w:bidi/>
      </w:pPr>
      <w:r>
        <w:rPr>
          <w:rStyle w:val="ac"/>
          <w:rtl/>
        </w:rPr>
        <w:footnoteRef/>
      </w:r>
      <w:r>
        <w:rPr>
          <w:rtl/>
        </w:rPr>
        <w:t>וה</w:t>
      </w:r>
      <w:r>
        <w:rPr>
          <w:b/>
          <w:bCs/>
          <w:rtl/>
        </w:rPr>
        <w:t>בעה"מ</w:t>
      </w:r>
      <w:r>
        <w:rPr>
          <w:rtl/>
        </w:rPr>
        <w:t xml:space="preserve"> השיג דילפי' לה ממתני' (גיטין עט:, הו' לעיל צא:) הכונס את יבמתו והלכה צרתה ונשאת לאחר. ולא הוה משום מימרא דרב. וה</w:t>
      </w:r>
      <w:r>
        <w:rPr>
          <w:b/>
          <w:bCs/>
          <w:rtl/>
        </w:rPr>
        <w:t>ראב"ד</w:t>
      </w:r>
      <w:r>
        <w:rPr>
          <w:rtl/>
        </w:rPr>
        <w:t xml:space="preserve"> (לבעה"מ) השיב די"ל דהך משנה כר"ע, ודלא כרבנן. א"כ מנ"ל דאף רבנן מודו דתצא מזה ומזה ומחמירין כולי האי. אלא דילפי' מהכא. [וכ"כ תוס' הנ"ל דתלי בג' לשונות דסוגיין. והירושלמי בגיטין כל"ק דהכא].</w:t>
      </w:r>
    </w:p>
  </w:footnote>
  <w:footnote w:id="5961">
    <w:p w14:paraId="4BE91873" w14:textId="77777777" w:rsidR="006C4368" w:rsidRDefault="006C4368" w:rsidP="006C4368">
      <w:pPr>
        <w:pStyle w:val="Footnote"/>
        <w:bidi/>
      </w:pPr>
      <w:r>
        <w:rPr>
          <w:rStyle w:val="ac"/>
          <w:rtl/>
        </w:rPr>
        <w:footnoteRef/>
      </w:r>
      <w:r>
        <w:rPr>
          <w:rtl/>
        </w:rPr>
        <w:t>וה</w:t>
      </w:r>
      <w:r>
        <w:rPr>
          <w:b/>
          <w:bCs/>
          <w:rtl/>
        </w:rPr>
        <w:t>מלחמות</w:t>
      </w:r>
      <w:r>
        <w:rPr>
          <w:rtl/>
        </w:rPr>
        <w:t xml:space="preserve"> האריך טובא, והביא מה</w:t>
      </w:r>
      <w:r>
        <w:rPr>
          <w:b/>
          <w:bCs/>
          <w:rtl/>
        </w:rPr>
        <w:t>ירושלמי</w:t>
      </w:r>
      <w:r>
        <w:rPr>
          <w:rtl/>
        </w:rPr>
        <w:t xml:space="preserve"> דבאשה שהלך בעלה הצריכו גט כדי לברר איסורה [ע' מש"כ לעיל פט.], דע"י שהשני נתן גט ודאי אסורה לראשון, דנראה כמחזיר גרושתו. ואילו גבי יבמה לדעת הבעה"מ מותרת אף לאחר הגט, א"כ מה הועילו. וע"כ דע"י הגט אסורה [וכרי"ף]. וכ"ת דבשלמא באשה שהלך בעלה גיטה מוכיח, אבל ביבמה האיך הגט מוכיח [דהא דצריכה גט משום דתפסי קידושין]. [וכיון דהגט אינו מוכיח, א"כ לא גזרו]. והק' א"כ אשה שהלך בעלה ומת שני [ולא קבלה ממנו גט], נימא דמותר לחזור לראשון.</w:t>
      </w:r>
    </w:p>
  </w:footnote>
  <w:footnote w:id="5962">
    <w:p w14:paraId="485BDE7A" w14:textId="77777777" w:rsidR="006C4368" w:rsidRDefault="006C4368" w:rsidP="006C4368">
      <w:pPr>
        <w:pStyle w:val="Footnote"/>
        <w:bidi/>
      </w:pPr>
      <w:r>
        <w:rPr>
          <w:rStyle w:val="ac"/>
          <w:rtl/>
        </w:rPr>
        <w:footnoteRef/>
      </w:r>
      <w:r>
        <w:rPr>
          <w:rtl/>
        </w:rPr>
        <w:t>ולא משום דחיית ר"ל דמתני' ר' עקיבא. וה</w:t>
      </w:r>
      <w:r>
        <w:rPr>
          <w:b/>
          <w:bCs/>
          <w:rtl/>
        </w:rPr>
        <w:t>ערול"נ</w:t>
      </w:r>
      <w:r>
        <w:rPr>
          <w:rtl/>
        </w:rPr>
        <w:t xml:space="preserve"> הק' דבגמ' (מכות כא:) אי' כלשון זה אי לאו דדלאי לך וכו' ופ</w:t>
      </w:r>
      <w:r>
        <w:rPr>
          <w:b/>
          <w:bCs/>
          <w:rtl/>
        </w:rPr>
        <w:t>רש"י</w:t>
      </w:r>
      <w:r>
        <w:rPr>
          <w:rtl/>
        </w:rPr>
        <w:t xml:space="preserve"> דס"ד דחייב משום מקיים כלאים [ולא משום זורע], וכמו שר"ל (שם) דחה אי לאו דקלסך גברא רבה. ומ"ש דרש"י בסוגיין הוסיף דס"ד טעם נוסף. {ויל"פ דהתם ר' ינאי חידש דפירוש המשנה דמחפה משום זורע כלאים, ולא משום מקיים. אבל בסוגיין ודאי מתני' מבואר דלא תפסי קידושין ביבמה, א"כ אין בזה גילוי מרגניתא לומר דהוה לרבנן ולא ר"ע}.</w:t>
      </w:r>
    </w:p>
  </w:footnote>
  <w:footnote w:id="5963">
    <w:p w14:paraId="0772BAFA" w14:textId="77777777" w:rsidR="006C4368" w:rsidRDefault="006C4368" w:rsidP="006C4368">
      <w:pPr>
        <w:pStyle w:val="Footnote"/>
        <w:bidi/>
      </w:pPr>
      <w:r>
        <w:rPr>
          <w:rStyle w:val="ac"/>
          <w:rtl/>
        </w:rPr>
        <w:footnoteRef/>
      </w:r>
      <w:r>
        <w:rPr>
          <w:rtl/>
        </w:rPr>
        <w:t>וה</w:t>
      </w:r>
      <w:r>
        <w:rPr>
          <w:b/>
          <w:bCs/>
          <w:rtl/>
        </w:rPr>
        <w:t>ריטב"א</w:t>
      </w:r>
      <w:r>
        <w:rPr>
          <w:rtl/>
        </w:rPr>
        <w:t xml:space="preserve"> הביא בשם </w:t>
      </w:r>
      <w:r>
        <w:rPr>
          <w:b/>
          <w:bCs/>
          <w:rtl/>
        </w:rPr>
        <w:t>רש"י</w:t>
      </w:r>
      <w:r>
        <w:rPr>
          <w:rtl/>
        </w:rPr>
        <w:t xml:space="preserve"> דאע"ג דאילו בעי לקדושה השתא מקודשת, לא מצי לקדושה שיחולו הקדושין לאחר חליצה.</w:t>
      </w:r>
    </w:p>
  </w:footnote>
  <w:footnote w:id="5964">
    <w:p w14:paraId="577BB554" w14:textId="77777777" w:rsidR="006C4368" w:rsidRDefault="006C4368" w:rsidP="006C4368">
      <w:pPr>
        <w:pStyle w:val="Footnote"/>
        <w:bidi/>
      </w:pPr>
      <w:r>
        <w:rPr>
          <w:rStyle w:val="ac"/>
          <w:rtl/>
        </w:rPr>
        <w:footnoteRef/>
      </w:r>
      <w:r>
        <w:rPr>
          <w:rtl/>
        </w:rPr>
        <w:t>ובפשוטו זהו סברת ר' ינאי דנחשב בא לעולם. אבל ה</w:t>
      </w:r>
      <w:r>
        <w:rPr>
          <w:b/>
          <w:bCs/>
          <w:rtl/>
        </w:rPr>
        <w:t>ערול"נ</w:t>
      </w:r>
      <w:r>
        <w:rPr>
          <w:rtl/>
        </w:rPr>
        <w:t xml:space="preserve"> (ועד"ז ב</w:t>
      </w:r>
      <w:r>
        <w:rPr>
          <w:b/>
          <w:bCs/>
          <w:rtl/>
        </w:rPr>
        <w:t>חילופי גרסאות</w:t>
      </w:r>
      <w:r>
        <w:rPr>
          <w:rtl/>
        </w:rPr>
        <w:t xml:space="preserve"> בהגו"ח) דייק מדברי רש"י דמהני מגדרי 'בידו' בדבר שלא בא לעולם, וכר' יוחנן (קידו' סב.). [וכת' דר' יוחנן התם קאי בתר שקיבלה מר' ינאי בסוגיין]. אך שוב הק' דבגמ' (שם סב:) מבואר דקידושין לא נחשב בידו, דתלי בדעת שניהם [ועי"ש שחילק בזה].</w:t>
      </w:r>
    </w:p>
    <w:p w14:paraId="3FE82D4F" w14:textId="77777777" w:rsidR="006C4368" w:rsidRDefault="006C4368" w:rsidP="006C4368">
      <w:pPr>
        <w:pStyle w:val="Footnote"/>
        <w:bidi/>
      </w:pPr>
      <w:r>
        <w:rPr>
          <w:rtl/>
        </w:rPr>
        <w:tab/>
        <w:t>וה</w:t>
      </w:r>
      <w:r>
        <w:rPr>
          <w:b/>
          <w:bCs/>
          <w:rtl/>
        </w:rPr>
        <w:t>חילופי גרסאות</w:t>
      </w:r>
      <w:r>
        <w:rPr>
          <w:rtl/>
        </w:rPr>
        <w:t xml:space="preserve"> דן דאסור לקדש יבמה מעכשיו (וציין </w:t>
      </w:r>
      <w:r>
        <w:rPr>
          <w:b/>
          <w:bCs/>
          <w:rtl/>
        </w:rPr>
        <w:t>תוס</w:t>
      </w:r>
      <w:r>
        <w:rPr>
          <w:rtl/>
        </w:rPr>
        <w:t>' לעיל י. ד"ה לר"י, טז., ומט: סוד"ה אי), וכיון דאסור לעשות כן לא יחשב 'בידו'.</w:t>
      </w:r>
    </w:p>
  </w:footnote>
  <w:footnote w:id="5965">
    <w:p w14:paraId="491F08B7" w14:textId="77777777" w:rsidR="006C4368" w:rsidRDefault="006C4368" w:rsidP="006C4368">
      <w:pPr>
        <w:pStyle w:val="Footnote"/>
        <w:bidi/>
      </w:pPr>
      <w:r>
        <w:rPr>
          <w:rStyle w:val="ac"/>
          <w:rtl/>
        </w:rPr>
        <w:footnoteRef/>
      </w:r>
      <w:r>
        <w:rPr>
          <w:rtl/>
        </w:rPr>
        <w:t>ועד"ז ה</w:t>
      </w:r>
      <w:r>
        <w:rPr>
          <w:b/>
          <w:bCs/>
          <w:rtl/>
        </w:rPr>
        <w:t>ריטב"א</w:t>
      </w:r>
      <w:r>
        <w:rPr>
          <w:rtl/>
        </w:rPr>
        <w:t xml:space="preserve"> הק' מ"ש מהאומר לאשה הרי את מקודשת לאחר ל' יום, דלכו"ע מקודשת בסוף הל', אע"פ שנתאכלו המעות.</w:t>
      </w:r>
    </w:p>
  </w:footnote>
  <w:footnote w:id="5966">
    <w:p w14:paraId="469E263A" w14:textId="77777777" w:rsidR="006C4368" w:rsidRDefault="006C4368" w:rsidP="006C4368">
      <w:pPr>
        <w:pStyle w:val="Footnote"/>
        <w:bidi/>
      </w:pPr>
      <w:r>
        <w:rPr>
          <w:rStyle w:val="ac"/>
          <w:rtl/>
        </w:rPr>
        <w:footnoteRef/>
      </w:r>
      <w:r>
        <w:rPr>
          <w:rtl/>
        </w:rPr>
        <w:t>ומבואר דאף למ"ד דקידושין תפסי ביבמה, מ"מ הוה גדר קידושין שונה. [דלא יצאת לשוק].</w:t>
      </w:r>
    </w:p>
  </w:footnote>
  <w:footnote w:id="5967">
    <w:p w14:paraId="3C2D5F6E" w14:textId="77777777" w:rsidR="006C4368" w:rsidRDefault="006C4368" w:rsidP="006C4368">
      <w:pPr>
        <w:pStyle w:val="Footnote"/>
        <w:bidi/>
      </w:pPr>
      <w:r>
        <w:rPr>
          <w:rStyle w:val="ac"/>
          <w:rtl/>
        </w:rPr>
        <w:footnoteRef/>
      </w:r>
      <w:r>
        <w:rPr>
          <w:rtl/>
        </w:rPr>
        <w:t>[צ"ב אמאי הביא גירות ושחרור כאן. ואפשר דכוונתו להביא דוגמא דל"מ דאף דהגוף בעולם, כיון דמחוסר מעשה. אך צ"ב מה ראיה יש, דהתם בעודה גויה ושפחה לאו בת קידושין כלל, ומש"ה נחשב דלא בא לעולם].</w:t>
      </w:r>
    </w:p>
  </w:footnote>
  <w:footnote w:id="5968">
    <w:p w14:paraId="33B2C911" w14:textId="77777777" w:rsidR="006C4368" w:rsidRDefault="006C4368" w:rsidP="006C4368">
      <w:pPr>
        <w:pStyle w:val="Footnote"/>
        <w:bidi/>
      </w:pPr>
      <w:r>
        <w:rPr>
          <w:rStyle w:val="ac"/>
          <w:rtl/>
        </w:rPr>
        <w:footnoteRef/>
      </w:r>
      <w:r>
        <w:rPr>
          <w:rtl/>
        </w:rPr>
        <w:t>ולכאורה כוונת ה</w:t>
      </w:r>
      <w:r>
        <w:rPr>
          <w:b/>
          <w:bCs/>
          <w:rtl/>
        </w:rPr>
        <w:t>ריטב"א</w:t>
      </w:r>
      <w:r>
        <w:rPr>
          <w:rtl/>
        </w:rPr>
        <w:t xml:space="preserve"> לדברי הגמ' (קידושין סב:), דהגמ' מק' דאי מהני להקנות דבר שלא בא לעולם היכא דהוה בידו, א"כ לאחר שאשתחרר. דבידו לשחררה. והגמ' תי' דמעיקרא בהמה והשתא דעת אחרת. [והריטב"א נקט דקאי אף בגירות, עי"ש בראשונים]. </w:t>
      </w:r>
      <w:r>
        <w:rPr>
          <w:rtl/>
        </w:rPr>
        <w:tab/>
      </w:r>
    </w:p>
  </w:footnote>
  <w:footnote w:id="5969">
    <w:p w14:paraId="6CD85D4D" w14:textId="77777777" w:rsidR="006C4368" w:rsidRDefault="006C4368" w:rsidP="006C4368">
      <w:pPr>
        <w:pStyle w:val="Footnote"/>
        <w:bidi/>
      </w:pPr>
      <w:r>
        <w:rPr>
          <w:rStyle w:val="ac"/>
          <w:rtl/>
        </w:rPr>
        <w:footnoteRef/>
      </w:r>
      <w:r>
        <w:rPr>
          <w:rtl/>
        </w:rPr>
        <w:t xml:space="preserve">ולדברי </w:t>
      </w:r>
      <w:r>
        <w:rPr>
          <w:b/>
          <w:bCs/>
          <w:rtl/>
        </w:rPr>
        <w:t>רש"י</w:t>
      </w:r>
      <w:r>
        <w:rPr>
          <w:rtl/>
        </w:rPr>
        <w:t xml:space="preserve"> (לעיל מט: הנ"ל) דדעת התנא (שם) דגזיה"כ דביבמה לשוק תפסי קידושין אף לר"ע. צ"ל דתנא דהתם פליג אמתני' דידן [בין לר"ל ובין לר' ינאי].</w:t>
      </w:r>
    </w:p>
  </w:footnote>
  <w:footnote w:id="5970">
    <w:p w14:paraId="438041CB" w14:textId="77777777" w:rsidR="006C4368" w:rsidRDefault="006C4368" w:rsidP="006C4368">
      <w:pPr>
        <w:pStyle w:val="Footnote"/>
        <w:bidi/>
      </w:pPr>
      <w:r>
        <w:rPr>
          <w:rStyle w:val="ac"/>
          <w:rtl/>
        </w:rPr>
        <w:footnoteRef/>
      </w:r>
      <w:r>
        <w:rPr>
          <w:rtl/>
        </w:rPr>
        <w:t>וה</w:t>
      </w:r>
      <w:r>
        <w:rPr>
          <w:b/>
          <w:bCs/>
          <w:rtl/>
        </w:rPr>
        <w:t>אחרונים</w:t>
      </w:r>
      <w:r>
        <w:rPr>
          <w:rtl/>
        </w:rPr>
        <w:t xml:space="preserve"> דנו עפ"ז רב דסבר אדם מקנה דבר שלבל"ע, וי"ל דלמד כן אף בדעת ר"ע, ומש"ה הוכרח דלרבנן אין קידושין תופסין ביבמה לשוק.</w:t>
      </w:r>
    </w:p>
  </w:footnote>
  <w:footnote w:id="5971">
    <w:p w14:paraId="2A68D51A" w14:textId="77777777" w:rsidR="006C4368" w:rsidRDefault="006C4368" w:rsidP="006C4368">
      <w:pPr>
        <w:pStyle w:val="Footnote"/>
        <w:bidi/>
      </w:pPr>
      <w:r>
        <w:rPr>
          <w:rStyle w:val="ac"/>
          <w:rtl/>
        </w:rPr>
        <w:footnoteRef/>
      </w:r>
      <w:r>
        <w:rPr>
          <w:rtl/>
        </w:rPr>
        <w:t xml:space="preserve">ומדברי </w:t>
      </w:r>
      <w:r>
        <w:rPr>
          <w:b/>
          <w:bCs/>
          <w:rtl/>
        </w:rPr>
        <w:t>ה"ה</w:t>
      </w:r>
      <w:r>
        <w:rPr>
          <w:rtl/>
        </w:rPr>
        <w:t xml:space="preserve"> משמע דנקט דהוה ספק מקודשת.</w:t>
      </w:r>
    </w:p>
  </w:footnote>
  <w:footnote w:id="5972">
    <w:p w14:paraId="12C3FD72" w14:textId="77777777" w:rsidR="006C4368" w:rsidRDefault="006C4368" w:rsidP="006C4368">
      <w:pPr>
        <w:pStyle w:val="Footnote"/>
        <w:bidi/>
      </w:pPr>
      <w:r>
        <w:rPr>
          <w:rStyle w:val="ac"/>
          <w:rtl/>
        </w:rPr>
        <w:footnoteRef/>
      </w:r>
      <w:r>
        <w:rPr>
          <w:rtl/>
        </w:rPr>
        <w:t>וע"ע משנ"ל (אישות ט ו ד"ה וראיתי), והאבנ"מ (לה יד) תמה בזה.</w:t>
      </w:r>
    </w:p>
  </w:footnote>
  <w:footnote w:id="5973">
    <w:p w14:paraId="03DEBE55" w14:textId="77777777" w:rsidR="006C4368" w:rsidRDefault="006C4368" w:rsidP="006C4368">
      <w:pPr>
        <w:pStyle w:val="Footnote"/>
        <w:bidi/>
      </w:pPr>
      <w:r>
        <w:rPr>
          <w:rStyle w:val="ac"/>
          <w:rtl/>
        </w:rPr>
        <w:footnoteRef/>
      </w:r>
      <w:r>
        <w:rPr>
          <w:rtl/>
        </w:rPr>
        <w:t>וה</w:t>
      </w:r>
      <w:r>
        <w:rPr>
          <w:b/>
          <w:bCs/>
          <w:rtl/>
        </w:rPr>
        <w:t>ריטב"א</w:t>
      </w:r>
      <w:r>
        <w:rPr>
          <w:rtl/>
        </w:rPr>
        <w:t xml:space="preserve"> (שם) הביא </w:t>
      </w:r>
      <w:r>
        <w:rPr>
          <w:b/>
          <w:bCs/>
          <w:rtl/>
        </w:rPr>
        <w:t>י"מ</w:t>
      </w:r>
      <w:r>
        <w:rPr>
          <w:rtl/>
        </w:rPr>
        <w:t xml:space="preserve"> דכוונת המשנה דצריך הפרת חכם, ול"מ הפרת בעל. אך כת' דמוכח בגמ' (נדרים פא:) דלא כן [עי"ש בריטב"א].</w:t>
      </w:r>
    </w:p>
  </w:footnote>
  <w:footnote w:id="5974">
    <w:p w14:paraId="13387409" w14:textId="77777777" w:rsidR="006C4368" w:rsidRDefault="006C4368" w:rsidP="006C4368">
      <w:pPr>
        <w:pStyle w:val="Footnote"/>
        <w:bidi/>
      </w:pPr>
      <w:r>
        <w:rPr>
          <w:rStyle w:val="ac"/>
          <w:rtl/>
        </w:rPr>
        <w:footnoteRef/>
      </w:r>
      <w:r>
        <w:rPr>
          <w:rtl/>
        </w:rPr>
        <w:t>והגמ' שוב מקשה דמ"מ ידי האשה משעבדא לבעל, א"כ אף כשיגרשנה לא יחול, דהוה דבר שלא בא לעולם.</w:t>
      </w:r>
    </w:p>
  </w:footnote>
  <w:footnote w:id="5975">
    <w:p w14:paraId="77C836BD" w14:textId="77777777" w:rsidR="006C4368" w:rsidRDefault="006C4368" w:rsidP="006C4368">
      <w:pPr>
        <w:pStyle w:val="Footnote"/>
        <w:bidi/>
      </w:pPr>
      <w:r>
        <w:rPr>
          <w:rStyle w:val="ac"/>
          <w:rtl/>
        </w:rPr>
        <w:footnoteRef/>
      </w:r>
      <w:r>
        <w:rPr>
          <w:rtl/>
        </w:rPr>
        <w:t>ו</w:t>
      </w:r>
      <w:r>
        <w:rPr>
          <w:b/>
          <w:bCs/>
          <w:rtl/>
        </w:rPr>
        <w:t>תוס'</w:t>
      </w:r>
      <w:r>
        <w:rPr>
          <w:rtl/>
        </w:rPr>
        <w:t xml:space="preserve"> (גיטין מב:) ביארו ספק הגמ' (שם) אי מהני להקנות עבד לקנס, משום דאינו יוצא מגוף הידים ולא עבידי דאתו.</w:t>
      </w:r>
    </w:p>
  </w:footnote>
  <w:footnote w:id="5976">
    <w:p w14:paraId="56E8D6B6" w14:textId="77777777" w:rsidR="006C4368" w:rsidRDefault="006C4368" w:rsidP="006C4368">
      <w:pPr>
        <w:pStyle w:val="Footnote"/>
        <w:bidi/>
      </w:pPr>
      <w:r>
        <w:rPr>
          <w:rStyle w:val="ac"/>
          <w:rtl/>
        </w:rPr>
        <w:footnoteRef/>
      </w:r>
      <w:r>
        <w:rPr>
          <w:rtl/>
        </w:rPr>
        <w:t>[וע"ע רשב"א גיטין מב: ורע"א שם, וריטב"א כתובות שם]. וב</w:t>
      </w:r>
      <w:r>
        <w:rPr>
          <w:b/>
          <w:bCs/>
          <w:rtl/>
        </w:rPr>
        <w:t>שו"ת מהר"ם אלשיך</w:t>
      </w:r>
      <w:r>
        <w:rPr>
          <w:rtl/>
        </w:rPr>
        <w:t xml:space="preserve"> (ז) כת' דהקנאת דקל לפירותיו מקנה את מקום צימוח הפירות. אבל ל"מ להקנות מעות לרווחיהם, שהמעות אין בהם מקום צימוח, ואין הריוח יוצא מגופן כמו בדקל. דאדרבה אין הריוח בא אלא ע"י הסתלק מציאות המעות מן העולם. וה</w:t>
      </w:r>
      <w:r>
        <w:rPr>
          <w:b/>
          <w:bCs/>
          <w:rtl/>
        </w:rPr>
        <w:t>קצות</w:t>
      </w:r>
      <w:r>
        <w:rPr>
          <w:rtl/>
        </w:rPr>
        <w:t xml:space="preserve"> (רט ד) חלק דהיכא דעבידי דאתו מהני אף כשאינו יוצא מגופו. [וע' </w:t>
      </w:r>
      <w:r>
        <w:rPr>
          <w:b/>
          <w:bCs/>
          <w:rtl/>
        </w:rPr>
        <w:t>תוס</w:t>
      </w:r>
      <w:r>
        <w:rPr>
          <w:rtl/>
        </w:rPr>
        <w:t>' גיטין סו.].</w:t>
      </w:r>
    </w:p>
  </w:footnote>
  <w:footnote w:id="5977">
    <w:p w14:paraId="3D81ED3E" w14:textId="77777777" w:rsidR="006C4368" w:rsidRDefault="006C4368" w:rsidP="006C4368">
      <w:pPr>
        <w:pStyle w:val="Footnote"/>
        <w:bidi/>
      </w:pPr>
      <w:r>
        <w:rPr>
          <w:rStyle w:val="ac"/>
          <w:rtl/>
        </w:rPr>
        <w:footnoteRef/>
      </w:r>
      <w:r>
        <w:rPr>
          <w:rtl/>
        </w:rPr>
        <w:t>ע' כס"מ (נדרים יב י ובב"י יו"ד רלד) בדעת ה</w:t>
      </w:r>
      <w:r>
        <w:rPr>
          <w:b/>
          <w:bCs/>
          <w:rtl/>
        </w:rPr>
        <w:t>רמב"ם</w:t>
      </w:r>
      <w:r>
        <w:rPr>
          <w:rtl/>
        </w:rPr>
        <w:t xml:space="preserve"> [וה</w:t>
      </w:r>
      <w:r>
        <w:rPr>
          <w:b/>
          <w:bCs/>
          <w:rtl/>
        </w:rPr>
        <w:t>ש"ך</w:t>
      </w:r>
      <w:r>
        <w:rPr>
          <w:rtl/>
        </w:rPr>
        <w:t xml:space="preserve"> (רלד נה"כ נט) פליג], וע' קצות (קיז ב). וע"ע ר"א מן ההר (נדרים פו). וה</w:t>
      </w:r>
      <w:r>
        <w:rPr>
          <w:b/>
          <w:bCs/>
          <w:rtl/>
        </w:rPr>
        <w:t>חזו"א</w:t>
      </w:r>
      <w:r>
        <w:rPr>
          <w:rtl/>
        </w:rPr>
        <w:t xml:space="preserve"> (עא ה) ביאר תי' התוס' באופ"א.</w:t>
      </w:r>
    </w:p>
  </w:footnote>
  <w:footnote w:id="5978">
    <w:p w14:paraId="3C77374B" w14:textId="77777777" w:rsidR="006C4368" w:rsidRDefault="006C4368" w:rsidP="006C4368">
      <w:pPr>
        <w:pStyle w:val="Footnote"/>
        <w:bidi/>
      </w:pPr>
      <w:r>
        <w:rPr>
          <w:rStyle w:val="ac"/>
          <w:rtl/>
        </w:rPr>
        <w:footnoteRef/>
      </w:r>
      <w:r>
        <w:rPr>
          <w:rtl/>
        </w:rPr>
        <w:t>וה</w:t>
      </w:r>
      <w:r>
        <w:rPr>
          <w:b/>
          <w:bCs/>
          <w:rtl/>
        </w:rPr>
        <w:t>ראשונים</w:t>
      </w:r>
      <w:r>
        <w:rPr>
          <w:rtl/>
        </w:rPr>
        <w:t xml:space="preserve"> (רשב"ם ב"ב עח: ורמב"ן קידו' שם) כת' דכיון דאוקמא בשיטה אין הלכה כחד מנייהו.</w:t>
      </w:r>
    </w:p>
  </w:footnote>
  <w:footnote w:id="5979">
    <w:p w14:paraId="449114EF" w14:textId="77777777" w:rsidR="006C4368" w:rsidRDefault="006C4368" w:rsidP="006C4368">
      <w:pPr>
        <w:pStyle w:val="Footnote"/>
        <w:bidi/>
      </w:pPr>
      <w:r>
        <w:rPr>
          <w:rStyle w:val="ac"/>
          <w:rtl/>
        </w:rPr>
        <w:footnoteRef/>
      </w:r>
      <w:r>
        <w:rPr>
          <w:rtl/>
        </w:rPr>
        <w:t>והר"ן העתיק לשון הגמ' רב הונא כרב וכו' וראב"י כר"ע, כולהו ס"ל אדם מקנה דשלבל"ע.</w:t>
      </w:r>
    </w:p>
  </w:footnote>
  <w:footnote w:id="5980">
    <w:p w14:paraId="0CDCE2C1" w14:textId="77777777" w:rsidR="006C4368" w:rsidRDefault="006C4368" w:rsidP="006C4368">
      <w:pPr>
        <w:pStyle w:val="Footnote"/>
        <w:bidi/>
      </w:pPr>
      <w:r>
        <w:rPr>
          <w:rStyle w:val="ac"/>
          <w:rtl/>
        </w:rPr>
        <w:footnoteRef/>
      </w:r>
      <w:r>
        <w:rPr>
          <w:rtl/>
        </w:rPr>
        <w:t>אך ה</w:t>
      </w:r>
      <w:r>
        <w:rPr>
          <w:b/>
          <w:bCs/>
          <w:rtl/>
        </w:rPr>
        <w:t>שיטה לנ"ל</w:t>
      </w:r>
      <w:r>
        <w:rPr>
          <w:rtl/>
        </w:rPr>
        <w:t xml:space="preserve"> (קידושין שם, וכן י"מ בשא"ר שם) נקט דאביי ס"ל דראב"י קאי בכל דבר שלא בא לעולם, ואף בלא הביא שחת. ופליג ארב יוסף ורבה שם. [ולכאורה כ"מ מדברי ה</w:t>
      </w:r>
      <w:r>
        <w:rPr>
          <w:b/>
          <w:bCs/>
          <w:rtl/>
        </w:rPr>
        <w:t>תוס</w:t>
      </w:r>
      <w:r>
        <w:rPr>
          <w:rtl/>
        </w:rPr>
        <w:t>' (ד"ה לאחר) דילפי' דר' מאיר איירי אף בדבר שלא בא כלל לעולם מהא דקאי אף כדעת ראב"י רבו, וע"כ דראב"י קאי כה"ג].</w:t>
      </w:r>
    </w:p>
  </w:footnote>
  <w:footnote w:id="5981">
    <w:p w14:paraId="10F3B5FF" w14:textId="77777777" w:rsidR="006C4368" w:rsidRDefault="006C4368" w:rsidP="006C4368">
      <w:pPr>
        <w:pStyle w:val="Footnote"/>
        <w:bidi/>
      </w:pPr>
      <w:r>
        <w:rPr>
          <w:rStyle w:val="ac"/>
          <w:rtl/>
        </w:rPr>
        <w:footnoteRef/>
      </w:r>
      <w:r>
        <w:rPr>
          <w:rtl/>
        </w:rPr>
        <w:t>וכן כל דבר שאינו להחיל עכשיו, אינו יכול לעשות ללאחר זמן. [וכגון להפריש תרומה במחובר לכשיתלש, לולי דהוה בידו]. וצ"ל דנחשב שאין לו בעלות לענין זה.</w:t>
      </w:r>
    </w:p>
  </w:footnote>
  <w:footnote w:id="5982">
    <w:p w14:paraId="7099ADBB" w14:textId="77777777" w:rsidR="006C4368" w:rsidRDefault="006C4368" w:rsidP="006C4368">
      <w:pPr>
        <w:pStyle w:val="Footnote"/>
        <w:bidi/>
      </w:pPr>
      <w:r>
        <w:rPr>
          <w:rStyle w:val="ac"/>
          <w:rtl/>
        </w:rPr>
        <w:footnoteRef/>
      </w:r>
      <w:r>
        <w:rPr>
          <w:rtl/>
        </w:rPr>
        <w:t>והקוב"ש הביא דה</w:t>
      </w:r>
      <w:r>
        <w:rPr>
          <w:b/>
          <w:bCs/>
          <w:rtl/>
        </w:rPr>
        <w:t>תשב"ץ קטן</w:t>
      </w:r>
      <w:r>
        <w:rPr>
          <w:rtl/>
        </w:rPr>
        <w:t xml:space="preserve"> (שצח) הביא בשם </w:t>
      </w:r>
      <w:r>
        <w:rPr>
          <w:b/>
          <w:bCs/>
          <w:rtl/>
        </w:rPr>
        <w:t>מהר"ם רוטנברג</w:t>
      </w:r>
      <w:r>
        <w:rPr>
          <w:rtl/>
        </w:rPr>
        <w:t xml:space="preserve"> דהיכא דיש מנהג בני אדם, צריך לקיים דברו אף בדבר שלא בא לעולם, וכדין סיטומתא (ב"מ עד.). [משום דגמר דעתו]. וב</w:t>
      </w:r>
      <w:r>
        <w:rPr>
          <w:b/>
          <w:bCs/>
          <w:rtl/>
        </w:rPr>
        <w:t>הג' ר' פרץ</w:t>
      </w:r>
      <w:r>
        <w:rPr>
          <w:rtl/>
        </w:rPr>
        <w:t xml:space="preserve"> (לתשב"ץ הנ"ל) הביא ד</w:t>
      </w:r>
      <w:r>
        <w:rPr>
          <w:b/>
          <w:bCs/>
          <w:rtl/>
        </w:rPr>
        <w:t>ר' יחיאל מפריז</w:t>
      </w:r>
      <w:r>
        <w:rPr>
          <w:rtl/>
        </w:rPr>
        <w:t xml:space="preserve"> חלק דסיטומתא מהני רק בדבר שבא לעולם, וע"י המנהג הוה כאילו היה קנין גמור. אבל בדבר שאינו מועיל בו קנין כגון דבר שלב"ל לא מצינו שמועיל המנהג. [והקוב"ש כת' דפליגי בסברא זו].</w:t>
      </w:r>
    </w:p>
  </w:footnote>
  <w:footnote w:id="5983">
    <w:p w14:paraId="52AAE4AE" w14:textId="77777777" w:rsidR="006C4368" w:rsidRDefault="006C4368" w:rsidP="006C4368">
      <w:pPr>
        <w:pStyle w:val="Footnote"/>
        <w:bidi/>
      </w:pPr>
      <w:r>
        <w:rPr>
          <w:rStyle w:val="ac"/>
          <w:rtl/>
        </w:rPr>
        <w:footnoteRef/>
      </w:r>
      <w:r>
        <w:rPr>
          <w:rtl/>
        </w:rPr>
        <w:t>וכ"כ ה</w:t>
      </w:r>
      <w:r>
        <w:rPr>
          <w:b/>
          <w:bCs/>
          <w:rtl/>
        </w:rPr>
        <w:t>רא"ש</w:t>
      </w:r>
      <w:r>
        <w:rPr>
          <w:rtl/>
        </w:rPr>
        <w:t xml:space="preserve"> (בשיטמ"ק ב"ב קמב:) דהא דאין אדם מקנה 'ל'דבר שלא בא לעולם, הוא משום דלא גמר ומקנה. ומש"ה יכול להקנות לבנו בעודו עובר, דדעתו של אדם קרובה אצל בנו. [אך תוס' שם מבואר דהוה תקנ"ח]. {ודוחק לחלק בין לדבר שלא בעולם, ואילו כשמקנה דבר שלא בא לעולם הוה חסרון בקנין. דלכאורה הסברא הוה להיפך}.</w:t>
      </w:r>
    </w:p>
    <w:p w14:paraId="0113C9E5" w14:textId="77777777" w:rsidR="006C4368" w:rsidRDefault="006C4368" w:rsidP="006C4368">
      <w:pPr>
        <w:pStyle w:val="Footnote"/>
        <w:bidi/>
      </w:pPr>
      <w:r>
        <w:rPr>
          <w:rtl/>
        </w:rPr>
        <w:tab/>
        <w:t>והביאו בשם בעל ה</w:t>
      </w:r>
      <w:r>
        <w:rPr>
          <w:b/>
          <w:bCs/>
          <w:rtl/>
        </w:rPr>
        <w:t xml:space="preserve">טורים </w:t>
      </w:r>
      <w:r>
        <w:rPr>
          <w:rtl/>
        </w:rPr>
        <w:t>דע"י שנשבע חל קנין בדבר שלא בא לעולם. וה</w:t>
      </w:r>
      <w:r>
        <w:rPr>
          <w:b/>
          <w:bCs/>
          <w:rtl/>
        </w:rPr>
        <w:t>ריב"ש</w:t>
      </w:r>
      <w:r>
        <w:rPr>
          <w:rtl/>
        </w:rPr>
        <w:t xml:space="preserve"> (שכח, וכן עא ושמא ושלה) כת' דלאו הטור חתים עליה. ונהי דחייב לקיים שבועתו, ל"מ לקנות ולהחשב כאילו הוא בעולם.</w:t>
      </w:r>
    </w:p>
  </w:footnote>
  <w:footnote w:id="5984">
    <w:p w14:paraId="6F351222" w14:textId="77777777" w:rsidR="006C4368" w:rsidRDefault="006C4368" w:rsidP="006C4368">
      <w:pPr>
        <w:pStyle w:val="Footnote"/>
        <w:bidi/>
      </w:pPr>
      <w:r>
        <w:rPr>
          <w:rStyle w:val="ac"/>
          <w:rtl/>
        </w:rPr>
        <w:footnoteRef/>
      </w:r>
      <w:r>
        <w:rPr>
          <w:rtl/>
        </w:rPr>
        <w:t>ע"פ מש"כ ה</w:t>
      </w:r>
      <w:r>
        <w:rPr>
          <w:b/>
          <w:bCs/>
          <w:rtl/>
        </w:rPr>
        <w:t>מהרש"א</w:t>
      </w:r>
      <w:r>
        <w:rPr>
          <w:rtl/>
        </w:rPr>
        <w:t xml:space="preserve"> (שם, לדעת תוס') דאיירי התם להקנות דבר שלא בא לעולם.</w:t>
      </w:r>
    </w:p>
    <w:p w14:paraId="6205882E" w14:textId="77777777" w:rsidR="006C4368" w:rsidRDefault="006C4368" w:rsidP="006C4368">
      <w:pPr>
        <w:pStyle w:val="Footnote"/>
        <w:bidi/>
      </w:pPr>
      <w:r>
        <w:rPr>
          <w:rtl/>
        </w:rPr>
        <w:tab/>
        <w:t>וכן ה</w:t>
      </w:r>
      <w:r>
        <w:rPr>
          <w:b/>
          <w:bCs/>
          <w:rtl/>
        </w:rPr>
        <w:t>שואל בנוב"י</w:t>
      </w:r>
      <w:r>
        <w:rPr>
          <w:rtl/>
        </w:rPr>
        <w:t xml:space="preserve"> (אה"ע ת' נד) הביא מהגמ' (ב"מ טז.) דהיכא דסמכא דעתיה קונה אף דבר שלא בא לעולם, והנוב"י האריך לתמוה דלא שמענו מעולם דמהני כה"ג. והנוב"י דחה דהסוגיא בב"מ איירי שמקנה אח"כ, לאחר שכבר בא לעולם. [וכ"ד כמה ראשונים שם, אבל השואל שם הביא דתוס' שם מבואר דלא כן].</w:t>
      </w:r>
    </w:p>
    <w:p w14:paraId="09462C66" w14:textId="77777777" w:rsidR="006C4368" w:rsidRDefault="006C4368" w:rsidP="006C4368">
      <w:pPr>
        <w:pStyle w:val="Footnote"/>
        <w:bidi/>
      </w:pPr>
      <w:r>
        <w:rPr>
          <w:rtl/>
        </w:rPr>
        <w:tab/>
        <w:t>וכן ה</w:t>
      </w:r>
      <w:r>
        <w:rPr>
          <w:b/>
          <w:bCs/>
          <w:rtl/>
        </w:rPr>
        <w:t>אור החיים</w:t>
      </w:r>
      <w:r>
        <w:rPr>
          <w:rtl/>
        </w:rPr>
        <w:t xml:space="preserve"> (עה"ת בראשית כה לג) הביא דמבואר (בסוגיא בב"מ הנ"ל) דטעם דשלבל"ע משום דהלוקח לא סמך דעתו.</w:t>
      </w:r>
    </w:p>
  </w:footnote>
  <w:footnote w:id="5985">
    <w:p w14:paraId="6421F6CE" w14:textId="77777777" w:rsidR="006C4368" w:rsidRDefault="006C4368" w:rsidP="006C4368">
      <w:pPr>
        <w:pStyle w:val="Footnote"/>
        <w:bidi/>
      </w:pPr>
      <w:r>
        <w:rPr>
          <w:rStyle w:val="ac"/>
          <w:rtl/>
        </w:rPr>
        <w:footnoteRef/>
      </w:r>
      <w:r>
        <w:rPr>
          <w:rtl/>
        </w:rPr>
        <w:t>וה</w:t>
      </w:r>
      <w:r>
        <w:rPr>
          <w:b/>
          <w:bCs/>
          <w:rtl/>
        </w:rPr>
        <w:t>קה"י</w:t>
      </w:r>
      <w:r>
        <w:rPr>
          <w:rtl/>
        </w:rPr>
        <w:t xml:space="preserve"> (בכורות א) העיר דהמשייר לעצמו זכות שלא בא לעולם ל"ש סברת סמכא דעתיה. וע"כ הטעם דאין על מה שיחול השיור. ועפ"ז חילק דלענין שיור עובר נחשב בא לעולם. ורק לענין קנין לא סמכא דעתיה.</w:t>
      </w:r>
    </w:p>
  </w:footnote>
  <w:footnote w:id="5986">
    <w:p w14:paraId="06062E0E" w14:textId="77777777" w:rsidR="006C4368" w:rsidRDefault="006C4368" w:rsidP="006C4368">
      <w:pPr>
        <w:pStyle w:val="Footnote"/>
        <w:bidi/>
      </w:pPr>
      <w:r>
        <w:rPr>
          <w:rStyle w:val="ac"/>
          <w:rtl/>
        </w:rPr>
        <w:footnoteRef/>
      </w:r>
      <w:r>
        <w:rPr>
          <w:rtl/>
        </w:rPr>
        <w:t>וכ"ד שמואל (שם ולעיל סז.) דהמזכה לעובר קנה. ו</w:t>
      </w:r>
      <w:r>
        <w:rPr>
          <w:b/>
          <w:bCs/>
          <w:rtl/>
        </w:rPr>
        <w:t>תוס</w:t>
      </w:r>
      <w:r>
        <w:rPr>
          <w:rtl/>
        </w:rPr>
        <w:t>' (כתובות ז:) דנו האם ס"ל דאדם מקנה לדבר שלא בא לעולם [אף דס"ל דאינו מקנה דבר שלא בא לעולם. וסברתו הפוכה לגמרי מדרב הונא]. ולתי' הא' דוקא גבי עובר נחשב בא לעולם.</w:t>
      </w:r>
    </w:p>
  </w:footnote>
  <w:footnote w:id="5987">
    <w:p w14:paraId="3621942C" w14:textId="77777777" w:rsidR="006C4368" w:rsidRDefault="006C4368" w:rsidP="006C4368">
      <w:pPr>
        <w:pStyle w:val="Footnote"/>
        <w:bidi/>
      </w:pPr>
      <w:r>
        <w:rPr>
          <w:rStyle w:val="ac"/>
          <w:rtl/>
        </w:rPr>
        <w:footnoteRef/>
      </w:r>
      <w:r>
        <w:rPr>
          <w:rtl/>
        </w:rPr>
        <w:t>וה</w:t>
      </w:r>
      <w:r>
        <w:rPr>
          <w:b/>
          <w:bCs/>
          <w:rtl/>
        </w:rPr>
        <w:t>רש"ש</w:t>
      </w:r>
      <w:r>
        <w:rPr>
          <w:rtl/>
        </w:rPr>
        <w:t xml:space="preserve"> כת' ואולי ס"ל דאדם מקנה דבר שלבל"ע, והטעם דחזינן מה שבכח כאילו הוא בפועל [ע"ד הא דר"ש (ב"ק עו:, כתובות נא.) ס"ל כל העומד לזרוק כזרוק דמי, וכל העומד לפדות כפדוי דמי, וכל העומד לגזוז כגזוז דמי]. ומש"ה הקנין יכול לחול גם מעתה.</w:t>
      </w:r>
    </w:p>
  </w:footnote>
  <w:footnote w:id="5988">
    <w:p w14:paraId="413E2198" w14:textId="77777777" w:rsidR="006C4368" w:rsidRDefault="006C4368" w:rsidP="006C4368">
      <w:pPr>
        <w:pStyle w:val="Footnote"/>
        <w:bidi/>
      </w:pPr>
      <w:r>
        <w:rPr>
          <w:rStyle w:val="ac"/>
          <w:rtl/>
        </w:rPr>
        <w:footnoteRef/>
      </w:r>
      <w:r>
        <w:rPr>
          <w:rtl/>
        </w:rPr>
        <w:t>וב</w:t>
      </w:r>
      <w:r>
        <w:rPr>
          <w:b/>
          <w:bCs/>
          <w:rtl/>
        </w:rPr>
        <w:t>חי' ר' שמעון</w:t>
      </w:r>
      <w:r>
        <w:rPr>
          <w:rtl/>
        </w:rPr>
        <w:t xml:space="preserve"> (נדרים כב, ומערכת הקנינים) ביאר דעיקר פעולת המעשה קנין להיכר גמירות דעת הבעלי דברים. והם נתרצו שיזכה גם מעכשיו אילו היה באפשרות. וכיון שנעשה מעשה ההקנאה בהחלט, שוב אי"צ שמעשה הקנין יהא קיים בשעת החלות.</w:t>
      </w:r>
    </w:p>
  </w:footnote>
  <w:footnote w:id="5989">
    <w:p w14:paraId="079B943F" w14:textId="77777777" w:rsidR="006C4368" w:rsidRDefault="006C4368" w:rsidP="006C4368">
      <w:pPr>
        <w:pStyle w:val="Footnote"/>
        <w:bidi/>
      </w:pPr>
      <w:r>
        <w:rPr>
          <w:rStyle w:val="ac"/>
          <w:rtl/>
        </w:rPr>
        <w:footnoteRef/>
      </w:r>
      <w:r>
        <w:rPr>
          <w:rtl/>
        </w:rPr>
        <w:t>וכ"כ ה</w:t>
      </w:r>
      <w:r>
        <w:rPr>
          <w:b/>
          <w:bCs/>
          <w:rtl/>
        </w:rPr>
        <w:t>חזו"א</w:t>
      </w:r>
      <w:r>
        <w:rPr>
          <w:rtl/>
        </w:rPr>
        <w:t xml:space="preserve"> (עא כז) דבדבר שבא לעולם אם נגמר קנינו הרי ע"כ זכה מעכשיו הגוף, ואם אינו מזכה מעכשיו ע"כ שייר בהקנאה.</w:t>
      </w:r>
    </w:p>
    <w:p w14:paraId="7692E80F" w14:textId="77777777" w:rsidR="006C4368" w:rsidRDefault="006C4368" w:rsidP="006C4368">
      <w:pPr>
        <w:pStyle w:val="Footnote"/>
        <w:bidi/>
      </w:pPr>
      <w:r>
        <w:rPr>
          <w:rtl/>
        </w:rPr>
        <w:tab/>
        <w:t>וה</w:t>
      </w:r>
      <w:r>
        <w:rPr>
          <w:b/>
          <w:bCs/>
          <w:rtl/>
        </w:rPr>
        <w:t>חזו"א</w:t>
      </w:r>
      <w:r>
        <w:rPr>
          <w:rtl/>
        </w:rPr>
        <w:t xml:space="preserve"> (שם) העלה צד [דאף בדבר שבא לעולם] דמהני שאומר שהקנין יגמר מעכשיו, לענין שיקנה את הפרה לאחר ל'. אלא דנח' בסתמא היכא דלא פירש כן. אך הק' דא"כ בקנין סודר לאחר ל' אמאי לא קנה, נימא דכוונתו שיחול באופן המועיל, ומש"ה יגמר הקנין מעכשיו [וציין דאי' (בשו"ע חו"מ קצה ה) דמסתמא מפרשים דבריו באופן המועיל]. ועד"ז הק' בגמ' (ב"מ לד.) אמאי לא מפרשינן דמשיכה של עכשיו יגמר, ויועיל להקנות את הפרה סמוך לגניבתו.</w:t>
      </w:r>
    </w:p>
  </w:footnote>
  <w:footnote w:id="5990">
    <w:p w14:paraId="7CDD89F9" w14:textId="77777777" w:rsidR="006C4368" w:rsidRDefault="006C4368" w:rsidP="006C4368">
      <w:pPr>
        <w:pStyle w:val="Footnote"/>
        <w:bidi/>
      </w:pPr>
      <w:r>
        <w:rPr>
          <w:rStyle w:val="ac"/>
          <w:rtl/>
        </w:rPr>
        <w:footnoteRef/>
      </w:r>
      <w:r>
        <w:rPr>
          <w:rtl/>
        </w:rPr>
        <w:t>אבל בחי' ר' שמעון הביא דב</w:t>
      </w:r>
      <w:r>
        <w:rPr>
          <w:b/>
          <w:bCs/>
          <w:rtl/>
        </w:rPr>
        <w:t>שו"ת דברי חיים</w:t>
      </w:r>
      <w:r>
        <w:rPr>
          <w:rtl/>
        </w:rPr>
        <w:t xml:space="preserve"> (השמטה לג) נקט דכ"ש דמהני גדר זה בדבר שבא לעולם. [ע"ע בסמוך מדברי הפוסקים].</w:t>
      </w:r>
    </w:p>
  </w:footnote>
  <w:footnote w:id="5991">
    <w:p w14:paraId="5A02FF7B" w14:textId="77777777" w:rsidR="006C4368" w:rsidRDefault="006C4368" w:rsidP="006C4368">
      <w:pPr>
        <w:pStyle w:val="Footnote"/>
        <w:bidi/>
      </w:pPr>
      <w:r>
        <w:rPr>
          <w:rStyle w:val="ac"/>
          <w:rtl/>
        </w:rPr>
        <w:footnoteRef/>
      </w:r>
      <w:r>
        <w:rPr>
          <w:rtl/>
        </w:rPr>
        <w:t>וה</w:t>
      </w:r>
      <w:r>
        <w:rPr>
          <w:b/>
          <w:bCs/>
          <w:rtl/>
        </w:rPr>
        <w:t>רמב"ן</w:t>
      </w:r>
      <w:r>
        <w:rPr>
          <w:rtl/>
        </w:rPr>
        <w:t xml:space="preserve"> (קידושין) בתי' הא' כת' דבדבר שלא בא לעולם ל"מ מעכשיו, ודוקא בדבר שהוא בעולם אלא דלא בא לרשותו מהני מעכשיו שלא יוכל לחזור בו.</w:t>
      </w:r>
    </w:p>
  </w:footnote>
  <w:footnote w:id="5992">
    <w:p w14:paraId="400FEC6C" w14:textId="77777777" w:rsidR="006C4368" w:rsidRDefault="006C4368" w:rsidP="006C4368">
      <w:pPr>
        <w:pStyle w:val="Footnote"/>
        <w:bidi/>
      </w:pPr>
      <w:r>
        <w:rPr>
          <w:rStyle w:val="ac"/>
          <w:rtl/>
        </w:rPr>
        <w:footnoteRef/>
      </w:r>
      <w:r>
        <w:rPr>
          <w:rtl/>
        </w:rPr>
        <w:t>וה</w:t>
      </w:r>
      <w:r>
        <w:rPr>
          <w:b/>
          <w:bCs/>
          <w:rtl/>
        </w:rPr>
        <w:t>רשב"א</w:t>
      </w:r>
      <w:r>
        <w:rPr>
          <w:rtl/>
        </w:rPr>
        <w:t xml:space="preserve"> (שם) הק' [לדברי הרמב"ן] דאם א"י לחזור, ע"כ הרי אנו רואין את הגט כאילו חל. א"כ אף כשנקרע הגט יהני.</w:t>
      </w:r>
    </w:p>
    <w:p w14:paraId="3DEDC3CD" w14:textId="77777777" w:rsidR="006C4368" w:rsidRDefault="006C4368" w:rsidP="006C4368">
      <w:pPr>
        <w:pStyle w:val="Footnote"/>
        <w:bidi/>
      </w:pPr>
      <w:r>
        <w:rPr>
          <w:rtl/>
        </w:rPr>
        <w:tab/>
        <w:t>וכן ה</w:t>
      </w:r>
      <w:r>
        <w:rPr>
          <w:b/>
          <w:bCs/>
          <w:rtl/>
        </w:rPr>
        <w:t>ריטב"א</w:t>
      </w:r>
      <w:r>
        <w:rPr>
          <w:rtl/>
        </w:rPr>
        <w:t xml:space="preserve"> (ב"מ טז:, והו' בשיטמ"ק שם) דחה דל"מ מעכשיו לענין שלא יוכל לחזור בו [ודלא כי"מ שהביא], דעכשיו אין לו בה כלום. ובדבר שלא בא לעולם אמאי לא יוכל לחזור בו.</w:t>
      </w:r>
    </w:p>
  </w:footnote>
  <w:footnote w:id="5993">
    <w:p w14:paraId="657D5DC5" w14:textId="77777777" w:rsidR="006C4368" w:rsidRDefault="006C4368" w:rsidP="006C4368">
      <w:pPr>
        <w:pStyle w:val="Footnote"/>
        <w:bidi/>
      </w:pPr>
      <w:r>
        <w:rPr>
          <w:rStyle w:val="ac"/>
          <w:rtl/>
        </w:rPr>
        <w:footnoteRef/>
      </w:r>
      <w:r>
        <w:rPr>
          <w:rtl/>
        </w:rPr>
        <w:t>ולכאורה כוונתו דר' יוחנן ס"ל דאתי דיבור ומבטל דיבור, אבל היכא דאמר 'מעכשיו' הוה מעשה. וכו"ע מודו דלא אתי דיבור ומבטל מעשה.</w:t>
      </w:r>
    </w:p>
  </w:footnote>
  <w:footnote w:id="5994">
    <w:p w14:paraId="158347A7" w14:textId="77777777" w:rsidR="006C4368" w:rsidRDefault="006C4368" w:rsidP="006C4368">
      <w:pPr>
        <w:pStyle w:val="Footnote"/>
        <w:bidi/>
      </w:pPr>
      <w:r>
        <w:rPr>
          <w:rStyle w:val="ac"/>
          <w:rtl/>
        </w:rPr>
        <w:footnoteRef/>
      </w:r>
      <w:r>
        <w:rPr>
          <w:rtl/>
        </w:rPr>
        <w:t>אך ה</w:t>
      </w:r>
      <w:r>
        <w:rPr>
          <w:b/>
          <w:bCs/>
          <w:rtl/>
        </w:rPr>
        <w:t>ר"ן</w:t>
      </w:r>
      <w:r>
        <w:rPr>
          <w:rtl/>
        </w:rPr>
        <w:t xml:space="preserve"> (קידושין שם) כת' דכ"ז אילו האשה חוזרת בה [ואינה מקיימת את הקידושין], אבל אם המקדש חוזר בו אינה חייבת להחזירה, דאל"כ במאי מיקדשה, הרי אינם קנויים לה עד סוף ל' והרי נתאכלו בינתיים. [וכ"כ התורא"ש קידושין מו:]. [וע"ע אבנ"מ מ א].</w:t>
      </w:r>
    </w:p>
  </w:footnote>
  <w:footnote w:id="5995">
    <w:p w14:paraId="68609986" w14:textId="77777777" w:rsidR="006C4368" w:rsidRDefault="006C4368" w:rsidP="006C4368">
      <w:pPr>
        <w:pStyle w:val="Footnote"/>
        <w:bidi/>
      </w:pPr>
      <w:r>
        <w:rPr>
          <w:rStyle w:val="ac"/>
          <w:rtl/>
        </w:rPr>
        <w:footnoteRef/>
      </w:r>
      <w:r>
        <w:rPr>
          <w:rtl/>
        </w:rPr>
        <w:t>וב</w:t>
      </w:r>
      <w:r>
        <w:rPr>
          <w:b/>
          <w:bCs/>
          <w:rtl/>
        </w:rPr>
        <w:t>חי' ר' שמעון</w:t>
      </w:r>
      <w:r>
        <w:rPr>
          <w:rtl/>
        </w:rPr>
        <w:t xml:space="preserve"> (קנין כסף ג) ביאר דקנין כסף אינו מעשה קנין בעלמא, אלא דבהקנאת הכסף ראוי לחול על המקבל חיוב תשלום הכסף, וע"י שמתרצים שתהיה הקרקע או הקדושין פרעון בעד הכסף חל הקנין והפרעון. וזהו עיקר קנין כסף. [ולא צריך מעות בעין].</w:t>
      </w:r>
    </w:p>
  </w:footnote>
  <w:footnote w:id="5996">
    <w:p w14:paraId="5CEE8AEF" w14:textId="77777777" w:rsidR="006C4368" w:rsidRDefault="006C4368" w:rsidP="006C4368">
      <w:pPr>
        <w:pStyle w:val="Footnote"/>
        <w:bidi/>
      </w:pPr>
      <w:r>
        <w:rPr>
          <w:rStyle w:val="ac"/>
          <w:rtl/>
        </w:rPr>
        <w:footnoteRef/>
      </w:r>
      <w:r>
        <w:rPr>
          <w:rtl/>
        </w:rPr>
        <w:t>וכן אי' בגמ' (נדרים כט:) דמהני להקדיש לאחר ל' [ואינו יכול לחזור בו] משום דאמירתו לגבוה כמסירתו להדיוט.</w:t>
      </w:r>
    </w:p>
  </w:footnote>
  <w:footnote w:id="5997">
    <w:p w14:paraId="4654EA2F" w14:textId="77777777" w:rsidR="006C4368" w:rsidRDefault="006C4368" w:rsidP="006C4368">
      <w:pPr>
        <w:pStyle w:val="Footnote"/>
        <w:bidi/>
      </w:pPr>
      <w:r>
        <w:rPr>
          <w:rStyle w:val="ac"/>
          <w:rtl/>
        </w:rPr>
        <w:footnoteRef/>
      </w:r>
      <w:r>
        <w:rPr>
          <w:rtl/>
        </w:rPr>
        <w:t>אבל ה</w:t>
      </w:r>
      <w:r>
        <w:rPr>
          <w:b/>
          <w:bCs/>
          <w:rtl/>
        </w:rPr>
        <w:t>קר"א</w:t>
      </w:r>
      <w:r>
        <w:rPr>
          <w:rtl/>
        </w:rPr>
        <w:t xml:space="preserve"> (נדרים כט:) נקט דבתרומה ל"ש אמירתו לגבוה כמסירתו להדיוט. וע"ע מהרי"ט אלגאזי (חלה כב ב לד: בדה"ר).</w:t>
      </w:r>
    </w:p>
  </w:footnote>
  <w:footnote w:id="5998">
    <w:p w14:paraId="42A8F47A" w14:textId="77777777" w:rsidR="006C4368" w:rsidRDefault="006C4368" w:rsidP="006C4368">
      <w:pPr>
        <w:pStyle w:val="Footnote"/>
        <w:bidi/>
      </w:pPr>
      <w:r>
        <w:rPr>
          <w:rStyle w:val="ac"/>
          <w:rtl/>
        </w:rPr>
        <w:footnoteRef/>
      </w:r>
      <w:r>
        <w:rPr>
          <w:rtl/>
        </w:rPr>
        <w:t>ואף בלא 'כמסירתו'. ובפשוטו בדברי התוס' מבואר דאמרי' כלתה קנינו בדיבור, ודוקא משום דמסור. אך יש שפי' דעיקר כוונת התוס' דשאני גדר אמירתו לגבוה, כיון דהוה ע"י דיבורו.</w:t>
      </w:r>
    </w:p>
  </w:footnote>
  <w:footnote w:id="5999">
    <w:p w14:paraId="66B7B945" w14:textId="77777777" w:rsidR="006C4368" w:rsidRDefault="006C4368" w:rsidP="006C4368">
      <w:pPr>
        <w:pStyle w:val="Footnote"/>
        <w:bidi/>
      </w:pPr>
      <w:r>
        <w:rPr>
          <w:rStyle w:val="ac"/>
          <w:rtl/>
        </w:rPr>
        <w:footnoteRef/>
      </w:r>
      <w:r>
        <w:rPr>
          <w:rtl/>
        </w:rPr>
        <w:t>ו</w:t>
      </w:r>
      <w:r>
        <w:rPr>
          <w:b/>
          <w:bCs/>
          <w:rtl/>
        </w:rPr>
        <w:t>רע"א</w:t>
      </w:r>
      <w:r>
        <w:rPr>
          <w:rtl/>
        </w:rPr>
        <w:t xml:space="preserve"> (שו"ת ק' קמד בסופו בסוגריים, בחי' כתובות עב:) נסתפק בזה אי אמרי' כלתה בדיבור. (וע"ע מש"כ בסוגיא נדרים ע., ושם עב.).</w:t>
      </w:r>
    </w:p>
  </w:footnote>
  <w:footnote w:id="6000">
    <w:p w14:paraId="314B7AD0" w14:textId="77777777" w:rsidR="006C4368" w:rsidRDefault="006C4368" w:rsidP="006C4368">
      <w:pPr>
        <w:pStyle w:val="Footnote"/>
        <w:bidi/>
      </w:pPr>
      <w:r>
        <w:rPr>
          <w:rStyle w:val="ac"/>
          <w:rtl/>
        </w:rPr>
        <w:footnoteRef/>
      </w:r>
      <w:r>
        <w:rPr>
          <w:rtl/>
        </w:rPr>
        <w:t>ו</w:t>
      </w:r>
      <w:r>
        <w:rPr>
          <w:b/>
          <w:bCs/>
          <w:rtl/>
        </w:rPr>
        <w:t>תוס</w:t>
      </w:r>
      <w:r>
        <w:rPr>
          <w:rtl/>
        </w:rPr>
        <w:t>' (בסמוך) סיימו דלדעת שמואל אי"צ שיעמוד ברשותו בסוף הל', וקנה מתחילה כיון דלא חזר בו תוך הל'. דהוה תנאי בעלמא. ולצד אליבא דרב דהוה חזרה, צריך שיהא ברשותו ממש בסוף הל'.</w:t>
      </w:r>
    </w:p>
  </w:footnote>
  <w:footnote w:id="6001">
    <w:p w14:paraId="37B342DF" w14:textId="77777777" w:rsidR="006C4368" w:rsidRDefault="006C4368" w:rsidP="006C4368">
      <w:pPr>
        <w:pStyle w:val="Footnote"/>
        <w:bidi/>
      </w:pPr>
      <w:r>
        <w:rPr>
          <w:rStyle w:val="ac"/>
          <w:rtl/>
        </w:rPr>
        <w:footnoteRef/>
      </w:r>
      <w:r>
        <w:rPr>
          <w:rtl/>
        </w:rPr>
        <w:t>ו</w:t>
      </w:r>
      <w:r>
        <w:rPr>
          <w:b/>
          <w:bCs/>
          <w:rtl/>
        </w:rPr>
        <w:t>תוס'</w:t>
      </w:r>
      <w:r>
        <w:rPr>
          <w:rtl/>
        </w:rPr>
        <w:t xml:space="preserve"> (דידן בסו"ד) פליגי דדוקא כשאומר 'מהיום ולאחר מיתה' משמע גוף מהיום ופירות לאחר מיתה. אבל מהיום ולאחר ל' לא נתכוון שיגמר הקנין מהיום.</w:t>
      </w:r>
    </w:p>
  </w:footnote>
  <w:footnote w:id="6002">
    <w:p w14:paraId="73193F86" w14:textId="77777777" w:rsidR="006C4368" w:rsidRDefault="006C4368" w:rsidP="006C4368">
      <w:pPr>
        <w:pStyle w:val="Footnote"/>
        <w:bidi/>
      </w:pPr>
      <w:r>
        <w:rPr>
          <w:rStyle w:val="ac"/>
          <w:rtl/>
        </w:rPr>
        <w:footnoteRef/>
      </w:r>
      <w:r>
        <w:rPr>
          <w:rtl/>
        </w:rPr>
        <w:t>וי"ל דקאי לשיטתם (קידושין ס.) דסברת שרגא דליבני דשייר מי שיקדש תוך ל'. והקנין נגמר מעכשיו.</w:t>
      </w:r>
    </w:p>
  </w:footnote>
  <w:footnote w:id="6003">
    <w:p w14:paraId="2AA6E1B4" w14:textId="77777777" w:rsidR="006C4368" w:rsidRDefault="006C4368" w:rsidP="006C4368">
      <w:pPr>
        <w:pStyle w:val="Footnote"/>
        <w:bidi/>
      </w:pPr>
      <w:r>
        <w:rPr>
          <w:rStyle w:val="ac"/>
          <w:rtl/>
        </w:rPr>
        <w:footnoteRef/>
      </w:r>
      <w:r>
        <w:rPr>
          <w:rtl/>
        </w:rPr>
        <w:t>וה</w:t>
      </w:r>
      <w:r>
        <w:rPr>
          <w:b/>
          <w:bCs/>
          <w:rtl/>
        </w:rPr>
        <w:t>פוסקים</w:t>
      </w:r>
      <w:r>
        <w:rPr>
          <w:rtl/>
        </w:rPr>
        <w:t xml:space="preserve"> דנו אי כוונתם דאפי' אגם שאינו רשותו, ואפי' רה"ר, או דוקא אגם [וכתוס'].</w:t>
      </w:r>
    </w:p>
  </w:footnote>
  <w:footnote w:id="6004">
    <w:p w14:paraId="5F2D9121" w14:textId="77777777" w:rsidR="006C4368" w:rsidRDefault="006C4368" w:rsidP="006C4368">
      <w:pPr>
        <w:pStyle w:val="Footnote"/>
        <w:bidi/>
      </w:pPr>
      <w:r>
        <w:rPr>
          <w:rStyle w:val="ac"/>
          <w:rtl/>
        </w:rPr>
        <w:footnoteRef/>
      </w:r>
      <w:r>
        <w:rPr>
          <w:rtl/>
        </w:rPr>
        <w:t>וה</w:t>
      </w:r>
      <w:r>
        <w:rPr>
          <w:b/>
          <w:bCs/>
          <w:rtl/>
        </w:rPr>
        <w:t>קצות</w:t>
      </w:r>
      <w:r>
        <w:rPr>
          <w:rtl/>
        </w:rPr>
        <w:t xml:space="preserve"> (קצז ד בסו"ד) הביא דמבואר ברמב"ם דלא אמרי' דמקנה גוף מהיום ופירות לאחר ל'. וכדעת תוס' (דידן בסו"ד) דדוקא מהיום ולאחר מיתה אמרי' כן. אבל ה</w:t>
      </w:r>
      <w:r>
        <w:rPr>
          <w:b/>
          <w:bCs/>
          <w:rtl/>
        </w:rPr>
        <w:t>נתיבות</w:t>
      </w:r>
      <w:r>
        <w:rPr>
          <w:rtl/>
        </w:rPr>
        <w:t xml:space="preserve"> (שם ה) יישב דכוונת הרמב"ם ושו"ע דמהני גוף מהיום ופירות לאחר ל' [ולאו דוקא נקט תנאי]. ודלא כתוס' דידן.</w:t>
      </w:r>
    </w:p>
  </w:footnote>
  <w:footnote w:id="6005">
    <w:p w14:paraId="7225778D" w14:textId="77777777" w:rsidR="006C4368" w:rsidRDefault="006C4368" w:rsidP="006C4368">
      <w:pPr>
        <w:pStyle w:val="Footnote"/>
        <w:bidi/>
      </w:pPr>
      <w:r>
        <w:rPr>
          <w:rStyle w:val="ac"/>
          <w:rtl/>
        </w:rPr>
        <w:footnoteRef/>
      </w:r>
      <w:r>
        <w:rPr>
          <w:rtl/>
        </w:rPr>
        <w:t>ואילו בקידושין מהיום ולאחר ל' נח' ה</w:t>
      </w:r>
      <w:r>
        <w:rPr>
          <w:b/>
          <w:bCs/>
          <w:rtl/>
        </w:rPr>
        <w:t>ראשונים</w:t>
      </w:r>
      <w:r>
        <w:rPr>
          <w:rtl/>
        </w:rPr>
        <w:t xml:space="preserve"> (טור אה"ע מ) אי כר' יוחנן או כרב. ולכו"ע לא קי"ל כשמואל.</w:t>
      </w:r>
    </w:p>
  </w:footnote>
  <w:footnote w:id="6006">
    <w:p w14:paraId="226850E3" w14:textId="77777777" w:rsidR="006C4368" w:rsidRDefault="006C4368" w:rsidP="006C4368">
      <w:pPr>
        <w:pStyle w:val="Footnote"/>
        <w:bidi/>
      </w:pPr>
      <w:r>
        <w:rPr>
          <w:rStyle w:val="ac"/>
          <w:rtl/>
        </w:rPr>
        <w:footnoteRef/>
      </w:r>
      <w:r>
        <w:rPr>
          <w:rtl/>
        </w:rPr>
        <w:t>תוס' נקטו דסגי בסוף הל', ו</w:t>
      </w:r>
      <w:r>
        <w:rPr>
          <w:b/>
          <w:bCs/>
          <w:rtl/>
        </w:rPr>
        <w:t>תוס'</w:t>
      </w:r>
      <w:r>
        <w:rPr>
          <w:rtl/>
        </w:rPr>
        <w:t xml:space="preserve"> (בסמוך) הוסיפו דאפי' יצתה מהאגם או משכה מקנה לרשותו תוך הל'. אבל ה</w:t>
      </w:r>
      <w:r>
        <w:rPr>
          <w:b/>
          <w:bCs/>
          <w:rtl/>
        </w:rPr>
        <w:t>תוס' ר"פ</w:t>
      </w:r>
      <w:r>
        <w:rPr>
          <w:rtl/>
        </w:rPr>
        <w:t xml:space="preserve"> (בשיטמ"ק ב"מ לד.) כת' דצריך שכל ל' לא יצא לרה"ר. [דאילו תצא מהאגם פקע הקנין].</w:t>
      </w:r>
    </w:p>
  </w:footnote>
  <w:footnote w:id="6007">
    <w:p w14:paraId="16F3E743" w14:textId="77777777" w:rsidR="006C4368" w:rsidRDefault="006C4368" w:rsidP="006C4368">
      <w:pPr>
        <w:pStyle w:val="Footnote"/>
        <w:bidi/>
      </w:pPr>
      <w:r>
        <w:rPr>
          <w:rStyle w:val="ac"/>
          <w:rtl/>
        </w:rPr>
        <w:footnoteRef/>
      </w:r>
      <w:r>
        <w:rPr>
          <w:rtl/>
        </w:rPr>
        <w:t>וצ"ב דלא משכו למקום מסויים זה באגם. והאיך נעשית כל האגם רשותו ע"י תחילת משיכה בצידו הא'.</w:t>
      </w:r>
    </w:p>
  </w:footnote>
  <w:footnote w:id="6008">
    <w:p w14:paraId="25FBC42B" w14:textId="77777777" w:rsidR="006C4368" w:rsidRDefault="006C4368" w:rsidP="006C4368">
      <w:pPr>
        <w:pStyle w:val="Footnote"/>
        <w:bidi/>
      </w:pPr>
      <w:r>
        <w:rPr>
          <w:rStyle w:val="ac"/>
          <w:rtl/>
        </w:rPr>
        <w:footnoteRef/>
      </w:r>
      <w:r>
        <w:rPr>
          <w:rtl/>
        </w:rPr>
        <w:t>וכן ה</w:t>
      </w:r>
      <w:r>
        <w:rPr>
          <w:b/>
          <w:bCs/>
          <w:rtl/>
        </w:rPr>
        <w:t>ר"ן</w:t>
      </w:r>
      <w:r>
        <w:rPr>
          <w:rtl/>
        </w:rPr>
        <w:t xml:space="preserve"> (כתובות פו: מו. בדה"ר) כת' דע"כ איירי שם בלא מעכשיו, דמעכשיו ולאחר ל' בממון הוה גוף מהיום ופירות לאחר ל'.</w:t>
      </w:r>
    </w:p>
  </w:footnote>
  <w:footnote w:id="6009">
    <w:p w14:paraId="46A15C65" w14:textId="77777777" w:rsidR="006C4368" w:rsidRDefault="006C4368" w:rsidP="006C4368">
      <w:pPr>
        <w:pStyle w:val="Footnote"/>
        <w:bidi/>
      </w:pPr>
      <w:r>
        <w:rPr>
          <w:rStyle w:val="ac"/>
          <w:rtl/>
        </w:rPr>
        <w:footnoteRef/>
      </w:r>
      <w:r>
        <w:rPr>
          <w:rtl/>
        </w:rPr>
        <w:t>וה</w:t>
      </w:r>
      <w:r>
        <w:rPr>
          <w:b/>
          <w:bCs/>
          <w:rtl/>
        </w:rPr>
        <w:t>גמ'</w:t>
      </w:r>
      <w:r>
        <w:rPr>
          <w:rtl/>
        </w:rPr>
        <w:t xml:space="preserve"> (ב"ב קלו.) מקשה מ"ש גבי גט דהוה גט ואינו גט, ואילו במתנת שכ"מ (במשנה שם) קנה. והגמ' תי' דגבי גט מספק"ל אי תנאה הוי אי חזרה הוי [וכדעת רב]. אבל במתנת שכ"מ ה"ק גופא קני מהיום פירא לאחר מיתה. ולכאורה נח' רש"י ותוס' בפי' הגמ', לדעת רש"י בכל ממון אמרי' דקנה גוף מהיום. ואילו לתוס' דוקא משום שכוונתו להבריח מהיורשים. [וה</w:t>
      </w:r>
      <w:r>
        <w:rPr>
          <w:b/>
          <w:bCs/>
          <w:rtl/>
        </w:rPr>
        <w:t>קצות</w:t>
      </w:r>
      <w:r>
        <w:rPr>
          <w:rtl/>
        </w:rPr>
        <w:t xml:space="preserve"> (קצז ד בסופו) הביא דברי התוס', ולא ציין דיש בזה חולקים].</w:t>
      </w:r>
    </w:p>
    <w:p w14:paraId="37626010" w14:textId="77777777" w:rsidR="006C4368" w:rsidRDefault="006C4368" w:rsidP="006C4368">
      <w:pPr>
        <w:pStyle w:val="Footnote"/>
        <w:bidi/>
      </w:pPr>
      <w:r>
        <w:rPr>
          <w:rtl/>
        </w:rPr>
        <w:tab/>
        <w:t>ו</w:t>
      </w:r>
      <w:r>
        <w:rPr>
          <w:b/>
          <w:bCs/>
          <w:rtl/>
        </w:rPr>
        <w:t>רע"א</w:t>
      </w:r>
      <w:r>
        <w:rPr>
          <w:rtl/>
        </w:rPr>
        <w:t xml:space="preserve"> (כאן) הביא דה</w:t>
      </w:r>
      <w:r>
        <w:rPr>
          <w:b/>
          <w:bCs/>
          <w:rtl/>
        </w:rPr>
        <w:t>ירושלמי</w:t>
      </w:r>
      <w:r>
        <w:rPr>
          <w:rtl/>
        </w:rPr>
        <w:t xml:space="preserve"> (גיטין ז ג, הו' בשו"ת הרשב"א א תקסג בסו"ד) מקשה מ"ש גט מהכותב לבנו מהיום ולאחר מיתה, וכן שטר שחרור ומפקיר שדה. [עי"ש שהביא דברי האחרונים בכוונת הירושלמי]. וכת' דיל"פ מסקנת הירושלמי כתוס', דאף מעכשיו ולאחר ל' בשיחרור והפקר תליא במח' רבי ורבנן, ולא מפרשינן גופא מהיום. ודוקא בלאחר מיתה כו"ע מודים, דמשמע גוף מהיום. דנראה דלהבריח מיתמי אמר כן.</w:t>
      </w:r>
    </w:p>
  </w:footnote>
  <w:footnote w:id="6010">
    <w:p w14:paraId="540C29B1" w14:textId="77777777" w:rsidR="006C4368" w:rsidRDefault="006C4368" w:rsidP="006C4368">
      <w:pPr>
        <w:pStyle w:val="Footnote"/>
        <w:bidi/>
      </w:pPr>
      <w:r>
        <w:rPr>
          <w:rStyle w:val="ac"/>
          <w:rtl/>
        </w:rPr>
        <w:footnoteRef/>
      </w:r>
      <w:r>
        <w:rPr>
          <w:rtl/>
        </w:rPr>
        <w:t>ולכאורה צ"ל דהוה מצווה מדאורייתא.</w:t>
      </w:r>
    </w:p>
  </w:footnote>
  <w:footnote w:id="6011">
    <w:p w14:paraId="71A84A02" w14:textId="77777777" w:rsidR="006C4368" w:rsidRDefault="006C4368" w:rsidP="006C4368">
      <w:pPr>
        <w:pStyle w:val="Footnote"/>
        <w:bidi/>
      </w:pPr>
      <w:r>
        <w:rPr>
          <w:rStyle w:val="ac"/>
          <w:rtl/>
        </w:rPr>
        <w:footnoteRef/>
      </w:r>
      <w:r>
        <w:rPr>
          <w:rtl/>
        </w:rPr>
        <w:t>וה</w:t>
      </w:r>
      <w:r>
        <w:rPr>
          <w:b/>
          <w:bCs/>
          <w:rtl/>
        </w:rPr>
        <w:t>חזו"א</w:t>
      </w:r>
      <w:r>
        <w:rPr>
          <w:rtl/>
        </w:rPr>
        <w:t xml:space="preserve"> ביאר בזה קו' הר"ש, מה ס"ד להתנות על של חבירו, דלהדיא אי' בירושלמי דלא מהני. וביאר דהר"ש קאי אליבא דר' ינאי, והר"ש נסתפק האם מש"ה מהני תנאי, וצ"ל כתי' הראשונים. אבל פשיטא דלרבנן אינו מתנה על מה שביד חבירו.</w:t>
      </w:r>
    </w:p>
  </w:footnote>
  <w:footnote w:id="6012">
    <w:p w14:paraId="602C1F58" w14:textId="77777777" w:rsidR="006C4368" w:rsidRDefault="006C4368" w:rsidP="006C4368">
      <w:pPr>
        <w:pStyle w:val="Footnote"/>
        <w:bidi/>
      </w:pPr>
      <w:r>
        <w:rPr>
          <w:rStyle w:val="ac"/>
          <w:rtl/>
        </w:rPr>
        <w:footnoteRef/>
      </w:r>
      <w:r>
        <w:rPr>
          <w:rtl/>
        </w:rPr>
        <w:t>וה</w:t>
      </w:r>
      <w:r>
        <w:rPr>
          <w:b/>
          <w:bCs/>
          <w:rtl/>
        </w:rPr>
        <w:t>אחרונים</w:t>
      </w:r>
      <w:r>
        <w:rPr>
          <w:rtl/>
        </w:rPr>
        <w:t xml:space="preserve"> הק' דה</w:t>
      </w:r>
      <w:r>
        <w:rPr>
          <w:b/>
          <w:bCs/>
          <w:rtl/>
        </w:rPr>
        <w:t>רמב"ם</w:t>
      </w:r>
      <w:r>
        <w:rPr>
          <w:rtl/>
        </w:rPr>
        <w:t xml:space="preserve"> (יו"ט ו יז ושו"ע תקכט א) כת' דכשם שמצוה לכבד את השבת ולענגו, כך כל ימים טובים.</w:t>
      </w:r>
    </w:p>
  </w:footnote>
  <w:footnote w:id="6013">
    <w:p w14:paraId="17BB4D1C" w14:textId="77777777" w:rsidR="006C4368" w:rsidRDefault="006C4368" w:rsidP="006C4368">
      <w:pPr>
        <w:pStyle w:val="Footnote"/>
        <w:bidi/>
      </w:pPr>
      <w:r>
        <w:rPr>
          <w:rStyle w:val="ac"/>
          <w:rtl/>
        </w:rPr>
        <w:footnoteRef/>
      </w:r>
      <w:r>
        <w:rPr>
          <w:rtl/>
        </w:rPr>
        <w:t>וכן אי' בגמ' (יומא פג:) דהפרשת תרו"מ בשבת הוה טלטול בעלמא. ובגמ' (שבת קלא: וסוכה מב: מג.) נקטו לשון זה גבי נטילת לולב בשבת, דמדאורייתא אין איסור דטלטול בעלמא הוא. [ותוס' (סוכה מב:) הביאו מהגמ' דיש בזה איסור טלטול מוקצה, כיון דהלולב אינו כלי].</w:t>
      </w:r>
    </w:p>
  </w:footnote>
  <w:footnote w:id="6014">
    <w:p w14:paraId="0789F25C" w14:textId="77777777" w:rsidR="006C4368" w:rsidRDefault="006C4368" w:rsidP="006C4368">
      <w:pPr>
        <w:pStyle w:val="Footnote"/>
        <w:bidi/>
      </w:pPr>
      <w:r>
        <w:rPr>
          <w:rStyle w:val="ac"/>
          <w:rtl/>
        </w:rPr>
        <w:footnoteRef/>
      </w:r>
      <w:r>
        <w:rPr>
          <w:rtl/>
        </w:rPr>
        <w:t>וכ"כ ה</w:t>
      </w:r>
      <w:r>
        <w:rPr>
          <w:b/>
          <w:bCs/>
          <w:rtl/>
        </w:rPr>
        <w:t>רמב"ם</w:t>
      </w:r>
      <w:r>
        <w:rPr>
          <w:rtl/>
        </w:rPr>
        <w:t xml:space="preserve"> (שבת כג ט), וה</w:t>
      </w:r>
      <w:r>
        <w:rPr>
          <w:b/>
          <w:bCs/>
          <w:rtl/>
        </w:rPr>
        <w:t>רמב"ם</w:t>
      </w:r>
      <w:r>
        <w:rPr>
          <w:rtl/>
        </w:rPr>
        <w:t xml:space="preserve"> (שם יד) כת' דאסור אף משום דהוה כמקדיש, וגזירה שמא יכתוב. [ע' ביצה לז.].</w:t>
      </w:r>
    </w:p>
  </w:footnote>
  <w:footnote w:id="6015">
    <w:p w14:paraId="522355F7" w14:textId="77777777" w:rsidR="006C4368" w:rsidRDefault="006C4368" w:rsidP="006C4368">
      <w:pPr>
        <w:pStyle w:val="Footnote"/>
        <w:bidi/>
      </w:pPr>
      <w:r>
        <w:rPr>
          <w:rStyle w:val="ac"/>
          <w:rtl/>
        </w:rPr>
        <w:footnoteRef/>
      </w:r>
      <w:r>
        <w:rPr>
          <w:rtl/>
        </w:rPr>
        <w:t>ויש שדנו דכוונת הגמ' לרמז דדוקא ע"י הפרשה והגבהה אסור, אבל במחשבה רשאי לתת עיניו בצד זה. וז"ל המאירי דתקון זה אינו אלא דרך טלטול בעלמא.</w:t>
      </w:r>
    </w:p>
  </w:footnote>
  <w:footnote w:id="6016">
    <w:p w14:paraId="30A5B475" w14:textId="77777777" w:rsidR="006C4368" w:rsidRDefault="006C4368" w:rsidP="006C4368">
      <w:pPr>
        <w:pStyle w:val="Footnote"/>
        <w:bidi/>
      </w:pPr>
      <w:r>
        <w:rPr>
          <w:rStyle w:val="ac"/>
          <w:rtl/>
        </w:rPr>
        <w:footnoteRef/>
      </w:r>
      <w:r>
        <w:rPr>
          <w:rtl/>
        </w:rPr>
        <w:t>והריטב"א חלק דאע"ג דהוה רחוקים הוה דבר שבא לעולם ולרשותו.</w:t>
      </w:r>
    </w:p>
  </w:footnote>
  <w:footnote w:id="6017">
    <w:p w14:paraId="6008AA2B" w14:textId="77777777" w:rsidR="006C4368" w:rsidRDefault="006C4368" w:rsidP="006C4368">
      <w:pPr>
        <w:pStyle w:val="Footnote"/>
        <w:bidi/>
      </w:pPr>
      <w:r>
        <w:rPr>
          <w:rStyle w:val="ac"/>
          <w:rtl/>
        </w:rPr>
        <w:footnoteRef/>
      </w:r>
      <w:r>
        <w:rPr>
          <w:rtl/>
        </w:rPr>
        <w:t>ומשמע דהחסרון משום שעדיין לא חילקו את השותפות [שהאריס יש לו זכות], ולא נתברר האם יגיע לחלקו. [אך הראשונים בכ"מ נקטו דשותף יכול לעשר חלקו של עצמו].</w:t>
      </w:r>
    </w:p>
  </w:footnote>
  <w:footnote w:id="6018">
    <w:p w14:paraId="47752044" w14:textId="77777777" w:rsidR="006C4368" w:rsidRDefault="006C4368" w:rsidP="006C4368">
      <w:pPr>
        <w:pStyle w:val="Footnote"/>
        <w:bidi/>
      </w:pPr>
      <w:r>
        <w:rPr>
          <w:rStyle w:val="ac"/>
          <w:rtl/>
        </w:rPr>
        <w:footnoteRef/>
      </w:r>
      <w:r>
        <w:rPr>
          <w:rtl/>
        </w:rPr>
        <w:t>ונפשוט מדברי רב נחמן ב"י [שהוכיח מדברי ר' ינאי דמהני בלא בא לעולם] דמשלו על של חבירו צריך דעת.</w:t>
      </w:r>
    </w:p>
  </w:footnote>
  <w:footnote w:id="6019">
    <w:p w14:paraId="7363B913" w14:textId="77777777" w:rsidR="006C4368" w:rsidRDefault="006C4368" w:rsidP="006C4368">
      <w:pPr>
        <w:pStyle w:val="Footnote"/>
        <w:bidi/>
      </w:pPr>
      <w:r>
        <w:rPr>
          <w:rStyle w:val="ac"/>
          <w:rtl/>
        </w:rPr>
        <w:footnoteRef/>
      </w:r>
      <w:r>
        <w:rPr>
          <w:rtl/>
        </w:rPr>
        <w:t>[כפשטות הגמ' (נדרים שם), אך האחרונים דנו בזה למסקנא שם. ואכמ"ל].</w:t>
      </w:r>
    </w:p>
  </w:footnote>
  <w:footnote w:id="6020">
    <w:p w14:paraId="53C00F14" w14:textId="77777777" w:rsidR="006C4368" w:rsidRDefault="006C4368" w:rsidP="006C4368">
      <w:pPr>
        <w:pStyle w:val="Footnote"/>
        <w:bidi/>
      </w:pPr>
      <w:r>
        <w:rPr>
          <w:rStyle w:val="ac"/>
          <w:rtl/>
        </w:rPr>
        <w:footnoteRef/>
      </w:r>
      <w:r>
        <w:rPr>
          <w:rtl/>
        </w:rPr>
        <w:t>עי"ש שפלפל מכמה סוגיות. ו</w:t>
      </w:r>
      <w:r>
        <w:rPr>
          <w:b/>
          <w:bCs/>
          <w:rtl/>
        </w:rPr>
        <w:t>רע"א</w:t>
      </w:r>
      <w:r>
        <w:rPr>
          <w:rtl/>
        </w:rPr>
        <w:t xml:space="preserve"> הביא מדברי ה</w:t>
      </w:r>
      <w:r>
        <w:rPr>
          <w:b/>
          <w:bCs/>
          <w:rtl/>
        </w:rPr>
        <w:t>תה"ד</w:t>
      </w:r>
      <w:r>
        <w:rPr>
          <w:rtl/>
        </w:rPr>
        <w:t xml:space="preserve"> (רסט הו' במג"א שלט ח) שדן לפדות ע"י שנותנים מעות מראש, שיחול לאחר זמן בשבת.</w:t>
      </w:r>
    </w:p>
  </w:footnote>
  <w:footnote w:id="6021">
    <w:p w14:paraId="0A0F51CE" w14:textId="77777777" w:rsidR="006C4368" w:rsidRDefault="006C4368" w:rsidP="006C4368">
      <w:pPr>
        <w:pStyle w:val="Footnote"/>
        <w:bidi/>
      </w:pPr>
      <w:r>
        <w:rPr>
          <w:rStyle w:val="ac"/>
          <w:rtl/>
        </w:rPr>
        <w:footnoteRef/>
      </w:r>
      <w:r>
        <w:rPr>
          <w:rtl/>
        </w:rPr>
        <w:t>וה</w:t>
      </w:r>
      <w:r>
        <w:rPr>
          <w:b/>
          <w:bCs/>
          <w:rtl/>
        </w:rPr>
        <w:t>רמב"ן</w:t>
      </w:r>
      <w:r>
        <w:rPr>
          <w:rtl/>
        </w:rPr>
        <w:t xml:space="preserve"> הביא כן בשם </w:t>
      </w:r>
      <w:r>
        <w:rPr>
          <w:b/>
          <w:bCs/>
          <w:rtl/>
        </w:rPr>
        <w:t>ר"ת</w:t>
      </w:r>
      <w:r>
        <w:rPr>
          <w:rtl/>
        </w:rPr>
        <w:t xml:space="preserve"> דמשום עונג שבת שרי, כדכתיב למען תלמד ליראה. כמו שמצינו שהתירו (עירובין לב:) דחבר שמכר לע"ה, דמפריש שלא מהמוקף והתירו משום חשש איסורא [דלא לעבד ע"ה איסורא על ידו]. וה"נ משום מצוה רבה דכבוד שבת שרי.</w:t>
      </w:r>
    </w:p>
  </w:footnote>
  <w:footnote w:id="6022">
    <w:p w14:paraId="08C1EFA8" w14:textId="77777777" w:rsidR="006C4368" w:rsidRDefault="006C4368" w:rsidP="006C4368">
      <w:pPr>
        <w:pStyle w:val="Footnote"/>
        <w:bidi/>
      </w:pPr>
      <w:r>
        <w:rPr>
          <w:rStyle w:val="ac"/>
          <w:rtl/>
        </w:rPr>
        <w:footnoteRef/>
      </w:r>
      <w:r>
        <w:rPr>
          <w:rtl/>
        </w:rPr>
        <w:t>וה</w:t>
      </w:r>
      <w:r>
        <w:rPr>
          <w:b/>
          <w:bCs/>
          <w:rtl/>
        </w:rPr>
        <w:t>מהרש"ם</w:t>
      </w:r>
      <w:r>
        <w:rPr>
          <w:rtl/>
        </w:rPr>
        <w:t xml:space="preserve"> ציין דה</w:t>
      </w:r>
      <w:r>
        <w:rPr>
          <w:b/>
          <w:bCs/>
          <w:rtl/>
        </w:rPr>
        <w:t>ר"ש</w:t>
      </w:r>
      <w:r>
        <w:rPr>
          <w:rtl/>
        </w:rPr>
        <w:t xml:space="preserve"> (חלה ג א) מבואר דצריך שיהא מוקף בשעת קריאת שם, ולא בשעה שחל התרומה.</w:t>
      </w:r>
    </w:p>
  </w:footnote>
  <w:footnote w:id="6023">
    <w:p w14:paraId="1313ACC4" w14:textId="77777777" w:rsidR="006C4368" w:rsidRDefault="006C4368" w:rsidP="006C4368">
      <w:pPr>
        <w:pStyle w:val="Footnote"/>
        <w:bidi/>
      </w:pPr>
      <w:r>
        <w:rPr>
          <w:rStyle w:val="ac"/>
          <w:rtl/>
        </w:rPr>
        <w:footnoteRef/>
      </w:r>
      <w:r>
        <w:rPr>
          <w:rtl/>
        </w:rPr>
        <w:t>ולתי' התוס' איירי בפירות דרבנן.</w:t>
      </w:r>
    </w:p>
  </w:footnote>
  <w:footnote w:id="6024">
    <w:p w14:paraId="74D79F89" w14:textId="77777777" w:rsidR="006C4368" w:rsidRDefault="006C4368" w:rsidP="006C4368">
      <w:pPr>
        <w:pStyle w:val="Footnote"/>
        <w:bidi/>
      </w:pPr>
      <w:r>
        <w:rPr>
          <w:rStyle w:val="ac"/>
          <w:rtl/>
        </w:rPr>
        <w:footnoteRef/>
      </w:r>
      <w:r>
        <w:rPr>
          <w:rtl/>
        </w:rPr>
        <w:t>והביא כר' אליעזר ששחרר עבדו להשלימו לעשרה. וכן במכר טבל לע"ה (עירובין לב:) דניח"ל לחבר דלעביד איהו איסורא זוטא ולא לעביד עם הארץ איסורא רבה. [ואכמ"ל].</w:t>
      </w:r>
    </w:p>
  </w:footnote>
  <w:footnote w:id="6025">
    <w:p w14:paraId="0F103DCA" w14:textId="77777777" w:rsidR="006C4368" w:rsidRDefault="006C4368" w:rsidP="006C4368">
      <w:pPr>
        <w:pStyle w:val="Footnote"/>
        <w:bidi/>
      </w:pPr>
      <w:r>
        <w:rPr>
          <w:rStyle w:val="ac"/>
          <w:rtl/>
        </w:rPr>
        <w:footnoteRef/>
      </w:r>
      <w:r>
        <w:rPr>
          <w:rtl/>
        </w:rPr>
        <w:t>ולא בעינן אצל האשה דין הקנאה, דנימא שמקנה עצמה 'ל'דבר שלא בא לעולם. אלא תלי במקדש, והמקדש קונה דבר שלא בא לעולם.</w:t>
      </w:r>
    </w:p>
  </w:footnote>
  <w:footnote w:id="6026">
    <w:p w14:paraId="7D1F1AF6" w14:textId="77777777" w:rsidR="006C4368" w:rsidRDefault="006C4368" w:rsidP="006C4368">
      <w:pPr>
        <w:pStyle w:val="Footnote"/>
        <w:bidi/>
      </w:pPr>
      <w:r>
        <w:rPr>
          <w:rStyle w:val="ac"/>
          <w:rtl/>
        </w:rPr>
        <w:footnoteRef/>
      </w:r>
      <w:r>
        <w:rPr>
          <w:rtl/>
        </w:rPr>
        <w:t>אך במשנה (לקמן קיח:, הו' בתוס') מבואר דאשה שהוחזקה שיש לה בנים אינה נאמנת לומר שמת בנה ואח"כ מת בעלה, ותוס' פי' דחיישינן דמשקרא משום דמרחמא. וצ"ב מ"ש דבעיקר מיתת הבעל לא חששו. ע"ע בהמשך הסוגיא.</w:t>
      </w:r>
    </w:p>
  </w:footnote>
  <w:footnote w:id="6027">
    <w:p w14:paraId="2D5A527E" w14:textId="77777777" w:rsidR="006C4368" w:rsidRDefault="006C4368" w:rsidP="006C4368">
      <w:pPr>
        <w:pStyle w:val="Footnote"/>
        <w:bidi/>
      </w:pPr>
      <w:r>
        <w:rPr>
          <w:rStyle w:val="ac"/>
          <w:rtl/>
        </w:rPr>
        <w:footnoteRef/>
      </w:r>
      <w:r>
        <w:rPr>
          <w:rtl/>
        </w:rPr>
        <w:t>ולפ"ז עד פסול ל"מ להתיר ביבמה. ול"מ כן בפוסקים.</w:t>
      </w:r>
    </w:p>
  </w:footnote>
  <w:footnote w:id="6028">
    <w:p w14:paraId="7D1B80D0" w14:textId="77777777" w:rsidR="006C4368" w:rsidRDefault="006C4368" w:rsidP="006C4368">
      <w:pPr>
        <w:pStyle w:val="Footnote"/>
        <w:bidi/>
      </w:pPr>
      <w:r>
        <w:rPr>
          <w:rStyle w:val="ac"/>
          <w:rtl/>
        </w:rPr>
        <w:footnoteRef/>
      </w:r>
      <w:r>
        <w:rPr>
          <w:rtl/>
        </w:rPr>
        <w:t>אך ה</w:t>
      </w:r>
      <w:r>
        <w:rPr>
          <w:b/>
          <w:bCs/>
          <w:rtl/>
        </w:rPr>
        <w:t xml:space="preserve">נוב"י </w:t>
      </w:r>
      <w:r>
        <w:rPr>
          <w:rtl/>
        </w:rPr>
        <w:t>(ת קמו, הו' בפתח"ת קנח ג) כת' דל"מ דין זה מפורש בראשונים, א"כ בעד מפי עד יש להחמיר בצירוף דעת הרא"ש דפסק דל"מ עד א' ביבמה.</w:t>
      </w:r>
    </w:p>
  </w:footnote>
  <w:footnote w:id="6029">
    <w:p w14:paraId="2329B1FC" w14:textId="77777777" w:rsidR="006C4368" w:rsidRDefault="006C4368" w:rsidP="006C4368">
      <w:pPr>
        <w:pStyle w:val="Footnote"/>
        <w:bidi/>
      </w:pPr>
      <w:r>
        <w:rPr>
          <w:rStyle w:val="ac"/>
          <w:rtl/>
        </w:rPr>
        <w:footnoteRef/>
      </w:r>
      <w:r>
        <w:rPr>
          <w:rtl/>
        </w:rPr>
        <w:t>ו</w:t>
      </w:r>
      <w:r>
        <w:rPr>
          <w:b/>
          <w:bCs/>
          <w:rtl/>
        </w:rPr>
        <w:t>תוס</w:t>
      </w:r>
      <w:r>
        <w:rPr>
          <w:rtl/>
        </w:rPr>
        <w:t>' הוסיפו דבמלחמה יש רגליים לדבר, ומש"ה סומכת עליו יותר. וע' ראשונים שם, ואכמ"ל.</w:t>
      </w:r>
    </w:p>
  </w:footnote>
  <w:footnote w:id="6030">
    <w:p w14:paraId="119DE54B" w14:textId="77777777" w:rsidR="006C4368" w:rsidRDefault="006C4368" w:rsidP="006C4368">
      <w:pPr>
        <w:pStyle w:val="Footnote"/>
        <w:bidi/>
      </w:pPr>
      <w:r>
        <w:rPr>
          <w:rStyle w:val="ac"/>
          <w:rtl/>
        </w:rPr>
        <w:footnoteRef/>
      </w:r>
      <w:r>
        <w:rPr>
          <w:rtl/>
        </w:rPr>
        <w:t>ובפשוטו משמע דהנך ספיקות תליין בהדדי. אבל הרי"ף פסק דע"א נאמן במלחמה, ואילו בקטטה לא הכריע. וה</w:t>
      </w:r>
      <w:r>
        <w:rPr>
          <w:b/>
          <w:bCs/>
          <w:rtl/>
        </w:rPr>
        <w:t>ראשונים</w:t>
      </w:r>
      <w:r>
        <w:rPr>
          <w:rtl/>
        </w:rPr>
        <w:t xml:space="preserve"> (לקמן שם) הק' דמ"ש.</w:t>
      </w:r>
    </w:p>
  </w:footnote>
  <w:footnote w:id="6031">
    <w:p w14:paraId="7172326E" w14:textId="77777777" w:rsidR="006C4368" w:rsidRDefault="006C4368" w:rsidP="006C4368">
      <w:pPr>
        <w:pStyle w:val="Footnote"/>
        <w:bidi/>
      </w:pPr>
      <w:r>
        <w:rPr>
          <w:rStyle w:val="ac"/>
          <w:rtl/>
        </w:rPr>
        <w:footnoteRef/>
      </w:r>
      <w:r>
        <w:rPr>
          <w:rtl/>
        </w:rPr>
        <w:t>אך הביא דדעת ה</w:t>
      </w:r>
      <w:r>
        <w:rPr>
          <w:b/>
          <w:bCs/>
          <w:rtl/>
        </w:rPr>
        <w:t>רי"ף</w:t>
      </w:r>
      <w:r>
        <w:rPr>
          <w:rtl/>
        </w:rPr>
        <w:t xml:space="preserve"> דספק הגמ' (דלקמן קטו.) איפשיט דהוה משום נאמנות העד. [וקשה טפי].</w:t>
      </w:r>
    </w:p>
  </w:footnote>
  <w:footnote w:id="6032">
    <w:p w14:paraId="45058B0A" w14:textId="77777777" w:rsidR="006C4368" w:rsidRDefault="006C4368" w:rsidP="006C4368">
      <w:pPr>
        <w:pStyle w:val="Footnote"/>
        <w:bidi/>
      </w:pPr>
      <w:r>
        <w:rPr>
          <w:rStyle w:val="ac"/>
          <w:rtl/>
        </w:rPr>
        <w:footnoteRef/>
      </w:r>
      <w:r>
        <w:rPr>
          <w:rtl/>
        </w:rPr>
        <w:t>[ועבידא דאיגלויי לא נחשב דסמכינן על העד].</w:t>
      </w:r>
    </w:p>
  </w:footnote>
  <w:footnote w:id="6033">
    <w:p w14:paraId="00B3D9D3" w14:textId="77777777" w:rsidR="006C4368" w:rsidRDefault="006C4368" w:rsidP="006C4368">
      <w:pPr>
        <w:pStyle w:val="Footnote"/>
        <w:bidi/>
      </w:pPr>
      <w:r>
        <w:rPr>
          <w:rStyle w:val="ac"/>
          <w:rtl/>
        </w:rPr>
        <w:footnoteRef/>
      </w:r>
      <w:r>
        <w:rPr>
          <w:rtl/>
        </w:rPr>
        <w:t>ועוד הוכיח כן מכמה סוגיות, עי"ש. והביא שמצינו בתלמוד דברים שלא נפשטו בגמ', ופשיטותן יוצא לנו ממקום אחר.</w:t>
      </w:r>
    </w:p>
  </w:footnote>
  <w:footnote w:id="6034">
    <w:p w14:paraId="0EB8294E" w14:textId="77777777" w:rsidR="006C4368" w:rsidRDefault="006C4368" w:rsidP="006C4368">
      <w:pPr>
        <w:pStyle w:val="Footnote"/>
        <w:bidi/>
      </w:pPr>
      <w:r>
        <w:rPr>
          <w:rStyle w:val="ac"/>
          <w:rtl/>
        </w:rPr>
        <w:footnoteRef/>
      </w:r>
      <w:r>
        <w:rPr>
          <w:rtl/>
        </w:rPr>
        <w:t xml:space="preserve">ואפשר דאף המלחמות מודה דבעריות ל"מ אלא משום עיגונא, ע' מה שהו' לעיל [וע"ע </w:t>
      </w:r>
      <w:r>
        <w:rPr>
          <w:b/>
          <w:bCs/>
          <w:rtl/>
        </w:rPr>
        <w:t>תוס'</w:t>
      </w:r>
      <w:r>
        <w:rPr>
          <w:rtl/>
        </w:rPr>
        <w:t xml:space="preserve"> בכורות לו:]. אך לא צריך סברת דייקא.</w:t>
      </w:r>
    </w:p>
  </w:footnote>
  <w:footnote w:id="6035">
    <w:p w14:paraId="4A154AE9" w14:textId="77777777" w:rsidR="006C4368" w:rsidRDefault="006C4368" w:rsidP="006C4368">
      <w:pPr>
        <w:pStyle w:val="Footnote"/>
        <w:bidi/>
      </w:pPr>
      <w:r>
        <w:rPr>
          <w:rStyle w:val="ac"/>
          <w:rtl/>
        </w:rPr>
        <w:footnoteRef/>
      </w:r>
      <w:r>
        <w:rPr>
          <w:rtl/>
        </w:rPr>
        <w:t>עוד יל"ד אמאי תלו בדידה בעד א' להתייבם, מיד שנתקבלו דברי העד רשאי לייבמה בע"כ. א"כ מה שייך בזה דייקא. וצ"ל דצריך עכ"פ שקבלת העדות בבי"ד יהא מדעתה, ול"ש להתירה ליבום בלא בקשה שלה.</w:t>
      </w:r>
    </w:p>
  </w:footnote>
  <w:footnote w:id="6036">
    <w:p w14:paraId="2DE7AD1E" w14:textId="77777777" w:rsidR="006C4368" w:rsidRDefault="006C4368" w:rsidP="006C4368">
      <w:pPr>
        <w:pStyle w:val="Footnote"/>
        <w:bidi/>
      </w:pPr>
      <w:r>
        <w:rPr>
          <w:rStyle w:val="ac"/>
          <w:rtl/>
        </w:rPr>
        <w:footnoteRef/>
      </w:r>
      <w:r>
        <w:rPr>
          <w:rtl/>
        </w:rPr>
        <w:t>יל"ע אמאי תוס' העמידו דבריהם על עד א' להתייבם, לכאורה הו"ל להק' אמתני' (לקמן קיד:, הו' בסמוך) דהאשה אומרת מת בעלי תתייבם.</w:t>
      </w:r>
    </w:p>
  </w:footnote>
  <w:footnote w:id="6037">
    <w:p w14:paraId="2BE9193D" w14:textId="77777777" w:rsidR="006C4368" w:rsidRDefault="006C4368" w:rsidP="006C4368">
      <w:pPr>
        <w:pStyle w:val="Footnote"/>
        <w:bidi/>
      </w:pPr>
      <w:r>
        <w:rPr>
          <w:rStyle w:val="ac"/>
          <w:rtl/>
        </w:rPr>
        <w:footnoteRef/>
      </w:r>
      <w:r>
        <w:rPr>
          <w:rtl/>
        </w:rPr>
        <w:t>ולכאורה מבואר בתוס' דכו"ע מודו בזה, אך גבי אחות אשתו נח' (לקמן צד: וצה:) אי אמרי' סברא זו.</w:t>
      </w:r>
    </w:p>
  </w:footnote>
  <w:footnote w:id="6038">
    <w:p w14:paraId="2879FBA0" w14:textId="77777777" w:rsidR="006C4368" w:rsidRDefault="006C4368" w:rsidP="006C4368">
      <w:pPr>
        <w:pStyle w:val="Footnote"/>
        <w:bidi/>
      </w:pPr>
      <w:r>
        <w:rPr>
          <w:rStyle w:val="ac"/>
          <w:rtl/>
        </w:rPr>
        <w:footnoteRef/>
      </w:r>
      <w:r>
        <w:rPr>
          <w:rtl/>
        </w:rPr>
        <w:t>וכדאי' (ב"ב לא:) דנחשב דהורו לינשא, ונחשב זילותא דבי"ד לחזור בהם.</w:t>
      </w:r>
    </w:p>
  </w:footnote>
  <w:footnote w:id="6039">
    <w:p w14:paraId="6AB6E105" w14:textId="77777777" w:rsidR="006C4368" w:rsidRDefault="006C4368" w:rsidP="006C4368">
      <w:pPr>
        <w:pStyle w:val="Footnote"/>
        <w:bidi/>
      </w:pPr>
      <w:r>
        <w:rPr>
          <w:rStyle w:val="ac"/>
          <w:rtl/>
        </w:rPr>
        <w:footnoteRef/>
      </w:r>
      <w:r>
        <w:rPr>
          <w:rtl/>
        </w:rPr>
        <w:t>[והערול"נ איירי באשה שאומרת מת בעלה, אך צ"ל כן אף בעד א'. דעד מעיד שמת בעלה, והאשה יכולה לומר דאינו נראה בעינה, כדי שתקבל מזונות מנכסי הבעל. דכיון דליכא דייקא לא הותרה לינשא. וצ"ע].</w:t>
      </w:r>
    </w:p>
  </w:footnote>
  <w:footnote w:id="6040">
    <w:p w14:paraId="04E369FE" w14:textId="77777777" w:rsidR="006C4368" w:rsidRDefault="006C4368" w:rsidP="006C4368">
      <w:pPr>
        <w:pStyle w:val="Footnote"/>
        <w:bidi/>
      </w:pPr>
      <w:r>
        <w:rPr>
          <w:rStyle w:val="ac"/>
          <w:rtl/>
        </w:rPr>
        <w:footnoteRef/>
      </w:r>
      <w:r>
        <w:rPr>
          <w:rtl/>
        </w:rPr>
        <w:t>ואף דניזונת משל יבם [היכא דמתעכב מלייבם], מ"מ משעה שיחלוץ לה אין לה מזונות כלל.</w:t>
      </w:r>
    </w:p>
  </w:footnote>
  <w:footnote w:id="6041">
    <w:p w14:paraId="2365DB57" w14:textId="77777777" w:rsidR="006C4368" w:rsidRDefault="006C4368" w:rsidP="006C4368">
      <w:pPr>
        <w:pStyle w:val="Footnote"/>
        <w:bidi/>
      </w:pPr>
      <w:r>
        <w:rPr>
          <w:rStyle w:val="ac"/>
          <w:rtl/>
        </w:rPr>
        <w:footnoteRef/>
      </w:r>
      <w:r>
        <w:rPr>
          <w:rtl/>
        </w:rPr>
        <w:t>וילה"ק כשהאשה עשירה שאי"צ מזונות מהבעל מאי איכא למימר.</w:t>
      </w:r>
    </w:p>
  </w:footnote>
  <w:footnote w:id="6042">
    <w:p w14:paraId="159C5693" w14:textId="77777777" w:rsidR="006C4368" w:rsidRDefault="006C4368" w:rsidP="006C4368">
      <w:pPr>
        <w:pStyle w:val="Footnote"/>
        <w:bidi/>
      </w:pPr>
      <w:r>
        <w:rPr>
          <w:rStyle w:val="ac"/>
          <w:rtl/>
        </w:rPr>
        <w:footnoteRef/>
      </w:r>
      <w:r>
        <w:rPr>
          <w:rtl/>
        </w:rPr>
        <w:t>ו</w:t>
      </w:r>
      <w:r>
        <w:rPr>
          <w:b/>
          <w:bCs/>
          <w:rtl/>
        </w:rPr>
        <w:t>תוס'</w:t>
      </w:r>
      <w:r>
        <w:rPr>
          <w:rtl/>
        </w:rPr>
        <w:t xml:space="preserve"> (כתובות כו:) הוסיפו דאית לן לאוקמי אחזקה דאסורה ליבם, שמת בעלה תחלה כדאי' (לעיל לא.) גבי נפל הבית עליו ועל בת אחיו כו'. [ע"ע בסמוך].</w:t>
      </w:r>
    </w:p>
  </w:footnote>
  <w:footnote w:id="6043">
    <w:p w14:paraId="29B20132" w14:textId="77777777" w:rsidR="006C4368" w:rsidRDefault="006C4368" w:rsidP="006C4368">
      <w:pPr>
        <w:pStyle w:val="Footnote"/>
        <w:bidi/>
      </w:pPr>
      <w:r>
        <w:rPr>
          <w:rStyle w:val="ac"/>
          <w:rtl/>
        </w:rPr>
        <w:footnoteRef/>
      </w:r>
      <w:r>
        <w:rPr>
          <w:rtl/>
        </w:rPr>
        <w:t>דאילו תרי ותרי ספיקא דרבנן, ומדאורייתא מוקמי' אחזקה, הכא דין הוא שתצא. שהרי חזקתה לשוק, והולד ממזר גמור מאשת אח שלא במקום מצוה.</w:t>
      </w:r>
    </w:p>
  </w:footnote>
  <w:footnote w:id="6044">
    <w:p w14:paraId="2CE4B30E" w14:textId="77777777" w:rsidR="006C4368" w:rsidRDefault="006C4368" w:rsidP="006C4368">
      <w:pPr>
        <w:pStyle w:val="Footnote"/>
        <w:bidi/>
      </w:pPr>
      <w:r>
        <w:rPr>
          <w:rStyle w:val="ac"/>
          <w:rtl/>
        </w:rPr>
        <w:footnoteRef/>
      </w:r>
      <w:r>
        <w:rPr>
          <w:rtl/>
        </w:rPr>
        <w:t>וכן הביא ה</w:t>
      </w:r>
      <w:r>
        <w:rPr>
          <w:b/>
          <w:bCs/>
          <w:rtl/>
        </w:rPr>
        <w:t>ר"ן</w:t>
      </w:r>
      <w:r>
        <w:rPr>
          <w:rtl/>
        </w:rPr>
        <w:t xml:space="preserve"> (כתובות כב: ט: בדה"ר) ש"מ דלא אמרינן אוקי תרי לבהדי תרי ואוקי אתתא אחזקה להוציאה מבעלה באומר ברי לי שמותרת לי, ולעשות הולד ודאי ממזר להלקותו אם בא על בת ישראל. וכל שכן דליכא למימר אוקמא אחזקה לאפוקי ממונא. אבל מדינא אוקי מילתא אחזקה היכא שאין צריך להוציא כלום מיד המוחזק.</w:t>
      </w:r>
    </w:p>
  </w:footnote>
  <w:footnote w:id="6045">
    <w:p w14:paraId="5CB5FC65" w14:textId="77777777" w:rsidR="006C4368" w:rsidRDefault="006C4368" w:rsidP="006C4368">
      <w:pPr>
        <w:pStyle w:val="Footnote"/>
        <w:bidi/>
      </w:pPr>
      <w:r>
        <w:rPr>
          <w:rStyle w:val="ac"/>
          <w:rtl/>
        </w:rPr>
        <w:footnoteRef/>
      </w:r>
      <w:r>
        <w:rPr>
          <w:rtl/>
        </w:rPr>
        <w:t>כוונת הרמב"ן לפרש המשך דברי הגמ' 'ועוד ממזר, ספק ממזר הוא'. [ויל"ד האם הרמב"ן נקט דהוה ספק ממזר דאורייתא, או מדרבנן נחשב ממזר, ונקט לשון ספק דהא כל ספק ממזר מותר]. וע"ע בסמוך.</w:t>
      </w:r>
    </w:p>
  </w:footnote>
  <w:footnote w:id="6046">
    <w:p w14:paraId="4CA0A680" w14:textId="77777777" w:rsidR="006C4368" w:rsidRDefault="006C4368" w:rsidP="006C4368">
      <w:pPr>
        <w:pStyle w:val="Footnote"/>
        <w:bidi/>
      </w:pPr>
      <w:r>
        <w:rPr>
          <w:rStyle w:val="ac"/>
          <w:rtl/>
        </w:rPr>
        <w:footnoteRef/>
      </w:r>
      <w:r>
        <w:rPr>
          <w:rtl/>
        </w:rPr>
        <w:t>לכאורה כוונתו לדברי רב חסדא (ב"ב לא:) דתרי ותרי אין מוציאין ממון ע"פ. [ואף שיש לעדים חזקת כשרות, ל"מ חזקת העד להוציא ממון]. ובגמ' (שם) מבואר דלאותו עדות אף רב הונא מודה.</w:t>
      </w:r>
    </w:p>
  </w:footnote>
  <w:footnote w:id="6047">
    <w:p w14:paraId="4A206759" w14:textId="77777777" w:rsidR="006C4368" w:rsidRDefault="006C4368" w:rsidP="006C4368">
      <w:pPr>
        <w:pStyle w:val="Footnote"/>
        <w:bidi/>
      </w:pPr>
      <w:r>
        <w:rPr>
          <w:rStyle w:val="ac"/>
          <w:rtl/>
        </w:rPr>
        <w:footnoteRef/>
      </w:r>
      <w:r>
        <w:rPr>
          <w:rtl/>
        </w:rPr>
        <w:t>[ואף שיש לה חזקת היתר]. ומדרבנן החמירו בתרי ותרי שלא לסמוך אחזקה [מלבד היכא דכבר נשאת], שהרי ל"מ חזקה זו להוציא אשה מבעלה ולהוציא ממון.</w:t>
      </w:r>
    </w:p>
    <w:p w14:paraId="58299BEB" w14:textId="77777777" w:rsidR="006C4368" w:rsidRDefault="006C4368" w:rsidP="006C4368">
      <w:pPr>
        <w:pStyle w:val="Footnote"/>
        <w:bidi/>
      </w:pPr>
      <w:r>
        <w:rPr>
          <w:rtl/>
        </w:rPr>
        <w:tab/>
        <w:t>וקצת משמע דהרמב"ן דימה את הדברים, וצ"ב מה ראיה חזקת ממון דאורייתא לחומרא מדרבנן. [ואפשר דבא ליישב מעשה דינאי המלך, ולא תלי בהא]. ואפשר דרבנן תקנו גדר יוחסין כמו הוצאת ממון [וע"ע שיטמ"ק כתובות יד:].</w:t>
      </w:r>
    </w:p>
  </w:footnote>
  <w:footnote w:id="6048">
    <w:p w14:paraId="4F4F775D" w14:textId="77777777" w:rsidR="006C4368" w:rsidRDefault="006C4368" w:rsidP="006C4368">
      <w:pPr>
        <w:pStyle w:val="Footnote"/>
        <w:bidi/>
      </w:pPr>
      <w:r>
        <w:rPr>
          <w:rStyle w:val="ac"/>
          <w:rtl/>
        </w:rPr>
        <w:footnoteRef/>
      </w:r>
      <w:r>
        <w:rPr>
          <w:rtl/>
        </w:rPr>
        <w:t xml:space="preserve">ועד"ז כת' </w:t>
      </w:r>
      <w:r>
        <w:rPr>
          <w:b/>
          <w:bCs/>
          <w:rtl/>
        </w:rPr>
        <w:t>רבינו</w:t>
      </w:r>
      <w:r>
        <w:rPr>
          <w:rtl/>
        </w:rPr>
        <w:t xml:space="preserve"> </w:t>
      </w:r>
      <w:r>
        <w:rPr>
          <w:b/>
          <w:bCs/>
          <w:rtl/>
        </w:rPr>
        <w:t>ירוחם</w:t>
      </w:r>
      <w:r>
        <w:rPr>
          <w:rtl/>
        </w:rPr>
        <w:t xml:space="preserve"> (ת' אדם וחוה נתיב כה ג רכ. בדה"ס) בשם ה</w:t>
      </w:r>
      <w:r>
        <w:rPr>
          <w:b/>
          <w:bCs/>
          <w:rtl/>
        </w:rPr>
        <w:t>רמ"ה</w:t>
      </w:r>
      <w:r>
        <w:rPr>
          <w:rtl/>
        </w:rPr>
        <w:t xml:space="preserve"> דדוקא באשת איש (לעיל פח:) אמרי' דנשאת ואח"כ באו עדים תצא, דהתם איתחזק איסורא דאשת איש. אבל הכא לא איתחזק איסורא דאשת אח, כיון דודאי מת ויש דרך במיתה דפקע ביה איסור אשת אח [אילו מת הבן תחלה], מש"ה פקע חזקה דאיסור אשת אח. והוה תרי ותרי וספק.</w:t>
      </w:r>
    </w:p>
    <w:p w14:paraId="36A30154" w14:textId="77777777" w:rsidR="006C4368" w:rsidRDefault="006C4368" w:rsidP="006C4368">
      <w:pPr>
        <w:pStyle w:val="Footnote"/>
        <w:bidi/>
      </w:pPr>
      <w:r>
        <w:rPr>
          <w:rtl/>
        </w:rPr>
        <w:tab/>
        <w:t>והוסיף דדוקא כשמודים העדים האחרונים שמת בעלה ובנה, אלא שאומרין שהבן מת תחילה. אבל אמרו מת בעליך ובנך קיים, א"כ מעיקרא קיימא חזקה דבן, ואכתי לא פקעה חזקה דידיה. ואפי' שנשאת תצא.</w:t>
      </w:r>
    </w:p>
  </w:footnote>
  <w:footnote w:id="6049">
    <w:p w14:paraId="2676C57D" w14:textId="77777777" w:rsidR="006C4368" w:rsidRDefault="006C4368" w:rsidP="006C4368">
      <w:pPr>
        <w:pStyle w:val="Footnote"/>
        <w:bidi/>
      </w:pPr>
      <w:r>
        <w:rPr>
          <w:rStyle w:val="ac"/>
          <w:rtl/>
        </w:rPr>
        <w:footnoteRef/>
      </w:r>
      <w:r>
        <w:rPr>
          <w:rtl/>
        </w:rPr>
        <w:t>וצ"ב אמאי לא תצא, הא עכ"פ הוה ספק דאורייתא. ולכאורה משמע דכיון דנשאת, עי"ז הוה כעין מוחזק. וכמ"ש מדברי הרשב"א ורמב"ן. אלא דדעת ההשלמה דבמת בעלה לחוד מוקמי' אחזקת אשת איש [אף לאוסרה אבעלה]. ודוקא היכא דמתו תרוייהו ל"מ החזקה.</w:t>
      </w:r>
    </w:p>
  </w:footnote>
  <w:footnote w:id="6050">
    <w:p w14:paraId="35831B50" w14:textId="77777777" w:rsidR="006C4368" w:rsidRDefault="006C4368" w:rsidP="006C4368">
      <w:pPr>
        <w:pStyle w:val="Footnote"/>
        <w:bidi/>
      </w:pPr>
      <w:r>
        <w:rPr>
          <w:rStyle w:val="ac"/>
          <w:rtl/>
        </w:rPr>
        <w:footnoteRef/>
      </w:r>
      <w:r>
        <w:rPr>
          <w:rtl/>
        </w:rPr>
        <w:t>דבגמ' (לעיל לא.) מבואר דבנפל הבית עליו ועל הצרה שהיא בת אחותו, דהגמ' מק' דמוקמי' אחזקה. והגמ' מדמה לגט ספק קרוב לה. [אך יש לדחות דבנפל הבית לא איירי בתרי ותרי, ולא דימהו לגמרי].</w:t>
      </w:r>
    </w:p>
  </w:footnote>
  <w:footnote w:id="6051">
    <w:p w14:paraId="01BB89CF" w14:textId="77777777" w:rsidR="006C4368" w:rsidRDefault="006C4368" w:rsidP="006C4368">
      <w:pPr>
        <w:pStyle w:val="Footnote"/>
        <w:bidi/>
      </w:pPr>
      <w:r>
        <w:rPr>
          <w:rStyle w:val="ac"/>
          <w:rtl/>
        </w:rPr>
        <w:footnoteRef/>
      </w:r>
      <w:r>
        <w:rPr>
          <w:rtl/>
        </w:rPr>
        <w:t xml:space="preserve">וכן </w:t>
      </w:r>
      <w:r>
        <w:rPr>
          <w:b/>
          <w:bCs/>
          <w:rtl/>
        </w:rPr>
        <w:t>תוס'</w:t>
      </w:r>
      <w:r>
        <w:rPr>
          <w:rtl/>
        </w:rPr>
        <w:t xml:space="preserve"> (כתובות כו: הנ"ל) הביאו בקו' מהגמ' (לעיל לא.). ועד"ז הק' ה</w:t>
      </w:r>
      <w:r>
        <w:rPr>
          <w:b/>
          <w:bCs/>
          <w:rtl/>
        </w:rPr>
        <w:t>מלחמות</w:t>
      </w:r>
      <w:r>
        <w:rPr>
          <w:rtl/>
        </w:rPr>
        <w:t xml:space="preserve"> (בסוגיין) לבעה"מ.</w:t>
      </w:r>
    </w:p>
    <w:p w14:paraId="12A27117" w14:textId="77777777" w:rsidR="006C4368" w:rsidRDefault="006C4368" w:rsidP="006C4368">
      <w:pPr>
        <w:pStyle w:val="Footnote"/>
        <w:bidi/>
      </w:pPr>
      <w:r>
        <w:rPr>
          <w:rtl/>
        </w:rPr>
        <w:tab/>
        <w:t>אך ה</w:t>
      </w:r>
      <w:r>
        <w:rPr>
          <w:b/>
          <w:bCs/>
          <w:rtl/>
        </w:rPr>
        <w:t>בית הלוי</w:t>
      </w:r>
      <w:r>
        <w:rPr>
          <w:rtl/>
        </w:rPr>
        <w:t xml:space="preserve"> (ג יג בסו"ד, הו' במשנה) כת' דע"פ דברי ה</w:t>
      </w:r>
      <w:r>
        <w:rPr>
          <w:b/>
          <w:bCs/>
          <w:rtl/>
        </w:rPr>
        <w:t>ש"ך</w:t>
      </w:r>
      <w:r>
        <w:rPr>
          <w:rtl/>
        </w:rPr>
        <w:t xml:space="preserve"> (יו"ד נ ג) למסקנא (אביי ורבא לעיל ל: לא.) לא דנים בזה חזקה לכשימות בעלה. וי"ל דכ"ד אביו של ההשלמה. [והביא דהמלחמות לא ס"ל כש"ך. וכ"מ מדברי תוס' בכתובות. ולכאורה כ"מ אף בתוס' דידן].</w:t>
      </w:r>
    </w:p>
  </w:footnote>
  <w:footnote w:id="6052">
    <w:p w14:paraId="7CD93D3F" w14:textId="77777777" w:rsidR="006C4368" w:rsidRDefault="006C4368" w:rsidP="006C4368">
      <w:pPr>
        <w:pStyle w:val="Footnote"/>
        <w:bidi/>
      </w:pPr>
      <w:r>
        <w:rPr>
          <w:rStyle w:val="ac"/>
          <w:rtl/>
        </w:rPr>
        <w:footnoteRef/>
      </w:r>
      <w:r>
        <w:rPr>
          <w:rtl/>
        </w:rPr>
        <w:t>והגמ' (לעיל פח:) דנשאת לעדיה קאי לת"ק דברייתא בבאו עדים ואח"כ נשאת [באיסור], אבל נשאת ואח"כ באו עדים ל"מ.</w:t>
      </w:r>
    </w:p>
  </w:footnote>
  <w:footnote w:id="6053">
    <w:p w14:paraId="350F8C14" w14:textId="77777777" w:rsidR="006C4368" w:rsidRDefault="006C4368" w:rsidP="006C4368">
      <w:pPr>
        <w:pStyle w:val="Footnote"/>
        <w:bidi/>
      </w:pPr>
      <w:r>
        <w:rPr>
          <w:rStyle w:val="ac"/>
          <w:rtl/>
        </w:rPr>
        <w:footnoteRef/>
      </w:r>
      <w:r>
        <w:rPr>
          <w:rtl/>
        </w:rPr>
        <w:t>וה</w:t>
      </w:r>
      <w:r>
        <w:rPr>
          <w:b/>
          <w:bCs/>
          <w:rtl/>
        </w:rPr>
        <w:t>שעה"מ</w:t>
      </w:r>
      <w:r>
        <w:rPr>
          <w:rtl/>
        </w:rPr>
        <w:t xml:space="preserve"> הביא ד</w:t>
      </w:r>
      <w:r>
        <w:rPr>
          <w:b/>
          <w:bCs/>
          <w:rtl/>
        </w:rPr>
        <w:t>מהר"י בירב</w:t>
      </w:r>
      <w:r>
        <w:rPr>
          <w:rtl/>
        </w:rPr>
        <w:t xml:space="preserve"> ביאר דאף הרשב"א איירי בטענת ברי. וחלק דכל דברי הרשב"א באו להתיר אף בלא טענת ברי. ובזה הביא מדברי ר' מנחם בר"י, דהיכא דטוענים ברי הו"ל להביא גמ' דלעיל דנשאת לא' מעדיה. [ולדעת הרשב"א (הו' לעיל שם) מהני נשאת לא' מעדיה אף במקום חזקת איסור].</w:t>
      </w:r>
    </w:p>
  </w:footnote>
  <w:footnote w:id="6054">
    <w:p w14:paraId="307DAE36" w14:textId="77777777" w:rsidR="006C4368" w:rsidRDefault="006C4368" w:rsidP="006C4368">
      <w:pPr>
        <w:pStyle w:val="Footnote"/>
        <w:bidi/>
      </w:pPr>
      <w:r>
        <w:rPr>
          <w:rStyle w:val="ac"/>
          <w:rtl/>
        </w:rPr>
        <w:footnoteRef/>
      </w:r>
      <w:r>
        <w:rPr>
          <w:rtl/>
        </w:rPr>
        <w:t>אך ה</w:t>
      </w:r>
      <w:r>
        <w:rPr>
          <w:b/>
          <w:bCs/>
          <w:rtl/>
        </w:rPr>
        <w:t>ר"ן</w:t>
      </w:r>
      <w:r>
        <w:rPr>
          <w:rtl/>
        </w:rPr>
        <w:t xml:space="preserve"> (כתובות ט: בדה"ר, הו' בהערה לעיל) הביא דברי הרמב"ן דאין מוציאין היכא דטוענים ברי. [ודלא כרשב"א]. {ולכאורה צ"ל דהר"ן הוצרך לסברא דאין מוציאין אשה משום קו' המהרש"א (פח:) דכיון דכבר נשאת ע"פ עדים ליכא 'דייקא', ועומדת בחזקת אשת איש. ול"מ טענת ברי במקום חזקה}.</w:t>
      </w:r>
    </w:p>
  </w:footnote>
  <w:footnote w:id="6055">
    <w:p w14:paraId="60912A60" w14:textId="77777777" w:rsidR="006C4368" w:rsidRDefault="006C4368" w:rsidP="006C4368">
      <w:pPr>
        <w:pStyle w:val="Footnote"/>
        <w:bidi/>
      </w:pPr>
      <w:r>
        <w:rPr>
          <w:rStyle w:val="ac"/>
          <w:rtl/>
        </w:rPr>
        <w:footnoteRef/>
      </w:r>
      <w:r>
        <w:rPr>
          <w:rtl/>
        </w:rPr>
        <w:t>אלא דלכאורה הוה סברא אחרת, דמדברי הרשב"א משמע דאף דיש חזקת איסור, ל"מ חזקה זו לאסור אשה מתחת בעלה. ואילו לריב"ב הטעם משום דבאו עדים המתירים יצאת מחזקתה. [ולכאורה אף בבאו עדים המתירים ואח"כ האוסרין ואח"כ נשאת. מ"מ השתא ליכא חזקת איסור]. [וה</w:t>
      </w:r>
      <w:r>
        <w:rPr>
          <w:b/>
          <w:bCs/>
          <w:rtl/>
        </w:rPr>
        <w:t>רדב"ז</w:t>
      </w:r>
      <w:r>
        <w:rPr>
          <w:rtl/>
        </w:rPr>
        <w:t xml:space="preserve"> (ד נז [אלף קכט] בסופו) הביא דברי הרשב"א דנשאת בהיתר ואח"כ באו עדים מכחישים לא תצא, אף בלא טענת ברי. ותו איכא טעם היתר מסברת ר"י ב"ר ברוך, וכת' דאף דתוס' חלקו עליו, כדאי הוא לסמוך עליו בשעת הדחק, שכבר נשאת. ומבואר דהוה ב' סברות].</w:t>
      </w:r>
    </w:p>
  </w:footnote>
  <w:footnote w:id="6056">
    <w:p w14:paraId="3C13A022" w14:textId="77777777" w:rsidR="006C4368" w:rsidRDefault="006C4368" w:rsidP="006C4368">
      <w:pPr>
        <w:pStyle w:val="Footnote"/>
        <w:bidi/>
      </w:pPr>
      <w:r>
        <w:rPr>
          <w:rStyle w:val="ac"/>
          <w:rtl/>
        </w:rPr>
        <w:footnoteRef/>
      </w:r>
      <w:r>
        <w:rPr>
          <w:rtl/>
        </w:rPr>
        <w:t>וכדעת ה</w:t>
      </w:r>
      <w:r>
        <w:rPr>
          <w:b/>
          <w:bCs/>
          <w:rtl/>
        </w:rPr>
        <w:t>רשב"א</w:t>
      </w:r>
      <w:r>
        <w:rPr>
          <w:rtl/>
        </w:rPr>
        <w:t xml:space="preserve"> (ע' מש"כ שם).</w:t>
      </w:r>
    </w:p>
  </w:footnote>
  <w:footnote w:id="6057">
    <w:p w14:paraId="57F30A79" w14:textId="77777777" w:rsidR="006C4368" w:rsidRDefault="006C4368" w:rsidP="006C4368">
      <w:pPr>
        <w:pStyle w:val="Footnote"/>
        <w:bidi/>
      </w:pPr>
      <w:r>
        <w:rPr>
          <w:rStyle w:val="ac"/>
          <w:rtl/>
        </w:rPr>
        <w:footnoteRef/>
      </w:r>
      <w:r>
        <w:rPr>
          <w:rtl/>
        </w:rPr>
        <w:t>[ע"פ מש"כ האחרונים דבתרי ותרי הוה דייקא במה שנשארה תחת השני אחרי שבאו עדי הכחשה. אבל ה</w:t>
      </w:r>
      <w:r>
        <w:rPr>
          <w:b/>
          <w:bCs/>
          <w:rtl/>
        </w:rPr>
        <w:t>מהרש"א</w:t>
      </w:r>
      <w:r>
        <w:rPr>
          <w:rtl/>
        </w:rPr>
        <w:t xml:space="preserve"> (הנ"ל) לא נחית להכי, א"כ צ"ב אמאי פשיט"ל למהרש"א דיבמה ליבם לא הוה דייקא, הא לב' התי' ד</w:t>
      </w:r>
      <w:r>
        <w:rPr>
          <w:b/>
          <w:bCs/>
          <w:rtl/>
        </w:rPr>
        <w:t>תוס</w:t>
      </w:r>
      <w:r>
        <w:rPr>
          <w:rtl/>
        </w:rPr>
        <w:t>' (סוד"ה עד) אמרי' בזה דדייקא, שמא יחלוץ לה].</w:t>
      </w:r>
    </w:p>
  </w:footnote>
  <w:footnote w:id="6058">
    <w:p w14:paraId="21E5A0CC" w14:textId="77777777" w:rsidR="006C4368" w:rsidRDefault="006C4368" w:rsidP="006C4368">
      <w:pPr>
        <w:pStyle w:val="Footnote"/>
        <w:bidi/>
      </w:pPr>
      <w:r>
        <w:rPr>
          <w:rStyle w:val="ac"/>
          <w:rtl/>
        </w:rPr>
        <w:footnoteRef/>
      </w:r>
      <w:r>
        <w:rPr>
          <w:rtl/>
        </w:rPr>
        <w:t>אף די"ל דתוס' כאן קאי אליבא דתי' הב' (שם), אך קשה לתי' הא' האיך יפרשו קושיית הגמ' כאן.</w:t>
      </w:r>
    </w:p>
  </w:footnote>
  <w:footnote w:id="6059">
    <w:p w14:paraId="0156679D" w14:textId="77777777" w:rsidR="006C4368" w:rsidRDefault="006C4368" w:rsidP="006C4368">
      <w:pPr>
        <w:pStyle w:val="Footnote"/>
        <w:bidi/>
      </w:pPr>
      <w:r>
        <w:rPr>
          <w:rStyle w:val="ac"/>
          <w:rtl/>
        </w:rPr>
        <w:footnoteRef/>
      </w:r>
      <w:r>
        <w:rPr>
          <w:rtl/>
        </w:rPr>
        <w:t>וי"ל דזה כוונת המהרש"א [אך לא הו"ל לסתום דבריו].</w:t>
      </w:r>
    </w:p>
  </w:footnote>
  <w:footnote w:id="6060">
    <w:p w14:paraId="6AD199AC" w14:textId="77777777" w:rsidR="006C4368" w:rsidRDefault="006C4368" w:rsidP="006C4368">
      <w:pPr>
        <w:pStyle w:val="Footnote"/>
        <w:bidi/>
      </w:pPr>
      <w:r>
        <w:rPr>
          <w:rStyle w:val="ac"/>
          <w:rtl/>
        </w:rPr>
        <w:footnoteRef/>
      </w:r>
      <w:r>
        <w:rPr>
          <w:rtl/>
        </w:rPr>
        <w:t xml:space="preserve">וכמ"ש </w:t>
      </w:r>
      <w:r>
        <w:rPr>
          <w:b/>
          <w:bCs/>
          <w:rtl/>
        </w:rPr>
        <w:t>תוס</w:t>
      </w:r>
      <w:r>
        <w:rPr>
          <w:rtl/>
        </w:rPr>
        <w:t>' (ד"ה עד) בתחילת דבריהם.</w:t>
      </w:r>
    </w:p>
  </w:footnote>
  <w:footnote w:id="6061">
    <w:p w14:paraId="060138B3" w14:textId="77777777" w:rsidR="006C4368" w:rsidRDefault="006C4368" w:rsidP="006C4368">
      <w:pPr>
        <w:pStyle w:val="Footnote"/>
        <w:bidi/>
      </w:pPr>
      <w:r>
        <w:rPr>
          <w:rStyle w:val="ac"/>
          <w:rtl/>
        </w:rPr>
        <w:footnoteRef/>
      </w:r>
      <w:r>
        <w:rPr>
          <w:rtl/>
        </w:rPr>
        <w:t>ותוס' הוסיפו דמש"ה הוה ספק ממזר, דמהני דיוקא דידה [ע"ע בסמוך].</w:t>
      </w:r>
    </w:p>
  </w:footnote>
  <w:footnote w:id="6062">
    <w:p w14:paraId="77E8E88A" w14:textId="77777777" w:rsidR="006C4368" w:rsidRDefault="006C4368" w:rsidP="006C4368">
      <w:pPr>
        <w:pStyle w:val="Footnote"/>
        <w:bidi/>
      </w:pPr>
      <w:r>
        <w:rPr>
          <w:rStyle w:val="ac"/>
          <w:rtl/>
        </w:rPr>
        <w:footnoteRef/>
      </w:r>
      <w:r>
        <w:rPr>
          <w:rtl/>
        </w:rPr>
        <w:t>ולא מוקמינן אחזקה אלא בתרומה דרבנן.</w:t>
      </w:r>
    </w:p>
  </w:footnote>
  <w:footnote w:id="6063">
    <w:p w14:paraId="3D2DFB35" w14:textId="77777777" w:rsidR="006C4368" w:rsidRDefault="006C4368" w:rsidP="006C4368">
      <w:pPr>
        <w:pStyle w:val="Footnote"/>
        <w:bidi/>
      </w:pPr>
      <w:r>
        <w:rPr>
          <w:rStyle w:val="ac"/>
          <w:rtl/>
        </w:rPr>
        <w:footnoteRef/>
      </w:r>
      <w:r>
        <w:rPr>
          <w:rtl/>
        </w:rPr>
        <w:t>[וצ"ע דקי"ל (קידושין עג.) דספק ממזר מותר מהתורה, אלא הוה חומרא דרבנן. ומ"ש מתרומה דרבנן דלא החמירו בתרי ותרי].</w:t>
      </w:r>
    </w:p>
  </w:footnote>
  <w:footnote w:id="6064">
    <w:p w14:paraId="280AEA82" w14:textId="77777777" w:rsidR="006C4368" w:rsidRDefault="006C4368" w:rsidP="006C4368">
      <w:pPr>
        <w:pStyle w:val="Footnote"/>
        <w:bidi/>
      </w:pPr>
      <w:r>
        <w:rPr>
          <w:rStyle w:val="ac"/>
          <w:rtl/>
        </w:rPr>
        <w:footnoteRef/>
      </w:r>
      <w:r>
        <w:rPr>
          <w:rtl/>
        </w:rPr>
        <w:t>ואף דמדאורייתא הוה ממזר גמור, מדרבנן דינו כספק ממזר.</w:t>
      </w:r>
    </w:p>
  </w:footnote>
  <w:footnote w:id="6065">
    <w:p w14:paraId="45D3574A" w14:textId="77777777" w:rsidR="006C4368" w:rsidRDefault="006C4368" w:rsidP="006C4368">
      <w:pPr>
        <w:pStyle w:val="Footnote"/>
        <w:bidi/>
      </w:pPr>
      <w:r>
        <w:rPr>
          <w:rStyle w:val="ac"/>
          <w:rtl/>
        </w:rPr>
        <w:footnoteRef/>
      </w:r>
      <w:r>
        <w:rPr>
          <w:rtl/>
        </w:rPr>
        <w:t>אבל הוה ספק ממזר [ולכאורה נח' הרשב"א והר"ן (הו' לעיל) אי איירי בטענת ברי].</w:t>
      </w:r>
    </w:p>
  </w:footnote>
  <w:footnote w:id="6066">
    <w:p w14:paraId="57C89875" w14:textId="77777777" w:rsidR="006C4368" w:rsidRDefault="006C4368" w:rsidP="006C4368">
      <w:pPr>
        <w:pStyle w:val="Footnote"/>
        <w:bidi/>
      </w:pPr>
      <w:r>
        <w:rPr>
          <w:rStyle w:val="ac"/>
          <w:rtl/>
        </w:rPr>
        <w:footnoteRef/>
      </w:r>
      <w:r>
        <w:rPr>
          <w:rtl/>
        </w:rPr>
        <w:t>ולא נתפרש בדברי הרמב"ן אמאי לא הוה ממזר ודאי [דלכאורה הנידון האם הבן הוה ממזר הוא נידון איסור בפנ"ע, ונוקמא אחזקתו]. ומשמע ברמב"ן דאי משוינן ליה ממזר גמור, א"כ נחשב שאנחנו מוציאים אשה מתחת בעלה. דלא יתכן אישות דהולד ממזר גמור [וצ"ל דהוה סברא מדאורייתא, וצ"ע]. ועיל"פ כוונתו דהוה מעין תולדה מהאיסור של האם, וכיון דהיא מותרת משום שעומדת בחזקת היתר לבעלה, ממילא הבן לא הוה ממזר ודאי.</w:t>
      </w:r>
    </w:p>
  </w:footnote>
  <w:footnote w:id="6067">
    <w:p w14:paraId="458DB3E5" w14:textId="77777777" w:rsidR="006C4368" w:rsidRDefault="006C4368" w:rsidP="006C4368">
      <w:pPr>
        <w:pStyle w:val="Footnote"/>
        <w:bidi/>
      </w:pPr>
      <w:r>
        <w:rPr>
          <w:rStyle w:val="ac"/>
          <w:rtl/>
        </w:rPr>
        <w:footnoteRef/>
      </w:r>
      <w:r>
        <w:rPr>
          <w:rtl/>
        </w:rPr>
        <w:t>אך לדברי שאר ראשונים (בקו' הגמ' לעיל) ניחא, דלא איירי בטענת ברי.</w:t>
      </w:r>
    </w:p>
  </w:footnote>
  <w:footnote w:id="6068">
    <w:p w14:paraId="683B278A" w14:textId="77777777" w:rsidR="006C4368" w:rsidRDefault="006C4368" w:rsidP="006C4368">
      <w:pPr>
        <w:pStyle w:val="Footnote"/>
        <w:bidi/>
      </w:pPr>
      <w:r>
        <w:rPr>
          <w:rStyle w:val="ac"/>
          <w:rtl/>
        </w:rPr>
        <w:footnoteRef/>
      </w:r>
      <w:r>
        <w:rPr>
          <w:rtl/>
        </w:rPr>
        <w:t>וכן מפורש ב</w:t>
      </w:r>
      <w:r>
        <w:rPr>
          <w:b/>
          <w:bCs/>
          <w:rtl/>
        </w:rPr>
        <w:t>ר"ן</w:t>
      </w:r>
      <w:r>
        <w:rPr>
          <w:rtl/>
        </w:rPr>
        <w:t xml:space="preserve"> (כתובות הנ"ל) שהביא מסוגיין דבאומר ברי לי שמותרת לי לא מעמידים אחזקה להוציא אשה מתחת בעלה, ולעשות הולד ודאי ממזר להלקותו אם בא על בת ישראל. ומבואר דאף בברי לי הוה ספק ממזר.</w:t>
      </w:r>
    </w:p>
  </w:footnote>
  <w:footnote w:id="6069">
    <w:p w14:paraId="4068C0AF" w14:textId="77777777" w:rsidR="006C4368" w:rsidRDefault="006C4368" w:rsidP="006C4368">
      <w:pPr>
        <w:pStyle w:val="Footnote"/>
        <w:bidi/>
      </w:pPr>
      <w:r>
        <w:rPr>
          <w:rStyle w:val="ac"/>
          <w:rtl/>
        </w:rPr>
        <w:footnoteRef/>
      </w:r>
      <w:r>
        <w:rPr>
          <w:rtl/>
        </w:rPr>
        <w:t>בתרי ותרי על גירושין.</w:t>
      </w:r>
    </w:p>
  </w:footnote>
  <w:footnote w:id="6070">
    <w:p w14:paraId="0DB4D477" w14:textId="77777777" w:rsidR="006C4368" w:rsidRDefault="006C4368" w:rsidP="006C4368">
      <w:pPr>
        <w:pStyle w:val="Footnote"/>
        <w:bidi/>
      </w:pPr>
      <w:r>
        <w:rPr>
          <w:rStyle w:val="ac"/>
          <w:rtl/>
        </w:rPr>
        <w:footnoteRef/>
      </w:r>
      <w:r>
        <w:rPr>
          <w:rtl/>
        </w:rPr>
        <w:t>וה</w:t>
      </w:r>
      <w:r>
        <w:rPr>
          <w:b/>
          <w:bCs/>
          <w:rtl/>
        </w:rPr>
        <w:t>בית שמואל</w:t>
      </w:r>
      <w:r>
        <w:rPr>
          <w:rtl/>
        </w:rPr>
        <w:t xml:space="preserve"> (שם ה) כת' דתוס' פליגי, דכיון דלא דייקא ומינסבא יש להעמיד בחזקת אשת איש והוה ודאי ממזר. [ואילו לדעת הרמב"ם בתרי ותרי לא מוקמי' אחזקה לענין דהוה הולד ממזר ודאי]. ושוב כת' דאפשר דבשעה שנשאת אמרי' דודאי דייקא, אף שאח"כ אומרת איני יודע. [ולאו כל כמיניה לבסוף לאסור את הולדות].</w:t>
      </w:r>
    </w:p>
  </w:footnote>
  <w:footnote w:id="6071">
    <w:p w14:paraId="6D47995E" w14:textId="77777777" w:rsidR="006C4368" w:rsidRDefault="006C4368" w:rsidP="006C4368">
      <w:pPr>
        <w:pStyle w:val="Footnote"/>
        <w:bidi/>
      </w:pPr>
      <w:r>
        <w:rPr>
          <w:rStyle w:val="ac"/>
          <w:rtl/>
        </w:rPr>
        <w:footnoteRef/>
      </w:r>
      <w:r>
        <w:rPr>
          <w:rtl/>
        </w:rPr>
        <w:t>וה</w:t>
      </w:r>
      <w:r>
        <w:rPr>
          <w:b/>
          <w:bCs/>
          <w:rtl/>
        </w:rPr>
        <w:t>רמב"ם</w:t>
      </w:r>
      <w:r>
        <w:rPr>
          <w:rtl/>
        </w:rPr>
        <w:t xml:space="preserve"> כת' לא תצא, שהרי היא ובעלה יודעין בודאי שהיא מותרת וחזקה היא שאין מקלקלין עצמן. והבי"מ כת' דהרמב"ם הוסיף חזקה זו [על שניהם, הבעל והאשה. ולא סגי לן בהא דטוענים ברי], דעי"ז אף לדידן מהני להכשיר הולדות.</w:t>
      </w:r>
    </w:p>
  </w:footnote>
  <w:footnote w:id="6072">
    <w:p w14:paraId="6ED39791" w14:textId="77777777" w:rsidR="006C4368" w:rsidRDefault="006C4368" w:rsidP="006C4368">
      <w:pPr>
        <w:pStyle w:val="Footnote"/>
        <w:bidi/>
      </w:pPr>
      <w:r>
        <w:rPr>
          <w:rStyle w:val="ac"/>
          <w:rtl/>
        </w:rPr>
        <w:footnoteRef/>
      </w:r>
      <w:r>
        <w:rPr>
          <w:rtl/>
        </w:rPr>
        <w:t>ולא אמרי' דהאשה נאמנת על בניה. ולא דמי להא דנאמנת (כתובות יד.) לומר דנבעלה לכשר, ואף במקום דרוב פסולים נאמנת להכשיר את הבן. [וביאר דהתם הדבר תלוי בה, ומש"ה כלפיה לא הוה נגד הרוב. עי"ש].</w:t>
      </w:r>
    </w:p>
  </w:footnote>
  <w:footnote w:id="6073">
    <w:p w14:paraId="466A8F96" w14:textId="77777777" w:rsidR="006C4368" w:rsidRDefault="006C4368" w:rsidP="006C4368">
      <w:pPr>
        <w:pStyle w:val="Footnote"/>
        <w:bidi/>
      </w:pPr>
      <w:r>
        <w:rPr>
          <w:rStyle w:val="ac"/>
          <w:rtl/>
        </w:rPr>
        <w:footnoteRef/>
      </w:r>
      <w:r>
        <w:rPr>
          <w:rtl/>
        </w:rPr>
        <w:t>וה</w:t>
      </w:r>
      <w:r>
        <w:rPr>
          <w:b/>
          <w:bCs/>
          <w:rtl/>
        </w:rPr>
        <w:t>בי"מ</w:t>
      </w:r>
      <w:r>
        <w:rPr>
          <w:rtl/>
        </w:rPr>
        <w:t xml:space="preserve"> הק' מאין יבא כשרותם. ונהי דהוא והיא יודעים ברי, ואינם חייבים אשם. אבל הבנים אינם יודעים, והוה ספק ממזר דתרי ותרי. [ולכאורה משמע דהוה תולדה מההיתר, דכיון דפסקו דלא תצא ממילא הולד כשר. אך צ"ע דבי"ד לא פסקו היתר, אלא אמרו דכיון דהם יודעים ברי אין מפרישים אותם].</w:t>
      </w:r>
    </w:p>
  </w:footnote>
  <w:footnote w:id="6074">
    <w:p w14:paraId="0113355A" w14:textId="77777777" w:rsidR="006C4368" w:rsidRDefault="006C4368" w:rsidP="006C4368">
      <w:pPr>
        <w:pStyle w:val="Footnote"/>
        <w:bidi/>
      </w:pPr>
      <w:r>
        <w:rPr>
          <w:rStyle w:val="ac"/>
          <w:rtl/>
        </w:rPr>
        <w:footnoteRef/>
      </w:r>
      <w:r>
        <w:rPr>
          <w:rtl/>
        </w:rPr>
        <w:t>וצ"ע דבגמ' מבואר דהטעם דלא דייקא משום דמיסנא סניא ליה.</w:t>
      </w:r>
    </w:p>
  </w:footnote>
  <w:footnote w:id="6075">
    <w:p w14:paraId="58F27896" w14:textId="77777777" w:rsidR="006C4368" w:rsidRDefault="006C4368" w:rsidP="006C4368">
      <w:pPr>
        <w:pStyle w:val="Footnote"/>
        <w:bidi/>
      </w:pPr>
      <w:r>
        <w:rPr>
          <w:rStyle w:val="ac"/>
          <w:rtl/>
        </w:rPr>
        <w:footnoteRef/>
      </w:r>
      <w:r>
        <w:rPr>
          <w:rtl/>
        </w:rPr>
        <w:t>ו</w:t>
      </w:r>
      <w:r>
        <w:rPr>
          <w:b/>
          <w:bCs/>
          <w:rtl/>
        </w:rPr>
        <w:t>רע"א</w:t>
      </w:r>
      <w:r>
        <w:rPr>
          <w:rtl/>
        </w:rPr>
        <w:t xml:space="preserve"> הביא מהגמ' דעד א' ביבמה, ולכאורה משמע דכוונתו לל"ק. אבל מתו"ד מבואר דקאי לל"ב, דלהתיר ליבם ודאי הוה דבר שבערוה.</w:t>
      </w:r>
    </w:p>
  </w:footnote>
  <w:footnote w:id="6076">
    <w:p w14:paraId="690909DA" w14:textId="77777777" w:rsidR="006C4368" w:rsidRDefault="006C4368" w:rsidP="006C4368">
      <w:pPr>
        <w:pStyle w:val="Footnote"/>
        <w:bidi/>
      </w:pPr>
      <w:r>
        <w:rPr>
          <w:rStyle w:val="ac"/>
          <w:rtl/>
        </w:rPr>
        <w:footnoteRef/>
      </w:r>
      <w:r>
        <w:rPr>
          <w:rtl/>
        </w:rPr>
        <w:t>ו</w:t>
      </w:r>
      <w:r>
        <w:rPr>
          <w:b/>
          <w:bCs/>
          <w:rtl/>
        </w:rPr>
        <w:t>רע"א</w:t>
      </w:r>
      <w:r>
        <w:rPr>
          <w:rtl/>
        </w:rPr>
        <w:t xml:space="preserve"> כת' עוד דא"כ לדינא הוה ספק ספיקא, ספק אי קי"ל דעד א' נאמן נגד איתחזק, וספק דסוגיין דעד א' נאמן להתיר יבמה לשוק משום דעבידא דאיגלויי.</w:t>
      </w:r>
    </w:p>
  </w:footnote>
  <w:footnote w:id="6077">
    <w:p w14:paraId="1ACBE310" w14:textId="77777777" w:rsidR="006C4368" w:rsidRDefault="006C4368" w:rsidP="006C4368">
      <w:pPr>
        <w:pStyle w:val="Footnote"/>
        <w:bidi/>
      </w:pPr>
      <w:r>
        <w:rPr>
          <w:rStyle w:val="ac"/>
          <w:rtl/>
        </w:rPr>
        <w:footnoteRef/>
      </w:r>
      <w:r>
        <w:rPr>
          <w:rtl/>
        </w:rPr>
        <w:t>וה</w:t>
      </w:r>
      <w:r>
        <w:rPr>
          <w:b/>
          <w:bCs/>
          <w:rtl/>
        </w:rPr>
        <w:t>מרדכי</w:t>
      </w:r>
      <w:r>
        <w:rPr>
          <w:rtl/>
        </w:rPr>
        <w:t xml:space="preserve"> הביא [סיום דברי האביאסף] דחלוצה ערוה היא, ומש"ה ל"ש עד אחד נאמן באיסורין. וב</w:t>
      </w:r>
      <w:r>
        <w:rPr>
          <w:b/>
          <w:bCs/>
          <w:rtl/>
        </w:rPr>
        <w:t>ס' התרומה</w:t>
      </w:r>
      <w:r>
        <w:rPr>
          <w:rtl/>
        </w:rPr>
        <w:t xml:space="preserve"> (הל' חליצה קלג, הו' בהג' מיימוני אישות ב כג) כת' דהאב אינו נאמן על בנו לחליצה, דהוי דבר שבערוה.</w:t>
      </w:r>
    </w:p>
  </w:footnote>
  <w:footnote w:id="6078">
    <w:p w14:paraId="1AD2A1C0" w14:textId="77777777" w:rsidR="006C4368" w:rsidRDefault="006C4368" w:rsidP="006C4368">
      <w:pPr>
        <w:pStyle w:val="Footnote"/>
        <w:bidi/>
      </w:pPr>
      <w:r>
        <w:rPr>
          <w:rStyle w:val="ac"/>
          <w:rtl/>
        </w:rPr>
        <w:footnoteRef/>
      </w:r>
      <w:r>
        <w:rPr>
          <w:rtl/>
        </w:rPr>
        <w:t>וז"ל דהיתר יבמה לשוק היא ערוה כשמואל ורב דאמרי תרוייהו (לעיל צב:) בעניותינו צריכה גט והולד ספק ממזר. [ולפנינו בגמ' שם שמואל אמר דצריכה גט, ודעת רב דלא תפסי קידושין (וכ"מ בגמ' לקמן צו.), אלא דעיקר כוונת המרדכי להביא את הצד דלא תפסי קידושין, ומש"ה הוה דבר שבערוה. וה</w:t>
      </w:r>
      <w:r>
        <w:rPr>
          <w:b/>
          <w:bCs/>
          <w:rtl/>
        </w:rPr>
        <w:t>נוב"י</w:t>
      </w:r>
      <w:r>
        <w:rPr>
          <w:rtl/>
        </w:rPr>
        <w:t xml:space="preserve"> (ק' נד) העיר בזה. ואפשר דיש להגיה כן בדבריו דתרוייהו מודו דיש צד דלא תפסי הקידושין].</w:t>
      </w:r>
    </w:p>
    <w:p w14:paraId="1D93FA6D" w14:textId="77777777" w:rsidR="006C4368" w:rsidRDefault="006C4368" w:rsidP="006C4368">
      <w:pPr>
        <w:pStyle w:val="Footnote"/>
        <w:bidi/>
      </w:pPr>
      <w:r>
        <w:rPr>
          <w:rtl/>
        </w:rPr>
        <w:tab/>
        <w:t xml:space="preserve">ומש"כ דהולד ממזר הוה כדעת </w:t>
      </w:r>
      <w:r>
        <w:rPr>
          <w:b/>
          <w:bCs/>
          <w:rtl/>
        </w:rPr>
        <w:t>רש"י</w:t>
      </w:r>
      <w:r>
        <w:rPr>
          <w:rtl/>
        </w:rPr>
        <w:t xml:space="preserve"> (מט:, ועוד ראשונים הו' לעיל צב:) דלמ"ד דאין קידושין תופסים הוה הולד ממזר. [וקצת משמע דאי הולד ממזר, ע"כ הוה בגדר 'עריות', ואף בשאר עריות, כגון אחות אשתו וכדו', צריך ב' עדים]. וה</w:t>
      </w:r>
      <w:r>
        <w:rPr>
          <w:b/>
          <w:bCs/>
          <w:rtl/>
        </w:rPr>
        <w:t>נוב"י</w:t>
      </w:r>
      <w:r>
        <w:rPr>
          <w:rtl/>
        </w:rPr>
        <w:t xml:space="preserve"> (שם) נתקשה בדבריו בזה, והק' דקי"ל דלא נאסרה על היבם [ודלא כרב המנונא], וכ"ש דהולד אינו ממזר. ואף דהיכא דנשאת לשוק הוה ממזר מדרבנן [ע' לעיל צב:], אין צד דהוה מדאורייתא.</w:t>
      </w:r>
    </w:p>
  </w:footnote>
  <w:footnote w:id="6079">
    <w:p w14:paraId="50FAD980" w14:textId="77777777" w:rsidR="006C4368" w:rsidRDefault="006C4368" w:rsidP="006C4368">
      <w:pPr>
        <w:pStyle w:val="Footnote"/>
        <w:bidi/>
      </w:pPr>
      <w:r>
        <w:rPr>
          <w:rStyle w:val="ac"/>
          <w:rtl/>
        </w:rPr>
        <w:footnoteRef/>
      </w:r>
      <w:r>
        <w:rPr>
          <w:rtl/>
        </w:rPr>
        <w:t>והגמ' דידן דלא כמ"ד קידושין תופסים, דלהך מ"ד עד א' נאמן. [אך לא מצאנו מ"ד דתפסי קידושין, ואף שמואל נסתפק בזה].</w:t>
      </w:r>
    </w:p>
  </w:footnote>
  <w:footnote w:id="6080">
    <w:p w14:paraId="4276DC4A" w14:textId="77777777" w:rsidR="006C4368" w:rsidRDefault="006C4368" w:rsidP="006C4368">
      <w:pPr>
        <w:pStyle w:val="Footnote"/>
        <w:bidi/>
      </w:pPr>
      <w:r>
        <w:rPr>
          <w:rStyle w:val="ac"/>
          <w:rtl/>
        </w:rPr>
        <w:footnoteRef/>
      </w:r>
      <w:r>
        <w:rPr>
          <w:rtl/>
        </w:rPr>
        <w:t>דאי תפסי קידושין א"כ הוה איסור לאו בעלמא, אבל אי לא תפסי קידושין ע"כ דגדר יבמה לשוק הוה גדר ערוה.</w:t>
      </w:r>
    </w:p>
  </w:footnote>
  <w:footnote w:id="6081">
    <w:p w14:paraId="64EDE616" w14:textId="77777777" w:rsidR="006C4368" w:rsidRDefault="006C4368" w:rsidP="006C4368">
      <w:pPr>
        <w:pStyle w:val="Footnote"/>
        <w:bidi/>
      </w:pPr>
      <w:r>
        <w:rPr>
          <w:rStyle w:val="ac"/>
          <w:rtl/>
        </w:rPr>
        <w:footnoteRef/>
      </w:r>
      <w:r>
        <w:rPr>
          <w:rtl/>
        </w:rPr>
        <w:t>וה</w:t>
      </w:r>
      <w:r>
        <w:rPr>
          <w:b/>
          <w:bCs/>
          <w:rtl/>
        </w:rPr>
        <w:t>קובה"ע</w:t>
      </w:r>
      <w:r>
        <w:rPr>
          <w:rtl/>
        </w:rPr>
        <w:t xml:space="preserve"> (לה ה) הביא דהגמ' (ב"ב קלד:) מדמה הא דבעל נאמן לומר יש לי בנים לפטור מחליצה [במיגו דבידו לגרשה], להא דנאמן שגירש. והק' דאי נימא דיבמה לשוק אינו איסור ערוה אלא כשאר איסורין, אין ראיה כלל מחליצה לגט, דבשאר איסורין פשיטא דמהני בידו (כדאי' לעיל פח.).</w:t>
      </w:r>
    </w:p>
  </w:footnote>
  <w:footnote w:id="6082">
    <w:p w14:paraId="15A0C6B7" w14:textId="77777777" w:rsidR="006C4368" w:rsidRDefault="006C4368" w:rsidP="006C4368">
      <w:pPr>
        <w:pStyle w:val="Footnote"/>
        <w:bidi/>
      </w:pPr>
      <w:r>
        <w:rPr>
          <w:rStyle w:val="ac"/>
          <w:rtl/>
        </w:rPr>
        <w:footnoteRef/>
      </w:r>
      <w:r>
        <w:rPr>
          <w:rtl/>
        </w:rPr>
        <w:t>וה</w:t>
      </w:r>
      <w:r>
        <w:rPr>
          <w:b/>
          <w:bCs/>
          <w:rtl/>
        </w:rPr>
        <w:t>נתיבות</w:t>
      </w:r>
      <w:r>
        <w:rPr>
          <w:rtl/>
        </w:rPr>
        <w:t xml:space="preserve"> (בשו"ת רע"א ק' קכד ומכת"י צ) דן דלהעיד על ממזר הוה לאו בעלמא, ולא נחשב דבר שבערוה. ו</w:t>
      </w:r>
      <w:r>
        <w:rPr>
          <w:b/>
          <w:bCs/>
          <w:rtl/>
        </w:rPr>
        <w:t>רע"א</w:t>
      </w:r>
      <w:r>
        <w:rPr>
          <w:rtl/>
        </w:rPr>
        <w:t xml:space="preserve"> האריך להק' דאף יבמה לשוק הוה לאו, והוה דבר שבערוה.</w:t>
      </w:r>
    </w:p>
  </w:footnote>
  <w:footnote w:id="6083">
    <w:p w14:paraId="53F42376" w14:textId="77777777" w:rsidR="006C4368" w:rsidRDefault="006C4368" w:rsidP="006C4368">
      <w:pPr>
        <w:pStyle w:val="Footnote"/>
        <w:bidi/>
      </w:pPr>
      <w:r>
        <w:rPr>
          <w:rStyle w:val="ac"/>
          <w:rtl/>
        </w:rPr>
        <w:footnoteRef/>
      </w:r>
      <w:r>
        <w:rPr>
          <w:rtl/>
        </w:rPr>
        <w:t>וה</w:t>
      </w:r>
      <w:r>
        <w:rPr>
          <w:b/>
          <w:bCs/>
          <w:rtl/>
        </w:rPr>
        <w:t>אתוון דאורייתא</w:t>
      </w:r>
      <w:r>
        <w:rPr>
          <w:rtl/>
        </w:rPr>
        <w:t xml:space="preserve"> (ח) דן עוד נפק"מ לדינא לענין יהרג ואל יעבור. אי הוה 'עריות' או איסור בעלמא. והביא דתוס' (לעיל לו:) משמע דיש בו חומרת עריות לענין מים שאין להם סוף דחיישינן למיעוטא. וע"ע ב"מ כ. שטרי חליצה. [ועוד הביא מהסוגיא ב"ב קלה., ועוד הביא דבגמ' (לע' מב.) מבואר דלא נחשב תקנת ערוה].</w:t>
      </w:r>
    </w:p>
  </w:footnote>
  <w:footnote w:id="6084">
    <w:p w14:paraId="58013C8F" w14:textId="77777777" w:rsidR="006C4368" w:rsidRDefault="006C4368" w:rsidP="006C4368">
      <w:pPr>
        <w:pStyle w:val="Footnote"/>
        <w:bidi/>
      </w:pPr>
      <w:r>
        <w:rPr>
          <w:rStyle w:val="ac"/>
          <w:rtl/>
        </w:rPr>
        <w:footnoteRef/>
      </w:r>
      <w:r>
        <w:rPr>
          <w:rtl/>
        </w:rPr>
        <w:t>דה</w:t>
      </w:r>
      <w:r>
        <w:rPr>
          <w:b/>
          <w:bCs/>
          <w:rtl/>
        </w:rPr>
        <w:t>רי"ף</w:t>
      </w:r>
      <w:r>
        <w:rPr>
          <w:rtl/>
        </w:rPr>
        <w:t xml:space="preserve"> פסק כדברי רבא דעד א' נאמן, והרא"ש נקט דהוה ספק.</w:t>
      </w:r>
    </w:p>
  </w:footnote>
  <w:footnote w:id="6085">
    <w:p w14:paraId="427D19DC" w14:textId="77777777" w:rsidR="006C4368" w:rsidRDefault="006C4368" w:rsidP="006C4368">
      <w:pPr>
        <w:pStyle w:val="Footnote"/>
        <w:bidi/>
      </w:pPr>
      <w:r>
        <w:rPr>
          <w:rStyle w:val="ac"/>
          <w:rtl/>
        </w:rPr>
        <w:footnoteRef/>
      </w:r>
      <w:r>
        <w:rPr>
          <w:rtl/>
        </w:rPr>
        <w:t>אך מבואר דהנוב"י העלה צד דזה בכלל ספק הגמ' האם יבמה לשוק הוה דבר שבערוה. ונפק"מ להעיד שנולד לו בן.</w:t>
      </w:r>
    </w:p>
  </w:footnote>
  <w:footnote w:id="6086">
    <w:p w14:paraId="5455D394" w14:textId="77777777" w:rsidR="006C4368" w:rsidRDefault="006C4368" w:rsidP="006C4368">
      <w:pPr>
        <w:pStyle w:val="Footnote"/>
        <w:bidi/>
      </w:pPr>
      <w:r>
        <w:rPr>
          <w:rStyle w:val="ac"/>
          <w:rtl/>
        </w:rPr>
        <w:footnoteRef/>
      </w:r>
      <w:r>
        <w:rPr>
          <w:rtl/>
        </w:rPr>
        <w:t>ועפ"ז כת' דהיכא דבשעת קידושין העידו [שנתקדשה בתנאי], ובשעה זו ל"ש סברת מיסנא סני, דיכול להתקדש לאחר, ולא לאחיו של זה.</w:t>
      </w:r>
    </w:p>
  </w:footnote>
  <w:footnote w:id="6087">
    <w:p w14:paraId="7BA2B99E" w14:textId="77777777" w:rsidR="006C4368" w:rsidRDefault="006C4368" w:rsidP="006C4368">
      <w:pPr>
        <w:pStyle w:val="Footnote"/>
        <w:bidi/>
      </w:pPr>
      <w:r>
        <w:rPr>
          <w:rStyle w:val="ac"/>
          <w:rtl/>
        </w:rPr>
        <w:footnoteRef/>
      </w:r>
      <w:r>
        <w:rPr>
          <w:rtl/>
        </w:rPr>
        <w:t>וצ"ב מה מהני סברת מיסנא סני בגוף הנאמנות. דאי מדינא נאמן עד באיסורין, א"כ מה לי דסני ליה. ולכאורה סברא זו מהני רק במקום דסמכי' אהא דהאשה דייקא ומינסבא (ע"פ הגמ' דלעיל פח.).</w:t>
      </w:r>
    </w:p>
  </w:footnote>
  <w:footnote w:id="6088">
    <w:p w14:paraId="2CB7CEF9" w14:textId="77777777" w:rsidR="006C4368" w:rsidRDefault="006C4368" w:rsidP="006C4368">
      <w:pPr>
        <w:pStyle w:val="Footnote"/>
        <w:bidi/>
      </w:pPr>
      <w:r>
        <w:rPr>
          <w:rStyle w:val="ac"/>
          <w:rtl/>
        </w:rPr>
        <w:footnoteRef/>
      </w:r>
      <w:r>
        <w:rPr>
          <w:rtl/>
        </w:rPr>
        <w:t>ולכאורה כוונתו לדברי הגמ' (צד., והרי"ף פסק כרבא דעד א' נאמן, א"כ אף המשנה איירי כה"ג) דהעמידו את המשנה דמת בעלי ואח"כ בני בעד א', ואף דהאשה אינה נאמנת. [אך יש לדחות דהתם איירי שנודע שיש לו בן].</w:t>
      </w:r>
    </w:p>
  </w:footnote>
  <w:footnote w:id="6089">
    <w:p w14:paraId="228BE194" w14:textId="77777777" w:rsidR="006C4368" w:rsidRDefault="006C4368" w:rsidP="006C4368">
      <w:pPr>
        <w:pStyle w:val="Footnote"/>
        <w:bidi/>
      </w:pPr>
      <w:r>
        <w:rPr>
          <w:rStyle w:val="ac"/>
          <w:rtl/>
        </w:rPr>
        <w:footnoteRef/>
      </w:r>
      <w:r>
        <w:rPr>
          <w:rtl/>
        </w:rPr>
        <w:t>וה</w:t>
      </w:r>
      <w:r>
        <w:rPr>
          <w:b/>
          <w:bCs/>
          <w:rtl/>
        </w:rPr>
        <w:t>רמב"ן</w:t>
      </w:r>
      <w:r>
        <w:rPr>
          <w:rtl/>
        </w:rPr>
        <w:t xml:space="preserve"> הק' דמבואר (קידושין סד.) דהבעל עצמו אינו נאמן [אלא ע"י מיגו]. ותי' דעד שמעיד לאחר מיתת הבעל נאמן, שהעד חי ולא משקר במילתא דעבידא לאגלויי [שיוכחש], אבל הבעל אם יוכחש מחיים דידיה לא איכפת להו [דעדיין לא הגיע מזה נפק"מ], ולאחר מיתה דידיה מאי תימא ליה. זו היא שאומרין יכול החי להכחיש את החי ואין מכחיש את המת, וצריך עיון.</w:t>
      </w:r>
    </w:p>
  </w:footnote>
  <w:footnote w:id="6090">
    <w:p w14:paraId="6B59AA4D" w14:textId="77777777" w:rsidR="006C4368" w:rsidRDefault="006C4368" w:rsidP="006C4368">
      <w:pPr>
        <w:pStyle w:val="Footnote"/>
        <w:bidi/>
      </w:pPr>
      <w:r>
        <w:rPr>
          <w:rStyle w:val="ac"/>
          <w:rtl/>
        </w:rPr>
        <w:footnoteRef/>
      </w:r>
      <w:r>
        <w:rPr>
          <w:rtl/>
        </w:rPr>
        <w:t>וה</w:t>
      </w:r>
      <w:r>
        <w:rPr>
          <w:b/>
          <w:bCs/>
          <w:rtl/>
        </w:rPr>
        <w:t>מנח"ח</w:t>
      </w:r>
      <w:r>
        <w:rPr>
          <w:rtl/>
        </w:rPr>
        <w:t xml:space="preserve"> נקט דל"צ עדות לקיומי, כיון דל"צ דעת שלהם. אך שוב הביא מדברי המרדכי דהוה דבר שבערוה, א"כ צריך עדות לקיומי [בין להתיר ובין לאסור]. והביא דהנוב"י (הנ"ל) דחה את דברי המרדכי, ודוקא לר"ע הוה דבר שבערוה.</w:t>
      </w:r>
    </w:p>
  </w:footnote>
  <w:footnote w:id="6091">
    <w:p w14:paraId="69E74D5F" w14:textId="77777777" w:rsidR="006C4368" w:rsidRDefault="006C4368" w:rsidP="006C4368">
      <w:pPr>
        <w:pStyle w:val="Footnote"/>
        <w:bidi/>
      </w:pPr>
      <w:r>
        <w:rPr>
          <w:rStyle w:val="ac"/>
          <w:rtl/>
        </w:rPr>
        <w:footnoteRef/>
      </w:r>
      <w:r>
        <w:rPr>
          <w:rtl/>
        </w:rPr>
        <w:t>וכ"ה בגירסא דידן (צד.) בסןף העמ'.</w:t>
      </w:r>
    </w:p>
  </w:footnote>
  <w:footnote w:id="6092">
    <w:p w14:paraId="69902A06" w14:textId="77777777" w:rsidR="006C4368" w:rsidRDefault="006C4368" w:rsidP="006C4368">
      <w:pPr>
        <w:pStyle w:val="Footnote"/>
        <w:bidi/>
      </w:pPr>
      <w:r>
        <w:rPr>
          <w:rStyle w:val="ac"/>
          <w:rtl/>
        </w:rPr>
        <w:footnoteRef/>
      </w:r>
      <w:r>
        <w:rPr>
          <w:rtl/>
        </w:rPr>
        <w:t>ואף דמהני ייבום בע"כ בי"ד אין כופין אותה.</w:t>
      </w:r>
    </w:p>
  </w:footnote>
  <w:footnote w:id="6093">
    <w:p w14:paraId="5AA91353" w14:textId="77777777" w:rsidR="006C4368" w:rsidRDefault="006C4368" w:rsidP="006C4368">
      <w:pPr>
        <w:pStyle w:val="Footnote"/>
        <w:bidi/>
      </w:pPr>
      <w:r>
        <w:rPr>
          <w:rStyle w:val="ac"/>
          <w:rtl/>
        </w:rPr>
        <w:footnoteRef/>
      </w:r>
      <w:r>
        <w:rPr>
          <w:rtl/>
        </w:rPr>
        <w:t>לשון ה</w:t>
      </w:r>
      <w:r>
        <w:rPr>
          <w:b/>
          <w:bCs/>
          <w:rtl/>
        </w:rPr>
        <w:t>תוס</w:t>
      </w:r>
      <w:r>
        <w:rPr>
          <w:rtl/>
        </w:rPr>
        <w:t>' דאיכא למיחש שמא שכרוהו או שונא אותה או היא עצמה חשודה לקלקלה. וב</w:t>
      </w:r>
      <w:r>
        <w:rPr>
          <w:b/>
          <w:bCs/>
          <w:rtl/>
        </w:rPr>
        <w:t>רא"ש</w:t>
      </w:r>
      <w:r>
        <w:rPr>
          <w:rtl/>
        </w:rPr>
        <w:t xml:space="preserve"> ו</w:t>
      </w:r>
      <w:r>
        <w:rPr>
          <w:b/>
          <w:bCs/>
          <w:rtl/>
        </w:rPr>
        <w:t>תוס' הרא"ש</w:t>
      </w:r>
      <w:r>
        <w:rPr>
          <w:rtl/>
        </w:rPr>
        <w:t xml:space="preserve"> הלשון מתוקן יותר שמא שכרוהו שונאיה, או הוא בעצמו רוצה לקלקלה. [ועיקר הכוונה דעד א' אינו נאמן בדבר, דצריך ב' עדים. דעד א' חשוד לשקר, א"כ חיישינן שמא רוצה לקלקלה. ולזה אין לו מיגו].</w:t>
      </w:r>
    </w:p>
    <w:p w14:paraId="23574D9E" w14:textId="77777777" w:rsidR="006C4368" w:rsidRDefault="006C4368" w:rsidP="006C4368">
      <w:pPr>
        <w:pStyle w:val="Footnote"/>
        <w:bidi/>
      </w:pPr>
      <w:r>
        <w:rPr>
          <w:rtl/>
        </w:rPr>
        <w:tab/>
        <w:t>וה</w:t>
      </w:r>
      <w:r>
        <w:rPr>
          <w:b/>
          <w:bCs/>
          <w:rtl/>
        </w:rPr>
        <w:t>בית הלוי</w:t>
      </w:r>
      <w:r>
        <w:rPr>
          <w:rtl/>
        </w:rPr>
        <w:t xml:space="preserve"> (ג יג) הוסיף דודאי ליכא הוכחה שמכוין לקלקלה [ומש"ה גרע מאומר מת יבמך]. אלא דכוונת התוס' דליכא מיגו.</w:t>
      </w:r>
    </w:p>
  </w:footnote>
  <w:footnote w:id="6094">
    <w:p w14:paraId="6749608A" w14:textId="77777777" w:rsidR="006C4368" w:rsidRDefault="006C4368" w:rsidP="006C4368">
      <w:pPr>
        <w:pStyle w:val="Footnote"/>
        <w:bidi/>
      </w:pPr>
      <w:r>
        <w:rPr>
          <w:rStyle w:val="ac"/>
          <w:rtl/>
        </w:rPr>
        <w:footnoteRef/>
      </w:r>
      <w:r>
        <w:rPr>
          <w:rtl/>
        </w:rPr>
        <w:t>ועד"ז כת' ה</w:t>
      </w:r>
      <w:r>
        <w:rPr>
          <w:b/>
          <w:bCs/>
          <w:rtl/>
        </w:rPr>
        <w:t>בעה"מ</w:t>
      </w:r>
      <w:r>
        <w:rPr>
          <w:rtl/>
        </w:rPr>
        <w:t xml:space="preserve"> דהתם נאמנת משום הפה שאסר הוא הפה שהתיר, דבחזקת לשוק היא עומדת שהרי בחזקת ששניהם קיימין.</w:t>
      </w:r>
    </w:p>
  </w:footnote>
  <w:footnote w:id="6095">
    <w:p w14:paraId="05098C8A" w14:textId="77777777" w:rsidR="006C4368" w:rsidRDefault="006C4368" w:rsidP="006C4368">
      <w:pPr>
        <w:pStyle w:val="Footnote"/>
        <w:bidi/>
      </w:pPr>
      <w:r>
        <w:rPr>
          <w:rStyle w:val="ac"/>
          <w:rtl/>
        </w:rPr>
        <w:footnoteRef/>
      </w:r>
      <w:r>
        <w:rPr>
          <w:rtl/>
        </w:rPr>
        <w:t>ועוה"ק היש"ש (כח) מנ"ל לרא"ש דמבעי אף בזה. וע' ק"נ (שם פ).</w:t>
      </w:r>
    </w:p>
  </w:footnote>
  <w:footnote w:id="6096">
    <w:p w14:paraId="5A614E04" w14:textId="77777777" w:rsidR="006C4368" w:rsidRDefault="006C4368" w:rsidP="006C4368">
      <w:pPr>
        <w:pStyle w:val="Footnote"/>
        <w:bidi/>
      </w:pPr>
      <w:r>
        <w:rPr>
          <w:rStyle w:val="ac"/>
          <w:rtl/>
        </w:rPr>
        <w:footnoteRef/>
      </w:r>
      <w:r>
        <w:rPr>
          <w:rtl/>
        </w:rPr>
        <w:t>וכ"כ ה</w:t>
      </w:r>
      <w:r>
        <w:rPr>
          <w:b/>
          <w:bCs/>
          <w:rtl/>
        </w:rPr>
        <w:t>דרישה</w:t>
      </w:r>
      <w:r>
        <w:rPr>
          <w:rtl/>
        </w:rPr>
        <w:t xml:space="preserve"> (קנח) דאיכא ריעותא בדיבוריה, למה ליה להאריך בעדותו לומר רף שמת בנה אח"כ, דהא מיד באמרו מת בעלך היא מותרת לשוק כיון שידוע שהיה לה בן. אלא ודאי שקורי קמשקר דמת הבן לפני מיתת הבעל, או לא נודע לו אם מת, ומשום הכי הוצרך להעיד שמת אח"כ בסוברו שהדין יתן שתסמוך על עדותו ותנשא לשוק ודעתו לקלקלה.</w:t>
      </w:r>
    </w:p>
    <w:p w14:paraId="61FADF05" w14:textId="77777777" w:rsidR="006C4368" w:rsidRDefault="006C4368" w:rsidP="006C4368">
      <w:pPr>
        <w:pStyle w:val="Footnote"/>
        <w:bidi/>
      </w:pPr>
      <w:r>
        <w:rPr>
          <w:rtl/>
        </w:rPr>
        <w:tab/>
        <w:t>וה</w:t>
      </w:r>
      <w:r>
        <w:rPr>
          <w:b/>
          <w:bCs/>
          <w:rtl/>
        </w:rPr>
        <w:t>בית הלוי</w:t>
      </w:r>
      <w:r>
        <w:rPr>
          <w:rtl/>
        </w:rPr>
        <w:t xml:space="preserve"> כת' דעפ"ז היכא דכבר שמעו מקודם שמתו שניהם, רק לא ידעו מי קודם. ובא העד ואמר דהבעל ואח"כ הבן דזהו עיקר עדותו הנצרך ואינו מיותר כלל תלי בספק הגמ' כאו. [וכת' די"ל דרב ששת מוקים להמשנה כה"ג שכבר שמעו מן מיתת שניהם, וע"ד דברי הבעה"מ. אך תמה דל"מ כן ברא"ש, ולא מצאנו דמחזיקין אותו כשקרן וכוונתו לקלקל, אלא דל"מ לו מיגו.</w:t>
      </w:r>
    </w:p>
  </w:footnote>
  <w:footnote w:id="6097">
    <w:p w14:paraId="704AAE69" w14:textId="77777777" w:rsidR="006C4368" w:rsidRDefault="006C4368" w:rsidP="006C4368">
      <w:pPr>
        <w:pStyle w:val="Footnote"/>
        <w:bidi/>
      </w:pPr>
      <w:r>
        <w:rPr>
          <w:rStyle w:val="ac"/>
          <w:rtl/>
        </w:rPr>
        <w:footnoteRef/>
      </w:r>
      <w:r>
        <w:rPr>
          <w:rtl/>
        </w:rPr>
        <w:t>וביאר דסבורה שיש לו מיגו.</w:t>
      </w:r>
    </w:p>
  </w:footnote>
  <w:footnote w:id="6098">
    <w:p w14:paraId="7C11EC0D" w14:textId="77777777" w:rsidR="006C4368" w:rsidRDefault="006C4368" w:rsidP="006C4368">
      <w:pPr>
        <w:pStyle w:val="Footnote"/>
        <w:bidi/>
      </w:pPr>
      <w:r>
        <w:rPr>
          <w:rStyle w:val="ac"/>
          <w:rtl/>
        </w:rPr>
        <w:footnoteRef/>
      </w:r>
      <w:r>
        <w:rPr>
          <w:rtl/>
        </w:rPr>
        <w:t>אך לצד דקו' הגמ' (פח.) משום דהוה דבר שבערוה, א"כ יהא נאמן משום חרם דר"ג.</w:t>
      </w:r>
    </w:p>
  </w:footnote>
  <w:footnote w:id="6099">
    <w:p w14:paraId="56999CF1" w14:textId="77777777" w:rsidR="006C4368" w:rsidRDefault="006C4368" w:rsidP="006C4368">
      <w:pPr>
        <w:pStyle w:val="Footnote"/>
        <w:bidi/>
      </w:pPr>
      <w:r>
        <w:rPr>
          <w:rStyle w:val="ac"/>
          <w:rtl/>
        </w:rPr>
        <w:footnoteRef/>
      </w:r>
      <w:r>
        <w:rPr>
          <w:rtl/>
        </w:rPr>
        <w:t>והגמ' (גיטין פב:) מביאה מכאן מקור לדברי ר' אליעזר דמגרש חוץ מפלוני. [עי"ש רש"י ותוס']. והגמ' פי' דרבנן ס"ל דאיסור כהונה שאני.</w:t>
      </w:r>
    </w:p>
  </w:footnote>
  <w:footnote w:id="6100">
    <w:p w14:paraId="5E26AAE2" w14:textId="77777777" w:rsidR="006C4368" w:rsidRDefault="006C4368" w:rsidP="006C4368">
      <w:pPr>
        <w:pStyle w:val="Footnote"/>
        <w:bidi/>
      </w:pPr>
      <w:r>
        <w:rPr>
          <w:rStyle w:val="ac"/>
          <w:rtl/>
        </w:rPr>
        <w:footnoteRef/>
      </w:r>
      <w:r>
        <w:rPr>
          <w:rtl/>
        </w:rPr>
        <w:t>וה</w:t>
      </w:r>
      <w:r>
        <w:rPr>
          <w:b/>
          <w:bCs/>
          <w:rtl/>
        </w:rPr>
        <w:t>בי"מ</w:t>
      </w:r>
      <w:r>
        <w:rPr>
          <w:rtl/>
        </w:rPr>
        <w:t xml:space="preserve"> הביא דהפוסקים השמיטו דין זה דנתקדשה ובא בעלה, דאי"צ גט, ואף גירשה לא נפסלה. ומאחר שהתנא טרח לחדש דין זה, אמאי השמיטוה הפוסקים. ודן דאפשר דסמכו אהא דנקרא חספא משום דהוה פשיטא.</w:t>
      </w:r>
    </w:p>
  </w:footnote>
  <w:footnote w:id="6101">
    <w:p w14:paraId="0C767812" w14:textId="77777777" w:rsidR="006C4368" w:rsidRDefault="006C4368" w:rsidP="006C4368">
      <w:pPr>
        <w:pStyle w:val="Footnote"/>
        <w:bidi/>
        <w:rPr>
          <w:rFonts w:ascii="Narkisim" w:eastAsia="Narkisim" w:hAnsi="Narkisim"/>
          <w:sz w:val="24"/>
        </w:rPr>
      </w:pPr>
      <w:r>
        <w:rPr>
          <w:rStyle w:val="ac"/>
          <w:rtl/>
        </w:rPr>
        <w:footnoteRef/>
      </w:r>
      <w:r>
        <w:rPr>
          <w:rFonts w:ascii="Narkisim" w:eastAsia="Narkisim" w:hAnsi="Narkisim"/>
          <w:sz w:val="24"/>
          <w:rtl/>
        </w:rPr>
        <w:t>וכת' דאף דיש במצוה זו טעמים כמוסים, ולא [רק] משום הקנאה שמטילים בין משפחה [וע"ד מש"כ כמה ראשונים, ע' ר"י בכור שור והרמב"ן עה"ת (שם), בכל זאת גדר המצוה כמו שכתוב לצרור.</w:t>
      </w:r>
    </w:p>
  </w:footnote>
  <w:footnote w:id="6102">
    <w:p w14:paraId="37E90775" w14:textId="77777777" w:rsidR="006C4368" w:rsidRDefault="006C4368" w:rsidP="006C4368">
      <w:pPr>
        <w:pStyle w:val="Footnote"/>
        <w:bidi/>
      </w:pPr>
      <w:r>
        <w:rPr>
          <w:rStyle w:val="ac"/>
          <w:rtl/>
        </w:rPr>
        <w:footnoteRef/>
      </w:r>
      <w:r>
        <w:rPr>
          <w:rtl/>
        </w:rPr>
        <w:t>ועד"ז דעת ר' שמעון (לעיל יח. וכח:) דרש דבשעה שנעשו צרות זה לזה לא יהא לך ליקוחין אפי' בא' מהם.</w:t>
      </w:r>
    </w:p>
  </w:footnote>
  <w:footnote w:id="6103">
    <w:p w14:paraId="01CFE0D6" w14:textId="77777777" w:rsidR="006C4368" w:rsidRDefault="006C4368" w:rsidP="006C4368">
      <w:pPr>
        <w:pStyle w:val="Footnote"/>
        <w:bidi/>
      </w:pPr>
      <w:r>
        <w:rPr>
          <w:rStyle w:val="ac"/>
          <w:rtl/>
        </w:rPr>
        <w:footnoteRef/>
      </w:r>
      <w:r>
        <w:rPr>
          <w:rtl/>
        </w:rPr>
        <w:t>והמשנה איירי לאחר מיתה.</w:t>
      </w:r>
    </w:p>
  </w:footnote>
  <w:footnote w:id="6104">
    <w:p w14:paraId="1EF1103E" w14:textId="77777777" w:rsidR="006C4368" w:rsidRDefault="006C4368" w:rsidP="006C4368">
      <w:pPr>
        <w:pStyle w:val="Footnote"/>
        <w:bidi/>
      </w:pPr>
      <w:r>
        <w:rPr>
          <w:rStyle w:val="ac"/>
          <w:rtl/>
        </w:rPr>
        <w:footnoteRef/>
      </w:r>
      <w:r>
        <w:rPr>
          <w:rtl/>
        </w:rPr>
        <w:t>וה</w:t>
      </w:r>
      <w:r>
        <w:rPr>
          <w:b/>
          <w:bCs/>
          <w:rtl/>
        </w:rPr>
        <w:t>משנ"ל</w:t>
      </w:r>
      <w:r>
        <w:rPr>
          <w:rtl/>
        </w:rPr>
        <w:t xml:space="preserve"> נסתפק (כדברי הט"ז) האם הך גזירה הוה אף כשבא עליה בשוגג או שאנסוהו. או דלמא לא חששו אלא במי שראינו אתו שזינה מרצונו דכבר איתרע חזקתיה, ואנו חוששין שמא יחזור ויזנה עמה. וכת' דאין להביא ראיה מהא דאינו נאסר על אשתו [במשנה לקמן צו., וכן כאן], דהתם כבר נשוי לאשתו. אבל הביא דממתני' דידן יש ראיה.</w:t>
      </w:r>
    </w:p>
    <w:p w14:paraId="2108CB3B" w14:textId="77777777" w:rsidR="006C4368" w:rsidRDefault="006C4368" w:rsidP="006C4368">
      <w:pPr>
        <w:pStyle w:val="Footnote"/>
        <w:bidi/>
      </w:pPr>
      <w:r>
        <w:rPr>
          <w:rtl/>
        </w:rPr>
        <w:tab/>
        <w:t>ועוד דן היכא דהאיש אנס אותה, דהוה חשש רחוקה ששוב יאנוס אותה. ודוקא נטען ששניהם שווים. והביא דמדברי רש"י משמע דאף כשאנס את האשה. אך כת' דאין ראיה מזה להיכא שהאיש שוגג או אנוס, ואף שהיא מזידה. דאפשר שהכל תלוי בדידיה.</w:t>
      </w:r>
    </w:p>
  </w:footnote>
  <w:footnote w:id="6105">
    <w:p w14:paraId="69696375" w14:textId="77777777" w:rsidR="006C4368" w:rsidRDefault="006C4368" w:rsidP="006C4368">
      <w:pPr>
        <w:pStyle w:val="Footnote"/>
        <w:bidi/>
      </w:pPr>
      <w:r>
        <w:rPr>
          <w:rStyle w:val="ac"/>
          <w:rtl/>
        </w:rPr>
        <w:footnoteRef/>
      </w:r>
      <w:r>
        <w:rPr>
          <w:rtl/>
        </w:rPr>
        <w:t>והבי"ש כת' דלא ניח"ל לרש"י לחלק דיש ב' עדים ע"ז, ועד א' ע"ז.</w:t>
      </w:r>
    </w:p>
  </w:footnote>
  <w:footnote w:id="6106">
    <w:p w14:paraId="0B197538" w14:textId="77777777" w:rsidR="006C4368" w:rsidRDefault="006C4368" w:rsidP="006C4368">
      <w:pPr>
        <w:pStyle w:val="Footnote"/>
        <w:bidi/>
      </w:pPr>
      <w:r>
        <w:rPr>
          <w:rStyle w:val="ac"/>
          <w:rtl/>
        </w:rPr>
        <w:footnoteRef/>
      </w:r>
      <w:r>
        <w:rPr>
          <w:rtl/>
        </w:rPr>
        <w:t>וכן ה</w:t>
      </w:r>
      <w:r>
        <w:rPr>
          <w:b/>
          <w:bCs/>
          <w:rtl/>
        </w:rPr>
        <w:t>ב"י</w:t>
      </w:r>
      <w:r>
        <w:rPr>
          <w:rtl/>
        </w:rPr>
        <w:t xml:space="preserve"> (ס"ס טו) הביא את דברי התוס' דבעד א' על מיתת אשתו אינו נושא אחותה, וכת' דמדברי רש"י לא משמע כן. [ומבואר ברש"י דרשאי לישא אחותה].</w:t>
      </w:r>
    </w:p>
  </w:footnote>
  <w:footnote w:id="6107">
    <w:p w14:paraId="6AB2A687" w14:textId="77777777" w:rsidR="006C4368" w:rsidRDefault="006C4368" w:rsidP="006C4368">
      <w:pPr>
        <w:pStyle w:val="Footnote"/>
        <w:bidi/>
      </w:pPr>
      <w:r>
        <w:rPr>
          <w:rStyle w:val="ac"/>
          <w:rtl/>
        </w:rPr>
        <w:footnoteRef/>
      </w:r>
      <w:r>
        <w:rPr>
          <w:rtl/>
        </w:rPr>
        <w:t>ואף דנשוי בזאת ראשון, אילו יתפוס אישות באחותה תיאסר אשתו עליו. [ולא אמרי' דאינו בדין שתוציא זה מפני זה, וע"ד מש"כ הרמב"ן לעיל יח:].</w:t>
      </w:r>
    </w:p>
  </w:footnote>
  <w:footnote w:id="6108">
    <w:p w14:paraId="62AB8A4B" w14:textId="77777777" w:rsidR="006C4368" w:rsidRDefault="006C4368" w:rsidP="006C4368">
      <w:pPr>
        <w:pStyle w:val="Footnote"/>
        <w:bidi/>
      </w:pPr>
      <w:r>
        <w:rPr>
          <w:rStyle w:val="ac"/>
          <w:rtl/>
        </w:rPr>
        <w:footnoteRef/>
      </w:r>
      <w:r>
        <w:rPr>
          <w:rtl/>
        </w:rPr>
        <w:t>משמע אף קודם שיתן גט. [וע"ע מש"כ לעיל פט. בשם רע"א והט"ז ד ט].</w:t>
      </w:r>
    </w:p>
  </w:footnote>
  <w:footnote w:id="6109">
    <w:p w14:paraId="69E545BF" w14:textId="77777777" w:rsidR="006C4368" w:rsidRDefault="006C4368" w:rsidP="006C4368">
      <w:pPr>
        <w:pStyle w:val="Footnote"/>
        <w:bidi/>
      </w:pPr>
      <w:r>
        <w:rPr>
          <w:rStyle w:val="ac"/>
          <w:rtl/>
        </w:rPr>
        <w:footnoteRef/>
      </w:r>
      <w:r>
        <w:rPr>
          <w:rtl/>
        </w:rPr>
        <w:t>וה</w:t>
      </w:r>
      <w:r>
        <w:rPr>
          <w:b/>
          <w:bCs/>
          <w:rtl/>
        </w:rPr>
        <w:t>ריטב"א</w:t>
      </w:r>
      <w:r>
        <w:rPr>
          <w:rtl/>
        </w:rPr>
        <w:t xml:space="preserve"> (בתי') ביאר שאילו נותן גט לאשת גיסו עשיתו כמקיים קדושיו ותאסר אשתו עליו מדין אחות גרושתו. וה</w:t>
      </w:r>
      <w:r>
        <w:rPr>
          <w:b/>
          <w:bCs/>
          <w:rtl/>
        </w:rPr>
        <w:t>ראשונים</w:t>
      </w:r>
      <w:r>
        <w:rPr>
          <w:rtl/>
        </w:rPr>
        <w:t xml:space="preserve"> הביאו כן מהגמ' (קידושין סה.). וכן ה</w:t>
      </w:r>
      <w:r>
        <w:rPr>
          <w:b/>
          <w:bCs/>
          <w:rtl/>
        </w:rPr>
        <w:t>ר"ן</w:t>
      </w:r>
      <w:r>
        <w:rPr>
          <w:rtl/>
        </w:rPr>
        <w:t xml:space="preserve"> (קידושין שם כח. בדה"ר) כת' דהאשה שאומרת קדשתני והבעל מכחיש, וביקשו שיתן לה גט, נאסר עי"ז בקרובותיה. ואף שהבעל אינו מודה שקידש, דמ"מ נראה כנושא קרובת גרושתו. אך ה</w:t>
      </w:r>
      <w:r>
        <w:rPr>
          <w:b/>
          <w:bCs/>
          <w:rtl/>
        </w:rPr>
        <w:t>מרדכי</w:t>
      </w:r>
      <w:r>
        <w:rPr>
          <w:rtl/>
        </w:rPr>
        <w:t xml:space="preserve"> (קידושין תקלא) הביא מח' בכעי"ז.</w:t>
      </w:r>
    </w:p>
    <w:p w14:paraId="1BB19CCF" w14:textId="77777777" w:rsidR="006C4368" w:rsidRDefault="006C4368" w:rsidP="006C4368">
      <w:pPr>
        <w:pStyle w:val="Footnote"/>
        <w:bidi/>
      </w:pPr>
      <w:r>
        <w:rPr>
          <w:rtl/>
        </w:rPr>
        <w:tab/>
        <w:t>ובמשנה (צב.) מבואר דנתקדשה ואח"כ בא בעלה אע"פ שנתן לה גט מותרת לכהונה, דאינה גט כלל. אבל כל היכא דחייב גט ע"פ איזה דין אסורה לכהונה, ולכאורה ה"ה לקרובותיה.</w:t>
      </w:r>
    </w:p>
  </w:footnote>
  <w:footnote w:id="6110">
    <w:p w14:paraId="07D984AC" w14:textId="77777777" w:rsidR="006C4368" w:rsidRDefault="006C4368" w:rsidP="006C4368">
      <w:pPr>
        <w:pStyle w:val="Footnote"/>
        <w:bidi/>
      </w:pPr>
      <w:r>
        <w:rPr>
          <w:rStyle w:val="ac"/>
          <w:rtl/>
        </w:rPr>
        <w:footnoteRef/>
      </w:r>
      <w:r>
        <w:rPr>
          <w:rtl/>
        </w:rPr>
        <w:t>לכאורה כוונת הריטב"א דלאחר הגט אסורה עליו. א"כ אילו מעגן את אשת גיסו, לא נאסר באשתו [אף להך מ"ד]. ואפשר דמחוייב ליתן גט, דתקנו דתצא מזה ומזה דהוה חלק מהקנס. [ולא רק כדי להתיר את אשת גיסו לשוק]. ועוד אפשר דכוונת הריטב"א דאף קודם שיגרש, כיון דתקנו שיגרש עי"ז נחשב שיש אישות ביניהם, ואסור באחותה. [וקרוב למש"כ ע"פ דברי רש"י צה:].</w:t>
      </w:r>
    </w:p>
  </w:footnote>
  <w:footnote w:id="6111">
    <w:p w14:paraId="3EC37B4C" w14:textId="77777777" w:rsidR="006C4368" w:rsidRDefault="006C4368" w:rsidP="006C4368">
      <w:pPr>
        <w:pStyle w:val="Footnote"/>
        <w:bidi/>
      </w:pPr>
      <w:r>
        <w:rPr>
          <w:rStyle w:val="ac"/>
          <w:rtl/>
        </w:rPr>
        <w:footnoteRef/>
      </w:r>
      <w:r>
        <w:rPr>
          <w:rtl/>
        </w:rPr>
        <w:t>אך בדברי התוס' לא משמע דזהו עיקר הנידון בסוגיין, ומשמע דס"ד דאשתו אסורה משום 'מיגו', אף דל"ש גט.</w:t>
      </w:r>
    </w:p>
  </w:footnote>
  <w:footnote w:id="6112">
    <w:p w14:paraId="6C5DF104" w14:textId="77777777" w:rsidR="006C4368" w:rsidRDefault="006C4368" w:rsidP="006C4368">
      <w:pPr>
        <w:pStyle w:val="Footnote"/>
        <w:bidi/>
      </w:pPr>
      <w:r>
        <w:rPr>
          <w:rStyle w:val="ac"/>
          <w:rtl/>
        </w:rPr>
        <w:footnoteRef/>
      </w:r>
      <w:r>
        <w:rPr>
          <w:rtl/>
        </w:rPr>
        <w:t>ועל דרך מש"כ ה</w:t>
      </w:r>
      <w:r>
        <w:rPr>
          <w:b/>
          <w:bCs/>
          <w:rtl/>
        </w:rPr>
        <w:t>רא"ש</w:t>
      </w:r>
      <w:r>
        <w:rPr>
          <w:rtl/>
        </w:rPr>
        <w:t xml:space="preserve"> (כתובות ג: א ד) דלא חל איסור לבועל בעכו"ם כיון דבלא"ה אסור עליו. וע"פ הגמ' (סוטה כו.). ואף דקרינן ונטמאה לאסור לבעל, לא קרינן ונטמאה לבועל.</w:t>
      </w:r>
    </w:p>
  </w:footnote>
  <w:footnote w:id="6113">
    <w:p w14:paraId="6AF4218F" w14:textId="77777777" w:rsidR="006C4368" w:rsidRDefault="006C4368" w:rsidP="006C4368">
      <w:pPr>
        <w:pStyle w:val="Footnote"/>
        <w:bidi/>
      </w:pPr>
      <w:r>
        <w:rPr>
          <w:rStyle w:val="ac"/>
          <w:rtl/>
        </w:rPr>
        <w:footnoteRef/>
      </w:r>
      <w:r>
        <w:rPr>
          <w:rtl/>
        </w:rPr>
        <w:t>וה</w:t>
      </w:r>
      <w:r>
        <w:rPr>
          <w:b/>
          <w:bCs/>
          <w:rtl/>
        </w:rPr>
        <w:t>ריטב"א</w:t>
      </w:r>
      <w:r>
        <w:rPr>
          <w:rtl/>
        </w:rPr>
        <w:t xml:space="preserve"> (לעיל פט.) נקט דטעם לברר איסורא הוה טעם בפנ"ע, וכגירסת הרי"ף ['אלא'] דהגמ' חזרה בה מסברת גירש זה. אבל ה</w:t>
      </w:r>
      <w:r>
        <w:rPr>
          <w:b/>
          <w:bCs/>
          <w:rtl/>
        </w:rPr>
        <w:t xml:space="preserve">רמב"ן </w:t>
      </w:r>
      <w:r>
        <w:rPr>
          <w:rtl/>
        </w:rPr>
        <w:t>ו</w:t>
      </w:r>
      <w:r>
        <w:rPr>
          <w:b/>
          <w:bCs/>
          <w:rtl/>
        </w:rPr>
        <w:t>רשב"א</w:t>
      </w:r>
      <w:r>
        <w:rPr>
          <w:rtl/>
        </w:rPr>
        <w:t xml:space="preserve"> (לעיל שם) נקטו דלברר איסורא הוה השלמה לדברי רש"י, והוה טעם דהחמירו משום גירש זה. [ועפ"ז ניחא. ובתי' הריטב"א מבואר דאף לריטב"א עכ"פ גדר הקנס מישך לחששא דגירש זה ונשא זה].</w:t>
      </w:r>
    </w:p>
  </w:footnote>
  <w:footnote w:id="6114">
    <w:p w14:paraId="32B85593" w14:textId="77777777" w:rsidR="006C4368" w:rsidRDefault="006C4368" w:rsidP="006C4368">
      <w:pPr>
        <w:pStyle w:val="Footnote"/>
        <w:bidi/>
      </w:pPr>
      <w:r>
        <w:rPr>
          <w:rStyle w:val="ac"/>
          <w:rtl/>
        </w:rPr>
        <w:footnoteRef/>
      </w:r>
      <w:r>
        <w:rPr>
          <w:rtl/>
        </w:rPr>
        <w:t>דהגמ' (לעיל פט.) הו' טעם זה רק כלפי הגט. וע"ע משנ"ל (שם י ד) דהאריך טובא בזה.</w:t>
      </w:r>
    </w:p>
  </w:footnote>
  <w:footnote w:id="6115">
    <w:p w14:paraId="64B7AE29" w14:textId="77777777" w:rsidR="006C4368" w:rsidRDefault="006C4368" w:rsidP="006C4368">
      <w:pPr>
        <w:pStyle w:val="Footnote"/>
        <w:bidi/>
      </w:pPr>
      <w:r>
        <w:rPr>
          <w:rStyle w:val="ac"/>
          <w:rtl/>
        </w:rPr>
        <w:footnoteRef/>
      </w:r>
      <w:r>
        <w:rPr>
          <w:rtl/>
        </w:rPr>
        <w:t xml:space="preserve">וכ"כ </w:t>
      </w:r>
      <w:r>
        <w:rPr>
          <w:b/>
          <w:bCs/>
          <w:rtl/>
        </w:rPr>
        <w:t>רש"י</w:t>
      </w:r>
      <w:r>
        <w:rPr>
          <w:rtl/>
        </w:rPr>
        <w:t xml:space="preserve"> (צא: ד"ה חוץ מא"א) וכיון דבעינן גיטא, אלמא מילתא הוא ומיתסרא אקמא.</w:t>
      </w:r>
    </w:p>
  </w:footnote>
  <w:footnote w:id="6116">
    <w:p w14:paraId="75A138DA" w14:textId="77777777" w:rsidR="006C4368" w:rsidRDefault="006C4368" w:rsidP="006C4368">
      <w:pPr>
        <w:pStyle w:val="Footnote"/>
        <w:bidi/>
      </w:pPr>
      <w:r>
        <w:rPr>
          <w:rStyle w:val="ac"/>
          <w:rtl/>
        </w:rPr>
        <w:footnoteRef/>
      </w:r>
      <w:r>
        <w:rPr>
          <w:rtl/>
        </w:rPr>
        <w:t>ופרש"י דלס"ד אפי' בנישואין אמרי' הכי, אלא דטעמא לא ידעינן. והרי"ף הביא חזינן מאן דכתב [דאף למסקנא] לא חילקו בין קידושין לנישואין.</w:t>
      </w:r>
    </w:p>
  </w:footnote>
  <w:footnote w:id="6117">
    <w:p w14:paraId="450EFADB" w14:textId="77777777" w:rsidR="006C4368" w:rsidRDefault="006C4368" w:rsidP="006C4368">
      <w:pPr>
        <w:pStyle w:val="Footnote"/>
        <w:bidi/>
      </w:pPr>
      <w:r>
        <w:rPr>
          <w:rStyle w:val="ac"/>
          <w:rtl/>
        </w:rPr>
        <w:footnoteRef/>
      </w:r>
      <w:r>
        <w:rPr>
          <w:rtl/>
        </w:rPr>
        <w:t>וה</w:t>
      </w:r>
      <w:r>
        <w:rPr>
          <w:b/>
          <w:bCs/>
          <w:rtl/>
        </w:rPr>
        <w:t>ריטב"א</w:t>
      </w:r>
      <w:r>
        <w:rPr>
          <w:rtl/>
        </w:rPr>
        <w:t xml:space="preserve"> הביא ד</w:t>
      </w:r>
      <w:r>
        <w:rPr>
          <w:b/>
          <w:bCs/>
          <w:rtl/>
        </w:rPr>
        <w:t>תוס</w:t>
      </w:r>
      <w:r>
        <w:rPr>
          <w:rtl/>
        </w:rPr>
        <w:t>' הק' אמאי איצטריך לגמ' להקדים ואע"ג דאזיל אשתו וגיסו וכו'. [ונקט דכ"ז מדברי המקשן], הא אף פנויה אמרי' הכי. ותי' דאלומי מאלמינן לקושיין.</w:t>
      </w:r>
    </w:p>
  </w:footnote>
  <w:footnote w:id="6118">
    <w:p w14:paraId="6ABA808B" w14:textId="77777777" w:rsidR="006C4368" w:rsidRDefault="006C4368" w:rsidP="006C4368">
      <w:pPr>
        <w:pStyle w:val="Footnote"/>
        <w:bidi/>
      </w:pPr>
      <w:r>
        <w:rPr>
          <w:rStyle w:val="ac"/>
          <w:rtl/>
        </w:rPr>
        <w:footnoteRef/>
      </w:r>
      <w:r>
        <w:rPr>
          <w:rtl/>
        </w:rPr>
        <w:t>ומדברי ה</w:t>
      </w:r>
      <w:r>
        <w:rPr>
          <w:b/>
          <w:bCs/>
          <w:rtl/>
        </w:rPr>
        <w:t>רמב"ם</w:t>
      </w:r>
      <w:r>
        <w:rPr>
          <w:rtl/>
        </w:rPr>
        <w:t xml:space="preserve"> (איסו"ב) משמע דאף נאף עם אחות ארוסתו אוסר עליו את אשתו. וה</w:t>
      </w:r>
      <w:r>
        <w:rPr>
          <w:b/>
          <w:bCs/>
          <w:rtl/>
        </w:rPr>
        <w:t>ראב"ד</w:t>
      </w:r>
      <w:r>
        <w:rPr>
          <w:rtl/>
        </w:rPr>
        <w:t xml:space="preserve"> השיג דדוקא שמע שמתה ונשא אחותה, דלא נתכוון לעבירה וצריכה גט ומש"ה יאמרו תנאי היה. אבל בזנות הוה שיבוש גדול, ואין לנו לחשוש שיאמרו שבא עליה דרך היתר. [וכת' דע"ז היה ראוי לגנוז שער זה]. ו</w:t>
      </w:r>
      <w:r>
        <w:rPr>
          <w:b/>
          <w:bCs/>
          <w:rtl/>
        </w:rPr>
        <w:t>ה"ה</w:t>
      </w:r>
      <w:r>
        <w:rPr>
          <w:rtl/>
        </w:rPr>
        <w:t xml:space="preserve"> כת' דהרמב"ם סמך אמה שפירש דבריו בהלכות גירושין.</w:t>
      </w:r>
    </w:p>
  </w:footnote>
  <w:footnote w:id="6119">
    <w:p w14:paraId="0FE23E4C" w14:textId="77777777" w:rsidR="006C4368" w:rsidRDefault="006C4368" w:rsidP="006C4368">
      <w:pPr>
        <w:pStyle w:val="Footnote"/>
        <w:bidi/>
      </w:pPr>
      <w:r>
        <w:rPr>
          <w:rStyle w:val="ac"/>
          <w:rtl/>
        </w:rPr>
        <w:footnoteRef/>
      </w:r>
      <w:r>
        <w:rPr>
          <w:rtl/>
        </w:rPr>
        <w:t xml:space="preserve">אך </w:t>
      </w:r>
      <w:r>
        <w:rPr>
          <w:b/>
          <w:bCs/>
          <w:rtl/>
        </w:rPr>
        <w:t>תוס</w:t>
      </w:r>
      <w:r>
        <w:rPr>
          <w:rtl/>
        </w:rPr>
        <w:t>' (לקמן קז.) הק' דאביי (צה: בסוה"ע) העלה צד דשמואל פסק כר' יוסי ע"פ ר' יצחק נפחא לחלק בין יבמה מהאירוסין [דצריכה גט] ליבמה מהנישואין דל"צ גט משום דל"ש תנאי. ואף דשמואל (בכתובות) ס"ל דיש תנאי בנישואין. [וכן ע"פ דברי רב הונא וכר' אמי כו"ע מודו בזה. אלא דלא הוה מפורש בדברי שמואל].</w:t>
      </w:r>
    </w:p>
  </w:footnote>
  <w:footnote w:id="6120">
    <w:p w14:paraId="757CAF5D" w14:textId="77777777" w:rsidR="006C4368" w:rsidRDefault="006C4368" w:rsidP="006C4368">
      <w:pPr>
        <w:pStyle w:val="Footnote"/>
        <w:bidi/>
      </w:pPr>
      <w:r>
        <w:rPr>
          <w:rStyle w:val="ac"/>
          <w:rtl/>
        </w:rPr>
        <w:footnoteRef/>
      </w:r>
      <w:r>
        <w:rPr>
          <w:rtl/>
        </w:rPr>
        <w:t>ושמואל איירי היכא דאתני להדיא, ומש"ה לא אמרי' דמחל תנאו. אבל רוב העולם מוחלין להדיא בשעת נישואין.</w:t>
      </w:r>
    </w:p>
  </w:footnote>
  <w:footnote w:id="6121">
    <w:p w14:paraId="4B60871C" w14:textId="77777777" w:rsidR="006C4368" w:rsidRDefault="006C4368" w:rsidP="006C4368">
      <w:pPr>
        <w:pStyle w:val="Footnote"/>
        <w:bidi/>
      </w:pPr>
      <w:r>
        <w:rPr>
          <w:rStyle w:val="ac"/>
          <w:rtl/>
        </w:rPr>
        <w:footnoteRef/>
      </w:r>
      <w:r>
        <w:rPr>
          <w:rtl/>
        </w:rPr>
        <w:t>דהא לא קי"ל כרב המנונא קא מיפלגי, וגם לא מסתבר דפליגי בקידושין תופסין ביבמה, דהא איפליגו בה כבר חדא זימנא.</w:t>
      </w:r>
    </w:p>
  </w:footnote>
  <w:footnote w:id="6122">
    <w:p w14:paraId="512C0E9E" w14:textId="77777777" w:rsidR="006C4368" w:rsidRDefault="006C4368" w:rsidP="006C4368">
      <w:pPr>
        <w:pStyle w:val="Footnote"/>
        <w:bidi/>
      </w:pPr>
      <w:r>
        <w:rPr>
          <w:rStyle w:val="ac"/>
          <w:rtl/>
        </w:rPr>
        <w:footnoteRef/>
      </w:r>
      <w:r>
        <w:rPr>
          <w:rtl/>
        </w:rPr>
        <w:t>וה</w:t>
      </w:r>
      <w:r>
        <w:rPr>
          <w:b/>
          <w:bCs/>
          <w:rtl/>
        </w:rPr>
        <w:t>רא"ש</w:t>
      </w:r>
      <w:r>
        <w:rPr>
          <w:rtl/>
        </w:rPr>
        <w:t xml:space="preserve"> כת' דה"ה לר"ע אשת אביו ואשת אחי אביו, וכל עריות דמיתסרי ע"י קידושין בעיא גט. וה</w:t>
      </w:r>
      <w:r>
        <w:rPr>
          <w:b/>
          <w:bCs/>
          <w:rtl/>
        </w:rPr>
        <w:t>יש"ש</w:t>
      </w:r>
      <w:r>
        <w:rPr>
          <w:rtl/>
        </w:rPr>
        <w:t xml:space="preserve"> (כט) תמה דהיכא דנשאה בעבירה, ומיד ששמעו בי"ד בדבר מפרישין אותן ומה שייך בזה גזירה. [ודוקא בהנך דסבורים שמת, והוה בהיתר].</w:t>
      </w:r>
    </w:p>
  </w:footnote>
  <w:footnote w:id="6123">
    <w:p w14:paraId="2239AE40" w14:textId="77777777" w:rsidR="006C4368" w:rsidRDefault="006C4368" w:rsidP="006C4368">
      <w:pPr>
        <w:pStyle w:val="Footnote"/>
        <w:bidi/>
      </w:pPr>
      <w:r>
        <w:rPr>
          <w:rStyle w:val="ac"/>
          <w:rtl/>
        </w:rPr>
        <w:footnoteRef/>
      </w:r>
      <w:r>
        <w:rPr>
          <w:rtl/>
        </w:rPr>
        <w:t>ועד"ז כת' ה</w:t>
      </w:r>
      <w:r>
        <w:rPr>
          <w:b/>
          <w:bCs/>
          <w:rtl/>
        </w:rPr>
        <w:t>מאירי</w:t>
      </w:r>
      <w:r>
        <w:rPr>
          <w:rtl/>
        </w:rPr>
        <w:t xml:space="preserve"> דשאר עריות, כגון אשת אביו וכלתו ובת אשתו וחברותיהן, מאחר שאין להם היתר לאחר איסורן אין שם אישות חל עליהן כלל.</w:t>
      </w:r>
    </w:p>
  </w:footnote>
  <w:footnote w:id="6124">
    <w:p w14:paraId="19DE817A" w14:textId="77777777" w:rsidR="006C4368" w:rsidRDefault="006C4368" w:rsidP="006C4368">
      <w:pPr>
        <w:pStyle w:val="Footnote"/>
        <w:bidi/>
      </w:pPr>
      <w:r>
        <w:rPr>
          <w:rStyle w:val="ac"/>
          <w:rtl/>
        </w:rPr>
        <w:footnoteRef/>
      </w:r>
      <w:r>
        <w:rPr>
          <w:rtl/>
        </w:rPr>
        <w:t>וה</w:t>
      </w:r>
      <w:r>
        <w:rPr>
          <w:b/>
          <w:bCs/>
          <w:rtl/>
        </w:rPr>
        <w:t>ריטב"א</w:t>
      </w:r>
      <w:r>
        <w:rPr>
          <w:rtl/>
        </w:rPr>
        <w:t xml:space="preserve"> ביאר דכרת דחמותו ילפא מאשה ובתה, וקי"ל דון מינה ואוקי באתרא. וכי היכי דשריפה דכתיבא בה ליתא לאחר מיתה, ה"נ לית בה כרת לאחר מיתה, ומה"ט נמי ליכא לאו.</w:t>
      </w:r>
    </w:p>
  </w:footnote>
  <w:footnote w:id="6125">
    <w:p w14:paraId="0819EFF4" w14:textId="77777777" w:rsidR="006C4368" w:rsidRDefault="006C4368" w:rsidP="006C4368">
      <w:pPr>
        <w:pStyle w:val="Footnote"/>
        <w:bidi/>
      </w:pPr>
      <w:r>
        <w:rPr>
          <w:rStyle w:val="ac"/>
          <w:rtl/>
        </w:rPr>
        <w:footnoteRef/>
      </w:r>
      <w:r>
        <w:rPr>
          <w:rtl/>
        </w:rPr>
        <w:t>אך ה</w:t>
      </w:r>
      <w:r>
        <w:rPr>
          <w:b/>
          <w:bCs/>
          <w:rtl/>
        </w:rPr>
        <w:t>ריטב"א</w:t>
      </w:r>
      <w:r>
        <w:rPr>
          <w:rtl/>
        </w:rPr>
        <w:t xml:space="preserve"> (כאן) הביא בשם רש"י דאיסורא דאורייתא, לאו וכרת.</w:t>
      </w:r>
    </w:p>
  </w:footnote>
  <w:footnote w:id="6126">
    <w:p w14:paraId="661713D1" w14:textId="77777777" w:rsidR="006C4368" w:rsidRDefault="006C4368" w:rsidP="006C4368">
      <w:pPr>
        <w:pStyle w:val="Footnote"/>
        <w:bidi/>
      </w:pPr>
      <w:r>
        <w:rPr>
          <w:rStyle w:val="ac"/>
          <w:rtl/>
        </w:rPr>
        <w:footnoteRef/>
      </w:r>
      <w:r>
        <w:rPr>
          <w:rtl/>
        </w:rPr>
        <w:t>וכה"ק ב</w:t>
      </w:r>
      <w:r>
        <w:rPr>
          <w:b/>
          <w:bCs/>
          <w:rtl/>
        </w:rPr>
        <w:t>ירושלמי</w:t>
      </w:r>
      <w:r>
        <w:rPr>
          <w:rtl/>
        </w:rPr>
        <w:t xml:space="preserve"> (כאן ו, הו' ביפ"ע) דפי' טעם המשנה דדרשי' אותה שכיבתה אוסרתה, ואין שכיבת אחרת אוסרתה. והירושלמי מק' אף הכא תחת אישך פרט לאונסין [ואפ"ה גזרו, א"כ מ"ש דלא גזרו לאסור על אחות אשתו].</w:t>
      </w:r>
    </w:p>
    <w:p w14:paraId="1E603143" w14:textId="77777777" w:rsidR="006C4368" w:rsidRDefault="006C4368" w:rsidP="006C4368">
      <w:pPr>
        <w:pStyle w:val="Footnote"/>
        <w:bidi/>
      </w:pPr>
      <w:r>
        <w:rPr>
          <w:rtl/>
        </w:rPr>
        <w:tab/>
        <w:t>והירושלמי תי' דגזרו על דבר המצוי, ולא גזרו על דבר שאינו מצוי. דרך האיש לצאת למדינת הים, ואין דרכה של אשה לצאת למדה"י.</w:t>
      </w:r>
    </w:p>
  </w:footnote>
  <w:footnote w:id="6127">
    <w:p w14:paraId="6B4EA63D" w14:textId="77777777" w:rsidR="006C4368" w:rsidRDefault="006C4368" w:rsidP="006C4368">
      <w:pPr>
        <w:pStyle w:val="Footnote"/>
        <w:bidi/>
      </w:pPr>
      <w:r>
        <w:rPr>
          <w:rStyle w:val="ac"/>
          <w:rtl/>
        </w:rPr>
        <w:footnoteRef/>
      </w:r>
      <w:r>
        <w:rPr>
          <w:rtl/>
        </w:rPr>
        <w:t>וכן מבואר ב</w:t>
      </w:r>
      <w:r>
        <w:rPr>
          <w:b/>
          <w:bCs/>
          <w:rtl/>
        </w:rPr>
        <w:t>תוס</w:t>
      </w:r>
      <w:r>
        <w:rPr>
          <w:rtl/>
        </w:rPr>
        <w:t>' (לעיל צב: וגיטין שם) שהביאו ע"פ סוגיין דיבמה שנשאת לשוק ל"ש גזירה דיאמרו גירש זה ונשא זה [למ"ד דבמזיד לא מיתסרא], ומש"ה בשוגג לא גזרו שמא יאמרו גירש זה ונשאה זה.</w:t>
      </w:r>
    </w:p>
  </w:footnote>
  <w:footnote w:id="6128">
    <w:p w14:paraId="434C5644" w14:textId="77777777" w:rsidR="006C4368" w:rsidRDefault="006C4368" w:rsidP="006C4368">
      <w:pPr>
        <w:pStyle w:val="Footnote"/>
        <w:bidi/>
      </w:pPr>
      <w:r>
        <w:rPr>
          <w:rStyle w:val="ac"/>
          <w:rtl/>
        </w:rPr>
        <w:footnoteRef/>
      </w:r>
      <w:r>
        <w:rPr>
          <w:rtl/>
        </w:rPr>
        <w:t>וב</w:t>
      </w:r>
      <w:r>
        <w:rPr>
          <w:b/>
          <w:bCs/>
          <w:rtl/>
        </w:rPr>
        <w:t>שו"ת חוט המשולש</w:t>
      </w:r>
      <w:r>
        <w:rPr>
          <w:rtl/>
        </w:rPr>
        <w:t xml:space="preserve"> (א יג) כת' דאפשר דמחמת קו' זו פ</w:t>
      </w:r>
      <w:r>
        <w:rPr>
          <w:b/>
          <w:bCs/>
          <w:rtl/>
        </w:rPr>
        <w:t>רש"י</w:t>
      </w:r>
      <w:r>
        <w:rPr>
          <w:rtl/>
        </w:rPr>
        <w:t xml:space="preserve"> (לעיל ד"ה וגיסו) דעד א' נאמן על מיתת אשתו, ודלא כתוס' והראשונים.</w:t>
      </w:r>
    </w:p>
  </w:footnote>
  <w:footnote w:id="6129">
    <w:p w14:paraId="62963BF4" w14:textId="77777777" w:rsidR="006C4368" w:rsidRDefault="006C4368" w:rsidP="006C4368">
      <w:pPr>
        <w:pStyle w:val="Footnote"/>
        <w:bidi/>
      </w:pPr>
      <w:r>
        <w:rPr>
          <w:rStyle w:val="ac"/>
          <w:rtl/>
        </w:rPr>
        <w:footnoteRef/>
      </w:r>
      <w:r>
        <w:rPr>
          <w:rtl/>
        </w:rPr>
        <w:t>וה</w:t>
      </w:r>
      <w:r>
        <w:rPr>
          <w:b/>
          <w:bCs/>
          <w:rtl/>
        </w:rPr>
        <w:t>עצי ארזים</w:t>
      </w:r>
      <w:r>
        <w:rPr>
          <w:rtl/>
        </w:rPr>
        <w:t xml:space="preserve"> (טו, הו' בחת"ס א מ) דן די"ל דאף רב יהודה אסר לההוא גברא את אשתו כל חיי אמה, ומשום חשד דרגיל אצלה. [וכדברי הירושלמי]. אלא דאמר לו דלר' יהודה היה אוסר איסור לעולם. ע"ע חת"ס שם.</w:t>
      </w:r>
    </w:p>
  </w:footnote>
  <w:footnote w:id="6130">
    <w:p w14:paraId="3886E3E5" w14:textId="77777777" w:rsidR="006C4368" w:rsidRDefault="006C4368" w:rsidP="006C4368">
      <w:pPr>
        <w:pStyle w:val="Footnote"/>
        <w:bidi/>
      </w:pPr>
      <w:r>
        <w:rPr>
          <w:rStyle w:val="ac"/>
          <w:rtl/>
        </w:rPr>
        <w:footnoteRef/>
      </w:r>
      <w:r>
        <w:rPr>
          <w:rtl/>
        </w:rPr>
        <w:t>וה</w:t>
      </w:r>
      <w:r>
        <w:rPr>
          <w:b/>
          <w:bCs/>
          <w:rtl/>
        </w:rPr>
        <w:t>ט"ז</w:t>
      </w:r>
      <w:r>
        <w:rPr>
          <w:rtl/>
        </w:rPr>
        <w:t xml:space="preserve"> (שם יט) הק' מקו' הגמ' (לעיל כו.). ועוה"ק הט"ז עד דכופין לגרש נכוף שלא תבא כלל לשם. אלא לפי ראות עיני הבי"ד, אם רואים שקשה הדבר להפרישנה משם ראוי לגדור לכופו לגרש, אבל לא לדינא קאמר.</w:t>
      </w:r>
    </w:p>
  </w:footnote>
  <w:footnote w:id="6131">
    <w:p w14:paraId="29E1A361" w14:textId="77777777" w:rsidR="006C4368" w:rsidRDefault="006C4368" w:rsidP="006C4368">
      <w:pPr>
        <w:pStyle w:val="Footnote"/>
        <w:bidi/>
      </w:pPr>
      <w:r>
        <w:rPr>
          <w:rStyle w:val="ac"/>
          <w:rtl/>
        </w:rPr>
        <w:footnoteRef/>
      </w:r>
      <w:r>
        <w:rPr>
          <w:rtl/>
        </w:rPr>
        <w:t>ו</w:t>
      </w:r>
      <w:r>
        <w:rPr>
          <w:b/>
          <w:bCs/>
          <w:rtl/>
        </w:rPr>
        <w:t>רש"י</w:t>
      </w:r>
      <w:r>
        <w:rPr>
          <w:rtl/>
        </w:rPr>
        <w:t xml:space="preserve"> פי' דעת בי"ש אליבא דר' יהודה [דאף באחות אשתו אוסר] משום ק"ו דסוגיין [ע"ע בסמוך]. ולא משום דילפי' אחות אשתו מאשת אב. [ויל"ד בזה].</w:t>
      </w:r>
    </w:p>
  </w:footnote>
  <w:footnote w:id="6132">
    <w:p w14:paraId="50459C40" w14:textId="77777777" w:rsidR="006C4368" w:rsidRDefault="006C4368" w:rsidP="006C4368">
      <w:pPr>
        <w:pStyle w:val="Footnote"/>
        <w:bidi/>
      </w:pPr>
      <w:r>
        <w:rPr>
          <w:rStyle w:val="ac"/>
          <w:rtl/>
        </w:rPr>
        <w:footnoteRef/>
      </w:r>
      <w:r>
        <w:rPr>
          <w:rtl/>
        </w:rPr>
        <w:t>יל"ע גרושה שניסת לאחר באיסור [וכגון גרושה לכהן], וכי נאמר דכיון דהוה באיסור לא תאסר על הראשון להחזיר.</w:t>
      </w:r>
    </w:p>
  </w:footnote>
  <w:footnote w:id="6133">
    <w:p w14:paraId="19881F31" w14:textId="77777777" w:rsidR="006C4368" w:rsidRDefault="006C4368" w:rsidP="006C4368">
      <w:pPr>
        <w:pStyle w:val="Footnote"/>
        <w:bidi/>
      </w:pPr>
      <w:r>
        <w:rPr>
          <w:rStyle w:val="ac"/>
          <w:rtl/>
        </w:rPr>
        <w:footnoteRef/>
      </w:r>
      <w:r>
        <w:rPr>
          <w:rtl/>
        </w:rPr>
        <w:t>והביא כעי"ז כת' סוגיות דדימו דין דרבנן לדאורייתא.</w:t>
      </w:r>
    </w:p>
    <w:p w14:paraId="16214969" w14:textId="77777777" w:rsidR="006C4368" w:rsidRDefault="006C4368" w:rsidP="006C4368">
      <w:pPr>
        <w:pStyle w:val="Footnote"/>
        <w:bidi/>
      </w:pPr>
      <w:r>
        <w:rPr>
          <w:rtl/>
        </w:rPr>
        <w:tab/>
        <w:t>והביא דהגמ' (זבחים מח:) הק' ולא מצינו טפל חמור מן העיקר, והביא מלקוח מעש"ש שאינו נפדה. ואף ד</w:t>
      </w:r>
      <w:r>
        <w:rPr>
          <w:b/>
          <w:bCs/>
          <w:rtl/>
        </w:rPr>
        <w:t>תוס'</w:t>
      </w:r>
      <w:r>
        <w:rPr>
          <w:rtl/>
        </w:rPr>
        <w:t xml:space="preserve"> (פסחים לח.) כת' דהא דלקוח אינו נפדה הוה מדרבנן. וביאר דה"ק דלא מתקני רבנן מילתא דליכא דכוותה בדאורייתא.</w:t>
      </w:r>
    </w:p>
  </w:footnote>
  <w:footnote w:id="6134">
    <w:p w14:paraId="1609F3E0" w14:textId="77777777" w:rsidR="006C4368" w:rsidRDefault="006C4368" w:rsidP="006C4368">
      <w:pPr>
        <w:pStyle w:val="Footnote"/>
        <w:bidi/>
      </w:pPr>
      <w:r>
        <w:rPr>
          <w:rStyle w:val="ac"/>
          <w:rtl/>
        </w:rPr>
        <w:footnoteRef/>
      </w:r>
      <w:r>
        <w:rPr>
          <w:rtl/>
        </w:rPr>
        <w:t>ואף דבגמ' משמע דילפי' ק"ו ממאמר יבמה, צ"ל דעיקר כוונת הגמ' למצוא סמך דמצאנו יסוד זה דנאסר האוסר. וע"כ קים להו לחז"ל [מסברא דאורייתא] דראוי שיהא אסור.</w:t>
      </w:r>
    </w:p>
  </w:footnote>
  <w:footnote w:id="6135">
    <w:p w14:paraId="16DD8ABB" w14:textId="77777777" w:rsidR="006C4368" w:rsidRDefault="006C4368" w:rsidP="006C4368">
      <w:pPr>
        <w:pStyle w:val="Footnote"/>
        <w:bidi/>
      </w:pPr>
      <w:r>
        <w:rPr>
          <w:rStyle w:val="ac"/>
          <w:rtl/>
        </w:rPr>
        <w:footnoteRef/>
      </w:r>
      <w:r>
        <w:rPr>
          <w:rtl/>
        </w:rPr>
        <w:t>בפשוטו כוונת תוס' דהך ברייתא ס"ל כבי"ש (לעיל כט.), וצ"ע דבהמשך הברייתא הביאו דברי בי"ש ובי"ה, ובפשוטו משמע דקאי אליבא דתרוייהו. ואף דבית הלל (לעיל ל.) ס"ל דמאמר לאו דאורייתא [וכה"ק החזו"א].</w:t>
      </w:r>
    </w:p>
    <w:p w14:paraId="4C1FDDCE" w14:textId="77777777" w:rsidR="006C4368" w:rsidRDefault="006C4368" w:rsidP="006C4368">
      <w:pPr>
        <w:pStyle w:val="Footnote"/>
        <w:bidi/>
      </w:pPr>
      <w:r>
        <w:rPr>
          <w:rtl/>
        </w:rPr>
        <w:tab/>
        <w:t xml:space="preserve">[אך י"ל דכאן באו לפרש דברי ת"ק (אבא חנן א"ר אלעזר בע"ב), ובאמת ר' יוסי ור' יהודה דנו מדרשא אחרת. אך </w:t>
      </w:r>
      <w:r>
        <w:rPr>
          <w:b/>
          <w:bCs/>
          <w:rtl/>
        </w:rPr>
        <w:t>רש"י</w:t>
      </w:r>
      <w:r>
        <w:rPr>
          <w:rtl/>
        </w:rPr>
        <w:t xml:space="preserve"> פי' דסמכי אהך ק"ו. ויש לדחות דקאי למסקנא].</w:t>
      </w:r>
    </w:p>
    <w:p w14:paraId="7D8D18AD" w14:textId="77777777" w:rsidR="006C4368" w:rsidRDefault="006C4368" w:rsidP="006C4368">
      <w:pPr>
        <w:pStyle w:val="Footnote"/>
        <w:bidi/>
      </w:pPr>
      <w:r>
        <w:rPr>
          <w:rtl/>
        </w:rPr>
        <w:tab/>
        <w:t>ויל"פ דלהך לישנא תנא דברייתא סבר דמאמר קונה קנין במקצת מדאורייתא. ובי"ש ס"ל דמאמר קונה קנין גמור [מדאורייתא], ובי"ה פליגי דהוה קנין במקצת, אך מודו דהוה מדאורייתא. וה</w:t>
      </w:r>
      <w:r>
        <w:rPr>
          <w:b/>
          <w:bCs/>
          <w:rtl/>
        </w:rPr>
        <w:t>רשב"א</w:t>
      </w:r>
      <w:r>
        <w:rPr>
          <w:rtl/>
        </w:rPr>
        <w:t xml:space="preserve"> (לעיל נא.) הביא דדעת הירושלמי דלרבן גמליאל מאמר קונה במקצת מדאורייתא. [וה</w:t>
      </w:r>
      <w:r>
        <w:rPr>
          <w:b/>
          <w:bCs/>
          <w:rtl/>
        </w:rPr>
        <w:t>ר"י ב"ר ברוך</w:t>
      </w:r>
      <w:r>
        <w:rPr>
          <w:rtl/>
        </w:rPr>
        <w:t xml:space="preserve"> (בתוס' לעיל נא:) דר' נחמיה סבר מאמר קונה מדאוריתא מק"ו. ותוס' (שם) פליגי]. וע"ע בסמוך.</w:t>
      </w:r>
    </w:p>
    <w:p w14:paraId="28F893D1" w14:textId="77777777" w:rsidR="006C4368" w:rsidRDefault="006C4368" w:rsidP="006C4368">
      <w:pPr>
        <w:pStyle w:val="Footnote"/>
        <w:bidi/>
      </w:pPr>
      <w:r>
        <w:rPr>
          <w:rtl/>
        </w:rPr>
        <w:tab/>
        <w:t>[ולשון ה</w:t>
      </w:r>
      <w:r>
        <w:rPr>
          <w:b/>
          <w:bCs/>
          <w:rtl/>
        </w:rPr>
        <w:t>מהרש"א</w:t>
      </w:r>
      <w:r>
        <w:rPr>
          <w:rtl/>
        </w:rPr>
        <w:t xml:space="preserve"> דכעי"ז מצאנו אליבא דבי"ש דמאמר קנה לדחות בצרה. משמע דהך ברייתא הוה תנא אחר, אלא דעי"ז מצאנו דקנה לדחות בצרה].</w:t>
      </w:r>
    </w:p>
  </w:footnote>
  <w:footnote w:id="6136">
    <w:p w14:paraId="634B9336" w14:textId="77777777" w:rsidR="006C4368" w:rsidRDefault="006C4368" w:rsidP="006C4368">
      <w:pPr>
        <w:pStyle w:val="Footnote"/>
        <w:bidi/>
      </w:pPr>
      <w:r>
        <w:rPr>
          <w:rStyle w:val="ac"/>
          <w:rtl/>
        </w:rPr>
        <w:footnoteRef/>
      </w:r>
      <w:r>
        <w:rPr>
          <w:rtl/>
        </w:rPr>
        <w:t>וה</w:t>
      </w:r>
      <w:r>
        <w:rPr>
          <w:b/>
          <w:bCs/>
          <w:rtl/>
        </w:rPr>
        <w:t>תוס' רא"ש</w:t>
      </w:r>
      <w:r>
        <w:rPr>
          <w:rtl/>
        </w:rPr>
        <w:t xml:space="preserve"> כת' דכן פריך לעיל פ' ד' אחין (כט:) עי"ש. [וצ"ב היכן הגמ' מקשה כן].</w:t>
      </w:r>
    </w:p>
  </w:footnote>
  <w:footnote w:id="6137">
    <w:p w14:paraId="655B7A19" w14:textId="77777777" w:rsidR="006C4368" w:rsidRDefault="006C4368" w:rsidP="006C4368">
      <w:pPr>
        <w:pStyle w:val="Footnote"/>
        <w:bidi/>
      </w:pPr>
      <w:r>
        <w:rPr>
          <w:rStyle w:val="ac"/>
          <w:rtl/>
        </w:rPr>
        <w:footnoteRef/>
      </w:r>
      <w:r>
        <w:rPr>
          <w:rtl/>
        </w:rPr>
        <w:t>ואת"ל דע"י מאמר הוה אשת איש א"כ תקשי דאיסור חמור הוא, דהיינו אשת איש.</w:t>
      </w:r>
    </w:p>
  </w:footnote>
  <w:footnote w:id="6138">
    <w:p w14:paraId="0167F81D" w14:textId="77777777" w:rsidR="006C4368" w:rsidRDefault="006C4368" w:rsidP="006C4368">
      <w:pPr>
        <w:pStyle w:val="Footnote"/>
        <w:bidi/>
      </w:pPr>
      <w:r>
        <w:rPr>
          <w:rStyle w:val="ac"/>
          <w:rtl/>
        </w:rPr>
        <w:footnoteRef/>
      </w:r>
      <w:r>
        <w:rPr>
          <w:rtl/>
        </w:rPr>
        <w:t>וה</w:t>
      </w:r>
      <w:r>
        <w:rPr>
          <w:b/>
          <w:bCs/>
          <w:rtl/>
        </w:rPr>
        <w:t>אחרונים</w:t>
      </w:r>
      <w:r>
        <w:rPr>
          <w:rtl/>
        </w:rPr>
        <w:t xml:space="preserve"> הביאו דכן מפורש (נדרים עה., הו' בתוס' לעיל כט:) אי אתה מודה שאין חייבין עליו סקילה כנערה המאורסה. ולחד מ"ד קאי במאמר לבי"ש. ובפשוטו משמע דלר"א (דס"ל שם כבי"ש) מאמר קונה קנין גמור מדאורייתא ומיפר נדריה, אבל מודה דאין חיוב סקילה. וכ"מ ב</w:t>
      </w:r>
      <w:r>
        <w:rPr>
          <w:b/>
          <w:bCs/>
          <w:rtl/>
        </w:rPr>
        <w:t>ר"ן</w:t>
      </w:r>
      <w:r>
        <w:rPr>
          <w:rtl/>
        </w:rPr>
        <w:t xml:space="preserve"> (נדרים שם) וב</w:t>
      </w:r>
      <w:r>
        <w:rPr>
          <w:b/>
          <w:bCs/>
          <w:rtl/>
        </w:rPr>
        <w:t>רמב"ן</w:t>
      </w:r>
      <w:r>
        <w:rPr>
          <w:rtl/>
        </w:rPr>
        <w:t xml:space="preserve"> (לעיל כט:). אבל ב</w:t>
      </w:r>
      <w:r>
        <w:rPr>
          <w:b/>
          <w:bCs/>
          <w:rtl/>
        </w:rPr>
        <w:t>תוס' הרא"ש</w:t>
      </w:r>
      <w:r>
        <w:rPr>
          <w:rtl/>
        </w:rPr>
        <w:t xml:space="preserve"> (לעיל כט: ונדרים שם) נקט דלמ"ד קונה קנין גמור חייבין סקילה. [וכן ה</w:t>
      </w:r>
      <w:r>
        <w:rPr>
          <w:b/>
          <w:bCs/>
          <w:rtl/>
        </w:rPr>
        <w:t>תוס</w:t>
      </w:r>
      <w:r>
        <w:rPr>
          <w:rtl/>
        </w:rPr>
        <w:t>' (מכת"י נדרים שם) תמהו בזה]. [וע"ע מש"כ בזה לעיל כט.].</w:t>
      </w:r>
    </w:p>
  </w:footnote>
  <w:footnote w:id="6139">
    <w:p w14:paraId="0CA61AA6" w14:textId="77777777" w:rsidR="006C4368" w:rsidRDefault="006C4368" w:rsidP="006C4368">
      <w:pPr>
        <w:pStyle w:val="Footnote"/>
        <w:bidi/>
      </w:pPr>
      <w:r>
        <w:rPr>
          <w:rStyle w:val="ac"/>
          <w:rtl/>
        </w:rPr>
        <w:footnoteRef/>
      </w:r>
      <w:r>
        <w:rPr>
          <w:rtl/>
        </w:rPr>
        <w:t>ולפ"ז הגמ' (כאן) כמ"ד (לעיל כט.) דקנה מדאורייתא לדחות בצרה, או דוחה ומשייר. אבל למ"ד קונה קנין גמור הוה אשת איש גמור.</w:t>
      </w:r>
    </w:p>
  </w:footnote>
  <w:footnote w:id="6140">
    <w:p w14:paraId="5B5908ED" w14:textId="77777777" w:rsidR="006C4368" w:rsidRDefault="006C4368" w:rsidP="006C4368">
      <w:pPr>
        <w:pStyle w:val="Footnote"/>
        <w:bidi/>
      </w:pPr>
      <w:r>
        <w:rPr>
          <w:rStyle w:val="ac"/>
          <w:rtl/>
        </w:rPr>
        <w:footnoteRef/>
      </w:r>
      <w:r>
        <w:rPr>
          <w:rtl/>
        </w:rPr>
        <w:t>אך ה</w:t>
      </w:r>
      <w:r>
        <w:rPr>
          <w:b/>
          <w:bCs/>
          <w:rtl/>
        </w:rPr>
        <w:t>תוס' רא"ש</w:t>
      </w:r>
      <w:r>
        <w:rPr>
          <w:rtl/>
        </w:rPr>
        <w:t xml:space="preserve"> הק' דשיטתו, דבפי' הרא"ש (נדרים שם) כת' דר' יהושע [דאמר דמצי אסר עליה בגט] לא ס"ל כבי"ש. [דלבי"ש ל"מ גט של אחיו]. [ובפי' הרא"ש משמע דאף לר' אלעזר דלבי"ש קנה לדחות בצרה, אפ"ה ל"מ גט לאסור עליו].</w:t>
      </w:r>
    </w:p>
    <w:p w14:paraId="01B86167" w14:textId="77777777" w:rsidR="006C4368" w:rsidRDefault="006C4368" w:rsidP="006C4368">
      <w:pPr>
        <w:pStyle w:val="Footnote"/>
        <w:bidi/>
      </w:pPr>
      <w:r>
        <w:rPr>
          <w:rtl/>
        </w:rPr>
        <w:tab/>
        <w:t>ו</w:t>
      </w:r>
      <w:r>
        <w:rPr>
          <w:b/>
          <w:bCs/>
          <w:rtl/>
        </w:rPr>
        <w:t>תוס'</w:t>
      </w:r>
      <w:r>
        <w:rPr>
          <w:rtl/>
        </w:rPr>
        <w:t xml:space="preserve"> (נדרים שם מכת"י) כת' דלבי"ש מהני גט לפוסלו מדרבנן. וכיון דמצי פסיל ליה אינו מפר נדריה. [אך בסוגיין קאי מדאורייתא, ואפ"ה מבואר דמהני גט].</w:t>
      </w:r>
    </w:p>
  </w:footnote>
  <w:footnote w:id="6141">
    <w:p w14:paraId="197D5A6D" w14:textId="77777777" w:rsidR="006C4368" w:rsidRDefault="006C4368" w:rsidP="006C4368">
      <w:pPr>
        <w:pStyle w:val="Footnote"/>
        <w:bidi/>
      </w:pPr>
      <w:r>
        <w:rPr>
          <w:rStyle w:val="ac"/>
          <w:rtl/>
        </w:rPr>
        <w:footnoteRef/>
      </w:r>
      <w:r>
        <w:rPr>
          <w:rtl/>
        </w:rPr>
        <w:t>וא"כ איכא למיפרך דנטמא הגוף ואיסורו ברוב.</w:t>
      </w:r>
    </w:p>
  </w:footnote>
  <w:footnote w:id="6142">
    <w:p w14:paraId="7902CF4E" w14:textId="77777777" w:rsidR="006C4368" w:rsidRDefault="006C4368" w:rsidP="006C4368">
      <w:pPr>
        <w:pStyle w:val="Footnote"/>
        <w:bidi/>
      </w:pPr>
      <w:r>
        <w:rPr>
          <w:rStyle w:val="ac"/>
          <w:rtl/>
        </w:rPr>
        <w:footnoteRef/>
      </w:r>
      <w:r>
        <w:rPr>
          <w:rtl/>
        </w:rPr>
        <w:t>ואף דכלפי עלמא הוה אשת איש, וכן קרובותיה אסורות לו בתורת ודאי ופקע זיקה. מ"מ בינתיים זקוקה אף לשאר יבמים.</w:t>
      </w:r>
    </w:p>
  </w:footnote>
  <w:footnote w:id="6143">
    <w:p w14:paraId="7BD7CDA8" w14:textId="77777777" w:rsidR="006C4368" w:rsidRDefault="006C4368" w:rsidP="006C4368">
      <w:pPr>
        <w:pStyle w:val="Footnote"/>
        <w:bidi/>
      </w:pPr>
      <w:r>
        <w:rPr>
          <w:rStyle w:val="ac"/>
          <w:rtl/>
        </w:rPr>
        <w:footnoteRef/>
      </w:r>
      <w:r>
        <w:rPr>
          <w:rtl/>
        </w:rPr>
        <w:t>ועוד דבגמ' (לעיל נ:) מבואר דהמח' ר"ג ורבנן בגזירות.</w:t>
      </w:r>
    </w:p>
  </w:footnote>
  <w:footnote w:id="6144">
    <w:p w14:paraId="20F99CA5" w14:textId="77777777" w:rsidR="006C4368" w:rsidRDefault="006C4368" w:rsidP="006C4368">
      <w:pPr>
        <w:pStyle w:val="Footnote"/>
        <w:bidi/>
      </w:pPr>
      <w:r>
        <w:rPr>
          <w:rStyle w:val="ac"/>
          <w:rtl/>
        </w:rPr>
        <w:footnoteRef/>
      </w:r>
      <w:r>
        <w:rPr>
          <w:rtl/>
        </w:rPr>
        <w:t>וה</w:t>
      </w:r>
      <w:r>
        <w:rPr>
          <w:b/>
          <w:bCs/>
          <w:rtl/>
        </w:rPr>
        <w:t>רשב"א</w:t>
      </w:r>
      <w:r>
        <w:rPr>
          <w:rtl/>
        </w:rPr>
        <w:t xml:space="preserve"> (לעיל נא., ע"ע בדבריו נא: ונב.) הביא דדעת הירושלמי דלר"ג מאמר קונה במקצת מדאורייתא. [ובפשוטו כן מוכח בסוגיין]. ודלא כגמ' דידן (לעיל נ: ונא.) דנח' רבנן ור"ג בגדרי הגזירות.</w:t>
      </w:r>
    </w:p>
  </w:footnote>
  <w:footnote w:id="6145">
    <w:p w14:paraId="22FB2E19" w14:textId="77777777" w:rsidR="006C4368" w:rsidRDefault="006C4368" w:rsidP="006C4368">
      <w:pPr>
        <w:pStyle w:val="Footnote"/>
        <w:bidi/>
      </w:pPr>
      <w:r>
        <w:rPr>
          <w:rStyle w:val="ac"/>
          <w:rtl/>
        </w:rPr>
        <w:footnoteRef/>
      </w:r>
      <w:r>
        <w:rPr>
          <w:rtl/>
        </w:rPr>
        <w:t>דילפי' מק"ו משאר אישות. ולא דרש למעט כדאי' בגמ' (קידושין יד.).</w:t>
      </w:r>
    </w:p>
  </w:footnote>
  <w:footnote w:id="6146">
    <w:p w14:paraId="19244BDA" w14:textId="77777777" w:rsidR="006C4368" w:rsidRDefault="006C4368" w:rsidP="006C4368">
      <w:pPr>
        <w:pStyle w:val="Footnote"/>
        <w:bidi/>
      </w:pPr>
      <w:r>
        <w:rPr>
          <w:rStyle w:val="ac"/>
          <w:rtl/>
        </w:rPr>
        <w:footnoteRef/>
      </w:r>
      <w:r>
        <w:rPr>
          <w:rtl/>
        </w:rPr>
        <w:t>[ותוס' לא הביאו מסוגיין כלל].</w:t>
      </w:r>
    </w:p>
    <w:p w14:paraId="207EAAB6" w14:textId="77777777" w:rsidR="006C4368" w:rsidRDefault="006C4368" w:rsidP="006C4368">
      <w:pPr>
        <w:pStyle w:val="Footnote"/>
        <w:bidi/>
      </w:pPr>
      <w:r>
        <w:rPr>
          <w:rtl/>
        </w:rPr>
        <w:tab/>
        <w:t>ואפשר דכוונת התוס' דודאי ל"מ גט להתירה לעלמא. אך י"ל דמהני הגט [לזיקה] לאוסרה היבמים. ואסורה במקצת, וצריכה חליצה להתירה לשוק. [וכן ס"ד דהגמ' לעיל נב: דמהני גט מדאורייתא ביבמה. וכן לכאורה דעת הירושלמי (לעיל פרק ר"ג) הו' ברשב"א לעיל נא:]. ועפ"ז אתי שפיר סוגיין.</w:t>
      </w:r>
    </w:p>
  </w:footnote>
  <w:footnote w:id="6147">
    <w:p w14:paraId="3667CAA8" w14:textId="77777777" w:rsidR="006C4368" w:rsidRDefault="006C4368" w:rsidP="006C4368">
      <w:pPr>
        <w:pStyle w:val="Footnote"/>
        <w:bidi/>
      </w:pPr>
      <w:r>
        <w:rPr>
          <w:rStyle w:val="ac"/>
          <w:rtl/>
        </w:rPr>
        <w:footnoteRef/>
      </w:r>
      <w:r>
        <w:rPr>
          <w:rtl/>
        </w:rPr>
        <w:t>והא דיש לה כתובה צ"ל דהוה משום סברא דהבעל אינו רוצה להשקות. וב</w:t>
      </w:r>
      <w:r>
        <w:rPr>
          <w:b/>
          <w:bCs/>
          <w:rtl/>
        </w:rPr>
        <w:t>חי' ר' שמואל</w:t>
      </w:r>
      <w:r>
        <w:rPr>
          <w:rtl/>
        </w:rPr>
        <w:t xml:space="preserve"> (ז) ביאר דהוה דין מסויים בדיני ממונות, כיון שהאשה טוענת ברי והבעל שמא, ובידו לברר, וכיון דאינו רוצה לברר הוא חייב לקבל טענת הברי שלה.</w:t>
      </w:r>
    </w:p>
  </w:footnote>
  <w:footnote w:id="6148">
    <w:p w14:paraId="46D64DE5" w14:textId="77777777" w:rsidR="006C4368" w:rsidRDefault="006C4368" w:rsidP="006C4368">
      <w:pPr>
        <w:pStyle w:val="Footnote"/>
        <w:bidi/>
      </w:pPr>
      <w:r>
        <w:rPr>
          <w:rStyle w:val="ac"/>
          <w:rtl/>
        </w:rPr>
        <w:footnoteRef/>
      </w:r>
      <w:r>
        <w:rPr>
          <w:rtl/>
        </w:rPr>
        <w:t>וה</w:t>
      </w:r>
      <w:r>
        <w:rPr>
          <w:b/>
          <w:bCs/>
          <w:rtl/>
        </w:rPr>
        <w:t>בי"ש</w:t>
      </w:r>
      <w:r>
        <w:rPr>
          <w:rtl/>
        </w:rPr>
        <w:t xml:space="preserve"> כת' דכל זמן שהבעל אינו רוצה להשקות היא אסורה, דל"ש השקאה בע"כ ושלא מרצון הבעל. ונסתפק דשמא כופין את הבעל להשקות כדי לברר הספק. וה</w:t>
      </w:r>
      <w:r>
        <w:rPr>
          <w:b/>
          <w:bCs/>
          <w:rtl/>
        </w:rPr>
        <w:t>פתח"ת</w:t>
      </w:r>
      <w:r>
        <w:rPr>
          <w:rtl/>
        </w:rPr>
        <w:t xml:space="preserve"> (יא ב) וה</w:t>
      </w:r>
      <w:r>
        <w:rPr>
          <w:b/>
          <w:bCs/>
          <w:rtl/>
        </w:rPr>
        <w:t>אבנ"מ</w:t>
      </w:r>
      <w:r>
        <w:rPr>
          <w:rtl/>
        </w:rPr>
        <w:t xml:space="preserve"> (יא א) הביאו את התוס' והמשנ"ל.</w:t>
      </w:r>
    </w:p>
  </w:footnote>
  <w:footnote w:id="6149">
    <w:p w14:paraId="2677333E" w14:textId="77777777" w:rsidR="006C4368" w:rsidRDefault="006C4368" w:rsidP="006C4368">
      <w:pPr>
        <w:pStyle w:val="Footnote"/>
        <w:bidi/>
      </w:pPr>
      <w:r>
        <w:rPr>
          <w:rStyle w:val="ac"/>
          <w:rtl/>
        </w:rPr>
        <w:footnoteRef/>
      </w:r>
      <w:r>
        <w:rPr>
          <w:rtl/>
        </w:rPr>
        <w:t>וכדאמר ר' יוחנן (סנהדרין מז., הוריות יא, זבחים יב) אכל חלב והפריש קרבן ועבד ע"ז וחזר בו, הואיל ונדחה ידחה. ואף דבידו לחזור. [והביא דמבואר (יומא סד) דשייך דיחיו במנחות].</w:t>
      </w:r>
    </w:p>
    <w:p w14:paraId="45F59E53" w14:textId="77777777" w:rsidR="006C4368" w:rsidRDefault="006C4368" w:rsidP="006C4368">
      <w:pPr>
        <w:pStyle w:val="Footnote"/>
        <w:bidi/>
      </w:pPr>
      <w:r>
        <w:rPr>
          <w:rtl/>
        </w:rPr>
        <w:tab/>
        <w:t>והוסיף דמנחת סוטה הוה קרבן של האשה, והאשה אין בידה לעשות שהבעל יחזור בו, וחשיב לאו בידה. ומש"ה הו"ל דיחוי.</w:t>
      </w:r>
    </w:p>
  </w:footnote>
  <w:footnote w:id="6150">
    <w:p w14:paraId="7AC7B6F5" w14:textId="77777777" w:rsidR="006C4368" w:rsidRDefault="006C4368" w:rsidP="006C4368">
      <w:pPr>
        <w:pStyle w:val="Footnote"/>
        <w:bidi/>
      </w:pPr>
      <w:r>
        <w:rPr>
          <w:rStyle w:val="ac"/>
          <w:rtl/>
        </w:rPr>
        <w:footnoteRef/>
      </w:r>
      <w:r>
        <w:rPr>
          <w:rtl/>
        </w:rPr>
        <w:t>ובאו ללמוד אף לאחות אשתו, שאשתו אוסרת את אחותה. וכיון שבא על אחותה, תאסר אשתו.</w:t>
      </w:r>
    </w:p>
  </w:footnote>
  <w:footnote w:id="6151">
    <w:p w14:paraId="5AC2C8EB" w14:textId="77777777" w:rsidR="006C4368" w:rsidRDefault="006C4368" w:rsidP="006C4368">
      <w:pPr>
        <w:pStyle w:val="Footnote"/>
        <w:bidi/>
      </w:pPr>
      <w:r>
        <w:rPr>
          <w:rStyle w:val="ac"/>
          <w:rtl/>
        </w:rPr>
        <w:footnoteRef/>
      </w:r>
      <w:r>
        <w:rPr>
          <w:rtl/>
        </w:rPr>
        <w:t>וציין כן ע"ד ה</w:t>
      </w:r>
      <w:r>
        <w:rPr>
          <w:b/>
          <w:bCs/>
          <w:rtl/>
        </w:rPr>
        <w:t>רא"ש</w:t>
      </w:r>
      <w:r>
        <w:rPr>
          <w:rtl/>
        </w:rPr>
        <w:t xml:space="preserve"> (שם) דהביא (מהגמ' סוטה כו:) דאיצטריך הא דעכו"ם הבא על א"א אוסר על בעלה. דס"ד דכיון דלא קרינא ביה 'ונטמאה' לבועל, כיון דבלא"ה אסורה ליה, א"כ לא קרינא ביה 'ונטמאה' לבעל. דקמ"ל דאפ"ה קרינן ביה ונטמאה לבעל.</w:t>
      </w:r>
    </w:p>
  </w:footnote>
  <w:footnote w:id="6152">
    <w:p w14:paraId="7DA2B935" w14:textId="77777777" w:rsidR="006C4368" w:rsidRDefault="006C4368" w:rsidP="006C4368">
      <w:pPr>
        <w:pStyle w:val="Footnote"/>
        <w:bidi/>
      </w:pPr>
      <w:r>
        <w:rPr>
          <w:rStyle w:val="ac"/>
          <w:rtl/>
        </w:rPr>
        <w:footnoteRef/>
      </w:r>
      <w:r>
        <w:rPr>
          <w:rtl/>
        </w:rPr>
        <w:t>ויל"ד דמ"מ נוסף סיבת איסור ע"י האישות. [ואפשר דכוונתו למ"ד דאין איסור חל על איסור, ואפי' איסור כולל ומוסיף].</w:t>
      </w:r>
    </w:p>
  </w:footnote>
  <w:footnote w:id="6153">
    <w:p w14:paraId="66A81E49" w14:textId="77777777" w:rsidR="006C4368" w:rsidRDefault="006C4368" w:rsidP="006C4368">
      <w:pPr>
        <w:pStyle w:val="Footnote"/>
        <w:bidi/>
      </w:pPr>
      <w:r>
        <w:rPr>
          <w:rStyle w:val="ac"/>
          <w:rtl/>
        </w:rPr>
        <w:footnoteRef/>
      </w:r>
      <w:r>
        <w:rPr>
          <w:rtl/>
        </w:rPr>
        <w:t>לכאורה כוונת הק"נ דהבעל אוסר על הבועל, דבמעשה זו נאסרת עליו לעולם מדין סוטה לבועל. [ובזה הק' הק"נ דלא חל איסור עכשיו על העכו"ם, אלא כשתתגייר]. אבל בפשוטו כוונת הגמ' כאן דאישות הבעל אוסרת על הבועל. ולא שייך לאיסור סוטה לבועל. [והאתוון דאורייתא נקט דזה כוונת הק"נ, והק"נ הק' דאשת איש אינה נאסרת על בני נח, כיון דבלאו הכי אסורה עליו].</w:t>
      </w:r>
    </w:p>
  </w:footnote>
  <w:footnote w:id="6154">
    <w:p w14:paraId="5A9ED66C" w14:textId="77777777" w:rsidR="006C4368" w:rsidRDefault="006C4368" w:rsidP="006C4368">
      <w:pPr>
        <w:pStyle w:val="Footnote"/>
        <w:bidi/>
      </w:pPr>
      <w:r>
        <w:rPr>
          <w:rStyle w:val="ac"/>
          <w:rtl/>
        </w:rPr>
        <w:footnoteRef/>
      </w:r>
      <w:r>
        <w:rPr>
          <w:rtl/>
        </w:rPr>
        <w:t>ועד"ז איסור אחות אשתו, דהתורה ריחקה שלא יהיו האחיות יחד באישות (וע"ע לעיל כח: בגדר איסור אחות אשתו).</w:t>
      </w:r>
    </w:p>
  </w:footnote>
  <w:footnote w:id="6155">
    <w:p w14:paraId="1A94C966" w14:textId="77777777" w:rsidR="006C4368" w:rsidRDefault="006C4368" w:rsidP="006C4368">
      <w:pPr>
        <w:pStyle w:val="Footnote"/>
        <w:bidi/>
      </w:pPr>
      <w:r>
        <w:rPr>
          <w:rStyle w:val="ac"/>
          <w:rtl/>
        </w:rPr>
        <w:footnoteRef/>
      </w:r>
      <w:r>
        <w:rPr>
          <w:rtl/>
        </w:rPr>
        <w:t>אף דהכא הוה ס"ד בעלמא, מ"מ לא מצאנו דהגמ' חזרה בה בגדר איסור סוטה.</w:t>
      </w:r>
    </w:p>
    <w:p w14:paraId="58FF1190" w14:textId="77777777" w:rsidR="006C4368" w:rsidRDefault="006C4368" w:rsidP="006C4368">
      <w:pPr>
        <w:pStyle w:val="Footnote"/>
        <w:bidi/>
      </w:pPr>
      <w:r>
        <w:rPr>
          <w:rtl/>
        </w:rPr>
        <w:tab/>
        <w:t>[ויל"ד דבכ"מ ילפי' ק"ו אף באופן שאינו תואם את סברת הדין. דק"ו הוה ילפותא בעלמא. אלא דכוונת החזו"א דבסוגיין ילפי' גדר נאסר האוסר, ואי לאו דקי"ל לחז"ל דזהו הגדר בסוטה ל"ש ללמוד ק"ו זו. ועפ"ז צ"ל דאף במאמר, מה שנאסרת על אחיו היבם הוה מחמת שהוא אוסרה לזו. וצ"ע].</w:t>
      </w:r>
    </w:p>
  </w:footnote>
  <w:footnote w:id="6156">
    <w:p w14:paraId="4C51B467" w14:textId="77777777" w:rsidR="006C4368" w:rsidRDefault="006C4368" w:rsidP="006C4368">
      <w:pPr>
        <w:pStyle w:val="Footnote"/>
        <w:bidi/>
      </w:pPr>
      <w:r>
        <w:rPr>
          <w:rStyle w:val="ac"/>
          <w:rtl/>
        </w:rPr>
        <w:footnoteRef/>
      </w:r>
      <w:r>
        <w:rPr>
          <w:rtl/>
        </w:rPr>
        <w:t>דלא כתיב ומעלה מעל בה', אלא באישה.</w:t>
      </w:r>
    </w:p>
  </w:footnote>
  <w:footnote w:id="6157">
    <w:p w14:paraId="7582AD41" w14:textId="77777777" w:rsidR="006C4368" w:rsidRDefault="006C4368" w:rsidP="006C4368">
      <w:pPr>
        <w:pStyle w:val="Footnote"/>
        <w:bidi/>
      </w:pPr>
      <w:r>
        <w:rPr>
          <w:rStyle w:val="ac"/>
          <w:rtl/>
        </w:rPr>
        <w:footnoteRef/>
      </w:r>
      <w:r>
        <w:rPr>
          <w:rtl/>
        </w:rPr>
        <w:t>[ויל"ד אי באחות אשתו שייך לדון דהוה בגידה באחותה].</w:t>
      </w:r>
    </w:p>
  </w:footnote>
  <w:footnote w:id="6158">
    <w:p w14:paraId="313D8EA6" w14:textId="77777777" w:rsidR="006C4368" w:rsidRDefault="006C4368" w:rsidP="006C4368">
      <w:pPr>
        <w:pStyle w:val="Footnote"/>
        <w:bidi/>
      </w:pPr>
      <w:r>
        <w:rPr>
          <w:rStyle w:val="ac"/>
          <w:rtl/>
        </w:rPr>
        <w:footnoteRef/>
      </w:r>
      <w:r>
        <w:rPr>
          <w:rtl/>
        </w:rPr>
        <w:t>דאסורה בתורת ודאי שמא לא נטמא הגוף.</w:t>
      </w:r>
    </w:p>
  </w:footnote>
  <w:footnote w:id="6159">
    <w:p w14:paraId="21964FD9" w14:textId="77777777" w:rsidR="006C4368" w:rsidRDefault="006C4368" w:rsidP="006C4368">
      <w:pPr>
        <w:pStyle w:val="Footnote"/>
        <w:bidi/>
      </w:pPr>
      <w:r>
        <w:rPr>
          <w:rStyle w:val="ac"/>
          <w:rtl/>
        </w:rPr>
        <w:footnoteRef/>
      </w:r>
      <w:r>
        <w:rPr>
          <w:rtl/>
        </w:rPr>
        <w:t>ו</w:t>
      </w:r>
      <w:r>
        <w:rPr>
          <w:b/>
          <w:bCs/>
          <w:rtl/>
        </w:rPr>
        <w:t>תוס</w:t>
      </w:r>
      <w:r>
        <w:rPr>
          <w:rtl/>
        </w:rPr>
        <w:t>' (ועוד ראשונים) פי' דהגמ' דייקה כן מדברי ר' יוסי (וכבסוגיין).</w:t>
      </w:r>
    </w:p>
  </w:footnote>
  <w:footnote w:id="6160">
    <w:p w14:paraId="1E81EDA2" w14:textId="77777777" w:rsidR="006C4368" w:rsidRDefault="006C4368" w:rsidP="006C4368">
      <w:pPr>
        <w:pStyle w:val="Footnote"/>
        <w:bidi/>
      </w:pPr>
      <w:r>
        <w:rPr>
          <w:rStyle w:val="ac"/>
          <w:rtl/>
        </w:rPr>
        <w:footnoteRef/>
      </w:r>
      <w:r>
        <w:rPr>
          <w:rtl/>
        </w:rPr>
        <w:t>ומשמע מדברי הרמב"ן דלא תקנו שיתן גט, שלא לאסור את אשתו עליו. ואשת גיסו תאסר לעולם, ואין לה זכות לגרום שתאסר אשתו עליו. [וי"ל דבאשה שהלך בעלה למדיה"י כופין את השני ליתן לה גט, שהרי אסורה עליו ומעגנה שלא תנשא לעלמא. אבל הכא לא כפינן דיש לו פסידא, שתאסר אשתו עליו].</w:t>
      </w:r>
    </w:p>
  </w:footnote>
  <w:footnote w:id="6161">
    <w:p w14:paraId="7986235C" w14:textId="77777777" w:rsidR="006C4368" w:rsidRDefault="006C4368" w:rsidP="006C4368">
      <w:pPr>
        <w:pStyle w:val="Footnote"/>
        <w:bidi/>
      </w:pPr>
      <w:r>
        <w:rPr>
          <w:rStyle w:val="ac"/>
          <w:rtl/>
        </w:rPr>
        <w:footnoteRef/>
      </w:r>
      <w:r>
        <w:rPr>
          <w:rtl/>
        </w:rPr>
        <w:t>וביאר שחששו שהרואה לא יראה את אחותה, ויאמר גרש זה ונשא זה. וכן נמי חששו משום שמא יבא גיסו קודם לאשתו, ויאמרו גרש זה ונשא זה. וע"ע בסמוך.</w:t>
      </w:r>
    </w:p>
  </w:footnote>
  <w:footnote w:id="6162">
    <w:p w14:paraId="2A077383" w14:textId="77777777" w:rsidR="006C4368" w:rsidRDefault="006C4368" w:rsidP="006C4368">
      <w:pPr>
        <w:pStyle w:val="Footnote"/>
        <w:bidi/>
      </w:pPr>
      <w:r>
        <w:rPr>
          <w:rStyle w:val="ac"/>
          <w:rtl/>
        </w:rPr>
        <w:footnoteRef/>
      </w:r>
      <w:r>
        <w:rPr>
          <w:rtl/>
        </w:rPr>
        <w:t>דהר</w:t>
      </w:r>
      <w:r>
        <w:rPr>
          <w:b/>
          <w:bCs/>
          <w:rtl/>
        </w:rPr>
        <w:t>מב"ם</w:t>
      </w:r>
      <w:r>
        <w:rPr>
          <w:rtl/>
        </w:rPr>
        <w:t xml:space="preserve"> כת' דידוע בלי ספק שאשת גיסו אסורה לגיסו [לת"ק דר' יוסי], לפי שהיא צריכה גט. וביאר דסברת ר' יוסי דאינה אסורה לפי שלא קבלה גט.</w:t>
      </w:r>
    </w:p>
    <w:p w14:paraId="7AE7426D" w14:textId="77777777" w:rsidR="006C4368" w:rsidRDefault="006C4368" w:rsidP="006C4368">
      <w:pPr>
        <w:pStyle w:val="Footnote"/>
        <w:bidi/>
      </w:pPr>
      <w:r>
        <w:rPr>
          <w:rtl/>
        </w:rPr>
        <w:tab/>
        <w:t>ומשמע בדברי הרמב"ם דהאיסור [על בעלה] הוה מחמת הגט משני. אך יש לדחות דהוה ב' גזירות, אלא דהרמב"ם הוכיח דאסורה ג"כ מחמת הגט.</w:t>
      </w:r>
    </w:p>
  </w:footnote>
  <w:footnote w:id="6163">
    <w:p w14:paraId="14EC47A3" w14:textId="77777777" w:rsidR="006C4368" w:rsidRDefault="006C4368" w:rsidP="006C4368">
      <w:pPr>
        <w:pStyle w:val="Footnote"/>
        <w:bidi/>
      </w:pPr>
      <w:r>
        <w:rPr>
          <w:rStyle w:val="ac"/>
          <w:rtl/>
        </w:rPr>
        <w:footnoteRef/>
      </w:r>
      <w:r>
        <w:rPr>
          <w:rtl/>
        </w:rPr>
        <w:t>וכן ה</w:t>
      </w:r>
      <w:r>
        <w:rPr>
          <w:b/>
          <w:bCs/>
          <w:rtl/>
        </w:rPr>
        <w:t>ריטב"א</w:t>
      </w:r>
      <w:r>
        <w:rPr>
          <w:rtl/>
        </w:rPr>
        <w:t xml:space="preserve"> (בהמשך הסוגיא) כת' דלא אשכחן שום פתרא שתהא אחות אשתו צריכה ממנו גט, ותהא אשתו מותרת לו, וזו ראיה גמורה דלעולם אין אשתו מותרת לחזור לו אלא כשאין אשת גיסו צריכה גט ממנו.</w:t>
      </w:r>
    </w:p>
  </w:footnote>
  <w:footnote w:id="6164">
    <w:p w14:paraId="4784EB64" w14:textId="77777777" w:rsidR="006C4368" w:rsidRDefault="006C4368" w:rsidP="006C4368">
      <w:pPr>
        <w:pStyle w:val="Footnote"/>
        <w:bidi/>
      </w:pPr>
      <w:r>
        <w:rPr>
          <w:rStyle w:val="ac"/>
          <w:rtl/>
        </w:rPr>
        <w:footnoteRef/>
      </w:r>
      <w:r>
        <w:rPr>
          <w:rtl/>
        </w:rPr>
        <w:t>וכס"ד דהגמ' (לעיל צד:) דמתוך שנאסרה אשת גיסו אגיסו, תיאסר אשתו עליו. [וע"ע מש"כ שם בזה].</w:t>
      </w:r>
    </w:p>
  </w:footnote>
  <w:footnote w:id="6165">
    <w:p w14:paraId="5147377D" w14:textId="77777777" w:rsidR="006C4368" w:rsidRDefault="006C4368" w:rsidP="006C4368">
      <w:pPr>
        <w:pStyle w:val="Footnote"/>
        <w:bidi/>
      </w:pPr>
      <w:r>
        <w:rPr>
          <w:rStyle w:val="ac"/>
          <w:rtl/>
        </w:rPr>
        <w:footnoteRef/>
      </w:r>
      <w:r>
        <w:rPr>
          <w:rtl/>
        </w:rPr>
        <w:t>וכיון דתקנו ליתן גט לאחותה, אשתו אסורה. ולא אמרי' דמותר באשתו עד שעה שיתן לאחותה גט.</w:t>
      </w:r>
    </w:p>
  </w:footnote>
  <w:footnote w:id="6166">
    <w:p w14:paraId="3428A049" w14:textId="77777777" w:rsidR="006C4368" w:rsidRDefault="006C4368" w:rsidP="006C4368">
      <w:pPr>
        <w:pStyle w:val="Footnote"/>
        <w:bidi/>
      </w:pPr>
      <w:r>
        <w:rPr>
          <w:rStyle w:val="ac"/>
          <w:rtl/>
        </w:rPr>
        <w:footnoteRef/>
      </w:r>
      <w:r>
        <w:rPr>
          <w:rtl/>
        </w:rPr>
        <w:t>דה</w:t>
      </w:r>
      <w:r>
        <w:rPr>
          <w:b/>
          <w:bCs/>
          <w:rtl/>
        </w:rPr>
        <w:t>רי"ף</w:t>
      </w:r>
      <w:r>
        <w:rPr>
          <w:rtl/>
        </w:rPr>
        <w:t xml:space="preserve"> כת' [בדברי ר"י נפחא] דבארוסתו וגיסו צריך גט, דלא לימרו אשת איש יוצאה בלא גט [ופסיל לה ע"י אחרים, דהיינו גיסו]. דכיון דנפקא בגט נפסלה על בעלה. ה"נ פוסל ע"י עצמו ואיתסרא ליה איתתיה עליה דהו"ל אחות גרושתו.</w:t>
      </w:r>
    </w:p>
  </w:footnote>
  <w:footnote w:id="6167">
    <w:p w14:paraId="1599DD40" w14:textId="77777777" w:rsidR="006C4368" w:rsidRDefault="006C4368" w:rsidP="006C4368">
      <w:pPr>
        <w:pStyle w:val="Footnote"/>
        <w:bidi/>
      </w:pPr>
      <w:r>
        <w:rPr>
          <w:rStyle w:val="ac"/>
          <w:rtl/>
        </w:rPr>
        <w:footnoteRef/>
      </w:r>
      <w:r>
        <w:rPr>
          <w:rtl/>
        </w:rPr>
        <w:t>ונפק"מ דלטעם זה ביבמה מודים דאי"צ גט [וכדברי רב הונא בסמוך אליבא דרב ושמואל].</w:t>
      </w:r>
    </w:p>
  </w:footnote>
  <w:footnote w:id="6168">
    <w:p w14:paraId="4AC993BA" w14:textId="77777777" w:rsidR="006C4368" w:rsidRDefault="006C4368" w:rsidP="006C4368">
      <w:pPr>
        <w:pStyle w:val="Footnote"/>
        <w:bidi/>
      </w:pPr>
      <w:r>
        <w:rPr>
          <w:rStyle w:val="ac"/>
          <w:rtl/>
        </w:rPr>
        <w:footnoteRef/>
      </w:r>
      <w:r>
        <w:rPr>
          <w:rtl/>
        </w:rPr>
        <w:t>וגירש זה לאחותה ונשאת לזה דלאו אחות אשתו היא.</w:t>
      </w:r>
    </w:p>
  </w:footnote>
  <w:footnote w:id="6169">
    <w:p w14:paraId="3235183E" w14:textId="77777777" w:rsidR="006C4368" w:rsidRDefault="006C4368" w:rsidP="006C4368">
      <w:pPr>
        <w:pStyle w:val="Footnote"/>
        <w:bidi/>
      </w:pPr>
      <w:r>
        <w:rPr>
          <w:rStyle w:val="ac"/>
          <w:rtl/>
        </w:rPr>
        <w:footnoteRef/>
      </w:r>
      <w:r>
        <w:rPr>
          <w:rtl/>
        </w:rPr>
        <w:t>פ</w:t>
      </w:r>
      <w:r>
        <w:rPr>
          <w:b/>
          <w:bCs/>
          <w:rtl/>
        </w:rPr>
        <w:t>רש"י</w:t>
      </w:r>
      <w:r>
        <w:rPr>
          <w:rtl/>
        </w:rPr>
        <w:t xml:space="preserve"> כל שאינו פוסל קאי ארישא. אבל 'כל הפוסל' קאי אסיפא. וה</w:t>
      </w:r>
      <w:r>
        <w:rPr>
          <w:b/>
          <w:bCs/>
          <w:rtl/>
        </w:rPr>
        <w:t>ריטב"א</w:t>
      </w:r>
      <w:r>
        <w:rPr>
          <w:rtl/>
        </w:rPr>
        <w:t xml:space="preserve"> כת' דיל"פ אף סיפא דר' יוסי כל שאינו פוסל ע"ד דברי ר' אמי, ולא קאי אאוקימתא דלעיל. ואי"צ לפלג מימרא דקאי לצדדין.</w:t>
      </w:r>
    </w:p>
  </w:footnote>
  <w:footnote w:id="6170">
    <w:p w14:paraId="39EFDBEA" w14:textId="77777777" w:rsidR="006C4368" w:rsidRDefault="006C4368" w:rsidP="006C4368">
      <w:pPr>
        <w:pStyle w:val="Footnote"/>
        <w:bidi/>
      </w:pPr>
      <w:r>
        <w:rPr>
          <w:rStyle w:val="ac"/>
          <w:rtl/>
        </w:rPr>
        <w:footnoteRef/>
      </w:r>
      <w:r>
        <w:rPr>
          <w:rtl/>
        </w:rPr>
        <w:t>וה</w:t>
      </w:r>
      <w:r>
        <w:rPr>
          <w:b/>
          <w:bCs/>
          <w:rtl/>
        </w:rPr>
        <w:t>ריטב"א</w:t>
      </w:r>
      <w:r>
        <w:rPr>
          <w:rtl/>
        </w:rPr>
        <w:t xml:space="preserve"> הביא דרש"י גרס דקאמר ת"ק ל"ש ע"פ עדים ול"ש ע"פ בי"ד דאשת גיסו אסורה, אשתו שריא. ות"ק כחכמים. ור' יוסי פליג כר' שמעון. אבל </w:t>
      </w:r>
      <w:r>
        <w:rPr>
          <w:b/>
          <w:bCs/>
          <w:rtl/>
        </w:rPr>
        <w:t>רש"י</w:t>
      </w:r>
      <w:r>
        <w:rPr>
          <w:rtl/>
        </w:rPr>
        <w:t xml:space="preserve"> לפנינו גרס כגירסא דידן [והריטב"א הביא דכ"ג רוב הראשונים].</w:t>
      </w:r>
    </w:p>
  </w:footnote>
  <w:footnote w:id="6171">
    <w:p w14:paraId="41D46E3C" w14:textId="77777777" w:rsidR="006C4368" w:rsidRDefault="006C4368" w:rsidP="006C4368">
      <w:pPr>
        <w:pStyle w:val="Footnote"/>
        <w:bidi/>
      </w:pPr>
      <w:r>
        <w:rPr>
          <w:rStyle w:val="ac"/>
          <w:rtl/>
        </w:rPr>
        <w:footnoteRef/>
      </w:r>
      <w:r>
        <w:rPr>
          <w:rtl/>
        </w:rPr>
        <w:t>והא דאי' (לעיל צא:) דלא אמרי' מאי הו"ל למיעבד הוה משום גזירה דגירש זה ונשא זה.</w:t>
      </w:r>
    </w:p>
  </w:footnote>
  <w:footnote w:id="6172">
    <w:p w14:paraId="0D95BF8E" w14:textId="77777777" w:rsidR="006C4368" w:rsidRDefault="006C4368" w:rsidP="006C4368">
      <w:pPr>
        <w:pStyle w:val="Footnote"/>
        <w:bidi/>
      </w:pPr>
      <w:r>
        <w:rPr>
          <w:rStyle w:val="ac"/>
          <w:rtl/>
        </w:rPr>
        <w:footnoteRef/>
      </w:r>
      <w:r>
        <w:rPr>
          <w:rtl/>
        </w:rPr>
        <w:t>יל"ד דמ"מ שייך דייקא ע"פ סברת ה</w:t>
      </w:r>
      <w:r>
        <w:rPr>
          <w:b/>
          <w:bCs/>
          <w:rtl/>
        </w:rPr>
        <w:t>תוס</w:t>
      </w:r>
      <w:r>
        <w:rPr>
          <w:rtl/>
        </w:rPr>
        <w:t>' (צג: סוד"ה עד, לתי' הא') דביבמה דייקא דשמא תנשא לשוק. וכ"ש הכא דבשעה שהתירוה לא ידעה למי תנשא, א"כ שפיר דייקא ומינסבא. אף אי לבסוף נשאת לבעל אחות דליכא חומר בסופה [ועוד דלא ידעה שאף אחותה תחזור]. ואפשר דמ"מ החמירו טפי לתקן חומר בסופה.</w:t>
      </w:r>
    </w:p>
  </w:footnote>
  <w:footnote w:id="6173">
    <w:p w14:paraId="44E25033" w14:textId="77777777" w:rsidR="006C4368" w:rsidRDefault="006C4368" w:rsidP="006C4368">
      <w:pPr>
        <w:pStyle w:val="Footnote"/>
        <w:bidi/>
      </w:pPr>
      <w:r>
        <w:rPr>
          <w:rStyle w:val="ac"/>
          <w:rtl/>
        </w:rPr>
        <w:footnoteRef/>
      </w:r>
      <w:r>
        <w:rPr>
          <w:rtl/>
        </w:rPr>
        <w:t>וביאר א"נ כדי שתדקדק כל אשה הרבה בעצמה שלא לינשא אלא אחר היתר ברור שאין בו בית מיחוש. והוה כעין גזירה דרבנן.</w:t>
      </w:r>
    </w:p>
  </w:footnote>
  <w:footnote w:id="6174">
    <w:p w14:paraId="392B9569" w14:textId="77777777" w:rsidR="006C4368" w:rsidRDefault="006C4368" w:rsidP="006C4368">
      <w:pPr>
        <w:pStyle w:val="Footnote"/>
        <w:bidi/>
      </w:pPr>
      <w:r>
        <w:rPr>
          <w:rStyle w:val="ac"/>
          <w:rtl/>
        </w:rPr>
        <w:footnoteRef/>
      </w:r>
      <w:r>
        <w:rPr>
          <w:rtl/>
        </w:rPr>
        <w:t>שיעידו על שניהם שמתו וישא הוא אשת גיסו.</w:t>
      </w:r>
    </w:p>
  </w:footnote>
  <w:footnote w:id="6175">
    <w:p w14:paraId="580FB1AA" w14:textId="77777777" w:rsidR="006C4368" w:rsidRDefault="006C4368" w:rsidP="006C4368">
      <w:pPr>
        <w:pStyle w:val="Footnote"/>
        <w:bidi/>
      </w:pPr>
      <w:r>
        <w:rPr>
          <w:rStyle w:val="ac"/>
          <w:rtl/>
        </w:rPr>
        <w:footnoteRef/>
      </w:r>
      <w:r>
        <w:rPr>
          <w:rtl/>
        </w:rPr>
        <w:t>ותדע לך דהא בנתקדשה דלא עבדא איסורא לא אשכחן מאן דפליג. ומותרת לחזור לו, ולא חיישי' לשמא יאמרו. ובכדי לא אמרינן דר' יוסי פליג [בנתקדשה], כיון דאיכא לפרושי לדר' יוסי שפיר דס"ל כר' שמעון.</w:t>
      </w:r>
    </w:p>
  </w:footnote>
  <w:footnote w:id="6176">
    <w:p w14:paraId="6D1F9C66" w14:textId="77777777" w:rsidR="006C4368" w:rsidRDefault="006C4368" w:rsidP="006C4368">
      <w:pPr>
        <w:pStyle w:val="Footnote"/>
        <w:bidi/>
      </w:pPr>
      <w:r>
        <w:rPr>
          <w:rStyle w:val="ac"/>
          <w:rtl/>
        </w:rPr>
        <w:footnoteRef/>
      </w:r>
      <w:r>
        <w:rPr>
          <w:rtl/>
        </w:rPr>
        <w:t>אבל ה</w:t>
      </w:r>
      <w:r>
        <w:rPr>
          <w:b/>
          <w:bCs/>
          <w:rtl/>
        </w:rPr>
        <w:t>ראשונים</w:t>
      </w:r>
      <w:r>
        <w:rPr>
          <w:rtl/>
        </w:rPr>
        <w:t xml:space="preserve"> (שם) כת' דמשום קנס חששו משום שמא יאמרו. ועפ"ז מתורץ קו' הרשב"א.</w:t>
      </w:r>
    </w:p>
  </w:footnote>
  <w:footnote w:id="6177">
    <w:p w14:paraId="70BFE67E" w14:textId="77777777" w:rsidR="006C4368" w:rsidRDefault="006C4368" w:rsidP="006C4368">
      <w:pPr>
        <w:pStyle w:val="Footnote"/>
        <w:bidi/>
      </w:pPr>
      <w:r>
        <w:rPr>
          <w:rStyle w:val="ac"/>
          <w:rtl/>
        </w:rPr>
        <w:footnoteRef/>
      </w:r>
      <w:r>
        <w:rPr>
          <w:rtl/>
        </w:rPr>
        <w:t xml:space="preserve">דהכא אשתו קיימת ומוכיח. [אך </w:t>
      </w:r>
      <w:r>
        <w:rPr>
          <w:b/>
          <w:bCs/>
          <w:rtl/>
        </w:rPr>
        <w:t>רש"י</w:t>
      </w:r>
      <w:r>
        <w:rPr>
          <w:rtl/>
        </w:rPr>
        <w:t xml:space="preserve"> (בסמוך ד"ה דלמא) כת' טעם נוסף דאי קדים ואתי גיסו קודם לאשתו. ומש"ה שייך בסוגיין שמא יאמרו. וצ"ע אמאי לא ניח"ל לפרש כן אף לר"י נפחא, דת"ק ור' יוסי פליגי בסברא זו].</w:t>
      </w:r>
    </w:p>
  </w:footnote>
  <w:footnote w:id="6178">
    <w:p w14:paraId="0CFA7047" w14:textId="77777777" w:rsidR="006C4368" w:rsidRDefault="006C4368" w:rsidP="006C4368">
      <w:pPr>
        <w:pStyle w:val="Footnote"/>
        <w:bidi/>
      </w:pPr>
      <w:r>
        <w:rPr>
          <w:rStyle w:val="ac"/>
          <w:rtl/>
        </w:rPr>
        <w:footnoteRef/>
      </w:r>
      <w:r>
        <w:rPr>
          <w:rtl/>
        </w:rPr>
        <w:t>ולמקשן ור' אמי אף ר' יוסי מודה לת"ק בזה.</w:t>
      </w:r>
    </w:p>
  </w:footnote>
  <w:footnote w:id="6179">
    <w:p w14:paraId="7EB21B0C" w14:textId="77777777" w:rsidR="006C4368" w:rsidRDefault="006C4368" w:rsidP="006C4368">
      <w:pPr>
        <w:pStyle w:val="Footnote"/>
        <w:bidi/>
      </w:pPr>
      <w:r>
        <w:rPr>
          <w:rStyle w:val="ac"/>
          <w:rtl/>
        </w:rPr>
        <w:footnoteRef/>
      </w:r>
      <w:r>
        <w:rPr>
          <w:rtl/>
        </w:rPr>
        <w:t>וה</w:t>
      </w:r>
      <w:r>
        <w:rPr>
          <w:b/>
          <w:bCs/>
          <w:rtl/>
        </w:rPr>
        <w:t>רשב"א</w:t>
      </w:r>
      <w:r>
        <w:rPr>
          <w:rtl/>
        </w:rPr>
        <w:t xml:space="preserve"> ביאר דעיקר האיסור משום קנס. והא דהצריכו גט הוה כדי לברר איסורא לראשון. והיכא דאפשר בגט תקנו, אבל באשת גיסו לא תקנו גט, דא"כ תאסר אשתו עליו. והיכא דלא אפשר לא תקנו גט.</w:t>
      </w:r>
    </w:p>
  </w:footnote>
  <w:footnote w:id="6180">
    <w:p w14:paraId="11C49199" w14:textId="77777777" w:rsidR="006C4368" w:rsidRDefault="006C4368" w:rsidP="006C4368">
      <w:pPr>
        <w:pStyle w:val="Footnote"/>
        <w:bidi/>
      </w:pPr>
      <w:r>
        <w:rPr>
          <w:rStyle w:val="ac"/>
          <w:rtl/>
        </w:rPr>
        <w:footnoteRef/>
      </w:r>
      <w:r>
        <w:rPr>
          <w:rtl/>
        </w:rPr>
        <w:t>אלא דמדברי רש"י משמע דת"ק לא ס"ל עיקר סברת גירש זה, והכל משום קנס. [ורש"י לא הזכיר את הגט].</w:t>
      </w:r>
    </w:p>
    <w:p w14:paraId="3D126656" w14:textId="77777777" w:rsidR="006C4368" w:rsidRDefault="006C4368" w:rsidP="006C4368">
      <w:pPr>
        <w:pStyle w:val="Footnote"/>
        <w:bidi/>
      </w:pPr>
      <w:r>
        <w:rPr>
          <w:rtl/>
        </w:rPr>
        <w:tab/>
        <w:t>ובגמ' (לעיל פח:) אי' דהטעם דצריכה גט משום שמא יאמרו גירש זה ונשא זה, ומסקנת הגמ' (פט.) דעבדא איסורא קנסוה. ונח' ה</w:t>
      </w:r>
      <w:r>
        <w:rPr>
          <w:b/>
          <w:bCs/>
          <w:rtl/>
        </w:rPr>
        <w:t>ראשונים</w:t>
      </w:r>
      <w:r>
        <w:rPr>
          <w:rtl/>
        </w:rPr>
        <w:t xml:space="preserve"> (הו' לעיל שם וצד:) אי למסקנא הוה קנס בעלמא, או קנסו לחשוש משום שמא יאמרו. ולדברי </w:t>
      </w:r>
      <w:r>
        <w:rPr>
          <w:b/>
          <w:bCs/>
          <w:rtl/>
        </w:rPr>
        <w:t>רש"י</w:t>
      </w:r>
      <w:r>
        <w:rPr>
          <w:rtl/>
        </w:rPr>
        <w:t xml:space="preserve"> (כאן) נח' בזה ת"ק ור' יוסי [לר"י נפחא].</w:t>
      </w:r>
    </w:p>
  </w:footnote>
  <w:footnote w:id="6181">
    <w:p w14:paraId="05ECBD39" w14:textId="77777777" w:rsidR="006C4368" w:rsidRDefault="006C4368" w:rsidP="006C4368">
      <w:pPr>
        <w:pStyle w:val="Footnote"/>
        <w:bidi/>
      </w:pPr>
      <w:r>
        <w:rPr>
          <w:rStyle w:val="ac"/>
          <w:rtl/>
        </w:rPr>
        <w:footnoteRef/>
      </w:r>
      <w:r>
        <w:rPr>
          <w:rtl/>
        </w:rPr>
        <w:t>ור' אמי אמר דאינו פוסל ע"פ אחרים היינו נשאת ע"פ עדים. ויל"ד אי דברי שמואל דהלכה כר' יוסי קאי אף בזה, וא"כ לא ס"ל כאמוראים בתראי (צא:) דקי"ל דאף נשאת ע"פ עדים אסורה ודלא כר"ש. אך לדברי ה</w:t>
      </w:r>
      <w:r>
        <w:rPr>
          <w:b/>
          <w:bCs/>
          <w:rtl/>
        </w:rPr>
        <w:t>רמב"ן</w:t>
      </w:r>
      <w:r>
        <w:rPr>
          <w:rtl/>
        </w:rPr>
        <w:t xml:space="preserve"> (הו' לעיל) לא תלי בהא.</w:t>
      </w:r>
    </w:p>
    <w:p w14:paraId="6623EE39" w14:textId="77777777" w:rsidR="006C4368" w:rsidRDefault="006C4368" w:rsidP="006C4368">
      <w:pPr>
        <w:pStyle w:val="Footnote"/>
        <w:bidi/>
      </w:pPr>
      <w:r>
        <w:rPr>
          <w:rtl/>
        </w:rPr>
        <w:tab/>
        <w:t>וב</w:t>
      </w:r>
      <w:r>
        <w:rPr>
          <w:b/>
          <w:bCs/>
          <w:rtl/>
        </w:rPr>
        <w:t>תוס' חד מקמאי</w:t>
      </w:r>
      <w:r>
        <w:rPr>
          <w:rtl/>
        </w:rPr>
        <w:t xml:space="preserve"> הק' דה</w:t>
      </w:r>
      <w:r>
        <w:rPr>
          <w:b/>
          <w:bCs/>
          <w:rtl/>
        </w:rPr>
        <w:t>רי"ף</w:t>
      </w:r>
      <w:r>
        <w:rPr>
          <w:rtl/>
        </w:rPr>
        <w:t xml:space="preserve"> הביא כל דברי ר' אמי [ונסתפק להלכה], והא קי"ל דע"פ עדים אסור. וה</w:t>
      </w:r>
      <w:r>
        <w:rPr>
          <w:b/>
          <w:bCs/>
          <w:rtl/>
        </w:rPr>
        <w:t>מלחמות</w:t>
      </w:r>
      <w:r>
        <w:rPr>
          <w:rtl/>
        </w:rPr>
        <w:t xml:space="preserve"> (ל: בדה"ר) האריך בזה, דמ"מ שמואל לא פסק להדיא כר"ש, ועוד י"ל דשמואל פסק כר' יוסי בפוסל ע"י אחרים, ולא קאי אאינו פוסל, דהוה מח' אחרת בעלמא.</w:t>
      </w:r>
    </w:p>
    <w:p w14:paraId="0B76FB98" w14:textId="77777777" w:rsidR="006C4368" w:rsidRDefault="006C4368" w:rsidP="006C4368">
      <w:pPr>
        <w:pStyle w:val="Footnote"/>
        <w:bidi/>
      </w:pPr>
      <w:r>
        <w:rPr>
          <w:rtl/>
        </w:rPr>
        <w:tab/>
        <w:t>אבל ה</w:t>
      </w:r>
      <w:r>
        <w:rPr>
          <w:b/>
          <w:bCs/>
          <w:rtl/>
        </w:rPr>
        <w:t>בעה"מ</w:t>
      </w:r>
      <w:r>
        <w:rPr>
          <w:rtl/>
        </w:rPr>
        <w:t xml:space="preserve"> הביא מדברי רב ושמואל מוכח דהא דאי' (לעיל צא:) דלא עבדינן עובדא במאי הו"ל למעבד [נשאת ע"פ עדים], היינו דלא מתירין לחזור לכתחילה, אבל אם עברה וחזרה לו לא תצא.</w:t>
      </w:r>
    </w:p>
  </w:footnote>
  <w:footnote w:id="6182">
    <w:p w14:paraId="6E9EA57F" w14:textId="77777777" w:rsidR="006C4368" w:rsidRDefault="006C4368" w:rsidP="006C4368">
      <w:pPr>
        <w:pStyle w:val="Footnote"/>
        <w:bidi/>
      </w:pPr>
      <w:r>
        <w:rPr>
          <w:rStyle w:val="ac"/>
          <w:rtl/>
        </w:rPr>
        <w:footnoteRef/>
      </w:r>
      <w:r>
        <w:rPr>
          <w:rtl/>
        </w:rPr>
        <w:t>ויל"פ מב' טעמים, משום קנס דתצא מזה ומזה. ועוד כיון דנאסרה על בעלה הראשון כדין סוטה, מש"ה נתמעטה מיבום. אבל ה</w:t>
      </w:r>
      <w:r>
        <w:rPr>
          <w:b/>
          <w:bCs/>
          <w:rtl/>
        </w:rPr>
        <w:t>ריטב"א</w:t>
      </w:r>
      <w:r>
        <w:rPr>
          <w:rtl/>
        </w:rPr>
        <w:t xml:space="preserve"> פי' הטעם דאסור לשני, שהרי אינה יוצאת מהשני אלא בגט, ונאסרה על הראשון וכיון שנאסרה עליו עולמית כ"ש שנאסרה על השני עולמית, דהו"ל כמחזיר אשתו שגירש. [וצ"ב].</w:t>
      </w:r>
    </w:p>
  </w:footnote>
  <w:footnote w:id="6183">
    <w:p w14:paraId="573FEA94" w14:textId="77777777" w:rsidR="006C4368" w:rsidRDefault="006C4368" w:rsidP="006C4368">
      <w:pPr>
        <w:pStyle w:val="Footnote"/>
        <w:bidi/>
      </w:pPr>
      <w:r>
        <w:rPr>
          <w:rStyle w:val="ac"/>
          <w:rtl/>
        </w:rPr>
        <w:footnoteRef/>
      </w:r>
      <w:r>
        <w:rPr>
          <w:rtl/>
        </w:rPr>
        <w:t>ונקט דקנסו לאסור לבועל, ומשום איסור סוטה, ואף היכא דלא נאסרה לבעל. [וצ"ע].</w:t>
      </w:r>
    </w:p>
  </w:footnote>
  <w:footnote w:id="6184">
    <w:p w14:paraId="4A1709E7" w14:textId="77777777" w:rsidR="006C4368" w:rsidRDefault="006C4368" w:rsidP="006C4368">
      <w:pPr>
        <w:pStyle w:val="Footnote"/>
        <w:bidi/>
      </w:pPr>
      <w:r>
        <w:rPr>
          <w:rStyle w:val="ac"/>
          <w:rtl/>
        </w:rPr>
        <w:footnoteRef/>
      </w:r>
      <w:r>
        <w:rPr>
          <w:rtl/>
        </w:rPr>
        <w:t>ו</w:t>
      </w:r>
      <w:r>
        <w:rPr>
          <w:b/>
          <w:bCs/>
          <w:rtl/>
        </w:rPr>
        <w:t>תוס'</w:t>
      </w:r>
      <w:r>
        <w:rPr>
          <w:rtl/>
        </w:rPr>
        <w:t xml:space="preserve"> (לקמן קז.) כת' דאף דכו"ע מודו דיש תנאי בקידושין, מ"מ לא שכיח. ועד"ז אף לאידך לישנא דחילק בין קידושין לנישואין, י"ל דהיינו דבנישואין לא שכיח. ולעולם דעת שמואל דמדינא יש תנאי ומקח טעות אף בנישואין.</w:t>
      </w:r>
    </w:p>
  </w:footnote>
  <w:footnote w:id="6185">
    <w:p w14:paraId="70E3D076" w14:textId="77777777" w:rsidR="006C4368" w:rsidRDefault="006C4368" w:rsidP="006C4368">
      <w:pPr>
        <w:pStyle w:val="Footnote"/>
        <w:bidi/>
      </w:pPr>
      <w:r>
        <w:rPr>
          <w:rStyle w:val="ac"/>
          <w:rtl/>
        </w:rPr>
        <w:footnoteRef/>
      </w:r>
      <w:r>
        <w:rPr>
          <w:rtl/>
        </w:rPr>
        <w:t>ואף ר' יוסי הוסיף רק ע"פ בי"ד דאסורה לגיסו אף אשתו אסורה.</w:t>
      </w:r>
    </w:p>
  </w:footnote>
  <w:footnote w:id="6186">
    <w:p w14:paraId="6EC12E22" w14:textId="77777777" w:rsidR="006C4368" w:rsidRDefault="006C4368" w:rsidP="006C4368">
      <w:pPr>
        <w:pStyle w:val="Footnote"/>
        <w:bidi/>
      </w:pPr>
      <w:r>
        <w:rPr>
          <w:rStyle w:val="ac"/>
          <w:rtl/>
        </w:rPr>
        <w:footnoteRef/>
      </w:r>
      <w:r>
        <w:rPr>
          <w:rtl/>
        </w:rPr>
        <w:t>וצ"ב מ"ט בדברי ר' יצחק נפחא פ</w:t>
      </w:r>
      <w:r>
        <w:rPr>
          <w:b/>
          <w:bCs/>
          <w:rtl/>
        </w:rPr>
        <w:t>רש"י</w:t>
      </w:r>
      <w:r>
        <w:rPr>
          <w:rtl/>
        </w:rPr>
        <w:t xml:space="preserve"> טעם אחר. ומנ"ל דיש בזה מח' נוספת.</w:t>
      </w:r>
    </w:p>
    <w:p w14:paraId="0413C484" w14:textId="77777777" w:rsidR="006C4368" w:rsidRDefault="006C4368" w:rsidP="006C4368">
      <w:pPr>
        <w:pStyle w:val="Footnote"/>
        <w:bidi/>
      </w:pPr>
      <w:r>
        <w:rPr>
          <w:rtl/>
        </w:rPr>
        <w:tab/>
        <w:t>וה</w:t>
      </w:r>
      <w:r>
        <w:rPr>
          <w:b/>
          <w:bCs/>
          <w:rtl/>
        </w:rPr>
        <w:t>חזו"א</w:t>
      </w:r>
      <w:r>
        <w:rPr>
          <w:rtl/>
        </w:rPr>
        <w:t xml:space="preserve"> (כ ב) ביאר דלר' אמי מסברא ס"ל לרב ושמואל דהיכא דל"ש גזירה מותרת, ול"ש קנס. וע"כ באשת גיסו הוה גזירה אחרת, שמא תבא קודם. אבל ר' יצחק נפחא ס"ל דנח' ר' יוסי ורבנן באשת גיסו נשואה, האם אסורה משום קנס. [וכמ"ש תוס'].</w:t>
      </w:r>
    </w:p>
  </w:footnote>
  <w:footnote w:id="6187">
    <w:p w14:paraId="0566C0AB" w14:textId="77777777" w:rsidR="006C4368" w:rsidRDefault="006C4368" w:rsidP="006C4368">
      <w:pPr>
        <w:pStyle w:val="Footnote"/>
        <w:bidi/>
      </w:pPr>
      <w:r>
        <w:rPr>
          <w:rStyle w:val="ac"/>
          <w:rtl/>
        </w:rPr>
        <w:footnoteRef/>
      </w:r>
      <w:r>
        <w:rPr>
          <w:rtl/>
        </w:rPr>
        <w:t xml:space="preserve">וכן נקטו </w:t>
      </w:r>
      <w:r>
        <w:rPr>
          <w:b/>
          <w:bCs/>
          <w:rtl/>
        </w:rPr>
        <w:t>תוס</w:t>
      </w:r>
      <w:r>
        <w:rPr>
          <w:rtl/>
        </w:rPr>
        <w:t>' (לקמן קיז. ד“ה חוץ) דביבמה ל"מ לקלקלה, דאינה נאסרת עליו. ו</w:t>
      </w:r>
      <w:r>
        <w:rPr>
          <w:b/>
          <w:bCs/>
          <w:rtl/>
        </w:rPr>
        <w:t>רע"א</w:t>
      </w:r>
      <w:r>
        <w:rPr>
          <w:rtl/>
        </w:rPr>
        <w:t xml:space="preserve"> (לקמן שם) דייק מדבריהם דפשיט"ל אף אינה נאסרת ליבם, דא"כ מהרווחת לקלקלה.</w:t>
      </w:r>
    </w:p>
  </w:footnote>
  <w:footnote w:id="6188">
    <w:p w14:paraId="51FA02E3" w14:textId="77777777" w:rsidR="006C4368" w:rsidRDefault="006C4368" w:rsidP="006C4368">
      <w:pPr>
        <w:pStyle w:val="Footnote"/>
        <w:bidi/>
      </w:pPr>
      <w:r>
        <w:rPr>
          <w:rStyle w:val="ac"/>
          <w:rtl/>
        </w:rPr>
        <w:footnoteRef/>
      </w:r>
      <w:r>
        <w:rPr>
          <w:rtl/>
        </w:rPr>
        <w:t>ואף ד</w:t>
      </w:r>
      <w:r>
        <w:rPr>
          <w:b/>
          <w:bCs/>
          <w:rtl/>
        </w:rPr>
        <w:t>תוס'</w:t>
      </w:r>
      <w:r>
        <w:rPr>
          <w:rtl/>
        </w:rPr>
        <w:t xml:space="preserve"> (צג: הנ"ל) כת' דשייך 'דייקא', מ"מ ל"ש קנס.</w:t>
      </w:r>
    </w:p>
  </w:footnote>
  <w:footnote w:id="6189">
    <w:p w14:paraId="7F4DA317" w14:textId="77777777" w:rsidR="006C4368" w:rsidRDefault="006C4368" w:rsidP="006C4368">
      <w:pPr>
        <w:pStyle w:val="Footnote"/>
        <w:bidi/>
      </w:pPr>
      <w:r>
        <w:rPr>
          <w:rStyle w:val="ac"/>
          <w:rtl/>
        </w:rPr>
        <w:footnoteRef/>
      </w:r>
      <w:r>
        <w:rPr>
          <w:rtl/>
        </w:rPr>
        <w:t>דה</w:t>
      </w:r>
      <w:r>
        <w:rPr>
          <w:b/>
          <w:bCs/>
          <w:rtl/>
        </w:rPr>
        <w:t>רמב"ם</w:t>
      </w:r>
      <w:r>
        <w:rPr>
          <w:rtl/>
        </w:rPr>
        <w:t xml:space="preserve"> (שם ח) כת' דכשאחיו קידש אשה וכו' ויבם אשתו ואחר כך בא, תצא מזה ומזה וצריכה גט מזה ומזה וכל הדרכים האלו בה, וכן אם קדש אשה ושמע שמתה ונשא אחותה צריכות שתיהן ממנו גט וכל הדרכים האלו בהן. אבל אם הלכה אשתו הנשואה ונשא אחותה ונמצאת אשתו קיימת אין אחותה צריכה ממנו גט ואשתו מותרת. וכן שאר העריות שנשאן בחזקת התר ונמצאו ערוה אי"צ גט, שאין קדושין תופסין בעריות. [והשמיט הדין אי אשת גיסו מותרת לגיסו. וכן השמיט דין יבמה מהנישואין, האם מותרת לחזור לו].</w:t>
      </w:r>
    </w:p>
    <w:p w14:paraId="6076A762" w14:textId="77777777" w:rsidR="006C4368" w:rsidRDefault="006C4368" w:rsidP="006C4368">
      <w:pPr>
        <w:pStyle w:val="Footnote"/>
        <w:bidi/>
      </w:pPr>
      <w:r>
        <w:rPr>
          <w:rtl/>
        </w:rPr>
        <w:tab/>
        <w:t>ועוד יש שדייקו (שו"ת חוט המשולש א יג) דמשמע ברמב"ם דאיירי באחות אשתו פנויה, ואפ"ה מקידושין אמרי' תצא מזה ומזה, משום שמא יאמרו. ואף באופן דאינה נאסרת במזיד [וע' מש"כ לעיל צד: בסוה"ע].</w:t>
      </w:r>
    </w:p>
  </w:footnote>
  <w:footnote w:id="6190">
    <w:p w14:paraId="43004886" w14:textId="77777777" w:rsidR="006C4368" w:rsidRDefault="006C4368" w:rsidP="006C4368">
      <w:pPr>
        <w:pStyle w:val="Footnote"/>
        <w:bidi/>
      </w:pPr>
      <w:r>
        <w:rPr>
          <w:rStyle w:val="ac"/>
          <w:rtl/>
        </w:rPr>
        <w:footnoteRef/>
      </w:r>
      <w:r>
        <w:rPr>
          <w:rtl/>
        </w:rPr>
        <w:t>וה</w:t>
      </w:r>
      <w:r>
        <w:rPr>
          <w:b/>
          <w:bCs/>
          <w:rtl/>
        </w:rPr>
        <w:t xml:space="preserve">שו"ע </w:t>
      </w:r>
      <w:r>
        <w:rPr>
          <w:rtl/>
        </w:rPr>
        <w:t>(קנט ד) הביא את סוגיין דאי"צ גט מהיבם, וה</w:t>
      </w:r>
      <w:r>
        <w:rPr>
          <w:b/>
          <w:bCs/>
          <w:rtl/>
        </w:rPr>
        <w:t>רמ"א</w:t>
      </w:r>
      <w:r>
        <w:rPr>
          <w:rtl/>
        </w:rPr>
        <w:t xml:space="preserve"> הוסיף דמותרת לבעלה. וה</w:t>
      </w:r>
      <w:r>
        <w:rPr>
          <w:b/>
          <w:bCs/>
          <w:rtl/>
        </w:rPr>
        <w:t>בי"ש</w:t>
      </w:r>
      <w:r>
        <w:rPr>
          <w:rtl/>
        </w:rPr>
        <w:t xml:space="preserve"> (שם י, וטו כג) כת' דהשו"ע סתם בזה, דתלי במח' הנ"ל.</w:t>
      </w:r>
    </w:p>
  </w:footnote>
  <w:footnote w:id="6191">
    <w:p w14:paraId="7CEB020F" w14:textId="77777777" w:rsidR="006C4368" w:rsidRDefault="006C4368" w:rsidP="006C4368">
      <w:pPr>
        <w:pStyle w:val="Footnote"/>
        <w:bidi/>
      </w:pPr>
      <w:r>
        <w:rPr>
          <w:rStyle w:val="ac"/>
          <w:rtl/>
        </w:rPr>
        <w:footnoteRef/>
      </w:r>
      <w:r>
        <w:rPr>
          <w:rtl/>
        </w:rPr>
        <w:t>אמנם ה</w:t>
      </w:r>
      <w:r>
        <w:rPr>
          <w:b/>
          <w:bCs/>
          <w:rtl/>
        </w:rPr>
        <w:t>משנ"ל</w:t>
      </w:r>
      <w:r>
        <w:rPr>
          <w:rtl/>
        </w:rPr>
        <w:t xml:space="preserve"> (י ד) דייק דהרמב"ם נקט טעם האיסור משום גירש זה ונשא זה, ולא משום קנס.</w:t>
      </w:r>
    </w:p>
  </w:footnote>
  <w:footnote w:id="6192">
    <w:p w14:paraId="5EBB014B" w14:textId="77777777" w:rsidR="006C4368" w:rsidRDefault="006C4368" w:rsidP="006C4368">
      <w:pPr>
        <w:pStyle w:val="Footnote"/>
        <w:bidi/>
      </w:pPr>
      <w:r>
        <w:rPr>
          <w:rStyle w:val="ac"/>
          <w:rtl/>
        </w:rPr>
        <w:footnoteRef/>
      </w:r>
      <w:r>
        <w:rPr>
          <w:rtl/>
        </w:rPr>
        <w:t>ובפשוטו כוונתו דלא קי"ל כהך אוקימתא דסוגיין.</w:t>
      </w:r>
    </w:p>
  </w:footnote>
  <w:footnote w:id="6193">
    <w:p w14:paraId="472D8039" w14:textId="77777777" w:rsidR="006C4368" w:rsidRDefault="006C4368" w:rsidP="006C4368">
      <w:pPr>
        <w:pStyle w:val="Footnote"/>
        <w:bidi/>
      </w:pPr>
      <w:r>
        <w:rPr>
          <w:rStyle w:val="ac"/>
          <w:rtl/>
        </w:rPr>
        <w:footnoteRef/>
      </w:r>
      <w:r>
        <w:rPr>
          <w:rtl/>
        </w:rPr>
        <w:t>וה</w:t>
      </w:r>
      <w:r>
        <w:rPr>
          <w:b/>
          <w:bCs/>
          <w:rtl/>
        </w:rPr>
        <w:t>רא"ש</w:t>
      </w:r>
      <w:r>
        <w:rPr>
          <w:rtl/>
        </w:rPr>
        <w:t xml:space="preserve"> ביאר דאף דהגמ' דוחה דילמא ליתא לדרב הונא, ופליגי בדרב המנונא או בקידושין תופסים. לא מסתבר להעמיד המח' בזה, דהא קי"ל (סוטה יח:) דליתא לדרב המנונא, ואיפליגו חדא זימנא בקידושין תופסין ביבמה. [וכמ"ש תוס' צו.].</w:t>
      </w:r>
    </w:p>
  </w:footnote>
  <w:footnote w:id="6194">
    <w:p w14:paraId="379CECB7" w14:textId="77777777" w:rsidR="006C4368" w:rsidRDefault="006C4368" w:rsidP="006C4368">
      <w:pPr>
        <w:pStyle w:val="Footnote"/>
        <w:bidi/>
      </w:pPr>
      <w:r>
        <w:rPr>
          <w:rStyle w:val="ac"/>
          <w:rtl/>
        </w:rPr>
        <w:footnoteRef/>
      </w:r>
      <w:r>
        <w:rPr>
          <w:rtl/>
        </w:rPr>
        <w:t>והביא דכ"מ ב</w:t>
      </w:r>
      <w:r>
        <w:rPr>
          <w:b/>
          <w:bCs/>
          <w:rtl/>
        </w:rPr>
        <w:t>ר"ש ב"א</w:t>
      </w:r>
      <w:r>
        <w:rPr>
          <w:rtl/>
        </w:rPr>
        <w:t xml:space="preserve"> (בעל התוס', באגרות הרמ"ה) דאף לרב המנונא תפסי קידושין.</w:t>
      </w:r>
    </w:p>
  </w:footnote>
  <w:footnote w:id="6195">
    <w:p w14:paraId="1A31F270" w14:textId="77777777" w:rsidR="006C4368" w:rsidRDefault="006C4368" w:rsidP="006C4368">
      <w:pPr>
        <w:pStyle w:val="Footnote"/>
        <w:bidi/>
      </w:pPr>
      <w:r>
        <w:rPr>
          <w:rStyle w:val="ac"/>
          <w:rtl/>
        </w:rPr>
        <w:footnoteRef/>
      </w:r>
      <w:r>
        <w:rPr>
          <w:rtl/>
        </w:rPr>
        <w:t>ויל"ד אי סגי בעדי יחוד, שמתנהג בחזקת אשתו.</w:t>
      </w:r>
    </w:p>
  </w:footnote>
  <w:footnote w:id="6196">
    <w:p w14:paraId="092E70E2" w14:textId="77777777" w:rsidR="006C4368" w:rsidRDefault="006C4368" w:rsidP="006C4368">
      <w:pPr>
        <w:pStyle w:val="Footnote"/>
        <w:bidi/>
      </w:pPr>
      <w:r>
        <w:rPr>
          <w:rStyle w:val="ac"/>
          <w:rtl/>
        </w:rPr>
        <w:footnoteRef/>
      </w:r>
      <w:r>
        <w:rPr>
          <w:rtl/>
        </w:rPr>
        <w:t>וצ"ב כוונתו אי איירי שנודע לו שהראשונה היתה קיימת ומתה. או דנתכוון לשם קידושין, אילו יוודע לו.</w:t>
      </w:r>
    </w:p>
  </w:footnote>
  <w:footnote w:id="6197">
    <w:p w14:paraId="55AD386F" w14:textId="77777777" w:rsidR="006C4368" w:rsidRDefault="006C4368" w:rsidP="006C4368">
      <w:pPr>
        <w:pStyle w:val="Footnote"/>
        <w:bidi/>
      </w:pPr>
      <w:r>
        <w:rPr>
          <w:rStyle w:val="ac"/>
          <w:rtl/>
        </w:rPr>
        <w:footnoteRef/>
      </w:r>
      <w:r>
        <w:rPr>
          <w:rtl/>
        </w:rPr>
        <w:t>וה</w:t>
      </w:r>
      <w:r>
        <w:rPr>
          <w:b/>
          <w:bCs/>
          <w:rtl/>
        </w:rPr>
        <w:t>רש"ש</w:t>
      </w:r>
      <w:r>
        <w:rPr>
          <w:rtl/>
        </w:rPr>
        <w:t xml:space="preserve"> הוסיף דהכא כו"ע [אפי' רשב"י] מודה (ועי' </w:t>
      </w:r>
      <w:r>
        <w:rPr>
          <w:b/>
          <w:bCs/>
          <w:rtl/>
        </w:rPr>
        <w:t>תוס</w:t>
      </w:r>
      <w:r>
        <w:rPr>
          <w:rtl/>
        </w:rPr>
        <w:t>' לקמן קי. ד"ה קסבר).</w:t>
      </w:r>
    </w:p>
  </w:footnote>
  <w:footnote w:id="6198">
    <w:p w14:paraId="715AEC36" w14:textId="77777777" w:rsidR="006C4368" w:rsidRDefault="006C4368" w:rsidP="006C4368">
      <w:pPr>
        <w:pStyle w:val="Footnote"/>
        <w:bidi/>
      </w:pPr>
      <w:r>
        <w:rPr>
          <w:rStyle w:val="ac"/>
          <w:rtl/>
        </w:rPr>
        <w:footnoteRef/>
      </w:r>
      <w:r>
        <w:rPr>
          <w:rtl/>
        </w:rPr>
        <w:t>והגמ' (לעיל שם) העמידה בקידושי יעוד, לצד דמייעד אשה לבנו קטן.</w:t>
      </w:r>
    </w:p>
  </w:footnote>
  <w:footnote w:id="6199">
    <w:p w14:paraId="4824D76A" w14:textId="77777777" w:rsidR="006C4368" w:rsidRDefault="006C4368" w:rsidP="006C4368">
      <w:pPr>
        <w:pStyle w:val="Footnote"/>
        <w:bidi/>
      </w:pPr>
      <w:r>
        <w:rPr>
          <w:rStyle w:val="ac"/>
          <w:rtl/>
        </w:rPr>
        <w:footnoteRef/>
      </w:r>
      <w:r>
        <w:rPr>
          <w:rtl/>
        </w:rPr>
        <w:t>וכעי"ז לשון הגמ' לעיל סח. (עי"ש בתוס').</w:t>
      </w:r>
    </w:p>
    <w:p w14:paraId="4868EAD4" w14:textId="77777777" w:rsidR="006C4368" w:rsidRDefault="006C4368" w:rsidP="006C4368">
      <w:pPr>
        <w:pStyle w:val="Footnote"/>
        <w:bidi/>
      </w:pPr>
      <w:r>
        <w:rPr>
          <w:rtl/>
        </w:rPr>
        <w:tab/>
        <w:t>וה</w:t>
      </w:r>
      <w:r>
        <w:rPr>
          <w:b/>
          <w:bCs/>
          <w:rtl/>
        </w:rPr>
        <w:t>רמב"ן</w:t>
      </w:r>
      <w:r>
        <w:rPr>
          <w:rtl/>
        </w:rPr>
        <w:t xml:space="preserve"> (נדה מה.) כת' דכן בדין, שהרי ביאתו ביאה לכל דבר. ואף שאין לו דעת, הא רבי רחמנא ביבמה ביאת שוגג כמזיד.</w:t>
      </w:r>
    </w:p>
  </w:footnote>
  <w:footnote w:id="6200">
    <w:p w14:paraId="7C05A160" w14:textId="77777777" w:rsidR="006C4368" w:rsidRDefault="006C4368" w:rsidP="006C4368">
      <w:pPr>
        <w:pStyle w:val="Footnote"/>
        <w:bidi/>
      </w:pPr>
      <w:r>
        <w:rPr>
          <w:rStyle w:val="ac"/>
          <w:rtl/>
        </w:rPr>
        <w:footnoteRef/>
      </w:r>
      <w:r>
        <w:rPr>
          <w:rtl/>
        </w:rPr>
        <w:t>וכ"ד ה</w:t>
      </w:r>
      <w:r>
        <w:rPr>
          <w:b/>
          <w:bCs/>
          <w:rtl/>
        </w:rPr>
        <w:t>ראב"ד</w:t>
      </w:r>
      <w:r>
        <w:rPr>
          <w:rtl/>
        </w:rPr>
        <w:t xml:space="preserve"> (הו' ברשב"א קידושין שם) דנתמעט מחיוב מיתה מגזיה"כ, ואע"פ שהיא אשתו גמורה וקנאה דבר תורה, גזיה"כ שאין אדם מתחייב עליה משום אשת איש.</w:t>
      </w:r>
    </w:p>
    <w:p w14:paraId="7F0CE252" w14:textId="77777777" w:rsidR="006C4368" w:rsidRDefault="006C4368" w:rsidP="006C4368">
      <w:pPr>
        <w:pStyle w:val="Footnote"/>
        <w:bidi/>
      </w:pPr>
      <w:r>
        <w:rPr>
          <w:rtl/>
        </w:rPr>
        <w:tab/>
        <w:t>וה</w:t>
      </w:r>
      <w:r>
        <w:rPr>
          <w:b/>
          <w:bCs/>
          <w:rtl/>
        </w:rPr>
        <w:t>נוב"י</w:t>
      </w:r>
      <w:r>
        <w:rPr>
          <w:rtl/>
        </w:rPr>
        <w:t xml:space="preserve"> (ק' נד) כתב דכ"ד הרמב"ם, דה</w:t>
      </w:r>
      <w:r>
        <w:rPr>
          <w:b/>
          <w:bCs/>
          <w:rtl/>
        </w:rPr>
        <w:t>רמב"ם</w:t>
      </w:r>
      <w:r>
        <w:rPr>
          <w:rtl/>
        </w:rPr>
        <w:t xml:space="preserve"> (איסו"ב ג א) כת' דהבא על אשת קטן, ואפי' יבמה שנפלה לו, מכין אותו מכות מרדות. והנוב"י הק' דלוקה משום איסור יבמה לשוק. וע"כ דהקנאה מדאורייתא. ועוד הביאו ה</w:t>
      </w:r>
      <w:r>
        <w:rPr>
          <w:b/>
          <w:bCs/>
          <w:rtl/>
        </w:rPr>
        <w:t>אחרונים</w:t>
      </w:r>
      <w:r>
        <w:rPr>
          <w:rtl/>
        </w:rPr>
        <w:t xml:space="preserve"> מדברי ה</w:t>
      </w:r>
      <w:r>
        <w:rPr>
          <w:b/>
          <w:bCs/>
          <w:rtl/>
        </w:rPr>
        <w:t>רמב"ם</w:t>
      </w:r>
      <w:r>
        <w:rPr>
          <w:rtl/>
        </w:rPr>
        <w:t xml:space="preserve"> (סוטה ב ב, ע"פ התוספתא סוטה ה ג).</w:t>
      </w:r>
    </w:p>
  </w:footnote>
  <w:footnote w:id="6201">
    <w:p w14:paraId="2C536D22" w14:textId="77777777" w:rsidR="006C4368" w:rsidRDefault="006C4368" w:rsidP="006C4368">
      <w:pPr>
        <w:pStyle w:val="Footnote"/>
        <w:bidi/>
      </w:pPr>
      <w:r>
        <w:rPr>
          <w:rStyle w:val="ac"/>
          <w:rtl/>
        </w:rPr>
        <w:footnoteRef/>
      </w:r>
      <w:r>
        <w:rPr>
          <w:rtl/>
        </w:rPr>
        <w:t>וה</w:t>
      </w:r>
      <w:r>
        <w:rPr>
          <w:b/>
          <w:bCs/>
          <w:rtl/>
        </w:rPr>
        <w:t>תוס' הרא"ש</w:t>
      </w:r>
      <w:r>
        <w:rPr>
          <w:rtl/>
        </w:rPr>
        <w:t xml:space="preserve"> (קידושין) דחה פרש"י דאם איתא דקני לה מדאורייתא לא מסתבר לפוטרו ממיתה.</w:t>
      </w:r>
    </w:p>
  </w:footnote>
  <w:footnote w:id="6202">
    <w:p w14:paraId="178E893F" w14:textId="77777777" w:rsidR="006C4368" w:rsidRDefault="006C4368" w:rsidP="006C4368">
      <w:pPr>
        <w:pStyle w:val="Footnote"/>
        <w:bidi/>
      </w:pPr>
      <w:r>
        <w:rPr>
          <w:rStyle w:val="ac"/>
          <w:rtl/>
        </w:rPr>
        <w:footnoteRef/>
      </w:r>
      <w:r>
        <w:rPr>
          <w:rtl/>
        </w:rPr>
        <w:t>וה</w:t>
      </w:r>
      <w:r>
        <w:rPr>
          <w:b/>
          <w:bCs/>
          <w:rtl/>
        </w:rPr>
        <w:t>רש"ש</w:t>
      </w:r>
      <w:r>
        <w:rPr>
          <w:rtl/>
        </w:rPr>
        <w:t xml:space="preserve"> (לעיל נא:) נסתפק האם חייב כרת, דנתמעט רק מחיוב מיתה. וכ"כ ה</w:t>
      </w:r>
      <w:r>
        <w:rPr>
          <w:b/>
          <w:bCs/>
          <w:rtl/>
        </w:rPr>
        <w:t>או"ש</w:t>
      </w:r>
      <w:r>
        <w:rPr>
          <w:rtl/>
        </w:rPr>
        <w:t xml:space="preserve"> (יבום א יז ובמשך חכמה פ' קדושים, וקוב"ש קידושין קיט). וכת' נפק"מ אם בא אחר וקידשה דתפסי קידושין [למ"ד קידושין תופסים בשומרת יבם]. [דלא הוה איסור כרת. אך לדברי ה</w:t>
      </w:r>
      <w:r>
        <w:rPr>
          <w:b/>
          <w:bCs/>
          <w:rtl/>
        </w:rPr>
        <w:t>פנ"י</w:t>
      </w:r>
      <w:r>
        <w:rPr>
          <w:rtl/>
        </w:rPr>
        <w:t xml:space="preserve"> (גיטין מג:) לא תפסי קידושין מחמת קנין הקטן].</w:t>
      </w:r>
    </w:p>
    <w:p w14:paraId="5233EBD6" w14:textId="77777777" w:rsidR="006C4368" w:rsidRDefault="006C4368" w:rsidP="006C4368">
      <w:pPr>
        <w:pStyle w:val="Footnote"/>
        <w:bidi/>
      </w:pPr>
      <w:r>
        <w:rPr>
          <w:rtl/>
        </w:rPr>
        <w:tab/>
        <w:t>אבל ה</w:t>
      </w:r>
      <w:r>
        <w:rPr>
          <w:b/>
          <w:bCs/>
          <w:rtl/>
        </w:rPr>
        <w:t>אבנ"מ</w:t>
      </w:r>
      <w:r>
        <w:rPr>
          <w:rtl/>
        </w:rPr>
        <w:t xml:space="preserve"> (א א) נקט דתפסי קידושין, דנתמעט אף מחיוב כרת, וכ"כ ה</w:t>
      </w:r>
      <w:r>
        <w:rPr>
          <w:b/>
          <w:bCs/>
          <w:rtl/>
        </w:rPr>
        <w:t>מנח"ח</w:t>
      </w:r>
      <w:r>
        <w:rPr>
          <w:rtl/>
        </w:rPr>
        <w:t xml:space="preserve"> (לה). [והרש"ש הביא דעד"ז נח' ה</w:t>
      </w:r>
      <w:r>
        <w:rPr>
          <w:b/>
          <w:bCs/>
          <w:rtl/>
        </w:rPr>
        <w:t>ראשונים</w:t>
      </w:r>
      <w:r>
        <w:rPr>
          <w:rtl/>
        </w:rPr>
        <w:t xml:space="preserve"> (לקמן צד:) לר"ע דחמותו לאחר מיתה אינה בשריפה, האם הוה חיוב כרת או איסור לאו בעלמא].</w:t>
      </w:r>
    </w:p>
  </w:footnote>
  <w:footnote w:id="6203">
    <w:p w14:paraId="2CEB4231" w14:textId="77777777" w:rsidR="006C4368" w:rsidRDefault="006C4368" w:rsidP="006C4368">
      <w:pPr>
        <w:pStyle w:val="Footnote"/>
        <w:bidi/>
      </w:pPr>
      <w:r>
        <w:rPr>
          <w:rStyle w:val="ac"/>
          <w:rtl/>
        </w:rPr>
        <w:footnoteRef/>
      </w:r>
      <w:r>
        <w:rPr>
          <w:rtl/>
        </w:rPr>
        <w:t>וה</w:t>
      </w:r>
      <w:r>
        <w:rPr>
          <w:b/>
          <w:bCs/>
          <w:rtl/>
        </w:rPr>
        <w:t>נוב"י</w:t>
      </w:r>
      <w:r>
        <w:rPr>
          <w:rtl/>
        </w:rPr>
        <w:t xml:space="preserve"> (ת' נד) כת' דכשגדל חייבין עליה, דהשתא הו"ל אשת גדול. וה</w:t>
      </w:r>
      <w:r>
        <w:rPr>
          <w:b/>
          <w:bCs/>
          <w:rtl/>
        </w:rPr>
        <w:t>מנח"ח</w:t>
      </w:r>
      <w:r>
        <w:rPr>
          <w:rtl/>
        </w:rPr>
        <w:t xml:space="preserve"> (הו' בסמוך) פליג.</w:t>
      </w:r>
    </w:p>
  </w:footnote>
  <w:footnote w:id="6204">
    <w:p w14:paraId="58571649" w14:textId="77777777" w:rsidR="006C4368" w:rsidRDefault="006C4368" w:rsidP="006C4368">
      <w:pPr>
        <w:pStyle w:val="Footnote"/>
        <w:bidi/>
      </w:pPr>
      <w:r>
        <w:rPr>
          <w:rStyle w:val="ac"/>
          <w:rtl/>
        </w:rPr>
        <w:footnoteRef/>
      </w:r>
      <w:r>
        <w:rPr>
          <w:rtl/>
        </w:rPr>
        <w:t>והביא שכ"כ ה</w:t>
      </w:r>
      <w:r>
        <w:rPr>
          <w:b/>
          <w:bCs/>
          <w:rtl/>
        </w:rPr>
        <w:t xml:space="preserve">או"ז </w:t>
      </w:r>
      <w:r>
        <w:rPr>
          <w:rtl/>
        </w:rPr>
        <w:t>דלא נגמר האישות.</w:t>
      </w:r>
    </w:p>
  </w:footnote>
  <w:footnote w:id="6205">
    <w:p w14:paraId="1FFEC91C" w14:textId="77777777" w:rsidR="006C4368" w:rsidRDefault="006C4368" w:rsidP="006C4368">
      <w:pPr>
        <w:pStyle w:val="Footnote"/>
        <w:bidi/>
      </w:pPr>
      <w:r>
        <w:rPr>
          <w:rStyle w:val="ac"/>
          <w:rtl/>
        </w:rPr>
        <w:footnoteRef/>
      </w:r>
      <w:r>
        <w:rPr>
          <w:rtl/>
        </w:rPr>
        <w:t>וה</w:t>
      </w:r>
      <w:r>
        <w:rPr>
          <w:b/>
          <w:bCs/>
          <w:rtl/>
        </w:rPr>
        <w:t>אחרונים</w:t>
      </w:r>
      <w:r>
        <w:rPr>
          <w:rtl/>
        </w:rPr>
        <w:t xml:space="preserve"> העירו דסותר משנתו, דהרמב"ן (לעיל נו.) כת' דלשמואל קנה לדברים הכתובים בפרשה, וחייב מיתה על ביאתו. וכ"ד </w:t>
      </w:r>
      <w:r>
        <w:rPr>
          <w:b/>
          <w:bCs/>
          <w:rtl/>
        </w:rPr>
        <w:t>תוס'</w:t>
      </w:r>
      <w:r>
        <w:rPr>
          <w:rtl/>
        </w:rPr>
        <w:t xml:space="preserve"> (סוטה כד:).</w:t>
      </w:r>
    </w:p>
  </w:footnote>
  <w:footnote w:id="6206">
    <w:p w14:paraId="0C7601CE" w14:textId="77777777" w:rsidR="006C4368" w:rsidRDefault="006C4368" w:rsidP="006C4368">
      <w:pPr>
        <w:pStyle w:val="Footnote"/>
        <w:bidi/>
      </w:pPr>
      <w:r>
        <w:rPr>
          <w:rStyle w:val="ac"/>
          <w:rtl/>
        </w:rPr>
        <w:footnoteRef/>
      </w:r>
      <w:r>
        <w:rPr>
          <w:rtl/>
        </w:rPr>
        <w:t>ומשמע דבקטן אף רב ס"ל דל"ק לכל מילי. אבל הרמב"ן (לעיל נא:, הו' בע"ב) משמע דתלי במח' רב ושמואל. ולשמואל קנה לכל מילי.</w:t>
      </w:r>
    </w:p>
  </w:footnote>
  <w:footnote w:id="6207">
    <w:p w14:paraId="262FEC04" w14:textId="77777777" w:rsidR="006C4368" w:rsidRDefault="006C4368" w:rsidP="006C4368">
      <w:pPr>
        <w:pStyle w:val="Footnote"/>
        <w:bidi/>
      </w:pPr>
      <w:r>
        <w:rPr>
          <w:rStyle w:val="ac"/>
          <w:rtl/>
        </w:rPr>
        <w:footnoteRef/>
      </w:r>
      <w:r>
        <w:rPr>
          <w:rtl/>
        </w:rPr>
        <w:t xml:space="preserve">ועד"ז כת' </w:t>
      </w:r>
      <w:r>
        <w:rPr>
          <w:b/>
          <w:bCs/>
          <w:rtl/>
        </w:rPr>
        <w:t>רש"י</w:t>
      </w:r>
      <w:r>
        <w:rPr>
          <w:rtl/>
        </w:rPr>
        <w:t xml:space="preserve"> (סנהדרין נב:) דדרשי' פרט לאשת קטן, קמ"ל קרא דאין לקטן קידושין. [וכן משמע בגמ' לקמן סח.].</w:t>
      </w:r>
    </w:p>
  </w:footnote>
  <w:footnote w:id="6208">
    <w:p w14:paraId="177E276D" w14:textId="77777777" w:rsidR="006C4368" w:rsidRDefault="006C4368" w:rsidP="006C4368">
      <w:pPr>
        <w:pStyle w:val="Footnote"/>
        <w:bidi/>
      </w:pPr>
      <w:r>
        <w:rPr>
          <w:rStyle w:val="ac"/>
          <w:rtl/>
        </w:rPr>
        <w:footnoteRef/>
      </w:r>
      <w:r>
        <w:rPr>
          <w:rtl/>
        </w:rPr>
        <w:t>אבל ה</w:t>
      </w:r>
      <w:r>
        <w:rPr>
          <w:b/>
          <w:bCs/>
          <w:rtl/>
        </w:rPr>
        <w:t>רמב"ן</w:t>
      </w:r>
      <w:r>
        <w:rPr>
          <w:rtl/>
        </w:rPr>
        <w:t xml:space="preserve"> (לעיל נא:) הביא דהר"א אב"ד גרס בגמ' קידושין פרט לקטן בן ט', דנתמעט ממיתה.</w:t>
      </w:r>
    </w:p>
  </w:footnote>
  <w:footnote w:id="6209">
    <w:p w14:paraId="5DBB4F7F" w14:textId="77777777" w:rsidR="006C4368" w:rsidRDefault="006C4368" w:rsidP="006C4368">
      <w:pPr>
        <w:pStyle w:val="Footnote"/>
        <w:bidi/>
      </w:pPr>
      <w:r>
        <w:rPr>
          <w:rStyle w:val="ac"/>
          <w:rtl/>
        </w:rPr>
        <w:footnoteRef/>
      </w:r>
      <w:r>
        <w:rPr>
          <w:rtl/>
        </w:rPr>
        <w:t>וה</w:t>
      </w:r>
      <w:r>
        <w:rPr>
          <w:b/>
          <w:bCs/>
          <w:rtl/>
        </w:rPr>
        <w:t>רמב"ן</w:t>
      </w:r>
      <w:r>
        <w:rPr>
          <w:rtl/>
        </w:rPr>
        <w:t xml:space="preserve"> דייק דכ"מ בלשון הגמ' 'קניא ליה', ולא 'קני לה'. ועוד הביא דמקצת נוסחאות גרסי סד"א הואיל ומדאורייתא חזיא ליה.</w:t>
      </w:r>
    </w:p>
  </w:footnote>
  <w:footnote w:id="6210">
    <w:p w14:paraId="75E59F3D" w14:textId="77777777" w:rsidR="006C4368" w:rsidRDefault="006C4368" w:rsidP="006C4368">
      <w:pPr>
        <w:pStyle w:val="Footnote"/>
        <w:bidi/>
      </w:pPr>
      <w:r>
        <w:rPr>
          <w:rStyle w:val="ac"/>
          <w:rtl/>
        </w:rPr>
        <w:footnoteRef/>
      </w:r>
      <w:r>
        <w:rPr>
          <w:rtl/>
        </w:rPr>
        <w:t>ולדעת רש"י קנאה מדאורייתא. אבל לתוס' קנאה כדין מאמר מדרבנן.</w:t>
      </w:r>
    </w:p>
  </w:footnote>
  <w:footnote w:id="6211">
    <w:p w14:paraId="051ADAC7" w14:textId="77777777" w:rsidR="006C4368" w:rsidRDefault="006C4368" w:rsidP="006C4368">
      <w:pPr>
        <w:pStyle w:val="Footnote"/>
        <w:bidi/>
      </w:pPr>
      <w:r>
        <w:rPr>
          <w:rStyle w:val="ac"/>
          <w:rtl/>
        </w:rPr>
        <w:footnoteRef/>
      </w:r>
      <w:r>
        <w:rPr>
          <w:rtl/>
        </w:rPr>
        <w:t>[ואף מדרבנן לא הפקיעו קנינו בנכסים]. וה</w:t>
      </w:r>
      <w:r>
        <w:rPr>
          <w:b/>
          <w:bCs/>
          <w:rtl/>
        </w:rPr>
        <w:t>תוס' רי"ד</w:t>
      </w:r>
      <w:r>
        <w:rPr>
          <w:rtl/>
        </w:rPr>
        <w:t xml:space="preserve"> (נדה שם) חלק היאך יקנה נכסי אחיו באותה ביאה, דכיון דאינה נפטרת באותה ביאה שתהא יוצאת בגט. ואפי' כשיגדיל אם לא יבעול פעם שנייה. אלא כל ביאת בן תשע כמאמר שויוה רבנן לכל מילי, ול"ק בנכסי אחיו.</w:t>
      </w:r>
    </w:p>
  </w:footnote>
  <w:footnote w:id="6212">
    <w:p w14:paraId="7247C242" w14:textId="77777777" w:rsidR="006C4368" w:rsidRDefault="006C4368" w:rsidP="006C4368">
      <w:pPr>
        <w:pStyle w:val="Footnote"/>
        <w:bidi/>
      </w:pPr>
      <w:r>
        <w:rPr>
          <w:rStyle w:val="ac"/>
          <w:rtl/>
        </w:rPr>
        <w:footnoteRef/>
      </w:r>
      <w:r>
        <w:rPr>
          <w:rtl/>
        </w:rPr>
        <w:t>אבל ה</w:t>
      </w:r>
      <w:r>
        <w:rPr>
          <w:b/>
          <w:bCs/>
          <w:rtl/>
        </w:rPr>
        <w:t>תוי"ט</w:t>
      </w:r>
      <w:r>
        <w:rPr>
          <w:rtl/>
        </w:rPr>
        <w:t xml:space="preserve"> (נדה ה ה) דן דלדעת רש"י (נדה) קנה בנכסי אחיו, אבל ל"ק ליורשה ולטמא לה. [וכת' דטעמא רבה יש לחלק ביניהם, שהרי עשאוה כמאמר]. וה</w:t>
      </w:r>
      <w:r>
        <w:rPr>
          <w:b/>
          <w:bCs/>
          <w:rtl/>
        </w:rPr>
        <w:t>אחרונים</w:t>
      </w:r>
      <w:r>
        <w:rPr>
          <w:rtl/>
        </w:rPr>
        <w:t xml:space="preserve"> (רש"ש וערול"נ שם) הק' דא"כ אף בנכסי אחיו דתלי ביבום.</w:t>
      </w:r>
    </w:p>
  </w:footnote>
  <w:footnote w:id="6213">
    <w:p w14:paraId="45F44022" w14:textId="77777777" w:rsidR="006C4368" w:rsidRDefault="006C4368" w:rsidP="006C4368">
      <w:pPr>
        <w:pStyle w:val="Footnote"/>
        <w:bidi/>
      </w:pPr>
      <w:r>
        <w:rPr>
          <w:rStyle w:val="ac"/>
          <w:rtl/>
        </w:rPr>
        <w:footnoteRef/>
      </w:r>
      <w:r>
        <w:rPr>
          <w:rtl/>
        </w:rPr>
        <w:t>ועוד דייק ה</w:t>
      </w:r>
      <w:r>
        <w:rPr>
          <w:b/>
          <w:bCs/>
          <w:rtl/>
        </w:rPr>
        <w:t xml:space="preserve">רמב"ן </w:t>
      </w:r>
      <w:r>
        <w:rPr>
          <w:rtl/>
        </w:rPr>
        <w:t>כן מהגמ' נדה, דס"ד דסגי בגט כשיגדיל, אלא דהק' דעשו ביאת בן ט' כמאמר בגדול. ומשמע דמדאורייתא קנאה לגמרי ובגט סגי לה, אלא שהם גרעו כח ביאתו ועשאוה כמאמר.</w:t>
      </w:r>
    </w:p>
  </w:footnote>
  <w:footnote w:id="6214">
    <w:p w14:paraId="464D3064" w14:textId="77777777" w:rsidR="006C4368" w:rsidRDefault="006C4368" w:rsidP="006C4368">
      <w:pPr>
        <w:pStyle w:val="Footnote"/>
        <w:bidi/>
      </w:pPr>
      <w:r>
        <w:rPr>
          <w:rStyle w:val="ac"/>
          <w:rtl/>
        </w:rPr>
        <w:footnoteRef/>
      </w:r>
      <w:r>
        <w:rPr>
          <w:rtl/>
        </w:rPr>
        <w:t>ו</w:t>
      </w:r>
      <w:r>
        <w:rPr>
          <w:b/>
          <w:bCs/>
          <w:rtl/>
        </w:rPr>
        <w:t>תוס'</w:t>
      </w:r>
      <w:r>
        <w:rPr>
          <w:rtl/>
        </w:rPr>
        <w:t xml:space="preserve"> (קידושין שם) הביאו בשמו ליורשה ולטמא לה.</w:t>
      </w:r>
    </w:p>
  </w:footnote>
  <w:footnote w:id="6215">
    <w:p w14:paraId="1A465694" w14:textId="77777777" w:rsidR="006C4368" w:rsidRDefault="006C4368" w:rsidP="006C4368">
      <w:pPr>
        <w:pStyle w:val="Footnote"/>
        <w:bidi/>
      </w:pPr>
      <w:r>
        <w:rPr>
          <w:rStyle w:val="ac"/>
          <w:rtl/>
        </w:rPr>
        <w:footnoteRef/>
      </w:r>
      <w:r>
        <w:rPr>
          <w:rtl/>
        </w:rPr>
        <w:t>ואפ"ה אין איסור אשת אח עד שיגדיל [וכדתנן לקמן קיא: דתגדלנו], ו</w:t>
      </w:r>
      <w:r>
        <w:rPr>
          <w:b/>
          <w:bCs/>
          <w:rtl/>
        </w:rPr>
        <w:t>תוס'</w:t>
      </w:r>
      <w:r>
        <w:rPr>
          <w:rtl/>
        </w:rPr>
        <w:t xml:space="preserve"> (לעיל לה: ד"ה תגלי) הביאו דאין איסור אשת אח אף קודם שקנה יבמתו.</w:t>
      </w:r>
    </w:p>
  </w:footnote>
  <w:footnote w:id="6216">
    <w:p w14:paraId="177434F9" w14:textId="77777777" w:rsidR="006C4368" w:rsidRDefault="006C4368" w:rsidP="006C4368">
      <w:pPr>
        <w:pStyle w:val="Footnote"/>
        <w:bidi/>
      </w:pPr>
      <w:r>
        <w:rPr>
          <w:rStyle w:val="ac"/>
          <w:rtl/>
        </w:rPr>
        <w:footnoteRef/>
      </w:r>
      <w:r>
        <w:rPr>
          <w:rtl/>
        </w:rPr>
        <w:t>וב</w:t>
      </w:r>
      <w:r>
        <w:rPr>
          <w:b/>
          <w:bCs/>
          <w:rtl/>
        </w:rPr>
        <w:t>קומץ המנחה</w:t>
      </w:r>
      <w:r>
        <w:rPr>
          <w:rtl/>
        </w:rPr>
        <w:t xml:space="preserve"> דייק כן מדברי הרמב"ם (יבום ה כא).</w:t>
      </w:r>
    </w:p>
  </w:footnote>
  <w:footnote w:id="6217">
    <w:p w14:paraId="6020F9B0" w14:textId="77777777" w:rsidR="006C4368" w:rsidRDefault="006C4368" w:rsidP="006C4368">
      <w:pPr>
        <w:pStyle w:val="Footnote"/>
        <w:bidi/>
      </w:pPr>
      <w:r>
        <w:rPr>
          <w:rStyle w:val="ac"/>
          <w:rtl/>
        </w:rPr>
        <w:footnoteRef/>
      </w:r>
      <w:r>
        <w:rPr>
          <w:rtl/>
        </w:rPr>
        <w:t>וכעין מש"כ ה</w:t>
      </w:r>
      <w:r>
        <w:rPr>
          <w:b/>
          <w:bCs/>
          <w:rtl/>
        </w:rPr>
        <w:t>גר"ח</w:t>
      </w:r>
      <w:r>
        <w:rPr>
          <w:rtl/>
        </w:rPr>
        <w:t xml:space="preserve"> (אישות ז טז) גבי מקדש עובר, דיש קנין, אבל אין 'אישות'.</w:t>
      </w:r>
    </w:p>
  </w:footnote>
  <w:footnote w:id="6218">
    <w:p w14:paraId="6C17CED8" w14:textId="77777777" w:rsidR="006C4368" w:rsidRDefault="006C4368" w:rsidP="006C4368">
      <w:pPr>
        <w:pStyle w:val="Footnote"/>
        <w:bidi/>
      </w:pPr>
      <w:r>
        <w:rPr>
          <w:rStyle w:val="ac"/>
          <w:rtl/>
        </w:rPr>
        <w:footnoteRef/>
      </w:r>
      <w:r>
        <w:rPr>
          <w:rtl/>
        </w:rPr>
        <w:t>ומשמע דליכא חיוב כרת דאשת אח, שהרי נתמעט מחיוב מיתה, ואף מחיוב כרת דאיסורי קרובים. ובמיעוט ד'אשת קטן' נתמעט אף איסור קרובים מכרת. [וצ"ע]. אלא דנתמעט רק מעונש, והוה איסור דאורייתא. [ויל"ד אי לוקה].</w:t>
      </w:r>
    </w:p>
  </w:footnote>
  <w:footnote w:id="6219">
    <w:p w14:paraId="6867229C" w14:textId="77777777" w:rsidR="006C4368" w:rsidRDefault="006C4368" w:rsidP="006C4368">
      <w:pPr>
        <w:pStyle w:val="Footnote"/>
        <w:bidi/>
      </w:pPr>
      <w:r>
        <w:rPr>
          <w:rStyle w:val="ac"/>
          <w:rtl/>
        </w:rPr>
        <w:footnoteRef/>
      </w:r>
      <w:r>
        <w:rPr>
          <w:rtl/>
        </w:rPr>
        <w:t>וב</w:t>
      </w:r>
      <w:r>
        <w:rPr>
          <w:b/>
          <w:bCs/>
          <w:rtl/>
        </w:rPr>
        <w:t>שיעורי ר' שמואל</w:t>
      </w:r>
      <w:r>
        <w:rPr>
          <w:rtl/>
        </w:rPr>
        <w:t xml:space="preserve"> (אות שעה) הק' דלדעת רבנן (לעיל יט:) ל"מ מאמר בע"כ [של היבמה], א"כ לכאורה כ"ש דל"מ שלא מדעת היבם, והאיך מהני בקטן בן ט'.</w:t>
      </w:r>
    </w:p>
    <w:p w14:paraId="57A7BB79" w14:textId="77777777" w:rsidR="006C4368" w:rsidRDefault="006C4368" w:rsidP="006C4368">
      <w:pPr>
        <w:pStyle w:val="Footnote"/>
        <w:bidi/>
      </w:pPr>
      <w:r>
        <w:rPr>
          <w:rtl/>
        </w:rPr>
        <w:tab/>
        <w:t>ועוה"ק הגר"ש דה</w:t>
      </w:r>
      <w:r>
        <w:rPr>
          <w:b/>
          <w:bCs/>
          <w:rtl/>
        </w:rPr>
        <w:t xml:space="preserve">רמב"ם </w:t>
      </w:r>
      <w:r>
        <w:rPr>
          <w:rtl/>
        </w:rPr>
        <w:t>(יבום ב א) כת' דמאמר צריך עדים. ודעת ה</w:t>
      </w:r>
      <w:r>
        <w:rPr>
          <w:b/>
          <w:bCs/>
          <w:rtl/>
        </w:rPr>
        <w:t xml:space="preserve">רמב"ם </w:t>
      </w:r>
      <w:r>
        <w:rPr>
          <w:rtl/>
        </w:rPr>
        <w:t>(גירושין ו ט) דל"מ שליחות של קטנה בגט, דאין מעידים על הקטנה.</w:t>
      </w:r>
    </w:p>
  </w:footnote>
  <w:footnote w:id="6220">
    <w:p w14:paraId="58CFF403" w14:textId="77777777" w:rsidR="006C4368" w:rsidRDefault="006C4368" w:rsidP="006C4368">
      <w:pPr>
        <w:pStyle w:val="Footnote"/>
        <w:bidi/>
      </w:pPr>
      <w:r>
        <w:rPr>
          <w:rStyle w:val="ac"/>
          <w:rtl/>
        </w:rPr>
        <w:footnoteRef/>
      </w:r>
      <w:r>
        <w:rPr>
          <w:rtl/>
        </w:rPr>
        <w:t xml:space="preserve">והעמידו דנח' עד"ז </w:t>
      </w:r>
      <w:r>
        <w:rPr>
          <w:b/>
          <w:bCs/>
          <w:rtl/>
        </w:rPr>
        <w:t>תוס'</w:t>
      </w:r>
      <w:r>
        <w:rPr>
          <w:rtl/>
        </w:rPr>
        <w:t xml:space="preserve"> וה</w:t>
      </w:r>
      <w:r>
        <w:rPr>
          <w:b/>
          <w:bCs/>
          <w:rtl/>
        </w:rPr>
        <w:t>תו"י</w:t>
      </w:r>
      <w:r>
        <w:rPr>
          <w:rtl/>
        </w:rPr>
        <w:t xml:space="preserve"> (לעיל כט., ע' מש"כ לעיל שם) למ"ד מאמר קונה קנין גמור.</w:t>
      </w:r>
    </w:p>
    <w:p w14:paraId="3CD0F5E0" w14:textId="77777777" w:rsidR="006C4368" w:rsidRDefault="006C4368" w:rsidP="006C4368">
      <w:pPr>
        <w:pStyle w:val="Footnote"/>
        <w:bidi/>
      </w:pPr>
      <w:r>
        <w:rPr>
          <w:rtl/>
        </w:rPr>
        <w:tab/>
        <w:t>ונח' רבי ורבנן (לעיל יט:) אי מהני מאמר בע"כ, אי ילפי' מקידושין או מיבום. ובפשוטו נח' עד"ז. אך האחרונים (ע' מה שהו' לעיל שם) פי' דצורת מעשה המאמר ילפי' מקידושין, ומש"ה לדעת רבנן צריך דעת [להחשב מעשה המאמר], ואף דמהות הקנין הוה קנין יבום.</w:t>
      </w:r>
    </w:p>
  </w:footnote>
  <w:footnote w:id="6221">
    <w:p w14:paraId="37756399" w14:textId="77777777" w:rsidR="006C4368" w:rsidRDefault="006C4368" w:rsidP="006C4368">
      <w:pPr>
        <w:pStyle w:val="Footnote"/>
        <w:bidi/>
      </w:pPr>
      <w:r>
        <w:rPr>
          <w:rStyle w:val="ac"/>
          <w:rtl/>
        </w:rPr>
        <w:footnoteRef/>
      </w:r>
      <w:r>
        <w:rPr>
          <w:rtl/>
        </w:rPr>
        <w:t>ומש"ה לא נחשב גזירה לגזירה.</w:t>
      </w:r>
    </w:p>
  </w:footnote>
  <w:footnote w:id="6222">
    <w:p w14:paraId="2D7ABA87" w14:textId="77777777" w:rsidR="006C4368" w:rsidRDefault="006C4368" w:rsidP="006C4368">
      <w:pPr>
        <w:pStyle w:val="Footnote"/>
        <w:bidi/>
      </w:pPr>
      <w:r>
        <w:rPr>
          <w:rStyle w:val="ac"/>
          <w:rtl/>
        </w:rPr>
        <w:footnoteRef/>
      </w:r>
      <w:r>
        <w:rPr>
          <w:rtl/>
        </w:rPr>
        <w:t>ומשמע דנסתפק בדבר, וצ"ב דאי' בגמ' דלרבנן מהני גט של קטן אחר גט של קטן [דתרוייהו הוה זוטר, ויש גט אחר גט]. וה"ה מאמר לרא"ש. וע' ק"נ.</w:t>
      </w:r>
    </w:p>
  </w:footnote>
  <w:footnote w:id="6223">
    <w:p w14:paraId="58528DA1" w14:textId="77777777" w:rsidR="006C4368" w:rsidRDefault="006C4368" w:rsidP="006C4368">
      <w:pPr>
        <w:pStyle w:val="Footnote"/>
        <w:bidi/>
      </w:pPr>
      <w:r>
        <w:rPr>
          <w:rStyle w:val="ac"/>
          <w:rtl/>
        </w:rPr>
        <w:footnoteRef/>
      </w:r>
      <w:r>
        <w:rPr>
          <w:rtl/>
        </w:rPr>
        <w:t xml:space="preserve">משמע מדברי רש"י דדוקא משום שצריכה גט [וכן </w:t>
      </w:r>
      <w:r>
        <w:rPr>
          <w:b/>
          <w:bCs/>
          <w:rtl/>
        </w:rPr>
        <w:t>רש"י</w:t>
      </w:r>
      <w:r>
        <w:rPr>
          <w:rtl/>
        </w:rPr>
        <w:t xml:space="preserve"> (בסמוך ד"ה פסלה) כת' הטעם משום דצריכה גט]. ומש"ה עובר בלא יבנה, אך לכאורה עצם המאמר פוסל.</w:t>
      </w:r>
    </w:p>
  </w:footnote>
  <w:footnote w:id="6224">
    <w:p w14:paraId="7210495A" w14:textId="77777777" w:rsidR="006C4368" w:rsidRDefault="006C4368" w:rsidP="006C4368">
      <w:pPr>
        <w:pStyle w:val="Footnote"/>
        <w:bidi/>
      </w:pPr>
      <w:r>
        <w:rPr>
          <w:rStyle w:val="ac"/>
          <w:rtl/>
        </w:rPr>
        <w:footnoteRef/>
      </w:r>
      <w:r>
        <w:rPr>
          <w:rtl/>
        </w:rPr>
        <w:t>וה</w:t>
      </w:r>
      <w:r>
        <w:rPr>
          <w:b/>
          <w:bCs/>
          <w:rtl/>
        </w:rPr>
        <w:t>ערול"נ</w:t>
      </w:r>
      <w:r>
        <w:rPr>
          <w:rtl/>
        </w:rPr>
        <w:t xml:space="preserve"> דייק דתלי באשה, האם היא שוגגת או מזיד. ואף דהבועל הוא קטן, וקי"ל דפיתוי קטנה אונס, ולכאורה ה"ה פיתוי קטן. וא"כ מבואר דהיכא דהאשה מזידה והבועל שוגג נאסרת, וכמ"ש ה</w:t>
      </w:r>
      <w:r>
        <w:rPr>
          <w:b/>
          <w:bCs/>
          <w:rtl/>
        </w:rPr>
        <w:t>משנ"ל</w:t>
      </w:r>
      <w:r>
        <w:rPr>
          <w:rtl/>
        </w:rPr>
        <w:t xml:space="preserve"> (סוטה ב י ד"ה עוד יש לחקור). [אך לכאורה אין ראיה, דנהי דקטנה מתפתית וחשיב אונס, אבל בועל קטן לא נחשב פיתוי. ואף קטן נחשב רצון].</w:t>
      </w:r>
    </w:p>
  </w:footnote>
  <w:footnote w:id="6225">
    <w:p w14:paraId="75DB092A" w14:textId="77777777" w:rsidR="006C4368" w:rsidRDefault="006C4368" w:rsidP="006C4368">
      <w:pPr>
        <w:pStyle w:val="Footnote"/>
        <w:bidi/>
      </w:pPr>
      <w:r>
        <w:rPr>
          <w:rStyle w:val="ac"/>
          <w:rtl/>
        </w:rPr>
        <w:footnoteRef/>
      </w:r>
      <w:r>
        <w:rPr>
          <w:rtl/>
        </w:rPr>
        <w:t>וצ"ב אמאי רש"י הביא ממתני' דנדה דנהרגת עליו. הו"ל להביא כמה משניות דסוטה אסורה לבעל ובועל.</w:t>
      </w:r>
    </w:p>
  </w:footnote>
  <w:footnote w:id="6226">
    <w:p w14:paraId="6EFB79AE" w14:textId="77777777" w:rsidR="006C4368" w:rsidRDefault="006C4368" w:rsidP="006C4368">
      <w:pPr>
        <w:pStyle w:val="Footnote"/>
        <w:bidi/>
      </w:pPr>
      <w:r>
        <w:rPr>
          <w:rStyle w:val="ac"/>
          <w:rtl/>
        </w:rPr>
        <w:footnoteRef/>
      </w:r>
      <w:r>
        <w:rPr>
          <w:rtl/>
        </w:rPr>
        <w:t>ומבואר ברמב"ן דלשמואל י"ל דיבם בן ט' ל"ק מדאורייתא לגמרי, ומש"ה אינו בכלל סוטה. אלא דהק' דדעת רב (לעיל נו.) דביאת שוגג קנה לכל, ואף ביאת חרש. ונקט דה"ה ביאת קטן.</w:t>
      </w:r>
    </w:p>
    <w:p w14:paraId="4077F7EE" w14:textId="77777777" w:rsidR="006C4368" w:rsidRDefault="006C4368" w:rsidP="006C4368">
      <w:pPr>
        <w:pStyle w:val="Footnote"/>
        <w:bidi/>
      </w:pPr>
      <w:r>
        <w:rPr>
          <w:rtl/>
        </w:rPr>
        <w:tab/>
        <w:t>וב</w:t>
      </w:r>
      <w:r>
        <w:rPr>
          <w:b/>
          <w:bCs/>
          <w:rtl/>
        </w:rPr>
        <w:t>חי' ר' שמואל</w:t>
      </w:r>
      <w:r>
        <w:rPr>
          <w:rtl/>
        </w:rPr>
        <w:t xml:space="preserve"> (טז ג) הק' דמבואר (לעיל נח.) דאף לשמואל בביאת שוגג נאסרת עליו כדין סוטה. [ובהערה שם הדגיש דעל דברי הר"א אב"ד בביאת קטן אין ראיה. אלא מדברי הרמב"ן שדימה לביאת שוגג]. ותי' די"ל דדוקא ע"י קינוי וסתירה נאסרת.</w:t>
      </w:r>
    </w:p>
  </w:footnote>
  <w:footnote w:id="6227">
    <w:p w14:paraId="556F38B5" w14:textId="77777777" w:rsidR="006C4368" w:rsidRDefault="006C4368" w:rsidP="006C4368">
      <w:pPr>
        <w:pStyle w:val="Footnote"/>
        <w:bidi/>
      </w:pPr>
      <w:r>
        <w:rPr>
          <w:rStyle w:val="ac"/>
          <w:rtl/>
        </w:rPr>
        <w:footnoteRef/>
      </w:r>
      <w:r>
        <w:rPr>
          <w:rtl/>
        </w:rPr>
        <w:t>אבל ה</w:t>
      </w:r>
      <w:r>
        <w:rPr>
          <w:b/>
          <w:bCs/>
          <w:rtl/>
        </w:rPr>
        <w:t>רמב"ן</w:t>
      </w:r>
      <w:r>
        <w:rPr>
          <w:rtl/>
        </w:rPr>
        <w:t xml:space="preserve"> (סוף צו.) מבואר דאף רב מודה דיש גזיה"כ דביאת קטן ל"ק אלא לדברים הכתובים בפרשה, אלא דס"ל דהוה גזיה"כ דוקא בקטן, ולא ילפי' מיניה. ועפ"ז יש ליישב דברי הר"א אב"ד. [ועד"ז הק' בחי' ר' שמואל שם].</w:t>
      </w:r>
    </w:p>
    <w:p w14:paraId="26DF4A07" w14:textId="77777777" w:rsidR="006C4368" w:rsidRDefault="006C4368" w:rsidP="006C4368">
      <w:pPr>
        <w:pStyle w:val="Footnote"/>
        <w:bidi/>
      </w:pPr>
      <w:r>
        <w:rPr>
          <w:rtl/>
        </w:rPr>
        <w:tab/>
        <w:t>ומה שהק' הרמב"ן מיבם חרש יל"ד, דאף דבכל התורה מדמין חרש לקטן. אבל ביבום מבואר דחרש קונה את יבמתו לכל דבר מדאורייתא [ופוטרת צרתה], דביאת יבום אי"צ דעת. ולא הוה בכלל המיעוט דאיש פרט לקטן [וכמ"ש הקוב"ש ב גיטין טז].</w:t>
      </w:r>
    </w:p>
  </w:footnote>
  <w:footnote w:id="6228">
    <w:p w14:paraId="5F27B2F3" w14:textId="77777777" w:rsidR="006C4368" w:rsidRDefault="006C4368" w:rsidP="006C4368">
      <w:pPr>
        <w:pStyle w:val="Footnote"/>
        <w:bidi/>
      </w:pPr>
      <w:r>
        <w:rPr>
          <w:rStyle w:val="ac"/>
          <w:rtl/>
        </w:rPr>
        <w:footnoteRef/>
      </w:r>
      <w:r>
        <w:rPr>
          <w:rtl/>
        </w:rPr>
        <w:t>והביא דנח' עד"ז ה</w:t>
      </w:r>
      <w:r>
        <w:rPr>
          <w:b/>
          <w:bCs/>
          <w:rtl/>
        </w:rPr>
        <w:t>נוב"י</w:t>
      </w:r>
      <w:r>
        <w:rPr>
          <w:rtl/>
        </w:rPr>
        <w:t xml:space="preserve"> וה</w:t>
      </w:r>
      <w:r>
        <w:rPr>
          <w:b/>
          <w:bCs/>
          <w:rtl/>
        </w:rPr>
        <w:t>מנח"ח</w:t>
      </w:r>
      <w:r>
        <w:rPr>
          <w:rtl/>
        </w:rPr>
        <w:t xml:space="preserve"> (הו' בע"א) היכא דגדל אח"כ, האם חייבין עליו.</w:t>
      </w:r>
    </w:p>
  </w:footnote>
  <w:footnote w:id="6229">
    <w:p w14:paraId="11090E44" w14:textId="77777777" w:rsidR="006C4368" w:rsidRDefault="006C4368" w:rsidP="006C4368">
      <w:pPr>
        <w:pStyle w:val="Footnote"/>
        <w:bidi/>
      </w:pPr>
      <w:r>
        <w:rPr>
          <w:rStyle w:val="ac"/>
          <w:rtl/>
        </w:rPr>
        <w:footnoteRef/>
      </w:r>
      <w:r>
        <w:rPr>
          <w:rtl/>
        </w:rPr>
        <w:t xml:space="preserve">אך לדברי </w:t>
      </w:r>
      <w:r>
        <w:rPr>
          <w:b/>
          <w:bCs/>
          <w:rtl/>
        </w:rPr>
        <w:t>רש"י</w:t>
      </w:r>
      <w:r>
        <w:rPr>
          <w:rtl/>
        </w:rPr>
        <w:t xml:space="preserve"> בקידושין דקנה מדאורייתא [וקאי באיסור אשת איש], אלא דנתמעט ממיתה. א"כ לכאורה אסורה מדינא כדין סוטה, ואי"צ דימוי והיקש לאשה בעלמא.</w:t>
      </w:r>
    </w:p>
  </w:footnote>
  <w:footnote w:id="6230">
    <w:p w14:paraId="2374EF17" w14:textId="77777777" w:rsidR="006C4368" w:rsidRDefault="006C4368" w:rsidP="006C4368">
      <w:pPr>
        <w:pStyle w:val="Footnote"/>
        <w:bidi/>
      </w:pPr>
      <w:r>
        <w:rPr>
          <w:rStyle w:val="ac"/>
          <w:rtl/>
        </w:rPr>
        <w:footnoteRef/>
      </w:r>
      <w:r>
        <w:rPr>
          <w:rtl/>
        </w:rPr>
        <w:t>ומש"ה הגמ' (שם) לומדת דר' שמעון סבר דמאמר קונה קנין גמור. ואין מאמר אחר מאמר.</w:t>
      </w:r>
    </w:p>
  </w:footnote>
  <w:footnote w:id="6231">
    <w:p w14:paraId="58051B86" w14:textId="77777777" w:rsidR="006C4368" w:rsidRDefault="006C4368" w:rsidP="006C4368">
      <w:pPr>
        <w:pStyle w:val="Footnote"/>
        <w:bidi/>
      </w:pPr>
      <w:r>
        <w:rPr>
          <w:rStyle w:val="ac"/>
          <w:rtl/>
        </w:rPr>
        <w:footnoteRef/>
      </w:r>
      <w:r>
        <w:rPr>
          <w:rtl/>
        </w:rPr>
        <w:t>ויל"ד דהול"ל דלרבנן הוה בגדר ביאה פסולה, דיש אחריה ביאה אחרת (וכדאי' לעיל נ:). ומבואר דפשיט"ל לגמ' דביאת בן ט' הוה גדר 'מאמר'.</w:t>
      </w:r>
    </w:p>
  </w:footnote>
  <w:footnote w:id="6232">
    <w:p w14:paraId="56FDB92C" w14:textId="77777777" w:rsidR="006C4368" w:rsidRDefault="006C4368" w:rsidP="006C4368">
      <w:pPr>
        <w:pStyle w:val="Footnote"/>
        <w:bidi/>
      </w:pPr>
      <w:r>
        <w:rPr>
          <w:rStyle w:val="ac"/>
          <w:rtl/>
        </w:rPr>
        <w:footnoteRef/>
      </w:r>
      <w:r>
        <w:rPr>
          <w:rtl/>
        </w:rPr>
        <w:t>וה</w:t>
      </w:r>
      <w:r>
        <w:rPr>
          <w:b/>
          <w:bCs/>
          <w:rtl/>
        </w:rPr>
        <w:t>רמב"ן</w:t>
      </w:r>
      <w:r>
        <w:rPr>
          <w:rtl/>
        </w:rPr>
        <w:t xml:space="preserve"> (נא:) תי' דמברייתא דהתם י"ל דלדבריהם דחכמים קאמר, דל"ש לגזור זיקת ב' יבמין. והוסיף דמהא שמעי' דטעמיה דר' שמעון התם משום דמאמר לר' שמעון קני. (ואפשר דכוונתו דמהברייתא (יט.) שמעי' דטעמיה דר"ש (כאן) משום מאמר, והמק' סמך אברייתא דהתם מאחר דדמי למתני'. א"נ כוונתו דמהגמ' (נא:) שמעי' דסברת ר' שמעון כאן משום מאמר, ולא משום גדרי בן ט'}.</w:t>
      </w:r>
    </w:p>
  </w:footnote>
  <w:footnote w:id="6233">
    <w:p w14:paraId="5EB5B07D" w14:textId="77777777" w:rsidR="006C4368" w:rsidRDefault="006C4368" w:rsidP="006C4368">
      <w:pPr>
        <w:pStyle w:val="Footnote"/>
        <w:bidi/>
      </w:pPr>
      <w:r>
        <w:rPr>
          <w:rStyle w:val="ac"/>
          <w:rtl/>
        </w:rPr>
        <w:footnoteRef/>
      </w:r>
      <w:r>
        <w:rPr>
          <w:rtl/>
        </w:rPr>
        <w:t>וה</w:t>
      </w:r>
      <w:r>
        <w:rPr>
          <w:b/>
          <w:bCs/>
          <w:rtl/>
        </w:rPr>
        <w:t>רשב"א</w:t>
      </w:r>
      <w:r>
        <w:rPr>
          <w:rtl/>
        </w:rPr>
        <w:t xml:space="preserve"> (נא:) הביא דב</w:t>
      </w:r>
      <w:r>
        <w:rPr>
          <w:b/>
          <w:bCs/>
          <w:rtl/>
        </w:rPr>
        <w:t>ירושלמי</w:t>
      </w:r>
      <w:r>
        <w:rPr>
          <w:rtl/>
        </w:rPr>
        <w:t xml:space="preserve"> (שם) אי' דר' שמעון נסתפק האם דרשי' ולקחה זו המאמר, וכשם שביאה גומרת בה כך המאמר. או דמאמר לא הועיל כלום. [ועוד יש שפי' דילפי' מק"ו דקידושין, ע' תוס' נא: ד"ה ביאה, ומ"מ יש ספק משום דרשת אין כסף ושטר גומרים בה. ועד"ז צ"ל דהוה ספק בדרשא דאשת איש ולא אשת קטן. [וצ"ע מנ"ל לגמ' דב' דרשות האלו תליין בהדדי].</w:t>
      </w:r>
    </w:p>
    <w:p w14:paraId="7B408DA3" w14:textId="77777777" w:rsidR="006C4368" w:rsidRDefault="006C4368" w:rsidP="006C4368">
      <w:pPr>
        <w:pStyle w:val="Footnote"/>
        <w:bidi/>
      </w:pPr>
      <w:r>
        <w:rPr>
          <w:rtl/>
        </w:rPr>
        <w:tab/>
        <w:t>ולפ"ז הספק לר"ש דאנן לא ידעינן האיך לדרוש הפסוקים. ועוד יש שפי' דילפי' מקרא דמאמר הוה בגדר ספק מדאורייתא [וחידשה תורה קנין שהוא גדר ספק]. וילפי' מקרא דאין כסף ושטר גומרים, ועכ"פ הוה גדר ספק. וכן ביאת בן ט' נתמעט דאינו אישות גמורה, ואין חייבין עליו. ור' שמעון ס"ל דהוה בגדר ספק. [ורבנן פליגי דגדר הילפותא דהוה גדר 'מקצת', ולא גדר ספק. א"נ רבנן ס"ל דהוה מדרבנן].</w:t>
      </w:r>
    </w:p>
  </w:footnote>
  <w:footnote w:id="6234">
    <w:p w14:paraId="7686AB6F" w14:textId="77777777" w:rsidR="006C4368" w:rsidRDefault="006C4368" w:rsidP="006C4368">
      <w:pPr>
        <w:pStyle w:val="Footnote"/>
        <w:bidi/>
      </w:pPr>
      <w:r>
        <w:rPr>
          <w:rStyle w:val="ac"/>
          <w:rtl/>
        </w:rPr>
        <w:footnoteRef/>
      </w:r>
      <w:r>
        <w:rPr>
          <w:rtl/>
        </w:rPr>
        <w:t xml:space="preserve">וכן </w:t>
      </w:r>
      <w:r>
        <w:rPr>
          <w:b/>
          <w:bCs/>
          <w:rtl/>
        </w:rPr>
        <w:t>תוס</w:t>
      </w:r>
      <w:r>
        <w:rPr>
          <w:rtl/>
        </w:rPr>
        <w:t>' (נא: ד"ה ביאה) נקטו דל"מ מדאורייתא.</w:t>
      </w:r>
    </w:p>
  </w:footnote>
  <w:footnote w:id="6235">
    <w:p w14:paraId="276BC008" w14:textId="77777777" w:rsidR="006C4368" w:rsidRDefault="006C4368" w:rsidP="006C4368">
      <w:pPr>
        <w:pStyle w:val="Footnote"/>
        <w:bidi/>
      </w:pPr>
      <w:r>
        <w:rPr>
          <w:rStyle w:val="ac"/>
          <w:rtl/>
        </w:rPr>
        <w:footnoteRef/>
      </w:r>
      <w:r>
        <w:rPr>
          <w:rtl/>
        </w:rPr>
        <w:t>דאישות חרשת תקנו דקנויה למשויירת [ונפק"מ דהוה ביאה פסולה], ואילו קטנה תקנו דקנויה ואינה קנויה [ואמרי' ממ"נ, ולא הוה ביאה פסולה].</w:t>
      </w:r>
    </w:p>
  </w:footnote>
  <w:footnote w:id="6236">
    <w:p w14:paraId="6BB2AC60" w14:textId="77777777" w:rsidR="006C4368" w:rsidRDefault="006C4368" w:rsidP="006C4368">
      <w:pPr>
        <w:pStyle w:val="Footnote"/>
        <w:bidi/>
      </w:pPr>
      <w:r>
        <w:rPr>
          <w:rStyle w:val="ac"/>
          <w:rtl/>
        </w:rPr>
        <w:footnoteRef/>
      </w:r>
      <w:r>
        <w:rPr>
          <w:rtl/>
        </w:rPr>
        <w:t>ובגמ' (לעיל נא:) הו' אף דעת בן עזאי דס"ל דמאמר קונה קנין גמור. [דס"ל במקצת כר"ג דאין מאמר אחר מאמר].</w:t>
      </w:r>
    </w:p>
  </w:footnote>
  <w:footnote w:id="6237">
    <w:p w14:paraId="408BC4ED" w14:textId="77777777" w:rsidR="006C4368" w:rsidRDefault="006C4368" w:rsidP="006C4368">
      <w:pPr>
        <w:pStyle w:val="Footnote"/>
        <w:bidi/>
      </w:pPr>
      <w:r>
        <w:rPr>
          <w:rStyle w:val="ac"/>
          <w:rtl/>
        </w:rPr>
        <w:footnoteRef/>
      </w:r>
      <w:r>
        <w:rPr>
          <w:rtl/>
        </w:rPr>
        <w:t xml:space="preserve">וכ"כ </w:t>
      </w:r>
      <w:r>
        <w:rPr>
          <w:b/>
          <w:bCs/>
          <w:rtl/>
        </w:rPr>
        <w:t>תוס'</w:t>
      </w:r>
      <w:r>
        <w:rPr>
          <w:rtl/>
        </w:rPr>
        <w:t xml:space="preserve"> (סנהדרין עו:), והביאו מהמשנה (כתובות צ.) דקטן שהשיאו אביו כתובתה קיימת, שע"מ כן קיימה. דנח' תחילת נישואין בקטנה.</w:t>
      </w:r>
    </w:p>
  </w:footnote>
  <w:footnote w:id="6238">
    <w:p w14:paraId="4D0EA139" w14:textId="77777777" w:rsidR="006C4368" w:rsidRDefault="006C4368" w:rsidP="006C4368">
      <w:pPr>
        <w:pStyle w:val="Footnote"/>
        <w:bidi/>
      </w:pPr>
      <w:r>
        <w:rPr>
          <w:rStyle w:val="ac"/>
          <w:rtl/>
        </w:rPr>
        <w:footnoteRef/>
      </w:r>
      <w:r>
        <w:rPr>
          <w:rtl/>
        </w:rPr>
        <w:t>וכן ה</w:t>
      </w:r>
      <w:r>
        <w:rPr>
          <w:b/>
          <w:bCs/>
          <w:rtl/>
        </w:rPr>
        <w:t>ב"ח</w:t>
      </w:r>
      <w:r>
        <w:rPr>
          <w:rtl/>
        </w:rPr>
        <w:t xml:space="preserve"> (א ג, והחלק"מ א ג חלק) דייק מהטור דכשהשיאו אביו בשנת י"ג [י"ב שנה ויום א'] תקנו רבנן דאינו בעילת זנות [ומבואר מדבריו דבעי גט], ורק כשהשיא לעצמו הוה בעילת זנות.</w:t>
      </w:r>
    </w:p>
    <w:p w14:paraId="454BDB7A" w14:textId="77777777" w:rsidR="006C4368" w:rsidRDefault="006C4368" w:rsidP="006C4368">
      <w:pPr>
        <w:pStyle w:val="Footnote"/>
        <w:bidi/>
      </w:pPr>
      <w:r>
        <w:rPr>
          <w:rtl/>
        </w:rPr>
        <w:tab/>
        <w:t>אך סתימת תוס' דידן משמע דאף קטן בן ט' תקנו לענין שלא יחשב ביאת זנות.</w:t>
      </w:r>
    </w:p>
  </w:footnote>
  <w:footnote w:id="6239">
    <w:p w14:paraId="0A2FB403" w14:textId="77777777" w:rsidR="006C4368" w:rsidRDefault="006C4368" w:rsidP="006C4368">
      <w:pPr>
        <w:pStyle w:val="Footnote"/>
        <w:bidi/>
      </w:pPr>
      <w:r>
        <w:rPr>
          <w:rStyle w:val="ac"/>
          <w:rtl/>
        </w:rPr>
        <w:footnoteRef/>
      </w:r>
      <w:r>
        <w:rPr>
          <w:rtl/>
        </w:rPr>
        <w:t>אבל ה</w:t>
      </w:r>
      <w:r>
        <w:rPr>
          <w:b/>
          <w:bCs/>
          <w:rtl/>
        </w:rPr>
        <w:t>רמב"ם</w:t>
      </w:r>
      <w:r>
        <w:rPr>
          <w:rtl/>
        </w:rPr>
        <w:t xml:space="preserve"> (איסו"ב כא כה, וכ"פ השו"ע א ג) פסק דבכל אופן הוה בעילת זנות.</w:t>
      </w:r>
    </w:p>
  </w:footnote>
  <w:footnote w:id="6240">
    <w:p w14:paraId="63197EA6" w14:textId="77777777" w:rsidR="006C4368" w:rsidRDefault="006C4368" w:rsidP="006C4368">
      <w:pPr>
        <w:pStyle w:val="Footnote"/>
        <w:bidi/>
      </w:pPr>
      <w:r>
        <w:rPr>
          <w:rStyle w:val="ac"/>
          <w:rtl/>
        </w:rPr>
        <w:footnoteRef/>
      </w:r>
      <w:r>
        <w:rPr>
          <w:rtl/>
        </w:rPr>
        <w:t>ותוס' כת' דמ"מ אף הך תנא ס"ל דגזרו אף היכא דליכא צרה.</w:t>
      </w:r>
    </w:p>
  </w:footnote>
  <w:footnote w:id="6241">
    <w:p w14:paraId="641CA2E9" w14:textId="77777777" w:rsidR="006C4368" w:rsidRDefault="006C4368" w:rsidP="006C4368">
      <w:pPr>
        <w:pStyle w:val="Footnote"/>
        <w:bidi/>
      </w:pPr>
      <w:r>
        <w:rPr>
          <w:rStyle w:val="ac"/>
          <w:rtl/>
        </w:rPr>
        <w:footnoteRef/>
      </w:r>
      <w:r>
        <w:rPr>
          <w:rtl/>
        </w:rPr>
        <w:t xml:space="preserve">אך </w:t>
      </w:r>
      <w:r>
        <w:rPr>
          <w:b/>
          <w:bCs/>
          <w:rtl/>
        </w:rPr>
        <w:t>תוס</w:t>
      </w:r>
      <w:r>
        <w:rPr>
          <w:rtl/>
        </w:rPr>
        <w:t>' הק' דבגמ' (שם) מבואר דהוה גזירה משום צרה. ועוה"ק דבסוגיין אשתו נקראת צרה, ואמרי' ותדחה צרה כו'. ואילו (לא:) קרי לבעלת מאמר צרה.</w:t>
      </w:r>
    </w:p>
  </w:footnote>
  <w:footnote w:id="6242">
    <w:p w14:paraId="39A2A11B" w14:textId="77777777" w:rsidR="006C4368" w:rsidRDefault="006C4368" w:rsidP="006C4368">
      <w:pPr>
        <w:pStyle w:val="Footnote"/>
        <w:bidi/>
      </w:pPr>
      <w:r>
        <w:rPr>
          <w:rStyle w:val="ac"/>
          <w:rtl/>
        </w:rPr>
        <w:footnoteRef/>
      </w:r>
      <w:r>
        <w:rPr>
          <w:rtl/>
        </w:rPr>
        <w:t>ועד"ז ביאר דין אינו מתכוון דפטור בדיני התורה. ודוקא בחלבים ועריות חייב שכן נהנה.</w:t>
      </w:r>
    </w:p>
  </w:footnote>
  <w:footnote w:id="6243">
    <w:p w14:paraId="2F0B6832" w14:textId="77777777" w:rsidR="006C4368" w:rsidRDefault="006C4368" w:rsidP="006C4368">
      <w:pPr>
        <w:pStyle w:val="Footnote"/>
        <w:bidi/>
      </w:pPr>
      <w:r>
        <w:rPr>
          <w:rStyle w:val="ac"/>
          <w:rtl/>
        </w:rPr>
        <w:footnoteRef/>
      </w:r>
      <w:r>
        <w:rPr>
          <w:rtl/>
        </w:rPr>
        <w:t>וה</w:t>
      </w:r>
      <w:r>
        <w:rPr>
          <w:b/>
          <w:bCs/>
          <w:rtl/>
        </w:rPr>
        <w:t>ב"ח</w:t>
      </w:r>
      <w:r>
        <w:rPr>
          <w:rtl/>
        </w:rPr>
        <w:t xml:space="preserve"> (שם) דן תיפו"ל דצריך לאומרו בשם אומרו. וכת' דלדברי הרמב"ם י"ל דזהו מה שכתוב כאן.</w:t>
      </w:r>
    </w:p>
  </w:footnote>
  <w:footnote w:id="6244">
    <w:p w14:paraId="63A90268" w14:textId="77777777" w:rsidR="006C4368" w:rsidRDefault="006C4368" w:rsidP="006C4368">
      <w:pPr>
        <w:pStyle w:val="Footnote"/>
        <w:bidi/>
      </w:pPr>
      <w:r>
        <w:rPr>
          <w:rStyle w:val="ac"/>
          <w:rtl/>
        </w:rPr>
        <w:footnoteRef/>
      </w:r>
      <w:r>
        <w:rPr>
          <w:rtl/>
        </w:rPr>
        <w:t>דאי' (ברכות כז:) דהאומר דבר שלא שמע מפי רבו גורם לשכינה שתסתלק מישראל. וה</w:t>
      </w:r>
      <w:r>
        <w:rPr>
          <w:b/>
          <w:bCs/>
          <w:rtl/>
        </w:rPr>
        <w:t>רמב"ם</w:t>
      </w:r>
      <w:r>
        <w:rPr>
          <w:rtl/>
        </w:rPr>
        <w:t xml:space="preserve"> (ת"ת ה ט, והשו"ע שם) סתם דאף היכא דלא אמרו בשם רבו. וה</w:t>
      </w:r>
      <w:r>
        <w:rPr>
          <w:b/>
          <w:bCs/>
          <w:rtl/>
        </w:rPr>
        <w:t>כס"מ</w:t>
      </w:r>
      <w:r>
        <w:rPr>
          <w:rtl/>
        </w:rPr>
        <w:t xml:space="preserve"> ביאר דכל מה שאומר בסתם הוה כאומר מפי רבו. [וה</w:t>
      </w:r>
      <w:r>
        <w:rPr>
          <w:b/>
          <w:bCs/>
          <w:rtl/>
        </w:rPr>
        <w:t>רש"ש</w:t>
      </w:r>
      <w:r>
        <w:rPr>
          <w:rtl/>
        </w:rPr>
        <w:t xml:space="preserve"> (לרמב"ם) ועוד אחרונים ציינו דהו"ל להביא כן מסוגיין. וכן הב"ח הביא מסוגיין].</w:t>
      </w:r>
    </w:p>
    <w:p w14:paraId="65CE2B1E" w14:textId="77777777" w:rsidR="006C4368" w:rsidRDefault="006C4368" w:rsidP="006C4368">
      <w:pPr>
        <w:pStyle w:val="Footnote"/>
        <w:bidi/>
      </w:pPr>
      <w:r>
        <w:rPr>
          <w:rtl/>
        </w:rPr>
        <w:tab/>
        <w:t>וה</w:t>
      </w:r>
      <w:r>
        <w:rPr>
          <w:b/>
          <w:bCs/>
          <w:rtl/>
        </w:rPr>
        <w:t>ב"ח</w:t>
      </w:r>
      <w:r>
        <w:rPr>
          <w:rtl/>
        </w:rPr>
        <w:t xml:space="preserve"> (והו' בש"ך וט"ז שם) כת' ומיהו אם למד לפני שנים צריך להזכיר שם אומרו. [ולומר בשם אומרו]. וה</w:t>
      </w:r>
      <w:r>
        <w:rPr>
          <w:b/>
          <w:bCs/>
          <w:rtl/>
        </w:rPr>
        <w:t>ש"ך</w:t>
      </w:r>
      <w:r>
        <w:rPr>
          <w:rtl/>
        </w:rPr>
        <w:t xml:space="preserve"> (שם מג) כת' מיהו עכשיו סתם מה שהאדם אומר סוברים העולם שהוא מפי עצמו והלכך הדין משתנה. ומ"מ ודאי דאסור לומר בסתם וכ"ש משם עצמו דבר ששמע מאחרים דהוי מתעטף בטלית שאינו שלו.</w:t>
      </w:r>
    </w:p>
  </w:footnote>
  <w:footnote w:id="6245">
    <w:p w14:paraId="315907D9" w14:textId="77777777" w:rsidR="006C4368" w:rsidRDefault="006C4368" w:rsidP="006C4368">
      <w:pPr>
        <w:pStyle w:val="Footnote"/>
        <w:bidi/>
      </w:pPr>
      <w:r>
        <w:rPr>
          <w:rStyle w:val="ac"/>
          <w:rtl/>
        </w:rPr>
        <w:footnoteRef/>
      </w:r>
      <w:r>
        <w:rPr>
          <w:rtl/>
        </w:rPr>
        <w:t>וה</w:t>
      </w:r>
      <w:r>
        <w:rPr>
          <w:b/>
          <w:bCs/>
          <w:rtl/>
        </w:rPr>
        <w:t>מג"א</w:t>
      </w:r>
      <w:r>
        <w:rPr>
          <w:rtl/>
        </w:rPr>
        <w:t xml:space="preserve"> (קנו, וכן בס' חרדים ל"ת מדברי קבלה א) הביא דעובר בלאו [וציינו נדרים פ"ק, וליתא לפנינו שם], והאחרונים ציינו דכוונתו למדרש הנ"ל.</w:t>
      </w:r>
    </w:p>
  </w:footnote>
  <w:footnote w:id="6246">
    <w:p w14:paraId="3F8EE387" w14:textId="77777777" w:rsidR="006C4368" w:rsidRDefault="006C4368" w:rsidP="006C4368">
      <w:pPr>
        <w:pStyle w:val="Footnote"/>
        <w:bidi/>
      </w:pPr>
      <w:r>
        <w:rPr>
          <w:rStyle w:val="ac"/>
          <w:rtl/>
        </w:rPr>
        <w:footnoteRef/>
      </w:r>
      <w:r>
        <w:rPr>
          <w:rtl/>
        </w:rPr>
        <w:t>וה</w:t>
      </w:r>
      <w:r>
        <w:rPr>
          <w:b/>
          <w:bCs/>
          <w:rtl/>
        </w:rPr>
        <w:t>שם הגדולים</w:t>
      </w:r>
      <w:r>
        <w:rPr>
          <w:rtl/>
        </w:rPr>
        <w:t xml:space="preserve"> הוכיח כן, דאי צריך לומר בשם אומרו [כדי שיהיו שפתותיו דובבות], א"כ אמאי רבינו הקדוש ותלמידיו לא אמרו כל דבר בשם אומרו. אלא מוכרח דמהני אף אם לא יזכירו שמות הבעלים מהחידושים, דלפני הקב"ה נגלו תעלומות והאומרם שפתותיו דובבות. וא"כ הטעם לומר בשם אומרו כדי שיקבלו ממנו, ומש"ה במשניות וברייתות דודאי מקבלים אי"צ בשם אומרו. וכת' דזה היה דעת הרמב"ם לכתוב כל הלכות סתם [וציין למש"כ באגרות הרמב"ם].</w:t>
      </w:r>
    </w:p>
  </w:footnote>
  <w:footnote w:id="6247">
    <w:p w14:paraId="70EC4482" w14:textId="77777777" w:rsidR="006C4368" w:rsidRDefault="006C4368" w:rsidP="006C4368">
      <w:pPr>
        <w:pStyle w:val="Footnote"/>
        <w:bidi/>
      </w:pPr>
      <w:r>
        <w:rPr>
          <w:rStyle w:val="ac"/>
        </w:rPr>
        <w:footnoteRef/>
      </w:r>
      <w:r>
        <w:rPr>
          <w:rtl/>
        </w:rPr>
        <w:t>ולכאורה מבואר מדבריו דעכ"פ מדרבנן אסור בקרובותיה בחייה, וכדין מפותה. ואף לצד דבנישואי טעות לא אסרינן דלא הוה מעשה זנות, אבל פילגש [אף למ"ד דמתיר] מ"מ נחשב קצת  זנות</w:t>
      </w:r>
      <w:r>
        <w:t>.</w:t>
      </w:r>
    </w:p>
  </w:footnote>
  <w:footnote w:id="6248">
    <w:p w14:paraId="330D34E6" w14:textId="77777777" w:rsidR="006C4368" w:rsidRDefault="006C4368" w:rsidP="006C4368">
      <w:pPr>
        <w:pStyle w:val="Footnote"/>
        <w:bidi/>
      </w:pPr>
      <w:r>
        <w:rPr>
          <w:rStyle w:val="ac"/>
        </w:rPr>
        <w:footnoteRef/>
      </w:r>
      <w:r>
        <w:rPr>
          <w:rtl/>
        </w:rPr>
        <w:t>וה</w:t>
      </w:r>
      <w:r>
        <w:rPr>
          <w:b/>
          <w:bCs/>
          <w:rtl/>
        </w:rPr>
        <w:t>רמב"ן</w:t>
      </w:r>
      <w:r>
        <w:rPr>
          <w:rtl/>
        </w:rPr>
        <w:t xml:space="preserve"> כת' דלדבריהם תנא אלו, משום דהני אמן דכל עריות דידה, וה"ק אמה ותולדותיה, ובתה ותולדותיה</w:t>
      </w:r>
      <w:r>
        <w:t>.</w:t>
      </w:r>
    </w:p>
  </w:footnote>
  <w:footnote w:id="6249">
    <w:p w14:paraId="1CB33732" w14:textId="77777777" w:rsidR="006C4368" w:rsidRDefault="006C4368" w:rsidP="006C4368">
      <w:pPr>
        <w:pStyle w:val="Footnote"/>
        <w:bidi/>
      </w:pPr>
      <w:r>
        <w:rPr>
          <w:rStyle w:val="ac"/>
        </w:rPr>
        <w:footnoteRef/>
      </w:r>
      <w:r>
        <w:rPr>
          <w:rtl/>
        </w:rPr>
        <w:t>ודייק דקו' הגמ' ורמינהו קאי אמתני', ולא על הברייתא</w:t>
      </w:r>
      <w:r>
        <w:t>.</w:t>
      </w:r>
    </w:p>
  </w:footnote>
  <w:footnote w:id="6250">
    <w:p w14:paraId="22593243" w14:textId="77777777" w:rsidR="006C4368" w:rsidRDefault="006C4368" w:rsidP="006C4368">
      <w:pPr>
        <w:pStyle w:val="Footnote"/>
        <w:bidi/>
      </w:pPr>
      <w:r>
        <w:rPr>
          <w:rStyle w:val="ac"/>
        </w:rPr>
        <w:footnoteRef/>
      </w:r>
      <w:r>
        <w:rPr>
          <w:rtl/>
        </w:rPr>
        <w:t>וכ”כ ב</w:t>
      </w:r>
      <w:r>
        <w:rPr>
          <w:b/>
          <w:bCs/>
          <w:rtl/>
        </w:rPr>
        <w:t>פסקי הרי”ד</w:t>
      </w:r>
      <w:r>
        <w:rPr>
          <w:rtl/>
        </w:rPr>
        <w:t xml:space="preserve"> (כאן) דבחיי האנוסה אסור לישא קרובתה</w:t>
      </w:r>
      <w:r>
        <w:t>.</w:t>
      </w:r>
    </w:p>
  </w:footnote>
  <w:footnote w:id="6251">
    <w:p w14:paraId="52E9F78D" w14:textId="77777777" w:rsidR="006C4368" w:rsidRDefault="006C4368" w:rsidP="006C4368">
      <w:pPr>
        <w:pStyle w:val="Footnote"/>
        <w:bidi/>
      </w:pPr>
      <w:r>
        <w:rPr>
          <w:rStyle w:val="ac"/>
        </w:rPr>
        <w:footnoteRef/>
      </w:r>
      <w:r>
        <w:rPr>
          <w:rtl/>
        </w:rPr>
        <w:t>ואף שלפי שעה מאנסה, אפ"ה חשו רבנן לקילקולה ודימו אותה לנטען ונטענת</w:t>
      </w:r>
      <w:r>
        <w:t>.</w:t>
      </w:r>
    </w:p>
  </w:footnote>
  <w:footnote w:id="6252">
    <w:p w14:paraId="74CAB370" w14:textId="77777777" w:rsidR="006C4368" w:rsidRDefault="006C4368" w:rsidP="006C4368">
      <w:pPr>
        <w:pStyle w:val="Footnote"/>
        <w:bidi/>
      </w:pPr>
      <w:r>
        <w:rPr>
          <w:rStyle w:val="ac"/>
        </w:rPr>
        <w:footnoteRef/>
      </w:r>
      <w:r>
        <w:rPr>
          <w:rtl/>
        </w:rPr>
        <w:t>דקו' הגמ' לא שייך על אנוסה, דהך ברייתא תני הנטען. [ומנ"ל לגמ' להק' דאף באונסין שייך דין זה. וע"כ דקו' הגמ' דוקא ממפותה]</w:t>
      </w:r>
      <w:r>
        <w:t>.</w:t>
      </w:r>
    </w:p>
  </w:footnote>
  <w:footnote w:id="6253">
    <w:p w14:paraId="1F52BA03" w14:textId="77777777" w:rsidR="006C4368" w:rsidRDefault="006C4368" w:rsidP="006C4368">
      <w:pPr>
        <w:pStyle w:val="Footnote"/>
        <w:bidi/>
      </w:pPr>
      <w:r>
        <w:rPr>
          <w:rStyle w:val="ac"/>
        </w:rPr>
        <w:footnoteRef/>
      </w:r>
      <w:r>
        <w:rPr>
          <w:rtl/>
        </w:rPr>
        <w:t>וכת' דאין ראיה מהא דהיא אנוסה, דמסתבר דהכל תלוי בדידיה, דכל שהוא מזיד גזרו חכמים שמא מתוך שלבו גס בה יפתנה. ואף שהיא שוגגת או אנוסה. ונסתפק היכא דהוא אונס [ואף שהיא מזידה, וכ"ש היכא דשניהם שוגגין או אנוסים דליכא חשש כה"ג]</w:t>
      </w:r>
      <w:r>
        <w:t>.</w:t>
      </w:r>
    </w:p>
  </w:footnote>
  <w:footnote w:id="6254">
    <w:p w14:paraId="43B6D557" w14:textId="77777777" w:rsidR="006C4368" w:rsidRDefault="006C4368" w:rsidP="006C4368">
      <w:pPr>
        <w:pStyle w:val="Footnote"/>
        <w:bidi/>
      </w:pPr>
      <w:r>
        <w:rPr>
          <w:rStyle w:val="ac"/>
        </w:rPr>
        <w:footnoteRef/>
      </w:r>
      <w:r>
        <w:rPr>
          <w:rtl/>
        </w:rPr>
        <w:t>שהיה סבור שמתה הראשונה, ולמה נחשדיהו שיבא במזיד על אחות אשתו, והוא בלי פשע לפנינו</w:t>
      </w:r>
      <w:r>
        <w:t>.</w:t>
      </w:r>
    </w:p>
  </w:footnote>
  <w:footnote w:id="6255">
    <w:p w14:paraId="582332AF" w14:textId="77777777" w:rsidR="006C4368" w:rsidRDefault="006C4368" w:rsidP="006C4368">
      <w:pPr>
        <w:pStyle w:val="Footnote"/>
        <w:bidi/>
      </w:pPr>
      <w:r>
        <w:rPr>
          <w:rStyle w:val="ac"/>
        </w:rPr>
        <w:footnoteRef/>
      </w:r>
      <w:r>
        <w:rPr>
          <w:rtl/>
        </w:rPr>
        <w:t>ומ"מ כשבא על אחות אשתו אינו נאסר על אשתו [ברישא דהמשנה שם], דכיון דנשאה בהיתר אינה נאסרת עליו</w:t>
      </w:r>
      <w:r>
        <w:t>.</w:t>
      </w:r>
    </w:p>
  </w:footnote>
  <w:footnote w:id="6256">
    <w:p w14:paraId="595C59BC" w14:textId="77777777" w:rsidR="006C4368" w:rsidRDefault="006C4368" w:rsidP="006C4368">
      <w:pPr>
        <w:pStyle w:val="Footnote"/>
        <w:bidi/>
      </w:pPr>
      <w:r>
        <w:rPr>
          <w:rStyle w:val="ac"/>
        </w:rPr>
        <w:footnoteRef/>
      </w:r>
      <w:r>
        <w:rPr>
          <w:rtl/>
        </w:rPr>
        <w:t>אך המשנ"ל הביא דמדברי ה</w:t>
      </w:r>
      <w:r>
        <w:rPr>
          <w:b/>
          <w:bCs/>
          <w:rtl/>
        </w:rPr>
        <w:t>טור</w:t>
      </w:r>
      <w:r>
        <w:rPr>
          <w:rtl/>
        </w:rPr>
        <w:t xml:space="preserve"> (טו ו) משמע דמותר אף בחייה</w:t>
      </w:r>
      <w:r>
        <w:t>.</w:t>
      </w:r>
    </w:p>
  </w:footnote>
  <w:footnote w:id="6257">
    <w:p w14:paraId="46EB6C4B" w14:textId="77777777" w:rsidR="006C4368" w:rsidRDefault="006C4368" w:rsidP="006C4368">
      <w:pPr>
        <w:pStyle w:val="Footnote"/>
        <w:bidi/>
      </w:pPr>
      <w:r>
        <w:rPr>
          <w:rStyle w:val="ac"/>
        </w:rPr>
        <w:footnoteRef/>
      </w:r>
      <w:r>
        <w:rPr>
          <w:rtl/>
        </w:rPr>
        <w:t>אלא כיון דהיו יחדיו בקירוב בשר, אף דבתחילה היה באונס או בטעות, מ"מ יש חשש זנות עכשיו</w:t>
      </w:r>
      <w:r>
        <w:t>.</w:t>
      </w:r>
    </w:p>
  </w:footnote>
  <w:footnote w:id="6258">
    <w:p w14:paraId="50A661C5" w14:textId="77777777" w:rsidR="006C4368" w:rsidRDefault="006C4368" w:rsidP="006C4368">
      <w:pPr>
        <w:pStyle w:val="Footnote"/>
        <w:bidi/>
      </w:pPr>
      <w:r>
        <w:rPr>
          <w:rStyle w:val="ac"/>
        </w:rPr>
        <w:footnoteRef/>
      </w:r>
      <w:r>
        <w:rPr>
          <w:rtl/>
        </w:rPr>
        <w:t>והרי"ד ביאר דהדברים ק"ו ומה אנוסה שלפי שעה מאנסה חשו רבנן לקילקולה, כ"ש ממאנת שהיא לאחר כמה ביאות שהם לרצונה על אחת כמה וכמה דיש לחוש על קילקולה</w:t>
      </w:r>
      <w:r>
        <w:t>.</w:t>
      </w:r>
    </w:p>
  </w:footnote>
  <w:footnote w:id="6259">
    <w:p w14:paraId="1A01AB52" w14:textId="77777777" w:rsidR="006C4368" w:rsidRDefault="006C4368" w:rsidP="006C4368">
      <w:pPr>
        <w:pStyle w:val="Footnote"/>
        <w:bidi/>
      </w:pPr>
      <w:r>
        <w:rPr>
          <w:rStyle w:val="ac"/>
        </w:rPr>
        <w:footnoteRef/>
      </w:r>
      <w:r>
        <w:rPr>
          <w:rtl/>
        </w:rPr>
        <w:t>דאחזוקי בנות ישראל בזונות לא מחזיקינן, ואדרבה היא שונאה אותו בעבור שאנסה וביישה. וכ"ש הממאנת שהיא שונאה אותו, שהרי מיאנה בו</w:t>
      </w:r>
      <w:r>
        <w:t>.</w:t>
      </w:r>
    </w:p>
  </w:footnote>
  <w:footnote w:id="6260">
    <w:p w14:paraId="4D1619B7" w14:textId="77777777" w:rsidR="006C4368" w:rsidRDefault="006C4368" w:rsidP="006C4368">
      <w:pPr>
        <w:pStyle w:val="Footnote"/>
        <w:bidi/>
      </w:pPr>
      <w:r>
        <w:rPr>
          <w:rStyle w:val="ac"/>
        </w:rPr>
        <w:footnoteRef/>
      </w:r>
      <w:r>
        <w:rPr>
          <w:rtl/>
        </w:rPr>
        <w:t>והביא מהגמ' (לקמן קח:) דלא חיישינן שתחזור ותנשא לו, הא שבשה ולא אישתבשא. כל שכן שלא תיבעל לו</w:t>
      </w:r>
      <w:r>
        <w:t>.</w:t>
      </w:r>
    </w:p>
  </w:footnote>
  <w:footnote w:id="6261">
    <w:p w14:paraId="63E572C5" w14:textId="77777777" w:rsidR="006C4368" w:rsidRDefault="006C4368" w:rsidP="006C4368">
      <w:pPr>
        <w:pStyle w:val="Footnote"/>
        <w:bidi/>
      </w:pPr>
      <w:r>
        <w:rPr>
          <w:rStyle w:val="ac"/>
        </w:rPr>
        <w:footnoteRef/>
      </w:r>
      <w:r>
        <w:rPr>
          <w:rtl/>
        </w:rPr>
        <w:t>משמע דאילו היתה מותרת בעודה פנויה ואסורה לו דרך אישות, א"כ היו תופסים קידושין. [כיון דעכשיו עדיין לא הוה ערוה עליו]. וצ"ע</w:t>
      </w:r>
      <w:r>
        <w:t>.</w:t>
      </w:r>
    </w:p>
  </w:footnote>
  <w:footnote w:id="6262">
    <w:p w14:paraId="7470E1FB" w14:textId="77777777" w:rsidR="006C4368" w:rsidRDefault="006C4368" w:rsidP="006C4368">
      <w:pPr>
        <w:pStyle w:val="Footnote"/>
        <w:bidi/>
      </w:pPr>
      <w:r>
        <w:rPr>
          <w:rStyle w:val="ac"/>
        </w:rPr>
        <w:footnoteRef/>
      </w:r>
      <w:r>
        <w:rPr>
          <w:rtl/>
        </w:rPr>
        <w:t>ו</w:t>
      </w:r>
      <w:r>
        <w:rPr>
          <w:b/>
          <w:bCs/>
          <w:rtl/>
        </w:rPr>
        <w:t>רש"י</w:t>
      </w:r>
      <w:r>
        <w:rPr>
          <w:rtl/>
        </w:rPr>
        <w:t xml:space="preserve"> (לעיל ב. סוד”ה ואם חמותו) כת' דבת אנוסתו לא הוה בכלל איסור 'אשה ובתה', דאשה משמע אישות ע"י קידושין. ותוס' (לעיל ג.) הביאו דבסוגיין ילפי' מקרא אחרינא</w:t>
      </w:r>
      <w:r>
        <w:t>.</w:t>
      </w:r>
    </w:p>
  </w:footnote>
  <w:footnote w:id="6263">
    <w:p w14:paraId="299A4209" w14:textId="77777777" w:rsidR="006C4368" w:rsidRDefault="006C4368" w:rsidP="006C4368">
      <w:pPr>
        <w:pStyle w:val="Footnote"/>
        <w:bidi/>
      </w:pPr>
      <w:r>
        <w:rPr>
          <w:rStyle w:val="ac"/>
        </w:rPr>
        <w:footnoteRef/>
      </w:r>
      <w:r>
        <w:rPr>
          <w:rtl/>
        </w:rPr>
        <w:t>ואף לס"ד דאנס אשה אסור בבתה, היינו בבתה שכבר נולדה. אבל נולדה לאחר מכן מותר, וקרא דבת בתו איירי בכה"ג, שנולדה לאחר מכן</w:t>
      </w:r>
      <w:r>
        <w:t>.</w:t>
      </w:r>
    </w:p>
  </w:footnote>
  <w:footnote w:id="6264">
    <w:p w14:paraId="1DE423D2" w14:textId="77777777" w:rsidR="006C4368" w:rsidRDefault="006C4368" w:rsidP="006C4368">
      <w:pPr>
        <w:pStyle w:val="Footnote"/>
        <w:bidi/>
      </w:pPr>
      <w:r>
        <w:rPr>
          <w:rStyle w:val="ac"/>
        </w:rPr>
        <w:footnoteRef/>
      </w:r>
      <w:r>
        <w:rPr>
          <w:rtl/>
        </w:rPr>
        <w:t>ולפ"ז לקו' התוס' הנושא אשה ולא בא עליה אסור בבת בתה, ומותר בבתה. וילה"ק דנימא ק"ו, ואף דאין עונשין מהדין, מ"מ לדברי אביי (סנהדרין עו. דילפי' בתו מבת בתו) הוה גילוי מילתא בעלמא</w:t>
      </w:r>
      <w:r>
        <w:t>.</w:t>
      </w:r>
    </w:p>
  </w:footnote>
  <w:footnote w:id="6265">
    <w:p w14:paraId="543EECE1" w14:textId="77777777" w:rsidR="006C4368" w:rsidRDefault="006C4368" w:rsidP="006C4368">
      <w:pPr>
        <w:pStyle w:val="Footnote"/>
        <w:bidi/>
      </w:pPr>
      <w:r>
        <w:rPr>
          <w:rStyle w:val="ac"/>
        </w:rPr>
        <w:footnoteRef/>
      </w:r>
      <w:r>
        <w:rPr>
          <w:rtl/>
        </w:rPr>
        <w:t>וכדאי' בגמ' (סנהדרין כח:) לענין פסול עדות. ו</w:t>
      </w:r>
      <w:r>
        <w:rPr>
          <w:b/>
          <w:bCs/>
          <w:rtl/>
        </w:rPr>
        <w:t>רש"י</w:t>
      </w:r>
      <w:r>
        <w:rPr>
          <w:rtl/>
        </w:rPr>
        <w:t xml:space="preserve"> (לעיל כט: וכתובות נג.) דאינו מטמא לאשתו ארוסה, דארוסה לא מקרי שאר. ועד"ז דרשו בהא דאינו יורש אשתו ארוסה</w:t>
      </w:r>
      <w:r>
        <w:t>.</w:t>
      </w:r>
    </w:p>
    <w:p w14:paraId="0D12596B" w14:textId="77777777" w:rsidR="006C4368" w:rsidRDefault="006C4368" w:rsidP="006C4368">
      <w:pPr>
        <w:pStyle w:val="Footnote"/>
        <w:bidi/>
      </w:pPr>
      <w:r>
        <w:tab/>
      </w:r>
      <w:r>
        <w:rPr>
          <w:rtl/>
        </w:rPr>
        <w:t>וה</w:t>
      </w:r>
      <w:r>
        <w:rPr>
          <w:b/>
          <w:bCs/>
          <w:rtl/>
        </w:rPr>
        <w:t xml:space="preserve">רש"ש </w:t>
      </w:r>
      <w:r>
        <w:rPr>
          <w:rtl/>
        </w:rPr>
        <w:t>(לרמב"ם אישות י ב) דחה דהתם נתמעט להדיא מקרא, אלא דנקטו לשון זה</w:t>
      </w:r>
      <w:r>
        <w:t>.</w:t>
      </w:r>
    </w:p>
  </w:footnote>
  <w:footnote w:id="6266">
    <w:p w14:paraId="13FD2402" w14:textId="77777777" w:rsidR="006C4368" w:rsidRDefault="006C4368" w:rsidP="006C4368">
      <w:pPr>
        <w:pStyle w:val="Footnote"/>
        <w:bidi/>
      </w:pPr>
      <w:r>
        <w:rPr>
          <w:rStyle w:val="ac"/>
        </w:rPr>
        <w:footnoteRef/>
      </w:r>
      <w:r>
        <w:rPr>
          <w:rtl/>
        </w:rPr>
        <w:t>ואע"ג דכתיב אשה ובתה לא תגלה, לא בעינן דוקא ביאה. דכיון דאינו חייב על בת אנוסתו, סברא הוא דאין תלוי בביאה אלא  בקידושין. ואין סברא דתלי בתרוייהו [ביאה וקידושין]</w:t>
      </w:r>
      <w:r>
        <w:t>.</w:t>
      </w:r>
    </w:p>
  </w:footnote>
  <w:footnote w:id="6267">
    <w:p w14:paraId="715B14CD" w14:textId="77777777" w:rsidR="006C4368" w:rsidRDefault="006C4368" w:rsidP="006C4368">
      <w:pPr>
        <w:pStyle w:val="Footnote"/>
        <w:bidi/>
      </w:pPr>
      <w:r>
        <w:rPr>
          <w:rStyle w:val="ac"/>
        </w:rPr>
        <w:footnoteRef/>
      </w:r>
      <w:r>
        <w:rPr>
          <w:rtl/>
        </w:rPr>
        <w:t>ויל"ד מה הדין בת בתה ובת בנה, וכן אמה. ובפשוטו ל"ש, אבל לדברי המהרש"א קו' התוס' היתה רק מקרא דאשה ובתה. אבל בת בתה ידעי' דלא תגלה קאי אבת</w:t>
      </w:r>
      <w:r>
        <w:t>.</w:t>
      </w:r>
    </w:p>
  </w:footnote>
  <w:footnote w:id="6268">
    <w:p w14:paraId="4E39DF87" w14:textId="77777777" w:rsidR="006C4368" w:rsidRDefault="006C4368" w:rsidP="006C4368">
      <w:pPr>
        <w:pStyle w:val="Footnote"/>
        <w:bidi/>
      </w:pPr>
      <w:r>
        <w:rPr>
          <w:rStyle w:val="ac"/>
        </w:rPr>
        <w:footnoteRef/>
      </w:r>
      <w:r>
        <w:rPr>
          <w:rtl/>
        </w:rPr>
        <w:t>וב</w:t>
      </w:r>
      <w:r>
        <w:rPr>
          <w:b/>
          <w:bCs/>
          <w:rtl/>
        </w:rPr>
        <w:t>משנה</w:t>
      </w:r>
      <w:r>
        <w:rPr>
          <w:rtl/>
        </w:rPr>
        <w:t xml:space="preserve"> (סנהדרין נג.) אי' דאשת אביו וכלתו הוה בין מן האירוסין בין מן הנישואין. [ויש לחלק דתוס' קאי דוקא באשה ובתה. אך בסוגיין משמע דאין חילוק בזה]</w:t>
      </w:r>
      <w:r>
        <w:t>.</w:t>
      </w:r>
    </w:p>
  </w:footnote>
  <w:footnote w:id="6269">
    <w:p w14:paraId="1D411CFB" w14:textId="77777777" w:rsidR="006C4368" w:rsidRDefault="006C4368" w:rsidP="006C4368">
      <w:pPr>
        <w:pStyle w:val="Footnote"/>
        <w:bidi/>
      </w:pPr>
      <w:r>
        <w:rPr>
          <w:rStyle w:val="ac"/>
        </w:rPr>
        <w:footnoteRef/>
      </w:r>
      <w:r>
        <w:rPr>
          <w:rtl/>
        </w:rPr>
        <w:t>ו</w:t>
      </w:r>
      <w:r>
        <w:rPr>
          <w:b/>
          <w:bCs/>
          <w:rtl/>
        </w:rPr>
        <w:t>ה"ה</w:t>
      </w:r>
      <w:r>
        <w:rPr>
          <w:rtl/>
        </w:rPr>
        <w:t xml:space="preserve"> כת' דזה מבואר בהרבה מקומות. והשעה"מ תמה שהביאו כדבר פשוט ולא הביא מח</w:t>
      </w:r>
      <w:r>
        <w:t>'.</w:t>
      </w:r>
    </w:p>
  </w:footnote>
  <w:footnote w:id="6270">
    <w:p w14:paraId="660181FA" w14:textId="77777777" w:rsidR="006C4368" w:rsidRDefault="006C4368" w:rsidP="006C4368">
      <w:pPr>
        <w:pStyle w:val="Footnote"/>
        <w:bidi/>
      </w:pPr>
      <w:r>
        <w:rPr>
          <w:rStyle w:val="ac"/>
        </w:rPr>
        <w:footnoteRef/>
      </w:r>
      <w:r>
        <w:rPr>
          <w:rtl/>
        </w:rPr>
        <w:t>וכדברי ה</w:t>
      </w:r>
      <w:r>
        <w:rPr>
          <w:b/>
          <w:bCs/>
          <w:rtl/>
        </w:rPr>
        <w:t>רמב"ן</w:t>
      </w:r>
      <w:r>
        <w:rPr>
          <w:rtl/>
        </w:rPr>
        <w:t xml:space="preserve"> (אליבא דברייתא) דילפי' זימה זימה</w:t>
      </w:r>
      <w:r>
        <w:t>.</w:t>
      </w:r>
    </w:p>
  </w:footnote>
  <w:footnote w:id="6271">
    <w:p w14:paraId="62E447E2" w14:textId="77777777" w:rsidR="006C4368" w:rsidRDefault="006C4368" w:rsidP="006C4368">
      <w:pPr>
        <w:pStyle w:val="Footnote"/>
        <w:bidi/>
      </w:pPr>
      <w:r>
        <w:rPr>
          <w:rStyle w:val="ac"/>
        </w:rPr>
        <w:footnoteRef/>
      </w:r>
      <w:r>
        <w:rPr>
          <w:rtl/>
        </w:rPr>
        <w:t>ואפשר דילפינן מק"ו מבת בתה, אלא דאין עונשין מהדין</w:t>
      </w:r>
      <w:r>
        <w:t>.</w:t>
      </w:r>
    </w:p>
  </w:footnote>
  <w:footnote w:id="6272">
    <w:p w14:paraId="6AA690CD" w14:textId="77777777" w:rsidR="006C4368" w:rsidRDefault="006C4368" w:rsidP="006C4368">
      <w:pPr>
        <w:pStyle w:val="Footnote"/>
        <w:bidi/>
      </w:pPr>
      <w:r>
        <w:rPr>
          <w:rStyle w:val="ac"/>
        </w:rPr>
        <w:footnoteRef/>
      </w:r>
      <w:r>
        <w:rPr>
          <w:rtl/>
        </w:rPr>
        <w:t>וה</w:t>
      </w:r>
      <w:r>
        <w:rPr>
          <w:b/>
          <w:bCs/>
          <w:rtl/>
        </w:rPr>
        <w:t xml:space="preserve">רש"ש </w:t>
      </w:r>
      <w:r>
        <w:rPr>
          <w:rtl/>
        </w:rPr>
        <w:t>(לרמב"ם אישות י ב) העלה צד דחמותו ודאי אסור מאירוסין [ע”פ דברי המהרש”א], ומש"ה במקדש כאחת לא חל קידושין באם, ומש"ה לא חל אף בבת משום דקידש כא' והוה קני את וחמור</w:t>
      </w:r>
      <w:r>
        <w:t>.</w:t>
      </w:r>
    </w:p>
  </w:footnote>
  <w:footnote w:id="6273">
    <w:p w14:paraId="130DF14D" w14:textId="77777777" w:rsidR="006C4368" w:rsidRDefault="006C4368" w:rsidP="006C4368">
      <w:pPr>
        <w:pStyle w:val="Footnote"/>
        <w:bidi/>
      </w:pPr>
      <w:r>
        <w:rPr>
          <w:rStyle w:val="ac"/>
        </w:rPr>
        <w:footnoteRef/>
      </w:r>
      <w:r>
        <w:rPr>
          <w:rtl/>
        </w:rPr>
        <w:t>אך צ"ע מנ"ל הא, דהא דאין קידושין תופסים בעריות ילפי' מהקישא דר' יונה, א"כ הכא דעדיין אינה עריות מנ"ל דלא תפסי קידושין</w:t>
      </w:r>
      <w:r>
        <w:t>.</w:t>
      </w:r>
    </w:p>
  </w:footnote>
  <w:footnote w:id="6274">
    <w:p w14:paraId="18EECEDF" w14:textId="77777777" w:rsidR="006C4368" w:rsidRDefault="006C4368" w:rsidP="006C4368">
      <w:pPr>
        <w:pStyle w:val="Footnote"/>
        <w:bidi/>
      </w:pPr>
      <w:r>
        <w:rPr>
          <w:rStyle w:val="ac"/>
        </w:rPr>
        <w:footnoteRef/>
      </w:r>
      <w:r>
        <w:rPr>
          <w:rtl/>
        </w:rPr>
        <w:t>דאי הוה משום אישות המת, א"כ האיך קרינן לה 'כנף אביו', ועוד אמאי חשיב שם איסור נוסף מלבד שם דודתו</w:t>
      </w:r>
      <w:r>
        <w:t>.</w:t>
      </w:r>
    </w:p>
  </w:footnote>
  <w:footnote w:id="6275">
    <w:p w14:paraId="1C8307D2" w14:textId="77777777" w:rsidR="006C4368" w:rsidRDefault="006C4368" w:rsidP="006C4368">
      <w:pPr>
        <w:pStyle w:val="Footnote"/>
        <w:bidi/>
      </w:pPr>
      <w:r>
        <w:rPr>
          <w:rStyle w:val="ac"/>
        </w:rPr>
        <w:footnoteRef/>
      </w:r>
      <w:r>
        <w:rPr>
          <w:rtl/>
        </w:rPr>
        <w:t>וצ"ב אמאי הוה כנף אביו, דהא אילו אביו קידשה חוץ מבנו מותרת לבן. א"כ מ"ש קידשה אחי אביו, ואח"כ נפלה לפני אביו, סוף סוף אישות זו הוה חוץ מפלוני</w:t>
      </w:r>
      <w:r>
        <w:t>.</w:t>
      </w:r>
    </w:p>
  </w:footnote>
  <w:footnote w:id="6276">
    <w:p w14:paraId="69CFCFB7" w14:textId="77777777" w:rsidR="006C4368" w:rsidRDefault="006C4368" w:rsidP="006C4368">
      <w:pPr>
        <w:pStyle w:val="Footnote"/>
        <w:bidi/>
      </w:pPr>
      <w:r>
        <w:rPr>
          <w:rStyle w:val="ac"/>
        </w:rPr>
        <w:footnoteRef/>
      </w:r>
      <w:r>
        <w:rPr>
          <w:rtl/>
        </w:rPr>
        <w:t>וציין ד</w:t>
      </w:r>
      <w:r>
        <w:rPr>
          <w:b/>
          <w:bCs/>
          <w:rtl/>
        </w:rPr>
        <w:t>תוס'</w:t>
      </w:r>
      <w:r>
        <w:rPr>
          <w:rtl/>
        </w:rPr>
        <w:t xml:space="preserve"> (לעיל י. ד"ה לעולם) הק' דליתני אשת איש ע"י שקידש חוץ בהדי ט"ו עריות</w:t>
      </w:r>
      <w:r>
        <w:t>.</w:t>
      </w:r>
    </w:p>
  </w:footnote>
  <w:footnote w:id="6277">
    <w:p w14:paraId="646083CF" w14:textId="77777777" w:rsidR="006C4368" w:rsidRDefault="006C4368" w:rsidP="006C4368">
      <w:pPr>
        <w:pStyle w:val="Footnote"/>
        <w:bidi/>
      </w:pPr>
      <w:r>
        <w:rPr>
          <w:rStyle w:val="ac"/>
        </w:rPr>
        <w:footnoteRef/>
      </w:r>
      <w:r>
        <w:rPr>
          <w:rtl/>
        </w:rPr>
        <w:t>וה</w:t>
      </w:r>
      <w:r>
        <w:rPr>
          <w:b/>
          <w:bCs/>
          <w:rtl/>
        </w:rPr>
        <w:t>ריטב"א</w:t>
      </w:r>
      <w:r>
        <w:rPr>
          <w:rtl/>
        </w:rPr>
        <w:t xml:space="preserve"> הביא דמבואר דאף לרב הוה לאו. וע"ע תוס' (לעיל מט: ד"ה אי, ונה:)</w:t>
      </w:r>
      <w:r>
        <w:t>.</w:t>
      </w:r>
    </w:p>
  </w:footnote>
  <w:footnote w:id="6278">
    <w:p w14:paraId="65AD7E5A" w14:textId="77777777" w:rsidR="006C4368" w:rsidRDefault="006C4368" w:rsidP="006C4368">
      <w:pPr>
        <w:pStyle w:val="Footnote"/>
        <w:bidi/>
      </w:pPr>
      <w:r>
        <w:rPr>
          <w:rStyle w:val="ac"/>
        </w:rPr>
        <w:footnoteRef/>
      </w:r>
      <w:r>
        <w:rPr>
          <w:rtl/>
        </w:rPr>
        <w:t>ועד"ז י"ל שאח אחר ייבם וגירש או מת</w:t>
      </w:r>
      <w:r>
        <w:t>.</w:t>
      </w:r>
    </w:p>
  </w:footnote>
  <w:footnote w:id="6279">
    <w:p w14:paraId="4BD540F3" w14:textId="77777777" w:rsidR="006C4368" w:rsidRDefault="006C4368" w:rsidP="006C4368">
      <w:pPr>
        <w:pStyle w:val="Footnote"/>
        <w:bidi/>
      </w:pPr>
      <w:r>
        <w:rPr>
          <w:rStyle w:val="ac"/>
        </w:rPr>
        <w:footnoteRef/>
      </w:r>
      <w:r>
        <w:rPr>
          <w:rtl/>
        </w:rPr>
        <w:t>וה</w:t>
      </w:r>
      <w:r>
        <w:rPr>
          <w:b/>
          <w:bCs/>
          <w:rtl/>
        </w:rPr>
        <w:t>אחרונים</w:t>
      </w:r>
      <w:r>
        <w:rPr>
          <w:rtl/>
        </w:rPr>
        <w:t xml:space="preserve"> (וע' מה שהו' לעיל יח. כג: מ: ועוד) האריכו לדון בגדר הא דהותר הזיקה ע"י חליצת אחיו [ועי"ז הותר איסור אחות זקוקתו]. האם 'פקע' הזיקה מאח זה למפרע, או מכאן ולהבא</w:t>
      </w:r>
      <w:r>
        <w:t>.</w:t>
      </w:r>
    </w:p>
  </w:footnote>
  <w:footnote w:id="6280">
    <w:p w14:paraId="4F298697" w14:textId="77777777" w:rsidR="006C4368" w:rsidRDefault="006C4368" w:rsidP="006C4368">
      <w:pPr>
        <w:pStyle w:val="Footnote"/>
        <w:bidi/>
      </w:pPr>
      <w:r>
        <w:rPr>
          <w:rStyle w:val="ac"/>
        </w:rPr>
        <w:footnoteRef/>
      </w:r>
      <w:r>
        <w:rPr>
          <w:rtl/>
        </w:rPr>
        <w:t>וה</w:t>
      </w:r>
      <w:r>
        <w:rPr>
          <w:b/>
          <w:bCs/>
          <w:rtl/>
        </w:rPr>
        <w:t>רש"ש</w:t>
      </w:r>
      <w:r>
        <w:rPr>
          <w:rtl/>
        </w:rPr>
        <w:t xml:space="preserve"> נקט דהנך תי' פליגי. אך לכאורה י"ל דתרוייהו איתנהו</w:t>
      </w:r>
      <w:r>
        <w:t>.</w:t>
      </w:r>
    </w:p>
  </w:footnote>
  <w:footnote w:id="6281">
    <w:p w14:paraId="071D204E" w14:textId="77777777" w:rsidR="006C4368" w:rsidRDefault="006C4368" w:rsidP="006C4368">
      <w:pPr>
        <w:pStyle w:val="Footnote"/>
        <w:bidi/>
      </w:pPr>
      <w:r>
        <w:rPr>
          <w:rStyle w:val="ac"/>
        </w:rPr>
        <w:footnoteRef/>
      </w:r>
      <w:r>
        <w:rPr>
          <w:rtl/>
        </w:rPr>
        <w:t>אך לכאורה יש לחלק בין מת היבם להיכא דמתה היבמה. ועוד יש להעיר דהגמ' (שם) איירי באיסור קרובות בזיקה דהוה דרבנן, וה</w:t>
      </w:r>
      <w:r>
        <w:rPr>
          <w:b/>
          <w:bCs/>
          <w:rtl/>
        </w:rPr>
        <w:t>רש"ש</w:t>
      </w:r>
      <w:r>
        <w:rPr>
          <w:rtl/>
        </w:rPr>
        <w:t xml:space="preserve"> דימה לזה איסור דאורייתא דשומרת יבם של אביו</w:t>
      </w:r>
      <w:r>
        <w:t>.</w:t>
      </w:r>
    </w:p>
  </w:footnote>
  <w:footnote w:id="6282">
    <w:p w14:paraId="036D14D3" w14:textId="77777777" w:rsidR="006C4368" w:rsidRDefault="006C4368" w:rsidP="006C4368">
      <w:pPr>
        <w:pStyle w:val="Footnote"/>
        <w:bidi/>
      </w:pPr>
      <w:r>
        <w:rPr>
          <w:rStyle w:val="ac"/>
        </w:rPr>
        <w:footnoteRef/>
      </w:r>
      <w:r>
        <w:rPr>
          <w:rtl/>
        </w:rPr>
        <w:t>והוסיף דמתוך צחות המשלים הוזכרו אף ביאות של היתר</w:t>
      </w:r>
      <w:r>
        <w:t>.</w:t>
      </w:r>
    </w:p>
  </w:footnote>
  <w:footnote w:id="6283">
    <w:p w14:paraId="0AC496E2" w14:textId="77777777" w:rsidR="006C4368" w:rsidRDefault="006C4368" w:rsidP="006C4368">
      <w:pPr>
        <w:pStyle w:val="Footnote"/>
        <w:bidi/>
      </w:pPr>
      <w:r>
        <w:rPr>
          <w:rStyle w:val="ac"/>
        </w:rPr>
        <w:footnoteRef/>
      </w:r>
      <w:r>
        <w:rPr>
          <w:rtl/>
        </w:rPr>
        <w:t xml:space="preserve">והביא בשם </w:t>
      </w:r>
      <w:r>
        <w:rPr>
          <w:b/>
          <w:bCs/>
          <w:rtl/>
        </w:rPr>
        <w:t>חכם אשכנזי</w:t>
      </w:r>
      <w:r>
        <w:rPr>
          <w:rtl/>
        </w:rPr>
        <w:t xml:space="preserve"> דער ואונן שימשו שלא כדרך, וקי"ל (סנהדרין נח:) דעכו"ם הבא על אשתו שלא כדרך חייב מיתה, ומש"ה ל"ק. ומש"ה תמר היתה מותרת ליהודה, דלא תפס קידושין דער ואונן. [והאריך (שם) דה"מ אי היה לאבות קודם מתן תורה דיני בן נח]</w:t>
      </w:r>
      <w:r>
        <w:t>.</w:t>
      </w:r>
    </w:p>
  </w:footnote>
  <w:footnote w:id="6284">
    <w:p w14:paraId="32DD005E" w14:textId="77777777" w:rsidR="006C4368" w:rsidRDefault="006C4368" w:rsidP="006C4368">
      <w:pPr>
        <w:pStyle w:val="Footnote"/>
        <w:bidi/>
      </w:pPr>
      <w:r>
        <w:rPr>
          <w:rStyle w:val="ac"/>
        </w:rPr>
        <w:footnoteRef/>
      </w:r>
      <w:r>
        <w:rPr>
          <w:rtl/>
        </w:rPr>
        <w:t>ורש"י נקט חדא מנייהו, א"נ נקט הטעם דשייך אף בסיפא</w:t>
      </w:r>
      <w:r>
        <w:t>.</w:t>
      </w:r>
    </w:p>
  </w:footnote>
  <w:footnote w:id="6285">
    <w:p w14:paraId="6363ECB0" w14:textId="77777777" w:rsidR="006C4368" w:rsidRDefault="006C4368" w:rsidP="006C4368">
      <w:pPr>
        <w:pStyle w:val="Footnote"/>
        <w:bidi/>
      </w:pPr>
      <w:r>
        <w:rPr>
          <w:rStyle w:val="ac"/>
        </w:rPr>
        <w:footnoteRef/>
      </w:r>
      <w:r>
        <w:rPr>
          <w:rtl/>
        </w:rPr>
        <w:t xml:space="preserve">אבל </w:t>
      </w:r>
      <w:r>
        <w:rPr>
          <w:b/>
          <w:bCs/>
          <w:rtl/>
        </w:rPr>
        <w:t>רש"י</w:t>
      </w:r>
      <w:r>
        <w:rPr>
          <w:rtl/>
        </w:rPr>
        <w:t xml:space="preserve"> (ד"ה נשי) כת' דקסבר דאין קורבה לגר, משמע דיש מ"ד דיש קורבה לגר. ויל"ד מי הוא מ"ד זה. ואפשר דרש"י זה קאי לל"ב דליכא איחלופי כלל, דכקטן שנולד</w:t>
      </w:r>
      <w:r>
        <w:t>.</w:t>
      </w:r>
    </w:p>
  </w:footnote>
  <w:footnote w:id="6286">
    <w:p w14:paraId="0B7C1447" w14:textId="77777777" w:rsidR="006C4368" w:rsidRDefault="006C4368" w:rsidP="006C4368">
      <w:pPr>
        <w:pStyle w:val="Footnote"/>
        <w:bidi/>
      </w:pPr>
      <w:r>
        <w:rPr>
          <w:rStyle w:val="ac"/>
        </w:rPr>
        <w:footnoteRef/>
      </w:r>
      <w:r>
        <w:rPr>
          <w:rtl/>
        </w:rPr>
        <w:t>וכ"כ ה</w:t>
      </w:r>
      <w:r>
        <w:rPr>
          <w:b/>
          <w:bCs/>
          <w:rtl/>
        </w:rPr>
        <w:t>רשב"א</w:t>
      </w:r>
      <w:r>
        <w:rPr>
          <w:rtl/>
        </w:rPr>
        <w:t xml:space="preserve"> בהמשך דבריו, אבל ה</w:t>
      </w:r>
      <w:r>
        <w:rPr>
          <w:b/>
          <w:bCs/>
          <w:rtl/>
        </w:rPr>
        <w:t>רשב"א</w:t>
      </w:r>
      <w:r>
        <w:rPr>
          <w:rtl/>
        </w:rPr>
        <w:t xml:space="preserve"> (בתחילת דבריו) כת' דל"ש שמא יאמרו באנו מקדושה חמורה, דבגיותן אין להם אחוה מן האב. [אך </w:t>
      </w:r>
      <w:r>
        <w:rPr>
          <w:b/>
          <w:bCs/>
          <w:rtl/>
        </w:rPr>
        <w:t>רש"י</w:t>
      </w:r>
      <w:r>
        <w:rPr>
          <w:rtl/>
        </w:rPr>
        <w:t xml:space="preserve"> כת' דגר אין לו אחוה מהאב, וי"ל דבדיני בני נח יש להם אחוה מהאב. וי"ג אף ברשב"א בגירותן, ואין בזה פי']</w:t>
      </w:r>
      <w:r>
        <w:t>.</w:t>
      </w:r>
    </w:p>
  </w:footnote>
  <w:footnote w:id="6287">
    <w:p w14:paraId="32229055" w14:textId="77777777" w:rsidR="006C4368" w:rsidRDefault="006C4368" w:rsidP="006C4368">
      <w:pPr>
        <w:pStyle w:val="Footnote"/>
        <w:bidi/>
      </w:pPr>
      <w:r>
        <w:rPr>
          <w:rStyle w:val="ac"/>
        </w:rPr>
        <w:footnoteRef/>
      </w:r>
      <w:r>
        <w:rPr>
          <w:rtl/>
        </w:rPr>
        <w:t>ודרש דבעולת בעל יש להם, ולאחר מיתת הבעל מותרת, אפי' לקרובים. [ויתבאר עוד צח.]</w:t>
      </w:r>
      <w:r>
        <w:t>.</w:t>
      </w:r>
    </w:p>
  </w:footnote>
  <w:footnote w:id="6288">
    <w:p w14:paraId="7307CA9E" w14:textId="77777777" w:rsidR="006C4368" w:rsidRDefault="006C4368" w:rsidP="006C4368">
      <w:pPr>
        <w:pStyle w:val="Footnote"/>
        <w:bidi/>
      </w:pPr>
      <w:r>
        <w:rPr>
          <w:rStyle w:val="ac"/>
        </w:rPr>
        <w:footnoteRef/>
      </w:r>
      <w:r>
        <w:rPr>
          <w:rtl/>
        </w:rPr>
        <w:t xml:space="preserve">אך </w:t>
      </w:r>
      <w:r>
        <w:rPr>
          <w:b/>
          <w:bCs/>
          <w:rtl/>
        </w:rPr>
        <w:t>רש"י</w:t>
      </w:r>
      <w:r>
        <w:rPr>
          <w:rtl/>
        </w:rPr>
        <w:t xml:space="preserve"> (סנהדרין נח. ד"ה ומותר באשת אחיו) כת' הטעם דל"ש 'שמא יאמרו' כיון דאין אשת אח לבני נח, וכיון דלשמא יאמרו ליכא למיחש דקסבר לא נאסרו לבני נח, ומשום קורבה נמי ליכא למיחש דכקטן שנולד דמי. [דס"ל דהך ברייתא ל"ל סברת איחלופי, אלא שמא יאמרו]</w:t>
      </w:r>
      <w:r>
        <w:t>.</w:t>
      </w:r>
    </w:p>
  </w:footnote>
  <w:footnote w:id="6289">
    <w:p w14:paraId="0CF50304" w14:textId="77777777" w:rsidR="006C4368" w:rsidRDefault="006C4368" w:rsidP="006C4368">
      <w:pPr>
        <w:pStyle w:val="Footnote"/>
        <w:bidi/>
      </w:pPr>
      <w:r>
        <w:rPr>
          <w:rStyle w:val="ac"/>
        </w:rPr>
        <w:footnoteRef/>
      </w:r>
      <w:r>
        <w:rPr>
          <w:rtl/>
        </w:rPr>
        <w:t xml:space="preserve">ובשלמא לדברי הש"ך (הו' בסמוך) התם איירי התם דוקא בתאומים, ואין לו קורבא למי שנולד אחריו בקדושה. אבל לדעת </w:t>
      </w:r>
      <w:r>
        <w:rPr>
          <w:b/>
          <w:bCs/>
          <w:rtl/>
        </w:rPr>
        <w:t>רש"י</w:t>
      </w:r>
      <w:r>
        <w:rPr>
          <w:rtl/>
        </w:rPr>
        <w:t xml:space="preserve"> ו</w:t>
      </w:r>
      <w:r>
        <w:rPr>
          <w:b/>
          <w:bCs/>
          <w:rtl/>
        </w:rPr>
        <w:t>רוב הפוסקים</w:t>
      </w:r>
      <w:r>
        <w:rPr>
          <w:rtl/>
        </w:rPr>
        <w:t xml:space="preserve"> הוה מדאורייתא</w:t>
      </w:r>
      <w:r>
        <w:t>.</w:t>
      </w:r>
    </w:p>
  </w:footnote>
  <w:footnote w:id="6290">
    <w:p w14:paraId="2E816E6C" w14:textId="77777777" w:rsidR="006C4368" w:rsidRDefault="006C4368" w:rsidP="006C4368">
      <w:pPr>
        <w:pStyle w:val="Footnote"/>
        <w:bidi/>
      </w:pPr>
      <w:r>
        <w:rPr>
          <w:rStyle w:val="ac"/>
        </w:rPr>
        <w:footnoteRef/>
      </w:r>
      <w:r>
        <w:rPr>
          <w:rtl/>
        </w:rPr>
        <w:t>ולכאורה להך ס"ד נהי דיש לו קורבא לאמו שנולד ממנה בקדושה, אך אין לו קורבא לשאר בניה דהורתם ולידתם בקדושה, דהוה גדר קורבא שונה. [ומבואר דגדר קורבא לאם בשעת לידה הוה גדר מחודש, ולא הוה בכלל שאר קרובות]</w:t>
      </w:r>
      <w:r>
        <w:t>.</w:t>
      </w:r>
    </w:p>
  </w:footnote>
  <w:footnote w:id="6291">
    <w:p w14:paraId="3675E107" w14:textId="77777777" w:rsidR="006C4368" w:rsidRDefault="006C4368" w:rsidP="006C4368">
      <w:pPr>
        <w:pStyle w:val="Footnote"/>
        <w:bidi/>
      </w:pPr>
      <w:r>
        <w:rPr>
          <w:rStyle w:val="ac"/>
        </w:rPr>
        <w:footnoteRef/>
      </w:r>
      <w:r>
        <w:rPr>
          <w:rtl/>
        </w:rPr>
        <w:t>ו</w:t>
      </w:r>
      <w:r>
        <w:rPr>
          <w:b/>
          <w:bCs/>
          <w:rtl/>
        </w:rPr>
        <w:t>רע"א</w:t>
      </w:r>
      <w:r>
        <w:rPr>
          <w:rtl/>
        </w:rPr>
        <w:t xml:space="preserve"> תמה עד"ז על קו' הגמ', דעיקר המשנה לאשמוע' ההיתר לעלמא. א"כ אמאי תלי אי הוה היתר לעלמא או איסור לעלמא. וצע"ג. [אך משמע דלא פי' כן תי' הגמ', דא”כ היה לו לפרש]</w:t>
      </w:r>
      <w:r>
        <w:t>.</w:t>
      </w:r>
    </w:p>
  </w:footnote>
  <w:footnote w:id="6292">
    <w:p w14:paraId="6346A16F" w14:textId="77777777" w:rsidR="006C4368" w:rsidRDefault="006C4368" w:rsidP="006C4368">
      <w:pPr>
        <w:pStyle w:val="Footnote"/>
        <w:bidi/>
      </w:pPr>
      <w:r>
        <w:rPr>
          <w:rStyle w:val="ac"/>
        </w:rPr>
        <w:footnoteRef/>
      </w:r>
      <w:r>
        <w:rPr>
          <w:rtl/>
        </w:rPr>
        <w:t>וה</w:t>
      </w:r>
      <w:r>
        <w:rPr>
          <w:b/>
          <w:bCs/>
          <w:rtl/>
        </w:rPr>
        <w:t>רא"ש</w:t>
      </w:r>
      <w:r>
        <w:rPr>
          <w:rtl/>
        </w:rPr>
        <w:t xml:space="preserve"> (וה</w:t>
      </w:r>
      <w:r>
        <w:rPr>
          <w:b/>
          <w:bCs/>
          <w:rtl/>
        </w:rPr>
        <w:t>טור</w:t>
      </w:r>
      <w:r>
        <w:rPr>
          <w:rtl/>
        </w:rPr>
        <w:t xml:space="preserve"> יו"ד רסט) הביא דאם הא' לידתו שלא בקדושה והשני הורתו ולידתו בקדושה נוטה דעת ר"י דלא שייך הכא משום לאחלופי, כיון דזה הכל בקדושה וזה הכל שלא בקדושה. והב"י ציין דתוס' דידן נראה כמסתפקים בדבר. וע"ע ק"נ</w:t>
      </w:r>
      <w:r>
        <w:t>.</w:t>
      </w:r>
    </w:p>
  </w:footnote>
  <w:footnote w:id="6293">
    <w:p w14:paraId="27ABFBA3" w14:textId="77777777" w:rsidR="006C4368" w:rsidRDefault="006C4368" w:rsidP="006C4368">
      <w:pPr>
        <w:pStyle w:val="Footnote"/>
        <w:bidi/>
      </w:pPr>
      <w:r>
        <w:rPr>
          <w:rStyle w:val="ac"/>
        </w:rPr>
        <w:footnoteRef/>
      </w:r>
      <w:r>
        <w:rPr>
          <w:rtl/>
        </w:rPr>
        <w:t xml:space="preserve">וכ"כ </w:t>
      </w:r>
      <w:r>
        <w:rPr>
          <w:b/>
          <w:bCs/>
          <w:rtl/>
        </w:rPr>
        <w:t>רש"י</w:t>
      </w:r>
      <w:r>
        <w:rPr>
          <w:rtl/>
        </w:rPr>
        <w:t xml:space="preserve"> (ריש צח. ד”ה הא דאמור) דיש לו שאר מן האם כשאר ישראל גמור</w:t>
      </w:r>
      <w:r>
        <w:t>.</w:t>
      </w:r>
    </w:p>
  </w:footnote>
  <w:footnote w:id="6294">
    <w:p w14:paraId="0BE16DAA" w14:textId="77777777" w:rsidR="006C4368" w:rsidRDefault="006C4368" w:rsidP="006C4368">
      <w:pPr>
        <w:pStyle w:val="Footnote"/>
        <w:bidi/>
      </w:pPr>
      <w:r>
        <w:rPr>
          <w:rStyle w:val="ac"/>
        </w:rPr>
        <w:footnoteRef/>
      </w:r>
      <w:r>
        <w:rPr>
          <w:rtl/>
        </w:rPr>
        <w:t>ודלא כ</w:t>
      </w:r>
      <w:r>
        <w:rPr>
          <w:b/>
          <w:bCs/>
          <w:rtl/>
        </w:rPr>
        <w:t>נמוק"י</w:t>
      </w:r>
      <w:r>
        <w:rPr>
          <w:rtl/>
        </w:rPr>
        <w:t xml:space="preserve"> (לעיל ספ"ק ג: בדה"ר) דמשמע דדוקא תאומים יש להם שאר האם</w:t>
      </w:r>
      <w:r>
        <w:t>.</w:t>
      </w:r>
    </w:p>
  </w:footnote>
  <w:footnote w:id="6295">
    <w:p w14:paraId="6238D73E" w14:textId="77777777" w:rsidR="006C4368" w:rsidRDefault="006C4368" w:rsidP="006C4368">
      <w:pPr>
        <w:pStyle w:val="Footnote"/>
        <w:bidi/>
      </w:pPr>
      <w:r>
        <w:rPr>
          <w:rStyle w:val="ac"/>
        </w:rPr>
        <w:footnoteRef/>
      </w:r>
      <w:r>
        <w:rPr>
          <w:rtl/>
        </w:rPr>
        <w:t>ויש שדנו האם נקבע רק בשעת לידה, ואכמ"ל</w:t>
      </w:r>
      <w:r>
        <w:t>.</w:t>
      </w:r>
    </w:p>
  </w:footnote>
  <w:footnote w:id="6296">
    <w:p w14:paraId="39A6401D" w14:textId="77777777" w:rsidR="006C4368" w:rsidRDefault="006C4368" w:rsidP="006C4368">
      <w:pPr>
        <w:pStyle w:val="Footnote"/>
        <w:bidi/>
      </w:pPr>
      <w:r>
        <w:rPr>
          <w:rStyle w:val="ac"/>
        </w:rPr>
        <w:footnoteRef/>
      </w:r>
      <w:r>
        <w:rPr>
          <w:rtl/>
        </w:rPr>
        <w:t>אבל לולי דברי הש"ך הקורבא נוצר בלידה, ולא איכפ"ל שנתגיירו התאומים בזה אחר זה</w:t>
      </w:r>
      <w:r>
        <w:t>.</w:t>
      </w:r>
    </w:p>
  </w:footnote>
  <w:footnote w:id="6297">
    <w:p w14:paraId="39F6632A" w14:textId="77777777" w:rsidR="006C4368" w:rsidRDefault="006C4368" w:rsidP="006C4368">
      <w:pPr>
        <w:pStyle w:val="Footnote"/>
        <w:bidi/>
      </w:pPr>
      <w:r>
        <w:rPr>
          <w:rStyle w:val="ac"/>
        </w:rPr>
        <w:footnoteRef/>
      </w:r>
      <w:r>
        <w:rPr>
          <w:rtl/>
        </w:rPr>
        <w:t>ונקט דסברת הש"ך דמוצר קורבא ע"י הגירות</w:t>
      </w:r>
      <w:r>
        <w:t>.</w:t>
      </w:r>
    </w:p>
  </w:footnote>
  <w:footnote w:id="6298">
    <w:p w14:paraId="3C4718CD" w14:textId="77777777" w:rsidR="006C4368" w:rsidRDefault="006C4368" w:rsidP="006C4368">
      <w:pPr>
        <w:pStyle w:val="Footnote"/>
        <w:bidi/>
      </w:pPr>
      <w:r>
        <w:rPr>
          <w:rStyle w:val="ac"/>
        </w:rPr>
        <w:footnoteRef/>
      </w:r>
      <w:r>
        <w:rPr>
          <w:rtl/>
        </w:rPr>
        <w:t>והוכיח כן מהא דאי' (לעיל עח.) דמקרי מצרי שני. ועוד הביא דדעת ה</w:t>
      </w:r>
      <w:r>
        <w:rPr>
          <w:b/>
          <w:bCs/>
          <w:rtl/>
        </w:rPr>
        <w:t>רמב"ם</w:t>
      </w:r>
      <w:r>
        <w:rPr>
          <w:rtl/>
        </w:rPr>
        <w:t xml:space="preserve"> (עבדים ז ה, ע' חי' הגר”ח שם) דנחשב משחרר חצי עבדו</w:t>
      </w:r>
      <w:r>
        <w:t>.</w:t>
      </w:r>
    </w:p>
  </w:footnote>
  <w:footnote w:id="6299">
    <w:p w14:paraId="0E8F4273" w14:textId="77777777" w:rsidR="006C4368" w:rsidRDefault="006C4368" w:rsidP="006C4368">
      <w:pPr>
        <w:pStyle w:val="Footnote"/>
        <w:bidi/>
      </w:pPr>
      <w:r>
        <w:rPr>
          <w:rStyle w:val="ac"/>
        </w:rPr>
        <w:footnoteRef/>
      </w:r>
      <w:r>
        <w:rPr>
          <w:rtl/>
        </w:rPr>
        <w:t>ו</w:t>
      </w:r>
      <w:r>
        <w:rPr>
          <w:b/>
          <w:bCs/>
          <w:rtl/>
        </w:rPr>
        <w:t>תוס</w:t>
      </w:r>
      <w:r>
        <w:rPr>
          <w:rtl/>
        </w:rPr>
        <w:t>' (סנהדרין סח:) כת' דאפשר דאח"כ יורש את אמו. ויל"ד אי נסתפקו בדין זה, האם יורש את אמו. או דלא הוה ספק, אלא דאפשר [יתכן] שמתה אמו, ומש"ה יש לו נכסים</w:t>
      </w:r>
      <w:r>
        <w:t>.</w:t>
      </w:r>
    </w:p>
  </w:footnote>
  <w:footnote w:id="6300">
    <w:p w14:paraId="28F4DE51" w14:textId="77777777" w:rsidR="006C4368" w:rsidRDefault="006C4368" w:rsidP="006C4368">
      <w:pPr>
        <w:pStyle w:val="Footnote"/>
        <w:bidi/>
      </w:pPr>
      <w:r>
        <w:rPr>
          <w:rStyle w:val="ac"/>
        </w:rPr>
        <w:footnoteRef/>
      </w:r>
      <w:r>
        <w:rPr>
          <w:rtl/>
        </w:rPr>
        <w:t>וכ"כ ה</w:t>
      </w:r>
      <w:r>
        <w:rPr>
          <w:b/>
          <w:bCs/>
          <w:rtl/>
        </w:rPr>
        <w:t>רמ"ה</w:t>
      </w:r>
      <w:r>
        <w:rPr>
          <w:rtl/>
        </w:rPr>
        <w:t xml:space="preserve"> (ב"ב קמט. אות צח) דכיון דלידתו בקדושה יורש את אמו מדאורייתא, דהא אית ליה חייס האם מדאורייתא. דקתני חייבין. וה"ה לענין ירושה, דאידי ואידי הוה חד טעמא. ולא אמרי' דהוקש משפחת אם למשפחת אב בהקישא ד'מטות' דלא הוקשו לעל מילי</w:t>
      </w:r>
      <w:r>
        <w:t>.</w:t>
      </w:r>
    </w:p>
  </w:footnote>
  <w:footnote w:id="6301">
    <w:p w14:paraId="5501872A" w14:textId="77777777" w:rsidR="006C4368" w:rsidRDefault="006C4368" w:rsidP="006C4368">
      <w:pPr>
        <w:pStyle w:val="Footnote"/>
        <w:bidi/>
      </w:pPr>
      <w:r>
        <w:rPr>
          <w:rStyle w:val="ac"/>
        </w:rPr>
        <w:footnoteRef/>
      </w:r>
      <w:r>
        <w:rPr>
          <w:rtl/>
        </w:rPr>
        <w:t>אך לפ"ז לדברי הש"ך (הנ"ל) אין מקור שיורש את אמו, אלא דבתאומים יירשו זא"ז</w:t>
      </w:r>
      <w:r>
        <w:t>.</w:t>
      </w:r>
    </w:p>
  </w:footnote>
  <w:footnote w:id="6302">
    <w:p w14:paraId="36AB49E0" w14:textId="77777777" w:rsidR="006C4368" w:rsidRDefault="006C4368" w:rsidP="006C4368">
      <w:pPr>
        <w:pStyle w:val="Footnote"/>
        <w:bidi/>
      </w:pPr>
      <w:r>
        <w:rPr>
          <w:rStyle w:val="ac"/>
        </w:rPr>
        <w:footnoteRef/>
      </w:r>
      <w:r>
        <w:rPr>
          <w:rtl/>
        </w:rPr>
        <w:t>וה</w:t>
      </w:r>
      <w:r>
        <w:rPr>
          <w:b/>
          <w:bCs/>
          <w:rtl/>
        </w:rPr>
        <w:t>תומים</w:t>
      </w:r>
      <w:r>
        <w:rPr>
          <w:rtl/>
        </w:rPr>
        <w:t xml:space="preserve"> (שם ו) כת' להליץ על דברי הב"י דכוונתו דלדעת ה</w:t>
      </w:r>
      <w:r>
        <w:rPr>
          <w:b/>
          <w:bCs/>
          <w:rtl/>
        </w:rPr>
        <w:t>רמב"ם</w:t>
      </w:r>
      <w:r>
        <w:rPr>
          <w:rtl/>
        </w:rPr>
        <w:t xml:space="preserve"> (עדות יג א) דקרובי האם פסולים לעדות רק מדרבנן. ובהורתו שלא בקדושה דליכא שאר האב, י"ל דלא גזרו שאר האם. [אך לדינא הכריע כש"ך]</w:t>
      </w:r>
      <w:r>
        <w:t>.</w:t>
      </w:r>
    </w:p>
    <w:p w14:paraId="643DD444" w14:textId="77777777" w:rsidR="006C4368" w:rsidRDefault="006C4368" w:rsidP="006C4368">
      <w:pPr>
        <w:pStyle w:val="Footnote"/>
        <w:bidi/>
      </w:pPr>
      <w:r>
        <w:tab/>
      </w:r>
      <w:r>
        <w:rPr>
          <w:rtl/>
        </w:rPr>
        <w:t>ועוד יש שפי' דכוונת הב"י דקרובי האם הוקשו לקרובי האב, וע"ד מש"כ ה</w:t>
      </w:r>
      <w:r>
        <w:rPr>
          <w:b/>
          <w:bCs/>
          <w:rtl/>
        </w:rPr>
        <w:t>רמב"ם</w:t>
      </w:r>
      <w:r>
        <w:rPr>
          <w:rtl/>
        </w:rPr>
        <w:t xml:space="preserve"> (ממרים ה י) דהורתו שלא בקדושה ולידתו שלא בקדושה אינו חייב על הכאת אמו, כשם שאינו חייב על הכאת אביו. דהוקשו זל"ז</w:t>
      </w:r>
      <w:r>
        <w:t>.</w:t>
      </w:r>
    </w:p>
  </w:footnote>
  <w:footnote w:id="6303">
    <w:p w14:paraId="33050FE4" w14:textId="77777777" w:rsidR="006C4368" w:rsidRDefault="006C4368" w:rsidP="006C4368">
      <w:pPr>
        <w:pStyle w:val="Footnote"/>
        <w:bidi/>
      </w:pPr>
      <w:r>
        <w:rPr>
          <w:rStyle w:val="ac"/>
        </w:rPr>
        <w:footnoteRef/>
      </w:r>
      <w:r>
        <w:rPr>
          <w:rtl/>
        </w:rPr>
        <w:t>אך יש מקומות דעכו"ם הבא על בת ישראל נקרא הורתו שלא בקדושה ולידתו בקדושה (ב”ב קמט.). [והתם מצד אמו הוה ישראל מעיקרא, אלא דמצד האב הוה שלא בקדושה]. אבל בסוגיין איירי להדיא בגרים</w:t>
      </w:r>
      <w:r>
        <w:t>.</w:t>
      </w:r>
    </w:p>
  </w:footnote>
  <w:footnote w:id="6304">
    <w:p w14:paraId="643F79D7" w14:textId="77777777" w:rsidR="006C4368" w:rsidRDefault="006C4368" w:rsidP="006C4368">
      <w:pPr>
        <w:pStyle w:val="Footnote"/>
        <w:bidi/>
      </w:pPr>
      <w:r>
        <w:rPr>
          <w:rStyle w:val="ac"/>
        </w:rPr>
        <w:footnoteRef/>
      </w:r>
      <w:r>
        <w:rPr>
          <w:rtl/>
        </w:rPr>
        <w:t>אבל ה</w:t>
      </w:r>
      <w:r>
        <w:rPr>
          <w:b/>
          <w:bCs/>
          <w:rtl/>
        </w:rPr>
        <w:t>ריטב"א</w:t>
      </w:r>
      <w:r>
        <w:rPr>
          <w:rtl/>
        </w:rPr>
        <w:t xml:space="preserve"> (שם) כת' דבעודו במעי אמו דינו כנקיבה, והושלם הגירות בטבילה ובלא מילה</w:t>
      </w:r>
      <w:r>
        <w:t>.</w:t>
      </w:r>
    </w:p>
    <w:p w14:paraId="7232090A" w14:textId="77777777" w:rsidR="006C4368" w:rsidRDefault="006C4368" w:rsidP="006C4368">
      <w:pPr>
        <w:pStyle w:val="Footnote"/>
        <w:bidi/>
      </w:pPr>
      <w:r>
        <w:tab/>
      </w:r>
      <w:r>
        <w:rPr>
          <w:rtl/>
        </w:rPr>
        <w:t>ו</w:t>
      </w:r>
      <w:r>
        <w:rPr>
          <w:b/>
          <w:bCs/>
          <w:rtl/>
        </w:rPr>
        <w:t>תוס</w:t>
      </w:r>
      <w:r>
        <w:rPr>
          <w:rtl/>
        </w:rPr>
        <w:t>' תי' דאכתי לא חזי למילה. וה</w:t>
      </w:r>
      <w:r>
        <w:rPr>
          <w:b/>
          <w:bCs/>
          <w:rtl/>
        </w:rPr>
        <w:t>אחרונים</w:t>
      </w:r>
      <w:r>
        <w:rPr>
          <w:rtl/>
        </w:rPr>
        <w:t xml:space="preserve"> (הו' שם, והרש”ש כתו' יא. נסתפק בזה) דנו האם כוונת התוס' דהושלם הגירות בלא מילה [וכריטב”א], אך פשטות לשון התוס' דכה”ג הסדר אינו מעכב, ומהני מילה אחר טבילה [כיון שאינו 'ערל']</w:t>
      </w:r>
      <w:r>
        <w:t>.</w:t>
      </w:r>
    </w:p>
  </w:footnote>
  <w:footnote w:id="6305">
    <w:p w14:paraId="0491BFF8" w14:textId="77777777" w:rsidR="006C4368" w:rsidRDefault="006C4368" w:rsidP="006C4368">
      <w:pPr>
        <w:pStyle w:val="Footnote"/>
        <w:bidi/>
      </w:pPr>
      <w:r>
        <w:rPr>
          <w:rStyle w:val="ac"/>
        </w:rPr>
        <w:footnoteRef/>
      </w:r>
      <w:r>
        <w:rPr>
          <w:rtl/>
        </w:rPr>
        <w:t>ו</w:t>
      </w:r>
      <w:r>
        <w:rPr>
          <w:b/>
          <w:bCs/>
          <w:rtl/>
        </w:rPr>
        <w:t xml:space="preserve">רע"א </w:t>
      </w:r>
      <w:r>
        <w:rPr>
          <w:rtl/>
        </w:rPr>
        <w:t>(יו"ד קכד לש"ך י) כת' דלדברי הרמב"ן מעוברת שנתגיירה [או טבלה לשם עבדות], והבן לא מל, דינו כעכו"ם ועושה יין נסך. אך כת' דסתימת ה</w:t>
      </w:r>
      <w:r>
        <w:rPr>
          <w:b/>
          <w:bCs/>
          <w:rtl/>
        </w:rPr>
        <w:t>שו"ע</w:t>
      </w:r>
      <w:r>
        <w:rPr>
          <w:rtl/>
        </w:rPr>
        <w:t xml:space="preserve"> (רסח ו) דהוה גר בלא מילה, וכדברי הריטב"א (הנ"ל, ורע"א נקט דכ”ד תוס' לעיל מז:)</w:t>
      </w:r>
      <w:r>
        <w:t>.</w:t>
      </w:r>
    </w:p>
    <w:p w14:paraId="667E3FF8" w14:textId="77777777" w:rsidR="006C4368" w:rsidRDefault="006C4368" w:rsidP="006C4368">
      <w:pPr>
        <w:pStyle w:val="Footnote"/>
        <w:bidi/>
      </w:pPr>
      <w:r>
        <w:tab/>
        <w:t>[</w:t>
      </w:r>
      <w:r>
        <w:rPr>
          <w:rtl/>
        </w:rPr>
        <w:t>וכן נפק"מ האם מלים אותו בשבת, דבפשוטו כיון דנולד בקדושה נימול לח' אפי' בשבת. אבל אי נימא דהוה חלק מהגירות לא דחי שבת</w:t>
      </w:r>
      <w:r>
        <w:t>].</w:t>
      </w:r>
    </w:p>
  </w:footnote>
  <w:footnote w:id="6306">
    <w:p w14:paraId="1468F3C0" w14:textId="77777777" w:rsidR="006C4368" w:rsidRDefault="006C4368" w:rsidP="006C4368">
      <w:pPr>
        <w:pStyle w:val="Footnote"/>
        <w:bidi/>
      </w:pPr>
      <w:r>
        <w:rPr>
          <w:rStyle w:val="ac"/>
        </w:rPr>
        <w:footnoteRef/>
      </w:r>
      <w:r>
        <w:rPr>
          <w:rtl/>
        </w:rPr>
        <w:t>וה</w:t>
      </w:r>
      <w:r>
        <w:rPr>
          <w:b/>
          <w:bCs/>
          <w:rtl/>
        </w:rPr>
        <w:t>קובה"ע</w:t>
      </w:r>
      <w:r>
        <w:rPr>
          <w:rtl/>
        </w:rPr>
        <w:t xml:space="preserve"> תי' די"ל [דהך ברייתא] איירי בנתגיירו קודם מ' יום, דמהני גירות אמו. [ע"ע מש"כ בקוב"ש כתובות לה]. ולפ"ז לא הוה מילתא פסיקא דיש לו שאר האם. [ודוקא נולדה נקיבה יש לה שאר האם, אבל זכר אין לו שאר האם. וצ”ע]</w:t>
      </w:r>
      <w:r>
        <w:t>.</w:t>
      </w:r>
    </w:p>
  </w:footnote>
  <w:footnote w:id="6307">
    <w:p w14:paraId="195BBA62" w14:textId="77777777" w:rsidR="006C4368" w:rsidRDefault="006C4368" w:rsidP="006C4368">
      <w:pPr>
        <w:pStyle w:val="Footnote"/>
        <w:bidi/>
      </w:pPr>
      <w:r>
        <w:rPr>
          <w:rStyle w:val="ac"/>
        </w:rPr>
        <w:footnoteRef/>
      </w:r>
      <w:r>
        <w:rPr>
          <w:rtl/>
        </w:rPr>
        <w:t>וי"ל דה</w:t>
      </w:r>
      <w:r>
        <w:rPr>
          <w:b/>
          <w:bCs/>
          <w:rtl/>
        </w:rPr>
        <w:t>פוסקים</w:t>
      </w:r>
      <w:r>
        <w:rPr>
          <w:rtl/>
        </w:rPr>
        <w:t xml:space="preserve"> שהביאו דין זה ס"ל כשאר ראשונים דמעוברת המילה אינו מעכב</w:t>
      </w:r>
      <w:r>
        <w:t>.</w:t>
      </w:r>
    </w:p>
  </w:footnote>
  <w:footnote w:id="6308">
    <w:p w14:paraId="6F0A0CD4" w14:textId="77777777" w:rsidR="006C4368" w:rsidRDefault="006C4368" w:rsidP="006C4368">
      <w:pPr>
        <w:pStyle w:val="Footnote"/>
        <w:bidi/>
      </w:pPr>
      <w:r>
        <w:rPr>
          <w:rStyle w:val="ac"/>
        </w:rPr>
        <w:footnoteRef/>
      </w:r>
      <w:r>
        <w:rPr>
          <w:rtl/>
        </w:rPr>
        <w:t>אך כבר העירו ה</w:t>
      </w:r>
      <w:r>
        <w:rPr>
          <w:b/>
          <w:bCs/>
          <w:rtl/>
        </w:rPr>
        <w:t>אחרונים</w:t>
      </w:r>
      <w:r>
        <w:rPr>
          <w:rtl/>
        </w:rPr>
        <w:t xml:space="preserve"> מדברי ה</w:t>
      </w:r>
      <w:r>
        <w:rPr>
          <w:b/>
          <w:bCs/>
          <w:rtl/>
        </w:rPr>
        <w:t>תוס' רא"ש</w:t>
      </w:r>
      <w:r>
        <w:rPr>
          <w:rtl/>
        </w:rPr>
        <w:t xml:space="preserve"> (כתובות יא.)</w:t>
      </w:r>
      <w:r>
        <w:t>.</w:t>
      </w:r>
    </w:p>
  </w:footnote>
  <w:footnote w:id="6309">
    <w:p w14:paraId="6F9B08F0" w14:textId="77777777" w:rsidR="006C4368" w:rsidRDefault="006C4368" w:rsidP="006C4368">
      <w:pPr>
        <w:pStyle w:val="Footnote"/>
        <w:bidi/>
      </w:pPr>
      <w:r>
        <w:rPr>
          <w:rStyle w:val="ac"/>
        </w:rPr>
        <w:footnoteRef/>
      </w:r>
      <w:r>
        <w:rPr>
          <w:rtl/>
        </w:rPr>
        <w:t>וה</w:t>
      </w:r>
      <w:r>
        <w:rPr>
          <w:b/>
          <w:bCs/>
          <w:rtl/>
        </w:rPr>
        <w:t>אמר"מ</w:t>
      </w:r>
      <w:r>
        <w:rPr>
          <w:rtl/>
        </w:rPr>
        <w:t xml:space="preserve"> (כז ו) כתב נהי דצריך גירות, יש צד ישראלות בלא גירות</w:t>
      </w:r>
      <w:r>
        <w:t>.</w:t>
      </w:r>
    </w:p>
  </w:footnote>
  <w:footnote w:id="6310">
    <w:p w14:paraId="29B2DCFE" w14:textId="77777777" w:rsidR="006C4368" w:rsidRDefault="006C4368" w:rsidP="006C4368">
      <w:pPr>
        <w:pStyle w:val="Footnote"/>
        <w:bidi/>
      </w:pPr>
      <w:r>
        <w:rPr>
          <w:rStyle w:val="ac"/>
        </w:rPr>
        <w:footnoteRef/>
      </w:r>
      <w:r>
        <w:rPr>
          <w:rtl/>
        </w:rPr>
        <w:t xml:space="preserve">וכן </w:t>
      </w:r>
      <w:r>
        <w:rPr>
          <w:b/>
          <w:bCs/>
          <w:rtl/>
        </w:rPr>
        <w:t>רשב"ם</w:t>
      </w:r>
      <w:r>
        <w:rPr>
          <w:rtl/>
        </w:rPr>
        <w:t xml:space="preserve"> (ב"ב קמט.) כת' הטעם דגר אינו יורש אביו, דרחמנא אפקריה. וכ”כ </w:t>
      </w:r>
      <w:r>
        <w:rPr>
          <w:b/>
          <w:bCs/>
          <w:rtl/>
        </w:rPr>
        <w:t xml:space="preserve">רש”י </w:t>
      </w:r>
      <w:r>
        <w:rPr>
          <w:rtl/>
        </w:rPr>
        <w:t xml:space="preserve">(לעיל כב.) לפסול לעדות [ולכאורה מישך לגדרי ירושה]. וכ"כ </w:t>
      </w:r>
      <w:r>
        <w:rPr>
          <w:b/>
          <w:bCs/>
          <w:rtl/>
        </w:rPr>
        <w:t>רש"י</w:t>
      </w:r>
      <w:r>
        <w:rPr>
          <w:rtl/>
        </w:rPr>
        <w:t xml:space="preserve"> (כתובות מד:) לענין דאין לה 'בית אב', והוה כיתומה. ו</w:t>
      </w:r>
      <w:r>
        <w:rPr>
          <w:b/>
          <w:bCs/>
          <w:rtl/>
        </w:rPr>
        <w:t>רש"י</w:t>
      </w:r>
      <w:r>
        <w:rPr>
          <w:rtl/>
        </w:rPr>
        <w:t xml:space="preserve"> (ב"ק פח.) כת' דאין לו חייס לאבות, משום זרמת סוסים. וצ"ב בכל הנך אמאי לא סגי ליה בטעם דכקטן שנולד</w:t>
      </w:r>
      <w:r>
        <w:t>.</w:t>
      </w:r>
    </w:p>
  </w:footnote>
  <w:footnote w:id="6311">
    <w:p w14:paraId="4DD4D536" w14:textId="77777777" w:rsidR="006C4368" w:rsidRDefault="006C4368" w:rsidP="006C4368">
      <w:pPr>
        <w:pStyle w:val="Footnote"/>
        <w:bidi/>
      </w:pPr>
      <w:r>
        <w:rPr>
          <w:rStyle w:val="ac"/>
        </w:rPr>
        <w:footnoteRef/>
      </w:r>
      <w:r>
        <w:rPr>
          <w:rtl/>
        </w:rPr>
        <w:t>וקשה ל</w:t>
      </w:r>
      <w:r>
        <w:rPr>
          <w:b/>
          <w:bCs/>
          <w:rtl/>
        </w:rPr>
        <w:t>רש"י</w:t>
      </w:r>
      <w:r>
        <w:rPr>
          <w:rtl/>
        </w:rPr>
        <w:t xml:space="preserve"> (שם) אמאי לא סגי בטעם דכקטן שנולד. וה</w:t>
      </w:r>
      <w:r>
        <w:rPr>
          <w:b/>
          <w:bCs/>
          <w:rtl/>
        </w:rPr>
        <w:t>גרי"ז</w:t>
      </w:r>
      <w:r>
        <w:rPr>
          <w:rtl/>
        </w:rPr>
        <w:t xml:space="preserve"> (בכורות מו.) כת' דדעת רש"י דל"ש גדר כקטן שנולד בדין שיש גם בעכו"ם. וכיון דיש דין ירושה אף בעכו"ם ל"ש כקטן שנולד. ומש"ה איצטריך סברת זרמת סוסים.</w:t>
      </w:r>
    </w:p>
  </w:footnote>
  <w:footnote w:id="6312">
    <w:p w14:paraId="790469C1" w14:textId="77777777" w:rsidR="006C4368" w:rsidRDefault="006C4368" w:rsidP="006C4368">
      <w:pPr>
        <w:pStyle w:val="Footnote"/>
        <w:bidi/>
      </w:pPr>
      <w:r>
        <w:rPr>
          <w:rStyle w:val="ac"/>
        </w:rPr>
        <w:footnoteRef/>
      </w:r>
      <w:r>
        <w:rPr>
          <w:rtl/>
        </w:rPr>
        <w:t>ולכאורה כוונת התוס' דכיון דבעודו עכו"ם לא אמרי' זרמת סוסים לענין ירושה, אין סברא דלאחר שנתגייר נימא הכי. [ודלא כסברת רש"י ב"ק]. ולדעת תוס' גלי קרא דיש חייס לעכו"ם ועכו"ם יורש את אביו, דכלפי זה לא אמרי' זרמת סוסים. א"נ</w:t>
      </w:r>
    </w:p>
  </w:footnote>
  <w:footnote w:id="6313">
    <w:p w14:paraId="395A1BF5" w14:textId="77777777" w:rsidR="006C4368" w:rsidRDefault="006C4368" w:rsidP="006C4368">
      <w:pPr>
        <w:pStyle w:val="Footnote"/>
        <w:bidi/>
      </w:pPr>
      <w:r>
        <w:rPr>
          <w:rStyle w:val="ac"/>
        </w:rPr>
        <w:footnoteRef/>
      </w:r>
      <w:r>
        <w:rPr>
          <w:rtl/>
        </w:rPr>
        <w:t>דאי' בגמ' (ב"ק שם) דגר אין לו חייס למעלה, אבל יש לו חייס למטה. [ומשמע דהוה דין דאינו מתייחס אחר אביו. ולא משום דכקטן שנולד, ודנים מעכשיו, מכאן ולהבא]</w:t>
      </w:r>
      <w:r>
        <w:t>.</w:t>
      </w:r>
    </w:p>
  </w:footnote>
  <w:footnote w:id="6314">
    <w:p w14:paraId="50EF4FCF" w14:textId="77777777" w:rsidR="006C4368" w:rsidRDefault="006C4368" w:rsidP="006C4368">
      <w:pPr>
        <w:pStyle w:val="Footnote"/>
        <w:bidi/>
      </w:pPr>
      <w:r>
        <w:rPr>
          <w:rStyle w:val="ac"/>
        </w:rPr>
        <w:footnoteRef/>
      </w:r>
      <w:r>
        <w:rPr>
          <w:rtl/>
        </w:rPr>
        <w:t>וה</w:t>
      </w:r>
      <w:r>
        <w:rPr>
          <w:b/>
          <w:bCs/>
          <w:rtl/>
        </w:rPr>
        <w:t xml:space="preserve">קובה”ע </w:t>
      </w:r>
      <w:r>
        <w:rPr>
          <w:rtl/>
        </w:rPr>
        <w:t>(נא ג בסוגריים) הק' דאף בבהמה יש מ"ד (חולין עט.) דחוששין לזרע האב [לענין אותו ואת בנו]</w:t>
      </w:r>
      <w:r>
        <w:t>.</w:t>
      </w:r>
    </w:p>
  </w:footnote>
  <w:footnote w:id="6315">
    <w:p w14:paraId="07D58ED2" w14:textId="77777777" w:rsidR="006C4368" w:rsidRDefault="006C4368" w:rsidP="006C4368">
      <w:pPr>
        <w:pStyle w:val="Footnote"/>
        <w:bidi/>
      </w:pPr>
      <w:r>
        <w:rPr>
          <w:rStyle w:val="ac"/>
        </w:rPr>
        <w:footnoteRef/>
      </w:r>
      <w:r>
        <w:rPr>
          <w:rtl/>
        </w:rPr>
        <w:t>ולכאו' כוונתו דיש יחוס (בלאדן בן בלאדן כדלעיל סב.), אלא דגלי קרא דאפקריה [ונהי דיש יחוס, מ"מ בדיני התורה אין לו קורבא]. קמ"ל קרא דיורש את אביו דבר תורה. [ועיל"פ כוונתו דרחמנא אפקריה, ומש"ה גלי קרא דיורש, ועי"ז אמרי' דיש יחוס בלאדן בן בלאדן]</w:t>
      </w:r>
      <w:r>
        <w:t>.</w:t>
      </w:r>
    </w:p>
  </w:footnote>
  <w:footnote w:id="6316">
    <w:p w14:paraId="26D4C0DE" w14:textId="77777777" w:rsidR="006C4368" w:rsidRDefault="006C4368" w:rsidP="006C4368">
      <w:pPr>
        <w:pStyle w:val="Footnote"/>
        <w:bidi/>
      </w:pPr>
      <w:r>
        <w:rPr>
          <w:rStyle w:val="ac"/>
        </w:rPr>
        <w:footnoteRef/>
      </w:r>
      <w:r>
        <w:rPr>
          <w:rtl/>
        </w:rPr>
        <w:t xml:space="preserve">וכן </w:t>
      </w:r>
      <w:r>
        <w:rPr>
          <w:b/>
          <w:bCs/>
          <w:rtl/>
        </w:rPr>
        <w:t>רש"י</w:t>
      </w:r>
      <w:r>
        <w:rPr>
          <w:rtl/>
        </w:rPr>
        <w:t xml:space="preserve"> בכ"מ (הו' בהערה לעיל) מבואר דאף גר גמור [שלידתו נכרי] לאחר שנתגייר אמרי' דאינו מתייחס לאביו משום זרמת סוסים</w:t>
      </w:r>
      <w:r>
        <w:t>.</w:t>
      </w:r>
    </w:p>
  </w:footnote>
  <w:footnote w:id="6317">
    <w:p w14:paraId="4AF7CF6D" w14:textId="77777777" w:rsidR="006C4368" w:rsidRDefault="006C4368" w:rsidP="006C4368">
      <w:pPr>
        <w:pStyle w:val="Footnote"/>
        <w:bidi/>
      </w:pPr>
      <w:r>
        <w:rPr>
          <w:rStyle w:val="ac"/>
        </w:rPr>
        <w:footnoteRef/>
      </w:r>
      <w:r>
        <w:rPr>
          <w:rtl/>
        </w:rPr>
        <w:t xml:space="preserve">וכמ"ש </w:t>
      </w:r>
      <w:r>
        <w:rPr>
          <w:b/>
          <w:bCs/>
          <w:rtl/>
        </w:rPr>
        <w:t>רש"י</w:t>
      </w:r>
      <w:r>
        <w:rPr>
          <w:rtl/>
        </w:rPr>
        <w:t xml:space="preserve"> כמה פעמים בסוגיין. [אך אין ראיה מדברי רש"י דגדר זרמת סוסים הוה דוקא כה"ג]</w:t>
      </w:r>
      <w:r>
        <w:t>.</w:t>
      </w:r>
    </w:p>
  </w:footnote>
  <w:footnote w:id="6318">
    <w:p w14:paraId="1FDD6D14" w14:textId="77777777" w:rsidR="006C4368" w:rsidRDefault="006C4368" w:rsidP="006C4368">
      <w:pPr>
        <w:pStyle w:val="Footnote"/>
        <w:bidi/>
      </w:pPr>
      <w:r>
        <w:rPr>
          <w:rStyle w:val="ac"/>
        </w:rPr>
        <w:footnoteRef/>
      </w:r>
      <w:r>
        <w:rPr>
          <w:rtl/>
        </w:rPr>
        <w:t>ואינה חייבת מיתה. וכן לא אמרי' יהרג ואל יעבור כדין גילוי עריות. ועוד דן ר”ת דליכא איסור על הבועל [לכשיתגייר]</w:t>
      </w:r>
      <w:r>
        <w:t>.</w:t>
      </w:r>
    </w:p>
  </w:footnote>
  <w:footnote w:id="6319">
    <w:p w14:paraId="0CAE6200" w14:textId="77777777" w:rsidR="006C4368" w:rsidRDefault="006C4368" w:rsidP="006C4368">
      <w:pPr>
        <w:pStyle w:val="Footnote"/>
        <w:bidi/>
      </w:pPr>
      <w:r>
        <w:rPr>
          <w:rStyle w:val="ac"/>
        </w:rPr>
        <w:footnoteRef/>
      </w:r>
      <w:r>
        <w:rPr>
          <w:rtl/>
        </w:rPr>
        <w:t>וכדאי' (צז:) דמן האב ולא מן האם לכו"ע שרי. ופרש"י דאין אחוה מן האב לגר, דסתם עכו"ם זונה [וכס"ד דהגמ' כאן]</w:t>
      </w:r>
      <w:r>
        <w:t>.</w:t>
      </w:r>
    </w:p>
  </w:footnote>
  <w:footnote w:id="6320">
    <w:p w14:paraId="18F2434A" w14:textId="77777777" w:rsidR="006C4368" w:rsidRDefault="006C4368" w:rsidP="006C4368">
      <w:pPr>
        <w:pStyle w:val="Footnote"/>
        <w:bidi/>
      </w:pPr>
      <w:r>
        <w:rPr>
          <w:rStyle w:val="ac"/>
        </w:rPr>
        <w:footnoteRef/>
      </w:r>
      <w:r>
        <w:rPr>
          <w:rtl/>
        </w:rPr>
        <w:t>וכת' דלשון הגמ' 'אין חייבין' לאו דוקא</w:t>
      </w:r>
      <w:r>
        <w:t>.</w:t>
      </w:r>
    </w:p>
  </w:footnote>
  <w:footnote w:id="6321">
    <w:p w14:paraId="210C2495" w14:textId="77777777" w:rsidR="006C4368" w:rsidRDefault="006C4368" w:rsidP="006C4368">
      <w:pPr>
        <w:pStyle w:val="Footnote"/>
        <w:bidi/>
      </w:pPr>
      <w:r>
        <w:rPr>
          <w:rStyle w:val="ac"/>
        </w:rPr>
        <w:footnoteRef/>
      </w:r>
      <w:r>
        <w:rPr>
          <w:rtl/>
        </w:rPr>
        <w:t>ויל"ד בזה דלמ"ד (לעיל עח.) עובר לאו ירך אמו נחשב דיש גירות על העובר. וצ"ל דמ"מ הוה גדר גירות שונה. וצ"ע</w:t>
      </w:r>
      <w:r>
        <w:t>.</w:t>
      </w:r>
    </w:p>
  </w:footnote>
  <w:footnote w:id="6322">
    <w:p w14:paraId="69E43288" w14:textId="77777777" w:rsidR="006C4368" w:rsidRDefault="006C4368" w:rsidP="006C4368">
      <w:pPr>
        <w:pStyle w:val="Footnote"/>
        <w:bidi/>
      </w:pPr>
      <w:r>
        <w:rPr>
          <w:rStyle w:val="ac"/>
        </w:rPr>
        <w:footnoteRef/>
      </w:r>
      <w:r>
        <w:rPr>
          <w:rtl/>
        </w:rPr>
        <w:t>וה</w:t>
      </w:r>
      <w:r>
        <w:rPr>
          <w:b/>
          <w:bCs/>
          <w:rtl/>
        </w:rPr>
        <w:t>אחרונים</w:t>
      </w:r>
      <w:r>
        <w:rPr>
          <w:rtl/>
        </w:rPr>
        <w:t xml:space="preserve"> (בכורות מו.) כת' דמש"ה </w:t>
      </w:r>
      <w:r>
        <w:rPr>
          <w:b/>
          <w:bCs/>
          <w:rtl/>
        </w:rPr>
        <w:t>רש"י</w:t>
      </w:r>
      <w:r>
        <w:rPr>
          <w:rtl/>
        </w:rPr>
        <w:t xml:space="preserve"> (שם) כת' בנתגיירה מעוברת הטעם דזרמת סוסים, ולא משום גר שנתגייר כקטן שנולד. דבמעוברת שנתגיירה לא אמרי' כקטן שנולד</w:t>
      </w:r>
      <w:r>
        <w:t>.</w:t>
      </w:r>
    </w:p>
  </w:footnote>
  <w:footnote w:id="6323">
    <w:p w14:paraId="72737367" w14:textId="77777777" w:rsidR="006C4368" w:rsidRDefault="006C4368" w:rsidP="006C4368">
      <w:pPr>
        <w:pStyle w:val="Footnote"/>
        <w:bidi/>
      </w:pPr>
      <w:r>
        <w:rPr>
          <w:rStyle w:val="ac"/>
        </w:rPr>
        <w:footnoteRef/>
      </w:r>
      <w:r>
        <w:rPr>
          <w:rtl/>
        </w:rPr>
        <w:t>ומשמע דסגי בטעם זה להתיר, ולא הוה ספק כלל</w:t>
      </w:r>
      <w:r>
        <w:t>.</w:t>
      </w:r>
    </w:p>
  </w:footnote>
  <w:footnote w:id="6324">
    <w:p w14:paraId="521F3B1D" w14:textId="77777777" w:rsidR="006C4368" w:rsidRDefault="006C4368" w:rsidP="006C4368">
      <w:pPr>
        <w:pStyle w:val="Footnote"/>
        <w:bidi/>
      </w:pPr>
      <w:r>
        <w:rPr>
          <w:rStyle w:val="ac"/>
        </w:rPr>
        <w:footnoteRef/>
      </w:r>
      <w:r>
        <w:rPr>
          <w:rtl/>
        </w:rPr>
        <w:t>ו</w:t>
      </w:r>
      <w:r>
        <w:rPr>
          <w:b/>
          <w:bCs/>
          <w:rtl/>
        </w:rPr>
        <w:t>תוס</w:t>
      </w:r>
      <w:r>
        <w:rPr>
          <w:rtl/>
        </w:rPr>
        <w:t>' (סוטה מב:) הביאו דנח' בזה ב</w:t>
      </w:r>
      <w:r>
        <w:rPr>
          <w:b/>
          <w:bCs/>
          <w:rtl/>
        </w:rPr>
        <w:t>ירושלמי</w:t>
      </w:r>
      <w:r>
        <w:rPr>
          <w:rtl/>
        </w:rPr>
        <w:t>, ויש מ”ד דמתעברת מב</w:t>
      </w:r>
      <w:r>
        <w:t>'.</w:t>
      </w:r>
    </w:p>
  </w:footnote>
  <w:footnote w:id="6325">
    <w:p w14:paraId="132BBBC1" w14:textId="77777777" w:rsidR="006C4368" w:rsidRDefault="006C4368" w:rsidP="006C4368">
      <w:pPr>
        <w:pStyle w:val="Footnote"/>
        <w:bidi/>
      </w:pPr>
      <w:r>
        <w:rPr>
          <w:rStyle w:val="ac"/>
        </w:rPr>
        <w:footnoteRef/>
      </w:r>
      <w:r>
        <w:rPr>
          <w:rtl/>
        </w:rPr>
        <w:t>ו</w:t>
      </w:r>
      <w:r>
        <w:rPr>
          <w:b/>
          <w:bCs/>
          <w:rtl/>
        </w:rPr>
        <w:t>רש"י</w:t>
      </w:r>
      <w:r>
        <w:rPr>
          <w:rtl/>
        </w:rPr>
        <w:t xml:space="preserve"> משמע דהתיר לבנים לישא אשת אחיו מאמו [ואף הבנים היה גרים]. אבל </w:t>
      </w:r>
      <w:r>
        <w:rPr>
          <w:b/>
          <w:bCs/>
          <w:rtl/>
        </w:rPr>
        <w:t>ר"ח</w:t>
      </w:r>
      <w:r>
        <w:rPr>
          <w:rtl/>
        </w:rPr>
        <w:t xml:space="preserve"> (ברשב"א) פי' דאשה זו התיר ר"ע לאח של בעלה הראשון [בגיות], ואלו ז' בניה</w:t>
      </w:r>
      <w:r>
        <w:t>.</w:t>
      </w:r>
    </w:p>
  </w:footnote>
  <w:footnote w:id="6326">
    <w:p w14:paraId="0FCE8407" w14:textId="77777777" w:rsidR="006C4368" w:rsidRDefault="006C4368" w:rsidP="006C4368">
      <w:pPr>
        <w:pStyle w:val="Footnote"/>
        <w:bidi/>
      </w:pPr>
      <w:r>
        <w:rPr>
          <w:rStyle w:val="ac"/>
        </w:rPr>
        <w:footnoteRef/>
      </w:r>
      <w:r>
        <w:rPr>
          <w:rtl/>
        </w:rPr>
        <w:t>ו</w:t>
      </w:r>
      <w:r>
        <w:rPr>
          <w:b/>
          <w:bCs/>
          <w:rtl/>
        </w:rPr>
        <w:t xml:space="preserve">ר"ח </w:t>
      </w:r>
      <w:r>
        <w:rPr>
          <w:rtl/>
        </w:rPr>
        <w:t xml:space="preserve">הביא </w:t>
      </w:r>
      <w:r>
        <w:rPr>
          <w:b/>
          <w:bCs/>
          <w:rtl/>
        </w:rPr>
        <w:t>י"מ</w:t>
      </w:r>
      <w:r>
        <w:rPr>
          <w:rtl/>
        </w:rPr>
        <w:t xml:space="preserve"> דהאשה וז' בניה מעידים שר' עקיבא אמר כן, ו</w:t>
      </w:r>
      <w:r>
        <w:rPr>
          <w:b/>
          <w:bCs/>
          <w:rtl/>
        </w:rPr>
        <w:t>ר"ח</w:t>
      </w:r>
      <w:r>
        <w:rPr>
          <w:rtl/>
        </w:rPr>
        <w:t xml:space="preserve"> דחה דא”כ מה הגמ' תי' דהת"ח נאמן, שהרי אשה וז' בניה</w:t>
      </w:r>
      <w:r>
        <w:t>.</w:t>
      </w:r>
    </w:p>
  </w:footnote>
  <w:footnote w:id="6327">
    <w:p w14:paraId="00ABBAC4" w14:textId="77777777" w:rsidR="006C4368" w:rsidRDefault="006C4368" w:rsidP="006C4368">
      <w:pPr>
        <w:pStyle w:val="Footnote"/>
        <w:bidi/>
      </w:pPr>
      <w:r>
        <w:rPr>
          <w:rStyle w:val="ac"/>
        </w:rPr>
        <w:footnoteRef/>
      </w:r>
      <w:r>
        <w:rPr>
          <w:rtl/>
        </w:rPr>
        <w:t>ולכאורה נקט ז' בניה רק להוכחת הדבר, שהיה בהיתר ובפרהסיא. דהא אף לצד דאסור משום מיחזי הבנים כשרים</w:t>
      </w:r>
      <w:r>
        <w:t>.</w:t>
      </w:r>
    </w:p>
  </w:footnote>
  <w:footnote w:id="6328">
    <w:p w14:paraId="5728A9D9" w14:textId="77777777" w:rsidR="006C4368" w:rsidRDefault="006C4368" w:rsidP="006C4368">
      <w:pPr>
        <w:pStyle w:val="Footnote"/>
        <w:bidi/>
      </w:pPr>
      <w:r>
        <w:rPr>
          <w:rStyle w:val="ac"/>
        </w:rPr>
        <w:footnoteRef/>
      </w:r>
      <w:r>
        <w:rPr>
          <w:rtl/>
        </w:rPr>
        <w:t>וכדאי' בתחילת ס' נחום. [ומשמע בתוס' דיונה הנביא עדיין חי. וכ”מ (ע' אברבנאל יונה ג א) שהאריך ימים הרבה]</w:t>
      </w:r>
      <w:r>
        <w:t>.</w:t>
      </w:r>
    </w:p>
  </w:footnote>
  <w:footnote w:id="6329">
    <w:p w14:paraId="4E08CFF6" w14:textId="77777777" w:rsidR="006C4368" w:rsidRDefault="006C4368" w:rsidP="006C4368">
      <w:pPr>
        <w:pStyle w:val="Footnote"/>
        <w:bidi/>
      </w:pPr>
      <w:r>
        <w:rPr>
          <w:rStyle w:val="ac"/>
        </w:rPr>
        <w:footnoteRef/>
      </w:r>
      <w:r>
        <w:rPr>
          <w:rtl/>
        </w:rPr>
        <w:t>אך ה</w:t>
      </w:r>
      <w:r>
        <w:rPr>
          <w:b/>
          <w:bCs/>
          <w:rtl/>
        </w:rPr>
        <w:t xml:space="preserve">מהש"א ח"א </w:t>
      </w:r>
      <w:r>
        <w:rPr>
          <w:rtl/>
        </w:rPr>
        <w:t>כת' דמה שאמר ההיטב חרה וכו' לא הוה 'דיבור' אלא הוכחה על שחרה לו</w:t>
      </w:r>
      <w:r>
        <w:t>.</w:t>
      </w:r>
    </w:p>
  </w:footnote>
  <w:footnote w:id="6330">
    <w:p w14:paraId="431EE569" w14:textId="77777777" w:rsidR="006C4368" w:rsidRDefault="006C4368" w:rsidP="006C4368">
      <w:pPr>
        <w:pStyle w:val="Footnote"/>
        <w:bidi/>
      </w:pPr>
      <w:r>
        <w:rPr>
          <w:rStyle w:val="ac"/>
        </w:rPr>
        <w:footnoteRef/>
      </w:r>
      <w:r>
        <w:rPr>
          <w:rtl/>
        </w:rPr>
        <w:t>ובפשוטו מ"ד דמותר בבתו פליג אאידך מ"ד שם דאסור בכל העריות שבי"ד של ישראל מחייבים עליהם. אבל לדברי הרמב"ן הא מצד האב והא מצד האם</w:t>
      </w:r>
      <w:r>
        <w:t>.</w:t>
      </w:r>
    </w:p>
  </w:footnote>
  <w:footnote w:id="6331">
    <w:p w14:paraId="1353CD35" w14:textId="77777777" w:rsidR="006C4368" w:rsidRDefault="006C4368" w:rsidP="006C4368">
      <w:pPr>
        <w:pStyle w:val="Footnote"/>
        <w:bidi/>
      </w:pPr>
      <w:r>
        <w:rPr>
          <w:rStyle w:val="ac"/>
        </w:rPr>
        <w:footnoteRef/>
      </w:r>
      <w:r>
        <w:rPr>
          <w:rtl/>
        </w:rPr>
        <w:t>אבל דעת ה</w:t>
      </w:r>
      <w:r>
        <w:rPr>
          <w:b/>
          <w:bCs/>
          <w:rtl/>
        </w:rPr>
        <w:t>רמ"ה</w:t>
      </w:r>
      <w:r>
        <w:rPr>
          <w:rtl/>
        </w:rPr>
        <w:t xml:space="preserve"> (סנהדרין שם) דאסור בעריות שע"י אישות, כגון אחות אשתו מן האם</w:t>
      </w:r>
      <w:r>
        <w:t>.</w:t>
      </w:r>
    </w:p>
  </w:footnote>
  <w:footnote w:id="6332">
    <w:p w14:paraId="10F4187D" w14:textId="77777777" w:rsidR="006C4368" w:rsidRDefault="006C4368" w:rsidP="006C4368">
      <w:pPr>
        <w:pStyle w:val="Footnote"/>
        <w:bidi/>
      </w:pPr>
      <w:r>
        <w:rPr>
          <w:rStyle w:val="ac"/>
        </w:rPr>
        <w:footnoteRef/>
      </w:r>
      <w:r>
        <w:rPr>
          <w:rtl/>
        </w:rPr>
        <w:t>ולדעת ה</w:t>
      </w:r>
      <w:r>
        <w:rPr>
          <w:b/>
          <w:bCs/>
          <w:rtl/>
        </w:rPr>
        <w:t>רמ"ה</w:t>
      </w:r>
      <w:r>
        <w:rPr>
          <w:rtl/>
        </w:rPr>
        <w:t xml:space="preserve"> י"ל דלא היו מאותה האם. [וכ"כ המשנ"ל ב</w:t>
      </w:r>
      <w:r>
        <w:rPr>
          <w:b/>
          <w:bCs/>
          <w:rtl/>
        </w:rPr>
        <w:t>פרשת דרכים</w:t>
      </w:r>
      <w:r>
        <w:rPr>
          <w:rtl/>
        </w:rPr>
        <w:t xml:space="preserve"> (דרוש א)]</w:t>
      </w:r>
      <w:r>
        <w:t>.</w:t>
      </w:r>
    </w:p>
    <w:p w14:paraId="7F5C29A8" w14:textId="77777777" w:rsidR="006C4368" w:rsidRDefault="006C4368" w:rsidP="006C4368">
      <w:pPr>
        <w:pStyle w:val="Footnote"/>
        <w:bidi/>
      </w:pPr>
      <w:r>
        <w:tab/>
      </w:r>
      <w:r>
        <w:rPr>
          <w:rtl/>
        </w:rPr>
        <w:t>ו</w:t>
      </w:r>
      <w:r>
        <w:rPr>
          <w:b/>
          <w:bCs/>
          <w:rtl/>
        </w:rPr>
        <w:t>מהר"ש יפה</w:t>
      </w:r>
      <w:r>
        <w:rPr>
          <w:rtl/>
        </w:rPr>
        <w:t xml:space="preserve"> (הו' בפרש"ד שם) תי' דגיירן, וגר שנתגייר כקטן שנולד. ומש"ה הותר בהם. [והפרש”ד כת' דכל זה לצד דהיה להם דיני ישראל קודם מתן תורה, דאל”כ ל”ש לגיירן]. וה</w:t>
      </w:r>
      <w:r>
        <w:rPr>
          <w:b/>
          <w:bCs/>
          <w:rtl/>
        </w:rPr>
        <w:t>ר"א מזרחי</w:t>
      </w:r>
      <w:r>
        <w:rPr>
          <w:rtl/>
        </w:rPr>
        <w:t xml:space="preserve"> (ויקרא כ יז) הק' מהגמ' (פסחים קיט:) דיעקב אמר שנשא ב' אחיות, ולא אמרי' כקטן שנולד. [וה</w:t>
      </w:r>
      <w:r>
        <w:rPr>
          <w:b/>
          <w:bCs/>
          <w:rtl/>
        </w:rPr>
        <w:t>רמב”ן</w:t>
      </w:r>
      <w:r>
        <w:rPr>
          <w:rtl/>
        </w:rPr>
        <w:t xml:space="preserve"> (בראשית כו ה) ביאר דמדיני ישראל אסור להם, ובחו"ל לא נהגו כדיני ישראל]. וע"ע פרשת דרכים שהאריך טובא</w:t>
      </w:r>
      <w:r>
        <w:t>.</w:t>
      </w:r>
    </w:p>
  </w:footnote>
  <w:footnote w:id="6333">
    <w:p w14:paraId="0DB6FF5B" w14:textId="77777777" w:rsidR="006C4368" w:rsidRDefault="006C4368" w:rsidP="006C4368">
      <w:pPr>
        <w:pStyle w:val="Footnote"/>
        <w:bidi/>
      </w:pPr>
      <w:r>
        <w:rPr>
          <w:rStyle w:val="ac"/>
        </w:rPr>
        <w:footnoteRef/>
      </w:r>
      <w:r>
        <w:rPr>
          <w:rtl/>
        </w:rPr>
        <w:t>וכת' דהא דכתיב ולא יסף עוד לדעתה, מפני שהיתה זקוקה ליבם, והיתה זקוקה לשלה, לפי מה שהיו נוהגין ביבומין</w:t>
      </w:r>
      <w:r>
        <w:t>.</w:t>
      </w:r>
    </w:p>
  </w:footnote>
  <w:footnote w:id="6334">
    <w:p w14:paraId="406EFA22" w14:textId="77777777" w:rsidR="006C4368" w:rsidRDefault="006C4368" w:rsidP="006C4368">
      <w:pPr>
        <w:pStyle w:val="Footnote"/>
        <w:bidi/>
      </w:pPr>
      <w:r>
        <w:rPr>
          <w:rStyle w:val="ac"/>
        </w:rPr>
        <w:footnoteRef/>
      </w:r>
      <w:r>
        <w:rPr>
          <w:rtl/>
        </w:rPr>
        <w:t>וכן ה</w:t>
      </w:r>
      <w:r>
        <w:rPr>
          <w:b/>
          <w:bCs/>
          <w:rtl/>
        </w:rPr>
        <w:t>רמב"ן</w:t>
      </w:r>
      <w:r>
        <w:rPr>
          <w:rtl/>
        </w:rPr>
        <w:t xml:space="preserve"> (עה"ת בראשית לח ח) כת' דהוה מדין יבום. וביאר דענין יבום הוא סוד גדול מסודות התורה בתולדת האדם, והחכמים קודם מתן תורה היו יודעים שיש תועלת ביבום האח, וכן כל שארו הקרוב אליו ממשפחתו שיורש הנחלה יגיע ממנו התועלת</w:t>
      </w:r>
      <w:r>
        <w:t>.</w:t>
      </w:r>
    </w:p>
    <w:p w14:paraId="7C7ECD67" w14:textId="77777777" w:rsidR="006C4368" w:rsidRDefault="006C4368" w:rsidP="006C4368">
      <w:pPr>
        <w:pStyle w:val="Footnote"/>
        <w:bidi/>
      </w:pPr>
      <w:r>
        <w:tab/>
      </w:r>
      <w:r>
        <w:rPr>
          <w:rtl/>
        </w:rPr>
        <w:t>וה</w:t>
      </w:r>
      <w:r>
        <w:rPr>
          <w:b/>
          <w:bCs/>
          <w:rtl/>
        </w:rPr>
        <w:t>רמב"ן</w:t>
      </w:r>
      <w:r>
        <w:rPr>
          <w:rtl/>
        </w:rPr>
        <w:t xml:space="preserve"> כת' דלא ידע אם היה המנהג קדמון לפני יהודה, וב</w:t>
      </w:r>
      <w:r>
        <w:rPr>
          <w:b/>
          <w:bCs/>
          <w:rtl/>
        </w:rPr>
        <w:t>מדרש</w:t>
      </w:r>
      <w:r>
        <w:rPr>
          <w:rtl/>
        </w:rPr>
        <w:t xml:space="preserve"> (בראשית רבה פה ה) אי' דיהודה התחיל במצות יבום תחילה</w:t>
      </w:r>
      <w:r>
        <w:t>.</w:t>
      </w:r>
    </w:p>
    <w:p w14:paraId="279AED91" w14:textId="77777777" w:rsidR="006C4368" w:rsidRDefault="006C4368" w:rsidP="006C4368">
      <w:pPr>
        <w:pStyle w:val="Footnote"/>
        <w:bidi/>
      </w:pPr>
      <w:r>
        <w:tab/>
      </w:r>
      <w:r>
        <w:rPr>
          <w:rtl/>
        </w:rPr>
        <w:t>וה</w:t>
      </w:r>
      <w:r>
        <w:rPr>
          <w:b/>
          <w:bCs/>
          <w:rtl/>
        </w:rPr>
        <w:t>רד"ק</w:t>
      </w:r>
      <w:r>
        <w:rPr>
          <w:rtl/>
        </w:rPr>
        <w:t xml:space="preserve"> (לח כד) כת' דהא דהוציאו את תמר לישרף הוא משום איסור יבמה לשוק, כפי מה שהיו נהגים היבום היתה להם שומרת יבם כאילו היא אשת איש. אך ה</w:t>
      </w:r>
      <w:r>
        <w:rPr>
          <w:b/>
          <w:bCs/>
          <w:rtl/>
        </w:rPr>
        <w:t>רמב"ן</w:t>
      </w:r>
      <w:r>
        <w:rPr>
          <w:rtl/>
        </w:rPr>
        <w:t xml:space="preserve"> (שם כד) דחה דיהודה התחיל בענין היבום. ובבני נח אינו נוהג איסור יבמה לשוק</w:t>
      </w:r>
      <w:r>
        <w:t>.</w:t>
      </w:r>
    </w:p>
  </w:footnote>
  <w:footnote w:id="6335">
    <w:p w14:paraId="7D98A4F8" w14:textId="77777777" w:rsidR="006C4368" w:rsidRDefault="006C4368" w:rsidP="006C4368">
      <w:pPr>
        <w:pStyle w:val="Footnote"/>
        <w:bidi/>
      </w:pPr>
      <w:r>
        <w:rPr>
          <w:rStyle w:val="ac"/>
        </w:rPr>
        <w:footnoteRef/>
      </w:r>
      <w:r>
        <w:rPr>
          <w:rtl/>
        </w:rPr>
        <w:t>וה</w:t>
      </w:r>
      <w:r>
        <w:rPr>
          <w:b/>
          <w:bCs/>
          <w:rtl/>
        </w:rPr>
        <w:t>רשב"א</w:t>
      </w:r>
      <w:r>
        <w:rPr>
          <w:rtl/>
        </w:rPr>
        <w:t xml:space="preserve"> ביאר דדבר תורה היתה מותרת משום יבום, דקודם התורה היה יבום מותר בקרובין. והא דיהודה מסרה לאונן ועד שתגדיל שילה, שרצה לנהוג בה כדרך שצותה התורה, באחים לא באב. שהאח עיקר ובקי היה בענינו</w:t>
      </w:r>
      <w:r>
        <w:t>.</w:t>
      </w:r>
    </w:p>
    <w:p w14:paraId="63FDC15E" w14:textId="77777777" w:rsidR="006C4368" w:rsidRDefault="006C4368" w:rsidP="006C4368">
      <w:pPr>
        <w:pStyle w:val="Footnote"/>
        <w:bidi/>
      </w:pPr>
      <w:r>
        <w:tab/>
      </w:r>
      <w:r>
        <w:rPr>
          <w:rtl/>
        </w:rPr>
        <w:t>וה</w:t>
      </w:r>
      <w:r>
        <w:rPr>
          <w:b/>
          <w:bCs/>
          <w:rtl/>
        </w:rPr>
        <w:t>רמב"ן</w:t>
      </w:r>
      <w:r>
        <w:rPr>
          <w:rtl/>
        </w:rPr>
        <w:t xml:space="preserve"> (בראשית לח ח הנ"ל) כץ' דקודם מתן תורה היבום היה בכל הקרובים, וכאשר באתה התורה ואסרה אשת קצת הקרובים, רצה הקב"ה להתיר איסור אשת האח מפני היבום. ולא רצה שידחה מפניו איסור אשת אחי האב והבן וזולתם, כי באח הורגל הדבר ותועלת קרובה ולא בהם</w:t>
      </w:r>
      <w:r>
        <w:t>.</w:t>
      </w:r>
    </w:p>
  </w:footnote>
  <w:footnote w:id="6336">
    <w:p w14:paraId="18F015FB" w14:textId="77777777" w:rsidR="006C4368" w:rsidRDefault="006C4368" w:rsidP="006C4368">
      <w:pPr>
        <w:pStyle w:val="Footnote"/>
        <w:bidi/>
      </w:pPr>
      <w:r>
        <w:rPr>
          <w:rStyle w:val="ac"/>
        </w:rPr>
        <w:footnoteRef/>
      </w:r>
      <w:r>
        <w:rPr>
          <w:rtl/>
        </w:rPr>
        <w:t>וה</w:t>
      </w:r>
      <w:r>
        <w:rPr>
          <w:b/>
          <w:bCs/>
          <w:rtl/>
        </w:rPr>
        <w:t>קובה"ע</w:t>
      </w:r>
      <w:r>
        <w:rPr>
          <w:rtl/>
        </w:rPr>
        <w:t xml:space="preserve"> (ט ז, נא א) הביא דדעת הרמב"ן דיבום קודם מתן תורה הוה רשות, ומש"ה לא הותר איסור עריות משום יבום. והרשב"א פליג דעצם היבום מתיר איסור עריות, ואף היכא דהיבום הוה רשות. [ועד"ז דעת הרשב"א (לעיל מא.) דהותר איסור אשת אח בנפילה, ואף באופן דליכא מצוות יבום, כגון הותרה ונאסרה. {אך יש לדחות דהתם הותר בשעת נפילתו}]</w:t>
      </w:r>
      <w:r>
        <w:t>.</w:t>
      </w:r>
    </w:p>
  </w:footnote>
  <w:footnote w:id="6337">
    <w:p w14:paraId="4D880810" w14:textId="77777777" w:rsidR="006C4368" w:rsidRDefault="006C4368" w:rsidP="006C4368">
      <w:pPr>
        <w:pStyle w:val="Footnote"/>
        <w:bidi/>
      </w:pPr>
      <w:r>
        <w:rPr>
          <w:rStyle w:val="ac"/>
        </w:rPr>
        <w:footnoteRef/>
      </w:r>
      <w:r>
        <w:rPr>
          <w:rtl/>
        </w:rPr>
        <w:t>א”כ אין ילפותא דהותר יבום משום מצוות יבום. וע”כ דליכא איסור כלל בכלתו</w:t>
      </w:r>
      <w:r>
        <w:t>.</w:t>
      </w:r>
    </w:p>
  </w:footnote>
  <w:footnote w:id="6338">
    <w:p w14:paraId="76AA2B65" w14:textId="77777777" w:rsidR="006C4368" w:rsidRDefault="006C4368" w:rsidP="006C4368">
      <w:pPr>
        <w:pStyle w:val="Footnote"/>
        <w:bidi/>
      </w:pPr>
      <w:r>
        <w:rPr>
          <w:rStyle w:val="ac"/>
        </w:rPr>
        <w:footnoteRef/>
      </w:r>
      <w:r>
        <w:rPr>
          <w:rtl/>
        </w:rPr>
        <w:t>ו</w:t>
      </w:r>
      <w:r>
        <w:rPr>
          <w:b/>
          <w:bCs/>
          <w:rtl/>
        </w:rPr>
        <w:t>תוס'</w:t>
      </w:r>
      <w:r>
        <w:rPr>
          <w:rtl/>
        </w:rPr>
        <w:t xml:space="preserve"> ביארו עד"ז הא דאי' (צז:) לחד לישנא דמן האב ומן האם לא גזרו, כיון דאיכא צד אב שדי בתר אבוה. וטעם זה שייך משום איחלופי, דכיון דאיכא צד אב לא אתי לאיחלופי. אבל משום 'שמא יאמרו' אמאי שרי</w:t>
      </w:r>
      <w:r>
        <w:t>.</w:t>
      </w:r>
    </w:p>
  </w:footnote>
  <w:footnote w:id="6339">
    <w:p w14:paraId="794FBCDF" w14:textId="77777777" w:rsidR="006C4368" w:rsidRDefault="006C4368" w:rsidP="006C4368">
      <w:pPr>
        <w:pStyle w:val="Footnote"/>
        <w:bidi/>
      </w:pPr>
      <w:r>
        <w:rPr>
          <w:rStyle w:val="ac"/>
        </w:rPr>
        <w:footnoteRef/>
      </w:r>
      <w:r>
        <w:rPr>
          <w:rtl/>
        </w:rPr>
        <w:t>דדרשינן על כן יעזב את אביו ואמו, ר"א אומר דנאסר באחות אביו ואחות אמו. [פ</w:t>
      </w:r>
      <w:r>
        <w:rPr>
          <w:b/>
          <w:bCs/>
          <w:rtl/>
        </w:rPr>
        <w:t>רש"י</w:t>
      </w:r>
      <w:r>
        <w:rPr>
          <w:rtl/>
        </w:rPr>
        <w:t xml:space="preserve"> וכ"ש אחותו]. ור"ע אומר אשת אביו ואמו ממש</w:t>
      </w:r>
      <w:r>
        <w:t>.</w:t>
      </w:r>
    </w:p>
  </w:footnote>
  <w:footnote w:id="6340">
    <w:p w14:paraId="030DA888" w14:textId="77777777" w:rsidR="006C4368" w:rsidRDefault="006C4368" w:rsidP="006C4368">
      <w:pPr>
        <w:pStyle w:val="Footnote"/>
        <w:bidi/>
      </w:pPr>
      <w:r>
        <w:rPr>
          <w:rStyle w:val="ac"/>
        </w:rPr>
        <w:footnoteRef/>
      </w:r>
      <w:r>
        <w:rPr>
          <w:rtl/>
        </w:rPr>
        <w:t xml:space="preserve">אבל </w:t>
      </w:r>
      <w:r>
        <w:rPr>
          <w:b/>
          <w:bCs/>
          <w:rtl/>
        </w:rPr>
        <w:t>רש"י</w:t>
      </w:r>
      <w:r>
        <w:rPr>
          <w:rtl/>
        </w:rPr>
        <w:t xml:space="preserve"> (כאן) פי' את כל הסוגיה משום איחלופי, ולא הזכיר גזירת יאמרו באנו מקדושה חמורה</w:t>
      </w:r>
      <w:r>
        <w:t>.</w:t>
      </w:r>
    </w:p>
  </w:footnote>
  <w:footnote w:id="6341">
    <w:p w14:paraId="3E072413" w14:textId="77777777" w:rsidR="006C4368" w:rsidRDefault="006C4368" w:rsidP="006C4368">
      <w:pPr>
        <w:pStyle w:val="Footnote"/>
        <w:bidi/>
      </w:pPr>
      <w:r>
        <w:rPr>
          <w:rStyle w:val="ac"/>
        </w:rPr>
        <w:footnoteRef/>
      </w:r>
      <w:r>
        <w:rPr>
          <w:rtl/>
        </w:rPr>
        <w:t>ו</w:t>
      </w:r>
      <w:r>
        <w:rPr>
          <w:b/>
          <w:bCs/>
          <w:rtl/>
        </w:rPr>
        <w:t>רש"י</w:t>
      </w:r>
      <w:r>
        <w:rPr>
          <w:rtl/>
        </w:rPr>
        <w:t xml:space="preserve"> הביא דקאי כר' אליעזר (בהמשך הסוגיה שם) דדרש על כן יעזוב איש את אביו ואת אמו, דמוזהר שלא ישא אחות אביו ואחות אמו. ודעת ר"ע דקאי אאשת אביו, ואמו [ממש]</w:t>
      </w:r>
      <w:r>
        <w:t>.</w:t>
      </w:r>
    </w:p>
  </w:footnote>
  <w:footnote w:id="6342">
    <w:p w14:paraId="32FFCF5D" w14:textId="77777777" w:rsidR="006C4368" w:rsidRDefault="006C4368" w:rsidP="006C4368">
      <w:pPr>
        <w:pStyle w:val="Footnote"/>
        <w:bidi/>
      </w:pPr>
      <w:r>
        <w:rPr>
          <w:rStyle w:val="ac"/>
        </w:rPr>
        <w:footnoteRef/>
      </w:r>
      <w:r>
        <w:rPr>
          <w:rtl/>
        </w:rPr>
        <w:t>וכן אטו אחות האם ואחות אביו מהאם</w:t>
      </w:r>
      <w:r>
        <w:t>.</w:t>
      </w:r>
    </w:p>
  </w:footnote>
  <w:footnote w:id="6343">
    <w:p w14:paraId="1AC2E0D4" w14:textId="77777777" w:rsidR="006C4368" w:rsidRDefault="006C4368" w:rsidP="006C4368">
      <w:pPr>
        <w:pStyle w:val="Footnote"/>
        <w:bidi/>
      </w:pPr>
      <w:r>
        <w:rPr>
          <w:rStyle w:val="ac"/>
        </w:rPr>
        <w:footnoteRef/>
      </w:r>
      <w:r>
        <w:rPr>
          <w:rtl/>
        </w:rPr>
        <w:t>ועפ"ז נדחק רש"י דהוה בבא בפנ"ע, דלא קאי בלידתו בקדושה</w:t>
      </w:r>
      <w:r>
        <w:t>.</w:t>
      </w:r>
    </w:p>
  </w:footnote>
  <w:footnote w:id="6344">
    <w:p w14:paraId="4137E7C7" w14:textId="77777777" w:rsidR="006C4368" w:rsidRDefault="006C4368" w:rsidP="006C4368">
      <w:pPr>
        <w:pStyle w:val="Footnote"/>
        <w:bidi/>
      </w:pPr>
      <w:r>
        <w:rPr>
          <w:rStyle w:val="ac"/>
        </w:rPr>
        <w:footnoteRef/>
      </w:r>
      <w:r>
        <w:rPr>
          <w:rtl/>
        </w:rPr>
        <w:t>ומשמע דצריך להוציא את שניהם, דכיון דתפסי קידושין בשניה [מדאורייתא], עי"ז נאסר בראשונה. [ולא אמרי' דבגדרי הדרבנן הראשונה אשתו, ולא תפסי קידושין בשניה. ולאו כל כמיניה דשניה לאסור על הראשונה. אלא סוף סוף תפסי קידושין בשניה מדאורייתא ונאסר בקרובותיה, ובכלל זה נאסר באשתו הראשונה משום דאתי לאיחלופי]</w:t>
      </w:r>
      <w:r>
        <w:t>.</w:t>
      </w:r>
    </w:p>
  </w:footnote>
  <w:footnote w:id="6345">
    <w:p w14:paraId="18C39111" w14:textId="77777777" w:rsidR="006C4368" w:rsidRDefault="006C4368" w:rsidP="006C4368">
      <w:pPr>
        <w:pStyle w:val="Footnote"/>
        <w:bidi/>
      </w:pPr>
      <w:r>
        <w:rPr>
          <w:rStyle w:val="ac"/>
        </w:rPr>
        <w:footnoteRef/>
      </w:r>
      <w:r>
        <w:rPr>
          <w:rtl/>
        </w:rPr>
        <w:t>ו</w:t>
      </w:r>
      <w:r>
        <w:rPr>
          <w:b/>
          <w:bCs/>
          <w:rtl/>
        </w:rPr>
        <w:t>ה"ה</w:t>
      </w:r>
      <w:r>
        <w:rPr>
          <w:rtl/>
        </w:rPr>
        <w:t xml:space="preserve"> כת' דהרמב"ם כת' דין זה כשנשאן משנתגיירו, ואפי' היה הנושאן ישראל. ודינו ודאי אמיתי</w:t>
      </w:r>
      <w:r>
        <w:t>.</w:t>
      </w:r>
    </w:p>
  </w:footnote>
  <w:footnote w:id="6346">
    <w:p w14:paraId="21A0EF80" w14:textId="77777777" w:rsidR="006C4368" w:rsidRDefault="006C4368" w:rsidP="006C4368">
      <w:pPr>
        <w:pStyle w:val="Footnote"/>
        <w:bidi/>
      </w:pPr>
      <w:r>
        <w:rPr>
          <w:rStyle w:val="ac"/>
        </w:rPr>
        <w:footnoteRef/>
      </w:r>
      <w:r>
        <w:rPr>
          <w:rtl/>
        </w:rPr>
        <w:t>ועוד הוסיף דאפשר דהברייתא איירי בנישואין בלא ביאה [וע' תוס' ב: וצז.]. אך הק' דמפורש ב</w:t>
      </w:r>
      <w:r>
        <w:rPr>
          <w:b/>
          <w:bCs/>
          <w:rtl/>
        </w:rPr>
        <w:t>רמב"ם</w:t>
      </w:r>
      <w:r>
        <w:rPr>
          <w:rtl/>
        </w:rPr>
        <w:t xml:space="preserve"> (איסו"ב ב ז) דע"י קידושין חל האיסור</w:t>
      </w:r>
      <w:r>
        <w:t>.</w:t>
      </w:r>
    </w:p>
  </w:footnote>
  <w:footnote w:id="6347">
    <w:p w14:paraId="3610CF6D" w14:textId="77777777" w:rsidR="006C4368" w:rsidRDefault="006C4368" w:rsidP="006C4368">
      <w:pPr>
        <w:pStyle w:val="Footnote"/>
        <w:bidi/>
      </w:pPr>
      <w:r>
        <w:rPr>
          <w:rStyle w:val="ac"/>
        </w:rPr>
        <w:footnoteRef/>
      </w:r>
      <w:r>
        <w:t>[</w:t>
      </w:r>
      <w:r>
        <w:rPr>
          <w:rtl/>
        </w:rPr>
        <w:t>וצ"ב כיון דתפסי קידושין באחותה דהוה רק איסור דרבנן, א"כ מ"ט לא תאסור לאשתו. ואפשר דבגדרי האיסור דרבנן נחשב דלא חל קידושי שניה, ומש"ה אינה אוסרת לזו. ועיל"פ דיש סברא דאינו בדין שחל קידושין באחות אשתו לאסור את אשתו, וע"ד מש"כ הרמב"ן לעיל מא., ואף לולי הסברא דאין קידושין תופסים בעריות</w:t>
      </w:r>
      <w:r>
        <w:t>].</w:t>
      </w:r>
    </w:p>
  </w:footnote>
  <w:footnote w:id="6348">
    <w:p w14:paraId="3DF25ED7" w14:textId="77777777" w:rsidR="006C4368" w:rsidRDefault="006C4368" w:rsidP="006C4368">
      <w:pPr>
        <w:pStyle w:val="Footnote"/>
        <w:bidi/>
      </w:pPr>
      <w:r>
        <w:rPr>
          <w:rStyle w:val="ac"/>
        </w:rPr>
        <w:footnoteRef/>
      </w:r>
      <w:r>
        <w:rPr>
          <w:rtl/>
        </w:rPr>
        <w:t>וכן כלל דר' מאיר דכל שהוא משום שאר האב יקיים. ו</w:t>
      </w:r>
      <w:r>
        <w:rPr>
          <w:b/>
          <w:bCs/>
          <w:rtl/>
        </w:rPr>
        <w:t>תוס'</w:t>
      </w:r>
      <w:r>
        <w:rPr>
          <w:rtl/>
        </w:rPr>
        <w:t xml:space="preserve"> (ד"ה אשה ובתה) נסתפקו בהנך דע"י קידושין, אשה ובת בנה ואשה ואותה דע"י קידושין. דהוה שאר האב [ע"י אישות], האם לכתחילה אסורה. וה</w:t>
      </w:r>
      <w:r>
        <w:rPr>
          <w:b/>
          <w:bCs/>
          <w:rtl/>
        </w:rPr>
        <w:t>רא"ש</w:t>
      </w:r>
      <w:r>
        <w:rPr>
          <w:rtl/>
        </w:rPr>
        <w:t xml:space="preserve"> וה</w:t>
      </w:r>
      <w:r>
        <w:rPr>
          <w:b/>
          <w:bCs/>
          <w:rtl/>
        </w:rPr>
        <w:t>טור</w:t>
      </w:r>
      <w:r>
        <w:rPr>
          <w:rtl/>
        </w:rPr>
        <w:t xml:space="preserve"> (רסט) התירו. וכ"ד שא"ר</w:t>
      </w:r>
      <w:r>
        <w:t>.</w:t>
      </w:r>
    </w:p>
  </w:footnote>
  <w:footnote w:id="6349">
    <w:p w14:paraId="162D3A92" w14:textId="77777777" w:rsidR="006C4368" w:rsidRDefault="006C4368" w:rsidP="006C4368">
      <w:pPr>
        <w:pStyle w:val="Footnote"/>
        <w:bidi/>
      </w:pPr>
      <w:r>
        <w:rPr>
          <w:rStyle w:val="ac"/>
        </w:rPr>
        <w:footnoteRef/>
      </w:r>
      <w:r>
        <w:rPr>
          <w:rtl/>
        </w:rPr>
        <w:t>מבואר ברמב"ם דהא דאי' דהיה נשוי, איירי אפי' היה נשוי בעודו עכו"ם ואח"כ נתגייר. [ולא אמרי' דעכשיו שנתגייר הוה נישואין מחודשת]. {ובנשוי לאמו ואחותו איירי דנשוי באיסור עריות בני נח. ומשמע דאפ"ה הטעם דיוציא משום גזירת שמא יאמרו, הא לאו הכי נחשב שכבר נשוי ובדיעבד, ועכשיו שנתגייר אי"צ להוציא}</w:t>
      </w:r>
      <w:r>
        <w:t>.</w:t>
      </w:r>
    </w:p>
  </w:footnote>
  <w:footnote w:id="6350">
    <w:p w14:paraId="602CAC0F" w14:textId="77777777" w:rsidR="006C4368" w:rsidRDefault="006C4368" w:rsidP="006C4368">
      <w:pPr>
        <w:pStyle w:val="Footnote"/>
        <w:bidi/>
      </w:pPr>
      <w:r>
        <w:rPr>
          <w:rStyle w:val="ac"/>
        </w:rPr>
        <w:footnoteRef/>
      </w:r>
      <w:r>
        <w:rPr>
          <w:rtl/>
        </w:rPr>
        <w:t>וכ"ה סתימת</w:t>
      </w:r>
      <w:r>
        <w:rPr>
          <w:b/>
          <w:bCs/>
          <w:rtl/>
        </w:rPr>
        <w:t xml:space="preserve"> רש"י</w:t>
      </w:r>
      <w:r>
        <w:rPr>
          <w:rtl/>
        </w:rPr>
        <w:t xml:space="preserve"> (כאן) דנתמעט רק משריפה. וה</w:t>
      </w:r>
      <w:r>
        <w:rPr>
          <w:b/>
          <w:bCs/>
          <w:rtl/>
        </w:rPr>
        <w:t>ריטב"א</w:t>
      </w:r>
      <w:r>
        <w:rPr>
          <w:rtl/>
        </w:rPr>
        <w:t xml:space="preserve"> (לעיל צד:) הביא דכ"ד </w:t>
      </w:r>
      <w:r>
        <w:rPr>
          <w:b/>
          <w:bCs/>
          <w:rtl/>
        </w:rPr>
        <w:t>רש"י</w:t>
      </w:r>
      <w:r>
        <w:rPr>
          <w:rtl/>
        </w:rPr>
        <w:t xml:space="preserve"> [ודלא כרש"י סנהדרין]. אבל ה</w:t>
      </w:r>
      <w:r>
        <w:rPr>
          <w:b/>
          <w:bCs/>
          <w:rtl/>
        </w:rPr>
        <w:t>מאירי</w:t>
      </w:r>
      <w:r>
        <w:rPr>
          <w:rtl/>
        </w:rPr>
        <w:t xml:space="preserve"> (כאן) דייק מדברי רש"י (כאן) דליכא כרת ותפסי קידושין. [וצ"ב מהיכן הדיוק]</w:t>
      </w:r>
      <w:r>
        <w:t>.</w:t>
      </w:r>
    </w:p>
  </w:footnote>
  <w:footnote w:id="6351">
    <w:p w14:paraId="2CD19E0E" w14:textId="77777777" w:rsidR="006C4368" w:rsidRDefault="006C4368" w:rsidP="006C4368">
      <w:pPr>
        <w:pStyle w:val="Footnote"/>
        <w:bidi/>
      </w:pPr>
      <w:r>
        <w:rPr>
          <w:rStyle w:val="ac"/>
        </w:rPr>
        <w:footnoteRef/>
      </w:r>
      <w:r>
        <w:rPr>
          <w:rtl/>
        </w:rPr>
        <w:t xml:space="preserve">ופסקו כר"ע, אבל </w:t>
      </w:r>
      <w:r>
        <w:rPr>
          <w:b/>
          <w:bCs/>
          <w:rtl/>
        </w:rPr>
        <w:t>ר"ח</w:t>
      </w:r>
      <w:r>
        <w:rPr>
          <w:rtl/>
        </w:rPr>
        <w:t xml:space="preserve"> (הו' ברא"ש כאן) פסק כר' ישמעאל</w:t>
      </w:r>
      <w:r>
        <w:t>.</w:t>
      </w:r>
    </w:p>
  </w:footnote>
  <w:footnote w:id="6352">
    <w:p w14:paraId="00A95A6D" w14:textId="77777777" w:rsidR="006C4368" w:rsidRDefault="006C4368" w:rsidP="006C4368">
      <w:pPr>
        <w:pStyle w:val="Footnote"/>
        <w:bidi/>
      </w:pPr>
      <w:r>
        <w:rPr>
          <w:rStyle w:val="ac"/>
        </w:rPr>
        <w:footnoteRef/>
      </w:r>
      <w:r>
        <w:rPr>
          <w:rtl/>
        </w:rPr>
        <w:t>וה</w:t>
      </w:r>
      <w:r>
        <w:rPr>
          <w:b/>
          <w:bCs/>
          <w:rtl/>
        </w:rPr>
        <w:t>מהרש"ל</w:t>
      </w:r>
      <w:r>
        <w:rPr>
          <w:rtl/>
        </w:rPr>
        <w:t xml:space="preserve"> (חכמ"ש צד:) הביא דכ"מ בגמ', וכ"ד הסמ"ג</w:t>
      </w:r>
      <w:r>
        <w:t>.</w:t>
      </w:r>
    </w:p>
  </w:footnote>
  <w:footnote w:id="6353">
    <w:p w14:paraId="7BFECB2E" w14:textId="77777777" w:rsidR="006C4368" w:rsidRDefault="006C4368" w:rsidP="006C4368">
      <w:pPr>
        <w:pStyle w:val="Footnote"/>
        <w:bidi/>
      </w:pPr>
      <w:r>
        <w:rPr>
          <w:rStyle w:val="ac"/>
        </w:rPr>
        <w:footnoteRef/>
      </w:r>
      <w:r>
        <w:rPr>
          <w:rtl/>
        </w:rPr>
        <w:t>וה</w:t>
      </w:r>
      <w:r>
        <w:rPr>
          <w:b/>
          <w:bCs/>
          <w:rtl/>
        </w:rPr>
        <w:t>נוב"י</w:t>
      </w:r>
      <w:r>
        <w:rPr>
          <w:rtl/>
        </w:rPr>
        <w:t xml:space="preserve"> (ת' קמח) כת' דמ"מ הוה ספק ספיקא, דספק אי קי"ל כר' ישמעאל דלא קליש, וספק כרמב"ם דבכרת</w:t>
      </w:r>
      <w:r>
        <w:t>.</w:t>
      </w:r>
    </w:p>
  </w:footnote>
  <w:footnote w:id="6354">
    <w:p w14:paraId="78C59DC4" w14:textId="77777777" w:rsidR="006C4368" w:rsidRDefault="006C4368" w:rsidP="006C4368">
      <w:pPr>
        <w:pStyle w:val="Footnote"/>
        <w:bidi/>
      </w:pPr>
      <w:r>
        <w:rPr>
          <w:rStyle w:val="ac"/>
        </w:rPr>
        <w:footnoteRef/>
      </w:r>
      <w:r>
        <w:rPr>
          <w:rtl/>
        </w:rPr>
        <w:t>וה</w:t>
      </w:r>
      <w:r>
        <w:rPr>
          <w:b/>
          <w:bCs/>
          <w:rtl/>
        </w:rPr>
        <w:t>אחרונים</w:t>
      </w:r>
      <w:r>
        <w:rPr>
          <w:rtl/>
        </w:rPr>
        <w:t xml:space="preserve"> הק' דסתמא דמתני' (לעיל ב.) דחמותו פוטרת, ולא הוזכר דוקא בחיי אשתו. [ויש לדחות]</w:t>
      </w:r>
      <w:r>
        <w:t>.</w:t>
      </w:r>
    </w:p>
    <w:p w14:paraId="50426FE6" w14:textId="77777777" w:rsidR="006C4368" w:rsidRDefault="006C4368" w:rsidP="006C4368">
      <w:pPr>
        <w:pStyle w:val="Footnote"/>
        <w:bidi/>
      </w:pPr>
      <w:r>
        <w:tab/>
      </w:r>
      <w:r>
        <w:rPr>
          <w:rtl/>
        </w:rPr>
        <w:t>וה</w:t>
      </w:r>
      <w:r>
        <w:rPr>
          <w:b/>
          <w:bCs/>
          <w:rtl/>
        </w:rPr>
        <w:t>מהרש"א</w:t>
      </w:r>
      <w:r>
        <w:rPr>
          <w:rtl/>
        </w:rPr>
        <w:t xml:space="preserve"> (לעיל ב:) הביא ד</w:t>
      </w:r>
      <w:r>
        <w:rPr>
          <w:b/>
          <w:bCs/>
          <w:rtl/>
        </w:rPr>
        <w:t>רש"י</w:t>
      </w:r>
      <w:r>
        <w:rPr>
          <w:rtl/>
        </w:rPr>
        <w:t xml:space="preserve"> (ב.) כת' דחמותו דמתני' איירי שנולדה לו מאיש אחר, ואחיו מת בלא בנים. דאי נשא בת אחיו, א"כ יש לו בנים וליכא יבום. והמהרש"א הק' דנימא דמתה אשתו בחיי אחיו. ותי' דלר"ע קליש איסורא, א”כ לא משכח"ל אלא מאיש אחר, וכרש”י. [ובסו"ד הביא דברי התוס' צד: דיש כרת]</w:t>
      </w:r>
      <w:r>
        <w:t>.</w:t>
      </w:r>
    </w:p>
  </w:footnote>
  <w:footnote w:id="6355">
    <w:p w14:paraId="1FCBA299" w14:textId="77777777" w:rsidR="006C4368" w:rsidRDefault="006C4368" w:rsidP="006C4368">
      <w:pPr>
        <w:pStyle w:val="Footnote"/>
        <w:bidi/>
      </w:pPr>
      <w:r>
        <w:rPr>
          <w:rStyle w:val="ac"/>
        </w:rPr>
        <w:footnoteRef/>
      </w:r>
      <w:r>
        <w:rPr>
          <w:rtl/>
        </w:rPr>
        <w:t>והאריך לדון בסוגיות (פרק ראשון) האם עריות פטורות מחליצה, אף באופן שהאיסור נדחה. [ואילו הגמ' מק' דעשה ידחה ל"ת, אלא דדנו משום שיש בו כרת. א”כ הכא ליכא כרת]</w:t>
      </w:r>
      <w:r>
        <w:t>.</w:t>
      </w:r>
    </w:p>
  </w:footnote>
  <w:footnote w:id="6356">
    <w:p w14:paraId="62298B77" w14:textId="77777777" w:rsidR="006C4368" w:rsidRDefault="006C4368" w:rsidP="006C4368">
      <w:pPr>
        <w:pStyle w:val="Footnote"/>
        <w:bidi/>
      </w:pPr>
      <w:r>
        <w:rPr>
          <w:rStyle w:val="ac"/>
        </w:rPr>
        <w:footnoteRef/>
      </w:r>
      <w:r>
        <w:rPr>
          <w:rtl/>
        </w:rPr>
        <w:t>והרמב"ם לשיטתו דאף חמותו קליש איסוריה הוה בכרת, ובזה דמי לבת אשתו. [אך מ"מ אילו רש"י יסבור בזה כרמב"ם א"כ הכא קליש איסורה וקאי בכרת. ולא דמי לחמותו לאחר מיתה]</w:t>
      </w:r>
      <w:r>
        <w:t>.</w:t>
      </w:r>
    </w:p>
  </w:footnote>
  <w:footnote w:id="6357">
    <w:p w14:paraId="6ED843CC" w14:textId="77777777" w:rsidR="006C4368" w:rsidRDefault="006C4368" w:rsidP="006C4368">
      <w:pPr>
        <w:pStyle w:val="Footnote"/>
        <w:bidi/>
      </w:pPr>
      <w:r>
        <w:rPr>
          <w:rStyle w:val="ac"/>
        </w:rPr>
        <w:footnoteRef/>
      </w:r>
      <w:r>
        <w:rPr>
          <w:rtl/>
        </w:rPr>
        <w:t>ו</w:t>
      </w:r>
      <w:r>
        <w:rPr>
          <w:b/>
          <w:bCs/>
          <w:rtl/>
        </w:rPr>
        <w:t>רע"א</w:t>
      </w:r>
      <w:r>
        <w:rPr>
          <w:rtl/>
        </w:rPr>
        <w:t xml:space="preserve"> תמה ד</w:t>
      </w:r>
      <w:r>
        <w:rPr>
          <w:b/>
          <w:bCs/>
          <w:rtl/>
        </w:rPr>
        <w:t>ה"ה</w:t>
      </w:r>
      <w:r>
        <w:rPr>
          <w:rtl/>
        </w:rPr>
        <w:t xml:space="preserve"> לא הביא דעת הרמב"ן שחולק. [אך ה</w:t>
      </w:r>
      <w:r>
        <w:rPr>
          <w:b/>
          <w:bCs/>
          <w:rtl/>
        </w:rPr>
        <w:t>טור</w:t>
      </w:r>
      <w:r>
        <w:rPr>
          <w:rtl/>
        </w:rPr>
        <w:t xml:space="preserve"> (רסט, ו</w:t>
      </w:r>
      <w:r>
        <w:rPr>
          <w:b/>
          <w:bCs/>
          <w:rtl/>
        </w:rPr>
        <w:t>ש"ך</w:t>
      </w:r>
      <w:r>
        <w:rPr>
          <w:rtl/>
        </w:rPr>
        <w:t xml:space="preserve"> שם י) הביא דיש פוסקים כר' ישמעאל, ול"ל היתר זה כלל]</w:t>
      </w:r>
      <w:r>
        <w:t>.</w:t>
      </w:r>
    </w:p>
  </w:footnote>
  <w:footnote w:id="6358">
    <w:p w14:paraId="79ADD4B4" w14:textId="77777777" w:rsidR="006C4368" w:rsidRDefault="006C4368" w:rsidP="006C4368">
      <w:pPr>
        <w:pStyle w:val="Footnote"/>
        <w:bidi/>
      </w:pPr>
      <w:r>
        <w:rPr>
          <w:rStyle w:val="ac"/>
        </w:rPr>
        <w:footnoteRef/>
      </w:r>
      <w:r>
        <w:rPr>
          <w:rtl/>
        </w:rPr>
        <w:t>ה</w:t>
      </w:r>
      <w:r>
        <w:rPr>
          <w:b/>
          <w:bCs/>
          <w:rtl/>
        </w:rPr>
        <w:t>רמב"ן</w:t>
      </w:r>
      <w:r>
        <w:rPr>
          <w:rtl/>
        </w:rPr>
        <w:t xml:space="preserve"> כת' דה"ה אם חמותו וחמיו לאחר מיתה קליש, דכולן בכלל חותנתו. (והביא דכ”מ לעיל צד:)</w:t>
      </w:r>
      <w:r>
        <w:t>.</w:t>
      </w:r>
    </w:p>
  </w:footnote>
  <w:footnote w:id="6359">
    <w:p w14:paraId="1CC5F74D" w14:textId="77777777" w:rsidR="006C4368" w:rsidRDefault="006C4368" w:rsidP="006C4368">
      <w:pPr>
        <w:pStyle w:val="Footnote"/>
        <w:bidi/>
      </w:pPr>
      <w:r>
        <w:rPr>
          <w:rStyle w:val="ac"/>
        </w:rPr>
        <w:footnoteRef/>
      </w:r>
      <w:r>
        <w:rPr>
          <w:rtl/>
        </w:rPr>
        <w:t>אך לדברי הרמב"ם התם איירי כשנשאן בגירות</w:t>
      </w:r>
      <w:r>
        <w:t>.</w:t>
      </w:r>
    </w:p>
  </w:footnote>
  <w:footnote w:id="6360">
    <w:p w14:paraId="71AD0CD4" w14:textId="77777777" w:rsidR="006C4368" w:rsidRDefault="006C4368" w:rsidP="006C4368">
      <w:pPr>
        <w:pStyle w:val="Footnote"/>
        <w:bidi/>
      </w:pPr>
      <w:r>
        <w:rPr>
          <w:rStyle w:val="ac"/>
        </w:rPr>
        <w:footnoteRef/>
      </w:r>
      <w:r>
        <w:rPr>
          <w:rtl/>
        </w:rPr>
        <w:t>ולא עלה על דעת למיקשי ליתני נמי בתה ובת בנה ובת בתה</w:t>
      </w:r>
      <w:r>
        <w:t>.</w:t>
      </w:r>
    </w:p>
  </w:footnote>
  <w:footnote w:id="6361">
    <w:p w14:paraId="16D20247" w14:textId="77777777" w:rsidR="006C4368" w:rsidRDefault="006C4368" w:rsidP="006C4368">
      <w:pPr>
        <w:pStyle w:val="Footnote"/>
        <w:bidi/>
      </w:pPr>
      <w:r>
        <w:rPr>
          <w:rStyle w:val="ac"/>
        </w:rPr>
        <w:footnoteRef/>
      </w:r>
      <w:r>
        <w:rPr>
          <w:rtl/>
        </w:rPr>
        <w:t>ומשמע דהוה ב' קו', דהקו' הא' דהכא עדיף מבעלמא [ואף למ"ד דון מינה ומינה, הכא ילפי' עונש מאזהרה]</w:t>
      </w:r>
      <w:r>
        <w:t>.</w:t>
      </w:r>
    </w:p>
  </w:footnote>
  <w:footnote w:id="6362">
    <w:p w14:paraId="11AE0895" w14:textId="77777777" w:rsidR="006C4368" w:rsidRDefault="006C4368" w:rsidP="006C4368">
      <w:pPr>
        <w:pStyle w:val="Footnote"/>
        <w:bidi/>
      </w:pPr>
      <w:r>
        <w:rPr>
          <w:rStyle w:val="ac"/>
        </w:rPr>
        <w:footnoteRef/>
      </w:r>
      <w:r>
        <w:rPr>
          <w:rtl/>
        </w:rPr>
        <w:t>וה</w:t>
      </w:r>
      <w:r>
        <w:rPr>
          <w:b/>
          <w:bCs/>
          <w:rtl/>
        </w:rPr>
        <w:t>רמב"ן</w:t>
      </w:r>
      <w:r>
        <w:rPr>
          <w:rtl/>
        </w:rPr>
        <w:t xml:space="preserve"> ו</w:t>
      </w:r>
      <w:r>
        <w:rPr>
          <w:b/>
          <w:bCs/>
          <w:rtl/>
        </w:rPr>
        <w:t>רשב"א</w:t>
      </w:r>
      <w:r>
        <w:rPr>
          <w:rtl/>
        </w:rPr>
        <w:t xml:space="preserve"> (וה</w:t>
      </w:r>
      <w:r>
        <w:rPr>
          <w:b/>
          <w:bCs/>
          <w:rtl/>
        </w:rPr>
        <w:t>ריטב"א</w:t>
      </w:r>
      <w:r>
        <w:rPr>
          <w:rtl/>
        </w:rPr>
        <w:t xml:space="preserve"> לעיל צד:) ביארו דבתה ובת בנה באזהרה ובכרת לאחר מיתה הוה כמחיים. ועוד דילפי' 'אזהרה' לחמותו מבתה, ולא למדו כרת לחמות לאחר מיתה מהך היקש {לשיטתו דליכא כרת}. אלא אזהרה שמענו ממנו, וכן כרת מחיים דומיא דעונש דכתיב בדידה, ולאחר מיתה לאיסורא נתרבית מדוכתא אחריתי, מדכתיב ארור שוכב עם חותנתו. [והרמב"ן סיים וצ"ע. וה”ה הביא דברי הרמב"ן והרשב”א, וכת' דאין בדבריהם הכרח, ושהרמב”ן הניח דין זה בצ”ע]</w:t>
      </w:r>
      <w:r>
        <w:t>.</w:t>
      </w:r>
    </w:p>
  </w:footnote>
  <w:footnote w:id="6363">
    <w:p w14:paraId="5C8BE4BD" w14:textId="77777777" w:rsidR="006C4368" w:rsidRDefault="006C4368" w:rsidP="006C4368">
      <w:pPr>
        <w:pStyle w:val="Footnote"/>
        <w:bidi/>
      </w:pPr>
      <w:r>
        <w:rPr>
          <w:rStyle w:val="ac"/>
        </w:rPr>
        <w:footnoteRef/>
      </w:r>
      <w:r>
        <w:rPr>
          <w:rtl/>
        </w:rPr>
        <w:t>וה</w:t>
      </w:r>
      <w:r>
        <w:rPr>
          <w:b/>
          <w:bCs/>
          <w:rtl/>
        </w:rPr>
        <w:t>קר"א</w:t>
      </w:r>
      <w:r>
        <w:rPr>
          <w:rtl/>
        </w:rPr>
        <w:t xml:space="preserve"> הביא דדעת ה</w:t>
      </w:r>
      <w:r>
        <w:rPr>
          <w:b/>
          <w:bCs/>
          <w:rtl/>
        </w:rPr>
        <w:t>רמב"ם</w:t>
      </w:r>
      <w:r>
        <w:rPr>
          <w:rtl/>
        </w:rPr>
        <w:t xml:space="preserve"> בעלמא דדון מינה אוקי באתרא</w:t>
      </w:r>
      <w:r>
        <w:t>.</w:t>
      </w:r>
    </w:p>
  </w:footnote>
  <w:footnote w:id="6364">
    <w:p w14:paraId="7DD311BB" w14:textId="77777777" w:rsidR="006C4368" w:rsidRDefault="006C4368" w:rsidP="006C4368">
      <w:pPr>
        <w:pStyle w:val="Footnote"/>
        <w:bidi/>
      </w:pPr>
      <w:r>
        <w:rPr>
          <w:rStyle w:val="ac"/>
        </w:rPr>
        <w:footnoteRef/>
      </w:r>
      <w:r>
        <w:rPr>
          <w:rtl/>
        </w:rPr>
        <w:t>וצ"ע דבשאר מקומות נימא הכי, ומ"ש דוקא הכא. וע' אבי עזרי (שם)</w:t>
      </w:r>
      <w:r>
        <w:t>.</w:t>
      </w:r>
    </w:p>
  </w:footnote>
  <w:footnote w:id="6365">
    <w:p w14:paraId="255C226E" w14:textId="77777777" w:rsidR="006C4368" w:rsidRDefault="006C4368" w:rsidP="006C4368">
      <w:pPr>
        <w:pStyle w:val="Footnote"/>
        <w:bidi/>
      </w:pPr>
      <w:r>
        <w:rPr>
          <w:rStyle w:val="ac"/>
        </w:rPr>
        <w:footnoteRef/>
      </w:r>
      <w:r>
        <w:rPr>
          <w:rtl/>
        </w:rPr>
        <w:t>ואילו ה</w:t>
      </w:r>
      <w:r>
        <w:rPr>
          <w:b/>
          <w:bCs/>
          <w:rtl/>
        </w:rPr>
        <w:t>יראים</w:t>
      </w:r>
      <w:r>
        <w:rPr>
          <w:rtl/>
        </w:rPr>
        <w:t xml:space="preserve"> מנאם בפנ"ע, בת אשתו (מצווה יב [ובדפו"י ריז]), וחמותו (מצווה טו דפו"י ריח)</w:t>
      </w:r>
      <w:r>
        <w:t>.</w:t>
      </w:r>
    </w:p>
  </w:footnote>
  <w:footnote w:id="6366">
    <w:p w14:paraId="5AA1943A" w14:textId="77777777" w:rsidR="006C4368" w:rsidRDefault="006C4368" w:rsidP="006C4368">
      <w:pPr>
        <w:pStyle w:val="Footnote"/>
        <w:bidi/>
      </w:pPr>
      <w:r>
        <w:rPr>
          <w:rStyle w:val="ac"/>
        </w:rPr>
        <w:footnoteRef/>
      </w:r>
      <w:r>
        <w:rPr>
          <w:rtl/>
        </w:rPr>
        <w:t>ואף דבעונש (ויקרא כ יד) הוזכר בפנ"ע 'ואיש אשר יקח את אשה ואת אמה</w:t>
      </w:r>
      <w:r>
        <w:t>'.</w:t>
      </w:r>
    </w:p>
  </w:footnote>
  <w:footnote w:id="6367">
    <w:p w14:paraId="03C04CBE" w14:textId="77777777" w:rsidR="006C4368" w:rsidRDefault="006C4368" w:rsidP="006C4368">
      <w:pPr>
        <w:pStyle w:val="Footnote"/>
        <w:bidi/>
      </w:pPr>
      <w:r>
        <w:rPr>
          <w:rStyle w:val="ac"/>
        </w:rPr>
        <w:footnoteRef/>
      </w:r>
      <w:r>
        <w:rPr>
          <w:rtl/>
        </w:rPr>
        <w:t>אך לדעת הרמב"ם אף חמותו לאחר מיתה הוה בכרת, ואפ"ה נחשב 'קליש</w:t>
      </w:r>
      <w:r>
        <w:t>'.</w:t>
      </w:r>
    </w:p>
  </w:footnote>
  <w:footnote w:id="6368">
    <w:p w14:paraId="034CB612" w14:textId="77777777" w:rsidR="006C4368" w:rsidRDefault="006C4368" w:rsidP="006C4368">
      <w:pPr>
        <w:pStyle w:val="Footnote"/>
        <w:bidi/>
      </w:pPr>
      <w:r>
        <w:rPr>
          <w:rStyle w:val="ac"/>
        </w:rPr>
        <w:footnoteRef/>
      </w:r>
      <w:r>
        <w:rPr>
          <w:rtl/>
        </w:rPr>
        <w:t>ועפ"ז דחה ראיית הרמב"ן מסוגיין</w:t>
      </w:r>
      <w:r>
        <w:t>.</w:t>
      </w:r>
    </w:p>
  </w:footnote>
  <w:footnote w:id="6369">
    <w:p w14:paraId="30F187FD" w14:textId="77777777" w:rsidR="006C4368" w:rsidRDefault="006C4368" w:rsidP="006C4368">
      <w:pPr>
        <w:pStyle w:val="Footnote"/>
        <w:bidi/>
      </w:pPr>
      <w:r>
        <w:rPr>
          <w:rStyle w:val="ac"/>
        </w:rPr>
        <w:footnoteRef/>
      </w:r>
      <w:r>
        <w:rPr>
          <w:rtl/>
        </w:rPr>
        <w:t>אבל ה</w:t>
      </w:r>
      <w:r>
        <w:rPr>
          <w:b/>
          <w:bCs/>
          <w:rtl/>
        </w:rPr>
        <w:t>יש"ש</w:t>
      </w:r>
      <w:r>
        <w:rPr>
          <w:rtl/>
        </w:rPr>
        <w:t xml:space="preserve"> (ו) דן דצריך גט משום שמא יאמרו, ומ"מ מהני גט. דודאי לא עדיפי מישראל. ואת"ל תצא בלא כלום, א"כ עניה זו לשווא שמרה, ויאמרו שכך עושים לגרים</w:t>
      </w:r>
      <w:r>
        <w:t>.</w:t>
      </w:r>
    </w:p>
  </w:footnote>
  <w:footnote w:id="6370">
    <w:p w14:paraId="3CFAB846" w14:textId="77777777" w:rsidR="006C4368" w:rsidRDefault="006C4368" w:rsidP="006C4368">
      <w:pPr>
        <w:pStyle w:val="Footnote"/>
        <w:bidi/>
      </w:pPr>
      <w:r>
        <w:rPr>
          <w:rStyle w:val="ac"/>
        </w:rPr>
        <w:footnoteRef/>
      </w:r>
      <w:r>
        <w:rPr>
          <w:rtl/>
        </w:rPr>
        <w:t xml:space="preserve">ודעת </w:t>
      </w:r>
      <w:r>
        <w:rPr>
          <w:b/>
          <w:bCs/>
          <w:rtl/>
        </w:rPr>
        <w:t>ר' דוד</w:t>
      </w:r>
      <w:r>
        <w:rPr>
          <w:rtl/>
        </w:rPr>
        <w:t xml:space="preserve"> (הו' בר"ן סנהדרין נח:) דאישות בני נח אין לו היתר לעולם. אבל דעת ה</w:t>
      </w:r>
      <w:r>
        <w:rPr>
          <w:b/>
          <w:bCs/>
          <w:rtl/>
        </w:rPr>
        <w:t>רמב"ם</w:t>
      </w:r>
      <w:r>
        <w:rPr>
          <w:rtl/>
        </w:rPr>
        <w:t xml:space="preserve"> (מלכים ט ח, וכ"ד הר"ן שם) דכיון שפירש ממנה לשם גירושין, או שהיא יצאת מתחת רשותו לשם גירושין הותר האישות. דאין לנכרי גירושין בכתב. [והביאו דלכאו' נח' בזה בירושלמי (קידושין א א ב. בדה"ס)]</w:t>
      </w:r>
      <w:r>
        <w:t>.</w:t>
      </w:r>
    </w:p>
    <w:p w14:paraId="797C2B38" w14:textId="77777777" w:rsidR="006C4368" w:rsidRDefault="006C4368" w:rsidP="006C4368">
      <w:pPr>
        <w:pStyle w:val="Footnote"/>
        <w:bidi/>
      </w:pPr>
      <w:r>
        <w:tab/>
      </w:r>
      <w:r>
        <w:rPr>
          <w:rtl/>
        </w:rPr>
        <w:t>ולכאורה לדעת הרמב"ם כיון דנתגיירה יצאת מתחת רשותו, ובודאי מותרת. וה</w:t>
      </w:r>
      <w:r>
        <w:rPr>
          <w:b/>
          <w:bCs/>
          <w:rtl/>
        </w:rPr>
        <w:t>י"א</w:t>
      </w:r>
      <w:r>
        <w:rPr>
          <w:rtl/>
        </w:rPr>
        <w:t xml:space="preserve"> בריטב"א קאי בדעת ר' דוד. [ומדינא פקע האישות משנתגיירה, אלא דאסור משום שמא יאמרו, כיון דבעודו עכו"ם אין בזה היתר]. ואף הריטב”א פליג מטעם אחר, דכו”ע ידעי</w:t>
      </w:r>
      <w:r>
        <w:t>.</w:t>
      </w:r>
    </w:p>
    <w:p w14:paraId="2B9302B9" w14:textId="77777777" w:rsidR="006C4368" w:rsidRDefault="006C4368" w:rsidP="006C4368">
      <w:pPr>
        <w:pStyle w:val="Footnote"/>
        <w:bidi/>
      </w:pPr>
      <w:r>
        <w:tab/>
      </w:r>
      <w:r>
        <w:rPr>
          <w:rtl/>
        </w:rPr>
        <w:t>א"נ כיון דלא שילחה בעודו נכרי ליכא 'מעשה שילוחין', ומש"ה האישות קיים לולי היהדות, ויש חשש שמא יאמרו</w:t>
      </w:r>
      <w:r>
        <w:t xml:space="preserve">.  </w:t>
      </w:r>
    </w:p>
  </w:footnote>
  <w:footnote w:id="6371">
    <w:p w14:paraId="41DC44F4" w14:textId="77777777" w:rsidR="006C4368" w:rsidRDefault="006C4368" w:rsidP="006C4368">
      <w:pPr>
        <w:pStyle w:val="Footnote"/>
        <w:bidi/>
      </w:pPr>
      <w:r>
        <w:rPr>
          <w:rStyle w:val="ac"/>
        </w:rPr>
        <w:footnoteRef/>
      </w:r>
      <w:r>
        <w:rPr>
          <w:rtl/>
        </w:rPr>
        <w:t>ולכאורה צריך לכתוב לה כתובה וכו', דספק דאין זה יבום. ולא מצאנו דתקנו חכמים שיהא לזה דיני יבום, או שהמיבם יירש את הספק</w:t>
      </w:r>
      <w:r>
        <w:t>.</w:t>
      </w:r>
    </w:p>
  </w:footnote>
  <w:footnote w:id="6372">
    <w:p w14:paraId="3A4E2500" w14:textId="77777777" w:rsidR="006C4368" w:rsidRDefault="006C4368" w:rsidP="006C4368">
      <w:pPr>
        <w:pStyle w:val="Footnote"/>
        <w:bidi/>
      </w:pPr>
      <w:r>
        <w:rPr>
          <w:rStyle w:val="ac"/>
        </w:rPr>
        <w:footnoteRef/>
      </w:r>
      <w:r>
        <w:rPr>
          <w:rtl/>
        </w:rPr>
        <w:t>אלא דבלאו הכי מצוות יבום הוה ע"י מאמר (כדלעיל נב.). אלא דצריך לפרש שיהא מאמר יבמין או קידושין. [וכן יהני קידושי ביאה  ע"ד כן. אך למ"ד דיבום ל"צ עדים נפק"מ דהכא צריך עדי קידושין מחמת הספק]</w:t>
      </w:r>
      <w:r>
        <w:t>.</w:t>
      </w:r>
    </w:p>
  </w:footnote>
  <w:footnote w:id="6373">
    <w:p w14:paraId="62EE3B1A" w14:textId="77777777" w:rsidR="006C4368" w:rsidRDefault="006C4368" w:rsidP="006C4368">
      <w:pPr>
        <w:pStyle w:val="Footnote"/>
        <w:bidi/>
      </w:pPr>
      <w:r>
        <w:rPr>
          <w:rStyle w:val="ac"/>
        </w:rPr>
        <w:footnoteRef/>
      </w:r>
      <w:r>
        <w:rPr>
          <w:rtl/>
        </w:rPr>
        <w:t>ול"ש לומר שמי שקדים ייבם, דהכא צריכים כל שאר היבמין לחלוץ קודם. ואמאי יש להם לחלוץ כדי שיקיים זה מצווה</w:t>
      </w:r>
      <w:r>
        <w:t>.</w:t>
      </w:r>
    </w:p>
  </w:footnote>
  <w:footnote w:id="6374">
    <w:p w14:paraId="685E46EF" w14:textId="77777777" w:rsidR="006C4368" w:rsidRDefault="006C4368" w:rsidP="006C4368">
      <w:pPr>
        <w:pStyle w:val="Footnote"/>
        <w:bidi/>
      </w:pPr>
      <w:r>
        <w:rPr>
          <w:rStyle w:val="ac"/>
        </w:rPr>
        <w:footnoteRef/>
      </w:r>
      <w:r>
        <w:rPr>
          <w:rtl/>
        </w:rPr>
        <w:t>והנהור שרגא העמיד דבריו ע"ד היש"ש (הו' בסמוך), וצ"ב אמאי לא העמיד דבריו אהו"א דהגמ</w:t>
      </w:r>
      <w:r>
        <w:t>'.</w:t>
      </w:r>
    </w:p>
  </w:footnote>
  <w:footnote w:id="6375">
    <w:p w14:paraId="03D42DA6" w14:textId="77777777" w:rsidR="006C4368" w:rsidRDefault="006C4368" w:rsidP="006C4368">
      <w:pPr>
        <w:pStyle w:val="Footnote"/>
        <w:bidi/>
      </w:pPr>
      <w:r>
        <w:rPr>
          <w:rStyle w:val="ac"/>
        </w:rPr>
        <w:footnoteRef/>
      </w:r>
      <w:r>
        <w:rPr>
          <w:rtl/>
        </w:rPr>
        <w:t>וציינו ל</w:t>
      </w:r>
      <w:r>
        <w:rPr>
          <w:b/>
          <w:bCs/>
          <w:rtl/>
        </w:rPr>
        <w:t>שע"ת</w:t>
      </w:r>
      <w:r>
        <w:rPr>
          <w:rtl/>
        </w:rPr>
        <w:t xml:space="preserve"> (או"ח תפב) שדן היכא דיש ב' בני אדם לכל א' חצי זית מצה</w:t>
      </w:r>
      <w:r>
        <w:t>.</w:t>
      </w:r>
    </w:p>
  </w:footnote>
  <w:footnote w:id="6376">
    <w:p w14:paraId="7DE7DF37" w14:textId="77777777" w:rsidR="006C4368" w:rsidRDefault="006C4368" w:rsidP="006C4368">
      <w:pPr>
        <w:pStyle w:val="Footnote"/>
        <w:bidi/>
      </w:pPr>
      <w:r>
        <w:rPr>
          <w:rStyle w:val="ac"/>
        </w:rPr>
        <w:footnoteRef/>
      </w:r>
      <w:r>
        <w:rPr>
          <w:rtl/>
        </w:rPr>
        <w:t>ו</w:t>
      </w:r>
      <w:r>
        <w:rPr>
          <w:b/>
          <w:bCs/>
          <w:rtl/>
        </w:rPr>
        <w:t>ה"ה</w:t>
      </w:r>
      <w:r>
        <w:rPr>
          <w:rtl/>
        </w:rPr>
        <w:t xml:space="preserve"> (יבום ח י, הו' בתוי”ט) ביאר דקאי למ"ד דמצוות יבום עדיף, ומש"ה המשנה פי' את האופן שיקיימו המצווה</w:t>
      </w:r>
      <w:r>
        <w:t>.</w:t>
      </w:r>
    </w:p>
  </w:footnote>
  <w:footnote w:id="6377">
    <w:p w14:paraId="436B3DBC" w14:textId="77777777" w:rsidR="006C4368" w:rsidRDefault="006C4368" w:rsidP="006C4368">
      <w:pPr>
        <w:pStyle w:val="Footnote"/>
        <w:bidi/>
      </w:pPr>
      <w:r>
        <w:rPr>
          <w:rStyle w:val="ac"/>
        </w:rPr>
        <w:footnoteRef/>
      </w:r>
      <w:r>
        <w:rPr>
          <w:rtl/>
        </w:rPr>
        <w:t>ויש שביארו דמסקנת הגמ' דכל א' יש לו זכות לקיים ספק מצווה, ואין לו לוותר. [אך לשון הגמ' ורש"י לא משמע כן]</w:t>
      </w:r>
      <w:r>
        <w:t>.</w:t>
      </w:r>
    </w:p>
  </w:footnote>
  <w:footnote w:id="6378">
    <w:p w14:paraId="042C3FC6" w14:textId="77777777" w:rsidR="006C4368" w:rsidRDefault="006C4368" w:rsidP="006C4368">
      <w:pPr>
        <w:pStyle w:val="Footnote"/>
        <w:bidi/>
      </w:pPr>
      <w:r>
        <w:rPr>
          <w:rStyle w:val="ac"/>
        </w:rPr>
        <w:footnoteRef/>
      </w:r>
      <w:r>
        <w:rPr>
          <w:rtl/>
        </w:rPr>
        <w:t>וב</w:t>
      </w:r>
      <w:r>
        <w:rPr>
          <w:b/>
          <w:bCs/>
          <w:rtl/>
        </w:rPr>
        <w:t>ס' הליכות שלמה</w:t>
      </w:r>
      <w:r>
        <w:rPr>
          <w:rtl/>
        </w:rPr>
        <w:t xml:space="preserve"> (מועדים ר"ה פ"ב הערה יז) הביא מסוגיין לענין תקיעת שופר, האם עדיף שילך לתקוע לחולה א' בודאי, או ספק לה'. [אך יש שחילקו דהתם הוה חיוב גמור, ואינו רשאי לבטל את המצווה לודאי. ואילו בסוגיין חליצה במקום יבום לא הוה ביטול מצווה, והנידון משום מעלת מצוות יבום]</w:t>
      </w:r>
      <w:r>
        <w:t>.</w:t>
      </w:r>
    </w:p>
  </w:footnote>
  <w:footnote w:id="6379">
    <w:p w14:paraId="309746AD" w14:textId="77777777" w:rsidR="006C4368" w:rsidRDefault="006C4368" w:rsidP="006C4368">
      <w:pPr>
        <w:pStyle w:val="Footnote"/>
        <w:bidi/>
      </w:pPr>
      <w:r>
        <w:rPr>
          <w:rStyle w:val="ac"/>
        </w:rPr>
        <w:footnoteRef/>
      </w:r>
      <w:r>
        <w:rPr>
          <w:rtl/>
        </w:rPr>
        <w:t>ו</w:t>
      </w:r>
      <w:r>
        <w:rPr>
          <w:b/>
          <w:bCs/>
          <w:rtl/>
        </w:rPr>
        <w:t>רש"י</w:t>
      </w:r>
      <w:r>
        <w:rPr>
          <w:rtl/>
        </w:rPr>
        <w:t xml:space="preserve"> הביא כן על לאחותו. וה</w:t>
      </w:r>
      <w:r>
        <w:rPr>
          <w:b/>
          <w:bCs/>
          <w:rtl/>
        </w:rPr>
        <w:t>מאירי</w:t>
      </w:r>
      <w:r>
        <w:rPr>
          <w:rtl/>
        </w:rPr>
        <w:t xml:space="preserve"> הביא ש</w:t>
      </w:r>
      <w:r>
        <w:rPr>
          <w:b/>
          <w:bCs/>
          <w:rtl/>
        </w:rPr>
        <w:t>רבים</w:t>
      </w:r>
      <w:r>
        <w:rPr>
          <w:rtl/>
        </w:rPr>
        <w:t xml:space="preserve"> פירשו אף באמו, דחלץ לא' מהם והוה ספק אמו</w:t>
      </w:r>
      <w:r>
        <w:t>.</w:t>
      </w:r>
    </w:p>
  </w:footnote>
  <w:footnote w:id="6380">
    <w:p w14:paraId="367F3A15" w14:textId="77777777" w:rsidR="006C4368" w:rsidRDefault="006C4368" w:rsidP="006C4368">
      <w:pPr>
        <w:pStyle w:val="Footnote"/>
        <w:bidi/>
      </w:pPr>
      <w:r>
        <w:rPr>
          <w:rStyle w:val="ac"/>
        </w:rPr>
        <w:footnoteRef/>
      </w:r>
      <w:r>
        <w:rPr>
          <w:rtl/>
        </w:rPr>
        <w:t>ויל"ד דלאחר חליצה לא ישאנה, דקאי בלא יבנה. ומשמע מדבריו דחיישינן שמא ישא שאר קרובים. וצ"ב דמי שלא ידע מתערובת זו, איך יטעה על שאר קרובים</w:t>
      </w:r>
      <w:r>
        <w:t>.</w:t>
      </w:r>
    </w:p>
  </w:footnote>
  <w:footnote w:id="6381">
    <w:p w14:paraId="49E40C4C" w14:textId="77777777" w:rsidR="006C4368" w:rsidRDefault="006C4368" w:rsidP="006C4368">
      <w:pPr>
        <w:pStyle w:val="Footnote"/>
        <w:bidi/>
      </w:pPr>
      <w:r>
        <w:rPr>
          <w:rStyle w:val="ac"/>
        </w:rPr>
        <w:footnoteRef/>
      </w:r>
      <w:r>
        <w:rPr>
          <w:rtl/>
        </w:rPr>
        <w:t>ועד"ז יל"ד כשנשתחררה האשה חצי, והוליד ממנה בן. ולכאורה הבן הוה חצי עבד. [וע"ע לעיל מה:]</w:t>
      </w:r>
      <w:r>
        <w:t>.</w:t>
      </w:r>
    </w:p>
  </w:footnote>
  <w:footnote w:id="6382">
    <w:p w14:paraId="4CB8A330" w14:textId="77777777" w:rsidR="006C4368" w:rsidRDefault="006C4368" w:rsidP="006C4368">
      <w:pPr>
        <w:pStyle w:val="Footnote"/>
        <w:bidi/>
      </w:pPr>
      <w:r>
        <w:rPr>
          <w:rStyle w:val="ac"/>
        </w:rPr>
        <w:footnoteRef/>
      </w:r>
      <w:r>
        <w:rPr>
          <w:rtl/>
        </w:rPr>
        <w:t>וה</w:t>
      </w:r>
      <w:r>
        <w:rPr>
          <w:b/>
          <w:bCs/>
          <w:rtl/>
        </w:rPr>
        <w:t>ערול"נ</w:t>
      </w:r>
      <w:r>
        <w:rPr>
          <w:rtl/>
        </w:rPr>
        <w:t xml:space="preserve"> הק' דהבן נתגייר ואח"כ מכר עצמו. וכצד בראשונים דמשוחרר יכול למכור עצמו בעבד עברי [ודלא כגמ' ב"מ עא.]. אך הו"ל להק' כשנולד בן נוסף לאחר שנשתחררו, והוא מכר עצמו</w:t>
      </w:r>
      <w:r>
        <w:t>.</w:t>
      </w:r>
    </w:p>
  </w:footnote>
  <w:footnote w:id="6383">
    <w:p w14:paraId="625951A3" w14:textId="77777777" w:rsidR="006C4368" w:rsidRDefault="006C4368" w:rsidP="006C4368">
      <w:pPr>
        <w:pStyle w:val="Footnote"/>
        <w:bidi/>
      </w:pPr>
      <w:r>
        <w:rPr>
          <w:rStyle w:val="ac"/>
        </w:rPr>
        <w:footnoteRef/>
      </w:r>
      <w:r>
        <w:rPr>
          <w:rtl/>
        </w:rPr>
        <w:t>וה</w:t>
      </w:r>
      <w:r>
        <w:rPr>
          <w:b/>
          <w:bCs/>
          <w:rtl/>
        </w:rPr>
        <w:t>ערול"נ</w:t>
      </w:r>
      <w:r>
        <w:rPr>
          <w:rtl/>
        </w:rPr>
        <w:t xml:space="preserve"> הביא (דמבואר בסמוך) דהך ברייתא כר' מאיר. ור' מאיר ס"ל (קידושין סט: ועג) דקהל גרים לא איקרי קהל</w:t>
      </w:r>
      <w:r>
        <w:t>.</w:t>
      </w:r>
    </w:p>
  </w:footnote>
  <w:footnote w:id="6384">
    <w:p w14:paraId="179DB4F5" w14:textId="77777777" w:rsidR="006C4368" w:rsidRDefault="006C4368" w:rsidP="006C4368">
      <w:pPr>
        <w:pStyle w:val="Footnote"/>
        <w:bidi/>
      </w:pPr>
      <w:r>
        <w:rPr>
          <w:rStyle w:val="ac"/>
        </w:rPr>
        <w:footnoteRef/>
      </w:r>
      <w:r>
        <w:rPr>
          <w:rtl/>
        </w:rPr>
        <w:t>והוכיח כן מקו' הגמ' (לעיל סב.) מבני ציבא, ודלמא היו בניו קודם שנמכר לעבד. אע"כ דגם בזה אין לו ייחוס</w:t>
      </w:r>
      <w:r>
        <w:t>.</w:t>
      </w:r>
    </w:p>
  </w:footnote>
  <w:footnote w:id="6385">
    <w:p w14:paraId="1833CD35" w14:textId="77777777" w:rsidR="006C4368" w:rsidRDefault="006C4368" w:rsidP="006C4368">
      <w:pPr>
        <w:pStyle w:val="Footnote"/>
        <w:bidi/>
      </w:pPr>
      <w:r>
        <w:rPr>
          <w:rStyle w:val="ac"/>
        </w:rPr>
        <w:footnoteRef/>
      </w:r>
      <w:r>
        <w:rPr>
          <w:rtl/>
        </w:rPr>
        <w:t xml:space="preserve">וז"ל </w:t>
      </w:r>
      <w:r>
        <w:rPr>
          <w:b/>
          <w:bCs/>
          <w:rtl/>
        </w:rPr>
        <w:t>רשב"ם</w:t>
      </w:r>
      <w:r>
        <w:rPr>
          <w:rtl/>
        </w:rPr>
        <w:t xml:space="preserve"> דנהי דאתקש לקרקעות וכו' ה"מ לדברים הכתובים בתורה, כגון לקנותן בכסף בשטר ובחזקה ושלא לישבע עליהן ושאין בהן אונאה. אבל לענין בע"ח כמטלטלי דמי, דאין בע"ח סומך אלא על קרקעות שאין יכולין ליאבד ולא לזוז ממקומן. אבל אעבדים לא סמכא דעתיה הלכך לא משתעבדי ליה</w:t>
      </w:r>
      <w:r>
        <w:t>.</w:t>
      </w:r>
    </w:p>
  </w:footnote>
  <w:footnote w:id="6386">
    <w:p w14:paraId="1654388F" w14:textId="77777777" w:rsidR="006C4368" w:rsidRDefault="006C4368" w:rsidP="006C4368">
      <w:pPr>
        <w:pStyle w:val="Footnote"/>
        <w:bidi/>
      </w:pPr>
      <w:r>
        <w:rPr>
          <w:rStyle w:val="ac"/>
        </w:rPr>
        <w:footnoteRef/>
      </w:r>
      <w:r>
        <w:rPr>
          <w:rtl/>
        </w:rPr>
        <w:t>ו</w:t>
      </w:r>
      <w:r>
        <w:rPr>
          <w:b/>
          <w:bCs/>
          <w:rtl/>
        </w:rPr>
        <w:t>תוס'</w:t>
      </w:r>
      <w:r>
        <w:rPr>
          <w:rtl/>
        </w:rPr>
        <w:t xml:space="preserve"> (כתובות י.) פי' דהוה מקולי כתובה, דחשו שלא יפרשו מהן בני אדם אם יגבו ממטלטלים, וחשו כדי שיקפצו עליהן בני אדם. וה</w:t>
      </w:r>
      <w:r>
        <w:rPr>
          <w:b/>
          <w:bCs/>
          <w:rtl/>
        </w:rPr>
        <w:t>ר"ן</w:t>
      </w:r>
      <w:r>
        <w:rPr>
          <w:rtl/>
        </w:rPr>
        <w:t xml:space="preserve"> (נדרים סה:, והרשב”א קידושין סה:) כת' דטעם משום דאין זמן כתובה ידוע, וגובה אחר ימים רבים, ומש"ה לא סמכא דעתה אלא מקרקע דקבוע</w:t>
      </w:r>
      <w:r>
        <w:t>.</w:t>
      </w:r>
    </w:p>
    <w:p w14:paraId="380A724F" w14:textId="77777777" w:rsidR="006C4368" w:rsidRDefault="006C4368" w:rsidP="006C4368">
      <w:pPr>
        <w:pStyle w:val="Footnote"/>
        <w:bidi/>
      </w:pPr>
      <w:r>
        <w:tab/>
      </w:r>
      <w:r>
        <w:rPr>
          <w:rtl/>
        </w:rPr>
        <w:t>וה</w:t>
      </w:r>
      <w:r>
        <w:rPr>
          <w:b/>
          <w:bCs/>
          <w:rtl/>
        </w:rPr>
        <w:t>בית מאיר</w:t>
      </w:r>
      <w:r>
        <w:rPr>
          <w:rtl/>
        </w:rPr>
        <w:t xml:space="preserve"> (ר"ס ק) כתב דאף דאי' דבי"ד לא גובים ממטלטלין לכתובה, מ"מ הבעל מחוייב לפרוע אף מטלטלין. ומשמתינן עד שיפרע. [דיש עליו חיוב, אף דהנכסים אינו משועבדים]</w:t>
      </w:r>
      <w:r>
        <w:t>.</w:t>
      </w:r>
    </w:p>
  </w:footnote>
  <w:footnote w:id="6387">
    <w:p w14:paraId="03D0088F" w14:textId="77777777" w:rsidR="006C4368" w:rsidRDefault="006C4368" w:rsidP="006C4368">
      <w:pPr>
        <w:pStyle w:val="Footnote"/>
        <w:bidi/>
      </w:pPr>
      <w:r>
        <w:rPr>
          <w:rStyle w:val="ac"/>
        </w:rPr>
        <w:footnoteRef/>
      </w:r>
      <w:r>
        <w:rPr>
          <w:rtl/>
        </w:rPr>
        <w:t>וה</w:t>
      </w:r>
      <w:r>
        <w:rPr>
          <w:b/>
          <w:bCs/>
          <w:rtl/>
        </w:rPr>
        <w:t>אחרונים</w:t>
      </w:r>
      <w:r>
        <w:rPr>
          <w:rtl/>
        </w:rPr>
        <w:t xml:space="preserve"> (בי"מ ק) ציינו דכ"ד </w:t>
      </w:r>
      <w:r>
        <w:rPr>
          <w:b/>
          <w:bCs/>
          <w:rtl/>
        </w:rPr>
        <w:t>רש"י</w:t>
      </w:r>
      <w:r>
        <w:rPr>
          <w:rtl/>
        </w:rPr>
        <w:t xml:space="preserve"> (כתובות סז.)</w:t>
      </w:r>
      <w:r>
        <w:t>.</w:t>
      </w:r>
    </w:p>
  </w:footnote>
  <w:footnote w:id="6388">
    <w:p w14:paraId="5EE510D7" w14:textId="77777777" w:rsidR="006C4368" w:rsidRDefault="006C4368" w:rsidP="006C4368">
      <w:pPr>
        <w:pStyle w:val="Footnote"/>
        <w:bidi/>
      </w:pPr>
      <w:r>
        <w:rPr>
          <w:rStyle w:val="ac"/>
        </w:rPr>
        <w:footnoteRef/>
      </w:r>
      <w:r>
        <w:rPr>
          <w:rtl/>
        </w:rPr>
        <w:t>וע"ד הא דלר' טרפון (כתובות פד.) דבע"ח וכתובה גובין ממטלטלין ביד נפקד או ברה"ר. [כיון דלא הגיע לרשות יתומים]. וה</w:t>
      </w:r>
      <w:r>
        <w:rPr>
          <w:b/>
          <w:bCs/>
          <w:rtl/>
        </w:rPr>
        <w:t>חזו"א</w:t>
      </w:r>
      <w:r>
        <w:rPr>
          <w:rtl/>
        </w:rPr>
        <w:t xml:space="preserve"> (קכה יג) ביאר דיבם שונה משאר יורשים, ואינו זוכה בכלל במה שמשועבד לחובות</w:t>
      </w:r>
      <w:r>
        <w:t>.</w:t>
      </w:r>
    </w:p>
  </w:footnote>
  <w:footnote w:id="6389">
    <w:p w14:paraId="14C3FF78" w14:textId="77777777" w:rsidR="006C4368" w:rsidRDefault="006C4368" w:rsidP="006C4368">
      <w:pPr>
        <w:pStyle w:val="Footnote"/>
        <w:bidi/>
      </w:pPr>
      <w:r>
        <w:rPr>
          <w:rStyle w:val="ac"/>
        </w:rPr>
        <w:footnoteRef/>
      </w:r>
      <w:r>
        <w:rPr>
          <w:rtl/>
        </w:rPr>
        <w:t>וכ"מ ב</w:t>
      </w:r>
      <w:r>
        <w:rPr>
          <w:b/>
          <w:bCs/>
          <w:rtl/>
        </w:rPr>
        <w:t>תוס'</w:t>
      </w:r>
      <w:r>
        <w:rPr>
          <w:rtl/>
        </w:rPr>
        <w:t xml:space="preserve"> (בכורות נא:) שכת' דיבם במקום בעל קאי, וחשיב בהכי כמו מיניה כיון דאגידה ביה מחמת נשואי</w:t>
      </w:r>
      <w:r>
        <w:t>.</w:t>
      </w:r>
    </w:p>
  </w:footnote>
  <w:footnote w:id="6390">
    <w:p w14:paraId="3E2C5FA2" w14:textId="77777777" w:rsidR="006C4368" w:rsidRDefault="006C4368" w:rsidP="006C4368">
      <w:pPr>
        <w:pStyle w:val="Footnote"/>
        <w:bidi/>
      </w:pPr>
      <w:r>
        <w:rPr>
          <w:rStyle w:val="ac"/>
        </w:rPr>
        <w:footnoteRef/>
      </w:r>
      <w:r>
        <w:rPr>
          <w:rtl/>
        </w:rPr>
        <w:t>וה</w:t>
      </w:r>
      <w:r>
        <w:rPr>
          <w:b/>
          <w:bCs/>
          <w:rtl/>
        </w:rPr>
        <w:t>ריטב"א</w:t>
      </w:r>
      <w:r>
        <w:rPr>
          <w:rtl/>
        </w:rPr>
        <w:t xml:space="preserve"> כת' דאין לומר דעשאו אפותיקי, דהיכא דעשה מטלטלין אפותיקי לכתובה אף רבנן מודו דגבי ממנו (וכדאי' כתובות נה.)</w:t>
      </w:r>
      <w:r>
        <w:t>.</w:t>
      </w:r>
    </w:p>
  </w:footnote>
  <w:footnote w:id="6391">
    <w:p w14:paraId="475D96CE" w14:textId="77777777" w:rsidR="006C4368" w:rsidRDefault="006C4368" w:rsidP="006C4368">
      <w:pPr>
        <w:pStyle w:val="Footnote"/>
        <w:bidi/>
      </w:pPr>
      <w:r>
        <w:rPr>
          <w:rStyle w:val="ac"/>
        </w:rPr>
        <w:footnoteRef/>
      </w:r>
      <w:r>
        <w:rPr>
          <w:rtl/>
        </w:rPr>
        <w:t xml:space="preserve">וכ"ד </w:t>
      </w:r>
      <w:r>
        <w:rPr>
          <w:b/>
          <w:bCs/>
          <w:rtl/>
        </w:rPr>
        <w:t>שו"ת הרשב"א</w:t>
      </w:r>
      <w:r>
        <w:rPr>
          <w:rtl/>
        </w:rPr>
        <w:t xml:space="preserve"> (א תריח, הו' בסמ"ע קיז יב, ובמשנ”ל מלוה יח ה), אך </w:t>
      </w:r>
      <w:r>
        <w:rPr>
          <w:b/>
          <w:bCs/>
          <w:rtl/>
        </w:rPr>
        <w:t>תוס'</w:t>
      </w:r>
      <w:r>
        <w:rPr>
          <w:rtl/>
        </w:rPr>
        <w:t xml:space="preserve"> (כתובות מט: וב"ק קט:) נקטו דעשה שורו אפותיקי ונתנו, אינו מפקיע מידי שעבוד. ודעת </w:t>
      </w:r>
      <w:r>
        <w:rPr>
          <w:b/>
          <w:bCs/>
          <w:rtl/>
        </w:rPr>
        <w:t>תוס'</w:t>
      </w:r>
      <w:r>
        <w:rPr>
          <w:rtl/>
        </w:rPr>
        <w:t xml:space="preserve"> (ב"ק יא:) דאינו גובה אפי' מיורשים</w:t>
      </w:r>
      <w:r>
        <w:t>.</w:t>
      </w:r>
    </w:p>
  </w:footnote>
  <w:footnote w:id="6392">
    <w:p w14:paraId="6C6F2537" w14:textId="77777777" w:rsidR="006C4368" w:rsidRDefault="006C4368" w:rsidP="006C4368">
      <w:pPr>
        <w:pStyle w:val="Footnote"/>
        <w:bidi/>
      </w:pPr>
      <w:r>
        <w:rPr>
          <w:rStyle w:val="ac"/>
        </w:rPr>
        <w:footnoteRef/>
      </w:r>
      <w:r>
        <w:rPr>
          <w:rtl/>
        </w:rPr>
        <w:t>אך ה</w:t>
      </w:r>
      <w:r>
        <w:rPr>
          <w:b/>
          <w:bCs/>
          <w:rtl/>
        </w:rPr>
        <w:t>רי"ף</w:t>
      </w:r>
      <w:r>
        <w:rPr>
          <w:rtl/>
        </w:rPr>
        <w:t xml:space="preserve"> (שם ס: בדה"ס, והרמב”ם אישות יט יג) כת' דהטעם משום דמתנת שכ"מ קנה לאחר מיתה, וחיוב מזונות האלמנה קדם. וע' רמב"ן שם. [ואכמ"ל]</w:t>
      </w:r>
      <w:r>
        <w:t>.</w:t>
      </w:r>
    </w:p>
  </w:footnote>
  <w:footnote w:id="6393">
    <w:p w14:paraId="7EF39AA6" w14:textId="77777777" w:rsidR="006C4368" w:rsidRDefault="006C4368" w:rsidP="006C4368">
      <w:pPr>
        <w:pStyle w:val="Footnote"/>
        <w:bidi/>
      </w:pPr>
      <w:r>
        <w:rPr>
          <w:rStyle w:val="ac"/>
        </w:rPr>
        <w:footnoteRef/>
      </w:r>
      <w:r>
        <w:rPr>
          <w:rtl/>
        </w:rPr>
        <w:t>וה</w:t>
      </w:r>
      <w:r>
        <w:rPr>
          <w:b/>
          <w:bCs/>
          <w:rtl/>
        </w:rPr>
        <w:t>אחרונים</w:t>
      </w:r>
      <w:r>
        <w:rPr>
          <w:rtl/>
        </w:rPr>
        <w:t xml:space="preserve"> דנו האם כוונת הגמ' דהוה מעוכב גט שחרור מחמת שאינו רשאי להשתעבד בו מספק. או משום דכופין [משום מצוות פריה ורביה, וכדאי' לקמן ק.]. [ונפק"מ בבת כהן שנתערבה]</w:t>
      </w:r>
      <w:r>
        <w:t>.</w:t>
      </w:r>
    </w:p>
  </w:footnote>
  <w:footnote w:id="6394">
    <w:p w14:paraId="6280D341" w14:textId="77777777" w:rsidR="006C4368" w:rsidRDefault="006C4368" w:rsidP="006C4368">
      <w:pPr>
        <w:pStyle w:val="Footnote"/>
        <w:bidi/>
      </w:pPr>
      <w:r>
        <w:rPr>
          <w:rStyle w:val="ac"/>
        </w:rPr>
        <w:footnoteRef/>
      </w:r>
      <w:r>
        <w:rPr>
          <w:rtl/>
        </w:rPr>
        <w:t>ומבואר דכוונת הגמ' דשמא יבא אליהו ויתברר הדבר, ולא יכופו לשחרר. [אך פעמים דהגמ' נוקטת לשון זה דמבורר ועומד כלפי אליהו, ולא תלי בבירור בפועל]</w:t>
      </w:r>
      <w:r>
        <w:t>.</w:t>
      </w:r>
    </w:p>
  </w:footnote>
  <w:footnote w:id="6395">
    <w:p w14:paraId="033555AF" w14:textId="77777777" w:rsidR="006C4368" w:rsidRDefault="006C4368" w:rsidP="006C4368">
      <w:pPr>
        <w:pStyle w:val="Footnote"/>
        <w:bidi/>
      </w:pPr>
      <w:r>
        <w:rPr>
          <w:rStyle w:val="ac"/>
        </w:rPr>
        <w:footnoteRef/>
      </w:r>
      <w:r>
        <w:rPr>
          <w:rtl/>
        </w:rPr>
        <w:t>ולכאורה דאף לאחר שגדלו, ועומד לכופו לשחרר. מ"מ אמרי' שמא יבא אליהו, ולבסוף לא יכופו לשחררו</w:t>
      </w:r>
      <w:r>
        <w:t>.</w:t>
      </w:r>
    </w:p>
  </w:footnote>
  <w:footnote w:id="6396">
    <w:p w14:paraId="3024D1B9" w14:textId="77777777" w:rsidR="006C4368" w:rsidRDefault="006C4368" w:rsidP="006C4368">
      <w:pPr>
        <w:pStyle w:val="Footnote"/>
        <w:bidi/>
      </w:pPr>
      <w:r>
        <w:rPr>
          <w:rStyle w:val="ac"/>
        </w:rPr>
        <w:footnoteRef/>
      </w:r>
      <w:r>
        <w:rPr>
          <w:rtl/>
        </w:rPr>
        <w:t>וה</w:t>
      </w:r>
      <w:r>
        <w:rPr>
          <w:b/>
          <w:bCs/>
          <w:rtl/>
        </w:rPr>
        <w:t>חזו"א</w:t>
      </w:r>
      <w:r>
        <w:rPr>
          <w:rtl/>
        </w:rPr>
        <w:t xml:space="preserve"> (הו' בקה"י ב"מ יא ו) תי' דאף שהמוחזק נחשב ודאי בעלים [דזוכה ע"פ דיני המשפט], מ"מ גם אידך נחשב ספק בעלים מחמת ספק בעלים האמיתי. דלא פקע זכותו, כיון דאם יבא אליהו יתברר שהוא שלו</w:t>
      </w:r>
      <w:r>
        <w:t>.</w:t>
      </w:r>
    </w:p>
  </w:footnote>
  <w:footnote w:id="6397">
    <w:p w14:paraId="0F8E7410" w14:textId="77777777" w:rsidR="006C4368" w:rsidRDefault="006C4368" w:rsidP="006C4368">
      <w:pPr>
        <w:pStyle w:val="Footnote"/>
        <w:bidi/>
      </w:pPr>
      <w:r>
        <w:rPr>
          <w:rStyle w:val="ac"/>
        </w:rPr>
        <w:footnoteRef/>
      </w:r>
      <w:r>
        <w:rPr>
          <w:rtl/>
        </w:rPr>
        <w:t>וכן אם עבר הספק ונשא אשה כשירה מטמא לה ממ"נ. [ואף דאסור בה מחמת הספק, מ"מ על הצד שהוא כהן אשתו כשירה לו]. וכן אם נשא אשה בין כשירה ובין פסולה [כגון ממזרת ונתינה, אבל לא שפחה], והוליד בנים מטמא להם</w:t>
      </w:r>
      <w:r>
        <w:t>.</w:t>
      </w:r>
    </w:p>
  </w:footnote>
  <w:footnote w:id="6398">
    <w:p w14:paraId="670749B9" w14:textId="77777777" w:rsidR="006C4368" w:rsidRDefault="006C4368" w:rsidP="006C4368">
      <w:pPr>
        <w:pStyle w:val="Footnote"/>
        <w:bidi/>
      </w:pPr>
      <w:r>
        <w:rPr>
          <w:rStyle w:val="ac"/>
        </w:rPr>
        <w:footnoteRef/>
      </w:r>
      <w:r>
        <w:rPr>
          <w:rtl/>
        </w:rPr>
        <w:t>דאי יש אחים הוה שותפין, וצריך שכולם ישחררו</w:t>
      </w:r>
      <w:r>
        <w:t>.</w:t>
      </w:r>
    </w:p>
  </w:footnote>
  <w:footnote w:id="6399">
    <w:p w14:paraId="1DA43C17" w14:textId="77777777" w:rsidR="006C4368" w:rsidRDefault="006C4368" w:rsidP="006C4368">
      <w:pPr>
        <w:pStyle w:val="Footnote"/>
        <w:bidi/>
      </w:pPr>
      <w:r>
        <w:rPr>
          <w:rStyle w:val="ac"/>
        </w:rPr>
        <w:footnoteRef/>
      </w:r>
      <w:r>
        <w:rPr>
          <w:rtl/>
        </w:rPr>
        <w:t>וה</w:t>
      </w:r>
      <w:r>
        <w:rPr>
          <w:b/>
          <w:bCs/>
          <w:rtl/>
        </w:rPr>
        <w:t>רש"ש</w:t>
      </w:r>
      <w:r>
        <w:rPr>
          <w:rtl/>
        </w:rPr>
        <w:t xml:space="preserve"> חלק דדוקא כשיגיעו לבני כ' כופין לישא אשה, ומשחררין זה את זה [אבל בינתיים אי"צ לשחרר, שיאכלו בתרומה]. ויתבאר בסמוך</w:t>
      </w:r>
      <w:r>
        <w:t>.</w:t>
      </w:r>
    </w:p>
  </w:footnote>
  <w:footnote w:id="6400">
    <w:p w14:paraId="40A1F7D3" w14:textId="77777777" w:rsidR="006C4368" w:rsidRDefault="006C4368" w:rsidP="006C4368">
      <w:pPr>
        <w:pStyle w:val="Footnote"/>
        <w:bidi/>
      </w:pPr>
      <w:r>
        <w:rPr>
          <w:rStyle w:val="ac"/>
        </w:rPr>
        <w:footnoteRef/>
      </w:r>
      <w:r>
        <w:rPr>
          <w:rtl/>
        </w:rPr>
        <w:t>ו</w:t>
      </w:r>
      <w:r>
        <w:rPr>
          <w:b/>
          <w:bCs/>
          <w:rtl/>
        </w:rPr>
        <w:t>תוס</w:t>
      </w:r>
      <w:r>
        <w:rPr>
          <w:rtl/>
        </w:rPr>
        <w:t>' (כתובות ל:) הוסיפו שהכפרה תלויה בהפרשה, והא דאיתא דהכהן אינו יכול למחול, היינו לענין שלא יהיה צריך להפריש. אבל לאחר שהפריש מהני מחילה שיהא שלו. וה</w:t>
      </w:r>
      <w:r>
        <w:rPr>
          <w:b/>
          <w:bCs/>
          <w:rtl/>
        </w:rPr>
        <w:t>אחרונים</w:t>
      </w:r>
      <w:r>
        <w:rPr>
          <w:rtl/>
        </w:rPr>
        <w:t xml:space="preserve"> (רש"ש כתובות) הביאו דבפשוטו נח' בזה רבי וראב"ש ב</w:t>
      </w:r>
      <w:r>
        <w:rPr>
          <w:b/>
          <w:bCs/>
          <w:rtl/>
        </w:rPr>
        <w:t>תו"כ</w:t>
      </w:r>
      <w:r>
        <w:rPr>
          <w:rtl/>
        </w:rPr>
        <w:t xml:space="preserve"> ו</w:t>
      </w:r>
      <w:r>
        <w:rPr>
          <w:b/>
          <w:bCs/>
          <w:rtl/>
        </w:rPr>
        <w:t>ירושלמי</w:t>
      </w:r>
      <w:r>
        <w:rPr>
          <w:rtl/>
        </w:rPr>
        <w:t xml:space="preserve"> (תרומות ו א, בר"ש שם) אי הפרשה מקדשת או נתינה. ועוד דנו ה</w:t>
      </w:r>
      <w:r>
        <w:rPr>
          <w:b/>
          <w:bCs/>
          <w:rtl/>
        </w:rPr>
        <w:t>אחרונים</w:t>
      </w:r>
      <w:r>
        <w:rPr>
          <w:rtl/>
        </w:rPr>
        <w:t xml:space="preserve"> דבמקום דליכא דין נתינה, לכו"ע סגי בהפרשה לחוד. [ואכמ"ל]</w:t>
      </w:r>
      <w:r>
        <w:t>.</w:t>
      </w:r>
    </w:p>
  </w:footnote>
  <w:footnote w:id="6401">
    <w:p w14:paraId="20AD3FB5" w14:textId="77777777" w:rsidR="006C4368" w:rsidRDefault="006C4368" w:rsidP="006C4368">
      <w:pPr>
        <w:pStyle w:val="Footnote"/>
        <w:bidi/>
      </w:pPr>
      <w:r>
        <w:rPr>
          <w:rStyle w:val="ac"/>
        </w:rPr>
        <w:footnoteRef/>
      </w:r>
      <w:r>
        <w:rPr>
          <w:rtl/>
        </w:rPr>
        <w:t>וה</w:t>
      </w:r>
      <w:r>
        <w:rPr>
          <w:b/>
          <w:bCs/>
          <w:rtl/>
        </w:rPr>
        <w:t>ר"ש</w:t>
      </w:r>
      <w:r>
        <w:rPr>
          <w:rtl/>
        </w:rPr>
        <w:t xml:space="preserve"> (שם ו א) ביאר דהא דל"מ מחילה משום גזיה"כ דישלם דבר הראוי להיות קודש</w:t>
      </w:r>
      <w:r>
        <w:t>.</w:t>
      </w:r>
    </w:p>
  </w:footnote>
  <w:footnote w:id="6402">
    <w:p w14:paraId="3171C55E" w14:textId="77777777" w:rsidR="006C4368" w:rsidRDefault="006C4368" w:rsidP="006C4368">
      <w:pPr>
        <w:pStyle w:val="Footnote"/>
        <w:bidi/>
      </w:pPr>
      <w:r>
        <w:rPr>
          <w:rStyle w:val="ac"/>
        </w:rPr>
        <w:footnoteRef/>
      </w:r>
      <w:r>
        <w:rPr>
          <w:rtl/>
        </w:rPr>
        <w:t>ואילו לדעת תוס' החיוב תשלום לשבט הכהונה נחשב גדר כפרה</w:t>
      </w:r>
      <w:r>
        <w:t>.</w:t>
      </w:r>
    </w:p>
  </w:footnote>
  <w:footnote w:id="6403">
    <w:p w14:paraId="74AD6CFB" w14:textId="77777777" w:rsidR="006C4368" w:rsidRDefault="006C4368" w:rsidP="006C4368">
      <w:pPr>
        <w:pStyle w:val="Footnote"/>
        <w:bidi/>
      </w:pPr>
      <w:r>
        <w:rPr>
          <w:rStyle w:val="ac"/>
        </w:rPr>
        <w:footnoteRef/>
      </w:r>
      <w:r>
        <w:rPr>
          <w:rtl/>
        </w:rPr>
        <w:t>וכת' דנראה דבין ספק כהן או ספק תרומה צריכים להפריש הקרן והחומש מחולין מתוקנים משום כפרה</w:t>
      </w:r>
      <w:r>
        <w:t>.</w:t>
      </w:r>
    </w:p>
  </w:footnote>
  <w:footnote w:id="6404">
    <w:p w14:paraId="3C3ABE1D" w14:textId="77777777" w:rsidR="006C4368" w:rsidRDefault="006C4368" w:rsidP="006C4368">
      <w:pPr>
        <w:pStyle w:val="Footnote"/>
        <w:bidi/>
      </w:pPr>
      <w:r>
        <w:rPr>
          <w:rStyle w:val="ac"/>
        </w:rPr>
        <w:footnoteRef/>
      </w:r>
      <w:r>
        <w:rPr>
          <w:rtl/>
        </w:rPr>
        <w:t>וה</w:t>
      </w:r>
      <w:r>
        <w:rPr>
          <w:b/>
          <w:bCs/>
          <w:rtl/>
        </w:rPr>
        <w:t>מהרי"ט אלגאזי</w:t>
      </w:r>
      <w:r>
        <w:rPr>
          <w:rtl/>
        </w:rPr>
        <w:t xml:space="preserve"> (חלה יא ב כט: בדה"ר) כת' די"ל דהרמב"ם לשיטתו דהספיקות מדבריהם, והכא לא תקנו תשלומי תרומה מספק במילתא דלא שכיחא כזה</w:t>
      </w:r>
      <w:r>
        <w:t>.</w:t>
      </w:r>
    </w:p>
    <w:p w14:paraId="349C2BCA" w14:textId="77777777" w:rsidR="006C4368" w:rsidRDefault="006C4368" w:rsidP="006C4368">
      <w:pPr>
        <w:pStyle w:val="Footnote"/>
        <w:bidi/>
      </w:pPr>
      <w:r>
        <w:tab/>
      </w:r>
      <w:r>
        <w:rPr>
          <w:rtl/>
        </w:rPr>
        <w:t>והמהריט"א כת' דבסוגיין ליכא חזקה איזה כהן ואיזה עבד. אך הביאו דב</w:t>
      </w:r>
      <w:r>
        <w:rPr>
          <w:b/>
          <w:bCs/>
          <w:rtl/>
        </w:rPr>
        <w:t>שו"ת ר' אליעזר גורדון</w:t>
      </w:r>
      <w:r>
        <w:rPr>
          <w:rtl/>
        </w:rPr>
        <w:t xml:space="preserve"> (טו טו) נקט דה"נ יש חזקה שאוכל בתרומה, דקודם שנשתחרר היה אוכל בתרומה ממ"נ. [ואכמ"ל]. אמנם במשנה (ק:) ג"כ הוזכר דין זה בכל תערובת, והתם ליכא חזקה</w:t>
      </w:r>
      <w:r>
        <w:t>.</w:t>
      </w:r>
    </w:p>
  </w:footnote>
  <w:footnote w:id="6405">
    <w:p w14:paraId="6648A246" w14:textId="77777777" w:rsidR="006C4368" w:rsidRDefault="006C4368" w:rsidP="006C4368">
      <w:pPr>
        <w:pStyle w:val="Footnote"/>
        <w:bidi/>
      </w:pPr>
      <w:r>
        <w:rPr>
          <w:rStyle w:val="ac"/>
        </w:rPr>
        <w:footnoteRef/>
      </w:r>
      <w:r>
        <w:rPr>
          <w:rtl/>
        </w:rPr>
        <w:t>ועוד יש שדנו דאף בגדרי 'כפרה' ל"מ חיוב על הספק, מלבד אשם תלוי. דכל זמן שלא נודע חטאתו [בתורת ודאי] ליכא חיוב להתכפר. [ויש לדחות דבחטאת הוה משום חולין בעזרה, או משום גזיה"כ דבעינן 'ידיעה'. אך מ"מ י"ל דל"מ חיובי כפרה בספק חטא]</w:t>
      </w:r>
      <w:r>
        <w:t>.</w:t>
      </w:r>
    </w:p>
  </w:footnote>
  <w:footnote w:id="6406">
    <w:p w14:paraId="0B86329F" w14:textId="77777777" w:rsidR="006C4368" w:rsidRDefault="006C4368" w:rsidP="006C4368">
      <w:pPr>
        <w:pStyle w:val="Footnote"/>
        <w:bidi/>
      </w:pPr>
      <w:r>
        <w:rPr>
          <w:rStyle w:val="ac"/>
        </w:rPr>
        <w:footnoteRef/>
      </w:r>
      <w:r>
        <w:rPr>
          <w:rtl/>
        </w:rPr>
        <w:t>שעשה עיסה ונתגייר, וספק גלגל קודם הגירות. וחייב להפריש חלה מספק</w:t>
      </w:r>
      <w:r>
        <w:t>.</w:t>
      </w:r>
    </w:p>
  </w:footnote>
  <w:footnote w:id="6407">
    <w:p w14:paraId="3650B369" w14:textId="77777777" w:rsidR="006C4368" w:rsidRDefault="006C4368" w:rsidP="006C4368">
      <w:pPr>
        <w:pStyle w:val="Footnote"/>
        <w:bidi/>
      </w:pPr>
      <w:r>
        <w:rPr>
          <w:rStyle w:val="ac"/>
        </w:rPr>
        <w:footnoteRef/>
      </w:r>
      <w:r>
        <w:rPr>
          <w:rtl/>
        </w:rPr>
        <w:t>וה</w:t>
      </w:r>
      <w:r>
        <w:rPr>
          <w:b/>
          <w:bCs/>
          <w:rtl/>
        </w:rPr>
        <w:t>רש"ש</w:t>
      </w:r>
      <w:r>
        <w:rPr>
          <w:rtl/>
        </w:rPr>
        <w:t xml:space="preserve"> (חלה) כת' דהתם איירי כשאדם אחר אכלו [כלשון המשנה ואין חייבין, ולא ואינו חייב]. וחייב קרן שגזל משל חבירו, בין אם הוא של כהן או של בעלים [הגר]. [וי"ל דזה כוונת הריבמ"צ חלה שם. אבל הרא"ש כת' דמוכרו לכהן. משום דתשלומי כפרה]</w:t>
      </w:r>
      <w:r>
        <w:t>.</w:t>
      </w:r>
    </w:p>
  </w:footnote>
  <w:footnote w:id="6408">
    <w:p w14:paraId="50FF9F15" w14:textId="77777777" w:rsidR="006C4368" w:rsidRDefault="006C4368" w:rsidP="006C4368">
      <w:pPr>
        <w:pStyle w:val="Footnote"/>
        <w:bidi/>
      </w:pPr>
      <w:r>
        <w:rPr>
          <w:rStyle w:val="ac"/>
        </w:rPr>
        <w:footnoteRef/>
      </w:r>
      <w:r>
        <w:rPr>
          <w:rtl/>
        </w:rPr>
        <w:t>ואילו פשטות במשנה (כאן) דאינן משלמים קרן וחומש. [ואף קרן אי"צ לשלם]. אלא דיש לדחות דהתם אכלו אדם אחר, וחייב קרן בגדרי הממון</w:t>
      </w:r>
      <w:r>
        <w:t>.</w:t>
      </w:r>
    </w:p>
  </w:footnote>
  <w:footnote w:id="6409">
    <w:p w14:paraId="7986BD98" w14:textId="77777777" w:rsidR="006C4368" w:rsidRDefault="006C4368" w:rsidP="006C4368">
      <w:pPr>
        <w:pStyle w:val="Footnote"/>
        <w:bidi/>
      </w:pPr>
      <w:r>
        <w:rPr>
          <w:rStyle w:val="ac"/>
        </w:rPr>
        <w:footnoteRef/>
      </w:r>
      <w:r>
        <w:rPr>
          <w:rtl/>
        </w:rPr>
        <w:t>ומ"מ ק"ק שינוי הלשון דבמשנה דידן אין משלמין קרן וחומש פי' שמפרישים. והתם אין משלם חומש [אבל קרן משלם] היינו שמפריש הקרן ומוכרו לכהן. וחומש פטור לגמרי</w:t>
      </w:r>
      <w:r>
        <w:t>.</w:t>
      </w:r>
    </w:p>
  </w:footnote>
  <w:footnote w:id="6410">
    <w:p w14:paraId="41246FAC" w14:textId="77777777" w:rsidR="006C4368" w:rsidRDefault="006C4368" w:rsidP="006C4368">
      <w:pPr>
        <w:pStyle w:val="Footnote"/>
        <w:bidi/>
      </w:pPr>
      <w:r>
        <w:rPr>
          <w:rStyle w:val="ac"/>
        </w:rPr>
        <w:footnoteRef/>
      </w:r>
      <w:r>
        <w:rPr>
          <w:rtl/>
        </w:rPr>
        <w:t>אך דוחק לפרש דאין משלמין קרן וחומש פי' דמשלמין קרן ולא חומש, דהלשון משמע דאינו משלם כלל</w:t>
      </w:r>
      <w:r>
        <w:t>.</w:t>
      </w:r>
    </w:p>
  </w:footnote>
  <w:footnote w:id="6411">
    <w:p w14:paraId="2DDCF247" w14:textId="77777777" w:rsidR="006C4368" w:rsidRDefault="006C4368" w:rsidP="006C4368">
      <w:pPr>
        <w:pStyle w:val="Footnote"/>
        <w:bidi/>
      </w:pPr>
      <w:r>
        <w:rPr>
          <w:rStyle w:val="ac"/>
        </w:rPr>
        <w:footnoteRef/>
      </w:r>
      <w:r>
        <w:rPr>
          <w:rtl/>
        </w:rPr>
        <w:t>ולא ס"ל דצריך לשלם כפרה מספק</w:t>
      </w:r>
      <w:r>
        <w:t>.</w:t>
      </w:r>
    </w:p>
  </w:footnote>
  <w:footnote w:id="6412">
    <w:p w14:paraId="10474AA3" w14:textId="77777777" w:rsidR="006C4368" w:rsidRDefault="006C4368" w:rsidP="006C4368">
      <w:pPr>
        <w:pStyle w:val="Footnote"/>
        <w:bidi/>
      </w:pPr>
      <w:r>
        <w:rPr>
          <w:rStyle w:val="ac"/>
        </w:rPr>
        <w:footnoteRef/>
      </w:r>
      <w:r>
        <w:rPr>
          <w:rtl/>
        </w:rPr>
        <w:t>וע"כ כוונתו משום גדרי תשלומי תרומה, ולא מגדרי תשלומי נזיקין. דהא קי"ל (חולין קל:) דהמזיק או אכל מתנת כהונה [קודם נתינה] פטור בדיני הממון</w:t>
      </w:r>
      <w:r>
        <w:t>.</w:t>
      </w:r>
    </w:p>
  </w:footnote>
  <w:footnote w:id="6413">
    <w:p w14:paraId="1A071593" w14:textId="77777777" w:rsidR="006C4368" w:rsidRDefault="006C4368" w:rsidP="006C4368">
      <w:pPr>
        <w:pStyle w:val="Footnote"/>
        <w:bidi/>
      </w:pPr>
      <w:r>
        <w:rPr>
          <w:rStyle w:val="ac"/>
        </w:rPr>
        <w:footnoteRef/>
      </w:r>
      <w:r>
        <w:rPr>
          <w:rtl/>
        </w:rPr>
        <w:t>דאף החומש אינו יכול למחול. [אך יש לחלק דגדר הכפרה בחיוב תשלומי קרן הוא מעין תשלום לשבט הכהונה, להשלים התרומה שהשתמש שלא כדין. ואילו גדר כפרה דחומש הוה מחמת החטא. ואפשר דמש”ה ספק להקל]</w:t>
      </w:r>
      <w:r>
        <w:t>.</w:t>
      </w:r>
    </w:p>
  </w:footnote>
  <w:footnote w:id="6414">
    <w:p w14:paraId="1CD37163" w14:textId="77777777" w:rsidR="006C4368" w:rsidRDefault="006C4368" w:rsidP="006C4368">
      <w:pPr>
        <w:pStyle w:val="Footnote"/>
        <w:bidi/>
      </w:pPr>
      <w:r>
        <w:rPr>
          <w:rStyle w:val="ac"/>
        </w:rPr>
        <w:footnoteRef/>
      </w:r>
      <w:r>
        <w:rPr>
          <w:rtl/>
        </w:rPr>
        <w:t xml:space="preserve">ויש שהביאו דהיכא דהוה ספק על גוף התרומה, מש"ה התרומה קיל, ואין לו דין חומש [דדין החומש הוה מחמת קדושת התרומה]. אבל בסוגיין דאיירי בתרומה גמור [אלא דהספק בגברא] מש"ה חייב אף את החומש משום כפרה. [וע' </w:t>
      </w:r>
      <w:r>
        <w:rPr>
          <w:b/>
          <w:bCs/>
          <w:rtl/>
        </w:rPr>
        <w:t>דרך אמונה</w:t>
      </w:r>
      <w:r>
        <w:rPr>
          <w:rtl/>
        </w:rPr>
        <w:t xml:space="preserve"> (ביאוה"ה י יד)]</w:t>
      </w:r>
      <w:r>
        <w:t>.</w:t>
      </w:r>
    </w:p>
    <w:p w14:paraId="76B1934A" w14:textId="77777777" w:rsidR="006C4368" w:rsidRDefault="006C4368" w:rsidP="006C4368">
      <w:pPr>
        <w:pStyle w:val="Footnote"/>
        <w:bidi/>
      </w:pPr>
      <w:r>
        <w:tab/>
      </w:r>
      <w:r>
        <w:rPr>
          <w:rtl/>
        </w:rPr>
        <w:t>וה</w:t>
      </w:r>
      <w:r>
        <w:rPr>
          <w:b/>
          <w:bCs/>
          <w:rtl/>
        </w:rPr>
        <w:t>מהרי"ט אלגאזי</w:t>
      </w:r>
      <w:r>
        <w:rPr>
          <w:rtl/>
        </w:rPr>
        <w:t xml:space="preserve"> תי' דהתם [בחלה] איירי שיש חזקת פטור, ומש"ה מדאורייתא לא הוה חלה כלל, ומש"ה לא חייבו חומש. [עי"ש שהאריך בזה]. אך שוב הק' בהמשך דבריו מ"ש קרן לחומש, וכת' דאפשר דאף קרן אי"צ לשלם משום תשלומי תרומה [אלא מדיני גזל]. ודלא כרא"ש, וצ”ע לרא”ש</w:t>
      </w:r>
      <w:r>
        <w:t>.</w:t>
      </w:r>
    </w:p>
  </w:footnote>
  <w:footnote w:id="6415">
    <w:p w14:paraId="156C8428" w14:textId="77777777" w:rsidR="006C4368" w:rsidRDefault="006C4368" w:rsidP="006C4368">
      <w:pPr>
        <w:pStyle w:val="Footnote"/>
        <w:bidi/>
      </w:pPr>
      <w:r>
        <w:rPr>
          <w:rStyle w:val="ac"/>
        </w:rPr>
        <w:footnoteRef/>
      </w:r>
      <w:r>
        <w:rPr>
          <w:rtl/>
        </w:rPr>
        <w:t>וה"נ מחמת הספק זכה בתרומה זו</w:t>
      </w:r>
      <w:r>
        <w:t>.</w:t>
      </w:r>
    </w:p>
  </w:footnote>
  <w:footnote w:id="6416">
    <w:p w14:paraId="7F16B92F" w14:textId="77777777" w:rsidR="006C4368" w:rsidRDefault="006C4368" w:rsidP="006C4368">
      <w:pPr>
        <w:pStyle w:val="Footnote"/>
        <w:bidi/>
      </w:pPr>
      <w:r>
        <w:rPr>
          <w:rStyle w:val="ac"/>
        </w:rPr>
        <w:footnoteRef/>
      </w:r>
      <w:r>
        <w:rPr>
          <w:rtl/>
        </w:rPr>
        <w:t>מבואר מדבריו דהיכא דמעכב לעצמו מתנות כהונה הוה 'גזל' [אף דהוה ממון שאין לו תובעים]. ולא רק ביטול מצוות נתינה</w:t>
      </w:r>
      <w:r>
        <w:t>.</w:t>
      </w:r>
    </w:p>
  </w:footnote>
  <w:footnote w:id="6417">
    <w:p w14:paraId="25CB4B4B" w14:textId="77777777" w:rsidR="006C4368" w:rsidRDefault="006C4368" w:rsidP="006C4368">
      <w:pPr>
        <w:pStyle w:val="Footnote"/>
        <w:bidi/>
      </w:pPr>
      <w:r>
        <w:rPr>
          <w:rStyle w:val="ac"/>
        </w:rPr>
        <w:footnoteRef/>
      </w:r>
      <w:r>
        <w:rPr>
          <w:rtl/>
        </w:rPr>
        <w:t>וה</w:t>
      </w:r>
      <w:r>
        <w:rPr>
          <w:b/>
          <w:bCs/>
          <w:rtl/>
        </w:rPr>
        <w:t>אחרונים</w:t>
      </w:r>
      <w:r>
        <w:rPr>
          <w:rtl/>
        </w:rPr>
        <w:t xml:space="preserve"> ביארו דאף מצוות נתינה תלי בגדרי הממון, וקי"ל דהמוציא מחבירו עליו הראיה [וע”ע שער”י ה א]. אך בתי' הריטב”א משמע דהוה גדר מיעוט, נתינה ודאי ולא ספק נתינה. וע"ד סברת התומים (קיצור ת”כ כג, הו' בקוה"ס א ו) דהתורה לא אסרה אלא ודאי גזל</w:t>
      </w:r>
      <w:r>
        <w:t>.</w:t>
      </w:r>
    </w:p>
  </w:footnote>
  <w:footnote w:id="6418">
    <w:p w14:paraId="0314429C" w14:textId="77777777" w:rsidR="006C4368" w:rsidRDefault="006C4368" w:rsidP="006C4368">
      <w:pPr>
        <w:pStyle w:val="Footnote"/>
        <w:bidi/>
      </w:pPr>
      <w:r>
        <w:rPr>
          <w:rStyle w:val="ac"/>
        </w:rPr>
        <w:footnoteRef/>
      </w:r>
      <w:r>
        <w:rPr>
          <w:rtl/>
        </w:rPr>
        <w:t xml:space="preserve">אמנם </w:t>
      </w:r>
      <w:r>
        <w:rPr>
          <w:b/>
          <w:bCs/>
          <w:rtl/>
        </w:rPr>
        <w:t>תוס'</w:t>
      </w:r>
      <w:r>
        <w:rPr>
          <w:rtl/>
        </w:rPr>
        <w:t xml:space="preserve"> (ב"ב פא: ד"ה אלא מעשר) בחד תי' משמע דספק מצוות נתינה לחומרא, מלבד דמאי דהוה ספק דרבנן. וה</w:t>
      </w:r>
      <w:r>
        <w:rPr>
          <w:b/>
          <w:bCs/>
          <w:rtl/>
        </w:rPr>
        <w:t>שעה"מ</w:t>
      </w:r>
      <w:r>
        <w:rPr>
          <w:rtl/>
        </w:rPr>
        <w:t xml:space="preserve"> (מעשר ט) הק' ממשנתינו, וכן מכ”מ</w:t>
      </w:r>
      <w:r>
        <w:t>.</w:t>
      </w:r>
    </w:p>
  </w:footnote>
  <w:footnote w:id="6419">
    <w:p w14:paraId="3B4BFD4A" w14:textId="77777777" w:rsidR="006C4368" w:rsidRDefault="006C4368" w:rsidP="006C4368">
      <w:pPr>
        <w:pStyle w:val="Footnote"/>
        <w:bidi/>
      </w:pPr>
      <w:r>
        <w:rPr>
          <w:rStyle w:val="ac"/>
        </w:rPr>
        <w:footnoteRef/>
      </w:r>
      <w:r>
        <w:rPr>
          <w:rtl/>
        </w:rPr>
        <w:t>וכ"ה ב</w:t>
      </w:r>
      <w:r>
        <w:rPr>
          <w:b/>
          <w:bCs/>
          <w:rtl/>
        </w:rPr>
        <w:t>בה"ג</w:t>
      </w:r>
      <w:r>
        <w:rPr>
          <w:rtl/>
        </w:rPr>
        <w:t xml:space="preserve"> (חלה עמ' קיא) דאין מוכרין את התרומה, ואם מכרו הדמים שלהם. וכן ה</w:t>
      </w:r>
      <w:r>
        <w:rPr>
          <w:b/>
          <w:bCs/>
          <w:rtl/>
        </w:rPr>
        <w:t>מאירי</w:t>
      </w:r>
      <w:r>
        <w:rPr>
          <w:rtl/>
        </w:rPr>
        <w:t xml:space="preserve"> הביא </w:t>
      </w:r>
      <w:r>
        <w:rPr>
          <w:b/>
          <w:bCs/>
          <w:rtl/>
        </w:rPr>
        <w:t>י"ג</w:t>
      </w:r>
      <w:r>
        <w:rPr>
          <w:rtl/>
        </w:rPr>
        <w:t xml:space="preserve"> ואין מוכרין את התרומה, כלומר שצריכים הם ליתנה לכהן מספק. ואם מכרו הדמים שלהם שאין מוציאין ממון מספק</w:t>
      </w:r>
      <w:r>
        <w:t>.</w:t>
      </w:r>
    </w:p>
  </w:footnote>
  <w:footnote w:id="6420">
    <w:p w14:paraId="6D40D693" w14:textId="77777777" w:rsidR="006C4368" w:rsidRDefault="006C4368" w:rsidP="006C4368">
      <w:pPr>
        <w:pStyle w:val="Footnote"/>
        <w:bidi/>
      </w:pPr>
      <w:r>
        <w:rPr>
          <w:rStyle w:val="ac"/>
        </w:rPr>
        <w:footnoteRef/>
      </w:r>
      <w:r>
        <w:rPr>
          <w:rtl/>
        </w:rPr>
        <w:t>אך ה</w:t>
      </w:r>
      <w:r>
        <w:rPr>
          <w:b/>
          <w:bCs/>
          <w:rtl/>
        </w:rPr>
        <w:t>מהרי"ט אלגאזי</w:t>
      </w:r>
      <w:r>
        <w:rPr>
          <w:rtl/>
        </w:rPr>
        <w:t xml:space="preserve"> (בכורות ג מ אות ג יז: בדה"ס) תמה מ"ש, ובודאי הך גירסא אינה חולקת על הכלל דאף בספק מצוות נתינה הממע"ה. אלא דמטעם אחר אסור למכור משום חשש תקלה. דאסור לסחור בדברים אסורים, ולא נחשב כמו נזדמן [עי"ש]</w:t>
      </w:r>
      <w:r>
        <w:t>.</w:t>
      </w:r>
    </w:p>
  </w:footnote>
  <w:footnote w:id="6421">
    <w:p w14:paraId="6B74BC50" w14:textId="77777777" w:rsidR="006C4368" w:rsidRDefault="006C4368" w:rsidP="006C4368">
      <w:pPr>
        <w:pStyle w:val="Footnote"/>
        <w:bidi/>
      </w:pPr>
      <w:r>
        <w:rPr>
          <w:rStyle w:val="ac"/>
        </w:rPr>
        <w:footnoteRef/>
      </w:r>
      <w:r>
        <w:rPr>
          <w:rtl/>
        </w:rPr>
        <w:t>וה</w:t>
      </w:r>
      <w:r>
        <w:rPr>
          <w:b/>
          <w:bCs/>
          <w:rtl/>
        </w:rPr>
        <w:t>אפיק"י</w:t>
      </w:r>
      <w:r>
        <w:rPr>
          <w:rtl/>
        </w:rPr>
        <w:t xml:space="preserve"> (ב יב) פי' דברי ה</w:t>
      </w:r>
      <w:r>
        <w:rPr>
          <w:b/>
          <w:bCs/>
          <w:rtl/>
        </w:rPr>
        <w:t>ריטב"א</w:t>
      </w:r>
      <w:r>
        <w:rPr>
          <w:rtl/>
        </w:rPr>
        <w:t xml:space="preserve"> ע"פ הצד דאף כהנים ולויים מצווין במצוות נתינת תרומות ומעשרות, אלא דנותנים לעצמם [עי"ש שהאריך בחקירה זו]. וא"כ יש כאן חזקת חיוב, וספק האם נתקיים הנתינה לעצמו. ול"ד לשאר ספיקות דיש ספק בעצם החיוב</w:t>
      </w:r>
      <w:r>
        <w:t>.</w:t>
      </w:r>
    </w:p>
  </w:footnote>
  <w:footnote w:id="6422">
    <w:p w14:paraId="78692D17" w14:textId="77777777" w:rsidR="006C4368" w:rsidRDefault="006C4368" w:rsidP="006C4368">
      <w:pPr>
        <w:pStyle w:val="Footnote"/>
        <w:bidi/>
      </w:pPr>
      <w:r>
        <w:rPr>
          <w:rStyle w:val="ac"/>
        </w:rPr>
        <w:footnoteRef/>
      </w:r>
      <w:r>
        <w:rPr>
          <w:rtl/>
        </w:rPr>
        <w:t>דהא דאין חולקים להם הוה משום תקלה [וכמ"ש תוד"ה ואינן חולקין]</w:t>
      </w:r>
      <w:r>
        <w:t>.</w:t>
      </w:r>
    </w:p>
  </w:footnote>
  <w:footnote w:id="6423">
    <w:p w14:paraId="75F3B813" w14:textId="77777777" w:rsidR="006C4368" w:rsidRDefault="006C4368" w:rsidP="006C4368">
      <w:pPr>
        <w:pStyle w:val="Footnote"/>
        <w:bidi/>
      </w:pPr>
      <w:r>
        <w:rPr>
          <w:rStyle w:val="ac"/>
        </w:rPr>
        <w:footnoteRef/>
      </w:r>
      <w:r>
        <w:rPr>
          <w:rtl/>
        </w:rPr>
        <w:t>ו</w:t>
      </w:r>
      <w:r>
        <w:rPr>
          <w:b/>
          <w:bCs/>
          <w:rtl/>
        </w:rPr>
        <w:t>רש"י</w:t>
      </w:r>
      <w:r>
        <w:rPr>
          <w:rtl/>
        </w:rPr>
        <w:t xml:space="preserve"> הביא ב' אופנים, דאנשי משמר יקריבו או ששלוחו יקריב, ולכאורה תלוי בדעתו, דרשאי לשלוח שליח אם רוצה לזכות אף במעשה העבודה ע"י שלוחו, או ימסור לבי"ד שאנשי משמר יקריבו, ואף כה”ג הבשר והעור שלו. כיון דמסרו ע”ד כן</w:t>
      </w:r>
      <w:r>
        <w:t>.</w:t>
      </w:r>
    </w:p>
  </w:footnote>
  <w:footnote w:id="6424">
    <w:p w14:paraId="21E9A053" w14:textId="77777777" w:rsidR="006C4368" w:rsidRDefault="006C4368" w:rsidP="006C4368">
      <w:pPr>
        <w:pStyle w:val="Footnote"/>
        <w:bidi/>
      </w:pPr>
      <w:r>
        <w:rPr>
          <w:rStyle w:val="ac"/>
        </w:rPr>
        <w:footnoteRef/>
      </w:r>
      <w:r>
        <w:rPr>
          <w:rtl/>
        </w:rPr>
        <w:t>ו</w:t>
      </w:r>
      <w:r>
        <w:rPr>
          <w:b/>
          <w:bCs/>
          <w:rtl/>
        </w:rPr>
        <w:t xml:space="preserve">רש"י </w:t>
      </w:r>
      <w:r>
        <w:rPr>
          <w:rtl/>
        </w:rPr>
        <w:t>סיים או ישהו את קרבנם עד שיתרצו לתת לאנשי משמר. ולכאורה כוונתו שאנשי משמר אינם מתרצים להקריב בתנאי זה [שהבשר ועור שלו], ורשאין להשהות ולא להקריב את הקרבן, עד שימצא כהן שיתרצה לעשות שליחות זה. או את שיתרצו הוא ליתן לאנשי משמר בלא תנאי</w:t>
      </w:r>
      <w:r>
        <w:t>.</w:t>
      </w:r>
    </w:p>
    <w:p w14:paraId="1AB84787" w14:textId="77777777" w:rsidR="006C4368" w:rsidRDefault="006C4368" w:rsidP="006C4368">
      <w:pPr>
        <w:pStyle w:val="Footnote"/>
        <w:bidi/>
      </w:pPr>
      <w:r>
        <w:tab/>
      </w:r>
      <w:r>
        <w:rPr>
          <w:rtl/>
        </w:rPr>
        <w:t xml:space="preserve">אך יש </w:t>
      </w:r>
      <w:r>
        <w:rPr>
          <w:b/>
          <w:bCs/>
          <w:rtl/>
        </w:rPr>
        <w:t>אחרונים</w:t>
      </w:r>
      <w:r>
        <w:rPr>
          <w:rtl/>
        </w:rPr>
        <w:t xml:space="preserve"> (רש"ש, ערול"נ) שנקטו דכוונת רש"י דבעל הקרבן ישהה, ודנו דאף ישראל יוכל להשהות. [עי"ש]</w:t>
      </w:r>
      <w:r>
        <w:t>.</w:t>
      </w:r>
    </w:p>
  </w:footnote>
  <w:footnote w:id="6425">
    <w:p w14:paraId="2A9CC270" w14:textId="77777777" w:rsidR="006C4368" w:rsidRDefault="006C4368" w:rsidP="006C4368">
      <w:pPr>
        <w:pStyle w:val="Footnote"/>
        <w:bidi/>
      </w:pPr>
      <w:r>
        <w:rPr>
          <w:rStyle w:val="ac"/>
        </w:rPr>
        <w:footnoteRef/>
      </w:r>
      <w:r>
        <w:rPr>
          <w:rtl/>
        </w:rPr>
        <w:t>וה</w:t>
      </w:r>
      <w:r>
        <w:rPr>
          <w:b/>
          <w:bCs/>
          <w:rtl/>
        </w:rPr>
        <w:t>אחרונים</w:t>
      </w:r>
      <w:r>
        <w:rPr>
          <w:rtl/>
        </w:rPr>
        <w:t xml:space="preserve"> הביאו דהוה ספק ב</w:t>
      </w:r>
      <w:r>
        <w:rPr>
          <w:b/>
          <w:bCs/>
          <w:rtl/>
        </w:rPr>
        <w:t>ירושלמי</w:t>
      </w:r>
      <w:r>
        <w:rPr>
          <w:rtl/>
        </w:rPr>
        <w:t xml:space="preserve"> (כאן) וז"ל אילין בני התערובות מה את עבד להון כזקן וכחולה או כטמא ובעל מום. מסתברא מיעבדינון כטמא ובעל מום. ומתניתא עבדא לון כזקן וכחולה, דתנינן אין מוציאין את שלו מידו</w:t>
      </w:r>
      <w:r>
        <w:t>.</w:t>
      </w:r>
    </w:p>
  </w:footnote>
  <w:footnote w:id="6426">
    <w:p w14:paraId="5ADC0599" w14:textId="77777777" w:rsidR="006C4368" w:rsidRDefault="006C4368" w:rsidP="006C4368">
      <w:pPr>
        <w:pStyle w:val="Footnote"/>
        <w:bidi/>
      </w:pPr>
      <w:r>
        <w:rPr>
          <w:rStyle w:val="ac"/>
        </w:rPr>
        <w:footnoteRef/>
      </w:r>
      <w:r>
        <w:rPr>
          <w:rtl/>
        </w:rPr>
        <w:t>וה</w:t>
      </w:r>
      <w:r>
        <w:rPr>
          <w:b/>
          <w:bCs/>
          <w:rtl/>
        </w:rPr>
        <w:t>תוס' הרא"ש</w:t>
      </w:r>
      <w:r>
        <w:rPr>
          <w:rtl/>
        </w:rPr>
        <w:t xml:space="preserve"> (לעיל לה:) כתב דאליהו לאו דוקא, אלא אפשר להתברר ע"י עדים שיודעים איזה קידש. [ולכאורה אף היכא דלא ידוע לנו שיש עדים, מ"מ יתכן שיבואו]</w:t>
      </w:r>
      <w:r>
        <w:t>.</w:t>
      </w:r>
    </w:p>
  </w:footnote>
  <w:footnote w:id="6427">
    <w:p w14:paraId="45CFA04A" w14:textId="77777777" w:rsidR="006C4368" w:rsidRDefault="006C4368" w:rsidP="006C4368">
      <w:pPr>
        <w:pStyle w:val="Footnote"/>
        <w:bidi/>
      </w:pPr>
      <w:r>
        <w:rPr>
          <w:rStyle w:val="ac"/>
        </w:rPr>
        <w:footnoteRef/>
      </w:r>
      <w:r>
        <w:rPr>
          <w:rtl/>
        </w:rPr>
        <w:t>וה</w:t>
      </w:r>
      <w:r>
        <w:rPr>
          <w:b/>
          <w:bCs/>
          <w:rtl/>
        </w:rPr>
        <w:t>אחרונים</w:t>
      </w:r>
      <w:r>
        <w:rPr>
          <w:rtl/>
        </w:rPr>
        <w:t xml:space="preserve"> הק' דבגמ' (ב"ב פא:) מבואר דמה שאינו ראוי לקריאה מחמת ספק נחשב אינו ראוי לקריאה [וכר' זירא דכיון דקריאה מעכבת היכא דאינו ראוי], ולא אמרי' אם יבא אליהו. [וע' מה שהו' לעיל מא:]</w:t>
      </w:r>
      <w:r>
        <w:t>.</w:t>
      </w:r>
    </w:p>
  </w:footnote>
  <w:footnote w:id="6428">
    <w:p w14:paraId="49450B54" w14:textId="77777777" w:rsidR="006C4368" w:rsidRDefault="006C4368" w:rsidP="006C4368">
      <w:pPr>
        <w:pStyle w:val="Footnote"/>
        <w:bidi/>
      </w:pPr>
      <w:r>
        <w:rPr>
          <w:rStyle w:val="ac"/>
        </w:rPr>
        <w:footnoteRef/>
      </w:r>
      <w:r>
        <w:rPr>
          <w:rtl/>
        </w:rPr>
        <w:t>ואם השליח קידש לאחר שגירש הראשון הויא ספק מקודשת. ועד"ז דן ביבמה קודם שחלצה, דקי”ל (ע' לעיל צב:) דצריכה גט מספק. ו</w:t>
      </w:r>
      <w:r>
        <w:rPr>
          <w:b/>
          <w:bCs/>
          <w:rtl/>
        </w:rPr>
        <w:t>ה"ה</w:t>
      </w:r>
      <w:r>
        <w:rPr>
          <w:rtl/>
        </w:rPr>
        <w:t xml:space="preserve"> (ז טו) כת' דהמקדש לאחר שיחלוץ הוה ספק קידושין. אבל ה</w:t>
      </w:r>
      <w:r>
        <w:rPr>
          <w:b/>
          <w:bCs/>
          <w:rtl/>
        </w:rPr>
        <w:t>כס"מ</w:t>
      </w:r>
      <w:r>
        <w:rPr>
          <w:rtl/>
        </w:rPr>
        <w:t xml:space="preserve"> כת' דהוה קידושי ודאי, מחמת צד הספק</w:t>
      </w:r>
      <w:r>
        <w:t>.</w:t>
      </w:r>
    </w:p>
  </w:footnote>
  <w:footnote w:id="6429">
    <w:p w14:paraId="78D06430" w14:textId="77777777" w:rsidR="006C4368" w:rsidRDefault="006C4368" w:rsidP="006C4368">
      <w:pPr>
        <w:pStyle w:val="Footnote"/>
        <w:bidi/>
      </w:pPr>
      <w:r>
        <w:rPr>
          <w:rStyle w:val="ac"/>
        </w:rPr>
        <w:footnoteRef/>
      </w:r>
      <w:r>
        <w:rPr>
          <w:rtl/>
        </w:rPr>
        <w:t>וה</w:t>
      </w:r>
      <w:r>
        <w:rPr>
          <w:b/>
          <w:bCs/>
          <w:rtl/>
        </w:rPr>
        <w:t>משנ"ל</w:t>
      </w:r>
      <w:r>
        <w:rPr>
          <w:rtl/>
        </w:rPr>
        <w:t xml:space="preserve"> כת' דיש לדחות ולחלק בין ממון לקידושין</w:t>
      </w:r>
      <w:r>
        <w:t>.</w:t>
      </w:r>
    </w:p>
  </w:footnote>
  <w:footnote w:id="6430">
    <w:p w14:paraId="6DA07AFF" w14:textId="77777777" w:rsidR="006C4368" w:rsidRDefault="006C4368" w:rsidP="006C4368">
      <w:pPr>
        <w:pStyle w:val="Footnote"/>
        <w:bidi/>
      </w:pPr>
      <w:r>
        <w:rPr>
          <w:rStyle w:val="ac"/>
        </w:rPr>
        <w:footnoteRef/>
      </w:r>
      <w:r>
        <w:rPr>
          <w:rtl/>
        </w:rPr>
        <w:t>וה</w:t>
      </w:r>
      <w:r>
        <w:rPr>
          <w:b/>
          <w:bCs/>
          <w:rtl/>
        </w:rPr>
        <w:t>משנ"ל</w:t>
      </w:r>
      <w:r>
        <w:rPr>
          <w:rtl/>
        </w:rPr>
        <w:t xml:space="preserve"> כת' דה"מ בספק דמציאות [כגון בסוגיין], דבספק דמציאות שייך לומר אם יבא אליהו. אבל בספיקא דדינא לא שייך לומר אם יבא אליהו. [וע' מגיה למשנ"ל, ואכמ"ל]</w:t>
      </w:r>
      <w:r>
        <w:t>.</w:t>
      </w:r>
    </w:p>
  </w:footnote>
  <w:footnote w:id="6431">
    <w:p w14:paraId="409B88B1" w14:textId="77777777" w:rsidR="006C4368" w:rsidRDefault="006C4368" w:rsidP="006C4368">
      <w:pPr>
        <w:pStyle w:val="Footnote"/>
        <w:bidi/>
      </w:pPr>
      <w:r>
        <w:rPr>
          <w:rStyle w:val="ac"/>
        </w:rPr>
        <w:footnoteRef/>
      </w:r>
      <w:r>
        <w:rPr>
          <w:rtl/>
        </w:rPr>
        <w:t>והוה עכ"פ קידושין ספק</w:t>
      </w:r>
      <w:r>
        <w:t>.</w:t>
      </w:r>
    </w:p>
  </w:footnote>
  <w:footnote w:id="6432">
    <w:p w14:paraId="29D7B21D" w14:textId="77777777" w:rsidR="006C4368" w:rsidRDefault="006C4368" w:rsidP="006C4368">
      <w:pPr>
        <w:pStyle w:val="Footnote"/>
        <w:bidi/>
      </w:pPr>
      <w:r>
        <w:rPr>
          <w:rStyle w:val="ac"/>
        </w:rPr>
        <w:footnoteRef/>
      </w:r>
      <w:r>
        <w:rPr>
          <w:rtl/>
        </w:rPr>
        <w:t>דהתם ליכא 'דין שליחות' כלל, דבאכילת קרבן ל"ש שליחות</w:t>
      </w:r>
      <w:r>
        <w:t>.</w:t>
      </w:r>
    </w:p>
  </w:footnote>
  <w:footnote w:id="6433">
    <w:p w14:paraId="52D8C4C5" w14:textId="77777777" w:rsidR="006C4368" w:rsidRDefault="006C4368" w:rsidP="006C4368">
      <w:pPr>
        <w:pStyle w:val="Footnote"/>
        <w:bidi/>
      </w:pPr>
      <w:r>
        <w:rPr>
          <w:rStyle w:val="ac"/>
        </w:rPr>
        <w:footnoteRef/>
      </w:r>
      <w:r>
        <w:rPr>
          <w:rtl/>
        </w:rPr>
        <w:t>וכת' דכבר כתבו הראשונים דבמקומות הרבה נמצא בגמ' לשונות שוין והן ענינים מתחלפים. אמנם ה</w:t>
      </w:r>
      <w:r>
        <w:rPr>
          <w:b/>
          <w:bCs/>
          <w:rtl/>
        </w:rPr>
        <w:t>משנ"ל</w:t>
      </w:r>
      <w:r>
        <w:rPr>
          <w:rtl/>
        </w:rPr>
        <w:t xml:space="preserve"> (הנ"ל) נקט דשייך לסוגיא דהתם</w:t>
      </w:r>
      <w:r>
        <w:t>.</w:t>
      </w:r>
    </w:p>
  </w:footnote>
  <w:footnote w:id="6434">
    <w:p w14:paraId="6101A948" w14:textId="77777777" w:rsidR="006C4368" w:rsidRDefault="006C4368" w:rsidP="006C4368">
      <w:pPr>
        <w:pStyle w:val="Footnote"/>
        <w:bidi/>
      </w:pPr>
      <w:r>
        <w:rPr>
          <w:rStyle w:val="ac"/>
        </w:rPr>
        <w:footnoteRef/>
      </w:r>
      <w:r>
        <w:rPr>
          <w:rtl/>
        </w:rPr>
        <w:t>וה</w:t>
      </w:r>
      <w:r>
        <w:rPr>
          <w:b/>
          <w:bCs/>
          <w:rtl/>
        </w:rPr>
        <w:t>קובה"ע</w:t>
      </w:r>
      <w:r>
        <w:rPr>
          <w:rtl/>
        </w:rPr>
        <w:t xml:space="preserve"> (עב א) ייסד דהך חסרון נאמר רק במקום שיש חסרון מצד הדין, אבל היכא שבפועל א"א לו לעשות המעשה ואין הגריעותא מצד הדין יכול לעשות שליח. דהא אף חבוש בבית האסורין וקטוע ידו וגוסס יכול למנות שליח לכתוב גט ולגרש את אשתו [אך ע' תו”י עירובין יג.]. ועפ"ז ביאר את הגמ' (קידושין כג:) דאף לר' שמעון בן אלעזר דאין יד לעבד לקבל גיטו מיד רבו, מ"מ מצי משוי שליח לקבלה</w:t>
      </w:r>
      <w:r>
        <w:t>.</w:t>
      </w:r>
    </w:p>
  </w:footnote>
  <w:footnote w:id="6435">
    <w:p w14:paraId="17C828B1" w14:textId="77777777" w:rsidR="006C4368" w:rsidRDefault="006C4368" w:rsidP="006C4368">
      <w:pPr>
        <w:pStyle w:val="Footnote"/>
        <w:bidi/>
      </w:pPr>
      <w:r>
        <w:rPr>
          <w:rStyle w:val="ac"/>
        </w:rPr>
        <w:footnoteRef/>
      </w:r>
      <w:r>
        <w:rPr>
          <w:rtl/>
        </w:rPr>
        <w:t>ומבואר בדבריו דעפ"ז אף כהן החבוש בבית האסורין אינו יכול לשלוח שליח להקריב ולאכול</w:t>
      </w:r>
      <w:r>
        <w:t>.</w:t>
      </w:r>
    </w:p>
    <w:p w14:paraId="74CDD99A" w14:textId="77777777" w:rsidR="006C4368" w:rsidRDefault="006C4368" w:rsidP="006C4368">
      <w:pPr>
        <w:pStyle w:val="Footnote"/>
        <w:bidi/>
      </w:pPr>
      <w:r>
        <w:tab/>
        <w:t>{</w:t>
      </w:r>
      <w:r>
        <w:rPr>
          <w:rtl/>
        </w:rPr>
        <w:t>אך לכאורה יש לחלק דזקן וחולה הגברא לא מצי עבד. ואילו בית האסורין הוה מניעה חיצוני, וכל כהן ששולח שליח עכשיו הוא רחוק ולא מצי עבד, אלא דאמרי' דהגברא ראוי לכשיבא. וה"נ הספיקות ראויין ע"י שיתברר, ומה שמנוע מחמת הספק נחשב כמו מניעה חיצונית. [וי"ל דזה כוונת התוס' דאם יבא אליהו]</w:t>
      </w:r>
      <w:r>
        <w:t>}.</w:t>
      </w:r>
    </w:p>
  </w:footnote>
  <w:footnote w:id="6436">
    <w:p w14:paraId="1821D7D8" w14:textId="77777777" w:rsidR="006C4368" w:rsidRDefault="006C4368" w:rsidP="006C4368">
      <w:pPr>
        <w:pStyle w:val="Footnote"/>
        <w:bidi/>
      </w:pPr>
      <w:r>
        <w:rPr>
          <w:rStyle w:val="ac"/>
        </w:rPr>
        <w:footnoteRef/>
      </w:r>
      <w:r>
        <w:rPr>
          <w:rtl/>
        </w:rPr>
        <w:t>וה</w:t>
      </w:r>
      <w:r>
        <w:rPr>
          <w:b/>
          <w:bCs/>
          <w:rtl/>
        </w:rPr>
        <w:t>גר"ח</w:t>
      </w:r>
      <w:r>
        <w:rPr>
          <w:rtl/>
        </w:rPr>
        <w:t xml:space="preserve"> (סטנסל שצב, וע”ע משנת ר”א זרעים ו) ביאר דבמתנות עניים שנותן משלו נאמר דין 'צדק משלך', ולא דמי לספק בכור דהממע”ה ולא אמרו צדק משלך, דבכור הוה של כהן ממילא, ואינו דין נתינה. וע"ע טור"א (ר"ה יד) ובהג' ברוך טעם</w:t>
      </w:r>
      <w:r>
        <w:t>.</w:t>
      </w:r>
    </w:p>
  </w:footnote>
  <w:footnote w:id="6437">
    <w:p w14:paraId="65622659" w14:textId="77777777" w:rsidR="006C4368" w:rsidRDefault="006C4368" w:rsidP="006C4368">
      <w:pPr>
        <w:pStyle w:val="Footnote"/>
        <w:bidi/>
      </w:pPr>
      <w:r>
        <w:rPr>
          <w:rStyle w:val="ac"/>
        </w:rPr>
        <w:footnoteRef/>
      </w:r>
      <w:r>
        <w:rPr>
          <w:rtl/>
        </w:rPr>
        <w:t>וה</w:t>
      </w:r>
      <w:r>
        <w:rPr>
          <w:b/>
          <w:bCs/>
          <w:rtl/>
        </w:rPr>
        <w:t>חת"ס</w:t>
      </w:r>
      <w:r>
        <w:rPr>
          <w:rtl/>
        </w:rPr>
        <w:t xml:space="preserve"> ביאר דהיכא דבממון אמרי' דחזקת ממון עדיפא משאר חזקות, בזה אמרי' 'צדק'. אבל במקום ספק גמור לא נאמר צדק</w:t>
      </w:r>
      <w:r>
        <w:t>.</w:t>
      </w:r>
    </w:p>
  </w:footnote>
  <w:footnote w:id="6438">
    <w:p w14:paraId="01661CF9" w14:textId="77777777" w:rsidR="006C4368" w:rsidRDefault="006C4368" w:rsidP="006C4368">
      <w:pPr>
        <w:pStyle w:val="Footnote"/>
        <w:bidi/>
      </w:pPr>
      <w:r>
        <w:rPr>
          <w:rStyle w:val="ac"/>
        </w:rPr>
        <w:footnoteRef/>
      </w:r>
      <w:r>
        <w:rPr>
          <w:rtl/>
        </w:rPr>
        <w:t>ועד"ז יש שחילקו דהך גזיה”כ הוה על הישראל, במקום שיש ספק בחיוב. אבל היכא דיש ספק עליו האם הוא כהן אינו בכלל גזיה"כ זו</w:t>
      </w:r>
      <w:r>
        <w:t>.</w:t>
      </w:r>
    </w:p>
  </w:footnote>
  <w:footnote w:id="6439">
    <w:p w14:paraId="45721A81" w14:textId="77777777" w:rsidR="006C4368" w:rsidRDefault="006C4368" w:rsidP="006C4368">
      <w:pPr>
        <w:pStyle w:val="Footnote"/>
        <w:bidi/>
      </w:pPr>
      <w:r>
        <w:rPr>
          <w:rStyle w:val="ac"/>
        </w:rPr>
        <w:footnoteRef/>
      </w:r>
      <w:r>
        <w:rPr>
          <w:rtl/>
        </w:rPr>
        <w:t>ו</w:t>
      </w:r>
      <w:r>
        <w:rPr>
          <w:b/>
          <w:bCs/>
          <w:rtl/>
        </w:rPr>
        <w:t>רש"י</w:t>
      </w:r>
      <w:r>
        <w:rPr>
          <w:rtl/>
        </w:rPr>
        <w:t xml:space="preserve"> (תמורה שם) פי' דבשאר בכורות כהן אינו מפסיד כלום, שמקריב הוא עצמו את אימורי בכור ואוכלו. אבל הני אם יקריבו לא מצי אכלי, דבכור תם בזמן המקדש אינו נאכל לזרים, והוא ספק זר</w:t>
      </w:r>
      <w:r>
        <w:t>.</w:t>
      </w:r>
    </w:p>
    <w:p w14:paraId="456F9A7C" w14:textId="77777777" w:rsidR="006C4368" w:rsidRDefault="006C4368" w:rsidP="006C4368">
      <w:pPr>
        <w:pStyle w:val="Footnote"/>
        <w:bidi/>
      </w:pPr>
      <w:r>
        <w:tab/>
      </w:r>
      <w:r>
        <w:rPr>
          <w:rtl/>
        </w:rPr>
        <w:t xml:space="preserve">וכ"כ </w:t>
      </w:r>
      <w:r>
        <w:rPr>
          <w:b/>
          <w:bCs/>
          <w:rtl/>
        </w:rPr>
        <w:t>רש"י</w:t>
      </w:r>
      <w:r>
        <w:rPr>
          <w:rtl/>
        </w:rPr>
        <w:t xml:space="preserve"> (כאן) דל"ש תנאי שיחזירו את הבשר, דבשר בכור תם נאכל לכהנים. וצ"ב דאף בתנאי דחטאת ואשם הוא שיתן הבשר לכל כהן שירצו. וה"נ שייך תנאי זה, וכן על העור. אלא דעיקר החילוק דהכא אם יסתאב יוכל לאכול בעצמו. [ולא משמע כן ברש"י]</w:t>
      </w:r>
      <w:r>
        <w:t>.</w:t>
      </w:r>
    </w:p>
  </w:footnote>
  <w:footnote w:id="6440">
    <w:p w14:paraId="65866142" w14:textId="77777777" w:rsidR="006C4368" w:rsidRDefault="006C4368" w:rsidP="006C4368">
      <w:pPr>
        <w:pStyle w:val="Footnote"/>
        <w:bidi/>
      </w:pPr>
      <w:r>
        <w:rPr>
          <w:rStyle w:val="ac"/>
        </w:rPr>
        <w:footnoteRef/>
      </w:r>
      <w:r>
        <w:rPr>
          <w:rtl/>
        </w:rPr>
        <w:t>ו</w:t>
      </w:r>
      <w:r>
        <w:rPr>
          <w:b/>
          <w:bCs/>
          <w:rtl/>
        </w:rPr>
        <w:t>רע"א</w:t>
      </w:r>
      <w:r>
        <w:rPr>
          <w:rtl/>
        </w:rPr>
        <w:t xml:space="preserve"> הק' דרש"י לא פירש כמסקנא דהתם</w:t>
      </w:r>
      <w:r>
        <w:t>.</w:t>
      </w:r>
    </w:p>
  </w:footnote>
  <w:footnote w:id="6441">
    <w:p w14:paraId="6F4E157D" w14:textId="77777777" w:rsidR="006C4368" w:rsidRDefault="006C4368" w:rsidP="006C4368">
      <w:pPr>
        <w:pStyle w:val="Footnote"/>
        <w:bidi/>
      </w:pPr>
      <w:r>
        <w:rPr>
          <w:rStyle w:val="ac"/>
        </w:rPr>
        <w:footnoteRef/>
      </w:r>
      <w:r>
        <w:rPr>
          <w:rtl/>
        </w:rPr>
        <w:t>ובכל מקום דאי' ירעו עד שיסתאבו הוא באופן דאי אפשר להקריבו, וכגון ספק בכור או ספק מום. אבל הכא ודאי בכור הוא</w:t>
      </w:r>
      <w:r>
        <w:t>.</w:t>
      </w:r>
    </w:p>
  </w:footnote>
  <w:footnote w:id="6442">
    <w:p w14:paraId="219B478F" w14:textId="77777777" w:rsidR="006C4368" w:rsidRDefault="006C4368" w:rsidP="006C4368">
      <w:pPr>
        <w:pStyle w:val="Footnote"/>
        <w:bidi/>
      </w:pPr>
      <w:r>
        <w:rPr>
          <w:rStyle w:val="ac"/>
        </w:rPr>
        <w:footnoteRef/>
      </w:r>
      <w:r>
        <w:rPr>
          <w:rtl/>
        </w:rPr>
        <w:t>וה</w:t>
      </w:r>
      <w:r>
        <w:rPr>
          <w:b/>
          <w:bCs/>
          <w:rtl/>
        </w:rPr>
        <w:t>אחרונים</w:t>
      </w:r>
      <w:r>
        <w:rPr>
          <w:rtl/>
        </w:rPr>
        <w:t xml:space="preserve"> (ע' מנחת ברוך קד ענף ג, חזו"י ר"ה א ב) דנו אי דין 'שנה בשנה' הוה גדר בל תאחר, או מצווה בפנ"ע. [דבקדושה הבא מאליו ליכא בל תאחר, אלא דין שנה בשנה]</w:t>
      </w:r>
      <w:r>
        <w:t>.</w:t>
      </w:r>
    </w:p>
  </w:footnote>
  <w:footnote w:id="6443">
    <w:p w14:paraId="5D150932" w14:textId="77777777" w:rsidR="006C4368" w:rsidRDefault="006C4368" w:rsidP="006C4368">
      <w:pPr>
        <w:pStyle w:val="Footnote"/>
        <w:bidi/>
      </w:pPr>
      <w:r>
        <w:rPr>
          <w:rStyle w:val="ac"/>
        </w:rPr>
        <w:footnoteRef/>
      </w:r>
      <w:r>
        <w:rPr>
          <w:rtl/>
        </w:rPr>
        <w:t>וה</w:t>
      </w:r>
      <w:r>
        <w:rPr>
          <w:b/>
          <w:bCs/>
          <w:rtl/>
        </w:rPr>
        <w:t>תפא”י</w:t>
      </w:r>
      <w:r>
        <w:rPr>
          <w:rtl/>
        </w:rPr>
        <w:t xml:space="preserve"> כת' דלכאורה זה כוונת הגמ' בתמורה דלמ”ד דהוה ממון כהן רשאי לעכב. אך תמה האיך רשאי לעבור בבל תאחר משום זכות ממון</w:t>
      </w:r>
      <w:r>
        <w:t>.</w:t>
      </w:r>
    </w:p>
  </w:footnote>
  <w:footnote w:id="6444">
    <w:p w14:paraId="0B0EB19D" w14:textId="77777777" w:rsidR="006C4368" w:rsidRDefault="006C4368" w:rsidP="006C4368">
      <w:pPr>
        <w:pStyle w:val="Footnote"/>
        <w:bidi/>
      </w:pPr>
      <w:r>
        <w:rPr>
          <w:rStyle w:val="ac"/>
        </w:rPr>
        <w:footnoteRef/>
      </w:r>
      <w:r>
        <w:rPr>
          <w:rtl/>
        </w:rPr>
        <w:t>דומיה דספיקות בצדקה, דה</w:t>
      </w:r>
      <w:r>
        <w:rPr>
          <w:b/>
          <w:bCs/>
          <w:rtl/>
        </w:rPr>
        <w:t>ראשונים</w:t>
      </w:r>
      <w:r>
        <w:rPr>
          <w:rtl/>
        </w:rPr>
        <w:t xml:space="preserve"> (נדרים ז.) כת' דמספק המוציא מחבירו עליו הראיה. וממילא ליכא בל תאחר. וכן האריך בס' </w:t>
      </w:r>
      <w:r>
        <w:rPr>
          <w:b/>
          <w:bCs/>
          <w:rtl/>
        </w:rPr>
        <w:t>עמק יהושע</w:t>
      </w:r>
      <w:r>
        <w:rPr>
          <w:rtl/>
        </w:rPr>
        <w:t xml:space="preserve"> (טז, הו' בשלמי נדרים שם)</w:t>
      </w:r>
      <w:r>
        <w:t>.</w:t>
      </w:r>
    </w:p>
  </w:footnote>
  <w:footnote w:id="6445">
    <w:p w14:paraId="4DC07D78" w14:textId="77777777" w:rsidR="006C4368" w:rsidRDefault="006C4368" w:rsidP="006C4368">
      <w:pPr>
        <w:pStyle w:val="Footnote"/>
        <w:bidi/>
      </w:pPr>
      <w:r>
        <w:rPr>
          <w:rStyle w:val="ac"/>
        </w:rPr>
        <w:footnoteRef/>
      </w:r>
      <w:r>
        <w:rPr>
          <w:rtl/>
        </w:rPr>
        <w:t>ואפשר דהכא אילו יקריבנו עכשיו הכהנים יקחו ממנו זכותו בבשר, דכיון דאינו ראוי לאכול ל”ש תנאי. ומש”ה נחשב דהפסד ממון, ואינו חייב להקריב קרבן במקום הפסד ממון</w:t>
      </w:r>
      <w:r>
        <w:t>.</w:t>
      </w:r>
    </w:p>
    <w:p w14:paraId="6C9A4F97" w14:textId="77777777" w:rsidR="006C4368" w:rsidRDefault="006C4368" w:rsidP="006C4368">
      <w:pPr>
        <w:pStyle w:val="Footnote"/>
        <w:bidi/>
      </w:pPr>
      <w:r>
        <w:tab/>
        <w:t>[</w:t>
      </w:r>
      <w:r>
        <w:rPr>
          <w:rtl/>
        </w:rPr>
        <w:t>אך ילה"ק וכי כהן שאינו יכול לאכול בשר לזמן מסויים רשאי להשהות הבכור שיוכל לאוכלו לאחר זמן. ויש לחלק דהתם אינו הפסד ממון, דזוכה בבשר אלא דבפועל אינו יכול לאוכלו</w:t>
      </w:r>
      <w:r>
        <w:t>].</w:t>
      </w:r>
    </w:p>
  </w:footnote>
  <w:footnote w:id="6446">
    <w:p w14:paraId="76EC3C61" w14:textId="77777777" w:rsidR="006C4368" w:rsidRDefault="006C4368" w:rsidP="006C4368">
      <w:pPr>
        <w:pStyle w:val="Footnote"/>
        <w:bidi/>
      </w:pPr>
      <w:r>
        <w:rPr>
          <w:rStyle w:val="ac"/>
        </w:rPr>
        <w:footnoteRef/>
      </w:r>
      <w:r>
        <w:rPr>
          <w:rtl/>
        </w:rPr>
        <w:t>וה</w:t>
      </w:r>
      <w:r>
        <w:rPr>
          <w:b/>
          <w:bCs/>
          <w:rtl/>
        </w:rPr>
        <w:t>חזו"י</w:t>
      </w:r>
      <w:r>
        <w:rPr>
          <w:rtl/>
        </w:rPr>
        <w:t xml:space="preserve"> (הנ"ל) תי' דהכא אתינן עלה משום דין 'שנה בשנה', דהוה דין על הכהן שראוי לאוכלו. וכיון דאינו ראוי לאוכלו [מחמת הספק] אינו בכלל צווי זה</w:t>
      </w:r>
      <w:r>
        <w:t>.</w:t>
      </w:r>
    </w:p>
  </w:footnote>
  <w:footnote w:id="6447">
    <w:p w14:paraId="5FD53E10" w14:textId="77777777" w:rsidR="006C4368" w:rsidRDefault="006C4368" w:rsidP="006C4368">
      <w:pPr>
        <w:pStyle w:val="Footnote"/>
        <w:bidi/>
      </w:pPr>
      <w:r>
        <w:rPr>
          <w:rStyle w:val="ac"/>
        </w:rPr>
        <w:footnoteRef/>
      </w:r>
      <w:r>
        <w:rPr>
          <w:rtl/>
        </w:rPr>
        <w:t>וע"ע רש"י סנהדרין פט:, חולין כג: ופ</w:t>
      </w:r>
      <w:r>
        <w:t>.</w:t>
      </w:r>
    </w:p>
  </w:footnote>
  <w:footnote w:id="6448">
    <w:p w14:paraId="12BACA26" w14:textId="77777777" w:rsidR="006C4368" w:rsidRDefault="006C4368" w:rsidP="006C4368">
      <w:pPr>
        <w:pStyle w:val="Footnote"/>
        <w:bidi/>
      </w:pPr>
      <w:r>
        <w:rPr>
          <w:rStyle w:val="ac"/>
        </w:rPr>
        <w:footnoteRef/>
      </w:r>
      <w:r>
        <w:rPr>
          <w:rtl/>
        </w:rPr>
        <w:t>אך מסקנת הגמ' (גיטין מב:) דלא פקע קנין הממון [מדין מעוכב גט שחרור], דאמרי' אם יבא אליהו וכו'. א"כ על הצד שהוא עבד, האדון זכה במציאתו ומעש"י. ואף דאינו יכול להוציאו בדין, מ"מ האדון זכה. א"כ הכא שייך בזה גדר ממ"נ, או שזכה משום שהוא כהן או שהאדון זכה. [וכמו שמהני נתינת מתנות כהונה אף באופן דהוה ספק בין ב' כהנים מי זכה, ואף דכל א' אינו יכול להוציאו. מ"מ ממ"נ הוה ביד כהן]</w:t>
      </w:r>
      <w:r>
        <w:t>.</w:t>
      </w:r>
    </w:p>
  </w:footnote>
  <w:footnote w:id="6449">
    <w:p w14:paraId="22E9E195" w14:textId="77777777" w:rsidR="006C4368" w:rsidRDefault="006C4368" w:rsidP="006C4368">
      <w:pPr>
        <w:pStyle w:val="Footnote"/>
        <w:bidi/>
      </w:pPr>
      <w:r>
        <w:rPr>
          <w:rStyle w:val="ac"/>
        </w:rPr>
        <w:footnoteRef/>
      </w:r>
      <w:r>
        <w:rPr>
          <w:b/>
          <w:bCs/>
          <w:rtl/>
        </w:rPr>
        <w:t>ותוס</w:t>
      </w:r>
      <w:r>
        <w:rPr>
          <w:rtl/>
        </w:rPr>
        <w:t>' (כתובות כד: ד"ה ואיבעית , וכה. ד"ה או, ותו"י) דנו מה שורש התקנה, כיון דמעלין, מש"ה צריך עדות לתרומה. או דצריך עדות לתרומה, ומש"ה מעלין</w:t>
      </w:r>
      <w:r>
        <w:t>.</w:t>
      </w:r>
    </w:p>
  </w:footnote>
  <w:footnote w:id="6450">
    <w:p w14:paraId="017FD970" w14:textId="77777777" w:rsidR="006C4368" w:rsidRDefault="006C4368" w:rsidP="006C4368">
      <w:pPr>
        <w:pStyle w:val="Footnote"/>
        <w:bidi/>
      </w:pPr>
      <w:r>
        <w:rPr>
          <w:rStyle w:val="ac"/>
        </w:rPr>
        <w:footnoteRef/>
      </w:r>
      <w:r>
        <w:rPr>
          <w:rtl/>
        </w:rPr>
        <w:t>והרשב"א כת' דלא חיישי' משום שחרור, שעובר בעשה</w:t>
      </w:r>
      <w:r>
        <w:t>.</w:t>
      </w:r>
    </w:p>
  </w:footnote>
  <w:footnote w:id="6451">
    <w:p w14:paraId="20C55C08" w14:textId="77777777" w:rsidR="006C4368" w:rsidRDefault="006C4368" w:rsidP="006C4368">
      <w:pPr>
        <w:pStyle w:val="Footnote"/>
        <w:bidi/>
      </w:pPr>
      <w:r>
        <w:rPr>
          <w:rStyle w:val="ac"/>
        </w:rPr>
        <w:footnoteRef/>
      </w:r>
      <w:r>
        <w:rPr>
          <w:rtl/>
        </w:rPr>
        <w:t>וכעי"ז כתב ה</w:t>
      </w:r>
      <w:r>
        <w:rPr>
          <w:b/>
          <w:bCs/>
          <w:rtl/>
        </w:rPr>
        <w:t>ריטב"א</w:t>
      </w:r>
      <w:r>
        <w:rPr>
          <w:rtl/>
        </w:rPr>
        <w:t xml:space="preserve"> דמאכיל את בניו שלא כדין. [ויל"ד אמאי לא נקט שמאכיל את העבד עצמו. וי"ל דבלא"ה אוכל מחמת רבו. ועוי"ל דהעבד ידע ואכל מזיד, ולא נחשב שמכשילו]. [ויש בזה חידוש גדול דזה נחשב תקלת אכילה, כיון דהוה 'מחמתו']</w:t>
      </w:r>
      <w:r>
        <w:t>.</w:t>
      </w:r>
    </w:p>
  </w:footnote>
  <w:footnote w:id="6452">
    <w:p w14:paraId="4E68572E" w14:textId="77777777" w:rsidR="006C4368" w:rsidRDefault="006C4368" w:rsidP="006C4368">
      <w:pPr>
        <w:pStyle w:val="Footnote"/>
        <w:bidi/>
      </w:pPr>
      <w:r>
        <w:rPr>
          <w:rStyle w:val="ac"/>
        </w:rPr>
        <w:footnoteRef/>
      </w:r>
      <w:r>
        <w:rPr>
          <w:rtl/>
        </w:rPr>
        <w:t>אך א"כ הדרא קו' התוס' דבכ"מ מצאנו דנכשלו באיסורין. וה</w:t>
      </w:r>
      <w:r>
        <w:rPr>
          <w:b/>
          <w:bCs/>
          <w:rtl/>
        </w:rPr>
        <w:t>רמב"ן</w:t>
      </w:r>
      <w:r>
        <w:rPr>
          <w:rtl/>
        </w:rPr>
        <w:t xml:space="preserve"> הביא לפרש דקו' הגמ' הוה רק במקום דהוה תקלה לאחרים, אבל לעצמו אדם אין צדיק בארץ. וה</w:t>
      </w:r>
      <w:r>
        <w:rPr>
          <w:b/>
          <w:bCs/>
          <w:rtl/>
        </w:rPr>
        <w:t>רמב"ן</w:t>
      </w:r>
      <w:r>
        <w:rPr>
          <w:rtl/>
        </w:rPr>
        <w:t xml:space="preserve"> כתב דדוקא בשוגג הק' כן [אף בלא מידי דאכילה] דהבא לטהר מסייעין אותו. אבל היכא דבא ע"י פשיעה אף צדיקים נכשלים</w:t>
      </w:r>
      <w:r>
        <w:t>.</w:t>
      </w:r>
    </w:p>
  </w:footnote>
  <w:footnote w:id="6453">
    <w:p w14:paraId="13E54E80" w14:textId="77777777" w:rsidR="006C4368" w:rsidRDefault="006C4368" w:rsidP="006C4368">
      <w:pPr>
        <w:pStyle w:val="Footnote"/>
        <w:bidi/>
      </w:pPr>
      <w:r>
        <w:rPr>
          <w:rStyle w:val="ac"/>
        </w:rPr>
        <w:footnoteRef/>
      </w:r>
      <w:r>
        <w:rPr>
          <w:rtl/>
        </w:rPr>
        <w:t>והרשב"א הק' א"כ אמאי משגרין לבתים. ולדברי התוס' ניחא דהוה גזירה</w:t>
      </w:r>
      <w:r>
        <w:t>.</w:t>
      </w:r>
    </w:p>
  </w:footnote>
  <w:footnote w:id="6454">
    <w:p w14:paraId="5F014AEE" w14:textId="77777777" w:rsidR="006C4368" w:rsidRDefault="006C4368" w:rsidP="006C4368">
      <w:pPr>
        <w:pStyle w:val="Footnote"/>
        <w:bidi/>
      </w:pPr>
      <w:r>
        <w:rPr>
          <w:rStyle w:val="ac"/>
        </w:rPr>
        <w:footnoteRef/>
      </w:r>
      <w:r>
        <w:rPr>
          <w:rtl/>
        </w:rPr>
        <w:t>ו</w:t>
      </w:r>
      <w:r>
        <w:rPr>
          <w:b/>
          <w:bCs/>
          <w:rtl/>
        </w:rPr>
        <w:t>מהר”י קורקוס</w:t>
      </w:r>
      <w:r>
        <w:rPr>
          <w:rtl/>
        </w:rPr>
        <w:t xml:space="preserve"> (תרומות יב כב) הביא דמדברי התוס' נראה דזהו טעם דאין חולקין להם. ודלא כפרש"י דמשום זילותא</w:t>
      </w:r>
      <w:r>
        <w:t>.</w:t>
      </w:r>
    </w:p>
  </w:footnote>
  <w:footnote w:id="6455">
    <w:p w14:paraId="4FA482C6" w14:textId="77777777" w:rsidR="006C4368" w:rsidRDefault="006C4368" w:rsidP="006C4368">
      <w:pPr>
        <w:pStyle w:val="Footnote"/>
        <w:bidi/>
      </w:pPr>
      <w:r>
        <w:rPr>
          <w:rStyle w:val="ac"/>
        </w:rPr>
        <w:footnoteRef/>
      </w:r>
      <w:r>
        <w:rPr>
          <w:rtl/>
        </w:rPr>
        <w:t>וה</w:t>
      </w:r>
      <w:r>
        <w:rPr>
          <w:b/>
          <w:bCs/>
          <w:rtl/>
        </w:rPr>
        <w:t>קצות</w:t>
      </w:r>
      <w:r>
        <w:rPr>
          <w:rtl/>
        </w:rPr>
        <w:t xml:space="preserve"> ביאר הא דאי' (ב"מ יא:) דמהני להקנות, היינו משום שהקנה חצירו, ועי”ז קנה בדעת אחרת מקנה</w:t>
      </w:r>
      <w:r>
        <w:t>.</w:t>
      </w:r>
    </w:p>
  </w:footnote>
  <w:footnote w:id="6456">
    <w:p w14:paraId="7539B87F" w14:textId="77777777" w:rsidR="006C4368" w:rsidRDefault="006C4368" w:rsidP="006C4368">
      <w:pPr>
        <w:pStyle w:val="Footnote"/>
        <w:bidi/>
      </w:pPr>
      <w:r>
        <w:rPr>
          <w:rStyle w:val="ac"/>
        </w:rPr>
        <w:footnoteRef/>
      </w:r>
      <w:r>
        <w:rPr>
          <w:rtl/>
        </w:rPr>
        <w:t>דדן האם יכול להקנות מעשר עני לבנו של עשיר משום דעת אחרת מקנה [להקנות לבן ולא לאביו], ודחה דכיון דטובת הנאה אינו ממון לא נחשב דעת מקנה. וכן ל"מ לתת בתנאי</w:t>
      </w:r>
      <w:r>
        <w:t>.</w:t>
      </w:r>
    </w:p>
  </w:footnote>
  <w:footnote w:id="6457">
    <w:p w14:paraId="4267E6C8" w14:textId="77777777" w:rsidR="006C4368" w:rsidRDefault="006C4368" w:rsidP="006C4368">
      <w:pPr>
        <w:pStyle w:val="Footnote"/>
        <w:bidi/>
      </w:pPr>
      <w:r>
        <w:rPr>
          <w:rStyle w:val="ac"/>
        </w:rPr>
        <w:footnoteRef/>
      </w:r>
      <w:r>
        <w:rPr>
          <w:rtl/>
        </w:rPr>
        <w:t>וכן פדיון הבן, דלא שייך דין הפרשה כלל. ולעולם יש לזה דין מתנה שדעת אחרת מקנה אותו, ומש”ה נותן לכהן קטן. [ונקט דהוה גדר פרעון חוב, ול"צ מעשה פדיון כלל. דקטן ל"ש מעשה פדיון]</w:t>
      </w:r>
      <w:r>
        <w:t>.</w:t>
      </w:r>
    </w:p>
  </w:footnote>
  <w:footnote w:id="6458">
    <w:p w14:paraId="270D703B" w14:textId="77777777" w:rsidR="006C4368" w:rsidRDefault="006C4368" w:rsidP="006C4368">
      <w:pPr>
        <w:pStyle w:val="Footnote"/>
        <w:bidi/>
      </w:pPr>
      <w:r>
        <w:rPr>
          <w:rStyle w:val="ac"/>
        </w:rPr>
        <w:footnoteRef/>
      </w:r>
      <w:r>
        <w:rPr>
          <w:rtl/>
        </w:rPr>
        <w:t>וביאר דאף [דכל זמן שלא בא ליד גבאי] יוכל להלוות ולתת אחרים תחתיהם, היינו דאם ילוונו יוכל ליתן אחרים. אבל כל זמן שלא לווה הוה ממון עניים ממש</w:t>
      </w:r>
      <w:r>
        <w:t>.</w:t>
      </w:r>
    </w:p>
  </w:footnote>
  <w:footnote w:id="6459">
    <w:p w14:paraId="49975EA6" w14:textId="77777777" w:rsidR="006C4368" w:rsidRDefault="006C4368" w:rsidP="006C4368">
      <w:pPr>
        <w:pStyle w:val="Footnote"/>
        <w:bidi/>
      </w:pPr>
      <w:r>
        <w:rPr>
          <w:rStyle w:val="ac"/>
        </w:rPr>
        <w:footnoteRef/>
      </w:r>
      <w:r>
        <w:rPr>
          <w:rtl/>
        </w:rPr>
        <w:t>וה</w:t>
      </w:r>
      <w:r>
        <w:rPr>
          <w:b/>
          <w:bCs/>
          <w:rtl/>
        </w:rPr>
        <w:t>נתיבות</w:t>
      </w:r>
      <w:r>
        <w:rPr>
          <w:rtl/>
        </w:rPr>
        <w:t xml:space="preserve"> הק' דקטן אינו ראוי לעבודה [א"כ אצל קטן ל"ש לומר דהוה תשלום שכירות]</w:t>
      </w:r>
      <w:r>
        <w:t>.</w:t>
      </w:r>
    </w:p>
  </w:footnote>
  <w:footnote w:id="6460">
    <w:p w14:paraId="4F16F0A1" w14:textId="77777777" w:rsidR="006C4368" w:rsidRDefault="006C4368" w:rsidP="006C4368">
      <w:pPr>
        <w:pStyle w:val="Footnote"/>
        <w:bidi/>
      </w:pPr>
      <w:r>
        <w:rPr>
          <w:rStyle w:val="ac"/>
        </w:rPr>
        <w:footnoteRef/>
      </w:r>
      <w:r>
        <w:rPr>
          <w:rtl/>
        </w:rPr>
        <w:t>משא"כ מתנות עניים דלא הוה תשלום שכירות [אלא מתנה בעלמא]</w:t>
      </w:r>
      <w:r>
        <w:t>.</w:t>
      </w:r>
    </w:p>
  </w:footnote>
  <w:footnote w:id="6461">
    <w:p w14:paraId="3E1A20A9" w14:textId="77777777" w:rsidR="006C4368" w:rsidRDefault="006C4368" w:rsidP="006C4368">
      <w:pPr>
        <w:pStyle w:val="Footnote"/>
        <w:bidi/>
      </w:pPr>
      <w:r>
        <w:rPr>
          <w:rStyle w:val="ac"/>
        </w:rPr>
        <w:footnoteRef/>
      </w:r>
      <w:r>
        <w:rPr>
          <w:rtl/>
        </w:rPr>
        <w:t>וה</w:t>
      </w:r>
      <w:r>
        <w:rPr>
          <w:b/>
          <w:bCs/>
          <w:rtl/>
        </w:rPr>
        <w:t>נתיבות</w:t>
      </w:r>
      <w:r>
        <w:rPr>
          <w:rtl/>
        </w:rPr>
        <w:t xml:space="preserve"> חלק דנקרא 'מתנה', ובמתנה יכול למחות. והרבה כהנים יש בעולם וכשאחד אינו רוצה נשאר חיובו לשאר כל הכהנים</w:t>
      </w:r>
      <w:r>
        <w:t>.</w:t>
      </w:r>
    </w:p>
  </w:footnote>
  <w:footnote w:id="6462">
    <w:p w14:paraId="0B63DAE0" w14:textId="77777777" w:rsidR="006C4368" w:rsidRDefault="006C4368" w:rsidP="006C4368">
      <w:pPr>
        <w:pStyle w:val="Footnote"/>
        <w:bidi/>
      </w:pPr>
      <w:r>
        <w:rPr>
          <w:rStyle w:val="ac"/>
        </w:rPr>
        <w:footnoteRef/>
      </w:r>
      <w:r>
        <w:rPr>
          <w:rtl/>
        </w:rPr>
        <w:t>וכמו בגירושין בע"כ דמהני אפי' שוטה. והנתיבות חלק דמ"מ כשנותן לכהן חש"ו התרומה אינו משתמר, וכשנותן במקום שאינו משתמר לא מהני בגדרי פרעון בע"כ. ועפ"ז כת' דאילו נתנם לקטן, והקטן איבדו לא יצא ידי נתינה. אבל להאכיל לקטן רשאי</w:t>
      </w:r>
      <w:r>
        <w:t>.</w:t>
      </w:r>
    </w:p>
  </w:footnote>
  <w:footnote w:id="6463">
    <w:p w14:paraId="10D070EF" w14:textId="77777777" w:rsidR="006C4368" w:rsidRDefault="006C4368" w:rsidP="006C4368">
      <w:pPr>
        <w:pStyle w:val="Footnote"/>
        <w:bidi/>
      </w:pPr>
      <w:r>
        <w:rPr>
          <w:rStyle w:val="ac"/>
        </w:rPr>
        <w:footnoteRef/>
      </w:r>
      <w:r>
        <w:rPr>
          <w:rtl/>
        </w:rPr>
        <w:t>מבואר דאילו לא הפקיר את הטובת הנאה, א"כ לא מהני שמעמידו לכהן קטן, שהרי למחר יחזור בו ויתן לכהן אחר. אלא יפקיר את הטובת הנאה</w:t>
      </w:r>
      <w:r>
        <w:t>.</w:t>
      </w:r>
    </w:p>
  </w:footnote>
  <w:footnote w:id="6464">
    <w:p w14:paraId="27894516" w14:textId="77777777" w:rsidR="006C4368" w:rsidRDefault="006C4368" w:rsidP="006C4368">
      <w:pPr>
        <w:pStyle w:val="Footnote"/>
        <w:bidi/>
      </w:pPr>
      <w:r>
        <w:rPr>
          <w:rStyle w:val="ac"/>
        </w:rPr>
        <w:footnoteRef/>
      </w:r>
      <w:r>
        <w:rPr>
          <w:rtl/>
        </w:rPr>
        <w:t>וכת' דדוקא בשעת ביעור מעשרות צריך להקנות לכהן. [אבל בעלמא מתקיים נתינה במה שמעמידו לכהן, והכהן אוכלו. אף בלא קנין]</w:t>
      </w:r>
      <w:r>
        <w:t>.</w:t>
      </w:r>
    </w:p>
  </w:footnote>
  <w:footnote w:id="6465">
    <w:p w14:paraId="582C22AD" w14:textId="77777777" w:rsidR="006C4368" w:rsidRDefault="006C4368" w:rsidP="006C4368">
      <w:pPr>
        <w:pStyle w:val="Footnote"/>
        <w:bidi/>
      </w:pPr>
      <w:r>
        <w:rPr>
          <w:rStyle w:val="ac"/>
        </w:rPr>
        <w:footnoteRef/>
      </w:r>
      <w:r>
        <w:rPr>
          <w:rtl/>
        </w:rPr>
        <w:t>ו</w:t>
      </w:r>
      <w:r>
        <w:rPr>
          <w:b/>
          <w:bCs/>
          <w:rtl/>
        </w:rPr>
        <w:t>מהר"י קורקוס</w:t>
      </w:r>
      <w:r>
        <w:rPr>
          <w:rtl/>
        </w:rPr>
        <w:t xml:space="preserve"> גרס להיפך דיש לו דעת לפרוס חיקו. ונתקשה בזה</w:t>
      </w:r>
      <w:r>
        <w:t>.</w:t>
      </w:r>
    </w:p>
  </w:footnote>
  <w:footnote w:id="6466">
    <w:p w14:paraId="303B1DD7" w14:textId="77777777" w:rsidR="006C4368" w:rsidRDefault="006C4368" w:rsidP="006C4368">
      <w:pPr>
        <w:pStyle w:val="Footnote"/>
        <w:bidi/>
      </w:pPr>
      <w:r>
        <w:rPr>
          <w:rStyle w:val="ac"/>
        </w:rPr>
        <w:footnoteRef/>
      </w:r>
      <w:r>
        <w:rPr>
          <w:rtl/>
        </w:rPr>
        <w:t>[וי"ג חיקו]. ו</w:t>
      </w:r>
      <w:r>
        <w:rPr>
          <w:b/>
          <w:bCs/>
          <w:rtl/>
        </w:rPr>
        <w:t>מהר"י קורקוס</w:t>
      </w:r>
      <w:r>
        <w:rPr>
          <w:rtl/>
        </w:rPr>
        <w:t xml:space="preserve"> דן אי הוה לשון 'חוק' או לשון חווק כף היד. וה</w:t>
      </w:r>
      <w:r>
        <w:rPr>
          <w:b/>
          <w:bCs/>
          <w:rtl/>
        </w:rPr>
        <w:t>דרך אמונה</w:t>
      </w:r>
      <w:r>
        <w:rPr>
          <w:rtl/>
        </w:rPr>
        <w:t xml:space="preserve"> (ביאוה"ה) פי' דלא קאי אברכת כהנים, אלא הפי' יודע לפרוס חיקו, לפרוס כנף בגדו שיתנו לו תרומה לתוך חיקו. דדרכן היה ליתן פירות לתוך חיקן</w:t>
      </w:r>
      <w:r>
        <w:t>.</w:t>
      </w:r>
    </w:p>
  </w:footnote>
  <w:footnote w:id="6467">
    <w:p w14:paraId="66F49686" w14:textId="77777777" w:rsidR="006C4368" w:rsidRDefault="006C4368" w:rsidP="006C4368">
      <w:pPr>
        <w:pStyle w:val="Footnote"/>
        <w:bidi/>
      </w:pPr>
      <w:r>
        <w:rPr>
          <w:rStyle w:val="ac"/>
        </w:rPr>
        <w:footnoteRef/>
      </w:r>
      <w:r>
        <w:rPr>
          <w:rtl/>
        </w:rPr>
        <w:t>וה</w:t>
      </w:r>
      <w:r>
        <w:rPr>
          <w:b/>
          <w:bCs/>
          <w:rtl/>
        </w:rPr>
        <w:t>ריטב"א</w:t>
      </w:r>
      <w:r>
        <w:rPr>
          <w:rtl/>
        </w:rPr>
        <w:t xml:space="preserve"> (סוכה) חלק דאי' קטן היודע לפרוס, ולא שיהא פורס בפועל. וסגי שיש לו דעת לפרוס חולקין לו תרומה</w:t>
      </w:r>
      <w:r>
        <w:t>.</w:t>
      </w:r>
    </w:p>
  </w:footnote>
  <w:footnote w:id="6468">
    <w:p w14:paraId="503F6F37" w14:textId="77777777" w:rsidR="006C4368" w:rsidRDefault="006C4368" w:rsidP="006C4368">
      <w:pPr>
        <w:pStyle w:val="Footnote"/>
        <w:bidi/>
      </w:pPr>
      <w:r>
        <w:rPr>
          <w:rStyle w:val="ac"/>
        </w:rPr>
        <w:footnoteRef/>
      </w:r>
      <w:r>
        <w:rPr>
          <w:rtl/>
        </w:rPr>
        <w:t>ומבואר בפוסקים דהוה אפי' בקביעות, ודוקא לישא כפיו לבדו ל"מ בקביעות [משום כבוד הציבור]. [אבל ה</w:t>
      </w:r>
      <w:r>
        <w:rPr>
          <w:b/>
          <w:bCs/>
          <w:rtl/>
        </w:rPr>
        <w:t>פרמ"ג</w:t>
      </w:r>
      <w:r>
        <w:rPr>
          <w:rtl/>
        </w:rPr>
        <w:t xml:space="preserve"> (שם מ"ז לא) כת' בדעת הט"ז דהוה דוקא באקראי. אך שאר מפרשים פי' דברי הט"ז באופ"א]</w:t>
      </w:r>
      <w:r>
        <w:t>.</w:t>
      </w:r>
    </w:p>
  </w:footnote>
  <w:footnote w:id="6469">
    <w:p w14:paraId="2C9A7756" w14:textId="77777777" w:rsidR="006C4368" w:rsidRDefault="006C4368" w:rsidP="006C4368">
      <w:pPr>
        <w:pStyle w:val="Footnote"/>
        <w:bidi/>
      </w:pPr>
      <w:r>
        <w:rPr>
          <w:rStyle w:val="ac"/>
        </w:rPr>
        <w:footnoteRef/>
      </w:r>
      <w:r>
        <w:t>[</w:t>
      </w:r>
      <w:r>
        <w:rPr>
          <w:rtl/>
        </w:rPr>
        <w:t>ולכאורה משמע דאינו קיום המצווה ממש, אלא לבסם הקול. אך מבואר בפוסקים שמברך אקב”ו וכו</w:t>
      </w:r>
      <w:r>
        <w:t>'].</w:t>
      </w:r>
    </w:p>
  </w:footnote>
  <w:footnote w:id="6470">
    <w:p w14:paraId="3CE0D65D" w14:textId="77777777" w:rsidR="006C4368" w:rsidRDefault="006C4368" w:rsidP="006C4368">
      <w:pPr>
        <w:pStyle w:val="Footnote"/>
        <w:bidi/>
      </w:pPr>
      <w:r>
        <w:rPr>
          <w:rStyle w:val="ac"/>
        </w:rPr>
        <w:footnoteRef/>
      </w:r>
      <w:r>
        <w:rPr>
          <w:rtl/>
        </w:rPr>
        <w:t>[וכ"מ במהר"י קורקוס תרומות]. ודלא כ</w:t>
      </w:r>
      <w:r>
        <w:rPr>
          <w:b/>
          <w:bCs/>
          <w:rtl/>
        </w:rPr>
        <w:t>כס"מ</w:t>
      </w:r>
      <w:r>
        <w:rPr>
          <w:rtl/>
        </w:rPr>
        <w:t xml:space="preserve"> (שם) שהביא חילוק זה אף בדעת הרמב"ם. וכן ב</w:t>
      </w:r>
      <w:r>
        <w:rPr>
          <w:b/>
          <w:bCs/>
          <w:rtl/>
        </w:rPr>
        <w:t>ב"י</w:t>
      </w:r>
      <w:r>
        <w:rPr>
          <w:rtl/>
        </w:rPr>
        <w:t xml:space="preserve"> ו</w:t>
      </w:r>
      <w:r>
        <w:rPr>
          <w:b/>
          <w:bCs/>
          <w:rtl/>
        </w:rPr>
        <w:t>שו"ע</w:t>
      </w:r>
      <w:r>
        <w:rPr>
          <w:rtl/>
        </w:rPr>
        <w:t xml:space="preserve"> (או"ח קכח לד) לא הביא חולק</w:t>
      </w:r>
      <w:r>
        <w:t>.</w:t>
      </w:r>
    </w:p>
  </w:footnote>
  <w:footnote w:id="6471">
    <w:p w14:paraId="188C8980" w14:textId="77777777" w:rsidR="006C4368" w:rsidRDefault="006C4368" w:rsidP="006C4368">
      <w:pPr>
        <w:pStyle w:val="Footnote"/>
        <w:bidi/>
      </w:pPr>
      <w:r>
        <w:rPr>
          <w:rStyle w:val="ac"/>
        </w:rPr>
        <w:footnoteRef/>
      </w:r>
      <w:r>
        <w:rPr>
          <w:rtl/>
        </w:rPr>
        <w:t>וה</w:t>
      </w:r>
      <w:r>
        <w:rPr>
          <w:b/>
          <w:bCs/>
          <w:rtl/>
        </w:rPr>
        <w:t>רשב"א</w:t>
      </w:r>
      <w:r>
        <w:rPr>
          <w:rtl/>
        </w:rPr>
        <w:t xml:space="preserve"> הוסיף דומיא דטומטום ואנדרוגינוס (בסמוך)</w:t>
      </w:r>
      <w:r>
        <w:t>.</w:t>
      </w:r>
    </w:p>
  </w:footnote>
  <w:footnote w:id="6472">
    <w:p w14:paraId="6283B390" w14:textId="77777777" w:rsidR="006C4368" w:rsidRDefault="006C4368" w:rsidP="006C4368">
      <w:pPr>
        <w:pStyle w:val="Footnote"/>
        <w:bidi/>
      </w:pPr>
      <w:r>
        <w:rPr>
          <w:rStyle w:val="ac"/>
        </w:rPr>
        <w:footnoteRef/>
      </w:r>
      <w:r>
        <w:rPr>
          <w:rtl/>
        </w:rPr>
        <w:t>וה</w:t>
      </w:r>
      <w:r>
        <w:rPr>
          <w:b/>
          <w:bCs/>
          <w:rtl/>
        </w:rPr>
        <w:t>רשב"א</w:t>
      </w:r>
      <w:r>
        <w:rPr>
          <w:rtl/>
        </w:rPr>
        <w:t xml:space="preserve"> הק' א"כ מ"ט משגרין לבתיהם. וה</w:t>
      </w:r>
      <w:r>
        <w:rPr>
          <w:b/>
          <w:bCs/>
          <w:rtl/>
        </w:rPr>
        <w:t>ריטב"א</w:t>
      </w:r>
      <w:r>
        <w:rPr>
          <w:rtl/>
        </w:rPr>
        <w:t xml:space="preserve"> תי' דהיינו לאשר על בתיהם [אפוטרופוס]. [ואפשר דאף בגורן נותנים לאפוטרופוס]</w:t>
      </w:r>
      <w:r>
        <w:t>.</w:t>
      </w:r>
    </w:p>
  </w:footnote>
  <w:footnote w:id="6473">
    <w:p w14:paraId="718C80C3" w14:textId="77777777" w:rsidR="006C4368" w:rsidRDefault="006C4368" w:rsidP="006C4368">
      <w:pPr>
        <w:pStyle w:val="Footnote"/>
        <w:bidi/>
      </w:pPr>
      <w:r>
        <w:rPr>
          <w:rStyle w:val="ac"/>
        </w:rPr>
        <w:footnoteRef/>
      </w:r>
      <w:r>
        <w:rPr>
          <w:rtl/>
        </w:rPr>
        <w:t xml:space="preserve">ועד”ז כת' </w:t>
      </w:r>
      <w:r>
        <w:rPr>
          <w:b/>
          <w:bCs/>
          <w:rtl/>
        </w:rPr>
        <w:t>תוס'</w:t>
      </w:r>
      <w:r>
        <w:rPr>
          <w:rtl/>
        </w:rPr>
        <w:t xml:space="preserve"> (לעיל פג.) דאף למ”ד אנדרוגינוס ספק, מ”מ נקרא בריה. [אלא דתוס' פי' דכוונת הגמ' דהנידון על מין האנדרוגינוס דלעולם הוה אותו ספק, ול”ד לטומטום דכל א' הוה ספק בפנ”ע]</w:t>
      </w:r>
      <w:r>
        <w:t>.</w:t>
      </w:r>
    </w:p>
  </w:footnote>
  <w:footnote w:id="6474">
    <w:p w14:paraId="3634B6CC" w14:textId="77777777" w:rsidR="006C4368" w:rsidRDefault="006C4368" w:rsidP="006C4368">
      <w:pPr>
        <w:pStyle w:val="Footnote"/>
        <w:bidi/>
      </w:pPr>
      <w:r>
        <w:rPr>
          <w:rStyle w:val="ac"/>
        </w:rPr>
        <w:footnoteRef/>
      </w:r>
      <w:r>
        <w:rPr>
          <w:rtl/>
        </w:rPr>
        <w:t>אך יש לדחות דהגמ' (כאן) עדיין לא ידעו טעם דאשה, ובשלמא כאן יש טעם אחר. ואילו אליבא דאמת הוה מטעם אשה</w:t>
      </w:r>
      <w:r>
        <w:t>.</w:t>
      </w:r>
    </w:p>
  </w:footnote>
  <w:footnote w:id="6475">
    <w:p w14:paraId="1F5570A0" w14:textId="77777777" w:rsidR="006C4368" w:rsidRDefault="006C4368" w:rsidP="006C4368">
      <w:pPr>
        <w:pStyle w:val="Footnote"/>
        <w:bidi/>
      </w:pPr>
      <w:r>
        <w:rPr>
          <w:rStyle w:val="ac"/>
        </w:rPr>
        <w:footnoteRef/>
      </w:r>
      <w:r>
        <w:rPr>
          <w:rtl/>
        </w:rPr>
        <w:t>דהאיש מותר להתייחד עמו, אבל אסור לאנדרוגינוס להתייחד עם אשה [אבל טומטום אינו ראוי לביאה]. וה</w:t>
      </w:r>
      <w:r>
        <w:rPr>
          <w:b/>
          <w:bCs/>
          <w:rtl/>
        </w:rPr>
        <w:t>אחרונים</w:t>
      </w:r>
      <w:r>
        <w:rPr>
          <w:rtl/>
        </w:rPr>
        <w:t xml:space="preserve"> הק' דב</w:t>
      </w:r>
      <w:r>
        <w:rPr>
          <w:b/>
          <w:bCs/>
          <w:rtl/>
        </w:rPr>
        <w:t>תוספתא</w:t>
      </w:r>
      <w:r>
        <w:rPr>
          <w:rtl/>
        </w:rPr>
        <w:t xml:space="preserve"> (ביכורים ד) אי' דאנדרוגינוס שווה לאשה, דאסור להתייחד. ואכמ"ל</w:t>
      </w:r>
      <w:r>
        <w:t>.</w:t>
      </w:r>
    </w:p>
  </w:footnote>
  <w:footnote w:id="6476">
    <w:p w14:paraId="2BCE6CAA" w14:textId="77777777" w:rsidR="006C4368" w:rsidRDefault="006C4368" w:rsidP="006C4368">
      <w:pPr>
        <w:pStyle w:val="Footnote"/>
        <w:bidi/>
      </w:pPr>
      <w:r>
        <w:rPr>
          <w:rStyle w:val="ac"/>
        </w:rPr>
        <w:footnoteRef/>
      </w:r>
      <w:r>
        <w:rPr>
          <w:rtl/>
        </w:rPr>
        <w:t>בבת ישראל אשת כהן, היכא דאין לה בן מהכהן</w:t>
      </w:r>
      <w:r>
        <w:t>.</w:t>
      </w:r>
    </w:p>
  </w:footnote>
  <w:footnote w:id="6477">
    <w:p w14:paraId="292B74A0" w14:textId="77777777" w:rsidR="006C4368" w:rsidRDefault="006C4368" w:rsidP="006C4368">
      <w:pPr>
        <w:pStyle w:val="Footnote"/>
        <w:bidi/>
      </w:pPr>
      <w:r>
        <w:rPr>
          <w:rStyle w:val="ac"/>
        </w:rPr>
        <w:footnoteRef/>
      </w:r>
      <w:r>
        <w:rPr>
          <w:rtl/>
        </w:rPr>
        <w:t>יל"ד אי קאי בבת כהן האוכלת מחמת אביה. או בת כהן הנשואה לכהן וחייב לתרתי, שמא תתגרש ותנשא לאחר. [אך אפשר דבת כהן הנשואה לכהן הוה משום לא פלוג]</w:t>
      </w:r>
      <w:r>
        <w:t>.</w:t>
      </w:r>
    </w:p>
  </w:footnote>
  <w:footnote w:id="6478">
    <w:p w14:paraId="0325E0D1" w14:textId="77777777" w:rsidR="006C4368" w:rsidRDefault="006C4368" w:rsidP="006C4368">
      <w:pPr>
        <w:pStyle w:val="Footnote"/>
        <w:bidi/>
      </w:pPr>
      <w:r>
        <w:rPr>
          <w:rStyle w:val="ac"/>
        </w:rPr>
        <w:footnoteRef/>
      </w:r>
      <w:r>
        <w:rPr>
          <w:rtl/>
        </w:rPr>
        <w:t>וכן האריך ה</w:t>
      </w:r>
      <w:r>
        <w:rPr>
          <w:b/>
          <w:bCs/>
          <w:rtl/>
        </w:rPr>
        <w:t>דר"א</w:t>
      </w:r>
      <w:r>
        <w:rPr>
          <w:rtl/>
        </w:rPr>
        <w:t xml:space="preserve"> בביאוה"ה, והביא דנפק"מ במעשר עני דל"ש גרושה. ומהא דאין חולקין לאשה במעשר עני המתחלק בגורן, ע”כ דחששו משום יחוד</w:t>
      </w:r>
      <w:r>
        <w:t>.</w:t>
      </w:r>
    </w:p>
  </w:footnote>
  <w:footnote w:id="6479">
    <w:p w14:paraId="5F2E585D" w14:textId="77777777" w:rsidR="006C4368" w:rsidRDefault="006C4368" w:rsidP="006C4368">
      <w:pPr>
        <w:pStyle w:val="Footnote"/>
        <w:bidi/>
      </w:pPr>
      <w:r>
        <w:rPr>
          <w:rStyle w:val="ac"/>
        </w:rPr>
        <w:footnoteRef/>
      </w:r>
      <w:r>
        <w:rPr>
          <w:rtl/>
        </w:rPr>
        <w:t>ויל"ד אי טעם זה שייך בזה"ז, דכולנו בחזקת טמאים</w:t>
      </w:r>
      <w:r>
        <w:t>.</w:t>
      </w:r>
    </w:p>
  </w:footnote>
  <w:footnote w:id="6480">
    <w:p w14:paraId="1000C899" w14:textId="77777777" w:rsidR="006C4368" w:rsidRDefault="006C4368" w:rsidP="006C4368">
      <w:pPr>
        <w:pStyle w:val="Footnote"/>
        <w:bidi/>
      </w:pPr>
      <w:r>
        <w:rPr>
          <w:rStyle w:val="ac"/>
        </w:rPr>
        <w:footnoteRef/>
      </w:r>
      <w:r>
        <w:rPr>
          <w:rtl/>
        </w:rPr>
        <w:t>ויל"ד לדברי התוס' (לעיל ע.) היכא דאינו מל מחמת יראה</w:t>
      </w:r>
      <w:r>
        <w:t>.</w:t>
      </w:r>
    </w:p>
  </w:footnote>
  <w:footnote w:id="6481">
    <w:p w14:paraId="091C53C7" w14:textId="77777777" w:rsidR="006C4368" w:rsidRDefault="006C4368" w:rsidP="006C4368">
      <w:pPr>
        <w:pStyle w:val="Footnote"/>
        <w:bidi/>
      </w:pPr>
      <w:r>
        <w:rPr>
          <w:rStyle w:val="ac"/>
        </w:rPr>
        <w:footnoteRef/>
      </w:r>
      <w:r>
        <w:rPr>
          <w:rtl/>
        </w:rPr>
        <w:t>וה</w:t>
      </w:r>
      <w:r>
        <w:rPr>
          <w:b/>
          <w:bCs/>
          <w:rtl/>
        </w:rPr>
        <w:t>ערול"נ</w:t>
      </w:r>
      <w:r>
        <w:rPr>
          <w:rtl/>
        </w:rPr>
        <w:t xml:space="preserve"> כת' די"ל דה</w:t>
      </w:r>
      <w:r>
        <w:rPr>
          <w:b/>
          <w:bCs/>
          <w:rtl/>
        </w:rPr>
        <w:t>רמב"ם</w:t>
      </w:r>
      <w:r>
        <w:rPr>
          <w:rtl/>
        </w:rPr>
        <w:t xml:space="preserve"> (מעש"ש ג ד, ע' לעיל עד.) פסק כר"ע (לעיל עב: וכ”מ) דבכל מקום ערל כטמא, ומש"ה אף לענין זה</w:t>
      </w:r>
      <w:r>
        <w:t>.</w:t>
      </w:r>
    </w:p>
  </w:footnote>
  <w:footnote w:id="6482">
    <w:p w14:paraId="1EC6A3A1" w14:textId="77777777" w:rsidR="006C4368" w:rsidRDefault="006C4368" w:rsidP="006C4368">
      <w:pPr>
        <w:pStyle w:val="Footnote"/>
        <w:bidi/>
      </w:pPr>
      <w:r>
        <w:rPr>
          <w:rStyle w:val="ac"/>
        </w:rPr>
        <w:footnoteRef/>
      </w:r>
      <w:r>
        <w:rPr>
          <w:rtl/>
        </w:rPr>
        <w:t>כן דייק הדרך אמונה (שם צה"ה דש)</w:t>
      </w:r>
      <w:r>
        <w:t>.</w:t>
      </w:r>
    </w:p>
  </w:footnote>
  <w:footnote w:id="6483">
    <w:p w14:paraId="45802304" w14:textId="77777777" w:rsidR="006C4368" w:rsidRDefault="006C4368" w:rsidP="006C4368">
      <w:pPr>
        <w:pStyle w:val="Footnote"/>
        <w:bidi/>
      </w:pPr>
      <w:r>
        <w:rPr>
          <w:rStyle w:val="ac"/>
        </w:rPr>
        <w:footnoteRef/>
      </w:r>
      <w:r>
        <w:rPr>
          <w:rtl/>
        </w:rPr>
        <w:t xml:space="preserve">בשם </w:t>
      </w:r>
      <w:r>
        <w:rPr>
          <w:b/>
          <w:bCs/>
          <w:rtl/>
        </w:rPr>
        <w:t>מהר"י אבוהב</w:t>
      </w:r>
      <w:r>
        <w:rPr>
          <w:rtl/>
        </w:rPr>
        <w:t xml:space="preserve"> (קלה) בשם </w:t>
      </w:r>
      <w:r>
        <w:rPr>
          <w:b/>
          <w:bCs/>
          <w:rtl/>
        </w:rPr>
        <w:t>מר שמואל כהן</w:t>
      </w:r>
      <w:r>
        <w:rPr>
          <w:rtl/>
        </w:rPr>
        <w:t xml:space="preserve"> [ויש שהביאו דהוא מר שמואל כהן בן חפני הגאון], ובשם </w:t>
      </w:r>
      <w:r>
        <w:rPr>
          <w:b/>
          <w:bCs/>
          <w:rtl/>
        </w:rPr>
        <w:t>שו"ת הרשב"א</w:t>
      </w:r>
      <w:r>
        <w:rPr>
          <w:rtl/>
        </w:rPr>
        <w:t xml:space="preserve"> (ז כא). ובתחילת דבריו נקט הב"י דסתימת הפוסקים דכשר לדוכן. וכ"מ ב</w:t>
      </w:r>
      <w:r>
        <w:rPr>
          <w:b/>
          <w:bCs/>
          <w:rtl/>
        </w:rPr>
        <w:t>רמב"ם</w:t>
      </w:r>
      <w:r>
        <w:rPr>
          <w:rtl/>
        </w:rPr>
        <w:t xml:space="preserve"> (תפילה טו ג). אך שוב כת' דכיון דל"מ בפוסקים שהתירו בפירוש, פוסקים כדברי האוסרים. וע"ע </w:t>
      </w:r>
      <w:r>
        <w:rPr>
          <w:b/>
          <w:bCs/>
          <w:rtl/>
        </w:rPr>
        <w:t>ר"א מזרחי</w:t>
      </w:r>
      <w:r>
        <w:rPr>
          <w:rtl/>
        </w:rPr>
        <w:t xml:space="preserve"> (א נט)</w:t>
      </w:r>
      <w:r>
        <w:t>.</w:t>
      </w:r>
    </w:p>
  </w:footnote>
  <w:footnote w:id="6484">
    <w:p w14:paraId="5FCC2DE3" w14:textId="77777777" w:rsidR="006C4368" w:rsidRDefault="006C4368" w:rsidP="006C4368">
      <w:pPr>
        <w:pStyle w:val="Footnote"/>
        <w:bidi/>
      </w:pPr>
      <w:r>
        <w:rPr>
          <w:rStyle w:val="ac"/>
        </w:rPr>
        <w:footnoteRef/>
      </w:r>
      <w:r>
        <w:rPr>
          <w:rtl/>
        </w:rPr>
        <w:t xml:space="preserve">והר"ן הביא עוד </w:t>
      </w:r>
      <w:r>
        <w:rPr>
          <w:b/>
          <w:bCs/>
          <w:rtl/>
        </w:rPr>
        <w:t>י"מ</w:t>
      </w:r>
      <w:r>
        <w:rPr>
          <w:rtl/>
        </w:rPr>
        <w:t xml:space="preserve"> איפכא, דהנותר ממנו בימות החמה שאחר ימות הגשמים מניחו בגורן. וכדעת תוס' (כאן או בחולין)</w:t>
      </w:r>
      <w:r>
        <w:t>.</w:t>
      </w:r>
    </w:p>
  </w:footnote>
  <w:footnote w:id="6485">
    <w:p w14:paraId="37094AB6" w14:textId="77777777" w:rsidR="006C4368" w:rsidRDefault="006C4368" w:rsidP="006C4368">
      <w:pPr>
        <w:pStyle w:val="Footnote"/>
        <w:bidi/>
      </w:pPr>
      <w:r>
        <w:rPr>
          <w:rStyle w:val="ac"/>
        </w:rPr>
        <w:footnoteRef/>
      </w:r>
      <w:r>
        <w:rPr>
          <w:rtl/>
        </w:rPr>
        <w:t>אך אפשר דאמרי' אם יבא אליהו וכו', ושמא יבא לידי בירור</w:t>
      </w:r>
      <w:r>
        <w:t>.</w:t>
      </w:r>
    </w:p>
  </w:footnote>
  <w:footnote w:id="6486">
    <w:p w14:paraId="7A83FB82" w14:textId="77777777" w:rsidR="006C4368" w:rsidRDefault="006C4368" w:rsidP="006C4368">
      <w:pPr>
        <w:pStyle w:val="Footnote"/>
        <w:bidi/>
      </w:pPr>
      <w:r>
        <w:rPr>
          <w:rStyle w:val="ac"/>
        </w:rPr>
        <w:footnoteRef/>
      </w:r>
      <w:r>
        <w:rPr>
          <w:rtl/>
        </w:rPr>
        <w:t>ועוד הוסיפו תוס' דאיכא למ"ד דאף היכא דאין לו אשה ובנים רבו מוסר לו שפחה. [וה</w:t>
      </w:r>
      <w:r>
        <w:rPr>
          <w:b/>
          <w:bCs/>
          <w:rtl/>
        </w:rPr>
        <w:t>אחרונים</w:t>
      </w:r>
      <w:r>
        <w:rPr>
          <w:rtl/>
        </w:rPr>
        <w:t xml:space="preserve"> דנו דל"מ מ"ד דרבו מוסר]</w:t>
      </w:r>
      <w:r>
        <w:t>.</w:t>
      </w:r>
    </w:p>
  </w:footnote>
  <w:footnote w:id="6487">
    <w:p w14:paraId="3454B0CC" w14:textId="77777777" w:rsidR="006C4368" w:rsidRDefault="006C4368" w:rsidP="006C4368">
      <w:pPr>
        <w:pStyle w:val="Footnote"/>
        <w:bidi/>
      </w:pPr>
      <w:r>
        <w:rPr>
          <w:rStyle w:val="ac"/>
        </w:rPr>
        <w:footnoteRef/>
      </w:r>
      <w:r>
        <w:rPr>
          <w:rtl/>
        </w:rPr>
        <w:t>אך אנן קי"ל דמוכר עצמו אין רבו מוסר לו שפחה (ע' קידושין סט.)</w:t>
      </w:r>
      <w:r>
        <w:t>.</w:t>
      </w:r>
    </w:p>
  </w:footnote>
  <w:footnote w:id="6488">
    <w:p w14:paraId="300F64A4" w14:textId="77777777" w:rsidR="006C4368" w:rsidRDefault="006C4368" w:rsidP="006C4368">
      <w:pPr>
        <w:pStyle w:val="Footnote"/>
        <w:bidi/>
      </w:pPr>
      <w:r>
        <w:rPr>
          <w:rStyle w:val="ac"/>
        </w:rPr>
        <w:footnoteRef/>
      </w:r>
      <w:r>
        <w:rPr>
          <w:rtl/>
        </w:rPr>
        <w:t>ו</w:t>
      </w:r>
      <w:r>
        <w:rPr>
          <w:b/>
          <w:bCs/>
          <w:rtl/>
        </w:rPr>
        <w:t>תוס'</w:t>
      </w:r>
      <w:r>
        <w:rPr>
          <w:rtl/>
        </w:rPr>
        <w:t xml:space="preserve"> (ב"ב יג.) תי' דאין זו תקנה, דאסור למכור עצמו בע"ע, וכדאי' (קידושין כב.) אוזן ששמעה על הר סיני כי לי בנ"י עבדים וכו</w:t>
      </w:r>
      <w:r>
        <w:t>'.</w:t>
      </w:r>
    </w:p>
  </w:footnote>
  <w:footnote w:id="6489">
    <w:p w14:paraId="5994BBF2" w14:textId="77777777" w:rsidR="006C4368" w:rsidRDefault="006C4368" w:rsidP="006C4368">
      <w:pPr>
        <w:pStyle w:val="Footnote"/>
        <w:bidi/>
      </w:pPr>
      <w:r>
        <w:rPr>
          <w:rStyle w:val="ac"/>
        </w:rPr>
        <w:footnoteRef/>
      </w:r>
      <w:r>
        <w:rPr>
          <w:rtl/>
        </w:rPr>
        <w:t>ו</w:t>
      </w:r>
      <w:r>
        <w:rPr>
          <w:b/>
          <w:bCs/>
          <w:rtl/>
        </w:rPr>
        <w:t>תוס</w:t>
      </w:r>
      <w:r>
        <w:rPr>
          <w:rtl/>
        </w:rPr>
        <w:t>' (ב"ב יג. וכ"מ) כת' גבי חצי עבד דאילו היה יכול לקיים מצוות שבת לא כייפינן משום שהוא אנוס. ה"מ בחצי עבד, אבל הכא ספק הוה ישראל מעליא ומש"ה מחוייב בפר"ו. והאבנ"מ הוסיף דהכא יכולים לשחרר זה את זה, ולא הוה אנוסים</w:t>
      </w:r>
      <w:r>
        <w:t>.</w:t>
      </w:r>
    </w:p>
  </w:footnote>
  <w:footnote w:id="6490">
    <w:p w14:paraId="39FB20FC" w14:textId="77777777" w:rsidR="006C4368" w:rsidRDefault="006C4368" w:rsidP="006C4368">
      <w:pPr>
        <w:pStyle w:val="Footnote"/>
        <w:bidi/>
      </w:pPr>
      <w:r>
        <w:rPr>
          <w:rStyle w:val="ac"/>
        </w:rPr>
        <w:footnoteRef/>
      </w:r>
      <w:r>
        <w:rPr>
          <w:rtl/>
        </w:rPr>
        <w:t>וה</w:t>
      </w:r>
      <w:r>
        <w:rPr>
          <w:b/>
          <w:bCs/>
          <w:rtl/>
        </w:rPr>
        <w:t>נמוק"י הגרי"ב</w:t>
      </w:r>
      <w:r>
        <w:rPr>
          <w:rtl/>
        </w:rPr>
        <w:t xml:space="preserve"> כת' בן י"ח [שהוא זמנו לינשא]</w:t>
      </w:r>
      <w:r>
        <w:t>.</w:t>
      </w:r>
    </w:p>
  </w:footnote>
  <w:footnote w:id="6491">
    <w:p w14:paraId="722D36DD" w14:textId="77777777" w:rsidR="006C4368" w:rsidRDefault="006C4368" w:rsidP="006C4368">
      <w:pPr>
        <w:pStyle w:val="Footnote"/>
        <w:bidi/>
      </w:pPr>
      <w:r>
        <w:rPr>
          <w:rStyle w:val="ac"/>
        </w:rPr>
        <w:footnoteRef/>
      </w:r>
      <w:r>
        <w:rPr>
          <w:rtl/>
        </w:rPr>
        <w:t xml:space="preserve">וכת' דעד"ז בחצי עבד, עד שיהא בן כ' יום של רבו לרבו. ואי"צ להעמיד ביתומים קטנים או בחציה שפחה וכמ”ש </w:t>
      </w:r>
      <w:r>
        <w:rPr>
          <w:b/>
          <w:bCs/>
          <w:rtl/>
        </w:rPr>
        <w:t>תוס'</w:t>
      </w:r>
      <w:r>
        <w:rPr>
          <w:rtl/>
        </w:rPr>
        <w:t xml:space="preserve"> (גיטין מב.)</w:t>
      </w:r>
      <w:r>
        <w:t>.</w:t>
      </w:r>
    </w:p>
  </w:footnote>
  <w:footnote w:id="6492">
    <w:p w14:paraId="4B9EBBE3" w14:textId="77777777" w:rsidR="006C4368" w:rsidRDefault="006C4368" w:rsidP="006C4368">
      <w:pPr>
        <w:pStyle w:val="Footnote"/>
        <w:bidi/>
      </w:pPr>
      <w:r>
        <w:rPr>
          <w:rStyle w:val="ac"/>
        </w:rPr>
        <w:footnoteRef/>
      </w:r>
      <w:r>
        <w:rPr>
          <w:rtl/>
        </w:rPr>
        <w:t>ובפשוטו לא קי"ל כר"א, דה</w:t>
      </w:r>
      <w:r>
        <w:rPr>
          <w:b/>
          <w:bCs/>
          <w:rtl/>
        </w:rPr>
        <w:t>רמב"ם</w:t>
      </w:r>
      <w:r>
        <w:rPr>
          <w:rtl/>
        </w:rPr>
        <w:t xml:space="preserve"> (פסוה"מ ו כ) פסק בתערובת תעובר צורתם. אבל ה</w:t>
      </w:r>
      <w:r>
        <w:rPr>
          <w:b/>
          <w:bCs/>
          <w:rtl/>
        </w:rPr>
        <w:t>רמב"ם</w:t>
      </w:r>
      <w:r>
        <w:rPr>
          <w:rtl/>
        </w:rPr>
        <w:t xml:space="preserve"> (איסו"מ ה ג) הביא מעין לשון זה גבי איסור דהקרבת שאור ודבש, דלשם עצים מותר. וה</w:t>
      </w:r>
      <w:r>
        <w:rPr>
          <w:b/>
          <w:bCs/>
          <w:rtl/>
        </w:rPr>
        <w:t>אחרונים</w:t>
      </w:r>
      <w:r>
        <w:rPr>
          <w:rtl/>
        </w:rPr>
        <w:t xml:space="preserve"> דנו אי קאי כר”א, או דהוה דרשא בפנ”ע גבי שאור ודבש</w:t>
      </w:r>
      <w:r>
        <w:t>.</w:t>
      </w:r>
    </w:p>
  </w:footnote>
  <w:footnote w:id="6493">
    <w:p w14:paraId="239ADA32" w14:textId="77777777" w:rsidR="006C4368" w:rsidRDefault="006C4368" w:rsidP="006C4368">
      <w:pPr>
        <w:pStyle w:val="Footnote"/>
        <w:bidi/>
      </w:pPr>
      <w:r>
        <w:rPr>
          <w:rStyle w:val="ac"/>
        </w:rPr>
        <w:footnoteRef/>
      </w:r>
      <w:r>
        <w:rPr>
          <w:rtl/>
        </w:rPr>
        <w:t>אך הביא ד</w:t>
      </w:r>
      <w:r>
        <w:rPr>
          <w:b/>
          <w:bCs/>
          <w:rtl/>
        </w:rPr>
        <w:t>תוס</w:t>
      </w:r>
      <w:r>
        <w:rPr>
          <w:rtl/>
        </w:rPr>
        <w:t>' (זבחים פא:) מבואר דפוסל</w:t>
      </w:r>
      <w:r>
        <w:t>.</w:t>
      </w:r>
    </w:p>
  </w:footnote>
  <w:footnote w:id="6494">
    <w:p w14:paraId="06B164C4" w14:textId="77777777" w:rsidR="006C4368" w:rsidRDefault="006C4368" w:rsidP="006C4368">
      <w:pPr>
        <w:pStyle w:val="Footnote"/>
        <w:bidi/>
      </w:pPr>
      <w:r>
        <w:rPr>
          <w:rStyle w:val="ac"/>
        </w:rPr>
        <w:footnoteRef/>
      </w:r>
      <w:r>
        <w:rPr>
          <w:rtl/>
        </w:rPr>
        <w:t>ויל"ד דאפשר דאף רבנן מודו דמדאורייתא פטור היכא דהוה לשם עצים, אלא דס"ל דלא הותר לעשות כן משום תקנת קרבן. {ועפ"ז מתיישב דברי הרמב"ם הנ"ל}</w:t>
      </w:r>
      <w:r>
        <w:t>.</w:t>
      </w:r>
    </w:p>
  </w:footnote>
  <w:footnote w:id="6495">
    <w:p w14:paraId="5E737A4F" w14:textId="77777777" w:rsidR="006C4368" w:rsidRDefault="006C4368" w:rsidP="006C4368">
      <w:pPr>
        <w:pStyle w:val="Footnote"/>
        <w:bidi/>
      </w:pPr>
      <w:r>
        <w:rPr>
          <w:rStyle w:val="ac"/>
        </w:rPr>
        <w:footnoteRef/>
      </w:r>
      <w:r>
        <w:rPr>
          <w:rtl/>
        </w:rPr>
        <w:t>ולכאורה י"ל דאה"נ, ועל הצד שהוא כהן הוה פסול, ולא עשה כלום, אלא דלא עבר איסור. ואפ"ה מחוייב להקריבו דלצד שהוא זר הוה מנחה כשירה. [וי"ל דלא ניח”ל לשיטמ”ק בזה, דמשמע דהמנחה כשירה]</w:t>
      </w:r>
      <w:r>
        <w:t>.</w:t>
      </w:r>
    </w:p>
  </w:footnote>
  <w:footnote w:id="6496">
    <w:p w14:paraId="0F281101" w14:textId="77777777" w:rsidR="006C4368" w:rsidRDefault="006C4368" w:rsidP="006C4368">
      <w:pPr>
        <w:pStyle w:val="Footnote"/>
        <w:bidi/>
      </w:pPr>
      <w:r>
        <w:rPr>
          <w:rStyle w:val="ac"/>
        </w:rPr>
        <w:footnoteRef/>
      </w:r>
      <w:r>
        <w:rPr>
          <w:rtl/>
        </w:rPr>
        <w:t>וכן יש עצה שכהן וישראל יקדישו מנחה בתנאי, וכה"ג ממ"נ א' יקריבו כדין מנחת כהן, וא' כמנחת ישראל</w:t>
      </w:r>
      <w:r>
        <w:t>.</w:t>
      </w:r>
    </w:p>
  </w:footnote>
  <w:footnote w:id="6497">
    <w:p w14:paraId="0F2100D9" w14:textId="77777777" w:rsidR="006C4368" w:rsidRDefault="006C4368" w:rsidP="006C4368">
      <w:pPr>
        <w:pStyle w:val="Footnote"/>
        <w:bidi/>
      </w:pPr>
      <w:r>
        <w:rPr>
          <w:rStyle w:val="ac"/>
        </w:rPr>
        <w:footnoteRef/>
      </w:r>
      <w:r>
        <w:rPr>
          <w:rtl/>
        </w:rPr>
        <w:t>ו</w:t>
      </w:r>
      <w:r>
        <w:rPr>
          <w:b/>
          <w:bCs/>
          <w:rtl/>
        </w:rPr>
        <w:t>תוס</w:t>
      </w:r>
      <w:r>
        <w:rPr>
          <w:rtl/>
        </w:rPr>
        <w:t>' הביאו ממס' שמחות (ד ב, עי”ש) הספיקות אוננים ומתאבלים עליהם, ופי' בספק בן תשעה לראשון או שבעה לאחרון</w:t>
      </w:r>
      <w:r>
        <w:t>.</w:t>
      </w:r>
    </w:p>
  </w:footnote>
  <w:footnote w:id="6498">
    <w:p w14:paraId="002A4221" w14:textId="77777777" w:rsidR="006C4368" w:rsidRDefault="006C4368" w:rsidP="006C4368">
      <w:pPr>
        <w:pStyle w:val="Footnote"/>
        <w:bidi/>
      </w:pPr>
      <w:r>
        <w:rPr>
          <w:rStyle w:val="ac"/>
        </w:rPr>
        <w:footnoteRef/>
      </w:r>
      <w:r>
        <w:rPr>
          <w:rtl/>
        </w:rPr>
        <w:t>אבל דעת ה</w:t>
      </w:r>
      <w:r>
        <w:rPr>
          <w:b/>
          <w:bCs/>
          <w:rtl/>
        </w:rPr>
        <w:t>אור זרוע</w:t>
      </w:r>
      <w:r>
        <w:rPr>
          <w:rtl/>
        </w:rPr>
        <w:t xml:space="preserve"> (ח"ב תכח עמ' פח:, הו' בהג' אשר”י מו”ק ג צד) כת' דאחרון מתאבל עליו ולא ראשון. וביאר דגנאי הוא שלא יתאבלו לא זה ולא זה, ולא יתכן שיתאבלו שניהם, דודאי הוה רק של א' מהם. הילכך השני מתאבל, דמיחזי כבנו, שאמו של זה תחתיו כשנולד [ומבואר דהוה סברות מדרבנן]. וה</w:t>
      </w:r>
      <w:r>
        <w:rPr>
          <w:b/>
          <w:bCs/>
          <w:rtl/>
        </w:rPr>
        <w:t>ב"י</w:t>
      </w:r>
      <w:r>
        <w:rPr>
          <w:rtl/>
        </w:rPr>
        <w:t xml:space="preserve"> (יו"ד שעד) כת' דלא ידע מנין לו</w:t>
      </w:r>
      <w:r>
        <w:t>.</w:t>
      </w:r>
    </w:p>
  </w:footnote>
  <w:footnote w:id="6499">
    <w:p w14:paraId="70378F6D" w14:textId="77777777" w:rsidR="006C4368" w:rsidRDefault="006C4368" w:rsidP="006C4368">
      <w:pPr>
        <w:pStyle w:val="Footnote"/>
        <w:bidi/>
      </w:pPr>
      <w:r>
        <w:rPr>
          <w:rStyle w:val="ac"/>
        </w:rPr>
        <w:footnoteRef/>
      </w:r>
      <w:r>
        <w:rPr>
          <w:rtl/>
        </w:rPr>
        <w:t>ובמשנה (צט.) דכהנת שנתערב ולדה לא הוזכר נפק"מ לירושה. ולכאורה הטעם משום דהם יורשים את אביהם, ומקבלים ממ"נ חלק א' ביניהם ע”י הרשאה [אילו שניהם חיים]</w:t>
      </w:r>
      <w:r>
        <w:t>.</w:t>
      </w:r>
    </w:p>
    <w:p w14:paraId="1E864595" w14:textId="77777777" w:rsidR="006C4368" w:rsidRDefault="006C4368" w:rsidP="006C4368">
      <w:pPr>
        <w:pStyle w:val="Footnote"/>
        <w:bidi/>
      </w:pPr>
      <w:r>
        <w:tab/>
      </w:r>
      <w:r>
        <w:rPr>
          <w:rtl/>
        </w:rPr>
        <w:t xml:space="preserve">אמנם בגמ' (בכורות מז: וקכז.) אי' דהיכא דלא הוכרו מעולם אינם מקבלים חלק בכורה ע”י הרשאה. ומדברי </w:t>
      </w:r>
      <w:r>
        <w:rPr>
          <w:b/>
          <w:bCs/>
          <w:rtl/>
        </w:rPr>
        <w:t>רשב"ם</w:t>
      </w:r>
      <w:r>
        <w:rPr>
          <w:rtl/>
        </w:rPr>
        <w:t xml:space="preserve"> (ב"ב שם) מבואר דהנידון דוקא בחלק בכורה, ונוטל חלק פשיטות ע"י הרשאה. [וכ"כ ה</w:t>
      </w:r>
      <w:r>
        <w:rPr>
          <w:b/>
          <w:bCs/>
          <w:rtl/>
        </w:rPr>
        <w:t>פוסקים</w:t>
      </w:r>
      <w:r>
        <w:rPr>
          <w:rtl/>
        </w:rPr>
        <w:t xml:space="preserve"> חו"מ רעז]. אבל ה</w:t>
      </w:r>
      <w:r>
        <w:rPr>
          <w:b/>
          <w:bCs/>
          <w:rtl/>
        </w:rPr>
        <w:t>מהרי"ט אלגאזי</w:t>
      </w:r>
      <w:r>
        <w:rPr>
          <w:rtl/>
        </w:rPr>
        <w:t xml:space="preserve"> (שם סח א נח: בדה"ר) דייק מדברי </w:t>
      </w:r>
      <w:r>
        <w:rPr>
          <w:b/>
          <w:bCs/>
          <w:rtl/>
        </w:rPr>
        <w:t>רש”י</w:t>
      </w:r>
      <w:r>
        <w:rPr>
          <w:rtl/>
        </w:rPr>
        <w:t xml:space="preserve"> (בכורות) דאף חלק פשוט ל"מ הרשאה. [וצ”ב דירושה הוה ממילא, ואף כשלא הוכר זכה. והמהריט”א ביאר דמ”מ ל"מ הרשאה בממון שלא היה לו זכות בו מעולם. וע”ע שער משפט רעז ב]</w:t>
      </w:r>
      <w:r>
        <w:t>.</w:t>
      </w:r>
    </w:p>
  </w:footnote>
  <w:footnote w:id="6500">
    <w:p w14:paraId="20282618" w14:textId="77777777" w:rsidR="006C4368" w:rsidRDefault="006C4368" w:rsidP="006C4368">
      <w:pPr>
        <w:pStyle w:val="Footnote"/>
        <w:bidi/>
      </w:pPr>
      <w:r>
        <w:rPr>
          <w:rStyle w:val="ac"/>
        </w:rPr>
        <w:footnoteRef/>
      </w:r>
      <w:r>
        <w:rPr>
          <w:rtl/>
        </w:rPr>
        <w:t>וכת' דכ"מ מפרש"י</w:t>
      </w:r>
      <w:r>
        <w:t>.</w:t>
      </w:r>
    </w:p>
  </w:footnote>
  <w:footnote w:id="6501">
    <w:p w14:paraId="3F4A2CB4" w14:textId="77777777" w:rsidR="006C4368" w:rsidRDefault="006C4368" w:rsidP="006C4368">
      <w:pPr>
        <w:pStyle w:val="Footnote"/>
        <w:bidi/>
      </w:pPr>
      <w:r>
        <w:rPr>
          <w:rStyle w:val="ac"/>
        </w:rPr>
        <w:footnoteRef/>
      </w:r>
      <w:r>
        <w:rPr>
          <w:rtl/>
        </w:rPr>
        <w:t>ויש שהק' דבגמ' (פסחים עב:) אי' דאכילת תרומה איקרי עבודה. [וי"ל דמ"מ הותר לכהן לאוכלו אף שלא בתורת עבודה. וה</w:t>
      </w:r>
      <w:r>
        <w:rPr>
          <w:b/>
          <w:bCs/>
          <w:rtl/>
        </w:rPr>
        <w:t>צל"ח</w:t>
      </w:r>
      <w:r>
        <w:rPr>
          <w:rtl/>
        </w:rPr>
        <w:t xml:space="preserve"> (ברכות ב.) כת' דאכילת נשי כהונה לא איקרי עבודה]</w:t>
      </w:r>
      <w:r>
        <w:t>.</w:t>
      </w:r>
    </w:p>
  </w:footnote>
  <w:footnote w:id="6502">
    <w:p w14:paraId="1BA1C1E5" w14:textId="77777777" w:rsidR="006C4368" w:rsidRDefault="006C4368" w:rsidP="006C4368">
      <w:pPr>
        <w:pStyle w:val="Footnote"/>
        <w:bidi/>
      </w:pPr>
      <w:r>
        <w:rPr>
          <w:rStyle w:val="ac"/>
        </w:rPr>
        <w:footnoteRef/>
      </w:r>
      <w:r>
        <w:rPr>
          <w:rtl/>
        </w:rPr>
        <w:t>וה</w:t>
      </w:r>
      <w:r>
        <w:rPr>
          <w:b/>
          <w:bCs/>
          <w:rtl/>
        </w:rPr>
        <w:t>ריטב"א</w:t>
      </w:r>
      <w:r>
        <w:rPr>
          <w:rtl/>
        </w:rPr>
        <w:t xml:space="preserve"> ביאר דטעם זה שייך בכהנים ולענין עבודה, דודאי בישראל כשר הוא ליוחסין</w:t>
      </w:r>
      <w:r>
        <w:t>.</w:t>
      </w:r>
    </w:p>
  </w:footnote>
  <w:footnote w:id="6503">
    <w:p w14:paraId="27983321" w14:textId="77777777" w:rsidR="006C4368" w:rsidRDefault="006C4368" w:rsidP="006C4368">
      <w:pPr>
        <w:pStyle w:val="Footnote"/>
        <w:bidi/>
      </w:pPr>
      <w:r>
        <w:rPr>
          <w:rStyle w:val="ac"/>
        </w:rPr>
        <w:footnoteRef/>
      </w:r>
      <w:r>
        <w:rPr>
          <w:rtl/>
        </w:rPr>
        <w:t>ובפשוטו הוה דרשא גמורה. וכ"כ הנוב"י (ק' יג). אבל ה</w:t>
      </w:r>
      <w:r>
        <w:rPr>
          <w:b/>
          <w:bCs/>
          <w:rtl/>
        </w:rPr>
        <w:t>בי"ש</w:t>
      </w:r>
      <w:r>
        <w:rPr>
          <w:rtl/>
        </w:rPr>
        <w:t xml:space="preserve"> (יג א) כת' דהוה אסמכתא בעלמא. [ועי"ש פתח"ת]</w:t>
      </w:r>
      <w:r>
        <w:t>.</w:t>
      </w:r>
    </w:p>
  </w:footnote>
  <w:footnote w:id="6504">
    <w:p w14:paraId="14EE30AA" w14:textId="77777777" w:rsidR="006C4368" w:rsidRDefault="006C4368" w:rsidP="006C4368">
      <w:pPr>
        <w:pStyle w:val="Footnote"/>
        <w:bidi/>
      </w:pPr>
      <w:r>
        <w:rPr>
          <w:rStyle w:val="ac"/>
        </w:rPr>
        <w:footnoteRef/>
      </w:r>
      <w:r>
        <w:rPr>
          <w:rtl/>
        </w:rPr>
        <w:t>לשון הריטב"א 'לא צריכי' צ"ב, דמסקנת הגמ' (שם) משום גזירות מדרבנן. והאיך נאמר דמש"ה ל"צ קרא. והול"ל דלמסקנת הגמ' הוה מטעם אחר, וקי"ל לגמ' דלא דרשי' הך דרשא</w:t>
      </w:r>
      <w:r>
        <w:t>.</w:t>
      </w:r>
    </w:p>
  </w:footnote>
  <w:footnote w:id="6505">
    <w:p w14:paraId="10CD9BAA" w14:textId="77777777" w:rsidR="006C4368" w:rsidRDefault="006C4368" w:rsidP="006C4368">
      <w:pPr>
        <w:pStyle w:val="Footnote"/>
        <w:bidi/>
      </w:pPr>
      <w:r>
        <w:rPr>
          <w:rStyle w:val="ac"/>
        </w:rPr>
        <w:footnoteRef/>
      </w:r>
      <w:r>
        <w:rPr>
          <w:rtl/>
        </w:rPr>
        <w:t>צ"ב אמאי הק' דוקא משפחות, הא כל מי שנשא הוה נכרית אא"כ גיירה. ואפשר דשפחה לא תלי בדידה, דמחוסרת שחרור. {ואפשר דנקט דעובדת כוכבים דוקא אמרי' דהולך אחריה, אבל מי שאינו עובד ע"ז אינו נמשך אחריה. דקודם מתן תורה כל מי שהלך בדרך ישרה אינו בכלל דיני עכו"ם}</w:t>
      </w:r>
      <w:r>
        <w:t>.</w:t>
      </w:r>
    </w:p>
  </w:footnote>
  <w:footnote w:id="6506">
    <w:p w14:paraId="3AD97B2F" w14:textId="77777777" w:rsidR="006C4368" w:rsidRDefault="006C4368" w:rsidP="006C4368">
      <w:pPr>
        <w:pStyle w:val="Footnote"/>
        <w:bidi/>
      </w:pPr>
      <w:r>
        <w:rPr>
          <w:rStyle w:val="ac"/>
        </w:rPr>
        <w:footnoteRef/>
      </w:r>
      <w:r>
        <w:rPr>
          <w:rtl/>
        </w:rPr>
        <w:t>והביא מהגמ' (גיטין מ.) דהנושא שפחתו ממילא נשתחררה. ואף אי היתה שפחה של שרה, במה שמסרתו לאברהם היה שחרור. כדין המשיא עבדו לבת חורין (שם)</w:t>
      </w:r>
      <w:r>
        <w:t>.</w:t>
      </w:r>
    </w:p>
  </w:footnote>
  <w:footnote w:id="6507">
    <w:p w14:paraId="44579D48" w14:textId="77777777" w:rsidR="006C4368" w:rsidRDefault="006C4368" w:rsidP="006C4368">
      <w:pPr>
        <w:pStyle w:val="Footnote"/>
        <w:bidi/>
      </w:pPr>
      <w:r>
        <w:rPr>
          <w:rStyle w:val="ac"/>
        </w:rPr>
        <w:footnoteRef/>
      </w:r>
      <w:r>
        <w:rPr>
          <w:rtl/>
        </w:rPr>
        <w:t>והוסיף דאי' (לעיל מו:) דכל גר אינו מצווה במצות עד אחר מילה. אך הביא דה</w:t>
      </w:r>
      <w:r>
        <w:rPr>
          <w:b/>
          <w:bCs/>
          <w:rtl/>
        </w:rPr>
        <w:t xml:space="preserve">ר"א מזרחי </w:t>
      </w:r>
      <w:r>
        <w:rPr>
          <w:rtl/>
        </w:rPr>
        <w:t>(בראשית יז כה) נקט דקיים כל התורה, ומטעם אחר לא מל, דיודע היה דעתיד להצטוות עליה ואז יהיה מצווה ועושה</w:t>
      </w:r>
      <w:r>
        <w:t>.</w:t>
      </w:r>
    </w:p>
  </w:footnote>
  <w:footnote w:id="6508">
    <w:p w14:paraId="70399983" w14:textId="77777777" w:rsidR="006C4368" w:rsidRDefault="006C4368" w:rsidP="006C4368">
      <w:pPr>
        <w:pStyle w:val="Footnote"/>
        <w:bidi/>
      </w:pPr>
      <w:r>
        <w:rPr>
          <w:rStyle w:val="ac"/>
        </w:rPr>
        <w:footnoteRef/>
      </w:r>
      <w:r>
        <w:t>[</w:t>
      </w:r>
      <w:r>
        <w:rPr>
          <w:rtl/>
        </w:rPr>
        <w:t>ולפ"ז צ"ל דקטורה היתה אשה אחרת, ולא היתה מצרית</w:t>
      </w:r>
      <w:r>
        <w:t>].</w:t>
      </w:r>
    </w:p>
  </w:footnote>
  <w:footnote w:id="6509">
    <w:p w14:paraId="6CC325EE" w14:textId="77777777" w:rsidR="006C4368" w:rsidRDefault="006C4368" w:rsidP="006C4368">
      <w:pPr>
        <w:pStyle w:val="Footnote"/>
        <w:bidi/>
      </w:pPr>
      <w:r>
        <w:rPr>
          <w:rStyle w:val="ac"/>
        </w:rPr>
        <w:footnoteRef/>
      </w:r>
      <w:r>
        <w:rPr>
          <w:rtl/>
        </w:rPr>
        <w:t>והביא מהגמ' (ב"ב קכז.) דהוכרו ולבסוף נתערבו. ועוד הביא מה</w:t>
      </w:r>
      <w:r>
        <w:rPr>
          <w:b/>
          <w:bCs/>
          <w:rtl/>
        </w:rPr>
        <w:t>תו”כ</w:t>
      </w:r>
      <w:r>
        <w:rPr>
          <w:rtl/>
        </w:rPr>
        <w:t xml:space="preserve"> מה אמו ידוע וכו', והלא בנתערבו אח”כ לא ידוע איזה אמו. [ויל"ד היכא שנולדו במחבוא, שלא היה מבורר לנו שעה א'. ונפק”מ בין טעמים אלו]</w:t>
      </w:r>
      <w:r>
        <w:t>.</w:t>
      </w:r>
    </w:p>
  </w:footnote>
  <w:footnote w:id="6510">
    <w:p w14:paraId="159318AB" w14:textId="77777777" w:rsidR="006C4368" w:rsidRDefault="006C4368" w:rsidP="006C4368">
      <w:pPr>
        <w:pStyle w:val="Footnote"/>
        <w:bidi/>
      </w:pPr>
      <w:r>
        <w:rPr>
          <w:rStyle w:val="ac"/>
        </w:rPr>
        <w:footnoteRef/>
      </w:r>
      <w:r>
        <w:rPr>
          <w:rtl/>
        </w:rPr>
        <w:t>וה</w:t>
      </w:r>
      <w:r>
        <w:rPr>
          <w:b/>
          <w:bCs/>
          <w:rtl/>
        </w:rPr>
        <w:t>רש"ש</w:t>
      </w:r>
      <w:r>
        <w:rPr>
          <w:rtl/>
        </w:rPr>
        <w:t xml:space="preserve"> כת' די"ל דהמשנה נקט 'כהן' משום הא דאין מטמאין לו. תדע דהא דינא דהוא אונן עליהם והם עליו ודאי היה יכול להשמיענו בישראלים</w:t>
      </w:r>
      <w:r>
        <w:t>.</w:t>
      </w:r>
    </w:p>
  </w:footnote>
  <w:footnote w:id="6511">
    <w:p w14:paraId="47261FAD" w14:textId="77777777" w:rsidR="006C4368" w:rsidRDefault="006C4368" w:rsidP="006C4368">
      <w:pPr>
        <w:pStyle w:val="Footnote"/>
        <w:bidi/>
      </w:pPr>
      <w:r>
        <w:rPr>
          <w:rStyle w:val="ac"/>
        </w:rPr>
        <w:footnoteRef/>
      </w:r>
      <w:r>
        <w:rPr>
          <w:rtl/>
        </w:rPr>
        <w:t>ו</w:t>
      </w:r>
      <w:r>
        <w:rPr>
          <w:b/>
          <w:bCs/>
          <w:rtl/>
        </w:rPr>
        <w:t>ה"ה</w:t>
      </w:r>
      <w:r>
        <w:rPr>
          <w:rtl/>
        </w:rPr>
        <w:t xml:space="preserve"> ציין המקור דאי' (קידושין עז.) דחלל יצירתו בעבירה. [והכא הוה לאחר שכבר נוצר]</w:t>
      </w:r>
      <w:r>
        <w:t>.</w:t>
      </w:r>
    </w:p>
  </w:footnote>
  <w:footnote w:id="6512">
    <w:p w14:paraId="1C9A1B99" w14:textId="77777777" w:rsidR="006C4368" w:rsidRDefault="006C4368" w:rsidP="006C4368">
      <w:pPr>
        <w:pStyle w:val="Footnote"/>
        <w:bidi/>
      </w:pPr>
      <w:r>
        <w:rPr>
          <w:rStyle w:val="ac"/>
        </w:rPr>
        <w:footnoteRef/>
      </w:r>
      <w:r>
        <w:rPr>
          <w:rtl/>
        </w:rPr>
        <w:t>דבלאו הכי אסור מספק [למ"ד ספק דאורייתא לחומרא]. וה</w:t>
      </w:r>
      <w:r>
        <w:rPr>
          <w:b/>
          <w:bCs/>
          <w:rtl/>
        </w:rPr>
        <w:t xml:space="preserve">קובה"ע </w:t>
      </w:r>
      <w:r>
        <w:rPr>
          <w:rtl/>
        </w:rPr>
        <w:t>הק' דאיצטריך קרא דנלמד דהוה בתורת ודאי, ולוקה עליו. [דאף אי קמי שמיא גליא שהוא קרובו, אינו רשאי לטמאות]. אך הביא דבסוגיין מבואר דלא נתמעט כה"ג</w:t>
      </w:r>
      <w:r>
        <w:t>.</w:t>
      </w:r>
    </w:p>
  </w:footnote>
  <w:footnote w:id="6513">
    <w:p w14:paraId="5F2177B3" w14:textId="77777777" w:rsidR="006C4368" w:rsidRDefault="006C4368" w:rsidP="006C4368">
      <w:pPr>
        <w:pStyle w:val="Footnote"/>
        <w:bidi/>
      </w:pPr>
      <w:r>
        <w:rPr>
          <w:rStyle w:val="ac"/>
        </w:rPr>
        <w:footnoteRef/>
      </w:r>
      <w:r>
        <w:rPr>
          <w:rtl/>
        </w:rPr>
        <w:t>דקי"ל פנוי הבא על הפנויה לא עשאה זונה, ומותרת לכהונה</w:t>
      </w:r>
      <w:r>
        <w:t>.</w:t>
      </w:r>
    </w:p>
  </w:footnote>
  <w:footnote w:id="6514">
    <w:p w14:paraId="21F9F3EF" w14:textId="77777777" w:rsidR="006C4368" w:rsidRDefault="006C4368" w:rsidP="006C4368">
      <w:pPr>
        <w:pStyle w:val="Footnote"/>
        <w:bidi/>
      </w:pPr>
      <w:r>
        <w:rPr>
          <w:rStyle w:val="ac"/>
        </w:rPr>
        <w:footnoteRef/>
      </w:r>
      <w:r>
        <w:rPr>
          <w:rtl/>
        </w:rPr>
        <w:t>וה</w:t>
      </w:r>
      <w:r>
        <w:rPr>
          <w:b/>
          <w:bCs/>
          <w:rtl/>
        </w:rPr>
        <w:t>בי"ש</w:t>
      </w:r>
      <w:r>
        <w:rPr>
          <w:rtl/>
        </w:rPr>
        <w:t xml:space="preserve"> חלק דמבואר [במשנה] דלכל דבר הוה ספק ולא רק לחומרא דתרומה. ולדברי ה</w:t>
      </w:r>
      <w:r>
        <w:rPr>
          <w:b/>
          <w:bCs/>
          <w:rtl/>
        </w:rPr>
        <w:t>חלק"מ</w:t>
      </w:r>
      <w:r>
        <w:rPr>
          <w:rtl/>
        </w:rPr>
        <w:t xml:space="preserve"> תלינן בנישואין</w:t>
      </w:r>
      <w:r>
        <w:t>.</w:t>
      </w:r>
    </w:p>
  </w:footnote>
  <w:footnote w:id="6515">
    <w:p w14:paraId="0D0FCC81" w14:textId="77777777" w:rsidR="006C4368" w:rsidRDefault="006C4368" w:rsidP="006C4368">
      <w:pPr>
        <w:pStyle w:val="Footnote"/>
        <w:bidi/>
      </w:pPr>
      <w:r>
        <w:rPr>
          <w:rStyle w:val="ac"/>
        </w:rPr>
        <w:footnoteRef/>
      </w:r>
      <w:r>
        <w:rPr>
          <w:rtl/>
        </w:rPr>
        <w:t>דה</w:t>
      </w:r>
      <w:r>
        <w:rPr>
          <w:b/>
          <w:bCs/>
          <w:rtl/>
        </w:rPr>
        <w:t>רמ"א</w:t>
      </w:r>
      <w:r>
        <w:rPr>
          <w:rtl/>
        </w:rPr>
        <w:t xml:space="preserve"> (ג ט, בשם ר' ירוחם) כת' דזינתה עם כהן ותוך ג' חדשים נשאת לכהן אחר, הולד פסול [דאינו מיוחס]. והחלק"מ כת' דלפ"ז ה"ה להיפך זינתה לאחר מיתת בעלה. [וה</w:t>
      </w:r>
      <w:r>
        <w:rPr>
          <w:b/>
          <w:bCs/>
          <w:rtl/>
        </w:rPr>
        <w:t>בי"ש</w:t>
      </w:r>
      <w:r>
        <w:rPr>
          <w:rtl/>
        </w:rPr>
        <w:t xml:space="preserve"> (טז) כת' דאינו מוכרח]. וה</w:t>
      </w:r>
      <w:r>
        <w:rPr>
          <w:b/>
          <w:bCs/>
          <w:rtl/>
        </w:rPr>
        <w:t>חלק"מ</w:t>
      </w:r>
      <w:r>
        <w:rPr>
          <w:rtl/>
        </w:rPr>
        <w:t xml:space="preserve"> ביאר דלענין כהונה החמירו.</w:t>
      </w:r>
    </w:p>
  </w:footnote>
  <w:footnote w:id="6516">
    <w:p w14:paraId="32251894" w14:textId="77777777" w:rsidR="006C4368" w:rsidRDefault="006C4368" w:rsidP="006C4368">
      <w:pPr>
        <w:pStyle w:val="Footnote"/>
        <w:bidi/>
      </w:pPr>
      <w:r>
        <w:rPr>
          <w:rStyle w:val="ac"/>
        </w:rPr>
        <w:footnoteRef/>
      </w:r>
      <w:r>
        <w:rPr>
          <w:rtl/>
        </w:rPr>
        <w:t>משמע מדבריו דנחשב ודאי אינו מיוחס. אך בפשוטו הוה ספק, ועל הצד שנולד לזה בזנות נחשב אינו מיוחס</w:t>
      </w:r>
      <w:r>
        <w:t>.</w:t>
      </w:r>
    </w:p>
  </w:footnote>
  <w:footnote w:id="6517">
    <w:p w14:paraId="542CA395" w14:textId="77777777" w:rsidR="006C4368" w:rsidRDefault="006C4368" w:rsidP="006C4368">
      <w:pPr>
        <w:pStyle w:val="Footnote"/>
        <w:bidi/>
      </w:pPr>
      <w:r>
        <w:rPr>
          <w:rStyle w:val="ac"/>
        </w:rPr>
        <w:footnoteRef/>
      </w:r>
      <w:r>
        <w:rPr>
          <w:rtl/>
        </w:rPr>
        <w:t>וסיים ומיהו לא דחינן מסקנא בדוכתא מסוגיא בעלמא</w:t>
      </w:r>
      <w:r>
        <w:t>.</w:t>
      </w:r>
    </w:p>
  </w:footnote>
  <w:footnote w:id="6518">
    <w:p w14:paraId="4F8C5F59" w14:textId="77777777" w:rsidR="006C4368" w:rsidRDefault="006C4368" w:rsidP="006C4368">
      <w:pPr>
        <w:pStyle w:val="Footnote"/>
        <w:bidi/>
      </w:pPr>
      <w:r>
        <w:rPr>
          <w:rStyle w:val="ac"/>
        </w:rPr>
        <w:footnoteRef/>
      </w:r>
      <w:r>
        <w:rPr>
          <w:rtl/>
        </w:rPr>
        <w:t>וה</w:t>
      </w:r>
      <w:r>
        <w:rPr>
          <w:b/>
          <w:bCs/>
          <w:rtl/>
        </w:rPr>
        <w:t>קובה"ע</w:t>
      </w:r>
      <w:r>
        <w:rPr>
          <w:rtl/>
        </w:rPr>
        <w:t xml:space="preserve"> (עד א) ציין דרש"י דידן משמע דב' הכאות הוה התראת ספק. [דכל מעשה הוה ספק איסור, וההתראה מתייחסת לכל מעשה בפנ"ע. וה</w:t>
      </w:r>
      <w:r>
        <w:rPr>
          <w:b/>
          <w:bCs/>
          <w:rtl/>
        </w:rPr>
        <w:t>קוב"ש</w:t>
      </w:r>
      <w:r>
        <w:rPr>
          <w:rtl/>
        </w:rPr>
        <w:t xml:space="preserve"> (ח"ב שבועות ב) ביאר דכיון דא' מהמעשים הוה מעשה היתר נחשב התראת ספק]. ואילו </w:t>
      </w:r>
      <w:r>
        <w:rPr>
          <w:b/>
          <w:bCs/>
          <w:rtl/>
        </w:rPr>
        <w:t>רש"י</w:t>
      </w:r>
      <w:r>
        <w:rPr>
          <w:rtl/>
        </w:rPr>
        <w:t xml:space="preserve"> (חולין פב:) מבואר דמתייחס לזמן א</w:t>
      </w:r>
      <w:r>
        <w:t>'.</w:t>
      </w:r>
    </w:p>
  </w:footnote>
  <w:footnote w:id="6519">
    <w:p w14:paraId="5732B977" w14:textId="77777777" w:rsidR="006C4368" w:rsidRDefault="006C4368" w:rsidP="006C4368">
      <w:pPr>
        <w:pStyle w:val="Footnote"/>
        <w:bidi/>
      </w:pPr>
      <w:r>
        <w:rPr>
          <w:rStyle w:val="ac"/>
        </w:rPr>
        <w:footnoteRef/>
      </w:r>
      <w:r>
        <w:rPr>
          <w:rtl/>
        </w:rPr>
        <w:t>אך יל"ד במקלל משכח"ל במעשה א', שיקלל את אביו האמיתי בכל מקום שהוא</w:t>
      </w:r>
      <w:r>
        <w:t>.</w:t>
      </w:r>
    </w:p>
  </w:footnote>
  <w:footnote w:id="6520">
    <w:p w14:paraId="5001E5CB" w14:textId="77777777" w:rsidR="006C4368" w:rsidRDefault="006C4368" w:rsidP="006C4368">
      <w:pPr>
        <w:pStyle w:val="Footnote"/>
        <w:bidi/>
      </w:pPr>
      <w:r>
        <w:rPr>
          <w:rStyle w:val="ac"/>
        </w:rPr>
        <w:footnoteRef/>
      </w:r>
      <w:r>
        <w:rPr>
          <w:rtl/>
        </w:rPr>
        <w:t>וה</w:t>
      </w:r>
      <w:r>
        <w:rPr>
          <w:b/>
          <w:bCs/>
          <w:rtl/>
        </w:rPr>
        <w:t>ערול"נ</w:t>
      </w:r>
      <w:r>
        <w:rPr>
          <w:rtl/>
        </w:rPr>
        <w:t xml:space="preserve"> כת' דחזקיה (במנחות) חולק על התוספתא. וע"ע חת"ס (או"ח ר)</w:t>
      </w:r>
      <w:r>
        <w:t>.</w:t>
      </w:r>
    </w:p>
  </w:footnote>
  <w:footnote w:id="6521">
    <w:p w14:paraId="73D9753C" w14:textId="77777777" w:rsidR="006C4368" w:rsidRDefault="006C4368" w:rsidP="006C4368">
      <w:pPr>
        <w:pStyle w:val="Footnote"/>
        <w:bidi/>
      </w:pPr>
      <w:r>
        <w:rPr>
          <w:rStyle w:val="ac"/>
        </w:rPr>
        <w:footnoteRef/>
      </w:r>
      <w:r>
        <w:rPr>
          <w:rtl/>
        </w:rPr>
        <w:t>ולכאורה רש"י נקט להו"א דהגמ', דלמסקנא כוונת המשנה עולה בע"כ</w:t>
      </w:r>
      <w:r>
        <w:t>.</w:t>
      </w:r>
    </w:p>
    <w:p w14:paraId="78736C7D" w14:textId="77777777" w:rsidR="006C4368" w:rsidRDefault="006C4368" w:rsidP="006C4368">
      <w:pPr>
        <w:pStyle w:val="Footnote"/>
        <w:bidi/>
      </w:pPr>
      <w:r>
        <w:tab/>
        <w:t>[</w:t>
      </w:r>
      <w:r>
        <w:rPr>
          <w:rtl/>
        </w:rPr>
        <w:t>אך העירו דה</w:t>
      </w:r>
      <w:r>
        <w:rPr>
          <w:b/>
          <w:bCs/>
          <w:rtl/>
        </w:rPr>
        <w:t>רמב"ם</w:t>
      </w:r>
      <w:r>
        <w:rPr>
          <w:rtl/>
        </w:rPr>
        <w:t xml:space="preserve"> (איסו"ב כ יח) סתם דעולה, ולא פירש דעולה בע"כ. וב</w:t>
      </w:r>
      <w:r>
        <w:rPr>
          <w:b/>
          <w:bCs/>
          <w:rtl/>
        </w:rPr>
        <w:t>שו"ת דברי מלכיאל</w:t>
      </w:r>
      <w:r>
        <w:rPr>
          <w:rtl/>
        </w:rPr>
        <w:t xml:space="preserve"> (א צו יז) כת' דהרמב"ם פי' דסברת פגם משפחה הוא טעם שאינם מונעים ממנו לעבוד. ולא גרס דעולה בע"כ</w:t>
      </w:r>
      <w:r>
        <w:t>].</w:t>
      </w:r>
    </w:p>
  </w:footnote>
  <w:footnote w:id="6522">
    <w:p w14:paraId="7F15F49D" w14:textId="77777777" w:rsidR="006C4368" w:rsidRDefault="006C4368" w:rsidP="006C4368">
      <w:pPr>
        <w:pStyle w:val="Footnote"/>
        <w:bidi/>
      </w:pPr>
      <w:r>
        <w:rPr>
          <w:rStyle w:val="ac"/>
        </w:rPr>
        <w:footnoteRef/>
      </w:r>
      <w:r>
        <w:rPr>
          <w:rtl/>
        </w:rPr>
        <w:t>אך לענין גזל הגר מבואר (ב”ק קי.) דמתחלק לכל בני המשמר, ולא הוזכר דמתחלק לפי בית האב של אותו יום. וה</w:t>
      </w:r>
      <w:r>
        <w:rPr>
          <w:b/>
          <w:bCs/>
          <w:rtl/>
        </w:rPr>
        <w:t>תוס' רי"ד</w:t>
      </w:r>
      <w:r>
        <w:rPr>
          <w:rtl/>
        </w:rPr>
        <w:t xml:space="preserve"> (ב"ק קט:) ביאר דדוקא הקרבנות ואכילת הבשר וחילוק הפירות היה חלוקים לבתי אבות, וכל בית אב זוכה ביומו. אבל גזל הגר ושדה אחוזה שהן אקראי בעלמא הן לכל בני המשמרה. וע"ע </w:t>
      </w:r>
      <w:r>
        <w:rPr>
          <w:b/>
          <w:bCs/>
          <w:rtl/>
        </w:rPr>
        <w:t>אבה"א</w:t>
      </w:r>
      <w:r>
        <w:rPr>
          <w:rtl/>
        </w:rPr>
        <w:t xml:space="preserve"> (כלי המקדש ד ה)</w:t>
      </w:r>
      <w:r>
        <w:t>.</w:t>
      </w:r>
    </w:p>
  </w:footnote>
  <w:footnote w:id="6523">
    <w:p w14:paraId="1961A5E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רמב"ם</w:t>
      </w:r>
      <w:r w:rsidRPr="00D65870">
        <w:rPr>
          <w:rFonts w:ascii="Narkisim" w:hAnsi="Narkisim"/>
          <w:rtl/>
        </w:rPr>
        <w:t xml:space="preserve"> (יבום ד א) כת' כיצד מצוות חליצה וכו', והביא את המשנה לקמן קו:]. ועוד אפשר ד'מצוות' פי' כתיקונו, וה"ק סדר החליצה כתיקונו בג' דיינים.</w:t>
      </w:r>
    </w:p>
  </w:footnote>
  <w:footnote w:id="6524">
    <w:p w14:paraId="52268A8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מרומי שדה</w:t>
      </w:r>
      <w:r w:rsidRPr="00D65870">
        <w:rPr>
          <w:rFonts w:ascii="Narkisim" w:hAnsi="Narkisim"/>
          <w:rtl/>
        </w:rPr>
        <w:t xml:space="preserve"> (כאן) דלשון המשנה מבואר דהוה מצווה מצד עצמו, אפי' אינה רוצה לינשא. והביא עוד מהגמ' (סנהדרין לא:) דהיבמה הולכת אחר היבם להתירה, ואת"ל כל הנידון משום היתר, פשיטא דמאן דכאיב ליה ליזיל לבי אסא. [ויש לדחות דס"ד דהוה מצווה על היבם לילך ולהתירה. וכס"ד גבי פריקה וטעינה דהבעלים אומר עליך מצווה. ואדרבה שם מבואר הטעם דהולך אחריה 'להתירה'].</w:t>
      </w:r>
    </w:p>
  </w:footnote>
  <w:footnote w:id="6525">
    <w:p w14:paraId="2B9E11D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ה</w:t>
      </w:r>
      <w:r w:rsidRPr="00D65870">
        <w:rPr>
          <w:rFonts w:ascii="Narkisim" w:hAnsi="Narkisim"/>
          <w:b/>
          <w:bCs/>
          <w:rtl/>
        </w:rPr>
        <w:t>עונג יו"ט</w:t>
      </w:r>
      <w:r w:rsidRPr="00D65870">
        <w:rPr>
          <w:rFonts w:ascii="Narkisim" w:hAnsi="Narkisim"/>
          <w:rtl/>
        </w:rPr>
        <w:t xml:space="preserve"> דחה דכעי”ז אי' דמצוות פדיון פטר חמור קודם למצוות עריפה, וה</w:t>
      </w:r>
      <w:r w:rsidRPr="00D65870">
        <w:rPr>
          <w:rFonts w:ascii="Narkisim" w:hAnsi="Narkisim"/>
          <w:b/>
          <w:bCs/>
          <w:rtl/>
        </w:rPr>
        <w:t>רמב”ם</w:t>
      </w:r>
      <w:r w:rsidRPr="00D65870">
        <w:rPr>
          <w:rFonts w:ascii="Narkisim" w:hAnsi="Narkisim"/>
          <w:rtl/>
        </w:rPr>
        <w:t xml:space="preserve"> (בכורים יב א) כת' דהוה ב' מצוות, אלא שקודם. וה</w:t>
      </w:r>
      <w:r w:rsidRPr="00D65870">
        <w:rPr>
          <w:rFonts w:ascii="Narkisim" w:hAnsi="Narkisim"/>
          <w:b/>
          <w:bCs/>
          <w:rtl/>
        </w:rPr>
        <w:t>ראב”ד</w:t>
      </w:r>
      <w:r w:rsidRPr="00D65870">
        <w:rPr>
          <w:rFonts w:ascii="Narkisim" w:hAnsi="Narkisim"/>
          <w:rtl/>
        </w:rPr>
        <w:t xml:space="preserve"> השיג דעריפה לא תחשב מצוה [אבל היא עבירה ומזיק נקרא ומפסיד ממונו של כהן], ונקט מצוות עריפה אגב שאמר מצות פדייה. [אך ודאי מחוייב לערוף, אלא דהמצווה על הבעלים הוא בפדיון].</w:t>
      </w:r>
    </w:p>
  </w:footnote>
  <w:footnote w:id="6526">
    <w:p w14:paraId="6A1E93E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וכמו גירושין דהוה 'מתיר', והיכא דאינה רוצה לינשא אין שום תועלת בעצם הגירושין. [ואף דה</w:t>
      </w:r>
      <w:r w:rsidRPr="00D65870">
        <w:rPr>
          <w:rFonts w:ascii="Narkisim" w:hAnsi="Narkisim"/>
          <w:b/>
          <w:bCs/>
          <w:rtl/>
        </w:rPr>
        <w:t>רמב"ם</w:t>
      </w:r>
      <w:r w:rsidRPr="00D65870">
        <w:rPr>
          <w:rFonts w:ascii="Narkisim" w:hAnsi="Narkisim"/>
          <w:rtl/>
        </w:rPr>
        <w:t xml:space="preserve"> מנה (עשה רכב) שצונו לגרש בשטר על כל פנים כשנרצה לגרש. וכמו כן מנה מצוות מקח וממכר (עשה רמה), ר”ל הפנים שיתקיים המקח].</w:t>
      </w:r>
    </w:p>
    <w:p w14:paraId="321C22D7" w14:textId="77777777" w:rsidR="006C4368" w:rsidRPr="00D65870" w:rsidRDefault="006C4368" w:rsidP="006C4368">
      <w:pPr>
        <w:pStyle w:val="Footnote"/>
        <w:bidi/>
        <w:rPr>
          <w:rFonts w:ascii="Narkisim" w:hAnsi="Narkisim"/>
        </w:rPr>
      </w:pPr>
      <w:r w:rsidRPr="00D65870">
        <w:rPr>
          <w:rFonts w:ascii="Narkisim" w:hAnsi="Narkisim"/>
          <w:rtl/>
        </w:rPr>
        <w:tab/>
        <w:t>ואף שחיטה ביסודו הוה מתיר, אף שמברכים עליו [ע' רא”ש כתובות א יב]. מ”מ לא מקרי עוסק במצווה ליפטר מהמצווה [וע”ע לקמן קג: לענין מצוות ליהנות ניתנו בשחיטה].</w:t>
      </w:r>
    </w:p>
  </w:footnote>
  <w:footnote w:id="6527">
    <w:p w14:paraId="7C714E7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 דהגמ' (קידושין יד.) מק' מנלן דחליצה מתרת, ופ</w:t>
      </w:r>
      <w:r w:rsidRPr="00D65870">
        <w:rPr>
          <w:rFonts w:ascii="Narkisim" w:hAnsi="Narkisim"/>
          <w:b/>
          <w:bCs/>
          <w:rtl/>
        </w:rPr>
        <w:t>רש"י</w:t>
      </w:r>
      <w:r w:rsidRPr="00D65870">
        <w:rPr>
          <w:rFonts w:ascii="Narkisim" w:hAnsi="Narkisim"/>
          <w:rtl/>
        </w:rPr>
        <w:t xml:space="preserve"> דדילמא מצוות חליצה רמי עליה, ולא משתריה. וכת' דמסתבר דלמסקנא לא הדרינן לגמרי מסברא זו, ולעולם מקרי מצוה.</w:t>
      </w:r>
    </w:p>
    <w:p w14:paraId="21DD476A" w14:textId="77777777" w:rsidR="006C4368" w:rsidRPr="00D65870" w:rsidRDefault="006C4368" w:rsidP="006C4368">
      <w:pPr>
        <w:pStyle w:val="Footnote"/>
        <w:bidi/>
        <w:rPr>
          <w:rFonts w:ascii="Narkisim" w:hAnsi="Narkisim"/>
        </w:rPr>
      </w:pPr>
      <w:r w:rsidRPr="00D65870">
        <w:rPr>
          <w:rFonts w:ascii="Narkisim" w:hAnsi="Narkisim"/>
          <w:rtl/>
        </w:rPr>
        <w:tab/>
        <w:t>ועוד הביא ה</w:t>
      </w:r>
      <w:r w:rsidRPr="00D65870">
        <w:rPr>
          <w:rFonts w:ascii="Narkisim" w:hAnsi="Narkisim"/>
          <w:b/>
          <w:bCs/>
          <w:rtl/>
        </w:rPr>
        <w:t>עונג יו"ט</w:t>
      </w:r>
      <w:r w:rsidRPr="00D65870">
        <w:rPr>
          <w:rFonts w:ascii="Narkisim" w:hAnsi="Narkisim"/>
          <w:rtl/>
        </w:rPr>
        <w:t xml:space="preserve"> דאי' (לקמן קג:) בסנדל של ע"ז דלא יחלוץ לכתחילה, ו</w:t>
      </w:r>
      <w:r w:rsidRPr="00D65870">
        <w:rPr>
          <w:rFonts w:ascii="Narkisim" w:hAnsi="Narkisim"/>
          <w:b/>
          <w:bCs/>
          <w:rtl/>
        </w:rPr>
        <w:t>תוס'</w:t>
      </w:r>
      <w:r w:rsidRPr="00D65870">
        <w:rPr>
          <w:rFonts w:ascii="Narkisim" w:hAnsi="Narkisim"/>
          <w:rtl/>
        </w:rPr>
        <w:t xml:space="preserve"> וה</w:t>
      </w:r>
      <w:r w:rsidRPr="00D65870">
        <w:rPr>
          <w:rFonts w:ascii="Narkisim" w:hAnsi="Narkisim"/>
          <w:b/>
          <w:bCs/>
          <w:rtl/>
        </w:rPr>
        <w:t>ראשונים</w:t>
      </w:r>
      <w:r w:rsidRPr="00D65870">
        <w:rPr>
          <w:rFonts w:ascii="Narkisim" w:hAnsi="Narkisim"/>
          <w:rtl/>
        </w:rPr>
        <w:t xml:space="preserve"> (בחד תי') מבואר דהטעם משום דמאיס למצווה, ומש"ה לכתחילה לא יחלוץ. ועוד יש שהביאו מהצד שיש ברכה על החליצה. [ע' מה שהו' בסוף הפרק].</w:t>
      </w:r>
    </w:p>
  </w:footnote>
  <w:footnote w:id="6528">
    <w:p w14:paraId="410968E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ונפק"מ לדין עוסק במצווה פטור מהמצווה [דאף העוסק במצווה ממונית פטור מהמצווה. ואף דאי אמר לא בעינא ליכא מצווה]. ולדין מצוות צריכות כוונה [ע"ע לקמן קו.]. ומצוות לאו ליהנות [ע"ע לקמן קג:].</w:t>
      </w:r>
    </w:p>
  </w:footnote>
  <w:footnote w:id="6529">
    <w:p w14:paraId="210B278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כמה וכמה דינים בפירקין שהם למצווה ואינם פוסלים.</w:t>
      </w:r>
    </w:p>
    <w:p w14:paraId="43F79725" w14:textId="77777777" w:rsidR="006C4368" w:rsidRPr="00D65870" w:rsidRDefault="006C4368" w:rsidP="006C4368">
      <w:pPr>
        <w:pStyle w:val="Footnote"/>
        <w:bidi/>
        <w:rPr>
          <w:rFonts w:ascii="Narkisim" w:hAnsi="Narkisim"/>
        </w:rPr>
      </w:pPr>
      <w:r w:rsidRPr="00D65870">
        <w:rPr>
          <w:rFonts w:ascii="Narkisim" w:hAnsi="Narkisim"/>
          <w:rtl/>
        </w:rPr>
        <w:tab/>
        <w:t>אך ב</w:t>
      </w:r>
      <w:r w:rsidRPr="00D65870">
        <w:rPr>
          <w:rFonts w:ascii="Narkisim" w:hAnsi="Narkisim"/>
          <w:b/>
          <w:bCs/>
          <w:rtl/>
        </w:rPr>
        <w:t>הג"ה</w:t>
      </w:r>
      <w:r w:rsidRPr="00D65870">
        <w:rPr>
          <w:rFonts w:ascii="Narkisim" w:hAnsi="Narkisim"/>
          <w:rtl/>
        </w:rPr>
        <w:t xml:space="preserve"> (שם) דחה דאפשר דהוה מכשיר בעלמא, וכל הדינים שהם לכתחילה בחליצה הוה מדרבנן. [אך קריאה ורקיקה א"א לומר כן].</w:t>
      </w:r>
    </w:p>
  </w:footnote>
  <w:footnote w:id="6530">
    <w:p w14:paraId="0C6E360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דהאשה אינה תובעת את הרקיקה].</w:t>
      </w:r>
    </w:p>
    <w:p w14:paraId="7B1B0D8B" w14:textId="77777777" w:rsidR="006C4368" w:rsidRPr="00D65870" w:rsidRDefault="006C4368" w:rsidP="006C4368">
      <w:pPr>
        <w:pStyle w:val="Footnote"/>
        <w:bidi/>
        <w:rPr>
          <w:rFonts w:ascii="Narkisim" w:hAnsi="Narkisim"/>
        </w:rPr>
      </w:pPr>
      <w:r w:rsidRPr="00D65870">
        <w:rPr>
          <w:rFonts w:ascii="Narkisim" w:hAnsi="Narkisim"/>
          <w:rtl/>
        </w:rPr>
        <w:tab/>
        <w:t>וכן הביא ה</w:t>
      </w:r>
      <w:r w:rsidRPr="00D65870">
        <w:rPr>
          <w:rFonts w:ascii="Narkisim" w:hAnsi="Narkisim"/>
          <w:b/>
          <w:bCs/>
          <w:rtl/>
        </w:rPr>
        <w:t>קובה"ע</w:t>
      </w:r>
      <w:r w:rsidRPr="00D65870">
        <w:rPr>
          <w:rFonts w:ascii="Narkisim" w:hAnsi="Narkisim"/>
          <w:rtl/>
        </w:rPr>
        <w:t xml:space="preserve"> (יא ב) דנראה דחליצה הוה מצווה חיובית, מהא דשייך בחליצה לכתחילה ודיעבד [וכגון קריאה], אך כת' דמ"מ הכשר החליצה אינו בתולדה מקיום המצוה, ואף אי לא יצא יד”ח המצווה מהני החליצה להתיר [וכ”כ המנח”ח תקצט, הו' לקמן קו.]. ואדרבא המצווה מתקיימת ע"י הכשר החליצה, דכך היכא דהחליצה כשרה ממילא מתקיימת המצוה.</w:t>
      </w:r>
    </w:p>
  </w:footnote>
  <w:footnote w:id="6531">
    <w:p w14:paraId="57E3826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וביאר דתלתה התורה מצוה זו בדבר הרשות, וכמו גבי שחיטה שעיקרה רשות ותליא בה מצות כסוי, דרצון ומצות התורה הוא שאם ירצה לשחוט וישחוט יקיים בו מצות כיסוי [וכיסוי הדם הוה מצווה גמורה]. וה"נ קריאה דחליצה אמרה תורה שאם ירצה לחלוץ ולהפקיע הזיקה יחלוץ בחליצת סנדל וזהו רשות ותולה בה מצות קריאה והקריאה היא מצוה ואינה מעצם המתיר רק מצוה.</w:t>
      </w:r>
    </w:p>
  </w:footnote>
  <w:footnote w:id="6532">
    <w:p w14:paraId="4E0DD13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והחכ"צ התחיל שאין כופין אותו אלא משום עיגון דידה, אך מתוך דבריו מבואר דליכא חיוב כלל, דהוה גדר מצווה שבין אדם לחבירו, ותלי בתביעה דידה. [ומש"ה היכא דאינה יכולה להנשא, ואפ"ה תובעת חליצה, נהי דיש מצווה מ"מ אין כופין. דדין כפיית חליצה הוה מחמת העיגון, דמצד המצווה ל"ש כפייה. דאין כופין על מצווה דאי בעי אמרה לא בעינא].</w:t>
      </w:r>
    </w:p>
  </w:footnote>
  <w:footnote w:id="6533">
    <w:p w14:paraId="03207FE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וכלשון הגמ' (כתובות מ.), וכוונת החכ"צ דהוה מצווה שבין אדם לחבירו, והוה חיוב עבורה.</w:t>
      </w:r>
    </w:p>
  </w:footnote>
  <w:footnote w:id="6534">
    <w:p w14:paraId="10D8897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ומתיישב הלשון 'מצוות חליצה' וכן הא דבעינן שיהא דרך כבוד.</w:t>
      </w:r>
    </w:p>
  </w:footnote>
  <w:footnote w:id="6535">
    <w:p w14:paraId="5E1EFA1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ויש שהביאו דה</w:t>
      </w:r>
      <w:r w:rsidRPr="00D65870">
        <w:rPr>
          <w:rFonts w:ascii="Narkisim" w:hAnsi="Narkisim"/>
          <w:b/>
          <w:bCs/>
          <w:rtl/>
        </w:rPr>
        <w:t>תו"י</w:t>
      </w:r>
      <w:r w:rsidRPr="00D65870">
        <w:rPr>
          <w:rFonts w:ascii="Narkisim" w:hAnsi="Narkisim"/>
          <w:rtl/>
        </w:rPr>
        <w:t xml:space="preserve"> (לעיל ג.) כת' הו"א מחלץ חלצה, 'אם היא רוצה'. [אך צ"ע האם כוונתו דתאסר לשוק עד חליצה זו. או דהוה רשות בעלמא].</w:t>
      </w:r>
    </w:p>
  </w:footnote>
  <w:footnote w:id="6536">
    <w:p w14:paraId="656E37D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שו"ת הרדב"ז</w:t>
      </w:r>
      <w:r w:rsidRPr="00D65870">
        <w:rPr>
          <w:rFonts w:ascii="Narkisim" w:hAnsi="Narkisim"/>
          <w:rtl/>
        </w:rPr>
        <w:t xml:space="preserve"> (ג תק [תתקלה]) הביא מעשה ביבמה זקינה ואינה רוצה לחלוץ או לייבם, ודן על הכתובה וממונות. ולא הזכיר שיש ענין כלל בחליצה. וכן מבואר ב</w:t>
      </w:r>
      <w:r w:rsidRPr="00D65870">
        <w:rPr>
          <w:rFonts w:ascii="Narkisim" w:hAnsi="Narkisim"/>
          <w:b/>
          <w:bCs/>
          <w:rtl/>
        </w:rPr>
        <w:t>תוס</w:t>
      </w:r>
      <w:r w:rsidRPr="00D65870">
        <w:rPr>
          <w:rFonts w:ascii="Narkisim" w:hAnsi="Narkisim"/>
          <w:rtl/>
        </w:rPr>
        <w:t>' (כתובות סד.) דדין כפייה על החליצה הוה דוקא משום שרוצה לינשא [ויתבאר לקמן קו.].</w:t>
      </w:r>
    </w:p>
    <w:p w14:paraId="50616FB3"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קוב"ש</w:t>
      </w:r>
      <w:r w:rsidRPr="00D65870">
        <w:rPr>
          <w:rFonts w:ascii="Narkisim" w:hAnsi="Narkisim"/>
          <w:rtl/>
        </w:rPr>
        <w:t xml:space="preserve"> (כתובות ריד) הק' בזה סתירה בתוס', דמבואר בתוס' דחליצה הוה מתיר כמו גט. ואילו </w:t>
      </w:r>
      <w:r w:rsidRPr="00D65870">
        <w:rPr>
          <w:rFonts w:ascii="Narkisim" w:hAnsi="Narkisim"/>
          <w:b/>
          <w:bCs/>
          <w:rtl/>
        </w:rPr>
        <w:t>תוס</w:t>
      </w:r>
      <w:r w:rsidRPr="00D65870">
        <w:rPr>
          <w:rFonts w:ascii="Narkisim" w:hAnsi="Narkisim"/>
          <w:rtl/>
        </w:rPr>
        <w:t>' (נדה הנ"ל) מבואר דהוה מצווה, ונאמר בו דינים למצווה.</w:t>
      </w:r>
    </w:p>
  </w:footnote>
  <w:footnote w:id="6537">
    <w:p w14:paraId="4507072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ויל"ד האם כוונתו דהזוהר סותר לדברי הראשונים [דס"ל דלא מקרי מורדת], א"נ נהי דלא מקרי מורדת, דלא הוה חיוב כלפי היבם. מ"מ יש קצת חיוב ע”פ הזוהר, ולא מקרי 'רשות' [אלא דאין בזה חיוב מורדת].</w:t>
      </w:r>
    </w:p>
  </w:footnote>
  <w:footnote w:id="6538">
    <w:p w14:paraId="39A98CC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רמב"ם</w:t>
      </w:r>
      <w:r w:rsidRPr="00D65870">
        <w:rPr>
          <w:rFonts w:ascii="Narkisim" w:hAnsi="Narkisim"/>
          <w:rtl/>
        </w:rPr>
        <w:t xml:space="preserve"> (מלכים ב ג) כת' טעם אחר, דכיון דאי אפשר ליבם, אינה עולה לחליצה.</w:t>
      </w:r>
    </w:p>
  </w:footnote>
  <w:footnote w:id="6539">
    <w:p w14:paraId="388A779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ה</w:t>
      </w:r>
      <w:r w:rsidRPr="00D65870">
        <w:rPr>
          <w:rFonts w:ascii="Narkisim" w:hAnsi="Narkisim"/>
          <w:b/>
          <w:bCs/>
          <w:rtl/>
        </w:rPr>
        <w:t>אור גדול</w:t>
      </w:r>
      <w:r w:rsidRPr="00D65870">
        <w:rPr>
          <w:rFonts w:ascii="Narkisim" w:hAnsi="Narkisim"/>
          <w:rtl/>
        </w:rPr>
        <w:t xml:space="preserve"> (במשנה סנהדרין ב ב) כת' דהתם איירי בחליצה פסולה דאינה ראויה ליבום, ובזה אינה מצווה אלא פטור. [ועד"ז מבואר ב</w:t>
      </w:r>
      <w:r w:rsidRPr="00D65870">
        <w:rPr>
          <w:rFonts w:ascii="Narkisim" w:hAnsi="Narkisim"/>
          <w:b/>
          <w:bCs/>
          <w:rtl/>
        </w:rPr>
        <w:t>ראב"ד</w:t>
      </w:r>
      <w:r w:rsidRPr="00D65870">
        <w:rPr>
          <w:rFonts w:ascii="Narkisim" w:hAnsi="Narkisim"/>
          <w:rtl/>
        </w:rPr>
        <w:t xml:space="preserve"> (לרי"ף לעיל כח.) דיש ביטול מצווה יבמין כשמבטל מצוות חליצה כשירה, ואף שעושה חליצה פסולה. מבואר דחליצה פסולה לא נחשב 'מצוות יבמין', אלא 'פוטר' בעלמא].</w:t>
      </w:r>
    </w:p>
  </w:footnote>
  <w:footnote w:id="6540">
    <w:p w14:paraId="331A0E9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וכת' דהוה מצוה מטעם הכמוס מאתנו אף אם אינה רוצה להנשא לעולם. [וכדברי הזוהר הנ"ל].</w:t>
      </w:r>
    </w:p>
  </w:footnote>
  <w:footnote w:id="6541">
    <w:p w14:paraId="09AF1FB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ויל"ד דהך קרא קאי באיסור יבמה לשוק, ולא בקרא דמצוות חליצה.</w:t>
      </w:r>
    </w:p>
  </w:footnote>
  <w:footnote w:id="6542">
    <w:p w14:paraId="1E61377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ואף דהוה חסרון חיצוני דלא תוכל לינשא, ולא הוה בגדר 'ערוה'.</w:t>
      </w:r>
    </w:p>
  </w:footnote>
  <w:footnote w:id="6543">
    <w:p w14:paraId="129933E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ובמצוות יבום כת' ה</w:t>
      </w:r>
      <w:r w:rsidRPr="00D65870">
        <w:rPr>
          <w:rFonts w:ascii="Narkisim" w:hAnsi="Narkisim"/>
          <w:b/>
          <w:bCs/>
          <w:rtl/>
        </w:rPr>
        <w:t>חינוך</w:t>
      </w:r>
      <w:r w:rsidRPr="00D65870">
        <w:rPr>
          <w:rFonts w:ascii="Narkisim" w:hAnsi="Narkisim"/>
          <w:rtl/>
        </w:rPr>
        <w:t xml:space="preserve"> (מצווה תקצח) דהעובר ולא ייבם או חלץ ביטל העשה. {אך היכא דאין רצונה לינשא [ולא הוה ברוע לבבו] אי"צ לחלוץ, יל"ד א"כ שוב מבטל מצוות יבום, ומחוייב לחלוץ שלא לבטל מצוות היבום. או דילמא דהתורה נתנה רשות אם לא יחפוץ, וחוזר לגדרי חליצה. והיכא דאינה תובעת לא נחשב ביטול מצווה. ואפשר דה"ק העובר ולא ייבם, וביטל מצוות חליצה [וכמו שפירש גבי חליצה דהוה מרוע לבבו], א"כ ביטל ב' עשין, משום יבום ומשום חליצה}.</w:t>
      </w:r>
    </w:p>
  </w:footnote>
  <w:footnote w:id="6544">
    <w:p w14:paraId="1A69322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 אבן פלט</w:t>
      </w:r>
      <w:r w:rsidRPr="00D65870">
        <w:rPr>
          <w:rFonts w:ascii="Narkisim" w:hAnsi="Narkisim"/>
          <w:rtl/>
        </w:rPr>
        <w:t xml:space="preserve"> בשו"ת הרשב"א (א יח) כת' שעיקר מצוות חליצה ויבום הוא משום פריה ורביה, והיא אינה מצוה על פריה ורביה. [ומבואר מדבריו דמצוות חליצה הוה משום הכשר שתנשא. ולא מצווה בעלמא משום הקמת שם דהמת].</w:t>
      </w:r>
    </w:p>
  </w:footnote>
  <w:footnote w:id="6545">
    <w:p w14:paraId="50B6116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לפ"ז תלי במח' התנאים.</w:t>
      </w:r>
    </w:p>
  </w:footnote>
  <w:footnote w:id="6546">
    <w:p w14:paraId="73C78E3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כדתנן מצות יבום קודמת למצות חליצה, וכן מנאה הרמב"ם במנין המצות. והמהרי"ט איירי דהיבמה אוננת, ומבואר דאף ליבמה הוה מצווה.</w:t>
      </w:r>
    </w:p>
  </w:footnote>
  <w:footnote w:id="6547">
    <w:p w14:paraId="49A6B07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שהרי אמרו שאף אם ירצה להחמיר על עצמו לברך אינו רשאי. ועוד שאמרו שאונן אי"צ תפילת תשלומין, דאם לא התפלל ערבית לא יתפלל שחרית ב', דגברא לא חזי כלל.</w:t>
      </w:r>
    </w:p>
  </w:footnote>
  <w:footnote w:id="6548">
    <w:p w14:paraId="1ACD785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וע' </w:t>
      </w:r>
      <w:r w:rsidRPr="00D65870">
        <w:rPr>
          <w:rFonts w:ascii="Narkisim" w:hAnsi="Narkisim"/>
          <w:b/>
          <w:bCs/>
          <w:rtl/>
        </w:rPr>
        <w:t>עונג יו"ט</w:t>
      </w:r>
      <w:r w:rsidRPr="00D65870">
        <w:rPr>
          <w:rFonts w:ascii="Narkisim" w:hAnsi="Narkisim"/>
          <w:rtl/>
        </w:rPr>
        <w:t xml:space="preserve"> (קעו הערה ג).</w:t>
      </w:r>
    </w:p>
  </w:footnote>
  <w:footnote w:id="6549">
    <w:p w14:paraId="578F502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חכ"צ</w:t>
      </w:r>
      <w:r w:rsidRPr="00D65870">
        <w:rPr>
          <w:rFonts w:ascii="Narkisim" w:hAnsi="Narkisim"/>
          <w:rtl/>
        </w:rPr>
        <w:t xml:space="preserve"> תמה דלפ"ז אין לך אשה שכשירה ליבום, שהרי הוא והיא נעשים אוננים. ונימא דכל יבמה שאין אני קורא בה בשעת נפילה יבמה יבא עליה הרי היא כאשת אח שיש לו בנים ואסורה.</w:t>
      </w:r>
    </w:p>
  </w:footnote>
  <w:footnote w:id="6550">
    <w:p w14:paraId="300346E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דאף הגט היא אחת מהמצות, ומנאה הרמב"ם בכלל המצות. וכת' דנראה דאף פטור האונן הוה מדרבנן בעלמא, ולחומרא בעלמא. ועוד דגם מקח וממכר מנה הרמב"ם בכלל המצוות, ואף דיני גיטין וקידושין וחליצות כמוהו וכולן דין א' להם. ובכולן מעשה אוננים קיימין.</w:t>
      </w:r>
    </w:p>
  </w:footnote>
  <w:footnote w:id="6551">
    <w:p w14:paraId="08C4F2F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[ע"ע לעיל כו:].</w:t>
      </w:r>
    </w:p>
  </w:footnote>
  <w:footnote w:id="6552">
    <w:p w14:paraId="06AA247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ומקור לזה מדברי ה</w:t>
      </w:r>
      <w:r w:rsidRPr="00D65870">
        <w:rPr>
          <w:rFonts w:ascii="Narkisim" w:hAnsi="Narkisim"/>
          <w:b/>
          <w:bCs/>
          <w:rtl/>
        </w:rPr>
        <w:t>ראב"ד</w:t>
      </w:r>
      <w:r w:rsidRPr="00D65870">
        <w:rPr>
          <w:rFonts w:ascii="Narkisim" w:hAnsi="Narkisim"/>
          <w:rtl/>
        </w:rPr>
        <w:t xml:space="preserve"> (כתוב שם לעיל כח. ח. בדה”ר) דביטול מצוות יבמין, מאי ניהו או יבום או חליצה כשרה.</w:t>
      </w:r>
    </w:p>
  </w:footnote>
  <w:footnote w:id="6553">
    <w:p w14:paraId="48465D5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וכדאי' (לת"ק קו:) דהדיינים אומרים 'חלוץ הנעל', וכן מבואר דהדיין מברך (ע' מה שהו' בסוף הפרק). אך כ"ז אינו לעיכובא.</w:t>
      </w:r>
    </w:p>
  </w:footnote>
  <w:footnote w:id="6554">
    <w:p w14:paraId="4E77F0E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ר' שמעון ור' יוחנן הסנדלר (במשנה קד:) ור' ישמעאל בן אלישע (לקמן קד.).</w:t>
      </w:r>
    </w:p>
  </w:footnote>
  <w:footnote w:id="6555">
    <w:p w14:paraId="6A62ACE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כשעדים ראו מבחוץ, וכמסקנת הגמ' (קה:) עע"ש.</w:t>
      </w:r>
    </w:p>
  </w:footnote>
  <w:footnote w:id="6556">
    <w:p w14:paraId="668F2C7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רש"י</w:t>
      </w:r>
      <w:r w:rsidRPr="00D65870">
        <w:rPr>
          <w:rFonts w:ascii="Narkisim" w:hAnsi="Narkisim"/>
          <w:rtl/>
        </w:rPr>
        <w:t xml:space="preserve"> (לקמן קב.) פי' שמיטת רבו העקב (שם), שלו"ן.</w:t>
      </w:r>
    </w:p>
  </w:footnote>
  <w:footnote w:id="6557">
    <w:p w14:paraId="1DA9032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מהפסוק (בראשית כה כו) וידו אוחזת בעקב עשו. ובגמ' (נדה נז:) ראתה על עקבה. ועוד הביא ה</w:t>
      </w:r>
      <w:r w:rsidRPr="00D65870">
        <w:rPr>
          <w:rFonts w:ascii="Narkisim" w:hAnsi="Narkisim"/>
          <w:b/>
          <w:bCs/>
          <w:rtl/>
        </w:rPr>
        <w:t>תוס' מהר"ם ור"פ</w:t>
      </w:r>
      <w:r w:rsidRPr="00D65870">
        <w:rPr>
          <w:rFonts w:ascii="Narkisim" w:hAnsi="Narkisim"/>
          <w:rtl/>
        </w:rPr>
        <w:t xml:space="preserve"> דבמשנה (כלים כו ד) אי' נפסק עקיבו או חוטמו. [וה</w:t>
      </w:r>
      <w:r w:rsidRPr="00D65870">
        <w:rPr>
          <w:rFonts w:ascii="Narkisim" w:hAnsi="Narkisim"/>
          <w:b/>
          <w:bCs/>
          <w:rtl/>
        </w:rPr>
        <w:t>רע"ב</w:t>
      </w:r>
      <w:r w:rsidRPr="00D65870">
        <w:rPr>
          <w:rFonts w:ascii="Narkisim" w:hAnsi="Narkisim"/>
          <w:rtl/>
        </w:rPr>
        <w:t xml:space="preserve"> (כלים שם) פי' עקבו, עור של סנדל המכסה את גובה הרגל שכנגד שוקו מאחוריו].</w:t>
      </w:r>
    </w:p>
  </w:footnote>
  <w:footnote w:id="6558">
    <w:p w14:paraId="77EAE50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כ"ה לפנינו [אך הוגה לסנהדרין סתם], וכן העתיקו </w:t>
      </w:r>
      <w:r w:rsidRPr="00D65870">
        <w:rPr>
          <w:rFonts w:ascii="Narkisim" w:hAnsi="Narkisim"/>
          <w:b/>
          <w:bCs/>
          <w:rtl/>
        </w:rPr>
        <w:t>ר"א מן ההר</w:t>
      </w:r>
      <w:r w:rsidRPr="00D65870">
        <w:rPr>
          <w:rFonts w:ascii="Narkisim" w:hAnsi="Narkisim"/>
          <w:rtl/>
        </w:rPr>
        <w:t xml:space="preserve"> וה</w:t>
      </w:r>
      <w:r w:rsidRPr="00D65870">
        <w:rPr>
          <w:rFonts w:ascii="Narkisim" w:hAnsi="Narkisim"/>
          <w:b/>
          <w:bCs/>
          <w:rtl/>
        </w:rPr>
        <w:t>ריטב"א</w:t>
      </w:r>
      <w:r w:rsidRPr="00D65870">
        <w:rPr>
          <w:rFonts w:ascii="Narkisim" w:hAnsi="Narkisim"/>
          <w:rtl/>
        </w:rPr>
        <w:t xml:space="preserve"> ו</w:t>
      </w:r>
      <w:r w:rsidRPr="00D65870">
        <w:rPr>
          <w:rFonts w:ascii="Narkisim" w:hAnsi="Narkisim"/>
          <w:b/>
          <w:bCs/>
          <w:rtl/>
        </w:rPr>
        <w:t>נמוק"י</w:t>
      </w:r>
      <w:r w:rsidRPr="00D65870">
        <w:rPr>
          <w:rFonts w:ascii="Narkisim" w:hAnsi="Narkisim"/>
          <w:rtl/>
        </w:rPr>
        <w:t xml:space="preserve"> בשם רש"י. ולכאורה רש"י נקט לשון 'זקני עירו' (דברים כה ח). אך צ”ב לאפוקי מאי, ובמה סנהדרי העיר הוה פחות או יותר מסתם סנהדרין. [ואפשר דלהך ס"ד לא סגי בסמיכה להיות דיין, אלא צריך מינוי להיות סנהדרין של עיר זו].</w:t>
      </w:r>
    </w:p>
  </w:footnote>
  <w:footnote w:id="6559">
    <w:p w14:paraId="0961330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יש לדחות דכוונת הריטב"א דמעיקר הדין הוה דבר שבערוה, אך התורה הקילה בחליצה להחשיבו מידי דממילא [והחולץ והדיין אינם פועלים את ההיתר].</w:t>
      </w:r>
    </w:p>
  </w:footnote>
  <w:footnote w:id="6560">
    <w:p w14:paraId="70EF8C8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למ"ד (סנהדרין ג.) דמדאורייתא צריך מומחין בדיני ממונות.</w:t>
      </w:r>
    </w:p>
  </w:footnote>
  <w:footnote w:id="6561">
    <w:p w14:paraId="30EFE47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מבואר בריטב"א דצריך 'דיינים' בחליצה. [דהתורה תלתה ועלתה אל הזקנים, וכן יש דין (בע"ב) 'וקראו לו']. ומש”ה דמי ל'דין גט' ודיני ממונות, דצריך סמוכין. [אלא דנתחדש דאף ההדיוטות יש להם גדר 'דייני חליצה', ובזה קיל מגט].</w:t>
      </w:r>
    </w:p>
    <w:p w14:paraId="7E1CDB7B" w14:textId="77777777" w:rsidR="006C4368" w:rsidRPr="00D65870" w:rsidRDefault="006C4368" w:rsidP="006C4368">
      <w:pPr>
        <w:pStyle w:val="Footnote"/>
        <w:bidi/>
        <w:rPr>
          <w:rFonts w:ascii="Narkisim" w:hAnsi="Narkisim"/>
        </w:rPr>
      </w:pPr>
      <w:r w:rsidRPr="00D65870">
        <w:rPr>
          <w:rFonts w:ascii="Narkisim" w:hAnsi="Narkisim"/>
          <w:rtl/>
        </w:rPr>
        <w:tab/>
        <w:t>ומבואר ב</w:t>
      </w:r>
      <w:r w:rsidRPr="00D65870">
        <w:rPr>
          <w:rFonts w:ascii="Narkisim" w:hAnsi="Narkisim"/>
          <w:b/>
          <w:bCs/>
          <w:rtl/>
        </w:rPr>
        <w:t>ריטב"א</w:t>
      </w:r>
      <w:r w:rsidRPr="00D65870">
        <w:rPr>
          <w:rFonts w:ascii="Narkisim" w:hAnsi="Narkisim"/>
          <w:rtl/>
        </w:rPr>
        <w:t xml:space="preserve"> דמסברא חליצה צריך דיינים וסמוכין, ומש"ה איצטריך למעט 'זקני' (וכדאי' בסמוך). אבל </w:t>
      </w:r>
      <w:r w:rsidRPr="00D65870">
        <w:rPr>
          <w:rFonts w:ascii="Narkisim" w:hAnsi="Narkisim"/>
          <w:b/>
          <w:bCs/>
          <w:rtl/>
        </w:rPr>
        <w:t>תוס</w:t>
      </w:r>
      <w:r w:rsidRPr="00D65870">
        <w:rPr>
          <w:rFonts w:ascii="Narkisim" w:hAnsi="Narkisim"/>
          <w:rtl/>
        </w:rPr>
        <w:t>' (ד"ה מיבעי) מבואר דאיצטריך למעט משום דס"ד דבכלל הפסוק 'השערה אל הזקנים' משמע סנהדרין. [אבל מסברא אי"צ דיינים סמוכין].</w:t>
      </w:r>
    </w:p>
  </w:footnote>
  <w:footnote w:id="6562">
    <w:p w14:paraId="341D029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דדרשי' (שם) וענתה ואמרה והוקש להא דכתיב (דברים כז יג) [בהר גריזים והר עיבל] וענו הלוים ואמרו, מה להלן בלשון הקודש אף כאן בלשון הקודש. ור' יהודה דרש וענתה ואמרה ככה, עד שתאמר בלשון הזה.</w:t>
      </w:r>
    </w:p>
  </w:footnote>
  <w:footnote w:id="6563">
    <w:p w14:paraId="57F9D72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אך לשון שאר </w:t>
      </w:r>
      <w:r w:rsidRPr="00D65870">
        <w:rPr>
          <w:rFonts w:ascii="Narkisim" w:hAnsi="Narkisim"/>
          <w:b/>
          <w:bCs/>
          <w:rtl/>
        </w:rPr>
        <w:t>ראשונים</w:t>
      </w:r>
      <w:r w:rsidRPr="00D65870">
        <w:rPr>
          <w:rFonts w:ascii="Narkisim" w:hAnsi="Narkisim"/>
          <w:rtl/>
        </w:rPr>
        <w:t xml:space="preserve"> דבעינן שהבי”ד יהיו ראויים להקריא ליבם. שתפקיד הדיין לדעת ללמד איך לעשות כדין [וחליצת מנעל אינה 'חכמה']. ולכאורה אף אי היבם חכם ויודע לקרוא, בעינן שהדיין יהא ראוי להקרות.</w:t>
      </w:r>
    </w:p>
    <w:p w14:paraId="26BF49F6" w14:textId="77777777" w:rsidR="006C4368" w:rsidRPr="00D65870" w:rsidRDefault="006C4368" w:rsidP="006C4368">
      <w:pPr>
        <w:pStyle w:val="Footnote"/>
        <w:bidi/>
        <w:rPr>
          <w:rFonts w:ascii="Narkisim" w:hAnsi="Narkisim"/>
        </w:rPr>
      </w:pPr>
      <w:r w:rsidRPr="00D65870">
        <w:rPr>
          <w:rFonts w:ascii="Narkisim" w:hAnsi="Narkisim"/>
          <w:rtl/>
        </w:rPr>
        <w:tab/>
        <w:t>וכן ב</w:t>
      </w:r>
      <w:r w:rsidRPr="00D65870">
        <w:rPr>
          <w:rFonts w:ascii="Narkisim" w:hAnsi="Narkisim"/>
          <w:b/>
          <w:bCs/>
          <w:rtl/>
        </w:rPr>
        <w:t>ירושלמי</w:t>
      </w:r>
      <w:r w:rsidRPr="00D65870">
        <w:rPr>
          <w:rFonts w:ascii="Narkisim" w:hAnsi="Narkisim"/>
          <w:rtl/>
        </w:rPr>
        <w:t xml:space="preserve"> מבואר דבעינן שידעו להקרות, ודרשו 'וענתה', אין עונה אלא מפי אחר. אר"י ובלבד מפי הדיין. ולא עבדון כן. [דנהגו שאדם אחר מקרא, ולא הדיין. עי"ש במפרשים].</w:t>
      </w:r>
    </w:p>
  </w:footnote>
  <w:footnote w:id="6564">
    <w:p w14:paraId="1385199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פיה”מ</w:t>
      </w:r>
      <w:r w:rsidRPr="00D65870">
        <w:rPr>
          <w:rFonts w:ascii="Narkisim" w:hAnsi="Narkisim"/>
          <w:rtl/>
        </w:rPr>
        <w:t xml:space="preserve"> הנדפס אי' שיודעים קריאת הלשון. ובתרגום החדש אי' שאינם חכמים אבל יודעים את המקראות בלבד]. וצ"ב מהו 'כוונת הפסוקים', דלא שמענו שצריך להסביר ליבם את פירוש הפסוק. ואפשר דכוונתו לכוון את היבם לקרוא.</w:t>
      </w:r>
    </w:p>
  </w:footnote>
  <w:footnote w:id="6565">
    <w:p w14:paraId="74338AA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למד דתי' הגמ' חוזרת מהנחת המקשן, דהגמ' מק' דאי הקילה תורה דאי"צ סמוכין, א"כ סגי בזקני השוק. ותי' הגמ' דעכ"פ בעינן שידעו ההלכה. ובזה לא הקילו טפי משאר דוכתי. [דאילו לדעת תוס' אף בתי' הוה קולא משאר דוכתי, דל"צ סמוכים וסגי בראוי לדון. והכא סגי ביודעים קריאה לבד].</w:t>
      </w:r>
    </w:p>
    <w:p w14:paraId="785BD9FF" w14:textId="77777777" w:rsidR="006C4368" w:rsidRPr="00D65870" w:rsidRDefault="006C4368" w:rsidP="006C4368">
      <w:pPr>
        <w:pStyle w:val="Footnote"/>
        <w:bidi/>
        <w:rPr>
          <w:rFonts w:ascii="Narkisim" w:hAnsi="Narkisim"/>
        </w:rPr>
      </w:pPr>
      <w:r w:rsidRPr="00D65870">
        <w:rPr>
          <w:rFonts w:ascii="Narkisim" w:hAnsi="Narkisim"/>
          <w:rtl/>
        </w:rPr>
        <w:tab/>
        <w:t>ועד"ז כת' ה</w:t>
      </w:r>
      <w:r w:rsidRPr="00D65870">
        <w:rPr>
          <w:rFonts w:ascii="Narkisim" w:hAnsi="Narkisim"/>
          <w:b/>
          <w:bCs/>
          <w:rtl/>
        </w:rPr>
        <w:t>גר"א</w:t>
      </w:r>
      <w:r w:rsidRPr="00D65870">
        <w:rPr>
          <w:rFonts w:ascii="Narkisim" w:hAnsi="Narkisim"/>
          <w:rtl/>
        </w:rPr>
        <w:t xml:space="preserve"> (פי' ס' חליצה א) דכן משמע בגמ', דנתמעט רק דאי"צ סנהדרין. ומנ"ל דסגי ביושבי קרנות, דאף היכא דל”צ מומחין מבואר (סנהדרין ג:) דיושבי קרנות פסולים. אך הביא דבירושלמי משמע דסגי שיודעין להקרות.</w:t>
      </w:r>
    </w:p>
  </w:footnote>
  <w:footnote w:id="6566">
    <w:p w14:paraId="76C7130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וכן הביא </w:t>
      </w:r>
      <w:r w:rsidRPr="00D65870">
        <w:rPr>
          <w:rFonts w:ascii="Narkisim" w:hAnsi="Narkisim"/>
          <w:b/>
          <w:bCs/>
          <w:rtl/>
        </w:rPr>
        <w:t>ר"א מן ההר</w:t>
      </w:r>
      <w:r w:rsidRPr="00D65870">
        <w:rPr>
          <w:rFonts w:ascii="Narkisim" w:hAnsi="Narkisim"/>
          <w:rtl/>
        </w:rPr>
        <w:t xml:space="preserve"> בשם </w:t>
      </w:r>
      <w:r w:rsidRPr="00D65870">
        <w:rPr>
          <w:rFonts w:ascii="Narkisim" w:hAnsi="Narkisim"/>
          <w:b/>
          <w:bCs/>
          <w:rtl/>
        </w:rPr>
        <w:t>י"מ</w:t>
      </w:r>
      <w:r w:rsidRPr="00D65870">
        <w:rPr>
          <w:rFonts w:ascii="Narkisim" w:hAnsi="Narkisim"/>
          <w:rtl/>
        </w:rPr>
        <w:t xml:space="preserve"> דהדיוטות היינו שאינם סמוכים. אבל בעינן ראויין לדון. וכ"ד </w:t>
      </w:r>
      <w:r w:rsidRPr="00D65870">
        <w:rPr>
          <w:rFonts w:ascii="Narkisim" w:hAnsi="Narkisim"/>
          <w:b/>
          <w:bCs/>
          <w:rtl/>
        </w:rPr>
        <w:t>ראב"ן</w:t>
      </w:r>
      <w:r w:rsidRPr="00D65870">
        <w:rPr>
          <w:rFonts w:ascii="Narkisim" w:hAnsi="Narkisim"/>
          <w:rtl/>
        </w:rPr>
        <w:t xml:space="preserve"> שיודעים להקרות כעין הדיינין, בקיאין בהלכה. דכל מי שאינו יודע בטיב גיטין וקידושין לא יהא לו עסק עמהם. וה</w:t>
      </w:r>
      <w:r w:rsidRPr="00D65870">
        <w:rPr>
          <w:rFonts w:ascii="Narkisim" w:hAnsi="Narkisim"/>
          <w:b/>
          <w:bCs/>
          <w:rtl/>
        </w:rPr>
        <w:t>בי"ש</w:t>
      </w:r>
      <w:r w:rsidRPr="00D65870">
        <w:rPr>
          <w:rFonts w:ascii="Narkisim" w:hAnsi="Narkisim"/>
          <w:rtl/>
        </w:rPr>
        <w:t xml:space="preserve"> (קסט א) הביא דברי הנמוק"י שצריכין להיות 'דיינין', אבל מומחין אי"צ להיות.</w:t>
      </w:r>
    </w:p>
  </w:footnote>
  <w:footnote w:id="6567">
    <w:p w14:paraId="4E31FC7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פשטות כל הסוגיה דהוה דרשא גמורה.</w:t>
      </w:r>
    </w:p>
  </w:footnote>
  <w:footnote w:id="6568">
    <w:p w14:paraId="6EAE292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וכל בי"ד סגי שידעו מה שצריכים לאותו ענין, ודיני ממונות באופן דליכא משא ומתן והכרעה ל"צ שידעו דינים.</w:t>
      </w:r>
    </w:p>
  </w:footnote>
  <w:footnote w:id="6569">
    <w:p w14:paraId="2A6CCC0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 דלדעת הריטב"א (הנ"ל) צריך מומחים.</w:t>
      </w:r>
    </w:p>
  </w:footnote>
  <w:footnote w:id="6570">
    <w:p w14:paraId="2ADBF7E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כמו הדבר ששוקלין שאינו שקול עד שיהא רוב מצד א' ויכריע המשקולת.</w:t>
      </w:r>
    </w:p>
  </w:footnote>
  <w:footnote w:id="6571">
    <w:p w14:paraId="53C1CD6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הביאו אי בעינן בכל כחו. וה</w:t>
      </w:r>
      <w:r w:rsidRPr="00D65870">
        <w:rPr>
          <w:rFonts w:ascii="Narkisim" w:hAnsi="Narkisim"/>
          <w:b/>
          <w:bCs/>
          <w:rtl/>
        </w:rPr>
        <w:t>אחרונים</w:t>
      </w:r>
      <w:r w:rsidRPr="00D65870">
        <w:rPr>
          <w:rFonts w:ascii="Narkisim" w:hAnsi="Narkisim"/>
          <w:rtl/>
        </w:rPr>
        <w:t xml:space="preserve"> הק' דלא מצאנו בזה מח', ולכו"ע בעינן כל כחו. [וע' זבחים לג., ותוס' פסחים פט.].</w:t>
      </w:r>
    </w:p>
  </w:footnote>
  <w:footnote w:id="6572">
    <w:p w14:paraId="4CF0DD2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 מדסוי</w:t>
      </w:r>
      <w:r w:rsidRPr="00D65870">
        <w:rPr>
          <w:rFonts w:ascii="Narkisim" w:hAnsi="Narkisim"/>
          <w:rtl/>
        </w:rPr>
        <w:t xml:space="preserve"> חילק דלשון הפסוק גבי דיני ממונות (שמות כב ז) 'אלהים'. ואילו הכא זקנים או השערה שהוא לשון סנהדרין.</w:t>
      </w:r>
    </w:p>
  </w:footnote>
  <w:footnote w:id="6573">
    <w:p w14:paraId="4F5FFB2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קצות</w:t>
      </w:r>
      <w:r w:rsidRPr="00D65870">
        <w:rPr>
          <w:rFonts w:ascii="Narkisim" w:hAnsi="Narkisim"/>
          <w:rtl/>
        </w:rPr>
        <w:t xml:space="preserve"> (בסו"ד) דן דשמא ה"מ בשעת סמיכה, אבל היכא דלאחר שנסמך נסתמא י"ל דכשר. ודחה דכיון דעכשיו יש בו מום אינו ראוי לדיני נפשות, וצריך להיות מנוקה מכל מום.</w:t>
      </w:r>
    </w:p>
  </w:footnote>
  <w:footnote w:id="6574">
    <w:p w14:paraId="3031E70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ובפשוטו מבואר דהריטב"א ס"ל דשייך סמיכה לסומא לדיני ממונות [דהא לעיל נקט דסוגיין כמ”ד דדיני ממונות צריך סמוכין מדאורייתא], ולא ס"ל כרמב"ם דצריך ראוי לכל מילי.</w:t>
      </w:r>
    </w:p>
  </w:footnote>
  <w:footnote w:id="6575">
    <w:p w14:paraId="05798AD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מבואר דפסול בדיני ממונות משום דנחשב מום. [וילפי' מאיזה מקום דבדיני ממונות מום גמור כזה פוסל]. אך קצת משמע מתחילת דבריו דכיון דפסול לעדות פסול לדון [דהוה סיבה או ילפותא, ולא רק סימן בעלמא].</w:t>
      </w:r>
    </w:p>
  </w:footnote>
  <w:footnote w:id="6576">
    <w:p w14:paraId="22CFCE3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וכדאי' במסקנא (ב"ב קכח.) דפסול להעיד אף במה שראה קודם שנסתמא. [ונח' הראשונים שם אי הוה גזיה”כ 'או ראה' או סברא דחיישינן שאינו מכוון עדותו].</w:t>
      </w:r>
    </w:p>
    <w:p w14:paraId="19260C37" w14:textId="77777777" w:rsidR="006C4368" w:rsidRPr="00D65870" w:rsidRDefault="006C4368" w:rsidP="006C4368">
      <w:pPr>
        <w:pStyle w:val="Footnote"/>
        <w:bidi/>
        <w:rPr>
          <w:rFonts w:ascii="Narkisim" w:hAnsi="Narkisim"/>
        </w:rPr>
      </w:pPr>
      <w:r w:rsidRPr="00D65870">
        <w:rPr>
          <w:rFonts w:ascii="Narkisim" w:hAnsi="Narkisim"/>
          <w:rtl/>
        </w:rPr>
        <w:tab/>
        <w:t>וכ"פ ה</w:t>
      </w:r>
      <w:r w:rsidRPr="00D65870">
        <w:rPr>
          <w:rFonts w:ascii="Narkisim" w:hAnsi="Narkisim"/>
          <w:b/>
          <w:bCs/>
          <w:rtl/>
        </w:rPr>
        <w:t>רמב"ם</w:t>
      </w:r>
      <w:r w:rsidRPr="00D65870">
        <w:rPr>
          <w:rFonts w:ascii="Narkisim" w:hAnsi="Narkisim"/>
          <w:rtl/>
        </w:rPr>
        <w:t xml:space="preserve"> (סנהדרין ב ט, וה</w:t>
      </w:r>
      <w:r w:rsidRPr="00D65870">
        <w:rPr>
          <w:rFonts w:ascii="Narkisim" w:hAnsi="Narkisim"/>
          <w:b/>
          <w:bCs/>
          <w:rtl/>
        </w:rPr>
        <w:t>שו"ע</w:t>
      </w:r>
      <w:r w:rsidRPr="00D65870">
        <w:rPr>
          <w:rFonts w:ascii="Narkisim" w:hAnsi="Narkisim"/>
          <w:rtl/>
        </w:rPr>
        <w:t xml:space="preserve"> ז ב) דסומא בב' עיניו פסול לדון. וה</w:t>
      </w:r>
      <w:r w:rsidRPr="00D65870">
        <w:rPr>
          <w:rFonts w:ascii="Narkisim" w:hAnsi="Narkisim"/>
          <w:b/>
          <w:bCs/>
          <w:rtl/>
        </w:rPr>
        <w:t>סמ"ע</w:t>
      </w:r>
      <w:r w:rsidRPr="00D65870">
        <w:rPr>
          <w:rFonts w:ascii="Narkisim" w:hAnsi="Narkisim"/>
          <w:rtl/>
        </w:rPr>
        <w:t xml:space="preserve"> (ז ז) כת' הטעם דהוה כמו לילה, דאצל הסומא אף ביום הוה כמו לילה. והלבוש (שם) כת' דלענין סומא בב' עינים איתקיש ריבים לנגעים. [והסמ"ע דחה דבריו].</w:t>
      </w:r>
    </w:p>
    <w:p w14:paraId="63AF485C" w14:textId="77777777" w:rsidR="006C4368" w:rsidRPr="00D65870" w:rsidRDefault="006C4368" w:rsidP="006C4368">
      <w:pPr>
        <w:pStyle w:val="Footnote"/>
        <w:bidi/>
        <w:rPr>
          <w:rFonts w:ascii="Narkisim" w:hAnsi="Narkisim"/>
        </w:rPr>
      </w:pPr>
      <w:r w:rsidRPr="00D65870">
        <w:rPr>
          <w:rFonts w:ascii="Narkisim" w:hAnsi="Narkisim"/>
          <w:rtl/>
        </w:rPr>
        <w:tab/>
        <w:t>ו</w:t>
      </w:r>
      <w:r w:rsidRPr="00D65870">
        <w:rPr>
          <w:rFonts w:ascii="Narkisim" w:hAnsi="Narkisim"/>
          <w:b/>
          <w:bCs/>
          <w:rtl/>
        </w:rPr>
        <w:t>רש"י</w:t>
      </w:r>
      <w:r w:rsidRPr="00D65870">
        <w:rPr>
          <w:rFonts w:ascii="Narkisim" w:hAnsi="Narkisim"/>
          <w:rtl/>
        </w:rPr>
        <w:t xml:space="preserve"> (נדה מט:) כת' דסומא בא' מעיניו כשר להעיד ואינו כשר לדון [לר' מאיר], אבל בשתי עיניו אפי' לעדות פסול דכתיב או ראה. ויש שדייקו 'דאפי' לעדות פסול', משמע דכ"ש לדון אליבא דכו"ע. אך אין ראיה מדבריו, דהתם קאי לר' מאיר. ולדבריו שייך אפי'.</w:t>
      </w:r>
    </w:p>
  </w:footnote>
  <w:footnote w:id="6577">
    <w:p w14:paraId="5677DBF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הג' מיימוני</w:t>
      </w:r>
      <w:r w:rsidRPr="00D65870">
        <w:rPr>
          <w:rFonts w:ascii="Narkisim" w:hAnsi="Narkisim"/>
          <w:rtl/>
        </w:rPr>
        <w:t xml:space="preserve"> (שם ב) כת' דהרמב"ם כר' מאיר [וה</w:t>
      </w:r>
      <w:r w:rsidRPr="00D65870">
        <w:rPr>
          <w:rFonts w:ascii="Narkisim" w:hAnsi="Narkisim"/>
          <w:b/>
          <w:bCs/>
          <w:rtl/>
        </w:rPr>
        <w:t>נו"כ</w:t>
      </w:r>
      <w:r w:rsidRPr="00D65870">
        <w:rPr>
          <w:rFonts w:ascii="Narkisim" w:hAnsi="Narkisim"/>
          <w:rtl/>
        </w:rPr>
        <w:t xml:space="preserve"> דחו דבגמ' מבואר דר' מאיר פסל אפי' בעין א'], אבל הסה"ת פסק כרבנן דכשר.</w:t>
      </w:r>
    </w:p>
  </w:footnote>
  <w:footnote w:id="6578">
    <w:p w14:paraId="4F3E9E2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ותוס' כת' דאף דפסול להעיד כשר לדון, והך סיפא דכל הכשר להעיד כשר לדון כר' מאיר [דסומא פסול לדון], ולא מתוקמא כחכמים. [אבל הריטב"א כת' דנהי דסיפא רבנן, רישא ככו"ע].</w:t>
      </w:r>
    </w:p>
  </w:footnote>
  <w:footnote w:id="6579">
    <w:p w14:paraId="3046D91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וכ"כ </w:t>
      </w:r>
      <w:r w:rsidRPr="00D65870">
        <w:rPr>
          <w:rFonts w:ascii="Narkisim" w:hAnsi="Narkisim"/>
          <w:b/>
          <w:bCs/>
          <w:rtl/>
        </w:rPr>
        <w:t>תוס</w:t>
      </w:r>
      <w:r w:rsidRPr="00D65870">
        <w:rPr>
          <w:rFonts w:ascii="Narkisim" w:hAnsi="Narkisim"/>
          <w:rtl/>
        </w:rPr>
        <w:t>' (נדה מט:) דבעל מום פסול לדון בדיני נפשות. וכ"פ ה</w:t>
      </w:r>
      <w:r w:rsidRPr="00D65870">
        <w:rPr>
          <w:rFonts w:ascii="Narkisim" w:hAnsi="Narkisim"/>
          <w:b/>
          <w:bCs/>
          <w:rtl/>
        </w:rPr>
        <w:t>רמב"ם</w:t>
      </w:r>
      <w:r w:rsidRPr="00D65870">
        <w:rPr>
          <w:rFonts w:ascii="Narkisim" w:hAnsi="Narkisim"/>
          <w:rtl/>
        </w:rPr>
        <w:t xml:space="preserve"> (סנהדרין ב ו) שסנהדרין צריכין להיות מנוקין מכל מומי הגוף.</w:t>
      </w:r>
    </w:p>
  </w:footnote>
  <w:footnote w:id="6580">
    <w:p w14:paraId="2903692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והמהר"ם מינץ כת' דמסתמא ליכא ספיקא דודאי כשר בעל מום, דדוקא בדיני נפשות צריכין להיות מנוקים מכל מום, אבל בשאר דינים כשר. ולא נתפרש בדבריו משום מה חשש לכתחילה.</w:t>
      </w:r>
    </w:p>
  </w:footnote>
  <w:footnote w:id="6581">
    <w:p w14:paraId="02E4D0B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ויש שפי' דאליבא דאמת ילפי' לכולה מ'עמך' בדומין לך. [וכדאי' (בכורות מד. וסוטה יב:) דמשה לא היה בעל מום].</w:t>
      </w:r>
    </w:p>
  </w:footnote>
  <w:footnote w:id="6582">
    <w:p w14:paraId="1F269E2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 הא דאי' (סנהדרין כב:) עד שלא בא יחזקאל גמרא גמירי לה. {אך בסוגיין הוה חידוש טפי. דבגמ' (שם) הנידון מהיכן ידענא דינים אלו, דלא חדשם יחזקאל מליבו. ובזה אמרי' דקבלו בהלכה. ואילו הכא אמרי' דלא איצטריך קרא לפסול לחליצה, כיון דכבר ידעינן מחמת ההלכה דפסול [לכל הדינים]}.</w:t>
      </w:r>
    </w:p>
  </w:footnote>
  <w:footnote w:id="6583">
    <w:p w14:paraId="278EB43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דרבא (לק' קו:) אמר דאכלה תומא וכו' לא עשתה ולא כלום, וצריכי דייני וכו'. ובזה לא הוזכר דלא עשה כלום.</w:t>
      </w:r>
    </w:p>
  </w:footnote>
  <w:footnote w:id="6584">
    <w:p w14:paraId="28A53FC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אבל </w:t>
      </w:r>
      <w:r w:rsidRPr="00D65870">
        <w:rPr>
          <w:rFonts w:ascii="Narkisim" w:hAnsi="Narkisim"/>
          <w:b/>
          <w:bCs/>
          <w:rtl/>
        </w:rPr>
        <w:t>מהר"י פערלא</w:t>
      </w:r>
      <w:r w:rsidRPr="00D65870">
        <w:rPr>
          <w:rFonts w:ascii="Narkisim" w:hAnsi="Narkisim"/>
          <w:rtl/>
        </w:rPr>
        <w:t xml:space="preserve"> (לרס"ג עשה עו ד”ה ולכן) חידש דקאי על עיקר דייני החליצה. וכוונת הגמ' דל"מ שליחותייהו, דאף דאי' (גיטין פח:) גבי כפיית גט דבעי מומחין, אלא דשליחותייהו עבדינן. אבל חליצה לצד דבעי מומחין גלי קרא דל"מ הדיוטות בשליחותייהו דזקנים. וכת' דאף דילפי' דסגי ביודעים להקרות, מ"מ ברייתא דספרי מבואר דלכתחילה בעינן זקנים [סמוכים], וגלי דל"מ שליחותייהו להחשב שנעשה ע"י סמוכין.</w:t>
      </w:r>
    </w:p>
    <w:p w14:paraId="668BC6C6" w14:textId="77777777" w:rsidR="006C4368" w:rsidRPr="00D65870" w:rsidRDefault="006C4368" w:rsidP="006C4368">
      <w:pPr>
        <w:pStyle w:val="Footnote"/>
        <w:bidi/>
        <w:rPr>
          <w:rFonts w:ascii="Narkisim" w:hAnsi="Narkisim"/>
        </w:rPr>
      </w:pPr>
      <w:r w:rsidRPr="00D65870">
        <w:rPr>
          <w:rFonts w:ascii="Narkisim" w:hAnsi="Narkisim"/>
          <w:rtl/>
        </w:rPr>
        <w:tab/>
        <w:t>ובהמשך דבריו (ד"ה והשתא) הק' דא"כ האיך כייפינן לחלוץ [וכדאי' לקמן קו. עד שיאמר רוצה אני], הא בעי מומחים לכוף, ובחליצה לא עבדינן שליחותייהו. [ובגמ' לק' קו. וכתובות עז. י"ל דהוה ע"י סמוכים, אבל בראשונים מבואר דאף לדידן כופין בחליצה]. ותי' דדוקא לברייתא דספרי דרשי' הכי, דבעינן לכתחילה מומחין. אבל לדידן קי"ל דזקנים הוה יודעים לקרות, וע"כ לא ילפי' ולא שלוחם. [אך שוב הק' דבסוגיין דרשי' ולא שלוחן אף למ"ד דלכתחילה ל"צ סמוכין. ועי"ש].</w:t>
      </w:r>
    </w:p>
  </w:footnote>
  <w:footnote w:id="6585">
    <w:p w14:paraId="1B5576D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פסקי הרי"ד</w:t>
      </w:r>
      <w:r w:rsidRPr="00D65870">
        <w:rPr>
          <w:rFonts w:ascii="Narkisim" w:hAnsi="Narkisim"/>
          <w:rtl/>
        </w:rPr>
        <w:t xml:space="preserve"> פי' דאף שבכל הזמנת בי"ד אינן מצווין ללכת ולהזמין את הבעלי דינין אלא שולחין שלוחן, הכא משום מצוה חייבין שיקראוהו הם. אולי ישא פניהם וישמע להן. [ולכאורה הוה מצווה דאורייתא שיקראו].</w:t>
      </w:r>
    </w:p>
    <w:p w14:paraId="38BCF8F0" w14:textId="77777777" w:rsidR="006C4368" w:rsidRPr="00D65870" w:rsidRDefault="006C4368" w:rsidP="006C4368">
      <w:pPr>
        <w:pStyle w:val="Footnote"/>
        <w:bidi/>
        <w:rPr>
          <w:rFonts w:ascii="Narkisim" w:hAnsi="Narkisim"/>
        </w:rPr>
      </w:pPr>
      <w:r w:rsidRPr="00D65870">
        <w:rPr>
          <w:rFonts w:ascii="Narkisim" w:hAnsi="Narkisim"/>
          <w:rtl/>
        </w:rPr>
        <w:tab/>
        <w:t>ו</w:t>
      </w:r>
      <w:r w:rsidRPr="00D65870">
        <w:rPr>
          <w:rFonts w:ascii="Narkisim" w:hAnsi="Narkisim"/>
          <w:b/>
          <w:bCs/>
          <w:rtl/>
        </w:rPr>
        <w:t xml:space="preserve">ר"א מן ההר </w:t>
      </w:r>
      <w:r w:rsidRPr="00D65870">
        <w:rPr>
          <w:rFonts w:ascii="Narkisim" w:hAnsi="Narkisim"/>
          <w:rtl/>
        </w:rPr>
        <w:t>(קא.) כת' דכל הנך ילפותא בסוגיין הוה מדרבנן ואסמכתא [ולשיטתו הו' בע”א], דאם לא קראו אותם חליצתם כשירה. ואף מדרבנן תקנו רק למצווה ולא לעכב.</w:t>
      </w:r>
    </w:p>
  </w:footnote>
  <w:footnote w:id="6586">
    <w:p w14:paraId="44A6D91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ולפ"ז בדוקא הו' אף הקריאה בגמ' (לעיל מד.). ואילו בפשוטו הו' שם דין עצה הוגנת, ואגב זה הביאו רישא. וכן במשנה (קו:) אי' דמשיאין עצה הוגנת שנאמר וקראו ולו ודברו אליו. [והרבה ראשונים הביאו יחד וקראו ולא שלוחן, ודברו עצה הוגנת].</w:t>
      </w:r>
    </w:p>
  </w:footnote>
  <w:footnote w:id="6587">
    <w:p w14:paraId="4FE23EC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פוסקים</w:t>
      </w:r>
      <w:r w:rsidRPr="00D65870">
        <w:rPr>
          <w:rFonts w:ascii="Narkisim" w:hAnsi="Narkisim"/>
          <w:rtl/>
        </w:rPr>
        <w:t xml:space="preserve"> הביאו סתם דנותנים לו עצה, דהיינו הדיינים עצמן נותנים את העצה. [ועדיין ק"ק דלא הדגישו דל"מ השליח].</w:t>
      </w:r>
    </w:p>
  </w:footnote>
  <w:footnote w:id="6588">
    <w:p w14:paraId="358E93A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דעיקר הישוב בטבריה. והרמ"ה כת' דמקום הועד היה בטבריה. וב</w:t>
      </w:r>
      <w:r w:rsidRPr="00D65870">
        <w:rPr>
          <w:rFonts w:ascii="Narkisim" w:hAnsi="Narkisim"/>
          <w:b/>
          <w:bCs/>
          <w:rtl/>
        </w:rPr>
        <w:t>שו"ת הר"י מגאש</w:t>
      </w:r>
      <w:r w:rsidRPr="00D65870">
        <w:rPr>
          <w:rFonts w:ascii="Narkisim" w:hAnsi="Narkisim"/>
          <w:rtl/>
        </w:rPr>
        <w:t xml:space="preserve"> (מה) כת' דאף שקרובים להדדי, וליכא טורח. [והביא דהיו תוך תחום שבת. אבל יש מקומות שמבואר שהיו מרחק י"ב או י"ח מיל].</w:t>
      </w:r>
    </w:p>
  </w:footnote>
  <w:footnote w:id="6589">
    <w:p w14:paraId="39C3858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פוסקים</w:t>
      </w:r>
      <w:r w:rsidRPr="00D65870">
        <w:rPr>
          <w:rFonts w:ascii="Narkisim" w:hAnsi="Narkisim"/>
          <w:rtl/>
        </w:rPr>
        <w:t xml:space="preserve"> כת' דהיינו דוקא עיר שהוא דר שם. אבל אם הלך למקום אחר, כופין אותו לילך אחר היבמה. [וע"ע שיבת ציון].</w:t>
      </w:r>
    </w:p>
  </w:footnote>
  <w:footnote w:id="6590">
    <w:p w14:paraId="1CE72CD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ועפ"ז יש ליישב דאף דין 'וקראו ולא שלוחן' הוה מדיני כפיית החליצה. אבל בגוף החליצה אין חילוק.</w:t>
      </w:r>
    </w:p>
  </w:footnote>
  <w:footnote w:id="6591">
    <w:p w14:paraId="6BAF296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שו"ת שיבת ציון</w:t>
      </w:r>
      <w:r w:rsidRPr="00D65870">
        <w:rPr>
          <w:rFonts w:ascii="Narkisim" w:hAnsi="Narkisim"/>
          <w:rtl/>
        </w:rPr>
        <w:t xml:space="preserve"> (צז) הביא דילפי' כן מהדרשא בישראל לרבות כל דהוא מישראל, וכ"ש בי"ד של עיר אחרת הוה כל דהוא מישראל.</w:t>
      </w:r>
    </w:p>
  </w:footnote>
  <w:footnote w:id="6592">
    <w:p w14:paraId="39D4990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ריא"ז</w:t>
      </w:r>
      <w:r w:rsidRPr="00D65870">
        <w:rPr>
          <w:rFonts w:ascii="Narkisim" w:hAnsi="Narkisim"/>
          <w:rtl/>
        </w:rPr>
        <w:t xml:space="preserve"> (הו' בשלט"ג ורמ"א שם) כת' דהדיינין אינם הולכים אצל היבם והיבמה, אלא קובעים מקום להתוועד בו [ע' בסמוך], והיבם והיבמה באין אצלן, שנאמר ועלתה יבמתו השערה. ומ"מ אם הלכו אצל היבם והיבמה אין החליצה נפסלת בכך.</w:t>
      </w:r>
    </w:p>
  </w:footnote>
  <w:footnote w:id="6593">
    <w:p w14:paraId="2BFF935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והמשנ"ל נסתפק היכא דבעירו ליכא בי"ד, האם הולכין למקום קרוב לעירו, או כיון דלא הוה 'זקני עירו' מחייבין אותו לילך לעירה.</w:t>
      </w:r>
    </w:p>
  </w:footnote>
  <w:footnote w:id="6594">
    <w:p w14:paraId="06C506E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וכה"ק </w:t>
      </w:r>
      <w:r w:rsidRPr="00D65870">
        <w:rPr>
          <w:rFonts w:ascii="Narkisim" w:hAnsi="Narkisim"/>
          <w:b/>
          <w:bCs/>
          <w:rtl/>
        </w:rPr>
        <w:t>תוס'</w:t>
      </w:r>
      <w:r w:rsidRPr="00D65870">
        <w:rPr>
          <w:rFonts w:ascii="Narkisim" w:hAnsi="Narkisim"/>
          <w:rtl/>
        </w:rPr>
        <w:t xml:space="preserve"> (ערכין ב.) לילף מהכא בכל התורה דאין שלוחו של אדם כמותו. ותי' דסמיכה ויבמה ועגלה ערופה שלשה כתובין הבאין כא' וכו'. וא"ת לילף מינייהו דבכל דוכתא הוי שלוחו כמותו מדאיצטריך למעוטינהו, וי"ל דאי לאו הני קראי דקדושין דאשמועינן דשלוחו כמותו הוה מוקמינן להני תלתא קראי דסמיכה ויבמה ועגלה ערופה לדרשא אחריתי.</w:t>
      </w:r>
    </w:p>
  </w:footnote>
  <w:footnote w:id="6595">
    <w:p w14:paraId="4FA623D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האריכו בזה. וע”ע קצות (קפב), חת”ס (או"ח א רא), בית אפרים (חו”מ סז), או”ש (שלוחין א) וברכ”ש (קידושין כ), וע' גר"ח (בסה"ז אש תמיד). וע"ע מהר"ח או"ז (קכח).</w:t>
      </w:r>
    </w:p>
  </w:footnote>
  <w:footnote w:id="6596">
    <w:p w14:paraId="33B9756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ודוקא בקידושין וגירושין או הפרשת תרומה או שחיטת פסח, דאינה בגופו של אדם שייך שלוחו של אדם כמותו.</w:t>
      </w:r>
    </w:p>
  </w:footnote>
  <w:footnote w:id="6597">
    <w:p w14:paraId="6CD9ADC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בסוגיין מבואר דצריך ילפותא, דמסברא הו"א דהוה דין 'מעשה קריאה', וסגי שמתייחס עליו בגדרי שליחות. קמ"ל קרא דצריך בגופו דוקא. ועד"ז בכל הנך שנתמעט בהו שליחות, דצריך הפרת הבעל דוקא וכו'. {ואילו הנחת תפילין ואכילת מצה וכדו' לא מצאנו מיעוט דל"מ ע"י שליח, וי"ל דהתם הוה סברא פשוטה דבעינן בגופו. והקצות (קפב) כת' דל"מ תפילין ע"י שליח כיון דהוה ממילא, וליכא מעשה. ומש"ה לא הוה בכלל דין קרא דשליחות}.</w:t>
      </w:r>
    </w:p>
    <w:p w14:paraId="75ECC8CA" w14:textId="77777777" w:rsidR="006C4368" w:rsidRPr="00D65870" w:rsidRDefault="006C4368" w:rsidP="006C4368">
      <w:pPr>
        <w:pStyle w:val="Footnote"/>
        <w:bidi/>
        <w:rPr>
          <w:rFonts w:ascii="Narkisim" w:hAnsi="Narkisim"/>
        </w:rPr>
      </w:pPr>
      <w:r w:rsidRPr="00D65870">
        <w:rPr>
          <w:rFonts w:ascii="Narkisim" w:hAnsi="Narkisim"/>
          <w:rtl/>
        </w:rPr>
        <w:tab/>
        <w:t>{ונראה דלולי ילפותא דגט וקידושין ס"ד דאף בהנך הוה מצוות שבגופו, ובעינן 'ונתן בידה' דוקא. אלא דילפי' גדרי שליחות בכל התורה, וילפי' דסגי שיתייחס המעשה ול"צ בגופו ממש. ועד”ז יתפרש הצריכותא (קידושין מא:) דס”ד דבקודש ל”מ שליחות. ועד”ז תוס' דנו ללמוד מהנך דהכא לכל התורה דבעינן ידיו וגופו דוקא. מלבד גיטין וקידושין. ותי' דהוה ג' כתובים הבאין כא', דדוקא הנך הוה מצווה שבגופו}.</w:t>
      </w:r>
    </w:p>
  </w:footnote>
  <w:footnote w:id="6598">
    <w:p w14:paraId="17DFE66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[דהמדיח שלח שליח שידיחנו. וה</w:t>
      </w:r>
      <w:r w:rsidRPr="00D65870">
        <w:rPr>
          <w:rFonts w:ascii="Narkisim" w:hAnsi="Narkisim"/>
          <w:b/>
          <w:bCs/>
          <w:rtl/>
        </w:rPr>
        <w:t>שעה"מ</w:t>
      </w:r>
      <w:r w:rsidRPr="00D65870">
        <w:rPr>
          <w:rFonts w:ascii="Narkisim" w:hAnsi="Narkisim"/>
          <w:rtl/>
        </w:rPr>
        <w:t xml:space="preserve"> (ע"ז ד) הביא בשם </w:t>
      </w:r>
      <w:r w:rsidRPr="00D65870">
        <w:rPr>
          <w:rFonts w:ascii="Narkisim" w:hAnsi="Narkisim"/>
          <w:b/>
          <w:bCs/>
          <w:rtl/>
        </w:rPr>
        <w:t>נכדו של הר"ש משאנ"ץ</w:t>
      </w:r>
      <w:r w:rsidRPr="00D65870">
        <w:rPr>
          <w:rFonts w:ascii="Narkisim" w:hAnsi="Narkisim"/>
          <w:rtl/>
        </w:rPr>
        <w:t xml:space="preserve"> דהק' תיפו"ל דהשליח עצמו הדיחו. ותי' כגון שהשליח הוא מעיר אחרת ובעינן מבני העיר. וקמ"ל דלא מתייחס למשלח. א"נ אף מבני העיר, כיון דלא דברו מחמת עצמן לא חשיבי מילתא. ולפ"ז י"ל דזה גדר המיעוט, ולא היה ס"ד לייחס את ההדחה למשלח, אלא קמ"ל דהדחת השליח אינו מחייבו].</w:t>
      </w:r>
    </w:p>
    <w:p w14:paraId="039671A9" w14:textId="77777777" w:rsidR="006C4368" w:rsidRPr="00D65870" w:rsidRDefault="006C4368" w:rsidP="006C4368">
      <w:pPr>
        <w:pStyle w:val="Footnote"/>
        <w:bidi/>
        <w:rPr>
          <w:rFonts w:ascii="Narkisim" w:hAnsi="Narkisim"/>
        </w:rPr>
      </w:pPr>
      <w:r w:rsidRPr="00D65870">
        <w:rPr>
          <w:rFonts w:ascii="Narkisim" w:hAnsi="Narkisim"/>
          <w:rtl/>
        </w:rPr>
        <w:tab/>
        <w:t>ויש שדנו דהתם לא שייך תורת שליחות דכל התורה, דאין שליח לדבר עבירה.</w:t>
      </w:r>
    </w:p>
  </w:footnote>
  <w:footnote w:id="6599">
    <w:p w14:paraId="3D93000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הביאו ד</w:t>
      </w:r>
      <w:r w:rsidRPr="00D65870">
        <w:rPr>
          <w:rFonts w:ascii="Narkisim" w:hAnsi="Narkisim"/>
          <w:b/>
          <w:bCs/>
          <w:rtl/>
        </w:rPr>
        <w:t>רש"י</w:t>
      </w:r>
      <w:r w:rsidRPr="00D65870">
        <w:rPr>
          <w:rFonts w:ascii="Narkisim" w:hAnsi="Narkisim"/>
          <w:rtl/>
        </w:rPr>
        <w:t xml:space="preserve"> (ויקרא כד יד) כת' מקור נוסף לשליחות. דכתיב [גבי המקלל] ורגמו אותו כל העדה, ופרש"י במעמד כל העדה. מכאן ששלוחו של אדם כמותו. ויש אחרונים (פנים יפות שם) שכת' דהתם הוה ענין אחר של שליחות. דכל מצוה המוטלת על הרבים א' מוציא את כולם, והוא ג"כ כמו שליחות, דאי' במשנה (ברכות לד:) גבי שליח ציבור, ששלוחו של אדם כמותו. ואין זה ענין לשאר שליחות.</w:t>
      </w:r>
    </w:p>
  </w:footnote>
  <w:footnote w:id="6600">
    <w:p w14:paraId="4B7465F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יש"ש</w:t>
      </w:r>
      <w:r w:rsidRPr="00D65870">
        <w:rPr>
          <w:rFonts w:ascii="Narkisim" w:hAnsi="Narkisim"/>
          <w:rtl/>
        </w:rPr>
        <w:t xml:space="preserve"> הק' דהוה הו"א בעלמא בדברי ר' יהודה, דהגמ' דוחה דאף ר' יהודה איצטריך לכדרבא, ויליף הדיוטות מ'בישראל'. [ואף קודם שחזר בו דסגי בג' דיינים]. ו</w:t>
      </w:r>
      <w:r>
        <w:rPr>
          <w:rFonts w:ascii="Narkisim" w:hAnsi="Narkisim" w:hint="cs"/>
          <w:rtl/>
        </w:rPr>
        <w:t xml:space="preserve">ע' </w:t>
      </w:r>
      <w:r w:rsidRPr="00D65870">
        <w:rPr>
          <w:rFonts w:ascii="Narkisim" w:hAnsi="Narkisim"/>
          <w:rtl/>
        </w:rPr>
        <w:t>ק"נ</w:t>
      </w:r>
      <w:r>
        <w:rPr>
          <w:rFonts w:ascii="Narkisim" w:hAnsi="Narkisim" w:hint="cs"/>
          <w:rtl/>
        </w:rPr>
        <w:t>.</w:t>
      </w:r>
    </w:p>
  </w:footnote>
  <w:footnote w:id="6601">
    <w:p w14:paraId="4B782CF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רע”א</w:t>
      </w:r>
      <w:r w:rsidRPr="00D65870">
        <w:rPr>
          <w:rFonts w:ascii="Narkisim" w:hAnsi="Narkisim"/>
          <w:rtl/>
        </w:rPr>
        <w:t xml:space="preserve"> הביא דעד”ז דרשי' (חגיגה ג.) דקרא ד'באזניהם' סגי בשומע באוזן א', וקאי אאזניהם דכל ישראל. [אך הגמ' חגיגה מביאה דדרשי' נגד כל ישראל, למען ישמעו. ויתור אזניהם דחרש באוזן א' פטור מראייה].</w:t>
      </w:r>
    </w:p>
  </w:footnote>
  <w:footnote w:id="6602">
    <w:p w14:paraId="5C60D13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ויש שחילקו דאי לעיני פי' ראייה, אין הבדל בין ראייה בעין א' או ב'. אבל אי לעיני קאי אגוף העינים, א"כ יש לדרוש לשון רבים שיהיו שניהם קיימים. [וע"ד מש"כ הק"נ].</w:t>
      </w:r>
    </w:p>
  </w:footnote>
  <w:footnote w:id="6603">
    <w:p w14:paraId="09474FF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בכה"ג י"ל דצריך עדות לקיומי, ע"ע לקמן קה:].</w:t>
      </w:r>
    </w:p>
  </w:footnote>
  <w:footnote w:id="6604">
    <w:p w14:paraId="0FD3DC4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[אך מדברי הרמ"א משמע דהוה לרווחא דמילתא]. וכן </w:t>
      </w:r>
      <w:r w:rsidRPr="00D65870">
        <w:rPr>
          <w:rFonts w:ascii="Narkisim" w:hAnsi="Narkisim"/>
          <w:b/>
          <w:bCs/>
          <w:rtl/>
        </w:rPr>
        <w:t>ראבי"ה</w:t>
      </w:r>
      <w:r w:rsidRPr="00D65870">
        <w:rPr>
          <w:rFonts w:ascii="Narkisim" w:hAnsi="Narkisim"/>
          <w:rtl/>
        </w:rPr>
        <w:t xml:space="preserve"> (ד תתצד) הביא דלא יהא סומא אפי' בעין א'. ושוב הביא ד</w:t>
      </w:r>
      <w:r w:rsidRPr="00D65870">
        <w:rPr>
          <w:rFonts w:ascii="Narkisim" w:hAnsi="Narkisim"/>
          <w:b/>
          <w:bCs/>
          <w:rtl/>
        </w:rPr>
        <w:t>ר"ת</w:t>
      </w:r>
      <w:r w:rsidRPr="00D65870">
        <w:rPr>
          <w:rFonts w:ascii="Narkisim" w:hAnsi="Narkisim"/>
          <w:rtl/>
        </w:rPr>
        <w:t xml:space="preserve"> מכשיר בסומא בעין א'.</w:t>
      </w:r>
    </w:p>
  </w:footnote>
  <w:footnote w:id="6605">
    <w:p w14:paraId="4DB5401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אלא דדחיית הגמ' דאין כאן יתור, ומש”ה אין ראיה דלא איירי בסנהדרין.</w:t>
      </w:r>
    </w:p>
  </w:footnote>
  <w:footnote w:id="6606">
    <w:p w14:paraId="3D689F1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סעד לדבר דבמדרש (והו' ברש”י דברים לד יב) אי' ד'לעיני כל ישראל' זו שבירת הלוחות. והא היו בהן סומין, דהא במעשה העגל חזרו למומן.</w:t>
      </w:r>
    </w:p>
  </w:footnote>
  <w:footnote w:id="6607">
    <w:p w14:paraId="71AB8B3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ויש </w:t>
      </w:r>
      <w:r w:rsidRPr="00D65870">
        <w:rPr>
          <w:rFonts w:ascii="Narkisim" w:hAnsi="Narkisim"/>
          <w:b/>
          <w:bCs/>
          <w:rtl/>
        </w:rPr>
        <w:t>פוסקים</w:t>
      </w:r>
      <w:r w:rsidRPr="00D65870">
        <w:rPr>
          <w:rFonts w:ascii="Narkisim" w:hAnsi="Narkisim"/>
          <w:rtl/>
        </w:rPr>
        <w:t xml:space="preserve"> (רמ"א סדר חליצה ז) כת' לקבוע מבערב. וה</w:t>
      </w:r>
      <w:r w:rsidRPr="00D65870">
        <w:rPr>
          <w:rFonts w:ascii="Narkisim" w:hAnsi="Narkisim"/>
          <w:b/>
          <w:bCs/>
          <w:rtl/>
        </w:rPr>
        <w:t>גר"א</w:t>
      </w:r>
      <w:r w:rsidRPr="00D65870">
        <w:rPr>
          <w:rFonts w:ascii="Narkisim" w:hAnsi="Narkisim"/>
          <w:rtl/>
        </w:rPr>
        <w:t xml:space="preserve"> ציין ל</w:t>
      </w:r>
      <w:r w:rsidRPr="00D65870">
        <w:rPr>
          <w:rFonts w:ascii="Narkisim" w:hAnsi="Narkisim"/>
          <w:b/>
          <w:bCs/>
          <w:rtl/>
        </w:rPr>
        <w:t>רש"י</w:t>
      </w:r>
      <w:r w:rsidRPr="00D65870">
        <w:rPr>
          <w:rFonts w:ascii="Narkisim" w:hAnsi="Narkisim"/>
          <w:rtl/>
        </w:rPr>
        <w:t xml:space="preserve"> (סנהדרין יא. ד"ה במזומנין לה) שהזמינן הנשיא מבערב.</w:t>
      </w:r>
    </w:p>
  </w:footnote>
  <w:footnote w:id="6608">
    <w:p w14:paraId="5D09C69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[היינו כשחלצו בלא קביעת מקום. אבל היכא דאפשר יש לקבוע מקום, ולחלוץ יום אח"כ]. ומ"מ כת' אם קבעו מקום ובעת החליצה הלכה למקום אחר גרע ומסתפינא שצריך חליצה אחרת. [וצ"ב].</w:t>
      </w:r>
    </w:p>
  </w:footnote>
  <w:footnote w:id="6609">
    <w:p w14:paraId="5B13FBB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(סדר חליצה ג) הביא מהך ספרי דלכתחילה בעינן זקנים.</w:t>
      </w:r>
    </w:p>
  </w:footnote>
  <w:footnote w:id="6610">
    <w:p w14:paraId="28ADC26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חינוך</w:t>
      </w:r>
      <w:r w:rsidRPr="00D65870">
        <w:rPr>
          <w:rFonts w:ascii="Narkisim" w:hAnsi="Narkisim"/>
          <w:rtl/>
        </w:rPr>
        <w:t xml:space="preserve"> (תקצט) כת' דיוסיפו עוד עמהם כדי שיהו חמשה כדי לפרסומי מילתא, או עד עשרה, וכן נהגו העם.</w:t>
      </w:r>
    </w:p>
  </w:footnote>
  <w:footnote w:id="6611">
    <w:p w14:paraId="2D06BD9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וכ"כ </w:t>
      </w:r>
      <w:r w:rsidRPr="00D65870">
        <w:rPr>
          <w:rFonts w:ascii="Narkisim" w:hAnsi="Narkisim"/>
          <w:b/>
          <w:bCs/>
          <w:rtl/>
        </w:rPr>
        <w:t>ר"א מן ההר</w:t>
      </w:r>
      <w:r w:rsidRPr="00D65870">
        <w:rPr>
          <w:rFonts w:ascii="Narkisim" w:hAnsi="Narkisim"/>
          <w:rtl/>
        </w:rPr>
        <w:t xml:space="preserve"> דאף אם א' מהג' אינו יודע להקרות מהני. ועוד דאפי' ג' אינן יודעין להקרות חליצתה כשירה, דקי"ל דלא מעכבא קרייה בחליצה. [ומש”ה אינו מעכב שיהא דיין הראוי לקריאה].</w:t>
      </w:r>
    </w:p>
  </w:footnote>
  <w:footnote w:id="6612">
    <w:p w14:paraId="76A4D04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והמגיה לריטב"א דן דל"ש בסומא נמצא א' מהם קרוב או פסול, כיון דפסול לכל עדויות, וע”ד מש”כ ה</w:t>
      </w:r>
      <w:r w:rsidRPr="00D65870">
        <w:rPr>
          <w:rFonts w:ascii="Narkisim" w:hAnsi="Narkisim"/>
          <w:b/>
          <w:bCs/>
          <w:rtl/>
        </w:rPr>
        <w:t>נתיבות</w:t>
      </w:r>
      <w:r w:rsidRPr="00D65870">
        <w:rPr>
          <w:rFonts w:ascii="Narkisim" w:hAnsi="Narkisim"/>
          <w:rtl/>
        </w:rPr>
        <w:t xml:space="preserve"> (ס"ס לו) דאשה וקטן אינם ראויין לעדות ול"ש נמצא קרוב או פסול, כיון דפסולים לכל העדות. אך יש לחלק דסומא נחשב 'בתורת' כיון דיכול להתפתח.</w:t>
      </w:r>
    </w:p>
  </w:footnote>
  <w:footnote w:id="6613">
    <w:p w14:paraId="2BD62B8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וביאר דעם הארץ פסול רק מדרבנן, ומש"ה לא גזרו שלא ישלים עמהם.</w:t>
      </w:r>
    </w:p>
  </w:footnote>
  <w:footnote w:id="6614">
    <w:p w14:paraId="524F97E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בי"ש</w:t>
      </w:r>
      <w:r w:rsidRPr="00D65870">
        <w:rPr>
          <w:rFonts w:ascii="Narkisim" w:hAnsi="Narkisim"/>
          <w:rtl/>
        </w:rPr>
        <w:t xml:space="preserve"> (קסט ד) בדעת האו"ז, דכוונתו היכא דב' הנוספין נמשכין מן הג', ואין עושים בין כולם חיבור א'. ואילו בעובדא דרב שמואל ב"י [היה נוהגין לעשות הכל חיבור א', ומש”ה ל"מ גר].</w:t>
      </w:r>
    </w:p>
  </w:footnote>
  <w:footnote w:id="6615">
    <w:p w14:paraId="528360E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(סדר חליצה טו) הק' דא"כ גט נמי. ו</w:t>
      </w:r>
      <w:r w:rsidRPr="00D65870">
        <w:rPr>
          <w:rFonts w:ascii="Narkisim" w:hAnsi="Narkisim"/>
          <w:b/>
          <w:bCs/>
          <w:rtl/>
        </w:rPr>
        <w:t>ר"א מן ההר</w:t>
      </w:r>
      <w:r w:rsidRPr="00D65870">
        <w:rPr>
          <w:rFonts w:ascii="Narkisim" w:hAnsi="Narkisim"/>
          <w:rtl/>
        </w:rPr>
        <w:t xml:space="preserve"> כת' דבגט לא בעינן פרסום, שהרי היא מתגרשת בגט שהוא נותן לה וראיתה עמה. אבל חליצה היא מתגרשת במה שעושה ואין ראיתה עמה. ומש"ה בעינן לפרסומי מילתא דחלוצה היא דלא ליסבה כהן. אי נמי דלידעו דשריא לזר.</w:t>
      </w:r>
    </w:p>
  </w:footnote>
  <w:footnote w:id="6616">
    <w:p w14:paraId="1529F5B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ר"א מן ההר</w:t>
      </w:r>
      <w:r w:rsidRPr="00D65870">
        <w:rPr>
          <w:rFonts w:ascii="Narkisim" w:hAnsi="Narkisim"/>
          <w:rtl/>
        </w:rPr>
        <w:t xml:space="preserve"> מבואר דאסמכוה אקרא ד'ועלתה השערה' שיהא מפורסם, אך עיקר הטעם משום גזירה כפרש"י.</w:t>
      </w:r>
    </w:p>
  </w:footnote>
  <w:footnote w:id="6617">
    <w:p w14:paraId="05C3EE8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כוונתו דאף בימי האמוראים הבי"ד לא היה במקום פרסום בשער העיר.</w:t>
      </w:r>
    </w:p>
  </w:footnote>
  <w:footnote w:id="6618">
    <w:p w14:paraId="48A29FB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ט"ז</w:t>
      </w:r>
      <w:r w:rsidRPr="00D65870">
        <w:rPr>
          <w:rFonts w:ascii="Narkisim" w:hAnsi="Narkisim"/>
          <w:rtl/>
        </w:rPr>
        <w:t xml:space="preserve"> (הנ"ל) הק' על רש"י, דא"כ בגרושה ל"ש טעם זה.</w:t>
      </w:r>
    </w:p>
  </w:footnote>
  <w:footnote w:id="6619">
    <w:p w14:paraId="21D5EDD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ודן בגרושה שאומרת אי אפשי בתקנ"ח לב' הטעמים של רש"י.</w:t>
      </w:r>
    </w:p>
  </w:footnote>
  <w:footnote w:id="6620">
    <w:p w14:paraId="27116FE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[וכפ</w:t>
      </w:r>
      <w:r w:rsidRPr="00D65870">
        <w:rPr>
          <w:rFonts w:ascii="Narkisim" w:hAnsi="Narkisim"/>
          <w:b/>
          <w:bCs/>
          <w:rtl/>
        </w:rPr>
        <w:t>רש"י</w:t>
      </w:r>
      <w:r w:rsidRPr="00D65870">
        <w:rPr>
          <w:rFonts w:ascii="Narkisim" w:hAnsi="Narkisim"/>
          <w:rtl/>
        </w:rPr>
        <w:t>]. וה</w:t>
      </w:r>
      <w:r w:rsidRPr="00D65870">
        <w:rPr>
          <w:rFonts w:ascii="Narkisim" w:hAnsi="Narkisim"/>
          <w:b/>
          <w:bCs/>
          <w:rtl/>
        </w:rPr>
        <w:t>רא"ש</w:t>
      </w:r>
      <w:r w:rsidRPr="00D65870">
        <w:rPr>
          <w:rFonts w:ascii="Narkisim" w:hAnsi="Narkisim"/>
          <w:rtl/>
        </w:rPr>
        <w:t xml:space="preserve"> דייק דהוא עצמו היה גר, דאמר אנא גר אנא [ולא משמע שהיה ממשפחת גרים].</w:t>
      </w:r>
    </w:p>
  </w:footnote>
  <w:footnote w:id="6621">
    <w:p w14:paraId="62FF9A6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שהיה בן רב יהודה הינדוואה, שנולד לו בגיות, ונתגיירו שניהם. ואפ"ה ייחסוהו אחריו וקראו לו בן יהודה, ולא אמרו ביחס זה דגר שנתגייר כקטן שנולד דמי [וע”ע לעיל סב. וצז:].</w:t>
      </w:r>
    </w:p>
  </w:footnote>
  <w:footnote w:id="6622">
    <w:p w14:paraId="02D27FC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תוס' נקטו גרים [וכן שאר התוס' דבני גרים], משמע דתרוייהו היבם והיבמה גרים. ולכאורה מבואר דחליצה הוה 'דין' בין היבם ליבמה, והדיין הוה שררה על שניהם.</w:t>
      </w:r>
    </w:p>
  </w:footnote>
  <w:footnote w:id="6623">
    <w:p w14:paraId="607D283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ויל"ד היכא דאמו של היבם מישראל, האם מהני להחשיבו ישראל דל"מ דיין גר. [וכמו שאצל הדיין אמו מישראל נחשב מקרב אחיך].</w:t>
      </w:r>
    </w:p>
  </w:footnote>
  <w:footnote w:id="6624">
    <w:p w14:paraId="3C7CE34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ה</w:t>
      </w:r>
      <w:r w:rsidRPr="00D65870">
        <w:rPr>
          <w:rFonts w:ascii="Narkisim" w:hAnsi="Narkisim"/>
          <w:b/>
          <w:bCs/>
          <w:rtl/>
        </w:rPr>
        <w:t>סמ"ע</w:t>
      </w:r>
      <w:r w:rsidRPr="00D65870">
        <w:rPr>
          <w:rFonts w:ascii="Narkisim" w:hAnsi="Narkisim"/>
          <w:rtl/>
        </w:rPr>
        <w:t xml:space="preserve"> (שם ד) הביא את דברי הרא"ש דדוקא ע”י כפייה.</w:t>
      </w:r>
    </w:p>
  </w:footnote>
  <w:footnote w:id="6625">
    <w:p w14:paraId="1E272F9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והק' דה</w:t>
      </w:r>
      <w:r w:rsidRPr="00D65870">
        <w:rPr>
          <w:rFonts w:ascii="Narkisim" w:hAnsi="Narkisim"/>
          <w:b/>
          <w:bCs/>
          <w:rtl/>
        </w:rPr>
        <w:t>ר"ן</w:t>
      </w:r>
      <w:r w:rsidRPr="00D65870">
        <w:rPr>
          <w:rFonts w:ascii="Narkisim" w:hAnsi="Narkisim"/>
          <w:rtl/>
        </w:rPr>
        <w:t xml:space="preserve"> (שבועות לה. טו: בדה”ר) הביא ירושלמי דהיכא דקיבל עליו פסולים ליכא חיוב קרבן שבועה, דדרשי' והוא עד, יצא זה שאינו כשר להעיד בממון. [והקובה"ע נקט דדרשת הירושלמי ד'פסול' לא מקרי עד, אפי' ע"י קבלה. ולא נעשה כשר ע"י הקבלה. אך יש אחרונים הביאו מהירושלמי להיפך, דנחשב 'עד' ע"י קבלה, דאל”כ אמאי איצטריך קרא למעט. ואפ"ה נתמעט מקרבן שבועה 'והוא עד', וזה אינו כשר להעיד במקום אחר].</w:t>
      </w:r>
    </w:p>
  </w:footnote>
  <w:footnote w:id="6626">
    <w:p w14:paraId="6058D0A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תומים</w:t>
      </w:r>
      <w:r w:rsidRPr="00D65870">
        <w:rPr>
          <w:rFonts w:ascii="Narkisim" w:hAnsi="Narkisim"/>
          <w:rtl/>
        </w:rPr>
        <w:t xml:space="preserve"> (ז א) הביא מה</w:t>
      </w:r>
      <w:r w:rsidRPr="00D65870">
        <w:rPr>
          <w:rFonts w:ascii="Narkisim" w:hAnsi="Narkisim"/>
          <w:b/>
          <w:bCs/>
          <w:rtl/>
        </w:rPr>
        <w:t>כנה"ג</w:t>
      </w:r>
      <w:r w:rsidRPr="00D65870">
        <w:rPr>
          <w:rFonts w:ascii="Narkisim" w:hAnsi="Narkisim"/>
          <w:rtl/>
        </w:rPr>
        <w:t xml:space="preserve"> דמינו את שמעיה ואבטליון להיות נשיאים ואב בי"ד (כדאי' חגיגה טז.). [אף שהיו גרים, וכמ"ש הרמב"ם בהקדמה], דמהני קבלת הציבור. [והתומים ביאר דסגי בקבלת חשובי העדה, ואי"צ לשאול רוב הציבור. דאטו שאלו את רוב ישראל].</w:t>
      </w:r>
    </w:p>
    <w:p w14:paraId="4A495DA0" w14:textId="77777777" w:rsidR="006C4368" w:rsidRPr="00D65870" w:rsidRDefault="006C4368" w:rsidP="006C4368">
      <w:pPr>
        <w:pStyle w:val="Footnote"/>
        <w:bidi/>
        <w:rPr>
          <w:rFonts w:ascii="Narkisim" w:hAnsi="Narkisim"/>
        </w:rPr>
      </w:pPr>
      <w:r w:rsidRPr="00D65870">
        <w:rPr>
          <w:rFonts w:ascii="Narkisim" w:hAnsi="Narkisim"/>
          <w:rtl/>
        </w:rPr>
        <w:tab/>
        <w:t>והתומים הק' [אלא שאני חוכך] דקבלוהו עליו מהני דוקא בדיני ממונות, דיכול להפקיר ממונו וליתנו למי שרוצה, ואף הוא יכול לומר הריני מתרצה לכל מוצא פיך אם ליתן או למחול וכדומה, אבל האיך מהני קבלה לדיני נפשות, להיות ראשי סנהדרין. ודן דאפשר דהמלך שבידו להרוג יש בידו למנות אף לנפשות. א”נ שמעיה ואבטליון לא נתמנו לדון או לדיני נפשות, ואף שהיה אב”ד היינו שהיו מקבלי שמועה ובירור הלכה בתורה שבע"פ, לעוצם חכמתם ובינתם ויראתם הקודמת.</w:t>
      </w:r>
    </w:p>
  </w:footnote>
  <w:footnote w:id="6627">
    <w:p w14:paraId="7B999D7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וע"ע נתיבות (טו ב) ורמב”ם (סנהדרין כד א), ואכמ”ל.</w:t>
      </w:r>
    </w:p>
  </w:footnote>
  <w:footnote w:id="6628">
    <w:p w14:paraId="4F3BA07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ר"ן</w:t>
      </w:r>
      <w:r w:rsidRPr="00D65870">
        <w:rPr>
          <w:rFonts w:ascii="Narkisim" w:hAnsi="Narkisim"/>
          <w:rtl/>
        </w:rPr>
        <w:t xml:space="preserve"> דחה דשור הנסקל של ישראל הוה בכלל כל דין של ישראל דבעינן מיוחסים, ודרשינן כמיתת הבעלים כך מיתת השור. אבל י"ל דבי"ד של גרים דן את הגרים דיני נפשות.</w:t>
      </w:r>
    </w:p>
  </w:footnote>
  <w:footnote w:id="6629">
    <w:p w14:paraId="3D890B1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וי"ל לדעת רש"י דבדיני נפשות תלי ביחוס וסמיכה להחשב דיין. ובדיין ל"צ, ואילו בחליצה יש גזיה"כ 'בישראל' [מדיני החליצה, ולא מגדרי הבי"ד].</w:t>
      </w:r>
    </w:p>
  </w:footnote>
  <w:footnote w:id="6630">
    <w:p w14:paraId="4D7C55B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פתח"ת</w:t>
      </w:r>
      <w:r w:rsidRPr="00D65870">
        <w:rPr>
          <w:rFonts w:ascii="Narkisim" w:hAnsi="Narkisim"/>
          <w:rtl/>
        </w:rPr>
        <w:t xml:space="preserve"> (קסט ד) כת' דכוונת הרמב"ם דצריך שיהא ראוי להורות בכל התורה, ולא שיש פסול לדון בא' מהדינים.</w:t>
      </w:r>
    </w:p>
    <w:p w14:paraId="35F122D3" w14:textId="77777777" w:rsidR="006C4368" w:rsidRPr="00D65870" w:rsidRDefault="006C4368" w:rsidP="006C4368">
      <w:pPr>
        <w:pStyle w:val="Footnote"/>
        <w:bidi/>
        <w:rPr>
          <w:rFonts w:ascii="Narkisim" w:hAnsi="Narkisim"/>
        </w:rPr>
      </w:pPr>
      <w:r w:rsidRPr="00D65870">
        <w:rPr>
          <w:rFonts w:ascii="Narkisim" w:hAnsi="Narkisim"/>
          <w:rtl/>
        </w:rPr>
        <w:tab/>
        <w:t>וכ"מ ב</w:t>
      </w:r>
      <w:r w:rsidRPr="00D65870">
        <w:rPr>
          <w:rFonts w:ascii="Narkisim" w:hAnsi="Narkisim"/>
          <w:b/>
          <w:bCs/>
          <w:rtl/>
        </w:rPr>
        <w:t>ריטב"א</w:t>
      </w:r>
      <w:r w:rsidRPr="00D65870">
        <w:rPr>
          <w:rFonts w:ascii="Narkisim" w:hAnsi="Narkisim"/>
          <w:rtl/>
        </w:rPr>
        <w:t xml:space="preserve"> (הו' בסמוך) דגר דן דיני ממונות, ואף דבעי סמיכה.</w:t>
      </w:r>
    </w:p>
  </w:footnote>
  <w:footnote w:id="6631">
    <w:p w14:paraId="7ED1CE3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ולדעת תוס' צ"ל דמהני סמיכה בגר.</w:t>
      </w:r>
    </w:p>
  </w:footnote>
  <w:footnote w:id="6632">
    <w:p w14:paraId="51E124D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ומשמע דכוונתו דסמיכה הוה מינוי שררה על ישראל. [ולא רק אישור על הדיין].</w:t>
      </w:r>
    </w:p>
  </w:footnote>
  <w:footnote w:id="6633">
    <w:p w14:paraId="454E441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טור</w:t>
      </w:r>
      <w:r w:rsidRPr="00D65870">
        <w:rPr>
          <w:rFonts w:ascii="Narkisim" w:hAnsi="Narkisim"/>
          <w:rtl/>
        </w:rPr>
        <w:t xml:space="preserve"> (יו"ד ר"ס רסח) הביא בשם </w:t>
      </w:r>
      <w:r w:rsidRPr="00D65870">
        <w:rPr>
          <w:rFonts w:ascii="Narkisim" w:hAnsi="Narkisim"/>
          <w:b/>
          <w:bCs/>
          <w:rtl/>
        </w:rPr>
        <w:t>ר"ח</w:t>
      </w:r>
      <w:r w:rsidRPr="00D65870">
        <w:rPr>
          <w:rFonts w:ascii="Narkisim" w:hAnsi="Narkisim"/>
          <w:rtl/>
        </w:rPr>
        <w:t xml:space="preserve"> דעכו"ם נימול הבא להתגייר אין לו תקנה, אבל מתגייר בטבילה, וחשיב כגר להכשיר זרעו לקהל. אבל הוא עצמו אסור בקהל [ונושא גיורת]. והפרישה תמה דאף עכו"ם הבא על בת ישראל בנו כשר לקהל [ועי"ש כמה תי' מחודשים]. והבהג' (שם) כת' דנפק"מ דכשר להיות דיין לחליצה, ואף דבעינן שיהא אביו ואמו מישראל. [וכיון דנתגייר נחשב מישראל. אבל בפשוטו מישראל בסוגיין לאפוקי גר].</w:t>
      </w:r>
    </w:p>
  </w:footnote>
  <w:footnote w:id="6634">
    <w:p w14:paraId="6697CC5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הביא הגירסא [בכל הנוסחאות וברי"ף] מ"ט תרי בישראל כתיבי. וביאר דכתיב בפרשה פעמים בישראל, חד דרשי' ישראל כל דהו ואפי' הדיוטות, וחד ולא גרים.</w:t>
      </w:r>
    </w:p>
  </w:footnote>
  <w:footnote w:id="6635">
    <w:p w14:paraId="68884F6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ר"ת</w:t>
      </w:r>
      <w:r w:rsidRPr="00D65870">
        <w:rPr>
          <w:rFonts w:ascii="Narkisim" w:hAnsi="Narkisim"/>
          <w:rtl/>
        </w:rPr>
        <w:t xml:space="preserve"> (ס' הישר חי' ס) כת' יש שמצריכין אב ואם מישראל.</w:t>
      </w:r>
    </w:p>
  </w:footnote>
  <w:footnote w:id="6636">
    <w:p w14:paraId="505BC63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ואין לומר דכוונת התוס' דקדושת כהונה הולך אחר האב [וכגון שנשא גיורת מבת ג' ויום א', למ"ד דמהני]. דא"כ אמאי הביאו מהמשנה קידושין. וכן לשון תוס' אביו ישראל.</w:t>
      </w:r>
    </w:p>
  </w:footnote>
  <w:footnote w:id="6637">
    <w:p w14:paraId="6BCF051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דתנן (קידושין עז.) ישראל שנשא גיורת בתו כשירה לכהונה. ואף למ"ד קהל גרים לא איקרי קהל. ותוס' נקטו דקאי אף לר' יהודה דבת גר זכר כבת חלל.</w:t>
      </w:r>
    </w:p>
  </w:footnote>
  <w:footnote w:id="6638">
    <w:p w14:paraId="0004160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ודעת ה</w:t>
      </w:r>
      <w:r w:rsidRPr="00D65870">
        <w:rPr>
          <w:rFonts w:ascii="Narkisim" w:hAnsi="Narkisim"/>
          <w:b/>
          <w:bCs/>
          <w:rtl/>
        </w:rPr>
        <w:t>רמב"ם</w:t>
      </w:r>
      <w:r w:rsidRPr="00D65870">
        <w:rPr>
          <w:rFonts w:ascii="Narkisim" w:hAnsi="Narkisim"/>
          <w:rtl/>
        </w:rPr>
        <w:t xml:space="preserve"> (מלכים א ד) דלמלכות סגי באמו או אביו מישראל. וע"ע תוס' (לעיל מה:).</w:t>
      </w:r>
    </w:p>
  </w:footnote>
  <w:footnote w:id="6639">
    <w:p w14:paraId="37CE0B5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כת' דרחבעם ואבשלום יוכיחו. ורחבעם מלך על פי הדיבור. וה</w:t>
      </w:r>
      <w:r w:rsidRPr="00D65870">
        <w:rPr>
          <w:rFonts w:ascii="Narkisim" w:hAnsi="Narkisim"/>
          <w:b/>
          <w:bCs/>
          <w:rtl/>
        </w:rPr>
        <w:t>נוב"י</w:t>
      </w:r>
      <w:r w:rsidRPr="00D65870">
        <w:rPr>
          <w:rFonts w:ascii="Narkisim" w:hAnsi="Narkisim"/>
          <w:rtl/>
        </w:rPr>
        <w:t xml:space="preserve"> (חו"מ ק א) דחה שהיה מלך בן מלך.</w:t>
      </w:r>
    </w:p>
  </w:footnote>
  <w:footnote w:id="6640">
    <w:p w14:paraId="7696120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תוס' חד מקמאי</w:t>
      </w:r>
      <w:r w:rsidRPr="00D65870">
        <w:rPr>
          <w:rFonts w:ascii="Narkisim" w:hAnsi="Narkisim"/>
          <w:rtl/>
        </w:rPr>
        <w:t xml:space="preserve"> דייק מהגמ' (בסמוך) דמנעל וסנדל לא הוה אותו דפוס. ואפ"ה כת' (לעיל קא.) דהטעם דמנעל לכתחילה לא, משום מנעל מרופט.</w:t>
      </w:r>
    </w:p>
  </w:footnote>
  <w:footnote w:id="6641">
    <w:p w14:paraId="763E5CD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והרי הוא כשאר החכמים הדומים לו שאינם נביאים. ואם מי שאינו נביא יאמר פירוש, והנביא אמר שאמר לו ה' פירוש אחר הוא הנכון אין שומעין לו. ואפי' אלף נביאים שכולם כאליהו ואלישע פירשו איזה פירוש, ואלף וא' חכמים פי' להיפך, אחרי רבים להטות. ועושים כדברי האלף וא' חכמים, ולא כדברי האלף נביאים המופלגים.</w:t>
      </w:r>
    </w:p>
  </w:footnote>
  <w:footnote w:id="6642">
    <w:p w14:paraId="517BF32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 דברי הגמ' (חולין קכד.) האלקים אלו אמרה לי יהושע בן נון בפומיה לא הוה ציתנא ליה ולא שמענא מניה.</w:t>
      </w:r>
    </w:p>
  </w:footnote>
  <w:footnote w:id="6643">
    <w:p w14:paraId="1B2CEE2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הביאו מהגמ' (תמורה טז.) בהלכות שנשכחו בימי אבל משה, דיהושע לא שאל מהקב"ה משום דלא בשמים היא, ואין נביא רשאי לחדש דבר מעתה.</w:t>
      </w:r>
    </w:p>
    <w:p w14:paraId="25B9EC3F" w14:textId="77777777" w:rsidR="006C4368" w:rsidRPr="00D65870" w:rsidRDefault="006C4368" w:rsidP="006C4368">
      <w:pPr>
        <w:pStyle w:val="Footnote"/>
        <w:bidi/>
        <w:rPr>
          <w:rFonts w:ascii="Narkisim" w:hAnsi="Narkisim"/>
        </w:rPr>
      </w:pPr>
      <w:r w:rsidRPr="00D65870">
        <w:rPr>
          <w:rFonts w:ascii="Narkisim" w:hAnsi="Narkisim"/>
          <w:rtl/>
        </w:rPr>
        <w:tab/>
        <w:t>ובגמ' (שבת קח.) אי' דאם יבא אליהו ויאמר אפשר לכתוב תפילין על עור דג. והגמ' מק' מאי אם יבא אליהו, פ</w:t>
      </w:r>
      <w:r w:rsidRPr="00D65870">
        <w:rPr>
          <w:rFonts w:ascii="Narkisim" w:hAnsi="Narkisim"/>
          <w:b/>
          <w:bCs/>
          <w:rtl/>
        </w:rPr>
        <w:t>רש"י</w:t>
      </w:r>
      <w:r w:rsidRPr="00D65870">
        <w:rPr>
          <w:rFonts w:ascii="Narkisim" w:hAnsi="Narkisim"/>
          <w:rtl/>
        </w:rPr>
        <w:t xml:space="preserve"> דהיתר ואיסור אין תלוי בו דלא בשמים היא. והגמ' פי' אם יבא אליהו ויאמר אם פסקה זוהמתם. וה</w:t>
      </w:r>
      <w:r w:rsidRPr="00D65870">
        <w:rPr>
          <w:rFonts w:ascii="Narkisim" w:hAnsi="Narkisim"/>
          <w:b/>
          <w:bCs/>
          <w:rtl/>
        </w:rPr>
        <w:t>ברכ"י</w:t>
      </w:r>
      <w:r w:rsidRPr="00D65870">
        <w:rPr>
          <w:rFonts w:ascii="Narkisim" w:hAnsi="Narkisim"/>
          <w:rtl/>
        </w:rPr>
        <w:t xml:space="preserve"> (או"ח לב ד) הביא לפ"ז דאליהו ל"מ לברר ספיקא דדינא [אף במקום דהוה ספק]. אבל היכא דהוה ספק במציאות מהני. [והביא דעד"ז אי' לעיל מד:]. אך ה</w:t>
      </w:r>
      <w:r w:rsidRPr="00D65870">
        <w:rPr>
          <w:rFonts w:ascii="Narkisim" w:hAnsi="Narkisim"/>
          <w:b/>
          <w:bCs/>
          <w:rtl/>
        </w:rPr>
        <w:t>מהר"ם חביב</w:t>
      </w:r>
      <w:r w:rsidRPr="00D65870">
        <w:rPr>
          <w:rFonts w:ascii="Narkisim" w:hAnsi="Narkisim"/>
          <w:rtl/>
        </w:rPr>
        <w:t xml:space="preserve"> (תוספת יוה"כ עה.) נקט דאף בירור מציאות ל"מ אליהו.</w:t>
      </w:r>
    </w:p>
  </w:footnote>
  <w:footnote w:id="6644">
    <w:p w14:paraId="68A8F3B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תוס' מבואר דכך קי"ל, אך הביאו דדעת ר' יהושע דלא משגחינן כלל בבת קול משום דלא בשמים היא.</w:t>
      </w:r>
    </w:p>
  </w:footnote>
  <w:footnote w:id="6645">
    <w:p w14:paraId="3499C01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ברכ"י</w:t>
      </w:r>
      <w:r w:rsidRPr="00D65870">
        <w:rPr>
          <w:rFonts w:ascii="Narkisim" w:hAnsi="Narkisim"/>
          <w:rtl/>
        </w:rPr>
        <w:t xml:space="preserve"> הביא דב</w:t>
      </w:r>
      <w:r w:rsidRPr="00D65870">
        <w:rPr>
          <w:rFonts w:ascii="Narkisim" w:hAnsi="Narkisim"/>
          <w:b/>
          <w:bCs/>
          <w:rtl/>
        </w:rPr>
        <w:t>כת"י השיטמ"ק</w:t>
      </w:r>
      <w:r w:rsidRPr="00D65870">
        <w:rPr>
          <w:rFonts w:ascii="Narkisim" w:hAnsi="Narkisim"/>
          <w:rtl/>
        </w:rPr>
        <w:t xml:space="preserve"> (גיטין ו: בשם גליון) הביא שואלים העולם כיון דאליהו זכור לטוב היה מצוי להם, כדאי' בכמה מקומות, למה לא תי' להם כל תיקו שבתלמוד. ותי' דשני אליהו יש, האחד היה פנחס ואחר עכ"ל. וה</w:t>
      </w:r>
      <w:r w:rsidRPr="00D65870">
        <w:rPr>
          <w:rFonts w:ascii="Narkisim" w:hAnsi="Narkisim"/>
          <w:b/>
          <w:bCs/>
          <w:rtl/>
        </w:rPr>
        <w:t xml:space="preserve">חיד"א </w:t>
      </w:r>
      <w:r w:rsidRPr="00D65870">
        <w:rPr>
          <w:rFonts w:ascii="Narkisim" w:hAnsi="Narkisim"/>
          <w:rtl/>
        </w:rPr>
        <w:t>(שם הגדולים אות י רכד, ערך רבינו יעקב החסיד) האריך בענין מה שלמדו הראשונים בגילויים מהשמים.</w:t>
      </w:r>
    </w:p>
  </w:footnote>
  <w:footnote w:id="6646">
    <w:p w14:paraId="096B16B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גליון מהרש"א</w:t>
      </w:r>
      <w:r w:rsidRPr="00D65870">
        <w:rPr>
          <w:rFonts w:ascii="Narkisim" w:hAnsi="Narkisim"/>
          <w:rtl/>
        </w:rPr>
        <w:t xml:space="preserve"> ציין לדברי ה</w:t>
      </w:r>
      <w:r w:rsidRPr="00D65870">
        <w:rPr>
          <w:rFonts w:ascii="Narkisim" w:hAnsi="Narkisim"/>
          <w:b/>
          <w:bCs/>
          <w:rtl/>
        </w:rPr>
        <w:t>תבו"ש</w:t>
      </w:r>
      <w:r w:rsidRPr="00D65870">
        <w:rPr>
          <w:rFonts w:ascii="Narkisim" w:hAnsi="Narkisim"/>
          <w:rtl/>
        </w:rPr>
        <w:t xml:space="preserve"> (לה לה) הביא דהיכא דיש מנהג בענין בדיקות הטריפות סומכים על המנהג נגד ההלכה. דלאו מנהג של המון, אלא כשנתעורר שום שינוי הוא מביאו אל המורה אשר בימים ההם ובמקום ההוא. ועיני המורים בבודקים שכל מעשיהם יהיו כהלכה. ודמיא למנהגא דאמרי׳ (מנחות לב.) גבי מזוזה דנהגו בסתומות ולענין חליצה דנהגו בסנדל כו׳ דמסתמא כ״ז נעשה ע״י חכמים, דאפי' יבא אליהו אין שומעין לו. ועל כיוצא בזה אמרו בירושלמי מנהג עוקר הלכה.</w:t>
      </w:r>
    </w:p>
  </w:footnote>
  <w:footnote w:id="6647">
    <w:p w14:paraId="6C5219B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וציין לדברי </w:t>
      </w:r>
      <w:r w:rsidRPr="00D65870">
        <w:rPr>
          <w:rFonts w:ascii="Narkisim" w:hAnsi="Narkisim"/>
          <w:b/>
          <w:bCs/>
          <w:rtl/>
        </w:rPr>
        <w:t>ר"ת</w:t>
      </w:r>
      <w:r w:rsidRPr="00D65870">
        <w:rPr>
          <w:rFonts w:ascii="Narkisim" w:hAnsi="Narkisim"/>
          <w:rtl/>
        </w:rPr>
        <w:t xml:space="preserve"> (בתוס' ב"ב ב.). [והאו"ז איירי במנהגי שכירות, אך הביא מדברי מסכת סופרים דאיירי במנהגי קריאת המגילות].</w:t>
      </w:r>
    </w:p>
  </w:footnote>
  <w:footnote w:id="6648">
    <w:p w14:paraId="24B1F2D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ולגירסת ה</w:t>
      </w:r>
      <w:r w:rsidRPr="00D65870">
        <w:rPr>
          <w:rFonts w:ascii="Narkisim" w:hAnsi="Narkisim"/>
          <w:b/>
          <w:bCs/>
          <w:rtl/>
        </w:rPr>
        <w:t>גר"א</w:t>
      </w:r>
      <w:r w:rsidRPr="00D65870">
        <w:rPr>
          <w:rFonts w:ascii="Narkisim" w:hAnsi="Narkisim"/>
          <w:rtl/>
        </w:rPr>
        <w:t xml:space="preserve"> אותו הזקן אמר א"כ מה ראה ר' מאיר, ונקט דמנעל כשר לכתחילה. ודלא כר' יוסי דס"ל כר' יעקב [ונח' לכתחילה].</w:t>
      </w:r>
    </w:p>
  </w:footnote>
  <w:footnote w:id="6649">
    <w:p w14:paraId="59BD650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דבדיעבד לא שכיח, ומש"ה אמרי' דלא ראינו אינו ראיה.</w:t>
      </w:r>
    </w:p>
  </w:footnote>
  <w:footnote w:id="6650">
    <w:p w14:paraId="51DA090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וכגירסת התוספתא דר' מאיר אסר.</w:t>
      </w:r>
    </w:p>
  </w:footnote>
  <w:footnote w:id="6651">
    <w:p w14:paraId="3499F81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ביארו דאפשר דהלכה כרב יוסף במילתא דקאמרי משמיה דאחריני. [ואף דקי"ל כרבה במקום רב יוסף מלבד תלת {שדה, ענין ומחצה}, הכא נח' בשם אחרים].</w:t>
      </w:r>
    </w:p>
  </w:footnote>
  <w:footnote w:id="6652">
    <w:p w14:paraId="11CF3EF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ראבי"ה</w:t>
      </w:r>
      <w:r w:rsidRPr="00D65870">
        <w:rPr>
          <w:rFonts w:ascii="Narkisim" w:hAnsi="Narkisim"/>
          <w:rtl/>
        </w:rPr>
        <w:t xml:space="preserve"> (תתצד) כת' מנעל שלנו תחת סנדל שהיה בימיהם רגילות להלך בו.</w:t>
      </w:r>
    </w:p>
  </w:footnote>
  <w:footnote w:id="6653">
    <w:p w14:paraId="56AF041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(נו) ביאר דלכתחילה עושים צורתו דומה לסנדל כל מה דאפשר.</w:t>
      </w:r>
    </w:p>
  </w:footnote>
  <w:footnote w:id="6654">
    <w:p w14:paraId="133D8E7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תוספתא</w:t>
      </w:r>
      <w:r w:rsidRPr="00D65870">
        <w:rPr>
          <w:rFonts w:ascii="Narkisim" w:hAnsi="Narkisim"/>
          <w:rtl/>
        </w:rPr>
        <w:t xml:space="preserve"> לפנינו אי' מה ראה ר' מאיר לומר חולצין במנעל, ר' יעקב אמר משמו מודה היה ר' מאיר שאין חולצין במנעל [לכתחילה]. {להיפך}.</w:t>
      </w:r>
    </w:p>
  </w:footnote>
  <w:footnote w:id="6655">
    <w:p w14:paraId="3B8F8BC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ב</w:t>
      </w:r>
      <w:r w:rsidRPr="00D65870">
        <w:rPr>
          <w:rFonts w:ascii="Narkisim" w:hAnsi="Narkisim"/>
          <w:b/>
          <w:bCs/>
          <w:rtl/>
        </w:rPr>
        <w:t>תוס' מהר"ם ור"פ</w:t>
      </w:r>
      <w:r w:rsidRPr="00D65870">
        <w:rPr>
          <w:rFonts w:ascii="Narkisim" w:hAnsi="Narkisim"/>
          <w:rtl/>
        </w:rPr>
        <w:t xml:space="preserve"> הביא (בשם ר' יחיאל) דהארקתא אין חסרון מעל דמעל בדיעבד, לענין שכופלין אותן על האזנים, אבל בקשר יש פסול מעל דמעל. [ואפשר דכוונתו דהארקתא הוא חלק מגוף המנעל, ובמה שכופלו על עצמו לא חשיב מעל דמעל. אבל הקשרים לא הוה מגוף המנעל, והוה מעל דמעל].</w:t>
      </w:r>
    </w:p>
  </w:footnote>
  <w:footnote w:id="6656">
    <w:p w14:paraId="0CF31B2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כת' דלפ"ז הספק (בסמוך) דוקא שלפתו וכדו', אבל היכא דחלצה תרוייהו ודאי פסול. והא דמהני מחופה עור, התם תפרו, ונראה כא'.</w:t>
      </w:r>
    </w:p>
  </w:footnote>
  <w:footnote w:id="6657">
    <w:p w14:paraId="65648AC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כת' דהוה דוחק גדול, ובפשוטו כפרש"י דלמסקנא ליכא חסרון מעל דמעל. כת' (שם עה) דלחומרא בעלמא לכתחילה עושים כך.</w:t>
      </w:r>
    </w:p>
  </w:footnote>
  <w:footnote w:id="6658">
    <w:p w14:paraId="5D2D645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שו"ע</w:t>
      </w:r>
      <w:r w:rsidRPr="00D65870">
        <w:rPr>
          <w:rFonts w:ascii="Narkisim" w:hAnsi="Narkisim"/>
          <w:rtl/>
        </w:rPr>
        <w:t xml:space="preserve"> (שם טז) הביא י"א שעושים הכל מחתיכה א', כדי שיהא דומה לסנדל גם בזה. והרמ"א הביא דנהגו לכתחילה אף מב' חתיכות ותפור מבחוץ.</w:t>
      </w:r>
    </w:p>
  </w:footnote>
  <w:footnote w:id="6659">
    <w:p w14:paraId="31701CB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ומשמע דהמיתנא לא הוה חלק מהמנעל, ואפ"ה קושרים ע"י את המנעל, ונחשב חליצה מעלייתא. וה</w:t>
      </w:r>
      <w:r w:rsidRPr="00D65870">
        <w:rPr>
          <w:rFonts w:ascii="Narkisim" w:hAnsi="Narkisim"/>
          <w:b/>
          <w:bCs/>
          <w:rtl/>
        </w:rPr>
        <w:t>ק"נ</w:t>
      </w:r>
      <w:r w:rsidRPr="00D65870">
        <w:rPr>
          <w:rFonts w:ascii="Narkisim" w:hAnsi="Narkisim"/>
          <w:rtl/>
        </w:rPr>
        <w:t xml:space="preserve"> (כ) הביא ד</w:t>
      </w:r>
      <w:r w:rsidRPr="00D65870">
        <w:rPr>
          <w:rFonts w:ascii="Narkisim" w:hAnsi="Narkisim"/>
          <w:b/>
          <w:bCs/>
          <w:rtl/>
        </w:rPr>
        <w:t>מהר"י ברונא</w:t>
      </w:r>
      <w:r w:rsidRPr="00D65870">
        <w:rPr>
          <w:rFonts w:ascii="Narkisim" w:hAnsi="Narkisim"/>
          <w:rtl/>
        </w:rPr>
        <w:t xml:space="preserve"> פי' דקטרינן במנעל, ודהצועה תהא מחוברת למנעל ע"י קשירה. ושלא לתופרו במנעל. וה</w:t>
      </w:r>
      <w:r w:rsidRPr="00D65870">
        <w:rPr>
          <w:rFonts w:ascii="Narkisim" w:hAnsi="Narkisim"/>
          <w:b/>
          <w:bCs/>
          <w:rtl/>
        </w:rPr>
        <w:t>יש"ש</w:t>
      </w:r>
      <w:r w:rsidRPr="00D65870">
        <w:rPr>
          <w:rFonts w:ascii="Narkisim" w:hAnsi="Narkisim"/>
          <w:rtl/>
        </w:rPr>
        <w:t xml:space="preserve"> (ו) חלק דאף תפירה למנעל מהני.</w:t>
      </w:r>
    </w:p>
    <w:p w14:paraId="350AD65A" w14:textId="77777777" w:rsidR="006C4368" w:rsidRPr="00D65870" w:rsidRDefault="006C4368" w:rsidP="006C4368">
      <w:pPr>
        <w:pStyle w:val="Footnote"/>
        <w:bidi/>
        <w:rPr>
          <w:rFonts w:ascii="Narkisim" w:hAnsi="Narkisim"/>
        </w:rPr>
      </w:pPr>
      <w:r w:rsidRPr="00D65870">
        <w:rPr>
          <w:rFonts w:ascii="Narkisim" w:hAnsi="Narkisim"/>
          <w:rtl/>
        </w:rPr>
        <w:tab/>
        <w:t>וב</w:t>
      </w:r>
      <w:r w:rsidRPr="00D65870">
        <w:rPr>
          <w:rFonts w:ascii="Narkisim" w:hAnsi="Narkisim"/>
          <w:b/>
          <w:bCs/>
          <w:rtl/>
        </w:rPr>
        <w:t xml:space="preserve">תוס' מהר"ם ור"פ </w:t>
      </w:r>
      <w:r w:rsidRPr="00D65870">
        <w:rPr>
          <w:rFonts w:ascii="Narkisim" w:hAnsi="Narkisim"/>
          <w:rtl/>
        </w:rPr>
        <w:t>כת' דעתה נוהגין ג' קרסים [והו' בשו"ע קסט יט].</w:t>
      </w:r>
    </w:p>
  </w:footnote>
  <w:footnote w:id="6660">
    <w:p w14:paraId="7BCDF8C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ובפשוטו הוה רק סברא שיהא חליצה מעלייתא, אבל היכא דהסנדל מהודק אי"צ רצועות או התרת קשרים כלל. אבל ה</w:t>
      </w:r>
      <w:r w:rsidRPr="00D65870">
        <w:rPr>
          <w:rFonts w:ascii="Narkisim" w:hAnsi="Narkisim"/>
          <w:b/>
          <w:bCs/>
          <w:rtl/>
        </w:rPr>
        <w:t>תוס' מהר"ם ור"פ</w:t>
      </w:r>
      <w:r w:rsidRPr="00D65870">
        <w:rPr>
          <w:rFonts w:ascii="Narkisim" w:hAnsi="Narkisim"/>
          <w:rtl/>
        </w:rPr>
        <w:t xml:space="preserve"> הביא (בשם ר' מנחם) דהיכא דהרצועות הוה מעל דמעל פוסל אף בדיעבד, מדקאמר (בסמוך) עד שתתיר ותשמט, משמע דהתרת הקשר חשיב כהשמטת המנעל מן הרגל. ואף התרת הקשרים היא עיקר החליצה.</w:t>
      </w:r>
    </w:p>
  </w:footnote>
  <w:footnote w:id="6661">
    <w:p w14:paraId="27CF0D4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ובגמ' (כאן) מבואר דקטרינן, שיהא קשר. וה</w:t>
      </w:r>
      <w:r w:rsidRPr="00D65870">
        <w:rPr>
          <w:rFonts w:ascii="Narkisim" w:hAnsi="Narkisim"/>
          <w:b/>
          <w:bCs/>
          <w:rtl/>
        </w:rPr>
        <w:t>ק"נ</w:t>
      </w:r>
      <w:r w:rsidRPr="00D65870">
        <w:rPr>
          <w:rFonts w:ascii="Narkisim" w:hAnsi="Narkisim"/>
          <w:rtl/>
        </w:rPr>
        <w:t xml:space="preserve"> (נ) ביאר דדעת הירושלמי דעושים עניבה ע"ג קשר [קשר של נעליים], דמהדק שפיר. ולענין חליצה לא כתיב קשר, אלא דמהדק יפה. וצ"ב כוונת הרא"ש. והק"נ דן דאפשר דאף הק"נ נתכוון משום דלא מהדק, והיכא דעושה קשר וע"ג עניבה מהני.</w:t>
      </w:r>
    </w:p>
    <w:p w14:paraId="4D3DC5E5" w14:textId="77777777" w:rsidR="006C4368" w:rsidRPr="00D65870" w:rsidRDefault="006C4368" w:rsidP="006C4368">
      <w:pPr>
        <w:pStyle w:val="Footnote"/>
        <w:bidi/>
        <w:rPr>
          <w:rFonts w:ascii="Narkisim" w:hAnsi="Narkisim"/>
        </w:rPr>
      </w:pPr>
      <w:r w:rsidRPr="00D65870">
        <w:rPr>
          <w:rFonts w:ascii="Narkisim" w:hAnsi="Narkisim"/>
          <w:rtl/>
        </w:rPr>
        <w:tab/>
        <w:t>וכת' דמ"מ נהגו ב' קשרים ואח"כ עניבה (כ"פ השו"ע קסט כח) [ולא יהדק הקשר העליון כל כך, ומש"ה עושים ע"ג עניבה. וכירושלמי. עי"ש פוסקים].</w:t>
      </w:r>
    </w:p>
  </w:footnote>
  <w:footnote w:id="6662">
    <w:p w14:paraId="55DDBF4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ואף רגל ימיני הוא משום דגמרינן (לקמן קד.) ממצורע, ולולי היקש הוה מכשרי בין בשל שמאל בין בשל ימין.</w:t>
      </w:r>
    </w:p>
    <w:p w14:paraId="36FEEB05" w14:textId="77777777" w:rsidR="006C4368" w:rsidRPr="00D65870" w:rsidRDefault="006C4368" w:rsidP="006C4368">
      <w:pPr>
        <w:pStyle w:val="Footnote"/>
        <w:bidi/>
        <w:rPr>
          <w:rFonts w:ascii="Narkisim" w:hAnsi="Narkisim"/>
        </w:rPr>
      </w:pPr>
      <w:r w:rsidRPr="00D65870">
        <w:rPr>
          <w:rFonts w:ascii="Narkisim" w:hAnsi="Narkisim"/>
          <w:rtl/>
        </w:rPr>
        <w:tab/>
        <w:t>וב</w:t>
      </w:r>
      <w:r w:rsidRPr="00D65870">
        <w:rPr>
          <w:rFonts w:ascii="Narkisim" w:hAnsi="Narkisim"/>
          <w:b/>
          <w:bCs/>
          <w:rtl/>
        </w:rPr>
        <w:t>ס' התרומה</w:t>
      </w:r>
      <w:r w:rsidRPr="00D65870">
        <w:rPr>
          <w:rFonts w:ascii="Narkisim" w:hAnsi="Narkisim"/>
          <w:rtl/>
        </w:rPr>
        <w:t xml:space="preserve"> (קלג הו' במרדכי נז בסופו) כת' דמן התורה אי"צ ימין, דגדמת בשניה מועיל. [ויש שהביאו מדבריו דהוה מדרבנן, ולא תקנו בגדמת כיון שאי אפשר בענין אחר].</w:t>
      </w:r>
    </w:p>
  </w:footnote>
  <w:footnote w:id="6663">
    <w:p w14:paraId="6C8AE07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ותוס' הביאו מכאן לענין מליקה, די"ל דמהני מליקה בשן, ואף דשמאל פסול.</w:t>
      </w:r>
    </w:p>
  </w:footnote>
  <w:footnote w:id="6664">
    <w:p w14:paraId="26D1A07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ומבואר דהריטב"א הק' דנימא דיש 'פסול' במה ששמט הוא. אך י"ל דלא הוה בגדר 'פסול', אלא היכא דשמט הוא, א"כ היא לא שמטה ולא עשתה את החליצה. [ויל"ד האם כ"ה למסקנא לריטב"א. או אף למסקנא הוה פסול ששמט הוא. דחליצת המנעל בלא שמיטה סגי, אלא דהיכא דשמט הוא חסר בחליצה].</w:t>
      </w:r>
    </w:p>
  </w:footnote>
  <w:footnote w:id="6665">
    <w:p w14:paraId="5306362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משמע מדבריו דהיכא דיש מנעל עור ע"ג בתי שוקיים של בגד ל"מ שתחלוץ שניהם. [ודוקא היכא דתפורים יחד מהני (בע"ב)]. אבל ה</w:t>
      </w:r>
      <w:r w:rsidRPr="00D65870">
        <w:rPr>
          <w:rFonts w:ascii="Narkisim" w:hAnsi="Narkisim"/>
          <w:b/>
          <w:bCs/>
          <w:rtl/>
        </w:rPr>
        <w:t>בי"ש</w:t>
      </w:r>
      <w:r w:rsidRPr="00D65870">
        <w:rPr>
          <w:rFonts w:ascii="Narkisim" w:hAnsi="Narkisim"/>
          <w:rtl/>
        </w:rPr>
        <w:t xml:space="preserve"> (שם כה) הביא בשם הרא"ש דמהני שחולצת ג"כ הבתי שוקיים. וה</w:t>
      </w:r>
      <w:r w:rsidRPr="00D65870">
        <w:rPr>
          <w:rFonts w:ascii="Narkisim" w:hAnsi="Narkisim"/>
          <w:b/>
          <w:bCs/>
          <w:rtl/>
        </w:rPr>
        <w:t>בית הלוי</w:t>
      </w:r>
      <w:r w:rsidRPr="00D65870">
        <w:rPr>
          <w:rFonts w:ascii="Narkisim" w:hAnsi="Narkisim"/>
          <w:rtl/>
        </w:rPr>
        <w:t xml:space="preserve"> (א ג ד בהג') ואור גדול (מ) הק' מכאן.</w:t>
      </w:r>
    </w:p>
  </w:footnote>
  <w:footnote w:id="6666">
    <w:p w14:paraId="3059054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ומשמע מדבריו דחליצת השני מהני לחוד. אך בתחילת דבריו משמע דנחשב הכל חליצה א', ומהני אפי' בזה אחר זה.</w:t>
      </w:r>
    </w:p>
  </w:footnote>
  <w:footnote w:id="6667">
    <w:p w14:paraId="622B958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וק"ק דהרמב"ן והר"י מגאש לא הביאו תי' הב' בגמ'.</w:t>
      </w:r>
    </w:p>
  </w:footnote>
  <w:footnote w:id="6668">
    <w:p w14:paraId="3D156DF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ולפ"ז מבואר דאף היכא דהטעה שלא כדין מהני. ודלא כרמב"ן (לקמן שם).</w:t>
      </w:r>
    </w:p>
  </w:footnote>
  <w:footnote w:id="6669">
    <w:p w14:paraId="7A28362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ואפשר דכוונתו לדייק מהברייתא בין נתכוון הוא ולא נתכוונה היא, ובין נתכוונה היא ולא נתכוון הוא. משמע דאין חילוק בין נתכוונו [וע"ע במשנה לעיל נג:].</w:t>
      </w:r>
    </w:p>
  </w:footnote>
  <w:footnote w:id="6670">
    <w:p w14:paraId="73B17FE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כ"כ </w:t>
      </w:r>
      <w:r w:rsidRPr="00D65870">
        <w:rPr>
          <w:rFonts w:ascii="Narkisim" w:hAnsi="Narkisim"/>
          <w:b/>
          <w:bCs/>
          <w:rtl/>
        </w:rPr>
        <w:t>רש"י</w:t>
      </w:r>
      <w:r w:rsidRPr="00D65870">
        <w:rPr>
          <w:rFonts w:ascii="Narkisim" w:hAnsi="Narkisim"/>
          <w:rtl/>
        </w:rPr>
        <w:t xml:space="preserve"> (לקמן קד: ד"ה יבמה), וה</w:t>
      </w:r>
      <w:r w:rsidRPr="00D65870">
        <w:rPr>
          <w:rFonts w:ascii="Narkisim" w:hAnsi="Narkisim"/>
          <w:b/>
          <w:bCs/>
          <w:rtl/>
        </w:rPr>
        <w:t>רמב"ן</w:t>
      </w:r>
      <w:r w:rsidRPr="00D65870">
        <w:rPr>
          <w:rFonts w:ascii="Narkisim" w:hAnsi="Narkisim"/>
          <w:rtl/>
        </w:rPr>
        <w:t xml:space="preserve"> (קו:), וכן הביא </w:t>
      </w:r>
      <w:r w:rsidRPr="00D65870">
        <w:rPr>
          <w:rFonts w:ascii="Narkisim" w:hAnsi="Narkisim"/>
          <w:b/>
          <w:bCs/>
          <w:rtl/>
        </w:rPr>
        <w:t>ה"ה</w:t>
      </w:r>
      <w:r w:rsidRPr="00D65870">
        <w:rPr>
          <w:rFonts w:ascii="Narkisim" w:hAnsi="Narkisim"/>
          <w:rtl/>
        </w:rPr>
        <w:t xml:space="preserve"> (ד כח) דמכאן כת' מן המפרשים דהא דאי' שרקקה בלבד נפסלת, איירי דוקא כשרקקה בבי"ד. אבל רקקה בינו לבינה או בפני עדים אינה פוסלת. שאל"כ בכאן א"א שלא רקקה בפני א' מהן.</w:t>
      </w:r>
    </w:p>
  </w:footnote>
  <w:footnote w:id="6671">
    <w:p w14:paraId="7B85B5A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הק' דכיון דנתמעט מדאורייתא א"א לחלק בין לכתחילה לבדיעבד. [והמגיה שם הביא כמה ראשונים דמבואר דמדאורייתא בעינן דומיא דתחש].</w:t>
      </w:r>
    </w:p>
  </w:footnote>
  <w:footnote w:id="6672">
    <w:p w14:paraId="5397EDE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יש אחרונים דהרמ"א פסק דלא כרש"י, וכ"כ ה</w:t>
      </w:r>
      <w:r w:rsidRPr="00D65870">
        <w:rPr>
          <w:rFonts w:ascii="Narkisim" w:hAnsi="Narkisim"/>
          <w:b/>
          <w:bCs/>
          <w:rtl/>
        </w:rPr>
        <w:t>גר"א</w:t>
      </w:r>
      <w:r w:rsidRPr="00D65870">
        <w:rPr>
          <w:rFonts w:ascii="Narkisim" w:hAnsi="Narkisim"/>
          <w:rtl/>
        </w:rPr>
        <w:t xml:space="preserve"> (שם פט).</w:t>
      </w:r>
    </w:p>
  </w:footnote>
  <w:footnote w:id="6673">
    <w:p w14:paraId="068E0C4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והביאו דכ"כ ה</w:t>
      </w:r>
      <w:r w:rsidRPr="00D65870">
        <w:rPr>
          <w:rFonts w:ascii="Narkisim" w:hAnsi="Narkisim"/>
          <w:b/>
          <w:bCs/>
          <w:rtl/>
        </w:rPr>
        <w:t>רשב"א</w:t>
      </w:r>
      <w:r w:rsidRPr="00D65870">
        <w:rPr>
          <w:rFonts w:ascii="Narkisim" w:hAnsi="Narkisim"/>
          <w:rtl/>
        </w:rPr>
        <w:t xml:space="preserve"> (שבת סו.) ו</w:t>
      </w:r>
      <w:r w:rsidRPr="00D65870">
        <w:rPr>
          <w:rFonts w:ascii="Narkisim" w:hAnsi="Narkisim"/>
          <w:b/>
          <w:bCs/>
          <w:rtl/>
        </w:rPr>
        <w:t>תוס'</w:t>
      </w:r>
      <w:r w:rsidRPr="00D65870">
        <w:rPr>
          <w:rFonts w:ascii="Narkisim" w:hAnsi="Narkisim"/>
          <w:rtl/>
        </w:rPr>
        <w:t xml:space="preserve"> וה</w:t>
      </w:r>
      <w:r w:rsidRPr="00D65870">
        <w:rPr>
          <w:rFonts w:ascii="Narkisim" w:hAnsi="Narkisim"/>
          <w:b/>
          <w:bCs/>
          <w:rtl/>
        </w:rPr>
        <w:t>תו"י</w:t>
      </w:r>
      <w:r w:rsidRPr="00D65870">
        <w:rPr>
          <w:rFonts w:ascii="Narkisim" w:hAnsi="Narkisim"/>
          <w:rtl/>
        </w:rPr>
        <w:t xml:space="preserve"> (יומא עח:) דע"י שמחופה מהדק לרגל [וע"ע בסוף העמ']. אבל בפשוטו מחופה עור משמע מבחוץ. וכו מוכח מדברי ה</w:t>
      </w:r>
      <w:r w:rsidRPr="00D65870">
        <w:rPr>
          <w:rFonts w:ascii="Narkisim" w:hAnsi="Narkisim"/>
          <w:b/>
          <w:bCs/>
          <w:rtl/>
        </w:rPr>
        <w:t>ראשונים</w:t>
      </w:r>
      <w:r w:rsidRPr="00D65870">
        <w:rPr>
          <w:rFonts w:ascii="Narkisim" w:hAnsi="Narkisim"/>
          <w:rtl/>
        </w:rPr>
        <w:t xml:space="preserve"> שדימו לדין מנעל ע"ג בתי שוקיים.</w:t>
      </w:r>
    </w:p>
  </w:footnote>
  <w:footnote w:id="6674">
    <w:p w14:paraId="127A18C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ובגמ' (שם) אי' דהיה בריה בפנ"ע, וקרן אחת היתה לו במצחו. ולפי שעה נזדמן לו למשה ועשה ממנו המשכן ונגנז.</w:t>
      </w:r>
    </w:p>
    <w:p w14:paraId="71162080"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ר"א מזרחי</w:t>
      </w:r>
      <w:r w:rsidRPr="00D65870">
        <w:rPr>
          <w:rFonts w:ascii="Narkisim" w:hAnsi="Narkisim"/>
          <w:rtl/>
        </w:rPr>
        <w:t xml:space="preserve"> (שמות כה ה) הק' דבפסוק ביחזקאל אנעלך תחש משמע דכל מ' שנה במדבר היה להם נעליים מתחש. ובתי' הב' כת' דמ' שנה נקרא לפי שעה. ועוד תי' (תי' א') דיש ב' מיני תחש, א' מין טהור שהיה לפי שעה, ועשו ממנו המשכן. ועוד מין ששמו קלא אילן, והוא מין טמא ודומה לתחש. ומזה עשו מנעלים בקרא דאנעלך תחש. [וכוונת רע"א להביא דלפ"ז קרא זה איירי במין טמא, ודלא כר"ת].</w:t>
      </w:r>
    </w:p>
  </w:footnote>
  <w:footnote w:id="6675">
    <w:p w14:paraId="78E9B8E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חת"ס</w:t>
      </w:r>
      <w:r w:rsidRPr="00D65870">
        <w:rPr>
          <w:rFonts w:ascii="Narkisim" w:hAnsi="Narkisim"/>
          <w:rtl/>
        </w:rPr>
        <w:t xml:space="preserve"> (או"ח לט) חלק דעיקר הדבר הלכה למשה מסיני, אלא דיחזקאל אסמכיה אקרא [וע"ד הא דאי' בכ"מ]. והלכה למשה מסיני נאמרה סתם, לא יחלוץ אלא בנעל מעור בהמה טהורה [ויחזקאל אסמכיה אתחש].</w:t>
      </w:r>
    </w:p>
  </w:footnote>
  <w:footnote w:id="6676">
    <w:p w14:paraId="396726B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ויל"ד דהצלה כולל גם שליפה וגם זרוזי. [ואילו בדחיית הגמ' נקטו דוקא שליפה, מדין גיהנום].</w:t>
      </w:r>
    </w:p>
  </w:footnote>
  <w:footnote w:id="6677">
    <w:p w14:paraId="45445E1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(במשנה) קלצון של בגד. ו</w:t>
      </w:r>
      <w:r w:rsidRPr="00D65870">
        <w:rPr>
          <w:rFonts w:ascii="Narkisim" w:hAnsi="Narkisim"/>
          <w:b/>
          <w:bCs/>
          <w:rtl/>
        </w:rPr>
        <w:t>רש"י</w:t>
      </w:r>
      <w:r w:rsidRPr="00D65870">
        <w:rPr>
          <w:rFonts w:ascii="Narkisim" w:hAnsi="Narkisim"/>
          <w:rtl/>
        </w:rPr>
        <w:t xml:space="preserve"> (שבת י.) פי' פוזמקי, אנפילאות, ובלע"ז קאלצו"ס.</w:t>
      </w:r>
    </w:p>
  </w:footnote>
  <w:footnote w:id="6678">
    <w:p w14:paraId="6ADA99F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ופ</w:t>
      </w:r>
      <w:r w:rsidRPr="00D65870">
        <w:rPr>
          <w:rFonts w:ascii="Narkisim" w:hAnsi="Narkisim"/>
          <w:b/>
          <w:bCs/>
          <w:rtl/>
        </w:rPr>
        <w:t>רש"י</w:t>
      </w:r>
      <w:r w:rsidRPr="00D65870">
        <w:rPr>
          <w:rFonts w:ascii="Narkisim" w:hAnsi="Narkisim"/>
          <w:rtl/>
        </w:rPr>
        <w:t xml:space="preserve"> (במשנה) פי' דבעינן דומיה דנעל, דילפי' ואנעל תחש שהוא של עור וקשה. [ומבואר דילפי' מתחש דבעינן שיהא קשה. אך לא ילפי' שיהא עור]. אבל </w:t>
      </w:r>
      <w:r w:rsidRPr="00D65870">
        <w:rPr>
          <w:rFonts w:ascii="Narkisim" w:hAnsi="Narkisim"/>
          <w:b/>
          <w:bCs/>
          <w:rtl/>
        </w:rPr>
        <w:t>רש"י</w:t>
      </w:r>
      <w:r w:rsidRPr="00D65870">
        <w:rPr>
          <w:rFonts w:ascii="Narkisim" w:hAnsi="Narkisim"/>
          <w:rtl/>
        </w:rPr>
        <w:t xml:space="preserve"> (קג. ד"ה אנפיליא) כת' דר"מ לא דייק אנעלך תחש [ומש"ה ל"צ עור. ומשמע דמידי דמגין ילפינן מסברא].</w:t>
      </w:r>
    </w:p>
  </w:footnote>
  <w:footnote w:id="6679">
    <w:p w14:paraId="5F52152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ועד"ז נח' אביי ורבא (לקמן קג.) בפי' הברייתא (דמנעל הנפרם הו' בסוה"ע).</w:t>
      </w:r>
    </w:p>
  </w:footnote>
  <w:footnote w:id="6680">
    <w:p w14:paraId="6B02C42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דמפנקי פטורין מעלייה לרגל, פרש"י דאינו יכול לעלות בלא נעליים. [ומהך קרא ילפי' דאינו יכול להכנס בלא מנעל]. אבל מדברי ה</w:t>
      </w:r>
      <w:r w:rsidRPr="00D65870">
        <w:rPr>
          <w:rFonts w:ascii="Narkisim" w:hAnsi="Narkisim"/>
          <w:b/>
          <w:bCs/>
          <w:rtl/>
        </w:rPr>
        <w:t>רמב"ם</w:t>
      </w:r>
      <w:r w:rsidRPr="00D65870">
        <w:rPr>
          <w:rFonts w:ascii="Narkisim" w:hAnsi="Narkisim"/>
          <w:rtl/>
        </w:rPr>
        <w:t xml:space="preserve"> (חגיגה ב א) מבואר דהוה מיעוט על מפנקי שאינם יכולים לעלות ברגל אלא ע"י סוס [ולא קאי על הכניסה לעזרה]. וע' מאירי (חגיגה ב.).</w:t>
      </w:r>
    </w:p>
  </w:footnote>
  <w:footnote w:id="6681">
    <w:p w14:paraId="642BC21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ויל"ד אי כוונת הרמב"ן דיש בזה איסור. או רק דגילה הקב"ה דאינו רוצה בזה.</w:t>
      </w:r>
    </w:p>
  </w:footnote>
  <w:footnote w:id="6682">
    <w:p w14:paraId="7DC2CA5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(חגיגה ד:) הק' דהגמ' חגיגה מביאה פסוק זה, וכת' דהגמ' ברכות עיקר, אלא דבחגיגה ניח"ל להביא קרא דכתיב כי תבוא לראות.</w:t>
      </w:r>
    </w:p>
  </w:footnote>
  <w:footnote w:id="6683">
    <w:p w14:paraId="34D97CD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דכ"ה ב</w:t>
      </w:r>
      <w:r w:rsidRPr="00D65870">
        <w:rPr>
          <w:rFonts w:ascii="Narkisim" w:hAnsi="Narkisim"/>
          <w:b/>
          <w:bCs/>
          <w:rtl/>
        </w:rPr>
        <w:t>משנה</w:t>
      </w:r>
      <w:r w:rsidRPr="00D65870">
        <w:rPr>
          <w:rFonts w:ascii="Narkisim" w:hAnsi="Narkisim"/>
          <w:rtl/>
        </w:rPr>
        <w:t xml:space="preserve"> (שבת סו.) דנכנסין בקב הקיטע לעזרה. [ופ</w:t>
      </w:r>
      <w:r w:rsidRPr="00D65870">
        <w:rPr>
          <w:rFonts w:ascii="Narkisim" w:hAnsi="Narkisim"/>
          <w:b/>
          <w:bCs/>
          <w:rtl/>
        </w:rPr>
        <w:t>רש"י</w:t>
      </w:r>
      <w:r w:rsidRPr="00D65870">
        <w:rPr>
          <w:rFonts w:ascii="Narkisim" w:hAnsi="Narkisim"/>
          <w:rtl/>
        </w:rPr>
        <w:t xml:space="preserve"> דאף דתנן (ברכות נד) לא יכנס להר הבית במנעלו, הני לאו מנעל נינהו]. וה</w:t>
      </w:r>
      <w:r w:rsidRPr="00D65870">
        <w:rPr>
          <w:rFonts w:ascii="Narkisim" w:hAnsi="Narkisim"/>
          <w:b/>
          <w:bCs/>
          <w:rtl/>
        </w:rPr>
        <w:t>תוי"ט</w:t>
      </w:r>
      <w:r w:rsidRPr="00D65870">
        <w:rPr>
          <w:rFonts w:ascii="Narkisim" w:hAnsi="Narkisim"/>
          <w:rtl/>
        </w:rPr>
        <w:t xml:space="preserve"> (שם) כת' דנקטו לרבותא, דאפי' לעזרה מותר ליכנס בהם. אבל מידי דהוה נעל אסור בכל הר הבית.</w:t>
      </w:r>
    </w:p>
  </w:footnote>
  <w:footnote w:id="6684">
    <w:p w14:paraId="169638A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ובגמ' (יומא עח:) רבא הק' ב' קו', ואי לאו מנא הוא כתיתין משוי ליה מנא, ועוד כל תענוג דלאו מנעל הוא ביוכ"פ מי אסור.</w:t>
      </w:r>
    </w:p>
  </w:footnote>
  <w:footnote w:id="6685">
    <w:p w14:paraId="1C08AA5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דילפי' מקרא ד'תענו' דאסרה תורה דברים אלו. ותענו הוה ילפותא בעלמא.</w:t>
      </w:r>
    </w:p>
  </w:footnote>
  <w:footnote w:id="6686">
    <w:p w14:paraId="137B007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לכאורה אף אביי אסר דוקא כתיתין דמישך לנעילת סנדל, ולא אסרינן כל הנאה מעלמא.</w:t>
      </w:r>
    </w:p>
  </w:footnote>
  <w:footnote w:id="6687">
    <w:p w14:paraId="70CD34D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ריטב"א</w:t>
      </w:r>
      <w:r w:rsidRPr="00D65870">
        <w:rPr>
          <w:rFonts w:ascii="Narkisim" w:hAnsi="Narkisim"/>
          <w:rtl/>
        </w:rPr>
        <w:t xml:space="preserve"> (לעיל מ.), שהריטב"א הק' דילמא ביוה"כ תלי בעינוי, ואף דהוה אכילה. ותי' דילפי' דעינוי דאכילה אקרי עינוי, וכאילו אמר תענו את נפשותיכם מאכילה. אלא ששינה הכתוב במשמעו וכדי שלא יתחייב בכזית אלא בככותבת.</w:t>
      </w:r>
    </w:p>
    <w:p w14:paraId="0B71CA25" w14:textId="77777777" w:rsidR="006C4368" w:rsidRPr="00D65870" w:rsidRDefault="006C4368" w:rsidP="006C4368">
      <w:pPr>
        <w:pStyle w:val="Footnote"/>
        <w:bidi/>
        <w:rPr>
          <w:rFonts w:ascii="Narkisim" w:hAnsi="Narkisim"/>
        </w:rPr>
      </w:pPr>
      <w:r w:rsidRPr="00D65870">
        <w:rPr>
          <w:rFonts w:ascii="Narkisim" w:hAnsi="Narkisim"/>
          <w:rtl/>
        </w:rPr>
        <w:tab/>
        <w:t xml:space="preserve">אבל </w:t>
      </w:r>
      <w:r w:rsidRPr="00D65870">
        <w:rPr>
          <w:rFonts w:ascii="Narkisim" w:hAnsi="Narkisim"/>
          <w:b/>
          <w:bCs/>
          <w:rtl/>
        </w:rPr>
        <w:t>ר"א מן ההר</w:t>
      </w:r>
      <w:r w:rsidRPr="00D65870">
        <w:rPr>
          <w:rFonts w:ascii="Narkisim" w:hAnsi="Narkisim"/>
          <w:rtl/>
        </w:rPr>
        <w:t xml:space="preserve"> (שם) כת' דדוקא ביוה"כ אמרי' דאכילה גסה ל"ש אכילה, אבל בשאר מאכלות אסורות אפי' אכילה גסה נחשב אכילה. אלא דהגמ' משווה לענין מצוות עשה של אכילה, דמשמע דהתורה צוותה על עיקר האכילה.</w:t>
      </w:r>
    </w:p>
  </w:footnote>
  <w:footnote w:id="6688">
    <w:p w14:paraId="2764A86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וצ"ב מנ"ל דעינוי דנעילת הסנדל תלי דוקא בסנדל עור, והגמ' (יומא עז.) מביאה כמה פסוקים דכתיב 'יחף', ואמאי תלי במנעל של עור. אך בפסוק (ישעיה כ ב הו' יומא שם) אי' ונעלך תחלץ מעל רגליך, ויעש כן הלך ערום ויחף. ואפשר דאף למסקנא סמכינן אפסוק זה.</w:t>
      </w:r>
    </w:p>
  </w:footnote>
  <w:footnote w:id="6689">
    <w:p w14:paraId="5B9D9C1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רוב ה</w:t>
      </w:r>
      <w:r w:rsidRPr="00D65870">
        <w:rPr>
          <w:rFonts w:ascii="Narkisim" w:hAnsi="Narkisim"/>
          <w:b/>
          <w:bCs/>
          <w:rtl/>
        </w:rPr>
        <w:t>ראשונים</w:t>
      </w:r>
      <w:r w:rsidRPr="00D65870">
        <w:rPr>
          <w:rFonts w:ascii="Narkisim" w:hAnsi="Narkisim"/>
          <w:rtl/>
        </w:rPr>
        <w:t xml:space="preserve"> דביוה"כ אסור דוקא מעור. אבל ה</w:t>
      </w:r>
      <w:r w:rsidRPr="00D65870">
        <w:rPr>
          <w:rFonts w:ascii="Narkisim" w:hAnsi="Narkisim"/>
          <w:b/>
          <w:bCs/>
          <w:rtl/>
        </w:rPr>
        <w:t>בעה"מ</w:t>
      </w:r>
      <w:r w:rsidRPr="00D65870">
        <w:rPr>
          <w:rFonts w:ascii="Narkisim" w:hAnsi="Narkisim"/>
          <w:rtl/>
        </w:rPr>
        <w:t xml:space="preserve"> (יומא ב. בדה"ר) חלק דבסוגיין מבואר דכל מידי דמגין אסור, ומנעל הוא. אף שאינו מעור. וכת' דהלכה כבתראי ונדחו כל הנך מ"ד. וה</w:t>
      </w:r>
      <w:r w:rsidRPr="00D65870">
        <w:rPr>
          <w:rFonts w:ascii="Narkisim" w:hAnsi="Narkisim"/>
          <w:b/>
          <w:bCs/>
          <w:rtl/>
        </w:rPr>
        <w:t>מלחמות</w:t>
      </w:r>
      <w:r w:rsidRPr="00D65870">
        <w:rPr>
          <w:rFonts w:ascii="Narkisim" w:hAnsi="Narkisim"/>
          <w:rtl/>
        </w:rPr>
        <w:t xml:space="preserve"> (שם) האריך דודאי לא נדחו.</w:t>
      </w:r>
    </w:p>
    <w:p w14:paraId="487AC174"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ר"ן</w:t>
      </w:r>
      <w:r w:rsidRPr="00D65870">
        <w:rPr>
          <w:rFonts w:ascii="Narkisim" w:hAnsi="Narkisim"/>
          <w:rtl/>
        </w:rPr>
        <w:t xml:space="preserve"> (יומא ב: בדה"ר) הביא איכא מ"ד דהתם איירי בשאין דומין למנעל בצורתן, ומש"ה יוצאין בשל שעם. אבל במנעל גמור אע"פ שהוא של בגד אסור. ובאנפליא בתוך ביתו בלבד הוא שמטייל בו, אבל לצאת בו אסור. [ע"ע בסמוך]. וה</w:t>
      </w:r>
      <w:r w:rsidRPr="00D65870">
        <w:rPr>
          <w:rFonts w:ascii="Narkisim" w:hAnsi="Narkisim"/>
          <w:b/>
          <w:bCs/>
          <w:rtl/>
        </w:rPr>
        <w:t>ביאו"ה</w:t>
      </w:r>
      <w:r w:rsidRPr="00D65870">
        <w:rPr>
          <w:rFonts w:ascii="Narkisim" w:hAnsi="Narkisim"/>
          <w:rtl/>
        </w:rPr>
        <w:t xml:space="preserve"> (תריד ד"ה או) פסק דאף כשעשוי כתמונת נעל ממש מותר.</w:t>
      </w:r>
    </w:p>
  </w:footnote>
  <w:footnote w:id="6690">
    <w:p w14:paraId="285C4C7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תו"י</w:t>
      </w:r>
      <w:r w:rsidRPr="00D65870">
        <w:rPr>
          <w:rFonts w:ascii="Narkisim" w:hAnsi="Narkisim"/>
          <w:rtl/>
        </w:rPr>
        <w:t xml:space="preserve"> (עה"ג קג.) תי' דיש ב' מיני שעם. והתם איירי בשעם דאינו מנעל. ובחליצה איירי במין שהוא מנעל.</w:t>
      </w:r>
    </w:p>
  </w:footnote>
  <w:footnote w:id="6691">
    <w:p w14:paraId="77EE5C7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 הא דדייקינן (לקמן קה:) גבי קטן [וכן בברייתא בסמוך הו' אנפיליא וקטן יחד].</w:t>
      </w:r>
    </w:p>
  </w:footnote>
  <w:footnote w:id="6692">
    <w:p w14:paraId="0E5DA53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רא"ש</w:t>
      </w:r>
      <w:r w:rsidRPr="00D65870">
        <w:rPr>
          <w:rFonts w:ascii="Narkisim" w:hAnsi="Narkisim"/>
          <w:rtl/>
        </w:rPr>
        <w:t xml:space="preserve"> (יומא) כתב דאין מקום מסברא לחלק בין ביתו לרה"ר. ועוד דב</w:t>
      </w:r>
      <w:r w:rsidRPr="00D65870">
        <w:rPr>
          <w:rFonts w:ascii="Narkisim" w:hAnsi="Narkisim"/>
          <w:b/>
          <w:bCs/>
          <w:rtl/>
        </w:rPr>
        <w:t>ירושלמי</w:t>
      </w:r>
      <w:r w:rsidRPr="00D65870">
        <w:rPr>
          <w:rFonts w:ascii="Narkisim" w:hAnsi="Narkisim"/>
          <w:rtl/>
        </w:rPr>
        <w:t xml:space="preserve"> תני יוצאין משמע אפי' ברה"ר.</w:t>
      </w:r>
    </w:p>
  </w:footnote>
  <w:footnote w:id="6693">
    <w:p w14:paraId="3997BEC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רשב"א</w:t>
      </w:r>
      <w:r w:rsidRPr="00D65870">
        <w:rPr>
          <w:rFonts w:ascii="Narkisim" w:hAnsi="Narkisim"/>
          <w:rtl/>
        </w:rPr>
        <w:t xml:space="preserve"> הוסיף דאי משום צורתו, אף סנדל של שעם נאסור משום צורתו. [ואין חילוק בין צורת נעל לצורת סנדל].</w:t>
      </w:r>
    </w:p>
  </w:footnote>
  <w:footnote w:id="6694">
    <w:p w14:paraId="0D7F31B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א"נ עצה הוא דקמ"ל, למי שרוצה לטייל בתוך ביתו בקורדקיסין, יטייל באנפליא של בגד. וביאר כגון במקום שחושש שלא יטנפו רגליו, לבית המים או לאשפה שבבית [ולישנא מעליא נקט]. ואף דהוה עראי בעלמא ועוד שעושה לשמור רגליו שלא יטנפם אפ"ה אסור בקורדקיסין.</w:t>
      </w:r>
    </w:p>
  </w:footnote>
  <w:footnote w:id="6695">
    <w:p w14:paraId="63A3D7C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דן א"כ יאסר בחצר, כדאי' (שבת סד:) דכל שאסרו חכמים לצאת בו, אסור לצאת אף בחצר. ותי' דהתם בחצר שאינה מעורבת. [ונח' בזה הראשונים (שבת שם, ורמב"ם שבת יט ח)].</w:t>
      </w:r>
    </w:p>
  </w:footnote>
  <w:footnote w:id="6696">
    <w:p w14:paraId="1F99EF5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הביא [בשם מ"ה בשם רבותיו] שאסור לצאת בשבת למבוי שאינו מעורב בשואיקוש של עץ, שאינם מחופה עור. [והוסיף שאף שנותנים עור בראשו שנכנס בו ראש הרגל, אינו חפוי עור].</w:t>
      </w:r>
    </w:p>
  </w:footnote>
  <w:footnote w:id="6697">
    <w:p w14:paraId="6F80CF9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ב"ח</w:t>
      </w:r>
      <w:r w:rsidRPr="00D65870">
        <w:rPr>
          <w:rFonts w:ascii="Narkisim" w:hAnsi="Narkisim"/>
          <w:rtl/>
        </w:rPr>
        <w:t xml:space="preserve"> הביא דראה שרבותיו הלכו יחף לגמרי. וגם בה"ג שכת' בגד לכרוך על רגלו הוה לצורך מצוה או במפונק או לסכנת עקרב. הא לאו הכי [שעושה לרווחא דמילתא] אסור לכתחילה. ודלא כמו שנוהגין העולם להקל. וה</w:t>
      </w:r>
      <w:r w:rsidRPr="00D65870">
        <w:rPr>
          <w:rFonts w:ascii="Narkisim" w:hAnsi="Narkisim"/>
          <w:b/>
          <w:bCs/>
          <w:rtl/>
        </w:rPr>
        <w:t>פוסקים</w:t>
      </w:r>
      <w:r w:rsidRPr="00D65870">
        <w:rPr>
          <w:rFonts w:ascii="Narkisim" w:hAnsi="Narkisim"/>
          <w:rtl/>
        </w:rPr>
        <w:t xml:space="preserve"> (ביאו"ה ושעה"צ) הקילו דלא כב"ח.</w:t>
      </w:r>
    </w:p>
  </w:footnote>
  <w:footnote w:id="6698">
    <w:p w14:paraId="3BA81FD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ועפ"ז אתי שפיר הא דלא הביאו מרישא דברייתא דסנדל של שעם וסיב. ומבואר דל"צ עור. דלדברי התוס' הנידון האם הוה בכלל 'נעל' סתם, כשנעשית מדבר שאין רגילות לעשות כן. [אלא דתוס' הק' מ"ש יוה"כ מחליצה].</w:t>
      </w:r>
    </w:p>
  </w:footnote>
  <w:footnote w:id="6699">
    <w:p w14:paraId="3BDAEC4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ופ</w:t>
      </w:r>
      <w:r w:rsidRPr="00D65870">
        <w:rPr>
          <w:rFonts w:ascii="Narkisim" w:hAnsi="Narkisim"/>
          <w:b/>
          <w:bCs/>
          <w:rtl/>
        </w:rPr>
        <w:t>רש"י</w:t>
      </w:r>
      <w:r w:rsidRPr="00D65870">
        <w:rPr>
          <w:rFonts w:ascii="Narkisim" w:hAnsi="Narkisim"/>
          <w:rtl/>
        </w:rPr>
        <w:t xml:space="preserve"> (יומא עח:) דר' יוסי סבר דלאו מנעל הוא, הואיל ואינו שוה בכל.</w:t>
      </w:r>
    </w:p>
  </w:footnote>
  <w:footnote w:id="6700">
    <w:p w14:paraId="58A8145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בעה"מ</w:t>
      </w:r>
      <w:r w:rsidRPr="00D65870">
        <w:rPr>
          <w:rFonts w:ascii="Narkisim" w:hAnsi="Narkisim"/>
          <w:rtl/>
        </w:rPr>
        <w:t xml:space="preserve"> (יומא ב. בדה"ר) נקט דהגמ' כאן לא קאי כמסקנא דהתם דנח' דוקא משום גזירה בשבת. וכת' דאף דרבא אמר מדרישא ר' מאיר סיפא נמי ר' מאיר אלא האי מגין, לטעמייהו דהנך רבנן קמאי (בסוגיה שם) קאמר, ולאו לטעמא דנפשיה.</w:t>
      </w:r>
    </w:p>
    <w:p w14:paraId="43217405" w14:textId="77777777" w:rsidR="006C4368" w:rsidRPr="00D65870" w:rsidRDefault="006C4368" w:rsidP="006C4368">
      <w:pPr>
        <w:pStyle w:val="Footnote"/>
        <w:bidi/>
        <w:rPr>
          <w:rFonts w:ascii="Narkisim" w:hAnsi="Narkisim"/>
        </w:rPr>
      </w:pPr>
      <w:r w:rsidRPr="00D65870">
        <w:rPr>
          <w:rFonts w:ascii="Narkisim" w:hAnsi="Narkisim"/>
          <w:rtl/>
        </w:rPr>
        <w:tab/>
        <w:t>ולא סמכינן אסהדותיה דר' יצחק בר נחמני דריב"ל יצא בסנדל של שעם ביוה"כ. ודרבא עדיפא דבתרא הוא. וה</w:t>
      </w:r>
      <w:r w:rsidRPr="00D65870">
        <w:rPr>
          <w:rFonts w:ascii="Narkisim" w:hAnsi="Narkisim"/>
          <w:b/>
          <w:bCs/>
          <w:rtl/>
        </w:rPr>
        <w:t xml:space="preserve">מלחמות </w:t>
      </w:r>
      <w:r w:rsidRPr="00D65870">
        <w:rPr>
          <w:rFonts w:ascii="Narkisim" w:hAnsi="Narkisim"/>
          <w:rtl/>
        </w:rPr>
        <w:t>חלק דלא אמרי' דלדבריו קאמר וליה לא ס"ל כל היכא דלא אשכחן בגמ' להדיא. אלא ודאי דהגמ' שם אתי לתרץ עובדי דרבנן כולהו אליבא דהלכתא. ועוד דקי"ל דלחליצה בעינן דוקא עור.</w:t>
      </w:r>
    </w:p>
  </w:footnote>
  <w:footnote w:id="6701">
    <w:p w14:paraId="756CCDE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[ויש שדנו דאי הוה נעל גמור לא חיישינן דילמא נפל ואתי לאתויי. אלא דר' יוסי סבר דאינו נעל גמור, ואפ"ה לא גרע מתכשיט. ובזה גזרו דאתי לאתויי ברה"ר].</w:t>
      </w:r>
    </w:p>
  </w:footnote>
  <w:footnote w:id="6702">
    <w:p w14:paraId="6A246BA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ובמשנה (כלים שם) לא איירי במנעל, אלא הוה נידון כללי אי הוה בכלל כלי עץ. וע"ע תוס' ושא"ר שבת. [וה</w:t>
      </w:r>
      <w:r w:rsidRPr="00D65870">
        <w:rPr>
          <w:rFonts w:ascii="Narkisim" w:hAnsi="Narkisim"/>
          <w:b/>
          <w:bCs/>
          <w:rtl/>
        </w:rPr>
        <w:t>יראים</w:t>
      </w:r>
      <w:r w:rsidRPr="00D65870">
        <w:rPr>
          <w:rFonts w:ascii="Narkisim" w:hAnsi="Narkisim"/>
          <w:rtl/>
        </w:rPr>
        <w:t xml:space="preserve"> (תכא) כת' דמפץ של שיפה וגמי מקבל טומאה רק מדרבנן. דדוקא עשוי מעץ ילפי' מק"ט מדאורייתא].</w:t>
      </w:r>
    </w:p>
  </w:footnote>
  <w:footnote w:id="6703">
    <w:p w14:paraId="1242402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תוספתא</w:t>
      </w:r>
      <w:r w:rsidRPr="00D65870">
        <w:rPr>
          <w:rFonts w:ascii="Narkisim" w:hAnsi="Narkisim"/>
          <w:rtl/>
        </w:rPr>
        <w:t xml:space="preserve"> (כלים ב"ב ד) הגירסא סנדל של קש ר' עקיבא מטמא והאשה חולצת בו ויוצאין בו בשבת, ולא הודו לו.</w:t>
      </w:r>
    </w:p>
  </w:footnote>
  <w:footnote w:id="6704">
    <w:p w14:paraId="12A30BC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(בשם רבותיו) של עץ. ור' יוחנן בן נורי מטהר משום דלאו אורחא לעשות מקש, ועד"ז מנעל נמי לא אורחיה מעץ אלא מעור. ועוד פ</w:t>
      </w:r>
      <w:r w:rsidRPr="00D65870">
        <w:rPr>
          <w:rFonts w:ascii="Narkisim" w:hAnsi="Narkisim"/>
          <w:b/>
          <w:bCs/>
          <w:rtl/>
        </w:rPr>
        <w:t>רש"י</w:t>
      </w:r>
      <w:r w:rsidRPr="00D65870">
        <w:rPr>
          <w:rFonts w:ascii="Narkisim" w:hAnsi="Narkisim"/>
          <w:rtl/>
        </w:rPr>
        <w:t xml:space="preserve"> דסנדל של סיידין הוא של קש, ור' יוחנן בן נורי מטהר כלי קש דלאו עץ נינהו, ור' עקיבא ס"ל דהוה כעץ, דקשין הן. [וה</w:t>
      </w:r>
      <w:r w:rsidRPr="00D65870">
        <w:rPr>
          <w:rFonts w:ascii="Narkisim" w:hAnsi="Narkisim"/>
          <w:b/>
          <w:bCs/>
          <w:rtl/>
        </w:rPr>
        <w:t>ראשונים</w:t>
      </w:r>
      <w:r w:rsidRPr="00D65870">
        <w:rPr>
          <w:rFonts w:ascii="Narkisim" w:hAnsi="Narkisim"/>
          <w:rtl/>
        </w:rPr>
        <w:t xml:space="preserve"> (שבת שם) האריכו בזה. ואכמ"ל]. וה</w:t>
      </w:r>
      <w:r w:rsidRPr="00D65870">
        <w:rPr>
          <w:rFonts w:ascii="Narkisim" w:hAnsi="Narkisim"/>
          <w:b/>
          <w:bCs/>
          <w:rtl/>
        </w:rPr>
        <w:t>מלחמות</w:t>
      </w:r>
      <w:r w:rsidRPr="00D65870">
        <w:rPr>
          <w:rFonts w:ascii="Narkisim" w:hAnsi="Narkisim"/>
          <w:rtl/>
        </w:rPr>
        <w:t xml:space="preserve"> (יומא ב: בדה"ר) העלה צד דהמח' אי כלי קש דינם ככלי עץ. [עי"ש].</w:t>
      </w:r>
    </w:p>
  </w:footnote>
  <w:footnote w:id="6705">
    <w:p w14:paraId="1406B5D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ולפ"ז אף תפור בשיער שייך גזירה.</w:t>
      </w:r>
    </w:p>
  </w:footnote>
  <w:footnote w:id="6706">
    <w:p w14:paraId="6079F06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ודייק דאם חלץ בו חליצתו כשרה, מדקאמר אין חולצין בו ולא קאמר חליצתה פסולה.</w:t>
      </w:r>
    </w:p>
  </w:footnote>
  <w:footnote w:id="6707">
    <w:p w14:paraId="4109C68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תו"י</w:t>
      </w:r>
      <w:r w:rsidRPr="00D65870">
        <w:rPr>
          <w:rFonts w:ascii="Narkisim" w:hAnsi="Narkisim"/>
          <w:rtl/>
        </w:rPr>
        <w:t xml:space="preserve"> (שם) שמחופה עור יכול להדקו בטוב ברגלו. ועוד הוכיח מקו' זו דהגמ' לא בא לאפוקי מר' יוסי אלא משאר מ"ד.</w:t>
      </w:r>
    </w:p>
  </w:footnote>
  <w:footnote w:id="6708">
    <w:p w14:paraId="2F126B6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רשב"א</w:t>
      </w:r>
      <w:r w:rsidRPr="00D65870">
        <w:rPr>
          <w:rFonts w:ascii="Narkisim" w:hAnsi="Narkisim"/>
          <w:rtl/>
        </w:rPr>
        <w:t xml:space="preserve"> הביא דה</w:t>
      </w:r>
      <w:r w:rsidRPr="00D65870">
        <w:rPr>
          <w:rFonts w:ascii="Narkisim" w:hAnsi="Narkisim"/>
          <w:b/>
          <w:bCs/>
          <w:rtl/>
        </w:rPr>
        <w:t>גאונים</w:t>
      </w:r>
      <w:r w:rsidRPr="00D65870">
        <w:rPr>
          <w:rFonts w:ascii="Narkisim" w:hAnsi="Narkisim"/>
          <w:rtl/>
        </w:rPr>
        <w:t xml:space="preserve"> כת' דאף היבמה תעמוד, ותמה אמאי. ד'ועמד' קאי על היבם. [אבל הטעם דבעלי דין בעמידה קאי אף איבמה, וכן </w:t>
      </w:r>
      <w:r w:rsidRPr="00D65870">
        <w:rPr>
          <w:rFonts w:ascii="Narkisim" w:hAnsi="Narkisim"/>
          <w:b/>
          <w:bCs/>
          <w:rtl/>
        </w:rPr>
        <w:t>רש"י</w:t>
      </w:r>
      <w:r w:rsidRPr="00D65870">
        <w:rPr>
          <w:rFonts w:ascii="Narkisim" w:hAnsi="Narkisim"/>
          <w:rtl/>
        </w:rPr>
        <w:t xml:space="preserve"> (קו.) קאי שהיבמה תעמוד].</w:t>
      </w:r>
    </w:p>
  </w:footnote>
  <w:footnote w:id="6709">
    <w:p w14:paraId="70AF555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ותוס' נסתפקו האם הטעם דחליצה כגמר דין [ובעלי דין בעמידה בשעת גמר דין], או דלקמן קו. היה שעת טענות.</w:t>
      </w:r>
    </w:p>
  </w:footnote>
  <w:footnote w:id="6710">
    <w:p w14:paraId="116AAFC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וקי"ל כברייתא שהו' בגמ' דידן, דאיהי נשנית בבית המדרש. ועוד מותבינין מברייתא זו, אלמא הלכתא היא. והרשב"א הביא דהגאונים חששו לדברי הספרי ומש"ה אמרו דצריך עמידה. [ונקט שהגאונים חששו אף לעיכובא].</w:t>
      </w:r>
    </w:p>
  </w:footnote>
  <w:footnote w:id="6711">
    <w:p w14:paraId="44E6E4E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וע"ע פתח"ת (קסט לט) בסתירות בדברי הפוסקים בזה.</w:t>
      </w:r>
    </w:p>
  </w:footnote>
  <w:footnote w:id="6712">
    <w:p w14:paraId="68E72EF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ציין לדברי הרמ"א (שם יב בשם התה"ד פסקים קצ) דכל דבר שאין לו תקנה חשיב כבדיעבד [וציין פסחים ל. וכתובות יד.]. ומש"ה חולה שאינו יכול לעמוד חולץ מיושב [וה</w:t>
      </w:r>
      <w:r w:rsidRPr="00D65870">
        <w:rPr>
          <w:rFonts w:ascii="Narkisim" w:hAnsi="Narkisim"/>
          <w:b/>
          <w:bCs/>
          <w:rtl/>
        </w:rPr>
        <w:t>גר"א</w:t>
      </w:r>
      <w:r w:rsidRPr="00D65870">
        <w:rPr>
          <w:rFonts w:ascii="Narkisim" w:hAnsi="Narkisim"/>
          <w:rtl/>
        </w:rPr>
        <w:t xml:space="preserve"> (שם מד) ציין לדברי רש"י (לקמן קו.) דבחולה ישיבתה זו היא עמידתה].</w:t>
      </w:r>
    </w:p>
  </w:footnote>
  <w:footnote w:id="6713">
    <w:p w14:paraId="08012EB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והוסיף דרקיקה עדיפא מקריאה, תדע שרקיקה לחוד הוה כחליצה פסולה (וכדאי' לקמן קה.), ואילו קריאה לחוד לא עשתה ולא כלום. [אך בגמ' קה. מבואר דטעם החילוק אי שייך בזה מיחלפה שיתירו חלוצה לייבום. ועפ"ז לכאורה אין ראיה דעדיפא].</w:t>
      </w:r>
    </w:p>
  </w:footnote>
  <w:footnote w:id="6714">
    <w:p w14:paraId="306A07C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ערול"נ</w:t>
      </w:r>
      <w:r w:rsidRPr="00D65870">
        <w:rPr>
          <w:rFonts w:ascii="Narkisim" w:hAnsi="Narkisim"/>
          <w:rtl/>
        </w:rPr>
        <w:t xml:space="preserve"> כת' דהרמב"ם כת' טעם בעלמא מ"ט סומא לא יחלוץ לכתחילה, אך לא הוזכר להדיא דבעינן רוק הנראה.</w:t>
      </w:r>
    </w:p>
  </w:footnote>
  <w:footnote w:id="6715">
    <w:p w14:paraId="6EB973A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וגבי אילם חסר הקריאה שלפני החליצה. ועד"ז שאר אינו ראוי לבילה בש"ס. וע"ע או"ש שהאריך בזה מכמה סוגיות.</w:t>
      </w:r>
    </w:p>
  </w:footnote>
  <w:footnote w:id="6716">
    <w:p w14:paraId="5B977C8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רא"ש</w:t>
      </w:r>
      <w:r w:rsidRPr="00D65870">
        <w:rPr>
          <w:rFonts w:ascii="Narkisim" w:hAnsi="Narkisim"/>
          <w:rtl/>
        </w:rPr>
        <w:t xml:space="preserve"> (סדר חליצה בסוה"פ, והשו"ע קסט ל) הביא דרבותיו היו מעמידים את היבם אצל הכותל או עמוד שיוכל לדחוס רגלו. וה</w:t>
      </w:r>
      <w:r w:rsidRPr="00D65870">
        <w:rPr>
          <w:rFonts w:ascii="Narkisim" w:hAnsi="Narkisim"/>
          <w:b/>
          <w:bCs/>
          <w:rtl/>
        </w:rPr>
        <w:t>רמ"א</w:t>
      </w:r>
      <w:r w:rsidRPr="00D65870">
        <w:rPr>
          <w:rFonts w:ascii="Narkisim" w:hAnsi="Narkisim"/>
          <w:rtl/>
        </w:rPr>
        <w:t xml:space="preserve"> (סדר חליצה מה) כת' דיזהר שלא ישען כל כך שאם נוטלין העמוד היה נופל, דכה"ג לא מקרי עמידה.</w:t>
      </w:r>
    </w:p>
  </w:footnote>
  <w:footnote w:id="6717">
    <w:p w14:paraId="5D91286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דברי הרא"ש צ"ע, דס"ל (ס"ס ו) דלכתחילה בעינן מעומד דדמי לדין [ומשום אסמכתא דהספרי]. ואף דחיס רגלו הוה לכתחילה מדרבנן.</w:t>
      </w:r>
    </w:p>
  </w:footnote>
  <w:footnote w:id="6718">
    <w:p w14:paraId="24C6C2D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חלק דכולה מקרי רגל, ול"מ דרק גב הרגל מקרי רגל. וכן הלשון יד משמע אף כף היד, ונקרא פעמים יד סתם ופעמים כף סתם.</w:t>
      </w:r>
    </w:p>
  </w:footnote>
  <w:footnote w:id="6719">
    <w:p w14:paraId="782D956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דייקו לשון רב אשי 'למאי דקאמר אמימר', מכלל דאיהו לא ס"ל.</w:t>
      </w:r>
    </w:p>
  </w:footnote>
  <w:footnote w:id="6720">
    <w:p w14:paraId="07C8C44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בעה"מ</w:t>
      </w:r>
      <w:r w:rsidRPr="00D65870">
        <w:rPr>
          <w:rFonts w:ascii="Narkisim" w:hAnsi="Narkisim"/>
          <w:rtl/>
        </w:rPr>
        <w:t xml:space="preserve"> הביא דכן כת' הרי"ף מתחילה, ואח"כ מחקו וכת' תי' כתוס' [והבעה"מ כת' דנראה כתי' זה, וכפרש"י]. ותוס' הביאו דכענין פרש"י כת' </w:t>
      </w:r>
      <w:r w:rsidRPr="00D65870">
        <w:rPr>
          <w:rFonts w:ascii="Narkisim" w:hAnsi="Narkisim"/>
          <w:b/>
          <w:bCs/>
          <w:rtl/>
        </w:rPr>
        <w:t>גאון א'</w:t>
      </w:r>
      <w:r w:rsidRPr="00D65870">
        <w:rPr>
          <w:rFonts w:ascii="Narkisim" w:hAnsi="Narkisim"/>
          <w:rtl/>
        </w:rPr>
        <w:t>, ולכאורה כוונתם להנ"ל.</w:t>
      </w:r>
    </w:p>
  </w:footnote>
  <w:footnote w:id="6721">
    <w:p w14:paraId="3C1F361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אף שנקטע בקטנותו. אבל ה</w:t>
      </w:r>
      <w:r w:rsidRPr="00D65870">
        <w:rPr>
          <w:rFonts w:ascii="Narkisim" w:hAnsi="Narkisim"/>
          <w:b/>
          <w:bCs/>
          <w:rtl/>
        </w:rPr>
        <w:t>ק"נ</w:t>
      </w:r>
      <w:r w:rsidRPr="00D65870">
        <w:rPr>
          <w:rFonts w:ascii="Narkisim" w:hAnsi="Narkisim"/>
          <w:rtl/>
        </w:rPr>
        <w:t xml:space="preserve"> נדחק דאיירי דוקא נקטע לאחר שנפלה ליבום. [ועפ"ז יישב הנך קו'].</w:t>
      </w:r>
    </w:p>
  </w:footnote>
  <w:footnote w:id="6722">
    <w:p w14:paraId="146B80E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ק"נ</w:t>
      </w:r>
      <w:r w:rsidRPr="00D65870">
        <w:rPr>
          <w:rFonts w:ascii="Narkisim" w:hAnsi="Narkisim"/>
          <w:rtl/>
        </w:rPr>
        <w:t xml:space="preserve"> (ת) הק' דא"כ אף נתהפך רגלו נימא דקודם שנתהפך היה ראוי לדחוס, ואין דחיסה מעכבת. א"כ למה קאמר רב אשי לאו בר קיפוף חליץ, הא נולדו ראויים ואח"כ נתהפך רגלם משום קללת רב אשי. ויחשב עדיין ראוי לדחיסה. [ודוחק דכוונת רב אשי דאדם אחר שדומה לבר אובא ובר קיפוף, אך ממעי אמם].</w:t>
      </w:r>
    </w:p>
  </w:footnote>
  <w:footnote w:id="6723">
    <w:p w14:paraId="7B3BEDC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(סוטה) נקטו דעמידה לא הוה אסמכתא, וע"ע מה שהו' לעיל.</w:t>
      </w:r>
    </w:p>
  </w:footnote>
  <w:footnote w:id="6724">
    <w:p w14:paraId="451D2A4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רא"ש</w:t>
      </w:r>
      <w:r w:rsidRPr="00D65870">
        <w:rPr>
          <w:rFonts w:ascii="Narkisim" w:hAnsi="Narkisim"/>
          <w:rtl/>
        </w:rPr>
        <w:t xml:space="preserve"> הביא דכ"מ ב</w:t>
      </w:r>
      <w:r w:rsidRPr="00D65870">
        <w:rPr>
          <w:rFonts w:ascii="Narkisim" w:hAnsi="Narkisim"/>
          <w:b/>
          <w:bCs/>
          <w:rtl/>
        </w:rPr>
        <w:t>ירושלמי</w:t>
      </w:r>
      <w:r w:rsidRPr="00D65870">
        <w:rPr>
          <w:rFonts w:ascii="Narkisim" w:hAnsi="Narkisim"/>
          <w:rtl/>
        </w:rPr>
        <w:t xml:space="preserve"> (הו' בתוס' קב. ד"ה ואע"ג) דקושרו עד שיהא יכול להלוך בו מאליו. אלמא דעיקר הקשירה כדי שיעמוד על רגלו ויכול להלוך בו, והיכא שאינו יכול לעמוד ברגל בלא קשירה התרת הרצועות הוה כאילו שמט הסנדל, כיון דסופו ליפול מעצמו.</w:t>
      </w:r>
    </w:p>
  </w:footnote>
  <w:footnote w:id="6725">
    <w:p w14:paraId="0AEAE65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(מנחות לג.) מקום חיבור השוק והרגל. אך בגמ' (שם) מחלקים דמזוזה כמין נגר פסול, ופ</w:t>
      </w:r>
      <w:r w:rsidRPr="00D65870">
        <w:rPr>
          <w:rFonts w:ascii="Narkisim" w:hAnsi="Narkisim"/>
          <w:b/>
          <w:bCs/>
          <w:rtl/>
        </w:rPr>
        <w:t>רש"י</w:t>
      </w:r>
      <w:r w:rsidRPr="00D65870">
        <w:rPr>
          <w:rFonts w:ascii="Narkisim" w:hAnsi="Narkisim"/>
          <w:rtl/>
        </w:rPr>
        <w:t xml:space="preserve"> ששוכב בלע"ז קביליא [ותרגמו יתד]. ואילו איסתוירא פ</w:t>
      </w:r>
      <w:r w:rsidRPr="00D65870">
        <w:rPr>
          <w:rFonts w:ascii="Narkisim" w:hAnsi="Narkisim"/>
          <w:b/>
          <w:bCs/>
          <w:rtl/>
        </w:rPr>
        <w:t>רש"י</w:t>
      </w:r>
      <w:r w:rsidRPr="00D65870">
        <w:rPr>
          <w:rFonts w:ascii="Narkisim" w:hAnsi="Narkisim"/>
          <w:rtl/>
        </w:rPr>
        <w:t xml:space="preserve"> מעומד כשר. [ולכאורה כוונת </w:t>
      </w:r>
      <w:r w:rsidRPr="00D65870">
        <w:rPr>
          <w:rFonts w:ascii="Narkisim" w:hAnsi="Narkisim"/>
          <w:b/>
          <w:bCs/>
          <w:rtl/>
        </w:rPr>
        <w:t>רע"א</w:t>
      </w:r>
      <w:r w:rsidRPr="00D65870">
        <w:rPr>
          <w:rFonts w:ascii="Narkisim" w:hAnsi="Narkisim"/>
          <w:rtl/>
        </w:rPr>
        <w:t xml:space="preserve"> להק' דבסוגיין קביליא הוה איסתוירא. וה</w:t>
      </w:r>
      <w:r w:rsidRPr="00D65870">
        <w:rPr>
          <w:rFonts w:ascii="Narkisim" w:hAnsi="Narkisim"/>
          <w:b/>
          <w:bCs/>
          <w:rtl/>
        </w:rPr>
        <w:t>מתרגמים</w:t>
      </w:r>
      <w:r w:rsidRPr="00D65870">
        <w:rPr>
          <w:rFonts w:ascii="Narkisim" w:hAnsi="Narkisim"/>
          <w:rtl/>
        </w:rPr>
        <w:t xml:space="preserve"> תי' דהתם הוה נגר].</w:t>
      </w:r>
    </w:p>
  </w:footnote>
  <w:footnote w:id="6726">
    <w:p w14:paraId="7093729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בין הקרסול לארכובה, וירך הוא מעל הארכובה.</w:t>
      </w:r>
    </w:p>
  </w:footnote>
  <w:footnote w:id="6727">
    <w:p w14:paraId="639F122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פרמ"ג</w:t>
      </w:r>
      <w:r w:rsidRPr="00D65870">
        <w:rPr>
          <w:rFonts w:ascii="Narkisim" w:hAnsi="Narkisim"/>
          <w:rtl/>
        </w:rPr>
        <w:t xml:space="preserve"> (עה מ"ז א) וה</w:t>
      </w:r>
      <w:r w:rsidRPr="00D65870">
        <w:rPr>
          <w:rFonts w:ascii="Narkisim" w:hAnsi="Narkisim"/>
          <w:b/>
          <w:bCs/>
          <w:rtl/>
        </w:rPr>
        <w:t>משנ"ב</w:t>
      </w:r>
      <w:r w:rsidRPr="00D65870">
        <w:rPr>
          <w:rFonts w:ascii="Narkisim" w:hAnsi="Narkisim"/>
          <w:rtl/>
        </w:rPr>
        <w:t xml:space="preserve"> (עה ב) הביאו דהא דאי' ד'שוק' אשה הוה מקום ערוה, אפי' במקום שרגילים לילך יחף. הוה מעל הארכובה. וכמו שוק דבהמה. [ולמטה מהארכובה מותר לגלות במקום שנהגו]. וכמה </w:t>
      </w:r>
      <w:r w:rsidRPr="00D65870">
        <w:rPr>
          <w:rFonts w:ascii="Narkisim" w:hAnsi="Narkisim"/>
          <w:b/>
          <w:bCs/>
          <w:rtl/>
        </w:rPr>
        <w:t>אחרונים</w:t>
      </w:r>
      <w:r w:rsidRPr="00D65870">
        <w:rPr>
          <w:rFonts w:ascii="Narkisim" w:hAnsi="Narkisim"/>
          <w:rtl/>
        </w:rPr>
        <w:t xml:space="preserve"> (חת"ס יו"ד נ, חזו"א או"ח טז ה ועוד) דחו דמבואר במשנה באהלות [ובתוס' מנחות הנ"ל] דלמטה מהארכובה מקרי 'שוק'.</w:t>
      </w:r>
    </w:p>
  </w:footnote>
  <w:footnote w:id="6728">
    <w:p w14:paraId="6887FDD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הג' היעב"ץ</w:t>
      </w:r>
      <w:r w:rsidRPr="00D65870">
        <w:rPr>
          <w:rFonts w:ascii="Narkisim" w:hAnsi="Narkisim"/>
          <w:rtl/>
        </w:rPr>
        <w:t xml:space="preserve"> ציין לגמ' (סנהדרין קה:) דכל ברכותיו של אותו הרשע [בלעם] נהפכו. וכת' דאף דבגמ' מבואר טעם אחר, הא והא איתא. ודלמא כולה חדא מילתא [דהטעם דנהפך לרעה, משום דמדכיר שם ע"ז].</w:t>
      </w:r>
    </w:p>
  </w:footnote>
  <w:footnote w:id="6729">
    <w:p w14:paraId="442115B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הג' היעב"ץ</w:t>
      </w:r>
      <w:r w:rsidRPr="00D65870">
        <w:rPr>
          <w:rFonts w:ascii="Narkisim" w:hAnsi="Narkisim"/>
          <w:rtl/>
        </w:rPr>
        <w:t xml:space="preserve"> כת' דכוונת רש"י להביא שהיה שכיח על פיו שם ע"ז. אבל במה שהזכיר ע"ז לא עבר על הצווי [שלא קרא כן על יעקב].</w:t>
      </w:r>
    </w:p>
  </w:footnote>
  <w:footnote w:id="6730">
    <w:p w14:paraId="444BD33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צ"ב כוונתו דהתם קאי להנשא לערל, ולא הוזכר כח היצר. והתם איירי קודם מתן תורה. [ובסוגיין לא הוזכר דנתמעט הזוהמה ע"י מילה, אלא ע"י מתן תורה].</w:t>
      </w:r>
    </w:p>
  </w:footnote>
  <w:footnote w:id="6731">
    <w:p w14:paraId="2BF1EF5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ברגל ימין מהאצבע הגדול עד הקטן הוא באלכסון לצד ימין. וברגל שמאל אלכסון לצד שמאל. וכת' דאע"ג שבמנעלים שאנו לובשים כל יום אין עושין כן, היינו משום דפעמים דרכם להפכם מרגל ימין לשמאל.</w:t>
      </w:r>
    </w:p>
  </w:footnote>
  <w:footnote w:id="6732">
    <w:p w14:paraId="7B77D61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ובמנעל של שמאל [לדעות שאיטר חולץ בשמאל, ע"ע לקמן קד.] החומרתות בצד ימין והלולאות בצד שמאל, והתפירה הארוכה היא בצד שמאל.</w:t>
      </w:r>
    </w:p>
  </w:footnote>
  <w:footnote w:id="6733">
    <w:p w14:paraId="3F5C0E8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והפתח"ת ביאר דכוונתו לפי המנהג שעושים את המנעל מחתיכה א' של עור (ע' פוסקים קסט טז). ובצד שמאל אין תפירות אלא כופלים את העור על רגלו, ותופרים בצד ימין.</w:t>
      </w:r>
    </w:p>
  </w:footnote>
  <w:footnote w:id="6734">
    <w:p w14:paraId="49A5843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ופתח"ת הביא דב</w:t>
      </w:r>
      <w:r w:rsidRPr="00D65870">
        <w:rPr>
          <w:rFonts w:ascii="Narkisim" w:hAnsi="Narkisim"/>
          <w:b/>
          <w:bCs/>
          <w:rtl/>
        </w:rPr>
        <w:t>ס' זכור לאברהם</w:t>
      </w:r>
      <w:r w:rsidRPr="00D65870">
        <w:rPr>
          <w:rFonts w:ascii="Narkisim" w:hAnsi="Narkisim"/>
          <w:rtl/>
        </w:rPr>
        <w:t xml:space="preserve"> כת' ד</w:t>
      </w:r>
      <w:r w:rsidRPr="00D65870">
        <w:rPr>
          <w:rFonts w:ascii="Narkisim" w:hAnsi="Narkisim"/>
          <w:b/>
          <w:bCs/>
          <w:rtl/>
        </w:rPr>
        <w:t>מהר"י אבולעפיא</w:t>
      </w:r>
      <w:r w:rsidRPr="00D65870">
        <w:rPr>
          <w:rFonts w:ascii="Narkisim" w:hAnsi="Narkisim"/>
          <w:rtl/>
        </w:rPr>
        <w:t xml:space="preserve"> לא היה מקפיד שיהא שינוי בגוף המנעל [שיהא באלכסון כשבו"י], וסגי בהיכר ע"י הקרסים. [ומשמע דעכ"פ צריך שיהא היכר במנעל. ויל"ד דכל שלא נתייחד המנעל לשמאל לכאורה שפיר דמי].</w:t>
      </w:r>
    </w:p>
  </w:footnote>
  <w:footnote w:id="6735">
    <w:p w14:paraId="6DCF116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הק' אמאי לא היה לרב יוסף כלי הדיינים. ותי' שלא היה בבי"ד, אלא דבא לו מעשה זה דרך מקרה.</w:t>
      </w:r>
    </w:p>
  </w:footnote>
  <w:footnote w:id="6736">
    <w:p w14:paraId="3BDB257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ב</w:t>
      </w:r>
      <w:r w:rsidRPr="00D65870">
        <w:rPr>
          <w:rFonts w:ascii="Narkisim" w:hAnsi="Narkisim"/>
          <w:b/>
          <w:bCs/>
          <w:rtl/>
        </w:rPr>
        <w:t>תוס' מהר"ם ור"פ</w:t>
      </w:r>
      <w:r w:rsidRPr="00D65870">
        <w:rPr>
          <w:rFonts w:ascii="Narkisim" w:hAnsi="Narkisim"/>
          <w:rtl/>
        </w:rPr>
        <w:t xml:space="preserve"> כת' דעתה אין רגילות להקנותם, דכיון שהמנעלים עשויים לשם כך, מסתבר כי יהבינן ליה אדעתא דיעשה מצותם אקנו ליה בי"ד.</w:t>
      </w:r>
    </w:p>
  </w:footnote>
  <w:footnote w:id="6737">
    <w:p w14:paraId="6139DF2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(שם נא) כת' דהוה ב' טעמים. [אך לצד ד'שלו' הוה שיהא יכול לילך בו מהני].</w:t>
      </w:r>
    </w:p>
  </w:footnote>
  <w:footnote w:id="6738">
    <w:p w14:paraId="04321A6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אביי (בע"א) יישב את הברייתא, ע' מש"כ שם.</w:t>
      </w:r>
    </w:p>
  </w:footnote>
  <w:footnote w:id="6739">
    <w:p w14:paraId="112CCA3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(לקמן קד.) הביא מרבה בר חייא (שם) דאף לכתחילה מהני במוק [וסנדל של עץ] לר' מאיר. [ודלא כ</w:t>
      </w:r>
      <w:r w:rsidRPr="00D65870">
        <w:rPr>
          <w:rFonts w:ascii="Narkisim" w:hAnsi="Narkisim"/>
          <w:b/>
          <w:bCs/>
          <w:rtl/>
        </w:rPr>
        <w:t>תוס'</w:t>
      </w:r>
      <w:r w:rsidRPr="00D65870">
        <w:rPr>
          <w:rFonts w:ascii="Narkisim" w:hAnsi="Narkisim"/>
          <w:rtl/>
        </w:rPr>
        <w:t xml:space="preserve"> קד. ד"ה אי]. ועוד הביאו מהגמ' (שבת סו.) דחולצין בקב הקיטע לר"מ. [משמע לכתחילה].</w:t>
      </w:r>
    </w:p>
  </w:footnote>
  <w:footnote w:id="6740">
    <w:p w14:paraId="7E55D10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ולא נתפרש מנ"ל דפשיט"ל, ולכאורה כוונתו דכיון דלר"מ מהני לכתחילה בלא עור [וצריך לדחוק דלא דמי למנעל שאינו שלו ושמאל דכשירה בדיעבד], א"כ אף לחכמים אמרי' הכי.</w:t>
      </w:r>
    </w:p>
  </w:footnote>
  <w:footnote w:id="6741">
    <w:p w14:paraId="3D40025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נמוקי הגרי"ב</w:t>
      </w:r>
      <w:r w:rsidRPr="00D65870">
        <w:rPr>
          <w:rFonts w:ascii="Narkisim" w:hAnsi="Narkisim"/>
          <w:rtl/>
        </w:rPr>
        <w:t xml:space="preserve"> כת' דרש"י דייק מכפילות דברי רב פפא אחד זה ואחד זה, דאף במוסגר יש מח'. דלרב פפי אסור משום גזירה דמוחלט. ורב פפא חלק דהוה טעם נוסף.</w:t>
      </w:r>
    </w:p>
  </w:footnote>
  <w:footnote w:id="6742">
    <w:p w14:paraId="5BA6512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w:t>
      </w:r>
      <w:r w:rsidRPr="00D65870">
        <w:rPr>
          <w:rFonts w:ascii="Narkisim" w:hAnsi="Narkisim"/>
          <w:b/>
          <w:bCs/>
          <w:rtl/>
        </w:rPr>
        <w:t>בספרי</w:t>
      </w:r>
      <w:r w:rsidRPr="00D65870">
        <w:rPr>
          <w:rFonts w:ascii="Narkisim" w:hAnsi="Narkisim"/>
          <w:rtl/>
        </w:rPr>
        <w:t xml:space="preserve"> (הו' בר"ש נגעים יא יב) ילפי' ואף בגד מוסגר אסור בהנאה, ודוקא קצצו [לבגדים פחות מג' על ג'] הותר בהנאה. [אבל ה</w:t>
      </w:r>
      <w:r w:rsidRPr="00D65870">
        <w:rPr>
          <w:rFonts w:ascii="Narkisim" w:hAnsi="Narkisim"/>
          <w:b/>
          <w:bCs/>
          <w:rtl/>
        </w:rPr>
        <w:t>ערול"נ</w:t>
      </w:r>
      <w:r w:rsidRPr="00D65870">
        <w:rPr>
          <w:rFonts w:ascii="Narkisim" w:hAnsi="Narkisim"/>
          <w:rtl/>
        </w:rPr>
        <w:t xml:space="preserve"> (בסוגיין) הביא דבגד מוסגר מותר בהנאה. וצ"ע.</w:t>
      </w:r>
    </w:p>
  </w:footnote>
  <w:footnote w:id="6743">
    <w:p w14:paraId="1684B3B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וצ"ע מה ס"ד דתוס', דודאי יש דין נתיצה ואינו רשאי לדור בו. ובבגד המנוגע תנן (יא יב) דאסור בהנאה. ואמאי הביאו ממימרא דאמוראים.</w:t>
      </w:r>
    </w:p>
  </w:footnote>
  <w:footnote w:id="6744">
    <w:p w14:paraId="7BF040A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דייק ה</w:t>
      </w:r>
      <w:r w:rsidRPr="00D65870">
        <w:rPr>
          <w:rFonts w:ascii="Narkisim" w:hAnsi="Narkisim"/>
          <w:b/>
          <w:bCs/>
          <w:rtl/>
        </w:rPr>
        <w:t>תוי"ט</w:t>
      </w:r>
      <w:r w:rsidRPr="00D65870">
        <w:rPr>
          <w:rFonts w:ascii="Narkisim" w:hAnsi="Narkisim"/>
          <w:rtl/>
        </w:rPr>
        <w:t xml:space="preserve"> (שם יג ד) מדברי הרמב"ם בפיה"מ והרע"ב. וכן ממש"כ </w:t>
      </w:r>
      <w:r w:rsidRPr="00D65870">
        <w:rPr>
          <w:rFonts w:ascii="Narkisim" w:hAnsi="Narkisim"/>
          <w:b/>
          <w:bCs/>
          <w:rtl/>
        </w:rPr>
        <w:t>תוס'</w:t>
      </w:r>
      <w:r w:rsidRPr="00D65870">
        <w:rPr>
          <w:rFonts w:ascii="Narkisim" w:hAnsi="Narkisim"/>
          <w:rtl/>
        </w:rPr>
        <w:t xml:space="preserve"> בשם רש"י [והו' בהג' הב"ח אות ג]. אך הביא ד</w:t>
      </w:r>
      <w:r w:rsidRPr="00D65870">
        <w:rPr>
          <w:rFonts w:ascii="Narkisim" w:hAnsi="Narkisim"/>
          <w:b/>
          <w:bCs/>
          <w:rtl/>
        </w:rPr>
        <w:t>רש"י</w:t>
      </w:r>
      <w:r w:rsidRPr="00D65870">
        <w:rPr>
          <w:rFonts w:ascii="Narkisim" w:hAnsi="Narkisim"/>
          <w:rtl/>
        </w:rPr>
        <w:t xml:space="preserve"> (כאן לגירסא לפנינו) כת' דמטמא מתוכו במגע. וזה וזה מטמא בביאה הוה דין נוסף.</w:t>
      </w:r>
    </w:p>
  </w:footnote>
  <w:footnote w:id="6745">
    <w:p w14:paraId="4AEE706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לפ"ז נוגע בכל תוך הבית יטמא, וה</w:t>
      </w:r>
      <w:r w:rsidRPr="00D65870">
        <w:rPr>
          <w:rFonts w:ascii="Narkisim" w:hAnsi="Narkisim"/>
          <w:b/>
          <w:bCs/>
          <w:rtl/>
        </w:rPr>
        <w:t>משנ"ל</w:t>
      </w:r>
      <w:r w:rsidRPr="00D65870">
        <w:rPr>
          <w:rFonts w:ascii="Narkisim" w:hAnsi="Narkisim"/>
          <w:rtl/>
        </w:rPr>
        <w:t xml:space="preserve"> (טו"צ טז ג) דייק דתוס' העמידו דבריהם דוקא בנוגע בנגע בתוכו. וכת' דאפשר דתוס' ס"ל דאף בבית מוחלט דוקא מקום הנגע מטמא במגע. [והביא דהתוי"ט נקט דתוס' קאי על כל נוגע בתוכם]. ועי"ש שהאריך.</w:t>
      </w:r>
    </w:p>
  </w:footnote>
  <w:footnote w:id="6746">
    <w:p w14:paraId="385B494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ולפ"ז קו' הגמ' בעיקר טומאת בגד מנוגע, דבגד מוחלט מיכתת ואין לו שיעור. [ואילו לפרש"י קו' הגמ' דוקא באופן שנכנס רובו לבית].</w:t>
      </w:r>
    </w:p>
  </w:footnote>
  <w:footnote w:id="6747">
    <w:p w14:paraId="2117208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ויש שדחו דעשאו מוכין לא פקע ממנו טומאתו, אבל אינו מטמא אחרים.</w:t>
      </w:r>
    </w:p>
  </w:footnote>
  <w:footnote w:id="6748">
    <w:p w14:paraId="0F47BEE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ועד"ז כת' </w:t>
      </w:r>
      <w:r w:rsidRPr="00D65870">
        <w:rPr>
          <w:rFonts w:ascii="Narkisim" w:hAnsi="Narkisim"/>
          <w:b/>
          <w:bCs/>
          <w:rtl/>
        </w:rPr>
        <w:t>תוס'</w:t>
      </w:r>
      <w:r w:rsidRPr="00D65870">
        <w:rPr>
          <w:rFonts w:ascii="Narkisim" w:hAnsi="Narkisim"/>
          <w:rtl/>
        </w:rPr>
        <w:t xml:space="preserve"> (עירובין פ: הו' בסמוך).</w:t>
      </w:r>
    </w:p>
  </w:footnote>
  <w:footnote w:id="6749">
    <w:p w14:paraId="4E74427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ועפ"ז אפשר דל"מ גדר מיכתת להחשב שאין כאן בגד, דשיעור ג' על ג' לא הוה שיעור בדין טומאה. אלא בשם בגד, ותלי במציאות של הבגד. [וי"ל דמש"כ רש"י לא פי' כמהרש"א].</w:t>
      </w:r>
    </w:p>
  </w:footnote>
  <w:footnote w:id="6750">
    <w:p w14:paraId="5D25D9A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דאי' דבגד העשוי מדבר שבים, וחיבר בו חוט א' המקבל טומאה נטמא. וה</w:t>
      </w:r>
      <w:r w:rsidRPr="00D65870">
        <w:rPr>
          <w:rFonts w:ascii="Narkisim" w:hAnsi="Narkisim"/>
          <w:b/>
          <w:bCs/>
          <w:rtl/>
        </w:rPr>
        <w:t xml:space="preserve">תוי"ט </w:t>
      </w:r>
      <w:r w:rsidRPr="00D65870">
        <w:rPr>
          <w:rFonts w:ascii="Narkisim" w:hAnsi="Narkisim"/>
          <w:rtl/>
        </w:rPr>
        <w:t>(נגעים יא א) הביא דב</w:t>
      </w:r>
      <w:r w:rsidRPr="00D65870">
        <w:rPr>
          <w:rFonts w:ascii="Narkisim" w:hAnsi="Narkisim"/>
          <w:b/>
          <w:bCs/>
          <w:rtl/>
        </w:rPr>
        <w:t xml:space="preserve">רמב"ם </w:t>
      </w:r>
      <w:r w:rsidRPr="00D65870">
        <w:rPr>
          <w:rFonts w:ascii="Narkisim" w:hAnsi="Narkisim"/>
          <w:rtl/>
        </w:rPr>
        <w:t>מבואר דעי"ז הכל מקבל טומאה. אבל מה</w:t>
      </w:r>
      <w:r w:rsidRPr="00D65870">
        <w:rPr>
          <w:rFonts w:ascii="Narkisim" w:hAnsi="Narkisim"/>
          <w:b/>
          <w:bCs/>
          <w:rtl/>
        </w:rPr>
        <w:t>מהר"ם</w:t>
      </w:r>
      <w:r w:rsidRPr="00D65870">
        <w:rPr>
          <w:rFonts w:ascii="Narkisim" w:hAnsi="Narkisim"/>
          <w:rtl/>
        </w:rPr>
        <w:t xml:space="preserve"> בשם ה</w:t>
      </w:r>
      <w:r w:rsidRPr="00D65870">
        <w:rPr>
          <w:rFonts w:ascii="Narkisim" w:hAnsi="Narkisim"/>
          <w:b/>
          <w:bCs/>
          <w:rtl/>
        </w:rPr>
        <w:t>ר"י</w:t>
      </w:r>
      <w:r w:rsidRPr="00D65870">
        <w:rPr>
          <w:rFonts w:ascii="Narkisim" w:hAnsi="Narkisim"/>
          <w:rtl/>
        </w:rPr>
        <w:t xml:space="preserve"> מ</w:t>
      </w:r>
      <w:r w:rsidRPr="00D65870">
        <w:rPr>
          <w:rFonts w:ascii="Narkisim" w:hAnsi="Narkisim"/>
          <w:b/>
          <w:bCs/>
          <w:rtl/>
        </w:rPr>
        <w:t>סמפונט</w:t>
      </w:r>
      <w:r w:rsidRPr="00D65870">
        <w:rPr>
          <w:rFonts w:ascii="Narkisim" w:hAnsi="Narkisim"/>
          <w:rtl/>
        </w:rPr>
        <w:t xml:space="preserve"> דדוקא אותו חוט טמא [ומצטרף דבר שבים לשיעור בגד, ועי"ז חוט זה לבד טמא]. וע"ע משנ"ל (כלים א ג). וע"כ דהשיעור הוא בבגד ולא בקבלת טומאה.</w:t>
      </w:r>
    </w:p>
  </w:footnote>
  <w:footnote w:id="6751">
    <w:p w14:paraId="101C4F3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שנכנס כזית לבית, ולא נכנס שיעור ג' על ג'. [אבל היכא דנכנס ג' על ג' מטמא בלא כזית, אף שהוא חלק מבגד גדול].</w:t>
      </w:r>
    </w:p>
  </w:footnote>
  <w:footnote w:id="6752">
    <w:p w14:paraId="2916A4A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ואפשר דדוקא שיעור כזית דנלמד ממת. אבל הבגד כולו מטמא כשבא אל הבית.</w:t>
      </w:r>
    </w:p>
  </w:footnote>
  <w:footnote w:id="6753">
    <w:p w14:paraId="64B767B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(סטנסל) הק' דבדין הטומאה ליכא חילוק בין מוחלט למוסגר. וכיון דטומאת מצורע הוקש למת, מה לי הוסגר ומה לי מוחלט. והגר"ח חקר האם ההיקש שטומאת המצורע הוקש למת, או דהמצורע עצמו הוקש למת. והביא דכ"מ ב</w:t>
      </w:r>
      <w:r w:rsidRPr="00D65870">
        <w:rPr>
          <w:rFonts w:ascii="Narkisim" w:hAnsi="Narkisim"/>
          <w:b/>
          <w:bCs/>
          <w:rtl/>
        </w:rPr>
        <w:t>רמב"ם</w:t>
      </w:r>
      <w:r w:rsidRPr="00D65870">
        <w:rPr>
          <w:rFonts w:ascii="Narkisim" w:hAnsi="Narkisim"/>
          <w:rtl/>
        </w:rPr>
        <w:t xml:space="preserve"> (ט"צ יג יד) שכת' דהבגדים הוקשו למצורע, והמצורע הוקש למת. [ואילו ההיקש לטומאת צרעת, א"כ אף הבגדים הוה בכלל טומאת צרעת, ואי"צ היקש על טומאת צרעת]. ועפ"ז ביאר דרק מצורע מוחלט הוקש, ואילו מצורע מוסגר לא הוקש. ואף דבעלמא בגדרי הטומאה אין חילוק ביניהם.</w:t>
      </w:r>
    </w:p>
  </w:footnote>
  <w:footnote w:id="6754">
    <w:p w14:paraId="6B11E70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ירושלמי</w:t>
      </w:r>
      <w:r w:rsidRPr="00D65870">
        <w:rPr>
          <w:rFonts w:ascii="Narkisim" w:hAnsi="Narkisim"/>
          <w:rtl/>
        </w:rPr>
        <w:t xml:space="preserve"> (מו"ק ג ה, נזיר ז ג) ר' יוחנן יליף אל נא תהא כמת, תסגר. דמצורע מוסגר הוה ז' ימים כאבילות דמת. והירושלמי מק' הכא עבד לה להסגר והכא הוא עבד להחלט, דר' יוחנן למד מהיקש זה דימי החלט אינם עולים לימי טומאתו.</w:t>
      </w:r>
    </w:p>
  </w:footnote>
  <w:footnote w:id="6755">
    <w:p w14:paraId="28D845A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ומבואר ברש"י (ורוב הראשונים) דכו"ע מודו דלא ילפי' איסור מטומאה. וע"ע בסמוך.</w:t>
      </w:r>
    </w:p>
  </w:footnote>
  <w:footnote w:id="6756">
    <w:p w14:paraId="0BF47F9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וציינו דכ"מ ב</w:t>
      </w:r>
      <w:r w:rsidRPr="00D65870">
        <w:rPr>
          <w:rFonts w:ascii="Narkisim" w:hAnsi="Narkisim"/>
          <w:b/>
          <w:bCs/>
          <w:rtl/>
        </w:rPr>
        <w:t>רש"י</w:t>
      </w:r>
      <w:r w:rsidRPr="00D65870">
        <w:rPr>
          <w:rFonts w:ascii="Narkisim" w:hAnsi="Narkisim"/>
          <w:rtl/>
        </w:rPr>
        <w:t xml:space="preserve"> (ע"ז סח: גבי איסור וטומאת שרצים) דנחשב 'חידוש' אף היכא דאינו סותר דינים אחרים. ועוד הביאו ד</w:t>
      </w:r>
      <w:r w:rsidRPr="00D65870">
        <w:rPr>
          <w:rFonts w:ascii="Narkisim" w:hAnsi="Narkisim"/>
          <w:b/>
          <w:bCs/>
          <w:rtl/>
        </w:rPr>
        <w:t>רש"י</w:t>
      </w:r>
      <w:r w:rsidRPr="00D65870">
        <w:rPr>
          <w:rFonts w:ascii="Narkisim" w:hAnsi="Narkisim"/>
          <w:rtl/>
        </w:rPr>
        <w:t xml:space="preserve"> (מכות ד:) כת' דלא ילפי' ממון מקנס, דכל קנס הוה חידוש.</w:t>
      </w:r>
    </w:p>
  </w:footnote>
  <w:footnote w:id="6757">
    <w:p w14:paraId="3DD09E7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ולפ"ז אפשר דדוקא בטומאת 'הבא אל הבית' אמרי' דלא ילפי' איסור מטומאה. וצ"ע.</w:t>
      </w:r>
    </w:p>
  </w:footnote>
  <w:footnote w:id="6758">
    <w:p w14:paraId="075C6C2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(בכורות ז:) כת' כן לענין טהור שבלע טמא ועיכל. [ועוד הביאו האחרונים מהגמ' חולין מג:, וע"ע ש"ש א ].</w:t>
      </w:r>
    </w:p>
  </w:footnote>
  <w:footnote w:id="6759">
    <w:p w14:paraId="7FAD4EE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ראב"ן</w:t>
      </w:r>
      <w:r w:rsidRPr="00D65870">
        <w:rPr>
          <w:rFonts w:ascii="Narkisim" w:hAnsi="Narkisim"/>
          <w:rtl/>
        </w:rPr>
        <w:t xml:space="preserve"> (שו"ת בתחילת הספר י) כת' דנח' בסוגיין אי ילפי' איסור מטומאה. [ועוד הביא כמה סוגיות דילפי' איסור מטומאה, וחלק על תוס' בכורות הנ"ל].</w:t>
      </w:r>
    </w:p>
  </w:footnote>
  <w:footnote w:id="6760">
    <w:p w14:paraId="36BA06F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ומש"ה לענין כאן נמצא כאן היה ילפי' איסור מטומאה. ויסוד זה כת' ב</w:t>
      </w:r>
      <w:r w:rsidRPr="00D65870">
        <w:rPr>
          <w:rFonts w:ascii="Narkisim" w:hAnsi="Narkisim"/>
          <w:b/>
          <w:bCs/>
          <w:rtl/>
        </w:rPr>
        <w:t>ס' תורם האשם</w:t>
      </w:r>
      <w:r w:rsidRPr="00D65870">
        <w:rPr>
          <w:rFonts w:ascii="Narkisim" w:hAnsi="Narkisim"/>
          <w:rtl/>
        </w:rPr>
        <w:t xml:space="preserve"> (נז טו), וע"ע יד מלאכי (כללי התלמוד מח).</w:t>
      </w:r>
    </w:p>
  </w:footnote>
  <w:footnote w:id="6761">
    <w:p w14:paraId="19A9C0A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(עירובין שם) הק' דלחי צריך שיעור בגובה, וגם רוחב משהו. ותי' דכיון דהוה שיעורא זוטא לא החמירו בזה.</w:t>
      </w:r>
    </w:p>
  </w:footnote>
  <w:footnote w:id="6762">
    <w:p w14:paraId="2050330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וע"ע </w:t>
      </w:r>
      <w:r w:rsidRPr="00D65870">
        <w:rPr>
          <w:rFonts w:ascii="Narkisim" w:hAnsi="Narkisim"/>
          <w:b/>
          <w:bCs/>
          <w:rtl/>
        </w:rPr>
        <w:t>חי' המאירי</w:t>
      </w:r>
      <w:r w:rsidRPr="00D65870">
        <w:rPr>
          <w:rFonts w:ascii="Narkisim" w:hAnsi="Narkisim"/>
          <w:rtl/>
        </w:rPr>
        <w:t xml:space="preserve"> (עירובין יד:) שהביא </w:t>
      </w:r>
      <w:r w:rsidRPr="00D65870">
        <w:rPr>
          <w:rFonts w:ascii="Narkisim" w:hAnsi="Narkisim"/>
          <w:b/>
          <w:bCs/>
          <w:rtl/>
        </w:rPr>
        <w:t>י"א</w:t>
      </w:r>
      <w:r w:rsidRPr="00D65870">
        <w:rPr>
          <w:rFonts w:ascii="Narkisim" w:hAnsi="Narkisim"/>
          <w:rtl/>
        </w:rPr>
        <w:t xml:space="preserve"> עפ"ז דמהני לסכך באיסור הנאה, ואף דמיכתת שיעוריה. דלא איכפ"ל שמופרד זמ"ז. [ואף דהסיכוך הוה גדר מחיצה]. וע"ע רבינו מנוח (סוכה ה כה).</w:t>
      </w:r>
    </w:p>
  </w:footnote>
  <w:footnote w:id="6763">
    <w:p w14:paraId="3FC2C9D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ביאר [סברת הרמב"ם שם] דלחי ל"צ שיעור גובה י' בעצם המחיצה, אלא דבעי שהרשות [בגובה י'] תהא מוקפת מחיצה. ואף דהלחי מיכתת ועצם המחיצה אינו מחזיק י', מ"מ המקום עד גובה י' יש לו מחיצה [למ"ד דלחי משום מחיצה].</w:t>
      </w:r>
    </w:p>
  </w:footnote>
  <w:footnote w:id="6764">
    <w:p w14:paraId="2EC63AB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כס"מ</w:t>
      </w:r>
      <w:r w:rsidRPr="00D65870">
        <w:rPr>
          <w:rFonts w:ascii="Narkisim" w:hAnsi="Narkisim"/>
          <w:rtl/>
        </w:rPr>
        <w:t xml:space="preserve"> (לולב ח א בתי' הא') כת' דכ"ד הרמב"ם, ונדחק דמש"כ הרמב"ם דאע"פ שאסור בהנאה לא קאי אשל ע"ז, אלא על מוחלט ומוסגר.</w:t>
      </w:r>
    </w:p>
  </w:footnote>
  <w:footnote w:id="6765">
    <w:p w14:paraId="05C635E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כת' תוס' דאינו שלו [ומש"ה לכתחילה לא תנשא].</w:t>
      </w:r>
    </w:p>
  </w:footnote>
  <w:footnote w:id="6766">
    <w:p w14:paraId="200E88B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ומבואר דאף חליצה נחשב מצווה. וע"ע מש"כ בתחילת הפרק.</w:t>
      </w:r>
    </w:p>
  </w:footnote>
  <w:footnote w:id="6767">
    <w:p w14:paraId="68A02F0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חי' הגר"ח</w:t>
      </w:r>
      <w:r w:rsidRPr="00D65870">
        <w:rPr>
          <w:rFonts w:ascii="Narkisim" w:hAnsi="Narkisim"/>
          <w:rtl/>
        </w:rPr>
        <w:t xml:space="preserve"> (החדש) הביא לדון מצד אחר, דסנדל האסור בהנאה נחשב שאינו יכול להלך בו, דכיון דאסור בהנאה אינו יכול להלך בו, ומה נפק"מ לן אם הסנדלר לא עשה הסנדל לפי מדתו או שאינו יכול להלך בו מטעם אחר. וצ"ב א"כ יפסול אף בדיעבד. ולזה ל"מ הא דמצוות לאו ליהנות ניתנו, דהא אינו ראוי להילוך שאינו של מצווה [ולחליצה גופה ל"צ הילוך].</w:t>
      </w:r>
    </w:p>
    <w:p w14:paraId="6439B347" w14:textId="77777777" w:rsidR="006C4368" w:rsidRPr="00D65870" w:rsidRDefault="006C4368" w:rsidP="006C4368">
      <w:pPr>
        <w:pStyle w:val="Footnote"/>
        <w:bidi/>
        <w:rPr>
          <w:rFonts w:ascii="Narkisim" w:hAnsi="Narkisim"/>
        </w:rPr>
      </w:pPr>
      <w:r w:rsidRPr="00D65870">
        <w:rPr>
          <w:rFonts w:ascii="Narkisim" w:hAnsi="Narkisim"/>
          <w:rtl/>
        </w:rPr>
        <w:tab/>
        <w:t>ו</w:t>
      </w:r>
      <w:r w:rsidRPr="00D65870">
        <w:rPr>
          <w:rFonts w:ascii="Narkisim" w:hAnsi="Narkisim"/>
          <w:b/>
          <w:bCs/>
          <w:rtl/>
        </w:rPr>
        <w:t>רש"י</w:t>
      </w:r>
      <w:r w:rsidRPr="00D65870">
        <w:rPr>
          <w:rFonts w:ascii="Narkisim" w:hAnsi="Narkisim"/>
          <w:rtl/>
        </w:rPr>
        <w:t xml:space="preserve"> כת' להדיא דלהילוכא עביד. ואפשר דכוונתו דכיון דעומד להתבטל, ועי"ז להילוכא עביד. [אבל בסדר דברי רש"י משמע דתקנת ביטול קאי דוקא אהא דלשריפה קאי].</w:t>
      </w:r>
    </w:p>
  </w:footnote>
  <w:footnote w:id="6768">
    <w:p w14:paraId="149F956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חי' חמד"ש</w:t>
      </w:r>
      <w:r w:rsidRPr="00D65870">
        <w:rPr>
          <w:rFonts w:ascii="Narkisim" w:hAnsi="Narkisim"/>
          <w:rtl/>
        </w:rPr>
        <w:t xml:space="preserve"> (כאן) דחה דשופר עיקרו מצווה, ומש"ה אמרי' דל"מ. אבל חליצה עיקרו היתר, ואף היכא דלא קיים מצווה מותרת. וכמו יבם קטן.</w:t>
      </w:r>
    </w:p>
  </w:footnote>
  <w:footnote w:id="6769">
    <w:p w14:paraId="4933EF8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וכמ"ש </w:t>
      </w:r>
      <w:r w:rsidRPr="00D65870">
        <w:rPr>
          <w:rFonts w:ascii="Narkisim" w:hAnsi="Narkisim"/>
          <w:b/>
          <w:bCs/>
          <w:rtl/>
        </w:rPr>
        <w:t>תוס'</w:t>
      </w:r>
      <w:r w:rsidRPr="00D65870">
        <w:rPr>
          <w:rFonts w:ascii="Narkisim" w:hAnsi="Narkisim"/>
          <w:rtl/>
        </w:rPr>
        <w:t xml:space="preserve"> (סוכה ט.), וע"ע </w:t>
      </w:r>
      <w:r w:rsidRPr="00D65870">
        <w:rPr>
          <w:rFonts w:ascii="Narkisim" w:hAnsi="Narkisim"/>
          <w:b/>
          <w:bCs/>
          <w:rtl/>
        </w:rPr>
        <w:t>תוס'</w:t>
      </w:r>
      <w:r w:rsidRPr="00D65870">
        <w:rPr>
          <w:rFonts w:ascii="Narkisim" w:hAnsi="Narkisim"/>
          <w:rtl/>
        </w:rPr>
        <w:t xml:space="preserve"> (שם לא.). ואכמ"ל.</w:t>
      </w:r>
    </w:p>
  </w:footnote>
  <w:footnote w:id="6770">
    <w:p w14:paraId="6879F19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דה</w:t>
      </w:r>
      <w:r w:rsidRPr="00D65870">
        <w:rPr>
          <w:rFonts w:ascii="Narkisim" w:hAnsi="Narkisim"/>
          <w:b/>
          <w:bCs/>
          <w:rtl/>
        </w:rPr>
        <w:t>ריטב"א</w:t>
      </w:r>
      <w:r w:rsidRPr="00D65870">
        <w:rPr>
          <w:rFonts w:ascii="Narkisim" w:hAnsi="Narkisim"/>
          <w:rtl/>
        </w:rPr>
        <w:t xml:space="preserve"> הק' אמאי לא יצא, ומה לי אי עבד ביה איסורא אי לא. ותי' דאיכא משום מצווה הבאה בעבירה. ועוד תי' שאם לא יצא לא עביד איסורא מוטב הוא לומר שלא יצא. [וכדברי הרמב"ן בסוגיין].</w:t>
      </w:r>
    </w:p>
  </w:footnote>
  <w:footnote w:id="6771">
    <w:p w14:paraId="2935903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אך </w:t>
      </w:r>
      <w:r w:rsidRPr="00D65870">
        <w:rPr>
          <w:rFonts w:ascii="Narkisim" w:hAnsi="Narkisim"/>
          <w:b/>
          <w:bCs/>
          <w:rtl/>
        </w:rPr>
        <w:t>אחרונים</w:t>
      </w:r>
      <w:r w:rsidRPr="00D65870">
        <w:rPr>
          <w:rFonts w:ascii="Narkisim" w:hAnsi="Narkisim"/>
          <w:rtl/>
        </w:rPr>
        <w:t xml:space="preserve"> (ע' שו"ת רע"א ק' קכט, קובה"ע עד ב) שדנו דרב הונא ס"ל כרבא דאי עבד לא מהני. ודנו דאף רבא קאי דוקא באופן שיתוקן האיסור. ואכמ"ל.</w:t>
      </w:r>
    </w:p>
  </w:footnote>
  <w:footnote w:id="6772">
    <w:p w14:paraId="06E9379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וה"נ הכשר החליצה אינו בתולדה מקיום המצוה, אלא אדרבא קיום המצוה הוא בזה שעשה חליצה כשירה. וכן הבא על יבמתו נדה, דתוס' (לעיל ב. בחד תי') כת' דבעלו קנו.</w:t>
      </w:r>
    </w:p>
  </w:footnote>
  <w:footnote w:id="6773">
    <w:p w14:paraId="3C07420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 ב"ח, חלק"מ, פר"ח ותור"ג (קכד א).</w:t>
      </w:r>
    </w:p>
  </w:footnote>
  <w:footnote w:id="6774">
    <w:p w14:paraId="7D7CBEA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חלקו דגט הוה 'מתיר' ולא מצווה.</w:t>
      </w:r>
    </w:p>
  </w:footnote>
  <w:footnote w:id="6775">
    <w:p w14:paraId="35AB5B7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וצ"ל דיפרשו דגבי שופר הוה משום מצווה הבאה בעבירה, ובגט ל"ש בא בעבירה. א"נ דוקא בגוף קיום המצווה אמרי' דלא חל, ועי"ז ינוצל מהאיסור. אבל חלות הגירושין לא תלי בקיום המצווה, ומש"ה אמרי' דחל. [אמנם בגמ' תמורה מבואר דשייך אי עבד ל"מ אף בחלות קנין שאינו מגוף המצווה].</w:t>
      </w:r>
    </w:p>
  </w:footnote>
  <w:footnote w:id="6776">
    <w:p w14:paraId="09E0F10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פלתי</w:t>
      </w:r>
      <w:r w:rsidRPr="00D65870">
        <w:rPr>
          <w:rFonts w:ascii="Narkisim" w:hAnsi="Narkisim"/>
          <w:rtl/>
        </w:rPr>
        <w:t xml:space="preserve"> (י ג) העלה צד דהשוחט מסוכנת בסכין ע"ז דאמרי' דמצוות לאו ליהנות, ואף שחיטה הוה מצווה, דכתיב וזבחת, ומברכים על השחיטה. [וצ"ע מהגמ' חולין והפוסקים].</w:t>
      </w:r>
    </w:p>
    <w:p w14:paraId="158B3246" w14:textId="77777777" w:rsidR="006C4368" w:rsidRPr="00D65870" w:rsidRDefault="006C4368" w:rsidP="006C4368">
      <w:pPr>
        <w:pStyle w:val="Footnote"/>
        <w:bidi/>
        <w:rPr>
          <w:rFonts w:ascii="Narkisim" w:hAnsi="Narkisim"/>
        </w:rPr>
      </w:pPr>
      <w:r w:rsidRPr="00D65870">
        <w:rPr>
          <w:rFonts w:ascii="Narkisim" w:hAnsi="Narkisim"/>
          <w:rtl/>
        </w:rPr>
        <w:tab/>
        <w:t>ו</w:t>
      </w:r>
      <w:r w:rsidRPr="00D65870">
        <w:rPr>
          <w:rFonts w:ascii="Narkisim" w:hAnsi="Narkisim"/>
          <w:b/>
          <w:bCs/>
          <w:rtl/>
        </w:rPr>
        <w:t>רע"א</w:t>
      </w:r>
      <w:r w:rsidRPr="00D65870">
        <w:rPr>
          <w:rFonts w:ascii="Narkisim" w:hAnsi="Narkisim"/>
          <w:rtl/>
        </w:rPr>
        <w:t xml:space="preserve"> (בשו"ע שם) דחה דשוחטין עבור דבר הרשות, ומבואר בגמ' (עירובין לא.) דהמניח עירוב תחומין במקום האסור בהנאה, למ"ד דאין מערבין אלא לדבר מצווה, ומצוות לאו ליהנות ניתנו קנה עירובו. ואילו למ"ד מערבין לדבר הרשות, וכן למ"ד מצוות ליהנות ניתנו ל"ק העירוב. ולא אמרי' דגוף העירוב הוה מצווה [ודעת ה</w:t>
      </w:r>
      <w:r w:rsidRPr="00D65870">
        <w:rPr>
          <w:rFonts w:ascii="Narkisim" w:hAnsi="Narkisim"/>
          <w:b/>
          <w:bCs/>
          <w:rtl/>
        </w:rPr>
        <w:t>רמב"ם</w:t>
      </w:r>
      <w:r w:rsidRPr="00D65870">
        <w:rPr>
          <w:rFonts w:ascii="Narkisim" w:hAnsi="Narkisim"/>
          <w:rtl/>
        </w:rPr>
        <w:t xml:space="preserve"> (עירובין ו כד) דמברכין עליו]. וה"נ שחיטה הוה לצורך דבר מצווה.</w:t>
      </w:r>
    </w:p>
  </w:footnote>
  <w:footnote w:id="6777">
    <w:p w14:paraId="181458A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חי' חמד"ש</w:t>
      </w:r>
      <w:r w:rsidRPr="00D65870">
        <w:rPr>
          <w:rFonts w:ascii="Narkisim" w:hAnsi="Narkisim"/>
          <w:rtl/>
        </w:rPr>
        <w:t xml:space="preserve"> (כאן) כת' דאי עבד ל"מ הוה דוקא במידי דבעי כוונה, דבגדר דל"מ דאמרי' דכוונתו כמאן דליתא. עי"ש שהאריך.</w:t>
      </w:r>
    </w:p>
  </w:footnote>
  <w:footnote w:id="6778">
    <w:p w14:paraId="5F9A0BD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והאבה"א כת' דאין לומר דעיקר כוונת הרמב"ן דאף הנישואין שלבסוף הוי מצווה. דהא הרמב"ן לא הזכיר זה כלל.</w:t>
      </w:r>
    </w:p>
  </w:footnote>
  <w:footnote w:id="6779">
    <w:p w14:paraId="33C4CC5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משמע דהוה כלל באיסור הנאה, דסילוק איסור לא נחשב הנאה. ועוד אפשר דדוקא הכא דכלפי גוף המעשה אמרי' דהוה מצווה ולאו ליהנות ניתנו, ואף ההיתר לאחר זמן הוה רק סילוק איסור.</w:t>
      </w:r>
    </w:p>
    <w:p w14:paraId="1FDEDC0D"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אבה"א</w:t>
      </w:r>
      <w:r w:rsidRPr="00D65870">
        <w:rPr>
          <w:rFonts w:ascii="Narkisim" w:hAnsi="Narkisim"/>
          <w:rtl/>
        </w:rPr>
        <w:t xml:space="preserve"> (ד כד בהשמט') הק' על הרמב"ן, דבגמ' (עירובין לא.) אי' דלמ"ד מערבין לדבר הרשות ל"מ להניח עירוב במקום האסור בהנאה, כיון שנהנה. וכיון דהוה לדבר הרשות לא אמרי' מצות לאו ליהנות ניתנו. ואף דלא מעכבא ביה אלא איסור, שאסור לילך בלא ערוב. ואפ"ה אסור כיון דגורם לו לדבר הרשות. והביא דעד"ז הביא </w:t>
      </w:r>
      <w:r w:rsidRPr="00D65870">
        <w:rPr>
          <w:rFonts w:ascii="Narkisim" w:hAnsi="Narkisim"/>
          <w:b/>
          <w:bCs/>
          <w:rtl/>
        </w:rPr>
        <w:t>רע"א</w:t>
      </w:r>
      <w:r w:rsidRPr="00D65870">
        <w:rPr>
          <w:rFonts w:ascii="Narkisim" w:hAnsi="Narkisim"/>
          <w:rtl/>
        </w:rPr>
        <w:t xml:space="preserve"> (בשו"ע י) מהתם לענין שחיטה [ודלא כפלתי י ג הנ"ל].</w:t>
      </w:r>
    </w:p>
    <w:p w14:paraId="43ACA109" w14:textId="77777777" w:rsidR="006C4368" w:rsidRPr="00D65870" w:rsidRDefault="006C4368" w:rsidP="006C4368">
      <w:pPr>
        <w:pStyle w:val="Footnote"/>
        <w:bidi/>
        <w:rPr>
          <w:rFonts w:ascii="Narkisim" w:hAnsi="Narkisim"/>
        </w:rPr>
      </w:pPr>
      <w:r w:rsidRPr="00D65870">
        <w:rPr>
          <w:rFonts w:ascii="Narkisim" w:hAnsi="Narkisim"/>
          <w:rtl/>
        </w:rPr>
        <w:tab/>
        <w:t>אך הביא עוד דאף טבילה אמרי' דלאו ליהנות, ואף דמשמע ברמב"ם דהוה מכשיר, ולא מצווה.</w:t>
      </w:r>
    </w:p>
  </w:footnote>
  <w:footnote w:id="6780">
    <w:p w14:paraId="50AAA69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ריטב"א</w:t>
      </w:r>
      <w:r w:rsidRPr="00D65870">
        <w:rPr>
          <w:rFonts w:ascii="Narkisim" w:hAnsi="Narkisim"/>
          <w:rtl/>
        </w:rPr>
        <w:t xml:space="preserve"> (ר"ה וסוכה לא:) ביאר עד"ז הא דאמרי' מצוות לאו ליהנות ניתנו, ואף דאיכא שכר מצוות. וביאר דהנאה ההיא אינה עם עשיית המצוה ממש, שיהנה הוא בעשייתה בשעת עשייה, אלא שהמעשה גורם לו טובה. והא לא חשיבא הנאה באיסורי הנאה אלא כשההנאה מגוף הדבר האסור. וכדאמרי' המודר הנאה ממעיין טובל בו בימות הגשמים שאינו נהנה מגוף המים, ואף שגורם לו הנאה לענין טומאה וטהרה. וכן גבי חליצה. [והרמב"ן יתרץ דאף הנאת טהרה הוה הנאה מחמת דין, ומש"ה נחשב הנאת מצווה ולא הנאת ממון].</w:t>
      </w:r>
    </w:p>
  </w:footnote>
  <w:footnote w:id="6781">
    <w:p w14:paraId="3DC5E44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אבה"א</w:t>
      </w:r>
      <w:r w:rsidRPr="00D65870">
        <w:rPr>
          <w:rFonts w:ascii="Narkisim" w:hAnsi="Narkisim"/>
          <w:rtl/>
        </w:rPr>
        <w:t xml:space="preserve"> כת' (בשם התלמידים) דאף לדברי החכ"צ דהיכא דאינה רוצה לנשא אי"צ לחלוץ, מ"מ היכא שהיבמה תובעת הוה מצווה.</w:t>
      </w:r>
    </w:p>
  </w:footnote>
  <w:footnote w:id="6782">
    <w:p w14:paraId="6BD2F6B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דאינה חייבת במצווה זו. ועוד דנו דכמה </w:t>
      </w:r>
      <w:r w:rsidRPr="00D65870">
        <w:rPr>
          <w:rFonts w:ascii="Narkisim" w:hAnsi="Narkisim"/>
          <w:b/>
          <w:bCs/>
          <w:rtl/>
        </w:rPr>
        <w:t>ראשונים</w:t>
      </w:r>
      <w:r w:rsidRPr="00D65870">
        <w:rPr>
          <w:rFonts w:ascii="Narkisim" w:hAnsi="Narkisim"/>
          <w:rtl/>
        </w:rPr>
        <w:t xml:space="preserve"> (הו' לעיל קא.) משמע דמצוות יבום וחליצה הוה על היבם ולא על היבמה.</w:t>
      </w:r>
    </w:p>
  </w:footnote>
  <w:footnote w:id="6783">
    <w:p w14:paraId="1750C26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וכן </w:t>
      </w:r>
      <w:r w:rsidRPr="00D65870">
        <w:rPr>
          <w:rFonts w:ascii="Narkisim" w:hAnsi="Narkisim"/>
          <w:b/>
          <w:bCs/>
          <w:rtl/>
        </w:rPr>
        <w:t>תוס'</w:t>
      </w:r>
      <w:r w:rsidRPr="00D65870">
        <w:rPr>
          <w:rFonts w:ascii="Narkisim" w:hAnsi="Narkisim"/>
          <w:rtl/>
        </w:rPr>
        <w:t xml:space="preserve"> (ב"ב קכט:) הביאו מהגמ' (תמורה כח:), ודלא כ</w:t>
      </w:r>
      <w:r w:rsidRPr="00D65870">
        <w:rPr>
          <w:rFonts w:ascii="Narkisim" w:hAnsi="Narkisim"/>
          <w:b/>
          <w:bCs/>
          <w:rtl/>
        </w:rPr>
        <w:t>רשב"ם</w:t>
      </w:r>
      <w:r w:rsidRPr="00D65870">
        <w:rPr>
          <w:rFonts w:ascii="Narkisim" w:hAnsi="Narkisim"/>
          <w:rtl/>
        </w:rPr>
        <w:t xml:space="preserve"> שם. אך ה</w:t>
      </w:r>
      <w:r w:rsidRPr="00D65870">
        <w:rPr>
          <w:rFonts w:ascii="Narkisim" w:hAnsi="Narkisim"/>
          <w:b/>
          <w:bCs/>
          <w:rtl/>
        </w:rPr>
        <w:t>רמב"ן</w:t>
      </w:r>
      <w:r w:rsidRPr="00D65870">
        <w:rPr>
          <w:rFonts w:ascii="Narkisim" w:hAnsi="Narkisim"/>
          <w:rtl/>
        </w:rPr>
        <w:t xml:space="preserve"> (ב"ב שם) ביאר את הגמ' (שם באופ"א).</w:t>
      </w:r>
    </w:p>
  </w:footnote>
  <w:footnote w:id="6784">
    <w:p w14:paraId="103E81C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בי"ש</w:t>
      </w:r>
      <w:r w:rsidRPr="00D65870">
        <w:rPr>
          <w:rFonts w:ascii="Narkisim" w:hAnsi="Narkisim"/>
          <w:rtl/>
        </w:rPr>
        <w:t xml:space="preserve"> (קסט כג) כת' דצריך לדחוק דאף כוונת רש"י שהקריב ומסרו את הבהמה לע"ז, וקאי על הבהמה ולא על המנעל.</w:t>
      </w:r>
    </w:p>
    <w:p w14:paraId="49053DAE"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ר"ש מדסוי</w:t>
      </w:r>
      <w:r w:rsidRPr="00D65870">
        <w:rPr>
          <w:rFonts w:ascii="Narkisim" w:hAnsi="Narkisim"/>
          <w:rtl/>
        </w:rPr>
        <w:t xml:space="preserve"> ציין דב</w:t>
      </w:r>
      <w:r w:rsidRPr="00D65870">
        <w:rPr>
          <w:rFonts w:ascii="Narkisim" w:hAnsi="Narkisim"/>
          <w:b/>
          <w:bCs/>
          <w:rtl/>
        </w:rPr>
        <w:t>שו"ע</w:t>
      </w:r>
      <w:r w:rsidRPr="00D65870">
        <w:rPr>
          <w:rFonts w:ascii="Narkisim" w:hAnsi="Narkisim"/>
          <w:rtl/>
        </w:rPr>
        <w:t xml:space="preserve"> (יו"ד קלט ג) אי' דכל שכיוצא בו קרב ע"ג מזבח נאסר מיד. [וה"נ איירי שהביא את גוף הבהמה לע"ז].</w:t>
      </w:r>
    </w:p>
  </w:footnote>
  <w:footnote w:id="6785">
    <w:p w14:paraId="691C114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 יונה</w:t>
      </w:r>
      <w:r w:rsidRPr="00D65870">
        <w:rPr>
          <w:rFonts w:ascii="Narkisim" w:hAnsi="Narkisim"/>
          <w:rtl/>
        </w:rPr>
        <w:t xml:space="preserve"> (הו' בשעה"מ לולב ח א בשם המאירי כת"י [אינה לפנינו] בשם רבו ר' יונה) דכל דבר שנמצא לפנים ממקום עבודתו אסור, אפי' ליכא זריקה המשתברת. וכ"פ ה</w:t>
      </w:r>
      <w:r w:rsidRPr="00D65870">
        <w:rPr>
          <w:rFonts w:ascii="Narkisim" w:hAnsi="Narkisim"/>
          <w:b/>
          <w:bCs/>
          <w:rtl/>
        </w:rPr>
        <w:t>רמב"ם</w:t>
      </w:r>
      <w:r w:rsidRPr="00D65870">
        <w:rPr>
          <w:rFonts w:ascii="Narkisim" w:hAnsi="Narkisim"/>
          <w:rtl/>
        </w:rPr>
        <w:t xml:space="preserve"> (ע"ז ז טז). [ע' ע"ז נא, ואכמ"ל].</w:t>
      </w:r>
    </w:p>
  </w:footnote>
  <w:footnote w:id="6786">
    <w:p w14:paraId="74CECAA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ה</w:t>
      </w:r>
      <w:r w:rsidRPr="00D65870">
        <w:rPr>
          <w:rFonts w:ascii="Narkisim" w:hAnsi="Narkisim"/>
          <w:b/>
          <w:bCs/>
          <w:rtl/>
        </w:rPr>
        <w:t>ר"ן</w:t>
      </w:r>
      <w:r w:rsidRPr="00D65870">
        <w:rPr>
          <w:rFonts w:ascii="Narkisim" w:hAnsi="Narkisim"/>
          <w:rtl/>
        </w:rPr>
        <w:t xml:space="preserve"> (סוכה יד. בדה"ר). וה</w:t>
      </w:r>
      <w:r w:rsidRPr="00D65870">
        <w:rPr>
          <w:rFonts w:ascii="Narkisim" w:hAnsi="Narkisim"/>
          <w:b/>
          <w:bCs/>
          <w:rtl/>
        </w:rPr>
        <w:t>רמב"ן</w:t>
      </w:r>
      <w:r w:rsidRPr="00D65870">
        <w:rPr>
          <w:rFonts w:ascii="Narkisim" w:hAnsi="Narkisim"/>
          <w:rtl/>
        </w:rPr>
        <w:t xml:space="preserve"> (הל' לולב). </w:t>
      </w:r>
      <w:r w:rsidRPr="00D65870">
        <w:rPr>
          <w:rFonts w:ascii="Narkisim" w:hAnsi="Narkisim"/>
          <w:rtl/>
        </w:rPr>
        <w:tab/>
      </w:r>
    </w:p>
  </w:footnote>
  <w:footnote w:id="6787">
    <w:p w14:paraId="3C41FD1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כת' באיסו"ה דטעון גניזה, ויל"ד באיסור הנאה דאין דין קבורה, אלא דאסור להנות. ולכאורה מש"כ תוס' גניזה לאו דוקא.</w:t>
      </w:r>
    </w:p>
  </w:footnote>
  <w:footnote w:id="6788">
    <w:p w14:paraId="4A96C4F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הביאו כמה מח' דבי"ש ובי"ה (שם) דעומד ליגבות כגבוי בכתובה, ומח' רשב"ג ורבנן בעומד ליגזז (גיטין לט.), ודברי ר' שמעון דעומד ליזרק, והא דבע"ח אינו גובה פירות דעומדים ליקצר. ותוס' דחו דלא תלי בהדדי. עי"ש.</w:t>
      </w:r>
    </w:p>
  </w:footnote>
  <w:footnote w:id="6789">
    <w:p w14:paraId="150E929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ריטב"א</w:t>
      </w:r>
      <w:r w:rsidRPr="00D65870">
        <w:rPr>
          <w:rFonts w:ascii="Narkisim" w:hAnsi="Narkisim"/>
          <w:rtl/>
        </w:rPr>
        <w:t xml:space="preserve"> (שם כט: בסו"ד) כתב דכל העומד העומד לישרף, וכר' שמעון (מנחות קב: ועוד). ודבריו צ"ב, דלא קי"ל כר' שמעון, ולא מסתבר דהא דאי' בכל הנך סוגיות דמיכתת שיעוריה הוה דוקא לר' שמעון. [וכן בתו"ד הריטב"א באותו סוגיה הזכיר כמה פעמים דעומד לישרף, ורק בפעם האחרונה הוסיף כר' שמעון]. {ואולי צריך לידחק דכוונתו ע"ד סברת ר' שמעון}.</w:t>
      </w:r>
    </w:p>
  </w:footnote>
  <w:footnote w:id="6790">
    <w:p w14:paraId="6B199AE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(סוטה) הק' האיך כלאי הכרם מטמא טומאת אוכלין בכביצה, הא ליכא 'שיעור'.</w:t>
      </w:r>
    </w:p>
  </w:footnote>
  <w:footnote w:id="6791">
    <w:p w14:paraId="505905D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ומבואר מדבריהם דגדר 'מיכתת' הוה בכל איסור הנאה. ואילו גדר עומד לישרף הוה דוקא בעומדים לשריפה.</w:t>
      </w:r>
    </w:p>
  </w:footnote>
  <w:footnote w:id="6792">
    <w:p w14:paraId="02419BE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ועד"ז אף סנדל חליצה לדברי הכס"מ (הנ"ל). [ויל"ד לדברי רש"י האם אמרי' סברת גלי קרא דקרי נעל כנגד סברת עומד לישרף].</w:t>
      </w:r>
    </w:p>
  </w:footnote>
  <w:footnote w:id="6793">
    <w:p w14:paraId="2A072A3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נו"כ</w:t>
      </w:r>
      <w:r w:rsidRPr="00D65870">
        <w:rPr>
          <w:rFonts w:ascii="Narkisim" w:hAnsi="Narkisim"/>
          <w:rtl/>
        </w:rPr>
        <w:t xml:space="preserve"> (חלק"מ, פר"ח, גר"א שם) תמהו דלא קי"ל כר' שמעון, א"כ אמאי הביאו הרמ"א. [והגר"א הגיה כן בדברי הר"ן דקאי אליבא דר' שמעון, וכ"ה בריטב"א שם לפנינו].</w:t>
      </w:r>
    </w:p>
    <w:p w14:paraId="6FEA4688" w14:textId="77777777" w:rsidR="006C4368" w:rsidRPr="00D65870" w:rsidRDefault="006C4368" w:rsidP="006C4368">
      <w:pPr>
        <w:pStyle w:val="Footnote"/>
        <w:bidi/>
        <w:rPr>
          <w:rFonts w:ascii="Narkisim" w:hAnsi="Narkisim"/>
        </w:rPr>
      </w:pPr>
      <w:r w:rsidRPr="00D65870">
        <w:rPr>
          <w:rFonts w:ascii="Narkisim" w:hAnsi="Narkisim"/>
          <w:rtl/>
        </w:rPr>
        <w:tab/>
        <w:t>ומשמע דהרמ"א נקט דכוונת הר"ן דאף רבנן מודו בעומד לישרף דכמאן דליתנהו, אף במידי דל"צ שיעור. [ואליבא דרבנן יש ב' גדרים במיכתת שיעוריה, ודוקא במידי דאין לו דין שריפה תלי אי צריך שיעור]. וצע"ג מנ"ל.</w:t>
      </w:r>
    </w:p>
  </w:footnote>
  <w:footnote w:id="6794">
    <w:p w14:paraId="09A0D11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 xml:space="preserve">רשב"א </w:t>
      </w:r>
      <w:r w:rsidRPr="00D65870">
        <w:rPr>
          <w:rFonts w:ascii="Narkisim" w:hAnsi="Narkisim"/>
          <w:rtl/>
        </w:rPr>
        <w:t>כת' דהא דאי' דלכו"ע לא מקשינן, היינו תנא דמתני' (שם), ולעולם איכא ר' מאיר דס"ל דהוקש.</w:t>
      </w:r>
    </w:p>
  </w:footnote>
  <w:footnote w:id="6795">
    <w:p w14:paraId="7982E2D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ועד"ז אי' בגמ' (לקמן קכב:) דנח' אי צריך דרישה וחקירה בעד א' במיתת הבעל, דלר' טרפון צריך, דשרינן אשת איש וכנפשות דמי. ור' עקיבא ס"ל דל"צ דרישה וחקירה, כיון דנוטלת כתובתה הוה כדיני ממונות. אך הקובה"ע תמה דהתם הוה טעמים בתקנ"ח [וע' רמב"ן שם], ואילו הכא בפשוטו הוה מדאורייתא.</w:t>
      </w:r>
    </w:p>
  </w:footnote>
  <w:footnote w:id="6796">
    <w:p w14:paraId="2D44E00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ומבואר דאף בלילה יש עליהם שם בי"ד ו'דיינים', והוה גזיה"כ דוקא בריבים ומשפטים שיהיו ביום. אבל שאר מעשה בי"ד כשר בלילה, ואף חליצה לולי הכתובה היה כשר בלילה.</w:t>
      </w:r>
    </w:p>
    <w:p w14:paraId="4653D7BE" w14:textId="77777777" w:rsidR="006C4368" w:rsidRPr="00D65870" w:rsidRDefault="006C4368" w:rsidP="006C4368">
      <w:pPr>
        <w:pStyle w:val="Footnote"/>
        <w:bidi/>
        <w:rPr>
          <w:rFonts w:ascii="Narkisim" w:hAnsi="Narkisim"/>
        </w:rPr>
      </w:pPr>
      <w:r w:rsidRPr="00D65870">
        <w:rPr>
          <w:rFonts w:ascii="Narkisim" w:hAnsi="Narkisim"/>
          <w:rtl/>
        </w:rPr>
        <w:tab/>
        <w:t>ועוד העירו (קר"א) דבחליצה סגי בבי"ד הדיוטות (ע' לעיל קא.), ואף דפסולים לדין ממונות. [אך יל"ד אמרי' לא אמרי' דצריך שיהיו ראויין לדיני ממונות כיון דאיכא כתובה למישקל].</w:t>
      </w:r>
    </w:p>
  </w:footnote>
  <w:footnote w:id="6797">
    <w:p w14:paraId="1988746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במקו"א [גט, חופה וכו'] דלא ילפי' דצריך דיינים, ל"מ סברא זו להחשב דיני ממונות.</w:t>
      </w:r>
    </w:p>
  </w:footnote>
  <w:footnote w:id="6798">
    <w:p w14:paraId="22E59DB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תוס' מהר"ם ור"פ</w:t>
      </w:r>
      <w:r w:rsidRPr="00D65870">
        <w:rPr>
          <w:rFonts w:ascii="Narkisim" w:hAnsi="Narkisim"/>
          <w:rtl/>
        </w:rPr>
        <w:t xml:space="preserve"> (לעיל קא.) הביא פי' דצריך בי"ד לחליצה [דאי' התם דאין בי"ד שקול], דחליצה הוי כבי"ד, דעל ידי כך מתחייבין היורשין כתובה. ודחה דהא אחר חליצה צריך בית דין להגבות לה כתובה. [אלא דילפי' 'זקני', ע' לעיל שם].</w:t>
      </w:r>
    </w:p>
    <w:p w14:paraId="5DDFF4E1" w14:textId="77777777" w:rsidR="006C4368" w:rsidRPr="00D65870" w:rsidRDefault="006C4368" w:rsidP="006C4368">
      <w:pPr>
        <w:pStyle w:val="Footnote"/>
        <w:bidi/>
        <w:rPr>
          <w:rFonts w:ascii="Narkisim" w:hAnsi="Narkisim"/>
        </w:rPr>
      </w:pPr>
      <w:r w:rsidRPr="00D65870">
        <w:rPr>
          <w:rFonts w:ascii="Narkisim" w:hAnsi="Narkisim"/>
          <w:rtl/>
        </w:rPr>
        <w:tab/>
        <w:t>{אך לשונו בפי' זה דעצם החליצה הוה כמו בי"ד, משום דע"י החליצה גובין הכתובה. ולא רק דגביית הכתובה צריך בית דין}.</w:t>
      </w:r>
    </w:p>
  </w:footnote>
  <w:footnote w:id="6799">
    <w:p w14:paraId="73C24A8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נוב"י</w:t>
      </w:r>
      <w:r w:rsidRPr="00D65870">
        <w:rPr>
          <w:rFonts w:ascii="Narkisim" w:hAnsi="Narkisim"/>
          <w:rtl/>
        </w:rPr>
        <w:t xml:space="preserve"> (ת' קיד) תי' דמ"מ שאר חיובים וזכויות האישות הוה מדאורייתא.</w:t>
      </w:r>
    </w:p>
  </w:footnote>
  <w:footnote w:id="6800">
    <w:p w14:paraId="7FB31C3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מרומי שדה</w:t>
      </w:r>
      <w:r w:rsidRPr="00D65870">
        <w:rPr>
          <w:rFonts w:ascii="Narkisim" w:hAnsi="Narkisim"/>
          <w:rtl/>
        </w:rPr>
        <w:t xml:space="preserve"> (לעיל קא.) הק' א"כ האיך מהני חופה בלילה.</w:t>
      </w:r>
    </w:p>
  </w:footnote>
  <w:footnote w:id="6801">
    <w:p w14:paraId="154EB39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והאו"ז הביא בשם </w:t>
      </w:r>
      <w:r w:rsidRPr="00D65870">
        <w:rPr>
          <w:rFonts w:ascii="Narkisim" w:hAnsi="Narkisim"/>
          <w:b/>
          <w:bCs/>
          <w:rtl/>
        </w:rPr>
        <w:t>ריב"ן</w:t>
      </w:r>
      <w:r w:rsidRPr="00D65870">
        <w:rPr>
          <w:rFonts w:ascii="Narkisim" w:hAnsi="Narkisim"/>
          <w:rtl/>
        </w:rPr>
        <w:t xml:space="preserve"> דחליצה הוה תחילת דין, דמתחלת תביעת הכתובה. וכת' דלפ"ז אף בגט שייך גביית הכתובה. וכדתנן (כתובות פט.) הוציאה גט ואין עמה כתובה. [וצ"ב דנהי דהוה 'כתיבת שטר' לגביית כתובה, אין כאן 'דין' על הכתובה כלל]. ועוד כת' דלא תלי בכתובה (הו' בסמוך).</w:t>
      </w:r>
    </w:p>
  </w:footnote>
  <w:footnote w:id="6802">
    <w:p w14:paraId="074D601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רמ"א</w:t>
      </w:r>
      <w:r w:rsidRPr="00D65870">
        <w:rPr>
          <w:rFonts w:ascii="Narkisim" w:hAnsi="Narkisim"/>
          <w:rtl/>
        </w:rPr>
        <w:t xml:space="preserve"> (קכג ה) כת' דאין לגרש בלילה. וה</w:t>
      </w:r>
      <w:r w:rsidRPr="00D65870">
        <w:rPr>
          <w:rFonts w:ascii="Narkisim" w:hAnsi="Narkisim"/>
          <w:b/>
          <w:bCs/>
          <w:rtl/>
        </w:rPr>
        <w:t>שו"ע</w:t>
      </w:r>
      <w:r w:rsidRPr="00D65870">
        <w:rPr>
          <w:rFonts w:ascii="Narkisim" w:hAnsi="Narkisim"/>
          <w:rtl/>
        </w:rPr>
        <w:t xml:space="preserve"> (סדר הגט פח,פט) הביא </w:t>
      </w:r>
      <w:r w:rsidRPr="00D65870">
        <w:rPr>
          <w:rFonts w:ascii="Narkisim" w:hAnsi="Narkisim"/>
          <w:b/>
          <w:bCs/>
          <w:rtl/>
        </w:rPr>
        <w:t>י"א</w:t>
      </w:r>
      <w:r w:rsidRPr="00D65870">
        <w:rPr>
          <w:rFonts w:ascii="Narkisim" w:hAnsi="Narkisim"/>
          <w:rtl/>
        </w:rPr>
        <w:t xml:space="preserve"> דל"מ גט בלילה, ובשעת הדחק יכול ליתן אף בלילה ממש. וה</w:t>
      </w:r>
      <w:r w:rsidRPr="00D65870">
        <w:rPr>
          <w:rFonts w:ascii="Narkisim" w:hAnsi="Narkisim"/>
          <w:b/>
          <w:bCs/>
          <w:rtl/>
        </w:rPr>
        <w:t>תה"ד</w:t>
      </w:r>
      <w:r w:rsidRPr="00D65870">
        <w:rPr>
          <w:rFonts w:ascii="Narkisim" w:hAnsi="Narkisim"/>
          <w:rtl/>
        </w:rPr>
        <w:t xml:space="preserve"> (א רמח) הביא דיש שפסלו גט שנתן אחר שהתפללו הקהל מעריב אף בעוד היום גדול.</w:t>
      </w:r>
    </w:p>
    <w:p w14:paraId="3E6BDB7F"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רמ"א</w:t>
      </w:r>
      <w:r w:rsidRPr="00D65870">
        <w:rPr>
          <w:rFonts w:ascii="Narkisim" w:hAnsi="Narkisim"/>
          <w:rtl/>
        </w:rPr>
        <w:t xml:space="preserve"> (קמב ה) כת' דשליח המביא גט, דצריך למסור בפני ג' לבפני נכתב, לכתחילה יתן ביום ולא בלילה. אבל ב</w:t>
      </w:r>
      <w:r w:rsidRPr="00D65870">
        <w:rPr>
          <w:rFonts w:ascii="Narkisim" w:hAnsi="Narkisim"/>
          <w:b/>
          <w:bCs/>
          <w:rtl/>
        </w:rPr>
        <w:t>הג' מרדכי</w:t>
      </w:r>
      <w:r w:rsidRPr="00D65870">
        <w:rPr>
          <w:rFonts w:ascii="Narkisim" w:hAnsi="Narkisim"/>
          <w:rtl/>
        </w:rPr>
        <w:t xml:space="preserve"> (גיטין תסז בשם רש"י) כת' דרשאי ליתן בלילה, ואף דל"מ קיום שטרות בלילה, הכא הוה סוף דינא. [וגמר דין בלילה]. [והאו"ז כת' דנראה דדוקא נתינת גט צריך יום, אבל קיום שטרות דגט מהני בלילה].</w:t>
      </w:r>
    </w:p>
  </w:footnote>
  <w:footnote w:id="6803">
    <w:p w14:paraId="4AD0771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ונקט דהוה כעין גט דאורייתא. אבל ה</w:t>
      </w:r>
      <w:r w:rsidRPr="00D65870">
        <w:rPr>
          <w:rFonts w:ascii="Narkisim" w:hAnsi="Narkisim"/>
          <w:b/>
          <w:bCs/>
          <w:rtl/>
        </w:rPr>
        <w:t>אחרונים</w:t>
      </w:r>
      <w:r w:rsidRPr="00D65870">
        <w:rPr>
          <w:rFonts w:ascii="Narkisim" w:hAnsi="Narkisim"/>
          <w:rtl/>
        </w:rPr>
        <w:t xml:space="preserve"> דחו דכוונת רש"י דמיאון תקנו כעין חליצה דאורייתא. [ולכאורה נפק"מ דסגי בג' הדיוטות, אף שאין יודעים הלכות מיאון כלל. וע"ע לקמן קז:].</w:t>
      </w:r>
    </w:p>
  </w:footnote>
  <w:footnote w:id="6804">
    <w:p w14:paraId="3A76ADE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ודוקא כשצריך בפני נכתב אי' (גיטין ה:) דצריך ליתן בפני ג', להיות בי"ד לקבלת עדותם. ועוד הביא הנוב"י מכמה סוגיות דל"צ בי"ד. [ובגמ' (ב"ב קעד: וערכין כג.) אי' אטו כל דמגרש בבי דינא מגרש. אבל ב</w:t>
      </w:r>
      <w:r w:rsidRPr="00D65870">
        <w:rPr>
          <w:rFonts w:ascii="Narkisim" w:hAnsi="Narkisim"/>
          <w:b/>
          <w:bCs/>
          <w:rtl/>
        </w:rPr>
        <w:t>פי' רגמ"ה</w:t>
      </w:r>
      <w:r w:rsidRPr="00D65870">
        <w:rPr>
          <w:rFonts w:ascii="Narkisim" w:hAnsi="Narkisim"/>
          <w:rtl/>
        </w:rPr>
        <w:t xml:space="preserve"> (ב"ב שם) גרס אטו בבי"ד רבה מגרש, ופי' דשמא בבי"ד הדיוטות שאינם יודעים דין זה. וכ"כ רגמ"ה (ערכין כג.) אפי' בפני ג' הדיוטות יכול לגרש. ומבואר דצריך עכ"פ בי"ד ג'].</w:t>
      </w:r>
    </w:p>
    <w:p w14:paraId="75F9BE32" w14:textId="77777777" w:rsidR="006C4368" w:rsidRPr="00D65870" w:rsidRDefault="006C4368" w:rsidP="006C4368">
      <w:pPr>
        <w:pStyle w:val="Footnote"/>
        <w:bidi/>
        <w:rPr>
          <w:rFonts w:ascii="Narkisim" w:hAnsi="Narkisim"/>
        </w:rPr>
      </w:pPr>
      <w:r w:rsidRPr="00D65870">
        <w:rPr>
          <w:rFonts w:ascii="Narkisim" w:hAnsi="Narkisim"/>
          <w:rtl/>
        </w:rPr>
        <w:tab/>
        <w:t>וכבר עמד בזה ה</w:t>
      </w:r>
      <w:r w:rsidRPr="00D65870">
        <w:rPr>
          <w:rFonts w:ascii="Narkisim" w:hAnsi="Narkisim"/>
          <w:b/>
          <w:bCs/>
          <w:rtl/>
        </w:rPr>
        <w:t>או"ז</w:t>
      </w:r>
      <w:r w:rsidRPr="00D65870">
        <w:rPr>
          <w:rFonts w:ascii="Narkisim" w:hAnsi="Narkisim"/>
          <w:rtl/>
        </w:rPr>
        <w:t xml:space="preserve"> (שם) דא"כ לבעי ג' בנתינת גט, ולא אשכחן דהוזכרו תלתא אלא במביא גט ממדה"י. ואמאי, הואיל ונתינת גט משפט כתיב ביה לבעי תלתא. ותי' דקי"ל דמדאורייתא סגי בדיין א', וכשמואל דהוה בי"ד חצוף. [וצ"ע לשאר אמוראים, וכ"ד הרמב"ם דצריך ג' דיינים לממון מדאורייתא].</w:t>
      </w:r>
    </w:p>
  </w:footnote>
  <w:footnote w:id="6805">
    <w:p w14:paraId="0902711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דהבעל פטור מפרקונה ומפסיד פירותיה וכו'. [ואפשר דכוונתו דעיקר הגט נחשב הפסקת קנין האישות, ומצד עצמו יחשב גדר דין ממון. ולא רק משום הנפק"מ העולים]. וה</w:t>
      </w:r>
      <w:r w:rsidRPr="00D65870">
        <w:rPr>
          <w:rFonts w:ascii="Narkisim" w:hAnsi="Narkisim"/>
          <w:b/>
          <w:bCs/>
          <w:rtl/>
        </w:rPr>
        <w:t>מרומי שדה</w:t>
      </w:r>
      <w:r w:rsidRPr="00D65870">
        <w:rPr>
          <w:rFonts w:ascii="Narkisim" w:hAnsi="Narkisim"/>
          <w:rtl/>
        </w:rPr>
        <w:t xml:space="preserve"> הק' דאף ארוסה אינה רשאית למכור נכסי מלוג שלה. ועוד דגוף האירוסין נקרא קנין האיש.</w:t>
      </w:r>
    </w:p>
  </w:footnote>
  <w:footnote w:id="6806">
    <w:p w14:paraId="3DBA1D3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יל"ד בזה, דהנוב"י כת' דקאי אף משום שאר קניני האישות. ואילו שומרת יבם אינה מחוסרת מסירה לחופה, וי"ל דעדיפא משאר ארוסה לענין זה}.</w:t>
      </w:r>
    </w:p>
  </w:footnote>
  <w:footnote w:id="6807">
    <w:p w14:paraId="27FF528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פתח"ת</w:t>
      </w:r>
      <w:r w:rsidRPr="00D65870">
        <w:rPr>
          <w:rFonts w:ascii="Narkisim" w:hAnsi="Narkisim"/>
          <w:rtl/>
        </w:rPr>
        <w:t xml:space="preserve"> הביא דהישוע"י כת' דאף מהאירוסין פסול, דלא פלוג חכמים בתקנתם.</w:t>
      </w:r>
    </w:p>
  </w:footnote>
  <w:footnote w:id="6808">
    <w:p w14:paraId="090D911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הג' מרדכי</w:t>
      </w:r>
      <w:r w:rsidRPr="00D65870">
        <w:rPr>
          <w:rFonts w:ascii="Narkisim" w:hAnsi="Narkisim"/>
          <w:rtl/>
        </w:rPr>
        <w:t xml:space="preserve"> (קיט) הביא כן בשם </w:t>
      </w:r>
      <w:r w:rsidRPr="00D65870">
        <w:rPr>
          <w:rFonts w:ascii="Narkisim" w:hAnsi="Narkisim"/>
          <w:b/>
          <w:bCs/>
          <w:rtl/>
        </w:rPr>
        <w:t>רש"י</w:t>
      </w:r>
      <w:r w:rsidRPr="00D65870">
        <w:rPr>
          <w:rFonts w:ascii="Narkisim" w:hAnsi="Narkisim"/>
          <w:rtl/>
        </w:rPr>
        <w:t xml:space="preserve"> (כאן). וסיים דיש ללמוד מזה דין גדול, ודו"ק. [ויש שפי' כוונתו ללמוד לענין גט בלילה, וכאו"ז הנ"ל].</w:t>
      </w:r>
    </w:p>
  </w:footnote>
  <w:footnote w:id="6809">
    <w:p w14:paraId="68849C0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וכת' שאני אומר דהא דפליגי לענין חליצה לאו מטעם כתובה.</w:t>
      </w:r>
    </w:p>
  </w:footnote>
  <w:footnote w:id="6810">
    <w:p w14:paraId="42620BD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ועפ"ז כת' דאפי' למ"ד חליצה כגמר הדין מודה דנתינת הגט הוה תחילת דין. דמכי יהיב לה גיטא פקעה לה כל האיסור, ואין שייך בהו תחילה וסוף. ולד"ה כתחילת הדין. הלכך נתן לה גיטא בלילה לאו כלום הוא ולא מיגרשא אפי' נתן לה מידו לידה.</w:t>
      </w:r>
    </w:p>
  </w:footnote>
  <w:footnote w:id="6811">
    <w:p w14:paraId="466BF38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[והאתוו"ד לא ציין לדברי האו"ז, אך לכאורה כוונתו להעתיקו כמעט כלשונו. ונשמט הציון למקור הדברים].</w:t>
      </w:r>
    </w:p>
  </w:footnote>
  <w:footnote w:id="6812">
    <w:p w14:paraId="366AF23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ותוס' כת' דהרבה דברים יש בירושלמי שצריך להפכם. וה</w:t>
      </w:r>
      <w:r w:rsidRPr="00D65870">
        <w:rPr>
          <w:rFonts w:ascii="Narkisim" w:hAnsi="Narkisim"/>
          <w:b/>
          <w:bCs/>
          <w:rtl/>
        </w:rPr>
        <w:t>או"ז</w:t>
      </w:r>
      <w:r w:rsidRPr="00D65870">
        <w:rPr>
          <w:rFonts w:ascii="Narkisim" w:hAnsi="Narkisim"/>
          <w:rtl/>
        </w:rPr>
        <w:t xml:space="preserve"> (עגונה תרצה) כת' קבלתי ממורי </w:t>
      </w:r>
      <w:r w:rsidRPr="00D65870">
        <w:rPr>
          <w:rFonts w:ascii="Narkisim" w:hAnsi="Narkisim"/>
          <w:b/>
          <w:bCs/>
          <w:rtl/>
        </w:rPr>
        <w:t>ר' יהודה ב"ר יצחק שירליאון</w:t>
      </w:r>
      <w:r w:rsidRPr="00D65870">
        <w:rPr>
          <w:rFonts w:ascii="Narkisim" w:hAnsi="Narkisim"/>
          <w:rtl/>
        </w:rPr>
        <w:t xml:space="preserve"> שאין להקפיד אם הירושלמי מחליף אמוראים או תנאים מגמ' דידן, מקולא לחומרא או מחומרא לקולא. ולא סמכינן בהא אלא אתלמוד דידן, ומחלפינן סוגיית ירושלמי בתר סוגיית גמרא דידן ולא בעינן לשנויי בהו אלא אגמרא דידן סמכינן. [וע"ע שו"ת רשב"א מיוחסות צו, וראב"ד מעש"ש א י].</w:t>
      </w:r>
    </w:p>
  </w:footnote>
  <w:footnote w:id="6813">
    <w:p w14:paraId="3FD9FB5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 מהא דל"מ ראיית דיינים בלילה לדון ע"פ (ב"ב קיד.), ואף בדיעבד אינם יכולים לדון ע"פ.</w:t>
      </w:r>
    </w:p>
  </w:footnote>
  <w:footnote w:id="6814">
    <w:p w14:paraId="288C4BF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תוס' נקטו דקו' הגמ' דלא מסתבר דבא לרבות בדיעבד. אבל ה</w:t>
      </w:r>
      <w:r w:rsidRPr="00D65870">
        <w:rPr>
          <w:rFonts w:ascii="Narkisim" w:hAnsi="Narkisim"/>
          <w:b/>
          <w:bCs/>
          <w:rtl/>
        </w:rPr>
        <w:t>פנ"מ</w:t>
      </w:r>
      <w:r w:rsidRPr="00D65870">
        <w:rPr>
          <w:rFonts w:ascii="Narkisim" w:hAnsi="Narkisim"/>
          <w:rtl/>
        </w:rPr>
        <w:t xml:space="preserve"> (שם) פי' [לגירסת הירושלמי] האיך נלמד קרא אגמר דין, ולא אעיקר תחילת הדין. וע"ע מש"כ הרידב"ז באופ"א.</w:t>
      </w:r>
    </w:p>
  </w:footnote>
  <w:footnote w:id="6815">
    <w:p w14:paraId="294C0DC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הגירסא לפנינו אמר הא אמירה, וה</w:t>
      </w:r>
      <w:r w:rsidRPr="00D65870">
        <w:rPr>
          <w:rFonts w:ascii="Narkisim" w:hAnsi="Narkisim"/>
          <w:b/>
          <w:bCs/>
          <w:rtl/>
        </w:rPr>
        <w:t>קה"ע</w:t>
      </w:r>
      <w:r w:rsidRPr="00D65870">
        <w:rPr>
          <w:rFonts w:ascii="Narkisim" w:hAnsi="Narkisim"/>
          <w:rtl/>
        </w:rPr>
        <w:t xml:space="preserve"> פי' דמאן דהו אמר דבר זה ראוי לאומרו.</w:t>
      </w:r>
    </w:p>
  </w:footnote>
  <w:footnote w:id="6816">
    <w:p w14:paraId="65B8DE6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ובשלמא לגירסא להיפך בירושלמי (כלפנינו) חידשו דמהני דין בלילה בדיעבד, ואפשר דנסתפקו בדין זה.</w:t>
      </w:r>
    </w:p>
  </w:footnote>
  <w:footnote w:id="6817">
    <w:p w14:paraId="0039438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אבל </w:t>
      </w:r>
      <w:r w:rsidRPr="00D65870">
        <w:rPr>
          <w:rFonts w:ascii="Narkisim" w:hAnsi="Narkisim"/>
          <w:b/>
          <w:bCs/>
          <w:rtl/>
        </w:rPr>
        <w:t>ראב"ן</w:t>
      </w:r>
      <w:r w:rsidRPr="00D65870">
        <w:rPr>
          <w:rFonts w:ascii="Narkisim" w:hAnsi="Narkisim"/>
          <w:rtl/>
        </w:rPr>
        <w:t xml:space="preserve"> כת' דמהני לילה בדיעבד. [ול"מ בדבריו אי מהני מוק ומנעל של עץ].</w:t>
      </w:r>
    </w:p>
  </w:footnote>
  <w:footnote w:id="6818">
    <w:p w14:paraId="2FE1572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ויש שפי' דר' ישמעאל בר"י הביא דברי ר' ישמעאל בן אלישע כמתמיה, ומבואר דפליג בכולהו.</w:t>
      </w:r>
    </w:p>
  </w:footnote>
  <w:footnote w:id="6819">
    <w:p w14:paraId="72D978B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וכת' שהוא בנו של ר' גמליאל הזקן, שהלל גמליאל ושמעון נהגו נשיאותם ק' שנה לפני הבית (וכדאי' שבת טו.). והוא אביו דר"ג דיבנה [אלא דבשעה שנהרג רשב"ג רבן גמליאל היה קטן, ור' יוחנן בן זכאי נהג נשיאות בשעת החורבן].</w:t>
      </w:r>
    </w:p>
    <w:p w14:paraId="1BF7FA64" w14:textId="77777777" w:rsidR="006C4368" w:rsidRPr="00D65870" w:rsidRDefault="006C4368" w:rsidP="006C4368">
      <w:pPr>
        <w:pStyle w:val="Footnote"/>
        <w:bidi/>
        <w:rPr>
          <w:rFonts w:ascii="Narkisim" w:hAnsi="Narkisim"/>
        </w:rPr>
      </w:pPr>
      <w:r w:rsidRPr="00D65870">
        <w:rPr>
          <w:rFonts w:ascii="Narkisim" w:hAnsi="Narkisim"/>
          <w:rtl/>
        </w:rPr>
        <w:tab/>
        <w:t>דאין לומר דרשב"ג אביו של רבי הוא מהרוגי מלכות, דאי' שבשעה שנהרג ר"ע אמר לתלמידי להכין לפורענות. ורשב"ג אבי רבי היה בסוף התנאים, ור"ע לא חי אחריו.</w:t>
      </w:r>
    </w:p>
  </w:footnote>
  <w:footnote w:id="6820">
    <w:p w14:paraId="134D8AF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ב</w:t>
      </w:r>
      <w:r w:rsidRPr="00D65870">
        <w:rPr>
          <w:rFonts w:ascii="Narkisim" w:hAnsi="Narkisim"/>
          <w:b/>
          <w:bCs/>
          <w:rtl/>
        </w:rPr>
        <w:t>ר' נסים גאון</w:t>
      </w:r>
      <w:r w:rsidRPr="00D65870">
        <w:rPr>
          <w:rFonts w:ascii="Narkisim" w:hAnsi="Narkisim"/>
          <w:rtl/>
        </w:rPr>
        <w:t xml:space="preserve"> (ברכות שם) כת' דאותו תינוק הוא ר' ישמעאל ב"א שהוא מי' הרוגי מלכות.</w:t>
      </w:r>
    </w:p>
  </w:footnote>
  <w:footnote w:id="6821">
    <w:p w14:paraId="20D83DB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ודייק דלא קראו כה"ג. והוא היה תלמיד של ר' יהושע, וכמו ר"ע.</w:t>
      </w:r>
    </w:p>
  </w:footnote>
  <w:footnote w:id="6822">
    <w:p w14:paraId="22C5044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מרדכי</w:t>
      </w:r>
      <w:r w:rsidRPr="00D65870">
        <w:rPr>
          <w:rFonts w:ascii="Narkisim" w:hAnsi="Narkisim"/>
          <w:rtl/>
        </w:rPr>
        <w:t xml:space="preserve"> (נז) כת' דאף יבמה אטרת, תעשה בימין דידה. והו' ב</w:t>
      </w:r>
      <w:r w:rsidRPr="00D65870">
        <w:rPr>
          <w:rFonts w:ascii="Narkisim" w:hAnsi="Narkisim"/>
          <w:b/>
          <w:bCs/>
          <w:rtl/>
        </w:rPr>
        <w:t>רמ"א</w:t>
      </w:r>
      <w:r w:rsidRPr="00D65870">
        <w:rPr>
          <w:rFonts w:ascii="Narkisim" w:hAnsi="Narkisim"/>
          <w:rtl/>
        </w:rPr>
        <w:t xml:space="preserve"> (קסט כד). [ולכאורה אף בזה שייך ג' דעות אלו, אלא דהוה רק לענין לכתחילה, ומש"ה לא החמירו].</w:t>
      </w:r>
    </w:p>
  </w:footnote>
  <w:footnote w:id="6823">
    <w:p w14:paraId="7B41ED5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שורש הדבר במצורע איטר, ואף התם שייך כל הצדדים האלו.</w:t>
      </w:r>
    </w:p>
  </w:footnote>
  <w:footnote w:id="6824">
    <w:p w14:paraId="2B3BCCE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סמ"ג</w:t>
      </w:r>
      <w:r w:rsidRPr="00D65870">
        <w:rPr>
          <w:rFonts w:ascii="Narkisim" w:hAnsi="Narkisim"/>
          <w:rtl/>
        </w:rPr>
        <w:t xml:space="preserve"> (בשם מורי) ביאר דאפי' הוא איטר חשוב כימין, מאחר שהתורה הצריכה בפירוש ימין. תדע שהרי לומדין אזן אזן לרציעה בימין, אף דבאזן לא שייך לחלק, שהרי אין כח בזו יותר מבזו. [ע"כ ד'שם ימין' לא נקבע לפי הכח].</w:t>
      </w:r>
    </w:p>
  </w:footnote>
  <w:footnote w:id="6825">
    <w:p w14:paraId="30304B6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(חולין צב: ורשב"א וריטב"א שם) הביא דנחלקו בזה רבים מחכמי הצרפתים, דיש אומרים חולץ בשמאלו שהוא ימינו דבתר דידיה אזלינן כתפילין, וי"א דשאני תפילין דכתיב בהו ידכה יד כהה, אבל בעלמא ספיקא הוי, הילכך חולץ בשתיהן. וי"א דאין לו ימין כלל, ושמא אינו חולץ כלל [והביא דגבי עבודה מבואר דאין לו ימין כלל].</w:t>
      </w:r>
    </w:p>
  </w:footnote>
  <w:footnote w:id="6826">
    <w:p w14:paraId="47C8881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ודעת ה</w:t>
      </w:r>
      <w:r w:rsidRPr="00D65870">
        <w:rPr>
          <w:rFonts w:ascii="Narkisim" w:hAnsi="Narkisim"/>
          <w:b/>
          <w:bCs/>
          <w:rtl/>
        </w:rPr>
        <w:t>סמ"ג</w:t>
      </w:r>
      <w:r w:rsidRPr="00D65870">
        <w:rPr>
          <w:rFonts w:ascii="Narkisim" w:hAnsi="Narkisim"/>
          <w:rtl/>
        </w:rPr>
        <w:t xml:space="preserve"> דחולץ בימין של כל אדם. וי"א בשניהם, נעל ימין בימינו, ונעל שמאל בשמאלו. וי"א (המרדכי נז) בימין שלו, שהוא שמאל של כל העולם, והטור כת' דהכי מסתבר.</w:t>
      </w:r>
    </w:p>
  </w:footnote>
  <w:footnote w:id="6827">
    <w:p w14:paraId="731937D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(חולין שם) הביא מכאן לספק הגמ' (שם) בעוף שיש לו גיד הנשה שהוא עגיל, או בהמה דלא עגיל. האם בתריה אזלי', או בתר מיניה. והק' תפשוט מאיטר בתפילין דאזלי' בתר דידיה. ודחה דהתם גזיה"כ דיד כהה. ובהמשך דבריו מבואר דנפק"מ לחליצה, האם אזלי' בתר דידיה [בלא גזיה"כ דיד כהה].</w:t>
      </w:r>
    </w:p>
  </w:footnote>
  <w:footnote w:id="6828">
    <w:p w14:paraId="297F0A8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דחה דהתם 'ידכה' כתיב ודרשי' יד כהה, ואטר יד כהה שלו זו היא ימינו של כל אדם.</w:t>
      </w:r>
    </w:p>
  </w:footnote>
  <w:footnote w:id="6829">
    <w:p w14:paraId="09C34FC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וכיון דאין לו ימין אף לחליצה פסול, שהרי עבודה וחליצה ממצורע למדנו יד יד לקמיצה רגל רגל לחליצה. [וגדר 'ימין' תלי בתרתי, שיהא הכח שלו וגם שיהא ימין דעלמא. והיכא דחסר א' מהם לא מקרי ימין. והוה כמי שאין לו יד].</w:t>
      </w:r>
    </w:p>
  </w:footnote>
  <w:footnote w:id="6830">
    <w:p w14:paraId="24D87FB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וכדאי' בגמ' (שם) לרבי בשולט בב' ידיו. וחכמים ס"ל דשולט בב' ידיו לא הוה כחישות אלא בריותא, אבל איטר הוה כחישותא.</w:t>
      </w:r>
    </w:p>
  </w:footnote>
  <w:footnote w:id="6831">
    <w:p w14:paraId="20A8D4C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ודחה דאי הוה משום מום וכחישותא, א"כ הו"ל למתני במשנה דבכורות דאיטר פסול לדברי הכל. אלא ש"מ דהך ברייתא לאו משום מום פסל, אלא שאין לו ימין. דהא לית ליה כחישותא ובריותא טפי משאר אינשי. הילכך גבי חליצה נמי לא חליץ, וצ"ע.</w:t>
      </w:r>
    </w:p>
  </w:footnote>
  <w:footnote w:id="6832">
    <w:p w14:paraId="07F7470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ב"ח</w:t>
      </w:r>
      <w:r w:rsidRPr="00D65870">
        <w:rPr>
          <w:rFonts w:ascii="Narkisim" w:hAnsi="Narkisim"/>
          <w:rtl/>
        </w:rPr>
        <w:t xml:space="preserve"> לא כתב איזה להקדים [ומשמע דמה שירצה יעשה]. וה</w:t>
      </w:r>
      <w:r w:rsidRPr="00D65870">
        <w:rPr>
          <w:rFonts w:ascii="Narkisim" w:hAnsi="Narkisim"/>
          <w:b/>
          <w:bCs/>
          <w:rtl/>
        </w:rPr>
        <w:t>פתח"ת</w:t>
      </w:r>
      <w:r w:rsidRPr="00D65870">
        <w:rPr>
          <w:rFonts w:ascii="Narkisim" w:hAnsi="Narkisim"/>
          <w:rtl/>
        </w:rPr>
        <w:t xml:space="preserve"> הביא דב</w:t>
      </w:r>
      <w:r w:rsidRPr="00D65870">
        <w:rPr>
          <w:rFonts w:ascii="Narkisim" w:hAnsi="Narkisim"/>
          <w:b/>
          <w:bCs/>
          <w:rtl/>
        </w:rPr>
        <w:t>שו"ת מהר"ם לובלין</w:t>
      </w:r>
      <w:r w:rsidRPr="00D65870">
        <w:rPr>
          <w:rFonts w:ascii="Narkisim" w:hAnsi="Narkisim"/>
          <w:rtl/>
        </w:rPr>
        <w:t xml:space="preserve"> כת' לחלוץ תחילה הרגל הימין של כל אדם, ואח"כ השמאל שהיא ימין דידיה. דמסתבר לן טפי [דעת הסמ"ג] דאטר חולץ בימין של כל אדם. והביא דה</w:t>
      </w:r>
      <w:r w:rsidRPr="00D65870">
        <w:rPr>
          <w:rFonts w:ascii="Narkisim" w:hAnsi="Narkisim"/>
          <w:b/>
          <w:bCs/>
          <w:rtl/>
        </w:rPr>
        <w:t>גט מקושר</w:t>
      </w:r>
      <w:r w:rsidRPr="00D65870">
        <w:rPr>
          <w:rFonts w:ascii="Narkisim" w:hAnsi="Narkisim"/>
          <w:rtl/>
        </w:rPr>
        <w:t xml:space="preserve"> כת' דקודם ימין דידיה [דמסתבר טפי].</w:t>
      </w:r>
    </w:p>
  </w:footnote>
  <w:footnote w:id="6833">
    <w:p w14:paraId="346BEF7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נוב"י</w:t>
      </w:r>
      <w:r w:rsidRPr="00D65870">
        <w:rPr>
          <w:rFonts w:ascii="Narkisim" w:hAnsi="Narkisim"/>
          <w:rtl/>
        </w:rPr>
        <w:t xml:space="preserve"> (ת' קנה, הו' בפתח"ת שם) כת' דחולצת בזה אחר זה, ויתכוון שבזה שאינו נחשב ע"פ דת תורתינו להיות כשר לחליצה אינו מכוונת למצות חליצה כלל, רק כמתעסקת ופושטת מנעל מאיש נכרי. [ותולה את הכוונה בדבר זה, ועדיף מתנאי].</w:t>
      </w:r>
    </w:p>
    <w:p w14:paraId="2BCE9CF8"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נוב"י</w:t>
      </w:r>
      <w:r w:rsidRPr="00D65870">
        <w:rPr>
          <w:rFonts w:ascii="Narkisim" w:hAnsi="Narkisim"/>
          <w:rtl/>
        </w:rPr>
        <w:t xml:space="preserve"> כת' ועוד שעיקר הדין חליצה פסולה שתחזור על כל האחים אינו מוסכם, וגם דעת תוס' (לעיל כו:) דדוקא היכא שהפסול הוא מחמת חלישת הזיקה.</w:t>
      </w:r>
    </w:p>
  </w:footnote>
  <w:footnote w:id="6834">
    <w:p w14:paraId="3068AFC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גהש"ס</w:t>
      </w:r>
      <w:r w:rsidRPr="00D65870">
        <w:rPr>
          <w:rFonts w:ascii="Narkisim" w:hAnsi="Narkisim"/>
          <w:rtl/>
        </w:rPr>
        <w:t xml:space="preserve"> ציין דרש"י כאן הביא דילפי' ממצורע עני [וכדמשמע מנחות י], ואילו רש"י (לעיל ע:) כת' דילפי' ממתן שמן דמצורע עשיר.</w:t>
      </w:r>
    </w:p>
  </w:footnote>
  <w:footnote w:id="6835">
    <w:p w14:paraId="3B2C75C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אבל </w:t>
      </w:r>
      <w:r w:rsidRPr="00D65870">
        <w:rPr>
          <w:rFonts w:ascii="Narkisim" w:hAnsi="Narkisim"/>
          <w:b/>
          <w:bCs/>
          <w:rtl/>
        </w:rPr>
        <w:t>ראב"ן</w:t>
      </w:r>
      <w:r w:rsidRPr="00D65870">
        <w:rPr>
          <w:rFonts w:ascii="Narkisim" w:hAnsi="Narkisim"/>
          <w:rtl/>
        </w:rPr>
        <w:t xml:space="preserve"> כת' דמהני שמאל בדיעבד. [ויש לדחות דכוונתו מנעל של שמאל מהני בדיעבד, וכדאי' לעיל קג:].</w:t>
      </w:r>
    </w:p>
  </w:footnote>
  <w:footnote w:id="6836">
    <w:p w14:paraId="33AE4EB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דבגמ' (גיטין כה.) ר' אלעזר שמאל ולילה פסולה ופוסלת. ומבואר דנקט ברישא בלילה כר"א [וכדלעיל]. ובסיפא דשמאל כרבנן.</w:t>
      </w:r>
    </w:p>
  </w:footnote>
  <w:footnote w:id="6837">
    <w:p w14:paraId="410FC2D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והוכיח דר' יוחנן הפך את המשנה. והחת"ס חלק דר' יוחנן הפך את הברייתא.</w:t>
      </w:r>
    </w:p>
  </w:footnote>
  <w:footnote w:id="6838">
    <w:p w14:paraId="14B36B1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דדוקא מאביי ורבא ואילך קי"ל כבתראי. אבל אביי ורבא גופייהו הוה ספק.</w:t>
      </w:r>
    </w:p>
  </w:footnote>
  <w:footnote w:id="6839">
    <w:p w14:paraId="421FD37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רע"א</w:t>
      </w:r>
      <w:r w:rsidRPr="00D65870">
        <w:rPr>
          <w:rFonts w:ascii="Narkisim" w:hAnsi="Narkisim"/>
          <w:rtl/>
        </w:rPr>
        <w:t xml:space="preserve"> (שם) ציין דר' יהודה (סוטה לח.) דרש גבי ברכת כהנים 'כה' תברכו, עד שיאמר בלשון זה. ו</w:t>
      </w:r>
      <w:r w:rsidRPr="00D65870">
        <w:rPr>
          <w:rFonts w:ascii="Narkisim" w:hAnsi="Narkisim"/>
          <w:b/>
          <w:bCs/>
          <w:rtl/>
        </w:rPr>
        <w:t>תוס</w:t>
      </w:r>
      <w:r w:rsidRPr="00D65870">
        <w:rPr>
          <w:rFonts w:ascii="Narkisim" w:hAnsi="Narkisim"/>
          <w:rtl/>
        </w:rPr>
        <w:t>' (שם לח.) כת' דרבנן לא משמע להו עיכובא 'כה' אלא היכא דכתיב 'ככה'.</w:t>
      </w:r>
    </w:p>
  </w:footnote>
  <w:footnote w:id="6840">
    <w:p w14:paraId="59FFE64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כיון דר' יהודה לא דרש 'יעשה' [ולא מסתבר לתוס' דדוקא משום דגלי יתור דככה לאפוקי דל"צ מעשה].</w:t>
      </w:r>
    </w:p>
  </w:footnote>
  <w:footnote w:id="6841">
    <w:p w14:paraId="4932032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הביאו דר' יהודה (ר"ה ט:) ס"ל דמקרא נדרש לפניו ולא לאחריו.</w:t>
      </w:r>
    </w:p>
  </w:footnote>
  <w:footnote w:id="6842">
    <w:p w14:paraId="1EB0462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ולפ"ז לא תלי באח 'כשר', אלא במה שיש עצה בחליצה.</w:t>
      </w:r>
    </w:p>
  </w:footnote>
  <w:footnote w:id="6843">
    <w:p w14:paraId="6B7F8B6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וביאר דבחרש ודאי לא היו בי"ד עומדין ע"ג ללמדם להתכוון לחלוץ, כיון דל"מ חליצה זו דאינו ב'ואמר ואמרה'.</w:t>
      </w:r>
    </w:p>
  </w:footnote>
  <w:footnote w:id="6844">
    <w:p w14:paraId="17149ED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ועויל"פ [ע"פ דברי רע"א] דלמסקנא (לקמן קי:) בחרשת מעיקרא לא אמרי' כשם שכונסה ברמיזה כך מוציאה. ויל"פ דסברא זו מהני רק משום חסרון דעת, דבאישות דחרש סגי בדעת של חרש. והא דל"מ בחליצה משום דבעינן ראוי לאמירה. אך עכ"פ חליצת חרשת מעיקרא נחשב חליצה של בר דעת.</w:t>
      </w:r>
    </w:p>
  </w:footnote>
  <w:footnote w:id="6845">
    <w:p w14:paraId="0D1EEB5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רש"י</w:t>
      </w:r>
      <w:r w:rsidRPr="00D65870">
        <w:rPr>
          <w:rFonts w:ascii="Narkisim" w:hAnsi="Narkisim"/>
          <w:rtl/>
        </w:rPr>
        <w:t xml:space="preserve"> כת' כדאמרי' לקמן פרק בי"ש. ו</w:t>
      </w:r>
      <w:r w:rsidRPr="00D65870">
        <w:rPr>
          <w:rFonts w:ascii="Narkisim" w:hAnsi="Narkisim"/>
          <w:b/>
          <w:bCs/>
          <w:rtl/>
        </w:rPr>
        <w:t>רע"א</w:t>
      </w:r>
      <w:r w:rsidRPr="00D65870">
        <w:rPr>
          <w:rFonts w:ascii="Narkisim" w:hAnsi="Narkisim"/>
          <w:rtl/>
        </w:rPr>
        <w:t xml:space="preserve"> הק' מה נוסף לקמן יותר מאשר בסוגיין. וביאר דכוונת רש"י למסקנת הגמ' (קי:) דחרשת מעיקרא מהני חליצת חרש, דאמרי' כשם שכנס ברמיזה וכו'. וא"כ המשנה (כאן) דוקא בפקחת ונתחרשה [או קידושי אביה]. וא"כ אמאי תפסול על האחים.</w:t>
      </w:r>
    </w:p>
  </w:footnote>
  <w:footnote w:id="6846">
    <w:p w14:paraId="7637096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מהמשנה (נדה מט:) דכל הכשר לדון כשר להעיד, ומבואר דכל פסלות בעדים יש ג"כ בדיינים.</w:t>
      </w:r>
    </w:p>
    <w:p w14:paraId="38716381"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מהרח"ש</w:t>
      </w:r>
      <w:r w:rsidRPr="00D65870">
        <w:rPr>
          <w:rFonts w:ascii="Narkisim" w:hAnsi="Narkisim"/>
          <w:rtl/>
        </w:rPr>
        <w:t xml:space="preserve"> הביא דכ"כ ה</w:t>
      </w:r>
      <w:r w:rsidRPr="00D65870">
        <w:rPr>
          <w:rFonts w:ascii="Narkisim" w:hAnsi="Narkisim"/>
          <w:b/>
          <w:bCs/>
          <w:rtl/>
        </w:rPr>
        <w:t>מהרש"ך</w:t>
      </w:r>
      <w:r w:rsidRPr="00D65870">
        <w:rPr>
          <w:rFonts w:ascii="Narkisim" w:hAnsi="Narkisim"/>
          <w:rtl/>
        </w:rPr>
        <w:t xml:space="preserve"> (א סז). וה</w:t>
      </w:r>
      <w:r w:rsidRPr="00D65870">
        <w:rPr>
          <w:rFonts w:ascii="Narkisim" w:hAnsi="Narkisim"/>
          <w:b/>
          <w:bCs/>
          <w:rtl/>
        </w:rPr>
        <w:t>ברכ"י</w:t>
      </w:r>
      <w:r w:rsidRPr="00D65870">
        <w:rPr>
          <w:rFonts w:ascii="Narkisim" w:hAnsi="Narkisim"/>
          <w:rtl/>
        </w:rPr>
        <w:t xml:space="preserve"> (חו"מ ז לא) הביא דכ"כ ב</w:t>
      </w:r>
      <w:r w:rsidRPr="00D65870">
        <w:rPr>
          <w:rFonts w:ascii="Narkisim" w:hAnsi="Narkisim"/>
          <w:b/>
          <w:bCs/>
          <w:rtl/>
        </w:rPr>
        <w:t>שו"ת הרשב"א</w:t>
      </w:r>
      <w:r w:rsidRPr="00D65870">
        <w:rPr>
          <w:rFonts w:ascii="Narkisim" w:hAnsi="Narkisim"/>
          <w:rtl/>
        </w:rPr>
        <w:t xml:space="preserve"> (ו ו) דג' שדנו ונמצא א' פסול. לא אמרי' שיהא כב' שדנו ודיניהם דין בדיעבד. דכיון דנמצא א' קאו"פ עדותם בטילה. וע"ע שו"ת רי"ד (קד) וריב"ש (תיג).</w:t>
      </w:r>
    </w:p>
  </w:footnote>
  <w:footnote w:id="6847">
    <w:p w14:paraId="71031BA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דה</w:t>
      </w:r>
      <w:r w:rsidRPr="00D65870">
        <w:rPr>
          <w:rFonts w:ascii="Narkisim" w:hAnsi="Narkisim"/>
          <w:b/>
          <w:bCs/>
          <w:rtl/>
        </w:rPr>
        <w:t>רמב"ם</w:t>
      </w:r>
      <w:r w:rsidRPr="00D65870">
        <w:rPr>
          <w:rFonts w:ascii="Narkisim" w:hAnsi="Narkisim"/>
          <w:rtl/>
        </w:rPr>
        <w:t xml:space="preserve"> כת' דמונין האב עם הבן, ונושאין ונותנים ונמנין עמו. [ע"פ גירסתו בגמ' סנהדרין לו:]. וה</w:t>
      </w:r>
      <w:r w:rsidRPr="00D65870">
        <w:rPr>
          <w:rFonts w:ascii="Narkisim" w:hAnsi="Narkisim"/>
          <w:b/>
          <w:bCs/>
          <w:rtl/>
        </w:rPr>
        <w:t>ראב"ד</w:t>
      </w:r>
      <w:r w:rsidRPr="00D65870">
        <w:rPr>
          <w:rFonts w:ascii="Narkisim" w:hAnsi="Narkisim"/>
          <w:rtl/>
        </w:rPr>
        <w:t xml:space="preserve"> השיג דהגירסא [סנהדרין שם] דמונין להם א'. וכיון דאינו עולה מן החשבון הרי הוא כמי שאמר למיחזי אתיתי, שאינו פוסל בעדות וכן בדיינים.</w:t>
      </w:r>
    </w:p>
  </w:footnote>
  <w:footnote w:id="6848">
    <w:p w14:paraId="1F490D6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קה"י</w:t>
      </w:r>
      <w:r w:rsidRPr="00D65870">
        <w:rPr>
          <w:rFonts w:ascii="Narkisim" w:hAnsi="Narkisim"/>
          <w:rtl/>
        </w:rPr>
        <w:t xml:space="preserve"> (סנהדרין ב) ביאר כוונתו דב</w:t>
      </w:r>
      <w:r w:rsidRPr="00D65870">
        <w:rPr>
          <w:rFonts w:ascii="Narkisim" w:hAnsi="Narkisim"/>
          <w:b/>
          <w:bCs/>
          <w:rtl/>
        </w:rPr>
        <w:t>ירושלמי</w:t>
      </w:r>
      <w:r w:rsidRPr="00D65870">
        <w:rPr>
          <w:rFonts w:ascii="Narkisim" w:hAnsi="Narkisim"/>
          <w:rtl/>
        </w:rPr>
        <w:t xml:space="preserve"> (הו' ברי"ף סנהדרין כט: ח: בדה"ס) ילפי' שלא יהיו הדיינים קרובים זל"ז, אמרה תורה הרוג ע"פ דיינין הרוג ע"פ שני עדים מה העדים אין קרובין זה לזה, אף הדיינין אין קרובין זה לזה. מבואר דילפי' מפסולי עדות לפסול בדיינים [מדאורייתא].</w:t>
      </w:r>
    </w:p>
    <w:p w14:paraId="50939DDA" w14:textId="77777777" w:rsidR="006C4368" w:rsidRPr="00D65870" w:rsidRDefault="006C4368" w:rsidP="006C4368">
      <w:pPr>
        <w:pStyle w:val="Footnote"/>
        <w:bidi/>
        <w:rPr>
          <w:rFonts w:ascii="Narkisim" w:hAnsi="Narkisim"/>
        </w:rPr>
      </w:pPr>
      <w:r w:rsidRPr="00D65870">
        <w:rPr>
          <w:rFonts w:ascii="Narkisim" w:hAnsi="Narkisim"/>
          <w:rtl/>
        </w:rPr>
        <w:tab/>
        <w:t>אבל ה</w:t>
      </w:r>
      <w:r w:rsidRPr="00D65870">
        <w:rPr>
          <w:rFonts w:ascii="Narkisim" w:hAnsi="Narkisim"/>
          <w:b/>
          <w:bCs/>
          <w:rtl/>
        </w:rPr>
        <w:t>קובה"ע</w:t>
      </w:r>
      <w:r w:rsidRPr="00D65870">
        <w:rPr>
          <w:rFonts w:ascii="Narkisim" w:hAnsi="Narkisim"/>
          <w:rtl/>
        </w:rPr>
        <w:t xml:space="preserve"> (עג י) הביא דבגמ' (ב"ב קסה:) מבואר דלא ילפינן דיני בי"ד מדיני עדות. דאי' דאפי' לת"ק דר' יהושע בן קרחה דעדים אין מצטרפין, מ"מ דיינים מצטרפין, ונראה קצת מזה דלא ילפינן בי"ד מעדות.</w:t>
      </w:r>
    </w:p>
  </w:footnote>
  <w:footnote w:id="6849">
    <w:p w14:paraId="4A1B9CF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והקצות חילק דהיכא דיושבים למשפט ל"ש דין נמצא א' קרוב או פסול. אבל כשעשו הנפק צריך ג"כ תורת עדים, שמעידים שנתקיים השטר. [וכה"ג כת' בשו"ת הרשב"א הנ"ל דל"מ]. וכן כיוצא בזה, דהא לא ידעינן שנתקבל העדות או שנתקיים השטר כי אם על פי הדיינים. א"כ כשיש עמהם פסול נתבטל כל הענין [היינו מי שפסול להעיד, אבל במה שפסול לדון אינו מבטל].</w:t>
      </w:r>
    </w:p>
  </w:footnote>
  <w:footnote w:id="6850">
    <w:p w14:paraId="2060C73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מהרח"ש</w:t>
      </w:r>
      <w:r w:rsidRPr="00D65870">
        <w:rPr>
          <w:rFonts w:ascii="Narkisim" w:hAnsi="Narkisim"/>
          <w:rtl/>
        </w:rPr>
        <w:t xml:space="preserve"> כת' דרבים חולקים על האו"ז, ונדחו דבריו.</w:t>
      </w:r>
    </w:p>
  </w:footnote>
  <w:footnote w:id="6851">
    <w:p w14:paraId="3BC7072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ברכ"י</w:t>
      </w:r>
      <w:r w:rsidRPr="00D65870">
        <w:rPr>
          <w:rFonts w:ascii="Narkisim" w:hAnsi="Narkisim"/>
          <w:rtl/>
        </w:rPr>
        <w:t xml:space="preserve"> (שם) דן היכא דיש דיין פסול, ומפני הכבוד הוצרכו לומר לו שהוא ידין עמהם, האם רשאין לקבוע ביניהם שמייחדים הדין בשאר הדיינים. והביא דעד"ז כת' ב</w:t>
      </w:r>
      <w:r w:rsidRPr="00D65870">
        <w:rPr>
          <w:rFonts w:ascii="Narkisim" w:hAnsi="Narkisim"/>
          <w:b/>
          <w:bCs/>
          <w:rtl/>
        </w:rPr>
        <w:t>שו"ת גינת ורדים</w:t>
      </w:r>
      <w:r w:rsidRPr="00D65870">
        <w:rPr>
          <w:rFonts w:ascii="Narkisim" w:hAnsi="Narkisim"/>
          <w:rtl/>
        </w:rPr>
        <w:t xml:space="preserve"> (אה"ע א ב).</w:t>
      </w:r>
    </w:p>
  </w:footnote>
  <w:footnote w:id="6852">
    <w:p w14:paraId="5D6B622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רש"י</w:t>
      </w:r>
      <w:r w:rsidRPr="00D65870">
        <w:rPr>
          <w:rFonts w:ascii="Narkisim" w:hAnsi="Narkisim"/>
          <w:rtl/>
        </w:rPr>
        <w:t xml:space="preserve"> מחקו, ולכאורה כוונתו דהוה לשון יתירא. אך </w:t>
      </w:r>
      <w:r w:rsidRPr="00D65870">
        <w:rPr>
          <w:rFonts w:ascii="Narkisim" w:hAnsi="Narkisim"/>
          <w:b/>
          <w:bCs/>
          <w:rtl/>
        </w:rPr>
        <w:t>תוס</w:t>
      </w:r>
      <w:r w:rsidRPr="00D65870">
        <w:rPr>
          <w:rFonts w:ascii="Narkisim" w:hAnsi="Narkisim"/>
          <w:rtl/>
        </w:rPr>
        <w:t>' (קה: ד"ה ר"ש) הביאו גירסא זו.</w:t>
      </w:r>
    </w:p>
  </w:footnote>
  <w:footnote w:id="6853">
    <w:p w14:paraId="7BA04D7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ראשונים</w:t>
      </w:r>
      <w:r w:rsidRPr="00D65870">
        <w:rPr>
          <w:rFonts w:ascii="Narkisim" w:hAnsi="Narkisim"/>
          <w:rtl/>
        </w:rPr>
        <w:t xml:space="preserve"> (מכות ו. וקידושין מג.) דנו דאף בעדות לקיומי אמרי' דנמצא א' קרוב או פסול בטילה [עכ"פ היכא דייחד גם את הפסולים].</w:t>
      </w:r>
    </w:p>
  </w:footnote>
  <w:footnote w:id="6854">
    <w:p w14:paraId="4FC911B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רש"ש</w:t>
      </w:r>
      <w:r w:rsidRPr="00D65870">
        <w:rPr>
          <w:rFonts w:ascii="Narkisim" w:hAnsi="Narkisim"/>
          <w:rtl/>
        </w:rPr>
        <w:t xml:space="preserve"> כת' דלפ"ז נדחה הראיה מדברי רש"י דבדיינים ליכא דין נמצא א' קרוב או פסול, דבמשנתינו מבואר דאף בעדים לא אמרי' דפסלי לכולהו.</w:t>
      </w:r>
    </w:p>
  </w:footnote>
  <w:footnote w:id="6855">
    <w:p w14:paraId="6FB995E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שאג"א</w:t>
      </w:r>
      <w:r w:rsidRPr="00D65870">
        <w:rPr>
          <w:rFonts w:ascii="Narkisim" w:hAnsi="Narkisim"/>
          <w:rtl/>
        </w:rPr>
        <w:t xml:space="preserve"> דייק כן מסוגיין, דהל"ל רבותא טפי, דאפי' חרש וחרשת המדברים ואינם שומעים נמי חליצתן פסולה.</w:t>
      </w:r>
    </w:p>
  </w:footnote>
  <w:footnote w:id="6856">
    <w:p w14:paraId="3DB9E6B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וכמ"ש ה</w:t>
      </w:r>
      <w:r w:rsidRPr="00D65870">
        <w:rPr>
          <w:rFonts w:ascii="Narkisim" w:hAnsi="Narkisim"/>
          <w:b/>
          <w:bCs/>
          <w:rtl/>
        </w:rPr>
        <w:t>ב"ח</w:t>
      </w:r>
      <w:r w:rsidRPr="00D65870">
        <w:rPr>
          <w:rFonts w:ascii="Narkisim" w:hAnsi="Narkisim"/>
          <w:rtl/>
        </w:rPr>
        <w:t xml:space="preserve"> וה</w:t>
      </w:r>
      <w:r w:rsidRPr="00D65870">
        <w:rPr>
          <w:rFonts w:ascii="Narkisim" w:hAnsi="Narkisim"/>
          <w:b/>
          <w:bCs/>
          <w:rtl/>
        </w:rPr>
        <w:t>ט"ז</w:t>
      </w:r>
      <w:r w:rsidRPr="00D65870">
        <w:rPr>
          <w:rFonts w:ascii="Narkisim" w:hAnsi="Narkisim"/>
          <w:rtl/>
        </w:rPr>
        <w:t xml:space="preserve"> (או"ח תרפט) דל"מ חרש המדבר ואינו שומא בקריאת המגילה, דאינו ראוי להשמיע לאזניו.</w:t>
      </w:r>
    </w:p>
    <w:p w14:paraId="1FD4BBBF"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שאג"א</w:t>
      </w:r>
      <w:r w:rsidRPr="00D65870">
        <w:rPr>
          <w:rFonts w:ascii="Narkisim" w:hAnsi="Narkisim"/>
          <w:rtl/>
        </w:rPr>
        <w:t xml:space="preserve"> הוכיח דמדאורייתא ל"צ ראוי להשמיע לאזניו כלל. והא דבעינן לכתחילה שישמיע לאזניו הוה מדרבנן, ואסמכתא בעלמא. [ודלא כב"ח וט"ז]. וה</w:t>
      </w:r>
      <w:r w:rsidRPr="00D65870">
        <w:rPr>
          <w:rFonts w:ascii="Narkisim" w:hAnsi="Narkisim"/>
          <w:b/>
          <w:bCs/>
          <w:rtl/>
        </w:rPr>
        <w:t>עונג יו"ט</w:t>
      </w:r>
      <w:r w:rsidRPr="00D65870">
        <w:rPr>
          <w:rFonts w:ascii="Narkisim" w:hAnsi="Narkisim"/>
          <w:rtl/>
        </w:rPr>
        <w:t xml:space="preserve"> (קעה) חילק דקריאה דחליצה ל"צ להשמיע לאזניו כלל, דחליצה הוה קנין. ול"ד לקר"ש ותפילה וברכה"מ דעיקר האמירה לשעבד ליבו, ומש"ה בעינן להשמיע לאזניו [לכתחילה]. {ואילו בחליצה עיקר הקריאה להשמיע לשאר בעלי המעשה}.</w:t>
      </w:r>
    </w:p>
  </w:footnote>
  <w:footnote w:id="6857">
    <w:p w14:paraId="3F3349E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ביאר מדלא כקתני במשנה שוטה. והרמב"ן כת' די"ל דזהו הס"ד דהגמ'. [קו' התוס']</w:t>
      </w:r>
    </w:p>
  </w:footnote>
  <w:footnote w:id="6858">
    <w:p w14:paraId="2DA61F1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ועפ"ז באופן שיכולים ללמדם מהני [כ"כ ה</w:t>
      </w:r>
      <w:r w:rsidRPr="00D65870">
        <w:rPr>
          <w:rFonts w:ascii="Narkisim" w:hAnsi="Narkisim"/>
          <w:b/>
          <w:bCs/>
          <w:rtl/>
        </w:rPr>
        <w:t>בית הלוי</w:t>
      </w:r>
      <w:r w:rsidRPr="00D65870">
        <w:rPr>
          <w:rFonts w:ascii="Narkisim" w:hAnsi="Narkisim"/>
          <w:rtl/>
        </w:rPr>
        <w:t xml:space="preserve"> ג ב ד וה</w:t>
      </w:r>
      <w:r w:rsidRPr="00D65870">
        <w:rPr>
          <w:rFonts w:ascii="Narkisim" w:hAnsi="Narkisim"/>
          <w:b/>
          <w:bCs/>
          <w:rtl/>
        </w:rPr>
        <w:t>אבנ"נ</w:t>
      </w:r>
      <w:r w:rsidRPr="00D65870">
        <w:rPr>
          <w:rFonts w:ascii="Narkisim" w:hAnsi="Narkisim"/>
          <w:rtl/>
        </w:rPr>
        <w:t xml:space="preserve"> רכה]. ועד"ז דן ה</w:t>
      </w:r>
      <w:r w:rsidRPr="00D65870">
        <w:rPr>
          <w:rFonts w:ascii="Narkisim" w:hAnsi="Narkisim"/>
          <w:b/>
          <w:bCs/>
          <w:rtl/>
        </w:rPr>
        <w:t>רש"ש</w:t>
      </w:r>
      <w:r w:rsidRPr="00D65870">
        <w:rPr>
          <w:rFonts w:ascii="Narkisim" w:hAnsi="Narkisim"/>
          <w:rtl/>
        </w:rPr>
        <w:t xml:space="preserve"> [מסברא] ביבמה חרשת שאינה שומעת, דאין לנו דרך איך ללמדה הקריאה, האם מש"ה יחשב אינו ראוי לקריאה. [ולכאורה כוונתו לדחוק דהשו"ע איירי באופן שאפשר ללמדם]. והבית הלוי ואבנ"נ הוכיחו מדברי שאר </w:t>
      </w:r>
      <w:r w:rsidRPr="00D65870">
        <w:rPr>
          <w:rFonts w:ascii="Narkisim" w:hAnsi="Narkisim"/>
          <w:b/>
          <w:bCs/>
          <w:rtl/>
        </w:rPr>
        <w:t>ראשונים</w:t>
      </w:r>
      <w:r w:rsidRPr="00D65870">
        <w:rPr>
          <w:rFonts w:ascii="Narkisim" w:hAnsi="Narkisim"/>
          <w:rtl/>
        </w:rPr>
        <w:t xml:space="preserve"> [רש"י ותוס' והשו"ע] דאין בזה חסרון, כיון דאין חסרון בעצם ביבם והיבמה. [אך צ"ע מדברי הרי"ף לקמן קו:].</w:t>
      </w:r>
    </w:p>
    <w:p w14:paraId="5904AEB1" w14:textId="77777777" w:rsidR="006C4368" w:rsidRPr="00D65870" w:rsidRDefault="006C4368" w:rsidP="006C4368">
      <w:pPr>
        <w:pStyle w:val="Footnote"/>
        <w:bidi/>
        <w:rPr>
          <w:rFonts w:ascii="Narkisim" w:hAnsi="Narkisim"/>
        </w:rPr>
      </w:pPr>
      <w:r w:rsidRPr="00D65870">
        <w:rPr>
          <w:rFonts w:ascii="Narkisim" w:hAnsi="Narkisim"/>
          <w:rtl/>
        </w:rPr>
        <w:tab/>
        <w:t>ועוד דן הרש"ש דאפי' אילו יכולה לקרות, אלא דאין לנו דרך להודיע לה לקרוא ג"כ יחשב אינה ראויה לקריאה, וקריאה מעכבת.</w:t>
      </w:r>
    </w:p>
  </w:footnote>
  <w:footnote w:id="6859">
    <w:p w14:paraId="23AEB29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לכאורה כוונתו דצריך שהיבמה תקרא ליבם, והיבם ליבמה. וכיון דאינו שומע לא נחשב קריאה עליו. והמגיה לריטב"א ציין ל</w:t>
      </w:r>
      <w:r w:rsidRPr="00D65870">
        <w:rPr>
          <w:rFonts w:ascii="Narkisim" w:hAnsi="Narkisim"/>
          <w:b/>
          <w:bCs/>
          <w:rtl/>
        </w:rPr>
        <w:t>שו"ע</w:t>
      </w:r>
      <w:r w:rsidRPr="00D65870">
        <w:rPr>
          <w:rFonts w:ascii="Narkisim" w:hAnsi="Narkisim"/>
          <w:rtl/>
        </w:rPr>
        <w:t xml:space="preserve"> (ס' חליצה נ) [דלכתחילה] צריך שהיבם יבין את דברי היבמה ומה הוא משיב. [אך התם הוה לחומרא בעלמא].</w:t>
      </w:r>
    </w:p>
  </w:footnote>
  <w:footnote w:id="6860">
    <w:p w14:paraId="0007039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ומשמע דתוס' הק' מסברא, וי"ל תוס' סמכו אסוגיה דהתם. א"נ סמכו אתוספתא דשוטה.</w:t>
      </w:r>
    </w:p>
    <w:p w14:paraId="28223198"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חכ"צ</w:t>
      </w:r>
      <w:r w:rsidRPr="00D65870">
        <w:rPr>
          <w:rFonts w:ascii="Narkisim" w:hAnsi="Narkisim"/>
          <w:rtl/>
        </w:rPr>
        <w:t xml:space="preserve"> (א) הביא דמבואר בתוס' דלא אמרי' דסתמא כשר בחליצה [ועכו"ם מהני במידי דסתמא לשמן, וכמ"ש </w:t>
      </w:r>
      <w:r w:rsidRPr="00D65870">
        <w:rPr>
          <w:rFonts w:ascii="Narkisim" w:hAnsi="Narkisim"/>
          <w:b/>
          <w:bCs/>
          <w:rtl/>
        </w:rPr>
        <w:t>תוס</w:t>
      </w:r>
      <w:r w:rsidRPr="00D65870">
        <w:rPr>
          <w:rFonts w:ascii="Narkisim" w:hAnsi="Narkisim"/>
          <w:rtl/>
        </w:rPr>
        <w:t>' גיטין כג. וע"ז כז. וכ"מ], דא"כ קטן יהא כשר, דקטן כסתמא דמי.</w:t>
      </w:r>
    </w:p>
    <w:p w14:paraId="42D5575B" w14:textId="77777777" w:rsidR="006C4368" w:rsidRPr="00D65870" w:rsidRDefault="006C4368" w:rsidP="006C4368">
      <w:pPr>
        <w:pStyle w:val="Footnote"/>
        <w:bidi/>
        <w:rPr>
          <w:rFonts w:ascii="Narkisim" w:hAnsi="Narkisim"/>
        </w:rPr>
      </w:pPr>
      <w:r w:rsidRPr="00D65870">
        <w:rPr>
          <w:rFonts w:ascii="Narkisim" w:hAnsi="Narkisim"/>
          <w:rtl/>
        </w:rPr>
        <w:tab/>
        <w:t>[והחכ"צ דן דמומר אדעתא דנפשיה קעביד ול"מ חליצתו. ודן (שם) היכא דאמר להדיא שנתכוון לחליצה, האם דדבריו שבלב מהני לסתור דברים מפורשים. אך היכא דגבי כתיבת גט ל"מ שהנכרי אומר שנתכוון לשמו ולשמה, דכיון דאנן סהדי דנכרי אדעתא דנפשיה קעביד ה"ל כאלו פירש דאדעתא דנפשיה קעביד].</w:t>
      </w:r>
    </w:p>
  </w:footnote>
  <w:footnote w:id="6861">
    <w:p w14:paraId="0D851BF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רמב"ן</w:t>
      </w:r>
      <w:r w:rsidRPr="00D65870">
        <w:rPr>
          <w:rFonts w:ascii="Narkisim" w:hAnsi="Narkisim"/>
          <w:rtl/>
        </w:rPr>
        <w:t xml:space="preserve"> (חולין לא.) הביא דהטעם דל"מ חליצת קטן משום דלאו בני דעה. ואפי' גדול עומד ע"ג ל"מ [ע' בסמוך].</w:t>
      </w:r>
    </w:p>
  </w:footnote>
  <w:footnote w:id="6862">
    <w:p w14:paraId="468DDD3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מבואר מהגמ' כאן, ע"פ תי' התוס' דגדול עומד על גביו מהני בחרש לולי הא דאינו באמירה. ולא אמרי' דנתמעט מחליצה משום דאינו איש.</w:t>
      </w:r>
    </w:p>
  </w:footnote>
  <w:footnote w:id="6863">
    <w:p w14:paraId="4B6D748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ולדעת תוס' נתמעט דל"ק יבמתו.</w:t>
      </w:r>
    </w:p>
  </w:footnote>
  <w:footnote w:id="6864">
    <w:p w14:paraId="411D4E0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לכאורה מבואר מדבריו דנתחדש דבעי דעת של 'איש', ואף חרש ושוטה נתמעטו מטעם זה.</w:t>
      </w:r>
    </w:p>
  </w:footnote>
  <w:footnote w:id="6865">
    <w:p w14:paraId="1C47C96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וכדמבואר (לקמן קיג:) דחרש אינו מגרש את אשתו מדאורייתא. ומבואר (קידושין יט.) דלא משכח"ל קידושין לקטן מדאורייתא.</w:t>
      </w:r>
    </w:p>
  </w:footnote>
  <w:footnote w:id="6866">
    <w:p w14:paraId="090619E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ביאר דעיקר הקידושין וגירושין נעשה ע"י הבעלים, והם האוסרים והם המתירים, וע"כ צריך דעתם, ולא מהני מה שאחרים מלמדין אותן, כיון דהם בעצמן לאו בני דעה נינהו. משא"כ בחליצה ולשמה, אין בהם דין דעת בעלים, ורק כוונה הוא דבעינן על עצם מעשה החליצה, והפטור ממילא בא מדין תורה.</w:t>
      </w:r>
    </w:p>
  </w:footnote>
  <w:footnote w:id="6867">
    <w:p w14:paraId="4A1BC60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יש שפי' דכוונת הגר"ח דגדול עומד ע"ג מהני דוקא היכא דבעינן 'כוונה', אבל היכא דבעינן 'מעשה בעלים' צריך דעת גמור. ועוד יש שפי' דגדר גדול עומד ע"ג דמהני הדעת של הגדול, שמכוונו, ונעשית מחמתו. ובחליצה העיקר שיהא מעשה הנעשית מדעת. אבל בגט וקידושין בעינן דעת של הבעלים, ול"מ דעת של אדם אחר.</w:t>
      </w:r>
    </w:p>
    <w:p w14:paraId="2689971F"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קובה"ע</w:t>
      </w:r>
      <w:r w:rsidRPr="00D65870">
        <w:rPr>
          <w:rFonts w:ascii="Narkisim" w:hAnsi="Narkisim"/>
          <w:rtl/>
        </w:rPr>
        <w:t xml:space="preserve"> (עו ט) כת' דהיכא דחלות הדין הוא ע"י כח האדם, אין כח לקטן לפעול בעשייתו, אבל בחליצה שההיתר חל מאליו ע"י המעשה, ורק דצריך כונה, מהני גם מעשה קטן בגדול עומד על גביו ומלמדו. [ועד"ז יל"פ דברי הרמב"ן, ע' בסמוך].</w:t>
      </w:r>
    </w:p>
  </w:footnote>
  <w:footnote w:id="6868">
    <w:p w14:paraId="0777552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(עו ב) האריך בזה דיש דינים בתורה שהאדם הוא הפועל את חלות הדין. [דבקנינים וקידושין וגירושין נעשה מכח האדם]. ויש דינים בתורה שהמעשה בעצמה פועל את חלות הדין, וכגון שחיטה, שהשחיטה מצד עצמה מתרת [היכא דנעשית כהילכתא. ואף דבעינן כח גברא, וקי"ל דצריך כוונה בשחיטה הוה רק תנאי במעשה].</w:t>
      </w:r>
    </w:p>
    <w:p w14:paraId="080AB1A8" w14:textId="77777777" w:rsidR="006C4368" w:rsidRPr="00D65870" w:rsidRDefault="006C4368" w:rsidP="006C4368">
      <w:pPr>
        <w:pStyle w:val="Footnote"/>
        <w:bidi/>
        <w:rPr>
          <w:rFonts w:ascii="Narkisim" w:hAnsi="Narkisim"/>
        </w:rPr>
      </w:pPr>
      <w:r w:rsidRPr="00D65870">
        <w:rPr>
          <w:rFonts w:ascii="Narkisim" w:hAnsi="Narkisim"/>
          <w:rtl/>
        </w:rPr>
        <w:tab/>
        <w:t>ודן (שם ה) בגדר חליצה [ודן בסוגיה כתובות עד. בהא דל"מ תנאי בחליצה, ע"ע לקמן קו.]. וכן דן (שם י) בגדר כתיבה 'לשמה' בגט, האם הכשר הגט חל מאליו [ע"י הכתיבה כהלכתה], או שהאדם הוא הפועל הכשר הגט. [והביא את הנידון האם שייך לבטל את הגט, ע' גיטין לב: וקידושין נט:, ועוד הביא (שם טו) דנח' ה</w:t>
      </w:r>
      <w:r w:rsidRPr="00D65870">
        <w:rPr>
          <w:rFonts w:ascii="Narkisim" w:hAnsi="Narkisim"/>
          <w:b/>
          <w:bCs/>
          <w:rtl/>
        </w:rPr>
        <w:t>ראשונים</w:t>
      </w:r>
      <w:r w:rsidRPr="00D65870">
        <w:rPr>
          <w:rFonts w:ascii="Narkisim" w:hAnsi="Narkisim"/>
          <w:rtl/>
        </w:rPr>
        <w:t xml:space="preserve"> (נדרים יד:) אי קדושת אזכרות דס"ת נחשב דבר הנדור. וע"ע גר"ח תפילין א].</w:t>
      </w:r>
    </w:p>
  </w:footnote>
  <w:footnote w:id="6869">
    <w:p w14:paraId="1D4E308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ביאר עפ"ז דל"צ עדות לקיומי, דכיון דהחלות הוה ממילא ל"צ עדות [אלא לברר]. [וע"ע לקמן קה:]. והביא דדעת הרמב"ם (גירושין ו ט) דאין מעידין על הקטן, ואפ"ה יש מ"ד דמהני חליצה. דלא נחשב עשייה דידה, ולא נחשב שמעידין עליה.</w:t>
      </w:r>
    </w:p>
  </w:footnote>
  <w:footnote w:id="6870">
    <w:p w14:paraId="5BA7A0B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בי"מ</w:t>
      </w:r>
      <w:r w:rsidRPr="00D65870">
        <w:rPr>
          <w:rFonts w:ascii="Narkisim" w:hAnsi="Narkisim"/>
          <w:rtl/>
        </w:rPr>
        <w:t xml:space="preserve"> הביא דה</w:t>
      </w:r>
      <w:r w:rsidRPr="00D65870">
        <w:rPr>
          <w:rFonts w:ascii="Narkisim" w:hAnsi="Narkisim"/>
          <w:b/>
          <w:bCs/>
          <w:rtl/>
        </w:rPr>
        <w:t>נוב"י</w:t>
      </w:r>
      <w:r w:rsidRPr="00D65870">
        <w:rPr>
          <w:rFonts w:ascii="Narkisim" w:hAnsi="Narkisim"/>
          <w:rtl/>
        </w:rPr>
        <w:t xml:space="preserve"> (הו' בס' אור חדש) העלה צד דמהני שוטה שמגרש מדין עע"ג. והבי"מ האריך לתמוה דודאי ל"מ, ודוקא בכתיבת הגט מהני.</w:t>
      </w:r>
    </w:p>
  </w:footnote>
  <w:footnote w:id="6871">
    <w:p w14:paraId="48CDCD9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ועד"ז כת' ה</w:t>
      </w:r>
      <w:r w:rsidRPr="00D65870">
        <w:rPr>
          <w:rFonts w:ascii="Narkisim" w:hAnsi="Narkisim"/>
          <w:b/>
          <w:bCs/>
          <w:rtl/>
        </w:rPr>
        <w:t>עונג יו"ט</w:t>
      </w:r>
      <w:r w:rsidRPr="00D65870">
        <w:rPr>
          <w:rFonts w:ascii="Narkisim" w:hAnsi="Narkisim"/>
          <w:rtl/>
        </w:rPr>
        <w:t xml:space="preserve"> (ב) דל"מ גדול עומד ע"ג בחליצה. וביאר דיש אופנים דפעולת הדבר נגמר ע"י המעשה, אלא דבעינן שיהא מחשב בדעתו בשעת עשייתו למה הוא עושה. אבל יש אופנים שהמחשבה בעצמה גורמת ופועלת ענין המעשה, כמו גט וקנינים. דעיקר הדבר נגמר בדברים וברצון, אלא דבעינן 'מעשה קנין'. אבל מעשה החליצה פועלת בעצמה, אלא שצריך לכוון למה הוא חולץ [ואין הכוונה מעצם החליצה, וההיתר לא הוה ע"י המחשבה]. ומש"ה מהני גדול עומד ע"ג בחליצה, אבל בקנינים דעצם הקנין הוה ע"י הרצון ל"ש גדול עומד ע"ג.</w:t>
      </w:r>
    </w:p>
  </w:footnote>
  <w:footnote w:id="6872">
    <w:p w14:paraId="1A54374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ס' אור חדש</w:t>
      </w:r>
      <w:r w:rsidRPr="00D65870">
        <w:rPr>
          <w:rFonts w:ascii="Narkisim" w:hAnsi="Narkisim"/>
          <w:rtl/>
        </w:rPr>
        <w:t xml:space="preserve"> הביא תשובה מהנוב"י שסמך על ירושלמי זו.</w:t>
      </w:r>
    </w:p>
  </w:footnote>
  <w:footnote w:id="6873">
    <w:p w14:paraId="2BD86A9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כדאי' (קידושין יט.) מלבד ע"י יעוד או יבם קטן.</w:t>
      </w:r>
    </w:p>
  </w:footnote>
  <w:footnote w:id="6874">
    <w:p w14:paraId="287E029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(גליון הש"ס לירושלמי) הביאו דכ"ה להדיא ב</w:t>
      </w:r>
      <w:r w:rsidRPr="00D65870">
        <w:rPr>
          <w:rFonts w:ascii="Narkisim" w:hAnsi="Narkisim"/>
          <w:b/>
          <w:bCs/>
          <w:rtl/>
        </w:rPr>
        <w:t>תוספתא</w:t>
      </w:r>
      <w:r w:rsidRPr="00D65870">
        <w:rPr>
          <w:rFonts w:ascii="Narkisim" w:hAnsi="Narkisim"/>
          <w:rtl/>
        </w:rPr>
        <w:t xml:space="preserve"> (פרה ה ה) גבי קידוש מי חטאת. [ואילו גבי קידושין ל"מ ברייתא כעי"ז כלל. ועוד חרש שקידש אשה מקודשת מדרבנן, ואי איירי בקידושי אשה צריך לדחוק דקאי מדאורייתא].</w:t>
      </w:r>
    </w:p>
  </w:footnote>
  <w:footnote w:id="6875">
    <w:p w14:paraId="0537202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לאפוקי חלוץ לה ובכך אתה כונסה וכיו"ב.</w:t>
      </w:r>
    </w:p>
  </w:footnote>
  <w:footnote w:id="6876">
    <w:p w14:paraId="2ED80BF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מהרי"ט</w:t>
      </w:r>
      <w:r w:rsidRPr="00D65870">
        <w:rPr>
          <w:rFonts w:ascii="Narkisim" w:hAnsi="Narkisim"/>
          <w:rtl/>
        </w:rPr>
        <w:t xml:space="preserve"> הביא ד</w:t>
      </w:r>
      <w:r w:rsidRPr="00D65870">
        <w:rPr>
          <w:rFonts w:ascii="Narkisim" w:hAnsi="Narkisim"/>
          <w:b/>
          <w:bCs/>
          <w:rtl/>
        </w:rPr>
        <w:t>ראנ"ח</w:t>
      </w:r>
      <w:r w:rsidRPr="00D65870">
        <w:rPr>
          <w:rFonts w:ascii="Narkisim" w:hAnsi="Narkisim"/>
          <w:rtl/>
        </w:rPr>
        <w:t xml:space="preserve"> חשש שאוננת לא תחלוץ, דמחמת אנינות לא תוכל לכוין. והשיב לו דל"ש בזה חסרון. והמהרי"ט דן באונן מצד אחר, דל"ש במצוות. [וע"ע לקמן קו.].</w:t>
      </w:r>
    </w:p>
  </w:footnote>
  <w:footnote w:id="6877">
    <w:p w14:paraId="3150FB1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דומיא דכוונה בשחיטה, דהיינו לאפוקי לשם נעיצה בכותל (חולין לא.). והחכ"צ (א) דחה דהתם לא קאמרי רבנן דבעינן 'כוונה', אלא דאמרו דנפלה סכין, והגמ' פי' דבעי כוונת חתיכת סימנים. אבל מנלן דהיכא דהוזכרה כוונה סתם, מנ"ל דסגי בכוונה קלה.</w:t>
      </w:r>
    </w:p>
  </w:footnote>
  <w:footnote w:id="6878">
    <w:p w14:paraId="0ABDB02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וכיון דאפשר למנות שליח לכתיבת הגט, ואף זה שעומד על גביו כשליח הממונה לכתוב ולכוין בכתיבתו.</w:t>
      </w:r>
    </w:p>
  </w:footnote>
  <w:footnote w:id="6879">
    <w:p w14:paraId="2A1C436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ה</w:t>
      </w:r>
      <w:r w:rsidRPr="00D65870">
        <w:rPr>
          <w:rFonts w:ascii="Narkisim" w:hAnsi="Narkisim"/>
          <w:b/>
          <w:bCs/>
          <w:rtl/>
        </w:rPr>
        <w:t>ריטב"א</w:t>
      </w:r>
      <w:r w:rsidRPr="00D65870">
        <w:rPr>
          <w:rFonts w:ascii="Narkisim" w:hAnsi="Narkisim"/>
          <w:rtl/>
        </w:rPr>
        <w:t xml:space="preserve"> (גיטין כב:) הביא דמבואר בסוגיין דל"מ גדול עומד על גביו בחליצה. וביאר דל"מ גדול עומד ע"ג, דחליצה בעי כונה לדעת עצמן שבחליצה יהא להם כוונה ע"מ לפטור. [ומשמע דבעי כוונת החולץ]. משא"כ בכתיבת הגט דל"צ כוונה אחרת, אלא סגי שיכתבו לדעתם סגי בגדול עומד על גביו.</w:t>
      </w:r>
    </w:p>
  </w:footnote>
  <w:footnote w:id="6880">
    <w:p w14:paraId="1952A1D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גרנ"ט</w:t>
      </w:r>
      <w:r w:rsidRPr="00D65870">
        <w:rPr>
          <w:rFonts w:ascii="Narkisim" w:hAnsi="Narkisim"/>
          <w:rtl/>
        </w:rPr>
        <w:t xml:space="preserve"> (גיטין) ביאר דגדר לשמה הוה חלות עשייה בגט. ואף הכא הגדול העומד ע"ג מחיל את הדין לשמה, דכיון שהקטן עושה מכחו ועל פיו מהני שמייחדו לשמה. והוה כעין שליחות. אבל בחליצה דל"ש שליחות, צריך שהעושה בעצמו מייחד הדבר. ול"מ כוונת העומד ע"ג. [אך אינו שליחות ממש, דהא ל"מ שליחות בקטן].</w:t>
      </w:r>
    </w:p>
  </w:footnote>
  <w:footnote w:id="6881">
    <w:p w14:paraId="121732F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יש אופן של שוטה שיש בו דעת קלישתא, ואין בו דעת לקנינים. ואפ"ה מהני גדול עומד ע"ג. אך לא מצאנו כן, ואפשר דמי שיש לו דעת קלישתא נחשב בר דעת לכל התורה [משום לא פלוג], מלבד חרש וקטן דיש לו דין דלאו בר דעת הוא}.</w:t>
      </w:r>
    </w:p>
  </w:footnote>
  <w:footnote w:id="6882">
    <w:p w14:paraId="1F09CA6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ומדברי התוס' משמע דשוטה אינו עושה על דעתינו, דאף שוטה שייך עומד ע"ג, אלא דאינו ניכר שעושה. אבל מדברי ה</w:t>
      </w:r>
      <w:r w:rsidRPr="00D65870">
        <w:rPr>
          <w:rFonts w:ascii="Narkisim" w:hAnsi="Narkisim"/>
          <w:b/>
          <w:bCs/>
          <w:rtl/>
        </w:rPr>
        <w:t>רמב"ן</w:t>
      </w:r>
      <w:r w:rsidRPr="00D65870">
        <w:rPr>
          <w:rFonts w:ascii="Narkisim" w:hAnsi="Narkisim"/>
          <w:rtl/>
        </w:rPr>
        <w:t xml:space="preserve"> משמע דכוונת חליצה הוא כוונה בפנ"ע, וכוונת שוטה אינו כלום.</w:t>
      </w:r>
    </w:p>
  </w:footnote>
  <w:footnote w:id="6883">
    <w:p w14:paraId="55A6812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הביא דמ"מ למסקנא (גיטין שם) והוא ששייר מקום התורף, דבעינן כוונה גמורה. ואפי' חרש לאו בר הכי הוא.</w:t>
      </w:r>
    </w:p>
  </w:footnote>
  <w:footnote w:id="6884">
    <w:p w14:paraId="6FB55D5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משמע מדבריו דאצל היבמה לא איכפ"ל דהוה מעושה, ואינה עושה ע"ד עצמה.</w:t>
      </w:r>
    </w:p>
  </w:footnote>
  <w:footnote w:id="6885">
    <w:p w14:paraId="1BCA472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ובכתיבת הגט סגי שכותבים מחמת צווי הבעל [דהוה כוונת המעשה], ומש"ה מהני אף בשוטה וקטן עומד ע"ג.</w:t>
      </w:r>
    </w:p>
  </w:footnote>
  <w:footnote w:id="6886">
    <w:p w14:paraId="3A18120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ב</w:t>
      </w:r>
      <w:r w:rsidRPr="00D65870">
        <w:rPr>
          <w:rFonts w:ascii="Narkisim" w:hAnsi="Narkisim"/>
          <w:b/>
          <w:bCs/>
          <w:rtl/>
        </w:rPr>
        <w:t>שו"ת הרשב"א</w:t>
      </w:r>
      <w:r w:rsidRPr="00D65870">
        <w:rPr>
          <w:rFonts w:ascii="Narkisim" w:hAnsi="Narkisim"/>
          <w:rtl/>
        </w:rPr>
        <w:t xml:space="preserve"> כת' בשם רבינו יונה דבשחיטה מהני גדול עומד ע"ג, דיכול לתת לאחר לשחוט. ול"צ דעת הבעלים {ולפ"ז עיקר הנידון אי צריך גדר שליחות}.</w:t>
      </w:r>
    </w:p>
  </w:footnote>
  <w:footnote w:id="6887">
    <w:p w14:paraId="4877C01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[ולא תלי בבעלים כלל, דאילו שחט בהמת חבירו שלא מדעתו כשרה, ואע"פ שבעל הבהמה לא נתכון לה כלל].</w:t>
      </w:r>
    </w:p>
  </w:footnote>
  <w:footnote w:id="6888">
    <w:p w14:paraId="3510819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משא"כ גט, דהסופר כותב הגט מכח הבעל [ועדיין צ"ב].</w:t>
      </w:r>
    </w:p>
  </w:footnote>
  <w:footnote w:id="6889">
    <w:p w14:paraId="5547DB1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וכת' דלפ"ז אף בעשיית מצה ל"מ עומד ע"ג, דליכא הוכחה כלל והוה כשחיטה.</w:t>
      </w:r>
    </w:p>
  </w:footnote>
  <w:footnote w:id="6890">
    <w:p w14:paraId="40ACD06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ואפשר דכוונתו דאף דמוכח שמתכוון להוריד את הנעל, ליכא הוכחה כלל שנתכוון ל'דין חליצה'.</w:t>
      </w:r>
    </w:p>
  </w:footnote>
  <w:footnote w:id="6891">
    <w:p w14:paraId="40C3F17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ולצד זה הוה דין במעשה חליצה, דבשעת חליצה צריך שיהא ראוי לכל מצוותיה.</w:t>
      </w:r>
    </w:p>
  </w:footnote>
  <w:footnote w:id="6892">
    <w:p w14:paraId="381300E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ויל"פ דחל עליה דין חליצה [ואף בלא רקיקה]. ועיל"פ דהיכא דראויה לקריאה הוה כאילו קראה כבר. [ולכאורה היכא דקראה ואח"כ נעשית אילמת ודאי מהני].</w:t>
      </w:r>
    </w:p>
  </w:footnote>
  <w:footnote w:id="6893">
    <w:p w14:paraId="4C15766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וכת' דאף ה</w:t>
      </w:r>
      <w:r w:rsidRPr="00D65870">
        <w:rPr>
          <w:rFonts w:ascii="Narkisim" w:hAnsi="Narkisim"/>
          <w:b/>
          <w:bCs/>
          <w:rtl/>
        </w:rPr>
        <w:t>רשב"א</w:t>
      </w:r>
      <w:r w:rsidRPr="00D65870">
        <w:rPr>
          <w:rFonts w:ascii="Narkisim" w:hAnsi="Narkisim"/>
          <w:rtl/>
        </w:rPr>
        <w:t xml:space="preserve"> (שם) פליג דאי"צ שתהא ראויה לקריאה בבת א', דהוה אסוקי מילתא. ולא הוה אפי' מצוה לכתחילה, ומש"ה לא שייך בזה ראויה לבילה. וי"ל דמודה דאין הנשים ראוין בעיקר הקריאה עד שילמדון.</w:t>
      </w:r>
    </w:p>
  </w:footnote>
  <w:footnote w:id="6894">
    <w:p w14:paraId="6E6B3B6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ובגמ' (ב"ק פה:) אי' חירשו נותן לו דמי כולו.</w:t>
      </w:r>
    </w:p>
  </w:footnote>
  <w:footnote w:id="6895">
    <w:p w14:paraId="22D1F7C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וכקו' התוס' תיפו"ל משום דאין להם דעת, ותי' דכוונת ר' ינאי דיש ב' חסרונות.</w:t>
      </w:r>
    </w:p>
  </w:footnote>
  <w:footnote w:id="6896">
    <w:p w14:paraId="6C1AFA0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דב</w:t>
      </w:r>
      <w:r w:rsidRPr="00D65870">
        <w:rPr>
          <w:rFonts w:ascii="Narkisim" w:hAnsi="Narkisim"/>
          <w:b/>
          <w:bCs/>
          <w:rtl/>
        </w:rPr>
        <w:t>תוספתא</w:t>
      </w:r>
      <w:r w:rsidRPr="00D65870">
        <w:rPr>
          <w:rFonts w:ascii="Narkisim" w:hAnsi="Narkisim"/>
          <w:rtl/>
        </w:rPr>
        <w:t xml:space="preserve"> אי' דחרש או חרשת או קטן שחלצו, תצא וכל הדרכים האלו בה, דברי ר' מאיר. [וחכמים אומרים דאין ממזר מיבמה]. דהושוו חרש וקטן, וקי"ל כחכמים (לקמן קה:) דאין חליצת קטן כלום. [וע"פ התוספתא פליגי אף בחרש].</w:t>
      </w:r>
    </w:p>
    <w:p w14:paraId="61F71152" w14:textId="77777777" w:rsidR="006C4368" w:rsidRPr="00D65870" w:rsidRDefault="006C4368" w:rsidP="006C4368">
      <w:pPr>
        <w:pStyle w:val="Footnote"/>
        <w:bidi/>
        <w:rPr>
          <w:rFonts w:ascii="Narkisim" w:hAnsi="Narkisim"/>
        </w:rPr>
      </w:pPr>
      <w:r w:rsidRPr="00D65870">
        <w:rPr>
          <w:rFonts w:ascii="Narkisim" w:hAnsi="Narkisim"/>
          <w:rtl/>
        </w:rPr>
        <w:tab/>
        <w:t>ועוד הביאו דה</w:t>
      </w:r>
      <w:r w:rsidRPr="00D65870">
        <w:rPr>
          <w:rFonts w:ascii="Narkisim" w:hAnsi="Narkisim"/>
          <w:b/>
          <w:bCs/>
          <w:rtl/>
        </w:rPr>
        <w:t>רמב"ם</w:t>
      </w:r>
      <w:r w:rsidRPr="00D65870">
        <w:rPr>
          <w:rFonts w:ascii="Narkisim" w:hAnsi="Narkisim"/>
          <w:rtl/>
        </w:rPr>
        <w:t xml:space="preserve"> (ד כז) כת' דהיכא דהחליצה 'פסול' [ופסול], אם נשאת לא נאמרו הנך דרכים. ומש"ה מוכח בתוספתא דחרש וקטן אינו פוסל. [אך לפ"ז התוספתא סותר לגמ', דבגמ' מבואר דלר"מ חליצת קטן פוסל, ואילו בתוספתא אי' דלר"מ כל הדרכים האלו בה. א"כ האיך סמך הרמב"ם על התוספתא].</w:t>
      </w:r>
    </w:p>
  </w:footnote>
  <w:footnote w:id="6897">
    <w:p w14:paraId="5E605FE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בי"ש</w:t>
      </w:r>
      <w:r w:rsidRPr="00D65870">
        <w:rPr>
          <w:rFonts w:ascii="Narkisim" w:hAnsi="Narkisim"/>
          <w:rtl/>
        </w:rPr>
        <w:t xml:space="preserve"> (קסט מד) כת' דדעת הרמב"ם דאף ע"י גדול עומד ע"ג אינו פוסל כלל.</w:t>
      </w:r>
    </w:p>
  </w:footnote>
  <w:footnote w:id="6898">
    <w:p w14:paraId="324C67C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דוחק דהרמב"ם לא הביא דברי הגמ', והביא רק דין התוספתא.</w:t>
      </w:r>
    </w:p>
  </w:footnote>
  <w:footnote w:id="6899">
    <w:p w14:paraId="383619F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עכ"פ היכא דנתכוון א' מהם, וה"נ איירי בחרש ופקחת [שנתכוונה לחליצה]. או פקח בחרשת.</w:t>
      </w:r>
    </w:p>
  </w:footnote>
  <w:footnote w:id="6900">
    <w:p w14:paraId="0E8F801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וציין למש"כ ה</w:t>
      </w:r>
      <w:r w:rsidRPr="00D65870">
        <w:rPr>
          <w:rFonts w:ascii="Narkisim" w:hAnsi="Narkisim"/>
          <w:b/>
          <w:bCs/>
          <w:rtl/>
        </w:rPr>
        <w:t>מג"א</w:t>
      </w:r>
      <w:r w:rsidRPr="00D65870">
        <w:rPr>
          <w:rFonts w:ascii="Narkisim" w:hAnsi="Narkisim"/>
          <w:rtl/>
        </w:rPr>
        <w:t xml:space="preserve"> (תפט ב) דבספירת העומר אם לא הבין פירוש המילות לא יצא, דאין זו ספירה. ועוד ציין ל</w:t>
      </w:r>
      <w:r w:rsidRPr="00D65870">
        <w:rPr>
          <w:rFonts w:ascii="Narkisim" w:hAnsi="Narkisim"/>
          <w:b/>
          <w:bCs/>
          <w:rtl/>
        </w:rPr>
        <w:t>רמב"ם</w:t>
      </w:r>
      <w:r w:rsidRPr="00D65870">
        <w:rPr>
          <w:rFonts w:ascii="Narkisim" w:hAnsi="Narkisim"/>
          <w:rtl/>
        </w:rPr>
        <w:t xml:space="preserve"> (חגיגה ג ו).</w:t>
      </w:r>
    </w:p>
    <w:p w14:paraId="3232886A" w14:textId="77777777" w:rsidR="006C4368" w:rsidRPr="00D65870" w:rsidRDefault="006C4368" w:rsidP="006C4368">
      <w:pPr>
        <w:pStyle w:val="Footnote"/>
        <w:bidi/>
        <w:rPr>
          <w:rFonts w:ascii="Narkisim" w:hAnsi="Narkisim"/>
        </w:rPr>
      </w:pPr>
      <w:r w:rsidRPr="00D65870">
        <w:rPr>
          <w:rFonts w:ascii="Narkisim" w:hAnsi="Narkisim"/>
          <w:rtl/>
        </w:rPr>
        <w:tab/>
        <w:t>[וכ"כ ה</w:t>
      </w:r>
      <w:r w:rsidRPr="00D65870">
        <w:rPr>
          <w:rFonts w:ascii="Narkisim" w:hAnsi="Narkisim"/>
          <w:b/>
          <w:bCs/>
          <w:rtl/>
        </w:rPr>
        <w:t>שו"ע</w:t>
      </w:r>
      <w:r w:rsidRPr="00D65870">
        <w:rPr>
          <w:rFonts w:ascii="Narkisim" w:hAnsi="Narkisim"/>
          <w:rtl/>
        </w:rPr>
        <w:t xml:space="preserve"> בסדר חליצה (נ) שצריך שיבין מה שאומר. אך לא משמע דהוה לעיכובא].</w:t>
      </w:r>
    </w:p>
  </w:footnote>
  <w:footnote w:id="6901">
    <w:p w14:paraId="57A826F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וביאר דהמחשבה הוא מעצם הקריאה, והיא עיקר המצוה. ומש"ה לא מהני עע"ג להחשב קריאה.</w:t>
      </w:r>
    </w:p>
  </w:footnote>
  <w:footnote w:id="6902">
    <w:p w14:paraId="68EBD77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לכאורה היכא דהחסרון משום דאינו ראוי לבילה יחשב חליצה לפסול מכהונה [וכמו אילם ואילמת], ואמאי אינו חליצה כלל.</w:t>
      </w:r>
    </w:p>
  </w:footnote>
  <w:footnote w:id="6903">
    <w:p w14:paraId="3AB645E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שכל דבר שצוה הקב"ה להביא יש עיכוב בעיקר הבאתו להביא באותו ענין שצוה הכתוב ולא בענין אחר, אבל מצות האמורות באותה מצוה כגון תנופה בקרבן בלילה במנחה יש שמעכבין וכו' ויש שאין מעכבין. וגבי בכורים נמי דחזו לקרייה בעינן.</w:t>
      </w:r>
    </w:p>
  </w:footnote>
  <w:footnote w:id="6904">
    <w:p w14:paraId="7DA5706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רשב"א</w:t>
      </w:r>
      <w:r w:rsidRPr="00D65870">
        <w:rPr>
          <w:rFonts w:ascii="Narkisim" w:hAnsi="Narkisim"/>
          <w:rtl/>
        </w:rPr>
        <w:t xml:space="preserve"> (לקמן קו:) כת' דגזיה"כ שיהא כעין בילה, ולא קפיד רחמנא בבילה ממש אלא בראוי לכך. אבל הכא מאי ראוי לבילה שייך ביה.</w:t>
      </w:r>
    </w:p>
  </w:footnote>
  <w:footnote w:id="6905">
    <w:p w14:paraId="4ED73C4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ושמעתי לדייק דיש חילוק בין דברי רשב"ם לדברי התוס', דתוס' כת' דמעכב הא דבעינן 'ראוי לבילה'. ואילו מדברי רשב"ם משמע דהוה סימן, ושם הפסול הוא מנחה של ס"א [דהוה שעורין], וסימן לדבר הא דאינו יכול לקיים מצוותו.</w:t>
      </w:r>
    </w:p>
  </w:footnote>
  <w:footnote w:id="6906">
    <w:p w14:paraId="32301D4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ונח' בזה התנאים (מנחות פח.) דלדעת ת"ק מביא לוג לכל עשרון [וכ"פ ה</w:t>
      </w:r>
      <w:r w:rsidRPr="00D65870">
        <w:rPr>
          <w:rFonts w:ascii="Narkisim" w:hAnsi="Narkisim"/>
          <w:b/>
          <w:bCs/>
          <w:rtl/>
        </w:rPr>
        <w:t>רמב"ם</w:t>
      </w:r>
      <w:r w:rsidRPr="00D65870">
        <w:rPr>
          <w:rFonts w:ascii="Narkisim" w:hAnsi="Narkisim"/>
          <w:rtl/>
        </w:rPr>
        <w:t xml:space="preserve"> מעשה"ק יב ז], ולדעת ר"א בן יעקב אפי' מנחה של ס' עשרון נותן לוג א'. [ולפ"ז י"ל הא דל"מ לבלול ס"א עשרון הוא מחמת חסרון שמן. ואילו לת"ק הוה משום גודל הכלי].</w:t>
      </w:r>
    </w:p>
  </w:footnote>
  <w:footnote w:id="6907">
    <w:p w14:paraId="7ADFEA1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פי' דאי הוה שרי בדיעבד בכלי א' היה טוב להביא לכתחילה שלא יבא לידי ייתור שמן. ולשון ה</w:t>
      </w:r>
      <w:r w:rsidRPr="00D65870">
        <w:rPr>
          <w:rFonts w:ascii="Narkisim" w:hAnsi="Narkisim"/>
          <w:b/>
          <w:bCs/>
          <w:rtl/>
        </w:rPr>
        <w:t>שיטמ"ק</w:t>
      </w:r>
      <w:r w:rsidRPr="00D65870">
        <w:rPr>
          <w:rFonts w:ascii="Narkisim" w:hAnsi="Narkisim"/>
          <w:rtl/>
        </w:rPr>
        <w:t xml:space="preserve"> (מנחות יח: ח) דאם יביא בב' כלים יצטרך להביא ב' לוג שמן, ודמי לריבה שמנה.</w:t>
      </w:r>
    </w:p>
    <w:p w14:paraId="7B2417CB" w14:textId="77777777" w:rsidR="006C4368" w:rsidRPr="00D65870" w:rsidRDefault="006C4368" w:rsidP="006C4368">
      <w:pPr>
        <w:pStyle w:val="Footnote"/>
        <w:bidi/>
        <w:rPr>
          <w:rFonts w:ascii="Narkisim" w:hAnsi="Narkisim"/>
        </w:rPr>
      </w:pPr>
      <w:r w:rsidRPr="00D65870">
        <w:rPr>
          <w:rFonts w:ascii="Narkisim" w:hAnsi="Narkisim"/>
          <w:rtl/>
        </w:rPr>
        <w:tab/>
        <w:t>ובפשוטו כוונת התוס' דכל היכא דאפשר בכלי א' אינו רשאי להביא בב' כלים, בתוספת שמן. אבל בס"א ע"כ הוה ב' קרבנות, וחייבתו תורה לוג שמן נוסף. {וצריך ליישב את המשנה (מנחות קב:) דהביא בב' כלים יצא}. אך לשון התוס' משמע דלא הוה יתור שמן גמור, אלא דדמי ליתור שמן, והיכא דאפשר באופן אחר לא יעשה כן. {וי"ל דהמשנה הנ"ל איירי בדיעבד}. וה</w:t>
      </w:r>
      <w:r w:rsidRPr="00D65870">
        <w:rPr>
          <w:rFonts w:ascii="Narkisim" w:hAnsi="Narkisim"/>
          <w:b/>
          <w:bCs/>
          <w:rtl/>
        </w:rPr>
        <w:t>גרי"ז</w:t>
      </w:r>
      <w:r w:rsidRPr="00D65870">
        <w:rPr>
          <w:rFonts w:ascii="Narkisim" w:hAnsi="Narkisim"/>
          <w:rtl/>
        </w:rPr>
        <w:t xml:space="preserve"> (מנחות שם) תמה דכיון דמביא בב' כלים, א"כ דינו בב' לוגים ואמאי הוה ריבוי שמן.</w:t>
      </w:r>
    </w:p>
  </w:footnote>
  <w:footnote w:id="6908">
    <w:p w14:paraId="32B1C3C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ודעת ר' שמעון (מנחות קא:) אפי' אמר להביא בכלי א', קביעותא דמנא לאו כלום הוא.</w:t>
      </w:r>
    </w:p>
  </w:footnote>
  <w:footnote w:id="6909">
    <w:p w14:paraId="68B16F7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כת' א"נ קאי אאומר מנחה אחת (דאי' התם לעיל). [וכתוס' דידן].</w:t>
      </w:r>
    </w:p>
  </w:footnote>
  <w:footnote w:id="6910">
    <w:p w14:paraId="7A0DA92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(קידושין כה:) הק' מנ"ל גבי טבילה דבעינן ראוי לביאת מים [בבית הסתרים]. ותי' דדרשי' מדכתיב ורחץ את 'כל' בשרו, דמשמע אפי' בית הסתרים. וכתיב וידיו ודרשינן מה ידיו מאבראי אף כל מאבראי, וממעטים בית הסתרים. ו'כל' מרבה בית הסתרים לכל הפחות דבעינן ראוי לביאת מים.</w:t>
      </w:r>
    </w:p>
  </w:footnote>
  <w:footnote w:id="6911">
    <w:p w14:paraId="791E37B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מדברי ה</w:t>
      </w:r>
      <w:r w:rsidRPr="00D65870">
        <w:rPr>
          <w:rFonts w:ascii="Narkisim" w:hAnsi="Narkisim"/>
          <w:b/>
          <w:bCs/>
          <w:rtl/>
        </w:rPr>
        <w:t>רמב"ם</w:t>
      </w:r>
      <w:r w:rsidRPr="00D65870">
        <w:rPr>
          <w:rFonts w:ascii="Narkisim" w:hAnsi="Narkisim"/>
          <w:rtl/>
        </w:rPr>
        <w:t xml:space="preserve"> (ד כו, כז) מבואר דהוה מדינא, דכתב נפק"מ דלא תצא. [ויתבאר לקמן קה:].</w:t>
      </w:r>
    </w:p>
  </w:footnote>
  <w:footnote w:id="6912">
    <w:p w14:paraId="174C7AD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b/>
          <w:bCs/>
          <w:rtl/>
        </w:rPr>
        <w:t>תוס'</w:t>
      </w:r>
      <w:r w:rsidRPr="00D65870">
        <w:rPr>
          <w:rFonts w:ascii="Narkisim" w:hAnsi="Narkisim"/>
          <w:rtl/>
        </w:rPr>
        <w:t xml:space="preserve"> (מנחות יד. וזבחים מג. ד"ה והלבונה) כת' דלא נחשב שהאימורים הוה גדר 'מתיר' [לדיני פיגול], כיון דאם נטמאו או נאבדו שרי בשר באכילה. אך הביאו שלשון ה</w:t>
      </w:r>
      <w:r w:rsidRPr="00D65870">
        <w:rPr>
          <w:rFonts w:ascii="Narkisim" w:hAnsi="Narkisim"/>
          <w:b/>
          <w:bCs/>
          <w:rtl/>
        </w:rPr>
        <w:t>רמב"ם</w:t>
      </w:r>
      <w:r w:rsidRPr="00D65870">
        <w:rPr>
          <w:rFonts w:ascii="Narkisim" w:hAnsi="Narkisim"/>
          <w:rtl/>
        </w:rPr>
        <w:t xml:space="preserve"> (פסוה"מ יח ז, וס' החינוך קמד) שהאימורין מתירין לבשר.</w:t>
      </w:r>
    </w:p>
  </w:footnote>
  <w:footnote w:id="6913">
    <w:p w14:paraId="6C12553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כן מתוס' הנ"ל, ולכאורה לדעת הרמב"ם הנ"ל אינו כן]. אך לשון הגמ' דאינו רשאי לאכול. ואפשר דכוונתו דשורש הדין הוה קדימה, אך עי"ז נקבע איסור.</w:t>
      </w:r>
    </w:p>
  </w:footnote>
  <w:footnote w:id="6914">
    <w:p w14:paraId="165BEC2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יל"ד באופן דאינו רשאי להקטיר האימורים מחמת הספק, האם הבשר אסור. ו</w:t>
      </w:r>
      <w:r w:rsidRPr="00D65870">
        <w:rPr>
          <w:rFonts w:ascii="Narkisim" w:hAnsi="Narkisim"/>
          <w:b/>
          <w:bCs/>
          <w:rtl/>
        </w:rPr>
        <w:t>תוס</w:t>
      </w:r>
      <w:r w:rsidRPr="00D65870">
        <w:rPr>
          <w:rFonts w:ascii="Narkisim" w:hAnsi="Narkisim"/>
          <w:rtl/>
        </w:rPr>
        <w:t>' (פסחים נט:) מבואר דאף היכא דמדרבנן אינו ראוי להקריב הוה כמו אבדו.</w:t>
      </w:r>
    </w:p>
  </w:footnote>
  <w:footnote w:id="6915">
    <w:p w14:paraId="5F7F97F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ונתחדש דהיכא דעשה שניהם נחשב שכל מעשה פועל חצי. ועוד נתחדש דב' המעשים אינן מעכבים זו את זו, ואף שלא השלים את כל המתיר, המעשה שעשה פועל עכ"פ המקצת.</w:t>
      </w:r>
    </w:p>
  </w:footnote>
  <w:footnote w:id="6916">
    <w:p w14:paraId="3CF5CBF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קר"א</w:t>
      </w:r>
      <w:r w:rsidRPr="00D65870">
        <w:rPr>
          <w:rFonts w:ascii="Narkisim" w:hAnsi="Narkisim"/>
          <w:rtl/>
        </w:rPr>
        <w:t xml:space="preserve"> (נדרים סח.) כת' דנידון הגמ' בבעל וארוס אי מיגז גייז או מקליש קליש, הוה כדברי רבי דכל א' פועל מקצת. [ובזה ספק הגמ' מי פעל מקצת זה]. וכ"כ ה</w:t>
      </w:r>
      <w:r w:rsidRPr="00D65870">
        <w:rPr>
          <w:rFonts w:ascii="Narkisim" w:hAnsi="Narkisim"/>
          <w:b/>
          <w:bCs/>
          <w:rtl/>
        </w:rPr>
        <w:t>קובה"ע</w:t>
      </w:r>
      <w:r w:rsidRPr="00D65870">
        <w:rPr>
          <w:rFonts w:ascii="Narkisim" w:hAnsi="Narkisim"/>
          <w:rtl/>
        </w:rPr>
        <w:t xml:space="preserve"> דלכאורה נראה דהגמ' (שם) קאי למ"ד שני מתירין מעלין זה בלא זה. אבל למ"ד אין מעלין, לא מיגז גייז ולא מיקליש קליש.</w:t>
      </w:r>
    </w:p>
    <w:p w14:paraId="3C9F0937"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קובה"ע</w:t>
      </w:r>
      <w:r w:rsidRPr="00D65870">
        <w:rPr>
          <w:rFonts w:ascii="Narkisim" w:hAnsi="Narkisim"/>
          <w:rtl/>
        </w:rPr>
        <w:t xml:space="preserve"> דן עפ"ז אף גירות דצריך מילה וטבילה, והן שני דברים המתירין, צ"ע דאפשר דבחדא מינייהו הוי מקצת גירות. וציין לדברי ה</w:t>
      </w:r>
      <w:r w:rsidRPr="00D65870">
        <w:rPr>
          <w:rFonts w:ascii="Narkisim" w:hAnsi="Narkisim"/>
          <w:b/>
          <w:bCs/>
          <w:rtl/>
        </w:rPr>
        <w:t>רשב"א</w:t>
      </w:r>
      <w:r w:rsidRPr="00D65870">
        <w:rPr>
          <w:rFonts w:ascii="Narkisim" w:hAnsi="Narkisim"/>
          <w:rtl/>
        </w:rPr>
        <w:t xml:space="preserve"> (לעיל עא.) דמילת גירות מהני קצת, אף בלא טבילה. אך דחה די"ל דכוונתו דהוה מילה לשם יהדות [ולא דמי לערבי מהול], ול"מ דחל עליו מקצת גירות במילה גרידא [וע' מש"כ בזה לעיל עא. ומו.].</w:t>
      </w:r>
    </w:p>
  </w:footnote>
  <w:footnote w:id="6917">
    <w:p w14:paraId="3C31633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וכת' דהוה כעין מעכשיו ולאחר ל' לר' יוחנן (קידושין ס.) דרווחא שייר וכשרגא דליבני.</w:t>
      </w:r>
    </w:p>
  </w:footnote>
  <w:footnote w:id="6918">
    <w:p w14:paraId="4DB70AF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כדאי' ב</w:t>
      </w:r>
      <w:r w:rsidRPr="00D65870">
        <w:rPr>
          <w:rFonts w:ascii="Narkisim" w:hAnsi="Narkisim"/>
          <w:b/>
          <w:bCs/>
          <w:rtl/>
        </w:rPr>
        <w:t>תוספתא</w:t>
      </w:r>
      <w:r w:rsidRPr="00D65870">
        <w:rPr>
          <w:rFonts w:ascii="Narkisim" w:hAnsi="Narkisim"/>
          <w:rtl/>
        </w:rPr>
        <w:t xml:space="preserve"> (יב ט) נשמטה לו רצועות מנעל וסנדל או שנשמט רוב הרגל חליצתה פסולה אם רצה לחזור לא יחזור. [וי"ג להחזיר לא יחזיר]. והיינו שאסור לייבם [וכ"מ ב</w:t>
      </w:r>
      <w:r w:rsidRPr="00D65870">
        <w:rPr>
          <w:rFonts w:ascii="Narkisim" w:hAnsi="Narkisim"/>
          <w:b/>
          <w:bCs/>
          <w:rtl/>
        </w:rPr>
        <w:t xml:space="preserve">ירושלמי </w:t>
      </w:r>
      <w:r w:rsidRPr="00D65870">
        <w:rPr>
          <w:rFonts w:ascii="Narkisim" w:hAnsi="Narkisim"/>
          <w:rtl/>
        </w:rPr>
        <w:t>יב א]. וה</w:t>
      </w:r>
      <w:r w:rsidRPr="00D65870">
        <w:rPr>
          <w:rFonts w:ascii="Narkisim" w:hAnsi="Narkisim"/>
          <w:b/>
          <w:bCs/>
          <w:rtl/>
        </w:rPr>
        <w:t>או"ש</w:t>
      </w:r>
      <w:r w:rsidRPr="00D65870">
        <w:rPr>
          <w:rFonts w:ascii="Narkisim" w:hAnsi="Narkisim"/>
          <w:rtl/>
        </w:rPr>
        <w:t xml:space="preserve"> דן לדייק דאף מדאורייתא אסורה לייבם [עי"ש].</w:t>
      </w:r>
    </w:p>
    <w:p w14:paraId="022CA078" w14:textId="77777777" w:rsidR="006C4368" w:rsidRPr="00D65870" w:rsidRDefault="006C4368" w:rsidP="006C4368">
      <w:pPr>
        <w:pStyle w:val="Footnote"/>
        <w:bidi/>
        <w:rPr>
          <w:rFonts w:ascii="Narkisim" w:hAnsi="Narkisim"/>
        </w:rPr>
      </w:pPr>
      <w:r w:rsidRPr="00D65870">
        <w:rPr>
          <w:rFonts w:ascii="Narkisim" w:hAnsi="Narkisim"/>
          <w:rtl/>
        </w:rPr>
        <w:tab/>
        <w:t>אך י"ג בתוספתא אם רצה לחזור לו, יחזור. דרשאי לייבם.</w:t>
      </w:r>
    </w:p>
  </w:footnote>
  <w:footnote w:id="6919">
    <w:p w14:paraId="0514BCF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לאחין פי' של מת, בין החולץ ובין האחרים. א"נ גבי החולץ ל"ש גזירה, דידעי דכתיב לא יבנו, ול"ש טעות. אבל שאר אחים יש מקום לטעות. ועוד דלר"ל (לעיל י: ומ:) חלוצה לאחים בכרת, ומש"ה גזרו טפי.</w:t>
      </w:r>
    </w:p>
  </w:footnote>
  <w:footnote w:id="6920">
    <w:p w14:paraId="07A1168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דה</w:t>
      </w:r>
      <w:r w:rsidRPr="00D65870">
        <w:rPr>
          <w:rFonts w:ascii="Narkisim" w:hAnsi="Narkisim"/>
          <w:b/>
          <w:bCs/>
          <w:rtl/>
        </w:rPr>
        <w:t>רמב"ם</w:t>
      </w:r>
      <w:r w:rsidRPr="00D65870">
        <w:rPr>
          <w:rFonts w:ascii="Narkisim" w:hAnsi="Narkisim"/>
          <w:rtl/>
        </w:rPr>
        <w:t xml:space="preserve"> (ד יד) כת' רקקה בלבד שלא חלצה ולא קראה, או שרקקה וקראה ולא חלצה הר"ז כחליצה פסולה. קראה היא והוא ולא חלצה ולא רקקה לא עשה כלום. שנאמר ככה יעשה לאיש, המעשה שהוא החליצה והרקיקה הוא שמועיל, אבל הקריאה אינה מעכבת ואינה מועלת. [ומשמע ד'מועיל' פי' שפועל במקצת מדאורייתא].</w:t>
      </w:r>
    </w:p>
  </w:footnote>
  <w:footnote w:id="6921">
    <w:p w14:paraId="49E9697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יל"ד האם דוקא היכא דרקקה קודם סדר החליצה. [וכן משמע מתחילת דבריו דאיירי ברקיקה בעלמא]. אבל היכא דבסדר החליצה רקקה ואח"כ חלצה נחשב היתר חליצה א', והסדר אינו מעכב.</w:t>
      </w:r>
    </w:p>
  </w:footnote>
  <w:footnote w:id="6922">
    <w:p w14:paraId="1A7FA23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הביא המרדכי דה</w:t>
      </w:r>
      <w:r w:rsidRPr="00D65870">
        <w:rPr>
          <w:rFonts w:ascii="Narkisim" w:hAnsi="Narkisim"/>
          <w:b/>
          <w:bCs/>
          <w:rtl/>
        </w:rPr>
        <w:t>ר"א ממיץ</w:t>
      </w:r>
      <w:r w:rsidRPr="00D65870">
        <w:rPr>
          <w:rFonts w:ascii="Narkisim" w:hAnsi="Narkisim"/>
          <w:rtl/>
        </w:rPr>
        <w:t xml:space="preserve"> היה חושש דהיכא דהיבם נשוי, משום חרם דרבינו גרשם יחשב חליצה פסולה וצריכה חיזור. ומש"ה [קודם החליצה] היה נוהג להתיר את החרם, שיהא מותר ליבם לישא ב' נשים, שבמקום מצוה לא נגזרה גזירה. והשתא הוא עולה ליבום ולחליצה. ושאר רבותי לא נהגו כן.</w:t>
      </w:r>
    </w:p>
  </w:footnote>
  <w:footnote w:id="6923">
    <w:p w14:paraId="2D7E324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ולא הוזכר דאם יש אחים צריכה חיזור.</w:t>
      </w:r>
    </w:p>
  </w:footnote>
  <w:footnote w:id="6924">
    <w:p w14:paraId="5D5CA18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(עירובין כח: וכ"מ) לכפרים [ולא הוה שם של מקום מסויים].</w:t>
      </w:r>
    </w:p>
    <w:p w14:paraId="45AD3439" w14:textId="77777777" w:rsidR="006C4368" w:rsidRPr="00D65870" w:rsidRDefault="006C4368" w:rsidP="006C4368">
      <w:pPr>
        <w:pStyle w:val="Footnote"/>
        <w:bidi/>
        <w:rPr>
          <w:rFonts w:ascii="Narkisim" w:hAnsi="Narkisim"/>
        </w:rPr>
      </w:pPr>
      <w:r w:rsidRPr="00D65870">
        <w:rPr>
          <w:rFonts w:ascii="Narkisim" w:hAnsi="Narkisim"/>
          <w:rtl/>
        </w:rPr>
        <w:tab/>
        <w:t>וב</w:t>
      </w:r>
      <w:r w:rsidRPr="00D65870">
        <w:rPr>
          <w:rFonts w:ascii="Narkisim" w:hAnsi="Narkisim"/>
          <w:b/>
          <w:bCs/>
          <w:rtl/>
        </w:rPr>
        <w:t>גהש"ס</w:t>
      </w:r>
      <w:r w:rsidRPr="00D65870">
        <w:rPr>
          <w:rFonts w:ascii="Narkisim" w:hAnsi="Narkisim"/>
          <w:rtl/>
        </w:rPr>
        <w:t xml:space="preserve"> ציין דבגמ' (עירובין כח:) אי' דר' ירמיה נפק לקרייתא, ושאלו אותו ולא ידע להשיב. [ובכ"מ בש"ס יש אמוראים דנפקי לקרייתא].</w:t>
      </w:r>
    </w:p>
  </w:footnote>
  <w:footnote w:id="6925">
    <w:p w14:paraId="20B93E6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לפנינו הגירסא בדברי אביי מתכפר בגמ"ח [משמע גמ"ח לחוד. ואפ"ה אביי חשש לדברי רבה רבו ועסק בתרוייהו, א"נ ס"ל דהא והא איתנהו, וכל א' לחוד מהני עכ"פ קצת]. אבל בגמ' (ר"ה יח.) הגירסא בדברי אביי אבל מתכפר בתורה וגמ"ח. [משמע דגמ"ח לחוד ל"מ].</w:t>
      </w:r>
    </w:p>
    <w:p w14:paraId="7D9CE5FD" w14:textId="77777777" w:rsidR="006C4368" w:rsidRPr="00D65870" w:rsidRDefault="006C4368" w:rsidP="006C4368">
      <w:pPr>
        <w:pStyle w:val="Footnote"/>
        <w:bidi/>
        <w:rPr>
          <w:rFonts w:ascii="Narkisim" w:hAnsi="Narkisim"/>
        </w:rPr>
      </w:pPr>
      <w:r w:rsidRPr="00D65870">
        <w:rPr>
          <w:rFonts w:ascii="Narkisim" w:hAnsi="Narkisim"/>
          <w:rtl/>
        </w:rPr>
        <w:tab/>
        <w:t>ובברייתא דר' יוחנן בן זכאי אי' בתורה, ומסייע לרבה. ואי נימא דאביי מודה דתרוייהו איתנהו אתי שפיר. ועוד אפשר דר"י בן זכאי ידע שעסקו בגמ"ח, והוסיף להם דצריכים ג"כ תורה. א"נ אביי מגיה בדברי הברייתא דצריך ג"כ גמ"ח.</w:t>
      </w:r>
    </w:p>
  </w:footnote>
  <w:footnote w:id="6926">
    <w:p w14:paraId="0730078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מהרש"א</w:t>
      </w:r>
      <w:r w:rsidRPr="00D65870">
        <w:rPr>
          <w:rFonts w:ascii="Narkisim" w:hAnsi="Narkisim"/>
          <w:rtl/>
        </w:rPr>
        <w:t xml:space="preserve"> ביאר דנוסף לרבה כ' שנים מחמת עמוד התורה, ולאביי כ' שנים מחמת תורה, וכ' שנים מחמת עמוד הגמ"ח. וע"ע אהבת חסד (ג ח בהג') מש"כ על גמ"ח שעשה אביי.</w:t>
      </w:r>
    </w:p>
    <w:p w14:paraId="589EBB1C" w14:textId="77777777" w:rsidR="006C4368" w:rsidRPr="00D65870" w:rsidRDefault="006C4368" w:rsidP="006C4368">
      <w:pPr>
        <w:pStyle w:val="Footnote"/>
        <w:bidi/>
        <w:rPr>
          <w:rFonts w:ascii="Narkisim" w:hAnsi="Narkisim"/>
        </w:rPr>
      </w:pPr>
      <w:r w:rsidRPr="00D65870">
        <w:rPr>
          <w:rFonts w:ascii="Narkisim" w:hAnsi="Narkisim"/>
          <w:rtl/>
        </w:rPr>
        <w:tab/>
        <w:t>[אך בגמ' (לעיל סד:) משמע דאביי נפטר משום שנשא קטלנית].</w:t>
      </w:r>
    </w:p>
  </w:footnote>
  <w:footnote w:id="6927">
    <w:p w14:paraId="5C7D09E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ובגמ' (ר"ה יח.) אי' כתיב (ירמיה ד יד) כבסי מרעה לבך, וכתיב (שם ב נב) כי אם תכבסי בנתר ותרבי לך ברית נכתם עונך לפני, מאי לאו כאן קודם גזר דין כאן לאחר גזר דין. לא כאן בגזר דין שיש עמה שבועה.</w:t>
      </w:r>
    </w:p>
  </w:footnote>
  <w:footnote w:id="6928">
    <w:p w14:paraId="43F27A0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והגמ' פי' דהך קרא איירי ביחיד, והביאו דכ"מ מהמשך הפסוקים (ישעיה נה ז) יעזוב רשע דרכו, ואיש און וגו'. דקאי על היחיד.</w:t>
      </w:r>
    </w:p>
  </w:footnote>
  <w:footnote w:id="6929">
    <w:p w14:paraId="4840297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חכמת מנוח</w:t>
      </w:r>
      <w:r w:rsidRPr="00D65870">
        <w:rPr>
          <w:rFonts w:ascii="Narkisim" w:hAnsi="Narkisim"/>
          <w:rtl/>
        </w:rPr>
        <w:t xml:space="preserve"> כת' רמז לי' ימי תשובה דדרשי' 'בה'מצאו, ב' פעמים ה' היינו י' ימים. ועוד רמז ב"ה ר"ת ביום הכיפורים.</w:t>
      </w:r>
    </w:p>
  </w:footnote>
  <w:footnote w:id="6930">
    <w:p w14:paraId="6083D30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ועיל"פ דקי"ל דהכל נחתמים ביוה"כ, ואפ"ה דרשינן בכל זמן שיקראו. וע"ע מהרש"א ח"א (לעיל מט:).</w:t>
      </w:r>
    </w:p>
  </w:footnote>
  <w:footnote w:id="6931">
    <w:p w14:paraId="3C42DB9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(ס' הזכות) הביא דכ"ה ב</w:t>
      </w:r>
      <w:r w:rsidRPr="00D65870">
        <w:rPr>
          <w:rFonts w:ascii="Narkisim" w:hAnsi="Narkisim"/>
          <w:b/>
          <w:bCs/>
          <w:rtl/>
        </w:rPr>
        <w:t>ירושלמי</w:t>
      </w:r>
      <w:r w:rsidRPr="00D65870">
        <w:rPr>
          <w:rFonts w:ascii="Narkisim" w:hAnsi="Narkisim"/>
          <w:rtl/>
        </w:rPr>
        <w:t xml:space="preserve"> שלוי השיב אם יש בו צחצוחית רוק כשר.</w:t>
      </w:r>
    </w:p>
  </w:footnote>
  <w:footnote w:id="6932">
    <w:p w14:paraId="6BEE8D2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ועד"ז אי' (ב"ק כה., נזיר סו.) דלר' יהושע שכבת זרע של זב מטמא במשא, משום צחצוחי זיבה.</w:t>
      </w:r>
    </w:p>
  </w:footnote>
  <w:footnote w:id="6933">
    <w:p w14:paraId="39AA5A4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ומדאורייתא בטל ברוב, ואף דמרבנן צריך ששים היינו במידי דאכילה, ול"ש הכא. ועוד לכאורה יש כאן יותר מס'. [אבל ה</w:t>
      </w:r>
      <w:r w:rsidRPr="00D65870">
        <w:rPr>
          <w:rFonts w:ascii="Narkisim" w:hAnsi="Narkisim"/>
          <w:b/>
          <w:bCs/>
          <w:rtl/>
        </w:rPr>
        <w:t>נוב"י</w:t>
      </w:r>
      <w:r w:rsidRPr="00D65870">
        <w:rPr>
          <w:rFonts w:ascii="Narkisim" w:hAnsi="Narkisim"/>
          <w:rtl/>
        </w:rPr>
        <w:t xml:space="preserve"> (יו"ד ת' נד, ודגו"מ יו"ד יד ופתח"ת שם ג) כת' דאף המרדכי מודה דבטל בששים, שהרי אין טעמו נרגש. ויל"ד מסוגיין].</w:t>
      </w:r>
    </w:p>
  </w:footnote>
  <w:footnote w:id="6934">
    <w:p w14:paraId="57561D5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דמבואר (לקמן קו:) דאפי' אכלה תומא וגרגישתא נתמעט דלא הוה מחמת עצמה.</w:t>
      </w:r>
    </w:p>
  </w:footnote>
  <w:footnote w:id="6935">
    <w:p w14:paraId="1DB0CB1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וז"ל ה</w:t>
      </w:r>
      <w:r w:rsidRPr="00D65870">
        <w:rPr>
          <w:rFonts w:ascii="Narkisim" w:hAnsi="Narkisim"/>
          <w:b/>
          <w:bCs/>
          <w:rtl/>
        </w:rPr>
        <w:t>רמב"ם</w:t>
      </w:r>
      <w:r w:rsidRPr="00D65870">
        <w:rPr>
          <w:rFonts w:ascii="Narkisim" w:hAnsi="Narkisim"/>
          <w:rtl/>
        </w:rPr>
        <w:t xml:space="preserve"> רקקה דם, או שהיה שותת מפיה אינו כלום. אבל אם מצצה ורקקה כשר, שאי אפשר לדם שנמצץ בלא צחצוחי רוק.</w:t>
      </w:r>
    </w:p>
  </w:footnote>
  <w:footnote w:id="6936">
    <w:p w14:paraId="226B9FC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הרמב"ם כת' דאף כה"ג אינה כלום. ודלא כתוס' חד מקמאי. [וכן לא חילק כדברי הראב"ד].</w:t>
      </w:r>
    </w:p>
    <w:p w14:paraId="15DC484B"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שו"ע</w:t>
      </w:r>
      <w:r w:rsidRPr="00D65870">
        <w:rPr>
          <w:rFonts w:ascii="Narkisim" w:hAnsi="Narkisim"/>
          <w:rtl/>
        </w:rPr>
        <w:t xml:space="preserve"> (קסט מה) הביא יש מי שאומר דאם רקקה דם בלא צחצוחי רוק אינה פסולה לאחים [וכדברי הרמב"ם]. וה</w:t>
      </w:r>
      <w:r w:rsidRPr="00D65870">
        <w:rPr>
          <w:rFonts w:ascii="Narkisim" w:hAnsi="Narkisim"/>
          <w:b/>
          <w:bCs/>
          <w:rtl/>
        </w:rPr>
        <w:t>בי"ש</w:t>
      </w:r>
      <w:r w:rsidRPr="00D65870">
        <w:rPr>
          <w:rFonts w:ascii="Narkisim" w:hAnsi="Narkisim"/>
          <w:rtl/>
        </w:rPr>
        <w:t xml:space="preserve"> (שם מז) הק' דאין בזה מח'. דאף מ"ד דפליג על הראב"ד ס"ל דדם לחוד אינו פוסל. וה</w:t>
      </w:r>
      <w:r w:rsidRPr="00D65870">
        <w:rPr>
          <w:rFonts w:ascii="Narkisim" w:hAnsi="Narkisim"/>
          <w:b/>
          <w:bCs/>
          <w:rtl/>
        </w:rPr>
        <w:t>ק"נ</w:t>
      </w:r>
      <w:r w:rsidRPr="00D65870">
        <w:rPr>
          <w:rFonts w:ascii="Narkisim" w:hAnsi="Narkisim"/>
          <w:rtl/>
        </w:rPr>
        <w:t xml:space="preserve"> כת' דעיקר כוונת השו"ע דמהני בלא מציצה, וכרשב"א. [וי"ל דבא לאפוקי מדברי התוס' חד מקמאי].</w:t>
      </w:r>
    </w:p>
  </w:footnote>
  <w:footnote w:id="6937">
    <w:p w14:paraId="3ECE19E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ויש שהק' מנ"ל לגמ' דצחצוחי רוק הוה ודאי, נימא דאף דהוה ספק סגי. דכיון דרקיקה אינו מעכב הקילו. אך לדברי התוס' מבואר דאף בזה גזרו שמא יתירו חלוצה לאחים. וע"כ דהוה ודאי גמור.</w:t>
      </w:r>
    </w:p>
  </w:footnote>
  <w:footnote w:id="6938">
    <w:p w14:paraId="03C540D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ואפשר דהיכא דחלצה ואח"כ רקקה דם אמרי' דתחזור ותרוק רקיקה מעלייתא. אבל היכא דרקקה קודם חליצה, תקנו שלא תחזור ותרוק לאחר חליצה משום גזירה כדלעיל.</w:t>
      </w:r>
    </w:p>
  </w:footnote>
  <w:footnote w:id="6939">
    <w:p w14:paraId="4154296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גט פסול דפוסל לכהונה פ</w:t>
      </w:r>
      <w:r w:rsidRPr="00D65870">
        <w:rPr>
          <w:rFonts w:ascii="Narkisim" w:hAnsi="Narkisim"/>
          <w:b/>
          <w:bCs/>
          <w:rtl/>
        </w:rPr>
        <w:t>רש"י</w:t>
      </w:r>
      <w:r w:rsidRPr="00D65870">
        <w:rPr>
          <w:rFonts w:ascii="Narkisim" w:hAnsi="Narkisim"/>
          <w:rtl/>
        </w:rPr>
        <w:t xml:space="preserve"> (גיטין כד:) דהוה משום ריח הגט, דילפי' (גיטין פב:) דפוסל לכהונה. ובפשוטו מבואר שם דהוה מדאורייתא. אבל ה</w:t>
      </w:r>
      <w:r w:rsidRPr="00D65870">
        <w:rPr>
          <w:rFonts w:ascii="Narkisim" w:hAnsi="Narkisim"/>
          <w:b/>
          <w:bCs/>
          <w:rtl/>
        </w:rPr>
        <w:t>רמב"ם</w:t>
      </w:r>
      <w:r w:rsidRPr="00D65870">
        <w:rPr>
          <w:rFonts w:ascii="Narkisim" w:hAnsi="Narkisim"/>
          <w:rtl/>
        </w:rPr>
        <w:t xml:space="preserve"> (גירושין י א) כת' דהוה מדרבנן.</w:t>
      </w:r>
    </w:p>
  </w:footnote>
  <w:footnote w:id="6940">
    <w:p w14:paraId="54C4427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כל מקום שאמרנו 'אינה חליצה' או 'לא עשה כלום' או 'אינה כלום' הרי היא כאילו לא נחלצה לו, ולא נאסרו עליו קרובותיה ולא נפסלה מן הכהונה ומותרת להתיבם.</w:t>
      </w:r>
    </w:p>
  </w:footnote>
  <w:footnote w:id="6941">
    <w:p w14:paraId="083662A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דה</w:t>
      </w:r>
      <w:r w:rsidRPr="00D65870">
        <w:rPr>
          <w:rFonts w:ascii="Narkisim" w:hAnsi="Narkisim"/>
          <w:b/>
          <w:bCs/>
          <w:rtl/>
        </w:rPr>
        <w:t>קרי"ס</w:t>
      </w:r>
      <w:r w:rsidRPr="00D65870">
        <w:rPr>
          <w:rFonts w:ascii="Narkisim" w:hAnsi="Narkisim"/>
          <w:rtl/>
        </w:rPr>
        <w:t xml:space="preserve"> העתיק דברי הרמב"ם (הנ"ל) וכל מקום שנאמר חליצתה כשרה מן התורה הרי זו פסולה מדרבנן לכהונה ונאסרו קרובותיה ונאסרה לאחים ואינה מותרת להנשא לזר ומן התורה אינה מתיבמת. [ואולי הקרי"ס שינה לשון הרמב"ם, דיש אופנים ש'פסול' מדאורייתא, ופוסל משום גזירה. וצ"ע].</w:t>
      </w:r>
    </w:p>
  </w:footnote>
  <w:footnote w:id="6942">
    <w:p w14:paraId="2972E2C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שעה"מ</w:t>
      </w:r>
      <w:r w:rsidRPr="00D65870">
        <w:rPr>
          <w:rFonts w:ascii="Narkisim" w:hAnsi="Narkisim"/>
          <w:rtl/>
        </w:rPr>
        <w:t xml:space="preserve"> (אישות ו ב ד"ה ועוד נ"ל ליישב) העתיק את דברי הרמב"ם דכל מקום שנאמר חליצתה פסולה אינו אלא מדרבנן.</w:t>
      </w:r>
    </w:p>
  </w:footnote>
  <w:footnote w:id="6943">
    <w:p w14:paraId="3772C4C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וכדאי' בגמ' (בע"א) דרקיקה פוסל משום דמחלפה. אך יש לדחות דלשון ה</w:t>
      </w:r>
      <w:r w:rsidRPr="00D65870">
        <w:rPr>
          <w:rFonts w:ascii="Narkisim" w:hAnsi="Narkisim"/>
          <w:b/>
          <w:bCs/>
          <w:rtl/>
        </w:rPr>
        <w:t>רמב"ם</w:t>
      </w:r>
      <w:r w:rsidRPr="00D65870">
        <w:rPr>
          <w:rFonts w:ascii="Narkisim" w:hAnsi="Narkisim"/>
          <w:rtl/>
        </w:rPr>
        <w:t xml:space="preserve"> (שם יד) דיבמה שרקקה בלבד, הרי זו 'כ'חליצה פסולה. [ועוד האו"ש (שם טז) הביא דהרמב"ם הביא שם באופ"א].</w:t>
      </w:r>
    </w:p>
  </w:footnote>
  <w:footnote w:id="6944">
    <w:p w14:paraId="48F41A5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אשת איש שהלך בעלה למדינת הים אמרו (לעיל פט.) דהוה משום קנסא. וכדאי' בירושלמי שם קנס קנסו בה שתהא בודקת יפה.</w:t>
      </w:r>
    </w:p>
  </w:footnote>
  <w:footnote w:id="6945">
    <w:p w14:paraId="57A3C58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צ"ב דבמשנה לא הובא מ"ד כשירה כלל.</w:t>
      </w:r>
    </w:p>
  </w:footnote>
  <w:footnote w:id="6946">
    <w:p w14:paraId="40DE069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וצ"ב דהך משנה כר' מאיר דקטן פוסל [, א"כ מה ס"ד.</w:t>
      </w:r>
    </w:p>
  </w:footnote>
  <w:footnote w:id="6947">
    <w:p w14:paraId="20B099D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(בכורות כב:) הביאו עד"ז כ"מ דגירסת המשנה בירושלמי אינו כמו בגמ' שלנו. ותוס' פי' דהוה מחלוקת של בני בבל ושל בני א"י מהש"ס שלנו והש"ס ירושלמי בגירסת המשנה. ואפשר דאיכא תני הכי ואיכא תני הכי. [אך תוס' (בכורות יט:) הביאו דיש ספרים דגרסי (כאן) כירושלמי, ותוס' הכריעו כגירסא זו משום קושיות התוס' כאן].</w:t>
      </w:r>
    </w:p>
  </w:footnote>
  <w:footnote w:id="6948">
    <w:p w14:paraId="3209A62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וכן </w:t>
      </w:r>
      <w:r w:rsidRPr="00D65870">
        <w:rPr>
          <w:rFonts w:ascii="Narkisim" w:hAnsi="Narkisim"/>
          <w:b/>
          <w:bCs/>
          <w:rtl/>
        </w:rPr>
        <w:t>תוס'</w:t>
      </w:r>
      <w:r w:rsidRPr="00D65870">
        <w:rPr>
          <w:rFonts w:ascii="Narkisim" w:hAnsi="Narkisim"/>
          <w:rtl/>
        </w:rPr>
        <w:t xml:space="preserve"> (לק' קי. ד"ה וחרשת) הביאו מח' זו.</w:t>
      </w:r>
    </w:p>
  </w:footnote>
  <w:footnote w:id="6949">
    <w:p w14:paraId="37387EC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פי' דהא דמקיש ר"מ אשה לאיש היינו מדרבנן. ותוס' בכורות פי' דהא דמקשינן אשה לאיש הוה אסמכתא בעלמא, וטעמא משום דגזרינן אשה אטו איש. א"נ גזרינן חליצה אטו יבום [ור' מאיר לשיטתו דחייש למיעוטא, ואינה מתייבמת].</w:t>
      </w:r>
    </w:p>
  </w:footnote>
  <w:footnote w:id="6950">
    <w:p w14:paraId="0D64C39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ובגמ' (לעיל סא:) תניא קטנה מתייבמת ואינה חולצת דברי רבי אליעזר. ו</w:t>
      </w:r>
      <w:r w:rsidRPr="00D65870">
        <w:rPr>
          <w:rFonts w:ascii="Narkisim" w:hAnsi="Narkisim"/>
          <w:b/>
          <w:bCs/>
          <w:rtl/>
        </w:rPr>
        <w:t>רש"י</w:t>
      </w:r>
      <w:r w:rsidRPr="00D65870">
        <w:rPr>
          <w:rFonts w:ascii="Narkisim" w:hAnsi="Narkisim"/>
          <w:rtl/>
        </w:rPr>
        <w:t xml:space="preserve"> (שם) פי' דאין מעשה קטנה כלום. וצ"ב אמאי שינה מדברי הגמ' דר' מאיר מקיש אשה לאיש [וכ"כ הרשב"א בדעת ר"א]. וי"ל שנקט הכי משום דבתוספתא מבואר דר"א סבר דאינו פוסל כלל.</w:t>
      </w:r>
    </w:p>
  </w:footnote>
  <w:footnote w:id="6951">
    <w:p w14:paraId="6DAFE77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רשב"א</w:t>
      </w:r>
      <w:r w:rsidRPr="00D65870">
        <w:rPr>
          <w:rFonts w:ascii="Narkisim" w:hAnsi="Narkisim"/>
          <w:rtl/>
        </w:rPr>
        <w:t xml:space="preserve"> כת' דמ"מ קי"ל כרבנן [לגירסת הירושלמי], דכיון דלא חשו לשנות את דברי התוספתא כאן, ולומר בסיפא דמתני' זו דברי ר"מ אבל ר' אליעזר אומר חליצתה פסולה ש"מ דלא חיישינן לדר' אליעזר, וצריך תלמוד.</w:t>
      </w:r>
    </w:p>
  </w:footnote>
  <w:footnote w:id="6952">
    <w:p w14:paraId="104EE2B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ואף ה</w:t>
      </w:r>
      <w:r w:rsidRPr="00D65870">
        <w:rPr>
          <w:rFonts w:ascii="Narkisim" w:hAnsi="Narkisim"/>
          <w:b/>
          <w:bCs/>
          <w:rtl/>
        </w:rPr>
        <w:t>טור</w:t>
      </w:r>
      <w:r w:rsidRPr="00D65870">
        <w:rPr>
          <w:rFonts w:ascii="Narkisim" w:hAnsi="Narkisim"/>
          <w:rtl/>
        </w:rPr>
        <w:t xml:space="preserve"> (הנ"ל) סיים דאנו מתפללין כנגד ביהמ"ק, ולכן צריך שיתן עיניו למטה כנגדו, ונחשב כאילו אנו עומדים בו ומתפללין.</w:t>
      </w:r>
    </w:p>
  </w:footnote>
  <w:footnote w:id="6953">
    <w:p w14:paraId="3D5C92A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כענין שאמרו הקדמונים כשתרצה לכוין פשוט גופך מעל נשמתך.</w:t>
      </w:r>
    </w:p>
  </w:footnote>
  <w:footnote w:id="6954">
    <w:p w14:paraId="2373A48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כלי יקר</w:t>
      </w:r>
      <w:r w:rsidRPr="00D65870">
        <w:rPr>
          <w:rFonts w:ascii="Narkisim" w:hAnsi="Narkisim"/>
          <w:rtl/>
        </w:rPr>
        <w:t xml:space="preserve"> (שמות כה י, ועד"ז כמה קדמונים) ביאר דהמתפלל על צורכי הנפש והגוף, בעניני הנפש יתן ליבו [הרואה הרבה חכמה ודעת] במי שהוא למעלה ממנו, ויתפלל אל ה' להטות לבבו אל החכמה שיגיע בה למעלת השלימים. ובעניני הגוף, עיניו הרואות בחמדות הגוף המוחשות יתן במי שהוא למטה ממנו במדריגה. ואז ישמח בחלקו ולא יבקש על ריבוי עושר. [עי"ש שהאריך].</w:t>
      </w:r>
    </w:p>
  </w:footnote>
  <w:footnote w:id="6955">
    <w:p w14:paraId="267CADC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ד</w:t>
      </w:r>
      <w:r w:rsidRPr="00D65870">
        <w:rPr>
          <w:rFonts w:ascii="Narkisim" w:hAnsi="Narkisim"/>
          <w:b/>
          <w:bCs/>
          <w:rtl/>
        </w:rPr>
        <w:t>תלמידי ה"ר יונה</w:t>
      </w:r>
      <w:r w:rsidRPr="00D65870">
        <w:rPr>
          <w:rFonts w:ascii="Narkisim" w:hAnsi="Narkisim"/>
          <w:rtl/>
        </w:rPr>
        <w:t xml:space="preserve"> (שם כד: בדה"ר) כת' טעם אחר, דבית שיש בו חלונות מתוקן באויר טוב. [והביא דמהר"י אבוהב פי' דמפני קושיא זו שינה מפרש"י].</w:t>
      </w:r>
    </w:p>
  </w:footnote>
  <w:footnote w:id="6956">
    <w:p w14:paraId="1823B57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וכמו במי שמשמיע קולו בתפלתו (ברכות כד:), דהוה כאילו הקב"ה אינו שומע בנחת, וה"נ הוה כאילו הקב"ה אינו משגיח בפנויי לבו של אדם, זולת הבטה חושיית. וודאי אינו כן.</w:t>
      </w:r>
    </w:p>
    <w:p w14:paraId="2CF5479C" w14:textId="77777777" w:rsidR="006C4368" w:rsidRPr="00D65870" w:rsidRDefault="006C4368" w:rsidP="006C4368">
      <w:pPr>
        <w:pStyle w:val="Footnote"/>
        <w:bidi/>
        <w:rPr>
          <w:rFonts w:ascii="Narkisim" w:hAnsi="Narkisim"/>
        </w:rPr>
      </w:pPr>
      <w:r w:rsidRPr="00D65870">
        <w:rPr>
          <w:rFonts w:ascii="Narkisim" w:hAnsi="Narkisim"/>
          <w:rtl/>
        </w:rPr>
        <w:tab/>
        <w:t>והביא דב</w:t>
      </w:r>
      <w:r w:rsidRPr="00D65870">
        <w:rPr>
          <w:rFonts w:ascii="Narkisim" w:hAnsi="Narkisim"/>
          <w:b/>
          <w:bCs/>
          <w:rtl/>
        </w:rPr>
        <w:t>מדרש</w:t>
      </w:r>
      <w:r w:rsidRPr="00D65870">
        <w:rPr>
          <w:rFonts w:ascii="Narkisim" w:hAnsi="Narkisim"/>
          <w:rtl/>
        </w:rPr>
        <w:t xml:space="preserve"> (והו' בס' חסידים ס"ס יח) איתא שמלאכי השרת מלעיגים עליהם, וקוראין אותו רישי דחזירי.</w:t>
      </w:r>
    </w:p>
  </w:footnote>
  <w:footnote w:id="6957">
    <w:p w14:paraId="58C8FA0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והביא כן מספר </w:t>
      </w:r>
      <w:r w:rsidRPr="00D65870">
        <w:rPr>
          <w:rFonts w:ascii="Narkisim" w:hAnsi="Narkisim"/>
          <w:b/>
          <w:bCs/>
          <w:rtl/>
        </w:rPr>
        <w:t>היכלות</w:t>
      </w:r>
      <w:r w:rsidRPr="00D65870">
        <w:rPr>
          <w:rFonts w:ascii="Narkisim" w:hAnsi="Narkisim"/>
          <w:rtl/>
        </w:rPr>
        <w:t xml:space="preserve"> שבכל יום ובכל שעה שישראל אומרים לפני קדושה למדו אותם ואמרו להם שאו למרום עיניכם כנגד בית תפילתכם, כי אין לי הנאה בעולמי שבראתי כאותה שעה שעיניכם נשואות בעיני ועיני נשואות בעיניכם, ואומרים לפני קדוש. שהבל היוצא מפיכם באותה שעה יורד ועולה לפני כריח הניחוח.</w:t>
      </w:r>
    </w:p>
  </w:footnote>
  <w:footnote w:id="6958">
    <w:p w14:paraId="312D780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ב</w:t>
      </w:r>
      <w:r w:rsidRPr="00D65870">
        <w:rPr>
          <w:rFonts w:ascii="Narkisim" w:hAnsi="Narkisim"/>
          <w:b/>
          <w:bCs/>
          <w:rtl/>
        </w:rPr>
        <w:t>ירושלמי</w:t>
      </w:r>
      <w:r w:rsidRPr="00D65870">
        <w:rPr>
          <w:rFonts w:ascii="Narkisim" w:hAnsi="Narkisim"/>
          <w:rtl/>
        </w:rPr>
        <w:t xml:space="preserve"> (ברכות ד א) אי' דאבדן היה אמוריה [מתורגמן להכריז] של רבי.</w:t>
      </w:r>
    </w:p>
  </w:footnote>
  <w:footnote w:id="6959">
    <w:p w14:paraId="38634E7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מרדכי</w:t>
      </w:r>
      <w:r w:rsidRPr="00D65870">
        <w:rPr>
          <w:rFonts w:ascii="Narkisim" w:hAnsi="Narkisim"/>
          <w:rtl/>
        </w:rPr>
        <w:t xml:space="preserve"> (נח) הביא דר' משולם דן אי מהני נשים הקרובות. והביא דר"ת סבר דאף הנשים שאינן נאמנות לומר שמת בעלה (לקמן קיז.) נאמנות בבדיקה זו. דהוה גילוי מילתא בעלמא [וציין לדברי הרי"ף לעיל לט:, ובהמשך דבריו הביא דנח' ע"ז דלא דמי].</w:t>
      </w:r>
    </w:p>
  </w:footnote>
  <w:footnote w:id="6960">
    <w:p w14:paraId="54C5C02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נמוק"י</w:t>
      </w:r>
      <w:r w:rsidRPr="00D65870">
        <w:rPr>
          <w:rFonts w:ascii="Narkisim" w:hAnsi="Narkisim"/>
          <w:rtl/>
        </w:rPr>
        <w:t xml:space="preserve"> (לקמן מ: בדה"ר) כת' כלומר נשים יראות חטא, דקים לן בהו דלא משקרי. ול"מ נשים בעלמא.</w:t>
      </w:r>
    </w:p>
    <w:p w14:paraId="4168CC31"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רמב"ן</w:t>
      </w:r>
      <w:r w:rsidRPr="00D65870">
        <w:rPr>
          <w:rFonts w:ascii="Narkisim" w:hAnsi="Narkisim"/>
          <w:rtl/>
        </w:rPr>
        <w:t xml:space="preserve"> (נדה שם) ציין לדברי הרי"ף (לעיל לט:) דהוה גילוי מילתא בעלמא, ומש"ה ל"צ עדות. והריטב"א (שם) ביאר אע"ג דתלוי בזה דבר שבערוה, מ"מ כיון דמילתא דאפשר לאיגלויי הוא, ואינן מעידות על דבר שבערוה ממש אלא על גופן של שערות, עשאוהו כשאר איסורין שנאמנת בהן אשה.</w:t>
      </w:r>
    </w:p>
  </w:footnote>
  <w:footnote w:id="6961">
    <w:p w14:paraId="6C6E469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א"נ כמ"ד דמהני סימנים תוך הזמן, וכה"ג צריך עדות ברורה להקל בחליצה ע"פ הסימנים.</w:t>
      </w:r>
    </w:p>
  </w:footnote>
  <w:footnote w:id="6962">
    <w:p w14:paraId="5D972A6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ותוס' הביאו דכ"מ ב</w:t>
      </w:r>
      <w:r w:rsidRPr="00D65870">
        <w:rPr>
          <w:rFonts w:ascii="Narkisim" w:hAnsi="Narkisim"/>
          <w:b/>
          <w:bCs/>
          <w:rtl/>
        </w:rPr>
        <w:t>תוספתא</w:t>
      </w:r>
      <w:r w:rsidRPr="00D65870">
        <w:rPr>
          <w:rFonts w:ascii="Narkisim" w:hAnsi="Narkisim"/>
          <w:rtl/>
        </w:rPr>
        <w:t>, אך ה</w:t>
      </w:r>
      <w:r w:rsidRPr="00D65870">
        <w:rPr>
          <w:rFonts w:ascii="Narkisim" w:hAnsi="Narkisim"/>
          <w:b/>
          <w:bCs/>
          <w:rtl/>
        </w:rPr>
        <w:t>באר שבע</w:t>
      </w:r>
      <w:r w:rsidRPr="00D65870">
        <w:rPr>
          <w:rFonts w:ascii="Narkisim" w:hAnsi="Narkisim"/>
          <w:rtl/>
        </w:rPr>
        <w:t xml:space="preserve"> העיר דבתוספתא לפנינו (סנהדרין ז) אי' סתם יצא לצורך, וכגמ'.</w:t>
      </w:r>
    </w:p>
  </w:footnote>
  <w:footnote w:id="6963">
    <w:p w14:paraId="0B42B4E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דהמשך הגמ' אמר רב פפא ל"א אלא לקטנים, אבל לגדולים הו"ל לבדוק נפשיה מעיקרא. וה</w:t>
      </w:r>
      <w:r w:rsidRPr="00D65870">
        <w:rPr>
          <w:rFonts w:ascii="Narkisim" w:hAnsi="Narkisim"/>
          <w:b/>
          <w:bCs/>
          <w:rtl/>
        </w:rPr>
        <w:t xml:space="preserve">רש"ש </w:t>
      </w:r>
      <w:r w:rsidRPr="00D65870">
        <w:rPr>
          <w:rFonts w:ascii="Narkisim" w:hAnsi="Narkisim"/>
          <w:rtl/>
        </w:rPr>
        <w:t>כת' דאולי כוונת התוס' דזהו ג"כ לצורך העם, דאם לא יפנה לא יוכל לעשות צורך העם. או דר"ל דהכניסה היא לצורך העם.</w:t>
      </w:r>
    </w:p>
  </w:footnote>
  <w:footnote w:id="6964">
    <w:p w14:paraId="19236CB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וביאר דאף דבקנינים קטן זוכה לעצמו מדאורייתא [בדעת אחרת מקנה].</w:t>
      </w:r>
    </w:p>
  </w:footnote>
  <w:footnote w:id="6965">
    <w:p w14:paraId="7F0F98E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דיש לו דעת לזכות לאחרים בדאורייתא [וכדאי' (שם סד:) דחפץ ומחזירו הוה כמו פעוטות, וזוכה לאחרים מדאורייתא].</w:t>
      </w:r>
    </w:p>
  </w:footnote>
  <w:footnote w:id="6966">
    <w:p w14:paraId="1469B4A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ראב"ד</w:t>
      </w:r>
      <w:r w:rsidRPr="00D65870">
        <w:rPr>
          <w:rFonts w:ascii="Narkisim" w:hAnsi="Narkisim"/>
          <w:rtl/>
        </w:rPr>
        <w:t xml:space="preserve"> (השגות לרי"ף גיטין סה. לא. בדה"ר) דעונת נדרים היינו אותו זמן דהוה נדר אפי' אמרו אין אנו יודעים לשם מי נדרנו, דהיינו מי"ג שנה ויום א', וכנגדו בקטנה י"ב שנה ויום א' חולצת. והוא שהביאה שתי שערות, אבל קי"ל דל"מ שערות קודם הזמן הזה, דקי"ל תוך זמן כלפני זמן.</w:t>
      </w:r>
    </w:p>
  </w:footnote>
  <w:footnote w:id="6967">
    <w:p w14:paraId="36434EB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והא דאי' (גיטין סה.) 'וכנגדן בקטנה', היינו קטנה שהגיעה לעונת הנדרים של קטן, וכנגדן בבת הוה גדולה.</w:t>
      </w:r>
    </w:p>
  </w:footnote>
  <w:footnote w:id="6968">
    <w:p w14:paraId="4F30A91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תוס' והראשונים דנו אי הגמ' דוחה דברי רבא, או דהוה סיומא דמילתא דרבא. דרבא גופיה סבר דאין הלכה כר' יוסי.</w:t>
      </w:r>
    </w:p>
  </w:footnote>
  <w:footnote w:id="6969">
    <w:p w14:paraId="18D3979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xml:space="preserve"> (נדה מט.) כת' דטוב לכתחילה לבדוק קודם הפרק [קודם שהגיעו לכלל שנים], ולאחר הפרק. ואותם שערות שהיו קודם ל"מ אח"כ, דהוה שומא. עד שיתווספו ב' שערות. אבל אם באו גדולים, אין לחוש שמא השערות הם מלפני הפרק.</w:t>
      </w:r>
    </w:p>
  </w:footnote>
  <w:footnote w:id="6970">
    <w:p w14:paraId="086A891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מרדכי</w:t>
      </w:r>
      <w:r w:rsidRPr="00D65870">
        <w:rPr>
          <w:rFonts w:ascii="Narkisim" w:hAnsi="Narkisim"/>
          <w:rtl/>
        </w:rPr>
        <w:t xml:space="preserve"> (נז מדברי סה"ת) כת' דאינו נאמן. ובהמשך דבריו (נט) הביא בשם ר' יואל הלוי דהאב נאמן על בנו שהוא גדול שיחלוץ. אבל אינו נאמן להתיר יבמה לשוק דהוה ערוה. [ומשמע דכוונתו לחלק דמהני כשמעיד קודם מעשה החליצה, ול"מ לאחר המעשה].</w:t>
      </w:r>
    </w:p>
    <w:p w14:paraId="7A192086"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מרדכי</w:t>
      </w:r>
      <w:r w:rsidRPr="00D65870">
        <w:rPr>
          <w:rFonts w:ascii="Narkisim" w:hAnsi="Narkisim"/>
          <w:rtl/>
        </w:rPr>
        <w:t xml:space="preserve"> (נח) דן האם שאר קרובים נאמנים.</w:t>
      </w:r>
    </w:p>
  </w:footnote>
  <w:footnote w:id="6971">
    <w:p w14:paraId="31019C3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דלא כ</w:t>
      </w:r>
      <w:r w:rsidRPr="00D65870">
        <w:rPr>
          <w:rFonts w:ascii="Narkisim" w:hAnsi="Narkisim"/>
          <w:b/>
          <w:bCs/>
          <w:rtl/>
        </w:rPr>
        <w:t>רש"י</w:t>
      </w:r>
      <w:r w:rsidRPr="00D65870">
        <w:rPr>
          <w:rFonts w:ascii="Narkisim" w:hAnsi="Narkisim"/>
          <w:rtl/>
        </w:rPr>
        <w:t xml:space="preserve"> (שם).</w:t>
      </w:r>
    </w:p>
  </w:footnote>
  <w:footnote w:id="6972">
    <w:p w14:paraId="25D35E7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ד</w:t>
      </w:r>
      <w:r w:rsidRPr="00D65870">
        <w:rPr>
          <w:rFonts w:ascii="Narkisim" w:hAnsi="Narkisim"/>
          <w:b/>
          <w:bCs/>
          <w:rtl/>
        </w:rPr>
        <w:t>ר"ת</w:t>
      </w:r>
      <w:r w:rsidRPr="00D65870">
        <w:rPr>
          <w:rFonts w:ascii="Narkisim" w:hAnsi="Narkisim"/>
          <w:rtl/>
        </w:rPr>
        <w:t xml:space="preserve"> כת' דגבי יבמה מהני הוחזקה בשכינותיה. אבל כת' ביבם לא סגי דהוחזק גדול, שיש נוהגין לקרות בניהם לס"ת כשנכנסין לתוך י"ג שנים, ואין מוחין בו משום דקטן עולה למנין ז', ונותנים לו לברך ויורד לפני התיבה ומתפלל ואין חוששין אפי' לא עברו י"ג שנים. הילכך הוחזק בכל אלו לא הוה חזקה. ובהמשך דבריו הביא דר' יואל תמה דכה"ג לא נחשב דהוחזק, ע"י קול בעלמא.</w:t>
      </w:r>
    </w:p>
  </w:footnote>
  <w:footnote w:id="6973">
    <w:p w14:paraId="38DC160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רמב"ם</w:t>
      </w:r>
      <w:r w:rsidRPr="00D65870">
        <w:rPr>
          <w:rFonts w:ascii="Narkisim" w:hAnsi="Narkisim"/>
          <w:rtl/>
        </w:rPr>
        <w:t xml:space="preserve"> (אישות ב כב) דאין סומכין על הנשים או על הקרובים במנין השנים, אלא ע"פ ב' עדים כשרים להעיד. [אך הרמב"ם לא קאי לענין חליצה, אלא לעיקר קביעת גדלות].</w:t>
      </w:r>
    </w:p>
  </w:footnote>
  <w:footnote w:id="6974">
    <w:p w14:paraId="6E46151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והא דאמרי' מנא ידעינן לאו דוקא, אלא ה"ק מנא ידעי דמהניא, ואפי' הן מודים ל"מ.</w:t>
      </w:r>
    </w:p>
  </w:footnote>
  <w:footnote w:id="6975">
    <w:p w14:paraId="11A3C13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(יבום ד) הביא דהרמב"ם לא הזכיר דצריך עדים בחליצה או ביבום, ש"מ דל"צ עדות לקיומי.</w:t>
      </w:r>
    </w:p>
  </w:footnote>
  <w:footnote w:id="6976">
    <w:p w14:paraId="523814C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אחיעזר</w:t>
      </w:r>
      <w:r w:rsidRPr="00D65870">
        <w:rPr>
          <w:rFonts w:ascii="Narkisim" w:hAnsi="Narkisim"/>
          <w:rtl/>
        </w:rPr>
        <w:t xml:space="preserve"> הביא מדברי רע"א דהריטב"א נסתפק האם יבמה לשוק הוה איסורין, ומש"ה עד א' נאמן אף לברר [וע"ע בסמוך]. או דהוה דבר שבערוה, וצריך עדות לקיומי.</w:t>
      </w:r>
    </w:p>
  </w:footnote>
  <w:footnote w:id="6977">
    <w:p w14:paraId="4C80E55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רע"א</w:t>
      </w:r>
      <w:r w:rsidRPr="00D65870">
        <w:rPr>
          <w:rFonts w:ascii="Narkisim" w:hAnsi="Narkisim"/>
          <w:rtl/>
        </w:rPr>
        <w:t xml:space="preserve"> ביאר דהא הבי"ד הם יושבים, ולאו בשם עדים נינהו. אך שוב כת' רע"א [ואחר העיון] דדוקא הגדת עדות בעמידה בפני בי"ד. אבל ראייה עדות ל"צ עמידה. דלא שמענו דעדים החותמים על השטר צריך מעומד. ואף דעדים החתומים בשטר כמי שנחקרה עדותן דבחתימתן הוי כמעידים. וכן בעדות קידושין לא שמענו. [וכן האריך השער"י ז ה].</w:t>
      </w:r>
    </w:p>
  </w:footnote>
  <w:footnote w:id="6978">
    <w:p w14:paraId="07EA068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משום שמא א' מהקרובים יתכוון להעיד, ועי"ז יפסול כל העדים מדין נמצא א' קרוב או פסול. ונחשב דאף ליכא עדות לקיומי [ע' ריטב"א קידושין מג. ומכות ו. ואכמ"ל].</w:t>
      </w:r>
    </w:p>
    <w:p w14:paraId="380A3CEB" w14:textId="77777777" w:rsidR="006C4368" w:rsidRPr="00D65870" w:rsidRDefault="006C4368" w:rsidP="006C4368">
      <w:pPr>
        <w:pStyle w:val="Footnote"/>
        <w:bidi/>
        <w:rPr>
          <w:rFonts w:ascii="Narkisim" w:hAnsi="Narkisim"/>
        </w:rPr>
      </w:pPr>
      <w:r w:rsidRPr="00D65870">
        <w:rPr>
          <w:rFonts w:ascii="Narkisim" w:hAnsi="Narkisim"/>
          <w:rtl/>
        </w:rPr>
        <w:tab/>
        <w:t xml:space="preserve">א"כ נפק"מ היכא דמקצת מהרואים פסולים, דכיון דלא יחדו עדים נימא נמצא א' קרוב או פסול. וע"ע </w:t>
      </w:r>
      <w:r w:rsidRPr="00D65870">
        <w:rPr>
          <w:rFonts w:ascii="Narkisim" w:hAnsi="Narkisim"/>
          <w:b/>
          <w:bCs/>
          <w:rtl/>
        </w:rPr>
        <w:t>שער"י</w:t>
      </w:r>
      <w:r w:rsidRPr="00D65870">
        <w:rPr>
          <w:rFonts w:ascii="Narkisim" w:hAnsi="Narkisim"/>
          <w:rtl/>
        </w:rPr>
        <w:t xml:space="preserve"> (ז ה).</w:t>
      </w:r>
    </w:p>
  </w:footnote>
  <w:footnote w:id="6979">
    <w:p w14:paraId="7BCFDA3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והגר"ח דייק דכ"ד ה</w:t>
      </w:r>
      <w:r w:rsidRPr="00D65870">
        <w:rPr>
          <w:rFonts w:ascii="Narkisim" w:hAnsi="Narkisim"/>
          <w:b/>
          <w:bCs/>
          <w:rtl/>
        </w:rPr>
        <w:t>רמב"ם</w:t>
      </w:r>
      <w:r w:rsidRPr="00D65870">
        <w:rPr>
          <w:rFonts w:ascii="Narkisim" w:hAnsi="Narkisim"/>
          <w:rtl/>
        </w:rPr>
        <w:t xml:space="preserve"> (ד טז) דס"ל דחליצה בינו לבינה פוסל מיבום, ואף בלא עדות לקיומא.</w:t>
      </w:r>
    </w:p>
    <w:p w14:paraId="6FF33776" w14:textId="77777777" w:rsidR="006C4368" w:rsidRPr="00D65870" w:rsidRDefault="006C4368" w:rsidP="006C4368">
      <w:pPr>
        <w:pStyle w:val="Footnote"/>
        <w:bidi/>
        <w:rPr>
          <w:rFonts w:ascii="Narkisim" w:hAnsi="Narkisim"/>
        </w:rPr>
      </w:pPr>
      <w:r w:rsidRPr="00D65870">
        <w:rPr>
          <w:rFonts w:ascii="Narkisim" w:hAnsi="Narkisim"/>
          <w:rtl/>
        </w:rPr>
        <w:tab/>
        <w:t>ועוד הביא הגר"ח דה</w:t>
      </w:r>
      <w:r w:rsidRPr="00D65870">
        <w:rPr>
          <w:rFonts w:ascii="Narkisim" w:hAnsi="Narkisim"/>
          <w:b/>
          <w:bCs/>
          <w:rtl/>
        </w:rPr>
        <w:t>רמב"ם</w:t>
      </w:r>
      <w:r w:rsidRPr="00D65870">
        <w:rPr>
          <w:rFonts w:ascii="Narkisim" w:hAnsi="Narkisim"/>
          <w:rtl/>
        </w:rPr>
        <w:t xml:space="preserve"> (גירושין ו ט) כת' דל"מ שליח לקבלה של קטנה, דאין מעידין על הקטן. והגר"ח הק' א"כ אמאי איצטריך למעט חליצה של חרש וקטן, תיפו"ל דאין מעידין עליהם. אלא דדוקא היכא דצריך עדות לקיומי שייך סברת אין מעידין על הקטן, ולדעת הרמב"ם חליצה ל"צ עדות לקיומי. [וכת' דלהך תי' בנמוק"י דצריך עדות לקיומי, ע"כ סבר כראב"ד דמעידים על הקטן.</w:t>
      </w:r>
    </w:p>
  </w:footnote>
  <w:footnote w:id="6980">
    <w:p w14:paraId="60A38EC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ודמי לזנות נאסרת בלא עדים (וכדאי' כתובות ט.), ודוקא לברר הדבר נאמר דאין דבר שבערוה פחות מב'.</w:t>
      </w:r>
    </w:p>
  </w:footnote>
  <w:footnote w:id="6981">
    <w:p w14:paraId="7DA9F55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[ולצד דיבום צריך עדות י"ל דהוה משום קנין האישות, ואין ראיה מהתם לחליצה].</w:t>
      </w:r>
    </w:p>
  </w:footnote>
  <w:footnote w:id="6982">
    <w:p w14:paraId="7C36AEA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יש מקום לחלק דיבום ל"צ כוונת קנין כלל. משא"כ חליצה דצריך כוונה להתיר (כדלקמן קו.).</w:t>
      </w:r>
    </w:p>
  </w:footnote>
  <w:footnote w:id="6983">
    <w:p w14:paraId="58D7FE2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מרדכי</w:t>
      </w:r>
      <w:r w:rsidRPr="00D65870">
        <w:rPr>
          <w:rFonts w:ascii="Narkisim" w:hAnsi="Narkisim"/>
          <w:rtl/>
        </w:rPr>
        <w:t xml:space="preserve"> כת' דשמואל ורב אמרי תרוייהו (ע' לעיל צב:) בעניותינו צריכה גט, והולד ספק ממזר. [ולפנינו שם רב סבר דלא תפסי קידושין. ושמואל סבר דצריכה גט מספק. וע"ע מש"כ לעי' שם לענין ממזר]. ולכאו' מבואר מדבריו דהוה ספק אי צריך עדות לקיומי.</w:t>
      </w:r>
    </w:p>
  </w:footnote>
  <w:footnote w:id="6984">
    <w:p w14:paraId="713F3B1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וצ"ב אמאי חשיב בידו, דכל א' לחוד לא הוה בידו [היבם בלא היבמה, או היבמה בלא היבם]. וכה"ק הנ</w:t>
      </w:r>
      <w:r w:rsidRPr="00D65870">
        <w:rPr>
          <w:rFonts w:ascii="Narkisim" w:hAnsi="Narkisim"/>
          <w:b/>
          <w:bCs/>
          <w:rtl/>
        </w:rPr>
        <w:t>תיבות</w:t>
      </w:r>
      <w:r w:rsidRPr="00D65870">
        <w:rPr>
          <w:rFonts w:ascii="Narkisim" w:hAnsi="Narkisim"/>
          <w:rtl/>
        </w:rPr>
        <w:t xml:space="preserve"> (לו י). וצ"ל דמהני ששניהם מודים שיחשב בידם [בין שניהם].</w:t>
      </w:r>
    </w:p>
    <w:p w14:paraId="21CB08BF" w14:textId="77777777" w:rsidR="006C4368" w:rsidRPr="00D65870" w:rsidRDefault="006C4368" w:rsidP="006C4368">
      <w:pPr>
        <w:pStyle w:val="Footnote"/>
        <w:bidi/>
        <w:rPr>
          <w:rFonts w:ascii="Narkisim" w:hAnsi="Narkisim"/>
        </w:rPr>
      </w:pPr>
      <w:r w:rsidRPr="00D65870">
        <w:rPr>
          <w:rFonts w:ascii="Narkisim" w:hAnsi="Narkisim"/>
          <w:rtl/>
        </w:rPr>
        <w:tab/>
        <w:t>[ויל"ד מדברי הגמ' (קידושין סב:) נהי דבידו לגרש בידו לקדש, פ</w:t>
      </w:r>
      <w:r w:rsidRPr="00D65870">
        <w:rPr>
          <w:rFonts w:ascii="Narkisim" w:hAnsi="Narkisim"/>
          <w:b/>
          <w:bCs/>
          <w:rtl/>
        </w:rPr>
        <w:t>רש"י</w:t>
      </w:r>
      <w:r w:rsidRPr="00D65870">
        <w:rPr>
          <w:rFonts w:ascii="Narkisim" w:hAnsi="Narkisim"/>
          <w:rtl/>
        </w:rPr>
        <w:t xml:space="preserve"> שמא לא תתרצה. ועי"ש רשב"א, וע"ע ר"ן ורא"ש נדרים ל. {ואפשר דשאני הכא דעכשיו מיד הוה בידם}].</w:t>
      </w:r>
    </w:p>
    <w:p w14:paraId="051B5923" w14:textId="77777777" w:rsidR="006C4368" w:rsidRPr="00D65870" w:rsidRDefault="006C4368" w:rsidP="006C4368">
      <w:pPr>
        <w:pStyle w:val="Footnote"/>
        <w:bidi/>
        <w:rPr>
          <w:rFonts w:ascii="Narkisim" w:hAnsi="Narkisim"/>
        </w:rPr>
      </w:pPr>
      <w:r w:rsidRPr="00D65870">
        <w:rPr>
          <w:rFonts w:ascii="Narkisim" w:hAnsi="Narkisim"/>
          <w:rtl/>
        </w:rPr>
        <w:tab/>
        <w:t>אך ה</w:t>
      </w:r>
      <w:r w:rsidRPr="00D65870">
        <w:rPr>
          <w:rFonts w:ascii="Narkisim" w:hAnsi="Narkisim"/>
          <w:b/>
          <w:bCs/>
          <w:rtl/>
        </w:rPr>
        <w:t>נתיבות</w:t>
      </w:r>
      <w:r w:rsidRPr="00D65870">
        <w:rPr>
          <w:rFonts w:ascii="Narkisim" w:hAnsi="Narkisim"/>
          <w:rtl/>
        </w:rPr>
        <w:t xml:space="preserve"> הק' דא"כ אף קידושין ששניהם מודים יהיו נאמנים משום בידו [ובגמ' (קידושין סה:) מבואר דל"מ. והנתיבות הוסיף דאפי' מודים שנתקדשה בפני עדים ל"מ {אלא משום שויה אנפשיה}]. אלמא דלא הוי כדבר שבידו. והנתיבות דחה דאין ראיה מקידושין (הו' בסמוך).</w:t>
      </w:r>
    </w:p>
  </w:footnote>
  <w:footnote w:id="6985">
    <w:p w14:paraId="05374DB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ה</w:t>
      </w:r>
      <w:r w:rsidRPr="00D65870">
        <w:rPr>
          <w:rFonts w:ascii="Narkisim" w:hAnsi="Narkisim"/>
          <w:b/>
          <w:bCs/>
          <w:rtl/>
        </w:rPr>
        <w:t>אחיעזר</w:t>
      </w:r>
      <w:r w:rsidRPr="00D65870">
        <w:rPr>
          <w:rFonts w:ascii="Narkisim" w:hAnsi="Narkisim"/>
          <w:rtl/>
        </w:rPr>
        <w:t xml:space="preserve"> דן דלדעת הי"מ בריטב"א הנידון בסוגיין דצריך עדות לקיומי, וא"כ אין ראיה שצריך עדות לברורי. והיכא דשניהם מודים שהחליצה היתה בפני עדים י"ל דנאמנים משום דהוה בידם.</w:t>
      </w:r>
    </w:p>
  </w:footnote>
  <w:footnote w:id="6986">
    <w:p w14:paraId="35AD093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דכ"כ ה</w:t>
      </w:r>
      <w:r w:rsidRPr="00D65870">
        <w:rPr>
          <w:rFonts w:ascii="Narkisim" w:hAnsi="Narkisim"/>
          <w:b/>
          <w:bCs/>
          <w:rtl/>
        </w:rPr>
        <w:t>פנ"י</w:t>
      </w:r>
      <w:r w:rsidRPr="00D65870">
        <w:rPr>
          <w:rFonts w:ascii="Narkisim" w:hAnsi="Narkisim"/>
          <w:rtl/>
        </w:rPr>
        <w:t xml:space="preserve"> (קידושין סה:) דקיום הדבר תלי בנאמנות. והנתיבות הביא [דמבואר בגמ' קידושין סה:] דאילו היתה הודאת בעל דין היה מהני אף במקום דמחייב לאחריני, היה מהני אף בקדושין וגירושין לענין קיום הדבר, דקיום הדבר בנאמנות תלוי.</w:t>
      </w:r>
    </w:p>
  </w:footnote>
  <w:footnote w:id="6987">
    <w:p w14:paraId="4A479BD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נתיבות</w:t>
      </w:r>
      <w:r w:rsidRPr="00D65870">
        <w:rPr>
          <w:rFonts w:ascii="Narkisim" w:hAnsi="Narkisim"/>
          <w:rtl/>
        </w:rPr>
        <w:t xml:space="preserve"> הק' דא"כ אמאי צריך עדות לקיומי בגט, תיפו"ל דהבעל נאמן משום דבידו לגרשה. ומש"ה יהני לקיומי. ותי' דצריך עדים בגט משום אשוויי שטרא. דאין הגט גט אלא בעדי חתימה ועדי מסירה.</w:t>
      </w:r>
    </w:p>
    <w:p w14:paraId="38322933"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נתיבות</w:t>
      </w:r>
      <w:r w:rsidRPr="00D65870">
        <w:rPr>
          <w:rFonts w:ascii="Narkisim" w:hAnsi="Narkisim"/>
          <w:rtl/>
        </w:rPr>
        <w:t xml:space="preserve"> כת' דבקידושין ל"מ ששניהם מודים, ובידם לקדש בין שניהם [ע' הערה לעיל]. ד'בידו' מהני רק להתיר, ולא מהני לחיוב מיתה. ובעינן עדות לקיומי בחיוב המיתה.</w:t>
      </w:r>
    </w:p>
  </w:footnote>
  <w:footnote w:id="6988">
    <w:p w14:paraId="776355C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ועפ"ז כת' ה</w:t>
      </w:r>
      <w:r w:rsidRPr="00D65870">
        <w:rPr>
          <w:rFonts w:ascii="Narkisim" w:hAnsi="Narkisim"/>
          <w:b/>
          <w:bCs/>
          <w:rtl/>
        </w:rPr>
        <w:t>נתיבות</w:t>
      </w:r>
      <w:r w:rsidRPr="00D65870">
        <w:rPr>
          <w:rFonts w:ascii="Narkisim" w:hAnsi="Narkisim"/>
          <w:rtl/>
        </w:rPr>
        <w:t xml:space="preserve"> דלתי' הראשונים דקי"ל חוש לה [ומש"ה ל"מ בידו], מש"ה קי"ל (קסט ב) דחליצה בינו לבינה פסולה ופוסלת [דמהני בידו לאוסרה, ולא להתירה]. [ואילו גט בינו לבינה אינו פוסל כלל]. {וה</w:t>
      </w:r>
      <w:r w:rsidRPr="00D65870">
        <w:rPr>
          <w:rFonts w:ascii="Narkisim" w:hAnsi="Narkisim"/>
          <w:b/>
          <w:bCs/>
          <w:rtl/>
        </w:rPr>
        <w:t>נתיבות</w:t>
      </w:r>
      <w:r w:rsidRPr="00D65870">
        <w:rPr>
          <w:rFonts w:ascii="Narkisim" w:hAnsi="Narkisim"/>
          <w:rtl/>
        </w:rPr>
        <w:t xml:space="preserve"> נקט דכוונת הפוסקים דפסולה בלא עדים כלל. אך בפשוטו להך תי' בריטב"א בינו לבינה היינו עדים רואים מבחוץ, ולעולם איירי בעדות לקיומי. וכה"ק </w:t>
      </w:r>
      <w:r w:rsidRPr="00D65870">
        <w:rPr>
          <w:rFonts w:ascii="Narkisim" w:hAnsi="Narkisim"/>
          <w:b/>
          <w:bCs/>
          <w:rtl/>
        </w:rPr>
        <w:t>רע"א</w:t>
      </w:r>
      <w:r w:rsidRPr="00D65870">
        <w:rPr>
          <w:rFonts w:ascii="Narkisim" w:hAnsi="Narkisim"/>
          <w:rtl/>
        </w:rPr>
        <w:t xml:space="preserve"> (שו"ת קכה הנ"ל) לנתיבות. {ואפשר דקאי על דברים אלו של הנתיבות}.</w:t>
      </w:r>
    </w:p>
  </w:footnote>
  <w:footnote w:id="6989">
    <w:p w14:paraId="38DF963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וכת' דאף דבגמ' (ב"ב שם) אמרי' חוש לה לענין יבמה לשוק, התם טען גרשתי, ושורש הנידון על הגירושין. ומחמרינן משום איסור א"א, וממילא אסורה גם לענין איסור יבמה לשוק. וע"ע שם.</w:t>
      </w:r>
    </w:p>
  </w:footnote>
  <w:footnote w:id="6990">
    <w:p w14:paraId="7493198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דבקנין ממון מהני שהטמין לו עדים מאחורי הגדר, דלא איברי סהדי אלא לשקרי. ומעידין לו בבית דין.</w:t>
      </w:r>
    </w:p>
  </w:footnote>
  <w:footnote w:id="6991">
    <w:p w14:paraId="4A47C79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אבנ"מ</w:t>
      </w:r>
      <w:r w:rsidRPr="00D65870">
        <w:rPr>
          <w:rFonts w:ascii="Narkisim" w:hAnsi="Narkisim"/>
          <w:rtl/>
        </w:rPr>
        <w:t xml:space="preserve"> (מב ז) כת' דצריך שיתכוין לקדש בפני עדים אלו. משמע דהוה מגדרי כוונה דקידושין. וה</w:t>
      </w:r>
      <w:r w:rsidRPr="00D65870">
        <w:rPr>
          <w:rFonts w:ascii="Narkisim" w:hAnsi="Narkisim"/>
          <w:b/>
          <w:bCs/>
          <w:rtl/>
        </w:rPr>
        <w:t>שער"י</w:t>
      </w:r>
      <w:r w:rsidRPr="00D65870">
        <w:rPr>
          <w:rFonts w:ascii="Narkisim" w:hAnsi="Narkisim"/>
          <w:rtl/>
        </w:rPr>
        <w:t xml:space="preserve"> (ז ה, ובקו' השליחות כב) כת' דכיון דהבעלים ייחד עדים אחרים, ולא עדים אלו, אינם יכולים להיות עדים בע"כ. [דהמקדש יש לו 'בעלות' על מעשה הקידושין]. ולא מיקרי עדים אא"כ המקדש נתכוון לקדש בפניהם. שצריכים לראות שנתכוון לקדש בפני עדים.</w:t>
      </w:r>
    </w:p>
  </w:footnote>
  <w:footnote w:id="6992">
    <w:p w14:paraId="3EC1648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ועפ"ז כת' ה</w:t>
      </w:r>
      <w:r w:rsidRPr="00D65870">
        <w:rPr>
          <w:rFonts w:ascii="Narkisim" w:hAnsi="Narkisim"/>
          <w:b/>
          <w:bCs/>
          <w:rtl/>
        </w:rPr>
        <w:t>בי"ש</w:t>
      </w:r>
      <w:r w:rsidRPr="00D65870">
        <w:rPr>
          <w:rFonts w:ascii="Narkisim" w:hAnsi="Narkisim"/>
          <w:rtl/>
        </w:rPr>
        <w:t xml:space="preserve"> (י) דהיכא דאינה טוענת שהיה שחוק מקודשת. [ולמד כן מדברי מהר"ם פדואה לב הו' ברמ"א שם]. אך הבי"ש הביא דדעת ה</w:t>
      </w:r>
      <w:r w:rsidRPr="00D65870">
        <w:rPr>
          <w:rFonts w:ascii="Narkisim" w:hAnsi="Narkisim"/>
          <w:b/>
          <w:bCs/>
          <w:rtl/>
        </w:rPr>
        <w:t>מהרי"ט</w:t>
      </w:r>
      <w:r w:rsidRPr="00D65870">
        <w:rPr>
          <w:rFonts w:ascii="Narkisim" w:hAnsi="Narkisim"/>
          <w:rtl/>
        </w:rPr>
        <w:t xml:space="preserve"> (לרי"ף קידושין מג.) דאפי' אם היה כוונתם לשם קידושין לא מהני והטעם משום התורה הפקיעה את הקדושין. [דבעי עדות שנתכוונה לקידושין].</w:t>
      </w:r>
    </w:p>
    <w:p w14:paraId="1C3AFD2B" w14:textId="77777777" w:rsidR="006C4368" w:rsidRPr="00D65870" w:rsidRDefault="006C4368" w:rsidP="006C4368">
      <w:pPr>
        <w:pStyle w:val="Footnote"/>
        <w:bidi/>
        <w:rPr>
          <w:rFonts w:ascii="Narkisim" w:hAnsi="Narkisim"/>
        </w:rPr>
      </w:pPr>
      <w:r w:rsidRPr="00D65870">
        <w:rPr>
          <w:rFonts w:ascii="Narkisim" w:hAnsi="Narkisim"/>
          <w:rtl/>
        </w:rPr>
        <w:tab/>
        <w:t>והמהרי"ט דן היכא דנתכוונו לקדש בפני עדים, ולא ידעו דהוה עדים פסולים. ועדים כשרים ראו מרחוק. וכת' דמסתברא דבעינן עכ"פ שידעו שיש עדים. דאפי' אמרו שנתכוונו לקידושין ל"מ. וה</w:t>
      </w:r>
      <w:r w:rsidRPr="00D65870">
        <w:rPr>
          <w:rFonts w:ascii="Narkisim" w:hAnsi="Narkisim"/>
          <w:b/>
          <w:bCs/>
          <w:rtl/>
        </w:rPr>
        <w:t>בי"ש</w:t>
      </w:r>
      <w:r w:rsidRPr="00D65870">
        <w:rPr>
          <w:rFonts w:ascii="Narkisim" w:hAnsi="Narkisim"/>
          <w:rtl/>
        </w:rPr>
        <w:t xml:space="preserve"> (שם יא) כת' דנפק"מ דלטעם דנתכוונו לשחוק, כה"ג הוה קידושין. וה</w:t>
      </w:r>
      <w:r w:rsidRPr="00D65870">
        <w:rPr>
          <w:rFonts w:ascii="Narkisim" w:hAnsi="Narkisim"/>
          <w:b/>
          <w:bCs/>
          <w:rtl/>
        </w:rPr>
        <w:t>אבנ"מ</w:t>
      </w:r>
      <w:r w:rsidRPr="00D65870">
        <w:rPr>
          <w:rFonts w:ascii="Narkisim" w:hAnsi="Narkisim"/>
          <w:rtl/>
        </w:rPr>
        <w:t xml:space="preserve"> (מב ז) הביא דברי הריטב"א (בתי' הא') דצריך שהמקדש יתכוון לעדים אלו.</w:t>
      </w:r>
    </w:p>
  </w:footnote>
  <w:footnote w:id="6993">
    <w:p w14:paraId="1E0F17D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ועד"ז דן נפק"מ דמהני עדות מיוחדת.</w:t>
      </w:r>
    </w:p>
  </w:footnote>
  <w:footnote w:id="6994">
    <w:p w14:paraId="441255F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ואף דחליצה צריך כוונה להתיר, י"ל דהוה גדר כוונה במעשה. וסגי שאמרו שנתכוונו להתיר. ולא אמרי' דהוה לשם שחוק. וב</w:t>
      </w:r>
      <w:r w:rsidRPr="00D65870">
        <w:rPr>
          <w:rFonts w:ascii="Narkisim" w:hAnsi="Narkisim"/>
          <w:b/>
          <w:bCs/>
          <w:rtl/>
        </w:rPr>
        <w:t>חי' ר' שמעון</w:t>
      </w:r>
      <w:r w:rsidRPr="00D65870">
        <w:rPr>
          <w:rFonts w:ascii="Narkisim" w:hAnsi="Narkisim"/>
          <w:rtl/>
        </w:rPr>
        <w:t xml:space="preserve"> ביאר דל"צ שיתכוין שהוא פועל את ההיתר, דכוונת החליצה שתהא מותרת [ממילא].</w:t>
      </w:r>
    </w:p>
  </w:footnote>
  <w:footnote w:id="6995">
    <w:p w14:paraId="0E77D94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פתח"ת</w:t>
      </w:r>
      <w:r w:rsidRPr="00D65870">
        <w:rPr>
          <w:rFonts w:ascii="Narkisim" w:hAnsi="Narkisim"/>
          <w:rtl/>
        </w:rPr>
        <w:t xml:space="preserve"> (קסו ו) דלדברי הרשב"א והפוסקים ביבום [למ"ד דצריך עדות לקיומי] מהני עדים רואים מבחוץ. אבל לסברת הריטב"א והמהרי"ט (הנ"ל) בדבר שגוף הדבר צריך עדות ל"מ עדים רואים מבחוץ, א"כ אף יבום למ"ד דצריך עדים.</w:t>
      </w:r>
    </w:p>
  </w:footnote>
  <w:footnote w:id="6996">
    <w:p w14:paraId="26D7C47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ולתי' זה אף שאומרים שחלצו אינה נאסרת בלא עדים דצריך עדות לקיומי [ואף לפוסלה מיבום].</w:t>
      </w:r>
    </w:p>
  </w:footnote>
  <w:footnote w:id="6997">
    <w:p w14:paraId="3E983E1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יש לדחות ע"פ הצד שהעלו האחרונים דחליצה צריך עדות, כיון דצריך שיתכוונו לחליצה. וה"מ להתיר, אבל חליצה בלא עדים הוה כמו חליצה בלא כוונה שפוסל.</w:t>
      </w:r>
    </w:p>
  </w:footnote>
  <w:footnote w:id="6998">
    <w:p w14:paraId="719257F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ודאי דר"ע מודה דלכתחילה בעינן לפרסומי מילתא, אלא היכא דיש קצת דוחק. ואף בלא בית האסורין דהוה דיעבד גדול.</w:t>
      </w:r>
    </w:p>
  </w:footnote>
  <w:footnote w:id="6999">
    <w:p w14:paraId="16464CC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יש"ש</w:t>
      </w:r>
      <w:r w:rsidRPr="00D65870">
        <w:rPr>
          <w:rFonts w:ascii="Narkisim" w:hAnsi="Narkisim"/>
          <w:rtl/>
        </w:rPr>
        <w:t xml:space="preserve"> הק' מאי נפק"מ בספק זה, ובפרט דאין הלכה כר"ע. [משמע דאילו הלכה כר"ע ניחא, דהספק אי שרי לכתחילה].</w:t>
      </w:r>
    </w:p>
  </w:footnote>
  <w:footnote w:id="7000">
    <w:p w14:paraId="21FBDC8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וכת' דאף מעשים דלעיל קד. דעשו יחידי איירי בשעת הדחק.</w:t>
      </w:r>
    </w:p>
  </w:footnote>
  <w:footnote w:id="7001">
    <w:p w14:paraId="56484BB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הג' שואל ומשיב</w:t>
      </w:r>
      <w:r w:rsidRPr="00D65870">
        <w:rPr>
          <w:rFonts w:ascii="Narkisim" w:hAnsi="Narkisim"/>
          <w:rtl/>
        </w:rPr>
        <w:t xml:space="preserve"> (לחכ"צ) כת' דהוה כוונה דמצווה. והביא דה</w:t>
      </w:r>
      <w:r w:rsidRPr="00D65870">
        <w:rPr>
          <w:rFonts w:ascii="Narkisim" w:hAnsi="Narkisim"/>
          <w:b/>
          <w:bCs/>
          <w:rtl/>
        </w:rPr>
        <w:t>רמב"ם</w:t>
      </w:r>
      <w:r w:rsidRPr="00D65870">
        <w:rPr>
          <w:rFonts w:ascii="Narkisim" w:hAnsi="Narkisim"/>
          <w:rtl/>
        </w:rPr>
        <w:t xml:space="preserve"> (ד ח) כת' דצריך שתתכוון היבמה שתחלוץ לו ויתכוון הוא שיחלוץ לה ויעשו מעשים אלו לשמן. וגדר 'לשמה' ל"ש בקנינים, אלא במצוות. וכן דייק ה</w:t>
      </w:r>
      <w:r w:rsidRPr="00D65870">
        <w:rPr>
          <w:rFonts w:ascii="Narkisim" w:hAnsi="Narkisim"/>
          <w:b/>
          <w:bCs/>
          <w:rtl/>
        </w:rPr>
        <w:t>בית מאיר</w:t>
      </w:r>
      <w:r w:rsidRPr="00D65870">
        <w:rPr>
          <w:rFonts w:ascii="Narkisim" w:hAnsi="Narkisim"/>
          <w:rtl/>
        </w:rPr>
        <w:t xml:space="preserve"> (קסט מד הו' בפתח"ת קסט לד).</w:t>
      </w:r>
    </w:p>
  </w:footnote>
  <w:footnote w:id="7002">
    <w:p w14:paraId="2E8E4E9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חכ"צ</w:t>
      </w:r>
      <w:r w:rsidRPr="00D65870">
        <w:rPr>
          <w:rFonts w:ascii="Narkisim" w:hAnsi="Narkisim"/>
          <w:rtl/>
        </w:rPr>
        <w:t xml:space="preserve"> כת' דנראה לפ"ז דאי"צ שיתכוון בשעת מעשה, אלא שהוא יודע שבחליצת מנעלו ניתרת לשוק. דבהקנאות דברים שבלב אינם דברים.</w:t>
      </w:r>
    </w:p>
  </w:footnote>
  <w:footnote w:id="7003">
    <w:p w14:paraId="2469511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קצות</w:t>
      </w:r>
      <w:r w:rsidRPr="00D65870">
        <w:rPr>
          <w:rFonts w:ascii="Narkisim" w:hAnsi="Narkisim"/>
          <w:rtl/>
        </w:rPr>
        <w:t xml:space="preserve"> (ערה ד) הביא דמקור דבריו מדברי ה</w:t>
      </w:r>
      <w:r w:rsidRPr="00D65870">
        <w:rPr>
          <w:rFonts w:ascii="Narkisim" w:hAnsi="Narkisim"/>
          <w:b/>
          <w:bCs/>
          <w:rtl/>
        </w:rPr>
        <w:t>רמב"ן</w:t>
      </w:r>
      <w:r w:rsidRPr="00D65870">
        <w:rPr>
          <w:rFonts w:ascii="Narkisim" w:hAnsi="Narkisim"/>
          <w:rtl/>
        </w:rPr>
        <w:t xml:space="preserve"> (לעיל קד:) שביאר הא דמהני גדול עומד ע"ג בחליצת חרש וקטן [וכמ"ש תוס' שם], ואין חסרון דלאו בני דעה, דהא יש לחרש מקצת כוונה, וחרש יכול לכוין להוציאה ממנו בחליצה זו. כיון דיש לו דעת קלישא מהני. והרי כתוב על הספר להרמב"ן כדברי המהרי"ט.</w:t>
      </w:r>
    </w:p>
  </w:footnote>
  <w:footnote w:id="7004">
    <w:p w14:paraId="7758CA9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פנ"י</w:t>
      </w:r>
      <w:r w:rsidRPr="00D65870">
        <w:rPr>
          <w:rFonts w:ascii="Narkisim" w:hAnsi="Narkisim"/>
          <w:rtl/>
        </w:rPr>
        <w:t xml:space="preserve"> (גיטין סה. הו' לעיל) ביאר דבזה פליגי המ"ד אי מהני חליצת פעוטות לר' יוסי או דוקא עונת נדרים.</w:t>
      </w:r>
    </w:p>
  </w:footnote>
  <w:footnote w:id="7005">
    <w:p w14:paraId="246066D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וכדעת ה</w:t>
      </w:r>
      <w:r w:rsidRPr="00D65870">
        <w:rPr>
          <w:rFonts w:ascii="Narkisim" w:hAnsi="Narkisim"/>
          <w:b/>
          <w:bCs/>
          <w:rtl/>
        </w:rPr>
        <w:t>ראב"ד</w:t>
      </w:r>
      <w:r w:rsidRPr="00D65870">
        <w:rPr>
          <w:rFonts w:ascii="Narkisim" w:hAnsi="Narkisim"/>
          <w:rtl/>
        </w:rPr>
        <w:t xml:space="preserve"> (בראשונים ב"ב מ. והרשב"א גיטין כ:, הו' לעיל נב:) דמהני דעת מקנה אף בעודר בנכסי הגר וסבור שהוא שלו.</w:t>
      </w:r>
    </w:p>
  </w:footnote>
  <w:footnote w:id="7006">
    <w:p w14:paraId="2155D5E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ה</w:t>
      </w:r>
      <w:r w:rsidRPr="00D65870">
        <w:rPr>
          <w:rFonts w:ascii="Narkisim" w:hAnsi="Narkisim"/>
          <w:b/>
          <w:bCs/>
          <w:rtl/>
        </w:rPr>
        <w:t>קוב"ש</w:t>
      </w:r>
      <w:r w:rsidRPr="00D65870">
        <w:rPr>
          <w:rFonts w:ascii="Narkisim" w:hAnsi="Narkisim"/>
          <w:rtl/>
        </w:rPr>
        <w:t xml:space="preserve"> (כתובות רמז) תמה דודאי בחליצה לא סגי בדעת מקנה, דלהדיא בעינן כוונת שניהם.</w:t>
      </w:r>
    </w:p>
  </w:footnote>
  <w:footnote w:id="7007">
    <w:p w14:paraId="74FC585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תי' דאיצטריך היכא דגדול עומד על גביו. [אך האחרונים העירו דדוקא בגדרי לשמה שייך גדול עומד ע"ג, ובקנינים ל"מ גדול עומד על גביו. א"כ החכ"צ לשיטתו הוצרך לפרש טעם אחר].</w:t>
      </w:r>
    </w:p>
  </w:footnote>
  <w:footnote w:id="7008">
    <w:p w14:paraId="0FD69FE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וצ"ל דלר' יוסי ילפי' מ'איש' שהיבם פועל את החליצה. ומש"ה מהני דעת מקנה ליבמה. [אך לר' מאיר דמקיש אשה לאיש לכאורה נראה דגדר הילפותא דתרוייהו פועלים החליצה].</w:t>
      </w:r>
    </w:p>
  </w:footnote>
  <w:footnote w:id="7009">
    <w:p w14:paraId="37C1631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[רק אי פוסל מדאורייתא, אבל אי הוה מדרבנן ל"מ].</w:t>
      </w:r>
    </w:p>
  </w:footnote>
  <w:footnote w:id="7010">
    <w:p w14:paraId="1102709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אלא דהחליצה חל ממילא ע"פ המעשה שלהם.</w:t>
      </w:r>
    </w:p>
  </w:footnote>
  <w:footnote w:id="7011">
    <w:p w14:paraId="25A5725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ועפ"ז יישב הא דמהני גדול עומד על גביו (כמ"ש תוס' לעיל קד:), ואילו בכל הקנינים ל"מ גדול עומד ע"ג. דצריך דעת לעיקר הקנין [שצריך שהבן דעת ידע האם דבר זה שווה לו או הפסד אצלו. ולא סגי שילמדו אותו את גוף המעשה].</w:t>
      </w:r>
    </w:p>
  </w:footnote>
  <w:footnote w:id="7012">
    <w:p w14:paraId="57217E7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וכמ"ש ה</w:t>
      </w:r>
      <w:r w:rsidRPr="00D65870">
        <w:rPr>
          <w:rFonts w:ascii="Narkisim" w:hAnsi="Narkisim"/>
          <w:b/>
          <w:bCs/>
          <w:rtl/>
        </w:rPr>
        <w:t>חינוך</w:t>
      </w:r>
      <w:r w:rsidRPr="00D65870">
        <w:rPr>
          <w:rFonts w:ascii="Narkisim" w:hAnsi="Narkisim"/>
          <w:rtl/>
        </w:rPr>
        <w:t xml:space="preserve"> (שם, הו' בתחילת הפרק) דהמצווה נוהגת בזכרים.</w:t>
      </w:r>
    </w:p>
  </w:footnote>
  <w:footnote w:id="7013">
    <w:p w14:paraId="3AFDF19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קוב"ש</w:t>
      </w:r>
      <w:r w:rsidRPr="00D65870">
        <w:rPr>
          <w:rFonts w:ascii="Narkisim" w:hAnsi="Narkisim"/>
          <w:rtl/>
        </w:rPr>
        <w:t xml:space="preserve"> (כתובות רמח) דע"כ כוונה לא הוה משום כוונת מצוה, דמשום חסרון בכוונת המצווה אין טעם לפסול את החליצה. דהיתר החליצה אינו בא מכח קיום המצוה, אלא קיום המצוה הוא משום חלות ההיתר. ואם החליצה מצד עצמה כשרה בלא כוונה, ממילא נתקיימה המצוה. וציין דעד"ז כת' ה</w:t>
      </w:r>
      <w:r w:rsidRPr="00D65870">
        <w:rPr>
          <w:rFonts w:ascii="Narkisim" w:hAnsi="Narkisim"/>
          <w:b/>
          <w:bCs/>
          <w:rtl/>
        </w:rPr>
        <w:t>רמב"ן</w:t>
      </w:r>
      <w:r w:rsidRPr="00D65870">
        <w:rPr>
          <w:rFonts w:ascii="Narkisim" w:hAnsi="Narkisim"/>
          <w:rtl/>
        </w:rPr>
        <w:t xml:space="preserve"> (חולין לא:) דכוונת הכשר כמו טבילה ושחיטה, ל"ש לנידון דמצוות צריכות כוונה.</w:t>
      </w:r>
    </w:p>
    <w:p w14:paraId="3B2A6E46" w14:textId="77777777" w:rsidR="006C4368" w:rsidRPr="00D65870" w:rsidRDefault="006C4368" w:rsidP="006C4368">
      <w:pPr>
        <w:pStyle w:val="Footnote"/>
        <w:bidi/>
        <w:rPr>
          <w:rFonts w:ascii="Narkisim" w:hAnsi="Narkisim"/>
        </w:rPr>
      </w:pPr>
      <w:r w:rsidRPr="00D65870">
        <w:rPr>
          <w:rFonts w:ascii="Narkisim" w:hAnsi="Narkisim"/>
          <w:rtl/>
        </w:rPr>
        <w:tab/>
        <w:t>אך הביא דה</w:t>
      </w:r>
      <w:r w:rsidRPr="00D65870">
        <w:rPr>
          <w:rFonts w:ascii="Narkisim" w:hAnsi="Narkisim"/>
          <w:b/>
          <w:bCs/>
          <w:rtl/>
        </w:rPr>
        <w:t>או"ז</w:t>
      </w:r>
      <w:r w:rsidRPr="00D65870">
        <w:rPr>
          <w:rFonts w:ascii="Narkisim" w:hAnsi="Narkisim"/>
          <w:rtl/>
        </w:rPr>
        <w:t xml:space="preserve"> (ר"ה רסא) דימה מצוות צריכות כוונה להיתר שחיטה. וכת' דלדבריו יש מקור לדעת החכ"צ, דכוונת המצוה מעכבת ההכשר. [ושוב דחה דשמא כוונתו לדמות ב' הדברים להדדי, דכמו דמצוות צריכות כוונה, ה"נ הכשר בעי כוונה].</w:t>
      </w:r>
    </w:p>
    <w:p w14:paraId="65D53849" w14:textId="77777777" w:rsidR="006C4368" w:rsidRPr="00D65870" w:rsidRDefault="006C4368" w:rsidP="006C4368">
      <w:pPr>
        <w:pStyle w:val="Footnote"/>
        <w:bidi/>
        <w:rPr>
          <w:rFonts w:ascii="Narkisim" w:hAnsi="Narkisim"/>
        </w:rPr>
      </w:pPr>
      <w:r w:rsidRPr="00D65870">
        <w:rPr>
          <w:rFonts w:ascii="Narkisim" w:hAnsi="Narkisim"/>
          <w:rtl/>
        </w:rPr>
        <w:tab/>
        <w:t>ועוד הביא דדעת אבא שאול דיבום צריך כוונת מצווה, ובפשוטו מבואר דקנין היבום תלי בקיום המצווה. [ואכמ"ל].</w:t>
      </w:r>
    </w:p>
  </w:footnote>
  <w:footnote w:id="7014">
    <w:p w14:paraId="3FDD45F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בי"מ</w:t>
      </w:r>
      <w:r w:rsidRPr="00D65870">
        <w:rPr>
          <w:rFonts w:ascii="Narkisim" w:hAnsi="Narkisim"/>
          <w:rtl/>
        </w:rPr>
        <w:t xml:space="preserve"> (קסט מד) דן דהוה הלכה למשה מסיני.</w:t>
      </w:r>
    </w:p>
  </w:footnote>
  <w:footnote w:id="7015">
    <w:p w14:paraId="26D157A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דה</w:t>
      </w:r>
      <w:r w:rsidRPr="00D65870">
        <w:rPr>
          <w:rFonts w:ascii="Narkisim" w:hAnsi="Narkisim"/>
          <w:b/>
          <w:bCs/>
          <w:rtl/>
        </w:rPr>
        <w:t xml:space="preserve">רמב"ם </w:t>
      </w:r>
      <w:r w:rsidRPr="00D65870">
        <w:rPr>
          <w:rFonts w:ascii="Narkisim" w:hAnsi="Narkisim"/>
          <w:rtl/>
        </w:rPr>
        <w:t>כלל פסול זה (ד כו) דכל מקום שנאמר חליצתה פסולה [פוסל לכהונה] ואינו אלא מדרבנן. [וע"ע מש"כ בזה לעיל קה:].</w:t>
      </w:r>
    </w:p>
  </w:footnote>
  <w:footnote w:id="7016">
    <w:p w14:paraId="481CED2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(סטנסל) ביאר דהיכא דנתכוון בכך אתה כונסה, הרי אינו מתכון להתירה לשוק, אבל היכא דטעה וחשב שתהא מותרת להנשא לו הרי הוא מתכון להתירה לשוק. אף שלא ידע שג"כ עושה איסור לעצמו.</w:t>
      </w:r>
    </w:p>
  </w:footnote>
  <w:footnote w:id="7017">
    <w:p w14:paraId="18C397B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דב</w:t>
      </w:r>
      <w:r w:rsidRPr="00D65870">
        <w:rPr>
          <w:rFonts w:ascii="Narkisim" w:hAnsi="Narkisim"/>
          <w:b/>
          <w:bCs/>
          <w:rtl/>
        </w:rPr>
        <w:t>ירושלמי</w:t>
      </w:r>
      <w:r w:rsidRPr="00D65870">
        <w:rPr>
          <w:rFonts w:ascii="Narkisim" w:hAnsi="Narkisim"/>
          <w:rtl/>
        </w:rPr>
        <w:t xml:space="preserve"> אי' אין אתי משה ושמואל לא שרי לה. וה</w:t>
      </w:r>
      <w:r w:rsidRPr="00D65870">
        <w:rPr>
          <w:rFonts w:ascii="Narkisim" w:hAnsi="Narkisim"/>
          <w:b/>
          <w:bCs/>
          <w:rtl/>
        </w:rPr>
        <w:t>מפרשים</w:t>
      </w:r>
      <w:r w:rsidRPr="00D65870">
        <w:rPr>
          <w:rFonts w:ascii="Narkisim" w:hAnsi="Narkisim"/>
          <w:rtl/>
        </w:rPr>
        <w:t xml:space="preserve"> פי' דלא התיר את היבם ביבמתו לאחר שחלץ. אבל ה</w:t>
      </w:r>
      <w:r w:rsidRPr="00D65870">
        <w:rPr>
          <w:rFonts w:ascii="Narkisim" w:hAnsi="Narkisim"/>
          <w:b/>
          <w:bCs/>
          <w:rtl/>
        </w:rPr>
        <w:t>או"ז</w:t>
      </w:r>
      <w:r w:rsidRPr="00D65870">
        <w:rPr>
          <w:rFonts w:ascii="Narkisim" w:hAnsi="Narkisim"/>
          <w:rtl/>
        </w:rPr>
        <w:t xml:space="preserve"> נקט דהך מ"ד פליג וס"ל דל"מ חליצה זו להתירה.</w:t>
      </w:r>
    </w:p>
  </w:footnote>
  <w:footnote w:id="7018">
    <w:p w14:paraId="229FFC1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וה"ה פי' דמעשה זה [בירושלמי] אתי כר"ל, ואינו כהלכה. [ופי' את דברי הירושלמי כרשב"א. אבל לפי' האו"ז לק"מ].</w:t>
      </w:r>
    </w:p>
  </w:footnote>
  <w:footnote w:id="7019">
    <w:p w14:paraId="6E9678B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ומשמע מדברי ה"ה דהחולץ לא ידע שתהא מותרת לשוק ע"י חליצה זו, דסבור שמחוייבת לינשא לו. ואפ"ה סגו שהזכירו להדיא את סילוק הזיקה.</w:t>
      </w:r>
    </w:p>
  </w:footnote>
  <w:footnote w:id="7020">
    <w:p w14:paraId="1DA2AC9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הב"י בקו' ג"כ ידע דתנאי מילתא אחריתי, ולא חסר בגמר דעת של הקנין [ויש חילוק בין ע"מ שלא תנשאי לפלוני לחוץ מפלוני, וכדאי' גיטין פב.]. אלא דה"מ בגדרי גמר דעת של קנינים, ונראה דהב"י נקט דכוונה דחליצה הוה דין 'כוונה', ובזה ס"ד דכיון דע"י התנאי ממ"נ ליכא היתר, א"כ לא נתכוון. ותי' דמ"מ נתכוון שלא תהא מעוכבת מחמת האיסור יבמה לשוק, אלא מחמת דין התנאי. ומש"ה יש כאן כוונת מתיר.</w:t>
      </w:r>
    </w:p>
  </w:footnote>
  <w:footnote w:id="7021">
    <w:p w14:paraId="04C43D6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דיש ראשונים (גיטין פב.) דגט ע"מ שלא תנשאי ולא תבעלי נחשב שיור. אף דאמר לשון תנאי.</w:t>
      </w:r>
    </w:p>
  </w:footnote>
  <w:footnote w:id="7022">
    <w:p w14:paraId="7775624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(שם) לקיים את המעשה, [אם יעברו] 'ונתתם'.</w:t>
      </w:r>
    </w:p>
  </w:footnote>
  <w:footnote w:id="7023">
    <w:p w14:paraId="6D47216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(כתובות שם ד"ה אלמא) כת' דלהך ס"ד כל מכר דצריך להזכיר תנאי בעת גמר הקנין. [ודוחק, ומש"ה תוס' כת' דהוה רק ס"ד].</w:t>
      </w:r>
    </w:p>
  </w:footnote>
  <w:footnote w:id="7024">
    <w:p w14:paraId="5CD9DC9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דילפי' מתנאי בני גד וב"ר רק דבר שהוא סברא, דהא לא ילפי' דמהני תנאי דוקא בקרקע. וע"ע תוס' (גיטין עה.).</w:t>
      </w:r>
    </w:p>
  </w:footnote>
  <w:footnote w:id="7025">
    <w:p w14:paraId="2CEF604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ויל"ד אי סברת מפליג בדברים הוה חלק מעיקר הסברא. ועוד יל"פ דל"מ תנאי כיון דהמעשה כל כך אלים. וה</w:t>
      </w:r>
      <w:r w:rsidRPr="00D65870">
        <w:rPr>
          <w:rFonts w:ascii="Narkisim" w:hAnsi="Narkisim"/>
          <w:b/>
          <w:bCs/>
          <w:rtl/>
        </w:rPr>
        <w:t>ריטב"א</w:t>
      </w:r>
      <w:r w:rsidRPr="00D65870">
        <w:rPr>
          <w:rFonts w:ascii="Narkisim" w:hAnsi="Narkisim"/>
          <w:rtl/>
        </w:rPr>
        <w:t xml:space="preserve"> הק' דמ"מ אין דעתו לזה. ו</w:t>
      </w:r>
      <w:r w:rsidRPr="00D65870">
        <w:rPr>
          <w:rFonts w:ascii="Narkisim" w:hAnsi="Narkisim"/>
          <w:b/>
          <w:bCs/>
          <w:rtl/>
        </w:rPr>
        <w:t>ר"ת</w:t>
      </w:r>
      <w:r w:rsidRPr="00D65870">
        <w:rPr>
          <w:rFonts w:ascii="Narkisim" w:hAnsi="Narkisim"/>
          <w:rtl/>
        </w:rPr>
        <w:t xml:space="preserve"> (בתו"י כתובות נו.) תי' [דכיון דל"מ פרשת תנאים] כיון דמפליג בדברים. אבל ר"י (בתוס' שם) תי' דלולי פרשת בני גד ובני ראובן ל"מ תנאי כלל. [וכדברי הרא"ש בסוגיין].</w:t>
      </w:r>
    </w:p>
  </w:footnote>
  <w:footnote w:id="7026">
    <w:p w14:paraId="764E113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(עו ח) כת' דלפ"ז קו' הגמ' (כתובות עד.) מקידושי ביאה, משום דס"ד דגדר קידושי ביאה דנעשית אשתו ע"י הביאה, ולא הוה גדר 'קנין' אישות. [וס"ד דקידושי ביאה אינן דומין לקידושי כסף ושטר, אלא דמי לאישות דבני נח וקודם מתן תורה, דאינו בגדר קנין וכמ"ש ה</w:t>
      </w:r>
      <w:r w:rsidRPr="00D65870">
        <w:rPr>
          <w:rFonts w:ascii="Narkisim" w:hAnsi="Narkisim"/>
          <w:b/>
          <w:bCs/>
          <w:rtl/>
        </w:rPr>
        <w:t>רמב"ם</w:t>
      </w:r>
      <w:r w:rsidRPr="00D65870">
        <w:rPr>
          <w:rFonts w:ascii="Narkisim" w:hAnsi="Narkisim"/>
          <w:rtl/>
        </w:rPr>
        <w:t xml:space="preserve"> (אישות א א). קמ"ל אתקיש הווית להדדי]. {ול"מ תנאי באישות בני נח, דהוה מצב קשר, ושם האישות הוה ממילא}.</w:t>
      </w:r>
    </w:p>
  </w:footnote>
  <w:footnote w:id="7027">
    <w:p w14:paraId="2BF80B8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או"ש</w:t>
      </w:r>
      <w:r w:rsidRPr="00D65870">
        <w:rPr>
          <w:rFonts w:ascii="Narkisim" w:hAnsi="Narkisim"/>
          <w:rtl/>
        </w:rPr>
        <w:t xml:space="preserve"> (ד כד) ביאר דיש שני ענינים, יש ענין שעיקרו הפעולה הוא המעשה לבד, ויש ענין שעיקרו הכוונה. ובזה אמרי' דדברים שנמסרין לשליח עיקרן הכוונה והרצון, ומש"ה מהני תנאי. אבל חליצה אינו נמסר לשליח ועיקרו המעשה בגוף, לכן ל"מ שליח, וכן לא מהני תנאי.</w:t>
      </w:r>
    </w:p>
    <w:p w14:paraId="65DF2710" w14:textId="77777777" w:rsidR="006C4368" w:rsidRPr="00D65870" w:rsidRDefault="006C4368" w:rsidP="006C4368">
      <w:pPr>
        <w:pStyle w:val="Footnote"/>
        <w:bidi/>
        <w:rPr>
          <w:rFonts w:ascii="Narkisim" w:hAnsi="Narkisim"/>
        </w:rPr>
      </w:pPr>
      <w:r w:rsidRPr="00D65870">
        <w:rPr>
          <w:rFonts w:ascii="Narkisim" w:hAnsi="Narkisim"/>
          <w:rtl/>
        </w:rPr>
        <w:tab/>
        <w:t>ועפ"ז כת' דבדברים הנמסרים לשליח, אף שהאיש הזה לא מצי לעשות שליח [כגון חרש], שפיר משוי תנאים. דעיקרו של הגט הוי הכוונה, דענין הגט נמסר לשליח.</w:t>
      </w:r>
    </w:p>
  </w:footnote>
  <w:footnote w:id="7028">
    <w:p w14:paraId="3CEA75A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 xml:space="preserve">עונג יו"ט </w:t>
      </w:r>
      <w:r w:rsidRPr="00D65870">
        <w:rPr>
          <w:rFonts w:ascii="Narkisim" w:hAnsi="Narkisim"/>
          <w:rtl/>
        </w:rPr>
        <w:t>ביאר דבחליצה סגי ב'כוונה', ולא שייך תנאי בכוונה, דהא מ"מ תכלית פעולתו היה לשם פטור, והוי כוונה מעליא. ואף אם לא תתן ר' זוז סוף סוף יש כאן כוונה. [התנאי אינו נתפס בכוונה]. ודן אי שייך תנאי בכוונת מצווה [ואכמ"ל].</w:t>
      </w:r>
    </w:p>
    <w:p w14:paraId="09B0E755" w14:textId="77777777" w:rsidR="006C4368" w:rsidRPr="00D65870" w:rsidRDefault="006C4368" w:rsidP="006C4368">
      <w:pPr>
        <w:pStyle w:val="Footnote"/>
        <w:bidi/>
        <w:rPr>
          <w:rFonts w:ascii="Narkisim" w:hAnsi="Narkisim"/>
        </w:rPr>
      </w:pPr>
      <w:r w:rsidRPr="00D65870">
        <w:rPr>
          <w:rFonts w:ascii="Narkisim" w:hAnsi="Narkisim"/>
          <w:rtl/>
        </w:rPr>
        <w:tab/>
        <w:t>ועד"ז כת' ה</w:t>
      </w:r>
      <w:r w:rsidRPr="00D65870">
        <w:rPr>
          <w:rFonts w:ascii="Narkisim" w:hAnsi="Narkisim"/>
          <w:b/>
          <w:bCs/>
          <w:rtl/>
        </w:rPr>
        <w:t>שער"י</w:t>
      </w:r>
      <w:r w:rsidRPr="00D65870">
        <w:rPr>
          <w:rFonts w:ascii="Narkisim" w:hAnsi="Narkisim"/>
          <w:rtl/>
        </w:rPr>
        <w:t xml:space="preserve"> (ז ו) דלא שייך תנאי על 'מעשה', דתנאי שייך רק בענין שתלוי ברצונו, אבל על ענין מעשה וכן כוונה לא שייך להתנות, דמ"מ נעשית המעשה עם כונה לשם חליצה. ועי"ש שהאריך בזה.</w:t>
      </w:r>
    </w:p>
  </w:footnote>
  <w:footnote w:id="7029">
    <w:p w14:paraId="62A762E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(סטנסל צג כאן) דייק דדוקא תנאי דצריך פרשת תנאי דבני גד, אבל מקח טעות לא תלי בהא דליתא בשליחות. והגר"ח הק' א"כ בחליצה מוטעית אמאי לא יתבטל החליצה משום מקח טעות.</w:t>
      </w:r>
    </w:p>
  </w:footnote>
  <w:footnote w:id="7030">
    <w:p w14:paraId="4A8AD6A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בית יעקב</w:t>
      </w:r>
      <w:r w:rsidRPr="00D65870">
        <w:rPr>
          <w:rFonts w:ascii="Narkisim" w:hAnsi="Narkisim"/>
          <w:rtl/>
        </w:rPr>
        <w:t xml:space="preserve"> (כתובות עד.) נקט דמהני שיור בחליצה, שלא תהא מותרת לפלוני. [וע"ד הא דאי' (גיטין פב.) לר"א, ורבנן פליגי דבגט בעי כריתות, ואילו בחליצה ליכא מיעוט]. וה</w:t>
      </w:r>
      <w:r w:rsidRPr="00D65870">
        <w:rPr>
          <w:rFonts w:ascii="Narkisim" w:hAnsi="Narkisim"/>
          <w:b/>
          <w:bCs/>
          <w:rtl/>
        </w:rPr>
        <w:t>אחרונים</w:t>
      </w:r>
      <w:r w:rsidRPr="00D65870">
        <w:rPr>
          <w:rFonts w:ascii="Narkisim" w:hAnsi="Narkisim"/>
          <w:rtl/>
        </w:rPr>
        <w:t xml:space="preserve"> (שער"י ז ו, קובה"ע עו ה) תמהו בזה.</w:t>
      </w:r>
    </w:p>
  </w:footnote>
  <w:footnote w:id="7031">
    <w:p w14:paraId="4B5A3D4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קובה"ע</w:t>
      </w:r>
      <w:r w:rsidRPr="00D65870">
        <w:rPr>
          <w:rFonts w:ascii="Narkisim" w:hAnsi="Narkisim"/>
          <w:rtl/>
        </w:rPr>
        <w:t xml:space="preserve"> (עו ב) כת' כמו דל"ש לשחוט שיחול היתר שחיטה לאחר זמן, או חזרה תוך כדי דיבור משחיטה, או שיור בהיתר. דהמעשה מתרת מצד עצמו.</w:t>
      </w:r>
    </w:p>
  </w:footnote>
  <w:footnote w:id="7032">
    <w:p w14:paraId="5FEDC0D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כת' דל"מ תנאי מטעם אחר, דכלתה קנינו. ומהני רק תנאי דמעכשיו. ודעת הרמב"ם דתנאי דמעכשיו ל"צ משפטי התנאים, ולא הוה מגדרי תנאים, אלא מגדרי טעות.</w:t>
      </w:r>
    </w:p>
  </w:footnote>
  <w:footnote w:id="7033">
    <w:p w14:paraId="3F0C794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ודין חלות התנאי שייך גם על המעשה גופו.</w:t>
      </w:r>
    </w:p>
  </w:footnote>
  <w:footnote w:id="7034">
    <w:p w14:paraId="5C94C1C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וכ"ד ה</w:t>
      </w:r>
      <w:r w:rsidRPr="00D65870">
        <w:rPr>
          <w:rFonts w:ascii="Narkisim" w:hAnsi="Narkisim"/>
          <w:b/>
          <w:bCs/>
          <w:rtl/>
        </w:rPr>
        <w:t>רי"ף</w:t>
      </w:r>
      <w:r w:rsidRPr="00D65870">
        <w:rPr>
          <w:rFonts w:ascii="Narkisim" w:hAnsi="Narkisim"/>
          <w:rtl/>
        </w:rPr>
        <w:t xml:space="preserve"> (גיטין עו., לז: בדה"ס, וע"ע בראשונים שם) וה</w:t>
      </w:r>
      <w:r w:rsidRPr="00D65870">
        <w:rPr>
          <w:rFonts w:ascii="Narkisim" w:hAnsi="Narkisim"/>
          <w:b/>
          <w:bCs/>
          <w:rtl/>
        </w:rPr>
        <w:t>רמב"ם</w:t>
      </w:r>
      <w:r w:rsidRPr="00D65870">
        <w:rPr>
          <w:rFonts w:ascii="Narkisim" w:hAnsi="Narkisim"/>
          <w:rtl/>
        </w:rPr>
        <w:t xml:space="preserve"> (אישות ו יז). ו</w:t>
      </w:r>
      <w:r w:rsidRPr="00D65870">
        <w:rPr>
          <w:rFonts w:ascii="Narkisim" w:hAnsi="Narkisim"/>
          <w:b/>
          <w:bCs/>
          <w:rtl/>
        </w:rPr>
        <w:t>ה"ה</w:t>
      </w:r>
      <w:r w:rsidRPr="00D65870">
        <w:rPr>
          <w:rFonts w:ascii="Narkisim" w:hAnsi="Narkisim"/>
          <w:rtl/>
        </w:rPr>
        <w:t xml:space="preserve"> (שם) הביא דכ"ד כל ה</w:t>
      </w:r>
      <w:r w:rsidRPr="00D65870">
        <w:rPr>
          <w:rFonts w:ascii="Narkisim" w:hAnsi="Narkisim"/>
          <w:b/>
          <w:bCs/>
          <w:rtl/>
        </w:rPr>
        <w:t>גאונים</w:t>
      </w:r>
      <w:r w:rsidRPr="00D65870">
        <w:rPr>
          <w:rFonts w:ascii="Narkisim" w:hAnsi="Narkisim"/>
          <w:rtl/>
        </w:rPr>
        <w:t>. [אך תוס' בכ"מ לא ס"ל כן]. [ודוקא תנאי 'אם' דלא הוה מעכשיו].</w:t>
      </w:r>
    </w:p>
  </w:footnote>
  <w:footnote w:id="7035">
    <w:p w14:paraId="51DBB3B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אחרונים</w:t>
      </w:r>
      <w:r w:rsidRPr="00D65870">
        <w:rPr>
          <w:rFonts w:ascii="Narkisim" w:hAnsi="Narkisim"/>
          <w:rtl/>
        </w:rPr>
        <w:t xml:space="preserve"> (אבנ"מ י א, לח ה, קוב"ש ח"ב מב) הביאו דב</w:t>
      </w:r>
      <w:r w:rsidRPr="00D65870">
        <w:rPr>
          <w:rFonts w:ascii="Narkisim" w:hAnsi="Narkisim"/>
          <w:b/>
          <w:bCs/>
          <w:rtl/>
        </w:rPr>
        <w:t>חי' הר"ן</w:t>
      </w:r>
      <w:r w:rsidRPr="00D65870">
        <w:rPr>
          <w:rFonts w:ascii="Narkisim" w:hAnsi="Narkisim"/>
          <w:rtl/>
        </w:rPr>
        <w:t xml:space="preserve"> (גיטין מו., וחי' רמב"ן שם, וס' הזכות שם עה: לח. בדה"ר) מבואר דל"צ תנאי כפול. אבל ב</w:t>
      </w:r>
      <w:r w:rsidRPr="00D65870">
        <w:rPr>
          <w:rFonts w:ascii="Narkisim" w:hAnsi="Narkisim"/>
          <w:b/>
          <w:bCs/>
          <w:rtl/>
        </w:rPr>
        <w:t>שו"ת הרא"ש</w:t>
      </w:r>
      <w:r w:rsidRPr="00D65870">
        <w:rPr>
          <w:rFonts w:ascii="Narkisim" w:hAnsi="Narkisim"/>
          <w:rtl/>
        </w:rPr>
        <w:t xml:space="preserve"> (לה ט) מבואר דצריך כל משפטי התנאים.</w:t>
      </w:r>
    </w:p>
  </w:footnote>
  <w:footnote w:id="7036">
    <w:p w14:paraId="748AFA1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גר"ח</w:t>
      </w:r>
      <w:r w:rsidRPr="00D65870">
        <w:rPr>
          <w:rFonts w:ascii="Narkisim" w:hAnsi="Narkisim"/>
          <w:rtl/>
        </w:rPr>
        <w:t xml:space="preserve"> כת' עפ"ז דכל תנאי בחליצה הוה תנאי דמעכשיו, דאל"כ כלתה החליצה. וביאר דמש"ה הרמב"ם השמיט הך כלל דליתא בשליחות, דה"מ בפרשת תנאים. אבל בחליצה כלתה קנינו, ול"ש כלל גדר תנאי, אלא תנאי דמעכשיו. ובפרשת תנאי דמעכשיו הוה משום מקח טעות, ומש"ה ל"מ בחליצה. ואילו הגמ' כתובות קאי כמ"ד דאף תנאי דמעכשיו צריך משפטי התנאים.</w:t>
      </w:r>
    </w:p>
  </w:footnote>
  <w:footnote w:id="7037">
    <w:p w14:paraId="12A9AA3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וזהו מה שמסיים הרמב"ם (הו' בסמוך) שהרי נתכוין לחלוץ לה.</w:t>
      </w:r>
    </w:p>
  </w:footnote>
  <w:footnote w:id="7038">
    <w:p w14:paraId="11F4A42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ועוד כת' ה</w:t>
      </w:r>
      <w:r w:rsidRPr="00D65870">
        <w:rPr>
          <w:rFonts w:ascii="Narkisim" w:hAnsi="Narkisim"/>
          <w:b/>
          <w:bCs/>
          <w:rtl/>
        </w:rPr>
        <w:t>קובה"ע</w:t>
      </w:r>
      <w:r w:rsidRPr="00D65870">
        <w:rPr>
          <w:rFonts w:ascii="Narkisim" w:hAnsi="Narkisim"/>
          <w:rtl/>
        </w:rPr>
        <w:t xml:space="preserve"> (עו ח) דהרמב"ם סובר דמילתא דליתא בשליחות אינו בעלים להטיל בו תנאי או להגבילו כלל. ולא הוה משום פרשת תנאים [דילפי' מתנאי דבני גד ובני ראובן] אלא סברא דל"מ כלל.</w:t>
      </w:r>
    </w:p>
  </w:footnote>
  <w:footnote w:id="7039">
    <w:p w14:paraId="714941C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והשעה"מ דן אי הוה ודאי, או דהוה רק ספק.</w:t>
      </w:r>
    </w:p>
  </w:footnote>
  <w:footnote w:id="7040">
    <w:p w14:paraId="226D6D8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תוס</w:t>
      </w:r>
      <w:r w:rsidRPr="00D65870">
        <w:rPr>
          <w:rFonts w:ascii="Narkisim" w:hAnsi="Narkisim"/>
          <w:rtl/>
        </w:rPr>
        <w:t>' (כתובות שם) כת' דלהך תי' אף בכל תנאים דעלמא צריך להזכיר התנאי בשעת גמר המעשה, ואין חילוק בחליצה.</w:t>
      </w:r>
    </w:p>
  </w:footnote>
  <w:footnote w:id="7041">
    <w:p w14:paraId="5B10703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דבחליצה אמרי' דכיון דעבד מעשה סתם ניח"ל למיעבד מצוה ע"מ שלא לקבל פרס. ועד"ז בגמ' (שם) בקידש על תנאי וכנס סתם, דכ"ש דגמר וכנס בלא תנאי משום איסורא דבעילת זנות. אבל גט דלא רמיא עליה לגרש, א"כ ודאי דאדעתא דהכי גמר ומגרש וסמך אתנאיה דמעיקרא.</w:t>
      </w:r>
    </w:p>
  </w:footnote>
  <w:footnote w:id="7042">
    <w:p w14:paraId="20AEF94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מאירי</w:t>
      </w:r>
      <w:r w:rsidRPr="00D65870">
        <w:rPr>
          <w:rFonts w:ascii="Narkisim" w:hAnsi="Narkisim"/>
          <w:rtl/>
        </w:rPr>
        <w:t xml:space="preserve"> (לעיל נג. בשם י"מ) דהגמ' (שם) איירי בתנאי כגון שגנבה את כיסו, ואמר לה ע"מ שתחזירי לי את כיסי. דמהני תנאי בדבר שהיא חייבת בו. ודוקא כשהתנה עליה דבר שלא נתחייבה בו אמרי' דאין תנאי בחליצה, דמציא אמרה משטה הייתי בך. אבל כל שהתנה דבר שאף בלא תנאו היתה חייבת לעשותו הר"ז תנאי.</w:t>
      </w:r>
    </w:p>
  </w:footnote>
  <w:footnote w:id="7043">
    <w:p w14:paraId="739EE5B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נקטו ה</w:t>
      </w:r>
      <w:r w:rsidRPr="00D65870">
        <w:rPr>
          <w:rFonts w:ascii="Narkisim" w:hAnsi="Narkisim"/>
          <w:b/>
          <w:bCs/>
          <w:rtl/>
        </w:rPr>
        <w:t>רמב"ן</w:t>
      </w:r>
      <w:r w:rsidRPr="00D65870">
        <w:rPr>
          <w:rFonts w:ascii="Narkisim" w:hAnsi="Narkisim"/>
          <w:rtl/>
        </w:rPr>
        <w:t xml:space="preserve"> ו</w:t>
      </w:r>
      <w:r w:rsidRPr="00D65870">
        <w:rPr>
          <w:rFonts w:ascii="Narkisim" w:hAnsi="Narkisim"/>
          <w:b/>
          <w:bCs/>
          <w:rtl/>
        </w:rPr>
        <w:t>בעה"מ</w:t>
      </w:r>
      <w:r w:rsidRPr="00D65870">
        <w:rPr>
          <w:rFonts w:ascii="Narkisim" w:hAnsi="Narkisim"/>
          <w:rtl/>
        </w:rPr>
        <w:t xml:space="preserve"> ו</w:t>
      </w:r>
      <w:r w:rsidRPr="00D65870">
        <w:rPr>
          <w:rFonts w:ascii="Narkisim" w:hAnsi="Narkisim"/>
          <w:b/>
          <w:bCs/>
          <w:rtl/>
        </w:rPr>
        <w:t>ראב"ד</w:t>
      </w:r>
      <w:r w:rsidRPr="00D65870">
        <w:rPr>
          <w:rFonts w:ascii="Narkisim" w:hAnsi="Narkisim"/>
          <w:rtl/>
        </w:rPr>
        <w:t xml:space="preserve"> (לעיל שם). ואילו ה</w:t>
      </w:r>
      <w:r w:rsidRPr="00D65870">
        <w:rPr>
          <w:rFonts w:ascii="Narkisim" w:hAnsi="Narkisim"/>
          <w:b/>
          <w:bCs/>
          <w:rtl/>
        </w:rPr>
        <w:t>רא"ש</w:t>
      </w:r>
      <w:r w:rsidRPr="00D65870">
        <w:rPr>
          <w:rFonts w:ascii="Narkisim" w:hAnsi="Narkisim"/>
          <w:rtl/>
        </w:rPr>
        <w:t xml:space="preserve"> (שם) יישב דעת הרי"ף כתוס'.</w:t>
      </w:r>
    </w:p>
  </w:footnote>
  <w:footnote w:id="7044">
    <w:p w14:paraId="31DEDEF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מבואר דחליצה כשירה מהני לסלק הזיקה, דמלבד ההיתר לשוק מהני החליצה לסלק הזיקה. וחליצה פסולה זו מהני רק להתיר לשוק, ול"מ לסלק הזיקה. [וצ"ע, וע"ע לעיל שם].</w:t>
      </w:r>
    </w:p>
  </w:footnote>
  <w:footnote w:id="7045">
    <w:p w14:paraId="4E1D7D8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פ</w:t>
      </w:r>
      <w:r w:rsidRPr="00D65870">
        <w:rPr>
          <w:rFonts w:ascii="Narkisim" w:hAnsi="Narkisim"/>
          <w:b/>
          <w:bCs/>
          <w:rtl/>
        </w:rPr>
        <w:t>רש"י</w:t>
      </w:r>
      <w:r w:rsidRPr="00D65870">
        <w:rPr>
          <w:rFonts w:ascii="Narkisim" w:hAnsi="Narkisim"/>
          <w:rtl/>
        </w:rPr>
        <w:t xml:space="preserve"> שעשה משה את יהושע שליח וכו'. וה</w:t>
      </w:r>
      <w:r w:rsidRPr="00D65870">
        <w:rPr>
          <w:rFonts w:ascii="Narkisim" w:hAnsi="Narkisim"/>
          <w:b/>
          <w:bCs/>
          <w:rtl/>
        </w:rPr>
        <w:t>אבנ"מ</w:t>
      </w:r>
      <w:r w:rsidRPr="00D65870">
        <w:rPr>
          <w:rFonts w:ascii="Narkisim" w:hAnsi="Narkisim"/>
          <w:rtl/>
        </w:rPr>
        <w:t xml:space="preserve"> (לח ב) הק' דא"כ נימא דיהני תנאי על עצם השליחות, דלא עשאו שליח אלא בענין זה. ואמאי צריך תנאי כפול. עי"ש.</w:t>
      </w:r>
    </w:p>
  </w:footnote>
  <w:footnote w:id="7046">
    <w:p w14:paraId="5C659A4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או דבעינן מעל רגלו, וכרא"ש.</w:t>
      </w:r>
    </w:p>
  </w:footnote>
  <w:footnote w:id="7047">
    <w:p w14:paraId="40DC87C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דהק' היא גופה תמוה, למה לא נאמר בחליצה שלוחו כמותו כמו בגט. וכשתחלוץ רגל השליח הוי כאילו חלצה רגלו. ואפי' את"ל דל"מ קריאה ע"י שליח, לא מיעכבא.</w:t>
      </w:r>
    </w:p>
  </w:footnote>
  <w:footnote w:id="7048">
    <w:p w14:paraId="675101E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דהמעשה אינה מתרת אלא אם נעשית ע"י היבם והיבמה, ולזה ל"מ שליחות לומר שהשליח הוא כיבם, אלא משום מסירת כח. והיבם אין לו כח להתיר, ומש"ה אינו יכול למוסרו. ומה"ט גופא לא מהני תנאי בחליצה, דלאו כל כמיניה להטיל תנאי בההיתר הנעשה ממילא ע"י המעשה, ולא מכחו.</w:t>
      </w:r>
    </w:p>
  </w:footnote>
  <w:footnote w:id="7049">
    <w:p w14:paraId="29C1FDD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ולפ"ז חזר והטעהו לחלוץ. [ואף דהוה בטעות לא נחשב 'מעושה']. ועוד קשה לומר שהטעהו לעשות דבר שאינו מוטל עליו ע"פ דין. {אך ה</w:t>
      </w:r>
      <w:r w:rsidRPr="00D65870">
        <w:rPr>
          <w:rFonts w:ascii="Narkisim" w:hAnsi="Narkisim"/>
          <w:b/>
          <w:bCs/>
          <w:rtl/>
        </w:rPr>
        <w:t>רמב"ן</w:t>
      </w:r>
      <w:r w:rsidRPr="00D65870">
        <w:rPr>
          <w:rFonts w:ascii="Narkisim" w:hAnsi="Narkisim"/>
          <w:rtl/>
        </w:rPr>
        <w:t xml:space="preserve"> (בסמוך) כת' דאיירי ביבם שאינו הגון, ומש"ה דינו בחליצה, ולא הוה שלא כדין}.</w:t>
      </w:r>
    </w:p>
  </w:footnote>
  <w:footnote w:id="7050">
    <w:p w14:paraId="1234DB0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הק' על תי' זה, דהיאך אפשר דהרקיקה פוסלת, ואילו חליצה גופה לא תפסול מאחין.</w:t>
      </w:r>
    </w:p>
  </w:footnote>
  <w:footnote w:id="7051">
    <w:p w14:paraId="10C484C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חלק דאף לא נתכוונו שניהם דינו שווה לנתכוון א' מהם.</w:t>
      </w:r>
    </w:p>
  </w:footnote>
  <w:footnote w:id="7052">
    <w:p w14:paraId="5E266DD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ובגמ' (לקמן קיב.) אי' היכא דבאה מחמת טענה.</w:t>
      </w:r>
    </w:p>
  </w:footnote>
  <w:footnote w:id="7053">
    <w:p w14:paraId="035140C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ודוקא לענין אגרת מרד בעינן באה מחמת טענה (ע' כתובות סד.). א"נ ליתן כתובה למי ששהתה עם בעלה י' שנים (כדלעיל סה.).</w:t>
      </w:r>
    </w:p>
  </w:footnote>
  <w:footnote w:id="7054">
    <w:p w14:paraId="5F2FD4E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ואין לומר דשמא תמצא פתח לנדרה. דאי חיישינן לפתח אמאי כופין אותו לחלוץ, דהא היבם רוצה ליבם. ואם תמצא פתח תתיבם. ועוד הביא דה</w:t>
      </w:r>
      <w:r w:rsidRPr="00D65870">
        <w:rPr>
          <w:rFonts w:ascii="Narkisim" w:hAnsi="Narkisim"/>
          <w:b/>
          <w:bCs/>
          <w:rtl/>
        </w:rPr>
        <w:t>ב"י</w:t>
      </w:r>
      <w:r w:rsidRPr="00D65870">
        <w:rPr>
          <w:rFonts w:ascii="Narkisim" w:hAnsi="Narkisim"/>
          <w:rtl/>
        </w:rPr>
        <w:t xml:space="preserve"> (קסה) בשם ה</w:t>
      </w:r>
      <w:r w:rsidRPr="00D65870">
        <w:rPr>
          <w:rFonts w:ascii="Narkisim" w:hAnsi="Narkisim"/>
          <w:b/>
          <w:bCs/>
          <w:rtl/>
        </w:rPr>
        <w:t>תשב"ץ</w:t>
      </w:r>
      <w:r w:rsidRPr="00D65870">
        <w:rPr>
          <w:rFonts w:ascii="Narkisim" w:hAnsi="Narkisim"/>
          <w:rtl/>
        </w:rPr>
        <w:t xml:space="preserve"> (ב רס) מבואר דמיירי באופן דלא מהני פתח.</w:t>
      </w:r>
    </w:p>
  </w:footnote>
  <w:footnote w:id="7055">
    <w:p w14:paraId="4908B43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ולא אמרי' דיבום רשות, ומיגו דחל שבועה על יבום חל בכולל על חליצה. דה"מ רשות גמור, אבל הכא חייב או זה או זה. ועוד דהר"ז נשבע לבטל את המצוה ממש, וכנשבע שלא יקדש קדוש היום לא ביין ולא בפת, דלא חלה עליו השבועה, ואף דיין לחוד חל שבועה, דהא אפשר בפת.</w:t>
      </w:r>
    </w:p>
    <w:p w14:paraId="6DF64EDC" w14:textId="77777777" w:rsidR="006C4368" w:rsidRPr="00D65870" w:rsidRDefault="006C4368" w:rsidP="006C4368">
      <w:pPr>
        <w:pStyle w:val="Footnote"/>
        <w:bidi/>
        <w:rPr>
          <w:rFonts w:ascii="Narkisim" w:hAnsi="Narkisim"/>
        </w:rPr>
      </w:pPr>
      <w:r w:rsidRPr="00D65870">
        <w:rPr>
          <w:rFonts w:ascii="Narkisim" w:hAnsi="Narkisim"/>
          <w:rtl/>
        </w:rPr>
        <w:tab/>
        <w:t>אך דחה דהתם היין ופת אינם שתי מצות, אלא חלקי מצווה א'. אבל כאן יבום וחליצה שתי מצות חלוקות הן, האחת לקרב והאחרת לרחק. א"כ נימא דחל בכולל. אך דחה ד'כולל' הוה דוקא באותו פעולה. [ואכמ"ל].</w:t>
      </w:r>
    </w:p>
  </w:footnote>
  <w:footnote w:id="7056">
    <w:p w14:paraId="1D3C468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אך רש"י כבר תי' דהיכא דאפשר בהטעיה עדיף.</w:t>
      </w:r>
    </w:p>
  </w:footnote>
  <w:footnote w:id="7057">
    <w:p w14:paraId="2C6BA083"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ב"ח</w:t>
      </w:r>
      <w:r w:rsidRPr="00D65870">
        <w:rPr>
          <w:rFonts w:ascii="Narkisim" w:hAnsi="Narkisim"/>
          <w:rtl/>
        </w:rPr>
        <w:t xml:space="preserve"> (קסט אות כה) נקט דכ"ז ללישנא קמא (לעיל קב:) דבלא נתכוונו אינו פוסל [אלא משום חשש]. אבל לל"ב פוסל אף בלא חשש זה. ועפ"ז נדחק דהני אמוראי [דסוגיין] ס"ל כלישנא קמא.</w:t>
      </w:r>
    </w:p>
  </w:footnote>
  <w:footnote w:id="7058">
    <w:p w14:paraId="37F97CC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כיון דאין החליצה תלויה בנתינת המעות.</w:t>
      </w:r>
    </w:p>
  </w:footnote>
  <w:footnote w:id="7059">
    <w:p w14:paraId="7934F18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רש"י</w:t>
      </w:r>
      <w:r w:rsidRPr="00D65870">
        <w:rPr>
          <w:rFonts w:ascii="Narkisim" w:hAnsi="Narkisim"/>
          <w:rtl/>
        </w:rPr>
        <w:t xml:space="preserve"> (שבועות לו.) כת' דהעונה 'אמן' הוה קבלת דברים, דהאומר לחבירו על מנת שתקיים לי תנאי כך וכך ואמר אמן, קיבל דבריו, וחייב לקיים תנאו. ו</w:t>
      </w:r>
      <w:r w:rsidRPr="00D65870">
        <w:rPr>
          <w:rFonts w:ascii="Narkisim" w:hAnsi="Narkisim"/>
          <w:b/>
          <w:bCs/>
          <w:rtl/>
        </w:rPr>
        <w:t>רע"א</w:t>
      </w:r>
      <w:r w:rsidRPr="00D65870">
        <w:rPr>
          <w:rFonts w:ascii="Narkisim" w:hAnsi="Narkisim"/>
          <w:rtl/>
        </w:rPr>
        <w:t xml:space="preserve"> (בגהש"ס) תמה דהא ליכא חיוב לעשות התנאי, אלא דאם לא יקיים התנאי בטל המעשה דמכר או מתנה ומחילה וכדומה. ואי משום תנאי למאי צריך ש'אמן' יהיה קבלה, ומה צורך לקבלתו, הא הנותן לא נתן רק ע"מ ואם לא יקיים התנאי ממילא בטל הנתינה. וצ"ע. וה</w:t>
      </w:r>
      <w:r w:rsidRPr="00D65870">
        <w:rPr>
          <w:rFonts w:ascii="Narkisim" w:hAnsi="Narkisim"/>
          <w:b/>
          <w:bCs/>
          <w:rtl/>
        </w:rPr>
        <w:t>אחרונים</w:t>
      </w:r>
      <w:r w:rsidRPr="00D65870">
        <w:rPr>
          <w:rFonts w:ascii="Narkisim" w:hAnsi="Narkisim"/>
          <w:rtl/>
        </w:rPr>
        <w:t xml:space="preserve"> ביארו דכוונת רש"י באופן דל"מ מגדרי תנאים, אלא משום קציצת שכירות. [ומש"ה תלי בקבלתו של זה].</w:t>
      </w:r>
    </w:p>
  </w:footnote>
  <w:footnote w:id="7060">
    <w:p w14:paraId="7F229EF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הוסיף דאפי' חזרה אחריו ואמרה לו תן לי גט ואתן לך מאתים זוז, ואף שאילו הבעל יתן את הגט סתם [בלא תנאי] חייבת לשלם [דהוה קציצת שכר]. אבל היכא שהבעל התנה עליה בעל מנת אינה חייבת לשלם, שהרי פירש כפיה שלה אם לא תתן יבטל המעשה.</w:t>
      </w:r>
    </w:p>
    <w:p w14:paraId="6E3911D1" w14:textId="77777777" w:rsidR="006C4368" w:rsidRPr="00D65870" w:rsidRDefault="006C4368" w:rsidP="006C4368">
      <w:pPr>
        <w:pStyle w:val="Footnote"/>
        <w:bidi/>
        <w:rPr>
          <w:rFonts w:ascii="Narkisim" w:hAnsi="Narkisim"/>
        </w:rPr>
      </w:pPr>
      <w:r w:rsidRPr="00D65870">
        <w:rPr>
          <w:rFonts w:ascii="Narkisim" w:hAnsi="Narkisim"/>
          <w:rtl/>
        </w:rPr>
        <w:tab/>
        <w:t>[ויל"ד האם כוונת הרמב"ן דהיכא דהוה תנאי ג"כ הוה קציצת שכר, אלא דכיון דתלוי בה הדבר לבטל המעשה. רשאית לבטל המעשה, ואי"צ לשלם. או דכיון דחל בגדר תנאי, מש"ה לא נחשב גדר שכר פעולה כלל].</w:t>
      </w:r>
    </w:p>
  </w:footnote>
  <w:footnote w:id="7061">
    <w:p w14:paraId="1E6D5FA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ה</w:t>
      </w:r>
      <w:r w:rsidRPr="00D65870">
        <w:rPr>
          <w:rFonts w:ascii="Narkisim" w:hAnsi="Narkisim"/>
          <w:b/>
          <w:bCs/>
          <w:rtl/>
        </w:rPr>
        <w:t>או"ז</w:t>
      </w:r>
      <w:r w:rsidRPr="00D65870">
        <w:rPr>
          <w:rFonts w:ascii="Narkisim" w:hAnsi="Narkisim"/>
          <w:rtl/>
        </w:rPr>
        <w:t xml:space="preserve"> (תרעג) כת' דאיירי הכא היכא שמהדין יבום קודם, והטעתו לחלוץ. אבל היכא דע"פ דין החליצה קודמת, הרי מוטל עליו לחלוץ ולית ליה אפי' שכר טרחו. [ולא דמי למעבורת דאין מוטל עליו להעבירו, ומש"ה נוטל שכר טרחו].</w:t>
      </w:r>
    </w:p>
  </w:footnote>
  <w:footnote w:id="7062">
    <w:p w14:paraId="64FB9D0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 הא דאי' (שם) דיש סברת לדידי שווה לי.</w:t>
      </w:r>
    </w:p>
  </w:footnote>
  <w:footnote w:id="7063">
    <w:p w14:paraId="23C4E09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וש"מ שכל המתנה בשכירות יותר מכדי דמים מפני האונס ודוחק השעה שלו יכול לומר משטה אני בך. ומכאן ללוקח סמנין בדמים יקרים הרבה מפני חולי ודוחק, דלא מחייב אלא בדמיהן וכן כל כיוצא בזה.</w:t>
      </w:r>
    </w:p>
  </w:footnote>
  <w:footnote w:id="7064">
    <w:p w14:paraId="52E853F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תשו' מיימוני</w:t>
      </w:r>
      <w:r w:rsidRPr="00D65870">
        <w:rPr>
          <w:rFonts w:ascii="Narkisim" w:hAnsi="Narkisim"/>
          <w:rtl/>
        </w:rPr>
        <w:t xml:space="preserve"> (משפטים סד בסופו) דן שיהא חייב שבועה דנתכוון להשטאה.</w:t>
      </w:r>
    </w:p>
  </w:footnote>
  <w:footnote w:id="7065">
    <w:p w14:paraId="35EA58D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והקצות הביא דמבואר דלולי טענת משטה יש בזה תורת שכירות, ואע"פ שהיבם מחויב לייבם, היכא דעשה כן דרך שכירות מחוייב לשלם.</w:t>
      </w:r>
    </w:p>
    <w:p w14:paraId="7A5FF537"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 xml:space="preserve">קצות </w:t>
      </w:r>
      <w:r w:rsidRPr="00D65870">
        <w:rPr>
          <w:rFonts w:ascii="Narkisim" w:hAnsi="Narkisim"/>
          <w:rtl/>
        </w:rPr>
        <w:t>(פא ד) הביא דה</w:t>
      </w:r>
      <w:r w:rsidRPr="00D65870">
        <w:rPr>
          <w:rFonts w:ascii="Narkisim" w:hAnsi="Narkisim"/>
          <w:b/>
          <w:bCs/>
          <w:rtl/>
        </w:rPr>
        <w:t>פוסקים</w:t>
      </w:r>
      <w:r w:rsidRPr="00D65870">
        <w:rPr>
          <w:rFonts w:ascii="Narkisim" w:hAnsi="Narkisim"/>
          <w:rtl/>
        </w:rPr>
        <w:t xml:space="preserve"> כת' גבי שאר משטה דהיכא דאמר לו 'אתם עדי' מהני לסלק טענת השטאה. וה</w:t>
      </w:r>
      <w:r w:rsidRPr="00D65870">
        <w:rPr>
          <w:rFonts w:ascii="Narkisim" w:hAnsi="Narkisim"/>
          <w:b/>
          <w:bCs/>
          <w:rtl/>
        </w:rPr>
        <w:t>ש"ך</w:t>
      </w:r>
      <w:r w:rsidRPr="00D65870">
        <w:rPr>
          <w:rFonts w:ascii="Narkisim" w:hAnsi="Narkisim"/>
          <w:rtl/>
        </w:rPr>
        <w:t xml:space="preserve"> (שם ו) הק' דהוה דיבור בעלמא בלא קנין, ויכול לחזור בו. והקצות תי' דנתחייב בתורת שכירות, דכיון דסילק סברת משטה ממילא פעולתו הוה שכירות עבורו, ול"צ קנין.</w:t>
      </w:r>
    </w:p>
    <w:p w14:paraId="4E4F4481" w14:textId="77777777" w:rsidR="006C4368" w:rsidRPr="00D65870" w:rsidRDefault="006C4368" w:rsidP="006C4368">
      <w:pPr>
        <w:pStyle w:val="Footnote"/>
        <w:bidi/>
        <w:rPr>
          <w:rFonts w:ascii="Narkisim" w:hAnsi="Narkisim"/>
        </w:rPr>
      </w:pPr>
      <w:r w:rsidRPr="00D65870">
        <w:rPr>
          <w:rFonts w:ascii="Narkisim" w:hAnsi="Narkisim"/>
          <w:rtl/>
        </w:rPr>
        <w:tab/>
        <w:t>אך הקצות הביא דבסוגיין גבי חליצה ל"מ אמירת 'אתם עדי', וכדמבואר ברשב"א הנ"ל. וביאר דכיון דהוה באונס א"כ אף התחייבות זו הוה בכלל המשטה. אבל היכא דאמר לו ללמד לא הוה אונס, ומש"ה מהני 'אתם עדי' לסלק טענת משטה.</w:t>
      </w:r>
    </w:p>
  </w:footnote>
  <w:footnote w:id="7066">
    <w:p w14:paraId="5203D6B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ועד"ז כת' ה</w:t>
      </w:r>
      <w:r w:rsidRPr="00D65870">
        <w:rPr>
          <w:rFonts w:ascii="Narkisim" w:hAnsi="Narkisim"/>
          <w:b/>
          <w:bCs/>
          <w:rtl/>
        </w:rPr>
        <w:t>ריטב"א</w:t>
      </w:r>
      <w:r w:rsidRPr="00D65870">
        <w:rPr>
          <w:rFonts w:ascii="Narkisim" w:hAnsi="Narkisim"/>
          <w:rtl/>
        </w:rPr>
        <w:t xml:space="preserve"> (קידושין הנ"ל).</w:t>
      </w:r>
    </w:p>
  </w:footnote>
  <w:footnote w:id="7067">
    <w:p w14:paraId="7850F9C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כיון דהסממין האלו שווים בשוק כך, אינו רשאי להעלות את המחיר לחולה. [ולא אמרי' דכלפי החולה שווה יותר, כיון דאינו יכול להשיג אחרים].</w:t>
      </w:r>
    </w:p>
    <w:p w14:paraId="558A41B2" w14:textId="77777777" w:rsidR="006C4368" w:rsidRPr="00D65870" w:rsidRDefault="006C4368" w:rsidP="006C4368">
      <w:pPr>
        <w:pStyle w:val="Footnote"/>
        <w:bidi/>
        <w:rPr>
          <w:rFonts w:ascii="Narkisim" w:hAnsi="Narkisim"/>
        </w:rPr>
      </w:pPr>
      <w:r w:rsidRPr="00D65870">
        <w:rPr>
          <w:rFonts w:ascii="Narkisim" w:hAnsi="Narkisim"/>
          <w:rtl/>
        </w:rPr>
        <w:tab/>
        <w:t>וב</w:t>
      </w:r>
      <w:r w:rsidRPr="00D65870">
        <w:rPr>
          <w:rFonts w:ascii="Narkisim" w:hAnsi="Narkisim"/>
          <w:b/>
          <w:bCs/>
          <w:rtl/>
        </w:rPr>
        <w:t>תוס' מהר"ם ור"פ</w:t>
      </w:r>
      <w:r w:rsidRPr="00D65870">
        <w:rPr>
          <w:rFonts w:ascii="Narkisim" w:hAnsi="Narkisim"/>
          <w:rtl/>
        </w:rPr>
        <w:t xml:space="preserve"> כת' דאיירי הכא בזמן שיש מעבורת אחרת, שאם לא היה זה משכירו בכך בדמים יקרים היה מוצא בטוב מעבורת אחרת. [אבל במקום דליכא מעבורת אחרת, אף דכל יום נותנים דבר מועט, בשעה שבורח הוה הכל שכרו. וצ"ע].</w:t>
      </w:r>
    </w:p>
  </w:footnote>
  <w:footnote w:id="7068">
    <w:p w14:paraId="340728C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רא"ש</w:t>
      </w:r>
      <w:r w:rsidRPr="00D65870">
        <w:rPr>
          <w:rFonts w:ascii="Narkisim" w:hAnsi="Narkisim"/>
          <w:rtl/>
        </w:rPr>
        <w:t xml:space="preserve"> (טז) דמעשה שרגילין עליו ליתן דבר גדול א"י לומר משטה אני בך, ואע"פ שלא הוציא כלום באותו דבר, הכל לפי המעשה והתנאי.</w:t>
      </w:r>
    </w:p>
  </w:footnote>
  <w:footnote w:id="7069">
    <w:p w14:paraId="11B3147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או"ז</w:t>
      </w:r>
      <w:r w:rsidRPr="00D65870">
        <w:rPr>
          <w:rFonts w:ascii="Narkisim" w:hAnsi="Narkisim"/>
          <w:rtl/>
        </w:rPr>
        <w:t xml:space="preserve"> (ב"ק שם הו' בתשו' מיימוניות, וכן צ"ל בתוס' מהר"ם ור"פ כאן) הביא מעשה שבא לפני ר"י שעשו השבעת שדים להחזיר גניבה, ואחר שעשה הדבר לא רצה ליתן לו אלא שכרו ופסק ר"י לתת לו כל אשר התנה דבדבר זה רגילין לתת יותר מכדי טרחו.</w:t>
      </w:r>
    </w:p>
  </w:footnote>
  <w:footnote w:id="7070">
    <w:p w14:paraId="1E259E8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כאן, ובתורת האדם שער המיחוש ענין הסכנה בסופו, והריטב"א קידושין הנ"ל בשם הרמב"ן.</w:t>
      </w:r>
    </w:p>
  </w:footnote>
  <w:footnote w:id="7071">
    <w:p w14:paraId="243EA35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וכיון דלכתחילה אינו רשאי ליטול שכר, מש"ה אף כשקצץ שכר אמרי' דמשטה.</w:t>
      </w:r>
    </w:p>
  </w:footnote>
  <w:footnote w:id="7072">
    <w:p w14:paraId="120C15D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רמב"ן</w:t>
      </w:r>
      <w:r w:rsidRPr="00D65870">
        <w:rPr>
          <w:rFonts w:ascii="Narkisim" w:hAnsi="Narkisim"/>
          <w:rtl/>
        </w:rPr>
        <w:t xml:space="preserve"> (תוה"א לעיל שם, והו' בטור ושו"ע יו"ד שלו ב) כת' דרופא רשאי ליטול רק שכר בטלה וטירחא, אבל אינו רשאי ליטול שכר לימוד. דאבידת גופו הוא ורחמנא אמר והשבותו לו. ואמרי' (נדרים לז. בכורות כט.) מה אני בחנם אף אתה בחנם. הילכך שכר החכמה והלמוד אסור דהו"ל כשכר הזאה וקידוש, אבל שכר הטרחא מותר דהו"ל כשכר הבאה ומילוי דמותר.</w:t>
      </w:r>
    </w:p>
  </w:footnote>
  <w:footnote w:id="7073">
    <w:p w14:paraId="74AEDAE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ובשו"ת </w:t>
      </w:r>
      <w:r w:rsidRPr="00D65870">
        <w:rPr>
          <w:rFonts w:ascii="Narkisim" w:hAnsi="Narkisim"/>
          <w:b/>
          <w:bCs/>
          <w:rtl/>
        </w:rPr>
        <w:t>ר"י מגאש</w:t>
      </w:r>
      <w:r w:rsidRPr="00D65870">
        <w:rPr>
          <w:rFonts w:ascii="Narkisim" w:hAnsi="Narkisim"/>
          <w:rtl/>
        </w:rPr>
        <w:t xml:space="preserve"> (קטו וקפא) כת' דמהני מודעא [מסברא] דכיון דצריך שיתכוין להתירה. ואע"פ שנתכוין למעשה אם לא נתכוין להתירה חליצתה פסולה, ממילא שמעת שאם הקדים מודעא וגלי דעתיה שאינו מתכוין להתירה שהחליצה פסולה, וצריך לחלוץ לה אח"כ חליצה מעליתא אחר ביטול המודעא. ועוד הביא דמבואר דצריך שיאמר רוצה אני.</w:t>
      </w:r>
    </w:p>
    <w:p w14:paraId="730FDAA7" w14:textId="77777777" w:rsidR="006C4368" w:rsidRPr="00D65870" w:rsidRDefault="006C4368" w:rsidP="006C4368">
      <w:pPr>
        <w:pStyle w:val="Footnote"/>
        <w:bidi/>
        <w:rPr>
          <w:rFonts w:ascii="Narkisim" w:hAnsi="Narkisim"/>
        </w:rPr>
      </w:pPr>
      <w:r w:rsidRPr="00D65870">
        <w:rPr>
          <w:rFonts w:ascii="Narkisim" w:hAnsi="Narkisim"/>
          <w:rtl/>
        </w:rPr>
        <w:tab/>
        <w:t>והר"י מגאש הוסיף דדוקא היכא דפירש במודעא שאינו מתכוון להתירה במעשה זה, אבל אם לא נזכר בה זה הלשון או לשון כעי"ז אין חוששין למודעא.</w:t>
      </w:r>
    </w:p>
  </w:footnote>
  <w:footnote w:id="7074">
    <w:p w14:paraId="42442EA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לכאורה הול"ל דהוה כמו נתכוונה היא ולא נתכוון הוא.</w:t>
      </w:r>
    </w:p>
  </w:footnote>
  <w:footnote w:id="7075">
    <w:p w14:paraId="4CBFA65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וכל מודעא מהני משום אתי דיבור ומבטל דיבור, אבל בחליצה איך יבטל דיבור את 'מעשה' החליצה.</w:t>
      </w:r>
    </w:p>
  </w:footnote>
  <w:footnote w:id="7076">
    <w:p w14:paraId="6F5D75B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וכמו דמהני בשאר הקנינים מודעה לבטל את המעשה, ה"נ מהני המודעה שלא יפעול רצונו במעשה החליצה להתרת הזיקה.</w:t>
      </w:r>
    </w:p>
    <w:p w14:paraId="6F795E44" w14:textId="77777777" w:rsidR="006C4368" w:rsidRPr="00D65870" w:rsidRDefault="006C4368" w:rsidP="006C4368">
      <w:pPr>
        <w:pStyle w:val="Footnote"/>
        <w:bidi/>
        <w:rPr>
          <w:rFonts w:ascii="Narkisim" w:hAnsi="Narkisim"/>
        </w:rPr>
      </w:pPr>
      <w:r w:rsidRPr="00D65870">
        <w:rPr>
          <w:rFonts w:ascii="Narkisim" w:hAnsi="Narkisim"/>
          <w:rtl/>
        </w:rPr>
        <w:tab/>
        <w:t>וביאר דעי"ז הוי כמו חליצה בלא כונה. דאי אפשר שתועיל המודעה יותר מזה, שהרי עכ"פ נעשית מעשה חליצה. וכן אם היה מועיל תנאי בחליצה היה הדין שתהא חליצה פסולה, כיון שהמעשה נעשית עכ"פ.</w:t>
      </w:r>
    </w:p>
  </w:footnote>
  <w:footnote w:id="7077">
    <w:p w14:paraId="1E225BD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שאין אומרין אנוס אלא למי שנלחץ ונדחק לעשות דבר שאינו מחוייב מן התורה לעשותו כגון מי שהוכה עד שמכר או נתן.</w:t>
      </w:r>
    </w:p>
  </w:footnote>
  <w:footnote w:id="7078">
    <w:p w14:paraId="272A8B7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לדעת רב נחמן נאמן ליתן גט, ואינו נאמן לכנוס. ולדעת רב אסי אף נאמן לכנוס. ואי' (שם) דבאשה עצמה שאומרת נתקדשתי לכו"ע אינו נאמן לכנוס. אבל נאמן ליתן גט.</w:t>
      </w:r>
    </w:p>
  </w:footnote>
  <w:footnote w:id="7079">
    <w:p w14:paraId="26363DB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תו"י</w:t>
      </w:r>
      <w:r w:rsidRPr="00D65870">
        <w:rPr>
          <w:rFonts w:ascii="Narkisim" w:hAnsi="Narkisim"/>
          <w:rtl/>
        </w:rPr>
        <w:t xml:space="preserve"> הק' דמבואר (לקמן קכב., וגיטין סו.) דמשיאין אף היכא דאין מכירין [בשעת הסכנה], כשאמר אני פלוני מת וכו'. ומבואר דסמכי' על דבריו להשיא את האשה בלא בירור. [ולכאורה כוונתו דעד א' נאמן לברר כמו במשנה (קידושין סג:)].</w:t>
      </w:r>
    </w:p>
  </w:footnote>
  <w:footnote w:id="7080">
    <w:p w14:paraId="09E9456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וביאר דאל"כ חוששין שמא אסיק אנפשיה שם של בעלה, כדי להוציאה מתחתיו. ואף כאן שמא העלה שמו כשם יבמה להוציאה ממנו ולקחתה לעצמו במדינה אחרת.</w:t>
      </w:r>
    </w:p>
  </w:footnote>
  <w:footnote w:id="7081">
    <w:p w14:paraId="551870A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וכשיבואו יבמין הודאין תהא פטורה, וחוששין שמא זה רוצה להוציאה מידם ולנשאה לעצמו במקום אחר.</w:t>
      </w:r>
    </w:p>
  </w:footnote>
  <w:footnote w:id="7082">
    <w:p w14:paraId="25A6E0F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וביאר שאם שניהן רוצין עכשיו נמי יכולין לילך ולינשא בכל מקום בלא גט ותאמר פנויה אני. ואם חוששין לחומר שבסופה אם יבא המקדש ועדיו עמו, מה הועיל בגיטו עכשיו נמי יש להם לחוש.</w:t>
      </w:r>
    </w:p>
  </w:footnote>
  <w:footnote w:id="7083">
    <w:p w14:paraId="0E11D20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והביא דדעת </w:t>
      </w:r>
      <w:r w:rsidRPr="00D65870">
        <w:rPr>
          <w:rFonts w:ascii="Narkisim" w:hAnsi="Narkisim"/>
          <w:b/>
          <w:bCs/>
          <w:rtl/>
        </w:rPr>
        <w:t>ר' אביגדור כ"צ</w:t>
      </w:r>
      <w:r w:rsidRPr="00D65870">
        <w:rPr>
          <w:rFonts w:ascii="Narkisim" w:hAnsi="Narkisim"/>
          <w:rtl/>
        </w:rPr>
        <w:t xml:space="preserve"> (בהג' מרדכי סוף קידושין תקע) דל"מ שטר ראיה על קידושין [ודוקא שטר שנתקדשה בה מהני לראיה].</w:t>
      </w:r>
    </w:p>
  </w:footnote>
  <w:footnote w:id="7084">
    <w:p w14:paraId="5CB23B8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w:t>
      </w:r>
      <w:r w:rsidRPr="00D65870">
        <w:rPr>
          <w:rFonts w:ascii="Narkisim" w:hAnsi="Narkisim"/>
          <w:b/>
          <w:bCs/>
          <w:rtl/>
        </w:rPr>
        <w:t>רבינו יונתן</w:t>
      </w:r>
      <w:r w:rsidRPr="00D65870">
        <w:rPr>
          <w:rFonts w:ascii="Narkisim" w:hAnsi="Narkisim"/>
          <w:rtl/>
        </w:rPr>
        <w:t xml:space="preserve"> (בשיטמ"ק ב"מ כ.) פחי' שטרי חליצה, שמעידין בי"ד שחלצה ליבמה בפניהן. וכ"כ </w:t>
      </w:r>
      <w:r w:rsidRPr="00D65870">
        <w:rPr>
          <w:rFonts w:ascii="Narkisim" w:hAnsi="Narkisim"/>
          <w:b/>
          <w:bCs/>
          <w:rtl/>
        </w:rPr>
        <w:t>רש"י</w:t>
      </w:r>
      <w:r w:rsidRPr="00D65870">
        <w:rPr>
          <w:rFonts w:ascii="Narkisim" w:hAnsi="Narkisim"/>
          <w:rtl/>
        </w:rPr>
        <w:t xml:space="preserve"> (ב"מ שם) על שטרי מיאונין.</w:t>
      </w:r>
    </w:p>
  </w:footnote>
  <w:footnote w:id="7085">
    <w:p w14:paraId="3CA217E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בחייבי לאוין משום גזירה ביאה ראשונה אטו ביאה שניה.</w:t>
      </w:r>
    </w:p>
  </w:footnote>
  <w:footnote w:id="7086">
    <w:p w14:paraId="317C212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דבחייבי לאו ועשה דרשי' (לעיל כ.) ועלתה יבמתו, יש לך אחרת שעולה לחליצה ואינה עולה לייבום.</w:t>
      </w:r>
    </w:p>
  </w:footnote>
  <w:footnote w:id="7087">
    <w:p w14:paraId="020FE6E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ולפ"ז אפשר דאילם יהא כשר לחליצה זו, דל"ש בזה לומר דיעכב הא דאינו ראוי לקריאה (כדלעיל קד:). וכן נקט ה</w:t>
      </w:r>
      <w:r w:rsidRPr="00D65870">
        <w:rPr>
          <w:rFonts w:ascii="Narkisim" w:hAnsi="Narkisim"/>
          <w:b/>
          <w:bCs/>
          <w:rtl/>
        </w:rPr>
        <w:t>עונג יו"ט</w:t>
      </w:r>
      <w:r w:rsidRPr="00D65870">
        <w:rPr>
          <w:rFonts w:ascii="Narkisim" w:hAnsi="Narkisim"/>
          <w:rtl/>
        </w:rPr>
        <w:t xml:space="preserve"> (ב ד"ה ונ"ל דלק"מ) דנפק"מ בטעם דחרש לאו בני דעה, דאי משום חסרון קריאה מהני בהנך דאינם עולים ליבום מדאורייתא.</w:t>
      </w:r>
    </w:p>
  </w:footnote>
  <w:footnote w:id="7088">
    <w:p w14:paraId="3718EAD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ב"י</w:t>
      </w:r>
      <w:r w:rsidRPr="00D65870">
        <w:rPr>
          <w:rFonts w:ascii="Narkisim" w:hAnsi="Narkisim"/>
          <w:rtl/>
        </w:rPr>
        <w:t xml:space="preserve"> הביא דברי ה</w:t>
      </w:r>
      <w:r w:rsidRPr="00D65870">
        <w:rPr>
          <w:rFonts w:ascii="Narkisim" w:hAnsi="Narkisim"/>
          <w:b/>
          <w:bCs/>
          <w:rtl/>
        </w:rPr>
        <w:t>רשב"א</w:t>
      </w:r>
      <w:r w:rsidRPr="00D65870">
        <w:rPr>
          <w:rFonts w:ascii="Narkisim" w:hAnsi="Narkisim"/>
          <w:rtl/>
        </w:rPr>
        <w:t xml:space="preserve"> ע"ד הטור שהביא שו"ת הרא"ש]. וי"ל דמש"כ הרשב"א כל חליצה היינו במקום ששייך יבום מדאורייתא. א"נ יש לדחות דמש"כ הרא"ש דלא פלוג רבנן לאו דוקא, אלא הוה לא פלוג דאורייתא.</w:t>
      </w:r>
    </w:p>
  </w:footnote>
  <w:footnote w:id="7089">
    <w:p w14:paraId="51F59D7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שו"ע</w:t>
      </w:r>
      <w:r w:rsidRPr="00D65870">
        <w:rPr>
          <w:rFonts w:ascii="Narkisim" w:hAnsi="Narkisim"/>
          <w:rtl/>
        </w:rPr>
        <w:t xml:space="preserve"> (סדר חליצה בקצרה) כת' ותשליך אותו למרחוק.</w:t>
      </w:r>
    </w:p>
  </w:footnote>
  <w:footnote w:id="7090">
    <w:p w14:paraId="56A7800D"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(שם פב) הביא מהזוהר (ריש חקת קפ בדה"ס, בביאור ענין החליצה) ובעי לבטשא ליה לההוא נעל בארעא לאחזאה דשכיב גופא דההוא מיתה וכו'. האי בטשותא דההוא נעל בידה דאתתא לאחזאה דהא אתבני ההוא מיתא בעפרא אחרא בהאי עלמא וכו' וכדין ההיא איתתא תשתרי למעבד זרעא אחרא ואוקמיה.</w:t>
      </w:r>
    </w:p>
  </w:footnote>
  <w:footnote w:id="7091">
    <w:p w14:paraId="72E8630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וכיון שזורקת מנעל מוכחא מילתא שאינו שלה, ולכך משלכת לפני הדיינים, דומיא דרקיקה.</w:t>
      </w:r>
    </w:p>
  </w:footnote>
  <w:footnote w:id="7092">
    <w:p w14:paraId="582C5B2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ונדחק דכוונת הסמ"ק כדברי ה</w:t>
      </w:r>
      <w:r w:rsidRPr="00D65870">
        <w:rPr>
          <w:rFonts w:ascii="Narkisim" w:hAnsi="Narkisim"/>
          <w:b/>
          <w:bCs/>
          <w:rtl/>
        </w:rPr>
        <w:t>רי"ף</w:t>
      </w:r>
      <w:r w:rsidRPr="00D65870">
        <w:rPr>
          <w:rFonts w:ascii="Narkisim" w:hAnsi="Narkisim"/>
          <w:rtl/>
        </w:rPr>
        <w:t xml:space="preserve"> (הו' בסמוך) דבעינן שיהא ראוי לקריאה. ול"צ לקרוא בפועל.</w:t>
      </w:r>
    </w:p>
  </w:footnote>
  <w:footnote w:id="7093">
    <w:p w14:paraId="38B31149"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ה</w:t>
      </w:r>
      <w:r w:rsidRPr="00D65870">
        <w:rPr>
          <w:rFonts w:ascii="Narkisim" w:hAnsi="Narkisim"/>
          <w:b/>
          <w:bCs/>
          <w:rtl/>
        </w:rPr>
        <w:t>רמ"א</w:t>
      </w:r>
      <w:r w:rsidRPr="00D65870">
        <w:rPr>
          <w:rFonts w:ascii="Narkisim" w:hAnsi="Narkisim"/>
          <w:rtl/>
        </w:rPr>
        <w:t xml:space="preserve"> (קסט כט) כת' וגם בלא חפצתי ידקדקו שיקרא יחד. והגר"א (שם קט) ביאר כדברי הסמ"ק דלענין לכתחילה מודה].</w:t>
      </w:r>
    </w:p>
  </w:footnote>
  <w:footnote w:id="7094">
    <w:p w14:paraId="48AAF6F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ומקור דברי ה</w:t>
      </w:r>
      <w:r w:rsidRPr="00D65870">
        <w:rPr>
          <w:rFonts w:ascii="Narkisim" w:hAnsi="Narkisim"/>
          <w:b/>
          <w:bCs/>
          <w:rtl/>
        </w:rPr>
        <w:t>רמ"א</w:t>
      </w:r>
      <w:r w:rsidRPr="00D65870">
        <w:rPr>
          <w:rFonts w:ascii="Narkisim" w:hAnsi="Narkisim"/>
          <w:rtl/>
        </w:rPr>
        <w:t xml:space="preserve"> מה</w:t>
      </w:r>
      <w:r w:rsidRPr="00D65870">
        <w:rPr>
          <w:rFonts w:ascii="Narkisim" w:hAnsi="Narkisim"/>
          <w:b/>
          <w:bCs/>
          <w:rtl/>
        </w:rPr>
        <w:t>הג' אשר"י</w:t>
      </w:r>
      <w:r w:rsidRPr="00D65870">
        <w:rPr>
          <w:rFonts w:ascii="Narkisim" w:hAnsi="Narkisim"/>
          <w:rtl/>
        </w:rPr>
        <w:t xml:space="preserve"> בשם ה</w:t>
      </w:r>
      <w:r w:rsidRPr="00D65870">
        <w:rPr>
          <w:rFonts w:ascii="Narkisim" w:hAnsi="Narkisim"/>
          <w:b/>
          <w:bCs/>
          <w:rtl/>
        </w:rPr>
        <w:t>או"ז</w:t>
      </w:r>
      <w:r w:rsidRPr="00D65870">
        <w:rPr>
          <w:rFonts w:ascii="Narkisim" w:hAnsi="Narkisim"/>
          <w:rtl/>
        </w:rPr>
        <w:t xml:space="preserve"> שחילק שלא יפסיק בין שמיה לרבא, ודוקא בין רבא למברך אין קפידא. [וה</w:t>
      </w:r>
      <w:r w:rsidRPr="00D65870">
        <w:rPr>
          <w:rFonts w:ascii="Narkisim" w:hAnsi="Narkisim"/>
          <w:b/>
          <w:bCs/>
          <w:rtl/>
        </w:rPr>
        <w:t>פוסקים</w:t>
      </w:r>
      <w:r w:rsidRPr="00D65870">
        <w:rPr>
          <w:rFonts w:ascii="Narkisim" w:hAnsi="Narkisim"/>
          <w:rtl/>
        </w:rPr>
        <w:t xml:space="preserve"> ביארו דתלי בפי' דיהא שמיה רבא, ע' תוס' ברכות ג.]. אבל ה</w:t>
      </w:r>
      <w:r w:rsidRPr="00D65870">
        <w:rPr>
          <w:rFonts w:ascii="Narkisim" w:hAnsi="Narkisim"/>
          <w:b/>
          <w:bCs/>
          <w:rtl/>
        </w:rPr>
        <w:t>רמ"א</w:t>
      </w:r>
      <w:r w:rsidRPr="00D65870">
        <w:rPr>
          <w:rFonts w:ascii="Narkisim" w:hAnsi="Narkisim"/>
          <w:rtl/>
        </w:rPr>
        <w:t xml:space="preserve"> העתיק דבריו דאף בין רבא למברך יש להקפיד.</w:t>
      </w:r>
    </w:p>
    <w:p w14:paraId="61D1F6BD" w14:textId="77777777" w:rsidR="006C4368" w:rsidRPr="00D65870" w:rsidRDefault="006C4368" w:rsidP="006C4368">
      <w:pPr>
        <w:pStyle w:val="Footnote"/>
        <w:bidi/>
        <w:rPr>
          <w:rFonts w:ascii="Narkisim" w:hAnsi="Narkisim"/>
        </w:rPr>
      </w:pPr>
      <w:r w:rsidRPr="00D65870">
        <w:rPr>
          <w:rFonts w:ascii="Narkisim" w:hAnsi="Narkisim"/>
          <w:rtl/>
        </w:rPr>
        <w:tab/>
        <w:t>וב</w:t>
      </w:r>
      <w:r w:rsidRPr="00D65870">
        <w:rPr>
          <w:rFonts w:ascii="Narkisim" w:hAnsi="Narkisim"/>
          <w:b/>
          <w:bCs/>
          <w:rtl/>
        </w:rPr>
        <w:t>שו"ת מראה יחזקאל</w:t>
      </w:r>
      <w:r w:rsidRPr="00D65870">
        <w:rPr>
          <w:rFonts w:ascii="Narkisim" w:hAnsi="Narkisim"/>
          <w:rtl/>
        </w:rPr>
        <w:t xml:space="preserve"> (ו) דן די"ל דלא קי"ל כרב ספרא (בסוכה), דהא רבא התם ס"ל דלא יפסיק. ואף דבסוגיין ס"ל דלא יפסיק [וכקו' התוס' דידן]. וביאר דאי' (בסמוך) דמודה רבא בלא אבה, כיון דיש מקום לטעות. ואף בקדיש לדברי ה</w:t>
      </w:r>
      <w:r w:rsidRPr="00D65870">
        <w:rPr>
          <w:rFonts w:ascii="Narkisim" w:hAnsi="Narkisim"/>
          <w:b/>
          <w:bCs/>
          <w:rtl/>
        </w:rPr>
        <w:t>מחזור ויטרי</w:t>
      </w:r>
      <w:r w:rsidRPr="00D65870">
        <w:rPr>
          <w:rFonts w:ascii="Narkisim" w:hAnsi="Narkisim"/>
          <w:rtl/>
        </w:rPr>
        <w:t xml:space="preserve"> הפי' דשמיה יהא 'רבא', ויש מקום לטעות בזה דלא קאי ע"ז. עע"ש.</w:t>
      </w:r>
    </w:p>
  </w:footnote>
  <w:footnote w:id="7095">
    <w:p w14:paraId="4EF39EA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[וכן ה</w:t>
      </w:r>
      <w:r w:rsidRPr="00D65870">
        <w:rPr>
          <w:rFonts w:ascii="Narkisim" w:hAnsi="Narkisim"/>
          <w:b/>
          <w:bCs/>
          <w:rtl/>
        </w:rPr>
        <w:t>גר"א</w:t>
      </w:r>
      <w:r w:rsidRPr="00D65870">
        <w:rPr>
          <w:rFonts w:ascii="Narkisim" w:hAnsi="Narkisim"/>
          <w:rtl/>
        </w:rPr>
        <w:t xml:space="preserve"> (סדר חליצה נז הנ"ל) ציין לדברי הרמ"א]. אבל ה</w:t>
      </w:r>
      <w:r w:rsidRPr="00D65870">
        <w:rPr>
          <w:rFonts w:ascii="Narkisim" w:hAnsi="Narkisim"/>
          <w:b/>
          <w:bCs/>
          <w:rtl/>
        </w:rPr>
        <w:t>גר"א</w:t>
      </w:r>
      <w:r w:rsidRPr="00D65870">
        <w:rPr>
          <w:rFonts w:ascii="Narkisim" w:hAnsi="Narkisim"/>
          <w:rtl/>
        </w:rPr>
        <w:t xml:space="preserve"> (שם) כת' דתי' אינו נכון, דהא ב</w:t>
      </w:r>
      <w:r w:rsidRPr="00D65870">
        <w:rPr>
          <w:rFonts w:ascii="Narkisim" w:hAnsi="Narkisim"/>
          <w:b/>
          <w:bCs/>
          <w:rtl/>
        </w:rPr>
        <w:t>דרכ"מ</w:t>
      </w:r>
      <w:r w:rsidRPr="00D65870">
        <w:rPr>
          <w:rFonts w:ascii="Narkisim" w:hAnsi="Narkisim"/>
          <w:rtl/>
        </w:rPr>
        <w:t xml:space="preserve"> למד מדברי הג' אשר"י, ושם כת' כדברי גמ' הנ"ל.</w:t>
      </w:r>
    </w:p>
  </w:footnote>
  <w:footnote w:id="7096">
    <w:p w14:paraId="731A5F61"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משמע ברי"ף דכ"ז מגירסת הגמ', אבל ה</w:t>
      </w:r>
      <w:r w:rsidRPr="00D65870">
        <w:rPr>
          <w:rFonts w:ascii="Narkisim" w:hAnsi="Narkisim"/>
          <w:b/>
          <w:bCs/>
          <w:rtl/>
        </w:rPr>
        <w:t>ריטב"א</w:t>
      </w:r>
      <w:r w:rsidRPr="00D65870">
        <w:rPr>
          <w:rFonts w:ascii="Narkisim" w:hAnsi="Narkisim"/>
          <w:rtl/>
        </w:rPr>
        <w:t xml:space="preserve"> הביא דיש גורסים וכדר' זירא [ולא קאי אראוי לבילה, דא"כ הו"ל לגמ' לפרש], דדין זה דלא אבה יבמי גם ר' זירא אמרו.</w:t>
      </w:r>
    </w:p>
  </w:footnote>
  <w:footnote w:id="7097">
    <w:p w14:paraId="55CA0FF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ומש"ה רב כהנא נצטער ללמד אותה [ולא היה בגוף החליצה].</w:t>
      </w:r>
    </w:p>
  </w:footnote>
  <w:footnote w:id="7098">
    <w:p w14:paraId="43D336C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ול"ד לבילה דגזיה"כ שיהא כעין בילה, ולא קפיד רחמנא בבילה ממש אלא בראוי לכך. אבל הכא מאי ראוי לבילה שייך ביה.</w:t>
      </w:r>
    </w:p>
  </w:footnote>
  <w:footnote w:id="7099">
    <w:p w14:paraId="18E9EF34"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וביאר ואף דפליג אמתניתא, ר' יצחק היה יודע שאינה עיקר.</w:t>
      </w:r>
    </w:p>
  </w:footnote>
  <w:footnote w:id="7100">
    <w:p w14:paraId="618A4F1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ולשון ה</w:t>
      </w:r>
      <w:r w:rsidRPr="00D65870">
        <w:rPr>
          <w:rFonts w:ascii="Narkisim" w:hAnsi="Narkisim"/>
          <w:b/>
          <w:bCs/>
          <w:rtl/>
        </w:rPr>
        <w:t>רא"ש</w:t>
      </w:r>
      <w:r w:rsidRPr="00D65870">
        <w:rPr>
          <w:rFonts w:ascii="Narkisim" w:hAnsi="Narkisim"/>
          <w:rtl/>
        </w:rPr>
        <w:t xml:space="preserve"> דקי"ל, ומשמע דכוונתו לפסוק כן. והק' דה</w:t>
      </w:r>
      <w:r w:rsidRPr="00D65870">
        <w:rPr>
          <w:rFonts w:ascii="Narkisim" w:hAnsi="Narkisim"/>
          <w:b/>
          <w:bCs/>
          <w:rtl/>
        </w:rPr>
        <w:t>רא"ש</w:t>
      </w:r>
      <w:r w:rsidRPr="00D65870">
        <w:rPr>
          <w:rFonts w:ascii="Narkisim" w:hAnsi="Narkisim"/>
          <w:rtl/>
        </w:rPr>
        <w:t xml:space="preserve"> (מגילה ב ב) הביא רק דברי </w:t>
      </w:r>
      <w:r w:rsidRPr="00D65870">
        <w:rPr>
          <w:rFonts w:ascii="Narkisim" w:hAnsi="Narkisim"/>
          <w:b/>
          <w:bCs/>
          <w:rtl/>
        </w:rPr>
        <w:t>בה"ג</w:t>
      </w:r>
      <w:r w:rsidRPr="00D65870">
        <w:rPr>
          <w:rFonts w:ascii="Narkisim" w:hAnsi="Narkisim"/>
          <w:rtl/>
        </w:rPr>
        <w:t xml:space="preserve"> דג' תיבות צריך שרטוט. וה</w:t>
      </w:r>
      <w:r w:rsidRPr="00D65870">
        <w:rPr>
          <w:rFonts w:ascii="Narkisim" w:hAnsi="Narkisim"/>
          <w:b/>
          <w:bCs/>
          <w:rtl/>
        </w:rPr>
        <w:t>ברכת הזבח</w:t>
      </w:r>
      <w:r w:rsidRPr="00D65870">
        <w:rPr>
          <w:rFonts w:ascii="Narkisim" w:hAnsi="Narkisim"/>
          <w:rtl/>
        </w:rPr>
        <w:t xml:space="preserve"> הגיה בדברי הרא"ש 'לפרש"י'.</w:t>
      </w:r>
    </w:p>
    <w:p w14:paraId="120A18B4" w14:textId="77777777" w:rsidR="006C4368" w:rsidRPr="00D65870" w:rsidRDefault="006C4368" w:rsidP="006C4368">
      <w:pPr>
        <w:pStyle w:val="Footnote"/>
        <w:bidi/>
        <w:rPr>
          <w:rFonts w:ascii="Narkisim" w:hAnsi="Narkisim"/>
        </w:rPr>
      </w:pPr>
      <w:r w:rsidRPr="00D65870">
        <w:rPr>
          <w:rFonts w:ascii="Narkisim" w:hAnsi="Narkisim"/>
          <w:rtl/>
        </w:rPr>
        <w:tab/>
        <w:t>וה</w:t>
      </w:r>
      <w:r w:rsidRPr="00D65870">
        <w:rPr>
          <w:rFonts w:ascii="Narkisim" w:hAnsi="Narkisim"/>
          <w:b/>
          <w:bCs/>
          <w:rtl/>
        </w:rPr>
        <w:t>מג"א</w:t>
      </w:r>
      <w:r w:rsidRPr="00D65870">
        <w:rPr>
          <w:rFonts w:ascii="Narkisim" w:hAnsi="Narkisim"/>
          <w:rtl/>
        </w:rPr>
        <w:t xml:space="preserve"> (לב ז) פי' דכוונת הרא"ש דאביי סבר כקו' הגמ' (בסמוך) דלא ניתן ליכתב, אפי' ע"י שירטוט [דתורה חתומה ניתנה]. והרא"ש הק' דה"מ ד' תיבות, אבל קי"ל דג' תיבות כותבין ע"י שירטוט [וב' אי"צ שרטוט]. וא"כ למה לא כתב אביי לא חפצתי לקחתה [וישרטט].</w:t>
      </w:r>
    </w:p>
  </w:footnote>
  <w:footnote w:id="7101">
    <w:p w14:paraId="28626CF6"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ובדברי הרמב"ם יש בזה סתירה, דה</w:t>
      </w:r>
      <w:r w:rsidRPr="00D65870">
        <w:rPr>
          <w:rFonts w:ascii="Narkisim" w:hAnsi="Narkisim"/>
          <w:b/>
          <w:bCs/>
          <w:rtl/>
        </w:rPr>
        <w:t>רמב"ם</w:t>
      </w:r>
      <w:r w:rsidRPr="00D65870">
        <w:rPr>
          <w:rFonts w:ascii="Narkisim" w:hAnsi="Narkisim"/>
          <w:rtl/>
        </w:rPr>
        <w:t xml:space="preserve"> (יבום ד לה) כת' שמשרטט מקום הפסוקים, שאסור לכתוב שלש תיבות בלא שרטוט. ואילו ה</w:t>
      </w:r>
      <w:r w:rsidRPr="00D65870">
        <w:rPr>
          <w:rFonts w:ascii="Narkisim" w:hAnsi="Narkisim"/>
          <w:b/>
          <w:bCs/>
          <w:rtl/>
        </w:rPr>
        <w:t>רמב"ם</w:t>
      </w:r>
      <w:r w:rsidRPr="00D65870">
        <w:rPr>
          <w:rFonts w:ascii="Narkisim" w:hAnsi="Narkisim"/>
          <w:rtl/>
        </w:rPr>
        <w:t xml:space="preserve"> (ס"ת ז טז) פסק דאסור לכתוב ד' תיבות בלא שרטוט. וע' נו"כ. וה</w:t>
      </w:r>
      <w:r w:rsidRPr="00D65870">
        <w:rPr>
          <w:rFonts w:ascii="Narkisim" w:hAnsi="Narkisim"/>
          <w:b/>
          <w:bCs/>
          <w:rtl/>
        </w:rPr>
        <w:t>לח"מ</w:t>
      </w:r>
      <w:r w:rsidRPr="00D65870">
        <w:rPr>
          <w:rFonts w:ascii="Narkisim" w:hAnsi="Narkisim"/>
          <w:rtl/>
        </w:rPr>
        <w:t xml:space="preserve"> (יבום) חידש דהרמב"ם ס"ל דיש ב' דיני שרטוט, ור' יצחק והברייתא לא פליגי. דהברייתא איירי כשכותב לשם פסוק, ובזה רשאי לכתוב ג' תיבות בלא שרטוט. אבל באגרת בעלמא אף ג' תיבות צריכין שרטוט, שלא יזלזלו בזה.</w:t>
      </w:r>
    </w:p>
  </w:footnote>
  <w:footnote w:id="7102">
    <w:p w14:paraId="62FADC5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והביא דהוה מח' הגאונים.</w:t>
      </w:r>
    </w:p>
  </w:footnote>
  <w:footnote w:id="7103">
    <w:p w14:paraId="4CE4515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וצ"ב איזה טעם יש לכתוב את כל הפרשה, ואמאי לא סגי לכתוב שאמרו כדין.</w:t>
      </w:r>
    </w:p>
  </w:footnote>
  <w:footnote w:id="7104">
    <w:p w14:paraId="6E1279D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מג"א</w:t>
      </w:r>
      <w:r w:rsidRPr="00D65870">
        <w:rPr>
          <w:rFonts w:ascii="Narkisim" w:hAnsi="Narkisim"/>
          <w:rtl/>
        </w:rPr>
        <w:t xml:space="preserve"> תי' דתלי בסופר, דלשון הטור והרא"ש שסתם בני אדם יודעים לאמן ידם אחר שכתבו שטה עליונה. וי"ל דמר זוטרא לא היה בקי לאמן ידיו אחר שטה עליונה, לכן שירטט הכל. ועוד כת' די"ל דה"ק מר זוטרא משרטט [למעלה], ועי"ז כתב כולה. וי"ל שלא שרטט רק שטה עליונה, ועי"ז כתב כל הפרשה.</w:t>
      </w:r>
    </w:p>
  </w:footnote>
  <w:footnote w:id="7105">
    <w:p w14:paraId="55D8D5C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w:t>
      </w:r>
      <w:r w:rsidRPr="00D65870">
        <w:rPr>
          <w:rFonts w:ascii="Narkisim" w:hAnsi="Narkisim"/>
          <w:b/>
          <w:bCs/>
          <w:rtl/>
        </w:rPr>
        <w:t>שו"ת הרמב"ם</w:t>
      </w:r>
      <w:r w:rsidRPr="00D65870">
        <w:rPr>
          <w:rFonts w:ascii="Narkisim" w:hAnsi="Narkisim"/>
          <w:rtl/>
        </w:rPr>
        <w:t xml:space="preserve"> (להל' תפילין ז, והו' ברבינו ירוחם ב ב) מחה במה שיש שרוקמים פסוקים על טלית, והרמב"ם כת' דאינו רשאי לכתוב [והו' בשו"ע יו"ד רפג ד, עי"ש ש"ך ו]. ואף למ"ד דכותבים מגילה, היינו להתלמד. ועוד דהוה זלזול שיבוא לידי בזיון.</w:t>
      </w:r>
    </w:p>
    <w:p w14:paraId="7A8E987F" w14:textId="77777777" w:rsidR="006C4368" w:rsidRPr="00D65870" w:rsidRDefault="006C4368" w:rsidP="006C4368">
      <w:pPr>
        <w:pStyle w:val="Footnote"/>
        <w:bidi/>
        <w:rPr>
          <w:rFonts w:ascii="Narkisim" w:hAnsi="Narkisim"/>
        </w:rPr>
      </w:pPr>
      <w:r w:rsidRPr="00D65870">
        <w:rPr>
          <w:rFonts w:ascii="Narkisim" w:hAnsi="Narkisim"/>
          <w:rtl/>
        </w:rPr>
        <w:tab/>
        <w:t>ועד"ז כת' ה</w:t>
      </w:r>
      <w:r w:rsidRPr="00D65870">
        <w:rPr>
          <w:rFonts w:ascii="Narkisim" w:hAnsi="Narkisim"/>
          <w:b/>
          <w:bCs/>
          <w:rtl/>
        </w:rPr>
        <w:t>ט"ז</w:t>
      </w:r>
      <w:r w:rsidRPr="00D65870">
        <w:rPr>
          <w:rFonts w:ascii="Narkisim" w:hAnsi="Narkisim"/>
          <w:rtl/>
        </w:rPr>
        <w:t xml:space="preserve"> (יו"ד רפג א) דאותן שכותבין פסוקים על הכותל לאיזה סימן טוב לאו שפיר עבדי, דתורה חתומה ניתנה. וכן ה</w:t>
      </w:r>
      <w:r w:rsidRPr="00D65870">
        <w:rPr>
          <w:rFonts w:ascii="Narkisim" w:hAnsi="Narkisim"/>
          <w:b/>
          <w:bCs/>
          <w:rtl/>
        </w:rPr>
        <w:t>ב"ח</w:t>
      </w:r>
      <w:r w:rsidRPr="00D65870">
        <w:rPr>
          <w:rFonts w:ascii="Narkisim" w:hAnsi="Narkisim"/>
          <w:rtl/>
        </w:rPr>
        <w:t xml:space="preserve"> (רפד) תמה אמש"כ </w:t>
      </w:r>
      <w:r w:rsidRPr="00D65870">
        <w:rPr>
          <w:rFonts w:ascii="Narkisim" w:hAnsi="Narkisim"/>
          <w:b/>
          <w:bCs/>
          <w:rtl/>
        </w:rPr>
        <w:t>תוס</w:t>
      </w:r>
      <w:r w:rsidRPr="00D65870">
        <w:rPr>
          <w:rFonts w:ascii="Narkisim" w:hAnsi="Narkisim"/>
          <w:rtl/>
        </w:rPr>
        <w:t>' (גיטין ו:) דהכותב פסוק דרך צחות אי"צ שרטוט. תיפו"ל דתורה חתומה ניתנה, ואין כותבין מגילה לתינוק.</w:t>
      </w:r>
    </w:p>
  </w:footnote>
  <w:footnote w:id="7106">
    <w:p w14:paraId="4B7D327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ב</w:t>
      </w:r>
      <w:r w:rsidRPr="00D65870">
        <w:rPr>
          <w:rFonts w:ascii="Narkisim" w:hAnsi="Narkisim"/>
          <w:b/>
          <w:bCs/>
          <w:rtl/>
        </w:rPr>
        <w:t>שו"ת גינת ורדים</w:t>
      </w:r>
      <w:r w:rsidRPr="00D65870">
        <w:rPr>
          <w:rFonts w:ascii="Narkisim" w:hAnsi="Narkisim"/>
          <w:rtl/>
        </w:rPr>
        <w:t xml:space="preserve"> (או"ח כלל ב כו) הביא דלפ"ז מותר לכתוב פסוקים דרך נוי. ודלא כרמב"ם (הנ"ל).</w:t>
      </w:r>
    </w:p>
    <w:p w14:paraId="1D06535B" w14:textId="77777777" w:rsidR="006C4368" w:rsidRPr="00D65870" w:rsidRDefault="006C4368" w:rsidP="006C4368">
      <w:pPr>
        <w:pStyle w:val="Footnote"/>
        <w:bidi/>
        <w:rPr>
          <w:rFonts w:ascii="Narkisim" w:hAnsi="Narkisim"/>
        </w:rPr>
      </w:pPr>
      <w:r w:rsidRPr="00D65870">
        <w:rPr>
          <w:rFonts w:ascii="Narkisim" w:hAnsi="Narkisim"/>
          <w:rtl/>
        </w:rPr>
        <w:tab/>
        <w:t>וכת' דלדעת הרמב"ם גט חליצה הותר משום דיש מצוה בכתיבת הפסוקים [וכטעם הב' ברש"י]. ואף דאפשר באופ"א התירו לכתוב כל הפסוק.</w:t>
      </w:r>
    </w:p>
  </w:footnote>
  <w:footnote w:id="7107">
    <w:p w14:paraId="16B8862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 xml:space="preserve">והביא דכ"ד </w:t>
      </w:r>
      <w:r w:rsidRPr="00D65870">
        <w:rPr>
          <w:rFonts w:ascii="Narkisim" w:hAnsi="Narkisim"/>
          <w:b/>
          <w:bCs/>
          <w:rtl/>
        </w:rPr>
        <w:t>שו"ת הרמב"ם</w:t>
      </w:r>
      <w:r w:rsidRPr="00D65870">
        <w:rPr>
          <w:rFonts w:ascii="Narkisim" w:hAnsi="Narkisim"/>
          <w:rtl/>
        </w:rPr>
        <w:t xml:space="preserve"> (הנ"ל), וכן ה</w:t>
      </w:r>
      <w:r w:rsidRPr="00D65870">
        <w:rPr>
          <w:rFonts w:ascii="Narkisim" w:hAnsi="Narkisim"/>
          <w:b/>
          <w:bCs/>
          <w:rtl/>
        </w:rPr>
        <w:t>ט"ז</w:t>
      </w:r>
      <w:r w:rsidRPr="00D65870">
        <w:rPr>
          <w:rFonts w:ascii="Narkisim" w:hAnsi="Narkisim"/>
          <w:rtl/>
        </w:rPr>
        <w:t xml:space="preserve"> (הנ"ל).</w:t>
      </w:r>
    </w:p>
  </w:footnote>
  <w:footnote w:id="7108">
    <w:p w14:paraId="3FFF539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וכת' דכן מדוקדק בלשון רש"י, שחזר וכתב והלכתא כמר זוטרא דבמקום מצוה שרי. משמע דהוה מילתא באפי נפשא, ולאו תוספת אדלעיל.</w:t>
      </w:r>
    </w:p>
  </w:footnote>
  <w:footnote w:id="7109">
    <w:p w14:paraId="4135D3D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דכיון דהוי סיפור דברים לאו בקדושתיה קאי, ומותר לכתוב. ואף שלא במקום מצווה.</w:t>
      </w:r>
    </w:p>
  </w:footnote>
  <w:footnote w:id="7110">
    <w:p w14:paraId="490DBE98"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אבל לשון ה</w:t>
      </w:r>
      <w:r w:rsidRPr="00D65870">
        <w:rPr>
          <w:rFonts w:ascii="Narkisim" w:hAnsi="Narkisim"/>
          <w:b/>
          <w:bCs/>
          <w:rtl/>
        </w:rPr>
        <w:t>שו"ע</w:t>
      </w:r>
      <w:r w:rsidRPr="00D65870">
        <w:rPr>
          <w:rFonts w:ascii="Narkisim" w:hAnsi="Narkisim"/>
          <w:rtl/>
        </w:rPr>
        <w:t xml:space="preserve"> (שם לט) דצריכה לרוק פעם אחרת.</w:t>
      </w:r>
    </w:p>
  </w:footnote>
  <w:footnote w:id="7111">
    <w:p w14:paraId="2F55A9F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ויש שדנו דלחלוחית הרוק הוה מין במינו ובטל. ודוקא בהדי דם הוה מין בשאינו מינו [וע' מש"כ בזה לעיל].</w:t>
      </w:r>
    </w:p>
  </w:footnote>
  <w:footnote w:id="7112">
    <w:p w14:paraId="0466D71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וכ"כ ה</w:t>
      </w:r>
      <w:r w:rsidRPr="00D65870">
        <w:rPr>
          <w:rFonts w:ascii="Narkisim" w:hAnsi="Narkisim"/>
          <w:b/>
          <w:bCs/>
          <w:rtl/>
        </w:rPr>
        <w:t>רא"ש</w:t>
      </w:r>
      <w:r w:rsidRPr="00D65870">
        <w:rPr>
          <w:rFonts w:ascii="Narkisim" w:hAnsi="Narkisim"/>
          <w:rtl/>
        </w:rPr>
        <w:t xml:space="preserve"> וה</w:t>
      </w:r>
      <w:r w:rsidRPr="00D65870">
        <w:rPr>
          <w:rFonts w:ascii="Narkisim" w:hAnsi="Narkisim"/>
          <w:b/>
          <w:bCs/>
          <w:rtl/>
        </w:rPr>
        <w:t>פוסקים</w:t>
      </w:r>
      <w:r w:rsidRPr="00D65870">
        <w:rPr>
          <w:rFonts w:ascii="Narkisim" w:hAnsi="Narkisim"/>
          <w:rtl/>
        </w:rPr>
        <w:t xml:space="preserve"> דנהגו העם למונעה מכל מאכל קודם חליצה. וה</w:t>
      </w:r>
      <w:r w:rsidRPr="00D65870">
        <w:rPr>
          <w:rFonts w:ascii="Narkisim" w:hAnsi="Narkisim"/>
          <w:b/>
          <w:bCs/>
          <w:rtl/>
        </w:rPr>
        <w:t>ק"נ</w:t>
      </w:r>
      <w:r w:rsidRPr="00D65870">
        <w:rPr>
          <w:rFonts w:ascii="Narkisim" w:hAnsi="Narkisim"/>
          <w:rtl/>
        </w:rPr>
        <w:t xml:space="preserve"> ביאר דאין אנו בקיאים איזה דברים מרבים רוק.</w:t>
      </w:r>
    </w:p>
  </w:footnote>
  <w:footnote w:id="7113">
    <w:p w14:paraId="7855EC62"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גור אריה</w:t>
      </w:r>
      <w:r w:rsidRPr="00D65870">
        <w:rPr>
          <w:rFonts w:ascii="Narkisim" w:hAnsi="Narkisim"/>
          <w:rtl/>
        </w:rPr>
        <w:t xml:space="preserve"> (דברים כה י) הק' דלשון הפסוק ונקרא שמו בישראל בית חלוץ הנעל, א"כ היה להם לקרוא 'בית חלוץ הנעל'. וכת' דא"כ היה כתוב בפסוק ויקראו בית חלוץ הנעל. אלא שהקריאה היא חלוץ הנעל, ועי"ז הבית נקרא מעצמו וממילא 'בית חלוץ הנעל'. [וק"ק דמשמע כאן דילפי' מונקרא דיש מצווה בקריאה. ואי הפי' דממילא נקרא כך, מנ"ל דהוה מצווה עליהם כלל].</w:t>
      </w:r>
    </w:p>
  </w:footnote>
  <w:footnote w:id="7114">
    <w:p w14:paraId="135A6EC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תוי"ט</w:t>
      </w:r>
      <w:r w:rsidRPr="00D65870">
        <w:rPr>
          <w:rFonts w:ascii="Narkisim" w:hAnsi="Narkisim"/>
          <w:rtl/>
        </w:rPr>
        <w:t xml:space="preserve"> ציין למש"כ (שקלים ג ג) דכן דרך לשון חכמים. [וכן מנחות סה., ופרה ג י]. וכ"כ ה</w:t>
      </w:r>
      <w:r w:rsidRPr="00D65870">
        <w:rPr>
          <w:rFonts w:ascii="Narkisim" w:hAnsi="Narkisim"/>
          <w:b/>
          <w:bCs/>
          <w:rtl/>
        </w:rPr>
        <w:t>יש"ש</w:t>
      </w:r>
      <w:r w:rsidRPr="00D65870">
        <w:rPr>
          <w:rFonts w:ascii="Narkisim" w:hAnsi="Narkisim"/>
          <w:rtl/>
        </w:rPr>
        <w:t xml:space="preserve"> שדרך הבי"ד לשנות דבריהם, לפרסום ולחיזוק. כמו גבי קידוש החודש (ר"ה כד.) שאומרים מקודש מקודש מקודש. וכן לענין התרת נדרים, כתב ה</w:t>
      </w:r>
      <w:r w:rsidRPr="00D65870">
        <w:rPr>
          <w:rFonts w:ascii="Narkisim" w:hAnsi="Narkisim"/>
          <w:b/>
          <w:bCs/>
          <w:rtl/>
        </w:rPr>
        <w:t>טור</w:t>
      </w:r>
      <w:r w:rsidRPr="00D65870">
        <w:rPr>
          <w:rFonts w:ascii="Narkisim" w:hAnsi="Narkisim"/>
          <w:rtl/>
        </w:rPr>
        <w:t xml:space="preserve"> (יו"ד רכח ג) לומר ג' פעמים מותר לך.</w:t>
      </w:r>
    </w:p>
  </w:footnote>
  <w:footnote w:id="7115">
    <w:p w14:paraId="0F598A6A"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יש"ש</w:t>
      </w:r>
      <w:r w:rsidRPr="00D65870">
        <w:rPr>
          <w:rFonts w:ascii="Narkisim" w:hAnsi="Narkisim"/>
          <w:rtl/>
        </w:rPr>
        <w:t xml:space="preserve"> הק' דא"כ הוה כפסק דין, ושייך דוקא בדיינים. ולא בתלמידים. וע"כ דהוה כפילות לפרסום. [וה</w:t>
      </w:r>
      <w:r w:rsidRPr="00D65870">
        <w:rPr>
          <w:rFonts w:ascii="Narkisim" w:hAnsi="Narkisim"/>
          <w:b/>
          <w:bCs/>
          <w:rtl/>
        </w:rPr>
        <w:t>ראשונים</w:t>
      </w:r>
      <w:r w:rsidRPr="00D65870">
        <w:rPr>
          <w:rFonts w:ascii="Narkisim" w:hAnsi="Narkisim"/>
          <w:rtl/>
        </w:rPr>
        <w:t xml:space="preserve"> (נדרים כג:) דנו בהא דבתפילת כל נדרי נהגו לכפול ג' פעמים, אי הוה משום הפרה דאי הוה גילוי לעתיד אמאי בעי ג' פעמים. וע"ע ס' הישר ק ונמוק"י שם].</w:t>
      </w:r>
    </w:p>
  </w:footnote>
  <w:footnote w:id="7116">
    <w:p w14:paraId="791FB31C"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צ"ב אמאי נקרא 'רשע'.</w:t>
      </w:r>
    </w:p>
  </w:footnote>
  <w:footnote w:id="7117">
    <w:p w14:paraId="502738A0"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משמע דוקא לאחר כל הסדר, בשעה שעומדים הדיינים. וצ"ב דאי הוה ברכת המצוות בעינן עובר לעשייתו.</w:t>
      </w:r>
    </w:p>
  </w:footnote>
  <w:footnote w:id="7118">
    <w:p w14:paraId="0BB42AEB"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היינו הגדול שבדיינים. ויל"ד מ"ט הדיין מברך, ולא היבם או יבמה. ויל"ד האם מוציא אותם יד"ח, וכמו ברכת אירוסין דיש ראשונים דהרב מוציאם יד"ח.</w:t>
      </w:r>
    </w:p>
  </w:footnote>
  <w:footnote w:id="7119">
    <w:p w14:paraId="19DF363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וביארו דלשון זה מצוות וחוקים הוא ע"פ הפסוק (בראשית כו ה) עקב אשר שמע אברהם בקלי וישמר משמרתי מצותי חקותי ותורתי.</w:t>
      </w:r>
    </w:p>
  </w:footnote>
  <w:footnote w:id="7120">
    <w:p w14:paraId="232FA25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ומשמע דמסיים כך את הברכה, ואינו מזכיר מצוות החליצה.</w:t>
      </w:r>
    </w:p>
  </w:footnote>
  <w:footnote w:id="7121">
    <w:p w14:paraId="7573AC95"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וכדאי' ב</w:t>
      </w:r>
      <w:r w:rsidRPr="00D65870">
        <w:rPr>
          <w:rFonts w:ascii="Narkisim" w:hAnsi="Narkisim"/>
          <w:b/>
          <w:bCs/>
          <w:rtl/>
        </w:rPr>
        <w:t>מדרש רבה</w:t>
      </w:r>
      <w:r w:rsidRPr="00D65870">
        <w:rPr>
          <w:rFonts w:ascii="Narkisim" w:hAnsi="Narkisim"/>
          <w:rtl/>
        </w:rPr>
        <w:t xml:space="preserve"> (לך מג) ועד שרוך נעל, חייך שאני נותן לבניך מצות יבמה. [והביאו כן מהגמ' (חולין פט.), אך בגמ' לפנינו שם ליתא].</w:t>
      </w:r>
    </w:p>
  </w:footnote>
  <w:footnote w:id="7122">
    <w:p w14:paraId="71B0CD2E"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וה</w:t>
      </w:r>
      <w:r w:rsidRPr="00D65870">
        <w:rPr>
          <w:rFonts w:ascii="Narkisim" w:hAnsi="Narkisim"/>
          <w:b/>
          <w:bCs/>
          <w:rtl/>
        </w:rPr>
        <w:t>גר"א</w:t>
      </w:r>
      <w:r w:rsidRPr="00D65870">
        <w:rPr>
          <w:rFonts w:ascii="Narkisim" w:hAnsi="Narkisim"/>
          <w:rtl/>
        </w:rPr>
        <w:t xml:space="preserve"> (שם פו) ציין לדברי הרא"ש (בכורות הל' פדיון בכור א) דלא מצינו שמברכין שום ברכה שלא הוזכרה במשנה או בתוספתא או בגמרא. כי אחרי סידור רב אשי ורבינא לא נתחדשה ברכה. [וה</w:t>
      </w:r>
      <w:r w:rsidRPr="00D65870">
        <w:rPr>
          <w:rFonts w:ascii="Narkisim" w:hAnsi="Narkisim"/>
          <w:b/>
          <w:bCs/>
          <w:rtl/>
        </w:rPr>
        <w:t xml:space="preserve">אחרונים </w:t>
      </w:r>
      <w:r w:rsidRPr="00D65870">
        <w:rPr>
          <w:rFonts w:ascii="Narkisim" w:hAnsi="Narkisim"/>
          <w:rtl/>
        </w:rPr>
        <w:t>הק' דה</w:t>
      </w:r>
      <w:r w:rsidRPr="00D65870">
        <w:rPr>
          <w:rFonts w:ascii="Narkisim" w:hAnsi="Narkisim"/>
          <w:b/>
          <w:bCs/>
          <w:rtl/>
        </w:rPr>
        <w:t>רא"ש</w:t>
      </w:r>
      <w:r w:rsidRPr="00D65870">
        <w:rPr>
          <w:rFonts w:ascii="Narkisim" w:hAnsi="Narkisim"/>
          <w:rtl/>
        </w:rPr>
        <w:t xml:space="preserve"> (כתובות א טו) הביא בשם בה"ג ברכת בתולים, וכת' דמסתבר לברכה, דאפשר שברכה זו תקנוה הגאונים].</w:t>
      </w:r>
    </w:p>
  </w:footnote>
  <w:footnote w:id="7123">
    <w:p w14:paraId="26BC640F"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ולכאורה כוונתו להק' מ"ט הדיין מברך, ולא היבם או יבמה.</w:t>
      </w:r>
    </w:p>
  </w:footnote>
  <w:footnote w:id="7124">
    <w:p w14:paraId="24576127" w14:textId="77777777" w:rsidR="006C4368" w:rsidRPr="00D65870" w:rsidRDefault="006C4368" w:rsidP="006C4368">
      <w:pPr>
        <w:pStyle w:val="Footnote"/>
        <w:bidi/>
        <w:rPr>
          <w:rFonts w:ascii="Narkisim" w:hAnsi="Narkisim"/>
        </w:rPr>
      </w:pPr>
      <w:r w:rsidRPr="00D65870">
        <w:rPr>
          <w:rStyle w:val="ac"/>
          <w:rFonts w:ascii="Narkisim" w:hAnsi="Narkisim"/>
          <w:rtl/>
        </w:rPr>
        <w:footnoteRef/>
      </w:r>
      <w:r w:rsidRPr="00D65870">
        <w:rPr>
          <w:rFonts w:ascii="Narkisim" w:hAnsi="Narkisim"/>
          <w:rtl/>
        </w:rPr>
        <w:t>ועד"ז דעת כמה ראשונים דברכת האירוסין הוה ברכת השבח.</w:t>
      </w:r>
    </w:p>
  </w:footnote>
  <w:footnote w:id="7125">
    <w:p w14:paraId="7535B110" w14:textId="77777777" w:rsidR="006C4368" w:rsidRDefault="006C4368" w:rsidP="006C4368">
      <w:pPr>
        <w:pStyle w:val="Footnote"/>
        <w:bidi/>
      </w:pPr>
      <w:r>
        <w:rPr>
          <w:rStyle w:val="ac"/>
        </w:rPr>
        <w:footnoteRef/>
      </w:r>
      <w:r>
        <w:rPr>
          <w:rtl/>
        </w:rPr>
        <w:t>וה</w:t>
      </w:r>
      <w:r>
        <w:rPr>
          <w:b/>
          <w:bCs/>
          <w:rtl/>
        </w:rPr>
        <w:t>רמב"ם</w:t>
      </w:r>
      <w:r>
        <w:rPr>
          <w:rtl/>
        </w:rPr>
        <w:t xml:space="preserve"> (ז יד) כת' דה"ה בחרשת דהחזירה ומת אסורה ליבם</w:t>
      </w:r>
      <w:r>
        <w:t>.</w:t>
      </w:r>
    </w:p>
  </w:footnote>
  <w:footnote w:id="7126">
    <w:p w14:paraId="27D6A202" w14:textId="77777777" w:rsidR="006C4368" w:rsidRDefault="006C4368" w:rsidP="006C4368">
      <w:pPr>
        <w:pStyle w:val="Footnote"/>
        <w:bidi/>
      </w:pPr>
      <w:r>
        <w:rPr>
          <w:rStyle w:val="ac"/>
        </w:rPr>
        <w:footnoteRef/>
      </w:r>
      <w:r>
        <w:rPr>
          <w:rtl/>
        </w:rPr>
        <w:t>ולא אמרי' דע"פ גדרי הדרבנן החזירה, ואינה גרושת אחיו</w:t>
      </w:r>
      <w:r>
        <w:t>.</w:t>
      </w:r>
    </w:p>
  </w:footnote>
  <w:footnote w:id="7127">
    <w:p w14:paraId="7011EF7B" w14:textId="77777777" w:rsidR="006C4368" w:rsidRDefault="006C4368" w:rsidP="006C4368">
      <w:pPr>
        <w:pStyle w:val="Footnote"/>
        <w:bidi/>
      </w:pPr>
      <w:r>
        <w:rPr>
          <w:rStyle w:val="ac"/>
        </w:rPr>
        <w:footnoteRef/>
      </w:r>
      <w:r>
        <w:rPr>
          <w:rtl/>
        </w:rPr>
        <w:t>דה</w:t>
      </w:r>
      <w:r>
        <w:rPr>
          <w:b/>
          <w:bCs/>
          <w:rtl/>
        </w:rPr>
        <w:t>רמב"ם</w:t>
      </w:r>
      <w:r>
        <w:rPr>
          <w:rtl/>
        </w:rPr>
        <w:t xml:space="preserve"> (ז יד גבי חרשת) כת' ואינה חולצת ולא מתייבמת. אבל ה</w:t>
      </w:r>
      <w:r>
        <w:rPr>
          <w:b/>
          <w:bCs/>
          <w:rtl/>
        </w:rPr>
        <w:t>פרישה</w:t>
      </w:r>
      <w:r>
        <w:rPr>
          <w:rtl/>
        </w:rPr>
        <w:t xml:space="preserve"> (קעג לב) כת' דכוונת הרמב"ם דחרשת לאו בת חליצה היא. ובאמת אסורה לשוק</w:t>
      </w:r>
      <w:r>
        <w:t>.</w:t>
      </w:r>
    </w:p>
  </w:footnote>
  <w:footnote w:id="7128">
    <w:p w14:paraId="7B1D29D5" w14:textId="77777777" w:rsidR="006C4368" w:rsidRDefault="006C4368" w:rsidP="006C4368">
      <w:pPr>
        <w:pStyle w:val="Footnote"/>
        <w:bidi/>
      </w:pPr>
      <w:r>
        <w:rPr>
          <w:rStyle w:val="ac"/>
        </w:rPr>
        <w:footnoteRef/>
      </w:r>
      <w:r>
        <w:rPr>
          <w:rtl/>
        </w:rPr>
        <w:t>וכת' דיותר היה קרוב לאוסרה בחליצה משום שאם אתה אומר חולצת מתייבמת (וכדלעיל ג. ולא.), אלא דלא גזרו, לפי שא"א להפקיע נשואי חכמים בולא כלום</w:t>
      </w:r>
      <w:r>
        <w:t>.</w:t>
      </w:r>
    </w:p>
  </w:footnote>
  <w:footnote w:id="7129">
    <w:p w14:paraId="28DABCCD" w14:textId="77777777" w:rsidR="006C4368" w:rsidRDefault="006C4368" w:rsidP="006C4368">
      <w:pPr>
        <w:pStyle w:val="Footnote"/>
        <w:bidi/>
      </w:pPr>
      <w:r>
        <w:rPr>
          <w:rStyle w:val="ac"/>
        </w:rPr>
        <w:footnoteRef/>
      </w:r>
      <w:r>
        <w:rPr>
          <w:rtl/>
        </w:rPr>
        <w:t>ומבואר דסברת המלחמות דכלפי האישות הדרבנן הא החזירה, ואין כאן 'פטור ערוה' מחמת האישות הדאורייתא, להחשב גרושת אחיו. [ועד"ז נח' בסמוך]</w:t>
      </w:r>
      <w:r>
        <w:t>.</w:t>
      </w:r>
    </w:p>
  </w:footnote>
  <w:footnote w:id="7130">
    <w:p w14:paraId="6A89D804" w14:textId="77777777" w:rsidR="006C4368" w:rsidRDefault="006C4368" w:rsidP="006C4368">
      <w:pPr>
        <w:pStyle w:val="Footnote"/>
        <w:bidi/>
      </w:pPr>
      <w:r>
        <w:rPr>
          <w:rStyle w:val="ac"/>
        </w:rPr>
        <w:footnoteRef/>
      </w:r>
      <w:r>
        <w:rPr>
          <w:rtl/>
        </w:rPr>
        <w:t>אך מבואר (לעיל כט.) דהתם הוה גזירה חדשה, שיטעו דאיסור מצווה וקדושה פוטרות צרותיהם. ואילו הכא לדברי המלחמות נתחדש דגדר הערוה מחמת האישות הדאורייתא אינו פוטר לאישות הדרבנן [ולכאורה אין ראיה לזה מהתם]</w:t>
      </w:r>
      <w:r>
        <w:t>.</w:t>
      </w:r>
    </w:p>
    <w:p w14:paraId="4530FF99" w14:textId="77777777" w:rsidR="006C4368" w:rsidRDefault="006C4368" w:rsidP="006C4368">
      <w:pPr>
        <w:pStyle w:val="Footnote"/>
        <w:bidi/>
      </w:pPr>
      <w:r>
        <w:tab/>
      </w:r>
      <w:r>
        <w:rPr>
          <w:rtl/>
        </w:rPr>
        <w:t>ומתיישב טפי אי אף בסוגיין הוה גזירה [וכדברי התוס' חד מקמאי]. {ובזה הבעה"מ הק' דכיון דמדאורייתא אסורה לייבם האיך גזרו לחלוץ, דנחשוש שמא ייבם (וכדאי' לעיל ג.). והביא דמצאנו כעי"ז}</w:t>
      </w:r>
      <w:r>
        <w:t>.</w:t>
      </w:r>
    </w:p>
    <w:p w14:paraId="03CA6AE0" w14:textId="77777777" w:rsidR="006C4368" w:rsidRDefault="006C4368" w:rsidP="006C4368">
      <w:pPr>
        <w:pStyle w:val="Footnote"/>
        <w:bidi/>
      </w:pPr>
      <w:r>
        <w:tab/>
        <w:t>{</w:t>
      </w:r>
      <w:r>
        <w:rPr>
          <w:rtl/>
        </w:rPr>
        <w:t>ועוד יל"פ דכוונת הבעה"מ דבאיסור קדושה דרבנן לר”ש, מדרבנן אסורות ואינן חייבות ביבום, ואילו מדאורייתא הוה אחיות בזיקה. וחזינן דלא אמרי' ממ”נ, אלא חולצות</w:t>
      </w:r>
      <w:r>
        <w:t>}.</w:t>
      </w:r>
    </w:p>
  </w:footnote>
  <w:footnote w:id="7131">
    <w:p w14:paraId="0772C222" w14:textId="77777777" w:rsidR="006C4368" w:rsidRDefault="006C4368" w:rsidP="006C4368">
      <w:pPr>
        <w:pStyle w:val="Footnote"/>
        <w:bidi/>
      </w:pPr>
      <w:r>
        <w:rPr>
          <w:rStyle w:val="ac"/>
        </w:rPr>
        <w:footnoteRef/>
      </w:r>
      <w:r>
        <w:rPr>
          <w:rtl/>
        </w:rPr>
        <w:t>וה</w:t>
      </w:r>
      <w:r>
        <w:rPr>
          <w:b/>
          <w:bCs/>
          <w:rtl/>
        </w:rPr>
        <w:t>אחרונים</w:t>
      </w:r>
      <w:r>
        <w:rPr>
          <w:rtl/>
        </w:rPr>
        <w:t xml:space="preserve"> כת' דצ"ל דדעת רש"י דמקבל את גיטה מטעם אחר, כיון שהוא קיבל קידושיה, נחשב בעלים לענין הגט שהוא סילוק הקידושין. ואף שיצאת מרשותו. [ועוד ציינו דמבואר (לקמן קיג: לדעת תוס') דע"י האב נחשב משלחה ואינה חוזרת]</w:t>
      </w:r>
      <w:r>
        <w:t xml:space="preserve">.  </w:t>
      </w:r>
    </w:p>
  </w:footnote>
  <w:footnote w:id="7132">
    <w:p w14:paraId="588E5303" w14:textId="77777777" w:rsidR="006C4368" w:rsidRDefault="006C4368" w:rsidP="006C4368">
      <w:pPr>
        <w:pStyle w:val="Footnote"/>
        <w:bidi/>
      </w:pPr>
      <w:r>
        <w:rPr>
          <w:rStyle w:val="ac"/>
        </w:rPr>
        <w:footnoteRef/>
      </w:r>
      <w:r>
        <w:rPr>
          <w:rtl/>
        </w:rPr>
        <w:t>וב</w:t>
      </w:r>
      <w:r>
        <w:rPr>
          <w:b/>
          <w:bCs/>
          <w:rtl/>
        </w:rPr>
        <w:t>שו"ת הרי"ד</w:t>
      </w:r>
      <w:r>
        <w:rPr>
          <w:rtl/>
        </w:rPr>
        <w:t xml:space="preserve"> האריך טובא, וכתב דאע"פ שהמורה [רש"י] מופלא בכל הדורות ומימיו אנו שותים והוא אשר נתן בנו רוח כמעט לדעת ולהבחין מאומה, אין חכמה ואין תבונה לנגד השם. ואין חכם בעולם שינקה מן השגיאות, כי החכמה אינה תמימה כי אם לד' לבדו וכפי מעלת החכם גדולה כך תעלה על ידו שגיאה גדולה כמו שאמרו רז"ל לפום חורפא שבשתא</w:t>
      </w:r>
      <w:r>
        <w:t>.</w:t>
      </w:r>
    </w:p>
  </w:footnote>
  <w:footnote w:id="7133">
    <w:p w14:paraId="671390ED" w14:textId="77777777" w:rsidR="006C4368" w:rsidRDefault="006C4368" w:rsidP="006C4368">
      <w:pPr>
        <w:pStyle w:val="Footnote"/>
        <w:bidi/>
      </w:pPr>
      <w:r>
        <w:rPr>
          <w:rStyle w:val="ac"/>
        </w:rPr>
        <w:footnoteRef/>
      </w:r>
      <w:r>
        <w:rPr>
          <w:rtl/>
        </w:rPr>
        <w:t>וסתמא דגמ' (לעיל מא.) קאי כדברי עיפה, ודלא כמסקנת סוגיין. [ואף דתניא כוותיה דרב אשי בסוגיין. ובמסקנא דהתם הביאו ברייתא אחרת דר"א ס"ל דהותרה ונאסרה אינו חוזר להיתר, אך למסקנת סוגיין לא הוה לשיטתו כלל]</w:t>
      </w:r>
      <w:r>
        <w:t>.</w:t>
      </w:r>
    </w:p>
  </w:footnote>
  <w:footnote w:id="7134">
    <w:p w14:paraId="74ABB115" w14:textId="77777777" w:rsidR="006C4368" w:rsidRDefault="006C4368" w:rsidP="006C4368">
      <w:pPr>
        <w:pStyle w:val="Footnote"/>
        <w:bidi/>
      </w:pPr>
      <w:r>
        <w:rPr>
          <w:rStyle w:val="ac"/>
        </w:rPr>
        <w:footnoteRef/>
      </w:r>
      <w:r>
        <w:rPr>
          <w:rtl/>
        </w:rPr>
        <w:t>וה</w:t>
      </w:r>
      <w:r>
        <w:rPr>
          <w:b/>
          <w:bCs/>
          <w:rtl/>
        </w:rPr>
        <w:t xml:space="preserve">מלחמות </w:t>
      </w:r>
      <w:r>
        <w:rPr>
          <w:rtl/>
        </w:rPr>
        <w:t>(ל: ח: בדה"ר) כת' דכוונת הגמ' דרבנן ס"ל מיתה מפלת, אבל למ"ד נשואין הראשונים מפילין הא אתסר מקמי נפילה</w:t>
      </w:r>
      <w:r>
        <w:t>.</w:t>
      </w:r>
    </w:p>
  </w:footnote>
  <w:footnote w:id="7135">
    <w:p w14:paraId="79B55C6D" w14:textId="77777777" w:rsidR="006C4368" w:rsidRDefault="006C4368" w:rsidP="006C4368">
      <w:pPr>
        <w:pStyle w:val="Footnote"/>
        <w:bidi/>
      </w:pPr>
      <w:r>
        <w:rPr>
          <w:rStyle w:val="ac"/>
        </w:rPr>
        <w:footnoteRef/>
      </w:r>
      <w:r>
        <w:rPr>
          <w:rtl/>
        </w:rPr>
        <w:t>וכן הגמ' (לעיל כח.) הביאה דר"א סבר 'נאסרה', ורש”י ציין לסוגיין. אבל תוס' (שם) הביאו הברייתא דר"א (לעיל מא.)</w:t>
      </w:r>
      <w:r>
        <w:t>.</w:t>
      </w:r>
    </w:p>
  </w:footnote>
  <w:footnote w:id="7136">
    <w:p w14:paraId="3DA7ADB8" w14:textId="77777777" w:rsidR="006C4368" w:rsidRDefault="006C4368" w:rsidP="006C4368">
      <w:pPr>
        <w:pStyle w:val="Footnote"/>
        <w:bidi/>
      </w:pPr>
      <w:r>
        <w:rPr>
          <w:rStyle w:val="ac"/>
        </w:rPr>
        <w:footnoteRef/>
      </w:r>
      <w:r>
        <w:rPr>
          <w:rtl/>
        </w:rPr>
        <w:t>ואף דמסקנת הגמ' כרב אשי דסברת ר"א משום גזירה, מ"מ הרמב"ם נקט לאפוקי ממ"ד נישואין מפילין. [ובהלכה יג ויד הביא לאפוקי מגזירת רב אשי]</w:t>
      </w:r>
      <w:r>
        <w:t>.</w:t>
      </w:r>
    </w:p>
  </w:footnote>
  <w:footnote w:id="7137">
    <w:p w14:paraId="64C049E0" w14:textId="77777777" w:rsidR="006C4368" w:rsidRDefault="006C4368" w:rsidP="006C4368">
      <w:pPr>
        <w:pStyle w:val="Footnote"/>
        <w:bidi/>
      </w:pPr>
      <w:r>
        <w:rPr>
          <w:rStyle w:val="ac"/>
        </w:rPr>
        <w:footnoteRef/>
      </w:r>
      <w:r>
        <w:rPr>
          <w:rtl/>
        </w:rPr>
        <w:t>ולר' ירמיה כ"ד תנא דמתני' (לעיל ל.), ותברא מי ששנה זו לא שנה זו. ותנא דפרק ג' פליג אתנא דפרק א</w:t>
      </w:r>
      <w:r>
        <w:t>'.</w:t>
      </w:r>
    </w:p>
  </w:footnote>
  <w:footnote w:id="7138">
    <w:p w14:paraId="3FDF1501" w14:textId="77777777" w:rsidR="006C4368" w:rsidRDefault="006C4368" w:rsidP="006C4368">
      <w:pPr>
        <w:pStyle w:val="Footnote"/>
        <w:bidi/>
      </w:pPr>
      <w:r>
        <w:rPr>
          <w:rStyle w:val="ac"/>
        </w:rPr>
        <w:footnoteRef/>
      </w:r>
      <w:r>
        <w:rPr>
          <w:rtl/>
        </w:rPr>
        <w:t>וה</w:t>
      </w:r>
      <w:r>
        <w:rPr>
          <w:b/>
          <w:bCs/>
          <w:rtl/>
        </w:rPr>
        <w:t>בעה"מ</w:t>
      </w:r>
      <w:r>
        <w:rPr>
          <w:rtl/>
        </w:rPr>
        <w:t xml:space="preserve"> (לעיל ל: ח: בדה"ר) כת' דלא הוכרע המח' (שם), ומש"ה נקטינן לחומרא. וה</w:t>
      </w:r>
      <w:r>
        <w:rPr>
          <w:b/>
          <w:bCs/>
          <w:rtl/>
        </w:rPr>
        <w:t>מלחמות</w:t>
      </w:r>
      <w:r>
        <w:rPr>
          <w:rtl/>
        </w:rPr>
        <w:t xml:space="preserve"> דחה דכולהו תנאי ואמוראי ס"ל דמיתה מפלת, ועוד דתנן (בסוגיין) המגרש את אשתו והחזירה מותרת לייבם. [ולמסקנא אף ר"א פליג מטעם אחר]. אבל ה</w:t>
      </w:r>
      <w:r>
        <w:rPr>
          <w:b/>
          <w:bCs/>
          <w:rtl/>
        </w:rPr>
        <w:t>חזו"א</w:t>
      </w:r>
      <w:r>
        <w:rPr>
          <w:rtl/>
        </w:rPr>
        <w:t xml:space="preserve"> (הו' בסמוך) חילק די"ל ד לענין צרת ערוה נישואין מפילין, ואפ"ה לא אמרי' דכשגירשה אסורה. דל"צ היתר על כולה אישות. [וכן צ"ל לבעה"מ]</w:t>
      </w:r>
      <w:r>
        <w:t>.</w:t>
      </w:r>
    </w:p>
  </w:footnote>
  <w:footnote w:id="7139">
    <w:p w14:paraId="6C35A027" w14:textId="77777777" w:rsidR="006C4368" w:rsidRDefault="006C4368" w:rsidP="006C4368">
      <w:pPr>
        <w:pStyle w:val="Footnote"/>
        <w:bidi/>
      </w:pPr>
      <w:r>
        <w:rPr>
          <w:rStyle w:val="ac"/>
        </w:rPr>
        <w:footnoteRef/>
      </w:r>
      <w:r>
        <w:rPr>
          <w:rtl/>
        </w:rPr>
        <w:t>והביאו דכן מבואר ב</w:t>
      </w:r>
      <w:r>
        <w:rPr>
          <w:b/>
          <w:bCs/>
          <w:rtl/>
        </w:rPr>
        <w:t>ירושלמי</w:t>
      </w:r>
      <w:r>
        <w:rPr>
          <w:rtl/>
        </w:rPr>
        <w:t xml:space="preserve"> (ג ח כא.) דמתו בניו בחייו זקוקה ליבום, דבשעת מיתה לא היו לו בנים. אך פשטות הירושלמי דהכריעו מהתם דלא אמרי' נישואין מפילין</w:t>
      </w:r>
      <w:r>
        <w:t>.</w:t>
      </w:r>
    </w:p>
  </w:footnote>
  <w:footnote w:id="7140">
    <w:p w14:paraId="604DDB5F" w14:textId="77777777" w:rsidR="006C4368" w:rsidRDefault="006C4368" w:rsidP="006C4368">
      <w:pPr>
        <w:pStyle w:val="Footnote"/>
        <w:bidi/>
      </w:pPr>
      <w:r>
        <w:rPr>
          <w:rStyle w:val="ac"/>
        </w:rPr>
        <w:footnoteRef/>
      </w:r>
      <w:r>
        <w:rPr>
          <w:rtl/>
        </w:rPr>
        <w:t>דקודם שנתגרשה היה בה דין נפילה על להבא וע"י הגירושין נתבטל לגמרי, והרי היא כיבמה שהותרה ונאסרה</w:t>
      </w:r>
      <w:r>
        <w:t>.</w:t>
      </w:r>
    </w:p>
  </w:footnote>
  <w:footnote w:id="7141">
    <w:p w14:paraId="25E5B83C" w14:textId="77777777" w:rsidR="006C4368" w:rsidRDefault="006C4368" w:rsidP="006C4368">
      <w:pPr>
        <w:pStyle w:val="Footnote"/>
        <w:bidi/>
      </w:pPr>
      <w:r>
        <w:rPr>
          <w:rStyle w:val="ac"/>
        </w:rPr>
        <w:footnoteRef/>
      </w:r>
      <w:r>
        <w:rPr>
          <w:rtl/>
        </w:rPr>
        <w:t>וי"ל דמצוות יבום דנישואין השניים מהני להתיר איסור אשת אח דנישואין הראשונים [וכמו אליבא דרבנן]. אלא דל"מ להתיר איסור המחודש דגרושת אחיו</w:t>
      </w:r>
      <w:r>
        <w:t>.</w:t>
      </w:r>
    </w:p>
  </w:footnote>
  <w:footnote w:id="7142">
    <w:p w14:paraId="78D99EC6" w14:textId="77777777" w:rsidR="006C4368" w:rsidRDefault="006C4368" w:rsidP="006C4368">
      <w:pPr>
        <w:pStyle w:val="Footnote"/>
        <w:bidi/>
      </w:pPr>
      <w:r>
        <w:rPr>
          <w:rStyle w:val="ac"/>
        </w:rPr>
        <w:footnoteRef/>
      </w:r>
      <w:r>
        <w:rPr>
          <w:rtl/>
        </w:rPr>
        <w:t>ובקידשה על תנאי וכנסה סתם, אפי' בטעות אשה א' [עי”ש], נתכוון לשם קידושין</w:t>
      </w:r>
      <w:r>
        <w:t>.</w:t>
      </w:r>
    </w:p>
  </w:footnote>
  <w:footnote w:id="7143">
    <w:p w14:paraId="4FAD0EFC" w14:textId="77777777" w:rsidR="006C4368" w:rsidRDefault="006C4368" w:rsidP="006C4368">
      <w:pPr>
        <w:pStyle w:val="Footnote"/>
        <w:bidi/>
      </w:pPr>
      <w:r>
        <w:rPr>
          <w:rStyle w:val="ac"/>
        </w:rPr>
        <w:footnoteRef/>
      </w:r>
      <w:r>
        <w:rPr>
          <w:rtl/>
        </w:rPr>
        <w:t>והמשך הגמ' ומר סבר אין אדם יודע שאין קדושי קטנה כלום, ואדעתא דקידושין ראשונים בעל. ו</w:t>
      </w:r>
      <w:r>
        <w:rPr>
          <w:b/>
          <w:bCs/>
          <w:rtl/>
        </w:rPr>
        <w:t>רש"י</w:t>
      </w:r>
      <w:r>
        <w:rPr>
          <w:rtl/>
        </w:rPr>
        <w:t xml:space="preserve"> (שם) מחקו, דר"א פליג משום גזירה, ולא משום דלא חלו הקידושין. [ורש"י כת' דמאן דגרס לה פי' דהברייתא נקט דר"א פליג דוקא בגדלה אצלו, ודלא כמשנה דנח' אף בהחזירה כשהיא גדולה משום גזירה. ותנא דברייתא ס"ל דר"א חלק מדאורייתא, ולא משום גזירה]. אבל ה</w:t>
      </w:r>
      <w:r>
        <w:rPr>
          <w:b/>
          <w:bCs/>
          <w:rtl/>
        </w:rPr>
        <w:t>רמב"ן</w:t>
      </w:r>
      <w:r>
        <w:rPr>
          <w:rtl/>
        </w:rPr>
        <w:t xml:space="preserve"> (שם, והריטב”א כאן) פי' דזה שורש המח' ר”א ורבנן. וע"ע בסמוך</w:t>
      </w:r>
      <w:r>
        <w:t>.</w:t>
      </w:r>
    </w:p>
  </w:footnote>
  <w:footnote w:id="7144">
    <w:p w14:paraId="3D24B988" w14:textId="77777777" w:rsidR="006C4368" w:rsidRDefault="006C4368" w:rsidP="006C4368">
      <w:pPr>
        <w:pStyle w:val="Footnote"/>
        <w:bidi/>
      </w:pPr>
      <w:r>
        <w:rPr>
          <w:rStyle w:val="ac"/>
        </w:rPr>
        <w:footnoteRef/>
      </w:r>
      <w:r>
        <w:rPr>
          <w:rtl/>
        </w:rPr>
        <w:t>וה</w:t>
      </w:r>
      <w:r>
        <w:rPr>
          <w:b/>
          <w:bCs/>
          <w:rtl/>
        </w:rPr>
        <w:t>רא"ש</w:t>
      </w:r>
      <w:r>
        <w:rPr>
          <w:rtl/>
        </w:rPr>
        <w:t xml:space="preserve"> כת' דלכאורה הוה בכלל המשנה (לעיל ב:) דכל היכולה למאן ולא מיאנה צרתה חולצת</w:t>
      </w:r>
      <w:r>
        <w:t>.</w:t>
      </w:r>
    </w:p>
    <w:p w14:paraId="44EE6408" w14:textId="77777777" w:rsidR="006C4368" w:rsidRDefault="006C4368" w:rsidP="006C4368">
      <w:pPr>
        <w:pStyle w:val="Footnote"/>
        <w:bidi/>
      </w:pPr>
      <w:r>
        <w:tab/>
      </w:r>
      <w:r>
        <w:rPr>
          <w:rtl/>
        </w:rPr>
        <w:t>וה</w:t>
      </w:r>
      <w:r>
        <w:rPr>
          <w:b/>
          <w:bCs/>
          <w:rtl/>
        </w:rPr>
        <w:t>בעה"מ</w:t>
      </w:r>
      <w:r>
        <w:rPr>
          <w:rtl/>
        </w:rPr>
        <w:t xml:space="preserve"> כת' שחליצת הצרה פוטרת את היתומה, ואין חליצת היתומה פוטרת את הצרה [שהרי היא זקוקה מדאורייתא]</w:t>
      </w:r>
      <w:r>
        <w:t>.</w:t>
      </w:r>
    </w:p>
  </w:footnote>
  <w:footnote w:id="7145">
    <w:p w14:paraId="088067A4" w14:textId="77777777" w:rsidR="006C4368" w:rsidRDefault="006C4368" w:rsidP="006C4368">
      <w:pPr>
        <w:pStyle w:val="Footnote"/>
        <w:bidi/>
      </w:pPr>
      <w:r>
        <w:rPr>
          <w:rStyle w:val="ac"/>
        </w:rPr>
        <w:footnoteRef/>
      </w:r>
      <w:r>
        <w:rPr>
          <w:rtl/>
        </w:rPr>
        <w:t>וה</w:t>
      </w:r>
      <w:r>
        <w:rPr>
          <w:b/>
          <w:bCs/>
          <w:rtl/>
        </w:rPr>
        <w:t>ק"נ</w:t>
      </w:r>
      <w:r>
        <w:rPr>
          <w:rtl/>
        </w:rPr>
        <w:t xml:space="preserve"> כת' דהרא"ש תי' בזה דלא הוה ערוה, כיון דיכולה למאן (וכדלעיל יג. וקז:). והכא אין בזה משום מיחזי כצרת ערוה כיון דאי גדלה אצלו</w:t>
      </w:r>
      <w:r>
        <w:t>.</w:t>
      </w:r>
    </w:p>
  </w:footnote>
  <w:footnote w:id="7146">
    <w:p w14:paraId="4114C529" w14:textId="77777777" w:rsidR="006C4368" w:rsidRDefault="006C4368" w:rsidP="006C4368">
      <w:pPr>
        <w:pStyle w:val="Footnote"/>
        <w:bidi/>
      </w:pPr>
      <w:r>
        <w:rPr>
          <w:rStyle w:val="ac"/>
        </w:rPr>
        <w:footnoteRef/>
      </w:r>
      <w:r>
        <w:rPr>
          <w:rtl/>
        </w:rPr>
        <w:t>כ"ה לפנינו (לז: בדה”ס לפני המשנה). וה</w:t>
      </w:r>
      <w:r>
        <w:rPr>
          <w:b/>
          <w:bCs/>
          <w:rtl/>
        </w:rPr>
        <w:t>ראשונים</w:t>
      </w:r>
      <w:r>
        <w:rPr>
          <w:rtl/>
        </w:rPr>
        <w:t xml:space="preserve"> הביאו דיש דלא גרסי לה ברי”ף, אבל בס' הזכות כת' דהוה נוסחא רויחא</w:t>
      </w:r>
      <w:r>
        <w:t>.</w:t>
      </w:r>
    </w:p>
  </w:footnote>
  <w:footnote w:id="7147">
    <w:p w14:paraId="54DC93C7" w14:textId="77777777" w:rsidR="006C4368" w:rsidRDefault="006C4368" w:rsidP="006C4368">
      <w:pPr>
        <w:pStyle w:val="Footnote"/>
        <w:bidi/>
      </w:pPr>
      <w:r>
        <w:rPr>
          <w:rStyle w:val="ac"/>
        </w:rPr>
        <w:footnoteRef/>
      </w:r>
      <w:r>
        <w:rPr>
          <w:rtl/>
        </w:rPr>
        <w:t>וצ"ב דאי גדלה אצלה, וקידש אותה מדאורייתא לא הוה ערוה כלל. אבל הכא לא גדלה אצלו, והוה ערוה. וצ"ל דמ"מ הוה סברא בגזירה דרבנן. וה</w:t>
      </w:r>
      <w:r>
        <w:rPr>
          <w:b/>
          <w:bCs/>
          <w:rtl/>
        </w:rPr>
        <w:t>ק”נ</w:t>
      </w:r>
      <w:r>
        <w:rPr>
          <w:rtl/>
        </w:rPr>
        <w:t xml:space="preserve"> (ז) מבואר דהוה סברא במיחזי</w:t>
      </w:r>
      <w:r>
        <w:t>.</w:t>
      </w:r>
    </w:p>
  </w:footnote>
  <w:footnote w:id="7148">
    <w:p w14:paraId="2D1E29FD" w14:textId="77777777" w:rsidR="006C4368" w:rsidRDefault="006C4368" w:rsidP="006C4368">
      <w:pPr>
        <w:pStyle w:val="Footnote"/>
        <w:bidi/>
      </w:pPr>
      <w:r>
        <w:rPr>
          <w:rStyle w:val="ac"/>
        </w:rPr>
        <w:footnoteRef/>
      </w:r>
      <w:r>
        <w:rPr>
          <w:rtl/>
        </w:rPr>
        <w:t>וה</w:t>
      </w:r>
      <w:r>
        <w:rPr>
          <w:b/>
          <w:bCs/>
          <w:rtl/>
        </w:rPr>
        <w:t>רמב"ן</w:t>
      </w:r>
      <w:r>
        <w:rPr>
          <w:rtl/>
        </w:rPr>
        <w:t xml:space="preserve"> הביא דרוב האמוראים בירושלמי מתירים</w:t>
      </w:r>
      <w:r>
        <w:t>.</w:t>
      </w:r>
    </w:p>
  </w:footnote>
  <w:footnote w:id="7149">
    <w:p w14:paraId="793D8993" w14:textId="77777777" w:rsidR="006C4368" w:rsidRDefault="006C4368" w:rsidP="006C4368">
      <w:pPr>
        <w:pStyle w:val="Footnote"/>
        <w:bidi/>
      </w:pPr>
      <w:r>
        <w:rPr>
          <w:rStyle w:val="ac"/>
        </w:rPr>
        <w:footnoteRef/>
      </w:r>
      <w:r>
        <w:rPr>
          <w:rtl/>
        </w:rPr>
        <w:t>וה</w:t>
      </w:r>
      <w:r>
        <w:rPr>
          <w:b/>
          <w:bCs/>
          <w:rtl/>
        </w:rPr>
        <w:t>רש"ש</w:t>
      </w:r>
      <w:r>
        <w:rPr>
          <w:rtl/>
        </w:rPr>
        <w:t xml:space="preserve"> הביא ע"ד הא דאי' (נדה מז.) אתי דימוע דרבנן ומפקע חלה דרבנן. ועוד הביא ה</w:t>
      </w:r>
      <w:r>
        <w:rPr>
          <w:b/>
          <w:bCs/>
          <w:rtl/>
        </w:rPr>
        <w:t>או"ש</w:t>
      </w:r>
      <w:r>
        <w:rPr>
          <w:rtl/>
        </w:rPr>
        <w:t xml:space="preserve"> דאי' (גיטין סד:) דקטן זוכה לאחרים דרבנן בשתופי מבואות דרבנן מהני</w:t>
      </w:r>
      <w:r>
        <w:t>.</w:t>
      </w:r>
    </w:p>
    <w:p w14:paraId="48D3D539" w14:textId="77777777" w:rsidR="006C4368" w:rsidRDefault="006C4368" w:rsidP="006C4368">
      <w:pPr>
        <w:pStyle w:val="Footnote"/>
        <w:bidi/>
      </w:pPr>
      <w:r>
        <w:tab/>
      </w:r>
      <w:r>
        <w:rPr>
          <w:rtl/>
        </w:rPr>
        <w:t>וה</w:t>
      </w:r>
      <w:r>
        <w:rPr>
          <w:b/>
          <w:bCs/>
          <w:rtl/>
        </w:rPr>
        <w:t>או"ש</w:t>
      </w:r>
      <w:r>
        <w:rPr>
          <w:rtl/>
        </w:rPr>
        <w:t xml:space="preserve"> הביא עוד (שם מו:) דאתי נישואין דרבנן ומתיר נדר דרבנן. אך דחה דהתם כשתגדל תחתיו, דנדריה הוה דבר תורה אף נשואיה יהיו דבר תורה, ומש"ה בעודן בקטנותה ג"כ מיפר לה כאילו היתה גדולה. אבל כאן אם תגדלה תחתיו היתה רק אסורה מדרבנן, וזיקתה דבר תורה, ומש"ה כשמת בעלה בעודה קטנה ג"כ היא זקוקה לחליצת היבם</w:t>
      </w:r>
      <w:r>
        <w:t>.</w:t>
      </w:r>
    </w:p>
  </w:footnote>
  <w:footnote w:id="7150">
    <w:p w14:paraId="01A7B943" w14:textId="77777777" w:rsidR="006C4368" w:rsidRDefault="006C4368" w:rsidP="006C4368">
      <w:pPr>
        <w:pStyle w:val="Footnote"/>
        <w:bidi/>
      </w:pPr>
      <w:r>
        <w:rPr>
          <w:rStyle w:val="ac"/>
        </w:rPr>
        <w:footnoteRef/>
      </w:r>
      <w:r>
        <w:rPr>
          <w:rtl/>
        </w:rPr>
        <w:t>וה</w:t>
      </w:r>
      <w:r>
        <w:rPr>
          <w:b/>
          <w:bCs/>
          <w:rtl/>
        </w:rPr>
        <w:t>או"ש</w:t>
      </w:r>
      <w:r>
        <w:rPr>
          <w:rtl/>
        </w:rPr>
        <w:t xml:space="preserve"> דחה דהתם האיסור שניות הוה גם מחמת קידושי קטנות, ומש"ה הוה תרי דרבנן. ולא אתי חד דרבנן ופטר תרי דרבנן (ע"ד מש"כ </w:t>
      </w:r>
      <w:r>
        <w:rPr>
          <w:b/>
          <w:bCs/>
          <w:rtl/>
        </w:rPr>
        <w:t>תוס'</w:t>
      </w:r>
      <w:r>
        <w:rPr>
          <w:rtl/>
        </w:rPr>
        <w:t xml:space="preserve"> מגילה יט:). [אך יל"ד דבמשנה (לקמן קיב:) מבואר דאין חילוק בין חרש בחרשת לחרש בפקחת חד דרבנן בתרי דרבנן]</w:t>
      </w:r>
      <w:r>
        <w:t>.</w:t>
      </w:r>
    </w:p>
  </w:footnote>
  <w:footnote w:id="7151">
    <w:p w14:paraId="1A7AF2BE" w14:textId="77777777" w:rsidR="006C4368" w:rsidRDefault="006C4368" w:rsidP="006C4368">
      <w:pPr>
        <w:pStyle w:val="Footnote"/>
        <w:bidi/>
      </w:pPr>
      <w:r>
        <w:rPr>
          <w:rStyle w:val="ac"/>
        </w:rPr>
        <w:footnoteRef/>
      </w:r>
      <w:r>
        <w:rPr>
          <w:rtl/>
        </w:rPr>
        <w:t>והביא ד</w:t>
      </w:r>
      <w:r>
        <w:rPr>
          <w:b/>
          <w:bCs/>
          <w:rtl/>
        </w:rPr>
        <w:t>תוס</w:t>
      </w:r>
      <w:r>
        <w:rPr>
          <w:rtl/>
        </w:rPr>
        <w:t>' (לעיל יא. ד"ה ר' שמעון) דנו בסוטה דרבנן דממה נפשך מה"ת חליצה כשירה היא, ומדרבנן הוי כסוטה, והיא וצרתה פטורים מן החליצה</w:t>
      </w:r>
      <w:r>
        <w:t>.</w:t>
      </w:r>
    </w:p>
  </w:footnote>
  <w:footnote w:id="7152">
    <w:p w14:paraId="79BF2DBA" w14:textId="77777777" w:rsidR="006C4368" w:rsidRDefault="006C4368" w:rsidP="006C4368">
      <w:pPr>
        <w:pStyle w:val="Footnote"/>
        <w:bidi/>
      </w:pPr>
      <w:r>
        <w:rPr>
          <w:rStyle w:val="ac"/>
        </w:rPr>
        <w:footnoteRef/>
      </w:r>
      <w:r>
        <w:rPr>
          <w:rtl/>
        </w:rPr>
        <w:t>ומבואר דפשיט"ל לאו"ש דלא הוה 'ערוה' מדרבנן, ולא העמידו דבריהם דלא יתפסו קידושין מדאורייתא. ואפ"ה דן דפטורה מחליצה [באיסור קטנה דרבנן]. ויל"פ דפטור ליבום תלי באיסור, והוה איסור דשייך לעריות. אף דלא תקנו דהוה ערוה גמורה [ויל”ד בזה]</w:t>
      </w:r>
      <w:r>
        <w:t>.</w:t>
      </w:r>
    </w:p>
  </w:footnote>
  <w:footnote w:id="7153">
    <w:p w14:paraId="364A2195" w14:textId="77777777" w:rsidR="006C4368" w:rsidRDefault="006C4368" w:rsidP="006C4368">
      <w:pPr>
        <w:pStyle w:val="Footnote"/>
        <w:bidi/>
      </w:pPr>
      <w:r>
        <w:rPr>
          <w:rStyle w:val="ac"/>
        </w:rPr>
        <w:footnoteRef/>
      </w:r>
      <w:r>
        <w:rPr>
          <w:rtl/>
        </w:rPr>
        <w:t>ועוד הביאו דהולד לא הוה ממזר אפי' מדרבנן</w:t>
      </w:r>
      <w:r>
        <w:t>.</w:t>
      </w:r>
    </w:p>
  </w:footnote>
  <w:footnote w:id="7154">
    <w:p w14:paraId="54F72DAA" w14:textId="77777777" w:rsidR="006C4368" w:rsidRDefault="006C4368" w:rsidP="006C4368">
      <w:pPr>
        <w:pStyle w:val="Footnote"/>
        <w:bidi/>
      </w:pPr>
      <w:r>
        <w:rPr>
          <w:rStyle w:val="ac"/>
        </w:rPr>
        <w:footnoteRef/>
      </w:r>
      <w:r>
        <w:rPr>
          <w:rtl/>
        </w:rPr>
        <w:t>דהמשנה (לעיל כ. וכ”מ) מדמה איסור מצווה ואיסור קדושה</w:t>
      </w:r>
      <w:r>
        <w:t>.</w:t>
      </w:r>
    </w:p>
  </w:footnote>
  <w:footnote w:id="7155">
    <w:p w14:paraId="299FB91D" w14:textId="77777777" w:rsidR="006C4368" w:rsidRDefault="006C4368" w:rsidP="006C4368">
      <w:pPr>
        <w:pStyle w:val="Footnote"/>
        <w:bidi/>
      </w:pPr>
      <w:r>
        <w:rPr>
          <w:rStyle w:val="ac"/>
        </w:rPr>
        <w:footnoteRef/>
      </w:r>
      <w:r>
        <w:rPr>
          <w:rtl/>
        </w:rPr>
        <w:t>ועוד קטנה שניות צרתה הגדולה מתייבמת, ע"כ דלא עשו אותה דומה לערוה, ומש”ה אף לגבי דידה ג"כ לא הוה כערוה אלא כדין שניה דעלמא דצריכה חליצה</w:t>
      </w:r>
      <w:r>
        <w:t>.</w:t>
      </w:r>
    </w:p>
  </w:footnote>
  <w:footnote w:id="7156">
    <w:p w14:paraId="6F8D45A7" w14:textId="77777777" w:rsidR="006C4368" w:rsidRDefault="006C4368" w:rsidP="006C4368">
      <w:pPr>
        <w:pStyle w:val="Footnote"/>
        <w:bidi/>
      </w:pPr>
      <w:r>
        <w:rPr>
          <w:rStyle w:val="ac"/>
        </w:rPr>
        <w:footnoteRef/>
      </w:r>
      <w:r>
        <w:rPr>
          <w:rtl/>
        </w:rPr>
        <w:t>אבל ה</w:t>
      </w:r>
      <w:r>
        <w:rPr>
          <w:b/>
          <w:bCs/>
          <w:rtl/>
        </w:rPr>
        <w:t>שו"ע</w:t>
      </w:r>
      <w:r>
        <w:rPr>
          <w:rtl/>
        </w:rPr>
        <w:t xml:space="preserve"> (מד ז) פסק דהמקדש א' מהשניות הוה קידושין גמורים. [וה</w:t>
      </w:r>
      <w:r>
        <w:rPr>
          <w:b/>
          <w:bCs/>
          <w:rtl/>
        </w:rPr>
        <w:t>ט"ז</w:t>
      </w:r>
      <w:r>
        <w:rPr>
          <w:rtl/>
        </w:rPr>
        <w:t xml:space="preserve"> (טו א) דחה מהתם דברי הדרכ"מ, ויישב דברי הטור באופ"א]. והבי"ש נדחק דנקטו קידושין גמורים דלא הוה ספק, אבל לעולם צריכה גט משני</w:t>
      </w:r>
      <w:r>
        <w:t>.</w:t>
      </w:r>
    </w:p>
    <w:p w14:paraId="19B619BF" w14:textId="77777777" w:rsidR="006C4368" w:rsidRDefault="006C4368" w:rsidP="006C4368">
      <w:pPr>
        <w:pStyle w:val="Footnote"/>
        <w:bidi/>
      </w:pPr>
      <w:r>
        <w:tab/>
      </w:r>
      <w:r>
        <w:rPr>
          <w:rtl/>
        </w:rPr>
        <w:t>וה</w:t>
      </w:r>
      <w:r>
        <w:rPr>
          <w:b/>
          <w:bCs/>
          <w:rtl/>
        </w:rPr>
        <w:t>חלק"מ</w:t>
      </w:r>
      <w:r>
        <w:rPr>
          <w:rtl/>
        </w:rPr>
        <w:t xml:space="preserve"> (טו א) הביא דמבואר (לעיל כ:) דאיסור מצוה ואיסור קדושה, בא עליה פטרה לצרתה. ואם איתא דהקידושין אינם קונים לגמרי [ומדרבנן נתנו מקום לחול עוד קידושי אחר], א"כ האיך מהני להפקיע את הזיקה לגמרי, והאיך פוטרת את צרתה</w:t>
      </w:r>
      <w:r>
        <w:t>.</w:t>
      </w:r>
    </w:p>
  </w:footnote>
  <w:footnote w:id="7157">
    <w:p w14:paraId="7A067472" w14:textId="77777777" w:rsidR="006C4368" w:rsidRDefault="006C4368" w:rsidP="006C4368">
      <w:pPr>
        <w:pStyle w:val="Footnote"/>
        <w:bidi/>
      </w:pPr>
      <w:r>
        <w:rPr>
          <w:rStyle w:val="ac"/>
        </w:rPr>
        <w:footnoteRef/>
      </w:r>
      <w:r>
        <w:rPr>
          <w:rtl/>
        </w:rPr>
        <w:t>ויישב בזה דברי ה</w:t>
      </w:r>
      <w:r>
        <w:rPr>
          <w:b/>
          <w:bCs/>
          <w:rtl/>
        </w:rPr>
        <w:t>טור</w:t>
      </w:r>
      <w:r>
        <w:rPr>
          <w:rtl/>
        </w:rPr>
        <w:t xml:space="preserve"> (שם) דמשמע דאף עריות דרבנן [שניות] לא תפסי קידושין, אלא דצריכות גט</w:t>
      </w:r>
      <w:r>
        <w:t>.</w:t>
      </w:r>
    </w:p>
  </w:footnote>
  <w:footnote w:id="7158">
    <w:p w14:paraId="64AE453A" w14:textId="77777777" w:rsidR="006C4368" w:rsidRDefault="006C4368" w:rsidP="006C4368">
      <w:pPr>
        <w:pStyle w:val="Footnote"/>
        <w:bidi/>
      </w:pPr>
      <w:r>
        <w:rPr>
          <w:rStyle w:val="ac"/>
        </w:rPr>
        <w:footnoteRef/>
      </w:r>
      <w:r>
        <w:rPr>
          <w:rtl/>
        </w:rPr>
        <w:t>וה</w:t>
      </w:r>
      <w:r>
        <w:rPr>
          <w:b/>
          <w:bCs/>
          <w:rtl/>
        </w:rPr>
        <w:t>בי"ש</w:t>
      </w:r>
      <w:r>
        <w:rPr>
          <w:rtl/>
        </w:rPr>
        <w:t xml:space="preserve"> (בסו"ד) הביא דברי ה</w:t>
      </w:r>
      <w:r>
        <w:rPr>
          <w:b/>
          <w:bCs/>
          <w:rtl/>
        </w:rPr>
        <w:t>ב"י</w:t>
      </w:r>
      <w:r>
        <w:rPr>
          <w:rtl/>
        </w:rPr>
        <w:t xml:space="preserve"> (מב בשם מ”כ, הו' בסמוך) דהמקדש בפני פסולי עדות דרבנן תפסי קידושי שני. א"כ ה"ה בערוה דרבנן דתפסי קידושי שני. וה</w:t>
      </w:r>
      <w:r>
        <w:rPr>
          <w:b/>
          <w:bCs/>
          <w:rtl/>
        </w:rPr>
        <w:t>חכ"צ</w:t>
      </w:r>
      <w:r>
        <w:rPr>
          <w:rtl/>
        </w:rPr>
        <w:t xml:space="preserve"> בהג' לט"ז (טו א) דחה דשאני פסולי עדות דרבנן, דסוף סוף אינם יכולים להעיד. והוה כמו שקידש בפני עדים אלמים, דל"מ לעדות קידושין. אבל בקידש ערוה דרבנן, דמדאורייתא תופסין ואין כח בידם לבטל הקידושין [רק שאסור לכונסה], ואם קידש השני אין קידושין תופסין כלל</w:t>
      </w:r>
      <w:r>
        <w:t>.</w:t>
      </w:r>
    </w:p>
  </w:footnote>
  <w:footnote w:id="7159">
    <w:p w14:paraId="0CA2C02E" w14:textId="77777777" w:rsidR="006C4368" w:rsidRDefault="006C4368" w:rsidP="006C4368">
      <w:pPr>
        <w:pStyle w:val="Footnote"/>
        <w:bidi/>
      </w:pPr>
      <w:r>
        <w:rPr>
          <w:rStyle w:val="ac"/>
        </w:rPr>
        <w:footnoteRef/>
      </w:r>
      <w:r>
        <w:rPr>
          <w:rtl/>
        </w:rPr>
        <w:t>וה</w:t>
      </w:r>
      <w:r>
        <w:rPr>
          <w:b/>
          <w:bCs/>
          <w:rtl/>
        </w:rPr>
        <w:t>חלק"מ</w:t>
      </w:r>
      <w:r>
        <w:rPr>
          <w:rtl/>
        </w:rPr>
        <w:t xml:space="preserve"> העתיק דהדרכ"מ נסתפק אף בחייבי לאוין, דתהא צריכה גט משני. וה</w:t>
      </w:r>
      <w:r>
        <w:rPr>
          <w:b/>
          <w:bCs/>
          <w:rtl/>
        </w:rPr>
        <w:t>בי"ש</w:t>
      </w:r>
      <w:r>
        <w:rPr>
          <w:rtl/>
        </w:rPr>
        <w:t xml:space="preserve"> חלק דבחייבי לאוין פשיט"ל לרמ"א דלא תפסי</w:t>
      </w:r>
      <w:r>
        <w:t>.</w:t>
      </w:r>
    </w:p>
  </w:footnote>
  <w:footnote w:id="7160">
    <w:p w14:paraId="5AB34CB9" w14:textId="77777777" w:rsidR="006C4368" w:rsidRDefault="006C4368" w:rsidP="006C4368">
      <w:pPr>
        <w:pStyle w:val="Footnote"/>
        <w:bidi/>
      </w:pPr>
      <w:r>
        <w:rPr>
          <w:rStyle w:val="ac"/>
        </w:rPr>
        <w:footnoteRef/>
      </w:r>
      <w:r>
        <w:rPr>
          <w:rtl/>
        </w:rPr>
        <w:t>דדוקא קידושין דאורייתא בפני עדים שחכמים פסלו לא העמידו דבריהם. אבל בקטנה דהוה קידושין דרבנן לא תקנו</w:t>
      </w:r>
      <w:r>
        <w:t>.</w:t>
      </w:r>
    </w:p>
  </w:footnote>
  <w:footnote w:id="7161">
    <w:p w14:paraId="2B932EE6" w14:textId="77777777" w:rsidR="006C4368" w:rsidRDefault="006C4368" w:rsidP="006C4368">
      <w:pPr>
        <w:pStyle w:val="Footnote"/>
        <w:bidi/>
      </w:pPr>
      <w:r>
        <w:rPr>
          <w:rStyle w:val="ac"/>
        </w:rPr>
        <w:footnoteRef/>
      </w:r>
      <w:r>
        <w:rPr>
          <w:rtl/>
        </w:rPr>
        <w:t>וביאר דכיון דפסולים דרבנן, ואסורה לו בלא קידושין אחרים איכא מקצת רווחא. ודמי קצת להא (קידושין ס.) דקידושי ק' תופסים בה</w:t>
      </w:r>
      <w:r>
        <w:t>.</w:t>
      </w:r>
    </w:p>
  </w:footnote>
  <w:footnote w:id="7162">
    <w:p w14:paraId="487AF14A" w14:textId="77777777" w:rsidR="006C4368" w:rsidRDefault="006C4368" w:rsidP="006C4368">
      <w:pPr>
        <w:pStyle w:val="Footnote"/>
        <w:bidi/>
      </w:pPr>
      <w:r>
        <w:rPr>
          <w:rStyle w:val="ac"/>
        </w:rPr>
        <w:footnoteRef/>
      </w:r>
      <w:r>
        <w:rPr>
          <w:rtl/>
        </w:rPr>
        <w:t>ומשמע בב"י דנקט כדברי ה'מצאתי כתוב'. וכן הביא ה</w:t>
      </w:r>
      <w:r>
        <w:rPr>
          <w:b/>
          <w:bCs/>
          <w:rtl/>
        </w:rPr>
        <w:t>בי"ש</w:t>
      </w:r>
      <w:r>
        <w:rPr>
          <w:rtl/>
        </w:rPr>
        <w:t xml:space="preserve"> (טו א). אבל ב</w:t>
      </w:r>
      <w:r>
        <w:rPr>
          <w:b/>
          <w:bCs/>
          <w:rtl/>
        </w:rPr>
        <w:t>שו"ת זכרון יהודה</w:t>
      </w:r>
      <w:r>
        <w:rPr>
          <w:rtl/>
        </w:rPr>
        <w:t xml:space="preserve"> הו' דהרבנים דחו דברי הרב החולק דאילו היה כך דקידושי ראשון חלים מן התורה ופסולים מדרבנן, לא תפסי קידושי שני [אף קידושין גמורים, דסוף סוף היא אשת איש מדאורייתא]. ושיבוש גמור לדמות לרווחא שביק</w:t>
      </w:r>
      <w:r>
        <w:t>.</w:t>
      </w:r>
    </w:p>
    <w:p w14:paraId="2F878584" w14:textId="77777777" w:rsidR="006C4368" w:rsidRDefault="006C4368" w:rsidP="006C4368">
      <w:pPr>
        <w:pStyle w:val="Footnote"/>
        <w:bidi/>
      </w:pPr>
      <w:r>
        <w:tab/>
      </w:r>
      <w:r>
        <w:rPr>
          <w:rtl/>
        </w:rPr>
        <w:t>ועוה"ק דמה מקום לקידושי שני, הלא אף הם בעדים פסולים, היכא הרווחא דשבק כי כמה שחלו הראשונים דחו לשניים. ואמרי' ממ”נ. [וקראו על סברת הרב החולק כסיל בחושך יהלך, וכמקרה הכסיל וכו'. ומי שאינו יודע זה לא היה לו לדבר אפי' בפני תלמיד קטן. ומשמע דהוא צד דחוי, ולא ידוע מי הוא]. [ור"י בן הרא"ש לא התייחס לטענה זו, אך קילס עיקר דבריהם]</w:t>
      </w:r>
      <w:r>
        <w:t>.</w:t>
      </w:r>
    </w:p>
  </w:footnote>
  <w:footnote w:id="7163">
    <w:p w14:paraId="7D19E66D" w14:textId="77777777" w:rsidR="006C4368" w:rsidRDefault="006C4368" w:rsidP="006C4368">
      <w:pPr>
        <w:pStyle w:val="Footnote"/>
        <w:bidi/>
      </w:pPr>
      <w:r>
        <w:rPr>
          <w:rStyle w:val="ac"/>
        </w:rPr>
        <w:footnoteRef/>
      </w:r>
      <w:r>
        <w:rPr>
          <w:rtl/>
        </w:rPr>
        <w:t>וצ"ב אמאי איצטריך לזה, תיפו"ל דכיון דל"ק מדאורייתא, האיך תפטור את אחותה שזקוקה מדאורייתא. ואמאי הוצרך להוסיף דאף מדרבנן אינו קידושין גמורין</w:t>
      </w:r>
      <w:r>
        <w:t>.</w:t>
      </w:r>
    </w:p>
  </w:footnote>
  <w:footnote w:id="7164">
    <w:p w14:paraId="65A9DCC1" w14:textId="77777777" w:rsidR="006C4368" w:rsidRDefault="006C4368" w:rsidP="006C4368">
      <w:pPr>
        <w:pStyle w:val="Footnote"/>
        <w:bidi/>
      </w:pPr>
      <w:r>
        <w:rPr>
          <w:rStyle w:val="ac"/>
        </w:rPr>
        <w:footnoteRef/>
      </w:r>
      <w:r>
        <w:rPr>
          <w:rtl/>
        </w:rPr>
        <w:t xml:space="preserve">ויש </w:t>
      </w:r>
      <w:r>
        <w:rPr>
          <w:b/>
          <w:bCs/>
          <w:rtl/>
        </w:rPr>
        <w:t>אחרונים</w:t>
      </w:r>
      <w:r>
        <w:rPr>
          <w:rtl/>
        </w:rPr>
        <w:t xml:space="preserve"> שדנו דכיון דצריכה חליצה רק מדאורייתא ולא מדרבנן לא יהא צריך פרטי החליצה דהוה מדרבנן. [וסגי בעיקר חליצה מדאורייתא, דכלפי הדרבנן יש פטור אחות אשתו]. אך לכאורה אינו כן, דכל שצריכה חליצה תקנו רבנן צורה לחליצה. [וע"ד הא דמבואר כאן דאסור באחות זקוקתו]</w:t>
      </w:r>
      <w:r>
        <w:t>.</w:t>
      </w:r>
    </w:p>
  </w:footnote>
  <w:footnote w:id="7165">
    <w:p w14:paraId="4086CD60" w14:textId="77777777" w:rsidR="006C4368" w:rsidRDefault="006C4368" w:rsidP="006C4368">
      <w:pPr>
        <w:pStyle w:val="Footnote"/>
        <w:bidi/>
      </w:pPr>
      <w:r>
        <w:rPr>
          <w:rStyle w:val="ac"/>
        </w:rPr>
        <w:footnoteRef/>
      </w:r>
      <w:r>
        <w:rPr>
          <w:rtl/>
        </w:rPr>
        <w:t>וכ"כ ה</w:t>
      </w:r>
      <w:r>
        <w:rPr>
          <w:b/>
          <w:bCs/>
          <w:rtl/>
        </w:rPr>
        <w:t>רש"ש</w:t>
      </w:r>
      <w:r>
        <w:rPr>
          <w:rtl/>
        </w:rPr>
        <w:t xml:space="preserve"> (הנ"ל) דבמשנה (לעיל כז.) אי' דאף איסור מצווה ואיסור קדושה יש איסור אחות זקוקתו, ול"א דלידחי שניות דדבריהם את איסור אחות זקוקה דג"כ אינו אלא מדבריהם. דהתם ע"כ זקוקה היא גם עתה מה"ת, ואסורה לשוק בלא חליצה</w:t>
      </w:r>
      <w:r>
        <w:t>.</w:t>
      </w:r>
    </w:p>
  </w:footnote>
  <w:footnote w:id="7166">
    <w:p w14:paraId="0E81BFFC" w14:textId="77777777" w:rsidR="006C4368" w:rsidRDefault="006C4368" w:rsidP="006C4368">
      <w:pPr>
        <w:pStyle w:val="Footnote"/>
        <w:bidi/>
      </w:pPr>
      <w:r>
        <w:rPr>
          <w:rStyle w:val="ac"/>
        </w:rPr>
        <w:footnoteRef/>
      </w:r>
      <w:r>
        <w:rPr>
          <w:rtl/>
        </w:rPr>
        <w:t>וכ"ש להא דמבואר (לקמן קי:) דתקנו דקידושי קטנה הוה ספק וקנויה ואינה קנויה. ויש שביארו דמש"ה רש"י (לעיל יח.) נקט הטעם דאף מדרבנן הוה ספק, ומש"ה שייך איסור אחות זקוקתו דרבנן</w:t>
      </w:r>
      <w:r>
        <w:t>.</w:t>
      </w:r>
    </w:p>
  </w:footnote>
  <w:footnote w:id="7167">
    <w:p w14:paraId="22AECD70" w14:textId="77777777" w:rsidR="006C4368" w:rsidRDefault="006C4368" w:rsidP="006C4368">
      <w:pPr>
        <w:pStyle w:val="Footnote"/>
        <w:bidi/>
      </w:pPr>
      <w:r>
        <w:rPr>
          <w:rStyle w:val="ac"/>
        </w:rPr>
        <w:footnoteRef/>
      </w:r>
      <w:r>
        <w:rPr>
          <w:rtl/>
        </w:rPr>
        <w:t>ושאר תנאים לא נחלקו האם מהני מיאון להתיר ליבום. אלא נח' האם מלמדים למאן</w:t>
      </w:r>
      <w:r>
        <w:t>.</w:t>
      </w:r>
    </w:p>
  </w:footnote>
  <w:footnote w:id="7168">
    <w:p w14:paraId="270BFF95" w14:textId="77777777" w:rsidR="006C4368" w:rsidRDefault="006C4368" w:rsidP="006C4368">
      <w:pPr>
        <w:pStyle w:val="Footnote"/>
        <w:bidi/>
      </w:pPr>
      <w:r>
        <w:rPr>
          <w:rStyle w:val="ac"/>
        </w:rPr>
        <w:footnoteRef/>
      </w:r>
      <w:r>
        <w:rPr>
          <w:rtl/>
        </w:rPr>
        <w:t>וה</w:t>
      </w:r>
      <w:r>
        <w:rPr>
          <w:b/>
          <w:bCs/>
          <w:rtl/>
        </w:rPr>
        <w:t>אחרונים</w:t>
      </w:r>
      <w:r>
        <w:rPr>
          <w:rtl/>
        </w:rPr>
        <w:t xml:space="preserve"> הק' מכאן לדברי ה</w:t>
      </w:r>
      <w:r>
        <w:rPr>
          <w:b/>
          <w:bCs/>
          <w:rtl/>
        </w:rPr>
        <w:t>מל"ה</w:t>
      </w:r>
      <w:r>
        <w:rPr>
          <w:rtl/>
        </w:rPr>
        <w:t xml:space="preserve"> (לעיל יב., הו' לעיל קז:) דהמיאון עוקר רק אח”כ, ובשעת נפילה היתה ערוה ואסורה לעולם. [וע”ע לקמן קיא:]</w:t>
      </w:r>
      <w:r>
        <w:t>.</w:t>
      </w:r>
    </w:p>
  </w:footnote>
  <w:footnote w:id="7169">
    <w:p w14:paraId="1258ABF5" w14:textId="77777777" w:rsidR="006C4368" w:rsidRDefault="006C4368" w:rsidP="006C4368">
      <w:pPr>
        <w:pStyle w:val="Footnote"/>
        <w:bidi/>
      </w:pPr>
      <w:r>
        <w:rPr>
          <w:rStyle w:val="ac"/>
        </w:rPr>
        <w:footnoteRef/>
      </w:r>
      <w:r>
        <w:rPr>
          <w:rtl/>
        </w:rPr>
        <w:t>וה</w:t>
      </w:r>
      <w:r>
        <w:rPr>
          <w:b/>
          <w:bCs/>
          <w:rtl/>
        </w:rPr>
        <w:t>רשב"א</w:t>
      </w:r>
      <w:r>
        <w:rPr>
          <w:rtl/>
        </w:rPr>
        <w:t xml:space="preserve"> כת' דנראה שסמכו אהא דאי' (לעיל לג:) פתוי דקטנה אונס הוא. ונקטו כשם שהפתוי כאונס, גם האונס כפתוי ובמקום שאמרו לפתות ה"ה לאנוס שהכל א'. וה</w:t>
      </w:r>
      <w:r>
        <w:rPr>
          <w:b/>
          <w:bCs/>
          <w:rtl/>
        </w:rPr>
        <w:t>רשב"א</w:t>
      </w:r>
      <w:r>
        <w:rPr>
          <w:rtl/>
        </w:rPr>
        <w:t xml:space="preserve"> חלק שאם אמרו כן שהקטנה שזינתה ברצון אינה נאסרת דאין רצונה רצון, לא אמרו במקום דמהני דעת ורצון של הקטנה, שנכוף אותה עד שתרצה. ועוד הביא דיש חילוק בפרשת אונס ומפתה [לרבנן (כתובות מ:) דקאי אף בקטנה] בין האונס קטנה למפתה אותה</w:t>
      </w:r>
      <w:r>
        <w:t>.</w:t>
      </w:r>
    </w:p>
  </w:footnote>
  <w:footnote w:id="7170">
    <w:p w14:paraId="6EC98BA6" w14:textId="77777777" w:rsidR="006C4368" w:rsidRDefault="006C4368" w:rsidP="006C4368">
      <w:pPr>
        <w:pStyle w:val="Footnote"/>
        <w:bidi/>
      </w:pPr>
      <w:r>
        <w:rPr>
          <w:rStyle w:val="ac"/>
        </w:rPr>
        <w:footnoteRef/>
      </w:r>
      <w:r>
        <w:rPr>
          <w:rtl/>
        </w:rPr>
        <w:t>ואם רצתה למאן תמאן, ואם לאו מוציא את אשתו בגט ואת אשת אחיו בחליצה. כדינא דר' יהושע</w:t>
      </w:r>
      <w:r>
        <w:t>.</w:t>
      </w:r>
    </w:p>
  </w:footnote>
  <w:footnote w:id="7171">
    <w:p w14:paraId="44FF619B" w14:textId="77777777" w:rsidR="006C4368" w:rsidRDefault="006C4368" w:rsidP="006C4368">
      <w:pPr>
        <w:pStyle w:val="Footnote"/>
        <w:bidi/>
      </w:pPr>
      <w:r>
        <w:rPr>
          <w:rStyle w:val="ac"/>
        </w:rPr>
        <w:footnoteRef/>
      </w:r>
      <w:r>
        <w:rPr>
          <w:rtl/>
        </w:rPr>
        <w:t>ונתחדש בדברי חכמי עכו תרתי, א' דיש זכות להכריח אותה למאן [ובזה פליג הרשב"א דאין לנו זכות לכוף אותה]. ב' ועוד חידשו חכמי עכו דמהני מיאון ע"י כפייה. [ובזה הרשב"א לא חלק, ואילו כופין אותה עד שתאמר רוצה אני לכאורה נחשב מיאון]</w:t>
      </w:r>
      <w:r>
        <w:t>.</w:t>
      </w:r>
    </w:p>
    <w:p w14:paraId="14504C5B" w14:textId="77777777" w:rsidR="006C4368" w:rsidRDefault="006C4368" w:rsidP="006C4368">
      <w:pPr>
        <w:pStyle w:val="Footnote"/>
        <w:bidi/>
      </w:pPr>
      <w:r>
        <w:tab/>
      </w:r>
      <w:r>
        <w:rPr>
          <w:rtl/>
        </w:rPr>
        <w:t>אבל ב</w:t>
      </w:r>
      <w:r>
        <w:rPr>
          <w:b/>
          <w:bCs/>
          <w:rtl/>
        </w:rPr>
        <w:t>שו"ת רב פעלים</w:t>
      </w:r>
      <w:r>
        <w:rPr>
          <w:rtl/>
        </w:rPr>
        <w:t xml:space="preserve"> (ב אה”ע כט) כת' דהיכא דאנסוה למאן לא נחשב מעשה מיאון כלל [ול"צ מסירת מודעא]. דכמו שצריך דעת לקידושין צריך דעת למיאון. וכת' דאין לומר דתקנו מיאון בקטנה, אף דאין לה דעת [א”כ יהני אף כשאנסוה], דהא לא תקנו אא”כ יש לה דעת. [אך אפשר דמהני היכא דמחמת האונס אמרה רוצה אני במיאון]</w:t>
      </w:r>
      <w:r>
        <w:t>.</w:t>
      </w:r>
    </w:p>
  </w:footnote>
  <w:footnote w:id="7172">
    <w:p w14:paraId="678DF8C0" w14:textId="77777777" w:rsidR="006C4368" w:rsidRDefault="006C4368" w:rsidP="006C4368">
      <w:pPr>
        <w:pStyle w:val="Footnote"/>
        <w:bidi/>
      </w:pPr>
      <w:r>
        <w:rPr>
          <w:rStyle w:val="ac"/>
        </w:rPr>
        <w:footnoteRef/>
      </w:r>
      <w:r>
        <w:rPr>
          <w:rtl/>
        </w:rPr>
        <w:t>ולכאורה י"ל דדעת ר' יהושע משום דאסור לבטל מצוות יבמין. וצ"ב מהיכן למד רש"י דר' יהושע סבר דיש זיקה. [אך י"ל דנפק"מ בדיעבד, אי עבר ונשא הקטנה משגדלה. די"ל דמשום ביטול מצוות יבמין לא גזרו בדיעבד. ואכמ"ל]</w:t>
      </w:r>
      <w:r>
        <w:t>.</w:t>
      </w:r>
    </w:p>
  </w:footnote>
  <w:footnote w:id="7173">
    <w:p w14:paraId="4C8CD8B5" w14:textId="77777777" w:rsidR="006C4368" w:rsidRDefault="006C4368" w:rsidP="006C4368">
      <w:pPr>
        <w:pStyle w:val="Footnote"/>
        <w:bidi/>
      </w:pPr>
      <w:r>
        <w:rPr>
          <w:rStyle w:val="ac"/>
        </w:rPr>
        <w:footnoteRef/>
      </w:r>
      <w:r>
        <w:rPr>
          <w:rtl/>
        </w:rPr>
        <w:t>ו</w:t>
      </w:r>
      <w:r>
        <w:rPr>
          <w:b/>
          <w:bCs/>
          <w:rtl/>
        </w:rPr>
        <w:t>תוס'</w:t>
      </w:r>
      <w:r>
        <w:rPr>
          <w:rtl/>
        </w:rPr>
        <w:t xml:space="preserve"> (יח.) הק' דאין הלשון משמע כן</w:t>
      </w:r>
      <w:r>
        <w:t>.</w:t>
      </w:r>
    </w:p>
  </w:footnote>
  <w:footnote w:id="7174">
    <w:p w14:paraId="5262745D" w14:textId="77777777" w:rsidR="006C4368" w:rsidRDefault="006C4368" w:rsidP="006C4368">
      <w:pPr>
        <w:pStyle w:val="Footnote"/>
        <w:bidi/>
      </w:pPr>
      <w:r>
        <w:rPr>
          <w:rStyle w:val="ac"/>
        </w:rPr>
        <w:footnoteRef/>
      </w:r>
      <w:r>
        <w:rPr>
          <w:rtl/>
        </w:rPr>
        <w:t xml:space="preserve">וכן </w:t>
      </w:r>
      <w:r>
        <w:rPr>
          <w:b/>
          <w:bCs/>
          <w:rtl/>
        </w:rPr>
        <w:t>רש"י</w:t>
      </w:r>
      <w:r>
        <w:rPr>
          <w:rtl/>
        </w:rPr>
        <w:t xml:space="preserve"> (ד"ה מת) כת' דאסורת הקטנה עליו, ולכאורה משמע דקאי לכו"ע. אבל </w:t>
      </w:r>
      <w:r>
        <w:rPr>
          <w:b/>
          <w:bCs/>
          <w:rtl/>
        </w:rPr>
        <w:t>רש"י</w:t>
      </w:r>
      <w:r>
        <w:rPr>
          <w:rtl/>
        </w:rPr>
        <w:t xml:space="preserve"> (ד"ה ר”ג) כת' דתמתין 'אצלו', משמע דמותרת לו. [ויש לדחות דתהא אצלו ולא יגרשנה אלא בגדר המתנה]</w:t>
      </w:r>
      <w:r>
        <w:t>.</w:t>
      </w:r>
    </w:p>
  </w:footnote>
  <w:footnote w:id="7175">
    <w:p w14:paraId="2617011C" w14:textId="77777777" w:rsidR="006C4368" w:rsidRDefault="006C4368" w:rsidP="006C4368">
      <w:pPr>
        <w:pStyle w:val="Footnote"/>
        <w:bidi/>
      </w:pPr>
      <w:r>
        <w:rPr>
          <w:rStyle w:val="ac"/>
        </w:rPr>
        <w:footnoteRef/>
      </w:r>
      <w:r>
        <w:rPr>
          <w:rtl/>
        </w:rPr>
        <w:t>ויל"ד אי הטעם דאין לנו זכות ללמדה. אבל אם היא מעצמה רוצה למאן עדיף טפי. או דחכמים תקנו למעט במיאון, ואף במקום הפסד דאחרים</w:t>
      </w:r>
      <w:r>
        <w:t>.</w:t>
      </w:r>
    </w:p>
  </w:footnote>
  <w:footnote w:id="7176">
    <w:p w14:paraId="5B92432C" w14:textId="77777777" w:rsidR="006C4368" w:rsidRDefault="006C4368" w:rsidP="006C4368">
      <w:pPr>
        <w:pStyle w:val="Footnote"/>
        <w:bidi/>
      </w:pPr>
      <w:r>
        <w:rPr>
          <w:rStyle w:val="ac"/>
        </w:rPr>
        <w:footnoteRef/>
      </w:r>
      <w:r>
        <w:rPr>
          <w:rtl/>
        </w:rPr>
        <w:t>דס”ל דהנושא אחות יבמתו אסורה עליו [מדין אחות זקוקתו], ודלא כתוס' (לעיל יח:) דדוקא קידשה, אבל נשאה פוטרת את היבמה [וכדאי' (לעיל ח.) דנשא מת ומת ואח”כ נשא חי, וכ"מ כ"מ דנעשית ערוה לאחר נפילה. וע”ע מש”כ לעיל]</w:t>
      </w:r>
      <w:r>
        <w:t>.</w:t>
      </w:r>
    </w:p>
  </w:footnote>
  <w:footnote w:id="7177">
    <w:p w14:paraId="1527CB13" w14:textId="77777777" w:rsidR="006C4368" w:rsidRDefault="006C4368" w:rsidP="006C4368">
      <w:pPr>
        <w:pStyle w:val="Footnote"/>
        <w:bidi/>
      </w:pPr>
      <w:r>
        <w:rPr>
          <w:rStyle w:val="ac"/>
        </w:rPr>
        <w:footnoteRef/>
      </w:r>
      <w:r>
        <w:rPr>
          <w:rtl/>
        </w:rPr>
        <w:t>דמה הנאה יש כשנתרחק ממנה והלא אם אמרה בפני שנים בשוק אי אפשי בפלוני בעלי הרי זה מיאון</w:t>
      </w:r>
      <w:r>
        <w:t>.</w:t>
      </w:r>
    </w:p>
  </w:footnote>
  <w:footnote w:id="7178">
    <w:p w14:paraId="32A65472" w14:textId="77777777" w:rsidR="006C4368" w:rsidRDefault="006C4368" w:rsidP="006C4368">
      <w:pPr>
        <w:pStyle w:val="Footnote"/>
        <w:bidi/>
      </w:pPr>
      <w:r>
        <w:rPr>
          <w:rStyle w:val="ac"/>
        </w:rPr>
        <w:footnoteRef/>
      </w:r>
      <w:r>
        <w:rPr>
          <w:rtl/>
        </w:rPr>
        <w:t>ונח' ה</w:t>
      </w:r>
      <w:r>
        <w:rPr>
          <w:b/>
          <w:bCs/>
          <w:rtl/>
        </w:rPr>
        <w:t>ראשונים</w:t>
      </w:r>
      <w:r>
        <w:rPr>
          <w:rtl/>
        </w:rPr>
        <w:t xml:space="preserve"> במקום מצוות יבום דרבנן (ע”ע לקמן קיא:)</w:t>
      </w:r>
      <w:r>
        <w:t>.</w:t>
      </w:r>
    </w:p>
    <w:p w14:paraId="32026A43" w14:textId="77777777" w:rsidR="006C4368" w:rsidRDefault="006C4368" w:rsidP="006C4368">
      <w:pPr>
        <w:pStyle w:val="Footnote"/>
        <w:bidi/>
      </w:pPr>
      <w:r>
        <w:tab/>
      </w:r>
      <w:r>
        <w:rPr>
          <w:rtl/>
        </w:rPr>
        <w:t>ויל"ד א"כ אף בב' יתומות קטנות, אמאי תצא משום אחות אשה, הא אם נלמד את אשתו הקטנה למאן, עי"ז אחותה תייבם. ולכאורה פשוט דכיון דיש פטור ערוה ל"ש מלמדים, ודוקא בקטנה וחרשת, דזקוקה ליבום אלא דאסור מספק שייך מלמדים</w:t>
      </w:r>
      <w:r>
        <w:t>.</w:t>
      </w:r>
    </w:p>
  </w:footnote>
  <w:footnote w:id="7179">
    <w:p w14:paraId="21B365CE" w14:textId="77777777" w:rsidR="006C4368" w:rsidRDefault="006C4368" w:rsidP="006C4368">
      <w:pPr>
        <w:pStyle w:val="Footnote"/>
        <w:bidi/>
      </w:pPr>
      <w:r>
        <w:rPr>
          <w:rStyle w:val="ac"/>
        </w:rPr>
        <w:footnoteRef/>
      </w:r>
      <w:r>
        <w:rPr>
          <w:rtl/>
        </w:rPr>
        <w:t>וה</w:t>
      </w:r>
      <w:r>
        <w:rPr>
          <w:b/>
          <w:bCs/>
          <w:rtl/>
        </w:rPr>
        <w:t>ערול"נ</w:t>
      </w:r>
      <w:r>
        <w:rPr>
          <w:rtl/>
        </w:rPr>
        <w:t xml:space="preserve"> הק' דבסמוך אי' דבר קפרא [באידך בבא] ס"ל כאבא שאול, א"כ אף למה דדחינן מיאון דמצוה שאני לא אתיא בר קפרא כר"א</w:t>
      </w:r>
      <w:r>
        <w:t>.</w:t>
      </w:r>
    </w:p>
  </w:footnote>
  <w:footnote w:id="7180">
    <w:p w14:paraId="7A556507" w14:textId="77777777" w:rsidR="006C4368" w:rsidRDefault="006C4368" w:rsidP="006C4368">
      <w:pPr>
        <w:pStyle w:val="Footnote"/>
        <w:bidi/>
      </w:pPr>
      <w:r>
        <w:rPr>
          <w:rStyle w:val="ac"/>
        </w:rPr>
        <w:footnoteRef/>
      </w:r>
      <w:r>
        <w:rPr>
          <w:rtl/>
        </w:rPr>
        <w:t>ועוד הביא ה</w:t>
      </w:r>
      <w:r>
        <w:rPr>
          <w:b/>
          <w:bCs/>
          <w:rtl/>
        </w:rPr>
        <w:t>חזו"א</w:t>
      </w:r>
      <w:r>
        <w:rPr>
          <w:rtl/>
        </w:rPr>
        <w:t xml:space="preserve"> דשמואל (כתובות סד.) ס"ל כמשנה אחרונה דמצוות חליצה קודמת [ומש"ה אין כותבין אגרת מרד], ואפ"ה פסק כר"ג דמלמדים. ועוה"ק דהיכא דיש לו אשה אחרת לא אמרי' דמצוות יבום קודמת, וכמ"ש הריב"ש (שב), משום עצה טובה (כדלעיל מד.)</w:t>
      </w:r>
      <w:r>
        <w:t>.</w:t>
      </w:r>
    </w:p>
  </w:footnote>
  <w:footnote w:id="7181">
    <w:p w14:paraId="3911AB8A" w14:textId="77777777" w:rsidR="006C4368" w:rsidRDefault="006C4368" w:rsidP="006C4368">
      <w:pPr>
        <w:pStyle w:val="Footnote"/>
        <w:bidi/>
      </w:pPr>
      <w:r>
        <w:rPr>
          <w:rStyle w:val="ac"/>
        </w:rPr>
        <w:footnoteRef/>
      </w:r>
      <w:r>
        <w:rPr>
          <w:rtl/>
        </w:rPr>
        <w:t>ועוד הביאו דברייתא דבר קפרא ס"ל כאבא שאול, ואפ"ה הגמ' טורחת ליישב דאינו סותר לדברי ר"א</w:t>
      </w:r>
      <w:r>
        <w:t>.</w:t>
      </w:r>
    </w:p>
  </w:footnote>
  <w:footnote w:id="7182">
    <w:p w14:paraId="75EE997B" w14:textId="77777777" w:rsidR="006C4368" w:rsidRDefault="006C4368" w:rsidP="006C4368">
      <w:pPr>
        <w:pStyle w:val="Footnote"/>
        <w:bidi/>
      </w:pPr>
      <w:r>
        <w:rPr>
          <w:rStyle w:val="ac"/>
        </w:rPr>
        <w:footnoteRef/>
      </w:r>
      <w:r>
        <w:rPr>
          <w:rtl/>
        </w:rPr>
        <w:t>וכ"כ ה</w:t>
      </w:r>
      <w:r>
        <w:rPr>
          <w:b/>
          <w:bCs/>
          <w:rtl/>
        </w:rPr>
        <w:t>חזו"א</w:t>
      </w:r>
      <w:r>
        <w:rPr>
          <w:rtl/>
        </w:rPr>
        <w:t xml:space="preserve"> (קכט יג) דמצוות חליצה קודמת היינו כלפי ההנהגה בעולם, אבל עיקר המצווה ביבום. ולא מקרי אפשר לקיים שניהם בחליצה (וכדלעיל כא.), שמצוות היבום לא נתקיים בחליצה</w:t>
      </w:r>
      <w:r>
        <w:t>.</w:t>
      </w:r>
    </w:p>
  </w:footnote>
  <w:footnote w:id="7183">
    <w:p w14:paraId="5D830768" w14:textId="77777777" w:rsidR="006C4368" w:rsidRDefault="006C4368" w:rsidP="006C4368">
      <w:pPr>
        <w:pStyle w:val="Footnote"/>
        <w:bidi/>
      </w:pPr>
      <w:r>
        <w:rPr>
          <w:rStyle w:val="ac"/>
        </w:rPr>
        <w:footnoteRef/>
      </w:r>
      <w:r>
        <w:rPr>
          <w:rtl/>
        </w:rPr>
        <w:t>ויל"פ הטעם להתרחק מהמיאונים דאינו בדין שנלמד אותה להפסיד את בעלה. [וכ"מ מדברי שו"ת הרשב"א]. {ואף דבלאו הכי בסוגיין אסורה עליו אא"כ תמות הגדולה, מ"מ השתא היא מקודשת לו. ועוד דמפסדת כתובתה}</w:t>
      </w:r>
      <w:r>
        <w:t>.</w:t>
      </w:r>
    </w:p>
  </w:footnote>
  <w:footnote w:id="7184">
    <w:p w14:paraId="06C00736" w14:textId="77777777" w:rsidR="006C4368" w:rsidRDefault="006C4368" w:rsidP="006C4368">
      <w:pPr>
        <w:pStyle w:val="Footnote"/>
        <w:bidi/>
      </w:pPr>
      <w:r>
        <w:rPr>
          <w:rStyle w:val="ac"/>
        </w:rPr>
        <w:footnoteRef/>
      </w:r>
      <w:r>
        <w:rPr>
          <w:rtl/>
        </w:rPr>
        <w:t>וה</w:t>
      </w:r>
      <w:r>
        <w:rPr>
          <w:b/>
          <w:bCs/>
          <w:rtl/>
        </w:rPr>
        <w:t>ריטב"א</w:t>
      </w:r>
      <w:r>
        <w:rPr>
          <w:rtl/>
        </w:rPr>
        <w:t xml:space="preserve"> (קז:) כת' דכה"ג שהיא יוצאת לשוק יש לנו ללמד למאן כדי לקיים מצוות יבום</w:t>
      </w:r>
      <w:r>
        <w:t>.</w:t>
      </w:r>
    </w:p>
    <w:p w14:paraId="0FE161B6" w14:textId="77777777" w:rsidR="006C4368" w:rsidRDefault="006C4368" w:rsidP="006C4368">
      <w:pPr>
        <w:pStyle w:val="Footnote"/>
        <w:bidi/>
      </w:pPr>
      <w:r>
        <w:tab/>
      </w:r>
      <w:r>
        <w:rPr>
          <w:rtl/>
        </w:rPr>
        <w:t>ולפ"ז קו' הגמ' דוקא במקום דליכא אחים, אבל היכא דזקוקה לאח במדינת הים יהא אסור ללמדה שתאמן בזה ולייבם. [ויש שפי' דקו' הגמ' (יג. וקז:) איירי במקום אחים, וע' מה שהו' לעיל]</w:t>
      </w:r>
      <w:r>
        <w:t>.</w:t>
      </w:r>
    </w:p>
  </w:footnote>
  <w:footnote w:id="7185">
    <w:p w14:paraId="546E3458" w14:textId="77777777" w:rsidR="006C4368" w:rsidRDefault="006C4368" w:rsidP="006C4368">
      <w:pPr>
        <w:pStyle w:val="Footnote"/>
        <w:bidi/>
      </w:pPr>
      <w:r>
        <w:rPr>
          <w:rStyle w:val="ac"/>
        </w:rPr>
        <w:footnoteRef/>
      </w:r>
      <w:r>
        <w:rPr>
          <w:rtl/>
        </w:rPr>
        <w:t>לשון התוס' עד שיביאו ראיה שהיא בוגרת. וה</w:t>
      </w:r>
      <w:r>
        <w:rPr>
          <w:b/>
          <w:bCs/>
          <w:rtl/>
        </w:rPr>
        <w:t>מהרש”ל</w:t>
      </w:r>
      <w:r>
        <w:rPr>
          <w:rtl/>
        </w:rPr>
        <w:t xml:space="preserve"> כת' דלאו דוקא בוגרת אלא גדולה. דאף נערה שנתקדשה ל"מ מיאון. [וכ"ה בפסקי תוס' ובהג' מיימוניות]. וע"ע ערול"נ</w:t>
      </w:r>
      <w:r>
        <w:t>.</w:t>
      </w:r>
    </w:p>
    <w:p w14:paraId="22DAFAC6" w14:textId="77777777" w:rsidR="006C4368" w:rsidRDefault="006C4368" w:rsidP="006C4368">
      <w:pPr>
        <w:pStyle w:val="Footnote"/>
        <w:bidi/>
      </w:pPr>
      <w:r>
        <w:tab/>
      </w:r>
      <w:r>
        <w:rPr>
          <w:rtl/>
        </w:rPr>
        <w:t>ו</w:t>
      </w:r>
      <w:r>
        <w:rPr>
          <w:b/>
          <w:bCs/>
          <w:rtl/>
        </w:rPr>
        <w:t>ר"ח</w:t>
      </w:r>
      <w:r>
        <w:rPr>
          <w:rtl/>
        </w:rPr>
        <w:t xml:space="preserve"> כת' עד שיביאו ראיה. משמע דלא סגי דהוחזקה כגדולה. ויל"ד דבספק גדולה אף אי תמאן לא תהא מותרת לשוק מספק. ולכאורה משמע דאפ"ה יש צד דחל המיאון. א"נ חששו שמא תביא ראיה שלא הביאה שערות. [ואפשר דכוונת ר"ח שיביאו ראיה שהיא בוגרת, דסימני בגרות ניכרין יותר. ואילו שערות דנערות צריך בדיקה טפי]</w:t>
      </w:r>
      <w:r>
        <w:t>.</w:t>
      </w:r>
    </w:p>
  </w:footnote>
  <w:footnote w:id="7186">
    <w:p w14:paraId="45D3397F" w14:textId="77777777" w:rsidR="006C4368" w:rsidRDefault="006C4368" w:rsidP="006C4368">
      <w:pPr>
        <w:pStyle w:val="Footnote"/>
        <w:bidi/>
      </w:pPr>
      <w:r>
        <w:rPr>
          <w:rStyle w:val="ac"/>
        </w:rPr>
        <w:footnoteRef/>
      </w:r>
      <w:r>
        <w:rPr>
          <w:rtl/>
        </w:rPr>
        <w:t>ואדרבה בקטנה שיש לה אב אמרו (קידושין מא.) אסור לקדש את בתו כשהיא קטנה עד שתגדל ותאמר בפלוני אני רוצה</w:t>
      </w:r>
      <w:r>
        <w:t>.</w:t>
      </w:r>
    </w:p>
  </w:footnote>
  <w:footnote w:id="7187">
    <w:p w14:paraId="5351A67C" w14:textId="77777777" w:rsidR="006C4368" w:rsidRDefault="006C4368" w:rsidP="006C4368">
      <w:pPr>
        <w:pStyle w:val="Footnote"/>
        <w:bidi/>
      </w:pPr>
      <w:r>
        <w:rPr>
          <w:rStyle w:val="ac"/>
        </w:rPr>
        <w:footnoteRef/>
      </w:r>
      <w:r>
        <w:rPr>
          <w:rtl/>
        </w:rPr>
        <w:t>שאינו נראה בעיני כדברי הגאון, שאין לו לדיין אלא מה שעיניו רואות</w:t>
      </w:r>
      <w:r>
        <w:t>.</w:t>
      </w:r>
    </w:p>
  </w:footnote>
  <w:footnote w:id="7188">
    <w:p w14:paraId="7E6CCBB8" w14:textId="77777777" w:rsidR="006C4368" w:rsidRDefault="006C4368" w:rsidP="006C4368">
      <w:pPr>
        <w:pStyle w:val="Footnote"/>
        <w:bidi/>
      </w:pPr>
      <w:r>
        <w:rPr>
          <w:rStyle w:val="ac"/>
        </w:rPr>
        <w:footnoteRef/>
      </w:r>
      <w:r>
        <w:rPr>
          <w:rtl/>
        </w:rPr>
        <w:t>כגון במעשה דידיה דהיה לה ממון הרבה, ושמא קרוביה ישיאו אותה למאן</w:t>
      </w:r>
      <w:r>
        <w:t>.</w:t>
      </w:r>
    </w:p>
  </w:footnote>
  <w:footnote w:id="7189">
    <w:p w14:paraId="2ED04888" w14:textId="77777777" w:rsidR="006C4368" w:rsidRDefault="006C4368" w:rsidP="006C4368">
      <w:pPr>
        <w:pStyle w:val="Footnote"/>
        <w:bidi/>
      </w:pPr>
      <w:r>
        <w:rPr>
          <w:rStyle w:val="ac"/>
        </w:rPr>
        <w:footnoteRef/>
      </w:r>
      <w:r>
        <w:rPr>
          <w:rtl/>
        </w:rPr>
        <w:t>אלא צריכה גט [אבל לא תקנו שלא לקדש יתומה קטנה]</w:t>
      </w:r>
      <w:r>
        <w:t>.</w:t>
      </w:r>
    </w:p>
  </w:footnote>
  <w:footnote w:id="7190">
    <w:p w14:paraId="077B5876" w14:textId="77777777" w:rsidR="006C4368" w:rsidRDefault="006C4368" w:rsidP="006C4368">
      <w:pPr>
        <w:pStyle w:val="Footnote"/>
        <w:bidi/>
      </w:pPr>
      <w:r>
        <w:rPr>
          <w:rStyle w:val="ac"/>
        </w:rPr>
        <w:footnoteRef/>
      </w:r>
      <w:r>
        <w:rPr>
          <w:rtl/>
        </w:rPr>
        <w:t>אבל בשאר ארצות לא נתקבל תקנה זו כלל</w:t>
      </w:r>
      <w:r>
        <w:t>.</w:t>
      </w:r>
    </w:p>
  </w:footnote>
  <w:footnote w:id="7191">
    <w:p w14:paraId="21FD4C2F" w14:textId="77777777" w:rsidR="006C4368" w:rsidRDefault="006C4368" w:rsidP="006C4368">
      <w:pPr>
        <w:pStyle w:val="Footnote"/>
        <w:bidi/>
      </w:pPr>
      <w:r>
        <w:rPr>
          <w:rStyle w:val="ac"/>
        </w:rPr>
        <w:footnoteRef/>
      </w:r>
      <w:r>
        <w:rPr>
          <w:rtl/>
        </w:rPr>
        <w:t>וב</w:t>
      </w:r>
      <w:r>
        <w:rPr>
          <w:b/>
          <w:bCs/>
          <w:rtl/>
        </w:rPr>
        <w:t>שער אפרים</w:t>
      </w:r>
      <w:r>
        <w:rPr>
          <w:rtl/>
        </w:rPr>
        <w:t xml:space="preserve"> (קיב) כת' שאנחנו בני האשכנזים גרירן אחר הכרעת בעל המפה בהכרעותיו</w:t>
      </w:r>
      <w:r>
        <w:t>.</w:t>
      </w:r>
    </w:p>
  </w:footnote>
  <w:footnote w:id="7192">
    <w:p w14:paraId="0D606C16" w14:textId="77777777" w:rsidR="006C4368" w:rsidRDefault="006C4368" w:rsidP="006C4368">
      <w:pPr>
        <w:pStyle w:val="Footnote"/>
        <w:bidi/>
      </w:pPr>
      <w:r>
        <w:rPr>
          <w:rStyle w:val="ac"/>
        </w:rPr>
        <w:footnoteRef/>
      </w:r>
      <w:r>
        <w:rPr>
          <w:rtl/>
        </w:rPr>
        <w:t>וה</w:t>
      </w:r>
      <w:r>
        <w:rPr>
          <w:b/>
          <w:bCs/>
          <w:rtl/>
        </w:rPr>
        <w:t>מרכה"מ</w:t>
      </w:r>
      <w:r>
        <w:rPr>
          <w:rtl/>
        </w:rPr>
        <w:t xml:space="preserve"> תי' עוד דהגמ' נקטה דקאי כאבא שאול לרווחא דמילתא. ולדידיה יתקרב ויסית שיחלתו. אבל לעולם הברייתא קאי אף לרבנן, ובמקום שחולצת יש להתקרב להיות דיין בדבר. שלא יתעכב החליצה</w:t>
      </w:r>
      <w:r>
        <w:t>.</w:t>
      </w:r>
    </w:p>
  </w:footnote>
  <w:footnote w:id="7193">
    <w:p w14:paraId="471F46A2" w14:textId="77777777" w:rsidR="006C4368" w:rsidRDefault="006C4368" w:rsidP="006C4368">
      <w:pPr>
        <w:pStyle w:val="Footnote"/>
        <w:bidi/>
      </w:pPr>
      <w:r>
        <w:rPr>
          <w:rStyle w:val="ac"/>
        </w:rPr>
        <w:footnoteRef/>
      </w:r>
      <w:r>
        <w:rPr>
          <w:rtl/>
        </w:rPr>
        <w:t>והוסיף דהנודר מתפיס בקרבן, וכיון שאין קרבנו רצוי נמצא כבונה במה ומקריב בחוץ</w:t>
      </w:r>
      <w:r>
        <w:t>.</w:t>
      </w:r>
    </w:p>
  </w:footnote>
  <w:footnote w:id="7194">
    <w:p w14:paraId="15E58900" w14:textId="77777777" w:rsidR="006C4368" w:rsidRDefault="006C4368" w:rsidP="006C4368">
      <w:pPr>
        <w:pStyle w:val="Footnote"/>
        <w:bidi/>
      </w:pPr>
      <w:r>
        <w:rPr>
          <w:rStyle w:val="ac"/>
        </w:rPr>
        <w:footnoteRef/>
      </w:r>
      <w:r>
        <w:rPr>
          <w:rtl/>
        </w:rPr>
        <w:t xml:space="preserve">ועד"ז כת' </w:t>
      </w:r>
      <w:r>
        <w:rPr>
          <w:b/>
          <w:bCs/>
          <w:rtl/>
        </w:rPr>
        <w:t>רש"י</w:t>
      </w:r>
      <w:r>
        <w:rPr>
          <w:rtl/>
        </w:rPr>
        <w:t xml:space="preserve"> (גיטין מו:) כאילו הקריב קרבן על הבמה וגמר עונו שלם, לפי שע"י כן הוא מרגיל עצמו בנדרים</w:t>
      </w:r>
      <w:r>
        <w:t>.</w:t>
      </w:r>
    </w:p>
  </w:footnote>
  <w:footnote w:id="7195">
    <w:p w14:paraId="21C577CE" w14:textId="77777777" w:rsidR="006C4368" w:rsidRDefault="006C4368" w:rsidP="006C4368">
      <w:pPr>
        <w:pStyle w:val="Footnote"/>
        <w:bidi/>
      </w:pPr>
      <w:r>
        <w:rPr>
          <w:rStyle w:val="ac"/>
        </w:rPr>
        <w:footnoteRef/>
      </w:r>
      <w:r>
        <w:rPr>
          <w:rtl/>
        </w:rPr>
        <w:t>ועי"ז תאסור חרשת על בעלה שכנסה בהיתר</w:t>
      </w:r>
      <w:r>
        <w:t>.</w:t>
      </w:r>
    </w:p>
  </w:footnote>
  <w:footnote w:id="7196">
    <w:p w14:paraId="2F91D328" w14:textId="77777777" w:rsidR="006C4368" w:rsidRDefault="006C4368" w:rsidP="006C4368">
      <w:pPr>
        <w:pStyle w:val="Footnote"/>
        <w:bidi/>
      </w:pPr>
      <w:r>
        <w:rPr>
          <w:rStyle w:val="ac"/>
        </w:rPr>
        <w:footnoteRef/>
      </w:r>
      <w:r>
        <w:rPr>
          <w:rtl/>
        </w:rPr>
        <w:t>וצ"ב אי אין זיקה, א"כ לכשתגדל רשאי לישא את הקטנה והגדולה תצא, וכדברי ר"ג. ואפשר דס"ל דאסור לבטל מצוות יבמין [וכדאי' לעיל יח.]. ועי"ל דאף דיש היתר לגדולה, מ"מ מהדרינן אחר מצוות יבום</w:t>
      </w:r>
      <w:r>
        <w:t>.</w:t>
      </w:r>
    </w:p>
  </w:footnote>
  <w:footnote w:id="7197">
    <w:p w14:paraId="085E7DA7" w14:textId="77777777" w:rsidR="006C4368" w:rsidRDefault="006C4368" w:rsidP="006C4368">
      <w:pPr>
        <w:pStyle w:val="Footnote"/>
        <w:bidi/>
      </w:pPr>
      <w:r>
        <w:rPr>
          <w:rStyle w:val="ac"/>
        </w:rPr>
        <w:footnoteRef/>
      </w:r>
      <w:r>
        <w:rPr>
          <w:rtl/>
        </w:rPr>
        <w:t>ובגמ' (שבת צ. ונדה סב.) מבואר דיש מין [עשב שמנקים בו] הנקרא כן. ונקרא קמוניא בלשון המשנה</w:t>
      </w:r>
      <w:r>
        <w:t>.</w:t>
      </w:r>
    </w:p>
  </w:footnote>
  <w:footnote w:id="7198">
    <w:p w14:paraId="2C071429" w14:textId="77777777" w:rsidR="006C4368" w:rsidRDefault="006C4368" w:rsidP="006C4368">
      <w:pPr>
        <w:pStyle w:val="Footnote"/>
        <w:bidi/>
      </w:pPr>
      <w:r>
        <w:rPr>
          <w:rStyle w:val="ac"/>
        </w:rPr>
        <w:footnoteRef/>
      </w:r>
      <w:r>
        <w:rPr>
          <w:rtl/>
        </w:rPr>
        <w:t>ע”פ הפסוק (משלי יז יח) אדם חסר לב תוקע כף ערב ערבה לפני רעהו</w:t>
      </w:r>
      <w:r>
        <w:t>.</w:t>
      </w:r>
    </w:p>
  </w:footnote>
  <w:footnote w:id="7199">
    <w:p w14:paraId="269D2DFB" w14:textId="77777777" w:rsidR="006C4368" w:rsidRDefault="006C4368" w:rsidP="006C4368">
      <w:pPr>
        <w:pStyle w:val="Footnote"/>
        <w:bidi/>
      </w:pPr>
      <w:r>
        <w:rPr>
          <w:rStyle w:val="ac"/>
        </w:rPr>
        <w:footnoteRef/>
      </w:r>
      <w:r>
        <w:rPr>
          <w:rtl/>
        </w:rPr>
        <w:t>ו</w:t>
      </w:r>
      <w:r>
        <w:rPr>
          <w:b/>
          <w:bCs/>
          <w:rtl/>
        </w:rPr>
        <w:t>רש"י</w:t>
      </w:r>
      <w:r>
        <w:rPr>
          <w:rtl/>
        </w:rPr>
        <w:t xml:space="preserve"> (סנהדרין ז:) פי' ת"ח, וס' לאו דוקא</w:t>
      </w:r>
      <w:r>
        <w:t>.</w:t>
      </w:r>
    </w:p>
  </w:footnote>
  <w:footnote w:id="7200">
    <w:p w14:paraId="76F9BBCA" w14:textId="77777777" w:rsidR="006C4368" w:rsidRDefault="006C4368" w:rsidP="006C4368">
      <w:pPr>
        <w:pStyle w:val="Footnote"/>
        <w:bidi/>
      </w:pPr>
      <w:r>
        <w:rPr>
          <w:rStyle w:val="ac"/>
        </w:rPr>
        <w:footnoteRef/>
      </w:r>
      <w:r>
        <w:rPr>
          <w:rtl/>
        </w:rPr>
        <w:t>והביאו דב</w:t>
      </w:r>
      <w:r>
        <w:rPr>
          <w:b/>
          <w:bCs/>
          <w:rtl/>
        </w:rPr>
        <w:t>זוהר</w:t>
      </w:r>
      <w:r>
        <w:rPr>
          <w:rtl/>
        </w:rPr>
        <w:t xml:space="preserve"> (וארא כב.) איתא די' בגווייהו טמירין ואינון ע' דסחרן ארעא קדישא</w:t>
      </w:r>
      <w:r>
        <w:t>.</w:t>
      </w:r>
    </w:p>
  </w:footnote>
  <w:footnote w:id="7201">
    <w:p w14:paraId="65A62AC4" w14:textId="77777777" w:rsidR="006C4368" w:rsidRDefault="006C4368" w:rsidP="006C4368">
      <w:pPr>
        <w:pStyle w:val="Footnote"/>
        <w:bidi/>
      </w:pPr>
      <w:r>
        <w:rPr>
          <w:rStyle w:val="ac"/>
        </w:rPr>
        <w:footnoteRef/>
      </w:r>
      <w:r>
        <w:rPr>
          <w:rtl/>
        </w:rPr>
        <w:t>ועוד צריך לדון מה סברת המ"ד דדוקא בעל, האם ס"ל דל"מ קידושין מכאן ולהבא. או דוקא באופן שהמעות בעין. או דבסתמא אמרי' דלא נתכוון לקידושין לכשתגדל. [וע"ע בסמוך]</w:t>
      </w:r>
      <w:r>
        <w:t>.</w:t>
      </w:r>
    </w:p>
  </w:footnote>
  <w:footnote w:id="7202">
    <w:p w14:paraId="32C3A11B" w14:textId="77777777" w:rsidR="006C4368" w:rsidRDefault="006C4368" w:rsidP="006C4368">
      <w:pPr>
        <w:pStyle w:val="Footnote"/>
        <w:bidi/>
      </w:pPr>
      <w:r>
        <w:rPr>
          <w:rStyle w:val="ac"/>
        </w:rPr>
        <w:footnoteRef/>
      </w:r>
      <w:r>
        <w:rPr>
          <w:rtl/>
        </w:rPr>
        <w:t>וה</w:t>
      </w:r>
      <w:r>
        <w:rPr>
          <w:b/>
          <w:bCs/>
          <w:rtl/>
        </w:rPr>
        <w:t>מהרי"ק</w:t>
      </w:r>
      <w:r>
        <w:rPr>
          <w:rtl/>
        </w:rPr>
        <w:t xml:space="preserve"> (לב) הוכיח דמהני מדאורייתא, דאל"כ האיך קידושין דרבנן יפקיע זיקה דאורייתא. ועוד דיש צד (ריש קי.) דרב איירי בלא בעל, ולא תפסי קידושי שני. [וכ"כ הרשב"א ושא"ר]. אבל ה</w:t>
      </w:r>
      <w:r>
        <w:rPr>
          <w:b/>
          <w:bCs/>
          <w:rtl/>
        </w:rPr>
        <w:t>ב"ח</w:t>
      </w:r>
      <w:r>
        <w:rPr>
          <w:rtl/>
        </w:rPr>
        <w:t xml:space="preserve"> (קנה, הו' בבי"ש שם לב) כת' [ע"פ דברי הרי"ף] דהנידון בסוגיין מדרבנן</w:t>
      </w:r>
      <w:r>
        <w:t>.</w:t>
      </w:r>
    </w:p>
  </w:footnote>
  <w:footnote w:id="7203">
    <w:p w14:paraId="160864F9" w14:textId="77777777" w:rsidR="006C4368" w:rsidRDefault="006C4368" w:rsidP="006C4368">
      <w:pPr>
        <w:pStyle w:val="Footnote"/>
        <w:bidi/>
      </w:pPr>
      <w:r>
        <w:rPr>
          <w:rStyle w:val="ac"/>
        </w:rPr>
        <w:footnoteRef/>
      </w:r>
      <w:r>
        <w:rPr>
          <w:rtl/>
        </w:rPr>
        <w:t>וה</w:t>
      </w:r>
      <w:r>
        <w:rPr>
          <w:b/>
          <w:bCs/>
          <w:rtl/>
        </w:rPr>
        <w:t>ראשונים</w:t>
      </w:r>
      <w:r>
        <w:rPr>
          <w:rtl/>
        </w:rPr>
        <w:t xml:space="preserve"> הביאו דמבואר בסוגיין דמהני מדאורייתא, וצריך לפרש דחכמים קבעו שיהא אומדנא. ועי"ז נחשב כאילו אמר להדיא</w:t>
      </w:r>
      <w:r>
        <w:t>.</w:t>
      </w:r>
    </w:p>
  </w:footnote>
  <w:footnote w:id="7204">
    <w:p w14:paraId="5B1667F7" w14:textId="77777777" w:rsidR="006C4368" w:rsidRDefault="006C4368" w:rsidP="006C4368">
      <w:pPr>
        <w:pStyle w:val="Footnote"/>
        <w:bidi/>
      </w:pPr>
      <w:r>
        <w:rPr>
          <w:rStyle w:val="ac"/>
        </w:rPr>
        <w:footnoteRef/>
      </w:r>
      <w:r>
        <w:rPr>
          <w:rtl/>
        </w:rPr>
        <w:t>ואף דבכל קונה דבר שלא בא לעולם [אף לר' מאיר] מהני דוקא היכא דאומר 'לכשיבא', אבל אי נתכוון לקנות מעכשיו ודאי ל"מ. [וה</w:t>
      </w:r>
      <w:r>
        <w:rPr>
          <w:b/>
          <w:bCs/>
          <w:rtl/>
        </w:rPr>
        <w:t>ראשונים</w:t>
      </w:r>
      <w:r>
        <w:rPr>
          <w:rtl/>
        </w:rPr>
        <w:t xml:space="preserve"> תי' דהכא גדר התקנה דעשאום כאילו אמר]</w:t>
      </w:r>
      <w:r>
        <w:t>.</w:t>
      </w:r>
    </w:p>
    <w:p w14:paraId="059F61D3" w14:textId="77777777" w:rsidR="006C4368" w:rsidRDefault="006C4368" w:rsidP="006C4368">
      <w:pPr>
        <w:pStyle w:val="Footnote"/>
        <w:bidi/>
      </w:pPr>
      <w:r>
        <w:tab/>
      </w:r>
      <w:r>
        <w:rPr>
          <w:rtl/>
        </w:rPr>
        <w:t>ולא נתפרש להדיא בדברי הראשונים מ"ט דמ"ד דל"מ [לצד דר"ג ס"ל דמקדש אחות יבמתו, וכן שאר תנאים]. ובפשוטו פליגי באומדנא, דלא אמרי' דנעשה כאומר. והוא נתן ע”ד להתקדש לאלתר [ונפק”מ דהיכא דאמר להדיא יהני, וע”ע בסמוך]. ועוד י"ל דס"ל דלא מהני נתינת מעות בקטנות, ולא תקנו שעבוד המעות בכה"ג [אך היכא דהמעות בעין יהני]. או דפליגי דל"מ הדיבור בעודם קטנים [וע”ע בסמוך, וע"ע נוב"י (ת נב)]</w:t>
      </w:r>
      <w:r>
        <w:t>.</w:t>
      </w:r>
    </w:p>
  </w:footnote>
  <w:footnote w:id="7205">
    <w:p w14:paraId="4E788F21" w14:textId="77777777" w:rsidR="006C4368" w:rsidRDefault="006C4368" w:rsidP="006C4368">
      <w:pPr>
        <w:pStyle w:val="Footnote"/>
        <w:bidi/>
      </w:pPr>
      <w:r>
        <w:rPr>
          <w:rStyle w:val="ac"/>
        </w:rPr>
        <w:footnoteRef/>
      </w:r>
      <w:r>
        <w:rPr>
          <w:rtl/>
        </w:rPr>
        <w:t>ולכאורה כ"ז דוקא אילו נתן המעות לקטנה, אבל היכא דאמה ואחיה קבלו את המעות, האיך יהני להחשב קידושין דקטנה. [ומסתימת הרשב"א משמע דכל קידושי קטנה הוה ע"י מעות לעצמה. ויש לדחות דאיירי שנתנו לה אח"כ את המעות בעין, והיא הוציאם. א"נ אפשר דכיון דקבלו בתורת אפוטרופוס דקטנה, ותקנו דאף כה"ג יחשב שעבוד המעות קיים]</w:t>
      </w:r>
      <w:r>
        <w:t>.</w:t>
      </w:r>
    </w:p>
  </w:footnote>
  <w:footnote w:id="7206">
    <w:p w14:paraId="0217B6AA" w14:textId="77777777" w:rsidR="006C4368" w:rsidRDefault="006C4368" w:rsidP="006C4368">
      <w:pPr>
        <w:pStyle w:val="Footnote"/>
        <w:bidi/>
      </w:pPr>
      <w:r>
        <w:rPr>
          <w:rStyle w:val="ac"/>
        </w:rPr>
        <w:footnoteRef/>
      </w:r>
      <w:r>
        <w:rPr>
          <w:rtl/>
        </w:rPr>
        <w:t>אבל אי קידש בשטר [ונקרע השטר] או בביאה לא אמרי' גדלי בהדה</w:t>
      </w:r>
      <w:r>
        <w:t>.</w:t>
      </w:r>
    </w:p>
  </w:footnote>
  <w:footnote w:id="7207">
    <w:p w14:paraId="62C74AC8" w14:textId="77777777" w:rsidR="006C4368" w:rsidRDefault="006C4368" w:rsidP="006C4368">
      <w:pPr>
        <w:pStyle w:val="Footnote"/>
        <w:bidi/>
      </w:pPr>
      <w:r>
        <w:rPr>
          <w:rStyle w:val="ac"/>
        </w:rPr>
        <w:footnoteRef/>
      </w:r>
      <w:r>
        <w:rPr>
          <w:rtl/>
        </w:rPr>
        <w:t>ואילו חזרה בה ואינה רוצה להתקדש כשתגדיל, ותהא צריכה להחזיר כל כסף הקידושין. נמצא דליכא כסף לקידושין הדרבנן. [ויש שפי' דכ"ז בכלל התקנה, וקידושי מיאון אי"צ קנין כסף, אלא להעמיד כסף שתתקדש בהם כשתגדיל. ועי"ז תקנו שתתקדש בלא כסף]</w:t>
      </w:r>
      <w:r>
        <w:t>.</w:t>
      </w:r>
    </w:p>
    <w:p w14:paraId="128CCF40" w14:textId="77777777" w:rsidR="006C4368" w:rsidRDefault="006C4368" w:rsidP="006C4368">
      <w:pPr>
        <w:pStyle w:val="Footnote"/>
        <w:bidi/>
      </w:pPr>
      <w:r>
        <w:tab/>
      </w:r>
      <w:r>
        <w:rPr>
          <w:rtl/>
        </w:rPr>
        <w:t>ועוד יש שפי' דאף בעלמא כסף הקידושין מחייב שעבוד המעות לכל משך זמני האישות. ולו יצוייר שיפקע האישות [אף מכאן ולהבא] צריכה להחזיר את כל שעבוד המעות. וכ"ז בכלל גדר שעבוד המעות. [וצ"ע]</w:t>
      </w:r>
      <w:r>
        <w:t>.</w:t>
      </w:r>
    </w:p>
  </w:footnote>
  <w:footnote w:id="7208">
    <w:p w14:paraId="3EF786A5" w14:textId="77777777" w:rsidR="006C4368" w:rsidRDefault="006C4368" w:rsidP="006C4368">
      <w:pPr>
        <w:pStyle w:val="Footnote"/>
        <w:bidi/>
      </w:pPr>
      <w:r>
        <w:rPr>
          <w:rStyle w:val="ac"/>
        </w:rPr>
        <w:footnoteRef/>
      </w:r>
      <w:r>
        <w:rPr>
          <w:rtl/>
        </w:rPr>
        <w:t>והביא דדרשי' (שבועות מב., ב”ק קו:) כי יתן איש אל רעהו. [ונתמעט דל"ש ע"ז תביעת ממון. אך בפשוטו נתמעט רק לענין חיוב שבועה]. ונח' ה</w:t>
      </w:r>
      <w:r>
        <w:rPr>
          <w:b/>
          <w:bCs/>
          <w:rtl/>
        </w:rPr>
        <w:t>ראשונים</w:t>
      </w:r>
      <w:r>
        <w:rPr>
          <w:rtl/>
        </w:rPr>
        <w:t xml:space="preserve"> [ע' רא"ש (כתובות יג ז) ורמב”ן (כתובות ק:)] אי קטן שלווה ואכל צריך להחזיר</w:t>
      </w:r>
      <w:r>
        <w:t>.</w:t>
      </w:r>
    </w:p>
  </w:footnote>
  <w:footnote w:id="7209">
    <w:p w14:paraId="38F52ADA" w14:textId="77777777" w:rsidR="006C4368" w:rsidRDefault="006C4368" w:rsidP="006C4368">
      <w:pPr>
        <w:pStyle w:val="Footnote"/>
        <w:bidi/>
      </w:pPr>
      <w:r>
        <w:rPr>
          <w:rStyle w:val="ac"/>
        </w:rPr>
        <w:footnoteRef/>
      </w:r>
      <w:r>
        <w:rPr>
          <w:rtl/>
        </w:rPr>
        <w:t>דדוקא בגדולה אמרי' דצריכה להחזיר כסף הקידושין אם לא תתקדש, הילכך הו"ל כאילו האי כסף בעין</w:t>
      </w:r>
      <w:r>
        <w:t>.</w:t>
      </w:r>
    </w:p>
  </w:footnote>
  <w:footnote w:id="7210">
    <w:p w14:paraId="3079CEE7" w14:textId="77777777" w:rsidR="006C4368" w:rsidRDefault="006C4368" w:rsidP="006C4368">
      <w:pPr>
        <w:pStyle w:val="Footnote"/>
        <w:bidi/>
      </w:pPr>
      <w:r>
        <w:rPr>
          <w:rStyle w:val="ac"/>
        </w:rPr>
        <w:footnoteRef/>
      </w:r>
      <w:r>
        <w:rPr>
          <w:rtl/>
        </w:rPr>
        <w:t>וה</w:t>
      </w:r>
      <w:r>
        <w:rPr>
          <w:b/>
          <w:bCs/>
          <w:rtl/>
        </w:rPr>
        <w:t>ריטב"א</w:t>
      </w:r>
      <w:r>
        <w:rPr>
          <w:rtl/>
        </w:rPr>
        <w:t xml:space="preserve"> הוסיף כל שלא חזרה בה בקטנותה. [דאי מיאנה בקטנות, עי"ז פקע שעבוד הכסף]</w:t>
      </w:r>
      <w:r>
        <w:t>.</w:t>
      </w:r>
    </w:p>
  </w:footnote>
  <w:footnote w:id="7211">
    <w:p w14:paraId="4C03485D" w14:textId="77777777" w:rsidR="006C4368" w:rsidRDefault="006C4368" w:rsidP="006C4368">
      <w:pPr>
        <w:pStyle w:val="Footnote"/>
        <w:bidi/>
      </w:pPr>
      <w:r>
        <w:rPr>
          <w:rStyle w:val="ac"/>
        </w:rPr>
        <w:footnoteRef/>
      </w:r>
      <w:r>
        <w:rPr>
          <w:rtl/>
        </w:rPr>
        <w:t>והביא דמבואר מדברי ה</w:t>
      </w:r>
      <w:r>
        <w:rPr>
          <w:b/>
          <w:bCs/>
          <w:rtl/>
        </w:rPr>
        <w:t>רי"ף</w:t>
      </w:r>
      <w:r>
        <w:rPr>
          <w:rtl/>
        </w:rPr>
        <w:t xml:space="preserve"> (ע' בסוף העמ') דהוה ספק, א"כ הדעת מכרעת להחמיר כדין ספק דאורייתא</w:t>
      </w:r>
      <w:r>
        <w:t>.</w:t>
      </w:r>
    </w:p>
  </w:footnote>
  <w:footnote w:id="7212">
    <w:p w14:paraId="34FBE676" w14:textId="77777777" w:rsidR="006C4368" w:rsidRDefault="006C4368" w:rsidP="006C4368">
      <w:pPr>
        <w:pStyle w:val="Footnote"/>
        <w:bidi/>
      </w:pPr>
      <w:r>
        <w:rPr>
          <w:rStyle w:val="ac"/>
        </w:rPr>
        <w:footnoteRef/>
      </w:r>
      <w:r>
        <w:rPr>
          <w:rtl/>
        </w:rPr>
        <w:t>וה</w:t>
      </w:r>
      <w:r>
        <w:rPr>
          <w:b/>
          <w:bCs/>
          <w:rtl/>
        </w:rPr>
        <w:t>אבנ"מ</w:t>
      </w:r>
      <w:r>
        <w:rPr>
          <w:rtl/>
        </w:rPr>
        <w:t xml:space="preserve"> (לז טז) ציין דבראשונים (הנ"ל) מבואר דדוקא משום קידושין דרבנן. אך כת' דתלי במח' (ברא"ש כתובות יג ז הנ"ל) בקטן שלווה האם משועבד להחזיר מדאורייתא. ולדעת הרא"ש הקטן משועבד, א"כ אף בלא תקנ"ח מהני קידושין בעודו קטן</w:t>
      </w:r>
      <w:r>
        <w:t>.</w:t>
      </w:r>
    </w:p>
    <w:p w14:paraId="3EC50C11" w14:textId="77777777" w:rsidR="006C4368" w:rsidRDefault="006C4368" w:rsidP="006C4368">
      <w:pPr>
        <w:pStyle w:val="Footnote"/>
        <w:bidi/>
      </w:pPr>
      <w:r>
        <w:tab/>
        <w:t>[</w:t>
      </w:r>
      <w:r>
        <w:rPr>
          <w:rtl/>
        </w:rPr>
        <w:t>ואילו הראשונים נקטו דפטור, ומש"ה הוצרכו לתקנ"ח. אך מש"כ הראשונים דעשאום כמתנה י"ל דהוה אף בלא תקנ"ח</w:t>
      </w:r>
      <w:r>
        <w:t>].</w:t>
      </w:r>
    </w:p>
  </w:footnote>
  <w:footnote w:id="7213">
    <w:p w14:paraId="286CC1CB" w14:textId="77777777" w:rsidR="006C4368" w:rsidRDefault="006C4368" w:rsidP="006C4368">
      <w:pPr>
        <w:pStyle w:val="Footnote"/>
        <w:bidi/>
      </w:pPr>
      <w:r>
        <w:rPr>
          <w:rStyle w:val="ac"/>
        </w:rPr>
        <w:footnoteRef/>
      </w:r>
      <w:r>
        <w:rPr>
          <w:rtl/>
        </w:rPr>
        <w:t>וה</w:t>
      </w:r>
      <w:r>
        <w:rPr>
          <w:b/>
          <w:bCs/>
          <w:rtl/>
        </w:rPr>
        <w:t>מהרי"ט אלגאזי</w:t>
      </w:r>
      <w:r>
        <w:rPr>
          <w:rtl/>
        </w:rPr>
        <w:t xml:space="preserve"> (בכורות ח עה סא. בדה”ס) הביא ד</w:t>
      </w:r>
      <w:r>
        <w:rPr>
          <w:b/>
          <w:bCs/>
          <w:rtl/>
        </w:rPr>
        <w:t>תוס'</w:t>
      </w:r>
      <w:r>
        <w:rPr>
          <w:rtl/>
        </w:rPr>
        <w:t xml:space="preserve"> (לעיל צג. וקידו' סג.) מבואר דלר"מ דאדם מקנה דבר שלא בא לעולם מהני אפי' נתאכלו המעות קודם שבא לעולם. והמהריט"א נקט דקאי אליבא דרב, דהא לשמואל כיון דל"מ מעשה קידושין עכשיו ל"מ לאחר זמן. וכת' (שם עד) דלשמואל ר' מאיר איירי דוקא היכא דהמעות קיימים. וב</w:t>
      </w:r>
      <w:r>
        <w:rPr>
          <w:b/>
          <w:bCs/>
          <w:rtl/>
        </w:rPr>
        <w:t>חי' ר' שמעון</w:t>
      </w:r>
      <w:r>
        <w:rPr>
          <w:rtl/>
        </w:rPr>
        <w:t xml:space="preserve"> (קנין כסף ה) חלק דלר' מאיר כיון דאדם מקנה דבר שלא בא לעולם, ומהני מעשה הקנין קודם שבא לעולם, מש”ה מהני אף נתאכלו המעות. ומח' רב ושמואל קאי דוקא למ”ד דפדיון תוך ל' הוה דבר שלא בא לעולם. [ולפ”ז מבואר דהפודה את בנו תוך ל' הוה דבר שלא בא לעולם. ודלא כסברת המשנ"ל דזמן ממילא אתי]. וע"ע חזו"א (סא ז)</w:t>
      </w:r>
      <w:r>
        <w:t>.</w:t>
      </w:r>
    </w:p>
  </w:footnote>
  <w:footnote w:id="7214">
    <w:p w14:paraId="6F534583" w14:textId="77777777" w:rsidR="006C4368" w:rsidRDefault="006C4368" w:rsidP="006C4368">
      <w:pPr>
        <w:pStyle w:val="Footnote"/>
        <w:bidi/>
      </w:pPr>
      <w:r>
        <w:rPr>
          <w:rStyle w:val="ac"/>
        </w:rPr>
        <w:footnoteRef/>
      </w:r>
      <w:r>
        <w:rPr>
          <w:rtl/>
        </w:rPr>
        <w:t>וכ"כ ה</w:t>
      </w:r>
      <w:r>
        <w:rPr>
          <w:b/>
          <w:bCs/>
          <w:rtl/>
        </w:rPr>
        <w:t>ריטב"א</w:t>
      </w:r>
      <w:r>
        <w:rPr>
          <w:rtl/>
        </w:rPr>
        <w:t xml:space="preserve"> (גיטין יג:) דהא דמהני אף דנתאכלו המעות [וטעמא דכיון דאית ליה שעבודא עליה דאיתתא הרי אנו רואין כאילו המעות בעין], ה"מ דוקא היכא דבשעת נתינת המעות האשה הזאת ראויה להתקדש לו, שהיא גדולה. אבל אם היא קטנה בשעת נתינת המעות ואח"כ גדלה ונתאכלו המעות בכי הא ודאי אינה מקודשת. [וביאר עד"ז הא דאי' (בגיטין שם) דל"מ להשתעבד לנולדים שלא היו בשעת קנין. וה</w:t>
      </w:r>
      <w:r>
        <w:rPr>
          <w:b/>
          <w:bCs/>
          <w:rtl/>
        </w:rPr>
        <w:t>מהרי"ט אלגאזי</w:t>
      </w:r>
      <w:r>
        <w:rPr>
          <w:rtl/>
        </w:rPr>
        <w:t xml:space="preserve"> (שם) הק' דהריטב"א בסוגיין סותר דבריו</w:t>
      </w:r>
      <w:r>
        <w:t>.</w:t>
      </w:r>
    </w:p>
    <w:p w14:paraId="689E9857" w14:textId="77777777" w:rsidR="006C4368" w:rsidRDefault="006C4368" w:rsidP="006C4368">
      <w:pPr>
        <w:pStyle w:val="Footnote"/>
        <w:bidi/>
      </w:pPr>
      <w:r>
        <w:tab/>
      </w:r>
      <w:r>
        <w:rPr>
          <w:rtl/>
        </w:rPr>
        <w:t xml:space="preserve">וכמה </w:t>
      </w:r>
      <w:r>
        <w:rPr>
          <w:b/>
          <w:bCs/>
          <w:rtl/>
        </w:rPr>
        <w:t>אחרונים</w:t>
      </w:r>
      <w:r>
        <w:rPr>
          <w:rtl/>
        </w:rPr>
        <w:t xml:space="preserve"> תי' דהריטב"א (שם) קאי למסקנא דהכא דלא אמרי' גדלי בהדה. [אך יש שהק' דדעת הרי"ף דאף למסקנא אמרי' גדלה בהדה. ע' בסמוך]</w:t>
      </w:r>
      <w:r>
        <w:t>.</w:t>
      </w:r>
    </w:p>
  </w:footnote>
  <w:footnote w:id="7215">
    <w:p w14:paraId="27473539" w14:textId="77777777" w:rsidR="006C4368" w:rsidRDefault="006C4368" w:rsidP="006C4368">
      <w:pPr>
        <w:pStyle w:val="Footnote"/>
        <w:bidi/>
      </w:pPr>
      <w:r>
        <w:rPr>
          <w:rStyle w:val="ac"/>
        </w:rPr>
        <w:footnoteRef/>
      </w:r>
      <w:r>
        <w:rPr>
          <w:rtl/>
        </w:rPr>
        <w:t>וכת' דלפ”ז לצד בגמ' (ריש קי.) דרב ושמואל נח' בלא בעל, א"כ שמואל קאי לשיטתו דל"מ כיון דנתאכלו המעות</w:t>
      </w:r>
      <w:r>
        <w:t>.</w:t>
      </w:r>
    </w:p>
  </w:footnote>
  <w:footnote w:id="7216">
    <w:p w14:paraId="71D18998" w14:textId="77777777" w:rsidR="006C4368" w:rsidRDefault="006C4368" w:rsidP="006C4368">
      <w:pPr>
        <w:pStyle w:val="Footnote"/>
        <w:bidi/>
      </w:pPr>
      <w:r>
        <w:rPr>
          <w:rStyle w:val="ac"/>
        </w:rPr>
        <w:footnoteRef/>
      </w:r>
      <w:r>
        <w:rPr>
          <w:rtl/>
        </w:rPr>
        <w:t>ולפ"ז אף ר' גמליאל סבר דאדם מקנה דבר שלא בא לעולם, וקשה אמאי לא הו' (לעיל צג.) [אך י"ל דהגמ' שם כאידך לישנא בסוגיין]</w:t>
      </w:r>
      <w:r>
        <w:t>.</w:t>
      </w:r>
    </w:p>
    <w:p w14:paraId="0E988DC6" w14:textId="77777777" w:rsidR="006C4368" w:rsidRDefault="006C4368" w:rsidP="006C4368">
      <w:pPr>
        <w:pStyle w:val="Footnote"/>
        <w:bidi/>
      </w:pPr>
      <w:r>
        <w:tab/>
      </w:r>
      <w:r>
        <w:rPr>
          <w:rtl/>
        </w:rPr>
        <w:t>אבל הרי"ף בסוגיין שנסתפק אי אמרי' גדלה בהדי [לצד דכוונתו מדאורייתא], ע"כ דס"ל דלא תלי בסברת אדם מקנה דבר שלא בא לעולם, דהא קי"ל אין אדם מקנה דשלבל"ע</w:t>
      </w:r>
      <w:r>
        <w:t>.</w:t>
      </w:r>
    </w:p>
  </w:footnote>
  <w:footnote w:id="7217">
    <w:p w14:paraId="0D839AA8" w14:textId="77777777" w:rsidR="006C4368" w:rsidRDefault="006C4368" w:rsidP="006C4368">
      <w:pPr>
        <w:pStyle w:val="Footnote"/>
        <w:bidi/>
      </w:pPr>
      <w:r>
        <w:rPr>
          <w:rStyle w:val="ac"/>
        </w:rPr>
        <w:footnoteRef/>
      </w:r>
      <w:r>
        <w:rPr>
          <w:rtl/>
        </w:rPr>
        <w:t>והקובה"ע האריך דקטן יכול לעשות 'מעשה' קנין. [וביאר דמ”מ יש גזיה”כ דמעשה דקטן אינו יכול לפעול חלות הקנין]. אך הביא דהמהרי"ק (שם) כת' דמהני ע"י הריצוי והשתיקה דמעיקרא</w:t>
      </w:r>
      <w:r>
        <w:t>.</w:t>
      </w:r>
    </w:p>
    <w:p w14:paraId="0CD0DB94" w14:textId="77777777" w:rsidR="006C4368" w:rsidRDefault="006C4368" w:rsidP="006C4368">
      <w:pPr>
        <w:pStyle w:val="Footnote"/>
        <w:bidi/>
      </w:pPr>
      <w:r>
        <w:tab/>
      </w:r>
      <w:r>
        <w:rPr>
          <w:rtl/>
        </w:rPr>
        <w:t>ועפ"ז כת' ה</w:t>
      </w:r>
      <w:r>
        <w:rPr>
          <w:b/>
          <w:bCs/>
          <w:rtl/>
        </w:rPr>
        <w:t xml:space="preserve">מהרי"ק </w:t>
      </w:r>
      <w:r>
        <w:rPr>
          <w:rtl/>
        </w:rPr>
        <w:t>(בדעת ר' פרץ) דה"מ קטנה דמקניא בריצויה בלי שום אמירה. אבל ל"מ גבי האיש, שהוא עושה מעשה הקידושין וקונה אותה, ול"ש לומר דמהני הריצוי ושתיקה דגדלות שתתקדש לו. דכיון שלא חלו הקידושין בשעתן צריך הוא לעשות מעשה הקידושין, כדכתיב כי יקח איש אשה וכו</w:t>
      </w:r>
      <w:r>
        <w:t>'.</w:t>
      </w:r>
    </w:p>
  </w:footnote>
  <w:footnote w:id="7218">
    <w:p w14:paraId="43846740" w14:textId="77777777" w:rsidR="006C4368" w:rsidRDefault="006C4368" w:rsidP="006C4368">
      <w:pPr>
        <w:pStyle w:val="Footnote"/>
        <w:bidi/>
      </w:pPr>
      <w:r>
        <w:rPr>
          <w:rStyle w:val="ac"/>
        </w:rPr>
        <w:footnoteRef/>
      </w:r>
      <w:r>
        <w:rPr>
          <w:rtl/>
        </w:rPr>
        <w:t>וי"ל דכוונת רש"י דהמעות עדיין בעין, אבל קטן שקיבל מעות ואכלם י"ל דודאי ל"מ. [והראשונים בסוגיין דמהני קבלת קטנה, הוה דוקא משום תקנת קידושי קטנה]. ואילו תוס' ס"ל דאף כשהמעות בעין אין כאן 'מעשה קידושין' כלל, דצריך אמירה מחודשת לשם קידושין</w:t>
      </w:r>
      <w:r>
        <w:t>.</w:t>
      </w:r>
    </w:p>
  </w:footnote>
  <w:footnote w:id="7219">
    <w:p w14:paraId="4979DBB7" w14:textId="77777777" w:rsidR="006C4368" w:rsidRDefault="006C4368" w:rsidP="006C4368">
      <w:pPr>
        <w:pStyle w:val="Footnote"/>
        <w:bidi/>
      </w:pPr>
      <w:r>
        <w:rPr>
          <w:rStyle w:val="ac"/>
        </w:rPr>
        <w:footnoteRef/>
      </w:r>
      <w:r>
        <w:rPr>
          <w:rtl/>
        </w:rPr>
        <w:t>ודן ע"פ כמה סוגיות, עי"ש. [וה</w:t>
      </w:r>
      <w:r>
        <w:rPr>
          <w:b/>
          <w:bCs/>
          <w:rtl/>
        </w:rPr>
        <w:t>אבנ"מ</w:t>
      </w:r>
      <w:r>
        <w:rPr>
          <w:rtl/>
        </w:rPr>
        <w:t xml:space="preserve"> (מג א) הק' א"כ לאחר שמכר שדה בזמן היובל, יוכל למוכרו לאחר היובל. דויבל ממילא אתי]</w:t>
      </w:r>
      <w:r>
        <w:t>.</w:t>
      </w:r>
    </w:p>
  </w:footnote>
  <w:footnote w:id="7220">
    <w:p w14:paraId="62EED0AC" w14:textId="77777777" w:rsidR="006C4368" w:rsidRDefault="006C4368" w:rsidP="006C4368">
      <w:pPr>
        <w:pStyle w:val="Footnote"/>
        <w:bidi/>
      </w:pPr>
      <w:r>
        <w:rPr>
          <w:rStyle w:val="ac"/>
        </w:rPr>
        <w:footnoteRef/>
      </w:r>
      <w:r>
        <w:rPr>
          <w:rtl/>
        </w:rPr>
        <w:t>אך ה</w:t>
      </w:r>
      <w:r>
        <w:rPr>
          <w:b/>
          <w:bCs/>
          <w:rtl/>
        </w:rPr>
        <w:t>אבנ"מ</w:t>
      </w:r>
      <w:r>
        <w:rPr>
          <w:rtl/>
        </w:rPr>
        <w:t xml:space="preserve"> (מג א ועוד אחרונים) דנו ד</w:t>
      </w:r>
      <w:r>
        <w:rPr>
          <w:b/>
          <w:bCs/>
          <w:rtl/>
        </w:rPr>
        <w:t>רש"י</w:t>
      </w:r>
      <w:r>
        <w:rPr>
          <w:rtl/>
        </w:rPr>
        <w:t xml:space="preserve"> (לעיל לד.) קאי בדעת רב, ורב ס"ל דאדם מקנה דבר שלא בא לעולם. ואין ראיה לדידן</w:t>
      </w:r>
      <w:r>
        <w:t xml:space="preserve">.  </w:t>
      </w:r>
    </w:p>
  </w:footnote>
  <w:footnote w:id="7221">
    <w:p w14:paraId="7EC8447A" w14:textId="77777777" w:rsidR="006C4368" w:rsidRDefault="006C4368" w:rsidP="006C4368">
      <w:pPr>
        <w:pStyle w:val="Footnote"/>
        <w:bidi/>
      </w:pPr>
      <w:r>
        <w:rPr>
          <w:rStyle w:val="ac"/>
        </w:rPr>
        <w:footnoteRef/>
      </w:r>
      <w:r>
        <w:rPr>
          <w:rtl/>
        </w:rPr>
        <w:t>דבסוגיין קאי דוקא במתקדשת קטנה. אבל קטן שקידש ל"מ. [וה</w:t>
      </w:r>
      <w:r>
        <w:rPr>
          <w:b/>
          <w:bCs/>
          <w:rtl/>
        </w:rPr>
        <w:t>ראשונים</w:t>
      </w:r>
      <w:r>
        <w:rPr>
          <w:rtl/>
        </w:rPr>
        <w:t xml:space="preserve"> (לעיל לד.) השיגו על רש"י מצד דל"מ כשהמקדש קטן. אך העירו דב</w:t>
      </w:r>
      <w:r>
        <w:rPr>
          <w:b/>
          <w:bCs/>
          <w:rtl/>
        </w:rPr>
        <w:t>ריטב"א</w:t>
      </w:r>
      <w:r>
        <w:rPr>
          <w:rtl/>
        </w:rPr>
        <w:t xml:space="preserve"> (לעיל לד.) משמע דיש חסרון אף מצד הקטנה]</w:t>
      </w:r>
      <w:r>
        <w:t>.</w:t>
      </w:r>
    </w:p>
  </w:footnote>
  <w:footnote w:id="7222">
    <w:p w14:paraId="63F7EF09" w14:textId="77777777" w:rsidR="006C4368" w:rsidRDefault="006C4368" w:rsidP="006C4368">
      <w:pPr>
        <w:pStyle w:val="Footnote"/>
        <w:bidi/>
      </w:pPr>
      <w:r>
        <w:rPr>
          <w:rStyle w:val="ac"/>
        </w:rPr>
        <w:footnoteRef/>
      </w:r>
      <w:r>
        <w:rPr>
          <w:rtl/>
        </w:rPr>
        <w:t>אך לפ"ז היכא דהמעות עדיין בעין כשגדל יהני. ומדברי הראשונים (לעיל לד.) משמע דאף בכה"ג ל"מ</w:t>
      </w:r>
      <w:r>
        <w:t>.</w:t>
      </w:r>
    </w:p>
  </w:footnote>
  <w:footnote w:id="7223">
    <w:p w14:paraId="399A09B5" w14:textId="77777777" w:rsidR="006C4368" w:rsidRDefault="006C4368" w:rsidP="006C4368">
      <w:pPr>
        <w:pStyle w:val="Footnote"/>
        <w:bidi/>
      </w:pPr>
      <w:r>
        <w:rPr>
          <w:rStyle w:val="ac"/>
        </w:rPr>
        <w:footnoteRef/>
      </w:r>
      <w:r>
        <w:rPr>
          <w:rtl/>
        </w:rPr>
        <w:t>ומהני 'מעשה הקידושין' שנתן בעודה קטנה. [וכדברי הקוב"ש, ודלא כחזו"א דמעשה הקידושין הוה ע"י שתיקתם לאחר גדלות]</w:t>
      </w:r>
      <w:r>
        <w:t>.</w:t>
      </w:r>
    </w:p>
  </w:footnote>
  <w:footnote w:id="7224">
    <w:p w14:paraId="65732BA2" w14:textId="77777777" w:rsidR="006C4368" w:rsidRDefault="006C4368" w:rsidP="006C4368">
      <w:pPr>
        <w:pStyle w:val="Footnote"/>
        <w:bidi/>
      </w:pPr>
      <w:r>
        <w:rPr>
          <w:rStyle w:val="ac"/>
        </w:rPr>
        <w:footnoteRef/>
      </w:r>
      <w:r>
        <w:rPr>
          <w:rtl/>
        </w:rPr>
        <w:t>ולפ"ז איירי דוקא ביתומה קטנה, דמהני קבלת קידושיה מדרבנן. ואילו לדברי הבני אהובה אף המקדש קטנה בעלמא יהני, וכדעת ה</w:t>
      </w:r>
      <w:r>
        <w:rPr>
          <w:b/>
          <w:bCs/>
          <w:rtl/>
        </w:rPr>
        <w:t>מהרי”ק</w:t>
      </w:r>
      <w:r>
        <w:rPr>
          <w:rtl/>
        </w:rPr>
        <w:t xml:space="preserve"> (הו' לעיל) דמהני אף בלא תקנ”ח</w:t>
      </w:r>
      <w:r>
        <w:t>.</w:t>
      </w:r>
    </w:p>
  </w:footnote>
  <w:footnote w:id="7225">
    <w:p w14:paraId="0E5DDF9D" w14:textId="77777777" w:rsidR="006C4368" w:rsidRDefault="006C4368" w:rsidP="006C4368">
      <w:pPr>
        <w:pStyle w:val="Footnote"/>
        <w:bidi/>
      </w:pPr>
      <w:r>
        <w:rPr>
          <w:rStyle w:val="ac"/>
        </w:rPr>
        <w:footnoteRef/>
      </w:r>
      <w:r>
        <w:rPr>
          <w:rtl/>
        </w:rPr>
        <w:t>אך שוב הק' ה</w:t>
      </w:r>
      <w:r>
        <w:rPr>
          <w:b/>
          <w:bCs/>
          <w:rtl/>
        </w:rPr>
        <w:t>אבנ"מ</w:t>
      </w:r>
      <w:r>
        <w:rPr>
          <w:rtl/>
        </w:rPr>
        <w:t xml:space="preserve"> דהראשונים כת' כן משום דקטנה שלוותה אי"צ לשלם. אבל קטן שקידש את הגדולה ודאי משתעבדת דבר תורה. [דקטן שהפקיד או הלוה לגדול, ודאי צריך להחזיר לו]. אלא דלעיל (לד.) איירי בקטן שקידש את הקטנה, ובזה ל"מ כלל [דקטנה אינה חייבת להחזיר. ולא תקנו בקטן שקידש]</w:t>
      </w:r>
      <w:r>
        <w:t>.</w:t>
      </w:r>
    </w:p>
  </w:footnote>
  <w:footnote w:id="7226">
    <w:p w14:paraId="425843E1" w14:textId="77777777" w:rsidR="006C4368" w:rsidRDefault="006C4368" w:rsidP="006C4368">
      <w:pPr>
        <w:pStyle w:val="Footnote"/>
        <w:bidi/>
      </w:pPr>
      <w:r>
        <w:rPr>
          <w:rStyle w:val="ac"/>
        </w:rPr>
        <w:footnoteRef/>
      </w:r>
      <w:r>
        <w:rPr>
          <w:rtl/>
        </w:rPr>
        <w:t>דרש"י לפרש נתקשה מ"ש משומרת יבם שקידש אחותה, דלמ"ד יש זיקה לא יכנוס [ע' תוס', וע' בסמוך]. ורש"י תי' דקנאה למפרע, ועי”ז קדמה. [ומש"ה פוטרת את אחותה]</w:t>
      </w:r>
      <w:r>
        <w:t>.</w:t>
      </w:r>
    </w:p>
  </w:footnote>
  <w:footnote w:id="7227">
    <w:p w14:paraId="4F30F145" w14:textId="77777777" w:rsidR="006C4368" w:rsidRDefault="006C4368" w:rsidP="006C4368">
      <w:pPr>
        <w:pStyle w:val="Footnote"/>
        <w:bidi/>
      </w:pPr>
      <w:r>
        <w:rPr>
          <w:rStyle w:val="ac"/>
        </w:rPr>
        <w:footnoteRef/>
      </w:r>
      <w:r>
        <w:rPr>
          <w:rtl/>
        </w:rPr>
        <w:t>וה</w:t>
      </w:r>
      <w:r>
        <w:rPr>
          <w:b/>
          <w:bCs/>
          <w:rtl/>
        </w:rPr>
        <w:t>מגיה לריטב"א</w:t>
      </w:r>
      <w:r>
        <w:rPr>
          <w:rtl/>
        </w:rPr>
        <w:t xml:space="preserve"> הק' די"ל דנתמעט 'אשה' פרט לקטנה, ע"ד הא ד</w:t>
      </w:r>
      <w:r>
        <w:rPr>
          <w:b/>
          <w:bCs/>
          <w:rtl/>
        </w:rPr>
        <w:t>רש"י</w:t>
      </w:r>
      <w:r>
        <w:rPr>
          <w:rtl/>
        </w:rPr>
        <w:t xml:space="preserve"> (כתובות עג:) כת' דקטן שקידש נתמעט מקרא ד'איש'. [אך יש לדחות דקטנה מתקדשת ע"י אביה, וע"כ ד'אשה' דהכא אפי' קטנה]</w:t>
      </w:r>
      <w:r>
        <w:t>.</w:t>
      </w:r>
    </w:p>
  </w:footnote>
  <w:footnote w:id="7228">
    <w:p w14:paraId="23A4B870" w14:textId="77777777" w:rsidR="006C4368" w:rsidRDefault="006C4368" w:rsidP="006C4368">
      <w:pPr>
        <w:pStyle w:val="Footnote"/>
        <w:bidi/>
      </w:pPr>
      <w:r>
        <w:rPr>
          <w:rStyle w:val="ac"/>
        </w:rPr>
        <w:footnoteRef/>
      </w:r>
      <w:r>
        <w:rPr>
          <w:rtl/>
        </w:rPr>
        <w:t>וע"ד הא דאי' (קידושין מד: מה:) דהיכא דנתרצה האב מהני לקדש קטנה כדין צאי וקבלי קידושיך. ואף היכא דגילה דעתו לבסוף דנו הראשונים דמהני למפרע. [אך בשאר מעשה קטן לא שמענו דמהני אח”כ למפרע, ובגר קטן (כתובות יא.) מבואר דמהני מדין זכין]</w:t>
      </w:r>
      <w:r>
        <w:t>.</w:t>
      </w:r>
    </w:p>
    <w:p w14:paraId="01446866" w14:textId="77777777" w:rsidR="006C4368" w:rsidRDefault="006C4368" w:rsidP="006C4368">
      <w:pPr>
        <w:pStyle w:val="Footnote"/>
        <w:bidi/>
      </w:pPr>
      <w:r>
        <w:tab/>
      </w:r>
      <w:r>
        <w:rPr>
          <w:rtl/>
        </w:rPr>
        <w:t>וכן ב</w:t>
      </w:r>
      <w:r>
        <w:rPr>
          <w:b/>
          <w:bCs/>
          <w:rtl/>
        </w:rPr>
        <w:t>ס' טיב קידושין</w:t>
      </w:r>
      <w:r>
        <w:rPr>
          <w:rtl/>
        </w:rPr>
        <w:t xml:space="preserve"> (לז כח למהרא”ל צינץ) כת' דבעלמא ל"מ זכין לקידושין. אבל היכא דגילתה דעתה לבסוף אמרי' דנתברר שזכות הוא לה ונעשית מקודשת למפרע [וע”ד מש”כ הראשונים (קידושין מה:) בהא דמהני גילוי דעת לבסוף]. וכיון שבאמת גם עכשיו ניחא לה, ואין לה שום חוב בזה. ואף קטנה וגדלה, ולאחר שגדלה גילתה דעתה דניח”ל בקידושין ראשונים יהני למפרע</w:t>
      </w:r>
      <w:r>
        <w:t>.</w:t>
      </w:r>
    </w:p>
  </w:footnote>
  <w:footnote w:id="7229">
    <w:p w14:paraId="3865BE03" w14:textId="77777777" w:rsidR="006C4368" w:rsidRDefault="006C4368" w:rsidP="006C4368">
      <w:pPr>
        <w:pStyle w:val="Footnote"/>
        <w:bidi/>
      </w:pPr>
      <w:r>
        <w:rPr>
          <w:rStyle w:val="ac"/>
        </w:rPr>
        <w:footnoteRef/>
      </w:r>
      <w:r>
        <w:rPr>
          <w:rtl/>
        </w:rPr>
        <w:t>וה</w:t>
      </w:r>
      <w:r>
        <w:rPr>
          <w:b/>
          <w:bCs/>
          <w:rtl/>
        </w:rPr>
        <w:t>מצפ"א</w:t>
      </w:r>
      <w:r>
        <w:rPr>
          <w:rtl/>
        </w:rPr>
        <w:t xml:space="preserve"> הוסיף דאין לומר דהאיסור במה שבא עליה קודם שגדלה [ועדיין לא חל למפרע], דלשון הגמ' דהחסרון לכי גדלה. וביאר דהאיסור בעולה לכה"ג הוה דוקא בשעה שנושאה, אבל כשבא עליה בקטנות לא הוה נישואין, ואינו מבטל מצוות בתולה</w:t>
      </w:r>
      <w:r>
        <w:t>.</w:t>
      </w:r>
    </w:p>
  </w:footnote>
  <w:footnote w:id="7230">
    <w:p w14:paraId="32375255" w14:textId="77777777" w:rsidR="006C4368" w:rsidRDefault="006C4368" w:rsidP="006C4368">
      <w:pPr>
        <w:pStyle w:val="Footnote"/>
        <w:bidi/>
      </w:pPr>
      <w:r>
        <w:rPr>
          <w:rStyle w:val="ac"/>
        </w:rPr>
        <w:footnoteRef/>
      </w:r>
      <w:r>
        <w:rPr>
          <w:rtl/>
        </w:rPr>
        <w:t>ורבא (שם) הק' 'מכלי לב' דא"כ כו"ע מודו בזה, ולא רק ר"א. {ואף די"ל דהתם קאי כצד בסוגיין דמקדש אחות יבמתו נפטרה יבמה, ולא ס"ל דמהני למפרע. מ"מ לא היה לרבא לדחות כל כך}</w:t>
      </w:r>
      <w:r>
        <w:t>.</w:t>
      </w:r>
    </w:p>
    <w:p w14:paraId="0F5E52A2" w14:textId="77777777" w:rsidR="006C4368" w:rsidRDefault="006C4368" w:rsidP="006C4368">
      <w:pPr>
        <w:pStyle w:val="Footnote"/>
        <w:bidi/>
      </w:pPr>
      <w:r>
        <w:tab/>
        <w:t>[</w:t>
      </w:r>
      <w:r>
        <w:rPr>
          <w:rtl/>
        </w:rPr>
        <w:t>וה</w:t>
      </w:r>
      <w:r>
        <w:rPr>
          <w:b/>
          <w:bCs/>
          <w:rtl/>
        </w:rPr>
        <w:t>מצפ"א</w:t>
      </w:r>
      <w:r>
        <w:rPr>
          <w:rtl/>
        </w:rPr>
        <w:t xml:space="preserve"> כת' דע"ד פרש"י בסוגיין י"ל דהתם ר"א ס"ל דל"מ למפרע, דדעת ר"א (לעיל קז: קח.) דאין מעשה קטנה כלום, אלא כמפותה. וס"ל דלא הוה גדר אישות למפרע</w:t>
      </w:r>
      <w:r>
        <w:t>].</w:t>
      </w:r>
    </w:p>
  </w:footnote>
  <w:footnote w:id="7231">
    <w:p w14:paraId="3094DCD5" w14:textId="77777777" w:rsidR="006C4368" w:rsidRDefault="006C4368" w:rsidP="006C4368">
      <w:pPr>
        <w:pStyle w:val="Footnote"/>
        <w:bidi/>
      </w:pPr>
      <w:r>
        <w:rPr>
          <w:rStyle w:val="ac"/>
        </w:rPr>
        <w:footnoteRef/>
      </w:r>
      <w:r>
        <w:t>{</w:t>
      </w:r>
      <w:r>
        <w:rPr>
          <w:rtl/>
        </w:rPr>
        <w:t>ואפשר דדוקא הקידושין מהני למפרע לרש"י, אבל גדר 'נישואין' מהני רק מכאן ולהבא. [ויל"פ דגדר נישואין תלי במציאות, ול"ש למפרע]. ונעשית בעולת עצמו בין קידושין לנישואין, וע' תוס' לעיל נט</w:t>
      </w:r>
      <w:r>
        <w:t>.}.</w:t>
      </w:r>
    </w:p>
  </w:footnote>
  <w:footnote w:id="7232">
    <w:p w14:paraId="59E891E6" w14:textId="77777777" w:rsidR="006C4368" w:rsidRDefault="006C4368" w:rsidP="006C4368">
      <w:pPr>
        <w:pStyle w:val="Footnote"/>
        <w:bidi/>
      </w:pPr>
      <w:r>
        <w:rPr>
          <w:rStyle w:val="ac"/>
        </w:rPr>
        <w:footnoteRef/>
      </w:r>
      <w:r>
        <w:rPr>
          <w:rtl/>
        </w:rPr>
        <w:t>וע"ד סברא זו מבואר בדברי ה</w:t>
      </w:r>
      <w:r>
        <w:rPr>
          <w:b/>
          <w:bCs/>
          <w:rtl/>
        </w:rPr>
        <w:t>רמב"ן</w:t>
      </w:r>
      <w:r>
        <w:rPr>
          <w:rtl/>
        </w:rPr>
        <w:t xml:space="preserve"> (לעיל יח:, והו' בריטב”א שם וברשב"א מא.), דאתינן עלה משום סברת אינו בדין</w:t>
      </w:r>
      <w:r>
        <w:t>.</w:t>
      </w:r>
    </w:p>
  </w:footnote>
  <w:footnote w:id="7233">
    <w:p w14:paraId="4A31F913" w14:textId="77777777" w:rsidR="006C4368" w:rsidRDefault="006C4368" w:rsidP="006C4368">
      <w:pPr>
        <w:pStyle w:val="Footnote"/>
        <w:bidi/>
      </w:pPr>
      <w:r>
        <w:rPr>
          <w:rStyle w:val="ac"/>
        </w:rPr>
        <w:footnoteRef/>
      </w:r>
      <w:r>
        <w:rPr>
          <w:rtl/>
        </w:rPr>
        <w:t>ושמואל (שם) פסק כוותיה, דיש זיקה</w:t>
      </w:r>
      <w:r>
        <w:t>.</w:t>
      </w:r>
    </w:p>
  </w:footnote>
  <w:footnote w:id="7234">
    <w:p w14:paraId="7A2D238B" w14:textId="77777777" w:rsidR="006C4368" w:rsidRDefault="006C4368" w:rsidP="006C4368">
      <w:pPr>
        <w:pStyle w:val="Footnote"/>
        <w:bidi/>
      </w:pPr>
      <w:r>
        <w:rPr>
          <w:rStyle w:val="ac"/>
        </w:rPr>
        <w:footnoteRef/>
      </w:r>
      <w:r>
        <w:rPr>
          <w:rtl/>
        </w:rPr>
        <w:t>וצ"ב לשיטת התוס' דהכא היתה נשואה לו בעודה קטנה, א"כ בשעה שחלו קידושין מיד הוה נשואה לו. א"כ מש"ה נדחית היבמה. וצ"ל דכוונת הגמ' דאינו רשאי לישאנה, והנישואין באיסור בשעה שהיא אחות זקוקתו. אך בקידושין ונישואין דממילא הוא אינו עושה 'מעשה'. [ומ"מ לשון הגמ' 'המקדש אחות יבמתו' משמע דקאי משום קידושין בעלמא]</w:t>
      </w:r>
      <w:r>
        <w:t>.</w:t>
      </w:r>
    </w:p>
    <w:p w14:paraId="30B97CF0" w14:textId="77777777" w:rsidR="006C4368" w:rsidRDefault="006C4368" w:rsidP="006C4368">
      <w:pPr>
        <w:pStyle w:val="Footnote"/>
        <w:bidi/>
      </w:pPr>
      <w:r>
        <w:tab/>
      </w:r>
      <w:r>
        <w:rPr>
          <w:rtl/>
        </w:rPr>
        <w:t>ועי"ל דלמ"ד דסוגיין אף נישואין ל"מ להפקיע [אלא משום דהוה ממילא], ודלא כר' יהודה בן בתירא</w:t>
      </w:r>
      <w:r>
        <w:t>.</w:t>
      </w:r>
    </w:p>
  </w:footnote>
  <w:footnote w:id="7235">
    <w:p w14:paraId="56FADD53" w14:textId="77777777" w:rsidR="006C4368" w:rsidRDefault="006C4368" w:rsidP="006C4368">
      <w:pPr>
        <w:pStyle w:val="Footnote"/>
        <w:bidi/>
      </w:pPr>
      <w:r>
        <w:rPr>
          <w:rStyle w:val="ac"/>
        </w:rPr>
        <w:footnoteRef/>
      </w:r>
      <w:r>
        <w:rPr>
          <w:rtl/>
        </w:rPr>
        <w:t>ו</w:t>
      </w:r>
      <w:r>
        <w:rPr>
          <w:b/>
          <w:bCs/>
          <w:rtl/>
        </w:rPr>
        <w:t>תוס</w:t>
      </w:r>
      <w:r>
        <w:rPr>
          <w:rtl/>
        </w:rPr>
        <w:t>' (קי. ד"ה קסבר) דן אי צריך לומר להדיא שבועל לשם קידושין</w:t>
      </w:r>
      <w:r>
        <w:t>.</w:t>
      </w:r>
    </w:p>
  </w:footnote>
  <w:footnote w:id="7236">
    <w:p w14:paraId="7109A6B2" w14:textId="77777777" w:rsidR="006C4368" w:rsidRDefault="006C4368" w:rsidP="006C4368">
      <w:pPr>
        <w:pStyle w:val="Footnote"/>
        <w:bidi/>
      </w:pPr>
      <w:r>
        <w:rPr>
          <w:rStyle w:val="ac"/>
        </w:rPr>
        <w:footnoteRef/>
      </w:r>
      <w:r>
        <w:t>[</w:t>
      </w:r>
      <w:r>
        <w:rPr>
          <w:rtl/>
        </w:rPr>
        <w:t>וק"ק דלא תקנו שיחזור ויקדש בכסף, או יאמר להדיא שבועל לשם קידושין. או אפי' יעמיד עדים על כך. וחכמים סתמו הדין דמקדש בעודה קטנה, והיא נשארת תחתיו בלא שיעשה קידושין אחרים. וסמכו על האומדנא שיעשה קידושין גמורים. וע”ע בסמוך בשם הרמב”ם</w:t>
      </w:r>
      <w:r>
        <w:t>].</w:t>
      </w:r>
    </w:p>
  </w:footnote>
  <w:footnote w:id="7237">
    <w:p w14:paraId="1A4CE9EF" w14:textId="77777777" w:rsidR="006C4368" w:rsidRDefault="006C4368" w:rsidP="006C4368">
      <w:pPr>
        <w:pStyle w:val="Footnote"/>
        <w:bidi/>
      </w:pPr>
      <w:r>
        <w:rPr>
          <w:rStyle w:val="ac"/>
        </w:rPr>
        <w:footnoteRef/>
      </w:r>
      <w:r>
        <w:rPr>
          <w:rtl/>
        </w:rPr>
        <w:t>ודייקו כן בדברי הברייתא (ע' בסמוך) דקידושין תלויין, אי בעל</w:t>
      </w:r>
      <w:r>
        <w:t>.</w:t>
      </w:r>
    </w:p>
  </w:footnote>
  <w:footnote w:id="7238">
    <w:p w14:paraId="13B745A0" w14:textId="77777777" w:rsidR="006C4368" w:rsidRDefault="006C4368" w:rsidP="006C4368">
      <w:pPr>
        <w:pStyle w:val="Footnote"/>
        <w:bidi/>
      </w:pPr>
      <w:r>
        <w:rPr>
          <w:rStyle w:val="ac"/>
        </w:rPr>
        <w:footnoteRef/>
      </w:r>
      <w:r>
        <w:rPr>
          <w:rtl/>
        </w:rPr>
        <w:t>וכדמבואר בגמ' (לקמן קי:) דקידושי מיאון נחשב קנויה ואינה קנויה, דגדר הקנין מדרבנן כמו ספק</w:t>
      </w:r>
      <w:r>
        <w:t>.</w:t>
      </w:r>
    </w:p>
  </w:footnote>
  <w:footnote w:id="7239">
    <w:p w14:paraId="78F6CFC2" w14:textId="77777777" w:rsidR="006C4368" w:rsidRDefault="006C4368" w:rsidP="006C4368">
      <w:pPr>
        <w:pStyle w:val="Footnote"/>
        <w:bidi/>
      </w:pPr>
      <w:r>
        <w:rPr>
          <w:rStyle w:val="ac"/>
        </w:rPr>
        <w:footnoteRef/>
      </w:r>
      <w:r>
        <w:rPr>
          <w:rtl/>
        </w:rPr>
        <w:t>דהא בין בתחילה בין בסוף קדושיה דרבנן נינהו [כל זמן שלא נבעלה אליבא דרב]</w:t>
      </w:r>
      <w:r>
        <w:t>.</w:t>
      </w:r>
    </w:p>
  </w:footnote>
  <w:footnote w:id="7240">
    <w:p w14:paraId="2F8D2E01" w14:textId="77777777" w:rsidR="006C4368" w:rsidRDefault="006C4368" w:rsidP="006C4368">
      <w:pPr>
        <w:pStyle w:val="Footnote"/>
        <w:bidi/>
      </w:pPr>
      <w:r>
        <w:rPr>
          <w:rStyle w:val="ac"/>
        </w:rPr>
        <w:footnoteRef/>
      </w:r>
      <w:r>
        <w:rPr>
          <w:rtl/>
        </w:rPr>
        <w:t>ולפ"ז צ"ל דהד"ה קאי בדחיית הגמ'. [אא"כ הוה ט"ס ברש"י]</w:t>
      </w:r>
      <w:r>
        <w:t>.</w:t>
      </w:r>
    </w:p>
  </w:footnote>
  <w:footnote w:id="7241">
    <w:p w14:paraId="562A9ED3" w14:textId="77777777" w:rsidR="006C4368" w:rsidRDefault="006C4368" w:rsidP="006C4368">
      <w:pPr>
        <w:pStyle w:val="Footnote"/>
        <w:bidi/>
      </w:pPr>
      <w:r>
        <w:rPr>
          <w:rStyle w:val="ac"/>
        </w:rPr>
        <w:footnoteRef/>
      </w:r>
      <w:r>
        <w:rPr>
          <w:rtl/>
        </w:rPr>
        <w:t>כ"ה הגירסא לפנינו, דהאשה [הקטנה] לא סמכא דעתה. אך לכאורה הסברא דתלי בסמיכות דעת דידיה</w:t>
      </w:r>
      <w:r>
        <w:t>.</w:t>
      </w:r>
    </w:p>
  </w:footnote>
  <w:footnote w:id="7242">
    <w:p w14:paraId="3C1BE2EA" w14:textId="77777777" w:rsidR="006C4368" w:rsidRDefault="006C4368" w:rsidP="006C4368">
      <w:pPr>
        <w:pStyle w:val="Footnote"/>
        <w:bidi/>
      </w:pPr>
      <w:r>
        <w:rPr>
          <w:rStyle w:val="ac"/>
        </w:rPr>
        <w:footnoteRef/>
      </w:r>
      <w:r>
        <w:rPr>
          <w:rtl/>
        </w:rPr>
        <w:t>ויל"ד האם כוונתו דמלבד הספק הנ”ל, יש ג”כ חסרון בסמיכות דעת [דמחמת הספק ליכא סמיכות דעת]. או דהטעם דעל הצד שלא יבעול ל"מ קידושין דרבנן הוא משום דלא סמכה דעתה. [וצ"ב א"כ ליכא סמיכות דעת כלל. והאיך נימא דהסמיכות דעת תלי בספק בעתיד]</w:t>
      </w:r>
      <w:r>
        <w:t>.</w:t>
      </w:r>
    </w:p>
  </w:footnote>
  <w:footnote w:id="7243">
    <w:p w14:paraId="14DCF1D1" w14:textId="77777777" w:rsidR="006C4368" w:rsidRDefault="006C4368" w:rsidP="006C4368">
      <w:pPr>
        <w:pStyle w:val="Footnote"/>
        <w:bidi/>
      </w:pPr>
      <w:r>
        <w:rPr>
          <w:rStyle w:val="ac"/>
        </w:rPr>
        <w:footnoteRef/>
      </w:r>
      <w:r>
        <w:rPr>
          <w:rtl/>
        </w:rPr>
        <w:t>והאיך שייך לומר שהוא עדיף שיכול להוציאה בגט</w:t>
      </w:r>
      <w:r>
        <w:t>.</w:t>
      </w:r>
    </w:p>
  </w:footnote>
  <w:footnote w:id="7244">
    <w:p w14:paraId="7B35AB59" w14:textId="77777777" w:rsidR="006C4368" w:rsidRDefault="006C4368" w:rsidP="006C4368">
      <w:pPr>
        <w:pStyle w:val="Footnote"/>
        <w:bidi/>
      </w:pPr>
      <w:r>
        <w:rPr>
          <w:rStyle w:val="ac"/>
        </w:rPr>
        <w:footnoteRef/>
      </w:r>
      <w:r>
        <w:rPr>
          <w:rtl/>
        </w:rPr>
        <w:t>וה</w:t>
      </w:r>
      <w:r>
        <w:rPr>
          <w:b/>
          <w:bCs/>
          <w:rtl/>
        </w:rPr>
        <w:t>ראב"ד</w:t>
      </w:r>
      <w:r>
        <w:rPr>
          <w:rtl/>
        </w:rPr>
        <w:t xml:space="preserve"> (ס' הזכות) פי' עד"ז דרב ששת אמר דהיה סבור שאני חכם ממנו, ואינו כן אלא הוא חכם יותר ממני. שידע לתרץ את הברייתא לדעתו של רב</w:t>
      </w:r>
      <w:r>
        <w:t>.</w:t>
      </w:r>
    </w:p>
  </w:footnote>
  <w:footnote w:id="7245">
    <w:p w14:paraId="54FB8006" w14:textId="77777777" w:rsidR="006C4368" w:rsidRDefault="006C4368" w:rsidP="006C4368">
      <w:pPr>
        <w:pStyle w:val="Footnote"/>
        <w:bidi/>
      </w:pPr>
      <w:r>
        <w:rPr>
          <w:rStyle w:val="ac"/>
        </w:rPr>
        <w:footnoteRef/>
      </w:r>
      <w:r>
        <w:rPr>
          <w:rtl/>
        </w:rPr>
        <w:t>ס' קדמון מימי סוף הגאונים [לא הגיע לידינו, אך הו' לרוב בס' העיטור]</w:t>
      </w:r>
      <w:r>
        <w:t>.</w:t>
      </w:r>
    </w:p>
  </w:footnote>
  <w:footnote w:id="7246">
    <w:p w14:paraId="4F6B4869" w14:textId="77777777" w:rsidR="006C4368" w:rsidRDefault="006C4368" w:rsidP="006C4368">
      <w:pPr>
        <w:pStyle w:val="Footnote"/>
        <w:bidi/>
      </w:pPr>
      <w:r>
        <w:rPr>
          <w:rStyle w:val="ac"/>
        </w:rPr>
        <w:footnoteRef/>
      </w:r>
      <w:r>
        <w:rPr>
          <w:rtl/>
        </w:rPr>
        <w:t>וה</w:t>
      </w:r>
      <w:r>
        <w:rPr>
          <w:b/>
          <w:bCs/>
          <w:rtl/>
        </w:rPr>
        <w:t>רמב"ן</w:t>
      </w:r>
      <w:r>
        <w:rPr>
          <w:rtl/>
        </w:rPr>
        <w:t xml:space="preserve"> (ס' הזכות) כת' דכ"ד מקצת ראשונים, ומסתייעין מהא דלא פי' קידושין תלויין עד"ז [והרמב"ן והשב"א דחו דל"ש בזה תלויין, וע' מה שהו' לעיל]</w:t>
      </w:r>
      <w:r>
        <w:t>.</w:t>
      </w:r>
    </w:p>
  </w:footnote>
  <w:footnote w:id="7247">
    <w:p w14:paraId="61C5C301" w14:textId="77777777" w:rsidR="006C4368" w:rsidRDefault="006C4368" w:rsidP="006C4368">
      <w:pPr>
        <w:pStyle w:val="Footnote"/>
        <w:bidi/>
      </w:pPr>
      <w:r>
        <w:rPr>
          <w:rStyle w:val="ac"/>
        </w:rPr>
        <w:footnoteRef/>
      </w:r>
      <w:r>
        <w:rPr>
          <w:rtl/>
        </w:rPr>
        <w:t>וה</w:t>
      </w:r>
      <w:r>
        <w:rPr>
          <w:b/>
          <w:bCs/>
          <w:rtl/>
        </w:rPr>
        <w:t>רשב”א</w:t>
      </w:r>
      <w:r>
        <w:rPr>
          <w:rtl/>
        </w:rPr>
        <w:t xml:space="preserve"> הביא דכ”מ בדברי ר"ת [לכאורה צ"ל </w:t>
      </w:r>
      <w:r>
        <w:rPr>
          <w:b/>
          <w:bCs/>
          <w:rtl/>
        </w:rPr>
        <w:t>ר"ח</w:t>
      </w:r>
      <w:r>
        <w:rPr>
          <w:rtl/>
        </w:rPr>
        <w:t>] שכתב דמלתא דקטנה מיתלא תליא וקיימא, אי בעל נתקיים הזווג ביניהם, ואי לא בעל אחר שגדלה לא נתקיים הזווג ביניהם. ולא היא בשתי שערות נסתלק ממנה תורת מיאון לעולם בין בעל בין לא בעל. [עכ"ד, ומשמע דר”ח דחה דברי הגמ' דידן ע”פ הסוגיה בנדה דל"מ מיאון משגדלה. ואילו סוגיין סבר דמהני עד שיבעול]</w:t>
      </w:r>
      <w:r>
        <w:t>.</w:t>
      </w:r>
    </w:p>
  </w:footnote>
  <w:footnote w:id="7248">
    <w:p w14:paraId="7AD6D58D" w14:textId="77777777" w:rsidR="006C4368" w:rsidRDefault="006C4368" w:rsidP="006C4368">
      <w:pPr>
        <w:pStyle w:val="Footnote"/>
        <w:bidi/>
      </w:pPr>
      <w:r>
        <w:rPr>
          <w:rStyle w:val="ac"/>
        </w:rPr>
        <w:footnoteRef/>
      </w:r>
      <w:r>
        <w:rPr>
          <w:rtl/>
        </w:rPr>
        <w:t>וס"ל דלא אמרי' דכיון דבעל מחל התנאי והטעות בקידושין, ולא אמרי' דקידש בביאה</w:t>
      </w:r>
      <w:r>
        <w:t>.</w:t>
      </w:r>
    </w:p>
  </w:footnote>
  <w:footnote w:id="7249">
    <w:p w14:paraId="1ECB7A69" w14:textId="77777777" w:rsidR="006C4368" w:rsidRDefault="006C4368" w:rsidP="006C4368">
      <w:pPr>
        <w:pStyle w:val="Footnote"/>
        <w:bidi/>
      </w:pPr>
      <w:r>
        <w:rPr>
          <w:rStyle w:val="ac"/>
        </w:rPr>
        <w:footnoteRef/>
      </w:r>
      <w:r>
        <w:rPr>
          <w:rtl/>
        </w:rPr>
        <w:t>וכן מבואר בגמ' (לעיל ק:), אך תוס' דחו דהגמ' (ק:) קאי אליבא דשמואל. ובקידושי קטנה ודאי קי"ל דל"מ מיאון משגדלה, ודוקא בקידושי טעות שמואל ס"ל כר' ישמעאל [דלא אמרי' חזקה דאינו עושה בעילת זנות]</w:t>
      </w:r>
      <w:r>
        <w:t>.</w:t>
      </w:r>
    </w:p>
  </w:footnote>
  <w:footnote w:id="7250">
    <w:p w14:paraId="7F23CF1B" w14:textId="77777777" w:rsidR="006C4368" w:rsidRDefault="006C4368" w:rsidP="006C4368">
      <w:pPr>
        <w:pStyle w:val="Footnote"/>
        <w:bidi/>
      </w:pPr>
      <w:r>
        <w:rPr>
          <w:rStyle w:val="ac"/>
        </w:rPr>
        <w:footnoteRef/>
      </w:r>
      <w:r>
        <w:rPr>
          <w:rtl/>
        </w:rPr>
        <w:t>וביארו דפשטות הברייתא דהמקדש את הקטנה קידושיה תלוין [דגדלי בהדה], ולא סמכינן אשינויא דשנינן לה. וה</w:t>
      </w:r>
      <w:r>
        <w:rPr>
          <w:b/>
          <w:bCs/>
          <w:rtl/>
        </w:rPr>
        <w:t>ראב"ד</w:t>
      </w:r>
      <w:r>
        <w:rPr>
          <w:rtl/>
        </w:rPr>
        <w:t xml:space="preserve"> תמה דרב ששת קלסיה לתי' זה</w:t>
      </w:r>
      <w:r>
        <w:t>.</w:t>
      </w:r>
    </w:p>
  </w:footnote>
  <w:footnote w:id="7251">
    <w:p w14:paraId="1BCD2B28" w14:textId="77777777" w:rsidR="006C4368" w:rsidRDefault="006C4368" w:rsidP="006C4368">
      <w:pPr>
        <w:pStyle w:val="Footnote"/>
        <w:bidi/>
      </w:pPr>
      <w:r>
        <w:rPr>
          <w:rStyle w:val="ac"/>
        </w:rPr>
        <w:footnoteRef/>
      </w:r>
      <w:r>
        <w:rPr>
          <w:rtl/>
        </w:rPr>
        <w:t>והביא דה</w:t>
      </w:r>
      <w:r>
        <w:rPr>
          <w:b/>
          <w:bCs/>
          <w:rtl/>
        </w:rPr>
        <w:t>סמ"ק</w:t>
      </w:r>
      <w:r>
        <w:rPr>
          <w:rtl/>
        </w:rPr>
        <w:t xml:space="preserve"> כת' [גבי קטנה שהלך אביה למדינת הים] דלכי גדלה גדלי קידושין בהדה דאורייתא. וכת' דאין לומר דכוונתו דוקא כשבעל אח"כ, דהלשון דגדלי קידושין משמע שהקידושין הראשונים גדלי. ואי בבעל דווקא אין כאן גדול, אלא מתהוים הם בבת אחת. ועוד דהלשון 'בהדה' משמע דכמו שהיא גדלה מעצמה כך גדלי קידושין מעצמן. ועוד דבסוגיין נקט לשון זה לומר דמעצמן הם גדילים אפי' שלא בעל, והאיך יתפוש לשון התלמוד בהפך הכוונה, וזה ברור למבין</w:t>
      </w:r>
      <w:r>
        <w:t>.</w:t>
      </w:r>
    </w:p>
    <w:p w14:paraId="28FD6A2F" w14:textId="77777777" w:rsidR="006C4368" w:rsidRDefault="006C4368" w:rsidP="006C4368">
      <w:pPr>
        <w:pStyle w:val="Footnote"/>
        <w:bidi/>
      </w:pPr>
      <w:r>
        <w:tab/>
        <w:t>[</w:t>
      </w:r>
      <w:r>
        <w:rPr>
          <w:rtl/>
        </w:rPr>
        <w:t>ועוד דייק מהג' סמ"ק דאף באופן דליכא קידושין דרבנן, אפ”ה אמרי' דגדלי בהדיה. ע' מש”כ לעיל</w:t>
      </w:r>
      <w:r>
        <w:t>].</w:t>
      </w:r>
    </w:p>
  </w:footnote>
  <w:footnote w:id="7252">
    <w:p w14:paraId="1CDF5FF3" w14:textId="77777777" w:rsidR="006C4368" w:rsidRDefault="006C4368" w:rsidP="006C4368">
      <w:pPr>
        <w:pStyle w:val="Footnote"/>
        <w:bidi/>
      </w:pPr>
      <w:r>
        <w:rPr>
          <w:rStyle w:val="ac"/>
        </w:rPr>
        <w:footnoteRef/>
      </w:r>
      <w:r>
        <w:rPr>
          <w:rtl/>
        </w:rPr>
        <w:t>וה</w:t>
      </w:r>
      <w:r>
        <w:rPr>
          <w:b/>
          <w:bCs/>
          <w:rtl/>
        </w:rPr>
        <w:t>רמב"ם</w:t>
      </w:r>
      <w:r>
        <w:rPr>
          <w:rtl/>
        </w:rPr>
        <w:t xml:space="preserve"> פי' שהרי לא בא עליה אחר שהגיעה לשני נערות, דאי בא עליה יש לחוש שמא הביאה סימנין ותהיה ספק מקודשת. [וע' לח"מ]</w:t>
      </w:r>
      <w:r>
        <w:t>.</w:t>
      </w:r>
    </w:p>
  </w:footnote>
  <w:footnote w:id="7253">
    <w:p w14:paraId="40709CB5" w14:textId="77777777" w:rsidR="006C4368" w:rsidRDefault="006C4368" w:rsidP="006C4368">
      <w:pPr>
        <w:pStyle w:val="Footnote"/>
        <w:bidi/>
      </w:pPr>
      <w:r>
        <w:rPr>
          <w:rStyle w:val="ac"/>
        </w:rPr>
        <w:footnoteRef/>
      </w:r>
      <w:r>
        <w:rPr>
          <w:rtl/>
        </w:rPr>
        <w:t>וכלשון הרמב"ם דישבה עם בעלה. ולא גילתה דעתה כלל שאינה רוצית להיות אשתו. ועי"ז הוה קידושין משעה שגדלה מכאן ולהבא</w:t>
      </w:r>
      <w:r>
        <w:t>.</w:t>
      </w:r>
    </w:p>
  </w:footnote>
  <w:footnote w:id="7254">
    <w:p w14:paraId="3B38A4C5" w14:textId="77777777" w:rsidR="006C4368" w:rsidRDefault="006C4368" w:rsidP="006C4368">
      <w:pPr>
        <w:pStyle w:val="Footnote"/>
        <w:bidi/>
      </w:pPr>
      <w:r>
        <w:rPr>
          <w:rStyle w:val="ac"/>
        </w:rPr>
        <w:footnoteRef/>
      </w:r>
      <w:r>
        <w:rPr>
          <w:rtl/>
        </w:rPr>
        <w:t>אלא אפי' לא בא אחר וקידשה, הקידושין הראשון אינם קידושין גמורין, וצריך לחזור ולקדש כדי שתהיה לו לאשה גמורה</w:t>
      </w:r>
      <w:r>
        <w:t>.</w:t>
      </w:r>
    </w:p>
  </w:footnote>
  <w:footnote w:id="7255">
    <w:p w14:paraId="0715EB51" w14:textId="77777777" w:rsidR="006C4368" w:rsidRDefault="006C4368" w:rsidP="006C4368">
      <w:pPr>
        <w:pStyle w:val="Footnote"/>
        <w:bidi/>
      </w:pPr>
      <w:r>
        <w:rPr>
          <w:rStyle w:val="ac"/>
        </w:rPr>
        <w:footnoteRef/>
      </w:r>
      <w:r>
        <w:rPr>
          <w:rtl/>
        </w:rPr>
        <w:t>וה</w:t>
      </w:r>
      <w:r>
        <w:rPr>
          <w:b/>
          <w:bCs/>
          <w:rtl/>
        </w:rPr>
        <w:t>עונג יו"ט</w:t>
      </w:r>
      <w:r>
        <w:rPr>
          <w:rtl/>
        </w:rPr>
        <w:t xml:space="preserve"> (קמא הנ”ל) חילק דבסוגיין איירי היכא שישבה תחתיו, ומש"ה אמרי' דגדלי בהדה. ואילו הרמב"ם בהלכות גירושין מיירי שגילתה דעתה כבר קודם שנתגדלה שאין רצונה בו, ויצאת מתחת ידיו רק שלא מיאנה כדין</w:t>
      </w:r>
      <w:r>
        <w:t>.</w:t>
      </w:r>
    </w:p>
  </w:footnote>
  <w:footnote w:id="7256">
    <w:p w14:paraId="6EF13C6B" w14:textId="77777777" w:rsidR="006C4368" w:rsidRDefault="006C4368" w:rsidP="006C4368">
      <w:pPr>
        <w:pStyle w:val="Footnote"/>
        <w:bidi/>
      </w:pPr>
      <w:r>
        <w:rPr>
          <w:rStyle w:val="ac"/>
        </w:rPr>
        <w:footnoteRef/>
      </w:r>
      <w:r>
        <w:rPr>
          <w:rtl/>
        </w:rPr>
        <w:t>וכל המח' גמרי או פקעי היכא דבא אחר וקידשה, אבל בעודה תחתיו אי"צ קידושין אחרים</w:t>
      </w:r>
      <w:r>
        <w:t>.</w:t>
      </w:r>
    </w:p>
  </w:footnote>
  <w:footnote w:id="7257">
    <w:p w14:paraId="37A7C557" w14:textId="77777777" w:rsidR="006C4368" w:rsidRDefault="006C4368" w:rsidP="006C4368">
      <w:pPr>
        <w:pStyle w:val="Footnote"/>
        <w:bidi/>
      </w:pPr>
      <w:r>
        <w:rPr>
          <w:rStyle w:val="ac"/>
        </w:rPr>
        <w:footnoteRef/>
      </w:r>
      <w:r>
        <w:rPr>
          <w:rtl/>
        </w:rPr>
        <w:t>וצ"ב דבקטנה עדיין מקודשת גמורה מדרבנן. אבל שפחה לצד דפקעי קידושיה הוה ספק פנויה, והאיך מותרת לו בלא קידושין אחרים</w:t>
      </w:r>
      <w:r>
        <w:t>.</w:t>
      </w:r>
    </w:p>
  </w:footnote>
  <w:footnote w:id="7258">
    <w:p w14:paraId="3A4A66CF" w14:textId="77777777" w:rsidR="006C4368" w:rsidRDefault="006C4368" w:rsidP="006C4368">
      <w:pPr>
        <w:pStyle w:val="Footnote"/>
        <w:bidi/>
      </w:pPr>
      <w:r>
        <w:rPr>
          <w:rStyle w:val="ac"/>
        </w:rPr>
        <w:footnoteRef/>
      </w:r>
      <w:r>
        <w:rPr>
          <w:rtl/>
        </w:rPr>
        <w:t>והעתיק הלשון דכיון שגדלה שעה אחת ולא מיחתה שוב אינה יכולה למחות. [והוא מהגמ' כתובות יא. גבי גר קטן]</w:t>
      </w:r>
      <w:r>
        <w:t>.</w:t>
      </w:r>
    </w:p>
  </w:footnote>
  <w:footnote w:id="7259">
    <w:p w14:paraId="5356E29F" w14:textId="77777777" w:rsidR="006C4368" w:rsidRDefault="006C4368" w:rsidP="006C4368">
      <w:pPr>
        <w:pStyle w:val="Footnote"/>
        <w:bidi/>
      </w:pPr>
      <w:r>
        <w:rPr>
          <w:rStyle w:val="ac"/>
        </w:rPr>
        <w:footnoteRef/>
      </w:r>
      <w:r>
        <w:rPr>
          <w:rtl/>
        </w:rPr>
        <w:t>וה</w:t>
      </w:r>
      <w:r>
        <w:rPr>
          <w:b/>
          <w:bCs/>
          <w:rtl/>
        </w:rPr>
        <w:t>רמב"ן</w:t>
      </w:r>
      <w:r>
        <w:rPr>
          <w:rtl/>
        </w:rPr>
        <w:t xml:space="preserve"> דחה ולאו מלתא היא, דהכא לא הוה ספק, אלא ודאי מדבריהם. ומש"ה הוה כגדולה לכל דבריה, ומש"ה אסורה לחזור לראשון. דהא אפי' בקטנה גמורה היוצאה בגט אסור מחזיר גרושתו (כדתנן קח:), וכ"ש כשגדלה</w:t>
      </w:r>
      <w:r>
        <w:t>.</w:t>
      </w:r>
    </w:p>
  </w:footnote>
  <w:footnote w:id="7260">
    <w:p w14:paraId="4740DC48" w14:textId="77777777" w:rsidR="006C4368" w:rsidRDefault="006C4368" w:rsidP="006C4368">
      <w:pPr>
        <w:pStyle w:val="Footnote"/>
        <w:bidi/>
      </w:pPr>
      <w:r>
        <w:rPr>
          <w:rStyle w:val="ac"/>
        </w:rPr>
        <w:footnoteRef/>
      </w:r>
      <w:r>
        <w:t>[</w:t>
      </w:r>
      <w:r>
        <w:rPr>
          <w:rtl/>
        </w:rPr>
        <w:t>ואף דגזרו (שם) בשומרת יבם, קידושי קטנה גרע משומרת יבם</w:t>
      </w:r>
      <w:r>
        <w:t>].</w:t>
      </w:r>
    </w:p>
  </w:footnote>
  <w:footnote w:id="7261">
    <w:p w14:paraId="1E4F8CED" w14:textId="77777777" w:rsidR="006C4368" w:rsidRDefault="006C4368" w:rsidP="006C4368">
      <w:pPr>
        <w:pStyle w:val="Footnote"/>
        <w:bidi/>
      </w:pPr>
      <w:r>
        <w:rPr>
          <w:rStyle w:val="ac"/>
        </w:rPr>
        <w:footnoteRef/>
      </w:r>
      <w:r>
        <w:rPr>
          <w:rtl/>
        </w:rPr>
        <w:t>ופתח דבריו כדאי הוא רב לסמוך על דבריו, אף אם יאמר על המותר אסור, דכאן אין איסור מחוור [וה</w:t>
      </w:r>
      <w:r>
        <w:rPr>
          <w:b/>
          <w:bCs/>
          <w:rtl/>
        </w:rPr>
        <w:t>טור</w:t>
      </w:r>
      <w:r>
        <w:rPr>
          <w:rtl/>
        </w:rPr>
        <w:t xml:space="preserve"> (קנה) העתיק דבריו אין איסור חמור, ומש”ה לא גזרו]. וסיים דאם יש מי שמורה בה להתיר נשמע לו. וה</w:t>
      </w:r>
      <w:r>
        <w:rPr>
          <w:b/>
          <w:bCs/>
          <w:rtl/>
        </w:rPr>
        <w:t>טור</w:t>
      </w:r>
      <w:r>
        <w:rPr>
          <w:rtl/>
        </w:rPr>
        <w:t xml:space="preserve"> הביא דהראב"ד והרא”ש התירו</w:t>
      </w:r>
      <w:r>
        <w:t>.</w:t>
      </w:r>
    </w:p>
  </w:footnote>
  <w:footnote w:id="7262">
    <w:p w14:paraId="6CDE209C" w14:textId="77777777" w:rsidR="006C4368" w:rsidRDefault="006C4368" w:rsidP="006C4368">
      <w:pPr>
        <w:pStyle w:val="Footnote"/>
        <w:bidi/>
      </w:pPr>
      <w:r>
        <w:rPr>
          <w:rStyle w:val="ac"/>
        </w:rPr>
        <w:footnoteRef/>
      </w:r>
      <w:r>
        <w:rPr>
          <w:rtl/>
        </w:rPr>
        <w:t>ובפשוטו כוונתו דכיון דנשאת בטעות מדינא אינה אסורה מדין סוטה, אלא דגזרו משום אשה שהלך בעלה למדינת הים. ובאישות זו לא גזרו, דהוה גזירה לגזירה. [והר"י באסאן דן בזה, ע"ע בסמוך]</w:t>
      </w:r>
      <w:r>
        <w:t>.</w:t>
      </w:r>
    </w:p>
    <w:p w14:paraId="2095E993" w14:textId="77777777" w:rsidR="006C4368" w:rsidRDefault="006C4368" w:rsidP="006C4368">
      <w:pPr>
        <w:pStyle w:val="Footnote"/>
        <w:bidi/>
      </w:pPr>
      <w:r>
        <w:tab/>
      </w:r>
      <w:r>
        <w:rPr>
          <w:rtl/>
        </w:rPr>
        <w:t>וה</w:t>
      </w:r>
      <w:r>
        <w:rPr>
          <w:b/>
          <w:bCs/>
          <w:rtl/>
        </w:rPr>
        <w:t>אבנ"מ</w:t>
      </w:r>
      <w:r>
        <w:rPr>
          <w:rtl/>
        </w:rPr>
        <w:t xml:space="preserve"> (לא יא) דן בנתקדשה בפחות משווה פרוטה, דמדרבנן חיישינן שמא שווה פרוטה במדי (לדעת הרא"ש קידושין יב. א יז), א"כ הלכה ונשאת לאחר י"ל דלא גזרו כה"ג תצא מזה ומזה. ולא גזרו אלא היכא דזינתה במזיד נאסרת (וכדאי' לעיל צד:), א”כ בקידושין דרבנן לא גזרו. וה</w:t>
      </w:r>
      <w:r>
        <w:rPr>
          <w:b/>
          <w:bCs/>
          <w:rtl/>
        </w:rPr>
        <w:t>אחיעזר</w:t>
      </w:r>
      <w:r>
        <w:rPr>
          <w:rtl/>
        </w:rPr>
        <w:t xml:space="preserve"> (ג עז) תמה דאשתמטתיה דתלי בהנך ראשונים</w:t>
      </w:r>
      <w:r>
        <w:t>.</w:t>
      </w:r>
    </w:p>
  </w:footnote>
  <w:footnote w:id="7263">
    <w:p w14:paraId="322E6B45" w14:textId="77777777" w:rsidR="006C4368" w:rsidRDefault="006C4368" w:rsidP="006C4368">
      <w:pPr>
        <w:pStyle w:val="Footnote"/>
        <w:bidi/>
      </w:pPr>
      <w:r>
        <w:rPr>
          <w:rStyle w:val="ac"/>
        </w:rPr>
        <w:footnoteRef/>
      </w:r>
      <w:r>
        <w:rPr>
          <w:rtl/>
        </w:rPr>
        <w:t>אך ה</w:t>
      </w:r>
      <w:r>
        <w:rPr>
          <w:b/>
          <w:bCs/>
          <w:rtl/>
        </w:rPr>
        <w:t>גר"א</w:t>
      </w:r>
      <w:r>
        <w:rPr>
          <w:rtl/>
        </w:rPr>
        <w:t xml:space="preserve"> (קנה עד) הביא דב</w:t>
      </w:r>
      <w:r>
        <w:rPr>
          <w:b/>
          <w:bCs/>
          <w:rtl/>
        </w:rPr>
        <w:t>ירושלמי</w:t>
      </w:r>
      <w:r>
        <w:rPr>
          <w:rtl/>
        </w:rPr>
        <w:t xml:space="preserve"> (לקמן יג, וכ"פ ה</w:t>
      </w:r>
      <w:r>
        <w:rPr>
          <w:b/>
          <w:bCs/>
          <w:rtl/>
        </w:rPr>
        <w:t>רמב"ם</w:t>
      </w:r>
      <w:r>
        <w:rPr>
          <w:rtl/>
        </w:rPr>
        <w:t xml:space="preserve"> גירושין י ה) מבואר דאשת חרש שהלך למדינת הים ונשאת לאחר ובא בעלה, אמרי' דתצא מזה ומזה וכל הדרכים האלו. ואף דהוה אישות דרבנן גזרו. ואשת חרש הוה כמו קטנה</w:t>
      </w:r>
      <w:r>
        <w:t>.</w:t>
      </w:r>
    </w:p>
  </w:footnote>
  <w:footnote w:id="7264">
    <w:p w14:paraId="39D5F8C1" w14:textId="77777777" w:rsidR="006C4368" w:rsidRDefault="006C4368" w:rsidP="006C4368">
      <w:pPr>
        <w:pStyle w:val="Footnote"/>
        <w:bidi/>
      </w:pPr>
      <w:r>
        <w:rPr>
          <w:rStyle w:val="ac"/>
        </w:rPr>
        <w:footnoteRef/>
      </w:r>
      <w:r>
        <w:rPr>
          <w:rtl/>
        </w:rPr>
        <w:t>וה</w:t>
      </w:r>
      <w:r>
        <w:rPr>
          <w:b/>
          <w:bCs/>
          <w:rtl/>
        </w:rPr>
        <w:t>רמב"ם</w:t>
      </w:r>
      <w:r>
        <w:rPr>
          <w:rtl/>
        </w:rPr>
        <w:t xml:space="preserve"> (אישות ז כג) כת' דבעל לפני עדים. והפוסקים ביארו כוונתו עדי יחוד</w:t>
      </w:r>
      <w:r>
        <w:t>.</w:t>
      </w:r>
    </w:p>
  </w:footnote>
  <w:footnote w:id="7265">
    <w:p w14:paraId="60B4D0EA" w14:textId="77777777" w:rsidR="006C4368" w:rsidRDefault="006C4368" w:rsidP="006C4368">
      <w:pPr>
        <w:pStyle w:val="Footnote"/>
        <w:bidi/>
      </w:pPr>
      <w:r>
        <w:rPr>
          <w:rStyle w:val="ac"/>
        </w:rPr>
        <w:footnoteRef/>
      </w:r>
      <w:r>
        <w:rPr>
          <w:rtl/>
        </w:rPr>
        <w:t>וכ"כ ה</w:t>
      </w:r>
      <w:r>
        <w:rPr>
          <w:b/>
          <w:bCs/>
          <w:rtl/>
        </w:rPr>
        <w:t>בי"ש</w:t>
      </w:r>
      <w:r>
        <w:rPr>
          <w:rtl/>
        </w:rPr>
        <w:t xml:space="preserve"> (קנה לב) דמסתמא כל שדר עמה כדרך איש עם אשתו אמרינן שבעיל, ואף דליכא עידי יחוד. וה</w:t>
      </w:r>
      <w:r>
        <w:rPr>
          <w:b/>
          <w:bCs/>
          <w:rtl/>
        </w:rPr>
        <w:t>בי"ש</w:t>
      </w:r>
      <w:r>
        <w:rPr>
          <w:rtl/>
        </w:rPr>
        <w:t xml:space="preserve"> (לא כב) הביא בזה מח' [היכא דהיה טעות בקידושין, דלבסוף נודע להם שטבעת הקידושין לא היה שוה פרוטה, דבתשו' מיימוני כת' דאם דר עמה כדרך איש עם אשתו [אחר שנודע לו], אף דלא היו עידי יחוד י"ל דהוי כעידי יחוד. וה</w:t>
      </w:r>
      <w:r>
        <w:rPr>
          <w:b/>
          <w:bCs/>
          <w:rtl/>
        </w:rPr>
        <w:t>ריב"ש</w:t>
      </w:r>
      <w:r>
        <w:rPr>
          <w:rtl/>
        </w:rPr>
        <w:t xml:space="preserve"> (קיג) כתב בשם ה</w:t>
      </w:r>
      <w:r>
        <w:rPr>
          <w:b/>
          <w:bCs/>
          <w:rtl/>
        </w:rPr>
        <w:t>רא"ה</w:t>
      </w:r>
      <w:r>
        <w:rPr>
          <w:rtl/>
        </w:rPr>
        <w:t xml:space="preserve"> דהוי כעידי יחוד. וה</w:t>
      </w:r>
      <w:r>
        <w:rPr>
          <w:b/>
          <w:bCs/>
          <w:rtl/>
        </w:rPr>
        <w:t>ריב"ש</w:t>
      </w:r>
      <w:r>
        <w:rPr>
          <w:rtl/>
        </w:rPr>
        <w:t xml:space="preserve"> (סוף תשובה ו) כת' דכל הראשונים חולקים על הרא"ה וס"ל דצריך עידי יחוד]</w:t>
      </w:r>
      <w:r>
        <w:t>.</w:t>
      </w:r>
    </w:p>
    <w:p w14:paraId="13BF81D1" w14:textId="77777777" w:rsidR="006C4368" w:rsidRDefault="006C4368" w:rsidP="006C4368">
      <w:pPr>
        <w:pStyle w:val="Footnote"/>
        <w:bidi/>
      </w:pPr>
      <w:r>
        <w:tab/>
      </w:r>
      <w:r>
        <w:rPr>
          <w:rtl/>
        </w:rPr>
        <w:t>וה</w:t>
      </w:r>
      <w:r>
        <w:rPr>
          <w:b/>
          <w:bCs/>
          <w:rtl/>
        </w:rPr>
        <w:t>בי"ש</w:t>
      </w:r>
      <w:r>
        <w:rPr>
          <w:rtl/>
        </w:rPr>
        <w:t xml:space="preserve"> (קכא ט) [גבי שוטה שקידש, ואח"כ נשתפה וחזר ונשתטה. חיישינן שמא כשהיה שפוי בעל לשם הקידושין, וה"מ כשנתייחד עמה לפני עדים. וכתבתי כמה פעמים דנח' הפוסקים אם לא נתייחד לפני עדים אלא דר עמה כדרך איש עם אשתו</w:t>
      </w:r>
      <w:r>
        <w:t>.</w:t>
      </w:r>
    </w:p>
  </w:footnote>
  <w:footnote w:id="7266">
    <w:p w14:paraId="34E3FC7A" w14:textId="77777777" w:rsidR="006C4368" w:rsidRDefault="006C4368" w:rsidP="006C4368">
      <w:pPr>
        <w:pStyle w:val="Footnote"/>
        <w:bidi/>
      </w:pPr>
      <w:r>
        <w:rPr>
          <w:rStyle w:val="ac"/>
        </w:rPr>
        <w:footnoteRef/>
      </w:r>
      <w:r>
        <w:rPr>
          <w:rtl/>
        </w:rPr>
        <w:t>ועוד דנו דהבא על שפחתו, חיישינן שמא שחררה ואח"כ בא עליה. [וחזקה דאינו עושה בעילתו זנות מוכיח שעשה מעשה שחרור. ולא רק לפרש דעכשיו בשעה זו כוונתם שלא יהא זנות]</w:t>
      </w:r>
      <w:r>
        <w:t>.</w:t>
      </w:r>
    </w:p>
  </w:footnote>
  <w:footnote w:id="7267">
    <w:p w14:paraId="2959AE16" w14:textId="77777777" w:rsidR="006C4368" w:rsidRDefault="006C4368" w:rsidP="006C4368">
      <w:pPr>
        <w:pStyle w:val="Footnote"/>
        <w:bidi/>
      </w:pPr>
      <w:r>
        <w:rPr>
          <w:rStyle w:val="ac"/>
        </w:rPr>
        <w:footnoteRef/>
      </w:r>
      <w:r>
        <w:rPr>
          <w:rtl/>
        </w:rPr>
        <w:t>אבל בשאר הנשים הרי כל זונה בחזקת שבעל לשם זנות עד שיפרש שהוא לשם קדושין</w:t>
      </w:r>
      <w:r>
        <w:t>.</w:t>
      </w:r>
    </w:p>
  </w:footnote>
  <w:footnote w:id="7268">
    <w:p w14:paraId="70784CB1" w14:textId="77777777" w:rsidR="006C4368" w:rsidRDefault="006C4368" w:rsidP="006C4368">
      <w:pPr>
        <w:pStyle w:val="Footnote"/>
        <w:bidi/>
      </w:pPr>
      <w:r>
        <w:rPr>
          <w:rStyle w:val="ac"/>
        </w:rPr>
        <w:footnoteRef/>
      </w:r>
      <w:r>
        <w:rPr>
          <w:rtl/>
        </w:rPr>
        <w:t>ועוה"ק ה</w:t>
      </w:r>
      <w:r>
        <w:rPr>
          <w:b/>
          <w:bCs/>
          <w:rtl/>
        </w:rPr>
        <w:t>נוב"י</w:t>
      </w:r>
      <w:r>
        <w:rPr>
          <w:rtl/>
        </w:rPr>
        <w:t xml:space="preserve"> (ת נד) דגברא זה הורגל בה בקטנותה, ואינו חושש משום זנות משום קידושין דרבנן. ומה"ת דכשתגדל לא סגי ליה בקידושין דרבנן</w:t>
      </w:r>
      <w:r>
        <w:t>.</w:t>
      </w:r>
    </w:p>
  </w:footnote>
  <w:footnote w:id="7269">
    <w:p w14:paraId="5223262C" w14:textId="77777777" w:rsidR="006C4368" w:rsidRDefault="006C4368" w:rsidP="006C4368">
      <w:pPr>
        <w:pStyle w:val="Footnote"/>
        <w:bidi/>
      </w:pPr>
      <w:r>
        <w:rPr>
          <w:rStyle w:val="ac"/>
        </w:rPr>
        <w:footnoteRef/>
      </w:r>
      <w:r>
        <w:rPr>
          <w:rtl/>
        </w:rPr>
        <w:t>כורסייא. ב</w:t>
      </w:r>
      <w:r>
        <w:rPr>
          <w:b/>
          <w:bCs/>
          <w:rtl/>
        </w:rPr>
        <w:t xml:space="preserve">הג' המהרש"ם </w:t>
      </w:r>
      <w:r>
        <w:rPr>
          <w:rtl/>
        </w:rPr>
        <w:t>ציין ל</w:t>
      </w:r>
      <w:r>
        <w:rPr>
          <w:b/>
          <w:bCs/>
          <w:rtl/>
        </w:rPr>
        <w:t>פסקי תוס'</w:t>
      </w:r>
      <w:r>
        <w:rPr>
          <w:rtl/>
        </w:rPr>
        <w:t xml:space="preserve"> (סנהדרין צז) שכת' שנהגו שמושיבין חתן וכלה על כסא. ע"פ הגמ' (סנהדרין לח.) דקודם שנזדווגה חוה היה אדם יחידי, משנזדווגה ישבו יחד על הכסא</w:t>
      </w:r>
      <w:r>
        <w:t>.</w:t>
      </w:r>
    </w:p>
  </w:footnote>
  <w:footnote w:id="7270">
    <w:p w14:paraId="297C5A33" w14:textId="77777777" w:rsidR="006C4368" w:rsidRDefault="006C4368" w:rsidP="006C4368">
      <w:pPr>
        <w:pStyle w:val="Footnote"/>
        <w:bidi/>
      </w:pPr>
      <w:r>
        <w:rPr>
          <w:rStyle w:val="ac"/>
        </w:rPr>
        <w:footnoteRef/>
      </w:r>
      <w:r>
        <w:rPr>
          <w:rtl/>
        </w:rPr>
        <w:t>ה</w:t>
      </w:r>
      <w:r>
        <w:rPr>
          <w:b/>
          <w:bCs/>
          <w:rtl/>
        </w:rPr>
        <w:t>בית מאיר</w:t>
      </w:r>
      <w:r>
        <w:rPr>
          <w:rtl/>
        </w:rPr>
        <w:t xml:space="preserve"> (מד) הביא דהטור דייק כן מקו' הגמ' (בסמוך) קדיש בביאה מאי איכא למימר. [ומבואר דסוגיין איירי אף בכה"ג]. ודחה דבגמ' מבואר דאף כה"ג אי"צ גט מהשני, ולא הוזכר דמותרת לראשון. [אך צ"ע דאי נאסרת על ראשון, א"כ אף אסורה על השני מדין בועל, ובי”ד כופין להוציא. ולאיזה צורך הפקיעו את הקידושין, דבלאו הכי אסורה לשניהם]</w:t>
      </w:r>
      <w:r>
        <w:t>.</w:t>
      </w:r>
    </w:p>
  </w:footnote>
  <w:footnote w:id="7271">
    <w:p w14:paraId="229D25CE" w14:textId="77777777" w:rsidR="006C4368" w:rsidRDefault="006C4368" w:rsidP="006C4368">
      <w:pPr>
        <w:pStyle w:val="Footnote"/>
        <w:bidi/>
      </w:pPr>
      <w:r>
        <w:rPr>
          <w:rStyle w:val="ac"/>
        </w:rPr>
        <w:footnoteRef/>
      </w:r>
      <w:r>
        <w:rPr>
          <w:rtl/>
        </w:rPr>
        <w:t>ואח"כ הביא הטור את דברי הרי”ף [בכל קטנה שלא מיאנה וגדלה, כ”כ ה</w:t>
      </w:r>
      <w:r>
        <w:rPr>
          <w:b/>
          <w:bCs/>
          <w:rtl/>
        </w:rPr>
        <w:t>ב”י</w:t>
      </w:r>
      <w:r>
        <w:rPr>
          <w:rtl/>
        </w:rPr>
        <w:t>] דאם השני בא עליה שני קודם גירושי ראשון אסורה לשניהם, וצריכה גט משניהם כאשה שהלך בעלה למדיה"י</w:t>
      </w:r>
      <w:r>
        <w:t>.</w:t>
      </w:r>
    </w:p>
  </w:footnote>
  <w:footnote w:id="7272">
    <w:p w14:paraId="01C00A0F" w14:textId="77777777" w:rsidR="006C4368" w:rsidRDefault="006C4368" w:rsidP="006C4368">
      <w:pPr>
        <w:pStyle w:val="Footnote"/>
        <w:bidi/>
      </w:pPr>
      <w:r>
        <w:rPr>
          <w:rStyle w:val="ac"/>
        </w:rPr>
        <w:footnoteRef/>
      </w:r>
      <w:r>
        <w:rPr>
          <w:rtl/>
        </w:rPr>
        <w:t>אבל הרי"ף רא"ש ורמב"ם השמיטו כל סוגיין. והב"י כת' דלתי' רב פפא צריכה גט. ומש"ה הוה ספק האם אפקעינהו לקידושין כה"ג</w:t>
      </w:r>
      <w:r>
        <w:t>.</w:t>
      </w:r>
    </w:p>
  </w:footnote>
  <w:footnote w:id="7273">
    <w:p w14:paraId="3F4E9A18" w14:textId="77777777" w:rsidR="006C4368" w:rsidRDefault="006C4368" w:rsidP="006C4368">
      <w:pPr>
        <w:pStyle w:val="Footnote"/>
        <w:bidi/>
      </w:pPr>
      <w:r>
        <w:rPr>
          <w:rStyle w:val="ac"/>
        </w:rPr>
        <w:footnoteRef/>
      </w:r>
      <w:r>
        <w:rPr>
          <w:rtl/>
        </w:rPr>
        <w:t>לסברת רב אשי דאיירי הכא שאינה מקודשת לראשון מדאורייתא. אבל לסברת המקשן [דגדלה קידושין בהדיא] ולרב פפא [דנשאת לאחר שגדלה] א"א לתרץ כן. [אלא דלהנך מ"ד לא הוזכר דהשני בעלה]</w:t>
      </w:r>
      <w:r>
        <w:t>.</w:t>
      </w:r>
    </w:p>
  </w:footnote>
  <w:footnote w:id="7274">
    <w:p w14:paraId="457A70D9" w14:textId="77777777" w:rsidR="006C4368" w:rsidRDefault="006C4368" w:rsidP="006C4368">
      <w:pPr>
        <w:pStyle w:val="Footnote"/>
        <w:bidi/>
      </w:pPr>
      <w:r>
        <w:rPr>
          <w:rStyle w:val="ac"/>
        </w:rPr>
        <w:footnoteRef/>
      </w:r>
      <w:r>
        <w:rPr>
          <w:rtl/>
        </w:rPr>
        <w:t>ועוד משמע מדברי הרמב"ם דמעשה הזנות לא נחשב מעשה מיאון [כן ציין הר”י באסאן]. ול"ד לנתקדשה לאחר (ע' לעיל קח.). אבל ה</w:t>
      </w:r>
      <w:r>
        <w:rPr>
          <w:b/>
          <w:bCs/>
          <w:rtl/>
        </w:rPr>
        <w:t>בית מאיר</w:t>
      </w:r>
      <w:r>
        <w:rPr>
          <w:rtl/>
        </w:rPr>
        <w:t xml:space="preserve"> (מד) הביא צד דכוונת הרמב"ם דהזנות הוה מיאון, ומש”ה אינה נאסרת</w:t>
      </w:r>
      <w:r>
        <w:t>.</w:t>
      </w:r>
    </w:p>
  </w:footnote>
  <w:footnote w:id="7275">
    <w:p w14:paraId="0548156B" w14:textId="77777777" w:rsidR="006C4368" w:rsidRDefault="006C4368" w:rsidP="006C4368">
      <w:pPr>
        <w:pStyle w:val="Footnote"/>
        <w:bidi/>
      </w:pPr>
      <w:r>
        <w:rPr>
          <w:rStyle w:val="ac"/>
        </w:rPr>
        <w:footnoteRef/>
      </w:r>
      <w:r>
        <w:rPr>
          <w:rtl/>
        </w:rPr>
        <w:t>והרמב"ם איירי שזינתה בעודה קטנה, ואף דס"ל דהיכא דאביה קידשה נאסרת [דלא ס"ל דפיתוי קטנה אונס]. וצ"ל דאישות דקטנה קליש, ואינה נאסרת בזנות</w:t>
      </w:r>
      <w:r>
        <w:t>.</w:t>
      </w:r>
    </w:p>
    <w:p w14:paraId="396A6285" w14:textId="77777777" w:rsidR="006C4368" w:rsidRDefault="006C4368" w:rsidP="006C4368">
      <w:pPr>
        <w:pStyle w:val="Footnote"/>
        <w:bidi/>
      </w:pPr>
      <w:r>
        <w:tab/>
      </w:r>
      <w:r>
        <w:rPr>
          <w:rtl/>
        </w:rPr>
        <w:t>אך ה</w:t>
      </w:r>
      <w:r>
        <w:rPr>
          <w:b/>
          <w:bCs/>
          <w:rtl/>
        </w:rPr>
        <w:t>רמב”ם</w:t>
      </w:r>
      <w:r>
        <w:rPr>
          <w:rtl/>
        </w:rPr>
        <w:t xml:space="preserve"> (סוטה ב ד) כת' דקטנה בת מיאון אין מקנין לה, שאין לה רצון להאסר על בעלה. ומשמע דהטעם דלא הוה רצון ומזיד. וצ"ב מ"ש דהיכא דאביה קידשה דנחשב מזיד. [וה</w:t>
      </w:r>
      <w:r>
        <w:rPr>
          <w:b/>
          <w:bCs/>
          <w:rtl/>
        </w:rPr>
        <w:t>ראב"ד</w:t>
      </w:r>
      <w:r>
        <w:rPr>
          <w:rtl/>
        </w:rPr>
        <w:t xml:space="preserve"> השיג דפיתוי קטנה אונס, ומ"מ נאסרה לכהונה]</w:t>
      </w:r>
      <w:r>
        <w:t>.</w:t>
      </w:r>
    </w:p>
  </w:footnote>
  <w:footnote w:id="7276">
    <w:p w14:paraId="41524815" w14:textId="77777777" w:rsidR="006C4368" w:rsidRDefault="006C4368" w:rsidP="006C4368">
      <w:pPr>
        <w:pStyle w:val="Footnote"/>
        <w:bidi/>
      </w:pPr>
      <w:r>
        <w:rPr>
          <w:rStyle w:val="ac"/>
        </w:rPr>
        <w:footnoteRef/>
      </w:r>
      <w:r>
        <w:rPr>
          <w:rtl/>
        </w:rPr>
        <w:t>אבל ה</w:t>
      </w:r>
      <w:r>
        <w:rPr>
          <w:b/>
          <w:bCs/>
          <w:rtl/>
        </w:rPr>
        <w:t>בי"מ</w:t>
      </w:r>
      <w:r>
        <w:rPr>
          <w:rtl/>
        </w:rPr>
        <w:t xml:space="preserve"> (מד) דייק מדברי הרמב"ם דדוקא קטנה בת מיאון, בעודה יכולה למאן. אבל לאחר שגדלה נאסרת, אף דמקודשת רק מדרבנן</w:t>
      </w:r>
      <w:r>
        <w:t>.</w:t>
      </w:r>
    </w:p>
  </w:footnote>
  <w:footnote w:id="7277">
    <w:p w14:paraId="0CA41736" w14:textId="77777777" w:rsidR="006C4368" w:rsidRDefault="006C4368" w:rsidP="006C4368">
      <w:pPr>
        <w:pStyle w:val="Footnote"/>
        <w:bidi/>
      </w:pPr>
      <w:r>
        <w:rPr>
          <w:rStyle w:val="ac"/>
        </w:rPr>
        <w:footnoteRef/>
      </w:r>
      <w:r>
        <w:rPr>
          <w:rtl/>
        </w:rPr>
        <w:t>אך ה</w:t>
      </w:r>
      <w:r>
        <w:rPr>
          <w:b/>
          <w:bCs/>
          <w:rtl/>
        </w:rPr>
        <w:t>ראשונים</w:t>
      </w:r>
      <w:r>
        <w:rPr>
          <w:rtl/>
        </w:rPr>
        <w:t xml:space="preserve"> (הו' בסמוך) נקטו דאיירי דנתרצית לבסוף, דאל"כ ל"ש בזה קידושין כלל</w:t>
      </w:r>
      <w:r>
        <w:t>.</w:t>
      </w:r>
    </w:p>
  </w:footnote>
  <w:footnote w:id="7278">
    <w:p w14:paraId="0E1B3455" w14:textId="77777777" w:rsidR="006C4368" w:rsidRDefault="006C4368" w:rsidP="006C4368">
      <w:pPr>
        <w:pStyle w:val="Footnote"/>
        <w:bidi/>
      </w:pPr>
      <w:r>
        <w:rPr>
          <w:rStyle w:val="ac"/>
        </w:rPr>
        <w:footnoteRef/>
      </w:r>
      <w:r>
        <w:rPr>
          <w:rtl/>
        </w:rPr>
        <w:t>ועוד הביאו ה</w:t>
      </w:r>
      <w:r>
        <w:rPr>
          <w:b/>
          <w:bCs/>
          <w:rtl/>
        </w:rPr>
        <w:t>אחרונים</w:t>
      </w:r>
      <w:r>
        <w:rPr>
          <w:rtl/>
        </w:rPr>
        <w:t xml:space="preserve"> דברי ה</w:t>
      </w:r>
      <w:r>
        <w:rPr>
          <w:b/>
          <w:bCs/>
          <w:rtl/>
        </w:rPr>
        <w:t>ראב"ד</w:t>
      </w:r>
      <w:r>
        <w:rPr>
          <w:rtl/>
        </w:rPr>
        <w:t xml:space="preserve"> (הו' בראשונים לעיל נא:) דקטן בן ט' הבא על יבמתו, ואח"כ זינתה אינה נאסרת עליו, דכיון דקטן הוא ואין לו אישות גמור לא מיתסרא עליה בזנות. דנתמעט (קידושין יט.) אשר ינאף את אשת איש פרט לאשת קטן</w:t>
      </w:r>
      <w:r>
        <w:t>.</w:t>
      </w:r>
    </w:p>
  </w:footnote>
  <w:footnote w:id="7279">
    <w:p w14:paraId="44B35FD2" w14:textId="77777777" w:rsidR="006C4368" w:rsidRDefault="006C4368" w:rsidP="006C4368">
      <w:pPr>
        <w:pStyle w:val="Footnote"/>
        <w:bidi/>
      </w:pPr>
      <w:r>
        <w:rPr>
          <w:rStyle w:val="ac"/>
        </w:rPr>
        <w:footnoteRef/>
      </w:r>
      <w:r>
        <w:rPr>
          <w:rtl/>
        </w:rPr>
        <w:t>וצ"ע דהטעם דשומרת יבם שזינתה אינה נאסרת, משום זיקת יבום לא הוה צורת אישות גמור. וכן אינו נאסר בקרובותיה מדאורייתא וכדו'. ואילו קידושי מיאון הוה אישות גמור מדרבנן אף לשאר מילי, ואסור בקרובותיה, ופוטר את אחותה כשהיא ג"כ קטנה</w:t>
      </w:r>
      <w:r>
        <w:t>.</w:t>
      </w:r>
    </w:p>
  </w:footnote>
  <w:footnote w:id="7280">
    <w:p w14:paraId="306FC4F2" w14:textId="77777777" w:rsidR="006C4368" w:rsidRDefault="006C4368" w:rsidP="006C4368">
      <w:pPr>
        <w:pStyle w:val="Footnote"/>
        <w:bidi/>
      </w:pPr>
      <w:r>
        <w:rPr>
          <w:rStyle w:val="ac"/>
        </w:rPr>
        <w:footnoteRef/>
      </w:r>
      <w:r>
        <w:rPr>
          <w:rtl/>
        </w:rPr>
        <w:t>וה</w:t>
      </w:r>
      <w:r>
        <w:rPr>
          <w:b/>
          <w:bCs/>
          <w:rtl/>
        </w:rPr>
        <w:t>משנ"ל</w:t>
      </w:r>
      <w:r>
        <w:rPr>
          <w:rtl/>
        </w:rPr>
        <w:t xml:space="preserve"> (שם) כת' דעפ"ז אף חרשת שנשאת לפקח אינה נאסרת לבעלה ע"י זנות</w:t>
      </w:r>
      <w:r>
        <w:t>.</w:t>
      </w:r>
    </w:p>
  </w:footnote>
  <w:footnote w:id="7281">
    <w:p w14:paraId="4AE34098" w14:textId="77777777" w:rsidR="006C4368" w:rsidRDefault="006C4368" w:rsidP="006C4368">
      <w:pPr>
        <w:pStyle w:val="Footnote"/>
        <w:bidi/>
      </w:pPr>
      <w:r>
        <w:rPr>
          <w:rStyle w:val="ac"/>
        </w:rPr>
        <w:footnoteRef/>
      </w:r>
      <w:r>
        <w:rPr>
          <w:rtl/>
        </w:rPr>
        <w:t>והביא דה</w:t>
      </w:r>
      <w:r>
        <w:rPr>
          <w:b/>
          <w:bCs/>
          <w:rtl/>
        </w:rPr>
        <w:t>רמב"ם</w:t>
      </w:r>
      <w:r>
        <w:rPr>
          <w:rtl/>
        </w:rPr>
        <w:t xml:space="preserve"> (גירושין י ה, ע”פ הירושלמי שם) פסק דאף באשת חרש, היכא דהלך למדינת הים ונשאת לאחר ובא בעלה, אמרי' דתצא מזה ומזה וכל הדרכים האלו. ואף דהוה אישות דרבנן גזרו. [וע' מה שהו' לעיל דנח' עד"ז הרי"ף והראב"ד]</w:t>
      </w:r>
      <w:r>
        <w:t>.</w:t>
      </w:r>
    </w:p>
  </w:footnote>
  <w:footnote w:id="7282">
    <w:p w14:paraId="0B31E867" w14:textId="77777777" w:rsidR="006C4368" w:rsidRDefault="006C4368" w:rsidP="006C4368">
      <w:pPr>
        <w:pStyle w:val="Footnote"/>
        <w:bidi/>
      </w:pPr>
      <w:r>
        <w:rPr>
          <w:rStyle w:val="ac"/>
        </w:rPr>
        <w:footnoteRef/>
      </w:r>
      <w:r>
        <w:rPr>
          <w:rtl/>
        </w:rPr>
        <w:t>אך ה</w:t>
      </w:r>
      <w:r>
        <w:rPr>
          <w:b/>
          <w:bCs/>
          <w:rtl/>
        </w:rPr>
        <w:t>רמב"ם</w:t>
      </w:r>
      <w:r>
        <w:rPr>
          <w:rtl/>
        </w:rPr>
        <w:t xml:space="preserve"> (שם) פסק דאשתו של פקח שנתגרשה ונשאת לחרש, והחרש גירשה, מותרת לחזור לראשון. [דאישות דחרש אינו חשוב במקום אישות פקח]. וה</w:t>
      </w:r>
      <w:r>
        <w:rPr>
          <w:b/>
          <w:bCs/>
          <w:rtl/>
        </w:rPr>
        <w:t>ראב"ד</w:t>
      </w:r>
      <w:r>
        <w:rPr>
          <w:rtl/>
        </w:rPr>
        <w:t xml:space="preserve"> חלק דאסורה לחזור, וכדין מחזיר גרושתו. [ונח' בדברי הירושלמי (לקמן יד א) ע' מפרשים וגר”א י ה]</w:t>
      </w:r>
      <w:r>
        <w:t>.</w:t>
      </w:r>
    </w:p>
    <w:p w14:paraId="14AD8173" w14:textId="77777777" w:rsidR="006C4368" w:rsidRDefault="006C4368" w:rsidP="006C4368">
      <w:pPr>
        <w:pStyle w:val="Footnote"/>
        <w:bidi/>
      </w:pPr>
      <w:r>
        <w:tab/>
      </w:r>
      <w:r>
        <w:rPr>
          <w:rtl/>
        </w:rPr>
        <w:t>ומבואר ברמב"ם דבאישות חרש לא אמרי' דתקון כעין דאורייתא. [דאינו אוסר במקום אישות גמור]. וע"ע או"ש (שם)</w:t>
      </w:r>
      <w:r>
        <w:t>.</w:t>
      </w:r>
    </w:p>
  </w:footnote>
  <w:footnote w:id="7283">
    <w:p w14:paraId="5F4BDDEF" w14:textId="77777777" w:rsidR="006C4368" w:rsidRDefault="006C4368" w:rsidP="006C4368">
      <w:pPr>
        <w:pStyle w:val="Footnote"/>
        <w:bidi/>
      </w:pPr>
      <w:r>
        <w:rPr>
          <w:rStyle w:val="ac"/>
        </w:rPr>
        <w:footnoteRef/>
      </w:r>
      <w:r>
        <w:rPr>
          <w:rtl/>
        </w:rPr>
        <w:t>ואף ה</w:t>
      </w:r>
      <w:r>
        <w:rPr>
          <w:b/>
          <w:bCs/>
          <w:rtl/>
        </w:rPr>
        <w:t>רי"ף</w:t>
      </w:r>
      <w:r>
        <w:rPr>
          <w:rtl/>
        </w:rPr>
        <w:t xml:space="preserve"> אוסר משום גזירה דאשה שהלך בעלה, וכה"ג אף ביבמה גזרו. ולא משום איסור סוטה דאורייתא</w:t>
      </w:r>
      <w:r>
        <w:t>.</w:t>
      </w:r>
    </w:p>
  </w:footnote>
  <w:footnote w:id="7284">
    <w:p w14:paraId="7C8E0CC3" w14:textId="77777777" w:rsidR="006C4368" w:rsidRDefault="006C4368" w:rsidP="006C4368">
      <w:pPr>
        <w:pStyle w:val="Footnote"/>
        <w:bidi/>
      </w:pPr>
      <w:r>
        <w:rPr>
          <w:rStyle w:val="ac"/>
        </w:rPr>
        <w:footnoteRef/>
      </w:r>
      <w:r>
        <w:rPr>
          <w:rtl/>
        </w:rPr>
        <w:t xml:space="preserve">אך </w:t>
      </w:r>
      <w:r>
        <w:rPr>
          <w:b/>
          <w:bCs/>
          <w:rtl/>
        </w:rPr>
        <w:t>תוס'</w:t>
      </w:r>
      <w:r>
        <w:rPr>
          <w:rtl/>
        </w:rPr>
        <w:t xml:space="preserve"> (לעיל נא: ד”ה אי) כת' דבאישות דרבנן כעין דאורייתא תקון</w:t>
      </w:r>
      <w:r>
        <w:t>.</w:t>
      </w:r>
    </w:p>
  </w:footnote>
  <w:footnote w:id="7285">
    <w:p w14:paraId="708C871A" w14:textId="77777777" w:rsidR="006C4368" w:rsidRDefault="006C4368" w:rsidP="006C4368">
      <w:pPr>
        <w:pStyle w:val="Footnote"/>
        <w:bidi/>
      </w:pPr>
      <w:r>
        <w:rPr>
          <w:rStyle w:val="ac"/>
        </w:rPr>
        <w:footnoteRef/>
      </w:r>
      <w:r>
        <w:rPr>
          <w:rtl/>
        </w:rPr>
        <w:t>אך שוב הביא דה</w:t>
      </w:r>
      <w:r>
        <w:rPr>
          <w:b/>
          <w:bCs/>
          <w:rtl/>
        </w:rPr>
        <w:t>נמוק"י</w:t>
      </w:r>
      <w:r>
        <w:rPr>
          <w:rtl/>
        </w:rPr>
        <w:t xml:space="preserve"> (והרשב"א הו' לעיל) דן היכא דקבלו קידושין בפני בעלה הראשון, ועי"ז תפסי קידושי שני. דהוה כמו שנתגרשה. וכת' דאי איירי שטועה בדין, וסבורה שיכולה למאן ל"ש לומר דהוה כאומר שנתגרשה</w:t>
      </w:r>
      <w:r>
        <w:t>.</w:t>
      </w:r>
    </w:p>
  </w:footnote>
  <w:footnote w:id="7286">
    <w:p w14:paraId="5A27F0CC" w14:textId="77777777" w:rsidR="006C4368" w:rsidRDefault="006C4368" w:rsidP="006C4368">
      <w:pPr>
        <w:pStyle w:val="Footnote"/>
        <w:bidi/>
      </w:pPr>
      <w:r>
        <w:rPr>
          <w:rStyle w:val="ac"/>
        </w:rPr>
        <w:footnoteRef/>
      </w:r>
      <w:r>
        <w:rPr>
          <w:rtl/>
        </w:rPr>
        <w:t>וגבי קידושי דביאה אי' (קידושין י.) דאם פשטה ידה וקבלה קדושין תוך כדי קידושי ביאה דראשון, מקודשת לשני</w:t>
      </w:r>
      <w:r>
        <w:t>.</w:t>
      </w:r>
    </w:p>
    <w:p w14:paraId="494DA1CB" w14:textId="77777777" w:rsidR="006C4368" w:rsidRDefault="006C4368" w:rsidP="006C4368">
      <w:pPr>
        <w:pStyle w:val="Footnote"/>
        <w:bidi/>
      </w:pPr>
      <w:r>
        <w:tab/>
      </w:r>
      <w:r>
        <w:rPr>
          <w:rtl/>
        </w:rPr>
        <w:t>ועוד אי' (קידושין נח:) דהשולח שליח לקדש, והלך וקידשה לעצמו, מה שעשה עשוי אלא שנהג מנהג רמאות. וה</w:t>
      </w:r>
      <w:r>
        <w:rPr>
          <w:b/>
          <w:bCs/>
          <w:rtl/>
        </w:rPr>
        <w:t>רשב"א</w:t>
      </w:r>
      <w:r>
        <w:rPr>
          <w:rtl/>
        </w:rPr>
        <w:t xml:space="preserve"> כת' דקמ"ל דלא הפקיעו את הקידושין כיון דעשה מנהג רמאות, והוה שלא כהוגן. [יל"פ דקמ"ל דרמאות לא הוה כל כך שלא כהוגן כחוטף]</w:t>
      </w:r>
      <w:r>
        <w:t>.</w:t>
      </w:r>
    </w:p>
  </w:footnote>
  <w:footnote w:id="7287">
    <w:p w14:paraId="4244C0DD" w14:textId="77777777" w:rsidR="006C4368" w:rsidRDefault="006C4368" w:rsidP="006C4368">
      <w:pPr>
        <w:pStyle w:val="Footnote"/>
        <w:bidi/>
      </w:pPr>
      <w:r>
        <w:rPr>
          <w:rStyle w:val="ac"/>
        </w:rPr>
        <w:footnoteRef/>
      </w:r>
      <w:r>
        <w:rPr>
          <w:rtl/>
        </w:rPr>
        <w:t>וכיון דגדלה אצלו [ולא מיחתה] היא כאשתו גמורה, ואינה יכולה לצאת מביתו אלא בגט</w:t>
      </w:r>
      <w:r>
        <w:t>.</w:t>
      </w:r>
    </w:p>
  </w:footnote>
  <w:footnote w:id="7288">
    <w:p w14:paraId="62A7A923" w14:textId="77777777" w:rsidR="006C4368" w:rsidRDefault="006C4368" w:rsidP="006C4368">
      <w:pPr>
        <w:pStyle w:val="Footnote"/>
        <w:bidi/>
      </w:pPr>
      <w:r>
        <w:rPr>
          <w:rStyle w:val="ac"/>
        </w:rPr>
        <w:footnoteRef/>
      </w:r>
      <w:r>
        <w:rPr>
          <w:rtl/>
        </w:rPr>
        <w:t>וכת' דעפ"ז איירי דוקא ביתומה קטנה שגדלה אצלו, ואיירי דוקא דרך פיתוי. [אבל אם היא מעצמה הלכה וקבלה קידושין מאחר לא הפקיעו]. [והגאונים לא הביאו דין זה כיון דלא שכיח]</w:t>
      </w:r>
      <w:r>
        <w:t>.</w:t>
      </w:r>
    </w:p>
  </w:footnote>
  <w:footnote w:id="7289">
    <w:p w14:paraId="55108F29" w14:textId="77777777" w:rsidR="006C4368" w:rsidRDefault="006C4368" w:rsidP="006C4368">
      <w:pPr>
        <w:pStyle w:val="Footnote"/>
        <w:bidi/>
      </w:pPr>
      <w:r>
        <w:rPr>
          <w:rStyle w:val="ac"/>
        </w:rPr>
        <w:footnoteRef/>
      </w:r>
      <w:r>
        <w:rPr>
          <w:rtl/>
        </w:rPr>
        <w:t>וה</w:t>
      </w:r>
      <w:r>
        <w:rPr>
          <w:b/>
          <w:bCs/>
          <w:rtl/>
        </w:rPr>
        <w:t>רשב"א</w:t>
      </w:r>
      <w:r>
        <w:rPr>
          <w:rtl/>
        </w:rPr>
        <w:t xml:space="preserve"> דחה דמשמע דדוקא משום שחטפה מחבירו. ואילו לדברי הרמב"ן אף פנויה בעלמא שכפאה להתקדש אפקעינהו</w:t>
      </w:r>
      <w:r>
        <w:t>.</w:t>
      </w:r>
    </w:p>
  </w:footnote>
  <w:footnote w:id="7290">
    <w:p w14:paraId="775103DD" w14:textId="77777777" w:rsidR="006C4368" w:rsidRDefault="006C4368" w:rsidP="006C4368">
      <w:pPr>
        <w:pStyle w:val="Footnote"/>
        <w:bidi/>
      </w:pPr>
      <w:r>
        <w:rPr>
          <w:rStyle w:val="ac"/>
        </w:rPr>
        <w:footnoteRef/>
      </w:r>
      <w:r>
        <w:rPr>
          <w:rtl/>
        </w:rPr>
        <w:t>וכת' דאי לא נתרצית לו ודאי ל"מ כלל, ול"צ אפקעינהו. [וצ"ע מהגמ' ב"ב שם]</w:t>
      </w:r>
      <w:r>
        <w:t>.</w:t>
      </w:r>
    </w:p>
  </w:footnote>
  <w:footnote w:id="7291">
    <w:p w14:paraId="7A0E2BAB" w14:textId="77777777" w:rsidR="006C4368" w:rsidRDefault="006C4368" w:rsidP="006C4368">
      <w:pPr>
        <w:pStyle w:val="Footnote"/>
        <w:bidi/>
      </w:pPr>
      <w:r>
        <w:rPr>
          <w:rStyle w:val="ac"/>
        </w:rPr>
        <w:footnoteRef/>
      </w:r>
      <w:r>
        <w:rPr>
          <w:rtl/>
        </w:rPr>
        <w:t>ובפשוטו משמע דהפקיעו את האישות, והתירו אשת איש מכאן ולהבא. [וכן נקט בקובה"ע (סט יג), וחקר האם הותר בקרובותיה]. אבל ה</w:t>
      </w:r>
      <w:r>
        <w:rPr>
          <w:b/>
          <w:bCs/>
          <w:rtl/>
        </w:rPr>
        <w:t>קוב"ש</w:t>
      </w:r>
      <w:r>
        <w:rPr>
          <w:rtl/>
        </w:rPr>
        <w:t xml:space="preserve"> (ב"ב רו) הביא דמהמשך דברי התוס' מבואר דחכמים עקרו למפרע את מעשה הקידושין, וכדמבואר בגמ' דהוה בעילתו זנות</w:t>
      </w:r>
      <w:r>
        <w:t>.</w:t>
      </w:r>
    </w:p>
  </w:footnote>
  <w:footnote w:id="7292">
    <w:p w14:paraId="0CAE3F07" w14:textId="77777777" w:rsidR="006C4368" w:rsidRDefault="006C4368" w:rsidP="006C4368">
      <w:pPr>
        <w:pStyle w:val="Footnote"/>
        <w:bidi/>
      </w:pPr>
      <w:r>
        <w:rPr>
          <w:rStyle w:val="ac"/>
        </w:rPr>
        <w:footnoteRef/>
      </w:r>
      <w:r>
        <w:rPr>
          <w:rtl/>
        </w:rPr>
        <w:t>והאו"ש דן דהיכא דנשאת קודם שתגדל י"ל שנשואיה הן מיאוניה [ואף דסבורה שהיא מותרת לשוק, דפטרה צרתה]. אך היכא דנשאת לאחר גדלות קשה ל"מ למאן כלל</w:t>
      </w:r>
      <w:r>
        <w:t>.</w:t>
      </w:r>
    </w:p>
  </w:footnote>
  <w:footnote w:id="7293">
    <w:p w14:paraId="13B4A56B" w14:textId="77777777" w:rsidR="006C4368" w:rsidRDefault="006C4368" w:rsidP="006C4368">
      <w:pPr>
        <w:pStyle w:val="Footnote"/>
        <w:bidi/>
      </w:pPr>
      <w:r>
        <w:rPr>
          <w:rStyle w:val="ac"/>
        </w:rPr>
        <w:footnoteRef/>
      </w:r>
      <w:r>
        <w:rPr>
          <w:rtl/>
        </w:rPr>
        <w:t>ואבן פינה מוסד להקבלה, דדרכיה דרכי נועם, ומטעם זה פטורה מן החליצה אם מתו הבנים (יבמות פז, ב), ובכ"מ בש"ס הוציאו מזה כמה הלכות, ואיך עשו חכמים נגד כלל גדול עיקר כזה</w:t>
      </w:r>
      <w:r>
        <w:t>.</w:t>
      </w:r>
    </w:p>
  </w:footnote>
  <w:footnote w:id="7294">
    <w:p w14:paraId="143AC45A" w14:textId="77777777" w:rsidR="006C4368" w:rsidRDefault="006C4368" w:rsidP="006C4368">
      <w:pPr>
        <w:pStyle w:val="Footnote"/>
        <w:bidi/>
      </w:pPr>
      <w:r>
        <w:rPr>
          <w:rStyle w:val="ac"/>
        </w:rPr>
        <w:footnoteRef/>
      </w:r>
      <w:r>
        <w:rPr>
          <w:rtl/>
        </w:rPr>
        <w:t>והאו”ש העלה צד דקידושין קטנה נחשב ספק, וכדאי' (בע"ב) דקנויה ואינה קנויה. א”כ הוה ספק דרבנן שזקוקה ליבם, ומש"ה ספק חלוצה מותרת לכהן היכא דקדמו וכנסו (כדאי' לעיל כד.). ודחה דזה מוזר מאד לחשוב קידושי קטנה לספיקא, כדרבנן תקנו על זה האופן</w:t>
      </w:r>
      <w:r>
        <w:t>.</w:t>
      </w:r>
    </w:p>
  </w:footnote>
  <w:footnote w:id="7295">
    <w:p w14:paraId="2D8B794D" w14:textId="77777777" w:rsidR="006C4368" w:rsidRDefault="006C4368" w:rsidP="006C4368">
      <w:pPr>
        <w:pStyle w:val="Footnote"/>
        <w:bidi/>
      </w:pPr>
      <w:r>
        <w:rPr>
          <w:rStyle w:val="ac"/>
        </w:rPr>
        <w:footnoteRef/>
      </w:r>
      <w:r>
        <w:rPr>
          <w:rtl/>
        </w:rPr>
        <w:t>וכ"כ ב</w:t>
      </w:r>
      <w:r>
        <w:rPr>
          <w:b/>
          <w:bCs/>
          <w:rtl/>
        </w:rPr>
        <w:t>שו"ת הרשב"א</w:t>
      </w:r>
      <w:r>
        <w:rPr>
          <w:rtl/>
        </w:rPr>
        <w:t xml:space="preserve"> (א אלף קצו) בדעת רב נחמן (בע"ב). אך נסתפק אלביא דרב אדא בר אהבה דתלי ליה בניח"ל, א"כ איירי אף בנפלו מאחיו חרש, דסתמא קתני בכל ענין. וביאר דניחא ליה טפי בפקחת. [דהא לית ליה טעמא דבת מינה]. וע"ע בע"ב</w:t>
      </w:r>
      <w:r>
        <w:t>.</w:t>
      </w:r>
    </w:p>
  </w:footnote>
  <w:footnote w:id="7296">
    <w:p w14:paraId="5AB9592F" w14:textId="77777777" w:rsidR="006C4368" w:rsidRDefault="006C4368" w:rsidP="006C4368">
      <w:pPr>
        <w:pStyle w:val="Footnote"/>
        <w:bidi/>
      </w:pPr>
      <w:r>
        <w:rPr>
          <w:rStyle w:val="ac"/>
        </w:rPr>
        <w:footnoteRef/>
      </w:r>
      <w:r>
        <w:rPr>
          <w:rtl/>
        </w:rPr>
        <w:t>היינו דבשעת נישואין היתה חרשת [וכ”מ בתוס' בע”ב]. ואף אי נולדו פקחת, ואח"כ נתחרשה קודם הנישואין</w:t>
      </w:r>
      <w:r>
        <w:t>.</w:t>
      </w:r>
    </w:p>
  </w:footnote>
  <w:footnote w:id="7297">
    <w:p w14:paraId="139F5497" w14:textId="77777777" w:rsidR="006C4368" w:rsidRDefault="006C4368" w:rsidP="006C4368">
      <w:pPr>
        <w:pStyle w:val="Footnote"/>
        <w:bidi/>
      </w:pPr>
      <w:r>
        <w:rPr>
          <w:rStyle w:val="ac"/>
        </w:rPr>
        <w:footnoteRef/>
      </w:r>
      <w:r>
        <w:rPr>
          <w:rtl/>
        </w:rPr>
        <w:t>וה</w:t>
      </w:r>
      <w:r>
        <w:rPr>
          <w:b/>
          <w:bCs/>
          <w:rtl/>
        </w:rPr>
        <w:t>עונג יו"ט</w:t>
      </w:r>
      <w:r>
        <w:rPr>
          <w:rtl/>
        </w:rPr>
        <w:t xml:space="preserve"> (ב) עמד בזה, ופלפל דמש"ה נקט הרמב"ם דהחסרון משום דעת, ולא משום קריאה</w:t>
      </w:r>
      <w:r>
        <w:t>.</w:t>
      </w:r>
    </w:p>
  </w:footnote>
  <w:footnote w:id="7298">
    <w:p w14:paraId="627CE9A3" w14:textId="77777777" w:rsidR="006C4368" w:rsidRDefault="006C4368" w:rsidP="006C4368">
      <w:pPr>
        <w:pStyle w:val="Footnote"/>
        <w:bidi/>
      </w:pPr>
      <w:r>
        <w:rPr>
          <w:rStyle w:val="ac"/>
        </w:rPr>
        <w:footnoteRef/>
      </w:r>
      <w:r>
        <w:rPr>
          <w:rtl/>
        </w:rPr>
        <w:t>אך הק' דבגמ' (כאן) אליבא דרבה דאף בחסרון קריאה אמרי' כי היכי, א"כ אמאי נקט טעם זה דוקא. [וי"ל דלרבותא דרבה]</w:t>
      </w:r>
      <w:r>
        <w:t>.</w:t>
      </w:r>
    </w:p>
  </w:footnote>
  <w:footnote w:id="7299">
    <w:p w14:paraId="6D1C08AD" w14:textId="77777777" w:rsidR="006C4368" w:rsidRDefault="006C4368" w:rsidP="006C4368">
      <w:pPr>
        <w:pStyle w:val="Footnote"/>
        <w:bidi/>
      </w:pPr>
      <w:r>
        <w:rPr>
          <w:rStyle w:val="ac"/>
        </w:rPr>
        <w:footnoteRef/>
      </w:r>
      <w:r>
        <w:rPr>
          <w:rtl/>
        </w:rPr>
        <w:t>ו</w:t>
      </w:r>
      <w:r>
        <w:rPr>
          <w:b/>
          <w:bCs/>
          <w:rtl/>
        </w:rPr>
        <w:t>רע"א</w:t>
      </w:r>
      <w:r>
        <w:rPr>
          <w:rtl/>
        </w:rPr>
        <w:t xml:space="preserve"> (במשנה קיב:) כת' דקצת יש ליישב דרש"י קאי לסברת המקשן [וצ”ב]. וה</w:t>
      </w:r>
      <w:r>
        <w:rPr>
          <w:b/>
          <w:bCs/>
          <w:rtl/>
        </w:rPr>
        <w:t>תפארת ירושלים</w:t>
      </w:r>
      <w:r>
        <w:rPr>
          <w:rtl/>
        </w:rPr>
        <w:t xml:space="preserve"> ביאר דכוונתו להדגיש דאפי' בקידושין דרבנן ל”מ חליצה</w:t>
      </w:r>
      <w:r>
        <w:t>.</w:t>
      </w:r>
    </w:p>
  </w:footnote>
  <w:footnote w:id="7300">
    <w:p w14:paraId="6785B55A" w14:textId="77777777" w:rsidR="006C4368" w:rsidRDefault="006C4368" w:rsidP="006C4368">
      <w:pPr>
        <w:pStyle w:val="Footnote"/>
        <w:bidi/>
      </w:pPr>
      <w:r>
        <w:rPr>
          <w:rStyle w:val="ac"/>
        </w:rPr>
        <w:footnoteRef/>
      </w:r>
      <w:r>
        <w:rPr>
          <w:rtl/>
        </w:rPr>
        <w:t>וה</w:t>
      </w:r>
      <w:r>
        <w:rPr>
          <w:b/>
          <w:bCs/>
          <w:rtl/>
        </w:rPr>
        <w:t>מאירי</w:t>
      </w:r>
      <w:r>
        <w:rPr>
          <w:rtl/>
        </w:rPr>
        <w:t xml:space="preserve"> ביאר (הך הו"א, קרוב ללשון הגמ') בשנפלה לו מאחיו פקח דלא ידעינן אי ניחא ליה לקמא בקטנה וכו', ואחר שכן אין הדבר ידוע באי זו חלו הנשואין יותר. אבל אם נפלה לו מאחיו חרש אנן סהדי דבחרשת הוה ניחא ליה</w:t>
      </w:r>
      <w:r>
        <w:t>.</w:t>
      </w:r>
    </w:p>
  </w:footnote>
  <w:footnote w:id="7301">
    <w:p w14:paraId="0F8B3C1A" w14:textId="77777777" w:rsidR="006C4368" w:rsidRDefault="006C4368" w:rsidP="006C4368">
      <w:pPr>
        <w:pStyle w:val="Footnote"/>
        <w:bidi/>
      </w:pPr>
      <w:r>
        <w:rPr>
          <w:rStyle w:val="ac"/>
        </w:rPr>
        <w:footnoteRef/>
      </w:r>
      <w:r>
        <w:rPr>
          <w:rtl/>
        </w:rPr>
        <w:t>משמע דסברת לא ידעינן הוה סברא כלפי היבם. וצ"ב דבגמ' משמע דהוה סברא כלפי הראשון, ומש”ה מהני הא דלא ידעינן</w:t>
      </w:r>
      <w:r>
        <w:t>.</w:t>
      </w:r>
    </w:p>
  </w:footnote>
  <w:footnote w:id="7302">
    <w:p w14:paraId="6B8D7554" w14:textId="77777777" w:rsidR="006C4368" w:rsidRDefault="006C4368" w:rsidP="006C4368">
      <w:pPr>
        <w:pStyle w:val="Footnote"/>
        <w:bidi/>
      </w:pPr>
      <w:r>
        <w:rPr>
          <w:rStyle w:val="ac"/>
        </w:rPr>
        <w:footnoteRef/>
      </w:r>
      <w:r>
        <w:rPr>
          <w:rtl/>
        </w:rPr>
        <w:t>והא דאמרי' 'ולא ידעינן' הי רמי קמיה, אין הפירוש דבאמת רק א' רמיא, דא"כ חזר ובא על שניה לא יפסול את הראשונה [דממ”נ זו לא רמי]</w:t>
      </w:r>
      <w:r>
        <w:t>.</w:t>
      </w:r>
    </w:p>
  </w:footnote>
  <w:footnote w:id="7303">
    <w:p w14:paraId="2CDB0716" w14:textId="77777777" w:rsidR="006C4368" w:rsidRDefault="006C4368" w:rsidP="006C4368">
      <w:pPr>
        <w:pStyle w:val="Footnote"/>
        <w:bidi/>
      </w:pPr>
      <w:r>
        <w:rPr>
          <w:rStyle w:val="ac"/>
        </w:rPr>
        <w:footnoteRef/>
      </w:r>
      <w:r>
        <w:rPr>
          <w:rtl/>
        </w:rPr>
        <w:t>וה</w:t>
      </w:r>
      <w:r>
        <w:rPr>
          <w:b/>
          <w:bCs/>
          <w:rtl/>
        </w:rPr>
        <w:t>חזו”א</w:t>
      </w:r>
      <w:r>
        <w:rPr>
          <w:rtl/>
        </w:rPr>
        <w:t xml:space="preserve"> ציין דה</w:t>
      </w:r>
      <w:r>
        <w:rPr>
          <w:b/>
          <w:bCs/>
          <w:rtl/>
        </w:rPr>
        <w:t>ב"י</w:t>
      </w:r>
      <w:r>
        <w:rPr>
          <w:rtl/>
        </w:rPr>
        <w:t xml:space="preserve"> (קנה) הביא </w:t>
      </w:r>
      <w:r>
        <w:rPr>
          <w:b/>
          <w:bCs/>
          <w:rtl/>
        </w:rPr>
        <w:t>שו"ת הרשב"א</w:t>
      </w:r>
      <w:r>
        <w:rPr>
          <w:rtl/>
        </w:rPr>
        <w:t xml:space="preserve"> (א אלף רג) דקטנה שהיא חרשת ממאנת, דלא פלוג בין פקחת לחרשת לענין מיאון. וכת' דאין בזה הכרע לנידון דידן</w:t>
      </w:r>
      <w:r>
        <w:t>.</w:t>
      </w:r>
    </w:p>
  </w:footnote>
  <w:footnote w:id="7304">
    <w:p w14:paraId="69AB9C4C" w14:textId="77777777" w:rsidR="006C4368" w:rsidRDefault="006C4368" w:rsidP="006C4368">
      <w:pPr>
        <w:pStyle w:val="Footnote"/>
        <w:bidi/>
      </w:pPr>
      <w:r>
        <w:rPr>
          <w:rStyle w:val="ac"/>
        </w:rPr>
        <w:footnoteRef/>
      </w:r>
      <w:r>
        <w:rPr>
          <w:rtl/>
        </w:rPr>
        <w:t>משמע דאליבא דאמת חרש שנשא ב' נשים, א' חרשת וא' קטנה ומת, אינן פוטרות זו את זו. וצ"ב דכה"ג הקטנה הוה ג"כ קידושי חרשות, ומבואר במשנה דבב' חרשות פוטרות זו את זו [דתרוייהו קנויות ומשויירות בשווה]. והכא דהוה ג"כ קטנה, החרשת תפטור את הקטנה</w:t>
      </w:r>
      <w:r>
        <w:t>.</w:t>
      </w:r>
    </w:p>
  </w:footnote>
  <w:footnote w:id="7305">
    <w:p w14:paraId="7798107C" w14:textId="77777777" w:rsidR="006C4368" w:rsidRDefault="006C4368" w:rsidP="006C4368">
      <w:pPr>
        <w:pStyle w:val="Footnote"/>
        <w:bidi/>
      </w:pPr>
      <w:r>
        <w:rPr>
          <w:rStyle w:val="ac"/>
        </w:rPr>
        <w:footnoteRef/>
      </w:r>
      <w:r>
        <w:rPr>
          <w:rtl/>
        </w:rPr>
        <w:t>אך הרי"ף ורמב"ם ושאר פוסקים השמיטו לסוגיין, ולא הביאו הך נפק"מ דנפלו מאחיו חרש. והחזו"א כת' דסמכו על סתימת הדברים דאין חילוק</w:t>
      </w:r>
      <w:r>
        <w:t>.</w:t>
      </w:r>
    </w:p>
  </w:footnote>
  <w:footnote w:id="7306">
    <w:p w14:paraId="1FBD4F13" w14:textId="77777777" w:rsidR="006C4368" w:rsidRDefault="006C4368" w:rsidP="006C4368">
      <w:pPr>
        <w:pStyle w:val="Footnote"/>
        <w:bidi/>
      </w:pPr>
      <w:r>
        <w:rPr>
          <w:rStyle w:val="ac"/>
        </w:rPr>
        <w:footnoteRef/>
      </w:r>
      <w:r>
        <w:rPr>
          <w:rtl/>
        </w:rPr>
        <w:t>[ו</w:t>
      </w:r>
      <w:r>
        <w:rPr>
          <w:b/>
          <w:bCs/>
          <w:rtl/>
        </w:rPr>
        <w:t>ה"ה</w:t>
      </w:r>
      <w:r>
        <w:rPr>
          <w:rtl/>
        </w:rPr>
        <w:t xml:space="preserve"> כת' דהדבר צריך לי הכרע]. וה</w:t>
      </w:r>
      <w:r>
        <w:rPr>
          <w:b/>
          <w:bCs/>
          <w:rtl/>
        </w:rPr>
        <w:t>ק"נ</w:t>
      </w:r>
      <w:r>
        <w:rPr>
          <w:rtl/>
        </w:rPr>
        <w:t xml:space="preserve"> (ש) הוסיף דמדרבנן אסור למאן, ודרבנן נגד דרבנן שב ואל תעשה. [ויל"פ דהא דמלמדים את הקטנה למאן הוה משום דמצוות יבום דאורייתא דוחה דין אישות דרבנן. אבל היכא דתרוייהו דרבנן לא אמרו כן]</w:t>
      </w:r>
      <w:r>
        <w:t>.</w:t>
      </w:r>
    </w:p>
  </w:footnote>
  <w:footnote w:id="7307">
    <w:p w14:paraId="3C8F4047" w14:textId="77777777" w:rsidR="006C4368" w:rsidRDefault="006C4368" w:rsidP="006C4368">
      <w:pPr>
        <w:pStyle w:val="Footnote"/>
        <w:bidi/>
      </w:pPr>
      <w:r>
        <w:rPr>
          <w:rStyle w:val="ac"/>
        </w:rPr>
        <w:footnoteRef/>
      </w:r>
      <w:r>
        <w:rPr>
          <w:rtl/>
        </w:rPr>
        <w:t>וה</w:t>
      </w:r>
      <w:r>
        <w:rPr>
          <w:b/>
          <w:bCs/>
          <w:rtl/>
        </w:rPr>
        <w:t>ראב"ד</w:t>
      </w:r>
      <w:r>
        <w:rPr>
          <w:rtl/>
        </w:rPr>
        <w:t xml:space="preserve"> הוסיף דהא קים ליה בביאה ראשונה. [וקאי אמתני' לקמן קיא: דלאחר שכנס את הראשונה קיים מצוות יבום]. והק”נ (ת) הק' דכאן ל”ש קו' זו, דמלמדים שתמאן קודם שמייבם החרשת</w:t>
      </w:r>
      <w:r>
        <w:t>.</w:t>
      </w:r>
    </w:p>
  </w:footnote>
  <w:footnote w:id="7308">
    <w:p w14:paraId="5EA1BC5B" w14:textId="77777777" w:rsidR="006C4368" w:rsidRDefault="006C4368" w:rsidP="006C4368">
      <w:pPr>
        <w:pStyle w:val="Footnote"/>
        <w:bidi/>
      </w:pPr>
      <w:r>
        <w:rPr>
          <w:rStyle w:val="ac"/>
        </w:rPr>
        <w:footnoteRef/>
      </w:r>
      <w:r>
        <w:t>{</w:t>
      </w:r>
      <w:r>
        <w:rPr>
          <w:rtl/>
        </w:rPr>
        <w:t>ולכאורה משמע בדברי הראב"ד דר' אליעזר (דמשנה קט.) הוא ר"א (במשנה קיא:) [וכגירסא לפנינו ברי"ף, אלא דהב"ח הגיה ר' אלעזר בדף קיא:]. ודלא כ</w:t>
      </w:r>
      <w:r>
        <w:rPr>
          <w:b/>
          <w:bCs/>
          <w:rtl/>
        </w:rPr>
        <w:t>רש"י</w:t>
      </w:r>
      <w:r>
        <w:rPr>
          <w:rtl/>
        </w:rPr>
        <w:t xml:space="preserve"> (נדה ח:, הו' לקמן קיא:) דהוה ב' תנאים. ואי גרסי' לקמן ר' אלעזר, א”כ ע"פ דברי הרמב"ן לכאורה הרי”ף הביא מהמשנה שם, וצריך לגרוס אף הכא ר' אלעזר, דמלמדים כיון דאינה מפסדת. ואילו ר' אליעזר הוה דוקא במקום יבום דאורייתא. [וצ”ע]</w:t>
      </w:r>
      <w:r>
        <w:t>}.</w:t>
      </w:r>
    </w:p>
  </w:footnote>
  <w:footnote w:id="7309">
    <w:p w14:paraId="7DC3E3B8" w14:textId="77777777" w:rsidR="006C4368" w:rsidRDefault="006C4368" w:rsidP="006C4368">
      <w:pPr>
        <w:pStyle w:val="Footnote"/>
        <w:bidi/>
      </w:pPr>
      <w:r>
        <w:rPr>
          <w:rStyle w:val="ac"/>
        </w:rPr>
        <w:footnoteRef/>
      </w:r>
      <w:r>
        <w:rPr>
          <w:rtl/>
        </w:rPr>
        <w:t>ושופך מי בורו ואחרים צריכים להם [וכדאי' לעיל יא: ומד.]. {יל"ע דלפ"ז מלמדים למאן לטובת עצמה, ולא משום תועלת החרשת. ול"ד להא דלעיל קט. דמפתים אותה ומלמדים לתועלת אחרים}</w:t>
      </w:r>
      <w:r>
        <w:t>.</w:t>
      </w:r>
    </w:p>
  </w:footnote>
  <w:footnote w:id="7310">
    <w:p w14:paraId="5F0402ED" w14:textId="77777777" w:rsidR="006C4368" w:rsidRDefault="006C4368" w:rsidP="006C4368">
      <w:pPr>
        <w:pStyle w:val="Footnote"/>
        <w:bidi/>
      </w:pPr>
      <w:r>
        <w:rPr>
          <w:rStyle w:val="ac"/>
        </w:rPr>
        <w:footnoteRef/>
      </w:r>
      <w:r>
        <w:rPr>
          <w:rtl/>
        </w:rPr>
        <w:t>ויל"ד דלפ"ז י"ל דאף ר' יהושע מודה דיש לה למאן [דמסברא לא הוה בכלל הא דיתרחק מהמיאונין, ולא שייך לסברת ר”א במשנה קט.], א"כ אליבא דמאן אמרי' בסוגיין כיצד תקנתם. אך מ"מ נח' בכה"ג במשנה (לקמן קיא:)</w:t>
      </w:r>
      <w:r>
        <w:t>.</w:t>
      </w:r>
    </w:p>
  </w:footnote>
  <w:footnote w:id="7311">
    <w:p w14:paraId="37F12C51" w14:textId="77777777" w:rsidR="006C4368" w:rsidRDefault="006C4368" w:rsidP="006C4368">
      <w:pPr>
        <w:pStyle w:val="Footnote"/>
        <w:bidi/>
      </w:pPr>
      <w:r>
        <w:rPr>
          <w:rStyle w:val="ac"/>
        </w:rPr>
        <w:footnoteRef/>
      </w:r>
      <w:r>
        <w:rPr>
          <w:rtl/>
        </w:rPr>
        <w:t>משמע דיש להתרחק טפי ממיאון ביבם מאשר בבעל. וצ"ב מדוע, דהא דקי"ל כעולא (קז:) דממאנת לזיקתו, וסברת יתרחק מהמיאון הוה משום שהיא תחתיו, וכמ"ש תוס' (לעיל יג.)</w:t>
      </w:r>
      <w:r>
        <w:t>.</w:t>
      </w:r>
    </w:p>
  </w:footnote>
  <w:footnote w:id="7312">
    <w:p w14:paraId="3A3E00AF" w14:textId="77777777" w:rsidR="006C4368" w:rsidRDefault="006C4368" w:rsidP="006C4368">
      <w:pPr>
        <w:pStyle w:val="Footnote"/>
        <w:bidi/>
      </w:pPr>
      <w:r>
        <w:rPr>
          <w:rStyle w:val="ac"/>
        </w:rPr>
        <w:footnoteRef/>
      </w:r>
      <w:r>
        <w:rPr>
          <w:rtl/>
        </w:rPr>
        <w:t>וכת' דאף דהגמ' (בסמוך קיא.) מק' תיתיב גביה ממ"נ, היינו לעולם [אך אחר שיחלוץ לה]</w:t>
      </w:r>
      <w:r>
        <w:t>.</w:t>
      </w:r>
    </w:p>
  </w:footnote>
  <w:footnote w:id="7313">
    <w:p w14:paraId="77AD0A92" w14:textId="77777777" w:rsidR="006C4368" w:rsidRDefault="006C4368" w:rsidP="006C4368">
      <w:pPr>
        <w:pStyle w:val="Footnote"/>
        <w:bidi/>
      </w:pPr>
      <w:r>
        <w:rPr>
          <w:rStyle w:val="ac"/>
        </w:rPr>
        <w:footnoteRef/>
      </w:r>
      <w:r>
        <w:rPr>
          <w:rtl/>
        </w:rPr>
        <w:t>דע"י חליצת הקטנה נתברר למפרע דצרתה לא היתה עומדת ליבום, והוה ביאה שלא במקום מצווה. וצ"ב א"כ האיך התירו ביאה ראשונה [דכונס את החרשת]. וצ"ל דגדר איסור זה למפרע הוה מדרבנן, ולא גזרו במקום עיגון החרשת</w:t>
      </w:r>
      <w:r>
        <w:t>.</w:t>
      </w:r>
    </w:p>
  </w:footnote>
  <w:footnote w:id="7314">
    <w:p w14:paraId="447B6A71" w14:textId="77777777" w:rsidR="006C4368" w:rsidRDefault="006C4368" w:rsidP="006C4368">
      <w:pPr>
        <w:pStyle w:val="Footnote"/>
        <w:bidi/>
      </w:pPr>
      <w:r>
        <w:rPr>
          <w:rStyle w:val="ac"/>
        </w:rPr>
        <w:footnoteRef/>
      </w:r>
      <w:r>
        <w:rPr>
          <w:rtl/>
        </w:rPr>
        <w:t>וה</w:t>
      </w:r>
      <w:r>
        <w:rPr>
          <w:b/>
          <w:bCs/>
          <w:rtl/>
        </w:rPr>
        <w:t>ריטב”א</w:t>
      </w:r>
      <w:r>
        <w:rPr>
          <w:rtl/>
        </w:rPr>
        <w:t xml:space="preserve"> כת' כללא דמילתא, דהיכא דקנויה לגמרי פטרה כוליה ביתא ואין אחריה פסול, ושאינה קנויה כלל לא פטרה כלום, ואינה פוסלת כלום דנכרית בעלמא היא. אבל קנויה ומשויירת שיש בה קנין ואינו גמור אינה פוטרת ונפסלת בביאת הקנויה. [וכדמבואר בסמוך דנחשב ביאה פסולה]</w:t>
      </w:r>
      <w:r>
        <w:t>.</w:t>
      </w:r>
    </w:p>
  </w:footnote>
  <w:footnote w:id="7315">
    <w:p w14:paraId="4DAF3E00" w14:textId="77777777" w:rsidR="006C4368" w:rsidRDefault="006C4368" w:rsidP="006C4368">
      <w:pPr>
        <w:pStyle w:val="Footnote"/>
        <w:bidi/>
      </w:pPr>
      <w:r>
        <w:rPr>
          <w:rStyle w:val="ac"/>
        </w:rPr>
        <w:footnoteRef/>
      </w:r>
      <w:r>
        <w:rPr>
          <w:rtl/>
        </w:rPr>
        <w:t>וה</w:t>
      </w:r>
      <w:r>
        <w:rPr>
          <w:b/>
          <w:bCs/>
          <w:rtl/>
        </w:rPr>
        <w:t>ריטב"א</w:t>
      </w:r>
      <w:r>
        <w:rPr>
          <w:rtl/>
        </w:rPr>
        <w:t xml:space="preserve"> כת' כללא דמילתא </w:t>
      </w:r>
      <w:r>
        <w:rPr>
          <w:i/>
          <w:iCs/>
          <w:rtl/>
        </w:rPr>
        <w:t>א'</w:t>
      </w:r>
      <w:r>
        <w:rPr>
          <w:rtl/>
        </w:rPr>
        <w:t xml:space="preserve"> קנויה לגמרי פטרה כוליה ביתא ואין אחריה פסול. </w:t>
      </w:r>
      <w:r>
        <w:rPr>
          <w:i/>
          <w:iCs/>
          <w:rtl/>
        </w:rPr>
        <w:t>ב'</w:t>
      </w:r>
      <w:r>
        <w:rPr>
          <w:rtl/>
        </w:rPr>
        <w:t xml:space="preserve"> שאינה קנויה כלל לא פטרה כלום, ואינה פוסלת כלום דנכרית בעלמא היא. אבל קנויה ומשויירת שיש בה קנין ואינו גמור אינה פוטרת ונפסלת בביאת קנויה</w:t>
      </w:r>
      <w:r>
        <w:t>.</w:t>
      </w:r>
    </w:p>
    <w:p w14:paraId="56EA74BE" w14:textId="77777777" w:rsidR="006C4368" w:rsidRDefault="006C4368" w:rsidP="006C4368">
      <w:pPr>
        <w:pStyle w:val="Footnote"/>
        <w:bidi/>
      </w:pPr>
      <w:r>
        <w:tab/>
      </w:r>
      <w:r>
        <w:rPr>
          <w:rtl/>
        </w:rPr>
        <w:t>וכת' דהא דאמר רב חסדא כונס את החרשת ומוציאה בגט היינו שמוציאה כשתגדיל הקטנה, שהקטנה צריכה חליצה כדי שלא לעגנה. אבל כל זמן שהיא קטנה מותר בחרשת. [משמע דמוציא בגט, ואח"כ חולץ. אך אף אי חלץ ועי"ז נאסרת החרשת, ואח"כ יגרש]</w:t>
      </w:r>
      <w:r>
        <w:t>.</w:t>
      </w:r>
    </w:p>
  </w:footnote>
  <w:footnote w:id="7316">
    <w:p w14:paraId="7B8D88B1" w14:textId="77777777" w:rsidR="006C4368" w:rsidRDefault="006C4368" w:rsidP="006C4368">
      <w:pPr>
        <w:pStyle w:val="Footnote"/>
        <w:bidi/>
      </w:pPr>
      <w:r>
        <w:rPr>
          <w:rStyle w:val="ac"/>
        </w:rPr>
        <w:footnoteRef/>
      </w:r>
      <w:r>
        <w:rPr>
          <w:rtl/>
        </w:rPr>
        <w:t>ודייק כצד זה מדברי</w:t>
      </w:r>
      <w:r>
        <w:rPr>
          <w:b/>
          <w:bCs/>
          <w:rtl/>
        </w:rPr>
        <w:t xml:space="preserve"> רש"י</w:t>
      </w:r>
      <w:r>
        <w:rPr>
          <w:rtl/>
        </w:rPr>
        <w:t xml:space="preserve"> (ד"ה חרשת) דקטנה ספק קנויה כולה, משמע דקאי על האשה המתקדשה, דחרשת אין כל האשה קנויה</w:t>
      </w:r>
      <w:r>
        <w:t>.</w:t>
      </w:r>
    </w:p>
  </w:footnote>
  <w:footnote w:id="7317">
    <w:p w14:paraId="7FC1EF2D" w14:textId="77777777" w:rsidR="006C4368" w:rsidRDefault="006C4368" w:rsidP="006C4368">
      <w:pPr>
        <w:pStyle w:val="Footnote"/>
        <w:bidi/>
      </w:pPr>
      <w:r>
        <w:rPr>
          <w:rStyle w:val="ac"/>
        </w:rPr>
        <w:footnoteRef/>
      </w:r>
      <w:r>
        <w:rPr>
          <w:rtl/>
        </w:rPr>
        <w:t>וה</w:t>
      </w:r>
      <w:r>
        <w:rPr>
          <w:b/>
          <w:bCs/>
          <w:rtl/>
        </w:rPr>
        <w:t>חזו"א</w:t>
      </w:r>
      <w:r>
        <w:rPr>
          <w:rtl/>
        </w:rPr>
        <w:t xml:space="preserve"> הק' דבירושלמי אי' דמקדש חוץ מפלוני אינה מתייבמת, דצד הקנוי חשיב ערוה</w:t>
      </w:r>
      <w:r>
        <w:t>.</w:t>
      </w:r>
    </w:p>
  </w:footnote>
  <w:footnote w:id="7318">
    <w:p w14:paraId="4E017B5F" w14:textId="77777777" w:rsidR="006C4368" w:rsidRDefault="006C4368" w:rsidP="006C4368">
      <w:pPr>
        <w:pStyle w:val="Footnote"/>
        <w:bidi/>
      </w:pPr>
      <w:r>
        <w:rPr>
          <w:rStyle w:val="ac"/>
        </w:rPr>
        <w:footnoteRef/>
      </w:r>
      <w:r>
        <w:rPr>
          <w:rtl/>
        </w:rPr>
        <w:t>אך החזו"א דחה דלמה יתקנו שיור בקידושין, ועוד דקי"ל (גיטין פב:) ויצאה והיתה, ולרבנן א"א לקדש חוץ מפלוני [ודוקא לר”א מהני]. והוה מילתא דליתא כוותיה בדאורייתא. ועוד דא"כ יתפסו בה קידושי שני</w:t>
      </w:r>
      <w:r>
        <w:t>.</w:t>
      </w:r>
    </w:p>
  </w:footnote>
  <w:footnote w:id="7319">
    <w:p w14:paraId="29E6C640" w14:textId="77777777" w:rsidR="006C4368" w:rsidRDefault="006C4368" w:rsidP="006C4368">
      <w:pPr>
        <w:pStyle w:val="Footnote"/>
        <w:bidi/>
      </w:pPr>
      <w:r>
        <w:rPr>
          <w:rStyle w:val="ac"/>
        </w:rPr>
        <w:footnoteRef/>
      </w:r>
      <w:r>
        <w:rPr>
          <w:rtl/>
        </w:rPr>
        <w:t>אבל היכא דנשאה חרשת ומת זקוקה ליבום דאין כאן צד משוייר. ושפיר מתייבמת אף דהוה מין משויר</w:t>
      </w:r>
      <w:r>
        <w:t>.</w:t>
      </w:r>
    </w:p>
  </w:footnote>
  <w:footnote w:id="7320">
    <w:p w14:paraId="15505DD1" w14:textId="77777777" w:rsidR="006C4368" w:rsidRDefault="006C4368" w:rsidP="006C4368">
      <w:pPr>
        <w:pStyle w:val="Footnote"/>
        <w:bidi/>
      </w:pPr>
      <w:r>
        <w:rPr>
          <w:rStyle w:val="ac"/>
        </w:rPr>
        <w:footnoteRef/>
      </w:r>
      <w:r>
        <w:rPr>
          <w:rtl/>
        </w:rPr>
        <w:t>והביא דלחד מ"ד בירושלמי לענין קידושין חוץ מפלוני, דערוה בחד צד חשיב ערוה בכולו. ואכמ”ל</w:t>
      </w:r>
      <w:r>
        <w:t>.</w:t>
      </w:r>
    </w:p>
  </w:footnote>
  <w:footnote w:id="7321">
    <w:p w14:paraId="472BE93A" w14:textId="77777777" w:rsidR="006C4368" w:rsidRDefault="006C4368" w:rsidP="006C4368">
      <w:pPr>
        <w:pStyle w:val="Footnote"/>
        <w:bidi/>
      </w:pPr>
      <w:r>
        <w:rPr>
          <w:rStyle w:val="ac"/>
        </w:rPr>
        <w:footnoteRef/>
      </w:r>
      <w:r>
        <w:rPr>
          <w:rtl/>
        </w:rPr>
        <w:t>והאבנ"נ כת' דמ"מ אחות החרשת כולה אסורה, דכיון דאחותה החרשת נתקדשה במקצת, עי"ז כולה הוה אחות אשתו. ומדרבנן חשיבא כחייבי כריתות ולא תפסי בה קידושין דרבנן. [ואצל האחות אין גדר 'מקצת' שנוכל ללמוד לפוטרה משפחה חרופה]</w:t>
      </w:r>
      <w:r>
        <w:t>.</w:t>
      </w:r>
    </w:p>
  </w:footnote>
  <w:footnote w:id="7322">
    <w:p w14:paraId="7A9F28CA" w14:textId="77777777" w:rsidR="006C4368" w:rsidRDefault="006C4368" w:rsidP="006C4368">
      <w:pPr>
        <w:pStyle w:val="Footnote"/>
        <w:bidi/>
      </w:pPr>
      <w:r>
        <w:rPr>
          <w:rStyle w:val="ac"/>
        </w:rPr>
        <w:footnoteRef/>
      </w:r>
      <w:r>
        <w:rPr>
          <w:rtl/>
        </w:rPr>
        <w:t>וכ"כ ב</w:t>
      </w:r>
      <w:r>
        <w:rPr>
          <w:b/>
          <w:bCs/>
          <w:rtl/>
        </w:rPr>
        <w:t>שו"ת הרשב"א</w:t>
      </w:r>
      <w:r>
        <w:rPr>
          <w:rtl/>
        </w:rPr>
        <w:t xml:space="preserve"> (א אלף רד) דמספקא להו אם תקנו לה לקטנה נשואין גמורין מדבריהם, הואיל ואתיא לכלל דיעה [ולכלל נשואין דאורייתא] והרי היא קנויה אצלו בלא שיור כאשת איש דעלמא, אלא שיוצאה במיאון. או שמא כיון שאינה גדולה, ואינה בת ביאה כגדולה גדר הנישואין שתקנו דהרי היא כמטיילת עמו בחצר (וכלשון הגמ' לעיל קח. אליבא דר' אליעזר), ואינה קנויה כלל. [וצ"ע דאף לר"א נופלת ליבום]</w:t>
      </w:r>
      <w:r>
        <w:t>.</w:t>
      </w:r>
    </w:p>
  </w:footnote>
  <w:footnote w:id="7323">
    <w:p w14:paraId="46ECBB9A" w14:textId="77777777" w:rsidR="006C4368" w:rsidRDefault="006C4368" w:rsidP="006C4368">
      <w:pPr>
        <w:pStyle w:val="Footnote"/>
        <w:bidi/>
      </w:pPr>
      <w:r>
        <w:rPr>
          <w:rStyle w:val="ac"/>
        </w:rPr>
        <w:footnoteRef/>
      </w:r>
      <w:r>
        <w:rPr>
          <w:rtl/>
        </w:rPr>
        <w:t xml:space="preserve">כ"כ </w:t>
      </w:r>
      <w:r>
        <w:rPr>
          <w:b/>
          <w:bCs/>
          <w:rtl/>
        </w:rPr>
        <w:t>רש"י</w:t>
      </w:r>
      <w:r>
        <w:rPr>
          <w:rtl/>
        </w:rPr>
        <w:t xml:space="preserve"> (לעיל יח. ד"ה דתנן ר"ג) שלא היתה נשואי קטנה גמורים שמא תמאן. ועד"ז כת' </w:t>
      </w:r>
      <w:r>
        <w:rPr>
          <w:b/>
          <w:bCs/>
          <w:rtl/>
        </w:rPr>
        <w:t>רש"י</w:t>
      </w:r>
      <w:r>
        <w:rPr>
          <w:rtl/>
        </w:rPr>
        <w:t xml:space="preserve"> (קז: וקט:, וכן קי:) דמש"ה אינן נישואין גמורים. וכן </w:t>
      </w:r>
      <w:r>
        <w:rPr>
          <w:b/>
          <w:bCs/>
          <w:rtl/>
        </w:rPr>
        <w:t>רש"י</w:t>
      </w:r>
      <w:r>
        <w:rPr>
          <w:rtl/>
        </w:rPr>
        <w:t xml:space="preserve"> (לעיל פט:) כת' דשמא עתידה למאן. ו</w:t>
      </w:r>
      <w:r>
        <w:rPr>
          <w:b/>
          <w:bCs/>
          <w:rtl/>
        </w:rPr>
        <w:t>רש"י</w:t>
      </w:r>
      <w:r>
        <w:rPr>
          <w:rtl/>
        </w:rPr>
        <w:t xml:space="preserve"> (לעיל יד:) כת' דנחשב ספק אשת איש, כיון דיכולה למאן</w:t>
      </w:r>
      <w:r>
        <w:t>.</w:t>
      </w:r>
    </w:p>
  </w:footnote>
  <w:footnote w:id="7324">
    <w:p w14:paraId="02E5E448" w14:textId="77777777" w:rsidR="006C4368" w:rsidRDefault="006C4368" w:rsidP="006C4368">
      <w:pPr>
        <w:pStyle w:val="Footnote"/>
        <w:bidi/>
      </w:pPr>
      <w:r>
        <w:rPr>
          <w:rStyle w:val="ac"/>
        </w:rPr>
        <w:footnoteRef/>
      </w:r>
      <w:r>
        <w:rPr>
          <w:rtl/>
        </w:rPr>
        <w:t>וה</w:t>
      </w:r>
      <w:r>
        <w:rPr>
          <w:b/>
          <w:bCs/>
          <w:rtl/>
        </w:rPr>
        <w:t>מרכבת המשנה</w:t>
      </w:r>
      <w:r>
        <w:rPr>
          <w:rtl/>
        </w:rPr>
        <w:t xml:space="preserve"> (ה כז) הביא דמשמע מדברי הרמב"ם (שם כג) דבעודה בקטנותה אינה מקודשת כלל, אלא דתקנו לה רבנן נשואין שיהא בעלה משמרה כדי שלא ינהגו בה מנהג הפקר, אך לא תקנו לה קדושין גמורין מדרבנן, דא”כ האיך מהני מיאון, אלא קדושיה תלויין וכדאי' (לעיל קט:) דקטנה מתלי תלי דאמר הוא עדיף מנאי וכו</w:t>
      </w:r>
      <w:r>
        <w:t>'.</w:t>
      </w:r>
    </w:p>
    <w:p w14:paraId="48734FC2" w14:textId="77777777" w:rsidR="006C4368" w:rsidRDefault="006C4368" w:rsidP="006C4368">
      <w:pPr>
        <w:pStyle w:val="Footnote"/>
        <w:bidi/>
      </w:pPr>
      <w:r>
        <w:tab/>
      </w:r>
      <w:r>
        <w:rPr>
          <w:rtl/>
        </w:rPr>
        <w:t>נמצא דיש לקדושי קטנה עדיפות דכי גדלה ונבעלה תחתיו מקודשת דבר תורה למפרע וגריעות דבעודה קטנה מתלי תלי ואינה מקודשת ודאי אפי' מדרבנן</w:t>
      </w:r>
      <w:r>
        <w:t>.</w:t>
      </w:r>
    </w:p>
  </w:footnote>
  <w:footnote w:id="7325">
    <w:p w14:paraId="0AC7A8C3" w14:textId="77777777" w:rsidR="006C4368" w:rsidRDefault="006C4368" w:rsidP="006C4368">
      <w:pPr>
        <w:pStyle w:val="Footnote"/>
        <w:bidi/>
      </w:pPr>
      <w:r>
        <w:rPr>
          <w:rStyle w:val="ac"/>
        </w:rPr>
        <w:footnoteRef/>
      </w:r>
      <w:r>
        <w:rPr>
          <w:rtl/>
        </w:rPr>
        <w:t>ועד"ז אי' (לעיל לח.) דזיקה הוה ספק כנוסה לזכות בנכסים. [ומוגדר ספק מצד עצמו, מחמת שלא ידעינן האם עומדת ליבום]</w:t>
      </w:r>
      <w:r>
        <w:t>.</w:t>
      </w:r>
    </w:p>
  </w:footnote>
  <w:footnote w:id="7326">
    <w:p w14:paraId="28A1FECF" w14:textId="77777777" w:rsidR="006C4368" w:rsidRDefault="006C4368" w:rsidP="006C4368">
      <w:pPr>
        <w:pStyle w:val="Footnote"/>
        <w:bidi/>
      </w:pPr>
      <w:r>
        <w:rPr>
          <w:rStyle w:val="ac"/>
        </w:rPr>
        <w:footnoteRef/>
      </w:r>
      <w:r>
        <w:rPr>
          <w:rtl/>
        </w:rPr>
        <w:t>וכמו דב' קטנות פוטרות זו את זו (כדתנן בע”א), וכן ב' חרשות (שם)</w:t>
      </w:r>
      <w:r>
        <w:t>.</w:t>
      </w:r>
    </w:p>
  </w:footnote>
  <w:footnote w:id="7327">
    <w:p w14:paraId="69B906FD" w14:textId="77777777" w:rsidR="006C4368" w:rsidRDefault="006C4368" w:rsidP="006C4368">
      <w:pPr>
        <w:pStyle w:val="Footnote"/>
        <w:bidi/>
      </w:pPr>
      <w:r>
        <w:rPr>
          <w:rStyle w:val="ac"/>
        </w:rPr>
        <w:footnoteRef/>
      </w:r>
      <w:r>
        <w:rPr>
          <w:rtl/>
        </w:rPr>
        <w:t>ומשמע דאי תרוייהו הוה גדר שיור היו פוטרים זה את זה. ולא אמרי' דהוה שיור מצד אחר</w:t>
      </w:r>
      <w:r>
        <w:t>.</w:t>
      </w:r>
    </w:p>
  </w:footnote>
  <w:footnote w:id="7328">
    <w:p w14:paraId="7A4E1629" w14:textId="77777777" w:rsidR="006C4368" w:rsidRDefault="006C4368" w:rsidP="006C4368">
      <w:pPr>
        <w:pStyle w:val="Footnote"/>
        <w:bidi/>
      </w:pPr>
      <w:r>
        <w:rPr>
          <w:rStyle w:val="ac"/>
        </w:rPr>
        <w:footnoteRef/>
      </w:r>
      <w:r>
        <w:rPr>
          <w:rtl/>
        </w:rPr>
        <w:t>וביאר דקטנה יש לה קידושין כדי שלא ינהגו בה מנהג הפקר וקידושיה תלויין עד שתגדיל, וחרשת תקנו לה נישואין כדי שלא תשאר פנויה לעולם. [ומשמע דהוה טעם להא דהוה ב' מיני קידושין. וצ"ב]</w:t>
      </w:r>
      <w:r>
        <w:t>.</w:t>
      </w:r>
    </w:p>
  </w:footnote>
  <w:footnote w:id="7329">
    <w:p w14:paraId="20B52592" w14:textId="77777777" w:rsidR="006C4368" w:rsidRDefault="006C4368" w:rsidP="006C4368">
      <w:pPr>
        <w:pStyle w:val="Footnote"/>
        <w:bidi/>
      </w:pPr>
      <w:r>
        <w:rPr>
          <w:rStyle w:val="ac"/>
        </w:rPr>
        <w:footnoteRef/>
      </w:r>
      <w:r>
        <w:rPr>
          <w:rtl/>
        </w:rPr>
        <w:t>וכלשון הברייתא (לעיל קט:), ומסקנת הגמ' דתלויין אי בעל הוה מדאורייתא. [אך פשטות כוונת הרמב"ם דמדרבנן הוה תלויין, בהא דמהני מיאון. וכקו' הראשונים שם אמאי לא פירשו את הברייתא עד"ז]</w:t>
      </w:r>
      <w:r>
        <w:t>.</w:t>
      </w:r>
    </w:p>
  </w:footnote>
  <w:footnote w:id="7330">
    <w:p w14:paraId="606F237C" w14:textId="77777777" w:rsidR="006C4368" w:rsidRDefault="006C4368" w:rsidP="006C4368">
      <w:pPr>
        <w:pStyle w:val="Footnote"/>
        <w:bidi/>
      </w:pPr>
      <w:r>
        <w:rPr>
          <w:rStyle w:val="ac"/>
        </w:rPr>
        <w:footnoteRef/>
      </w:r>
      <w:r>
        <w:rPr>
          <w:rtl/>
        </w:rPr>
        <w:t>וכת' דשני מיני קידושין הן, קטנה יש לה קידושין כדי שלא ינהגו בה מנהג הפקר וקידושיה תלויין עד שתגדיל, וחרשת תקנו לה נישואין כדי שלא תשאר פנויה לעולם. [וע”ע לקמן קיב:]</w:t>
      </w:r>
      <w:r>
        <w:t>.</w:t>
      </w:r>
    </w:p>
  </w:footnote>
  <w:footnote w:id="7331">
    <w:p w14:paraId="22B136E6" w14:textId="77777777" w:rsidR="006C4368" w:rsidRDefault="006C4368" w:rsidP="006C4368">
      <w:pPr>
        <w:pStyle w:val="Footnote"/>
        <w:bidi/>
      </w:pPr>
      <w:r>
        <w:rPr>
          <w:rStyle w:val="ac"/>
        </w:rPr>
        <w:footnoteRef/>
      </w:r>
      <w:r>
        <w:rPr>
          <w:rtl/>
        </w:rPr>
        <w:t>אבל ה</w:t>
      </w:r>
      <w:r>
        <w:rPr>
          <w:b/>
          <w:bCs/>
          <w:rtl/>
        </w:rPr>
        <w:t>מרכה"מ</w:t>
      </w:r>
      <w:r>
        <w:rPr>
          <w:rtl/>
        </w:rPr>
        <w:t xml:space="preserve"> כת' דרב חסדא בא לאפוקי מ"ד (בירושלמי, וע' לקמן קיג.) דקידושי חרשת הוה ספק דאורייתא</w:t>
      </w:r>
      <w:r>
        <w:t>.</w:t>
      </w:r>
    </w:p>
  </w:footnote>
  <w:footnote w:id="7332">
    <w:p w14:paraId="0393C9C9" w14:textId="77777777" w:rsidR="006C4368" w:rsidRDefault="006C4368" w:rsidP="006C4368">
      <w:pPr>
        <w:pStyle w:val="Footnote"/>
        <w:bidi/>
      </w:pPr>
      <w:r>
        <w:rPr>
          <w:rStyle w:val="ac"/>
        </w:rPr>
        <w:footnoteRef/>
      </w:r>
      <w:r>
        <w:rPr>
          <w:rtl/>
        </w:rPr>
        <w:t>וכן בסיפא ב' יתומות קטנות, קטנה וחרשת. [והתם לא הוה אחיות כלל, א”כ צ”ב מ”ט נקטו יתומות גבי חרשת]</w:t>
      </w:r>
      <w:r>
        <w:t>.</w:t>
      </w:r>
    </w:p>
  </w:footnote>
  <w:footnote w:id="7333">
    <w:p w14:paraId="57B0C849" w14:textId="77777777" w:rsidR="006C4368" w:rsidRDefault="006C4368" w:rsidP="006C4368">
      <w:pPr>
        <w:pStyle w:val="Footnote"/>
        <w:bidi/>
      </w:pPr>
      <w:r>
        <w:rPr>
          <w:rStyle w:val="ac"/>
        </w:rPr>
        <w:footnoteRef/>
      </w:r>
      <w:r>
        <w:rPr>
          <w:rtl/>
        </w:rPr>
        <w:t>אבל אם תמאן מותרת לזה, ע"ע בע"ב</w:t>
      </w:r>
      <w:r>
        <w:t>.</w:t>
      </w:r>
    </w:p>
  </w:footnote>
  <w:footnote w:id="7334">
    <w:p w14:paraId="34006F10" w14:textId="77777777" w:rsidR="006C4368" w:rsidRDefault="006C4368" w:rsidP="006C4368">
      <w:pPr>
        <w:pStyle w:val="Footnote"/>
        <w:bidi/>
      </w:pPr>
      <w:r>
        <w:rPr>
          <w:rStyle w:val="ac"/>
        </w:rPr>
        <w:footnoteRef/>
      </w:r>
      <w:r>
        <w:rPr>
          <w:rtl/>
        </w:rPr>
        <w:t>ולכאורה רש"י דייק כן מהלשון 'לעולם'. [ועל הצד דהקטנה היתה קנויה, החרשת אסורה. אבל על הצד דהקטנה אינה קנויה, א"כ החרשת נופלת לפני יבם, ומש”ה אם בא עליה קנאה]</w:t>
      </w:r>
      <w:r>
        <w:t>.</w:t>
      </w:r>
    </w:p>
  </w:footnote>
  <w:footnote w:id="7335">
    <w:p w14:paraId="0FB18ACA" w14:textId="77777777" w:rsidR="006C4368" w:rsidRDefault="006C4368" w:rsidP="006C4368">
      <w:pPr>
        <w:pStyle w:val="Footnote"/>
        <w:bidi/>
      </w:pPr>
      <w:r>
        <w:rPr>
          <w:rStyle w:val="ac"/>
        </w:rPr>
        <w:footnoteRef/>
      </w:r>
      <w:r>
        <w:rPr>
          <w:rtl/>
        </w:rPr>
        <w:t>יל"ד אי תלי במח' רב ור' יוחנן (לעיל כז:) אי אמרי' נאסרה באחות זקוקתו דרבנן, או דוקא באחות אשתו דאורייתא</w:t>
      </w:r>
      <w:r>
        <w:t>.</w:t>
      </w:r>
    </w:p>
  </w:footnote>
  <w:footnote w:id="7336">
    <w:p w14:paraId="29260FEC" w14:textId="77777777" w:rsidR="006C4368" w:rsidRDefault="006C4368" w:rsidP="006C4368">
      <w:pPr>
        <w:pStyle w:val="Footnote"/>
        <w:bidi/>
      </w:pPr>
      <w:r>
        <w:rPr>
          <w:rStyle w:val="ac"/>
        </w:rPr>
        <w:footnoteRef/>
      </w:r>
      <w:r>
        <w:rPr>
          <w:rtl/>
        </w:rPr>
        <w:t>וה</w:t>
      </w:r>
      <w:r>
        <w:rPr>
          <w:b/>
          <w:bCs/>
          <w:rtl/>
        </w:rPr>
        <w:t>מאירי</w:t>
      </w:r>
      <w:r>
        <w:rPr>
          <w:rtl/>
        </w:rPr>
        <w:t xml:space="preserve"> הביא כדאי' בירושלמי (הו' בע”ב) [במשנה (בע”ב) ב' צרות חרשת וקטנה] דדוקא בא על החרשת וחזר ובא על הקטנה פסל את החרשת, אבל אילו לא בא על הקטנה ומתה מותר בחרשת. ולמדת שבאיסור דרבנן אין אומרין בהן כל יבמה שאין אני קורא בה בשעת נפילה כו</w:t>
      </w:r>
      <w:r>
        <w:t>'.</w:t>
      </w:r>
    </w:p>
    <w:p w14:paraId="343D8E7A" w14:textId="77777777" w:rsidR="006C4368" w:rsidRDefault="006C4368" w:rsidP="006C4368">
      <w:pPr>
        <w:pStyle w:val="Footnote"/>
        <w:bidi/>
      </w:pPr>
      <w:r>
        <w:tab/>
      </w:r>
      <w:r>
        <w:rPr>
          <w:rtl/>
        </w:rPr>
        <w:t>ודבריו צ"ב מה שייך נאסרה בב' צרות, הא מותר בשניהם. ומדינא לכתחילה כונס את החרשת ומוציאה בגט, ואח”כ חולץ לקטנה. {ולכאורה מבואר לצד זה דכשנופלים חרשת וקטנה אסור לייבם ולישא את החרשת, כיון דאינה פוטרת צרתה הקטנה [וע”ע בסמוך בשם האו”ש]. אלא דהתירו ביאה ראשונה לפטור עצמה. וצ"ל דלא אמרי' דהתירו להתייבם, אלא דנחשב דאסורה להתייבם ואפ"ה מותרת בביאה ראשונה. ונקטו דאף בזה שייך 'נאסרה'. וצ”ע}</w:t>
      </w:r>
      <w:r>
        <w:t>.</w:t>
      </w:r>
    </w:p>
  </w:footnote>
  <w:footnote w:id="7337">
    <w:p w14:paraId="388FAB92" w14:textId="77777777" w:rsidR="006C4368" w:rsidRDefault="006C4368" w:rsidP="006C4368">
      <w:pPr>
        <w:pStyle w:val="Footnote"/>
        <w:bidi/>
      </w:pPr>
      <w:r>
        <w:rPr>
          <w:rStyle w:val="ac"/>
        </w:rPr>
        <w:footnoteRef/>
      </w:r>
      <w:r>
        <w:rPr>
          <w:rtl/>
        </w:rPr>
        <w:t>וכן ה</w:t>
      </w:r>
      <w:r>
        <w:rPr>
          <w:b/>
          <w:bCs/>
          <w:rtl/>
        </w:rPr>
        <w:t>לח"מ</w:t>
      </w:r>
      <w:r>
        <w:rPr>
          <w:rtl/>
        </w:rPr>
        <w:t xml:space="preserve"> (ה כט) הביא דמשמע דביאת החרשת הוה ביאה פסולה. והק' דה</w:t>
      </w:r>
      <w:r>
        <w:rPr>
          <w:b/>
          <w:bCs/>
          <w:rtl/>
        </w:rPr>
        <w:t>רמב”ם</w:t>
      </w:r>
      <w:r>
        <w:rPr>
          <w:rtl/>
        </w:rPr>
        <w:t xml:space="preserve"> (שם) פסק דביאת החרשת הוה ביאה כשירה</w:t>
      </w:r>
      <w:r>
        <w:t>.</w:t>
      </w:r>
    </w:p>
    <w:p w14:paraId="7AB5E44A" w14:textId="77777777" w:rsidR="006C4368" w:rsidRDefault="006C4368" w:rsidP="006C4368">
      <w:pPr>
        <w:pStyle w:val="Footnote"/>
        <w:bidi/>
      </w:pPr>
      <w:r>
        <w:tab/>
      </w:r>
      <w:r>
        <w:rPr>
          <w:rtl/>
        </w:rPr>
        <w:t>והלח"מ כת' די"ל דכוונת הגמ' לדחות צד הדחוק דאפי' תימה דהוה ביאה פסולה, והביא דכ"כ רש"י</w:t>
      </w:r>
      <w:r>
        <w:t>.</w:t>
      </w:r>
    </w:p>
  </w:footnote>
  <w:footnote w:id="7338">
    <w:p w14:paraId="2F03EC6F" w14:textId="77777777" w:rsidR="006C4368" w:rsidRDefault="006C4368" w:rsidP="006C4368">
      <w:pPr>
        <w:pStyle w:val="Footnote"/>
        <w:bidi/>
      </w:pPr>
      <w:r>
        <w:rPr>
          <w:rStyle w:val="ac"/>
        </w:rPr>
        <w:footnoteRef/>
      </w:r>
      <w:r>
        <w:rPr>
          <w:rtl/>
        </w:rPr>
        <w:t>מדברי רש"י מבואר דדייק דבאופן זה שייך ביאה פסולה [ולא רק בגזירה], וצ"ע. {ואפשר דגדר גזירת 'דלמא קדים ובעל חרשת ברישא' דהחשיבו את ביאת הקטנה מתחילה כביאה פסולה. וא"כ לדברי ר' נחמיה אין מקום לגזירה זו. ושו”מ דכ”כ המרכה”מ}</w:t>
      </w:r>
      <w:r>
        <w:t>.</w:t>
      </w:r>
    </w:p>
  </w:footnote>
  <w:footnote w:id="7339">
    <w:p w14:paraId="44923A69" w14:textId="77777777" w:rsidR="006C4368" w:rsidRDefault="006C4368" w:rsidP="006C4368">
      <w:pPr>
        <w:pStyle w:val="Footnote"/>
        <w:bidi/>
      </w:pPr>
      <w:r>
        <w:rPr>
          <w:rStyle w:val="ac"/>
        </w:rPr>
        <w:footnoteRef/>
      </w:r>
      <w:r>
        <w:rPr>
          <w:rtl/>
        </w:rPr>
        <w:t>ויל"פ דבכל ב' יבמות נתחדש דיכול לייבם א' מהם, ועי"ז פטר לכולהו [משום גדר שליחותייהו או שנתברר שזקוקה לזה, וכדלעיל י:]. אבל הכא דל"מ קטנה לפטור את החרשת [להך ס"ד דהקטנה משויירת], א"כ ל"ש לומר דמהני יבום דידה לכל הבית. וכיון דאינה פוטרת צרתה, צרתה אוסרת עליה [דאינו רשאי לישא את זו דעי”ז אוסרת צרתה]. וצ"ע</w:t>
      </w:r>
      <w:r>
        <w:t>.</w:t>
      </w:r>
    </w:p>
  </w:footnote>
  <w:footnote w:id="7340">
    <w:p w14:paraId="38D7B10D" w14:textId="77777777" w:rsidR="006C4368" w:rsidRDefault="006C4368" w:rsidP="006C4368">
      <w:pPr>
        <w:pStyle w:val="Footnote"/>
        <w:bidi/>
      </w:pPr>
      <w:r>
        <w:rPr>
          <w:rStyle w:val="ac"/>
        </w:rPr>
        <w:footnoteRef/>
      </w:r>
      <w:r>
        <w:rPr>
          <w:rtl/>
        </w:rPr>
        <w:t>דאטו משום דזיקת חברתה רמיא עליה הוי ביאה דאידך ביאה פסולה, וסברא רחוקה כזו לא מצאנו, אטו מה דשרי רב לכתחילה הוי מחשבינן זה לפום ס"ד לביאה פסולה</w:t>
      </w:r>
      <w:r>
        <w:t>.</w:t>
      </w:r>
    </w:p>
  </w:footnote>
  <w:footnote w:id="7341">
    <w:p w14:paraId="45B01092" w14:textId="77777777" w:rsidR="006C4368" w:rsidRDefault="006C4368" w:rsidP="006C4368">
      <w:pPr>
        <w:pStyle w:val="Footnote"/>
        <w:bidi/>
      </w:pPr>
      <w:r>
        <w:rPr>
          <w:rStyle w:val="ac"/>
        </w:rPr>
        <w:footnoteRef/>
      </w:r>
      <w:r>
        <w:rPr>
          <w:rtl/>
        </w:rPr>
        <w:t>[וכן דחה הלח"מ הנ"ל]. אך מדברי רש”י לא משמע כן</w:t>
      </w:r>
      <w:r>
        <w:t>.</w:t>
      </w:r>
    </w:p>
  </w:footnote>
  <w:footnote w:id="7342">
    <w:p w14:paraId="0E788A82" w14:textId="77777777" w:rsidR="006C4368" w:rsidRDefault="006C4368" w:rsidP="006C4368">
      <w:pPr>
        <w:pStyle w:val="Footnote"/>
        <w:bidi/>
      </w:pPr>
      <w:r>
        <w:rPr>
          <w:rStyle w:val="ac"/>
        </w:rPr>
        <w:footnoteRef/>
      </w:r>
      <w:r>
        <w:rPr>
          <w:rtl/>
        </w:rPr>
        <w:t>וה</w:t>
      </w:r>
      <w:r>
        <w:rPr>
          <w:b/>
          <w:bCs/>
          <w:rtl/>
        </w:rPr>
        <w:t>חכ"צ</w:t>
      </w:r>
      <w:r>
        <w:rPr>
          <w:rtl/>
        </w:rPr>
        <w:t xml:space="preserve"> הוכיח כן מהמשנה (לעיל כג:), וכן מהסוגיה (לעיל מא:). [וה</w:t>
      </w:r>
      <w:r>
        <w:rPr>
          <w:b/>
          <w:bCs/>
          <w:rtl/>
        </w:rPr>
        <w:t>או"ש</w:t>
      </w:r>
      <w:r>
        <w:rPr>
          <w:rtl/>
        </w:rPr>
        <w:t xml:space="preserve"> (קו' זיקה כד) דחה הראיה מהתם]. וע"ע בית מאיר (צלעות הבית א)</w:t>
      </w:r>
      <w:r>
        <w:t>.</w:t>
      </w:r>
    </w:p>
  </w:footnote>
  <w:footnote w:id="7343">
    <w:p w14:paraId="41664C0F" w14:textId="77777777" w:rsidR="006C4368" w:rsidRDefault="006C4368" w:rsidP="006C4368">
      <w:pPr>
        <w:pStyle w:val="Footnote"/>
        <w:bidi/>
      </w:pPr>
      <w:r>
        <w:rPr>
          <w:rStyle w:val="ac"/>
        </w:rPr>
        <w:footnoteRef/>
      </w:r>
      <w:r>
        <w:rPr>
          <w:rtl/>
        </w:rPr>
        <w:t>ועוד הביא מהסיפא דאליבא דאמת בנשוי קטנה וחרשת, ובא יבם על הקטנה ואח"כ חרשת תצא. דממ"נ דביאה שניה או דאינה זוקקת או דכשירה</w:t>
      </w:r>
      <w:r>
        <w:t>.</w:t>
      </w:r>
    </w:p>
  </w:footnote>
  <w:footnote w:id="7344">
    <w:p w14:paraId="0C80A316" w14:textId="77777777" w:rsidR="006C4368" w:rsidRDefault="006C4368" w:rsidP="006C4368">
      <w:pPr>
        <w:pStyle w:val="Footnote"/>
        <w:bidi/>
      </w:pPr>
      <w:r>
        <w:rPr>
          <w:rStyle w:val="ac"/>
        </w:rPr>
        <w:footnoteRef/>
      </w:r>
      <w:r>
        <w:rPr>
          <w:rtl/>
        </w:rPr>
        <w:t>אך לדברי החזו"א אין ראיה מביאה פסולה לחליצה פסולה</w:t>
      </w:r>
      <w:r>
        <w:t>.</w:t>
      </w:r>
    </w:p>
  </w:footnote>
  <w:footnote w:id="7345">
    <w:p w14:paraId="3DFD28FB" w14:textId="77777777" w:rsidR="006C4368" w:rsidRDefault="006C4368" w:rsidP="006C4368">
      <w:pPr>
        <w:pStyle w:val="Footnote"/>
        <w:bidi/>
      </w:pPr>
      <w:r>
        <w:rPr>
          <w:rStyle w:val="ac"/>
        </w:rPr>
        <w:footnoteRef/>
      </w:r>
      <w:r>
        <w:rPr>
          <w:rtl/>
        </w:rPr>
        <w:t>אבל ב</w:t>
      </w:r>
      <w:r>
        <w:rPr>
          <w:b/>
          <w:bCs/>
          <w:rtl/>
        </w:rPr>
        <w:t>רי"ף</w:t>
      </w:r>
      <w:r>
        <w:rPr>
          <w:rtl/>
        </w:rPr>
        <w:t xml:space="preserve"> לפנינו הגירסא כפרש"י</w:t>
      </w:r>
      <w:r>
        <w:t>.</w:t>
      </w:r>
    </w:p>
  </w:footnote>
  <w:footnote w:id="7346">
    <w:p w14:paraId="341A028C" w14:textId="77777777" w:rsidR="006C4368" w:rsidRDefault="006C4368" w:rsidP="006C4368">
      <w:pPr>
        <w:pStyle w:val="Footnote"/>
        <w:bidi/>
      </w:pPr>
      <w:r>
        <w:rPr>
          <w:rStyle w:val="ac"/>
        </w:rPr>
        <w:footnoteRef/>
      </w:r>
      <w:r>
        <w:rPr>
          <w:rtl/>
        </w:rPr>
        <w:t>וה</w:t>
      </w:r>
      <w:r>
        <w:rPr>
          <w:b/>
          <w:bCs/>
          <w:rtl/>
        </w:rPr>
        <w:t>ראב"ד</w:t>
      </w:r>
      <w:r>
        <w:rPr>
          <w:rtl/>
        </w:rPr>
        <w:t xml:space="preserve"> השיג דנאסרו שתיהן עליו דילמא קדים ובעל חרשת תחילה</w:t>
      </w:r>
      <w:r>
        <w:t>.</w:t>
      </w:r>
    </w:p>
  </w:footnote>
  <w:footnote w:id="7347">
    <w:p w14:paraId="64E074C5" w14:textId="77777777" w:rsidR="006C4368" w:rsidRDefault="006C4368" w:rsidP="006C4368">
      <w:pPr>
        <w:pStyle w:val="Footnote"/>
        <w:bidi/>
      </w:pPr>
      <w:r>
        <w:rPr>
          <w:rStyle w:val="ac"/>
        </w:rPr>
        <w:footnoteRef/>
      </w:r>
      <w:r>
        <w:rPr>
          <w:rtl/>
        </w:rPr>
        <w:t>ולכאורה מבואר דראויה לאחר זמן הוה טעם דהוה ספק ולא אמרי' דהוה 'משויירת' [וצ”ב, וע' מרכה”מ]. אך ה</w:t>
      </w:r>
      <w:r>
        <w:rPr>
          <w:b/>
          <w:bCs/>
          <w:rtl/>
        </w:rPr>
        <w:t>לח"מ</w:t>
      </w:r>
      <w:r>
        <w:rPr>
          <w:rtl/>
        </w:rPr>
        <w:t xml:space="preserve"> ועוד </w:t>
      </w:r>
      <w:r>
        <w:rPr>
          <w:b/>
          <w:bCs/>
          <w:rtl/>
        </w:rPr>
        <w:t>אחרונים</w:t>
      </w:r>
      <w:r>
        <w:rPr>
          <w:rtl/>
        </w:rPr>
        <w:t xml:space="preserve"> נקטו דהרמב"ם הביא טעם אחר מהגמ', דבגמ' דידן לא מצאנו דהוה מעליא טפי, וה</w:t>
      </w:r>
      <w:r>
        <w:rPr>
          <w:b/>
          <w:bCs/>
          <w:rtl/>
        </w:rPr>
        <w:t>לח”מ</w:t>
      </w:r>
      <w:r>
        <w:rPr>
          <w:rtl/>
        </w:rPr>
        <w:t xml:space="preserve"> תמה דהו"ל לרמב”ם לומר הטעם דקנויה ואינה קנויה.</w:t>
      </w:r>
    </w:p>
  </w:footnote>
  <w:footnote w:id="7348">
    <w:p w14:paraId="11ECA773" w14:textId="77777777" w:rsidR="006C4368" w:rsidRDefault="006C4368" w:rsidP="006C4368">
      <w:pPr>
        <w:pStyle w:val="Footnote"/>
        <w:bidi/>
      </w:pPr>
      <w:r>
        <w:rPr>
          <w:rStyle w:val="ac"/>
        </w:rPr>
        <w:footnoteRef/>
      </w:r>
      <w:r>
        <w:rPr>
          <w:rtl/>
        </w:rPr>
        <w:t>דעל כרחיך כשאתה אומר בראשונה לא פסל, ובשניה פסל מטעם זה אתה אומר כן. ואדדייק לה מברייתא לידוק לה ממתניתין. וה</w:t>
      </w:r>
      <w:r>
        <w:rPr>
          <w:b/>
          <w:bCs/>
          <w:rtl/>
        </w:rPr>
        <w:t>מאירי</w:t>
      </w:r>
      <w:r>
        <w:rPr>
          <w:rtl/>
        </w:rPr>
        <w:t xml:space="preserve"> הביא דגדולי ספרד תי' דהמשנה הוא ר' נחמיה, דביאה פסולה פוטרת צרתה. [וצ”ב א”כ מ”ש חרשת ואח”כ קטנה או להיפך]. ואח"כ הביא דברי הרמב"ם (גדולי המחברים) ותמה עליו</w:t>
      </w:r>
      <w:r>
        <w:t>.</w:t>
      </w:r>
    </w:p>
  </w:footnote>
  <w:footnote w:id="7349">
    <w:p w14:paraId="3EE0A03F" w14:textId="77777777" w:rsidR="006C4368" w:rsidRDefault="006C4368" w:rsidP="006C4368">
      <w:pPr>
        <w:pStyle w:val="Footnote"/>
        <w:bidi/>
      </w:pPr>
      <w:r>
        <w:rPr>
          <w:rStyle w:val="ac"/>
        </w:rPr>
        <w:footnoteRef/>
      </w:r>
      <w:r>
        <w:rPr>
          <w:rtl/>
        </w:rPr>
        <w:t>כיון שהקטנה צריכה חליצה, וע"י שחולץ לה נאסר בחרשת. [אך צ"ב דבינתיים מותר בחרשת, ואי הקטנה אינה רוצה לינשא יוכל להשאר עם החרשת. ואפשר דזה בכלל תי' הירושלמי. וע' מאירי בסוף הע”א מה שהביא מדברי הירושלמי]</w:t>
      </w:r>
      <w:r>
        <w:t>.</w:t>
      </w:r>
    </w:p>
  </w:footnote>
  <w:footnote w:id="7350">
    <w:p w14:paraId="4A7076F0" w14:textId="77777777" w:rsidR="006C4368" w:rsidRDefault="006C4368" w:rsidP="006C4368">
      <w:pPr>
        <w:pStyle w:val="Footnote"/>
        <w:bidi/>
      </w:pPr>
      <w:r>
        <w:rPr>
          <w:rStyle w:val="ac"/>
        </w:rPr>
        <w:footnoteRef/>
      </w:r>
      <w:r>
        <w:rPr>
          <w:rtl/>
        </w:rPr>
        <w:t>וכן תמה ה</w:t>
      </w:r>
      <w:r>
        <w:rPr>
          <w:b/>
          <w:bCs/>
          <w:rtl/>
        </w:rPr>
        <w:t>מאירי</w:t>
      </w:r>
      <w:r>
        <w:rPr>
          <w:rtl/>
        </w:rPr>
        <w:t xml:space="preserve"> (קי.) דלאחר שמיאנה לו הרי נעקרה הזיקה, ולמה נאסרה הצרה</w:t>
      </w:r>
      <w:r>
        <w:t>.</w:t>
      </w:r>
    </w:p>
  </w:footnote>
  <w:footnote w:id="7351">
    <w:p w14:paraId="578FBE29" w14:textId="77777777" w:rsidR="006C4368" w:rsidRDefault="006C4368" w:rsidP="006C4368">
      <w:pPr>
        <w:pStyle w:val="Footnote"/>
        <w:bidi/>
      </w:pPr>
      <w:r>
        <w:rPr>
          <w:rStyle w:val="ac"/>
        </w:rPr>
        <w:footnoteRef/>
      </w:r>
      <w:r>
        <w:rPr>
          <w:rtl/>
        </w:rPr>
        <w:t>ובשלמא אי הוה איפכא, היה אפ"ל דכיון דבשעת ביאה היה ביאה פסולה, לא נעקר למפרע. אבל הכא בשעה שכנסה היה כדין</w:t>
      </w:r>
      <w:r>
        <w:t>.</w:t>
      </w:r>
    </w:p>
  </w:footnote>
  <w:footnote w:id="7352">
    <w:p w14:paraId="407F1717" w14:textId="77777777" w:rsidR="006C4368" w:rsidRDefault="006C4368" w:rsidP="006C4368">
      <w:pPr>
        <w:pStyle w:val="Footnote"/>
        <w:bidi/>
      </w:pPr>
      <w:r>
        <w:rPr>
          <w:rStyle w:val="ac"/>
        </w:rPr>
        <w:footnoteRef/>
      </w:r>
      <w:r>
        <w:rPr>
          <w:rtl/>
        </w:rPr>
        <w:t>וה</w:t>
      </w:r>
      <w:r>
        <w:rPr>
          <w:b/>
          <w:bCs/>
          <w:rtl/>
        </w:rPr>
        <w:t>מרכה"מ</w:t>
      </w:r>
      <w:r>
        <w:rPr>
          <w:rtl/>
        </w:rPr>
        <w:t xml:space="preserve"> כת' דכיון דנאסרה על החרשת שעה א' [מחמת הקטנה] שוב אין לה היתר. [ומשמע כוונתו משום הותרה ונאסרה דלעיל מא., וצ"ע דלאחר יבום ל"ש גדר נאסרה]</w:t>
      </w:r>
      <w:r>
        <w:t>.</w:t>
      </w:r>
    </w:p>
    <w:p w14:paraId="66A5B248" w14:textId="77777777" w:rsidR="006C4368" w:rsidRDefault="006C4368" w:rsidP="006C4368">
      <w:pPr>
        <w:pStyle w:val="Footnote"/>
        <w:bidi/>
      </w:pPr>
      <w:r>
        <w:tab/>
      </w:r>
      <w:r>
        <w:rPr>
          <w:rtl/>
        </w:rPr>
        <w:t>ויל"פ דלמד דדין המשנה 'פסל את הראשונים' קאי לכו"ע, ומלמדים הוה דין נוסף, ולא פתרון שלא יפסול</w:t>
      </w:r>
      <w:r>
        <w:t>.</w:t>
      </w:r>
    </w:p>
  </w:footnote>
  <w:footnote w:id="7353">
    <w:p w14:paraId="7DB567B1" w14:textId="77777777" w:rsidR="006C4368" w:rsidRDefault="006C4368" w:rsidP="006C4368">
      <w:pPr>
        <w:pStyle w:val="Footnote"/>
        <w:bidi/>
      </w:pPr>
      <w:r>
        <w:rPr>
          <w:rStyle w:val="ac"/>
        </w:rPr>
        <w:footnoteRef/>
      </w:r>
      <w:r>
        <w:rPr>
          <w:rtl/>
        </w:rPr>
        <w:t>שבא על ראשונה ואח"כ על שניה, מלמדים את השניה למאן. [אך לא נתבאר היכא דהראשונה מיאנה האם מותר בשניה. ואפשר דהוה ביאה פסולה בשעתו]</w:t>
      </w:r>
      <w:r>
        <w:t>.</w:t>
      </w:r>
    </w:p>
  </w:footnote>
  <w:footnote w:id="7354">
    <w:p w14:paraId="3357F4F3" w14:textId="77777777" w:rsidR="006C4368" w:rsidRDefault="006C4368" w:rsidP="006C4368">
      <w:pPr>
        <w:pStyle w:val="Footnote"/>
        <w:bidi/>
      </w:pPr>
      <w:r>
        <w:rPr>
          <w:rStyle w:val="ac"/>
        </w:rPr>
        <w:footnoteRef/>
      </w:r>
      <w:r>
        <w:rPr>
          <w:rtl/>
        </w:rPr>
        <w:t>וה</w:t>
      </w:r>
      <w:r>
        <w:rPr>
          <w:b/>
          <w:bCs/>
          <w:rtl/>
        </w:rPr>
        <w:t>יש"ש</w:t>
      </w:r>
      <w:r>
        <w:rPr>
          <w:rtl/>
        </w:rPr>
        <w:t xml:space="preserve"> ביאר דבגדולה וקטנה מהני מיאון, דכלפי הגדולה ביאת קטנה לאו כלום הוא. ומש"ה לא חשיב ב' בתים. וה</w:t>
      </w:r>
      <w:r>
        <w:rPr>
          <w:b/>
          <w:bCs/>
          <w:rtl/>
        </w:rPr>
        <w:t>לח"מ</w:t>
      </w:r>
      <w:r>
        <w:rPr>
          <w:rtl/>
        </w:rPr>
        <w:t xml:space="preserve"> (שם ל) כת' דהרמב"ם רמז לקו' זו במש"כ שיקיים את הגדולה, שבעילתה קונה קנין גמור. אבל בחרשת לא אתי מיאון ומבטל ביאת קטנה כדי לקיים החרשת שהיא מדרבנן</w:t>
      </w:r>
      <w:r>
        <w:t>.</w:t>
      </w:r>
    </w:p>
  </w:footnote>
  <w:footnote w:id="7355">
    <w:p w14:paraId="505CEDA9" w14:textId="77777777" w:rsidR="006C4368" w:rsidRDefault="006C4368" w:rsidP="006C4368">
      <w:pPr>
        <w:pStyle w:val="Footnote"/>
        <w:bidi/>
      </w:pPr>
      <w:r>
        <w:rPr>
          <w:rStyle w:val="ac"/>
        </w:rPr>
        <w:footnoteRef/>
      </w:r>
      <w:r>
        <w:rPr>
          <w:rtl/>
        </w:rPr>
        <w:t>ואפשר דיש דין למאן כדי לתקן [למפרע] האיסור שבביאתו</w:t>
      </w:r>
      <w:r>
        <w:t>.</w:t>
      </w:r>
    </w:p>
  </w:footnote>
  <w:footnote w:id="7356">
    <w:p w14:paraId="18164F01" w14:textId="77777777" w:rsidR="006C4368" w:rsidRDefault="006C4368" w:rsidP="006C4368">
      <w:pPr>
        <w:pStyle w:val="Footnote"/>
        <w:bidi/>
      </w:pPr>
      <w:r>
        <w:rPr>
          <w:rStyle w:val="ac"/>
        </w:rPr>
        <w:footnoteRef/>
      </w:r>
      <w:r>
        <w:rPr>
          <w:rtl/>
        </w:rPr>
        <w:t>ואף דה</w:t>
      </w:r>
      <w:r>
        <w:rPr>
          <w:b/>
          <w:bCs/>
          <w:rtl/>
        </w:rPr>
        <w:t>רמב"ם</w:t>
      </w:r>
      <w:r>
        <w:rPr>
          <w:rtl/>
        </w:rPr>
        <w:t xml:space="preserve"> (שם יד) פסק דביאה כשירה אין אחריה כלום, ואין ביאה אחר ביאה (וכדתנן לעיל נ.), צ"ל דהיינו בענין היבמין. אבל מ"מ צריכה גט</w:t>
      </w:r>
      <w:r>
        <w:t>.</w:t>
      </w:r>
    </w:p>
  </w:footnote>
  <w:footnote w:id="7357">
    <w:p w14:paraId="2AE18E57" w14:textId="77777777" w:rsidR="006C4368" w:rsidRDefault="006C4368" w:rsidP="006C4368">
      <w:pPr>
        <w:pStyle w:val="Footnote"/>
        <w:bidi/>
      </w:pPr>
      <w:r>
        <w:rPr>
          <w:rStyle w:val="ac"/>
        </w:rPr>
        <w:footnoteRef/>
      </w:r>
      <w:r>
        <w:rPr>
          <w:rtl/>
        </w:rPr>
        <w:t>בן שמוע, תלמיד ר' עקיבא</w:t>
      </w:r>
      <w:r>
        <w:t>.</w:t>
      </w:r>
    </w:p>
  </w:footnote>
  <w:footnote w:id="7358">
    <w:p w14:paraId="2A1E6331" w14:textId="77777777" w:rsidR="006C4368" w:rsidRDefault="006C4368" w:rsidP="006C4368">
      <w:pPr>
        <w:pStyle w:val="Footnote"/>
        <w:bidi/>
      </w:pPr>
      <w:r>
        <w:rPr>
          <w:rStyle w:val="ac"/>
        </w:rPr>
        <w:footnoteRef/>
      </w:r>
      <w:r>
        <w:rPr>
          <w:rtl/>
        </w:rPr>
        <w:t>בן הורקנוס, חבר של ר”ג ור' יהושע. [ובגמ' בסמוך הו' ר' אלעזר בן פדת, האמורא תלמיד ר' יוחנן]</w:t>
      </w:r>
      <w:r>
        <w:t>.</w:t>
      </w:r>
    </w:p>
  </w:footnote>
  <w:footnote w:id="7359">
    <w:p w14:paraId="6AD0227E" w14:textId="77777777" w:rsidR="006C4368" w:rsidRDefault="006C4368" w:rsidP="006C4368">
      <w:pPr>
        <w:pStyle w:val="Footnote"/>
        <w:bidi/>
      </w:pPr>
      <w:r>
        <w:rPr>
          <w:rStyle w:val="ac"/>
        </w:rPr>
        <w:footnoteRef/>
      </w:r>
      <w:r>
        <w:rPr>
          <w:rtl/>
        </w:rPr>
        <w:t>והגמ' עושה צריכותא בפסק הלכה, אבל בעיקר המשנה הוה ב' תנאים</w:t>
      </w:r>
      <w:r>
        <w:t>.</w:t>
      </w:r>
    </w:p>
  </w:footnote>
  <w:footnote w:id="7360">
    <w:p w14:paraId="4DC837DB" w14:textId="77777777" w:rsidR="006C4368" w:rsidRDefault="006C4368" w:rsidP="006C4368">
      <w:pPr>
        <w:pStyle w:val="Footnote"/>
        <w:bidi/>
      </w:pPr>
      <w:r>
        <w:rPr>
          <w:rStyle w:val="ac"/>
        </w:rPr>
        <w:footnoteRef/>
      </w:r>
      <w:r>
        <w:rPr>
          <w:rtl/>
        </w:rPr>
        <w:t>וה</w:t>
      </w:r>
      <w:r>
        <w:rPr>
          <w:b/>
          <w:bCs/>
          <w:rtl/>
        </w:rPr>
        <w:t>רמב"ן</w:t>
      </w:r>
      <w:r>
        <w:rPr>
          <w:rtl/>
        </w:rPr>
        <w:t xml:space="preserve"> ביאר דאף שפסלה בביאה, מ"מ כיון שמיאנה בביאתו ובמאמרו ובזיקתו הרי היא כמי שאינה. וצרתה מתייבמת. ואין זו צרת ערוה שנגזור עליה [משום שנראית בשעת נפילה, וכדלעיל קז:]</w:t>
      </w:r>
      <w:r>
        <w:t>.</w:t>
      </w:r>
    </w:p>
  </w:footnote>
  <w:footnote w:id="7361">
    <w:p w14:paraId="15139E9C" w14:textId="77777777" w:rsidR="006C4368" w:rsidRDefault="006C4368" w:rsidP="006C4368">
      <w:pPr>
        <w:pStyle w:val="Footnote"/>
        <w:bidi/>
      </w:pPr>
      <w:r>
        <w:rPr>
          <w:rStyle w:val="ac"/>
        </w:rPr>
        <w:footnoteRef/>
      </w:r>
      <w:r>
        <w:rPr>
          <w:rtl/>
        </w:rPr>
        <w:t>וכדאי' (לעיל קז:) דר' אושעיא מודה ממאנת לביאתו</w:t>
      </w:r>
      <w:r>
        <w:t>.</w:t>
      </w:r>
    </w:p>
  </w:footnote>
  <w:footnote w:id="7362">
    <w:p w14:paraId="2CB8762E" w14:textId="77777777" w:rsidR="006C4368" w:rsidRDefault="006C4368" w:rsidP="006C4368">
      <w:pPr>
        <w:pStyle w:val="Footnote"/>
        <w:bidi/>
      </w:pPr>
      <w:r>
        <w:rPr>
          <w:rStyle w:val="ac"/>
        </w:rPr>
        <w:footnoteRef/>
      </w:r>
      <w:r>
        <w:rPr>
          <w:rtl/>
        </w:rPr>
        <w:t>והמיאון מועיל רק דאילו תמות הקטנה יהא מותר בחרשת (וכדאי' בירושלמי, הו' לעיל). ואין מלמדים אותה למאן משום אילו תמות</w:t>
      </w:r>
      <w:r>
        <w:t>.</w:t>
      </w:r>
    </w:p>
  </w:footnote>
  <w:footnote w:id="7363">
    <w:p w14:paraId="3B9A7C55" w14:textId="77777777" w:rsidR="006C4368" w:rsidRDefault="006C4368" w:rsidP="006C4368">
      <w:pPr>
        <w:pStyle w:val="Footnote"/>
        <w:bidi/>
      </w:pPr>
      <w:r>
        <w:rPr>
          <w:rStyle w:val="ac"/>
        </w:rPr>
        <w:footnoteRef/>
      </w:r>
      <w:r>
        <w:rPr>
          <w:rtl/>
        </w:rPr>
        <w:t>ועוד הביא ה</w:t>
      </w:r>
      <w:r>
        <w:rPr>
          <w:b/>
          <w:bCs/>
          <w:rtl/>
        </w:rPr>
        <w:t>גר"א</w:t>
      </w:r>
      <w:r>
        <w:rPr>
          <w:rtl/>
        </w:rPr>
        <w:t xml:space="preserve"> (קעא ח) דבגמ' (נדה ח.) דנו להוכיח מהלשון ממאנין את הקטנות, דקאי אב' קטנות. והא בדר' אליעזר איכא טובא</w:t>
      </w:r>
      <w:r>
        <w:t>.</w:t>
      </w:r>
    </w:p>
  </w:footnote>
  <w:footnote w:id="7364">
    <w:p w14:paraId="30A09682" w14:textId="77777777" w:rsidR="006C4368" w:rsidRDefault="006C4368" w:rsidP="006C4368">
      <w:pPr>
        <w:pStyle w:val="Footnote"/>
        <w:bidi/>
      </w:pPr>
      <w:r>
        <w:rPr>
          <w:rStyle w:val="ac"/>
        </w:rPr>
        <w:footnoteRef/>
      </w:r>
      <w:r>
        <w:rPr>
          <w:rtl/>
        </w:rPr>
        <w:t>וב</w:t>
      </w:r>
      <w:r>
        <w:rPr>
          <w:b/>
          <w:bCs/>
          <w:rtl/>
        </w:rPr>
        <w:t>חי' הרמב"ן</w:t>
      </w:r>
      <w:r>
        <w:rPr>
          <w:rtl/>
        </w:rPr>
        <w:t xml:space="preserve"> כת' דכ"ז למ"ד (עולא לעיל קז:) דיש מיאון לאחר מיתה וממאנת לזיקתו, אבל לר' אושעיא ל"מ הך מיאון. וע"כ לא קאי אבבא זו</w:t>
      </w:r>
      <w:r>
        <w:t>.</w:t>
      </w:r>
    </w:p>
  </w:footnote>
  <w:footnote w:id="7365">
    <w:p w14:paraId="1BBAB399" w14:textId="77777777" w:rsidR="006C4368" w:rsidRDefault="006C4368" w:rsidP="006C4368">
      <w:pPr>
        <w:pStyle w:val="Footnote"/>
        <w:bidi/>
      </w:pPr>
      <w:r>
        <w:rPr>
          <w:rStyle w:val="ac"/>
        </w:rPr>
        <w:footnoteRef/>
      </w:r>
      <w:r>
        <w:rPr>
          <w:rtl/>
        </w:rPr>
        <w:t>דכיון דפסל את הקטנה, הקטנה צריכה גט, והגדולה צריכה גט וחליצה. וכיון דבלאו הכי אסורה לבעלה, תמאן שתהא מותרת בלא גט, ומותרת לכהונה</w:t>
      </w:r>
      <w:r>
        <w:t>.</w:t>
      </w:r>
    </w:p>
  </w:footnote>
  <w:footnote w:id="7366">
    <w:p w14:paraId="6488BB2A" w14:textId="77777777" w:rsidR="006C4368" w:rsidRDefault="006C4368" w:rsidP="006C4368">
      <w:pPr>
        <w:pStyle w:val="Footnote"/>
        <w:bidi/>
      </w:pPr>
      <w:r>
        <w:rPr>
          <w:rStyle w:val="ac"/>
        </w:rPr>
        <w:footnoteRef/>
      </w:r>
      <w:r>
        <w:rPr>
          <w:rtl/>
        </w:rPr>
        <w:t>וכיון דפשע, לא מוטל על הקטנה למאן להתיר את הגדולה</w:t>
      </w:r>
      <w:r>
        <w:t>.</w:t>
      </w:r>
    </w:p>
    <w:p w14:paraId="6C811824" w14:textId="77777777" w:rsidR="006C4368" w:rsidRDefault="006C4368" w:rsidP="006C4368">
      <w:pPr>
        <w:pStyle w:val="Footnote"/>
        <w:bidi/>
      </w:pPr>
      <w:r>
        <w:tab/>
      </w:r>
      <w:r>
        <w:rPr>
          <w:rtl/>
        </w:rPr>
        <w:t>וכן תמה ה</w:t>
      </w:r>
      <w:r>
        <w:rPr>
          <w:b/>
          <w:bCs/>
          <w:rtl/>
        </w:rPr>
        <w:t>לח"מ</w:t>
      </w:r>
      <w:r>
        <w:rPr>
          <w:rtl/>
        </w:rPr>
        <w:t xml:space="preserve"> [ע"ד הרמב"ן] דלמ"ד יש זיקה אף התם אסורה ממ"נ לעולם. ומבואר דמלמדים למאן רק משום המצווה. דאף כשאסורה עליו, גט עדיף ממיאון. וביאר דכוונת הרמב"ן בצירוף הסברא דנשא את החרשת בהיתר</w:t>
      </w:r>
      <w:r>
        <w:t>.</w:t>
      </w:r>
    </w:p>
  </w:footnote>
  <w:footnote w:id="7367">
    <w:p w14:paraId="2F880DC6" w14:textId="77777777" w:rsidR="006C4368" w:rsidRDefault="006C4368" w:rsidP="006C4368">
      <w:pPr>
        <w:pStyle w:val="Footnote"/>
        <w:bidi/>
      </w:pPr>
      <w:r>
        <w:rPr>
          <w:rStyle w:val="ac"/>
        </w:rPr>
        <w:footnoteRef/>
      </w:r>
      <w:r>
        <w:rPr>
          <w:rtl/>
        </w:rPr>
        <w:t>וה</w:t>
      </w:r>
      <w:r>
        <w:rPr>
          <w:b/>
          <w:bCs/>
          <w:rtl/>
        </w:rPr>
        <w:t>גר"א</w:t>
      </w:r>
      <w:r>
        <w:rPr>
          <w:rtl/>
        </w:rPr>
        <w:t xml:space="preserve"> (קעא ח) כת' הכלל דלגירסא 'בכולן' קאי אקטנה וחרשת ואקטנה וגדולה, והן ד' בבי, </w:t>
      </w:r>
      <w:r>
        <w:rPr>
          <w:i/>
          <w:iCs/>
          <w:rtl/>
        </w:rPr>
        <w:t>א'</w:t>
      </w:r>
      <w:r>
        <w:rPr>
          <w:rtl/>
        </w:rPr>
        <w:t xml:space="preserve"> בבא ראשונה (לעיל קי.) קטנה וחרשת, </w:t>
      </w:r>
      <w:r>
        <w:rPr>
          <w:i/>
          <w:iCs/>
          <w:rtl/>
        </w:rPr>
        <w:t>ב'</w:t>
      </w:r>
      <w:r>
        <w:rPr>
          <w:rtl/>
        </w:rPr>
        <w:t xml:space="preserve"> (קי.) קטנה וגדולה, אין ביאת הקטנה פוטרת. </w:t>
      </w:r>
      <w:r>
        <w:rPr>
          <w:i/>
          <w:iCs/>
          <w:rtl/>
        </w:rPr>
        <w:t>ג'</w:t>
      </w:r>
      <w:r>
        <w:rPr>
          <w:rtl/>
        </w:rPr>
        <w:t xml:space="preserve"> בבא (כאן) דבא על הקטנה ואח"כ חרשת [לגירסת רש"י דפסל, אבל לגי' הגאונים דלא פסל קאי אסיפא לבד]. </w:t>
      </w:r>
      <w:r>
        <w:rPr>
          <w:i/>
          <w:iCs/>
          <w:rtl/>
        </w:rPr>
        <w:t>ד'</w:t>
      </w:r>
      <w:r>
        <w:rPr>
          <w:rtl/>
        </w:rPr>
        <w:t xml:space="preserve"> בבא בא על הקטנה ואח"כ על הגדולה</w:t>
      </w:r>
      <w:r>
        <w:t>.</w:t>
      </w:r>
    </w:p>
    <w:p w14:paraId="11851F9A" w14:textId="77777777" w:rsidR="006C4368" w:rsidRDefault="006C4368" w:rsidP="006C4368">
      <w:pPr>
        <w:pStyle w:val="Footnote"/>
        <w:bidi/>
      </w:pPr>
      <w:r>
        <w:tab/>
      </w:r>
      <w:r>
        <w:rPr>
          <w:rtl/>
        </w:rPr>
        <w:t>ולפירוש ה</w:t>
      </w:r>
      <w:r>
        <w:rPr>
          <w:b/>
          <w:bCs/>
          <w:rtl/>
        </w:rPr>
        <w:t>רמב"ם</w:t>
      </w:r>
      <w:r>
        <w:rPr>
          <w:rtl/>
        </w:rPr>
        <w:t xml:space="preserve"> קאי כאן אד' בבות, ברישא ב' קטנות ומציעתא חרשת וקטנה וסיפא גדולה וקטנה, וקטנה וגדולה. אבל ליתא כנ"ל</w:t>
      </w:r>
      <w:r>
        <w:t>.</w:t>
      </w:r>
    </w:p>
  </w:footnote>
  <w:footnote w:id="7368">
    <w:p w14:paraId="3B1A130A" w14:textId="77777777" w:rsidR="006C4368" w:rsidRDefault="006C4368" w:rsidP="006C4368">
      <w:pPr>
        <w:pStyle w:val="Footnote"/>
        <w:bidi/>
      </w:pPr>
      <w:r>
        <w:rPr>
          <w:rStyle w:val="ac"/>
        </w:rPr>
        <w:footnoteRef/>
      </w:r>
      <w:r>
        <w:rPr>
          <w:rtl/>
        </w:rPr>
        <w:t>דלת"ק אינה אוסרת, אף בלא מיאון</w:t>
      </w:r>
      <w:r>
        <w:t>.</w:t>
      </w:r>
    </w:p>
  </w:footnote>
  <w:footnote w:id="7369">
    <w:p w14:paraId="72593408" w14:textId="77777777" w:rsidR="006C4368" w:rsidRDefault="006C4368" w:rsidP="006C4368">
      <w:pPr>
        <w:pStyle w:val="Footnote"/>
        <w:bidi/>
      </w:pPr>
      <w:r>
        <w:rPr>
          <w:rStyle w:val="ac"/>
        </w:rPr>
        <w:footnoteRef/>
      </w:r>
      <w:r>
        <w:rPr>
          <w:rtl/>
        </w:rPr>
        <w:t>וע"ד קו' הירושלמי (הו' לעיל)</w:t>
      </w:r>
      <w:r>
        <w:t>.</w:t>
      </w:r>
    </w:p>
  </w:footnote>
  <w:footnote w:id="7370">
    <w:p w14:paraId="632E0918" w14:textId="77777777" w:rsidR="006C4368" w:rsidRDefault="006C4368" w:rsidP="006C4368">
      <w:pPr>
        <w:pStyle w:val="Footnote"/>
        <w:bidi/>
      </w:pPr>
      <w:r>
        <w:rPr>
          <w:rStyle w:val="ac"/>
        </w:rPr>
        <w:footnoteRef/>
      </w:r>
      <w:r>
        <w:rPr>
          <w:rtl/>
        </w:rPr>
        <w:t>וה</w:t>
      </w:r>
      <w:r>
        <w:rPr>
          <w:b/>
          <w:bCs/>
          <w:rtl/>
        </w:rPr>
        <w:t>גר"א</w:t>
      </w:r>
      <w:r>
        <w:rPr>
          <w:rtl/>
        </w:rPr>
        <w:t xml:space="preserve"> הביא דאף ר' אלעזר [בן פדת] משמע בגמ' (לעיל כט: בסוה”כ) דסבר יש זיקה</w:t>
      </w:r>
      <w:r>
        <w:t>.</w:t>
      </w:r>
    </w:p>
  </w:footnote>
  <w:footnote w:id="7371">
    <w:p w14:paraId="781FD706" w14:textId="77777777" w:rsidR="006C4368" w:rsidRDefault="006C4368" w:rsidP="006C4368">
      <w:pPr>
        <w:pStyle w:val="Footnote"/>
        <w:bidi/>
      </w:pPr>
      <w:r>
        <w:rPr>
          <w:rStyle w:val="ac"/>
        </w:rPr>
        <w:footnoteRef/>
      </w:r>
      <w:r>
        <w:rPr>
          <w:rtl/>
        </w:rPr>
        <w:t>ו</w:t>
      </w:r>
      <w:r>
        <w:rPr>
          <w:b/>
          <w:bCs/>
          <w:rtl/>
        </w:rPr>
        <w:t>רשב"ם</w:t>
      </w:r>
      <w:r>
        <w:rPr>
          <w:rtl/>
        </w:rPr>
        <w:t xml:space="preserve"> (בתוס' גיטין מ:) הביא מהמשנה כאן דאין מעשה קטן כלום לגרש, ול"מ הקטן לשחרר את עבדו ולהתירו בבת חורין. וכמו קטן שקנה יבמתו מן התורה, דאינו נותן גט עד שיגדיל. [וצ"ב דמ"מ מדרבנן הוה רק כמאמר, ומש”ה מדרבנן אינו נותן גט להתירה עד שיגדיל. וכה”ק ה</w:t>
      </w:r>
      <w:r>
        <w:rPr>
          <w:b/>
          <w:bCs/>
          <w:rtl/>
        </w:rPr>
        <w:t>פנ”י</w:t>
      </w:r>
      <w:r>
        <w:rPr>
          <w:rtl/>
        </w:rPr>
        <w:t xml:space="preserve"> גיטין שם]</w:t>
      </w:r>
      <w:r>
        <w:t>.</w:t>
      </w:r>
    </w:p>
  </w:footnote>
  <w:footnote w:id="7372">
    <w:p w14:paraId="7889044D" w14:textId="77777777" w:rsidR="006C4368" w:rsidRDefault="006C4368" w:rsidP="006C4368">
      <w:pPr>
        <w:pStyle w:val="Footnote"/>
        <w:bidi/>
      </w:pPr>
      <w:r>
        <w:rPr>
          <w:rStyle w:val="ac"/>
        </w:rPr>
        <w:footnoteRef/>
      </w:r>
      <w:r>
        <w:rPr>
          <w:rtl/>
        </w:rPr>
        <w:t>דכ"מ הלשון יגדלו זה עם זה</w:t>
      </w:r>
      <w:r>
        <w:t>.</w:t>
      </w:r>
    </w:p>
  </w:footnote>
  <w:footnote w:id="7373">
    <w:p w14:paraId="3B76F961" w14:textId="77777777" w:rsidR="006C4368" w:rsidRDefault="006C4368" w:rsidP="006C4368">
      <w:pPr>
        <w:pStyle w:val="Footnote"/>
        <w:bidi/>
      </w:pPr>
      <w:r>
        <w:rPr>
          <w:rStyle w:val="ac"/>
        </w:rPr>
        <w:footnoteRef/>
      </w:r>
      <w:r>
        <w:rPr>
          <w:rtl/>
        </w:rPr>
        <w:t>וק"ק דביאה בפחות מבת ג' לא הוה ביאה כלל, ואי"צ גט. ובמשנה מבואר דבא עליה, ומשמע דצריכה גט</w:t>
      </w:r>
      <w:r>
        <w:t>.</w:t>
      </w:r>
    </w:p>
  </w:footnote>
  <w:footnote w:id="7374">
    <w:p w14:paraId="5E49DE5F" w14:textId="77777777" w:rsidR="006C4368" w:rsidRDefault="006C4368" w:rsidP="006C4368">
      <w:pPr>
        <w:pStyle w:val="Footnote"/>
        <w:bidi/>
      </w:pPr>
      <w:r>
        <w:rPr>
          <w:rStyle w:val="ac"/>
        </w:rPr>
        <w:footnoteRef/>
      </w:r>
      <w:r>
        <w:rPr>
          <w:rtl/>
        </w:rPr>
        <w:t>וצ"ב דמ"מ לא הוה אשתו, ואף מדרבנן ביאת בן ט' הוה רק כמו מאמר. ומאמר גרע מאירוסין (כדלעיל כט:), א”כ עכ”פ הוה כמו כלה בלא ברכה, ועדיין ל”ק להיות אשתו</w:t>
      </w:r>
      <w:r>
        <w:t>.</w:t>
      </w:r>
    </w:p>
  </w:footnote>
  <w:footnote w:id="7375">
    <w:p w14:paraId="52E4BE13" w14:textId="77777777" w:rsidR="006C4368" w:rsidRDefault="006C4368" w:rsidP="006C4368">
      <w:pPr>
        <w:pStyle w:val="Footnote"/>
        <w:bidi/>
      </w:pPr>
      <w:r>
        <w:rPr>
          <w:rStyle w:val="ac"/>
        </w:rPr>
        <w:footnoteRef/>
      </w:r>
      <w:r>
        <w:rPr>
          <w:rtl/>
        </w:rPr>
        <w:t>והגמ' (לקמן קיד:) מביאה דלא הוה משום קטן אוכל נבילות, דהא לאשה יש איסור</w:t>
      </w:r>
      <w:r>
        <w:t>.</w:t>
      </w:r>
    </w:p>
  </w:footnote>
  <w:footnote w:id="7376">
    <w:p w14:paraId="2C5CB765" w14:textId="77777777" w:rsidR="006C4368" w:rsidRDefault="006C4368" w:rsidP="006C4368">
      <w:pPr>
        <w:pStyle w:val="Footnote"/>
        <w:bidi/>
      </w:pPr>
      <w:r>
        <w:rPr>
          <w:rStyle w:val="ac"/>
        </w:rPr>
        <w:footnoteRef/>
      </w:r>
      <w:r>
        <w:rPr>
          <w:rtl/>
        </w:rPr>
        <w:t xml:space="preserve">ולדעת </w:t>
      </w:r>
      <w:r>
        <w:rPr>
          <w:b/>
          <w:bCs/>
          <w:rtl/>
        </w:rPr>
        <w:t>תוס'</w:t>
      </w:r>
      <w:r>
        <w:rPr>
          <w:rtl/>
        </w:rPr>
        <w:t xml:space="preserve"> (סח. וכ"מ) מדאורייתא בן ט' ל"ק כלל, ורק מדרבנן דינו כמאמר</w:t>
      </w:r>
      <w:r>
        <w:t>.</w:t>
      </w:r>
    </w:p>
  </w:footnote>
  <w:footnote w:id="7377">
    <w:p w14:paraId="7BF46505" w14:textId="77777777" w:rsidR="006C4368" w:rsidRDefault="006C4368" w:rsidP="006C4368">
      <w:pPr>
        <w:pStyle w:val="Footnote"/>
        <w:bidi/>
      </w:pPr>
      <w:r>
        <w:rPr>
          <w:rStyle w:val="ac"/>
        </w:rPr>
        <w:footnoteRef/>
      </w:r>
      <w:r>
        <w:rPr>
          <w:rtl/>
        </w:rPr>
        <w:t>ותוס' למדו עד"ז דאף ביאת מעוברת [שלבסוף הפילה], אף דל"ק, מ"מ אין בזה איסור אשת אח. [אך ה</w:t>
      </w:r>
      <w:r>
        <w:rPr>
          <w:b/>
          <w:bCs/>
          <w:rtl/>
        </w:rPr>
        <w:t>ראשונים</w:t>
      </w:r>
      <w:r>
        <w:rPr>
          <w:rtl/>
        </w:rPr>
        <w:t xml:space="preserve"> (שם) דנו דמעוברת אינה זקוקה עדיין ליבום כלל. ול"ד לקטן, דזקוקה לו אלא דנתמעט מביאת היבום. וה</w:t>
      </w:r>
      <w:r>
        <w:rPr>
          <w:b/>
          <w:bCs/>
          <w:rtl/>
        </w:rPr>
        <w:t>רמב”ן</w:t>
      </w:r>
      <w:r>
        <w:rPr>
          <w:rtl/>
        </w:rPr>
        <w:t xml:space="preserve"> (שם) תי' דמ”מ כיון דהפילה זקוקה לו משעה ראשונה, ולא מצינו יבמה שאסורה ואח”כ חוזרת להיתר]</w:t>
      </w:r>
      <w:r>
        <w:t>.</w:t>
      </w:r>
    </w:p>
  </w:footnote>
  <w:footnote w:id="7378">
    <w:p w14:paraId="69D46E05" w14:textId="77777777" w:rsidR="006C4368" w:rsidRDefault="006C4368" w:rsidP="006C4368">
      <w:pPr>
        <w:pStyle w:val="Footnote"/>
        <w:bidi/>
      </w:pPr>
      <w:r>
        <w:rPr>
          <w:rStyle w:val="ac"/>
        </w:rPr>
        <w:footnoteRef/>
      </w:r>
      <w:r>
        <w:rPr>
          <w:rtl/>
        </w:rPr>
        <w:t>אך יש אחרונים שדנו דה"מ במקום שלבסוף מקיים מצוות היבום</w:t>
      </w:r>
      <w:r>
        <w:t>.</w:t>
      </w:r>
    </w:p>
  </w:footnote>
  <w:footnote w:id="7379">
    <w:p w14:paraId="158DA3BD" w14:textId="77777777" w:rsidR="006C4368" w:rsidRDefault="006C4368" w:rsidP="006C4368">
      <w:pPr>
        <w:pStyle w:val="Footnote"/>
        <w:bidi/>
      </w:pPr>
      <w:r>
        <w:rPr>
          <w:rStyle w:val="ac"/>
        </w:rPr>
        <w:footnoteRef/>
      </w:r>
      <w:r>
        <w:rPr>
          <w:rtl/>
        </w:rPr>
        <w:t>וכן בגמ' (קידושין סה.) כשהאשה אומרת קדשתני והוא מכחיש, מבקשים ממנו ליתן גט. דהיא אסורה משום שויא אנפשיה</w:t>
      </w:r>
      <w:r>
        <w:t>.</w:t>
      </w:r>
    </w:p>
  </w:footnote>
  <w:footnote w:id="7380">
    <w:p w14:paraId="75CF4F0A" w14:textId="77777777" w:rsidR="006C4368" w:rsidRDefault="006C4368" w:rsidP="006C4368">
      <w:pPr>
        <w:pStyle w:val="Footnote"/>
        <w:bidi/>
      </w:pPr>
      <w:r>
        <w:rPr>
          <w:rStyle w:val="ac"/>
        </w:rPr>
        <w:footnoteRef/>
      </w:r>
      <w:r>
        <w:rPr>
          <w:rtl/>
        </w:rPr>
        <w:t>ולא הוה מיגו דהעזה, דאף טענת לא נבעלתי הוה העזה. [אלא דאינה נאמנת משום סברת לא מוקים אנפשיה]</w:t>
      </w:r>
      <w:r>
        <w:t>.</w:t>
      </w:r>
    </w:p>
  </w:footnote>
  <w:footnote w:id="7381">
    <w:p w14:paraId="2D183A7B" w14:textId="77777777" w:rsidR="006C4368" w:rsidRDefault="006C4368" w:rsidP="006C4368">
      <w:pPr>
        <w:pStyle w:val="Footnote"/>
        <w:bidi/>
      </w:pPr>
      <w:r>
        <w:rPr>
          <w:rStyle w:val="ac"/>
        </w:rPr>
        <w:footnoteRef/>
      </w:r>
      <w:r>
        <w:rPr>
          <w:rtl/>
        </w:rPr>
        <w:t>וה</w:t>
      </w:r>
      <w:r>
        <w:rPr>
          <w:b/>
          <w:bCs/>
          <w:rtl/>
        </w:rPr>
        <w:t>גליון</w:t>
      </w:r>
      <w:r>
        <w:rPr>
          <w:rtl/>
        </w:rPr>
        <w:t xml:space="preserve"> (בשיטמ”ק ב"ב שם) תי' דספק הגמ' מיגו בהדי חזקת ממון, במקום חזקה. אבל בעלמא ל"מ מיגו במקום חזקה</w:t>
      </w:r>
      <w:r>
        <w:t>.</w:t>
      </w:r>
    </w:p>
    <w:p w14:paraId="1588404D" w14:textId="77777777" w:rsidR="006C4368" w:rsidRDefault="006C4368" w:rsidP="006C4368">
      <w:pPr>
        <w:pStyle w:val="Footnote"/>
        <w:bidi/>
      </w:pPr>
      <w:r>
        <w:tab/>
      </w:r>
      <w:r>
        <w:rPr>
          <w:rtl/>
        </w:rPr>
        <w:t>וה</w:t>
      </w:r>
      <w:r>
        <w:rPr>
          <w:b/>
          <w:bCs/>
          <w:rtl/>
        </w:rPr>
        <w:t>ש"ך</w:t>
      </w:r>
      <w:r>
        <w:rPr>
          <w:rtl/>
        </w:rPr>
        <w:t xml:space="preserve"> (כללי מיגו י) כת' דאין כל החזקות שוות. [וכ"כ ה</w:t>
      </w:r>
      <w:r>
        <w:rPr>
          <w:b/>
          <w:bCs/>
          <w:rtl/>
        </w:rPr>
        <w:t>ראשונים</w:t>
      </w:r>
      <w:r>
        <w:rPr>
          <w:rtl/>
        </w:rPr>
        <w:t xml:space="preserve"> בכ”מ (קידו' סד: ועוד), וכן </w:t>
      </w:r>
      <w:r>
        <w:rPr>
          <w:b/>
          <w:bCs/>
          <w:rtl/>
        </w:rPr>
        <w:t>תוס'</w:t>
      </w:r>
      <w:r>
        <w:rPr>
          <w:rtl/>
        </w:rPr>
        <w:t xml:space="preserve"> (כתובות ט: ד”ה לא)]</w:t>
      </w:r>
      <w:r>
        <w:t>.</w:t>
      </w:r>
    </w:p>
  </w:footnote>
  <w:footnote w:id="7382">
    <w:p w14:paraId="2717859E" w14:textId="77777777" w:rsidR="006C4368" w:rsidRDefault="006C4368" w:rsidP="006C4368">
      <w:pPr>
        <w:pStyle w:val="Footnote"/>
        <w:bidi/>
      </w:pPr>
      <w:r>
        <w:rPr>
          <w:rStyle w:val="ac"/>
        </w:rPr>
        <w:footnoteRef/>
      </w:r>
      <w:r>
        <w:rPr>
          <w:rtl/>
        </w:rPr>
        <w:t>וביאר דהוה חזקה בעלמא [דקליש מחזקת ממון], ובשאר חזקות הוה ספק (שם) אי אמרינן מגו במקום חזקה. ואין לדמות ולבדות מלבינו סברות בלתי נמצא למחברים קדמונים. ותוס' והמרדכי [שהק' מהתם] לא ס"ל דנחשב מיגו להוציא], ובטלה דעתו נגד דעתם. [והתומים נקט דמיגו להוציא הוה משום דהוה כנגד חזקה, אך האחרונים דחו דמיגו להוציא הוא משום הוצאת ממון, וה"נ מחוייב לעשות מעשה</w:t>
      </w:r>
      <w:r>
        <w:t>].</w:t>
      </w:r>
    </w:p>
  </w:footnote>
  <w:footnote w:id="7383">
    <w:p w14:paraId="4C6DC85A" w14:textId="77777777" w:rsidR="006C4368" w:rsidRDefault="006C4368" w:rsidP="006C4368">
      <w:pPr>
        <w:pStyle w:val="Footnote"/>
        <w:bidi/>
      </w:pPr>
      <w:r>
        <w:rPr>
          <w:rStyle w:val="ac"/>
        </w:rPr>
        <w:footnoteRef/>
      </w:r>
      <w:r>
        <w:rPr>
          <w:rtl/>
        </w:rPr>
        <w:t>וה</w:t>
      </w:r>
      <w:r>
        <w:rPr>
          <w:b/>
          <w:bCs/>
          <w:rtl/>
        </w:rPr>
        <w:t>ש"ך</w:t>
      </w:r>
      <w:r>
        <w:rPr>
          <w:rtl/>
        </w:rPr>
        <w:t xml:space="preserve"> האריך בזה ואין לעקש ולומר דסוף סוף אית לה מיגו דאינו יכול, ואי טענה אינו יכול היתה נאמנת דלא היתה כנגדה חזקה דלא מוקי איניש אנפשיה. הא ליתא דלא עדיפא טענה שנאמנת מכח מיגו מטענת מיגו עצמה</w:t>
      </w:r>
      <w:r>
        <w:t>.</w:t>
      </w:r>
    </w:p>
  </w:footnote>
  <w:footnote w:id="7384">
    <w:p w14:paraId="2AAC0940" w14:textId="77777777" w:rsidR="006C4368" w:rsidRDefault="006C4368" w:rsidP="006C4368">
      <w:pPr>
        <w:pStyle w:val="Footnote"/>
        <w:bidi/>
      </w:pPr>
      <w:r>
        <w:rPr>
          <w:rStyle w:val="ac"/>
        </w:rPr>
        <w:footnoteRef/>
      </w:r>
      <w:r>
        <w:rPr>
          <w:rtl/>
        </w:rPr>
        <w:t>וה</w:t>
      </w:r>
      <w:r>
        <w:rPr>
          <w:b/>
          <w:bCs/>
          <w:rtl/>
        </w:rPr>
        <w:t xml:space="preserve">קוב"ש </w:t>
      </w:r>
      <w:r>
        <w:rPr>
          <w:rtl/>
        </w:rPr>
        <w:t>(שם) דן בשאר מיגו במקום חזקה אי שייך סברא זו</w:t>
      </w:r>
      <w:r>
        <w:t>.</w:t>
      </w:r>
    </w:p>
  </w:footnote>
  <w:footnote w:id="7385">
    <w:p w14:paraId="24EBACF3" w14:textId="77777777" w:rsidR="006C4368" w:rsidRDefault="006C4368" w:rsidP="006C4368">
      <w:pPr>
        <w:pStyle w:val="Footnote"/>
        <w:bidi/>
      </w:pPr>
      <w:r>
        <w:rPr>
          <w:rStyle w:val="ac"/>
        </w:rPr>
        <w:footnoteRef/>
      </w:r>
      <w:r>
        <w:rPr>
          <w:rtl/>
        </w:rPr>
        <w:t>וה</w:t>
      </w:r>
      <w:r>
        <w:rPr>
          <w:b/>
          <w:bCs/>
          <w:rtl/>
        </w:rPr>
        <w:t>מגיה לריטב"א</w:t>
      </w:r>
      <w:r>
        <w:rPr>
          <w:rtl/>
        </w:rPr>
        <w:t xml:space="preserve"> הק' תיפו"ל דאסור לחלוץ בלא טעם, ע"פ הא דאי' (לעיל מד.) דאסור לשפוך מי בורו ולבזותה שלא לצורך. ותי' דכיון דשויא אנפשה היא צריכה חליצה זו</w:t>
      </w:r>
      <w:r>
        <w:t>.</w:t>
      </w:r>
    </w:p>
  </w:footnote>
  <w:footnote w:id="7386">
    <w:p w14:paraId="0056B1CF" w14:textId="77777777" w:rsidR="006C4368" w:rsidRDefault="006C4368" w:rsidP="006C4368">
      <w:pPr>
        <w:pStyle w:val="Footnote"/>
        <w:bidi/>
      </w:pPr>
      <w:r>
        <w:rPr>
          <w:rStyle w:val="ac"/>
        </w:rPr>
        <w:footnoteRef/>
      </w:r>
      <w:r>
        <w:rPr>
          <w:rtl/>
        </w:rPr>
        <w:t>ויל"ד בקדשתני (קידו' סה. הנ"ל) מה הוא מספיד, ונימא כופין ע"מ סדום</w:t>
      </w:r>
      <w:r>
        <w:t>.</w:t>
      </w:r>
    </w:p>
  </w:footnote>
  <w:footnote w:id="7387">
    <w:p w14:paraId="18F00946" w14:textId="77777777" w:rsidR="006C4368" w:rsidRDefault="006C4368" w:rsidP="006C4368">
      <w:pPr>
        <w:pStyle w:val="Footnote"/>
        <w:bidi/>
      </w:pPr>
      <w:r>
        <w:rPr>
          <w:rStyle w:val="ac"/>
        </w:rPr>
        <w:footnoteRef/>
      </w:r>
      <w:r>
        <w:rPr>
          <w:rtl/>
        </w:rPr>
        <w:t>ד</w:t>
      </w:r>
      <w:r>
        <w:rPr>
          <w:b/>
          <w:bCs/>
          <w:rtl/>
        </w:rPr>
        <w:t>רע"א</w:t>
      </w:r>
      <w:r>
        <w:rPr>
          <w:rtl/>
        </w:rPr>
        <w:t xml:space="preserve"> (כתובות ט.) למד מדברי ה</w:t>
      </w:r>
      <w:r>
        <w:rPr>
          <w:b/>
          <w:bCs/>
          <w:rtl/>
        </w:rPr>
        <w:t>רא"ה</w:t>
      </w:r>
      <w:r>
        <w:rPr>
          <w:rtl/>
        </w:rPr>
        <w:t xml:space="preserve"> (בדק הבית בית ד שער ב כד: בדה"ס) דלא אמרי' שויא אנפשיה באיסור דרבנן</w:t>
      </w:r>
      <w:r>
        <w:t>.</w:t>
      </w:r>
    </w:p>
  </w:footnote>
  <w:footnote w:id="7388">
    <w:p w14:paraId="4BA08950" w14:textId="77777777" w:rsidR="006C4368" w:rsidRDefault="006C4368" w:rsidP="006C4368">
      <w:pPr>
        <w:pStyle w:val="Footnote"/>
        <w:bidi/>
      </w:pPr>
      <w:r>
        <w:rPr>
          <w:rStyle w:val="ac"/>
        </w:rPr>
        <w:footnoteRef/>
      </w:r>
      <w:r>
        <w:rPr>
          <w:rtl/>
        </w:rPr>
        <w:t>וב</w:t>
      </w:r>
      <w:r>
        <w:rPr>
          <w:b/>
          <w:bCs/>
          <w:rtl/>
        </w:rPr>
        <w:t>שו"ת הרשב"א</w:t>
      </w:r>
      <w:r>
        <w:rPr>
          <w:rtl/>
        </w:rPr>
        <w:t xml:space="preserve"> (ו כא) כת' יש לדחות דהתם חולצת מדרבנן, גזירה אטו חייבי לאוין גרידי, כאלמנה מן הנשואין לכה"ג</w:t>
      </w:r>
      <w:r>
        <w:t>.</w:t>
      </w:r>
    </w:p>
    <w:p w14:paraId="68C0A3D3" w14:textId="77777777" w:rsidR="006C4368" w:rsidRDefault="006C4368" w:rsidP="006C4368">
      <w:pPr>
        <w:pStyle w:val="Footnote"/>
        <w:bidi/>
      </w:pPr>
      <w:r>
        <w:tab/>
      </w:r>
      <w:r>
        <w:rPr>
          <w:rtl/>
        </w:rPr>
        <w:t>והרשב”א ביאר דכיון דעשה דיבום אינו דוחה ל"ת ועשה הוה ערוה, ואי"צ חליצה [וחייבי לאוין ועשה חולצות רק מדרבנן, וכ"ד המאירי (לעיל כ:) והרמב"ן (כ. בחד תי') וריב"ם בתורא"ש (כ:) וע”ע מש"כ לעיל כ:]</w:t>
      </w:r>
      <w:r>
        <w:t>.</w:t>
      </w:r>
    </w:p>
    <w:p w14:paraId="4159B8EF" w14:textId="77777777" w:rsidR="006C4368" w:rsidRDefault="006C4368" w:rsidP="006C4368">
      <w:pPr>
        <w:pStyle w:val="Footnote"/>
        <w:bidi/>
      </w:pPr>
      <w:r>
        <w:tab/>
      </w:r>
      <w:r>
        <w:rPr>
          <w:rtl/>
        </w:rPr>
        <w:t>וא"נ [כן הגיה בקובה"ע] חייבי לאוין ועשה עולה לחליצה אפי' דבר תורה, כיון דתפשי קידושין בה (וכדאי' לעיל כ.) אף זיקתה [כ]קידושין וצריכה חליצה. וכת' דמ"מ כיון שבזו איסור דבר אחר גרם לה לא פטר הכתוב מן החליצה, אלא מי שאיסור ערוה גרם לה. [יל"ד אי קאי אנודרת, או אכל חייבי לאו ועשה]</w:t>
      </w:r>
      <w:r>
        <w:t>.</w:t>
      </w:r>
    </w:p>
  </w:footnote>
  <w:footnote w:id="7389">
    <w:p w14:paraId="2A187627" w14:textId="77777777" w:rsidR="006C4368" w:rsidRDefault="006C4368" w:rsidP="006C4368">
      <w:pPr>
        <w:pStyle w:val="Footnote"/>
        <w:bidi/>
      </w:pPr>
      <w:r>
        <w:rPr>
          <w:rStyle w:val="ac"/>
        </w:rPr>
        <w:footnoteRef/>
      </w:r>
      <w:r>
        <w:rPr>
          <w:rtl/>
        </w:rPr>
        <w:t>שהראשון גירשה ע"מ שלא תנשא לזה ונשאת לאחיו, דאסורה להתייבם לזה (וכדאי' גיטין פג.). והביא דה</w:t>
      </w:r>
      <w:r>
        <w:rPr>
          <w:b/>
          <w:bCs/>
          <w:rtl/>
        </w:rPr>
        <w:t>רמב"ן</w:t>
      </w:r>
      <w:r>
        <w:rPr>
          <w:rtl/>
        </w:rPr>
        <w:t xml:space="preserve"> (לעיל ב. הו' לעיל י.) נסתפק האם צריכה חליצה, דכל שאינה עולה ליבום אינה עולה לחליצה</w:t>
      </w:r>
      <w:r>
        <w:t>.</w:t>
      </w:r>
    </w:p>
  </w:footnote>
  <w:footnote w:id="7390">
    <w:p w14:paraId="07797B08" w14:textId="77777777" w:rsidR="006C4368" w:rsidRDefault="006C4368" w:rsidP="006C4368">
      <w:pPr>
        <w:pStyle w:val="Footnote"/>
        <w:bidi/>
      </w:pPr>
      <w:r>
        <w:rPr>
          <w:rStyle w:val="ac"/>
        </w:rPr>
        <w:footnoteRef/>
      </w:r>
      <w:r>
        <w:rPr>
          <w:rtl/>
        </w:rPr>
        <w:t>ואילו בעלת התנאי אסורה ליבם משום צד כרת</w:t>
      </w:r>
      <w:r>
        <w:t>.</w:t>
      </w:r>
    </w:p>
  </w:footnote>
  <w:footnote w:id="7391">
    <w:p w14:paraId="5A71929C" w14:textId="77777777" w:rsidR="006C4368" w:rsidRDefault="006C4368" w:rsidP="006C4368">
      <w:pPr>
        <w:pStyle w:val="Footnote"/>
        <w:bidi/>
      </w:pPr>
      <w:r>
        <w:rPr>
          <w:rStyle w:val="ac"/>
        </w:rPr>
        <w:footnoteRef/>
      </w:r>
      <w:r>
        <w:rPr>
          <w:rtl/>
        </w:rPr>
        <w:t>ונקט דאף בחייבי לאו ועשה, שזקוקה לחליצה אמרי' נאסרה. [וה</w:t>
      </w:r>
      <w:r>
        <w:rPr>
          <w:b/>
          <w:bCs/>
          <w:rtl/>
        </w:rPr>
        <w:t>מהר"ם מרוטנברג</w:t>
      </w:r>
      <w:r>
        <w:rPr>
          <w:rtl/>
        </w:rPr>
        <w:t xml:space="preserve"> (ד תתסו) הוכיח עד"ז מדברי ר' יוחנן (לעיל כז:) דאף אחות זקוקה דאסורה מרבנן וחולצת אמרי' דנאסרה. וה"ה שאר איסור דרבנן]</w:t>
      </w:r>
      <w:r>
        <w:t>.</w:t>
      </w:r>
    </w:p>
  </w:footnote>
  <w:footnote w:id="7392">
    <w:p w14:paraId="5212470F" w14:textId="77777777" w:rsidR="006C4368" w:rsidRDefault="006C4368" w:rsidP="006C4368">
      <w:pPr>
        <w:pStyle w:val="Footnote"/>
        <w:bidi/>
      </w:pPr>
      <w:r>
        <w:rPr>
          <w:rStyle w:val="ac"/>
        </w:rPr>
        <w:footnoteRef/>
      </w:r>
      <w:r>
        <w:t xml:space="preserve"> </w:t>
      </w:r>
      <w:r>
        <w:rPr>
          <w:rtl/>
        </w:rPr>
        <w:t>והביא ראיה ממעוברת, למ"ד (לעיל לה:) דל"מ ביאת מעוברת [והפילה אח"כ], אלא דכל שנסתלק הספק בעצמו ונמצא שאינו, קרינן בה יבמה יבא עליה בשעת נפילה</w:t>
      </w:r>
      <w:r>
        <w:t>.</w:t>
      </w:r>
    </w:p>
  </w:footnote>
  <w:footnote w:id="7393">
    <w:p w14:paraId="223CE2DE" w14:textId="77777777" w:rsidR="006C4368" w:rsidRDefault="006C4368" w:rsidP="006C4368">
      <w:pPr>
        <w:pStyle w:val="Footnote"/>
        <w:bidi/>
      </w:pPr>
      <w:r>
        <w:rPr>
          <w:rStyle w:val="ac"/>
        </w:rPr>
        <w:footnoteRef/>
      </w:r>
      <w:r>
        <w:rPr>
          <w:rtl/>
        </w:rPr>
        <w:t>וכת' דלא אגלאי מילתא למפרע בלחוד הוא דאמרינן, אלא דליתא כלל בלמפרע. [וצ"ע כוונתו ומאיזה צד בא לאפוקי, ובפשוטו גדר איגלאי מילתא למפרע הוה טפי מעקירה למפרע. והא דחכם עוקר את הנדר רק מכאן ולהבא כלפי למפרע. ובפשוטו בשעתו באמת היה מותר לאכול, אלא דכלפי מכאן ולהבא אמרי' דלא היה נדר מעיקרא]</w:t>
      </w:r>
      <w:r>
        <w:t>.</w:t>
      </w:r>
    </w:p>
  </w:footnote>
  <w:footnote w:id="7394">
    <w:p w14:paraId="14D81F04" w14:textId="77777777" w:rsidR="006C4368" w:rsidRDefault="006C4368" w:rsidP="006C4368">
      <w:pPr>
        <w:pStyle w:val="Footnote"/>
        <w:bidi/>
      </w:pPr>
      <w:r>
        <w:rPr>
          <w:rStyle w:val="ac"/>
        </w:rPr>
        <w:footnoteRef/>
      </w:r>
      <w:r>
        <w:rPr>
          <w:rtl/>
        </w:rPr>
        <w:t>והביא מה</w:t>
      </w:r>
      <w:r>
        <w:rPr>
          <w:b/>
          <w:bCs/>
          <w:rtl/>
        </w:rPr>
        <w:t>ירושלמי</w:t>
      </w:r>
      <w:r>
        <w:rPr>
          <w:rtl/>
        </w:rPr>
        <w:t xml:space="preserve"> (קידושין ב ד) דאפי' נודעו נדרים לבעל והלכה ונשאת לאחר, ואח"כ הלכה לחכם והתירה הר"ז מקודשת לראשון ובניה משני ממזרים</w:t>
      </w:r>
      <w:r>
        <w:t>.</w:t>
      </w:r>
    </w:p>
  </w:footnote>
  <w:footnote w:id="7395">
    <w:p w14:paraId="422A910E" w14:textId="77777777" w:rsidR="006C4368" w:rsidRDefault="006C4368" w:rsidP="006C4368">
      <w:pPr>
        <w:pStyle w:val="Footnote"/>
        <w:bidi/>
      </w:pPr>
      <w:r>
        <w:rPr>
          <w:rStyle w:val="ac"/>
        </w:rPr>
        <w:footnoteRef/>
      </w:r>
      <w:r>
        <w:rPr>
          <w:rtl/>
        </w:rPr>
        <w:t>וה</w:t>
      </w:r>
      <w:r>
        <w:rPr>
          <w:b/>
          <w:bCs/>
          <w:rtl/>
        </w:rPr>
        <w:t>בי"ש</w:t>
      </w:r>
      <w:r>
        <w:rPr>
          <w:rtl/>
        </w:rPr>
        <w:t xml:space="preserve"> (קסה ד) הביאו דאם מצאה היתר לנדרה מותרת לו, ולא אמרי' דאסורה הואיל בעת שנפלה לפניו היתה אסורה מחמת נדר. ובסו"ד הביא דאיסור נדר יכול להתיר</w:t>
      </w:r>
      <w:r>
        <w:t>.</w:t>
      </w:r>
    </w:p>
  </w:footnote>
  <w:footnote w:id="7396">
    <w:p w14:paraId="760B8D31" w14:textId="77777777" w:rsidR="006C4368" w:rsidRDefault="006C4368" w:rsidP="006C4368">
      <w:pPr>
        <w:pStyle w:val="Footnote"/>
        <w:bidi/>
      </w:pPr>
      <w:r>
        <w:rPr>
          <w:rStyle w:val="ac"/>
        </w:rPr>
        <w:footnoteRef/>
      </w:r>
      <w:r>
        <w:rPr>
          <w:rtl/>
        </w:rPr>
        <w:t>וה</w:t>
      </w:r>
      <w:r>
        <w:rPr>
          <w:b/>
          <w:bCs/>
          <w:rtl/>
        </w:rPr>
        <w:t>תשב"ץ</w:t>
      </w:r>
      <w:r>
        <w:rPr>
          <w:rtl/>
        </w:rPr>
        <w:t xml:space="preserve"> הוכיח כן דאל"כ [שלא היה לה היתר כלל אפי' לאחר שהותר הנדר] א"כ לא היתה בת חליצה, שכל שאינה עולה ליבום אינה עולה לחליצה (וכדאי' לעיל כ. ומד. וכ"מ). [אלא דנודרת נחשב דעולה ליבום, לאחר שיותר הנדר]</w:t>
      </w:r>
      <w:r>
        <w:t>.</w:t>
      </w:r>
    </w:p>
    <w:p w14:paraId="3434791A" w14:textId="77777777" w:rsidR="006C4368" w:rsidRDefault="006C4368" w:rsidP="006C4368">
      <w:pPr>
        <w:pStyle w:val="Footnote"/>
        <w:bidi/>
      </w:pPr>
      <w:r>
        <w:tab/>
      </w:r>
      <w:r>
        <w:rPr>
          <w:rtl/>
        </w:rPr>
        <w:t>וצ"ב כוונתו דנודרת הוה חייבי לאו ועשה דחולצת [דמרבינן ועלתה יבמתה השערה, כדלעיל כ.]. והקובה"ע ביאר דקאי לשיטת הסוברים דחליצת חייבי לאוין ועשה הוה מדרבנן [וצ”ב א”כ נימא דאף נודרת מדרבנן, ומנ"ל דהוה מדאורייתא]. ועוד תי' דכוונתו דנודרת גרע מחייבי עשה, דהוה איסור דבר אחר [וכסברת הרמב"ן בבעלת התנאי]</w:t>
      </w:r>
      <w:r>
        <w:t>.</w:t>
      </w:r>
    </w:p>
  </w:footnote>
  <w:footnote w:id="7397">
    <w:p w14:paraId="5C16AE4A" w14:textId="77777777" w:rsidR="006C4368" w:rsidRDefault="006C4368" w:rsidP="006C4368">
      <w:pPr>
        <w:pStyle w:val="Footnote"/>
        <w:bidi/>
      </w:pPr>
      <w:r>
        <w:rPr>
          <w:rStyle w:val="ac"/>
        </w:rPr>
        <w:footnoteRef/>
      </w:r>
      <w:r>
        <w:rPr>
          <w:rtl/>
        </w:rPr>
        <w:t>יל"ד דפשיטא, וכדתנן (לעיל כ.) איסור מצוה ואיסור קדושה חולצת ולא מתייבמת. [ואפשר דנקט דנודרת הוה חיצוני, ולא הוה בכלל הך משנה]</w:t>
      </w:r>
      <w:r>
        <w:t>.</w:t>
      </w:r>
    </w:p>
  </w:footnote>
  <w:footnote w:id="7398">
    <w:p w14:paraId="6D293089" w14:textId="77777777" w:rsidR="006C4368" w:rsidRDefault="006C4368" w:rsidP="006C4368">
      <w:pPr>
        <w:pStyle w:val="Footnote"/>
        <w:bidi/>
      </w:pPr>
      <w:r>
        <w:rPr>
          <w:rStyle w:val="ac"/>
        </w:rPr>
        <w:footnoteRef/>
      </w:r>
      <w:r>
        <w:rPr>
          <w:rtl/>
        </w:rPr>
        <w:t>וה</w:t>
      </w:r>
      <w:r>
        <w:rPr>
          <w:b/>
          <w:bCs/>
          <w:rtl/>
        </w:rPr>
        <w:t>ריטב”א</w:t>
      </w:r>
      <w:r>
        <w:rPr>
          <w:rtl/>
        </w:rPr>
        <w:t xml:space="preserve"> כת' וכן היכא שהבעל נתן לה גט פסול, דעי"ז אסורה על היבם, כופין אותו לחלוץ. [דהא לא חזיא ליה, ואף שהיבם לא גרם לזה]</w:t>
      </w:r>
      <w:r>
        <w:t>.</w:t>
      </w:r>
    </w:p>
  </w:footnote>
  <w:footnote w:id="7399">
    <w:p w14:paraId="6037E7F0" w14:textId="77777777" w:rsidR="006C4368" w:rsidRDefault="006C4368" w:rsidP="006C4368">
      <w:pPr>
        <w:pStyle w:val="Footnote"/>
        <w:bidi/>
      </w:pPr>
      <w:r>
        <w:rPr>
          <w:rStyle w:val="ac"/>
        </w:rPr>
        <w:footnoteRef/>
      </w:r>
      <w:r>
        <w:rPr>
          <w:rtl/>
        </w:rPr>
        <w:t>ומבואר ב</w:t>
      </w:r>
      <w:r>
        <w:rPr>
          <w:b/>
          <w:bCs/>
          <w:rtl/>
        </w:rPr>
        <w:t>ריטב"א</w:t>
      </w:r>
      <w:r>
        <w:rPr>
          <w:rtl/>
        </w:rPr>
        <w:t xml:space="preserve"> (לקמן קיג.) דאף למ"ד דבי"ד מצווין להפרישו, מ"מ מחתינן נפשין לחששות, והיכא דאינו איסור גמור אין מפרישין</w:t>
      </w:r>
      <w:r>
        <w:t>.</w:t>
      </w:r>
    </w:p>
  </w:footnote>
  <w:footnote w:id="7400">
    <w:p w14:paraId="5BC9B8E1" w14:textId="77777777" w:rsidR="006C4368" w:rsidRDefault="006C4368" w:rsidP="006C4368">
      <w:pPr>
        <w:pStyle w:val="Footnote"/>
        <w:bidi/>
      </w:pPr>
      <w:r>
        <w:rPr>
          <w:rStyle w:val="ac"/>
        </w:rPr>
        <w:footnoteRef/>
      </w:r>
      <w:r>
        <w:rPr>
          <w:rtl/>
        </w:rPr>
        <w:t>ה</w:t>
      </w:r>
      <w:r>
        <w:rPr>
          <w:b/>
          <w:bCs/>
          <w:rtl/>
        </w:rPr>
        <w:t>ריטב”א</w:t>
      </w:r>
      <w:r>
        <w:rPr>
          <w:rtl/>
        </w:rPr>
        <w:t xml:space="preserve"> ביאר דקו' הגמ' על המשנה, דאף לרבנן דלא חיישינן בקטן שמא ימצא סריס, מ"מ היאך אפשר לו לבא עליה בעודו קטן</w:t>
      </w:r>
      <w:r>
        <w:t>.</w:t>
      </w:r>
    </w:p>
  </w:footnote>
  <w:footnote w:id="7401">
    <w:p w14:paraId="64C66FA5" w14:textId="77777777" w:rsidR="006C4368" w:rsidRDefault="006C4368" w:rsidP="006C4368">
      <w:pPr>
        <w:pStyle w:val="Footnote"/>
        <w:bidi/>
      </w:pPr>
      <w:r>
        <w:rPr>
          <w:rStyle w:val="ac"/>
        </w:rPr>
        <w:footnoteRef/>
      </w:r>
      <w:r>
        <w:rPr>
          <w:rtl/>
        </w:rPr>
        <w:t>וצ”ב דהא סברת ר' מאיר דחיישינן שהוא סריס, ואף אילו רוב קטנים היו מולידים, חיישינן למיעוטא. [מדאורייתא או מדרבנן, וע"ע מש"כ בזה לקמן קיט.]. ואפשר דכוונת ר”ח דהכא יש סברא טפי מבעלמא, דכל זמן שלא נתברר שהוא ראוי להוליד דינו כסריס</w:t>
      </w:r>
      <w:r>
        <w:t>.</w:t>
      </w:r>
    </w:p>
  </w:footnote>
  <w:footnote w:id="7402">
    <w:p w14:paraId="2BB5F9F7" w14:textId="77777777" w:rsidR="006C4368" w:rsidRDefault="006C4368" w:rsidP="006C4368">
      <w:pPr>
        <w:pStyle w:val="Footnote"/>
        <w:bidi/>
      </w:pPr>
      <w:r>
        <w:rPr>
          <w:rStyle w:val="ac"/>
        </w:rPr>
        <w:footnoteRef/>
      </w:r>
      <w:r>
        <w:rPr>
          <w:rtl/>
        </w:rPr>
        <w:t>ד</w:t>
      </w:r>
      <w:r>
        <w:rPr>
          <w:b/>
          <w:bCs/>
          <w:rtl/>
        </w:rPr>
        <w:t>ר"ח</w:t>
      </w:r>
      <w:r>
        <w:rPr>
          <w:rtl/>
        </w:rPr>
        <w:t xml:space="preserve"> כת' דליתא להא דר"מ, דקי"ל כרב דכיון דבשעת נפילה לא קרינן יבמה יבא עליה, הרי היא כאשת אח שיש לה בנים ואסורה</w:t>
      </w:r>
      <w:r>
        <w:t>.</w:t>
      </w:r>
    </w:p>
  </w:footnote>
  <w:footnote w:id="7403">
    <w:p w14:paraId="7F433738" w14:textId="77777777" w:rsidR="006C4368" w:rsidRDefault="006C4368" w:rsidP="006C4368">
      <w:pPr>
        <w:pStyle w:val="Footnote"/>
        <w:bidi/>
      </w:pPr>
      <w:r>
        <w:rPr>
          <w:rStyle w:val="ac"/>
        </w:rPr>
        <w:footnoteRef/>
      </w:r>
      <w:r>
        <w:rPr>
          <w:rtl/>
        </w:rPr>
        <w:t>ותוס' הביאו דאין אשה מתעברת בביאה ראשונה (לעיל לד:), ואפ"ה קונה ביבום. ותוס' (שם בסו"ד) הביאו דקונה יבמתו בהעראה ובביאה שלא כדרכה, ואף דאינה ראויה להתעבר</w:t>
      </w:r>
      <w:r>
        <w:t>.</w:t>
      </w:r>
    </w:p>
  </w:footnote>
  <w:footnote w:id="7404">
    <w:p w14:paraId="50AA4BEA" w14:textId="77777777" w:rsidR="006C4368" w:rsidRDefault="006C4368" w:rsidP="006C4368">
      <w:pPr>
        <w:pStyle w:val="Footnote"/>
        <w:bidi/>
      </w:pPr>
      <w:r>
        <w:rPr>
          <w:rStyle w:val="ac"/>
        </w:rPr>
        <w:footnoteRef/>
      </w:r>
      <w:r>
        <w:rPr>
          <w:rtl/>
        </w:rPr>
        <w:t xml:space="preserve">אך יש </w:t>
      </w:r>
      <w:r>
        <w:rPr>
          <w:b/>
          <w:bCs/>
          <w:rtl/>
        </w:rPr>
        <w:t>אחרונים</w:t>
      </w:r>
      <w:r>
        <w:rPr>
          <w:rtl/>
        </w:rPr>
        <w:t xml:space="preserve"> (עונג יו"ט קעח) שדייקו מדברי רש"י (לעיל סא:) דהמייבם קטנה צריכה לגדול אצלו, ורק כשגדלה מתקיים היבום</w:t>
      </w:r>
      <w:r>
        <w:t>.</w:t>
      </w:r>
    </w:p>
  </w:footnote>
  <w:footnote w:id="7405">
    <w:p w14:paraId="302F317E" w14:textId="77777777" w:rsidR="006C4368" w:rsidRDefault="006C4368" w:rsidP="006C4368">
      <w:pPr>
        <w:pStyle w:val="Footnote"/>
        <w:bidi/>
      </w:pPr>
      <w:r>
        <w:rPr>
          <w:rStyle w:val="ac"/>
        </w:rPr>
        <w:footnoteRef/>
      </w:r>
      <w:r>
        <w:rPr>
          <w:rtl/>
        </w:rPr>
        <w:t>וה</w:t>
      </w:r>
      <w:r>
        <w:rPr>
          <w:b/>
          <w:bCs/>
          <w:rtl/>
        </w:rPr>
        <w:t>אחרונים</w:t>
      </w:r>
      <w:r>
        <w:rPr>
          <w:rtl/>
        </w:rPr>
        <w:t xml:space="preserve"> (אמר"מ ו יג) הק' מה תוס' הביאו מסוגיין, דהכא ל"ק עד שתגדיל [ולדעת תוס' רק מדרבנן אמרי' דביאת בן ט' כמאמר בגדול]. וביאת היבום הוה לאחר שראוי להקמת שם. וה</w:t>
      </w:r>
      <w:r>
        <w:rPr>
          <w:b/>
          <w:bCs/>
          <w:rtl/>
        </w:rPr>
        <w:t>קובה"ע</w:t>
      </w:r>
      <w:r>
        <w:rPr>
          <w:rtl/>
        </w:rPr>
        <w:t xml:space="preserve"> (כ ז) נדחק דכוונת התוס' אמאי איצטריך למעט (קידושין יט.) אשת איש פרט לאשת קטן, תיפו"ל דל"ש ביאת יבום</w:t>
      </w:r>
      <w:r>
        <w:t>.</w:t>
      </w:r>
    </w:p>
    <w:p w14:paraId="1D8A6E51" w14:textId="77777777" w:rsidR="006C4368" w:rsidRDefault="006C4368" w:rsidP="006C4368">
      <w:pPr>
        <w:pStyle w:val="Footnote"/>
        <w:bidi/>
      </w:pPr>
      <w:r>
        <w:tab/>
      </w:r>
      <w:r>
        <w:rPr>
          <w:rtl/>
        </w:rPr>
        <w:t>וב</w:t>
      </w:r>
      <w:r>
        <w:rPr>
          <w:b/>
          <w:bCs/>
          <w:rtl/>
        </w:rPr>
        <w:t>חי' הגר"נ</w:t>
      </w:r>
      <w:r>
        <w:rPr>
          <w:rtl/>
        </w:rPr>
        <w:t xml:space="preserve"> (לעיל כ.) כת' דכוונת התוס' דאילו קטן אינו ראוי כלל למעשה יבום, א"כ ל"ש היתר אשת אח. ואף דאמרי' (תוס' לה:) דהותרה לו, אף שקטן לא קנה [דנתמעט ולא אשת קטן], היינו דוקא משום דביאתו ראוי ליבום. אבל אי לא ראוי כלל ליכא היתר</w:t>
      </w:r>
      <w:r>
        <w:t>.</w:t>
      </w:r>
    </w:p>
  </w:footnote>
  <w:footnote w:id="7406">
    <w:p w14:paraId="62B6CE19" w14:textId="77777777" w:rsidR="006C4368" w:rsidRDefault="006C4368" w:rsidP="006C4368">
      <w:pPr>
        <w:pStyle w:val="Footnote"/>
        <w:bidi/>
      </w:pPr>
      <w:r>
        <w:rPr>
          <w:rStyle w:val="ac"/>
        </w:rPr>
        <w:footnoteRef/>
      </w:r>
      <w:r>
        <w:rPr>
          <w:rtl/>
        </w:rPr>
        <w:t>ויל"ד מתי' הראשונים גבי נדה</w:t>
      </w:r>
      <w:r>
        <w:t>.</w:t>
      </w:r>
    </w:p>
  </w:footnote>
  <w:footnote w:id="7407">
    <w:p w14:paraId="1A0D8986" w14:textId="77777777" w:rsidR="006C4368" w:rsidRDefault="006C4368" w:rsidP="006C4368">
      <w:pPr>
        <w:pStyle w:val="Footnote"/>
        <w:bidi/>
      </w:pPr>
      <w:r>
        <w:rPr>
          <w:rStyle w:val="ac"/>
        </w:rPr>
        <w:footnoteRef/>
      </w:r>
      <w:r>
        <w:rPr>
          <w:rtl/>
        </w:rPr>
        <w:t>ומשמע דכוונת ר"ח דע"כ דר' מאיר פליג על סברת 'נאסרה' [אלא דאנן קי"ל כרב]. אך קשה דל"מ דר' מאיר פליג אכולהו משניות (לעיל ל.). ואולי מחלק בין עריות לאיסור חיצוני [ואפ"ה הגמ' מק' דמשמע מדברי רב דאין חילוק]</w:t>
      </w:r>
      <w:r>
        <w:t>.</w:t>
      </w:r>
    </w:p>
  </w:footnote>
  <w:footnote w:id="7408">
    <w:p w14:paraId="14619780" w14:textId="77777777" w:rsidR="006C4368" w:rsidRDefault="006C4368" w:rsidP="006C4368">
      <w:pPr>
        <w:pStyle w:val="Footnote"/>
        <w:bidi/>
      </w:pPr>
      <w:r>
        <w:rPr>
          <w:rStyle w:val="ac"/>
        </w:rPr>
        <w:footnoteRef/>
      </w:r>
      <w:r>
        <w:rPr>
          <w:rtl/>
        </w:rPr>
        <w:t>ויל"ד ע"פ דברי התוס' דכל קטן אינו ראוי עכשיו להקמת שם, אלא דאמרי' דעומד לבא לכלל הקמת שם. א"כ י"ל דר' מאיר סבר דכיון דחיישינן לצד המיעוט, א"כ כל קטן יש בו חסרון דיש צד שאינו ראוי להקמת שם. [ול"מ ע"ז איגלאי למפרע, דכיון דאינו ודאי שעומד לכך]. {אמנם בגמ' (לקמן קיט. ועוד) הביאו מדברי ר' מאיר דחייש למיעוטא בספק לשעבר. ומשמע דלא הוה נידון חדש גבי יבום}</w:t>
      </w:r>
      <w:r>
        <w:t>.</w:t>
      </w:r>
    </w:p>
  </w:footnote>
  <w:footnote w:id="7409">
    <w:p w14:paraId="7EFDB75A" w14:textId="77777777" w:rsidR="006C4368" w:rsidRDefault="006C4368" w:rsidP="006C4368">
      <w:pPr>
        <w:pStyle w:val="Footnote"/>
        <w:bidi/>
      </w:pPr>
      <w:r>
        <w:rPr>
          <w:rStyle w:val="ac"/>
        </w:rPr>
        <w:footnoteRef/>
      </w:r>
      <w:r>
        <w:t>[</w:t>
      </w:r>
      <w:r>
        <w:rPr>
          <w:rtl/>
        </w:rPr>
        <w:t xml:space="preserve">וע"ע שו"ת </w:t>
      </w:r>
      <w:r>
        <w:rPr>
          <w:b/>
          <w:bCs/>
          <w:rtl/>
        </w:rPr>
        <w:t>מהר"ם מרוטנברג</w:t>
      </w:r>
      <w:r>
        <w:rPr>
          <w:rtl/>
        </w:rPr>
        <w:t xml:space="preserve"> (ד תתסו, והו' לעיל כז:) שהק' דנימא נאסרה משום הבחנה דרבנן</w:t>
      </w:r>
      <w:r>
        <w:t>].</w:t>
      </w:r>
    </w:p>
  </w:footnote>
  <w:footnote w:id="7410">
    <w:p w14:paraId="666FFE31" w14:textId="77777777" w:rsidR="006C4368" w:rsidRDefault="006C4368" w:rsidP="006C4368">
      <w:pPr>
        <w:pStyle w:val="Footnote"/>
        <w:bidi/>
      </w:pPr>
      <w:r>
        <w:rPr>
          <w:rStyle w:val="ac"/>
        </w:rPr>
        <w:footnoteRef/>
      </w:r>
      <w:r>
        <w:rPr>
          <w:rtl/>
        </w:rPr>
        <w:t>דבגמ' אי' דמש"ה אינה ראויה לחלוץ תוך ג', ולא דמי לספיקות, דאמרי' אם יבא אליהו תהא מותרת</w:t>
      </w:r>
      <w:r>
        <w:t>.</w:t>
      </w:r>
    </w:p>
  </w:footnote>
  <w:footnote w:id="7411">
    <w:p w14:paraId="7177796F" w14:textId="77777777" w:rsidR="006C4368" w:rsidRDefault="006C4368" w:rsidP="006C4368">
      <w:pPr>
        <w:pStyle w:val="Footnote"/>
        <w:bidi/>
      </w:pPr>
      <w:r>
        <w:rPr>
          <w:rStyle w:val="ac"/>
        </w:rPr>
        <w:footnoteRef/>
      </w:r>
      <w:r>
        <w:rPr>
          <w:rtl/>
        </w:rPr>
        <w:t>וצ"ב דכל דין הבחנה הוה תקנ"ח, ואפ"ה אמרי' נאסרה. [וכדאי' לעיל כז: דאמרי' נאסרה אף באיסור דרבנן]. ולכאורה מבואר ברשב"א דיש חילוק בין גזירה בעלמא [דלא אמרי' נאסרה] לאיסור דרבנן גמור. וצ"ב. והקה"י ביאר דיש חילוק בין היכא דהדבר אסור בעצמותה [איסור חפצא מדרבנן], להיכא דגזרו איסור</w:t>
      </w:r>
      <w:r>
        <w:t>.</w:t>
      </w:r>
    </w:p>
    <w:p w14:paraId="0F7A9D26" w14:textId="77777777" w:rsidR="006C4368" w:rsidRDefault="006C4368" w:rsidP="006C4368">
      <w:pPr>
        <w:pStyle w:val="Footnote"/>
        <w:bidi/>
      </w:pPr>
      <w:r>
        <w:tab/>
      </w:r>
      <w:r>
        <w:rPr>
          <w:rtl/>
        </w:rPr>
        <w:t>והקה"י ביאר דגדר הגזירה בהבחנה דתקנו דבעינן ידיעה [שאינה מעוברת] ע"י ג' חדשים דוקא, ולא סגי בידיעה מצד אחר [ואפי' ידיעה שהיא קטנה, ואפי' יבא אליהו]. אך לעולם הגדר שתקנו לחשוש שמא מעוברת, ול"מ בירור אחר</w:t>
      </w:r>
      <w:r>
        <w:t>.</w:t>
      </w:r>
    </w:p>
  </w:footnote>
  <w:footnote w:id="7412">
    <w:p w14:paraId="6DEB7E2A" w14:textId="77777777" w:rsidR="006C4368" w:rsidRDefault="006C4368" w:rsidP="006C4368">
      <w:pPr>
        <w:pStyle w:val="Footnote"/>
        <w:bidi/>
      </w:pPr>
      <w:r>
        <w:rPr>
          <w:rStyle w:val="ac"/>
        </w:rPr>
        <w:footnoteRef/>
      </w:r>
      <w:r>
        <w:rPr>
          <w:rtl/>
        </w:rPr>
        <w:t>והביא מדברי התשב"ץ (הו' לעיל במשנה)</w:t>
      </w:r>
      <w:r>
        <w:t>.</w:t>
      </w:r>
    </w:p>
  </w:footnote>
  <w:footnote w:id="7413">
    <w:p w14:paraId="7E53F668" w14:textId="77777777" w:rsidR="006C4368" w:rsidRDefault="006C4368" w:rsidP="006C4368">
      <w:pPr>
        <w:pStyle w:val="Footnote"/>
        <w:bidi/>
      </w:pPr>
      <w:r>
        <w:rPr>
          <w:rStyle w:val="ac"/>
        </w:rPr>
        <w:footnoteRef/>
      </w:r>
      <w:r>
        <w:rPr>
          <w:rtl/>
        </w:rPr>
        <w:t>ועוד צ"ע מסברא, דהא אף מעיקרא לא היה איסור מעולם. אלא דאנן לא ידעינן, וכלפי אליהו לא היה איסור</w:t>
      </w:r>
      <w:r>
        <w:t>.</w:t>
      </w:r>
    </w:p>
  </w:footnote>
  <w:footnote w:id="7414">
    <w:p w14:paraId="7620FC5F" w14:textId="77777777" w:rsidR="006C4368" w:rsidRDefault="006C4368" w:rsidP="006C4368">
      <w:pPr>
        <w:pStyle w:val="Footnote"/>
        <w:bidi/>
      </w:pPr>
      <w:r>
        <w:rPr>
          <w:rStyle w:val="ac"/>
        </w:rPr>
        <w:footnoteRef/>
      </w:r>
      <w:r>
        <w:rPr>
          <w:rtl/>
        </w:rPr>
        <w:t>וכת' דמ"מ לפ"ז הספיקות שאח"כ יתברר יהיו אסורין משום נאסרה. [ומשמעות הגמ' (לעיל מא: וכג:) דמותרים]</w:t>
      </w:r>
      <w:r>
        <w:t>.</w:t>
      </w:r>
    </w:p>
  </w:footnote>
  <w:footnote w:id="7415">
    <w:p w14:paraId="6A7ECDCF" w14:textId="77777777" w:rsidR="006C4368" w:rsidRDefault="006C4368" w:rsidP="006C4368">
      <w:pPr>
        <w:pStyle w:val="Footnote"/>
        <w:bidi/>
      </w:pPr>
      <w:r>
        <w:rPr>
          <w:rStyle w:val="ac"/>
        </w:rPr>
        <w:footnoteRef/>
      </w:r>
      <w:r>
        <w:rPr>
          <w:rtl/>
        </w:rPr>
        <w:t>וכ"ד ה</w:t>
      </w:r>
      <w:r>
        <w:rPr>
          <w:b/>
          <w:bCs/>
          <w:rtl/>
        </w:rPr>
        <w:t>מאירי</w:t>
      </w:r>
      <w:r>
        <w:rPr>
          <w:rtl/>
        </w:rPr>
        <w:t xml:space="preserve"> (קידושין ג.). וכ"כ ה</w:t>
      </w:r>
      <w:r>
        <w:rPr>
          <w:b/>
          <w:bCs/>
          <w:rtl/>
        </w:rPr>
        <w:t>תוס' רא"ש</w:t>
      </w:r>
      <w:r>
        <w:rPr>
          <w:rtl/>
        </w:rPr>
        <w:t xml:space="preserve"> (לעיל נא: ונב. וקידו' יב: וריטב"א קידושין שם). וה</w:t>
      </w:r>
      <w:r>
        <w:rPr>
          <w:b/>
          <w:bCs/>
          <w:rtl/>
        </w:rPr>
        <w:t>שעה"מ</w:t>
      </w:r>
      <w:r>
        <w:rPr>
          <w:rtl/>
        </w:rPr>
        <w:t xml:space="preserve"> (שם) הביא כן מדברי תוס' (קידושין יב:) והגר"א (קסו ט) דייק מתוס' להיפך [וע' מה שהו' לעיל נב.]</w:t>
      </w:r>
      <w:r>
        <w:t>.</w:t>
      </w:r>
    </w:p>
  </w:footnote>
  <w:footnote w:id="7416">
    <w:p w14:paraId="1DAA5D6F" w14:textId="77777777" w:rsidR="006C4368" w:rsidRDefault="006C4368" w:rsidP="006C4368">
      <w:pPr>
        <w:pStyle w:val="Footnote"/>
        <w:bidi/>
      </w:pPr>
      <w:r>
        <w:rPr>
          <w:rStyle w:val="ac"/>
        </w:rPr>
        <w:footnoteRef/>
      </w:r>
      <w:r>
        <w:rPr>
          <w:rtl/>
        </w:rPr>
        <w:t>וה</w:t>
      </w:r>
      <w:r>
        <w:rPr>
          <w:b/>
          <w:bCs/>
          <w:rtl/>
        </w:rPr>
        <w:t>חש"ל</w:t>
      </w:r>
      <w:r>
        <w:rPr>
          <w:rtl/>
        </w:rPr>
        <w:t xml:space="preserve"> הביא לפרש ע"פ דברי ה</w:t>
      </w:r>
      <w:r>
        <w:rPr>
          <w:b/>
          <w:bCs/>
          <w:rtl/>
        </w:rPr>
        <w:t>תוס'</w:t>
      </w:r>
      <w:r>
        <w:rPr>
          <w:rtl/>
        </w:rPr>
        <w:t xml:space="preserve"> (קידושין סו.) דהטעם דמקדש בלא עדים ל"מ אפי' שניהם מודים הוא משום דאמרי' דהמעות מתנה, אבל ביבום דכל היכא דיש ביאת יבום אפי' נתכוון לשם זנות קנה, א"כ ל"צ עדות לקיומי. [והחש"ל דחה דתוס' הנ"ל קאי אליבא דאביי דמהני עד א', אבל רבא פליג דאין דבר שבערוה פחות מב', ולעולם צריך עדות לקיומי]</w:t>
      </w:r>
      <w:r>
        <w:t>.</w:t>
      </w:r>
    </w:p>
    <w:p w14:paraId="2BCF3FFF" w14:textId="77777777" w:rsidR="006C4368" w:rsidRDefault="006C4368" w:rsidP="006C4368">
      <w:pPr>
        <w:pStyle w:val="Footnote"/>
        <w:bidi/>
      </w:pPr>
      <w:r>
        <w:tab/>
      </w:r>
      <w:r>
        <w:rPr>
          <w:rtl/>
        </w:rPr>
        <w:t>וה</w:t>
      </w:r>
      <w:r>
        <w:rPr>
          <w:b/>
          <w:bCs/>
          <w:rtl/>
        </w:rPr>
        <w:t>גר"ח</w:t>
      </w:r>
      <w:r>
        <w:rPr>
          <w:rtl/>
        </w:rPr>
        <w:t xml:space="preserve"> (יבום ד ועוד אחרונים) ביאר דדוקא בקנין שהבעלים פועלים צריך עדות לקיומי. ואילו יבום ל"צ דעת היבם, והקנין חל ממילא ע"י מעשיו. [וע"ע מה שהו' לעיל קו.]</w:t>
      </w:r>
      <w:r>
        <w:t>.</w:t>
      </w:r>
    </w:p>
  </w:footnote>
  <w:footnote w:id="7417">
    <w:p w14:paraId="48D6D6DA" w14:textId="77777777" w:rsidR="006C4368" w:rsidRDefault="006C4368" w:rsidP="006C4368">
      <w:pPr>
        <w:pStyle w:val="Footnote"/>
        <w:bidi/>
      </w:pPr>
      <w:r>
        <w:rPr>
          <w:rStyle w:val="ac"/>
        </w:rPr>
        <w:footnoteRef/>
      </w:r>
      <w:r>
        <w:rPr>
          <w:rtl/>
        </w:rPr>
        <w:t>וצ"ע דבגמ' (בסוף העמ') מבואר דאיירי שנסתרה. ואפשר דהיינו שמודים שנסתרה, בלא עדים</w:t>
      </w:r>
      <w:r>
        <w:t>.</w:t>
      </w:r>
    </w:p>
  </w:footnote>
  <w:footnote w:id="7418">
    <w:p w14:paraId="74FD5264" w14:textId="77777777" w:rsidR="006C4368" w:rsidRDefault="006C4368" w:rsidP="006C4368">
      <w:pPr>
        <w:pStyle w:val="Footnote"/>
        <w:bidi/>
      </w:pPr>
      <w:r>
        <w:rPr>
          <w:rStyle w:val="ac"/>
        </w:rPr>
        <w:footnoteRef/>
      </w:r>
      <w:r>
        <w:rPr>
          <w:rtl/>
        </w:rPr>
        <w:t>אך מבואר מדבריו דדוקא שניהם מודים [וכה”ג אף הצרה אסורה], אבל אילו א' מהם טוען שבעל צריכה גט</w:t>
      </w:r>
      <w:r>
        <w:t>.</w:t>
      </w:r>
    </w:p>
  </w:footnote>
  <w:footnote w:id="7419">
    <w:p w14:paraId="354EC76E" w14:textId="77777777" w:rsidR="006C4368" w:rsidRDefault="006C4368" w:rsidP="006C4368">
      <w:pPr>
        <w:pStyle w:val="Footnote"/>
        <w:bidi/>
      </w:pPr>
      <w:r>
        <w:rPr>
          <w:rStyle w:val="ac"/>
        </w:rPr>
        <w:footnoteRef/>
      </w:r>
      <w:r>
        <w:rPr>
          <w:rtl/>
        </w:rPr>
        <w:t>ועד"ז כת' ה</w:t>
      </w:r>
      <w:r>
        <w:rPr>
          <w:b/>
          <w:bCs/>
          <w:rtl/>
        </w:rPr>
        <w:t>ריא"ז</w:t>
      </w:r>
      <w:r>
        <w:rPr>
          <w:rtl/>
        </w:rPr>
        <w:t xml:space="preserve"> (גיטין ז ג ב, ובשלט”ג שם לה. בדה”ר) גבי המגרש את אשתו ונתייחד עמה [אף דאמרי' (גיטין עג: ופא.) דצריכה גט, דהן הן עדי יחוד], דאם שניהם מודים שלא נבעלה נאמנים, ואי"צ גט. והבי"ש (קמט ד) תמה ע"ז. וה</w:t>
      </w:r>
      <w:r>
        <w:rPr>
          <w:b/>
          <w:bCs/>
          <w:rtl/>
        </w:rPr>
        <w:t>מנח”ח</w:t>
      </w:r>
      <w:r>
        <w:rPr>
          <w:rtl/>
        </w:rPr>
        <w:t xml:space="preserve"> (רסו טו) ביאר כוונת הריא”ז דהן הן עדי יחוד הוה רק ספק קידושין, ומש"ה נאמנים לפרש</w:t>
      </w:r>
      <w:r>
        <w:t>.</w:t>
      </w:r>
    </w:p>
    <w:p w14:paraId="2A459F9A" w14:textId="77777777" w:rsidR="006C4368" w:rsidRDefault="006C4368" w:rsidP="006C4368">
      <w:pPr>
        <w:pStyle w:val="Footnote"/>
        <w:bidi/>
      </w:pPr>
      <w:r>
        <w:tab/>
      </w:r>
      <w:r>
        <w:rPr>
          <w:rtl/>
        </w:rPr>
        <w:t>אך לכאורה מבואר ב</w:t>
      </w:r>
      <w:r>
        <w:rPr>
          <w:b/>
          <w:bCs/>
          <w:rtl/>
        </w:rPr>
        <w:t>ריא"ז</w:t>
      </w:r>
      <w:r>
        <w:rPr>
          <w:rtl/>
        </w:rPr>
        <w:t xml:space="preserve"> (כאן) דאף באופן שהצרה מותרת [לולי הודאתם], ואמרי' בתורת ודאי דהן הן עדי יחוד, אפ”ה היכא דשניהם מודים ומפרשים מה שהיה נתבטל האומדנא דהן הן עדי יחוד. [ולכאורה יש מקום לחלק בין היכא דאומרים כן לאלתר או לאחר זמן, אך ל"מ חילוק זה]. ובס' עין יצחק (ב נד טז) כת' דדוקא היכא ששניהם מודים לא הוה קידושין, אבל היכא דהוא אינו לפנינו, האשה לבד אינה נאמנת. וצריכה גט</w:t>
      </w:r>
      <w:r>
        <w:t>.</w:t>
      </w:r>
    </w:p>
  </w:footnote>
  <w:footnote w:id="7420">
    <w:p w14:paraId="4C08AC37" w14:textId="77777777" w:rsidR="006C4368" w:rsidRDefault="006C4368" w:rsidP="006C4368">
      <w:pPr>
        <w:pStyle w:val="Footnote"/>
        <w:bidi/>
      </w:pPr>
      <w:r>
        <w:rPr>
          <w:rStyle w:val="ac"/>
        </w:rPr>
        <w:footnoteRef/>
      </w:r>
      <w:r>
        <w:rPr>
          <w:rtl/>
        </w:rPr>
        <w:t>אך יל"ד דה"מ באשתו דגייסי, אבל לצד דביבמתו אמרי' שמא מוקים אנפשיה, א"כ אמאי נחשב עדות על אישות. [וא"כ אף אילו מודים שבא עליה לא יקנה, לצד דבעי עדות לקיומי. וצ"ע]</w:t>
      </w:r>
      <w:r>
        <w:t>.</w:t>
      </w:r>
    </w:p>
  </w:footnote>
  <w:footnote w:id="7421">
    <w:p w14:paraId="03C38896" w14:textId="77777777" w:rsidR="006C4368" w:rsidRDefault="006C4368" w:rsidP="006C4368">
      <w:pPr>
        <w:pStyle w:val="Footnote"/>
        <w:bidi/>
      </w:pPr>
      <w:r>
        <w:rPr>
          <w:rStyle w:val="ac"/>
        </w:rPr>
        <w:footnoteRef/>
      </w:r>
      <w:r>
        <w:rPr>
          <w:rtl/>
        </w:rPr>
        <w:t>ואף דנח' בי"ש ובי"ה במגרש את אשתו, ולנה עמו בפונדקי האם אמרי' הן הן עדי יחוד, הכא כו"ע מודו</w:t>
      </w:r>
      <w:r>
        <w:t>.</w:t>
      </w:r>
    </w:p>
  </w:footnote>
  <w:footnote w:id="7422">
    <w:p w14:paraId="7F5B845B" w14:textId="77777777" w:rsidR="006C4368" w:rsidRDefault="006C4368" w:rsidP="006C4368">
      <w:pPr>
        <w:pStyle w:val="Footnote"/>
        <w:bidi/>
      </w:pPr>
      <w:r>
        <w:rPr>
          <w:rStyle w:val="ac"/>
        </w:rPr>
        <w:footnoteRef/>
      </w:r>
      <w:r>
        <w:rPr>
          <w:rtl/>
        </w:rPr>
        <w:t>ובמגרש את אשתו ואח"כ נתייחד עמה [אפי' בסתם] אמרי' (גיטין פא.) הן הן עדי יחוד. אך נח' ה</w:t>
      </w:r>
      <w:r>
        <w:rPr>
          <w:b/>
          <w:bCs/>
          <w:rtl/>
        </w:rPr>
        <w:t>פוסקים</w:t>
      </w:r>
      <w:r>
        <w:rPr>
          <w:rtl/>
        </w:rPr>
        <w:t xml:space="preserve"> אי' הוה ספק קידושין או ודאי מקודשת. [ו</w:t>
      </w:r>
      <w:r>
        <w:rPr>
          <w:b/>
          <w:bCs/>
          <w:rtl/>
        </w:rPr>
        <w:t>רש"י</w:t>
      </w:r>
      <w:r>
        <w:rPr>
          <w:rtl/>
        </w:rPr>
        <w:t xml:space="preserve"> (גיטין שם) כת' הטעם דאמרי' הן הן עדי יחוד משום דגייסי, ולכאורה כוונתו לסוגיין דארוסתו גיייסי. וי"ל דמהני סברא זו היכא דלא ייחדו עדים שנתייחדו לשם ביאה]</w:t>
      </w:r>
      <w:r>
        <w:t>.</w:t>
      </w:r>
    </w:p>
  </w:footnote>
  <w:footnote w:id="7423">
    <w:p w14:paraId="74F19B27" w14:textId="77777777" w:rsidR="006C4368" w:rsidRDefault="006C4368" w:rsidP="006C4368">
      <w:pPr>
        <w:pStyle w:val="Footnote"/>
        <w:bidi/>
      </w:pPr>
      <w:r>
        <w:rPr>
          <w:rStyle w:val="ac"/>
        </w:rPr>
        <w:footnoteRef/>
      </w:r>
      <w:r>
        <w:rPr>
          <w:rtl/>
        </w:rPr>
        <w:t>אך בגמ' (גיטין פא.) לא איירי שאמרו לעדים שנתייחדו ע"ד כן. ואפשר דכוונת ה"ה דמשום סברא זו פשוט טפי. [א"נ דאיירי באשה מעלמא, ומש"ה בעינו סברא זו. משא"כ אשתו שגירשה]. והמנח"ח (רסו טו) הביא דברי ה"ה דמש"ה לא תפסי קידושי שני [ואילו בגמ' גיטין פא. הוה רק ספק, ותפס קידושי שני]</w:t>
      </w:r>
      <w:r>
        <w:t>.</w:t>
      </w:r>
    </w:p>
  </w:footnote>
  <w:footnote w:id="7424">
    <w:p w14:paraId="73DA305C" w14:textId="77777777" w:rsidR="006C4368" w:rsidRDefault="006C4368" w:rsidP="006C4368">
      <w:pPr>
        <w:pStyle w:val="Footnote"/>
        <w:bidi/>
      </w:pPr>
      <w:r>
        <w:rPr>
          <w:rStyle w:val="ac"/>
        </w:rPr>
        <w:footnoteRef/>
      </w:r>
      <w:r>
        <w:rPr>
          <w:rtl/>
        </w:rPr>
        <w:t>דהתם איירי אפי' בלא שידוכין, כיון דאמר לעדים תלינן דודאי בעל. ולא רק בארוסתו דגייסי</w:t>
      </w:r>
      <w:r>
        <w:t>.</w:t>
      </w:r>
    </w:p>
  </w:footnote>
  <w:footnote w:id="7425">
    <w:p w14:paraId="147E29BE" w14:textId="77777777" w:rsidR="006C4368" w:rsidRDefault="006C4368" w:rsidP="006C4368">
      <w:pPr>
        <w:pStyle w:val="Footnote"/>
        <w:bidi/>
      </w:pPr>
      <w:r>
        <w:rPr>
          <w:rStyle w:val="ac"/>
        </w:rPr>
        <w:footnoteRef/>
      </w:r>
      <w:r>
        <w:rPr>
          <w:rtl/>
        </w:rPr>
        <w:t>דלכאורה אילו אמר לעדים ביבמתו אמרי' דהן הן עדי יחוד. ונראה דאף הריא"ז יודה דאינם נאמנים שלא בעל</w:t>
      </w:r>
      <w:r>
        <w:t>.</w:t>
      </w:r>
    </w:p>
    <w:p w14:paraId="47141C4A" w14:textId="77777777" w:rsidR="006C4368" w:rsidRDefault="006C4368" w:rsidP="006C4368">
      <w:pPr>
        <w:pStyle w:val="Footnote"/>
        <w:bidi/>
      </w:pPr>
      <w:r>
        <w:tab/>
      </w:r>
      <w:r>
        <w:rPr>
          <w:rtl/>
        </w:rPr>
        <w:t>אך שו"מ דה</w:t>
      </w:r>
      <w:r>
        <w:rPr>
          <w:b/>
          <w:bCs/>
          <w:rtl/>
        </w:rPr>
        <w:t>ערוך השולחן</w:t>
      </w:r>
      <w:r>
        <w:rPr>
          <w:rtl/>
        </w:rPr>
        <w:t xml:space="preserve"> (לג ג) בקידושי ביאה היכא דאח"כ א' מהם אמר שלא בעל חוששין לו, וציין לסוגיין (ע' בסמוך). אך הבי"ש (קסז ו, הו' בסמוך) משמע דכל הנידון בסוגיין דנאמנת דוקא ביבמתו דמיבזז. [ואף הערוה"ש כת' כן רק לחומרא, ולעולם בעי גט. ואילו ביבמה אי"צ גט כדמבואר בסוגיין. א"כ צ"ע האיך דימה]</w:t>
      </w:r>
      <w:r>
        <w:t>.</w:t>
      </w:r>
    </w:p>
  </w:footnote>
  <w:footnote w:id="7426">
    <w:p w14:paraId="698E1A8C" w14:textId="77777777" w:rsidR="006C4368" w:rsidRDefault="006C4368" w:rsidP="006C4368">
      <w:pPr>
        <w:pStyle w:val="Footnote"/>
        <w:bidi/>
      </w:pPr>
      <w:r>
        <w:rPr>
          <w:rStyle w:val="ac"/>
        </w:rPr>
        <w:footnoteRef/>
      </w:r>
      <w:r>
        <w:rPr>
          <w:rtl/>
        </w:rPr>
        <w:t>וה</w:t>
      </w:r>
      <w:r>
        <w:rPr>
          <w:b/>
          <w:bCs/>
          <w:rtl/>
        </w:rPr>
        <w:t>רא"ש</w:t>
      </w:r>
      <w:r>
        <w:rPr>
          <w:rtl/>
        </w:rPr>
        <w:t xml:space="preserve"> (כתובות א יח) ביאר דאמרי' דשקורי משקר, ובעל ומצא בתולים ואח"כ נהפך לבו לשנאותה. וואמר שלא בעל עד עתה כדי שיאמינו לו. [אלא שה</w:t>
      </w:r>
      <w:r>
        <w:rPr>
          <w:b/>
          <w:bCs/>
          <w:rtl/>
        </w:rPr>
        <w:t>רא"ש</w:t>
      </w:r>
      <w:r>
        <w:rPr>
          <w:rtl/>
        </w:rPr>
        <w:t xml:space="preserve"> (שם) הביא מדברי ה</w:t>
      </w:r>
      <w:r>
        <w:rPr>
          <w:b/>
          <w:bCs/>
          <w:rtl/>
        </w:rPr>
        <w:t>ירושלמי</w:t>
      </w:r>
      <w:r>
        <w:rPr>
          <w:rtl/>
        </w:rPr>
        <w:t xml:space="preserve"> דאינו נאמן לערער אחר זמן, והביא דבגמ' דידן הו' בענין אחר, אי אמרי דמוקי אנפשיה]</w:t>
      </w:r>
      <w:r>
        <w:t>.</w:t>
      </w:r>
    </w:p>
  </w:footnote>
  <w:footnote w:id="7427">
    <w:p w14:paraId="0B9D5AA2" w14:textId="77777777" w:rsidR="006C4368" w:rsidRDefault="006C4368" w:rsidP="006C4368">
      <w:pPr>
        <w:pStyle w:val="Footnote"/>
        <w:bidi/>
      </w:pPr>
      <w:r>
        <w:rPr>
          <w:rStyle w:val="ac"/>
        </w:rPr>
        <w:footnoteRef/>
      </w:r>
      <w:r>
        <w:rPr>
          <w:rtl/>
        </w:rPr>
        <w:t>וה</w:t>
      </w:r>
      <w:r>
        <w:rPr>
          <w:b/>
          <w:bCs/>
          <w:rtl/>
        </w:rPr>
        <w:t>בי"מ</w:t>
      </w:r>
      <w:r>
        <w:rPr>
          <w:rtl/>
        </w:rPr>
        <w:t xml:space="preserve"> (קסה א) הביא דמשמע בתוס' (ד"ה אמר ר' אמי) דסברת המקשן דכופין דוקא לייבם. ותוס' תלו למ"ד דמצוות יבום קודמת</w:t>
      </w:r>
      <w:r>
        <w:t>.</w:t>
      </w:r>
    </w:p>
  </w:footnote>
  <w:footnote w:id="7428">
    <w:p w14:paraId="2EAAB04D" w14:textId="77777777" w:rsidR="006C4368" w:rsidRDefault="006C4368" w:rsidP="006C4368">
      <w:pPr>
        <w:pStyle w:val="Footnote"/>
        <w:bidi/>
      </w:pPr>
      <w:r>
        <w:rPr>
          <w:rStyle w:val="ac"/>
        </w:rPr>
        <w:footnoteRef/>
      </w:r>
      <w:r>
        <w:rPr>
          <w:rtl/>
        </w:rPr>
        <w:t>וצ"ל דהוה סברא מדרבנן, דכיון שכנסה נשתעבד לה לאישות</w:t>
      </w:r>
      <w:r>
        <w:t>.</w:t>
      </w:r>
    </w:p>
  </w:footnote>
  <w:footnote w:id="7429">
    <w:p w14:paraId="653A3D55" w14:textId="77777777" w:rsidR="006C4368" w:rsidRDefault="006C4368" w:rsidP="006C4368">
      <w:pPr>
        <w:pStyle w:val="Footnote"/>
        <w:bidi/>
      </w:pPr>
      <w:r>
        <w:rPr>
          <w:rStyle w:val="ac"/>
        </w:rPr>
        <w:footnoteRef/>
      </w:r>
      <w:r>
        <w:rPr>
          <w:rtl/>
        </w:rPr>
        <w:t>ואפ"ה מבואר בתוס' דלמ"ד מצוות חליצה קודמת אין כופין, אף כה"ג. [ואפשר דהוה משום חשש שמא לא יתכוון למצווה. והך חששא עדיף משעבוד האישות]</w:t>
      </w:r>
      <w:r>
        <w:t>.</w:t>
      </w:r>
    </w:p>
  </w:footnote>
  <w:footnote w:id="7430">
    <w:p w14:paraId="064FCB09" w14:textId="77777777" w:rsidR="006C4368" w:rsidRDefault="006C4368" w:rsidP="006C4368">
      <w:pPr>
        <w:pStyle w:val="Footnote"/>
        <w:bidi/>
      </w:pPr>
      <w:r>
        <w:rPr>
          <w:rStyle w:val="ac"/>
        </w:rPr>
        <w:footnoteRef/>
      </w:r>
      <w:r>
        <w:rPr>
          <w:rtl/>
        </w:rPr>
        <w:t>וכ"מ ב</w:t>
      </w:r>
      <w:r>
        <w:rPr>
          <w:b/>
          <w:bCs/>
          <w:rtl/>
        </w:rPr>
        <w:t>רי"ף</w:t>
      </w:r>
      <w:r>
        <w:rPr>
          <w:rtl/>
        </w:rPr>
        <w:t xml:space="preserve"> שכת' דכיון שנתן לה גט קודם בעילה פסלה על ידי עצמו</w:t>
      </w:r>
      <w:r>
        <w:t>.</w:t>
      </w:r>
    </w:p>
  </w:footnote>
  <w:footnote w:id="7431">
    <w:p w14:paraId="3E2CD3FD" w14:textId="77777777" w:rsidR="006C4368" w:rsidRDefault="006C4368" w:rsidP="006C4368">
      <w:pPr>
        <w:pStyle w:val="Footnote"/>
        <w:bidi/>
      </w:pPr>
      <w:r>
        <w:rPr>
          <w:rStyle w:val="ac"/>
        </w:rPr>
        <w:footnoteRef/>
      </w:r>
      <w:r>
        <w:rPr>
          <w:rtl/>
        </w:rPr>
        <w:t>וה</w:t>
      </w:r>
      <w:r>
        <w:rPr>
          <w:b/>
          <w:bCs/>
          <w:rtl/>
        </w:rPr>
        <w:t>מאירי</w:t>
      </w:r>
      <w:r>
        <w:rPr>
          <w:rtl/>
        </w:rPr>
        <w:t xml:space="preserve"> הוסיף דאיירי שזמן הגט מוכיח שהיה בסוף ל', דאל"כ יכול לטעון שהגט בתחילת ל', ומתוך האיסור העמדתי עצמי ולא בעלתי</w:t>
      </w:r>
      <w:r>
        <w:t>.</w:t>
      </w:r>
    </w:p>
  </w:footnote>
  <w:footnote w:id="7432">
    <w:p w14:paraId="58CD61D5" w14:textId="77777777" w:rsidR="006C4368" w:rsidRDefault="006C4368" w:rsidP="006C4368">
      <w:pPr>
        <w:pStyle w:val="Footnote"/>
        <w:bidi/>
      </w:pPr>
      <w:r>
        <w:rPr>
          <w:rStyle w:val="ac"/>
        </w:rPr>
        <w:footnoteRef/>
      </w:r>
      <w:r>
        <w:t>[</w:t>
      </w:r>
      <w:r>
        <w:rPr>
          <w:rtl/>
        </w:rPr>
        <w:t>ויל"ד ניחוש שנודע לו אחר שכנסה תוך ל' קודם שבעל. ואפשר דא"כ היה מוציאה מביתו. דלכאורה אסור להתייחד עמה</w:t>
      </w:r>
      <w:r>
        <w:t>].</w:t>
      </w:r>
    </w:p>
  </w:footnote>
  <w:footnote w:id="7433">
    <w:p w14:paraId="5A2F08CF" w14:textId="77777777" w:rsidR="006C4368" w:rsidRDefault="006C4368" w:rsidP="006C4368">
      <w:pPr>
        <w:pStyle w:val="Footnote"/>
        <w:bidi/>
      </w:pPr>
      <w:r>
        <w:rPr>
          <w:rStyle w:val="ac"/>
        </w:rPr>
        <w:footnoteRef/>
      </w:r>
      <w:r>
        <w:rPr>
          <w:rtl/>
        </w:rPr>
        <w:t>לכאורה כוונתו לפרש דברי רב אשי. [דלפי' הא' איירי בגט גמור, וכדברי רב אמי והמקשן. ולפי' הב' איירי בגט לזיקה לחוד]</w:t>
      </w:r>
      <w:r>
        <w:t>.</w:t>
      </w:r>
    </w:p>
  </w:footnote>
  <w:footnote w:id="7434">
    <w:p w14:paraId="5971E4A2" w14:textId="77777777" w:rsidR="006C4368" w:rsidRDefault="006C4368" w:rsidP="006C4368">
      <w:pPr>
        <w:pStyle w:val="Footnote"/>
        <w:bidi/>
      </w:pPr>
      <w:r>
        <w:rPr>
          <w:rStyle w:val="ac"/>
        </w:rPr>
        <w:footnoteRef/>
      </w:r>
      <w:r>
        <w:rPr>
          <w:rtl/>
        </w:rPr>
        <w:t>ואיירי דכנסה בלא מאמר, דאי עשה מאמר כתיקון חכמים ודאי צריכה גט עכ"פ מדרבנן. [אך י"ל דיש כמה נפק"מ בין גט למאמר בעלמא]</w:t>
      </w:r>
      <w:r>
        <w:t>.</w:t>
      </w:r>
    </w:p>
  </w:footnote>
  <w:footnote w:id="7435">
    <w:p w14:paraId="015D093A" w14:textId="77777777" w:rsidR="006C4368" w:rsidRDefault="006C4368" w:rsidP="006C4368">
      <w:pPr>
        <w:pStyle w:val="Footnote"/>
        <w:bidi/>
      </w:pPr>
      <w:r>
        <w:rPr>
          <w:rStyle w:val="ac"/>
        </w:rPr>
        <w:footnoteRef/>
      </w:r>
      <w:r>
        <w:rPr>
          <w:rtl/>
        </w:rPr>
        <w:t>ו</w:t>
      </w:r>
      <w:r>
        <w:rPr>
          <w:b/>
          <w:bCs/>
          <w:rtl/>
        </w:rPr>
        <w:t>תוס'</w:t>
      </w:r>
      <w:r>
        <w:rPr>
          <w:rtl/>
        </w:rPr>
        <w:t xml:space="preserve"> הוכיחו כן מהא דצרתה מותרת. [לצד דמותרת לאחר ל']. אבל ה</w:t>
      </w:r>
      <w:r>
        <w:rPr>
          <w:b/>
          <w:bCs/>
          <w:rtl/>
        </w:rPr>
        <w:t>ריא"ז</w:t>
      </w:r>
      <w:r>
        <w:rPr>
          <w:rtl/>
        </w:rPr>
        <w:t xml:space="preserve"> נקט דצרתה מותרת לאלתר [ואפ"ה שאני שניהם מודים]. ומ"מ כת' דנראה בעיניי דלאחר ל' צריכה גט, שכבר הוחזקו כמו איש ואשתו. ואינן נאמנין להכחיש החזקה להקל. [ונקט כן מסברא, דבסוגיין איירי תוך ל', ודוקא משום שמתחילה אמר בעלתי]</w:t>
      </w:r>
      <w:r>
        <w:t>.</w:t>
      </w:r>
    </w:p>
    <w:p w14:paraId="69379889" w14:textId="77777777" w:rsidR="006C4368" w:rsidRDefault="006C4368" w:rsidP="006C4368">
      <w:pPr>
        <w:pStyle w:val="Footnote"/>
        <w:bidi/>
      </w:pPr>
      <w:r>
        <w:tab/>
      </w:r>
      <w:r>
        <w:rPr>
          <w:rtl/>
        </w:rPr>
        <w:t>ומבואר דכוונתו משום  'הוחזקה' אשתו (וע"ד הא דאי' קידושין פ.), ולא משום חזקה דל' יום לא מוקים אנפשיה. {ויל"פ דחזקה זו מהני רק בתביעות שבינו לבינה, אבל כלפי העולם ל"מ חזקה זו}</w:t>
      </w:r>
      <w:r>
        <w:t>.</w:t>
      </w:r>
    </w:p>
  </w:footnote>
  <w:footnote w:id="7436">
    <w:p w14:paraId="14E3AEE4" w14:textId="77777777" w:rsidR="006C4368" w:rsidRDefault="006C4368" w:rsidP="006C4368">
      <w:pPr>
        <w:pStyle w:val="Footnote"/>
        <w:bidi/>
      </w:pPr>
      <w:r>
        <w:rPr>
          <w:rStyle w:val="ac"/>
        </w:rPr>
        <w:footnoteRef/>
      </w:r>
      <w:r>
        <w:rPr>
          <w:rtl/>
        </w:rPr>
        <w:t>ורבא סבר דאף שכנס אי"צ גט, ודחו דבברייתא מבואר דעצם הכניסה מחייב גט עכ”פ מספק. [ואפשר דהוה משום עדי יחוד, וע' מש"כ לעיל]. {ואפשר דמכאן הביא ה</w:t>
      </w:r>
      <w:r>
        <w:rPr>
          <w:b/>
          <w:bCs/>
          <w:rtl/>
        </w:rPr>
        <w:t>ערוה"ש</w:t>
      </w:r>
      <w:r>
        <w:rPr>
          <w:rtl/>
        </w:rPr>
        <w:t xml:space="preserve"> (לג, הו' לעיל) דאף המקדש בביאה, ושניהם מודים שלא נבעלה צריכה גט מספק}</w:t>
      </w:r>
      <w:r>
        <w:t>.</w:t>
      </w:r>
    </w:p>
  </w:footnote>
  <w:footnote w:id="7437">
    <w:p w14:paraId="7DB92E13" w14:textId="77777777" w:rsidR="006C4368" w:rsidRDefault="006C4368" w:rsidP="006C4368">
      <w:pPr>
        <w:pStyle w:val="Footnote"/>
        <w:bidi/>
      </w:pPr>
      <w:r>
        <w:rPr>
          <w:rStyle w:val="ac"/>
        </w:rPr>
        <w:footnoteRef/>
      </w:r>
      <w:r>
        <w:rPr>
          <w:rtl/>
        </w:rPr>
        <w:t>ואף דלא גייסי מהני עדי יחוד. [וע' מש”כ לעיל בזה]</w:t>
      </w:r>
      <w:r>
        <w:t>.</w:t>
      </w:r>
    </w:p>
    <w:p w14:paraId="44299985" w14:textId="77777777" w:rsidR="006C4368" w:rsidRDefault="006C4368" w:rsidP="006C4368">
      <w:pPr>
        <w:pStyle w:val="Footnote"/>
        <w:bidi/>
      </w:pPr>
      <w:r>
        <w:tab/>
      </w:r>
      <w:r>
        <w:rPr>
          <w:rtl/>
        </w:rPr>
        <w:t>אך צ"ב תוך ל' אמאי כופין את היבם, האמר דיש לו עדי יחוד דמסייעין לו [וכלפי העולם אמרי' הן הן עדי יחוד הן הן עדי ביאה]. ואפשר דכיון שהיא תובעת אותו שהוא עצמו יודע, א"כ בדינים שביניהם ובתביעת שביניהם ל"מ העדי יחוד. [ואף הבי"ד פוסקים בדין שביניהם ע"פ טענותיהם]. {ועוד אפשר דתקנו שלא יהא נאמן, דאל"כ יש לחוש שיכניסנה ליחוד כשאין דעתו כלל לייבם}</w:t>
      </w:r>
      <w:r>
        <w:t>.</w:t>
      </w:r>
    </w:p>
  </w:footnote>
  <w:footnote w:id="7438">
    <w:p w14:paraId="0AF35EA8" w14:textId="77777777" w:rsidR="006C4368" w:rsidRDefault="006C4368" w:rsidP="006C4368">
      <w:pPr>
        <w:pStyle w:val="Footnote"/>
        <w:bidi/>
      </w:pPr>
      <w:r>
        <w:rPr>
          <w:rStyle w:val="ac"/>
        </w:rPr>
        <w:footnoteRef/>
      </w:r>
      <w:r>
        <w:rPr>
          <w:rtl/>
        </w:rPr>
        <w:t>וה</w:t>
      </w:r>
      <w:r>
        <w:rPr>
          <w:b/>
          <w:bCs/>
          <w:rtl/>
        </w:rPr>
        <w:t>גר"א</w:t>
      </w:r>
      <w:r>
        <w:rPr>
          <w:rtl/>
        </w:rPr>
        <w:t xml:space="preserve"> (קסז ח) הביא ד' שיטות, </w:t>
      </w:r>
      <w:r>
        <w:rPr>
          <w:i/>
          <w:iCs/>
          <w:rtl/>
        </w:rPr>
        <w:t>א'</w:t>
      </w:r>
      <w:r>
        <w:rPr>
          <w:rtl/>
        </w:rPr>
        <w:t xml:space="preserve"> דלפי' הב' בתוס' והרמב"ם כל הברייתא בין תוך ל' ובין לאחר ל'. </w:t>
      </w:r>
      <w:r>
        <w:rPr>
          <w:i/>
          <w:iCs/>
          <w:rtl/>
        </w:rPr>
        <w:t>ב'</w:t>
      </w:r>
      <w:r>
        <w:rPr>
          <w:rtl/>
        </w:rPr>
        <w:t xml:space="preserve"> ולפי' הא' בתוס' איירי דוקא לאחר ל', ושניהם מודים אי"צ גט, ודוקא משום דאמר מתחילה בעלתי. וקודם ל' הכל להיפך. </w:t>
      </w:r>
      <w:r>
        <w:rPr>
          <w:i/>
          <w:iCs/>
          <w:rtl/>
        </w:rPr>
        <w:t>ג'</w:t>
      </w:r>
      <w:r>
        <w:rPr>
          <w:rtl/>
        </w:rPr>
        <w:t xml:space="preserve"> ועד"ז לפרש"י, אלא דרש"י ס"ל דצרתה מותרת מיד ואפי' שניהם מודים [ודלא כרא"ש בדעת רש"י]. </w:t>
      </w:r>
      <w:r>
        <w:rPr>
          <w:i/>
          <w:iCs/>
          <w:rtl/>
        </w:rPr>
        <w:t>ד'</w:t>
      </w:r>
      <w:r>
        <w:rPr>
          <w:rtl/>
        </w:rPr>
        <w:t xml:space="preserve"> הרא"ש ס"ל כפי' הא' בתוס' דקאי לאחר ל', ואפ"ה היכא דהוא אומר בעלתי הצרה מותרת. ולאחר ל' אף כששניהם מודים מותרת</w:t>
      </w:r>
      <w:r>
        <w:t>.</w:t>
      </w:r>
    </w:p>
  </w:footnote>
  <w:footnote w:id="7439">
    <w:p w14:paraId="3583169E" w14:textId="77777777" w:rsidR="006C4368" w:rsidRDefault="006C4368" w:rsidP="006C4368">
      <w:pPr>
        <w:pStyle w:val="Footnote"/>
        <w:bidi/>
      </w:pPr>
      <w:r>
        <w:rPr>
          <w:rStyle w:val="ac"/>
        </w:rPr>
        <w:footnoteRef/>
      </w:r>
      <w:r>
        <w:rPr>
          <w:rtl/>
        </w:rPr>
        <w:t>אך אפשר דה"מ כשהיבם מכחיש, אבל אילו היבם אינו לפנינו תהא נאמנת. {וי"ל דהיבמה יש לה דין עם היבם, ומש"ה נאמן להכחישה. אבל הצרה אינה יודעת כלל, ומש"ה אזלי' בתר חזקה}</w:t>
      </w:r>
      <w:r>
        <w:t>.</w:t>
      </w:r>
    </w:p>
  </w:footnote>
  <w:footnote w:id="7440">
    <w:p w14:paraId="01077F19" w14:textId="77777777" w:rsidR="006C4368" w:rsidRDefault="006C4368" w:rsidP="006C4368">
      <w:pPr>
        <w:pStyle w:val="Footnote"/>
        <w:bidi/>
      </w:pPr>
      <w:r>
        <w:rPr>
          <w:rStyle w:val="ac"/>
        </w:rPr>
        <w:footnoteRef/>
      </w:r>
      <w:r>
        <w:rPr>
          <w:rtl/>
        </w:rPr>
        <w:t>וה</w:t>
      </w:r>
      <w:r>
        <w:rPr>
          <w:b/>
          <w:bCs/>
          <w:rtl/>
        </w:rPr>
        <w:t>ריא"ז</w:t>
      </w:r>
      <w:r>
        <w:rPr>
          <w:rtl/>
        </w:rPr>
        <w:t xml:space="preserve"> (יא) כת' דאף תוך ל' היבמה נאמנת שנבעלה [וסגי לה בגט], שחזקת הכונס לאלתר הוא בועל. [ואין חילוק בין היבמה לצרתה, אבל רש”י חילק]</w:t>
      </w:r>
      <w:r>
        <w:t>.</w:t>
      </w:r>
    </w:p>
  </w:footnote>
  <w:footnote w:id="7441">
    <w:p w14:paraId="17A39171" w14:textId="77777777" w:rsidR="006C4368" w:rsidRDefault="006C4368" w:rsidP="006C4368">
      <w:pPr>
        <w:pStyle w:val="Footnote"/>
        <w:bidi/>
      </w:pPr>
      <w:r>
        <w:rPr>
          <w:rStyle w:val="ac"/>
        </w:rPr>
        <w:footnoteRef/>
      </w:r>
      <w:r>
        <w:rPr>
          <w:rtl/>
        </w:rPr>
        <w:t>וה</w:t>
      </w:r>
      <w:r>
        <w:rPr>
          <w:b/>
          <w:bCs/>
          <w:rtl/>
        </w:rPr>
        <w:t>ריא"ז</w:t>
      </w:r>
      <w:r>
        <w:rPr>
          <w:rtl/>
        </w:rPr>
        <w:t xml:space="preserve"> (הנ"ל) חילק בין שניהם מודים, לא' מודה</w:t>
      </w:r>
      <w:r>
        <w:t>.</w:t>
      </w:r>
    </w:p>
  </w:footnote>
  <w:footnote w:id="7442">
    <w:p w14:paraId="790F47BB" w14:textId="77777777" w:rsidR="006C4368" w:rsidRDefault="006C4368" w:rsidP="006C4368">
      <w:pPr>
        <w:pStyle w:val="Footnote"/>
        <w:bidi/>
      </w:pPr>
      <w:r>
        <w:rPr>
          <w:rStyle w:val="ac"/>
        </w:rPr>
        <w:footnoteRef/>
      </w:r>
      <w:r>
        <w:rPr>
          <w:rtl/>
        </w:rPr>
        <w:t>דעדות יחוד הוה גדר עדות ע"פ סתמא, ונתקבל דמהני בתורת עדות ודאית. אבל כלפי מי שיודע שהיה אחרת ל"מ כלל</w:t>
      </w:r>
      <w:r>
        <w:t>.</w:t>
      </w:r>
    </w:p>
  </w:footnote>
  <w:footnote w:id="7443">
    <w:p w14:paraId="5A3FD8AA" w14:textId="77777777" w:rsidR="006C4368" w:rsidRDefault="006C4368" w:rsidP="006C4368">
      <w:pPr>
        <w:pStyle w:val="Footnote"/>
        <w:bidi/>
      </w:pPr>
      <w:r>
        <w:rPr>
          <w:rStyle w:val="ac"/>
        </w:rPr>
        <w:footnoteRef/>
      </w:r>
      <w:r>
        <w:rPr>
          <w:rtl/>
        </w:rPr>
        <w:t>וצרתה מותרת דמוקמינן ליבמה בחזקת נבעלה, ואנן מחזקינן במילתא דודאי כן הוא [כלפי אחריני], אבל אינהו לגבי דנפשייהו מהימני למשרי לה בחליצה, ואי"צ גט</w:t>
      </w:r>
      <w:r>
        <w:t>.</w:t>
      </w:r>
    </w:p>
  </w:footnote>
  <w:footnote w:id="7444">
    <w:p w14:paraId="5E67E06D" w14:textId="77777777" w:rsidR="006C4368" w:rsidRDefault="006C4368" w:rsidP="006C4368">
      <w:pPr>
        <w:pStyle w:val="Footnote"/>
        <w:bidi/>
      </w:pPr>
      <w:r>
        <w:rPr>
          <w:rStyle w:val="ac"/>
        </w:rPr>
        <w:footnoteRef/>
      </w:r>
      <w:r>
        <w:rPr>
          <w:rtl/>
        </w:rPr>
        <w:t xml:space="preserve">וכת' דמש"ה </w:t>
      </w:r>
      <w:r>
        <w:rPr>
          <w:b/>
          <w:bCs/>
          <w:rtl/>
        </w:rPr>
        <w:t>רש"י</w:t>
      </w:r>
      <w:r>
        <w:rPr>
          <w:rtl/>
        </w:rPr>
        <w:t xml:space="preserve"> (לעיל פח: וכתובות כב:) כת' דבמקום תרי ותרי איירי שטוענת ברי לי, היינו דאין ליבי נוקפי, שאילו היה חי היה בא. משמע דלא איירי בטענת ברי גמור [ע"ע רא"ה וריטב"א ור"ן כתובות שם]. וביאר דאילו טוענת ברי גמור, האשה נאמנת על עצמה. ומהני אף כלפי למי שתנשא לו [ולא בעינן דוקא לעידיה]. ומותרת אף לינשא לכתחילה</w:t>
      </w:r>
      <w:r>
        <w:t>.</w:t>
      </w:r>
    </w:p>
  </w:footnote>
  <w:footnote w:id="7445">
    <w:p w14:paraId="52199A4D" w14:textId="77777777" w:rsidR="006C4368" w:rsidRDefault="006C4368" w:rsidP="006C4368">
      <w:pPr>
        <w:pStyle w:val="Footnote"/>
        <w:bidi/>
      </w:pPr>
      <w:r>
        <w:rPr>
          <w:rStyle w:val="ac"/>
        </w:rPr>
        <w:footnoteRef/>
      </w:r>
      <w:r>
        <w:rPr>
          <w:rtl/>
        </w:rPr>
        <w:t>וה</w:t>
      </w:r>
      <w:r>
        <w:rPr>
          <w:b/>
          <w:bCs/>
          <w:rtl/>
        </w:rPr>
        <w:t>רמב"ן</w:t>
      </w:r>
      <w:r>
        <w:rPr>
          <w:rtl/>
        </w:rPr>
        <w:t xml:space="preserve"> הביא דכ"מ ב</w:t>
      </w:r>
      <w:r>
        <w:rPr>
          <w:b/>
          <w:bCs/>
          <w:rtl/>
        </w:rPr>
        <w:t>מדרש</w:t>
      </w:r>
      <w:r>
        <w:rPr>
          <w:rtl/>
        </w:rPr>
        <w:t xml:space="preserve"> דשרה אמנו אמרה לאברהם השמים ביני לביניך, שנאמר ישפוט ה' ביני וביניך, פי' לפי שהרחיקה בשביל הגר. וה</w:t>
      </w:r>
      <w:r>
        <w:rPr>
          <w:b/>
          <w:bCs/>
          <w:rtl/>
        </w:rPr>
        <w:t>ר"ן</w:t>
      </w:r>
      <w:r>
        <w:rPr>
          <w:rtl/>
        </w:rPr>
        <w:t xml:space="preserve"> (נדרים צ:) הביא דבירושלמי מבואר דמתרחק ממנה כמו מרחק השמים מהארץ. וה</w:t>
      </w:r>
      <w:r>
        <w:rPr>
          <w:b/>
          <w:bCs/>
          <w:rtl/>
        </w:rPr>
        <w:t>ר"ן</w:t>
      </w:r>
      <w:r>
        <w:rPr>
          <w:rtl/>
        </w:rPr>
        <w:t xml:space="preserve"> כת' דאפשר דלשון זה כולל הכל, אבל בגמ' (שם צא.) מבואר דבמשנה זו פירושו שאינו יורה כחץ, וה"ק שדבר זה אין יודע בו אלא השם</w:t>
      </w:r>
      <w:r>
        <w:t>.</w:t>
      </w:r>
    </w:p>
  </w:footnote>
  <w:footnote w:id="7446">
    <w:p w14:paraId="3B415A9C" w14:textId="77777777" w:rsidR="006C4368" w:rsidRDefault="006C4368" w:rsidP="006C4368">
      <w:pPr>
        <w:pStyle w:val="Footnote"/>
        <w:bidi/>
      </w:pPr>
      <w:r>
        <w:rPr>
          <w:rStyle w:val="ac"/>
        </w:rPr>
        <w:footnoteRef/>
      </w:r>
      <w:r>
        <w:rPr>
          <w:rtl/>
        </w:rPr>
        <w:t>[אך יל"פ דברי רש"י דאינו נזקק כדרך בני אדם, אלא נזקק באופן אחר]. וה</w:t>
      </w:r>
      <w:r>
        <w:rPr>
          <w:b/>
          <w:bCs/>
          <w:rtl/>
        </w:rPr>
        <w:t>רמב"ן</w:t>
      </w:r>
      <w:r>
        <w:rPr>
          <w:rtl/>
        </w:rPr>
        <w:t xml:space="preserve"> כת' דרש"י לא בירר מה היא טוענת, וי"א שאינו נזקק כלל</w:t>
      </w:r>
      <w:r>
        <w:t>.</w:t>
      </w:r>
    </w:p>
  </w:footnote>
  <w:footnote w:id="7447">
    <w:p w14:paraId="553DD5F5" w14:textId="77777777" w:rsidR="006C4368" w:rsidRDefault="006C4368" w:rsidP="006C4368">
      <w:pPr>
        <w:pStyle w:val="Footnote"/>
        <w:bidi/>
      </w:pPr>
      <w:r>
        <w:rPr>
          <w:rStyle w:val="ac"/>
        </w:rPr>
        <w:footnoteRef/>
      </w:r>
      <w:r>
        <w:rPr>
          <w:rtl/>
        </w:rPr>
        <w:t>וכן אי' (לעיל סה.) דהיא קים לה ביורה כחץ, והוא לא קים ליה</w:t>
      </w:r>
      <w:r>
        <w:t>.</w:t>
      </w:r>
    </w:p>
  </w:footnote>
  <w:footnote w:id="7448">
    <w:p w14:paraId="4045F630" w14:textId="77777777" w:rsidR="006C4368" w:rsidRDefault="006C4368" w:rsidP="006C4368">
      <w:pPr>
        <w:pStyle w:val="Footnote"/>
        <w:bidi/>
      </w:pPr>
      <w:r>
        <w:rPr>
          <w:rStyle w:val="ac"/>
        </w:rPr>
        <w:footnoteRef/>
      </w:r>
      <w:r>
        <w:rPr>
          <w:rtl/>
        </w:rPr>
        <w:t>ועוד פי' ה</w:t>
      </w:r>
      <w:r>
        <w:rPr>
          <w:b/>
          <w:bCs/>
          <w:rtl/>
        </w:rPr>
        <w:t>רמב"ן</w:t>
      </w:r>
      <w:r>
        <w:rPr>
          <w:rtl/>
        </w:rPr>
        <w:t xml:space="preserve"> דאיירי אפי' בטוענת אינו נזקק לי משום שאינו יכול. והגמ' פי' דאפי' שהוא מכיר בשקר [ומש"ה הוה טענת העזה], היא סבורה נהי דבביאה ידע ביורה כחץ מי ידע, והוא יסבור דטוענת כן משום שאינו יורה כחץ, ומש"ה אינו עזות, דהוא סובר דילמא קושטא הוא. [ומש”ה אף כשטוענת מחמת טענה אחרת שהוא יודע להכחיש לא הוה העזה, כיון דהוא סבור דכוונתה לטענה זו]. וכת' דכ"נ לשון הגמרא (שם)</w:t>
      </w:r>
      <w:r>
        <w:t>.</w:t>
      </w:r>
    </w:p>
  </w:footnote>
  <w:footnote w:id="7449">
    <w:p w14:paraId="570275A3" w14:textId="77777777" w:rsidR="006C4368" w:rsidRDefault="006C4368" w:rsidP="006C4368">
      <w:pPr>
        <w:pStyle w:val="Footnote"/>
        <w:bidi/>
      </w:pPr>
      <w:r>
        <w:rPr>
          <w:rStyle w:val="ac"/>
        </w:rPr>
        <w:footnoteRef/>
      </w:r>
      <w:r>
        <w:rPr>
          <w:rtl/>
        </w:rPr>
        <w:t>בפשוטו משמע ברש"י דהוה איסור על עצמה. וכ"כ הטור (יו"ד ס"ס רלד). אבל ה</w:t>
      </w:r>
      <w:r>
        <w:rPr>
          <w:b/>
          <w:bCs/>
          <w:rtl/>
        </w:rPr>
        <w:t>ראשונים</w:t>
      </w:r>
      <w:r>
        <w:rPr>
          <w:rtl/>
        </w:rPr>
        <w:t xml:space="preserve"> (נדרים צ:) כת' דע"כ איירי שאסרה עליה הנאת תשמיש. דכיון דמשועבדת אינה יכולה לאסור את עצמה באופ"א (וכדאי' נדרים טו:)</w:t>
      </w:r>
      <w:r>
        <w:t>.</w:t>
      </w:r>
    </w:p>
    <w:p w14:paraId="1467E521" w14:textId="77777777" w:rsidR="006C4368" w:rsidRDefault="006C4368" w:rsidP="006C4368">
      <w:pPr>
        <w:pStyle w:val="Footnote"/>
        <w:bidi/>
      </w:pPr>
      <w:r>
        <w:tab/>
      </w:r>
      <w:r>
        <w:rPr>
          <w:rtl/>
        </w:rPr>
        <w:t>וה</w:t>
      </w:r>
      <w:r>
        <w:rPr>
          <w:b/>
          <w:bCs/>
          <w:rtl/>
        </w:rPr>
        <w:t>מהרש"ל</w:t>
      </w:r>
      <w:r>
        <w:rPr>
          <w:rtl/>
        </w:rPr>
        <w:t xml:space="preserve"> (הו' בדרישה שם קג וב"ח וש"ך פג) תי' [דדעת הטור] דאף שמשועבדת, דמיגו דחל על כל העולם, חל נמי לדידה בכולל. וה</w:t>
      </w:r>
      <w:r>
        <w:rPr>
          <w:b/>
          <w:bCs/>
          <w:rtl/>
        </w:rPr>
        <w:t>ט"ז</w:t>
      </w:r>
      <w:r>
        <w:rPr>
          <w:rtl/>
        </w:rPr>
        <w:t xml:space="preserve"> (שם נט) חלק דל"מ אף איסור כולל להפקיע השעבוד. ו</w:t>
      </w:r>
      <w:r>
        <w:rPr>
          <w:b/>
          <w:bCs/>
          <w:rtl/>
        </w:rPr>
        <w:t>רע"א</w:t>
      </w:r>
      <w:r>
        <w:rPr>
          <w:rtl/>
        </w:rPr>
        <w:t xml:space="preserve"> (שם) תי' דהכא גילתה דתשמיש קשה לה, וכיון דקשה לה אינה משועבדת. [ואף דלמשנה אחרונה אמרי' דעיניה נתנה באחר, ולא תלינן דקשה לה. מ"מ הוה ספק, וצריך הפרה]</w:t>
      </w:r>
      <w:r>
        <w:t>.</w:t>
      </w:r>
    </w:p>
  </w:footnote>
  <w:footnote w:id="7450">
    <w:p w14:paraId="70CDE094" w14:textId="77777777" w:rsidR="006C4368" w:rsidRDefault="006C4368" w:rsidP="006C4368">
      <w:pPr>
        <w:pStyle w:val="Footnote"/>
        <w:bidi/>
      </w:pPr>
      <w:r>
        <w:rPr>
          <w:rStyle w:val="ac"/>
        </w:rPr>
        <w:footnoteRef/>
      </w:r>
      <w:r>
        <w:rPr>
          <w:rtl/>
        </w:rPr>
        <w:t>וכ"כ ה</w:t>
      </w:r>
      <w:r>
        <w:rPr>
          <w:b/>
          <w:bCs/>
          <w:rtl/>
        </w:rPr>
        <w:t>רא"ש</w:t>
      </w:r>
      <w:r>
        <w:rPr>
          <w:rtl/>
        </w:rPr>
        <w:t xml:space="preserve"> (שם) דס"ל דלא הוי אפי' דברים שבינו לבינה, דאפשר שיגרשנה. והאחרונים תמהו על דבריו</w:t>
      </w:r>
      <w:r>
        <w:t>.</w:t>
      </w:r>
    </w:p>
  </w:footnote>
  <w:footnote w:id="7451">
    <w:p w14:paraId="252D7372" w14:textId="77777777" w:rsidR="006C4368" w:rsidRDefault="006C4368" w:rsidP="006C4368">
      <w:pPr>
        <w:pStyle w:val="Footnote"/>
        <w:bidi/>
      </w:pPr>
      <w:r>
        <w:rPr>
          <w:rStyle w:val="ac"/>
        </w:rPr>
        <w:footnoteRef/>
      </w:r>
      <w:r>
        <w:rPr>
          <w:rtl/>
        </w:rPr>
        <w:t>וכמ"ש רש"י. [אלא די"ל דרש"י בא לפרש מ"ט יש לה כתובה, ולא אמרי' שהיא נתנה אצבע וגרמה לאיסור</w:t>
      </w:r>
      <w:r>
        <w:t>.</w:t>
      </w:r>
    </w:p>
  </w:footnote>
  <w:footnote w:id="7452">
    <w:p w14:paraId="5BB2A29F" w14:textId="77777777" w:rsidR="006C4368" w:rsidRDefault="006C4368" w:rsidP="006C4368">
      <w:pPr>
        <w:pStyle w:val="Footnote"/>
        <w:bidi/>
      </w:pPr>
      <w:r>
        <w:rPr>
          <w:rStyle w:val="ac"/>
        </w:rPr>
        <w:footnoteRef/>
      </w:r>
      <w:r>
        <w:rPr>
          <w:rtl/>
        </w:rPr>
        <w:t>ומבואר דחל קונם אף כלפי האחרים. ותוס' (נדרים שם) הק' אמאי חל קונם, הא אין איסור חל על איסור. ואכמ"ל</w:t>
      </w:r>
      <w:r>
        <w:t>.</w:t>
      </w:r>
    </w:p>
  </w:footnote>
  <w:footnote w:id="7453">
    <w:p w14:paraId="6F158F2A" w14:textId="77777777" w:rsidR="006C4368" w:rsidRDefault="006C4368" w:rsidP="006C4368">
      <w:pPr>
        <w:pStyle w:val="Footnote"/>
        <w:bidi/>
      </w:pPr>
      <w:r>
        <w:rPr>
          <w:rStyle w:val="ac"/>
        </w:rPr>
        <w:footnoteRef/>
      </w:r>
      <w:r>
        <w:rPr>
          <w:rtl/>
        </w:rPr>
        <w:t>וה</w:t>
      </w:r>
      <w:r>
        <w:rPr>
          <w:b/>
          <w:bCs/>
          <w:rtl/>
        </w:rPr>
        <w:t>ר"ן</w:t>
      </w:r>
      <w:r>
        <w:rPr>
          <w:rtl/>
        </w:rPr>
        <w:t xml:space="preserve"> (עט:) פי' דכיון שנשאת לאחר ההפרה מתבטל</w:t>
      </w:r>
      <w:r>
        <w:t>.</w:t>
      </w:r>
    </w:p>
    <w:p w14:paraId="2922438F" w14:textId="77777777" w:rsidR="006C4368" w:rsidRDefault="006C4368" w:rsidP="006C4368">
      <w:pPr>
        <w:pStyle w:val="Footnote"/>
        <w:bidi/>
      </w:pPr>
      <w:r>
        <w:tab/>
      </w:r>
      <w:r>
        <w:rPr>
          <w:rtl/>
        </w:rPr>
        <w:t>וה</w:t>
      </w:r>
      <w:r>
        <w:rPr>
          <w:b/>
          <w:bCs/>
          <w:rtl/>
        </w:rPr>
        <w:t>רמב"ם</w:t>
      </w:r>
      <w:r>
        <w:rPr>
          <w:rtl/>
        </w:rPr>
        <w:t xml:space="preserve"> (נדרים יב ג) פסק דלאחר שימות ויגרשנה אסורה אף לו [משמע דאינו רשאי להחזירה]. וע"ע ב"י (יו"ד ס"ס רלד) ודרכ"מ (ז) ומהרש"ל (בפרישה שם קד)</w:t>
      </w:r>
      <w:r>
        <w:t>.</w:t>
      </w:r>
    </w:p>
  </w:footnote>
  <w:footnote w:id="7454">
    <w:p w14:paraId="22867DD2" w14:textId="77777777" w:rsidR="006C4368" w:rsidRDefault="006C4368" w:rsidP="006C4368">
      <w:pPr>
        <w:pStyle w:val="Footnote"/>
        <w:bidi/>
      </w:pPr>
      <w:r>
        <w:rPr>
          <w:rStyle w:val="ac"/>
        </w:rPr>
        <w:footnoteRef/>
      </w:r>
      <w:r>
        <w:rPr>
          <w:rtl/>
        </w:rPr>
        <w:t>וצ"ב דהא איירי שאסרה את עצמה אף על הבעל, ואצל הבעל חיישינן שעיניה נתנה באחר. ובאמת תשמיש אינו קשה לה. והאיך ישתנה הדבר</w:t>
      </w:r>
      <w:r>
        <w:t>.</w:t>
      </w:r>
    </w:p>
  </w:footnote>
  <w:footnote w:id="7455">
    <w:p w14:paraId="1C95B5F6" w14:textId="77777777" w:rsidR="006C4368" w:rsidRDefault="006C4368" w:rsidP="006C4368">
      <w:pPr>
        <w:pStyle w:val="Footnote"/>
        <w:bidi/>
      </w:pPr>
      <w:r>
        <w:rPr>
          <w:rStyle w:val="ac"/>
        </w:rPr>
        <w:footnoteRef/>
      </w:r>
      <w:r>
        <w:rPr>
          <w:rtl/>
        </w:rPr>
        <w:t>וה</w:t>
      </w:r>
      <w:r>
        <w:rPr>
          <w:b/>
          <w:bCs/>
          <w:rtl/>
        </w:rPr>
        <w:t>ריטב"א</w:t>
      </w:r>
      <w:r>
        <w:rPr>
          <w:rtl/>
        </w:rPr>
        <w:t xml:space="preserve"> חילק דהתם מסיק אדעתיה טפי. עי"ש</w:t>
      </w:r>
      <w:r>
        <w:t>.</w:t>
      </w:r>
    </w:p>
  </w:footnote>
  <w:footnote w:id="7456">
    <w:p w14:paraId="36725B96" w14:textId="77777777" w:rsidR="006C4368" w:rsidRDefault="006C4368" w:rsidP="006C4368">
      <w:pPr>
        <w:pStyle w:val="Footnote"/>
        <w:bidi/>
      </w:pPr>
      <w:r>
        <w:rPr>
          <w:rStyle w:val="ac"/>
        </w:rPr>
        <w:footnoteRef/>
      </w:r>
      <w:r>
        <w:rPr>
          <w:rtl/>
        </w:rPr>
        <w:t>וה</w:t>
      </w:r>
      <w:r>
        <w:rPr>
          <w:b/>
          <w:bCs/>
          <w:rtl/>
        </w:rPr>
        <w:t>מלחמות</w:t>
      </w:r>
      <w:r>
        <w:rPr>
          <w:rtl/>
        </w:rPr>
        <w:t xml:space="preserve"> הוסיף דלמשנה אחרונה אי' דיפר חלקו ותהא נטולה מהיהודים. והא לא מסקא אדעתא שימות או יגרשנה. א”כ תהא מותרת בכל העולם. [אך רש”י הוסיף דנתכוונה לאסור עצמה בכל מי שמותרת ע”י גירושין, שלא יחשדו דעיניה נתנה באחר. ועוד דעיקר כוונתה בנדרה שיגרשנה, וכמו משנה ראשונה]</w:t>
      </w:r>
      <w:r>
        <w:t>.</w:t>
      </w:r>
    </w:p>
    <w:p w14:paraId="5C304C54" w14:textId="77777777" w:rsidR="006C4368" w:rsidRDefault="006C4368" w:rsidP="006C4368">
      <w:pPr>
        <w:pStyle w:val="Footnote"/>
        <w:bidi/>
      </w:pPr>
      <w:r>
        <w:tab/>
      </w:r>
      <w:r>
        <w:rPr>
          <w:rtl/>
        </w:rPr>
        <w:t>ועוד הוסיף דכ"ש דתהא מותרת בנולדים, דלא מסקא אדעתא. [ויל"ד אי הוה בכלל לשונו כלל]</w:t>
      </w:r>
      <w:r>
        <w:t>.</w:t>
      </w:r>
    </w:p>
  </w:footnote>
  <w:footnote w:id="7457">
    <w:p w14:paraId="43ED0D41" w14:textId="77777777" w:rsidR="006C4368" w:rsidRDefault="006C4368" w:rsidP="006C4368">
      <w:pPr>
        <w:pStyle w:val="Footnote"/>
        <w:bidi/>
      </w:pPr>
      <w:r>
        <w:rPr>
          <w:rStyle w:val="ac"/>
        </w:rPr>
        <w:footnoteRef/>
      </w:r>
      <w:r>
        <w:rPr>
          <w:rtl/>
        </w:rPr>
        <w:t>כ"ה ב</w:t>
      </w:r>
      <w:r>
        <w:rPr>
          <w:b/>
          <w:bCs/>
          <w:rtl/>
        </w:rPr>
        <w:t>רשב"א</w:t>
      </w:r>
      <w:r>
        <w:rPr>
          <w:rtl/>
        </w:rPr>
        <w:t xml:space="preserve"> וה</w:t>
      </w:r>
      <w:r>
        <w:rPr>
          <w:b/>
          <w:bCs/>
          <w:rtl/>
        </w:rPr>
        <w:t>ריטב"א</w:t>
      </w:r>
      <w:r>
        <w:rPr>
          <w:rtl/>
        </w:rPr>
        <w:t>. וה</w:t>
      </w:r>
      <w:r>
        <w:rPr>
          <w:b/>
          <w:bCs/>
          <w:rtl/>
        </w:rPr>
        <w:t>רמב"ן</w:t>
      </w:r>
      <w:r>
        <w:rPr>
          <w:rtl/>
        </w:rPr>
        <w:t xml:space="preserve"> הביא כן בשם ה</w:t>
      </w:r>
      <w:r>
        <w:rPr>
          <w:b/>
          <w:bCs/>
          <w:rtl/>
        </w:rPr>
        <w:t>רב אב ב"ד</w:t>
      </w:r>
      <w:r>
        <w:rPr>
          <w:rtl/>
        </w:rPr>
        <w:t xml:space="preserve"> בשם ה</w:t>
      </w:r>
      <w:r>
        <w:rPr>
          <w:b/>
          <w:bCs/>
          <w:rtl/>
        </w:rPr>
        <w:t>רב הנבון</w:t>
      </w:r>
      <w:r>
        <w:rPr>
          <w:rtl/>
        </w:rPr>
        <w:t xml:space="preserve"> חתנו. [הראב"ד בעל ההשגות, חתן הר"א אב"ד]</w:t>
      </w:r>
      <w:r>
        <w:t>.</w:t>
      </w:r>
    </w:p>
  </w:footnote>
  <w:footnote w:id="7458">
    <w:p w14:paraId="78224F2D" w14:textId="77777777" w:rsidR="006C4368" w:rsidRDefault="006C4368" w:rsidP="006C4368">
      <w:pPr>
        <w:pStyle w:val="Footnote"/>
        <w:bidi/>
      </w:pPr>
      <w:r>
        <w:rPr>
          <w:rStyle w:val="ac"/>
        </w:rPr>
        <w:footnoteRef/>
      </w:r>
      <w:r>
        <w:rPr>
          <w:rtl/>
        </w:rPr>
        <w:t xml:space="preserve">וע' </w:t>
      </w:r>
      <w:r>
        <w:rPr>
          <w:b/>
          <w:bCs/>
          <w:rtl/>
        </w:rPr>
        <w:t>רש"י</w:t>
      </w:r>
      <w:r>
        <w:rPr>
          <w:rtl/>
        </w:rPr>
        <w:t xml:space="preserve"> ו</w:t>
      </w:r>
      <w:r>
        <w:rPr>
          <w:b/>
          <w:bCs/>
          <w:rtl/>
        </w:rPr>
        <w:t>תוס</w:t>
      </w:r>
      <w:r>
        <w:rPr>
          <w:rtl/>
        </w:rPr>
        <w:t>' (כתובות שם ולעיל לט:) כשאינה רוצה להתייבם אלא לחלוץ אי הוה מורדת, והאם תלי במח' דמצוות חליצה קודמת</w:t>
      </w:r>
      <w:r>
        <w:t>.</w:t>
      </w:r>
    </w:p>
  </w:footnote>
  <w:footnote w:id="7459">
    <w:p w14:paraId="57446603" w14:textId="77777777" w:rsidR="006C4368" w:rsidRDefault="006C4368" w:rsidP="006C4368">
      <w:pPr>
        <w:pStyle w:val="Footnote"/>
        <w:bidi/>
      </w:pPr>
      <w:r>
        <w:rPr>
          <w:rStyle w:val="ac"/>
        </w:rPr>
        <w:footnoteRef/>
      </w:r>
      <w:r>
        <w:rPr>
          <w:rtl/>
        </w:rPr>
        <w:t>ו</w:t>
      </w:r>
      <w:r>
        <w:rPr>
          <w:b/>
          <w:bCs/>
          <w:rtl/>
        </w:rPr>
        <w:t>ר' אפרים</w:t>
      </w:r>
      <w:r>
        <w:rPr>
          <w:rtl/>
        </w:rPr>
        <w:t xml:space="preserve"> הק' דלדברי הרי"ף קשה דשמואל (דסוגיין דס"ל דיבם כבעל) אדשמואל (כתובות שם דכותבין אגרת מרד). וה</w:t>
      </w:r>
      <w:r>
        <w:rPr>
          <w:b/>
          <w:bCs/>
          <w:rtl/>
        </w:rPr>
        <w:t>בעה"מ</w:t>
      </w:r>
      <w:r>
        <w:rPr>
          <w:rtl/>
        </w:rPr>
        <w:t xml:space="preserve"> כת' דכפרש"י א"ש, דמח' רב ושמואל לעיקר הנדר [ולא לענין כופין ומבקשין]</w:t>
      </w:r>
      <w:r>
        <w:t>.</w:t>
      </w:r>
    </w:p>
    <w:p w14:paraId="760A53E2" w14:textId="77777777" w:rsidR="006C4368" w:rsidRDefault="006C4368" w:rsidP="006C4368">
      <w:pPr>
        <w:pStyle w:val="Footnote"/>
        <w:bidi/>
      </w:pPr>
      <w:r>
        <w:tab/>
      </w:r>
      <w:r>
        <w:rPr>
          <w:rtl/>
        </w:rPr>
        <w:t>וה</w:t>
      </w:r>
      <w:r>
        <w:rPr>
          <w:b/>
          <w:bCs/>
          <w:rtl/>
        </w:rPr>
        <w:t>רמב"ן</w:t>
      </w:r>
      <w:r>
        <w:rPr>
          <w:rtl/>
        </w:rPr>
        <w:t xml:space="preserve"> (בס' הזכות) תי' דשמואל דאמר יבם כבעל נפק"מ להיפך, היכא דהיבם נדר ואסר עצמו</w:t>
      </w:r>
      <w:r>
        <w:t>.</w:t>
      </w:r>
    </w:p>
  </w:footnote>
  <w:footnote w:id="7460">
    <w:p w14:paraId="0540FA4B" w14:textId="77777777" w:rsidR="006C4368" w:rsidRDefault="006C4368" w:rsidP="006C4368">
      <w:pPr>
        <w:pStyle w:val="Footnote"/>
        <w:bidi/>
      </w:pPr>
      <w:r>
        <w:rPr>
          <w:rStyle w:val="ac"/>
        </w:rPr>
        <w:footnoteRef/>
      </w:r>
      <w:r>
        <w:rPr>
          <w:rtl/>
        </w:rPr>
        <w:t>וה</w:t>
      </w:r>
      <w:r>
        <w:rPr>
          <w:b/>
          <w:bCs/>
          <w:rtl/>
        </w:rPr>
        <w:t>רמב"ן</w:t>
      </w:r>
      <w:r>
        <w:rPr>
          <w:rtl/>
        </w:rPr>
        <w:t xml:space="preserve"> הוסיף ועוד שרוח חכמים נוחה הימנה כשנותנת עיניה במקום אחר הגון לה, ומקלקלת על היבם ותובעת ממנו חליצה שהוא מצוה כתקנה חביבה ומקובלת. ומונעת עצמה מן היבום שיש בו חשש ערוה לשניהם. [וכוונתו דשמואל ס"ל דאין כותבין אגרת מרד משום דמצוות חליצה קודמת, וכאבא שאול. א"כ ראוי לה לעכב שלא להתייבם, עכ"פ באופן שאינו ראוי לה. ומבואר דהרי"ף פליג דלא קי"ל כאבא שאול]</w:t>
      </w:r>
      <w:r>
        <w:t>.</w:t>
      </w:r>
    </w:p>
  </w:footnote>
  <w:footnote w:id="7461">
    <w:p w14:paraId="28CEC605" w14:textId="77777777" w:rsidR="006C4368" w:rsidRDefault="006C4368" w:rsidP="006C4368">
      <w:pPr>
        <w:pStyle w:val="Footnote"/>
        <w:bidi/>
      </w:pPr>
      <w:r>
        <w:rPr>
          <w:rStyle w:val="ac"/>
        </w:rPr>
        <w:footnoteRef/>
      </w:r>
      <w:r>
        <w:rPr>
          <w:rtl/>
        </w:rPr>
        <w:t>והא ע"כ דתשמיש קשה לה. {ואף דבמורדת לכאורה אין כופין לו לחלוץ, מ"מ משום דין כפייה לא היתה נודרת. וכיון שנדרה תלינן שהדבר קשה לה, ומש"ה בדין דנכוף לו}</w:t>
      </w:r>
      <w:r>
        <w:t>.</w:t>
      </w:r>
    </w:p>
  </w:footnote>
  <w:footnote w:id="7462">
    <w:p w14:paraId="1F8F7F31" w14:textId="77777777" w:rsidR="006C4368" w:rsidRDefault="006C4368" w:rsidP="006C4368">
      <w:pPr>
        <w:pStyle w:val="Footnote"/>
        <w:bidi/>
      </w:pPr>
      <w:r>
        <w:rPr>
          <w:rStyle w:val="ac"/>
        </w:rPr>
        <w:footnoteRef/>
      </w:r>
      <w:r>
        <w:rPr>
          <w:rtl/>
        </w:rPr>
        <w:t>וה</w:t>
      </w:r>
      <w:r>
        <w:rPr>
          <w:b/>
          <w:bCs/>
          <w:rtl/>
        </w:rPr>
        <w:t>אחרונים</w:t>
      </w:r>
      <w:r>
        <w:rPr>
          <w:rtl/>
        </w:rPr>
        <w:t xml:space="preserve"> כת' דלא הוזכר כה"ג בסוגיה (גיטין עא.), דקידושי ביאה לא שכיחי. וכדאי' (לעיל נב.) דרב מנגיד אמאן דמקדש בביאה</w:t>
      </w:r>
      <w:r>
        <w:t>.</w:t>
      </w:r>
    </w:p>
  </w:footnote>
  <w:footnote w:id="7463">
    <w:p w14:paraId="5F0F3851" w14:textId="77777777" w:rsidR="006C4368" w:rsidRDefault="006C4368" w:rsidP="006C4368">
      <w:pPr>
        <w:pStyle w:val="Footnote"/>
        <w:bidi/>
      </w:pPr>
      <w:r>
        <w:rPr>
          <w:rStyle w:val="ac"/>
        </w:rPr>
        <w:footnoteRef/>
      </w:r>
      <w:r>
        <w:rPr>
          <w:rtl/>
        </w:rPr>
        <w:t>וה</w:t>
      </w:r>
      <w:r>
        <w:rPr>
          <w:b/>
          <w:bCs/>
          <w:rtl/>
        </w:rPr>
        <w:t>מאירי</w:t>
      </w:r>
      <w:r>
        <w:rPr>
          <w:rtl/>
        </w:rPr>
        <w:t xml:space="preserve"> תמה (על הירושלמי) דאע"פ שהכסף אינו 'מעשה גמור' כביאה, מ"מ קנינו חזק כביאה ודינן שוה. ואלמלא כן לא נשמט תלמוד שלנו מלהזכירה</w:t>
      </w:r>
      <w:r>
        <w:t>.</w:t>
      </w:r>
    </w:p>
  </w:footnote>
  <w:footnote w:id="7464">
    <w:p w14:paraId="65F05A22" w14:textId="77777777" w:rsidR="006C4368" w:rsidRDefault="006C4368" w:rsidP="006C4368">
      <w:pPr>
        <w:pStyle w:val="Footnote"/>
        <w:bidi/>
      </w:pPr>
      <w:r>
        <w:rPr>
          <w:rStyle w:val="ac"/>
        </w:rPr>
        <w:footnoteRef/>
      </w:r>
      <w:r>
        <w:rPr>
          <w:rtl/>
        </w:rPr>
        <w:t>וה</w:t>
      </w:r>
      <w:r>
        <w:rPr>
          <w:b/>
          <w:bCs/>
          <w:rtl/>
        </w:rPr>
        <w:t>דברי חיים</w:t>
      </w:r>
      <w:r>
        <w:rPr>
          <w:rtl/>
        </w:rPr>
        <w:t xml:space="preserve"> (אה"ע א נג) ביאר דמהני דעת אחרת מקנה (ע' נוב"י ת נד), דהאשה מקנה עצמה [ודלא כר"ן נדרים ל.]. ועוד הביא דשיטת </w:t>
      </w:r>
      <w:r>
        <w:rPr>
          <w:b/>
          <w:bCs/>
          <w:rtl/>
        </w:rPr>
        <w:t>רש"י</w:t>
      </w:r>
      <w:r>
        <w:rPr>
          <w:rtl/>
        </w:rPr>
        <w:t xml:space="preserve"> (חולין יב:) דיש לקטן 'מעשה', ורק מחשבה אין לו. ודוקא קידושי כסף ל"מ, דאינו יכול להקנות הכסף. וע"ע שואל ומשיב (ד ח"ב קפ)</w:t>
      </w:r>
      <w:r>
        <w:t>.</w:t>
      </w:r>
    </w:p>
  </w:footnote>
  <w:footnote w:id="7465">
    <w:p w14:paraId="50BEBAF8" w14:textId="77777777" w:rsidR="006C4368" w:rsidRDefault="006C4368" w:rsidP="006C4368">
      <w:pPr>
        <w:pStyle w:val="Footnote"/>
        <w:bidi/>
      </w:pPr>
      <w:r>
        <w:rPr>
          <w:rStyle w:val="ac"/>
        </w:rPr>
        <w:footnoteRef/>
      </w:r>
      <w:r>
        <w:rPr>
          <w:rtl/>
        </w:rPr>
        <w:t>דהגמ' (קידושין יט.) מצאה רק דקנה ביבמתו, וקידושי יעוד</w:t>
      </w:r>
      <w:r>
        <w:t>.</w:t>
      </w:r>
    </w:p>
  </w:footnote>
  <w:footnote w:id="7466">
    <w:p w14:paraId="40179628" w14:textId="77777777" w:rsidR="006C4368" w:rsidRDefault="006C4368" w:rsidP="006C4368">
      <w:pPr>
        <w:pStyle w:val="Footnote"/>
        <w:bidi/>
      </w:pPr>
      <w:r>
        <w:rPr>
          <w:rStyle w:val="ac"/>
        </w:rPr>
        <w:footnoteRef/>
      </w:r>
      <w:r>
        <w:rPr>
          <w:rtl/>
        </w:rPr>
        <w:t>אבל קידש בביאה עיקר המעשה לא הוה ע"י 'רמיזה'. [ואף דנעשה ע"י דעת קלישתא של חרש, מ"מ לא נחשב קידושין דרמיזה. ומש"ה לא סגי בגט של רמיזה]</w:t>
      </w:r>
      <w:r>
        <w:t>.</w:t>
      </w:r>
    </w:p>
    <w:p w14:paraId="63E8631B" w14:textId="77777777" w:rsidR="006C4368" w:rsidRDefault="006C4368" w:rsidP="006C4368">
      <w:pPr>
        <w:pStyle w:val="Footnote"/>
        <w:bidi/>
      </w:pPr>
      <w:r>
        <w:tab/>
      </w:r>
      <w:r>
        <w:rPr>
          <w:rtl/>
        </w:rPr>
        <w:t>ויל"ד קידש יתומה קטנה, ואח"כ נתחרש. האם אמרי' דכיון דקידושיה דרבנן מהני גט דחרש. או דוקא בחרשות אמרי' גדר 'כשם</w:t>
      </w:r>
      <w:r>
        <w:t>'.</w:t>
      </w:r>
    </w:p>
  </w:footnote>
  <w:footnote w:id="7467">
    <w:p w14:paraId="652EF632" w14:textId="77777777" w:rsidR="006C4368" w:rsidRDefault="006C4368" w:rsidP="006C4368">
      <w:pPr>
        <w:pStyle w:val="Footnote"/>
        <w:bidi/>
      </w:pPr>
      <w:r>
        <w:rPr>
          <w:rStyle w:val="ac"/>
        </w:rPr>
        <w:footnoteRef/>
      </w:r>
      <w:r>
        <w:rPr>
          <w:rtl/>
        </w:rPr>
        <w:t>ויש שדנו דאין דעת לחרש לכה"ג. וע' שו"ת מהרש"ם (א רכ)</w:t>
      </w:r>
      <w:r>
        <w:t>.</w:t>
      </w:r>
    </w:p>
  </w:footnote>
  <w:footnote w:id="7468">
    <w:p w14:paraId="55A7D1E0" w14:textId="77777777" w:rsidR="006C4368" w:rsidRDefault="006C4368" w:rsidP="006C4368">
      <w:pPr>
        <w:pStyle w:val="Footnote"/>
        <w:bidi/>
      </w:pPr>
      <w:r>
        <w:rPr>
          <w:rStyle w:val="ac"/>
        </w:rPr>
        <w:footnoteRef/>
      </w:r>
      <w:r>
        <w:rPr>
          <w:rtl/>
        </w:rPr>
        <w:t>וצ"ב אמאי הוה חידוש, הא מבואר (גיטין סז: עא.) דאף נשתתק מהני רמזותיו להוציא את אשתו מדאורייתא. [ע"י בדיקה ג' פעמים, דאילם יש לו דעת]. ועוד נח' ה</w:t>
      </w:r>
      <w:r>
        <w:rPr>
          <w:b/>
          <w:bCs/>
          <w:rtl/>
        </w:rPr>
        <w:t>פוסקים</w:t>
      </w:r>
      <w:r>
        <w:rPr>
          <w:rtl/>
        </w:rPr>
        <w:t xml:space="preserve"> האם כל חרש צריך בדיקה שיש בו דעת, ע"ד הא דאי' (גיטין סז:) גבי נשתתק. או דאמרי' כשם שכונסה</w:t>
      </w:r>
      <w:r>
        <w:t>.</w:t>
      </w:r>
    </w:p>
  </w:footnote>
  <w:footnote w:id="7469">
    <w:p w14:paraId="222B65EE" w14:textId="77777777" w:rsidR="006C4368" w:rsidRDefault="006C4368" w:rsidP="006C4368">
      <w:pPr>
        <w:pStyle w:val="Footnote"/>
        <w:bidi/>
      </w:pPr>
      <w:r>
        <w:rPr>
          <w:rStyle w:val="ac"/>
        </w:rPr>
        <w:footnoteRef/>
      </w:r>
      <w:r>
        <w:rPr>
          <w:rtl/>
        </w:rPr>
        <w:t>וה</w:t>
      </w:r>
      <w:r>
        <w:rPr>
          <w:b/>
          <w:bCs/>
          <w:rtl/>
        </w:rPr>
        <w:t>נחלת שבעה</w:t>
      </w:r>
      <w:r>
        <w:rPr>
          <w:rtl/>
        </w:rPr>
        <w:t xml:space="preserve"> (מהד"ב א) הביא נוסח גט חרש, והלשון דרמז לנו להוציא את פלונית וכו' ומדרמז לנא כך כתבנו לה גיטא דנא כתקנתא דרבנן והוא נתנו לידה כדת משה וישראל</w:t>
      </w:r>
      <w:r>
        <w:t>.</w:t>
      </w:r>
    </w:p>
  </w:footnote>
  <w:footnote w:id="7470">
    <w:p w14:paraId="75F20FFC" w14:textId="77777777" w:rsidR="006C4368" w:rsidRDefault="006C4368" w:rsidP="006C4368">
      <w:pPr>
        <w:pStyle w:val="Footnote"/>
        <w:bidi/>
      </w:pPr>
      <w:r>
        <w:rPr>
          <w:rStyle w:val="ac"/>
        </w:rPr>
        <w:footnoteRef/>
      </w:r>
      <w:r>
        <w:rPr>
          <w:rtl/>
        </w:rPr>
        <w:t>ונח' הראשונים אי צריך שליחות בכתיבת הגט (ע' תוס' גיטין כב:)</w:t>
      </w:r>
      <w:r>
        <w:t>.</w:t>
      </w:r>
    </w:p>
  </w:footnote>
  <w:footnote w:id="7471">
    <w:p w14:paraId="625C1D0C" w14:textId="77777777" w:rsidR="006C4368" w:rsidRDefault="006C4368" w:rsidP="006C4368">
      <w:pPr>
        <w:pStyle w:val="Footnote"/>
        <w:bidi/>
      </w:pPr>
      <w:r>
        <w:rPr>
          <w:rStyle w:val="ac"/>
        </w:rPr>
        <w:footnoteRef/>
      </w:r>
      <w:r>
        <w:rPr>
          <w:rtl/>
        </w:rPr>
        <w:t>פ</w:t>
      </w:r>
      <w:r>
        <w:rPr>
          <w:b/>
          <w:bCs/>
          <w:rtl/>
        </w:rPr>
        <w:t>רש"י</w:t>
      </w:r>
      <w:r>
        <w:rPr>
          <w:rtl/>
        </w:rPr>
        <w:t xml:space="preserve"> (שם) דבקפיצה כנס בקפיצה יוציא. [אך הבי"ש (הו' בסמוך) נקט דאיירי שכנסה ברמיזה, וקמ"ל דמוציאה בקפיצה]</w:t>
      </w:r>
      <w:r>
        <w:t>.</w:t>
      </w:r>
    </w:p>
  </w:footnote>
  <w:footnote w:id="7472">
    <w:p w14:paraId="02D341C9" w14:textId="77777777" w:rsidR="006C4368" w:rsidRDefault="006C4368" w:rsidP="006C4368">
      <w:pPr>
        <w:pStyle w:val="Footnote"/>
        <w:bidi/>
      </w:pPr>
      <w:r>
        <w:rPr>
          <w:rStyle w:val="ac"/>
        </w:rPr>
        <w:footnoteRef/>
      </w:r>
      <w:r>
        <w:rPr>
          <w:rtl/>
        </w:rPr>
        <w:t>וה</w:t>
      </w:r>
      <w:r>
        <w:rPr>
          <w:b/>
          <w:bCs/>
          <w:rtl/>
        </w:rPr>
        <w:t>בית שמואל</w:t>
      </w:r>
      <w:r>
        <w:rPr>
          <w:rtl/>
        </w:rPr>
        <w:t xml:space="preserve"> (קכא ט) העלה צד דבעינן דוקא רמיזה, דהוה מעשה בגופו. אבל לא סגי במסירת כתב ידו. דיש </w:t>
      </w:r>
      <w:r>
        <w:rPr>
          <w:b/>
          <w:bCs/>
          <w:rtl/>
        </w:rPr>
        <w:t>ראשונים</w:t>
      </w:r>
      <w:r>
        <w:rPr>
          <w:rtl/>
        </w:rPr>
        <w:t xml:space="preserve"> (גיטין עא.) [גבי נשתתק, לענין דאורייתא] דהרכנה מהני לגט, ול"מ כתיבה. אך כת' דה"מ כשכנס ע"י רמיזה, דאינו מוציא בכתב ידו. אבל היכא דכנס ע"י מסירת כתב ידו, מוציאה ע”י כתב ידו. ו</w:t>
      </w:r>
      <w:r>
        <w:rPr>
          <w:b/>
          <w:bCs/>
          <w:rtl/>
        </w:rPr>
        <w:t>רע"א</w:t>
      </w:r>
      <w:r>
        <w:rPr>
          <w:rtl/>
        </w:rPr>
        <w:t xml:space="preserve"> (שם, ועד"ז התור"ג שם) חלקו דהחסרון בכתיבה משום דבעינן שהסופר ישמע, ולא הוה חסרון דעת ומש"ה ל"מ סברת 'כשם שכנס</w:t>
      </w:r>
      <w:r>
        <w:t>'.</w:t>
      </w:r>
    </w:p>
  </w:footnote>
  <w:footnote w:id="7473">
    <w:p w14:paraId="7D8F691F" w14:textId="77777777" w:rsidR="006C4368" w:rsidRDefault="006C4368" w:rsidP="006C4368">
      <w:pPr>
        <w:pStyle w:val="Footnote"/>
        <w:bidi/>
      </w:pPr>
      <w:r>
        <w:rPr>
          <w:rStyle w:val="ac"/>
        </w:rPr>
        <w:footnoteRef/>
      </w:r>
      <w:r>
        <w:rPr>
          <w:rtl/>
        </w:rPr>
        <w:t>דאע"ג דרמיא קמיה מדאוריתא ל"מ היבום למעקר זיקה לגמרי, וצריכה חליצה</w:t>
      </w:r>
      <w:r>
        <w:t>.</w:t>
      </w:r>
    </w:p>
  </w:footnote>
  <w:footnote w:id="7474">
    <w:p w14:paraId="01C0D7CF" w14:textId="77777777" w:rsidR="006C4368" w:rsidRDefault="006C4368" w:rsidP="006C4368">
      <w:pPr>
        <w:pStyle w:val="Footnote"/>
        <w:bidi/>
      </w:pPr>
      <w:r>
        <w:rPr>
          <w:rStyle w:val="ac"/>
        </w:rPr>
        <w:footnoteRef/>
      </w:r>
      <w:r>
        <w:rPr>
          <w:rtl/>
        </w:rPr>
        <w:t>ולכאורה משמע דביאת קטן קליש, ומש"ה ל"ק. אך בגמ' (קידושין יט.) מבואר דהוה גזיה"כ אשת איש ולא אשת קטן. [ולדעת תוס' גלי קרא דל”ק בביאתו]. א"כ עיקר החילוק דאשת חרש לא נתמעט [ופקח ונתחרש צריכה גט מדאורייתא, וכדאי' ברישא דמתני']. אך לדברי רש"י קנה מה"ת, ומדרבנן ביאת בן ט' כמאמר. ואפשר דהגדר מדרבנן דביאתו קליש</w:t>
      </w:r>
      <w:r>
        <w:t>.</w:t>
      </w:r>
    </w:p>
  </w:footnote>
  <w:footnote w:id="7475">
    <w:p w14:paraId="5E23C8E2" w14:textId="77777777" w:rsidR="006C4368" w:rsidRDefault="006C4368" w:rsidP="006C4368">
      <w:pPr>
        <w:pStyle w:val="Footnote"/>
        <w:bidi/>
      </w:pPr>
      <w:r>
        <w:rPr>
          <w:rStyle w:val="ac"/>
        </w:rPr>
        <w:footnoteRef/>
      </w:r>
      <w:r>
        <w:rPr>
          <w:rtl/>
        </w:rPr>
        <w:t>וה</w:t>
      </w:r>
      <w:r>
        <w:rPr>
          <w:b/>
          <w:bCs/>
          <w:rtl/>
        </w:rPr>
        <w:t>מאירי</w:t>
      </w:r>
      <w:r>
        <w:rPr>
          <w:rtl/>
        </w:rPr>
        <w:t xml:space="preserve"> (גיטין הנ"ל) תי' דבחרש יבום לא תלי בחליצה. [ולא פי' דבריו, ומשמע דבעלמא אמרי' כל שאינו עולה לחליצה אינו עולה ליבום, ושאני הכא]</w:t>
      </w:r>
      <w:r>
        <w:t>.</w:t>
      </w:r>
    </w:p>
  </w:footnote>
  <w:footnote w:id="7476">
    <w:p w14:paraId="1DDE7826" w14:textId="77777777" w:rsidR="006C4368" w:rsidRDefault="006C4368" w:rsidP="006C4368">
      <w:pPr>
        <w:pStyle w:val="Footnote"/>
        <w:bidi/>
      </w:pPr>
      <w:r>
        <w:rPr>
          <w:rStyle w:val="ac"/>
        </w:rPr>
        <w:footnoteRef/>
      </w:r>
      <w:r>
        <w:rPr>
          <w:rtl/>
        </w:rPr>
        <w:t>והביא דה</w:t>
      </w:r>
      <w:r>
        <w:rPr>
          <w:b/>
          <w:bCs/>
          <w:rtl/>
        </w:rPr>
        <w:t>שו"ע</w:t>
      </w:r>
      <w:r>
        <w:rPr>
          <w:rtl/>
        </w:rPr>
        <w:t xml:space="preserve"> (קעב יב) הביא הנך משניות דיבום חרש, ואף דב</w:t>
      </w:r>
      <w:r>
        <w:rPr>
          <w:b/>
          <w:bCs/>
          <w:rtl/>
        </w:rPr>
        <w:t>שו"ע</w:t>
      </w:r>
      <w:r>
        <w:rPr>
          <w:rtl/>
        </w:rPr>
        <w:t xml:space="preserve"> (קסה א) הביא מח' אי מצוות יבום קודמת למצוות חליצה, דתלי באבא שאול. ועוד דר”ת (תוס' לעיל לט:) פסק כאבא שאול מכח סתם משנה (בכורות יג., וכן לעיל ג. מוקמי' מתני' כאבא שאול), וכן תני בר קפרא (לעיל קט.) כאבא שאול. וע”כ דלא פליג אכל הנך משניות (דהכא)</w:t>
      </w:r>
      <w:r>
        <w:t>.</w:t>
      </w:r>
    </w:p>
  </w:footnote>
  <w:footnote w:id="7477">
    <w:p w14:paraId="7AB3FF73" w14:textId="77777777" w:rsidR="006C4368" w:rsidRDefault="006C4368" w:rsidP="006C4368">
      <w:pPr>
        <w:pStyle w:val="Footnote"/>
        <w:bidi/>
      </w:pPr>
      <w:r>
        <w:rPr>
          <w:rStyle w:val="ac"/>
        </w:rPr>
        <w:footnoteRef/>
      </w:r>
      <w:r>
        <w:rPr>
          <w:rtl/>
        </w:rPr>
        <w:t>וה</w:t>
      </w:r>
      <w:r>
        <w:rPr>
          <w:b/>
          <w:bCs/>
          <w:rtl/>
        </w:rPr>
        <w:t>חזו"א</w:t>
      </w:r>
      <w:r>
        <w:rPr>
          <w:rtl/>
        </w:rPr>
        <w:t xml:space="preserve"> (קכט יג) הק' דחרש ודאי נתכוין להנאת ביאה. וכת' דמ"מ דינו של הנוב"י אמת [עי”ש]</w:t>
      </w:r>
      <w:r>
        <w:t>.</w:t>
      </w:r>
    </w:p>
  </w:footnote>
  <w:footnote w:id="7478">
    <w:p w14:paraId="665BE113" w14:textId="77777777" w:rsidR="006C4368" w:rsidRDefault="006C4368" w:rsidP="006C4368">
      <w:pPr>
        <w:pStyle w:val="Footnote"/>
        <w:bidi/>
      </w:pPr>
      <w:r>
        <w:rPr>
          <w:rStyle w:val="ac"/>
        </w:rPr>
        <w:footnoteRef/>
      </w:r>
      <w:r>
        <w:t>[</w:t>
      </w:r>
      <w:r>
        <w:rPr>
          <w:rtl/>
        </w:rPr>
        <w:t>ונח' שם מן האירוסין עי"ש</w:t>
      </w:r>
      <w:r>
        <w:t>].</w:t>
      </w:r>
    </w:p>
  </w:footnote>
  <w:footnote w:id="7479">
    <w:p w14:paraId="6DD6914F" w14:textId="77777777" w:rsidR="006C4368" w:rsidRDefault="006C4368" w:rsidP="006C4368">
      <w:pPr>
        <w:pStyle w:val="Footnote"/>
        <w:bidi/>
      </w:pPr>
      <w:r>
        <w:rPr>
          <w:rStyle w:val="ac"/>
        </w:rPr>
        <w:footnoteRef/>
      </w:r>
      <w:r>
        <w:rPr>
          <w:rtl/>
        </w:rPr>
        <w:t>וכדאי' (לעיל כ. וכ"מ) דנעשית כאשתו לכל דבר</w:t>
      </w:r>
      <w:r>
        <w:t>.</w:t>
      </w:r>
    </w:p>
  </w:footnote>
  <w:footnote w:id="7480">
    <w:p w14:paraId="5B9163C2" w14:textId="77777777" w:rsidR="006C4368" w:rsidRDefault="006C4368" w:rsidP="006C4368">
      <w:pPr>
        <w:pStyle w:val="Footnote"/>
        <w:bidi/>
      </w:pPr>
      <w:r>
        <w:rPr>
          <w:rStyle w:val="ac"/>
        </w:rPr>
        <w:footnoteRef/>
      </w:r>
      <w:r>
        <w:t>[</w:t>
      </w:r>
      <w:r>
        <w:rPr>
          <w:rtl/>
        </w:rPr>
        <w:t>וכגון שבא עליה חרש, ואח"כ נשתפה ובא לגרשה ולא בא עליה שוב</w:t>
      </w:r>
      <w:r>
        <w:t>].</w:t>
      </w:r>
    </w:p>
  </w:footnote>
  <w:footnote w:id="7481">
    <w:p w14:paraId="73ACDE38" w14:textId="77777777" w:rsidR="006C4368" w:rsidRDefault="006C4368" w:rsidP="006C4368">
      <w:pPr>
        <w:pStyle w:val="Footnote"/>
        <w:bidi/>
      </w:pPr>
      <w:r>
        <w:rPr>
          <w:rStyle w:val="ac"/>
        </w:rPr>
        <w:footnoteRef/>
      </w:r>
      <w:r>
        <w:rPr>
          <w:rtl/>
        </w:rPr>
        <w:t>בפשוטו הוה סברא בתקנ"ח, אבל חרשת שאביה קידשה, כיון דקידושיה מדאורייתא כשאר נשים לא חילקו, ואף במוכה שחין וחרשת דשייך סברת מימנעי ולא נסבי</w:t>
      </w:r>
      <w:r>
        <w:t>.</w:t>
      </w:r>
    </w:p>
  </w:footnote>
  <w:footnote w:id="7482">
    <w:p w14:paraId="49D5F4E4" w14:textId="77777777" w:rsidR="006C4368" w:rsidRDefault="006C4368" w:rsidP="006C4368">
      <w:pPr>
        <w:pStyle w:val="Footnote"/>
        <w:bidi/>
      </w:pPr>
      <w:r>
        <w:rPr>
          <w:rStyle w:val="ac"/>
        </w:rPr>
        <w:footnoteRef/>
      </w:r>
      <w:r>
        <w:rPr>
          <w:rtl/>
        </w:rPr>
        <w:t>ואי איירי בתרומה דרבנן מאי מייתי. אלא דהגמ' נקטה דמתני' איירי בתרומה דאורייתא. אך ביאר דלא הביאו ראיה ממשנה זו, דמצי לדחות דאיירי בתרומה דרבנן. [כדדחי על ברייתא אחרת]</w:t>
      </w:r>
      <w:r>
        <w:t>.</w:t>
      </w:r>
    </w:p>
  </w:footnote>
  <w:footnote w:id="7483">
    <w:p w14:paraId="3020B40F" w14:textId="77777777" w:rsidR="006C4368" w:rsidRDefault="006C4368" w:rsidP="006C4368">
      <w:pPr>
        <w:pStyle w:val="Footnote"/>
        <w:bidi/>
      </w:pPr>
      <w:r>
        <w:rPr>
          <w:rStyle w:val="ac"/>
        </w:rPr>
        <w:footnoteRef/>
      </w:r>
      <w:r>
        <w:rPr>
          <w:rtl/>
        </w:rPr>
        <w:t xml:space="preserve">וכ"כ </w:t>
      </w:r>
      <w:r>
        <w:rPr>
          <w:b/>
          <w:bCs/>
          <w:rtl/>
        </w:rPr>
        <w:t>תוס'</w:t>
      </w:r>
      <w:r>
        <w:rPr>
          <w:rtl/>
        </w:rPr>
        <w:t xml:space="preserve"> (גיטין נה. לחד תי') דלא העמידו בתרומה דאורייתא משום קטן אוכל נבילות, דבעיא היא התם</w:t>
      </w:r>
      <w:r>
        <w:t>.</w:t>
      </w:r>
    </w:p>
  </w:footnote>
  <w:footnote w:id="7484">
    <w:p w14:paraId="71A86622" w14:textId="77777777" w:rsidR="006C4368" w:rsidRDefault="006C4368" w:rsidP="006C4368">
      <w:pPr>
        <w:pStyle w:val="Footnote"/>
        <w:bidi/>
      </w:pPr>
      <w:r>
        <w:rPr>
          <w:rStyle w:val="ac"/>
        </w:rPr>
        <w:footnoteRef/>
      </w:r>
      <w:r>
        <w:rPr>
          <w:rtl/>
        </w:rPr>
        <w:t>בפשוטו תוס' קאי אדברי המקשן, דמש"ה העמיד את המשנה בתרומה דרבנן. ויל"ד אי באמת בעודה קטנה אוכלת אף בתרומה דאורייתא, אלא דמתני' קאי אף לכי גדלה בתרומה דאורייתא. או כיון דהמשנה איירי דוקא בתרומה דאבנן, י"ל דלא הקילו להאכיל בתרומה דאורייתא [מטעם אחר, משום איזה גזירה או דלא מורים לה לכתחילה]</w:t>
      </w:r>
      <w:r>
        <w:t>.</w:t>
      </w:r>
    </w:p>
  </w:footnote>
  <w:footnote w:id="7485">
    <w:p w14:paraId="64631984" w14:textId="77777777" w:rsidR="006C4368" w:rsidRDefault="006C4368" w:rsidP="006C4368">
      <w:pPr>
        <w:pStyle w:val="Footnote"/>
        <w:bidi/>
      </w:pPr>
      <w:r>
        <w:rPr>
          <w:rStyle w:val="ac"/>
        </w:rPr>
        <w:footnoteRef/>
      </w:r>
      <w:r>
        <w:rPr>
          <w:rtl/>
        </w:rPr>
        <w:t xml:space="preserve">וכ"כ </w:t>
      </w:r>
      <w:r>
        <w:rPr>
          <w:b/>
          <w:bCs/>
          <w:rtl/>
        </w:rPr>
        <w:t>תוס'</w:t>
      </w:r>
      <w:r>
        <w:rPr>
          <w:rtl/>
        </w:rPr>
        <w:t xml:space="preserve"> (גיטין שם) בחד תי</w:t>
      </w:r>
      <w:r>
        <w:t>'.</w:t>
      </w:r>
    </w:p>
  </w:footnote>
  <w:footnote w:id="7486">
    <w:p w14:paraId="48D6BDD6" w14:textId="77777777" w:rsidR="006C4368" w:rsidRDefault="006C4368" w:rsidP="006C4368">
      <w:pPr>
        <w:pStyle w:val="Footnote"/>
        <w:bidi/>
      </w:pPr>
      <w:r>
        <w:rPr>
          <w:rStyle w:val="ac"/>
        </w:rPr>
        <w:footnoteRef/>
      </w:r>
      <w:r>
        <w:rPr>
          <w:rtl/>
        </w:rPr>
        <w:t>ועד"ז הק' דיהא איסור דאורייתא בזר האוכל חצי שיעור של תרומה, משום משמרת. וב</w:t>
      </w:r>
      <w:r>
        <w:rPr>
          <w:b/>
          <w:bCs/>
          <w:rtl/>
        </w:rPr>
        <w:t>ירושלמי</w:t>
      </w:r>
      <w:r>
        <w:rPr>
          <w:rtl/>
        </w:rPr>
        <w:t xml:space="preserve"> (הו' בר"ש חלה א ט) מבואר דלר"ל הוה מדרבנן</w:t>
      </w:r>
      <w:r>
        <w:t>.</w:t>
      </w:r>
    </w:p>
  </w:footnote>
  <w:footnote w:id="7487">
    <w:p w14:paraId="713D8F42" w14:textId="77777777" w:rsidR="006C4368" w:rsidRDefault="006C4368" w:rsidP="006C4368">
      <w:pPr>
        <w:pStyle w:val="Footnote"/>
        <w:bidi/>
      </w:pPr>
      <w:r>
        <w:rPr>
          <w:rStyle w:val="ac"/>
        </w:rPr>
        <w:footnoteRef/>
      </w:r>
      <w:r>
        <w:rPr>
          <w:rtl/>
        </w:rPr>
        <w:t>וכת' בסוגיין איירי בבעל חרש, והוא אינו מצווה משום משמרת</w:t>
      </w:r>
      <w:r>
        <w:t>.</w:t>
      </w:r>
    </w:p>
  </w:footnote>
  <w:footnote w:id="7488">
    <w:p w14:paraId="61ADD2FB" w14:textId="77777777" w:rsidR="006C4368" w:rsidRDefault="006C4368" w:rsidP="006C4368">
      <w:pPr>
        <w:pStyle w:val="Footnote"/>
        <w:bidi/>
      </w:pPr>
      <w:r>
        <w:rPr>
          <w:rStyle w:val="ac"/>
        </w:rPr>
        <w:footnoteRef/>
      </w:r>
      <w:r>
        <w:rPr>
          <w:rtl/>
        </w:rPr>
        <w:t>ויל"פ דהוה כמו בהמה שאוכלת תרומה או טבל, דליכא חיוב למונעו. ורק לכתחילה אסור להאכילו</w:t>
      </w:r>
      <w:r>
        <w:t>.</w:t>
      </w:r>
    </w:p>
  </w:footnote>
  <w:footnote w:id="7489">
    <w:p w14:paraId="6483D8B3" w14:textId="77777777" w:rsidR="006C4368" w:rsidRDefault="006C4368" w:rsidP="006C4368">
      <w:pPr>
        <w:pStyle w:val="Footnote"/>
        <w:bidi/>
      </w:pPr>
      <w:r>
        <w:rPr>
          <w:rStyle w:val="ac"/>
        </w:rPr>
        <w:footnoteRef/>
      </w:r>
      <w:r>
        <w:rPr>
          <w:rtl/>
        </w:rPr>
        <w:t>ובשוטה ע"כ איירי דהשיאה אביה, דלא תקנו נישואין כלל. [ולכאורה אף אשת כהן שנשתטית אסורה בתרומה מטעם זה]. והוסיף דיתומה שוטה ל"מ קידושי אמה ואחיה, דהא צריך 'דעת' (ע' לעיל קז:)</w:t>
      </w:r>
      <w:r>
        <w:t>.</w:t>
      </w:r>
    </w:p>
  </w:footnote>
  <w:footnote w:id="7490">
    <w:p w14:paraId="311D2BFC" w14:textId="77777777" w:rsidR="006C4368" w:rsidRDefault="006C4368" w:rsidP="006C4368">
      <w:pPr>
        <w:pStyle w:val="Footnote"/>
        <w:bidi/>
      </w:pPr>
      <w:r>
        <w:rPr>
          <w:rStyle w:val="ac"/>
        </w:rPr>
        <w:footnoteRef/>
      </w:r>
      <w:r>
        <w:rPr>
          <w:rtl/>
        </w:rPr>
        <w:t>וה</w:t>
      </w:r>
      <w:r>
        <w:rPr>
          <w:b/>
          <w:bCs/>
          <w:rtl/>
        </w:rPr>
        <w:t>רמב"ם</w:t>
      </w:r>
      <w:r>
        <w:rPr>
          <w:rtl/>
        </w:rPr>
        <w:t xml:space="preserve"> נקט שחרש ישא חרשת. וצ"ב דקטן אוכל נבילות, וכקו' הגמ' כאן. ע' נו"כ</w:t>
      </w:r>
      <w:r>
        <w:t>.</w:t>
      </w:r>
    </w:p>
  </w:footnote>
  <w:footnote w:id="7491">
    <w:p w14:paraId="472D3E09" w14:textId="77777777" w:rsidR="006C4368" w:rsidRDefault="006C4368" w:rsidP="006C4368">
      <w:pPr>
        <w:pStyle w:val="Footnote"/>
        <w:bidi/>
      </w:pPr>
      <w:r>
        <w:rPr>
          <w:rStyle w:val="ac"/>
        </w:rPr>
        <w:footnoteRef/>
      </w:r>
      <w:r>
        <w:rPr>
          <w:rtl/>
        </w:rPr>
        <w:t>דפקח בחרשת לא מחליף בחרש בפקחת. וה</w:t>
      </w:r>
      <w:r>
        <w:rPr>
          <w:b/>
          <w:bCs/>
          <w:rtl/>
        </w:rPr>
        <w:t>רשב"א</w:t>
      </w:r>
      <w:r>
        <w:rPr>
          <w:rtl/>
        </w:rPr>
        <w:t xml:space="preserve"> ביאר דשני הפכים הם. דפקח מאכיל החרשת משום דעדיף מינה ונגררת אחריו, והיא כעבדו ושפחתו. לא יאכילו חרש בפקחת דעדיפא מיניה ואינה נגררת אחריו</w:t>
      </w:r>
      <w:r>
        <w:t>.</w:t>
      </w:r>
    </w:p>
  </w:footnote>
  <w:footnote w:id="7492">
    <w:p w14:paraId="2DB1B0CB" w14:textId="77777777" w:rsidR="006C4368" w:rsidRDefault="006C4368" w:rsidP="006C4368">
      <w:pPr>
        <w:pStyle w:val="Footnote"/>
        <w:bidi/>
      </w:pPr>
      <w:r>
        <w:rPr>
          <w:rStyle w:val="ac"/>
        </w:rPr>
        <w:footnoteRef/>
      </w:r>
      <w:r>
        <w:rPr>
          <w:rtl/>
        </w:rPr>
        <w:t>וה</w:t>
      </w:r>
      <w:r>
        <w:rPr>
          <w:b/>
          <w:bCs/>
          <w:rtl/>
        </w:rPr>
        <w:t>ב"ח</w:t>
      </w:r>
      <w:r>
        <w:rPr>
          <w:rtl/>
        </w:rPr>
        <w:t xml:space="preserve"> (עה"ג) ביאר דתוס' דידן תי' דבזמן מועט לא גזרו [וכמ”ש תוס' לעיל ד”ה שמא]. ומשמע דכוונתו דכל משך הקטנות נחשב זמן מועט. אך יש שפי' דתוס' כאן סמכו אמש”כ בגיטין, דבעודה קטנה אין חשש. אלא דהק' דנגזור אטו היכא דגדלה [קודם שבעל]. ובזה תי' התוס' דתגיע לגדלות ויבעול, דהוה זמן מועט</w:t>
      </w:r>
      <w:r>
        <w:t>.</w:t>
      </w:r>
    </w:p>
  </w:footnote>
  <w:footnote w:id="7493">
    <w:p w14:paraId="14D82734" w14:textId="77777777" w:rsidR="006C4368" w:rsidRDefault="006C4368" w:rsidP="006C4368">
      <w:pPr>
        <w:pStyle w:val="Footnote"/>
        <w:bidi/>
      </w:pPr>
      <w:r>
        <w:rPr>
          <w:rStyle w:val="ac"/>
        </w:rPr>
        <w:footnoteRef/>
      </w:r>
      <w:r>
        <w:rPr>
          <w:rtl/>
        </w:rPr>
        <w:t>וה</w:t>
      </w:r>
      <w:r>
        <w:rPr>
          <w:b/>
          <w:bCs/>
          <w:rtl/>
        </w:rPr>
        <w:t>רשב"א</w:t>
      </w:r>
      <w:r>
        <w:rPr>
          <w:rtl/>
        </w:rPr>
        <w:t xml:space="preserve"> ו</w:t>
      </w:r>
      <w:r>
        <w:rPr>
          <w:b/>
          <w:bCs/>
          <w:rtl/>
        </w:rPr>
        <w:t>ריטב"א</w:t>
      </w:r>
      <w:r>
        <w:rPr>
          <w:rtl/>
        </w:rPr>
        <w:t xml:space="preserve"> כת' דאף דמפורש בברייתא, ניח"ל לגמ' להביא דיוק מהמשנה. [ולא נתפרש דבריהם היכן נשנית כן בברייתא]</w:t>
      </w:r>
      <w:r>
        <w:t>.</w:t>
      </w:r>
    </w:p>
  </w:footnote>
  <w:footnote w:id="7494">
    <w:p w14:paraId="4364A5FF" w14:textId="77777777" w:rsidR="006C4368" w:rsidRDefault="006C4368" w:rsidP="006C4368">
      <w:pPr>
        <w:pStyle w:val="Footnote"/>
        <w:bidi/>
      </w:pPr>
      <w:r>
        <w:rPr>
          <w:rStyle w:val="ac"/>
        </w:rPr>
        <w:footnoteRef/>
      </w:r>
      <w:r>
        <w:rPr>
          <w:rtl/>
        </w:rPr>
        <w:t>וה</w:t>
      </w:r>
      <w:r>
        <w:rPr>
          <w:b/>
          <w:bCs/>
          <w:rtl/>
        </w:rPr>
        <w:t>מחנ"א</w:t>
      </w:r>
      <w:r>
        <w:rPr>
          <w:rtl/>
        </w:rPr>
        <w:t xml:space="preserve"> העלה צד דכוונת הרמב"ם דוקא במתנה ע”י אחר, דמהני שליחות הנותן. [וע”ד הא דבעינן שלוחו של בעל הממון]</w:t>
      </w:r>
      <w:r>
        <w:t>.</w:t>
      </w:r>
    </w:p>
  </w:footnote>
  <w:footnote w:id="7495">
    <w:p w14:paraId="0740F2A5" w14:textId="77777777" w:rsidR="006C4368" w:rsidRDefault="006C4368" w:rsidP="006C4368">
      <w:pPr>
        <w:pStyle w:val="Footnote"/>
        <w:bidi/>
      </w:pPr>
      <w:r>
        <w:rPr>
          <w:rStyle w:val="ac"/>
        </w:rPr>
        <w:footnoteRef/>
      </w:r>
      <w:r>
        <w:rPr>
          <w:rtl/>
        </w:rPr>
        <w:t>דב</w:t>
      </w:r>
      <w:r>
        <w:rPr>
          <w:b/>
          <w:bCs/>
          <w:rtl/>
        </w:rPr>
        <w:t>גמ'</w:t>
      </w:r>
      <w:r>
        <w:rPr>
          <w:rtl/>
        </w:rPr>
        <w:t xml:space="preserve"> (ב"מ עא:) אי' דהטעם דיש זכיה לקטן, משום דאתי לכלל דעת. וה"נ עיתים חלים אתי לכלל דעת, אבל שוטה גמור לא אתי לכלל דעת. וה</w:t>
      </w:r>
      <w:r>
        <w:rPr>
          <w:b/>
          <w:bCs/>
          <w:rtl/>
        </w:rPr>
        <w:t>נתיבות</w:t>
      </w:r>
      <w:r>
        <w:rPr>
          <w:rtl/>
        </w:rPr>
        <w:t xml:space="preserve"> (שם י) חלק דכל חרש ושוטה נחשב אתי לכלל זכיה, כיון דאילו ישתפה יש לו דעת. ומש"ה הוה בתורת זכיה, ואף דמחוסר מעשה. וע"ע </w:t>
      </w:r>
      <w:r>
        <w:rPr>
          <w:b/>
          <w:bCs/>
          <w:rtl/>
        </w:rPr>
        <w:t>אמרי בינה</w:t>
      </w:r>
      <w:r>
        <w:rPr>
          <w:rtl/>
        </w:rPr>
        <w:t xml:space="preserve"> (קנינים ס"ס כד)</w:t>
      </w:r>
      <w:r>
        <w:t>.</w:t>
      </w:r>
    </w:p>
    <w:p w14:paraId="61A95099" w14:textId="77777777" w:rsidR="006C4368" w:rsidRDefault="006C4368" w:rsidP="006C4368">
      <w:pPr>
        <w:pStyle w:val="Footnote"/>
        <w:bidi/>
      </w:pPr>
      <w:r>
        <w:tab/>
      </w:r>
      <w:r>
        <w:rPr>
          <w:rtl/>
        </w:rPr>
        <w:t>ו</w:t>
      </w:r>
      <w:r>
        <w:rPr>
          <w:b/>
          <w:bCs/>
          <w:rtl/>
        </w:rPr>
        <w:t>תוס'</w:t>
      </w:r>
      <w:r>
        <w:rPr>
          <w:rtl/>
        </w:rPr>
        <w:t xml:space="preserve"> (סוכה מו:) כת' דאף עיתים שוטה לא קני כלל [ומשמע דאף ע”י עצמו, ול"מ דעת אחרת מקנה], וגרע מקטן</w:t>
      </w:r>
      <w:r>
        <w:t>.</w:t>
      </w:r>
    </w:p>
  </w:footnote>
  <w:footnote w:id="7496">
    <w:p w14:paraId="3785E150" w14:textId="77777777" w:rsidR="006C4368" w:rsidRDefault="006C4368" w:rsidP="006C4368">
      <w:pPr>
        <w:pStyle w:val="Footnote"/>
        <w:bidi/>
      </w:pPr>
      <w:r>
        <w:rPr>
          <w:rStyle w:val="ac"/>
        </w:rPr>
        <w:footnoteRef/>
      </w:r>
      <w:r>
        <w:rPr>
          <w:rtl/>
        </w:rPr>
        <w:t>וצ"ל דמהני פרעון החוב לקטן ושוטה, וזוכה בחפץ המסויים</w:t>
      </w:r>
      <w:r>
        <w:t>.</w:t>
      </w:r>
    </w:p>
  </w:footnote>
  <w:footnote w:id="7497">
    <w:p w14:paraId="26218AD6" w14:textId="77777777" w:rsidR="006C4368" w:rsidRDefault="006C4368" w:rsidP="006C4368">
      <w:pPr>
        <w:pStyle w:val="Footnote"/>
        <w:bidi/>
      </w:pPr>
      <w:r>
        <w:rPr>
          <w:rStyle w:val="ac"/>
        </w:rPr>
        <w:footnoteRef/>
      </w:r>
      <w:r>
        <w:rPr>
          <w:rtl/>
        </w:rPr>
        <w:t>וכת' דבחרשת ושוטה אין כל כך חיבת נישואין, ומש”ה לא מהני בדיבור בעלמא. אא”כ כתב לה ורצה ליזוק לנכסיו</w:t>
      </w:r>
      <w:r>
        <w:t>.</w:t>
      </w:r>
    </w:p>
  </w:footnote>
  <w:footnote w:id="7498">
    <w:p w14:paraId="6FD8063C" w14:textId="77777777" w:rsidR="006C4368" w:rsidRDefault="006C4368" w:rsidP="006C4368">
      <w:pPr>
        <w:pStyle w:val="Footnote"/>
        <w:bidi/>
      </w:pPr>
      <w:r>
        <w:rPr>
          <w:rStyle w:val="ac"/>
        </w:rPr>
        <w:footnoteRef/>
      </w:r>
      <w:r>
        <w:rPr>
          <w:rtl/>
        </w:rPr>
        <w:t>יל"ד אי קאי דוקא באשת חרש, או דקאי בעלמא כל אשה רוצה לינשא בלא כתובה. [וצ"ע מהגמ' (כתובות פב:) דבראשונה שלא היה שעבוד נכסים לכתובה היו מזקינים ולא היו נושאין נשים, פרש”י דהנשים לא רצו להנשא להם. ואפשר דה”מ לאחר שתקנו להם כתובה, וכמ”ש הרשב”א וריטב”א דכיון דשאר נשים יש להם כתובה, ומש”ה נחשב אצלה זנות בלא כתובה. ואילו קודם תקנת כתובה לא בזה זנות כלל, ויותר ממה שהוא רוצה לישא וכו']</w:t>
      </w:r>
      <w:r>
        <w:t>.</w:t>
      </w:r>
    </w:p>
  </w:footnote>
  <w:footnote w:id="7499">
    <w:p w14:paraId="4D742B79" w14:textId="77777777" w:rsidR="006C4368" w:rsidRDefault="006C4368" w:rsidP="006C4368">
      <w:pPr>
        <w:pStyle w:val="Footnote"/>
        <w:bidi/>
      </w:pPr>
      <w:r>
        <w:rPr>
          <w:rStyle w:val="ac"/>
        </w:rPr>
        <w:footnoteRef/>
      </w:r>
      <w:r>
        <w:rPr>
          <w:rtl/>
        </w:rPr>
        <w:t>וזה לא כתב או שנאבדה כתובתה</w:t>
      </w:r>
      <w:r>
        <w:t>.</w:t>
      </w:r>
    </w:p>
  </w:footnote>
  <w:footnote w:id="7500">
    <w:p w14:paraId="7CB4AE93" w14:textId="77777777" w:rsidR="006C4368" w:rsidRDefault="006C4368" w:rsidP="006C4368">
      <w:pPr>
        <w:pStyle w:val="Footnote"/>
        <w:bidi/>
      </w:pPr>
      <w:r>
        <w:rPr>
          <w:rStyle w:val="ac"/>
        </w:rPr>
        <w:footnoteRef/>
      </w:r>
      <w:r>
        <w:rPr>
          <w:rtl/>
        </w:rPr>
        <w:t>אף על פי שאילו רצה להוציא מוציא ברמיזה</w:t>
      </w:r>
      <w:r>
        <w:t>.</w:t>
      </w:r>
    </w:p>
  </w:footnote>
  <w:footnote w:id="7501">
    <w:p w14:paraId="3A9A33A4" w14:textId="77777777" w:rsidR="006C4368" w:rsidRDefault="006C4368" w:rsidP="006C4368">
      <w:pPr>
        <w:pStyle w:val="Footnote"/>
        <w:bidi/>
      </w:pPr>
      <w:r>
        <w:rPr>
          <w:rStyle w:val="ac"/>
        </w:rPr>
        <w:footnoteRef/>
      </w:r>
      <w:r>
        <w:rPr>
          <w:rtl/>
        </w:rPr>
        <w:t>וכן בפסקי ה</w:t>
      </w:r>
      <w:r>
        <w:rPr>
          <w:b/>
          <w:bCs/>
          <w:rtl/>
        </w:rPr>
        <w:t>רא"ש</w:t>
      </w:r>
      <w:r>
        <w:rPr>
          <w:rtl/>
        </w:rPr>
        <w:t xml:space="preserve"> כת' דהשיאוה בי"ד. משמע דוקא בי"ד</w:t>
      </w:r>
      <w:r>
        <w:t>.</w:t>
      </w:r>
    </w:p>
  </w:footnote>
  <w:footnote w:id="7502">
    <w:p w14:paraId="48BBE655" w14:textId="77777777" w:rsidR="006C4368" w:rsidRDefault="006C4368" w:rsidP="006C4368">
      <w:pPr>
        <w:pStyle w:val="Footnote"/>
        <w:bidi/>
      </w:pPr>
      <w:r>
        <w:rPr>
          <w:rStyle w:val="ac"/>
        </w:rPr>
        <w:footnoteRef/>
      </w:r>
      <w:r>
        <w:rPr>
          <w:rtl/>
        </w:rPr>
        <w:t>והכא הוה הלשון הזה הוא זר, דבעלמא כד מותבינן לאמורא משום תנא, ואמרי' אע"ג דהא מתני' או מתניתא פליגא עליה הוא דאמר כפלוני תנא</w:t>
      </w:r>
      <w:r>
        <w:t>.</w:t>
      </w:r>
    </w:p>
  </w:footnote>
  <w:footnote w:id="7503">
    <w:p w14:paraId="6B8016DB" w14:textId="77777777" w:rsidR="006C4368" w:rsidRDefault="006C4368" w:rsidP="006C4368">
      <w:pPr>
        <w:pStyle w:val="Footnote"/>
        <w:bidi/>
      </w:pPr>
      <w:r>
        <w:rPr>
          <w:rStyle w:val="ac"/>
        </w:rPr>
        <w:footnoteRef/>
      </w:r>
      <w:r>
        <w:rPr>
          <w:rtl/>
        </w:rPr>
        <w:t>ד</w:t>
      </w:r>
      <w:r>
        <w:rPr>
          <w:b/>
          <w:bCs/>
          <w:rtl/>
        </w:rPr>
        <w:t>תוס</w:t>
      </w:r>
      <w:r>
        <w:rPr>
          <w:rtl/>
        </w:rPr>
        <w:t>' (כתובות כג.) כת' דהיכא דידעינן שזרק לה גט, אלא דהוה ספק קרוב לו, אין לנו להעמידה על חזקתה לינשא לכתחילה</w:t>
      </w:r>
      <w:r>
        <w:t>.</w:t>
      </w:r>
    </w:p>
    <w:p w14:paraId="2BF9B071" w14:textId="77777777" w:rsidR="006C4368" w:rsidRDefault="006C4368" w:rsidP="006C4368">
      <w:pPr>
        <w:pStyle w:val="Footnote"/>
        <w:bidi/>
      </w:pPr>
      <w:r>
        <w:tab/>
      </w:r>
      <w:r>
        <w:rPr>
          <w:rtl/>
        </w:rPr>
        <w:t>והפנ"י כתב דאף חזקה העשויה להשתנות דמי לזה</w:t>
      </w:r>
      <w:r>
        <w:t>.</w:t>
      </w:r>
    </w:p>
  </w:footnote>
  <w:footnote w:id="7504">
    <w:p w14:paraId="24F2B3A6" w14:textId="77777777" w:rsidR="006C4368" w:rsidRDefault="006C4368" w:rsidP="006C4368">
      <w:pPr>
        <w:pStyle w:val="Footnote"/>
        <w:bidi/>
      </w:pPr>
      <w:r>
        <w:rPr>
          <w:rStyle w:val="ac"/>
        </w:rPr>
        <w:footnoteRef/>
      </w:r>
      <w:r>
        <w:rPr>
          <w:rtl/>
        </w:rPr>
        <w:t>אך ה</w:t>
      </w:r>
      <w:r>
        <w:rPr>
          <w:b/>
          <w:bCs/>
          <w:rtl/>
        </w:rPr>
        <w:t>עין יצחק</w:t>
      </w:r>
      <w:r>
        <w:rPr>
          <w:rtl/>
        </w:rPr>
        <w:t xml:space="preserve"> (א נט) כת' דמדרבנן צריכה גט, וע"י שמדרבנן צריכה גט איתרע חזקת פנויה [אף מדאורייתא]</w:t>
      </w:r>
      <w:r>
        <w:t>.</w:t>
      </w:r>
    </w:p>
    <w:p w14:paraId="0DE29D8E" w14:textId="77777777" w:rsidR="006C4368" w:rsidRDefault="006C4368" w:rsidP="006C4368">
      <w:pPr>
        <w:pStyle w:val="Footnote"/>
        <w:bidi/>
      </w:pPr>
      <w:r>
        <w:tab/>
      </w:r>
      <w:r>
        <w:rPr>
          <w:rtl/>
        </w:rPr>
        <w:t>וה</w:t>
      </w:r>
      <w:r>
        <w:rPr>
          <w:b/>
          <w:bCs/>
          <w:rtl/>
        </w:rPr>
        <w:t>אבני נזר</w:t>
      </w:r>
      <w:r>
        <w:rPr>
          <w:rtl/>
        </w:rPr>
        <w:t xml:space="preserve"> (יו"ד תסז ח) דחה דחייב מדרבנן, דמדרבנן לא מוקמינן אחזקה. וביאר דר' אליעזר לטעמיה (כריתות כה.) דמתנדב אדם אשם תלוי בכל יום. ומש"ה אף מחמת חיוב דרבנן אפשר להביא אשם תלוי, וכיון דמדרבנן לא מוקמינן אחזקה עי"ז הוי ספק כרת מדרבנן. [אך צ"ע דבסוגיין משמע דאף שמואל ס"ל הכי]</w:t>
      </w:r>
      <w:r>
        <w:t>.</w:t>
      </w:r>
    </w:p>
  </w:footnote>
  <w:footnote w:id="7505">
    <w:p w14:paraId="49C3178B" w14:textId="77777777" w:rsidR="006C4368" w:rsidRDefault="006C4368" w:rsidP="006C4368">
      <w:pPr>
        <w:pStyle w:val="Footnote"/>
        <w:bidi/>
      </w:pPr>
      <w:r>
        <w:rPr>
          <w:rStyle w:val="ac"/>
        </w:rPr>
        <w:footnoteRef/>
      </w:r>
      <w:r>
        <w:rPr>
          <w:rtl/>
        </w:rPr>
        <w:t>והביא עד"ז לענין שחיטה בספק אם שחט בסכין פגומה. [דהוה בחזקת נבילה, וכדאי' חולין י.]. אבל ה</w:t>
      </w:r>
      <w:r>
        <w:rPr>
          <w:b/>
          <w:bCs/>
          <w:rtl/>
        </w:rPr>
        <w:t>פרמ"ג</w:t>
      </w:r>
      <w:r>
        <w:rPr>
          <w:rtl/>
        </w:rPr>
        <w:t xml:space="preserve"> (ש"ד ס"ס יח) דן בספק פגימה בסכין דל”ש לדון משום חזקת איסור, כיון דדין השחיטה תלי בסכין המסופק, ובשביל חזקת הבהמה לא ישתנה דין הסכין, וכדין ספיקא דדינא. [ועד"ז דנו האחרונים באלמנת עיסה ע' כתובות יד. וקידושין עה.]</w:t>
      </w:r>
      <w:r>
        <w:t>.</w:t>
      </w:r>
    </w:p>
    <w:p w14:paraId="5C6B09DC" w14:textId="77777777" w:rsidR="006C4368" w:rsidRDefault="006C4368" w:rsidP="006C4368">
      <w:pPr>
        <w:pStyle w:val="Footnote"/>
        <w:bidi/>
      </w:pPr>
      <w:r>
        <w:tab/>
      </w:r>
      <w:r>
        <w:rPr>
          <w:rtl/>
        </w:rPr>
        <w:t>וב</w:t>
      </w:r>
      <w:r>
        <w:rPr>
          <w:b/>
          <w:bCs/>
          <w:rtl/>
        </w:rPr>
        <w:t>שו"ת זית רענן</w:t>
      </w:r>
      <w:r>
        <w:rPr>
          <w:rtl/>
        </w:rPr>
        <w:t xml:space="preserve"> (ח"א אה"ע ג ט) תי' כאן עד"ז, דתנן (טהרות ד ה) על וודאי מגען שהוא ספק טומאתן, דאף ברה"ר ל"מ חזקת הטהרות כיון דתלי בדין המטמא. [וע"ע רמב"ן קידושין עט וכ"מ]</w:t>
      </w:r>
      <w:r>
        <w:t>.</w:t>
      </w:r>
    </w:p>
  </w:footnote>
  <w:footnote w:id="7506">
    <w:p w14:paraId="11661903" w14:textId="77777777" w:rsidR="006C4368" w:rsidRDefault="006C4368" w:rsidP="006C4368">
      <w:pPr>
        <w:pStyle w:val="Footnote"/>
        <w:bidi/>
      </w:pPr>
      <w:r>
        <w:rPr>
          <w:rStyle w:val="ac"/>
        </w:rPr>
        <w:footnoteRef/>
      </w:r>
      <w:r>
        <w:rPr>
          <w:rtl/>
        </w:rPr>
        <w:t>וב</w:t>
      </w:r>
      <w:r>
        <w:rPr>
          <w:b/>
          <w:bCs/>
          <w:rtl/>
        </w:rPr>
        <w:t>שו"ת תורת חסד</w:t>
      </w:r>
      <w:r>
        <w:rPr>
          <w:rtl/>
        </w:rPr>
        <w:t xml:space="preserve"> (הנ"ל) תי' [עד"ז] דספק חרש לר"א הוה ספק כולל על כל החרשים שבעולם, ומש"ה ל"מ חזקה פרטית בכאן להכריע הספק שבכל החרשים שבעולם</w:t>
      </w:r>
      <w:r>
        <w:t>.</w:t>
      </w:r>
    </w:p>
  </w:footnote>
  <w:footnote w:id="7507">
    <w:p w14:paraId="14DA44A3" w14:textId="77777777" w:rsidR="006C4368" w:rsidRDefault="006C4368" w:rsidP="006C4368">
      <w:pPr>
        <w:pStyle w:val="Footnote"/>
        <w:bidi/>
      </w:pPr>
      <w:r>
        <w:rPr>
          <w:rStyle w:val="ac"/>
        </w:rPr>
        <w:footnoteRef/>
      </w:r>
      <w:r>
        <w:rPr>
          <w:rtl/>
        </w:rPr>
        <w:t>וב</w:t>
      </w:r>
      <w:r>
        <w:rPr>
          <w:b/>
          <w:bCs/>
          <w:rtl/>
        </w:rPr>
        <w:t xml:space="preserve">שו"ת ר' יוסף מסלוצק </w:t>
      </w:r>
      <w:r>
        <w:rPr>
          <w:rtl/>
        </w:rPr>
        <w:t>(לז) כת' דלצד זה הוה ספק בשחיטה, וי"ל כתי' הפנ"י</w:t>
      </w:r>
      <w:r>
        <w:t>.</w:t>
      </w:r>
    </w:p>
  </w:footnote>
  <w:footnote w:id="7508">
    <w:p w14:paraId="1487CBB4" w14:textId="77777777" w:rsidR="006C4368" w:rsidRDefault="006C4368" w:rsidP="006C4368">
      <w:pPr>
        <w:pStyle w:val="Footnote"/>
        <w:bidi/>
      </w:pPr>
      <w:r>
        <w:rPr>
          <w:rStyle w:val="ac"/>
        </w:rPr>
        <w:footnoteRef/>
      </w:r>
      <w:r>
        <w:rPr>
          <w:rtl/>
        </w:rPr>
        <w:t>וכן נפק"מ בקטנה שיש לה אב, דאינה מתגרשת ע"י עצמה [אף דקי"ל (כרבנן גיטין סד:) דמתגרשת בין ע”י עצמה ובין ע”י אביה]. דדוקא היכא דהאב מקבל את הגט מהני לשומרה. וע"ע בסמוך</w:t>
      </w:r>
      <w:r>
        <w:t>.</w:t>
      </w:r>
    </w:p>
  </w:footnote>
  <w:footnote w:id="7509">
    <w:p w14:paraId="389E6B7E" w14:textId="77777777" w:rsidR="006C4368" w:rsidRDefault="006C4368" w:rsidP="006C4368">
      <w:pPr>
        <w:pStyle w:val="Footnote"/>
        <w:bidi/>
      </w:pPr>
      <w:r>
        <w:rPr>
          <w:rStyle w:val="ac"/>
        </w:rPr>
        <w:footnoteRef/>
      </w:r>
      <w:r>
        <w:rPr>
          <w:rtl/>
        </w:rPr>
        <w:t>הילכך יודעת לשמור גיטה דשוטה סגי אפי' בצרור וזורקו. ואילו קטנה צריכה דעת יותר גדול</w:t>
      </w:r>
      <w:r>
        <w:t>.</w:t>
      </w:r>
    </w:p>
  </w:footnote>
  <w:footnote w:id="7510">
    <w:p w14:paraId="308E95F8" w14:textId="77777777" w:rsidR="006C4368" w:rsidRDefault="006C4368" w:rsidP="006C4368">
      <w:pPr>
        <w:pStyle w:val="Footnote"/>
        <w:bidi/>
      </w:pPr>
      <w:r>
        <w:rPr>
          <w:rStyle w:val="ac"/>
        </w:rPr>
        <w:footnoteRef/>
      </w:r>
      <w:r>
        <w:rPr>
          <w:rtl/>
        </w:rPr>
        <w:t>והביא כן מהגמ' (ב"ב קנו) גבי גדול בן עשרים אפי' אינו יודע בטיב משא ומתן עדיף למכור בנכסי אביו דפחות מבן עשרים היודע בטיב משא ומתן</w:t>
      </w:r>
      <w:r>
        <w:t>.</w:t>
      </w:r>
    </w:p>
  </w:footnote>
  <w:footnote w:id="7511">
    <w:p w14:paraId="691C12B9" w14:textId="77777777" w:rsidR="006C4368" w:rsidRDefault="006C4368" w:rsidP="006C4368">
      <w:pPr>
        <w:pStyle w:val="Footnote"/>
        <w:bidi/>
      </w:pPr>
      <w:r>
        <w:rPr>
          <w:rStyle w:val="ac"/>
        </w:rPr>
        <w:footnoteRef/>
      </w:r>
      <w:r>
        <w:rPr>
          <w:rtl/>
        </w:rPr>
        <w:t>דצורת המעשה שיהא באופן שלא תהא חוזרת [וע"ע בהמשך העמ']</w:t>
      </w:r>
      <w:r>
        <w:t>.</w:t>
      </w:r>
    </w:p>
  </w:footnote>
  <w:footnote w:id="7512">
    <w:p w14:paraId="750735EB" w14:textId="77777777" w:rsidR="006C4368" w:rsidRDefault="006C4368" w:rsidP="006C4368">
      <w:pPr>
        <w:pStyle w:val="Footnote"/>
        <w:bidi/>
      </w:pPr>
      <w:r>
        <w:rPr>
          <w:rStyle w:val="ac"/>
        </w:rPr>
        <w:footnoteRef/>
      </w:r>
      <w:r>
        <w:rPr>
          <w:rtl/>
        </w:rPr>
        <w:t>ו</w:t>
      </w:r>
      <w:r>
        <w:rPr>
          <w:b/>
          <w:bCs/>
          <w:rtl/>
        </w:rPr>
        <w:t>תוס'</w:t>
      </w:r>
      <w:r>
        <w:rPr>
          <w:rtl/>
        </w:rPr>
        <w:t xml:space="preserve"> הביא דבגמ' (גיטין עא:) דייקו עולמית גבי נתחרש, אע"פ שיכול לדבר מתוך הכתב. ותרוייהו איתנהו. אבל </w:t>
      </w:r>
      <w:r>
        <w:rPr>
          <w:b/>
          <w:bCs/>
          <w:rtl/>
        </w:rPr>
        <w:t>ראבי"ה</w:t>
      </w:r>
      <w:r>
        <w:rPr>
          <w:rtl/>
        </w:rPr>
        <w:t xml:space="preserve"> (שו"ת תתקכא) כת' דר' יוחנן (שם) פליג אסוגיין, וסבר דלא גזרו רבנן באינה יודעת לשמור עצמה. ול”ל דר' יצחק</w:t>
      </w:r>
      <w:r>
        <w:t xml:space="preserve">.  </w:t>
      </w:r>
    </w:p>
  </w:footnote>
  <w:footnote w:id="7513">
    <w:p w14:paraId="30AC7C19" w14:textId="77777777" w:rsidR="006C4368" w:rsidRDefault="006C4368" w:rsidP="006C4368">
      <w:pPr>
        <w:pStyle w:val="Footnote"/>
        <w:bidi/>
      </w:pPr>
      <w:r>
        <w:rPr>
          <w:rStyle w:val="ac"/>
        </w:rPr>
        <w:footnoteRef/>
      </w:r>
      <w:r>
        <w:rPr>
          <w:rtl/>
        </w:rPr>
        <w:t>וה</w:t>
      </w:r>
      <w:r>
        <w:rPr>
          <w:b/>
          <w:bCs/>
          <w:rtl/>
        </w:rPr>
        <w:t>ריטב”א</w:t>
      </w:r>
      <w:r>
        <w:rPr>
          <w:rtl/>
        </w:rPr>
        <w:t xml:space="preserve"> ביאר לשון חכמים לפ"ז, כלומר אינו דומה האיש הזה שאנו דנין בו לאשה שאתה מביא לראיה עלינו</w:t>
      </w:r>
      <w:r>
        <w:t>.</w:t>
      </w:r>
    </w:p>
  </w:footnote>
  <w:footnote w:id="7514">
    <w:p w14:paraId="64218B25" w14:textId="77777777" w:rsidR="006C4368" w:rsidRDefault="006C4368" w:rsidP="006C4368">
      <w:pPr>
        <w:pStyle w:val="Footnote"/>
        <w:bidi/>
      </w:pPr>
      <w:r>
        <w:rPr>
          <w:rStyle w:val="ac"/>
        </w:rPr>
        <w:footnoteRef/>
      </w:r>
      <w:r>
        <w:rPr>
          <w:rtl/>
        </w:rPr>
        <w:t>וה</w:t>
      </w:r>
      <w:r>
        <w:rPr>
          <w:b/>
          <w:bCs/>
          <w:rtl/>
        </w:rPr>
        <w:t>אבנ"מ</w:t>
      </w:r>
      <w:r>
        <w:rPr>
          <w:rtl/>
        </w:rPr>
        <w:t xml:space="preserve"> (קלו ב) נקט דע"י שהעדים אומרים לאשה אח"כ מתגרשת למפרע. אבל התור"ג (קלו ה) כת' דאי"צ כשהעדים יגידו בפועל </w:t>
      </w:r>
      <w:r>
        <w:rPr>
          <w:rFonts w:ascii="Narkisim" w:eastAsia="Narkisim" w:hAnsi="Narkisim"/>
          <w:rtl/>
        </w:rPr>
        <w:t>שבשעת גירושין היה עומד להתברר ולהתפרסם, ועי"ז נחשב משלחה ואינה חוזרת</w:t>
      </w:r>
      <w:r>
        <w:rPr>
          <w:rFonts w:ascii="Narkisim" w:eastAsia="Narkisim" w:hAnsi="Narkisim"/>
        </w:rPr>
        <w:t>.</w:t>
      </w:r>
    </w:p>
  </w:footnote>
  <w:footnote w:id="7515">
    <w:p w14:paraId="75E3EFE4" w14:textId="77777777" w:rsidR="006C4368" w:rsidRDefault="006C4368" w:rsidP="006C4368">
      <w:pPr>
        <w:pStyle w:val="Footnote"/>
        <w:bidi/>
      </w:pPr>
      <w:r>
        <w:rPr>
          <w:rStyle w:val="ac"/>
        </w:rPr>
        <w:footnoteRef/>
      </w:r>
      <w:r>
        <w:rPr>
          <w:rtl/>
        </w:rPr>
        <w:t>ויל"ד אמאי לא סגי שקוראת את הגט, ועי”ז יודעת שלא לחזור. וצ"ל דסיבה חיצונית ל"מ, ודוקא העדים שהם חלק מחלות הגירושין. א”נ היכא דתלי באשה לא סגי. [ויש שפי' דהוא דין דהבעל יעשה 'מעשה שילוחין', ואפ”ה מהני העדים שהם חלק ממעשה הגירושין]</w:t>
      </w:r>
      <w:r>
        <w:t>.</w:t>
      </w:r>
    </w:p>
  </w:footnote>
  <w:footnote w:id="7516">
    <w:p w14:paraId="4476FBC8" w14:textId="77777777" w:rsidR="006C4368" w:rsidRDefault="006C4368" w:rsidP="006C4368">
      <w:pPr>
        <w:pStyle w:val="Footnote"/>
        <w:bidi/>
      </w:pPr>
      <w:r>
        <w:rPr>
          <w:rStyle w:val="ac"/>
        </w:rPr>
        <w:footnoteRef/>
      </w:r>
      <w:r>
        <w:rPr>
          <w:rtl/>
        </w:rPr>
        <w:t>וה</w:t>
      </w:r>
      <w:r>
        <w:rPr>
          <w:b/>
          <w:bCs/>
          <w:rtl/>
        </w:rPr>
        <w:t>רמב"ן</w:t>
      </w:r>
      <w:r>
        <w:rPr>
          <w:rtl/>
        </w:rPr>
        <w:t xml:space="preserve"> (שם) הביא בשם ה</w:t>
      </w:r>
      <w:r>
        <w:rPr>
          <w:b/>
          <w:bCs/>
          <w:rtl/>
        </w:rPr>
        <w:t>ספרי</w:t>
      </w:r>
      <w:r>
        <w:rPr>
          <w:rtl/>
        </w:rPr>
        <w:t xml:space="preserve"> ונתן בידה ושלחה מביתו, מכאן אמרו כנסי שט"ח זה אינו גט</w:t>
      </w:r>
      <w:r>
        <w:t>.</w:t>
      </w:r>
    </w:p>
    <w:p w14:paraId="23A60E89" w14:textId="77777777" w:rsidR="006C4368" w:rsidRDefault="006C4368" w:rsidP="006C4368">
      <w:pPr>
        <w:pStyle w:val="Footnote"/>
        <w:bidi/>
      </w:pPr>
      <w:r>
        <w:tab/>
      </w:r>
      <w:r>
        <w:rPr>
          <w:rtl/>
        </w:rPr>
        <w:t>וה</w:t>
      </w:r>
      <w:r>
        <w:rPr>
          <w:b/>
          <w:bCs/>
          <w:rtl/>
        </w:rPr>
        <w:t>רמב"ם</w:t>
      </w:r>
      <w:r>
        <w:rPr>
          <w:rtl/>
        </w:rPr>
        <w:t xml:space="preserve"> (שם א א) כתב י' דברים שהם עיקר הגירושין, שיתננו לה לשם גירושין. וכת' (שם ט) מנין שיתננו לתורת גירושין, שנא' ספר כריתות ונתן בידה, דבעינן נתינה לשם גירושין. אבל אם אמר כנסי שט”ח אינו גט [אף מדאורייתא, וכ”פ השו”ע קלו ה], אא”כ אמר לעדים ראו גט זה וכו'. ומבואר דמהך קרא ילפי' דבעי נתינת גירושין. [אך קצת משמע דסתמא נחשב כמו לשם גירושין]</w:t>
      </w:r>
      <w:r>
        <w:t>.</w:t>
      </w:r>
    </w:p>
  </w:footnote>
  <w:footnote w:id="7517">
    <w:p w14:paraId="3488604F" w14:textId="77777777" w:rsidR="006C4368" w:rsidRDefault="006C4368" w:rsidP="006C4368">
      <w:pPr>
        <w:pStyle w:val="Footnote"/>
        <w:bidi/>
      </w:pPr>
      <w:r>
        <w:rPr>
          <w:rStyle w:val="ac"/>
        </w:rPr>
        <w:footnoteRef/>
      </w:r>
      <w:r>
        <w:rPr>
          <w:rtl/>
        </w:rPr>
        <w:t>משמע דהיכא דנותן בסתם ולא פירש הוה ספק לנו בכוונת הבעל. [אך יל"ד דהגט מצד עצמו מוכיח דהוה גירושין. ועוד דכיון דאין לנו הסבר אחר למעשה זו, ודאי נתכוון לגירושין]</w:t>
      </w:r>
      <w:r>
        <w:t>.</w:t>
      </w:r>
    </w:p>
  </w:footnote>
  <w:footnote w:id="7518">
    <w:p w14:paraId="6EE37590" w14:textId="77777777" w:rsidR="006C4368" w:rsidRDefault="006C4368" w:rsidP="006C4368">
      <w:pPr>
        <w:pStyle w:val="Footnote"/>
        <w:bidi/>
      </w:pPr>
      <w:r>
        <w:rPr>
          <w:rStyle w:val="ac"/>
        </w:rPr>
        <w:footnoteRef/>
      </w:r>
      <w:r>
        <w:rPr>
          <w:rtl/>
        </w:rPr>
        <w:t>וה</w:t>
      </w:r>
      <w:r>
        <w:rPr>
          <w:b/>
          <w:bCs/>
          <w:rtl/>
        </w:rPr>
        <w:t>רמב"ם</w:t>
      </w:r>
      <w:r>
        <w:rPr>
          <w:rtl/>
        </w:rPr>
        <w:t xml:space="preserve"> (גירושין א יא, ושו”ע קלו א) כת' דצריך שיאמר הוא גיטך וכיו"ב, ואם לא אמר לה הגט פסול [מדרבנן]</w:t>
      </w:r>
      <w:r>
        <w:t>.</w:t>
      </w:r>
    </w:p>
    <w:p w14:paraId="2721FE5D" w14:textId="77777777" w:rsidR="006C4368" w:rsidRDefault="006C4368" w:rsidP="006C4368">
      <w:pPr>
        <w:pStyle w:val="Footnote"/>
        <w:bidi/>
      </w:pPr>
      <w:r>
        <w:tab/>
      </w:r>
      <w:r>
        <w:rPr>
          <w:rtl/>
        </w:rPr>
        <w:t>אך ה</w:t>
      </w:r>
      <w:r>
        <w:rPr>
          <w:b/>
          <w:bCs/>
          <w:rtl/>
        </w:rPr>
        <w:t>בעה"מ</w:t>
      </w:r>
      <w:r>
        <w:rPr>
          <w:rtl/>
        </w:rPr>
        <w:t xml:space="preserve"> (גיטין שם) הביא בשם ה</w:t>
      </w:r>
      <w:r>
        <w:rPr>
          <w:b/>
          <w:bCs/>
          <w:rtl/>
        </w:rPr>
        <w:t>ר"א אב"ד</w:t>
      </w:r>
      <w:r>
        <w:rPr>
          <w:rtl/>
        </w:rPr>
        <w:t xml:space="preserve"> דקו' הגמ' (קידושין ו.) מנא ידעה, וכן התי' דבעינן עסוקין באותו ענין, קאי דוקא  בקידושין. אבל בגט לא בעינן עסוקין באותו הענין. [ודוקא כנסי שטר חוב גרע]</w:t>
      </w:r>
      <w:r>
        <w:t>.</w:t>
      </w:r>
    </w:p>
  </w:footnote>
  <w:footnote w:id="7519">
    <w:p w14:paraId="5E2802BC" w14:textId="77777777" w:rsidR="006C4368" w:rsidRDefault="006C4368" w:rsidP="006C4368">
      <w:pPr>
        <w:pStyle w:val="Footnote"/>
        <w:bidi/>
      </w:pPr>
      <w:r>
        <w:rPr>
          <w:rStyle w:val="ac"/>
        </w:rPr>
        <w:footnoteRef/>
      </w:r>
      <w:r>
        <w:rPr>
          <w:rtl/>
        </w:rPr>
        <w:t>וה</w:t>
      </w:r>
      <w:r>
        <w:rPr>
          <w:b/>
          <w:bCs/>
          <w:rtl/>
        </w:rPr>
        <w:t>ריטב”א</w:t>
      </w:r>
      <w:r>
        <w:rPr>
          <w:rtl/>
        </w:rPr>
        <w:t xml:space="preserve"> (כאן) כת' דאמר לעדים לאו דוקא, אלא ה"ה אם היה מדבר עמה על עסקי גטה ונתן לה לאלתר. וכל שלא אמר לעדים כלום וגם לא אמר לה אפילו נתן לה גט סתם אינה מגורשת אם לא היה מדבר עמה על עסקי גטה</w:t>
      </w:r>
      <w:r>
        <w:t>.</w:t>
      </w:r>
    </w:p>
  </w:footnote>
  <w:footnote w:id="7520">
    <w:p w14:paraId="3FFDD50B" w14:textId="77777777" w:rsidR="006C4368" w:rsidRDefault="006C4368" w:rsidP="006C4368">
      <w:pPr>
        <w:pStyle w:val="Footnote"/>
        <w:bidi/>
      </w:pPr>
      <w:r>
        <w:rPr>
          <w:rStyle w:val="ac"/>
        </w:rPr>
        <w:footnoteRef/>
      </w:r>
      <w:r>
        <w:rPr>
          <w:rtl/>
        </w:rPr>
        <w:t>וה</w:t>
      </w:r>
      <w:r>
        <w:rPr>
          <w:b/>
          <w:bCs/>
          <w:rtl/>
        </w:rPr>
        <w:t>ראשונים</w:t>
      </w:r>
      <w:r>
        <w:rPr>
          <w:rtl/>
        </w:rPr>
        <w:t xml:space="preserve"> (מלחמות רשב"א ור"ן גיטין שם) דייקו דבמשנה (שם) איירי דוקא שאמר כנסי שטר חוב, הא סתמא מהני [ואי"צ דיבור]. וביארו דאיירי בעסוקין באותו הענין, ואפ"ה כנסי שטר חוב גרע. [ולדברי הרמב"ם הנ"ל נפק"מ אי הגט פסול או בטל]</w:t>
      </w:r>
      <w:r>
        <w:t>.</w:t>
      </w:r>
    </w:p>
  </w:footnote>
  <w:footnote w:id="7521">
    <w:p w14:paraId="07E2CC4F" w14:textId="77777777" w:rsidR="006C4368" w:rsidRDefault="006C4368" w:rsidP="006C4368">
      <w:pPr>
        <w:pStyle w:val="Footnote"/>
        <w:bidi/>
      </w:pPr>
      <w:r>
        <w:rPr>
          <w:rStyle w:val="ac"/>
        </w:rPr>
        <w:footnoteRef/>
      </w:r>
      <w:r>
        <w:rPr>
          <w:rtl/>
        </w:rPr>
        <w:t>ולפ"ז י"ל דזה בכלל דברי רבא ש"מ דל"צ שיובן הדבר לאשה [וזה כוונת הגמ' דאי"צ דעתה], וסגי שיובן לעדים. [דאילו בפשוטו נידון הגמ' דבעינן 'דעת קנין' בקבלת הגט]</w:t>
      </w:r>
      <w:r>
        <w:t>.</w:t>
      </w:r>
    </w:p>
  </w:footnote>
  <w:footnote w:id="7522">
    <w:p w14:paraId="22C4A6DA" w14:textId="77777777" w:rsidR="006C4368" w:rsidRDefault="006C4368" w:rsidP="006C4368">
      <w:pPr>
        <w:pStyle w:val="Footnote"/>
        <w:bidi/>
      </w:pPr>
      <w:r>
        <w:rPr>
          <w:rStyle w:val="ac"/>
        </w:rPr>
        <w:footnoteRef/>
      </w:r>
      <w:r>
        <w:rPr>
          <w:rtl/>
        </w:rPr>
        <w:t>וכה"ק ה</w:t>
      </w:r>
      <w:r>
        <w:rPr>
          <w:b/>
          <w:bCs/>
          <w:rtl/>
        </w:rPr>
        <w:t>בעה"מ</w:t>
      </w:r>
      <w:r>
        <w:rPr>
          <w:rtl/>
        </w:rPr>
        <w:t xml:space="preserve"> (גיטין שם) דהביא בשם ה</w:t>
      </w:r>
      <w:r>
        <w:rPr>
          <w:b/>
          <w:bCs/>
          <w:rtl/>
        </w:rPr>
        <w:t>ר"א אב"ד</w:t>
      </w:r>
      <w:r>
        <w:rPr>
          <w:rtl/>
        </w:rPr>
        <w:t xml:space="preserve"> דביטל את גוף הגט, והק' דא"כ מה מהני דאח"כ אומר הא גיטך לרב ששת דס"ל דאינו חוזר ומגרש בו. אך ה</w:t>
      </w:r>
      <w:r>
        <w:rPr>
          <w:b/>
          <w:bCs/>
          <w:rtl/>
        </w:rPr>
        <w:t>תוס' הרא"ש</w:t>
      </w:r>
      <w:r>
        <w:rPr>
          <w:rtl/>
        </w:rPr>
        <w:t xml:space="preserve"> (שם) כתב דמהני שאומר אח"כ הא גיטך, וגילה דעתו דלא נתכוון לבטלו</w:t>
      </w:r>
      <w:r>
        <w:t>.</w:t>
      </w:r>
    </w:p>
  </w:footnote>
  <w:footnote w:id="7523">
    <w:p w14:paraId="6D41BCDA" w14:textId="77777777" w:rsidR="006C4368" w:rsidRDefault="006C4368" w:rsidP="006C4368">
      <w:pPr>
        <w:pStyle w:val="Footnote"/>
        <w:bidi/>
      </w:pPr>
      <w:r>
        <w:rPr>
          <w:rStyle w:val="ac"/>
        </w:rPr>
        <w:footnoteRef/>
      </w:r>
      <w:r>
        <w:rPr>
          <w:rtl/>
        </w:rPr>
        <w:t>פ</w:t>
      </w:r>
      <w:r>
        <w:rPr>
          <w:b/>
          <w:bCs/>
          <w:rtl/>
        </w:rPr>
        <w:t>רש"י</w:t>
      </w:r>
      <w:r>
        <w:rPr>
          <w:rtl/>
        </w:rPr>
        <w:t xml:space="preserve"> (קידושין נד:) שכל דבריהם העידו מפי הגדולים והלכה כמותן</w:t>
      </w:r>
      <w:r>
        <w:t>.</w:t>
      </w:r>
    </w:p>
  </w:footnote>
  <w:footnote w:id="7524">
    <w:p w14:paraId="0DF6F83A" w14:textId="77777777" w:rsidR="006C4368" w:rsidRDefault="006C4368" w:rsidP="006C4368">
      <w:pPr>
        <w:pStyle w:val="Footnote"/>
        <w:bidi/>
      </w:pPr>
      <w:r>
        <w:rPr>
          <w:rStyle w:val="ac"/>
        </w:rPr>
        <w:footnoteRef/>
      </w:r>
      <w:r>
        <w:rPr>
          <w:rtl/>
        </w:rPr>
        <w:t xml:space="preserve">וכן </w:t>
      </w:r>
      <w:r>
        <w:rPr>
          <w:b/>
          <w:bCs/>
          <w:rtl/>
        </w:rPr>
        <w:t>רש"י</w:t>
      </w:r>
      <w:r>
        <w:rPr>
          <w:rtl/>
        </w:rPr>
        <w:t xml:space="preserve"> (חולין יח:) כת' [גבי מוגרמת] והכי הלכתא דכל עדות הלכתא היא. [ואף דעדות דר' חנינא בן אנטיגנוס לא הובא במסכת עדיות]. וכן ה</w:t>
      </w:r>
      <w:r>
        <w:rPr>
          <w:b/>
          <w:bCs/>
          <w:rtl/>
        </w:rPr>
        <w:t>מגיד משנה</w:t>
      </w:r>
      <w:r>
        <w:rPr>
          <w:rtl/>
        </w:rPr>
        <w:t xml:space="preserve"> (מלוה יז ב) הביא כלל זה [לפי גירסת ר"ח והרי"ף והירושלמי במשנה שבועות מה. העיד ר' יוחנן בן ברוקה]</w:t>
      </w:r>
      <w:r>
        <w:t>.</w:t>
      </w:r>
    </w:p>
  </w:footnote>
  <w:footnote w:id="7525">
    <w:p w14:paraId="569D7474" w14:textId="77777777" w:rsidR="006C4368" w:rsidRDefault="006C4368" w:rsidP="006C4368">
      <w:pPr>
        <w:pStyle w:val="Footnote"/>
        <w:bidi/>
      </w:pPr>
      <w:r>
        <w:rPr>
          <w:rStyle w:val="ac"/>
        </w:rPr>
        <w:footnoteRef/>
      </w:r>
      <w:r>
        <w:rPr>
          <w:rtl/>
        </w:rPr>
        <w:t>ה</w:t>
      </w:r>
      <w:r>
        <w:rPr>
          <w:b/>
          <w:bCs/>
          <w:rtl/>
        </w:rPr>
        <w:t>פרמ"ג</w:t>
      </w:r>
      <w:r>
        <w:rPr>
          <w:rtl/>
        </w:rPr>
        <w:t xml:space="preserve"> (שמג מ"ז א) הוסיף או כל מי שיש בידו למחות. [דגבי אפרושי מאיסורא ל"מ חילוק בין בי"ד לכל ישראל, וכמ”ש הקצות (משובב ג)]</w:t>
      </w:r>
      <w:r>
        <w:t>.</w:t>
      </w:r>
    </w:p>
  </w:footnote>
  <w:footnote w:id="7526">
    <w:p w14:paraId="7189667F" w14:textId="77777777" w:rsidR="006C4368" w:rsidRDefault="006C4368" w:rsidP="006C4368">
      <w:pPr>
        <w:pStyle w:val="Footnote"/>
        <w:bidi/>
      </w:pPr>
      <w:r>
        <w:rPr>
          <w:rStyle w:val="ac"/>
        </w:rPr>
        <w:footnoteRef/>
      </w:r>
      <w:r>
        <w:rPr>
          <w:rtl/>
        </w:rPr>
        <w:t>והביא דאיירי בסוגיין אף בקטן שהגיע לחינוך, וכדמבואר ב</w:t>
      </w:r>
      <w:r>
        <w:rPr>
          <w:b/>
          <w:bCs/>
          <w:rtl/>
        </w:rPr>
        <w:t>תוס' שאנץ</w:t>
      </w:r>
      <w:r>
        <w:rPr>
          <w:rtl/>
        </w:rPr>
        <w:t xml:space="preserve"> (יומא פב., ובתו”י שם)</w:t>
      </w:r>
      <w:r>
        <w:t>.</w:t>
      </w:r>
    </w:p>
  </w:footnote>
  <w:footnote w:id="7527">
    <w:p w14:paraId="3F2E069B" w14:textId="77777777" w:rsidR="006C4368" w:rsidRDefault="006C4368" w:rsidP="006C4368">
      <w:pPr>
        <w:pStyle w:val="Footnote"/>
        <w:bidi/>
      </w:pPr>
      <w:r>
        <w:rPr>
          <w:rStyle w:val="ac"/>
        </w:rPr>
        <w:footnoteRef/>
      </w:r>
      <w:r>
        <w:rPr>
          <w:rtl/>
        </w:rPr>
        <w:t>ועוד הביא דב</w:t>
      </w:r>
      <w:r>
        <w:rPr>
          <w:b/>
          <w:bCs/>
          <w:rtl/>
        </w:rPr>
        <w:t>רא"ש</w:t>
      </w:r>
      <w:r>
        <w:rPr>
          <w:rtl/>
        </w:rPr>
        <w:t xml:space="preserve"> (ב"ק ח ט) משמע דקטן שהזיק אי"צ לשלם כשגדל. אבל ב</w:t>
      </w:r>
      <w:r>
        <w:rPr>
          <w:b/>
          <w:bCs/>
          <w:rtl/>
        </w:rPr>
        <w:t>הג' אשר”י</w:t>
      </w:r>
      <w:r>
        <w:rPr>
          <w:rtl/>
        </w:rPr>
        <w:t xml:space="preserve"> (שם) כת' דחייב לשלם כשגדל</w:t>
      </w:r>
      <w:r>
        <w:t>.</w:t>
      </w:r>
    </w:p>
  </w:footnote>
  <w:footnote w:id="7528">
    <w:p w14:paraId="63C03482" w14:textId="77777777" w:rsidR="006C4368" w:rsidRDefault="006C4368" w:rsidP="006C4368">
      <w:pPr>
        <w:pStyle w:val="Footnote"/>
        <w:bidi/>
      </w:pPr>
      <w:r>
        <w:rPr>
          <w:rStyle w:val="ac"/>
        </w:rPr>
        <w:footnoteRef/>
      </w:r>
      <w:r>
        <w:rPr>
          <w:rtl/>
        </w:rPr>
        <w:t>צ"ל דכוונתו טעמא דקרא, דהא ילפי' לה מקרא (בסוף העמ'). אבל ה</w:t>
      </w:r>
      <w:r>
        <w:rPr>
          <w:b/>
          <w:bCs/>
          <w:rtl/>
        </w:rPr>
        <w:t>אחיעזר</w:t>
      </w:r>
      <w:r>
        <w:rPr>
          <w:rtl/>
        </w:rPr>
        <w:t xml:space="preserve"> (ג פא ד) כת' דהתה"ד סבר כמ"ד דאיסור ספייה בידים הוה רק מדרבנן, ד'לא תאכילום' קאי דוקא בהנך ג' דילפי' בהו [וע”ע בסוף העמ']</w:t>
      </w:r>
      <w:r>
        <w:t>.</w:t>
      </w:r>
    </w:p>
  </w:footnote>
  <w:footnote w:id="7529">
    <w:p w14:paraId="5FAB5503" w14:textId="77777777" w:rsidR="006C4368" w:rsidRDefault="006C4368" w:rsidP="006C4368">
      <w:pPr>
        <w:pStyle w:val="Footnote"/>
        <w:bidi/>
      </w:pPr>
      <w:r>
        <w:rPr>
          <w:rStyle w:val="ac"/>
        </w:rPr>
        <w:footnoteRef/>
      </w:r>
      <w:r>
        <w:rPr>
          <w:rtl/>
        </w:rPr>
        <w:t>וה</w:t>
      </w:r>
      <w:r>
        <w:rPr>
          <w:b/>
          <w:bCs/>
          <w:rtl/>
        </w:rPr>
        <w:t>אחיעזר</w:t>
      </w:r>
      <w:r>
        <w:rPr>
          <w:rtl/>
        </w:rPr>
        <w:t xml:space="preserve"> (ג פא א) כת' דעפ"ז י"ל דדבר שיהא מותר לכשיגדיל ליכא איסור. ויישב בזה הא דמאכילין יתומה קטנה תרומה בקידושין דרבנן. ואף דמאכילו בידים, כיון דלכשתגדל יהא קידושיה דאורייתא ויהא מותר לאכול [וע”ע בסמוך דהראשונים הק' בזה]</w:t>
      </w:r>
      <w:r>
        <w:t>.</w:t>
      </w:r>
    </w:p>
    <w:p w14:paraId="4AE9429C" w14:textId="77777777" w:rsidR="006C4368" w:rsidRDefault="006C4368" w:rsidP="006C4368">
      <w:pPr>
        <w:pStyle w:val="Footnote"/>
        <w:bidi/>
      </w:pPr>
      <w:r>
        <w:tab/>
      </w:r>
      <w:r>
        <w:rPr>
          <w:rtl/>
        </w:rPr>
        <w:t>ועוד דן באופן ההפוך, מלאכה דלא הוה איסור דאורייתא מחמת דקטן לא נחשב 'צריכה לגופה' וכדו', מ"מ לכשיגדל ייהא איסור דאורייתא, ומש"ה אסור להאכיל לו, שלא ירגיל עצמו</w:t>
      </w:r>
      <w:r>
        <w:t>.</w:t>
      </w:r>
    </w:p>
  </w:footnote>
  <w:footnote w:id="7530">
    <w:p w14:paraId="71AD3170" w14:textId="77777777" w:rsidR="006C4368" w:rsidRDefault="006C4368" w:rsidP="006C4368">
      <w:pPr>
        <w:pStyle w:val="Footnote"/>
        <w:bidi/>
      </w:pPr>
      <w:r>
        <w:rPr>
          <w:rStyle w:val="ac"/>
        </w:rPr>
        <w:footnoteRef/>
      </w:r>
      <w:r>
        <w:rPr>
          <w:rtl/>
        </w:rPr>
        <w:t>וכת' דאף דלהאכיל גדול שהוא שוגג עובר בלפני עוור, ואפי' שהוא אונס. [ומבואר דעבירה באונס נחשב 'מכשול']</w:t>
      </w:r>
      <w:r>
        <w:t>.</w:t>
      </w:r>
    </w:p>
  </w:footnote>
  <w:footnote w:id="7531">
    <w:p w14:paraId="1C4E7C91" w14:textId="77777777" w:rsidR="006C4368" w:rsidRDefault="006C4368" w:rsidP="006C4368">
      <w:pPr>
        <w:pStyle w:val="Footnote"/>
        <w:bidi/>
      </w:pPr>
      <w:r>
        <w:rPr>
          <w:rStyle w:val="ac"/>
        </w:rPr>
        <w:footnoteRef/>
      </w:r>
      <w:r>
        <w:rPr>
          <w:rtl/>
        </w:rPr>
        <w:t>והק' דמ"מ מבואר (סנהדרין שם) דקטן נחשב תקלה וקלון, ודינו כמזיד גמור. ומ"ש דנחשב תקלה ולא נחשב 'מכשול'. ועוד דיש איסור לפני עוור אף היכא דהאוכל שוגג, וכיון דשוגג מקרי 'מכשול' מ”ש קטן</w:t>
      </w:r>
      <w:r>
        <w:t>.</w:t>
      </w:r>
    </w:p>
  </w:footnote>
  <w:footnote w:id="7532">
    <w:p w14:paraId="0A0D894A" w14:textId="77777777" w:rsidR="006C4368" w:rsidRDefault="006C4368" w:rsidP="006C4368">
      <w:pPr>
        <w:pStyle w:val="Footnote"/>
        <w:bidi/>
      </w:pPr>
      <w:r>
        <w:rPr>
          <w:rStyle w:val="ac"/>
        </w:rPr>
        <w:footnoteRef/>
      </w:r>
      <w:r>
        <w:rPr>
          <w:rtl/>
        </w:rPr>
        <w:t>וב</w:t>
      </w:r>
      <w:r>
        <w:rPr>
          <w:b/>
          <w:bCs/>
          <w:rtl/>
        </w:rPr>
        <w:t>שו"ת הריטב"א</w:t>
      </w:r>
      <w:r>
        <w:rPr>
          <w:rtl/>
        </w:rPr>
        <w:t xml:space="preserve"> (צז) כת' דאפשר דקטן לא מחייב כלל, וכי מחייב נמי חיוביא דידיה קליש ולא מיעניש עליה כלל, ואין החיוב הגמור אלא עלינו. [יל"ד אי קאי בכל איסורין, או דקאי אקונמות דרבנן]</w:t>
      </w:r>
      <w:r>
        <w:t>.</w:t>
      </w:r>
    </w:p>
  </w:footnote>
  <w:footnote w:id="7533">
    <w:p w14:paraId="4458A1B7" w14:textId="77777777" w:rsidR="006C4368" w:rsidRDefault="006C4368" w:rsidP="006C4368">
      <w:pPr>
        <w:pStyle w:val="Footnote"/>
        <w:bidi/>
      </w:pPr>
      <w:r>
        <w:rPr>
          <w:rStyle w:val="ac"/>
        </w:rPr>
        <w:footnoteRef/>
      </w:r>
      <w:r>
        <w:rPr>
          <w:rtl/>
        </w:rPr>
        <w:t>וה</w:t>
      </w:r>
      <w:r>
        <w:rPr>
          <w:b/>
          <w:bCs/>
          <w:rtl/>
        </w:rPr>
        <w:t>קובה"ע</w:t>
      </w:r>
      <w:r>
        <w:rPr>
          <w:rtl/>
        </w:rPr>
        <w:t xml:space="preserve"> (בסוגריים) הק' דמ"מ יחשב עצה שאינה הוגנת משום דיש בו סיבת האיסור. ומש"ה יעבור משום לפני עוור</w:t>
      </w:r>
      <w:r>
        <w:t>.</w:t>
      </w:r>
    </w:p>
  </w:footnote>
  <w:footnote w:id="7534">
    <w:p w14:paraId="1740CE69" w14:textId="77777777" w:rsidR="006C4368" w:rsidRDefault="006C4368" w:rsidP="006C4368">
      <w:pPr>
        <w:pStyle w:val="Footnote"/>
        <w:bidi/>
      </w:pPr>
      <w:r>
        <w:rPr>
          <w:rStyle w:val="ac"/>
        </w:rPr>
        <w:footnoteRef/>
      </w:r>
      <w:r>
        <w:rPr>
          <w:rtl/>
        </w:rPr>
        <w:t>ובא לפרש דשורש הספק בגדרי החיוב להפרישו, ולא בדין הקטן באיסורין</w:t>
      </w:r>
      <w:r>
        <w:t>.</w:t>
      </w:r>
    </w:p>
  </w:footnote>
  <w:footnote w:id="7535">
    <w:p w14:paraId="2C3B5F52" w14:textId="77777777" w:rsidR="006C4368" w:rsidRDefault="006C4368" w:rsidP="006C4368">
      <w:pPr>
        <w:pStyle w:val="Footnote"/>
        <w:bidi/>
      </w:pPr>
      <w:r>
        <w:rPr>
          <w:rStyle w:val="ac"/>
        </w:rPr>
        <w:footnoteRef/>
      </w:r>
      <w:r>
        <w:rPr>
          <w:rtl/>
        </w:rPr>
        <w:t>אבל לענין כתיבת תפילין וכדו' מבואר דנחשב לאו בר קשירה. [וע' קובה"ע מש"כ בזה]. ולענין כתיבת גט נח' בזה תי' התוס' (גיטין כב:)</w:t>
      </w:r>
      <w:r>
        <w:t>.</w:t>
      </w:r>
    </w:p>
  </w:footnote>
  <w:footnote w:id="7536">
    <w:p w14:paraId="7CC4AA12" w14:textId="77777777" w:rsidR="006C4368" w:rsidRDefault="006C4368" w:rsidP="006C4368">
      <w:pPr>
        <w:pStyle w:val="Footnote"/>
        <w:bidi/>
      </w:pPr>
      <w:r>
        <w:rPr>
          <w:rStyle w:val="ac"/>
        </w:rPr>
        <w:footnoteRef/>
      </w:r>
      <w:r>
        <w:rPr>
          <w:rtl/>
        </w:rPr>
        <w:t>וה</w:t>
      </w:r>
      <w:r>
        <w:rPr>
          <w:b/>
          <w:bCs/>
          <w:rtl/>
        </w:rPr>
        <w:t>ש"ך</w:t>
      </w:r>
      <w:r>
        <w:rPr>
          <w:rtl/>
        </w:rPr>
        <w:t xml:space="preserve"> (יו"ד א כז) עמד בזה, וכת' דקטן מצווה שהרי אסור לו לאכול בלא שחיטה. [וצ"ב כוונתו]. וב</w:t>
      </w:r>
      <w:r>
        <w:rPr>
          <w:b/>
          <w:bCs/>
          <w:rtl/>
        </w:rPr>
        <w:t>שו"ת מהרי"ל</w:t>
      </w:r>
      <w:r>
        <w:rPr>
          <w:rtl/>
        </w:rPr>
        <w:t xml:space="preserve"> (קצו) כת' דחרש ושוטה בני מצוה נינהו, ופקחים מוזהרים עליהם. וה</w:t>
      </w:r>
      <w:r>
        <w:rPr>
          <w:b/>
          <w:bCs/>
          <w:rtl/>
        </w:rPr>
        <w:t>תבואות שור</w:t>
      </w:r>
      <w:r>
        <w:rPr>
          <w:rtl/>
        </w:rPr>
        <w:t xml:space="preserve"> (א מט) הביא דמבואר (סנהדרין נה:) דקטן שעושה עבירה הוה תקלה, אלא דרחמנא חס</w:t>
      </w:r>
      <w:r>
        <w:t>.</w:t>
      </w:r>
    </w:p>
  </w:footnote>
  <w:footnote w:id="7537">
    <w:p w14:paraId="1FBD7A37" w14:textId="77777777" w:rsidR="006C4368" w:rsidRDefault="006C4368" w:rsidP="006C4368">
      <w:pPr>
        <w:pStyle w:val="Footnote"/>
        <w:bidi/>
      </w:pPr>
      <w:r>
        <w:rPr>
          <w:rStyle w:val="ac"/>
        </w:rPr>
        <w:footnoteRef/>
      </w:r>
      <w:r>
        <w:rPr>
          <w:rtl/>
        </w:rPr>
        <w:t>וה</w:t>
      </w:r>
      <w:r>
        <w:rPr>
          <w:b/>
          <w:bCs/>
          <w:rtl/>
        </w:rPr>
        <w:t>נוב"י</w:t>
      </w:r>
      <w:r>
        <w:rPr>
          <w:rtl/>
        </w:rPr>
        <w:t xml:space="preserve"> (ת או"ח א) תי' דאסור לנו להאכילו בידים. אך כת' דכ"ז אי הוה איסור דאורייתא. והק' לדעת ה</w:t>
      </w:r>
      <w:r>
        <w:rPr>
          <w:b/>
          <w:bCs/>
          <w:rtl/>
        </w:rPr>
        <w:t>ראשונים</w:t>
      </w:r>
      <w:r>
        <w:rPr>
          <w:rtl/>
        </w:rPr>
        <w:t xml:space="preserve"> (ע' בסוף העמ') דבשאר איסורים אין איסור להאכיל בידים. והנוב"י כת' דאף לצד דאינו בכלל לא תאכילום, ודאי יש בזה איסור דאורייתא. וכת' דסברא הוא דאסור להאכיל בידים</w:t>
      </w:r>
      <w:r>
        <w:t>.</w:t>
      </w:r>
    </w:p>
    <w:p w14:paraId="43064541" w14:textId="77777777" w:rsidR="006C4368" w:rsidRDefault="006C4368" w:rsidP="006C4368">
      <w:pPr>
        <w:pStyle w:val="Footnote"/>
        <w:bidi/>
      </w:pPr>
      <w:r>
        <w:rPr>
          <w:rtl/>
        </w:rPr>
        <w:tab/>
        <w:t>וב</w:t>
      </w:r>
      <w:r>
        <w:rPr>
          <w:b/>
          <w:bCs/>
          <w:rtl/>
        </w:rPr>
        <w:t>ס' שם אריה</w:t>
      </w:r>
      <w:r>
        <w:rPr>
          <w:rtl/>
        </w:rPr>
        <w:t xml:space="preserve"> (הו' באחיעזר ג פא יב) תי' דילפי' מדכתיב בנבילה לגר אשר בשעריך תתננה ואכלה, מבואר דלקטן אסור להאכילו.</w:t>
      </w:r>
    </w:p>
  </w:footnote>
  <w:footnote w:id="7538">
    <w:p w14:paraId="629BAE12" w14:textId="77777777" w:rsidR="006C4368" w:rsidRDefault="006C4368" w:rsidP="006C4368">
      <w:pPr>
        <w:pStyle w:val="Footnote"/>
        <w:bidi/>
      </w:pPr>
      <w:r>
        <w:rPr>
          <w:rStyle w:val="ac"/>
        </w:rPr>
        <w:footnoteRef/>
      </w:r>
      <w:r>
        <w:rPr>
          <w:rtl/>
        </w:rPr>
        <w:t>וב</w:t>
      </w:r>
      <w:r>
        <w:rPr>
          <w:b/>
          <w:bCs/>
          <w:rtl/>
        </w:rPr>
        <w:t>הג' ברוך טעם</w:t>
      </w:r>
      <w:r>
        <w:rPr>
          <w:rtl/>
        </w:rPr>
        <w:t xml:space="preserve"> (לנוב"י או"ח ת א) תי' דוקשרתם תלי במה שמחוייב לקשור, ואף משום מצוות חינוך דאביו מחוייב שיניח תפילין הוא אינו מחוייב. אבל 'וזבחת' לא תלי במצווה, אלא במה שהוא זבוח אצלו</w:t>
      </w:r>
      <w:r>
        <w:t>.</w:t>
      </w:r>
    </w:p>
    <w:p w14:paraId="0971D21E" w14:textId="77777777" w:rsidR="006C4368" w:rsidRDefault="006C4368" w:rsidP="006C4368">
      <w:pPr>
        <w:pStyle w:val="Footnote"/>
        <w:bidi/>
      </w:pPr>
      <w:r>
        <w:tab/>
      </w:r>
      <w:r>
        <w:rPr>
          <w:rtl/>
        </w:rPr>
        <w:t>וה</w:t>
      </w:r>
      <w:r>
        <w:rPr>
          <w:b/>
          <w:bCs/>
          <w:rtl/>
        </w:rPr>
        <w:t>אחיעזר</w:t>
      </w:r>
      <w:r>
        <w:rPr>
          <w:rtl/>
        </w:rPr>
        <w:t xml:space="preserve"> (ג פא יב) תי' דקטן הוא בר זביחה לכשיגדל, וחילק ד'בר קשירה' תלי בהא דמצווה כל יום ויום להניח תפילין. וקטן אינו מצווה עדיין. אבל שחיטה סגי בהא דמצווה כשיגדל. ועוד דנבילה זו עצמה תיאסר על הקטן לכשיגדל, משא”כ בתפילין מה שיהא בר חיוב מחר ל"מ כלל להיום</w:t>
      </w:r>
      <w:r>
        <w:t>.</w:t>
      </w:r>
    </w:p>
  </w:footnote>
  <w:footnote w:id="7539">
    <w:p w14:paraId="6E9679C0" w14:textId="77777777" w:rsidR="006C4368" w:rsidRDefault="006C4368" w:rsidP="006C4368">
      <w:pPr>
        <w:pStyle w:val="Footnote"/>
        <w:bidi/>
      </w:pPr>
      <w:r>
        <w:rPr>
          <w:rStyle w:val="ac"/>
        </w:rPr>
        <w:footnoteRef/>
      </w:r>
      <w:r>
        <w:rPr>
          <w:rtl/>
        </w:rPr>
        <w:t>וה</w:t>
      </w:r>
      <w:r>
        <w:rPr>
          <w:b/>
          <w:bCs/>
          <w:rtl/>
        </w:rPr>
        <w:t>רמב"ם</w:t>
      </w:r>
      <w:r>
        <w:rPr>
          <w:rtl/>
        </w:rPr>
        <w:t xml:space="preserve"> (מאכ"א יז כז) כת' וכן אסור להרגילו בחילול שבת ומועד, ואפי' בדברים שהן משום שבות. [ומשמע שם דשייך לאיסור להאכילו]</w:t>
      </w:r>
      <w:r>
        <w:t>.</w:t>
      </w:r>
    </w:p>
  </w:footnote>
  <w:footnote w:id="7540">
    <w:p w14:paraId="1DC9A513" w14:textId="77777777" w:rsidR="006C4368" w:rsidRDefault="006C4368" w:rsidP="006C4368">
      <w:pPr>
        <w:pStyle w:val="Footnote"/>
        <w:bidi/>
      </w:pPr>
      <w:r>
        <w:rPr>
          <w:rStyle w:val="ac"/>
        </w:rPr>
        <w:footnoteRef/>
      </w:r>
      <w:r>
        <w:rPr>
          <w:rtl/>
        </w:rPr>
        <w:t>כפי כחו של קטן</w:t>
      </w:r>
      <w:r>
        <w:t>.</w:t>
      </w:r>
    </w:p>
  </w:footnote>
  <w:footnote w:id="7541">
    <w:p w14:paraId="5BCE9A26" w14:textId="77777777" w:rsidR="006C4368" w:rsidRDefault="006C4368" w:rsidP="006C4368">
      <w:pPr>
        <w:pStyle w:val="Footnote"/>
        <w:bidi/>
      </w:pPr>
      <w:r>
        <w:rPr>
          <w:rStyle w:val="ac"/>
        </w:rPr>
        <w:footnoteRef/>
      </w:r>
      <w:r>
        <w:rPr>
          <w:rtl/>
        </w:rPr>
        <w:t>ויל"ד דהתם לכאורה מאכילו בידים, דודאי אסור בקטן. וכדאי' בסוף העמ</w:t>
      </w:r>
      <w:r>
        <w:t>'.</w:t>
      </w:r>
    </w:p>
  </w:footnote>
  <w:footnote w:id="7542">
    <w:p w14:paraId="1FFC9240" w14:textId="77777777" w:rsidR="006C4368" w:rsidRDefault="006C4368" w:rsidP="006C4368">
      <w:pPr>
        <w:pStyle w:val="Footnote"/>
        <w:bidi/>
      </w:pPr>
      <w:r>
        <w:rPr>
          <w:rStyle w:val="ac"/>
        </w:rPr>
        <w:footnoteRef/>
      </w:r>
      <w:r>
        <w:rPr>
          <w:rtl/>
        </w:rPr>
        <w:t>ו</w:t>
      </w:r>
      <w:r>
        <w:rPr>
          <w:b/>
          <w:bCs/>
          <w:rtl/>
        </w:rPr>
        <w:t>תוס'</w:t>
      </w:r>
      <w:r>
        <w:rPr>
          <w:rtl/>
        </w:rPr>
        <w:t xml:space="preserve"> הק' דהגמ' (בסמוך) גבי תינוק יונק מדייקת דגדול אסור, משמע דדוקא גדול ממש, אבל קטן אפי' בהגיע לחינוך שרי [ואין בזה משום חינוך]. ותוס' דחו דלמסקנא התם איירי בתינוק המסוכן אצל חלב, ולא איירי בהגיע לחינוך</w:t>
      </w:r>
      <w:r>
        <w:t>.</w:t>
      </w:r>
    </w:p>
  </w:footnote>
  <w:footnote w:id="7543">
    <w:p w14:paraId="3783710D" w14:textId="77777777" w:rsidR="006C4368" w:rsidRDefault="006C4368" w:rsidP="006C4368">
      <w:pPr>
        <w:pStyle w:val="Footnote"/>
        <w:bidi/>
      </w:pPr>
      <w:r>
        <w:rPr>
          <w:rStyle w:val="ac"/>
        </w:rPr>
        <w:footnoteRef/>
      </w:r>
      <w:r>
        <w:rPr>
          <w:rtl/>
        </w:rPr>
        <w:t>וה</w:t>
      </w:r>
      <w:r>
        <w:rPr>
          <w:b/>
          <w:bCs/>
          <w:rtl/>
        </w:rPr>
        <w:t>אחרונים</w:t>
      </w:r>
      <w:r>
        <w:rPr>
          <w:rtl/>
        </w:rPr>
        <w:t xml:space="preserve"> תי' דהתם מותר מדרבנן משום דאתי נישואין דרבנן ומתיר. ומש"ה ליכא מצוות חינוך דרבנן</w:t>
      </w:r>
      <w:r>
        <w:t>.</w:t>
      </w:r>
    </w:p>
  </w:footnote>
  <w:footnote w:id="7544">
    <w:p w14:paraId="4894C45B" w14:textId="77777777" w:rsidR="006C4368" w:rsidRDefault="006C4368" w:rsidP="006C4368">
      <w:pPr>
        <w:pStyle w:val="Footnote"/>
        <w:bidi/>
      </w:pPr>
      <w:r>
        <w:rPr>
          <w:rStyle w:val="ac"/>
        </w:rPr>
        <w:footnoteRef/>
      </w:r>
      <w:r>
        <w:rPr>
          <w:rtl/>
        </w:rPr>
        <w:t>ולעולם קטן שהגיע לחינוך בי"ד חייבין מדרבנן להפרישו מנבלות ואיסורים, והביא דכ"ד ה</w:t>
      </w:r>
      <w:r>
        <w:rPr>
          <w:b/>
          <w:bCs/>
          <w:rtl/>
        </w:rPr>
        <w:t>רא"ה</w:t>
      </w:r>
      <w:r>
        <w:rPr>
          <w:rtl/>
        </w:rPr>
        <w:t xml:space="preserve"> בשם ה</w:t>
      </w:r>
      <w:r>
        <w:rPr>
          <w:b/>
          <w:bCs/>
          <w:rtl/>
        </w:rPr>
        <w:t>רמב"ן</w:t>
      </w:r>
      <w:r>
        <w:t>.</w:t>
      </w:r>
    </w:p>
  </w:footnote>
  <w:footnote w:id="7545">
    <w:p w14:paraId="0E3DBF96" w14:textId="77777777" w:rsidR="006C4368" w:rsidRDefault="006C4368" w:rsidP="006C4368">
      <w:pPr>
        <w:pStyle w:val="Footnote"/>
        <w:bidi/>
      </w:pPr>
      <w:r>
        <w:rPr>
          <w:rStyle w:val="ac"/>
        </w:rPr>
        <w:footnoteRef/>
      </w:r>
      <w:r>
        <w:rPr>
          <w:rtl/>
        </w:rPr>
        <w:t>וה</w:t>
      </w:r>
      <w:r>
        <w:rPr>
          <w:b/>
          <w:bCs/>
          <w:rtl/>
        </w:rPr>
        <w:t>תה"ד</w:t>
      </w:r>
      <w:r>
        <w:rPr>
          <w:rtl/>
        </w:rPr>
        <w:t xml:space="preserve"> (צד) כת' דודאי איסור לאו חמיר מאיסור עשה, כדאי' (לעיל ז. וסוף יומא), ומ"מ חינוך נאמר דוקא במצות עשה, שצריך אזהרה טפי מאיסור לאו שהוא שב ואל תעשה</w:t>
      </w:r>
      <w:r>
        <w:t>.</w:t>
      </w:r>
    </w:p>
  </w:footnote>
  <w:footnote w:id="7546">
    <w:p w14:paraId="71EB9FE0" w14:textId="77777777" w:rsidR="006C4368" w:rsidRDefault="006C4368" w:rsidP="006C4368">
      <w:pPr>
        <w:pStyle w:val="Footnote"/>
        <w:bidi/>
      </w:pPr>
      <w:r>
        <w:rPr>
          <w:rStyle w:val="ac"/>
        </w:rPr>
        <w:footnoteRef/>
      </w:r>
      <w:r>
        <w:rPr>
          <w:rtl/>
        </w:rPr>
        <w:t>והביא דה</w:t>
      </w:r>
      <w:r>
        <w:rPr>
          <w:b/>
          <w:bCs/>
          <w:rtl/>
        </w:rPr>
        <w:t>רמב"ם</w:t>
      </w:r>
      <w:r>
        <w:rPr>
          <w:rtl/>
        </w:rPr>
        <w:t xml:space="preserve"> (הל' יו"ט א ב) כת' דכל השובת ממלאכת עבודה קיים מצות עשה, שהרי נאמר בהם שבתון כלומר שבות (וכדאי' שבת כד:). וכמו כן בשבת</w:t>
      </w:r>
      <w:r>
        <w:t>.</w:t>
      </w:r>
    </w:p>
  </w:footnote>
  <w:footnote w:id="7547">
    <w:p w14:paraId="77615207" w14:textId="77777777" w:rsidR="006C4368" w:rsidRDefault="006C4368" w:rsidP="006C4368">
      <w:pPr>
        <w:pStyle w:val="Footnote"/>
        <w:bidi/>
      </w:pPr>
      <w:r>
        <w:rPr>
          <w:rStyle w:val="ac"/>
        </w:rPr>
        <w:footnoteRef/>
      </w:r>
      <w:r>
        <w:rPr>
          <w:rtl/>
        </w:rPr>
        <w:t>ועד"ז יש שהק' דבנבילה יש איסור עשה דאינו זבוח (ע' תוס' שבועות כד.). ועוד דבכל התורה יש עשה והתקדשתם (וכדאי' לעיל כ:)</w:t>
      </w:r>
      <w:r>
        <w:t>.</w:t>
      </w:r>
    </w:p>
  </w:footnote>
  <w:footnote w:id="7548">
    <w:p w14:paraId="6B94C7E8" w14:textId="77777777" w:rsidR="006C4368" w:rsidRDefault="006C4368" w:rsidP="006C4368">
      <w:pPr>
        <w:pStyle w:val="Footnote"/>
        <w:bidi/>
      </w:pPr>
      <w:r>
        <w:rPr>
          <w:rStyle w:val="ac"/>
        </w:rPr>
        <w:footnoteRef/>
      </w:r>
      <w:r>
        <w:rPr>
          <w:rtl/>
        </w:rPr>
        <w:t>אך לשון ה</w:t>
      </w:r>
      <w:r>
        <w:rPr>
          <w:b/>
          <w:bCs/>
          <w:rtl/>
        </w:rPr>
        <w:t>רמב"ם</w:t>
      </w:r>
      <w:r>
        <w:rPr>
          <w:rtl/>
        </w:rPr>
        <w:t xml:space="preserve"> (הל' יו"ט הנ"ל) דהוה מצוות עשה חיובי לשבות</w:t>
      </w:r>
      <w:r>
        <w:t>.</w:t>
      </w:r>
    </w:p>
  </w:footnote>
  <w:footnote w:id="7549">
    <w:p w14:paraId="45C608BD" w14:textId="77777777" w:rsidR="006C4368" w:rsidRDefault="006C4368" w:rsidP="006C4368">
      <w:pPr>
        <w:pStyle w:val="Footnote"/>
        <w:bidi/>
      </w:pPr>
      <w:r>
        <w:rPr>
          <w:rStyle w:val="ac"/>
        </w:rPr>
        <w:footnoteRef/>
      </w:r>
      <w:r>
        <w:rPr>
          <w:rtl/>
        </w:rPr>
        <w:t>וה</w:t>
      </w:r>
      <w:r>
        <w:rPr>
          <w:b/>
          <w:bCs/>
          <w:rtl/>
        </w:rPr>
        <w:t>תה"ד</w:t>
      </w:r>
      <w:r>
        <w:rPr>
          <w:rtl/>
        </w:rPr>
        <w:t xml:space="preserve"> (צד) הביא דמוכח מדברי ר"י שהאב חייב להפריש בנו שהגיע לחינוך מן האיסור. והביא דכ"ד תוס' (שבת הנ"ל). ודלא כרא"מ</w:t>
      </w:r>
      <w:r>
        <w:t>.</w:t>
      </w:r>
    </w:p>
  </w:footnote>
  <w:footnote w:id="7550">
    <w:p w14:paraId="594A256F" w14:textId="77777777" w:rsidR="006C4368" w:rsidRDefault="006C4368" w:rsidP="006C4368">
      <w:pPr>
        <w:pStyle w:val="Footnote"/>
        <w:bidi/>
      </w:pPr>
      <w:r>
        <w:rPr>
          <w:rStyle w:val="ac"/>
        </w:rPr>
        <w:footnoteRef/>
      </w:r>
      <w:r>
        <w:rPr>
          <w:rtl/>
        </w:rPr>
        <w:t>וה</w:t>
      </w:r>
      <w:r>
        <w:rPr>
          <w:b/>
          <w:bCs/>
          <w:rtl/>
        </w:rPr>
        <w:t>תה"ד</w:t>
      </w:r>
      <w:r>
        <w:rPr>
          <w:rtl/>
        </w:rPr>
        <w:t xml:space="preserve"> (צד) הק' דבמעשה דהילני המלכה (סוכה ב:) מבואר דהושיבה את בניה [הקטנים] בסוכה. ולא אמרי' דרק האב מחוייב משום חינוך</w:t>
      </w:r>
      <w:r>
        <w:t>.</w:t>
      </w:r>
    </w:p>
  </w:footnote>
  <w:footnote w:id="7551">
    <w:p w14:paraId="0C8AE6F3" w14:textId="77777777" w:rsidR="006C4368" w:rsidRDefault="006C4368" w:rsidP="006C4368">
      <w:pPr>
        <w:pStyle w:val="Footnote"/>
        <w:bidi/>
      </w:pPr>
      <w:r>
        <w:rPr>
          <w:rStyle w:val="ac"/>
        </w:rPr>
        <w:footnoteRef/>
      </w:r>
      <w:r>
        <w:rPr>
          <w:rtl/>
        </w:rPr>
        <w:t>אך צ"ע דראיות הגמ' דקטן ע"ד אביו וכו' הוה ע”י אביו. [וכה"ק הריטב"א]</w:t>
      </w:r>
      <w:r>
        <w:t>.</w:t>
      </w:r>
    </w:p>
  </w:footnote>
  <w:footnote w:id="7552">
    <w:p w14:paraId="47CAA0AA" w14:textId="77777777" w:rsidR="006C4368" w:rsidRDefault="006C4368" w:rsidP="006C4368">
      <w:pPr>
        <w:pStyle w:val="Footnote"/>
        <w:bidi/>
      </w:pPr>
      <w:r>
        <w:rPr>
          <w:rStyle w:val="ac"/>
        </w:rPr>
        <w:footnoteRef/>
      </w:r>
      <w:r>
        <w:rPr>
          <w:rtl/>
        </w:rPr>
        <w:t>אבל ה</w:t>
      </w:r>
      <w:r>
        <w:rPr>
          <w:b/>
          <w:bCs/>
          <w:rtl/>
        </w:rPr>
        <w:t>ב”ח</w:t>
      </w:r>
      <w:r>
        <w:rPr>
          <w:rtl/>
        </w:rPr>
        <w:t xml:space="preserve"> (שמג) כת' דבהגיע לחינוך אין חילוק בין בי"ד לאביו, והרמב"ם איירי בלא הגיע לחינוך, ואפ"ה אביו מחנכו משום קדושה</w:t>
      </w:r>
      <w:r>
        <w:t>.</w:t>
      </w:r>
    </w:p>
  </w:footnote>
  <w:footnote w:id="7553">
    <w:p w14:paraId="43826FED" w14:textId="77777777" w:rsidR="006C4368" w:rsidRDefault="006C4368" w:rsidP="006C4368">
      <w:pPr>
        <w:pStyle w:val="Footnote"/>
        <w:bidi/>
      </w:pPr>
      <w:r>
        <w:rPr>
          <w:rStyle w:val="ac"/>
        </w:rPr>
        <w:footnoteRef/>
      </w:r>
      <w:r>
        <w:rPr>
          <w:rtl/>
        </w:rPr>
        <w:t>וציין ל</w:t>
      </w:r>
      <w:r>
        <w:rPr>
          <w:b/>
          <w:bCs/>
          <w:rtl/>
        </w:rPr>
        <w:t>שו"ע</w:t>
      </w:r>
      <w:r>
        <w:rPr>
          <w:rtl/>
        </w:rPr>
        <w:t xml:space="preserve"> (או"ח קו ב) דחייב לחנכו לתפילה</w:t>
      </w:r>
      <w:r>
        <w:t>.</w:t>
      </w:r>
    </w:p>
  </w:footnote>
  <w:footnote w:id="7554">
    <w:p w14:paraId="7E0CAC96" w14:textId="77777777" w:rsidR="006C4368" w:rsidRDefault="006C4368" w:rsidP="006C4368">
      <w:pPr>
        <w:pStyle w:val="Footnote"/>
        <w:bidi/>
      </w:pPr>
      <w:r>
        <w:rPr>
          <w:rStyle w:val="ac"/>
        </w:rPr>
        <w:footnoteRef/>
      </w:r>
      <w:r>
        <w:rPr>
          <w:rtl/>
        </w:rPr>
        <w:t>ותולש וזורק מאן דכר שמיה, פתח במביא וסיים בתולש וזורק</w:t>
      </w:r>
      <w:r>
        <w:t>.</w:t>
      </w:r>
    </w:p>
  </w:footnote>
  <w:footnote w:id="7555">
    <w:p w14:paraId="4746005C" w14:textId="77777777" w:rsidR="006C4368" w:rsidRDefault="006C4368" w:rsidP="006C4368">
      <w:pPr>
        <w:pStyle w:val="Footnote"/>
        <w:bidi/>
      </w:pPr>
      <w:r>
        <w:rPr>
          <w:rStyle w:val="ac"/>
        </w:rPr>
        <w:footnoteRef/>
      </w:r>
      <w:r>
        <w:rPr>
          <w:rtl/>
        </w:rPr>
        <w:t xml:space="preserve">וכת' א"נ לבן עזאי (שבת ה:) דמהלך כעומד דמי ליכא איסורא דאורייתא. [ודלא כמ"ש </w:t>
      </w:r>
      <w:r>
        <w:rPr>
          <w:b/>
          <w:bCs/>
          <w:rtl/>
        </w:rPr>
        <w:t>תוס'</w:t>
      </w:r>
      <w:r>
        <w:rPr>
          <w:rtl/>
        </w:rPr>
        <w:t xml:space="preserve"> (שם ה: בדעת הבבלי) דד' אמות ברה"ר הילכתא גמירי לה, ומהלך כעומד נאמר דוקא להחשב מונח לענין הוצאה]</w:t>
      </w:r>
      <w:r>
        <w:t>.</w:t>
      </w:r>
    </w:p>
  </w:footnote>
  <w:footnote w:id="7556">
    <w:p w14:paraId="6388ABA7" w14:textId="77777777" w:rsidR="006C4368" w:rsidRDefault="006C4368" w:rsidP="006C4368">
      <w:pPr>
        <w:pStyle w:val="Footnote"/>
        <w:bidi/>
      </w:pPr>
      <w:r>
        <w:rPr>
          <w:rStyle w:val="ac"/>
        </w:rPr>
        <w:footnoteRef/>
      </w:r>
      <w:r>
        <w:rPr>
          <w:rtl/>
        </w:rPr>
        <w:t>וה</w:t>
      </w:r>
      <w:r>
        <w:rPr>
          <w:b/>
          <w:bCs/>
          <w:rtl/>
        </w:rPr>
        <w:t>רשב"א</w:t>
      </w:r>
      <w:r>
        <w:rPr>
          <w:rtl/>
        </w:rPr>
        <w:t xml:space="preserve"> כת' דיעקור [מרה"ר] על דעת שיניחנו בפחות מד' אמות, ואח"כ ימלך להכניסו לרה"י [אבל אילו יעקור ע"ד להעביר ד' אמות ברה"ר ונמלך והכניס לרה"י חייב]</w:t>
      </w:r>
      <w:r>
        <w:t>.</w:t>
      </w:r>
    </w:p>
  </w:footnote>
  <w:footnote w:id="7557">
    <w:p w14:paraId="0D2E0488" w14:textId="77777777" w:rsidR="006C4368" w:rsidRDefault="006C4368" w:rsidP="006C4368">
      <w:pPr>
        <w:pStyle w:val="Footnote"/>
        <w:bidi/>
      </w:pPr>
      <w:r>
        <w:rPr>
          <w:rStyle w:val="ac"/>
        </w:rPr>
        <w:footnoteRef/>
      </w:r>
      <w:r>
        <w:rPr>
          <w:rtl/>
        </w:rPr>
        <w:t>וכ"כ ה</w:t>
      </w:r>
      <w:r>
        <w:rPr>
          <w:b/>
          <w:bCs/>
          <w:rtl/>
        </w:rPr>
        <w:t>ריטב"א</w:t>
      </w:r>
      <w:r>
        <w:rPr>
          <w:rtl/>
        </w:rPr>
        <w:t xml:space="preserve"> תולש שהוא מלאכה גמורה שיש בה מעשה גמור לאלתר. וזורק נמי עדיף ממביא, דיתכן עומד לפוש, ודרכו של קטן מעט מעט</w:t>
      </w:r>
      <w:r>
        <w:t>.</w:t>
      </w:r>
    </w:p>
  </w:footnote>
  <w:footnote w:id="7558">
    <w:p w14:paraId="3970873C" w14:textId="77777777" w:rsidR="006C4368" w:rsidRDefault="006C4368" w:rsidP="006C4368">
      <w:pPr>
        <w:pStyle w:val="Footnote"/>
        <w:bidi/>
      </w:pPr>
      <w:r>
        <w:rPr>
          <w:rStyle w:val="ac"/>
        </w:rPr>
        <w:footnoteRef/>
      </w:r>
      <w:r>
        <w:rPr>
          <w:rtl/>
        </w:rPr>
        <w:t>ויישב בזה קו' הראשונים (שבת קנג:) האיך הקילו לתת כיסו לקטן</w:t>
      </w:r>
      <w:r>
        <w:t>.</w:t>
      </w:r>
    </w:p>
  </w:footnote>
  <w:footnote w:id="7559">
    <w:p w14:paraId="2D00DA9F" w14:textId="77777777" w:rsidR="006C4368" w:rsidRDefault="006C4368" w:rsidP="006C4368">
      <w:pPr>
        <w:pStyle w:val="Footnote"/>
        <w:bidi/>
      </w:pPr>
      <w:r>
        <w:rPr>
          <w:rStyle w:val="ac"/>
        </w:rPr>
        <w:footnoteRef/>
      </w:r>
      <w:r>
        <w:rPr>
          <w:rtl/>
        </w:rPr>
        <w:t>וה</w:t>
      </w:r>
      <w:r>
        <w:rPr>
          <w:b/>
          <w:bCs/>
          <w:rtl/>
        </w:rPr>
        <w:t>אחרונים</w:t>
      </w:r>
      <w:r>
        <w:rPr>
          <w:rtl/>
        </w:rPr>
        <w:t xml:space="preserve"> האריכו בזה, ואכמ"ל</w:t>
      </w:r>
      <w:r>
        <w:t>.</w:t>
      </w:r>
    </w:p>
  </w:footnote>
  <w:footnote w:id="7560">
    <w:p w14:paraId="14CFC6BA" w14:textId="77777777" w:rsidR="006C4368" w:rsidRDefault="006C4368" w:rsidP="006C4368">
      <w:pPr>
        <w:pStyle w:val="Footnote"/>
        <w:bidi/>
      </w:pPr>
      <w:r>
        <w:rPr>
          <w:rStyle w:val="ac"/>
        </w:rPr>
        <w:footnoteRef/>
      </w:r>
      <w:r>
        <w:rPr>
          <w:rtl/>
        </w:rPr>
        <w:t>וצ"ע דבסוגיין דימו להדיא הא דמטייל טלי וטליא, להא דאין מצווין להפרישו בכל התורה. וכן בהנך ת"ש</w:t>
      </w:r>
      <w:r>
        <w:t>.</w:t>
      </w:r>
    </w:p>
  </w:footnote>
  <w:footnote w:id="7561">
    <w:p w14:paraId="0207938F" w14:textId="77777777" w:rsidR="006C4368" w:rsidRDefault="006C4368" w:rsidP="006C4368">
      <w:pPr>
        <w:pStyle w:val="Footnote"/>
        <w:bidi/>
      </w:pPr>
      <w:r>
        <w:rPr>
          <w:rStyle w:val="ac"/>
        </w:rPr>
        <w:footnoteRef/>
      </w:r>
      <w:r>
        <w:rPr>
          <w:rtl/>
        </w:rPr>
        <w:t>וה</w:t>
      </w:r>
      <w:r>
        <w:rPr>
          <w:b/>
          <w:bCs/>
          <w:rtl/>
        </w:rPr>
        <w:t>אחיעזר</w:t>
      </w:r>
      <w:r>
        <w:rPr>
          <w:rtl/>
        </w:rPr>
        <w:t xml:space="preserve"> (ג פא בתחילת דבריו) כת' עד"ז ע"פ דברי התה"ד דהדין שלא להאכיל הוא שלא ירגיל כשיגדל, א"כ לא תלי האם בעודו קטן מעשה זה מותר או אסור, אלא האם כשיגדל יהא מלאכה</w:t>
      </w:r>
      <w:r>
        <w:t>.</w:t>
      </w:r>
    </w:p>
  </w:footnote>
  <w:footnote w:id="7562">
    <w:p w14:paraId="77B47B16" w14:textId="77777777" w:rsidR="006C4368" w:rsidRDefault="006C4368" w:rsidP="006C4368">
      <w:pPr>
        <w:pStyle w:val="Footnote"/>
        <w:bidi/>
      </w:pPr>
      <w:r>
        <w:rPr>
          <w:rStyle w:val="ac"/>
        </w:rPr>
        <w:footnoteRef/>
      </w:r>
      <w:r>
        <w:rPr>
          <w:rtl/>
        </w:rPr>
        <w:t>וה</w:t>
      </w:r>
      <w:r>
        <w:rPr>
          <w:b/>
          <w:bCs/>
          <w:rtl/>
        </w:rPr>
        <w:t>אחיעזר</w:t>
      </w:r>
      <w:r>
        <w:rPr>
          <w:rtl/>
        </w:rPr>
        <w:t xml:space="preserve"> ציין ל</w:t>
      </w:r>
      <w:r>
        <w:rPr>
          <w:b/>
          <w:bCs/>
          <w:rtl/>
        </w:rPr>
        <w:t>תוס'</w:t>
      </w:r>
      <w:r>
        <w:rPr>
          <w:rtl/>
        </w:rPr>
        <w:t xml:space="preserve"> (זבחים ב: ד"ה זבחים) דקטן אין לו דעת להבין שהן קדשים, אף דכשר לשחיטת חולין [דיש לו כוונת חתיכה]</w:t>
      </w:r>
      <w:r>
        <w:t>.</w:t>
      </w:r>
    </w:p>
  </w:footnote>
  <w:footnote w:id="7563">
    <w:p w14:paraId="61E2E64A" w14:textId="77777777" w:rsidR="006C4368" w:rsidRDefault="006C4368" w:rsidP="006C4368">
      <w:pPr>
        <w:pStyle w:val="Footnote"/>
        <w:bidi/>
      </w:pPr>
      <w:r>
        <w:rPr>
          <w:rStyle w:val="ac"/>
        </w:rPr>
        <w:footnoteRef/>
      </w:r>
      <w:r>
        <w:rPr>
          <w:rtl/>
        </w:rPr>
        <w:t>וכ"כ ה</w:t>
      </w:r>
      <w:r>
        <w:rPr>
          <w:b/>
          <w:bCs/>
          <w:rtl/>
        </w:rPr>
        <w:t>שיטה לר"ן</w:t>
      </w:r>
      <w:r>
        <w:rPr>
          <w:rtl/>
        </w:rPr>
        <w:t xml:space="preserve"> (שבת קכא.) בשם ה</w:t>
      </w:r>
      <w:r>
        <w:rPr>
          <w:b/>
          <w:bCs/>
          <w:rtl/>
        </w:rPr>
        <w:t>רא"ה</w:t>
      </w:r>
      <w:r>
        <w:rPr>
          <w:rtl/>
        </w:rPr>
        <w:t xml:space="preserve"> שעושה לדעת אביו שאביו עומד על גבו ומסתכל בו והוא כעושה במצותו</w:t>
      </w:r>
      <w:r>
        <w:t>.</w:t>
      </w:r>
    </w:p>
  </w:footnote>
  <w:footnote w:id="7564">
    <w:p w14:paraId="58A999FF" w14:textId="77777777" w:rsidR="006C4368" w:rsidRDefault="006C4368" w:rsidP="006C4368">
      <w:pPr>
        <w:pStyle w:val="Footnote"/>
        <w:bidi/>
      </w:pPr>
      <w:r>
        <w:rPr>
          <w:rStyle w:val="ac"/>
        </w:rPr>
        <w:footnoteRef/>
      </w:r>
      <w:r>
        <w:rPr>
          <w:rtl/>
        </w:rPr>
        <w:t>ובפשוטו סותר לרש"י בסוגיין, אך ה</w:t>
      </w:r>
      <w:r>
        <w:rPr>
          <w:b/>
          <w:bCs/>
          <w:rtl/>
        </w:rPr>
        <w:t>ב"י</w:t>
      </w:r>
      <w:r>
        <w:rPr>
          <w:rtl/>
        </w:rPr>
        <w:t xml:space="preserve"> (בתחילת דבריו) כת' ליישב דכוונת רש"י שכל שאין בו דעת להבחין אם נוח לאביו בכיבוי זה מותר, אף שאביו עומד עליו ומראה לו שנוח לו בכך. [אך שוב יישב דברי רש"י דידן ע"ד רש"י שם]</w:t>
      </w:r>
      <w:r>
        <w:t>.</w:t>
      </w:r>
    </w:p>
  </w:footnote>
  <w:footnote w:id="7565">
    <w:p w14:paraId="7D85A1CD" w14:textId="77777777" w:rsidR="006C4368" w:rsidRDefault="006C4368" w:rsidP="006C4368">
      <w:pPr>
        <w:pStyle w:val="Footnote"/>
        <w:bidi/>
      </w:pPr>
      <w:r>
        <w:rPr>
          <w:rStyle w:val="ac"/>
        </w:rPr>
        <w:footnoteRef/>
      </w:r>
      <w:r>
        <w:rPr>
          <w:rtl/>
        </w:rPr>
        <w:t>וב</w:t>
      </w:r>
      <w:r>
        <w:rPr>
          <w:b/>
          <w:bCs/>
          <w:rtl/>
        </w:rPr>
        <w:t>שיטה לר"ן</w:t>
      </w:r>
      <w:r>
        <w:rPr>
          <w:rtl/>
        </w:rPr>
        <w:t xml:space="preserve"> (הנ"ל) הביא כן בשם </w:t>
      </w:r>
      <w:r>
        <w:rPr>
          <w:b/>
          <w:bCs/>
          <w:rtl/>
        </w:rPr>
        <w:t>ר' יהונתן</w:t>
      </w:r>
      <w:r>
        <w:rPr>
          <w:rtl/>
        </w:rPr>
        <w:t xml:space="preserve"> אם הקטן הוא כל כך בן דעת שיודע שאביו יקללו או יכנו אח"כ כשלא כיבה חייב האב לומר לו אל תכבה. אבל אם הוא קטן כל כך שאינו מכיר דעתו של אב אלא מעצמו עושה אין על אביו למחות בידו. וכת' דכ"נ שפי' </w:t>
      </w:r>
      <w:r>
        <w:rPr>
          <w:b/>
          <w:bCs/>
          <w:rtl/>
        </w:rPr>
        <w:t>רש"י</w:t>
      </w:r>
      <w:r>
        <w:t>.</w:t>
      </w:r>
    </w:p>
  </w:footnote>
  <w:footnote w:id="7566">
    <w:p w14:paraId="0A9D3155" w14:textId="77777777" w:rsidR="006C4368" w:rsidRDefault="006C4368" w:rsidP="006C4368">
      <w:pPr>
        <w:pStyle w:val="Footnote"/>
        <w:bidi/>
      </w:pPr>
      <w:r>
        <w:rPr>
          <w:rStyle w:val="ac"/>
        </w:rPr>
        <w:footnoteRef/>
      </w:r>
      <w:r>
        <w:rPr>
          <w:rtl/>
        </w:rPr>
        <w:t>וכן ה</w:t>
      </w:r>
      <w:r>
        <w:rPr>
          <w:b/>
          <w:bCs/>
          <w:rtl/>
        </w:rPr>
        <w:t>רמב"ן</w:t>
      </w:r>
      <w:r>
        <w:rPr>
          <w:rtl/>
        </w:rPr>
        <w:t xml:space="preserve"> (כ י) הביא אתה ובנך ובתך, הקטנים. הזהירנו בשבת שלא יעשו הבנים הקטנים מלאכה לדעתינו וברצוננו</w:t>
      </w:r>
      <w:r>
        <w:t>.</w:t>
      </w:r>
    </w:p>
    <w:p w14:paraId="4B7A4718" w14:textId="77777777" w:rsidR="006C4368" w:rsidRDefault="006C4368" w:rsidP="006C4368">
      <w:pPr>
        <w:pStyle w:val="Footnote"/>
        <w:bidi/>
      </w:pPr>
      <w:r>
        <w:tab/>
      </w:r>
      <w:r>
        <w:rPr>
          <w:rtl/>
        </w:rPr>
        <w:t>וכן ה</w:t>
      </w:r>
      <w:r>
        <w:rPr>
          <w:b/>
          <w:bCs/>
          <w:rtl/>
        </w:rPr>
        <w:t>יראים</w:t>
      </w:r>
      <w:r>
        <w:rPr>
          <w:rtl/>
        </w:rPr>
        <w:t xml:space="preserve"> (רכו, ובדפו"י קא) כת' דהיינו הא דתנן (שבת קכא) מפני ששביתתו עליך, בקטן העושה לדעת אביו. אבל אביו אינו מוזהר היכא דאינו עושה לדעת אביו, דקי"ל קטן אוכל נבילות ואין בי”ד מצווין להפרישו. דמוקמינן לקרא בקטנים בקטן העושה לדעת אביו שיודע שנוח לו לאביו ומתוך שאביו חפץ בעשותו עושה</w:t>
      </w:r>
      <w:r>
        <w:t>.</w:t>
      </w:r>
    </w:p>
  </w:footnote>
  <w:footnote w:id="7567">
    <w:p w14:paraId="2D064CEB" w14:textId="77777777" w:rsidR="006C4368" w:rsidRDefault="006C4368" w:rsidP="006C4368">
      <w:pPr>
        <w:pStyle w:val="Footnote"/>
        <w:bidi/>
      </w:pPr>
      <w:r>
        <w:rPr>
          <w:rStyle w:val="ac"/>
        </w:rPr>
        <w:footnoteRef/>
      </w:r>
      <w:r>
        <w:rPr>
          <w:rtl/>
        </w:rPr>
        <w:t>וצ"ב כוונתו דאף לא תאכילום הוה דאורייתא (וכדאי' בסוף העמ'). וקצת משמע דאיירי שאינו עושה ממש על דעתו, ולענין בנו סוף סוף הוה מלאכת אביו, ומצווה שבנו לא יעשה מלאכתו [לדעתו]. ואילו אחר הוה רק איסור דרבנן כשעושה ע"ד. דהא דוקא עכו"ם אדעתא דנפשיה התירו</w:t>
      </w:r>
      <w:r>
        <w:t>.</w:t>
      </w:r>
    </w:p>
  </w:footnote>
  <w:footnote w:id="7568">
    <w:p w14:paraId="65C1AE1B" w14:textId="77777777" w:rsidR="006C4368" w:rsidRDefault="006C4368" w:rsidP="006C4368">
      <w:pPr>
        <w:pStyle w:val="Footnote"/>
        <w:bidi/>
      </w:pPr>
      <w:r>
        <w:rPr>
          <w:rStyle w:val="ac"/>
        </w:rPr>
        <w:footnoteRef/>
      </w:r>
      <w:r>
        <w:rPr>
          <w:rtl/>
        </w:rPr>
        <w:t>וכ"כ ה</w:t>
      </w:r>
      <w:r>
        <w:rPr>
          <w:b/>
          <w:bCs/>
          <w:rtl/>
        </w:rPr>
        <w:t>רשב"א</w:t>
      </w:r>
      <w:r>
        <w:rPr>
          <w:rtl/>
        </w:rPr>
        <w:t xml:space="preserve"> דלעולם אין אומרים לו שיאכל ולא נתיר לו לאכול, אלא ששותקין ואוכל. א"נ אפשר דמעמידין אותו סמוך לנבלה כדי שישלח ידו ויאכל דומיא דעובדא דר"י בר ביסנא. [אף דגורם שיאכל, הא לא גילה דעתו דניח"ל]</w:t>
      </w:r>
      <w:r>
        <w:t>.</w:t>
      </w:r>
    </w:p>
    <w:p w14:paraId="524140BC" w14:textId="77777777" w:rsidR="006C4368" w:rsidRDefault="006C4368" w:rsidP="006C4368">
      <w:pPr>
        <w:pStyle w:val="Footnote"/>
        <w:bidi/>
      </w:pPr>
      <w:r>
        <w:tab/>
      </w:r>
      <w:r>
        <w:rPr>
          <w:rtl/>
        </w:rPr>
        <w:t>וכן ה</w:t>
      </w:r>
      <w:r>
        <w:rPr>
          <w:b/>
          <w:bCs/>
          <w:rtl/>
        </w:rPr>
        <w:t>ריטב”א</w:t>
      </w:r>
      <w:r>
        <w:rPr>
          <w:rtl/>
        </w:rPr>
        <w:t xml:space="preserve"> (שבת קכא.) כת' דנהי שאין בי"ד מצווין להפרישו אסור להכין לו או לומר לו שיאכל. והוסיף דאף באיסור דרבנן אסור [וע"ע בסמוך]</w:t>
      </w:r>
      <w:r>
        <w:t>.</w:t>
      </w:r>
    </w:p>
  </w:footnote>
  <w:footnote w:id="7569">
    <w:p w14:paraId="2C5D60F6" w14:textId="77777777" w:rsidR="006C4368" w:rsidRDefault="006C4368" w:rsidP="006C4368">
      <w:pPr>
        <w:pStyle w:val="Footnote"/>
        <w:bidi/>
      </w:pPr>
      <w:r>
        <w:rPr>
          <w:rStyle w:val="ac"/>
        </w:rPr>
        <w:footnoteRef/>
      </w:r>
      <w:r>
        <w:rPr>
          <w:rtl/>
        </w:rPr>
        <w:t>דאף טבל טהור אסור להאכיל לבהמתו, וכדאי' (חולין ז.), משום איסור הנאה של כילוי. ודלא כ</w:t>
      </w:r>
      <w:r>
        <w:rPr>
          <w:b/>
          <w:bCs/>
          <w:rtl/>
        </w:rPr>
        <w:t>רש"י</w:t>
      </w:r>
      <w:r>
        <w:rPr>
          <w:rtl/>
        </w:rPr>
        <w:t xml:space="preserve"> (שבת כו.) דדוקא טבל טמא אסור בהדלקה</w:t>
      </w:r>
      <w:r>
        <w:t>.</w:t>
      </w:r>
    </w:p>
  </w:footnote>
  <w:footnote w:id="7570">
    <w:p w14:paraId="155D9017" w14:textId="77777777" w:rsidR="006C4368" w:rsidRDefault="006C4368" w:rsidP="006C4368">
      <w:pPr>
        <w:pStyle w:val="Footnote"/>
        <w:bidi/>
      </w:pPr>
      <w:r>
        <w:rPr>
          <w:rStyle w:val="ac"/>
        </w:rPr>
        <w:footnoteRef/>
      </w:r>
      <w:r>
        <w:rPr>
          <w:rtl/>
        </w:rPr>
        <w:t>ותוס' תי' דלמסקנא דהתם ניחא, דנודרת ע”ד בעלה. וה</w:t>
      </w:r>
      <w:r>
        <w:rPr>
          <w:b/>
          <w:bCs/>
          <w:rtl/>
        </w:rPr>
        <w:t>רשב"א</w:t>
      </w:r>
      <w:r>
        <w:rPr>
          <w:rtl/>
        </w:rPr>
        <w:t xml:space="preserve"> הביא דיש גורסים (שם) 'אלא', וכת' דמ"מ הוא מוכרח מסברא דכיון דנודרת ע"ד בעלה מ"ש זה מזה</w:t>
      </w:r>
      <w:r>
        <w:t>.</w:t>
      </w:r>
    </w:p>
  </w:footnote>
  <w:footnote w:id="7571">
    <w:p w14:paraId="416D8A36" w14:textId="77777777" w:rsidR="006C4368" w:rsidRDefault="006C4368" w:rsidP="006C4368">
      <w:pPr>
        <w:pStyle w:val="Footnote"/>
        <w:bidi/>
      </w:pPr>
      <w:r>
        <w:rPr>
          <w:rStyle w:val="ac"/>
        </w:rPr>
        <w:footnoteRef/>
      </w:r>
      <w:r>
        <w:rPr>
          <w:rtl/>
        </w:rPr>
        <w:t>דדלמא הקטן היה נזהר מאיסור זה</w:t>
      </w:r>
      <w:r>
        <w:t>.</w:t>
      </w:r>
    </w:p>
  </w:footnote>
  <w:footnote w:id="7572">
    <w:p w14:paraId="225C1AE0" w14:textId="77777777" w:rsidR="006C4368" w:rsidRDefault="006C4368" w:rsidP="006C4368">
      <w:pPr>
        <w:pStyle w:val="Footnote"/>
        <w:bidi/>
      </w:pPr>
      <w:r>
        <w:rPr>
          <w:rStyle w:val="ac"/>
        </w:rPr>
        <w:footnoteRef/>
      </w:r>
      <w:r>
        <w:rPr>
          <w:rtl/>
        </w:rPr>
        <w:t>וה</w:t>
      </w:r>
      <w:r>
        <w:rPr>
          <w:b/>
          <w:bCs/>
          <w:rtl/>
        </w:rPr>
        <w:t>מג”א</w:t>
      </w:r>
      <w:r>
        <w:rPr>
          <w:rtl/>
        </w:rPr>
        <w:t xml:space="preserve"> (שמג ג) הביא בשם ר' ירוחם דאין למחות בעכו"ם המאכילין את הקטן איסור, אבל אסור לומר לעכו"ם להאכיל אותם איסור. אך כת' דכשהתינוק צריך לכך, כגון שהוא קצת חולה, מותר לומר לעכו"ם להאכיל אותם. והביא דכן נוהגים בפסח שמצווים לעכו"ם לישא התינוק לביתו ולהשקותו חמץ. וע"ע משנ"ב ופוסקים</w:t>
      </w:r>
      <w:r>
        <w:t>.</w:t>
      </w:r>
    </w:p>
  </w:footnote>
  <w:footnote w:id="7573">
    <w:p w14:paraId="427FD45F" w14:textId="77777777" w:rsidR="006C4368" w:rsidRDefault="006C4368" w:rsidP="006C4368">
      <w:pPr>
        <w:pStyle w:val="Footnote"/>
        <w:bidi/>
      </w:pPr>
      <w:r>
        <w:rPr>
          <w:rStyle w:val="ac"/>
        </w:rPr>
        <w:footnoteRef/>
      </w:r>
      <w:r>
        <w:t>[</w:t>
      </w:r>
      <w:r>
        <w:rPr>
          <w:rtl/>
        </w:rPr>
        <w:t>ומשמע דכוונתו דאף אי לא הוה 'ספייה', מ"מ הוה אמירה לקטן לעשות איסור ספייה. אבל במשנ”ב (שם ד) כת' דלצוות לו שיאכל הוה בכלל לא תאכילום</w:t>
      </w:r>
      <w:r>
        <w:t>].</w:t>
      </w:r>
    </w:p>
  </w:footnote>
  <w:footnote w:id="7574">
    <w:p w14:paraId="3D0327EA" w14:textId="77777777" w:rsidR="006C4368" w:rsidRDefault="006C4368" w:rsidP="006C4368">
      <w:pPr>
        <w:pStyle w:val="Footnote"/>
        <w:bidi/>
      </w:pPr>
      <w:r>
        <w:rPr>
          <w:rStyle w:val="ac"/>
        </w:rPr>
        <w:footnoteRef/>
      </w:r>
      <w:r>
        <w:rPr>
          <w:rtl/>
        </w:rPr>
        <w:t>וה</w:t>
      </w:r>
      <w:r>
        <w:rPr>
          <w:b/>
          <w:bCs/>
          <w:rtl/>
        </w:rPr>
        <w:t>ריטב"א</w:t>
      </w:r>
      <w:r>
        <w:rPr>
          <w:rtl/>
        </w:rPr>
        <w:t xml:space="preserve"> כת' דר' פדת נקט שמותר, ותי' שפיר כל הנך קו', ע”כ קים לן דאף ר' יוחנן הכי ס"ל</w:t>
      </w:r>
      <w:r>
        <w:t>.</w:t>
      </w:r>
    </w:p>
    <w:p w14:paraId="3D1F08F6" w14:textId="77777777" w:rsidR="006C4368" w:rsidRDefault="006C4368" w:rsidP="006C4368">
      <w:pPr>
        <w:pStyle w:val="Footnote"/>
        <w:bidi/>
      </w:pPr>
      <w:r>
        <w:tab/>
      </w:r>
      <w:r>
        <w:rPr>
          <w:rtl/>
        </w:rPr>
        <w:t>וה</w:t>
      </w:r>
      <w:r>
        <w:rPr>
          <w:b/>
          <w:bCs/>
          <w:rtl/>
        </w:rPr>
        <w:t>טור</w:t>
      </w:r>
      <w:r>
        <w:rPr>
          <w:rtl/>
        </w:rPr>
        <w:t xml:space="preserve"> (או"ח שמג) העתיק דר' יוחנן ס"ל דאין מצווין להפרישו. והב"י כת' דהטור גרס ר' יוחנן במקום ר' פדת, וכת' דלפ"ז לא היה בנוסחתו רבי יוחנן ספוקי מספקא ליה</w:t>
      </w:r>
      <w:r>
        <w:t>.</w:t>
      </w:r>
    </w:p>
  </w:footnote>
  <w:footnote w:id="7575">
    <w:p w14:paraId="6AA78DBF" w14:textId="77777777" w:rsidR="006C4368" w:rsidRDefault="006C4368" w:rsidP="006C4368">
      <w:pPr>
        <w:pStyle w:val="Footnote"/>
        <w:bidi/>
      </w:pPr>
      <w:r>
        <w:rPr>
          <w:rStyle w:val="ac"/>
        </w:rPr>
        <w:footnoteRef/>
      </w:r>
      <w:r>
        <w:rPr>
          <w:rtl/>
        </w:rPr>
        <w:t>כגון שתלש מעציץ שאינו נקוב או טלטל בכרמלית. [וכדאי' בתחילת העמוד, ובפשוטו נראה דהרמב"ם פסק כדחיית הגמ' בסוגיין]</w:t>
      </w:r>
      <w:r>
        <w:t>.</w:t>
      </w:r>
    </w:p>
  </w:footnote>
  <w:footnote w:id="7576">
    <w:p w14:paraId="38F5C40F" w14:textId="77777777" w:rsidR="006C4368" w:rsidRDefault="006C4368" w:rsidP="006C4368">
      <w:pPr>
        <w:pStyle w:val="Footnote"/>
        <w:bidi/>
      </w:pPr>
      <w:r>
        <w:rPr>
          <w:rStyle w:val="ac"/>
        </w:rPr>
        <w:footnoteRef/>
      </w:r>
      <w:r>
        <w:rPr>
          <w:rtl/>
        </w:rPr>
        <w:t>ורבנן מתירין כשעומדים על גביו, ור' מאיר אוסר משום דחשודין על שפיכות דמים</w:t>
      </w:r>
      <w:r>
        <w:t>.</w:t>
      </w:r>
    </w:p>
    <w:p w14:paraId="476F4DF6" w14:textId="77777777" w:rsidR="006C4368" w:rsidRDefault="006C4368" w:rsidP="006C4368">
      <w:pPr>
        <w:pStyle w:val="Footnote"/>
        <w:bidi/>
      </w:pPr>
      <w:r>
        <w:tab/>
      </w:r>
      <w:r>
        <w:rPr>
          <w:rtl/>
        </w:rPr>
        <w:t>וה</w:t>
      </w:r>
      <w:r>
        <w:rPr>
          <w:b/>
          <w:bCs/>
          <w:rtl/>
        </w:rPr>
        <w:t>רשב"א</w:t>
      </w:r>
      <w:r>
        <w:rPr>
          <w:rtl/>
        </w:rPr>
        <w:t xml:space="preserve"> כת' דהך משנה הוה תיובתא לר"ח. אך שוב הביא </w:t>
      </w:r>
      <w:r>
        <w:rPr>
          <w:b/>
          <w:bCs/>
          <w:rtl/>
        </w:rPr>
        <w:t>תוספתא</w:t>
      </w:r>
      <w:r>
        <w:rPr>
          <w:rtl/>
        </w:rPr>
        <w:t xml:space="preserve"> (שבת י) אין יונקין מן הנכרית ומן בהמה טמאה, ואם היה דבר שיש בו סכנה מותר, שאין לך דבר שעומד בפני פקוח נפש וכו'. ושמא התם נמי מידת חסידות קאמר</w:t>
      </w:r>
      <w:r>
        <w:t>.</w:t>
      </w:r>
    </w:p>
  </w:footnote>
  <w:footnote w:id="7577">
    <w:p w14:paraId="140EC065" w14:textId="77777777" w:rsidR="006C4368" w:rsidRDefault="006C4368" w:rsidP="006C4368">
      <w:pPr>
        <w:pStyle w:val="Footnote"/>
        <w:bidi/>
      </w:pPr>
      <w:r>
        <w:rPr>
          <w:rStyle w:val="ac"/>
        </w:rPr>
        <w:footnoteRef/>
      </w:r>
      <w:r>
        <w:rPr>
          <w:rtl/>
        </w:rPr>
        <w:t>ולא מצינו היתר בדמן וחלבן ובשרן של ישראל יותר מן הנכרי. והביא דבירושלמי (ע"ז) הביאו מהפסוק דכתיב (ישעיה מט כג) והיו מלכים אומניך ושרותיהם מניקותיך</w:t>
      </w:r>
      <w:r>
        <w:t>.</w:t>
      </w:r>
    </w:p>
  </w:footnote>
  <w:footnote w:id="7578">
    <w:p w14:paraId="14F796FF" w14:textId="77777777" w:rsidR="006C4368" w:rsidRDefault="006C4368" w:rsidP="006C4368">
      <w:pPr>
        <w:pStyle w:val="Footnote"/>
        <w:bidi/>
      </w:pPr>
      <w:r>
        <w:rPr>
          <w:rStyle w:val="ac"/>
        </w:rPr>
        <w:footnoteRef/>
      </w:r>
      <w:r>
        <w:rPr>
          <w:rtl/>
        </w:rPr>
        <w:t>היכא דפריש, אבל לינוק אסור לאחר שפירש התינוק [או כשהוא בן ד' וה']</w:t>
      </w:r>
      <w:r>
        <w:t>.</w:t>
      </w:r>
    </w:p>
  </w:footnote>
  <w:footnote w:id="7579">
    <w:p w14:paraId="79685FDE" w14:textId="77777777" w:rsidR="006C4368" w:rsidRDefault="006C4368" w:rsidP="006C4368">
      <w:pPr>
        <w:pStyle w:val="Footnote"/>
        <w:bidi/>
      </w:pPr>
      <w:r>
        <w:rPr>
          <w:rStyle w:val="ac"/>
        </w:rPr>
        <w:footnoteRef/>
      </w:r>
      <w:r>
        <w:rPr>
          <w:rtl/>
        </w:rPr>
        <w:t>וה</w:t>
      </w:r>
      <w:r>
        <w:rPr>
          <w:b/>
          <w:bCs/>
          <w:rtl/>
        </w:rPr>
        <w:t>מדרש</w:t>
      </w:r>
      <w:r>
        <w:rPr>
          <w:rtl/>
        </w:rPr>
        <w:t xml:space="preserve"> מק' דמותר לינק מכותית. ותי' דיצתה בת קול ואמרה פה שעתיד לדבר עם השכינה יינק חלב טמא, הדא הוא דכתיב את מי יורה דעה ואת מי יבין שמועה גמולי מחלב עתיקי משדים (ישעיה כח ט). והביא דבמדרש משמע דהוה היתר גמור</w:t>
      </w:r>
      <w:r>
        <w:t>.</w:t>
      </w:r>
    </w:p>
  </w:footnote>
  <w:footnote w:id="7580">
    <w:p w14:paraId="3432C06F" w14:textId="77777777" w:rsidR="006C4368" w:rsidRDefault="006C4368" w:rsidP="006C4368">
      <w:pPr>
        <w:pStyle w:val="Footnote"/>
        <w:bidi/>
      </w:pPr>
      <w:r>
        <w:rPr>
          <w:rStyle w:val="ac"/>
        </w:rPr>
        <w:footnoteRef/>
      </w:r>
      <w:r>
        <w:rPr>
          <w:rtl/>
        </w:rPr>
        <w:t>וה</w:t>
      </w:r>
      <w:r>
        <w:rPr>
          <w:b/>
          <w:bCs/>
          <w:rtl/>
        </w:rPr>
        <w:t>ראשונים</w:t>
      </w:r>
      <w:r>
        <w:rPr>
          <w:rtl/>
        </w:rPr>
        <w:t xml:space="preserve"> הביאו עוד מה</w:t>
      </w:r>
      <w:r>
        <w:rPr>
          <w:b/>
          <w:bCs/>
          <w:rtl/>
        </w:rPr>
        <w:t>מדרש</w:t>
      </w:r>
      <w:r>
        <w:rPr>
          <w:rtl/>
        </w:rPr>
        <w:t xml:space="preserve"> (הו' בתוס' ע"ז י:) דכשנולד רבי גזרו על המילה, והחליפתו באנטונינוס והניקתו אמו של רבי, ונמצא ערל. ומש"ה לבסוף למד תורה ונתגייר ומל עצמו</w:t>
      </w:r>
      <w:r>
        <w:t>.</w:t>
      </w:r>
    </w:p>
  </w:footnote>
  <w:footnote w:id="7581">
    <w:p w14:paraId="1A0D34AC" w14:textId="77777777" w:rsidR="006C4368" w:rsidRDefault="006C4368" w:rsidP="006C4368">
      <w:pPr>
        <w:pStyle w:val="Footnote"/>
        <w:bidi/>
      </w:pPr>
      <w:r>
        <w:rPr>
          <w:rStyle w:val="ac"/>
        </w:rPr>
        <w:footnoteRef/>
      </w:r>
      <w:r>
        <w:rPr>
          <w:rtl/>
        </w:rPr>
        <w:t>וה</w:t>
      </w:r>
      <w:r>
        <w:rPr>
          <w:b/>
          <w:bCs/>
          <w:rtl/>
        </w:rPr>
        <w:t>רשב"א</w:t>
      </w:r>
      <w:r>
        <w:rPr>
          <w:rtl/>
        </w:rPr>
        <w:t xml:space="preserve"> כת' דמ"מ אנן קי"ל דאין בי"ד מצווין להפרישו, א"כ מביאין לו חלב נכרית ואפי' במקום דאיכא חלב בת ישראל. דלכל היותר חלב נכרית הוה איסור דרבנן</w:t>
      </w:r>
      <w:r>
        <w:t>.</w:t>
      </w:r>
    </w:p>
  </w:footnote>
  <w:footnote w:id="7582">
    <w:p w14:paraId="07AA75DE" w14:textId="77777777" w:rsidR="006C4368" w:rsidRDefault="006C4368" w:rsidP="006C4368">
      <w:pPr>
        <w:pStyle w:val="Footnote"/>
        <w:bidi/>
      </w:pPr>
      <w:r>
        <w:rPr>
          <w:rStyle w:val="ac"/>
        </w:rPr>
        <w:footnoteRef/>
      </w:r>
      <w:r>
        <w:rPr>
          <w:rtl/>
        </w:rPr>
        <w:t>ואפ"ה ר"מ אסר משום סכנה. וה</w:t>
      </w:r>
      <w:r>
        <w:rPr>
          <w:b/>
          <w:bCs/>
          <w:rtl/>
        </w:rPr>
        <w:t>רשב"א</w:t>
      </w:r>
      <w:r>
        <w:rPr>
          <w:rtl/>
        </w:rPr>
        <w:t xml:space="preserve"> הק' דאי ליכא אחרת, ויש סכנה דסתם תינוק מסוכן אצל חלב. א"כ במה עדיף מסכנה דחשודין על שפיכת דמים. ותי' דאפ"ה סכנת הנקת נכרית אלימא טפי, וכדאי' (שם) משום דשייפא ליה סם לדד מאבראי. והלכך טפי עדיף לאמתוני ולאתויי ליה מניקה בת ישראל ממקום קרוב. [ויל"ד אי מש"כ ממקום קרוב הוה דוקא, דאי ליכא במקום קרוב ודאי יתירו ע"י נכרית]</w:t>
      </w:r>
      <w:r>
        <w:t>.</w:t>
      </w:r>
    </w:p>
  </w:footnote>
  <w:footnote w:id="7583">
    <w:p w14:paraId="31786EC9" w14:textId="77777777" w:rsidR="006C4368" w:rsidRDefault="006C4368" w:rsidP="006C4368">
      <w:pPr>
        <w:pStyle w:val="Footnote"/>
        <w:bidi/>
      </w:pPr>
      <w:r>
        <w:rPr>
          <w:rStyle w:val="ac"/>
        </w:rPr>
        <w:footnoteRef/>
      </w:r>
      <w:r>
        <w:rPr>
          <w:rtl/>
        </w:rPr>
        <w:t>וה</w:t>
      </w:r>
      <w:r>
        <w:rPr>
          <w:b/>
          <w:bCs/>
          <w:rtl/>
        </w:rPr>
        <w:t>מפרשים</w:t>
      </w:r>
      <w:r>
        <w:rPr>
          <w:rtl/>
        </w:rPr>
        <w:t xml:space="preserve"> (</w:t>
      </w:r>
      <w:r>
        <w:rPr>
          <w:b/>
          <w:bCs/>
          <w:rtl/>
        </w:rPr>
        <w:t>ש"ך</w:t>
      </w:r>
      <w:r>
        <w:rPr>
          <w:rtl/>
        </w:rPr>
        <w:t xml:space="preserve"> כה, וט”ז) ביארו דנפק"מ כשהיא חולה, וצריכה לאכול דברים האסורים. שלא תניק את בנה, אלא האב ישכור מינקת ישראלית</w:t>
      </w:r>
      <w:r>
        <w:t>.</w:t>
      </w:r>
    </w:p>
    <w:p w14:paraId="743EE424" w14:textId="77777777" w:rsidR="006C4368" w:rsidRDefault="006C4368" w:rsidP="006C4368">
      <w:pPr>
        <w:pStyle w:val="Footnote"/>
        <w:bidi/>
      </w:pPr>
      <w:r>
        <w:tab/>
      </w:r>
      <w:r>
        <w:rPr>
          <w:rtl/>
        </w:rPr>
        <w:t>ולפ"ז מבואר דאף שהותר דברים האסורים לחולה מפני פיקו"נ, מ"מ מטמטם. ויש שביארו עד"ז דברי ה</w:t>
      </w:r>
      <w:r>
        <w:rPr>
          <w:b/>
          <w:bCs/>
          <w:rtl/>
        </w:rPr>
        <w:t>ראשונים</w:t>
      </w:r>
      <w:r>
        <w:rPr>
          <w:rtl/>
        </w:rPr>
        <w:t xml:space="preserve"> (רא"ש יומא ח יד, וכ”פ השו”ע שכח יד) דשוחטים עבור חולה בשבת, ואף שיש נבילה מזומן [ולא אמרי' דאיסור שבת בסקילה חמור], והמהר”ם מרוטנברג כת' דאיסור שבת הותרה מפני פיקו”נ, ואילו נבילה המאכל עצמו אסור. ועוד כת' הרא”ש דשמא יהא קץ בנבילה. יש שביארו הטעם משום דאכילת נבילה מטמטם</w:t>
      </w:r>
      <w:r>
        <w:t>.</w:t>
      </w:r>
    </w:p>
  </w:footnote>
  <w:footnote w:id="7584">
    <w:p w14:paraId="2BC33217" w14:textId="77777777" w:rsidR="006C4368" w:rsidRDefault="006C4368" w:rsidP="006C4368">
      <w:pPr>
        <w:pStyle w:val="Footnote"/>
        <w:bidi/>
      </w:pPr>
      <w:r>
        <w:rPr>
          <w:rStyle w:val="ac"/>
        </w:rPr>
        <w:footnoteRef/>
      </w:r>
      <w:r>
        <w:rPr>
          <w:rtl/>
        </w:rPr>
        <w:t>וה</w:t>
      </w:r>
      <w:r>
        <w:rPr>
          <w:b/>
          <w:bCs/>
          <w:rtl/>
        </w:rPr>
        <w:t>גר"א</w:t>
      </w:r>
      <w:r>
        <w:rPr>
          <w:rtl/>
        </w:rPr>
        <w:t xml:space="preserve"> (שם לג) ציין ל</w:t>
      </w:r>
      <w:r>
        <w:rPr>
          <w:b/>
          <w:bCs/>
          <w:rtl/>
        </w:rPr>
        <w:t>ירושלמי</w:t>
      </w:r>
      <w:r>
        <w:rPr>
          <w:rtl/>
        </w:rPr>
        <w:t xml:space="preserve"> (חגיגה ב, הו' בתוס' שם טו.) גבי אחר, כשהיתה אמו מעוברת ממנו הריחה מע"ז ואכלה, והיה מפעפע בגופו כארס</w:t>
      </w:r>
      <w:r>
        <w:t xml:space="preserve">.  </w:t>
      </w:r>
    </w:p>
  </w:footnote>
  <w:footnote w:id="7585">
    <w:p w14:paraId="7A655D51" w14:textId="77777777" w:rsidR="006C4368" w:rsidRDefault="006C4368" w:rsidP="006C4368">
      <w:pPr>
        <w:pStyle w:val="Footnote"/>
        <w:bidi/>
      </w:pPr>
      <w:r>
        <w:rPr>
          <w:rStyle w:val="ac"/>
        </w:rPr>
        <w:footnoteRef/>
      </w:r>
      <w:r>
        <w:rPr>
          <w:rtl/>
        </w:rPr>
        <w:t>וה</w:t>
      </w:r>
      <w:r>
        <w:rPr>
          <w:b/>
          <w:bCs/>
          <w:rtl/>
        </w:rPr>
        <w:t>פר"ח</w:t>
      </w:r>
      <w:r>
        <w:rPr>
          <w:rtl/>
        </w:rPr>
        <w:t xml:space="preserve"> (שם כו) כת' דצריך ליזהר הרבה בדבר. ולפי שבזמנינו אין נזהרים מענינים אלו, רוב הבנים יוצאין לתרבות רעה ורובם הם עזי פנים שבדור ואין יראת ה' נוגעת בלבם</w:t>
      </w:r>
      <w:r>
        <w:t>.</w:t>
      </w:r>
    </w:p>
  </w:footnote>
  <w:footnote w:id="7586">
    <w:p w14:paraId="1DB9D8C6" w14:textId="77777777" w:rsidR="006C4368" w:rsidRDefault="006C4368" w:rsidP="006C4368">
      <w:pPr>
        <w:pStyle w:val="Footnote"/>
        <w:bidi/>
      </w:pPr>
      <w:r>
        <w:rPr>
          <w:rStyle w:val="ac"/>
        </w:rPr>
        <w:footnoteRef/>
      </w:r>
      <w:r>
        <w:rPr>
          <w:rtl/>
        </w:rPr>
        <w:t>וה</w:t>
      </w:r>
      <w:r>
        <w:rPr>
          <w:b/>
          <w:bCs/>
          <w:rtl/>
        </w:rPr>
        <w:t>אתוון דאורייתא</w:t>
      </w:r>
      <w:r>
        <w:rPr>
          <w:rtl/>
        </w:rPr>
        <w:t xml:space="preserve"> (י) הביא מדברי הש"ך דאיסור דרבנן הוה ג"כ איסור חפצא, והאוכל איסור בעצמותו. ואף שהקטן אינו מצווה</w:t>
      </w:r>
      <w:r>
        <w:t>.</w:t>
      </w:r>
    </w:p>
    <w:p w14:paraId="7DBDF094" w14:textId="77777777" w:rsidR="006C4368" w:rsidRDefault="006C4368" w:rsidP="006C4368">
      <w:pPr>
        <w:pStyle w:val="Footnote"/>
        <w:bidi/>
      </w:pPr>
      <w:r>
        <w:tab/>
      </w:r>
      <w:r>
        <w:rPr>
          <w:rtl/>
        </w:rPr>
        <w:t>ויש שהק' על דברי ה</w:t>
      </w:r>
      <w:r>
        <w:rPr>
          <w:b/>
          <w:bCs/>
          <w:rtl/>
        </w:rPr>
        <w:t>נתיבות</w:t>
      </w:r>
      <w:r>
        <w:rPr>
          <w:rtl/>
        </w:rPr>
        <w:t xml:space="preserve"> (רלד ג) דבאיסור דרבנן בשוגג אי"צ שום כפרה, וכאילו לא עבר דמי. [דמצווה לשמוע דברי חכמים, אבל הדבר אינו איסור בחפצא]. והביא תדע דאמרי' (עירובין סז:) דבדרבנן עבדינן עובדא והדר מותבינן תיובתא, ואילו היה נענש על השוגג היאך היה מניחין לו לעבור ולקבל עונש</w:t>
      </w:r>
      <w:r>
        <w:t>.</w:t>
      </w:r>
    </w:p>
  </w:footnote>
  <w:footnote w:id="7587">
    <w:p w14:paraId="7AC356FF" w14:textId="77777777" w:rsidR="006C4368" w:rsidRDefault="006C4368" w:rsidP="006C4368">
      <w:pPr>
        <w:pStyle w:val="Footnote"/>
        <w:bidi/>
      </w:pPr>
      <w:r>
        <w:rPr>
          <w:rStyle w:val="ac"/>
        </w:rPr>
        <w:footnoteRef/>
      </w:r>
      <w:r>
        <w:rPr>
          <w:rtl/>
        </w:rPr>
        <w:t>ו</w:t>
      </w:r>
      <w:r>
        <w:rPr>
          <w:b/>
          <w:bCs/>
          <w:rtl/>
        </w:rPr>
        <w:t>תוס</w:t>
      </w:r>
      <w:r>
        <w:rPr>
          <w:rtl/>
        </w:rPr>
        <w:t>' (שבת קכא.) כת' דטעם זה שייך דוקא בבן ב' או ג'. [מש"כ ג' היינו היכא דלא פירש משנולד, וכה"ג רשאי לאכול חלב עד בן ד' או ה'. וכדאי' כתובות ס.]</w:t>
      </w:r>
      <w:r>
        <w:t>.</w:t>
      </w:r>
    </w:p>
  </w:footnote>
  <w:footnote w:id="7588">
    <w:p w14:paraId="32ED70F2" w14:textId="77777777" w:rsidR="006C4368" w:rsidRDefault="006C4368" w:rsidP="006C4368">
      <w:pPr>
        <w:pStyle w:val="Footnote"/>
        <w:bidi/>
      </w:pPr>
      <w:r>
        <w:rPr>
          <w:rStyle w:val="ac"/>
        </w:rPr>
        <w:footnoteRef/>
      </w:r>
      <w:r>
        <w:rPr>
          <w:rtl/>
        </w:rPr>
        <w:t>וכדאי' (שבת צה.) חולב משום מפרק, ופ</w:t>
      </w:r>
      <w:r>
        <w:rPr>
          <w:b/>
          <w:bCs/>
          <w:rtl/>
        </w:rPr>
        <w:t>רש"י</w:t>
      </w:r>
      <w:r>
        <w:rPr>
          <w:rtl/>
        </w:rPr>
        <w:t xml:space="preserve"> תולדה דדש. [ואכמ"ל]</w:t>
      </w:r>
      <w:r>
        <w:t>.</w:t>
      </w:r>
    </w:p>
    <w:p w14:paraId="5A12B493" w14:textId="77777777" w:rsidR="006C4368" w:rsidRDefault="006C4368" w:rsidP="006C4368">
      <w:pPr>
        <w:pStyle w:val="Footnote"/>
        <w:bidi/>
      </w:pPr>
      <w:r>
        <w:tab/>
      </w:r>
      <w:r>
        <w:rPr>
          <w:rtl/>
        </w:rPr>
        <w:t>והעירו דלפ"ז אף תינוק היונק מאמו הוה מלאכת מפרק. והתם לא הוה כלאחר יד. וצ"ב האיך הותר בשבת, ודוחק דרק משום פיקו"נ</w:t>
      </w:r>
      <w:r>
        <w:t>.</w:t>
      </w:r>
    </w:p>
  </w:footnote>
  <w:footnote w:id="7589">
    <w:p w14:paraId="1AA6623E" w14:textId="77777777" w:rsidR="006C4368" w:rsidRDefault="006C4368" w:rsidP="006C4368">
      <w:pPr>
        <w:pStyle w:val="Footnote"/>
        <w:bidi/>
      </w:pPr>
      <w:r>
        <w:rPr>
          <w:rStyle w:val="ac"/>
        </w:rPr>
        <w:footnoteRef/>
      </w:r>
      <w:r>
        <w:rPr>
          <w:rtl/>
        </w:rPr>
        <w:t>וה</w:t>
      </w:r>
      <w:r>
        <w:rPr>
          <w:b/>
          <w:bCs/>
          <w:rtl/>
        </w:rPr>
        <w:t>מלחמות</w:t>
      </w:r>
      <w:r>
        <w:rPr>
          <w:rtl/>
        </w:rPr>
        <w:t xml:space="preserve"> (שבת קמד: ס: בדה"ר) כת' דהא דאי' (בסוגיין) שהחולב ביו"ט הוה איסור לאו, היינו שהמלאכה בעצמה ביו"ט הוה איסור לאו, ובשבת איסור כרת. אבל החולב ביו"ט לצורך אוכל נפש לא הוה איסור לאו [אלא איסור דרבנן]</w:t>
      </w:r>
      <w:r>
        <w:t>.</w:t>
      </w:r>
    </w:p>
  </w:footnote>
  <w:footnote w:id="7590">
    <w:p w14:paraId="7C139B25" w14:textId="77777777" w:rsidR="006C4368" w:rsidRDefault="006C4368" w:rsidP="006C4368">
      <w:pPr>
        <w:pStyle w:val="Footnote"/>
        <w:bidi/>
      </w:pPr>
      <w:r>
        <w:rPr>
          <w:rStyle w:val="ac"/>
        </w:rPr>
        <w:footnoteRef/>
      </w:r>
      <w:r>
        <w:rPr>
          <w:rtl/>
        </w:rPr>
        <w:t>ו</w:t>
      </w:r>
      <w:r>
        <w:rPr>
          <w:b/>
          <w:bCs/>
          <w:rtl/>
        </w:rPr>
        <w:t>רע"א</w:t>
      </w:r>
      <w:r>
        <w:rPr>
          <w:rtl/>
        </w:rPr>
        <w:t xml:space="preserve"> הביא את דברי המלחמות (הנ"ל) וכת' דנדחק בזה. [אך המלחמות הק' מלשון הגמ', ואילו רע"א הק' מגוף דברי הגמ', אמאי לא תי' בכה"ג]. {ואפשר דלא הקילו באיסורי מלאכות ביו"ט משום צער, כיון דעיקרו דאורייתא. ואף דהותר משום אוכל נפש. ול"ד לאיסור כלאחר יד דקיל}</w:t>
      </w:r>
      <w:r>
        <w:t>.</w:t>
      </w:r>
    </w:p>
  </w:footnote>
  <w:footnote w:id="7591">
    <w:p w14:paraId="1733C43E" w14:textId="77777777" w:rsidR="006C4368" w:rsidRDefault="006C4368" w:rsidP="006C4368">
      <w:pPr>
        <w:pStyle w:val="Footnote"/>
        <w:bidi/>
      </w:pPr>
      <w:r>
        <w:rPr>
          <w:rStyle w:val="ac"/>
        </w:rPr>
        <w:footnoteRef/>
      </w:r>
      <w:r>
        <w:rPr>
          <w:rtl/>
        </w:rPr>
        <w:t xml:space="preserve">וע"ד הא דאי' (ב"ק פ.). [וע' </w:t>
      </w:r>
      <w:r>
        <w:rPr>
          <w:b/>
          <w:bCs/>
          <w:rtl/>
        </w:rPr>
        <w:t>רע"א</w:t>
      </w:r>
      <w:r>
        <w:rPr>
          <w:rtl/>
        </w:rPr>
        <w:t xml:space="preserve"> (כתובות ס.) שהאריך האם הותר מלאכה דרבנן ע"י החולה עצמו]</w:t>
      </w:r>
      <w:r>
        <w:t>.</w:t>
      </w:r>
    </w:p>
  </w:footnote>
  <w:footnote w:id="7592">
    <w:p w14:paraId="37FC4448" w14:textId="77777777" w:rsidR="006C4368" w:rsidRDefault="006C4368" w:rsidP="006C4368">
      <w:pPr>
        <w:pStyle w:val="Footnote"/>
        <w:bidi/>
      </w:pPr>
      <w:r>
        <w:rPr>
          <w:rStyle w:val="ac"/>
        </w:rPr>
        <w:footnoteRef/>
      </w:r>
      <w:r>
        <w:rPr>
          <w:rtl/>
        </w:rPr>
        <w:t>ולשון השו"ע משמע דלדעת הרי"ף מותר אפי' צער רעבון בשבת. וה</w:t>
      </w:r>
      <w:r>
        <w:rPr>
          <w:b/>
          <w:bCs/>
          <w:rtl/>
        </w:rPr>
        <w:t>מג"א</w:t>
      </w:r>
      <w:r>
        <w:rPr>
          <w:rtl/>
        </w:rPr>
        <w:t xml:space="preserve"> (שם לט) חלק דלפ"ז לא הותר כלל משום צער רעבון, אפי' ביו"ט. והביא דכ”מ במלחמות (הנ”ל)</w:t>
      </w:r>
      <w:r>
        <w:t>.</w:t>
      </w:r>
    </w:p>
  </w:footnote>
  <w:footnote w:id="7593">
    <w:p w14:paraId="63D45C1D" w14:textId="77777777" w:rsidR="006C4368" w:rsidRDefault="006C4368" w:rsidP="006C4368">
      <w:pPr>
        <w:pStyle w:val="Footnote"/>
        <w:bidi/>
      </w:pPr>
      <w:r>
        <w:rPr>
          <w:rStyle w:val="ac"/>
        </w:rPr>
        <w:footnoteRef/>
      </w:r>
      <w:r>
        <w:rPr>
          <w:rtl/>
        </w:rPr>
        <w:t>ועוד הביאו דב</w:t>
      </w:r>
      <w:r>
        <w:rPr>
          <w:b/>
          <w:bCs/>
          <w:rtl/>
        </w:rPr>
        <w:t>תורת כהנים</w:t>
      </w:r>
      <w:r>
        <w:rPr>
          <w:rtl/>
        </w:rPr>
        <w:t xml:space="preserve"> (שמיני פרק ה) דרשו לא יֵאָכְלוּ וכו' לחייב את המאכיל כאוכל. ודרשי' דמותר בהנאה, הא מה אני מקיים לא יאכלו, לחייב את המאכיל כאוכל</w:t>
      </w:r>
      <w:r>
        <w:t>.</w:t>
      </w:r>
    </w:p>
  </w:footnote>
  <w:footnote w:id="7594">
    <w:p w14:paraId="64DEBC32" w14:textId="77777777" w:rsidR="006C4368" w:rsidRDefault="006C4368" w:rsidP="006C4368">
      <w:pPr>
        <w:pStyle w:val="Footnote"/>
        <w:bidi/>
      </w:pPr>
      <w:r>
        <w:rPr>
          <w:rStyle w:val="ac"/>
        </w:rPr>
        <w:footnoteRef/>
      </w:r>
      <w:r>
        <w:rPr>
          <w:rtl/>
        </w:rPr>
        <w:t>או אנס הגדול והאכיל בידים הניח לתוך פה והכה עד שבלע</w:t>
      </w:r>
      <w:r>
        <w:t>.</w:t>
      </w:r>
    </w:p>
  </w:footnote>
  <w:footnote w:id="7595">
    <w:p w14:paraId="4FE6A713" w14:textId="77777777" w:rsidR="006C4368" w:rsidRDefault="006C4368" w:rsidP="006C4368">
      <w:pPr>
        <w:pStyle w:val="Footnote"/>
        <w:bidi/>
      </w:pPr>
      <w:r>
        <w:rPr>
          <w:rStyle w:val="ac"/>
        </w:rPr>
        <w:footnoteRef/>
      </w:r>
      <w:r>
        <w:rPr>
          <w:rtl/>
        </w:rPr>
        <w:t>וכדאי' (לעיל) בעציץ שאינו נקוב דרבנן. [וכן בכרמלית דרבנן]. ועוד הביא תי' הגמ' דבדמאי הקילו [אך תוס' (ד"ה אמר) דייקו דהקילו בדמאי טפי משאר איסור דרבנן]</w:t>
      </w:r>
      <w:r>
        <w:t>.</w:t>
      </w:r>
    </w:p>
  </w:footnote>
  <w:footnote w:id="7596">
    <w:p w14:paraId="5EA466BB" w14:textId="77777777" w:rsidR="006C4368" w:rsidRDefault="006C4368" w:rsidP="006C4368">
      <w:pPr>
        <w:pStyle w:val="Footnote"/>
        <w:bidi/>
      </w:pPr>
      <w:r>
        <w:rPr>
          <w:rStyle w:val="ac"/>
        </w:rPr>
        <w:footnoteRef/>
      </w:r>
      <w:r>
        <w:rPr>
          <w:rtl/>
        </w:rPr>
        <w:t>וה</w:t>
      </w:r>
      <w:r>
        <w:rPr>
          <w:b/>
          <w:bCs/>
          <w:rtl/>
        </w:rPr>
        <w:t>אחיעזר</w:t>
      </w:r>
      <w:r>
        <w:rPr>
          <w:rtl/>
        </w:rPr>
        <w:t xml:space="preserve"> (שם ה) כת' דנראה דטעם הרשב"א משום דס"ל דכל עיקר איסור ספינן בכל התורה הוה מדרבנן, ולא תקנו אלא באיסור דאורייתא. וביאר דס"ל כדברי הב"י דדוקא בהנך ג' [שקצים ודם וטומאת כהנים] דכתבה התורה בפירוש להזהיר גדולים על הקטנים אסור מדאורייתא, ובהנך יהי' איסור ספייה בידים אף באיסור דרבנן. [ותי' עפ"ז קו' המשנ"ל משבת צ:, הו' בסמוך]</w:t>
      </w:r>
      <w:r>
        <w:t>.</w:t>
      </w:r>
    </w:p>
  </w:footnote>
  <w:footnote w:id="7597">
    <w:p w14:paraId="6406042D" w14:textId="77777777" w:rsidR="006C4368" w:rsidRDefault="006C4368" w:rsidP="006C4368">
      <w:pPr>
        <w:pStyle w:val="Footnote"/>
        <w:bidi/>
      </w:pPr>
      <w:r>
        <w:rPr>
          <w:rStyle w:val="ac"/>
        </w:rPr>
        <w:footnoteRef/>
      </w:r>
      <w:r>
        <w:rPr>
          <w:rtl/>
        </w:rPr>
        <w:t>והביא דכ"מ בגמ' (שבת קלט.) דמותר לתת לקטן ליטע כלאים דכשות בכרם. [אלא דאסרו משום דאתי למיסרך]</w:t>
      </w:r>
      <w:r>
        <w:t>.</w:t>
      </w:r>
    </w:p>
  </w:footnote>
  <w:footnote w:id="7598">
    <w:p w14:paraId="55DB0FEF" w14:textId="77777777" w:rsidR="006C4368" w:rsidRDefault="006C4368" w:rsidP="006C4368">
      <w:pPr>
        <w:pStyle w:val="Footnote"/>
        <w:bidi/>
      </w:pPr>
      <w:r>
        <w:rPr>
          <w:rStyle w:val="ac"/>
        </w:rPr>
        <w:footnoteRef/>
      </w:r>
      <w:r>
        <w:rPr>
          <w:rtl/>
        </w:rPr>
        <w:t>יל"ד אי כוונת הרשב"א דלא תקנו כלל איסור דרבנן כלפי הקטן, או דאסור קל. ואף הגדול אי”צ ליזהר כלפי הקטן בזה</w:t>
      </w:r>
      <w:r>
        <w:t>.</w:t>
      </w:r>
    </w:p>
  </w:footnote>
  <w:footnote w:id="7599">
    <w:p w14:paraId="4FFF18A4" w14:textId="77777777" w:rsidR="006C4368" w:rsidRDefault="006C4368" w:rsidP="006C4368">
      <w:pPr>
        <w:pStyle w:val="Footnote"/>
        <w:bidi/>
      </w:pPr>
      <w:r>
        <w:rPr>
          <w:rStyle w:val="ac"/>
        </w:rPr>
        <w:footnoteRef/>
      </w:r>
      <w:r>
        <w:rPr>
          <w:rtl/>
        </w:rPr>
        <w:t>וכן ה</w:t>
      </w:r>
      <w:r>
        <w:rPr>
          <w:b/>
          <w:bCs/>
          <w:rtl/>
        </w:rPr>
        <w:t>ר"ן</w:t>
      </w:r>
      <w:r>
        <w:rPr>
          <w:rtl/>
        </w:rPr>
        <w:t xml:space="preserve"> (יומא א. בדה"ר) הוכיח מהגמ' (נדה מו:) דבאיסור דרבנן, כל שהוא לצרכו של תינוק מאכילין אותו, ואפי' בידים. ואף שהגיע לחינוך</w:t>
      </w:r>
      <w:r>
        <w:t>.</w:t>
      </w:r>
    </w:p>
  </w:footnote>
  <w:footnote w:id="7600">
    <w:p w14:paraId="08613D19" w14:textId="77777777" w:rsidR="006C4368" w:rsidRDefault="006C4368" w:rsidP="006C4368">
      <w:pPr>
        <w:pStyle w:val="Footnote"/>
        <w:bidi/>
      </w:pPr>
      <w:r>
        <w:rPr>
          <w:rStyle w:val="ac"/>
        </w:rPr>
        <w:footnoteRef/>
      </w:r>
      <w:r>
        <w:rPr>
          <w:rtl/>
        </w:rPr>
        <w:t>וה</w:t>
      </w:r>
      <w:r>
        <w:rPr>
          <w:b/>
          <w:bCs/>
          <w:rtl/>
        </w:rPr>
        <w:t>אחיעזר</w:t>
      </w:r>
      <w:r>
        <w:rPr>
          <w:rtl/>
        </w:rPr>
        <w:t xml:space="preserve"> (ג פא ג) הביא דאדרבה מבואר מהתם דדוקא משום נישואין דרבנן, דהעיד ר"י בן גודגדא דקטנה שנשאת לכהן דאוכלת בתרומה, ופ</w:t>
      </w:r>
      <w:r>
        <w:rPr>
          <w:b/>
          <w:bCs/>
          <w:rtl/>
        </w:rPr>
        <w:t>רש"י</w:t>
      </w:r>
      <w:r>
        <w:rPr>
          <w:rtl/>
        </w:rPr>
        <w:t xml:space="preserve"> בתרומה דרבנן (וכדאי' לעיל צ.), ותיפו"ל דשרי למיספי בידים לכל קטן וקטנה כשאר איסור דרבנן. ועכצ"ל דבאמת אסור למספי בידים אפי' איסור דרבנן רק משום נישואין דרבנן מהני. אלא דהרשב"א (לעיל קיג. וגיטין נה.) נקט דלמסקנא איירי התם בתרומה דאורייתא</w:t>
      </w:r>
      <w:r>
        <w:t>.</w:t>
      </w:r>
    </w:p>
  </w:footnote>
  <w:footnote w:id="7601">
    <w:p w14:paraId="1571A2AE" w14:textId="77777777" w:rsidR="006C4368" w:rsidRDefault="006C4368" w:rsidP="006C4368">
      <w:pPr>
        <w:pStyle w:val="Footnote"/>
        <w:bidi/>
      </w:pPr>
      <w:r>
        <w:rPr>
          <w:rStyle w:val="ac"/>
        </w:rPr>
        <w:footnoteRef/>
      </w:r>
      <w:r>
        <w:rPr>
          <w:rtl/>
        </w:rPr>
        <w:t>וכ"כ ה</w:t>
      </w:r>
      <w:r>
        <w:rPr>
          <w:b/>
          <w:bCs/>
          <w:rtl/>
        </w:rPr>
        <w:t>מהר"ם</w:t>
      </w:r>
      <w:r>
        <w:rPr>
          <w:rtl/>
        </w:rPr>
        <w:t xml:space="preserve"> (במרדכי שבת שסט, ואגודה שבת ז קב) דאסור להאכיל בידים לקטן דבר שיש בזה איסור שבת דרבנן, אלא דאין מצווין להפרישו</w:t>
      </w:r>
      <w:r>
        <w:t>.</w:t>
      </w:r>
    </w:p>
  </w:footnote>
  <w:footnote w:id="7602">
    <w:p w14:paraId="437AA256" w14:textId="77777777" w:rsidR="006C4368" w:rsidRDefault="006C4368" w:rsidP="006C4368">
      <w:pPr>
        <w:pStyle w:val="Footnote"/>
        <w:bidi/>
      </w:pPr>
      <w:r>
        <w:rPr>
          <w:rStyle w:val="ac"/>
        </w:rPr>
        <w:footnoteRef/>
      </w:r>
      <w:r>
        <w:rPr>
          <w:rtl/>
        </w:rPr>
        <w:t>וה</w:t>
      </w:r>
      <w:r>
        <w:rPr>
          <w:b/>
          <w:bCs/>
          <w:rtl/>
        </w:rPr>
        <w:t>אחיעזר</w:t>
      </w:r>
      <w:r>
        <w:rPr>
          <w:rtl/>
        </w:rPr>
        <w:t xml:space="preserve"> (שם ד) הביא דלכאורה מבואר ברשב"א דהאיסור להאכיל [לא תאכילום] ו'אתי למסרך' [שמא ירגיל] הוה ב' טעמים. ודלא כתה"ד (הו' לעיל) דהטעם דאסור להאכיל בידים משום דאתי למסרך. ושוב דחה די"ל דכוונת הרשב"א דבאיסור דאורייתא החמירו משום אתי למסרך בכל דבר. ובאיסור דרבנן רק היכא דעושה לצורך הגדול החמירו</w:t>
      </w:r>
      <w:r>
        <w:t>.</w:t>
      </w:r>
    </w:p>
  </w:footnote>
  <w:footnote w:id="7603">
    <w:p w14:paraId="52B28EC3" w14:textId="77777777" w:rsidR="006C4368" w:rsidRDefault="006C4368" w:rsidP="006C4368">
      <w:pPr>
        <w:pStyle w:val="Footnote"/>
        <w:bidi/>
      </w:pPr>
      <w:r>
        <w:rPr>
          <w:rStyle w:val="ac"/>
        </w:rPr>
        <w:footnoteRef/>
      </w:r>
      <w:r>
        <w:rPr>
          <w:rtl/>
        </w:rPr>
        <w:t>וה</w:t>
      </w:r>
      <w:r>
        <w:rPr>
          <w:b/>
          <w:bCs/>
          <w:rtl/>
        </w:rPr>
        <w:t>פרמ"ג</w:t>
      </w:r>
      <w:r>
        <w:rPr>
          <w:rtl/>
        </w:rPr>
        <w:t xml:space="preserve"> (רסו מ"ז ד) דן דכ"ז בקטן אחר, אבל בבנו מדרבנן אסור משום חינוך. [לדעת הראשונים דמצוות חינוך שייך אף באיסורים]</w:t>
      </w:r>
      <w:r>
        <w:t>.</w:t>
      </w:r>
    </w:p>
  </w:footnote>
  <w:footnote w:id="7604">
    <w:p w14:paraId="271BC0A8" w14:textId="77777777" w:rsidR="006C4368" w:rsidRDefault="006C4368" w:rsidP="006C4368">
      <w:pPr>
        <w:pStyle w:val="Footnote"/>
        <w:bidi/>
      </w:pPr>
      <w:r>
        <w:rPr>
          <w:rStyle w:val="ac"/>
        </w:rPr>
        <w:footnoteRef/>
      </w:r>
      <w:r>
        <w:rPr>
          <w:rtl/>
        </w:rPr>
        <w:t>אך בסוגיה (שם) הותר רק משום פסידא, והתירו איסור קל שלא יעבור איסור חמור. דהתם איירי שעושה עבור אביו, דאסור משום דאתי למיסרך. [אך אילו היה אסור מדאורייתא ל"מ טעם זה]</w:t>
      </w:r>
      <w:r>
        <w:t>.</w:t>
      </w:r>
    </w:p>
  </w:footnote>
  <w:footnote w:id="7605">
    <w:p w14:paraId="6EBAC37F" w14:textId="77777777" w:rsidR="006C4368" w:rsidRDefault="006C4368" w:rsidP="006C4368">
      <w:pPr>
        <w:pStyle w:val="Footnote"/>
        <w:bidi/>
      </w:pPr>
      <w:r>
        <w:rPr>
          <w:rStyle w:val="ac"/>
        </w:rPr>
        <w:footnoteRef/>
      </w:r>
      <w:r>
        <w:rPr>
          <w:rtl/>
        </w:rPr>
        <w:t>אך ה</w:t>
      </w:r>
      <w:r>
        <w:rPr>
          <w:b/>
          <w:bCs/>
          <w:rtl/>
        </w:rPr>
        <w:t>אחרונים</w:t>
      </w:r>
      <w:r>
        <w:rPr>
          <w:rtl/>
        </w:rPr>
        <w:t xml:space="preserve"> הק' דבברייתא (לעיל) משמע דאסור להאכיל בידים לקטן דמאי. אך לתי' הב' (בתוד"ה אמר) שאני דמאי דיש צד טבל דאורייתא [והרשב”א כאן איירי דוקא בטבל דרבנן דעציץ שאינו נקוב]</w:t>
      </w:r>
      <w:r>
        <w:t>.</w:t>
      </w:r>
    </w:p>
    <w:p w14:paraId="0DEAD082" w14:textId="77777777" w:rsidR="006C4368" w:rsidRDefault="006C4368" w:rsidP="006C4368">
      <w:pPr>
        <w:pStyle w:val="Footnote"/>
        <w:bidi/>
      </w:pPr>
      <w:r>
        <w:t xml:space="preserve"> </w:t>
      </w:r>
      <w:r>
        <w:tab/>
      </w:r>
      <w:r>
        <w:rPr>
          <w:rtl/>
        </w:rPr>
        <w:t>וה</w:t>
      </w:r>
      <w:r>
        <w:rPr>
          <w:b/>
          <w:bCs/>
          <w:rtl/>
        </w:rPr>
        <w:t>בית הלוי</w:t>
      </w:r>
      <w:r>
        <w:rPr>
          <w:rtl/>
        </w:rPr>
        <w:t xml:space="preserve"> (הו' לעיל) כת' דאסור להאכילו משום איסור הנאת כילוי דטבל. אך לכאורה אף טבל דרבנן [דעציץ שאינו נקוב] יש איסור הנאת כילוי, א"כ מבואר ברשב"א דלא כדבריו</w:t>
      </w:r>
      <w:r>
        <w:t>.</w:t>
      </w:r>
    </w:p>
  </w:footnote>
  <w:footnote w:id="7606">
    <w:p w14:paraId="044DB7F6" w14:textId="77777777" w:rsidR="006C4368" w:rsidRDefault="006C4368" w:rsidP="006C4368">
      <w:pPr>
        <w:pStyle w:val="Footnote"/>
        <w:bidi/>
      </w:pPr>
      <w:r>
        <w:rPr>
          <w:rStyle w:val="ac"/>
        </w:rPr>
        <w:footnoteRef/>
      </w:r>
      <w:r>
        <w:rPr>
          <w:rtl/>
        </w:rPr>
        <w:t>והעלה צד דבעינן דוקא מידי דחזי לגדולים, ודחה דתניא התם מערבין לגדול ביוה"כ משום דחזי לקטנים, וכמו שמערבין ביין לנזיר. אלמא כל שראוי לקטנים מערבין בו לגדולים</w:t>
      </w:r>
      <w:r>
        <w:t>.</w:t>
      </w:r>
    </w:p>
    <w:p w14:paraId="34971CB4" w14:textId="77777777" w:rsidR="006C4368" w:rsidRDefault="006C4368" w:rsidP="006C4368">
      <w:pPr>
        <w:pStyle w:val="Footnote"/>
        <w:bidi/>
      </w:pPr>
      <w:r>
        <w:tab/>
      </w:r>
      <w:r>
        <w:rPr>
          <w:rtl/>
        </w:rPr>
        <w:t>וה</w:t>
      </w:r>
      <w:r>
        <w:rPr>
          <w:b/>
          <w:bCs/>
          <w:rtl/>
        </w:rPr>
        <w:t>רשב"א</w:t>
      </w:r>
      <w:r>
        <w:rPr>
          <w:rtl/>
        </w:rPr>
        <w:t xml:space="preserve"> תי' דגבי טבל ל"מ כיון דהוא אסור בעצם. ובעינן מידי דחזי לגדולים. ולא דמי למערב לגדול ביוה"כ, דהתם הוא גופיה חזי אפי' לגדולים אלא דאיסורא דיומא גרים ליה. וכיון דאין איסורו מצד עצמו של עירוב, וחזי נמי השתא לקטנים מיהא מערבין בו ואפי' לגדול. משא"כ בטבל דאיסורו מצד עצמו, והלכך אע"ג דחזי לקטנים אין מערבין בו לגדול. [ואכמ"ל]</w:t>
      </w:r>
      <w:r>
        <w:t>.</w:t>
      </w:r>
    </w:p>
  </w:footnote>
  <w:footnote w:id="7607">
    <w:p w14:paraId="2434F20B" w14:textId="77777777" w:rsidR="006C4368" w:rsidRDefault="006C4368" w:rsidP="006C4368">
      <w:pPr>
        <w:pStyle w:val="Footnote"/>
        <w:bidi/>
      </w:pPr>
      <w:r>
        <w:rPr>
          <w:rStyle w:val="ac"/>
        </w:rPr>
        <w:footnoteRef/>
      </w:r>
      <w:r>
        <w:rPr>
          <w:rtl/>
        </w:rPr>
        <w:t>והגמ' מחלקת [דאין מעכבין או מתעסקין בחיוב] דהא בהגיע לחינוך, והא דלא הגיע לחינוך. [עי"ש רש"י ותוס' וראשונים. ו</w:t>
      </w:r>
      <w:r>
        <w:rPr>
          <w:b/>
          <w:bCs/>
          <w:rtl/>
        </w:rPr>
        <w:t>תוס</w:t>
      </w:r>
      <w:r>
        <w:rPr>
          <w:rtl/>
        </w:rPr>
        <w:t>' (ערכין ג.) כת' דהיינו הגיע לחינוך של שבת, ומש”ה היה ראוי להפרישו. אלא דלא הגיע לחינוך תקיעת שופר]</w:t>
      </w:r>
      <w:r>
        <w:t>.</w:t>
      </w:r>
    </w:p>
  </w:footnote>
  <w:footnote w:id="7608">
    <w:p w14:paraId="1E3662DF" w14:textId="77777777" w:rsidR="006C4368" w:rsidRDefault="006C4368" w:rsidP="006C4368">
      <w:pPr>
        <w:pStyle w:val="Footnote"/>
        <w:bidi/>
      </w:pPr>
      <w:r>
        <w:rPr>
          <w:rStyle w:val="ac"/>
        </w:rPr>
        <w:footnoteRef/>
      </w:r>
      <w:r>
        <w:rPr>
          <w:rtl/>
        </w:rPr>
        <w:t>ותוס' הוכיחו כן מדברי אביי דאיירי בתולש מעציץ שאינו נקוב, ואפי' הכי לא יאמר לתינוק. [אך למ"ד דאין בי"ד מצווין להפרישו אין ראיה דבאיסור דרבנן אסור להאכיל בידים. ולכאורה כוונת התוס' דלא משמע דנח' בזה]</w:t>
      </w:r>
      <w:r>
        <w:t>.</w:t>
      </w:r>
    </w:p>
  </w:footnote>
  <w:footnote w:id="7609">
    <w:p w14:paraId="277BB471" w14:textId="77777777" w:rsidR="006C4368" w:rsidRDefault="006C4368" w:rsidP="006C4368">
      <w:pPr>
        <w:pStyle w:val="Footnote"/>
        <w:bidi/>
      </w:pPr>
      <w:r>
        <w:rPr>
          <w:rStyle w:val="ac"/>
        </w:rPr>
        <w:footnoteRef/>
      </w:r>
      <w:r>
        <w:rPr>
          <w:rtl/>
        </w:rPr>
        <w:t>והוסיף דאפי' בשהגיע לחינוך, כדמשמע לכאורה (נדה מו:) דאפי' מופלא הסמוך לאיש. [וע' מה שהו' לעיל]</w:t>
      </w:r>
      <w:r>
        <w:t>.</w:t>
      </w:r>
    </w:p>
  </w:footnote>
  <w:footnote w:id="7610">
    <w:p w14:paraId="4FC62C11" w14:textId="77777777" w:rsidR="006C4368" w:rsidRDefault="006C4368" w:rsidP="006C4368">
      <w:pPr>
        <w:pStyle w:val="Footnote"/>
        <w:bidi/>
      </w:pPr>
      <w:r>
        <w:rPr>
          <w:rStyle w:val="ac"/>
        </w:rPr>
        <w:footnoteRef/>
      </w:r>
      <w:r>
        <w:rPr>
          <w:rtl/>
        </w:rPr>
        <w:t>וה</w:t>
      </w:r>
      <w:r>
        <w:rPr>
          <w:b/>
          <w:bCs/>
          <w:rtl/>
        </w:rPr>
        <w:t>ר"ן</w:t>
      </w:r>
      <w:r>
        <w:rPr>
          <w:rtl/>
        </w:rPr>
        <w:t xml:space="preserve"> (ר"ה שם ט: בדה"ר) תי' דהתם מילתא דמפרסמא, שהקרן נשמע לרבים. ומש"ה מעכבין דלמא נפיק מינה חורבא לתקוע בשבת</w:t>
      </w:r>
      <w:r>
        <w:t>.</w:t>
      </w:r>
    </w:p>
  </w:footnote>
  <w:footnote w:id="7611">
    <w:p w14:paraId="009559ED" w14:textId="77777777" w:rsidR="006C4368" w:rsidRDefault="006C4368" w:rsidP="006C4368">
      <w:pPr>
        <w:pStyle w:val="Footnote"/>
        <w:bidi/>
      </w:pPr>
      <w:r>
        <w:rPr>
          <w:rStyle w:val="ac"/>
        </w:rPr>
        <w:footnoteRef/>
      </w:r>
      <w:r>
        <w:rPr>
          <w:rtl/>
        </w:rPr>
        <w:t>ויל"ד אי כוונתו משום איסור ספייה, או משום אתי למיסרך. [וע' מש"כ לעיל]</w:t>
      </w:r>
      <w:r>
        <w:t>.</w:t>
      </w:r>
    </w:p>
  </w:footnote>
  <w:footnote w:id="7612">
    <w:p w14:paraId="7CA79317" w14:textId="77777777" w:rsidR="006C4368" w:rsidRDefault="006C4368" w:rsidP="006C4368">
      <w:pPr>
        <w:pStyle w:val="Footnote"/>
        <w:bidi/>
      </w:pPr>
      <w:r>
        <w:rPr>
          <w:rStyle w:val="ac"/>
        </w:rPr>
        <w:footnoteRef/>
      </w:r>
      <w:r>
        <w:rPr>
          <w:rtl/>
        </w:rPr>
        <w:t>וה</w:t>
      </w:r>
      <w:r>
        <w:rPr>
          <w:b/>
          <w:bCs/>
          <w:rtl/>
        </w:rPr>
        <w:t>רשב"א</w:t>
      </w:r>
      <w:r>
        <w:rPr>
          <w:rtl/>
        </w:rPr>
        <w:t xml:space="preserve"> יישב בזה הא דאי' (כתובות ס.) דתינוק שפירש מלינוק לאחר כ"ד חדש, אח"כ אסור לינוק, דהוה כיונק שקץ. והשואל הק' דהוה איסור דרבנן. ולדעת הרשב"א ספינן איסור דרבנן לתינוק. והרשב"א השיב דתינוק בריא לאחר שיעורים אלו אי"צ ליונק יותר. ולא הוה צורכו של תינוק.</w:t>
      </w:r>
      <w:r>
        <w:tab/>
      </w:r>
      <w:r>
        <w:rPr>
          <w:rtl/>
        </w:rPr>
        <w:t>והרשב"א הוסיף דכשאמרתי להלכה אמרתי ולא למעשה</w:t>
      </w:r>
      <w:r>
        <w:t>.</w:t>
      </w:r>
    </w:p>
    <w:p w14:paraId="43C2C9D3" w14:textId="77777777" w:rsidR="006C4368" w:rsidRDefault="006C4368" w:rsidP="006C4368">
      <w:pPr>
        <w:pStyle w:val="Footnote"/>
        <w:bidi/>
      </w:pPr>
      <w:r>
        <w:tab/>
      </w:r>
      <w:r>
        <w:rPr>
          <w:rtl/>
        </w:rPr>
        <w:t>וה</w:t>
      </w:r>
      <w:r>
        <w:rPr>
          <w:b/>
          <w:bCs/>
          <w:rtl/>
        </w:rPr>
        <w:t>מג”א</w:t>
      </w:r>
      <w:r>
        <w:rPr>
          <w:rtl/>
        </w:rPr>
        <w:t xml:space="preserve"> (שמג ג) הביא את דברי שו”ת הרשב"א דמידי דצריך לתינוק, כגון אכילה ביוה"כ מאכילין אותו בידים אבל מידי דלא צריך ליה לא. דהא אסור להניק לאחר כ"ד חודש. [ולא הזכיר החילוק בין איסור דאורייתא לדרבנן]</w:t>
      </w:r>
      <w:r>
        <w:t>.</w:t>
      </w:r>
    </w:p>
  </w:footnote>
  <w:footnote w:id="7613">
    <w:p w14:paraId="22C57B65" w14:textId="77777777" w:rsidR="006C4368" w:rsidRDefault="006C4368" w:rsidP="006C4368">
      <w:pPr>
        <w:pStyle w:val="Footnote"/>
        <w:bidi/>
      </w:pPr>
      <w:r>
        <w:rPr>
          <w:rStyle w:val="ac"/>
        </w:rPr>
        <w:footnoteRef/>
      </w:r>
      <w:r>
        <w:rPr>
          <w:rtl/>
        </w:rPr>
        <w:t>דלדעת רבנן. אבל מבואר (שם) דר' יהודה לא חייש לזה</w:t>
      </w:r>
      <w:r>
        <w:t>.</w:t>
      </w:r>
    </w:p>
  </w:footnote>
  <w:footnote w:id="7614">
    <w:p w14:paraId="0D1BA012" w14:textId="77777777" w:rsidR="006C4368" w:rsidRDefault="006C4368" w:rsidP="006C4368">
      <w:pPr>
        <w:pStyle w:val="Footnote"/>
        <w:bidi/>
      </w:pPr>
      <w:r>
        <w:rPr>
          <w:rStyle w:val="ac"/>
        </w:rPr>
        <w:footnoteRef/>
      </w:r>
      <w:r>
        <w:rPr>
          <w:rtl/>
        </w:rPr>
        <w:t>ואף שנותן לו למשחק, כיון דיש חשש שיאכל נחשב שמאכילו בידים</w:t>
      </w:r>
      <w:r>
        <w:t>.</w:t>
      </w:r>
    </w:p>
  </w:footnote>
  <w:footnote w:id="7615">
    <w:p w14:paraId="77D885DD" w14:textId="77777777" w:rsidR="006C4368" w:rsidRDefault="006C4368" w:rsidP="006C4368">
      <w:pPr>
        <w:pStyle w:val="Footnote"/>
        <w:bidi/>
      </w:pPr>
      <w:r>
        <w:rPr>
          <w:rStyle w:val="ac"/>
        </w:rPr>
        <w:footnoteRef/>
      </w:r>
      <w:r>
        <w:rPr>
          <w:rtl/>
        </w:rPr>
        <w:t xml:space="preserve">ואילו הרשב"א הביא מדברי </w:t>
      </w:r>
      <w:r>
        <w:rPr>
          <w:b/>
          <w:bCs/>
          <w:rtl/>
        </w:rPr>
        <w:t>רש"י</w:t>
      </w:r>
      <w:r>
        <w:rPr>
          <w:rtl/>
        </w:rPr>
        <w:t xml:space="preserve"> (נדה מו:) דבאיסור דרבנן אי"צ להפרישו</w:t>
      </w:r>
      <w:r>
        <w:t>.</w:t>
      </w:r>
    </w:p>
  </w:footnote>
  <w:footnote w:id="7616">
    <w:p w14:paraId="48945962" w14:textId="77777777" w:rsidR="006C4368" w:rsidRDefault="006C4368" w:rsidP="006C4368">
      <w:pPr>
        <w:pStyle w:val="Footnote"/>
        <w:bidi/>
      </w:pPr>
      <w:r>
        <w:rPr>
          <w:rStyle w:val="ac"/>
        </w:rPr>
        <w:footnoteRef/>
      </w:r>
      <w:r>
        <w:rPr>
          <w:rtl/>
        </w:rPr>
        <w:t>וה</w:t>
      </w:r>
      <w:r>
        <w:rPr>
          <w:b/>
          <w:bCs/>
          <w:rtl/>
        </w:rPr>
        <w:t>משנ"ל</w:t>
      </w:r>
      <w:r>
        <w:rPr>
          <w:rtl/>
        </w:rPr>
        <w:t xml:space="preserve"> כת' די"ל דקו' הגמ' (שם) אליבא דמ"ד בי"ד מצווין להפרישו מאיסור דאורייתא, ולהך מ"ד אף מאיסור דרבנן אין מאכילים בידים [וכמ"ש הרשב"א דנחתינן דרגא. וכן מבואר בסוגיין]. וכוונת הגמ' בשבת דיש להוכיח דבאיסור דרבנן רשאי ליתן, א"כ מוכח ממתני' דהתם דבאיסור דאורייתא בי"ד מצווין להפרישו. ותפשוט ספק דסוגיין. [ודוחק דרש"י בשבת העמיד את הסוגיה אף למ"ד אין בי"ד מצווין להפרישו. ועכ”פ ההג' אשר”י הביא כן להלכה]</w:t>
      </w:r>
      <w:r>
        <w:t>.</w:t>
      </w:r>
    </w:p>
  </w:footnote>
  <w:footnote w:id="7617">
    <w:p w14:paraId="7E35E63B" w14:textId="77777777" w:rsidR="006C4368" w:rsidRDefault="006C4368" w:rsidP="006C4368">
      <w:pPr>
        <w:pStyle w:val="Footnote"/>
        <w:bidi/>
      </w:pPr>
      <w:r>
        <w:rPr>
          <w:rStyle w:val="ac"/>
        </w:rPr>
        <w:footnoteRef/>
      </w:r>
      <w:r>
        <w:rPr>
          <w:rtl/>
        </w:rPr>
        <w:t>ועוד ציין ה</w:t>
      </w:r>
      <w:r>
        <w:rPr>
          <w:b/>
          <w:bCs/>
          <w:rtl/>
        </w:rPr>
        <w:t>משנ"ל</w:t>
      </w:r>
      <w:r>
        <w:rPr>
          <w:rtl/>
        </w:rPr>
        <w:t xml:space="preserve"> לגמ' (מו"ק יד.) דדנו האם מותר לגלח קטן במועד [כשנולד במועד]</w:t>
      </w:r>
      <w:r>
        <w:t>.</w:t>
      </w:r>
    </w:p>
  </w:footnote>
  <w:footnote w:id="7618">
    <w:p w14:paraId="74CE5945" w14:textId="77777777" w:rsidR="006C4368" w:rsidRDefault="006C4368" w:rsidP="006C4368">
      <w:pPr>
        <w:pStyle w:val="Footnote"/>
        <w:bidi/>
      </w:pPr>
      <w:r>
        <w:rPr>
          <w:rStyle w:val="ac"/>
        </w:rPr>
        <w:footnoteRef/>
      </w:r>
      <w:r>
        <w:rPr>
          <w:rtl/>
        </w:rPr>
        <w:t>וב</w:t>
      </w:r>
      <w:r>
        <w:rPr>
          <w:b/>
          <w:bCs/>
          <w:rtl/>
        </w:rPr>
        <w:t>שו"ת הרשב"א</w:t>
      </w:r>
      <w:r>
        <w:rPr>
          <w:rtl/>
        </w:rPr>
        <w:t xml:space="preserve"> (א קכח) הביא סעד לדבריו ממה שאמרו (סוכה מב.) קטן היודע לשמור תפיליו אביו קונה לו תפילין. אך כת' דגם זה אינו מחוור בעיני, שאין הפרש בין בי"ד לאביו, ע"פ הגמ' (בסוגיין ובנדה). וכת' דיש לי בזה כמה ראיות ואין זה מקומן</w:t>
      </w:r>
      <w:r>
        <w:t>.</w:t>
      </w:r>
    </w:p>
  </w:footnote>
  <w:footnote w:id="7619">
    <w:p w14:paraId="2B43A560" w14:textId="77777777" w:rsidR="006C4368" w:rsidRDefault="006C4368" w:rsidP="006C4368">
      <w:pPr>
        <w:pStyle w:val="Footnote"/>
        <w:bidi/>
      </w:pPr>
      <w:r>
        <w:rPr>
          <w:rStyle w:val="ac"/>
        </w:rPr>
        <w:footnoteRef/>
      </w:r>
      <w:r>
        <w:rPr>
          <w:rtl/>
        </w:rPr>
        <w:t>ו</w:t>
      </w:r>
      <w:r>
        <w:rPr>
          <w:b/>
          <w:bCs/>
          <w:rtl/>
        </w:rPr>
        <w:t>רבינו הלל</w:t>
      </w:r>
      <w:r>
        <w:rPr>
          <w:rtl/>
        </w:rPr>
        <w:t xml:space="preserve"> (לתו"כ, הו' בר"א מזרחי) כת' דהוזהרו גדולים על הקטנים להפרישן. וה</w:t>
      </w:r>
      <w:r>
        <w:rPr>
          <w:b/>
          <w:bCs/>
          <w:rtl/>
        </w:rPr>
        <w:t>ב"ח</w:t>
      </w:r>
      <w:r>
        <w:rPr>
          <w:rtl/>
        </w:rPr>
        <w:t xml:space="preserve"> (שמג) הביא דה</w:t>
      </w:r>
      <w:r>
        <w:rPr>
          <w:b/>
          <w:bCs/>
          <w:rtl/>
        </w:rPr>
        <w:t>רי"ף</w:t>
      </w:r>
      <w:r>
        <w:rPr>
          <w:rtl/>
        </w:rPr>
        <w:t xml:space="preserve"> וה</w:t>
      </w:r>
      <w:r>
        <w:rPr>
          <w:b/>
          <w:bCs/>
          <w:rtl/>
        </w:rPr>
        <w:t>רא"ש</w:t>
      </w:r>
      <w:r>
        <w:rPr>
          <w:rtl/>
        </w:rPr>
        <w:t xml:space="preserve"> (הל' טומאה) הביאו הלשון להזהיר, והשמיטו האוקימתא דלא לטמא בידים. משמע דלמסקנא לא קאי</w:t>
      </w:r>
      <w:r>
        <w:t>.</w:t>
      </w:r>
    </w:p>
  </w:footnote>
  <w:footnote w:id="7620">
    <w:p w14:paraId="5D2C30B6" w14:textId="77777777" w:rsidR="006C4368" w:rsidRDefault="006C4368" w:rsidP="006C4368">
      <w:pPr>
        <w:pStyle w:val="Footnote"/>
        <w:bidi/>
      </w:pPr>
      <w:r>
        <w:rPr>
          <w:rStyle w:val="ac"/>
        </w:rPr>
        <w:footnoteRef/>
      </w:r>
      <w:r>
        <w:rPr>
          <w:rtl/>
        </w:rPr>
        <w:t>וכדאי' דקטן הבא לכבות, דוקא עושה על דעת אביו מחוייב להפרישו</w:t>
      </w:r>
      <w:r>
        <w:t>.</w:t>
      </w:r>
    </w:p>
  </w:footnote>
  <w:footnote w:id="7621">
    <w:p w14:paraId="035591FC" w14:textId="77777777" w:rsidR="006C4368" w:rsidRDefault="006C4368" w:rsidP="006C4368">
      <w:pPr>
        <w:pStyle w:val="Footnote"/>
        <w:bidi/>
      </w:pPr>
      <w:r>
        <w:rPr>
          <w:rStyle w:val="ac"/>
        </w:rPr>
        <w:footnoteRef/>
      </w:r>
      <w:r>
        <w:rPr>
          <w:rtl/>
        </w:rPr>
        <w:t>וה</w:t>
      </w:r>
      <w:r>
        <w:rPr>
          <w:b/>
          <w:bCs/>
          <w:rtl/>
        </w:rPr>
        <w:t>שואל בשו"ת הרשב"א</w:t>
      </w:r>
      <w:r>
        <w:rPr>
          <w:rtl/>
        </w:rPr>
        <w:t xml:space="preserve"> (א קכח) הק' מסוגיין דלא אתא קרא אלא דלא נטמא להו בידים. וה</w:t>
      </w:r>
      <w:r>
        <w:rPr>
          <w:b/>
          <w:bCs/>
          <w:rtl/>
        </w:rPr>
        <w:t>רשב"א</w:t>
      </w:r>
      <w:r>
        <w:rPr>
          <w:rtl/>
        </w:rPr>
        <w:t xml:space="preserve"> הסכים עמו שכן האמת שאין הפרש בין טומאה לשאר איסורין, ובכלן אין ב"ד מצווין להפריש את הקטנים. ואין אנו אחראין לרבינו יונתן</w:t>
      </w:r>
      <w:r>
        <w:t>.</w:t>
      </w:r>
    </w:p>
  </w:footnote>
  <w:footnote w:id="7622">
    <w:p w14:paraId="04CE1830" w14:textId="77777777" w:rsidR="006C4368" w:rsidRDefault="006C4368" w:rsidP="006C4368">
      <w:pPr>
        <w:pStyle w:val="Footnote"/>
        <w:bidi/>
      </w:pPr>
      <w:r>
        <w:rPr>
          <w:rStyle w:val="ac"/>
        </w:rPr>
        <w:footnoteRef/>
      </w:r>
      <w:r>
        <w:rPr>
          <w:rtl/>
        </w:rPr>
        <w:t>וה</w:t>
      </w:r>
      <w:r>
        <w:rPr>
          <w:b/>
          <w:bCs/>
          <w:rtl/>
        </w:rPr>
        <w:t>מג"א</w:t>
      </w:r>
      <w:r>
        <w:rPr>
          <w:rtl/>
        </w:rPr>
        <w:t xml:space="preserve"> (שמג בהקדמה) הביא דדעת הרמ"א דאין מצווין להפרישו, וכת' דכ"ד רוב הפוסקים ופשטא דגמ'. [אך ה</w:t>
      </w:r>
      <w:r>
        <w:rPr>
          <w:b/>
          <w:bCs/>
          <w:rtl/>
        </w:rPr>
        <w:t>שו"ע</w:t>
      </w:r>
      <w:r>
        <w:rPr>
          <w:rtl/>
        </w:rPr>
        <w:t xml:space="preserve"> (יו"ד שם) סתם להזהיר גדולים על הקטנים וכו']</w:t>
      </w:r>
      <w:r>
        <w:t>.</w:t>
      </w:r>
    </w:p>
  </w:footnote>
  <w:footnote w:id="7623">
    <w:p w14:paraId="7182A048" w14:textId="77777777" w:rsidR="006C4368" w:rsidRDefault="006C4368" w:rsidP="006C4368">
      <w:pPr>
        <w:pStyle w:val="Footnote"/>
        <w:bidi/>
      </w:pPr>
      <w:r>
        <w:rPr>
          <w:rStyle w:val="ac"/>
        </w:rPr>
        <w:footnoteRef/>
      </w:r>
      <w:r>
        <w:rPr>
          <w:rtl/>
        </w:rPr>
        <w:t>וה</w:t>
      </w:r>
      <w:r>
        <w:rPr>
          <w:b/>
          <w:bCs/>
          <w:rtl/>
        </w:rPr>
        <w:t>פרמ”ג</w:t>
      </w:r>
      <w:r>
        <w:rPr>
          <w:rtl/>
        </w:rPr>
        <w:t xml:space="preserve"> הביא דלפ”ז נמצא נשתנו אלו הג' דינים מוזהרין הבי"ד על הקטנים שלא יניחום בלאו מן התורה. אבל אין מלקות דהוה לאו שאין בו מעשה</w:t>
      </w:r>
      <w:r>
        <w:t>.</w:t>
      </w:r>
    </w:p>
  </w:footnote>
  <w:footnote w:id="7624">
    <w:p w14:paraId="3B4BE8DC" w14:textId="77777777" w:rsidR="006C4368" w:rsidRDefault="006C4368" w:rsidP="006C4368">
      <w:pPr>
        <w:pStyle w:val="Footnote"/>
        <w:bidi/>
      </w:pPr>
      <w:r>
        <w:rPr>
          <w:rStyle w:val="ac"/>
        </w:rPr>
        <w:footnoteRef/>
      </w:r>
      <w:r>
        <w:rPr>
          <w:rtl/>
        </w:rPr>
        <w:t>ואע"ג דעביד בגמ' צריכותא, הצריכותא לאו דוקא דא"כ לכתוב רחמנא גבי נבילה כדו'. וה</w:t>
      </w:r>
      <w:r>
        <w:rPr>
          <w:b/>
          <w:bCs/>
          <w:rtl/>
        </w:rPr>
        <w:t>ט"ז</w:t>
      </w:r>
      <w:r>
        <w:rPr>
          <w:rtl/>
        </w:rPr>
        <w:t xml:space="preserve"> (או"ח שמג) תמה וזהו פלאי להתחכם על התלמוד, שעשה כאן צריכותא ואנן נימא דלאו צריכותא</w:t>
      </w:r>
      <w:r>
        <w:t>.</w:t>
      </w:r>
    </w:p>
  </w:footnote>
  <w:footnote w:id="7625">
    <w:p w14:paraId="6A311FC1" w14:textId="77777777" w:rsidR="006C4368" w:rsidRDefault="006C4368" w:rsidP="006C4368">
      <w:pPr>
        <w:pStyle w:val="Footnote"/>
        <w:bidi/>
      </w:pPr>
      <w:r>
        <w:rPr>
          <w:rStyle w:val="ac"/>
        </w:rPr>
        <w:footnoteRef/>
      </w:r>
      <w:r>
        <w:rPr>
          <w:rtl/>
        </w:rPr>
        <w:t>וכ"כ ה</w:t>
      </w:r>
      <w:r>
        <w:rPr>
          <w:b/>
          <w:bCs/>
          <w:rtl/>
        </w:rPr>
        <w:t>ב"ח</w:t>
      </w:r>
      <w:r>
        <w:rPr>
          <w:rtl/>
        </w:rPr>
        <w:t xml:space="preserve"> (שמג) דלבתר דמצריך להו, וקאמר ואי אשמעינן טומאה כהנים שאני משום דריבה להן מצות יתירות תו לא איצטריך לאוקימתא דאתא דלא ליטמינהו בידים. אלא כיון דריבה להן מצות יתירות החמירה תורה להפריש הקטנים מטומאה וכדמשמע פשטא דקרא אמור אל הכהנים</w:t>
      </w:r>
      <w:r>
        <w:t>.</w:t>
      </w:r>
    </w:p>
  </w:footnote>
  <w:footnote w:id="7626">
    <w:p w14:paraId="799C152A" w14:textId="77777777" w:rsidR="006C4368" w:rsidRDefault="006C4368" w:rsidP="006C4368">
      <w:pPr>
        <w:pStyle w:val="Footnote"/>
        <w:bidi/>
      </w:pPr>
      <w:r>
        <w:rPr>
          <w:rStyle w:val="ac"/>
        </w:rPr>
        <w:footnoteRef/>
      </w:r>
      <w:r>
        <w:rPr>
          <w:rtl/>
        </w:rPr>
        <w:t>למ"ד דשה לבית אבות לאו דאורייתא</w:t>
      </w:r>
      <w:r>
        <w:t>.</w:t>
      </w:r>
    </w:p>
  </w:footnote>
  <w:footnote w:id="7627">
    <w:p w14:paraId="73E4D53B" w14:textId="77777777" w:rsidR="006C4368" w:rsidRDefault="006C4368" w:rsidP="006C4368">
      <w:pPr>
        <w:pStyle w:val="Footnote"/>
        <w:bidi/>
      </w:pPr>
      <w:r>
        <w:rPr>
          <w:rStyle w:val="ac"/>
        </w:rPr>
        <w:footnoteRef/>
      </w:r>
      <w:r>
        <w:rPr>
          <w:rtl/>
        </w:rPr>
        <w:t>וב</w:t>
      </w:r>
      <w:r>
        <w:rPr>
          <w:b/>
          <w:bCs/>
          <w:rtl/>
        </w:rPr>
        <w:t>ס' עמודי אור</w:t>
      </w:r>
      <w:r>
        <w:rPr>
          <w:rtl/>
        </w:rPr>
        <w:t xml:space="preserve"> תי' [קו' התוס'] דאיסור דשלא למנוייו הוה איסור עשה, ול"ד ללאו דשרצים ואינך דכתיב בהו לא תאכילום. והאחיעזר דחה דהתה”ד (הו' בסמוך) הוכיח דאף באיסור עשה אסור להאכיל בידים</w:t>
      </w:r>
      <w:r>
        <w:t>.</w:t>
      </w:r>
    </w:p>
  </w:footnote>
  <w:footnote w:id="7628">
    <w:p w14:paraId="2CD524B5" w14:textId="77777777" w:rsidR="006C4368" w:rsidRDefault="006C4368" w:rsidP="006C4368">
      <w:pPr>
        <w:pStyle w:val="Footnote"/>
        <w:bidi/>
      </w:pPr>
      <w:r>
        <w:rPr>
          <w:rStyle w:val="ac"/>
        </w:rPr>
        <w:footnoteRef/>
      </w:r>
      <w:r>
        <w:rPr>
          <w:rtl/>
        </w:rPr>
        <w:t>אלא דהתם איירי באיסור דרבנן. וע"ע מה שהו' לעיל</w:t>
      </w:r>
      <w:r>
        <w:t>.</w:t>
      </w:r>
    </w:p>
  </w:footnote>
  <w:footnote w:id="7629">
    <w:p w14:paraId="07EDF95E" w14:textId="77777777" w:rsidR="006C4368" w:rsidRDefault="006C4368" w:rsidP="006C4368">
      <w:pPr>
        <w:pStyle w:val="Footnote"/>
        <w:bidi/>
      </w:pPr>
      <w:r>
        <w:rPr>
          <w:rStyle w:val="ac"/>
        </w:rPr>
        <w:footnoteRef/>
      </w:r>
      <w:r>
        <w:rPr>
          <w:rtl/>
        </w:rPr>
        <w:t>והביא דה</w:t>
      </w:r>
      <w:r>
        <w:rPr>
          <w:b/>
          <w:bCs/>
          <w:rtl/>
        </w:rPr>
        <w:t>פלתי</w:t>
      </w:r>
      <w:r>
        <w:rPr>
          <w:rtl/>
        </w:rPr>
        <w:t xml:space="preserve"> (קא) תי' דהתם האיסור שלא למנויו הוה רק מדרבנן, דמדאורייתא בטל ברוב [עי"ש, אלא מדרבנן אינו בטל, דהוה חתיכה הראוי]. והביא דברי הרשב"א דבאיסור דרבנן ספינן בידים [ותי' בזה קו' התוס']</w:t>
      </w:r>
      <w:r>
        <w:t>.</w:t>
      </w:r>
    </w:p>
    <w:p w14:paraId="4F8434CF" w14:textId="77777777" w:rsidR="006C4368" w:rsidRDefault="006C4368" w:rsidP="006C4368">
      <w:pPr>
        <w:pStyle w:val="Footnote"/>
        <w:bidi/>
      </w:pPr>
      <w:r>
        <w:tab/>
      </w:r>
      <w:r>
        <w:rPr>
          <w:rtl/>
        </w:rPr>
        <w:t>ורע"א כת' די"ל דכוונת התוס' ג"כ משום ביטול מדאורייתא, ומשום מצוות חינוך התירו להאכיל איסור דרבנן</w:t>
      </w:r>
      <w:r>
        <w:t>.</w:t>
      </w:r>
    </w:p>
  </w:footnote>
  <w:footnote w:id="7630">
    <w:p w14:paraId="1DEAC2BE" w14:textId="77777777" w:rsidR="006C4368" w:rsidRDefault="006C4368" w:rsidP="006C4368">
      <w:pPr>
        <w:pStyle w:val="Footnote"/>
        <w:bidi/>
      </w:pPr>
      <w:r>
        <w:rPr>
          <w:rStyle w:val="ac"/>
        </w:rPr>
        <w:footnoteRef/>
      </w:r>
      <w:r>
        <w:rPr>
          <w:rtl/>
        </w:rPr>
        <w:t xml:space="preserve">ועד"ז תי' כמה </w:t>
      </w:r>
      <w:r>
        <w:rPr>
          <w:b/>
          <w:bCs/>
          <w:rtl/>
        </w:rPr>
        <w:t>אחרונים</w:t>
      </w:r>
      <w:r>
        <w:rPr>
          <w:rtl/>
        </w:rPr>
        <w:t xml:space="preserve"> (ע' חת"ס או"ח פג, עמודי אור יג) דיש צד דמותר להאכיל לקטן קונמות, דאיסור נדר קיל דישנו בשאלה. ומש"ה לא ילפי' לא תאכילום. [אך א"כ אף למ"ד מצווין להפרישו, נימא דבנדרים מודה דאי"צ להפרישו. והגמ' (נדה מו:) דנו משום קטן אוכל נבילות</w:t>
      </w:r>
      <w:r>
        <w:t>.</w:t>
      </w:r>
    </w:p>
  </w:footnote>
  <w:footnote w:id="7631">
    <w:p w14:paraId="523DA8D2" w14:textId="77777777" w:rsidR="006C4368" w:rsidRDefault="006C4368" w:rsidP="006C4368">
      <w:pPr>
        <w:pStyle w:val="Footnote"/>
        <w:bidi/>
      </w:pPr>
      <w:r>
        <w:rPr>
          <w:rStyle w:val="ac"/>
        </w:rPr>
        <w:footnoteRef/>
      </w:r>
      <w:r>
        <w:rPr>
          <w:rtl/>
        </w:rPr>
        <w:t>ואכילה קודם קידוש הוה כגדר ביטול עשה. [וע"ע בסמוך]</w:t>
      </w:r>
      <w:r>
        <w:t>.</w:t>
      </w:r>
    </w:p>
  </w:footnote>
  <w:footnote w:id="7632">
    <w:p w14:paraId="22826A2A" w14:textId="77777777" w:rsidR="006C4368" w:rsidRDefault="006C4368" w:rsidP="006C4368">
      <w:pPr>
        <w:pStyle w:val="Footnote"/>
        <w:bidi/>
      </w:pPr>
      <w:r>
        <w:rPr>
          <w:rStyle w:val="ac"/>
        </w:rPr>
        <w:footnoteRef/>
      </w:r>
      <w:r>
        <w:rPr>
          <w:rtl/>
        </w:rPr>
        <w:t>ועפ"ז ביאר דקטן נחשב 'בר זביחה' משום דאסור להאכילו נבילות. אבל נחשב (גיטין מה:) אינו בקשירה לעשיית תפילין, דל"ש איסור להאכילו ביטול עשה</w:t>
      </w:r>
      <w:r>
        <w:t>.</w:t>
      </w:r>
    </w:p>
  </w:footnote>
  <w:footnote w:id="7633">
    <w:p w14:paraId="002F99FD" w14:textId="77777777" w:rsidR="006C4368" w:rsidRDefault="006C4368" w:rsidP="006C4368">
      <w:pPr>
        <w:pStyle w:val="Footnote"/>
        <w:bidi/>
      </w:pPr>
      <w:r>
        <w:rPr>
          <w:rStyle w:val="ac"/>
        </w:rPr>
        <w:footnoteRef/>
      </w:r>
      <w:r>
        <w:rPr>
          <w:rtl/>
        </w:rPr>
        <w:t>[ומשמע דנקט דהמהר"ם סבר דאיסור דרבנן ספינן, וכרשב”א]. אך צ"ב דאכילה קודם קידוש ודאי הוה איסור דרבנן</w:t>
      </w:r>
      <w:r>
        <w:t>.</w:t>
      </w:r>
    </w:p>
    <w:p w14:paraId="3D333263" w14:textId="77777777" w:rsidR="006C4368" w:rsidRDefault="006C4368" w:rsidP="006C4368">
      <w:pPr>
        <w:pStyle w:val="Footnote"/>
        <w:bidi/>
      </w:pPr>
      <w:r>
        <w:tab/>
        <w:t>{</w:t>
      </w:r>
      <w:r>
        <w:rPr>
          <w:rtl/>
        </w:rPr>
        <w:t>אך לכאורה יל”פ כוונת המהר”ם דאיסור לאכול קודם קידוש הוה איסור דרבנן, ובגדר איסור הבא מכלל עשה. וקליש מאיסור דרבנן גמור</w:t>
      </w:r>
      <w:r>
        <w:t>}.</w:t>
      </w:r>
    </w:p>
  </w:footnote>
  <w:footnote w:id="7634">
    <w:p w14:paraId="7020D1A3" w14:textId="77777777" w:rsidR="006C4368" w:rsidRDefault="006C4368" w:rsidP="006C4368">
      <w:pPr>
        <w:pStyle w:val="Footnote"/>
        <w:bidi/>
      </w:pPr>
      <w:r>
        <w:rPr>
          <w:rStyle w:val="ac"/>
        </w:rPr>
        <w:footnoteRef/>
      </w:r>
      <w:r>
        <w:rPr>
          <w:rtl/>
        </w:rPr>
        <w:t>ויש לדחות דתקנו איסורין דרבנן מעין דאורייתא, ותקנו אף איסור ספייה, וכמו איסורי לאוין דאורייתא</w:t>
      </w:r>
      <w:r>
        <w:t>.</w:t>
      </w:r>
    </w:p>
  </w:footnote>
  <w:footnote w:id="7635">
    <w:p w14:paraId="361741FE" w14:textId="77777777" w:rsidR="006C4368" w:rsidRDefault="006C4368" w:rsidP="006C4368">
      <w:pPr>
        <w:pStyle w:val="Footnote"/>
        <w:bidi/>
      </w:pPr>
      <w:r>
        <w:rPr>
          <w:rStyle w:val="ac"/>
        </w:rPr>
        <w:footnoteRef/>
      </w:r>
      <w:r>
        <w:rPr>
          <w:rtl/>
        </w:rPr>
        <w:t>דתוס' כת' דהא דאמרי' השתא בהמתן של צדיקים אין הקב"ה מביא תקלה, ה"מ במאכל אסור. אבל היכא שהמאכל מותר אלא שהשעה אסורה לא חמיר</w:t>
      </w:r>
      <w:r>
        <w:t>.</w:t>
      </w:r>
    </w:p>
  </w:footnote>
  <w:footnote w:id="7636">
    <w:p w14:paraId="354B76C7" w14:textId="77777777" w:rsidR="006C4368" w:rsidRDefault="006C4368" w:rsidP="006C4368">
      <w:pPr>
        <w:pStyle w:val="Footnote"/>
        <w:bidi/>
      </w:pPr>
      <w:r>
        <w:rPr>
          <w:rStyle w:val="ac"/>
        </w:rPr>
        <w:footnoteRef/>
      </w:r>
      <w:r>
        <w:rPr>
          <w:rtl/>
        </w:rPr>
        <w:t>וב</w:t>
      </w:r>
      <w:r>
        <w:rPr>
          <w:b/>
          <w:bCs/>
          <w:rtl/>
        </w:rPr>
        <w:t>מכילתא</w:t>
      </w:r>
      <w:r>
        <w:rPr>
          <w:rtl/>
        </w:rPr>
        <w:t xml:space="preserve"> אי' דע"כ איירי בקטנים, דבבניו גדולים לא איצטריך לאסור. אבל ב</w:t>
      </w:r>
      <w:r>
        <w:rPr>
          <w:b/>
          <w:bCs/>
          <w:rtl/>
        </w:rPr>
        <w:t>שו"ת חי' הרי"מ</w:t>
      </w:r>
      <w:r>
        <w:rPr>
          <w:rtl/>
        </w:rPr>
        <w:t xml:space="preserve"> (או"ח ג) כת' די"ל דדעת ה</w:t>
      </w:r>
      <w:r>
        <w:rPr>
          <w:b/>
          <w:bCs/>
          <w:rtl/>
        </w:rPr>
        <w:t>בבלי</w:t>
      </w:r>
      <w:r>
        <w:rPr>
          <w:rtl/>
        </w:rPr>
        <w:t xml:space="preserve"> (לעיל מח:) דיל"פ דקאי להזהירו שלא יעשה מלאכה ע"י בנו גדול, והוסיף צווי על האב. [והביא דהרמב"ם וטור ושו"ע לא הביאו כלל הך איסור, שיש לאו מיוחד בשבת בקטן על דעת אביו. וכמו שהביאו שביתת בהמתו]</w:t>
      </w:r>
      <w:r>
        <w:t>.</w:t>
      </w:r>
    </w:p>
    <w:p w14:paraId="2B189167" w14:textId="77777777" w:rsidR="006C4368" w:rsidRDefault="006C4368" w:rsidP="006C4368">
      <w:pPr>
        <w:pStyle w:val="Footnote"/>
        <w:bidi/>
      </w:pPr>
      <w:r>
        <w:tab/>
      </w:r>
      <w:r>
        <w:rPr>
          <w:rtl/>
        </w:rPr>
        <w:t>וה</w:t>
      </w:r>
      <w:r>
        <w:rPr>
          <w:b/>
          <w:bCs/>
          <w:rtl/>
        </w:rPr>
        <w:t>בית אפרים</w:t>
      </w:r>
      <w:r>
        <w:rPr>
          <w:rtl/>
        </w:rPr>
        <w:t xml:space="preserve"> (יו"ד סב) כת' דהמכילתא הוה אסמכתא</w:t>
      </w:r>
      <w:r>
        <w:t>.</w:t>
      </w:r>
    </w:p>
  </w:footnote>
  <w:footnote w:id="7637">
    <w:p w14:paraId="688EDF7A" w14:textId="77777777" w:rsidR="006C4368" w:rsidRDefault="006C4368" w:rsidP="006C4368">
      <w:pPr>
        <w:pStyle w:val="Footnote"/>
        <w:bidi/>
      </w:pPr>
      <w:r>
        <w:rPr>
          <w:rStyle w:val="ac"/>
        </w:rPr>
        <w:footnoteRef/>
      </w:r>
      <w:r>
        <w:rPr>
          <w:rtl/>
        </w:rPr>
        <w:t>בפשוטו כוונת הראשונים לצד דאין בי"ד מצווין להפרישו, ואילו לצד דמצווין להפרישו י"ל דקאי אף בעושה לעצמו</w:t>
      </w:r>
      <w:r>
        <w:t>.</w:t>
      </w:r>
    </w:p>
  </w:footnote>
  <w:footnote w:id="7638">
    <w:p w14:paraId="4C203AF7" w14:textId="77777777" w:rsidR="006C4368" w:rsidRDefault="006C4368" w:rsidP="006C4368">
      <w:pPr>
        <w:pStyle w:val="Footnote"/>
        <w:bidi/>
      </w:pPr>
      <w:r>
        <w:rPr>
          <w:rStyle w:val="ac"/>
        </w:rPr>
        <w:footnoteRef/>
      </w:r>
      <w:r>
        <w:rPr>
          <w:rtl/>
        </w:rPr>
        <w:t>ולכאורה ילפי' לכל קטנים, ולאו דוקא בנו [ע"ע אמרי בינה שבת ז]. ודלא כראשונים (הו' לעיל) דאיירי דוקא בבנו</w:t>
      </w:r>
      <w:r>
        <w:t>.</w:t>
      </w:r>
    </w:p>
  </w:footnote>
  <w:footnote w:id="7639">
    <w:p w14:paraId="0B82E1F0" w14:textId="77777777" w:rsidR="006C4368" w:rsidRDefault="006C4368" w:rsidP="006C4368">
      <w:pPr>
        <w:pStyle w:val="Footnote"/>
        <w:bidi/>
      </w:pPr>
      <w:r>
        <w:rPr>
          <w:rStyle w:val="ac"/>
        </w:rPr>
        <w:footnoteRef/>
      </w:r>
      <w:r>
        <w:rPr>
          <w:rtl/>
        </w:rPr>
        <w:t>וכ"ז בדעת ה</w:t>
      </w:r>
      <w:r>
        <w:rPr>
          <w:b/>
          <w:bCs/>
          <w:rtl/>
        </w:rPr>
        <w:t>רשב"א</w:t>
      </w:r>
      <w:r>
        <w:rPr>
          <w:rtl/>
        </w:rPr>
        <w:t xml:space="preserve"> (שבת קנג:) וכמה ראשונים (ע' מה שהו' לעיל) דכשעושה ע"ד אביו עובר מהך קרא 'ובנך'. אך כמה </w:t>
      </w:r>
      <w:r>
        <w:rPr>
          <w:b/>
          <w:bCs/>
          <w:rtl/>
        </w:rPr>
        <w:t>ראשונים</w:t>
      </w:r>
      <w:r>
        <w:rPr>
          <w:rtl/>
        </w:rPr>
        <w:t xml:space="preserve"> (הו' לעיל) כת' דעובר משום לא תאכילום. ואפשר דכוונתם דלא קי"ל כמכילתא דיש דרשה מחודש להזהיר. א"נ הך קרא הוה גילוי, וילפי' אף מהך קרא [וכקו' המוצל מאש]</w:t>
      </w:r>
      <w:r>
        <w:t>.</w:t>
      </w:r>
    </w:p>
  </w:footnote>
  <w:footnote w:id="7640">
    <w:p w14:paraId="37225D40" w14:textId="77777777" w:rsidR="006C4368" w:rsidRDefault="006C4368" w:rsidP="006C4368">
      <w:pPr>
        <w:pStyle w:val="Footnote"/>
        <w:bidi/>
      </w:pPr>
      <w:r>
        <w:rPr>
          <w:rStyle w:val="ac"/>
        </w:rPr>
        <w:footnoteRef/>
      </w:r>
      <w:r>
        <w:rPr>
          <w:rtl/>
        </w:rPr>
        <w:t>ובגמ' (שבת קנד.) מבואר דנחשב לאו הניתן לאזהרת מיתת בי"ד, כיון דבעושה מלאכה בעצמו מתחייב מהך קרא. וב</w:t>
      </w:r>
      <w:r>
        <w:rPr>
          <w:b/>
          <w:bCs/>
          <w:rtl/>
        </w:rPr>
        <w:t>ס' החינוך</w:t>
      </w:r>
      <w:r>
        <w:rPr>
          <w:rtl/>
        </w:rPr>
        <w:t xml:space="preserve"> (לב) כת' דאע"פ שהכתוב הוציא איסור המלאכה עלינו ובבנים ובעבדים ובבהמות בלאו א'. מ"מ ברור שאין הענין שוה, כי העושה מלאכה בגופו יתחייב מיתת בי"ד, ובמלאכת אחרים אע"פ שמוזהר עליהם בלאו לא יתחייב עליהן אפי מלקות, שאין מלקות לעולם במעשה אחרים. [ומשמע דאיסור בבנים ואיסור מחמר אחר בהמתו הכל א']</w:t>
      </w:r>
      <w:r>
        <w:t>.</w:t>
      </w:r>
    </w:p>
  </w:footnote>
  <w:footnote w:id="7641">
    <w:p w14:paraId="3C602868" w14:textId="77777777" w:rsidR="006C4368" w:rsidRDefault="006C4368" w:rsidP="006C4368">
      <w:pPr>
        <w:pStyle w:val="Footnote"/>
        <w:bidi/>
      </w:pPr>
      <w:r>
        <w:rPr>
          <w:rStyle w:val="ac"/>
        </w:rPr>
        <w:footnoteRef/>
      </w:r>
      <w:r>
        <w:rPr>
          <w:rtl/>
        </w:rPr>
        <w:t>וה</w:t>
      </w:r>
      <w:r>
        <w:rPr>
          <w:b/>
          <w:bCs/>
          <w:rtl/>
        </w:rPr>
        <w:t>אמרי בינה</w:t>
      </w:r>
      <w:r>
        <w:rPr>
          <w:rtl/>
        </w:rPr>
        <w:t xml:space="preserve"> (שבת ז) כת' דאיצטריך גבי שבת, משום דמעשה קטן הוה מתעסק. וע' מה שהו' לעיל</w:t>
      </w:r>
      <w:r>
        <w:t>.</w:t>
      </w:r>
    </w:p>
  </w:footnote>
  <w:footnote w:id="7642">
    <w:p w14:paraId="4FFAF48C" w14:textId="77777777" w:rsidR="006C4368" w:rsidRDefault="006C4368" w:rsidP="006C4368">
      <w:pPr>
        <w:pStyle w:val="Footnote"/>
        <w:bidi/>
      </w:pPr>
      <w:r>
        <w:rPr>
          <w:rStyle w:val="ac"/>
        </w:rPr>
        <w:footnoteRef/>
      </w:r>
      <w:r>
        <w:rPr>
          <w:rtl/>
        </w:rPr>
        <w:t>ודייק כן בלשון ה</w:t>
      </w:r>
      <w:r>
        <w:rPr>
          <w:b/>
          <w:bCs/>
          <w:rtl/>
        </w:rPr>
        <w:t>רשב"א</w:t>
      </w:r>
      <w:r>
        <w:rPr>
          <w:rtl/>
        </w:rPr>
        <w:t xml:space="preserve"> (שבת קנג: הנ"ל) דמתחילה כתב דכל שבגופו איכא איסור דאורייתא אי אמרינן לקטן למיעבד איכא נמי איסור דאורייתא דלא תאכילום, והיינו משום עשיה ואמירה עובר משום לא תאכילום. ובסו"ד הביא דכשעושה ע"ד אביו עובר משום 'בנך'. [אך שוב הק' מדברי הרשב"א בסוגיין דכת' משום לא תאכילום]</w:t>
      </w:r>
      <w:r>
        <w:t>.</w:t>
      </w:r>
    </w:p>
  </w:footnote>
  <w:footnote w:id="7643">
    <w:p w14:paraId="698485BC" w14:textId="77777777" w:rsidR="006C4368" w:rsidRDefault="006C4368" w:rsidP="006C4368">
      <w:pPr>
        <w:pStyle w:val="Footnote"/>
        <w:bidi/>
      </w:pPr>
      <w:r>
        <w:rPr>
          <w:rStyle w:val="ac"/>
        </w:rPr>
        <w:footnoteRef/>
      </w:r>
      <w:r>
        <w:rPr>
          <w:rtl/>
        </w:rPr>
        <w:t>ומשבת לא ילפינן על שארי איסורים, דהוה דין שביתה כמו שביתת עבדו דלא שייך בשאר איסורים</w:t>
      </w:r>
      <w:r>
        <w:t>.</w:t>
      </w:r>
    </w:p>
  </w:footnote>
  <w:footnote w:id="7644">
    <w:p w14:paraId="1C0B6633" w14:textId="77777777" w:rsidR="006C4368" w:rsidRDefault="006C4368" w:rsidP="006C4368">
      <w:pPr>
        <w:pStyle w:val="Footnote"/>
        <w:bidi/>
      </w:pPr>
      <w:r>
        <w:rPr>
          <w:rStyle w:val="ac"/>
        </w:rPr>
        <w:footnoteRef/>
      </w:r>
      <w:r>
        <w:rPr>
          <w:rtl/>
        </w:rPr>
        <w:t>וקמ"ל דאף קטן העושה ע"ד אביו, האב נחשב 'מחלל שבת</w:t>
      </w:r>
      <w:r>
        <w:t>'.</w:t>
      </w:r>
    </w:p>
  </w:footnote>
  <w:footnote w:id="7645">
    <w:p w14:paraId="7C5C7164" w14:textId="77777777" w:rsidR="006C4368" w:rsidRDefault="006C4368" w:rsidP="006C4368">
      <w:pPr>
        <w:pStyle w:val="Footnote"/>
        <w:bidi/>
      </w:pPr>
      <w:r>
        <w:rPr>
          <w:rStyle w:val="ac"/>
        </w:rPr>
        <w:footnoteRef/>
      </w:r>
      <w:r>
        <w:rPr>
          <w:rtl/>
        </w:rPr>
        <w:t>דאמר רבא במובדלין דבר הכתוב. פרש"י בהני דכתיב בהן והבדלתם</w:t>
      </w:r>
      <w:r>
        <w:t>.</w:t>
      </w:r>
    </w:p>
  </w:footnote>
  <w:footnote w:id="7646">
    <w:p w14:paraId="0176F262" w14:textId="77777777" w:rsidR="006C4368" w:rsidRDefault="006C4368" w:rsidP="006C4368">
      <w:pPr>
        <w:pStyle w:val="Footnote"/>
        <w:bidi/>
      </w:pPr>
      <w:r>
        <w:rPr>
          <w:rStyle w:val="ac"/>
        </w:rPr>
        <w:footnoteRef/>
      </w:r>
      <w:r>
        <w:rPr>
          <w:rtl/>
        </w:rPr>
        <w:t>ודעת רבא א"ר יוחנן בכל מקום דצריך כזית. אבל סתמא דתלמודא ס"ל דחייב על עדשה</w:t>
      </w:r>
      <w:r>
        <w:t>.</w:t>
      </w:r>
    </w:p>
  </w:footnote>
  <w:footnote w:id="7647">
    <w:p w14:paraId="4B3D4030" w14:textId="77777777" w:rsidR="006C4368" w:rsidRDefault="006C4368" w:rsidP="006C4368">
      <w:pPr>
        <w:pStyle w:val="Footnote"/>
        <w:bidi/>
      </w:pPr>
      <w:r>
        <w:rPr>
          <w:rStyle w:val="ac"/>
        </w:rPr>
        <w:footnoteRef/>
      </w:r>
      <w:r>
        <w:rPr>
          <w:rtl/>
        </w:rPr>
        <w:t>והביא דבגמ' (כריתות יד וכב, וחולין פז:) אי' והוא דאיכא כזית. וכ"כ ה</w:t>
      </w:r>
      <w:r>
        <w:rPr>
          <w:b/>
          <w:bCs/>
          <w:rtl/>
        </w:rPr>
        <w:t>רמב"ם</w:t>
      </w:r>
      <w:r>
        <w:rPr>
          <w:rtl/>
        </w:rPr>
        <w:t xml:space="preserve"> (מאכ"א ו א), ו</w:t>
      </w:r>
      <w:r>
        <w:rPr>
          <w:b/>
          <w:bCs/>
          <w:rtl/>
        </w:rPr>
        <w:t>רש"י</w:t>
      </w:r>
      <w:r>
        <w:rPr>
          <w:rtl/>
        </w:rPr>
        <w:t xml:space="preserve"> (עירובין ד., וסוכה ו., ופסחים מד.). ועוד הביא דאי' (חולין קכ.) גבי המחה את החלב ואת החמץ, והוא דאיכא כזית</w:t>
      </w:r>
      <w:r>
        <w:t>.</w:t>
      </w:r>
    </w:p>
  </w:footnote>
  <w:footnote w:id="7648">
    <w:p w14:paraId="07D46030" w14:textId="77777777" w:rsidR="006C4368" w:rsidRDefault="006C4368" w:rsidP="006C4368">
      <w:pPr>
        <w:pStyle w:val="Footnote"/>
        <w:bidi/>
      </w:pPr>
      <w:r>
        <w:rPr>
          <w:rStyle w:val="ac"/>
        </w:rPr>
        <w:footnoteRef/>
      </w:r>
      <w:r>
        <w:rPr>
          <w:rtl/>
        </w:rPr>
        <w:t>והביא דה</w:t>
      </w:r>
      <w:r>
        <w:rPr>
          <w:b/>
          <w:bCs/>
          <w:rtl/>
        </w:rPr>
        <w:t xml:space="preserve">רמב"ם </w:t>
      </w:r>
      <w:r>
        <w:rPr>
          <w:rtl/>
        </w:rPr>
        <w:t>(תרומות י ב) כת' דשיעור שתיית תרומה [להתחייב בקרן וחומש] הוה בכזית. [ע"פ התוספתא תרומות ז ג, אך הגר"א גרס שם להיפך]</w:t>
      </w:r>
      <w:r>
        <w:t>.</w:t>
      </w:r>
    </w:p>
  </w:footnote>
  <w:footnote w:id="7649">
    <w:p w14:paraId="797ABBD8" w14:textId="77777777" w:rsidR="006C4368" w:rsidRDefault="006C4368" w:rsidP="006C4368">
      <w:pPr>
        <w:pStyle w:val="Footnote"/>
        <w:bidi/>
      </w:pPr>
      <w:r>
        <w:rPr>
          <w:rStyle w:val="ac"/>
        </w:rPr>
        <w:footnoteRef/>
      </w:r>
      <w:r>
        <w:rPr>
          <w:rtl/>
        </w:rPr>
        <w:t>אך הק' דלכאורה נח' בזה התנאים (נזיר לז.). וכת' דה"מ גבי יין של נדיר, דכתיב איסוריה בלשון שתיה, ומש"ה אף כשאוכל בדרך אכילה שיעורו כשיעור שתייה. ותוס' קאי דוקא בשאר האיסורין. להיות שיעורו בכזית</w:t>
      </w:r>
      <w:r>
        <w:t>.</w:t>
      </w:r>
    </w:p>
  </w:footnote>
  <w:footnote w:id="7650">
    <w:p w14:paraId="74854653" w14:textId="77777777" w:rsidR="006C4368" w:rsidRDefault="006C4368" w:rsidP="006C4368">
      <w:pPr>
        <w:pStyle w:val="Footnote"/>
        <w:bidi/>
      </w:pPr>
      <w:r>
        <w:rPr>
          <w:rStyle w:val="ac"/>
        </w:rPr>
        <w:footnoteRef/>
      </w:r>
      <w:r>
        <w:rPr>
          <w:rtl/>
        </w:rPr>
        <w:t>אך הביא דבגמ' (שבת קנג:) אי' דמי שהחשיך לו בדרך ויש לו שוטה או קטן, יתן לשוטה. דקטן יבא לכלל דעת. והגמ' מסתפקת חרש וקטן, דקטן אתי לכלל דעת. או דחרש אתי לאיחלופי בגדול, משמע דיש לו דעת טפי. [וב</w:t>
      </w:r>
      <w:r>
        <w:rPr>
          <w:b/>
          <w:bCs/>
          <w:rtl/>
        </w:rPr>
        <w:t>שו"ע</w:t>
      </w:r>
      <w:r>
        <w:rPr>
          <w:rtl/>
        </w:rPr>
        <w:t xml:space="preserve"> (או"ח רסו ה) אי' דיתננו למי שרוצה]. ומ"מ בסוגיין דימו חרש לקטן</w:t>
      </w:r>
      <w:r>
        <w:t>.</w:t>
      </w:r>
    </w:p>
  </w:footnote>
  <w:footnote w:id="7651">
    <w:p w14:paraId="37E7DDE8" w14:textId="77777777" w:rsidR="006C4368" w:rsidRDefault="006C4368" w:rsidP="006C4368">
      <w:pPr>
        <w:pStyle w:val="Footnote"/>
        <w:bidi/>
      </w:pPr>
      <w:r>
        <w:rPr>
          <w:rStyle w:val="ac"/>
        </w:rPr>
        <w:footnoteRef/>
      </w:r>
      <w:r>
        <w:rPr>
          <w:rtl/>
        </w:rPr>
        <w:t>וצ"ב כוונת דהתה"ד איירי בטעם דאסור להאכילו בידים [דילפי' מלא תאכילום]. ואילו הכא איירי למ"ד דבי"ד מצווין להפרישו, ולכאורה מפרישו מחמת עצם האיסור. [אך י"ל דקו' מ"ש דהכא דרשי' כך. ולאידך מ"ד דרשי' להיפך]</w:t>
      </w:r>
      <w:r>
        <w:t>.</w:t>
      </w:r>
    </w:p>
  </w:footnote>
  <w:footnote w:id="7652">
    <w:p w14:paraId="5538DB95" w14:textId="77777777" w:rsidR="006C4368" w:rsidRDefault="006C4368" w:rsidP="006C4368">
      <w:pPr>
        <w:pStyle w:val="Footnote"/>
        <w:bidi/>
      </w:pPr>
      <w:r>
        <w:rPr>
          <w:rStyle w:val="ac"/>
        </w:rPr>
        <w:footnoteRef/>
      </w:r>
      <w:r>
        <w:rPr>
          <w:rtl/>
        </w:rPr>
        <w:t>וה</w:t>
      </w:r>
      <w:r>
        <w:rPr>
          <w:b/>
          <w:bCs/>
          <w:rtl/>
        </w:rPr>
        <w:t>אחיעזר</w:t>
      </w:r>
      <w:r>
        <w:rPr>
          <w:rtl/>
        </w:rPr>
        <w:t xml:space="preserve"> (ג פא ב) דן דשמא כוונת הגמ' כאן להאכיל בידים באיסור דרבנן, וכמ"ש הרשב"א דאיסור דרבנן נחית חד דרגא. והכא כיון דאמרי' להו שמותרין נחשב מאכילו בידים</w:t>
      </w:r>
      <w:r>
        <w:t>.</w:t>
      </w:r>
    </w:p>
  </w:footnote>
  <w:footnote w:id="7653">
    <w:p w14:paraId="66CCC18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ומשמע דכוונתו לפרש את הגמ' (פח.) באשה עצמה [ולכאורה ה”ה שאר פסולי עדות]. ואילו עד א' נאמן מדאורייתא משום דעבידא לאיגלויי</w:t>
      </w:r>
      <w:r w:rsidRPr="007119D6">
        <w:rPr>
          <w:rFonts w:ascii="Narkisim" w:hAnsi="Narkisim"/>
        </w:rPr>
        <w:t>.</w:t>
      </w:r>
    </w:p>
  </w:footnote>
  <w:footnote w:id="7654">
    <w:p w14:paraId="5828C69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יש שפי' דאשה עצמה נוגע בעדותה, ונוגע בדבר אינו נאמן בעבידא לאיגלויי. [וע' ש”ש ז ז, הו' לקמן קיז. בדין נוגע בעדותו]</w:t>
      </w:r>
      <w:r w:rsidRPr="007119D6">
        <w:rPr>
          <w:rFonts w:ascii="Narkisim" w:hAnsi="Narkisim"/>
        </w:rPr>
        <w:t>.</w:t>
      </w:r>
    </w:p>
  </w:footnote>
  <w:footnote w:id="7655">
    <w:p w14:paraId="2F5735F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w:t>
      </w:r>
      <w:r w:rsidRPr="007119D6">
        <w:rPr>
          <w:rFonts w:ascii="Narkisim" w:hAnsi="Narkisim"/>
          <w:b/>
          <w:bCs/>
          <w:rtl/>
        </w:rPr>
        <w:t>ירושלמי</w:t>
      </w:r>
      <w:r w:rsidRPr="007119D6">
        <w:rPr>
          <w:rFonts w:ascii="Narkisim" w:hAnsi="Narkisim"/>
          <w:rtl/>
        </w:rPr>
        <w:t xml:space="preserve"> מק' מהמשנה (כתובות כב.) דאם יש עדים שהיא אשת איש אינה נאמנת לומר גרושה אני. [ודוקא כשאין עדים נאמנת משום הפה שאסר]. והירושלמי מק' מ"ש דבמתני' נאמנת</w:t>
      </w:r>
      <w:r w:rsidRPr="007119D6">
        <w:rPr>
          <w:rFonts w:ascii="Narkisim" w:hAnsi="Narkisim"/>
        </w:rPr>
        <w:t>.</w:t>
      </w:r>
    </w:p>
  </w:footnote>
  <w:footnote w:id="7656">
    <w:p w14:paraId="3FBE3DE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מק' א"כ מ"ט אינה נאמנת דמת יבמה שתנשא לשוק (כדתנן לקמן קיח:, הו' בגמ' לעיל צג:). ותי' דהתם נופלת לפני יבם בע"כ. [ולכאורה כוונת הירושלמי ע"ד הגמ' (לעיל צג:) דזימנין סניא ליה]</w:t>
      </w:r>
      <w:r w:rsidRPr="007119D6">
        <w:rPr>
          <w:rFonts w:ascii="Narkisim" w:hAnsi="Narkisim"/>
        </w:rPr>
        <w:t>.</w:t>
      </w:r>
    </w:p>
  </w:footnote>
  <w:footnote w:id="7657">
    <w:p w14:paraId="005922A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משמע במשנה (לקמן קטז:) דהוה תקנה קדומה. ואילו להשיא ע”פ עד א' משמע [לדחיית הגמ' קטו.] דנתחדש בברייתא דנחמיה איש בית דלי (קטו.)</w:t>
      </w:r>
      <w:r w:rsidRPr="007119D6">
        <w:rPr>
          <w:rFonts w:ascii="Narkisim" w:hAnsi="Narkisim"/>
        </w:rPr>
        <w:t>.</w:t>
      </w:r>
    </w:p>
    <w:p w14:paraId="76933DCD"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ועוד הביאו דלדעת ר"ע (לקמן קכב.) אין משיאין אלא ע”פ עד כשר, ולא ע”פ אשה או עבד או קרוב. ולכאורה מודה דהאשה עצמה נשאת ע"פ עצמה</w:t>
      </w:r>
      <w:r w:rsidRPr="007119D6">
        <w:rPr>
          <w:rFonts w:ascii="Narkisim" w:hAnsi="Narkisim"/>
        </w:rPr>
        <w:t>.</w:t>
      </w:r>
    </w:p>
  </w:footnote>
  <w:footnote w:id="7658">
    <w:p w14:paraId="09B6D93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ויש שדייקו כן מלשון ה</w:t>
      </w:r>
      <w:r w:rsidRPr="007119D6">
        <w:rPr>
          <w:rFonts w:ascii="Narkisim" w:hAnsi="Narkisim"/>
          <w:b/>
          <w:bCs/>
          <w:rtl/>
        </w:rPr>
        <w:t>רמב"ם</w:t>
      </w:r>
      <w:r w:rsidRPr="007119D6">
        <w:rPr>
          <w:rFonts w:ascii="Narkisim" w:hAnsi="Narkisim"/>
          <w:rtl/>
        </w:rPr>
        <w:t xml:space="preserve"> (גירושין יב טו) שכת' באה ואמרה מת בעלי נאמנת ותנשא או תתיבם, חזקה שאינה מקלקלת עצמה ותאסור עצמה על זה ועל זה וכו' בדבר העשוי להגלות לכל, ואי אפשר להכחיש ולא לטעון טענה. שאם הוא חי סופו לבא או יודע שהוא חי. וכן אם בא עד א' והעיד לה שמת בעלה תנשא על פיו שהדבר עשוי להגלות, אפי' עבד או אשה או שפחה ועד מפי עד מפי עבד מפי שפחה מפי קרובין נאמנין וכו'. [אך יש שדייקו להיפך, דהרמב"ם כללו באותו הלכה, דהוה אותו דין]</w:t>
      </w:r>
      <w:r w:rsidRPr="007119D6">
        <w:rPr>
          <w:rFonts w:ascii="Narkisim" w:hAnsi="Narkisim"/>
        </w:rPr>
        <w:t xml:space="preserve">.   </w:t>
      </w:r>
    </w:p>
  </w:footnote>
  <w:footnote w:id="7659">
    <w:p w14:paraId="46B7B88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נח' ה</w:t>
      </w:r>
      <w:r w:rsidRPr="007119D6">
        <w:rPr>
          <w:rFonts w:ascii="Narkisim" w:hAnsi="Narkisim"/>
          <w:b/>
          <w:bCs/>
          <w:rtl/>
        </w:rPr>
        <w:t>ראשונים</w:t>
      </w:r>
      <w:r w:rsidRPr="007119D6">
        <w:rPr>
          <w:rFonts w:ascii="Narkisim" w:hAnsi="Narkisim"/>
          <w:rtl/>
        </w:rPr>
        <w:t xml:space="preserve"> (הו' לקמן קטז:) אי שוטה נאמנת לומר שמת בעלה</w:t>
      </w:r>
      <w:r w:rsidRPr="007119D6">
        <w:rPr>
          <w:rFonts w:ascii="Narkisim" w:hAnsi="Narkisim"/>
        </w:rPr>
        <w:t>.</w:t>
      </w:r>
    </w:p>
  </w:footnote>
  <w:footnote w:id="7660">
    <w:p w14:paraId="112EA03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הק' כן אעד א' ביבמה [להתיר להתייבם]. ויל"ד אמאי לא הק' כן אמתני', ולכאורה משמע דמה שנשאת ע”פ עצמה לא הוה משום חומר בסופה</w:t>
      </w:r>
      <w:r w:rsidRPr="007119D6">
        <w:rPr>
          <w:rFonts w:ascii="Narkisim" w:hAnsi="Narkisim"/>
        </w:rPr>
        <w:t>.</w:t>
      </w:r>
    </w:p>
  </w:footnote>
  <w:footnote w:id="7661">
    <w:p w14:paraId="44C5D01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(ג ח א בסופו) חילק דהיכא שלא ראתה כלל, אלא שסבורה שרובם במלחמה מתו א"כ הוה חשש דאורייתא. אבל היכא דמחו בגירא וכדו', רובא דרובא מתים, והוה חשש דרבנן</w:t>
      </w:r>
      <w:r w:rsidRPr="007119D6">
        <w:rPr>
          <w:rFonts w:ascii="Narkisim" w:hAnsi="Narkisim"/>
        </w:rPr>
        <w:t>.</w:t>
      </w:r>
    </w:p>
  </w:footnote>
  <w:footnote w:id="7662">
    <w:p w14:paraId="73CC3E2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אבנ"נ</w:t>
      </w:r>
      <w:r w:rsidRPr="007119D6">
        <w:rPr>
          <w:rFonts w:ascii="Narkisim" w:hAnsi="Narkisim"/>
          <w:rtl/>
        </w:rPr>
        <w:t xml:space="preserve"> (קיא) הק' אמאי שינה הרמב"ם מהא דאי' בגמ' דמחו ליה ברומחא. והאבנ"נ חידש דבאופן שיש רוב למיתה, מהני הרוב להוציאה מחזקת אשת איש. ועי"ז נאמנת בטענת ברי דקברתיו [וציין לדברי הרא”ש (כתובות ט.) דמהני טענת ברי היכא דאינו כנגד חזקה]. [והגמ' לא איירי בטוענת קברתיו, אבל הרמב"ם נקט דאף קברתיו ל"מ, ע' בסמוך. ומש"ה נקט אופן דלא הוה רוב גמור, אלא כעין רוב התלוי במעשה]</w:t>
      </w:r>
      <w:r w:rsidRPr="007119D6">
        <w:rPr>
          <w:rFonts w:ascii="Narkisim" w:hAnsi="Narkisim"/>
        </w:rPr>
        <w:t>.</w:t>
      </w:r>
    </w:p>
  </w:footnote>
  <w:footnote w:id="7663">
    <w:p w14:paraId="7D79EC9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ודייק כן מלשון ה</w:t>
      </w:r>
      <w:r w:rsidRPr="007119D6">
        <w:rPr>
          <w:rFonts w:ascii="Narkisim" w:hAnsi="Narkisim"/>
          <w:b/>
          <w:bCs/>
          <w:rtl/>
        </w:rPr>
        <w:t>רמב"ם</w:t>
      </w:r>
      <w:r w:rsidRPr="007119D6">
        <w:rPr>
          <w:rFonts w:ascii="Narkisim" w:hAnsi="Narkisim"/>
          <w:rtl/>
        </w:rPr>
        <w:t xml:space="preserve"> (נחלות ז ג). ועוד ציין ל</w:t>
      </w:r>
      <w:r w:rsidRPr="007119D6">
        <w:rPr>
          <w:rFonts w:ascii="Narkisim" w:hAnsi="Narkisim"/>
          <w:b/>
          <w:bCs/>
          <w:rtl/>
        </w:rPr>
        <w:t>מראות הצובאות</w:t>
      </w:r>
      <w:r w:rsidRPr="007119D6">
        <w:rPr>
          <w:rFonts w:ascii="Narkisim" w:hAnsi="Narkisim"/>
          <w:rtl/>
        </w:rPr>
        <w:t xml:space="preserve"> (ס"ק קלב) שהאריך בזה, וכת' דאף דמבואר דאם נשאת תצא בדיעבד, היינו משום דהוא מיעוט דשכיח. ואף דהוה מדרבנן</w:t>
      </w:r>
      <w:r w:rsidRPr="007119D6">
        <w:rPr>
          <w:rFonts w:ascii="Narkisim" w:hAnsi="Narkisim"/>
        </w:rPr>
        <w:t>.</w:t>
      </w:r>
    </w:p>
  </w:footnote>
  <w:footnote w:id="7664">
    <w:p w14:paraId="4975FEC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כת' דאף היכא דלא ידעי' אי יש קטטה ומלחמה, מסתמא נאמנת [משמע דבעינן נאמנות דידה, דשואלים האם שלום. אבל ה</w:t>
      </w:r>
      <w:r w:rsidRPr="007119D6">
        <w:rPr>
          <w:rFonts w:ascii="Narkisim" w:hAnsi="Narkisim"/>
          <w:b/>
          <w:bCs/>
          <w:rtl/>
        </w:rPr>
        <w:t>בי”ש</w:t>
      </w:r>
      <w:r w:rsidRPr="007119D6">
        <w:rPr>
          <w:rFonts w:ascii="Narkisim" w:hAnsi="Narkisim"/>
          <w:rtl/>
        </w:rPr>
        <w:t xml:space="preserve"> (יז קנ) כת' דלא שיילינן ליה. ע”ע באחרונים שם].</w:t>
      </w:r>
    </w:p>
  </w:footnote>
  <w:footnote w:id="7665">
    <w:p w14:paraId="4EBCBCE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דלא אצטריך תנא למיתני שלום וכו' אלא משום דקא בעי למיתני קטטה ומלחמה. [ובמשנה קשיא רישא לסיפא אי בעינן שיתברר שהיה שלום, או שיתברר שקטטה ומלחמה. ותנא דברייתא גילה על המשנה]</w:t>
      </w:r>
      <w:r w:rsidRPr="007119D6">
        <w:rPr>
          <w:rFonts w:ascii="Narkisim" w:hAnsi="Narkisim"/>
        </w:rPr>
        <w:t>.</w:t>
      </w:r>
    </w:p>
  </w:footnote>
  <w:footnote w:id="7666">
    <w:p w14:paraId="39A7361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אמר רבא גבי רעב (בסמוך) שפיר עבדת דשיזבת נפשך</w:t>
      </w:r>
      <w:r w:rsidRPr="007119D6">
        <w:rPr>
          <w:rFonts w:ascii="Narkisim" w:hAnsi="Narkisim"/>
        </w:rPr>
        <w:t>.</w:t>
      </w:r>
    </w:p>
  </w:footnote>
  <w:footnote w:id="7667">
    <w:p w14:paraId="5ED20FB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בפשוטו יש כאן חזרה נוספת בדברי רבא. אבל הריטב"א כת' דמעיקרא סבר דל"ש בדדמי ברעבון. אך כיון שנודע לו באשה זו דשייך בדדמי, א"כ גריעה ממלחמה. [משמע דלישנא מציעתא דרעבון כמלחמה לאו דוקא, אלא דשייך בדדמי]</w:t>
      </w:r>
      <w:r w:rsidRPr="007119D6">
        <w:rPr>
          <w:rFonts w:ascii="Narkisim" w:hAnsi="Narkisim"/>
        </w:rPr>
        <w:t>.</w:t>
      </w:r>
    </w:p>
  </w:footnote>
  <w:footnote w:id="7668">
    <w:p w14:paraId="3BB14AF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דומיא דברח מהמלחמה, ומת בלא מלחמה</w:t>
      </w:r>
      <w:r w:rsidRPr="007119D6">
        <w:rPr>
          <w:rFonts w:ascii="Narkisim" w:hAnsi="Narkisim"/>
        </w:rPr>
        <w:t>.</w:t>
      </w:r>
    </w:p>
  </w:footnote>
  <w:footnote w:id="7669">
    <w:p w14:paraId="1B952EF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דלעולם לא מחזקינן דמשקרא אלא דזמנין דטעיא ואמרה בדדמי</w:t>
      </w:r>
      <w:r w:rsidRPr="007119D6">
        <w:rPr>
          <w:rFonts w:ascii="Narkisim" w:hAnsi="Narkisim"/>
        </w:rPr>
        <w:t>.</w:t>
      </w:r>
    </w:p>
  </w:footnote>
  <w:footnote w:id="7670">
    <w:p w14:paraId="45374F4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 מזרחי</w:t>
      </w:r>
      <w:r w:rsidRPr="007119D6">
        <w:rPr>
          <w:rFonts w:ascii="Narkisim" w:hAnsi="Narkisim"/>
          <w:rtl/>
        </w:rPr>
        <w:t xml:space="preserve"> (א כ, הו' בכס"מ) כת' דלדעת הרמב"ם רעבון עדיפא ממלחמה בחדא [בקברתיו] וגריעא ממלחמה בחדא [במת על מיטתו]</w:t>
      </w:r>
      <w:r w:rsidRPr="007119D6">
        <w:rPr>
          <w:rFonts w:ascii="Narkisim" w:hAnsi="Narkisim"/>
        </w:rPr>
        <w:t>.</w:t>
      </w:r>
    </w:p>
    <w:p w14:paraId="75EA6F86"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קז) כת' דהרמב"ם דייק כן מדברי הגמ' עד דאמר מת וקברתיו, דאת"ל דבמלחמה נאמן לומר קברתיו, א"כ ברעבון 'וקברתיו' מיותר. וע"כ דבמלחמה לא מהני 'וקברתיו' [דבמלחמה גם בקברתיו שייך בדדמי], ובאומרת מת על מטתו אי"צ קברתיו. ואילו רעבון 'על מטתו' גריעא מעל מטתו דמלחמה, והו"א דהוה כמו מת במלחמה דלא מהני כלל. קמ"ל דמת על מיטתו ברעבון ואומרת קברתיו מהני. [וה"ק דגריעא ממת על מטתו, דשם אי"צ וקברתיו]. אבל מת במלחמה לא מהני קברתיו כלל</w:t>
      </w:r>
      <w:r w:rsidRPr="007119D6">
        <w:rPr>
          <w:rFonts w:ascii="Narkisim" w:hAnsi="Narkisim"/>
        </w:rPr>
        <w:t>.</w:t>
      </w:r>
    </w:p>
  </w:footnote>
  <w:footnote w:id="7671">
    <w:p w14:paraId="3DC5621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ולפ"ז דוקא כשקברתו במלחמה, אבל היכא דלקחתו מהמלחמה וקברו במקום אחר מהני. אבל ה</w:t>
      </w:r>
      <w:r w:rsidRPr="007119D6">
        <w:rPr>
          <w:rFonts w:ascii="Narkisim" w:hAnsi="Narkisim"/>
          <w:b/>
          <w:bCs/>
          <w:rtl/>
        </w:rPr>
        <w:t>חלק"מ</w:t>
      </w:r>
      <w:r w:rsidRPr="007119D6">
        <w:rPr>
          <w:rFonts w:ascii="Narkisim" w:hAnsi="Narkisim"/>
          <w:rtl/>
        </w:rPr>
        <w:t xml:space="preserve"> (ק) ו</w:t>
      </w:r>
      <w:r w:rsidRPr="007119D6">
        <w:rPr>
          <w:rFonts w:ascii="Narkisim" w:hAnsi="Narkisim"/>
          <w:b/>
          <w:bCs/>
          <w:rtl/>
        </w:rPr>
        <w:t>בי"ש</w:t>
      </w:r>
      <w:r w:rsidRPr="007119D6">
        <w:rPr>
          <w:rFonts w:ascii="Narkisim" w:hAnsi="Narkisim"/>
          <w:rtl/>
        </w:rPr>
        <w:t xml:space="preserve"> (קמט) נקטו דלדעת הרמב"ם אף קברו רחוק מהמלחמה אינו נאמן [וכאינך טעמים, והבי”ש ביאר דכיון שמת במלחמה אינה ממתנת ומשקרת ואומרת קברתיו]</w:t>
      </w:r>
      <w:r w:rsidRPr="007119D6">
        <w:rPr>
          <w:rFonts w:ascii="Narkisim" w:hAnsi="Narkisim"/>
        </w:rPr>
        <w:t>.</w:t>
      </w:r>
    </w:p>
  </w:footnote>
  <w:footnote w:id="7672">
    <w:p w14:paraId="5851C4E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w:t>
      </w:r>
      <w:r w:rsidRPr="007119D6">
        <w:rPr>
          <w:rFonts w:ascii="Narkisim" w:hAnsi="Narkisim"/>
          <w:b/>
          <w:bCs/>
          <w:rtl/>
        </w:rPr>
        <w:t>ריא"ז</w:t>
      </w:r>
      <w:r w:rsidRPr="007119D6">
        <w:rPr>
          <w:rFonts w:ascii="Narkisim" w:hAnsi="Narkisim"/>
          <w:rtl/>
        </w:rPr>
        <w:t xml:space="preserve"> כת' דאינה נאמנת כשאמרה מת בעלי במלחמה, ואחר שפסקה המלחמה מצאתיו מת וקברתיו. הואיל שמא זה אחר הוא וכסבורה שהוא בעלה, עד שתאמר הכרתיו על ידי סימנין. [וכדאי' לקמן קטו. בטבע והוציאו וקברתיו דצריך סימנים]. [והריא"ז איירי שסבורה שראתה שמת, והלכה ואח"כ חזרה]</w:t>
      </w:r>
      <w:r w:rsidRPr="007119D6">
        <w:rPr>
          <w:rFonts w:ascii="Narkisim" w:hAnsi="Narkisim"/>
        </w:rPr>
        <w:t>.</w:t>
      </w:r>
    </w:p>
  </w:footnote>
  <w:footnote w:id="7673">
    <w:p w14:paraId="53FADD7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בי"ש</w:t>
      </w:r>
      <w:r w:rsidRPr="007119D6">
        <w:rPr>
          <w:rFonts w:ascii="Narkisim" w:hAnsi="Narkisim"/>
          <w:rtl/>
        </w:rPr>
        <w:t xml:space="preserve"> (שם קנ) כת' דלפ"ז כשיש לה מיגו מהני</w:t>
      </w:r>
      <w:r w:rsidRPr="007119D6">
        <w:rPr>
          <w:rFonts w:ascii="Narkisim" w:hAnsi="Narkisim"/>
        </w:rPr>
        <w:t>.</w:t>
      </w:r>
    </w:p>
  </w:footnote>
  <w:footnote w:id="7674">
    <w:p w14:paraId="5A0F872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בי"ש</w:t>
      </w:r>
      <w:r w:rsidRPr="007119D6">
        <w:rPr>
          <w:rFonts w:ascii="Narkisim" w:hAnsi="Narkisim"/>
          <w:rtl/>
        </w:rPr>
        <w:t xml:space="preserve"> (שם קמו) כת' דטעם זה שייך דוקא במלחמה, אבל מפולת ונחש וכדו' ואומרת קברתיו נאמנת. ואילו לטעם הקודם אינה נאמנת, דמחמת שחזק בליבה שמת משקרת</w:t>
      </w:r>
      <w:r w:rsidRPr="007119D6">
        <w:rPr>
          <w:rFonts w:ascii="Narkisim" w:hAnsi="Narkisim"/>
        </w:rPr>
        <w:t>.</w:t>
      </w:r>
    </w:p>
    <w:p w14:paraId="20C1E533"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w:t>
      </w:r>
      <w:r w:rsidRPr="007119D6">
        <w:rPr>
          <w:rFonts w:ascii="Narkisim" w:hAnsi="Narkisim"/>
          <w:b/>
          <w:bCs/>
          <w:rtl/>
        </w:rPr>
        <w:t>רע"א</w:t>
      </w:r>
      <w:r w:rsidRPr="007119D6">
        <w:rPr>
          <w:rFonts w:ascii="Narkisim" w:hAnsi="Narkisim"/>
          <w:rtl/>
        </w:rPr>
        <w:t xml:space="preserve"> (בשו"ע יז מח) כת' לפ"ז באומרת קברתיו אחר שפסק המלחמה נאמנת [ודלא כריא”ז הנ”ל דדוקא במכרת סימנים]. ואילו אומרת קברתיו במלחמה ואומרת שמכירה אותו ע"י סימנים [לסברת הרא"מ] אמרי' דמשקרה [ואף דלדברי הריא"ז נאמנת]</w:t>
      </w:r>
      <w:r w:rsidRPr="007119D6">
        <w:rPr>
          <w:rFonts w:ascii="Narkisim" w:hAnsi="Narkisim"/>
        </w:rPr>
        <w:t>.</w:t>
      </w:r>
    </w:p>
  </w:footnote>
  <w:footnote w:id="7675">
    <w:p w14:paraId="4982A82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טור</w:t>
      </w:r>
      <w:r w:rsidRPr="007119D6">
        <w:rPr>
          <w:rFonts w:ascii="Narkisim" w:hAnsi="Narkisim"/>
          <w:rtl/>
        </w:rPr>
        <w:t xml:space="preserve"> (וכן בקיצור פסקי הרא"ש) סתם דדבר הוה כמלחמה. והו' </w:t>
      </w:r>
      <w:r w:rsidRPr="007119D6">
        <w:rPr>
          <w:rFonts w:ascii="Narkisim" w:hAnsi="Narkisim"/>
          <w:b/>
          <w:bCs/>
          <w:rtl/>
        </w:rPr>
        <w:t>י”א</w:t>
      </w:r>
      <w:r w:rsidRPr="007119D6">
        <w:rPr>
          <w:rFonts w:ascii="Narkisim" w:hAnsi="Narkisim"/>
          <w:rtl/>
        </w:rPr>
        <w:t xml:space="preserve"> ברמ”א (יז נה)</w:t>
      </w:r>
      <w:r w:rsidRPr="007119D6">
        <w:rPr>
          <w:rFonts w:ascii="Narkisim" w:hAnsi="Narkisim"/>
        </w:rPr>
        <w:t>.</w:t>
      </w:r>
    </w:p>
  </w:footnote>
  <w:footnote w:id="7676">
    <w:p w14:paraId="347A873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קסג) ציין דכ"כ ה</w:t>
      </w:r>
      <w:r w:rsidRPr="007119D6">
        <w:rPr>
          <w:rFonts w:ascii="Narkisim" w:hAnsi="Narkisim"/>
          <w:b/>
          <w:bCs/>
          <w:rtl/>
        </w:rPr>
        <w:t>רמ"א</w:t>
      </w:r>
      <w:r w:rsidRPr="007119D6">
        <w:rPr>
          <w:rFonts w:ascii="Narkisim" w:hAnsi="Narkisim"/>
          <w:rtl/>
        </w:rPr>
        <w:t xml:space="preserve"> (בסעיף טו) גבי ספיקות במסיח לפי תומו. ועי"ש בפוסקים שהאריכו בזה</w:t>
      </w:r>
      <w:r w:rsidRPr="007119D6">
        <w:rPr>
          <w:rFonts w:ascii="Narkisim" w:hAnsi="Narkisim"/>
        </w:rPr>
        <w:t>.</w:t>
      </w:r>
    </w:p>
  </w:footnote>
  <w:footnote w:id="7677">
    <w:p w14:paraId="5BA2EE2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וכ"פ ה</w:t>
      </w:r>
      <w:r w:rsidRPr="007119D6">
        <w:rPr>
          <w:rFonts w:ascii="Narkisim" w:hAnsi="Narkisim"/>
          <w:b/>
          <w:bCs/>
          <w:rtl/>
        </w:rPr>
        <w:t>רמב"ם</w:t>
      </w:r>
      <w:r w:rsidRPr="007119D6">
        <w:rPr>
          <w:rFonts w:ascii="Narkisim" w:hAnsi="Narkisim"/>
          <w:rtl/>
        </w:rPr>
        <w:t xml:space="preserve"> (יג א) בעד א' בקטטה דנשאת לא תצא. וכן פי' </w:t>
      </w:r>
      <w:r w:rsidRPr="007119D6">
        <w:rPr>
          <w:rFonts w:ascii="Narkisim" w:hAnsi="Narkisim"/>
          <w:b/>
          <w:bCs/>
          <w:rtl/>
        </w:rPr>
        <w:t>ה"ה</w:t>
      </w:r>
      <w:r w:rsidRPr="007119D6">
        <w:rPr>
          <w:rFonts w:ascii="Narkisim" w:hAnsi="Narkisim"/>
          <w:rtl/>
        </w:rPr>
        <w:t xml:space="preserve"> בדברי ה</w:t>
      </w:r>
      <w:r w:rsidRPr="007119D6">
        <w:rPr>
          <w:rFonts w:ascii="Narkisim" w:hAnsi="Narkisim"/>
          <w:b/>
          <w:bCs/>
          <w:rtl/>
        </w:rPr>
        <w:t>רמב"ם</w:t>
      </w:r>
      <w:r w:rsidRPr="007119D6">
        <w:rPr>
          <w:rFonts w:ascii="Narkisim" w:hAnsi="Narkisim"/>
          <w:rtl/>
        </w:rPr>
        <w:t xml:space="preserve"> (שם יט) גבי עד א' במלחמה [באומרת קברתיו, ע"ע בסמוך]. והמ</w:t>
      </w:r>
      <w:r w:rsidRPr="007119D6">
        <w:rPr>
          <w:rFonts w:ascii="Narkisim" w:hAnsi="Narkisim"/>
          <w:b/>
          <w:bCs/>
          <w:rtl/>
        </w:rPr>
        <w:t>פרשים</w:t>
      </w:r>
      <w:r w:rsidRPr="007119D6">
        <w:rPr>
          <w:rFonts w:ascii="Narkisim" w:hAnsi="Narkisim"/>
          <w:rtl/>
        </w:rPr>
        <w:t xml:space="preserve"> (שם) האריכו בזה טובא. וה</w:t>
      </w:r>
      <w:r w:rsidRPr="007119D6">
        <w:rPr>
          <w:rFonts w:ascii="Narkisim" w:hAnsi="Narkisim"/>
          <w:b/>
          <w:bCs/>
          <w:rtl/>
        </w:rPr>
        <w:t>לח"מ</w:t>
      </w:r>
      <w:r w:rsidRPr="007119D6">
        <w:rPr>
          <w:rFonts w:ascii="Narkisim" w:hAnsi="Narkisim"/>
          <w:rtl/>
        </w:rPr>
        <w:t xml:space="preserve"> (יג יט) האריך טובא, וכת' [צד א'] דהרמב"ם ס"ל דספיקות הגמ' בעד א' במלחמה הוי לענין לכתחלה, אבל בדיעבד אם נשאת לא תצא, דסמכינן אטעמא דמילתא דעבידא לאיגלויי לא משקר. דלא גרע ממים שאין להם סוף (לקמן קכא:) דנשאת לא תצא</w:t>
      </w:r>
      <w:r w:rsidRPr="007119D6">
        <w:rPr>
          <w:rFonts w:ascii="Narkisim" w:hAnsi="Narkisim"/>
        </w:rPr>
        <w:t>.</w:t>
      </w:r>
    </w:p>
  </w:footnote>
  <w:footnote w:id="7678">
    <w:p w14:paraId="149804F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דהוה מדרבנן, אי משום דמילתא דעבידא לאיגלויי היא, אי משום מתוך חומר שהחמרת עליה בסופה וכו'. [וחשש בדדמי הוה רק מדרבנן]</w:t>
      </w:r>
      <w:r w:rsidRPr="007119D6">
        <w:rPr>
          <w:rFonts w:ascii="Narkisim" w:hAnsi="Narkisim"/>
        </w:rPr>
        <w:t>.</w:t>
      </w:r>
    </w:p>
  </w:footnote>
  <w:footnote w:id="7679">
    <w:p w14:paraId="2703890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מדברי התוס' משמע דבסוגיין אי"צ לסברא זו. וע"ע בסמוך</w:t>
      </w:r>
      <w:r w:rsidRPr="007119D6">
        <w:rPr>
          <w:rFonts w:ascii="Narkisim" w:hAnsi="Narkisim"/>
        </w:rPr>
        <w:t>.</w:t>
      </w:r>
    </w:p>
  </w:footnote>
  <w:footnote w:id="7680">
    <w:p w14:paraId="4DAC400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בפשוטו משמע דמדייקת ושמה לב לפרטים. אך צ"ב דמלחמה בעולם הוא דבר גדול דודאי היתה רואה. וצ"ל דכוונת התוס' דמדייקת בדבריה, ומספרת לנו סיפור שלם. ומש"ה אמרי' דמדייקת במיתתו. [וא"כ צ"ל ד'לא דייקה' הוא שאינה מדייקת בסיפור דברים, והוה קצת שקר. ולא שסבורה שהוא כן]</w:t>
      </w:r>
      <w:r w:rsidRPr="007119D6">
        <w:rPr>
          <w:rFonts w:ascii="Narkisim" w:hAnsi="Narkisim"/>
        </w:rPr>
        <w:t>.</w:t>
      </w:r>
    </w:p>
  </w:footnote>
  <w:footnote w:id="7681">
    <w:p w14:paraId="6420799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וצ"ע דמבואר ב</w:t>
      </w:r>
      <w:r w:rsidRPr="007119D6">
        <w:rPr>
          <w:rFonts w:ascii="Narkisim" w:hAnsi="Narkisim"/>
          <w:b/>
          <w:bCs/>
          <w:rtl/>
        </w:rPr>
        <w:t>תוס</w:t>
      </w:r>
      <w:r w:rsidRPr="007119D6">
        <w:rPr>
          <w:rFonts w:ascii="Narkisim" w:hAnsi="Narkisim"/>
          <w:rtl/>
        </w:rPr>
        <w:t>' (קטו. ד"ה או) דספק הגמ' בגדר מיגו</w:t>
      </w:r>
      <w:r w:rsidRPr="007119D6">
        <w:rPr>
          <w:rFonts w:ascii="Narkisim" w:hAnsi="Narkisim"/>
        </w:rPr>
        <w:t>.</w:t>
      </w:r>
    </w:p>
  </w:footnote>
  <w:footnote w:id="7682">
    <w:p w14:paraId="4CE5B98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ריטב"א</w:t>
      </w:r>
      <w:r w:rsidRPr="007119D6">
        <w:rPr>
          <w:rFonts w:ascii="Narkisim" w:hAnsi="Narkisim"/>
          <w:rtl/>
        </w:rPr>
        <w:t xml:space="preserve"> ודאי שלשון מיגו מושאל הוא, ומפני שאילו שתקה היתה נאמנת אנו אומרים למה לה להכניס עצמה לומר טענה שיאמרו שמשקרת בשוגג ובדדמי. ניחא לה טפי דתשתוק. אלא ודאי בתום לבבה אמרה כן מפני שהיא יודעת בעצמה שהיה הדבר כן ולקיים דבריה יותר</w:t>
      </w:r>
      <w:r w:rsidRPr="007119D6">
        <w:rPr>
          <w:rFonts w:ascii="Narkisim" w:hAnsi="Narkisim"/>
        </w:rPr>
        <w:t>.</w:t>
      </w:r>
    </w:p>
  </w:footnote>
  <w:footnote w:id="7683">
    <w:p w14:paraId="240A31F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וקצת משמע דדוקא היכא ד'הוחזק' לבי"ד מלחמה אמרי' בדדמי, אבל כל דלא נתברר לבי"ד דהוה מלחמה, לא מיחזי דאמרה בדדמי</w:t>
      </w:r>
      <w:r w:rsidRPr="007119D6">
        <w:rPr>
          <w:rFonts w:ascii="Narkisim" w:hAnsi="Narkisim"/>
        </w:rPr>
        <w:t>.</w:t>
      </w:r>
    </w:p>
  </w:footnote>
  <w:footnote w:id="7684">
    <w:p w14:paraId="362B17F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תוס' רא"ש </w:t>
      </w:r>
      <w:r w:rsidRPr="007119D6">
        <w:rPr>
          <w:rFonts w:ascii="Narkisim" w:hAnsi="Narkisim"/>
          <w:rtl/>
        </w:rPr>
        <w:t>(שבועות מה:) כת' דמה לי לשקר בעלמא אמרי' דלית לן לאחזוקי כשקרן שאם היה רוצה היה יכול לשקר בענין אחר והיה נאמן, אבל הכא לא מחזקינן ליה כשקרן, אלא אמרי' דשכח. [לכאורה טפי הול"ל דלא מהני 'נאמנות' כיון דאין לו טענה]</w:t>
      </w:r>
      <w:r w:rsidRPr="007119D6">
        <w:rPr>
          <w:rFonts w:ascii="Narkisim" w:hAnsi="Narkisim"/>
        </w:rPr>
        <w:t>.</w:t>
      </w:r>
    </w:p>
  </w:footnote>
  <w:footnote w:id="7685">
    <w:p w14:paraId="2E4211C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דהיכא דאינו חשוד לשקר, לא יטען טענה אחרת. אבל ודאי היה שותק ולא היה אומר בדדמי. [דהיכא דהוה בדדמי אף הוא יודע דאינו יודע בודאות]</w:t>
      </w:r>
      <w:r w:rsidRPr="007119D6">
        <w:rPr>
          <w:rFonts w:ascii="Narkisim" w:hAnsi="Narkisim"/>
        </w:rPr>
        <w:t>.</w:t>
      </w:r>
    </w:p>
  </w:footnote>
  <w:footnote w:id="7686">
    <w:p w14:paraId="37B1C77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תוס' הרא”ש</w:t>
      </w:r>
      <w:r w:rsidRPr="007119D6">
        <w:rPr>
          <w:rFonts w:ascii="Narkisim" w:hAnsi="Narkisim"/>
          <w:rtl/>
        </w:rPr>
        <w:t>, אלא דהתוס' רא"ש הוסיף סברת דייק כולי האי. ויל"ד אי אף התומים נתכוון לסברא זו</w:t>
      </w:r>
      <w:r w:rsidRPr="007119D6">
        <w:rPr>
          <w:rFonts w:ascii="Narkisim" w:hAnsi="Narkisim"/>
        </w:rPr>
        <w:t>.</w:t>
      </w:r>
    </w:p>
  </w:footnote>
  <w:footnote w:id="7687">
    <w:p w14:paraId="3A3E83A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תוס' תי' בזה הקו' 'דאי שייך מיגו וכו' במיגו דמת על מיטתו</w:t>
      </w:r>
      <w:r w:rsidRPr="007119D6">
        <w:rPr>
          <w:rFonts w:ascii="Narkisim" w:hAnsi="Narkisim"/>
        </w:rPr>
        <w:t>'.</w:t>
      </w:r>
    </w:p>
  </w:footnote>
  <w:footnote w:id="7688">
    <w:p w14:paraId="0B4CE8C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ב</w:t>
      </w:r>
      <w:r w:rsidRPr="007119D6">
        <w:rPr>
          <w:rFonts w:ascii="Narkisim" w:hAnsi="Narkisim"/>
          <w:b/>
          <w:bCs/>
          <w:rtl/>
        </w:rPr>
        <w:t>תוס' חד מקמאי</w:t>
      </w:r>
      <w:r w:rsidRPr="007119D6">
        <w:rPr>
          <w:rFonts w:ascii="Narkisim" w:hAnsi="Narkisim"/>
          <w:rtl/>
        </w:rPr>
        <w:t xml:space="preserve"> בשם ה</w:t>
      </w:r>
      <w:r w:rsidRPr="007119D6">
        <w:rPr>
          <w:rFonts w:ascii="Narkisim" w:hAnsi="Narkisim"/>
          <w:b/>
          <w:bCs/>
          <w:rtl/>
        </w:rPr>
        <w:t>ר"מ ב"ר יוסף</w:t>
      </w:r>
      <w:r w:rsidRPr="007119D6">
        <w:rPr>
          <w:rFonts w:ascii="Narkisim" w:hAnsi="Narkisim"/>
          <w:rtl/>
        </w:rPr>
        <w:t xml:space="preserve"> תי' כשמלחמה בעולם מרתתה לומר מת על מיטתו [ומש"ה אין לה מיגו]. אך הק' דעכ"פ כשאומרת מת וקברתיו נאמן [וכדעת הראשונים הנ"ל], ועי"ז תהא נאמנת במיגו. ותי' דל"מ מיגו, דאינה משקרת לפי דעתה. ודוקא החזיקה מלחמה מהני מיגו</w:t>
      </w:r>
      <w:r w:rsidRPr="007119D6">
        <w:rPr>
          <w:rFonts w:ascii="Narkisim" w:hAnsi="Narkisim"/>
        </w:rPr>
        <w:t>.</w:t>
      </w:r>
    </w:p>
    <w:p w14:paraId="208A9E44"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ועוד תי' דהיכא שיש מלחמה בעולם הוה חזקה שאומרת בדדמי, ומש"ה ל"מ מיגו, דהוה כמיגו במקום עדים [אבל החזיקה היא מלחמה לא נחשב נגד חזקה, דהוה מעין הפה שאסר]</w:t>
      </w:r>
      <w:r w:rsidRPr="007119D6">
        <w:rPr>
          <w:rFonts w:ascii="Narkisim" w:hAnsi="Narkisim"/>
        </w:rPr>
        <w:t>.</w:t>
      </w:r>
    </w:p>
  </w:footnote>
  <w:footnote w:id="7689">
    <w:p w14:paraId="00E6623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דאף את"ל דדעת תוס' כרמב"ם דבמלחמה אינה נאמנת לומר קברתיו, עכ"פ ברעבון [דמבואר בגמ' דנאמנת קברתיו] הדרא קו</w:t>
      </w:r>
      <w:r w:rsidRPr="007119D6">
        <w:rPr>
          <w:rFonts w:ascii="Narkisim" w:hAnsi="Narkisim"/>
        </w:rPr>
        <w:t>'.</w:t>
      </w:r>
    </w:p>
  </w:footnote>
  <w:footnote w:id="7690">
    <w:p w14:paraId="21534ED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תוס</w:t>
      </w:r>
      <w:r w:rsidRPr="007119D6">
        <w:rPr>
          <w:rFonts w:ascii="Narkisim" w:hAnsi="Narkisim"/>
          <w:rtl/>
        </w:rPr>
        <w:t>' (כתובות פז:) ר"י נשאר בקושיה</w:t>
      </w:r>
      <w:r w:rsidRPr="007119D6">
        <w:rPr>
          <w:rFonts w:ascii="Narkisim" w:hAnsi="Narkisim"/>
        </w:rPr>
        <w:t>.</w:t>
      </w:r>
    </w:p>
  </w:footnote>
  <w:footnote w:id="7691">
    <w:p w14:paraId="140587E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כת' </w:t>
      </w:r>
      <w:r w:rsidRPr="007119D6">
        <w:rPr>
          <w:rFonts w:ascii="Narkisim" w:hAnsi="Narkisim"/>
          <w:b/>
          <w:bCs/>
          <w:rtl/>
        </w:rPr>
        <w:t>תוס'</w:t>
      </w:r>
      <w:r w:rsidRPr="007119D6">
        <w:rPr>
          <w:rFonts w:ascii="Narkisim" w:hAnsi="Narkisim"/>
          <w:rtl/>
        </w:rPr>
        <w:t xml:space="preserve"> (שבועות מה:) דכיון דאינו טוען שמא אלא ברי, ואומר ודאי שלא שכח אין לנו להחזיקו כמשקר כיון דאית ליה מגו. אבל כשאין לו מגו אינו נאמן דשמא שכח מחמת שהוא טרוד בפועליו ומחמת שסבור שפרע טוען ברי אף על פי שמסופק</w:t>
      </w:r>
      <w:r w:rsidRPr="007119D6">
        <w:rPr>
          <w:rFonts w:ascii="Narkisim" w:hAnsi="Narkisim"/>
        </w:rPr>
        <w:t>.</w:t>
      </w:r>
    </w:p>
    <w:p w14:paraId="333B3B17"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ר"ן</w:t>
      </w:r>
      <w:r w:rsidRPr="007119D6">
        <w:rPr>
          <w:rFonts w:ascii="Narkisim" w:hAnsi="Narkisim"/>
          <w:rtl/>
        </w:rPr>
        <w:t xml:space="preserve"> (שבועות שם כו. בדה"ר) ביאר דכשיש לו מיגו וטעין שפרעו ודאי קושטא קאמר וברי גמור הוא, דאי טוען בדדמי משום דמסתפקא ליה לא הוה אמר מילתא דידע דמספקי בה רבנן משום טרדא והוה טעין דלא שכרו כלל</w:t>
      </w:r>
      <w:r w:rsidRPr="007119D6">
        <w:rPr>
          <w:rFonts w:ascii="Narkisim" w:hAnsi="Narkisim"/>
        </w:rPr>
        <w:t>.</w:t>
      </w:r>
    </w:p>
  </w:footnote>
  <w:footnote w:id="7692">
    <w:p w14:paraId="0256A9D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ולא סגי לזה טענת ברי, ואף היכא דטוען שיודע ברור שאינו טועה. ודוקא ע"י מיגו נאמן בטענתו</w:t>
      </w:r>
      <w:r w:rsidRPr="007119D6">
        <w:rPr>
          <w:rFonts w:ascii="Narkisim" w:hAnsi="Narkisim"/>
        </w:rPr>
        <w:t>.</w:t>
      </w:r>
    </w:p>
  </w:footnote>
  <w:footnote w:id="7693">
    <w:p w14:paraId="51BECCC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ואם נתכוונה למלחמה לא תהא נאמנת [לצד דהחזיקה היא מלחמה אינה נאמנת]</w:t>
      </w:r>
      <w:r w:rsidRPr="007119D6">
        <w:rPr>
          <w:rFonts w:ascii="Narkisim" w:hAnsi="Narkisim"/>
        </w:rPr>
        <w:t>.</w:t>
      </w:r>
    </w:p>
  </w:footnote>
  <w:footnote w:id="7694">
    <w:p w14:paraId="1FC2AF7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הק' דמהני עד מפי עד, ואף דלא שאלו את העד הראשון איך אתה יודע וכו'. וה</w:t>
      </w:r>
      <w:r w:rsidRPr="007119D6">
        <w:rPr>
          <w:rFonts w:ascii="Narkisim" w:hAnsi="Narkisim"/>
          <w:b/>
          <w:bCs/>
          <w:rtl/>
        </w:rPr>
        <w:t>בי"ש</w:t>
      </w:r>
      <w:r w:rsidRPr="007119D6">
        <w:rPr>
          <w:rFonts w:ascii="Narkisim" w:hAnsi="Narkisim"/>
          <w:rtl/>
        </w:rPr>
        <w:t xml:space="preserve"> (יז יג) תי' דהיכא דאפשר לשאול אותו שואלין אותו, ואין דנין אפשר משאי אפשר</w:t>
      </w:r>
      <w:r w:rsidRPr="007119D6">
        <w:rPr>
          <w:rFonts w:ascii="Narkisim" w:hAnsi="Narkisim"/>
        </w:rPr>
        <w:t>.</w:t>
      </w:r>
    </w:p>
  </w:footnote>
  <w:footnote w:id="7695">
    <w:p w14:paraId="0AD1839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ואם העיד בדבר ברור נאמן, ואם העיד בדברים שרובן למיתה אין משיאין את אשתו. שאין מעידין על האדם שמת אלא בשראוהו שמת ודאי ואין בו ספק</w:t>
      </w:r>
      <w:r w:rsidRPr="007119D6">
        <w:rPr>
          <w:rFonts w:ascii="Narkisim" w:hAnsi="Narkisim"/>
        </w:rPr>
        <w:t>.</w:t>
      </w:r>
    </w:p>
  </w:footnote>
  <w:footnote w:id="7696">
    <w:p w14:paraId="22B286F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דאל"כ לימא ת"ק אין בודקין עדי נשים כלל. ועוד דאין להקל אלא במה שאמרו חכמים בפירוש</w:t>
      </w:r>
      <w:r w:rsidRPr="007119D6">
        <w:rPr>
          <w:rFonts w:ascii="Narkisim" w:hAnsi="Narkisim"/>
        </w:rPr>
        <w:t>.</w:t>
      </w:r>
    </w:p>
  </w:footnote>
  <w:footnote w:id="7697">
    <w:p w14:paraId="35F040F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כוונתו דאשה עצמה נאמנת משום טענת ברי [או כעי"ז], ולא הוה גדר 'עדות', ומש"ה ל"צ שיתקבל בבי"ד</w:t>
      </w:r>
      <w:r w:rsidRPr="007119D6">
        <w:rPr>
          <w:rFonts w:ascii="Narkisim" w:hAnsi="Narkisim"/>
        </w:rPr>
        <w:t>.</w:t>
      </w:r>
    </w:p>
  </w:footnote>
  <w:footnote w:id="7698">
    <w:p w14:paraId="5CF8328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בית מאיר </w:t>
      </w:r>
      <w:r w:rsidRPr="007119D6">
        <w:rPr>
          <w:rFonts w:ascii="Narkisim" w:hAnsi="Narkisim"/>
          <w:rtl/>
        </w:rPr>
        <w:t>הביא דנהגו דאשה שהלכה עם בעלה למדה"י, ואח"כ היא לבדה שבה אל ארצה ומחזקת עצמה באלמנה שמת בעלה [והוחזק מיתתו בקהילה רחוקה], ונשאת ע"פ עצמה. ולא שמענו שיהיו הב"ד נזקקין לה שתעיד בפניהם לומר מת בעלי. [וע"כ דבאשה עצמה ל"צ שיתקבל דבריה בבי"ד]</w:t>
      </w:r>
      <w:r w:rsidRPr="007119D6">
        <w:rPr>
          <w:rFonts w:ascii="Narkisim" w:hAnsi="Narkisim"/>
        </w:rPr>
        <w:t>.</w:t>
      </w:r>
    </w:p>
  </w:footnote>
  <w:footnote w:id="7699">
    <w:p w14:paraId="38B6F16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ב”ח</w:t>
      </w:r>
      <w:r w:rsidRPr="007119D6">
        <w:rPr>
          <w:rFonts w:ascii="Narkisim" w:hAnsi="Narkisim"/>
          <w:rtl/>
        </w:rPr>
        <w:t xml:space="preserve"> דייק מדברי הרמב”ם דדוקא כשאומרת מת במלחמה אינה נאמנת. אבל מת סתם נאמנת [אף בהוחזק מלחמה]. וה</w:t>
      </w:r>
      <w:r w:rsidRPr="007119D6">
        <w:rPr>
          <w:rFonts w:ascii="Narkisim" w:hAnsi="Narkisim"/>
          <w:b/>
          <w:bCs/>
          <w:rtl/>
        </w:rPr>
        <w:t>חלק”מ</w:t>
      </w:r>
      <w:r w:rsidRPr="007119D6">
        <w:rPr>
          <w:rFonts w:ascii="Narkisim" w:hAnsi="Narkisim"/>
          <w:rtl/>
        </w:rPr>
        <w:t xml:space="preserve"> (יז צז ו</w:t>
      </w:r>
      <w:r w:rsidRPr="007119D6">
        <w:rPr>
          <w:rFonts w:ascii="Narkisim" w:hAnsi="Narkisim"/>
          <w:b/>
          <w:bCs/>
          <w:rtl/>
        </w:rPr>
        <w:t>בי”ש</w:t>
      </w:r>
      <w:r w:rsidRPr="007119D6">
        <w:rPr>
          <w:rFonts w:ascii="Narkisim" w:hAnsi="Narkisim"/>
          <w:rtl/>
        </w:rPr>
        <w:t xml:space="preserve"> שם קמה) חלק דלאו דוקא, וה”ה סתם אין נאמנת. וכת' דמ"מ אין בזה נפק"מ, דבלאו הכי שואלים אותה באיזה אופן היה</w:t>
      </w:r>
      <w:r w:rsidRPr="007119D6">
        <w:rPr>
          <w:rFonts w:ascii="Narkisim" w:hAnsi="Narkisim"/>
        </w:rPr>
        <w:t>.</w:t>
      </w:r>
    </w:p>
  </w:footnote>
  <w:footnote w:id="7700">
    <w:p w14:paraId="5D57FB7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(הג' מים חיים) ביארו דתוס' הק' כן בהחזיקה היא מלחמה, ודייקא כולי האי. ומש”ה יהני לה אף מיגו דמת על מיטתו</w:t>
      </w:r>
      <w:r w:rsidRPr="007119D6">
        <w:rPr>
          <w:rFonts w:ascii="Narkisim" w:hAnsi="Narkisim"/>
        </w:rPr>
        <w:t>.</w:t>
      </w:r>
    </w:p>
  </w:footnote>
  <w:footnote w:id="7701">
    <w:p w14:paraId="1358136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מהרש"א</w:t>
      </w:r>
      <w:r w:rsidRPr="007119D6">
        <w:rPr>
          <w:rFonts w:ascii="Narkisim" w:hAnsi="Narkisim"/>
          <w:rtl/>
        </w:rPr>
        <w:t xml:space="preserve"> הק' להיפך, דהו"ל לתוס' (לעיל) לתרץ דלא אמרי' נהרג אטו מת, וכמ"ש כאן. והמהרש"א תי' דבמשנה איירי אפי' אמרה מת סתם, ובזה הק' תוס' (לעיל) דתהא נאמנת מת במלחמה במיגו דמת על מיטתו. [ואילו ספק דהגמ' כאן באומרת לשון נהרג]. ובהג' מים חיים כת' דאפשר דכוונת התוס' דנהרג אטו מת לא הוה מיגו כולי האי, ובמקום חשש בדדמי צריך מיגו גמור. אך דחה דלא משמע כן בתוס</w:t>
      </w:r>
      <w:r w:rsidRPr="007119D6">
        <w:rPr>
          <w:rFonts w:ascii="Narkisim" w:hAnsi="Narkisim"/>
        </w:rPr>
        <w:t>'.</w:t>
      </w:r>
    </w:p>
  </w:footnote>
  <w:footnote w:id="7702">
    <w:p w14:paraId="34EC145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(ב"ב ה:) כת' דלא דמי כלל לבעיא דהתם, ולא פירשו דבריהם</w:t>
      </w:r>
      <w:r w:rsidRPr="007119D6">
        <w:rPr>
          <w:rFonts w:ascii="Narkisim" w:hAnsi="Narkisim"/>
        </w:rPr>
        <w:t>.</w:t>
      </w:r>
    </w:p>
  </w:footnote>
  <w:footnote w:id="7703">
    <w:p w14:paraId="5FD5AFA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הק' דמ"מ תפשוט ממתני' דהכא דל"מ במלחמה מיגו דמת על מיטתו, משום דהוה מיגו במקום חזקה. [וע"פ דברי תוס' לעיל לק"מ]. ותי' דהכא האשה סבורה שיאמינו לה שמת במלחמה, וכמו שהיא אומרת בדדמי, סבורה דאף הם יתירו בדדמי. ועוד תי' דהכא ל"ש מיגו, דלאו בשקרנית מחזקינן לה אלא דאמרה בדדמי, דסבורה שכן, ואינו</w:t>
      </w:r>
      <w:r w:rsidRPr="007119D6">
        <w:rPr>
          <w:rFonts w:ascii="Narkisim" w:hAnsi="Narkisim"/>
        </w:rPr>
        <w:t>.</w:t>
      </w:r>
    </w:p>
  </w:footnote>
  <w:footnote w:id="7704">
    <w:p w14:paraId="23C0E6F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ודוקא במלחמה היכא דיש לה מיגו לא חיישי' דבדדמי. דליכא טעמא כולי האי לחוש, דאפשר שירד למלחמה ומת. ודוקא היכא דהוחזק מלחמה חיישינן חששא בעלמא. [משמע דכוונתו ע"פ מש"כ דבסוגיין לא הוחזק לבי"ד דיש מלחמה ומש"ה לא חששו]</w:t>
      </w:r>
      <w:r w:rsidRPr="007119D6">
        <w:rPr>
          <w:rFonts w:ascii="Narkisim" w:hAnsi="Narkisim"/>
        </w:rPr>
        <w:t>.</w:t>
      </w:r>
    </w:p>
  </w:footnote>
  <w:footnote w:id="7705">
    <w:p w14:paraId="3A69AC9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(פח, ובהג' מיימוני יג ב) הביא בשם </w:t>
      </w:r>
      <w:r w:rsidRPr="007119D6">
        <w:rPr>
          <w:rFonts w:ascii="Narkisim" w:hAnsi="Narkisim"/>
          <w:b/>
          <w:bCs/>
          <w:rtl/>
        </w:rPr>
        <w:t>ראבי"ה</w:t>
      </w:r>
      <w:r w:rsidRPr="007119D6">
        <w:rPr>
          <w:rFonts w:ascii="Narkisim" w:hAnsi="Narkisim"/>
          <w:rtl/>
        </w:rPr>
        <w:t xml:space="preserve"> דבמקום שנהוג שאין מקפידין להרוג מי ש הולךסמוך למערכת המלחמה בלא כלי זיין [לקנות שלל] אינו אומר בדדמי. וה</w:t>
      </w:r>
      <w:r w:rsidRPr="007119D6">
        <w:rPr>
          <w:rFonts w:ascii="Narkisim" w:hAnsi="Narkisim"/>
          <w:b/>
          <w:bCs/>
          <w:rtl/>
        </w:rPr>
        <w:t>ט"ז</w:t>
      </w:r>
      <w:r w:rsidRPr="007119D6">
        <w:rPr>
          <w:rFonts w:ascii="Narkisim" w:hAnsi="Narkisim"/>
          <w:rtl/>
        </w:rPr>
        <w:t xml:space="preserve"> (יז סד והו' בבי"ש שם קמט) כת' דה"מ באותן המלחמות שמנהגה כך שאין הורגים מי שסמוך למערכה, אבל בעו"ה במלחמות שנתהוו בגזירות הרעות מן גזירות ת"ח ואילך הורגים גם הנטפלים</w:t>
      </w:r>
      <w:r w:rsidRPr="007119D6">
        <w:rPr>
          <w:rFonts w:ascii="Narkisim" w:hAnsi="Narkisim"/>
        </w:rPr>
        <w:t>.</w:t>
      </w:r>
    </w:p>
  </w:footnote>
  <w:footnote w:id="7706">
    <w:p w14:paraId="030FA17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ובגמ' (ע"ז שם) נח' בסברא זו לענין יחוד עם העכו"ם, ותוס' (שם) כת' דמ"מ בסוגיין כו"ע מודים לסברא זו</w:t>
      </w:r>
      <w:r w:rsidRPr="007119D6">
        <w:rPr>
          <w:rFonts w:ascii="Narkisim" w:hAnsi="Narkisim"/>
        </w:rPr>
        <w:t>.</w:t>
      </w:r>
    </w:p>
  </w:footnote>
  <w:footnote w:id="7707">
    <w:p w14:paraId="09B1D59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[איש אחר מגוף החרוך. ולא שידעינן (ע"י סימנים) שהיד אינה של בעלה]. והאשה אומרת שהיד מהאיש שבא להציל. אלא דרב חייא ב”א חשש להיפך, דהיד של בעלה והגברא חרוך הוא המציל</w:t>
      </w:r>
      <w:r w:rsidRPr="007119D6">
        <w:rPr>
          <w:rFonts w:ascii="Narkisim" w:hAnsi="Narkisim"/>
        </w:rPr>
        <w:t>.</w:t>
      </w:r>
    </w:p>
  </w:footnote>
  <w:footnote w:id="7708">
    <w:p w14:paraId="065C557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צ"ב דהא לא הוה דבר שעושה אותו טריפה, ולקמן (קכא:) מבואר דאמרי' דדוקא בדבר שעושה אותו טריפה משיאין את אשתו. ולכאורה כוונתו דכיון שהיה כל כך קרוב לאש זמן ממושך, סגי בזה להעיד עליו שמת</w:t>
      </w:r>
      <w:r w:rsidRPr="007119D6">
        <w:rPr>
          <w:rFonts w:ascii="Narkisim" w:hAnsi="Narkisim"/>
        </w:rPr>
        <w:t>.</w:t>
      </w:r>
    </w:p>
  </w:footnote>
  <w:footnote w:id="7709">
    <w:p w14:paraId="1F47322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והא דחיישינן שמא איתיליד בו מום הוה חשש בעלמא, ולא משום שחסר לו יד</w:t>
      </w:r>
      <w:r w:rsidRPr="007119D6">
        <w:rPr>
          <w:rFonts w:ascii="Narkisim" w:hAnsi="Narkisim"/>
        </w:rPr>
        <w:t>.</w:t>
      </w:r>
    </w:p>
  </w:footnote>
  <w:footnote w:id="7710">
    <w:p w14:paraId="095CBA4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ורבא סבר דכיון שניכר בסימנים שהיד של בעלה, מש"ה יש לתלות דאף הגברא חרוכא הוא בעלה</w:t>
      </w:r>
      <w:r w:rsidRPr="007119D6">
        <w:rPr>
          <w:rFonts w:ascii="Narkisim" w:hAnsi="Narkisim"/>
        </w:rPr>
        <w:t>.</w:t>
      </w:r>
    </w:p>
  </w:footnote>
  <w:footnote w:id="7711">
    <w:p w14:paraId="4562DEC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ע"ע תוס' (בע"ב ד"ה וכן)</w:t>
      </w:r>
      <w:r w:rsidRPr="007119D6">
        <w:rPr>
          <w:rFonts w:ascii="Narkisim" w:hAnsi="Narkisim"/>
        </w:rPr>
        <w:t>.</w:t>
      </w:r>
    </w:p>
  </w:footnote>
  <w:footnote w:id="7712">
    <w:p w14:paraId="7D095FD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דאין טעם לתלות שהגוף של הבעל והיד של המציל, כיון שיש טעם לומר להיפך. [וסברת רבא דכיון שהיא העידה נאמנת]</w:t>
      </w:r>
      <w:r w:rsidRPr="007119D6">
        <w:rPr>
          <w:rFonts w:ascii="Narkisim" w:hAnsi="Narkisim"/>
        </w:rPr>
        <w:t>.</w:t>
      </w:r>
    </w:p>
  </w:footnote>
  <w:footnote w:id="7713">
    <w:p w14:paraId="6BAEBC5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בית יוסף</w:t>
      </w:r>
      <w:r w:rsidRPr="007119D6">
        <w:rPr>
          <w:rFonts w:ascii="Narkisim" w:hAnsi="Narkisim"/>
          <w:rtl/>
        </w:rPr>
        <w:t xml:space="preserve"> (דיני גוי מסל"ת ח) ביאר דיותר קרוב היה לומר דגברא חרוכא היינו גברא דההיא איתתא [מלתלות דאיניש דעלמא], ואפ"ה חיישי דילמא איניש מעלמא</w:t>
      </w:r>
      <w:r w:rsidRPr="007119D6">
        <w:rPr>
          <w:rFonts w:ascii="Narkisim" w:hAnsi="Narkisim"/>
        </w:rPr>
        <w:t>.</w:t>
      </w:r>
    </w:p>
  </w:footnote>
  <w:footnote w:id="7714">
    <w:p w14:paraId="297CD5A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תוס' רא"ש </w:t>
      </w:r>
      <w:r w:rsidRPr="007119D6">
        <w:rPr>
          <w:rFonts w:ascii="Narkisim" w:hAnsi="Narkisim"/>
          <w:rtl/>
        </w:rPr>
        <w:t>כת' דאפשר דאפי' אם העד אומר בדדמי, סמכינן אהא דהאשה דייקא ומינסבא</w:t>
      </w:r>
      <w:r w:rsidRPr="007119D6">
        <w:rPr>
          <w:rFonts w:ascii="Narkisim" w:hAnsi="Narkisim"/>
        </w:rPr>
        <w:t>.</w:t>
      </w:r>
    </w:p>
  </w:footnote>
  <w:footnote w:id="7715">
    <w:p w14:paraId="351C9B5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דאיהי דייקא לברר אם באה עליהם מלחמה כלל, אבל כיון שנתברר לה שירד למלחמה, תולה שודאי מת כדברי העד, ושוב לא דייקא</w:t>
      </w:r>
      <w:r w:rsidRPr="007119D6">
        <w:rPr>
          <w:rFonts w:ascii="Narkisim" w:hAnsi="Narkisim"/>
        </w:rPr>
        <w:t>.</w:t>
      </w:r>
    </w:p>
  </w:footnote>
  <w:footnote w:id="7716">
    <w:p w14:paraId="257F48B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ועוד פי' </w:t>
      </w:r>
      <w:r w:rsidRPr="007119D6">
        <w:rPr>
          <w:rFonts w:ascii="Narkisim" w:hAnsi="Narkisim"/>
          <w:b/>
          <w:bCs/>
          <w:rtl/>
        </w:rPr>
        <w:t>ה"ה</w:t>
      </w:r>
      <w:r w:rsidRPr="007119D6">
        <w:rPr>
          <w:rFonts w:ascii="Narkisim" w:hAnsi="Narkisim"/>
          <w:rtl/>
        </w:rPr>
        <w:t xml:space="preserve"> דספק הגמ' בתרוייהו, בין היכא דאמר קברתיו ובין לא אמר קברתיו. ופשטו מהא דלקמן עכ"פ היכא דאמר קברתיו. אבל היכא דלא אמר קברתיו נשאר ספק. וכת' דכ"ה דעת הרמב"ם [ע"ע בסמוך], אלא דהמפרשים פי' דעת הרי"ף באופ"א</w:t>
      </w:r>
      <w:r w:rsidRPr="007119D6">
        <w:rPr>
          <w:rFonts w:ascii="Narkisim" w:hAnsi="Narkisim"/>
        </w:rPr>
        <w:t>.</w:t>
      </w:r>
    </w:p>
  </w:footnote>
  <w:footnote w:id="7717">
    <w:p w14:paraId="1F16847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קז בליקוט) הוסיף דע"כ לא הוה בכלל ספק הגמ', דא"כ אמאי נקט עד א' במלחמה. הא אף בב' עדים אמרי' הכי</w:t>
      </w:r>
      <w:r w:rsidRPr="007119D6">
        <w:rPr>
          <w:rFonts w:ascii="Narkisim" w:hAnsi="Narkisim"/>
        </w:rPr>
        <w:t>.</w:t>
      </w:r>
    </w:p>
  </w:footnote>
  <w:footnote w:id="7718">
    <w:p w14:paraId="3DE4316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ראב"ד</w:t>
      </w:r>
      <w:r w:rsidRPr="007119D6">
        <w:rPr>
          <w:rFonts w:ascii="Narkisim" w:hAnsi="Narkisim"/>
          <w:rtl/>
        </w:rPr>
        <w:t xml:space="preserve"> (ס' הזכות) דהרי"ף לא למד כן מסוגיין, אלא מסוגיה דמים שאין להם סוף</w:t>
      </w:r>
      <w:r w:rsidRPr="007119D6">
        <w:rPr>
          <w:rFonts w:ascii="Narkisim" w:hAnsi="Narkisim"/>
        </w:rPr>
        <w:t>.</w:t>
      </w:r>
    </w:p>
  </w:footnote>
  <w:footnote w:id="7719">
    <w:p w14:paraId="76481F6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מדברי הגמ' (לעיל צג:, וכן בהמשך שם) דלא תיבעי לך [דעד א' נאמן להתיר לייבם], דאפי' היא מהימנא. אלמא כל היכא דאיהי מהימנא כ"ש עד א' מהימן. דעד א' נאמן טפי. ושוב דחה די"ל דבעלמא היא נאמנת טפי מעד א', דאיהי דייקא שפיר דלא תקלקל את עצמה. אלא דגבי יבם הנידון משום זימנין סני ליבם. א"כ הריעותא דהעד הוה משום דידה, ומש"ה בכל מקום שהיא נאמנת, כ"ש שהעד נאמן</w:t>
      </w:r>
      <w:r w:rsidRPr="007119D6">
        <w:rPr>
          <w:rFonts w:ascii="Narkisim" w:hAnsi="Narkisim"/>
        </w:rPr>
        <w:t>.</w:t>
      </w:r>
    </w:p>
  </w:footnote>
  <w:footnote w:id="7720">
    <w:p w14:paraId="47E963D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רא"ש </w:t>
      </w:r>
      <w:r w:rsidRPr="007119D6">
        <w:rPr>
          <w:rFonts w:ascii="Narkisim" w:hAnsi="Narkisim"/>
          <w:rtl/>
        </w:rPr>
        <w:t>ו</w:t>
      </w:r>
      <w:r w:rsidRPr="007119D6">
        <w:rPr>
          <w:rFonts w:ascii="Narkisim" w:hAnsi="Narkisim"/>
          <w:b/>
          <w:bCs/>
          <w:rtl/>
        </w:rPr>
        <w:t xml:space="preserve">רשב"א </w:t>
      </w:r>
      <w:r w:rsidRPr="007119D6">
        <w:rPr>
          <w:rFonts w:ascii="Narkisim" w:hAnsi="Narkisim"/>
          <w:rtl/>
        </w:rPr>
        <w:t>הוכיחו כן מדברי הגמ' (בסמוך) דמים כמלחמה, ונשים אפי' ק' כעד א' דמו. משמע דבב' עדים לא איכפ"ל. {אך למש"כ הראשונים דכוונת הרי"ף דבסוגיין איירי בקברתיו, וכה"ג הספק דוקא בעד א', א”כ שפיר הדגישו דנשים כעד א' [ועד”ז כת' ה</w:t>
      </w:r>
      <w:r w:rsidRPr="007119D6">
        <w:rPr>
          <w:rFonts w:ascii="Narkisim" w:hAnsi="Narkisim"/>
          <w:b/>
          <w:bCs/>
          <w:rtl/>
        </w:rPr>
        <w:t>גר”א</w:t>
      </w:r>
      <w:r w:rsidRPr="007119D6">
        <w:rPr>
          <w:rFonts w:ascii="Narkisim" w:hAnsi="Narkisim"/>
          <w:rtl/>
        </w:rPr>
        <w:t xml:space="preserve"> יז קז בליקוט]. ואף דה</w:t>
      </w:r>
      <w:r w:rsidRPr="007119D6">
        <w:rPr>
          <w:rFonts w:ascii="Narkisim" w:hAnsi="Narkisim"/>
          <w:b/>
          <w:bCs/>
          <w:rtl/>
        </w:rPr>
        <w:t>רי"ף</w:t>
      </w:r>
      <w:r w:rsidRPr="007119D6">
        <w:rPr>
          <w:rFonts w:ascii="Narkisim" w:hAnsi="Narkisim"/>
          <w:rtl/>
        </w:rPr>
        <w:t xml:space="preserve"> הוסיף [ע"פ הסוגיה לקמן דמים שאין להם סוף] דאף ב' עדים, היכא דלא אמר קברתיו. הא זהו קו' הגמ' ותסברא מים שאין להם סוף}</w:t>
      </w:r>
      <w:r w:rsidRPr="007119D6">
        <w:rPr>
          <w:rFonts w:ascii="Narkisim" w:hAnsi="Narkisim"/>
        </w:rPr>
        <w:t>.</w:t>
      </w:r>
    </w:p>
  </w:footnote>
  <w:footnote w:id="7721">
    <w:p w14:paraId="5FA9375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יל”ע האם כוונתו דהעד צריך לפרש דבריו, ולא סגי להודיע שמת. או דצריך לחקור אותו בפועל</w:t>
      </w:r>
      <w:r w:rsidRPr="007119D6">
        <w:rPr>
          <w:rFonts w:ascii="Narkisim" w:hAnsi="Narkisim"/>
        </w:rPr>
        <w:t>].</w:t>
      </w:r>
    </w:p>
  </w:footnote>
  <w:footnote w:id="7722">
    <w:p w14:paraId="79BD73A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ומ"מ ה</w:t>
      </w:r>
      <w:r w:rsidRPr="007119D6">
        <w:rPr>
          <w:rFonts w:ascii="Narkisim" w:hAnsi="Narkisim"/>
          <w:b/>
          <w:bCs/>
          <w:rtl/>
        </w:rPr>
        <w:t>מלחמות</w:t>
      </w:r>
      <w:r w:rsidRPr="007119D6">
        <w:rPr>
          <w:rFonts w:ascii="Narkisim" w:hAnsi="Narkisim"/>
          <w:rtl/>
        </w:rPr>
        <w:t xml:space="preserve"> כת' דאנו היינו סוברים דבעדים לא חיישינן שיעידו בדדמי, שאם אין הדבר ברור להם כשמש מה להם ולצער הזה. ודוקא בעדים חיישינן</w:t>
      </w:r>
      <w:r w:rsidRPr="007119D6">
        <w:rPr>
          <w:rFonts w:ascii="Narkisim" w:hAnsi="Narkisim"/>
        </w:rPr>
        <w:t>.</w:t>
      </w:r>
    </w:p>
  </w:footnote>
  <w:footnote w:id="7723">
    <w:p w14:paraId="7409AB9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דהאשה מחזרת אחר הדבר, ומכיון ששמעה בו שטבע אינה רוצה שוב בדיקות וחקירות, ומעתה תלך ותנשא דסמכה בדדמי על העד</w:t>
      </w:r>
      <w:r w:rsidRPr="007119D6">
        <w:rPr>
          <w:rFonts w:ascii="Narkisim" w:hAnsi="Narkisim"/>
        </w:rPr>
        <w:t>.</w:t>
      </w:r>
    </w:p>
  </w:footnote>
  <w:footnote w:id="7724">
    <w:p w14:paraId="3208EAC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וכ"כ </w:t>
      </w:r>
      <w:r w:rsidRPr="007119D6">
        <w:rPr>
          <w:rFonts w:ascii="Narkisim" w:hAnsi="Narkisim"/>
          <w:b/>
          <w:bCs/>
          <w:rtl/>
        </w:rPr>
        <w:t>ה"ה</w:t>
      </w:r>
      <w:r w:rsidRPr="007119D6">
        <w:rPr>
          <w:rFonts w:ascii="Narkisim" w:hAnsi="Narkisim"/>
          <w:rtl/>
        </w:rPr>
        <w:t xml:space="preserve"> (בפי' הא', 'וכמדומה לי') בדעת הרי"ף והרמב"ם, דהספק כשלא אומרת קברתיו, אבל היכא דאמר קברתיו פשיטא דמהני. וכדמוכח מדחיית הגמ' דב' ת"ח דאסקינהו קמן [בסוף העמ']. ושוב הביא דהמפרשים כת' בכוונת הרי"ף באופ"א, אך זהו כוונת הרמב"ם</w:t>
      </w:r>
      <w:r w:rsidRPr="007119D6">
        <w:rPr>
          <w:rFonts w:ascii="Narkisim" w:hAnsi="Narkisim"/>
        </w:rPr>
        <w:t>.</w:t>
      </w:r>
    </w:p>
  </w:footnote>
  <w:footnote w:id="7725">
    <w:p w14:paraId="1B23477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וכ"כ </w:t>
      </w:r>
      <w:r w:rsidRPr="007119D6">
        <w:rPr>
          <w:rFonts w:ascii="Narkisim" w:hAnsi="Narkisim"/>
          <w:b/>
          <w:bCs/>
          <w:rtl/>
        </w:rPr>
        <w:t>ה"ה</w:t>
      </w:r>
      <w:r w:rsidRPr="007119D6">
        <w:rPr>
          <w:rFonts w:ascii="Narkisim" w:hAnsi="Narkisim"/>
          <w:rtl/>
        </w:rPr>
        <w:t xml:space="preserve"> (בפי' הב', א"נ בעיין בכל ענין). וכ"כ ה</w:t>
      </w:r>
      <w:r w:rsidRPr="007119D6">
        <w:rPr>
          <w:rFonts w:ascii="Narkisim" w:hAnsi="Narkisim"/>
          <w:b/>
          <w:bCs/>
          <w:rtl/>
        </w:rPr>
        <w:t>גר"א</w:t>
      </w:r>
      <w:r w:rsidRPr="007119D6">
        <w:rPr>
          <w:rFonts w:ascii="Narkisim" w:hAnsi="Narkisim"/>
          <w:rtl/>
        </w:rPr>
        <w:t xml:space="preserve"> (יז קז). והגר"א כת' דדהרמב"ם אזיל לשיטתו (הו' לעיל קיד:) דבאשה במלחמה לא מהני קברתיו. דס"ל דבמלחמה גם בקברתיו שייך בדדמי</w:t>
      </w:r>
      <w:r w:rsidRPr="007119D6">
        <w:rPr>
          <w:rFonts w:ascii="Narkisim" w:hAnsi="Narkisim"/>
        </w:rPr>
        <w:t>.</w:t>
      </w:r>
    </w:p>
  </w:footnote>
  <w:footnote w:id="7726">
    <w:p w14:paraId="337A113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ודלא כ</w:t>
      </w:r>
      <w:r w:rsidRPr="007119D6">
        <w:rPr>
          <w:rFonts w:ascii="Narkisim" w:hAnsi="Narkisim"/>
          <w:b/>
          <w:bCs/>
          <w:rtl/>
        </w:rPr>
        <w:t>רי"ף</w:t>
      </w:r>
      <w:r w:rsidRPr="007119D6">
        <w:rPr>
          <w:rFonts w:ascii="Narkisim" w:hAnsi="Narkisim"/>
          <w:rtl/>
        </w:rPr>
        <w:t xml:space="preserve"> (הנ"ל). [ולכאורה משמע בפסקי הרי"ד דהוה מדיני עדות דלא חיישינן לבדדמי. ודלא כרמב"ן דהוה סברא דהעד לא היה מעיד אא"כ ראה]</w:t>
      </w:r>
      <w:r w:rsidRPr="007119D6">
        <w:rPr>
          <w:rFonts w:ascii="Narkisim" w:hAnsi="Narkisim"/>
        </w:rPr>
        <w:t>.</w:t>
      </w:r>
    </w:p>
  </w:footnote>
  <w:footnote w:id="7727">
    <w:p w14:paraId="6CF2B15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כדעולא (לקמן קיז:) דכל מקום שהאמינה תורה עד א' הרי כאן ב'. [והעירו דמבואר בדברי הרי"ד דאף נשים ועד פסול דינם כב'. וע"ע לקמן שם]</w:t>
      </w:r>
      <w:r w:rsidRPr="007119D6">
        <w:rPr>
          <w:rFonts w:ascii="Narkisim" w:hAnsi="Narkisim"/>
        </w:rPr>
        <w:t>.</w:t>
      </w:r>
    </w:p>
  </w:footnote>
  <w:footnote w:id="7728">
    <w:p w14:paraId="358AFC7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קמז) כת' דהרמב"ם גורס א"ד דזימנין דאמר בדדמי, ומש”ה ס"ל דהאיבעיא לא נפשטה. דאע"ג דלא משקרי, מ"מ אומר בדדמי. ומש"ה דוקא קברתיו מהני, ומש"ה עדיף עד מאשה</w:t>
      </w:r>
      <w:r w:rsidRPr="007119D6">
        <w:rPr>
          <w:rFonts w:ascii="Narkisim" w:hAnsi="Narkisim"/>
        </w:rPr>
        <w:t>.</w:t>
      </w:r>
    </w:p>
  </w:footnote>
  <w:footnote w:id="7729">
    <w:p w14:paraId="3004971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כת' בתוס' חד מקמאי ליישב הך גירסא [והביא שהוא גירסת הרי”ף]</w:t>
      </w:r>
      <w:r w:rsidRPr="007119D6">
        <w:rPr>
          <w:rFonts w:ascii="Narkisim" w:hAnsi="Narkisim"/>
        </w:rPr>
        <w:t>.</w:t>
      </w:r>
    </w:p>
  </w:footnote>
  <w:footnote w:id="7730">
    <w:p w14:paraId="3B24D46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קז בליקוט) כת' דנ"ל שהגי' נשתרבב מהא (דלעיל צג). וכת' דמ"מ אין נפק"מ מזה לדינא</w:t>
      </w:r>
      <w:r w:rsidRPr="007119D6">
        <w:rPr>
          <w:rFonts w:ascii="Narkisim" w:hAnsi="Narkisim"/>
        </w:rPr>
        <w:t>.</w:t>
      </w:r>
    </w:p>
  </w:footnote>
  <w:footnote w:id="7731">
    <w:p w14:paraId="0EF529B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פשטות הרמב"ם (הו' בסמוך) דהיכא דלא אמר קברתיו הוה ספק</w:t>
      </w:r>
      <w:r w:rsidRPr="007119D6">
        <w:rPr>
          <w:rFonts w:ascii="Narkisim" w:hAnsi="Narkisim"/>
        </w:rPr>
        <w:t>.</w:t>
      </w:r>
    </w:p>
  </w:footnote>
  <w:footnote w:id="7732">
    <w:p w14:paraId="6E4F2BF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בעה"מ</w:t>
      </w:r>
      <w:r w:rsidRPr="007119D6">
        <w:rPr>
          <w:rFonts w:ascii="Narkisim" w:hAnsi="Narkisim"/>
          <w:rtl/>
        </w:rPr>
        <w:t xml:space="preserve"> דחה דהתם איירי שלא ראו שטבע, אלא שראוהו לאחר שהעלום מהמים, ומש"ה לא הוה כמלחמה ועד א' נאמן</w:t>
      </w:r>
      <w:r w:rsidRPr="007119D6">
        <w:rPr>
          <w:rFonts w:ascii="Narkisim" w:hAnsi="Narkisim"/>
        </w:rPr>
        <w:t>.</w:t>
      </w:r>
    </w:p>
  </w:footnote>
  <w:footnote w:id="7733">
    <w:p w14:paraId="6E55DF8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ובמעשה שם איירי במים שאין להם סוף, ולא התירו אותו. אלא דדייקו דאילו הוו מים שיש להן סוף ודאי התירוה. אך שוב דחה דבמים שיש להם סוף ל"ש בדדמי</w:t>
      </w:r>
      <w:r w:rsidRPr="007119D6">
        <w:rPr>
          <w:rFonts w:ascii="Narkisim" w:hAnsi="Narkisim"/>
        </w:rPr>
        <w:t>.</w:t>
      </w:r>
    </w:p>
    <w:p w14:paraId="6F6CCDDA"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רא"ש</w:t>
      </w:r>
      <w:r w:rsidRPr="007119D6">
        <w:rPr>
          <w:rFonts w:ascii="Narkisim" w:hAnsi="Narkisim"/>
          <w:rtl/>
        </w:rPr>
        <w:t xml:space="preserve"> הביא ראיה זו בשם ה</w:t>
      </w:r>
      <w:r w:rsidRPr="007119D6">
        <w:rPr>
          <w:rFonts w:ascii="Narkisim" w:hAnsi="Narkisim"/>
          <w:b/>
          <w:bCs/>
          <w:rtl/>
        </w:rPr>
        <w:t>ראב"ד</w:t>
      </w:r>
      <w:r w:rsidRPr="007119D6">
        <w:rPr>
          <w:rFonts w:ascii="Narkisim" w:hAnsi="Narkisim"/>
          <w:rtl/>
        </w:rPr>
        <w:t>, ודחה דמים שיש להם סוף ל"ש בדדמי, ול"ד למלחמה. ואף מים שאין להם סוף קי"ל דנשאת לא תצא [דהרוב שמת], וכלפי נשאת לא תצא לא הוה כמלחמה</w:t>
      </w:r>
      <w:r w:rsidRPr="007119D6">
        <w:rPr>
          <w:rFonts w:ascii="Narkisim" w:hAnsi="Narkisim"/>
        </w:rPr>
        <w:t>.</w:t>
      </w:r>
    </w:p>
  </w:footnote>
  <w:footnote w:id="7734">
    <w:p w14:paraId="3C220A9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כ"ש לששים בנ"א כא' דודאי במלחמה משמע</w:t>
      </w:r>
      <w:r w:rsidRPr="007119D6">
        <w:rPr>
          <w:rFonts w:ascii="Narkisim" w:hAnsi="Narkisim"/>
        </w:rPr>
        <w:t>.</w:t>
      </w:r>
    </w:p>
  </w:footnote>
  <w:footnote w:id="7735">
    <w:p w14:paraId="00FE5B4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דלא שמיע להו הך ברייתא, וכדאי' (לקמן קכב. לעיל מיניה) דשהיוה ג' ריגלי. ומש"ה לא פשטוה בגמרא מיהא. [ודן אי גרסי' התם רבא או רבה]</w:t>
      </w:r>
      <w:r w:rsidRPr="007119D6">
        <w:rPr>
          <w:rFonts w:ascii="Narkisim" w:hAnsi="Narkisim"/>
        </w:rPr>
        <w:t>.</w:t>
      </w:r>
    </w:p>
  </w:footnote>
  <w:footnote w:id="7736">
    <w:p w14:paraId="3901047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דלדעת הרמב"ם הספק בתרוייהו, ובקברתיו נפשט מהנך גמ'. אבל בלא קברתיו לא נפשט כלל</w:t>
      </w:r>
      <w:r w:rsidRPr="007119D6">
        <w:rPr>
          <w:rFonts w:ascii="Narkisim" w:hAnsi="Narkisim"/>
        </w:rPr>
        <w:t>.</w:t>
      </w:r>
    </w:p>
  </w:footnote>
  <w:footnote w:id="7737">
    <w:p w14:paraId="771445B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כת' עוד דסוגיה דעלמא (ר"ה כב:) דכל מילתא דעבידא לאיגלויי לא משקרי בה אינשי, גבי קדוש החדש. וכת' דאף דהתם עבידא לאיגלויי טפי, משמע דפשיטא לגמ' דהכא נמי עבידא לאיגלויי, אלא דהספק האם נאמן בעיבדא לאיגלויי</w:t>
      </w:r>
      <w:r w:rsidRPr="007119D6">
        <w:rPr>
          <w:rFonts w:ascii="Narkisim" w:hAnsi="Narkisim"/>
        </w:rPr>
        <w:t>.</w:t>
      </w:r>
    </w:p>
  </w:footnote>
  <w:footnote w:id="7738">
    <w:p w14:paraId="5FC404B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[ודלא כתוס' דהנידון משום שהאשה אומרת בדדמי, ומש"ה לא דייקא]. ו</w:t>
      </w:r>
      <w:r w:rsidRPr="007119D6">
        <w:rPr>
          <w:rFonts w:ascii="Narkisim" w:hAnsi="Narkisim"/>
          <w:b/>
          <w:bCs/>
          <w:rtl/>
        </w:rPr>
        <w:t>רש"י</w:t>
      </w:r>
      <w:r w:rsidRPr="007119D6">
        <w:rPr>
          <w:rFonts w:ascii="Narkisim" w:hAnsi="Narkisim"/>
          <w:rtl/>
        </w:rPr>
        <w:t xml:space="preserve"> העמיד ספק הגמ' דתרוייהו אמרי בדדמי, ואילו לדעת הרמב"ם לכאורה הנידון רק על העד [דהרמב"ם ס"ל דעבידא לאיגלויי העד נאמן לבד]</w:t>
      </w:r>
      <w:r w:rsidRPr="007119D6">
        <w:rPr>
          <w:rFonts w:ascii="Narkisim" w:hAnsi="Narkisim"/>
        </w:rPr>
        <w:t>.</w:t>
      </w:r>
    </w:p>
    <w:p w14:paraId="7DF54B46"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וכת' דלדעת הרי"ף אף בב' עדים חיישינן לבדדמי [ונפשט הספק], ואילו לדעת הרמב"ם הספק דוקא בעד א', ולא איפשט</w:t>
      </w:r>
      <w:r w:rsidRPr="007119D6">
        <w:rPr>
          <w:rFonts w:ascii="Narkisim" w:hAnsi="Narkisim"/>
        </w:rPr>
        <w:t>.</w:t>
      </w:r>
    </w:p>
  </w:footnote>
  <w:footnote w:id="7739">
    <w:p w14:paraId="4655AD1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או"ש</w:t>
      </w:r>
      <w:r w:rsidRPr="007119D6">
        <w:rPr>
          <w:rFonts w:ascii="Narkisim" w:hAnsi="Narkisim"/>
          <w:rtl/>
        </w:rPr>
        <w:t xml:space="preserve"> ציין דאי' (חולין צה) דשדר שמואל לר' יוחנן שתין עבורי דשתא, ור' יוחנן אמר חושבנא בעלמא. משמע דר' יוחנן לא היה בקי בחשבונות העיבורים</w:t>
      </w:r>
      <w:r w:rsidRPr="007119D6">
        <w:rPr>
          <w:rFonts w:ascii="Narkisim" w:hAnsi="Narkisim"/>
        </w:rPr>
        <w:t>.</w:t>
      </w:r>
    </w:p>
  </w:footnote>
  <w:footnote w:id="7740">
    <w:p w14:paraId="5FDF5F4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וסיים ואין יודעין כאן מה עשו שם. [משמע דהשואל שאל איזה שאלה על קידוש או חישוב החודש, ובזה השיב דאין אנו יודעים, שהרי לא נמסר לנו בבבל. אך ע"פ הדיוק דאיירי דוקא באופן של שינוי בקביעה צ"ל דשאלו בדבר ששייך לשינוי בקביעות החדשים]</w:t>
      </w:r>
      <w:r w:rsidRPr="007119D6">
        <w:rPr>
          <w:rFonts w:ascii="Narkisim" w:hAnsi="Narkisim"/>
        </w:rPr>
        <w:t>.</w:t>
      </w:r>
    </w:p>
  </w:footnote>
  <w:footnote w:id="7741">
    <w:p w14:paraId="1757A2B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קוב”ש</w:t>
      </w:r>
      <w:r w:rsidRPr="007119D6">
        <w:rPr>
          <w:rFonts w:ascii="Narkisim" w:hAnsi="Narkisim"/>
          <w:rtl/>
        </w:rPr>
        <w:t xml:space="preserve"> (ב”ב רנב) ביאר דדוקא החידוש שחידשה תורה בקיה"ח, אתם אפי' שוגגין ואפי' מזידין תלי באר”י, אבל אם עיברו כדין כשר גם בחו"ל. {אך לכאורה נראה דקאי לכתחילה שיעברו באר"י, ולא רק בדיעבד היכא דעיברו בטעות שלא כדין. וי"ל דעיבור ע"פ חישוב סוד העיבור נחשב עיבור בלא שינוי [וכ”כ רה”ג לעיל שם]. ואילו כשעושה מחמת שאר סיבות [מפני הדרכים וחדשים וכו' ע' סנהדרין יב.] יש בו שינוי}</w:t>
      </w:r>
      <w:r w:rsidRPr="007119D6">
        <w:rPr>
          <w:rFonts w:ascii="Narkisim" w:hAnsi="Narkisim"/>
        </w:rPr>
        <w:t>.</w:t>
      </w:r>
    </w:p>
  </w:footnote>
  <w:footnote w:id="7742">
    <w:p w14:paraId="1809A0C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או"ש</w:t>
      </w:r>
      <w:r w:rsidRPr="007119D6">
        <w:rPr>
          <w:rFonts w:ascii="Narkisim" w:hAnsi="Narkisim"/>
          <w:rtl/>
        </w:rPr>
        <w:t xml:space="preserve"> ציין דמקורו מהגמ' סנהדרין הנ”ל]. וכ"מ ב</w:t>
      </w:r>
      <w:r w:rsidRPr="007119D6">
        <w:rPr>
          <w:rFonts w:ascii="Narkisim" w:hAnsi="Narkisim"/>
          <w:b/>
          <w:bCs/>
          <w:rtl/>
        </w:rPr>
        <w:t>שו"ת הגאונים</w:t>
      </w:r>
      <w:r w:rsidRPr="007119D6">
        <w:rPr>
          <w:rFonts w:ascii="Narkisim" w:hAnsi="Narkisim"/>
          <w:rtl/>
        </w:rPr>
        <w:t xml:space="preserve"> (הנ"ל), אבל ה</w:t>
      </w:r>
      <w:r w:rsidRPr="007119D6">
        <w:rPr>
          <w:rFonts w:ascii="Narkisim" w:hAnsi="Narkisim"/>
          <w:b/>
          <w:bCs/>
          <w:rtl/>
        </w:rPr>
        <w:t>רמ"ה</w:t>
      </w:r>
      <w:r w:rsidRPr="007119D6">
        <w:rPr>
          <w:rFonts w:ascii="Narkisim" w:hAnsi="Narkisim"/>
          <w:rtl/>
        </w:rPr>
        <w:t xml:space="preserve"> (הו' בכס"מ שם) הק' מהגמ' (סנהדרין יב.), ועי”ש אריכות. וע"ע שיירי קרבן (שקלים א ב ג: בדה"ס)</w:t>
      </w:r>
      <w:r w:rsidRPr="007119D6">
        <w:rPr>
          <w:rFonts w:ascii="Narkisim" w:hAnsi="Narkisim"/>
        </w:rPr>
        <w:t>.</w:t>
      </w:r>
    </w:p>
    <w:p w14:paraId="446A5793"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 xml:space="preserve">מאירי </w:t>
      </w:r>
      <w:r w:rsidRPr="007119D6">
        <w:rPr>
          <w:rFonts w:ascii="Narkisim" w:hAnsi="Narkisim"/>
          <w:rtl/>
        </w:rPr>
        <w:t>(סנהדרין) כת' דאף מ"ד דפליג בעיבור על האביב, אבל מפני התקופה מעברין</w:t>
      </w:r>
      <w:r w:rsidRPr="007119D6">
        <w:rPr>
          <w:rFonts w:ascii="Narkisim" w:hAnsi="Narkisim"/>
        </w:rPr>
        <w:t>.</w:t>
      </w:r>
    </w:p>
    <w:p w14:paraId="3EAE755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ועוד הביא ה</w:t>
      </w:r>
      <w:r w:rsidRPr="007119D6">
        <w:rPr>
          <w:rFonts w:ascii="Narkisim" w:hAnsi="Narkisim"/>
          <w:b/>
          <w:bCs/>
          <w:rtl/>
        </w:rPr>
        <w:t>או"ש</w:t>
      </w:r>
      <w:r w:rsidRPr="007119D6">
        <w:rPr>
          <w:rFonts w:ascii="Narkisim" w:hAnsi="Narkisim"/>
          <w:rtl/>
        </w:rPr>
        <w:t xml:space="preserve"> דלמ"ד דאין מעברין שביעית ומוצאי שביעית, א"כ שמיטה ויובל אחריו וכן מוצאי יובל אין מעברין, ונמצא ג' שנים רצופות בלא עבור שנה, וזה אי אפשר. ע"כ דמפני ג' דברים מעברין</w:t>
      </w:r>
      <w:r w:rsidRPr="007119D6">
        <w:rPr>
          <w:rFonts w:ascii="Narkisim" w:hAnsi="Narkisim"/>
        </w:rPr>
        <w:t>.</w:t>
      </w:r>
    </w:p>
  </w:footnote>
  <w:footnote w:id="7743">
    <w:p w14:paraId="45D8B41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דהכא ל"ש קברתיו, דאי הוציאו גוף מהמים וקברו בלא בדיקת סימנים, ודאי אינו מעלה כלל. ע"ע ב</w:t>
      </w:r>
      <w:r w:rsidRPr="007119D6">
        <w:rPr>
          <w:rFonts w:ascii="Narkisim" w:hAnsi="Narkisim"/>
          <w:b/>
          <w:bCs/>
          <w:rtl/>
        </w:rPr>
        <w:t>פוסקים</w:t>
      </w:r>
      <w:r w:rsidRPr="007119D6">
        <w:rPr>
          <w:rFonts w:ascii="Narkisim" w:hAnsi="Narkisim"/>
          <w:rtl/>
        </w:rPr>
        <w:t xml:space="preserve"> (פתח"ת יז קלח)</w:t>
      </w:r>
      <w:r w:rsidRPr="007119D6">
        <w:rPr>
          <w:rFonts w:ascii="Narkisim" w:hAnsi="Narkisim"/>
        </w:rPr>
        <w:t>.</w:t>
      </w:r>
    </w:p>
  </w:footnote>
  <w:footnote w:id="7744">
    <w:p w14:paraId="2581D19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קז) כת' דלדעת </w:t>
      </w:r>
      <w:r w:rsidRPr="007119D6">
        <w:rPr>
          <w:rFonts w:ascii="Narkisim" w:hAnsi="Narkisim"/>
          <w:b/>
          <w:bCs/>
          <w:rtl/>
        </w:rPr>
        <w:t>תוס</w:t>
      </w:r>
      <w:r w:rsidRPr="007119D6">
        <w:rPr>
          <w:rFonts w:ascii="Narkisim" w:hAnsi="Narkisim"/>
          <w:rtl/>
        </w:rPr>
        <w:t>' (בע"ב) ל"ק, דהגמ' הכא קאי לס"ד דהוה כשעת מלחמה ומשום נאמנות דלא דייקא, אבל למסקנא אינו כמלחמה כלל, והעד ודאי נאמן. אלא דהעד טעה בלא סימנים</w:t>
      </w:r>
      <w:r w:rsidRPr="007119D6">
        <w:rPr>
          <w:rFonts w:ascii="Narkisim" w:hAnsi="Narkisim"/>
        </w:rPr>
        <w:t>.</w:t>
      </w:r>
    </w:p>
  </w:footnote>
  <w:footnote w:id="7745">
    <w:p w14:paraId="0053462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ודוחק לומר דתוס' דידן קאי לדעת רש"י</w:t>
      </w:r>
      <w:r w:rsidRPr="007119D6">
        <w:rPr>
          <w:rFonts w:ascii="Narkisim" w:hAnsi="Narkisim"/>
        </w:rPr>
        <w:t>.</w:t>
      </w:r>
    </w:p>
  </w:footnote>
  <w:footnote w:id="7746">
    <w:p w14:paraId="15B7495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שהיא ראתה דמחו ברומחא, והיא תעיד שמת. שבדיומנה ודאי ימות ממכה זו</w:t>
      </w:r>
      <w:r w:rsidRPr="007119D6">
        <w:rPr>
          <w:rFonts w:ascii="Narkisim" w:hAnsi="Narkisim"/>
        </w:rPr>
        <w:t>.</w:t>
      </w:r>
    </w:p>
  </w:footnote>
  <w:footnote w:id="7747">
    <w:p w14:paraId="3386770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הביא ה</w:t>
      </w:r>
      <w:r w:rsidRPr="007119D6">
        <w:rPr>
          <w:rFonts w:ascii="Narkisim" w:hAnsi="Narkisim"/>
          <w:b/>
          <w:bCs/>
          <w:rtl/>
        </w:rPr>
        <w:t>גר"א</w:t>
      </w:r>
      <w:r w:rsidRPr="007119D6">
        <w:rPr>
          <w:rFonts w:ascii="Narkisim" w:hAnsi="Narkisim"/>
          <w:rtl/>
        </w:rPr>
        <w:t xml:space="preserve"> (יז קז בליקוט) את דברי התוס</w:t>
      </w:r>
      <w:r w:rsidRPr="007119D6">
        <w:rPr>
          <w:rFonts w:ascii="Narkisim" w:hAnsi="Narkisim"/>
        </w:rPr>
        <w:t>'.</w:t>
      </w:r>
    </w:p>
  </w:footnote>
  <w:footnote w:id="7748">
    <w:p w14:paraId="48908A7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הק' דלשון התוס' דלא תלי באמירתה של האשה, אלא בעדות העד. והיא לא תדייק. [אך צריך לידחק בזה בדברי התורא"ש]</w:t>
      </w:r>
      <w:r w:rsidRPr="007119D6">
        <w:rPr>
          <w:rFonts w:ascii="Narkisim" w:hAnsi="Narkisim"/>
        </w:rPr>
        <w:t>.</w:t>
      </w:r>
    </w:p>
  </w:footnote>
  <w:footnote w:id="7749">
    <w:p w14:paraId="6C1C8AC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ועוה"ק ה</w:t>
      </w:r>
      <w:r w:rsidRPr="007119D6">
        <w:rPr>
          <w:rFonts w:ascii="Narkisim" w:hAnsi="Narkisim"/>
          <w:b/>
          <w:bCs/>
          <w:rtl/>
        </w:rPr>
        <w:t>רמב"ן</w:t>
      </w:r>
      <w:r w:rsidRPr="007119D6">
        <w:rPr>
          <w:rFonts w:ascii="Narkisim" w:hAnsi="Narkisim"/>
          <w:rtl/>
        </w:rPr>
        <w:t xml:space="preserve"> דהול"ל כשלא ראו התביעה, ומש"ה נאמנים. [וכדמבואר בתוס']</w:t>
      </w:r>
      <w:r w:rsidRPr="007119D6">
        <w:rPr>
          <w:rFonts w:ascii="Narkisim" w:hAnsi="Narkisim"/>
        </w:rPr>
        <w:t>.</w:t>
      </w:r>
    </w:p>
  </w:footnote>
  <w:footnote w:id="7750">
    <w:p w14:paraId="1E052A8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כת' דאף דבספרים לא כתוב 'אי נמי', עד"ז מצאנו (כתובות לא:) 'וכדרבא', ו</w:t>
      </w:r>
      <w:r w:rsidRPr="007119D6">
        <w:rPr>
          <w:rFonts w:ascii="Narkisim" w:hAnsi="Narkisim"/>
          <w:b/>
          <w:bCs/>
          <w:rtl/>
        </w:rPr>
        <w:t>תוס'</w:t>
      </w:r>
      <w:r w:rsidRPr="007119D6">
        <w:rPr>
          <w:rFonts w:ascii="Narkisim" w:hAnsi="Narkisim"/>
          <w:rtl/>
        </w:rPr>
        <w:t xml:space="preserve"> (שם) פי' אי נמי כדרבא. [אך תוס' כתובות לפנינו גרסו כן בגמ' שם]. והגר"א הביא דהמרדכי גרס 'או' דאמרי סימנים</w:t>
      </w:r>
      <w:r w:rsidRPr="007119D6">
        <w:rPr>
          <w:rFonts w:ascii="Narkisim" w:hAnsi="Narkisim"/>
        </w:rPr>
        <w:t>.</w:t>
      </w:r>
    </w:p>
  </w:footnote>
  <w:footnote w:id="7751">
    <w:p w14:paraId="473D009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אלא דבהמשך דבריו דן דשמא אינו נאמן. [ואפשר דכוונתו כאן דאנחנו לא ראינו כלל להכיר]</w:t>
      </w:r>
      <w:r w:rsidRPr="007119D6">
        <w:rPr>
          <w:rFonts w:ascii="Narkisim" w:hAnsi="Narkisim"/>
        </w:rPr>
        <w:t>.</w:t>
      </w:r>
    </w:p>
  </w:footnote>
  <w:footnote w:id="7752">
    <w:p w14:paraId="0A4B82C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ואי לא אמרי סימנין כי הני אינו נאמן, דחיישינן דלמא משקר ואתתא סמכא עלייהו, דמשעה שתדע שטבע דסמכה אבדדמי ולא דייקא</w:t>
      </w:r>
      <w:r w:rsidRPr="007119D6">
        <w:rPr>
          <w:rFonts w:ascii="Narkisim" w:hAnsi="Narkisim"/>
        </w:rPr>
        <w:t>.</w:t>
      </w:r>
    </w:p>
  </w:footnote>
  <w:footnote w:id="7753">
    <w:p w14:paraId="0DE41C4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דילפי' מהשבת אבידה [ויתבאר לקמן קכ.]</w:t>
      </w:r>
      <w:r w:rsidRPr="007119D6">
        <w:rPr>
          <w:rFonts w:ascii="Narkisim" w:hAnsi="Narkisim"/>
        </w:rPr>
        <w:t>.</w:t>
      </w:r>
    </w:p>
  </w:footnote>
  <w:footnote w:id="7754">
    <w:p w14:paraId="031D946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סימנים שמחזירין בהם אבידה, אבל אינם סימן מובהק</w:t>
      </w:r>
      <w:r w:rsidRPr="007119D6">
        <w:rPr>
          <w:rFonts w:ascii="Narkisim" w:hAnsi="Narkisim"/>
        </w:rPr>
        <w:t>].</w:t>
      </w:r>
    </w:p>
  </w:footnote>
  <w:footnote w:id="7755">
    <w:p w14:paraId="20D4022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פנים מאירות</w:t>
      </w:r>
      <w:r w:rsidRPr="007119D6">
        <w:rPr>
          <w:rFonts w:ascii="Narkisim" w:hAnsi="Narkisim"/>
          <w:rtl/>
        </w:rPr>
        <w:t xml:space="preserve"> (ג ב) דחה דהכא איירי בעדות נשים, דבלאו הכי מהני רק מדרבנן</w:t>
      </w:r>
      <w:r w:rsidRPr="007119D6">
        <w:rPr>
          <w:rFonts w:ascii="Narkisim" w:hAnsi="Narkisim"/>
        </w:rPr>
        <w:t>.</w:t>
      </w:r>
    </w:p>
  </w:footnote>
  <w:footnote w:id="7756">
    <w:p w14:paraId="0062480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היכא דהנתבע אינו טוען לקוח. וכת' דאף דיש לו מיגו [דלקוח], ל"מ מיגו נגד סימנים</w:t>
      </w:r>
      <w:r w:rsidRPr="007119D6">
        <w:rPr>
          <w:rFonts w:ascii="Narkisim" w:hAnsi="Narkisim"/>
        </w:rPr>
        <w:t>.</w:t>
      </w:r>
    </w:p>
  </w:footnote>
  <w:footnote w:id="7757">
    <w:p w14:paraId="5571896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כת' דקי"ל דהוה ספק אי סימנים דאורייתא, ומש"ה אין מוציאין ממון אלא בסימן מובהק. ודוקא במציאה תקנו במהני סימן בינוני, ולא להוצאת ממון</w:t>
      </w:r>
      <w:r w:rsidRPr="007119D6">
        <w:rPr>
          <w:rFonts w:ascii="Narkisim" w:hAnsi="Narkisim"/>
        </w:rPr>
        <w:t>.</w:t>
      </w:r>
    </w:p>
  </w:footnote>
  <w:footnote w:id="7758">
    <w:p w14:paraId="7FB05CD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קצות</w:t>
      </w:r>
      <w:r w:rsidRPr="007119D6">
        <w:rPr>
          <w:rFonts w:ascii="Narkisim" w:hAnsi="Narkisim"/>
          <w:rtl/>
        </w:rPr>
        <w:t xml:space="preserve"> (רנט ב) הק' מהגמ' שם [ולא הביא דברי רבינו יונה]. ודחה דשמא איירי באבידה שאין אדם מוחזק בה. דלא הוה הוצאת ממון. ועוד כת' דיכול להעיד על סימני קרקע, ד אין אדם תופס בקרקע, ואע"ג דהקרקע בחזקת בעלים הראשונים מהני סימנא להוציא מחזקת מרא קמא. משא"כ מטלטלין שהוא תפוס ומוחזק בהם יותר הוא דלא מהני סימנא להוציא</w:t>
      </w:r>
      <w:r w:rsidRPr="007119D6">
        <w:rPr>
          <w:rFonts w:ascii="Narkisim" w:hAnsi="Narkisim"/>
        </w:rPr>
        <w:t>.</w:t>
      </w:r>
    </w:p>
  </w:footnote>
  <w:footnote w:id="7759">
    <w:p w14:paraId="2BE60C4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אף בדברים העשויין להשאיל ולהשכיר [דאינו נאמן לטעון לקוח, ומש"ה אין לו מיגו]</w:t>
      </w:r>
      <w:r w:rsidRPr="007119D6">
        <w:rPr>
          <w:rFonts w:ascii="Narkisim" w:hAnsi="Narkisim"/>
        </w:rPr>
        <w:t>.</w:t>
      </w:r>
    </w:p>
  </w:footnote>
  <w:footnote w:id="7760">
    <w:p w14:paraId="3371E2E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שלא היו העדים יודעין סימן החפץ שהופקד בפניהם</w:t>
      </w:r>
      <w:r w:rsidRPr="007119D6">
        <w:rPr>
          <w:rFonts w:ascii="Narkisim" w:hAnsi="Narkisim"/>
        </w:rPr>
        <w:t>.</w:t>
      </w:r>
    </w:p>
  </w:footnote>
  <w:footnote w:id="7761">
    <w:p w14:paraId="331B5D7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כת' דכה"ג מתפרש עובדא דחסא ודר' מיאשא (כתובות פה:) בדאיכא עדים וראה, והעדים הכירו ע"י סימן</w:t>
      </w:r>
      <w:r w:rsidRPr="007119D6">
        <w:rPr>
          <w:rFonts w:ascii="Narkisim" w:hAnsi="Narkisim"/>
        </w:rPr>
        <w:t>.</w:t>
      </w:r>
    </w:p>
  </w:footnote>
  <w:footnote w:id="7762">
    <w:p w14:paraId="3BDE518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והש"ך כת' די"ל דאף תוס' דידן לא פליג בדינא, אלא דאיירי בסימן דמנין, דלא הוה סימן מובהק</w:t>
      </w:r>
      <w:r w:rsidRPr="007119D6">
        <w:rPr>
          <w:rFonts w:ascii="Narkisim" w:hAnsi="Narkisim"/>
        </w:rPr>
        <w:t>.</w:t>
      </w:r>
    </w:p>
  </w:footnote>
  <w:footnote w:id="7763">
    <w:p w14:paraId="5AE9E4E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דהוה הפה שאסר הוא הפה שהתיר. [ויל"ע דלדברי הריטב"א (כתובות הנ"ל) כל הנידון משום שהוחזק ע"י עדי הפקדון, דכאן נמצא כאן היה. האם גם בזה נימא ע"פ הודאתו, או דהוה הפה שאסר]</w:t>
      </w:r>
      <w:r w:rsidRPr="007119D6">
        <w:rPr>
          <w:rFonts w:ascii="Narkisim" w:hAnsi="Narkisim"/>
        </w:rPr>
        <w:t>.</w:t>
      </w:r>
    </w:p>
  </w:footnote>
  <w:footnote w:id="7764">
    <w:p w14:paraId="59FF7BB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(ב"מ שם) פי' דאין לומר דהחשש שמא הנפקד יודה לו, דא"כ אף בדבר שאין בו סימן ניחוש לזה</w:t>
      </w:r>
      <w:r w:rsidRPr="007119D6">
        <w:rPr>
          <w:rFonts w:ascii="Narkisim" w:hAnsi="Narkisim"/>
        </w:rPr>
        <w:t>.</w:t>
      </w:r>
    </w:p>
  </w:footnote>
  <w:footnote w:id="7765">
    <w:p w14:paraId="3939D06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דכיון דיש לו עדים על סימנים אין לבי"ד למנוע מלהראות החפץ לעדים</w:t>
      </w:r>
      <w:r w:rsidRPr="007119D6">
        <w:rPr>
          <w:rFonts w:ascii="Narkisim" w:hAnsi="Narkisim"/>
        </w:rPr>
        <w:t>.</w:t>
      </w:r>
    </w:p>
  </w:footnote>
  <w:footnote w:id="7766">
    <w:p w14:paraId="79FBFC3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(שם) פי' דכיון דלא אמיד אין לנו לטעון ליתומים לקוח ביד אביהן דמציאה או מתנה, דהוה מילתא דלא שכיח. ולא טענינן מילתא דלא שכיחא, אף שאביהן היה נאמן לטעון לקוח</w:t>
      </w:r>
      <w:r w:rsidRPr="007119D6">
        <w:rPr>
          <w:rFonts w:ascii="Narkisim" w:hAnsi="Narkisim"/>
        </w:rPr>
        <w:t>.</w:t>
      </w:r>
    </w:p>
  </w:footnote>
  <w:footnote w:id="7767">
    <w:p w14:paraId="5307C82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נמוק"י</w:t>
      </w:r>
      <w:r w:rsidRPr="007119D6">
        <w:rPr>
          <w:rFonts w:ascii="Narkisim" w:hAnsi="Narkisim"/>
          <w:rtl/>
        </w:rPr>
        <w:t xml:space="preserve"> (ב"מ ע. מא: בדה"ר) כת' די"ל דמשקל לא הוי סימן אלא באבידה דלאו אפוקי ממונא ממאריה הוא, אבל היכא דהוי אפוקי ממונא ממאריה ולמיתב ליה למר כי הכא דטענינן דלאו דידיה, לא יהבינן ליה אלא בסימן מובהק אבל משקל שהוא סימן כל דהוא לא</w:t>
      </w:r>
      <w:r w:rsidRPr="007119D6">
        <w:rPr>
          <w:rFonts w:ascii="Narkisim" w:hAnsi="Narkisim"/>
        </w:rPr>
        <w:t>.</w:t>
      </w:r>
    </w:p>
  </w:footnote>
  <w:footnote w:id="7768">
    <w:p w14:paraId="6C96A23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יל"ד האם דוקא אות ק' או ת' נחשב 'סימן' בעלמא, אבל היכא דכתוב להדיא קרבן או תרומה עדיף מסימן [אך לר' יוסי אף בזה חיישינן שמא פינן], או דאינו חילוק בדבר. [ונקט אות ק' ות' לרבותא דת"ק]</w:t>
      </w:r>
      <w:r w:rsidRPr="007119D6">
        <w:rPr>
          <w:rFonts w:ascii="Narkisim" w:hAnsi="Narkisim"/>
        </w:rPr>
        <w:t>.</w:t>
      </w:r>
    </w:p>
  </w:footnote>
  <w:footnote w:id="7769">
    <w:p w14:paraId="69DAD3B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ובפשוטו נח' ר' יוסי ורבנן בסברת חיישינן שמא פינן, אלא דהגמ' דוחה די"ל דה"מ כשהכיתוב עדיין קיים, די"ל מיכפר הוה כפר</w:t>
      </w:r>
      <w:r w:rsidRPr="007119D6">
        <w:rPr>
          <w:rFonts w:ascii="Narkisim" w:hAnsi="Narkisim"/>
        </w:rPr>
        <w:t>.</w:t>
      </w:r>
    </w:p>
  </w:footnote>
  <w:footnote w:id="7770">
    <w:p w14:paraId="0AF9713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יל"פ כוונתו דהוחזק המיעוט [ע"פ טבע, או שיש צד לפנינו]</w:t>
      </w:r>
      <w:r w:rsidRPr="007119D6">
        <w:rPr>
          <w:rFonts w:ascii="Narkisim" w:hAnsi="Narkisim"/>
        </w:rPr>
        <w:t>.</w:t>
      </w:r>
    </w:p>
  </w:footnote>
  <w:footnote w:id="7771">
    <w:p w14:paraId="1E7850D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וכ"פ ה</w:t>
      </w:r>
      <w:r w:rsidRPr="007119D6">
        <w:rPr>
          <w:rFonts w:ascii="Narkisim" w:hAnsi="Narkisim"/>
          <w:b/>
          <w:bCs/>
          <w:rtl/>
        </w:rPr>
        <w:t>שו"ע</w:t>
      </w:r>
      <w:r w:rsidRPr="007119D6">
        <w:rPr>
          <w:rFonts w:ascii="Narkisim" w:hAnsi="Narkisim"/>
          <w:rtl/>
        </w:rPr>
        <w:t xml:space="preserve"> (חו"מ קעו כט) דשותף התובע מחבירו כדי יין של שותפות, ואמר כל אותם שיש בהם סימן שלי הם שלי. יכול האחר לומר אשתקד היו שלך ועכשיו הם שלי</w:t>
      </w:r>
      <w:r w:rsidRPr="007119D6">
        <w:rPr>
          <w:rFonts w:ascii="Narkisim" w:hAnsi="Narkisim"/>
        </w:rPr>
        <w:t>.</w:t>
      </w:r>
    </w:p>
  </w:footnote>
  <w:footnote w:id="7772">
    <w:p w14:paraId="08C26BD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ביאר דהנידון לחוש משום אדם אחר מעיר אחרת, אבל בעיר קורטבא לא חיישינן, דהיה ידוע להם שאין ב' יצחק ריש גלותא בעיר זו</w:t>
      </w:r>
      <w:r w:rsidRPr="007119D6">
        <w:rPr>
          <w:rFonts w:ascii="Narkisim" w:hAnsi="Narkisim"/>
        </w:rPr>
        <w:t>.</w:t>
      </w:r>
    </w:p>
  </w:footnote>
  <w:footnote w:id="7773">
    <w:p w14:paraId="25AF531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ובגמ' (שם) מבואר דהנידון דחיישינן לב' שוירי. ופרש"י דאף דבשוירי הנודע לנו ידוע שאין יוסף בן שמעון אחר, שמא יש עיר אחר בשם שוירי</w:t>
      </w:r>
      <w:r w:rsidRPr="007119D6">
        <w:rPr>
          <w:rFonts w:ascii="Narkisim" w:hAnsi="Narkisim"/>
        </w:rPr>
        <w:t>.</w:t>
      </w:r>
    </w:p>
  </w:footnote>
  <w:footnote w:id="7774">
    <w:p w14:paraId="5212B61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דס"ל דאין מחזירין אלא כשהעדים אומרים שלא חתמו אלא על גט א'. או ע"י סימן</w:t>
      </w:r>
      <w:r w:rsidRPr="007119D6">
        <w:rPr>
          <w:rFonts w:ascii="Narkisim" w:hAnsi="Narkisim"/>
        </w:rPr>
        <w:t>.</w:t>
      </w:r>
    </w:p>
  </w:footnote>
  <w:footnote w:id="7775">
    <w:p w14:paraId="32DFDD4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ו</w:t>
      </w:r>
      <w:r w:rsidRPr="007119D6">
        <w:rPr>
          <w:rFonts w:ascii="Narkisim" w:hAnsi="Narkisim"/>
          <w:b/>
          <w:bCs/>
          <w:rtl/>
        </w:rPr>
        <w:t>נמוק"י</w:t>
      </w:r>
      <w:r w:rsidRPr="007119D6">
        <w:rPr>
          <w:rFonts w:ascii="Narkisim" w:hAnsi="Narkisim"/>
          <w:rtl/>
        </w:rPr>
        <w:t xml:space="preserve"> העתיקו ב'הוצאת ממון'. וה</w:t>
      </w:r>
      <w:r w:rsidRPr="007119D6">
        <w:rPr>
          <w:rFonts w:ascii="Narkisim" w:hAnsi="Narkisim"/>
          <w:b/>
          <w:bCs/>
          <w:rtl/>
        </w:rPr>
        <w:t>ש"ש</w:t>
      </w:r>
      <w:r w:rsidRPr="007119D6">
        <w:rPr>
          <w:rFonts w:ascii="Narkisim" w:hAnsi="Narkisim"/>
          <w:rtl/>
        </w:rPr>
        <w:t xml:space="preserve"> (ז יז) הק' דדעת רב אשי (כתובות עו.) דל"מ חזקה זו אף להחזיק ממון. וה</w:t>
      </w:r>
      <w:r w:rsidRPr="007119D6">
        <w:rPr>
          <w:rFonts w:ascii="Narkisim" w:hAnsi="Narkisim"/>
          <w:b/>
          <w:bCs/>
          <w:rtl/>
        </w:rPr>
        <w:t>קהל"י</w:t>
      </w:r>
      <w:r w:rsidRPr="007119D6">
        <w:rPr>
          <w:rFonts w:ascii="Narkisim" w:hAnsi="Narkisim"/>
          <w:rtl/>
        </w:rPr>
        <w:t xml:space="preserve"> (יז יח) דחה דאין ראיה דרב אשי חולק להחזיק ממון [ברישא דהתם], די"ל דנקט טעם לרבותא. ורק בסיפא [להוציא ממון] מוכח דפליג בדין</w:t>
      </w:r>
      <w:r w:rsidRPr="007119D6">
        <w:rPr>
          <w:rFonts w:ascii="Narkisim" w:hAnsi="Narkisim"/>
        </w:rPr>
        <w:t>.</w:t>
      </w:r>
    </w:p>
  </w:footnote>
  <w:footnote w:id="7776">
    <w:p w14:paraId="5137E51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רמ"א</w:t>
      </w:r>
      <w:r w:rsidRPr="007119D6">
        <w:rPr>
          <w:rFonts w:ascii="Narkisim" w:hAnsi="Narkisim"/>
          <w:rtl/>
        </w:rPr>
        <w:t xml:space="preserve"> (או"ח תסז יא) הביא חזקה זו לענין חמץ בפסח. וה</w:t>
      </w:r>
      <w:r w:rsidRPr="007119D6">
        <w:rPr>
          <w:rFonts w:ascii="Narkisim" w:hAnsi="Narkisim"/>
          <w:b/>
          <w:bCs/>
          <w:rtl/>
        </w:rPr>
        <w:t>ש"ש</w:t>
      </w:r>
      <w:r w:rsidRPr="007119D6">
        <w:rPr>
          <w:rFonts w:ascii="Narkisim" w:hAnsi="Narkisim"/>
          <w:rtl/>
        </w:rPr>
        <w:t xml:space="preserve"> (ג ה) חלק דתוס' (נדה ב) כת' דכשעת מציאתן הוה רק לחומרא בתרומה וקדשים. ואכמ"ל</w:t>
      </w:r>
      <w:r w:rsidRPr="007119D6">
        <w:rPr>
          <w:rFonts w:ascii="Narkisim" w:hAnsi="Narkisim"/>
        </w:rPr>
        <w:t>.</w:t>
      </w:r>
    </w:p>
  </w:footnote>
  <w:footnote w:id="7777">
    <w:p w14:paraId="685CCBC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קהל"י</w:t>
      </w:r>
      <w:r w:rsidRPr="007119D6">
        <w:rPr>
          <w:rFonts w:ascii="Narkisim" w:hAnsi="Narkisim"/>
          <w:rtl/>
        </w:rPr>
        <w:t xml:space="preserve"> (יז יח) הק' דילפי' דבר דבר מממון, א"כ אמאי חזקת אשת איש קיל מחזקת ממון</w:t>
      </w:r>
      <w:r w:rsidRPr="007119D6">
        <w:rPr>
          <w:rFonts w:ascii="Narkisim" w:hAnsi="Narkisim"/>
        </w:rPr>
        <w:t>.</w:t>
      </w:r>
    </w:p>
  </w:footnote>
  <w:footnote w:id="7778">
    <w:p w14:paraId="4B03112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הוסיף דחששא דתרי יצחק הוה חששא גדולה [לכאורה כוונתו דהוה חשש רחוק], וכן בשטרי דנאני בר חבו יש רגלים לדבר לומר כאן נמצאו וכאן היו ומש"ה אמרי' ליה. ואין כל המקומות וכל הדברים שוים בענין זה</w:t>
      </w:r>
      <w:r w:rsidRPr="007119D6">
        <w:rPr>
          <w:rFonts w:ascii="Narkisim" w:hAnsi="Narkisim"/>
        </w:rPr>
        <w:t>.</w:t>
      </w:r>
    </w:p>
  </w:footnote>
  <w:footnote w:id="7779">
    <w:p w14:paraId="4FB6AA7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הש"ש תמה על הנמוק"י דהמלחמות דימה החשש שמא פינן בסוגיין, דהוה הוצאת ממון, לדברי רבא. והקהל"י דחה דבריו דאדרבה זהו מסקנת הרמב"ן</w:t>
      </w:r>
      <w:r w:rsidRPr="007119D6">
        <w:rPr>
          <w:rFonts w:ascii="Narkisim" w:hAnsi="Narkisim"/>
        </w:rPr>
        <w:t>.</w:t>
      </w:r>
    </w:p>
  </w:footnote>
  <w:footnote w:id="7780">
    <w:p w14:paraId="2DB5624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ולפ"ז המח' רב יימר ורבינא (בסוף סוגיין) אי חיישינן שמא פינן הוא האם מהני כאן נמצא לאפוקי ממונא [ובמח' רבה ורב אשי בכתובות]</w:t>
      </w:r>
      <w:r w:rsidRPr="007119D6">
        <w:rPr>
          <w:rFonts w:ascii="Narkisim" w:hAnsi="Narkisim"/>
        </w:rPr>
        <w:t>.</w:t>
      </w:r>
    </w:p>
  </w:footnote>
  <w:footnote w:id="7781">
    <w:p w14:paraId="2288249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ובמקום שהוא מקומן ומצוי ליכא מ"ד דרוב עדיף</w:t>
      </w:r>
      <w:r w:rsidRPr="007119D6">
        <w:rPr>
          <w:rFonts w:ascii="Narkisim" w:hAnsi="Narkisim"/>
        </w:rPr>
        <w:t>.</w:t>
      </w:r>
    </w:p>
  </w:footnote>
  <w:footnote w:id="7782">
    <w:p w14:paraId="5BF0BD2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והוה גדר שונה של כאן נמצא כאן היה. ואף דהשמות שוין הענינים חלוקין ונפרדין</w:t>
      </w:r>
      <w:r w:rsidRPr="007119D6">
        <w:rPr>
          <w:rFonts w:ascii="Narkisim" w:hAnsi="Narkisim"/>
        </w:rPr>
        <w:t>.</w:t>
      </w:r>
    </w:p>
  </w:footnote>
  <w:footnote w:id="7783">
    <w:p w14:paraId="3D95442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דאף בגוב האריות שדן הבי"ש יש להקל ע"פ חזקה זו, דכיון שהושלך במקום הזה אדם ראוי לומר דהמה עצמותיו. אך שוב דחה די"ל דדוקא גבי יצחק, שהוא מתושבי העיר אמרי' שזהו מקומו. אבל בגוב אריות אין זה מקומו ממש אלא שהושלך שם במקרה. וע"ע חזו"א (כה י)</w:t>
      </w:r>
      <w:r w:rsidRPr="007119D6">
        <w:rPr>
          <w:rFonts w:ascii="Narkisim" w:hAnsi="Narkisim"/>
        </w:rPr>
        <w:t>.</w:t>
      </w:r>
    </w:p>
  </w:footnote>
  <w:footnote w:id="7784">
    <w:p w14:paraId="226474D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הרא"ש</w:t>
      </w:r>
      <w:r w:rsidRPr="007119D6">
        <w:rPr>
          <w:rFonts w:ascii="Narkisim" w:hAnsi="Narkisim"/>
          <w:rtl/>
        </w:rPr>
        <w:t xml:space="preserve"> (נא ב) דחה דודאי לא איירי בריש גלותא, דלא היה לישראל אלא ריש גלותא אחד. ועוד ראש גלות אינו הולך יחידי, בלא רכב ופרשים ועבדים שלא היה אחד מהם שב לבית להגיד על מיתת השר שהוצרכו לשלוח מאספמיא להתיר לאשתו. ועוה"ק דל"מ בגמ' שנקרא ריש גלותא בשמו [פלוני ריש גלותא], אלא ריש גלותא סתם</w:t>
      </w:r>
      <w:r w:rsidRPr="007119D6">
        <w:rPr>
          <w:rFonts w:ascii="Narkisim" w:hAnsi="Narkisim"/>
        </w:rPr>
        <w:t>.</w:t>
      </w:r>
    </w:p>
    <w:p w14:paraId="02E352CC"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(גיטין כו:) כת' שיצחק זה לא היה מבבל, אלא שכל שממונה בעירו [שנתמנה מצד ריש גלותא שבבבל] קורין לו בעירו ריש גלותא</w:t>
      </w:r>
      <w:r w:rsidRPr="007119D6">
        <w:rPr>
          <w:rFonts w:ascii="Narkisim" w:hAnsi="Narkisim"/>
        </w:rPr>
        <w:t>.</w:t>
      </w:r>
    </w:p>
  </w:footnote>
  <w:footnote w:id="7785">
    <w:p w14:paraId="65EC04C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(ס' הזכות שם) הק' דל"ש בעיר בבל עצמה שיהיו שני ריש גלותא, שא"א לב' שישתמשו בכתר א'. וכ"ש שראשי גליות שבבבל ידועין הן לאנשי בבל. וכ"ש בששמות שניהן שוין. ובעיר בבל עצמה הדבר נבדק</w:t>
      </w:r>
      <w:r w:rsidRPr="007119D6">
        <w:rPr>
          <w:rFonts w:ascii="Narkisim" w:hAnsi="Narkisim"/>
        </w:rPr>
        <w:t>.</w:t>
      </w:r>
    </w:p>
  </w:footnote>
  <w:footnote w:id="7786">
    <w:p w14:paraId="2A80D1C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(ס' הזכות שם) ביאר כוונתו דחיישי' שמא בא ממקום רחוק, אבל לא חיישי' לאדם אחר בשם זה בעיר זה. וה</w:t>
      </w:r>
      <w:r w:rsidRPr="007119D6">
        <w:rPr>
          <w:rFonts w:ascii="Narkisim" w:hAnsi="Narkisim"/>
          <w:b/>
          <w:bCs/>
          <w:rtl/>
        </w:rPr>
        <w:t>רמב"ן</w:t>
      </w:r>
      <w:r w:rsidRPr="007119D6">
        <w:rPr>
          <w:rFonts w:ascii="Narkisim" w:hAnsi="Narkisim"/>
          <w:rtl/>
        </w:rPr>
        <w:t xml:space="preserve"> הק' למה ניחוש לעיר אחרת שמא יש בה יב"ש אחר, אף שלא הוחזקה העיר ולא השם. א"כ כ"ש שיש לחוש ליב"ש אחר באותה העיר עצמה</w:t>
      </w:r>
      <w:r w:rsidRPr="007119D6">
        <w:rPr>
          <w:rFonts w:ascii="Narkisim" w:hAnsi="Narkisim"/>
        </w:rPr>
        <w:t>.</w:t>
      </w:r>
    </w:p>
  </w:footnote>
  <w:footnote w:id="7787">
    <w:p w14:paraId="2AFD0E6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(שם) הביא צד דמ"מ הוה שם מופלג, דגדור בכמה גדרים, יצחק וריש גלותא ובר אחתיה דרב ביבי (ע' בסמוך). והמאירי דחה דמשמע דאין לחלק בזה [וגזרו חכמים לא פלוג, ולא דנו על כל שם בפנ"ע]</w:t>
      </w:r>
      <w:r w:rsidRPr="007119D6">
        <w:rPr>
          <w:rFonts w:ascii="Narkisim" w:hAnsi="Narkisim"/>
        </w:rPr>
        <w:t>.</w:t>
      </w:r>
    </w:p>
  </w:footnote>
  <w:footnote w:id="7788">
    <w:p w14:paraId="491E14A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וכדאי' (גיטין כז:) דלא חיישינן דאיתרמי שמו כשמו ועדים כעדים</w:t>
      </w:r>
      <w:r w:rsidRPr="007119D6">
        <w:rPr>
          <w:rFonts w:ascii="Narkisim" w:hAnsi="Narkisim"/>
        </w:rPr>
        <w:t>.</w:t>
      </w:r>
    </w:p>
  </w:footnote>
  <w:footnote w:id="7789">
    <w:p w14:paraId="220A397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רי"ף</w:t>
      </w:r>
      <w:r w:rsidRPr="007119D6">
        <w:rPr>
          <w:rFonts w:ascii="Narkisim" w:hAnsi="Narkisim"/>
          <w:rtl/>
        </w:rPr>
        <w:t xml:space="preserve"> (גיטין שם, יג: בדה"ר) פסק להחמיר כרב אשי, אלא שבסוף דבריו כת' דהיכא דעבר שם אדם חיישינן היכא דהוחזקו ב' יב”ש. וה</w:t>
      </w:r>
      <w:r w:rsidRPr="007119D6">
        <w:rPr>
          <w:rFonts w:ascii="Narkisim" w:hAnsi="Narkisim"/>
          <w:b/>
          <w:bCs/>
          <w:rtl/>
        </w:rPr>
        <w:t>ראשונים</w:t>
      </w:r>
      <w:r w:rsidRPr="007119D6">
        <w:rPr>
          <w:rFonts w:ascii="Narkisim" w:hAnsi="Narkisim"/>
          <w:rtl/>
        </w:rPr>
        <w:t xml:space="preserve"> (שם) האריכו בכוונתו</w:t>
      </w:r>
      <w:r w:rsidRPr="007119D6">
        <w:rPr>
          <w:rFonts w:ascii="Narkisim" w:hAnsi="Narkisim"/>
        </w:rPr>
        <w:t>.</w:t>
      </w:r>
    </w:p>
  </w:footnote>
  <w:footnote w:id="7790">
    <w:p w14:paraId="7D4B169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והאשה תדייק שזה היה בעלה</w:t>
      </w:r>
      <w:r w:rsidRPr="007119D6">
        <w:rPr>
          <w:rFonts w:ascii="Narkisim" w:hAnsi="Narkisim"/>
        </w:rPr>
        <w:t>.</w:t>
      </w:r>
    </w:p>
  </w:footnote>
  <w:footnote w:id="7791">
    <w:p w14:paraId="44AE9DE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הק' [על הבעה"מ, ועד”ז המאירי גיטין על פי' הרא”ש] דבסוגיין מדמינן לגט שנמצא, ואמאי לא חילקו בין גט למיתה. וה</w:t>
      </w:r>
      <w:r w:rsidRPr="007119D6">
        <w:rPr>
          <w:rFonts w:ascii="Narkisim" w:hAnsi="Narkisim"/>
          <w:b/>
          <w:bCs/>
          <w:rtl/>
        </w:rPr>
        <w:t>מאירי</w:t>
      </w:r>
      <w:r w:rsidRPr="007119D6">
        <w:rPr>
          <w:rFonts w:ascii="Narkisim" w:hAnsi="Narkisim"/>
          <w:rtl/>
        </w:rPr>
        <w:t xml:space="preserve"> (שם) הביא דתי' דרבא ודאי לא חילק בין גט לעדות מיתת הבעל, אלא דלהלכה [דהחמירו בגט] קאי חילוק זה. [אבל המלחמות כת' דא"כ הרי הוא מכריע במח' של אביי ורבא. וכת' דאף דכת' כן לכבודו של הרי"ף, אין רצונו ולא זהו כבודו לחלק בלא ראיה גמורה, במה שכל בעלי הגמ' השוו</w:t>
      </w:r>
      <w:r w:rsidRPr="007119D6">
        <w:rPr>
          <w:rFonts w:ascii="Narkisim" w:hAnsi="Narkisim"/>
        </w:rPr>
        <w:t>.</w:t>
      </w:r>
    </w:p>
  </w:footnote>
  <w:footnote w:id="7792">
    <w:p w14:paraId="79EDB60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ה</w:t>
      </w:r>
      <w:r w:rsidRPr="007119D6">
        <w:rPr>
          <w:rFonts w:ascii="Narkisim" w:hAnsi="Narkisim"/>
          <w:b/>
          <w:bCs/>
          <w:rtl/>
        </w:rPr>
        <w:t xml:space="preserve">רמב"ן </w:t>
      </w:r>
      <w:r w:rsidRPr="007119D6">
        <w:rPr>
          <w:rFonts w:ascii="Narkisim" w:hAnsi="Narkisim"/>
          <w:rtl/>
        </w:rPr>
        <w:t>ביאר דהיינו כל ארץ נהרדעא, שכולל הרבה עיירות (כדאי' כתובות נד. עד היכא דסגי קבא דנהרדעא)</w:t>
      </w:r>
      <w:r w:rsidRPr="007119D6">
        <w:rPr>
          <w:rFonts w:ascii="Narkisim" w:hAnsi="Narkisim"/>
        </w:rPr>
        <w:t>.</w:t>
      </w:r>
    </w:p>
  </w:footnote>
  <w:footnote w:id="7793">
    <w:p w14:paraId="2F6E4E4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בעה"מ</w:t>
      </w:r>
      <w:r w:rsidRPr="007119D6">
        <w:rPr>
          <w:rFonts w:ascii="Narkisim" w:hAnsi="Narkisim"/>
          <w:rtl/>
        </w:rPr>
        <w:t xml:space="preserve"> כת' דאף לרבא 'כל העולם כולו' פי' סביבות נהרדעא, וע"ד הא דלקמן דבדוק רבנן מסורא ועד נהרדעא. [ולפ"ז לאביי צריך לבדוק רק בתוך נהרדעא, ורבא פליג דא"כ צריך אף סביבותיו]</w:t>
      </w:r>
      <w:r w:rsidRPr="007119D6">
        <w:rPr>
          <w:rFonts w:ascii="Narkisim" w:hAnsi="Narkisim"/>
        </w:rPr>
        <w:t>.</w:t>
      </w:r>
    </w:p>
  </w:footnote>
  <w:footnote w:id="7794">
    <w:p w14:paraId="35BE5C0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וכן </w:t>
      </w:r>
      <w:r w:rsidRPr="007119D6">
        <w:rPr>
          <w:rFonts w:ascii="Narkisim" w:hAnsi="Narkisim"/>
          <w:b/>
          <w:bCs/>
          <w:rtl/>
        </w:rPr>
        <w:t>תוס'</w:t>
      </w:r>
      <w:r w:rsidRPr="007119D6">
        <w:rPr>
          <w:rFonts w:ascii="Narkisim" w:hAnsi="Narkisim"/>
          <w:rtl/>
        </w:rPr>
        <w:t xml:space="preserve"> (ב"ב עז.) הוכיח דנח' אביי ורבא אי קי"ל דאותיות נקנות במסירה. [אבל הרמב"ן גיטין כד: כת' דאותיות נקנות במסירה הוה מח' תנאים, ומסתבר דאביי ורבא לא תלי בתנאי]</w:t>
      </w:r>
      <w:r w:rsidRPr="007119D6">
        <w:rPr>
          <w:rFonts w:ascii="Narkisim" w:hAnsi="Narkisim"/>
        </w:rPr>
        <w:t>.</w:t>
      </w:r>
    </w:p>
  </w:footnote>
  <w:footnote w:id="7795">
    <w:p w14:paraId="62DC542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ואינו חושש לנפילה ופקדון. ותוס' כת' דאף למ"ד אין אותיות נקנות במסירה לא חיישי' לנפילה ופקדון [דל"מ בזה מח']. אלא דילמא מסר לו לקנות, ואח"כ חזר בו. אבל ה</w:t>
      </w:r>
      <w:r w:rsidRPr="007119D6">
        <w:rPr>
          <w:rFonts w:ascii="Narkisim" w:hAnsi="Narkisim"/>
          <w:b/>
          <w:bCs/>
          <w:rtl/>
        </w:rPr>
        <w:t>רמב"ן</w:t>
      </w:r>
      <w:r w:rsidRPr="007119D6">
        <w:rPr>
          <w:rFonts w:ascii="Narkisim" w:hAnsi="Narkisim"/>
          <w:rtl/>
        </w:rPr>
        <w:t xml:space="preserve"> (ס' הזכות כתובות מג: בדה"ר, הו' בסמוך) הביא מסוגיין דרבא חשש לנפילה ופקדון, למ"ד אין אותיות נקנות במסירה. ודוקא למ"ד נקנות במסירה אי"צ להביא ראיה, דתפיסתן מוכחת עליהם. ומש"ה לא חיישינן לנפילה</w:t>
      </w:r>
      <w:r w:rsidRPr="007119D6">
        <w:rPr>
          <w:rFonts w:ascii="Narkisim" w:hAnsi="Narkisim"/>
        </w:rPr>
        <w:t>.</w:t>
      </w:r>
    </w:p>
  </w:footnote>
  <w:footnote w:id="7796">
    <w:p w14:paraId="3995221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ותלינן שהיה שלו מעולם, או שקנאו באופן המועיל. וה"נ יש לתלות שקנאו אגב קרקע, או שקנה בכתיבה ומסירה ואיבד השטר, וכמ”ש תוס' בסמוך</w:t>
      </w:r>
      <w:r w:rsidRPr="007119D6">
        <w:rPr>
          <w:rFonts w:ascii="Narkisim" w:hAnsi="Narkisim"/>
        </w:rPr>
        <w:t>.</w:t>
      </w:r>
    </w:p>
  </w:footnote>
  <w:footnote w:id="7797">
    <w:p w14:paraId="29491EC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שוב הק' דיהא נאמן דקנאו במתנת שכיב מרע</w:t>
      </w:r>
      <w:r w:rsidRPr="007119D6">
        <w:rPr>
          <w:rFonts w:ascii="Narkisim" w:hAnsi="Narkisim"/>
        </w:rPr>
        <w:t>.</w:t>
      </w:r>
    </w:p>
  </w:footnote>
  <w:footnote w:id="7798">
    <w:p w14:paraId="752F678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דאי' דשטר [של אותו שדה] נקנה באגב, כי הא דרב פפא הקנה מטבע אגב קרקע. ובפשוטו היינו שהקנה את המלוה בשטר. [ואף את השטר]</w:t>
      </w:r>
      <w:r w:rsidRPr="007119D6">
        <w:rPr>
          <w:rFonts w:ascii="Narkisim" w:hAnsi="Narkisim"/>
        </w:rPr>
        <w:t>.</w:t>
      </w:r>
    </w:p>
  </w:footnote>
  <w:footnote w:id="7799">
    <w:p w14:paraId="36A383B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w:t>
      </w:r>
      <w:r w:rsidRPr="007119D6">
        <w:rPr>
          <w:rFonts w:ascii="Narkisim" w:hAnsi="Narkisim"/>
          <w:b/>
          <w:bCs/>
          <w:rtl/>
        </w:rPr>
        <w:t>תוס'</w:t>
      </w:r>
      <w:r w:rsidRPr="007119D6">
        <w:rPr>
          <w:rFonts w:ascii="Narkisim" w:hAnsi="Narkisim"/>
          <w:rtl/>
        </w:rPr>
        <w:t xml:space="preserve"> (גיטין כב.) נסתפקו דבשטר ל"צ לומר אגב וקני, דאפסרא דארעא</w:t>
      </w:r>
      <w:r w:rsidRPr="007119D6">
        <w:rPr>
          <w:rFonts w:ascii="Narkisim" w:hAnsi="Narkisim"/>
        </w:rPr>
        <w:t>.</w:t>
      </w:r>
    </w:p>
  </w:footnote>
  <w:footnote w:id="7800">
    <w:p w14:paraId="3A006C5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דכן מבואר בס"ד דהגמ' (ב"ב עז.) דהוכיחו מברייתא זו דקי"ל דשטרות נקנו במסירה, כיון דמהני אגב [דהוה קנין גרוע]. והגמ' (שם) דוחה דאגב הוה קנין מעליא</w:t>
      </w:r>
      <w:r w:rsidRPr="007119D6">
        <w:rPr>
          <w:rFonts w:ascii="Narkisim" w:hAnsi="Narkisim"/>
        </w:rPr>
        <w:t>.</w:t>
      </w:r>
    </w:p>
  </w:footnote>
  <w:footnote w:id="7801">
    <w:p w14:paraId="3D48A77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אלא דאגב הוה כמסירה, וי"ל דמהני אגב וכתיבה בשאר שטרות. ככתיבה ומסירה</w:t>
      </w:r>
      <w:r w:rsidRPr="007119D6">
        <w:rPr>
          <w:rFonts w:ascii="Narkisim" w:hAnsi="Narkisim"/>
        </w:rPr>
        <w:t>.</w:t>
      </w:r>
    </w:p>
  </w:footnote>
  <w:footnote w:id="7802">
    <w:p w14:paraId="274E192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דממ"נ הנתבע חייב ממון ליוסף בן שמעון א', א"כ יהני חזקת השטר להכריע שהוא שלו, ולא יחשב הוצאת ממון. [ואפשר דכיון דצריך הרשאה נחשב כעין הוצאת ממון]</w:t>
      </w:r>
      <w:r w:rsidRPr="007119D6">
        <w:rPr>
          <w:rFonts w:ascii="Narkisim" w:hAnsi="Narkisim"/>
        </w:rPr>
        <w:t>.</w:t>
      </w:r>
    </w:p>
  </w:footnote>
  <w:footnote w:id="7803">
    <w:p w14:paraId="7A272C6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(ד יד) הביא מדברי הספר הזכות דבעינן תפיסה הראויה לקנין להחשב מוחזק במטלטלין. ועד"ז ע' קונ' הספיקות (ח א). וע"ע נתיבות (עב ל) ומשובב. אבל ה</w:t>
      </w:r>
      <w:r w:rsidRPr="007119D6">
        <w:rPr>
          <w:rFonts w:ascii="Narkisim" w:hAnsi="Narkisim"/>
          <w:b/>
          <w:bCs/>
          <w:rtl/>
        </w:rPr>
        <w:t>קצות</w:t>
      </w:r>
      <w:r w:rsidRPr="007119D6">
        <w:rPr>
          <w:rFonts w:ascii="Narkisim" w:hAnsi="Narkisim"/>
          <w:rtl/>
        </w:rPr>
        <w:t xml:space="preserve"> (רב ז) דחה דהרמב"ן קאי דוקא בשטרות, דהשעבוד אינו חלק מגוף השטר. [וע"ע קצות עב כ]</w:t>
      </w:r>
      <w:r w:rsidRPr="007119D6">
        <w:rPr>
          <w:rFonts w:ascii="Narkisim" w:hAnsi="Narkisim"/>
        </w:rPr>
        <w:t>.</w:t>
      </w:r>
    </w:p>
  </w:footnote>
  <w:footnote w:id="7804">
    <w:p w14:paraId="4BE0543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ותי' בזה קו' ה</w:t>
      </w:r>
      <w:r w:rsidRPr="007119D6">
        <w:rPr>
          <w:rFonts w:ascii="Narkisim" w:hAnsi="Narkisim"/>
          <w:b/>
          <w:bCs/>
          <w:rtl/>
        </w:rPr>
        <w:t>ראב"ד</w:t>
      </w:r>
      <w:r w:rsidRPr="007119D6">
        <w:rPr>
          <w:rFonts w:ascii="Narkisim" w:hAnsi="Narkisim"/>
          <w:rtl/>
        </w:rPr>
        <w:t xml:space="preserve"> [וכן תוס' דידן] דצריך להביא ראיה דקנה השעבוד בקנין אגב, דתפיסת השטר אינו מוכחת ע"ז. [אבל הראב"ד ותוס' דידן (בקושיה) נקט דחזקת השטר מוכחת שהוא שלו לכל מילי. לולי ריעותא דאחוי שטרך]</w:t>
      </w:r>
      <w:r w:rsidRPr="007119D6">
        <w:rPr>
          <w:rFonts w:ascii="Narkisim" w:hAnsi="Narkisim"/>
        </w:rPr>
        <w:t>.</w:t>
      </w:r>
    </w:p>
  </w:footnote>
  <w:footnote w:id="7805">
    <w:p w14:paraId="780AF31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ומשמע מדבריו דהוחזק להם שיש יותר מא', אלא דהוצרכו לבדוק שמא יש ב' או ג</w:t>
      </w:r>
      <w:r w:rsidRPr="007119D6">
        <w:rPr>
          <w:rFonts w:ascii="Narkisim" w:hAnsi="Narkisim"/>
        </w:rPr>
        <w:t>'.</w:t>
      </w:r>
    </w:p>
  </w:footnote>
  <w:footnote w:id="7806">
    <w:p w14:paraId="571C3C3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כך הוסיף ה</w:t>
      </w:r>
      <w:r w:rsidRPr="007119D6">
        <w:rPr>
          <w:rFonts w:ascii="Narkisim" w:hAnsi="Narkisim"/>
          <w:b/>
          <w:bCs/>
          <w:rtl/>
        </w:rPr>
        <w:t>ר' אב"ד</w:t>
      </w:r>
      <w:r w:rsidRPr="007119D6">
        <w:rPr>
          <w:rFonts w:ascii="Narkisim" w:hAnsi="Narkisim"/>
          <w:rtl/>
        </w:rPr>
        <w:t xml:space="preserve"> דמשום ספק נפשות הו"ל לחשוש לגמלא פרחא. אבל ה</w:t>
      </w:r>
      <w:r w:rsidRPr="007119D6">
        <w:rPr>
          <w:rFonts w:ascii="Narkisim" w:hAnsi="Narkisim"/>
          <w:b/>
          <w:bCs/>
          <w:rtl/>
        </w:rPr>
        <w:t>תוס' שאנץ</w:t>
      </w:r>
      <w:r w:rsidRPr="007119D6">
        <w:rPr>
          <w:rFonts w:ascii="Narkisim" w:hAnsi="Narkisim"/>
          <w:rtl/>
        </w:rPr>
        <w:t xml:space="preserve"> ו</w:t>
      </w:r>
      <w:r w:rsidRPr="007119D6">
        <w:rPr>
          <w:rFonts w:ascii="Narkisim" w:hAnsi="Narkisim"/>
          <w:b/>
          <w:bCs/>
          <w:rtl/>
        </w:rPr>
        <w:t>תוס' ר"פ</w:t>
      </w:r>
      <w:r w:rsidRPr="007119D6">
        <w:rPr>
          <w:rFonts w:ascii="Narkisim" w:hAnsi="Narkisim"/>
          <w:rtl/>
        </w:rPr>
        <w:t xml:space="preserve"> (מכות שם) כת' דכוונת הגמ' דלא חיישינן לגמלא פרחא לקיים עדותם, ולהרוג את הנידון. אלא אלו ואלו פוטרים, וחיישינן לגמלא פרחא כדי לפטור את העדים זוממים. וכדאי' בסוגיין</w:t>
      </w:r>
      <w:r w:rsidRPr="007119D6">
        <w:rPr>
          <w:rFonts w:ascii="Narkisim" w:hAnsi="Narkisim"/>
        </w:rPr>
        <w:t xml:space="preserve">.  </w:t>
      </w:r>
    </w:p>
  </w:footnote>
  <w:footnote w:id="7807">
    <w:p w14:paraId="713E6D2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(מכות) הביא </w:t>
      </w:r>
      <w:r w:rsidRPr="007119D6">
        <w:rPr>
          <w:rFonts w:ascii="Narkisim" w:hAnsi="Narkisim"/>
          <w:b/>
          <w:bCs/>
          <w:rtl/>
        </w:rPr>
        <w:t>י"מ</w:t>
      </w:r>
      <w:r w:rsidRPr="007119D6">
        <w:rPr>
          <w:rFonts w:ascii="Narkisim" w:hAnsi="Narkisim"/>
          <w:rtl/>
        </w:rPr>
        <w:t xml:space="preserve"> דבסוגיין חששו טפי, שהרי לא נמצא עוד ענן מנהרדעא אלא זה. ומש"ה רגלים לדבר שהוא זה. ויש לחוש בה לדברים הרחוקים כיון שאינם נמנעים, להחמיר באיסור אישות</w:t>
      </w:r>
      <w:r w:rsidRPr="007119D6">
        <w:rPr>
          <w:rFonts w:ascii="Narkisim" w:hAnsi="Narkisim"/>
        </w:rPr>
        <w:t>.</w:t>
      </w:r>
    </w:p>
  </w:footnote>
  <w:footnote w:id="7808">
    <w:p w14:paraId="02ED8DD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 הא דאי' (לעיל צג: לצד א', ע”ע בע”ב) דהיכא דביבמה סני ליה ומש"ה ליכא 'דייקא'. והיתר האומרת מת בעלי הוה משום דדייקא ומינסבא</w:t>
      </w:r>
      <w:r w:rsidRPr="007119D6">
        <w:rPr>
          <w:rFonts w:ascii="Narkisim" w:hAnsi="Narkisim"/>
        </w:rPr>
        <w:t>.</w:t>
      </w:r>
    </w:p>
  </w:footnote>
  <w:footnote w:id="7809">
    <w:p w14:paraId="6E66441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וחלק ע"ד ה</w:t>
      </w:r>
      <w:r w:rsidRPr="007119D6">
        <w:rPr>
          <w:rFonts w:ascii="Narkisim" w:hAnsi="Narkisim"/>
          <w:b/>
          <w:bCs/>
          <w:rtl/>
        </w:rPr>
        <w:t>רמ"א</w:t>
      </w:r>
      <w:r w:rsidRPr="007119D6">
        <w:rPr>
          <w:rFonts w:ascii="Narkisim" w:hAnsi="Narkisim"/>
          <w:rtl/>
        </w:rPr>
        <w:t xml:space="preserve"> (בשם הרי"ד, הו' בע”ב) דמומר דינו כקטטה, ואינה נאמנת. [אבל מדברי פסקי הרי"ד כאן מבואר דהטעם דבמריבה לא הוה שנאה גמורה. ול"צ הוחזק משקר. ומש"ה לשיטתו במומר דהוה שנאה גמורה חיישינן]</w:t>
      </w:r>
      <w:r w:rsidRPr="007119D6">
        <w:rPr>
          <w:rFonts w:ascii="Narkisim" w:hAnsi="Narkisim"/>
        </w:rPr>
        <w:t>.</w:t>
      </w:r>
    </w:p>
  </w:footnote>
  <w:footnote w:id="7810">
    <w:p w14:paraId="644F3D4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(יז קעג) כת' דאפי' שראינו שמהדרת אחר הגט, תלינן שהיה אז עידן ריתחא, ואח"כ חזרה ונתפייסה, ואין מחזיקין אותן בקטטה לעולם. ואף דקציף, מאן דקציף סופו מפייס</w:t>
      </w:r>
      <w:r w:rsidRPr="007119D6">
        <w:rPr>
          <w:rFonts w:ascii="Narkisim" w:hAnsi="Narkisim"/>
        </w:rPr>
        <w:t>.</w:t>
      </w:r>
    </w:p>
    <w:p w14:paraId="4EEE1D83"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וציין לדברי ה</w:t>
      </w:r>
      <w:r w:rsidRPr="007119D6">
        <w:rPr>
          <w:rFonts w:ascii="Narkisim" w:hAnsi="Narkisim"/>
          <w:b/>
          <w:bCs/>
          <w:rtl/>
        </w:rPr>
        <w:t>מדרש</w:t>
      </w:r>
      <w:r w:rsidRPr="007119D6">
        <w:rPr>
          <w:rFonts w:ascii="Narkisim" w:hAnsi="Narkisim"/>
          <w:rtl/>
        </w:rPr>
        <w:t xml:space="preserve"> (איכה רבה בסופו) עה"פ (איכה ה כב) אם מאוס מאסתנו קצפת עלינו עד מאד, ר"ל אמר אם מאיסה היא, לית סברה. ואם קציפה הוא, אית סברה, שכל מי שהוא כועס סופו להתרצות. ו</w:t>
      </w:r>
      <w:r w:rsidRPr="007119D6">
        <w:rPr>
          <w:rFonts w:ascii="Narkisim" w:hAnsi="Narkisim"/>
          <w:b/>
          <w:bCs/>
          <w:rtl/>
        </w:rPr>
        <w:t>רבינו יונה</w:t>
      </w:r>
      <w:r w:rsidRPr="007119D6">
        <w:rPr>
          <w:rFonts w:ascii="Narkisim" w:hAnsi="Narkisim"/>
          <w:rtl/>
        </w:rPr>
        <w:t xml:space="preserve"> (ברכות כב: בדה"ר, ע"פ הירושלמי שם) ביאר דמאי דכתיב 'כי אם מאוס מאסתנו' אינה תוכחה, דה"ק וכי מאוס מאסתנו, קצפת עלינו. כלומר לא היתה השנאה כ"כ שלא תשיב אלינו [ותמאוס אותנו כמו הדבר המאוס שאין אדם רוצה בו כלל], אלא קצפת עלינו ומי שקוצף חוזר ומתרצה</w:t>
      </w:r>
      <w:r w:rsidRPr="007119D6">
        <w:rPr>
          <w:rFonts w:ascii="Narkisim" w:hAnsi="Narkisim"/>
        </w:rPr>
        <w:t>.</w:t>
      </w:r>
    </w:p>
  </w:footnote>
  <w:footnote w:id="7811">
    <w:p w14:paraId="1FEF133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קרי"ס</w:t>
      </w:r>
      <w:r w:rsidRPr="007119D6">
        <w:rPr>
          <w:rFonts w:ascii="Narkisim" w:hAnsi="Narkisim"/>
          <w:rtl/>
        </w:rPr>
        <w:t xml:space="preserve"> (אישות טז בסופו) כת' האשה שאמרה לבעלה גרשתני נאמנת משום חזקה שאין אשה מעיזה פניה בפני בעלה, וחזקה זאת מדאורייתא מדחייב רחמנא שבועה למודה מקצת כדאי' (ב"מ ג.) דבכולה בעי דנכפריה והאי דלא כפריה משום דאין אדם מעיז פניו בפני בע"ח וכו</w:t>
      </w:r>
      <w:r w:rsidRPr="007119D6">
        <w:rPr>
          <w:rFonts w:ascii="Narkisim" w:hAnsi="Narkisim"/>
        </w:rPr>
        <w:t>'.</w:t>
      </w:r>
    </w:p>
  </w:footnote>
  <w:footnote w:id="7812">
    <w:p w14:paraId="31C0082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וכ"ד ה</w:t>
      </w:r>
      <w:r w:rsidRPr="007119D6">
        <w:rPr>
          <w:rFonts w:ascii="Narkisim" w:hAnsi="Narkisim"/>
          <w:b/>
          <w:bCs/>
          <w:rtl/>
        </w:rPr>
        <w:t>רמב"ם</w:t>
      </w:r>
      <w:r w:rsidRPr="007119D6">
        <w:rPr>
          <w:rFonts w:ascii="Narkisim" w:hAnsi="Narkisim"/>
          <w:rtl/>
        </w:rPr>
        <w:t xml:space="preserve"> (אישות ד יג) וה</w:t>
      </w:r>
      <w:r w:rsidRPr="007119D6">
        <w:rPr>
          <w:rFonts w:ascii="Narkisim" w:hAnsi="Narkisim"/>
          <w:b/>
          <w:bCs/>
          <w:rtl/>
        </w:rPr>
        <w:t xml:space="preserve">רמב"ן </w:t>
      </w:r>
      <w:r w:rsidRPr="007119D6">
        <w:rPr>
          <w:rFonts w:ascii="Narkisim" w:hAnsi="Narkisim"/>
          <w:rtl/>
        </w:rPr>
        <w:t>(כתובות כג.) וה</w:t>
      </w:r>
      <w:r w:rsidRPr="007119D6">
        <w:rPr>
          <w:rFonts w:ascii="Narkisim" w:hAnsi="Narkisim"/>
          <w:b/>
          <w:bCs/>
          <w:rtl/>
        </w:rPr>
        <w:t>ר”ן</w:t>
      </w:r>
      <w:r w:rsidRPr="007119D6">
        <w:rPr>
          <w:rFonts w:ascii="Narkisim" w:hAnsi="Narkisim"/>
          <w:rtl/>
        </w:rPr>
        <w:t xml:space="preserve"> (סוף נדרים). והו' ב' דיעות ב</w:t>
      </w:r>
      <w:r w:rsidRPr="007119D6">
        <w:rPr>
          <w:rFonts w:ascii="Narkisim" w:hAnsi="Narkisim"/>
          <w:b/>
          <w:bCs/>
          <w:rtl/>
        </w:rPr>
        <w:t>רמ”א</w:t>
      </w:r>
      <w:r w:rsidRPr="007119D6">
        <w:rPr>
          <w:rFonts w:ascii="Narkisim" w:hAnsi="Narkisim"/>
          <w:rtl/>
        </w:rPr>
        <w:t xml:space="preserve"> (יז ב)</w:t>
      </w:r>
      <w:r w:rsidRPr="007119D6">
        <w:rPr>
          <w:rFonts w:ascii="Narkisim" w:hAnsi="Narkisim"/>
        </w:rPr>
        <w:t>.</w:t>
      </w:r>
    </w:p>
  </w:footnote>
  <w:footnote w:id="7813">
    <w:p w14:paraId="2F05B9B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דבגמ' (כתובות כג., ע' מה שהו' בתוס' בע"ב) מובא דברי רב המנונא [עכ"פ למ"ד שלא בפניו] לענין שאם נשאת לא תצא</w:t>
      </w:r>
      <w:r w:rsidRPr="007119D6">
        <w:rPr>
          <w:rFonts w:ascii="Narkisim" w:hAnsi="Narkisim"/>
        </w:rPr>
        <w:t>.</w:t>
      </w:r>
    </w:p>
    <w:p w14:paraId="09B1F9B2"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ארחות חיים</w:t>
      </w:r>
      <w:r w:rsidRPr="007119D6">
        <w:rPr>
          <w:rFonts w:ascii="Narkisim" w:hAnsi="Narkisim"/>
          <w:rtl/>
        </w:rPr>
        <w:t xml:space="preserve"> (קידושין יג, הו' בב"י יז ב) הביא י"א דרב המנונא איירי באופן דלא ידעי' בעדות ברורה שהיא אשת איש, וכגון איש ואשה דאתו מעלמא והוחזק שהיא אשתו, ואתיא חזקה בתרייתא ומבטל קמייתא, דאתי דרבנן ומבטל דרבנן. וה</w:t>
      </w:r>
      <w:r w:rsidRPr="007119D6">
        <w:rPr>
          <w:rFonts w:ascii="Narkisim" w:hAnsi="Narkisim"/>
          <w:b/>
          <w:bCs/>
          <w:rtl/>
        </w:rPr>
        <w:t>ב"י</w:t>
      </w:r>
      <w:r w:rsidRPr="007119D6">
        <w:rPr>
          <w:rFonts w:ascii="Narkisim" w:hAnsi="Narkisim"/>
          <w:rtl/>
        </w:rPr>
        <w:t xml:space="preserve"> חלק דהאי חזקה לאו דרבנן היא אלא דאורייתא, דהא סוקלין ושורפין על החזקות (קידושין פ.)</w:t>
      </w:r>
      <w:r w:rsidRPr="007119D6">
        <w:rPr>
          <w:rFonts w:ascii="Narkisim" w:hAnsi="Narkisim"/>
        </w:rPr>
        <w:t>.</w:t>
      </w:r>
    </w:p>
  </w:footnote>
  <w:footnote w:id="7814">
    <w:p w14:paraId="0BC4EA3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מגדל עוז</w:t>
      </w:r>
      <w:r w:rsidRPr="007119D6">
        <w:rPr>
          <w:rFonts w:ascii="Narkisim" w:hAnsi="Narkisim"/>
          <w:rtl/>
        </w:rPr>
        <w:t xml:space="preserve"> (אישות טז) דחה דאמרי' דחזקה שאינה מעיזה פניה. ואי אמרת דכל אשה טוענת כן הורעת כח החזקה, וחלקת על רב המנונא</w:t>
      </w:r>
      <w:r w:rsidRPr="007119D6">
        <w:rPr>
          <w:rFonts w:ascii="Narkisim" w:hAnsi="Narkisim"/>
        </w:rPr>
        <w:t>.</w:t>
      </w:r>
    </w:p>
    <w:p w14:paraId="1C59536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שער"י</w:t>
      </w:r>
      <w:r w:rsidRPr="007119D6">
        <w:rPr>
          <w:rFonts w:ascii="Narkisim" w:hAnsi="Narkisim"/>
          <w:rtl/>
        </w:rPr>
        <w:t xml:space="preserve"> (ג ג בסופו) ביאר דכוונת הראב"ד דהך חזקה הוה ע"ד הרוב, ויש להתיר אשה הבאה לפנינו דחזקה שאינה מעיזה. אך מאחר שהרמב"ם (ע' בסמוך) כת' דאין לה תוספת כתובה, ול"מ חזקה זו להוציא ממון דיש מיעוט המעיזות. א"כ איך לא נחוש שכל הנשים יעשו כן. [ואפשר דכוונתו דיש לחכמים לתקן שלא תנשא לעלמא, ולהצריכה גט]. וכת' דהרמב"ם לא חש לזה, דלא חיישינן למיעוטא</w:t>
      </w:r>
      <w:r w:rsidRPr="007119D6">
        <w:rPr>
          <w:rFonts w:ascii="Narkisim" w:hAnsi="Narkisim"/>
        </w:rPr>
        <w:t>.</w:t>
      </w:r>
    </w:p>
  </w:footnote>
  <w:footnote w:id="7815">
    <w:p w14:paraId="29E1B56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ונפק"מ דהמקדש מותר באחותה, דהיא ממ"נ הוה אשת איש. א"נ נפק"מ דאח"כ נתברר שמת בעלה הראשון [ומעמידים על חזקתו שמת לאחר שקבלה קידושין. והוא חידוש]</w:t>
      </w:r>
      <w:r w:rsidRPr="007119D6">
        <w:rPr>
          <w:rFonts w:ascii="Narkisim" w:hAnsi="Narkisim"/>
        </w:rPr>
        <w:t>.</w:t>
      </w:r>
    </w:p>
  </w:footnote>
  <w:footnote w:id="7816">
    <w:p w14:paraId="52F98E4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דהגמ' (לעיל פח.) הק' דאיתחזק איסורא דאשת איש, ומש"ה הוצרכו לטעם משום חומר בסופה</w:t>
      </w:r>
      <w:r w:rsidRPr="007119D6">
        <w:rPr>
          <w:rFonts w:ascii="Narkisim" w:hAnsi="Narkisim"/>
        </w:rPr>
        <w:t>.</w:t>
      </w:r>
    </w:p>
  </w:footnote>
  <w:footnote w:id="7817">
    <w:p w14:paraId="4AD433C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ומבואר דאפ"ה חוששין לחזקה לאסור על בעלה כהן [ולכאורה אסורה אף לבעלה ישראל בלא קידושין]. ולא אמרי' דלאו כל כמינה לאסור עצמה</w:t>
      </w:r>
      <w:r w:rsidRPr="007119D6">
        <w:rPr>
          <w:rFonts w:ascii="Narkisim" w:hAnsi="Narkisim"/>
        </w:rPr>
        <w:t>.</w:t>
      </w:r>
    </w:p>
  </w:footnote>
  <w:footnote w:id="7818">
    <w:p w14:paraId="49D3280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שאנץ</w:t>
      </w:r>
      <w:r w:rsidRPr="007119D6">
        <w:rPr>
          <w:rFonts w:ascii="Narkisim" w:hAnsi="Narkisim"/>
          <w:rtl/>
        </w:rPr>
        <w:t xml:space="preserve"> (כתובות פט.) תלה במח' (בסמוך) אי קטטה הוה משום דמשקרא או בדדמי. [אך צ"ע דדוקא היכא דהוחזקה משקרת מצאנו מ"ד דחיישינן דמשקרא]</w:t>
      </w:r>
      <w:r w:rsidRPr="007119D6">
        <w:rPr>
          <w:rFonts w:ascii="Narkisim" w:hAnsi="Narkisim"/>
        </w:rPr>
        <w:t>.</w:t>
      </w:r>
    </w:p>
  </w:footnote>
  <w:footnote w:id="7819">
    <w:p w14:paraId="44B4042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ודחה דבכ"מ בדברי חז"ל הלשון 'בינו לבינה' לאו דוקא לפניו</w:t>
      </w:r>
      <w:r w:rsidRPr="007119D6">
        <w:rPr>
          <w:rFonts w:ascii="Narkisim" w:hAnsi="Narkisim"/>
        </w:rPr>
        <w:t>.</w:t>
      </w:r>
    </w:p>
  </w:footnote>
  <w:footnote w:id="7820">
    <w:p w14:paraId="491094C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דס"ד דהמקשן דאף דהוכחשה ע"י עדים אמרי' דלאו אדעתא מי היתה בגט [ע”ד הא דאי' שבועות מא:פ. ולא הוחזקה שקרנית. והגמ' דוחה דמ"מ נחשב שהוכחשה</w:t>
      </w:r>
      <w:r w:rsidRPr="007119D6">
        <w:rPr>
          <w:rFonts w:ascii="Narkisim" w:hAnsi="Narkisim"/>
        </w:rPr>
        <w:t>.</w:t>
      </w:r>
    </w:p>
  </w:footnote>
  <w:footnote w:id="7821">
    <w:p w14:paraId="1C276D4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כת' דצריך להניח ג' יסודות לתי' זה. </w:t>
      </w:r>
      <w:r w:rsidRPr="007119D6">
        <w:rPr>
          <w:rFonts w:ascii="Narkisim" w:hAnsi="Narkisim"/>
          <w:i/>
          <w:iCs/>
          <w:rtl/>
        </w:rPr>
        <w:t>יסוד א'</w:t>
      </w:r>
      <w:r w:rsidRPr="007119D6">
        <w:rPr>
          <w:rFonts w:ascii="Narkisim" w:hAnsi="Narkisim"/>
          <w:rtl/>
        </w:rPr>
        <w:t xml:space="preserve"> דהאומרת גרשתני שלא בפניו י"ל דמהני להחמיר. ואפי' אשת כהן תאסר על בעלה [ואף דמשועבדת], וכדאי' (נדרים צא.) דכי היכא דהבעל יודע להכחיש יש חזקה דאינה מעיזה. ודוקא לינשא לאחר בעי בפניו</w:t>
      </w:r>
      <w:r w:rsidRPr="007119D6">
        <w:rPr>
          <w:rFonts w:ascii="Narkisim" w:hAnsi="Narkisim"/>
        </w:rPr>
        <w:t>.</w:t>
      </w:r>
    </w:p>
    <w:p w14:paraId="2F9738D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וביאר דאף דאשת כהן אינה נאמנת מדין שויא אנפשה לאסור את עצמה (וכמ”ש הר”ן נדרים צ:). שאני גרשני דיש חזקה דאינה מעיזה, דאף שלא בפניו הוי קצת חזקה. [ע"ד הא אי' (גיטין פט:) א"א שפשטה ידה וקבלה קדושין מאחר שלא בפניו, דמגרש ראשון ונושא שני]</w:t>
      </w:r>
      <w:r w:rsidRPr="007119D6">
        <w:rPr>
          <w:rFonts w:ascii="Narkisim" w:hAnsi="Narkisim"/>
        </w:rPr>
        <w:t>.</w:t>
      </w:r>
    </w:p>
  </w:footnote>
  <w:footnote w:id="7822">
    <w:p w14:paraId="576C955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ואפ"ה ראוי להאמינה דמת בעלי משום חומר דבעל השני.  ו</w:t>
      </w:r>
      <w:r w:rsidRPr="007119D6">
        <w:rPr>
          <w:rFonts w:ascii="Narkisim" w:hAnsi="Narkisim"/>
          <w:b/>
          <w:bCs/>
          <w:rtl/>
        </w:rPr>
        <w:t>רע"א</w:t>
      </w:r>
      <w:r w:rsidRPr="007119D6">
        <w:rPr>
          <w:rFonts w:ascii="Narkisim" w:hAnsi="Narkisim"/>
          <w:rtl/>
        </w:rPr>
        <w:t xml:space="preserve"> כת' </w:t>
      </w:r>
      <w:r w:rsidRPr="007119D6">
        <w:rPr>
          <w:rFonts w:ascii="Narkisim" w:hAnsi="Narkisim"/>
          <w:i/>
          <w:iCs/>
          <w:rtl/>
        </w:rPr>
        <w:t>יסוד ג'</w:t>
      </w:r>
      <w:r w:rsidRPr="007119D6">
        <w:rPr>
          <w:rFonts w:ascii="Narkisim" w:hAnsi="Narkisim"/>
          <w:rtl/>
        </w:rPr>
        <w:t xml:space="preserve"> דצ"ל דהאומרת שלא בפניו גרשתני, אפי' נשאת תצא</w:t>
      </w:r>
      <w:r w:rsidRPr="007119D6">
        <w:rPr>
          <w:rFonts w:ascii="Narkisim" w:hAnsi="Narkisim"/>
        </w:rPr>
        <w:t>.</w:t>
      </w:r>
    </w:p>
    <w:p w14:paraId="7BA98FB4"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והוסיף דאף ללישנא (כתובות כג., ע"ע בע"ב) [דקאי גם ארישא] דנשאת ע"פ הפה שאסר לא תצא משום דרב המנונא קאי אפי' שלא בפניו [עכ"פ לענין דלא תצא]. היינו דוקא משום שנשאת בהיתר ע"י הפה שאסר, אבל בעלמא שאמרה גרשני [ואין לה הפה שאסר] אף נשאת תצא</w:t>
      </w:r>
      <w:r w:rsidRPr="007119D6">
        <w:rPr>
          <w:rFonts w:ascii="Narkisim" w:hAnsi="Narkisim"/>
        </w:rPr>
        <w:t>.</w:t>
      </w:r>
    </w:p>
  </w:footnote>
  <w:footnote w:id="7823">
    <w:p w14:paraId="32FAE49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כת' </w:t>
      </w:r>
      <w:r w:rsidRPr="007119D6">
        <w:rPr>
          <w:rFonts w:ascii="Narkisim" w:hAnsi="Narkisim"/>
          <w:i/>
          <w:iCs/>
          <w:rtl/>
        </w:rPr>
        <w:t>יסוד ב'</w:t>
      </w:r>
      <w:r w:rsidRPr="007119D6">
        <w:rPr>
          <w:rFonts w:ascii="Narkisim" w:hAnsi="Narkisim"/>
          <w:rtl/>
        </w:rPr>
        <w:t xml:space="preserve"> דאפי' הכי היכא דאח"כ הוכחשה כשירה אף לכהן. ולא אמרינן שויתה אנפשה חתיכה דאיסורא, דכיון דידוע לבי"ד דודאי הוה שקר, א"כ שוב דנין אותה לעיניה נתנה באחר. ורואים שמשקרת אף דידע בה בעלה. והוסיף דכ"ש לדברי הר"ן (נדרים הנ"ל) דמדינא ל"מ כלל שויא אנפשיה [אלא משום חזקה דאינה מעיזה]</w:t>
      </w:r>
      <w:r w:rsidRPr="007119D6">
        <w:rPr>
          <w:rFonts w:ascii="Narkisim" w:hAnsi="Narkisim"/>
        </w:rPr>
        <w:t>.</w:t>
      </w:r>
    </w:p>
  </w:footnote>
  <w:footnote w:id="7824">
    <w:p w14:paraId="5E1FC2B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ומשמע מדבריו דהיכא דהוכחשה נחשב קטטה, ויל"פ ע"פ דברי הרמב"ם דהוחזקה שקרנית. ועוד אפשר דהיכא דלא הוכחשה מתירין לינשא משום שמא מת ושמא נתגרשה, משא”כ הוכחשה. וצ”ע</w:t>
      </w:r>
      <w:r w:rsidRPr="007119D6">
        <w:rPr>
          <w:rFonts w:ascii="Narkisim" w:hAnsi="Narkisim"/>
        </w:rPr>
        <w:t>.</w:t>
      </w:r>
    </w:p>
  </w:footnote>
  <w:footnote w:id="7825">
    <w:p w14:paraId="037E45E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(שם קסז) כת' דה"ה שלא בפניו, שאינה נאמנת לינשא. לדברי הבי"ש לא נחשב קטטה</w:t>
      </w:r>
      <w:r w:rsidRPr="007119D6">
        <w:rPr>
          <w:rFonts w:ascii="Narkisim" w:hAnsi="Narkisim"/>
        </w:rPr>
        <w:t>.</w:t>
      </w:r>
    </w:p>
  </w:footnote>
  <w:footnote w:id="7826">
    <w:p w14:paraId="1E4D14E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אמאי לא דרשי' מדרש כתובה, כדלקמן קיז. [ואפשר דקאי כתי' דחזרו בי”ה משום ק”ו, ולא משום מדרש כתובה]</w:t>
      </w:r>
      <w:r w:rsidRPr="007119D6">
        <w:rPr>
          <w:rFonts w:ascii="Narkisim" w:hAnsi="Narkisim"/>
        </w:rPr>
        <w:t>.</w:t>
      </w:r>
    </w:p>
  </w:footnote>
  <w:footnote w:id="7827">
    <w:p w14:paraId="0E269A5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ראב"ד</w:t>
      </w:r>
      <w:r w:rsidRPr="007119D6">
        <w:rPr>
          <w:rFonts w:ascii="Narkisim" w:hAnsi="Narkisim"/>
          <w:rtl/>
        </w:rPr>
        <w:t xml:space="preserve"> השיג דדברים אלו מלאים טלאות ואין להם טעם, דאם אינה מעיזה פניה [וכאילו גט יוצא מתחת ידה] א"כ מה בין עיקר לתוספת. [והראב"ד חלק דמדרב המנונא אינה מותרת לינשא לכתחילה, אלא דתפסי קידושין. ומש"ה אינה גובה כתובתה]</w:t>
      </w:r>
      <w:r w:rsidRPr="007119D6">
        <w:rPr>
          <w:rFonts w:ascii="Narkisim" w:hAnsi="Narkisim"/>
        </w:rPr>
        <w:t>.</w:t>
      </w:r>
    </w:p>
  </w:footnote>
  <w:footnote w:id="7828">
    <w:p w14:paraId="79FAA6B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קלו, וכן טז) ציין דדעת התוס' (כתובות שם, וכן תוס' דידן וב"מ יז:) דמשום מדרש כתובה גובה אף תוספת הכתובה</w:t>
      </w:r>
      <w:r w:rsidRPr="007119D6">
        <w:rPr>
          <w:rFonts w:ascii="Narkisim" w:hAnsi="Narkisim"/>
        </w:rPr>
        <w:t>.</w:t>
      </w:r>
    </w:p>
  </w:footnote>
  <w:footnote w:id="7829">
    <w:p w14:paraId="1FDB529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כגון חזקה דר"ל (ב"ב ה:) דאין אדם פורע תוך זמנו. וחזקה דאין העדים חותמים על השטר אלא א"כ נעשה בגדול (כתובות יט.). וכן חזקה דאין אדם שותה בכוס אלא א"כ בודקו (כתובות עה.). וכהנה רבות. ולא אמרי' דחזקה דאוקי ממונא בחזקת מריה תעמוד מנגד</w:t>
      </w:r>
      <w:r w:rsidRPr="007119D6">
        <w:rPr>
          <w:rFonts w:ascii="Narkisim" w:hAnsi="Narkisim"/>
        </w:rPr>
        <w:t>.</w:t>
      </w:r>
    </w:p>
  </w:footnote>
  <w:footnote w:id="7830">
    <w:p w14:paraId="3BFB374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משא"כ חזקה דמעיקרא וחזקת הגוף [כגון אוקי בחזקת בתולה, שהרי נולדה בתולה ואע"ג דבעולה לפנינו], הטעם דאין לנו לבדות הנולד וההשתנות אלא משעת ראותינו אותו [וכדילפינן (חולין י:) מדכתיב ויצא הכהן מן הבית וכו']. ומשום כך דין הוא דאיכא למימר אוקי ממונא בחזקת מריה כנגדה. דכמו כן אין לנו לבדות ההשתנות ממון מיד בעליו אלא באשר יוכרח. ואילו כנגד חזקות התלויה בסברא דקים להו לרבנן דהכי הוא פשיטא דלא תעמוד חזקת ממון</w:t>
      </w:r>
      <w:r w:rsidRPr="007119D6">
        <w:rPr>
          <w:rFonts w:ascii="Narkisim" w:hAnsi="Narkisim"/>
        </w:rPr>
        <w:t>.</w:t>
      </w:r>
    </w:p>
  </w:footnote>
  <w:footnote w:id="7831">
    <w:p w14:paraId="2F83836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שער"י</w:t>
      </w:r>
      <w:r w:rsidRPr="007119D6">
        <w:rPr>
          <w:rFonts w:ascii="Narkisim" w:hAnsi="Narkisim"/>
          <w:rtl/>
        </w:rPr>
        <w:t xml:space="preserve"> (ג ג בסופו) תמה דאי חזקה שגירשה, א"כ אנן אמרי' דאף הוא יודע שגירשה ומותרת לינשא, ואפ"ה פטור מתוספת כתובה ע"י שמשקר בבי"ד. ועי"ז לא קרינן לכשתנשאי לענין התוספת כתובה. ועוד איזה רמז יש בלשון הכתובה 'לכשתנשאי לאחר', שיהא משמע דוקא בלא הכחשה</w:t>
      </w:r>
      <w:r w:rsidRPr="007119D6">
        <w:rPr>
          <w:rFonts w:ascii="Narkisim" w:hAnsi="Narkisim"/>
        </w:rPr>
        <w:t>.</w:t>
      </w:r>
    </w:p>
  </w:footnote>
  <w:footnote w:id="7832">
    <w:p w14:paraId="635477C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מגדל עוז</w:t>
      </w:r>
      <w:r w:rsidRPr="007119D6">
        <w:rPr>
          <w:rFonts w:ascii="Narkisim" w:hAnsi="Narkisim"/>
          <w:rtl/>
        </w:rPr>
        <w:t xml:space="preserve"> (אישות טז) כת' שלא מצינו מתגרשת לרצונה ובעל כרחו שנוטלת תוספת כתובה. שלא כתב ע"ד שתצא ממנו ותנשא לאחר</w:t>
      </w:r>
      <w:r w:rsidRPr="007119D6">
        <w:rPr>
          <w:rFonts w:ascii="Narkisim" w:hAnsi="Narkisim"/>
        </w:rPr>
        <w:t>.</w:t>
      </w:r>
    </w:p>
  </w:footnote>
  <w:footnote w:id="7833">
    <w:p w14:paraId="3A8509E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(כתובות פט.) ביאר דמאחר שתובעת כתובתה אינה נאמנת, שמא מחמת חימוד ממון היא אומרת כך. וציין לגמ' (לקמן קיז.). [וחיישינן שמשקר מחמת חימוד ממון. וע"ע מש"כ לקמן שם. אבל ה</w:t>
      </w:r>
      <w:r w:rsidRPr="007119D6">
        <w:rPr>
          <w:rFonts w:ascii="Narkisim" w:hAnsi="Narkisim"/>
          <w:b/>
          <w:bCs/>
          <w:rtl/>
        </w:rPr>
        <w:t>ש"ש</w:t>
      </w:r>
      <w:r w:rsidRPr="007119D6">
        <w:rPr>
          <w:rFonts w:ascii="Narkisim" w:hAnsi="Narkisim"/>
          <w:rtl/>
        </w:rPr>
        <w:t xml:space="preserve"> (ז ז) כת' דהטעם (שם) דעי"ז נחשב נידון של ממון, וצריך עדות]</w:t>
      </w:r>
      <w:r w:rsidRPr="007119D6">
        <w:rPr>
          <w:rFonts w:ascii="Narkisim" w:hAnsi="Narkisim"/>
        </w:rPr>
        <w:t>.</w:t>
      </w:r>
    </w:p>
  </w:footnote>
  <w:footnote w:id="7834">
    <w:p w14:paraId="1CDABF1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הוכיח דזה כוונת התוס', דאל"כ אמאי לא תי' בגמ' דקטטה איירי בתובעת כתובתה, ומש"ה אינה נאמנת מדרב המנונא. [וכקו' התו"י הו' לעיל]. וע"כ דאף כה"ג מותרת לינשא, ודוקא לענין כתובה אינה נאמנת</w:t>
      </w:r>
      <w:r w:rsidRPr="007119D6">
        <w:rPr>
          <w:rFonts w:ascii="Narkisim" w:hAnsi="Narkisim"/>
        </w:rPr>
        <w:t>.</w:t>
      </w:r>
    </w:p>
  </w:footnote>
  <w:footnote w:id="7835">
    <w:p w14:paraId="0EE2723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וכקו' התוס' (בע"ב) דחזינן דלא איכפ"ל לשקר. וי"ל דזהו דעת רב חנינא. ע"ע רע"א</w:t>
      </w:r>
      <w:r w:rsidRPr="007119D6">
        <w:rPr>
          <w:rFonts w:ascii="Narkisim" w:hAnsi="Narkisim"/>
        </w:rPr>
        <w:t>.</w:t>
      </w:r>
    </w:p>
  </w:footnote>
  <w:footnote w:id="7836">
    <w:p w14:paraId="2045323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מהרש"א</w:t>
      </w:r>
      <w:r w:rsidRPr="007119D6">
        <w:rPr>
          <w:rFonts w:ascii="Narkisim" w:hAnsi="Narkisim"/>
          <w:rtl/>
        </w:rPr>
        <w:t xml:space="preserve"> (בע"ב) כת' להיפך, די"ל דכו"ע חוששין למשקרא, ורב שימי הוסיף חשש בדדמי. [וצ"ע]</w:t>
      </w:r>
      <w:r w:rsidRPr="007119D6">
        <w:rPr>
          <w:rFonts w:ascii="Narkisim" w:hAnsi="Narkisim"/>
        </w:rPr>
        <w:t>.</w:t>
      </w:r>
    </w:p>
  </w:footnote>
  <w:footnote w:id="7837">
    <w:p w14:paraId="19A3B68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וכמו שהאריך הרשב"א (לעיל קיד:), ודלא כדעת הרמב"ם</w:t>
      </w:r>
      <w:r w:rsidRPr="007119D6">
        <w:rPr>
          <w:rFonts w:ascii="Narkisim" w:hAnsi="Narkisim"/>
        </w:rPr>
        <w:t>.</w:t>
      </w:r>
    </w:p>
  </w:footnote>
  <w:footnote w:id="7838">
    <w:p w14:paraId="389E376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ביאר דאף דברעבון לא אמרינן כן, ונאמנת לומר מת וקברתיו. קטטה גרע, כיון דחזינן דמשקרת לומר גרשתני (ע' תוס' בע"ב) חיישינן דמשקרת בזה, דבאומדנא דידה דמת תשקר לומר קברתיו</w:t>
      </w:r>
      <w:r w:rsidRPr="007119D6">
        <w:rPr>
          <w:rFonts w:ascii="Narkisim" w:hAnsi="Narkisim"/>
        </w:rPr>
        <w:t>.</w:t>
      </w:r>
    </w:p>
  </w:footnote>
  <w:footnote w:id="7839">
    <w:p w14:paraId="28BF520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גר"א</w:t>
      </w:r>
      <w:r w:rsidRPr="007119D6">
        <w:rPr>
          <w:rFonts w:ascii="Narkisim" w:hAnsi="Narkisim"/>
          <w:rtl/>
        </w:rPr>
        <w:t xml:space="preserve"> (יז קמו) כת' דלדעת הרמב”ם אף בקברתיו חיישינן לבדדמי. וה</w:t>
      </w:r>
      <w:r w:rsidRPr="007119D6">
        <w:rPr>
          <w:rFonts w:ascii="Narkisim" w:hAnsi="Narkisim"/>
          <w:b/>
          <w:bCs/>
          <w:rtl/>
        </w:rPr>
        <w:t>גר"א</w:t>
      </w:r>
      <w:r w:rsidRPr="007119D6">
        <w:rPr>
          <w:rFonts w:ascii="Narkisim" w:hAnsi="Narkisim"/>
          <w:rtl/>
        </w:rPr>
        <w:t xml:space="preserve"> כת' אלא דבלאו הכי הרמבם פסק הטעם דשקרנית. [ואינו חושש לסברת בדדמי כלל. א"כ אין נפק"מ בזה להלכה]</w:t>
      </w:r>
      <w:r w:rsidRPr="007119D6">
        <w:rPr>
          <w:rFonts w:ascii="Narkisim" w:hAnsi="Narkisim"/>
        </w:rPr>
        <w:t>.</w:t>
      </w:r>
    </w:p>
  </w:footnote>
  <w:footnote w:id="7840">
    <w:p w14:paraId="4EBA2BC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(סוד”ה איכא) הק' דהלא היא משקרת שאמרה גירשתני, א"כ האיך תהא נאמנת שמת בעלה. ו</w:t>
      </w:r>
      <w:r w:rsidRPr="007119D6">
        <w:rPr>
          <w:rFonts w:ascii="Narkisim" w:hAnsi="Narkisim"/>
          <w:b/>
          <w:bCs/>
          <w:rtl/>
        </w:rPr>
        <w:t>רע”א</w:t>
      </w:r>
      <w:r w:rsidRPr="007119D6">
        <w:rPr>
          <w:rFonts w:ascii="Narkisim" w:hAnsi="Narkisim"/>
          <w:rtl/>
        </w:rPr>
        <w:t xml:space="preserve"> הוסיף דהא גם באומרת גרשתני ונשאת הדין דתצא מזה ומזה, וחזינן דמשקרת ואינה חוששת לכך. ה"נ לא שייך דייקא ומינסבא כשאומרת. וכת' דאף דבמת בעלי מצוי להתגלות שיבא בעלה, הא ה"נ בגרשתני בפני פלוני ופלוני מצוי להתגלות ע"י שיבאו עדים ויכחישוה. ומה הפרש בין ביאת בעלה לביאת עדים. ודוחק לחלק דלביאה דחד דהיינו בעלה חוששת, אבל לביאת עדים אינה חוששת</w:t>
      </w:r>
      <w:r w:rsidRPr="007119D6">
        <w:rPr>
          <w:rFonts w:ascii="Narkisim" w:hAnsi="Narkisim"/>
        </w:rPr>
        <w:t>.</w:t>
      </w:r>
    </w:p>
  </w:footnote>
  <w:footnote w:id="7841">
    <w:p w14:paraId="572D962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נוב"י</w:t>
      </w:r>
      <w:r w:rsidRPr="007119D6">
        <w:rPr>
          <w:rFonts w:ascii="Narkisim" w:hAnsi="Narkisim"/>
          <w:rtl/>
        </w:rPr>
        <w:t xml:space="preserve"> (ק לח) נקט דהיכא דאח”כ האשה המשיכה את הקטטה אינה נאמנת.</w:t>
      </w:r>
    </w:p>
  </w:footnote>
  <w:footnote w:id="7842">
    <w:p w14:paraId="0AE7415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וכיון דהרמב"ם פסק כמ"ד דמשקרא, א"כ היה לו לפרש דה"מ היכא דהיא גרמה לקטטה</w:t>
      </w:r>
      <w:r w:rsidRPr="007119D6">
        <w:rPr>
          <w:rFonts w:ascii="Narkisim" w:hAnsi="Narkisim"/>
        </w:rPr>
        <w:t>.</w:t>
      </w:r>
    </w:p>
  </w:footnote>
  <w:footnote w:id="7843">
    <w:p w14:paraId="64C2B69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צ"ע דלפ"ז הוה מח' חדשה מסברא, כמה חיישינן לשנאה. וצ"ל דמ"מ קים לה לגמ' דפליגי אף בזה</w:t>
      </w:r>
      <w:r w:rsidRPr="007119D6">
        <w:rPr>
          <w:rFonts w:ascii="Narkisim" w:hAnsi="Narkisim"/>
        </w:rPr>
        <w:t>.</w:t>
      </w:r>
    </w:p>
  </w:footnote>
  <w:footnote w:id="7844">
    <w:p w14:paraId="1CE4A99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קמו) הביא דברי הר"א מזרחי דהרמב”ם פי' א”ב להיפך דלמ"ד משום דמשקרא רוצה היא להשמט ממנו וחפיצה היא לאסור עליו. ואילו למ"ד בדדמי [ואינה משקרא] בארגיל הוא ליכא למיחש, כיון שאינה שונאה אותו שנאה טבעית</w:t>
      </w:r>
      <w:r w:rsidRPr="007119D6">
        <w:rPr>
          <w:rFonts w:ascii="Narkisim" w:hAnsi="Narkisim"/>
        </w:rPr>
        <w:t>.</w:t>
      </w:r>
    </w:p>
  </w:footnote>
  <w:footnote w:id="7845">
    <w:p w14:paraId="0B4A9F5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ק"נ</w:t>
      </w:r>
      <w:r w:rsidRPr="007119D6">
        <w:rPr>
          <w:rFonts w:ascii="Narkisim" w:hAnsi="Narkisim"/>
          <w:rtl/>
        </w:rPr>
        <w:t xml:space="preserve"> ביאר דנפק"מ לחוש למ"ד משקרא לחומרא כגון שאומרת קברתיו. וכדברי התורא"ש ורשב"א הנ"ל</w:t>
      </w:r>
      <w:r w:rsidRPr="007119D6">
        <w:rPr>
          <w:rFonts w:ascii="Narkisim" w:hAnsi="Narkisim"/>
        </w:rPr>
        <w:t>.</w:t>
      </w:r>
    </w:p>
  </w:footnote>
  <w:footnote w:id="7846">
    <w:p w14:paraId="48CF506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קמו בתו"ד) ביאר דבארגיל קטטה החשש רק לר' שימי, ומש"ה מהני קברתיו. והוסיף דאף את"ל כשניהם לחומרא, מ"מ באומרת קברתיו [דל"ש בדדמי] ממ"נ היא נאמנת</w:t>
      </w:r>
      <w:r w:rsidRPr="007119D6">
        <w:rPr>
          <w:rFonts w:ascii="Narkisim" w:hAnsi="Narkisim"/>
        </w:rPr>
        <w:t>.</w:t>
      </w:r>
    </w:p>
    <w:p w14:paraId="544D498D" w14:textId="77777777" w:rsidR="006C4368" w:rsidRPr="007119D6" w:rsidRDefault="006C4368" w:rsidP="006C4368">
      <w:pPr>
        <w:pStyle w:val="Footnote"/>
        <w:bidi/>
        <w:rPr>
          <w:rFonts w:ascii="Narkisim" w:hAnsi="Narkisim"/>
        </w:rPr>
      </w:pPr>
      <w:r w:rsidRPr="007119D6">
        <w:rPr>
          <w:rFonts w:ascii="Narkisim" w:hAnsi="Narkisim"/>
        </w:rPr>
        <w:tab/>
        <w:t>[</w:t>
      </w:r>
      <w:r w:rsidRPr="007119D6">
        <w:rPr>
          <w:rFonts w:ascii="Narkisim" w:hAnsi="Narkisim"/>
          <w:rtl/>
        </w:rPr>
        <w:t>ומשמע מדבריו דיל"פ דנח' המ"ד אי חיישינן רק לבדדמי, או רק דמשקרא. ומש"ה בארגיל איהו וקברתיו מותרת לב' המ"ד. והגר"א הוסיף ואפי' את"ל דב' החששות איתנהו, דאף רב חנינא כ"ש דחושש לבדדמי. היכא דתרוייהו איתנהו ל"ש הך חשש</w:t>
      </w:r>
      <w:r w:rsidRPr="007119D6">
        <w:rPr>
          <w:rFonts w:ascii="Narkisim" w:hAnsi="Narkisim"/>
        </w:rPr>
        <w:t>].</w:t>
      </w:r>
    </w:p>
  </w:footnote>
  <w:footnote w:id="7847">
    <w:p w14:paraId="340B8BE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דאין לך קטטה ושנאה גדולה מזו ביניהם שבגד בה דהלך ונשתמד והניחה עגונה כל זה הזמן</w:t>
      </w:r>
      <w:r w:rsidRPr="007119D6">
        <w:rPr>
          <w:rFonts w:ascii="Narkisim" w:hAnsi="Narkisim"/>
        </w:rPr>
        <w:t>.</w:t>
      </w:r>
    </w:p>
  </w:footnote>
  <w:footnote w:id="7848">
    <w:p w14:paraId="3A02E30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ציין דכוונתו לדברי ה</w:t>
      </w:r>
      <w:r w:rsidRPr="007119D6">
        <w:rPr>
          <w:rFonts w:ascii="Narkisim" w:hAnsi="Narkisim"/>
          <w:b/>
          <w:bCs/>
          <w:rtl/>
        </w:rPr>
        <w:t>מדרש</w:t>
      </w:r>
      <w:r w:rsidRPr="007119D6">
        <w:rPr>
          <w:rFonts w:ascii="Narkisim" w:hAnsi="Narkisim"/>
          <w:rtl/>
        </w:rPr>
        <w:t xml:space="preserve"> (בראשית רבה כ ז) דאף אשתו של ליסטים והוא מצערה, היא משתוקקת לו</w:t>
      </w:r>
      <w:r w:rsidRPr="007119D6">
        <w:rPr>
          <w:rFonts w:ascii="Narkisim" w:hAnsi="Narkisim"/>
        </w:rPr>
        <w:t>.</w:t>
      </w:r>
    </w:p>
  </w:footnote>
  <w:footnote w:id="7849">
    <w:p w14:paraId="1BCD442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השיג ה</w:t>
      </w:r>
      <w:r w:rsidRPr="007119D6">
        <w:rPr>
          <w:rFonts w:ascii="Narkisim" w:hAnsi="Narkisim"/>
          <w:b/>
          <w:bCs/>
          <w:rtl/>
        </w:rPr>
        <w:t>חלק"מ</w:t>
      </w:r>
      <w:r w:rsidRPr="007119D6">
        <w:rPr>
          <w:rFonts w:ascii="Narkisim" w:hAnsi="Narkisim"/>
          <w:rtl/>
        </w:rPr>
        <w:t xml:space="preserve"> (שם צד, הו' בע”א) דהרמב"ם כת' דקטטה הוה דוקא הוחזקה שקרנית]. וה</w:t>
      </w:r>
      <w:r w:rsidRPr="007119D6">
        <w:rPr>
          <w:rFonts w:ascii="Narkisim" w:hAnsi="Narkisim"/>
          <w:b/>
          <w:bCs/>
          <w:rtl/>
        </w:rPr>
        <w:t>גר"א</w:t>
      </w:r>
      <w:r w:rsidRPr="007119D6">
        <w:rPr>
          <w:rFonts w:ascii="Narkisim" w:hAnsi="Narkisim"/>
          <w:rtl/>
        </w:rPr>
        <w:t xml:space="preserve"> כת' דהרמ"א לא חשש לזה, דהראשונים (בסוה"פ) נקטו דמהני לזכות גט לאשת מומר, וגרע מקטטה. דודאי אינה חפיצה בו. וגרע מליסטים</w:t>
      </w:r>
      <w:r w:rsidRPr="007119D6">
        <w:rPr>
          <w:rFonts w:ascii="Narkisim" w:hAnsi="Narkisim"/>
        </w:rPr>
        <w:t>.</w:t>
      </w:r>
    </w:p>
  </w:footnote>
  <w:footnote w:id="7850">
    <w:p w14:paraId="2CBCBBF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וע"ע בדברי הגר"א מש"כ עד"ז אי חיישינן לבדדמי</w:t>
      </w:r>
      <w:r w:rsidRPr="007119D6">
        <w:rPr>
          <w:rFonts w:ascii="Narkisim" w:hAnsi="Narkisim"/>
        </w:rPr>
        <w:t>.</w:t>
      </w:r>
    </w:p>
  </w:footnote>
  <w:footnote w:id="7851">
    <w:p w14:paraId="5F83380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מב, הו' בפתח"ת קסח) דייק מדברי הבי"ש דהיכא דשייך בדדמי אף הריא"ז אוסר, ודוקא היכא דאמרה קברתיו לא חיישי' שמשקר. וחלק ע"פ דברי התוס' דבארגיל הוא קטטה ליכא חשש שקר, אלא חשש בדדמי, וכרב שימי ב”א</w:t>
      </w:r>
      <w:r w:rsidRPr="007119D6">
        <w:rPr>
          <w:rFonts w:ascii="Narkisim" w:hAnsi="Narkisim"/>
        </w:rPr>
        <w:t>.</w:t>
      </w:r>
    </w:p>
  </w:footnote>
  <w:footnote w:id="7852">
    <w:p w14:paraId="480A8F0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דאין ידינו תקיפה לכופו לגרש, אך מ"מ מופרדת ממנו. ורע"א כת' דאף לצד (ע' רמ"א קנד א) דאין כופין לגרש, עכ"פ אין כופין אותה להיות עמו. ועוד דאף ע"י תחבולה זו [שנשאת לאחר ואח"כ יבא בעלה] אינה מרווחת, דגם בזינתה אינו ברור אם כופין להבעל להוציאה בגט</w:t>
      </w:r>
      <w:r w:rsidRPr="007119D6">
        <w:rPr>
          <w:rFonts w:ascii="Narkisim" w:hAnsi="Narkisim"/>
        </w:rPr>
        <w:t>.</w:t>
      </w:r>
    </w:p>
  </w:footnote>
  <w:footnote w:id="7853">
    <w:p w14:paraId="581E223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היכא דיש קטטה הוה מילתא דעבידא לאיגלויי</w:t>
      </w:r>
      <w:r w:rsidRPr="007119D6">
        <w:rPr>
          <w:rFonts w:ascii="Narkisim" w:hAnsi="Narkisim"/>
        </w:rPr>
        <w:t>.</w:t>
      </w:r>
    </w:p>
  </w:footnote>
  <w:footnote w:id="7854">
    <w:p w14:paraId="1713589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לח, הו' בפתח"ת שם קסה) חידש דאשה שבאה לפנינו ולא נודע שהיה לה בעל, דלא הוחזקה אשת איש ע"פ עדות, א"כ עד א' נאמן להתירה מדינא [ונקט דעד א' נאמן בדבר שבערוה היכא דלא איתחזק, ע' מש”כ לעיל פח.]. א"כ עד א' נאמן אף בקטטה, דלא בעינן דייקא דידה</w:t>
      </w:r>
      <w:r w:rsidRPr="007119D6">
        <w:rPr>
          <w:rFonts w:ascii="Narkisim" w:hAnsi="Narkisim"/>
        </w:rPr>
        <w:t>.</w:t>
      </w:r>
    </w:p>
  </w:footnote>
  <w:footnote w:id="7855">
    <w:p w14:paraId="5C39A28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רמב"ם</w:t>
      </w:r>
      <w:r w:rsidRPr="007119D6">
        <w:rPr>
          <w:rFonts w:ascii="Narkisim" w:hAnsi="Narkisim"/>
          <w:rtl/>
        </w:rPr>
        <w:t xml:space="preserve"> (יג יט והשו"ע שם לג) כת' דעד א' במלחמה הוה ספק. ובפשוטו נקט דלא הוכרע עיקר הספק אי משום מילתא דעבידא לאיגלויי</w:t>
      </w:r>
      <w:r w:rsidRPr="007119D6">
        <w:rPr>
          <w:rFonts w:ascii="Narkisim" w:hAnsi="Narkisim"/>
        </w:rPr>
        <w:t>.</w:t>
      </w:r>
    </w:p>
  </w:footnote>
  <w:footnote w:id="7856">
    <w:p w14:paraId="2A1D8F9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כת' דאין ראיה מיבמה, די"ל דהתם פשטה מטעם אחר דלא חיישינן דסניא</w:t>
      </w:r>
      <w:r w:rsidRPr="007119D6">
        <w:rPr>
          <w:rFonts w:ascii="Narkisim" w:hAnsi="Narkisim"/>
        </w:rPr>
        <w:t>.</w:t>
      </w:r>
    </w:p>
    <w:p w14:paraId="4B1AF05E"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וכן ב</w:t>
      </w:r>
      <w:r w:rsidRPr="007119D6">
        <w:rPr>
          <w:rFonts w:ascii="Narkisim" w:hAnsi="Narkisim"/>
          <w:b/>
          <w:bCs/>
          <w:rtl/>
        </w:rPr>
        <w:t>תוס' חד מקמאי</w:t>
      </w:r>
      <w:r w:rsidRPr="007119D6">
        <w:rPr>
          <w:rFonts w:ascii="Narkisim" w:hAnsi="Narkisim"/>
          <w:rtl/>
        </w:rPr>
        <w:t xml:space="preserve"> הק' מעד א' ביבמה, דהטעם משום דסניא ליה. ואפ"ה למסקנא נאמנת. ותי' דגבי קטטה ידעינן בודאי דהיה קטטה, ולא דייקא ומינסבא</w:t>
      </w:r>
      <w:r w:rsidRPr="007119D6">
        <w:rPr>
          <w:rFonts w:ascii="Narkisim" w:hAnsi="Narkisim"/>
        </w:rPr>
        <w:t>.</w:t>
      </w:r>
    </w:p>
  </w:footnote>
  <w:footnote w:id="7857">
    <w:p w14:paraId="638435C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כת' הריא"ז</w:t>
      </w:r>
      <w:r w:rsidRPr="007119D6">
        <w:rPr>
          <w:rFonts w:ascii="Narkisim" w:hAnsi="Narkisim"/>
        </w:rPr>
        <w:t>.</w:t>
      </w:r>
    </w:p>
  </w:footnote>
  <w:footnote w:id="7858">
    <w:p w14:paraId="621078F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ראב”ד</w:t>
      </w:r>
      <w:r w:rsidRPr="007119D6">
        <w:rPr>
          <w:rFonts w:ascii="Narkisim" w:hAnsi="Narkisim"/>
          <w:rtl/>
        </w:rPr>
        <w:t xml:space="preserve"> (שם) השיג א”נ דעבידא לאיגלויי. [דלא איפשיט בעיין]</w:t>
      </w:r>
      <w:r w:rsidRPr="007119D6">
        <w:rPr>
          <w:rFonts w:ascii="Narkisim" w:hAnsi="Narkisim"/>
        </w:rPr>
        <w:t>.</w:t>
      </w:r>
    </w:p>
  </w:footnote>
  <w:footnote w:id="7859">
    <w:p w14:paraId="2CFCD1B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והרמב"ם גרס רק עד א' בקטטה מהו, תיקו. [והסופרים העתיקו את ההמשך מהגמ' (לעיל צג:)]. והרמב"ם ס”ל דאיפשיט ספק דלעיל דמשום עבידא לאיגלויי</w:t>
      </w:r>
      <w:r w:rsidRPr="007119D6">
        <w:rPr>
          <w:rFonts w:ascii="Narkisim" w:hAnsi="Narkisim"/>
        </w:rPr>
        <w:t>.</w:t>
      </w:r>
    </w:p>
  </w:footnote>
  <w:footnote w:id="7860">
    <w:p w14:paraId="7A05AE8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w:t>
      </w:r>
      <w:r w:rsidRPr="007119D6">
        <w:rPr>
          <w:rFonts w:ascii="Narkisim" w:hAnsi="Narkisim"/>
          <w:b/>
          <w:bCs/>
          <w:rtl/>
        </w:rPr>
        <w:t>הר"י ב"ל</w:t>
      </w:r>
      <w:r w:rsidRPr="007119D6">
        <w:rPr>
          <w:rFonts w:ascii="Narkisim" w:hAnsi="Narkisim"/>
          <w:rtl/>
        </w:rPr>
        <w:t xml:space="preserve"> ביאר דהספיקות הי מנייהו עיקר ועדיף, וע"א במלחמה וע"א ביבמה איפשיטו דנאמן עד א' משום דמילתא דעבידא לאיגלויי, והך טעמא עיקר. ואפ"ה יש ספק בע"א בקטטה, דבקטטה ליתא כלל טעמא דהיא גופה דייקא ומינסבא, דהא הוחזקה שקרנית. ומש"ה לא איפשיטא הבעיא וקיימא בתיקו</w:t>
      </w:r>
      <w:r w:rsidRPr="007119D6">
        <w:rPr>
          <w:rFonts w:ascii="Narkisim" w:hAnsi="Narkisim"/>
        </w:rPr>
        <w:t>.</w:t>
      </w:r>
    </w:p>
  </w:footnote>
  <w:footnote w:id="7861">
    <w:p w14:paraId="470607A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ומספק לא תנשא, ואם נשאת לא תצא. וכ”פ בשאר ספיקות, דאם נשאת לא תצא [וע"ע מש"כ לעיל קיד: וקטו.]</w:t>
      </w:r>
      <w:r w:rsidRPr="007119D6">
        <w:rPr>
          <w:rFonts w:ascii="Narkisim" w:hAnsi="Narkisim"/>
        </w:rPr>
        <w:t>.</w:t>
      </w:r>
    </w:p>
  </w:footnote>
  <w:footnote w:id="7862">
    <w:p w14:paraId="4D5F6C2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ט"ז</w:t>
      </w:r>
      <w:r w:rsidRPr="007119D6">
        <w:rPr>
          <w:rFonts w:ascii="Narkisim" w:hAnsi="Narkisim"/>
          <w:rtl/>
        </w:rPr>
        <w:t xml:space="preserve"> (יז סג) כת' דמקור הרמב"ם מהגמ' (גיטין סז.) דבאומר אמרו חיישינן שמא תשכור עדים, כיון דלא נגמר הדבר על פיו. וביאר דאף בסוגיין לא נגמר הדבר אלא ע"פ הא דדייקא ומינסבא. והעד סומך דתידוק ולא תנשא</w:t>
      </w:r>
      <w:r w:rsidRPr="007119D6">
        <w:rPr>
          <w:rFonts w:ascii="Narkisim" w:hAnsi="Narkisim"/>
        </w:rPr>
        <w:t>.</w:t>
      </w:r>
    </w:p>
  </w:footnote>
  <w:footnote w:id="7863">
    <w:p w14:paraId="60C4E4A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ומבואר דסברת ר' יהודה דצריך תוספת אומדנא מחמת שבגדיה קרועים. ולא רק שיש ריעותא באופן שנראה שאינה מתאבלת</w:t>
      </w:r>
      <w:r w:rsidRPr="007119D6">
        <w:rPr>
          <w:rFonts w:ascii="Narkisim" w:hAnsi="Narkisim"/>
        </w:rPr>
        <w:t>.</w:t>
      </w:r>
    </w:p>
  </w:footnote>
  <w:footnote w:id="7864">
    <w:p w14:paraId="7C84449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מאירי</w:t>
      </w:r>
      <w:r w:rsidRPr="007119D6">
        <w:rPr>
          <w:rFonts w:ascii="Narkisim" w:hAnsi="Narkisim"/>
          <w:rtl/>
        </w:rPr>
        <w:t xml:space="preserve"> בשם </w:t>
      </w:r>
      <w:r w:rsidRPr="007119D6">
        <w:rPr>
          <w:rFonts w:ascii="Narkisim" w:hAnsi="Narkisim"/>
          <w:b/>
          <w:bCs/>
          <w:rtl/>
        </w:rPr>
        <w:t>גאוני</w:t>
      </w:r>
      <w:r w:rsidRPr="007119D6">
        <w:rPr>
          <w:rFonts w:ascii="Narkisim" w:hAnsi="Narkisim"/>
          <w:rtl/>
        </w:rPr>
        <w:t xml:space="preserve"> </w:t>
      </w:r>
      <w:r w:rsidRPr="007119D6">
        <w:rPr>
          <w:rFonts w:ascii="Narkisim" w:hAnsi="Narkisim"/>
          <w:b/>
          <w:bCs/>
          <w:rtl/>
        </w:rPr>
        <w:t>ספרד</w:t>
      </w:r>
      <w:r w:rsidRPr="007119D6">
        <w:rPr>
          <w:rFonts w:ascii="Narkisim" w:hAnsi="Narkisim"/>
          <w:rtl/>
        </w:rPr>
        <w:t xml:space="preserve"> דדוקא בשיודעת בטיב אלמנות וענין נשואין עד שתבחין בחסרון בן זוגה</w:t>
      </w:r>
      <w:r w:rsidRPr="007119D6">
        <w:rPr>
          <w:rFonts w:ascii="Narkisim" w:hAnsi="Narkisim"/>
        </w:rPr>
        <w:t>.</w:t>
      </w:r>
    </w:p>
    <w:p w14:paraId="7947321C"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קלח) ביאר שנאמנת מתוך חומר שהחמרת בסופה, ומש"ה דייקא ומנסבא. [ומש”ה בעינן שוטה שמבינה שיש חומר בסופה]. {אבל בדברי המאירי משמע דל"צ כל כך}</w:t>
      </w:r>
      <w:r w:rsidRPr="007119D6">
        <w:rPr>
          <w:rFonts w:ascii="Narkisim" w:hAnsi="Narkisim"/>
        </w:rPr>
        <w:t>.</w:t>
      </w:r>
    </w:p>
  </w:footnote>
  <w:footnote w:id="7865">
    <w:p w14:paraId="3B5A484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 הא דהקילו בחרש כשם שכונסה ברמיזה מוציאה ברמיזה (כדתנן קיב:). ה"נ בנישואי שוטה הקילו שנאמנת שמת בעלה</w:t>
      </w:r>
      <w:r w:rsidRPr="007119D6">
        <w:rPr>
          <w:rFonts w:ascii="Narkisim" w:hAnsi="Narkisim"/>
        </w:rPr>
        <w:t>.</w:t>
      </w:r>
    </w:p>
  </w:footnote>
  <w:footnote w:id="7866">
    <w:p w14:paraId="1194434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בית יצחק</w:t>
      </w:r>
      <w:r w:rsidRPr="007119D6">
        <w:rPr>
          <w:rFonts w:ascii="Narkisim" w:hAnsi="Narkisim"/>
          <w:rtl/>
        </w:rPr>
        <w:t xml:space="preserve"> (אה"ע א פ ט) תי' דאיירי בספק שוטה, דקשה לעמוד עליה אי הוה שוטה גמור. [והר"ש ב"ד נקט לשון הגמ' (לעיל קיג:) כקידושין כך גירושין, אליבא דר' אלעזר דאשת חרש דעתא קלישתא. דהוה ספק אי הוה דעת גמור]</w:t>
      </w:r>
      <w:r w:rsidRPr="007119D6">
        <w:rPr>
          <w:rFonts w:ascii="Narkisim" w:hAnsi="Narkisim"/>
        </w:rPr>
        <w:t>.</w:t>
      </w:r>
    </w:p>
  </w:footnote>
  <w:footnote w:id="7867">
    <w:p w14:paraId="7FE5F96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רמ"ה</w:t>
      </w:r>
      <w:r w:rsidRPr="007119D6">
        <w:rPr>
          <w:rFonts w:ascii="Narkisim" w:hAnsi="Narkisim"/>
          <w:rtl/>
        </w:rPr>
        <w:t xml:space="preserve"> וה</w:t>
      </w:r>
      <w:r w:rsidRPr="007119D6">
        <w:rPr>
          <w:rFonts w:ascii="Narkisim" w:hAnsi="Narkisim"/>
          <w:b/>
          <w:bCs/>
          <w:rtl/>
        </w:rPr>
        <w:t>רמ"א</w:t>
      </w:r>
      <w:r w:rsidRPr="007119D6">
        <w:rPr>
          <w:rFonts w:ascii="Narkisim" w:hAnsi="Narkisim"/>
          <w:rtl/>
        </w:rPr>
        <w:t xml:space="preserve"> (הנ"ל) נקטו דאיירי בשוטה גמור, וא"כ קשה איך היתה נשואה לאיש [וי”ל שקדשה אביה, א”נ פקחת שנשתטה], וכן קשה האיך תילך ותנשא לאחר [והקובה”ע כת' דנפק”מ לכשתתפקח. ונאמנת ע”פ מה שהעידו והתירוה בעודה שוטה. ועוד אפשר דלא תקנו לה קידושין וגט, אבל מותרין זל”ז. וע”ד מש”כ תוס' לעיל סב: בקטן בן ט' דלא הוה בעילת זנות]</w:t>
      </w:r>
      <w:r w:rsidRPr="007119D6">
        <w:rPr>
          <w:rFonts w:ascii="Narkisim" w:hAnsi="Narkisim"/>
        </w:rPr>
        <w:t>.</w:t>
      </w:r>
    </w:p>
  </w:footnote>
  <w:footnote w:id="7868">
    <w:p w14:paraId="349E7D0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ויש שציינו עד"ז כת' </w:t>
      </w:r>
      <w:r w:rsidRPr="007119D6">
        <w:rPr>
          <w:rFonts w:ascii="Narkisim" w:hAnsi="Narkisim"/>
          <w:b/>
          <w:bCs/>
          <w:rtl/>
        </w:rPr>
        <w:t>תוס'</w:t>
      </w:r>
      <w:r w:rsidRPr="007119D6">
        <w:rPr>
          <w:rFonts w:ascii="Narkisim" w:hAnsi="Narkisim"/>
          <w:rtl/>
        </w:rPr>
        <w:t xml:space="preserve"> (ערכין ג. ד"ה דמסברי) כת' דהא דאי' דכהן שוטה רואה נגעים, היינו שאינו דמסברי ליה וסבר, וקרי ליה שוטה משום שאינו יודע בעצמו</w:t>
      </w:r>
      <w:r w:rsidRPr="007119D6">
        <w:rPr>
          <w:rFonts w:ascii="Narkisim" w:hAnsi="Narkisim"/>
        </w:rPr>
        <w:t>.</w:t>
      </w:r>
    </w:p>
  </w:footnote>
  <w:footnote w:id="7869">
    <w:p w14:paraId="3F2F327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ומשמע כוונתו באופן שהבי"ד של"צ תנאי הוה מובהק טפי</w:t>
      </w:r>
      <w:r w:rsidRPr="007119D6">
        <w:rPr>
          <w:rFonts w:ascii="Narkisim" w:hAnsi="Narkisim"/>
        </w:rPr>
        <w:t>.</w:t>
      </w:r>
    </w:p>
  </w:footnote>
  <w:footnote w:id="7870">
    <w:p w14:paraId="10AFA63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וצ"ע דמ"מ במקומו של ר' יהודה צריכים לעשות כדבריו. (וכדאי' לעיל יד. במקומו של ר' אליעזר)</w:t>
      </w:r>
      <w:r w:rsidRPr="007119D6">
        <w:rPr>
          <w:rFonts w:ascii="Narkisim" w:hAnsi="Narkisim"/>
        </w:rPr>
        <w:t>.</w:t>
      </w:r>
    </w:p>
  </w:footnote>
  <w:footnote w:id="7871">
    <w:p w14:paraId="3D87910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ויש לדון לדעת בי"ה האם משיאין ע"פ עד א' שלא בקציר ובמדינה אחרת, דלכאורה עד א' עדיף מהאשה עצמה. או דילמא עיקר נאמנות העד משום עבידא לאיגלויי, ובעינן עבידא לאיגלויי טפי. אך י"ל דבימיהם עדיין לא הוחזקו להשיא ע"פ עד א', וכדאי' (לקמן קכב. הו' לעיל קטו.)</w:t>
      </w:r>
      <w:r w:rsidRPr="007119D6">
        <w:rPr>
          <w:rFonts w:ascii="Narkisim" w:hAnsi="Narkisim"/>
        </w:rPr>
        <w:t>.</w:t>
      </w:r>
    </w:p>
  </w:footnote>
  <w:footnote w:id="7872">
    <w:p w14:paraId="14D36A4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והו' בכלל הדברים שחזרו בית הלל להורות כבי"ש</w:t>
      </w:r>
      <w:r w:rsidRPr="007119D6">
        <w:rPr>
          <w:rFonts w:ascii="Narkisim" w:hAnsi="Narkisim"/>
        </w:rPr>
        <w:t>].</w:t>
      </w:r>
    </w:p>
  </w:footnote>
  <w:footnote w:id="7873">
    <w:p w14:paraId="0D9FCF4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ועוה"ק דבמשנה (עדיות א יב) הו' דלא שמענו אלא בבאה מהקציר, ולא הוזכר אותה מדינה</w:t>
      </w:r>
      <w:r w:rsidRPr="007119D6">
        <w:rPr>
          <w:rFonts w:ascii="Narkisim" w:hAnsi="Narkisim"/>
        </w:rPr>
        <w:t>.</w:t>
      </w:r>
    </w:p>
  </w:footnote>
  <w:footnote w:id="7874">
    <w:p w14:paraId="46DF88D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ולפ"ז 'אותה מדינה' פי' אותה העיר. דיש מקומות שמדינה משמע עיר</w:t>
      </w:r>
      <w:r w:rsidRPr="007119D6">
        <w:rPr>
          <w:rFonts w:ascii="Narkisim" w:hAnsi="Narkisim"/>
        </w:rPr>
        <w:t>.</w:t>
      </w:r>
    </w:p>
  </w:footnote>
  <w:footnote w:id="7875">
    <w:p w14:paraId="0891AD3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תוי"ט</w:t>
      </w:r>
      <w:r w:rsidRPr="007119D6">
        <w:rPr>
          <w:rFonts w:ascii="Narkisim" w:hAnsi="Narkisim"/>
          <w:rtl/>
        </w:rPr>
        <w:t xml:space="preserve"> העיר דד"ה דתוס' משמע דקאי אסיפא [דברי בי"ש] לבאר אמאי קציר הוה 'הווה'. וה</w:t>
      </w:r>
      <w:r w:rsidRPr="007119D6">
        <w:rPr>
          <w:rFonts w:ascii="Narkisim" w:hAnsi="Narkisim"/>
          <w:b/>
          <w:bCs/>
          <w:rtl/>
        </w:rPr>
        <w:t>תוי"ט</w:t>
      </w:r>
      <w:r w:rsidRPr="007119D6">
        <w:rPr>
          <w:rFonts w:ascii="Narkisim" w:hAnsi="Narkisim"/>
          <w:rtl/>
        </w:rPr>
        <w:t xml:space="preserve"> הק' דרש"י פי' הווה, שכך היה מעשה, א"כ לק"מ. והביא דצ"ל דתוס' קאי ארישא [כדברי בי”ה], וכן בירושלמי קאי ארישא, לדעת בי"ה אמאי התירו בקציר חטין טפי</w:t>
      </w:r>
      <w:r w:rsidRPr="007119D6">
        <w:rPr>
          <w:rFonts w:ascii="Narkisim" w:hAnsi="Narkisim"/>
        </w:rPr>
        <w:t>.</w:t>
      </w:r>
    </w:p>
  </w:footnote>
  <w:footnote w:id="7876">
    <w:p w14:paraId="57AE322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תוי"ט</w:t>
      </w:r>
      <w:r w:rsidRPr="007119D6">
        <w:rPr>
          <w:rFonts w:ascii="Narkisim" w:hAnsi="Narkisim"/>
          <w:rtl/>
        </w:rPr>
        <w:t xml:space="preserve"> ביאר דבאר"י כל הנך עבודות נעשין בשעה שהשמש קופחת על ראשו. [והערול"נ הק' דקציר שעורין הוה בניסן, וזיתים הוה בימי הגשמים]</w:t>
      </w:r>
      <w:r w:rsidRPr="007119D6">
        <w:rPr>
          <w:rFonts w:ascii="Narkisim" w:hAnsi="Narkisim"/>
        </w:rPr>
        <w:t>.</w:t>
      </w:r>
    </w:p>
  </w:footnote>
  <w:footnote w:id="7877">
    <w:p w14:paraId="50C5E31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והמהרי"ק הוסיף במדינה אחרת, אבל באותו מדינה יתכן שנאמנת אף שלא בפניו. [עי"ש שהאריך]</w:t>
      </w:r>
      <w:r w:rsidRPr="007119D6">
        <w:rPr>
          <w:rFonts w:ascii="Narkisim" w:hAnsi="Narkisim"/>
        </w:rPr>
        <w:t>.</w:t>
      </w:r>
    </w:p>
  </w:footnote>
  <w:footnote w:id="7878">
    <w:p w14:paraId="52A5F80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הג' מים חיים</w:t>
      </w:r>
      <w:r w:rsidRPr="007119D6">
        <w:rPr>
          <w:rFonts w:ascii="Narkisim" w:hAnsi="Narkisim"/>
          <w:rtl/>
        </w:rPr>
        <w:t xml:space="preserve"> הוסיף דהא משנה שלימה שנינו (כתובות כב.) דאם יש עדים שהיא אשת איש אינה נאמנת שנתגרשה. וה</w:t>
      </w:r>
      <w:r w:rsidRPr="007119D6">
        <w:rPr>
          <w:rFonts w:ascii="Narkisim" w:hAnsi="Narkisim"/>
          <w:b/>
          <w:bCs/>
          <w:rtl/>
        </w:rPr>
        <w:t>בי"מ</w:t>
      </w:r>
      <w:r w:rsidRPr="007119D6">
        <w:rPr>
          <w:rFonts w:ascii="Narkisim" w:hAnsi="Narkisim"/>
          <w:rtl/>
        </w:rPr>
        <w:t xml:space="preserve"> (יז ב) תי' דתוס' איירי כשאין עדים שהיתה אשת איש מעיקרא, וע"ד מש"כ הארחות חיים (הו' בע"א) דרב המנונא איירי היכא דליכא עדים שהיא אשת איש</w:t>
      </w:r>
      <w:r w:rsidRPr="007119D6">
        <w:rPr>
          <w:rFonts w:ascii="Narkisim" w:hAnsi="Narkisim"/>
        </w:rPr>
        <w:t>.</w:t>
      </w:r>
    </w:p>
  </w:footnote>
  <w:footnote w:id="7879">
    <w:p w14:paraId="4428ABA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נמוקי הגרי”ב</w:t>
      </w:r>
      <w:r w:rsidRPr="007119D6">
        <w:rPr>
          <w:rFonts w:ascii="Narkisim" w:hAnsi="Narkisim"/>
          <w:rtl/>
        </w:rPr>
        <w:t xml:space="preserve"> הוסיף דמיגו הוא משום דאילו רוצה היה טוען שקר, והכא אינו כן. דאילו אפשר לה לשקר לא היתה נאמנת. [אך ציין לדברי ה</w:t>
      </w:r>
      <w:r w:rsidRPr="007119D6">
        <w:rPr>
          <w:rFonts w:ascii="Narkisim" w:hAnsi="Narkisim"/>
          <w:b/>
          <w:bCs/>
          <w:rtl/>
        </w:rPr>
        <w:t>ש"ך</w:t>
      </w:r>
      <w:r w:rsidRPr="007119D6">
        <w:rPr>
          <w:rFonts w:ascii="Narkisim" w:hAnsi="Narkisim"/>
          <w:rtl/>
        </w:rPr>
        <w:t xml:space="preserve"> (סב ו) גבי אשה שנושאת ונותנת בבית אי מהני לה מיגו. וע"ע רע"א (חו"מ סב, ובהג' לס' עזרת נשים הו' חי' רע”א השלם) ואכמ"ל]</w:t>
      </w:r>
      <w:r w:rsidRPr="007119D6">
        <w:rPr>
          <w:rFonts w:ascii="Narkisim" w:hAnsi="Narkisim"/>
        </w:rPr>
        <w:t>.</w:t>
      </w:r>
    </w:p>
    <w:p w14:paraId="674E560C"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ויש שדנו דאף דהשתא ליכא ראיה, מ"מ מהני תורת מיגו. כיון דבידה להעיז ולהביא ראיה זו</w:t>
      </w:r>
      <w:r w:rsidRPr="007119D6">
        <w:rPr>
          <w:rFonts w:ascii="Narkisim" w:hAnsi="Narkisim"/>
        </w:rPr>
        <w:t>.</w:t>
      </w:r>
    </w:p>
  </w:footnote>
  <w:footnote w:id="7880">
    <w:p w14:paraId="4347FA8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וציין לגמ' (ב"מ ג.) דלא אמרי' מיגו דהעזה. אך ה</w:t>
      </w:r>
      <w:r w:rsidRPr="007119D6">
        <w:rPr>
          <w:rFonts w:ascii="Narkisim" w:hAnsi="Narkisim"/>
          <w:b/>
          <w:bCs/>
          <w:rtl/>
        </w:rPr>
        <w:t>קוב"ש</w:t>
      </w:r>
      <w:r w:rsidRPr="007119D6">
        <w:rPr>
          <w:rFonts w:ascii="Narkisim" w:hAnsi="Narkisim"/>
          <w:rtl/>
        </w:rPr>
        <w:t xml:space="preserve"> (ח"ב ג הב' יא) ציין דדעת הרבה </w:t>
      </w:r>
      <w:r w:rsidRPr="007119D6">
        <w:rPr>
          <w:rFonts w:ascii="Narkisim" w:hAnsi="Narkisim"/>
          <w:b/>
          <w:bCs/>
          <w:rtl/>
        </w:rPr>
        <w:t>ראשונים</w:t>
      </w:r>
      <w:r w:rsidRPr="007119D6">
        <w:rPr>
          <w:rFonts w:ascii="Narkisim" w:hAnsi="Narkisim"/>
          <w:rtl/>
        </w:rPr>
        <w:t xml:space="preserve"> דמיגו דהעזה מהני לאפטורי מממון, ורק לאפטורי משבועה ל"מ. וכן דעת </w:t>
      </w:r>
      <w:r w:rsidRPr="007119D6">
        <w:rPr>
          <w:rFonts w:ascii="Narkisim" w:hAnsi="Narkisim"/>
          <w:b/>
          <w:bCs/>
          <w:rtl/>
        </w:rPr>
        <w:t>תוס'</w:t>
      </w:r>
      <w:r w:rsidRPr="007119D6">
        <w:rPr>
          <w:rFonts w:ascii="Narkisim" w:hAnsi="Narkisim"/>
          <w:rtl/>
        </w:rPr>
        <w:t xml:space="preserve"> (ב”ב נב:) דאמרי' מיגו דהעזה. [ויל"ד האם מהני באיסורין]</w:t>
      </w:r>
      <w:r w:rsidRPr="007119D6">
        <w:rPr>
          <w:rFonts w:ascii="Narkisim" w:hAnsi="Narkisim"/>
        </w:rPr>
        <w:t>.</w:t>
      </w:r>
    </w:p>
    <w:p w14:paraId="3B62E3A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והקוב"ש כת' דמ"מ בסוגיין בטענת גרשתני אין לה נאמנות מצד עצמה, אלא ע"י ההעזה [דמה שאינה מעיזה הוה הוכחה ובירור]. אבל כל זמן שלא העיזה שנתגרשה עדיין לא קיבלה הזכות להיות נאמנת. וחידש דבכה"ג ל"ש גדר מיגו דכח הטענה [עי"ש שהאריך בזה]. וע"כ דקו' התוס' משום גדר מיגו דאנן סהדי דמה לי לשקר. ובזה הק' המהרש"א דהוה מיגו דהעזה, וכיון דאינה מעיזה ליכא אנן סהדי</w:t>
      </w:r>
      <w:r w:rsidRPr="007119D6">
        <w:rPr>
          <w:rFonts w:ascii="Narkisim" w:hAnsi="Narkisim"/>
        </w:rPr>
        <w:t>.</w:t>
      </w:r>
    </w:p>
    <w:p w14:paraId="5BC4A355" w14:textId="77777777" w:rsidR="006C4368" w:rsidRPr="007119D6" w:rsidRDefault="006C4368" w:rsidP="006C4368">
      <w:pPr>
        <w:pStyle w:val="Footnote"/>
        <w:bidi/>
        <w:rPr>
          <w:rFonts w:ascii="Narkisim" w:hAnsi="Narkisim"/>
        </w:rPr>
      </w:pPr>
      <w:r w:rsidRPr="007119D6">
        <w:rPr>
          <w:rFonts w:ascii="Narkisim" w:hAnsi="Narkisim"/>
        </w:rPr>
        <w:tab/>
        <w:t>[</w:t>
      </w:r>
      <w:r w:rsidRPr="007119D6">
        <w:rPr>
          <w:rFonts w:ascii="Narkisim" w:hAnsi="Narkisim"/>
          <w:rtl/>
        </w:rPr>
        <w:t>וה</w:t>
      </w:r>
      <w:r w:rsidRPr="007119D6">
        <w:rPr>
          <w:rFonts w:ascii="Narkisim" w:hAnsi="Narkisim"/>
          <w:b/>
          <w:bCs/>
          <w:rtl/>
        </w:rPr>
        <w:t>קוב"ש</w:t>
      </w:r>
      <w:r w:rsidRPr="007119D6">
        <w:rPr>
          <w:rFonts w:ascii="Narkisim" w:hAnsi="Narkisim"/>
          <w:rtl/>
        </w:rPr>
        <w:t xml:space="preserve"> (שם יג) הביא דב</w:t>
      </w:r>
      <w:r w:rsidRPr="007119D6">
        <w:rPr>
          <w:rFonts w:ascii="Narkisim" w:hAnsi="Narkisim"/>
          <w:b/>
          <w:bCs/>
          <w:rtl/>
        </w:rPr>
        <w:t>רא"ש</w:t>
      </w:r>
      <w:r w:rsidRPr="007119D6">
        <w:rPr>
          <w:rFonts w:ascii="Narkisim" w:hAnsi="Narkisim"/>
          <w:rtl/>
        </w:rPr>
        <w:t xml:space="preserve"> (גיטין סד. ז ח) מבואר דאף באופן שהשליש מסייע לאשה, ומש"ה אינה נאמנת מדרב המנונא, אפ"ה הרא"ש דן דתהא נאמנת במיגו. וקשה שם כקו' המהרש"א דמיגו דהעזה לא אמרי'. ואכמ"ל</w:t>
      </w:r>
      <w:r w:rsidRPr="007119D6">
        <w:rPr>
          <w:rFonts w:ascii="Narkisim" w:hAnsi="Narkisim"/>
        </w:rPr>
        <w:t>].</w:t>
      </w:r>
    </w:p>
  </w:footnote>
  <w:footnote w:id="7881">
    <w:p w14:paraId="21BAE50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כת' דבאמת הסברא פשוטה דהוה העזה, שהרי כשיבא בעלה ניכר לכל שמוכחשת</w:t>
      </w:r>
      <w:r w:rsidRPr="007119D6">
        <w:rPr>
          <w:rFonts w:ascii="Narkisim" w:hAnsi="Narkisim"/>
        </w:rPr>
        <w:t>.</w:t>
      </w:r>
    </w:p>
  </w:footnote>
  <w:footnote w:id="7882">
    <w:p w14:paraId="19F0D54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דדרשי' מדרש כתובה כשתנשאי לאחר. [ע' מה שהו' בע"א]. אך דעת ה</w:t>
      </w:r>
      <w:r w:rsidRPr="007119D6">
        <w:rPr>
          <w:rFonts w:ascii="Narkisim" w:hAnsi="Narkisim"/>
          <w:b/>
          <w:bCs/>
          <w:rtl/>
        </w:rPr>
        <w:t xml:space="preserve">הג' מיימוני </w:t>
      </w:r>
      <w:r w:rsidRPr="007119D6">
        <w:rPr>
          <w:rFonts w:ascii="Narkisim" w:hAnsi="Narkisim"/>
          <w:rtl/>
        </w:rPr>
        <w:t>(יב א הו' בדרכ"מ יז ג) דאינה נוטלת כתובתה. ואמאי נקט המהרש"א בתוס' דידן כהך תי</w:t>
      </w:r>
      <w:r w:rsidRPr="007119D6">
        <w:rPr>
          <w:rFonts w:ascii="Narkisim" w:hAnsi="Narkisim"/>
        </w:rPr>
        <w:t>'.</w:t>
      </w:r>
    </w:p>
  </w:footnote>
  <w:footnote w:id="7883">
    <w:p w14:paraId="47338E5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ביאר דכיון שהותרה שעה אחת בבי"ד עי"ז פקע מינה חזקה דא"א, והיתה בחזקת היתר</w:t>
      </w:r>
      <w:r w:rsidRPr="007119D6">
        <w:rPr>
          <w:rFonts w:ascii="Narkisim" w:hAnsi="Narkisim"/>
        </w:rPr>
        <w:t>.</w:t>
      </w:r>
    </w:p>
  </w:footnote>
  <w:footnote w:id="7884">
    <w:p w14:paraId="1FE86F4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האשה נאמנת על עצמה מדין עד א</w:t>
      </w:r>
      <w:r w:rsidRPr="007119D6">
        <w:rPr>
          <w:rFonts w:ascii="Narkisim" w:hAnsi="Narkisim"/>
        </w:rPr>
        <w:t>'.</w:t>
      </w:r>
    </w:p>
  </w:footnote>
  <w:footnote w:id="7885">
    <w:p w14:paraId="3300EDA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א"כ עד א' נאמן בשעה שהיה לה הפה שאסר, א"כ אף דאח"כ באו עדים שהיתה אשת איש תו לא נפקי מהימנותיה, מאחר שקדם היתר בי"ד לחזקה איסור אשת איש</w:t>
      </w:r>
      <w:r w:rsidRPr="007119D6">
        <w:rPr>
          <w:rFonts w:ascii="Narkisim" w:hAnsi="Narkisim"/>
        </w:rPr>
        <w:t>.</w:t>
      </w:r>
    </w:p>
  </w:footnote>
  <w:footnote w:id="7886">
    <w:p w14:paraId="45AAD04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ביאר דהתם קיימא בחזקת פנויה, ומש"ה ראוי שתאמן בכך, ומועיל בה חזקת שאינה מעיזה אף שלא בפניו. אבל דברי רב המנונא שנאמרו באשת איש גמורה וידועה, ובזה די לנו שתועיל חזקה זו בפניו</w:t>
      </w:r>
      <w:r w:rsidRPr="007119D6">
        <w:rPr>
          <w:rFonts w:ascii="Narkisim" w:hAnsi="Narkisim"/>
        </w:rPr>
        <w:t>.</w:t>
      </w:r>
    </w:p>
  </w:footnote>
  <w:footnote w:id="7887">
    <w:p w14:paraId="45040F4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 מש"כ </w:t>
      </w:r>
      <w:r w:rsidRPr="007119D6">
        <w:rPr>
          <w:rFonts w:ascii="Narkisim" w:hAnsi="Narkisim"/>
          <w:b/>
          <w:bCs/>
          <w:rtl/>
        </w:rPr>
        <w:t>תוס</w:t>
      </w:r>
      <w:r w:rsidRPr="007119D6">
        <w:rPr>
          <w:rFonts w:ascii="Narkisim" w:hAnsi="Narkisim"/>
          <w:rtl/>
        </w:rPr>
        <w:t>' (לעיל פח:) דע"י דדייקא ומינסבא איתרע חזקה דאשת איש [ומש"ה נאמנת בטענת ברי]</w:t>
      </w:r>
      <w:r w:rsidRPr="007119D6">
        <w:rPr>
          <w:rFonts w:ascii="Narkisim" w:hAnsi="Narkisim"/>
        </w:rPr>
        <w:t>.</w:t>
      </w:r>
    </w:p>
  </w:footnote>
  <w:footnote w:id="7888">
    <w:p w14:paraId="47C9E89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כת' דהוה ספק אם היתה מעיזה אף בפניו. [וצ"ב א"כ הוה ספק בגוף האומדנא, וליכא אנן סהדי כלל]</w:t>
      </w:r>
      <w:r w:rsidRPr="007119D6">
        <w:rPr>
          <w:rFonts w:ascii="Narkisim" w:hAnsi="Narkisim"/>
        </w:rPr>
        <w:t>.</w:t>
      </w:r>
    </w:p>
    <w:p w14:paraId="27EC9045"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eastAsia="Narkisim" w:hAnsi="Narkisim"/>
          <w:rtl/>
        </w:rPr>
        <w:t>וה</w:t>
      </w:r>
      <w:r w:rsidRPr="007119D6">
        <w:rPr>
          <w:rFonts w:ascii="Narkisim" w:eastAsia="Narkisim" w:hAnsi="Narkisim"/>
          <w:b/>
          <w:bCs/>
          <w:rtl/>
        </w:rPr>
        <w:t>ר"ן</w:t>
      </w:r>
      <w:r w:rsidRPr="007119D6">
        <w:rPr>
          <w:rFonts w:ascii="Narkisim" w:eastAsia="Narkisim" w:hAnsi="Narkisim"/>
          <w:rtl/>
        </w:rPr>
        <w:t xml:space="preserve"> (כתובות שם) כת' [אף להלכה] דשלא בפניו חיישינן לחומרא ומספק בעי גט (וע' גיטין פט:). אבל הביא דהרי"ף והרמב"ם (אישות ד יג) לא חששו כלל שלא בפניו</w:t>
      </w:r>
      <w:r w:rsidRPr="007119D6">
        <w:rPr>
          <w:rFonts w:ascii="Narkisim" w:eastAsia="Narkisim" w:hAnsi="Narkisim"/>
        </w:rPr>
        <w:t>.</w:t>
      </w:r>
    </w:p>
  </w:footnote>
  <w:footnote w:id="7889">
    <w:p w14:paraId="39676F5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דומיא דתרי ותרי דאם נשאת לא תצא (ע' לעיל פח:), ועדיפא מיניה דהא היתר שלה ע"פ עצמה, וקולר תליא בה. אבל אינה ניתרת לכתחילה שלא בפניו</w:t>
      </w:r>
      <w:r w:rsidRPr="007119D6">
        <w:rPr>
          <w:rFonts w:ascii="Narkisim" w:hAnsi="Narkisim"/>
        </w:rPr>
        <w:t>.</w:t>
      </w:r>
    </w:p>
  </w:footnote>
  <w:footnote w:id="7890">
    <w:p w14:paraId="5028743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וכי יעלה על הדעת דמשום מעשה שהיה שאירע שמצאו כדבריה דמתוך כך הוחזקו כל הנשים לומר אמת באמרה מת בעלי</w:t>
      </w:r>
      <w:r w:rsidRPr="007119D6">
        <w:rPr>
          <w:rFonts w:ascii="Narkisim" w:hAnsi="Narkisim"/>
        </w:rPr>
        <w:t>.</w:t>
      </w:r>
    </w:p>
  </w:footnote>
  <w:footnote w:id="7891">
    <w:p w14:paraId="3AFF409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הו' בגמ' (שבת ס:) בגזירת סנדל המסומר בשבת, דלא גזרו בתענית ציבור, דדוקא כינופא דאיסורא גזרו. אבל ביו"ט גזרו. ואפי' דר' חנינא ב"ע דאמר לא אסרו אלא בירדן ובספינה וכמעשה שהיה, ה"מ ירדן דשאני משאר נהרות. אבל יום טוב ושבת כי הדדי נינהו</w:t>
      </w:r>
      <w:r w:rsidRPr="007119D6">
        <w:rPr>
          <w:rFonts w:ascii="Narkisim" w:hAnsi="Narkisim"/>
        </w:rPr>
        <w:t>.</w:t>
      </w:r>
    </w:p>
  </w:footnote>
  <w:footnote w:id="7892">
    <w:p w14:paraId="6D5EB0A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דתניא ר"א אומר מי חטאת שנטמאו מטהרין שכן נדה מזין עליה, ואף דהמים נטמאין בשעת הזאה. [מבואר בגמ' דרבנן פליגי, והטור”א כת' די"ל דהך ברייתא דלא כר”א]. והגמ' (זבחים, ע”פ פרש”י) מק' דההזאה וטומאת המים באין כא', והאיך ילפי' דמהני אף בנטמאו קודם הזאה. ורבה תי' דקאי כר"ע דמי חטאת שהעבירו ע"ג דבר טמא נטמא. ואביי תי' דר"א דן טומאה קדומה מטומאה באותה שעה. [ותלי במח' בניתז על הבגד, עי"ש]. ורבא תי' דסברת ר"א דהזאה צריכה שיעור, ומשהו הראשון נטמא מהנדה ואפ"ה מטהר, ומש"ה ילפי' למי נדה שנטמאו</w:t>
      </w:r>
      <w:r w:rsidRPr="007119D6">
        <w:rPr>
          <w:rFonts w:ascii="Narkisim" w:hAnsi="Narkisim"/>
        </w:rPr>
        <w:t>.</w:t>
      </w:r>
    </w:p>
  </w:footnote>
  <w:footnote w:id="7893">
    <w:p w14:paraId="64AD07C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טור"א</w:t>
      </w:r>
      <w:r w:rsidRPr="007119D6">
        <w:rPr>
          <w:rFonts w:ascii="Narkisim" w:hAnsi="Narkisim"/>
          <w:rtl/>
        </w:rPr>
        <w:t xml:space="preserve"> (חגיגה) תמה מ"ש טומאת מת. ואין לומר דכיון דנטמא מאבי אבות הטומאה חמיר, דהא אוכלין ומשקין וכל דבר שאין לו טהרה במקוה אינו נעשה אב הטומאה</w:t>
      </w:r>
      <w:r w:rsidRPr="007119D6">
        <w:rPr>
          <w:rFonts w:ascii="Narkisim" w:hAnsi="Narkisim"/>
        </w:rPr>
        <w:t>.</w:t>
      </w:r>
    </w:p>
  </w:footnote>
  <w:footnote w:id="7894">
    <w:p w14:paraId="5D0F83C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טור"א</w:t>
      </w:r>
      <w:r w:rsidRPr="007119D6">
        <w:rPr>
          <w:rFonts w:ascii="Narkisim" w:hAnsi="Narkisim"/>
          <w:rtl/>
        </w:rPr>
        <w:t xml:space="preserve"> (חגיגה) הק' דמעשה שהיה במי חטאת, דהיינו לאחר קידוש. ועוד דגזרו אף במי חטאת שלא יוליך בספינה</w:t>
      </w:r>
      <w:r w:rsidRPr="007119D6">
        <w:rPr>
          <w:rFonts w:ascii="Narkisim" w:hAnsi="Narkisim"/>
        </w:rPr>
        <w:t>.</w:t>
      </w:r>
    </w:p>
  </w:footnote>
  <w:footnote w:id="7895">
    <w:p w14:paraId="373E5AA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טור"א</w:t>
      </w:r>
      <w:r w:rsidRPr="007119D6">
        <w:rPr>
          <w:rFonts w:ascii="Narkisim" w:hAnsi="Narkisim"/>
          <w:rtl/>
        </w:rPr>
        <w:t xml:space="preserve"> (שם) דן דהניחא מי חטאת, אבל ל"ש קבלת טומאה באפר חטאת [וציין לתוס' יומא מח: ושו"ת הרשב"א א לב], וע"כ משום דבעינן הנחה במקום טהור</w:t>
      </w:r>
      <w:r w:rsidRPr="007119D6">
        <w:rPr>
          <w:rFonts w:ascii="Narkisim" w:hAnsi="Narkisim"/>
        </w:rPr>
        <w:t>.</w:t>
      </w:r>
    </w:p>
  </w:footnote>
  <w:footnote w:id="7896">
    <w:p w14:paraId="6E27B25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ורש"י על הרי"ף כת' עד א', אך הב"ח מחקו</w:t>
      </w:r>
      <w:r w:rsidRPr="007119D6">
        <w:rPr>
          <w:rFonts w:ascii="Narkisim" w:hAnsi="Narkisim"/>
        </w:rPr>
        <w:t>.</w:t>
      </w:r>
    </w:p>
  </w:footnote>
  <w:footnote w:id="7897">
    <w:p w14:paraId="03F0D9D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וכ"מ תוס' דאיירי באשה עצמה. [ויל"ד דהאשה עצמה תטול כתובתה משום גדר טענת ברי. וי"ל דשמא דיורשים הוה שמא טוב]</w:t>
      </w:r>
      <w:r w:rsidRPr="007119D6">
        <w:rPr>
          <w:rFonts w:ascii="Narkisim" w:hAnsi="Narkisim"/>
        </w:rPr>
        <w:t>.</w:t>
      </w:r>
    </w:p>
  </w:footnote>
  <w:footnote w:id="7898">
    <w:p w14:paraId="49E1F63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מהר"י ב"ל</w:t>
      </w:r>
      <w:r w:rsidRPr="007119D6">
        <w:rPr>
          <w:rFonts w:ascii="Narkisim" w:hAnsi="Narkisim"/>
          <w:rtl/>
        </w:rPr>
        <w:t xml:space="preserve"> (ב עה) הוכיח כן, דלמסקנא הטעם משום מדרש כתובה דתנשאי לאחר. ואף בהנך נשאת לאחר. [ומשמע מדבריו דאי משום ק"ו, י"ל דעכו"ם מסיח לפי תומו ל"ש ק"ו]</w:t>
      </w:r>
      <w:r w:rsidRPr="007119D6">
        <w:rPr>
          <w:rFonts w:ascii="Narkisim" w:hAnsi="Narkisim"/>
        </w:rPr>
        <w:t>.</w:t>
      </w:r>
    </w:p>
  </w:footnote>
  <w:footnote w:id="7899">
    <w:p w14:paraId="7CB0093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ויש שדנו דנאמנות האשה עצמה הוה מגדרי טענת ברי. וא”כ הוה חידוש גדול דמהני זכותי ממון דידה כלפי אחרים. ומה שייך בזה גדר ק"ו שנאמנת כלפיהם</w:t>
      </w:r>
      <w:r w:rsidRPr="007119D6">
        <w:rPr>
          <w:rFonts w:ascii="Narkisim" w:hAnsi="Narkisim"/>
        </w:rPr>
        <w:t>.</w:t>
      </w:r>
    </w:p>
  </w:footnote>
  <w:footnote w:id="7900">
    <w:p w14:paraId="085DEC9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ואי' (קידושין סד.) דהאב נאמן על בנו לאיסורין ולא לעונשין</w:t>
      </w:r>
      <w:r w:rsidRPr="007119D6">
        <w:rPr>
          <w:rFonts w:ascii="Narkisim" w:hAnsi="Narkisim"/>
        </w:rPr>
        <w:t>.</w:t>
      </w:r>
    </w:p>
  </w:footnote>
  <w:footnote w:id="7901">
    <w:p w14:paraId="1649B7C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וגדר פלגינן הוה באופן דיש נאמנות גמור, אלא דהוא פסול כלפי א</w:t>
      </w:r>
      <w:r w:rsidRPr="007119D6">
        <w:rPr>
          <w:rFonts w:ascii="Narkisim" w:hAnsi="Narkisim"/>
        </w:rPr>
        <w:t>'.</w:t>
      </w:r>
    </w:p>
  </w:footnote>
  <w:footnote w:id="7902">
    <w:p w14:paraId="251BB76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לכאורה כוונת בי"ש דאיסור חמיר מממון. ועוד יש שפי' דממון אפשר בחזרה</w:t>
      </w:r>
      <w:r w:rsidRPr="007119D6">
        <w:rPr>
          <w:rFonts w:ascii="Narkisim" w:hAnsi="Narkisim"/>
        </w:rPr>
        <w:t>.</w:t>
      </w:r>
    </w:p>
    <w:p w14:paraId="335835D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 xml:space="preserve">קובה"ע </w:t>
      </w:r>
      <w:r w:rsidRPr="007119D6">
        <w:rPr>
          <w:rFonts w:ascii="Narkisim" w:hAnsi="Narkisim"/>
          <w:rtl/>
        </w:rPr>
        <w:t xml:space="preserve">(לט ח) תמה דבאיסורין הולכין אחר הרוב, ואילו בממון אין הולכים אחר הרוב. וציין דעד"ז הק' </w:t>
      </w:r>
      <w:r w:rsidRPr="007119D6">
        <w:rPr>
          <w:rFonts w:ascii="Narkisim" w:hAnsi="Narkisim"/>
          <w:b/>
          <w:bCs/>
          <w:rtl/>
        </w:rPr>
        <w:t>תוס</w:t>
      </w:r>
      <w:r w:rsidRPr="007119D6">
        <w:rPr>
          <w:rFonts w:ascii="Narkisim" w:hAnsi="Narkisim"/>
          <w:rtl/>
        </w:rPr>
        <w:t>' (ב"מ כ:). ותוס' בתי' הא' כת' דבאשת איש החמירו טפי, ולא סמכו על רוב במים שאין להם סוף [מדרבנן]</w:t>
      </w:r>
      <w:r w:rsidRPr="007119D6">
        <w:rPr>
          <w:rFonts w:ascii="Narkisim" w:hAnsi="Narkisim"/>
        </w:rPr>
        <w:t>.</w:t>
      </w:r>
    </w:p>
    <w:p w14:paraId="5A16A597"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ולפ"ז הך ק"ו הוה מדרבנן, דכיון דרבנן הקילו באיסור אישות וסמכו על עדות עד א', כ"ש דמהני לענין ממון. [ויל"ד אי אף לכתובה מהני מדרבנן. או דכוונתם דאילו מדאורייתא ל"מ בממון לא היו חכמים מקילין באיסור אשת איש]</w:t>
      </w:r>
      <w:r w:rsidRPr="007119D6">
        <w:rPr>
          <w:rFonts w:ascii="Narkisim" w:hAnsi="Narkisim"/>
        </w:rPr>
        <w:t>.</w:t>
      </w:r>
    </w:p>
  </w:footnote>
  <w:footnote w:id="7903">
    <w:p w14:paraId="31DB70F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דבי"ה הק' דל"מ בממון, שאין האחין נכנסין לנחלה  ע"פ. וה</w:t>
      </w:r>
      <w:r w:rsidRPr="007119D6">
        <w:rPr>
          <w:rFonts w:ascii="Narkisim" w:hAnsi="Narkisim"/>
          <w:b/>
          <w:bCs/>
          <w:rtl/>
        </w:rPr>
        <w:t>מהרח"ש</w:t>
      </w:r>
      <w:r w:rsidRPr="007119D6">
        <w:rPr>
          <w:rFonts w:ascii="Narkisim" w:hAnsi="Narkisim"/>
          <w:rtl/>
        </w:rPr>
        <w:t xml:space="preserve"> ו</w:t>
      </w:r>
      <w:r w:rsidRPr="007119D6">
        <w:rPr>
          <w:rFonts w:ascii="Narkisim" w:hAnsi="Narkisim"/>
          <w:b/>
          <w:bCs/>
          <w:rtl/>
        </w:rPr>
        <w:t>מראות הצובאות</w:t>
      </w:r>
      <w:r w:rsidRPr="007119D6">
        <w:rPr>
          <w:rFonts w:ascii="Narkisim" w:hAnsi="Narkisim"/>
          <w:rtl/>
        </w:rPr>
        <w:t xml:space="preserve"> (יז קסד) תי' לדעת בי"ש דילפי' ק"ו דנאמן באותו גוף [נישואי האשה וכתובה], ואילו ירושה הוה גופא אחרינא</w:t>
      </w:r>
      <w:r w:rsidRPr="007119D6">
        <w:rPr>
          <w:rFonts w:ascii="Narkisim" w:hAnsi="Narkisim"/>
        </w:rPr>
        <w:t>.</w:t>
      </w:r>
    </w:p>
  </w:footnote>
  <w:footnote w:id="7904">
    <w:p w14:paraId="4A88944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וכ"ד ה</w:t>
      </w:r>
      <w:r w:rsidRPr="007119D6">
        <w:rPr>
          <w:rFonts w:ascii="Narkisim" w:hAnsi="Narkisim"/>
          <w:b/>
          <w:bCs/>
          <w:rtl/>
        </w:rPr>
        <w:t>או"ז</w:t>
      </w:r>
      <w:r w:rsidRPr="007119D6">
        <w:rPr>
          <w:rFonts w:ascii="Narkisim" w:hAnsi="Narkisim"/>
          <w:rtl/>
        </w:rPr>
        <w:t xml:space="preserve"> (ב תכח) וה</w:t>
      </w:r>
      <w:r w:rsidRPr="007119D6">
        <w:rPr>
          <w:rFonts w:ascii="Narkisim" w:hAnsi="Narkisim"/>
          <w:b/>
          <w:bCs/>
          <w:rtl/>
        </w:rPr>
        <w:t>רמב"ן</w:t>
      </w:r>
      <w:r w:rsidRPr="007119D6">
        <w:rPr>
          <w:rFonts w:ascii="Narkisim" w:hAnsi="Narkisim"/>
          <w:rtl/>
        </w:rPr>
        <w:t xml:space="preserve"> תורת האדם. אבל ב</w:t>
      </w:r>
      <w:r w:rsidRPr="007119D6">
        <w:rPr>
          <w:rFonts w:ascii="Narkisim" w:hAnsi="Narkisim"/>
          <w:b/>
          <w:bCs/>
          <w:rtl/>
        </w:rPr>
        <w:t>שו"ת הרי"ד</w:t>
      </w:r>
      <w:r w:rsidRPr="007119D6">
        <w:rPr>
          <w:rFonts w:ascii="Narkisim" w:hAnsi="Narkisim"/>
          <w:rtl/>
        </w:rPr>
        <w:t xml:space="preserve"> (עח) כת' דאין מתאבלין ע"פ עכו"ם מסל"ת</w:t>
      </w:r>
      <w:r w:rsidRPr="007119D6">
        <w:rPr>
          <w:rFonts w:ascii="Narkisim" w:hAnsi="Narkisim"/>
        </w:rPr>
        <w:t>.</w:t>
      </w:r>
    </w:p>
  </w:footnote>
  <w:footnote w:id="7905">
    <w:p w14:paraId="74AD79F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שאר אבילות משום לא פלוג</w:t>
      </w:r>
      <w:r w:rsidRPr="007119D6">
        <w:rPr>
          <w:rFonts w:ascii="Narkisim" w:hAnsi="Narkisim"/>
        </w:rPr>
        <w:t>.</w:t>
      </w:r>
    </w:p>
  </w:footnote>
  <w:footnote w:id="7906">
    <w:p w14:paraId="3E2D544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מהר"י ב"ל</w:t>
      </w:r>
      <w:r w:rsidRPr="007119D6">
        <w:rPr>
          <w:rFonts w:ascii="Narkisim" w:hAnsi="Narkisim"/>
          <w:rtl/>
        </w:rPr>
        <w:t xml:space="preserve"> וה</w:t>
      </w:r>
      <w:r w:rsidRPr="007119D6">
        <w:rPr>
          <w:rFonts w:ascii="Narkisim" w:hAnsi="Narkisim"/>
          <w:b/>
          <w:bCs/>
          <w:rtl/>
        </w:rPr>
        <w:t>מהרח"ש</w:t>
      </w:r>
      <w:r w:rsidRPr="007119D6">
        <w:rPr>
          <w:rFonts w:ascii="Narkisim" w:hAnsi="Narkisim"/>
          <w:rtl/>
        </w:rPr>
        <w:t xml:space="preserve"> (הו' בש”ש ז ב) הק' לקו' הגמ' דאיירי בעד א' [ע"פ תוס' דידן], א"כ אמאי לא תנשא אשתו. וה</w:t>
      </w:r>
      <w:r w:rsidRPr="007119D6">
        <w:rPr>
          <w:rFonts w:ascii="Narkisim" w:hAnsi="Narkisim"/>
          <w:b/>
          <w:bCs/>
          <w:rtl/>
        </w:rPr>
        <w:t>ש"ש</w:t>
      </w:r>
      <w:r w:rsidRPr="007119D6">
        <w:rPr>
          <w:rFonts w:ascii="Narkisim" w:hAnsi="Narkisim"/>
          <w:rtl/>
        </w:rPr>
        <w:t xml:space="preserve"> תי' דדעת תוס' דעד א' בעדות אשה הוה מדרבנן. ושפיר דרשי' קרא מדאורייתא</w:t>
      </w:r>
      <w:r w:rsidRPr="007119D6">
        <w:rPr>
          <w:rFonts w:ascii="Narkisim" w:hAnsi="Narkisim"/>
        </w:rPr>
        <w:t>.</w:t>
      </w:r>
    </w:p>
  </w:footnote>
  <w:footnote w:id="7907">
    <w:p w14:paraId="6C06BCF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(ב"מ שם בשם ר' מאיר) הק' אמאי לא העמידו הך ברייתא ברטושין, שהלך מדעת. וכת' דהוה יתור דרשא, לדרוש דאין מורידין. לאפוקי שלא נאמר כיון דנשבה בין העכו”ם קרוב לודאי שמת. ואיצטריך קרא דאין מורידין. אבל רטושין אין ריעותא כלל, ואמאי יורידו</w:t>
      </w:r>
      <w:r w:rsidRPr="007119D6">
        <w:rPr>
          <w:rFonts w:ascii="Narkisim" w:hAnsi="Narkisim"/>
        </w:rPr>
        <w:t>.</w:t>
      </w:r>
    </w:p>
  </w:footnote>
  <w:footnote w:id="7908">
    <w:p w14:paraId="598D6BF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(שם ד”ה אמר) כת' דהו"ל לגמ' (שם) להביא מתני' דהכא, ולתרץ לירד ולמכור</w:t>
      </w:r>
      <w:r w:rsidRPr="007119D6">
        <w:rPr>
          <w:rFonts w:ascii="Narkisim" w:hAnsi="Narkisim"/>
        </w:rPr>
        <w:t>.</w:t>
      </w:r>
    </w:p>
  </w:footnote>
  <w:footnote w:id="7909">
    <w:p w14:paraId="21748B6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א"נ התם קאי ע"פ עד כשר. ואילו הכא ע"פ האשה עצמה</w:t>
      </w:r>
      <w:r w:rsidRPr="007119D6">
        <w:rPr>
          <w:rFonts w:ascii="Narkisim" w:hAnsi="Narkisim"/>
        </w:rPr>
        <w:t>.</w:t>
      </w:r>
    </w:p>
  </w:footnote>
  <w:footnote w:id="7910">
    <w:p w14:paraId="0F1399C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וכדאי' דשבוי כולהו איתנהו ביה (ב"ב ח.) [וכוונתו לחד תי' ב</w:t>
      </w:r>
      <w:r w:rsidRPr="007119D6">
        <w:rPr>
          <w:rFonts w:ascii="Narkisim" w:hAnsi="Narkisim"/>
          <w:b/>
          <w:bCs/>
          <w:rtl/>
        </w:rPr>
        <w:t>תוס'</w:t>
      </w:r>
      <w:r w:rsidRPr="007119D6">
        <w:rPr>
          <w:rFonts w:ascii="Narkisim" w:hAnsi="Narkisim"/>
          <w:rtl/>
        </w:rPr>
        <w:t xml:space="preserve"> (גיטין כח. וב"מ לט:) דבשבוי חיישינן טפי ממיתה]</w:t>
      </w:r>
      <w:r w:rsidRPr="007119D6">
        <w:rPr>
          <w:rFonts w:ascii="Narkisim" w:hAnsi="Narkisim"/>
        </w:rPr>
        <w:t>.</w:t>
      </w:r>
    </w:p>
  </w:footnote>
  <w:footnote w:id="7911">
    <w:p w14:paraId="7DFF07B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וציין לדברי ה</w:t>
      </w:r>
      <w:r w:rsidRPr="007119D6">
        <w:rPr>
          <w:rFonts w:ascii="Narkisim" w:hAnsi="Narkisim"/>
          <w:b/>
          <w:bCs/>
          <w:rtl/>
        </w:rPr>
        <w:t>רמב"ם</w:t>
      </w:r>
      <w:r w:rsidRPr="007119D6">
        <w:rPr>
          <w:rFonts w:ascii="Narkisim" w:hAnsi="Narkisim"/>
          <w:rtl/>
        </w:rPr>
        <w:t xml:space="preserve"> (רוצח ו ה) דעד א' פוטר בנפשות. דבזה לא אמרי' לא יקום עד א' באיש. [אך כת' דהכא בעינן ג"כ ריעותא דשבוי, דאל"כ בי"ד אינם דנים]</w:t>
      </w:r>
      <w:r w:rsidRPr="007119D6">
        <w:rPr>
          <w:rFonts w:ascii="Narkisim" w:hAnsi="Narkisim"/>
        </w:rPr>
        <w:t>.</w:t>
      </w:r>
    </w:p>
  </w:footnote>
  <w:footnote w:id="7912">
    <w:p w14:paraId="3BD8AA1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וכ"כ </w:t>
      </w:r>
      <w:r w:rsidRPr="007119D6">
        <w:rPr>
          <w:rFonts w:ascii="Narkisim" w:hAnsi="Narkisim"/>
          <w:b/>
          <w:bCs/>
          <w:rtl/>
        </w:rPr>
        <w:t>תוס'</w:t>
      </w:r>
      <w:r w:rsidRPr="007119D6">
        <w:rPr>
          <w:rFonts w:ascii="Narkisim" w:hAnsi="Narkisim"/>
          <w:rtl/>
        </w:rPr>
        <w:t xml:space="preserve"> (כתובות קז.) וההוא שמעו בו שמת היינו בעד א', דאי בב' עדים מאי חידוש הוא, הלא הם יורשים אותו</w:t>
      </w:r>
      <w:r w:rsidRPr="007119D6">
        <w:rPr>
          <w:rFonts w:ascii="Narkisim" w:hAnsi="Narkisim"/>
        </w:rPr>
        <w:t>.</w:t>
      </w:r>
    </w:p>
    <w:p w14:paraId="0201F253"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w:t>
      </w:r>
      <w:r w:rsidRPr="007119D6">
        <w:rPr>
          <w:rFonts w:ascii="Narkisim" w:hAnsi="Narkisim"/>
          <w:b/>
          <w:bCs/>
          <w:rtl/>
        </w:rPr>
        <w:t>תוס'</w:t>
      </w:r>
      <w:r w:rsidRPr="007119D6">
        <w:rPr>
          <w:rFonts w:ascii="Narkisim" w:hAnsi="Narkisim"/>
          <w:rtl/>
        </w:rPr>
        <w:t xml:space="preserve"> (ב"מ לח: ד"ה בששמעו) כת' בקול ועד א' [לכאורה היינו קול או עד א', ואף קול לחוד נחשב שמעו שמת. ודלא כתוס' דידן דעד א' עדיף מקול]</w:t>
      </w:r>
      <w:r w:rsidRPr="007119D6">
        <w:rPr>
          <w:rFonts w:ascii="Narkisim" w:hAnsi="Narkisim"/>
        </w:rPr>
        <w:t>.</w:t>
      </w:r>
    </w:p>
  </w:footnote>
  <w:footnote w:id="7913">
    <w:p w14:paraId="1FBA15F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הרא"ש</w:t>
      </w:r>
      <w:r w:rsidRPr="007119D6">
        <w:rPr>
          <w:rFonts w:ascii="Narkisim" w:hAnsi="Narkisim"/>
          <w:rtl/>
        </w:rPr>
        <w:t xml:space="preserve"> (כאן) תי' על קו' זו דקאי התם לירד ולאכול. ואילו בסוגיין לירד ולמכור</w:t>
      </w:r>
      <w:r w:rsidRPr="007119D6">
        <w:rPr>
          <w:rFonts w:ascii="Narkisim" w:hAnsi="Narkisim"/>
        </w:rPr>
        <w:t>.</w:t>
      </w:r>
    </w:p>
  </w:footnote>
  <w:footnote w:id="7914">
    <w:p w14:paraId="40E8BCC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חי' הר"ן</w:t>
      </w:r>
      <w:r w:rsidRPr="007119D6">
        <w:rPr>
          <w:rFonts w:ascii="Narkisim" w:hAnsi="Narkisim"/>
          <w:rtl/>
        </w:rPr>
        <w:t xml:space="preserve"> (שם) הוסיף דהוה אבידה מדעת</w:t>
      </w:r>
      <w:r w:rsidRPr="007119D6">
        <w:rPr>
          <w:rFonts w:ascii="Narkisim" w:hAnsi="Narkisim"/>
        </w:rPr>
        <w:t>.</w:t>
      </w:r>
    </w:p>
  </w:footnote>
  <w:footnote w:id="7915">
    <w:p w14:paraId="3BA01E2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וע"ע דעת הרמב"ם (נחלות ז ד,י) והראב"ד וה"ה שם</w:t>
      </w:r>
      <w:r w:rsidRPr="007119D6">
        <w:rPr>
          <w:rFonts w:ascii="Narkisim" w:hAnsi="Narkisim"/>
        </w:rPr>
        <w:t>.</w:t>
      </w:r>
    </w:p>
  </w:footnote>
  <w:footnote w:id="7916">
    <w:p w14:paraId="08B1868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ויש </w:t>
      </w:r>
      <w:r w:rsidRPr="007119D6">
        <w:rPr>
          <w:rFonts w:ascii="Narkisim" w:hAnsi="Narkisim"/>
          <w:b/>
          <w:bCs/>
          <w:rtl/>
        </w:rPr>
        <w:t>אחרונים</w:t>
      </w:r>
      <w:r w:rsidRPr="007119D6">
        <w:rPr>
          <w:rFonts w:ascii="Narkisim" w:hAnsi="Narkisim"/>
          <w:rtl/>
        </w:rPr>
        <w:t xml:space="preserve"> דהמשנה נקטה אחים לאפוקי יבם, וכדברי רב חסדא דיבם יורד לנחלה, דדרשי' מדרש תורה. ואף בי"ה מודים בזה. אך יש שנקטו דהמשנה להיפך, דיבם הוה בכלל אחים, ובי"ה [למשנה ראשונה] לא דרשי' מדרש כלל</w:t>
      </w:r>
      <w:r w:rsidRPr="007119D6">
        <w:rPr>
          <w:rFonts w:ascii="Narkisim" w:hAnsi="Narkisim"/>
        </w:rPr>
        <w:t>.</w:t>
      </w:r>
    </w:p>
  </w:footnote>
  <w:footnote w:id="7917">
    <w:p w14:paraId="1D83948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דסוף סוף אינה נאמנת [לענין נחלה] דהבן מת</w:t>
      </w:r>
      <w:r w:rsidRPr="007119D6">
        <w:rPr>
          <w:rFonts w:ascii="Narkisim" w:hAnsi="Narkisim"/>
        </w:rPr>
        <w:t>.</w:t>
      </w:r>
    </w:p>
  </w:footnote>
  <w:footnote w:id="7918">
    <w:p w14:paraId="5BE5FFE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וצ"ב דכלפי האחים מה שנא אשתו או שאר עד</w:t>
      </w:r>
      <w:r w:rsidRPr="007119D6">
        <w:rPr>
          <w:rFonts w:ascii="Narkisim" w:hAnsi="Narkisim"/>
        </w:rPr>
        <w:t>.</w:t>
      </w:r>
    </w:p>
  </w:footnote>
  <w:footnote w:id="7919">
    <w:p w14:paraId="2197C46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תשב”ץ</w:t>
      </w:r>
      <w:r w:rsidRPr="007119D6">
        <w:rPr>
          <w:rFonts w:ascii="Narkisim" w:hAnsi="Narkisim"/>
          <w:rtl/>
        </w:rPr>
        <w:t xml:space="preserve"> (א פב) הביא דבגמ' (גיטין יט:) מבואר דב' עכו"ם במסל"ת זה שלא בפני זה מהני אף להוצאת ממון. וכת' דכ"ש אילו יש ב' עכו"ם במסל"ת זה שלא בפני זה יהני לירושה, במילתא דעבידא לאגלויי</w:t>
      </w:r>
      <w:r w:rsidRPr="007119D6">
        <w:rPr>
          <w:rFonts w:ascii="Narkisim" w:hAnsi="Narkisim"/>
        </w:rPr>
        <w:t>.</w:t>
      </w:r>
    </w:p>
  </w:footnote>
  <w:footnote w:id="7920">
    <w:p w14:paraId="5656315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בשו"ת הרי"ף נד משמע דאין יורשין אלא ע”פ ראיה ברורה]. וה</w:t>
      </w:r>
      <w:r w:rsidRPr="007119D6">
        <w:rPr>
          <w:rFonts w:ascii="Narkisim" w:hAnsi="Narkisim"/>
          <w:b/>
          <w:bCs/>
          <w:rtl/>
        </w:rPr>
        <w:t>גר"א</w:t>
      </w:r>
      <w:r w:rsidRPr="007119D6">
        <w:rPr>
          <w:rFonts w:ascii="Narkisim" w:hAnsi="Narkisim"/>
          <w:rtl/>
        </w:rPr>
        <w:t xml:space="preserve"> (יז קטז) כת' הטעם דאזלי' בתר רובא דשכיחא אף בממונא. וציין (כתובות טו:) דתינוק שנמצא במקום שרוב ישראל מחזיר לו אבידתו, וכן דינו כישראל לענין נזיקין. [וצ”ע שם, אכמ”ל]. ודוקא בספק אשת איש אזלי' בתר חששות רחוקות</w:t>
      </w:r>
      <w:r w:rsidRPr="007119D6">
        <w:rPr>
          <w:rFonts w:ascii="Narkisim" w:hAnsi="Narkisim"/>
        </w:rPr>
        <w:t>.</w:t>
      </w:r>
    </w:p>
  </w:footnote>
  <w:footnote w:id="7921">
    <w:p w14:paraId="43B041A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העירו דלכאורה תלי בספק אי סימנים דאורייתא. ועוד דמבואר דסימנים מהני להוציא ממון [אי נימא דלהעביר ליורשים נחשב הוצאת ממון]. ועד"ז תמה ה</w:t>
      </w:r>
      <w:r w:rsidRPr="007119D6">
        <w:rPr>
          <w:rFonts w:ascii="Narkisim" w:hAnsi="Narkisim"/>
          <w:b/>
          <w:bCs/>
          <w:rtl/>
        </w:rPr>
        <w:t>קצות</w:t>
      </w:r>
      <w:r w:rsidRPr="007119D6">
        <w:rPr>
          <w:rFonts w:ascii="Narkisim" w:hAnsi="Narkisim"/>
          <w:rtl/>
        </w:rPr>
        <w:t xml:space="preserve"> (רנט ב). והקצות חידש [בדעת הרמב"ם] דהספק אי סימנים דאורייתא הוא משום חשש משקר [דמיחזי חזי או כסומא בארובה], ואילו הכא איירי דיש עדות על הסימנים. וכה"ג מוציאים ממון ע"פ סימנים, ולא חיישינן דאתרמי אחר כזה, אלא בעדות אשה משום חומרא דכרת</w:t>
      </w:r>
      <w:r w:rsidRPr="007119D6">
        <w:rPr>
          <w:rFonts w:ascii="Narkisim" w:hAnsi="Narkisim"/>
        </w:rPr>
        <w:t>.</w:t>
      </w:r>
    </w:p>
    <w:p w14:paraId="5BD39C73"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ויש אחרונים שהביאו מדברי הרמב"ם דלהעביר הירושה ליורשים לא נחשב הוצאת ממון, כיון דהוא אינו לפנינו, והוחזק שמת. [אך אפ”ה ל"מ עד א', וכדאי' במשנה. אבל סימנים מהני. וצ”ע]</w:t>
      </w:r>
      <w:r w:rsidRPr="007119D6">
        <w:rPr>
          <w:rFonts w:ascii="Narkisim" w:hAnsi="Narkisim"/>
        </w:rPr>
        <w:t>.</w:t>
      </w:r>
    </w:p>
  </w:footnote>
  <w:footnote w:id="7922">
    <w:p w14:paraId="6025E07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דכזה מעשים בכל יום בכל בתי דינין, ולא שמענו מי שחלק בדבר זה</w:t>
      </w:r>
      <w:r w:rsidRPr="007119D6">
        <w:rPr>
          <w:rFonts w:ascii="Narkisim" w:hAnsi="Narkisim"/>
        </w:rPr>
        <w:t>.</w:t>
      </w:r>
    </w:p>
  </w:footnote>
  <w:footnote w:id="7923">
    <w:p w14:paraId="2821E6C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הרשב"א</w:t>
      </w:r>
      <w:r w:rsidRPr="007119D6">
        <w:rPr>
          <w:rFonts w:ascii="Narkisim" w:hAnsi="Narkisim"/>
          <w:rtl/>
        </w:rPr>
        <w:t xml:space="preserve"> (ב לב, הו' בב”י) כת' הטעם דכל היכא דנשאת לא תצא קרינן לכשתנשאי לאחר. ובפשוטו משמע דהוה טעם לדברי השו"ע. אבל ה</w:t>
      </w:r>
      <w:r w:rsidRPr="007119D6">
        <w:rPr>
          <w:rFonts w:ascii="Narkisim" w:hAnsi="Narkisim"/>
          <w:b/>
          <w:bCs/>
          <w:rtl/>
        </w:rPr>
        <w:t>בי"ש</w:t>
      </w:r>
      <w:r w:rsidRPr="007119D6">
        <w:rPr>
          <w:rFonts w:ascii="Narkisim" w:hAnsi="Narkisim"/>
          <w:rtl/>
        </w:rPr>
        <w:t xml:space="preserve"> (שם קז) דייק דהרשב"א איירי דוקא אם נשאת כבר. דאיירי בעד א' שטבע, דאסורה לינשא מדרבנן ולא קרינן לכשתנשאי לאחר. ודוקא אי כבר נשאת, והדין דלא תצא נחשב לכשתנשאי. ואילו בהג' מרדכי והשו"ע איירי בב' עדים שטבע, ואפי' לא נשאת</w:t>
      </w:r>
      <w:r w:rsidRPr="007119D6">
        <w:rPr>
          <w:rFonts w:ascii="Narkisim" w:hAnsi="Narkisim"/>
        </w:rPr>
        <w:t>.</w:t>
      </w:r>
    </w:p>
    <w:p w14:paraId="379FA2E2"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אבה"א</w:t>
      </w:r>
      <w:r w:rsidRPr="007119D6">
        <w:rPr>
          <w:rFonts w:ascii="Narkisim" w:hAnsi="Narkisim"/>
          <w:rtl/>
        </w:rPr>
        <w:t xml:space="preserve"> (נחלות ז) דייק דכל הנשאת ע"פ א' דמדין מדרש כתובה נוטלת כתובתה לאחר שתנשא. דוקא היכא שיש לה עדים שמת בעלה נוטלת כתובתה מיד שנתברר שמת. [וצ”ע מנ”ל]</w:t>
      </w:r>
      <w:r w:rsidRPr="007119D6">
        <w:rPr>
          <w:rFonts w:ascii="Narkisim" w:hAnsi="Narkisim"/>
        </w:rPr>
        <w:t>.</w:t>
      </w:r>
    </w:p>
  </w:footnote>
  <w:footnote w:id="7924">
    <w:p w14:paraId="0238873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וכמ"ש רש"י והראשונים שם, וכ"מ בגמ' דדנו דהוה משביע עדי קרקע</w:t>
      </w:r>
      <w:r w:rsidRPr="007119D6">
        <w:rPr>
          <w:rFonts w:ascii="Narkisim" w:hAnsi="Narkisim"/>
        </w:rPr>
        <w:t>.</w:t>
      </w:r>
    </w:p>
  </w:footnote>
  <w:footnote w:id="7925">
    <w:p w14:paraId="4DA88EB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קובה"ע</w:t>
      </w:r>
      <w:r w:rsidRPr="007119D6">
        <w:rPr>
          <w:rFonts w:ascii="Narkisim" w:hAnsi="Narkisim"/>
          <w:rtl/>
        </w:rPr>
        <w:t xml:space="preserve"> תמה הגע עצמך, אם א' חייב עצמו מנה ע"מ שיעיד לוי בבי"ד, ודאי לא יתחייב לוי קרבן שבועה אם לא העיד, אף שבזה הפסיד לראובן מנה. דל"ש שבועת העדות אלא באופן שנאמן בתורת עדות, ולא באופן כה"ג שהיה זוכה במנה מתורת קיום התנאי ולא מתורת עדות</w:t>
      </w:r>
      <w:r w:rsidRPr="007119D6">
        <w:rPr>
          <w:rFonts w:ascii="Narkisim" w:hAnsi="Narkisim"/>
        </w:rPr>
        <w:t>.</w:t>
      </w:r>
    </w:p>
    <w:p w14:paraId="5677E9BC" w14:textId="77777777" w:rsidR="006C4368" w:rsidRPr="007119D6" w:rsidRDefault="006C4368" w:rsidP="006C4368">
      <w:pPr>
        <w:pStyle w:val="Footnote"/>
        <w:bidi/>
        <w:rPr>
          <w:rFonts w:ascii="Narkisim" w:hAnsi="Narkisim"/>
        </w:rPr>
      </w:pPr>
      <w:r w:rsidRPr="007119D6">
        <w:rPr>
          <w:rFonts w:ascii="Narkisim" w:hAnsi="Narkisim"/>
        </w:rPr>
        <w:tab/>
        <w:t>[</w:t>
      </w:r>
      <w:r w:rsidRPr="007119D6">
        <w:rPr>
          <w:rFonts w:ascii="Narkisim" w:hAnsi="Narkisim"/>
          <w:rtl/>
        </w:rPr>
        <w:t>והביא ראיה לזה מדברי הריטב"א וראשונים (שבועות לג:) מנה מניתי לך בפני פלוני ופלוני, יבואו פלוני ופלוני ויעידו, דדנו בגדר הימניה. ומבואר דאם יתחייב ע"פ העדים משום קיום תנאי ולא משום נאמנותם, לא יתחייבו העדים בקרבן שבועה</w:t>
      </w:r>
      <w:r w:rsidRPr="007119D6">
        <w:rPr>
          <w:rFonts w:ascii="Narkisim" w:hAnsi="Narkisim"/>
        </w:rPr>
        <w:t>].</w:t>
      </w:r>
    </w:p>
  </w:footnote>
  <w:footnote w:id="7926">
    <w:p w14:paraId="514EA75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ולענין היתר נישואין אנו מאמינין לעד שמת הבעל, ולענין נחלה מחזיקין את הבעל בחזקת חי, ואף דאין מיתה לחצאין וסותר</w:t>
      </w:r>
      <w:r w:rsidRPr="007119D6">
        <w:rPr>
          <w:rFonts w:ascii="Narkisim" w:hAnsi="Narkisim"/>
        </w:rPr>
        <w:t>.</w:t>
      </w:r>
    </w:p>
  </w:footnote>
  <w:footnote w:id="7927">
    <w:p w14:paraId="517595F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ודדוקא גבי נחלה פלגינן, דדין הנחלה אינו בתולדה מכח היתר נישואין, ולא ההיתר מכח דין נחלה, אלא ששניהן תלוין במיתת הבעל</w:t>
      </w:r>
      <w:r w:rsidRPr="007119D6">
        <w:rPr>
          <w:rFonts w:ascii="Narkisim" w:hAnsi="Narkisim"/>
        </w:rPr>
        <w:t>.</w:t>
      </w:r>
    </w:p>
  </w:footnote>
  <w:footnote w:id="7928">
    <w:p w14:paraId="2707A9E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דאפי' הבעל חי, אם היא מותרת לינשא נוטלת כתובה, וכמו בגט. וכן להיפוך, אם אינה מותרת להינשא אינה נוטלת כתובה אפי' אם הבעל מת, כמו בשומרת יבם. ומבואר דלענין כתובה, מיתת הבעל לא מעלה ולא מורדת, והכל תלוי אם היא מותרת לינשא</w:t>
      </w:r>
      <w:r w:rsidRPr="007119D6">
        <w:rPr>
          <w:rFonts w:ascii="Narkisim" w:hAnsi="Narkisim"/>
        </w:rPr>
        <w:t>.</w:t>
      </w:r>
    </w:p>
  </w:footnote>
  <w:footnote w:id="7929">
    <w:p w14:paraId="6C0EF0F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דל"ש פלגינן לומר דמותרת לינשא בפועל, אבל כלפי הכתובה אסורה לינשא</w:t>
      </w:r>
      <w:r w:rsidRPr="007119D6">
        <w:rPr>
          <w:rFonts w:ascii="Narkisim" w:hAnsi="Narkisim"/>
        </w:rPr>
        <w:t>.</w:t>
      </w:r>
    </w:p>
  </w:footnote>
  <w:footnote w:id="7930">
    <w:p w14:paraId="143E337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פי' דאינה גובה נכסי צאן ברזל. וכ"כ רוב ה</w:t>
      </w:r>
      <w:r w:rsidRPr="007119D6">
        <w:rPr>
          <w:rFonts w:ascii="Narkisim" w:hAnsi="Narkisim"/>
          <w:b/>
          <w:bCs/>
          <w:rtl/>
        </w:rPr>
        <w:t>פוסקים</w:t>
      </w:r>
      <w:r w:rsidRPr="007119D6">
        <w:rPr>
          <w:rFonts w:ascii="Narkisim" w:hAnsi="Narkisim"/>
          <w:rtl/>
        </w:rPr>
        <w:t xml:space="preserve"> בכוונתם. אבל הביאו דה</w:t>
      </w:r>
      <w:r w:rsidRPr="007119D6">
        <w:rPr>
          <w:rFonts w:ascii="Narkisim" w:hAnsi="Narkisim"/>
          <w:b/>
          <w:bCs/>
          <w:rtl/>
        </w:rPr>
        <w:t>מהר"ם חביב</w:t>
      </w:r>
      <w:r w:rsidRPr="007119D6">
        <w:rPr>
          <w:rFonts w:ascii="Narkisim" w:hAnsi="Narkisim"/>
          <w:rtl/>
        </w:rPr>
        <w:t xml:space="preserve"> (ד) הביא דבריהם דכ"ש דגובה צאן ברזל [עיקר כתובה, וכ"ש נכסי צ"ב שהכניסה לבעל. ודוקא תוספת כתובה אינה גובה]</w:t>
      </w:r>
      <w:r w:rsidRPr="007119D6">
        <w:rPr>
          <w:rFonts w:ascii="Narkisim" w:hAnsi="Narkisim"/>
        </w:rPr>
        <w:t>.</w:t>
      </w:r>
    </w:p>
  </w:footnote>
  <w:footnote w:id="7931">
    <w:p w14:paraId="3148C42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וכן כמה </w:t>
      </w:r>
      <w:r w:rsidRPr="007119D6">
        <w:rPr>
          <w:rFonts w:ascii="Narkisim" w:hAnsi="Narkisim"/>
          <w:b/>
          <w:bCs/>
          <w:rtl/>
        </w:rPr>
        <w:t>אחרונים</w:t>
      </w:r>
      <w:r w:rsidRPr="007119D6">
        <w:rPr>
          <w:rFonts w:ascii="Narkisim" w:hAnsi="Narkisim"/>
          <w:rtl/>
        </w:rPr>
        <w:t xml:space="preserve"> דייקו מלשון הרמב"ם. ועפ"ז צריך לחלק בין מדרש כתובה דסוגיין, לבין אומרת מת בעלה</w:t>
      </w:r>
      <w:r w:rsidRPr="007119D6">
        <w:rPr>
          <w:rFonts w:ascii="Narkisim" w:hAnsi="Narkisim"/>
        </w:rPr>
        <w:t>.</w:t>
      </w:r>
    </w:p>
  </w:footnote>
  <w:footnote w:id="7932">
    <w:p w14:paraId="4F9AE6C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דהבנות אינן נזונות אלא לאחר מיתת אביהם, כדתנן (כתובות מט.)</w:t>
      </w:r>
      <w:r w:rsidRPr="007119D6">
        <w:rPr>
          <w:rFonts w:ascii="Narkisim" w:hAnsi="Narkisim"/>
        </w:rPr>
        <w:t>.</w:t>
      </w:r>
    </w:p>
  </w:footnote>
  <w:footnote w:id="7933">
    <w:p w14:paraId="0494913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ועוד כת' ב</w:t>
      </w:r>
      <w:r w:rsidRPr="007119D6">
        <w:rPr>
          <w:rFonts w:ascii="Narkisim" w:hAnsi="Narkisim"/>
          <w:b/>
          <w:bCs/>
          <w:rtl/>
        </w:rPr>
        <w:t>מראה הפנים</w:t>
      </w:r>
      <w:r w:rsidRPr="007119D6">
        <w:rPr>
          <w:rFonts w:ascii="Narkisim" w:hAnsi="Narkisim"/>
          <w:rtl/>
        </w:rPr>
        <w:t xml:space="preserve"> דלא עדיף בנות מבנים, דאין יורדים לנחלה על פיו. [וכן קצת משמע בירושלמי דהנידון דהוקש (במשנה כתובות שם) מזונות הבנות דומיא דירושת הבנים. והבנים אינם יורשים ע"פ עד א']</w:t>
      </w:r>
      <w:r w:rsidRPr="007119D6">
        <w:rPr>
          <w:rFonts w:ascii="Narkisim" w:hAnsi="Narkisim"/>
        </w:rPr>
        <w:t>.</w:t>
      </w:r>
    </w:p>
  </w:footnote>
  <w:footnote w:id="7934">
    <w:p w14:paraId="529325B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בשו"ת הרי"ף נד כת' דאינה נזונת אלא בעדות]. וב</w:t>
      </w:r>
      <w:r w:rsidRPr="007119D6">
        <w:rPr>
          <w:rFonts w:ascii="Narkisim" w:hAnsi="Narkisim"/>
          <w:b/>
          <w:bCs/>
          <w:rtl/>
        </w:rPr>
        <w:t>שיירי קרבן</w:t>
      </w:r>
      <w:r w:rsidRPr="007119D6">
        <w:rPr>
          <w:rFonts w:ascii="Narkisim" w:hAnsi="Narkisim"/>
          <w:rtl/>
        </w:rPr>
        <w:t xml:space="preserve"> (שם) כת' די"ל דה</w:t>
      </w:r>
      <w:r w:rsidRPr="007119D6">
        <w:rPr>
          <w:rFonts w:ascii="Narkisim" w:hAnsi="Narkisim"/>
          <w:b/>
          <w:bCs/>
          <w:rtl/>
        </w:rPr>
        <w:t>פוסקים</w:t>
      </w:r>
      <w:r w:rsidRPr="007119D6">
        <w:rPr>
          <w:rFonts w:ascii="Narkisim" w:hAnsi="Narkisim"/>
          <w:rtl/>
        </w:rPr>
        <w:t xml:space="preserve"> סמכו אהא דבגמ' (כתובות נד:) חשיב כמה מילי דתנאי כתובה ככתובה, ולא הזכירו הך דהכא</w:t>
      </w:r>
      <w:r w:rsidRPr="007119D6">
        <w:rPr>
          <w:rFonts w:ascii="Narkisim" w:hAnsi="Narkisim"/>
        </w:rPr>
        <w:t>.</w:t>
      </w:r>
    </w:p>
  </w:footnote>
  <w:footnote w:id="7935">
    <w:p w14:paraId="721BF08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מהר"י בן לב</w:t>
      </w:r>
      <w:r w:rsidRPr="007119D6">
        <w:rPr>
          <w:rFonts w:ascii="Narkisim" w:hAnsi="Narkisim"/>
          <w:rtl/>
        </w:rPr>
        <w:t xml:space="preserve"> (ב עה) הביא בשם </w:t>
      </w:r>
      <w:r w:rsidRPr="007119D6">
        <w:rPr>
          <w:rFonts w:ascii="Narkisim" w:hAnsi="Narkisim"/>
          <w:b/>
          <w:bCs/>
          <w:rtl/>
        </w:rPr>
        <w:t xml:space="preserve">ר' ירוחם </w:t>
      </w:r>
      <w:r w:rsidRPr="007119D6">
        <w:rPr>
          <w:rFonts w:ascii="Narkisim" w:hAnsi="Narkisim"/>
          <w:rtl/>
        </w:rPr>
        <w:t>דגובה רק עיקר כתובה מלקוחות. ולא תוספת ונכסי מלוג וצ"ב. [דאינה גובה אפי' מבני חורין, וכת' דהוה כדברי הריטב"א הו' לעיל]. אך הביא דנהגו לגבות אף תוספת ונדוניא, וכדעת הפוסקים החולקים. וכת' דהמנהג עיקר בדיני כתובה. [והמראות צובאות יז קסה האריך בזה].</w:t>
      </w:r>
    </w:p>
  </w:footnote>
  <w:footnote w:id="7936">
    <w:p w14:paraId="34E6F9E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[והוכיח דאל"כ היכי גבינן מיניה שלא בפניו]. וה</w:t>
      </w:r>
      <w:r w:rsidRPr="007119D6">
        <w:rPr>
          <w:rFonts w:ascii="Narkisim" w:hAnsi="Narkisim"/>
          <w:b/>
          <w:bCs/>
          <w:rtl/>
        </w:rPr>
        <w:t>רשב"א</w:t>
      </w:r>
      <w:r w:rsidRPr="007119D6">
        <w:rPr>
          <w:rFonts w:ascii="Narkisim" w:hAnsi="Narkisim"/>
          <w:rtl/>
        </w:rPr>
        <w:t xml:space="preserve"> דן דהאשה המביאה גט באר"י דמותרת לינשא (כדתנן ריש גיטין), ואפ"ה אינה גובה מלקוחות בלא קיום. והשואל (שם) הק' נדרוש מדרש כתובה לכשתנשאי לאחר. והרשב"א תי' דהתם אי אתי בעל ומערער אסורה, ומש"ה לא נחשב 'שתנשאי' לחלוטין</w:t>
      </w:r>
      <w:r w:rsidRPr="007119D6">
        <w:rPr>
          <w:rFonts w:ascii="Narkisim" w:hAnsi="Narkisim"/>
        </w:rPr>
        <w:t>.</w:t>
      </w:r>
    </w:p>
  </w:footnote>
  <w:footnote w:id="7937">
    <w:p w14:paraId="1C0D056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כשמתה [ואינה עומדת ליבום], לא קוברים אותה מכתובתה מדין ממ"נ</w:t>
      </w:r>
      <w:r w:rsidRPr="007119D6">
        <w:rPr>
          <w:rFonts w:ascii="Narkisim" w:hAnsi="Narkisim"/>
        </w:rPr>
        <w:t>.</w:t>
      </w:r>
    </w:p>
  </w:footnote>
  <w:footnote w:id="7938">
    <w:p w14:paraId="3A942F8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ראב”ד</w:t>
      </w:r>
      <w:r w:rsidRPr="007119D6">
        <w:rPr>
          <w:rFonts w:ascii="Narkisim" w:hAnsi="Narkisim"/>
          <w:rtl/>
        </w:rPr>
        <w:t xml:space="preserve"> (נחלות ז ג) כת' גבי נפל למים שאין להם סוף דאינה גובה כתובתה</w:t>
      </w:r>
      <w:r w:rsidRPr="007119D6">
        <w:rPr>
          <w:rFonts w:ascii="Narkisim" w:hAnsi="Narkisim"/>
        </w:rPr>
        <w:t>.</w:t>
      </w:r>
    </w:p>
  </w:footnote>
  <w:footnote w:id="7939">
    <w:p w14:paraId="61EF5CD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דהא אף הלל הזקן [ע' תוס' בסמוך] דרש מדרש כתובה</w:t>
      </w:r>
      <w:r w:rsidRPr="007119D6">
        <w:rPr>
          <w:rFonts w:ascii="Narkisim" w:hAnsi="Narkisim"/>
        </w:rPr>
        <w:t>.</w:t>
      </w:r>
    </w:p>
  </w:footnote>
  <w:footnote w:id="7940">
    <w:p w14:paraId="36C8F93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(כאן) ביאר דסברא הוא שבעל השטר לא הכתיב בשטרו דהיינו הכתובה דבר לחובתו אלא לזכותו</w:t>
      </w:r>
      <w:r w:rsidRPr="007119D6">
        <w:rPr>
          <w:rFonts w:ascii="Narkisim" w:hAnsi="Narkisim"/>
        </w:rPr>
        <w:t>.</w:t>
      </w:r>
    </w:p>
  </w:footnote>
  <w:footnote w:id="7941">
    <w:p w14:paraId="570EC39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ותוס' הוסיפו דקי"ל כבי"ש דדרשי' מדרש כתובה [בכל אופן]</w:t>
      </w:r>
      <w:r w:rsidRPr="007119D6">
        <w:rPr>
          <w:rFonts w:ascii="Narkisim" w:hAnsi="Narkisim"/>
        </w:rPr>
        <w:t>.</w:t>
      </w:r>
    </w:p>
  </w:footnote>
  <w:footnote w:id="7942">
    <w:p w14:paraId="6C738D8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ואפשר ליישב קו' התוס' דבי"ש אמרו להדיא דמספר כתובה נלמד, משמע דדרשי' 'מדרש כתובה'. ואילו חזרו בי”ה במקצת, דהכא לא הוה מדרש בעלמא</w:t>
      </w:r>
      <w:r w:rsidRPr="007119D6">
        <w:rPr>
          <w:rFonts w:ascii="Narkisim" w:hAnsi="Narkisim"/>
        </w:rPr>
        <w:t>.</w:t>
      </w:r>
    </w:p>
  </w:footnote>
  <w:footnote w:id="7943">
    <w:p w14:paraId="2808EA3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ובגליון ציינו ל</w:t>
      </w:r>
      <w:r w:rsidRPr="007119D6">
        <w:rPr>
          <w:rFonts w:ascii="Narkisim" w:hAnsi="Narkisim"/>
          <w:b/>
          <w:bCs/>
          <w:rtl/>
        </w:rPr>
        <w:t>תוס</w:t>
      </w:r>
      <w:r w:rsidRPr="007119D6">
        <w:rPr>
          <w:rFonts w:ascii="Narkisim" w:hAnsi="Narkisim"/>
          <w:rtl/>
        </w:rPr>
        <w:t>' (נדה יד: ד"ה מאי) דהביאו כמה מקומות שתלמידים חולקים על רבם. וה</w:t>
      </w:r>
      <w:r w:rsidRPr="007119D6">
        <w:rPr>
          <w:rFonts w:ascii="Narkisim" w:hAnsi="Narkisim"/>
          <w:b/>
          <w:bCs/>
          <w:rtl/>
        </w:rPr>
        <w:t>תה"ד</w:t>
      </w:r>
      <w:r w:rsidRPr="007119D6">
        <w:rPr>
          <w:rFonts w:ascii="Narkisim" w:hAnsi="Narkisim"/>
          <w:rtl/>
        </w:rPr>
        <w:t xml:space="preserve"> (ב רלח) כת' דודאי תלמיד רשאי לחלוק על רבו [ולא נחשב חולק על רבו, ע' סנהדרין קי.]. וכך היתה דרכו של תורה מימי התנאים ואמוראים וגאונים, דרבי חולק בהרבה מקומות ארשב"ג אביו, ורבא חולק על רבה שהיה רבו המובהק, והרא”ש חולק בכ”מ על המהר"ם מרוטנברג שהיה רבו מובהק. [וע"ע באר שבע סנהדרין קי.]</w:t>
      </w:r>
      <w:r w:rsidRPr="007119D6">
        <w:rPr>
          <w:rFonts w:ascii="Narkisim" w:hAnsi="Narkisim"/>
        </w:rPr>
        <w:t xml:space="preserve">.  </w:t>
      </w:r>
    </w:p>
  </w:footnote>
  <w:footnote w:id="7944">
    <w:p w14:paraId="790E94D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ירושלמי</w:t>
      </w:r>
      <w:r w:rsidRPr="007119D6">
        <w:rPr>
          <w:rFonts w:ascii="Narkisim" w:hAnsi="Narkisim"/>
          <w:rtl/>
        </w:rPr>
        <w:t xml:space="preserve"> (כאן) הביאו מהך דהלל הזקן דבית הלל עבדין מדרש כתובה. וה</w:t>
      </w:r>
      <w:r w:rsidRPr="007119D6">
        <w:rPr>
          <w:rFonts w:ascii="Narkisim" w:hAnsi="Narkisim"/>
          <w:b/>
          <w:bCs/>
          <w:rtl/>
        </w:rPr>
        <w:t>מפרשים</w:t>
      </w:r>
      <w:r w:rsidRPr="007119D6">
        <w:rPr>
          <w:rFonts w:ascii="Narkisim" w:hAnsi="Narkisim"/>
          <w:rtl/>
        </w:rPr>
        <w:t xml:space="preserve"> ביארו דקאי לאחר שחזרו בהם</w:t>
      </w:r>
      <w:r w:rsidRPr="007119D6">
        <w:rPr>
          <w:rFonts w:ascii="Narkisim" w:hAnsi="Narkisim"/>
        </w:rPr>
        <w:t>.</w:t>
      </w:r>
    </w:p>
  </w:footnote>
  <w:footnote w:id="7945">
    <w:p w14:paraId="3F714A9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דחו דמבואר (כתובות פא. הו' בתוס' הקודם) דאף למסקנא לא דרשו מדרש כתובה, אלא חזרו בהם משום ק"ו. [אך לתי' הב' בתוס' לעיל ניחא. ותוס' כאן קאי לתי' הא' דלעיל]</w:t>
      </w:r>
      <w:r w:rsidRPr="007119D6">
        <w:rPr>
          <w:rFonts w:ascii="Narkisim" w:hAnsi="Narkisim"/>
        </w:rPr>
        <w:t>.</w:t>
      </w:r>
    </w:p>
  </w:footnote>
  <w:footnote w:id="7946">
    <w:p w14:paraId="78480D3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דע”י שכתוב תנאי 'לכשתנשאי וכו'' לא עשה בניה ממזרים. [והוה לטובה דידה, ואף דהוה גריעותא באישות]</w:t>
      </w:r>
      <w:r w:rsidRPr="007119D6">
        <w:rPr>
          <w:rFonts w:ascii="Narkisim" w:hAnsi="Narkisim"/>
        </w:rPr>
        <w:t>.</w:t>
      </w:r>
    </w:p>
  </w:footnote>
  <w:footnote w:id="7947">
    <w:p w14:paraId="7F3039A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בפשוטו איירי ע”פ עצמה, וכדתנן (קיד:) מת בעלי תתייבם. ולצד (לעיל צג: צד.) דאף עד א' ביבמה מתייבמת, ה”נ בעד א</w:t>
      </w:r>
      <w:r w:rsidRPr="007119D6">
        <w:rPr>
          <w:rFonts w:ascii="Narkisim" w:hAnsi="Narkisim"/>
        </w:rPr>
        <w:t>'.</w:t>
      </w:r>
    </w:p>
    <w:p w14:paraId="7820452E"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ועוד יל"ד עד"ז היכא שמת הבעל ויש ספק האם יש לה בן וכדו', באופן שמתייבמת ע"פ רוב או ע"פ חזקה. האם נימא דהיבם יזכה בנכסים משום מדרש תורה, ולא שאר יורשים</w:t>
      </w:r>
      <w:r w:rsidRPr="007119D6">
        <w:rPr>
          <w:rFonts w:ascii="Narkisim" w:hAnsi="Narkisim"/>
        </w:rPr>
        <w:t>.</w:t>
      </w:r>
    </w:p>
    <w:p w14:paraId="090AF89D" w14:textId="77777777" w:rsidR="006C4368" w:rsidRPr="007119D6" w:rsidRDefault="006C4368" w:rsidP="006C4368">
      <w:pPr>
        <w:pStyle w:val="Footnote"/>
        <w:bidi/>
        <w:rPr>
          <w:rFonts w:ascii="Narkisim" w:hAnsi="Narkisim"/>
        </w:rPr>
      </w:pPr>
      <w:r w:rsidRPr="007119D6">
        <w:rPr>
          <w:rFonts w:ascii="Narkisim" w:hAnsi="Narkisim"/>
        </w:rPr>
        <w:tab/>
        <w:t>{</w:t>
      </w:r>
      <w:r w:rsidRPr="007119D6">
        <w:rPr>
          <w:rFonts w:ascii="Narkisim" w:hAnsi="Narkisim"/>
          <w:rtl/>
        </w:rPr>
        <w:t>ויש להביא מספק בן ט' לראשון וז' לאחרון, נימא דהיבם יורש, שהרי האשה בחזקת חייבת ביבום, ונתייבמה. א"כ היבם יירש בתורת ודאי, ואילו בגמ' (לז:, עי”ש רשב"א) מבואר דהוה ספק. אך בלא"ה צ"ע אמאי לא אזלי' התם ע"פ החזקה, ע' תוס' לז</w:t>
      </w:r>
      <w:r w:rsidRPr="007119D6">
        <w:rPr>
          <w:rFonts w:ascii="Narkisim" w:hAnsi="Narkisim"/>
        </w:rPr>
        <w:t>.}.</w:t>
      </w:r>
    </w:p>
  </w:footnote>
  <w:footnote w:id="7948">
    <w:p w14:paraId="04F05F1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יש שהביאו דמבואר כאן דירושת היבם שייך לעצם היבום, ולא הוה תולדה בעלמא עי"ז. וע"ע לעיל מ. וכד</w:t>
      </w:r>
      <w:r w:rsidRPr="007119D6">
        <w:rPr>
          <w:rFonts w:ascii="Narkisim" w:hAnsi="Narkisim"/>
        </w:rPr>
        <w:t>.</w:t>
      </w:r>
    </w:p>
  </w:footnote>
  <w:footnote w:id="7949">
    <w:p w14:paraId="147D278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משמע כוונתו דע"י שהאמינו חכמים לענין יבום, ממילא זוכה גם בנכסים [מדאורייתא]. משום מדרש תורה. ויל"ד בזה שהרי מדאורייתא ליכא נאמנות, אלא דהתורה מסרה לחכמים להתיר יבום כה"ג, כיון דלא הוה עקירה כל כך לדיני התורה</w:t>
      </w:r>
      <w:r w:rsidRPr="007119D6">
        <w:rPr>
          <w:rFonts w:ascii="Narkisim" w:hAnsi="Narkisim"/>
        </w:rPr>
        <w:t>.</w:t>
      </w:r>
    </w:p>
  </w:footnote>
  <w:footnote w:id="7950">
    <w:p w14:paraId="20628A5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יש ליישב ע"פ דברי האחרונים (ע' מה שהו' לעיל פח.) דמהני אפקעינהו כנגד חזקת אשת איש, ועי"ז מהני עדות העד</w:t>
      </w:r>
      <w:r w:rsidRPr="007119D6">
        <w:rPr>
          <w:rFonts w:ascii="Narkisim" w:hAnsi="Narkisim"/>
        </w:rPr>
        <w:t>.</w:t>
      </w:r>
    </w:p>
  </w:footnote>
  <w:footnote w:id="7951">
    <w:p w14:paraId="7F62D23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 דשורש דברי רב חסדא באופן שיש תורת נאמנות [מדאורייתא] לדבר שבערוה דלא מהני לממון, דאפ”ה מהני לירושת היבם. ועפ"ז אף דין האשה עצמה דהוה מדרבנן, קבעו דינו כעין דאורייתא. [וכה"ג יורד לנכסים מדרבנן]</w:t>
      </w:r>
      <w:r w:rsidRPr="007119D6">
        <w:rPr>
          <w:rFonts w:ascii="Narkisim" w:hAnsi="Narkisim"/>
        </w:rPr>
        <w:t>.</w:t>
      </w:r>
    </w:p>
  </w:footnote>
  <w:footnote w:id="7952">
    <w:p w14:paraId="0D27B6A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דאין לחכמים סיבה לתקן שיזכה בנכסים, אלא כיון דתקנו דמייבם אותה, בכלל זה תקנו שיורש את הנכסים. [דלא ראו לחלק בדבר שתלי זה בזה]</w:t>
      </w:r>
      <w:r w:rsidRPr="007119D6">
        <w:rPr>
          <w:rFonts w:ascii="Narkisim" w:hAnsi="Narkisim"/>
        </w:rPr>
        <w:t>.</w:t>
      </w:r>
    </w:p>
  </w:footnote>
  <w:footnote w:id="7953">
    <w:p w14:paraId="479674A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תוס' רא"ש</w:t>
      </w:r>
      <w:r w:rsidRPr="007119D6">
        <w:rPr>
          <w:rFonts w:ascii="Narkisim" w:hAnsi="Narkisim"/>
          <w:rtl/>
        </w:rPr>
        <w:t xml:space="preserve"> (לעיל קטז.) [דהאומרת לבעלה גרשתני, בתובעת כתובתה אינה נאמנת] דחיישי' שמא אומרת כן מחמת חימוד ממון. [וציין לסוגיין]</w:t>
      </w:r>
      <w:r w:rsidRPr="007119D6">
        <w:rPr>
          <w:rFonts w:ascii="Narkisim" w:hAnsi="Narkisim"/>
        </w:rPr>
        <w:t>.</w:t>
      </w:r>
    </w:p>
  </w:footnote>
  <w:footnote w:id="7954">
    <w:p w14:paraId="720580D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חלק"מ</w:t>
      </w:r>
      <w:r w:rsidRPr="007119D6">
        <w:rPr>
          <w:rFonts w:ascii="Narkisim" w:hAnsi="Narkisim"/>
          <w:rtl/>
        </w:rPr>
        <w:t xml:space="preserve"> (שם פד) דייק מלשון הרמב"ם דאין דעתה לינשא, הא אם נשאת כבר [שלא ברשות בי"ד, ובאת לבי”ד אח”כ לגבות כתובתה] נותנים לה כתובתה. דאזיל הך חשדא</w:t>
      </w:r>
      <w:r w:rsidRPr="007119D6">
        <w:rPr>
          <w:rFonts w:ascii="Narkisim" w:hAnsi="Narkisim"/>
        </w:rPr>
        <w:t>.</w:t>
      </w:r>
    </w:p>
    <w:p w14:paraId="582D441F"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ערוה"ש</w:t>
      </w:r>
      <w:r w:rsidRPr="007119D6">
        <w:rPr>
          <w:rFonts w:ascii="Narkisim" w:hAnsi="Narkisim"/>
          <w:rtl/>
        </w:rPr>
        <w:t xml:space="preserve"> (שם קיא) הביא י"א דאפי' נשאת אח"כ גובה כתובתה, דנתברר שבאה לינשא. ותמה עליהם</w:t>
      </w:r>
      <w:r w:rsidRPr="007119D6">
        <w:rPr>
          <w:rFonts w:ascii="Narkisim" w:hAnsi="Narkisim"/>
        </w:rPr>
        <w:t>.</w:t>
      </w:r>
    </w:p>
  </w:footnote>
  <w:footnote w:id="7955">
    <w:p w14:paraId="5B9B4F1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חכ"צ</w:t>
      </w:r>
      <w:r w:rsidRPr="007119D6">
        <w:rPr>
          <w:rFonts w:ascii="Narkisim" w:hAnsi="Narkisim"/>
          <w:rtl/>
        </w:rPr>
        <w:t xml:space="preserve"> (צה) כת' דזה כוונת רש"י בסוגיין, דאין עדותה מועיל כיון דאדעתא דכתובה באה, ואין דעתה לינשא. ול"ש דייקא. [ודייק דרש"י כת' דבעי עדות, ולא משום דחשדינן כמשקר]</w:t>
      </w:r>
      <w:r w:rsidRPr="007119D6">
        <w:rPr>
          <w:rFonts w:ascii="Narkisim" w:hAnsi="Narkisim"/>
        </w:rPr>
        <w:t>.</w:t>
      </w:r>
    </w:p>
  </w:footnote>
  <w:footnote w:id="7956">
    <w:p w14:paraId="70374DB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דמשום עגונא הקילו להתיר ומגיע לה כתובתה מצד תנאי כתובה לכשתנשאי לאחר וכו'. [אך הש"ש הק' בהא דאי' (שבועות לב:) דיש חיוב שבועת העדות בעד מיתה, מחמת חיוב הכתובה. [ופ</w:t>
      </w:r>
      <w:r w:rsidRPr="007119D6">
        <w:rPr>
          <w:rFonts w:ascii="Narkisim" w:hAnsi="Narkisim"/>
          <w:b/>
          <w:bCs/>
          <w:rtl/>
        </w:rPr>
        <w:t>רש"י</w:t>
      </w:r>
      <w:r w:rsidRPr="007119D6">
        <w:rPr>
          <w:rFonts w:ascii="Narkisim" w:hAnsi="Narkisim"/>
          <w:rtl/>
        </w:rPr>
        <w:t xml:space="preserve"> (שם) שהשביעתו שיעיד בה כדי שתטול כתובתה מן היורשים], והק' דאי תובעת את העד מחמת הכתובה כה"ג העד אינו נאמן כלל. {ובפשוטו י"ל דהיא תובעת לינשא, ואפ"ה כיון דיש בזה צד ממון יש חיוב שבועת העדות. אך לשון רש”י הנ”ל לא משמע כן</w:t>
      </w:r>
      <w:r w:rsidRPr="007119D6">
        <w:rPr>
          <w:rFonts w:ascii="Narkisim" w:hAnsi="Narkisim"/>
        </w:rPr>
        <w:t>].</w:t>
      </w:r>
    </w:p>
  </w:footnote>
  <w:footnote w:id="7957">
    <w:p w14:paraId="14AE916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דיש לו רווח ממון דהירושה. והש"ש ביאר דהקילו בעדות אשה אף שהוא נוגע בעדותו, כל זמן שאין זה עיקר העדות</w:t>
      </w:r>
      <w:r w:rsidRPr="007119D6">
        <w:rPr>
          <w:rFonts w:ascii="Narkisim" w:hAnsi="Narkisim"/>
        </w:rPr>
        <w:t>.</w:t>
      </w:r>
    </w:p>
  </w:footnote>
  <w:footnote w:id="7958">
    <w:p w14:paraId="080CB70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יל"ד במה תלוי בתביעת האשה, דלכאורה העד יכול לבא לבי"ד ולהעיד לבד. [אך י"ל דל"מ עד א' בעדות אשה אלא ע”פ תביעת האשה, דעי”ז אמרי' דדייקא ומינסבא. וצ"ע]</w:t>
      </w:r>
      <w:r w:rsidRPr="007119D6">
        <w:rPr>
          <w:rFonts w:ascii="Narkisim" w:hAnsi="Narkisim"/>
        </w:rPr>
        <w:t>.</w:t>
      </w:r>
    </w:p>
  </w:footnote>
  <w:footnote w:id="7959">
    <w:p w14:paraId="6AD600C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כוון לטעם הב' בריטב"א בסוגיין</w:t>
      </w:r>
      <w:r w:rsidRPr="007119D6">
        <w:rPr>
          <w:rFonts w:ascii="Narkisim" w:hAnsi="Narkisim"/>
        </w:rPr>
        <w:t>.</w:t>
      </w:r>
    </w:p>
  </w:footnote>
  <w:footnote w:id="7960">
    <w:p w14:paraId="2EE984F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משמע בריטב”א (לעיל קטז:) לדינא. א”כ ע”כ דאין זה כוונת הריטב”א. [והגר"א כת' דלדעת הרמב"ם, וכשיטתו דהרמב”ם הכריע כן אף לדינא. אבל לדברי ה”ה (הו' לעיל קטז:) במה שנוגע לדינא לא הכריע הרמב”ם]</w:t>
      </w:r>
      <w:r w:rsidRPr="007119D6">
        <w:rPr>
          <w:rFonts w:ascii="Narkisim" w:hAnsi="Narkisim"/>
        </w:rPr>
        <w:t>.</w:t>
      </w:r>
    </w:p>
  </w:footnote>
  <w:footnote w:id="7961">
    <w:p w14:paraId="4F9F2FD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ויל"פ ע"פ דברי ה</w:t>
      </w:r>
      <w:r w:rsidRPr="007119D6">
        <w:rPr>
          <w:rFonts w:ascii="Narkisim" w:hAnsi="Narkisim"/>
          <w:b/>
          <w:bCs/>
          <w:rtl/>
        </w:rPr>
        <w:t>ריטב"א</w:t>
      </w:r>
      <w:r w:rsidRPr="007119D6">
        <w:rPr>
          <w:rFonts w:ascii="Narkisim" w:hAnsi="Narkisim"/>
          <w:rtl/>
        </w:rPr>
        <w:t xml:space="preserve"> (לעיל פח.) דאף דמדאורייתא עד א' נאמן, מ"מ היה להם להחמיר בדבר שבערוה. אלא משום עיגונא הקילו</w:t>
      </w:r>
      <w:r w:rsidRPr="007119D6">
        <w:rPr>
          <w:rFonts w:ascii="Narkisim" w:hAnsi="Narkisim"/>
        </w:rPr>
        <w:t>.</w:t>
      </w:r>
    </w:p>
  </w:footnote>
  <w:footnote w:id="7962">
    <w:p w14:paraId="28FABD0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ה"ה</w:t>
      </w:r>
      <w:r w:rsidRPr="007119D6">
        <w:rPr>
          <w:rFonts w:ascii="Narkisim" w:hAnsi="Narkisim"/>
          <w:rtl/>
        </w:rPr>
        <w:t xml:space="preserve"> כת' דהרמב"ם פסק כדין כל תיקו שבממון שאם תפסה אין מוציאין מידה כפי דעתו. וה</w:t>
      </w:r>
      <w:r w:rsidRPr="007119D6">
        <w:rPr>
          <w:rFonts w:ascii="Narkisim" w:hAnsi="Narkisim"/>
          <w:b/>
          <w:bCs/>
          <w:rtl/>
        </w:rPr>
        <w:t>פוסקים</w:t>
      </w:r>
      <w:r w:rsidRPr="007119D6">
        <w:rPr>
          <w:rFonts w:ascii="Narkisim" w:hAnsi="Narkisim"/>
          <w:rtl/>
        </w:rPr>
        <w:t xml:space="preserve"> (חלק”מ שם פח) דנו דלדעת הראשונים דאסורה לינשא, א"כ דרשי' מדרש כתובה דאין לה כתובה. ואף אם תפסה כתובתה מוציאין מידה. אבל מדברי ה</w:t>
      </w:r>
      <w:r w:rsidRPr="007119D6">
        <w:rPr>
          <w:rFonts w:ascii="Narkisim" w:hAnsi="Narkisim"/>
          <w:b/>
          <w:bCs/>
          <w:rtl/>
        </w:rPr>
        <w:t>גר"א</w:t>
      </w:r>
      <w:r w:rsidRPr="007119D6">
        <w:rPr>
          <w:rFonts w:ascii="Narkisim" w:hAnsi="Narkisim"/>
          <w:rtl/>
        </w:rPr>
        <w:t xml:space="preserve"> (הו' בסמוך) מבואר דלכתחילה לא תנשא, ואפ"ה מהני תפיסה על הכתובה</w:t>
      </w:r>
      <w:r w:rsidRPr="007119D6">
        <w:rPr>
          <w:rFonts w:ascii="Narkisim" w:hAnsi="Narkisim"/>
        </w:rPr>
        <w:t>.</w:t>
      </w:r>
    </w:p>
  </w:footnote>
  <w:footnote w:id="7963">
    <w:p w14:paraId="36323CF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דמדינא איתתא מהימנא לומר מת בעלי שתינשא אי משום דמילתא דעבידא לאיגלויי היא אי משום מתוך חומר שהחמרת עליה בסופה. [וסברת אדעתא דכתובה מהני רק בדרבנן]</w:t>
      </w:r>
      <w:r w:rsidRPr="007119D6">
        <w:rPr>
          <w:rFonts w:ascii="Narkisim" w:hAnsi="Narkisim"/>
        </w:rPr>
        <w:t>.</w:t>
      </w:r>
    </w:p>
  </w:footnote>
  <w:footnote w:id="7964">
    <w:p w14:paraId="4059828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דבכל הספיקות בפירקין פסק הרמב"ם דלכתחילה לא תנשא. וכה"ק הבי"ש (שם קלא)</w:t>
      </w:r>
      <w:r w:rsidRPr="007119D6">
        <w:rPr>
          <w:rFonts w:ascii="Narkisim" w:hAnsi="Narkisim"/>
        </w:rPr>
        <w:t>.</w:t>
      </w:r>
    </w:p>
  </w:footnote>
  <w:footnote w:id="7965">
    <w:p w14:paraId="44F17B1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ולא הזכירה שם כתובה בעולם</w:t>
      </w:r>
      <w:r w:rsidRPr="007119D6">
        <w:rPr>
          <w:rFonts w:ascii="Narkisim" w:hAnsi="Narkisim"/>
        </w:rPr>
        <w:t>.</w:t>
      </w:r>
    </w:p>
  </w:footnote>
  <w:footnote w:id="7966">
    <w:p w14:paraId="7F0BF97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ב”ח</w:t>
      </w:r>
      <w:r w:rsidRPr="007119D6">
        <w:rPr>
          <w:rFonts w:ascii="Narkisim" w:hAnsi="Narkisim"/>
          <w:rtl/>
        </w:rPr>
        <w:t xml:space="preserve"> ציין דכ”כ </w:t>
      </w:r>
      <w:r w:rsidRPr="007119D6">
        <w:rPr>
          <w:rFonts w:ascii="Narkisim" w:hAnsi="Narkisim"/>
          <w:b/>
          <w:bCs/>
          <w:rtl/>
        </w:rPr>
        <w:t>ה”ה</w:t>
      </w:r>
      <w:r w:rsidRPr="007119D6">
        <w:rPr>
          <w:rFonts w:ascii="Narkisim" w:hAnsi="Narkisim"/>
          <w:rtl/>
        </w:rPr>
        <w:t xml:space="preserve"> דפשוט הוא, וכדין כל הבא ליפרע מנכסים יתומים</w:t>
      </w:r>
      <w:r w:rsidRPr="007119D6">
        <w:rPr>
          <w:rFonts w:ascii="Narkisim" w:hAnsi="Narkisim"/>
        </w:rPr>
        <w:t>.</w:t>
      </w:r>
    </w:p>
  </w:footnote>
  <w:footnote w:id="7967">
    <w:p w14:paraId="096E61D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דבכל התורה קי"ל (סנהד' כט.) דשונא כשר לעדות [וכ”ש לעדות אשה דהכשירו אפי' עד פסול]</w:t>
      </w:r>
      <w:r w:rsidRPr="007119D6">
        <w:rPr>
          <w:rFonts w:ascii="Narkisim" w:hAnsi="Narkisim"/>
        </w:rPr>
        <w:t>.</w:t>
      </w:r>
    </w:p>
  </w:footnote>
  <w:footnote w:id="7968">
    <w:p w14:paraId="6AAB2DB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ויותר ממה שסבור לקלקל אותה יתקלקל הוא</w:t>
      </w:r>
      <w:r w:rsidRPr="007119D6">
        <w:rPr>
          <w:rFonts w:ascii="Narkisim" w:hAnsi="Narkisim"/>
        </w:rPr>
        <w:t>.</w:t>
      </w:r>
    </w:p>
  </w:footnote>
  <w:footnote w:id="7969">
    <w:p w14:paraId="4405DEC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כת' דלכאורה לב' הטעמים אשה בעלמא שידענו שהיא שונא לה תפסל. ולאו דוקא ה' נשים אלו. [ותצא לנו תורה חדשה]. וכת' דלפ"ז צ"ל הא דנקטו ה' נשים, דבהנך חזקתן ששונאות אף אם אין רואים שום שנאה. אבל אם רואים שנאה אף באשה דעלמא הדין כן, וצ"ע שלא שמענו זאת מעולם</w:t>
      </w:r>
      <w:r w:rsidRPr="007119D6">
        <w:rPr>
          <w:rFonts w:ascii="Narkisim" w:hAnsi="Narkisim"/>
        </w:rPr>
        <w:t>.</w:t>
      </w:r>
    </w:p>
  </w:footnote>
  <w:footnote w:id="7970">
    <w:p w14:paraId="304090E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והיבם אינו נאמן להתירה לעצמו (כדאי' לקמן קיח:), אבל נאמן להתירה לאחרים</w:t>
      </w:r>
      <w:r w:rsidRPr="007119D6">
        <w:rPr>
          <w:rFonts w:ascii="Narkisim" w:hAnsi="Narkisim"/>
        </w:rPr>
        <w:t>.</w:t>
      </w:r>
    </w:p>
  </w:footnote>
  <w:footnote w:id="7971">
    <w:p w14:paraId="380487A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הביא מהגמ' (לעיל עז.) דנוגע כשר במילתא דעבידא לאיגלויי. והאריך לדון אי נוגע פסול משום חשש משקר או משום קרוב [וקרוב כשר לעדות אשה]</w:t>
      </w:r>
      <w:r w:rsidRPr="007119D6">
        <w:rPr>
          <w:rFonts w:ascii="Narkisim" w:hAnsi="Narkisim"/>
        </w:rPr>
        <w:t>.</w:t>
      </w:r>
    </w:p>
  </w:footnote>
  <w:footnote w:id="7972">
    <w:p w14:paraId="20D4C3F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דודאי אינו נאמן ע"פ עצמו לענין ירושה, מ"מ המעיד לעצמו פסול לעדות, ול"מ עדותו אף לאחרים [אלא מגדרי פלגינן. ואכמ"ל]</w:t>
      </w:r>
      <w:r w:rsidRPr="007119D6">
        <w:rPr>
          <w:rFonts w:ascii="Narkisim" w:hAnsi="Narkisim"/>
        </w:rPr>
        <w:t>.</w:t>
      </w:r>
    </w:p>
  </w:footnote>
  <w:footnote w:id="7973">
    <w:p w14:paraId="1D6DF02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דתוס' (שם) פי' דהוה מטעם דיש כח ביד חכמים לעקור דבר מה”ת. ולדעת הראשונים דהוה משום אפקעינהו</w:t>
      </w:r>
      <w:r w:rsidRPr="007119D6">
        <w:rPr>
          <w:rFonts w:ascii="Narkisim" w:hAnsi="Narkisim"/>
        </w:rPr>
        <w:t>.</w:t>
      </w:r>
    </w:p>
  </w:footnote>
  <w:footnote w:id="7974">
    <w:p w14:paraId="1DA409A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סברת המשנ"ל דחכמים קבעו דעד א' נאמן, וה' נשים הוה ספק אי יש להם דין עד א'. ועי"ז הוה ספק אי הוה בכלל התקנה</w:t>
      </w:r>
      <w:r w:rsidRPr="007119D6">
        <w:rPr>
          <w:rFonts w:ascii="Narkisim" w:hAnsi="Narkisim"/>
        </w:rPr>
        <w:t>.</w:t>
      </w:r>
    </w:p>
  </w:footnote>
  <w:footnote w:id="7975">
    <w:p w14:paraId="3913FA1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כיון שעיקר העדות נתקיים ע"י אחרים ויצאה מחזקת אשת איש ע"פ כשרים. ולא פסלו חכמים אלו הנשים אלא כשעיקר העדות תליא בדיבורייהו. [ואפשר דכוונתו לרמוז לדברי המשנה דהיכא דהכתב מוכיח נאמנת]</w:t>
      </w:r>
      <w:r w:rsidRPr="007119D6">
        <w:rPr>
          <w:rFonts w:ascii="Narkisim" w:hAnsi="Narkisim"/>
        </w:rPr>
        <w:t>.</w:t>
      </w:r>
    </w:p>
  </w:footnote>
  <w:footnote w:id="7976">
    <w:p w14:paraId="4E6DAF0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ובה' נשים לא חיישינן שתקלקלנה ביד שמים, אלא היכא שמקלקלה בידי אדם</w:t>
      </w:r>
      <w:r w:rsidRPr="007119D6">
        <w:rPr>
          <w:rFonts w:ascii="Narkisim" w:hAnsi="Narkisim"/>
        </w:rPr>
        <w:t>.</w:t>
      </w:r>
    </w:p>
  </w:footnote>
  <w:footnote w:id="7977">
    <w:p w14:paraId="60DF75C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לרב הונא (צה:), ואף רב פליג דוקא ביבמה מהאירוסין, דיאמרו תנאי היה לראשון. א"כ ביבמה מהנישואין קשה אף לרב. [ולכאורה תוס' לא הביאו דברי רב, שלא להכנס לחילוק זה דל”ש לסוגיין]</w:t>
      </w:r>
      <w:r w:rsidRPr="007119D6">
        <w:rPr>
          <w:rFonts w:ascii="Narkisim" w:hAnsi="Narkisim"/>
        </w:rPr>
        <w:t>.</w:t>
      </w:r>
    </w:p>
  </w:footnote>
  <w:footnote w:id="7978">
    <w:p w14:paraId="77B5566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וחל איסור סוטה אף דהוה אשת אחיו, וציין דעד”ז כת' ה</w:t>
      </w:r>
      <w:r w:rsidRPr="007119D6">
        <w:rPr>
          <w:rFonts w:ascii="Narkisim" w:hAnsi="Narkisim"/>
          <w:b/>
          <w:bCs/>
          <w:rtl/>
        </w:rPr>
        <w:t>רמ”א</w:t>
      </w:r>
      <w:r w:rsidRPr="007119D6">
        <w:rPr>
          <w:rFonts w:ascii="Narkisim" w:hAnsi="Narkisim"/>
          <w:rtl/>
        </w:rPr>
        <w:t xml:space="preserve"> (קעח יט) באחות אשתו דחל איסור סוטה לאוסרה לאחר מיתת אחותה</w:t>
      </w:r>
      <w:r w:rsidRPr="007119D6">
        <w:rPr>
          <w:rFonts w:ascii="Narkisim" w:hAnsi="Narkisim"/>
        </w:rPr>
        <w:t>.</w:t>
      </w:r>
    </w:p>
  </w:footnote>
  <w:footnote w:id="7979">
    <w:p w14:paraId="02BFF5A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כת' דאולי י"ל דא"א לאוסרה על שני משום סוטה, כיון דמה"ט תאסר לבעלה, ולא רצו לאסרה על בעלה. ומש"ה א"א לאוסרה גם על השני, דהוי כחוכא ואטלולא. [דממנ"פ אם אתה דן אותה למזיד תאסור לבעלה, ואם לא, תשתרי גם להשני]</w:t>
      </w:r>
      <w:r w:rsidRPr="007119D6">
        <w:rPr>
          <w:rFonts w:ascii="Narkisim" w:hAnsi="Narkisim"/>
        </w:rPr>
        <w:t>.</w:t>
      </w:r>
    </w:p>
    <w:p w14:paraId="19409BEE"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וע"כ אסרו לשני רק היכא דממילא אסרו להראשון [משום שיאמרו גירש אותה], ועי"ז אסרו לשני משום סוטה לדונה כמזיד. דכיון דעכ"פ היא אסורה גם להראשון אבל ביבמה דמותרת להראשון שהוא בעלה דלא שייך דגירש הראשון, מותרת גם להשני ותפול לפניו ליבום. אך הק' מהיכן פסיקא להו לתוס' כן, דדלמא אסורה להשני בכל ענין</w:t>
      </w:r>
      <w:r w:rsidRPr="007119D6">
        <w:rPr>
          <w:rFonts w:ascii="Narkisim" w:hAnsi="Narkisim"/>
        </w:rPr>
        <w:t>.</w:t>
      </w:r>
    </w:p>
  </w:footnote>
  <w:footnote w:id="7980">
    <w:p w14:paraId="5EAAC82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 מדסוי</w:t>
      </w:r>
      <w:r w:rsidRPr="007119D6">
        <w:rPr>
          <w:rFonts w:ascii="Narkisim" w:hAnsi="Narkisim"/>
          <w:rtl/>
        </w:rPr>
        <w:t xml:space="preserve"> הק' א”כ תפשוט ממתני' דהכא דעד א' נאמן ביבמה, ולעיל צג: מבעי בזה. [וי"ל דתוס' קאי למסקנא דעד א' נאמן ביבמה. אבל לצד דעד א' אינו נאמן ביבמה, ע”כ המשנה איירי להעיד שמת והניח בנים, וכצדדים של המשנ"ל. אך לאחר דידעינן דעד א' נאמן ביבמה, מש”ה אף כה”ג הוה בכלל דינא דמתני']</w:t>
      </w:r>
      <w:r w:rsidRPr="007119D6">
        <w:rPr>
          <w:rFonts w:ascii="Narkisim" w:hAnsi="Narkisim"/>
        </w:rPr>
        <w:t>.</w:t>
      </w:r>
    </w:p>
  </w:footnote>
  <w:footnote w:id="7981">
    <w:p w14:paraId="58CCCCE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והיבמה [המעידה] אין לה בנים, דחוששת שמא ימות בעלה ותפול לפני יבמה ותהא צרתה</w:t>
      </w:r>
      <w:r w:rsidRPr="007119D6">
        <w:rPr>
          <w:rFonts w:ascii="Narkisim" w:hAnsi="Narkisim"/>
        </w:rPr>
        <w:t>.</w:t>
      </w:r>
    </w:p>
  </w:footnote>
  <w:footnote w:id="7982">
    <w:p w14:paraId="43DE23E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ואילו לדברי אביי הול"ל הכתב והפה מוכיח</w:t>
      </w:r>
      <w:r w:rsidRPr="007119D6">
        <w:rPr>
          <w:rFonts w:ascii="Narkisim" w:hAnsi="Narkisim"/>
        </w:rPr>
        <w:t>.</w:t>
      </w:r>
    </w:p>
  </w:footnote>
  <w:footnote w:id="7983">
    <w:p w14:paraId="3C14D25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ותוס' פי' דחיישינן שמא תקלקלה ע"י עדים או ראיה שהבעל לא שלח גט זה</w:t>
      </w:r>
      <w:r w:rsidRPr="007119D6">
        <w:rPr>
          <w:rFonts w:ascii="Narkisim" w:hAnsi="Narkisim"/>
        </w:rPr>
        <w:t>.</w:t>
      </w:r>
    </w:p>
  </w:footnote>
  <w:footnote w:id="7984">
    <w:p w14:paraId="05D59FD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והחשש הוה רק היכא דמקלקלה בידי אדם, שיבא בעלה ותצא מזה ומזה. אבל במה שעוברת איסור כלפי שמיא אין לה תועלת מזה. ו</w:t>
      </w:r>
      <w:r w:rsidRPr="007119D6">
        <w:rPr>
          <w:rFonts w:ascii="Narkisim" w:hAnsi="Narkisim"/>
          <w:b/>
          <w:bCs/>
          <w:rtl/>
        </w:rPr>
        <w:t>ר"ש איגר</w:t>
      </w:r>
      <w:r w:rsidRPr="007119D6">
        <w:rPr>
          <w:rFonts w:ascii="Narkisim" w:hAnsi="Narkisim"/>
          <w:rtl/>
        </w:rPr>
        <w:t xml:space="preserve"> (בשו"ת רע"א רכא) כת' די"ל דכוונת המשנה דהכתב מוכיח, ומש"ה לא חיישינן דמתכוונת לקלקלה בידי שמים. ועי”ש ובדברי רע"א (רכב, הו' בחי' כאן)</w:t>
      </w:r>
      <w:r w:rsidRPr="007119D6">
        <w:rPr>
          <w:rFonts w:ascii="Narkisim" w:hAnsi="Narkisim"/>
        </w:rPr>
        <w:t>.</w:t>
      </w:r>
    </w:p>
  </w:footnote>
  <w:footnote w:id="7985">
    <w:p w14:paraId="6F61748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וכה"ק </w:t>
      </w:r>
      <w:r w:rsidRPr="007119D6">
        <w:rPr>
          <w:rFonts w:ascii="Narkisim" w:hAnsi="Narkisim"/>
          <w:b/>
          <w:bCs/>
          <w:rtl/>
        </w:rPr>
        <w:t>רע"א</w:t>
      </w:r>
      <w:r w:rsidRPr="007119D6">
        <w:rPr>
          <w:rFonts w:ascii="Narkisim" w:hAnsi="Narkisim"/>
          <w:rtl/>
        </w:rPr>
        <w:t xml:space="preserve"> (שו"ת רכב, הו' בחי') דמ"מ ניחוש שמא כוונתה להפרידה מתחת בעלה, ומשום תקנת עצמה. [אף שהבעל אינו נאמן, ולא תקלקל לצרה. מ"מ אסורה לעולם לבעל כדין מחזיר גרושתו משנשאת]. וע"כ דעיקר החשש דמתכוונת לקלקלה בידי אדם. וכת' דאף דשונא כשר לעדות, מ"מ כיון דחזינן דכ"כ גוברת השנאה לשקר ולקלקלה, ממילא בודאי ראוי לחוש דמשקרות בעדותן לתקנת עצמן, והוי נגיעה גדולה</w:t>
      </w:r>
      <w:r w:rsidRPr="007119D6">
        <w:rPr>
          <w:rFonts w:ascii="Narkisim" w:hAnsi="Narkisim"/>
        </w:rPr>
        <w:t>.</w:t>
      </w:r>
    </w:p>
    <w:p w14:paraId="08BFA00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ורע"א כת' דבזה תי' המשנה הכתב מוכיח, דחשש זיוף בגט הוה חשש רחוק, וכולי האי לא עבדא, אלא היכי דיכולין לנקום נקמתן ממנה. ומשום הצלה פורתא [להוציא את זו מתחת בעלה] אינה חשודה לזייף</w:t>
      </w:r>
      <w:r w:rsidRPr="007119D6">
        <w:rPr>
          <w:rFonts w:ascii="Narkisim" w:hAnsi="Narkisim"/>
        </w:rPr>
        <w:t>.</w:t>
      </w:r>
    </w:p>
  </w:footnote>
  <w:footnote w:id="7986">
    <w:p w14:paraId="3A6B0FA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ודקדק מדברי רש"י שכת' לגירסנא יגיע אמי שהביאה לאבי מבית אביה. וע”כ איירי בבת חמיה שהיא בת חמיו</w:t>
      </w:r>
      <w:r w:rsidRPr="007119D6">
        <w:rPr>
          <w:rFonts w:ascii="Narkisim" w:hAnsi="Narkisim"/>
        </w:rPr>
        <w:t>.</w:t>
      </w:r>
    </w:p>
  </w:footnote>
  <w:footnote w:id="7987">
    <w:p w14:paraId="38451F3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דאפשר דבזה יש לסמוך ע"ד הב"י דפסק בעיין לקולא</w:t>
      </w:r>
      <w:r w:rsidRPr="007119D6">
        <w:rPr>
          <w:rFonts w:ascii="Narkisim" w:hAnsi="Narkisim"/>
        </w:rPr>
        <w:t>.</w:t>
      </w:r>
    </w:p>
  </w:footnote>
  <w:footnote w:id="7988">
    <w:p w14:paraId="4ECC344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בי"ש</w:t>
      </w:r>
      <w:r w:rsidRPr="007119D6">
        <w:rPr>
          <w:rFonts w:ascii="Narkisim" w:hAnsi="Narkisim"/>
          <w:rtl/>
        </w:rPr>
        <w:t xml:space="preserve"> (שם יד) ביאר דיבמתה פסולה להעיד משום לא פלוג, ואפי' אחותה (וכמ”ש ה”ה הו' לעיל). והספק דוקא אחמותה דלאחר מכן</w:t>
      </w:r>
      <w:r w:rsidRPr="007119D6">
        <w:rPr>
          <w:rFonts w:ascii="Narkisim" w:hAnsi="Narkisim"/>
        </w:rPr>
        <w:t>.</w:t>
      </w:r>
    </w:p>
  </w:footnote>
  <w:footnote w:id="7989">
    <w:p w14:paraId="0AFDC4A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כי מסקא אדעתה דילמא מיית בעל ונפלה קמי יבם אביה ותאכל גירסנא דאמה וסניא לה ומתכוונת לקלקלה מעכשיו</w:t>
      </w:r>
      <w:r w:rsidRPr="007119D6">
        <w:rPr>
          <w:rFonts w:ascii="Narkisim" w:hAnsi="Narkisim"/>
        </w:rPr>
        <w:t>.</w:t>
      </w:r>
    </w:p>
  </w:footnote>
  <w:footnote w:id="7990">
    <w:p w14:paraId="446E447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w:t>
      </w:r>
      <w:r w:rsidRPr="007119D6">
        <w:rPr>
          <w:rFonts w:ascii="Narkisim" w:hAnsi="Narkisim"/>
          <w:b/>
          <w:bCs/>
          <w:rtl/>
        </w:rPr>
        <w:t>צ"צ</w:t>
      </w:r>
      <w:r w:rsidRPr="007119D6">
        <w:rPr>
          <w:rFonts w:ascii="Narkisim" w:hAnsi="Narkisim"/>
          <w:rtl/>
        </w:rPr>
        <w:t xml:space="preserve"> הק' דהתם קאי לענין יבום, ואי' דה' נשים אינם נאמנות שתתייבם. והק' דבת בעלה ל"ש גבי יבום, דאם יש לו בת אינה נופלת ליבום. וביאר דקאי אבת יבמה</w:t>
      </w:r>
      <w:r w:rsidRPr="007119D6">
        <w:rPr>
          <w:rFonts w:ascii="Narkisim" w:hAnsi="Narkisim"/>
        </w:rPr>
        <w:t>.</w:t>
      </w:r>
    </w:p>
  </w:footnote>
  <w:footnote w:id="7991">
    <w:p w14:paraId="55453E2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דנו בהא דהגמ' מדמה לחזור ממדינת הים לחשש מיתה. והבעה"מ כת' דזהו תי' הגמ</w:t>
      </w:r>
      <w:r w:rsidRPr="007119D6">
        <w:rPr>
          <w:rFonts w:ascii="Narkisim" w:hAnsi="Narkisim"/>
        </w:rPr>
        <w:t>'.</w:t>
      </w:r>
    </w:p>
  </w:footnote>
  <w:footnote w:id="7992">
    <w:p w14:paraId="5C6D5AF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כס"מ</w:t>
      </w:r>
      <w:r w:rsidRPr="007119D6">
        <w:rPr>
          <w:rFonts w:ascii="Narkisim" w:hAnsi="Narkisim"/>
          <w:rtl/>
        </w:rPr>
        <w:t xml:space="preserve"> (שם) דחה דהתם בשעה שהעידה עדיין לא נאסרת עליו. ורק אח"כ נשאת. [אך הביא דכ"מ בירושלמי]</w:t>
      </w:r>
      <w:r w:rsidRPr="007119D6">
        <w:rPr>
          <w:rFonts w:ascii="Narkisim" w:hAnsi="Narkisim"/>
        </w:rPr>
        <w:t>.</w:t>
      </w:r>
    </w:p>
  </w:footnote>
  <w:footnote w:id="7993">
    <w:p w14:paraId="6A47B3E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ומכוונת דתמות נפשה עם פלשתים. [וכן אי' לקמן קיח., אלא דהתם איירי קודם שנשאת]</w:t>
      </w:r>
      <w:r w:rsidRPr="007119D6">
        <w:rPr>
          <w:rFonts w:ascii="Narkisim" w:hAnsi="Narkisim"/>
        </w:rPr>
        <w:t>.</w:t>
      </w:r>
    </w:p>
  </w:footnote>
  <w:footnote w:id="7994">
    <w:p w14:paraId="5BCDC6F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דהצרה ממ"נ מגורשת מהראשון. ואפ"ה יש לה שנאה להעיד לקלקל את הצרה שהיא עדיין אשתו של ראשון</w:t>
      </w:r>
      <w:r w:rsidRPr="007119D6">
        <w:rPr>
          <w:rFonts w:ascii="Narkisim" w:hAnsi="Narkisim"/>
        </w:rPr>
        <w:t>.</w:t>
      </w:r>
    </w:p>
    <w:p w14:paraId="0057AD7C"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דנו להיפך, שהיו צרות מראובן ואח"כ הא' יצאה והיתה לאיש אחר, ע"י גט או מיתה. וצרתה מבעל ראשון באה להעיד על מיתת בעלה האחרון, האם חיישינן לשנאה קדומה. וה</w:t>
      </w:r>
      <w:r w:rsidRPr="007119D6">
        <w:rPr>
          <w:rFonts w:ascii="Narkisim" w:hAnsi="Narkisim"/>
          <w:b/>
          <w:bCs/>
          <w:rtl/>
        </w:rPr>
        <w:t>כס"מ</w:t>
      </w:r>
      <w:r w:rsidRPr="007119D6">
        <w:rPr>
          <w:rFonts w:ascii="Narkisim" w:hAnsi="Narkisim"/>
          <w:rtl/>
        </w:rPr>
        <w:t xml:space="preserve"> (יב טז, הו' בבי”ש יז יג) כת' דנאמנת, ולא חיישינן שמתוך שנאתה יעידו כדי לקלקלה שאינן חשודות להעיד שקר אלא להפריד בינו [הבעל שהיו צרות אצלו] ובינה. [ו</w:t>
      </w:r>
      <w:r w:rsidRPr="007119D6">
        <w:rPr>
          <w:rFonts w:ascii="Narkisim" w:hAnsi="Narkisim"/>
          <w:b/>
          <w:bCs/>
          <w:rtl/>
        </w:rPr>
        <w:t>רע"א</w:t>
      </w:r>
      <w:r w:rsidRPr="007119D6">
        <w:rPr>
          <w:rFonts w:ascii="Narkisim" w:hAnsi="Narkisim"/>
          <w:rtl/>
        </w:rPr>
        <w:t xml:space="preserve"> ביאר דרצונה להפקיעה גם צרתה מבעלה זה שתהי' כמותה, וכענין קנאת אשה בירך חברתה]. וה</w:t>
      </w:r>
      <w:r w:rsidRPr="007119D6">
        <w:rPr>
          <w:rFonts w:ascii="Narkisim" w:hAnsi="Narkisim"/>
          <w:b/>
          <w:bCs/>
          <w:rtl/>
        </w:rPr>
        <w:t>פתח"ת</w:t>
      </w:r>
      <w:r w:rsidRPr="007119D6">
        <w:rPr>
          <w:rFonts w:ascii="Narkisim" w:hAnsi="Narkisim"/>
          <w:rtl/>
        </w:rPr>
        <w:t xml:space="preserve"> (שם כד) הביא דדעת המהרח"ש דאפי' נפרדו שניהם ונשאו לאחרים אין מעידות. וציין למה"צ (שם כב)</w:t>
      </w:r>
      <w:r w:rsidRPr="007119D6">
        <w:rPr>
          <w:rFonts w:ascii="Narkisim" w:hAnsi="Narkisim"/>
        </w:rPr>
        <w:t>.</w:t>
      </w:r>
    </w:p>
  </w:footnote>
  <w:footnote w:id="7995">
    <w:p w14:paraId="3EA70BC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וכה"ק ה</w:t>
      </w:r>
      <w:r w:rsidRPr="007119D6">
        <w:rPr>
          <w:rFonts w:ascii="Narkisim" w:hAnsi="Narkisim"/>
          <w:b/>
          <w:bCs/>
          <w:rtl/>
        </w:rPr>
        <w:t>משנ"ל</w:t>
      </w:r>
      <w:r w:rsidRPr="007119D6">
        <w:rPr>
          <w:rFonts w:ascii="Narkisim" w:hAnsi="Narkisim"/>
          <w:rtl/>
        </w:rPr>
        <w:t xml:space="preserve"> (יב טז) בקו' הגמ', הו' לעיל</w:t>
      </w:r>
      <w:r w:rsidRPr="007119D6">
        <w:rPr>
          <w:rFonts w:ascii="Narkisim" w:hAnsi="Narkisim"/>
        </w:rPr>
        <w:t>.</w:t>
      </w:r>
    </w:p>
  </w:footnote>
  <w:footnote w:id="7996">
    <w:p w14:paraId="297C48D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לדעת ה</w:t>
      </w:r>
      <w:r w:rsidRPr="007119D6">
        <w:rPr>
          <w:rFonts w:ascii="Narkisim" w:hAnsi="Narkisim"/>
          <w:b/>
          <w:bCs/>
          <w:rtl/>
        </w:rPr>
        <w:t>רשב"א</w:t>
      </w:r>
      <w:r w:rsidRPr="007119D6">
        <w:rPr>
          <w:rFonts w:ascii="Narkisim" w:hAnsi="Narkisim"/>
          <w:rtl/>
        </w:rPr>
        <w:t xml:space="preserve"> (קידושין סו. הו' לעיל שם) אף היכא דאינה טוענת ברי אין מוציאין אותה מתחת בעלה</w:t>
      </w:r>
      <w:r w:rsidRPr="007119D6">
        <w:rPr>
          <w:rFonts w:ascii="Narkisim" w:hAnsi="Narkisim"/>
        </w:rPr>
        <w:t>.</w:t>
      </w:r>
    </w:p>
  </w:footnote>
  <w:footnote w:id="7997">
    <w:p w14:paraId="2003E72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די"ל דהכא הוה תקנ"ח דכיון דנשאת ע”פ עד א', אין מפרישין ע”פ עד א'. דכל עד א' בעדות אשה הוה תקנ”ח</w:t>
      </w:r>
      <w:r w:rsidRPr="007119D6">
        <w:rPr>
          <w:rFonts w:ascii="Narkisim" w:hAnsi="Narkisim"/>
        </w:rPr>
        <w:t>.</w:t>
      </w:r>
    </w:p>
  </w:footnote>
  <w:footnote w:id="7998">
    <w:p w14:paraId="50C89F9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האומר לא נטמאת בעדות סוטה, והאומר לא ראית בעגלה ערופה. [דפרשת עגלה ערופה צריך עדות. ואכמ"ל. ועוד כת' ב</w:t>
      </w:r>
      <w:r w:rsidRPr="007119D6">
        <w:rPr>
          <w:rFonts w:ascii="Narkisim" w:hAnsi="Narkisim"/>
          <w:b/>
          <w:bCs/>
          <w:rtl/>
        </w:rPr>
        <w:t>זכרון</w:t>
      </w:r>
      <w:r w:rsidRPr="007119D6">
        <w:rPr>
          <w:rFonts w:ascii="Narkisim" w:hAnsi="Narkisim"/>
          <w:rtl/>
        </w:rPr>
        <w:t xml:space="preserve"> </w:t>
      </w:r>
      <w:r w:rsidRPr="007119D6">
        <w:rPr>
          <w:rFonts w:ascii="Narkisim" w:hAnsi="Narkisim"/>
          <w:b/>
          <w:bCs/>
          <w:rtl/>
        </w:rPr>
        <w:t>שמואל</w:t>
      </w:r>
      <w:r w:rsidRPr="007119D6">
        <w:rPr>
          <w:rFonts w:ascii="Narkisim" w:hAnsi="Narkisim"/>
          <w:rtl/>
        </w:rPr>
        <w:t xml:space="preserve"> (מא ז) דעדותו הוה 'לא ראית', והכחשה דלא ראית אינו עדות בגוף המעשה]</w:t>
      </w:r>
      <w:r w:rsidRPr="007119D6">
        <w:rPr>
          <w:rFonts w:ascii="Narkisim" w:hAnsi="Narkisim"/>
        </w:rPr>
        <w:t>.</w:t>
      </w:r>
    </w:p>
  </w:footnote>
  <w:footnote w:id="7999">
    <w:p w14:paraId="3B9F091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כ"ה סברת מ"ד (ע' תוס') דעולא קאי אף בבת א', עכ"פ בעדות סוטה דאורייתא. [וע"ע בסמוך]</w:t>
      </w:r>
      <w:r w:rsidRPr="007119D6">
        <w:rPr>
          <w:rFonts w:ascii="Narkisim" w:hAnsi="Narkisim"/>
        </w:rPr>
        <w:t>.</w:t>
      </w:r>
    </w:p>
  </w:footnote>
  <w:footnote w:id="8000">
    <w:p w14:paraId="5F2CC21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וכדתנן (סוטה לא:) ע"א אומר נטמאת ועד אומר לא נטמאת היתה שותה, דאע"ג דהאי דאמר נטמאת נאמן מן התורה כב'. אפ"ה כיון דמכחיש לי' סהדא אחרינא לא מהימן</w:t>
      </w:r>
      <w:r w:rsidRPr="007119D6">
        <w:rPr>
          <w:rFonts w:ascii="Narkisim" w:hAnsi="Narkisim"/>
        </w:rPr>
        <w:t>.</w:t>
      </w:r>
    </w:p>
  </w:footnote>
  <w:footnote w:id="8001">
    <w:p w14:paraId="5320086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ר"ן</w:t>
      </w:r>
      <w:r w:rsidRPr="007119D6">
        <w:rPr>
          <w:rFonts w:ascii="Narkisim" w:hAnsi="Narkisim"/>
          <w:rtl/>
        </w:rPr>
        <w:t xml:space="preserve"> כת' עד"ז בעד א' לשבועה, ועד אחר מכחישו. אף דעד א' אינו נאמן לפטור משבועה דאורייתא, אפ"ה כשנתחייב מכח עד א', מהני עד להכחישו ולפוטרו. שהוא מכחיש העד הא' ומשוי לה כמאן דליתיה</w:t>
      </w:r>
      <w:r w:rsidRPr="007119D6">
        <w:rPr>
          <w:rFonts w:ascii="Narkisim" w:hAnsi="Narkisim"/>
        </w:rPr>
        <w:t>.</w:t>
      </w:r>
    </w:p>
  </w:footnote>
  <w:footnote w:id="8002">
    <w:p w14:paraId="0EEE91B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גר"ח</w:t>
      </w:r>
      <w:r w:rsidRPr="007119D6">
        <w:rPr>
          <w:rFonts w:ascii="Narkisim" w:hAnsi="Narkisim"/>
          <w:rtl/>
        </w:rPr>
        <w:t xml:space="preserve"> (שם) ביאר דנהי דהעד אינו נאמן לומר לא נטמאת, וכן לא ראית את ההורג. מ"מ עדותו לא בטלה, ויש כאן עדות עד א' שאומר לא נטמאה ולא ראית את ההורג ולא מת בעלה. ונהי דיש נאמנות לראשון כעד א', מ"מ כיון דאיכא כנגדו עדות אחר של עד א' מהני להכחישו. וממילא הוה עדות מוכחשת, והוי ספק השקול. דלא מצינו שהתורה האלימה עד א' לענין הכחשה, שיהא זה נאמן מזה</w:t>
      </w:r>
      <w:r w:rsidRPr="007119D6">
        <w:rPr>
          <w:rFonts w:ascii="Narkisim" w:hAnsi="Narkisim"/>
        </w:rPr>
        <w:t>.</w:t>
      </w:r>
    </w:p>
  </w:footnote>
  <w:footnote w:id="8003">
    <w:p w14:paraId="7159B5F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בסוטה שבא עד א' מעיד ואמר נטמאת שפטרוה לשתות</w:t>
      </w:r>
      <w:r w:rsidRPr="007119D6">
        <w:rPr>
          <w:rFonts w:ascii="Narkisim" w:hAnsi="Narkisim"/>
        </w:rPr>
        <w:t>.</w:t>
      </w:r>
    </w:p>
  </w:footnote>
  <w:footnote w:id="8004">
    <w:p w14:paraId="19A7527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ר"ן</w:t>
      </w:r>
      <w:r w:rsidRPr="007119D6">
        <w:rPr>
          <w:rFonts w:ascii="Narkisim" w:hAnsi="Narkisim"/>
          <w:rtl/>
        </w:rPr>
        <w:t xml:space="preserve"> (שם) כת' דהיינו דוקא בהנך דאינו מחוסר מעשה. אבל עד א' המחייבו שבועה, אפי' שבי"ד חייבוהו לישבע, כיון דמחוסר מעשה מהני עד א' להכחישו. דכל זמן שעדיין לא נשבע הוה כבת א</w:t>
      </w:r>
      <w:r w:rsidRPr="007119D6">
        <w:rPr>
          <w:rFonts w:ascii="Narkisim" w:hAnsi="Narkisim"/>
        </w:rPr>
        <w:t>'.</w:t>
      </w:r>
    </w:p>
  </w:footnote>
  <w:footnote w:id="8005">
    <w:p w14:paraId="4313C23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ועולא לא חידש דאין נאמנות לעד שלא מת, דבלאו הכי פשוט שלא ניתן לו נאמנות. אלא דמסברא מהני להכחיש דברי העד [והיכא דיש הכחשה בעדות לא מאמינים לעד מיתה. קמ"ל דהעד מיתה לא נחשב מוכחש כלל]</w:t>
      </w:r>
      <w:r w:rsidRPr="007119D6">
        <w:rPr>
          <w:rFonts w:ascii="Narkisim" w:hAnsi="Narkisim"/>
        </w:rPr>
        <w:t>.</w:t>
      </w:r>
    </w:p>
  </w:footnote>
  <w:footnote w:id="8006">
    <w:p w14:paraId="680DFAF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ועפ"ז הגר"ח ביאר דבאיסורין מהני עד א' מהכחיש, אף דהראשון נאמן כתרי. מ"מ אף העד השני מעיד באיסורין, והוה כתרי</w:t>
      </w:r>
      <w:r w:rsidRPr="007119D6">
        <w:rPr>
          <w:rFonts w:ascii="Narkisim" w:hAnsi="Narkisim"/>
        </w:rPr>
        <w:t>.</w:t>
      </w:r>
    </w:p>
  </w:footnote>
  <w:footnote w:id="8007">
    <w:p w14:paraId="7B629B4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רא"ש</w:t>
      </w:r>
      <w:r w:rsidRPr="007119D6">
        <w:rPr>
          <w:rFonts w:ascii="Narkisim" w:hAnsi="Narkisim"/>
          <w:rtl/>
        </w:rPr>
        <w:t xml:space="preserve"> (כתובות, הו' בחלק"מ סז) כת' דהוה עצה טובה, ולא איסור מדינא</w:t>
      </w:r>
      <w:r w:rsidRPr="007119D6">
        <w:rPr>
          <w:rFonts w:ascii="Narkisim" w:hAnsi="Narkisim"/>
        </w:rPr>
        <w:t>.</w:t>
      </w:r>
    </w:p>
  </w:footnote>
  <w:footnote w:id="8008">
    <w:p w14:paraId="10EC6ED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ולאוקימתא דרבא אין ראיה דאסור. [ואף דאין ראיה דרבא פליג מדינא]. וה</w:t>
      </w:r>
      <w:r w:rsidRPr="007119D6">
        <w:rPr>
          <w:rFonts w:ascii="Narkisim" w:hAnsi="Narkisim"/>
          <w:b/>
          <w:bCs/>
          <w:rtl/>
        </w:rPr>
        <w:t>גר"א</w:t>
      </w:r>
      <w:r w:rsidRPr="007119D6">
        <w:rPr>
          <w:rFonts w:ascii="Narkisim" w:hAnsi="Narkisim"/>
          <w:rtl/>
        </w:rPr>
        <w:t xml:space="preserve"> (יז קיח) כת' דהרמב"ם דחה דברי אביי משום קו' התוס'.</w:t>
      </w:r>
    </w:p>
  </w:footnote>
  <w:footnote w:id="8009">
    <w:p w14:paraId="59657C8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הק' דהגמ' (כתובות כב:) מק' א"ה לכתחילה נמי, ולא ידעו הא חשש לזות שפחיים דרב אסי. וע"כ דלא הוה משנה ערוכה. ותי' די"ל דהמקשן ס"ל דעולא איירי בזה אחר זה, ומש"ה בבת א' לא תנשא</w:t>
      </w:r>
      <w:r w:rsidRPr="007119D6">
        <w:rPr>
          <w:rFonts w:ascii="Narkisim" w:hAnsi="Narkisim"/>
        </w:rPr>
        <w:t>.</w:t>
      </w:r>
    </w:p>
  </w:footnote>
  <w:footnote w:id="8010">
    <w:p w14:paraId="2567575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חי' הר"ן</w:t>
      </w:r>
      <w:r w:rsidRPr="007119D6">
        <w:rPr>
          <w:rFonts w:ascii="Narkisim" w:hAnsi="Narkisim"/>
          <w:rtl/>
        </w:rPr>
        <w:t xml:space="preserve"> (הנ"ל) ביאר הטעם דכבר נעשית מעשה על פיו. דכיון דהתירו לינשא, ואינו מחוסר מעשה הוה כאילו כבר נשאת</w:t>
      </w:r>
      <w:r w:rsidRPr="007119D6">
        <w:rPr>
          <w:rFonts w:ascii="Narkisim" w:hAnsi="Narkisim"/>
        </w:rPr>
        <w:t>.</w:t>
      </w:r>
    </w:p>
  </w:footnote>
  <w:footnote w:id="8011">
    <w:p w14:paraId="088F11C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ולפ"ז מש"כ הר"ן בהכחשה דע"א המחייב שבועה יהא תלוי בתי' התוס' אי עולא פליג בבת א</w:t>
      </w:r>
      <w:r w:rsidRPr="007119D6">
        <w:rPr>
          <w:rFonts w:ascii="Narkisim" w:hAnsi="Narkisim"/>
        </w:rPr>
        <w:t>'.</w:t>
      </w:r>
    </w:p>
  </w:footnote>
  <w:footnote w:id="8012">
    <w:p w14:paraId="73A8EED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והוה דין נאמנות מחודש לעד לענין שלא יוכחש. ולא רק סברא פשוטו דאין לעד השני נאמנות</w:t>
      </w:r>
      <w:r w:rsidRPr="007119D6">
        <w:rPr>
          <w:rFonts w:ascii="Narkisim" w:hAnsi="Narkisim"/>
        </w:rPr>
        <w:t>].</w:t>
      </w:r>
    </w:p>
  </w:footnote>
  <w:footnote w:id="8013">
    <w:p w14:paraId="32DF336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כת' </w:t>
      </w:r>
      <w:r w:rsidRPr="007119D6">
        <w:rPr>
          <w:rFonts w:ascii="Narkisim" w:hAnsi="Narkisim"/>
          <w:b/>
          <w:bCs/>
          <w:rtl/>
        </w:rPr>
        <w:t>תוס'</w:t>
      </w:r>
      <w:r w:rsidRPr="007119D6">
        <w:rPr>
          <w:rFonts w:ascii="Narkisim" w:hAnsi="Narkisim"/>
          <w:rtl/>
        </w:rPr>
        <w:t xml:space="preserve"> (ריש קיח.) דעד א' בסוטה שנאמן מה"ת עדיף</w:t>
      </w:r>
      <w:r w:rsidRPr="007119D6">
        <w:rPr>
          <w:rFonts w:ascii="Narkisim" w:hAnsi="Narkisim"/>
        </w:rPr>
        <w:t>.</w:t>
      </w:r>
    </w:p>
  </w:footnote>
  <w:footnote w:id="8014">
    <w:p w14:paraId="37C4B28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ואפשר דיל"פ ע"פ דברי ה</w:t>
      </w:r>
      <w:r w:rsidRPr="007119D6">
        <w:rPr>
          <w:rFonts w:ascii="Narkisim" w:hAnsi="Narkisim"/>
          <w:b/>
          <w:bCs/>
          <w:rtl/>
        </w:rPr>
        <w:t>ר"ן</w:t>
      </w:r>
      <w:r w:rsidRPr="007119D6">
        <w:rPr>
          <w:rFonts w:ascii="Narkisim" w:hAnsi="Narkisim"/>
          <w:rtl/>
        </w:rPr>
        <w:t xml:space="preserve"> (ב"מ ב: הנ"ל) דהא דעולא הוה דוקא לאחר שנעשית מעשה ע"פ, ובעדות אשה ע"י שהתירוה לינשא זכתה בעצמה. אבל בעדות סוטה ועגלה ערופה ל”ש מעשה כלל, ועיקר העדות הוא במה שבי"ד שמעו דבריהם. ומש"ה אף בבת א' נחשב שנגמר כבר הדבר {ויל”ע בזה, דבבת א' ממש עדיין לא נגמר כלל}. [אך דברי התוס' לא משמע כן]</w:t>
      </w:r>
      <w:r w:rsidRPr="007119D6">
        <w:rPr>
          <w:rFonts w:ascii="Narkisim" w:hAnsi="Narkisim"/>
        </w:rPr>
        <w:t>.</w:t>
      </w:r>
    </w:p>
  </w:footnote>
  <w:footnote w:id="8015">
    <w:p w14:paraId="10023F1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וע' מש"כ לעיל פח. דגדר דייקא ומינסבא נקבע בשעה שהתירוה לינשא, ואף קודם שנשאת בפועל. ומש"ה גובה כתובתה מעכשיו. וצ"ע</w:t>
      </w:r>
      <w:r w:rsidRPr="007119D6">
        <w:rPr>
          <w:rFonts w:ascii="Narkisim" w:hAnsi="Narkisim"/>
        </w:rPr>
        <w:t>].</w:t>
      </w:r>
    </w:p>
  </w:footnote>
  <w:footnote w:id="8016">
    <w:p w14:paraId="413AF87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י"ל לצד (הו' לעיל שם) דעדות עד א' [במקום דעבידא לאיגלויי וכדו'] תלי בשיקול הדעת של הבי”ד לקבלו, א”כ כשבאו בבת א', ועדיין לא הכריעו הבי”ד לסמוך על פיהם, עדיין לא הוה כב'. משא”כ עד א' בסוטה ובעגלה ערופה דמיד בעדותו הוה כב</w:t>
      </w:r>
      <w:r w:rsidRPr="007119D6">
        <w:rPr>
          <w:rFonts w:ascii="Narkisim" w:hAnsi="Narkisim"/>
        </w:rPr>
        <w:t>'.</w:t>
      </w:r>
    </w:p>
  </w:footnote>
  <w:footnote w:id="8017">
    <w:p w14:paraId="0E5C013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וכ"ה לשון ה</w:t>
      </w:r>
      <w:r w:rsidRPr="007119D6">
        <w:rPr>
          <w:rFonts w:ascii="Narkisim" w:hAnsi="Narkisim"/>
          <w:b/>
          <w:bCs/>
          <w:rtl/>
        </w:rPr>
        <w:t>רמב"ם</w:t>
      </w:r>
      <w:r w:rsidRPr="007119D6">
        <w:rPr>
          <w:rFonts w:ascii="Narkisim" w:hAnsi="Narkisim"/>
          <w:rtl/>
        </w:rPr>
        <w:t xml:space="preserve"> (רוצח ט יד) דהרי הן כב' עדים המכחישים זה את זה. וה</w:t>
      </w:r>
      <w:r w:rsidRPr="007119D6">
        <w:rPr>
          <w:rFonts w:ascii="Narkisim" w:hAnsi="Narkisim"/>
          <w:b/>
          <w:bCs/>
          <w:rtl/>
        </w:rPr>
        <w:t>לח"מ</w:t>
      </w:r>
      <w:r w:rsidRPr="007119D6">
        <w:rPr>
          <w:rFonts w:ascii="Narkisim" w:hAnsi="Narkisim"/>
          <w:rtl/>
        </w:rPr>
        <w:t xml:space="preserve"> (גירושין יב יח) וכן ה</w:t>
      </w:r>
      <w:r w:rsidRPr="007119D6">
        <w:rPr>
          <w:rFonts w:ascii="Narkisim" w:hAnsi="Narkisim"/>
          <w:b/>
          <w:bCs/>
          <w:rtl/>
        </w:rPr>
        <w:t>תרה"כ</w:t>
      </w:r>
      <w:r w:rsidRPr="007119D6">
        <w:rPr>
          <w:rFonts w:ascii="Narkisim" w:hAnsi="Narkisim"/>
          <w:rtl/>
        </w:rPr>
        <w:t xml:space="preserve"> (לא) וה</w:t>
      </w:r>
      <w:r w:rsidRPr="007119D6">
        <w:rPr>
          <w:rFonts w:ascii="Narkisim" w:hAnsi="Narkisim"/>
          <w:b/>
          <w:bCs/>
          <w:rtl/>
        </w:rPr>
        <w:t>גר”ח</w:t>
      </w:r>
      <w:r w:rsidRPr="007119D6">
        <w:rPr>
          <w:rFonts w:ascii="Narkisim" w:hAnsi="Narkisim"/>
          <w:rtl/>
        </w:rPr>
        <w:t xml:space="preserve"> (רוצח שם) תמהו בזה. [והגר"ח כת' דיש לדחות דה"ק דהוה הכחשה, ואינו נאמן להכחיש ב'. ודוחק]</w:t>
      </w:r>
      <w:r w:rsidRPr="007119D6">
        <w:rPr>
          <w:rFonts w:ascii="Narkisim" w:hAnsi="Narkisim"/>
        </w:rPr>
        <w:t>.</w:t>
      </w:r>
    </w:p>
    <w:p w14:paraId="7AA890F2"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תרה"כ</w:t>
      </w:r>
      <w:r w:rsidRPr="007119D6">
        <w:rPr>
          <w:rFonts w:ascii="Narkisim" w:hAnsi="Narkisim"/>
          <w:rtl/>
        </w:rPr>
        <w:t xml:space="preserve"> כת' דעכ"פ מבואר ברמב"ם דבתרי ותרי עורפין, כיון דלא נתברר מי הכהו [ע"ע מש"כ בסמוך ע"ד התוס'], וכת' דעפ”ז יש להקל בקושיה, דהרמב"ם קמ"ל דאף תרי ותרי עורפין. ונקט טעם אמת, אף דקאי באופן דאין דבריו של א' במקום שנים</w:t>
      </w:r>
      <w:r w:rsidRPr="007119D6">
        <w:rPr>
          <w:rFonts w:ascii="Narkisim" w:hAnsi="Narkisim"/>
        </w:rPr>
        <w:t>.</w:t>
      </w:r>
    </w:p>
    <w:p w14:paraId="2FCD838F"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גר"ח</w:t>
      </w:r>
      <w:r w:rsidRPr="007119D6">
        <w:rPr>
          <w:rFonts w:ascii="Narkisim" w:hAnsi="Narkisim"/>
          <w:rtl/>
        </w:rPr>
        <w:t xml:space="preserve"> יישב דאיירי בעדות מיוחדת, והעד מוכחש מכל א' מהעדים בפנ”ע. [ובגדרי ההכחשה דנים במה שהוכחשה מהעד בפנ”ע, עי”ש שהאריך]. וה</w:t>
      </w:r>
      <w:r w:rsidRPr="007119D6">
        <w:rPr>
          <w:rFonts w:ascii="Narkisim" w:hAnsi="Narkisim"/>
          <w:b/>
          <w:bCs/>
          <w:rtl/>
        </w:rPr>
        <w:t>חזו”א</w:t>
      </w:r>
      <w:r w:rsidRPr="007119D6">
        <w:rPr>
          <w:rFonts w:ascii="Narkisim" w:hAnsi="Narkisim"/>
          <w:rtl/>
        </w:rPr>
        <w:t xml:space="preserve"> בגליונות חלק דאף בעדות מיוחדת נחשב דמכחיש עדות, ועד א' במקום ב' כמאן דליתא. [ע"ע תוס' ב"ק עג.]. ועוה"ק החזו"א דלא משכח"ל עדות מיוחדת בעדות לא ראית. {ואפשר דהגר"ח קאי דוקא בעד א' שנתקבל כתרי, וכדעולא}</w:t>
      </w:r>
      <w:r w:rsidRPr="007119D6">
        <w:rPr>
          <w:rFonts w:ascii="Narkisim" w:hAnsi="Narkisim"/>
        </w:rPr>
        <w:t>.</w:t>
      </w:r>
    </w:p>
  </w:footnote>
  <w:footnote w:id="8018">
    <w:p w14:paraId="7A3CD14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וכ"מ בדברי </w:t>
      </w:r>
      <w:r w:rsidRPr="007119D6">
        <w:rPr>
          <w:rFonts w:ascii="Narkisim" w:hAnsi="Narkisim"/>
          <w:b/>
          <w:bCs/>
          <w:rtl/>
        </w:rPr>
        <w:t>רש"י</w:t>
      </w:r>
      <w:r w:rsidRPr="007119D6">
        <w:rPr>
          <w:rFonts w:ascii="Narkisim" w:hAnsi="Narkisim"/>
          <w:rtl/>
        </w:rPr>
        <w:t xml:space="preserve"> (ריש קיח.) דאף באשה אומרת מת ואשה אומרת לא מת, היכא דהתירוה מהני</w:t>
      </w:r>
      <w:r w:rsidRPr="007119D6">
        <w:rPr>
          <w:rFonts w:ascii="Narkisim" w:hAnsi="Narkisim"/>
        </w:rPr>
        <w:t>.</w:t>
      </w:r>
    </w:p>
  </w:footnote>
  <w:footnote w:id="8019">
    <w:p w14:paraId="0A36545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קר"א</w:t>
      </w:r>
      <w:r w:rsidRPr="007119D6">
        <w:rPr>
          <w:rFonts w:ascii="Narkisim" w:hAnsi="Narkisim"/>
          <w:rtl/>
        </w:rPr>
        <w:t xml:space="preserve"> נסתפק היכא דנשאת, די"ל דכיון דכבר נשאת ל"מ עד אחר להכחיש. ולא תצא. וכת' דדין זה צ"ע בדברי הפוסקים</w:t>
      </w:r>
      <w:r w:rsidRPr="007119D6">
        <w:rPr>
          <w:rFonts w:ascii="Narkisim" w:hAnsi="Narkisim"/>
        </w:rPr>
        <w:t>.</w:t>
      </w:r>
    </w:p>
  </w:footnote>
  <w:footnote w:id="8020">
    <w:p w14:paraId="614E274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ומש"ה דוקא במידי דצריך עדות, והתורה האמינה עד א' כב'. אבל עד א' באיסורין לא האמינתו תורה כב' עדים. ונח' בזה הפוסקים. וע' מה שהו' (לעיל פח:)</w:t>
      </w:r>
      <w:r w:rsidRPr="007119D6">
        <w:rPr>
          <w:rFonts w:ascii="Narkisim" w:hAnsi="Narkisim"/>
        </w:rPr>
        <w:t>.</w:t>
      </w:r>
    </w:p>
  </w:footnote>
  <w:footnote w:id="8021">
    <w:p w14:paraId="0E46C0C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דאפשר דעד כשר מהני בתורת עדות, ומש"ה אמרי' דהאמינתו תורה כב' עדים. אבל עד פסול מהני מגדרי אומדנא [וע' מש”כ בזה לעיל פח.], ולא בתורת עדות. ומש"ה לא אמרי' עד א' כב</w:t>
      </w:r>
      <w:r w:rsidRPr="007119D6">
        <w:rPr>
          <w:rFonts w:ascii="Narkisim" w:hAnsi="Narkisim"/>
        </w:rPr>
        <w:t>'.</w:t>
      </w:r>
    </w:p>
  </w:footnote>
  <w:footnote w:id="8022">
    <w:p w14:paraId="4B5EDCF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והביאו דה</w:t>
      </w:r>
      <w:r w:rsidRPr="007119D6">
        <w:rPr>
          <w:rFonts w:ascii="Narkisim" w:hAnsi="Narkisim"/>
          <w:b/>
          <w:bCs/>
          <w:rtl/>
        </w:rPr>
        <w:t>תשב"ץ</w:t>
      </w:r>
      <w:r w:rsidRPr="007119D6">
        <w:rPr>
          <w:rFonts w:ascii="Narkisim" w:hAnsi="Narkisim"/>
          <w:rtl/>
        </w:rPr>
        <w:t xml:space="preserve"> (א סו) כת' דעד א' באיסורין שמעיד טמא, ואח"כ העידו ב' שאינו טמא. דדינו כתרי ותרי ואסור מספק. וה</w:t>
      </w:r>
      <w:r w:rsidRPr="007119D6">
        <w:rPr>
          <w:rFonts w:ascii="Narkisim" w:hAnsi="Narkisim"/>
          <w:b/>
          <w:bCs/>
          <w:rtl/>
        </w:rPr>
        <w:t>אחרונים</w:t>
      </w:r>
      <w:r w:rsidRPr="007119D6">
        <w:rPr>
          <w:rFonts w:ascii="Narkisim" w:hAnsi="Narkisim"/>
          <w:rtl/>
        </w:rPr>
        <w:t xml:space="preserve"> (אמרי בינה עדות כד) תמהו דודאי ב' עדים עדיפי</w:t>
      </w:r>
      <w:r w:rsidRPr="007119D6">
        <w:rPr>
          <w:rFonts w:ascii="Narkisim" w:hAnsi="Narkisim"/>
        </w:rPr>
        <w:t>.</w:t>
      </w:r>
    </w:p>
  </w:footnote>
  <w:footnote w:id="8023">
    <w:p w14:paraId="1150234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בעה"מ</w:t>
      </w:r>
      <w:r w:rsidRPr="007119D6">
        <w:rPr>
          <w:rFonts w:ascii="Narkisim" w:hAnsi="Narkisim"/>
          <w:rtl/>
        </w:rPr>
        <w:t xml:space="preserve"> ביאר דמוקמי' אחזקה [שהיא טהורה]</w:t>
      </w:r>
      <w:r w:rsidRPr="007119D6">
        <w:rPr>
          <w:rFonts w:ascii="Narkisim" w:hAnsi="Narkisim"/>
        </w:rPr>
        <w:t>.</w:t>
      </w:r>
    </w:p>
  </w:footnote>
  <w:footnote w:id="8024">
    <w:p w14:paraId="4A657CE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מאירי</w:t>
      </w:r>
      <w:r w:rsidRPr="007119D6">
        <w:rPr>
          <w:rFonts w:ascii="Narkisim" w:hAnsi="Narkisim"/>
          <w:rtl/>
        </w:rPr>
        <w:t xml:space="preserve"> (סוטה לא ד”ה ואחר) עד א' כשר אומר נטמאת, וב' אומרים לא נטמאת, אף לאחר זמן, הרי זו שותה. שהרי אע"פ שהאמינה תורה את הראשון כשנים מ"מ שנים ושנים הם. [וע"ע זכרון שמואל מא ה וט]</w:t>
      </w:r>
      <w:r w:rsidRPr="007119D6">
        <w:rPr>
          <w:rFonts w:ascii="Narkisim" w:hAnsi="Narkisim"/>
        </w:rPr>
        <w:t>.</w:t>
      </w:r>
    </w:p>
  </w:footnote>
  <w:footnote w:id="8025">
    <w:p w14:paraId="3275B9A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דה</w:t>
      </w:r>
      <w:r w:rsidRPr="007119D6">
        <w:rPr>
          <w:rFonts w:ascii="Narkisim" w:hAnsi="Narkisim"/>
          <w:b/>
          <w:bCs/>
          <w:rtl/>
        </w:rPr>
        <w:t>פנ”י</w:t>
      </w:r>
      <w:r w:rsidRPr="007119D6">
        <w:rPr>
          <w:rFonts w:ascii="Narkisim" w:hAnsi="Narkisim"/>
          <w:rtl/>
        </w:rPr>
        <w:t xml:space="preserve"> (כתובות כו: בקו”א פז) תמה בזה דהיכא דב' מכחישין אין בדברי הראשון כלום. מ"מ למדין אנו ממנו דס"ל דתרי ותרי שותה</w:t>
      </w:r>
      <w:r w:rsidRPr="007119D6">
        <w:rPr>
          <w:rFonts w:ascii="Narkisim" w:hAnsi="Narkisim"/>
        </w:rPr>
        <w:t>.</w:t>
      </w:r>
    </w:p>
  </w:footnote>
  <w:footnote w:id="8026">
    <w:p w14:paraId="695F3E2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תרה"כ</w:t>
      </w:r>
      <w:r w:rsidRPr="007119D6">
        <w:rPr>
          <w:rFonts w:ascii="Narkisim" w:hAnsi="Narkisim"/>
          <w:rtl/>
        </w:rPr>
        <w:t xml:space="preserve"> תמה דהסברא נותנת דלא תשתה, דהרי אף לאחר השתיה [והמים לא בדקוה] תאסור לבעלה, כיון דתרי סהדי מסהדי לפנינו דנטמאת, ואסורה מספק בתרי ותרי. [ואין ראיה ממה שהמים לא בדקו אותה, להכריע שהאמת ככת שאמרו לא נטמאת, דהא קי"ל כרב ששת (סוטה ו.) דסוטה שיש לה עדים אינה נבדקת]</w:t>
      </w:r>
      <w:r w:rsidRPr="007119D6">
        <w:rPr>
          <w:rFonts w:ascii="Narkisim" w:hAnsi="Narkisim"/>
        </w:rPr>
        <w:t>.</w:t>
      </w:r>
    </w:p>
  </w:footnote>
  <w:footnote w:id="8027">
    <w:p w14:paraId="05E0A19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עיקר הנידון בגדר עד סוטה ובעגלה ערופה [בדאורייתא], ותקנו עפ"ז הגדר בעדות אשה</w:t>
      </w:r>
      <w:r w:rsidRPr="007119D6">
        <w:rPr>
          <w:rFonts w:ascii="Narkisim" w:hAnsi="Narkisim"/>
        </w:rPr>
        <w:t>.</w:t>
      </w:r>
    </w:p>
  </w:footnote>
  <w:footnote w:id="8028">
    <w:p w14:paraId="15A3A02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ולפ"ז נח' הלשונות האם עד א' כשר הוה תורת עדות או דין נאמנות. וכ"כ ה</w:t>
      </w:r>
      <w:r w:rsidRPr="007119D6">
        <w:rPr>
          <w:rFonts w:ascii="Narkisim" w:hAnsi="Narkisim"/>
          <w:b/>
          <w:bCs/>
          <w:rtl/>
        </w:rPr>
        <w:t>ברכ”ש</w:t>
      </w:r>
      <w:r w:rsidRPr="007119D6">
        <w:rPr>
          <w:rFonts w:ascii="Narkisim" w:hAnsi="Narkisim"/>
          <w:rtl/>
        </w:rPr>
        <w:t xml:space="preserve"> (יא א). עי"ש המשך דבריו</w:t>
      </w:r>
      <w:r w:rsidRPr="007119D6">
        <w:rPr>
          <w:rFonts w:ascii="Narkisim" w:hAnsi="Narkisim"/>
        </w:rPr>
        <w:t>.</w:t>
      </w:r>
    </w:p>
  </w:footnote>
  <w:footnote w:id="8029">
    <w:p w14:paraId="4144D06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ואינו חולק על רש"י. וכ"פ הטור והרמ"א (יז לז) כרש"י</w:t>
      </w:r>
      <w:r w:rsidRPr="007119D6">
        <w:rPr>
          <w:rFonts w:ascii="Narkisim" w:hAnsi="Narkisim"/>
        </w:rPr>
        <w:t>.</w:t>
      </w:r>
    </w:p>
  </w:footnote>
  <w:footnote w:id="8030">
    <w:p w14:paraId="07FB515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ה"ה</w:t>
      </w:r>
      <w:r w:rsidRPr="007119D6">
        <w:rPr>
          <w:rFonts w:ascii="Narkisim" w:hAnsi="Narkisim"/>
          <w:rtl/>
        </w:rPr>
        <w:t xml:space="preserve"> הוסיף דהרמב"ם קאי לשיטתו דבעד פסול לא אמרי' עד א' כשניים. דלדעת הרמב"ן אמרי' דהאשה הוה כתרי, ולא תצא מהיתירא הראשון. [ואף אילו העד כשר עדיף מעד פסול, מ"מ כיון דהאשה הוה כשנים ל"מ עד א' לאסור]</w:t>
      </w:r>
      <w:r w:rsidRPr="007119D6">
        <w:rPr>
          <w:rFonts w:ascii="Narkisim" w:hAnsi="Narkisim"/>
        </w:rPr>
        <w:t>.</w:t>
      </w:r>
    </w:p>
  </w:footnote>
  <w:footnote w:id="8031">
    <w:p w14:paraId="4F6C353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והקובה"ע העיר דעד א' שלא מת מעמידה בחזקתה. א"כ נימא דעד א' נאמן מדאורייתא [אף בדבר שבערוה, ודוקא כשמוציא מחזקתה צריך נאמנות מחודשת. ע' לעיל פח.]. ומש"ה עד כשר נאמן. [אך ילה"ק א"כ אף בדברי עולא, נימא דהעד שלא מת עדיף, דמהני עדותו מדאורייתא כיון דמעמיד על חזקתה]</w:t>
      </w:r>
      <w:r w:rsidRPr="007119D6">
        <w:rPr>
          <w:rFonts w:ascii="Narkisim" w:hAnsi="Narkisim"/>
        </w:rPr>
        <w:t>.</w:t>
      </w:r>
    </w:p>
  </w:footnote>
  <w:footnote w:id="8032">
    <w:p w14:paraId="0543860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ונהי דאילו בא מתחילה אמרי' דשקולים וכדין תרי ותרי, כיון דכבר קבלו עדות הנשים עדיפי. וצ"ע. עד”ז הק' הקובה"ע</w:t>
      </w:r>
      <w:r w:rsidRPr="007119D6">
        <w:rPr>
          <w:rFonts w:ascii="Narkisim" w:hAnsi="Narkisim"/>
        </w:rPr>
        <w:t>.</w:t>
      </w:r>
    </w:p>
  </w:footnote>
  <w:footnote w:id="8033">
    <w:p w14:paraId="0A79BA1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ומשמע דהמרדכי איירי אפי' בזה אחר זה</w:t>
      </w:r>
      <w:r w:rsidRPr="007119D6">
        <w:rPr>
          <w:rFonts w:ascii="Narkisim" w:hAnsi="Narkisim"/>
        </w:rPr>
        <w:t>.</w:t>
      </w:r>
    </w:p>
  </w:footnote>
  <w:footnote w:id="8034">
    <w:p w14:paraId="7AE4243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משנ"ל</w:t>
      </w:r>
      <w:r w:rsidRPr="007119D6">
        <w:rPr>
          <w:rFonts w:ascii="Narkisim" w:hAnsi="Narkisim"/>
          <w:rtl/>
        </w:rPr>
        <w:t xml:space="preserve"> נקט דכ"ד ר"ע (במשנה קיח.) דאוסר לאכול בתרומה. ע"ע בסמוך</w:t>
      </w:r>
      <w:r w:rsidRPr="007119D6">
        <w:rPr>
          <w:rFonts w:ascii="Narkisim" w:hAnsi="Narkisim"/>
        </w:rPr>
        <w:t>.</w:t>
      </w:r>
    </w:p>
  </w:footnote>
  <w:footnote w:id="8035">
    <w:p w14:paraId="1D4E76D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ויש לחלק דהיכא דבאה להתירה הוה ספק האם מתכוונת לקלקלה. אבל היכא דבאה להכחיש ולאסור אינה נאמנת כלל</w:t>
      </w:r>
      <w:r w:rsidRPr="007119D6">
        <w:rPr>
          <w:rFonts w:ascii="Narkisim" w:hAnsi="Narkisim"/>
        </w:rPr>
        <w:t>.</w:t>
      </w:r>
    </w:p>
  </w:footnote>
  <w:footnote w:id="8036">
    <w:p w14:paraId="6631478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השמעתתא נקט דספק עדים מהני להכחיש עדות ודאית. והוה ספק. ועי"ל דהש"ש הק' דוקא במתני' דהאשה עצמה אמרה מת בעלה, דהוה בגדר טענת ברי, ולא בגדר עדות. וכיון דיש ספק הכחשה נגדה חיישינן. [וקודם שנשאת לא נחשב 'להוציא']</w:t>
      </w:r>
      <w:r w:rsidRPr="007119D6">
        <w:rPr>
          <w:rFonts w:ascii="Narkisim" w:hAnsi="Narkisim"/>
        </w:rPr>
        <w:t>.</w:t>
      </w:r>
    </w:p>
  </w:footnote>
  <w:footnote w:id="8037">
    <w:p w14:paraId="0B910B5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שאחות הבעל העידה שהיה לאח שומא במקום סתר, א"כ אינו זה שמצאו מת. ואין שום אדם שמכחיש שלבעל לא היה שומא</w:t>
      </w:r>
      <w:r w:rsidRPr="007119D6">
        <w:rPr>
          <w:rFonts w:ascii="Narkisim" w:hAnsi="Narkisim"/>
        </w:rPr>
        <w:t>.</w:t>
      </w:r>
    </w:p>
  </w:footnote>
  <w:footnote w:id="8038">
    <w:p w14:paraId="566BC1A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מדברי הגמ' (קיח.) ר' יוחנן לר”ע דבמקום דלא הוה הכחשה, לא אמרי' דלאו כלום הוא. [וצ”ב כוונתו, ומשמע דסברת ר' מאיר דכיון דמעידה על עצמה מש”ה נאמנת על חברתה. אך מ”מ צ”ע האיך למד כן אף לדידין]</w:t>
      </w:r>
      <w:r w:rsidRPr="007119D6">
        <w:rPr>
          <w:rFonts w:ascii="Narkisim" w:hAnsi="Narkisim"/>
        </w:rPr>
        <w:t>.</w:t>
      </w:r>
    </w:p>
  </w:footnote>
  <w:footnote w:id="8039">
    <w:p w14:paraId="7EF1B38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הג' חש"ל</w:t>
      </w:r>
      <w:r w:rsidRPr="007119D6">
        <w:rPr>
          <w:rFonts w:ascii="Narkisim" w:hAnsi="Narkisim"/>
          <w:rtl/>
        </w:rPr>
        <w:t xml:space="preserve"> כת' דמח' ר"מ ור"י ור"ש תלי במח' (לקמן קכב:) אי צריך דרישות וחקירות בעדות אשה. ואי צריך דרישות וחקירות, הכחשה בבדיקות פוסל (ע' סנהדרין ל). ואף באשה עצמה [עדות צרה] פוסל</w:t>
      </w:r>
      <w:r w:rsidRPr="007119D6">
        <w:rPr>
          <w:rFonts w:ascii="Narkisim" w:hAnsi="Narkisim"/>
        </w:rPr>
        <w:t>.</w:t>
      </w:r>
    </w:p>
  </w:footnote>
  <w:footnote w:id="8040">
    <w:p w14:paraId="19805BC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פי' מה בין עדים מה בין צרה, לא עשו דברי צרה אצל חברתה כלום</w:t>
      </w:r>
      <w:r w:rsidRPr="007119D6">
        <w:rPr>
          <w:rFonts w:ascii="Narkisim" w:hAnsi="Narkisim"/>
        </w:rPr>
        <w:t>.</w:t>
      </w:r>
    </w:p>
  </w:footnote>
  <w:footnote w:id="8041">
    <w:p w14:paraId="6C4D4A7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דנח' (סנהדרין ל: לא.) עד א' אומר מנה לבן וא' אומר מנה שחור, דדעת רבא דאין מצטרפין, ונהרדעי אמרי דמצטרפים</w:t>
      </w:r>
      <w:r w:rsidRPr="007119D6">
        <w:rPr>
          <w:rFonts w:ascii="Narkisim" w:hAnsi="Narkisim"/>
        </w:rPr>
        <w:t>.</w:t>
      </w:r>
    </w:p>
    <w:p w14:paraId="6C2D9B87"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ועוד נח' ר"ש בן אלעזר אמר דנחלקו בי"ש ובי"ה בכת א', שא' אומר מאתים וא' אומר מנה, דלבי"ש נח' עדותן, ובי"ה אמרי יש בכלל ר' מנה. ואילו לת"ק נח' בב' כיתי עדים, ואילו כת א' לכו”ע אינו מצטרף. ותוס' (שם) כת' דאף רבא קאי כר"ש ב"א לבי"ה, אלא דס"ל דמנה שחור גרע ממאתים, שמודים איזה מין היה [ואכמ"ל]</w:t>
      </w:r>
      <w:r w:rsidRPr="007119D6">
        <w:rPr>
          <w:rFonts w:ascii="Narkisim" w:hAnsi="Narkisim"/>
        </w:rPr>
        <w:t>.</w:t>
      </w:r>
    </w:p>
  </w:footnote>
  <w:footnote w:id="8042">
    <w:p w14:paraId="2CB4792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(שם מח) הביא מה</w:t>
      </w:r>
      <w:r w:rsidRPr="007119D6">
        <w:rPr>
          <w:rFonts w:ascii="Narkisim" w:hAnsi="Narkisim"/>
          <w:b/>
          <w:bCs/>
          <w:rtl/>
        </w:rPr>
        <w:t>נוב"י</w:t>
      </w:r>
      <w:r w:rsidRPr="007119D6">
        <w:rPr>
          <w:rFonts w:ascii="Narkisim" w:hAnsi="Narkisim"/>
          <w:rtl/>
        </w:rPr>
        <w:t xml:space="preserve"> (ת נו) דאף </w:t>
      </w:r>
      <w:r w:rsidRPr="007119D6">
        <w:rPr>
          <w:rFonts w:ascii="Narkisim" w:hAnsi="Narkisim"/>
          <w:b/>
          <w:bCs/>
          <w:rtl/>
        </w:rPr>
        <w:t>ראב"ן</w:t>
      </w:r>
      <w:r w:rsidRPr="007119D6">
        <w:rPr>
          <w:rFonts w:ascii="Narkisim" w:hAnsi="Narkisim"/>
          <w:rtl/>
        </w:rPr>
        <w:t xml:space="preserve"> ס"ל כ</w:t>
      </w:r>
      <w:r w:rsidRPr="007119D6">
        <w:rPr>
          <w:rFonts w:ascii="Narkisim" w:hAnsi="Narkisim"/>
          <w:b/>
          <w:bCs/>
          <w:rtl/>
        </w:rPr>
        <w:t>רא"ש</w:t>
      </w:r>
      <w:r w:rsidRPr="007119D6">
        <w:rPr>
          <w:rFonts w:ascii="Narkisim" w:hAnsi="Narkisim"/>
          <w:rtl/>
        </w:rPr>
        <w:t>, ד</w:t>
      </w:r>
      <w:r w:rsidRPr="007119D6">
        <w:rPr>
          <w:rFonts w:ascii="Narkisim" w:hAnsi="Narkisim"/>
          <w:b/>
          <w:bCs/>
          <w:rtl/>
        </w:rPr>
        <w:t>ראב"ן</w:t>
      </w:r>
      <w:r w:rsidRPr="007119D6">
        <w:rPr>
          <w:rFonts w:ascii="Narkisim" w:hAnsi="Narkisim"/>
          <w:rtl/>
        </w:rPr>
        <w:t xml:space="preserve"> (כאן) הביא כת' דר' מאיר סבר כת"ק דרשב"א (סנהדרין הנ"ל וב"ב מא.) דעדים המכחישין אין מצטרפין לכת א'. [ור' יהודה ור' שמעון כראבר"ש דלבי"ה מצטרפין, דבכלל מאתיים מנה, וה"נ בכלל מת נהרג, ובכלל נהרג מת והואיל ושוות בהא דאינו קיים ינשאו, ול"ה הכחשה. [וצ"ע דאיירי בסוגיין בצרות</w:t>
      </w:r>
      <w:r w:rsidRPr="007119D6">
        <w:rPr>
          <w:rFonts w:ascii="Narkisim" w:hAnsi="Narkisim"/>
        </w:rPr>
        <w:t>].</w:t>
      </w:r>
    </w:p>
  </w:footnote>
  <w:footnote w:id="8043">
    <w:p w14:paraId="2299021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ואמאי הטור תלה דבריו בשו"ת הרא"ש, שלמד כן ממתני</w:t>
      </w:r>
      <w:r w:rsidRPr="007119D6">
        <w:rPr>
          <w:rFonts w:ascii="Narkisim" w:hAnsi="Narkisim"/>
        </w:rPr>
        <w:t>'.</w:t>
      </w:r>
    </w:p>
  </w:footnote>
  <w:footnote w:id="8044">
    <w:p w14:paraId="62F32C2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וכדמבואר בגמ' דנח' אף ברישא, דל"מ להכחיש. ואיזה תלמיד טועה כתבו [בשו"ת הרא"ש ובטור] וכשומע שמע וטעה. וכת' דבמעשה של הרא"ש איירי בהכחשה בבדיקות ומש"ה אינו פוסל, דלא הכחיש בגוף המעשה. אבל הכא הכחיש בדרישות [בגוף המעשה] בטלה עדותן. [ע' בסמוך]</w:t>
      </w:r>
      <w:r w:rsidRPr="007119D6">
        <w:rPr>
          <w:rFonts w:ascii="Narkisim" w:hAnsi="Narkisim"/>
        </w:rPr>
        <w:t>.</w:t>
      </w:r>
    </w:p>
  </w:footnote>
  <w:footnote w:id="8045">
    <w:p w14:paraId="25F1227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כ"כ ה</w:t>
      </w:r>
      <w:r w:rsidRPr="007119D6">
        <w:rPr>
          <w:rFonts w:ascii="Narkisim" w:hAnsi="Narkisim"/>
          <w:b/>
          <w:bCs/>
          <w:rtl/>
        </w:rPr>
        <w:t>רמב"ם</w:t>
      </w:r>
      <w:r w:rsidRPr="007119D6">
        <w:rPr>
          <w:rFonts w:ascii="Narkisim" w:hAnsi="Narkisim"/>
          <w:rtl/>
        </w:rPr>
        <w:t xml:space="preserve"> (עדות ג ג) דאע"פ דעדי ממונות אי"צ דרישה וחקירה, מ"מ אם הכחישו זה את זה בדרישות או בחקירות או בגוף העדות עדותן בטילה. וה</w:t>
      </w:r>
      <w:r w:rsidRPr="007119D6">
        <w:rPr>
          <w:rFonts w:ascii="Narkisim" w:hAnsi="Narkisim"/>
          <w:b/>
          <w:bCs/>
          <w:rtl/>
        </w:rPr>
        <w:t>חלק”מ</w:t>
      </w:r>
      <w:r w:rsidRPr="007119D6">
        <w:rPr>
          <w:rFonts w:ascii="Narkisim" w:hAnsi="Narkisim"/>
          <w:rtl/>
        </w:rPr>
        <w:t xml:space="preserve"> (יז יט בסוגריים) כת' דמשמע דהרא"ש לא ס"ל כהרמב"ם דהכחשה בגוף הענין הוי הכחשה.</w:t>
      </w:r>
    </w:p>
  </w:footnote>
  <w:footnote w:id="8046">
    <w:p w14:paraId="2EC5053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אלא באופן של עדות מיוחדת</w:t>
      </w:r>
      <w:r w:rsidRPr="007119D6">
        <w:rPr>
          <w:rFonts w:ascii="Narkisim" w:hAnsi="Narkisim"/>
        </w:rPr>
        <w:t>.</w:t>
      </w:r>
    </w:p>
  </w:footnote>
  <w:footnote w:id="8047">
    <w:p w14:paraId="5765760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ועדות אשה יש לו דיני עדות ממון, ודלא כרי"ד דפשיט"ל דדינו כדיני נפשות. [ועד"ז הביא ה</w:t>
      </w:r>
      <w:r w:rsidRPr="007119D6">
        <w:rPr>
          <w:rFonts w:ascii="Narkisim" w:hAnsi="Narkisim"/>
          <w:b/>
          <w:bCs/>
          <w:rtl/>
        </w:rPr>
        <w:t>ב"י</w:t>
      </w:r>
      <w:r w:rsidRPr="007119D6">
        <w:rPr>
          <w:rFonts w:ascii="Narkisim" w:hAnsi="Narkisim"/>
          <w:rtl/>
        </w:rPr>
        <w:t xml:space="preserve"> (חו"מ ל) מח' </w:t>
      </w:r>
      <w:r w:rsidRPr="007119D6">
        <w:rPr>
          <w:rFonts w:ascii="Narkisim" w:hAnsi="Narkisim"/>
          <w:b/>
          <w:bCs/>
          <w:rtl/>
        </w:rPr>
        <w:t>ראשונים</w:t>
      </w:r>
      <w:r w:rsidRPr="007119D6">
        <w:rPr>
          <w:rFonts w:ascii="Narkisim" w:hAnsi="Narkisim"/>
          <w:rtl/>
        </w:rPr>
        <w:t xml:space="preserve"> (ר"ן גיטין עג.  לה: בדה”ר, והמרדכי יבמות טו) אי מהני עדות מיוחדת בדבר שבערוה, אי דינו כדיני ממון או כנפשות]</w:t>
      </w:r>
      <w:r w:rsidRPr="007119D6">
        <w:rPr>
          <w:rFonts w:ascii="Narkisim" w:hAnsi="Narkisim"/>
        </w:rPr>
        <w:t>.</w:t>
      </w:r>
    </w:p>
  </w:footnote>
  <w:footnote w:id="8048">
    <w:p w14:paraId="6A6DD81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ויתכן שנהרג, וסבור שמת לבד וכדו</w:t>
      </w:r>
      <w:r w:rsidRPr="007119D6">
        <w:rPr>
          <w:rFonts w:ascii="Narkisim" w:hAnsi="Narkisim"/>
        </w:rPr>
        <w:t>'.</w:t>
      </w:r>
    </w:p>
  </w:footnote>
  <w:footnote w:id="8049">
    <w:p w14:paraId="1307B34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ולא אמרי' דכל א' הוכחש בחלק מהסיפור, ועי"ז נפסל [ואין לקבל את שניהם]</w:t>
      </w:r>
      <w:r w:rsidRPr="007119D6">
        <w:rPr>
          <w:rFonts w:ascii="Narkisim" w:hAnsi="Narkisim"/>
        </w:rPr>
        <w:t>.</w:t>
      </w:r>
    </w:p>
    <w:p w14:paraId="2974E111"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אבל ה</w:t>
      </w:r>
      <w:r w:rsidRPr="007119D6">
        <w:rPr>
          <w:rFonts w:ascii="Narkisim" w:hAnsi="Narkisim"/>
          <w:b/>
          <w:bCs/>
          <w:rtl/>
        </w:rPr>
        <w:t>סמ"ע</w:t>
      </w:r>
      <w:r w:rsidRPr="007119D6">
        <w:rPr>
          <w:rFonts w:ascii="Narkisim" w:hAnsi="Narkisim"/>
          <w:rtl/>
        </w:rPr>
        <w:t xml:space="preserve"> (ל ט, ופרישה שם) כת' דכשיש הכחשה בדרישות [בעדות ממון], עדותן בטילה לגמרי. ואין מחייבין אותו ממון</w:t>
      </w:r>
      <w:r w:rsidRPr="007119D6">
        <w:rPr>
          <w:rFonts w:ascii="Narkisim" w:hAnsi="Narkisim"/>
        </w:rPr>
        <w:t>.</w:t>
      </w:r>
    </w:p>
  </w:footnote>
  <w:footnote w:id="8050">
    <w:p w14:paraId="03EB06D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דייק כן מלשון המשנה דלא תנשא, משמע לכתחילה, אבל נשאת לא תצא. וה</w:t>
      </w:r>
      <w:r w:rsidRPr="007119D6">
        <w:rPr>
          <w:rFonts w:ascii="Narkisim" w:hAnsi="Narkisim"/>
          <w:b/>
          <w:bCs/>
          <w:rtl/>
        </w:rPr>
        <w:t>רמב"ן</w:t>
      </w:r>
      <w:r w:rsidRPr="007119D6">
        <w:rPr>
          <w:rFonts w:ascii="Narkisim" w:hAnsi="Narkisim"/>
          <w:rtl/>
        </w:rPr>
        <w:t xml:space="preserve"> דחה דהמשנה איירי בנישואי היתר. ולא מיירי בדיעבד באיסור</w:t>
      </w:r>
      <w:r w:rsidRPr="007119D6">
        <w:rPr>
          <w:rFonts w:ascii="Narkisim" w:hAnsi="Narkisim"/>
        </w:rPr>
        <w:t>.</w:t>
      </w:r>
    </w:p>
  </w:footnote>
  <w:footnote w:id="8051">
    <w:p w14:paraId="6A7252C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ופ</w:t>
      </w:r>
      <w:r w:rsidRPr="007119D6">
        <w:rPr>
          <w:rFonts w:ascii="Narkisim" w:hAnsi="Narkisim"/>
          <w:b/>
          <w:bCs/>
          <w:rtl/>
        </w:rPr>
        <w:t>רש"י</w:t>
      </w:r>
      <w:r w:rsidRPr="007119D6">
        <w:rPr>
          <w:rFonts w:ascii="Narkisim" w:hAnsi="Narkisim"/>
          <w:rtl/>
        </w:rPr>
        <w:t xml:space="preserve"> בקידושין דעד א' מכחיש [אך יש ראשונים דהתם איירי בהכחשת הבע"ד. ויש שגרסו שם בענין אחר. וע”ע גר”א יו”ד קכז י]</w:t>
      </w:r>
      <w:r w:rsidRPr="007119D6">
        <w:rPr>
          <w:rFonts w:ascii="Narkisim" w:hAnsi="Narkisim"/>
        </w:rPr>
        <w:t>.</w:t>
      </w:r>
    </w:p>
  </w:footnote>
  <w:footnote w:id="8052">
    <w:p w14:paraId="3EDD782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דה</w:t>
      </w:r>
      <w:r w:rsidRPr="007119D6">
        <w:rPr>
          <w:rFonts w:ascii="Narkisim" w:hAnsi="Narkisim"/>
          <w:b/>
          <w:bCs/>
          <w:rtl/>
        </w:rPr>
        <w:t>פנ"י</w:t>
      </w:r>
      <w:r w:rsidRPr="007119D6">
        <w:rPr>
          <w:rFonts w:ascii="Narkisim" w:hAnsi="Narkisim"/>
          <w:rtl/>
        </w:rPr>
        <w:t xml:space="preserve"> (כתובות כב:) כת' דדעת הרמב"ם כדעת הרשב"א (קידו' סו. הו' לעיל פח:) דמהני טענת ברי [ואין מפרישין אותם] אף כנגד חזקת איסור [ודלא כתוס' לעיל פח: דדוקא משום דאיתרע החזקה ע”י דדייקא ומינסבא]. והתרה"כ האריך לתמוה דה"מ היכא דנתעורר ספק לפנינו. אבל בכל אשת איש בעלמא, אף דטוענים ברי שנתגרשה מפרישין אותם, ומחייבין אותם מיתת בי"ד</w:t>
      </w:r>
      <w:r w:rsidRPr="007119D6">
        <w:rPr>
          <w:rFonts w:ascii="Narkisim" w:hAnsi="Narkisim"/>
        </w:rPr>
        <w:t>.</w:t>
      </w:r>
    </w:p>
  </w:footnote>
  <w:footnote w:id="8053">
    <w:p w14:paraId="51563E7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תרה"כ</w:t>
      </w:r>
      <w:r w:rsidRPr="007119D6">
        <w:rPr>
          <w:rFonts w:ascii="Narkisim" w:hAnsi="Narkisim"/>
          <w:rtl/>
        </w:rPr>
        <w:t xml:space="preserve"> (ד"ה עדיין יש לחקור) חקר [לדעת הרמב"ם] האם חד וחד הוה כתרי ותרי גמור, ותלי בלשונות אי תרי ותרי הוי ספקא דרבנן או הוי ספיקא דאורייתא. או דילמא דוקא תרי ותרי אלים ספקייהו, ומהני אף להוציא מחזקה קמייתא. אבל חד וחד אף דהוי נמי ספיקא, מ"מ מוקמי' אחזקה. דלא אלים ספקייהו כל כך להוציא מחזקה קמייתא. [ועפ"ז קאי דוקא לדעת הרשב"א הנ"ל]</w:t>
      </w:r>
      <w:r w:rsidRPr="007119D6">
        <w:rPr>
          <w:rFonts w:ascii="Narkisim" w:hAnsi="Narkisim"/>
        </w:rPr>
        <w:t>.</w:t>
      </w:r>
    </w:p>
  </w:footnote>
  <w:footnote w:id="8054">
    <w:p w14:paraId="74A62E3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כ"ה לשון הרמב"ן, ומשמע דל"מ כלל</w:t>
      </w:r>
      <w:r w:rsidRPr="007119D6">
        <w:rPr>
          <w:rFonts w:ascii="Narkisim" w:hAnsi="Narkisim"/>
        </w:rPr>
        <w:t>.</w:t>
      </w:r>
    </w:p>
    <w:p w14:paraId="26480AE3"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וב</w:t>
      </w:r>
      <w:r w:rsidRPr="007119D6">
        <w:rPr>
          <w:rFonts w:ascii="Narkisim" w:hAnsi="Narkisim"/>
          <w:b/>
          <w:bCs/>
          <w:rtl/>
        </w:rPr>
        <w:t>שו"ת הרא"ש</w:t>
      </w:r>
      <w:r w:rsidRPr="007119D6">
        <w:rPr>
          <w:rFonts w:ascii="Narkisim" w:hAnsi="Narkisim"/>
          <w:rtl/>
        </w:rPr>
        <w:t xml:space="preserve"> (לב ג בסו”ד) כת' דחד וחד תצא, אפי' נשאת לא' מעדיה. דאוקי חד בהדי חד, ואוקי איתתא אחזקת אשת איש. ול"ד לתרי ותרי, דאיכא תרי סהדי דמפקי לה מחזקת אשת איש. [ומשמע טעם אחר מהרמב"ן, דהרמב"ן ס"ל דחד וחד כמאן דליתא. ואילו הרא"ש סבר אוקי חד להדי חד, אלא דמוציאין אותם מחמת החזקה]</w:t>
      </w:r>
      <w:r w:rsidRPr="007119D6">
        <w:rPr>
          <w:rFonts w:ascii="Narkisim" w:hAnsi="Narkisim"/>
        </w:rPr>
        <w:t>.</w:t>
      </w:r>
    </w:p>
    <w:p w14:paraId="34D679B6" w14:textId="77777777" w:rsidR="006C4368" w:rsidRPr="007119D6" w:rsidRDefault="006C4368" w:rsidP="006C4368">
      <w:pPr>
        <w:pStyle w:val="Footnote"/>
        <w:bidi/>
        <w:rPr>
          <w:rFonts w:ascii="Narkisim" w:hAnsi="Narkisim"/>
        </w:rPr>
      </w:pPr>
      <w:r w:rsidRPr="007119D6">
        <w:rPr>
          <w:rFonts w:ascii="Narkisim" w:hAnsi="Narkisim"/>
        </w:rPr>
        <w:tab/>
        <w:t>{</w:t>
      </w:r>
      <w:r w:rsidRPr="007119D6">
        <w:rPr>
          <w:rFonts w:ascii="Narkisim" w:hAnsi="Narkisim"/>
          <w:rtl/>
        </w:rPr>
        <w:t>ו</w:t>
      </w:r>
      <w:r w:rsidRPr="007119D6">
        <w:rPr>
          <w:rFonts w:ascii="Narkisim" w:hAnsi="Narkisim"/>
          <w:b/>
          <w:bCs/>
          <w:rtl/>
        </w:rPr>
        <w:t>תוס'</w:t>
      </w:r>
      <w:r w:rsidRPr="007119D6">
        <w:rPr>
          <w:rFonts w:ascii="Narkisim" w:hAnsi="Narkisim"/>
          <w:rtl/>
        </w:rPr>
        <w:t xml:space="preserve"> (לעיל פח:) כת' דאף בתרי ותרי קי"ל דספיקא דרבנן, אלא דדייקא ומינסבא מרע לחזקה. ויל"ד בכוונת הרא"ש, האם ס"ל דבחד וחד ל"ש דייקא ומינסבא [וצ"ב מ"ש]. או דלא מהני דייקא ומינסבא, ובתרי ותרי לא מוקמי' אחזקה [וכצד דספיקא דאורייתא]. ועפ"ז מבואר כצד בתרה”כ (בהערה הקודמת) דאף חד וחד הוה הכחשה, לא אלים להוציאה מחזקתה דנימא ספיקא דאורייתא</w:t>
      </w:r>
      <w:r w:rsidRPr="007119D6">
        <w:rPr>
          <w:rFonts w:ascii="Narkisim" w:hAnsi="Narkisim"/>
        </w:rPr>
        <w:t>}.</w:t>
      </w:r>
    </w:p>
  </w:footnote>
  <w:footnote w:id="8055">
    <w:p w14:paraId="23080D6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מהמשנה (טהרות ה ט, וכריתות יא:)</w:t>
      </w:r>
      <w:r w:rsidRPr="007119D6">
        <w:rPr>
          <w:rFonts w:ascii="Narkisim" w:hAnsi="Narkisim"/>
        </w:rPr>
        <w:t>.</w:t>
      </w:r>
    </w:p>
  </w:footnote>
  <w:footnote w:id="8056">
    <w:p w14:paraId="06F679B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רמב"ם</w:t>
      </w:r>
      <w:r w:rsidRPr="007119D6">
        <w:rPr>
          <w:rFonts w:ascii="Narkisim" w:hAnsi="Narkisim"/>
          <w:rtl/>
        </w:rPr>
        <w:t xml:space="preserve"> כת' בין בת כהן אשת ישראל [דמיתת הבעל מתירה בתרומה], ובין בת ישראל אשת כהן [דמיתת הבעל אוסר בתרומה]. ומבואר דבת כהן אשת ישראל, והעיד עד א' שמת בעלה, מותרת לאכול בתרומת בית אביה. [ויל"ד אי הוה משום דע"א נאמן לענין תרומה. או משום ק"ו דהתירו ערוה חמורה. א”נ כיון דמותרת לינשא, אף תרומה הוה תולדה מדיני האישות]</w:t>
      </w:r>
      <w:r w:rsidRPr="007119D6">
        <w:rPr>
          <w:rFonts w:ascii="Narkisim" w:hAnsi="Narkisim"/>
        </w:rPr>
        <w:t>.</w:t>
      </w:r>
    </w:p>
    <w:p w14:paraId="38A91B4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רדב"ז</w:t>
      </w:r>
      <w:r w:rsidRPr="007119D6">
        <w:rPr>
          <w:rFonts w:ascii="Narkisim" w:hAnsi="Narkisim"/>
          <w:rtl/>
        </w:rPr>
        <w:t xml:space="preserve"> (שם) נסתפק בת כהן אשת ישראל. ועד אומר מת בעלה והתירוה לינשא, ואח"כ בא עד ואמר לא מת [דאינו נאמן לאוסרה וכדעולא]. ושמא ה"מ לענין לינשא דנאמן כשנים. אבל לתרומה הוה חד וחד, והעד השני נאמן לאוסרה בתרומה. והכריע שאינו בדין שתהיה מותרת להנשא ותהיה אסורה לאכול בתרומה, שמא בעלה חי. וכיון דהתרנו הערוה החמורה ולא נתיר התרומה הקלה</w:t>
      </w:r>
      <w:r w:rsidRPr="007119D6">
        <w:rPr>
          <w:rFonts w:ascii="Narkisim" w:hAnsi="Narkisim"/>
        </w:rPr>
        <w:t>.</w:t>
      </w:r>
    </w:p>
  </w:footnote>
  <w:footnote w:id="8057">
    <w:p w14:paraId="4A8867E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האיך עד א' נאמן לאסור בתרומה [בבת ישראל אשת כהן], מאחר דאינו נאמן על עצם אישות. ואפשר דהוה משום עד א' באיסורין. וי"ל דבאמת הוא נאמן על עיקר האישות להחשב ספק</w:t>
      </w:r>
      <w:r w:rsidRPr="007119D6">
        <w:rPr>
          <w:rFonts w:ascii="Narkisim" w:hAnsi="Narkisim"/>
        </w:rPr>
        <w:t>.</w:t>
      </w:r>
    </w:p>
  </w:footnote>
  <w:footnote w:id="8058">
    <w:p w14:paraId="6E07057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בירושלמי קאי על המשנה הבאה. ועפ"ז פי' המפרשים דהקו' על דברי ר' טרפון</w:t>
      </w:r>
      <w:r w:rsidRPr="007119D6">
        <w:rPr>
          <w:rFonts w:ascii="Narkisim" w:hAnsi="Narkisim"/>
        </w:rPr>
        <w:t>].</w:t>
      </w:r>
    </w:p>
  </w:footnote>
  <w:footnote w:id="8059">
    <w:p w14:paraId="1E68E24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ה"ה</w:t>
      </w:r>
      <w:r w:rsidRPr="007119D6">
        <w:rPr>
          <w:rFonts w:ascii="Narkisim" w:hAnsi="Narkisim"/>
          <w:rtl/>
        </w:rPr>
        <w:t xml:space="preserve"> הביא כן על הא (גמ' לקמן קיט.) דאף כשנשאת לא מתירין את הצרה. [ולא סמכי' אאומדנא דנשאת, מוכח דהבעל מת]. אבל ה</w:t>
      </w:r>
      <w:r w:rsidRPr="007119D6">
        <w:rPr>
          <w:rFonts w:ascii="Narkisim" w:hAnsi="Narkisim"/>
          <w:b/>
          <w:bCs/>
          <w:rtl/>
        </w:rPr>
        <w:t>מפרשים</w:t>
      </w:r>
      <w:r w:rsidRPr="007119D6">
        <w:rPr>
          <w:rFonts w:ascii="Narkisim" w:hAnsi="Narkisim"/>
          <w:rtl/>
        </w:rPr>
        <w:t xml:space="preserve"> הביאו קו' הירושלמי אעיקר דינא דמתני', דכיון דהיא עצמה מותרת, האיך יתכן שצרתה אסורה. [ויל"ד דלכאורה אין כאן קו' כלל, דקי"ל נאמנת על עצמה. ופלגינן נאמנות]</w:t>
      </w:r>
      <w:r w:rsidRPr="007119D6">
        <w:rPr>
          <w:rFonts w:ascii="Narkisim" w:hAnsi="Narkisim"/>
        </w:rPr>
        <w:t>.</w:t>
      </w:r>
    </w:p>
  </w:footnote>
  <w:footnote w:id="8060">
    <w:p w14:paraId="38BD54A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יל"פ דקו' הירושלמי דניכר שבאה להעיד מחמת צרתה, ויש לחוש שמעידה מחמת רווח זו. והוה כמו תובעת כתובה</w:t>
      </w:r>
      <w:r w:rsidRPr="007119D6">
        <w:rPr>
          <w:rFonts w:ascii="Narkisim" w:hAnsi="Narkisim"/>
        </w:rPr>
        <w:t>.</w:t>
      </w:r>
    </w:p>
  </w:footnote>
  <w:footnote w:id="8061">
    <w:p w14:paraId="5265272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דבשאר נוגע בעדותו פסול לעדות, ולא אמרי' דיודע דל"מ דבריו. והש"ש (ז ו,ז הו' לעיל) חילק דבעדות אשה אין פסול נוגע, אלא היכא דבא להעיד ע”ד כן</w:t>
      </w:r>
      <w:r w:rsidRPr="007119D6">
        <w:rPr>
          <w:rFonts w:ascii="Narkisim" w:hAnsi="Narkisim"/>
        </w:rPr>
        <w:t>.</w:t>
      </w:r>
    </w:p>
  </w:footnote>
  <w:footnote w:id="8062">
    <w:p w14:paraId="0D9B6AD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וע"ע קובה"ע (כא ח) שדן עד"ז, דאף היכא דל"ש פלגינן נאמנות. מ"מ לא שייך לקבל דבריה דממ"נ</w:t>
      </w:r>
      <w:r w:rsidRPr="007119D6">
        <w:rPr>
          <w:rFonts w:ascii="Narkisim" w:hAnsi="Narkisim"/>
        </w:rPr>
        <w:t>].</w:t>
      </w:r>
    </w:p>
    <w:p w14:paraId="1E5DAC7E"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ואפשר דמש"ה בי"ד אינם מקבלים העדות</w:t>
      </w:r>
      <w:r w:rsidRPr="007119D6">
        <w:rPr>
          <w:rFonts w:ascii="Narkisim" w:hAnsi="Narkisim"/>
        </w:rPr>
        <w:t>.</w:t>
      </w:r>
    </w:p>
  </w:footnote>
  <w:footnote w:id="8063">
    <w:p w14:paraId="0AAF2C1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ויש שתי' דבמקום שנראה לבי"ד דהדבר שקר אינן מקבלים דבריו, וכמ"ש </w:t>
      </w:r>
      <w:r w:rsidRPr="007119D6">
        <w:rPr>
          <w:rFonts w:ascii="Narkisim" w:hAnsi="Narkisim"/>
          <w:b/>
          <w:bCs/>
          <w:rtl/>
        </w:rPr>
        <w:t>תוס</w:t>
      </w:r>
      <w:r w:rsidRPr="007119D6">
        <w:rPr>
          <w:rFonts w:ascii="Narkisim" w:hAnsi="Narkisim"/>
          <w:rtl/>
        </w:rPr>
        <w:t>' (לעיל כה.) גבי האומרת טמאה אני לך</w:t>
      </w:r>
      <w:r w:rsidRPr="007119D6">
        <w:rPr>
          <w:rFonts w:ascii="Narkisim" w:hAnsi="Narkisim"/>
        </w:rPr>
        <w:t>.</w:t>
      </w:r>
    </w:p>
  </w:footnote>
  <w:footnote w:id="8064">
    <w:p w14:paraId="7D3AA79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ומבואר דלקלקולא נחשב אמתלא. [ויל"ד בזה כשאומר שנתכוון להעיד עדות שקר י"ל דלא הוה אמתלא]</w:t>
      </w:r>
      <w:r w:rsidRPr="007119D6">
        <w:rPr>
          <w:rFonts w:ascii="Narkisim" w:hAnsi="Narkisim"/>
        </w:rPr>
        <w:t>.</w:t>
      </w:r>
    </w:p>
  </w:footnote>
  <w:footnote w:id="8065">
    <w:p w14:paraId="4E3D6CF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[לכאורה דוקא היכא דחוזרת וטוענת כן]. אך לכאורה מדברי התוס' משמע דלקלקולא לא הוה אמתלא, אלא דחוזרת בה מחמת אמתלא אחרת</w:t>
      </w:r>
      <w:r w:rsidRPr="007119D6">
        <w:rPr>
          <w:rFonts w:ascii="Narkisim" w:hAnsi="Narkisim"/>
        </w:rPr>
        <w:t>.</w:t>
      </w:r>
    </w:p>
  </w:footnote>
  <w:footnote w:id="8066">
    <w:p w14:paraId="258ABA8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אי אסורה מספק. או כיון דהוכחשה ליכא עדות כלל</w:t>
      </w:r>
      <w:r w:rsidRPr="007119D6">
        <w:rPr>
          <w:rFonts w:ascii="Narkisim" w:hAnsi="Narkisim"/>
        </w:rPr>
        <w:t>.</w:t>
      </w:r>
    </w:p>
  </w:footnote>
  <w:footnote w:id="8067">
    <w:p w14:paraId="562231E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ב</w:t>
      </w:r>
      <w:r w:rsidRPr="007119D6">
        <w:rPr>
          <w:rFonts w:ascii="Narkisim" w:hAnsi="Narkisim"/>
          <w:b/>
          <w:bCs/>
          <w:rtl/>
        </w:rPr>
        <w:t>תוס' חד מקמאי</w:t>
      </w:r>
      <w:r w:rsidRPr="007119D6">
        <w:rPr>
          <w:rFonts w:ascii="Narkisim" w:hAnsi="Narkisim"/>
          <w:rtl/>
        </w:rPr>
        <w:t>, דבצרות דוקא. אבל בעדות סוטה עד א' נאמן להכחיש, דלא נטמא</w:t>
      </w:r>
      <w:r w:rsidRPr="007119D6">
        <w:rPr>
          <w:rFonts w:ascii="Narkisim" w:hAnsi="Narkisim"/>
        </w:rPr>
        <w:t>.</w:t>
      </w:r>
    </w:p>
  </w:footnote>
  <w:footnote w:id="8068">
    <w:p w14:paraId="78E1E7A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הוכיח דר' יוחנן קאי בבת א' [וכדברי התוס' ושא"ר, ודלא כמ"ש בדעת רש"י], דאי ר' יוחנן קאי דוקא בזה אחר זה, א"כ הו"ל להעמיד המשנה בבת א' [וכפשטות המשנה, וכמ”ש רש”י במשנה] ומש”ה הוה הכחשה. והיכי אסקינן לר' יוחנן בקשיא מחמת פירכא דסיפא</w:t>
      </w:r>
      <w:r w:rsidRPr="007119D6">
        <w:rPr>
          <w:rFonts w:ascii="Narkisim" w:hAnsi="Narkisim"/>
        </w:rPr>
        <w:t>.</w:t>
      </w:r>
    </w:p>
  </w:footnote>
  <w:footnote w:id="8069">
    <w:p w14:paraId="0D80BEF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בעה”מ </w:t>
      </w:r>
      <w:r w:rsidRPr="007119D6">
        <w:rPr>
          <w:rFonts w:ascii="Narkisim" w:hAnsi="Narkisim"/>
          <w:rtl/>
        </w:rPr>
        <w:t>כת' דקאי בקשיא, אבל לא הו' תיובתא, די"ל דלא איירי בצרות אלא בב' נשים דעלמא שמעידות בבת א</w:t>
      </w:r>
      <w:r w:rsidRPr="007119D6">
        <w:rPr>
          <w:rFonts w:ascii="Narkisim" w:hAnsi="Narkisim"/>
        </w:rPr>
        <w:t>'.</w:t>
      </w:r>
    </w:p>
  </w:footnote>
  <w:footnote w:id="8070">
    <w:p w14:paraId="1F2C018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וציין לנידון (ש"ך יו"ד קכז טז, ע' מה שהו' לעיל פח.) האם עד א' נאמן היכא דאיתחזק איסורא</w:t>
      </w:r>
      <w:r w:rsidRPr="007119D6">
        <w:rPr>
          <w:rFonts w:ascii="Narkisim" w:hAnsi="Narkisim"/>
        </w:rPr>
        <w:t>.</w:t>
      </w:r>
    </w:p>
  </w:footnote>
  <w:footnote w:id="8071">
    <w:p w14:paraId="76423C3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העלה צד דזהו סברת ר"ע [לדברי המשנ"ל דר"ע חשש מספק, אף היכא דליכא ממ"נ]</w:t>
      </w:r>
      <w:r w:rsidRPr="007119D6">
        <w:rPr>
          <w:rFonts w:ascii="Narkisim" w:hAnsi="Narkisim"/>
        </w:rPr>
        <w:t>.</w:t>
      </w:r>
    </w:p>
  </w:footnote>
  <w:footnote w:id="8072">
    <w:p w14:paraId="660C734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שער"י</w:t>
      </w:r>
      <w:r w:rsidRPr="007119D6">
        <w:rPr>
          <w:rFonts w:ascii="Narkisim" w:hAnsi="Narkisim"/>
          <w:rtl/>
        </w:rPr>
        <w:t xml:space="preserve"> חלק [ע"ד הש"ש] דהכא הוה ב' נידונים, תרומה והיתר נישואין. [ול"ד למש"כ הר"ן גבי מעש"ש]</w:t>
      </w:r>
      <w:r w:rsidRPr="007119D6">
        <w:rPr>
          <w:rFonts w:ascii="Narkisim" w:hAnsi="Narkisim"/>
        </w:rPr>
        <w:t>.</w:t>
      </w:r>
    </w:p>
  </w:footnote>
  <w:footnote w:id="8073">
    <w:p w14:paraId="06AF434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והראב"ד דפסק כוותיה</w:t>
      </w:r>
      <w:r w:rsidRPr="007119D6">
        <w:rPr>
          <w:rFonts w:ascii="Narkisim" w:hAnsi="Narkisim"/>
        </w:rPr>
        <w:t>.</w:t>
      </w:r>
    </w:p>
  </w:footnote>
  <w:footnote w:id="8074">
    <w:p w14:paraId="0CB50ED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כת' ה</w:t>
      </w:r>
      <w:r w:rsidRPr="007119D6">
        <w:rPr>
          <w:rFonts w:ascii="Narkisim" w:hAnsi="Narkisim"/>
          <w:b/>
          <w:bCs/>
          <w:rtl/>
        </w:rPr>
        <w:t>משנ"ל</w:t>
      </w:r>
      <w:r w:rsidRPr="007119D6">
        <w:rPr>
          <w:rFonts w:ascii="Narkisim" w:hAnsi="Narkisim"/>
          <w:rtl/>
        </w:rPr>
        <w:t xml:space="preserve"> (סוטה א טו) דלדעת הראב"ד היכא דה' נשים מעידות תהא נאמנת מספק, ואם בא עליה אינה לוקה. [וכשיטתו דסברת ר"ע לא הוה משום ממ"נ]</w:t>
      </w:r>
      <w:r w:rsidRPr="007119D6">
        <w:rPr>
          <w:rFonts w:ascii="Narkisim" w:hAnsi="Narkisim"/>
        </w:rPr>
        <w:t>.</w:t>
      </w:r>
    </w:p>
  </w:footnote>
  <w:footnote w:id="8075">
    <w:p w14:paraId="1907980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מבואר בש"ש דהירושלמי איירי אף בלא נשאת. [ודלא כמ"ש לעיל]</w:t>
      </w:r>
      <w:r w:rsidRPr="007119D6">
        <w:rPr>
          <w:rFonts w:ascii="Narkisim" w:hAnsi="Narkisim"/>
        </w:rPr>
        <w:t>.</w:t>
      </w:r>
    </w:p>
  </w:footnote>
  <w:footnote w:id="8076">
    <w:p w14:paraId="53607F1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ולשון ה</w:t>
      </w:r>
      <w:r w:rsidRPr="007119D6">
        <w:rPr>
          <w:rFonts w:ascii="Narkisim" w:hAnsi="Narkisim"/>
          <w:b/>
          <w:bCs/>
          <w:rtl/>
        </w:rPr>
        <w:t>תוס' הרא"ש</w:t>
      </w:r>
      <w:r w:rsidRPr="007119D6">
        <w:rPr>
          <w:rFonts w:ascii="Narkisim" w:hAnsi="Narkisim"/>
          <w:rtl/>
        </w:rPr>
        <w:t xml:space="preserve"> ומיהו הכא איכא חדא דעבדא איסורא ממה נפשך, ולהאי טעמא לא ילפינן מסוטה כדמשמע (נזיר נז.)</w:t>
      </w:r>
      <w:r w:rsidRPr="007119D6">
        <w:rPr>
          <w:rFonts w:ascii="Narkisim" w:hAnsi="Narkisim"/>
        </w:rPr>
        <w:t>.</w:t>
      </w:r>
    </w:p>
  </w:footnote>
  <w:footnote w:id="8077">
    <w:p w14:paraId="37F9605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ואפשר דהתם נמי לכתחילה אמרי' ליה לטבול</w:t>
      </w:r>
      <w:r w:rsidRPr="007119D6">
        <w:rPr>
          <w:rFonts w:ascii="Narkisim" w:hAnsi="Narkisim"/>
        </w:rPr>
        <w:t>].</w:t>
      </w:r>
    </w:p>
  </w:footnote>
  <w:footnote w:id="8078">
    <w:p w14:paraId="74F0C2A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דבשני שבילין הא דטהורין שניהם לא מקרי הוראה ודאית, אלא דאנן לא מטמאינן אותו מספיקא כיון דלכל א' חזקת טהרה ואין אתה יכול לטמאו עד שנדע שיצא מחזקתו. וביאר דחזקה אינו הוראה ודאית אלא דאנן הוא דלא מפקי מחזקתו, ולכל אחד ואחד אין אנו יכולין להוציא מחזקתו. [וציין לדברי הרמב"ם פיה"מ סוף נזיר]</w:t>
      </w:r>
      <w:r w:rsidRPr="007119D6">
        <w:rPr>
          <w:rFonts w:ascii="Narkisim" w:hAnsi="Narkisim"/>
        </w:rPr>
        <w:t>.</w:t>
      </w:r>
    </w:p>
  </w:footnote>
  <w:footnote w:id="8079">
    <w:p w14:paraId="5368D94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עכ"פ בעד מפי עד [ועדים פסולים]</w:t>
      </w:r>
      <w:r w:rsidRPr="007119D6">
        <w:rPr>
          <w:rFonts w:ascii="Narkisim" w:hAnsi="Narkisim"/>
        </w:rPr>
        <w:t>.</w:t>
      </w:r>
    </w:p>
  </w:footnote>
  <w:footnote w:id="8080">
    <w:p w14:paraId="7864A42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כת' (בד"ה ויתיישב) ליישב קו' התוס' (ד”ה טעמא) דל”ש הכא שויא אנפשיה חתיכה דאיסורא. דאף אילו בעלה חי [כדבריה], אפקעינהו לקידושין</w:t>
      </w:r>
      <w:r w:rsidRPr="007119D6">
        <w:rPr>
          <w:rFonts w:ascii="Narkisim" w:hAnsi="Narkisim"/>
        </w:rPr>
        <w:t>.</w:t>
      </w:r>
    </w:p>
  </w:footnote>
  <w:footnote w:id="8081">
    <w:p w14:paraId="47FA55D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ובשלמא ברישא אי אפשר לעשות הבעל חי ומת, אבל בסיפא שהיא מעידה על בעלה ועל חמיה שתי עדויות הן ועל חמיה לא מהימנא כלל</w:t>
      </w:r>
      <w:r w:rsidRPr="007119D6">
        <w:rPr>
          <w:rFonts w:ascii="Narkisim" w:hAnsi="Narkisim"/>
        </w:rPr>
        <w:t>.</w:t>
      </w:r>
    </w:p>
  </w:footnote>
  <w:footnote w:id="8082">
    <w:p w14:paraId="69BB114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רש"ש</w:t>
      </w:r>
      <w:r w:rsidRPr="007119D6">
        <w:rPr>
          <w:rFonts w:ascii="Narkisim" w:hAnsi="Narkisim"/>
          <w:rtl/>
        </w:rPr>
        <w:t xml:space="preserve"> הק' מסיפא ע"ד התוס', דגבי חמותו מותרת אפי' בתרומה דאורייתא. ודומיא דידה בבא דרישא</w:t>
      </w:r>
      <w:r w:rsidRPr="007119D6">
        <w:rPr>
          <w:rFonts w:ascii="Narkisim" w:hAnsi="Narkisim"/>
        </w:rPr>
        <w:t>.</w:t>
      </w:r>
    </w:p>
  </w:footnote>
  <w:footnote w:id="8083">
    <w:p w14:paraId="4892051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ואילו דעת שאר הראשונים שאין מחלוקות אלו תלויים זו בזו, רק משום דדמיא להדדי סמכי' במשנה [וכמ"ש המאירי]</w:t>
      </w:r>
      <w:r w:rsidRPr="007119D6">
        <w:rPr>
          <w:rFonts w:ascii="Narkisim" w:hAnsi="Narkisim"/>
        </w:rPr>
        <w:t>.</w:t>
      </w:r>
    </w:p>
  </w:footnote>
  <w:footnote w:id="8084">
    <w:p w14:paraId="24DB183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ה</w:t>
      </w:r>
      <w:r w:rsidRPr="007119D6">
        <w:rPr>
          <w:rFonts w:ascii="Narkisim" w:hAnsi="Narkisim"/>
          <w:b/>
          <w:bCs/>
          <w:rtl/>
        </w:rPr>
        <w:t>מאירי</w:t>
      </w:r>
      <w:r w:rsidRPr="007119D6">
        <w:rPr>
          <w:rFonts w:ascii="Narkisim" w:hAnsi="Narkisim"/>
          <w:rtl/>
        </w:rPr>
        <w:t xml:space="preserve"> ביאר דאגב דא"ר עקיבא אין זו דרך מוציאה מידי עבירה נתגלגל להביא אף הנך דר' עקיבא אמר כן. ומשמע דהוה לישנא בעלמא. אבל לדברי ההג' מיימוניות והראב"ד (הנ"ל) תלי בהדדי בעיקר הסברא</w:t>
      </w:r>
      <w:r w:rsidRPr="007119D6">
        <w:rPr>
          <w:rFonts w:ascii="Narkisim" w:hAnsi="Narkisim"/>
        </w:rPr>
        <w:t>.</w:t>
      </w:r>
    </w:p>
  </w:footnote>
  <w:footnote w:id="8085">
    <w:p w14:paraId="043C679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(ב"מ יז: והרבה ראשונים) הוכיחו מכ"מ דהאמת דיש כתובה לארוסה, אלא דרצו להוכיח מברייתא או משנה [וקשה אמאי לא הביאו ממתני' דידן]. ויש </w:t>
      </w:r>
      <w:r w:rsidRPr="007119D6">
        <w:rPr>
          <w:rFonts w:ascii="Narkisim" w:hAnsi="Narkisim"/>
          <w:b/>
          <w:bCs/>
          <w:rtl/>
        </w:rPr>
        <w:t>ראשונים</w:t>
      </w:r>
      <w:r w:rsidRPr="007119D6">
        <w:rPr>
          <w:rFonts w:ascii="Narkisim" w:hAnsi="Narkisim"/>
          <w:rtl/>
        </w:rPr>
        <w:t xml:space="preserve"> (מאירי קידושין סה) שחילקו דדוקא אלמנה מהאירוסין אין לה כתובה. אבל גירשה חייב כתובה. [ועפ"ז ניחא במשנה]</w:t>
      </w:r>
      <w:r w:rsidRPr="007119D6">
        <w:rPr>
          <w:rFonts w:ascii="Narkisim" w:hAnsi="Narkisim"/>
        </w:rPr>
        <w:t>.</w:t>
      </w:r>
    </w:p>
  </w:footnote>
  <w:footnote w:id="8086">
    <w:p w14:paraId="1C5F10D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רמב"ם</w:t>
      </w:r>
      <w:r w:rsidRPr="007119D6">
        <w:rPr>
          <w:rFonts w:ascii="Narkisim" w:hAnsi="Narkisim"/>
          <w:rtl/>
        </w:rPr>
        <w:t xml:space="preserve"> (אישות ט כא) שכתב לה כתובה ואבד. וה</w:t>
      </w:r>
      <w:r w:rsidRPr="007119D6">
        <w:rPr>
          <w:rFonts w:ascii="Narkisim" w:hAnsi="Narkisim"/>
          <w:b/>
          <w:bCs/>
          <w:rtl/>
        </w:rPr>
        <w:t>ראב"ד</w:t>
      </w:r>
      <w:r w:rsidRPr="007119D6">
        <w:rPr>
          <w:rFonts w:ascii="Narkisim" w:hAnsi="Narkisim"/>
          <w:rtl/>
        </w:rPr>
        <w:t xml:space="preserve"> השיג דל"צ להעמיד בכתב ואבד, אלא שהתנה לתת לה כתובה אף בלא כתיבה</w:t>
      </w:r>
      <w:r w:rsidRPr="007119D6">
        <w:rPr>
          <w:rFonts w:ascii="Narkisim" w:hAnsi="Narkisim"/>
        </w:rPr>
        <w:t>.</w:t>
      </w:r>
    </w:p>
    <w:p w14:paraId="061664D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או"ש</w:t>
      </w:r>
      <w:r w:rsidRPr="007119D6">
        <w:rPr>
          <w:rFonts w:ascii="Narkisim" w:hAnsi="Narkisim"/>
          <w:rtl/>
        </w:rPr>
        <w:t xml:space="preserve"> (שם) כת' דכוונת הראב"ד להשיג דהיכא דכתב לה כתובה והכתובה אבדה, א"כ לא חייב את עצמו רק באופן שתוציא את כתובתה. והיא נחתא אדעתא דהכי [דתגבה ע"י כתובתה, או בעדים שראו הכתובה]. ומש"ה אי אפשר לחייבו מספק. דומיא דמ"ד דאין כותבין שובר, דאי"צ לפרוע החוב באופן שיש חשש שמא תגבה שוב. וה"נ א"א לחייבו לשלם לכל א' בלא שמביאה ראיה</w:t>
      </w:r>
      <w:r w:rsidRPr="007119D6">
        <w:rPr>
          <w:rFonts w:ascii="Narkisim" w:hAnsi="Narkisim"/>
        </w:rPr>
        <w:t>.</w:t>
      </w:r>
    </w:p>
    <w:p w14:paraId="242790A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ועוד יש שפי' דבסוגיין אמרי' דקנסו בקידש בביאה דעבד איסורא [פריצות], וכ"ז שייך במה שנתחייב מחמת ביאה זו. אבל אילו הקידושין אינם מחייבים כתובה, אלא שהוא כתב לה. א”כ ל”ש בזה קנס מחמת הביאה דהוה פריצות. [ובמקום שהתנה לה י"ל דעי"ז נתחייב ע"י מעשה הביאה. אבל כשכתב לה, הוה התחייבות בשטר, ולא קציצה דמעשה הקידושין יחייב]</w:t>
      </w:r>
      <w:r w:rsidRPr="007119D6">
        <w:rPr>
          <w:rFonts w:ascii="Narkisim" w:hAnsi="Narkisim"/>
        </w:rPr>
        <w:t>.</w:t>
      </w:r>
    </w:p>
  </w:footnote>
  <w:footnote w:id="8087">
    <w:p w14:paraId="1CE53CD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והגמ' (ב"מ שם) מביאה מח' היכא דהגזלן שותק, אי הוה שתיקה כהודאה לכולהו. או דמצי אמר האי דשתקי משום דילמא האי הוא</w:t>
      </w:r>
      <w:r w:rsidRPr="007119D6">
        <w:rPr>
          <w:rFonts w:ascii="Narkisim" w:hAnsi="Narkisim"/>
        </w:rPr>
        <w:t>.</w:t>
      </w:r>
    </w:p>
  </w:footnote>
  <w:footnote w:id="8088">
    <w:p w14:paraId="215D079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ונח' הראשונים אי יניח בבי”ד או ביד נפקד. עי”ש ואכמ"ל</w:t>
      </w:r>
      <w:r w:rsidRPr="007119D6">
        <w:rPr>
          <w:rFonts w:ascii="Narkisim" w:hAnsi="Narkisim"/>
        </w:rPr>
        <w:t>.</w:t>
      </w:r>
    </w:p>
  </w:footnote>
  <w:footnote w:id="8089">
    <w:p w14:paraId="08F7DCE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פ</w:t>
      </w:r>
      <w:r w:rsidRPr="007119D6">
        <w:rPr>
          <w:rFonts w:ascii="Narkisim" w:hAnsi="Narkisim"/>
          <w:b/>
          <w:bCs/>
          <w:rtl/>
        </w:rPr>
        <w:t>רש"י</w:t>
      </w:r>
      <w:r w:rsidRPr="007119D6">
        <w:rPr>
          <w:rFonts w:ascii="Narkisim" w:hAnsi="Narkisim"/>
          <w:rtl/>
        </w:rPr>
        <w:t xml:space="preserve"> שאם תהא מונחת עד שיבא אליהו נמצא גזלן מפסיד ע"י</w:t>
      </w:r>
      <w:r w:rsidRPr="007119D6">
        <w:rPr>
          <w:rFonts w:ascii="Narkisim" w:hAnsi="Narkisim"/>
        </w:rPr>
        <w:t>.</w:t>
      </w:r>
    </w:p>
  </w:footnote>
  <w:footnote w:id="8090">
    <w:p w14:paraId="27E26F9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והעירו דהוה כת"ק דבן ננס, דנמצא נשבעין שבועת שווא, דממ"נ חייב רק לא' מהן. ובן ננס (שבועות מה.) ס"ל דאין משביעין היכא דממ"נ באין לידי שבועת שווא</w:t>
      </w:r>
      <w:r w:rsidRPr="007119D6">
        <w:rPr>
          <w:rFonts w:ascii="Narkisim" w:hAnsi="Narkisim"/>
        </w:rPr>
        <w:t>.</w:t>
      </w:r>
    </w:p>
  </w:footnote>
  <w:footnote w:id="8091">
    <w:p w14:paraId="34E006B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כס"מ</w:t>
      </w:r>
      <w:r w:rsidRPr="007119D6">
        <w:rPr>
          <w:rFonts w:ascii="Narkisim" w:hAnsi="Narkisim"/>
          <w:rtl/>
        </w:rPr>
        <w:t xml:space="preserve"> (גזילה ד ט, וב"י חו"מ שסה) ביאר דכלל הוא לכל נוטל מעות מחבירו שהוא צריך לישבע. א"נ דכיון דמדינא פטור אלא דקנסו משום דעבד איסורא [למ"ד דגזל דוקא], אין ראוי לקונסו לשלם בלא שבועה</w:t>
      </w:r>
      <w:r w:rsidRPr="007119D6">
        <w:rPr>
          <w:rFonts w:ascii="Narkisim" w:hAnsi="Narkisim"/>
        </w:rPr>
        <w:t>.</w:t>
      </w:r>
    </w:p>
  </w:footnote>
  <w:footnote w:id="8092">
    <w:p w14:paraId="116E74E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היכא דידעינן שגזל, ולא ידעינן כמה. והק"נ חידש דאף היכא דידעינן שגזל לא' מהם, ולא ידעינן ממי</w:t>
      </w:r>
      <w:r w:rsidRPr="007119D6">
        <w:rPr>
          <w:rFonts w:ascii="Narkisim" w:hAnsi="Narkisim"/>
        </w:rPr>
        <w:t>.</w:t>
      </w:r>
    </w:p>
    <w:p w14:paraId="55883E6D"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והק”נ חידש דהכא [גבי כתובה] שייך מודה במקצת דאורייתא, דה' תובעים אותו ומודה לא' מהם. ואילו היה יודע איזה היה חייב שבועה דאורייתא. ומש"ה כשטוען שמא אמרי' מתוך שאינו יכול לישבע משלם. [וצ"ע דהא ידעינן שאינו חייב טפי, וחייב רק לא' מהם. ועד"ז דנו הראשונים גבי מנה שלישי (ב"מ ג. ולז.). ועוד צ"ע היכן מצאנו דיש לצרף ה' תובעים להחשב חדא תביעה</w:t>
      </w:r>
      <w:r w:rsidRPr="007119D6">
        <w:rPr>
          <w:rFonts w:ascii="Narkisim" w:hAnsi="Narkisim"/>
        </w:rPr>
        <w:t>.</w:t>
      </w:r>
    </w:p>
  </w:footnote>
  <w:footnote w:id="8093">
    <w:p w14:paraId="66CFBA6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(ב"ק קג:) ביאר שהרי ברי לו דד' מהם משקרים. שבודאי לא גזל אלא הא'. וכן </w:t>
      </w:r>
      <w:r w:rsidRPr="007119D6">
        <w:rPr>
          <w:rFonts w:ascii="Narkisim" w:hAnsi="Narkisim"/>
          <w:b/>
          <w:bCs/>
          <w:rtl/>
        </w:rPr>
        <w:t>רש"י</w:t>
      </w:r>
      <w:r w:rsidRPr="007119D6">
        <w:rPr>
          <w:rFonts w:ascii="Narkisim" w:hAnsi="Narkisim"/>
          <w:rtl/>
        </w:rPr>
        <w:t xml:space="preserve"> (ב"מ לז. ד”ה ולא) פי' דמספיקא לא מפקינן ממונא, כשזה תובע וזה אומר איני יודע אם לך אם לחברך, אוקי ממונא בחזקת נתבע זה</w:t>
      </w:r>
      <w:r w:rsidRPr="007119D6">
        <w:rPr>
          <w:rFonts w:ascii="Narkisim" w:hAnsi="Narkisim"/>
        </w:rPr>
        <w:t>.</w:t>
      </w:r>
    </w:p>
  </w:footnote>
  <w:footnote w:id="8094">
    <w:p w14:paraId="4A2E12D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רמב"ן</w:t>
      </w:r>
      <w:r w:rsidRPr="007119D6">
        <w:rPr>
          <w:rFonts w:ascii="Narkisim" w:hAnsi="Narkisim"/>
          <w:rtl/>
        </w:rPr>
        <w:t xml:space="preserve"> (ב”מ לז:) נקט דמ"ד ברי עדיף ע"כ לא ס"ל כר' טרפון אלא כר"ע, וכת"ק דר"ע קאי אף בלוקח. ולפ"ז המח' אמוראים בדין ברי ושמא ברי עדיף תלי במח' ת"ק ור"ש ב"א האם ר' עקיבא חייב לכל א' אף במקח</w:t>
      </w:r>
      <w:r w:rsidRPr="007119D6">
        <w:rPr>
          <w:rFonts w:ascii="Narkisim" w:hAnsi="Narkisim"/>
        </w:rPr>
        <w:t>.</w:t>
      </w:r>
    </w:p>
    <w:p w14:paraId="6494FE9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הק' דא"כ הול"ל כתנאי. וכת' די"ל דרב נחמן ס"ל דסברת ר"ע משום קנס, ולת"ק אפי' בלוקח קנס. [אבל לגמ' (שם לז:) ר' עקיבא מחייב מדינא. וס”ל דת”ק כרב הונא]</w:t>
      </w:r>
      <w:r w:rsidRPr="007119D6">
        <w:rPr>
          <w:rFonts w:ascii="Narkisim" w:hAnsi="Narkisim"/>
        </w:rPr>
        <w:t>.</w:t>
      </w:r>
    </w:p>
  </w:footnote>
  <w:footnote w:id="8095">
    <w:p w14:paraId="42F7F42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משום שיודע בודאי שחייב לא' מהם. ובפשוטו הטעם דחשיב אלימות לטענת ברי דידהו. וקלישות בטענת שמא, שהרי ידוע שחייב לא'. אבל ה</w:t>
      </w:r>
      <w:r w:rsidRPr="007119D6">
        <w:rPr>
          <w:rFonts w:ascii="Narkisim" w:hAnsi="Narkisim"/>
          <w:b/>
          <w:bCs/>
          <w:rtl/>
        </w:rPr>
        <w:t>ברכ”ש</w:t>
      </w:r>
      <w:r w:rsidRPr="007119D6">
        <w:rPr>
          <w:rFonts w:ascii="Narkisim" w:hAnsi="Narkisim"/>
          <w:rtl/>
        </w:rPr>
        <w:t xml:space="preserve"> (ב”מ א ה) הביא בשם ה</w:t>
      </w:r>
      <w:r w:rsidRPr="007119D6">
        <w:rPr>
          <w:rFonts w:ascii="Narkisim" w:hAnsi="Narkisim"/>
          <w:b/>
          <w:bCs/>
          <w:rtl/>
        </w:rPr>
        <w:t>גר"ח</w:t>
      </w:r>
      <w:r w:rsidRPr="007119D6">
        <w:rPr>
          <w:rFonts w:ascii="Narkisim" w:hAnsi="Narkisim"/>
          <w:rtl/>
        </w:rPr>
        <w:t xml:space="preserve"> דכיון דממ”נ חייב לא שייך לדון משום חזקת ממון, והיכא דליכא חזקת ממון אמרי' ברי ושמא ברי עדיף</w:t>
      </w:r>
      <w:r w:rsidRPr="007119D6">
        <w:rPr>
          <w:rFonts w:ascii="Narkisim" w:hAnsi="Narkisim"/>
        </w:rPr>
        <w:t>.</w:t>
      </w:r>
    </w:p>
  </w:footnote>
  <w:footnote w:id="8096">
    <w:p w14:paraId="3D5F057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תוס' קאי אליבא דת"ק, דנח' אף בלא עביד איסורא</w:t>
      </w:r>
      <w:r w:rsidRPr="007119D6">
        <w:rPr>
          <w:rFonts w:ascii="Narkisim" w:hAnsi="Narkisim"/>
        </w:rPr>
        <w:t>.</w:t>
      </w:r>
    </w:p>
  </w:footnote>
  <w:footnote w:id="8097">
    <w:p w14:paraId="01626D8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רא"ש</w:t>
      </w:r>
      <w:r w:rsidRPr="007119D6">
        <w:rPr>
          <w:rFonts w:ascii="Narkisim" w:hAnsi="Narkisim"/>
          <w:rtl/>
        </w:rPr>
        <w:t xml:space="preserve"> כת' דפסק כרשב"א משום דסתם משנה (כאן) דבמקח אינו חייב</w:t>
      </w:r>
      <w:r w:rsidRPr="007119D6">
        <w:rPr>
          <w:rFonts w:ascii="Narkisim" w:hAnsi="Narkisim"/>
        </w:rPr>
        <w:t>.</w:t>
      </w:r>
    </w:p>
  </w:footnote>
  <w:footnote w:id="8098">
    <w:p w14:paraId="38104A6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והא דאין גובין קנסות בבבל אמרו בממון הקצוב בתורה, כגון ל' של עבד ונ' של אונס ומפתה וק' של מוציא שם רע</w:t>
      </w:r>
      <w:r w:rsidRPr="007119D6">
        <w:rPr>
          <w:rFonts w:ascii="Narkisim" w:hAnsi="Narkisim"/>
        </w:rPr>
        <w:t>.</w:t>
      </w:r>
    </w:p>
  </w:footnote>
  <w:footnote w:id="8099">
    <w:p w14:paraId="6402348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דלכאורה ל"צ כאן גדר נאמנות דהוא הפה שהתיר, אלא דאומרת שהיה לה בן</w:t>
      </w:r>
      <w:r w:rsidRPr="007119D6">
        <w:rPr>
          <w:rFonts w:ascii="Narkisim" w:hAnsi="Narkisim"/>
        </w:rPr>
        <w:t>.</w:t>
      </w:r>
    </w:p>
  </w:footnote>
  <w:footnote w:id="8100">
    <w:p w14:paraId="43A5A9F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(כאן, ע”פ הרמב”ן לקמן קיט.) תי' דכיון שיצאה זו בלא בנים וחזרה בלא בנים לא יצאת מחזקתה הראשונה</w:t>
      </w:r>
      <w:r w:rsidRPr="007119D6">
        <w:rPr>
          <w:rFonts w:ascii="Narkisim" w:hAnsi="Narkisim"/>
        </w:rPr>
        <w:t>.</w:t>
      </w:r>
    </w:p>
  </w:footnote>
  <w:footnote w:id="8101">
    <w:p w14:paraId="4576EFF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רמב"ם</w:t>
      </w:r>
      <w:r w:rsidRPr="007119D6">
        <w:rPr>
          <w:rFonts w:ascii="Narkisim" w:hAnsi="Narkisim"/>
          <w:rtl/>
        </w:rPr>
        <w:t xml:space="preserve"> (גירושין ו ט) כת' דקטנה אינה עושה שליח לקבל גיטה, ששליח לקבלה צריך עדים ואין מעידין על הקטן שאינו בן דעת גמורה. וה</w:t>
      </w:r>
      <w:r w:rsidRPr="007119D6">
        <w:rPr>
          <w:rFonts w:ascii="Narkisim" w:hAnsi="Narkisim"/>
          <w:b/>
          <w:bCs/>
          <w:rtl/>
        </w:rPr>
        <w:t>ראב"ד</w:t>
      </w:r>
      <w:r w:rsidRPr="007119D6">
        <w:rPr>
          <w:rFonts w:ascii="Narkisim" w:hAnsi="Narkisim"/>
          <w:rtl/>
        </w:rPr>
        <w:t xml:space="preserve"> השיג תיפו"ל דאין שליחות לקטן. וה</w:t>
      </w:r>
      <w:r w:rsidRPr="007119D6">
        <w:rPr>
          <w:rFonts w:ascii="Narkisim" w:hAnsi="Narkisim"/>
          <w:b/>
          <w:bCs/>
          <w:rtl/>
        </w:rPr>
        <w:t>גר"ח</w:t>
      </w:r>
      <w:r w:rsidRPr="007119D6">
        <w:rPr>
          <w:rFonts w:ascii="Narkisim" w:hAnsi="Narkisim"/>
          <w:rtl/>
        </w:rPr>
        <w:t xml:space="preserve"> (שם) כת' ליישב דאיצטריך סברת הרמב"ם לענין זכין, לדעת הראשונים (ע' ב"מ עא:) דזכין לקטן מדאורייתא, א"כ באופן שזכין גט י"ל דמהני זכין אף בקטנה. ומש"ה הוסיף הרמב"ם טעם דשליחות לקבלה צריך עדות לקיומי ואין מעידים על הקטנה. [וצ"ב באופן של זכין אמאי חשיב עדות על הקטן]</w:t>
      </w:r>
      <w:r w:rsidRPr="007119D6">
        <w:rPr>
          <w:rFonts w:ascii="Narkisim" w:hAnsi="Narkisim"/>
        </w:rPr>
        <w:t>.</w:t>
      </w:r>
    </w:p>
  </w:footnote>
  <w:footnote w:id="8102">
    <w:p w14:paraId="7EE0417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(פ בשם אביאסף) הביא כן ע"פ הגמ' (גיטין סח:) [בהגדה] דאשמדאי בכה שאמר דמית גברא ובעיא למינטר ליבם קטן תליסר שנין. אך כת' דיש לדחות דדלמא תליסר שנין שאני ועוד דהתם תרתי איכא דמית בעלה. וכת' שהגמ' לא חילק, ואפי' קטן</w:t>
      </w:r>
      <w:r w:rsidRPr="007119D6">
        <w:rPr>
          <w:rFonts w:ascii="Narkisim" w:hAnsi="Narkisim"/>
        </w:rPr>
        <w:t>.</w:t>
      </w:r>
    </w:p>
  </w:footnote>
  <w:footnote w:id="8103">
    <w:p w14:paraId="7C3BC27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 כת' דיש לצרף בזה דעת ה</w:t>
      </w:r>
      <w:r w:rsidRPr="007119D6">
        <w:rPr>
          <w:rFonts w:ascii="Narkisim" w:hAnsi="Narkisim"/>
          <w:b/>
          <w:bCs/>
          <w:rtl/>
        </w:rPr>
        <w:t>ראשונים</w:t>
      </w:r>
      <w:r w:rsidRPr="007119D6">
        <w:rPr>
          <w:rFonts w:ascii="Narkisim" w:hAnsi="Narkisim"/>
          <w:rtl/>
        </w:rPr>
        <w:t xml:space="preserve"> (ע' מה שהו' לעיל כב.) דמומר אינו זוקק ליבום. [ואף דהגט לא הגיע לידה בחיי הבעל, והקיל דלא כרי”ף]. והביא דכן הורה מהר"י בירב למעשה באחים משומדים בפורטוגל [והביא דמוכח מהוראה זו דבני פורטוגל המירו באונס, כיון דהיו יכולים להמלט ולא נמלטו דינו כמומר]</w:t>
      </w:r>
      <w:r w:rsidRPr="007119D6">
        <w:rPr>
          <w:rFonts w:ascii="Narkisim" w:hAnsi="Narkisim"/>
        </w:rPr>
        <w:t>.</w:t>
      </w:r>
    </w:p>
  </w:footnote>
  <w:footnote w:id="8104">
    <w:p w14:paraId="1BA18DB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כיון דשבו חוב הוא לה או דילמא כיון שבאותה שעה לא נודע לה ששבו דעתה היתה להתגרש וזכות הוא לה</w:t>
      </w:r>
      <w:r w:rsidRPr="007119D6">
        <w:rPr>
          <w:rFonts w:ascii="Narkisim" w:hAnsi="Narkisim"/>
        </w:rPr>
        <w:t>.</w:t>
      </w:r>
    </w:p>
  </w:footnote>
  <w:footnote w:id="8105">
    <w:p w14:paraId="1FC701B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וכיון שאין לה נאמנות ע"פ דין, א"כ מחזקינן שמשקרת. ומחזקינן שמת בנה ואח"כ בעלה, וזקוקה ליבם</w:t>
      </w:r>
      <w:r w:rsidRPr="007119D6">
        <w:rPr>
          <w:rFonts w:ascii="Narkisim" w:hAnsi="Narkisim"/>
        </w:rPr>
        <w:t>.</w:t>
      </w:r>
    </w:p>
  </w:footnote>
  <w:footnote w:id="8106">
    <w:p w14:paraId="3098DD6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ובגמ' (לעיל מד:) אי' דבספיקות לא אמרי' כל שאינו עולה ליבום, דאי יבא אליהו עולה. אבל היכא דשויא אנפשה אסורה בתורת ודאי, ול"ש אם יבא אליהו</w:t>
      </w:r>
      <w:r w:rsidRPr="007119D6">
        <w:rPr>
          <w:rFonts w:ascii="Narkisim" w:hAnsi="Narkisim"/>
        </w:rPr>
        <w:t>.</w:t>
      </w:r>
    </w:p>
  </w:footnote>
  <w:footnote w:id="8107">
    <w:p w14:paraId="7373C80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ודוקא היכא דכל הנאמנות משום שויא אנפשה חתיכה דאיסורא הוא דמהני אמתלא. דאי מהני אמתלא בעד א' אף דהימניה רחמנא, א"כ היכי פשיט לה מדקתני חולצת ולא מתייבמת, ומשמע אפילו נתנה אמתלא</w:t>
      </w:r>
      <w:r w:rsidRPr="007119D6">
        <w:rPr>
          <w:rFonts w:ascii="Narkisim" w:hAnsi="Narkisim"/>
        </w:rPr>
        <w:t>.</w:t>
      </w:r>
    </w:p>
  </w:footnote>
  <w:footnote w:id="8108">
    <w:p w14:paraId="3BCCE90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הביא דה</w:t>
      </w:r>
      <w:r w:rsidRPr="007119D6">
        <w:rPr>
          <w:rFonts w:ascii="Narkisim" w:hAnsi="Narkisim"/>
          <w:b/>
          <w:bCs/>
          <w:rtl/>
        </w:rPr>
        <w:t>ש"ש</w:t>
      </w:r>
      <w:r w:rsidRPr="007119D6">
        <w:rPr>
          <w:rFonts w:ascii="Narkisim" w:hAnsi="Narkisim"/>
          <w:rtl/>
        </w:rPr>
        <w:t xml:space="preserve"> (ו יד) כת' [ע"פ שו"ת הר"ן מז] דהיכא דעשו מעשה על פיו אינו חוזר ומגיד</w:t>
      </w:r>
      <w:r w:rsidRPr="007119D6">
        <w:rPr>
          <w:rFonts w:ascii="Narkisim" w:hAnsi="Narkisim"/>
        </w:rPr>
        <w:t>.</w:t>
      </w:r>
    </w:p>
  </w:footnote>
  <w:footnote w:id="8109">
    <w:p w14:paraId="3F1414B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ירושלמי</w:t>
      </w:r>
      <w:r w:rsidRPr="007119D6">
        <w:rPr>
          <w:rFonts w:ascii="Narkisim" w:hAnsi="Narkisim"/>
          <w:rtl/>
        </w:rPr>
        <w:t xml:space="preserve"> מק' מ"ש מעבד של קצין, דמשמע דאף כה”ג מהני זכין. והירושלמי תי' דיכול למכור עבד שלא מדעתו, ומש"ה הוה זכות. ואילו אשה אינה מתגרשת ע"י אחר בעל כרחה</w:t>
      </w:r>
      <w:r w:rsidRPr="007119D6">
        <w:rPr>
          <w:rFonts w:ascii="Narkisim" w:hAnsi="Narkisim"/>
        </w:rPr>
        <w:t>.</w:t>
      </w:r>
    </w:p>
  </w:footnote>
  <w:footnote w:id="8110">
    <w:p w14:paraId="006ACD2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(גיטין לב:) ביאר דברי הירושלמי דעיקר הטעם דאינה מגורשת עד שיגיע גט לידה או ליד שלוחה שעשאתו היא מדעתה. וטעמא דכל שעומדת תחת בעלה [איזה בעל שיהא] עדיף לה, וכדאי' בסוגיין</w:t>
      </w:r>
      <w:r w:rsidRPr="007119D6">
        <w:rPr>
          <w:rFonts w:ascii="Narkisim" w:hAnsi="Narkisim"/>
        </w:rPr>
        <w:t>.</w:t>
      </w:r>
    </w:p>
  </w:footnote>
  <w:footnote w:id="8111">
    <w:p w14:paraId="1C4C240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ולא בזכות וחובה תליא מילתא, אלא כיון דעבד יוצא ממנו ע"י מכירה, ה"נ ע"י שחרור. משא"כ אשה דל”מ להוציאה מידו ע”י  עצמו</w:t>
      </w:r>
      <w:r w:rsidRPr="007119D6">
        <w:rPr>
          <w:rFonts w:ascii="Narkisim" w:hAnsi="Narkisim"/>
        </w:rPr>
        <w:t>.</w:t>
      </w:r>
    </w:p>
  </w:footnote>
  <w:footnote w:id="8112">
    <w:p w14:paraId="300E435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תור"ג</w:t>
      </w:r>
      <w:r w:rsidRPr="007119D6">
        <w:rPr>
          <w:rFonts w:ascii="Narkisim" w:hAnsi="Narkisim"/>
          <w:rtl/>
        </w:rPr>
        <w:t xml:space="preserve"> (שם) כתב הטעם משום דבגט אין שום צד זכות, ולכן אף דאינו חוב כ”כ ל”מ זכין</w:t>
      </w:r>
      <w:r w:rsidRPr="007119D6">
        <w:rPr>
          <w:rFonts w:ascii="Narkisim" w:hAnsi="Narkisim"/>
        </w:rPr>
        <w:t>.</w:t>
      </w:r>
    </w:p>
  </w:footnote>
  <w:footnote w:id="8113">
    <w:p w14:paraId="2E39FAB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גר"א</w:t>
      </w:r>
      <w:r w:rsidRPr="007119D6">
        <w:rPr>
          <w:rFonts w:ascii="Narkisim" w:hAnsi="Narkisim"/>
          <w:rtl/>
        </w:rPr>
        <w:t xml:space="preserve"> (קמ יג, הו' בסמוך) כת' דבירושלמי משמע דל"מ זכין כלל. והק' מסוגיין</w:t>
      </w:r>
      <w:r w:rsidRPr="007119D6">
        <w:rPr>
          <w:rFonts w:ascii="Narkisim" w:hAnsi="Narkisim"/>
        </w:rPr>
        <w:t>.</w:t>
      </w:r>
    </w:p>
  </w:footnote>
  <w:footnote w:id="8114">
    <w:p w14:paraId="0154371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ראב"ד</w:t>
      </w:r>
      <w:r w:rsidRPr="007119D6">
        <w:rPr>
          <w:rFonts w:ascii="Narkisim" w:hAnsi="Narkisim"/>
          <w:rtl/>
        </w:rPr>
        <w:t xml:space="preserve"> (בשיטמ”ק ב"מ צח:) חידש דמהני זכין אף בשאלה, ששלח לו והשליח קיבל אותה לשם זיכוי. ונעשו שלוחיו וידם כידו. וביאר דאף דיש בו צד חובה להתחייב באונסין ומזונותיה, כיון דהוה מדעתו מהני. דחבין לאדם שלא בפניו מדעתו</w:t>
      </w:r>
      <w:r w:rsidRPr="007119D6">
        <w:rPr>
          <w:rFonts w:ascii="Narkisim" w:hAnsi="Narkisim"/>
        </w:rPr>
        <w:t>.</w:t>
      </w:r>
    </w:p>
  </w:footnote>
  <w:footnote w:id="8115">
    <w:p w14:paraId="16D1CE6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ב</w:t>
      </w:r>
      <w:r w:rsidRPr="007119D6">
        <w:rPr>
          <w:rFonts w:ascii="Narkisim" w:hAnsi="Narkisim"/>
          <w:b/>
          <w:bCs/>
          <w:rtl/>
        </w:rPr>
        <w:t>שו"ת הר"ן</w:t>
      </w:r>
      <w:r w:rsidRPr="007119D6">
        <w:rPr>
          <w:rFonts w:ascii="Narkisim" w:hAnsi="Narkisim"/>
          <w:rtl/>
        </w:rPr>
        <w:t xml:space="preserve"> (מג) כת' דלא הוה ספק</w:t>
      </w:r>
      <w:r w:rsidRPr="007119D6">
        <w:rPr>
          <w:rFonts w:ascii="Narkisim" w:hAnsi="Narkisim"/>
        </w:rPr>
        <w:t>.</w:t>
      </w:r>
    </w:p>
  </w:footnote>
  <w:footnote w:id="8116">
    <w:p w14:paraId="09E6FB6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וצ"ב דאי הוה ספק בדעתה, א"כ לא הוה זכות כלל</w:t>
      </w:r>
      <w:r w:rsidRPr="007119D6">
        <w:rPr>
          <w:rFonts w:ascii="Narkisim" w:hAnsi="Narkisim"/>
        </w:rPr>
        <w:t>.</w:t>
      </w:r>
    </w:p>
  </w:footnote>
  <w:footnote w:id="8117">
    <w:p w14:paraId="7D466BE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וע"ע </w:t>
      </w:r>
      <w:r w:rsidRPr="007119D6">
        <w:rPr>
          <w:rFonts w:ascii="Narkisim" w:hAnsi="Narkisim"/>
          <w:b/>
          <w:bCs/>
          <w:rtl/>
        </w:rPr>
        <w:t>ראב"ד</w:t>
      </w:r>
      <w:r w:rsidRPr="007119D6">
        <w:rPr>
          <w:rFonts w:ascii="Narkisim" w:hAnsi="Narkisim"/>
          <w:rtl/>
        </w:rPr>
        <w:t xml:space="preserve"> (בשיטמ"ק ב"מ צח:) דהיכא דגילה דעתו מעיקרא מהני, דזכין שלא בפניו מדעתו. וע”ע רא”ש (עירובין ז יג, ומחנ"א זכין ו)</w:t>
      </w:r>
      <w:r w:rsidRPr="007119D6">
        <w:rPr>
          <w:rFonts w:ascii="Narkisim" w:hAnsi="Narkisim"/>
        </w:rPr>
        <w:t>.</w:t>
      </w:r>
    </w:p>
  </w:footnote>
  <w:footnote w:id="8118">
    <w:p w14:paraId="11A7BCC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הג' אשר"י</w:t>
      </w:r>
      <w:r w:rsidRPr="007119D6">
        <w:rPr>
          <w:rFonts w:ascii="Narkisim" w:hAnsi="Narkisim"/>
          <w:rtl/>
        </w:rPr>
        <w:t xml:space="preserve"> (גיטין א יג) הביא דהשיב רש"י דהאשה שאמרה בפני עדים הריני ממנה את פלוני שבמקום פלוני שליח לקבל גיטי מהני, משום דגילתה דעתה שהיא חפצה בגירושין משום איבה שביניהם. ומעתה זכות הוא לה ושליחות גמור הוא מאחר שנתרצה ליעשות שלוחה. [וצ"ע בכוונתו אי מהני מינוי שליחות שלא בפניו, או דע"י גילוי דעת מהני מדין זכין]</w:t>
      </w:r>
      <w:r w:rsidRPr="007119D6">
        <w:rPr>
          <w:rFonts w:ascii="Narkisim" w:hAnsi="Narkisim"/>
        </w:rPr>
        <w:t>.</w:t>
      </w:r>
    </w:p>
  </w:footnote>
  <w:footnote w:id="8119">
    <w:p w14:paraId="6B01784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 כת' דכוונתו לחלוק ע"פ הירושלמי</w:t>
      </w:r>
      <w:r w:rsidRPr="007119D6">
        <w:rPr>
          <w:rFonts w:ascii="Narkisim" w:hAnsi="Narkisim"/>
        </w:rPr>
        <w:t>.</w:t>
      </w:r>
    </w:p>
    <w:p w14:paraId="32711EA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וכ"כ ה</w:t>
      </w:r>
      <w:r w:rsidRPr="007119D6">
        <w:rPr>
          <w:rFonts w:ascii="Narkisim" w:hAnsi="Narkisim"/>
          <w:b/>
          <w:bCs/>
          <w:rtl/>
        </w:rPr>
        <w:t>גר"א</w:t>
      </w:r>
      <w:r w:rsidRPr="007119D6">
        <w:rPr>
          <w:rFonts w:ascii="Narkisim" w:hAnsi="Narkisim"/>
          <w:rtl/>
        </w:rPr>
        <w:t xml:space="preserve"> (שם ט) דהירושלמי דלא כעיטור. אבל ה</w:t>
      </w:r>
      <w:r w:rsidRPr="007119D6">
        <w:rPr>
          <w:rFonts w:ascii="Narkisim" w:hAnsi="Narkisim"/>
          <w:b/>
          <w:bCs/>
          <w:rtl/>
        </w:rPr>
        <w:t>ב"ח</w:t>
      </w:r>
      <w:r w:rsidRPr="007119D6">
        <w:rPr>
          <w:rFonts w:ascii="Narkisim" w:hAnsi="Narkisim"/>
          <w:rtl/>
        </w:rPr>
        <w:t xml:space="preserve"> (שם) דחה דהעיטור איירי באופן שיש עדים דעדיין ניחא לה בשעת זכין. [ואף דהמזכה לא ידע האם האשה חזרה בה, מהני הגילוי דמעיקרא ע"י שיש עדים שלא חזרה בה]</w:t>
      </w:r>
      <w:r w:rsidRPr="007119D6">
        <w:rPr>
          <w:rFonts w:ascii="Narkisim" w:hAnsi="Narkisim"/>
        </w:rPr>
        <w:t>.</w:t>
      </w:r>
    </w:p>
  </w:footnote>
  <w:footnote w:id="8120">
    <w:p w14:paraId="38B1D01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הר"ן</w:t>
      </w:r>
      <w:r w:rsidRPr="007119D6">
        <w:rPr>
          <w:rFonts w:ascii="Narkisim" w:hAnsi="Narkisim"/>
          <w:rtl/>
        </w:rPr>
        <w:t xml:space="preserve"> (מג) הביא </w:t>
      </w:r>
      <w:r w:rsidRPr="007119D6">
        <w:rPr>
          <w:rFonts w:ascii="Narkisim" w:hAnsi="Narkisim"/>
          <w:b/>
          <w:bCs/>
          <w:rtl/>
        </w:rPr>
        <w:t>ר' פרץ</w:t>
      </w:r>
      <w:r w:rsidRPr="007119D6">
        <w:rPr>
          <w:rFonts w:ascii="Narkisim" w:hAnsi="Narkisim"/>
          <w:rtl/>
        </w:rPr>
        <w:t xml:space="preserve"> בשם ה</w:t>
      </w:r>
      <w:r w:rsidRPr="007119D6">
        <w:rPr>
          <w:rFonts w:ascii="Narkisim" w:hAnsi="Narkisim"/>
          <w:b/>
          <w:bCs/>
          <w:rtl/>
        </w:rPr>
        <w:t>ראשונים</w:t>
      </w:r>
      <w:r w:rsidRPr="007119D6">
        <w:rPr>
          <w:rFonts w:ascii="Narkisim" w:hAnsi="Narkisim"/>
          <w:rtl/>
        </w:rPr>
        <w:t xml:space="preserve"> דבאשת מומר הוה זכות, דהכל יודעים דלא תרצה לחזור עמו וטוב לה המות ממנו</w:t>
      </w:r>
      <w:r w:rsidRPr="007119D6">
        <w:rPr>
          <w:rFonts w:ascii="Narkisim" w:hAnsi="Narkisim"/>
        </w:rPr>
        <w:t>.</w:t>
      </w:r>
    </w:p>
    <w:p w14:paraId="18892A5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w:t>
      </w:r>
      <w:r w:rsidRPr="007119D6">
        <w:rPr>
          <w:rFonts w:ascii="Narkisim" w:hAnsi="Narkisim"/>
          <w:b/>
          <w:bCs/>
          <w:rtl/>
        </w:rPr>
        <w:t>ר' פרץ</w:t>
      </w:r>
      <w:r w:rsidRPr="007119D6">
        <w:rPr>
          <w:rFonts w:ascii="Narkisim" w:hAnsi="Narkisim"/>
          <w:rtl/>
        </w:rPr>
        <w:t xml:space="preserve"> הוסיף וכן במקום שאנו יודעים ששאלה הגט כמה פעמים, ואנו רואים שמחשיבתו לזכות מצי למיזכי שליח בשבילה. [משמע בלא מומר]. וה</w:t>
      </w:r>
      <w:r w:rsidRPr="007119D6">
        <w:rPr>
          <w:rFonts w:ascii="Narkisim" w:hAnsi="Narkisim"/>
          <w:b/>
          <w:bCs/>
          <w:rtl/>
        </w:rPr>
        <w:t>ר"ן</w:t>
      </w:r>
      <w:r w:rsidRPr="007119D6">
        <w:rPr>
          <w:rFonts w:ascii="Narkisim" w:hAnsi="Narkisim"/>
          <w:rtl/>
        </w:rPr>
        <w:t xml:space="preserve"> חלק דאסיקנא דאפי' במקום קטטה חוב הוא לה, וסתמא אמרינן ואפי' תובעת להתגרש. [אף לכאורה במומר מודה. וצ"ע בדברי הב"י שם]</w:t>
      </w:r>
      <w:r w:rsidRPr="007119D6">
        <w:rPr>
          <w:rFonts w:ascii="Narkisim" w:hAnsi="Narkisim"/>
        </w:rPr>
        <w:t>.</w:t>
      </w:r>
    </w:p>
  </w:footnote>
  <w:footnote w:id="8121">
    <w:p w14:paraId="612A54F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ומשמע דהוא </w:t>
      </w:r>
      <w:r w:rsidRPr="007119D6">
        <w:rPr>
          <w:rFonts w:ascii="Narkisim" w:hAnsi="Narkisim"/>
          <w:b/>
          <w:bCs/>
          <w:rtl/>
        </w:rPr>
        <w:t>שו"ת הר"ן</w:t>
      </w:r>
      <w:r w:rsidRPr="007119D6">
        <w:rPr>
          <w:rFonts w:ascii="Narkisim" w:hAnsi="Narkisim"/>
          <w:rtl/>
        </w:rPr>
        <w:t xml:space="preserve"> (הנ"ל), ונקט דס"ל דל"מ זכין כלל. ועיל"פ דכוונתו לדברי המהרי"ק דצריך שיבא לידה לבסוף</w:t>
      </w:r>
      <w:r w:rsidRPr="007119D6">
        <w:rPr>
          <w:rFonts w:ascii="Narkisim" w:hAnsi="Narkisim"/>
        </w:rPr>
        <w:t>.</w:t>
      </w:r>
    </w:p>
    <w:p w14:paraId="3009C61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יג) כת' דלכאורה משמע ב</w:t>
      </w:r>
      <w:r w:rsidRPr="007119D6">
        <w:rPr>
          <w:rFonts w:ascii="Narkisim" w:hAnsi="Narkisim"/>
          <w:b/>
          <w:bCs/>
          <w:rtl/>
        </w:rPr>
        <w:t>ירושלמי</w:t>
      </w:r>
      <w:r w:rsidRPr="007119D6">
        <w:rPr>
          <w:rFonts w:ascii="Narkisim" w:hAnsi="Narkisim"/>
          <w:rtl/>
        </w:rPr>
        <w:t xml:space="preserve"> (גיטין א הנ"ל) דל"מ זכין כלל. ואילו ב</w:t>
      </w:r>
      <w:r w:rsidRPr="007119D6">
        <w:rPr>
          <w:rFonts w:ascii="Narkisim" w:hAnsi="Narkisim"/>
          <w:b/>
          <w:bCs/>
          <w:rtl/>
        </w:rPr>
        <w:t>ירושלמי</w:t>
      </w:r>
      <w:r w:rsidRPr="007119D6">
        <w:rPr>
          <w:rFonts w:ascii="Narkisim" w:hAnsi="Narkisim"/>
          <w:rtl/>
        </w:rPr>
        <w:t xml:space="preserve"> (גיטין ו הנ"ל) ובגמ' כאן משמע דזכין</w:t>
      </w:r>
      <w:r w:rsidRPr="007119D6">
        <w:rPr>
          <w:rFonts w:ascii="Narkisim" w:hAnsi="Narkisim"/>
        </w:rPr>
        <w:t>.</w:t>
      </w:r>
    </w:p>
  </w:footnote>
  <w:footnote w:id="8122">
    <w:p w14:paraId="02015C1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eastAsia="Narkisim" w:hAnsi="Narkisim"/>
          <w:rtl/>
        </w:rPr>
        <w:t>וה</w:t>
      </w:r>
      <w:r w:rsidRPr="007119D6">
        <w:rPr>
          <w:rFonts w:ascii="Narkisim" w:eastAsia="Narkisim" w:hAnsi="Narkisim"/>
          <w:b/>
          <w:bCs/>
          <w:rtl/>
        </w:rPr>
        <w:t>אבנ"מ</w:t>
      </w:r>
      <w:r w:rsidRPr="007119D6">
        <w:rPr>
          <w:rFonts w:ascii="Narkisim" w:eastAsia="Narkisim" w:hAnsi="Narkisim"/>
          <w:rtl/>
        </w:rPr>
        <w:t xml:space="preserve"> (א ה) הק' דחזינן דאינה מקפדת באיסור, א"כ אמאי הוה זכות. אך דן די"ל דחשיב זכות גמור, ואפשר לזכות אף כשצווחת, ע”פ ה</w:t>
      </w:r>
      <w:r w:rsidRPr="007119D6">
        <w:rPr>
          <w:rFonts w:ascii="Narkisim" w:eastAsia="Narkisim" w:hAnsi="Narkisim"/>
          <w:b/>
          <w:bCs/>
          <w:rtl/>
        </w:rPr>
        <w:t>רשב”א</w:t>
      </w:r>
      <w:r w:rsidRPr="007119D6">
        <w:rPr>
          <w:rFonts w:ascii="Narkisim" w:eastAsia="Narkisim" w:hAnsi="Narkisim"/>
          <w:rtl/>
        </w:rPr>
        <w:t xml:space="preserve"> (קידושין כג:, וע”ע תוס' כתובות יא. בסו”ד)</w:t>
      </w:r>
      <w:r w:rsidRPr="007119D6">
        <w:rPr>
          <w:rFonts w:ascii="Narkisim" w:eastAsia="Narkisim" w:hAnsi="Narkisim"/>
        </w:rPr>
        <w:t>.</w:t>
      </w:r>
    </w:p>
  </w:footnote>
  <w:footnote w:id="8123">
    <w:p w14:paraId="0935A76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תוי"ט</w:t>
      </w:r>
      <w:r w:rsidRPr="007119D6">
        <w:rPr>
          <w:rFonts w:ascii="Narkisim" w:hAnsi="Narkisim"/>
          <w:rtl/>
        </w:rPr>
        <w:t xml:space="preserve"> כת' דמילתא דפשיטא בטעמא</w:t>
      </w:r>
      <w:r w:rsidRPr="007119D6">
        <w:rPr>
          <w:rFonts w:ascii="Narkisim" w:hAnsi="Narkisim"/>
        </w:rPr>
        <w:t>.</w:t>
      </w:r>
    </w:p>
  </w:footnote>
  <w:footnote w:id="8124">
    <w:p w14:paraId="6A631EB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ובגמ' (בכורות יט:) אי' [עד"ז] דרוב בהמות מתעברות ויולדות תוך שנתן</w:t>
      </w:r>
      <w:r w:rsidRPr="007119D6">
        <w:rPr>
          <w:rFonts w:ascii="Narkisim" w:hAnsi="Narkisim"/>
        </w:rPr>
        <w:t>.</w:t>
      </w:r>
    </w:p>
  </w:footnote>
  <w:footnote w:id="8125">
    <w:p w14:paraId="779E213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מהרי"ט</w:t>
      </w:r>
      <w:r w:rsidRPr="007119D6">
        <w:rPr>
          <w:rFonts w:ascii="Narkisim" w:hAnsi="Narkisim"/>
          <w:rtl/>
        </w:rPr>
        <w:t xml:space="preserve"> (א צח) דהא דאמרי' דרוב נשים מתעברות ויולדות אינה בחד בעילה, אלא מיירי באשתו היושבת תחתיו ומשמשתו, דרובא מתעברות ליומא ולמחרת</w:t>
      </w:r>
      <w:r w:rsidRPr="007119D6">
        <w:rPr>
          <w:rFonts w:ascii="Narkisim" w:hAnsi="Narkisim"/>
        </w:rPr>
        <w:t>.</w:t>
      </w:r>
    </w:p>
  </w:footnote>
  <w:footnote w:id="8126">
    <w:p w14:paraId="086D4E9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(ע' תשב"ץ א צה וצו) דנו האם יכול לטעון דלא אסיק אדעתיה שלא יוולד לו בנים</w:t>
      </w:r>
      <w:r w:rsidRPr="007119D6">
        <w:rPr>
          <w:rFonts w:ascii="Narkisim" w:hAnsi="Narkisim"/>
        </w:rPr>
        <w:t>.</w:t>
      </w:r>
    </w:p>
  </w:footnote>
  <w:footnote w:id="8127">
    <w:p w14:paraId="646CCA6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לגבי היתר עגונה לא אזלי' בתר רוב במים שאין להם סוף (לקמן קכא.), דהחמירו שלא להתיר אשה ע"פ רוב</w:t>
      </w:r>
      <w:r w:rsidRPr="007119D6">
        <w:rPr>
          <w:rFonts w:ascii="Narkisim" w:hAnsi="Narkisim"/>
        </w:rPr>
        <w:t>.</w:t>
      </w:r>
    </w:p>
  </w:footnote>
  <w:footnote w:id="8128">
    <w:p w14:paraId="3C9D993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וכמ”ש </w:t>
      </w:r>
      <w:r w:rsidRPr="007119D6">
        <w:rPr>
          <w:rFonts w:ascii="Narkisim" w:hAnsi="Narkisim"/>
          <w:b/>
          <w:bCs/>
          <w:rtl/>
        </w:rPr>
        <w:t>רש"י</w:t>
      </w:r>
      <w:r w:rsidRPr="007119D6">
        <w:rPr>
          <w:rFonts w:ascii="Narkisim" w:hAnsi="Narkisim"/>
          <w:rtl/>
        </w:rPr>
        <w:t xml:space="preserve"> (חולין יב.). אבל ה</w:t>
      </w:r>
      <w:r w:rsidRPr="007119D6">
        <w:rPr>
          <w:rFonts w:ascii="Narkisim" w:hAnsi="Narkisim"/>
          <w:b/>
          <w:bCs/>
          <w:rtl/>
        </w:rPr>
        <w:t>מרדכי</w:t>
      </w:r>
      <w:r w:rsidRPr="007119D6">
        <w:rPr>
          <w:rFonts w:ascii="Narkisim" w:hAnsi="Narkisim"/>
          <w:rtl/>
        </w:rPr>
        <w:t xml:space="preserve"> (תקפ בשם ר"י הלוי) פליג דלא אזלי' בתר רוב היכא דאפשר לברר. [והו' בב"י יו"ד לט]</w:t>
      </w:r>
      <w:r w:rsidRPr="007119D6">
        <w:rPr>
          <w:rFonts w:ascii="Narkisim" w:hAnsi="Narkisim"/>
        </w:rPr>
        <w:t>.</w:t>
      </w:r>
    </w:p>
  </w:footnote>
  <w:footnote w:id="8129">
    <w:p w14:paraId="050B13D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ולדעת רבא (לעיל לו.) הולד אינו פוטר עד שיצא לאויר העולם. ונידון הרשב"א למ"ד דל"ל דרבא</w:t>
      </w:r>
      <w:r w:rsidRPr="007119D6">
        <w:rPr>
          <w:rFonts w:ascii="Narkisim" w:hAnsi="Narkisim"/>
        </w:rPr>
        <w:t>.</w:t>
      </w:r>
    </w:p>
  </w:footnote>
  <w:footnote w:id="8130">
    <w:p w14:paraId="15040E0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דכן מבואר בירושלמי (לעיל ר"פ ב') דכשמת צריכין להמתין ולידע שהולד בן קיימא. ומשמע</w:t>
      </w:r>
    </w:p>
  </w:footnote>
  <w:footnote w:id="8131">
    <w:p w14:paraId="579BA30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ועוד הביא דר' יוחנן (שם) סבר דחליצת מעוברת והפילה הוה חליצה, וכן ביאת מעוברת. ואת"ל דמותרת לשוק מדאורייתא א"כ לאו חליצה היא ולאו ביאה דיבמה היא. [וצ"ב כוונתו מנ"ל הא]</w:t>
      </w:r>
      <w:r w:rsidRPr="007119D6">
        <w:rPr>
          <w:rFonts w:ascii="Narkisim" w:hAnsi="Narkisim"/>
        </w:rPr>
        <w:t>.</w:t>
      </w:r>
    </w:p>
  </w:footnote>
  <w:footnote w:id="8132">
    <w:p w14:paraId="08C9EDA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אחרונים</w:t>
      </w:r>
      <w:r w:rsidRPr="007119D6">
        <w:rPr>
          <w:rFonts w:ascii="Narkisim" w:hAnsi="Narkisim"/>
          <w:rtl/>
        </w:rPr>
        <w:t xml:space="preserve"> (קובה"ע כד א) דחו דדרכי נועם איירי דוקא דבר שהיה מותר, ואח"כ נאסר מכאן ולהבא. אבל היכא שהותר מדין רוב [או חזקה ושאר הכרעות], ואח"כ נתברר שהיה אסור מתחילה, והיה אסור מעולם. וכי היכא דהעידו עדות שקר, ואח"כ הוזמו נימא דמ"מ ישאר בהתירו משום דרכי נועם. ואף דהכרעת הרוב לא העיד שקר, מ"מ ההיתר היה בטעות, דהרוב אינו מתיר אם קמי שמיא גליא שהוא אסור. [ועד"ז הק' הקובה"ע על רע"א לעיל יז:, עי"ש]</w:t>
      </w:r>
      <w:r w:rsidRPr="007119D6">
        <w:rPr>
          <w:rFonts w:ascii="Narkisim" w:hAnsi="Narkisim"/>
        </w:rPr>
        <w:t>.</w:t>
      </w:r>
    </w:p>
    <w:p w14:paraId="45AEFCA7" w14:textId="77777777" w:rsidR="006C4368" w:rsidRPr="007119D6" w:rsidRDefault="006C4368" w:rsidP="006C4368">
      <w:pPr>
        <w:pStyle w:val="Footnote"/>
        <w:bidi/>
        <w:rPr>
          <w:rFonts w:ascii="Narkisim" w:hAnsi="Narkisim"/>
        </w:rPr>
      </w:pPr>
      <w:r w:rsidRPr="007119D6">
        <w:rPr>
          <w:rFonts w:ascii="Narkisim" w:hAnsi="Narkisim"/>
        </w:rPr>
        <w:tab/>
        <w:t>{</w:t>
      </w:r>
      <w:r w:rsidRPr="007119D6">
        <w:rPr>
          <w:rFonts w:ascii="Narkisim" w:hAnsi="Narkisim"/>
          <w:rtl/>
        </w:rPr>
        <w:t>ואף הרשב"א קאי דוקא בדבר שעומד להתברר, ואל"כ אזלי' בתר רוב. ומהני להכריע</w:t>
      </w:r>
      <w:r w:rsidRPr="007119D6">
        <w:rPr>
          <w:rFonts w:ascii="Narkisim" w:hAnsi="Narkisim"/>
        </w:rPr>
        <w:t>}.</w:t>
      </w:r>
    </w:p>
  </w:footnote>
  <w:footnote w:id="8133">
    <w:p w14:paraId="651F7C7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ועוד חילק ה</w:t>
      </w:r>
      <w:r w:rsidRPr="007119D6">
        <w:rPr>
          <w:rFonts w:ascii="Narkisim" w:hAnsi="Narkisim"/>
          <w:b/>
          <w:bCs/>
          <w:rtl/>
        </w:rPr>
        <w:t>רשב"א</w:t>
      </w:r>
      <w:r w:rsidRPr="007119D6">
        <w:rPr>
          <w:rFonts w:ascii="Narkisim" w:hAnsi="Narkisim"/>
          <w:rtl/>
        </w:rPr>
        <w:t xml:space="preserve"> דיבמה מעוברת החשש הוה שמא תפיל [בעתיד], ומש"ה חיישינן. [ע"ד הא דאי' גיטין כח. שמא ימות חיישינן]. ואילו גבי חמותה הנידון לאחר זמן, שמא הפילה. ושמא מת לא חיישינן. [וה</w:t>
      </w:r>
      <w:r w:rsidRPr="007119D6">
        <w:rPr>
          <w:rFonts w:ascii="Narkisim" w:hAnsi="Narkisim"/>
          <w:b/>
          <w:bCs/>
          <w:rtl/>
        </w:rPr>
        <w:t>עונג יו"ט</w:t>
      </w:r>
      <w:r w:rsidRPr="007119D6">
        <w:rPr>
          <w:rFonts w:ascii="Narkisim" w:hAnsi="Narkisim"/>
          <w:rtl/>
        </w:rPr>
        <w:t xml:space="preserve"> (קפ) הק' דהנידון שמא מת משום חזקת חיים. אבל בעובר ליכא חזקת חיים, וכלשון הגמ' (ערכין ז:) דל"ל חזקה דחיותא]</w:t>
      </w:r>
      <w:r w:rsidRPr="007119D6">
        <w:rPr>
          <w:rFonts w:ascii="Narkisim" w:hAnsi="Narkisim"/>
        </w:rPr>
        <w:t>.</w:t>
      </w:r>
    </w:p>
  </w:footnote>
  <w:footnote w:id="8134">
    <w:p w14:paraId="03F6CD5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לצד דלא אמרי' אף זיל בתר רוב [כל דפריש] בדבר שיש לו מתירין. אך כמה ראשונים (תוס' ר"פ וריטב"א פסחים ז., עי”ש צל”ח) כת' דדוקא בביטול ברוב ל"מ דבר שיש לו מתירין. אבל כל דפריש מהני</w:t>
      </w:r>
      <w:r w:rsidRPr="007119D6">
        <w:rPr>
          <w:rFonts w:ascii="Narkisim" w:hAnsi="Narkisim"/>
        </w:rPr>
        <w:t>.</w:t>
      </w:r>
    </w:p>
  </w:footnote>
  <w:footnote w:id="8135">
    <w:p w14:paraId="2E30D3A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וצ"ב דבעודו קטן ליכא מצווה [אלא דהוה כמאמר]</w:t>
      </w:r>
      <w:r w:rsidRPr="007119D6">
        <w:rPr>
          <w:rFonts w:ascii="Narkisim" w:hAnsi="Narkisim"/>
        </w:rPr>
        <w:t>.</w:t>
      </w:r>
    </w:p>
  </w:footnote>
  <w:footnote w:id="8136">
    <w:p w14:paraId="2234A55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יל"ד אי בעינן גדר 'מיגו', או דרוב נשים מתעברות ויולדות אומר שיש לה בן, ומותרת לשוק. [ואם היא אומרת שמת בנה לאחר בעלה, אינו שינוי כלל כלפי דיני היבום]. ואילו משמע בדברי התוס' דכשאומרת מת בנה ע"ז ליכא רוב נשים מתעברות ויולדות, ונאמנת רק משום מיגו</w:t>
      </w:r>
      <w:r w:rsidRPr="007119D6">
        <w:rPr>
          <w:rFonts w:ascii="Narkisim" w:hAnsi="Narkisim"/>
        </w:rPr>
        <w:t>.</w:t>
      </w:r>
    </w:p>
  </w:footnote>
  <w:footnote w:id="8137">
    <w:p w14:paraId="58B7646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ק"ק דהא לא ידעינן כלל שנולד לה בן, א"כ היכי דמי שיעידו שהוא מת</w:t>
      </w:r>
      <w:r w:rsidRPr="007119D6">
        <w:rPr>
          <w:rFonts w:ascii="Narkisim" w:hAnsi="Narkisim"/>
        </w:rPr>
        <w:t>.</w:t>
      </w:r>
    </w:p>
  </w:footnote>
  <w:footnote w:id="8138">
    <w:p w14:paraId="0E948C6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ואמאי באומרת מת בני ואח"כ מת בעלי נאמנת טפי מאומרת מת בעלי ואח"כ מת בני</w:t>
      </w:r>
      <w:r w:rsidRPr="007119D6">
        <w:rPr>
          <w:rFonts w:ascii="Narkisim" w:hAnsi="Narkisim"/>
        </w:rPr>
        <w:t>.</w:t>
      </w:r>
    </w:p>
  </w:footnote>
  <w:footnote w:id="8139">
    <w:p w14:paraId="73DC21D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וע"ע </w:t>
      </w:r>
      <w:r w:rsidRPr="007119D6">
        <w:rPr>
          <w:rFonts w:ascii="Narkisim" w:hAnsi="Narkisim"/>
          <w:b/>
          <w:bCs/>
          <w:rtl/>
        </w:rPr>
        <w:t>תוס</w:t>
      </w:r>
      <w:r w:rsidRPr="007119D6">
        <w:rPr>
          <w:rFonts w:ascii="Narkisim" w:hAnsi="Narkisim"/>
          <w:rtl/>
        </w:rPr>
        <w:t>' (לעיל צד. ד"ה כי) בגדר הפה שאסר זה</w:t>
      </w:r>
      <w:r w:rsidRPr="007119D6">
        <w:rPr>
          <w:rFonts w:ascii="Narkisim" w:hAnsi="Narkisim"/>
        </w:rPr>
        <w:t>.</w:t>
      </w:r>
    </w:p>
  </w:footnote>
  <w:footnote w:id="8140">
    <w:p w14:paraId="5F0B12B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(בכורות כ.) ביאר דתשמיש דאדם לא חשיב תלי במעשה כמו תשמיש דבהמה, דפעמים דבהמה צריך להרביע</w:t>
      </w:r>
      <w:r w:rsidRPr="007119D6">
        <w:rPr>
          <w:rFonts w:ascii="Narkisim" w:hAnsi="Narkisim"/>
        </w:rPr>
        <w:t>.</w:t>
      </w:r>
    </w:p>
  </w:footnote>
  <w:footnote w:id="8141">
    <w:p w14:paraId="46D8E53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ודייק מדברי ה</w:t>
      </w:r>
      <w:r w:rsidRPr="007119D6">
        <w:rPr>
          <w:rFonts w:ascii="Narkisim" w:hAnsi="Narkisim"/>
          <w:b/>
          <w:bCs/>
          <w:rtl/>
        </w:rPr>
        <w:t>מלחמות</w:t>
      </w:r>
      <w:r w:rsidRPr="007119D6">
        <w:rPr>
          <w:rFonts w:ascii="Narkisim" w:hAnsi="Narkisim"/>
          <w:rtl/>
        </w:rPr>
        <w:t xml:space="preserve"> (קידושין נ. כא בדה”ר) וה</w:t>
      </w:r>
      <w:r w:rsidRPr="007119D6">
        <w:rPr>
          <w:rFonts w:ascii="Narkisim" w:hAnsi="Narkisim"/>
          <w:b/>
          <w:bCs/>
          <w:rtl/>
        </w:rPr>
        <w:t>רשב"א</w:t>
      </w:r>
      <w:r w:rsidRPr="007119D6">
        <w:rPr>
          <w:rFonts w:ascii="Narkisim" w:hAnsi="Narkisim"/>
          <w:rtl/>
        </w:rPr>
        <w:t xml:space="preserve"> (חולין יב.) דלא אזלי' בתר רוב זה כלל, משמע דאפי' מדאורייתא לא הוה רוב כלל. ואילו לשון ה</w:t>
      </w:r>
      <w:r w:rsidRPr="007119D6">
        <w:rPr>
          <w:rFonts w:ascii="Narkisim" w:hAnsi="Narkisim"/>
          <w:b/>
          <w:bCs/>
          <w:rtl/>
        </w:rPr>
        <w:t>רשב"א</w:t>
      </w:r>
      <w:r w:rsidRPr="007119D6">
        <w:rPr>
          <w:rFonts w:ascii="Narkisim" w:hAnsi="Narkisim"/>
          <w:rtl/>
        </w:rPr>
        <w:t xml:space="preserve"> (חולין ט.) דכיון דהרוב תלוי במעשה, והמיעוט אינו תלוי במעשה, אוקמא רבנן אחזקת איסור. [משמע דהוה מדרבנן]. ועוד הביא הא דאמרי' דרוב ע"ה מעשרין, ואף דתלוי במעשה [שיעשר]</w:t>
      </w:r>
      <w:r w:rsidRPr="007119D6">
        <w:rPr>
          <w:rFonts w:ascii="Narkisim" w:hAnsi="Narkisim"/>
        </w:rPr>
        <w:t>.</w:t>
      </w:r>
    </w:p>
  </w:footnote>
  <w:footnote w:id="8142">
    <w:p w14:paraId="09DD814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דבמלחמות מבואר דכיון דהוה תלי במעשה הקילו נגד הרוב. ומבואר דהוה סברא מדאורייתא. אך דחה דבלאו הכי סבלונות הוה חששא בעלמא שמא קידש, ומש”ה הקילו טפי</w:t>
      </w:r>
      <w:r w:rsidRPr="007119D6">
        <w:rPr>
          <w:rFonts w:ascii="Narkisim" w:hAnsi="Narkisim"/>
        </w:rPr>
        <w:t>.</w:t>
      </w:r>
    </w:p>
  </w:footnote>
  <w:footnote w:id="8143">
    <w:p w14:paraId="11B5AA5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ועוה"ק ארוב תינוקות מטפחין (קידושין פ. ונדה יח) דהוי רוב דתלי במעשה. אלא דכן הוא הטבע דמטפחין, ולא נחשב תלוי במעשה. ועוד דחה דהתם לא הוה רוב גמור, אלא דעשאוהו חכמים כמיעוט (וכמ"ש תוס' שם)</w:t>
      </w:r>
      <w:r w:rsidRPr="007119D6">
        <w:rPr>
          <w:rFonts w:ascii="Narkisim" w:hAnsi="Narkisim"/>
        </w:rPr>
        <w:t>.</w:t>
      </w:r>
    </w:p>
  </w:footnote>
  <w:footnote w:id="8144">
    <w:p w14:paraId="015540E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והכי נמי רובא דתלי ביה מעשה הוא שמא לא בא עליה בעלה משהלכה למדינת הים. וה</w:t>
      </w:r>
      <w:r w:rsidRPr="007119D6">
        <w:rPr>
          <w:rFonts w:ascii="Narkisim" w:hAnsi="Narkisim"/>
          <w:b/>
          <w:bCs/>
          <w:rtl/>
        </w:rPr>
        <w:t>רמב"ן</w:t>
      </w:r>
      <w:r w:rsidRPr="007119D6">
        <w:rPr>
          <w:rFonts w:ascii="Narkisim" w:hAnsi="Narkisim"/>
          <w:rtl/>
        </w:rPr>
        <w:t xml:space="preserve"> דן דשמא ה"מ בהמה דלא ידעי' דעלה עליה זכר, ודמיא לצרה אחריתי [דלא ידעי' שנשאת]. וה</w:t>
      </w:r>
      <w:r w:rsidRPr="007119D6">
        <w:rPr>
          <w:rFonts w:ascii="Narkisim" w:hAnsi="Narkisim"/>
          <w:b/>
          <w:bCs/>
          <w:rtl/>
        </w:rPr>
        <w:t>רמב”ן</w:t>
      </w:r>
      <w:r w:rsidRPr="007119D6">
        <w:rPr>
          <w:rFonts w:ascii="Narkisim" w:hAnsi="Narkisim"/>
          <w:rtl/>
        </w:rPr>
        <w:t xml:space="preserve"> דחה דכיון דיש נקיבה בעדר דמי כאשה ובעלה. ואע"פ כן לא הלכו אחר רוב זה</w:t>
      </w:r>
      <w:r w:rsidRPr="007119D6">
        <w:rPr>
          <w:rFonts w:ascii="Narkisim" w:hAnsi="Narkisim"/>
        </w:rPr>
        <w:t>.</w:t>
      </w:r>
    </w:p>
  </w:footnote>
  <w:footnote w:id="8145">
    <w:p w14:paraId="3EA86BB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ואילו י"ב מחייבין וי"א מזכין לא סגי ברוב של א' לחייבו בנפשות. [אך המ"ל י"ג מחייבין וי' מזכין, אלא דניח"ל לנקוט היכא דהוה רוב של א</w:t>
      </w:r>
      <w:r w:rsidRPr="007119D6">
        <w:rPr>
          <w:rFonts w:ascii="Narkisim" w:hAnsi="Narkisim"/>
        </w:rPr>
        <w:t>'.</w:t>
      </w:r>
    </w:p>
    <w:p w14:paraId="5E39E882"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אך צ"ב אמאי בעינן לדין רוב לפוטרו, תיפו"ל דאפי' הוה שקול, ספק נפשות להקל</w:t>
      </w:r>
      <w:r w:rsidRPr="007119D6">
        <w:rPr>
          <w:rFonts w:ascii="Narkisim" w:hAnsi="Narkisim"/>
        </w:rPr>
        <w:t>.</w:t>
      </w:r>
    </w:p>
  </w:footnote>
  <w:footnote w:id="8146">
    <w:p w14:paraId="6E99A70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פסקי הרי"ד</w:t>
      </w:r>
      <w:r w:rsidRPr="007119D6">
        <w:rPr>
          <w:rFonts w:ascii="Narkisim" w:hAnsi="Narkisim"/>
          <w:rtl/>
        </w:rPr>
        <w:t xml:space="preserve"> (כאן) ביאר דילפי' רובא דאי' קמן מדיינים, דכתיב אחרי רבים להטות, ואם הרוב מחייבין ממון או מיתה או מלקות הולכין אחר הרוב, ולא חיישינן למיעוט המזכין, ואע"ג דחזקה מסייעא למיעוטא [העמד האיש על חזקתו שהוא פטור ממלקות, ובחיוב ממון העמד ממון על חזקתו]. ואפי' הכי אמרה תורה אחרי רבים להטות</w:t>
      </w:r>
      <w:r w:rsidRPr="007119D6">
        <w:rPr>
          <w:rFonts w:ascii="Narkisim" w:hAnsi="Narkisim"/>
        </w:rPr>
        <w:t>.</w:t>
      </w:r>
    </w:p>
  </w:footnote>
  <w:footnote w:id="8147">
    <w:p w14:paraId="17A9B5A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(לעיל סז:) הק' דר' יוסי (כתובות טו:) ס"ל דמהני רובא דאיתא קמן, ואף דחייש למיעוטא (לעיל שם). ותי' </w:t>
      </w:r>
      <w:r w:rsidRPr="007119D6">
        <w:rPr>
          <w:rFonts w:ascii="Narkisim" w:hAnsi="Narkisim"/>
          <w:b/>
          <w:bCs/>
          <w:rtl/>
        </w:rPr>
        <w:t>ר"י</w:t>
      </w:r>
      <w:r w:rsidRPr="007119D6">
        <w:rPr>
          <w:rFonts w:ascii="Narkisim" w:hAnsi="Narkisim"/>
          <w:rtl/>
        </w:rPr>
        <w:t xml:space="preserve"> דברובא דאיתיה קמן כ"ע מודו דלא חיישינן למיעוטא. אבל שא"ר (רמב"ן וריטב"א שם, ר”ן נדה מד.) תי' באופן אחר. ומבואר דס"ל דאף ברובא דאיתא חיישינן למיעוטא</w:t>
      </w:r>
      <w:r w:rsidRPr="007119D6">
        <w:rPr>
          <w:rFonts w:ascii="Narkisim" w:hAnsi="Narkisim"/>
        </w:rPr>
        <w:t>.</w:t>
      </w:r>
    </w:p>
  </w:footnote>
  <w:footnote w:id="8148">
    <w:p w14:paraId="64AA6FC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כת' </w:t>
      </w:r>
      <w:r w:rsidRPr="007119D6">
        <w:rPr>
          <w:rFonts w:ascii="Narkisim" w:hAnsi="Narkisim"/>
          <w:b/>
          <w:bCs/>
          <w:rtl/>
        </w:rPr>
        <w:t>תוס'</w:t>
      </w:r>
      <w:r w:rsidRPr="007119D6">
        <w:rPr>
          <w:rFonts w:ascii="Narkisim" w:hAnsi="Narkisim"/>
          <w:rtl/>
        </w:rPr>
        <w:t xml:space="preserve"> (לעיל סז:) דאף דר' יוסי חייש למיעוטא, ברובא דאי' קמן מודה דלא חיישינן. [אך הרמב"ן שם תי' באופ"א]</w:t>
      </w:r>
      <w:r w:rsidRPr="007119D6">
        <w:rPr>
          <w:rFonts w:ascii="Narkisim" w:hAnsi="Narkisim"/>
        </w:rPr>
        <w:t>.</w:t>
      </w:r>
    </w:p>
  </w:footnote>
  <w:footnote w:id="8149">
    <w:p w14:paraId="798E1FC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ר"ן</w:t>
      </w:r>
      <w:r w:rsidRPr="007119D6">
        <w:rPr>
          <w:rFonts w:ascii="Narkisim" w:hAnsi="Narkisim"/>
          <w:rtl/>
        </w:rPr>
        <w:t xml:space="preserve"> (שם) הביא כן מהגמ' (חולין יא.) דשאלו מנ"ל דאזלי' בתר רוב, ומתמהי' דכתיב אחרי רבים להטות. ותי' דה"מ רובא דאיתיה קמן, כגון תשע חנויות וסנהדרין. כי מבעיא לן רובא דליתיה קמן כגון קטן וקטנה. אלמא דברובא דאיתיה קמן אפי' ר"מ מודה ביה. [ולכאורה היינו לצד דר"מ חייש למיעוטא מדאורייתא]</w:t>
      </w:r>
      <w:r w:rsidRPr="007119D6">
        <w:rPr>
          <w:rFonts w:ascii="Narkisim" w:hAnsi="Narkisim"/>
        </w:rPr>
        <w:t>.</w:t>
      </w:r>
    </w:p>
  </w:footnote>
  <w:footnote w:id="8150">
    <w:p w14:paraId="5C65AE8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ורע"א הביא דה</w:t>
      </w:r>
      <w:r w:rsidRPr="007119D6">
        <w:rPr>
          <w:rFonts w:ascii="Narkisim" w:hAnsi="Narkisim"/>
          <w:b/>
          <w:bCs/>
          <w:rtl/>
        </w:rPr>
        <w:t>תה"ד</w:t>
      </w:r>
      <w:r w:rsidRPr="007119D6">
        <w:rPr>
          <w:rFonts w:ascii="Narkisim" w:hAnsi="Narkisim"/>
          <w:rtl/>
        </w:rPr>
        <w:t xml:space="preserve"> (שיד) הביא לחלק לענין אין הולכין בממון אחר הרוב דהיינו ברובא דליתא קמן, אבל רובא דאיתא קמן מהני אף בממון. וכת' דיש להטעים דבריו מטעם זה, דהא אין הולכין בממון אחר הרוב משום סמוך מיעוטא לחזקת ממון [ע' תוס' ב"ק כז:]</w:t>
      </w:r>
      <w:r w:rsidRPr="007119D6">
        <w:rPr>
          <w:rFonts w:ascii="Narkisim" w:hAnsi="Narkisim"/>
        </w:rPr>
        <w:t>.</w:t>
      </w:r>
    </w:p>
  </w:footnote>
  <w:footnote w:id="8151">
    <w:p w14:paraId="43E5EC9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רע"א כת' די"ל דה"מ לענין חיישי' למיעוטא, אבל לענין סמוך מיעוטא לחזקה י"ל דאין חילוק</w:t>
      </w:r>
      <w:r w:rsidRPr="007119D6">
        <w:rPr>
          <w:rFonts w:ascii="Narkisim" w:hAnsi="Narkisim"/>
        </w:rPr>
        <w:t>.</w:t>
      </w:r>
    </w:p>
  </w:footnote>
  <w:footnote w:id="8152">
    <w:p w14:paraId="66B1BAB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ולדעת </w:t>
      </w:r>
      <w:r w:rsidRPr="007119D6">
        <w:rPr>
          <w:rFonts w:ascii="Narkisim" w:hAnsi="Narkisim"/>
          <w:b/>
          <w:bCs/>
          <w:rtl/>
        </w:rPr>
        <w:t>רש"י</w:t>
      </w:r>
      <w:r w:rsidRPr="007119D6">
        <w:rPr>
          <w:rFonts w:ascii="Narkisim" w:hAnsi="Narkisim"/>
          <w:rtl/>
        </w:rPr>
        <w:t xml:space="preserve"> (קידושין פ. הו' ברמב"ן ורשב"א בסוגיין) גבי עיסה בבית ושרצים וצפרדעים מטפלין בו אזלי' בתר רוב ושורפין את התרומה, ולא אמרי' סמוך מיעוטא לחזקה כיון דהוה רובא דאיתא קמן. [אך שאר ראשונים שם תי' באופנים אחרים]</w:t>
      </w:r>
      <w:r w:rsidRPr="007119D6">
        <w:rPr>
          <w:rFonts w:ascii="Narkisim" w:hAnsi="Narkisim"/>
        </w:rPr>
        <w:t>.</w:t>
      </w:r>
    </w:p>
  </w:footnote>
  <w:footnote w:id="8153">
    <w:p w14:paraId="4B53D25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אך לצד (ע' בע"ב) דאף בחזקה חיישינן למיעוטא, א"כ ה"ה רובא דאיתא קמן</w:t>
      </w:r>
      <w:r w:rsidRPr="007119D6">
        <w:rPr>
          <w:rFonts w:ascii="Narkisim" w:hAnsi="Narkisim"/>
        </w:rPr>
        <w:t>].</w:t>
      </w:r>
    </w:p>
  </w:footnote>
  <w:footnote w:id="8154">
    <w:p w14:paraId="69BA579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 xml:space="preserve">צ"ב דהיכא דליכא אישות מדאורייתא לא תקנו. אבל הכא דקונה מדין יבום אמאי יאסר. ואפשר דכוונתו דכיון דהוה רק מאמר [לדעת </w:t>
      </w:r>
      <w:r w:rsidRPr="007119D6">
        <w:rPr>
          <w:rFonts w:ascii="Narkisim" w:hAnsi="Narkisim"/>
          <w:b/>
          <w:bCs/>
          <w:rtl/>
        </w:rPr>
        <w:t>תוס</w:t>
      </w:r>
      <w:r w:rsidRPr="007119D6">
        <w:rPr>
          <w:rFonts w:ascii="Narkisim" w:hAnsi="Narkisim"/>
          <w:rtl/>
        </w:rPr>
        <w:t xml:space="preserve">' (קידושין יט., ע' לעיל נא:) קטן ל"ק כלל מדאורייתא, ואף לדעת </w:t>
      </w:r>
      <w:r w:rsidRPr="007119D6">
        <w:rPr>
          <w:rFonts w:ascii="Narkisim" w:hAnsi="Narkisim"/>
          <w:b/>
          <w:bCs/>
          <w:rtl/>
        </w:rPr>
        <w:t>רש"י</w:t>
      </w:r>
      <w:r w:rsidRPr="007119D6">
        <w:rPr>
          <w:rFonts w:ascii="Narkisim" w:hAnsi="Narkisim"/>
          <w:rtl/>
        </w:rPr>
        <w:t xml:space="preserve"> רבנן הפקיעו את קנין היבום, והוה רק מאמר. וקנין מאמר לא נחשב נשואין להתיר בביאה</w:t>
      </w:r>
      <w:r w:rsidRPr="007119D6">
        <w:rPr>
          <w:rFonts w:ascii="Narkisim" w:hAnsi="Narkisim"/>
        </w:rPr>
        <w:t>].</w:t>
      </w:r>
    </w:p>
  </w:footnote>
  <w:footnote w:id="8155">
    <w:p w14:paraId="2CBEDD8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מפורש במשנה (לעיל קיא:) דיגדלו זה עם זה, ותוס' (לעיל לה:) הביאו דהוה היתר גמור. [ואילו לר' מאיר כל ביאה וביאה יש לחוש למיעוטא]</w:t>
      </w:r>
      <w:r w:rsidRPr="007119D6">
        <w:rPr>
          <w:rFonts w:ascii="Narkisim" w:hAnsi="Narkisim"/>
        </w:rPr>
        <w:t>.</w:t>
      </w:r>
    </w:p>
  </w:footnote>
  <w:footnote w:id="8156">
    <w:p w14:paraId="3144405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פסקי הרי"ד</w:t>
      </w:r>
      <w:r w:rsidRPr="007119D6">
        <w:rPr>
          <w:rFonts w:ascii="Narkisim" w:hAnsi="Narkisim"/>
          <w:rtl/>
        </w:rPr>
        <w:t xml:space="preserve"> דהיכא דאיכא חזקה דאיסורא הלכה כר' מאיר דחייש למיעוטא, כיון דסתם לן תנא כר' מאיר. ומשו"ה גבי חמות דליכא חזקה דאיסורא תני בה פלוגתא דר' יהושע, והלכה כר' יהושע דלא חייש למיעוטא כיון דליכא חזקה דאיסורא</w:t>
      </w:r>
      <w:r w:rsidRPr="007119D6">
        <w:rPr>
          <w:rFonts w:ascii="Narkisim" w:hAnsi="Narkisim"/>
        </w:rPr>
        <w:t>.</w:t>
      </w:r>
    </w:p>
  </w:footnote>
  <w:footnote w:id="8157">
    <w:p w14:paraId="2264C5A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ולדעת רב האי גאון (הו' בע"ב) אף רבנן מודו היכא דחזקה מסייע למיעוט, דסמוך מיעוטא לחזקה. [ועפ"ז למסקנא מתני' אתי אף כרבנן]. אבל דעת תוס' דקאי דוקא כר' מאיר, ולרבנן אף במקום חזקה לא חיישינן למיעוטא. ומ"מ ר"ת פסק כר' מאיר בחדא</w:t>
      </w:r>
      <w:r w:rsidRPr="007119D6">
        <w:rPr>
          <w:rFonts w:ascii="Narkisim" w:hAnsi="Narkisim"/>
        </w:rPr>
        <w:t>.</w:t>
      </w:r>
    </w:p>
  </w:footnote>
  <w:footnote w:id="8158">
    <w:p w14:paraId="0EFEC00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ועפ"ז יישב דברי ר' יוחנן דחלב אינו פוטר</w:t>
      </w:r>
      <w:r w:rsidRPr="007119D6">
        <w:rPr>
          <w:rFonts w:ascii="Narkisim" w:hAnsi="Narkisim"/>
        </w:rPr>
        <w:t>.</w:t>
      </w:r>
    </w:p>
  </w:footnote>
  <w:footnote w:id="8159">
    <w:p w14:paraId="5E18AC4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ובשלמא לדעת רב האי גאון (בע”ב) קאי התם אליבא דרבנן</w:t>
      </w:r>
      <w:r w:rsidRPr="007119D6">
        <w:rPr>
          <w:rFonts w:ascii="Narkisim" w:hAnsi="Narkisim"/>
        </w:rPr>
        <w:t>.</w:t>
      </w:r>
    </w:p>
  </w:footnote>
  <w:footnote w:id="8160">
    <w:p w14:paraId="7395BEF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ערול"נ</w:t>
      </w:r>
      <w:r w:rsidRPr="007119D6">
        <w:rPr>
          <w:rFonts w:ascii="Narkisim" w:hAnsi="Narkisim"/>
          <w:rtl/>
        </w:rPr>
        <w:t xml:space="preserve"> ציין ד</w:t>
      </w:r>
      <w:r w:rsidRPr="007119D6">
        <w:rPr>
          <w:rFonts w:ascii="Narkisim" w:hAnsi="Narkisim"/>
          <w:b/>
          <w:bCs/>
          <w:rtl/>
        </w:rPr>
        <w:t>תוס'</w:t>
      </w:r>
      <w:r w:rsidRPr="007119D6">
        <w:rPr>
          <w:rFonts w:ascii="Narkisim" w:hAnsi="Narkisim"/>
          <w:rtl/>
        </w:rPr>
        <w:t xml:space="preserve"> (שם כ. ד"ה ור"י) ס"ל דלא חשיב חזקה, דא"כ לא מקשו מידי דלר"מ הוי מיעוטא דמיעוטא</w:t>
      </w:r>
      <w:r w:rsidRPr="007119D6">
        <w:rPr>
          <w:rFonts w:ascii="Narkisim" w:hAnsi="Narkisim"/>
        </w:rPr>
        <w:t>.</w:t>
      </w:r>
    </w:p>
  </w:footnote>
  <w:footnote w:id="8161">
    <w:p w14:paraId="52CBD2C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חזו"א</w:t>
      </w:r>
      <w:r w:rsidRPr="007119D6">
        <w:rPr>
          <w:rFonts w:ascii="Narkisim" w:hAnsi="Narkisim"/>
          <w:rtl/>
        </w:rPr>
        <w:t xml:space="preserve"> (דמאי א) ביאר דהכא הספק נולד בנאמנות של ישראל. וכל ע״ה שבא לפנינו הוא נאמן מעיקר הדין, כיון דרוב נאמנים. ובכלל מה שהתורה אמרה דעד א' נאמן באיסורין מכלל דבסתמא יש להעמידו בחזקת כשרות. וכ"ש היכא דאיכא רוב המסייע להכשירו. וכשדנים על העד אין להכניס את החזקה של הפירות, וממילא נאמן להעיד במאורע שבא. והביא דעד"ז אמרי' (שבועות מז: וב"ב לא: וכ"מ) בב׳ כיתי עדים המכחישין זא״ז, דזו באה בפנ״ע ומעידה ומוקמי' אחזקתה, ומוציאין ממון על פיהן</w:t>
      </w:r>
      <w:r w:rsidRPr="007119D6">
        <w:rPr>
          <w:rFonts w:ascii="Narkisim" w:hAnsi="Narkisim"/>
        </w:rPr>
        <w:t>.</w:t>
      </w:r>
    </w:p>
  </w:footnote>
  <w:footnote w:id="8162">
    <w:p w14:paraId="706246C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חזו"א </w:t>
      </w:r>
      <w:r w:rsidRPr="007119D6">
        <w:rPr>
          <w:rFonts w:ascii="Narkisim" w:hAnsi="Narkisim"/>
          <w:rtl/>
        </w:rPr>
        <w:t>הק' דעדיין קשה בלוקח מהגורן. וע"כ דעיקר הטעם משום דין חזקה כשרות, ואין לפוסלו מספק</w:t>
      </w:r>
      <w:r w:rsidRPr="007119D6">
        <w:rPr>
          <w:rFonts w:ascii="Narkisim" w:hAnsi="Narkisim"/>
        </w:rPr>
        <w:t>.</w:t>
      </w:r>
    </w:p>
  </w:footnote>
  <w:footnote w:id="8163">
    <w:p w14:paraId="05413CD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(בכורות כ. ד"ה ואיבעית) הביא דלשון הגמ' (ע"ז לד:) אי' דר"מ חייש למיעוטא ומש"ה גזר, משמע דחשש למיעוטא מדרבנן</w:t>
      </w:r>
      <w:r w:rsidRPr="007119D6">
        <w:rPr>
          <w:rFonts w:ascii="Narkisim" w:hAnsi="Narkisim"/>
        </w:rPr>
        <w:t>.</w:t>
      </w:r>
    </w:p>
  </w:footnote>
  <w:footnote w:id="8164">
    <w:p w14:paraId="32C8FA1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וס"ד דתוס' (שם) דר"מ חייש למיעוטא מדאורייתא, והק' דלר"מ אף כשיש רוב לטמא יש לטהר, דחיישי' למיעוטא והוה בכלל ספק טומאה. וכת' דלמאי דפרישית (כוונתם לתוס' שם יב.) דהוה מדרבנן ולהחמיר ניחא, דבלא חזקה לא הוה חייש למיעוטא לטהר אבל עם החזקה חייש למיעוטא מן התורה לכך מטהר</w:t>
      </w:r>
      <w:r w:rsidRPr="007119D6">
        <w:rPr>
          <w:rFonts w:ascii="Narkisim" w:hAnsi="Narkisim"/>
        </w:rPr>
        <w:t>.</w:t>
      </w:r>
    </w:p>
  </w:footnote>
  <w:footnote w:id="8165">
    <w:p w14:paraId="632E742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כת' דמ"מ ברובא דאיתיה קמן נראה דלא פליג ר' מאיר, דהא כתיב אחרי רבים להטות [וכמ"ש </w:t>
      </w:r>
      <w:r w:rsidRPr="007119D6">
        <w:rPr>
          <w:rFonts w:ascii="Narkisim" w:hAnsi="Narkisim"/>
          <w:b/>
          <w:bCs/>
          <w:rtl/>
        </w:rPr>
        <w:t>תוס'</w:t>
      </w:r>
      <w:r w:rsidRPr="007119D6">
        <w:rPr>
          <w:rFonts w:ascii="Narkisim" w:hAnsi="Narkisim"/>
          <w:rtl/>
        </w:rPr>
        <w:t xml:space="preserve"> ד"ה כגון]. ובסוגיין נדחה דקאי ברובא דאיתא קמן</w:t>
      </w:r>
      <w:r w:rsidRPr="007119D6">
        <w:rPr>
          <w:rFonts w:ascii="Narkisim" w:hAnsi="Narkisim"/>
        </w:rPr>
        <w:t>.</w:t>
      </w:r>
    </w:p>
    <w:p w14:paraId="082BFB48" w14:textId="77777777" w:rsidR="006C4368" w:rsidRPr="007119D6" w:rsidRDefault="006C4368" w:rsidP="006C4368">
      <w:pPr>
        <w:pStyle w:val="Footnote"/>
        <w:bidi/>
        <w:rPr>
          <w:rFonts w:ascii="Narkisim" w:hAnsi="Narkisim"/>
        </w:rPr>
      </w:pPr>
      <w:r w:rsidRPr="007119D6">
        <w:rPr>
          <w:rFonts w:ascii="Narkisim" w:hAnsi="Narkisim"/>
        </w:rPr>
        <w:tab/>
        <w:t>[</w:t>
      </w:r>
      <w:r w:rsidRPr="007119D6">
        <w:rPr>
          <w:rFonts w:ascii="Narkisim" w:hAnsi="Narkisim"/>
          <w:rtl/>
        </w:rPr>
        <w:t>אך דברי התוס' צ”ע האיך הביאו מדכתיב אחרי רבים להטות, כיון דס"ל דר”מ חייש רק מדרבנן</w:t>
      </w:r>
      <w:r w:rsidRPr="007119D6">
        <w:rPr>
          <w:rFonts w:ascii="Narkisim" w:hAnsi="Narkisim"/>
        </w:rPr>
        <w:t>].</w:t>
      </w:r>
    </w:p>
  </w:footnote>
  <w:footnote w:id="8166">
    <w:p w14:paraId="1A53A23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והמרדכי הק' דאי הוה חשש מדרבנן נימא דהעמיד אכילת קדשים דאורייתא אדין תורה</w:t>
      </w:r>
      <w:r w:rsidRPr="007119D6">
        <w:rPr>
          <w:rFonts w:ascii="Narkisim" w:hAnsi="Narkisim"/>
        </w:rPr>
        <w:t>.</w:t>
      </w:r>
    </w:p>
  </w:footnote>
  <w:footnote w:id="8167">
    <w:p w14:paraId="1583068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(חולין יב.) תי' דהגמ' (שם) איירי מדרבנן, וכי ר"מ החמיר שלא לאכול בשר כלל. ואפי' מחמיר בשאר בשר, בפסח וקדשים אין יכול להחמיר [לבטל מצוות אכילה]. והגמ' דקדקה כי היכי דלר"מ יש חילוק מדרבנן בין אפשר ללא אפשר, ה"ה לרבנן יש חילוק. ו</w:t>
      </w:r>
      <w:r w:rsidRPr="007119D6">
        <w:rPr>
          <w:rFonts w:ascii="Narkisim" w:hAnsi="Narkisim"/>
          <w:b/>
          <w:bCs/>
          <w:rtl/>
        </w:rPr>
        <w:t>תוס'</w:t>
      </w:r>
      <w:r w:rsidRPr="007119D6">
        <w:rPr>
          <w:rFonts w:ascii="Narkisim" w:hAnsi="Narkisim"/>
          <w:rtl/>
        </w:rPr>
        <w:t xml:space="preserve"> (בכורות כ.) פי' דקו' הגמ' דאם איתא דבדאורייתא אין חילוק בין אפשר ללא אפשר, א"כ לא היה לחכמים לחוש ולגזור היכא דאפשר. כיון שראו שום מקום שלא חשו כגון היכא דלא אפשר</w:t>
      </w:r>
      <w:r w:rsidRPr="007119D6">
        <w:rPr>
          <w:rFonts w:ascii="Narkisim" w:hAnsi="Narkisim"/>
        </w:rPr>
        <w:t>.</w:t>
      </w:r>
    </w:p>
  </w:footnote>
  <w:footnote w:id="8168">
    <w:p w14:paraId="5E9D334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(ק קצח) הביא דה</w:t>
      </w:r>
      <w:r w:rsidRPr="007119D6">
        <w:rPr>
          <w:rFonts w:ascii="Narkisim" w:hAnsi="Narkisim"/>
          <w:b/>
          <w:bCs/>
          <w:rtl/>
        </w:rPr>
        <w:t>מהרש"א</w:t>
      </w:r>
      <w:r w:rsidRPr="007119D6">
        <w:rPr>
          <w:rFonts w:ascii="Narkisim" w:hAnsi="Narkisim"/>
          <w:rtl/>
        </w:rPr>
        <w:t xml:space="preserve"> (בכורות כ:) נקט דסמוך מיעוטא לחזקה הוה מדרבנן. ו</w:t>
      </w:r>
      <w:r w:rsidRPr="007119D6">
        <w:rPr>
          <w:rFonts w:ascii="Narkisim" w:hAnsi="Narkisim"/>
          <w:b/>
          <w:bCs/>
          <w:rtl/>
        </w:rPr>
        <w:t>רע"א</w:t>
      </w:r>
      <w:r w:rsidRPr="007119D6">
        <w:rPr>
          <w:rFonts w:ascii="Narkisim" w:hAnsi="Narkisim"/>
          <w:rtl/>
        </w:rPr>
        <w:t xml:space="preserve"> תמה האיך מהני לטהר בספק טומאה. [ע"ד הקו' הנ"ל על תוס']</w:t>
      </w:r>
      <w:r w:rsidRPr="007119D6">
        <w:rPr>
          <w:rFonts w:ascii="Narkisim" w:hAnsi="Narkisim"/>
        </w:rPr>
        <w:t>.</w:t>
      </w:r>
    </w:p>
  </w:footnote>
  <w:footnote w:id="8169">
    <w:p w14:paraId="4FC49E9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וכמו שהוכיחו התוס' הנ"ל</w:t>
      </w:r>
      <w:r w:rsidRPr="007119D6">
        <w:rPr>
          <w:rFonts w:ascii="Narkisim" w:hAnsi="Narkisim"/>
        </w:rPr>
        <w:t>.</w:t>
      </w:r>
    </w:p>
  </w:footnote>
  <w:footnote w:id="8170">
    <w:p w14:paraId="45047CA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או”ש</w:t>
      </w:r>
      <w:r w:rsidRPr="007119D6">
        <w:rPr>
          <w:rFonts w:ascii="Narkisim" w:hAnsi="Narkisim"/>
          <w:rtl/>
        </w:rPr>
        <w:t xml:space="preserve"> כת' דהכא חששו טפי למיעוט, דאי' (לעיל לו.) דהולד אינו פוטר עד שיצא לאויר העולם, [וטעמא דקרא] דהתורה חששה למיעוט מפילות. וכיון דחזינן דהתורה חששה למיעוטא, אף רבנן החמירו</w:t>
      </w:r>
      <w:r w:rsidRPr="007119D6">
        <w:rPr>
          <w:rFonts w:ascii="Narkisim" w:hAnsi="Narkisim"/>
        </w:rPr>
        <w:t>.</w:t>
      </w:r>
    </w:p>
  </w:footnote>
  <w:footnote w:id="8171">
    <w:p w14:paraId="582F6AF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וצ”ל דכוונתו דחז”ל קיבלו רוב דנשים מתעברות ויולדות, ולא קבלו שבמשך מספר שנים אמרי' דילדה כמה פעמים</w:t>
      </w:r>
      <w:r w:rsidRPr="007119D6">
        <w:rPr>
          <w:rFonts w:ascii="Narkisim" w:hAnsi="Narkisim"/>
        </w:rPr>
        <w:t>.</w:t>
      </w:r>
    </w:p>
  </w:footnote>
  <w:footnote w:id="8172">
    <w:p w14:paraId="2E282E9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אי' (לעיל סז.) דלר' שמעון עובר אינו פוסל לתרומה, דמחצה נקיבות ומיעוט מפילות, ואין חוששין למיעוטא</w:t>
      </w:r>
      <w:r w:rsidRPr="007119D6">
        <w:rPr>
          <w:rFonts w:ascii="Narkisim" w:hAnsi="Narkisim"/>
        </w:rPr>
        <w:t>.</w:t>
      </w:r>
    </w:p>
  </w:footnote>
  <w:footnote w:id="8173">
    <w:p w14:paraId="5690706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נחשב הכל מיעוט א', דרוב נשים מתעברות ויולדות. ומי שאינה מתעברת, או מתעברת ואינה יולדת הכל חד מיעוט</w:t>
      </w:r>
      <w:r w:rsidRPr="007119D6">
        <w:rPr>
          <w:rFonts w:ascii="Narkisim" w:hAnsi="Narkisim"/>
        </w:rPr>
        <w:t>.</w:t>
      </w:r>
    </w:p>
    <w:p w14:paraId="7E34406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אך ה</w:t>
      </w:r>
      <w:r w:rsidRPr="007119D6">
        <w:rPr>
          <w:rFonts w:ascii="Narkisim" w:hAnsi="Narkisim"/>
          <w:b/>
          <w:bCs/>
          <w:rtl/>
        </w:rPr>
        <w:t>רשב"א</w:t>
      </w:r>
      <w:r w:rsidRPr="007119D6">
        <w:rPr>
          <w:rFonts w:ascii="Narkisim" w:hAnsi="Narkisim"/>
          <w:rtl/>
        </w:rPr>
        <w:t xml:space="preserve"> (בסו"ד) הק' כן דיש כאן ב' מיעוטים, מיעוט דאין מתעברות ומיעוט דמפילות והו"ל כפלגא ופלגא. [ועפ"ז הק' דברישא ב' מיעוטי הוה כפלגא, ומוקמי' אחזקה]. והרשב"א תי' דמיעוט דאינן מתעברות אינו מסולק מהרוב, ומש"ה אינו ראוי להצטרף [וע"ע בע"ב]. ועוד תי' דשאינן מתעברות הוה מיעוטא דמיעוטא דמיעוטא ולא חשיב. וצ"ע</w:t>
      </w:r>
      <w:r w:rsidRPr="007119D6">
        <w:rPr>
          <w:rFonts w:ascii="Narkisim" w:hAnsi="Narkisim"/>
        </w:rPr>
        <w:t>.</w:t>
      </w:r>
    </w:p>
  </w:footnote>
  <w:footnote w:id="8174">
    <w:p w14:paraId="3597C9B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דהספק השני אינו ספק השקול מהני להצטרף</w:t>
      </w:r>
      <w:r w:rsidRPr="007119D6">
        <w:rPr>
          <w:rFonts w:ascii="Narkisim" w:hAnsi="Narkisim"/>
        </w:rPr>
        <w:t>.</w:t>
      </w:r>
    </w:p>
  </w:footnote>
  <w:footnote w:id="8175">
    <w:p w14:paraId="1B218B8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דבשאר ספק [כגון ספק תחתיו בכתובות ט.] א"א לצרף מיעוט דאונס, דמנין לנו שיהא מחצה על מחצה</w:t>
      </w:r>
      <w:r w:rsidRPr="007119D6">
        <w:rPr>
          <w:rFonts w:ascii="Narkisim" w:hAnsi="Narkisim"/>
        </w:rPr>
        <w:t>.</w:t>
      </w:r>
    </w:p>
    <w:p w14:paraId="70F1A58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 xml:space="preserve">אך העירו מדברי </w:t>
      </w:r>
      <w:r w:rsidRPr="007119D6">
        <w:rPr>
          <w:rFonts w:ascii="Narkisim" w:hAnsi="Narkisim"/>
          <w:b/>
          <w:bCs/>
          <w:rtl/>
        </w:rPr>
        <w:t>תוס'</w:t>
      </w:r>
      <w:r w:rsidRPr="007119D6">
        <w:rPr>
          <w:rFonts w:ascii="Narkisim" w:hAnsi="Narkisim"/>
          <w:rtl/>
        </w:rPr>
        <w:t xml:space="preserve"> (פסחים ז.) [דנקט סמוך מיעוט לפלגא אף באופן אחר]</w:t>
      </w:r>
      <w:r w:rsidRPr="007119D6">
        <w:rPr>
          <w:rFonts w:ascii="Narkisim" w:hAnsi="Narkisim"/>
        </w:rPr>
        <w:t xml:space="preserve">.  </w:t>
      </w:r>
    </w:p>
  </w:footnote>
  <w:footnote w:id="8176">
    <w:p w14:paraId="0168522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רשב"ם</w:t>
      </w:r>
      <w:r w:rsidRPr="007119D6">
        <w:rPr>
          <w:rFonts w:ascii="Narkisim" w:hAnsi="Narkisim"/>
          <w:rtl/>
        </w:rPr>
        <w:t xml:space="preserve"> (ב"ב קלה.) פי' דברי הגמ' (שם) דאמר אביי אם הקלנו בשבויה נקל באשת איש, דשבויה לכהן הוה איסור קל דלאו בעלמא ומש"ה לא חששו לקול. אבל אשת איש בחנק חששו לקול דיש עדים במדינת הים. [ואף רבא אמר חוש לה]. וה</w:t>
      </w:r>
      <w:r w:rsidRPr="007119D6">
        <w:rPr>
          <w:rFonts w:ascii="Narkisim" w:hAnsi="Narkisim"/>
          <w:b/>
          <w:bCs/>
          <w:rtl/>
        </w:rPr>
        <w:t>רמב"ן</w:t>
      </w:r>
      <w:r w:rsidRPr="007119D6">
        <w:rPr>
          <w:rFonts w:ascii="Narkisim" w:hAnsi="Narkisim"/>
          <w:rtl/>
        </w:rPr>
        <w:t xml:space="preserve"> (שם וקידושין יב:) דחה דבסוגיין אמרי' דכל בדאורייתא מה לי איסור לאו. וה</w:t>
      </w:r>
      <w:r w:rsidRPr="007119D6">
        <w:rPr>
          <w:rFonts w:ascii="Narkisim" w:hAnsi="Narkisim"/>
          <w:b/>
          <w:bCs/>
          <w:rtl/>
        </w:rPr>
        <w:t>מהרי"ק</w:t>
      </w:r>
      <w:r w:rsidRPr="007119D6">
        <w:rPr>
          <w:rFonts w:ascii="Narkisim" w:hAnsi="Narkisim"/>
          <w:rtl/>
        </w:rPr>
        <w:t xml:space="preserve"> (עב) כת' דרש"י דידן הרגיש בזה, וחילק דדוקא בספק דרבנן אמרי' כן. ומהר"ם חביב חילק דהתם הוה איסור חינוק וחמיר טפי [ובסוגיין דוקא איסור כרת לא החמירו]</w:t>
      </w:r>
      <w:r w:rsidRPr="007119D6">
        <w:rPr>
          <w:rFonts w:ascii="Narkisim" w:hAnsi="Narkisim"/>
        </w:rPr>
        <w:t>.</w:t>
      </w:r>
    </w:p>
  </w:footnote>
  <w:footnote w:id="8177">
    <w:p w14:paraId="1A24BD3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והגמ' מק' דרבה (שם) חילק בין איסור לאו [לאכול בשר קודש טמא] לאיסור כרת [קדשים שנתערבו בחולין, ואוכלן בטומאת הגוף]. והגמ' מק' דרבה ס"ל דאין חילוק. ומסקינן בקשיא</w:t>
      </w:r>
      <w:r w:rsidRPr="007119D6">
        <w:rPr>
          <w:rFonts w:ascii="Narkisim" w:hAnsi="Narkisim"/>
        </w:rPr>
        <w:t>.</w:t>
      </w:r>
    </w:p>
  </w:footnote>
  <w:footnote w:id="8178">
    <w:p w14:paraId="0E7AF9E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ועוד הביאו דהחמירו בחובל באביו במתעסק (סנהדרין פד:) דהוה מיתה ולא לאו</w:t>
      </w:r>
      <w:r w:rsidRPr="007119D6">
        <w:rPr>
          <w:rFonts w:ascii="Narkisim" w:hAnsi="Narkisim"/>
        </w:rPr>
        <w:t>.</w:t>
      </w:r>
    </w:p>
  </w:footnote>
  <w:footnote w:id="8179">
    <w:p w14:paraId="1ED14CD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הביא ה</w:t>
      </w:r>
      <w:r w:rsidRPr="007119D6">
        <w:rPr>
          <w:rFonts w:ascii="Narkisim" w:hAnsi="Narkisim"/>
          <w:b/>
          <w:bCs/>
          <w:rtl/>
        </w:rPr>
        <w:t>תה"ד</w:t>
      </w:r>
      <w:r w:rsidRPr="007119D6">
        <w:rPr>
          <w:rFonts w:ascii="Narkisim" w:hAnsi="Narkisim"/>
          <w:rtl/>
        </w:rPr>
        <w:t xml:space="preserve"> (א רנ), ועוד הביא דהחמירו בחמץ בפסח במשהו דהוה איסור כרת, ואילו בערב פסח [דהוה עשה או לאו בעלמא] הקילו. ועוד הביא מהגמ' (ב"מ צ.) דדנו אי גזרו אמירה לנכרי דוקא בשבת דאיסור סקילה. וכת' דאין לדמות גזירות דרבנן זו לזו, דלפעמים החמירו טפי באיסור חמור ולפעמים לא חלקו, וציין לסוגיין. [דהוה איפכא מהנך גמ']</w:t>
      </w:r>
      <w:r w:rsidRPr="007119D6">
        <w:rPr>
          <w:rFonts w:ascii="Narkisim" w:hAnsi="Narkisim"/>
        </w:rPr>
        <w:t>.</w:t>
      </w:r>
    </w:p>
  </w:footnote>
  <w:footnote w:id="8180">
    <w:p w14:paraId="5E7D043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וכ"מ ב</w:t>
      </w:r>
      <w:r w:rsidRPr="007119D6">
        <w:rPr>
          <w:rFonts w:ascii="Narkisim" w:hAnsi="Narkisim"/>
          <w:b/>
          <w:bCs/>
          <w:rtl/>
        </w:rPr>
        <w:t>רש"י</w:t>
      </w:r>
      <w:r w:rsidRPr="007119D6">
        <w:rPr>
          <w:rFonts w:ascii="Narkisim" w:hAnsi="Narkisim"/>
          <w:rtl/>
        </w:rPr>
        <w:t xml:space="preserve"> (קדושין עג., ועוד הביאו רש"י חולין כב: ועז.). וכן </w:t>
      </w:r>
      <w:r w:rsidRPr="007119D6">
        <w:rPr>
          <w:rFonts w:ascii="Narkisim" w:hAnsi="Narkisim"/>
          <w:b/>
          <w:bCs/>
          <w:rtl/>
        </w:rPr>
        <w:t>רש"י</w:t>
      </w:r>
      <w:r w:rsidRPr="007119D6">
        <w:rPr>
          <w:rFonts w:ascii="Narkisim" w:hAnsi="Narkisim"/>
          <w:rtl/>
        </w:rPr>
        <w:t xml:space="preserve"> (לעיל פח: ד”ה היכי דמי) כת' דודאי באיסור מפורסם ואפי' באיסור ספק לא איצטריך קרא, דודאי כפינן ליה</w:t>
      </w:r>
      <w:r w:rsidRPr="007119D6">
        <w:rPr>
          <w:rFonts w:ascii="Narkisim" w:hAnsi="Narkisim"/>
        </w:rPr>
        <w:t>.</w:t>
      </w:r>
    </w:p>
    <w:p w14:paraId="7D16C392"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 xml:space="preserve">ויש </w:t>
      </w:r>
      <w:r w:rsidRPr="007119D6">
        <w:rPr>
          <w:rFonts w:ascii="Narkisim" w:hAnsi="Narkisim"/>
          <w:b/>
          <w:bCs/>
          <w:rtl/>
        </w:rPr>
        <w:t>אחרונים</w:t>
      </w:r>
      <w:r w:rsidRPr="007119D6">
        <w:rPr>
          <w:rFonts w:ascii="Narkisim" w:hAnsi="Narkisim"/>
          <w:rtl/>
        </w:rPr>
        <w:t xml:space="preserve"> (ש"ש א ד ועוד) שדנו דתלי במח' אביי ורבא (חולין ט:). וה</w:t>
      </w:r>
      <w:r w:rsidRPr="007119D6">
        <w:rPr>
          <w:rFonts w:ascii="Narkisim" w:hAnsi="Narkisim"/>
          <w:b/>
          <w:bCs/>
          <w:rtl/>
        </w:rPr>
        <w:t>ש"ש</w:t>
      </w:r>
      <w:r w:rsidRPr="007119D6">
        <w:rPr>
          <w:rFonts w:ascii="Narkisim" w:hAnsi="Narkisim"/>
          <w:rtl/>
        </w:rPr>
        <w:t xml:space="preserve"> (א ה) העיר דרש"י בכל הנך קאי אדברי רבא</w:t>
      </w:r>
      <w:r w:rsidRPr="007119D6">
        <w:rPr>
          <w:rFonts w:ascii="Narkisim" w:hAnsi="Narkisim"/>
        </w:rPr>
        <w:t>.</w:t>
      </w:r>
    </w:p>
  </w:footnote>
  <w:footnote w:id="8181">
    <w:p w14:paraId="6D59B29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w:t>
      </w:r>
      <w:r w:rsidRPr="007119D6">
        <w:rPr>
          <w:rFonts w:ascii="Narkisim" w:hAnsi="Narkisim"/>
          <w:b/>
          <w:bCs/>
          <w:rtl/>
        </w:rPr>
        <w:t>רש"י</w:t>
      </w:r>
      <w:r w:rsidRPr="007119D6">
        <w:rPr>
          <w:rFonts w:ascii="Narkisim" w:hAnsi="Narkisim"/>
          <w:rtl/>
        </w:rPr>
        <w:t xml:space="preserve"> כת' דתערובת לא הוה ספק איסור דאורייתא למיזל לחומרא, דלא הזהירה תורה עליהן אלא כשהן בעצמן</w:t>
      </w:r>
      <w:r w:rsidRPr="007119D6">
        <w:rPr>
          <w:rFonts w:ascii="Narkisim" w:hAnsi="Narkisim"/>
        </w:rPr>
        <w:t>.</w:t>
      </w:r>
    </w:p>
  </w:footnote>
  <w:footnote w:id="8182">
    <w:p w14:paraId="25265DE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w:t>
      </w:r>
      <w:r w:rsidRPr="007119D6">
        <w:rPr>
          <w:rFonts w:ascii="Narkisim" w:hAnsi="Narkisim"/>
          <w:b/>
          <w:bCs/>
          <w:rtl/>
        </w:rPr>
        <w:t>תוס'</w:t>
      </w:r>
      <w:r w:rsidRPr="007119D6">
        <w:rPr>
          <w:rFonts w:ascii="Narkisim" w:hAnsi="Narkisim"/>
          <w:rtl/>
        </w:rPr>
        <w:t xml:space="preserve"> (בע"א ד"ה מחוורתא) נקטו דאף למסקנא סתם משנה כר"מ. וכן </w:t>
      </w:r>
      <w:r w:rsidRPr="007119D6">
        <w:rPr>
          <w:rFonts w:ascii="Narkisim" w:hAnsi="Narkisim"/>
          <w:b/>
          <w:bCs/>
          <w:rtl/>
        </w:rPr>
        <w:t>תוס</w:t>
      </w:r>
      <w:r w:rsidRPr="007119D6">
        <w:rPr>
          <w:rFonts w:ascii="Narkisim" w:hAnsi="Narkisim"/>
          <w:rtl/>
        </w:rPr>
        <w:t>' (ד"ה וחזקה) הק' אמאי נקט חזקה, הא בלא"ה ר"מ חייש למיעוטא [ובתוס' חד מקמאי הוכיח מקו' זו דקאי אף לרבנן]</w:t>
      </w:r>
      <w:r w:rsidRPr="007119D6">
        <w:rPr>
          <w:rFonts w:ascii="Narkisim" w:hAnsi="Narkisim"/>
        </w:rPr>
        <w:t>.</w:t>
      </w:r>
    </w:p>
  </w:footnote>
  <w:footnote w:id="8183">
    <w:p w14:paraId="4BECF5D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ונקט 'אלא אמר רבא', דחזר בו מהתי' הא</w:t>
      </w:r>
      <w:r w:rsidRPr="007119D6">
        <w:rPr>
          <w:rFonts w:ascii="Narkisim" w:hAnsi="Narkisim"/>
        </w:rPr>
        <w:t>'.</w:t>
      </w:r>
    </w:p>
  </w:footnote>
  <w:footnote w:id="8184">
    <w:p w14:paraId="5C9FA57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ולפ"ז הא דאי' בסוגיין כפלגא ופלגא קאי כרבנן, וחיישי למיעוטא. [אבל לדעת רש"י ותוס' קאי כר' מאיר, ופלגא ופלגא הוה ספק גמור, ולא רק חשש למיעוטא. וע' בסמוך תוס' חולין]</w:t>
      </w:r>
      <w:r w:rsidRPr="007119D6">
        <w:rPr>
          <w:rFonts w:ascii="Narkisim" w:hAnsi="Narkisim"/>
        </w:rPr>
        <w:t>.</w:t>
      </w:r>
    </w:p>
    <w:p w14:paraId="739BFC87"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ראב"ד</w:t>
      </w:r>
      <w:r w:rsidRPr="007119D6">
        <w:rPr>
          <w:rFonts w:ascii="Narkisim" w:hAnsi="Narkisim"/>
          <w:rtl/>
        </w:rPr>
        <w:t xml:space="preserve"> (לרי"ף שם) הק' דהא קי"ל דרובא עדיף מחזקה, ואפי' לקולא. ולא אמרו חכמים מעולם רובא וחזקה כי הדדי נינהו</w:t>
      </w:r>
      <w:r w:rsidRPr="007119D6">
        <w:rPr>
          <w:rFonts w:ascii="Narkisim" w:hAnsi="Narkisim"/>
        </w:rPr>
        <w:t>.</w:t>
      </w:r>
    </w:p>
  </w:footnote>
  <w:footnote w:id="8185">
    <w:p w14:paraId="4233C49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ה</w:t>
      </w:r>
      <w:r w:rsidRPr="007119D6">
        <w:rPr>
          <w:rFonts w:ascii="Narkisim" w:hAnsi="Narkisim"/>
          <w:b/>
          <w:bCs/>
          <w:rtl/>
        </w:rPr>
        <w:t>רשב”א</w:t>
      </w:r>
      <w:r w:rsidRPr="007119D6">
        <w:rPr>
          <w:rFonts w:ascii="Narkisim" w:hAnsi="Narkisim"/>
          <w:rtl/>
        </w:rPr>
        <w:t xml:space="preserve"> הק' דאף אי חזקה הוי כרובא, כי סמכת ליה מיעוטא דמפילות לרבנן תתיבם. [והוכיח כדברי ר' האי גאון דקאי אליבא דרבנן]. ומבואר בדברי הרשב"א ד'סמוך מיעוטא' נחשב תוספת הכרעה כמו המיעוט. אך בפשוטו סמוך מיעוטא לחזקה פירושו דיש לחזקה צד להתפס עליו. והחזקה לבד מכרעת נגד הרוב</w:t>
      </w:r>
      <w:r w:rsidRPr="007119D6">
        <w:rPr>
          <w:rFonts w:ascii="Narkisim" w:hAnsi="Narkisim"/>
        </w:rPr>
        <w:t>.</w:t>
      </w:r>
    </w:p>
  </w:footnote>
  <w:footnote w:id="8186">
    <w:p w14:paraId="570AF21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הק' כעין קו' התוס' דנימא דרובא וחזקה כפלגא ופלגא, ואף דסמוך מיעוט דמפילות לחזקה, והחזקה הוה כמו רוב, אכתי איכא מיעוטא דאיסורא. ור"מ חייש למיעוטא</w:t>
      </w:r>
      <w:r w:rsidRPr="007119D6">
        <w:rPr>
          <w:rFonts w:ascii="Narkisim" w:hAnsi="Narkisim"/>
        </w:rPr>
        <w:t>.</w:t>
      </w:r>
    </w:p>
  </w:footnote>
  <w:footnote w:id="8187">
    <w:p w14:paraId="59F6062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וכ"מ במהרש"א (חולין פו:)</w:t>
      </w:r>
      <w:r w:rsidRPr="007119D6">
        <w:rPr>
          <w:rFonts w:ascii="Narkisim" w:hAnsi="Narkisim"/>
        </w:rPr>
        <w:t>.</w:t>
      </w:r>
    </w:p>
  </w:footnote>
  <w:footnote w:id="8188">
    <w:p w14:paraId="4E5760B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w:t>
      </w:r>
      <w:r w:rsidRPr="007119D6">
        <w:rPr>
          <w:rFonts w:ascii="Narkisim" w:hAnsi="Narkisim"/>
          <w:b/>
          <w:bCs/>
          <w:rtl/>
        </w:rPr>
        <w:t>תוס'</w:t>
      </w:r>
      <w:r w:rsidRPr="007119D6">
        <w:rPr>
          <w:rFonts w:ascii="Narkisim" w:hAnsi="Narkisim"/>
          <w:rtl/>
        </w:rPr>
        <w:t xml:space="preserve"> (חולין יא.) הק' אמאי איצטריך קרא ללמוד דין רוב. תיפו"ל דכיון דקי"ל דרובא וחזקה רובא עדיף, וילפי' חזקה מבית המנוגע א"כ כ"ש דמהני רוב. ו</w:t>
      </w:r>
      <w:r w:rsidRPr="007119D6">
        <w:rPr>
          <w:rFonts w:ascii="Narkisim" w:hAnsi="Narkisim"/>
          <w:b/>
          <w:bCs/>
          <w:rtl/>
        </w:rPr>
        <w:t>תוס</w:t>
      </w:r>
      <w:r w:rsidRPr="007119D6">
        <w:rPr>
          <w:rFonts w:ascii="Narkisim" w:hAnsi="Narkisim"/>
          <w:rtl/>
        </w:rPr>
        <w:t>' (בתי' הב') כת' דהא דרובא וחזקה רובא עדיף הא ילפותא, ולא סברא. ועפ"ז ניחא [דקודם דילפי' דין רוב ל"מ כלל]</w:t>
      </w:r>
      <w:r w:rsidRPr="007119D6">
        <w:rPr>
          <w:rFonts w:ascii="Narkisim" w:hAnsi="Narkisim"/>
        </w:rPr>
        <w:t>.</w:t>
      </w:r>
    </w:p>
  </w:footnote>
  <w:footnote w:id="8189">
    <w:p w14:paraId="0926E03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כת' ה</w:t>
      </w:r>
      <w:r w:rsidRPr="007119D6">
        <w:rPr>
          <w:rFonts w:ascii="Narkisim" w:hAnsi="Narkisim"/>
          <w:b/>
          <w:bCs/>
          <w:rtl/>
        </w:rPr>
        <w:t>קובה”ע</w:t>
      </w:r>
      <w:r w:rsidRPr="007119D6">
        <w:rPr>
          <w:rFonts w:ascii="Narkisim" w:hAnsi="Narkisim"/>
          <w:rtl/>
        </w:rPr>
        <w:t xml:space="preserve"> (סז ד ועוד אחרונים) דהא דרובא עדיף מחזקה, אפשר דכחה של חזקה מרובה יותר מכח רוב, אלא דרוב הוי בירור המעשה וחזקה אינה מבררת את הספק</w:t>
      </w:r>
      <w:r w:rsidRPr="007119D6">
        <w:rPr>
          <w:rFonts w:ascii="Narkisim" w:hAnsi="Narkisim"/>
        </w:rPr>
        <w:t>.</w:t>
      </w:r>
    </w:p>
  </w:footnote>
  <w:footnote w:id="8190">
    <w:p w14:paraId="3374889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והריטב"א הוסיף אלמא כל היכא דאיכא מיעוטא דמסייע לחזקה לא חיישינן לרוב כלל. וסומכין על החזקה אפי' להקל. [ואילו בסוגיין מבואר דהוה כמחצה על מחצה]</w:t>
      </w:r>
      <w:r w:rsidRPr="007119D6">
        <w:rPr>
          <w:rFonts w:ascii="Narkisim" w:hAnsi="Narkisim"/>
        </w:rPr>
        <w:t>.</w:t>
      </w:r>
    </w:p>
  </w:footnote>
  <w:footnote w:id="8191">
    <w:p w14:paraId="18A967F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והא דנקט דחזקה לא עדיף מרוב, נקט משום ר' מאיר</w:t>
      </w:r>
      <w:r w:rsidRPr="007119D6">
        <w:rPr>
          <w:rFonts w:ascii="Narkisim" w:hAnsi="Narkisim"/>
        </w:rPr>
        <w:t>.</w:t>
      </w:r>
    </w:p>
  </w:footnote>
  <w:footnote w:id="8192">
    <w:p w14:paraId="3607524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ראב"ד</w:t>
      </w:r>
      <w:r w:rsidRPr="007119D6">
        <w:rPr>
          <w:rFonts w:ascii="Narkisim" w:hAnsi="Narkisim"/>
          <w:rtl/>
        </w:rPr>
        <w:t xml:space="preserve"> (קידושין שם כא: בדה"ר) דלרבנן רובא עדיף מחזקה, ואפי' ברה"ר טמא. ומיהו אהני החזקה דלא שרפינן. וביאר טעמא דמילתא משום דחזקה איתיה קמן ורובא ליתיה קמן, ולא אלים כולי האי לבטולי לחזקה לגמרי. [ועד"ז במלחמות שם]</w:t>
      </w:r>
      <w:r w:rsidRPr="007119D6">
        <w:rPr>
          <w:rFonts w:ascii="Narkisim" w:hAnsi="Narkisim"/>
        </w:rPr>
        <w:t>.</w:t>
      </w:r>
    </w:p>
  </w:footnote>
  <w:footnote w:id="8193">
    <w:p w14:paraId="51EBD01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ולדעת רבנן רוב כנגד חזקה לא עשאוה כודאי, אלא סומכין מיעוטא לחזקה לספק את הרוב ולתלות בו בכל מקום. ואילו לר"מ מהני החזקה להכריע קולא, דלא מפשינן טומאה. [ונקט דאף לרב האי גאון הטעם משום דלא מפשינן טומאה]</w:t>
      </w:r>
      <w:r w:rsidRPr="007119D6">
        <w:rPr>
          <w:rFonts w:ascii="Narkisim" w:hAnsi="Narkisim"/>
        </w:rPr>
        <w:t>.</w:t>
      </w:r>
    </w:p>
  </w:footnote>
  <w:footnote w:id="8194">
    <w:p w14:paraId="5E9C11C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דן דלדברי רבינא אף תינוק בצד העיסה לחכמים אין שורפין משום דהוה רוב התלוי במעשה</w:t>
      </w:r>
      <w:r w:rsidRPr="007119D6">
        <w:rPr>
          <w:rFonts w:ascii="Narkisim" w:hAnsi="Narkisim"/>
        </w:rPr>
        <w:t>.</w:t>
      </w:r>
    </w:p>
  </w:footnote>
  <w:footnote w:id="8195">
    <w:p w14:paraId="2463A57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ועפ"ז ביאר ה</w:t>
      </w:r>
      <w:r w:rsidRPr="007119D6">
        <w:rPr>
          <w:rFonts w:ascii="Narkisim" w:hAnsi="Narkisim"/>
          <w:b/>
          <w:bCs/>
          <w:rtl/>
        </w:rPr>
        <w:t>בעה"מ</w:t>
      </w:r>
      <w:r w:rsidRPr="007119D6">
        <w:rPr>
          <w:rFonts w:ascii="Narkisim" w:hAnsi="Narkisim"/>
          <w:rtl/>
        </w:rPr>
        <w:t xml:space="preserve"> הא דחוששין למיעוטא בסבלונות. ו</w:t>
      </w:r>
      <w:r w:rsidRPr="007119D6">
        <w:rPr>
          <w:rFonts w:ascii="Narkisim" w:hAnsi="Narkisim"/>
          <w:b/>
          <w:bCs/>
          <w:rtl/>
        </w:rPr>
        <w:t>ר"ת</w:t>
      </w:r>
      <w:r w:rsidRPr="007119D6">
        <w:rPr>
          <w:rFonts w:ascii="Narkisim" w:hAnsi="Narkisim"/>
          <w:rtl/>
        </w:rPr>
        <w:t xml:space="preserve"> (בתוס' בכורות כ:) הוכיח מסבלונות דקי"ל כר' מאיר דחוששין למיעוטא [היכא דלא הוה נגד חזקה]</w:t>
      </w:r>
      <w:r w:rsidRPr="007119D6">
        <w:rPr>
          <w:rFonts w:ascii="Narkisim" w:hAnsi="Narkisim"/>
        </w:rPr>
        <w:t>.</w:t>
      </w:r>
    </w:p>
    <w:p w14:paraId="1DCF7E5B"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מלחמות</w:t>
      </w:r>
      <w:r w:rsidRPr="007119D6">
        <w:rPr>
          <w:rFonts w:ascii="Narkisim" w:hAnsi="Narkisim"/>
          <w:rtl/>
        </w:rPr>
        <w:t xml:space="preserve"> (שם) הביא בשם הראב”ד דסבלונות הוה רוב גרוע דתלוי במעשה, וכמ”ד (בכורות כ., הו' בע”א) דלא אזלינן בתר רובא דתלי במעשה</w:t>
      </w:r>
      <w:r w:rsidRPr="007119D6">
        <w:rPr>
          <w:rFonts w:ascii="Narkisim" w:hAnsi="Narkisim"/>
        </w:rPr>
        <w:t>.</w:t>
      </w:r>
    </w:p>
  </w:footnote>
  <w:footnote w:id="8196">
    <w:p w14:paraId="3C2F1E6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הש' הראב"ד</w:t>
      </w:r>
      <w:r w:rsidRPr="007119D6">
        <w:rPr>
          <w:rFonts w:ascii="Narkisim" w:hAnsi="Narkisim"/>
          <w:rtl/>
        </w:rPr>
        <w:t xml:space="preserve"> תמה דקי"ל דרובא וחזקה רובא עדיף ואפי' לקולא. ולא אמרו חכמים מעולם רובא וחזקה כי הדדי נינהו, ואטו קי"ל כר' מאיר. וה</w:t>
      </w:r>
      <w:r w:rsidRPr="007119D6">
        <w:rPr>
          <w:rFonts w:ascii="Narkisim" w:hAnsi="Narkisim"/>
          <w:b/>
          <w:bCs/>
          <w:rtl/>
        </w:rPr>
        <w:t>מלחמות</w:t>
      </w:r>
      <w:r w:rsidRPr="007119D6">
        <w:rPr>
          <w:rFonts w:ascii="Narkisim" w:hAnsi="Narkisim"/>
          <w:rtl/>
        </w:rPr>
        <w:t xml:space="preserve"> הק' עוד דא"כ ברה"ר נימא טהור, דכל הספיקות שאין בהן דעת לישאל טהורין</w:t>
      </w:r>
      <w:r w:rsidRPr="007119D6">
        <w:rPr>
          <w:rFonts w:ascii="Narkisim" w:hAnsi="Narkisim"/>
        </w:rPr>
        <w:t>.</w:t>
      </w:r>
    </w:p>
  </w:footnote>
  <w:footnote w:id="8197">
    <w:p w14:paraId="76AE623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משמרת הבית</w:t>
      </w:r>
      <w:r w:rsidRPr="007119D6">
        <w:rPr>
          <w:rFonts w:ascii="Narkisim" w:hAnsi="Narkisim"/>
          <w:rtl/>
        </w:rPr>
        <w:t xml:space="preserve"> (הנ"ל ז: בדה"ר) ביאר כלומר מאותו הרוב שמתעברות יש מקצתו שמפילות. שאין לומר שכל הרוב מתעברות ויולדות, דהא מיעוט מפילות וא"כ הכל מתעברות והרוב יולדות [דהמיעוט מפילות]. והא איכא עקרות ואילוניות ועוד מניעות העיבור, אלא הרוב מתעברות ומיעוט אין מתעברות. ורוב המתעברות יולדות ומיעוט מפילות, ולפיכך חשוב לעמוד כנגד הרוב בצרוף החזקה</w:t>
      </w:r>
      <w:r w:rsidRPr="007119D6">
        <w:rPr>
          <w:rFonts w:ascii="Narkisim" w:hAnsi="Narkisim"/>
        </w:rPr>
        <w:t>.</w:t>
      </w:r>
    </w:p>
    <w:p w14:paraId="1AFA70B6"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וכת' דהגמ' נקטה דוקא מיעוט מפילות שהוא מתוך הרוב [דרוב מתעברות], ואמאי לא נקט מיעוט שאין מתעברות, אלא דלא אמרי' בזה סמוך מיעוטא לחזקה, דאותו המיעוט הוא כנגד הרוב ממש. ובזה אמרי' מיעוטא כמאן דליתיה. דומיא דמיעוט קטנים סריסים ואיילונית, דרבנן לא חיישי למיעוט</w:t>
      </w:r>
      <w:r w:rsidRPr="007119D6">
        <w:rPr>
          <w:rFonts w:ascii="Narkisim" w:hAnsi="Narkisim"/>
        </w:rPr>
        <w:t>.</w:t>
      </w:r>
    </w:p>
    <w:p w14:paraId="14C2A77F"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תדע דאל"כ הול"ל סמוך מיעוטא דמפילות ומיעוטא דאין מתעברות אחזקה, ועדיפי מרובא ותתייבם. אלא שאותו מיעוט דאין מתעברות לא חשיב ליה להצטרף לחזקה. [וצ"ע מנ"ל דתרי מיעוטי עדיף מרוב. ועוד דכל הנך מיעוטים הוה כנגד הרוב כמתעברות ויולדות, ומה איכפ"ל אי לא ילדה מחמת טעם זה או טעם אחר]</w:t>
      </w:r>
      <w:r w:rsidRPr="007119D6">
        <w:rPr>
          <w:rFonts w:ascii="Narkisim" w:hAnsi="Narkisim"/>
        </w:rPr>
        <w:t>.</w:t>
      </w:r>
    </w:p>
  </w:footnote>
  <w:footnote w:id="8198">
    <w:p w14:paraId="0AA0818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וכה"ג אמרי' דמיעוטא כמאן דליתא</w:t>
      </w:r>
      <w:r w:rsidRPr="007119D6">
        <w:rPr>
          <w:rFonts w:ascii="Narkisim" w:hAnsi="Narkisim"/>
        </w:rPr>
        <w:t>.</w:t>
      </w:r>
    </w:p>
  </w:footnote>
  <w:footnote w:id="8199">
    <w:p w14:paraId="4A95584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(קידושין פ.) הביאו כן בשם וכי תימא, ודחו דאמרי' (שם) דלרבנן עשאוה כמי שיש לו דעת לישאל</w:t>
      </w:r>
      <w:r w:rsidRPr="007119D6">
        <w:rPr>
          <w:rFonts w:ascii="Narkisim" w:hAnsi="Narkisim"/>
        </w:rPr>
        <w:t>.</w:t>
      </w:r>
    </w:p>
  </w:footnote>
  <w:footnote w:id="8200">
    <w:p w14:paraId="5E6885E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רא"ש</w:t>
      </w:r>
      <w:r w:rsidRPr="007119D6">
        <w:rPr>
          <w:rFonts w:ascii="Narkisim" w:hAnsi="Narkisim"/>
          <w:rtl/>
        </w:rPr>
        <w:t xml:space="preserve"> (קידושין פ.) נקט הלשון אם אמרו ספק טומאה ליטהר יאמרו ספק איסור להתיר</w:t>
      </w:r>
      <w:r w:rsidRPr="007119D6">
        <w:rPr>
          <w:rFonts w:ascii="Narkisim" w:hAnsi="Narkisim"/>
        </w:rPr>
        <w:t>.</w:t>
      </w:r>
    </w:p>
  </w:footnote>
  <w:footnote w:id="8201">
    <w:p w14:paraId="6AE55D7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ראב"ד</w:t>
      </w:r>
      <w:r w:rsidRPr="007119D6">
        <w:rPr>
          <w:rFonts w:ascii="Narkisim" w:hAnsi="Narkisim"/>
          <w:rtl/>
        </w:rPr>
        <w:t xml:space="preserve"> (שם) השיג דהו"ל לומר מטעם דתינוק הוה דבר שאין בו דעת לישאל וספיקו טהור אפי' ברה"י [ואמאי נקט טעם חדש דאפושי טומאה]</w:t>
      </w:r>
      <w:r w:rsidRPr="007119D6">
        <w:rPr>
          <w:rFonts w:ascii="Narkisim" w:hAnsi="Narkisim"/>
        </w:rPr>
        <w:t>.</w:t>
      </w:r>
    </w:p>
  </w:footnote>
  <w:footnote w:id="8202">
    <w:p w14:paraId="7C3F455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תוס' דידן סיימו דלהכי איתרע ליה רובא. [משמע דאין בו דעת לישאל מהני לגרע את הרוב, ועי"ז אמרי' סמוך מיעוטא לחזקה להכריע דודאי טהור. [וצ"ע</w:t>
      </w:r>
      <w:r w:rsidRPr="007119D6">
        <w:rPr>
          <w:rFonts w:ascii="Narkisim" w:hAnsi="Narkisim"/>
        </w:rPr>
        <w:t>].</w:t>
      </w:r>
    </w:p>
  </w:footnote>
  <w:footnote w:id="8203">
    <w:p w14:paraId="225413E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ריטב"א</w:t>
      </w:r>
      <w:r w:rsidRPr="007119D6">
        <w:rPr>
          <w:rFonts w:ascii="Narkisim" w:hAnsi="Narkisim"/>
          <w:rtl/>
        </w:rPr>
        <w:t xml:space="preserve"> הרכיב דאפושי טומאה, משום חזקה]. והמגיה לריטב"א דן דלדעת תוס' (סוטה כח:) דספק טומאה ברה"ר הוה משום חזקה, ולכאורה ה"ה אין בו דעת לישאל</w:t>
      </w:r>
      <w:r w:rsidRPr="007119D6">
        <w:rPr>
          <w:rFonts w:ascii="Narkisim" w:hAnsi="Narkisim"/>
        </w:rPr>
        <w:t>.</w:t>
      </w:r>
    </w:p>
  </w:footnote>
  <w:footnote w:id="8204">
    <w:p w14:paraId="0E8CD4D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ודעת ה</w:t>
      </w:r>
      <w:r w:rsidRPr="007119D6">
        <w:rPr>
          <w:rFonts w:ascii="Narkisim" w:hAnsi="Narkisim"/>
          <w:b/>
          <w:bCs/>
          <w:rtl/>
        </w:rPr>
        <w:t>גאונים</w:t>
      </w:r>
      <w:r w:rsidRPr="007119D6">
        <w:rPr>
          <w:rFonts w:ascii="Narkisim" w:hAnsi="Narkisim"/>
          <w:rtl/>
        </w:rPr>
        <w:t xml:space="preserve"> דה"מ היכא דאינו לפנינו. אבל היכא דאפשר לברר צריך לשואלו</w:t>
      </w:r>
      <w:r w:rsidRPr="007119D6">
        <w:rPr>
          <w:rFonts w:ascii="Narkisim" w:hAnsi="Narkisim"/>
        </w:rPr>
        <w:t>.</w:t>
      </w:r>
    </w:p>
  </w:footnote>
  <w:footnote w:id="8205">
    <w:p w14:paraId="4BCE3E5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שעה"מ</w:t>
      </w:r>
      <w:r w:rsidRPr="007119D6">
        <w:rPr>
          <w:rFonts w:ascii="Narkisim" w:hAnsi="Narkisim"/>
          <w:rtl/>
        </w:rPr>
        <w:t xml:space="preserve"> (יבום ג טז) הביא דה</w:t>
      </w:r>
      <w:r w:rsidRPr="007119D6">
        <w:rPr>
          <w:rFonts w:ascii="Narkisim" w:hAnsi="Narkisim"/>
          <w:b/>
          <w:bCs/>
          <w:rtl/>
        </w:rPr>
        <w:t>רשב"א</w:t>
      </w:r>
      <w:r w:rsidRPr="007119D6">
        <w:rPr>
          <w:rFonts w:ascii="Narkisim" w:hAnsi="Narkisim"/>
          <w:rtl/>
        </w:rPr>
        <w:t xml:space="preserve"> (בתוה"ב) הק' כן אף בעגלה ערופה, ומבואר דס"ל דסמוך מיעוטא לחזקה הוה מדאורייתא.</w:t>
      </w:r>
    </w:p>
  </w:footnote>
  <w:footnote w:id="8206">
    <w:p w14:paraId="423A10E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כענין שמצינו בריש גיטין (דף ב:) ואפילו לר"מ דחייש למיעוט' סתם ספרי דדייני מגמר גמירי והמיעוט לא שכיח ולא חייש ליה ר"מ. ותוס' כת' דעד"ז נפל למים שאין להם סוף (לקמן קכא.) אף ר' מאיר מודה דנשאת לא תצא, ומדאורייתא מוקמי' אחזקה</w:t>
      </w:r>
      <w:r w:rsidRPr="007119D6">
        <w:rPr>
          <w:rFonts w:ascii="Narkisim" w:hAnsi="Narkisim"/>
        </w:rPr>
        <w:t>.</w:t>
      </w:r>
    </w:p>
  </w:footnote>
  <w:footnote w:id="8207">
    <w:p w14:paraId="48A664F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משמרת הבית</w:t>
      </w:r>
      <w:r w:rsidRPr="007119D6">
        <w:rPr>
          <w:rFonts w:ascii="Narkisim" w:hAnsi="Narkisim"/>
          <w:rtl/>
        </w:rPr>
        <w:t xml:space="preserve"> האריך לחלוק</w:t>
      </w:r>
      <w:r w:rsidRPr="007119D6">
        <w:rPr>
          <w:rFonts w:ascii="Narkisim" w:hAnsi="Narkisim"/>
        </w:rPr>
        <w:t>.</w:t>
      </w:r>
    </w:p>
  </w:footnote>
  <w:footnote w:id="8208">
    <w:p w14:paraId="327B969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כ"כ </w:t>
      </w:r>
      <w:r w:rsidRPr="007119D6">
        <w:rPr>
          <w:rFonts w:ascii="Narkisim" w:hAnsi="Narkisim"/>
          <w:b/>
          <w:bCs/>
          <w:rtl/>
        </w:rPr>
        <w:t>תוס</w:t>
      </w:r>
      <w:r w:rsidRPr="007119D6">
        <w:rPr>
          <w:rFonts w:ascii="Narkisim" w:hAnsi="Narkisim"/>
          <w:rtl/>
        </w:rPr>
        <w:t xml:space="preserve">' (מנחות סז.) דמיעוט דלא שכיח הוה כמו מיעוטא דמיעוטא. וכן </w:t>
      </w:r>
      <w:r w:rsidRPr="007119D6">
        <w:rPr>
          <w:rFonts w:ascii="Narkisim" w:hAnsi="Narkisim"/>
          <w:b/>
          <w:bCs/>
          <w:rtl/>
        </w:rPr>
        <w:t>תוס</w:t>
      </w:r>
      <w:r w:rsidRPr="007119D6">
        <w:rPr>
          <w:rFonts w:ascii="Narkisim" w:hAnsi="Narkisim"/>
          <w:rtl/>
        </w:rPr>
        <w:t>' (גיטין ב:) כת' דסתם ספרא דדייני מיגמר גמירי, ומש"ה הוה מיעוטא דמיעוטא. [אך שמעתי לדחות דהתם הוה תרי רובא, דרוב בקיאים [אפי' מי שאינו ספרא דדיינא], ועוד דספרא דדייני סתמן בקיאין</w:t>
      </w:r>
      <w:r w:rsidRPr="007119D6">
        <w:rPr>
          <w:rFonts w:ascii="Narkisim" w:hAnsi="Narkisim"/>
        </w:rPr>
        <w:t>.</w:t>
      </w:r>
    </w:p>
  </w:footnote>
  <w:footnote w:id="8209">
    <w:p w14:paraId="4A4E0B2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(יו"ד ת רז) תמה דכיון דתלינן בנקיבה או נפל, א"כ הדרינן לחזקת היתר לשוק. הנוב"י ביאר דמחיים ל"ש כל כך חזקה, שהרי  אז היתה בחזקת איסור אשת איש. לכך אף שמת בעלה חוששת ומקרי קצת חזקת איסור לשוק</w:t>
      </w:r>
      <w:r w:rsidRPr="007119D6">
        <w:rPr>
          <w:rFonts w:ascii="Narkisim" w:hAnsi="Narkisim"/>
        </w:rPr>
        <w:t>.</w:t>
      </w:r>
    </w:p>
  </w:footnote>
  <w:footnote w:id="8210">
    <w:p w14:paraId="2F0EDC9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וכפי' הא' ב</w:t>
      </w:r>
      <w:r w:rsidRPr="007119D6">
        <w:rPr>
          <w:rFonts w:ascii="Narkisim" w:hAnsi="Narkisim"/>
          <w:b/>
          <w:bCs/>
          <w:rtl/>
        </w:rPr>
        <w:t>רמב"ן</w:t>
      </w:r>
      <w:r w:rsidRPr="007119D6">
        <w:rPr>
          <w:rFonts w:ascii="Narkisim" w:hAnsi="Narkisim"/>
          <w:rtl/>
        </w:rPr>
        <w:t>. ולדברי רב האי גאון סברת רבנן דחששו למיעוטא משום סמוך מיעוטא לחזקה. ואף יצתה מלאה י"ל סמוך מיעוטא לחזקה</w:t>
      </w:r>
      <w:r w:rsidRPr="007119D6">
        <w:rPr>
          <w:rFonts w:ascii="Narkisim" w:hAnsi="Narkisim"/>
        </w:rPr>
        <w:t>.</w:t>
      </w:r>
    </w:p>
  </w:footnote>
  <w:footnote w:id="8211">
    <w:p w14:paraId="6832602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מחנ"א</w:t>
      </w:r>
      <w:r w:rsidRPr="007119D6">
        <w:rPr>
          <w:rFonts w:ascii="Narkisim" w:hAnsi="Narkisim"/>
          <w:rtl/>
        </w:rPr>
        <w:t xml:space="preserve"> (יבום ג טז) כת' דביצאת מלאה אמרי' רוב נשים מתעברות ויולדות. ומש"ה לא אמרי' סמוך מיעוט מפילות, דלא חיישינן להך מיעוט כלל [כנגד רוב דמתעברות ויולדות]. וביאר דרבנן ס"ל דהרוב חשיב ככל [כל זמן שאין חזקה כנגדו], ומש"ה הוה כאילו ליכא מיעוט. ודוקא לר' מאיר אמרי' דמיעוט מפילות מצטרף למחצה נקיבות להחשב רוב. וה</w:t>
      </w:r>
      <w:r w:rsidRPr="007119D6">
        <w:rPr>
          <w:rFonts w:ascii="Narkisim" w:hAnsi="Narkisim"/>
          <w:b/>
          <w:bCs/>
          <w:rtl/>
        </w:rPr>
        <w:t>שעה"מ</w:t>
      </w:r>
      <w:r w:rsidRPr="007119D6">
        <w:rPr>
          <w:rFonts w:ascii="Narkisim" w:hAnsi="Narkisim"/>
          <w:rtl/>
        </w:rPr>
        <w:t xml:space="preserve"> (שם ד"ה האמנם הדבר) הק' דלעיל סז. מצרפין מיעוט מפילות, ואף לרבנן</w:t>
      </w:r>
      <w:r w:rsidRPr="007119D6">
        <w:rPr>
          <w:rFonts w:ascii="Narkisim" w:hAnsi="Narkisim"/>
        </w:rPr>
        <w:t>.</w:t>
      </w:r>
    </w:p>
  </w:footnote>
  <w:footnote w:id="8212">
    <w:p w14:paraId="6F9EBDC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והוא טעם נוסף דחיישינן למיעוט דהכא, דמחצה זכרים שכיח טובא [וקרוב לרוב]. וכ"כ ה</w:t>
      </w:r>
      <w:r w:rsidRPr="007119D6">
        <w:rPr>
          <w:rFonts w:ascii="Narkisim" w:hAnsi="Narkisim"/>
          <w:b/>
          <w:bCs/>
          <w:rtl/>
        </w:rPr>
        <w:t xml:space="preserve">שעה”מ </w:t>
      </w:r>
      <w:r w:rsidRPr="007119D6">
        <w:rPr>
          <w:rFonts w:ascii="Narkisim" w:hAnsi="Narkisim"/>
          <w:rtl/>
        </w:rPr>
        <w:t>(שם ד”ה האמנם הריטב”א) דת"ק ס"ל דיצתה מלאה חוששת, דמיעוטא דזכרים הוי מיעוט המצוי ביותר. [ובהמשך דבריו הביא דברי הרמב"ן]</w:t>
      </w:r>
      <w:r w:rsidRPr="007119D6">
        <w:rPr>
          <w:rFonts w:ascii="Narkisim" w:hAnsi="Narkisim"/>
        </w:rPr>
        <w:t>.</w:t>
      </w:r>
    </w:p>
  </w:footnote>
  <w:footnote w:id="8213">
    <w:p w14:paraId="37E496A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העתיק הנמוק"י כיון שיצאת מלאה ועבר זמן לידתה אין אומרים שמא הפילה דהו"ל כמיתה. [דעכשיו עבר זמן לידתה]. אבל ה</w:t>
      </w:r>
      <w:r w:rsidRPr="007119D6">
        <w:rPr>
          <w:rFonts w:ascii="Narkisim" w:hAnsi="Narkisim"/>
          <w:b/>
          <w:bCs/>
          <w:rtl/>
        </w:rPr>
        <w:t>שואל בנוב"י</w:t>
      </w:r>
      <w:r w:rsidRPr="007119D6">
        <w:rPr>
          <w:rFonts w:ascii="Narkisim" w:hAnsi="Narkisim"/>
          <w:rtl/>
        </w:rPr>
        <w:t xml:space="preserve"> (ת יו"ד רז) הביא מדברי הנמוק"י דדוקא יצאת לאחר שמלאו ימיה ללדת, אבל אם יצאה קודם שמלאו ימיה ללדת, אף שהיתה מעוברת שפיר אמרינן ס"ס. והנוב"י דחה</w:t>
      </w:r>
      <w:r w:rsidRPr="007119D6">
        <w:rPr>
          <w:rFonts w:ascii="Narkisim" w:hAnsi="Narkisim"/>
        </w:rPr>
        <w:t>.</w:t>
      </w:r>
    </w:p>
  </w:footnote>
  <w:footnote w:id="8214">
    <w:p w14:paraId="5774403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וכ"פ ה</w:t>
      </w:r>
      <w:r w:rsidRPr="007119D6">
        <w:rPr>
          <w:rFonts w:ascii="Narkisim" w:hAnsi="Narkisim"/>
          <w:b/>
          <w:bCs/>
          <w:rtl/>
        </w:rPr>
        <w:t>רמב"ם</w:t>
      </w:r>
      <w:r w:rsidRPr="007119D6">
        <w:rPr>
          <w:rFonts w:ascii="Narkisim" w:hAnsi="Narkisim"/>
          <w:rtl/>
        </w:rPr>
        <w:t xml:space="preserve"> (איסו"ב יז יח) וכל מי שאינה ראויה לחליצה אם נחלצה לא נפסלה לכהונה</w:t>
      </w:r>
      <w:r w:rsidRPr="007119D6">
        <w:rPr>
          <w:rFonts w:ascii="Narkisim" w:hAnsi="Narkisim"/>
        </w:rPr>
        <w:t>.</w:t>
      </w:r>
    </w:p>
  </w:footnote>
  <w:footnote w:id="8215">
    <w:p w14:paraId="21D1272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כשילדה ומת הולד [לאחר ל']</w:t>
      </w:r>
      <w:r w:rsidRPr="007119D6">
        <w:rPr>
          <w:rFonts w:ascii="Narkisim" w:hAnsi="Narkisim"/>
        </w:rPr>
        <w:t>.</w:t>
      </w:r>
    </w:p>
  </w:footnote>
  <w:footnote w:id="8216">
    <w:p w14:paraId="6FD79F1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ולפ"ז לר' יוחנן [לעיל לה: דמהני חליצת מעוברת אם הפילה אח"כ] מעוברת מותרת לחלוץ [ולא תנשא, עד שיוולד]. ודוקא צרתה במדינת הים אסורה</w:t>
      </w:r>
      <w:r w:rsidRPr="007119D6">
        <w:rPr>
          <w:rFonts w:ascii="Narkisim" w:hAnsi="Narkisim"/>
        </w:rPr>
        <w:t>.</w:t>
      </w:r>
    </w:p>
  </w:footnote>
  <w:footnote w:id="8217">
    <w:p w14:paraId="3E00123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וכמו במקום דיש חשש קנוניא, שמלמדים להדיר בהנאה. אך הק' דהו"ל לגמ' לפרש כן בסוגיין</w:t>
      </w:r>
      <w:r w:rsidRPr="007119D6">
        <w:rPr>
          <w:rFonts w:ascii="Narkisim" w:hAnsi="Narkisim"/>
        </w:rPr>
        <w:t>.</w:t>
      </w:r>
    </w:p>
  </w:footnote>
  <w:footnote w:id="8218">
    <w:p w14:paraId="23C7E3C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ודן בגירסת הגמ' (שם), ולישנא דגמרא עדיפא מלישנא דחד אמורא, כ"ש דההיא דאביי לא מכרעא כלל. ואין ספק דהלכתא כר' חנינא דרביה דזעירי הוה. ועוד דאביי בר אבין ורב חייא בר אבין דאמרי תרוייהו כותיה, והלכה כרבים ורב פפא ורב חייא בריה דרב הונא אמוראי בתראי מפרקי נמי אליבא דר' חנינא</w:t>
      </w:r>
      <w:r w:rsidRPr="007119D6">
        <w:rPr>
          <w:rFonts w:ascii="Narkisim" w:hAnsi="Narkisim"/>
        </w:rPr>
        <w:t>.</w:t>
      </w:r>
    </w:p>
  </w:footnote>
  <w:footnote w:id="8219">
    <w:p w14:paraId="4679552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ריטב"א</w:t>
      </w:r>
      <w:r w:rsidRPr="007119D6">
        <w:rPr>
          <w:rFonts w:ascii="Narkisim" w:hAnsi="Narkisim"/>
          <w:rtl/>
        </w:rPr>
        <w:t xml:space="preserve"> כת' דדברי אביי הוה דחויא בעלמא</w:t>
      </w:r>
      <w:r w:rsidRPr="007119D6">
        <w:rPr>
          <w:rFonts w:ascii="Narkisim" w:hAnsi="Narkisim"/>
        </w:rPr>
        <w:t>.</w:t>
      </w:r>
    </w:p>
  </w:footnote>
  <w:footnote w:id="8220">
    <w:p w14:paraId="37C4A48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בפשוטו משמע דהנידון שיבואו ב' עדים, אבל עד א' אינו נאמן. ואילו בתחילת דבריו כת' רש”י ואין איש עמהם, משמע דעד א' נאמן. וע' קר”א</w:t>
      </w:r>
      <w:r w:rsidRPr="007119D6">
        <w:rPr>
          <w:rFonts w:ascii="Narkisim" w:hAnsi="Narkisim"/>
        </w:rPr>
        <w:t>.</w:t>
      </w:r>
    </w:p>
  </w:footnote>
  <w:footnote w:id="8221">
    <w:p w14:paraId="0DE9272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והיא אומרת שמת בעלה ואח"כ בנה, ואף דלהתיר עצמה ליבם לא מהימנא, מ"מ לענין זה לגבי החשש דתצריכה כרוז לכהונה נאמנת. ובפרט דאחרי דהדין שלא תתייבם מה לנו לחשוד אותה למשקרת, דהא ל"ש דמרחמא ליבם דהא יהא הדין דלא מתייבמת</w:t>
      </w:r>
      <w:r w:rsidRPr="007119D6">
        <w:rPr>
          <w:rFonts w:ascii="Narkisim" w:hAnsi="Narkisim"/>
        </w:rPr>
        <w:t>.</w:t>
      </w:r>
    </w:p>
  </w:footnote>
  <w:footnote w:id="8222">
    <w:p w14:paraId="448F3DD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גר"א</w:t>
      </w:r>
      <w:r w:rsidRPr="007119D6">
        <w:rPr>
          <w:rFonts w:ascii="Narkisim" w:hAnsi="Narkisim"/>
          <w:rtl/>
        </w:rPr>
        <w:t xml:space="preserve"> (שם ג) כת' [דהשו"ע, וכן הטור] נקט לשון דאין צרה מעידה לחברתה אליבא דמ”ד דעד א' נאמן</w:t>
      </w:r>
      <w:r w:rsidRPr="007119D6">
        <w:rPr>
          <w:rFonts w:ascii="Narkisim" w:hAnsi="Narkisim"/>
        </w:rPr>
        <w:t>.</w:t>
      </w:r>
    </w:p>
    <w:p w14:paraId="4644FA16"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ק"נ</w:t>
      </w:r>
      <w:r w:rsidRPr="007119D6">
        <w:rPr>
          <w:rFonts w:ascii="Narkisim" w:hAnsi="Narkisim"/>
          <w:rtl/>
        </w:rPr>
        <w:t xml:space="preserve"> (לעיל י ק) כת' נהי דברישא דמתני' משמע דעד א' בעלמא נאמן, בסיפא דמתני' משמע דצריך דוקא עדות. [וכהערת הרש"ש]. וקשיא דיוקא דרישא אדיוקא דסיפא, אלא מהא ליכא למיפשט מיניה</w:t>
      </w:r>
      <w:r w:rsidRPr="007119D6">
        <w:rPr>
          <w:rFonts w:ascii="Narkisim" w:hAnsi="Narkisim"/>
        </w:rPr>
        <w:t>.</w:t>
      </w:r>
    </w:p>
  </w:footnote>
  <w:footnote w:id="8223">
    <w:p w14:paraId="5F3AFDA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קר”א</w:t>
      </w:r>
      <w:r w:rsidRPr="007119D6">
        <w:rPr>
          <w:rFonts w:ascii="Narkisim" w:hAnsi="Narkisim"/>
          <w:rtl/>
        </w:rPr>
        <w:t xml:space="preserve"> דחה דלא אמרי' מיגו, ודן לתקנה ראשונה (ע' לקמן קכב. ומש"כ לעיל קיד:) דאשה עצמה נאמנת שמת בעלה, אבל עד א' אינו נאמן. וכי נימא מיגו דנאמנת על עצמה, אף יבמתה לנשא</w:t>
      </w:r>
      <w:r w:rsidRPr="007119D6">
        <w:rPr>
          <w:rFonts w:ascii="Narkisim" w:hAnsi="Narkisim"/>
        </w:rPr>
        <w:t>.</w:t>
      </w:r>
    </w:p>
  </w:footnote>
  <w:footnote w:id="8224">
    <w:p w14:paraId="7522ADF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לכאורה למסקנא אמרי' 'מיגו', אלא דמצד אחר ל"מ, דגרע מעד א</w:t>
      </w:r>
      <w:r w:rsidRPr="007119D6">
        <w:rPr>
          <w:rFonts w:ascii="Narkisim" w:hAnsi="Narkisim"/>
        </w:rPr>
        <w:t>'.</w:t>
      </w:r>
    </w:p>
  </w:footnote>
  <w:footnote w:id="8225">
    <w:p w14:paraId="4E78A79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דאף 'בנים' לאו דוקא, דאף בן א' פוטר</w:t>
      </w:r>
      <w:r w:rsidRPr="007119D6">
        <w:rPr>
          <w:rFonts w:ascii="Narkisim" w:hAnsi="Narkisim"/>
        </w:rPr>
        <w:t>.</w:t>
      </w:r>
    </w:p>
  </w:footnote>
  <w:footnote w:id="8226">
    <w:p w14:paraId="05C1EAA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ולרבנן אמרינן דאפילו מקלקלא עצמה משום קלקול חברתה דתמות נפשה עם פלשתים קעבדה</w:t>
      </w:r>
      <w:r w:rsidRPr="007119D6">
        <w:rPr>
          <w:rFonts w:ascii="Narkisim" w:hAnsi="Narkisim"/>
        </w:rPr>
        <w:t>.</w:t>
      </w:r>
    </w:p>
  </w:footnote>
  <w:footnote w:id="8227">
    <w:p w14:paraId="7B53D53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מהרש"א</w:t>
      </w:r>
      <w:r w:rsidRPr="007119D6">
        <w:rPr>
          <w:rFonts w:ascii="Narkisim" w:hAnsi="Narkisim"/>
          <w:rtl/>
        </w:rPr>
        <w:t xml:space="preserve"> הוכיח כן מהגמ' (לעיל קיז.) דחמותה שבאה לאחר מכן</w:t>
      </w:r>
      <w:r w:rsidRPr="007119D6">
        <w:rPr>
          <w:rFonts w:ascii="Narkisim" w:hAnsi="Narkisim"/>
        </w:rPr>
        <w:t>.</w:t>
      </w:r>
    </w:p>
  </w:footnote>
  <w:footnote w:id="8228">
    <w:p w14:paraId="5A289DC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ואפשר דאף בלא טעם זה, דחזקה שאם נשאת ע"פ גט לא תנשא לכהן [שיתברר שעברה במזיד]. אך בדברי רש"י משמע דהוה משום שנאסרת עליו</w:t>
      </w:r>
      <w:r w:rsidRPr="007119D6">
        <w:rPr>
          <w:rFonts w:ascii="Narkisim" w:hAnsi="Narkisim"/>
        </w:rPr>
        <w:t>.</w:t>
      </w:r>
    </w:p>
  </w:footnote>
  <w:footnote w:id="8229">
    <w:p w14:paraId="633A285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קה"י</w:t>
      </w:r>
      <w:r w:rsidRPr="007119D6">
        <w:rPr>
          <w:rFonts w:ascii="Narkisim" w:hAnsi="Narkisim"/>
          <w:rtl/>
        </w:rPr>
        <w:t xml:space="preserve"> כת' דלדעת שאר ראשונים י"ל דבמלחמה יתכן לדייק, ומש”ה נאמנים בעדותם. אבל באישתהי ג' ימים אי אפשר לדייק, ועיקר העדות מוכיח דהוה בדדמי</w:t>
      </w:r>
      <w:r w:rsidRPr="007119D6">
        <w:rPr>
          <w:rFonts w:ascii="Narkisim" w:hAnsi="Narkisim"/>
        </w:rPr>
        <w:t>.</w:t>
      </w:r>
    </w:p>
  </w:footnote>
  <w:footnote w:id="8230">
    <w:p w14:paraId="492BA41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פשטות הראשונים והפוסקים דל"מ הכרה כלל לאחר ג' ימים, ואפי' בדקו הבי"ד היטב. וצ"ע</w:t>
      </w:r>
      <w:r w:rsidRPr="007119D6">
        <w:rPr>
          <w:rFonts w:ascii="Narkisim" w:hAnsi="Narkisim"/>
        </w:rPr>
        <w:t>.</w:t>
      </w:r>
    </w:p>
  </w:footnote>
  <w:footnote w:id="8231">
    <w:p w14:paraId="2A440A6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ומבואר בדבריו דהשואל נקט דצריך להעיד אף תוך ג' ימים</w:t>
      </w:r>
      <w:r w:rsidRPr="007119D6">
        <w:rPr>
          <w:rFonts w:ascii="Narkisim" w:hAnsi="Narkisim"/>
        </w:rPr>
        <w:t>.</w:t>
      </w:r>
    </w:p>
  </w:footnote>
  <w:footnote w:id="8232">
    <w:p w14:paraId="0F502D1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ריב"ש</w:t>
      </w:r>
      <w:r w:rsidRPr="007119D6">
        <w:rPr>
          <w:rFonts w:ascii="Narkisim" w:hAnsi="Narkisim"/>
          <w:rtl/>
        </w:rPr>
        <w:t xml:space="preserve"> הוסיף דאפי' ספק אי נשתהא, אם נשאת תצא. וע"ע בסמוך בסו"ד התוס</w:t>
      </w:r>
      <w:r w:rsidRPr="007119D6">
        <w:rPr>
          <w:rFonts w:ascii="Narkisim" w:hAnsi="Narkisim"/>
        </w:rPr>
        <w:t>'.</w:t>
      </w:r>
    </w:p>
  </w:footnote>
  <w:footnote w:id="8233">
    <w:p w14:paraId="11DFC2F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נח' בזה ה</w:t>
      </w:r>
      <w:r w:rsidRPr="007119D6">
        <w:rPr>
          <w:rFonts w:ascii="Narkisim" w:hAnsi="Narkisim"/>
          <w:b/>
          <w:bCs/>
          <w:rtl/>
        </w:rPr>
        <w:t>פוסקים</w:t>
      </w:r>
      <w:r w:rsidRPr="007119D6">
        <w:rPr>
          <w:rFonts w:ascii="Narkisim" w:hAnsi="Narkisim"/>
          <w:rtl/>
        </w:rPr>
        <w:t xml:space="preserve"> (ע"ע בע"ב), וה</w:t>
      </w:r>
      <w:r w:rsidRPr="007119D6">
        <w:rPr>
          <w:rFonts w:ascii="Narkisim" w:hAnsi="Narkisim"/>
          <w:b/>
          <w:bCs/>
          <w:rtl/>
        </w:rPr>
        <w:t>מעדני יו”ט</w:t>
      </w:r>
      <w:r w:rsidRPr="007119D6">
        <w:rPr>
          <w:rFonts w:ascii="Narkisim" w:hAnsi="Narkisim"/>
          <w:rtl/>
        </w:rPr>
        <w:t xml:space="preserve"> נקט דבגוסס אם נשאת לא תצא, דומיא דמים שאין להם סוף.</w:t>
      </w:r>
    </w:p>
  </w:footnote>
  <w:footnote w:id="8234">
    <w:p w14:paraId="5047939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ריב"ש</w:t>
      </w:r>
      <w:r w:rsidRPr="007119D6">
        <w:rPr>
          <w:rFonts w:ascii="Narkisim" w:hAnsi="Narkisim"/>
          <w:rtl/>
        </w:rPr>
        <w:t xml:space="preserve"> כת' דליכא למימר דאין מעידין עד שתצא נפשו, קאי אהמשך דאפי' מגוייד, ומשום שיכול ליכוות ולחיות, דהוה חשש מדרבנן. אבל מדאורייתא לא חיישינן להכי, ואם נשאת לא תצא. אך הוכיח דאף מדאורייתא חששו שיכול לכוות</w:t>
      </w:r>
      <w:r w:rsidRPr="007119D6">
        <w:rPr>
          <w:rFonts w:ascii="Narkisim" w:hAnsi="Narkisim"/>
        </w:rPr>
        <w:t>.</w:t>
      </w:r>
    </w:p>
  </w:footnote>
  <w:footnote w:id="8235">
    <w:p w14:paraId="64F5C61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וציין דתרי ותרי ספיקא דרבנן (כדאי' לעיל לא.), ואפ”ה תצא [כדאי' לעיל פח: דדוקא כשנישאת לא' מעידיה לא תצא]. {וצ"ע מה ראיה, דהתם הוה ספק דאורייתא, אלא דרבנן אמרו להחמיר [בתורת ודאי]}</w:t>
      </w:r>
      <w:r w:rsidRPr="007119D6">
        <w:rPr>
          <w:rFonts w:ascii="Narkisim" w:hAnsi="Narkisim"/>
        </w:rPr>
        <w:t>.</w:t>
      </w:r>
    </w:p>
  </w:footnote>
  <w:footnote w:id="8236">
    <w:p w14:paraId="43BE6AE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לשון התוס' אינו ברור כ"כ, והפוסקים האריכו בדבריהם</w:t>
      </w:r>
      <w:r w:rsidRPr="007119D6">
        <w:rPr>
          <w:rFonts w:ascii="Narkisim" w:hAnsi="Narkisim"/>
        </w:rPr>
        <w:t>.</w:t>
      </w:r>
    </w:p>
  </w:footnote>
  <w:footnote w:id="8237">
    <w:p w14:paraId="7B18F3D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תו"י</w:t>
      </w:r>
      <w:r w:rsidRPr="007119D6">
        <w:rPr>
          <w:rFonts w:ascii="Narkisim" w:hAnsi="Narkisim"/>
          <w:rtl/>
        </w:rPr>
        <w:t xml:space="preserve"> דדוקא (א) היכא דאינן מכירים אלא ע"י סימנים, (ב) והוא מלא פצעים, (ג) ואין כל גופו לפנינו. אבל אם הוא שלם או הפדחת והחוטם ואנו מכירים בו ע"י טביעת עין יפה מעידים אפילו לאחר כמה ימים</w:t>
      </w:r>
      <w:r w:rsidRPr="007119D6">
        <w:rPr>
          <w:rFonts w:ascii="Narkisim" w:hAnsi="Narkisim"/>
        </w:rPr>
        <w:t>.</w:t>
      </w:r>
    </w:p>
  </w:footnote>
  <w:footnote w:id="8238">
    <w:p w14:paraId="0750697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ס' הישר</w:t>
      </w:r>
      <w:r w:rsidRPr="007119D6">
        <w:rPr>
          <w:rFonts w:ascii="Narkisim" w:hAnsi="Narkisim"/>
          <w:rtl/>
        </w:rPr>
        <w:t xml:space="preserve"> מבואר דזה הוכחה דמהני להעיד על גופו שלם. ואף דמבואר בברייתא דבעינן פדחת ופרצוף הפנים וחוטם, ה"מ כשאין בו טביעות עין כאדם שלם, ואין מכירים אלא ע”י פדחת וכו' דהוה טביעות עין מועטת. אבל מהני טביעות עין דראש כולו או דגופו. דוכי אדם חי שנחתך חוטמו לא יוכלו להעיד עליו [כשהוא מכחיש ואומר שהוא אחר]</w:t>
      </w:r>
      <w:r w:rsidRPr="007119D6">
        <w:rPr>
          <w:rFonts w:ascii="Narkisim" w:hAnsi="Narkisim"/>
        </w:rPr>
        <w:t>.</w:t>
      </w:r>
    </w:p>
  </w:footnote>
  <w:footnote w:id="8239">
    <w:p w14:paraId="32EA973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דע"י טביעות עין אין חילוק בין לאלתר ולאחר כ' יום. דבטביעת עין מעשים בכל יום אפי' לאחר י"ב חדש מת ניכר. [והביא מבעל חלום לאחר חצי שנה, וצ"ב כוונתו]. והכא איירי דהטביעות עין אינו ניכר, אלא כעין מדמה מילתא למילתא</w:t>
      </w:r>
      <w:r w:rsidRPr="007119D6">
        <w:rPr>
          <w:rFonts w:ascii="Narkisim" w:hAnsi="Narkisim"/>
        </w:rPr>
        <w:t>.</w:t>
      </w:r>
    </w:p>
  </w:footnote>
  <w:footnote w:id="8240">
    <w:p w14:paraId="6CB8713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מהרח"ש</w:t>
      </w:r>
      <w:r w:rsidRPr="007119D6">
        <w:rPr>
          <w:rFonts w:ascii="Narkisim" w:hAnsi="Narkisim"/>
          <w:rtl/>
        </w:rPr>
        <w:t xml:space="preserve"> (לו. בדה"ס) דייק מדברי רש"י דלא כר”ת</w:t>
      </w:r>
      <w:r w:rsidRPr="007119D6">
        <w:rPr>
          <w:rFonts w:ascii="Narkisim" w:hAnsi="Narkisim"/>
        </w:rPr>
        <w:t>.</w:t>
      </w:r>
    </w:p>
  </w:footnote>
  <w:footnote w:id="8241">
    <w:p w14:paraId="7ADC79C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רשב"א</w:t>
      </w:r>
      <w:r w:rsidRPr="007119D6">
        <w:rPr>
          <w:rFonts w:ascii="Narkisim" w:hAnsi="Narkisim"/>
          <w:rtl/>
        </w:rPr>
        <w:t xml:space="preserve"> דודאי אם מעידין על סימנין מובהקין שבגוף מהני [ואי"צ פרצוף הפנים]. (וכדאי' לעיל קטו: דמהני סימנים). ונח' (בסוף העמ') דוקא בשומא</w:t>
      </w:r>
      <w:r w:rsidRPr="007119D6">
        <w:rPr>
          <w:rFonts w:ascii="Narkisim" w:hAnsi="Narkisim"/>
        </w:rPr>
        <w:t>.</w:t>
      </w:r>
    </w:p>
  </w:footnote>
  <w:footnote w:id="8242">
    <w:p w14:paraId="77390B6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ב</w:t>
      </w:r>
      <w:r w:rsidRPr="007119D6">
        <w:rPr>
          <w:rFonts w:ascii="Narkisim" w:hAnsi="Narkisim"/>
          <w:b/>
          <w:bCs/>
          <w:rtl/>
        </w:rPr>
        <w:t>שו”ע</w:t>
      </w:r>
      <w:r w:rsidRPr="007119D6">
        <w:rPr>
          <w:rFonts w:ascii="Narkisim" w:hAnsi="Narkisim"/>
          <w:rtl/>
        </w:rPr>
        <w:t xml:space="preserve"> (יז כה) הביא דברי </w:t>
      </w:r>
      <w:r w:rsidRPr="007119D6">
        <w:rPr>
          <w:rFonts w:ascii="Narkisim" w:hAnsi="Narkisim"/>
          <w:b/>
          <w:bCs/>
          <w:rtl/>
        </w:rPr>
        <w:t>ר"ת</w:t>
      </w:r>
      <w:r w:rsidRPr="007119D6">
        <w:rPr>
          <w:rFonts w:ascii="Narkisim" w:hAnsi="Narkisim"/>
          <w:rtl/>
        </w:rPr>
        <w:t xml:space="preserve"> דהיכא דכל גופו שלם, יכולין להכירו בטביעות עין [בלא פרצוף ופדחת וחוטם]. וה</w:t>
      </w:r>
      <w:r w:rsidRPr="007119D6">
        <w:rPr>
          <w:rFonts w:ascii="Narkisim" w:hAnsi="Narkisim"/>
          <w:b/>
          <w:bCs/>
          <w:rtl/>
        </w:rPr>
        <w:t>שו"ע</w:t>
      </w:r>
      <w:r w:rsidRPr="007119D6">
        <w:rPr>
          <w:rFonts w:ascii="Narkisim" w:hAnsi="Narkisim"/>
          <w:rtl/>
        </w:rPr>
        <w:t xml:space="preserve"> כת' דחלקו עליו האחרונים. וה</w:t>
      </w:r>
      <w:r w:rsidRPr="007119D6">
        <w:rPr>
          <w:rFonts w:ascii="Narkisim" w:hAnsi="Narkisim"/>
          <w:b/>
          <w:bCs/>
          <w:rtl/>
        </w:rPr>
        <w:t>חלק"מ</w:t>
      </w:r>
      <w:r w:rsidRPr="007119D6">
        <w:rPr>
          <w:rFonts w:ascii="Narkisim" w:hAnsi="Narkisim"/>
          <w:rtl/>
        </w:rPr>
        <w:t xml:space="preserve"> (שם מו) כת' דלא נדחו דברי ר"ת לגמרי, ומצרפים דעתו לשאר אומדנות והוכחות</w:t>
      </w:r>
      <w:r w:rsidRPr="007119D6">
        <w:rPr>
          <w:rFonts w:ascii="Narkisim" w:hAnsi="Narkisim"/>
        </w:rPr>
        <w:t>.</w:t>
      </w:r>
    </w:p>
  </w:footnote>
  <w:footnote w:id="8243">
    <w:p w14:paraId="62766FB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י”ל דבתחילה ס"ד דבעינן סימני הגוף, ועוד דטביעות עין מהני לכו"ע</w:t>
      </w:r>
      <w:r w:rsidRPr="007119D6">
        <w:rPr>
          <w:rFonts w:ascii="Narkisim" w:hAnsi="Narkisim"/>
        </w:rPr>
        <w:t>.</w:t>
      </w:r>
    </w:p>
  </w:footnote>
  <w:footnote w:id="8244">
    <w:p w14:paraId="74A8937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ע"ע ש"ש (ז יג והלאה) וע' מה שהביא המגיה לריטב”א</w:t>
      </w:r>
      <w:r w:rsidRPr="007119D6">
        <w:rPr>
          <w:rFonts w:ascii="Narkisim" w:hAnsi="Narkisim"/>
        </w:rPr>
        <w:t>.</w:t>
      </w:r>
    </w:p>
    <w:p w14:paraId="022E7A8D"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פח בליקוט) כת' דר"ת איירי בטביעות עין ע"י סימנין שאינן מובהקין. ואילו דבסימנים מובהקין לכו"ע מהני עי”ז טביעות עין. והגר"א ביאר דסימן שאינו מבהק לחוד ודאי ל"מ. ול"ש במציאות טביעות עין בגוף אלא ע"י סימנים, דל”ש להכיר הגוף היטיב אם לא ע"י סימנין. והעיקר דר"ת איירי היכא דע"י סימנים שאינן מובהקין יש טביעות עין</w:t>
      </w:r>
      <w:r w:rsidRPr="007119D6">
        <w:rPr>
          <w:rFonts w:ascii="Narkisim" w:hAnsi="Narkisim"/>
        </w:rPr>
        <w:t>.</w:t>
      </w:r>
    </w:p>
  </w:footnote>
  <w:footnote w:id="8245">
    <w:p w14:paraId="4C2034C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ותוס' דימו דברי ר"ת היכא דשהה ג' ימים, לחשש בדדמי [אף לאלתר] בסוגיה דהתם</w:t>
      </w:r>
      <w:r w:rsidRPr="007119D6">
        <w:rPr>
          <w:rFonts w:ascii="Narkisim" w:hAnsi="Narkisim"/>
        </w:rPr>
        <w:t>.</w:t>
      </w:r>
    </w:p>
  </w:footnote>
  <w:footnote w:id="8246">
    <w:p w14:paraId="0A95DA6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דב</w:t>
      </w:r>
      <w:r w:rsidRPr="007119D6">
        <w:rPr>
          <w:rFonts w:ascii="Narkisim" w:hAnsi="Narkisim"/>
          <w:b/>
          <w:bCs/>
          <w:rtl/>
        </w:rPr>
        <w:t>מדרש</w:t>
      </w:r>
      <w:r w:rsidRPr="007119D6">
        <w:rPr>
          <w:rFonts w:ascii="Narkisim" w:hAnsi="Narkisim"/>
          <w:rtl/>
        </w:rPr>
        <w:t xml:space="preserve"> (בראשית רבה תולדות סה כ, ויצא עג ה, בהר לג ה, ובירושלמי כאן) הו' מעשה שהעמידו עליהם שומרים ג' ימים עד שנתקלקלה צורתן [שלא יוכלו להתיר נשותיהם]</w:t>
      </w:r>
      <w:r w:rsidRPr="007119D6">
        <w:rPr>
          <w:rFonts w:ascii="Narkisim" w:hAnsi="Narkisim"/>
        </w:rPr>
        <w:t>.</w:t>
      </w:r>
    </w:p>
  </w:footnote>
  <w:footnote w:id="8247">
    <w:p w14:paraId="31E7F0D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ולהך תי' עיקר סברת ר"ת דכיון שהם סבורים שמכירין אותו, אין לנו לומר שטועים. [וי"ל דאף סו"ד התוס' בספק ג' ימים, כיון דהוא מעיד שראה די בכך]</w:t>
      </w:r>
      <w:r w:rsidRPr="007119D6">
        <w:rPr>
          <w:rFonts w:ascii="Narkisim" w:hAnsi="Narkisim"/>
        </w:rPr>
        <w:t>.</w:t>
      </w:r>
    </w:p>
  </w:footnote>
  <w:footnote w:id="8248">
    <w:p w14:paraId="2A10338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דוקא נחבל הפרצוף, אבל פנים שלימות מהני אף לאחר ג' ימים. [וכטעם האחרון של ר"ת, ותוס' נסתפקו רק בטעם הראשון]</w:t>
      </w:r>
      <w:r w:rsidRPr="007119D6">
        <w:rPr>
          <w:rFonts w:ascii="Narkisim" w:hAnsi="Narkisim"/>
        </w:rPr>
        <w:t>.</w:t>
      </w:r>
    </w:p>
  </w:footnote>
  <w:footnote w:id="8249">
    <w:p w14:paraId="4A9511A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יל"פ דע"י ההכרה אמרי' דודאי הוה תוך ג', וכמ"ש הראשונים</w:t>
      </w:r>
      <w:r w:rsidRPr="007119D6">
        <w:rPr>
          <w:rFonts w:ascii="Narkisim" w:hAnsi="Narkisim"/>
        </w:rPr>
        <w:t>.</w:t>
      </w:r>
    </w:p>
  </w:footnote>
  <w:footnote w:id="8250">
    <w:p w14:paraId="53D28D6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דכיון שמכירין אותו אמרי' דמסתמא חזקה שזה הוא, כיון שבדקוהו והכירוהו בטביעות העין [ואין אנו יודעין אם נתפח אם לא ואם נשתנית צורתו אם לא], אלא היכא דידעינן שעברו ג' ימים חששו חכמים בדבר שמא נתפח ונשתנית צורתו</w:t>
      </w:r>
      <w:r w:rsidRPr="007119D6">
        <w:rPr>
          <w:rFonts w:ascii="Narkisim" w:hAnsi="Narkisim"/>
        </w:rPr>
        <w:t>.</w:t>
      </w:r>
    </w:p>
  </w:footnote>
  <w:footnote w:id="8251">
    <w:p w14:paraId="4F86A30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הביא ה</w:t>
      </w:r>
      <w:r w:rsidRPr="007119D6">
        <w:rPr>
          <w:rFonts w:ascii="Narkisim" w:hAnsi="Narkisim"/>
          <w:b/>
          <w:bCs/>
          <w:rtl/>
        </w:rPr>
        <w:t>גר"א</w:t>
      </w:r>
      <w:r w:rsidRPr="007119D6">
        <w:rPr>
          <w:rFonts w:ascii="Narkisim" w:hAnsi="Narkisim"/>
          <w:rtl/>
        </w:rPr>
        <w:t xml:space="preserve"> (יז צז) דהסברא דמהני מספק דכיון שמכירין אותו מסתמא חזקה שזהו, אלא שחששו חכמים שמא נשתנית צורתו וה"ל ספיקא דרבנן ולקולא. ואידך מ”ד ס”ל דהוה ספק דאורייתא</w:t>
      </w:r>
      <w:r w:rsidRPr="007119D6">
        <w:rPr>
          <w:rFonts w:ascii="Narkisim" w:hAnsi="Narkisim"/>
        </w:rPr>
        <w:t>.</w:t>
      </w:r>
    </w:p>
  </w:footnote>
  <w:footnote w:id="8252">
    <w:p w14:paraId="7B29D0E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כט, הו' בפתח"ת קכב) כת' דהיכא דיש ג"כ סימנים הוה רק חשש דרבנן, ומש"ה אף דהוה ספק אי עבר ג' ימים מותרת</w:t>
      </w:r>
      <w:r w:rsidRPr="007119D6">
        <w:rPr>
          <w:rFonts w:ascii="Narkisim" w:hAnsi="Narkisim"/>
        </w:rPr>
        <w:t>.</w:t>
      </w:r>
    </w:p>
  </w:footnote>
  <w:footnote w:id="8253">
    <w:p w14:paraId="0E40546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מהרי"ט </w:t>
      </w:r>
      <w:r w:rsidRPr="007119D6">
        <w:rPr>
          <w:rFonts w:ascii="Narkisim" w:hAnsi="Narkisim"/>
          <w:rtl/>
        </w:rPr>
        <w:t>(קלט, ב לה) הביא דמהר"י אשכנזי הגיה כן במשניות 'אין מעידין לאחר ג' ימים'. וכתב דכ"ה בירושלמי. והגיר' במשנה ב</w:t>
      </w:r>
      <w:r w:rsidRPr="007119D6">
        <w:rPr>
          <w:rFonts w:ascii="Narkisim" w:hAnsi="Narkisim"/>
          <w:b/>
          <w:bCs/>
          <w:rtl/>
        </w:rPr>
        <w:t>ירושלמי</w:t>
      </w:r>
      <w:r w:rsidRPr="007119D6">
        <w:rPr>
          <w:rFonts w:ascii="Narkisim" w:hAnsi="Narkisim"/>
          <w:rtl/>
        </w:rPr>
        <w:t xml:space="preserve"> (דידן) אין מעידין אלא לאחר ג' ימים. והירושלמי פי' כיני מתני' אלא עד לאחר ג' ימים</w:t>
      </w:r>
      <w:r w:rsidRPr="007119D6">
        <w:rPr>
          <w:rFonts w:ascii="Narkisim" w:hAnsi="Narkisim"/>
        </w:rPr>
        <w:t>.</w:t>
      </w:r>
    </w:p>
    <w:p w14:paraId="54F30AFF"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w:t>
      </w:r>
      <w:r w:rsidRPr="007119D6">
        <w:rPr>
          <w:rFonts w:ascii="Narkisim" w:hAnsi="Narkisim"/>
          <w:b/>
          <w:bCs/>
          <w:rtl/>
        </w:rPr>
        <w:t>רע"א</w:t>
      </w:r>
      <w:r w:rsidRPr="007119D6">
        <w:rPr>
          <w:rFonts w:ascii="Narkisim" w:hAnsi="Narkisim"/>
          <w:rtl/>
        </w:rPr>
        <w:t xml:space="preserve"> ציין דב</w:t>
      </w:r>
      <w:r w:rsidRPr="007119D6">
        <w:rPr>
          <w:rFonts w:ascii="Narkisim" w:hAnsi="Narkisim"/>
          <w:b/>
          <w:bCs/>
          <w:rtl/>
        </w:rPr>
        <w:t>מדרש</w:t>
      </w:r>
      <w:r w:rsidRPr="007119D6">
        <w:rPr>
          <w:rFonts w:ascii="Narkisim" w:hAnsi="Narkisim"/>
          <w:rtl/>
        </w:rPr>
        <w:t xml:space="preserve"> (ויקרא רבה יח) הו' משנתינו בנוסח דאין מעידים לאחר ג' ימים. ואילו ב</w:t>
      </w:r>
      <w:r w:rsidRPr="007119D6">
        <w:rPr>
          <w:rFonts w:ascii="Narkisim" w:hAnsi="Narkisim"/>
          <w:b/>
          <w:bCs/>
          <w:rtl/>
        </w:rPr>
        <w:t>מדרש</w:t>
      </w:r>
      <w:r w:rsidRPr="007119D6">
        <w:rPr>
          <w:rFonts w:ascii="Narkisim" w:hAnsi="Narkisim"/>
          <w:rtl/>
        </w:rPr>
        <w:t xml:space="preserve"> (שם פרשה לג, ובראשית רבה סה עג) איתא הנוסחא אלא עד ג' ימים. [ולפנינו שם אי' אלא לאחר, וכוונת רע"א להגיה כירושלמי]</w:t>
      </w:r>
      <w:r w:rsidRPr="007119D6">
        <w:rPr>
          <w:rFonts w:ascii="Narkisim" w:hAnsi="Narkisim"/>
        </w:rPr>
        <w:t>.</w:t>
      </w:r>
    </w:p>
  </w:footnote>
  <w:footnote w:id="8254">
    <w:p w14:paraId="0AF9C41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משמע שהכריע להקל. אבל ה</w:t>
      </w:r>
      <w:r w:rsidRPr="007119D6">
        <w:rPr>
          <w:rFonts w:ascii="Narkisim" w:hAnsi="Narkisim"/>
          <w:b/>
          <w:bCs/>
          <w:rtl/>
        </w:rPr>
        <w:t>ריב"ש</w:t>
      </w:r>
      <w:r w:rsidRPr="007119D6">
        <w:rPr>
          <w:rFonts w:ascii="Narkisim" w:hAnsi="Narkisim"/>
          <w:rtl/>
        </w:rPr>
        <w:t xml:space="preserve"> (שעט) הביא בשם הרשב"א דספק ג' ימים אסורה</w:t>
      </w:r>
      <w:r w:rsidRPr="007119D6">
        <w:rPr>
          <w:rFonts w:ascii="Narkisim" w:hAnsi="Narkisim"/>
        </w:rPr>
        <w:t>.</w:t>
      </w:r>
    </w:p>
    <w:p w14:paraId="2AE4459A"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שו"ע</w:t>
      </w:r>
      <w:r w:rsidRPr="007119D6">
        <w:rPr>
          <w:rFonts w:ascii="Narkisim" w:hAnsi="Narkisim"/>
          <w:rtl/>
        </w:rPr>
        <w:t xml:space="preserve"> (יז כז) הביא מח' בזה. אך ה</w:t>
      </w:r>
      <w:r w:rsidRPr="007119D6">
        <w:rPr>
          <w:rFonts w:ascii="Narkisim" w:hAnsi="Narkisim"/>
          <w:b/>
          <w:bCs/>
          <w:rtl/>
        </w:rPr>
        <w:t xml:space="preserve">רמ"א </w:t>
      </w:r>
      <w:r w:rsidRPr="007119D6">
        <w:rPr>
          <w:rFonts w:ascii="Narkisim" w:hAnsi="Narkisim"/>
          <w:rtl/>
        </w:rPr>
        <w:t>(שם כו, בשם הריב”ש הנ”ל) כת' דהיכא דהוה ספק אם נשתהא [לאחר שיצא מהמים, כדלקמן קכא.] אזלי' לחומרא, ואפי' נשאת תצא. ומשמע דחמיר מספק ג' ימים [ואף דהריב"ש דימה לג' ימים]. וע"ע בפוסקים שם</w:t>
      </w:r>
      <w:r w:rsidRPr="007119D6">
        <w:rPr>
          <w:rFonts w:ascii="Narkisim" w:hAnsi="Narkisim"/>
        </w:rPr>
        <w:t>.</w:t>
      </w:r>
    </w:p>
  </w:footnote>
  <w:footnote w:id="8255">
    <w:p w14:paraId="124EF4F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אלא כיון שמצאוהו מת אית לן לומר שמתחלתו היה מת</w:t>
      </w:r>
      <w:r w:rsidRPr="007119D6">
        <w:rPr>
          <w:rFonts w:ascii="Narkisim" w:hAnsi="Narkisim"/>
        </w:rPr>
        <w:t>.</w:t>
      </w:r>
    </w:p>
  </w:footnote>
  <w:footnote w:id="8256">
    <w:p w14:paraId="7A18A7A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ועוד כת' דיש חזקת אשת איש כנגד חזקת החיים. [ואף דל"ש חזקת אשת איש להעיד שמת יותר מוקדם, אלא דמהני להכריע שהמת הזה אינו בעלה]</w:t>
      </w:r>
      <w:r w:rsidRPr="007119D6">
        <w:rPr>
          <w:rFonts w:ascii="Narkisim" w:hAnsi="Narkisim"/>
        </w:rPr>
        <w:t>.</w:t>
      </w:r>
    </w:p>
  </w:footnote>
  <w:footnote w:id="8257">
    <w:p w14:paraId="1EE3CE0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ומשמע דכוונתו דכיון דאין אנו מכירין אותו ל"ש חזקת חיים</w:t>
      </w:r>
      <w:r w:rsidRPr="007119D6">
        <w:rPr>
          <w:rFonts w:ascii="Narkisim" w:hAnsi="Narkisim"/>
        </w:rPr>
        <w:t>.</w:t>
      </w:r>
    </w:p>
  </w:footnote>
  <w:footnote w:id="8258">
    <w:p w14:paraId="2463331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(שם) דן אי שייך לנידון חזקה שלא נתבררה [ע' תוס' חולין יא. ד”ה אתיא מפרה]. אך דחה דל"ש לכאן</w:t>
      </w:r>
      <w:r w:rsidRPr="007119D6">
        <w:rPr>
          <w:rFonts w:ascii="Narkisim" w:hAnsi="Narkisim"/>
        </w:rPr>
        <w:t>.</w:t>
      </w:r>
    </w:p>
  </w:footnote>
  <w:footnote w:id="8259">
    <w:p w14:paraId="0CACBA3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ב</w:t>
      </w:r>
      <w:r w:rsidRPr="007119D6">
        <w:rPr>
          <w:rFonts w:ascii="Narkisim" w:hAnsi="Narkisim"/>
          <w:b/>
          <w:bCs/>
          <w:rtl/>
        </w:rPr>
        <w:t>הג' ברוך טעם</w:t>
      </w:r>
      <w:r w:rsidRPr="007119D6">
        <w:rPr>
          <w:rFonts w:ascii="Narkisim" w:hAnsi="Narkisim"/>
          <w:rtl/>
        </w:rPr>
        <w:t xml:space="preserve"> (לנוב"י) תי' דכל החזקות שהולכין אחריהם הוא בדבר שאנו דנין עליו. והביא ראיה שהשולח גט ממדה"י שנותנין בחזקת שהוא חי אף לזמן מרובה. ואף כשנודע שמתו אנשים ישראלים במקום הבעל, ולא חיישי' שהבעל הוא הנפטר. עכ"ז נותנים הגט להאשה בחזקת שבעלה חי, כי עליו אנו דנין וחזקת חיים שלו לא איתרע</w:t>
      </w:r>
      <w:r w:rsidRPr="007119D6">
        <w:rPr>
          <w:rFonts w:ascii="Narkisim" w:hAnsi="Narkisim"/>
        </w:rPr>
        <w:t>.</w:t>
      </w:r>
    </w:p>
    <w:p w14:paraId="5970081F" w14:textId="77777777" w:rsidR="006C4368" w:rsidRPr="007119D6" w:rsidRDefault="006C4368" w:rsidP="006C4368">
      <w:pPr>
        <w:pStyle w:val="Footnote"/>
        <w:bidi/>
        <w:rPr>
          <w:rFonts w:ascii="Narkisim" w:hAnsi="Narkisim"/>
        </w:rPr>
      </w:pPr>
      <w:r w:rsidRPr="007119D6">
        <w:rPr>
          <w:rFonts w:ascii="Narkisim" w:hAnsi="Narkisim"/>
        </w:rPr>
        <w:tab/>
        <w:t>[</w:t>
      </w:r>
      <w:r w:rsidRPr="007119D6">
        <w:rPr>
          <w:rFonts w:ascii="Narkisim" w:hAnsi="Narkisim"/>
          <w:rtl/>
        </w:rPr>
        <w:t>אך משמע דכוונת הברוך טעם ליישב קו' הנוב”י על הבי”ש, ועיקר הישוב דתולים שאדם אחר מת, ואדם זה אינו לפנינו</w:t>
      </w:r>
      <w:r w:rsidRPr="007119D6">
        <w:rPr>
          <w:rFonts w:ascii="Narkisim" w:hAnsi="Narkisim"/>
        </w:rPr>
        <w:t>].</w:t>
      </w:r>
    </w:p>
  </w:footnote>
  <w:footnote w:id="8260">
    <w:p w14:paraId="39F4860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וכגון חזקת הנגע אף דהשתא חסר לפניך אמרינן דקודם זה היה בחזקתו, והשתא חסר. וכיון שאנו דנין על שעת ההסגר אמרינן דאז היה בחזקתו</w:t>
      </w:r>
      <w:r w:rsidRPr="007119D6">
        <w:rPr>
          <w:rFonts w:ascii="Narkisim" w:hAnsi="Narkisim"/>
        </w:rPr>
        <w:t>.</w:t>
      </w:r>
    </w:p>
  </w:footnote>
  <w:footnote w:id="8261">
    <w:p w14:paraId="74C74CB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דהוה כעין שכת' תוס' (חולין דחזקה שלא נתבררה בשעתה לא אזלינן בתרה ואף על גב דהשתא איגלאי מלתא למפרע דאותה שעה כשרה היתה</w:t>
      </w:r>
    </w:p>
  </w:footnote>
  <w:footnote w:id="8262">
    <w:p w14:paraId="1CD6872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וסיים אך הוא דבר מחודש אצלי ועדיין לא הבאתיו בכור המבחן וצ"ע עוד</w:t>
      </w:r>
      <w:r w:rsidRPr="007119D6">
        <w:rPr>
          <w:rFonts w:ascii="Narkisim" w:hAnsi="Narkisim"/>
        </w:rPr>
        <w:t>.</w:t>
      </w:r>
    </w:p>
  </w:footnote>
  <w:footnote w:id="8263">
    <w:p w14:paraId="6D0AF2F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אבנ"נ</w:t>
      </w:r>
      <w:r w:rsidRPr="007119D6">
        <w:rPr>
          <w:rFonts w:ascii="Narkisim" w:hAnsi="Narkisim"/>
          <w:rtl/>
        </w:rPr>
        <w:t xml:space="preserve"> כת' דתינוק שנולד ביה"ש דערב שבת, לא אמרי' דחזקת מעוברת מכריע שהלידה היתה בשבת, למול בשבת. דאף דמוקמי' אחזקה שלא נולד קודם, אבל ל"מ לקבוע שהיה לידה של שבת</w:t>
      </w:r>
      <w:r w:rsidRPr="007119D6">
        <w:rPr>
          <w:rFonts w:ascii="Narkisim" w:hAnsi="Narkisim"/>
        </w:rPr>
        <w:t>.</w:t>
      </w:r>
    </w:p>
  </w:footnote>
  <w:footnote w:id="8264">
    <w:p w14:paraId="5819240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והאבנ"נ ציין דמדברי ה</w:t>
      </w:r>
      <w:r w:rsidRPr="007119D6">
        <w:rPr>
          <w:rFonts w:ascii="Narkisim" w:hAnsi="Narkisim"/>
          <w:b/>
          <w:bCs/>
          <w:rtl/>
        </w:rPr>
        <w:t>ט"ז</w:t>
      </w:r>
      <w:r w:rsidRPr="007119D6">
        <w:rPr>
          <w:rFonts w:ascii="Narkisim" w:hAnsi="Narkisim"/>
          <w:rtl/>
        </w:rPr>
        <w:t xml:space="preserve"> (יו"ד שצז) יש סתירה לדבריו. [ועוד דן בזה בדברי התוס' כתובות ט. ואכמ"ל]</w:t>
      </w:r>
      <w:r w:rsidRPr="007119D6">
        <w:rPr>
          <w:rFonts w:ascii="Narkisim" w:hAnsi="Narkisim"/>
        </w:rPr>
        <w:t>.</w:t>
      </w:r>
    </w:p>
  </w:footnote>
  <w:footnote w:id="8265">
    <w:p w14:paraId="5789445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ולא מוציאין את ראובן מחזקת חיים משום דאף לשמעון יש חזקת חיים. ובפרט דאותו שני שאנו אומרים שמת אינו לפנינו, ואין אנו דנים עליו</w:t>
      </w:r>
      <w:r w:rsidRPr="007119D6">
        <w:rPr>
          <w:rFonts w:ascii="Narkisim" w:hAnsi="Narkisim"/>
        </w:rPr>
        <w:t>.</w:t>
      </w:r>
    </w:p>
  </w:footnote>
  <w:footnote w:id="8266">
    <w:p w14:paraId="481099B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רש"י</w:t>
      </w:r>
      <w:r w:rsidRPr="007119D6">
        <w:rPr>
          <w:rFonts w:ascii="Narkisim" w:hAnsi="Narkisim"/>
          <w:rtl/>
        </w:rPr>
        <w:t xml:space="preserve"> (בכורות מו:) כת' דפשטיה דקרא בנואפים כתיב, דהכרת פני הוולדות ענתה בנואפים. שהקב"ה צר את הממזר בצורת פני המנאף. [ו</w:t>
      </w:r>
      <w:r w:rsidRPr="007119D6">
        <w:rPr>
          <w:rFonts w:ascii="Narkisim" w:hAnsi="Narkisim"/>
          <w:b/>
          <w:bCs/>
          <w:rtl/>
        </w:rPr>
        <w:t>רש"י</w:t>
      </w:r>
      <w:r w:rsidRPr="007119D6">
        <w:rPr>
          <w:rFonts w:ascii="Narkisim" w:hAnsi="Narkisim"/>
          <w:rtl/>
        </w:rPr>
        <w:t xml:space="preserve"> (ישעיה ג ט) כת' פי' נוספים לפשטיה דקרא]</w:t>
      </w:r>
      <w:r w:rsidRPr="007119D6">
        <w:rPr>
          <w:rFonts w:ascii="Narkisim" w:hAnsi="Narkisim"/>
        </w:rPr>
        <w:t>.</w:t>
      </w:r>
    </w:p>
  </w:footnote>
  <w:footnote w:id="8267">
    <w:p w14:paraId="3FE6244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(צא) ביאר דכי הקילו בסופו, פי' אחר שנחקר העדות יפה בטביעות עין. אבל בתחלה פי' בגוף העדות לא הקילו. והביא דדוקא בעדים הקילו, ולא בגופו של עדות</w:t>
      </w:r>
      <w:r w:rsidRPr="007119D6">
        <w:rPr>
          <w:rFonts w:ascii="Narkisim" w:hAnsi="Narkisim"/>
        </w:rPr>
        <w:t>.</w:t>
      </w:r>
    </w:p>
    <w:p w14:paraId="7B0B6C7F"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והמרדכי כת' דה"נ מוכח כולה שמעתא דתלינן לחומרא, דאמרי' (לעיל קיד:) ודלמא דאיכא דעבד לה סמתרי וחיי. ואמרי' (לעיל קטו.) כי היכי דלדידך איתרחיש ניסא וכו'. ואמרי' נמי (שם) אימור איניש אחרינא אתי לאצולי וכו'. וכן (לקמן קכא.) מים שאין להם סוף שמא עלה מצד אחר. [יל"ד אי יש ללמוד מדברי המרדכי דכל הנך הוה חומרא מדרבנן]</w:t>
      </w:r>
      <w:r w:rsidRPr="007119D6">
        <w:rPr>
          <w:rFonts w:ascii="Narkisim" w:hAnsi="Narkisim"/>
        </w:rPr>
        <w:t>.</w:t>
      </w:r>
    </w:p>
  </w:footnote>
  <w:footnote w:id="8268">
    <w:p w14:paraId="004E2BC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ופעמים קוראים להם 'מובהקים', ופעמים נקרא אינו מובהק, ביחס לסימן מובהק</w:t>
      </w:r>
      <w:r w:rsidRPr="007119D6">
        <w:rPr>
          <w:rFonts w:ascii="Narkisim" w:hAnsi="Narkisim"/>
        </w:rPr>
        <w:t>.</w:t>
      </w:r>
    </w:p>
  </w:footnote>
  <w:footnote w:id="8269">
    <w:p w14:paraId="51F1B9C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ראב"ד</w:t>
      </w:r>
      <w:r w:rsidRPr="007119D6">
        <w:rPr>
          <w:rFonts w:ascii="Narkisim" w:hAnsi="Narkisim"/>
          <w:rtl/>
        </w:rPr>
        <w:t xml:space="preserve"> (בשיטמ"ק שם כז:) הק' דאי סימנים דרבנן מנ"ל דמחזירין ע"פ סימנים מובהקים. ותי' דדרשי' עד דרוש אחיך אותו. ואף למ"ד דהך דרישה בעדים, ה"מ במי שהוא חשש רמאי. אבל במי שמוחזק שאינו רמאי מחזירין. [וצ"ע בכוונתו]</w:t>
      </w:r>
      <w:r w:rsidRPr="007119D6">
        <w:rPr>
          <w:rFonts w:ascii="Narkisim" w:hAnsi="Narkisim"/>
        </w:rPr>
        <w:t>.</w:t>
      </w:r>
    </w:p>
    <w:p w14:paraId="4170A3EB"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ועפ"ז כת' הראב"ד דודאי ילפי' מדרשיהו סימנים, אלא דהספק אי הנך סימנים מובהקים או לא. וכת' אכתי אינו מחוור כלל. וכת' דאף אי סימנים לאו דאורייתא תקנו דמהני בגט ומשום עיגונא. [ויש שפי' דכוונתו דלמ"ד סימנים לאו דאורייתא תקנו דמהני סימנים מובהקים מדרבנן. אבל סימנים בינונים תקנו רק באבידה]</w:t>
      </w:r>
      <w:r w:rsidRPr="007119D6">
        <w:rPr>
          <w:rFonts w:ascii="Narkisim" w:hAnsi="Narkisim"/>
        </w:rPr>
        <w:t>.</w:t>
      </w:r>
    </w:p>
  </w:footnote>
  <w:footnote w:id="8270">
    <w:p w14:paraId="194D3F1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ולא איצטריך קרא להחזיר ע"פ עדים</w:t>
      </w:r>
      <w:r w:rsidRPr="007119D6">
        <w:rPr>
          <w:rFonts w:ascii="Narkisim" w:hAnsi="Narkisim"/>
        </w:rPr>
        <w:t>.</w:t>
      </w:r>
    </w:p>
  </w:footnote>
  <w:footnote w:id="8271">
    <w:p w14:paraId="4379611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 xml:space="preserve">פתח"ת </w:t>
      </w:r>
      <w:r w:rsidRPr="007119D6">
        <w:rPr>
          <w:rFonts w:ascii="Narkisim" w:hAnsi="Narkisim"/>
          <w:rtl/>
        </w:rPr>
        <w:t>(קג) הביא בשם ר' דניאל דה"מ כשיש ספק לפנינו היכן בעלה. אבל אם מקודם לא היה לנו שום ספק מיתה על בעלה, וכגון בא' שהלך למרחקים ע"ד שלא לשוב מהר, ושוב נמצא א' שמת, אפשר דאין מתירין אפי' ע"י סימן מובהק</w:t>
      </w:r>
      <w:r w:rsidRPr="007119D6">
        <w:rPr>
          <w:rFonts w:ascii="Narkisim" w:hAnsi="Narkisim"/>
        </w:rPr>
        <w:t>.</w:t>
      </w:r>
    </w:p>
  </w:footnote>
  <w:footnote w:id="8272">
    <w:p w14:paraId="228DA69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ובמשנה (שם) ילפי' משמלה דיש לו תובעים, לאפוקי נתייאשו הבעלים. [אך תוס' (שם) הביאו דבירושלמי אי' דילפי' יאוש מ'אשר תאבד ממנו', שמצויה אצל כל אדם</w:t>
      </w:r>
      <w:r w:rsidRPr="007119D6">
        <w:rPr>
          <w:rFonts w:ascii="Narkisim" w:hAnsi="Narkisim"/>
        </w:rPr>
        <w:t>.</w:t>
      </w:r>
    </w:p>
  </w:footnote>
  <w:footnote w:id="8273">
    <w:p w14:paraId="2F3D9BE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ולשון </w:t>
      </w:r>
      <w:r w:rsidRPr="007119D6">
        <w:rPr>
          <w:rFonts w:ascii="Narkisim" w:hAnsi="Narkisim"/>
          <w:b/>
          <w:bCs/>
          <w:rtl/>
        </w:rPr>
        <w:t>רש"י</w:t>
      </w:r>
      <w:r w:rsidRPr="007119D6">
        <w:rPr>
          <w:rFonts w:ascii="Narkisim" w:hAnsi="Narkisim"/>
          <w:rtl/>
        </w:rPr>
        <w:t xml:space="preserve"> (חולין עט:) נהי דעבוד רבנן תקנתא בממונא, באיסורא מי מצו מתקני</w:t>
      </w:r>
      <w:r w:rsidRPr="007119D6">
        <w:rPr>
          <w:rFonts w:ascii="Narkisim" w:hAnsi="Narkisim"/>
        </w:rPr>
        <w:t>.</w:t>
      </w:r>
    </w:p>
  </w:footnote>
  <w:footnote w:id="8274">
    <w:p w14:paraId="699359C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פנ"י</w:t>
      </w:r>
      <w:r w:rsidRPr="007119D6">
        <w:rPr>
          <w:rFonts w:ascii="Narkisim" w:hAnsi="Narkisim"/>
          <w:rtl/>
        </w:rPr>
        <w:t xml:space="preserve"> (שם) והקצות כת' דלפ"ז ל"מ אף סימן מובהק ממש. אבל האחרונים (פרי יצחק ב נו, קה"י ב"מ כט ועוד) הביאו דהראשונים כת' דסימן מובהק ודאי מהני. ולא חיישינן דלמא משקר</w:t>
      </w:r>
      <w:r w:rsidRPr="007119D6">
        <w:rPr>
          <w:rFonts w:ascii="Narkisim" w:hAnsi="Narkisim"/>
        </w:rPr>
        <w:t>.</w:t>
      </w:r>
    </w:p>
  </w:footnote>
  <w:footnote w:id="8275">
    <w:p w14:paraId="54E7946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והביאו דכ"כ ה</w:t>
      </w:r>
      <w:r w:rsidRPr="007119D6">
        <w:rPr>
          <w:rFonts w:ascii="Narkisim" w:hAnsi="Narkisim"/>
          <w:b/>
          <w:bCs/>
          <w:rtl/>
        </w:rPr>
        <w:t>רמב”ן</w:t>
      </w:r>
      <w:r w:rsidRPr="007119D6">
        <w:rPr>
          <w:rFonts w:ascii="Narkisim" w:hAnsi="Narkisim"/>
          <w:rtl/>
        </w:rPr>
        <w:t xml:space="preserve"> (חולין עט: הו' בסמוך) דהא דמדאורייתא אין מחזירין אבידה בסימנין דלמא מחזא חזא א"נ כסומא בארובה</w:t>
      </w:r>
      <w:r w:rsidRPr="007119D6">
        <w:rPr>
          <w:rFonts w:ascii="Narkisim" w:hAnsi="Narkisim"/>
        </w:rPr>
        <w:t>.</w:t>
      </w:r>
    </w:p>
  </w:footnote>
  <w:footnote w:id="8276">
    <w:p w14:paraId="533562A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ומש"ה אמרו נפק"מ להדורי גט. ולא אמרו נפק"מ להשיא אשה, או שאר איסורין</w:t>
      </w:r>
      <w:r w:rsidRPr="007119D6">
        <w:rPr>
          <w:rFonts w:ascii="Narkisim" w:hAnsi="Narkisim"/>
        </w:rPr>
        <w:t>.</w:t>
      </w:r>
    </w:p>
  </w:footnote>
  <w:footnote w:id="8277">
    <w:p w14:paraId="42175B3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בגמ' (ב"מ כ:) אי' היכי פשיט איסורא מממונא. [אך בפשוטו התם הנידון משום חומרא דרבנן. וכ"כ תוס' שם]</w:t>
      </w:r>
      <w:r w:rsidRPr="007119D6">
        <w:rPr>
          <w:rFonts w:ascii="Narkisim" w:hAnsi="Narkisim"/>
        </w:rPr>
        <w:t>.</w:t>
      </w:r>
    </w:p>
  </w:footnote>
  <w:footnote w:id="8278">
    <w:p w14:paraId="15133B0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ויל”ד דנימא דבהשבת אבידה מתקיים גדרי 'עד דרוש', ול”מ להוצאת ממון. וצ”ל דמ”מ עכ”פ צריך בירור כמו לענין איסורין</w:t>
      </w:r>
      <w:r w:rsidRPr="007119D6">
        <w:rPr>
          <w:rFonts w:ascii="Narkisim" w:hAnsi="Narkisim"/>
        </w:rPr>
        <w:t>].</w:t>
      </w:r>
    </w:p>
  </w:footnote>
  <w:footnote w:id="8279">
    <w:p w14:paraId="1DCD350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דל"ד להתם דבמה שהתורה זיכתה לאב להפרת נדרים אין ללמוד לדבר אחר</w:t>
      </w:r>
      <w:r w:rsidRPr="007119D6">
        <w:rPr>
          <w:rFonts w:ascii="Narkisim" w:hAnsi="Narkisim"/>
        </w:rPr>
        <w:t>.</w:t>
      </w:r>
    </w:p>
  </w:footnote>
  <w:footnote w:id="8280">
    <w:p w14:paraId="6478C03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לברר איזה פרידה נולדה מאם חמורה ואיזה אמה סוסה [למ"ד אין חוששין לזרע האב]</w:t>
      </w:r>
      <w:r w:rsidRPr="007119D6">
        <w:rPr>
          <w:rFonts w:ascii="Narkisim" w:hAnsi="Narkisim"/>
        </w:rPr>
        <w:t>.</w:t>
      </w:r>
    </w:p>
  </w:footnote>
  <w:footnote w:id="8281">
    <w:p w14:paraId="0773A47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תוס' הרא"ש </w:t>
      </w:r>
      <w:r w:rsidRPr="007119D6">
        <w:rPr>
          <w:rFonts w:ascii="Narkisim" w:hAnsi="Narkisim"/>
          <w:rtl/>
        </w:rPr>
        <w:t>(חולין עט:) כת' דסימני תולדות הטבע לפעמים משתנים, וקמ"ל סימנין הללו אינם משתנים ויש לסמוך עליהן</w:t>
      </w:r>
      <w:r w:rsidRPr="007119D6">
        <w:rPr>
          <w:rFonts w:ascii="Narkisim" w:hAnsi="Narkisim"/>
        </w:rPr>
        <w:t>.</w:t>
      </w:r>
    </w:p>
  </w:footnote>
  <w:footnote w:id="8282">
    <w:p w14:paraId="7A78A3C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ופ</w:t>
      </w:r>
      <w:r w:rsidRPr="007119D6">
        <w:rPr>
          <w:rFonts w:ascii="Narkisim" w:hAnsi="Narkisim"/>
          <w:b/>
          <w:bCs/>
          <w:rtl/>
        </w:rPr>
        <w:t>רש"י</w:t>
      </w:r>
      <w:r w:rsidRPr="007119D6">
        <w:rPr>
          <w:rFonts w:ascii="Narkisim" w:hAnsi="Narkisim"/>
          <w:rtl/>
        </w:rPr>
        <w:t xml:space="preserve"> הנך סימני ביצים [כודרת עגולגולת ראשה א' כד הם ביצים טהורים] לאו הלכה למשה מסיני נינהו, ולא סמכי' עלייהו. [וכן חולין נט. יש אריכות בסימני בהמות ועופות]. {וי"ל דדעת רש"י דסימני מין טומאה וטהרה נמסר בהלכה למשה מסיני. אבל סימני פרידה אינם הלכות, אלא סברא דתלי' שהיא דומה לאמה. ודמי לסימני אבידה, דלא חיישי' דאיתרמי שיש שינוי}</w:t>
      </w:r>
      <w:r w:rsidRPr="007119D6">
        <w:rPr>
          <w:rFonts w:ascii="Narkisim" w:hAnsi="Narkisim"/>
        </w:rPr>
        <w:t>.</w:t>
      </w:r>
    </w:p>
  </w:footnote>
  <w:footnote w:id="8283">
    <w:p w14:paraId="012FAE2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ואפשר דסומא בארובה הוה כעין אתרמי, שינחש כסימן זו. ומש"ה תלי' בנידון סימנים. [ויל"ד בסברת מחזי חזא]</w:t>
      </w:r>
      <w:r w:rsidRPr="007119D6">
        <w:rPr>
          <w:rFonts w:ascii="Narkisim" w:hAnsi="Narkisim"/>
        </w:rPr>
        <w:t>}.</w:t>
      </w:r>
    </w:p>
  </w:footnote>
  <w:footnote w:id="8284">
    <w:p w14:paraId="1D391C7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ונקט דהשבת אבידה נחשב כעין הוצאת ממון. ואכמ"ל</w:t>
      </w:r>
      <w:r w:rsidRPr="007119D6">
        <w:rPr>
          <w:rFonts w:ascii="Narkisim" w:hAnsi="Narkisim"/>
        </w:rPr>
        <w:t>].</w:t>
      </w:r>
    </w:p>
  </w:footnote>
  <w:footnote w:id="8285">
    <w:p w14:paraId="33058BD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ומשמע ב</w:t>
      </w:r>
      <w:r w:rsidRPr="007119D6">
        <w:rPr>
          <w:rFonts w:ascii="Narkisim" w:hAnsi="Narkisim"/>
          <w:b/>
          <w:bCs/>
          <w:rtl/>
        </w:rPr>
        <w:t>תוס' רא"ש</w:t>
      </w:r>
      <w:r w:rsidRPr="007119D6">
        <w:rPr>
          <w:rFonts w:ascii="Narkisim" w:hAnsi="Narkisim"/>
          <w:rtl/>
        </w:rPr>
        <w:t xml:space="preserve"> דבאיסור בעלמא כו"ע מודו דמהני סימנים, אף מדאורייתא. [והא דהיתר אשה תלי בסימנים דאורייתא י"ל דדרשי' דבר דבר מממון. א"נ דהוה כנגד חזקת אשת איש, ומש"ה דמי להוצאת ממון]. ועד"ז כת' ה</w:t>
      </w:r>
      <w:r w:rsidRPr="007119D6">
        <w:rPr>
          <w:rFonts w:ascii="Narkisim" w:hAnsi="Narkisim"/>
          <w:b/>
          <w:bCs/>
          <w:rtl/>
        </w:rPr>
        <w:t>נוב"י</w:t>
      </w:r>
      <w:r w:rsidRPr="007119D6">
        <w:rPr>
          <w:rFonts w:ascii="Narkisim" w:hAnsi="Narkisim"/>
          <w:rtl/>
        </w:rPr>
        <w:t xml:space="preserve"> (ק לא) [בדעת רש"י]</w:t>
      </w:r>
      <w:r w:rsidRPr="007119D6">
        <w:rPr>
          <w:rFonts w:ascii="Narkisim" w:hAnsi="Narkisim"/>
        </w:rPr>
        <w:t>.</w:t>
      </w:r>
    </w:p>
  </w:footnote>
  <w:footnote w:id="8286">
    <w:p w14:paraId="76D3C76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תוס'</w:t>
      </w:r>
      <w:r w:rsidRPr="007119D6">
        <w:rPr>
          <w:rFonts w:ascii="Narkisim" w:hAnsi="Narkisim"/>
          <w:rtl/>
        </w:rPr>
        <w:t xml:space="preserve"> (שם ד"ה ולא) כת' דהנידון שם בטביעות עין כל דהו</w:t>
      </w:r>
      <w:r w:rsidRPr="007119D6">
        <w:rPr>
          <w:rFonts w:ascii="Narkisim" w:hAnsi="Narkisim"/>
        </w:rPr>
        <w:t>.</w:t>
      </w:r>
    </w:p>
    <w:p w14:paraId="3595DDBA"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ר"ן</w:t>
      </w:r>
      <w:r w:rsidRPr="007119D6">
        <w:rPr>
          <w:rFonts w:ascii="Narkisim" w:hAnsi="Narkisim"/>
          <w:rtl/>
        </w:rPr>
        <w:t xml:space="preserve"> (שם לד. בדה"ר) הביא דברי התוס' דאיירי בטביעות עין שאינו גמור של ת”ח. אלא כעין טביעות עין דעם הארץ. [ואף דיש לעם הארץ טביעות עין, מ"מ הוה טביעות עין גרוע]. וה</w:t>
      </w:r>
      <w:r w:rsidRPr="007119D6">
        <w:rPr>
          <w:rFonts w:ascii="Narkisim" w:hAnsi="Narkisim"/>
          <w:b/>
          <w:bCs/>
          <w:rtl/>
        </w:rPr>
        <w:t>ריטב"א</w:t>
      </w:r>
      <w:r w:rsidRPr="007119D6">
        <w:rPr>
          <w:rFonts w:ascii="Narkisim" w:hAnsi="Narkisim"/>
          <w:rtl/>
        </w:rPr>
        <w:t xml:space="preserve"> (שם) כת' בשם </w:t>
      </w:r>
      <w:r w:rsidRPr="007119D6">
        <w:rPr>
          <w:rFonts w:ascii="Narkisim" w:hAnsi="Narkisim"/>
          <w:b/>
          <w:bCs/>
          <w:rtl/>
        </w:rPr>
        <w:t>תוס</w:t>
      </w:r>
      <w:r w:rsidRPr="007119D6">
        <w:rPr>
          <w:rFonts w:ascii="Narkisim" w:hAnsi="Narkisim"/>
          <w:rtl/>
        </w:rPr>
        <w:t>' דס"ד דמהני רק טביעות עין דיש צד סימן, אבל בטביעות עינא גרוע אפילו לצורבא מדרבנן לא מהדרינן</w:t>
      </w:r>
      <w:r w:rsidRPr="007119D6">
        <w:rPr>
          <w:rFonts w:ascii="Narkisim" w:hAnsi="Narkisim"/>
        </w:rPr>
        <w:t>.</w:t>
      </w:r>
    </w:p>
  </w:footnote>
  <w:footnote w:id="8287">
    <w:p w14:paraId="5167EAE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(שם) כת' דסלקא דעתא [דהגמ' חולין שם] דצורבא מרבנן פקיע וחכם בכל מילי טפי משאר אינשי, ומש"ה יש לו טביעות עין. אבל למסקנא (שם) אף בשאר בני אדם יש טביעות עין, אלא דחיישי' שמשקר. [וכמ"ש תוס' כאן ד"ה מצאו]</w:t>
      </w:r>
      <w:r w:rsidRPr="007119D6">
        <w:rPr>
          <w:rFonts w:ascii="Narkisim" w:hAnsi="Narkisim"/>
        </w:rPr>
        <w:t>.</w:t>
      </w:r>
    </w:p>
  </w:footnote>
  <w:footnote w:id="8288">
    <w:p w14:paraId="1AAAB06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ופ</w:t>
      </w:r>
      <w:r w:rsidRPr="007119D6">
        <w:rPr>
          <w:rFonts w:ascii="Narkisim" w:hAnsi="Narkisim"/>
          <w:b/>
          <w:bCs/>
          <w:rtl/>
        </w:rPr>
        <w:t>רש"י</w:t>
      </w:r>
      <w:r w:rsidRPr="007119D6">
        <w:rPr>
          <w:rFonts w:ascii="Narkisim" w:hAnsi="Narkisim"/>
          <w:rtl/>
        </w:rPr>
        <w:t xml:space="preserve"> דל"מ טביעות עין באבידה דחיישי' שמשקר משום חימוד ממון</w:t>
      </w:r>
      <w:r w:rsidRPr="007119D6">
        <w:rPr>
          <w:rFonts w:ascii="Narkisim" w:hAnsi="Narkisim"/>
        </w:rPr>
        <w:t>.</w:t>
      </w:r>
    </w:p>
  </w:footnote>
  <w:footnote w:id="8289">
    <w:p w14:paraId="213F14A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דאל"כ האיך סומא מותר באשתו, וכן כל אדם בלילה. אלא ע"י טביעות עינא דקול</w:t>
      </w:r>
      <w:r w:rsidRPr="007119D6">
        <w:rPr>
          <w:rFonts w:ascii="Narkisim" w:hAnsi="Narkisim"/>
        </w:rPr>
        <w:t>.</w:t>
      </w:r>
    </w:p>
  </w:footnote>
  <w:footnote w:id="8290">
    <w:p w14:paraId="0C07EFF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ושמא בשעה שהשני קידשה היה הבעל הראשון קיים, ואח"כ מת. וא"כ היתה פנויה בשעת זנות</w:t>
      </w:r>
      <w:r w:rsidRPr="007119D6">
        <w:rPr>
          <w:rFonts w:ascii="Narkisim" w:hAnsi="Narkisim"/>
        </w:rPr>
        <w:t>.</w:t>
      </w:r>
    </w:p>
  </w:footnote>
  <w:footnote w:id="8291">
    <w:p w14:paraId="278E5B8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פרמ"ג</w:t>
      </w:r>
      <w:r w:rsidRPr="007119D6">
        <w:rPr>
          <w:rFonts w:ascii="Narkisim" w:hAnsi="Narkisim"/>
          <w:rtl/>
        </w:rPr>
        <w:t xml:space="preserve"> (כלל טביעת עין, אחרי יו”ד קיא) תמה שתהא אשה נשואה, ואם זינתה אין חיוב מיתה</w:t>
      </w:r>
      <w:r w:rsidRPr="007119D6">
        <w:rPr>
          <w:rFonts w:ascii="Narkisim" w:hAnsi="Narkisim"/>
        </w:rPr>
        <w:t>.</w:t>
      </w:r>
    </w:p>
    <w:p w14:paraId="1B5B3B9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והפרמ”ג כת' דהעולה מדברי התוס' דע"י סימנים, ואף מובהקים ביותר, אין לגרוע כלל כח החזקה. ומש"ה ל"מ סימנים לקטול נפשא או להוציא ממון מיד המוחזק. ודוקא באבידה דאין חזקה</w:t>
      </w:r>
      <w:r w:rsidRPr="007119D6">
        <w:rPr>
          <w:rFonts w:ascii="Narkisim" w:hAnsi="Narkisim"/>
        </w:rPr>
        <w:t>.</w:t>
      </w:r>
    </w:p>
  </w:footnote>
  <w:footnote w:id="8292">
    <w:p w14:paraId="1609E40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רע"א (חולין שם), שמעתתא (ד ט בשם אחיו), חמד"ש ועוד</w:t>
      </w:r>
      <w:r w:rsidRPr="007119D6">
        <w:rPr>
          <w:rFonts w:ascii="Narkisim" w:hAnsi="Narkisim"/>
        </w:rPr>
        <w:t>.</w:t>
      </w:r>
    </w:p>
  </w:footnote>
  <w:footnote w:id="8293">
    <w:p w14:paraId="147CAD2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(ד ח,ט) כת' כעי"ז גבי רוב, דלא מהני בנפשות, ודוקא היכא דבא קודם המעשה [והוכרע על גוף הדבר], עי"ז מהני בנפשות. והוסיף דסימנים לא עדיף מרוב [והאחרונים דנו אי סימנים עדיפי מרוב, ואכמ"ל]</w:t>
      </w:r>
      <w:r w:rsidRPr="007119D6">
        <w:rPr>
          <w:rFonts w:ascii="Narkisim" w:hAnsi="Narkisim"/>
        </w:rPr>
        <w:t>.</w:t>
      </w:r>
    </w:p>
    <w:p w14:paraId="0E0C03F2"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w:t>
      </w:r>
      <w:r w:rsidRPr="007119D6">
        <w:rPr>
          <w:rFonts w:ascii="Narkisim" w:hAnsi="Narkisim"/>
          <w:b/>
          <w:bCs/>
          <w:rtl/>
        </w:rPr>
        <w:t>רע"א</w:t>
      </w:r>
      <w:r w:rsidRPr="007119D6">
        <w:rPr>
          <w:rFonts w:ascii="Narkisim" w:hAnsi="Narkisim"/>
          <w:rtl/>
        </w:rPr>
        <w:t xml:space="preserve"> (ס"ס קז, הו' בחי' חולין שם) כת' דכל דאנו דנין ומחליטין אותה לאשת איש, עי"ז מי שבא עליה מקרי בא על א"א, אף אם קמי שמיא גליא דהיא אינה א"א, מ"מ התורה צוותה שלא לבא על אשה שאנו מחזיקין לודאי לאשת איש, והעובר ע"ז חייב מיתה</w:t>
      </w:r>
      <w:r w:rsidRPr="007119D6">
        <w:rPr>
          <w:rFonts w:ascii="Narkisim" w:hAnsi="Narkisim"/>
        </w:rPr>
        <w:t>.</w:t>
      </w:r>
    </w:p>
  </w:footnote>
  <w:footnote w:id="8294">
    <w:p w14:paraId="7E000CA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 מש"כ ה</w:t>
      </w:r>
      <w:r w:rsidRPr="007119D6">
        <w:rPr>
          <w:rFonts w:ascii="Narkisim" w:hAnsi="Narkisim"/>
          <w:b/>
          <w:bCs/>
          <w:rtl/>
        </w:rPr>
        <w:t>רי"ף</w:t>
      </w:r>
      <w:r w:rsidRPr="007119D6">
        <w:rPr>
          <w:rFonts w:ascii="Narkisim" w:hAnsi="Narkisim"/>
          <w:rtl/>
        </w:rPr>
        <w:t xml:space="preserve"> (לעיל לט:, יג. בדה"ר) גבי אשתמדועינהו דאפי' עד פסול סגי לברר על היבם [קודם חליצה], דהוה גילוי מילתא בעלמא. ועוד ציין רע"א (חולין שם) לדברי ה</w:t>
      </w:r>
      <w:r w:rsidRPr="007119D6">
        <w:rPr>
          <w:rFonts w:ascii="Narkisim" w:hAnsi="Narkisim"/>
          <w:b/>
          <w:bCs/>
          <w:rtl/>
        </w:rPr>
        <w:t>רמב"ם</w:t>
      </w:r>
      <w:r w:rsidRPr="007119D6">
        <w:rPr>
          <w:rFonts w:ascii="Narkisim" w:hAnsi="Narkisim"/>
          <w:rtl/>
        </w:rPr>
        <w:t xml:space="preserve"> (סנהדרין טז) דע”א העיד על חתיכה שהוא חלב, ושוב אכלו אחר לוקה עליו. כיון דהוחזק ע”פ העד. ורע”א כת' דתוס' (הנ”ל) פליגי. [אך יש אחרונים שדנו לחלק בין חיוב מלקות לחיוב מיתה. ואכמ"ל]</w:t>
      </w:r>
      <w:r w:rsidRPr="007119D6">
        <w:rPr>
          <w:rFonts w:ascii="Narkisim" w:hAnsi="Narkisim"/>
        </w:rPr>
        <w:t>.</w:t>
      </w:r>
    </w:p>
  </w:footnote>
  <w:footnote w:id="8295">
    <w:p w14:paraId="62F2C6F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שואל</w:t>
      </w:r>
      <w:r w:rsidRPr="007119D6">
        <w:rPr>
          <w:rFonts w:ascii="Narkisim" w:hAnsi="Narkisim"/>
          <w:rtl/>
        </w:rPr>
        <w:t xml:space="preserve"> בשו"ת רע"א כת' דכיון דכתיב ע"פ שנים עדים יקום, ממעטי' דלא מהני ע"פ סימנים. דסימנים גריעי מעדים. ו</w:t>
      </w:r>
      <w:r w:rsidRPr="007119D6">
        <w:rPr>
          <w:rFonts w:ascii="Narkisim" w:hAnsi="Narkisim"/>
          <w:b/>
          <w:bCs/>
          <w:rtl/>
        </w:rPr>
        <w:t>רע"א</w:t>
      </w:r>
      <w:r w:rsidRPr="007119D6">
        <w:rPr>
          <w:rFonts w:ascii="Narkisim" w:hAnsi="Narkisim"/>
          <w:rtl/>
        </w:rPr>
        <w:t xml:space="preserve"> דחה דלא כתוב האיך ידעי' העדים, ונימא דידעי ע"פ הסימנין. וכת' דיש לתקן דבריו ע"ד זה</w:t>
      </w:r>
      <w:r w:rsidRPr="007119D6">
        <w:rPr>
          <w:rFonts w:ascii="Narkisim" w:hAnsi="Narkisim"/>
        </w:rPr>
        <w:t>.</w:t>
      </w:r>
    </w:p>
  </w:footnote>
  <w:footnote w:id="8296">
    <w:p w14:paraId="16C829F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ותוס' הק' דמחזירין שטר ע"פ סימנים (כדאי' ב”מ כ.), ואף שמוציאין ממון ע"פ. ותי' דבשטר אין אדם מוחזק לומר שהוא שלו</w:t>
      </w:r>
      <w:r w:rsidRPr="007119D6">
        <w:rPr>
          <w:rFonts w:ascii="Narkisim" w:hAnsi="Narkisim"/>
        </w:rPr>
        <w:t>.</w:t>
      </w:r>
    </w:p>
  </w:footnote>
  <w:footnote w:id="8297">
    <w:p w14:paraId="17FF4EC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ריטב"א</w:t>
      </w:r>
      <w:r w:rsidRPr="007119D6">
        <w:rPr>
          <w:rFonts w:ascii="Narkisim" w:hAnsi="Narkisim"/>
          <w:rtl/>
        </w:rPr>
        <w:t xml:space="preserve"> (כתובות פה:, הו' בקצות רצז א) דלא אשכחן דמהני סימנא להוציא ממון מרשות המוחזק. ולא הוזכר אלא לגבי מציאה בלחוד שהתופס בה אין לו בה שום זכייה, אלא שבא לזכות בה מדין מציאה ויאוש בעלים. וכי איכא סימן ליכא יאוש בעלים</w:t>
      </w:r>
      <w:r w:rsidRPr="007119D6">
        <w:rPr>
          <w:rFonts w:ascii="Narkisim" w:hAnsi="Narkisim"/>
        </w:rPr>
        <w:t>.</w:t>
      </w:r>
    </w:p>
  </w:footnote>
  <w:footnote w:id="8298">
    <w:p w14:paraId="387D5AB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וילפי' דבר שבערוה, דבר דבר מממון. וכיון דל"מ להוציא ממון האיך מהני להוציא אשה</w:t>
      </w:r>
      <w:r w:rsidRPr="007119D6">
        <w:rPr>
          <w:rFonts w:ascii="Narkisim" w:hAnsi="Narkisim"/>
        </w:rPr>
        <w:t>.</w:t>
      </w:r>
    </w:p>
  </w:footnote>
  <w:footnote w:id="8299">
    <w:p w14:paraId="3C0F04F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כת' דהא דאי' דלא קטלינן ליה איירי היכא דהוא מכחיש, וטוען ברי. והוסיף דאף היכא דאינו מכחיש הוה התראת ספק. ואכמ"ל</w:t>
      </w:r>
      <w:r w:rsidRPr="007119D6">
        <w:rPr>
          <w:rFonts w:ascii="Narkisim" w:hAnsi="Narkisim"/>
        </w:rPr>
        <w:t>].</w:t>
      </w:r>
    </w:p>
  </w:footnote>
  <w:footnote w:id="8300">
    <w:p w14:paraId="273D43D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דלא מהני סימנים להוציא ממוחזק, היכא דהמוחזק טוען ברי. [דילפי' סימנים מאבידה, והתם אינו מוציא]</w:t>
      </w:r>
      <w:r w:rsidRPr="007119D6">
        <w:rPr>
          <w:rFonts w:ascii="Narkisim" w:hAnsi="Narkisim"/>
        </w:rPr>
        <w:t>.</w:t>
      </w:r>
    </w:p>
  </w:footnote>
  <w:footnote w:id="8301">
    <w:p w14:paraId="745FF14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קובה"ע</w:t>
      </w:r>
      <w:r w:rsidRPr="007119D6">
        <w:rPr>
          <w:rFonts w:ascii="Narkisim" w:hAnsi="Narkisim"/>
          <w:rtl/>
        </w:rPr>
        <w:t xml:space="preserve"> (עז י) הביא דדעת ה</w:t>
      </w:r>
      <w:r w:rsidRPr="007119D6">
        <w:rPr>
          <w:rFonts w:ascii="Narkisim" w:hAnsi="Narkisim"/>
          <w:b/>
          <w:bCs/>
          <w:rtl/>
        </w:rPr>
        <w:t>ריטב"א</w:t>
      </w:r>
      <w:r w:rsidRPr="007119D6">
        <w:rPr>
          <w:rFonts w:ascii="Narkisim" w:hAnsi="Narkisim"/>
          <w:rtl/>
        </w:rPr>
        <w:t xml:space="preserve"> (גיטין כז.) דל"מ עד א' באבידה, ומבואר בדעתו דמהני סימנין אפי' במקום דבעינן עדים. ועוד הביא דהצד (ע”פ הסוגיה לעיל קטו: הנ”ל) דמהני סימנים להוציא ממון מהמוחזק</w:t>
      </w:r>
      <w:r w:rsidRPr="007119D6">
        <w:rPr>
          <w:rFonts w:ascii="Narkisim" w:hAnsi="Narkisim"/>
        </w:rPr>
        <w:t>.</w:t>
      </w:r>
    </w:p>
  </w:footnote>
  <w:footnote w:id="8302">
    <w:p w14:paraId="1FB84C1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ועד"ז כת' </w:t>
      </w:r>
      <w:r w:rsidRPr="007119D6">
        <w:rPr>
          <w:rFonts w:ascii="Narkisim" w:hAnsi="Narkisim"/>
          <w:b/>
          <w:bCs/>
          <w:rtl/>
        </w:rPr>
        <w:t>רע"א</w:t>
      </w:r>
      <w:r w:rsidRPr="007119D6">
        <w:rPr>
          <w:rFonts w:ascii="Narkisim" w:hAnsi="Narkisim"/>
          <w:rtl/>
        </w:rPr>
        <w:t xml:space="preserve"> (חולין שם) דכיון דחזינן שמת איש א', וע"כ יצא א' מחזקת חיים. ותלינן ע"פ סימנים שזהו איש זה. ולא נחשב דמהני סימנים להוציא דבר מחזקתו. אבל רע"א הק' דבאופן דידעינן דא' מת ממ"נ, וכגון היכא דראינו שראובן טבע [במים שאין להם סוף], ואח"כ ראו שיצא א' מצד אחר, ומת שם. והכירו ע"פ סימנים שהוא שמעון, משיאין את אשתו. ואף דכה"ג ממילא ידעי' דא' מת. וע"י סימנים מוסיפים לדון דעוד א' מת. וצ"ע</w:t>
      </w:r>
      <w:r w:rsidRPr="007119D6">
        <w:rPr>
          <w:rFonts w:ascii="Narkisim" w:hAnsi="Narkisim"/>
        </w:rPr>
        <w:t>.</w:t>
      </w:r>
    </w:p>
  </w:footnote>
  <w:footnote w:id="8303">
    <w:p w14:paraId="7C4D099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 הא דכת' ה</w:t>
      </w:r>
      <w:r w:rsidRPr="007119D6">
        <w:rPr>
          <w:rFonts w:ascii="Narkisim" w:hAnsi="Narkisim"/>
          <w:b/>
          <w:bCs/>
          <w:rtl/>
        </w:rPr>
        <w:t>רי"ף</w:t>
      </w:r>
      <w:r w:rsidRPr="007119D6">
        <w:rPr>
          <w:rFonts w:ascii="Narkisim" w:hAnsi="Narkisim"/>
          <w:rtl/>
        </w:rPr>
        <w:t xml:space="preserve"> (לעיל לט:) דאשתמודעינהו ונאמן עד א' להכיר מי היבם דהוה גילוי מילתא, ועי"ז מהני לחליצה. וכן בגט מהני סימנים לברר שהוא גט שלו, ועי"ז מהני לגרש בו</w:t>
      </w:r>
      <w:r w:rsidRPr="007119D6">
        <w:rPr>
          <w:rFonts w:ascii="Narkisim" w:hAnsi="Narkisim"/>
        </w:rPr>
        <w:t>.</w:t>
      </w:r>
    </w:p>
  </w:footnote>
  <w:footnote w:id="8304">
    <w:p w14:paraId="3274E46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אבה"ע</w:t>
      </w:r>
      <w:r w:rsidRPr="007119D6">
        <w:rPr>
          <w:rFonts w:ascii="Narkisim" w:hAnsi="Narkisim"/>
          <w:rtl/>
        </w:rPr>
        <w:t xml:space="preserve"> הביא כן מהגמ' (ב"מ כד:) דמהני סימנים בספק יין דנכרי, וע”כ דאף למ”ד סימנים דרבנן מהני באיסור דרבנן. וה</w:t>
      </w:r>
      <w:r w:rsidRPr="007119D6">
        <w:rPr>
          <w:rFonts w:ascii="Narkisim" w:hAnsi="Narkisim"/>
          <w:b/>
          <w:bCs/>
          <w:rtl/>
        </w:rPr>
        <w:t>ריטב"א ישנים</w:t>
      </w:r>
      <w:r w:rsidRPr="007119D6">
        <w:rPr>
          <w:rFonts w:ascii="Narkisim" w:hAnsi="Narkisim"/>
          <w:rtl/>
        </w:rPr>
        <w:t xml:space="preserve"> (שם כג:) הק' עד"ז האיך מהני סימן בבשר שנתעלם מהעין, ותי' דבשר שנתעלם מהעין הוה חומרא בעלמא. [ויש </w:t>
      </w:r>
      <w:r w:rsidRPr="007119D6">
        <w:rPr>
          <w:rFonts w:ascii="Narkisim" w:hAnsi="Narkisim"/>
          <w:b/>
          <w:bCs/>
          <w:rtl/>
        </w:rPr>
        <w:t>אחרונים</w:t>
      </w:r>
      <w:r w:rsidRPr="007119D6">
        <w:rPr>
          <w:rFonts w:ascii="Narkisim" w:hAnsi="Narkisim"/>
          <w:rtl/>
        </w:rPr>
        <w:t xml:space="preserve"> שהביאו מדבריו דמהני סימנים באיסור דרבנן. אבל ה</w:t>
      </w:r>
      <w:r w:rsidRPr="007119D6">
        <w:rPr>
          <w:rFonts w:ascii="Narkisim" w:hAnsi="Narkisim"/>
          <w:b/>
          <w:bCs/>
          <w:rtl/>
        </w:rPr>
        <w:t>ש"ש</w:t>
      </w:r>
      <w:r w:rsidRPr="007119D6">
        <w:rPr>
          <w:rFonts w:ascii="Narkisim" w:hAnsi="Narkisim"/>
          <w:rtl/>
        </w:rPr>
        <w:t xml:space="preserve"> (ז כג) דייק דדוקא משום דהוה 'חומרא', ואילו איסור דרבנן גמור לא מהני]</w:t>
      </w:r>
      <w:r w:rsidRPr="007119D6">
        <w:rPr>
          <w:rFonts w:ascii="Narkisim" w:hAnsi="Narkisim"/>
        </w:rPr>
        <w:t>.</w:t>
      </w:r>
    </w:p>
    <w:p w14:paraId="496A3BDF"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גינת ורדים</w:t>
      </w:r>
      <w:r w:rsidRPr="007119D6">
        <w:rPr>
          <w:rFonts w:ascii="Narkisim" w:hAnsi="Narkisim"/>
          <w:rtl/>
        </w:rPr>
        <w:t xml:space="preserve"> (יו"ד כלל א כז) דחה [דביין נסך] איירי בסימן מובהק ביותר. ו</w:t>
      </w:r>
      <w:r w:rsidRPr="007119D6">
        <w:rPr>
          <w:rFonts w:ascii="Narkisim" w:hAnsi="Narkisim"/>
          <w:b/>
          <w:bCs/>
          <w:rtl/>
        </w:rPr>
        <w:t>רע"א</w:t>
      </w:r>
      <w:r w:rsidRPr="007119D6">
        <w:rPr>
          <w:rFonts w:ascii="Narkisim" w:hAnsi="Narkisim"/>
          <w:rtl/>
        </w:rPr>
        <w:t xml:space="preserve"> כת' דסתם יינם לא חשיב עיקרו דאורייתא</w:t>
      </w:r>
      <w:r w:rsidRPr="007119D6">
        <w:rPr>
          <w:rFonts w:ascii="Narkisim" w:hAnsi="Narkisim"/>
        </w:rPr>
        <w:t>.</w:t>
      </w:r>
    </w:p>
  </w:footnote>
  <w:footnote w:id="8305">
    <w:p w14:paraId="0B87C3A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והביאו דכ"כ בשו"ת הרא"ש (ב טז)</w:t>
      </w:r>
      <w:r w:rsidRPr="007119D6">
        <w:rPr>
          <w:rFonts w:ascii="Narkisim" w:hAnsi="Narkisim"/>
        </w:rPr>
        <w:t>.</w:t>
      </w:r>
    </w:p>
  </w:footnote>
  <w:footnote w:id="8306">
    <w:p w14:paraId="726A089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פנים מאירות</w:t>
      </w:r>
      <w:r w:rsidRPr="007119D6">
        <w:rPr>
          <w:rFonts w:ascii="Narkisim" w:hAnsi="Narkisim"/>
          <w:rtl/>
        </w:rPr>
        <w:t xml:space="preserve"> הביא מקורו מדברי ה</w:t>
      </w:r>
      <w:r w:rsidRPr="007119D6">
        <w:rPr>
          <w:rFonts w:ascii="Narkisim" w:hAnsi="Narkisim"/>
          <w:b/>
          <w:bCs/>
          <w:rtl/>
        </w:rPr>
        <w:t>נמוק"י</w:t>
      </w:r>
      <w:r w:rsidRPr="007119D6">
        <w:rPr>
          <w:rFonts w:ascii="Narkisim" w:hAnsi="Narkisim"/>
          <w:rtl/>
        </w:rPr>
        <w:t xml:space="preserve"> (לעיל קטו: מב: בדה"ר) שכת' דמהני סימן, כדרך שמחזירין אבידה. משמע דסגי בסימן בינוני. אך הש"ש דחה דלעולם איירי בסימן מובהק ממש [וכמ”ש הנמוק”י כאן ולקמן קכא. מה: בדה”ר], אלא דכוונתו שמתירים ע"פ סימן מוצנע, במה שהעד מכוון לסימן [וע"ד דברי הרמב"ן לעיל קטו:]. [והמהרח"ש כבר עמד בסתירת דברי הנמוק"י בזה. וע"ע פנ"מ]</w:t>
      </w:r>
      <w:r w:rsidRPr="007119D6">
        <w:rPr>
          <w:rFonts w:ascii="Narkisim" w:hAnsi="Narkisim"/>
        </w:rPr>
        <w:t>.</w:t>
      </w:r>
    </w:p>
  </w:footnote>
  <w:footnote w:id="8307">
    <w:p w14:paraId="68D7FBF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והגמ' דנה דיש לדחות דרשיהו בעדים</w:t>
      </w:r>
      <w:r w:rsidRPr="007119D6">
        <w:rPr>
          <w:rFonts w:ascii="Narkisim" w:hAnsi="Narkisim"/>
        </w:rPr>
        <w:t>.</w:t>
      </w:r>
    </w:p>
  </w:footnote>
  <w:footnote w:id="8308">
    <w:p w14:paraId="40EA29A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שה</w:t>
      </w:r>
      <w:r w:rsidRPr="007119D6">
        <w:rPr>
          <w:rFonts w:ascii="Narkisim" w:hAnsi="Narkisim"/>
          <w:b/>
          <w:bCs/>
          <w:rtl/>
        </w:rPr>
        <w:t>רמב"ם</w:t>
      </w:r>
      <w:r w:rsidRPr="007119D6">
        <w:rPr>
          <w:rFonts w:ascii="Narkisim" w:hAnsi="Narkisim"/>
          <w:rtl/>
        </w:rPr>
        <w:t xml:space="preserve"> סיים והמדה או משקל או מנין או מקום האבידה הוה סימנים מובהקים. אבל ה</w:t>
      </w:r>
      <w:r w:rsidRPr="007119D6">
        <w:rPr>
          <w:rFonts w:ascii="Narkisim" w:hAnsi="Narkisim"/>
          <w:b/>
          <w:bCs/>
          <w:rtl/>
        </w:rPr>
        <w:t>כס"מ</w:t>
      </w:r>
      <w:r w:rsidRPr="007119D6">
        <w:rPr>
          <w:rFonts w:ascii="Narkisim" w:hAnsi="Narkisim"/>
          <w:rtl/>
        </w:rPr>
        <w:t xml:space="preserve"> (אבידה) נדחק דהרמב"ם קאי אסימנין מובהקים ממש [דהוה דאורייתא]. דהא הרמב”ם ס”ל דל"מ [והרמב"ם קאי לצדדים, אף דלהחזרת אבידה קאי במובהקים קצת דהוה סימנים בינונים כגון מדה וכו']</w:t>
      </w:r>
      <w:r w:rsidRPr="007119D6">
        <w:rPr>
          <w:rFonts w:ascii="Narkisim" w:hAnsi="Narkisim"/>
        </w:rPr>
        <w:t>.</w:t>
      </w:r>
    </w:p>
  </w:footnote>
  <w:footnote w:id="8309">
    <w:p w14:paraId="724C5C8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שהרמב"ם כת' אף שיש להם סימנין בגופו ובכליו</w:t>
      </w:r>
      <w:r w:rsidRPr="007119D6">
        <w:rPr>
          <w:rFonts w:ascii="Narkisim" w:hAnsi="Narkisim"/>
        </w:rPr>
        <w:t>.</w:t>
      </w:r>
    </w:p>
  </w:footnote>
  <w:footnote w:id="8310">
    <w:p w14:paraId="7686B31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דלענין ממון אם העידו העדים בדברים שחזקתן למיתה נוחלין ע”פ</w:t>
      </w:r>
      <w:r w:rsidRPr="007119D6">
        <w:rPr>
          <w:rFonts w:ascii="Narkisim" w:hAnsi="Narkisim"/>
        </w:rPr>
        <w:t>.</w:t>
      </w:r>
    </w:p>
  </w:footnote>
  <w:footnote w:id="8311">
    <w:p w14:paraId="2891193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והקצות כזה דאין לומר דהרמב"ם קאי בסימן מובהק ביותר, דהא אפי' בעדות אשה מתירין. וע"כ מיירי מסימן אמצעי</w:t>
      </w:r>
      <w:r w:rsidRPr="007119D6">
        <w:rPr>
          <w:rFonts w:ascii="Narkisim" w:hAnsi="Narkisim"/>
        </w:rPr>
        <w:t>.</w:t>
      </w:r>
    </w:p>
  </w:footnote>
  <w:footnote w:id="8312">
    <w:p w14:paraId="61809B0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שמעתתא</w:t>
      </w:r>
      <w:r w:rsidRPr="007119D6">
        <w:rPr>
          <w:rFonts w:ascii="Narkisim" w:hAnsi="Narkisim"/>
          <w:rtl/>
        </w:rPr>
        <w:t xml:space="preserve"> (ז כג) כתב די"ל דאיירי בהוחזקו ב' יוסף בן שמעון, וכה"ג הוה חשש דאורייתא</w:t>
      </w:r>
      <w:r w:rsidRPr="007119D6">
        <w:rPr>
          <w:rFonts w:ascii="Narkisim" w:hAnsi="Narkisim"/>
        </w:rPr>
        <w:t>.</w:t>
      </w:r>
    </w:p>
    <w:p w14:paraId="1DC781A2"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ומ"מ עד"ז יש להק' ע"פ דברי ה</w:t>
      </w:r>
      <w:r w:rsidRPr="007119D6">
        <w:rPr>
          <w:rFonts w:ascii="Narkisim" w:hAnsi="Narkisim"/>
          <w:b/>
          <w:bCs/>
          <w:rtl/>
        </w:rPr>
        <w:t>חכ"צ</w:t>
      </w:r>
      <w:r w:rsidRPr="007119D6">
        <w:rPr>
          <w:rFonts w:ascii="Narkisim" w:hAnsi="Narkisim"/>
          <w:rtl/>
        </w:rPr>
        <w:t xml:space="preserve"> (קלד, הו' בש”ש ז יט וכ) דב' יוסף בן שמעון הוה כמו סימן. א"כ ב' יב"ש בצירוף סימן אחר יחשב כמו ב' סימנים, לדעת הפוסקים דמהני ב' סימנים. [וע' מה שהו' לעיל]</w:t>
      </w:r>
      <w:r w:rsidRPr="007119D6">
        <w:rPr>
          <w:rFonts w:ascii="Narkisim" w:hAnsi="Narkisim"/>
        </w:rPr>
        <w:t>.</w:t>
      </w:r>
    </w:p>
  </w:footnote>
  <w:footnote w:id="8313">
    <w:p w14:paraId="09C4D88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ראב"ד</w:t>
      </w:r>
      <w:r w:rsidRPr="007119D6">
        <w:rPr>
          <w:rFonts w:ascii="Narkisim" w:hAnsi="Narkisim"/>
          <w:rtl/>
        </w:rPr>
        <w:t xml:space="preserve"> (בשיטמ"ק ב"מ כז:) כת' דאי סימנין דרבנן עבוד רבנן תקנתא דמהני סימנים מובהקים אפי' בגט, דאיבוד וחילוף לא שכיח. ובמיתת האיש נמי משום עגונא דייקא ומנסבא. ובאבידה תקנו אפי' סימן שאינו מובהק. [ומבואר דנקט דמהני סברת חילוף לא שכיח, וסברת עיגונא. אך מ"מ בסימן בינוני לא סגי בהכי]</w:t>
      </w:r>
      <w:r w:rsidRPr="007119D6">
        <w:rPr>
          <w:rFonts w:ascii="Narkisim" w:hAnsi="Narkisim"/>
        </w:rPr>
        <w:t>.</w:t>
      </w:r>
    </w:p>
  </w:footnote>
  <w:footnote w:id="8314">
    <w:p w14:paraId="5FB3811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י"ל דמ"מ סימן מובהק הוה א' מאלף, ולא תלינן באחר. וכיון דחזינן קמן מוכח דלא נשתנה</w:t>
      </w:r>
      <w:r w:rsidRPr="007119D6">
        <w:rPr>
          <w:rFonts w:ascii="Narkisim" w:hAnsi="Narkisim"/>
        </w:rPr>
        <w:t>.</w:t>
      </w:r>
    </w:p>
  </w:footnote>
  <w:footnote w:id="8315">
    <w:p w14:paraId="046D401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וגם חשש מכירה ומתנה סותר לחזקה המרא קמא</w:t>
      </w:r>
      <w:r w:rsidRPr="007119D6">
        <w:rPr>
          <w:rFonts w:ascii="Narkisim" w:hAnsi="Narkisim"/>
        </w:rPr>
        <w:t>.</w:t>
      </w:r>
    </w:p>
  </w:footnote>
  <w:footnote w:id="8316">
    <w:p w14:paraId="6E40137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והנוב"י חידש דהיכא דנפל למים שאין להם סוף, דהוה בירור מדאורייתא שמת, ויצאת מחזקת אשת איש. שוב לא חיישי' לשאלה</w:t>
      </w:r>
      <w:r w:rsidRPr="007119D6">
        <w:rPr>
          <w:rFonts w:ascii="Narkisim" w:hAnsi="Narkisim"/>
        </w:rPr>
        <w:t>.</w:t>
      </w:r>
    </w:p>
  </w:footnote>
  <w:footnote w:id="8317">
    <w:p w14:paraId="2B385C2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ולא אמרי' שמי שנשבע שדבר שהוא ביד חבירו הוא שלו, חזקה שנשבע לשקר (וע' קצות פז כח)</w:t>
      </w:r>
      <w:r w:rsidRPr="007119D6">
        <w:rPr>
          <w:rFonts w:ascii="Narkisim" w:hAnsi="Narkisim"/>
        </w:rPr>
        <w:t xml:space="preserve">.  </w:t>
      </w:r>
    </w:p>
  </w:footnote>
  <w:footnote w:id="8318">
    <w:p w14:paraId="2C352C5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נתיבות</w:t>
      </w:r>
      <w:r w:rsidRPr="007119D6">
        <w:rPr>
          <w:rFonts w:ascii="Narkisim" w:hAnsi="Narkisim"/>
          <w:rtl/>
        </w:rPr>
        <w:t xml:space="preserve"> ביאר דחזקת מה שתח"י הרי היא שלו בעי' תפיסה הראויה לקנין [וכמ"ש </w:t>
      </w:r>
      <w:r w:rsidRPr="007119D6">
        <w:rPr>
          <w:rFonts w:ascii="Narkisim" w:hAnsi="Narkisim"/>
          <w:b/>
          <w:bCs/>
          <w:rtl/>
        </w:rPr>
        <w:t>תוס</w:t>
      </w:r>
      <w:r w:rsidRPr="007119D6">
        <w:rPr>
          <w:rFonts w:ascii="Narkisim" w:hAnsi="Narkisim"/>
          <w:rtl/>
        </w:rPr>
        <w:t>' לעיל ח:, וה</w:t>
      </w:r>
      <w:r w:rsidRPr="007119D6">
        <w:rPr>
          <w:rFonts w:ascii="Narkisim" w:hAnsi="Narkisim"/>
          <w:b/>
          <w:bCs/>
          <w:rtl/>
        </w:rPr>
        <w:t>רמב"ן</w:t>
      </w:r>
      <w:r w:rsidRPr="007119D6">
        <w:rPr>
          <w:rFonts w:ascii="Narkisim" w:hAnsi="Narkisim"/>
          <w:rtl/>
        </w:rPr>
        <w:t xml:space="preserve"> ס' הזכות כתובות פו, הו' לעיל ח:]. ומש"ה דוקא היכא דבא לפנינו בחזקת קנינו. אבל בבגדים שעל המת, הא המת אינו בר קנין, ואין תפיסתו מוכחת</w:t>
      </w:r>
      <w:r w:rsidRPr="007119D6">
        <w:rPr>
          <w:rFonts w:ascii="Narkisim" w:hAnsi="Narkisim"/>
        </w:rPr>
        <w:t>.</w:t>
      </w:r>
    </w:p>
  </w:footnote>
  <w:footnote w:id="8319">
    <w:p w14:paraId="0EF331C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והא דמחזירין הבגדים ליורשים, הוה רק כדין סימן בעלמא כיון דנמצא לבוש בהם</w:t>
      </w:r>
      <w:r w:rsidRPr="007119D6">
        <w:rPr>
          <w:rFonts w:ascii="Narkisim" w:hAnsi="Narkisim"/>
        </w:rPr>
        <w:t>.</w:t>
      </w:r>
    </w:p>
  </w:footnote>
  <w:footnote w:id="8320">
    <w:p w14:paraId="22C9FBF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והעירו על דבריו, דכיון דניכר שהיה לבוש קודם שמת, יחשב שבי"ד ראוהו תפוס קודם מיתה</w:t>
      </w:r>
      <w:r w:rsidRPr="007119D6">
        <w:rPr>
          <w:rFonts w:ascii="Narkisim" w:hAnsi="Narkisim"/>
        </w:rPr>
        <w:t>].</w:t>
      </w:r>
    </w:p>
  </w:footnote>
  <w:footnote w:id="8321">
    <w:p w14:paraId="39D3BD3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צ"ב אמאי לא ניח"ל לגמ' לומר דחיישינן לשאלה מדרבנן, משום חומרא דאשת איש. [וכמו שהחמירו שלא לסמוך על רוב]. וצ"ב דבזה לא מצאנו שהחמירו</w:t>
      </w:r>
      <w:r w:rsidRPr="007119D6">
        <w:rPr>
          <w:rFonts w:ascii="Narkisim" w:hAnsi="Narkisim"/>
        </w:rPr>
        <w:t>.</w:t>
      </w:r>
    </w:p>
  </w:footnote>
  <w:footnote w:id="8322">
    <w:p w14:paraId="0B0EF7A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ומש"כ תוס' אבל קשה, היינו קו' הגמ'. וה</w:t>
      </w:r>
      <w:r w:rsidRPr="007119D6">
        <w:rPr>
          <w:rFonts w:ascii="Narkisim" w:hAnsi="Narkisim"/>
          <w:b/>
          <w:bCs/>
          <w:rtl/>
        </w:rPr>
        <w:t>אחרונים</w:t>
      </w:r>
      <w:r w:rsidRPr="007119D6">
        <w:rPr>
          <w:rFonts w:ascii="Narkisim" w:hAnsi="Narkisim"/>
          <w:rtl/>
        </w:rPr>
        <w:t xml:space="preserve"> הגיהו 'אבל מקשה' או 'אבל קשה ליה'. אבל ה</w:t>
      </w:r>
      <w:r w:rsidRPr="007119D6">
        <w:rPr>
          <w:rFonts w:ascii="Narkisim" w:hAnsi="Narkisim"/>
          <w:b/>
          <w:bCs/>
          <w:rtl/>
        </w:rPr>
        <w:t>גר"א</w:t>
      </w:r>
      <w:r w:rsidRPr="007119D6">
        <w:rPr>
          <w:rFonts w:ascii="Narkisim" w:hAnsi="Narkisim"/>
          <w:rtl/>
        </w:rPr>
        <w:t xml:space="preserve"> (יז פג בליקוט) כת' דלבסוף תוס' הניחו בקו', משמע דהוה קו' של תוס' למ"ד דחיישינן לשאלה. והפתח"ת (צה בסוגריים) תמה בכוונת הגר”א</w:t>
      </w:r>
      <w:r w:rsidRPr="007119D6">
        <w:rPr>
          <w:rFonts w:ascii="Narkisim" w:hAnsi="Narkisim"/>
        </w:rPr>
        <w:t>.</w:t>
      </w:r>
    </w:p>
  </w:footnote>
  <w:footnote w:id="8323">
    <w:p w14:paraId="58402B4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ומש"ה בפירות בכלי [שיש בו סימן] וסימני אוכף אינו רשאי להחזיר לו הפירות והחמור של השואל. [ויל"ד בחמור וכלי שהשאיל לו, וכשאבד שילם דמיהם. האם המוצא רשאי להחזירם למשאיל, דהא הוה שלו. או דצריך לחוש שיבא פסידא לשואל ששילם עליו ועוד דיש בו זכות שימוש. אך ל”מ דהיכא דנגנב מבית שומר צריכים המשאיל והשואל לבא בהרשאה לתבוע את הגנב. ע' ב”ק קח]</w:t>
      </w:r>
      <w:r w:rsidRPr="007119D6">
        <w:rPr>
          <w:rFonts w:ascii="Narkisim" w:hAnsi="Narkisim"/>
        </w:rPr>
        <w:t>.</w:t>
      </w:r>
    </w:p>
  </w:footnote>
  <w:footnote w:id="8324">
    <w:p w14:paraId="30C9C3B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יש לדחות דהגמ' נקטה לשון הברייתא [והגמ' שם דוחה דסימני אוכף אימא עדי אוכף. ויל"פ דהעדים מכירים ע"י הסימנים]</w:t>
      </w:r>
      <w:r w:rsidRPr="007119D6">
        <w:rPr>
          <w:rFonts w:ascii="Narkisim" w:hAnsi="Narkisim"/>
        </w:rPr>
        <w:t>.</w:t>
      </w:r>
    </w:p>
  </w:footnote>
  <w:footnote w:id="8325">
    <w:p w14:paraId="4766642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אבל </w:t>
      </w:r>
      <w:r w:rsidRPr="007119D6">
        <w:rPr>
          <w:rFonts w:ascii="Narkisim" w:hAnsi="Narkisim"/>
          <w:b/>
          <w:bCs/>
          <w:rtl/>
        </w:rPr>
        <w:t>רש"י</w:t>
      </w:r>
      <w:r w:rsidRPr="007119D6">
        <w:rPr>
          <w:rFonts w:ascii="Narkisim" w:hAnsi="Narkisim"/>
          <w:rtl/>
        </w:rPr>
        <w:t xml:space="preserve"> כת' דקי"ל (ב"מ כז.) דמהדרינן. משמע דקו' הגמ' אף למסקנא, ואף לענין ממון</w:t>
      </w:r>
      <w:r w:rsidRPr="007119D6">
        <w:rPr>
          <w:rFonts w:ascii="Narkisim" w:hAnsi="Narkisim"/>
        </w:rPr>
        <w:t>.</w:t>
      </w:r>
    </w:p>
  </w:footnote>
  <w:footnote w:id="8326">
    <w:p w14:paraId="3E1C0A4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תוס' הרא"ש</w:t>
      </w:r>
      <w:r w:rsidRPr="007119D6">
        <w:rPr>
          <w:rFonts w:ascii="Narkisim" w:hAnsi="Narkisim"/>
          <w:rtl/>
        </w:rPr>
        <w:t xml:space="preserve"> (ב"מ כ.) ביאר דאפי' אי מדאורייתא חיישינן לשאלה, מ"מ יכולין לתקן לענין ממון שלא ניחוש. וכמו שתקנו להחזיר ע"י סימנין לצד דסימנין לאו דאורייתא. ותדע מדלא מייתי (כאן) מתני' דמצא פירות בכלי, אלא מקרא דחמור בסימני אוכף</w:t>
      </w:r>
      <w:r w:rsidRPr="007119D6">
        <w:rPr>
          <w:rFonts w:ascii="Narkisim" w:hAnsi="Narkisim"/>
        </w:rPr>
        <w:t>.</w:t>
      </w:r>
    </w:p>
  </w:footnote>
  <w:footnote w:id="8327">
    <w:p w14:paraId="54C1FEE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דנו דבזה”ז יש שאינם מקפידים על הך ניחוש. וב</w:t>
      </w:r>
      <w:r w:rsidRPr="007119D6">
        <w:rPr>
          <w:rFonts w:ascii="Narkisim" w:hAnsi="Narkisim"/>
          <w:b/>
          <w:bCs/>
          <w:rtl/>
        </w:rPr>
        <w:t>שו"ת הב”ח</w:t>
      </w:r>
      <w:r w:rsidRPr="007119D6">
        <w:rPr>
          <w:rFonts w:ascii="Narkisim" w:hAnsi="Narkisim"/>
          <w:rtl/>
        </w:rPr>
        <w:t xml:space="preserve"> (פו הו' בפתח"ת) כת' דאפ”ה אפשר להקל בזה, דאין לנו לחוש לחומרא בדברים המפורשים בתלמוד לקולא, והביאום הטור בפסקיו. עי"ש עוד</w:t>
      </w:r>
      <w:r w:rsidRPr="007119D6">
        <w:rPr>
          <w:rFonts w:ascii="Narkisim" w:hAnsi="Narkisim"/>
        </w:rPr>
        <w:t>.</w:t>
      </w:r>
    </w:p>
  </w:footnote>
  <w:footnote w:id="8328">
    <w:p w14:paraId="315DEDD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 כת' דליכא למימר דהפוסקים השמיטו משום דהחמירו בעדות אשה יותר מאשה להחזיר גט, ודחה דאדרבה הרא"ש (גיטין כז:, הו' לעיל קטו:) כת' דיותר היקילו בעדות אשה מלגבי גט שאבד</w:t>
      </w:r>
      <w:r w:rsidRPr="007119D6">
        <w:rPr>
          <w:rFonts w:ascii="Narkisim" w:hAnsi="Narkisim"/>
        </w:rPr>
        <w:t>.</w:t>
      </w:r>
    </w:p>
  </w:footnote>
  <w:footnote w:id="8329">
    <w:p w14:paraId="7B79405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(ז כב) הביא דכמה </w:t>
      </w:r>
      <w:r w:rsidRPr="007119D6">
        <w:rPr>
          <w:rFonts w:ascii="Narkisim" w:hAnsi="Narkisim"/>
          <w:b/>
          <w:bCs/>
          <w:rtl/>
        </w:rPr>
        <w:t>אחרונים</w:t>
      </w:r>
      <w:r w:rsidRPr="007119D6">
        <w:rPr>
          <w:rFonts w:ascii="Narkisim" w:hAnsi="Narkisim"/>
          <w:rtl/>
        </w:rPr>
        <w:t xml:space="preserve"> תמהו דבעדות אשה ליכא צד נוגע בעדותו, ול"צ מיגו כלל. והש"ש תי' דעיקר כוונת הב"י דהתם איירי שהוא עצמו יודע שלא השאיל, ונאמן במיגו. אבל בעדות אשה העד אינו יודע האם בעליו השאיל</w:t>
      </w:r>
      <w:r w:rsidRPr="007119D6">
        <w:rPr>
          <w:rFonts w:ascii="Narkisim" w:hAnsi="Narkisim"/>
        </w:rPr>
        <w:t>.</w:t>
      </w:r>
    </w:p>
  </w:footnote>
  <w:footnote w:id="8330">
    <w:p w14:paraId="75A64C8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דלהך מ"ד אין ראיה דסמכי' על אומדנות. ובפשוטו כוונת הב"י דאף בהנך כלים שייך קצת שאלה, ולא הוה סימן מובהק ביותר כיון דפעמים מושלי. אבל ה</w:t>
      </w:r>
      <w:r w:rsidRPr="007119D6">
        <w:rPr>
          <w:rFonts w:ascii="Narkisim" w:hAnsi="Narkisim"/>
          <w:b/>
          <w:bCs/>
          <w:rtl/>
        </w:rPr>
        <w:t>ש"ש</w:t>
      </w:r>
      <w:r w:rsidRPr="007119D6">
        <w:rPr>
          <w:rFonts w:ascii="Narkisim" w:hAnsi="Narkisim"/>
          <w:rtl/>
        </w:rPr>
        <w:t xml:space="preserve"> (ז כב) הביא דמבואר בב"י דאף היכא דליכא כלל חשש שאלה ל"מ [והב"י הק' משו"ת הרא”ש, והש”ש הוכיח דכוונתו דל”ש כלל הוכחה זו]. והש"ש תמה בטעם זה, וכת' דלא ירדנו לעומק דעתו. והביא דכמה פוסקים דחו דבריו</w:t>
      </w:r>
      <w:r w:rsidRPr="007119D6">
        <w:rPr>
          <w:rFonts w:ascii="Narkisim" w:hAnsi="Narkisim"/>
        </w:rPr>
        <w:t>.</w:t>
      </w:r>
    </w:p>
  </w:footnote>
  <w:footnote w:id="8331">
    <w:p w14:paraId="07D1D74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חלק דלא חיישינן לאבידה או גניבה. אך דן אי חיישינן למכירה. [ומיהו במיני סחורות העומדים למכירה ודאי חיישינן לכו"ע]</w:t>
      </w:r>
      <w:r w:rsidRPr="007119D6">
        <w:rPr>
          <w:rFonts w:ascii="Narkisim" w:hAnsi="Narkisim"/>
        </w:rPr>
        <w:t>.</w:t>
      </w:r>
    </w:p>
  </w:footnote>
  <w:footnote w:id="8332">
    <w:p w14:paraId="183D176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כת' דצ"ל דהחלק"מ קאי לשיטת הב"י דחיישינן לשאלה אף בכלים דלא מושלי</w:t>
      </w:r>
      <w:r w:rsidRPr="007119D6">
        <w:rPr>
          <w:rFonts w:ascii="Narkisim" w:hAnsi="Narkisim"/>
        </w:rPr>
        <w:t>.</w:t>
      </w:r>
    </w:p>
  </w:footnote>
  <w:footnote w:id="8333">
    <w:p w14:paraId="7AB7F5B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(יז צה בשם משכנו"י ח) דן דאפשר זהו דוקא בזמניהם שהיה דרכם בכך מפני העניות כדמצינו בגמ' כמה פעמים משא"כ בזמנינו שאין דרך להשאיל בגדים גם רוב בני אדם מקפידים בכך שלא להשאיל. [ודימה לגדר דל"מ חזקה בכלים העשויין להשאיל להשכיר, ותלי כל מקום לפי הענין]</w:t>
      </w:r>
      <w:r w:rsidRPr="007119D6">
        <w:rPr>
          <w:rFonts w:ascii="Narkisim" w:hAnsi="Narkisim"/>
        </w:rPr>
        <w:t>.</w:t>
      </w:r>
    </w:p>
  </w:footnote>
  <w:footnote w:id="8334">
    <w:p w14:paraId="7E59DD1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(יז פג בליקוט) כת' דתוס' הביאו כמה דוחקים לצד דחיישינן לשאלה</w:t>
      </w:r>
      <w:r w:rsidRPr="007119D6">
        <w:rPr>
          <w:rFonts w:ascii="Narkisim" w:hAnsi="Narkisim"/>
        </w:rPr>
        <w:t>.</w:t>
      </w:r>
    </w:p>
  </w:footnote>
  <w:footnote w:id="8335">
    <w:p w14:paraId="5882DDE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 כת' דהרי"ף והרמב"ם והרא"ש והעיטור פסקו חשש שאלה. וה</w:t>
      </w:r>
      <w:r w:rsidRPr="007119D6">
        <w:rPr>
          <w:rFonts w:ascii="Narkisim" w:hAnsi="Narkisim"/>
          <w:b/>
          <w:bCs/>
          <w:rtl/>
        </w:rPr>
        <w:t>פוסקים</w:t>
      </w:r>
      <w:r w:rsidRPr="007119D6">
        <w:rPr>
          <w:rFonts w:ascii="Narkisim" w:hAnsi="Narkisim"/>
          <w:rtl/>
        </w:rPr>
        <w:t xml:space="preserve"> (ש"ך חו"מ סה כו, גר”א יז פג ועוד) תמהו דהרי"ף והרמב"ם והעיטור סתמו, והשמיטו חשש שאלה</w:t>
      </w:r>
      <w:r w:rsidRPr="007119D6">
        <w:rPr>
          <w:rFonts w:ascii="Narkisim" w:hAnsi="Narkisim"/>
        </w:rPr>
        <w:t>.</w:t>
      </w:r>
    </w:p>
  </w:footnote>
  <w:footnote w:id="8336">
    <w:p w14:paraId="2F886D3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(שם צה) ציין דהתשו' נמצא בשו"ת חינוך בית יהודה בשם הר"ש הלמן מפראג. ואילו המהר"ל הנודע (מהר"י ליווא) ס"ל דלא חיישינן כלל לשאלה</w:t>
      </w:r>
      <w:r w:rsidRPr="007119D6">
        <w:rPr>
          <w:rFonts w:ascii="Narkisim" w:hAnsi="Narkisim"/>
        </w:rPr>
        <w:t>.</w:t>
      </w:r>
    </w:p>
  </w:footnote>
  <w:footnote w:id="8337">
    <w:p w14:paraId="1FD3BA7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דן מצד אחר, לדעת ה</w:t>
      </w:r>
      <w:r w:rsidRPr="007119D6">
        <w:rPr>
          <w:rFonts w:ascii="Narkisim" w:hAnsi="Narkisim"/>
          <w:b/>
          <w:bCs/>
          <w:rtl/>
        </w:rPr>
        <w:t>רמ"ה</w:t>
      </w:r>
      <w:r w:rsidRPr="007119D6">
        <w:rPr>
          <w:rFonts w:ascii="Narkisim" w:hAnsi="Narkisim"/>
          <w:rtl/>
        </w:rPr>
        <w:t xml:space="preserve"> (הו' בר' ירוחם ובבי"ש ע) דבסימן בינוני אם נשאת לא תצא. ובנידון דרבנן סמכי' אמ"ד דלא חיישינן לשאלה. אך שוב דחה דל"מ להצטרף, וכמו דלא מהני אף ק' סימנים</w:t>
      </w:r>
      <w:r w:rsidRPr="007119D6">
        <w:rPr>
          <w:rFonts w:ascii="Narkisim" w:hAnsi="Narkisim"/>
        </w:rPr>
        <w:t>.</w:t>
      </w:r>
    </w:p>
    <w:p w14:paraId="18A44F81"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חכ"צ</w:t>
      </w:r>
      <w:r w:rsidRPr="007119D6">
        <w:rPr>
          <w:rFonts w:ascii="Narkisim" w:hAnsi="Narkisim"/>
          <w:rtl/>
        </w:rPr>
        <w:t xml:space="preserve"> (קלד, הו' בבי"מ ובפתח"ת) דן מצד אחר, דאף דחיישינן לשאלה דרבים אבל לא חיישינן לשאלה דיחיד. [וע"ד הא דאי' ב"ב קעג: לחלק בין נפילה דרבים לנפילה דיחיד]. וע"י הסימנין נחשב שאלה דיחיד, שישאיל למי שיש לו סימנים כמוהו. [ועי"ש שדנו בזה]</w:t>
      </w:r>
      <w:r w:rsidRPr="007119D6">
        <w:rPr>
          <w:rFonts w:ascii="Narkisim" w:hAnsi="Narkisim"/>
        </w:rPr>
        <w:t>.</w:t>
      </w:r>
    </w:p>
    <w:p w14:paraId="728AC228"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ועוד הביא ה</w:t>
      </w:r>
      <w:r w:rsidRPr="007119D6">
        <w:rPr>
          <w:rFonts w:ascii="Narkisim" w:hAnsi="Narkisim"/>
          <w:b/>
          <w:bCs/>
          <w:rtl/>
        </w:rPr>
        <w:t>פתח"ת</w:t>
      </w:r>
      <w:r w:rsidRPr="007119D6">
        <w:rPr>
          <w:rFonts w:ascii="Narkisim" w:hAnsi="Narkisim"/>
          <w:rtl/>
        </w:rPr>
        <w:t xml:space="preserve"> (בשם היש"ש) דסימן בינוני בגופו וסימן בכליו מצטרף להחשב סימן מובהק [וכסוברים דב' סימנים נחשב סימן מובהק]</w:t>
      </w:r>
      <w:r w:rsidRPr="007119D6">
        <w:rPr>
          <w:rFonts w:ascii="Narkisim" w:hAnsi="Narkisim"/>
        </w:rPr>
        <w:t>.</w:t>
      </w:r>
    </w:p>
  </w:footnote>
  <w:footnote w:id="8338">
    <w:p w14:paraId="50475E8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ונתחדש בדבריו דדנים את חשש שאלה בהדי הסימנים. [אך לולי דבריו מהני סימנים לקבוע שכלי זה שלו, והא דכלי זה שלו הוה הוכחה שהוא זה, ותלי בחשש שאלה]</w:t>
      </w:r>
      <w:r w:rsidRPr="007119D6">
        <w:rPr>
          <w:rFonts w:ascii="Narkisim" w:hAnsi="Narkisim"/>
        </w:rPr>
        <w:t>.</w:t>
      </w:r>
    </w:p>
  </w:footnote>
  <w:footnote w:id="8339">
    <w:p w14:paraId="5D01834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ומדברי התוס' לכאורה משמע דהוה כמו מים שאין להם סוף, דהחמירו לכתחילה משום חומרא דעריות. אבל ה</w:t>
      </w:r>
      <w:r w:rsidRPr="007119D6">
        <w:rPr>
          <w:rFonts w:ascii="Narkisim" w:hAnsi="Narkisim"/>
          <w:b/>
          <w:bCs/>
          <w:rtl/>
        </w:rPr>
        <w:t>רא"ש</w:t>
      </w:r>
      <w:r w:rsidRPr="007119D6">
        <w:rPr>
          <w:rFonts w:ascii="Narkisim" w:hAnsi="Narkisim"/>
          <w:rtl/>
        </w:rPr>
        <w:t xml:space="preserve"> (שם ושיטמ”ק בתוס') כת' דסמכינן מיעוטא דחיים לחזקת אשת איש. וכ"כ ה</w:t>
      </w:r>
      <w:r w:rsidRPr="007119D6">
        <w:rPr>
          <w:rFonts w:ascii="Narkisim" w:hAnsi="Narkisim"/>
          <w:b/>
          <w:bCs/>
          <w:rtl/>
        </w:rPr>
        <w:t>מהרש"א</w:t>
      </w:r>
      <w:r w:rsidRPr="007119D6">
        <w:rPr>
          <w:rFonts w:ascii="Narkisim" w:hAnsi="Narkisim"/>
          <w:rtl/>
        </w:rPr>
        <w:t xml:space="preserve"> (שם) בדעת תוס'. אבל ה</w:t>
      </w:r>
      <w:r w:rsidRPr="007119D6">
        <w:rPr>
          <w:rFonts w:ascii="Narkisim" w:hAnsi="Narkisim"/>
          <w:b/>
          <w:bCs/>
          <w:rtl/>
        </w:rPr>
        <w:t>מעדני יו"ט</w:t>
      </w:r>
      <w:r w:rsidRPr="007119D6">
        <w:rPr>
          <w:rFonts w:ascii="Narkisim" w:hAnsi="Narkisim"/>
          <w:rtl/>
        </w:rPr>
        <w:t xml:space="preserve"> (לרא"ש ט) כת' דאף כוונת הרא"ש לדמות גוסס למים שאין להם סוף</w:t>
      </w:r>
      <w:r w:rsidRPr="007119D6">
        <w:rPr>
          <w:rFonts w:ascii="Narkisim" w:hAnsi="Narkisim"/>
        </w:rPr>
        <w:t>.</w:t>
      </w:r>
    </w:p>
  </w:footnote>
  <w:footnote w:id="8340">
    <w:p w14:paraId="1E173EA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ומשמע מלשון זה דאם נשאת לא תצא, דומיא דמים שאין להם סוף. וכן המעיו"ט כת' דלפ"ז אף בגוסס אם נשאת לא תצא. אבל דעת ה</w:t>
      </w:r>
      <w:r w:rsidRPr="007119D6">
        <w:rPr>
          <w:rFonts w:ascii="Narkisim" w:hAnsi="Narkisim"/>
          <w:b/>
          <w:bCs/>
          <w:rtl/>
        </w:rPr>
        <w:t>ריב"ש</w:t>
      </w:r>
      <w:r w:rsidRPr="007119D6">
        <w:rPr>
          <w:rFonts w:ascii="Narkisim" w:hAnsi="Narkisim"/>
          <w:rtl/>
        </w:rPr>
        <w:t xml:space="preserve"> (שעט) דבגוסס אם נשאת תצא. והפתח"ת הביא דכ"ד מהרח"ש דאפי' נשאת תצא, וכ"מ בשו"ת רדב"ז (א תקכו). וכן ה</w:t>
      </w:r>
      <w:r w:rsidRPr="007119D6">
        <w:rPr>
          <w:rFonts w:ascii="Narkisim" w:hAnsi="Narkisim"/>
          <w:b/>
          <w:bCs/>
          <w:rtl/>
        </w:rPr>
        <w:t>ק"נ</w:t>
      </w:r>
      <w:r w:rsidRPr="007119D6">
        <w:rPr>
          <w:rFonts w:ascii="Narkisim" w:hAnsi="Narkisim"/>
          <w:rtl/>
        </w:rPr>
        <w:t xml:space="preserve"> (כאן ג) חלק על המעיו"ט דאם נשאת תצא, אך שוב הביא ד</w:t>
      </w:r>
      <w:r w:rsidRPr="007119D6">
        <w:rPr>
          <w:rFonts w:ascii="Narkisim" w:hAnsi="Narkisim"/>
          <w:b/>
          <w:bCs/>
          <w:rtl/>
        </w:rPr>
        <w:t>תוס</w:t>
      </w:r>
      <w:r w:rsidRPr="007119D6">
        <w:rPr>
          <w:rFonts w:ascii="Narkisim" w:hAnsi="Narkisim"/>
          <w:rtl/>
        </w:rPr>
        <w:t>' (קכא.) כמעיו”ט</w:t>
      </w:r>
      <w:r w:rsidRPr="007119D6">
        <w:rPr>
          <w:rFonts w:ascii="Narkisim" w:hAnsi="Narkisim"/>
        </w:rPr>
        <w:t>.</w:t>
      </w:r>
    </w:p>
  </w:footnote>
  <w:footnote w:id="8341">
    <w:p w14:paraId="7CCA3A3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בשם ה</w:t>
      </w:r>
      <w:r w:rsidRPr="007119D6">
        <w:rPr>
          <w:rFonts w:ascii="Narkisim" w:hAnsi="Narkisim"/>
          <w:b/>
          <w:bCs/>
          <w:rtl/>
        </w:rPr>
        <w:t>מהר"ם</w:t>
      </w:r>
      <w:r w:rsidRPr="007119D6">
        <w:rPr>
          <w:rFonts w:ascii="Narkisim" w:hAnsi="Narkisim"/>
          <w:rtl/>
        </w:rPr>
        <w:t xml:space="preserve"> (הל' שמחות ו הו' ברא"ש מו"ק ג צז ובב"י וש"ך שם ח) דודאי כבר מת. וביאר דדוקא בעודו לפנינו חשוב גוסס כחי לכל דבר, אבל כשאינו לפנינו והניחו גוסס תלינן שכבר מת. דרוב גוססין אינם חיים ג' ימים</w:t>
      </w:r>
      <w:r w:rsidRPr="007119D6">
        <w:rPr>
          <w:rFonts w:ascii="Narkisim" w:hAnsi="Narkisim"/>
        </w:rPr>
        <w:t>.</w:t>
      </w:r>
    </w:p>
  </w:footnote>
  <w:footnote w:id="8342">
    <w:p w14:paraId="7527613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עיטור</w:t>
      </w:r>
      <w:r w:rsidRPr="007119D6">
        <w:rPr>
          <w:rFonts w:ascii="Narkisim" w:hAnsi="Narkisim"/>
          <w:rtl/>
        </w:rPr>
        <w:t xml:space="preserve"> (א ק קבלת העדות סא:, הו' בב”י יו"ד שעה) הביא בשם </w:t>
      </w:r>
      <w:r w:rsidRPr="007119D6">
        <w:rPr>
          <w:rFonts w:ascii="Narkisim" w:hAnsi="Narkisim"/>
          <w:b/>
          <w:bCs/>
          <w:rtl/>
        </w:rPr>
        <w:t>שו"ת הרי"ף</w:t>
      </w:r>
      <w:r w:rsidRPr="007119D6">
        <w:rPr>
          <w:rFonts w:ascii="Narkisim" w:hAnsi="Narkisim"/>
          <w:rtl/>
        </w:rPr>
        <w:t xml:space="preserve"> (נד וקפא) דמי שטבע במים שאין להם סוף כיון דבחזקת חי קיימי מסתברא דלא נהיגא אבלותא</w:t>
      </w:r>
      <w:r w:rsidRPr="007119D6">
        <w:rPr>
          <w:rFonts w:ascii="Narkisim" w:hAnsi="Narkisim"/>
        </w:rPr>
        <w:t>.</w:t>
      </w:r>
    </w:p>
  </w:footnote>
  <w:footnote w:id="8343">
    <w:p w14:paraId="02CA295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(אבן העוזר יו"ד שלט) תי' דבגוסס קרוביו מתאבלים איירי התם כשאין לו אשה. אך ה</w:t>
      </w:r>
      <w:r w:rsidRPr="007119D6">
        <w:rPr>
          <w:rFonts w:ascii="Narkisim" w:hAnsi="Narkisim"/>
          <w:b/>
          <w:bCs/>
          <w:rtl/>
        </w:rPr>
        <w:t>מראות צובאות</w:t>
      </w:r>
      <w:r w:rsidRPr="007119D6">
        <w:rPr>
          <w:rFonts w:ascii="Narkisim" w:hAnsi="Narkisim"/>
          <w:rtl/>
        </w:rPr>
        <w:t xml:space="preserve"> (יז כז) הק' דברא"ש (ועוד ראשונים) מבואר דאף אשתו מתאבלת. וה</w:t>
      </w:r>
      <w:r w:rsidRPr="007119D6">
        <w:rPr>
          <w:rFonts w:ascii="Narkisim" w:hAnsi="Narkisim"/>
          <w:b/>
          <w:bCs/>
          <w:rtl/>
        </w:rPr>
        <w:t>פתח"ת</w:t>
      </w:r>
      <w:r w:rsidRPr="007119D6">
        <w:rPr>
          <w:rFonts w:ascii="Narkisim" w:hAnsi="Narkisim"/>
          <w:rtl/>
        </w:rPr>
        <w:t xml:space="preserve"> (יו”ד שלט ג) הביא בשם ה</w:t>
      </w:r>
      <w:r w:rsidRPr="007119D6">
        <w:rPr>
          <w:rFonts w:ascii="Narkisim" w:hAnsi="Narkisim"/>
          <w:b/>
          <w:bCs/>
          <w:rtl/>
        </w:rPr>
        <w:t>גר"ח מוולאזין</w:t>
      </w:r>
      <w:r w:rsidRPr="007119D6">
        <w:rPr>
          <w:rFonts w:ascii="Narkisim" w:hAnsi="Narkisim"/>
          <w:rtl/>
        </w:rPr>
        <w:t xml:space="preserve"> דהנך פוסקים ס"ל דמתאבלים ע"פ הרוב, ואף שאשתו אסורה להנשא. ופליגי אעיטור וגם במים שאל"ס מתאבלין ודלא כעיטור (הנ"ל). אך צ"ע סתירה בשו"ע</w:t>
      </w:r>
      <w:r w:rsidRPr="007119D6">
        <w:rPr>
          <w:rFonts w:ascii="Narkisim" w:hAnsi="Narkisim"/>
        </w:rPr>
        <w:t>.</w:t>
      </w:r>
    </w:p>
    <w:p w14:paraId="209FDF45"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בית מאיר</w:t>
      </w:r>
      <w:r w:rsidRPr="007119D6">
        <w:rPr>
          <w:rFonts w:ascii="Narkisim" w:hAnsi="Narkisim"/>
          <w:rtl/>
        </w:rPr>
        <w:t xml:space="preserve"> ו</w:t>
      </w:r>
      <w:r w:rsidRPr="007119D6">
        <w:rPr>
          <w:rFonts w:ascii="Narkisim" w:hAnsi="Narkisim"/>
          <w:b/>
          <w:bCs/>
          <w:rtl/>
        </w:rPr>
        <w:t>מה"צ</w:t>
      </w:r>
      <w:r w:rsidRPr="007119D6">
        <w:rPr>
          <w:rFonts w:ascii="Narkisim" w:hAnsi="Narkisim"/>
          <w:rtl/>
        </w:rPr>
        <w:t xml:space="preserve"> תי' דשם מיירי כשהיה במקום קרוב, ובודאי יתברר הדבר אם מת או עמד מחליו, ומש"ה אין חשש תקלה. והפתח"ת הביא דהמשכנות יעקב הק' דא"כ נתת דבריך לשיעורין</w:t>
      </w:r>
      <w:r w:rsidRPr="007119D6">
        <w:rPr>
          <w:rFonts w:ascii="Narkisim" w:hAnsi="Narkisim"/>
        </w:rPr>
        <w:t>.</w:t>
      </w:r>
    </w:p>
  </w:footnote>
  <w:footnote w:id="8344">
    <w:p w14:paraId="3045218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ס' תוספת שבת</w:t>
      </w:r>
      <w:r w:rsidRPr="007119D6">
        <w:rPr>
          <w:rFonts w:ascii="Narkisim" w:hAnsi="Narkisim"/>
          <w:rtl/>
        </w:rPr>
        <w:t xml:space="preserve"> (או"ח שכט) כתב שראוי להסיר דבר זה מספר בית שמואל, ולהרים מכשול בכדי שלא יאונה לצדיק כל און. ע”ע </w:t>
      </w:r>
      <w:r w:rsidRPr="007119D6">
        <w:rPr>
          <w:rFonts w:ascii="Narkisim" w:hAnsi="Narkisim"/>
          <w:b/>
          <w:bCs/>
          <w:rtl/>
        </w:rPr>
        <w:t>בית מאיר</w:t>
      </w:r>
      <w:r w:rsidRPr="007119D6">
        <w:rPr>
          <w:rFonts w:ascii="Narkisim" w:hAnsi="Narkisim"/>
          <w:rtl/>
        </w:rPr>
        <w:t xml:space="preserve"> (שם ה) ו</w:t>
      </w:r>
      <w:r w:rsidRPr="007119D6">
        <w:rPr>
          <w:rFonts w:ascii="Narkisim" w:hAnsi="Narkisim"/>
          <w:b/>
          <w:bCs/>
          <w:rtl/>
        </w:rPr>
        <w:t>נוב"י</w:t>
      </w:r>
      <w:r w:rsidRPr="007119D6">
        <w:rPr>
          <w:rFonts w:ascii="Narkisim" w:hAnsi="Narkisim"/>
          <w:rtl/>
        </w:rPr>
        <w:t xml:space="preserve"> (ת נט בסופו) ו</w:t>
      </w:r>
      <w:r w:rsidRPr="007119D6">
        <w:rPr>
          <w:rFonts w:ascii="Narkisim" w:hAnsi="Narkisim"/>
          <w:b/>
          <w:bCs/>
          <w:rtl/>
        </w:rPr>
        <w:t>מראות הצובאות</w:t>
      </w:r>
      <w:r w:rsidRPr="007119D6">
        <w:rPr>
          <w:rFonts w:ascii="Narkisim" w:hAnsi="Narkisim"/>
          <w:rtl/>
        </w:rPr>
        <w:t xml:space="preserve"> (כז וקטז) ו</w:t>
      </w:r>
      <w:r w:rsidRPr="007119D6">
        <w:rPr>
          <w:rFonts w:ascii="Narkisim" w:hAnsi="Narkisim"/>
          <w:b/>
          <w:bCs/>
          <w:rtl/>
        </w:rPr>
        <w:t>ישועות יעקב</w:t>
      </w:r>
      <w:r w:rsidRPr="007119D6">
        <w:rPr>
          <w:rFonts w:ascii="Narkisim" w:hAnsi="Narkisim"/>
          <w:rtl/>
        </w:rPr>
        <w:t xml:space="preserve"> (שם לט) ו</w:t>
      </w:r>
      <w:r w:rsidRPr="007119D6">
        <w:rPr>
          <w:rFonts w:ascii="Narkisim" w:hAnsi="Narkisim"/>
          <w:b/>
          <w:bCs/>
          <w:rtl/>
        </w:rPr>
        <w:t>שו"ת משכנו"י</w:t>
      </w:r>
      <w:r w:rsidRPr="007119D6">
        <w:rPr>
          <w:rFonts w:ascii="Narkisim" w:hAnsi="Narkisim"/>
          <w:rtl/>
        </w:rPr>
        <w:t xml:space="preserve"> (יו"ד סט) בשם הגר"ח מוולאזין</w:t>
      </w:r>
      <w:r w:rsidRPr="007119D6">
        <w:rPr>
          <w:rFonts w:ascii="Narkisim" w:hAnsi="Narkisim"/>
        </w:rPr>
        <w:t>.</w:t>
      </w:r>
    </w:p>
  </w:footnote>
  <w:footnote w:id="8345">
    <w:p w14:paraId="6724F3A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דאף בלא"ה אסורה לינשא תוך ג' חדשים משום הבחנה</w:t>
      </w:r>
      <w:r w:rsidRPr="007119D6">
        <w:rPr>
          <w:rFonts w:ascii="Narkisim" w:hAnsi="Narkisim"/>
        </w:rPr>
        <w:t>.</w:t>
      </w:r>
    </w:p>
  </w:footnote>
  <w:footnote w:id="8346">
    <w:p w14:paraId="0FA3B71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חלק דרוב גוססים אינם חיים ג' ימים, א"כ כשראוהו שהיה גוסס ג' ימים, והניחוהו גוסס אין זה מעלה לומר שמת. דאדרבה מוכח שהוא מהמיעוט דחיים מחולי זה</w:t>
      </w:r>
      <w:r w:rsidRPr="007119D6">
        <w:rPr>
          <w:rFonts w:ascii="Narkisim" w:hAnsi="Narkisim"/>
        </w:rPr>
        <w:t>.</w:t>
      </w:r>
    </w:p>
  </w:footnote>
  <w:footnote w:id="8347">
    <w:p w14:paraId="16B4B9E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ועוד הביא ה</w:t>
      </w:r>
      <w:r w:rsidRPr="007119D6">
        <w:rPr>
          <w:rFonts w:ascii="Narkisim" w:hAnsi="Narkisim"/>
          <w:b/>
          <w:bCs/>
          <w:rtl/>
        </w:rPr>
        <w:t>פתח"ת</w:t>
      </w:r>
      <w:r w:rsidRPr="007119D6">
        <w:rPr>
          <w:rFonts w:ascii="Narkisim" w:hAnsi="Narkisim"/>
          <w:rtl/>
        </w:rPr>
        <w:t xml:space="preserve"> דב</w:t>
      </w:r>
      <w:r w:rsidRPr="007119D6">
        <w:rPr>
          <w:rFonts w:ascii="Narkisim" w:hAnsi="Narkisim"/>
          <w:b/>
          <w:bCs/>
          <w:rtl/>
        </w:rPr>
        <w:t>בי"ש</w:t>
      </w:r>
      <w:r w:rsidRPr="007119D6">
        <w:rPr>
          <w:rFonts w:ascii="Narkisim" w:hAnsi="Narkisim"/>
          <w:rtl/>
        </w:rPr>
        <w:t xml:space="preserve"> (יז יח) משמע דכיון דאמרו שהיה גוסס לפני ג' ימים מעידין עליו. ואף קודם שידעינן ששהה בגסיסתו. ואף בלשונו (סס"ק צד) אין הכרח שחזר בו</w:t>
      </w:r>
      <w:r w:rsidRPr="007119D6">
        <w:rPr>
          <w:rFonts w:ascii="Narkisim" w:hAnsi="Narkisim"/>
        </w:rPr>
        <w:t>.</w:t>
      </w:r>
    </w:p>
  </w:footnote>
  <w:footnote w:id="8348">
    <w:p w14:paraId="2E4C17F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וכ"פ ה</w:t>
      </w:r>
      <w:r w:rsidRPr="007119D6">
        <w:rPr>
          <w:rFonts w:ascii="Narkisim" w:hAnsi="Narkisim"/>
          <w:b/>
          <w:bCs/>
          <w:rtl/>
        </w:rPr>
        <w:t>רמב"ם</w:t>
      </w:r>
      <w:r w:rsidRPr="007119D6">
        <w:rPr>
          <w:rFonts w:ascii="Narkisim" w:hAnsi="Narkisim"/>
          <w:rtl/>
        </w:rPr>
        <w:t xml:space="preserve"> (רוצח ב ז) דההורג גוסס בידי אדם אינו חייב מיתה, כגון שהכוהו עד שנטה למות והרי הוא גוסס</w:t>
      </w:r>
      <w:r w:rsidRPr="007119D6">
        <w:rPr>
          <w:rFonts w:ascii="Narkisim" w:hAnsi="Narkisim"/>
        </w:rPr>
        <w:t>.</w:t>
      </w:r>
    </w:p>
  </w:footnote>
  <w:footnote w:id="8349">
    <w:p w14:paraId="383FA0F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יל"ד האם ר"י ב"ב פליג דמיעוט גוססין חיים, אף כה”ג. או דס"ל דהיכא דלא נעשה בו א' מהטריפות ההורגו חייב, אף דלא חיי</w:t>
      </w:r>
      <w:r w:rsidRPr="007119D6">
        <w:rPr>
          <w:rFonts w:ascii="Narkisim" w:hAnsi="Narkisim"/>
        </w:rPr>
        <w:t>.</w:t>
      </w:r>
    </w:p>
  </w:footnote>
  <w:footnote w:id="8350">
    <w:p w14:paraId="7C0FF05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ה"ה</w:t>
      </w:r>
      <w:r w:rsidRPr="007119D6">
        <w:rPr>
          <w:rFonts w:ascii="Narkisim" w:hAnsi="Narkisim"/>
          <w:rtl/>
        </w:rPr>
        <w:t xml:space="preserve"> (יג טז) הביא דכ"א ב</w:t>
      </w:r>
      <w:r w:rsidRPr="007119D6">
        <w:rPr>
          <w:rFonts w:ascii="Narkisim" w:hAnsi="Narkisim"/>
          <w:b/>
          <w:bCs/>
          <w:rtl/>
        </w:rPr>
        <w:t>ירושלמי</w:t>
      </w:r>
      <w:r w:rsidRPr="007119D6">
        <w:rPr>
          <w:rFonts w:ascii="Narkisim" w:hAnsi="Narkisim"/>
          <w:rtl/>
        </w:rPr>
        <w:t xml:space="preserve"> דנותנין לו שהות כדי טריפה</w:t>
      </w:r>
      <w:r w:rsidRPr="007119D6">
        <w:rPr>
          <w:rFonts w:ascii="Narkisim" w:hAnsi="Narkisim"/>
        </w:rPr>
        <w:t>.</w:t>
      </w:r>
    </w:p>
  </w:footnote>
  <w:footnote w:id="8351">
    <w:p w14:paraId="0A83F8B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חזו"א</w:t>
      </w:r>
      <w:r w:rsidRPr="007119D6">
        <w:rPr>
          <w:rFonts w:ascii="Narkisim" w:hAnsi="Narkisim"/>
          <w:rtl/>
        </w:rPr>
        <w:t xml:space="preserve"> (כז ג) תי' דאדם מקבל רפואה טפי מבהמה. והא דהגמ' מדמה אדם לבהמה היינו בלא רפואה, אבל לא חשיב טריפה כיון דאדם אפשר ע"י רפואה</w:t>
      </w:r>
      <w:r w:rsidRPr="007119D6">
        <w:rPr>
          <w:rFonts w:ascii="Narkisim" w:hAnsi="Narkisim"/>
        </w:rPr>
        <w:t>.</w:t>
      </w:r>
    </w:p>
  </w:footnote>
  <w:footnote w:id="8352">
    <w:p w14:paraId="03E89C6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ורבא (בסמוך) אמר דבסכין מלובנת כו”ע מודו</w:t>
      </w:r>
      <w:r w:rsidRPr="007119D6">
        <w:rPr>
          <w:rFonts w:ascii="Narkisim" w:hAnsi="Narkisim"/>
        </w:rPr>
        <w:t>.</w:t>
      </w:r>
    </w:p>
  </w:footnote>
  <w:footnote w:id="8353">
    <w:p w14:paraId="0DC5102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דטריפה אינה חיה. דלת"ק כל שהמכה מצד עצמה א"י לחיות בלא רפואה, אף אינה יכולה לכוות ולחיות. אלא דלר' שמעון בן אלעזר במקום שמכתו ממיתה יכול ליכוות ולחיות</w:t>
      </w:r>
      <w:r w:rsidRPr="007119D6">
        <w:rPr>
          <w:rFonts w:ascii="Narkisim" w:hAnsi="Narkisim"/>
        </w:rPr>
        <w:t>.</w:t>
      </w:r>
    </w:p>
  </w:footnote>
  <w:footnote w:id="8354">
    <w:p w14:paraId="5C09A83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רש"י</w:t>
      </w:r>
      <w:r w:rsidRPr="007119D6">
        <w:rPr>
          <w:rFonts w:ascii="Narkisim" w:hAnsi="Narkisim"/>
          <w:rtl/>
        </w:rPr>
        <w:t xml:space="preserve"> (חולין שם) הביא </w:t>
      </w:r>
      <w:r w:rsidRPr="007119D6">
        <w:rPr>
          <w:rFonts w:ascii="Narkisim" w:hAnsi="Narkisim"/>
          <w:b/>
          <w:bCs/>
          <w:rtl/>
        </w:rPr>
        <w:t>תוספתא</w:t>
      </w:r>
      <w:r w:rsidRPr="007119D6">
        <w:rPr>
          <w:rFonts w:ascii="Narkisim" w:hAnsi="Narkisim"/>
          <w:rtl/>
        </w:rPr>
        <w:t xml:space="preserve"> (חולין ג) ר"ש ב"א מכשיר מפני שיכולה ליכוות ולחיות. אבל ה</w:t>
      </w:r>
      <w:r w:rsidRPr="007119D6">
        <w:rPr>
          <w:rFonts w:ascii="Narkisim" w:hAnsi="Narkisim"/>
          <w:b/>
          <w:bCs/>
          <w:rtl/>
        </w:rPr>
        <w:t>ראשונים</w:t>
      </w:r>
      <w:r w:rsidRPr="007119D6">
        <w:rPr>
          <w:rFonts w:ascii="Narkisim" w:hAnsi="Narkisim"/>
          <w:rtl/>
        </w:rPr>
        <w:t xml:space="preserve"> (רשב"א וריטב"א) הק' דבגמ' (שם) מבואר דס"ל דאינו טריפה, ואף למ"ד טריפה חיה, ואף בלא סברת אפשר ליכוות. [והרשב"א כת' דהך תוספתא משבשתא]</w:t>
      </w:r>
      <w:r w:rsidRPr="007119D6">
        <w:rPr>
          <w:rFonts w:ascii="Narkisim" w:hAnsi="Narkisim"/>
        </w:rPr>
        <w:t>.</w:t>
      </w:r>
    </w:p>
  </w:footnote>
  <w:footnote w:id="8355">
    <w:p w14:paraId="7987567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דאף דלשון מגוייד משמע דנחתך במקום הגידים, מ"מ אין הסכנה משום חסרון האבר, שהרי אי' (גבי צומת הגידין) חותכה למעלה חיתה. אלא חתך הגידין גורם</w:t>
      </w:r>
      <w:r w:rsidRPr="007119D6">
        <w:rPr>
          <w:rFonts w:ascii="Narkisim" w:hAnsi="Narkisim"/>
        </w:rPr>
        <w:t>.</w:t>
      </w:r>
    </w:p>
  </w:footnote>
  <w:footnote w:id="8356">
    <w:p w14:paraId="580C0EA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ופשיטא לרמב"ן דאין לחלק דבמלובנת כיון דיכול לכוות לא נחשב שנחתך, ואינו בכלל מתני' דטריפות. וה</w:t>
      </w:r>
      <w:r w:rsidRPr="007119D6">
        <w:rPr>
          <w:rFonts w:ascii="Narkisim" w:hAnsi="Narkisim"/>
          <w:b/>
          <w:bCs/>
          <w:rtl/>
        </w:rPr>
        <w:t>ריטב"א</w:t>
      </w:r>
      <w:r w:rsidRPr="007119D6">
        <w:rPr>
          <w:rFonts w:ascii="Narkisim" w:hAnsi="Narkisim"/>
          <w:rtl/>
        </w:rPr>
        <w:t xml:space="preserve"> כת' דסתמא קתני התם (חולין עו.) מן הארכובה ולמעלה טרפה, ולא אישתמיט תנא או אמורא למימר דבסכין מלובנת כשרה</w:t>
      </w:r>
      <w:r w:rsidRPr="007119D6">
        <w:rPr>
          <w:rFonts w:ascii="Narkisim" w:hAnsi="Narkisim"/>
        </w:rPr>
        <w:t>.</w:t>
      </w:r>
    </w:p>
  </w:footnote>
  <w:footnote w:id="8357">
    <w:p w14:paraId="619C1D2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אע"פ שאין בכל הטרפות שמנו חכמים בבהמה, דאף כנגדן באדם הוה טריפה. מ”מ כיון דארכובה נשנית בזה ובזה (במשנה קכא.), בשניהם הוא טרפה</w:t>
      </w:r>
      <w:r w:rsidRPr="007119D6">
        <w:rPr>
          <w:rFonts w:ascii="Narkisim" w:hAnsi="Narkisim"/>
        </w:rPr>
        <w:t>.</w:t>
      </w:r>
    </w:p>
  </w:footnote>
  <w:footnote w:id="8358">
    <w:p w14:paraId="3D162E6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חזו"א</w:t>
      </w:r>
      <w:r w:rsidRPr="007119D6">
        <w:rPr>
          <w:rFonts w:ascii="Narkisim" w:hAnsi="Narkisim"/>
          <w:rtl/>
        </w:rPr>
        <w:t xml:space="preserve"> הביא דכ"מ ברמב"ן. ויל"פ דאף תוס' ס"ל כן</w:t>
      </w:r>
      <w:r w:rsidRPr="007119D6">
        <w:rPr>
          <w:rFonts w:ascii="Narkisim" w:hAnsi="Narkisim"/>
        </w:rPr>
        <w:t>.</w:t>
      </w:r>
    </w:p>
    <w:p w14:paraId="16FE7D0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חזו”א</w:t>
      </w:r>
      <w:r w:rsidRPr="007119D6">
        <w:rPr>
          <w:rFonts w:ascii="Narkisim" w:hAnsi="Narkisim"/>
          <w:rtl/>
        </w:rPr>
        <w:t xml:space="preserve"> (כז ג, יו"ד טריפות ה ג) דן בדין טריפות שנשתנו בזה”ז, דמנתחים הרופאים וחיים</w:t>
      </w:r>
      <w:r w:rsidRPr="007119D6">
        <w:rPr>
          <w:rFonts w:ascii="Narkisim" w:hAnsi="Narkisim"/>
        </w:rPr>
        <w:t>.</w:t>
      </w:r>
    </w:p>
    <w:p w14:paraId="3C0F796B"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והחזו"א ביאר דהקב"ה ברא רפואות אף לטריפות, אלא שלא נתגלו בכל דור ודור. ונמסר לחכמים לקבוע דיני טריפות ע"פ רוח קדשם, ובב' אלפים שנות תורה [ע"פ הגמ' ע"ז ט.] היה צריך ליקבע דיני טריפות לכל הדורות. דאין לנו תורה חדשה אחרי רב אשי ורבינא שהיו סוף הוראה (וכדאי' ב”מ פו.). וביאר דזה כוונת ה</w:t>
      </w:r>
      <w:r w:rsidRPr="007119D6">
        <w:rPr>
          <w:rFonts w:ascii="Narkisim" w:hAnsi="Narkisim"/>
          <w:b/>
          <w:bCs/>
          <w:rtl/>
        </w:rPr>
        <w:t>רמב"ם</w:t>
      </w:r>
      <w:r w:rsidRPr="007119D6">
        <w:rPr>
          <w:rFonts w:ascii="Narkisim" w:hAnsi="Narkisim"/>
          <w:rtl/>
        </w:rPr>
        <w:t xml:space="preserve"> (שחיטה י יג) שכת' דאין להוסיף על הטריפות שמנו חכמי דורות הראשונים, אפי' נודע לנו בדרכי הרפואה דאין סופו לחיות. וכן אלו שמנו ואמרו שהן טריפה, אע"פ שיראה בדרכי הרפואה שבידינו שמקצתן אינן ממיתין, ואפשר שתחיה מהן, אין לך אלא מה שמנו חכמים שנאמר על פי התורה אשר יורוך. [וכת' דלכאורה דבריו סתומין, דמשמע דמקיים דברי הרופאים נגד חז"ל. ואפ”ה לדינא אזלי' בתר חז”ל]. [וע"ע בסמוך בשם הגינת ורדים]</w:t>
      </w:r>
      <w:r w:rsidRPr="007119D6">
        <w:rPr>
          <w:rFonts w:ascii="Narkisim" w:hAnsi="Narkisim"/>
        </w:rPr>
        <w:t>.</w:t>
      </w:r>
    </w:p>
    <w:p w14:paraId="38B1CBB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וכת' דמ"מ אין משיאין את אשתו כל שיש בזמנינו רפואה. ונפל לבירא כל הך סוגיה</w:t>
      </w:r>
      <w:r w:rsidRPr="007119D6">
        <w:rPr>
          <w:rFonts w:ascii="Narkisim" w:hAnsi="Narkisim"/>
        </w:rPr>
        <w:t>.</w:t>
      </w:r>
    </w:p>
  </w:footnote>
  <w:footnote w:id="8359">
    <w:p w14:paraId="17E1477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ושוב הביא בשם רבו בשם ה</w:t>
      </w:r>
      <w:r w:rsidRPr="007119D6">
        <w:rPr>
          <w:rFonts w:ascii="Narkisim" w:hAnsi="Narkisim"/>
          <w:b/>
          <w:bCs/>
          <w:rtl/>
        </w:rPr>
        <w:t>רמב"ן</w:t>
      </w:r>
      <w:r w:rsidRPr="007119D6">
        <w:rPr>
          <w:rFonts w:ascii="Narkisim" w:hAnsi="Narkisim"/>
          <w:rtl/>
        </w:rPr>
        <w:t xml:space="preserve"> דהכא במגוייד בחבורות חרב במקום שאינו עושה טריפה. דכה"ג לרבנן אינה חיה מחמת המכה, ואפי' הכי אם נתגייד בסכין מלובנת שמתרפא וחיה. אבל במקום שעושה טריפה אפי' בסכין מלובנת אינה חיה י"ב חודש לרבנן</w:t>
      </w:r>
      <w:r w:rsidRPr="007119D6">
        <w:rPr>
          <w:rFonts w:ascii="Narkisim" w:hAnsi="Narkisim"/>
        </w:rPr>
        <w:t>.</w:t>
      </w:r>
    </w:p>
  </w:footnote>
  <w:footnote w:id="8360">
    <w:p w14:paraId="38801A4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הגירסא לפנינו שנים או רוב שנים. אבל ה</w:t>
      </w:r>
      <w:r w:rsidRPr="007119D6">
        <w:rPr>
          <w:rFonts w:ascii="Narkisim" w:hAnsi="Narkisim"/>
          <w:b/>
          <w:bCs/>
          <w:rtl/>
        </w:rPr>
        <w:t>רמב"ם</w:t>
      </w:r>
      <w:r w:rsidRPr="007119D6">
        <w:rPr>
          <w:rFonts w:ascii="Narkisim" w:hAnsi="Narkisim"/>
          <w:rtl/>
        </w:rPr>
        <w:t xml:space="preserve"> (ב יג) כת' שחט בו רוב סימנים. והאחרונים דייקו דדוקא רוב ב', אבל אי שחט כל הסימנים נחשב מת. דאל"כ דטפי הו"ל למימר שחט בו ב' ממש. [וה</w:t>
      </w:r>
      <w:r w:rsidRPr="007119D6">
        <w:rPr>
          <w:rFonts w:ascii="Narkisim" w:hAnsi="Narkisim"/>
          <w:b/>
          <w:bCs/>
          <w:rtl/>
        </w:rPr>
        <w:t>פור"י</w:t>
      </w:r>
      <w:r w:rsidRPr="007119D6">
        <w:rPr>
          <w:rFonts w:ascii="Narkisim" w:hAnsi="Narkisim"/>
          <w:rtl/>
        </w:rPr>
        <w:t xml:space="preserve"> (גיטין ע:) ציין דמבואר (חולין כא, לענין שחיטה) דבכל שנים נחשב מת. ונדחק כן אף בברייתא, דדוקא רוב הנראה כשנים]. אבל ה</w:t>
      </w:r>
      <w:r w:rsidRPr="007119D6">
        <w:rPr>
          <w:rFonts w:ascii="Narkisim" w:hAnsi="Narkisim"/>
          <w:b/>
          <w:bCs/>
          <w:rtl/>
        </w:rPr>
        <w:t>לח"מ</w:t>
      </w:r>
      <w:r w:rsidRPr="007119D6">
        <w:rPr>
          <w:rFonts w:ascii="Narkisim" w:hAnsi="Narkisim"/>
          <w:rtl/>
        </w:rPr>
        <w:t xml:space="preserve"> כת' דכוונת הרמב"ם דרובו ככולו, והוא הדין לכל השנים</w:t>
      </w:r>
      <w:r w:rsidRPr="007119D6">
        <w:rPr>
          <w:rFonts w:ascii="Narkisim" w:hAnsi="Narkisim"/>
        </w:rPr>
        <w:t>.</w:t>
      </w:r>
    </w:p>
  </w:footnote>
  <w:footnote w:id="8361">
    <w:p w14:paraId="257C81B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רא"ש</w:t>
      </w:r>
      <w:r w:rsidRPr="007119D6">
        <w:rPr>
          <w:rFonts w:ascii="Narkisim" w:hAnsi="Narkisim"/>
          <w:rtl/>
        </w:rPr>
        <w:t xml:space="preserve"> (שם) הביא בשם </w:t>
      </w:r>
      <w:r w:rsidRPr="007119D6">
        <w:rPr>
          <w:rFonts w:ascii="Narkisim" w:hAnsi="Narkisim"/>
          <w:b/>
          <w:bCs/>
          <w:rtl/>
        </w:rPr>
        <w:t>ר"ח</w:t>
      </w:r>
      <w:r w:rsidRPr="007119D6">
        <w:rPr>
          <w:rFonts w:ascii="Narkisim" w:hAnsi="Narkisim"/>
          <w:rtl/>
        </w:rPr>
        <w:t xml:space="preserve"> דגוסס חשיב כמת, ומש"ה אינו יכול ליתן. והביא בשם רבינו יואל דגוסס אינו מגרש, ודוקא למידי דממילא חשיב חי. אבל לא לענין שיעשה מעשה כנתינת גט או מתנה</w:t>
      </w:r>
      <w:r w:rsidRPr="007119D6">
        <w:rPr>
          <w:rFonts w:ascii="Narkisim" w:hAnsi="Narkisim"/>
        </w:rPr>
        <w:t>.</w:t>
      </w:r>
    </w:p>
  </w:footnote>
  <w:footnote w:id="8362">
    <w:p w14:paraId="3489093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וחייב הוא בכל המצוות שבתורה, ואם נולד טריפה נימול לח' ודחי שבת, וחייב בפדיון הבן (ע"פ הגמ' מנחות לז., וע' תוס' ב”ק יא: ואכמ”ל)</w:t>
      </w:r>
      <w:r w:rsidRPr="007119D6">
        <w:rPr>
          <w:rFonts w:ascii="Narkisim" w:hAnsi="Narkisim"/>
        </w:rPr>
        <w:t>.</w:t>
      </w:r>
    </w:p>
  </w:footnote>
  <w:footnote w:id="8363">
    <w:p w14:paraId="08347F7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עוד מסוגיין דהעידו שבעלה גוסס לדעת מהרח"ש נשאת תצא. ואילו טריפה משיאין את אשתו</w:t>
      </w:r>
      <w:r w:rsidRPr="007119D6">
        <w:rPr>
          <w:rFonts w:ascii="Narkisim" w:hAnsi="Narkisim"/>
        </w:rPr>
        <w:t>.</w:t>
      </w:r>
    </w:p>
    <w:p w14:paraId="610AE04E"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גינת ורדים</w:t>
      </w:r>
      <w:r w:rsidRPr="007119D6">
        <w:rPr>
          <w:rFonts w:ascii="Narkisim" w:hAnsi="Narkisim"/>
          <w:rtl/>
        </w:rPr>
        <w:t xml:space="preserve"> כת' דהיה מקום לספק ולומר דבזמן הזה אפשר שנשתנה הזמן, ואפשר דטריפה חיה, ומש"ה יפטור מיבום. וכת' דמ"מ נראה דאין לבדות מלבנו, אם לא שנראה בחוש שנשתנה הענין ממה שהיה. ומן הסתם מחזיקים הדבר על מכונתו כאשר הוא מקדמת דנא. והביא ראיה דהא השו"ע הביא דין זה דמן הארכובה ולמעלה מעידין עליו. [אך החזו"א נקט דלדינא נשתנה ואין מעידין עליו]</w:t>
      </w:r>
      <w:r w:rsidRPr="007119D6">
        <w:rPr>
          <w:rFonts w:ascii="Narkisim" w:hAnsi="Narkisim"/>
        </w:rPr>
        <w:t>.</w:t>
      </w:r>
    </w:p>
  </w:footnote>
  <w:footnote w:id="8364">
    <w:p w14:paraId="794BF5A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כנחבסה הגולגלת ונקב קרום של מוח. דאי' (גיטין נו:, עי”ש תוס') גבי טיטוס ביתוש דנקר במוחו ז' שנים, ע"כ דלא הוה טריפה</w:t>
      </w:r>
      <w:r w:rsidRPr="007119D6">
        <w:rPr>
          <w:rFonts w:ascii="Narkisim" w:hAnsi="Narkisim"/>
        </w:rPr>
        <w:t>.</w:t>
      </w:r>
    </w:p>
  </w:footnote>
  <w:footnote w:id="8365">
    <w:p w14:paraId="721B5E3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דלדברי התוס' קמ"ל שמואל דמת מיד. אך בפשוטו תי' הגמ' דשמואל אמר דסופו למותר, א"כ אפשר שימות לאחר כמה ימים או חדשים. [א"כ לא הוה קו' ע"ד שמואל]</w:t>
      </w:r>
      <w:r w:rsidRPr="007119D6">
        <w:rPr>
          <w:rFonts w:ascii="Narkisim" w:hAnsi="Narkisim"/>
        </w:rPr>
        <w:t>.</w:t>
      </w:r>
    </w:p>
  </w:footnote>
  <w:footnote w:id="8366">
    <w:p w14:paraId="1EFAEC8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והמכה הכאה ששייך בו רפואה, ולא נתרפא ומת, אינו גולה. ועד"ז אמר רב אשי (סנהדרין עז:) זרק חץ, ואפי' סממנין לרפואתו בשוק, ואפי' קידם ופיזרן פטור. דבשעת זריקה היה יכול להתרפאות</w:t>
      </w:r>
      <w:r w:rsidRPr="007119D6">
        <w:rPr>
          <w:rFonts w:ascii="Narkisim" w:hAnsi="Narkisim"/>
        </w:rPr>
        <w:t>.</w:t>
      </w:r>
    </w:p>
  </w:footnote>
  <w:footnote w:id="8367">
    <w:p w14:paraId="1B51C57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דנו בגדר חיוב גלות, וי"ל דהוה גדר מצווה, ואף במקום ספק יש לו לגלות</w:t>
      </w:r>
      <w:r w:rsidRPr="007119D6">
        <w:rPr>
          <w:rFonts w:ascii="Narkisim" w:hAnsi="Narkisim"/>
        </w:rPr>
        <w:t>.</w:t>
      </w:r>
    </w:p>
  </w:footnote>
  <w:footnote w:id="8368">
    <w:p w14:paraId="2B1099A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ודרש דכתיב גבי גלות כי יחם לבבו, דוקא שמת לאלתר ונתברר שמת מחמת המכה. {ולכאורה טפי הו"ל לדרוש 'וימת', וכדברי התוס' לס"ד דהגמ'. אלא דלמסקנא אף שעבר זמן, כל שנתברר שמת מחמת ההכאה קרינן ביה [(במדבר לה כג) ויפל עליו] 'וימת'. אבל היכא דיש צד ספק בדבר נתמעט מגלות}</w:t>
      </w:r>
      <w:r w:rsidRPr="007119D6">
        <w:rPr>
          <w:rFonts w:ascii="Narkisim" w:hAnsi="Narkisim"/>
        </w:rPr>
        <w:t>.</w:t>
      </w:r>
    </w:p>
  </w:footnote>
  <w:footnote w:id="8369">
    <w:p w14:paraId="36E3837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דכ"כ ה</w:t>
      </w:r>
      <w:r w:rsidRPr="007119D6">
        <w:rPr>
          <w:rFonts w:ascii="Narkisim" w:hAnsi="Narkisim"/>
          <w:b/>
          <w:bCs/>
          <w:rtl/>
        </w:rPr>
        <w:t xml:space="preserve">רמב"ם </w:t>
      </w:r>
      <w:r w:rsidRPr="007119D6">
        <w:rPr>
          <w:rFonts w:ascii="Narkisim" w:hAnsi="Narkisim"/>
          <w:rtl/>
        </w:rPr>
        <w:t>(יג כב) אפי' זמן מרובה</w:t>
      </w:r>
      <w:r w:rsidRPr="007119D6">
        <w:rPr>
          <w:rFonts w:ascii="Narkisim" w:hAnsi="Narkisim"/>
        </w:rPr>
        <w:t>.</w:t>
      </w:r>
    </w:p>
  </w:footnote>
  <w:footnote w:id="8370">
    <w:p w14:paraId="513675D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ירושלמי</w:t>
      </w:r>
      <w:r w:rsidRPr="007119D6">
        <w:rPr>
          <w:rFonts w:ascii="Narkisim" w:hAnsi="Narkisim"/>
          <w:rtl/>
        </w:rPr>
        <w:t xml:space="preserve"> מבואר הטעם דצרפתו הצנה. [משמע דוקא במים צוננים]. ומדברי הרשב"א מבואר דהוה צמתי דהגמ</w:t>
      </w:r>
      <w:r w:rsidRPr="007119D6">
        <w:rPr>
          <w:rFonts w:ascii="Narkisim" w:hAnsi="Narkisim"/>
        </w:rPr>
        <w:t>'.</w:t>
      </w:r>
    </w:p>
    <w:p w14:paraId="3153B99C"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(משאת בנימין קד) דנו בזמן הצינה [ביבשה], דע"י השלג והקרח אינו משתנה. וע' מראות צובאות (יז קב)</w:t>
      </w:r>
      <w:r w:rsidRPr="007119D6">
        <w:rPr>
          <w:rFonts w:ascii="Narkisim" w:hAnsi="Narkisim"/>
        </w:rPr>
        <w:t>.</w:t>
      </w:r>
    </w:p>
  </w:footnote>
  <w:footnote w:id="8371">
    <w:p w14:paraId="74045CD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קה"י</w:t>
      </w:r>
      <w:r w:rsidRPr="007119D6">
        <w:rPr>
          <w:rFonts w:ascii="Narkisim" w:hAnsi="Narkisim"/>
          <w:rtl/>
        </w:rPr>
        <w:t xml:space="preserve"> ציין דבגמ' (זבחים כו:) אי' דלאלתר הוה בו ביום. ועוד הביא (טהרות ט ד) יוליך את המפתח 'מיד', וב</w:t>
      </w:r>
      <w:r w:rsidRPr="007119D6">
        <w:rPr>
          <w:rFonts w:ascii="Narkisim" w:hAnsi="Narkisim"/>
          <w:b/>
          <w:bCs/>
          <w:rtl/>
        </w:rPr>
        <w:t>תוספתא</w:t>
      </w:r>
      <w:r w:rsidRPr="007119D6">
        <w:rPr>
          <w:rFonts w:ascii="Narkisim" w:hAnsi="Narkisim"/>
          <w:rtl/>
        </w:rPr>
        <w:t xml:space="preserve"> (הו' בר”ש ומפרשים שם) דעת ר' יהודה דהוה אותו היום, ור' שמעון מעת לעת</w:t>
      </w:r>
      <w:r w:rsidRPr="007119D6">
        <w:rPr>
          <w:rFonts w:ascii="Narkisim" w:hAnsi="Narkisim"/>
        </w:rPr>
        <w:t>.</w:t>
      </w:r>
    </w:p>
  </w:footnote>
  <w:footnote w:id="8372">
    <w:p w14:paraId="666B067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הר"ן</w:t>
      </w:r>
      <w:r w:rsidRPr="007119D6">
        <w:rPr>
          <w:rFonts w:ascii="Narkisim" w:hAnsi="Narkisim"/>
          <w:rtl/>
        </w:rPr>
        <w:t xml:space="preserve"> (עא הו' בכס"מ) כת' דגירסא זו ט"ס. [ע"ע כס"מ]</w:t>
      </w:r>
      <w:r w:rsidRPr="007119D6">
        <w:rPr>
          <w:rFonts w:ascii="Narkisim" w:hAnsi="Narkisim"/>
        </w:rPr>
        <w:t>.</w:t>
      </w:r>
    </w:p>
  </w:footnote>
  <w:footnote w:id="8373">
    <w:p w14:paraId="32E3D30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אחרונים</w:t>
      </w:r>
      <w:r w:rsidRPr="007119D6">
        <w:rPr>
          <w:rFonts w:ascii="Narkisim" w:hAnsi="Narkisim"/>
          <w:rtl/>
        </w:rPr>
        <w:t xml:space="preserve"> דנו האם הוה שעה קבועה, וכ”כ ה</w:t>
      </w:r>
      <w:r w:rsidRPr="007119D6">
        <w:rPr>
          <w:rFonts w:ascii="Narkisim" w:hAnsi="Narkisim"/>
          <w:b/>
          <w:bCs/>
          <w:rtl/>
        </w:rPr>
        <w:t>חת”ס</w:t>
      </w:r>
      <w:r w:rsidRPr="007119D6">
        <w:rPr>
          <w:rFonts w:ascii="Narkisim" w:hAnsi="Narkisim"/>
          <w:rtl/>
        </w:rPr>
        <w:t xml:space="preserve"> (ב קמו). אבל ב</w:t>
      </w:r>
      <w:r w:rsidRPr="007119D6">
        <w:rPr>
          <w:rFonts w:ascii="Narkisim" w:hAnsi="Narkisim"/>
          <w:b/>
          <w:bCs/>
          <w:rtl/>
        </w:rPr>
        <w:t>שו"ת חת"ס</w:t>
      </w:r>
      <w:r w:rsidRPr="007119D6">
        <w:rPr>
          <w:rFonts w:ascii="Narkisim" w:hAnsi="Narkisim"/>
          <w:rtl/>
        </w:rPr>
        <w:t xml:space="preserve"> (סג הו' בפתח"ת קיז) העלה צד דהך שעה הוה כשיעור מיל [והביא דבהלכות פסח נקטינן דהוא כ”ב דקות], וכמ"ש הראשונים גבי יציאת נפש [ע"ע בע"ב]</w:t>
      </w:r>
      <w:r w:rsidRPr="007119D6">
        <w:rPr>
          <w:rFonts w:ascii="Narkisim" w:hAnsi="Narkisim"/>
        </w:rPr>
        <w:t>.</w:t>
      </w:r>
    </w:p>
  </w:footnote>
  <w:footnote w:id="8374">
    <w:p w14:paraId="69239E8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בי"ש</w:t>
      </w:r>
      <w:r w:rsidRPr="007119D6">
        <w:rPr>
          <w:rFonts w:ascii="Narkisim" w:hAnsi="Narkisim"/>
          <w:rtl/>
        </w:rPr>
        <w:t xml:space="preserve"> (צ) דאם שהה שעה, א"כ בשעה השניה י"ל דאישתני</w:t>
      </w:r>
      <w:r w:rsidRPr="007119D6">
        <w:rPr>
          <w:rFonts w:ascii="Narkisim" w:hAnsi="Narkisim"/>
        </w:rPr>
        <w:t>.</w:t>
      </w:r>
    </w:p>
  </w:footnote>
  <w:footnote w:id="8375">
    <w:p w14:paraId="1685FCA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ובמהד' פרנקל ציינו דברוב כתה"י הגירסא 'שעות</w:t>
      </w:r>
      <w:r w:rsidRPr="007119D6">
        <w:rPr>
          <w:rFonts w:ascii="Narkisim" w:hAnsi="Narkisim"/>
        </w:rPr>
        <w:t>'.</w:t>
      </w:r>
    </w:p>
  </w:footnote>
  <w:footnote w:id="8376">
    <w:p w14:paraId="2D3AA1C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רע”א</w:t>
      </w:r>
      <w:r w:rsidRPr="007119D6">
        <w:rPr>
          <w:rFonts w:ascii="Narkisim" w:hAnsi="Narkisim"/>
          <w:rtl/>
        </w:rPr>
        <w:t xml:space="preserve"> (ק קט) הביא דעכ”פ מבואר דיכול לחיות תחת המים עכ"פ כשיעור שאין עין שולטת עליו יותר, דהוא עכ"פ ערך מיל. ובחי' רע"א הביא ד</w:t>
      </w:r>
      <w:r w:rsidRPr="007119D6">
        <w:rPr>
          <w:rFonts w:ascii="Narkisim" w:hAnsi="Narkisim"/>
          <w:b/>
          <w:bCs/>
          <w:rtl/>
        </w:rPr>
        <w:t>רש"י</w:t>
      </w:r>
      <w:r w:rsidRPr="007119D6">
        <w:rPr>
          <w:rFonts w:ascii="Narkisim" w:hAnsi="Narkisim"/>
          <w:rtl/>
        </w:rPr>
        <w:t xml:space="preserve"> (קכ:) מבואר דאף שיעור פרסה יכול לחיות תוך המים, והילוך פרסה הוא יותר משעה. אך בסוגריים דחה דאפשר דהילוך פרסה במים הוי זמן מועט</w:t>
      </w:r>
      <w:r w:rsidRPr="007119D6">
        <w:rPr>
          <w:rFonts w:ascii="Narkisim" w:hAnsi="Narkisim"/>
        </w:rPr>
        <w:t>.</w:t>
      </w:r>
    </w:p>
  </w:footnote>
  <w:footnote w:id="8377">
    <w:p w14:paraId="3D5D4CF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לר' מאיר אפי' מים שיש בהם סוף. ולרבנן מים שאין להם סוף</w:t>
      </w:r>
      <w:r w:rsidRPr="007119D6">
        <w:rPr>
          <w:rFonts w:ascii="Narkisim" w:hAnsi="Narkisim"/>
        </w:rPr>
        <w:t>.</w:t>
      </w:r>
    </w:p>
  </w:footnote>
  <w:footnote w:id="8378">
    <w:p w14:paraId="3F5DD13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ב</w:t>
      </w:r>
      <w:r w:rsidRPr="007119D6">
        <w:rPr>
          <w:rFonts w:ascii="Narkisim" w:hAnsi="Narkisim"/>
          <w:b/>
          <w:bCs/>
          <w:rtl/>
        </w:rPr>
        <w:t>תשו' מיימוני</w:t>
      </w:r>
      <w:r w:rsidRPr="007119D6">
        <w:rPr>
          <w:rFonts w:ascii="Narkisim" w:hAnsi="Narkisim"/>
          <w:rtl/>
        </w:rPr>
        <w:t xml:space="preserve"> (נשים יא) דבעריות החמירו לכתחילה, וכדמבואר (בע”ב) דרב נחמן נשבע ע”פ הרוב</w:t>
      </w:r>
      <w:r w:rsidRPr="007119D6">
        <w:rPr>
          <w:rFonts w:ascii="Narkisim" w:hAnsi="Narkisim"/>
        </w:rPr>
        <w:t>.</w:t>
      </w:r>
    </w:p>
    <w:p w14:paraId="0D2FAA4F"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(ב ח ו) דן כשהיבם נפל במים שאין להם סוף, האם אמרי' דיבמה לשוק הוה איסור לאו בעלמא [והאחרונים האריכו בזה אי החמירו ביבמה כמו אישות], וסומכים על הרוב. וציין לנוב"י (ת סז)</w:t>
      </w:r>
      <w:r w:rsidRPr="007119D6">
        <w:rPr>
          <w:rFonts w:ascii="Narkisim" w:hAnsi="Narkisim"/>
        </w:rPr>
        <w:t>.</w:t>
      </w:r>
    </w:p>
  </w:footnote>
  <w:footnote w:id="8379">
    <w:p w14:paraId="78A55A2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(פב) כת' דלכתחלה לא תנשא משום חומרא דאשת איש ולזות שפתים</w:t>
      </w:r>
      <w:r w:rsidRPr="007119D6">
        <w:rPr>
          <w:rFonts w:ascii="Narkisim" w:hAnsi="Narkisim"/>
        </w:rPr>
        <w:t>.</w:t>
      </w:r>
    </w:p>
  </w:footnote>
  <w:footnote w:id="8380">
    <w:p w14:paraId="7A81B3D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ובתוספתא (גיטין ב) אי' דהוסיפו גררתו חיה או ששטפו נהר או שנפל עליו מפולת, נותנין עליו חומרי חיים וחומרי מתים</w:t>
      </w:r>
      <w:r w:rsidRPr="007119D6">
        <w:rPr>
          <w:rFonts w:ascii="Narkisim" w:hAnsi="Narkisim"/>
        </w:rPr>
        <w:t>.</w:t>
      </w:r>
    </w:p>
  </w:footnote>
  <w:footnote w:id="8381">
    <w:p w14:paraId="5CDCEED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הר"ב אשכנזי</w:t>
      </w:r>
      <w:r w:rsidRPr="007119D6">
        <w:rPr>
          <w:rFonts w:ascii="Narkisim" w:hAnsi="Narkisim"/>
          <w:rtl/>
        </w:rPr>
        <w:t xml:space="preserve"> (כ) דייק דהרמב"ם ס"ל דהיכא דטבע הספינה חזקה שמת. וכיון שאבד זכרו ירדו לנחלה, ואם נשאת לא תצא. אבל המהרח"ש (קו' עגונא נ: בדה"ס) כת' דאף הרמב"ם מודה דטבע הוה ספק. ע"ע פתח"ת (יז קמד)</w:t>
      </w:r>
      <w:r w:rsidRPr="007119D6">
        <w:rPr>
          <w:rFonts w:ascii="Narkisim" w:hAnsi="Narkisim"/>
        </w:rPr>
        <w:t>.</w:t>
      </w:r>
    </w:p>
  </w:footnote>
  <w:footnote w:id="8382">
    <w:p w14:paraId="22C3565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(מג הו' בפתח"ת יז קמג) תמה חדא דזה לא מקרי ב' חזקות, דהכל א'. דהיא א"א ע"י שבעלה חי. ועוד כי איכא תרי חזקה מאי הוי, הלא רובא עדיף גם מתרי חזקה. [ואכמ"ל]</w:t>
      </w:r>
      <w:r w:rsidRPr="007119D6">
        <w:rPr>
          <w:rFonts w:ascii="Narkisim" w:hAnsi="Narkisim"/>
        </w:rPr>
        <w:t>.</w:t>
      </w:r>
    </w:p>
  </w:footnote>
  <w:footnote w:id="8383">
    <w:p w14:paraId="3AD4363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והביאו דה</w:t>
      </w:r>
      <w:r w:rsidRPr="007119D6">
        <w:rPr>
          <w:rFonts w:ascii="Narkisim" w:hAnsi="Narkisim"/>
          <w:b/>
          <w:bCs/>
          <w:rtl/>
        </w:rPr>
        <w:t>עצי ארזים</w:t>
      </w:r>
      <w:r w:rsidRPr="007119D6">
        <w:rPr>
          <w:rFonts w:ascii="Narkisim" w:hAnsi="Narkisim"/>
          <w:rtl/>
        </w:rPr>
        <w:t xml:space="preserve"> (יז קצ) דייק מהרשבא דאף סימן מובהק למ</w:t>
      </w:r>
    </w:p>
  </w:footnote>
  <w:footnote w:id="8384">
    <w:p w14:paraId="7A30204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ביאר דהתם רבא בא להתיר כיון דהכירו שהיה ידו [ומסתמא אף הגוף ממנו], אלא דר' חייא דחה דילמא רק היד שלו. [וע' לעיל מש"כ בדעת רש"י והרמ"ה]</w:t>
      </w:r>
      <w:r w:rsidRPr="007119D6">
        <w:rPr>
          <w:rFonts w:ascii="Narkisim" w:hAnsi="Narkisim"/>
        </w:rPr>
        <w:t>.</w:t>
      </w:r>
    </w:p>
  </w:footnote>
  <w:footnote w:id="8385">
    <w:p w14:paraId="23528D1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וכ"כ </w:t>
      </w:r>
      <w:r w:rsidRPr="007119D6">
        <w:rPr>
          <w:rFonts w:ascii="Narkisim" w:hAnsi="Narkisim"/>
          <w:b/>
          <w:bCs/>
          <w:rtl/>
        </w:rPr>
        <w:t>תוס'</w:t>
      </w:r>
      <w:r w:rsidRPr="007119D6">
        <w:rPr>
          <w:rFonts w:ascii="Narkisim" w:hAnsi="Narkisim"/>
          <w:rtl/>
        </w:rPr>
        <w:t xml:space="preserve"> (לעיל קטו: ד"ה וקאמרי) דצריך דוקא סימן מובהק [למ”ד סימנים לאו דאורייתא]. ואף דידעינן שטבע כאן</w:t>
      </w:r>
      <w:r w:rsidRPr="007119D6">
        <w:rPr>
          <w:rFonts w:ascii="Narkisim" w:hAnsi="Narkisim"/>
        </w:rPr>
        <w:t>.</w:t>
      </w:r>
    </w:p>
  </w:footnote>
  <w:footnote w:id="8386">
    <w:p w14:paraId="30FBBB2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כת' דשמא הרמב"ם איירי בשלא נתעלם מן העין עד שעלתה רגלו בידם</w:t>
      </w:r>
      <w:r w:rsidRPr="007119D6">
        <w:rPr>
          <w:rFonts w:ascii="Narkisim" w:hAnsi="Narkisim"/>
        </w:rPr>
        <w:t>.</w:t>
      </w:r>
    </w:p>
  </w:footnote>
  <w:footnote w:id="8387">
    <w:p w14:paraId="444743B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(ז יז) הביא דה</w:t>
      </w:r>
      <w:r w:rsidRPr="007119D6">
        <w:rPr>
          <w:rFonts w:ascii="Narkisim" w:hAnsi="Narkisim"/>
          <w:b/>
          <w:bCs/>
          <w:rtl/>
        </w:rPr>
        <w:t>מבי"ט</w:t>
      </w:r>
      <w:r w:rsidRPr="007119D6">
        <w:rPr>
          <w:rFonts w:ascii="Narkisim" w:hAnsi="Narkisim"/>
          <w:rtl/>
        </w:rPr>
        <w:t xml:space="preserve"> (א קלה) כת' דהיכא דידוע שהלך במקום מסויים, ולא נודע היכן הוא ואבד זכרו, ונמצא בדרך הזה הרוג. דמדאורייתא אמרי' כאן נמצא כאן היה. [ואם נשאת לא תצא]. והש"ש כת' שהוא תמוה בעיני האחרונים</w:t>
      </w:r>
      <w:r w:rsidRPr="007119D6">
        <w:rPr>
          <w:rFonts w:ascii="Narkisim" w:hAnsi="Narkisim"/>
        </w:rPr>
        <w:t>.</w:t>
      </w:r>
    </w:p>
  </w:footnote>
  <w:footnote w:id="8388">
    <w:p w14:paraId="7CFDDC6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כיו"ב (פסחים י:) הכניס עכבר ומצאו פירורין [אפי' כדי כל הככר] לא אמרי' דזהו שנאבד. כיון דנשתנה צורתו. וה</w:t>
      </w:r>
      <w:r w:rsidRPr="007119D6">
        <w:rPr>
          <w:rFonts w:ascii="Narkisim" w:hAnsi="Narkisim"/>
          <w:b/>
          <w:bCs/>
          <w:rtl/>
        </w:rPr>
        <w:t>קהלת יעקב</w:t>
      </w:r>
      <w:r w:rsidRPr="007119D6">
        <w:rPr>
          <w:rFonts w:ascii="Narkisim" w:hAnsi="Narkisim"/>
          <w:rtl/>
        </w:rPr>
        <w:t xml:space="preserve"> (יז יח ד"ה בשו"ת נ"ב) קילס את דברי הש"ש דהתם השדה בחזקת טהרה מלבד הקבר שנאבד, ואילו הכא האשה בחזקת אשת איש, ומשום סברת היינו הך שנאבד אין להוציאה מחזקתה</w:t>
      </w:r>
      <w:r w:rsidRPr="007119D6">
        <w:rPr>
          <w:rFonts w:ascii="Narkisim" w:hAnsi="Narkisim"/>
        </w:rPr>
        <w:t>.</w:t>
      </w:r>
    </w:p>
  </w:footnote>
  <w:footnote w:id="8389">
    <w:p w14:paraId="31FD779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ועוה"ק הש"ש דניחוש שמא זה הלך לדרכו, ואדם אחר מת כאן. וה</w:t>
      </w:r>
      <w:r w:rsidRPr="007119D6">
        <w:rPr>
          <w:rFonts w:ascii="Narkisim" w:hAnsi="Narkisim"/>
          <w:b/>
          <w:bCs/>
          <w:rtl/>
        </w:rPr>
        <w:t>אחרונים</w:t>
      </w:r>
      <w:r w:rsidRPr="007119D6">
        <w:rPr>
          <w:rFonts w:ascii="Narkisim" w:hAnsi="Narkisim"/>
          <w:rtl/>
        </w:rPr>
        <w:t xml:space="preserve"> הוסיפו דכמה אנשים הולכים בדרכים [אף דרק א' לא נודע מקומו]. {וסברת המבי"ט דכיון דלא נודע היכן הוא נחשב שנאבד. ואדם זה ידוע שהיה כאן, ועכשיו הוא נאבד. ולא ידוע על אדם אחר שנאבד}</w:t>
      </w:r>
      <w:r w:rsidRPr="007119D6">
        <w:rPr>
          <w:rFonts w:ascii="Narkisim" w:hAnsi="Narkisim"/>
        </w:rPr>
        <w:t>.</w:t>
      </w:r>
    </w:p>
  </w:footnote>
  <w:footnote w:id="8390">
    <w:p w14:paraId="63E0E43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ועוד כת' ה</w:t>
      </w:r>
      <w:r w:rsidRPr="007119D6">
        <w:rPr>
          <w:rFonts w:ascii="Narkisim" w:hAnsi="Narkisim"/>
          <w:b/>
          <w:bCs/>
          <w:rtl/>
        </w:rPr>
        <w:t>נוב"י</w:t>
      </w:r>
      <w:r w:rsidRPr="007119D6">
        <w:rPr>
          <w:rFonts w:ascii="Narkisim" w:hAnsi="Narkisim"/>
          <w:rtl/>
        </w:rPr>
        <w:t xml:space="preserve"> טעם נוסף גבי צלוב, דאת"ל דאינו הראשון א"כ י"ל דהוה תוך ג' ימים משמת. ומהני להכירו. [כסוברים דספק ג' ימים מעידים]. וי"ל דאף הבי"ש מודה בזה, והבי"ש איירי באופן דיש לתלות שהעצמות היה כאן מזמן רב</w:t>
      </w:r>
      <w:r w:rsidRPr="007119D6">
        <w:rPr>
          <w:rFonts w:ascii="Narkisim" w:hAnsi="Narkisim"/>
        </w:rPr>
        <w:t>.</w:t>
      </w:r>
    </w:p>
  </w:footnote>
  <w:footnote w:id="8391">
    <w:p w14:paraId="459F28E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 ע"ד הא דאי' (שם) דתינוק דרכו לפרר. {ומשמע דכוונתו דהוה כנאבד פרורים ונמצא פרורין. אך צ"ע דמאחר דלא סמכי' על רוב שהצלוב מת, א"כ מה מוסיף לנו כאן נמצא כאן היה שמיוסד על רוב זה. וצ"ל דכיון דרואים לפנינו דבר שדרכו לפורר מהני בגדרי כאן נמצא כאן היה}</w:t>
      </w:r>
      <w:r w:rsidRPr="007119D6">
        <w:rPr>
          <w:rFonts w:ascii="Narkisim" w:hAnsi="Narkisim"/>
        </w:rPr>
        <w:t>.</w:t>
      </w:r>
    </w:p>
  </w:footnote>
  <w:footnote w:id="8392">
    <w:p w14:paraId="05F2195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משמע דנקט דקי"ל דמדאורייתא אזלי' בתר רוב [וכדברי התוס' בכ"מ, הו' לעיל], ואפ"ה נשאת תצא [כדברי הריב"ש]</w:t>
      </w:r>
      <w:r w:rsidRPr="007119D6">
        <w:rPr>
          <w:rFonts w:ascii="Narkisim" w:hAnsi="Narkisim"/>
        </w:rPr>
        <w:t>.</w:t>
      </w:r>
    </w:p>
  </w:footnote>
  <w:footnote w:id="8393">
    <w:p w14:paraId="33C2E12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וכיון דהנך בחזקת חיים אמרינן זה הנמצא פירש למיתה, והראשון פירש לחיים. משא"כ בככר הנמצא מקום שדרכן לפרר הוי בחזקת שנפרר, ומשום הכי כשנמצא כבר נפרר אמרינן דהוא הככר שנאבד</w:t>
      </w:r>
      <w:r w:rsidRPr="007119D6">
        <w:rPr>
          <w:rFonts w:ascii="Narkisim" w:hAnsi="Narkisim"/>
        </w:rPr>
        <w:t>.</w:t>
      </w:r>
    </w:p>
  </w:footnote>
  <w:footnote w:id="8394">
    <w:p w14:paraId="5644074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נוב"י</w:t>
      </w:r>
      <w:r w:rsidRPr="007119D6">
        <w:rPr>
          <w:rFonts w:ascii="Narkisim" w:hAnsi="Narkisim"/>
          <w:rtl/>
        </w:rPr>
        <w:t xml:space="preserve"> (ק מו) כת' דהכא אדרבה אמרינן כאן נמצא רגל זה במים כאן היה זה זמן רב, קודם שנפל הראשון למים. וא"כ אינו זה שנפל</w:t>
      </w:r>
      <w:r w:rsidRPr="007119D6">
        <w:rPr>
          <w:rFonts w:ascii="Narkisim" w:hAnsi="Narkisim"/>
        </w:rPr>
        <w:t>.</w:t>
      </w:r>
    </w:p>
  </w:footnote>
  <w:footnote w:id="8395">
    <w:p w14:paraId="0AD9246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וכל דברי הפוסקים כגון דלא ידוע שהלך בדרך זה</w:t>
      </w:r>
      <w:r w:rsidRPr="007119D6">
        <w:rPr>
          <w:rFonts w:ascii="Narkisim" w:hAnsi="Narkisim"/>
        </w:rPr>
        <w:t>.</w:t>
      </w:r>
    </w:p>
  </w:footnote>
  <w:footnote w:id="8396">
    <w:p w14:paraId="4755B6C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(ז כ) חלק דשם יוסף בן שמעון מהני מדאורייתא, דהוחזק שנאבד כזה. ואילו סימן לא נחשב דהוחזק שנאבד כזה. ודוקא שם נודע ומפורסם. [ועי”ש עוד]</w:t>
      </w:r>
      <w:r w:rsidRPr="007119D6">
        <w:rPr>
          <w:rFonts w:ascii="Narkisim" w:hAnsi="Narkisim"/>
        </w:rPr>
        <w:t>.</w:t>
      </w:r>
    </w:p>
  </w:footnote>
  <w:footnote w:id="8397">
    <w:p w14:paraId="3E515E0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קהלת יעקב</w:t>
      </w:r>
      <w:r w:rsidRPr="007119D6">
        <w:rPr>
          <w:rFonts w:ascii="Narkisim" w:hAnsi="Narkisim"/>
          <w:rtl/>
        </w:rPr>
        <w:t xml:space="preserve"> (יז כט, הו' בפתח"ת קכח) תי' דהכא דנפל בים י"ל דהוה כמו שיירות מצויות דכמה בני אדם טבעו בים. ועד"ז כת' ה</w:t>
      </w:r>
      <w:r w:rsidRPr="007119D6">
        <w:rPr>
          <w:rFonts w:ascii="Narkisim" w:hAnsi="Narkisim"/>
          <w:b/>
          <w:bCs/>
          <w:rtl/>
        </w:rPr>
        <w:t>נוב"י</w:t>
      </w:r>
      <w:r w:rsidRPr="007119D6">
        <w:rPr>
          <w:rFonts w:ascii="Narkisim" w:hAnsi="Narkisim"/>
          <w:rtl/>
        </w:rPr>
        <w:t xml:space="preserve"> (ק מו), ועפ"ז העלה צד דדוקא נפל לים. אבל נפל לנהר שלא שמענו מעולם שטבעו בו מהני. [ועע"ש]</w:t>
      </w:r>
      <w:r w:rsidRPr="007119D6">
        <w:rPr>
          <w:rFonts w:ascii="Narkisim" w:hAnsi="Narkisim"/>
        </w:rPr>
        <w:t>.</w:t>
      </w:r>
    </w:p>
  </w:footnote>
  <w:footnote w:id="8398">
    <w:p w14:paraId="529066A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ואביי הוסיף דלא תלי דהמים מצד עצמן יש להם סוף, אלא דהעד ראה ד' הרוחות</w:t>
      </w:r>
      <w:r w:rsidRPr="007119D6">
        <w:rPr>
          <w:rFonts w:ascii="Narkisim" w:hAnsi="Narkisim"/>
        </w:rPr>
        <w:t>.</w:t>
      </w:r>
    </w:p>
  </w:footnote>
  <w:footnote w:id="8399">
    <w:p w14:paraId="08BE7B5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וע"ע לקמן בע"ב מהו שיעור שתצא נפשו</w:t>
      </w:r>
      <w:r w:rsidRPr="007119D6">
        <w:rPr>
          <w:rFonts w:ascii="Narkisim" w:hAnsi="Narkisim"/>
        </w:rPr>
        <w:t>].</w:t>
      </w:r>
    </w:p>
    <w:p w14:paraId="0E8EA9AD"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בית הלוי</w:t>
      </w:r>
      <w:r w:rsidRPr="007119D6">
        <w:rPr>
          <w:rFonts w:ascii="Narkisim" w:hAnsi="Narkisim"/>
          <w:rtl/>
        </w:rPr>
        <w:t xml:space="preserve"> (ג יא ד"ה עוד) נסתפק האם כוונת הרשב"א דצריך שהעד השוהה עליו יסתכל בכל משך אורך שליטת העין שלו [ובעינן בדוקא שעומד ורואה ד' רוחותיו]. או דסגי שרואה במקום הטביעה [במקום שאפשר לראות ד' רוחות]. והבית הלוי העיר דיש אדם שעיניו שולטות יותר, ויש עיניו כהות</w:t>
      </w:r>
      <w:r w:rsidRPr="007119D6">
        <w:rPr>
          <w:rFonts w:ascii="Narkisim" w:hAnsi="Narkisim"/>
        </w:rPr>
        <w:t>.</w:t>
      </w:r>
    </w:p>
  </w:footnote>
  <w:footnote w:id="8400">
    <w:p w14:paraId="121008F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דרוב העולם קוראין לכלל הדברים האלה טביעות, ואין מדקדקין דכיון שנשברה ספינה במקום רחוק מאד מהעיר, יחשבו הרואין שאי אפשר למי שנפל שם להנצל ולצאת אל היבשה. וע"פ דין הוה ספק, דשמא ניצל ע”ג עץ וכדו</w:t>
      </w:r>
      <w:r w:rsidRPr="007119D6">
        <w:rPr>
          <w:rFonts w:ascii="Narkisim" w:hAnsi="Narkisim"/>
        </w:rPr>
        <w:t>'.</w:t>
      </w:r>
    </w:p>
  </w:footnote>
  <w:footnote w:id="8401">
    <w:p w14:paraId="0C35EC7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שו"ע</w:t>
      </w:r>
      <w:r w:rsidRPr="007119D6">
        <w:rPr>
          <w:rFonts w:ascii="Narkisim" w:hAnsi="Narkisim"/>
          <w:rtl/>
        </w:rPr>
        <w:t xml:space="preserve"> (שם לח) אי' דהנשבע או מברך ברכה לבטלה בשוגג, שלא ידע שיש בזה איסור אין מנדין אותו. וה</w:t>
      </w:r>
      <w:r w:rsidRPr="007119D6">
        <w:rPr>
          <w:rFonts w:ascii="Narkisim" w:hAnsi="Narkisim"/>
          <w:b/>
          <w:bCs/>
          <w:rtl/>
        </w:rPr>
        <w:t>גר”א</w:t>
      </w:r>
      <w:r w:rsidRPr="007119D6">
        <w:rPr>
          <w:rFonts w:ascii="Narkisim" w:hAnsi="Narkisim"/>
          <w:rtl/>
        </w:rPr>
        <w:t xml:space="preserve"> ציין לסוגיין, והוסיף וכן בכ"ד שחייב נידוי. [ויל"ד אמאי הוצרך לזה לראיה, הא בכל התורה השוגג ליכא עונש]</w:t>
      </w:r>
      <w:r w:rsidRPr="007119D6">
        <w:rPr>
          <w:rFonts w:ascii="Narkisim" w:hAnsi="Narkisim"/>
        </w:rPr>
        <w:t>.</w:t>
      </w:r>
    </w:p>
    <w:p w14:paraId="0BBE46B0" w14:textId="77777777" w:rsidR="006C4368" w:rsidRPr="007119D6" w:rsidRDefault="006C4368" w:rsidP="006C4368">
      <w:pPr>
        <w:pStyle w:val="Footnote"/>
        <w:bidi/>
        <w:rPr>
          <w:rFonts w:ascii="Narkisim" w:hAnsi="Narkisim"/>
        </w:rPr>
      </w:pPr>
      <w:r w:rsidRPr="007119D6">
        <w:rPr>
          <w:rFonts w:ascii="Narkisim" w:hAnsi="Narkisim"/>
        </w:rPr>
        <w:tab/>
        <w:t>{</w:t>
      </w:r>
      <w:r w:rsidRPr="007119D6">
        <w:rPr>
          <w:rFonts w:ascii="Narkisim" w:hAnsi="Narkisim"/>
          <w:rtl/>
        </w:rPr>
        <w:t xml:space="preserve">ויל”ד דהכא אין כאן עבירה בעצם הפעולה, אלא דהורה שלא כתקנ"ח. וכיון דלא ידע אין כאן המראה על דבריהם. והאיך הוכיח להתם, דעצם הזכרת השם מחייב נידוי. וע”ע </w:t>
      </w:r>
      <w:r w:rsidRPr="007119D6">
        <w:rPr>
          <w:rFonts w:ascii="Narkisim" w:hAnsi="Narkisim"/>
          <w:b/>
          <w:bCs/>
          <w:rtl/>
        </w:rPr>
        <w:t>חי' ר' א"ל מלין</w:t>
      </w:r>
      <w:r w:rsidRPr="007119D6">
        <w:rPr>
          <w:rFonts w:ascii="Narkisim" w:hAnsi="Narkisim"/>
          <w:rtl/>
        </w:rPr>
        <w:t xml:space="preserve"> (א כב)</w:t>
      </w:r>
      <w:r w:rsidRPr="007119D6">
        <w:rPr>
          <w:rFonts w:ascii="Narkisim" w:hAnsi="Narkisim"/>
        </w:rPr>
        <w:t>}.</w:t>
      </w:r>
    </w:p>
  </w:footnote>
  <w:footnote w:id="8402">
    <w:p w14:paraId="1DAA882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רמב"ם</w:t>
      </w:r>
      <w:r w:rsidRPr="007119D6">
        <w:rPr>
          <w:rFonts w:ascii="Narkisim" w:hAnsi="Narkisim"/>
          <w:rtl/>
        </w:rPr>
        <w:t xml:space="preserve"> (נחלות ז ג) כת' דהיכא דטבע ואבד זכרו מורידים לנחלה. ול"מ להתיר את אשתו. והפוסקים נקטו דהוה שיעור י"ב חודש</w:t>
      </w:r>
      <w:r w:rsidRPr="007119D6">
        <w:rPr>
          <w:rFonts w:ascii="Narkisim" w:hAnsi="Narkisim"/>
        </w:rPr>
        <w:t>.</w:t>
      </w:r>
    </w:p>
  </w:footnote>
  <w:footnote w:id="8403">
    <w:p w14:paraId="3236458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ובתחילת דבריו כת' שהאיש שהלך [ותלינן שנהרג] היה בעל שם, ויש לו קרובים הרבה בכמה מדינות. וזה כמה שנים שנשתקע שמו ואבד זכרו</w:t>
      </w:r>
      <w:r w:rsidRPr="007119D6">
        <w:rPr>
          <w:rFonts w:ascii="Narkisim" w:hAnsi="Narkisim"/>
        </w:rPr>
        <w:t>.</w:t>
      </w:r>
    </w:p>
  </w:footnote>
  <w:footnote w:id="8404">
    <w:p w14:paraId="6716A54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טפי מקול דצורבא מדרבנן בזמן חכמי התלמוד שהיו ישראל עם רב בכמה וכמה מקומות. דאילו עכשיו בעונותינו הרבים בגלותינו אנו מפוזרים ומפורדים מעט בכל מקום, ואלו היה חי ברחוק מאתים או שלש מאות פרסה היה נודע ונשמע לנו. וכה"ג מיקרי רובא דשכיחי טובא אף שבא מכח סתמא, וכמו סתם סופרי דדייני מגמר גמירי, ורוב מצויין אצל שחיטה מומחין</w:t>
      </w:r>
      <w:r w:rsidRPr="007119D6">
        <w:rPr>
          <w:rFonts w:ascii="Narkisim" w:hAnsi="Narkisim"/>
        </w:rPr>
        <w:t>.</w:t>
      </w:r>
    </w:p>
    <w:p w14:paraId="6ACEC4EB"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רדב"ז</w:t>
      </w:r>
      <w:r w:rsidRPr="007119D6">
        <w:rPr>
          <w:rFonts w:ascii="Narkisim" w:hAnsi="Narkisim"/>
          <w:rtl/>
        </w:rPr>
        <w:t xml:space="preserve"> חלק דאדרבה בזמננו זה ישראל נפוצים בכל ד' פנות העולם והדרכים משובשים בגייסות, ואפי' שהוא חי לית ליה קלא</w:t>
      </w:r>
      <w:r w:rsidRPr="007119D6">
        <w:rPr>
          <w:rFonts w:ascii="Narkisim" w:hAnsi="Narkisim"/>
        </w:rPr>
        <w:t>.</w:t>
      </w:r>
    </w:p>
  </w:footnote>
  <w:footnote w:id="8405">
    <w:p w14:paraId="1965537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רדב"ז</w:t>
      </w:r>
      <w:r w:rsidRPr="007119D6">
        <w:rPr>
          <w:rFonts w:ascii="Narkisim" w:hAnsi="Narkisim"/>
          <w:rtl/>
        </w:rPr>
        <w:t xml:space="preserve"> כת' שאם מעשה כזה היה בא לפניו היה מוציא האשה מבעלה והיה עושה בניה ספק ממזרים</w:t>
      </w:r>
      <w:r w:rsidRPr="007119D6">
        <w:rPr>
          <w:rFonts w:ascii="Narkisim" w:hAnsi="Narkisim"/>
        </w:rPr>
        <w:t>.</w:t>
      </w:r>
    </w:p>
  </w:footnote>
  <w:footnote w:id="8406">
    <w:p w14:paraId="5F3F21C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(נח הו' בפתח"ת עז) כת' דתלי במח' הראשונים, דלשיטת התוס' והרא"ש ושאר פוסקים מהני אומדנות המוכיחות טובא, דחשיב כרוב גמור הוא דסמכינן עלייהו מן התורה. אבל מבואר בדברי ה</w:t>
      </w:r>
      <w:r w:rsidRPr="007119D6">
        <w:rPr>
          <w:rFonts w:ascii="Narkisim" w:hAnsi="Narkisim"/>
          <w:b/>
          <w:bCs/>
          <w:rtl/>
        </w:rPr>
        <w:t>רמב"ם</w:t>
      </w:r>
      <w:r w:rsidRPr="007119D6">
        <w:rPr>
          <w:rFonts w:ascii="Narkisim" w:hAnsi="Narkisim"/>
          <w:rtl/>
        </w:rPr>
        <w:t xml:space="preserve"> (נחלות ז ד) דאפי' בדברים שרובן למיתה אם נשאת תצא מדרבנן. וכדעת הרדב"ז. [וכת' דאין להקל בזה אלא בשעת הדחק ולפי ראות עיני המורה להורות כשורה</w:t>
      </w:r>
      <w:r w:rsidRPr="007119D6">
        <w:rPr>
          <w:rFonts w:ascii="Narkisim" w:hAnsi="Narkisim"/>
        </w:rPr>
        <w:t>.</w:t>
      </w:r>
    </w:p>
  </w:footnote>
  <w:footnote w:id="8407">
    <w:p w14:paraId="1400395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משמע בתוס' דאף לולי רוב דמים שאין להם סוף [וכגון שלא שהה שתצא נפשו], מהני רוב דאי סליק קלא אית ליה. ואם נשאת לא תצא. וכ"כ ב</w:t>
      </w:r>
      <w:r w:rsidRPr="007119D6">
        <w:rPr>
          <w:rFonts w:ascii="Narkisim" w:hAnsi="Narkisim"/>
          <w:b/>
          <w:bCs/>
          <w:rtl/>
        </w:rPr>
        <w:t>מראות הצובאות</w:t>
      </w:r>
      <w:r w:rsidRPr="007119D6">
        <w:rPr>
          <w:rFonts w:ascii="Narkisim" w:hAnsi="Narkisim"/>
          <w:rtl/>
        </w:rPr>
        <w:t xml:space="preserve"> (קלד) דגבי חסא (בע”ב) לא הוזכר ששהו עד שיצא נפשו</w:t>
      </w:r>
      <w:r w:rsidRPr="007119D6">
        <w:rPr>
          <w:rFonts w:ascii="Narkisim" w:hAnsi="Narkisim"/>
        </w:rPr>
        <w:t>.</w:t>
      </w:r>
    </w:p>
  </w:footnote>
  <w:footnote w:id="8408">
    <w:p w14:paraId="67A5B61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ומשמע בתוס' דאף בגוסס אם נשאת לא תצא (וע' מה שהו' לעיל קכ:)</w:t>
      </w:r>
      <w:r w:rsidRPr="007119D6">
        <w:rPr>
          <w:rFonts w:ascii="Narkisim" w:hAnsi="Narkisim"/>
        </w:rPr>
        <w:t>.</w:t>
      </w:r>
    </w:p>
  </w:footnote>
  <w:footnote w:id="8409">
    <w:p w14:paraId="5B46B21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ודייק כן מדברי </w:t>
      </w:r>
      <w:r w:rsidRPr="007119D6">
        <w:rPr>
          <w:rFonts w:ascii="Narkisim" w:hAnsi="Narkisim"/>
          <w:b/>
          <w:bCs/>
          <w:rtl/>
        </w:rPr>
        <w:t>רש”י</w:t>
      </w:r>
      <w:r w:rsidRPr="007119D6">
        <w:rPr>
          <w:rFonts w:ascii="Narkisim" w:hAnsi="Narkisim"/>
          <w:rtl/>
        </w:rPr>
        <w:t xml:space="preserve"> (במשנה קכ.) דתנן אע"פ שראוהו מגויד וצלוב והחיה אוכלת בו, וכתב רש"י או צלוב או חיה דורסתו וכו'. ודייק דהיכא דהוה תרוייהו מתירין</w:t>
      </w:r>
      <w:r w:rsidRPr="007119D6">
        <w:rPr>
          <w:rFonts w:ascii="Narkisim" w:hAnsi="Narkisim"/>
        </w:rPr>
        <w:t>.</w:t>
      </w:r>
    </w:p>
  </w:footnote>
  <w:footnote w:id="8410">
    <w:p w14:paraId="422B2F9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אך יש לחלק דהתם הוה רובא דאיתא קמן, ומשום גזירה אטו קבוע. ומהני תרי רובא שלא יהא גזירת קבוע. ול"ש לסוגיין</w:t>
      </w:r>
      <w:r w:rsidRPr="007119D6">
        <w:rPr>
          <w:rFonts w:ascii="Narkisim" w:hAnsi="Narkisim"/>
        </w:rPr>
        <w:t>}.</w:t>
      </w:r>
    </w:p>
  </w:footnote>
  <w:footnote w:id="8411">
    <w:p w14:paraId="0DCD8AC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מראות צובאות</w:t>
      </w:r>
      <w:r w:rsidRPr="007119D6">
        <w:rPr>
          <w:rFonts w:ascii="Narkisim" w:hAnsi="Narkisim"/>
          <w:rtl/>
        </w:rPr>
        <w:t xml:space="preserve"> (יז קטו) הביא דדעת תוס' דאף בתרי רובי לא תנשא לכתחילה</w:t>
      </w:r>
      <w:r w:rsidRPr="007119D6">
        <w:rPr>
          <w:rFonts w:ascii="Narkisim" w:hAnsi="Narkisim"/>
        </w:rPr>
        <w:t>.</w:t>
      </w:r>
    </w:p>
    <w:p w14:paraId="21519C62"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אבל ב</w:t>
      </w:r>
      <w:r w:rsidRPr="007119D6">
        <w:rPr>
          <w:rFonts w:ascii="Narkisim" w:hAnsi="Narkisim"/>
          <w:b/>
          <w:bCs/>
          <w:rtl/>
        </w:rPr>
        <w:t>שו"ת בית יעקב</w:t>
      </w:r>
      <w:r w:rsidRPr="007119D6">
        <w:rPr>
          <w:rFonts w:ascii="Narkisim" w:hAnsi="Narkisim"/>
          <w:rtl/>
        </w:rPr>
        <w:t xml:space="preserve"> (ט) תי' דתוס' דידן ס"ל דמים שאין להם סוף ליכא רוב למיתה. דהא להרחיקו להביא ראיה דוקא מגוסס. [וצ"ע א”כ אמאי אם נשאת לא תצא. ועוד דא”כ מנ”ל לתוס' דבגוסס אם נשאת לא תצא אי לא דמי כלל]</w:t>
      </w:r>
      <w:r w:rsidRPr="007119D6">
        <w:rPr>
          <w:rFonts w:ascii="Narkisim" w:hAnsi="Narkisim"/>
        </w:rPr>
        <w:t>.</w:t>
      </w:r>
    </w:p>
  </w:footnote>
  <w:footnote w:id="8412">
    <w:p w14:paraId="52E915E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והדף של ספינה הצילו מפני גלי הים. והמהרש"א ח"א (ב"ב עג.) כת' דגל הוה משל לצרות דהגלות, וע"פ הפסוק (תהילים מב ח) וגליך עברו עלי. [וע' מש"כ עפ"ז]</w:t>
      </w:r>
      <w:r w:rsidRPr="007119D6">
        <w:rPr>
          <w:rFonts w:ascii="Narkisim" w:hAnsi="Narkisim"/>
        </w:rPr>
        <w:t>.</w:t>
      </w:r>
    </w:p>
  </w:footnote>
  <w:footnote w:id="8413">
    <w:p w14:paraId="52F9D82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פתח"ת</w:t>
      </w:r>
      <w:r w:rsidRPr="007119D6">
        <w:rPr>
          <w:rFonts w:ascii="Narkisim" w:hAnsi="Narkisim"/>
          <w:rtl/>
        </w:rPr>
        <w:t xml:space="preserve"> (יז קלג בסופו) הביא מהגמ' (ב"ב כד.) דעקולי ופשורי הוה מטבעי לה. [והביא דתלי בגרסאות הראשונים שם]</w:t>
      </w:r>
      <w:r w:rsidRPr="007119D6">
        <w:rPr>
          <w:rFonts w:ascii="Narkisim" w:hAnsi="Narkisim"/>
        </w:rPr>
        <w:t>.</w:t>
      </w:r>
    </w:p>
  </w:footnote>
  <w:footnote w:id="8414">
    <w:p w14:paraId="55E6CBA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שיירי קרבן</w:t>
      </w:r>
      <w:r w:rsidRPr="007119D6">
        <w:rPr>
          <w:rFonts w:ascii="Narkisim" w:hAnsi="Narkisim"/>
          <w:rtl/>
        </w:rPr>
        <w:t xml:space="preserve"> (לירושלמי) הק' דבגמ' (זבחים צא:) אי' דזילוף יין ע"ג האישים נחשב כיבוי לאש המזבח. ואת"ל שגורם שיבעיר טפי א"כ אמאי חשיב כיבוי, ולא יהא אלא מפוח שמכבה בתחלה ומבעיר לבסוף, וצ"ע</w:t>
      </w:r>
      <w:r w:rsidRPr="007119D6">
        <w:rPr>
          <w:rFonts w:ascii="Narkisim" w:hAnsi="Narkisim"/>
        </w:rPr>
        <w:t>.</w:t>
      </w:r>
    </w:p>
  </w:footnote>
  <w:footnote w:id="8415">
    <w:p w14:paraId="121EA97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דשמא קתני ליורה 'מלאה', ועי"ז על כרחין כשנפל הוא לתוכה נתזו משקין שבתוכה</w:t>
      </w:r>
      <w:r w:rsidRPr="007119D6">
        <w:rPr>
          <w:rFonts w:ascii="Narkisim" w:hAnsi="Narkisim"/>
        </w:rPr>
        <w:t>.</w:t>
      </w:r>
    </w:p>
  </w:footnote>
  <w:footnote w:id="8416">
    <w:p w14:paraId="3D57389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ולשון ה</w:t>
      </w:r>
      <w:r w:rsidRPr="007119D6">
        <w:rPr>
          <w:rFonts w:ascii="Narkisim" w:hAnsi="Narkisim"/>
          <w:b/>
          <w:bCs/>
          <w:rtl/>
        </w:rPr>
        <w:t>מדרש</w:t>
      </w:r>
      <w:r w:rsidRPr="007119D6">
        <w:rPr>
          <w:rFonts w:ascii="Narkisim" w:hAnsi="Narkisim"/>
          <w:rtl/>
        </w:rPr>
        <w:t xml:space="preserve"> (במקום אחר) יכול יהו צמים ג' ימים וג' לילות ולא היו מתים, אלא היו מפסיקין מבעוד יום. ולמה ג' ימים, שאין הקב"ה מניח לישראל בצרה יותר מג' ימים. [וה</w:t>
      </w:r>
      <w:r w:rsidRPr="007119D6">
        <w:rPr>
          <w:rFonts w:ascii="Narkisim" w:hAnsi="Narkisim"/>
          <w:b/>
          <w:bCs/>
          <w:rtl/>
        </w:rPr>
        <w:t>ריב"ש</w:t>
      </w:r>
      <w:r w:rsidRPr="007119D6">
        <w:rPr>
          <w:rFonts w:ascii="Narkisim" w:hAnsi="Narkisim"/>
          <w:rtl/>
        </w:rPr>
        <w:t xml:space="preserve"> (תטז) הביא דהוה דלא כגמ' דידן]</w:t>
      </w:r>
      <w:r w:rsidRPr="007119D6">
        <w:rPr>
          <w:rFonts w:ascii="Narkisim" w:hAnsi="Narkisim"/>
        </w:rPr>
        <w:t>.</w:t>
      </w:r>
    </w:p>
  </w:footnote>
  <w:footnote w:id="8417">
    <w:p w14:paraId="5623630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דייקו שלא היה יכול לנוח בקרקעית הים, דע”כ היה עולה לקבל אויר</w:t>
      </w:r>
      <w:r w:rsidRPr="007119D6">
        <w:rPr>
          <w:rFonts w:ascii="Narkisim" w:hAnsi="Narkisim"/>
        </w:rPr>
        <w:t>.</w:t>
      </w:r>
    </w:p>
  </w:footnote>
  <w:footnote w:id="8418">
    <w:p w14:paraId="269A0F4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במשנה (שקלים ה א) הוזכר שהיה ממונה לזה במקדש. ומבואר ב</w:t>
      </w:r>
      <w:r w:rsidRPr="007119D6">
        <w:rPr>
          <w:rFonts w:ascii="Narkisim" w:hAnsi="Narkisim"/>
          <w:b/>
          <w:bCs/>
          <w:rtl/>
        </w:rPr>
        <w:t>ירושלמי</w:t>
      </w:r>
      <w:r w:rsidRPr="007119D6">
        <w:rPr>
          <w:rFonts w:ascii="Narkisim" w:hAnsi="Narkisim"/>
          <w:rtl/>
        </w:rPr>
        <w:t xml:space="preserve"> (שם) שהיה בקי לחפור היכן ימצא מים והיכן חמימות. ובגמ' (ב"ק נ.) מבואר שהיה מוסר את הבור לרבים, שלא יתחייב בשמירת נזקיו</w:t>
      </w:r>
      <w:r w:rsidRPr="007119D6">
        <w:rPr>
          <w:rFonts w:ascii="Narkisim" w:hAnsi="Narkisim"/>
        </w:rPr>
        <w:t>.</w:t>
      </w:r>
    </w:p>
  </w:footnote>
  <w:footnote w:id="8419">
    <w:p w14:paraId="7F480E0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ריב"ש</w:t>
      </w:r>
      <w:r w:rsidRPr="007119D6">
        <w:rPr>
          <w:rFonts w:ascii="Narkisim" w:hAnsi="Narkisim"/>
          <w:rtl/>
        </w:rPr>
        <w:t xml:space="preserve"> (תטז) כת' להדיא דכל שעמד שם שיעור שתצא נפשו, שהוא שלש שעות מותרת [במים שיש להן סוף]. ומהר"א ששון הביא דה</w:t>
      </w:r>
      <w:r w:rsidRPr="007119D6">
        <w:rPr>
          <w:rFonts w:ascii="Narkisim" w:hAnsi="Narkisim"/>
          <w:b/>
          <w:bCs/>
          <w:rtl/>
        </w:rPr>
        <w:t>ריב"ש</w:t>
      </w:r>
      <w:r w:rsidRPr="007119D6">
        <w:rPr>
          <w:rFonts w:ascii="Narkisim" w:hAnsi="Narkisim"/>
          <w:rtl/>
        </w:rPr>
        <w:t xml:space="preserve"> (שעז) כת' דמונין [ג' ימים דהמת תופח] משעה שלישית שטבע. [אבל בדפוסים החדשים הוגה בריב"ש  מעל"ע [מעת לעת] שלישית שטבע [ולפ”ז לא שייך לסוגיין</w:t>
      </w:r>
      <w:r w:rsidRPr="007119D6">
        <w:rPr>
          <w:rFonts w:ascii="Narkisim" w:hAnsi="Narkisim"/>
        </w:rPr>
        <w:t>].</w:t>
      </w:r>
    </w:p>
  </w:footnote>
  <w:footnote w:id="8420">
    <w:p w14:paraId="0A4FCF9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והביא דעד"ז כת' </w:t>
      </w:r>
      <w:r w:rsidRPr="007119D6">
        <w:rPr>
          <w:rFonts w:ascii="Narkisim" w:hAnsi="Narkisim"/>
          <w:b/>
          <w:bCs/>
          <w:rtl/>
        </w:rPr>
        <w:t>תוס'</w:t>
      </w:r>
      <w:r w:rsidRPr="007119D6">
        <w:rPr>
          <w:rFonts w:ascii="Narkisim" w:hAnsi="Narkisim"/>
          <w:rtl/>
        </w:rPr>
        <w:t xml:space="preserve"> (סוטה יא.) דמרים המתינה למשה שעה א' לאו דוקא, אלא שליש שעה או רביע. [וכדמוכח בחשבון שם]</w:t>
      </w:r>
      <w:r w:rsidRPr="007119D6">
        <w:rPr>
          <w:rFonts w:ascii="Narkisim" w:hAnsi="Narkisim"/>
        </w:rPr>
        <w:t>.</w:t>
      </w:r>
    </w:p>
  </w:footnote>
  <w:footnote w:id="8421">
    <w:p w14:paraId="32DC40D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שהרי ג' שעות הוה שיעור גדול [ומסברא יציאת נשמה הוה הרבה פחות]</w:t>
      </w:r>
      <w:r w:rsidRPr="007119D6">
        <w:rPr>
          <w:rFonts w:ascii="Narkisim" w:hAnsi="Narkisim"/>
        </w:rPr>
        <w:t>.</w:t>
      </w:r>
    </w:p>
  </w:footnote>
  <w:footnote w:id="8422">
    <w:p w14:paraId="46B0D95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העיר דהב"ח לא נתכוון לזה, שהרי יישב מעשה דבתו של נחוניא באופ"א. מ"מ מסתיין שאפשר ליישב דברי הב"ח שלא הוציא תקלה מתחת ידו, ולכוין בדבריו מה שלא כיון בעצמו. כי רוח אלקים בקולמסן של רבותינו הראשונים להיות לשונם מכוון להלכה בלי כוונת הכותב. וציין דעד"ז כת' התומים (קיצור תק"כ קכג)</w:t>
      </w:r>
      <w:r w:rsidRPr="007119D6">
        <w:rPr>
          <w:rFonts w:ascii="Narkisim" w:hAnsi="Narkisim"/>
        </w:rPr>
        <w:t>.</w:t>
      </w:r>
    </w:p>
  </w:footnote>
  <w:footnote w:id="8423">
    <w:p w14:paraId="098EB8E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ועד"ז לצד דהוה שיעור מיל, ותלי במ"ד בחשבון שיעור מיל</w:t>
      </w:r>
      <w:r w:rsidRPr="007119D6">
        <w:rPr>
          <w:rFonts w:ascii="Narkisim" w:hAnsi="Narkisim"/>
        </w:rPr>
        <w:t>].</w:t>
      </w:r>
    </w:p>
  </w:footnote>
  <w:footnote w:id="8424">
    <w:p w14:paraId="4357FE4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וע"כ מתני' דהכא כמ"ד דמהני עד א' ופסולים לעדות אשה. דלמ"ד דאין משיאין ע"פ עד א' כ"ש דל"מ עד מפי עד</w:t>
      </w:r>
      <w:r w:rsidRPr="007119D6">
        <w:rPr>
          <w:rFonts w:ascii="Narkisim" w:hAnsi="Narkisim"/>
        </w:rPr>
        <w:t>.</w:t>
      </w:r>
    </w:p>
  </w:footnote>
  <w:footnote w:id="8425">
    <w:p w14:paraId="21C403B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האם מהני עד א' באיסורין כה”ג</w:t>
      </w:r>
      <w:r w:rsidRPr="007119D6">
        <w:rPr>
          <w:rFonts w:ascii="Narkisim" w:hAnsi="Narkisim"/>
        </w:rPr>
        <w:t>.</w:t>
      </w:r>
    </w:p>
  </w:footnote>
  <w:footnote w:id="8426">
    <w:p w14:paraId="77CFC70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ובמשנה (כתובות כח.) אי' דלכמה דינים קטן שהגדיל נאמן להעיד על מה שראה בקטנותו. וה</w:t>
      </w:r>
      <w:r w:rsidRPr="007119D6">
        <w:rPr>
          <w:rFonts w:ascii="Narkisim" w:hAnsi="Narkisim"/>
          <w:b/>
          <w:bCs/>
          <w:rtl/>
        </w:rPr>
        <w:t>או"ז</w:t>
      </w:r>
      <w:r w:rsidRPr="007119D6">
        <w:rPr>
          <w:rFonts w:ascii="Narkisim" w:hAnsi="Narkisim"/>
          <w:rtl/>
        </w:rPr>
        <w:t xml:space="preserve"> (הו' ברמ"א יז יג) כת' דדוקא להנך שהוזכרו שם, אבל בעדות אשה ל"מ</w:t>
      </w:r>
      <w:r w:rsidRPr="007119D6">
        <w:rPr>
          <w:rFonts w:ascii="Narkisim" w:hAnsi="Narkisim"/>
        </w:rPr>
        <w:t>.</w:t>
      </w:r>
    </w:p>
  </w:footnote>
  <w:footnote w:id="8427">
    <w:p w14:paraId="7913CDF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ונח' הראשונים אי קטן נאמן בדבר שהוא בידו. ע' שו"ע (יו"ד קכ יד) וגר"א (שם לו)</w:t>
      </w:r>
      <w:r w:rsidRPr="007119D6">
        <w:rPr>
          <w:rFonts w:ascii="Narkisim" w:hAnsi="Narkisim"/>
        </w:rPr>
        <w:t>.</w:t>
      </w:r>
    </w:p>
  </w:footnote>
  <w:footnote w:id="8428">
    <w:p w14:paraId="07D2001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תה"ד</w:t>
      </w:r>
      <w:r w:rsidRPr="007119D6">
        <w:rPr>
          <w:rFonts w:ascii="Narkisim" w:hAnsi="Narkisim"/>
          <w:rtl/>
        </w:rPr>
        <w:t xml:space="preserve"> (ב רכ) כת' דאף דדעת ראבי"ה דמהני, בשל תורה הלך אחר המחמיר. [וה</w:t>
      </w:r>
      <w:r w:rsidRPr="007119D6">
        <w:rPr>
          <w:rFonts w:ascii="Narkisim" w:hAnsi="Narkisim"/>
          <w:b/>
          <w:bCs/>
          <w:rtl/>
        </w:rPr>
        <w:t>ט"ז</w:t>
      </w:r>
      <w:r w:rsidRPr="007119D6">
        <w:rPr>
          <w:rFonts w:ascii="Narkisim" w:hAnsi="Narkisim"/>
          <w:rtl/>
        </w:rPr>
        <w:t xml:space="preserve"> (שם י) כת' דלפ"ז לדעת הר"א מזרחי (ע' נה שהו' לעיל קיד:) בעגונא אזלי' לקולא, כיון דהוה שעת הדחק. ואין לך שעת הדחק גדול מזה שתשאר עגונה כל ימי חייה. וע"פ הא דאי' (עדיות א ה) שאם יראה הבי"ד דברי היחיד לסמוך עליו, דבשעת הדחק סמכי' אף על דעת יחיד]</w:t>
      </w:r>
      <w:r w:rsidRPr="007119D6">
        <w:rPr>
          <w:rFonts w:ascii="Narkisim" w:hAnsi="Narkisim"/>
        </w:rPr>
        <w:t>.</w:t>
      </w:r>
    </w:p>
  </w:footnote>
  <w:footnote w:id="8429">
    <w:p w14:paraId="1E590C4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והביאו דגבי עדות בפני נכתב מוכח (גיטין כג.) דמהני אף היכא דתחילתו בפסול</w:t>
      </w:r>
      <w:r w:rsidRPr="007119D6">
        <w:rPr>
          <w:rFonts w:ascii="Narkisim" w:hAnsi="Narkisim"/>
        </w:rPr>
        <w:t>.</w:t>
      </w:r>
    </w:p>
  </w:footnote>
  <w:footnote w:id="8430">
    <w:p w14:paraId="5937D40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ומש"ה אמרי' מסברא דאינו נאמן [ואינו גזיה"כ]</w:t>
      </w:r>
      <w:r w:rsidRPr="007119D6">
        <w:rPr>
          <w:rFonts w:ascii="Narkisim" w:hAnsi="Narkisim"/>
        </w:rPr>
        <w:t>.</w:t>
      </w:r>
    </w:p>
  </w:footnote>
  <w:footnote w:id="8431">
    <w:p w14:paraId="4DCF110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ומשמע דעדות אשה לא הוה גדר עדות כלל</w:t>
      </w:r>
      <w:r w:rsidRPr="007119D6">
        <w:rPr>
          <w:rFonts w:ascii="Narkisim" w:hAnsi="Narkisim"/>
        </w:rPr>
        <w:t>.</w:t>
      </w:r>
    </w:p>
  </w:footnote>
  <w:footnote w:id="8432">
    <w:p w14:paraId="1BCC06C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תוי"ט</w:t>
      </w:r>
      <w:r w:rsidRPr="007119D6">
        <w:rPr>
          <w:rFonts w:ascii="Narkisim" w:hAnsi="Narkisim"/>
          <w:rtl/>
        </w:rPr>
        <w:t xml:space="preserve"> הביא פ</w:t>
      </w:r>
      <w:r w:rsidRPr="007119D6">
        <w:rPr>
          <w:rFonts w:ascii="Narkisim" w:hAnsi="Narkisim"/>
          <w:b/>
          <w:bCs/>
          <w:rtl/>
        </w:rPr>
        <w:t>רש"י</w:t>
      </w:r>
      <w:r w:rsidRPr="007119D6">
        <w:rPr>
          <w:rFonts w:ascii="Narkisim" w:hAnsi="Narkisim"/>
          <w:rtl/>
        </w:rPr>
        <w:t xml:space="preserve"> בין שהוא מתכוין לשם עדות, ודייק דאילו מתכוון להתיר ל"מ עדות אשה. וצ"ע</w:t>
      </w:r>
      <w:r w:rsidRPr="007119D6">
        <w:rPr>
          <w:rFonts w:ascii="Narkisim" w:hAnsi="Narkisim"/>
        </w:rPr>
        <w:t>.</w:t>
      </w:r>
    </w:p>
  </w:footnote>
  <w:footnote w:id="8433">
    <w:p w14:paraId="7D2C57E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דן להגיה ולדחוק בדברי הטור</w:t>
      </w:r>
      <w:r w:rsidRPr="007119D6">
        <w:rPr>
          <w:rFonts w:ascii="Narkisim" w:hAnsi="Narkisim"/>
        </w:rPr>
        <w:t>.</w:t>
      </w:r>
    </w:p>
  </w:footnote>
  <w:footnote w:id="8434">
    <w:p w14:paraId="29353CC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ט"ז</w:t>
      </w:r>
      <w:r w:rsidRPr="007119D6">
        <w:rPr>
          <w:rFonts w:ascii="Narkisim" w:hAnsi="Narkisim"/>
          <w:rtl/>
        </w:rPr>
        <w:t xml:space="preserve"> כת' דה"מ קטן שהגיע לפעוטות, ואף שלא הגיע לגדלות לא גרע מעבד ושפחה. דאף דאינו נאמן לשאר עדות, בעדות אשה הקילו. וכת' דאף הרמב"ם פליג דוקא בתינוקות קטנים [שלא הגיע לפעוטות], דומיה דשוטה. וכת' דאפשר דפחות מפעוטות ל"מ אפי' מסל"ת [והו' בבי”ש שם לג, ע”ע בסמוך]</w:t>
      </w:r>
      <w:r w:rsidRPr="007119D6">
        <w:rPr>
          <w:rFonts w:ascii="Narkisim" w:hAnsi="Narkisim"/>
        </w:rPr>
        <w:t>.</w:t>
      </w:r>
    </w:p>
  </w:footnote>
  <w:footnote w:id="8435">
    <w:p w14:paraId="7A6A059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לט) הביא כן מהגמ' (שבועות לב:) דאין שבועת העדות היכא דהעד אמר לאשה, שהרי יכולה לומר בשמו ולינשא. ואם אי' עדיין צריך עדות העד. [ויל"ד דאף אי שואלים אותו היינו שמא יכחיש, דהיכא דאפשר לברורי מבררין. אבל היכא דשותק או אומר לא אגיד לכם, סגי בעדות הראשון]</w:t>
      </w:r>
      <w:r w:rsidRPr="007119D6">
        <w:rPr>
          <w:rFonts w:ascii="Narkisim" w:hAnsi="Narkisim"/>
        </w:rPr>
        <w:t>.</w:t>
      </w:r>
    </w:p>
  </w:footnote>
  <w:footnote w:id="8436">
    <w:p w14:paraId="50658DD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שוב הק' דה</w:t>
      </w:r>
      <w:r w:rsidRPr="007119D6">
        <w:rPr>
          <w:rFonts w:ascii="Narkisim" w:hAnsi="Narkisim"/>
          <w:b/>
          <w:bCs/>
          <w:rtl/>
        </w:rPr>
        <w:t>רי”ף</w:t>
      </w:r>
      <w:r w:rsidRPr="007119D6">
        <w:rPr>
          <w:rFonts w:ascii="Narkisim" w:hAnsi="Narkisim"/>
          <w:rtl/>
        </w:rPr>
        <w:t xml:space="preserve"> (לקמן קכב:) כת' דהיכא דהתחיל הגדתו במסל"ת מהני לשואלו, והכל נחשב מסל"ת</w:t>
      </w:r>
      <w:r w:rsidRPr="007119D6">
        <w:rPr>
          <w:rFonts w:ascii="Narkisim" w:hAnsi="Narkisim"/>
        </w:rPr>
        <w:t>.</w:t>
      </w:r>
    </w:p>
  </w:footnote>
  <w:footnote w:id="8437">
    <w:p w14:paraId="62FFEB4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כת' דלא הוה מדין עדות, דגוי אינו בר עדות כלל. אלא דקים לן דקושטא קאמר כיון שמסיח לפי תומו, ומשום עיגונא אקילו רבנן כדאקילו בעד א' ועד מפי עד</w:t>
      </w:r>
      <w:r w:rsidRPr="007119D6">
        <w:rPr>
          <w:rFonts w:ascii="Narkisim" w:hAnsi="Narkisim"/>
        </w:rPr>
        <w:t>.</w:t>
      </w:r>
    </w:p>
  </w:footnote>
  <w:footnote w:id="8438">
    <w:p w14:paraId="0EF262D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Pr>
        <w:t>[</w:t>
      </w:r>
      <w:r w:rsidRPr="007119D6">
        <w:rPr>
          <w:rFonts w:ascii="Narkisim" w:hAnsi="Narkisim"/>
          <w:rtl/>
        </w:rPr>
        <w:t>אבל ב</w:t>
      </w:r>
      <w:r w:rsidRPr="007119D6">
        <w:rPr>
          <w:rFonts w:ascii="Narkisim" w:hAnsi="Narkisim"/>
          <w:b/>
          <w:bCs/>
          <w:rtl/>
        </w:rPr>
        <w:t>הג' אשר"י</w:t>
      </w:r>
      <w:r w:rsidRPr="007119D6">
        <w:rPr>
          <w:rFonts w:ascii="Narkisim" w:hAnsi="Narkisim"/>
          <w:rtl/>
        </w:rPr>
        <w:t xml:space="preserve"> (גיטין א י) כת' דמהני עדות של עכו"ם היכא דקי"ל דלא משקרי. ואכמ"ל</w:t>
      </w:r>
      <w:r w:rsidRPr="007119D6">
        <w:rPr>
          <w:rFonts w:ascii="Narkisim" w:hAnsi="Narkisim"/>
        </w:rPr>
        <w:t>].</w:t>
      </w:r>
    </w:p>
  </w:footnote>
  <w:footnote w:id="8439">
    <w:p w14:paraId="03C63CE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מרדכי</w:t>
      </w:r>
      <w:r w:rsidRPr="007119D6">
        <w:rPr>
          <w:rFonts w:ascii="Narkisim" w:hAnsi="Narkisim"/>
          <w:rtl/>
        </w:rPr>
        <w:t xml:space="preserve"> (פט, הו' ברמ”א יז לז בסופו) דן בהכחשה בעכו"ם מסל"ת, ודימה לדין רוב דעות דפסולי עדות. [אך י"ל דאף עדות נשים ופסולי עדות הוה גדר אומדנא ולא עדות]</w:t>
      </w:r>
      <w:r w:rsidRPr="007119D6">
        <w:rPr>
          <w:rFonts w:ascii="Narkisim" w:hAnsi="Narkisim"/>
        </w:rPr>
        <w:t>.</w:t>
      </w:r>
    </w:p>
  </w:footnote>
  <w:footnote w:id="8440">
    <w:p w14:paraId="671B343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וע"ע מש"כ הש"ש (ז יא) בדברי הירושלמי</w:t>
      </w:r>
      <w:r w:rsidRPr="007119D6">
        <w:rPr>
          <w:rFonts w:ascii="Narkisim" w:hAnsi="Narkisim"/>
        </w:rPr>
        <w:t>.</w:t>
      </w:r>
    </w:p>
  </w:footnote>
  <w:footnote w:id="8441">
    <w:p w14:paraId="19B035E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ראנ"ח</w:t>
      </w:r>
      <w:r w:rsidRPr="007119D6">
        <w:rPr>
          <w:rFonts w:ascii="Narkisim" w:hAnsi="Narkisim"/>
          <w:rtl/>
        </w:rPr>
        <w:t xml:space="preserve"> (שו"ת מים עמוקים ב מא ד”ה מעתה, ציינו רע"א) העלה צד לדחות דרשאי לישבע ע"פ מה שהוא חושב, וע"ד הא דאי' (שבועות כו.) דרב כהנא וורב אסי נשבעו דהכי אמר רב, ואמרו דפטורין, דכל חד אדעתה דנפשיה בקושטא משתבע. ותוס' (שם) כת' דאפי' עונש שבועה לית בהו. וה"נ רב נחמן דעתו היה גומר שמת נשבע על זה [שסבור כך], ואפי' אם ימצא בסוף שלא מת אינו חייב עליו. ודחה דסוף סוף אין לו להשבע כיון שלא ידע הדבר בבירור. [וע"כ דסמכי' על רוב]</w:t>
      </w:r>
      <w:r w:rsidRPr="007119D6">
        <w:rPr>
          <w:rFonts w:ascii="Narkisim" w:hAnsi="Narkisim"/>
        </w:rPr>
        <w:t>.</w:t>
      </w:r>
    </w:p>
  </w:footnote>
  <w:footnote w:id="8442">
    <w:p w14:paraId="18115AD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דאף דסומכין על החזקה לענין דיני נפשות, אין הטעם שברור לנו שהגט נפל קרוב לו, אלא דגזיה"כ היא דאע"ג דהמעשה מוטלת בספק, מ"מ אין ספק מוציא מידי ודאי. ואשה זו ודאי היתה אסורה ואל תתירנה מספק. אבל א"א לישבע שכן היה המעשה ע"פ הכרעת החזקה. ול"מ חזקה לענין איסור שבועה. והוסיף דהכרעת החזקה לא הוה על גוף המעשה</w:t>
      </w:r>
      <w:r w:rsidRPr="007119D6">
        <w:rPr>
          <w:rFonts w:ascii="Narkisim" w:hAnsi="Narkisim"/>
        </w:rPr>
        <w:t>.</w:t>
      </w:r>
    </w:p>
  </w:footnote>
  <w:footnote w:id="8443">
    <w:p w14:paraId="6CD6446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דמוטב לה לעבור באיסור דרבנן ולינשא ממה שתתעגן כל ימיה</w:t>
      </w:r>
      <w:r w:rsidRPr="007119D6">
        <w:rPr>
          <w:rFonts w:ascii="Narkisim" w:hAnsi="Narkisim"/>
        </w:rPr>
        <w:t>.</w:t>
      </w:r>
    </w:p>
  </w:footnote>
  <w:footnote w:id="8444">
    <w:p w14:paraId="730B88B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ומוטב שיהו שוגגין ואל יהו מזידין. ועוד דא"כ משוינן לגזירה דרבנן כי חוכא ואיטלולא שנניח לכל אחת לפרוץ גדירן של חכמים ולא אמרינן להו ולא מידי</w:t>
      </w:r>
      <w:r w:rsidRPr="007119D6">
        <w:rPr>
          <w:rFonts w:ascii="Narkisim" w:hAnsi="Narkisim"/>
        </w:rPr>
        <w:t>.</w:t>
      </w:r>
    </w:p>
  </w:footnote>
  <w:footnote w:id="8445">
    <w:p w14:paraId="1C880DF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וע"פ ה</w:t>
      </w:r>
      <w:r w:rsidRPr="007119D6">
        <w:rPr>
          <w:rFonts w:ascii="Narkisim" w:hAnsi="Narkisim"/>
          <w:b/>
          <w:bCs/>
          <w:rtl/>
        </w:rPr>
        <w:t>ירושלמי</w:t>
      </w:r>
      <w:r w:rsidRPr="007119D6">
        <w:rPr>
          <w:rFonts w:ascii="Narkisim" w:hAnsi="Narkisim"/>
          <w:rtl/>
        </w:rPr>
        <w:t xml:space="preserve"> (לעיל ס"פ ב), הו' בבאר הגולה (יז לז אות י)</w:t>
      </w:r>
      <w:r w:rsidRPr="007119D6">
        <w:rPr>
          <w:rFonts w:ascii="Narkisim" w:hAnsi="Narkisim"/>
        </w:rPr>
        <w:t>.</w:t>
      </w:r>
    </w:p>
    <w:p w14:paraId="2A8CE64B"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ועוד הביא (שם בסו"ד) דהיכא דנשאת ומת שני, מותרת לשלישי משום לעז. ע”פ ה</w:t>
      </w:r>
      <w:r w:rsidRPr="007119D6">
        <w:rPr>
          <w:rFonts w:ascii="Narkisim" w:hAnsi="Narkisim"/>
          <w:b/>
          <w:bCs/>
          <w:rtl/>
        </w:rPr>
        <w:t>ירושלמי</w:t>
      </w:r>
      <w:r w:rsidRPr="007119D6">
        <w:rPr>
          <w:rFonts w:ascii="Narkisim" w:hAnsi="Narkisim"/>
          <w:rtl/>
        </w:rPr>
        <w:t xml:space="preserve"> (ב י). אך הביא דהרמב"ן כת' דדוקא כשיש לה בנים מהשני שייך לעז</w:t>
      </w:r>
      <w:r w:rsidRPr="007119D6">
        <w:rPr>
          <w:rFonts w:ascii="Narkisim" w:hAnsi="Narkisim"/>
        </w:rPr>
        <w:t>.</w:t>
      </w:r>
    </w:p>
  </w:footnote>
  <w:footnote w:id="8446">
    <w:p w14:paraId="7A6BA71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והך איכא דאמרי הוה מדברי רב אשי, והגמ' (בע"א) קאי כהך לישנא. אך ה</w:t>
      </w:r>
      <w:r w:rsidRPr="007119D6">
        <w:rPr>
          <w:rFonts w:ascii="Narkisim" w:hAnsi="Narkisim"/>
          <w:b/>
          <w:bCs/>
          <w:rtl/>
        </w:rPr>
        <w:t>או"ש</w:t>
      </w:r>
      <w:r w:rsidRPr="007119D6">
        <w:rPr>
          <w:rFonts w:ascii="Narkisim" w:hAnsi="Narkisim"/>
          <w:rtl/>
        </w:rPr>
        <w:t xml:space="preserve"> הק' לל"ק, מנ"ל לרב אשי דנשאת לא תצא, הא חסא היה צורבא מדרבנן. [וכת' דדוחק לומר, דאילו הדין דאף בדיעבד תצא, א"כ לא היה שייך לחלק בין צורבא מרבנן לאינש דעלמא. רק כיון דהוה איסור לכתחלה חילקו. היפך סברת התה"ד הו' בע"א]</w:t>
      </w:r>
      <w:r w:rsidRPr="007119D6">
        <w:rPr>
          <w:rFonts w:ascii="Narkisim" w:hAnsi="Narkisim"/>
        </w:rPr>
        <w:t>.</w:t>
      </w:r>
    </w:p>
  </w:footnote>
  <w:footnote w:id="8447">
    <w:p w14:paraId="0EF6AB2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וע"ע רמ”א (יז יד) ופוסקים שם</w:t>
      </w:r>
      <w:r w:rsidRPr="007119D6">
        <w:rPr>
          <w:rFonts w:ascii="Narkisim" w:hAnsi="Narkisim"/>
        </w:rPr>
        <w:t>.</w:t>
      </w:r>
    </w:p>
  </w:footnote>
  <w:footnote w:id="8448">
    <w:p w14:paraId="2811944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שאם באנו כך להחמיר היכי סמכינן על שום עדות גוי מסיח לפי תומו, נימא דילמא חפץ לקלקל האשה, או מתכוין למצוא חן כדי שהאשה וקרוביה ייטיבו לו לאחר זמן. אלא ודאי לא חיישינן למידי</w:t>
      </w:r>
      <w:r w:rsidRPr="007119D6">
        <w:rPr>
          <w:rFonts w:ascii="Narkisim" w:hAnsi="Narkisim"/>
        </w:rPr>
        <w:t>.</w:t>
      </w:r>
    </w:p>
  </w:footnote>
  <w:footnote w:id="8449">
    <w:p w14:paraId="4571FA6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הביא </w:t>
      </w:r>
      <w:r w:rsidRPr="007119D6">
        <w:rPr>
          <w:rFonts w:ascii="Narkisim" w:hAnsi="Narkisim"/>
          <w:b/>
          <w:bCs/>
          <w:rtl/>
        </w:rPr>
        <w:t>שו”ת רד"ך</w:t>
      </w:r>
      <w:r w:rsidRPr="007119D6">
        <w:rPr>
          <w:rFonts w:ascii="Narkisim" w:hAnsi="Narkisim"/>
          <w:rtl/>
        </w:rPr>
        <w:t xml:space="preserve"> (בית יז) החמיר מאד להוציא דברי הגוי מחזקת מסיח לפי תומו. והב"י הביא דב</w:t>
      </w:r>
      <w:r w:rsidRPr="007119D6">
        <w:rPr>
          <w:rFonts w:ascii="Narkisim" w:hAnsi="Narkisim"/>
          <w:b/>
          <w:bCs/>
          <w:rtl/>
        </w:rPr>
        <w:t>ראשונים</w:t>
      </w:r>
      <w:r w:rsidRPr="007119D6">
        <w:rPr>
          <w:rFonts w:ascii="Narkisim" w:hAnsi="Narkisim"/>
          <w:rtl/>
        </w:rPr>
        <w:t xml:space="preserve"> מבואר דאין לנו להוציא דברי הגוי מחזקת מסל"ת</w:t>
      </w:r>
      <w:r w:rsidRPr="007119D6">
        <w:rPr>
          <w:rFonts w:ascii="Narkisim" w:hAnsi="Narkisim"/>
        </w:rPr>
        <w:t>.</w:t>
      </w:r>
    </w:p>
    <w:p w14:paraId="409F1083"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רמ"א</w:t>
      </w:r>
      <w:r w:rsidRPr="007119D6">
        <w:rPr>
          <w:rFonts w:ascii="Narkisim" w:hAnsi="Narkisim"/>
          <w:rtl/>
        </w:rPr>
        <w:t xml:space="preserve"> (יז טז) הביא מח' בעכו"ם מסל"ת מפי עכו"ם [עד מפי עד] דדעת ה</w:t>
      </w:r>
      <w:r w:rsidRPr="007119D6">
        <w:rPr>
          <w:rFonts w:ascii="Narkisim" w:hAnsi="Narkisim"/>
          <w:b/>
          <w:bCs/>
          <w:rtl/>
        </w:rPr>
        <w:t>מהרי"ק</w:t>
      </w:r>
      <w:r w:rsidRPr="007119D6">
        <w:rPr>
          <w:rFonts w:ascii="Narkisim" w:hAnsi="Narkisim"/>
          <w:rtl/>
        </w:rPr>
        <w:t xml:space="preserve"> (קכא) דאפי' לא העיד בפירוש שהעכו"ם הראשון מסל"ת, אזלינן מספיקא לקולא, ואמרינן דודאי מסיח לפי תומו. ויש חולקין (תשובת הר"ן ג)</w:t>
      </w:r>
      <w:r w:rsidRPr="007119D6">
        <w:rPr>
          <w:rFonts w:ascii="Narkisim" w:hAnsi="Narkisim"/>
        </w:rPr>
        <w:t>.</w:t>
      </w:r>
    </w:p>
    <w:p w14:paraId="3149510D"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אך ה</w:t>
      </w:r>
      <w:r w:rsidRPr="007119D6">
        <w:rPr>
          <w:rFonts w:ascii="Narkisim" w:hAnsi="Narkisim"/>
          <w:b/>
          <w:bCs/>
          <w:rtl/>
        </w:rPr>
        <w:t>רמ"א</w:t>
      </w:r>
      <w:r w:rsidRPr="007119D6">
        <w:rPr>
          <w:rFonts w:ascii="Narkisim" w:hAnsi="Narkisim"/>
          <w:rtl/>
        </w:rPr>
        <w:t xml:space="preserve"> (שם טו) כת' דספק מסל"ת אזלי' לחומרא, דהוה ספק דאורייתא ולחומרא. וכן בכל מקום דאיכא פלוגתא בדינין אלו אזלי' לחומרא. וה</w:t>
      </w:r>
      <w:r w:rsidRPr="007119D6">
        <w:rPr>
          <w:rFonts w:ascii="Narkisim" w:hAnsi="Narkisim"/>
          <w:b/>
          <w:bCs/>
          <w:rtl/>
        </w:rPr>
        <w:t>גר"א</w:t>
      </w:r>
      <w:r w:rsidRPr="007119D6">
        <w:rPr>
          <w:rFonts w:ascii="Narkisim" w:hAnsi="Narkisim"/>
          <w:rtl/>
        </w:rPr>
        <w:t xml:space="preserve"> (יז סא) ביאר דכאן מחמרינן יותר מבכל מקום, כמו שחוששין לחששות רחוקות במים שאין להם סוף ומגויד וכו</w:t>
      </w:r>
      <w:r w:rsidRPr="007119D6">
        <w:rPr>
          <w:rFonts w:ascii="Narkisim" w:hAnsi="Narkisim"/>
        </w:rPr>
        <w:t>'.</w:t>
      </w:r>
    </w:p>
    <w:p w14:paraId="64B722EE"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אבל דעת ה</w:t>
      </w:r>
      <w:r w:rsidRPr="007119D6">
        <w:rPr>
          <w:rFonts w:ascii="Narkisim" w:hAnsi="Narkisim"/>
          <w:b/>
          <w:bCs/>
          <w:rtl/>
        </w:rPr>
        <w:t>משאת בנימין</w:t>
      </w:r>
      <w:r w:rsidRPr="007119D6">
        <w:rPr>
          <w:rFonts w:ascii="Narkisim" w:hAnsi="Narkisim"/>
          <w:rtl/>
        </w:rPr>
        <w:t xml:space="preserve"> (מד, הו' בנו"כ שם) דבכל מח' אזלי' לקולא, והביא דכ"כ ה</w:t>
      </w:r>
      <w:r w:rsidRPr="007119D6">
        <w:rPr>
          <w:rFonts w:ascii="Narkisim" w:hAnsi="Narkisim"/>
          <w:b/>
          <w:bCs/>
          <w:rtl/>
        </w:rPr>
        <w:t>ר"א מזרחי</w:t>
      </w:r>
      <w:r w:rsidRPr="007119D6">
        <w:rPr>
          <w:rFonts w:ascii="Narkisim" w:hAnsi="Narkisim"/>
          <w:rtl/>
        </w:rPr>
        <w:t xml:space="preserve"> (נד) דעגונה הוה שעת הדחק, ובשעת הדחק סמכינן אדברי המיקל. [וע' מה שהו' לעיל קיד:]</w:t>
      </w:r>
      <w:r w:rsidRPr="007119D6">
        <w:rPr>
          <w:rFonts w:ascii="Narkisim" w:hAnsi="Narkisim"/>
        </w:rPr>
        <w:t>.</w:t>
      </w:r>
    </w:p>
  </w:footnote>
  <w:footnote w:id="8450">
    <w:p w14:paraId="60C4020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ואפי' בפרהסיא (וכדאי' שם). ורבא (שם) אמר דכשהנכרי אמר קטול אספסתא בשבתא ושדי לחיותא ואי לא קטילנא לך, יעבור ולא יהרג. אבל אם אמר שדי לנהרא יהרג ולא יעבור [פ</w:t>
      </w:r>
      <w:r w:rsidRPr="007119D6">
        <w:rPr>
          <w:rFonts w:ascii="Narkisim" w:hAnsi="Narkisim"/>
          <w:b/>
          <w:bCs/>
          <w:rtl/>
        </w:rPr>
        <w:t>רש”י</w:t>
      </w:r>
      <w:r w:rsidRPr="007119D6">
        <w:rPr>
          <w:rFonts w:ascii="Narkisim" w:hAnsi="Narkisim"/>
          <w:rtl/>
        </w:rPr>
        <w:t xml:space="preserve"> בפרהסיא או בשעת גזירת מלכות], מאי טעמא בעי לעבורי מילתא</w:t>
      </w:r>
      <w:r w:rsidRPr="007119D6">
        <w:rPr>
          <w:rFonts w:ascii="Narkisim" w:hAnsi="Narkisim"/>
        </w:rPr>
        <w:t>.</w:t>
      </w:r>
    </w:p>
  </w:footnote>
  <w:footnote w:id="8451">
    <w:p w14:paraId="5A8F23F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וכ"פ ה</w:t>
      </w:r>
      <w:r w:rsidRPr="007119D6">
        <w:rPr>
          <w:rFonts w:ascii="Narkisim" w:hAnsi="Narkisim"/>
          <w:b/>
          <w:bCs/>
          <w:rtl/>
        </w:rPr>
        <w:t>שו"ע</w:t>
      </w:r>
      <w:r w:rsidRPr="007119D6">
        <w:rPr>
          <w:rFonts w:ascii="Narkisim" w:hAnsi="Narkisim"/>
          <w:rtl/>
        </w:rPr>
        <w:t xml:space="preserve"> (קכז א) שאם ירצה להחמיר על עצמו וליהרג רשאי. אבל דעת ה</w:t>
      </w:r>
      <w:r w:rsidRPr="007119D6">
        <w:rPr>
          <w:rFonts w:ascii="Narkisim" w:hAnsi="Narkisim"/>
          <w:b/>
          <w:bCs/>
          <w:rtl/>
        </w:rPr>
        <w:t>רמב”ם</w:t>
      </w:r>
      <w:r w:rsidRPr="007119D6">
        <w:rPr>
          <w:rFonts w:ascii="Narkisim" w:hAnsi="Narkisim"/>
          <w:rtl/>
        </w:rPr>
        <w:t xml:space="preserve"> (יסוה”ת ה ד) דאינו רשאי</w:t>
      </w:r>
      <w:r w:rsidRPr="007119D6">
        <w:rPr>
          <w:rFonts w:ascii="Narkisim" w:hAnsi="Narkisim"/>
        </w:rPr>
        <w:t>.</w:t>
      </w:r>
    </w:p>
  </w:footnote>
  <w:footnote w:id="8452">
    <w:p w14:paraId="40633E2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משנ"ל</w:t>
      </w:r>
      <w:r w:rsidRPr="007119D6">
        <w:rPr>
          <w:rFonts w:ascii="Narkisim" w:hAnsi="Narkisim"/>
          <w:rtl/>
        </w:rPr>
        <w:t xml:space="preserve"> (יסוה"ת ה ד) דמכאן סייעתא למ"ש </w:t>
      </w:r>
      <w:r w:rsidRPr="007119D6">
        <w:rPr>
          <w:rFonts w:ascii="Narkisim" w:hAnsi="Narkisim"/>
          <w:b/>
          <w:bCs/>
          <w:rtl/>
        </w:rPr>
        <w:t>ר' ירוחם</w:t>
      </w:r>
      <w:r w:rsidRPr="007119D6">
        <w:rPr>
          <w:rFonts w:ascii="Narkisim" w:hAnsi="Narkisim"/>
          <w:rtl/>
        </w:rPr>
        <w:t xml:space="preserve"> (יח) דאם הכותי מכוין להנאת עצמו אסור להחמיר</w:t>
      </w:r>
      <w:r w:rsidRPr="007119D6">
        <w:rPr>
          <w:rFonts w:ascii="Narkisim" w:hAnsi="Narkisim"/>
        </w:rPr>
        <w:t>.</w:t>
      </w:r>
    </w:p>
  </w:footnote>
  <w:footnote w:id="8453">
    <w:p w14:paraId="3A552BD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דאיסור דרבנן בידים לא עדיף מאיסור דאורייתא בשב ואל תעשה, דקי"ל (סנהדרין שם) דקרקע עולם יעבור ואל יהרג</w:t>
      </w:r>
      <w:r w:rsidRPr="007119D6">
        <w:rPr>
          <w:rFonts w:ascii="Narkisim" w:hAnsi="Narkisim"/>
        </w:rPr>
        <w:t>.</w:t>
      </w:r>
    </w:p>
  </w:footnote>
  <w:footnote w:id="8454">
    <w:p w14:paraId="707F119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וע"ע מהרש"א (ב"ב קיט.), ובית יצחק (או"ח לד ו), וחכמת שלמה (הר"ש קלוגר או"ח של)</w:t>
      </w:r>
      <w:r w:rsidRPr="007119D6">
        <w:rPr>
          <w:rFonts w:ascii="Narkisim" w:hAnsi="Narkisim"/>
        </w:rPr>
        <w:t>.</w:t>
      </w:r>
    </w:p>
  </w:footnote>
  <w:footnote w:id="8455">
    <w:p w14:paraId="55D1F8A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דהממלא מים לפרה, ובדרכו הוליך את החבל שלא לדרכו [דנחשב מלאכה שלא לצורך הפרה]. [והתם היה בימי התנאים, ואילו בסוגיין באמוראים]</w:t>
      </w:r>
      <w:r w:rsidRPr="007119D6">
        <w:rPr>
          <w:rFonts w:ascii="Narkisim" w:hAnsi="Narkisim"/>
        </w:rPr>
        <w:t>.</w:t>
      </w:r>
    </w:p>
  </w:footnote>
  <w:footnote w:id="8456">
    <w:p w14:paraId="733D578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הק' דמאחר דאביי לא ידע, אמאי לא שלחה לפני רבו. וכת' דאפשר דהיה רחוק, וחס על הטירחא</w:t>
      </w:r>
      <w:r w:rsidRPr="007119D6">
        <w:rPr>
          <w:rFonts w:ascii="Narkisim" w:hAnsi="Narkisim"/>
        </w:rPr>
        <w:t>.</w:t>
      </w:r>
    </w:p>
  </w:footnote>
  <w:footnote w:id="8457">
    <w:p w14:paraId="135340E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רי"ף</w:t>
      </w:r>
      <w:r w:rsidRPr="007119D6">
        <w:rPr>
          <w:rFonts w:ascii="Narkisim" w:hAnsi="Narkisim"/>
          <w:rtl/>
        </w:rPr>
        <w:t xml:space="preserve"> השמיט דבאה לפני אביי וכו'. וב</w:t>
      </w:r>
      <w:r w:rsidRPr="007119D6">
        <w:rPr>
          <w:rFonts w:ascii="Narkisim" w:hAnsi="Narkisim"/>
          <w:b/>
          <w:bCs/>
          <w:rtl/>
        </w:rPr>
        <w:t>שו"ת הרא"ש</w:t>
      </w:r>
      <w:r w:rsidRPr="007119D6">
        <w:rPr>
          <w:rFonts w:ascii="Narkisim" w:hAnsi="Narkisim"/>
          <w:rtl/>
        </w:rPr>
        <w:t xml:space="preserve"> (יח י) גרס בסוגיין זיל לקמיה דרבא בריה דרב יוסף ברבי חמא</w:t>
      </w:r>
      <w:r w:rsidRPr="007119D6">
        <w:rPr>
          <w:rFonts w:ascii="Narkisim" w:hAnsi="Narkisim"/>
        </w:rPr>
        <w:t>.</w:t>
      </w:r>
    </w:p>
    <w:p w14:paraId="7BEE2274"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ובגמ' (חולין עז.) הו' מעשה דחשש טריפה בא לפני אביי, ושהייה ג' רגלי. ורב אדא בר מתנא אמר לו [פ</w:t>
      </w:r>
      <w:r w:rsidRPr="007119D6">
        <w:rPr>
          <w:rFonts w:ascii="Narkisim" w:hAnsi="Narkisim"/>
          <w:b/>
          <w:bCs/>
          <w:rtl/>
        </w:rPr>
        <w:t>רש"י</w:t>
      </w:r>
      <w:r w:rsidRPr="007119D6">
        <w:rPr>
          <w:rFonts w:ascii="Narkisim" w:hAnsi="Narkisim"/>
          <w:rtl/>
        </w:rPr>
        <w:t xml:space="preserve"> לבעל הבהמה] זיל קמיה דרבא בריה דרב יוסף בר חמא [פ</w:t>
      </w:r>
      <w:r w:rsidRPr="007119D6">
        <w:rPr>
          <w:rFonts w:ascii="Narkisim" w:hAnsi="Narkisim"/>
          <w:b/>
          <w:bCs/>
          <w:rtl/>
        </w:rPr>
        <w:t>רש"י</w:t>
      </w:r>
      <w:r w:rsidRPr="007119D6">
        <w:rPr>
          <w:rFonts w:ascii="Narkisim" w:hAnsi="Narkisim"/>
          <w:rtl/>
        </w:rPr>
        <w:t xml:space="preserve"> בר פלוגתיה דאביי] דחריפא סכיניה. [אך העירו דבחולין הגיר' רב אדא בר מתנא, ואילו הכא בר אהבה {ובב"ב 'בר אבא'}. אך יש כתה”י בגמ' חולין דהגירסא בר אהבה]</w:t>
      </w:r>
      <w:r w:rsidRPr="007119D6">
        <w:rPr>
          <w:rFonts w:ascii="Narkisim" w:hAnsi="Narkisim"/>
        </w:rPr>
        <w:t>.</w:t>
      </w:r>
    </w:p>
  </w:footnote>
  <w:footnote w:id="8458">
    <w:p w14:paraId="79ACA6F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פ</w:t>
      </w:r>
      <w:r w:rsidRPr="007119D6">
        <w:rPr>
          <w:rFonts w:ascii="Narkisim" w:hAnsi="Narkisim"/>
          <w:b/>
          <w:bCs/>
          <w:rtl/>
        </w:rPr>
        <w:t>רש"י</w:t>
      </w:r>
      <w:r w:rsidRPr="007119D6">
        <w:rPr>
          <w:rFonts w:ascii="Narkisim" w:hAnsi="Narkisim"/>
          <w:rtl/>
        </w:rPr>
        <w:t xml:space="preserve"> שהיה רגיל לומר לתלמידים, עד שאתם הולכים אצל אביי לגרם עצמות, כלומר ללמוד שלא לשובע. תו אכלו, בואו ולמדו הלכות צהובות מרווחות אצל רבא</w:t>
      </w:r>
      <w:r w:rsidRPr="007119D6">
        <w:rPr>
          <w:rFonts w:ascii="Narkisim" w:hAnsi="Narkisim"/>
        </w:rPr>
        <w:t>.</w:t>
      </w:r>
    </w:p>
  </w:footnote>
  <w:footnote w:id="8459">
    <w:p w14:paraId="6F8F12A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ה</w:t>
      </w:r>
      <w:r w:rsidRPr="007119D6">
        <w:rPr>
          <w:rFonts w:ascii="Narkisim" w:hAnsi="Narkisim"/>
          <w:b/>
          <w:bCs/>
          <w:rtl/>
        </w:rPr>
        <w:t>רא"ש</w:t>
      </w:r>
      <w:r w:rsidRPr="007119D6">
        <w:rPr>
          <w:rFonts w:ascii="Narkisim" w:hAnsi="Narkisim"/>
          <w:rtl/>
        </w:rPr>
        <w:t xml:space="preserve"> (קידושין א סב) הביא ד</w:t>
      </w:r>
      <w:r w:rsidRPr="007119D6">
        <w:rPr>
          <w:rFonts w:ascii="Narkisim" w:hAnsi="Narkisim"/>
          <w:b/>
          <w:bCs/>
          <w:rtl/>
        </w:rPr>
        <w:t>ר"ת</w:t>
      </w:r>
      <w:r w:rsidRPr="007119D6">
        <w:rPr>
          <w:rFonts w:ascii="Narkisim" w:hAnsi="Narkisim"/>
          <w:rtl/>
        </w:rPr>
        <w:t xml:space="preserve"> [ע' תוס' קידושין לו:] הוכיח מכאן דערלה נוהג אף בפירות של עכו"ם</w:t>
      </w:r>
      <w:r w:rsidRPr="007119D6">
        <w:rPr>
          <w:rFonts w:ascii="Narkisim" w:hAnsi="Narkisim"/>
        </w:rPr>
        <w:t>.</w:t>
      </w:r>
    </w:p>
  </w:footnote>
  <w:footnote w:id="8460">
    <w:p w14:paraId="5ECB42F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w:t>
      </w:r>
      <w:r w:rsidRPr="007119D6">
        <w:rPr>
          <w:rFonts w:ascii="Narkisim" w:hAnsi="Narkisim"/>
          <w:b/>
          <w:bCs/>
          <w:rtl/>
        </w:rPr>
        <w:t>ראבי"ה</w:t>
      </w:r>
      <w:r w:rsidRPr="007119D6">
        <w:rPr>
          <w:rFonts w:ascii="Narkisim" w:hAnsi="Narkisim"/>
          <w:rtl/>
        </w:rPr>
        <w:t xml:space="preserve"> (ברא"ש מו"ק ג לב) פסק כרבי מחביריו, אף במקום אביו. [וה</w:t>
      </w:r>
      <w:r w:rsidRPr="007119D6">
        <w:rPr>
          <w:rFonts w:ascii="Narkisim" w:hAnsi="Narkisim"/>
          <w:b/>
          <w:bCs/>
          <w:rtl/>
        </w:rPr>
        <w:t>מרדכי</w:t>
      </w:r>
      <w:r w:rsidRPr="007119D6">
        <w:rPr>
          <w:rFonts w:ascii="Narkisim" w:hAnsi="Narkisim"/>
          <w:rtl/>
        </w:rPr>
        <w:t xml:space="preserve"> (מו"ק תתקכה) הביא דברי ראבי"ה להיפך, דגרס דלרשב"ג נאמן להקל, ופסק כרשב"ג נגד רבי דהוה רבו. אך עכ”פ עולה דקי"ל דנאמן להחמיר]. {ואכמ"ל בסתירות בזה אי קי"ל כרבי נגד רשב"ג}</w:t>
      </w:r>
      <w:r w:rsidRPr="007119D6">
        <w:rPr>
          <w:rFonts w:ascii="Narkisim" w:hAnsi="Narkisim"/>
        </w:rPr>
        <w:t>.</w:t>
      </w:r>
    </w:p>
    <w:p w14:paraId="36D41342"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אך ב</w:t>
      </w:r>
      <w:r w:rsidRPr="007119D6">
        <w:rPr>
          <w:rFonts w:ascii="Narkisim" w:hAnsi="Narkisim"/>
          <w:b/>
          <w:bCs/>
          <w:rtl/>
        </w:rPr>
        <w:t xml:space="preserve">ירושלמי </w:t>
      </w:r>
      <w:r w:rsidRPr="007119D6">
        <w:rPr>
          <w:rFonts w:ascii="Narkisim" w:hAnsi="Narkisim"/>
          <w:rtl/>
        </w:rPr>
        <w:t xml:space="preserve">(דמאי ו ח) הגירסא וחכמים אומרים דברי עכו"ם לא מעלין ולא מורידין. [ולפ"ז לא קי"ל כרבי, דלא קי"ל כוותיה כנגד חביריו]. וכ"פ </w:t>
      </w:r>
      <w:r w:rsidRPr="007119D6">
        <w:rPr>
          <w:rFonts w:ascii="Narkisim" w:hAnsi="Narkisim"/>
          <w:b/>
          <w:bCs/>
          <w:rtl/>
        </w:rPr>
        <w:t>ר' ירוחם</w:t>
      </w:r>
      <w:r w:rsidRPr="007119D6">
        <w:rPr>
          <w:rFonts w:ascii="Narkisim" w:hAnsi="Narkisim"/>
          <w:rtl/>
        </w:rPr>
        <w:t xml:space="preserve"> (כא, והשו"ע יו"ד רצד כח) דאפי' אמר של פלוני</w:t>
      </w:r>
      <w:r w:rsidRPr="007119D6">
        <w:rPr>
          <w:rFonts w:ascii="Narkisim" w:hAnsi="Narkisim"/>
        </w:rPr>
        <w:t>.</w:t>
      </w:r>
    </w:p>
  </w:footnote>
  <w:footnote w:id="8461">
    <w:p w14:paraId="00F3A08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רמ"א</w:t>
      </w:r>
      <w:r w:rsidRPr="007119D6">
        <w:rPr>
          <w:rFonts w:ascii="Narkisim" w:hAnsi="Narkisim"/>
          <w:rtl/>
        </w:rPr>
        <w:t xml:space="preserve"> (יו"ד שיג ב, בשם תה"ד קסט) פסק דעכו"ם מסל"ת האומר דישראל צווהו לעשות מום בבכור נאמן, וקנסינן. וה</w:t>
      </w:r>
      <w:r w:rsidRPr="007119D6">
        <w:rPr>
          <w:rFonts w:ascii="Narkisim" w:hAnsi="Narkisim"/>
          <w:b/>
          <w:bCs/>
          <w:rtl/>
        </w:rPr>
        <w:t>ש"ך</w:t>
      </w:r>
      <w:r w:rsidRPr="007119D6">
        <w:rPr>
          <w:rFonts w:ascii="Narkisim" w:hAnsi="Narkisim"/>
          <w:rtl/>
        </w:rPr>
        <w:t xml:space="preserve"> (שיג ד) כת' דאזלינן בתר אומדנא, דחזינן דכוון העובד כוכבים להתיר אסור א"כ אומדן דעת הוא דהעובד כוכבים מסל"ת אומר אמת דאל"כ ל"ל שהטיל בו מום</w:t>
      </w:r>
      <w:r w:rsidRPr="007119D6">
        <w:rPr>
          <w:rFonts w:ascii="Narkisim" w:hAnsi="Narkisim"/>
        </w:rPr>
        <w:t>.</w:t>
      </w:r>
    </w:p>
    <w:p w14:paraId="1D62DEF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רמ"א</w:t>
      </w:r>
      <w:r w:rsidRPr="007119D6">
        <w:rPr>
          <w:rFonts w:ascii="Narkisim" w:hAnsi="Narkisim"/>
          <w:rtl/>
        </w:rPr>
        <w:t xml:space="preserve"> (אה"ע ז ב) הביא מח' אי עכו"ם מסל"ת נאמן בשבויה דרבנן. וע"ע </w:t>
      </w:r>
      <w:r w:rsidRPr="007119D6">
        <w:rPr>
          <w:rFonts w:ascii="Narkisim" w:hAnsi="Narkisim"/>
          <w:b/>
          <w:bCs/>
          <w:rtl/>
        </w:rPr>
        <w:t>ט"ז</w:t>
      </w:r>
      <w:r w:rsidRPr="007119D6">
        <w:rPr>
          <w:rFonts w:ascii="Narkisim" w:hAnsi="Narkisim"/>
          <w:rtl/>
        </w:rPr>
        <w:t xml:space="preserve"> (יו"ד קכב) ו</w:t>
      </w:r>
      <w:r w:rsidRPr="007119D6">
        <w:rPr>
          <w:rFonts w:ascii="Narkisim" w:hAnsi="Narkisim"/>
          <w:b/>
          <w:bCs/>
          <w:rtl/>
        </w:rPr>
        <w:t>ש”ך</w:t>
      </w:r>
      <w:r w:rsidRPr="007119D6">
        <w:rPr>
          <w:rFonts w:ascii="Narkisim" w:hAnsi="Narkisim"/>
          <w:rtl/>
        </w:rPr>
        <w:t xml:space="preserve"> (קכז כ)</w:t>
      </w:r>
      <w:r w:rsidRPr="007119D6">
        <w:rPr>
          <w:rFonts w:ascii="Narkisim" w:hAnsi="Narkisim"/>
        </w:rPr>
        <w:t>.</w:t>
      </w:r>
    </w:p>
    <w:p w14:paraId="7510AE34"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רא"ש</w:t>
      </w:r>
      <w:r w:rsidRPr="007119D6">
        <w:rPr>
          <w:rFonts w:ascii="Narkisim" w:hAnsi="Narkisim"/>
          <w:rtl/>
        </w:rPr>
        <w:t xml:space="preserve"> (מו"ק ג לב ושו”ע יו”ד שצא) כת' דעכו"ם מסל"ת שמעיד שמת מתאבלים עליו. והביא דהראבי"ה למד כן מסוגיין, דלדעת רבי נאמן להחמיר. ואבילות הוה חומרא. והרא"ש הביא דהמהר"ם דחה דבסוגיין איירי בפירות שהם שלו [וכמ”ש הרשב”א, ע' בסמוך], אבל פירות דהוחזקו היתר ל"מ לאוסרו. ועוד חלק דאבילות נולד בו קולא, דבשבת נוהג אבילות בצינעא ועוד דמבטל דברי תורה ותפילים ביום א</w:t>
      </w:r>
      <w:r w:rsidRPr="007119D6">
        <w:rPr>
          <w:rFonts w:ascii="Narkisim" w:hAnsi="Narkisim"/>
        </w:rPr>
        <w:t>'.</w:t>
      </w:r>
    </w:p>
  </w:footnote>
  <w:footnote w:id="8462">
    <w:p w14:paraId="1BF7EBA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(והו' בשו"ע יו"ד טז יא) פסק עכו"ם שמכר ב' בהמות, ואחר שמכרו אמר שהוא אותו ואת בנו אינו נאמן לאסור</w:t>
      </w:r>
      <w:r w:rsidRPr="007119D6">
        <w:rPr>
          <w:rFonts w:ascii="Narkisim" w:hAnsi="Narkisim"/>
        </w:rPr>
        <w:t>.</w:t>
      </w:r>
    </w:p>
  </w:footnote>
  <w:footnote w:id="8463">
    <w:p w14:paraId="11173C8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שהרי עכו"ם אינו נאמן לא לאיסור ולא להיתר, וציין כמ"ש הפוסקים בכמה דוכתי. [דהיכא דלא הוה מסיח לפי תומו ודאי אינו נאמן. ואף בסוגיין לכאורה לא הוה מסל"ת]</w:t>
      </w:r>
      <w:r w:rsidRPr="007119D6">
        <w:rPr>
          <w:rFonts w:ascii="Narkisim" w:hAnsi="Narkisim"/>
        </w:rPr>
        <w:t>.</w:t>
      </w:r>
    </w:p>
  </w:footnote>
  <w:footnote w:id="8464">
    <w:p w14:paraId="437AEED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ועוד הביא דברי הרשב"א שהטעם משום שנאמן על שלו. והביא דכ"מ ב</w:t>
      </w:r>
      <w:r w:rsidRPr="007119D6">
        <w:rPr>
          <w:rFonts w:ascii="Narkisim" w:hAnsi="Narkisim"/>
          <w:b/>
          <w:bCs/>
          <w:rtl/>
        </w:rPr>
        <w:t>תורת חטאת</w:t>
      </w:r>
      <w:r w:rsidRPr="007119D6">
        <w:rPr>
          <w:rFonts w:ascii="Narkisim" w:hAnsi="Narkisim"/>
          <w:rtl/>
        </w:rPr>
        <w:t xml:space="preserve"> (כלל לב ט)</w:t>
      </w:r>
      <w:r w:rsidRPr="007119D6">
        <w:rPr>
          <w:rFonts w:ascii="Narkisim" w:hAnsi="Narkisim"/>
        </w:rPr>
        <w:t>.</w:t>
      </w:r>
    </w:p>
  </w:footnote>
  <w:footnote w:id="8465">
    <w:p w14:paraId="5E29DDD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בגמ' (ב"ק שם) מבואר דאיירי דהבעלים מרדפין, מבואר דמסל"ת לחוד לא סגי, אלא בצירוף אומדנא זו. וע"ע ש"ש (ז י)</w:t>
      </w:r>
      <w:r w:rsidRPr="007119D6">
        <w:rPr>
          <w:rFonts w:ascii="Narkisim" w:hAnsi="Narkisim"/>
        </w:rPr>
        <w:t>.</w:t>
      </w:r>
    </w:p>
  </w:footnote>
  <w:footnote w:id="8466">
    <w:p w14:paraId="072F4C6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חוות יאיר </w:t>
      </w:r>
      <w:r w:rsidRPr="007119D6">
        <w:rPr>
          <w:rFonts w:ascii="Narkisim" w:hAnsi="Narkisim"/>
          <w:rtl/>
        </w:rPr>
        <w:t>(קמח) כת' דצ"ע מאד, דהגמ' (ב"ק שם) איירי בקטן מסל"ת, והאיך הביא ראיה מזה לעכו"ם. ומנ"ל דגוי נאמן להתיר אפי' בדרבנן, רק לעדות אשה הקילו. וקטן עדיף מגוי כמוכח בכמה דוכתי</w:t>
      </w:r>
      <w:r w:rsidRPr="007119D6">
        <w:rPr>
          <w:rFonts w:ascii="Narkisim" w:hAnsi="Narkisim"/>
        </w:rPr>
        <w:t>.</w:t>
      </w:r>
    </w:p>
  </w:footnote>
  <w:footnote w:id="8467">
    <w:p w14:paraId="3C91FA9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רש"ש</w:t>
      </w:r>
      <w:r w:rsidRPr="007119D6">
        <w:rPr>
          <w:rFonts w:ascii="Narkisim" w:hAnsi="Narkisim"/>
          <w:rtl/>
        </w:rPr>
        <w:t xml:space="preserve"> ציין דבפוסק (יהושע י י ויא) מצאנו עיר עזיקה. וה</w:t>
      </w:r>
      <w:r w:rsidRPr="007119D6">
        <w:rPr>
          <w:rFonts w:ascii="Narkisim" w:hAnsi="Narkisim"/>
          <w:b/>
          <w:bCs/>
          <w:rtl/>
        </w:rPr>
        <w:t>רמב"ן</w:t>
      </w:r>
      <w:r w:rsidRPr="007119D6">
        <w:rPr>
          <w:rFonts w:ascii="Narkisim" w:hAnsi="Narkisim"/>
          <w:rtl/>
        </w:rPr>
        <w:t xml:space="preserve"> חלק שלא היה לתנא לשנות דוקא העיר הזו</w:t>
      </w:r>
      <w:r w:rsidRPr="007119D6">
        <w:rPr>
          <w:rFonts w:ascii="Narkisim" w:hAnsi="Narkisim"/>
        </w:rPr>
        <w:t>.</w:t>
      </w:r>
    </w:p>
  </w:footnote>
  <w:footnote w:id="8468">
    <w:p w14:paraId="4746FBB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רמב"ם</w:t>
      </w:r>
      <w:r w:rsidRPr="007119D6">
        <w:rPr>
          <w:rFonts w:ascii="Narkisim" w:hAnsi="Narkisim"/>
          <w:rtl/>
        </w:rPr>
        <w:t xml:space="preserve"> (שמיטה ד כט) כת' דשדה עכו"ם שזרעה ועבדה בשביעית, הפירות מותרין. דהעכו"ם אינן מצווין על השביעית, ולא גזרו ספיחין אלא מפני עוברי עבירה. וה</w:t>
      </w:r>
      <w:r w:rsidRPr="007119D6">
        <w:rPr>
          <w:rFonts w:ascii="Narkisim" w:hAnsi="Narkisim"/>
          <w:b/>
          <w:bCs/>
          <w:rtl/>
        </w:rPr>
        <w:t>כפתור ופרח</w:t>
      </w:r>
      <w:r w:rsidRPr="007119D6">
        <w:rPr>
          <w:rFonts w:ascii="Narkisim" w:hAnsi="Narkisim"/>
          <w:rtl/>
        </w:rPr>
        <w:t xml:space="preserve"> (מז, הו' בכס"מ שם) האריך בזה טובא</w:t>
      </w:r>
      <w:r w:rsidRPr="007119D6">
        <w:rPr>
          <w:rFonts w:ascii="Narkisim" w:hAnsi="Narkisim"/>
        </w:rPr>
        <w:t>.</w:t>
      </w:r>
    </w:p>
    <w:p w14:paraId="0932C624"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והביא מקור לרמב"ם מהגמ' (סנהדרין צא.) דבני מצרים דנו מפני אלכסנדרוס מוקדון, וישראל נצחו אותם, והעכו"ם ברחו והניחו שדות זרועות וכרמים נטועים וברחו ואמרו שם ואותה שנה שביעית היתה [ו</w:t>
      </w:r>
      <w:r w:rsidRPr="007119D6">
        <w:rPr>
          <w:rFonts w:ascii="Narkisim" w:hAnsi="Narkisim"/>
          <w:b/>
          <w:bCs/>
          <w:rtl/>
        </w:rPr>
        <w:t>מהר"י קורקוס</w:t>
      </w:r>
      <w:r w:rsidRPr="007119D6">
        <w:rPr>
          <w:rFonts w:ascii="Narkisim" w:hAnsi="Narkisim"/>
          <w:rtl/>
        </w:rPr>
        <w:t xml:space="preserve"> (שם) הביא די"ג וסמכו ישראל עליהם]</w:t>
      </w:r>
      <w:r w:rsidRPr="007119D6">
        <w:rPr>
          <w:rFonts w:ascii="Narkisim" w:hAnsi="Narkisim"/>
        </w:rPr>
        <w:t>.</w:t>
      </w:r>
    </w:p>
  </w:footnote>
  <w:footnote w:id="8469">
    <w:p w14:paraId="7BE80AD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בדברי הראב"ד מבואר דאינו קנס, דאף דהעכו"ם רשאי לעשות מלאכה הפירות אסורין. ולא דמי למשומר, דהראב"ד כת' דכיון דהעכו"ם רשאי לשמור ומש”ה לא נאסר</w:t>
      </w:r>
      <w:r w:rsidRPr="007119D6">
        <w:rPr>
          <w:rFonts w:ascii="Narkisim" w:hAnsi="Narkisim"/>
        </w:rPr>
        <w:t>.</w:t>
      </w:r>
    </w:p>
    <w:p w14:paraId="0FF41FE4"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ולכאורה כוונת הראב"ד דנעבד אסור מדרבנן, שהרי למד ק"ו מספיחין. וקי"ל דספיחין אסורין מדרבנן. [וכ"כ ה</w:t>
      </w:r>
      <w:r w:rsidRPr="007119D6">
        <w:rPr>
          <w:rFonts w:ascii="Narkisim" w:hAnsi="Narkisim"/>
          <w:b/>
          <w:bCs/>
          <w:rtl/>
        </w:rPr>
        <w:t>מהר"י קורקוס</w:t>
      </w:r>
      <w:r w:rsidRPr="007119D6">
        <w:rPr>
          <w:rFonts w:ascii="Narkisim" w:hAnsi="Narkisim"/>
          <w:rtl/>
        </w:rPr>
        <w:t xml:space="preserve"> שם דנעבד אסור משום גזירת ספיחין]</w:t>
      </w:r>
      <w:r w:rsidRPr="007119D6">
        <w:rPr>
          <w:rFonts w:ascii="Narkisim" w:hAnsi="Narkisim"/>
        </w:rPr>
        <w:t>.</w:t>
      </w:r>
      <w:r w:rsidRPr="007119D6">
        <w:rPr>
          <w:rFonts w:ascii="Narkisim" w:hAnsi="Narkisim"/>
        </w:rPr>
        <w:tab/>
      </w:r>
    </w:p>
  </w:footnote>
  <w:footnote w:id="8470">
    <w:p w14:paraId="23781C3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פרישה</w:t>
      </w:r>
      <w:r w:rsidRPr="007119D6">
        <w:rPr>
          <w:rFonts w:ascii="Narkisim" w:hAnsi="Narkisim"/>
          <w:rtl/>
        </w:rPr>
        <w:t xml:space="preserve"> (חו"מ קמא יג) כת' דפירות מנעבד בשביעית אסורין משום לא תאכל תועבה (דברים יד ג), דדרשי' (חולין קיד:) כל שתעבתי לך הרי הוא בבל תאכל. [וה</w:t>
      </w:r>
      <w:r w:rsidRPr="007119D6">
        <w:rPr>
          <w:rFonts w:ascii="Narkisim" w:hAnsi="Narkisim"/>
          <w:b/>
          <w:bCs/>
          <w:rtl/>
        </w:rPr>
        <w:t xml:space="preserve">אחרונים </w:t>
      </w:r>
      <w:r w:rsidRPr="007119D6">
        <w:rPr>
          <w:rFonts w:ascii="Narkisim" w:hAnsi="Narkisim"/>
          <w:rtl/>
        </w:rPr>
        <w:t xml:space="preserve">הביאו כן בכוונת </w:t>
      </w:r>
      <w:r w:rsidRPr="007119D6">
        <w:rPr>
          <w:rFonts w:ascii="Narkisim" w:hAnsi="Narkisim"/>
          <w:b/>
          <w:bCs/>
          <w:rtl/>
        </w:rPr>
        <w:t>תוס'</w:t>
      </w:r>
      <w:r w:rsidRPr="007119D6">
        <w:rPr>
          <w:rFonts w:ascii="Narkisim" w:hAnsi="Narkisim"/>
          <w:rtl/>
        </w:rPr>
        <w:t xml:space="preserve"> (ר"ה ט.)]</w:t>
      </w:r>
      <w:r w:rsidRPr="007119D6">
        <w:rPr>
          <w:rFonts w:ascii="Narkisim" w:hAnsi="Narkisim"/>
        </w:rPr>
        <w:t>.</w:t>
      </w:r>
    </w:p>
    <w:p w14:paraId="51DF07CD"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ויש אחרונים שהביאו דכ"ד הראב"ד [ואף דנעשית התועבה ע"י עכו"ם אסור, וכמ"ש רש"י חולין שם]</w:t>
      </w:r>
      <w:r w:rsidRPr="007119D6">
        <w:rPr>
          <w:rFonts w:ascii="Narkisim" w:hAnsi="Narkisim"/>
        </w:rPr>
        <w:t>.</w:t>
      </w:r>
    </w:p>
  </w:footnote>
  <w:footnote w:id="8471">
    <w:p w14:paraId="743B288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w:t>
      </w:r>
      <w:r w:rsidRPr="007119D6">
        <w:rPr>
          <w:rFonts w:ascii="Narkisim" w:hAnsi="Narkisim"/>
          <w:rtl/>
        </w:rPr>
        <w:t xml:space="preserve"> (בתו"כ, עי”ש ראב”ד ורבינו הלל) כת' דשמור דהתם היינו נעבד [דלא 'שבת'], וכדמוכח בסיפא. [אך הוסיף דאף שמור אסור, כדילפי' מלא תבצור]</w:t>
      </w:r>
      <w:r w:rsidRPr="007119D6">
        <w:rPr>
          <w:rFonts w:ascii="Narkisim" w:hAnsi="Narkisim"/>
        </w:rPr>
        <w:t>.</w:t>
      </w:r>
    </w:p>
  </w:footnote>
  <w:footnote w:id="8472">
    <w:p w14:paraId="1C8F845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חזו"א</w:t>
      </w:r>
      <w:r w:rsidRPr="007119D6">
        <w:rPr>
          <w:rFonts w:ascii="Narkisim" w:hAnsi="Narkisim"/>
          <w:rtl/>
        </w:rPr>
        <w:t xml:space="preserve"> (שביעית ג כה) כת' דדעת רוב הראשונים דנעבד אינו דאורייתא</w:t>
      </w:r>
      <w:r w:rsidRPr="007119D6">
        <w:rPr>
          <w:rFonts w:ascii="Narkisim" w:hAnsi="Narkisim"/>
        </w:rPr>
        <w:t>.</w:t>
      </w:r>
    </w:p>
  </w:footnote>
  <w:footnote w:id="8473">
    <w:p w14:paraId="48D4AC4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דאי' (שם) דלוקח מן המשומר אפי' כחצי איסר אסור, ופרש"י משום הערמה. ולא משום דהפירות מצד עצמן אסורין</w:t>
      </w:r>
      <w:r w:rsidRPr="007119D6">
        <w:rPr>
          <w:rFonts w:ascii="Narkisim" w:hAnsi="Narkisim"/>
        </w:rPr>
        <w:t>.</w:t>
      </w:r>
    </w:p>
  </w:footnote>
  <w:footnote w:id="8474">
    <w:p w14:paraId="21E24C9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ויל"ד אי רבותיו של </w:t>
      </w:r>
      <w:r w:rsidRPr="007119D6">
        <w:rPr>
          <w:rFonts w:ascii="Narkisim" w:hAnsi="Narkisim"/>
          <w:b/>
          <w:bCs/>
          <w:rtl/>
        </w:rPr>
        <w:t>רש"י</w:t>
      </w:r>
      <w:r w:rsidRPr="007119D6">
        <w:rPr>
          <w:rFonts w:ascii="Narkisim" w:hAnsi="Narkisim"/>
          <w:rtl/>
        </w:rPr>
        <w:t xml:space="preserve"> (ור"ת, והבעה"מ סוכה) ס"ל דאף משומר של נכרי אסור בשביעית. או דס"ל דאיירי שלקח פירות אלו מישראל. וכ"כ ה</w:t>
      </w:r>
      <w:r w:rsidRPr="007119D6">
        <w:rPr>
          <w:rFonts w:ascii="Narkisim" w:hAnsi="Narkisim"/>
          <w:b/>
          <w:bCs/>
          <w:rtl/>
        </w:rPr>
        <w:t>שיטה לנ"ל</w:t>
      </w:r>
      <w:r w:rsidRPr="007119D6">
        <w:rPr>
          <w:rFonts w:ascii="Narkisim" w:hAnsi="Narkisim"/>
          <w:rtl/>
        </w:rPr>
        <w:t xml:space="preserve"> (קידושין לו:) דאיירי שלקחו מישראל, דבשל עכו"ם מה איכפ"ל בשביעית. ועפ"ז כת' דערלה אינו נוהג בשל עכו"ם (ע' תוס' ע"ז סג: וקידו' לו:, והרא”ש שם הוכיח משם), וע”כ איירי דלקחו מישראל</w:t>
      </w:r>
      <w:r w:rsidRPr="007119D6">
        <w:rPr>
          <w:rFonts w:ascii="Narkisim" w:hAnsi="Narkisim"/>
        </w:rPr>
        <w:t>].</w:t>
      </w:r>
    </w:p>
  </w:footnote>
  <w:footnote w:id="8475">
    <w:p w14:paraId="01A09E5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כלומר שלא בא הכתוב אלא ליתן לאו על המשמר כרמו ובוצר אותה ואינו מפקירה. וכענין שדרשו (שם) לא תבצור כדרך הבוצרים, מכאן אמרו תאנים של שביעית אין קוצצין אותן במוקצה וכו</w:t>
      </w:r>
      <w:r w:rsidRPr="007119D6">
        <w:rPr>
          <w:rFonts w:ascii="Narkisim" w:hAnsi="Narkisim"/>
        </w:rPr>
        <w:t>'.</w:t>
      </w:r>
    </w:p>
  </w:footnote>
  <w:footnote w:id="8476">
    <w:p w14:paraId="09E80C0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דייק דכן משמע בברייתא בסוכה, כחצי איסור. והול”ל דהכל אסור. ועוד הביא דבמשנה (שביעית ט ד) אי' [בזמן הביעור] דאין אוכלים על השמור, ולר' יוסי אוכלין על השמור</w:t>
      </w:r>
      <w:r w:rsidRPr="007119D6">
        <w:rPr>
          <w:rFonts w:ascii="Narkisim" w:hAnsi="Narkisim"/>
        </w:rPr>
        <w:t>.</w:t>
      </w:r>
    </w:p>
  </w:footnote>
  <w:footnote w:id="8477">
    <w:p w14:paraId="26227C3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ולא הכיר הכותי את היהודי, אלא שהיו עדים שיודעין שאותו היהודי נתלוה עמו עם זה הכותי ובאו לפני בי"ד ואמרו שפלוני נתלוה עם זה הכותי, והנה הכותי אומר שמת והתירו את אשתו</w:t>
      </w:r>
      <w:r w:rsidRPr="007119D6">
        <w:rPr>
          <w:rFonts w:ascii="Narkisim" w:hAnsi="Narkisim"/>
        </w:rPr>
        <w:t>.</w:t>
      </w:r>
    </w:p>
  </w:footnote>
  <w:footnote w:id="8478">
    <w:p w14:paraId="1404A2F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צמח צדק</w:t>
      </w:r>
      <w:r w:rsidRPr="007119D6">
        <w:rPr>
          <w:rFonts w:ascii="Narkisim" w:hAnsi="Narkisim"/>
          <w:rtl/>
        </w:rPr>
        <w:t xml:space="preserve"> (הו' בסמוך) כת' דאפשר דה"נ איירי דידוע דהגוי הלך עם קולר אנשים זו, מש"ה מהני שמעיד סתם</w:t>
      </w:r>
      <w:r w:rsidRPr="007119D6">
        <w:rPr>
          <w:rFonts w:ascii="Narkisim" w:hAnsi="Narkisim"/>
        </w:rPr>
        <w:t>.</w:t>
      </w:r>
    </w:p>
  </w:footnote>
  <w:footnote w:id="8479">
    <w:p w14:paraId="10EB959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פוסקים</w:t>
      </w:r>
      <w:r w:rsidRPr="007119D6">
        <w:rPr>
          <w:rFonts w:ascii="Narkisim" w:hAnsi="Narkisim"/>
          <w:rtl/>
        </w:rPr>
        <w:t xml:space="preserve"> נקטו דבעינן שמו ושם אביו או שם עירו. והביאו מ</w:t>
      </w:r>
      <w:r w:rsidRPr="007119D6">
        <w:rPr>
          <w:rFonts w:ascii="Narkisim" w:hAnsi="Narkisim"/>
          <w:b/>
          <w:bCs/>
          <w:rtl/>
        </w:rPr>
        <w:t>שו"ת מהר"ם לובלין</w:t>
      </w:r>
      <w:r w:rsidRPr="007119D6">
        <w:rPr>
          <w:rFonts w:ascii="Narkisim" w:hAnsi="Narkisim"/>
          <w:rtl/>
        </w:rPr>
        <w:t xml:space="preserve"> (קלב) דהיכא דהעכו"ם הכירו אנשי המקום הזה, אמרי' דמסתמא קאי אאנשי המקום. ומרוב הפשיטות שמעידים שעל אלו האנשים שהיו ידועים להם ל"צ  להסתפק באנשים זולתם. והביא דכ"מ בכמה מעשים בגמ', מאן איכא בי חסא. שלא הוזכר שאמרו שם אביו או שם עירו</w:t>
      </w:r>
      <w:r w:rsidRPr="007119D6">
        <w:rPr>
          <w:rFonts w:ascii="Narkisim" w:hAnsi="Narkisim"/>
        </w:rPr>
        <w:t>.</w:t>
      </w:r>
    </w:p>
  </w:footnote>
  <w:footnote w:id="8480">
    <w:p w14:paraId="38D5724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במעשה בסמוך העכו"ם אמר שהיו מהלכין בדרך ביתר</w:t>
      </w:r>
      <w:r w:rsidRPr="007119D6">
        <w:rPr>
          <w:rFonts w:ascii="Narkisim" w:hAnsi="Narkisim"/>
        </w:rPr>
        <w:t>.</w:t>
      </w:r>
    </w:p>
  </w:footnote>
  <w:footnote w:id="8481">
    <w:p w14:paraId="6F8D7EB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הק' דאף ביצחק ריש גלותא אי' שידעינן שהלכו לאספמיא</w:t>
      </w:r>
      <w:r w:rsidRPr="007119D6">
        <w:rPr>
          <w:rFonts w:ascii="Narkisim" w:hAnsi="Narkisim"/>
        </w:rPr>
        <w:t>.</w:t>
      </w:r>
    </w:p>
  </w:footnote>
  <w:footnote w:id="8482">
    <w:p w14:paraId="224248A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ואמר איש שיצא עמי מכאן מת, משיאין את אשתו ואף על פי שאין הגוי יודע אותו האיש</w:t>
      </w:r>
      <w:r w:rsidRPr="007119D6">
        <w:rPr>
          <w:rFonts w:ascii="Narkisim" w:hAnsi="Narkisim"/>
        </w:rPr>
        <w:t>.</w:t>
      </w:r>
    </w:p>
  </w:footnote>
  <w:footnote w:id="8483">
    <w:p w14:paraId="63EB292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ולכאורה הוה ע"ד הא דאי' (לעיל קיד: וקטו.) דבמלחמה חיישינן לבדדמי היכא דאינו אומר קברתיו. וה"נ חיישינן שמא העכו"ם לא ראה מיתה ממש. וה</w:t>
      </w:r>
      <w:r w:rsidRPr="007119D6">
        <w:rPr>
          <w:rFonts w:ascii="Narkisim" w:hAnsi="Narkisim"/>
          <w:b/>
          <w:bCs/>
          <w:rtl/>
        </w:rPr>
        <w:t>רמ"א</w:t>
      </w:r>
      <w:r w:rsidRPr="007119D6">
        <w:rPr>
          <w:rFonts w:ascii="Narkisim" w:hAnsi="Narkisim"/>
          <w:rtl/>
        </w:rPr>
        <w:t xml:space="preserve"> (יז יז) כת' לאו דווקא קברתיו, אלא כל שאומר דבר שמשמעותו שודאי מת, ולא אמר בדדמי מהני</w:t>
      </w:r>
      <w:r w:rsidRPr="007119D6">
        <w:rPr>
          <w:rFonts w:ascii="Narkisim" w:hAnsi="Narkisim"/>
        </w:rPr>
        <w:t>.</w:t>
      </w:r>
    </w:p>
  </w:footnote>
  <w:footnote w:id="8484">
    <w:p w14:paraId="4F95C2B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ריב"ש</w:t>
      </w:r>
      <w:r w:rsidRPr="007119D6">
        <w:rPr>
          <w:rFonts w:ascii="Narkisim" w:hAnsi="Narkisim"/>
          <w:rtl/>
        </w:rPr>
        <w:t xml:space="preserve"> (שעח) הביא בשם רבו ר' פרץ דנקט קברתיו לרבותא, דס"ד דהוה כמתכוין להעיד</w:t>
      </w:r>
      <w:r w:rsidRPr="007119D6">
        <w:rPr>
          <w:rFonts w:ascii="Narkisim" w:hAnsi="Narkisim"/>
        </w:rPr>
        <w:t>.</w:t>
      </w:r>
    </w:p>
  </w:footnote>
  <w:footnote w:id="8485">
    <w:p w14:paraId="3F5C87C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ה</w:t>
      </w:r>
      <w:r w:rsidRPr="007119D6">
        <w:rPr>
          <w:rFonts w:ascii="Narkisim" w:hAnsi="Narkisim"/>
          <w:b/>
          <w:bCs/>
          <w:rtl/>
        </w:rPr>
        <w:t>טור</w:t>
      </w:r>
      <w:r w:rsidRPr="007119D6">
        <w:rPr>
          <w:rFonts w:ascii="Narkisim" w:hAnsi="Narkisim"/>
          <w:rtl/>
        </w:rPr>
        <w:t xml:space="preserve"> כת' איני יודע למה צריך שיאמר קברתיו. והביאו בשם הרדב"ז דכמה דורות נהגו להקל בזה [ודלא כרמב"ם]. ובשם מהר"י טייטצק שבסלוניק עיר גדולה של חכמים ושל סופרים נהגו להקל</w:t>
      </w:r>
      <w:r w:rsidRPr="007119D6">
        <w:rPr>
          <w:rFonts w:ascii="Narkisim" w:hAnsi="Narkisim"/>
        </w:rPr>
        <w:t>.</w:t>
      </w:r>
    </w:p>
  </w:footnote>
  <w:footnote w:id="8486">
    <w:p w14:paraId="5BD1C33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דה</w:t>
      </w:r>
      <w:r w:rsidRPr="007119D6">
        <w:rPr>
          <w:rFonts w:ascii="Narkisim" w:hAnsi="Narkisim"/>
          <w:b/>
          <w:bCs/>
          <w:rtl/>
        </w:rPr>
        <w:t>רמב"ם</w:t>
      </w:r>
      <w:r w:rsidRPr="007119D6">
        <w:rPr>
          <w:rFonts w:ascii="Narkisim" w:hAnsi="Narkisim"/>
          <w:rtl/>
        </w:rPr>
        <w:t xml:space="preserve"> כת' כיצד היה הגוי משיח ואומר אוי לפלוני שמת, כמה היה נאה וכמה טובה עשה עמי. או שהיה משיח ואומר כשהייתי בא בדרך נפל פלוני שהיה מהלך עמנו ומת ותמהנו לדבר זה כיצד מת פתאום וכיוצא בדברים האלו שהן מראין שאין כונתו להעיד הר"ז נאמן</w:t>
      </w:r>
      <w:r w:rsidRPr="007119D6">
        <w:rPr>
          <w:rFonts w:ascii="Narkisim" w:hAnsi="Narkisim"/>
        </w:rPr>
        <w:t>.</w:t>
      </w:r>
    </w:p>
  </w:footnote>
  <w:footnote w:id="8487">
    <w:p w14:paraId="193A303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(שם יט) הק' דב</w:t>
      </w:r>
      <w:r w:rsidRPr="007119D6">
        <w:rPr>
          <w:rFonts w:ascii="Narkisim" w:hAnsi="Narkisim"/>
          <w:b/>
          <w:bCs/>
          <w:rtl/>
        </w:rPr>
        <w:t>שו"ת הרמב"ם</w:t>
      </w:r>
      <w:r w:rsidRPr="007119D6">
        <w:rPr>
          <w:rFonts w:ascii="Narkisim" w:hAnsi="Narkisim"/>
          <w:rtl/>
        </w:rPr>
        <w:t xml:space="preserve"> (שנ, ומהד' אחרת קסז) כת' דל"צ קברתיו. ועוה"ק האחרונים דב</w:t>
      </w:r>
      <w:r w:rsidRPr="007119D6">
        <w:rPr>
          <w:rFonts w:ascii="Narkisim" w:hAnsi="Narkisim"/>
          <w:b/>
          <w:bCs/>
          <w:rtl/>
        </w:rPr>
        <w:t>שו"ת הרי"ף</w:t>
      </w:r>
      <w:r w:rsidRPr="007119D6">
        <w:rPr>
          <w:rFonts w:ascii="Narkisim" w:hAnsi="Narkisim"/>
          <w:rtl/>
        </w:rPr>
        <w:t xml:space="preserve"> (קיט) כת' דל"צ קברתיו בעכו"ם מסל"ת</w:t>
      </w:r>
      <w:r w:rsidRPr="007119D6">
        <w:rPr>
          <w:rFonts w:ascii="Narkisim" w:hAnsi="Narkisim"/>
        </w:rPr>
        <w:t>.</w:t>
      </w:r>
    </w:p>
  </w:footnote>
  <w:footnote w:id="8488">
    <w:p w14:paraId="685808F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ויש </w:t>
      </w:r>
      <w:r w:rsidRPr="007119D6">
        <w:rPr>
          <w:rFonts w:ascii="Narkisim" w:hAnsi="Narkisim"/>
          <w:b/>
          <w:bCs/>
          <w:rtl/>
        </w:rPr>
        <w:t>פוסקים</w:t>
      </w:r>
      <w:r w:rsidRPr="007119D6">
        <w:rPr>
          <w:rFonts w:ascii="Narkisim" w:hAnsi="Narkisim"/>
          <w:rtl/>
        </w:rPr>
        <w:t xml:space="preserve"> (שו"ת ר' בצלאל אשכנזי ופני משה א פד) דכל שמאריך בדבריו מהני</w:t>
      </w:r>
      <w:r w:rsidRPr="007119D6">
        <w:rPr>
          <w:rFonts w:ascii="Narkisim" w:hAnsi="Narkisim"/>
        </w:rPr>
        <w:t>.</w:t>
      </w:r>
    </w:p>
    <w:p w14:paraId="145CCFEA"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ב"ח</w:t>
      </w:r>
      <w:r w:rsidRPr="007119D6">
        <w:rPr>
          <w:rFonts w:ascii="Narkisim" w:hAnsi="Narkisim"/>
          <w:rtl/>
        </w:rPr>
        <w:t xml:space="preserve"> כת' דהיכא דאמר דרך מספד אי"צ קברתיו. והוסיף דדוקא אדם א', אבל הרבה בני אדם צריך קברתיו [וכדאי' הכא חבל וכו']</w:t>
      </w:r>
      <w:r w:rsidRPr="007119D6">
        <w:rPr>
          <w:rFonts w:ascii="Narkisim" w:hAnsi="Narkisim"/>
        </w:rPr>
        <w:t>.</w:t>
      </w:r>
    </w:p>
  </w:footnote>
  <w:footnote w:id="8489">
    <w:p w14:paraId="47A0F1D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הביא עוד </w:t>
      </w:r>
      <w:r w:rsidRPr="007119D6">
        <w:rPr>
          <w:rFonts w:ascii="Narkisim" w:hAnsi="Narkisim"/>
          <w:b/>
          <w:bCs/>
          <w:rtl/>
        </w:rPr>
        <w:t>י"מ</w:t>
      </w:r>
      <w:r w:rsidRPr="007119D6">
        <w:rPr>
          <w:rFonts w:ascii="Narkisim" w:hAnsi="Narkisim"/>
          <w:rtl/>
        </w:rPr>
        <w:t xml:space="preserve"> (ועד"ז הרדב"ז ז כו) דלעיל איירי שהגוי הסיח לפי תומו וישראל העיד ע"פ דבריו, ונשאת על פי עדות הישראל וכה"ג ל"צ קברתיו. אבל הכא שנשאת על פי הגוי צריך קברתיו. אך ה</w:t>
      </w:r>
      <w:r w:rsidRPr="007119D6">
        <w:rPr>
          <w:rFonts w:ascii="Narkisim" w:hAnsi="Narkisim"/>
          <w:b/>
          <w:bCs/>
          <w:rtl/>
        </w:rPr>
        <w:t>מאירי</w:t>
      </w:r>
      <w:r w:rsidRPr="007119D6">
        <w:rPr>
          <w:rFonts w:ascii="Narkisim" w:hAnsi="Narkisim"/>
          <w:rtl/>
        </w:rPr>
        <w:t xml:space="preserve"> הק' [לב' החילוקים] ואיני יודע בשתיהן מאי פסקה, אלא העיקר דל"צ קברתיו</w:t>
      </w:r>
      <w:r w:rsidRPr="007119D6">
        <w:rPr>
          <w:rFonts w:ascii="Narkisim" w:hAnsi="Narkisim"/>
        </w:rPr>
        <w:t>.</w:t>
      </w:r>
    </w:p>
  </w:footnote>
  <w:footnote w:id="8490">
    <w:p w14:paraId="046B8B6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רמ"א</w:t>
      </w:r>
      <w:r w:rsidRPr="007119D6">
        <w:rPr>
          <w:rFonts w:ascii="Narkisim" w:hAnsi="Narkisim"/>
          <w:rtl/>
        </w:rPr>
        <w:t xml:space="preserve"> (יז יז) צירף הדברים דהיכא שאינו מזכיר שם המת ואינו מכירו בעינן קברתיו</w:t>
      </w:r>
      <w:r w:rsidRPr="007119D6">
        <w:rPr>
          <w:rFonts w:ascii="Narkisim" w:hAnsi="Narkisim"/>
        </w:rPr>
        <w:t>.</w:t>
      </w:r>
    </w:p>
  </w:footnote>
  <w:footnote w:id="8491">
    <w:p w14:paraId="2CD0636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דאפי' את"ל שיש להשיב ע"ז, מ"מ ודאי כך היא כונתו של רבינו</w:t>
      </w:r>
      <w:r w:rsidRPr="007119D6">
        <w:rPr>
          <w:rFonts w:ascii="Narkisim" w:hAnsi="Narkisim"/>
        </w:rPr>
        <w:t>.</w:t>
      </w:r>
    </w:p>
  </w:footnote>
  <w:footnote w:id="8492">
    <w:p w14:paraId="518371D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(שם) הביא בשם </w:t>
      </w:r>
      <w:r w:rsidRPr="007119D6">
        <w:rPr>
          <w:rFonts w:ascii="Narkisim" w:hAnsi="Narkisim"/>
          <w:b/>
          <w:bCs/>
          <w:rtl/>
        </w:rPr>
        <w:t>ר"י שגי"ש</w:t>
      </w:r>
      <w:r w:rsidRPr="007119D6">
        <w:rPr>
          <w:rFonts w:ascii="Narkisim" w:hAnsi="Narkisim"/>
          <w:rtl/>
        </w:rPr>
        <w:t xml:space="preserve"> דדוקא היכא שהגוי נמצא בעת מיתתו או הריגתו צריך קברתיו לרמב"ם, דחיישינן דילמא אמר בדדמי, אבל היכא שהגוי לא נמצא שם בעת ההריגה מודה הרמב"ם שאי"צ שיאמר קברתיו</w:t>
      </w:r>
      <w:r w:rsidRPr="007119D6">
        <w:rPr>
          <w:rFonts w:ascii="Narkisim" w:hAnsi="Narkisim"/>
        </w:rPr>
        <w:t>.</w:t>
      </w:r>
    </w:p>
  </w:footnote>
  <w:footnote w:id="8493">
    <w:p w14:paraId="3AB2264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מלשון 'כבשו כרכום' (כתובות כז., גיטין כח: ועוד). וה</w:t>
      </w:r>
      <w:r w:rsidRPr="007119D6">
        <w:rPr>
          <w:rFonts w:ascii="Narkisim" w:hAnsi="Narkisim"/>
          <w:b/>
          <w:bCs/>
          <w:rtl/>
        </w:rPr>
        <w:t>רמב"ן</w:t>
      </w:r>
      <w:r w:rsidRPr="007119D6">
        <w:rPr>
          <w:rFonts w:ascii="Narkisim" w:hAnsi="Narkisim"/>
          <w:rtl/>
        </w:rPr>
        <w:t xml:space="preserve"> העתיק 'כרקום'. (וכ"ה הגירסא בכ"מ הנ"ל)</w:t>
      </w:r>
      <w:r w:rsidRPr="007119D6">
        <w:rPr>
          <w:rFonts w:ascii="Narkisim" w:hAnsi="Narkisim"/>
        </w:rPr>
        <w:t>.</w:t>
      </w:r>
    </w:p>
  </w:footnote>
  <w:footnote w:id="8494">
    <w:p w14:paraId="5F7288D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ביאר דלא שמיע להו הך ברייתא, וכדאי' (לקמן קכב. לעיל מיניה) דשהיוה ג' ריגלי. ומש"ה לא פשטוה בגמרא מיהא. [ודן אי גרסי' התם רבא או רבה]</w:t>
      </w:r>
      <w:r w:rsidRPr="007119D6">
        <w:rPr>
          <w:rFonts w:ascii="Narkisim" w:hAnsi="Narkisim"/>
        </w:rPr>
        <w:t>.</w:t>
      </w:r>
    </w:p>
  </w:footnote>
  <w:footnote w:id="8495">
    <w:p w14:paraId="47F7A7C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שנשתמשו בו לאחר שפסקה הנבואה. וביאר שהוא קול מחודש לשעתו מהבורא יתברך להודיע סודו ליראיו, וקראוה בת קול</w:t>
      </w:r>
      <w:r w:rsidRPr="007119D6">
        <w:rPr>
          <w:rFonts w:ascii="Narkisim" w:hAnsi="Narkisim"/>
        </w:rPr>
        <w:t>.</w:t>
      </w:r>
    </w:p>
    <w:p w14:paraId="02EC155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והביא ד</w:t>
      </w:r>
      <w:r w:rsidRPr="007119D6">
        <w:rPr>
          <w:rFonts w:ascii="Narkisim" w:hAnsi="Narkisim"/>
          <w:b/>
          <w:bCs/>
          <w:rtl/>
        </w:rPr>
        <w:t>תוס</w:t>
      </w:r>
      <w:r w:rsidRPr="007119D6">
        <w:rPr>
          <w:rFonts w:ascii="Narkisim" w:hAnsi="Narkisim"/>
          <w:rtl/>
        </w:rPr>
        <w:t>' (סנהדרין יא. בשם י”א) פי' לכך קורין אותו בת קול שלא היו שומעין קול היוצא מן השמים, אלא מתוך אותו קול יוצא קול אחר. כמו פעמים שאדם מכה בכח ושומע קול אחר היוצא ממנו למרחוק, ואותו קול היו שומעין. והתוי"ט כת' דקראו כן, דהוא קול בדרגא פחותה. שאינו 'הקול' דכתיב (במדבר ז פט) וישמע את הקול מדבר אליו מעל הכפרת וגו'. שזהו נבואה ממש, אבל בת קול הוא מעינו ודוגמתו במדריגה למטה ממנו. וקראוהו בת קול שהיא הבת לאביה, ונקטו בת [ולא בן] לתשות כחה</w:t>
      </w:r>
      <w:r w:rsidRPr="007119D6">
        <w:rPr>
          <w:rFonts w:ascii="Narkisim" w:hAnsi="Narkisim"/>
        </w:rPr>
        <w:t>.</w:t>
      </w:r>
    </w:p>
  </w:footnote>
  <w:footnote w:id="8496">
    <w:p w14:paraId="35FBB69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דעת ה</w:t>
      </w:r>
      <w:r w:rsidRPr="007119D6">
        <w:rPr>
          <w:rFonts w:ascii="Narkisim" w:hAnsi="Narkisim"/>
          <w:b/>
          <w:bCs/>
          <w:rtl/>
        </w:rPr>
        <w:t>רמב"ם</w:t>
      </w:r>
      <w:r w:rsidRPr="007119D6">
        <w:rPr>
          <w:rFonts w:ascii="Narkisim" w:hAnsi="Narkisim"/>
          <w:rtl/>
        </w:rPr>
        <w:t xml:space="preserve"> (יסוה"ת ט ד) לכאורה דל"מ בת קול כלל. [וע"ע מש"כ בזה לעיל יד. וקב.]</w:t>
      </w:r>
      <w:r w:rsidRPr="007119D6">
        <w:rPr>
          <w:rFonts w:ascii="Narkisim" w:hAnsi="Narkisim"/>
        </w:rPr>
        <w:t>.</w:t>
      </w:r>
    </w:p>
  </w:footnote>
  <w:footnote w:id="8497">
    <w:p w14:paraId="1497E49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ודוקא בת קול דר"א דהיה כנגד רבים לא קי"ל כוותיה. או משום שיצא משום כבודו</w:t>
      </w:r>
      <w:r w:rsidRPr="007119D6">
        <w:rPr>
          <w:rFonts w:ascii="Narkisim" w:hAnsi="Narkisim"/>
        </w:rPr>
        <w:t>.</w:t>
      </w:r>
    </w:p>
  </w:footnote>
  <w:footnote w:id="8498">
    <w:p w14:paraId="2228843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(ע' לעיל קב. ומנחות מה. וכ"מ). ו</w:t>
      </w:r>
      <w:r w:rsidRPr="007119D6">
        <w:rPr>
          <w:rFonts w:ascii="Narkisim" w:hAnsi="Narkisim"/>
          <w:b/>
          <w:bCs/>
          <w:rtl/>
        </w:rPr>
        <w:t>רש"י</w:t>
      </w:r>
      <w:r w:rsidRPr="007119D6">
        <w:rPr>
          <w:rFonts w:ascii="Narkisim" w:hAnsi="Narkisim"/>
          <w:rtl/>
        </w:rPr>
        <w:t xml:space="preserve"> (מנחות מה.) פי' אליהו עתיד לדרשה, דעד שיבא אליהו ויפרשנה לנו אין אנו יודעים לפרשה. וה</w:t>
      </w:r>
      <w:r w:rsidRPr="007119D6">
        <w:rPr>
          <w:rFonts w:ascii="Narkisim" w:hAnsi="Narkisim"/>
          <w:b/>
          <w:bCs/>
          <w:rtl/>
        </w:rPr>
        <w:t>מיוחס לרשב"א</w:t>
      </w:r>
      <w:r w:rsidRPr="007119D6">
        <w:rPr>
          <w:rFonts w:ascii="Narkisim" w:hAnsi="Narkisim"/>
          <w:rtl/>
        </w:rPr>
        <w:t xml:space="preserve"> (מנחות מה.) כת' דשמא אליהו יבא קודם תחיית המתים ויפרשנה קודם שיקום יחזקאל. ועוד פי' דאף קודם שיבא אליהו [מפני ביאת המשיח], יכול הוא לדרשה ולפרשה בא' מבתי מדרשות. וכדאי' (ב"מ פה:) דאליהו הוה שכיח במתיבתא דרבי</w:t>
      </w:r>
      <w:r w:rsidRPr="007119D6">
        <w:rPr>
          <w:rFonts w:ascii="Narkisim" w:hAnsi="Narkisim"/>
        </w:rPr>
        <w:t>.</w:t>
      </w:r>
      <w:r w:rsidRPr="007119D6">
        <w:rPr>
          <w:rFonts w:ascii="Narkisim" w:hAnsi="Narkisim"/>
        </w:rPr>
        <w:tab/>
      </w:r>
    </w:p>
  </w:footnote>
  <w:footnote w:id="8499">
    <w:p w14:paraId="0765F1C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וציין דכ"כ ה</w:t>
      </w:r>
      <w:r w:rsidRPr="007119D6">
        <w:rPr>
          <w:rFonts w:ascii="Narkisim" w:hAnsi="Narkisim"/>
          <w:b/>
          <w:bCs/>
          <w:rtl/>
        </w:rPr>
        <w:t>משנ"ל</w:t>
      </w:r>
      <w:r w:rsidRPr="007119D6">
        <w:rPr>
          <w:rFonts w:ascii="Narkisim" w:hAnsi="Narkisim"/>
          <w:rtl/>
        </w:rPr>
        <w:t xml:space="preserve"> (אישות ט ו בסו"ד). אך הביא ד</w:t>
      </w:r>
      <w:r w:rsidRPr="007119D6">
        <w:rPr>
          <w:rFonts w:ascii="Narkisim" w:hAnsi="Narkisim"/>
          <w:b/>
          <w:bCs/>
          <w:rtl/>
        </w:rPr>
        <w:t>מהר"ם חביב</w:t>
      </w:r>
      <w:r w:rsidRPr="007119D6">
        <w:rPr>
          <w:rFonts w:ascii="Narkisim" w:hAnsi="Narkisim"/>
          <w:rtl/>
        </w:rPr>
        <w:t xml:space="preserve"> (תוספת יוה"כ עה.) נקט דל"מ אליהו אף בבירור מציאות. [והאריך לדחות דבריו]</w:t>
      </w:r>
      <w:r w:rsidRPr="007119D6">
        <w:rPr>
          <w:rFonts w:ascii="Narkisim" w:hAnsi="Narkisim"/>
        </w:rPr>
        <w:t>.</w:t>
      </w:r>
    </w:p>
  </w:footnote>
  <w:footnote w:id="8500">
    <w:p w14:paraId="6CF91C0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כת' ה</w:t>
      </w:r>
      <w:r w:rsidRPr="007119D6">
        <w:rPr>
          <w:rFonts w:ascii="Narkisim" w:hAnsi="Narkisim"/>
          <w:b/>
          <w:bCs/>
          <w:rtl/>
        </w:rPr>
        <w:t>קוב"ש</w:t>
      </w:r>
      <w:r w:rsidRPr="007119D6">
        <w:rPr>
          <w:rFonts w:ascii="Narkisim" w:hAnsi="Narkisim"/>
          <w:rtl/>
        </w:rPr>
        <w:t xml:space="preserve"> (ח"ב קונ' ד"ס ה ה) דבספיקא דדינא לא מהני כלל בת קול. ובספיקא דעובדא, בדבר שצריך עדות ל"מ, דכתיב ע"פ שנים עדים. אבל לאחר שתיקנו חכמים דמשיאין את האשה ע"פ עד א' וכל הפסולין, א"כ מהני גם רוח הקודש ובת קול</w:t>
      </w:r>
      <w:r w:rsidRPr="007119D6">
        <w:rPr>
          <w:rFonts w:ascii="Narkisim" w:hAnsi="Narkisim"/>
        </w:rPr>
        <w:t>.</w:t>
      </w:r>
    </w:p>
  </w:footnote>
  <w:footnote w:id="8501">
    <w:p w14:paraId="2BB6513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פ</w:t>
      </w:r>
      <w:r w:rsidRPr="007119D6">
        <w:rPr>
          <w:rFonts w:ascii="Narkisim" w:hAnsi="Narkisim"/>
          <w:b/>
          <w:bCs/>
          <w:rtl/>
        </w:rPr>
        <w:t>רש"י</w:t>
      </w:r>
      <w:r w:rsidRPr="007119D6">
        <w:rPr>
          <w:rFonts w:ascii="Narkisim" w:hAnsi="Narkisim"/>
          <w:rtl/>
        </w:rPr>
        <w:t xml:space="preserve"> צל צלו. [ועד”ז אי' (ע”ז מח:) צל צילה של אשירה או ע”ז. ופ</w:t>
      </w:r>
      <w:r w:rsidRPr="007119D6">
        <w:rPr>
          <w:rFonts w:ascii="Narkisim" w:hAnsi="Narkisim"/>
          <w:b/>
          <w:bCs/>
          <w:rtl/>
        </w:rPr>
        <w:t>רש"י</w:t>
      </w:r>
      <w:r w:rsidRPr="007119D6">
        <w:rPr>
          <w:rFonts w:ascii="Narkisim" w:hAnsi="Narkisim"/>
          <w:rtl/>
        </w:rPr>
        <w:t xml:space="preserve"> דכשהחמה עומדת באמצע הרקיע עושה לכל דבר צל תחתיו. וצל צילה הוא בשחרית וערבית, יש צל ארוך מאד. וכל זמן שלא עברה מדת אורך הצל את מדת גובה קומת האילן הצל עב וחשוך (ע”ע ירושלמי שם). מכאן ואילך הצל דק וקלוש, והיא צל צלו. ולכאורה שד אין לו את הצל הדק]</w:t>
      </w:r>
      <w:r w:rsidRPr="007119D6">
        <w:rPr>
          <w:rFonts w:ascii="Narkisim" w:hAnsi="Narkisim"/>
        </w:rPr>
        <w:t>.</w:t>
      </w:r>
    </w:p>
    <w:p w14:paraId="0C560525"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וע”ע בס' ערכי התנאים ואמוראים ערך יונתן בנו של ר”ח שביאר באופ”א</w:t>
      </w:r>
      <w:r w:rsidRPr="007119D6">
        <w:rPr>
          <w:rFonts w:ascii="Narkisim" w:hAnsi="Narkisim"/>
        </w:rPr>
        <w:t>.</w:t>
      </w:r>
    </w:p>
  </w:footnote>
  <w:footnote w:id="8502">
    <w:p w14:paraId="5B101A5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רמב"ם</w:t>
      </w:r>
      <w:r w:rsidRPr="007119D6">
        <w:rPr>
          <w:rFonts w:ascii="Narkisim" w:hAnsi="Narkisim"/>
          <w:rtl/>
        </w:rPr>
        <w:t xml:space="preserve"> (יג יא) כת' כיצד היה הגוי מסיח ואומר אוי לפלוני שמת כמה היה נאה וכמה טובה עשה עמי, או שהיה מסיח ואומר כשהייתי בא בדרך נפל פלוני שהיה מהלך עמנו ומת, ותמהנו לדבר זה כיצד מת פתאום, וכיוצא בדברים האלו שהן מראין שאין כונתו להעיד הר"ז נאמן. [וע"ד הא דאי' בגמ' קכא: ווי לפרשא זריזא. וכן קכב: גבי פונדקית]</w:t>
      </w:r>
      <w:r w:rsidRPr="007119D6">
        <w:rPr>
          <w:rFonts w:ascii="Narkisim" w:hAnsi="Narkisim"/>
        </w:rPr>
        <w:t>.</w:t>
      </w:r>
    </w:p>
    <w:p w14:paraId="13CF0A12"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והריב"ש כת' דהרמב”ם נקט כן לרווחא דמילתא, שבזה נכיר שאינו מתכוין להעיד. וכמו שבגמ' הוזכרו כמה מעשים עד"ז</w:t>
      </w:r>
      <w:r w:rsidRPr="007119D6">
        <w:rPr>
          <w:rFonts w:ascii="Narkisim" w:hAnsi="Narkisim"/>
        </w:rPr>
        <w:t>.</w:t>
      </w:r>
    </w:p>
  </w:footnote>
  <w:footnote w:id="8503">
    <w:p w14:paraId="08C20A3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(הו' חלק"מ כו) הביא [בשם מוהרר"י טאיטצק] דפשט המנהג להתיר כריב"ש. והב"ח הקיל במקום עיגון [שלא ימצאו עדות אחרת]. וע"ע פתח"ת (שם סג)</w:t>
      </w:r>
      <w:r w:rsidRPr="007119D6">
        <w:rPr>
          <w:rFonts w:ascii="Narkisim" w:hAnsi="Narkisim"/>
        </w:rPr>
        <w:t>.</w:t>
      </w:r>
    </w:p>
  </w:footnote>
  <w:footnote w:id="8504">
    <w:p w14:paraId="170DAF6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בי"ש</w:t>
      </w:r>
      <w:r w:rsidRPr="007119D6">
        <w:rPr>
          <w:rFonts w:ascii="Narkisim" w:hAnsi="Narkisim"/>
          <w:rtl/>
        </w:rPr>
        <w:t xml:space="preserve"> כת' משא"כ כשאומר לכתוב גט, עכו"ם לא היה אומר שהוא הבעל ולכתוב הגט. דעכו"ם אינו מתכוון להכשיל. ומש"כ בגמ' בגיטין ל"ק כקו' הריב”ש. [דהב"ח הק' על הריב"ש דאכתי קשה מהגמ' בגיטין דשליחות הגט, והתם ל"ש עכו"ם מסל"ת]</w:t>
      </w:r>
      <w:r w:rsidRPr="007119D6">
        <w:rPr>
          <w:rFonts w:ascii="Narkisim" w:hAnsi="Narkisim"/>
        </w:rPr>
        <w:t>.</w:t>
      </w:r>
    </w:p>
  </w:footnote>
  <w:footnote w:id="8505">
    <w:p w14:paraId="030DCAD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 xml:space="preserve">מגיה </w:t>
      </w:r>
      <w:r w:rsidRPr="007119D6">
        <w:rPr>
          <w:rFonts w:ascii="Narkisim" w:hAnsi="Narkisim"/>
          <w:rtl/>
        </w:rPr>
        <w:t>לט"ז (הנ"ל) כת' דע"פ דברי הט"ז צרה מתכוונת לקלקלה, אבל היכא דרואים מתוך דבריה דמסיחה לפי תומה י"ל דמהני</w:t>
      </w:r>
      <w:r w:rsidRPr="007119D6">
        <w:rPr>
          <w:rFonts w:ascii="Narkisim" w:hAnsi="Narkisim"/>
        </w:rPr>
        <w:t>.</w:t>
      </w:r>
    </w:p>
  </w:footnote>
  <w:footnote w:id="8506">
    <w:p w14:paraId="432B998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ר' ירמיה אמר משיאין את אשתו, ר' בון בר כהנא אמר אין משיאין את אשתו. [והירושלמי הביאה סייעתא לר' ירמיה מפי כתבם דומיה דעד א'. וברייתא מסייע לר' בון דמצאו כתוב בשטר אין משיאין]</w:t>
      </w:r>
      <w:r w:rsidRPr="007119D6">
        <w:rPr>
          <w:rFonts w:ascii="Narkisim" w:hAnsi="Narkisim"/>
        </w:rPr>
        <w:t>.</w:t>
      </w:r>
    </w:p>
  </w:footnote>
  <w:footnote w:id="8507">
    <w:p w14:paraId="7AAEDBA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דאי' דבודקין חרש לעדות אשה דאקילו בה רבנן, אבל בעדיות דעלמא לא. דרחמנא אמר מפיהם ולא מפי כתבם. וה</w:t>
      </w:r>
      <w:r w:rsidRPr="007119D6">
        <w:rPr>
          <w:rFonts w:ascii="Narkisim" w:hAnsi="Narkisim"/>
          <w:b/>
          <w:bCs/>
          <w:rtl/>
        </w:rPr>
        <w:t>תוס' הרא"ש</w:t>
      </w:r>
      <w:r w:rsidRPr="007119D6">
        <w:rPr>
          <w:rFonts w:ascii="Narkisim" w:hAnsi="Narkisim"/>
          <w:rtl/>
        </w:rPr>
        <w:t xml:space="preserve"> כת' דלדעת ר"ת בעלמא מהני עדות בכתב, וכ"ש דמהני הכא</w:t>
      </w:r>
      <w:r w:rsidRPr="007119D6">
        <w:rPr>
          <w:rFonts w:ascii="Narkisim" w:hAnsi="Narkisim"/>
        </w:rPr>
        <w:t>.</w:t>
      </w:r>
    </w:p>
  </w:footnote>
  <w:footnote w:id="8508">
    <w:p w14:paraId="212DFC0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כת' דמ"מ כל היכא דהשטר מקויים י"ל דמהני וכמו שנכתב בפנינו</w:t>
      </w:r>
      <w:r w:rsidRPr="007119D6">
        <w:rPr>
          <w:rFonts w:ascii="Narkisim" w:hAnsi="Narkisim"/>
        </w:rPr>
        <w:t>.</w:t>
      </w:r>
    </w:p>
  </w:footnote>
  <w:footnote w:id="8509">
    <w:p w14:paraId="7C294D8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w:t>
      </w:r>
      <w:r w:rsidRPr="007119D6">
        <w:rPr>
          <w:rFonts w:ascii="Narkisim" w:hAnsi="Narkisim"/>
          <w:b/>
          <w:bCs/>
          <w:rtl/>
        </w:rPr>
        <w:t>רשב"א</w:t>
      </w:r>
      <w:r w:rsidRPr="007119D6">
        <w:rPr>
          <w:rFonts w:ascii="Narkisim" w:hAnsi="Narkisim"/>
          <w:rtl/>
        </w:rPr>
        <w:t xml:space="preserve"> נקט דהרמב"ם כת' כן מגדרי קיום שטרות [ע"ע בסמוך]. וה</w:t>
      </w:r>
      <w:r w:rsidRPr="007119D6">
        <w:rPr>
          <w:rFonts w:ascii="Narkisim" w:hAnsi="Narkisim"/>
          <w:b/>
          <w:bCs/>
          <w:rtl/>
        </w:rPr>
        <w:t>מאירי</w:t>
      </w:r>
      <w:r w:rsidRPr="007119D6">
        <w:rPr>
          <w:rFonts w:ascii="Narkisim" w:hAnsi="Narkisim"/>
          <w:rtl/>
        </w:rPr>
        <w:t xml:space="preserve"> הביא דברי הרמב"ם 'ובלבד בשתתקיים הכתיבה עד שיתברר שהכותבה ישראל הוא</w:t>
      </w:r>
      <w:r w:rsidRPr="007119D6">
        <w:rPr>
          <w:rFonts w:ascii="Narkisim" w:hAnsi="Narkisim"/>
        </w:rPr>
        <w:t>'.</w:t>
      </w:r>
    </w:p>
  </w:footnote>
  <w:footnote w:id="8510">
    <w:p w14:paraId="579164A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חלק"מ</w:t>
      </w:r>
      <w:r w:rsidRPr="007119D6">
        <w:rPr>
          <w:rFonts w:ascii="Narkisim" w:hAnsi="Narkisim"/>
          <w:rtl/>
        </w:rPr>
        <w:t xml:space="preserve"> (שם כא) ביאר דהבו דלא להוסיף עלה</w:t>
      </w:r>
      <w:r w:rsidRPr="007119D6">
        <w:rPr>
          <w:rFonts w:ascii="Narkisim" w:hAnsi="Narkisim"/>
        </w:rPr>
        <w:t>.</w:t>
      </w:r>
    </w:p>
  </w:footnote>
  <w:footnote w:id="8511">
    <w:p w14:paraId="7FD0394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אחרונים</w:t>
      </w:r>
      <w:r w:rsidRPr="007119D6">
        <w:rPr>
          <w:rFonts w:ascii="Narkisim" w:hAnsi="Narkisim"/>
          <w:rtl/>
        </w:rPr>
        <w:t xml:space="preserve"> (אגר"מ אה"ע א מז) תמהו דמסל"ת הוה גדר הוכחה, ולא תורת עדות. א”כ אמאי חשיב תוספת קולא דהוה נמי מפי כתבם</w:t>
      </w:r>
      <w:r w:rsidRPr="007119D6">
        <w:rPr>
          <w:rFonts w:ascii="Narkisim" w:hAnsi="Narkisim"/>
        </w:rPr>
        <w:t>.</w:t>
      </w:r>
    </w:p>
  </w:footnote>
  <w:footnote w:id="8512">
    <w:p w14:paraId="72316ED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רשב"א</w:t>
      </w:r>
      <w:r w:rsidRPr="007119D6">
        <w:rPr>
          <w:rFonts w:ascii="Narkisim" w:hAnsi="Narkisim"/>
          <w:rtl/>
        </w:rPr>
        <w:t xml:space="preserve"> הביא דכ"ד הרמב"ם (הנ"ל), דמש"כ שנודע שישראל כתבו היינו שנתקיים</w:t>
      </w:r>
      <w:r w:rsidRPr="007119D6">
        <w:rPr>
          <w:rFonts w:ascii="Narkisim" w:hAnsi="Narkisim"/>
        </w:rPr>
        <w:t>.</w:t>
      </w:r>
    </w:p>
    <w:p w14:paraId="6D763499"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וב</w:t>
      </w:r>
      <w:r w:rsidRPr="007119D6">
        <w:rPr>
          <w:rFonts w:ascii="Narkisim" w:hAnsi="Narkisim"/>
          <w:b/>
          <w:bCs/>
          <w:rtl/>
        </w:rPr>
        <w:t>שו"ת מהר"ם לובלין</w:t>
      </w:r>
      <w:r w:rsidRPr="007119D6">
        <w:rPr>
          <w:rFonts w:ascii="Narkisim" w:hAnsi="Narkisim"/>
          <w:rtl/>
        </w:rPr>
        <w:t xml:space="preserve"> (נו,נז, הו' בחלק”מ יז כא) כת' דמ"מ סגי בקיום דעד א</w:t>
      </w:r>
      <w:r w:rsidRPr="007119D6">
        <w:rPr>
          <w:rFonts w:ascii="Narkisim" w:hAnsi="Narkisim"/>
        </w:rPr>
        <w:t>'.</w:t>
      </w:r>
    </w:p>
  </w:footnote>
  <w:footnote w:id="8513">
    <w:p w14:paraId="6ACCD39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והוחזקו משיאין על פי עבד על פי שפחה, אלמא ל"צ אפי' עד א' כשר. ולא דמי לגט דבעינן בפני נכתב ובפני נחתם, דהכא איתתא דייקא טפי ומינסבא ומילתא עבידא לאגלויי</w:t>
      </w:r>
      <w:r w:rsidRPr="007119D6">
        <w:rPr>
          <w:rFonts w:ascii="Narkisim" w:hAnsi="Narkisim"/>
        </w:rPr>
        <w:t>.</w:t>
      </w:r>
    </w:p>
  </w:footnote>
  <w:footnote w:id="8514">
    <w:p w14:paraId="4EDDDAA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הוסיף ומיהו אין לדיין אלא מה שעיניו רואות. [וכן הביא המאירי]</w:t>
      </w:r>
      <w:r w:rsidRPr="007119D6">
        <w:rPr>
          <w:rFonts w:ascii="Narkisim" w:hAnsi="Narkisim"/>
        </w:rPr>
        <w:t>.</w:t>
      </w:r>
    </w:p>
  </w:footnote>
  <w:footnote w:id="8515">
    <w:p w14:paraId="301A760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קה"י</w:t>
      </w:r>
      <w:r w:rsidRPr="007119D6">
        <w:rPr>
          <w:rFonts w:ascii="Narkisim" w:hAnsi="Narkisim"/>
          <w:rtl/>
        </w:rPr>
        <w:t xml:space="preserve"> הוסיף דאף אי כתבו לסיפור דברים מהני לעדות אשה</w:t>
      </w:r>
      <w:r w:rsidRPr="007119D6">
        <w:rPr>
          <w:rFonts w:ascii="Narkisim" w:hAnsi="Narkisim"/>
        </w:rPr>
        <w:t>.</w:t>
      </w:r>
    </w:p>
  </w:footnote>
  <w:footnote w:id="8516">
    <w:p w14:paraId="022E2B2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ב"ח</w:t>
      </w:r>
      <w:r w:rsidRPr="007119D6">
        <w:rPr>
          <w:rFonts w:ascii="Narkisim" w:hAnsi="Narkisim"/>
          <w:rtl/>
        </w:rPr>
        <w:t xml:space="preserve"> כת' דאם היה ספק שמא כתבו ישראל שהוא פסול לעדות מן התורה לא עדיף כתבו מאילו הגיד בע"פ. והביא בשם האו"ז  מצא כתוב בשטר וידוע שכתבו ישראל ומי הוא הכותב</w:t>
      </w:r>
      <w:r w:rsidRPr="007119D6">
        <w:rPr>
          <w:rFonts w:ascii="Narkisim" w:hAnsi="Narkisim"/>
        </w:rPr>
        <w:t>.</w:t>
      </w:r>
    </w:p>
  </w:footnote>
  <w:footnote w:id="8517">
    <w:p w14:paraId="403A5DB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ור"ג [דיבנה] קיבל דברי נחמיה. ואילו ר' אליעזר ור' יהושע (בסיפא דמתני') לא קבלו דבריו</w:t>
      </w:r>
      <w:r w:rsidRPr="007119D6">
        <w:rPr>
          <w:rFonts w:ascii="Narkisim" w:hAnsi="Narkisim"/>
        </w:rPr>
        <w:t>.</w:t>
      </w:r>
    </w:p>
  </w:footnote>
  <w:footnote w:id="8518">
    <w:p w14:paraId="1A2B356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וכן במשנה בסמוך נומית להם. ולשון זה מופיע בירושלמי ובמדרשים בכ"מ</w:t>
      </w:r>
      <w:r w:rsidRPr="007119D6">
        <w:rPr>
          <w:rFonts w:ascii="Narkisim" w:hAnsi="Narkisim"/>
        </w:rPr>
        <w:t>.</w:t>
      </w:r>
    </w:p>
  </w:footnote>
  <w:footnote w:id="8519">
    <w:p w14:paraId="06AD09D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רי"ף</w:t>
      </w:r>
      <w:r w:rsidRPr="007119D6">
        <w:rPr>
          <w:rFonts w:ascii="Narkisim" w:hAnsi="Narkisim"/>
          <w:rtl/>
        </w:rPr>
        <w:t xml:space="preserve"> ושא"ר כת' דקי"ל כרבא ור' מנשה</w:t>
      </w:r>
      <w:r w:rsidRPr="007119D6">
        <w:rPr>
          <w:rFonts w:ascii="Narkisim" w:hAnsi="Narkisim"/>
        </w:rPr>
        <w:t>.</w:t>
      </w:r>
    </w:p>
  </w:footnote>
  <w:footnote w:id="8520">
    <w:p w14:paraId="37601B6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והמנח"ח הביא מדבריו דכ"ש גזלן נאמן כעד א' באיסורין</w:t>
      </w:r>
      <w:r w:rsidRPr="007119D6">
        <w:rPr>
          <w:rFonts w:ascii="Narkisim" w:hAnsi="Narkisim"/>
        </w:rPr>
        <w:t>.</w:t>
      </w:r>
    </w:p>
  </w:footnote>
  <w:footnote w:id="8521">
    <w:p w14:paraId="7D08407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דקי"ל כאביי (סנהדרין כז.) דמומר אוכל נבילות להכעיס פסול לעדות, דאיקרי רשע וכתיב אל תשת רשע עד</w:t>
      </w:r>
      <w:r w:rsidRPr="007119D6">
        <w:rPr>
          <w:rFonts w:ascii="Narkisim" w:hAnsi="Narkisim"/>
        </w:rPr>
        <w:t>.</w:t>
      </w:r>
    </w:p>
  </w:footnote>
  <w:footnote w:id="8522">
    <w:p w14:paraId="409F083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ומבואר בנמוק"י דגנב וגזלן ורשע דחמס חשודים לשקר, ופסולים אך בעדות איסורין. וה</w:t>
      </w:r>
      <w:r w:rsidRPr="007119D6">
        <w:rPr>
          <w:rFonts w:ascii="Narkisim" w:hAnsi="Narkisim"/>
          <w:b/>
          <w:bCs/>
          <w:rtl/>
        </w:rPr>
        <w:t>מנח"ח</w:t>
      </w:r>
      <w:r w:rsidRPr="007119D6">
        <w:rPr>
          <w:rFonts w:ascii="Narkisim" w:hAnsi="Narkisim"/>
          <w:rtl/>
        </w:rPr>
        <w:t xml:space="preserve"> הק' דב</w:t>
      </w:r>
      <w:r w:rsidRPr="007119D6">
        <w:rPr>
          <w:rFonts w:ascii="Narkisim" w:hAnsi="Narkisim"/>
          <w:b/>
          <w:bCs/>
          <w:rtl/>
        </w:rPr>
        <w:t>פוסקים</w:t>
      </w:r>
      <w:r w:rsidRPr="007119D6">
        <w:rPr>
          <w:rFonts w:ascii="Narkisim" w:hAnsi="Narkisim"/>
          <w:rtl/>
        </w:rPr>
        <w:t xml:space="preserve"> (ש"ך יו"ד קכז יט) מבואר דאף גזלן נאמן באיסורין. ואף דהוה רשע דחמס. [ולכאורה דלא כנמוק”י]</w:t>
      </w:r>
      <w:r w:rsidRPr="007119D6">
        <w:rPr>
          <w:rFonts w:ascii="Narkisim" w:hAnsi="Narkisim"/>
        </w:rPr>
        <w:t>.</w:t>
      </w:r>
    </w:p>
  </w:footnote>
  <w:footnote w:id="8523">
    <w:p w14:paraId="300A720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עד"ז אף בעדות עגלה ערופה וסוטה</w:t>
      </w:r>
      <w:r w:rsidRPr="007119D6">
        <w:rPr>
          <w:rFonts w:ascii="Narkisim" w:hAnsi="Narkisim"/>
        </w:rPr>
        <w:t>.</w:t>
      </w:r>
    </w:p>
  </w:footnote>
  <w:footnote w:id="8524">
    <w:p w14:paraId="1BC661A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 לשון הרשב"א, הו' לעיל]. ויל"ד דלפ"ז אשה שגנבה לא תפסל, ועדיפא מאיש</w:t>
      </w:r>
      <w:r w:rsidRPr="007119D6">
        <w:rPr>
          <w:rFonts w:ascii="Narkisim" w:hAnsi="Narkisim"/>
        </w:rPr>
        <w:t>.</w:t>
      </w:r>
    </w:p>
  </w:footnote>
  <w:footnote w:id="8525">
    <w:p w14:paraId="249CD9A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טור</w:t>
      </w:r>
      <w:r w:rsidRPr="007119D6">
        <w:rPr>
          <w:rFonts w:ascii="Narkisim" w:hAnsi="Narkisim"/>
          <w:rtl/>
        </w:rPr>
        <w:t xml:space="preserve"> (יו"ד א א, עי”ש בפוסקים) שסתם עבד אינו נאמן על השחיטה</w:t>
      </w:r>
      <w:r w:rsidRPr="007119D6">
        <w:rPr>
          <w:rFonts w:ascii="Narkisim" w:hAnsi="Narkisim"/>
        </w:rPr>
        <w:t>.</w:t>
      </w:r>
    </w:p>
  </w:footnote>
  <w:footnote w:id="8526">
    <w:p w14:paraId="30558B1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וישראל רשע שהוא מכיר ויודע שאשתו אסורה, כל מה שאומר הוא להתיר את אשתו, ולא יקרא מסל"ת, וכיון שהוא פסול אין להאמינו. והוסיף דכ"ש משומד לכל התורה כולה, שהוא חשוד בכל רשע ובכל און ותרמית שבעולם. ואין לקוראו מסל"ת אלא מסית ומדיח ומכשיל את ישראל לעבירה</w:t>
      </w:r>
      <w:r w:rsidRPr="007119D6">
        <w:rPr>
          <w:rFonts w:ascii="Narkisim" w:hAnsi="Narkisim"/>
        </w:rPr>
        <w:t>.</w:t>
      </w:r>
    </w:p>
  </w:footnote>
  <w:footnote w:id="8527">
    <w:p w14:paraId="5CC4F10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ובפשוטו נסתפק בדין האם מהני מומר מסל"ת. א"נ תלי במציאות ובהבנת לב הדיין האם מערים. [ובמקום דאינו מוכח רפיא בידיה]</w:t>
      </w:r>
      <w:r w:rsidRPr="007119D6">
        <w:rPr>
          <w:rFonts w:ascii="Narkisim" w:hAnsi="Narkisim"/>
        </w:rPr>
        <w:t>.</w:t>
      </w:r>
    </w:p>
  </w:footnote>
  <w:footnote w:id="8528">
    <w:p w14:paraId="0A5E877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מהר"ח או"ז</w:t>
      </w:r>
      <w:r w:rsidRPr="007119D6">
        <w:rPr>
          <w:rFonts w:ascii="Narkisim" w:hAnsi="Narkisim"/>
          <w:rtl/>
        </w:rPr>
        <w:t xml:space="preserve"> הביא דיש מקומות (כתובות כו. וב"ק קיד:) דישראל כשר במסל"ת, דהתם בלא מסל"ת חסר לו בנאמנות. אבל אינו חשוד לקלקל. ול"ד לעכו"ם [וישראל מומר]</w:t>
      </w:r>
      <w:r w:rsidRPr="007119D6">
        <w:rPr>
          <w:rFonts w:ascii="Narkisim" w:hAnsi="Narkisim"/>
        </w:rPr>
        <w:t>.</w:t>
      </w:r>
    </w:p>
  </w:footnote>
  <w:footnote w:id="8529">
    <w:p w14:paraId="677E7F8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ואפי' היכא שיודע שהלך בעלה למדינת הים, וא"א לה להנשא עד שיעידו לה שמת. ולא חששו שאומר כן כדי לקלקלה, דלא פלוג רבנן ואפי' גוי המכיר בדת יהודית ויודע שישיאוה על פיו. ומהני כל עדות גוי שבשעה שבא לפנינו הוא מסיח לפי תומו מאליו. ובהמשך דבריו כת' דלא פלוג רבנן, וכל היכא דבשעת עדות לא מוכחא מילתא בדבריו דנתכוין להתירא או לעדות או מלתא אחריתי מהימן</w:t>
      </w:r>
      <w:r w:rsidRPr="007119D6">
        <w:rPr>
          <w:rFonts w:ascii="Narkisim" w:hAnsi="Narkisim"/>
        </w:rPr>
        <w:t>.</w:t>
      </w:r>
    </w:p>
    <w:p w14:paraId="7AEEF51E"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ועפ"ז דן ה</w:t>
      </w:r>
      <w:r w:rsidRPr="007119D6">
        <w:rPr>
          <w:rFonts w:ascii="Narkisim" w:hAnsi="Narkisim"/>
          <w:b/>
          <w:bCs/>
          <w:rtl/>
        </w:rPr>
        <w:t>מהר"ם</w:t>
      </w:r>
      <w:r w:rsidRPr="007119D6">
        <w:rPr>
          <w:rFonts w:ascii="Narkisim" w:hAnsi="Narkisim"/>
          <w:rtl/>
        </w:rPr>
        <w:t xml:space="preserve"> (שם, והו' ברמ"א יז טו, הו' לעיל) דאף דהוציאו קול בעיירות נחשב מסל"ת, כיון דלא שאלו להדיא. [דלא פלוג אף בזה]</w:t>
      </w:r>
      <w:r w:rsidRPr="007119D6">
        <w:rPr>
          <w:rFonts w:ascii="Narkisim" w:hAnsi="Narkisim"/>
        </w:rPr>
        <w:t>.</w:t>
      </w:r>
    </w:p>
  </w:footnote>
  <w:footnote w:id="8530">
    <w:p w14:paraId="3C3E7E0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והוסיף דאמרי' כל דמקדש אדעתא דרבנן מקדש ואפקעינהו רבנן לקידושי מיניה, ואפי' בעדות גוי מסיח לפי תומו כל כמה שלא ימצא מוכחש. [וכדברי הראשונים דעד א' או עד פסול בעדות אשה הוה משום אפקעינהו. וע"ע מה שהו' לעיל פח.]</w:t>
      </w:r>
      <w:r w:rsidRPr="007119D6">
        <w:rPr>
          <w:rFonts w:ascii="Narkisim" w:hAnsi="Narkisim"/>
        </w:rPr>
        <w:t>.</w:t>
      </w:r>
    </w:p>
  </w:footnote>
  <w:footnote w:id="8531">
    <w:p w14:paraId="4474BAD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היכא דבודקו, כיון דיודע מנהג ישראל הוה כאילו שאלו להדיא</w:t>
      </w:r>
      <w:r w:rsidRPr="007119D6">
        <w:rPr>
          <w:rFonts w:ascii="Narkisim" w:hAnsi="Narkisim"/>
        </w:rPr>
        <w:t>.</w:t>
      </w:r>
    </w:p>
  </w:footnote>
  <w:footnote w:id="8532">
    <w:p w14:paraId="4D2F9E3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ובאופן שמשמע שלא בא להודיע על דבר זה, וכגון שמספר איזה דבר אחר ומתוך אותן הדברים נמשך הסיפור שהדיח הבשר, בכזה נאמן, ואינו מזיק מה שיודע בטיב ישראל</w:t>
      </w:r>
      <w:r w:rsidRPr="007119D6">
        <w:rPr>
          <w:rFonts w:ascii="Narkisim" w:hAnsi="Narkisim"/>
        </w:rPr>
        <w:t>.</w:t>
      </w:r>
    </w:p>
  </w:footnote>
  <w:footnote w:id="8533">
    <w:p w14:paraId="36D5B05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חילק דה"מ נכרי, אבל ישראל פסול אינו חשוד לקלקל. ומש”ה אף דאינו נאמן בתורת עדות, מהני מסל"ת [בכל דיני התורה]. {ואפשר דה"מ ישראל רשע דפסול לעדות איסורין, אבל במסל"ת נאמן. אבל מומר לכל התורה י"ל דדינו כנכרי, ודוקא בעדות אשה הקילו משום עיגונא}</w:t>
      </w:r>
      <w:r w:rsidRPr="007119D6">
        <w:rPr>
          <w:rFonts w:ascii="Narkisim" w:hAnsi="Narkisim"/>
        </w:rPr>
        <w:t>.</w:t>
      </w:r>
    </w:p>
  </w:footnote>
  <w:footnote w:id="8534">
    <w:p w14:paraId="3EDA1BC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האיך מהני, כיון דלר"ע בעינן עד כשר. ואפשר דעכו"ם מסל"ת מהני בתורת אומדנא לחוד, בלא תורת עדות. א"נ אף לר"ע מהני עד פסול, אלא דס"ל דחשודים לשקר. וע"י מסל"ת לא חשדו לשקר. [עכ"פ אשה ועבד מסל"ת יהני לר' עקיבא, ודוקא מתכוון להעיד פסול]</w:t>
      </w:r>
      <w:r w:rsidRPr="007119D6">
        <w:rPr>
          <w:rFonts w:ascii="Narkisim" w:hAnsi="Narkisim"/>
        </w:rPr>
        <w:t>.</w:t>
      </w:r>
    </w:p>
  </w:footnote>
  <w:footnote w:id="8535">
    <w:p w14:paraId="50692B1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דפ</w:t>
      </w:r>
      <w:r w:rsidRPr="007119D6">
        <w:rPr>
          <w:rFonts w:ascii="Narkisim" w:hAnsi="Narkisim"/>
          <w:b/>
          <w:bCs/>
          <w:rtl/>
        </w:rPr>
        <w:t>רש"י</w:t>
      </w:r>
      <w:r w:rsidRPr="007119D6">
        <w:rPr>
          <w:rFonts w:ascii="Narkisim" w:hAnsi="Narkisim"/>
          <w:rtl/>
        </w:rPr>
        <w:t xml:space="preserve"> לא תהא בת ישראל או כהנת מיוחסת נאמנת כפונדקית גרוע זו, משמע דנחלקו במציאות הנאמנת ואיכותו. דלמר הייתה מסל"ת ולמר לא הייתה מסל"ת</w:t>
      </w:r>
      <w:r w:rsidRPr="007119D6">
        <w:rPr>
          <w:rFonts w:ascii="Narkisim" w:hAnsi="Narkisim"/>
        </w:rPr>
        <w:t>.</w:t>
      </w:r>
    </w:p>
  </w:footnote>
  <w:footnote w:id="8536">
    <w:p w14:paraId="6DA5E95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והול"ל דאף רבנן מודו דהוה מסל"ת, ואפ”ה ס”ל ללמוד ק”ו דמהני אשה</w:t>
      </w:r>
      <w:r w:rsidRPr="007119D6">
        <w:rPr>
          <w:rFonts w:ascii="Narkisim" w:hAnsi="Narkisim"/>
        </w:rPr>
        <w:t>.</w:t>
      </w:r>
    </w:p>
  </w:footnote>
  <w:footnote w:id="8537">
    <w:p w14:paraId="10F68BD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ואי לא הוה אשה ישראלית נאמנת כעד א', למה האמינו לפונדקית גויה בתורת עדות ע"י הוכחה. אלא ודאי דאשה ישראלית נאמנת</w:t>
      </w:r>
      <w:r w:rsidRPr="007119D6">
        <w:rPr>
          <w:rFonts w:ascii="Narkisim" w:hAnsi="Narkisim"/>
        </w:rPr>
        <w:t>.</w:t>
      </w:r>
    </w:p>
  </w:footnote>
  <w:footnote w:id="8538">
    <w:p w14:paraId="5D5FCF6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ואף רבנן מודו דעדיף עכו"ם מסל"ת מעד א'. וכל כמה דיכולנו להשוות דעת החולקים דלא פליגי טובא עדיף טפי, וכדמבואר בכמה דוכתין מסוגית התלמוד</w:t>
      </w:r>
      <w:r w:rsidRPr="007119D6">
        <w:rPr>
          <w:rFonts w:ascii="Narkisim" w:hAnsi="Narkisim"/>
        </w:rPr>
        <w:t>.</w:t>
      </w:r>
    </w:p>
  </w:footnote>
  <w:footnote w:id="8539">
    <w:p w14:paraId="3FA5B9B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ולרבנן אינו מסל"ת, ור"ע השיב דמסל"ת, או דהיו סימנים</w:t>
      </w:r>
      <w:r w:rsidRPr="007119D6">
        <w:rPr>
          <w:rFonts w:ascii="Narkisim" w:hAnsi="Narkisim"/>
        </w:rPr>
        <w:t>.</w:t>
      </w:r>
    </w:p>
  </w:footnote>
  <w:footnote w:id="8540">
    <w:p w14:paraId="53D2FDB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ריטב"א</w:t>
      </w:r>
      <w:r w:rsidRPr="007119D6">
        <w:rPr>
          <w:rFonts w:ascii="Narkisim" w:hAnsi="Narkisim"/>
          <w:rtl/>
        </w:rPr>
        <w:t xml:space="preserve"> הוסיף שאמרו מעיקרא קודם שהתחיל</w:t>
      </w:r>
      <w:r w:rsidRPr="007119D6">
        <w:rPr>
          <w:rFonts w:ascii="Narkisim" w:hAnsi="Narkisim"/>
        </w:rPr>
        <w:t>.</w:t>
      </w:r>
    </w:p>
  </w:footnote>
  <w:footnote w:id="8541">
    <w:p w14:paraId="605B696F"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מהרי"ק</w:t>
      </w:r>
      <w:r w:rsidRPr="007119D6">
        <w:rPr>
          <w:rFonts w:ascii="Narkisim" w:hAnsi="Narkisim"/>
          <w:rtl/>
        </w:rPr>
        <w:t xml:space="preserve"> (קכא) ביאר דפשיטא לגמ' דכל ששואלין אותו והוא משיב י"ל שמתכוון להעיד. אבל היכא דרואים דלא נתכוון להעיד מהני. [והפוסקים האריכו טובא בהרבה אופנים עד"ז]</w:t>
      </w:r>
      <w:r w:rsidRPr="007119D6">
        <w:rPr>
          <w:rFonts w:ascii="Narkisim" w:hAnsi="Narkisim"/>
        </w:rPr>
        <w:t>.</w:t>
      </w:r>
    </w:p>
  </w:footnote>
  <w:footnote w:id="8542">
    <w:p w14:paraId="2DE8A40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ועי"ש בפוסקים בדעת שו"ת הר"ן</w:t>
      </w:r>
      <w:r w:rsidRPr="007119D6">
        <w:rPr>
          <w:rFonts w:ascii="Narkisim" w:hAnsi="Narkisim"/>
        </w:rPr>
        <w:t>.</w:t>
      </w:r>
    </w:p>
  </w:footnote>
  <w:footnote w:id="8543">
    <w:p w14:paraId="50E8D50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אך ה</w:t>
      </w:r>
      <w:r w:rsidRPr="007119D6">
        <w:rPr>
          <w:rFonts w:ascii="Narkisim" w:hAnsi="Narkisim"/>
          <w:b/>
          <w:bCs/>
          <w:rtl/>
        </w:rPr>
        <w:t>שמעתתא</w:t>
      </w:r>
      <w:r w:rsidRPr="007119D6">
        <w:rPr>
          <w:rFonts w:ascii="Narkisim" w:hAnsi="Narkisim"/>
          <w:rtl/>
        </w:rPr>
        <w:t xml:space="preserve"> (ז ט) הביא מדבריו דמדינא לא נחשב מסל"ת כה"ג, אלא דהקילו משום עיגונא וחזקה דדייקא ומינסבא</w:t>
      </w:r>
      <w:r w:rsidRPr="007119D6">
        <w:rPr>
          <w:rFonts w:ascii="Narkisim" w:hAnsi="Narkisim"/>
        </w:rPr>
        <w:t>.</w:t>
      </w:r>
    </w:p>
  </w:footnote>
  <w:footnote w:id="8544">
    <w:p w14:paraId="0F40D0B3"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(שם י) הביא דמשמע מדבריו דכל היכא דמכיר דת ישראל לא הוה מסל"ת גמור, ומהני דוקא בעדות אשה. אך הק' דבגמ' (כתובות כו.) מבואר דמהני מסל"ת שאכל בתרומה, לענין אכילה בתרומה דרבנן. ואף דסתמא איירי שמכיר דת כהונה. [ואפשר דהתם איירי במסל"ת מתוך סיפור דברים, ומש"ה עדיף]. והש"ש תי' דהתם איירי בישראל מסל"ת, ונכרי מסל"ת גרע</w:t>
      </w:r>
      <w:r w:rsidRPr="007119D6">
        <w:rPr>
          <w:rFonts w:ascii="Narkisim" w:hAnsi="Narkisim"/>
        </w:rPr>
        <w:t>.</w:t>
      </w:r>
    </w:p>
  </w:footnote>
  <w:footnote w:id="8545">
    <w:p w14:paraId="4493192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דדחוק הוא להעידה דוקא בדלא שמעו הרדפת הבעלים מדלא פי' התלמוד, ואדרבה מדקאמר כגון שהיו מרדפין אחריהן והיו מסיח לפי תומו משמע דעל ידי רדיפת הבעלים הכרתו</w:t>
      </w:r>
      <w:r w:rsidRPr="007119D6">
        <w:rPr>
          <w:rFonts w:ascii="Narkisim" w:hAnsi="Narkisim"/>
        </w:rPr>
        <w:t>.</w:t>
      </w:r>
    </w:p>
  </w:footnote>
  <w:footnote w:id="8546">
    <w:p w14:paraId="5A37C002"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(שם י) תי' דהנך פוסקים איירי במסל"ת בעדות אשה, דמהני בצירוף דייקא ומינסבא. ואילו היש"ש קאי להעיד בנחיל דבורים, וכה"ג צריך מסל"ת גמור</w:t>
      </w:r>
      <w:r w:rsidRPr="007119D6">
        <w:rPr>
          <w:rFonts w:ascii="Narkisim" w:hAnsi="Narkisim"/>
        </w:rPr>
        <w:t>.</w:t>
      </w:r>
    </w:p>
  </w:footnote>
  <w:footnote w:id="8547">
    <w:p w14:paraId="27CDEF5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צ"צ</w:t>
      </w:r>
      <w:r w:rsidRPr="007119D6">
        <w:rPr>
          <w:rFonts w:ascii="Narkisim" w:hAnsi="Narkisim"/>
          <w:rtl/>
        </w:rPr>
        <w:t xml:space="preserve"> (מב) כת' דלכאורה משמע מרש"י דהתחילה לומר קודם ששאלוה. וא"כ הוה מסל"ת גמור. ודחה דמש"כ רש"י התחילה לומר היינו דבכתה תחילה. [וע"ד מש"כ תוס' דאינו מסל"ת גמור]</w:t>
      </w:r>
      <w:r w:rsidRPr="007119D6">
        <w:rPr>
          <w:rFonts w:ascii="Narkisim" w:hAnsi="Narkisim"/>
        </w:rPr>
        <w:t>.</w:t>
      </w:r>
    </w:p>
  </w:footnote>
  <w:footnote w:id="8548">
    <w:p w14:paraId="22636B3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והש"ש הביא דכ"מ מכמה </w:t>
      </w:r>
      <w:r w:rsidRPr="007119D6">
        <w:rPr>
          <w:rFonts w:ascii="Narkisim" w:hAnsi="Narkisim"/>
          <w:b/>
          <w:bCs/>
          <w:rtl/>
        </w:rPr>
        <w:t>פוסקים</w:t>
      </w:r>
      <w:r w:rsidRPr="007119D6">
        <w:rPr>
          <w:rFonts w:ascii="Narkisim" w:hAnsi="Narkisim"/>
          <w:rtl/>
        </w:rPr>
        <w:t xml:space="preserve"> [וע"ע תוס']</w:t>
      </w:r>
      <w:r w:rsidRPr="007119D6">
        <w:rPr>
          <w:rFonts w:ascii="Narkisim" w:hAnsi="Narkisim"/>
        </w:rPr>
        <w:t>.</w:t>
      </w:r>
    </w:p>
  </w:footnote>
  <w:footnote w:id="8549">
    <w:p w14:paraId="5B1506E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ש"ש</w:t>
      </w:r>
      <w:r w:rsidRPr="007119D6">
        <w:rPr>
          <w:rFonts w:ascii="Narkisim" w:hAnsi="Narkisim"/>
          <w:rtl/>
        </w:rPr>
        <w:t xml:space="preserve"> הק' דהכא הוציאה אף מקלו ותרמילו, ומבואר בפוסקים דעי"ז נחשב מסל"ת. א"כ איך הרי"ף למד מכאן לשאר מסל"ת. וה</w:t>
      </w:r>
      <w:r w:rsidRPr="007119D6">
        <w:rPr>
          <w:rFonts w:ascii="Narkisim" w:hAnsi="Narkisim"/>
          <w:b/>
          <w:bCs/>
          <w:rtl/>
        </w:rPr>
        <w:t>ש"ש</w:t>
      </w:r>
      <w:r w:rsidRPr="007119D6">
        <w:rPr>
          <w:rFonts w:ascii="Narkisim" w:hAnsi="Narkisim"/>
          <w:rtl/>
        </w:rPr>
        <w:t xml:space="preserve"> (שם ט) תי' דרבנן ס"ל דהוה קצת מסל"ת, ומהני בצירוף הא דדייקא ומינסבא. ומש"ה הוכיחו דמהני עד א'. וה"נ בכל עדות אשה מהני כה"ג בצירוף דייקא ומינסבא. אבל ר' עקיבא ס"ל דלא מהני עד פסול בצירוף דייקא, וע"כ אתינן עלה משום מסל"ת גמור, ע"י שהוציאה מקלו ותרמילו</w:t>
      </w:r>
      <w:r w:rsidRPr="007119D6">
        <w:rPr>
          <w:rFonts w:ascii="Narkisim" w:hAnsi="Narkisim"/>
        </w:rPr>
        <w:t>.</w:t>
      </w:r>
    </w:p>
  </w:footnote>
  <w:footnote w:id="8550">
    <w:p w14:paraId="50B7AC28"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חלק"מ</w:t>
      </w:r>
      <w:r w:rsidRPr="007119D6">
        <w:rPr>
          <w:rFonts w:ascii="Narkisim" w:hAnsi="Narkisim"/>
          <w:rtl/>
        </w:rPr>
        <w:t xml:space="preserve"> (שם ל) דייק מדברי ה</w:t>
      </w:r>
      <w:r w:rsidRPr="007119D6">
        <w:rPr>
          <w:rFonts w:ascii="Narkisim" w:hAnsi="Narkisim"/>
          <w:b/>
          <w:bCs/>
          <w:rtl/>
        </w:rPr>
        <w:t>רמ"א</w:t>
      </w:r>
      <w:r w:rsidRPr="007119D6">
        <w:rPr>
          <w:rFonts w:ascii="Narkisim" w:hAnsi="Narkisim"/>
          <w:rtl/>
        </w:rPr>
        <w:t xml:space="preserve"> (שם טו) דלא מהני, וכת' דחומרא גדולה היא ומסברא מהני. אך ב</w:t>
      </w:r>
      <w:r w:rsidRPr="007119D6">
        <w:rPr>
          <w:rFonts w:ascii="Narkisim" w:hAnsi="Narkisim"/>
          <w:b/>
          <w:bCs/>
          <w:rtl/>
        </w:rPr>
        <w:t>שו"ת צ"צ</w:t>
      </w:r>
      <w:r w:rsidRPr="007119D6">
        <w:rPr>
          <w:rFonts w:ascii="Narkisim" w:hAnsi="Narkisim"/>
          <w:rtl/>
        </w:rPr>
        <w:t xml:space="preserve"> (מב) כת' דלא הוה מסל"ת כלל. [וע”ע ש”ש ז ח]. ו</w:t>
      </w:r>
      <w:r w:rsidRPr="007119D6">
        <w:rPr>
          <w:rFonts w:ascii="Narkisim" w:hAnsi="Narkisim"/>
          <w:b/>
          <w:bCs/>
          <w:rtl/>
        </w:rPr>
        <w:t>רע"א</w:t>
      </w:r>
      <w:r w:rsidRPr="007119D6">
        <w:rPr>
          <w:rFonts w:ascii="Narkisim" w:hAnsi="Narkisim"/>
          <w:rtl/>
        </w:rPr>
        <w:t xml:space="preserve"> דייק מדברי הב"י דמהני שפי' דכשאמר אח"כ כמה נאה כמה גבור לא נחשב מסל"ת, והו"ל לפרש כפשוטו שיאמר אח"כ בזמן אחר.</w:t>
      </w:r>
    </w:p>
    <w:p w14:paraId="31545040" w14:textId="77777777" w:rsidR="006C4368" w:rsidRPr="007119D6" w:rsidRDefault="006C4368" w:rsidP="006C4368">
      <w:pPr>
        <w:pStyle w:val="Footnote"/>
        <w:bidi/>
        <w:rPr>
          <w:rFonts w:ascii="Narkisim" w:hAnsi="Narkisim"/>
        </w:rPr>
      </w:pPr>
      <w:r w:rsidRPr="007119D6">
        <w:rPr>
          <w:rFonts w:ascii="Narkisim" w:hAnsi="Narkisim"/>
          <w:rtl/>
        </w:rPr>
        <w:tab/>
        <w:t>וב</w:t>
      </w:r>
      <w:r w:rsidRPr="007119D6">
        <w:rPr>
          <w:rFonts w:ascii="Narkisim" w:hAnsi="Narkisim"/>
          <w:b/>
          <w:bCs/>
          <w:rtl/>
        </w:rPr>
        <w:t>שו"ת מהר"ם לובלין</w:t>
      </w:r>
      <w:r w:rsidRPr="007119D6">
        <w:rPr>
          <w:rFonts w:ascii="Narkisim" w:hAnsi="Narkisim"/>
          <w:rtl/>
        </w:rPr>
        <w:t xml:space="preserve"> (קל) כת' דמה שהתחיל במסל"ת נחשב רק קצת מסיח לפי תומו. וצריך צירוף סימנים, וכמ"ש תוס'.</w:t>
      </w:r>
    </w:p>
  </w:footnote>
  <w:footnote w:id="8551">
    <w:p w14:paraId="0A97794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מהר"ם לובלין</w:t>
      </w:r>
      <w:r w:rsidRPr="007119D6">
        <w:rPr>
          <w:rFonts w:ascii="Narkisim" w:hAnsi="Narkisim"/>
          <w:rtl/>
        </w:rPr>
        <w:t xml:space="preserve"> (קל) ביאר דהא דחזינהו בכיא הוי רק התחלת מסיח ל"ת קצת, ור"ע ס”ל דע"י ששאלו אותה והראתה להם מקלו ותרמילו נעשה מסיחה לפי תומה גמור. [ומש"ה אין ראיה מכאן דאשה נאמנת בתורת עד א']. והחכמים ס"ל דבכל הני הוכחות דקא בכיא וגם הראתה להם מקלו ותרמילו וקברו בכל זה אינו נחשב למסל"ת גמור. והא דהאמינו אותה היינו משום דע"י כל הוכחות הנזכרים לא גרע מעדות עד אחד. ועפ"ז כת' דבכל מקום דהוה קצת מסיח לפי תומו, מצטרפין הוכחות נוספות להתיר. ולר"ע נעשה כמסל"ת גמור, ולרבנן לא גרע מעד א</w:t>
      </w:r>
      <w:r w:rsidRPr="007119D6">
        <w:rPr>
          <w:rFonts w:ascii="Narkisim" w:hAnsi="Narkisim"/>
        </w:rPr>
        <w:t>'.</w:t>
      </w:r>
    </w:p>
  </w:footnote>
  <w:footnote w:id="8552">
    <w:p w14:paraId="70152E7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וביאר דלא היתה ממש מסל"ת אלא דעשאוה כאלו היתה מסל"ת. דכיון שהוציאה אח"כ מקלו ותרמילו ואמרה מת, אמרי' דמסתמא גם הבכייה שהיתה בוכה מתחלה היה על המת</w:t>
      </w:r>
      <w:r w:rsidRPr="007119D6">
        <w:rPr>
          <w:rFonts w:ascii="Narkisim" w:hAnsi="Narkisim"/>
        </w:rPr>
        <w:t>.</w:t>
      </w:r>
    </w:p>
  </w:footnote>
  <w:footnote w:id="8553">
    <w:p w14:paraId="77A4DE4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לכאורה קו' הגמ' ע"פ הברייתא בסמוך, דמבואר דדרשו וחקרו היטב</w:t>
      </w:r>
      <w:r w:rsidRPr="007119D6">
        <w:rPr>
          <w:rFonts w:ascii="Narkisim" w:hAnsi="Narkisim"/>
        </w:rPr>
        <w:t>.</w:t>
      </w:r>
    </w:p>
  </w:footnote>
  <w:footnote w:id="8554">
    <w:p w14:paraId="0AF1240A"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אבל אם העיד בדברים שרובן למיתה אין משיאין את אשתו, שאין מעידין על האדם שמת אלא בשראוהו שמת ודאי ואין בו ספק</w:t>
      </w:r>
      <w:r w:rsidRPr="007119D6">
        <w:rPr>
          <w:rFonts w:ascii="Narkisim" w:hAnsi="Narkisim"/>
        </w:rPr>
        <w:t>.</w:t>
      </w:r>
    </w:p>
  </w:footnote>
  <w:footnote w:id="8555">
    <w:p w14:paraId="6000550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וכ"כ ה</w:t>
      </w:r>
      <w:r w:rsidRPr="007119D6">
        <w:rPr>
          <w:rFonts w:ascii="Narkisim" w:hAnsi="Narkisim"/>
          <w:b/>
          <w:bCs/>
          <w:rtl/>
        </w:rPr>
        <w:t>גר"א</w:t>
      </w:r>
      <w:r w:rsidRPr="007119D6">
        <w:rPr>
          <w:rFonts w:ascii="Narkisim" w:hAnsi="Narkisim"/>
          <w:rtl/>
        </w:rPr>
        <w:t xml:space="preserve"> (יז כח), והביא דמבואר (בסמוך) דלהך מ"ד הוה כדיני ממונות. ובדיני ממונות קי"ל (סנהדרין כט.) דשואלו היאך אתה יודע וכו</w:t>
      </w:r>
      <w:r w:rsidRPr="007119D6">
        <w:rPr>
          <w:rFonts w:ascii="Narkisim" w:hAnsi="Narkisim"/>
        </w:rPr>
        <w:t>'.</w:t>
      </w:r>
    </w:p>
  </w:footnote>
  <w:footnote w:id="8556">
    <w:p w14:paraId="07CB76C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הואיל ולא הכירו בעצמו אלא ששמע כן מפי הבעל ודין עד פסול</w:t>
      </w:r>
      <w:r w:rsidRPr="007119D6">
        <w:rPr>
          <w:rFonts w:ascii="Narkisim" w:hAnsi="Narkisim"/>
        </w:rPr>
        <w:t>.</w:t>
      </w:r>
    </w:p>
  </w:footnote>
  <w:footnote w:id="8557">
    <w:p w14:paraId="2398FD8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ומש"ה הוה עד כשר לענין הכחשה</w:t>
      </w:r>
      <w:r w:rsidRPr="007119D6">
        <w:rPr>
          <w:rFonts w:ascii="Narkisim" w:hAnsi="Narkisim"/>
        </w:rPr>
        <w:t>.</w:t>
      </w:r>
    </w:p>
  </w:footnote>
  <w:footnote w:id="8558">
    <w:p w14:paraId="3F42C4DD"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(ע"ג הגמ', ויז עט) הגיה ר"ע ור"ט אומרים בודקים [דחכמים ס"ל דאין בודקים, ור"ע ור"ט פליגי]. וה</w:t>
      </w:r>
      <w:r w:rsidRPr="007119D6">
        <w:rPr>
          <w:rFonts w:ascii="Narkisim" w:hAnsi="Narkisim"/>
          <w:b/>
          <w:bCs/>
          <w:rtl/>
        </w:rPr>
        <w:t>מהרש"א</w:t>
      </w:r>
      <w:r w:rsidRPr="007119D6">
        <w:rPr>
          <w:rFonts w:ascii="Narkisim" w:hAnsi="Narkisim"/>
          <w:rtl/>
        </w:rPr>
        <w:t xml:space="preserve"> הביא דכ"ה בתוספתא. וכת' דכ"מ בסוגיה ובתוס' [דכת' האי תנא, ולא כת' ר”ע]. [אבל הגר"א בתוספתא הגיה את התוספתא כגמ'. והק”נ הכריע דגירסא דידן עיקר]</w:t>
      </w:r>
      <w:r w:rsidRPr="007119D6">
        <w:rPr>
          <w:rFonts w:ascii="Narkisim" w:hAnsi="Narkisim"/>
        </w:rPr>
        <w:t>.</w:t>
      </w:r>
    </w:p>
    <w:p w14:paraId="7F871B30"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וב</w:t>
      </w:r>
      <w:r w:rsidRPr="007119D6">
        <w:rPr>
          <w:rFonts w:ascii="Narkisim" w:hAnsi="Narkisim"/>
          <w:b/>
          <w:bCs/>
          <w:rtl/>
        </w:rPr>
        <w:t>תוספתא</w:t>
      </w:r>
      <w:r w:rsidRPr="007119D6">
        <w:rPr>
          <w:rFonts w:ascii="Narkisim" w:hAnsi="Narkisim"/>
          <w:rtl/>
        </w:rPr>
        <w:t xml:space="preserve"> אי' דהונהגו שיהו בודקין לעידי נשים בדרישה ובחקירה, אמר להן ר' עקיבא לכשתהא פונדקית תהא נאמנת. ובפשוטו משמע דהשיב להם דהיכא דהוה מסל"ת ל"צ דרישה וחקירה, דהוכחת מסל"ת מהני במקום דרישה וחקירה [אמנם ה</w:t>
      </w:r>
      <w:r w:rsidRPr="007119D6">
        <w:rPr>
          <w:rFonts w:ascii="Narkisim" w:hAnsi="Narkisim"/>
          <w:b/>
          <w:bCs/>
          <w:rtl/>
        </w:rPr>
        <w:t>מאירי</w:t>
      </w:r>
      <w:r w:rsidRPr="007119D6">
        <w:rPr>
          <w:rFonts w:ascii="Narkisim" w:hAnsi="Narkisim"/>
          <w:rtl/>
        </w:rPr>
        <w:t xml:space="preserve"> כת' דאי עכו"ם מסל"ת מהני, דרישה וחקירה מהיכא]. [אך במפרשי התוספתא משמע דדברי ר"ע מהמשנה דלעיל הוה בבא בפנ”ע, ולא קאי אדרישה וחקירה]</w:t>
      </w:r>
      <w:r w:rsidRPr="007119D6">
        <w:rPr>
          <w:rFonts w:ascii="Narkisim" w:hAnsi="Narkisim"/>
        </w:rPr>
        <w:t>.</w:t>
      </w:r>
    </w:p>
  </w:footnote>
  <w:footnote w:id="8559">
    <w:p w14:paraId="7D2AF68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w:t>
      </w:r>
      <w:r w:rsidRPr="007119D6">
        <w:rPr>
          <w:rFonts w:ascii="Narkisim" w:hAnsi="Narkisim"/>
          <w:rtl/>
        </w:rPr>
        <w:t xml:space="preserve"> (חו"מ ל) העתיק להיפך אין בודקין דברי ר' טרפון, ר"ע אומר בודקין</w:t>
      </w:r>
      <w:r w:rsidRPr="007119D6">
        <w:rPr>
          <w:rFonts w:ascii="Narkisim" w:hAnsi="Narkisim"/>
        </w:rPr>
        <w:t xml:space="preserve">.  </w:t>
      </w:r>
    </w:p>
  </w:footnote>
  <w:footnote w:id="8560">
    <w:p w14:paraId="744056B5"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חש"ל</w:t>
      </w:r>
      <w:r w:rsidRPr="007119D6">
        <w:rPr>
          <w:rFonts w:ascii="Narkisim" w:hAnsi="Narkisim"/>
          <w:rtl/>
        </w:rPr>
        <w:t xml:space="preserve"> (לעיל קיז:) כת' דר”מ (שם) דס”ל דעדות מוכחשת פוסל הוה משום דס”ל דבעי דרישות וחקירות. [ועע"ש]. [ועדות דאיתכחש בבדיקות מהני אף להכניס לכיפה, וכדאי' סנהדרין פא:, דאינו חסרון בנאמנות אלא דא”א לדון נפשות על פיו]</w:t>
      </w:r>
      <w:r w:rsidRPr="007119D6">
        <w:rPr>
          <w:rFonts w:ascii="Narkisim" w:hAnsi="Narkisim"/>
        </w:rPr>
        <w:t>.</w:t>
      </w:r>
    </w:p>
  </w:footnote>
  <w:footnote w:id="8561">
    <w:p w14:paraId="634B4A7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ויל"ד אי כוונתם דבתחילה הצריכו ב' עדים. אך בברייתא דר' טרפון לכאורה איירי בעד א'. וי"ל דקאי אליבא דר' עקיבא דצריך עד כשר, וקודם שהוחזקו דמהני אשה ועד פסול. [ועד א' כשר הוה תורת עדות. אבל אשה וקרוב פשיטא דל"צ דרישה וחקירה. ועיל”פ דעד בלא דרישה וחקירה הוה ג”כ מעין 'פסול', ואף עד פסול מהני. אך יל”ע אי לכתחילה בעינן עד כשר]</w:t>
      </w:r>
      <w:r w:rsidRPr="007119D6">
        <w:rPr>
          <w:rFonts w:ascii="Narkisim" w:hAnsi="Narkisim"/>
        </w:rPr>
        <w:t>.</w:t>
      </w:r>
    </w:p>
  </w:footnote>
  <w:footnote w:id="8562">
    <w:p w14:paraId="5A74F360"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ועד"ז כת' ב</w:t>
      </w:r>
      <w:r w:rsidRPr="007119D6">
        <w:rPr>
          <w:rFonts w:ascii="Narkisim" w:hAnsi="Narkisim"/>
          <w:b/>
          <w:bCs/>
          <w:rtl/>
        </w:rPr>
        <w:t>תוס' חד מקמאי</w:t>
      </w:r>
      <w:r w:rsidRPr="007119D6">
        <w:rPr>
          <w:rFonts w:ascii="Narkisim" w:hAnsi="Narkisim"/>
          <w:rtl/>
        </w:rPr>
        <w:t xml:space="preserve"> (בסו"ד) דכיון דמשיאין מפי אשה ועבד ושפחה, דהקילו משום תקנת עגונות, הקילו ולא עבדינן דרישה וחקירה. [ויל"ד האיך יליף אפשר משאי אפשר]</w:t>
      </w:r>
      <w:r w:rsidRPr="007119D6">
        <w:rPr>
          <w:rFonts w:ascii="Narkisim" w:hAnsi="Narkisim"/>
        </w:rPr>
        <w:t>.</w:t>
      </w:r>
    </w:p>
  </w:footnote>
  <w:footnote w:id="8563">
    <w:p w14:paraId="53A9878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 xml:space="preserve">וכ"כ </w:t>
      </w:r>
      <w:r w:rsidRPr="007119D6">
        <w:rPr>
          <w:rFonts w:ascii="Narkisim" w:hAnsi="Narkisim"/>
          <w:b/>
          <w:bCs/>
          <w:rtl/>
        </w:rPr>
        <w:t>תוס'</w:t>
      </w:r>
      <w:r w:rsidRPr="007119D6">
        <w:rPr>
          <w:rFonts w:ascii="Narkisim" w:hAnsi="Narkisim"/>
          <w:rtl/>
        </w:rPr>
        <w:t xml:space="preserve"> (סנהדרין ח: סוד"ה והביא, וכ”פ בשו”ע יא ד) דעדים שאשה זינתה צריכים דרישה וחקירה לאוסרה אבעלה. [ומדאורייתא אינו עדות בלא דרישה וחקירה]. וב</w:t>
      </w:r>
      <w:r w:rsidRPr="007119D6">
        <w:rPr>
          <w:rFonts w:ascii="Narkisim" w:hAnsi="Narkisim"/>
          <w:b/>
          <w:bCs/>
          <w:rtl/>
        </w:rPr>
        <w:t>שו"ת הרא"ש</w:t>
      </w:r>
      <w:r w:rsidRPr="007119D6">
        <w:rPr>
          <w:rFonts w:ascii="Narkisim" w:hAnsi="Narkisim"/>
          <w:rtl/>
        </w:rPr>
        <w:t xml:space="preserve"> (מו א) הביא כן מסוגיין, דבנידון זה כו"ע מודו דהוה כנפשות וצריך דרישה וחקירה לעדים</w:t>
      </w:r>
      <w:r w:rsidRPr="007119D6">
        <w:rPr>
          <w:rFonts w:ascii="Narkisim" w:hAnsi="Narkisim"/>
        </w:rPr>
        <w:t xml:space="preserve">.  </w:t>
      </w:r>
    </w:p>
    <w:p w14:paraId="29C16E8F"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ב"י</w:t>
      </w:r>
      <w:r w:rsidRPr="007119D6">
        <w:rPr>
          <w:rFonts w:ascii="Narkisim" w:hAnsi="Narkisim"/>
          <w:rtl/>
        </w:rPr>
        <w:t xml:space="preserve"> ציין דכ"מ ב</w:t>
      </w:r>
      <w:r w:rsidRPr="007119D6">
        <w:rPr>
          <w:rFonts w:ascii="Narkisim" w:hAnsi="Narkisim"/>
          <w:b/>
          <w:bCs/>
          <w:rtl/>
        </w:rPr>
        <w:t>תוס</w:t>
      </w:r>
      <w:r w:rsidRPr="007119D6">
        <w:rPr>
          <w:rFonts w:ascii="Narkisim" w:hAnsi="Narkisim"/>
          <w:rtl/>
        </w:rPr>
        <w:t>' (מכות ו. ד”ה שמואל) דעדות דבר שבערוה חשיב כדיני נפשות. אך נח' ה</w:t>
      </w:r>
      <w:r w:rsidRPr="007119D6">
        <w:rPr>
          <w:rFonts w:ascii="Narkisim" w:hAnsi="Narkisim"/>
          <w:b/>
          <w:bCs/>
          <w:rtl/>
        </w:rPr>
        <w:t>ראשונים</w:t>
      </w:r>
      <w:r w:rsidRPr="007119D6">
        <w:rPr>
          <w:rFonts w:ascii="Narkisim" w:hAnsi="Narkisim"/>
          <w:rtl/>
        </w:rPr>
        <w:t xml:space="preserve"> (ע' מרדכי לעיל יא, ר"ן גיטין עג. לקמן לה: בדה"ר ורמ”ה שם) האם מהני עדות מיוחדת. וע"ע נוב"י (ת עב)</w:t>
      </w:r>
      <w:r w:rsidRPr="007119D6">
        <w:rPr>
          <w:rFonts w:ascii="Narkisim" w:hAnsi="Narkisim"/>
        </w:rPr>
        <w:t>.</w:t>
      </w:r>
    </w:p>
    <w:p w14:paraId="7CBB2AFA" w14:textId="77777777" w:rsidR="006C4368" w:rsidRPr="007119D6" w:rsidRDefault="006C4368" w:rsidP="006C4368">
      <w:pPr>
        <w:pStyle w:val="Footnote"/>
        <w:bidi/>
        <w:rPr>
          <w:rFonts w:ascii="Narkisim" w:hAnsi="Narkisim"/>
        </w:rPr>
      </w:pPr>
      <w:r w:rsidRPr="007119D6">
        <w:rPr>
          <w:rFonts w:ascii="Narkisim" w:hAnsi="Narkisim"/>
        </w:rPr>
        <w:tab/>
      </w:r>
      <w:r w:rsidRPr="007119D6">
        <w:rPr>
          <w:rFonts w:ascii="Narkisim" w:hAnsi="Narkisim"/>
          <w:rtl/>
        </w:rPr>
        <w:t>וה</w:t>
      </w:r>
      <w:r w:rsidRPr="007119D6">
        <w:rPr>
          <w:rFonts w:ascii="Narkisim" w:hAnsi="Narkisim"/>
          <w:b/>
          <w:bCs/>
          <w:rtl/>
        </w:rPr>
        <w:t>בי"ש</w:t>
      </w:r>
      <w:r w:rsidRPr="007119D6">
        <w:rPr>
          <w:rFonts w:ascii="Narkisim" w:hAnsi="Narkisim"/>
          <w:rtl/>
        </w:rPr>
        <w:t xml:space="preserve"> (יז סג) הוסיף דהתם אין לומר דיש נפק"מ לכתובה, דאם אינה נאסרת על בעלה אינה גובה כתובתה אלא לכשתתגרש. [וע"ע ב"י חו"מ ל]</w:t>
      </w:r>
      <w:r w:rsidRPr="007119D6">
        <w:rPr>
          <w:rFonts w:ascii="Narkisim" w:hAnsi="Narkisim"/>
        </w:rPr>
        <w:t>.</w:t>
      </w:r>
    </w:p>
  </w:footnote>
  <w:footnote w:id="8564">
    <w:p w14:paraId="336CC084"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רבי בצלאל אשכנזי</w:t>
      </w:r>
      <w:r w:rsidRPr="007119D6">
        <w:rPr>
          <w:rFonts w:ascii="Narkisim" w:hAnsi="Narkisim"/>
          <w:rtl/>
        </w:rPr>
        <w:t xml:space="preserve"> (ד) הביא דלשיטה זו עידי קדושין לא בעינן דרישה וחקירה מן התורה. אך כת' דאנו אין לנו אלא שיטת ה</w:t>
      </w:r>
      <w:r w:rsidRPr="007119D6">
        <w:rPr>
          <w:rFonts w:ascii="Narkisim" w:hAnsi="Narkisim"/>
          <w:b/>
          <w:bCs/>
          <w:rtl/>
        </w:rPr>
        <w:t>רמב"ן</w:t>
      </w:r>
      <w:r w:rsidRPr="007119D6">
        <w:rPr>
          <w:rFonts w:ascii="Narkisim" w:hAnsi="Narkisim"/>
          <w:rtl/>
        </w:rPr>
        <w:t xml:space="preserve"> וה</w:t>
      </w:r>
      <w:r w:rsidRPr="007119D6">
        <w:rPr>
          <w:rFonts w:ascii="Narkisim" w:hAnsi="Narkisim"/>
          <w:b/>
          <w:bCs/>
          <w:rtl/>
        </w:rPr>
        <w:t>רשב"א</w:t>
      </w:r>
      <w:r w:rsidRPr="007119D6">
        <w:rPr>
          <w:rFonts w:ascii="Narkisim" w:hAnsi="Narkisim"/>
          <w:rtl/>
        </w:rPr>
        <w:t xml:space="preserve"> (הו' בסמוך) שכל הדינין שבעולם מן התורה הן בדרישה וחקירה. והכי מסתבר דלכל מילי דעדות ילפינן דבר דבר מממון דבעינן שני עדים בדרישה וחקירה כבממון. והביא דכ"כ ה</w:t>
      </w:r>
      <w:r w:rsidRPr="007119D6">
        <w:rPr>
          <w:rFonts w:ascii="Narkisim" w:hAnsi="Narkisim"/>
          <w:b/>
          <w:bCs/>
          <w:rtl/>
        </w:rPr>
        <w:t>ריב"ש</w:t>
      </w:r>
      <w:r w:rsidRPr="007119D6">
        <w:rPr>
          <w:rFonts w:ascii="Narkisim" w:hAnsi="Narkisim"/>
          <w:rtl/>
        </w:rPr>
        <w:t xml:space="preserve"> (קצג). אלא דרבנן תקנו אפי' בקדושין בלחוד דלא ליבעי דרישה וחקירה. והביא מ</w:t>
      </w:r>
      <w:r w:rsidRPr="007119D6">
        <w:rPr>
          <w:rFonts w:ascii="Narkisim" w:hAnsi="Narkisim"/>
          <w:b/>
          <w:bCs/>
          <w:rtl/>
        </w:rPr>
        <w:t>שו"ת הרשב"א</w:t>
      </w:r>
      <w:r w:rsidRPr="007119D6">
        <w:rPr>
          <w:rFonts w:ascii="Narkisim" w:hAnsi="Narkisim"/>
          <w:rtl/>
        </w:rPr>
        <w:t xml:space="preserve"> (ג קיא) דעידי קדושין אי"צ דרישה וחקירה דהשתא מיהא לאו אדיני נפשות קא מסהדי</w:t>
      </w:r>
      <w:r w:rsidRPr="007119D6">
        <w:rPr>
          <w:rFonts w:ascii="Narkisim" w:hAnsi="Narkisim"/>
        </w:rPr>
        <w:t>.</w:t>
      </w:r>
    </w:p>
  </w:footnote>
  <w:footnote w:id="8565">
    <w:p w14:paraId="6E225FFE"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וכת' דמ”מ מהני בי"ד של הדיוטות, וכמו כל מילי דשכיחי. וביאר דדרישה וחקירה אפשר [ולא תקנו לבטלו], אבל מומחין לא אפשר</w:t>
      </w:r>
      <w:r w:rsidRPr="007119D6">
        <w:rPr>
          <w:rFonts w:ascii="Narkisim" w:hAnsi="Narkisim"/>
        </w:rPr>
        <w:t>.</w:t>
      </w:r>
    </w:p>
  </w:footnote>
  <w:footnote w:id="8566">
    <w:p w14:paraId="37C97D8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ונח' ב' תי' ה</w:t>
      </w:r>
      <w:r w:rsidRPr="007119D6">
        <w:rPr>
          <w:rFonts w:ascii="Narkisim" w:hAnsi="Narkisim"/>
          <w:b/>
          <w:bCs/>
          <w:rtl/>
        </w:rPr>
        <w:t>תוס</w:t>
      </w:r>
      <w:r w:rsidRPr="007119D6">
        <w:rPr>
          <w:rFonts w:ascii="Narkisim" w:hAnsi="Narkisim"/>
          <w:rtl/>
        </w:rPr>
        <w:t>' (שם) בדין גזילות וחבלות [דצריך מומחין, ולא תקנו משום נעילת דלת], האם צריכה דרישה וחקירה</w:t>
      </w:r>
      <w:r w:rsidRPr="007119D6">
        <w:rPr>
          <w:rFonts w:ascii="Narkisim" w:hAnsi="Narkisim"/>
        </w:rPr>
        <w:t>.</w:t>
      </w:r>
    </w:p>
  </w:footnote>
  <w:footnote w:id="8567">
    <w:p w14:paraId="47E1470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רמב"ן</w:t>
      </w:r>
      <w:r w:rsidRPr="007119D6">
        <w:rPr>
          <w:rFonts w:ascii="Narkisim" w:hAnsi="Narkisim"/>
          <w:rtl/>
        </w:rPr>
        <w:t xml:space="preserve"> הק' דבדיני קנסות בעי דרישה וחקירה, ולא אמרי' לא פלוג. ותי' דהנהו לאו בכלל דיני ממונות נינהו. ומוקמי להו אדינא דאורייתא דרחמנא קנסינהו, ולא תיקון בהו רבנן מידי, ולא מוסיפים אקנסי</w:t>
      </w:r>
      <w:r w:rsidRPr="007119D6">
        <w:rPr>
          <w:rFonts w:ascii="Narkisim" w:hAnsi="Narkisim"/>
        </w:rPr>
        <w:t>.</w:t>
      </w:r>
    </w:p>
  </w:footnote>
  <w:footnote w:id="8568">
    <w:p w14:paraId="286EF771"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בית מאיר</w:t>
      </w:r>
      <w:r w:rsidRPr="007119D6">
        <w:rPr>
          <w:rFonts w:ascii="Narkisim" w:hAnsi="Narkisim"/>
          <w:rtl/>
        </w:rPr>
        <w:t xml:space="preserve"> העיר דאף כשיש בו זמן צריך מקום עמידתם [עמידת העדים, וע' תוס' לעיל צא:]. וכן באיזה שעה. וע"ע חזו"א וגר"ח (עדות ה)</w:t>
      </w:r>
      <w:r w:rsidRPr="007119D6">
        <w:rPr>
          <w:rFonts w:ascii="Narkisim" w:hAnsi="Narkisim"/>
        </w:rPr>
        <w:t>.</w:t>
      </w:r>
    </w:p>
  </w:footnote>
  <w:footnote w:id="8569">
    <w:p w14:paraId="4417755B"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מאירי</w:t>
      </w:r>
      <w:r w:rsidRPr="007119D6">
        <w:rPr>
          <w:rFonts w:ascii="Narkisim" w:hAnsi="Narkisim"/>
          <w:rtl/>
        </w:rPr>
        <w:t xml:space="preserve"> (כאן) הביא דתוס' שאלו למ"ד (לעיל פט: צ) שאין כח ביד חכמים לעקור דבר מן התורה היאך מהני בלא דרישה וחקירה. ותי' שמאחר שיש לעדותם פנים אין זו עקירה [ואפשר דכוונתם ע"פ מש"כ תוס' בכ"מ דדבר הדומה לא נחשב עקירת דבר מה"ת. א"נ הוה סברא בגדרי דרישות וחקירות, דבכח הבי"ד לקבל עדותם בלא דרישה, דעיקר העדות קיימת]. והמאירי כת' שהתירוץ ודאי דוחק, ומכל מקום כתבנוה להודיע שהם כתבוה כן</w:t>
      </w:r>
      <w:r w:rsidRPr="007119D6">
        <w:rPr>
          <w:rFonts w:ascii="Narkisim" w:hAnsi="Narkisim"/>
        </w:rPr>
        <w:t>.</w:t>
      </w:r>
    </w:p>
  </w:footnote>
  <w:footnote w:id="8570">
    <w:p w14:paraId="52FDEC97" w14:textId="77777777" w:rsidR="006C4368" w:rsidRPr="007119D6" w:rsidRDefault="006C4368" w:rsidP="006C4368">
      <w:pPr>
        <w:pStyle w:val="Footnote"/>
        <w:bidi/>
        <w:rPr>
          <w:rFonts w:ascii="Narkisim" w:eastAsia="Narkisim" w:hAnsi="Narkisim"/>
        </w:rPr>
      </w:pPr>
      <w:r w:rsidRPr="007119D6">
        <w:rPr>
          <w:rStyle w:val="ac"/>
          <w:rFonts w:ascii="Narkisim" w:hAnsi="Narkisim"/>
        </w:rPr>
        <w:footnoteRef/>
      </w:r>
      <w:r w:rsidRPr="007119D6">
        <w:rPr>
          <w:rFonts w:ascii="Narkisim" w:eastAsia="Narkisim" w:hAnsi="Narkisim"/>
          <w:rtl/>
        </w:rPr>
        <w:t>וה</w:t>
      </w:r>
      <w:r w:rsidRPr="007119D6">
        <w:rPr>
          <w:rFonts w:ascii="Narkisim" w:eastAsia="Narkisim" w:hAnsi="Narkisim"/>
          <w:b/>
          <w:bCs/>
          <w:rtl/>
        </w:rPr>
        <w:t>נוב"י</w:t>
      </w:r>
      <w:r w:rsidRPr="007119D6">
        <w:rPr>
          <w:rFonts w:ascii="Narkisim" w:eastAsia="Narkisim" w:hAnsi="Narkisim"/>
          <w:rtl/>
        </w:rPr>
        <w:t xml:space="preserve"> (אה"ע ק נז נח) כת' דבדבר שבערוה ל"צ דרישה וחקירה, דל"צ יכול להזימה. (וע”ע בית הלוי ג ו)</w:t>
      </w:r>
      <w:r w:rsidRPr="007119D6">
        <w:rPr>
          <w:rFonts w:ascii="Narkisim" w:eastAsia="Narkisim" w:hAnsi="Narkisim"/>
        </w:rPr>
        <w:t>.</w:t>
      </w:r>
    </w:p>
  </w:footnote>
  <w:footnote w:id="8571">
    <w:p w14:paraId="726A3019"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ר"ב אשכנזי</w:t>
      </w:r>
      <w:r w:rsidRPr="007119D6">
        <w:rPr>
          <w:rFonts w:ascii="Narkisim" w:hAnsi="Narkisim"/>
          <w:rtl/>
        </w:rPr>
        <w:t xml:space="preserve"> (ד) הביא מח' בזה, האם משום צד ממון בעדות נשים עקרינן מדינא דתורה, ומדמינן ליה לדיני ממונות לגמרי ושרינן אשת איש לעלמא בלא דרישה וחקירה. או דבשעת קידושין ליכא נידון כתובה</w:t>
      </w:r>
      <w:r w:rsidRPr="007119D6">
        <w:rPr>
          <w:rFonts w:ascii="Narkisim" w:hAnsi="Narkisim"/>
        </w:rPr>
        <w:t>.</w:t>
      </w:r>
    </w:p>
  </w:footnote>
  <w:footnote w:id="8572">
    <w:p w14:paraId="6EC427B7"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רמב"ם</w:t>
      </w:r>
      <w:r w:rsidRPr="007119D6">
        <w:rPr>
          <w:rFonts w:ascii="Narkisim" w:hAnsi="Narkisim"/>
          <w:rtl/>
        </w:rPr>
        <w:t xml:space="preserve"> פסק דדוקא משום עיגונא, אבל היכא דליכא עיגונא צריך דרישה וחקירה</w:t>
      </w:r>
      <w:r w:rsidRPr="007119D6">
        <w:rPr>
          <w:rFonts w:ascii="Narkisim" w:hAnsi="Narkisim"/>
        </w:rPr>
        <w:t>.</w:t>
      </w:r>
    </w:p>
  </w:footnote>
  <w:footnote w:id="8573">
    <w:p w14:paraId="7634826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ק"נ</w:t>
      </w:r>
      <w:r w:rsidRPr="007119D6">
        <w:rPr>
          <w:rFonts w:ascii="Narkisim" w:hAnsi="Narkisim"/>
          <w:rtl/>
        </w:rPr>
        <w:t xml:space="preserve"> נקט קודם שר"ע שמע מנחמיה איש בית דלי דמשיאין ע”פ עד א'. {אך לכאורה אף לאחר שהוחזקו להיות משיאין ע"פ עד כשר, לדעת ר"ע אין משיאין ע"פ אשה וקרוב. וקודם שהוחזקו להיות משיאין ע"פ פסולים}</w:t>
      </w:r>
      <w:r w:rsidRPr="007119D6">
        <w:rPr>
          <w:rFonts w:ascii="Narkisim" w:hAnsi="Narkisim"/>
        </w:rPr>
        <w:t>.</w:t>
      </w:r>
    </w:p>
  </w:footnote>
  <w:footnote w:id="8574">
    <w:p w14:paraId="577B8B0C"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וב</w:t>
      </w:r>
      <w:r w:rsidRPr="007119D6">
        <w:rPr>
          <w:rFonts w:ascii="Narkisim" w:hAnsi="Narkisim"/>
          <w:b/>
          <w:bCs/>
          <w:rtl/>
        </w:rPr>
        <w:t>שו"ת הרמב"ם</w:t>
      </w:r>
      <w:r w:rsidRPr="007119D6">
        <w:rPr>
          <w:rFonts w:ascii="Narkisim" w:hAnsi="Narkisim"/>
          <w:rtl/>
        </w:rPr>
        <w:t xml:space="preserve"> כת' שאין מדקדקים בעדות אשה עגונה וכל המחמיר ודורש וחוקר בדברים אלו לא יפה הוא עושה, ואין דעת חכמים נוחה ממנו. ועד"ז כת' ב</w:t>
      </w:r>
      <w:r w:rsidRPr="007119D6">
        <w:rPr>
          <w:rFonts w:ascii="Narkisim" w:hAnsi="Narkisim"/>
          <w:b/>
          <w:bCs/>
          <w:rtl/>
        </w:rPr>
        <w:t>שו"ת הרא"ש</w:t>
      </w:r>
      <w:r w:rsidRPr="007119D6">
        <w:rPr>
          <w:rFonts w:ascii="Narkisim" w:hAnsi="Narkisim"/>
          <w:rtl/>
        </w:rPr>
        <w:t xml:space="preserve"> (נא ב) כת' דראוי לכל מורה לחזור על כל צדדים להתיר</w:t>
      </w:r>
      <w:r w:rsidRPr="007119D6">
        <w:rPr>
          <w:rFonts w:ascii="Narkisim" w:hAnsi="Narkisim"/>
        </w:rPr>
        <w:t>.</w:t>
      </w:r>
    </w:p>
  </w:footnote>
  <w:footnote w:id="8575">
    <w:p w14:paraId="39923F46" w14:textId="77777777" w:rsidR="006C4368" w:rsidRPr="007119D6" w:rsidRDefault="006C4368" w:rsidP="006C4368">
      <w:pPr>
        <w:pStyle w:val="Footnote"/>
        <w:bidi/>
        <w:rPr>
          <w:rFonts w:ascii="Narkisim" w:hAnsi="Narkisim"/>
        </w:rPr>
      </w:pPr>
      <w:r w:rsidRPr="007119D6">
        <w:rPr>
          <w:rStyle w:val="ac"/>
          <w:rFonts w:ascii="Narkisim" w:hAnsi="Narkisim"/>
        </w:rPr>
        <w:footnoteRef/>
      </w:r>
      <w:r w:rsidRPr="007119D6">
        <w:rPr>
          <w:rFonts w:ascii="Narkisim" w:hAnsi="Narkisim"/>
          <w:rtl/>
        </w:rPr>
        <w:t>וה</w:t>
      </w:r>
      <w:r w:rsidRPr="007119D6">
        <w:rPr>
          <w:rFonts w:ascii="Narkisim" w:hAnsi="Narkisim"/>
          <w:b/>
          <w:bCs/>
          <w:rtl/>
        </w:rPr>
        <w:t>גר"א</w:t>
      </w:r>
      <w:r w:rsidRPr="007119D6">
        <w:rPr>
          <w:rFonts w:ascii="Narkisim" w:hAnsi="Narkisim"/>
          <w:rtl/>
        </w:rPr>
        <w:t xml:space="preserve"> (שם פב) ציין המקור (סנהדרין לב:) דדין מרומה. וכ"כ ה</w:t>
      </w:r>
      <w:r w:rsidRPr="007119D6">
        <w:rPr>
          <w:rFonts w:ascii="Narkisim" w:hAnsi="Narkisim"/>
          <w:b/>
          <w:bCs/>
          <w:rtl/>
        </w:rPr>
        <w:t>מרדכי</w:t>
      </w:r>
      <w:r w:rsidRPr="007119D6">
        <w:rPr>
          <w:rFonts w:ascii="Narkisim" w:hAnsi="Narkisim"/>
          <w:rtl/>
        </w:rPr>
        <w:t xml:space="preserve"> (סנהדרין תשיא) דעדות שנתקדשה והאשה מכחשת הוה דין מרומה, וצריך דרישה וחקירה. [וכל זמן שלא נחקרה עדותם יכולים לחזור בהם]</w:t>
      </w:r>
      <w:r w:rsidRPr="007119D6">
        <w:rPr>
          <w:rFonts w:ascii="Narkisim" w:hAnsi="Narkisim"/>
        </w:rPr>
        <w:t>.</w:t>
      </w:r>
    </w:p>
    <w:p w14:paraId="3A923A32" w14:textId="77777777" w:rsidR="006C4368" w:rsidRPr="007119D6" w:rsidRDefault="006C4368" w:rsidP="006C4368">
      <w:pPr>
        <w:pStyle w:val="Footnote"/>
        <w:bidi/>
        <w:rPr>
          <w:rFonts w:ascii="Narkisim" w:hAnsi="Narkisim"/>
        </w:rPr>
      </w:pPr>
      <w:r w:rsidRPr="007119D6">
        <w:rPr>
          <w:rFonts w:ascii="Narkisim" w:hAnsi="Narkisim"/>
        </w:rPr>
        <w:tab/>
        <w:t>[</w:t>
      </w:r>
      <w:r w:rsidRPr="007119D6">
        <w:rPr>
          <w:rFonts w:ascii="Narkisim" w:hAnsi="Narkisim"/>
          <w:rtl/>
        </w:rPr>
        <w:t>ויל"ד אי דין מרומה הוה מדיני 'עדות', או שיצא הפסק דין כראוי. ואי נימא דהוה מגדרי עדות, א"כ מבואר דאף פסולים בעדות אשה הוה גדר 'עדות</w:t>
      </w:r>
      <w:r w:rsidRPr="007119D6">
        <w:rPr>
          <w:rFonts w:ascii="Narkisim" w:hAnsi="Narkisim"/>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33E23" w14:textId="77777777" w:rsidR="00624450"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6FBA4" w14:textId="77777777" w:rsidR="00624450"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יז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D1C"/>
    <w:rsid w:val="00012502"/>
    <w:rsid w:val="00176925"/>
    <w:rsid w:val="002162F5"/>
    <w:rsid w:val="00290635"/>
    <w:rsid w:val="00310145"/>
    <w:rsid w:val="003D73C3"/>
    <w:rsid w:val="006074A5"/>
    <w:rsid w:val="00624450"/>
    <w:rsid w:val="006C4368"/>
    <w:rsid w:val="008C6272"/>
    <w:rsid w:val="00A325E0"/>
    <w:rsid w:val="00A878F2"/>
    <w:rsid w:val="00BE1D1C"/>
    <w:rsid w:val="00C650FB"/>
    <w:rsid w:val="00CD3A0B"/>
    <w:rsid w:val="00F64AE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99F5B"/>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951</Pages>
  <Words>339923</Words>
  <Characters>1699618</Characters>
  <Application>Microsoft Office Word</Application>
  <DocSecurity>0</DocSecurity>
  <Lines>14163</Lines>
  <Paragraphs>4070</Paragraphs>
  <ScaleCrop>false</ScaleCrop>
  <Company/>
  <LinksUpToDate>false</LinksUpToDate>
  <CharactersWithSpaces>2035471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hp</cp:lastModifiedBy>
  <cp:revision>7</cp:revision>
  <dcterms:created xsi:type="dcterms:W3CDTF">2026-08-24T18:47:00Z</dcterms:created>
  <dcterms:modified xsi:type="dcterms:W3CDTF">2026-09-03T19:54:00Z</dcterms:modified>
</cp:coreProperties>
</file>